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20"/>
        </w:rPr>
      </w:pPr>
      <w:r>
        <w:rPr>
          <w:sz w:val="20"/>
        </w:rPr>
        <w:drawing>
          <wp:inline distT="0" distB="0" distL="0" distR="0">
            <wp:extent cx="7551246" cy="1312163"/>
            <wp:effectExtent l="0" t="0" r="0" b="0"/>
            <wp:docPr id="1" name="Image 1" descr="OA Letterhead"/>
            <wp:cNvGraphicFramePr>
              <a:graphicFrameLocks/>
            </wp:cNvGraphicFramePr>
            <a:graphic>
              <a:graphicData uri="http://schemas.openxmlformats.org/drawingml/2006/picture">
                <pic:pic>
                  <pic:nvPicPr>
                    <pic:cNvPr id="1" name="Image 1" descr="OA Letterhead"/>
                    <pic:cNvPicPr/>
                  </pic:nvPicPr>
                  <pic:blipFill>
                    <a:blip r:embed="rId5" cstate="print"/>
                    <a:stretch>
                      <a:fillRect/>
                    </a:stretch>
                  </pic:blipFill>
                  <pic:spPr>
                    <a:xfrm>
                      <a:off x="0" y="0"/>
                      <a:ext cx="7551246" cy="1312163"/>
                    </a:xfrm>
                    <a:prstGeom prst="rect">
                      <a:avLst/>
                    </a:prstGeom>
                  </pic:spPr>
                </pic:pic>
              </a:graphicData>
            </a:graphic>
          </wp:inline>
        </w:drawing>
      </w:r>
      <w:r>
        <w:rPr>
          <w:sz w:val="20"/>
        </w:rPr>
      </w:r>
    </w:p>
    <w:p>
      <w:pPr>
        <w:pStyle w:val="BodyText"/>
        <w:spacing w:before="156"/>
        <w:ind w:left="1550" w:right="1334"/>
        <w:jc w:val="center"/>
      </w:pPr>
      <w:r>
        <w:rPr/>
        <mc:AlternateContent>
          <mc:Choice Requires="wps">
            <w:drawing>
              <wp:anchor distT="0" distB="0" distL="0" distR="0" allowOverlap="1" layoutInCell="1" locked="0" behindDoc="1" simplePos="0" relativeHeight="473525248">
                <wp:simplePos x="0" y="0"/>
                <wp:positionH relativeFrom="page">
                  <wp:posOffset>6449314</wp:posOffset>
                </wp:positionH>
                <wp:positionV relativeFrom="paragraph">
                  <wp:posOffset>-1052960</wp:posOffset>
                </wp:positionV>
                <wp:extent cx="408940" cy="16891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408940" cy="168910"/>
                        </a:xfrm>
                        <a:prstGeom prst="rect">
                          <a:avLst/>
                        </a:prstGeom>
                      </wps:spPr>
                      <wps:txbx>
                        <w:txbxContent>
                          <w:p>
                            <w:pPr>
                              <w:pStyle w:val="BodyText"/>
                              <w:spacing w:line="266" w:lineRule="exact"/>
                            </w:pPr>
                            <w:r>
                              <w:rPr/>
                              <w:t>Page</w:t>
                            </w:r>
                            <w:r>
                              <w:rPr>
                                <w:spacing w:val="-7"/>
                              </w:rPr>
                              <w:t> </w:t>
                            </w:r>
                            <w:r>
                              <w:rPr>
                                <w:spacing w:val="-10"/>
                              </w:rPr>
                              <w:t>1</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07.820007pt;margin-top:-82.91024pt;width:32.2pt;height:13.3pt;mso-position-horizontal-relative:page;mso-position-vertical-relative:paragraph;z-index:-29791232" type="#_x0000_t202" id="docshape1" filled="false" stroked="false">
                <v:textbox inset="0,0,0,0">
                  <w:txbxContent>
                    <w:p>
                      <w:pPr>
                        <w:pStyle w:val="BodyText"/>
                        <w:spacing w:line="266" w:lineRule="exact"/>
                      </w:pPr>
                      <w:r>
                        <w:rPr/>
                        <w:t>Page</w:t>
                      </w:r>
                      <w:r>
                        <w:rPr>
                          <w:spacing w:val="-7"/>
                        </w:rPr>
                        <w:t> </w:t>
                      </w:r>
                      <w:r>
                        <w:rPr>
                          <w:spacing w:val="-10"/>
                        </w:rPr>
                        <w:t>1</w:t>
                      </w:r>
                    </w:p>
                  </w:txbxContent>
                </v:textbox>
                <w10:wrap type="none"/>
              </v:shape>
            </w:pict>
          </mc:Fallback>
        </mc:AlternateContent>
      </w:r>
      <w:bookmarkStart w:name="Approval letter 092020224006 MassHealth " w:id="1"/>
      <w:bookmarkEnd w:id="1"/>
      <w:r>
        <w:rPr/>
      </w:r>
      <w:r>
        <w:rPr/>
        <w:t>September</w:t>
      </w:r>
      <w:r>
        <w:rPr>
          <w:spacing w:val="-1"/>
        </w:rPr>
        <w:t> </w:t>
      </w:r>
      <w:r>
        <w:rPr/>
        <w:t>28,</w:t>
      </w:r>
      <w:r>
        <w:rPr>
          <w:spacing w:val="-2"/>
        </w:rPr>
        <w:t> </w:t>
      </w:r>
      <w:r>
        <w:rPr>
          <w:spacing w:val="-4"/>
        </w:rPr>
        <w:t>2022</w:t>
      </w:r>
    </w:p>
    <w:p>
      <w:pPr>
        <w:pStyle w:val="BodyText"/>
        <w:rPr>
          <w:sz w:val="26"/>
        </w:rPr>
      </w:pPr>
    </w:p>
    <w:p>
      <w:pPr>
        <w:pStyle w:val="BodyText"/>
        <w:rPr>
          <w:sz w:val="22"/>
        </w:rPr>
      </w:pPr>
    </w:p>
    <w:p>
      <w:pPr>
        <w:pStyle w:val="BodyText"/>
        <w:ind w:left="1440"/>
      </w:pPr>
      <w:r>
        <w:rPr/>
        <w:t>Amanda</w:t>
      </w:r>
      <w:r>
        <w:rPr>
          <w:spacing w:val="-2"/>
        </w:rPr>
        <w:t> </w:t>
      </w:r>
      <w:r>
        <w:rPr/>
        <w:t>Cassel</w:t>
      </w:r>
      <w:r>
        <w:rPr>
          <w:spacing w:val="-1"/>
        </w:rPr>
        <w:t> </w:t>
      </w:r>
      <w:r>
        <w:rPr>
          <w:spacing w:val="-2"/>
        </w:rPr>
        <w:t>Kraft</w:t>
      </w:r>
    </w:p>
    <w:p>
      <w:pPr>
        <w:pStyle w:val="BodyText"/>
        <w:ind w:left="1440"/>
      </w:pPr>
      <w:r>
        <w:rPr/>
        <w:t>Assistant</w:t>
      </w:r>
      <w:r>
        <w:rPr>
          <w:spacing w:val="-3"/>
        </w:rPr>
        <w:t> </w:t>
      </w:r>
      <w:r>
        <w:rPr/>
        <w:t>Secretary,</w:t>
      </w:r>
      <w:r>
        <w:rPr>
          <w:spacing w:val="-3"/>
        </w:rPr>
        <w:t> </w:t>
      </w:r>
      <w:r>
        <w:rPr>
          <w:spacing w:val="-2"/>
        </w:rPr>
        <w:t>MassHealth</w:t>
      </w:r>
    </w:p>
    <w:p>
      <w:pPr>
        <w:pStyle w:val="BodyText"/>
        <w:ind w:left="1440" w:right="5754"/>
      </w:pPr>
      <w:r>
        <w:rPr/>
        <w:t>Executive</w:t>
      </w:r>
      <w:r>
        <w:rPr>
          <w:spacing w:val="-8"/>
        </w:rPr>
        <w:t> </w:t>
      </w:r>
      <w:r>
        <w:rPr/>
        <w:t>Office</w:t>
      </w:r>
      <w:r>
        <w:rPr>
          <w:spacing w:val="-8"/>
        </w:rPr>
        <w:t> </w:t>
      </w:r>
      <w:r>
        <w:rPr/>
        <w:t>of</w:t>
      </w:r>
      <w:r>
        <w:rPr>
          <w:spacing w:val="-7"/>
        </w:rPr>
        <w:t> </w:t>
      </w:r>
      <w:r>
        <w:rPr/>
        <w:t>Health</w:t>
      </w:r>
      <w:r>
        <w:rPr>
          <w:spacing w:val="-7"/>
        </w:rPr>
        <w:t> </w:t>
      </w:r>
      <w:r>
        <w:rPr/>
        <w:t>and</w:t>
      </w:r>
      <w:r>
        <w:rPr>
          <w:spacing w:val="-7"/>
        </w:rPr>
        <w:t> </w:t>
      </w:r>
      <w:r>
        <w:rPr/>
        <w:t>Human</w:t>
      </w:r>
      <w:r>
        <w:rPr>
          <w:spacing w:val="-7"/>
        </w:rPr>
        <w:t> </w:t>
      </w:r>
      <w:r>
        <w:rPr/>
        <w:t>Services One Ashburton Place, 11th Floor Room 1109 Boston, MA 02108</w:t>
      </w:r>
    </w:p>
    <w:p>
      <w:pPr>
        <w:pStyle w:val="BodyText"/>
        <w:spacing w:before="1"/>
      </w:pPr>
    </w:p>
    <w:p>
      <w:pPr>
        <w:pStyle w:val="BodyText"/>
        <w:ind w:left="1440"/>
      </w:pPr>
      <w:r>
        <w:rPr/>
        <w:t>Dear</w:t>
      </w:r>
      <w:r>
        <w:rPr>
          <w:spacing w:val="-1"/>
        </w:rPr>
        <w:t> </w:t>
      </w:r>
      <w:r>
        <w:rPr/>
        <w:t>Assistant</w:t>
      </w:r>
      <w:r>
        <w:rPr>
          <w:spacing w:val="-1"/>
        </w:rPr>
        <w:t> </w:t>
      </w:r>
      <w:r>
        <w:rPr/>
        <w:t>Secretary</w:t>
      </w:r>
      <w:r>
        <w:rPr>
          <w:spacing w:val="-2"/>
        </w:rPr>
        <w:t> Kraft:</w:t>
      </w:r>
    </w:p>
    <w:p>
      <w:pPr>
        <w:pStyle w:val="BodyText"/>
      </w:pPr>
    </w:p>
    <w:p>
      <w:pPr>
        <w:pStyle w:val="BodyText"/>
        <w:ind w:left="1440" w:right="1239"/>
      </w:pPr>
      <w:r>
        <w:rPr/>
        <w:t>The Centers for Medicare &amp; Medicaid Services (CMS) is approving Massachusetts’ request to extend the demonstration entitled, “MassHealth” (Project Number 11-W-00030/1 and 21-W- 00071/1), in accordance with section 1115(a) of the Social Security Act (the Act).</w:t>
      </w:r>
      <w:r>
        <w:rPr>
          <w:spacing w:val="40"/>
        </w:rPr>
        <w:t> </w:t>
      </w:r>
      <w:r>
        <w:rPr/>
        <w:t>Approval of this request will extend many longstanding demonstration authorities and allow the Commonwealth, through various waiver and expenditure authorities, to test the efficacy of innovative practices aimed at promoting consistently high-quality, evidence-based, coordinated, and integrated care with the combined goals of providing medical assistance and improving the health</w:t>
      </w:r>
      <w:r>
        <w:rPr>
          <w:spacing w:val="-3"/>
        </w:rPr>
        <w:t> </w:t>
      </w:r>
      <w:r>
        <w:rPr/>
        <w:t>of</w:t>
      </w:r>
      <w:r>
        <w:rPr>
          <w:spacing w:val="-3"/>
        </w:rPr>
        <w:t> </w:t>
      </w:r>
      <w:r>
        <w:rPr/>
        <w:t>the</w:t>
      </w:r>
      <w:r>
        <w:rPr>
          <w:spacing w:val="-5"/>
        </w:rPr>
        <w:t> </w:t>
      </w:r>
      <w:r>
        <w:rPr/>
        <w:t>communities</w:t>
      </w:r>
      <w:r>
        <w:rPr>
          <w:spacing w:val="-3"/>
        </w:rPr>
        <w:t> </w:t>
      </w:r>
      <w:r>
        <w:rPr/>
        <w:t>and</w:t>
      </w:r>
      <w:r>
        <w:rPr>
          <w:spacing w:val="-3"/>
        </w:rPr>
        <w:t> </w:t>
      </w:r>
      <w:r>
        <w:rPr/>
        <w:t>populations</w:t>
      </w:r>
      <w:r>
        <w:rPr>
          <w:spacing w:val="-3"/>
        </w:rPr>
        <w:t> </w:t>
      </w:r>
      <w:r>
        <w:rPr/>
        <w:t>served</w:t>
      </w:r>
      <w:r>
        <w:rPr>
          <w:spacing w:val="-2"/>
        </w:rPr>
        <w:t> </w:t>
      </w:r>
      <w:r>
        <w:rPr/>
        <w:t>through</w:t>
      </w:r>
      <w:r>
        <w:rPr>
          <w:spacing w:val="-3"/>
        </w:rPr>
        <w:t> </w:t>
      </w:r>
      <w:r>
        <w:rPr/>
        <w:t>the</w:t>
      </w:r>
      <w:r>
        <w:rPr>
          <w:spacing w:val="-3"/>
        </w:rPr>
        <w:t> </w:t>
      </w:r>
      <w:r>
        <w:rPr/>
        <w:t>demonstration.</w:t>
      </w:r>
      <w:r>
        <w:rPr>
          <w:spacing w:val="40"/>
        </w:rPr>
        <w:t> </w:t>
      </w:r>
      <w:r>
        <w:rPr/>
        <w:t>The</w:t>
      </w:r>
      <w:r>
        <w:rPr>
          <w:spacing w:val="-5"/>
        </w:rPr>
        <w:t> </w:t>
      </w:r>
      <w:r>
        <w:rPr/>
        <w:t>extension</w:t>
      </w:r>
      <w:r>
        <w:rPr>
          <w:spacing w:val="-3"/>
        </w:rPr>
        <w:t> </w:t>
      </w:r>
      <w:r>
        <w:rPr/>
        <w:t>also will</w:t>
      </w:r>
      <w:r>
        <w:rPr>
          <w:spacing w:val="-2"/>
        </w:rPr>
        <w:t> </w:t>
      </w:r>
      <w:r>
        <w:rPr/>
        <w:t>lead</w:t>
      </w:r>
      <w:r>
        <w:rPr>
          <w:spacing w:val="-2"/>
        </w:rPr>
        <w:t> </w:t>
      </w:r>
      <w:r>
        <w:rPr/>
        <w:t>to</w:t>
      </w:r>
      <w:r>
        <w:rPr>
          <w:spacing w:val="-2"/>
        </w:rPr>
        <w:t> </w:t>
      </w:r>
      <w:r>
        <w:rPr/>
        <w:t>additional</w:t>
      </w:r>
      <w:r>
        <w:rPr>
          <w:spacing w:val="-2"/>
        </w:rPr>
        <w:t> </w:t>
      </w:r>
      <w:r>
        <w:rPr/>
        <w:t>populations</w:t>
      </w:r>
      <w:r>
        <w:rPr>
          <w:spacing w:val="-2"/>
        </w:rPr>
        <w:t> </w:t>
      </w:r>
      <w:r>
        <w:rPr/>
        <w:t>being</w:t>
      </w:r>
      <w:r>
        <w:rPr>
          <w:spacing w:val="-4"/>
        </w:rPr>
        <w:t> </w:t>
      </w:r>
      <w:r>
        <w:rPr/>
        <w:t>served</w:t>
      </w:r>
      <w:r>
        <w:rPr>
          <w:spacing w:val="-2"/>
        </w:rPr>
        <w:t> </w:t>
      </w:r>
      <w:r>
        <w:rPr/>
        <w:t>by</w:t>
      </w:r>
      <w:r>
        <w:rPr>
          <w:spacing w:val="-5"/>
        </w:rPr>
        <w:t> </w:t>
      </w:r>
      <w:r>
        <w:rPr/>
        <w:t>Medicaid,</w:t>
      </w:r>
      <w:r>
        <w:rPr>
          <w:spacing w:val="-2"/>
        </w:rPr>
        <w:t> </w:t>
      </w:r>
      <w:r>
        <w:rPr/>
        <w:t>as</w:t>
      </w:r>
      <w:r>
        <w:rPr>
          <w:spacing w:val="-2"/>
        </w:rPr>
        <w:t> </w:t>
      </w:r>
      <w:r>
        <w:rPr/>
        <w:t>well</w:t>
      </w:r>
      <w:r>
        <w:rPr>
          <w:spacing w:val="-2"/>
        </w:rPr>
        <w:t> </w:t>
      </w:r>
      <w:r>
        <w:rPr/>
        <w:t>as</w:t>
      </w:r>
      <w:r>
        <w:rPr>
          <w:spacing w:val="-2"/>
        </w:rPr>
        <w:t> </w:t>
      </w:r>
      <w:r>
        <w:rPr/>
        <w:t>additional</w:t>
      </w:r>
      <w:r>
        <w:rPr>
          <w:spacing w:val="-2"/>
        </w:rPr>
        <w:t> </w:t>
      </w:r>
      <w:r>
        <w:rPr/>
        <w:t>services</w:t>
      </w:r>
      <w:r>
        <w:rPr>
          <w:spacing w:val="-2"/>
        </w:rPr>
        <w:t> </w:t>
      </w:r>
      <w:r>
        <w:rPr/>
        <w:t>being furnished to Medicaid beneficiaries.</w:t>
      </w:r>
      <w:r>
        <w:rPr>
          <w:spacing w:val="40"/>
        </w:rPr>
        <w:t> </w:t>
      </w:r>
      <w:r>
        <w:rPr/>
        <w:t>This approval is effective October 1, 2022, through December 31, 2027.</w:t>
      </w:r>
    </w:p>
    <w:p>
      <w:pPr>
        <w:pStyle w:val="BodyText"/>
        <w:spacing w:before="1"/>
      </w:pPr>
    </w:p>
    <w:p>
      <w:pPr>
        <w:pStyle w:val="BodyText"/>
        <w:ind w:left="1440" w:right="1238"/>
      </w:pPr>
      <w:r>
        <w:rPr/>
        <w:t>CMS has determined that the MassHealth demonstration is likely to assist in promoting the objectives</w:t>
      </w:r>
      <w:r>
        <w:rPr>
          <w:spacing w:val="-2"/>
        </w:rPr>
        <w:t> </w:t>
      </w:r>
      <w:r>
        <w:rPr/>
        <w:t>of</w:t>
      </w:r>
      <w:r>
        <w:rPr>
          <w:spacing w:val="-2"/>
        </w:rPr>
        <w:t> </w:t>
      </w:r>
      <w:r>
        <w:rPr/>
        <w:t>the</w:t>
      </w:r>
      <w:r>
        <w:rPr>
          <w:spacing w:val="-3"/>
        </w:rPr>
        <w:t> </w:t>
      </w:r>
      <w:r>
        <w:rPr/>
        <w:t>Medicaid</w:t>
      </w:r>
      <w:r>
        <w:rPr>
          <w:spacing w:val="-2"/>
        </w:rPr>
        <w:t> </w:t>
      </w:r>
      <w:r>
        <w:rPr/>
        <w:t>statute</w:t>
      </w:r>
      <w:r>
        <w:rPr>
          <w:spacing w:val="-3"/>
        </w:rPr>
        <w:t> </w:t>
      </w:r>
      <w:r>
        <w:rPr/>
        <w:t>and,</w:t>
      </w:r>
      <w:r>
        <w:rPr>
          <w:spacing w:val="-2"/>
        </w:rPr>
        <w:t> </w:t>
      </w:r>
      <w:r>
        <w:rPr/>
        <w:t>as</w:t>
      </w:r>
      <w:r>
        <w:rPr>
          <w:spacing w:val="-2"/>
        </w:rPr>
        <w:t> </w:t>
      </w:r>
      <w:r>
        <w:rPr/>
        <w:t>relevant, the</w:t>
      </w:r>
      <w:r>
        <w:rPr>
          <w:spacing w:val="-2"/>
        </w:rPr>
        <w:t> </w:t>
      </w:r>
      <w:r>
        <w:rPr/>
        <w:t>CHIP</w:t>
      </w:r>
      <w:r>
        <w:rPr>
          <w:spacing w:val="-2"/>
        </w:rPr>
        <w:t> </w:t>
      </w:r>
      <w:r>
        <w:rPr/>
        <w:t>statute</w:t>
      </w:r>
      <w:r>
        <w:rPr>
          <w:spacing w:val="-3"/>
        </w:rPr>
        <w:t> </w:t>
      </w:r>
      <w:r>
        <w:rPr/>
        <w:t>by</w:t>
      </w:r>
      <w:r>
        <w:rPr>
          <w:spacing w:val="-7"/>
        </w:rPr>
        <w:t> </w:t>
      </w:r>
      <w:r>
        <w:rPr/>
        <w:t>increasing</w:t>
      </w:r>
      <w:r>
        <w:rPr>
          <w:spacing w:val="-2"/>
        </w:rPr>
        <w:t> </w:t>
      </w:r>
      <w:r>
        <w:rPr/>
        <w:t>access</w:t>
      </w:r>
      <w:r>
        <w:rPr>
          <w:spacing w:val="-2"/>
        </w:rPr>
        <w:t> </w:t>
      </w:r>
      <w:r>
        <w:rPr/>
        <w:t>to</w:t>
      </w:r>
      <w:r>
        <w:rPr>
          <w:spacing w:val="-2"/>
        </w:rPr>
        <w:t> </w:t>
      </w:r>
      <w:r>
        <w:rPr/>
        <w:t>high- quality medical assistance and coverage for targeted low-income children.</w:t>
      </w:r>
      <w:r>
        <w:rPr>
          <w:spacing w:val="40"/>
        </w:rPr>
        <w:t> </w:t>
      </w:r>
      <w:r>
        <w:rPr/>
        <w:t>With this extension, Massachusetts is introducing new initiatives and investments to assist the Commonwealth in improving health coverage, access, and consistent provision of high-quality services for Medicaid</w:t>
      </w:r>
      <w:r>
        <w:rPr>
          <w:spacing w:val="-3"/>
        </w:rPr>
        <w:t> </w:t>
      </w:r>
      <w:r>
        <w:rPr/>
        <w:t>and</w:t>
      </w:r>
      <w:r>
        <w:rPr>
          <w:spacing w:val="-3"/>
        </w:rPr>
        <w:t> </w:t>
      </w:r>
      <w:r>
        <w:rPr/>
        <w:t>CHIP</w:t>
      </w:r>
      <w:r>
        <w:rPr>
          <w:spacing w:val="-3"/>
        </w:rPr>
        <w:t> </w:t>
      </w:r>
      <w:r>
        <w:rPr/>
        <w:t>beneficiaries,</w:t>
      </w:r>
      <w:r>
        <w:rPr>
          <w:spacing w:val="-3"/>
        </w:rPr>
        <w:t> </w:t>
      </w:r>
      <w:r>
        <w:rPr/>
        <w:t>while</w:t>
      </w:r>
      <w:r>
        <w:rPr>
          <w:spacing w:val="-3"/>
        </w:rPr>
        <w:t> </w:t>
      </w:r>
      <w:r>
        <w:rPr/>
        <w:t>additionally</w:t>
      </w:r>
      <w:r>
        <w:rPr>
          <w:spacing w:val="-8"/>
        </w:rPr>
        <w:t> </w:t>
      </w:r>
      <w:r>
        <w:rPr/>
        <w:t>making</w:t>
      </w:r>
      <w:r>
        <w:rPr>
          <w:spacing w:val="-6"/>
        </w:rPr>
        <w:t> </w:t>
      </w:r>
      <w:r>
        <w:rPr/>
        <w:t>important</w:t>
      </w:r>
      <w:r>
        <w:rPr>
          <w:spacing w:val="-2"/>
        </w:rPr>
        <w:t> </w:t>
      </w:r>
      <w:r>
        <w:rPr/>
        <w:t>gains</w:t>
      </w:r>
      <w:r>
        <w:rPr>
          <w:spacing w:val="-3"/>
        </w:rPr>
        <w:t> </w:t>
      </w:r>
      <w:r>
        <w:rPr/>
        <w:t>in</w:t>
      </w:r>
      <w:r>
        <w:rPr>
          <w:spacing w:val="-3"/>
        </w:rPr>
        <w:t> </w:t>
      </w:r>
      <w:r>
        <w:rPr/>
        <w:t>advancing</w:t>
      </w:r>
      <w:r>
        <w:rPr>
          <w:spacing w:val="-6"/>
        </w:rPr>
        <w:t> </w:t>
      </w:r>
      <w:r>
        <w:rPr/>
        <w:t>health equity among its beneficiary populations.</w:t>
      </w:r>
    </w:p>
    <w:p>
      <w:pPr>
        <w:pStyle w:val="BodyText"/>
      </w:pPr>
    </w:p>
    <w:p>
      <w:pPr>
        <w:pStyle w:val="BodyText"/>
        <w:ind w:left="1440" w:right="1264"/>
      </w:pPr>
      <w:r>
        <w:rPr/>
        <w:t>As reflected in the statute, the primary objective of the Medicaid program is to furnish medical assistance.</w:t>
      </w:r>
      <w:r>
        <w:rPr>
          <w:spacing w:val="40"/>
        </w:rPr>
        <w:t> </w:t>
      </w:r>
      <w:r>
        <w:rPr/>
        <w:t>Massachusetts already maximizes the populations eligible for medical assistance through MassHealth.</w:t>
      </w:r>
      <w:r>
        <w:rPr>
          <w:spacing w:val="40"/>
        </w:rPr>
        <w:t> </w:t>
      </w:r>
      <w:r>
        <w:rPr/>
        <w:t>This demonstration is expected to promote the objective of furnishing medical assistance by strengthening access to high-quality equitable care for all those with Medicaid</w:t>
      </w:r>
      <w:r>
        <w:rPr>
          <w:spacing w:val="-3"/>
        </w:rPr>
        <w:t> </w:t>
      </w:r>
      <w:r>
        <w:rPr/>
        <w:t>coverage.</w:t>
      </w:r>
      <w:r>
        <w:rPr>
          <w:spacing w:val="40"/>
        </w:rPr>
        <w:t> </w:t>
      </w:r>
      <w:r>
        <w:rPr/>
        <w:t>This</w:t>
      </w:r>
      <w:r>
        <w:rPr>
          <w:spacing w:val="-3"/>
        </w:rPr>
        <w:t> </w:t>
      </w:r>
      <w:r>
        <w:rPr/>
        <w:t>demonstration</w:t>
      </w:r>
      <w:r>
        <w:rPr>
          <w:spacing w:val="-1"/>
        </w:rPr>
        <w:t> </w:t>
      </w:r>
      <w:r>
        <w:rPr/>
        <w:t>also</w:t>
      </w:r>
      <w:r>
        <w:rPr>
          <w:spacing w:val="-3"/>
        </w:rPr>
        <w:t> </w:t>
      </w:r>
      <w:r>
        <w:rPr/>
        <w:t>is</w:t>
      </w:r>
      <w:r>
        <w:rPr>
          <w:spacing w:val="-4"/>
        </w:rPr>
        <w:t> </w:t>
      </w:r>
      <w:r>
        <w:rPr/>
        <w:t>intended</w:t>
      </w:r>
      <w:r>
        <w:rPr>
          <w:spacing w:val="-3"/>
        </w:rPr>
        <w:t> </w:t>
      </w:r>
      <w:r>
        <w:rPr/>
        <w:t>to</w:t>
      </w:r>
      <w:r>
        <w:rPr>
          <w:spacing w:val="-3"/>
        </w:rPr>
        <w:t> </w:t>
      </w:r>
      <w:r>
        <w:rPr/>
        <w:t>enhance</w:t>
      </w:r>
      <w:r>
        <w:rPr>
          <w:spacing w:val="-4"/>
        </w:rPr>
        <w:t> </w:t>
      </w:r>
      <w:r>
        <w:rPr/>
        <w:t>the</w:t>
      </w:r>
      <w:r>
        <w:rPr>
          <w:spacing w:val="-3"/>
        </w:rPr>
        <w:t> </w:t>
      </w:r>
      <w:r>
        <w:rPr/>
        <w:t>Commonwealth’s</w:t>
      </w:r>
      <w:r>
        <w:rPr>
          <w:spacing w:val="-4"/>
        </w:rPr>
        <w:t> </w:t>
      </w:r>
      <w:r>
        <w:rPr/>
        <w:t>ability to identify substandard health outcomes of Medicaid beneficiaries that may result from uneven access to high-quality care and by incentivizing improvements to achieve consistent access to high-quality care.</w:t>
      </w:r>
    </w:p>
    <w:p>
      <w:pPr>
        <w:spacing w:after="0"/>
        <w:sectPr>
          <w:type w:val="continuous"/>
          <w:pgSz w:w="12240" w:h="15840"/>
          <w:pgMar w:top="320" w:bottom="280" w:left="0" w:right="220"/>
        </w:sectPr>
      </w:pPr>
    </w:p>
    <w:p>
      <w:pPr>
        <w:pStyle w:val="BodyText"/>
        <w:spacing w:before="79"/>
        <w:ind w:right="1218"/>
        <w:jc w:val="right"/>
      </w:pPr>
      <w:r>
        <w:rPr/>
        <w:t>Page</w:t>
      </w:r>
      <w:r>
        <w:rPr>
          <w:spacing w:val="-7"/>
        </w:rPr>
        <w:t> </w:t>
      </w:r>
      <w:r>
        <w:rPr>
          <w:spacing w:val="-10"/>
        </w:rPr>
        <w:t>2</w:t>
      </w:r>
    </w:p>
    <w:p>
      <w:pPr>
        <w:pStyle w:val="BodyText"/>
        <w:spacing w:before="7"/>
        <w:rPr>
          <w:sz w:val="38"/>
        </w:rPr>
      </w:pPr>
    </w:p>
    <w:p>
      <w:pPr>
        <w:pStyle w:val="BodyText"/>
        <w:ind w:left="1440" w:right="1239"/>
      </w:pPr>
      <w:r>
        <w:rPr/>
        <w:t>CMS’s approval is subject to the limitations specified in the attached waiver and expenditure authorities,</w:t>
      </w:r>
      <w:r>
        <w:rPr>
          <w:spacing w:val="-4"/>
        </w:rPr>
        <w:t> </w:t>
      </w:r>
      <w:r>
        <w:rPr/>
        <w:t>special</w:t>
      </w:r>
      <w:r>
        <w:rPr>
          <w:spacing w:val="-4"/>
        </w:rPr>
        <w:t> </w:t>
      </w:r>
      <w:r>
        <w:rPr/>
        <w:t>terms</w:t>
      </w:r>
      <w:r>
        <w:rPr>
          <w:spacing w:val="-2"/>
        </w:rPr>
        <w:t> </w:t>
      </w:r>
      <w:r>
        <w:rPr/>
        <w:t>and</w:t>
      </w:r>
      <w:r>
        <w:rPr>
          <w:spacing w:val="-4"/>
        </w:rPr>
        <w:t> </w:t>
      </w:r>
      <w:r>
        <w:rPr/>
        <w:t>conditions</w:t>
      </w:r>
      <w:r>
        <w:rPr>
          <w:spacing w:val="-4"/>
        </w:rPr>
        <w:t> </w:t>
      </w:r>
      <w:r>
        <w:rPr/>
        <w:t>(STC),</w:t>
      </w:r>
      <w:r>
        <w:rPr>
          <w:spacing w:val="-4"/>
        </w:rPr>
        <w:t> </w:t>
      </w:r>
      <w:r>
        <w:rPr/>
        <w:t>and</w:t>
      </w:r>
      <w:r>
        <w:rPr>
          <w:spacing w:val="-4"/>
        </w:rPr>
        <w:t> </w:t>
      </w:r>
      <w:r>
        <w:rPr/>
        <w:t>any</w:t>
      </w:r>
      <w:r>
        <w:rPr>
          <w:spacing w:val="-9"/>
        </w:rPr>
        <w:t> </w:t>
      </w:r>
      <w:r>
        <w:rPr/>
        <w:t>supplemental</w:t>
      </w:r>
      <w:r>
        <w:rPr>
          <w:spacing w:val="-4"/>
        </w:rPr>
        <w:t> </w:t>
      </w:r>
      <w:r>
        <w:rPr/>
        <w:t>attachments</w:t>
      </w:r>
      <w:r>
        <w:rPr>
          <w:spacing w:val="-4"/>
        </w:rPr>
        <w:t> </w:t>
      </w:r>
      <w:r>
        <w:rPr/>
        <w:t>defining</w:t>
      </w:r>
      <w:r>
        <w:rPr>
          <w:spacing w:val="-7"/>
        </w:rPr>
        <w:t> </w:t>
      </w:r>
      <w:r>
        <w:rPr/>
        <w:t>the nature, character, and extent of federal involvement in this project.</w:t>
      </w:r>
      <w:r>
        <w:rPr>
          <w:spacing w:val="40"/>
        </w:rPr>
        <w:t> </w:t>
      </w:r>
      <w:r>
        <w:rPr/>
        <w:t>The Commonwealth may deviate</w:t>
      </w:r>
      <w:r>
        <w:rPr>
          <w:spacing w:val="-1"/>
        </w:rPr>
        <w:t> </w:t>
      </w:r>
      <w:r>
        <w:rPr/>
        <w:t>from Medicaid state plan requirements only</w:t>
      </w:r>
      <w:r>
        <w:rPr>
          <w:spacing w:val="-3"/>
        </w:rPr>
        <w:t> </w:t>
      </w:r>
      <w:r>
        <w:rPr/>
        <w:t>to the</w:t>
      </w:r>
      <w:r>
        <w:rPr>
          <w:spacing w:val="-1"/>
        </w:rPr>
        <w:t> </w:t>
      </w:r>
      <w:r>
        <w:rPr/>
        <w:t>extent those</w:t>
      </w:r>
      <w:r>
        <w:rPr>
          <w:spacing w:val="-1"/>
        </w:rPr>
        <w:t> </w:t>
      </w:r>
      <w:r>
        <w:rPr/>
        <w:t>requirements have</w:t>
      </w:r>
      <w:r>
        <w:rPr>
          <w:spacing w:val="-1"/>
        </w:rPr>
        <w:t> </w:t>
      </w:r>
      <w:r>
        <w:rPr/>
        <w:t>been listed as waived or not applicable to expenditures under the demonstration.</w:t>
      </w:r>
    </w:p>
    <w:p>
      <w:pPr>
        <w:pStyle w:val="BodyText"/>
      </w:pPr>
    </w:p>
    <w:p>
      <w:pPr>
        <w:spacing w:before="0"/>
        <w:ind w:left="1440" w:right="0" w:firstLine="0"/>
        <w:jc w:val="left"/>
        <w:rPr>
          <w:b/>
          <w:sz w:val="24"/>
        </w:rPr>
      </w:pPr>
      <w:r>
        <w:rPr>
          <w:b/>
          <w:sz w:val="24"/>
          <w:u w:val="single"/>
        </w:rPr>
        <w:t>Extent</w:t>
      </w:r>
      <w:r>
        <w:rPr>
          <w:b/>
          <w:spacing w:val="-2"/>
          <w:sz w:val="24"/>
          <w:u w:val="single"/>
        </w:rPr>
        <w:t> </w:t>
      </w:r>
      <w:r>
        <w:rPr>
          <w:b/>
          <w:sz w:val="24"/>
          <w:u w:val="single"/>
        </w:rPr>
        <w:t>and</w:t>
      </w:r>
      <w:r>
        <w:rPr>
          <w:b/>
          <w:spacing w:val="-2"/>
          <w:sz w:val="24"/>
          <w:u w:val="single"/>
        </w:rPr>
        <w:t> </w:t>
      </w:r>
      <w:r>
        <w:rPr>
          <w:b/>
          <w:sz w:val="24"/>
          <w:u w:val="single"/>
        </w:rPr>
        <w:t>Scope</w:t>
      </w:r>
      <w:r>
        <w:rPr>
          <w:b/>
          <w:spacing w:val="-2"/>
          <w:sz w:val="24"/>
          <w:u w:val="single"/>
        </w:rPr>
        <w:t> </w:t>
      </w:r>
      <w:r>
        <w:rPr>
          <w:b/>
          <w:sz w:val="24"/>
          <w:u w:val="single"/>
        </w:rPr>
        <w:t>of</w:t>
      </w:r>
      <w:r>
        <w:rPr>
          <w:b/>
          <w:spacing w:val="-1"/>
          <w:sz w:val="24"/>
          <w:u w:val="single"/>
        </w:rPr>
        <w:t> </w:t>
      </w:r>
      <w:r>
        <w:rPr>
          <w:b/>
          <w:sz w:val="24"/>
          <w:u w:val="single"/>
        </w:rPr>
        <w:t>the</w:t>
      </w:r>
      <w:r>
        <w:rPr>
          <w:b/>
          <w:spacing w:val="-5"/>
          <w:sz w:val="24"/>
          <w:u w:val="single"/>
        </w:rPr>
        <w:t> </w:t>
      </w:r>
      <w:r>
        <w:rPr>
          <w:b/>
          <w:sz w:val="24"/>
          <w:u w:val="single"/>
        </w:rPr>
        <w:t>Demonstration</w:t>
      </w:r>
      <w:r>
        <w:rPr>
          <w:b/>
          <w:spacing w:val="-1"/>
          <w:sz w:val="24"/>
          <w:u w:val="single"/>
        </w:rPr>
        <w:t> </w:t>
      </w:r>
      <w:r>
        <w:rPr>
          <w:b/>
          <w:spacing w:val="-2"/>
          <w:sz w:val="24"/>
          <w:u w:val="single"/>
        </w:rPr>
        <w:t>Extension</w:t>
      </w:r>
    </w:p>
    <w:p>
      <w:pPr>
        <w:pStyle w:val="BodyText"/>
        <w:spacing w:before="2"/>
        <w:rPr>
          <w:b/>
          <w:sz w:val="16"/>
        </w:rPr>
      </w:pPr>
    </w:p>
    <w:p>
      <w:pPr>
        <w:pStyle w:val="BodyText"/>
        <w:spacing w:before="90"/>
        <w:ind w:left="1440" w:right="1264"/>
      </w:pPr>
      <w:r>
        <w:rPr/>
        <w:t>Extension</w:t>
      </w:r>
      <w:r>
        <w:rPr>
          <w:spacing w:val="-4"/>
        </w:rPr>
        <w:t> </w:t>
      </w:r>
      <w:r>
        <w:rPr/>
        <w:t>of</w:t>
      </w:r>
      <w:r>
        <w:rPr>
          <w:spacing w:val="-4"/>
        </w:rPr>
        <w:t> </w:t>
      </w:r>
      <w:r>
        <w:rPr/>
        <w:t>the</w:t>
      </w:r>
      <w:r>
        <w:rPr>
          <w:spacing w:val="-5"/>
        </w:rPr>
        <w:t> </w:t>
      </w:r>
      <w:r>
        <w:rPr/>
        <w:t>MassHealth</w:t>
      </w:r>
      <w:r>
        <w:rPr>
          <w:spacing w:val="-4"/>
        </w:rPr>
        <w:t> </w:t>
      </w:r>
      <w:r>
        <w:rPr/>
        <w:t>demonstration</w:t>
      </w:r>
      <w:r>
        <w:rPr>
          <w:spacing w:val="-4"/>
        </w:rPr>
        <w:t> </w:t>
      </w:r>
      <w:r>
        <w:rPr/>
        <w:t>includes</w:t>
      </w:r>
      <w:r>
        <w:rPr>
          <w:spacing w:val="-4"/>
        </w:rPr>
        <w:t> </w:t>
      </w:r>
      <w:r>
        <w:rPr/>
        <w:t>the</w:t>
      </w:r>
      <w:r>
        <w:rPr>
          <w:spacing w:val="-4"/>
        </w:rPr>
        <w:t> </w:t>
      </w:r>
      <w:r>
        <w:rPr/>
        <w:t>extension</w:t>
      </w:r>
      <w:r>
        <w:rPr>
          <w:spacing w:val="-4"/>
        </w:rPr>
        <w:t> </w:t>
      </w:r>
      <w:r>
        <w:rPr/>
        <w:t>of</w:t>
      </w:r>
      <w:r>
        <w:rPr>
          <w:spacing w:val="-4"/>
        </w:rPr>
        <w:t> </w:t>
      </w:r>
      <w:r>
        <w:rPr/>
        <w:t>longstanding</w:t>
      </w:r>
      <w:r>
        <w:rPr>
          <w:spacing w:val="-1"/>
        </w:rPr>
        <w:t> </w:t>
      </w:r>
      <w:r>
        <w:rPr/>
        <w:t>authorities and programs, which make up a crucial part of the Commonwealth’s Medicaid system.</w:t>
      </w:r>
      <w:r>
        <w:rPr>
          <w:spacing w:val="40"/>
        </w:rPr>
        <w:t> </w:t>
      </w:r>
      <w:r>
        <w:rPr/>
        <w:t>This approval includes, among other elements, the extension of 1) delivery systems that provide</w:t>
      </w:r>
    </w:p>
    <w:p>
      <w:pPr>
        <w:pStyle w:val="BodyText"/>
        <w:spacing w:before="1"/>
        <w:ind w:left="1440" w:right="1264"/>
      </w:pPr>
      <w:r>
        <w:rPr/>
        <w:t>services to the majority of the Commonwealth’s Medicaid population, including both primary care case management (PCCM)-based delivery systems, which include the Primary Care Clinician</w:t>
      </w:r>
      <w:r>
        <w:rPr>
          <w:spacing w:val="-4"/>
        </w:rPr>
        <w:t> </w:t>
      </w:r>
      <w:r>
        <w:rPr/>
        <w:t>(PCC)</w:t>
      </w:r>
      <w:r>
        <w:rPr>
          <w:spacing w:val="-4"/>
        </w:rPr>
        <w:t> </w:t>
      </w:r>
      <w:r>
        <w:rPr/>
        <w:t>Plan</w:t>
      </w:r>
      <w:r>
        <w:rPr>
          <w:spacing w:val="-4"/>
        </w:rPr>
        <w:t> </w:t>
      </w:r>
      <w:r>
        <w:rPr/>
        <w:t>and</w:t>
      </w:r>
      <w:r>
        <w:rPr>
          <w:spacing w:val="-7"/>
        </w:rPr>
        <w:t> </w:t>
      </w:r>
      <w:r>
        <w:rPr/>
        <w:t>Primary</w:t>
      </w:r>
      <w:r>
        <w:rPr>
          <w:spacing w:val="-8"/>
        </w:rPr>
        <w:t> </w:t>
      </w:r>
      <w:r>
        <w:rPr/>
        <w:t>Care</w:t>
      </w:r>
      <w:r>
        <w:rPr>
          <w:spacing w:val="-6"/>
        </w:rPr>
        <w:t> </w:t>
      </w:r>
      <w:r>
        <w:rPr/>
        <w:t>Accountable</w:t>
      </w:r>
      <w:r>
        <w:rPr>
          <w:spacing w:val="-4"/>
        </w:rPr>
        <w:t> </w:t>
      </w:r>
      <w:r>
        <w:rPr/>
        <w:t>Care</w:t>
      </w:r>
      <w:r>
        <w:rPr>
          <w:spacing w:val="-6"/>
        </w:rPr>
        <w:t> </w:t>
      </w:r>
      <w:r>
        <w:rPr/>
        <w:t>Organizations</w:t>
      </w:r>
      <w:r>
        <w:rPr>
          <w:spacing w:val="-4"/>
        </w:rPr>
        <w:t> </w:t>
      </w:r>
      <w:r>
        <w:rPr/>
        <w:t>(ACO),</w:t>
      </w:r>
      <w:r>
        <w:rPr>
          <w:spacing w:val="-4"/>
        </w:rPr>
        <w:t> </w:t>
      </w:r>
      <w:r>
        <w:rPr/>
        <w:t>with</w:t>
      </w:r>
      <w:r>
        <w:rPr>
          <w:spacing w:val="-4"/>
        </w:rPr>
        <w:t> </w:t>
      </w:r>
      <w:r>
        <w:rPr/>
        <w:t>behavioral health services provided through the managed behavioral health vendor (PIHP)</w:t>
      </w:r>
      <w:r>
        <w:rPr>
          <w:spacing w:val="40"/>
        </w:rPr>
        <w:t> </w:t>
      </w:r>
      <w:r>
        <w:rPr/>
        <w:t>and Managed Care Organization (MCO)-based delivery systems, which include MCOs and Accountable Care Partnership Plans; 2) the Safety Net Care Pool (SNCP) that provides uncompensated care payments to safety net providers that serve Medicaid and low-income, uninsured individuals; 3) expenditures for demonstration populations, such as CommonHealth and former foster care youth who were in foster care in another state; 4) premium and cost-sharing subsidies for low- and moderate-income residents purchasing health insurance through the Health Connector; 5) expenditures for substance use disorder (SUD) and serious mental illness (SMI) treatment services</w:t>
      </w:r>
      <w:r>
        <w:rPr>
          <w:spacing w:val="-2"/>
        </w:rPr>
        <w:t> </w:t>
      </w:r>
      <w:r>
        <w:rPr/>
        <w:t>and</w:t>
      </w:r>
      <w:r>
        <w:rPr>
          <w:spacing w:val="-2"/>
        </w:rPr>
        <w:t> </w:t>
      </w:r>
      <w:r>
        <w:rPr/>
        <w:t>ongoing</w:t>
      </w:r>
      <w:r>
        <w:rPr>
          <w:spacing w:val="-2"/>
        </w:rPr>
        <w:t> </w:t>
      </w:r>
      <w:r>
        <w:rPr/>
        <w:t>recovery</w:t>
      </w:r>
      <w:r>
        <w:rPr>
          <w:spacing w:val="-7"/>
        </w:rPr>
        <w:t> </w:t>
      </w:r>
      <w:r>
        <w:rPr/>
        <w:t>support;</w:t>
      </w:r>
      <w:r>
        <w:rPr>
          <w:spacing w:val="-2"/>
        </w:rPr>
        <w:t> </w:t>
      </w:r>
      <w:r>
        <w:rPr/>
        <w:t>and</w:t>
      </w:r>
      <w:r>
        <w:rPr>
          <w:spacing w:val="-2"/>
        </w:rPr>
        <w:t> </w:t>
      </w:r>
      <w:r>
        <w:rPr/>
        <w:t>6)</w:t>
      </w:r>
      <w:r>
        <w:rPr>
          <w:spacing w:val="-4"/>
        </w:rPr>
        <w:t> </w:t>
      </w:r>
      <w:r>
        <w:rPr/>
        <w:t>diversionary</w:t>
      </w:r>
      <w:r>
        <w:rPr>
          <w:spacing w:val="-7"/>
        </w:rPr>
        <w:t> </w:t>
      </w:r>
      <w:r>
        <w:rPr/>
        <w:t>behavioral</w:t>
      </w:r>
      <w:r>
        <w:rPr>
          <w:spacing w:val="-2"/>
        </w:rPr>
        <w:t> </w:t>
      </w:r>
      <w:r>
        <w:rPr/>
        <w:t>health</w:t>
      </w:r>
      <w:r>
        <w:rPr>
          <w:spacing w:val="-2"/>
        </w:rPr>
        <w:t> </w:t>
      </w:r>
      <w:r>
        <w:rPr/>
        <w:t>services.</w:t>
      </w:r>
      <w:r>
        <w:rPr>
          <w:spacing w:val="40"/>
        </w:rPr>
        <w:t> </w:t>
      </w:r>
      <w:r>
        <w:rPr/>
        <w:t>With</w:t>
      </w:r>
      <w:r>
        <w:rPr>
          <w:spacing w:val="-2"/>
        </w:rPr>
        <w:t> </w:t>
      </w:r>
      <w:r>
        <w:rPr/>
        <w:t>this extension approval, CMS is removing the waiver of retroactive eligibility for pregnant persons and for children up to age 19, effective no later than July 1, 2023.</w:t>
      </w:r>
      <w:r>
        <w:rPr>
          <w:spacing w:val="78"/>
        </w:rPr>
        <w:t> </w:t>
      </w:r>
      <w:r>
        <w:rPr/>
        <w:t>The Commonwealth will retain the authority for the waiver as it applies to most other Medicaid beneficiaries but will be</w:t>
      </w:r>
    </w:p>
    <w:p>
      <w:pPr>
        <w:pStyle w:val="BodyText"/>
        <w:spacing w:before="1"/>
        <w:ind w:left="1440" w:right="1239"/>
      </w:pPr>
      <w:r>
        <w:rPr/>
        <w:t>required</w:t>
      </w:r>
      <w:r>
        <w:rPr>
          <w:spacing w:val="-3"/>
        </w:rPr>
        <w:t> </w:t>
      </w:r>
      <w:r>
        <w:rPr/>
        <w:t>to</w:t>
      </w:r>
      <w:r>
        <w:rPr>
          <w:spacing w:val="-3"/>
        </w:rPr>
        <w:t> </w:t>
      </w:r>
      <w:r>
        <w:rPr/>
        <w:t>conduct</w:t>
      </w:r>
      <w:r>
        <w:rPr>
          <w:spacing w:val="-3"/>
        </w:rPr>
        <w:t> </w:t>
      </w:r>
      <w:r>
        <w:rPr/>
        <w:t>more</w:t>
      </w:r>
      <w:r>
        <w:rPr>
          <w:spacing w:val="-3"/>
        </w:rPr>
        <w:t> </w:t>
      </w:r>
      <w:r>
        <w:rPr/>
        <w:t>rigorous</w:t>
      </w:r>
      <w:r>
        <w:rPr>
          <w:spacing w:val="-2"/>
        </w:rPr>
        <w:t> </w:t>
      </w:r>
      <w:r>
        <w:rPr/>
        <w:t>evaluation</w:t>
      </w:r>
      <w:r>
        <w:rPr>
          <w:spacing w:val="-3"/>
        </w:rPr>
        <w:t> </w:t>
      </w:r>
      <w:r>
        <w:rPr/>
        <w:t>of</w:t>
      </w:r>
      <w:r>
        <w:rPr>
          <w:spacing w:val="-3"/>
        </w:rPr>
        <w:t> </w:t>
      </w:r>
      <w:r>
        <w:rPr/>
        <w:t>the</w:t>
      </w:r>
      <w:r>
        <w:rPr>
          <w:spacing w:val="-4"/>
        </w:rPr>
        <w:t> </w:t>
      </w:r>
      <w:r>
        <w:rPr/>
        <w:t>waiver’s</w:t>
      </w:r>
      <w:r>
        <w:rPr>
          <w:spacing w:val="-4"/>
        </w:rPr>
        <w:t> </w:t>
      </w:r>
      <w:r>
        <w:rPr/>
        <w:t>effects</w:t>
      </w:r>
      <w:r>
        <w:rPr>
          <w:spacing w:val="-4"/>
        </w:rPr>
        <w:t> </w:t>
      </w:r>
      <w:r>
        <w:rPr/>
        <w:t>on</w:t>
      </w:r>
      <w:r>
        <w:rPr>
          <w:spacing w:val="-3"/>
        </w:rPr>
        <w:t> </w:t>
      </w:r>
      <w:r>
        <w:rPr/>
        <w:t>beneficiary</w:t>
      </w:r>
      <w:r>
        <w:rPr>
          <w:spacing w:val="-8"/>
        </w:rPr>
        <w:t> </w:t>
      </w:r>
      <w:r>
        <w:rPr/>
        <w:t>debt</w:t>
      </w:r>
      <w:r>
        <w:rPr>
          <w:spacing w:val="-3"/>
        </w:rPr>
        <w:t> </w:t>
      </w:r>
      <w:r>
        <w:rPr/>
        <w:t>and uncompensated care.</w:t>
      </w:r>
    </w:p>
    <w:p>
      <w:pPr>
        <w:pStyle w:val="BodyText"/>
      </w:pPr>
    </w:p>
    <w:p>
      <w:pPr>
        <w:pStyle w:val="BodyText"/>
        <w:ind w:left="1440" w:right="1239"/>
      </w:pPr>
      <w:r>
        <w:rPr/>
        <w:t>Massachusetts also is introducing new initiatives and delivery system reforms to assist in improving health coverage and equitable access to high quality care for Medicaid beneficiaries and other low-income individuals in the Commonwealth.</w:t>
      </w:r>
      <w:r>
        <w:rPr>
          <w:spacing w:val="40"/>
        </w:rPr>
        <w:t> </w:t>
      </w:r>
      <w:r>
        <w:rPr/>
        <w:t>In this approval, CMS is granting the Commonwealth’s</w:t>
      </w:r>
      <w:r>
        <w:rPr>
          <w:spacing w:val="-4"/>
        </w:rPr>
        <w:t> </w:t>
      </w:r>
      <w:r>
        <w:rPr/>
        <w:t>request</w:t>
      </w:r>
      <w:r>
        <w:rPr>
          <w:spacing w:val="-3"/>
        </w:rPr>
        <w:t> </w:t>
      </w:r>
      <w:r>
        <w:rPr/>
        <w:t>for</w:t>
      </w:r>
      <w:r>
        <w:rPr>
          <w:spacing w:val="-4"/>
        </w:rPr>
        <w:t> </w:t>
      </w:r>
      <w:r>
        <w:rPr/>
        <w:t>expenditure</w:t>
      </w:r>
      <w:r>
        <w:rPr>
          <w:spacing w:val="-4"/>
        </w:rPr>
        <w:t> </w:t>
      </w:r>
      <w:r>
        <w:rPr/>
        <w:t>authority</w:t>
      </w:r>
      <w:r>
        <w:rPr>
          <w:spacing w:val="-5"/>
        </w:rPr>
        <w:t> </w:t>
      </w:r>
      <w:r>
        <w:rPr/>
        <w:t>to</w:t>
      </w:r>
      <w:r>
        <w:rPr>
          <w:spacing w:val="-3"/>
        </w:rPr>
        <w:t> </w:t>
      </w:r>
      <w:r>
        <w:rPr/>
        <w:t>implement</w:t>
      </w:r>
      <w:r>
        <w:rPr>
          <w:spacing w:val="-3"/>
        </w:rPr>
        <w:t> </w:t>
      </w:r>
      <w:r>
        <w:rPr/>
        <w:t>an</w:t>
      </w:r>
      <w:r>
        <w:rPr>
          <w:spacing w:val="-3"/>
        </w:rPr>
        <w:t> </w:t>
      </w:r>
      <w:r>
        <w:rPr/>
        <w:t>innovative</w:t>
      </w:r>
      <w:r>
        <w:rPr>
          <w:spacing w:val="-4"/>
        </w:rPr>
        <w:t> </w:t>
      </w:r>
      <w:r>
        <w:rPr/>
        <w:t>Hospital</w:t>
      </w:r>
      <w:r>
        <w:rPr>
          <w:spacing w:val="-1"/>
        </w:rPr>
        <w:t> </w:t>
      </w:r>
      <w:r>
        <w:rPr/>
        <w:t>Quality and Equity Initiative for private acute care hospitals and the Commonwealth’s only non-state- owned public hospital, Cambridge Health Alliance.</w:t>
      </w:r>
      <w:r>
        <w:rPr>
          <w:spacing w:val="40"/>
        </w:rPr>
        <w:t> </w:t>
      </w:r>
      <w:r>
        <w:rPr/>
        <w:t>This initiative is a key component of the</w:t>
      </w:r>
    </w:p>
    <w:p>
      <w:pPr>
        <w:pStyle w:val="BodyText"/>
        <w:ind w:left="1440" w:right="1239"/>
      </w:pPr>
      <w:r>
        <w:rPr/>
        <w:t>Commonwealth’s</w:t>
      </w:r>
      <w:r>
        <w:rPr>
          <w:spacing w:val="-3"/>
        </w:rPr>
        <w:t> </w:t>
      </w:r>
      <w:r>
        <w:rPr/>
        <w:t>strategy</w:t>
      </w:r>
      <w:r>
        <w:rPr>
          <w:spacing w:val="-5"/>
        </w:rPr>
        <w:t> </w:t>
      </w:r>
      <w:r>
        <w:rPr/>
        <w:t>to</w:t>
      </w:r>
      <w:r>
        <w:rPr>
          <w:spacing w:val="-2"/>
        </w:rPr>
        <w:t> </w:t>
      </w:r>
      <w:r>
        <w:rPr/>
        <w:t>link</w:t>
      </w:r>
      <w:r>
        <w:rPr>
          <w:spacing w:val="-2"/>
        </w:rPr>
        <w:t> </w:t>
      </w:r>
      <w:r>
        <w:rPr/>
        <w:t>provider</w:t>
      </w:r>
      <w:r>
        <w:rPr>
          <w:spacing w:val="-2"/>
        </w:rPr>
        <w:t> </w:t>
      </w:r>
      <w:r>
        <w:rPr/>
        <w:t>payments</w:t>
      </w:r>
      <w:r>
        <w:rPr>
          <w:spacing w:val="-3"/>
        </w:rPr>
        <w:t> </w:t>
      </w:r>
      <w:r>
        <w:rPr/>
        <w:t>directly</w:t>
      </w:r>
      <w:r>
        <w:rPr>
          <w:spacing w:val="-7"/>
        </w:rPr>
        <w:t> </w:t>
      </w:r>
      <w:r>
        <w:rPr/>
        <w:t>to improving</w:t>
      </w:r>
      <w:r>
        <w:rPr>
          <w:spacing w:val="-3"/>
        </w:rPr>
        <w:t> </w:t>
      </w:r>
      <w:r>
        <w:rPr/>
        <w:t>the</w:t>
      </w:r>
      <w:r>
        <w:rPr>
          <w:spacing w:val="-2"/>
        </w:rPr>
        <w:t> </w:t>
      </w:r>
      <w:r>
        <w:rPr/>
        <w:t>quality</w:t>
      </w:r>
      <w:r>
        <w:rPr>
          <w:spacing w:val="-7"/>
        </w:rPr>
        <w:t> </w:t>
      </w:r>
      <w:r>
        <w:rPr/>
        <w:t>of</w:t>
      </w:r>
      <w:r>
        <w:rPr>
          <w:spacing w:val="-1"/>
        </w:rPr>
        <w:t> </w:t>
      </w:r>
      <w:r>
        <w:rPr/>
        <w:t>care</w:t>
      </w:r>
      <w:r>
        <w:rPr>
          <w:spacing w:val="-3"/>
        </w:rPr>
        <w:t> </w:t>
      </w:r>
      <w:r>
        <w:rPr/>
        <w:t>for all Medicaid beneficiaries.</w:t>
      </w:r>
      <w:r>
        <w:rPr>
          <w:spacing w:val="40"/>
        </w:rPr>
        <w:t> </w:t>
      </w:r>
      <w:r>
        <w:rPr/>
        <w:t>The initiative is expected to reduce health inequities by improving outcomes in populations that are likely to face barriers to quality health care.</w:t>
      </w:r>
      <w:r>
        <w:rPr>
          <w:spacing w:val="40"/>
        </w:rPr>
        <w:t> </w:t>
      </w:r>
      <w:r>
        <w:rPr/>
        <w:t>As such, the demonstration is likely to help improve quality of care and is also likely to reduce health disparities through this value-based care approach.</w:t>
      </w:r>
      <w:r>
        <w:rPr>
          <w:spacing w:val="40"/>
        </w:rPr>
        <w:t> </w:t>
      </w:r>
      <w:r>
        <w:rPr/>
        <w:t>CMS will authorize up to $400 million annually in expenditure authority for participating private acute care hospitals and up to $90 million annually in expenditure authority for the Cambridge Health Alliance to strengthen and improve care quality and health outcomes among Medicaid beneficiaries.</w:t>
      </w:r>
    </w:p>
    <w:p>
      <w:pPr>
        <w:spacing w:after="0"/>
        <w:sectPr>
          <w:pgSz w:w="12240" w:h="15840"/>
          <w:pgMar w:top="640" w:bottom="280" w:left="0" w:right="220"/>
        </w:sectPr>
      </w:pPr>
    </w:p>
    <w:p>
      <w:pPr>
        <w:pStyle w:val="BodyText"/>
        <w:spacing w:before="79"/>
        <w:ind w:right="1218"/>
        <w:jc w:val="right"/>
      </w:pPr>
      <w:r>
        <w:rPr/>
        <w:t>Page</w:t>
      </w:r>
      <w:r>
        <w:rPr>
          <w:spacing w:val="-7"/>
        </w:rPr>
        <w:t> </w:t>
      </w:r>
      <w:r>
        <w:rPr>
          <w:spacing w:val="-10"/>
        </w:rPr>
        <w:t>3</w:t>
      </w:r>
    </w:p>
    <w:p>
      <w:pPr>
        <w:pStyle w:val="BodyText"/>
        <w:spacing w:before="7"/>
        <w:rPr>
          <w:sz w:val="38"/>
        </w:rPr>
      </w:pPr>
    </w:p>
    <w:p>
      <w:pPr>
        <w:pStyle w:val="BodyText"/>
        <w:ind w:left="1440" w:right="1239"/>
      </w:pPr>
      <w:r>
        <w:rPr/>
        <w:t>This expenditure authority is expected to promote the objectives of the Medicaid program by enhancing</w:t>
      </w:r>
      <w:r>
        <w:rPr>
          <w:spacing w:val="-6"/>
        </w:rPr>
        <w:t> </w:t>
      </w:r>
      <w:r>
        <w:rPr/>
        <w:t>the</w:t>
      </w:r>
      <w:r>
        <w:rPr>
          <w:spacing w:val="-3"/>
        </w:rPr>
        <w:t> </w:t>
      </w:r>
      <w:r>
        <w:rPr/>
        <w:t>Commonwealth’s</w:t>
      </w:r>
      <w:r>
        <w:rPr>
          <w:spacing w:val="-4"/>
        </w:rPr>
        <w:t> </w:t>
      </w:r>
      <w:r>
        <w:rPr/>
        <w:t>ability</w:t>
      </w:r>
      <w:r>
        <w:rPr>
          <w:spacing w:val="-8"/>
        </w:rPr>
        <w:t> </w:t>
      </w:r>
      <w:r>
        <w:rPr/>
        <w:t>to</w:t>
      </w:r>
      <w:r>
        <w:rPr>
          <w:spacing w:val="-3"/>
        </w:rPr>
        <w:t> </w:t>
      </w:r>
      <w:r>
        <w:rPr/>
        <w:t>identify</w:t>
      </w:r>
      <w:r>
        <w:rPr>
          <w:spacing w:val="-6"/>
        </w:rPr>
        <w:t> </w:t>
      </w:r>
      <w:r>
        <w:rPr/>
        <w:t>substandard</w:t>
      </w:r>
      <w:r>
        <w:rPr>
          <w:spacing w:val="-3"/>
        </w:rPr>
        <w:t> </w:t>
      </w:r>
      <w:r>
        <w:rPr/>
        <w:t>health</w:t>
      </w:r>
      <w:r>
        <w:rPr>
          <w:spacing w:val="-3"/>
        </w:rPr>
        <w:t> </w:t>
      </w:r>
      <w:r>
        <w:rPr/>
        <w:t>outcomes</w:t>
      </w:r>
      <w:r>
        <w:rPr>
          <w:spacing w:val="-4"/>
        </w:rPr>
        <w:t> </w:t>
      </w:r>
      <w:r>
        <w:rPr/>
        <w:t>among</w:t>
      </w:r>
      <w:r>
        <w:rPr>
          <w:spacing w:val="-5"/>
        </w:rPr>
        <w:t> </w:t>
      </w:r>
      <w:r>
        <w:rPr/>
        <w:t>Medicaid beneficiaries and by incentivizing improvements to achieve consistent access to high-quality care.</w:t>
      </w:r>
      <w:r>
        <w:rPr>
          <w:spacing w:val="40"/>
        </w:rPr>
        <w:t> </w:t>
      </w:r>
      <w:r>
        <w:rPr/>
        <w:t>Participating hospitals will be incentivized to improve completeness of demographic data pertaining to their beneficiary populations, screening for health-related social needs, and improving health outcomes.</w:t>
      </w:r>
      <w:r>
        <w:rPr>
          <w:spacing w:val="40"/>
        </w:rPr>
        <w:t> </w:t>
      </w:r>
      <w:r>
        <w:rPr/>
        <w:t>Complete and accurate data are essential to understanding</w:t>
      </w:r>
    </w:p>
    <w:p>
      <w:pPr>
        <w:pStyle w:val="BodyText"/>
        <w:ind w:left="1440" w:right="1239"/>
      </w:pPr>
      <w:r>
        <w:rPr/>
        <w:t>beneficiaries’ access to quality care and any barriers and challenges, including geographic, demographic or other challenges that beneficiaries might experience in accessing high quality care and evaluating the effectiveness of the Hospital Quality</w:t>
      </w:r>
      <w:r>
        <w:rPr>
          <w:spacing w:val="-3"/>
        </w:rPr>
        <w:t> </w:t>
      </w:r>
      <w:r>
        <w:rPr/>
        <w:t>and Equity</w:t>
      </w:r>
      <w:r>
        <w:rPr>
          <w:spacing w:val="-1"/>
        </w:rPr>
        <w:t> </w:t>
      </w:r>
      <w:r>
        <w:rPr/>
        <w:t>Initiative to consistently provide</w:t>
      </w:r>
      <w:r>
        <w:rPr>
          <w:spacing w:val="-5"/>
        </w:rPr>
        <w:t> </w:t>
      </w:r>
      <w:r>
        <w:rPr/>
        <w:t>high</w:t>
      </w:r>
      <w:r>
        <w:rPr>
          <w:spacing w:val="-3"/>
        </w:rPr>
        <w:t> </w:t>
      </w:r>
      <w:r>
        <w:rPr/>
        <w:t>quality</w:t>
      </w:r>
      <w:r>
        <w:rPr>
          <w:spacing w:val="-8"/>
        </w:rPr>
        <w:t> </w:t>
      </w:r>
      <w:r>
        <w:rPr/>
        <w:t>care.</w:t>
      </w:r>
      <w:r>
        <w:rPr>
          <w:spacing w:val="40"/>
        </w:rPr>
        <w:t> </w:t>
      </w:r>
      <w:r>
        <w:rPr/>
        <w:t>Comprehensive</w:t>
      </w:r>
      <w:r>
        <w:rPr>
          <w:spacing w:val="-3"/>
        </w:rPr>
        <w:t> </w:t>
      </w:r>
      <w:r>
        <w:rPr/>
        <w:t>data</w:t>
      </w:r>
      <w:r>
        <w:rPr>
          <w:spacing w:val="-2"/>
        </w:rPr>
        <w:t> </w:t>
      </w:r>
      <w:r>
        <w:rPr/>
        <w:t>and</w:t>
      </w:r>
      <w:r>
        <w:rPr>
          <w:spacing w:val="-3"/>
        </w:rPr>
        <w:t> </w:t>
      </w:r>
      <w:r>
        <w:rPr/>
        <w:t>robust</w:t>
      </w:r>
      <w:r>
        <w:rPr>
          <w:spacing w:val="-3"/>
        </w:rPr>
        <w:t> </w:t>
      </w:r>
      <w:r>
        <w:rPr/>
        <w:t>analyses</w:t>
      </w:r>
      <w:r>
        <w:rPr>
          <w:spacing w:val="-3"/>
        </w:rPr>
        <w:t> </w:t>
      </w:r>
      <w:r>
        <w:rPr/>
        <w:t>will</w:t>
      </w:r>
      <w:r>
        <w:rPr>
          <w:spacing w:val="-3"/>
        </w:rPr>
        <w:t> </w:t>
      </w:r>
      <w:r>
        <w:rPr/>
        <w:t>help</w:t>
      </w:r>
      <w:r>
        <w:rPr>
          <w:spacing w:val="-3"/>
        </w:rPr>
        <w:t> </w:t>
      </w:r>
      <w:r>
        <w:rPr/>
        <w:t>inform</w:t>
      </w:r>
      <w:r>
        <w:rPr>
          <w:spacing w:val="-3"/>
        </w:rPr>
        <w:t> </w:t>
      </w:r>
      <w:r>
        <w:rPr/>
        <w:t>hospital</w:t>
      </w:r>
      <w:r>
        <w:rPr>
          <w:spacing w:val="-3"/>
        </w:rPr>
        <w:t> </w:t>
      </w:r>
      <w:r>
        <w:rPr/>
        <w:t>and community-level outreach and interventions, and can facilitate rewarding progress in improving quality</w:t>
      </w:r>
      <w:r>
        <w:rPr>
          <w:spacing w:val="-3"/>
        </w:rPr>
        <w:t> </w:t>
      </w:r>
      <w:r>
        <w:rPr/>
        <w:t>of care and health outcomes as evidenced by achieving defined targets over time.</w:t>
      </w:r>
      <w:r>
        <w:rPr>
          <w:spacing w:val="40"/>
        </w:rPr>
        <w:t> </w:t>
      </w:r>
      <w:r>
        <w:rPr/>
        <w:t>To the extent participating hospitals implement care delivery and other initiatives that succeed in improving the care that is furnished to Medicaid beneficiaries, including improving care to Medicaid populations experiencing health disparities, they are eligible to earn performance- based incentive payments based upon improvement on measures identified jointly by the Commonwealth and CMS.</w:t>
      </w:r>
      <w:r>
        <w:rPr>
          <w:spacing w:val="40"/>
        </w:rPr>
        <w:t> </w:t>
      </w:r>
      <w:r>
        <w:rPr/>
        <w:t>Participating hospitals also will be rewarded for successfully achieving</w:t>
      </w:r>
      <w:r>
        <w:rPr>
          <w:spacing w:val="-6"/>
        </w:rPr>
        <w:t> </w:t>
      </w:r>
      <w:r>
        <w:rPr/>
        <w:t>improvement</w:t>
      </w:r>
      <w:r>
        <w:rPr>
          <w:spacing w:val="-4"/>
        </w:rPr>
        <w:t> </w:t>
      </w:r>
      <w:r>
        <w:rPr/>
        <w:t>in</w:t>
      </w:r>
      <w:r>
        <w:rPr>
          <w:spacing w:val="-4"/>
        </w:rPr>
        <w:t> </w:t>
      </w:r>
      <w:r>
        <w:rPr/>
        <w:t>building</w:t>
      </w:r>
      <w:r>
        <w:rPr>
          <w:spacing w:val="-5"/>
        </w:rPr>
        <w:t> </w:t>
      </w:r>
      <w:r>
        <w:rPr/>
        <w:t>organizational/workforce</w:t>
      </w:r>
      <w:r>
        <w:rPr>
          <w:spacing w:val="-4"/>
        </w:rPr>
        <w:t> </w:t>
      </w:r>
      <w:r>
        <w:rPr/>
        <w:t>competence</w:t>
      </w:r>
      <w:r>
        <w:rPr>
          <w:spacing w:val="-4"/>
        </w:rPr>
        <w:t> </w:t>
      </w:r>
      <w:r>
        <w:rPr/>
        <w:t>to</w:t>
      </w:r>
      <w:r>
        <w:rPr>
          <w:spacing w:val="-4"/>
        </w:rPr>
        <w:t> </w:t>
      </w:r>
      <w:r>
        <w:rPr/>
        <w:t>enhance</w:t>
      </w:r>
      <w:r>
        <w:rPr>
          <w:spacing w:val="-4"/>
        </w:rPr>
        <w:t> </w:t>
      </w:r>
      <w:r>
        <w:rPr/>
        <w:t>their</w:t>
      </w:r>
      <w:r>
        <w:rPr>
          <w:spacing w:val="-4"/>
        </w:rPr>
        <w:t> </w:t>
      </w:r>
      <w:r>
        <w:rPr/>
        <w:t>ability to provide accessible and culturally appropriate services based upon health status and health needs, and thereby more effectively address gaps in access to and quality of care.</w:t>
      </w:r>
      <w:r>
        <w:rPr>
          <w:spacing w:val="40"/>
        </w:rPr>
        <w:t> </w:t>
      </w:r>
      <w:r>
        <w:rPr/>
        <w:t>Participating hospitals also will implement clinical and delivery system performance initiatives targeted at driving improvement in health outcomes and reduction in health disparities that are inconsistent with the delivery of high-quality care to all Medicaid beneficiaries.</w:t>
      </w:r>
    </w:p>
    <w:p>
      <w:pPr>
        <w:pStyle w:val="BodyText"/>
        <w:spacing w:before="1"/>
      </w:pPr>
    </w:p>
    <w:p>
      <w:pPr>
        <w:pStyle w:val="BodyText"/>
        <w:ind w:left="1440" w:right="1290"/>
        <w:jc w:val="both"/>
      </w:pPr>
      <w:r>
        <w:rPr/>
        <w:t>Section</w:t>
      </w:r>
      <w:r>
        <w:rPr>
          <w:spacing w:val="-2"/>
        </w:rPr>
        <w:t> </w:t>
      </w:r>
      <w:r>
        <w:rPr/>
        <w:t>1901</w:t>
      </w:r>
      <w:r>
        <w:rPr>
          <w:spacing w:val="-2"/>
        </w:rPr>
        <w:t> </w:t>
      </w:r>
      <w:r>
        <w:rPr/>
        <w:t>of</w:t>
      </w:r>
      <w:r>
        <w:rPr>
          <w:spacing w:val="-2"/>
        </w:rPr>
        <w:t> </w:t>
      </w:r>
      <w:r>
        <w:rPr/>
        <w:t>the</w:t>
      </w:r>
      <w:r>
        <w:rPr>
          <w:spacing w:val="-4"/>
        </w:rPr>
        <w:t> </w:t>
      </w:r>
      <w:r>
        <w:rPr/>
        <w:t>Act makes</w:t>
      </w:r>
      <w:r>
        <w:rPr>
          <w:spacing w:val="-3"/>
        </w:rPr>
        <w:t> </w:t>
      </w:r>
      <w:r>
        <w:rPr/>
        <w:t>clear</w:t>
      </w:r>
      <w:r>
        <w:rPr>
          <w:spacing w:val="-2"/>
        </w:rPr>
        <w:t> </w:t>
      </w:r>
      <w:r>
        <w:rPr/>
        <w:t>that</w:t>
      </w:r>
      <w:r>
        <w:rPr>
          <w:spacing w:val="-2"/>
        </w:rPr>
        <w:t> </w:t>
      </w:r>
      <w:r>
        <w:rPr/>
        <w:t>a</w:t>
      </w:r>
      <w:r>
        <w:rPr>
          <w:spacing w:val="-2"/>
        </w:rPr>
        <w:t> </w:t>
      </w:r>
      <w:r>
        <w:rPr/>
        <w:t>core</w:t>
      </w:r>
      <w:r>
        <w:rPr>
          <w:spacing w:val="-4"/>
        </w:rPr>
        <w:t> </w:t>
      </w:r>
      <w:r>
        <w:rPr/>
        <w:t>purpose</w:t>
      </w:r>
      <w:r>
        <w:rPr>
          <w:spacing w:val="-4"/>
        </w:rPr>
        <w:t> </w:t>
      </w:r>
      <w:r>
        <w:rPr/>
        <w:t>of</w:t>
      </w:r>
      <w:r>
        <w:rPr>
          <w:spacing w:val="-2"/>
        </w:rPr>
        <w:t> </w:t>
      </w:r>
      <w:r>
        <w:rPr/>
        <w:t>Medicaid</w:t>
      </w:r>
      <w:r>
        <w:rPr>
          <w:spacing w:val="-2"/>
        </w:rPr>
        <w:t> </w:t>
      </w:r>
      <w:r>
        <w:rPr/>
        <w:t>is</w:t>
      </w:r>
      <w:r>
        <w:rPr>
          <w:spacing w:val="-3"/>
        </w:rPr>
        <w:t> </w:t>
      </w:r>
      <w:r>
        <w:rPr/>
        <w:t>to</w:t>
      </w:r>
      <w:r>
        <w:rPr>
          <w:spacing w:val="-2"/>
        </w:rPr>
        <w:t> </w:t>
      </w:r>
      <w:r>
        <w:rPr/>
        <w:t>“enabl[e]</w:t>
      </w:r>
      <w:r>
        <w:rPr>
          <w:spacing w:val="-1"/>
        </w:rPr>
        <w:t> </w:t>
      </w:r>
      <w:r>
        <w:rPr/>
        <w:t>each</w:t>
      </w:r>
      <w:r>
        <w:rPr>
          <w:spacing w:val="-2"/>
        </w:rPr>
        <w:t> </w:t>
      </w:r>
      <w:r>
        <w:rPr/>
        <w:t>State</w:t>
      </w:r>
      <w:r>
        <w:rPr>
          <w:spacing w:val="-3"/>
        </w:rPr>
        <w:t> </w:t>
      </w:r>
      <w:r>
        <w:rPr/>
        <w:t>... to</w:t>
      </w:r>
      <w:r>
        <w:rPr>
          <w:spacing w:val="-3"/>
        </w:rPr>
        <w:t> </w:t>
      </w:r>
      <w:r>
        <w:rPr/>
        <w:t>furnish</w:t>
      </w:r>
      <w:r>
        <w:rPr>
          <w:spacing w:val="-3"/>
        </w:rPr>
        <w:t> </w:t>
      </w:r>
      <w:r>
        <w:rPr/>
        <w:t>...</w:t>
      </w:r>
      <w:r>
        <w:rPr>
          <w:spacing w:val="-3"/>
        </w:rPr>
        <w:t> </w:t>
      </w:r>
      <w:r>
        <w:rPr/>
        <w:t>medical</w:t>
      </w:r>
      <w:r>
        <w:rPr>
          <w:spacing w:val="-3"/>
        </w:rPr>
        <w:t> </w:t>
      </w:r>
      <w:r>
        <w:rPr/>
        <w:t>assistance</w:t>
      </w:r>
      <w:r>
        <w:rPr>
          <w:spacing w:val="-4"/>
        </w:rPr>
        <w:t> </w:t>
      </w:r>
      <w:r>
        <w:rPr/>
        <w:t>on</w:t>
      </w:r>
      <w:r>
        <w:rPr>
          <w:spacing w:val="-3"/>
        </w:rPr>
        <w:t> </w:t>
      </w:r>
      <w:r>
        <w:rPr/>
        <w:t>behalf</w:t>
      </w:r>
      <w:r>
        <w:rPr>
          <w:spacing w:val="-3"/>
        </w:rPr>
        <w:t> </w:t>
      </w:r>
      <w:r>
        <w:rPr/>
        <w:t>of</w:t>
      </w:r>
      <w:r>
        <w:rPr>
          <w:spacing w:val="-4"/>
        </w:rPr>
        <w:t> </w:t>
      </w:r>
      <w:r>
        <w:rPr/>
        <w:t>families</w:t>
      </w:r>
      <w:r>
        <w:rPr>
          <w:spacing w:val="-3"/>
        </w:rPr>
        <w:t> </w:t>
      </w:r>
      <w:r>
        <w:rPr/>
        <w:t>with</w:t>
      </w:r>
      <w:r>
        <w:rPr>
          <w:spacing w:val="-3"/>
        </w:rPr>
        <w:t> </w:t>
      </w:r>
      <w:r>
        <w:rPr/>
        <w:t>dependent</w:t>
      </w:r>
      <w:r>
        <w:rPr>
          <w:spacing w:val="-3"/>
        </w:rPr>
        <w:t> </w:t>
      </w:r>
      <w:r>
        <w:rPr/>
        <w:t>children</w:t>
      </w:r>
      <w:r>
        <w:rPr>
          <w:spacing w:val="-3"/>
        </w:rPr>
        <w:t> </w:t>
      </w:r>
      <w:r>
        <w:rPr/>
        <w:t>and</w:t>
      </w:r>
      <w:r>
        <w:rPr>
          <w:spacing w:val="-3"/>
        </w:rPr>
        <w:t> </w:t>
      </w:r>
      <w:r>
        <w:rPr/>
        <w:t>of</w:t>
      </w:r>
      <w:r>
        <w:rPr>
          <w:spacing w:val="-4"/>
        </w:rPr>
        <w:t> </w:t>
      </w:r>
      <w:r>
        <w:rPr/>
        <w:t>aged,</w:t>
      </w:r>
      <w:r>
        <w:rPr>
          <w:spacing w:val="-3"/>
        </w:rPr>
        <w:t> </w:t>
      </w:r>
      <w:r>
        <w:rPr/>
        <w:t>blind, or disabled individuals, whose income and resources are insufficient to meet the costs of</w:t>
      </w:r>
    </w:p>
    <w:p>
      <w:pPr>
        <w:pStyle w:val="BodyText"/>
        <w:spacing w:before="1"/>
        <w:ind w:left="1440" w:right="1315"/>
      </w:pPr>
      <w:r>
        <w:rPr/>
        <w:t>necessary medical services[.]” The new Hospital Quality and Equity Initiative aims to improve the quality of medical assistance furnished to these individuals, thereby more meaningfully achieving</w:t>
      </w:r>
      <w:r>
        <w:rPr>
          <w:spacing w:val="-5"/>
        </w:rPr>
        <w:t> </w:t>
      </w:r>
      <w:r>
        <w:rPr/>
        <w:t>the</w:t>
      </w:r>
      <w:r>
        <w:rPr>
          <w:spacing w:val="-2"/>
        </w:rPr>
        <w:t> </w:t>
      </w:r>
      <w:r>
        <w:rPr/>
        <w:t>core</w:t>
      </w:r>
      <w:r>
        <w:rPr>
          <w:spacing w:val="-4"/>
        </w:rPr>
        <w:t> </w:t>
      </w:r>
      <w:r>
        <w:rPr/>
        <w:t>purpose</w:t>
      </w:r>
      <w:r>
        <w:rPr>
          <w:spacing w:val="-3"/>
        </w:rPr>
        <w:t> </w:t>
      </w:r>
      <w:r>
        <w:rPr/>
        <w:t>stated</w:t>
      </w:r>
      <w:r>
        <w:rPr>
          <w:spacing w:val="-2"/>
        </w:rPr>
        <w:t> </w:t>
      </w:r>
      <w:r>
        <w:rPr/>
        <w:t>in</w:t>
      </w:r>
      <w:r>
        <w:rPr>
          <w:spacing w:val="-2"/>
        </w:rPr>
        <w:t> </w:t>
      </w:r>
      <w:r>
        <w:rPr/>
        <w:t>section</w:t>
      </w:r>
      <w:r>
        <w:rPr>
          <w:spacing w:val="-2"/>
        </w:rPr>
        <w:t> </w:t>
      </w:r>
      <w:r>
        <w:rPr/>
        <w:t>1901 of</w:t>
      </w:r>
      <w:r>
        <w:rPr>
          <w:spacing w:val="-2"/>
        </w:rPr>
        <w:t> </w:t>
      </w:r>
      <w:r>
        <w:rPr/>
        <w:t>the</w:t>
      </w:r>
      <w:r>
        <w:rPr>
          <w:spacing w:val="-4"/>
        </w:rPr>
        <w:t> </w:t>
      </w:r>
      <w:r>
        <w:rPr/>
        <w:t>Act.</w:t>
      </w:r>
      <w:r>
        <w:rPr>
          <w:spacing w:val="40"/>
        </w:rPr>
        <w:t> </w:t>
      </w:r>
      <w:r>
        <w:rPr/>
        <w:t>This</w:t>
      </w:r>
      <w:r>
        <w:rPr>
          <w:spacing w:val="-2"/>
        </w:rPr>
        <w:t> </w:t>
      </w:r>
      <w:r>
        <w:rPr/>
        <w:t>new</w:t>
      </w:r>
      <w:r>
        <w:rPr>
          <w:spacing w:val="-2"/>
        </w:rPr>
        <w:t> </w:t>
      </w:r>
      <w:r>
        <w:rPr/>
        <w:t>initiative</w:t>
      </w:r>
      <w:r>
        <w:rPr>
          <w:spacing w:val="-2"/>
        </w:rPr>
        <w:t> </w:t>
      </w:r>
      <w:r>
        <w:rPr/>
        <w:t>is</w:t>
      </w:r>
      <w:r>
        <w:rPr>
          <w:spacing w:val="-2"/>
        </w:rPr>
        <w:t> </w:t>
      </w:r>
      <w:r>
        <w:rPr/>
        <w:t>also</w:t>
      </w:r>
      <w:r>
        <w:rPr>
          <w:spacing w:val="-2"/>
        </w:rPr>
        <w:t> </w:t>
      </w:r>
      <w:r>
        <w:rPr/>
        <w:t>likely</w:t>
      </w:r>
      <w:r>
        <w:rPr>
          <w:spacing w:val="-7"/>
        </w:rPr>
        <w:t> </w:t>
      </w:r>
      <w:r>
        <w:rPr/>
        <w:t>to assist in promoting Medicaid statutory objectives by helping to ensure that Massachusetts furnishes high-quality medical assistance to demonstration beneficiaries, regardless of their background and circumstances.</w:t>
      </w:r>
      <w:r>
        <w:rPr>
          <w:spacing w:val="40"/>
        </w:rPr>
        <w:t> </w:t>
      </w:r>
      <w:r>
        <w:rPr/>
        <w:t>In this way, the demonstration is also expected to narrow gaps in health disparities between demonstration subpopulations in availability of and access to quality</w:t>
      </w:r>
      <w:r>
        <w:rPr>
          <w:spacing w:val="-7"/>
        </w:rPr>
        <w:t> </w:t>
      </w:r>
      <w:r>
        <w:rPr/>
        <w:t>health</w:t>
      </w:r>
      <w:r>
        <w:rPr>
          <w:spacing w:val="-2"/>
        </w:rPr>
        <w:t> </w:t>
      </w:r>
      <w:r>
        <w:rPr/>
        <w:t>care.</w:t>
      </w:r>
      <w:r>
        <w:rPr>
          <w:spacing w:val="40"/>
        </w:rPr>
        <w:t> </w:t>
      </w:r>
      <w:r>
        <w:rPr/>
        <w:t>Section</w:t>
      </w:r>
      <w:r>
        <w:rPr>
          <w:spacing w:val="-2"/>
        </w:rPr>
        <w:t> </w:t>
      </w:r>
      <w:r>
        <w:rPr/>
        <w:t>1902(a)(30)(A)</w:t>
      </w:r>
      <w:r>
        <w:rPr>
          <w:spacing w:val="-4"/>
        </w:rPr>
        <w:t> </w:t>
      </w:r>
      <w:r>
        <w:rPr/>
        <w:t>of</w:t>
      </w:r>
      <w:r>
        <w:rPr>
          <w:spacing w:val="-2"/>
        </w:rPr>
        <w:t> </w:t>
      </w:r>
      <w:r>
        <w:rPr/>
        <w:t>the</w:t>
      </w:r>
      <w:r>
        <w:rPr>
          <w:spacing w:val="-2"/>
        </w:rPr>
        <w:t> </w:t>
      </w:r>
      <w:r>
        <w:rPr/>
        <w:t>Act,</w:t>
      </w:r>
      <w:r>
        <w:rPr>
          <w:spacing w:val="-2"/>
        </w:rPr>
        <w:t> </w:t>
      </w:r>
      <w:r>
        <w:rPr/>
        <w:t>among</w:t>
      </w:r>
      <w:r>
        <w:rPr>
          <w:spacing w:val="-5"/>
        </w:rPr>
        <w:t> </w:t>
      </w:r>
      <w:r>
        <w:rPr/>
        <w:t>other</w:t>
      </w:r>
      <w:r>
        <w:rPr>
          <w:spacing w:val="-4"/>
        </w:rPr>
        <w:t> </w:t>
      </w:r>
      <w:r>
        <w:rPr/>
        <w:t>requirements,</w:t>
      </w:r>
      <w:r>
        <w:rPr>
          <w:spacing w:val="-2"/>
        </w:rPr>
        <w:t> </w:t>
      </w:r>
      <w:r>
        <w:rPr/>
        <w:t>provides that state</w:t>
      </w:r>
      <w:r>
        <w:rPr>
          <w:spacing w:val="-1"/>
        </w:rPr>
        <w:t> </w:t>
      </w:r>
      <w:r>
        <w:rPr/>
        <w:t>payments for covered services must be consistent with efficiency, economy, and quality</w:t>
      </w:r>
      <w:r>
        <w:rPr>
          <w:spacing w:val="-5"/>
        </w:rPr>
        <w:t> </w:t>
      </w:r>
      <w:r>
        <w:rPr/>
        <w:t>of care.</w:t>
      </w:r>
      <w:r>
        <w:rPr>
          <w:spacing w:val="40"/>
        </w:rPr>
        <w:t> </w:t>
      </w:r>
      <w:r>
        <w:rPr/>
        <w:t>Section 1902(a)(19) of the Act separately</w:t>
      </w:r>
      <w:r>
        <w:rPr>
          <w:spacing w:val="-1"/>
        </w:rPr>
        <w:t> </w:t>
      </w:r>
      <w:r>
        <w:rPr/>
        <w:t>recognizes the objectives of providing care and services consistent with the best interests of beneficiaries.</w:t>
      </w:r>
      <w:r>
        <w:rPr>
          <w:spacing w:val="40"/>
        </w:rPr>
        <w:t> </w:t>
      </w:r>
      <w:r>
        <w:rPr/>
        <w:t>These longstanding, important Medicaid statutory provisions demonstrate Congressional intent to ensure that high-quality Medicaid services be accessible to all beneficiaries.</w:t>
      </w:r>
      <w:r>
        <w:rPr>
          <w:spacing w:val="40"/>
        </w:rPr>
        <w:t> </w:t>
      </w:r>
      <w:r>
        <w:rPr/>
        <w:t>Other provisions of the Act highlight the importance of Medicaid beneficiaries receiving high quality and effective care, and the critical importance of measurement of quality of care and beneficiary health outcomes, among other measures.</w:t>
      </w:r>
      <w:r>
        <w:rPr>
          <w:spacing w:val="40"/>
        </w:rPr>
        <w:t> </w:t>
      </w:r>
      <w:r>
        <w:rPr/>
        <w:t>For example, sections 1139A and 1139B of the Act require the development of core sets of quality measures for children and adults enrolled in Medicaid, respectively.</w:t>
      </w:r>
      <w:r>
        <w:rPr>
          <w:spacing w:val="40"/>
        </w:rPr>
        <w:t> </w:t>
      </w:r>
      <w:r>
        <w:rPr/>
        <w:t>Initiatives like the Hospital Quality and Equity Initiative that include financial incentives for both improving quality of care and reducing health disparities are likely to be more effective and</w:t>
      </w:r>
    </w:p>
    <w:p>
      <w:pPr>
        <w:spacing w:after="0"/>
        <w:sectPr>
          <w:pgSz w:w="12240" w:h="15840"/>
          <w:pgMar w:top="640" w:bottom="280" w:left="0" w:right="220"/>
        </w:sectPr>
      </w:pPr>
    </w:p>
    <w:p>
      <w:pPr>
        <w:pStyle w:val="BodyText"/>
        <w:spacing w:before="79"/>
        <w:ind w:right="1218"/>
        <w:jc w:val="right"/>
      </w:pPr>
      <w:r>
        <w:rPr/>
        <w:t>Page</w:t>
      </w:r>
      <w:r>
        <w:rPr>
          <w:spacing w:val="-7"/>
        </w:rPr>
        <w:t> </w:t>
      </w:r>
      <w:r>
        <w:rPr>
          <w:spacing w:val="-10"/>
        </w:rPr>
        <w:t>4</w:t>
      </w:r>
    </w:p>
    <w:p>
      <w:pPr>
        <w:pStyle w:val="BodyText"/>
        <w:spacing w:before="7"/>
        <w:rPr>
          <w:sz w:val="38"/>
        </w:rPr>
      </w:pPr>
    </w:p>
    <w:p>
      <w:pPr>
        <w:pStyle w:val="BodyText"/>
        <w:ind w:left="1440" w:right="1298"/>
      </w:pPr>
      <w:r>
        <w:rPr/>
        <w:t>meaningful</w:t>
      </w:r>
      <w:r>
        <w:rPr>
          <w:spacing w:val="-3"/>
        </w:rPr>
        <w:t> </w:t>
      </w:r>
      <w:r>
        <w:rPr/>
        <w:t>for</w:t>
      </w:r>
      <w:r>
        <w:rPr>
          <w:spacing w:val="-5"/>
        </w:rPr>
        <w:t> </w:t>
      </w:r>
      <w:r>
        <w:rPr/>
        <w:t>achieving</w:t>
      </w:r>
      <w:r>
        <w:rPr>
          <w:spacing w:val="-3"/>
        </w:rPr>
        <w:t> </w:t>
      </w:r>
      <w:r>
        <w:rPr/>
        <w:t>improvements</w:t>
      </w:r>
      <w:r>
        <w:rPr>
          <w:spacing w:val="-3"/>
        </w:rPr>
        <w:t> </w:t>
      </w:r>
      <w:r>
        <w:rPr/>
        <w:t>in</w:t>
      </w:r>
      <w:r>
        <w:rPr>
          <w:spacing w:val="-3"/>
        </w:rPr>
        <w:t> </w:t>
      </w:r>
      <w:r>
        <w:rPr/>
        <w:t>quality</w:t>
      </w:r>
      <w:r>
        <w:rPr>
          <w:spacing w:val="-6"/>
        </w:rPr>
        <w:t> </w:t>
      </w:r>
      <w:r>
        <w:rPr/>
        <w:t>of</w:t>
      </w:r>
      <w:r>
        <w:rPr>
          <w:spacing w:val="-3"/>
        </w:rPr>
        <w:t> </w:t>
      </w:r>
      <w:r>
        <w:rPr/>
        <w:t>care,</w:t>
      </w:r>
      <w:r>
        <w:rPr>
          <w:spacing w:val="-3"/>
        </w:rPr>
        <w:t> </w:t>
      </w:r>
      <w:r>
        <w:rPr/>
        <w:t>since</w:t>
      </w:r>
      <w:r>
        <w:rPr>
          <w:spacing w:val="-5"/>
        </w:rPr>
        <w:t> </w:t>
      </w:r>
      <w:r>
        <w:rPr/>
        <w:t>otherwise,</w:t>
      </w:r>
      <w:r>
        <w:rPr>
          <w:spacing w:val="-2"/>
        </w:rPr>
        <w:t> </w:t>
      </w:r>
      <w:r>
        <w:rPr/>
        <w:t>quality</w:t>
      </w:r>
      <w:r>
        <w:rPr>
          <w:spacing w:val="-8"/>
        </w:rPr>
        <w:t> </w:t>
      </w:r>
      <w:r>
        <w:rPr/>
        <w:t>improvement efforts might risk leading to unintended results of increasing health disparities.</w:t>
      </w:r>
      <w:r>
        <w:rPr>
          <w:vertAlign w:val="superscript"/>
        </w:rPr>
        <w:t>1</w:t>
      </w:r>
      <w:r>
        <w:rPr>
          <w:spacing w:val="40"/>
          <w:vertAlign w:val="baseline"/>
        </w:rPr>
        <w:t> </w:t>
      </w:r>
      <w:r>
        <w:rPr>
          <w:vertAlign w:val="baseline"/>
        </w:rPr>
        <w:t>Accordingly, the Hospital Quality and Equity Initiative is likely to assist in promoting the objectives of Medicaid by</w:t>
      </w:r>
      <w:r>
        <w:rPr>
          <w:spacing w:val="-5"/>
          <w:vertAlign w:val="baseline"/>
        </w:rPr>
        <w:t> </w:t>
      </w:r>
      <w:r>
        <w:rPr>
          <w:vertAlign w:val="baseline"/>
        </w:rPr>
        <w:t>incentivizing</w:t>
      </w:r>
      <w:r>
        <w:rPr>
          <w:spacing w:val="-2"/>
          <w:vertAlign w:val="baseline"/>
        </w:rPr>
        <w:t> </w:t>
      </w:r>
      <w:r>
        <w:rPr>
          <w:vertAlign w:val="baseline"/>
        </w:rPr>
        <w:t>improved quality</w:t>
      </w:r>
      <w:r>
        <w:rPr>
          <w:spacing w:val="-5"/>
          <w:vertAlign w:val="baseline"/>
        </w:rPr>
        <w:t> </w:t>
      </w:r>
      <w:r>
        <w:rPr>
          <w:vertAlign w:val="baseline"/>
        </w:rPr>
        <w:t>and health outcomes.</w:t>
      </w:r>
      <w:r>
        <w:rPr>
          <w:spacing w:val="40"/>
          <w:vertAlign w:val="baseline"/>
        </w:rPr>
        <w:t> </w:t>
      </w:r>
      <w:r>
        <w:rPr>
          <w:vertAlign w:val="baseline"/>
        </w:rPr>
        <w:t>The Initiative is also likely</w:t>
      </w:r>
      <w:r>
        <w:rPr>
          <w:spacing w:val="-5"/>
          <w:vertAlign w:val="baseline"/>
        </w:rPr>
        <w:t> </w:t>
      </w:r>
      <w:r>
        <w:rPr>
          <w:vertAlign w:val="baseline"/>
        </w:rPr>
        <w:t>to help improve provision of care that best meets the needs of beneficiaries, regardless of their backgrounds or circumstances.</w:t>
      </w:r>
    </w:p>
    <w:p>
      <w:pPr>
        <w:pStyle w:val="BodyText"/>
      </w:pPr>
    </w:p>
    <w:p>
      <w:pPr>
        <w:pStyle w:val="BodyText"/>
        <w:ind w:left="1440" w:right="1494"/>
        <w:jc w:val="both"/>
      </w:pPr>
      <w:r>
        <w:rPr/>
        <w:t>CMS</w:t>
      </w:r>
      <w:r>
        <w:rPr>
          <w:spacing w:val="-1"/>
        </w:rPr>
        <w:t> </w:t>
      </w:r>
      <w:r>
        <w:rPr/>
        <w:t>also</w:t>
      </w:r>
      <w:r>
        <w:rPr>
          <w:spacing w:val="-2"/>
        </w:rPr>
        <w:t> </w:t>
      </w:r>
      <w:r>
        <w:rPr/>
        <w:t>is</w:t>
      </w:r>
      <w:r>
        <w:rPr>
          <w:spacing w:val="-2"/>
        </w:rPr>
        <w:t> </w:t>
      </w:r>
      <w:r>
        <w:rPr/>
        <w:t>authorizing</w:t>
      </w:r>
      <w:r>
        <w:rPr>
          <w:spacing w:val="-4"/>
        </w:rPr>
        <w:t> </w:t>
      </w:r>
      <w:r>
        <w:rPr/>
        <w:t>Massachusetts</w:t>
      </w:r>
      <w:r>
        <w:rPr>
          <w:spacing w:val="-1"/>
        </w:rPr>
        <w:t> </w:t>
      </w:r>
      <w:r>
        <w:rPr/>
        <w:t>to</w:t>
      </w:r>
      <w:r>
        <w:rPr>
          <w:spacing w:val="-2"/>
        </w:rPr>
        <w:t> </w:t>
      </w:r>
      <w:r>
        <w:rPr/>
        <w:t>provide</w:t>
      </w:r>
      <w:r>
        <w:rPr>
          <w:spacing w:val="-1"/>
        </w:rPr>
        <w:t> </w:t>
      </w:r>
      <w:r>
        <w:rPr/>
        <w:t>or</w:t>
      </w:r>
      <w:r>
        <w:rPr>
          <w:spacing w:val="-2"/>
        </w:rPr>
        <w:t> </w:t>
      </w:r>
      <w:r>
        <w:rPr/>
        <w:t>increase</w:t>
      </w:r>
      <w:r>
        <w:rPr>
          <w:spacing w:val="-3"/>
        </w:rPr>
        <w:t> </w:t>
      </w:r>
      <w:r>
        <w:rPr/>
        <w:t>coverage</w:t>
      </w:r>
      <w:r>
        <w:rPr>
          <w:spacing w:val="-3"/>
        </w:rPr>
        <w:t> </w:t>
      </w:r>
      <w:r>
        <w:rPr/>
        <w:t>of</w:t>
      </w:r>
      <w:r>
        <w:rPr>
          <w:spacing w:val="-1"/>
        </w:rPr>
        <w:t> </w:t>
      </w:r>
      <w:r>
        <w:rPr/>
        <w:t>certain</w:t>
      </w:r>
      <w:r>
        <w:rPr>
          <w:spacing w:val="-2"/>
        </w:rPr>
        <w:t> </w:t>
      </w:r>
      <w:r>
        <w:rPr/>
        <w:t>services</w:t>
      </w:r>
      <w:r>
        <w:rPr>
          <w:spacing w:val="-2"/>
        </w:rPr>
        <w:t> </w:t>
      </w:r>
      <w:r>
        <w:rPr/>
        <w:t>that address</w:t>
      </w:r>
      <w:r>
        <w:rPr>
          <w:spacing w:val="-4"/>
        </w:rPr>
        <w:t> </w:t>
      </w:r>
      <w:r>
        <w:rPr/>
        <w:t>health</w:t>
      </w:r>
      <w:r>
        <w:rPr>
          <w:spacing w:val="-4"/>
        </w:rPr>
        <w:t> </w:t>
      </w:r>
      <w:r>
        <w:rPr/>
        <w:t>related</w:t>
      </w:r>
      <w:r>
        <w:rPr>
          <w:spacing w:val="-4"/>
        </w:rPr>
        <w:t> </w:t>
      </w:r>
      <w:r>
        <w:rPr/>
        <w:t>social</w:t>
      </w:r>
      <w:r>
        <w:rPr>
          <w:spacing w:val="-4"/>
        </w:rPr>
        <w:t> </w:t>
      </w:r>
      <w:r>
        <w:rPr/>
        <w:t>needs</w:t>
      </w:r>
      <w:r>
        <w:rPr>
          <w:spacing w:val="-4"/>
        </w:rPr>
        <w:t> </w:t>
      </w:r>
      <w:r>
        <w:rPr/>
        <w:t>(HRSN).</w:t>
      </w:r>
      <w:r>
        <w:rPr>
          <w:spacing w:val="40"/>
        </w:rPr>
        <w:t> </w:t>
      </w:r>
      <w:r>
        <w:rPr/>
        <w:t>CMS</w:t>
      </w:r>
      <w:r>
        <w:rPr>
          <w:spacing w:val="-4"/>
        </w:rPr>
        <w:t> </w:t>
      </w:r>
      <w:r>
        <w:rPr/>
        <w:t>is</w:t>
      </w:r>
      <w:r>
        <w:rPr>
          <w:spacing w:val="-4"/>
        </w:rPr>
        <w:t> </w:t>
      </w:r>
      <w:r>
        <w:rPr/>
        <w:t>authorizing</w:t>
      </w:r>
      <w:r>
        <w:rPr>
          <w:spacing w:val="-6"/>
        </w:rPr>
        <w:t> </w:t>
      </w:r>
      <w:r>
        <w:rPr/>
        <w:t>increased</w:t>
      </w:r>
      <w:r>
        <w:rPr>
          <w:spacing w:val="-4"/>
        </w:rPr>
        <w:t> </w:t>
      </w:r>
      <w:r>
        <w:rPr/>
        <w:t>coverage</w:t>
      </w:r>
      <w:r>
        <w:rPr>
          <w:spacing w:val="-5"/>
        </w:rPr>
        <w:t> </w:t>
      </w:r>
      <w:r>
        <w:rPr/>
        <w:t>of</w:t>
      </w:r>
      <w:r>
        <w:rPr>
          <w:spacing w:val="-3"/>
        </w:rPr>
        <w:t> </w:t>
      </w:r>
      <w:r>
        <w:rPr/>
        <w:t>certain services that address HRSN, as evidence indicates that these HRSN are a critical driver of an</w:t>
      </w:r>
    </w:p>
    <w:p>
      <w:pPr>
        <w:pStyle w:val="BodyText"/>
        <w:spacing w:before="1"/>
        <w:ind w:left="1440" w:right="1239"/>
      </w:pPr>
      <w:r>
        <w:rPr/>
        <w:t>individual’s</w:t>
      </w:r>
      <w:r>
        <w:rPr>
          <w:spacing w:val="-5"/>
        </w:rPr>
        <w:t> </w:t>
      </w:r>
      <w:r>
        <w:rPr/>
        <w:t>health</w:t>
      </w:r>
      <w:r>
        <w:rPr>
          <w:spacing w:val="-4"/>
        </w:rPr>
        <w:t> </w:t>
      </w:r>
      <w:r>
        <w:rPr/>
        <w:t>outcomes.</w:t>
      </w:r>
      <w:r>
        <w:rPr>
          <w:vertAlign w:val="superscript"/>
        </w:rPr>
        <w:t>2,3</w:t>
      </w:r>
      <w:r>
        <w:rPr>
          <w:spacing w:val="40"/>
          <w:vertAlign w:val="baseline"/>
        </w:rPr>
        <w:t> </w:t>
      </w:r>
      <w:r>
        <w:rPr>
          <w:vertAlign w:val="baseline"/>
        </w:rPr>
        <w:t>These</w:t>
      </w:r>
      <w:r>
        <w:rPr>
          <w:spacing w:val="-5"/>
          <w:vertAlign w:val="baseline"/>
        </w:rPr>
        <w:t> </w:t>
      </w:r>
      <w:r>
        <w:rPr>
          <w:vertAlign w:val="baseline"/>
        </w:rPr>
        <w:t>services</w:t>
      </w:r>
      <w:r>
        <w:rPr>
          <w:spacing w:val="-4"/>
          <w:vertAlign w:val="baseline"/>
        </w:rPr>
        <w:t> </w:t>
      </w:r>
      <w:r>
        <w:rPr>
          <w:vertAlign w:val="baseline"/>
        </w:rPr>
        <w:t>include</w:t>
      </w:r>
      <w:r>
        <w:rPr>
          <w:spacing w:val="-5"/>
          <w:vertAlign w:val="baseline"/>
        </w:rPr>
        <w:t> </w:t>
      </w:r>
      <w:r>
        <w:rPr>
          <w:vertAlign w:val="baseline"/>
        </w:rPr>
        <w:t>critical</w:t>
      </w:r>
      <w:r>
        <w:rPr>
          <w:spacing w:val="-4"/>
          <w:vertAlign w:val="baseline"/>
        </w:rPr>
        <w:t> </w:t>
      </w:r>
      <w:r>
        <w:rPr>
          <w:vertAlign w:val="baseline"/>
        </w:rPr>
        <w:t>nutritional</w:t>
      </w:r>
      <w:r>
        <w:rPr>
          <w:spacing w:val="-4"/>
          <w:vertAlign w:val="baseline"/>
        </w:rPr>
        <w:t> </w:t>
      </w:r>
      <w:r>
        <w:rPr>
          <w:vertAlign w:val="baseline"/>
        </w:rPr>
        <w:t>services</w:t>
      </w:r>
      <w:r>
        <w:rPr>
          <w:spacing w:val="-4"/>
          <w:vertAlign w:val="baseline"/>
        </w:rPr>
        <w:t> </w:t>
      </w:r>
      <w:r>
        <w:rPr>
          <w:vertAlign w:val="baseline"/>
        </w:rPr>
        <w:t>and</w:t>
      </w:r>
      <w:r>
        <w:rPr>
          <w:spacing w:val="-4"/>
          <w:vertAlign w:val="baseline"/>
        </w:rPr>
        <w:t> </w:t>
      </w:r>
      <w:r>
        <w:rPr>
          <w:vertAlign w:val="baseline"/>
        </w:rPr>
        <w:t>nutrition education, as well as housing supports for individuals with a clinical need and who are transitioning out of institutional care or congregate settings, out of homelessness or a homeless shelter, or the child welfare system.</w:t>
      </w:r>
      <w:r>
        <w:rPr>
          <w:spacing w:val="40"/>
          <w:vertAlign w:val="baseline"/>
        </w:rPr>
        <w:t> </w:t>
      </w:r>
      <w:r>
        <w:rPr>
          <w:vertAlign w:val="baseline"/>
        </w:rPr>
        <w:t>They also include case management, outreach, and education, as well as infrastructure</w:t>
      </w:r>
      <w:r>
        <w:rPr>
          <w:spacing w:val="-1"/>
          <w:vertAlign w:val="baseline"/>
        </w:rPr>
        <w:t> </w:t>
      </w:r>
      <w:r>
        <w:rPr>
          <w:vertAlign w:val="baseline"/>
        </w:rPr>
        <w:t>investments and transportation services, to support access to those services.</w:t>
      </w:r>
    </w:p>
    <w:p>
      <w:pPr>
        <w:pStyle w:val="BodyText"/>
      </w:pPr>
    </w:p>
    <w:p>
      <w:pPr>
        <w:pStyle w:val="BodyText"/>
        <w:ind w:left="1440" w:right="1222"/>
      </w:pPr>
      <w:r>
        <w:rPr/>
        <w:t>Services authorized in this demonstration to address HRSN must be medically appropriate for</w:t>
      </w:r>
      <w:r>
        <w:rPr>
          <w:spacing w:val="40"/>
        </w:rPr>
        <w:t> </w:t>
      </w:r>
      <w:r>
        <w:rPr/>
        <w:t>the</w:t>
      </w:r>
      <w:r>
        <w:rPr>
          <w:spacing w:val="-3"/>
        </w:rPr>
        <w:t> </w:t>
      </w:r>
      <w:r>
        <w:rPr/>
        <w:t>beneficiary.</w:t>
      </w:r>
      <w:r>
        <w:rPr>
          <w:spacing w:val="40"/>
        </w:rPr>
        <w:t> </w:t>
      </w:r>
      <w:r>
        <w:rPr/>
        <w:t>This</w:t>
      </w:r>
      <w:r>
        <w:rPr>
          <w:spacing w:val="-3"/>
        </w:rPr>
        <w:t> </w:t>
      </w:r>
      <w:r>
        <w:rPr/>
        <w:t>authority</w:t>
      </w:r>
      <w:r>
        <w:rPr>
          <w:spacing w:val="-7"/>
        </w:rPr>
        <w:t> </w:t>
      </w:r>
      <w:r>
        <w:rPr/>
        <w:t>is</w:t>
      </w:r>
      <w:r>
        <w:rPr>
          <w:spacing w:val="-3"/>
        </w:rPr>
        <w:t> </w:t>
      </w:r>
      <w:r>
        <w:rPr/>
        <w:t>likely</w:t>
      </w:r>
      <w:r>
        <w:rPr>
          <w:spacing w:val="-7"/>
        </w:rPr>
        <w:t> </w:t>
      </w:r>
      <w:r>
        <w:rPr/>
        <w:t>to</w:t>
      </w:r>
      <w:r>
        <w:rPr>
          <w:spacing w:val="-1"/>
        </w:rPr>
        <w:t> </w:t>
      </w:r>
      <w:r>
        <w:rPr/>
        <w:t>assist</w:t>
      </w:r>
      <w:r>
        <w:rPr>
          <w:spacing w:val="-3"/>
        </w:rPr>
        <w:t> </w:t>
      </w:r>
      <w:r>
        <w:rPr/>
        <w:t>in</w:t>
      </w:r>
      <w:r>
        <w:rPr>
          <w:spacing w:val="-3"/>
        </w:rPr>
        <w:t> </w:t>
      </w:r>
      <w:r>
        <w:rPr/>
        <w:t>promoting</w:t>
      </w:r>
      <w:r>
        <w:rPr>
          <w:spacing w:val="-4"/>
        </w:rPr>
        <w:t> </w:t>
      </w:r>
      <w:r>
        <w:rPr/>
        <w:t>the</w:t>
      </w:r>
      <w:r>
        <w:rPr>
          <w:spacing w:val="-3"/>
        </w:rPr>
        <w:t> </w:t>
      </w:r>
      <w:r>
        <w:rPr/>
        <w:t>objectives</w:t>
      </w:r>
      <w:r>
        <w:rPr>
          <w:spacing w:val="-3"/>
        </w:rPr>
        <w:t> </w:t>
      </w:r>
      <w:r>
        <w:rPr/>
        <w:t>of</w:t>
      </w:r>
      <w:r>
        <w:rPr>
          <w:spacing w:val="-3"/>
        </w:rPr>
        <w:t> </w:t>
      </w:r>
      <w:r>
        <w:rPr/>
        <w:t>Medicaid</w:t>
      </w:r>
      <w:r>
        <w:rPr>
          <w:spacing w:val="-3"/>
        </w:rPr>
        <w:t> </w:t>
      </w:r>
      <w:r>
        <w:rPr/>
        <w:t>because it is expected to help individuals stay connected to coverage and access needed health care.</w:t>
      </w:r>
      <w:r>
        <w:rPr>
          <w:spacing w:val="40"/>
        </w:rPr>
        <w:t> </w:t>
      </w:r>
      <w:r>
        <w:rPr/>
        <w:t>For example, housing instability or inadequate nutrition may impede an individual’s ability to enroll in coverage and access needed health care.</w:t>
      </w:r>
      <w:r>
        <w:rPr>
          <w:spacing w:val="40"/>
        </w:rPr>
        <w:t> </w:t>
      </w:r>
      <w:r>
        <w:rPr/>
        <w:t>Such circumstances may create physical, social or emotional conditions that are counterproductive to the otherwise positive effects of the health care</w:t>
      </w:r>
      <w:r>
        <w:rPr>
          <w:spacing w:val="-1"/>
        </w:rPr>
        <w:t> </w:t>
      </w:r>
      <w:r>
        <w:rPr/>
        <w:t>services an individual does receive, including through Medicaid.</w:t>
      </w:r>
      <w:r>
        <w:rPr>
          <w:vertAlign w:val="superscript"/>
        </w:rPr>
        <w:t>4</w:t>
      </w:r>
      <w:r>
        <w:rPr>
          <w:spacing w:val="40"/>
          <w:vertAlign w:val="baseline"/>
        </w:rPr>
        <w:t> </w:t>
      </w:r>
      <w:r>
        <w:rPr>
          <w:vertAlign w:val="baseline"/>
        </w:rPr>
        <w:t>The</w:t>
      </w:r>
      <w:r>
        <w:rPr>
          <w:spacing w:val="-1"/>
          <w:vertAlign w:val="baseline"/>
        </w:rPr>
        <w:t> </w:t>
      </w:r>
      <w:r>
        <w:rPr>
          <w:vertAlign w:val="baseline"/>
        </w:rPr>
        <w:t>time-limited housing and nutritional support services authorized in the demonstration can be expected to stabilize the housing</w:t>
      </w:r>
      <w:r>
        <w:rPr>
          <w:spacing w:val="-6"/>
          <w:vertAlign w:val="baseline"/>
        </w:rPr>
        <w:t> </w:t>
      </w:r>
      <w:r>
        <w:rPr>
          <w:vertAlign w:val="baseline"/>
        </w:rPr>
        <w:t>and</w:t>
      </w:r>
      <w:r>
        <w:rPr>
          <w:spacing w:val="-4"/>
          <w:vertAlign w:val="baseline"/>
        </w:rPr>
        <w:t> </w:t>
      </w:r>
      <w:r>
        <w:rPr>
          <w:vertAlign w:val="baseline"/>
        </w:rPr>
        <w:t>nutritional</w:t>
      </w:r>
      <w:r>
        <w:rPr>
          <w:spacing w:val="-4"/>
          <w:vertAlign w:val="baseline"/>
        </w:rPr>
        <w:t> </w:t>
      </w:r>
      <w:r>
        <w:rPr>
          <w:vertAlign w:val="baseline"/>
        </w:rPr>
        <w:t>circumstances</w:t>
      </w:r>
      <w:r>
        <w:rPr>
          <w:spacing w:val="-4"/>
          <w:vertAlign w:val="baseline"/>
        </w:rPr>
        <w:t> </w:t>
      </w:r>
      <w:r>
        <w:rPr>
          <w:vertAlign w:val="baseline"/>
        </w:rPr>
        <w:t>of</w:t>
      </w:r>
      <w:r>
        <w:rPr>
          <w:spacing w:val="-3"/>
          <w:vertAlign w:val="baseline"/>
        </w:rPr>
        <w:t> </w:t>
      </w:r>
      <w:r>
        <w:rPr>
          <w:vertAlign w:val="baseline"/>
        </w:rPr>
        <w:t>certain</w:t>
      </w:r>
      <w:r>
        <w:rPr>
          <w:spacing w:val="-4"/>
          <w:vertAlign w:val="baseline"/>
        </w:rPr>
        <w:t> </w:t>
      </w:r>
      <w:r>
        <w:rPr>
          <w:vertAlign w:val="baseline"/>
        </w:rPr>
        <w:t>eligible</w:t>
      </w:r>
      <w:r>
        <w:rPr>
          <w:spacing w:val="-5"/>
          <w:vertAlign w:val="baseline"/>
        </w:rPr>
        <w:t> </w:t>
      </w:r>
      <w:r>
        <w:rPr>
          <w:vertAlign w:val="baseline"/>
        </w:rPr>
        <w:t>Medicaid</w:t>
      </w:r>
      <w:r>
        <w:rPr>
          <w:spacing w:val="-2"/>
          <w:vertAlign w:val="baseline"/>
        </w:rPr>
        <w:t> </w:t>
      </w:r>
      <w:r>
        <w:rPr>
          <w:vertAlign w:val="baseline"/>
        </w:rPr>
        <w:t>enrollees</w:t>
      </w:r>
      <w:r>
        <w:rPr>
          <w:spacing w:val="-4"/>
          <w:vertAlign w:val="baseline"/>
        </w:rPr>
        <w:t> </w:t>
      </w:r>
      <w:r>
        <w:rPr>
          <w:vertAlign w:val="baseline"/>
        </w:rPr>
        <w:t>and</w:t>
      </w:r>
      <w:r>
        <w:rPr>
          <w:spacing w:val="-4"/>
          <w:vertAlign w:val="baseline"/>
        </w:rPr>
        <w:t> </w:t>
      </w:r>
      <w:r>
        <w:rPr>
          <w:vertAlign w:val="baseline"/>
        </w:rPr>
        <w:t>thus</w:t>
      </w:r>
      <w:r>
        <w:rPr>
          <w:spacing w:val="-4"/>
          <w:vertAlign w:val="baseline"/>
        </w:rPr>
        <w:t> </w:t>
      </w:r>
      <w:r>
        <w:rPr>
          <w:vertAlign w:val="baseline"/>
        </w:rPr>
        <w:t>increase</w:t>
      </w:r>
      <w:r>
        <w:rPr>
          <w:spacing w:val="-5"/>
          <w:vertAlign w:val="baseline"/>
        </w:rPr>
        <w:t> </w:t>
      </w:r>
      <w:r>
        <w:rPr>
          <w:vertAlign w:val="baseline"/>
        </w:rPr>
        <w:t>the likelihood that they will keep receiving and benefiting from the Medicaid-covered services to which they are entitled.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r>
        <w:rPr/>
        <mc:AlternateContent>
          <mc:Choice Requires="wps">
            <w:drawing>
              <wp:anchor distT="0" distB="0" distL="0" distR="0" allowOverlap="1" layoutInCell="1" locked="0" behindDoc="1" simplePos="0" relativeHeight="487588352">
                <wp:simplePos x="0" y="0"/>
                <wp:positionH relativeFrom="page">
                  <wp:posOffset>914704</wp:posOffset>
                </wp:positionH>
                <wp:positionV relativeFrom="paragraph">
                  <wp:posOffset>183766</wp:posOffset>
                </wp:positionV>
                <wp:extent cx="1829435" cy="762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4.469766pt;width:144.020pt;height:.599980pt;mso-position-horizontal-relative:page;mso-position-vertical-relative:paragraph;z-index:-15728128;mso-wrap-distance-left:0;mso-wrap-distance-right:0" id="docshape2" filled="true" fillcolor="#000000" stroked="false">
                <v:fill type="solid"/>
                <w10:wrap type="topAndBottom"/>
              </v:rect>
            </w:pict>
          </mc:Fallback>
        </mc:AlternateContent>
      </w:r>
    </w:p>
    <w:p>
      <w:pPr>
        <w:spacing w:before="103"/>
        <w:ind w:left="1440" w:right="1239" w:firstLine="0"/>
        <w:jc w:val="left"/>
        <w:rPr>
          <w:sz w:val="20"/>
        </w:rPr>
      </w:pPr>
      <w:r>
        <w:rPr>
          <w:sz w:val="20"/>
          <w:vertAlign w:val="superscript"/>
        </w:rPr>
        <w:t>1</w:t>
      </w:r>
      <w:r>
        <w:rPr>
          <w:spacing w:val="-3"/>
          <w:sz w:val="20"/>
          <w:vertAlign w:val="baseline"/>
        </w:rPr>
        <w:t> </w:t>
      </w:r>
      <w:r>
        <w:rPr>
          <w:sz w:val="20"/>
          <w:vertAlign w:val="baseline"/>
        </w:rPr>
        <w:t>Dzau,</w:t>
      </w:r>
      <w:r>
        <w:rPr>
          <w:spacing w:val="-3"/>
          <w:sz w:val="20"/>
          <w:vertAlign w:val="baseline"/>
        </w:rPr>
        <w:t> </w:t>
      </w:r>
      <w:r>
        <w:rPr>
          <w:sz w:val="20"/>
          <w:vertAlign w:val="baseline"/>
        </w:rPr>
        <w:t>V.J.,</w:t>
      </w:r>
      <w:r>
        <w:rPr>
          <w:spacing w:val="-3"/>
          <w:sz w:val="20"/>
          <w:vertAlign w:val="baseline"/>
        </w:rPr>
        <w:t> </w:t>
      </w:r>
      <w:r>
        <w:rPr>
          <w:sz w:val="20"/>
          <w:vertAlign w:val="baseline"/>
        </w:rPr>
        <w:t>Mate,</w:t>
      </w:r>
      <w:r>
        <w:rPr>
          <w:spacing w:val="-3"/>
          <w:sz w:val="20"/>
          <w:vertAlign w:val="baseline"/>
        </w:rPr>
        <w:t> </w:t>
      </w:r>
      <w:r>
        <w:rPr>
          <w:sz w:val="20"/>
          <w:vertAlign w:val="baseline"/>
        </w:rPr>
        <w:t>K.,</w:t>
      </w:r>
      <w:r>
        <w:rPr>
          <w:spacing w:val="-3"/>
          <w:sz w:val="20"/>
          <w:vertAlign w:val="baseline"/>
        </w:rPr>
        <w:t> </w:t>
      </w:r>
      <w:r>
        <w:rPr>
          <w:sz w:val="20"/>
          <w:vertAlign w:val="baseline"/>
        </w:rPr>
        <w:t>O’Kane,</w:t>
      </w:r>
      <w:r>
        <w:rPr>
          <w:spacing w:val="-3"/>
          <w:sz w:val="20"/>
          <w:vertAlign w:val="baseline"/>
        </w:rPr>
        <w:t> </w:t>
      </w:r>
      <w:r>
        <w:rPr>
          <w:sz w:val="20"/>
          <w:vertAlign w:val="baseline"/>
        </w:rPr>
        <w:t>M. </w:t>
      </w:r>
      <w:r>
        <w:rPr>
          <w:i/>
          <w:sz w:val="20"/>
          <w:vertAlign w:val="baseline"/>
        </w:rPr>
        <w:t>Equity</w:t>
      </w:r>
      <w:r>
        <w:rPr>
          <w:i/>
          <w:spacing w:val="-5"/>
          <w:sz w:val="20"/>
          <w:vertAlign w:val="baseline"/>
        </w:rPr>
        <w:t> </w:t>
      </w:r>
      <w:r>
        <w:rPr>
          <w:i/>
          <w:sz w:val="20"/>
          <w:vertAlign w:val="baseline"/>
        </w:rPr>
        <w:t>and</w:t>
      </w:r>
      <w:r>
        <w:rPr>
          <w:i/>
          <w:spacing w:val="-2"/>
          <w:sz w:val="20"/>
          <w:vertAlign w:val="baseline"/>
        </w:rPr>
        <w:t> </w:t>
      </w:r>
      <w:r>
        <w:rPr>
          <w:i/>
          <w:sz w:val="20"/>
          <w:vertAlign w:val="baseline"/>
        </w:rPr>
        <w:t>Quality—Improving</w:t>
      </w:r>
      <w:r>
        <w:rPr>
          <w:i/>
          <w:spacing w:val="-2"/>
          <w:sz w:val="20"/>
          <w:vertAlign w:val="baseline"/>
        </w:rPr>
        <w:t> </w:t>
      </w:r>
      <w:r>
        <w:rPr>
          <w:i/>
          <w:sz w:val="20"/>
          <w:vertAlign w:val="baseline"/>
        </w:rPr>
        <w:t>Health</w:t>
      </w:r>
      <w:r>
        <w:rPr>
          <w:i/>
          <w:spacing w:val="-3"/>
          <w:sz w:val="20"/>
          <w:vertAlign w:val="baseline"/>
        </w:rPr>
        <w:t> </w:t>
      </w:r>
      <w:r>
        <w:rPr>
          <w:i/>
          <w:sz w:val="20"/>
          <w:vertAlign w:val="baseline"/>
        </w:rPr>
        <w:t>Care</w:t>
      </w:r>
      <w:r>
        <w:rPr>
          <w:i/>
          <w:spacing w:val="-3"/>
          <w:sz w:val="20"/>
          <w:vertAlign w:val="baseline"/>
        </w:rPr>
        <w:t> </w:t>
      </w:r>
      <w:r>
        <w:rPr>
          <w:i/>
          <w:sz w:val="20"/>
          <w:vertAlign w:val="baseline"/>
        </w:rPr>
        <w:t>Delivery</w:t>
      </w:r>
      <w:r>
        <w:rPr>
          <w:i/>
          <w:spacing w:val="-3"/>
          <w:sz w:val="20"/>
          <w:vertAlign w:val="baseline"/>
        </w:rPr>
        <w:t> </w:t>
      </w:r>
      <w:r>
        <w:rPr>
          <w:i/>
          <w:sz w:val="20"/>
          <w:vertAlign w:val="baseline"/>
        </w:rPr>
        <w:t>Requires</w:t>
      </w:r>
      <w:r>
        <w:rPr>
          <w:i/>
          <w:spacing w:val="-4"/>
          <w:sz w:val="20"/>
          <w:vertAlign w:val="baseline"/>
        </w:rPr>
        <w:t> </w:t>
      </w:r>
      <w:r>
        <w:rPr>
          <w:i/>
          <w:sz w:val="20"/>
          <w:vertAlign w:val="baseline"/>
        </w:rPr>
        <w:t>Both</w:t>
      </w:r>
      <w:r>
        <w:rPr>
          <w:sz w:val="20"/>
          <w:vertAlign w:val="baseline"/>
        </w:rPr>
        <w:t>.</w:t>
      </w:r>
      <w:r>
        <w:rPr>
          <w:spacing w:val="-3"/>
          <w:sz w:val="20"/>
          <w:vertAlign w:val="baseline"/>
        </w:rPr>
        <w:t> </w:t>
      </w:r>
      <w:r>
        <w:rPr>
          <w:sz w:val="20"/>
          <w:vertAlign w:val="baseline"/>
        </w:rPr>
        <w:t>JAMA. 2022;327(6):519–520.</w:t>
      </w:r>
      <w:r>
        <w:rPr>
          <w:spacing w:val="-5"/>
          <w:sz w:val="20"/>
          <w:vertAlign w:val="baseline"/>
        </w:rPr>
        <w:t> </w:t>
      </w:r>
      <w:r>
        <w:rPr>
          <w:sz w:val="20"/>
          <w:vertAlign w:val="baseline"/>
        </w:rPr>
        <w:t>doi:10.1001/jama.2022.0283; </w:t>
      </w:r>
      <w:hyperlink r:id="rId6">
        <w:r>
          <w:rPr>
            <w:color w:val="0000FF"/>
            <w:sz w:val="20"/>
            <w:u w:val="single" w:color="0000FF"/>
            <w:vertAlign w:val="baseline"/>
          </w:rPr>
          <w:t>https://jamanetwork.com/journals/jama/fullarticle/2788482</w:t>
        </w:r>
        <w:r>
          <w:rPr>
            <w:sz w:val="20"/>
            <w:vertAlign w:val="baseline"/>
          </w:rPr>
          <w:t>;</w:t>
        </w:r>
      </w:hyperlink>
      <w:r>
        <w:rPr>
          <w:sz w:val="20"/>
          <w:vertAlign w:val="baseline"/>
        </w:rPr>
        <w:t> O’Kane, M., Agrawal S., Binder, L., et al.</w:t>
      </w:r>
      <w:r>
        <w:rPr>
          <w:spacing w:val="40"/>
          <w:sz w:val="20"/>
          <w:vertAlign w:val="baseline"/>
        </w:rPr>
        <w:t> </w:t>
      </w:r>
      <w:r>
        <w:rPr>
          <w:i/>
          <w:sz w:val="20"/>
          <w:vertAlign w:val="baseline"/>
        </w:rPr>
        <w:t>An Equity Agenda for</w:t>
      </w:r>
      <w:r>
        <w:rPr>
          <w:i/>
          <w:spacing w:val="-1"/>
          <w:sz w:val="20"/>
          <w:vertAlign w:val="baseline"/>
        </w:rPr>
        <w:t> </w:t>
      </w:r>
      <w:r>
        <w:rPr>
          <w:i/>
          <w:sz w:val="20"/>
          <w:vertAlign w:val="baseline"/>
        </w:rPr>
        <w:t>the Field of</w:t>
      </w:r>
      <w:r>
        <w:rPr>
          <w:i/>
          <w:spacing w:val="-1"/>
          <w:sz w:val="20"/>
          <w:vertAlign w:val="baseline"/>
        </w:rPr>
        <w:t> </w:t>
      </w:r>
      <w:r>
        <w:rPr>
          <w:i/>
          <w:sz w:val="20"/>
          <w:vertAlign w:val="baseline"/>
        </w:rPr>
        <w:t>Health Care Quality</w:t>
      </w:r>
      <w:r>
        <w:rPr>
          <w:i/>
          <w:spacing w:val="-1"/>
          <w:sz w:val="20"/>
          <w:vertAlign w:val="baseline"/>
        </w:rPr>
        <w:t> </w:t>
      </w:r>
      <w:r>
        <w:rPr>
          <w:i/>
          <w:sz w:val="20"/>
          <w:vertAlign w:val="baseline"/>
        </w:rPr>
        <w:t>Improvement</w:t>
      </w:r>
      <w:r>
        <w:rPr>
          <w:sz w:val="20"/>
          <w:vertAlign w:val="baseline"/>
        </w:rPr>
        <w:t>. National Academy of Medicine; 2021; </w:t>
      </w:r>
      <w:hyperlink r:id="rId7">
        <w:r>
          <w:rPr>
            <w:color w:val="0000FF"/>
            <w:sz w:val="20"/>
            <w:u w:val="single" w:color="0000FF"/>
            <w:vertAlign w:val="baseline"/>
          </w:rPr>
          <w:t>https://nam.edu/an-equity-agenda-for-the-field-of-health-care-quality-</w:t>
        </w:r>
      </w:hyperlink>
      <w:r>
        <w:rPr>
          <w:color w:val="0000FF"/>
          <w:sz w:val="20"/>
          <w:vertAlign w:val="baseline"/>
        </w:rPr>
        <w:t> </w:t>
      </w:r>
      <w:hyperlink r:id="rId7">
        <w:r>
          <w:rPr>
            <w:color w:val="0000FF"/>
            <w:spacing w:val="-2"/>
            <w:sz w:val="20"/>
            <w:u w:val="single" w:color="0000FF"/>
            <w:vertAlign w:val="baseline"/>
          </w:rPr>
          <w:t>improvement/</w:t>
        </w:r>
        <w:r>
          <w:rPr>
            <w:spacing w:val="-2"/>
            <w:sz w:val="20"/>
            <w:vertAlign w:val="baseline"/>
          </w:rPr>
          <w:t>.</w:t>
        </w:r>
      </w:hyperlink>
    </w:p>
    <w:p>
      <w:pPr>
        <w:spacing w:before="1"/>
        <w:ind w:left="1440" w:right="1371" w:firstLine="0"/>
        <w:jc w:val="left"/>
        <w:rPr>
          <w:sz w:val="20"/>
        </w:rPr>
      </w:pPr>
      <w:r>
        <w:rPr>
          <w:sz w:val="20"/>
          <w:vertAlign w:val="superscript"/>
        </w:rPr>
        <w:t>2</w:t>
      </w:r>
      <w:r>
        <w:rPr>
          <w:sz w:val="20"/>
          <w:vertAlign w:val="baseline"/>
        </w:rPr>
        <w:t> As discussed in a letter to State Health Officials issued on January 7, 2021, </w:t>
      </w:r>
      <w:hyperlink r:id="rId8">
        <w:r>
          <w:rPr>
            <w:color w:val="0000FF"/>
            <w:sz w:val="20"/>
            <w:u w:val="single" w:color="0000FF"/>
            <w:vertAlign w:val="baseline"/>
          </w:rPr>
          <w:t>https://www.medicaid.gov/federal-</w:t>
        </w:r>
      </w:hyperlink>
      <w:r>
        <w:rPr>
          <w:color w:val="0000FF"/>
          <w:sz w:val="20"/>
          <w:vertAlign w:val="baseline"/>
        </w:rPr>
        <w:t> </w:t>
      </w:r>
      <w:hyperlink r:id="rId8">
        <w:r>
          <w:rPr>
            <w:color w:val="0000FF"/>
            <w:sz w:val="20"/>
            <w:u w:val="single" w:color="0000FF"/>
            <w:vertAlign w:val="baseline"/>
          </w:rPr>
          <w:t>policy-guidance/downloads/sho21001.pdf</w:t>
        </w:r>
        <w:r>
          <w:rPr>
            <w:sz w:val="20"/>
            <w:vertAlign w:val="baseline"/>
          </w:rPr>
          <w:t>,</w:t>
        </w:r>
      </w:hyperlink>
      <w:r>
        <w:rPr>
          <w:spacing w:val="-3"/>
          <w:sz w:val="20"/>
          <w:vertAlign w:val="baseline"/>
        </w:rPr>
        <w:t> </w:t>
      </w:r>
      <w:r>
        <w:rPr>
          <w:sz w:val="20"/>
          <w:vertAlign w:val="baseline"/>
        </w:rPr>
        <w:t>addressing</w:t>
      </w:r>
      <w:r>
        <w:rPr>
          <w:spacing w:val="-4"/>
          <w:sz w:val="20"/>
          <w:vertAlign w:val="baseline"/>
        </w:rPr>
        <w:t> </w:t>
      </w:r>
      <w:r>
        <w:rPr>
          <w:sz w:val="20"/>
          <w:vertAlign w:val="baseline"/>
        </w:rPr>
        <w:t>Social</w:t>
      </w:r>
      <w:r>
        <w:rPr>
          <w:spacing w:val="-2"/>
          <w:sz w:val="20"/>
          <w:vertAlign w:val="baseline"/>
        </w:rPr>
        <w:t> </w:t>
      </w:r>
      <w:r>
        <w:rPr>
          <w:sz w:val="20"/>
          <w:vertAlign w:val="baseline"/>
        </w:rPr>
        <w:t>Determinants</w:t>
      </w:r>
      <w:r>
        <w:rPr>
          <w:spacing w:val="-4"/>
          <w:sz w:val="20"/>
          <w:vertAlign w:val="baseline"/>
        </w:rPr>
        <w:t> </w:t>
      </w:r>
      <w:r>
        <w:rPr>
          <w:sz w:val="20"/>
          <w:vertAlign w:val="baseline"/>
        </w:rPr>
        <w:t>of</w:t>
      </w:r>
      <w:r>
        <w:rPr>
          <w:spacing w:val="-5"/>
          <w:sz w:val="20"/>
          <w:vertAlign w:val="baseline"/>
        </w:rPr>
        <w:t> </w:t>
      </w:r>
      <w:r>
        <w:rPr>
          <w:sz w:val="20"/>
          <w:vertAlign w:val="baseline"/>
        </w:rPr>
        <w:t>Health</w:t>
      </w:r>
      <w:r>
        <w:rPr>
          <w:spacing w:val="-4"/>
          <w:sz w:val="20"/>
          <w:vertAlign w:val="baseline"/>
        </w:rPr>
        <w:t> </w:t>
      </w:r>
      <w:r>
        <w:rPr>
          <w:sz w:val="20"/>
          <w:vertAlign w:val="baseline"/>
        </w:rPr>
        <w:t>can</w:t>
      </w:r>
      <w:r>
        <w:rPr>
          <w:spacing w:val="-4"/>
          <w:sz w:val="20"/>
          <w:vertAlign w:val="baseline"/>
        </w:rPr>
        <w:t> </w:t>
      </w:r>
      <w:r>
        <w:rPr>
          <w:sz w:val="20"/>
          <w:vertAlign w:val="baseline"/>
        </w:rPr>
        <w:t>more</w:t>
      </w:r>
      <w:r>
        <w:rPr>
          <w:spacing w:val="-3"/>
          <w:sz w:val="20"/>
          <w:vertAlign w:val="baseline"/>
        </w:rPr>
        <w:t> </w:t>
      </w:r>
      <w:r>
        <w:rPr>
          <w:sz w:val="20"/>
          <w:vertAlign w:val="baseline"/>
        </w:rPr>
        <w:t>effectively</w:t>
      </w:r>
      <w:r>
        <w:rPr>
          <w:spacing w:val="-7"/>
          <w:sz w:val="20"/>
          <w:vertAlign w:val="baseline"/>
        </w:rPr>
        <w:t> </w:t>
      </w:r>
      <w:r>
        <w:rPr>
          <w:sz w:val="20"/>
          <w:vertAlign w:val="baseline"/>
        </w:rPr>
        <w:t>improve population health, reduce disability, and lower overall health care costs in the Medicaid program. While “social determinants</w:t>
      </w:r>
      <w:r>
        <w:rPr>
          <w:spacing w:val="-3"/>
          <w:sz w:val="20"/>
          <w:vertAlign w:val="baseline"/>
        </w:rPr>
        <w:t> </w:t>
      </w:r>
      <w:r>
        <w:rPr>
          <w:sz w:val="20"/>
          <w:vertAlign w:val="baseline"/>
        </w:rPr>
        <w:t>of</w:t>
      </w:r>
      <w:r>
        <w:rPr>
          <w:spacing w:val="-4"/>
          <w:sz w:val="20"/>
          <w:vertAlign w:val="baseline"/>
        </w:rPr>
        <w:t> </w:t>
      </w:r>
      <w:r>
        <w:rPr>
          <w:sz w:val="20"/>
          <w:vertAlign w:val="baseline"/>
        </w:rPr>
        <w:t>health”</w:t>
      </w:r>
      <w:r>
        <w:rPr>
          <w:spacing w:val="-2"/>
          <w:sz w:val="20"/>
          <w:vertAlign w:val="baseline"/>
        </w:rPr>
        <w:t> </w:t>
      </w:r>
      <w:r>
        <w:rPr>
          <w:sz w:val="20"/>
          <w:vertAlign w:val="baseline"/>
        </w:rPr>
        <w:t>is</w:t>
      </w:r>
      <w:r>
        <w:rPr>
          <w:spacing w:val="-3"/>
          <w:sz w:val="20"/>
          <w:vertAlign w:val="baseline"/>
        </w:rPr>
        <w:t> </w:t>
      </w:r>
      <w:r>
        <w:rPr>
          <w:sz w:val="20"/>
          <w:vertAlign w:val="baseline"/>
        </w:rPr>
        <w:t>a</w:t>
      </w:r>
      <w:r>
        <w:rPr>
          <w:spacing w:val="-2"/>
          <w:sz w:val="20"/>
          <w:vertAlign w:val="baseline"/>
        </w:rPr>
        <w:t> </w:t>
      </w:r>
      <w:r>
        <w:rPr>
          <w:sz w:val="20"/>
          <w:vertAlign w:val="baseline"/>
        </w:rPr>
        <w:t>broad</w:t>
      </w:r>
      <w:r>
        <w:rPr>
          <w:spacing w:val="-1"/>
          <w:sz w:val="20"/>
          <w:vertAlign w:val="baseline"/>
        </w:rPr>
        <w:t> </w:t>
      </w:r>
      <w:r>
        <w:rPr>
          <w:sz w:val="20"/>
          <w:vertAlign w:val="baseline"/>
        </w:rPr>
        <w:t>term</w:t>
      </w:r>
      <w:r>
        <w:rPr>
          <w:spacing w:val="-6"/>
          <w:sz w:val="20"/>
          <w:vertAlign w:val="baseline"/>
        </w:rPr>
        <w:t> </w:t>
      </w:r>
      <w:r>
        <w:rPr>
          <w:sz w:val="20"/>
          <w:vertAlign w:val="baseline"/>
        </w:rPr>
        <w:t>that</w:t>
      </w:r>
      <w:r>
        <w:rPr>
          <w:spacing w:val="-2"/>
          <w:sz w:val="20"/>
          <w:vertAlign w:val="baseline"/>
        </w:rPr>
        <w:t> </w:t>
      </w:r>
      <w:r>
        <w:rPr>
          <w:sz w:val="20"/>
          <w:vertAlign w:val="baseline"/>
        </w:rPr>
        <w:t>relates</w:t>
      </w:r>
      <w:r>
        <w:rPr>
          <w:spacing w:val="-3"/>
          <w:sz w:val="20"/>
          <w:vertAlign w:val="baseline"/>
        </w:rPr>
        <w:t> </w:t>
      </w:r>
      <w:r>
        <w:rPr>
          <w:sz w:val="20"/>
          <w:vertAlign w:val="baseline"/>
        </w:rPr>
        <w:t>to</w:t>
      </w:r>
      <w:r>
        <w:rPr>
          <w:spacing w:val="-1"/>
          <w:sz w:val="20"/>
          <w:vertAlign w:val="baseline"/>
        </w:rPr>
        <w:t> </w:t>
      </w:r>
      <w:r>
        <w:rPr>
          <w:sz w:val="20"/>
          <w:vertAlign w:val="baseline"/>
        </w:rPr>
        <w:t>the health</w:t>
      </w:r>
      <w:r>
        <w:rPr>
          <w:spacing w:val="-4"/>
          <w:sz w:val="20"/>
          <w:vertAlign w:val="baseline"/>
        </w:rPr>
        <w:t> </w:t>
      </w:r>
      <w:r>
        <w:rPr>
          <w:sz w:val="20"/>
          <w:vertAlign w:val="baseline"/>
        </w:rPr>
        <w:t>of</w:t>
      </w:r>
      <w:r>
        <w:rPr>
          <w:spacing w:val="-4"/>
          <w:sz w:val="20"/>
          <w:vertAlign w:val="baseline"/>
        </w:rPr>
        <w:t> </w:t>
      </w:r>
      <w:r>
        <w:rPr>
          <w:sz w:val="20"/>
          <w:vertAlign w:val="baseline"/>
        </w:rPr>
        <w:t>all</w:t>
      </w:r>
      <w:r>
        <w:rPr>
          <w:spacing w:val="-2"/>
          <w:sz w:val="20"/>
          <w:vertAlign w:val="baseline"/>
        </w:rPr>
        <w:t> </w:t>
      </w:r>
      <w:r>
        <w:rPr>
          <w:sz w:val="20"/>
          <w:vertAlign w:val="baseline"/>
        </w:rPr>
        <w:t>people,</w:t>
      </w:r>
      <w:r>
        <w:rPr>
          <w:spacing w:val="-2"/>
          <w:sz w:val="20"/>
          <w:vertAlign w:val="baseline"/>
        </w:rPr>
        <w:t> </w:t>
      </w:r>
      <w:r>
        <w:rPr>
          <w:sz w:val="20"/>
          <w:vertAlign w:val="baseline"/>
        </w:rPr>
        <w:t>HRSN</w:t>
      </w:r>
      <w:r>
        <w:rPr>
          <w:spacing w:val="-3"/>
          <w:sz w:val="20"/>
          <w:vertAlign w:val="baseline"/>
        </w:rPr>
        <w:t> </w:t>
      </w:r>
      <w:r>
        <w:rPr>
          <w:sz w:val="20"/>
          <w:vertAlign w:val="baseline"/>
        </w:rPr>
        <w:t>relates</w:t>
      </w:r>
      <w:r>
        <w:rPr>
          <w:spacing w:val="-1"/>
          <w:sz w:val="20"/>
          <w:vertAlign w:val="baseline"/>
        </w:rPr>
        <w:t> </w:t>
      </w:r>
      <w:r>
        <w:rPr>
          <w:sz w:val="20"/>
          <w:vertAlign w:val="baseline"/>
        </w:rPr>
        <w:t>more</w:t>
      </w:r>
      <w:r>
        <w:rPr>
          <w:spacing w:val="-2"/>
          <w:sz w:val="20"/>
          <w:vertAlign w:val="baseline"/>
        </w:rPr>
        <w:t> </w:t>
      </w:r>
      <w:r>
        <w:rPr>
          <w:sz w:val="20"/>
          <w:vertAlign w:val="baseline"/>
        </w:rPr>
        <w:t>specifically</w:t>
      </w:r>
      <w:r>
        <w:rPr>
          <w:spacing w:val="-6"/>
          <w:sz w:val="20"/>
          <w:vertAlign w:val="baseline"/>
        </w:rPr>
        <w:t> </w:t>
      </w:r>
      <w:r>
        <w:rPr>
          <w:sz w:val="20"/>
          <w:vertAlign w:val="baseline"/>
        </w:rPr>
        <w:t>to</w:t>
      </w:r>
      <w:r>
        <w:rPr>
          <w:spacing w:val="-1"/>
          <w:sz w:val="20"/>
          <w:vertAlign w:val="baseline"/>
        </w:rPr>
        <w:t> </w:t>
      </w:r>
      <w:r>
        <w:rPr>
          <w:sz w:val="20"/>
          <w:vertAlign w:val="baseline"/>
        </w:rPr>
        <w:t>an individual’s adverse conditions reflecting needs that are unmet and contribute to poor health. </w:t>
      </w:r>
      <w:r>
        <w:rPr>
          <w:i/>
          <w:sz w:val="20"/>
          <w:vertAlign w:val="baseline"/>
        </w:rPr>
        <w:t>See also</w:t>
      </w:r>
      <w:r>
        <w:rPr>
          <w:i/>
          <w:sz w:val="20"/>
          <w:vertAlign w:val="baseline"/>
        </w:rPr>
        <w:t> </w:t>
      </w:r>
      <w:hyperlink r:id="rId9">
        <w:r>
          <w:rPr>
            <w:color w:val="0000FF"/>
            <w:spacing w:val="-2"/>
            <w:sz w:val="20"/>
            <w:u w:val="single" w:color="0000FF"/>
            <w:vertAlign w:val="baseline"/>
          </w:rPr>
          <w:t>https://www.healthaffairs.org/do/10.1377/forefront.20191025.776011/full/</w:t>
        </w:r>
      </w:hyperlink>
    </w:p>
    <w:p>
      <w:pPr>
        <w:tabs>
          <w:tab w:pos="7091" w:val="left" w:leader="none"/>
        </w:tabs>
        <w:spacing w:line="240" w:lineRule="auto" w:before="0"/>
        <w:ind w:left="1440" w:right="1315" w:firstLine="0"/>
        <w:jc w:val="left"/>
        <w:rPr>
          <w:sz w:val="20"/>
        </w:rPr>
      </w:pPr>
      <w:r>
        <w:rPr>
          <w:sz w:val="20"/>
          <w:vertAlign w:val="superscript"/>
        </w:rPr>
        <w:t>3</w:t>
      </w:r>
      <w:r>
        <w:rPr>
          <w:sz w:val="20"/>
          <w:vertAlign w:val="baseline"/>
        </w:rPr>
        <w:t>Bachrach, D., Pfister, H., Wallis, K., Lipson, M. </w:t>
      </w:r>
      <w:r>
        <w:rPr>
          <w:i/>
          <w:sz w:val="20"/>
          <w:vertAlign w:val="baseline"/>
        </w:rPr>
        <w:t>Addressing Patients’ Social Needs: An Emerging Business Case</w:t>
      </w:r>
      <w:r>
        <w:rPr>
          <w:i/>
          <w:sz w:val="20"/>
          <w:vertAlign w:val="baseline"/>
        </w:rPr>
        <w:t> for Provider Investment</w:t>
      </w:r>
      <w:r>
        <w:rPr>
          <w:sz w:val="20"/>
          <w:vertAlign w:val="baseline"/>
        </w:rPr>
        <w:t>. The Commonwealth Fund; 2014; </w:t>
      </w:r>
      <w:r>
        <w:rPr>
          <w:color w:val="0000FF"/>
          <w:spacing w:val="-2"/>
          <w:sz w:val="20"/>
          <w:u w:val="single" w:color="0000FF"/>
          <w:vertAlign w:val="baseline"/>
        </w:rPr>
        <w:t>https://</w:t>
      </w:r>
      <w:hyperlink r:id="rId10">
        <w:r>
          <w:rPr>
            <w:color w:val="0000FF"/>
            <w:spacing w:val="-2"/>
            <w:sz w:val="20"/>
            <w:u w:val="single" w:color="0000FF"/>
            <w:vertAlign w:val="baseline"/>
          </w:rPr>
          <w:t>www.commonwealthfund.org/sites/default/files/documents/</w:t>
        </w:r>
        <w:r>
          <w:rPr>
            <w:color w:val="0000FF"/>
            <w:sz w:val="20"/>
            <w:u w:val="single" w:color="0000FF"/>
            <w:vertAlign w:val="baseline"/>
          </w:rPr>
          <w:tab/>
        </w:r>
        <w:r>
          <w:rPr>
            <w:color w:val="0000FF"/>
            <w:spacing w:val="-2"/>
            <w:sz w:val="20"/>
            <w:u w:val="single" w:color="0000FF"/>
            <w:vertAlign w:val="baseline"/>
          </w:rPr>
          <w:t>media_files_publications_fund_report_2014_</w:t>
        </w:r>
      </w:hyperlink>
      <w:r>
        <w:rPr>
          <w:color w:val="0000FF"/>
          <w:spacing w:val="-2"/>
          <w:sz w:val="20"/>
          <w:vertAlign w:val="baseline"/>
        </w:rPr>
        <w:t> </w:t>
      </w:r>
      <w:r>
        <w:rPr>
          <w:color w:val="0000FF"/>
          <w:spacing w:val="-2"/>
          <w:sz w:val="20"/>
          <w:u w:val="single" w:color="0000FF"/>
          <w:vertAlign w:val="baseline"/>
        </w:rPr>
        <w:t>may_1749_bachrach_addressing_patients_social_needs_v2.pdf</w:t>
      </w:r>
      <w:r>
        <w:rPr>
          <w:spacing w:val="-2"/>
          <w:sz w:val="20"/>
          <w:vertAlign w:val="baseline"/>
        </w:rPr>
        <w:t>.</w:t>
      </w:r>
    </w:p>
    <w:p>
      <w:pPr>
        <w:spacing w:before="0"/>
        <w:ind w:left="1440" w:right="1239" w:firstLine="0"/>
        <w:jc w:val="left"/>
        <w:rPr>
          <w:sz w:val="20"/>
        </w:rPr>
      </w:pPr>
      <w:r>
        <w:rPr>
          <w:sz w:val="20"/>
          <w:vertAlign w:val="superscript"/>
        </w:rPr>
        <w:t>4</w:t>
      </w:r>
      <w:r>
        <w:rPr>
          <w:spacing w:val="-3"/>
          <w:sz w:val="20"/>
          <w:vertAlign w:val="baseline"/>
        </w:rPr>
        <w:t> </w:t>
      </w:r>
      <w:r>
        <w:rPr>
          <w:sz w:val="20"/>
          <w:vertAlign w:val="baseline"/>
        </w:rPr>
        <w:t>Schilbach,</w:t>
      </w:r>
      <w:r>
        <w:rPr>
          <w:spacing w:val="-3"/>
          <w:sz w:val="20"/>
          <w:vertAlign w:val="baseline"/>
        </w:rPr>
        <w:t> </w:t>
      </w:r>
      <w:r>
        <w:rPr>
          <w:sz w:val="20"/>
          <w:vertAlign w:val="baseline"/>
        </w:rPr>
        <w:t>F.,</w:t>
      </w:r>
      <w:r>
        <w:rPr>
          <w:spacing w:val="-3"/>
          <w:sz w:val="20"/>
          <w:vertAlign w:val="baseline"/>
        </w:rPr>
        <w:t> </w:t>
      </w:r>
      <w:r>
        <w:rPr>
          <w:sz w:val="20"/>
          <w:vertAlign w:val="baseline"/>
        </w:rPr>
        <w:t>Schofield,</w:t>
      </w:r>
      <w:r>
        <w:rPr>
          <w:spacing w:val="-3"/>
          <w:sz w:val="20"/>
          <w:vertAlign w:val="baseline"/>
        </w:rPr>
        <w:t> </w:t>
      </w:r>
      <w:r>
        <w:rPr>
          <w:sz w:val="20"/>
          <w:vertAlign w:val="baseline"/>
        </w:rPr>
        <w:t>H.,</w:t>
      </w:r>
      <w:r>
        <w:rPr>
          <w:spacing w:val="-3"/>
          <w:sz w:val="20"/>
          <w:vertAlign w:val="baseline"/>
        </w:rPr>
        <w:t> </w:t>
      </w:r>
      <w:r>
        <w:rPr>
          <w:sz w:val="20"/>
          <w:vertAlign w:val="baseline"/>
        </w:rPr>
        <w:t>Mullainathan,</w:t>
      </w:r>
      <w:r>
        <w:rPr>
          <w:spacing w:val="-3"/>
          <w:sz w:val="20"/>
          <w:vertAlign w:val="baseline"/>
        </w:rPr>
        <w:t> </w:t>
      </w:r>
      <w:r>
        <w:rPr>
          <w:sz w:val="20"/>
          <w:vertAlign w:val="baseline"/>
        </w:rPr>
        <w:t>S. </w:t>
      </w:r>
      <w:r>
        <w:rPr>
          <w:i/>
          <w:sz w:val="20"/>
          <w:vertAlign w:val="baseline"/>
        </w:rPr>
        <w:t>The</w:t>
      </w:r>
      <w:r>
        <w:rPr>
          <w:i/>
          <w:spacing w:val="-3"/>
          <w:sz w:val="20"/>
          <w:vertAlign w:val="baseline"/>
        </w:rPr>
        <w:t> </w:t>
      </w:r>
      <w:r>
        <w:rPr>
          <w:i/>
          <w:sz w:val="20"/>
          <w:vertAlign w:val="baseline"/>
        </w:rPr>
        <w:t>Psychological</w:t>
      </w:r>
      <w:r>
        <w:rPr>
          <w:i/>
          <w:spacing w:val="-4"/>
          <w:sz w:val="20"/>
          <w:vertAlign w:val="baseline"/>
        </w:rPr>
        <w:t> </w:t>
      </w:r>
      <w:r>
        <w:rPr>
          <w:i/>
          <w:sz w:val="20"/>
          <w:vertAlign w:val="baseline"/>
        </w:rPr>
        <w:t>Lives</w:t>
      </w:r>
      <w:r>
        <w:rPr>
          <w:i/>
          <w:spacing w:val="-4"/>
          <w:sz w:val="20"/>
          <w:vertAlign w:val="baseline"/>
        </w:rPr>
        <w:t> </w:t>
      </w:r>
      <w:r>
        <w:rPr>
          <w:i/>
          <w:sz w:val="20"/>
          <w:vertAlign w:val="baseline"/>
        </w:rPr>
        <w:t>of</w:t>
      </w:r>
      <w:r>
        <w:rPr>
          <w:i/>
          <w:spacing w:val="-4"/>
          <w:sz w:val="20"/>
          <w:vertAlign w:val="baseline"/>
        </w:rPr>
        <w:t> </w:t>
      </w:r>
      <w:r>
        <w:rPr>
          <w:i/>
          <w:sz w:val="20"/>
          <w:vertAlign w:val="baseline"/>
        </w:rPr>
        <w:t>the</w:t>
      </w:r>
      <w:r>
        <w:rPr>
          <w:i/>
          <w:spacing w:val="-3"/>
          <w:sz w:val="20"/>
          <w:vertAlign w:val="baseline"/>
        </w:rPr>
        <w:t> </w:t>
      </w:r>
      <w:r>
        <w:rPr>
          <w:i/>
          <w:sz w:val="20"/>
          <w:vertAlign w:val="baseline"/>
        </w:rPr>
        <w:t>Poor</w:t>
      </w:r>
      <w:r>
        <w:rPr>
          <w:sz w:val="20"/>
          <w:vertAlign w:val="baseline"/>
        </w:rPr>
        <w:t>.</w:t>
      </w:r>
      <w:r>
        <w:rPr>
          <w:spacing w:val="-3"/>
          <w:sz w:val="20"/>
          <w:vertAlign w:val="baseline"/>
        </w:rPr>
        <w:t> </w:t>
      </w:r>
      <w:r>
        <w:rPr>
          <w:sz w:val="20"/>
          <w:vertAlign w:val="baseline"/>
        </w:rPr>
        <w:t>American</w:t>
      </w:r>
      <w:r>
        <w:rPr>
          <w:spacing w:val="-4"/>
          <w:sz w:val="20"/>
          <w:vertAlign w:val="baseline"/>
        </w:rPr>
        <w:t> </w:t>
      </w:r>
      <w:r>
        <w:rPr>
          <w:sz w:val="20"/>
          <w:vertAlign w:val="baseline"/>
        </w:rPr>
        <w:t>Economic</w:t>
      </w:r>
      <w:r>
        <w:rPr>
          <w:spacing w:val="-1"/>
          <w:sz w:val="20"/>
          <w:vertAlign w:val="baseline"/>
        </w:rPr>
        <w:t> </w:t>
      </w:r>
      <w:r>
        <w:rPr>
          <w:sz w:val="20"/>
          <w:vertAlign w:val="baseline"/>
        </w:rPr>
        <w:t>Review: Papers &amp; Proceedings; 2016; </w:t>
      </w:r>
      <w:hyperlink r:id="rId11">
        <w:r>
          <w:rPr>
            <w:sz w:val="20"/>
            <w:vertAlign w:val="baseline"/>
          </w:rPr>
          <w:t>http://dx.doi.org/10.1257/aer.p20161101.</w:t>
        </w:r>
      </w:hyperlink>
    </w:p>
    <w:p>
      <w:pPr>
        <w:spacing w:after="0"/>
        <w:jc w:val="left"/>
        <w:rPr>
          <w:sz w:val="20"/>
        </w:rPr>
        <w:sectPr>
          <w:pgSz w:w="12240" w:h="15840"/>
          <w:pgMar w:top="640" w:bottom="280" w:left="0" w:right="220"/>
        </w:sectPr>
      </w:pPr>
    </w:p>
    <w:p>
      <w:pPr>
        <w:pStyle w:val="BodyText"/>
        <w:spacing w:before="79"/>
        <w:ind w:right="1218"/>
        <w:jc w:val="right"/>
      </w:pPr>
      <w:r>
        <w:rPr/>
        <w:t>Page</w:t>
      </w:r>
      <w:r>
        <w:rPr>
          <w:spacing w:val="-7"/>
        </w:rPr>
        <w:t> </w:t>
      </w:r>
      <w:r>
        <w:rPr>
          <w:spacing w:val="-10"/>
        </w:rPr>
        <w:t>5</w:t>
      </w:r>
    </w:p>
    <w:p>
      <w:pPr>
        <w:pStyle w:val="BodyText"/>
        <w:spacing w:before="7"/>
        <w:rPr>
          <w:sz w:val="38"/>
        </w:rPr>
      </w:pPr>
    </w:p>
    <w:p>
      <w:pPr>
        <w:pStyle w:val="BodyText"/>
        <w:ind w:left="1440" w:right="1266"/>
      </w:pPr>
      <w:r>
        <w:rPr/>
        <w:t>Moreover, the Medicaid statute, including both sections 1905 and 1915 of the Act, reflects the critical</w:t>
      </w:r>
      <w:r>
        <w:rPr>
          <w:spacing w:val="-3"/>
        </w:rPr>
        <w:t> </w:t>
      </w:r>
      <w:r>
        <w:rPr/>
        <w:t>role</w:t>
      </w:r>
      <w:r>
        <w:rPr>
          <w:spacing w:val="-5"/>
        </w:rPr>
        <w:t> </w:t>
      </w:r>
      <w:r>
        <w:rPr/>
        <w:t>of</w:t>
      </w:r>
      <w:r>
        <w:rPr>
          <w:spacing w:val="-3"/>
        </w:rPr>
        <w:t> </w:t>
      </w:r>
      <w:r>
        <w:rPr/>
        <w:t>upstream</w:t>
      </w:r>
      <w:r>
        <w:rPr>
          <w:spacing w:val="-3"/>
        </w:rPr>
        <w:t> </w:t>
      </w:r>
      <w:r>
        <w:rPr/>
        <w:t>services</w:t>
      </w:r>
      <w:r>
        <w:rPr>
          <w:spacing w:val="-3"/>
        </w:rPr>
        <w:t> </w:t>
      </w:r>
      <w:r>
        <w:rPr/>
        <w:t>(i.e.,</w:t>
      </w:r>
      <w:r>
        <w:rPr>
          <w:spacing w:val="-3"/>
        </w:rPr>
        <w:t> </w:t>
      </w:r>
      <w:r>
        <w:rPr/>
        <w:t>those</w:t>
      </w:r>
      <w:r>
        <w:rPr>
          <w:spacing w:val="-4"/>
        </w:rPr>
        <w:t> </w:t>
      </w:r>
      <w:r>
        <w:rPr/>
        <w:t>that</w:t>
      </w:r>
      <w:r>
        <w:rPr>
          <w:spacing w:val="-3"/>
        </w:rPr>
        <w:t> </w:t>
      </w:r>
      <w:r>
        <w:rPr/>
        <w:t>help</w:t>
      </w:r>
      <w:r>
        <w:rPr>
          <w:spacing w:val="-3"/>
        </w:rPr>
        <w:t> </w:t>
      </w:r>
      <w:r>
        <w:rPr/>
        <w:t>avert</w:t>
      </w:r>
      <w:r>
        <w:rPr>
          <w:spacing w:val="-3"/>
        </w:rPr>
        <w:t> </w:t>
      </w:r>
      <w:r>
        <w:rPr/>
        <w:t>more</w:t>
      </w:r>
      <w:r>
        <w:rPr>
          <w:spacing w:val="-5"/>
        </w:rPr>
        <w:t> </w:t>
      </w:r>
      <w:r>
        <w:rPr/>
        <w:t>intensive</w:t>
      </w:r>
      <w:r>
        <w:rPr>
          <w:spacing w:val="-3"/>
        </w:rPr>
        <w:t> </w:t>
      </w:r>
      <w:r>
        <w:rPr/>
        <w:t>medical</w:t>
      </w:r>
      <w:r>
        <w:rPr>
          <w:spacing w:val="-3"/>
        </w:rPr>
        <w:t> </w:t>
      </w:r>
      <w:r>
        <w:rPr/>
        <w:t>interventions) in meeting the medical assistance needs of certain Medicaid-eligible populations (e.g., individuals with disabilities).</w:t>
      </w:r>
      <w:r>
        <w:rPr>
          <w:spacing w:val="40"/>
        </w:rPr>
        <w:t> </w:t>
      </w:r>
      <w:r>
        <w:rPr/>
        <w:t>For example, medical assistance made available under a waiver authorized under section 1915(c) of the Act is provided as a home and community-based alternative to avoid the need for more intensive institutional-based care.</w:t>
      </w:r>
      <w:r>
        <w:rPr>
          <w:spacing w:val="40"/>
        </w:rPr>
        <w:t> </w:t>
      </w:r>
      <w:r>
        <w:rPr/>
        <w:t>Medical assistance made available under a state plan option authorized under section 1915(i) of the Act provides that same package of home and community-based services to individuals meeting needs-based criteria that are less stringent than criteria required for institutional placement.</w:t>
      </w:r>
      <w:r>
        <w:rPr>
          <w:spacing w:val="80"/>
        </w:rPr>
        <w:t> </w:t>
      </w:r>
      <w:r>
        <w:rPr/>
        <w:t>These services are also intended to avert a need for nursing facility care.</w:t>
      </w:r>
      <w:r>
        <w:rPr>
          <w:spacing w:val="40"/>
        </w:rPr>
        <w:t> </w:t>
      </w:r>
      <w:r>
        <w:rPr/>
        <w:t>Both provisions authorize services, including habilitation services like pre-tenancy and tenancy support services, with a goal of preventing decline in beneficiary health that would require more intensive services. Similarly, medical assistance covering interventions aimed at improving asthma management and mitigating asthma triggers is another example of how the Medicaid statute gives states authority to help reduce beneficiary need for acute care services (e.g., emergency department visits).</w:t>
      </w:r>
    </w:p>
    <w:p>
      <w:pPr>
        <w:pStyle w:val="BodyText"/>
        <w:spacing w:before="1"/>
      </w:pPr>
    </w:p>
    <w:p>
      <w:pPr>
        <w:pStyle w:val="BodyText"/>
        <w:ind w:left="1440" w:right="1231"/>
      </w:pPr>
      <w:r>
        <w:rPr/>
        <w:t>Available evidence</w:t>
      </w:r>
      <w:r>
        <w:rPr>
          <w:vertAlign w:val="superscript"/>
        </w:rPr>
        <w:t>5</w:t>
      </w:r>
      <w:r>
        <w:rPr>
          <w:vertAlign w:val="baseline"/>
        </w:rPr>
        <w:t> suggests that there may be populations in addition to those eligible under 1915(c) or 1915(i) criteria that would benefit clinically from the section 1915(c) or 1915(i) services described above, as well as additional upstream HRSN services that would benefit targeted populations, and that additional research is needed on the effects of providing those types of services to a broader group of people.</w:t>
      </w:r>
      <w:r>
        <w:rPr>
          <w:spacing w:val="40"/>
          <w:vertAlign w:val="baseline"/>
        </w:rPr>
        <w:t> </w:t>
      </w:r>
      <w:r>
        <w:rPr>
          <w:vertAlign w:val="baseline"/>
        </w:rPr>
        <w:t>This demonstration will test whether expanding eligibility for these services to additional populations or providing additional services will improve the health outcomes of certain Medicaid beneficiaries.</w:t>
      </w:r>
      <w:r>
        <w:rPr>
          <w:spacing w:val="40"/>
          <w:vertAlign w:val="baseline"/>
        </w:rPr>
        <w:t> </w:t>
      </w:r>
      <w:r>
        <w:rPr>
          <w:vertAlign w:val="baseline"/>
        </w:rPr>
        <w:t>The demonstration will also test whether a broader range of Medicaid beneficiaries maintain their coverage by</w:t>
      </w:r>
      <w:r>
        <w:rPr>
          <w:spacing w:val="-2"/>
          <w:vertAlign w:val="baseline"/>
        </w:rPr>
        <w:t> </w:t>
      </w:r>
      <w:r>
        <w:rPr>
          <w:vertAlign w:val="baseline"/>
        </w:rPr>
        <w:t>helping to prevent the health-related incidents that could lead to enrollment churn.</w:t>
      </w:r>
      <w:r>
        <w:rPr>
          <w:vertAlign w:val="superscript"/>
        </w:rPr>
        <w:t>6</w:t>
      </w:r>
      <w:r>
        <w:rPr>
          <w:spacing w:val="40"/>
          <w:vertAlign w:val="baseline"/>
        </w:rPr>
        <w:t> </w:t>
      </w:r>
      <w:r>
        <w:rPr>
          <w:vertAlign w:val="baseline"/>
        </w:rPr>
        <w:t>Covering these services for a broader</w:t>
      </w:r>
      <w:r>
        <w:rPr>
          <w:spacing w:val="-2"/>
          <w:vertAlign w:val="baseline"/>
        </w:rPr>
        <w:t> </w:t>
      </w:r>
      <w:r>
        <w:rPr>
          <w:vertAlign w:val="baseline"/>
        </w:rPr>
        <w:t>range</w:t>
      </w:r>
      <w:r>
        <w:rPr>
          <w:spacing w:val="-3"/>
          <w:vertAlign w:val="baseline"/>
        </w:rPr>
        <w:t> </w:t>
      </w:r>
      <w:r>
        <w:rPr>
          <w:vertAlign w:val="baseline"/>
        </w:rPr>
        <w:t>of</w:t>
      </w:r>
      <w:r>
        <w:rPr>
          <w:spacing w:val="-2"/>
          <w:vertAlign w:val="baseline"/>
        </w:rPr>
        <w:t> </w:t>
      </w:r>
      <w:r>
        <w:rPr>
          <w:vertAlign w:val="baseline"/>
        </w:rPr>
        <w:t>beneficiaries,</w:t>
      </w:r>
      <w:r>
        <w:rPr>
          <w:spacing w:val="-2"/>
          <w:vertAlign w:val="baseline"/>
        </w:rPr>
        <w:t> </w:t>
      </w:r>
      <w:r>
        <w:rPr>
          <w:vertAlign w:val="baseline"/>
        </w:rPr>
        <w:t>which</w:t>
      </w:r>
      <w:r>
        <w:rPr>
          <w:spacing w:val="-2"/>
          <w:vertAlign w:val="baseline"/>
        </w:rPr>
        <w:t> </w:t>
      </w:r>
      <w:r>
        <w:rPr>
          <w:vertAlign w:val="baseline"/>
        </w:rPr>
        <w:t>may</w:t>
      </w:r>
      <w:r>
        <w:rPr>
          <w:spacing w:val="-7"/>
          <w:vertAlign w:val="baseline"/>
        </w:rPr>
        <w:t> </w:t>
      </w:r>
      <w:r>
        <w:rPr>
          <w:vertAlign w:val="baseline"/>
        </w:rPr>
        <w:t>improve</w:t>
      </w:r>
      <w:r>
        <w:rPr>
          <w:spacing w:val="-3"/>
          <w:vertAlign w:val="baseline"/>
        </w:rPr>
        <w:t> </w:t>
      </w:r>
      <w:r>
        <w:rPr>
          <w:vertAlign w:val="baseline"/>
        </w:rPr>
        <w:t>their</w:t>
      </w:r>
      <w:r>
        <w:rPr>
          <w:spacing w:val="-3"/>
          <w:vertAlign w:val="baseline"/>
        </w:rPr>
        <w:t> </w:t>
      </w:r>
      <w:r>
        <w:rPr>
          <w:vertAlign w:val="baseline"/>
        </w:rPr>
        <w:t>ability</w:t>
      </w:r>
      <w:r>
        <w:rPr>
          <w:spacing w:val="-7"/>
          <w:vertAlign w:val="baseline"/>
        </w:rPr>
        <w:t> </w:t>
      </w:r>
      <w:r>
        <w:rPr>
          <w:vertAlign w:val="baseline"/>
        </w:rPr>
        <w:t>to</w:t>
      </w:r>
      <w:r>
        <w:rPr>
          <w:spacing w:val="-2"/>
          <w:vertAlign w:val="baseline"/>
        </w:rPr>
        <w:t> </w:t>
      </w:r>
      <w:r>
        <w:rPr>
          <w:vertAlign w:val="baseline"/>
        </w:rPr>
        <w:t>access</w:t>
      </w:r>
      <w:r>
        <w:rPr>
          <w:spacing w:val="-2"/>
          <w:vertAlign w:val="baseline"/>
        </w:rPr>
        <w:t> </w:t>
      </w:r>
      <w:r>
        <w:rPr>
          <w:vertAlign w:val="baseline"/>
        </w:rPr>
        <w:t>care, is</w:t>
      </w:r>
      <w:r>
        <w:rPr>
          <w:spacing w:val="-2"/>
          <w:vertAlign w:val="baseline"/>
        </w:rPr>
        <w:t> </w:t>
      </w:r>
      <w:r>
        <w:rPr>
          <w:vertAlign w:val="baseline"/>
        </w:rPr>
        <w:t>also</w:t>
      </w:r>
      <w:r>
        <w:rPr>
          <w:spacing w:val="-2"/>
          <w:vertAlign w:val="baseline"/>
        </w:rPr>
        <w:t> </w:t>
      </w:r>
      <w:r>
        <w:rPr>
          <w:vertAlign w:val="baseline"/>
        </w:rPr>
        <w:t>expected</w:t>
      </w:r>
      <w:r>
        <w:rPr>
          <w:spacing w:val="-2"/>
          <w:vertAlign w:val="baseline"/>
        </w:rPr>
        <w:t> </w:t>
      </w:r>
      <w:r>
        <w:rPr>
          <w:vertAlign w:val="baseline"/>
        </w:rPr>
        <w:t>to enable the Commonwealth’s Medicaid program to reach more eligible individuals by promoting recipients’ health, reducing the future and downstream cost of medical interventions, and thus</w:t>
      </w:r>
    </w:p>
    <w:p>
      <w:pPr>
        <w:pStyle w:val="BodyText"/>
        <w:spacing w:before="1"/>
        <w:ind w:left="1440" w:right="1239"/>
      </w:pPr>
      <w:r>
        <w:rPr/>
        <w:t>allowing</w:t>
      </w:r>
      <w:r>
        <w:rPr>
          <w:spacing w:val="-2"/>
        </w:rPr>
        <w:t> </w:t>
      </w:r>
      <w:r>
        <w:rPr/>
        <w:t>the program’s resources to go farther.</w:t>
      </w:r>
      <w:r>
        <w:rPr>
          <w:spacing w:val="40"/>
        </w:rPr>
        <w:t> </w:t>
      </w:r>
      <w:r>
        <w:rPr/>
        <w:t>These services are also expected to further help reduce health disparities that are often rooted in social and economic disadvantages.</w:t>
      </w:r>
      <w:r>
        <w:rPr>
          <w:vertAlign w:val="superscript"/>
        </w:rPr>
        <w:t>7</w:t>
      </w:r>
      <w:r>
        <w:rPr>
          <w:spacing w:val="40"/>
          <w:vertAlign w:val="baseline"/>
        </w:rPr>
        <w:t> </w:t>
      </w:r>
      <w:r>
        <w:rPr>
          <w:vertAlign w:val="baseline"/>
        </w:rPr>
        <w:t>Thus, broadening</w:t>
      </w:r>
      <w:r>
        <w:rPr>
          <w:spacing w:val="-4"/>
          <w:vertAlign w:val="baseline"/>
        </w:rPr>
        <w:t> </w:t>
      </w:r>
      <w:r>
        <w:rPr>
          <w:vertAlign w:val="baseline"/>
        </w:rPr>
        <w:t>the</w:t>
      </w:r>
      <w:r>
        <w:rPr>
          <w:spacing w:val="-1"/>
          <w:vertAlign w:val="baseline"/>
        </w:rPr>
        <w:t> </w:t>
      </w:r>
      <w:r>
        <w:rPr>
          <w:vertAlign w:val="baseline"/>
        </w:rPr>
        <w:t>availability</w:t>
      </w:r>
      <w:r>
        <w:rPr>
          <w:spacing w:val="-4"/>
          <w:vertAlign w:val="baseline"/>
        </w:rPr>
        <w:t> </w:t>
      </w:r>
      <w:r>
        <w:rPr>
          <w:vertAlign w:val="baseline"/>
        </w:rPr>
        <w:t>of certain</w:t>
      </w:r>
      <w:r>
        <w:rPr>
          <w:spacing w:val="-1"/>
          <w:vertAlign w:val="baseline"/>
        </w:rPr>
        <w:t> </w:t>
      </w:r>
      <w:r>
        <w:rPr>
          <w:vertAlign w:val="baseline"/>
        </w:rPr>
        <w:t>HRSN</w:t>
      </w:r>
      <w:r>
        <w:rPr>
          <w:spacing w:val="-1"/>
          <w:vertAlign w:val="baseline"/>
        </w:rPr>
        <w:t> </w:t>
      </w:r>
      <w:r>
        <w:rPr>
          <w:vertAlign w:val="baseline"/>
        </w:rPr>
        <w:t>services</w:t>
      </w:r>
      <w:r>
        <w:rPr>
          <w:spacing w:val="-1"/>
          <w:vertAlign w:val="baseline"/>
        </w:rPr>
        <w:t> </w:t>
      </w:r>
      <w:r>
        <w:rPr>
          <w:vertAlign w:val="baseline"/>
        </w:rPr>
        <w:t>is</w:t>
      </w:r>
      <w:r>
        <w:rPr>
          <w:spacing w:val="-1"/>
          <w:vertAlign w:val="baseline"/>
        </w:rPr>
        <w:t> </w:t>
      </w:r>
      <w:r>
        <w:rPr>
          <w:vertAlign w:val="baseline"/>
        </w:rPr>
        <w:t>expected</w:t>
      </w:r>
      <w:r>
        <w:rPr>
          <w:spacing w:val="-1"/>
          <w:vertAlign w:val="baseline"/>
        </w:rPr>
        <w:t> </w:t>
      </w:r>
      <w:r>
        <w:rPr>
          <w:vertAlign w:val="baseline"/>
        </w:rPr>
        <w:t>to</w:t>
      </w:r>
      <w:r>
        <w:rPr>
          <w:spacing w:val="-1"/>
          <w:vertAlign w:val="baseline"/>
        </w:rPr>
        <w:t> </w:t>
      </w:r>
      <w:r>
        <w:rPr>
          <w:vertAlign w:val="baseline"/>
        </w:rPr>
        <w:t>promote</w:t>
      </w:r>
      <w:r>
        <w:rPr>
          <w:spacing w:val="-2"/>
          <w:vertAlign w:val="baseline"/>
        </w:rPr>
        <w:t> </w:t>
      </w:r>
      <w:r>
        <w:rPr>
          <w:vertAlign w:val="baseline"/>
        </w:rPr>
        <w:t>coverage,</w:t>
      </w:r>
      <w:r>
        <w:rPr>
          <w:spacing w:val="-1"/>
          <w:vertAlign w:val="baseline"/>
        </w:rPr>
        <w:t> </w:t>
      </w:r>
      <w:r>
        <w:rPr>
          <w:vertAlign w:val="baseline"/>
        </w:rPr>
        <w:t>access</w:t>
      </w:r>
      <w:r>
        <w:rPr>
          <w:spacing w:val="-1"/>
          <w:vertAlign w:val="baseline"/>
        </w:rPr>
        <w:t> </w:t>
      </w:r>
      <w:r>
        <w:rPr>
          <w:vertAlign w:val="baseline"/>
        </w:rPr>
        <w:t>to and quality of care, improve health outcomes, reduce health disparities, and create long-term, more cost-effective alternatives or supplements to traditional medical services.</w:t>
      </w:r>
      <w:r>
        <w:rPr>
          <w:spacing w:val="40"/>
          <w:vertAlign w:val="baseline"/>
        </w:rPr>
        <w:t> </w:t>
      </w:r>
      <w:r>
        <w:rPr>
          <w:vertAlign w:val="baseline"/>
        </w:rPr>
        <w:t>CMS’s authorization</w:t>
      </w:r>
      <w:r>
        <w:rPr>
          <w:spacing w:val="-3"/>
          <w:vertAlign w:val="baseline"/>
        </w:rPr>
        <w:t> </w:t>
      </w:r>
      <w:r>
        <w:rPr>
          <w:vertAlign w:val="baseline"/>
        </w:rPr>
        <w:t>of</w:t>
      </w:r>
      <w:r>
        <w:rPr>
          <w:spacing w:val="-4"/>
          <w:vertAlign w:val="baseline"/>
        </w:rPr>
        <w:t> </w:t>
      </w:r>
      <w:r>
        <w:rPr>
          <w:vertAlign w:val="baseline"/>
        </w:rPr>
        <w:t>limited</w:t>
      </w:r>
      <w:r>
        <w:rPr>
          <w:spacing w:val="-3"/>
          <w:vertAlign w:val="baseline"/>
        </w:rPr>
        <w:t> </w:t>
      </w:r>
      <w:r>
        <w:rPr>
          <w:vertAlign w:val="baseline"/>
        </w:rPr>
        <w:t>infrastructure</w:t>
      </w:r>
      <w:r>
        <w:rPr>
          <w:spacing w:val="-4"/>
          <w:vertAlign w:val="baseline"/>
        </w:rPr>
        <w:t> </w:t>
      </w:r>
      <w:r>
        <w:rPr>
          <w:vertAlign w:val="baseline"/>
        </w:rPr>
        <w:t>spending</w:t>
      </w:r>
      <w:r>
        <w:rPr>
          <w:spacing w:val="-6"/>
          <w:vertAlign w:val="baseline"/>
        </w:rPr>
        <w:t> </w:t>
      </w:r>
      <w:r>
        <w:rPr>
          <w:vertAlign w:val="baseline"/>
        </w:rPr>
        <w:t>as</w:t>
      </w:r>
      <w:r>
        <w:rPr>
          <w:spacing w:val="-2"/>
          <w:vertAlign w:val="baseline"/>
        </w:rPr>
        <w:t> </w:t>
      </w:r>
      <w:r>
        <w:rPr>
          <w:vertAlign w:val="baseline"/>
        </w:rPr>
        <w:t>part</w:t>
      </w:r>
      <w:r>
        <w:rPr>
          <w:spacing w:val="-3"/>
          <w:vertAlign w:val="baseline"/>
        </w:rPr>
        <w:t> </w:t>
      </w:r>
      <w:r>
        <w:rPr>
          <w:vertAlign w:val="baseline"/>
        </w:rPr>
        <w:t>of</w:t>
      </w:r>
      <w:r>
        <w:rPr>
          <w:spacing w:val="-4"/>
          <w:vertAlign w:val="baseline"/>
        </w:rPr>
        <w:t> </w:t>
      </w:r>
      <w:r>
        <w:rPr>
          <w:vertAlign w:val="baseline"/>
        </w:rPr>
        <w:t>this</w:t>
      </w:r>
      <w:r>
        <w:rPr>
          <w:spacing w:val="-3"/>
          <w:vertAlign w:val="baseline"/>
        </w:rPr>
        <w:t> </w:t>
      </w:r>
      <w:r>
        <w:rPr>
          <w:vertAlign w:val="baseline"/>
        </w:rPr>
        <w:t>HRSN</w:t>
      </w:r>
      <w:r>
        <w:rPr>
          <w:spacing w:val="-3"/>
          <w:vertAlign w:val="baseline"/>
        </w:rPr>
        <w:t> </w:t>
      </w:r>
      <w:r>
        <w:rPr>
          <w:vertAlign w:val="baseline"/>
        </w:rPr>
        <w:t>framework,</w:t>
      </w:r>
      <w:r>
        <w:rPr>
          <w:spacing w:val="-3"/>
          <w:vertAlign w:val="baseline"/>
        </w:rPr>
        <w:t> </w:t>
      </w:r>
      <w:r>
        <w:rPr>
          <w:vertAlign w:val="baseline"/>
        </w:rPr>
        <w:t>such</w:t>
      </w:r>
      <w:r>
        <w:rPr>
          <w:spacing w:val="-3"/>
          <w:vertAlign w:val="baseline"/>
        </w:rPr>
        <w:t> </w:t>
      </w:r>
      <w:r>
        <w:rPr>
          <w:vertAlign w:val="baseline"/>
        </w:rPr>
        <w:t>as</w:t>
      </w:r>
      <w:r>
        <w:rPr>
          <w:spacing w:val="-3"/>
          <w:vertAlign w:val="baseline"/>
        </w:rPr>
        <w:t> </w:t>
      </w:r>
      <w:r>
        <w:rPr>
          <w:vertAlign w:val="baseline"/>
        </w:rPr>
        <w:t>paying for health information technology system investments and provider workforce investments, is expected</w:t>
      </w:r>
      <w:r>
        <w:rPr>
          <w:spacing w:val="-3"/>
          <w:vertAlign w:val="baseline"/>
        </w:rPr>
        <w:t> </w:t>
      </w:r>
      <w:r>
        <w:rPr>
          <w:vertAlign w:val="baseline"/>
        </w:rPr>
        <w:t>to</w:t>
      </w:r>
      <w:r>
        <w:rPr>
          <w:spacing w:val="-3"/>
          <w:vertAlign w:val="baseline"/>
        </w:rPr>
        <w:t> </w:t>
      </w:r>
      <w:r>
        <w:rPr>
          <w:vertAlign w:val="baseline"/>
        </w:rPr>
        <w:t>help</w:t>
      </w:r>
      <w:r>
        <w:rPr>
          <w:spacing w:val="-3"/>
          <w:vertAlign w:val="baseline"/>
        </w:rPr>
        <w:t> </w:t>
      </w:r>
      <w:r>
        <w:rPr>
          <w:vertAlign w:val="baseline"/>
        </w:rPr>
        <w:t>providers</w:t>
      </w:r>
      <w:r>
        <w:rPr>
          <w:spacing w:val="-3"/>
          <w:vertAlign w:val="baseline"/>
        </w:rPr>
        <w:t> </w:t>
      </w:r>
      <w:r>
        <w:rPr>
          <w:vertAlign w:val="baseline"/>
        </w:rPr>
        <w:t>that</w:t>
      </w:r>
      <w:r>
        <w:rPr>
          <w:spacing w:val="-3"/>
          <w:vertAlign w:val="baseline"/>
        </w:rPr>
        <w:t> </w:t>
      </w:r>
      <w:r>
        <w:rPr>
          <w:vertAlign w:val="baseline"/>
        </w:rPr>
        <w:t>furnish</w:t>
      </w:r>
      <w:r>
        <w:rPr>
          <w:spacing w:val="-3"/>
          <w:vertAlign w:val="baseline"/>
        </w:rPr>
        <w:t> </w:t>
      </w:r>
      <w:r>
        <w:rPr>
          <w:vertAlign w:val="baseline"/>
        </w:rPr>
        <w:t>covered</w:t>
      </w:r>
      <w:r>
        <w:rPr>
          <w:spacing w:val="-3"/>
          <w:vertAlign w:val="baseline"/>
        </w:rPr>
        <w:t> </w:t>
      </w:r>
      <w:r>
        <w:rPr>
          <w:vertAlign w:val="baseline"/>
        </w:rPr>
        <w:t>services</w:t>
      </w:r>
      <w:r>
        <w:rPr>
          <w:spacing w:val="-3"/>
          <w:vertAlign w:val="baseline"/>
        </w:rPr>
        <w:t> </w:t>
      </w:r>
      <w:r>
        <w:rPr>
          <w:vertAlign w:val="baseline"/>
        </w:rPr>
        <w:t>to</w:t>
      </w:r>
      <w:r>
        <w:rPr>
          <w:spacing w:val="-3"/>
          <w:vertAlign w:val="baseline"/>
        </w:rPr>
        <w:t> </w:t>
      </w:r>
      <w:r>
        <w:rPr>
          <w:vertAlign w:val="baseline"/>
        </w:rPr>
        <w:t>beneficiaries</w:t>
      </w:r>
      <w:r>
        <w:rPr>
          <w:spacing w:val="-3"/>
          <w:vertAlign w:val="baseline"/>
        </w:rPr>
        <w:t> </w:t>
      </w:r>
      <w:r>
        <w:rPr>
          <w:vertAlign w:val="baseline"/>
        </w:rPr>
        <w:t>improve</w:t>
      </w:r>
      <w:r>
        <w:rPr>
          <w:spacing w:val="-5"/>
          <w:vertAlign w:val="baseline"/>
        </w:rPr>
        <w:t> </w:t>
      </w:r>
      <w:r>
        <w:rPr>
          <w:vertAlign w:val="baseline"/>
        </w:rPr>
        <w:t>the</w:t>
      </w:r>
      <w:r>
        <w:rPr>
          <w:spacing w:val="-3"/>
          <w:vertAlign w:val="baseline"/>
        </w:rPr>
        <w:t> </w:t>
      </w:r>
      <w:r>
        <w:rPr>
          <w:vertAlign w:val="baseline"/>
        </w:rPr>
        <w:t>availability and quality of their services, thereby improving health outcomes for beneficiaries.</w:t>
      </w:r>
      <w:r>
        <w:rPr>
          <w:spacing w:val="40"/>
          <w:vertAlign w:val="baseline"/>
        </w:rPr>
        <w:t> </w:t>
      </w:r>
      <w:r>
        <w:rPr>
          <w:vertAlign w:val="baseline"/>
        </w:rPr>
        <w:t>CMS also expects the Commonwealth to maintain existing state level funding and efforts for HRSN services, without this demonstration authority supplanting existing efforts, and to have in place</w:t>
      </w:r>
    </w:p>
    <w:p>
      <w:pPr>
        <w:pStyle w:val="BodyText"/>
        <w:spacing w:before="6"/>
        <w:rPr>
          <w:sz w:val="28"/>
        </w:rPr>
      </w:pPr>
      <w:r>
        <w:rPr/>
        <mc:AlternateContent>
          <mc:Choice Requires="wps">
            <w:drawing>
              <wp:anchor distT="0" distB="0" distL="0" distR="0" allowOverlap="1" layoutInCell="1" locked="0" behindDoc="1" simplePos="0" relativeHeight="487588864">
                <wp:simplePos x="0" y="0"/>
                <wp:positionH relativeFrom="page">
                  <wp:posOffset>914704</wp:posOffset>
                </wp:positionH>
                <wp:positionV relativeFrom="paragraph">
                  <wp:posOffset>223757</wp:posOffset>
                </wp:positionV>
                <wp:extent cx="1829435" cy="762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7.61869pt;width:144.020pt;height:.60004pt;mso-position-horizontal-relative:page;mso-position-vertical-relative:paragraph;z-index:-15727616;mso-wrap-distance-left:0;mso-wrap-distance-right:0" id="docshape3" filled="true" fillcolor="#000000" stroked="false">
                <v:fill type="solid"/>
                <w10:wrap type="topAndBottom"/>
              </v:rect>
            </w:pict>
          </mc:Fallback>
        </mc:AlternateContent>
      </w:r>
    </w:p>
    <w:p>
      <w:pPr>
        <w:spacing w:before="103"/>
        <w:ind w:left="1440" w:right="1356" w:firstLine="0"/>
        <w:jc w:val="left"/>
        <w:rPr>
          <w:sz w:val="20"/>
        </w:rPr>
      </w:pPr>
      <w:r>
        <w:rPr>
          <w:sz w:val="20"/>
          <w:vertAlign w:val="superscript"/>
        </w:rPr>
        <w:t>5</w:t>
      </w:r>
      <w:r>
        <w:rPr>
          <w:sz w:val="20"/>
          <w:vertAlign w:val="baseline"/>
        </w:rPr>
        <w:t> September 23, 2021. ASPE Contractor Project Report: Building the Evidence Base for Social Determinants of Health Interventions. </w:t>
      </w:r>
      <w:hyperlink r:id="rId12">
        <w:r>
          <w:rPr>
            <w:color w:val="0000FF"/>
            <w:sz w:val="20"/>
            <w:u w:val="single" w:color="0000FF"/>
            <w:vertAlign w:val="baseline"/>
          </w:rPr>
          <w:t>https://aspe.hhs.gov/reports/building-evidence-base-social-determinants-health-interventions</w:t>
        </w:r>
      </w:hyperlink>
      <w:r>
        <w:rPr>
          <w:color w:val="0000FF"/>
          <w:sz w:val="20"/>
          <w:vertAlign w:val="baseline"/>
        </w:rPr>
        <w:t> </w:t>
      </w:r>
      <w:r>
        <w:rPr>
          <w:sz w:val="20"/>
          <w:vertAlign w:val="superscript"/>
        </w:rPr>
        <w:t>6</w:t>
      </w:r>
      <w:r>
        <w:rPr>
          <w:spacing w:val="-4"/>
          <w:sz w:val="20"/>
          <w:vertAlign w:val="baseline"/>
        </w:rPr>
        <w:t> </w:t>
      </w:r>
      <w:r>
        <w:rPr>
          <w:sz w:val="20"/>
          <w:vertAlign w:val="baseline"/>
        </w:rPr>
        <w:t>April</w:t>
      </w:r>
      <w:r>
        <w:rPr>
          <w:spacing w:val="-4"/>
          <w:sz w:val="20"/>
          <w:vertAlign w:val="baseline"/>
        </w:rPr>
        <w:t> </w:t>
      </w:r>
      <w:r>
        <w:rPr>
          <w:sz w:val="20"/>
          <w:vertAlign w:val="baseline"/>
        </w:rPr>
        <w:t>12,</w:t>
      </w:r>
      <w:r>
        <w:rPr>
          <w:spacing w:val="-4"/>
          <w:sz w:val="20"/>
          <w:vertAlign w:val="baseline"/>
        </w:rPr>
        <w:t> </w:t>
      </w:r>
      <w:r>
        <w:rPr>
          <w:sz w:val="20"/>
          <w:vertAlign w:val="baseline"/>
        </w:rPr>
        <w:t>2021.</w:t>
      </w:r>
      <w:r>
        <w:rPr>
          <w:spacing w:val="-4"/>
          <w:sz w:val="20"/>
          <w:vertAlign w:val="baseline"/>
        </w:rPr>
        <w:t> </w:t>
      </w:r>
      <w:r>
        <w:rPr>
          <w:sz w:val="20"/>
          <w:vertAlign w:val="baseline"/>
        </w:rPr>
        <w:t>Medicaid</w:t>
      </w:r>
      <w:r>
        <w:rPr>
          <w:spacing w:val="-3"/>
          <w:sz w:val="20"/>
          <w:vertAlign w:val="baseline"/>
        </w:rPr>
        <w:t> </w:t>
      </w:r>
      <w:r>
        <w:rPr>
          <w:sz w:val="20"/>
          <w:vertAlign w:val="baseline"/>
        </w:rPr>
        <w:t>Churning</w:t>
      </w:r>
      <w:r>
        <w:rPr>
          <w:spacing w:val="-4"/>
          <w:sz w:val="20"/>
          <w:vertAlign w:val="baseline"/>
        </w:rPr>
        <w:t> </w:t>
      </w:r>
      <w:r>
        <w:rPr>
          <w:sz w:val="20"/>
          <w:vertAlign w:val="baseline"/>
        </w:rPr>
        <w:t>and</w:t>
      </w:r>
      <w:r>
        <w:rPr>
          <w:spacing w:val="-3"/>
          <w:sz w:val="20"/>
          <w:vertAlign w:val="baseline"/>
        </w:rPr>
        <w:t> </w:t>
      </w:r>
      <w:r>
        <w:rPr>
          <w:sz w:val="20"/>
          <w:vertAlign w:val="baseline"/>
        </w:rPr>
        <w:t>Continuity</w:t>
      </w:r>
      <w:r>
        <w:rPr>
          <w:spacing w:val="-4"/>
          <w:sz w:val="20"/>
          <w:vertAlign w:val="baseline"/>
        </w:rPr>
        <w:t> </w:t>
      </w:r>
      <w:r>
        <w:rPr>
          <w:sz w:val="20"/>
          <w:vertAlign w:val="baseline"/>
        </w:rPr>
        <w:t>of</w:t>
      </w:r>
      <w:r>
        <w:rPr>
          <w:spacing w:val="-3"/>
          <w:sz w:val="20"/>
          <w:vertAlign w:val="baseline"/>
        </w:rPr>
        <w:t> </w:t>
      </w:r>
      <w:r>
        <w:rPr>
          <w:sz w:val="20"/>
          <w:vertAlign w:val="baseline"/>
        </w:rPr>
        <w:t>Care:</w:t>
      </w:r>
      <w:r>
        <w:rPr>
          <w:spacing w:val="-4"/>
          <w:sz w:val="20"/>
          <w:vertAlign w:val="baseline"/>
        </w:rPr>
        <w:t> </w:t>
      </w:r>
      <w:r>
        <w:rPr>
          <w:sz w:val="20"/>
          <w:vertAlign w:val="baseline"/>
        </w:rPr>
        <w:t>Evidence</w:t>
      </w:r>
      <w:r>
        <w:rPr>
          <w:spacing w:val="-4"/>
          <w:sz w:val="20"/>
          <w:vertAlign w:val="baseline"/>
        </w:rPr>
        <w:t> </w:t>
      </w:r>
      <w:r>
        <w:rPr>
          <w:sz w:val="20"/>
          <w:vertAlign w:val="baseline"/>
        </w:rPr>
        <w:t>and</w:t>
      </w:r>
      <w:r>
        <w:rPr>
          <w:spacing w:val="-3"/>
          <w:sz w:val="20"/>
          <w:vertAlign w:val="baseline"/>
        </w:rPr>
        <w:t> </w:t>
      </w:r>
      <w:r>
        <w:rPr>
          <w:sz w:val="20"/>
          <w:vertAlign w:val="baseline"/>
        </w:rPr>
        <w:t>Policy</w:t>
      </w:r>
      <w:r>
        <w:rPr>
          <w:spacing w:val="-7"/>
          <w:sz w:val="20"/>
          <w:vertAlign w:val="baseline"/>
        </w:rPr>
        <w:t> </w:t>
      </w:r>
      <w:r>
        <w:rPr>
          <w:sz w:val="20"/>
          <w:vertAlign w:val="baseline"/>
        </w:rPr>
        <w:t>Considerations</w:t>
      </w:r>
      <w:r>
        <w:rPr>
          <w:spacing w:val="-4"/>
          <w:sz w:val="20"/>
          <w:vertAlign w:val="baseline"/>
        </w:rPr>
        <w:t> </w:t>
      </w:r>
      <w:r>
        <w:rPr>
          <w:sz w:val="20"/>
          <w:vertAlign w:val="baseline"/>
        </w:rPr>
        <w:t>Before</w:t>
      </w:r>
      <w:r>
        <w:rPr>
          <w:spacing w:val="-4"/>
          <w:sz w:val="20"/>
          <w:vertAlign w:val="baseline"/>
        </w:rPr>
        <w:t> </w:t>
      </w:r>
      <w:r>
        <w:rPr>
          <w:sz w:val="20"/>
          <w:vertAlign w:val="baseline"/>
        </w:rPr>
        <w:t>and</w:t>
      </w:r>
      <w:r>
        <w:rPr>
          <w:spacing w:val="-1"/>
          <w:sz w:val="20"/>
          <w:vertAlign w:val="baseline"/>
        </w:rPr>
        <w:t> </w:t>
      </w:r>
      <w:r>
        <w:rPr>
          <w:sz w:val="20"/>
          <w:vertAlign w:val="baseline"/>
        </w:rPr>
        <w:t>After the COVID-19 Pandemic. </w:t>
      </w:r>
      <w:hyperlink r:id="rId13">
        <w:r>
          <w:rPr>
            <w:color w:val="0000FF"/>
            <w:sz w:val="20"/>
            <w:u w:val="single" w:color="0000FF"/>
            <w:vertAlign w:val="baseline"/>
          </w:rPr>
          <w:t>https://aspe.hhs.gov/sites/default/files/private/pdf/265366/medicaid-churning-ib.pdf</w:t>
        </w:r>
      </w:hyperlink>
    </w:p>
    <w:p>
      <w:pPr>
        <w:spacing w:before="120"/>
        <w:ind w:left="1440" w:right="1251" w:firstLine="0"/>
        <w:jc w:val="left"/>
        <w:rPr>
          <w:sz w:val="20"/>
        </w:rPr>
      </w:pPr>
      <w:r>
        <w:rPr>
          <w:sz w:val="20"/>
          <w:vertAlign w:val="superscript"/>
        </w:rPr>
        <w:t>7</w:t>
      </w:r>
      <w:r>
        <w:rPr>
          <w:sz w:val="20"/>
          <w:vertAlign w:val="baseline"/>
        </w:rPr>
        <w:t> April, 1, 2022. Addressing Social Determinants of Health: Examples of Successful Evidence-Based Strategies and Current Federal Effort.</w:t>
      </w:r>
      <w:r>
        <w:rPr>
          <w:spacing w:val="80"/>
          <w:sz w:val="20"/>
          <w:vertAlign w:val="baseline"/>
        </w:rPr>
        <w:t> </w:t>
      </w:r>
      <w:hyperlink r:id="rId14">
        <w:r>
          <w:rPr>
            <w:color w:val="0000FF"/>
            <w:spacing w:val="-2"/>
            <w:sz w:val="20"/>
            <w:u w:val="single" w:color="0000FF"/>
            <w:vertAlign w:val="baseline"/>
          </w:rPr>
          <w:t>https://aspe.hhs.gov/sites/default/files/documents/e2b650cd64cf84aae8ff0fae7474af82/SDOH-Evidence-Review.pdf</w:t>
        </w:r>
      </w:hyperlink>
    </w:p>
    <w:p>
      <w:pPr>
        <w:spacing w:after="0"/>
        <w:jc w:val="left"/>
        <w:rPr>
          <w:sz w:val="20"/>
        </w:rPr>
        <w:sectPr>
          <w:pgSz w:w="12240" w:h="15840"/>
          <w:pgMar w:top="640" w:bottom="280" w:left="0" w:right="220"/>
        </w:sectPr>
      </w:pPr>
    </w:p>
    <w:p>
      <w:pPr>
        <w:pStyle w:val="BodyText"/>
        <w:spacing w:before="79"/>
        <w:ind w:right="1218"/>
        <w:jc w:val="right"/>
      </w:pPr>
      <w:r>
        <w:rPr/>
        <w:t>Page</w:t>
      </w:r>
      <w:r>
        <w:rPr>
          <w:spacing w:val="-7"/>
        </w:rPr>
        <w:t> </w:t>
      </w:r>
      <w:r>
        <w:rPr>
          <w:spacing w:val="-10"/>
        </w:rPr>
        <w:t>6</w:t>
      </w:r>
    </w:p>
    <w:p>
      <w:pPr>
        <w:pStyle w:val="BodyText"/>
        <w:spacing w:before="7"/>
        <w:rPr>
          <w:sz w:val="38"/>
        </w:rPr>
      </w:pPr>
    </w:p>
    <w:p>
      <w:pPr>
        <w:pStyle w:val="BodyText"/>
        <w:ind w:left="1440" w:right="1239"/>
      </w:pPr>
      <w:r>
        <w:rPr/>
        <w:t>partnerships</w:t>
      </w:r>
      <w:r>
        <w:rPr>
          <w:spacing w:val="-4"/>
        </w:rPr>
        <w:t> </w:t>
      </w:r>
      <w:r>
        <w:rPr/>
        <w:t>with</w:t>
      </w:r>
      <w:r>
        <w:rPr>
          <w:spacing w:val="-4"/>
        </w:rPr>
        <w:t> </w:t>
      </w:r>
      <w:r>
        <w:rPr/>
        <w:t>other</w:t>
      </w:r>
      <w:r>
        <w:rPr>
          <w:spacing w:val="-6"/>
        </w:rPr>
        <w:t> </w:t>
      </w:r>
      <w:r>
        <w:rPr/>
        <w:t>Commonwealth</w:t>
      </w:r>
      <w:r>
        <w:rPr>
          <w:spacing w:val="-4"/>
        </w:rPr>
        <w:t> </w:t>
      </w:r>
      <w:r>
        <w:rPr/>
        <w:t>and</w:t>
      </w:r>
      <w:r>
        <w:rPr>
          <w:spacing w:val="-4"/>
        </w:rPr>
        <w:t> </w:t>
      </w:r>
      <w:r>
        <w:rPr/>
        <w:t>local</w:t>
      </w:r>
      <w:r>
        <w:rPr>
          <w:spacing w:val="-2"/>
        </w:rPr>
        <w:t> </w:t>
      </w:r>
      <w:r>
        <w:rPr/>
        <w:t>entities</w:t>
      </w:r>
      <w:r>
        <w:rPr>
          <w:spacing w:val="-4"/>
        </w:rPr>
        <w:t> </w:t>
      </w:r>
      <w:r>
        <w:rPr/>
        <w:t>to</w:t>
      </w:r>
      <w:r>
        <w:rPr>
          <w:spacing w:val="-4"/>
        </w:rPr>
        <w:t> </w:t>
      </w:r>
      <w:r>
        <w:rPr/>
        <w:t>coordinate</w:t>
      </w:r>
      <w:r>
        <w:rPr>
          <w:spacing w:val="-5"/>
        </w:rPr>
        <w:t> </w:t>
      </w:r>
      <w:r>
        <w:rPr/>
        <w:t>possible</w:t>
      </w:r>
      <w:r>
        <w:rPr>
          <w:spacing w:val="-5"/>
        </w:rPr>
        <w:t> </w:t>
      </w:r>
      <w:r>
        <w:rPr/>
        <w:t>pathways</w:t>
      </w:r>
      <w:r>
        <w:rPr>
          <w:spacing w:val="-4"/>
        </w:rPr>
        <w:t> </w:t>
      </w:r>
      <w:r>
        <w:rPr/>
        <w:t>to permanency for services to be provided without demonstration authorities.</w:t>
      </w:r>
    </w:p>
    <w:p>
      <w:pPr>
        <w:pStyle w:val="BodyText"/>
      </w:pPr>
    </w:p>
    <w:p>
      <w:pPr>
        <w:pStyle w:val="BodyText"/>
        <w:ind w:left="1440" w:right="1290"/>
      </w:pPr>
      <w:r>
        <w:rPr/>
        <w:t>Over the life of the MassHealth demonstration, the Commonwealth has taken steps to introduce programs</w:t>
      </w:r>
      <w:r>
        <w:rPr>
          <w:spacing w:val="-3"/>
        </w:rPr>
        <w:t> </w:t>
      </w:r>
      <w:r>
        <w:rPr/>
        <w:t>and</w:t>
      </w:r>
      <w:r>
        <w:rPr>
          <w:spacing w:val="-3"/>
        </w:rPr>
        <w:t> </w:t>
      </w:r>
      <w:r>
        <w:rPr/>
        <w:t>services</w:t>
      </w:r>
      <w:r>
        <w:rPr>
          <w:spacing w:val="-3"/>
        </w:rPr>
        <w:t> </w:t>
      </w:r>
      <w:r>
        <w:rPr/>
        <w:t>that</w:t>
      </w:r>
      <w:r>
        <w:rPr>
          <w:spacing w:val="-3"/>
        </w:rPr>
        <w:t> </w:t>
      </w:r>
      <w:r>
        <w:rPr/>
        <w:t>address</w:t>
      </w:r>
      <w:r>
        <w:rPr>
          <w:spacing w:val="-3"/>
        </w:rPr>
        <w:t> </w:t>
      </w:r>
      <w:r>
        <w:rPr/>
        <w:t>HRSN</w:t>
      </w:r>
      <w:r>
        <w:rPr>
          <w:spacing w:val="-3"/>
        </w:rPr>
        <w:t> </w:t>
      </w:r>
      <w:r>
        <w:rPr/>
        <w:t>for</w:t>
      </w:r>
      <w:r>
        <w:rPr>
          <w:spacing w:val="-3"/>
        </w:rPr>
        <w:t> </w:t>
      </w:r>
      <w:r>
        <w:rPr/>
        <w:t>individuals</w:t>
      </w:r>
      <w:r>
        <w:rPr>
          <w:spacing w:val="-3"/>
        </w:rPr>
        <w:t> </w:t>
      </w:r>
      <w:r>
        <w:rPr/>
        <w:t>meeting</w:t>
      </w:r>
      <w:r>
        <w:rPr>
          <w:spacing w:val="-6"/>
        </w:rPr>
        <w:t> </w:t>
      </w:r>
      <w:r>
        <w:rPr/>
        <w:t>certain</w:t>
      </w:r>
      <w:r>
        <w:rPr>
          <w:spacing w:val="-3"/>
        </w:rPr>
        <w:t> </w:t>
      </w:r>
      <w:r>
        <w:rPr/>
        <w:t>clinical</w:t>
      </w:r>
      <w:r>
        <w:rPr>
          <w:spacing w:val="-3"/>
        </w:rPr>
        <w:t> </w:t>
      </w:r>
      <w:r>
        <w:rPr/>
        <w:t>and</w:t>
      </w:r>
      <w:r>
        <w:rPr>
          <w:spacing w:val="-3"/>
        </w:rPr>
        <w:t> </w:t>
      </w:r>
      <w:r>
        <w:rPr/>
        <w:t>risk-based needs criteria, specifically through Specialized Community Support Programs (CSPs) and the Flexible Services Program (FSP).</w:t>
      </w:r>
      <w:r>
        <w:rPr>
          <w:spacing w:val="40"/>
        </w:rPr>
        <w:t> </w:t>
      </w:r>
      <w:r>
        <w:rPr/>
        <w:t>CMS is extending the expenditure authority to continue delivery of Specialized CSP services and FSP services, as well as authorizing the expansion of eligibility and the coverage of new services.</w:t>
      </w:r>
      <w:r>
        <w:rPr>
          <w:spacing w:val="40"/>
        </w:rPr>
        <w:t> </w:t>
      </w:r>
      <w:r>
        <w:rPr/>
        <w:t>CSP services are outreach and supportive services to</w:t>
      </w:r>
      <w:r>
        <w:rPr>
          <w:spacing w:val="-2"/>
        </w:rPr>
        <w:t> </w:t>
      </w:r>
      <w:r>
        <w:rPr/>
        <w:t>enable</w:t>
      </w:r>
      <w:r>
        <w:rPr>
          <w:spacing w:val="-2"/>
        </w:rPr>
        <w:t> </w:t>
      </w:r>
      <w:r>
        <w:rPr/>
        <w:t>beneficiaries</w:t>
      </w:r>
      <w:r>
        <w:rPr>
          <w:spacing w:val="-2"/>
        </w:rPr>
        <w:t> </w:t>
      </w:r>
      <w:r>
        <w:rPr/>
        <w:t>with</w:t>
      </w:r>
      <w:r>
        <w:rPr>
          <w:spacing w:val="-2"/>
        </w:rPr>
        <w:t> </w:t>
      </w:r>
      <w:r>
        <w:rPr/>
        <w:t>a</w:t>
      </w:r>
      <w:r>
        <w:rPr>
          <w:spacing w:val="-3"/>
        </w:rPr>
        <w:t> </w:t>
      </w:r>
      <w:r>
        <w:rPr/>
        <w:t>history</w:t>
      </w:r>
      <w:r>
        <w:rPr>
          <w:spacing w:val="-7"/>
        </w:rPr>
        <w:t> </w:t>
      </w:r>
      <w:r>
        <w:rPr/>
        <w:t>of</w:t>
      </w:r>
      <w:r>
        <w:rPr>
          <w:spacing w:val="-2"/>
        </w:rPr>
        <w:t> </w:t>
      </w:r>
      <w:r>
        <w:rPr/>
        <w:t>a</w:t>
      </w:r>
      <w:r>
        <w:rPr>
          <w:spacing w:val="-4"/>
        </w:rPr>
        <w:t> </w:t>
      </w:r>
      <w:r>
        <w:rPr/>
        <w:t>psychiatric</w:t>
      </w:r>
      <w:r>
        <w:rPr>
          <w:spacing w:val="-4"/>
        </w:rPr>
        <w:t> </w:t>
      </w:r>
      <w:r>
        <w:rPr/>
        <w:t>or</w:t>
      </w:r>
      <w:r>
        <w:rPr>
          <w:spacing w:val="-2"/>
        </w:rPr>
        <w:t> </w:t>
      </w:r>
      <w:r>
        <w:rPr/>
        <w:t>substance</w:t>
      </w:r>
      <w:r>
        <w:rPr>
          <w:spacing w:val="-3"/>
        </w:rPr>
        <w:t> </w:t>
      </w:r>
      <w:r>
        <w:rPr/>
        <w:t>use</w:t>
      </w:r>
      <w:r>
        <w:rPr>
          <w:spacing w:val="-3"/>
        </w:rPr>
        <w:t> </w:t>
      </w:r>
      <w:r>
        <w:rPr/>
        <w:t>disorder,</w:t>
      </w:r>
      <w:r>
        <w:rPr>
          <w:spacing w:val="-2"/>
        </w:rPr>
        <w:t> </w:t>
      </w:r>
      <w:r>
        <w:rPr/>
        <w:t>and/or</w:t>
      </w:r>
      <w:r>
        <w:rPr>
          <w:spacing w:val="-2"/>
        </w:rPr>
        <w:t> </w:t>
      </w:r>
      <w:r>
        <w:rPr/>
        <w:t>for</w:t>
      </w:r>
      <w:r>
        <w:rPr>
          <w:spacing w:val="-2"/>
        </w:rPr>
        <w:t> </w:t>
      </w:r>
      <w:r>
        <w:rPr/>
        <w:t>whom a psychiatric or substance use disorder diagnosis interferes with their ability to access essential medical services, to use clinical treatment services and other supports.</w:t>
      </w:r>
      <w:r>
        <w:rPr>
          <w:spacing w:val="40"/>
        </w:rPr>
        <w:t> </w:t>
      </w:r>
      <w:r>
        <w:rPr/>
        <w:t>Specialized CSPs will target populations in need of specialized supports, including a more intensive form of CSP for beneficiaries who are experiencing homelessness or are justice-involved while living in the community, and targeted CSP tenancy supports for beneficiaries facing eviction as a result of behavior related to their condition.</w:t>
      </w:r>
      <w:r>
        <w:rPr>
          <w:spacing w:val="40"/>
        </w:rPr>
        <w:t> </w:t>
      </w:r>
      <w:r>
        <w:rPr/>
        <w:t>FSP enables MassHealth ACOs to address targeted HRSNs for eligible beneficiaries.</w:t>
      </w:r>
      <w:r>
        <w:rPr>
          <w:spacing w:val="40"/>
        </w:rPr>
        <w:t> </w:t>
      </w:r>
      <w:r>
        <w:rPr/>
        <w:t>Beneficiaries who are enrolled in an ACO, and who have clinical needs and meet risk-based criteria may be eligible for tenancy preservation and nutrition sustaining supports.</w:t>
      </w:r>
      <w:r>
        <w:rPr>
          <w:spacing w:val="40"/>
        </w:rPr>
        <w:t> </w:t>
      </w:r>
      <w:r>
        <w:rPr/>
        <w:t>Approved FSP services include time-limited housing supports, nutrition education, medically-tailored and time-limited food assistance.</w:t>
      </w:r>
      <w:r>
        <w:rPr>
          <w:spacing w:val="40"/>
        </w:rPr>
        <w:t> </w:t>
      </w:r>
      <w:r>
        <w:rPr/>
        <w:t>FSP services also include additional meal support for the household when an eligible beneficiary is a child or pregnant person meeting the risk-based and needs-based criteria, as this support is expected to help the household to avoid difficult choices about whose nutritional needs should be met first with limited resources, and thereby</w:t>
      </w:r>
      <w:r>
        <w:rPr>
          <w:spacing w:val="-1"/>
        </w:rPr>
        <w:t> </w:t>
      </w:r>
      <w:r>
        <w:rPr/>
        <w:t>could better ensure the needs of the beneficiary</w:t>
      </w:r>
      <w:r>
        <w:rPr>
          <w:spacing w:val="-1"/>
        </w:rPr>
        <w:t> </w:t>
      </w:r>
      <w:r>
        <w:rPr/>
        <w:t>are met when the beneficiary’s nutritional needs are especially important.</w:t>
      </w:r>
    </w:p>
    <w:p>
      <w:pPr>
        <w:pStyle w:val="BodyText"/>
        <w:spacing w:before="2"/>
      </w:pPr>
    </w:p>
    <w:p>
      <w:pPr>
        <w:pStyle w:val="BodyText"/>
        <w:ind w:left="1440" w:right="1248"/>
      </w:pPr>
      <w:r>
        <w:rPr/>
        <w:t>CMS is authorizing the Commonwealth’s proposal to test changes in primary care delivery and payment by piloting a new primary care payment model intended to shift primary care payment to a value-based structure.</w:t>
      </w:r>
      <w:r>
        <w:rPr>
          <w:spacing w:val="40"/>
        </w:rPr>
        <w:t> </w:t>
      </w:r>
      <w:r>
        <w:rPr/>
        <w:t>This payment model includes increased clinical and care delivery expectations under which all primary care practices (PCPs) must, for example, work towards enhanced team-based care, behavioral health integration, and to increase access and promote integrated primary care.</w:t>
      </w:r>
      <w:r>
        <w:rPr>
          <w:spacing w:val="40"/>
        </w:rPr>
        <w:t> </w:t>
      </w:r>
      <w:r>
        <w:rPr/>
        <w:t>In this model, Massachusetts will contract with Primary Care ACOs to make a prospective payment to participating PCPs in accordance with the Commonwealth’s requirements.</w:t>
      </w:r>
      <w:r>
        <w:rPr>
          <w:spacing w:val="40"/>
        </w:rPr>
        <w:t> </w:t>
      </w:r>
      <w:r>
        <w:rPr/>
        <w:t>Massachusetts will no longer make fee-for-service payments for a defined set of primary</w:t>
      </w:r>
      <w:r>
        <w:rPr>
          <w:spacing w:val="-7"/>
        </w:rPr>
        <w:t> </w:t>
      </w:r>
      <w:r>
        <w:rPr/>
        <w:t>care</w:t>
      </w:r>
      <w:r>
        <w:rPr>
          <w:spacing w:val="-4"/>
        </w:rPr>
        <w:t> </w:t>
      </w:r>
      <w:r>
        <w:rPr/>
        <w:t>services</w:t>
      </w:r>
      <w:r>
        <w:rPr>
          <w:spacing w:val="-3"/>
        </w:rPr>
        <w:t> </w:t>
      </w:r>
      <w:r>
        <w:rPr/>
        <w:t>delivered</w:t>
      </w:r>
      <w:r>
        <w:rPr>
          <w:spacing w:val="-3"/>
        </w:rPr>
        <w:t> </w:t>
      </w:r>
      <w:r>
        <w:rPr/>
        <w:t>to</w:t>
      </w:r>
      <w:r>
        <w:rPr>
          <w:spacing w:val="-3"/>
        </w:rPr>
        <w:t> </w:t>
      </w:r>
      <w:r>
        <w:rPr/>
        <w:t>Primary</w:t>
      </w:r>
      <w:r>
        <w:rPr>
          <w:spacing w:val="-7"/>
        </w:rPr>
        <w:t> </w:t>
      </w:r>
      <w:r>
        <w:rPr/>
        <w:t>Care</w:t>
      </w:r>
      <w:r>
        <w:rPr>
          <w:spacing w:val="-4"/>
        </w:rPr>
        <w:t> </w:t>
      </w:r>
      <w:r>
        <w:rPr/>
        <w:t>ACO</w:t>
      </w:r>
      <w:r>
        <w:rPr>
          <w:spacing w:val="-3"/>
        </w:rPr>
        <w:t> </w:t>
      </w:r>
      <w:r>
        <w:rPr/>
        <w:t>enrolled</w:t>
      </w:r>
      <w:r>
        <w:rPr>
          <w:spacing w:val="-3"/>
        </w:rPr>
        <w:t> </w:t>
      </w:r>
      <w:r>
        <w:rPr/>
        <w:t>beneficiaries</w:t>
      </w:r>
      <w:r>
        <w:rPr>
          <w:spacing w:val="-3"/>
        </w:rPr>
        <w:t> </w:t>
      </w:r>
      <w:r>
        <w:rPr/>
        <w:t>by</w:t>
      </w:r>
      <w:r>
        <w:rPr>
          <w:spacing w:val="-7"/>
        </w:rPr>
        <w:t> </w:t>
      </w:r>
      <w:r>
        <w:rPr/>
        <w:t>PCPs</w:t>
      </w:r>
      <w:r>
        <w:rPr>
          <w:spacing w:val="-3"/>
        </w:rPr>
        <w:t> </w:t>
      </w:r>
      <w:r>
        <w:rPr/>
        <w:t>that</w:t>
      </w:r>
      <w:r>
        <w:rPr>
          <w:spacing w:val="-3"/>
        </w:rPr>
        <w:t> </w:t>
      </w:r>
      <w:r>
        <w:rPr/>
        <w:t>receive the primary care payments.</w:t>
      </w:r>
      <w:r>
        <w:rPr>
          <w:spacing w:val="80"/>
        </w:rPr>
        <w:t> </w:t>
      </w:r>
      <w:r>
        <w:rPr/>
        <w:t>This payment model meets Category 4 Population-Based Payment</w:t>
      </w:r>
      <w:r>
        <w:rPr/>
        <w:t> as described in the Alternative Payment Model (APM) Framework</w:t>
      </w:r>
      <w:r>
        <w:rPr>
          <w:vertAlign w:val="superscript"/>
        </w:rPr>
        <w:t>8</w:t>
      </w:r>
      <w:r>
        <w:rPr>
          <w:vertAlign w:val="baseline"/>
        </w:rPr>
        <w:t> and the Commonwealth</w:t>
      </w:r>
      <w:r>
        <w:rPr>
          <w:spacing w:val="40"/>
          <w:vertAlign w:val="baseline"/>
        </w:rPr>
        <w:t> </w:t>
      </w:r>
      <w:r>
        <w:rPr>
          <w:vertAlign w:val="baseline"/>
        </w:rPr>
        <w:t>must</w:t>
      </w:r>
      <w:r>
        <w:rPr>
          <w:spacing w:val="-1"/>
          <w:vertAlign w:val="baseline"/>
        </w:rPr>
        <w:t> </w:t>
      </w:r>
      <w:r>
        <w:rPr>
          <w:vertAlign w:val="baseline"/>
        </w:rPr>
        <w:t>submit</w:t>
      </w:r>
      <w:r>
        <w:rPr>
          <w:spacing w:val="-1"/>
          <w:vertAlign w:val="baseline"/>
        </w:rPr>
        <w:t> </w:t>
      </w:r>
      <w:r>
        <w:rPr>
          <w:vertAlign w:val="baseline"/>
        </w:rPr>
        <w:t>the</w:t>
      </w:r>
      <w:r>
        <w:rPr>
          <w:spacing w:val="-1"/>
          <w:vertAlign w:val="baseline"/>
        </w:rPr>
        <w:t> </w:t>
      </w:r>
      <w:r>
        <w:rPr>
          <w:vertAlign w:val="baseline"/>
        </w:rPr>
        <w:t>payment</w:t>
      </w:r>
      <w:r>
        <w:rPr>
          <w:spacing w:val="-1"/>
          <w:vertAlign w:val="baseline"/>
        </w:rPr>
        <w:t> </w:t>
      </w:r>
      <w:r>
        <w:rPr>
          <w:vertAlign w:val="baseline"/>
        </w:rPr>
        <w:t>methodology,</w:t>
      </w:r>
      <w:r>
        <w:rPr>
          <w:spacing w:val="-1"/>
          <w:vertAlign w:val="baseline"/>
        </w:rPr>
        <w:t> </w:t>
      </w:r>
      <w:r>
        <w:rPr>
          <w:vertAlign w:val="baseline"/>
        </w:rPr>
        <w:t>including</w:t>
      </w:r>
      <w:r>
        <w:rPr>
          <w:spacing w:val="-2"/>
          <w:vertAlign w:val="baseline"/>
        </w:rPr>
        <w:t> </w:t>
      </w:r>
      <w:r>
        <w:rPr>
          <w:vertAlign w:val="baseline"/>
        </w:rPr>
        <w:t>annual</w:t>
      </w:r>
      <w:r>
        <w:rPr>
          <w:spacing w:val="-1"/>
          <w:vertAlign w:val="baseline"/>
        </w:rPr>
        <w:t> </w:t>
      </w:r>
      <w:r>
        <w:rPr>
          <w:vertAlign w:val="baseline"/>
        </w:rPr>
        <w:t>updates,</w:t>
      </w:r>
      <w:r>
        <w:rPr>
          <w:spacing w:val="-1"/>
          <w:vertAlign w:val="baseline"/>
        </w:rPr>
        <w:t> </w:t>
      </w:r>
      <w:r>
        <w:rPr>
          <w:vertAlign w:val="baseline"/>
        </w:rPr>
        <w:t>for</w:t>
      </w:r>
      <w:r>
        <w:rPr>
          <w:spacing w:val="-1"/>
          <w:vertAlign w:val="baseline"/>
        </w:rPr>
        <w:t> </w:t>
      </w:r>
      <w:r>
        <w:rPr>
          <w:vertAlign w:val="baseline"/>
        </w:rPr>
        <w:t>CMS</w:t>
      </w:r>
      <w:r>
        <w:rPr>
          <w:spacing w:val="-1"/>
          <w:vertAlign w:val="baseline"/>
        </w:rPr>
        <w:t> </w:t>
      </w:r>
      <w:r>
        <w:rPr>
          <w:vertAlign w:val="baseline"/>
        </w:rPr>
        <w:t>review</w:t>
      </w:r>
      <w:r>
        <w:rPr>
          <w:spacing w:val="-2"/>
          <w:vertAlign w:val="baseline"/>
        </w:rPr>
        <w:t> </w:t>
      </w:r>
      <w:r>
        <w:rPr>
          <w:vertAlign w:val="baseline"/>
        </w:rPr>
        <w:t>and approval.</w:t>
      </w:r>
    </w:p>
    <w:p>
      <w:pPr>
        <w:pStyle w:val="BodyText"/>
        <w:spacing w:before="1"/>
      </w:pPr>
    </w:p>
    <w:p>
      <w:pPr>
        <w:pStyle w:val="BodyText"/>
        <w:ind w:left="1440" w:right="1624"/>
      </w:pPr>
      <w:r>
        <w:rPr/>
        <w:t>CMS is also authorizing</w:t>
      </w:r>
      <w:r>
        <w:rPr>
          <w:spacing w:val="-2"/>
        </w:rPr>
        <w:t> </w:t>
      </w:r>
      <w:r>
        <w:rPr/>
        <w:t>an additional year of disbursement of</w:t>
      </w:r>
      <w:r>
        <w:rPr>
          <w:spacing w:val="-1"/>
        </w:rPr>
        <w:t> </w:t>
      </w:r>
      <w:r>
        <w:rPr/>
        <w:t>previously-approved Delivery System Reform Incentive Payment (DSRIP) funds to allow the Commonwealth to continue disbursing approved DSRIP program funds, in order to complete the final performance year activities,</w:t>
      </w:r>
      <w:r>
        <w:rPr>
          <w:spacing w:val="-4"/>
        </w:rPr>
        <w:t> </w:t>
      </w:r>
      <w:r>
        <w:rPr/>
        <w:t>close</w:t>
      </w:r>
      <w:r>
        <w:rPr>
          <w:spacing w:val="-4"/>
        </w:rPr>
        <w:t> </w:t>
      </w:r>
      <w:r>
        <w:rPr/>
        <w:t>out</w:t>
      </w:r>
      <w:r>
        <w:rPr>
          <w:spacing w:val="-4"/>
        </w:rPr>
        <w:t> </w:t>
      </w:r>
      <w:r>
        <w:rPr/>
        <w:t>administrative</w:t>
      </w:r>
      <w:r>
        <w:rPr>
          <w:spacing w:val="-5"/>
        </w:rPr>
        <w:t> </w:t>
      </w:r>
      <w:r>
        <w:rPr/>
        <w:t>and</w:t>
      </w:r>
      <w:r>
        <w:rPr>
          <w:spacing w:val="-4"/>
        </w:rPr>
        <w:t> </w:t>
      </w:r>
      <w:r>
        <w:rPr/>
        <w:t>operational</w:t>
      </w:r>
      <w:r>
        <w:rPr>
          <w:spacing w:val="-4"/>
        </w:rPr>
        <w:t> </w:t>
      </w:r>
      <w:r>
        <w:rPr/>
        <w:t>requirements,</w:t>
      </w:r>
      <w:r>
        <w:rPr>
          <w:spacing w:val="-4"/>
        </w:rPr>
        <w:t> </w:t>
      </w:r>
      <w:r>
        <w:rPr/>
        <w:t>and</w:t>
      </w:r>
      <w:r>
        <w:rPr>
          <w:spacing w:val="-4"/>
        </w:rPr>
        <w:t> </w:t>
      </w:r>
      <w:r>
        <w:rPr/>
        <w:t>distribute</w:t>
      </w:r>
      <w:r>
        <w:rPr>
          <w:spacing w:val="-4"/>
        </w:rPr>
        <w:t> </w:t>
      </w:r>
      <w:r>
        <w:rPr/>
        <w:t>the</w:t>
      </w:r>
      <w:r>
        <w:rPr>
          <w:spacing w:val="-5"/>
        </w:rPr>
        <w:t> </w:t>
      </w:r>
      <w:r>
        <w:rPr/>
        <w:t>remaining performance-based</w:t>
      </w:r>
      <w:r>
        <w:rPr>
          <w:spacing w:val="-2"/>
        </w:rPr>
        <w:t> </w:t>
      </w:r>
      <w:r>
        <w:rPr/>
        <w:t>incentive</w:t>
      </w:r>
      <w:r>
        <w:rPr>
          <w:spacing w:val="-3"/>
        </w:rPr>
        <w:t> </w:t>
      </w:r>
      <w:r>
        <w:rPr/>
        <w:t>payments</w:t>
      </w:r>
      <w:r>
        <w:rPr>
          <w:spacing w:val="-2"/>
        </w:rPr>
        <w:t> </w:t>
      </w:r>
      <w:r>
        <w:rPr/>
        <w:t>to</w:t>
      </w:r>
      <w:r>
        <w:rPr>
          <w:spacing w:val="-2"/>
        </w:rPr>
        <w:t> </w:t>
      </w:r>
      <w:r>
        <w:rPr/>
        <w:t>participants</w:t>
      </w:r>
      <w:r>
        <w:rPr>
          <w:spacing w:val="-2"/>
        </w:rPr>
        <w:t> </w:t>
      </w:r>
      <w:r>
        <w:rPr/>
        <w:t>based</w:t>
      </w:r>
      <w:r>
        <w:rPr>
          <w:spacing w:val="-2"/>
        </w:rPr>
        <w:t> </w:t>
      </w:r>
      <w:r>
        <w:rPr/>
        <w:t>on</w:t>
      </w:r>
      <w:r>
        <w:rPr>
          <w:spacing w:val="-2"/>
        </w:rPr>
        <w:t> </w:t>
      </w:r>
      <w:r>
        <w:rPr/>
        <w:t>services</w:t>
      </w:r>
      <w:r>
        <w:rPr>
          <w:spacing w:val="-2"/>
        </w:rPr>
        <w:t> </w:t>
      </w:r>
      <w:r>
        <w:rPr/>
        <w:t>provided</w:t>
      </w:r>
      <w:r>
        <w:rPr>
          <w:spacing w:val="-2"/>
        </w:rPr>
        <w:t> </w:t>
      </w:r>
      <w:r>
        <w:rPr/>
        <w:t>in</w:t>
      </w:r>
      <w:r>
        <w:rPr>
          <w:spacing w:val="-2"/>
        </w:rPr>
        <w:t> </w:t>
      </w:r>
      <w:r>
        <w:rPr/>
        <w:t>the</w:t>
      </w:r>
      <w:r>
        <w:rPr>
          <w:spacing w:val="-2"/>
        </w:rPr>
        <w:t> </w:t>
      </w:r>
      <w:r>
        <w:rPr/>
        <w:t>final performance year.</w:t>
      </w:r>
    </w:p>
    <w:p>
      <w:pPr>
        <w:pStyle w:val="BodyText"/>
        <w:spacing w:before="10"/>
        <w:rPr>
          <w:sz w:val="14"/>
        </w:rPr>
      </w:pPr>
      <w:r>
        <w:rPr/>
        <mc:AlternateContent>
          <mc:Choice Requires="wps">
            <w:drawing>
              <wp:anchor distT="0" distB="0" distL="0" distR="0" allowOverlap="1" layoutInCell="1" locked="0" behindDoc="1" simplePos="0" relativeHeight="487589376">
                <wp:simplePos x="0" y="0"/>
                <wp:positionH relativeFrom="page">
                  <wp:posOffset>914704</wp:posOffset>
                </wp:positionH>
                <wp:positionV relativeFrom="paragraph">
                  <wp:posOffset>124100</wp:posOffset>
                </wp:positionV>
                <wp:extent cx="1829435" cy="762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9.771722pt;width:144.020pt;height:.60004pt;mso-position-horizontal-relative:page;mso-position-vertical-relative:paragraph;z-index:-15727104;mso-wrap-distance-left:0;mso-wrap-distance-right:0" id="docshape4" filled="true" fillcolor="#000000" stroked="false">
                <v:fill type="solid"/>
                <w10:wrap type="topAndBottom"/>
              </v:rect>
            </w:pict>
          </mc:Fallback>
        </mc:AlternateContent>
      </w:r>
    </w:p>
    <w:p>
      <w:pPr>
        <w:spacing w:before="103"/>
        <w:ind w:left="1440" w:right="0" w:firstLine="0"/>
        <w:jc w:val="left"/>
        <w:rPr>
          <w:sz w:val="20"/>
        </w:rPr>
      </w:pPr>
      <w:r>
        <w:rPr>
          <w:spacing w:val="-2"/>
          <w:sz w:val="20"/>
          <w:vertAlign w:val="superscript"/>
        </w:rPr>
        <w:t>8</w:t>
      </w:r>
      <w:r>
        <w:rPr>
          <w:spacing w:val="24"/>
          <w:sz w:val="20"/>
          <w:vertAlign w:val="baseline"/>
        </w:rPr>
        <w:t> </w:t>
      </w:r>
      <w:r>
        <w:rPr>
          <w:spacing w:val="-2"/>
          <w:sz w:val="20"/>
          <w:vertAlign w:val="baseline"/>
        </w:rPr>
        <w:t>APM</w:t>
      </w:r>
      <w:r>
        <w:rPr>
          <w:spacing w:val="25"/>
          <w:sz w:val="20"/>
          <w:vertAlign w:val="baseline"/>
        </w:rPr>
        <w:t> </w:t>
      </w:r>
      <w:r>
        <w:rPr>
          <w:spacing w:val="-2"/>
          <w:sz w:val="20"/>
          <w:vertAlign w:val="baseline"/>
        </w:rPr>
        <w:t>Framework:</w:t>
      </w:r>
      <w:r>
        <w:rPr>
          <w:spacing w:val="26"/>
          <w:sz w:val="20"/>
          <w:vertAlign w:val="baseline"/>
        </w:rPr>
        <w:t> </w:t>
      </w:r>
      <w:hyperlink r:id="rId15">
        <w:r>
          <w:rPr>
            <w:color w:val="0000FF"/>
            <w:spacing w:val="-2"/>
            <w:sz w:val="20"/>
            <w:u w:val="single" w:color="0000FF"/>
            <w:vertAlign w:val="baseline"/>
          </w:rPr>
          <w:t>https://hcp-lan.org/workproducts/apm-refresh-whitepaper-final.pdf</w:t>
        </w:r>
        <w:r>
          <w:rPr>
            <w:spacing w:val="-2"/>
            <w:sz w:val="20"/>
            <w:vertAlign w:val="baseline"/>
          </w:rPr>
          <w:t>.</w:t>
        </w:r>
      </w:hyperlink>
    </w:p>
    <w:p>
      <w:pPr>
        <w:spacing w:after="0"/>
        <w:jc w:val="left"/>
        <w:rPr>
          <w:sz w:val="20"/>
        </w:rPr>
        <w:sectPr>
          <w:pgSz w:w="12240" w:h="15840"/>
          <w:pgMar w:top="640" w:bottom="280" w:left="0" w:right="220"/>
        </w:sectPr>
      </w:pPr>
    </w:p>
    <w:p>
      <w:pPr>
        <w:pStyle w:val="BodyText"/>
        <w:spacing w:before="79"/>
        <w:ind w:right="1218"/>
        <w:jc w:val="right"/>
      </w:pPr>
      <w:r>
        <w:rPr/>
        <w:t>Page</w:t>
      </w:r>
      <w:r>
        <w:rPr>
          <w:spacing w:val="-7"/>
        </w:rPr>
        <w:t> </w:t>
      </w:r>
      <w:r>
        <w:rPr>
          <w:spacing w:val="-10"/>
        </w:rPr>
        <w:t>7</w:t>
      </w:r>
    </w:p>
    <w:p>
      <w:pPr>
        <w:pStyle w:val="BodyText"/>
        <w:rPr>
          <w:sz w:val="26"/>
        </w:rPr>
      </w:pPr>
    </w:p>
    <w:p>
      <w:pPr>
        <w:pStyle w:val="BodyText"/>
        <w:spacing w:before="7"/>
        <w:rPr>
          <w:sz w:val="36"/>
        </w:rPr>
      </w:pPr>
    </w:p>
    <w:p>
      <w:pPr>
        <w:pStyle w:val="BodyText"/>
        <w:ind w:left="1440" w:right="1239"/>
      </w:pPr>
      <w:r>
        <w:rPr/>
        <w:t>Massachusetts, like other states, continues to face health care provider shortages, as well as challenges in recruiting and retaining a diverse workforce, and the COVID-19 public health emergency</w:t>
      </w:r>
      <w:r>
        <w:rPr>
          <w:spacing w:val="-8"/>
        </w:rPr>
        <w:t> </w:t>
      </w:r>
      <w:r>
        <w:rPr/>
        <w:t>(PHE)</w:t>
      </w:r>
      <w:r>
        <w:rPr>
          <w:spacing w:val="-5"/>
        </w:rPr>
        <w:t> </w:t>
      </w:r>
      <w:r>
        <w:rPr/>
        <w:t>magnified</w:t>
      </w:r>
      <w:r>
        <w:rPr>
          <w:spacing w:val="-3"/>
        </w:rPr>
        <w:t> </w:t>
      </w:r>
      <w:r>
        <w:rPr/>
        <w:t>these</w:t>
      </w:r>
      <w:r>
        <w:rPr>
          <w:spacing w:val="-5"/>
        </w:rPr>
        <w:t> </w:t>
      </w:r>
      <w:r>
        <w:rPr/>
        <w:t>issues.</w:t>
      </w:r>
      <w:r>
        <w:rPr>
          <w:spacing w:val="40"/>
        </w:rPr>
        <w:t> </w:t>
      </w:r>
      <w:r>
        <w:rPr/>
        <w:t>In</w:t>
      </w:r>
      <w:r>
        <w:rPr>
          <w:spacing w:val="-3"/>
        </w:rPr>
        <w:t> </w:t>
      </w:r>
      <w:r>
        <w:rPr/>
        <w:t>this</w:t>
      </w:r>
      <w:r>
        <w:rPr>
          <w:spacing w:val="-1"/>
        </w:rPr>
        <w:t> </w:t>
      </w:r>
      <w:r>
        <w:rPr/>
        <w:t>extension,</w:t>
      </w:r>
      <w:r>
        <w:rPr>
          <w:spacing w:val="-3"/>
        </w:rPr>
        <w:t> </w:t>
      </w:r>
      <w:r>
        <w:rPr/>
        <w:t>CMS</w:t>
      </w:r>
      <w:r>
        <w:rPr>
          <w:spacing w:val="-5"/>
        </w:rPr>
        <w:t> </w:t>
      </w:r>
      <w:r>
        <w:rPr/>
        <w:t>is</w:t>
      </w:r>
      <w:r>
        <w:rPr>
          <w:spacing w:val="-3"/>
        </w:rPr>
        <w:t> </w:t>
      </w:r>
      <w:r>
        <w:rPr/>
        <w:t>authorizing</w:t>
      </w:r>
      <w:r>
        <w:rPr>
          <w:spacing w:val="-5"/>
        </w:rPr>
        <w:t> </w:t>
      </w:r>
      <w:r>
        <w:rPr/>
        <w:t>federal</w:t>
      </w:r>
      <w:r>
        <w:rPr>
          <w:spacing w:val="-3"/>
        </w:rPr>
        <w:t> </w:t>
      </w:r>
      <w:r>
        <w:rPr/>
        <w:t>financial participation (FFP) for expenditures related to provider workforce recruitment and retention activities, specifically primary care and behavioral health provider student loan repayment programs and a family nurse practitioner residency program.</w:t>
      </w:r>
      <w:r>
        <w:rPr>
          <w:spacing w:val="40"/>
        </w:rPr>
        <w:t> </w:t>
      </w:r>
      <w:r>
        <w:rPr/>
        <w:t>This authority is likely to assist in promoting the objectives of Medicaid because it is intended to reduce shortages of qualified health care providers and expand access to care for beneficiaries by</w:t>
      </w:r>
      <w:r>
        <w:rPr>
          <w:spacing w:val="-3"/>
        </w:rPr>
        <w:t> </w:t>
      </w:r>
      <w:r>
        <w:rPr/>
        <w:t>requiring that participants in these Medicaid-funded programs provide services in community-based settings serving substantial Medicaid and uninsured populations, which is expected to support the key Medicaid objective of furnishing medical assistance.</w:t>
      </w:r>
    </w:p>
    <w:p>
      <w:pPr>
        <w:pStyle w:val="BodyText"/>
        <w:spacing w:before="1"/>
      </w:pPr>
    </w:p>
    <w:p>
      <w:pPr>
        <w:pStyle w:val="BodyText"/>
        <w:ind w:left="1440" w:right="1280"/>
      </w:pPr>
      <w:r>
        <w:rPr/>
        <w:t>The MassHealth extension includes authority for 12-month continuous eligibility for Medicaid and CHIP beneficiaries upon release from correctional settings (including youth), and 24-month continuous eligibility for beneficiaries with a confirmed status of homelessness.</w:t>
      </w:r>
      <w:r>
        <w:rPr>
          <w:spacing w:val="40"/>
        </w:rPr>
        <w:t> </w:t>
      </w:r>
      <w:r>
        <w:rPr/>
        <w:t>CMS is authorizing this continuous eligibility to support consistent coverage and continuity of care by keeping beneficiaries enrolled for up to 24 months, regardless of income fluctuations or other changes</w:t>
      </w:r>
      <w:r>
        <w:rPr>
          <w:spacing w:val="-3"/>
        </w:rPr>
        <w:t> </w:t>
      </w:r>
      <w:r>
        <w:rPr/>
        <w:t>that</w:t>
      </w:r>
      <w:r>
        <w:rPr>
          <w:spacing w:val="-3"/>
        </w:rPr>
        <w:t> </w:t>
      </w:r>
      <w:r>
        <w:rPr/>
        <w:t>otherwise</w:t>
      </w:r>
      <w:r>
        <w:rPr>
          <w:spacing w:val="-3"/>
        </w:rPr>
        <w:t> </w:t>
      </w:r>
      <w:r>
        <w:rPr/>
        <w:t>would</w:t>
      </w:r>
      <w:r>
        <w:rPr>
          <w:spacing w:val="-3"/>
        </w:rPr>
        <w:t> </w:t>
      </w:r>
      <w:r>
        <w:rPr/>
        <w:t>affect</w:t>
      </w:r>
      <w:r>
        <w:rPr>
          <w:spacing w:val="-3"/>
        </w:rPr>
        <w:t> </w:t>
      </w:r>
      <w:r>
        <w:rPr/>
        <w:t>eligibility</w:t>
      </w:r>
      <w:r>
        <w:rPr>
          <w:spacing w:val="-6"/>
        </w:rPr>
        <w:t> </w:t>
      </w:r>
      <w:r>
        <w:rPr/>
        <w:t>(except</w:t>
      </w:r>
      <w:r>
        <w:rPr>
          <w:spacing w:val="-3"/>
        </w:rPr>
        <w:t> </w:t>
      </w:r>
      <w:r>
        <w:rPr/>
        <w:t>for</w:t>
      </w:r>
      <w:r>
        <w:rPr>
          <w:spacing w:val="-4"/>
        </w:rPr>
        <w:t> </w:t>
      </w:r>
      <w:r>
        <w:rPr/>
        <w:t>death</w:t>
      </w:r>
      <w:r>
        <w:rPr>
          <w:spacing w:val="-3"/>
        </w:rPr>
        <w:t> </w:t>
      </w:r>
      <w:r>
        <w:rPr/>
        <w:t>or</w:t>
      </w:r>
      <w:r>
        <w:rPr>
          <w:spacing w:val="-3"/>
        </w:rPr>
        <w:t> </w:t>
      </w:r>
      <w:r>
        <w:rPr/>
        <w:t>ceasing</w:t>
      </w:r>
      <w:r>
        <w:rPr>
          <w:spacing w:val="-4"/>
        </w:rPr>
        <w:t> </w:t>
      </w:r>
      <w:r>
        <w:rPr/>
        <w:t>to</w:t>
      </w:r>
      <w:r>
        <w:rPr>
          <w:spacing w:val="-3"/>
        </w:rPr>
        <w:t> </w:t>
      </w:r>
      <w:r>
        <w:rPr/>
        <w:t>be a</w:t>
      </w:r>
      <w:r>
        <w:rPr>
          <w:spacing w:val="-4"/>
        </w:rPr>
        <w:t> </w:t>
      </w:r>
      <w:r>
        <w:rPr/>
        <w:t>resident</w:t>
      </w:r>
      <w:r>
        <w:rPr>
          <w:spacing w:val="-3"/>
        </w:rPr>
        <w:t> </w:t>
      </w:r>
      <w:r>
        <w:rPr/>
        <w:t>of</w:t>
      </w:r>
      <w:r>
        <w:rPr>
          <w:spacing w:val="-3"/>
        </w:rPr>
        <w:t> </w:t>
      </w:r>
      <w:r>
        <w:rPr/>
        <w:t>the Commonwealth).</w:t>
      </w:r>
      <w:r>
        <w:rPr>
          <w:spacing w:val="40"/>
        </w:rPr>
        <w:t> </w:t>
      </w:r>
      <w:r>
        <w:rPr/>
        <w:t>The</w:t>
      </w:r>
      <w:r>
        <w:rPr>
          <w:spacing w:val="-1"/>
        </w:rPr>
        <w:t> </w:t>
      </w:r>
      <w:r>
        <w:rPr/>
        <w:t>continuous eligibility</w:t>
      </w:r>
      <w:r>
        <w:rPr>
          <w:spacing w:val="-8"/>
        </w:rPr>
        <w:t> </w:t>
      </w:r>
      <w:r>
        <w:rPr/>
        <w:t>policy</w:t>
      </w:r>
      <w:r>
        <w:rPr>
          <w:spacing w:val="-3"/>
        </w:rPr>
        <w:t> </w:t>
      </w:r>
      <w:r>
        <w:rPr/>
        <w:t>is likely</w:t>
      </w:r>
      <w:r>
        <w:rPr>
          <w:spacing w:val="-5"/>
        </w:rPr>
        <w:t> </w:t>
      </w:r>
      <w:r>
        <w:rPr/>
        <w:t>to assist in promoting</w:t>
      </w:r>
      <w:r>
        <w:rPr>
          <w:spacing w:val="-2"/>
        </w:rPr>
        <w:t> </w:t>
      </w:r>
      <w:r>
        <w:rPr/>
        <w:t>the objectives of Medicaid as it is expected to minimize coverage gaps and to help maintain continuity of access to program benefits for the relevant populations.</w:t>
      </w:r>
    </w:p>
    <w:p>
      <w:pPr>
        <w:pStyle w:val="BodyText"/>
      </w:pPr>
    </w:p>
    <w:p>
      <w:pPr>
        <w:pStyle w:val="BodyText"/>
        <w:ind w:left="1440" w:right="1315"/>
      </w:pPr>
      <w:r>
        <w:rPr/>
        <w:t>The Commonwealth is modifying and expanding eligibility</w:t>
      </w:r>
      <w:r>
        <w:rPr>
          <w:spacing w:val="-2"/>
        </w:rPr>
        <w:t> </w:t>
      </w:r>
      <w:r>
        <w:rPr/>
        <w:t>for the CommonHealth program to support goals of providing comprehensive coverage for individuals with disabilities in order to meet their health care</w:t>
      </w:r>
      <w:r>
        <w:rPr>
          <w:spacing w:val="-1"/>
        </w:rPr>
        <w:t> </w:t>
      </w:r>
      <w:r>
        <w:rPr/>
        <w:t>needs.</w:t>
      </w:r>
      <w:r>
        <w:rPr>
          <w:spacing w:val="40"/>
        </w:rPr>
        <w:t> </w:t>
      </w:r>
      <w:r>
        <w:rPr/>
        <w:t>Massachusetts stated in its MassHealth extension application that the</w:t>
      </w:r>
      <w:r>
        <w:rPr>
          <w:spacing w:val="-2"/>
        </w:rPr>
        <w:t> </w:t>
      </w:r>
      <w:r>
        <w:rPr/>
        <w:t>original</w:t>
      </w:r>
      <w:r>
        <w:rPr>
          <w:spacing w:val="-2"/>
        </w:rPr>
        <w:t> </w:t>
      </w:r>
      <w:r>
        <w:rPr/>
        <w:t>design</w:t>
      </w:r>
      <w:r>
        <w:rPr>
          <w:spacing w:val="-2"/>
        </w:rPr>
        <w:t> </w:t>
      </w:r>
      <w:r>
        <w:rPr/>
        <w:t>of</w:t>
      </w:r>
      <w:r>
        <w:rPr>
          <w:spacing w:val="-2"/>
        </w:rPr>
        <w:t> </w:t>
      </w:r>
      <w:r>
        <w:rPr/>
        <w:t>the</w:t>
      </w:r>
      <w:r>
        <w:rPr>
          <w:spacing w:val="-2"/>
        </w:rPr>
        <w:t> </w:t>
      </w:r>
      <w:r>
        <w:rPr/>
        <w:t>CommonHealth</w:t>
      </w:r>
      <w:r>
        <w:rPr>
          <w:spacing w:val="-2"/>
        </w:rPr>
        <w:t> </w:t>
      </w:r>
      <w:r>
        <w:rPr/>
        <w:t>program</w:t>
      </w:r>
      <w:r>
        <w:rPr>
          <w:spacing w:val="-2"/>
        </w:rPr>
        <w:t> </w:t>
      </w:r>
      <w:r>
        <w:rPr/>
        <w:t>created</w:t>
      </w:r>
      <w:r>
        <w:rPr>
          <w:spacing w:val="-1"/>
        </w:rPr>
        <w:t> </w:t>
      </w:r>
      <w:r>
        <w:rPr/>
        <w:t>work</w:t>
      </w:r>
      <w:r>
        <w:rPr>
          <w:spacing w:val="-2"/>
        </w:rPr>
        <w:t> </w:t>
      </w:r>
      <w:r>
        <w:rPr/>
        <w:t>incentives</w:t>
      </w:r>
      <w:r>
        <w:rPr>
          <w:spacing w:val="-2"/>
        </w:rPr>
        <w:t> </w:t>
      </w:r>
      <w:r>
        <w:rPr/>
        <w:t>for</w:t>
      </w:r>
      <w:r>
        <w:rPr>
          <w:spacing w:val="-4"/>
        </w:rPr>
        <w:t> </w:t>
      </w:r>
      <w:r>
        <w:rPr/>
        <w:t>individuals</w:t>
      </w:r>
      <w:r>
        <w:rPr>
          <w:spacing w:val="-2"/>
        </w:rPr>
        <w:t> </w:t>
      </w:r>
      <w:r>
        <w:rPr/>
        <w:t>with disabilities, but that may have resulted in unintended disincentives for beneficiaries (e.g., beneficiary concerns about losing health coverage if they are unable to maintain stable employment and meet CommonHealth criteria).</w:t>
      </w:r>
      <w:r>
        <w:rPr>
          <w:vertAlign w:val="superscript"/>
        </w:rPr>
        <w:t>9</w:t>
      </w:r>
      <w:r>
        <w:rPr>
          <w:spacing w:val="40"/>
          <w:vertAlign w:val="baseline"/>
        </w:rPr>
        <w:t> </w:t>
      </w:r>
      <w:r>
        <w:rPr>
          <w:vertAlign w:val="baseline"/>
        </w:rPr>
        <w:t>CMS is approving the Commonwealth’s request to streamline the CommonHealth adult eligibility process by eliminating the one-time deductible</w:t>
      </w:r>
      <w:r>
        <w:rPr>
          <w:spacing w:val="-4"/>
          <w:vertAlign w:val="baseline"/>
        </w:rPr>
        <w:t> </w:t>
      </w:r>
      <w:r>
        <w:rPr>
          <w:vertAlign w:val="baseline"/>
        </w:rPr>
        <w:t>for</w:t>
      </w:r>
      <w:r>
        <w:rPr>
          <w:spacing w:val="-4"/>
          <w:vertAlign w:val="baseline"/>
        </w:rPr>
        <w:t> </w:t>
      </w:r>
      <w:r>
        <w:rPr>
          <w:vertAlign w:val="baseline"/>
        </w:rPr>
        <w:t>non-working</w:t>
      </w:r>
      <w:r>
        <w:rPr>
          <w:spacing w:val="-6"/>
          <w:vertAlign w:val="baseline"/>
        </w:rPr>
        <w:t> </w:t>
      </w:r>
      <w:r>
        <w:rPr>
          <w:vertAlign w:val="baseline"/>
        </w:rPr>
        <w:t>adults</w:t>
      </w:r>
      <w:r>
        <w:rPr>
          <w:spacing w:val="-4"/>
          <w:vertAlign w:val="baseline"/>
        </w:rPr>
        <w:t> </w:t>
      </w:r>
      <w:r>
        <w:rPr>
          <w:vertAlign w:val="baseline"/>
        </w:rPr>
        <w:t>with</w:t>
      </w:r>
      <w:r>
        <w:rPr>
          <w:spacing w:val="-4"/>
          <w:vertAlign w:val="baseline"/>
        </w:rPr>
        <w:t> </w:t>
      </w:r>
      <w:r>
        <w:rPr>
          <w:vertAlign w:val="baseline"/>
        </w:rPr>
        <w:t>disabilities</w:t>
      </w:r>
      <w:r>
        <w:rPr>
          <w:spacing w:val="-4"/>
          <w:vertAlign w:val="baseline"/>
        </w:rPr>
        <w:t> </w:t>
      </w:r>
      <w:r>
        <w:rPr>
          <w:vertAlign w:val="baseline"/>
        </w:rPr>
        <w:t>and</w:t>
      </w:r>
      <w:r>
        <w:rPr>
          <w:spacing w:val="-4"/>
          <w:vertAlign w:val="baseline"/>
        </w:rPr>
        <w:t> </w:t>
      </w:r>
      <w:r>
        <w:rPr>
          <w:vertAlign w:val="baseline"/>
        </w:rPr>
        <w:t>enable</w:t>
      </w:r>
      <w:r>
        <w:rPr>
          <w:spacing w:val="-3"/>
          <w:vertAlign w:val="baseline"/>
        </w:rPr>
        <w:t> </w:t>
      </w:r>
      <w:r>
        <w:rPr>
          <w:vertAlign w:val="baseline"/>
        </w:rPr>
        <w:t>adults</w:t>
      </w:r>
      <w:r>
        <w:rPr>
          <w:spacing w:val="-4"/>
          <w:vertAlign w:val="baseline"/>
        </w:rPr>
        <w:t> </w:t>
      </w:r>
      <w:r>
        <w:rPr>
          <w:vertAlign w:val="baseline"/>
        </w:rPr>
        <w:t>with</w:t>
      </w:r>
      <w:r>
        <w:rPr>
          <w:spacing w:val="-4"/>
          <w:vertAlign w:val="baseline"/>
        </w:rPr>
        <w:t> </w:t>
      </w:r>
      <w:r>
        <w:rPr>
          <w:vertAlign w:val="baseline"/>
        </w:rPr>
        <w:t>long-term</w:t>
      </w:r>
      <w:r>
        <w:rPr>
          <w:spacing w:val="-4"/>
          <w:vertAlign w:val="baseline"/>
        </w:rPr>
        <w:t> </w:t>
      </w:r>
      <w:r>
        <w:rPr>
          <w:vertAlign w:val="baseline"/>
        </w:rPr>
        <w:t>disabilities to retain their coverage after age 65 to support ongoing coverage and care in the community, regardless of their working status.</w:t>
      </w:r>
    </w:p>
    <w:p>
      <w:pPr>
        <w:pStyle w:val="BodyText"/>
        <w:spacing w:before="1"/>
      </w:pPr>
    </w:p>
    <w:p>
      <w:pPr>
        <w:pStyle w:val="BodyText"/>
        <w:ind w:left="1440"/>
      </w:pPr>
      <w:r>
        <w:rPr/>
        <w:t>CMS</w:t>
      </w:r>
      <w:r>
        <w:rPr>
          <w:spacing w:val="-3"/>
        </w:rPr>
        <w:t> </w:t>
      </w:r>
      <w:r>
        <w:rPr/>
        <w:t>is</w:t>
      </w:r>
      <w:r>
        <w:rPr>
          <w:spacing w:val="-1"/>
        </w:rPr>
        <w:t> </w:t>
      </w:r>
      <w:r>
        <w:rPr/>
        <w:t>committed</w:t>
      </w:r>
      <w:r>
        <w:rPr>
          <w:spacing w:val="-1"/>
        </w:rPr>
        <w:t> </w:t>
      </w:r>
      <w:r>
        <w:rPr/>
        <w:t>to</w:t>
      </w:r>
      <w:r>
        <w:rPr>
          <w:spacing w:val="-1"/>
        </w:rPr>
        <w:t> </w:t>
      </w:r>
      <w:r>
        <w:rPr/>
        <w:t>improving</w:t>
      </w:r>
      <w:r>
        <w:rPr>
          <w:spacing w:val="-4"/>
        </w:rPr>
        <w:t> </w:t>
      </w:r>
      <w:r>
        <w:rPr/>
        <w:t>access</w:t>
      </w:r>
      <w:r>
        <w:rPr>
          <w:spacing w:val="-1"/>
        </w:rPr>
        <w:t> </w:t>
      </w:r>
      <w:r>
        <w:rPr/>
        <w:t>to quality</w:t>
      </w:r>
      <w:r>
        <w:rPr>
          <w:spacing w:val="-4"/>
        </w:rPr>
        <w:t> </w:t>
      </w:r>
      <w:r>
        <w:rPr/>
        <w:t>care</w:t>
      </w:r>
      <w:r>
        <w:rPr>
          <w:spacing w:val="4"/>
        </w:rPr>
        <w:t> </w:t>
      </w:r>
      <w:r>
        <w:rPr/>
        <w:t>for</w:t>
      </w:r>
      <w:r>
        <w:rPr>
          <w:spacing w:val="-3"/>
        </w:rPr>
        <w:t> </w:t>
      </w:r>
      <w:r>
        <w:rPr/>
        <w:t>all</w:t>
      </w:r>
      <w:r>
        <w:rPr>
          <w:spacing w:val="-1"/>
        </w:rPr>
        <w:t> </w:t>
      </w:r>
      <w:r>
        <w:rPr/>
        <w:t>Medicaid</w:t>
      </w:r>
      <w:r>
        <w:rPr>
          <w:spacing w:val="-1"/>
        </w:rPr>
        <w:t> </w:t>
      </w:r>
      <w:r>
        <w:rPr/>
        <w:t>beneficiaries</w:t>
      </w:r>
      <w:r>
        <w:rPr>
          <w:spacing w:val="-1"/>
        </w:rPr>
        <w:t> </w:t>
      </w:r>
      <w:r>
        <w:rPr/>
        <w:t>and </w:t>
      </w:r>
      <w:r>
        <w:rPr>
          <w:spacing w:val="-5"/>
        </w:rPr>
        <w:t>is</w:t>
      </w:r>
    </w:p>
    <w:p>
      <w:pPr>
        <w:pStyle w:val="BodyText"/>
        <w:ind w:left="1440" w:right="1239"/>
      </w:pPr>
      <w:r>
        <w:rPr/>
        <w:t>engaged</w:t>
      </w:r>
      <w:r>
        <w:rPr>
          <w:spacing w:val="-3"/>
        </w:rPr>
        <w:t> </w:t>
      </w:r>
      <w:r>
        <w:rPr/>
        <w:t>in</w:t>
      </w:r>
      <w:r>
        <w:rPr>
          <w:spacing w:val="-3"/>
        </w:rPr>
        <w:t> </w:t>
      </w:r>
      <w:r>
        <w:rPr/>
        <w:t>an</w:t>
      </w:r>
      <w:r>
        <w:rPr>
          <w:spacing w:val="-2"/>
        </w:rPr>
        <w:t> </w:t>
      </w:r>
      <w:r>
        <w:rPr/>
        <w:t>“all</w:t>
      </w:r>
      <w:r>
        <w:rPr>
          <w:spacing w:val="-3"/>
        </w:rPr>
        <w:t> </w:t>
      </w:r>
      <w:r>
        <w:rPr/>
        <w:t>of</w:t>
      </w:r>
      <w:r>
        <w:rPr>
          <w:spacing w:val="-3"/>
        </w:rPr>
        <w:t> </w:t>
      </w:r>
      <w:r>
        <w:rPr/>
        <w:t>Medicaid”</w:t>
      </w:r>
      <w:r>
        <w:rPr>
          <w:spacing w:val="-3"/>
        </w:rPr>
        <w:t> </w:t>
      </w:r>
      <w:r>
        <w:rPr/>
        <w:t>approach</w:t>
      </w:r>
      <w:r>
        <w:rPr>
          <w:spacing w:val="-3"/>
        </w:rPr>
        <w:t> </w:t>
      </w:r>
      <w:r>
        <w:rPr/>
        <w:t>to</w:t>
      </w:r>
      <w:r>
        <w:rPr>
          <w:spacing w:val="-3"/>
        </w:rPr>
        <w:t> </w:t>
      </w:r>
      <w:r>
        <w:rPr/>
        <w:t>promote</w:t>
      </w:r>
      <w:r>
        <w:rPr>
          <w:spacing w:val="-3"/>
        </w:rPr>
        <w:t> </w:t>
      </w:r>
      <w:r>
        <w:rPr/>
        <w:t>coverage,</w:t>
      </w:r>
      <w:r>
        <w:rPr>
          <w:spacing w:val="-3"/>
        </w:rPr>
        <w:t> </w:t>
      </w:r>
      <w:r>
        <w:rPr/>
        <w:t>access</w:t>
      </w:r>
      <w:r>
        <w:rPr>
          <w:spacing w:val="-4"/>
        </w:rPr>
        <w:t> </w:t>
      </w:r>
      <w:r>
        <w:rPr/>
        <w:t>to</w:t>
      </w:r>
      <w:r>
        <w:rPr>
          <w:spacing w:val="-3"/>
        </w:rPr>
        <w:t> </w:t>
      </w:r>
      <w:r>
        <w:rPr/>
        <w:t>and</w:t>
      </w:r>
      <w:r>
        <w:rPr>
          <w:spacing w:val="-3"/>
        </w:rPr>
        <w:t> </w:t>
      </w:r>
      <w:r>
        <w:rPr/>
        <w:t>quality</w:t>
      </w:r>
      <w:r>
        <w:rPr>
          <w:spacing w:val="-8"/>
        </w:rPr>
        <w:t> </w:t>
      </w:r>
      <w:r>
        <w:rPr/>
        <w:t>of</w:t>
      </w:r>
      <w:r>
        <w:rPr>
          <w:spacing w:val="-3"/>
        </w:rPr>
        <w:t> </w:t>
      </w:r>
      <w:r>
        <w:rPr/>
        <w:t>care</w:t>
      </w:r>
      <w:r>
        <w:rPr>
          <w:spacing w:val="-4"/>
        </w:rPr>
        <w:t> </w:t>
      </w:r>
      <w:r>
        <w:rPr/>
        <w:t>for all beneficiaries, thereby helping to strengthen coverage and mitigate health disparities.</w:t>
      </w:r>
    </w:p>
    <w:p>
      <w:pPr>
        <w:pStyle w:val="BodyText"/>
        <w:spacing w:before="1"/>
        <w:ind w:left="1440" w:right="1264"/>
      </w:pPr>
      <w:r>
        <w:rPr/>
        <w:t>Research shows that increasing Medicaid payments to providers improves beneficiaries’ access to</w:t>
      </w:r>
      <w:r>
        <w:rPr>
          <w:spacing w:val="-2"/>
        </w:rPr>
        <w:t> </w:t>
      </w:r>
      <w:r>
        <w:rPr/>
        <w:t>health</w:t>
      </w:r>
      <w:r>
        <w:rPr>
          <w:spacing w:val="-2"/>
        </w:rPr>
        <w:t> </w:t>
      </w:r>
      <w:r>
        <w:rPr/>
        <w:t>care</w:t>
      </w:r>
      <w:r>
        <w:rPr>
          <w:spacing w:val="-3"/>
        </w:rPr>
        <w:t> </w:t>
      </w:r>
      <w:r>
        <w:rPr/>
        <w:t>services</w:t>
      </w:r>
      <w:r>
        <w:rPr>
          <w:spacing w:val="-2"/>
        </w:rPr>
        <w:t> </w:t>
      </w:r>
      <w:r>
        <w:rPr/>
        <w:t>and</w:t>
      </w:r>
      <w:r>
        <w:rPr>
          <w:spacing w:val="-2"/>
        </w:rPr>
        <w:t> </w:t>
      </w:r>
      <w:r>
        <w:rPr/>
        <w:t>the</w:t>
      </w:r>
      <w:r>
        <w:rPr>
          <w:spacing w:val="-2"/>
        </w:rPr>
        <w:t> </w:t>
      </w:r>
      <w:r>
        <w:rPr/>
        <w:t>quality</w:t>
      </w:r>
      <w:r>
        <w:rPr>
          <w:spacing w:val="-7"/>
        </w:rPr>
        <w:t> </w:t>
      </w:r>
      <w:r>
        <w:rPr/>
        <w:t>of</w:t>
      </w:r>
      <w:r>
        <w:rPr>
          <w:spacing w:val="-1"/>
        </w:rPr>
        <w:t> </w:t>
      </w:r>
      <w:r>
        <w:rPr/>
        <w:t>care</w:t>
      </w:r>
      <w:r>
        <w:rPr>
          <w:spacing w:val="-3"/>
        </w:rPr>
        <w:t> </w:t>
      </w:r>
      <w:r>
        <w:rPr/>
        <w:t>received.</w:t>
      </w:r>
      <w:r>
        <w:rPr>
          <w:vertAlign w:val="superscript"/>
        </w:rPr>
        <w:t>10</w:t>
      </w:r>
      <w:r>
        <w:rPr>
          <w:spacing w:val="40"/>
          <w:vertAlign w:val="baseline"/>
        </w:rPr>
        <w:t> </w:t>
      </w:r>
      <w:r>
        <w:rPr>
          <w:vertAlign w:val="baseline"/>
        </w:rPr>
        <w:t>To</w:t>
      </w:r>
      <w:r>
        <w:rPr>
          <w:spacing w:val="-2"/>
          <w:vertAlign w:val="baseline"/>
        </w:rPr>
        <w:t> </w:t>
      </w:r>
      <w:r>
        <w:rPr>
          <w:vertAlign w:val="baseline"/>
        </w:rPr>
        <w:t>that</w:t>
      </w:r>
      <w:r>
        <w:rPr>
          <w:spacing w:val="-2"/>
          <w:vertAlign w:val="baseline"/>
        </w:rPr>
        <w:t> </w:t>
      </w:r>
      <w:r>
        <w:rPr>
          <w:vertAlign w:val="baseline"/>
        </w:rPr>
        <w:t>end,</w:t>
      </w:r>
      <w:r>
        <w:rPr>
          <w:spacing w:val="-2"/>
          <w:vertAlign w:val="baseline"/>
        </w:rPr>
        <w:t> </w:t>
      </w:r>
      <w:r>
        <w:rPr>
          <w:vertAlign w:val="baseline"/>
        </w:rPr>
        <w:t>as a</w:t>
      </w:r>
      <w:r>
        <w:rPr>
          <w:spacing w:val="-3"/>
          <w:vertAlign w:val="baseline"/>
        </w:rPr>
        <w:t> </w:t>
      </w:r>
      <w:r>
        <w:rPr>
          <w:vertAlign w:val="baseline"/>
        </w:rPr>
        <w:t>condition</w:t>
      </w:r>
      <w:r>
        <w:rPr>
          <w:spacing w:val="-2"/>
          <w:vertAlign w:val="baseline"/>
        </w:rPr>
        <w:t> </w:t>
      </w:r>
      <w:r>
        <w:rPr>
          <w:vertAlign w:val="baseline"/>
        </w:rPr>
        <w:t>of</w:t>
      </w:r>
      <w:r>
        <w:rPr>
          <w:spacing w:val="-2"/>
          <w:vertAlign w:val="baseline"/>
        </w:rPr>
        <w:t> </w:t>
      </w:r>
      <w:r>
        <w:rPr>
          <w:vertAlign w:val="baseline"/>
        </w:rPr>
        <w:t>approval</w:t>
      </w:r>
    </w:p>
    <w:p>
      <w:pPr>
        <w:pStyle w:val="BodyText"/>
        <w:rPr>
          <w:sz w:val="20"/>
        </w:rPr>
      </w:pPr>
    </w:p>
    <w:p>
      <w:pPr>
        <w:pStyle w:val="BodyText"/>
        <w:spacing w:before="10"/>
        <w:rPr>
          <w:sz w:val="14"/>
        </w:rPr>
      </w:pPr>
      <w:r>
        <w:rPr/>
        <mc:AlternateContent>
          <mc:Choice Requires="wps">
            <w:drawing>
              <wp:anchor distT="0" distB="0" distL="0" distR="0" allowOverlap="1" layoutInCell="1" locked="0" behindDoc="1" simplePos="0" relativeHeight="487589888">
                <wp:simplePos x="0" y="0"/>
                <wp:positionH relativeFrom="page">
                  <wp:posOffset>914704</wp:posOffset>
                </wp:positionH>
                <wp:positionV relativeFrom="paragraph">
                  <wp:posOffset>124343</wp:posOffset>
                </wp:positionV>
                <wp:extent cx="1829435" cy="762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9.790839pt;width:144.020pt;height:.60004pt;mso-position-horizontal-relative:page;mso-position-vertical-relative:paragraph;z-index:-15726592;mso-wrap-distance-left:0;mso-wrap-distance-right:0" id="docshape5" filled="true" fillcolor="#000000" stroked="false">
                <v:fill type="solid"/>
                <w10:wrap type="topAndBottom"/>
              </v:rect>
            </w:pict>
          </mc:Fallback>
        </mc:AlternateContent>
      </w:r>
    </w:p>
    <w:p>
      <w:pPr>
        <w:spacing w:before="103"/>
        <w:ind w:left="1440" w:right="2411" w:firstLine="0"/>
        <w:jc w:val="left"/>
        <w:rPr>
          <w:sz w:val="20"/>
        </w:rPr>
      </w:pPr>
      <w:r>
        <w:rPr>
          <w:sz w:val="20"/>
          <w:vertAlign w:val="superscript"/>
        </w:rPr>
        <w:t>9</w:t>
      </w:r>
      <w:r>
        <w:rPr>
          <w:sz w:val="20"/>
          <w:vertAlign w:val="baseline"/>
        </w:rPr>
        <w:t> MassHealth Section 1115 Demonstration Extension Request. (2021). Retrieved from: </w:t>
      </w:r>
      <w:hyperlink r:id="rId16">
        <w:r>
          <w:rPr>
            <w:color w:val="0000FF"/>
            <w:spacing w:val="-2"/>
            <w:sz w:val="20"/>
            <w:u w:val="single" w:color="0000FF"/>
            <w:vertAlign w:val="baseline"/>
          </w:rPr>
          <w:t>https://www.medicaid.gov/medicaid/section-1115-demonstrations/downloads/ma-masshealth-pa7.zip</w:t>
        </w:r>
        <w:r>
          <w:rPr>
            <w:spacing w:val="-2"/>
            <w:sz w:val="20"/>
            <w:vertAlign w:val="baseline"/>
          </w:rPr>
          <w:t>.</w:t>
        </w:r>
      </w:hyperlink>
    </w:p>
    <w:p>
      <w:pPr>
        <w:spacing w:line="240" w:lineRule="auto" w:before="1"/>
        <w:ind w:left="1440" w:right="1264" w:firstLine="0"/>
        <w:jc w:val="left"/>
        <w:rPr>
          <w:sz w:val="20"/>
        </w:rPr>
      </w:pPr>
      <w:r>
        <w:rPr>
          <w:sz w:val="20"/>
          <w:vertAlign w:val="superscript"/>
        </w:rPr>
        <w:t>10</w:t>
      </w:r>
      <w:r>
        <w:rPr>
          <w:sz w:val="20"/>
          <w:vertAlign w:val="baseline"/>
        </w:rPr>
        <w:t> Polsky, D., Richards, M. Basseyn, S., et al. </w:t>
      </w:r>
      <w:r>
        <w:rPr>
          <w:i/>
          <w:sz w:val="20"/>
          <w:vertAlign w:val="baseline"/>
        </w:rPr>
        <w:t>Appointment Availability after Increases in Medicaid Payments for</w:t>
      </w:r>
      <w:r>
        <w:rPr>
          <w:i/>
          <w:sz w:val="20"/>
          <w:vertAlign w:val="baseline"/>
        </w:rPr>
        <w:t> Primary</w:t>
      </w:r>
      <w:r>
        <w:rPr>
          <w:i/>
          <w:spacing w:val="-3"/>
          <w:sz w:val="20"/>
          <w:vertAlign w:val="baseline"/>
        </w:rPr>
        <w:t> </w:t>
      </w:r>
      <w:r>
        <w:rPr>
          <w:i/>
          <w:sz w:val="20"/>
          <w:vertAlign w:val="baseline"/>
        </w:rPr>
        <w:t>Care.</w:t>
      </w:r>
      <w:r>
        <w:rPr>
          <w:i/>
          <w:spacing w:val="-2"/>
          <w:sz w:val="20"/>
          <w:vertAlign w:val="baseline"/>
        </w:rPr>
        <w:t> </w:t>
      </w:r>
      <w:r>
        <w:rPr>
          <w:sz w:val="20"/>
          <w:vertAlign w:val="baseline"/>
        </w:rPr>
        <w:t>The</w:t>
      </w:r>
      <w:r>
        <w:rPr>
          <w:spacing w:val="-3"/>
          <w:sz w:val="20"/>
          <w:vertAlign w:val="baseline"/>
        </w:rPr>
        <w:t> </w:t>
      </w:r>
      <w:r>
        <w:rPr>
          <w:sz w:val="20"/>
          <w:vertAlign w:val="baseline"/>
        </w:rPr>
        <w:t>New</w:t>
      </w:r>
      <w:r>
        <w:rPr>
          <w:spacing w:val="-5"/>
          <w:sz w:val="20"/>
          <w:vertAlign w:val="baseline"/>
        </w:rPr>
        <w:t> </w:t>
      </w:r>
      <w:r>
        <w:rPr>
          <w:sz w:val="20"/>
          <w:vertAlign w:val="baseline"/>
        </w:rPr>
        <w:t>England</w:t>
      </w:r>
      <w:r>
        <w:rPr>
          <w:spacing w:val="-2"/>
          <w:sz w:val="20"/>
          <w:vertAlign w:val="baseline"/>
        </w:rPr>
        <w:t> </w:t>
      </w:r>
      <w:r>
        <w:rPr>
          <w:sz w:val="20"/>
          <w:vertAlign w:val="baseline"/>
        </w:rPr>
        <w:t>Journal</w:t>
      </w:r>
      <w:r>
        <w:rPr>
          <w:spacing w:val="-3"/>
          <w:sz w:val="20"/>
          <w:vertAlign w:val="baseline"/>
        </w:rPr>
        <w:t> </w:t>
      </w:r>
      <w:r>
        <w:rPr>
          <w:sz w:val="20"/>
          <w:vertAlign w:val="baseline"/>
        </w:rPr>
        <w:t>of</w:t>
      </w:r>
      <w:r>
        <w:rPr>
          <w:spacing w:val="-5"/>
          <w:sz w:val="20"/>
          <w:vertAlign w:val="baseline"/>
        </w:rPr>
        <w:t> </w:t>
      </w:r>
      <w:r>
        <w:rPr>
          <w:sz w:val="20"/>
          <w:vertAlign w:val="baseline"/>
        </w:rPr>
        <w:t>Medicine;</w:t>
      </w:r>
      <w:r>
        <w:rPr>
          <w:spacing w:val="-3"/>
          <w:sz w:val="20"/>
          <w:vertAlign w:val="baseline"/>
        </w:rPr>
        <w:t> </w:t>
      </w:r>
      <w:r>
        <w:rPr>
          <w:sz w:val="20"/>
          <w:vertAlign w:val="baseline"/>
        </w:rPr>
        <w:t>2015; </w:t>
      </w:r>
      <w:hyperlink r:id="rId17">
        <w:r>
          <w:rPr>
            <w:color w:val="0000FF"/>
            <w:sz w:val="20"/>
            <w:u w:val="single" w:color="0000FF"/>
            <w:vertAlign w:val="baseline"/>
          </w:rPr>
          <w:t>https://www.nejm.org/doi/10.1056/NEJMsa1413299</w:t>
        </w:r>
      </w:hyperlink>
      <w:r>
        <w:rPr>
          <w:sz w:val="20"/>
          <w:vertAlign w:val="baseline"/>
        </w:rPr>
        <w:t>; Decker,</w:t>
      </w:r>
      <w:r>
        <w:rPr>
          <w:spacing w:val="-2"/>
          <w:sz w:val="20"/>
          <w:vertAlign w:val="baseline"/>
        </w:rPr>
        <w:t> </w:t>
      </w:r>
      <w:r>
        <w:rPr>
          <w:sz w:val="20"/>
          <w:vertAlign w:val="baseline"/>
        </w:rPr>
        <w:t>S.</w:t>
      </w:r>
      <w:r>
        <w:rPr>
          <w:spacing w:val="-2"/>
          <w:sz w:val="20"/>
          <w:vertAlign w:val="baseline"/>
        </w:rPr>
        <w:t> </w:t>
      </w:r>
      <w:r>
        <w:rPr>
          <w:sz w:val="20"/>
          <w:vertAlign w:val="baseline"/>
        </w:rPr>
        <w:t>L.,</w:t>
      </w:r>
      <w:r>
        <w:rPr>
          <w:spacing w:val="40"/>
          <w:sz w:val="20"/>
          <w:vertAlign w:val="baseline"/>
        </w:rPr>
        <w:t> </w:t>
      </w:r>
      <w:r>
        <w:rPr>
          <w:i/>
          <w:sz w:val="20"/>
          <w:vertAlign w:val="baseline"/>
        </w:rPr>
        <w:t>Medicaid</w:t>
      </w:r>
      <w:r>
        <w:rPr>
          <w:i/>
          <w:spacing w:val="-1"/>
          <w:sz w:val="20"/>
          <w:vertAlign w:val="baseline"/>
        </w:rPr>
        <w:t> </w:t>
      </w:r>
      <w:r>
        <w:rPr>
          <w:i/>
          <w:sz w:val="20"/>
          <w:vertAlign w:val="baseline"/>
        </w:rPr>
        <w:t>Physician</w:t>
      </w:r>
      <w:r>
        <w:rPr>
          <w:i/>
          <w:spacing w:val="-1"/>
          <w:sz w:val="20"/>
          <w:vertAlign w:val="baseline"/>
        </w:rPr>
        <w:t> </w:t>
      </w:r>
      <w:r>
        <w:rPr>
          <w:i/>
          <w:sz w:val="20"/>
          <w:vertAlign w:val="baseline"/>
        </w:rPr>
        <w:t>Fees</w:t>
      </w:r>
      <w:r>
        <w:rPr>
          <w:i/>
          <w:spacing w:val="-3"/>
          <w:sz w:val="20"/>
          <w:vertAlign w:val="baseline"/>
        </w:rPr>
        <w:t> </w:t>
      </w:r>
      <w:r>
        <w:rPr>
          <w:i/>
          <w:sz w:val="20"/>
          <w:vertAlign w:val="baseline"/>
        </w:rPr>
        <w:t>and</w:t>
      </w:r>
      <w:r>
        <w:rPr>
          <w:i/>
          <w:spacing w:val="-3"/>
          <w:sz w:val="20"/>
          <w:vertAlign w:val="baseline"/>
        </w:rPr>
        <w:t> </w:t>
      </w:r>
      <w:r>
        <w:rPr>
          <w:i/>
          <w:sz w:val="20"/>
          <w:vertAlign w:val="baseline"/>
        </w:rPr>
        <w:t>the</w:t>
      </w:r>
      <w:r>
        <w:rPr>
          <w:i/>
          <w:spacing w:val="-2"/>
          <w:sz w:val="20"/>
          <w:vertAlign w:val="baseline"/>
        </w:rPr>
        <w:t> </w:t>
      </w:r>
      <w:r>
        <w:rPr>
          <w:i/>
          <w:sz w:val="20"/>
          <w:vertAlign w:val="baseline"/>
        </w:rPr>
        <w:t>Quality</w:t>
      </w:r>
      <w:r>
        <w:rPr>
          <w:i/>
          <w:spacing w:val="-3"/>
          <w:sz w:val="20"/>
          <w:vertAlign w:val="baseline"/>
        </w:rPr>
        <w:t> </w:t>
      </w:r>
      <w:r>
        <w:rPr>
          <w:i/>
          <w:sz w:val="20"/>
          <w:vertAlign w:val="baseline"/>
        </w:rPr>
        <w:t>of</w:t>
      </w:r>
      <w:r>
        <w:rPr>
          <w:i/>
          <w:spacing w:val="-5"/>
          <w:sz w:val="20"/>
          <w:vertAlign w:val="baseline"/>
        </w:rPr>
        <w:t> </w:t>
      </w:r>
      <w:r>
        <w:rPr>
          <w:i/>
          <w:sz w:val="20"/>
          <w:vertAlign w:val="baseline"/>
        </w:rPr>
        <w:t>Medical</w:t>
      </w:r>
      <w:r>
        <w:rPr>
          <w:i/>
          <w:spacing w:val="-3"/>
          <w:sz w:val="20"/>
          <w:vertAlign w:val="baseline"/>
        </w:rPr>
        <w:t> </w:t>
      </w:r>
      <w:r>
        <w:rPr>
          <w:i/>
          <w:sz w:val="20"/>
          <w:vertAlign w:val="baseline"/>
        </w:rPr>
        <w:t>Care</w:t>
      </w:r>
      <w:r>
        <w:rPr>
          <w:i/>
          <w:spacing w:val="-2"/>
          <w:sz w:val="20"/>
          <w:vertAlign w:val="baseline"/>
        </w:rPr>
        <w:t> </w:t>
      </w:r>
      <w:r>
        <w:rPr>
          <w:i/>
          <w:sz w:val="20"/>
          <w:vertAlign w:val="baseline"/>
        </w:rPr>
        <w:t>of</w:t>
      </w:r>
      <w:r>
        <w:rPr>
          <w:i/>
          <w:spacing w:val="-3"/>
          <w:sz w:val="20"/>
          <w:vertAlign w:val="baseline"/>
        </w:rPr>
        <w:t> </w:t>
      </w:r>
      <w:r>
        <w:rPr>
          <w:i/>
          <w:sz w:val="20"/>
          <w:vertAlign w:val="baseline"/>
        </w:rPr>
        <w:t>Medicaid</w:t>
      </w:r>
      <w:r>
        <w:rPr>
          <w:i/>
          <w:spacing w:val="-1"/>
          <w:sz w:val="20"/>
          <w:vertAlign w:val="baseline"/>
        </w:rPr>
        <w:t> </w:t>
      </w:r>
      <w:r>
        <w:rPr>
          <w:i/>
          <w:sz w:val="20"/>
          <w:vertAlign w:val="baseline"/>
        </w:rPr>
        <w:t>Patients</w:t>
      </w:r>
      <w:r>
        <w:rPr>
          <w:i/>
          <w:spacing w:val="-3"/>
          <w:sz w:val="20"/>
          <w:vertAlign w:val="baseline"/>
        </w:rPr>
        <w:t> </w:t>
      </w:r>
      <w:r>
        <w:rPr>
          <w:i/>
          <w:sz w:val="20"/>
          <w:vertAlign w:val="baseline"/>
        </w:rPr>
        <w:t>in</w:t>
      </w:r>
      <w:r>
        <w:rPr>
          <w:i/>
          <w:spacing w:val="-1"/>
          <w:sz w:val="20"/>
          <w:vertAlign w:val="baseline"/>
        </w:rPr>
        <w:t> </w:t>
      </w:r>
      <w:r>
        <w:rPr>
          <w:i/>
          <w:sz w:val="20"/>
          <w:vertAlign w:val="baseline"/>
        </w:rPr>
        <w:t>the</w:t>
      </w:r>
      <w:r>
        <w:rPr>
          <w:i/>
          <w:spacing w:val="-2"/>
          <w:sz w:val="20"/>
          <w:vertAlign w:val="baseline"/>
        </w:rPr>
        <w:t> </w:t>
      </w:r>
      <w:r>
        <w:rPr>
          <w:i/>
          <w:sz w:val="20"/>
          <w:vertAlign w:val="baseline"/>
        </w:rPr>
        <w:t>USA</w:t>
      </w:r>
      <w:r>
        <w:rPr>
          <w:sz w:val="20"/>
          <w:vertAlign w:val="baseline"/>
        </w:rPr>
        <w:t>.</w:t>
      </w:r>
      <w:r>
        <w:rPr>
          <w:spacing w:val="-1"/>
          <w:sz w:val="20"/>
          <w:vertAlign w:val="baseline"/>
        </w:rPr>
        <w:t> </w:t>
      </w:r>
      <w:r>
        <w:rPr>
          <w:sz w:val="20"/>
          <w:vertAlign w:val="baseline"/>
        </w:rPr>
        <w:t>Review of Economics in the Household; 2007; </w:t>
      </w:r>
      <w:hyperlink r:id="rId18">
        <w:r>
          <w:rPr>
            <w:color w:val="0000FF"/>
            <w:sz w:val="20"/>
            <w:u w:val="single" w:color="0000FF"/>
            <w:vertAlign w:val="baseline"/>
          </w:rPr>
          <w:t>https://link.springer.com/article/10.1007/s11150-007-9000-7</w:t>
        </w:r>
        <w:r>
          <w:rPr>
            <w:sz w:val="20"/>
            <w:vertAlign w:val="baseline"/>
          </w:rPr>
          <w:t>.</w:t>
        </w:r>
      </w:hyperlink>
    </w:p>
    <w:p>
      <w:pPr>
        <w:spacing w:after="0" w:line="240" w:lineRule="auto"/>
        <w:jc w:val="left"/>
        <w:rPr>
          <w:sz w:val="20"/>
        </w:rPr>
        <w:sectPr>
          <w:pgSz w:w="12240" w:h="15840"/>
          <w:pgMar w:top="640" w:bottom="280" w:left="0" w:right="220"/>
        </w:sectPr>
      </w:pPr>
    </w:p>
    <w:p>
      <w:pPr>
        <w:pStyle w:val="BodyText"/>
        <w:spacing w:before="79"/>
        <w:ind w:right="1218"/>
        <w:jc w:val="right"/>
      </w:pPr>
      <w:r>
        <w:rPr/>
        <w:t>Page</w:t>
      </w:r>
      <w:r>
        <w:rPr>
          <w:spacing w:val="-7"/>
        </w:rPr>
        <w:t> </w:t>
      </w:r>
      <w:r>
        <w:rPr>
          <w:spacing w:val="-10"/>
        </w:rPr>
        <w:t>8</w:t>
      </w:r>
    </w:p>
    <w:p>
      <w:pPr>
        <w:pStyle w:val="BodyText"/>
        <w:spacing w:before="7"/>
        <w:rPr>
          <w:sz w:val="38"/>
        </w:rPr>
      </w:pPr>
    </w:p>
    <w:p>
      <w:pPr>
        <w:pStyle w:val="BodyText"/>
        <w:ind w:left="1440" w:right="1239"/>
      </w:pPr>
      <w:r>
        <w:rPr/>
        <w:t>for expenditure authority for both the Hospital Quality and Equity Initiative and the HRSN services and related infrastructure, the state will be required to increase and (at least) sustain Medicaid</w:t>
      </w:r>
      <w:r>
        <w:rPr>
          <w:spacing w:val="-4"/>
        </w:rPr>
        <w:t> </w:t>
      </w:r>
      <w:r>
        <w:rPr/>
        <w:t>fee-for-service</w:t>
      </w:r>
      <w:r>
        <w:rPr>
          <w:spacing w:val="-3"/>
        </w:rPr>
        <w:t> </w:t>
      </w:r>
      <w:r>
        <w:rPr/>
        <w:t>provider</w:t>
      </w:r>
      <w:r>
        <w:rPr>
          <w:spacing w:val="-4"/>
        </w:rPr>
        <w:t> </w:t>
      </w:r>
      <w:r>
        <w:rPr/>
        <w:t>base</w:t>
      </w:r>
      <w:r>
        <w:rPr>
          <w:spacing w:val="-3"/>
        </w:rPr>
        <w:t> </w:t>
      </w:r>
      <w:r>
        <w:rPr/>
        <w:t>payment</w:t>
      </w:r>
      <w:r>
        <w:rPr>
          <w:spacing w:val="-4"/>
        </w:rPr>
        <w:t> </w:t>
      </w:r>
      <w:r>
        <w:rPr/>
        <w:t>rates</w:t>
      </w:r>
      <w:r>
        <w:rPr>
          <w:spacing w:val="-4"/>
        </w:rPr>
        <w:t> </w:t>
      </w:r>
      <w:r>
        <w:rPr/>
        <w:t>and</w:t>
      </w:r>
      <w:r>
        <w:rPr>
          <w:spacing w:val="-4"/>
        </w:rPr>
        <w:t> </w:t>
      </w:r>
      <w:r>
        <w:rPr/>
        <w:t>Medicaid</w:t>
      </w:r>
      <w:r>
        <w:rPr>
          <w:spacing w:val="-4"/>
        </w:rPr>
        <w:t> </w:t>
      </w:r>
      <w:r>
        <w:rPr/>
        <w:t>managed</w:t>
      </w:r>
      <w:r>
        <w:rPr>
          <w:spacing w:val="-4"/>
        </w:rPr>
        <w:t> </w:t>
      </w:r>
      <w:r>
        <w:rPr/>
        <w:t>care</w:t>
      </w:r>
      <w:r>
        <w:rPr>
          <w:spacing w:val="-6"/>
        </w:rPr>
        <w:t> </w:t>
      </w:r>
      <w:r>
        <w:rPr/>
        <w:t>payment</w:t>
      </w:r>
      <w:r>
        <w:rPr>
          <w:spacing w:val="-4"/>
        </w:rPr>
        <w:t> </w:t>
      </w:r>
      <w:r>
        <w:rPr/>
        <w:t>rates in primary care, behavioral health, and obstetrics care, should the state’s Medicaid-to-Medicare provider rate ratio be below 80 percent in any of these categories.</w:t>
      </w:r>
    </w:p>
    <w:p>
      <w:pPr>
        <w:pStyle w:val="BodyText"/>
      </w:pPr>
    </w:p>
    <w:p>
      <w:pPr>
        <w:spacing w:before="0"/>
        <w:ind w:left="1440" w:right="0" w:firstLine="0"/>
        <w:jc w:val="left"/>
        <w:rPr>
          <w:i/>
          <w:sz w:val="24"/>
        </w:rPr>
      </w:pPr>
      <w:r>
        <w:rPr>
          <w:i/>
          <w:sz w:val="24"/>
        </w:rPr>
        <w:t>Budget</w:t>
      </w:r>
      <w:r>
        <w:rPr>
          <w:i/>
          <w:spacing w:val="-2"/>
          <w:sz w:val="24"/>
        </w:rPr>
        <w:t> Neutrality</w:t>
      </w:r>
    </w:p>
    <w:p>
      <w:pPr>
        <w:pStyle w:val="BodyText"/>
        <w:ind w:left="1440" w:right="1239"/>
      </w:pPr>
      <w:r>
        <w:rPr/>
        <w:t>Under section 1115(a) demonstrations, states can test innovative approaches to operating their Medicaid programs if CMS determines that the</w:t>
      </w:r>
      <w:r>
        <w:rPr>
          <w:spacing w:val="-1"/>
        </w:rPr>
        <w:t> </w:t>
      </w:r>
      <w:r>
        <w:rPr/>
        <w:t>demonstration is likely</w:t>
      </w:r>
      <w:r>
        <w:rPr>
          <w:spacing w:val="-5"/>
        </w:rPr>
        <w:t> </w:t>
      </w:r>
      <w:r>
        <w:rPr/>
        <w:t>to assist in promoting</w:t>
      </w:r>
      <w:r>
        <w:rPr>
          <w:spacing w:val="-2"/>
        </w:rPr>
        <w:t> </w:t>
      </w:r>
      <w:r>
        <w:rPr/>
        <w:t>the objectives of the Medicaid statute.</w:t>
      </w:r>
      <w:r>
        <w:rPr>
          <w:spacing w:val="40"/>
        </w:rPr>
        <w:t> </w:t>
      </w:r>
      <w:r>
        <w:rPr/>
        <w:t>CMS has long required, as a condition of demonstration approval, that demonstrations be “budget neutral,” meaning the federal costs of the state’s Medicaid program with the demonstration cannot exceed what the federal government’s Medicaid costs in that state likely would have been without the demonstration.</w:t>
      </w:r>
      <w:r>
        <w:rPr>
          <w:spacing w:val="40"/>
        </w:rPr>
        <w:t> </w:t>
      </w:r>
      <w:r>
        <w:rPr/>
        <w:t>In requiring demonstrations to be</w:t>
      </w:r>
      <w:r>
        <w:rPr>
          <w:spacing w:val="-1"/>
        </w:rPr>
        <w:t> </w:t>
      </w:r>
      <w:r>
        <w:rPr/>
        <w:t>budget neutral, CMS is constantly</w:t>
      </w:r>
      <w:r>
        <w:rPr>
          <w:spacing w:val="-5"/>
        </w:rPr>
        <w:t> </w:t>
      </w:r>
      <w:r>
        <w:rPr/>
        <w:t>striving</w:t>
      </w:r>
      <w:r>
        <w:rPr>
          <w:spacing w:val="-3"/>
        </w:rPr>
        <w:t> </w:t>
      </w:r>
      <w:r>
        <w:rPr/>
        <w:t>to achieve a</w:t>
      </w:r>
      <w:r>
        <w:rPr>
          <w:spacing w:val="-1"/>
        </w:rPr>
        <w:t> </w:t>
      </w:r>
      <w:r>
        <w:rPr/>
        <w:t>balance</w:t>
      </w:r>
      <w:r>
        <w:rPr>
          <w:spacing w:val="-1"/>
        </w:rPr>
        <w:t> </w:t>
      </w:r>
      <w:r>
        <w:rPr/>
        <w:t>between its interest in preserving the fiscal integrity of the Medicaid program and its interest in facilitating state innovation through section 1115 approvals.</w:t>
      </w:r>
      <w:r>
        <w:rPr>
          <w:spacing w:val="40"/>
        </w:rPr>
        <w:t> </w:t>
      </w:r>
      <w:r>
        <w:rPr/>
        <w:t>In practice, budget neutrality generally means that the total computable (i.e., both state and federal) costs for approved demonstration expenditures are</w:t>
      </w:r>
      <w:r>
        <w:rPr>
          <w:spacing w:val="-2"/>
        </w:rPr>
        <w:t> </w:t>
      </w:r>
      <w:r>
        <w:rPr/>
        <w:t>limited to a</w:t>
      </w:r>
      <w:r>
        <w:rPr>
          <w:spacing w:val="-1"/>
        </w:rPr>
        <w:t> </w:t>
      </w:r>
      <w:r>
        <w:rPr/>
        <w:t>certain amount for</w:t>
      </w:r>
      <w:r>
        <w:rPr>
          <w:spacing w:val="-1"/>
        </w:rPr>
        <w:t> </w:t>
      </w:r>
      <w:r>
        <w:rPr/>
        <w:t>the</w:t>
      </w:r>
      <w:r>
        <w:rPr>
          <w:spacing w:val="-1"/>
        </w:rPr>
        <w:t> </w:t>
      </w:r>
      <w:r>
        <w:rPr/>
        <w:t>demonstration approval period.</w:t>
      </w:r>
      <w:r>
        <w:rPr>
          <w:spacing w:val="40"/>
        </w:rPr>
        <w:t> </w:t>
      </w:r>
      <w:r>
        <w:rPr/>
        <w:t>This limit is called the budget neutrality expenditure limit and is based on a projection of the Medicaid expenditures that could have occurred absent the demonstration (the “without waiver” (WOW) costs).</w:t>
      </w:r>
      <w:r>
        <w:rPr>
          <w:spacing w:val="40"/>
        </w:rPr>
        <w:t> </w:t>
      </w:r>
      <w:r>
        <w:rPr/>
        <w:t>Historically, if a state’s “with waiver” (WW) costs for a demonstration approval period were less than the expenditure limit for that period, the unspent funds or “savings” rolled over into</w:t>
      </w:r>
      <w:r>
        <w:rPr>
          <w:spacing w:val="-3"/>
        </w:rPr>
        <w:t> </w:t>
      </w:r>
      <w:r>
        <w:rPr/>
        <w:t>the</w:t>
      </w:r>
      <w:r>
        <w:rPr>
          <w:spacing w:val="-3"/>
        </w:rPr>
        <w:t> </w:t>
      </w:r>
      <w:r>
        <w:rPr/>
        <w:t>next</w:t>
      </w:r>
      <w:r>
        <w:rPr>
          <w:spacing w:val="-3"/>
        </w:rPr>
        <w:t> </w:t>
      </w:r>
      <w:r>
        <w:rPr/>
        <w:t>approval</w:t>
      </w:r>
      <w:r>
        <w:rPr>
          <w:spacing w:val="-3"/>
        </w:rPr>
        <w:t> </w:t>
      </w:r>
      <w:r>
        <w:rPr/>
        <w:t>period,</w:t>
      </w:r>
      <w:r>
        <w:rPr>
          <w:spacing w:val="-3"/>
        </w:rPr>
        <w:t> </w:t>
      </w:r>
      <w:r>
        <w:rPr/>
        <w:t>which</w:t>
      </w:r>
      <w:r>
        <w:rPr>
          <w:spacing w:val="-3"/>
        </w:rPr>
        <w:t> </w:t>
      </w:r>
      <w:r>
        <w:rPr/>
        <w:t>meant</w:t>
      </w:r>
      <w:r>
        <w:rPr>
          <w:spacing w:val="-3"/>
        </w:rPr>
        <w:t> </w:t>
      </w:r>
      <w:r>
        <w:rPr/>
        <w:t>that</w:t>
      </w:r>
      <w:r>
        <w:rPr>
          <w:spacing w:val="-3"/>
        </w:rPr>
        <w:t> </w:t>
      </w:r>
      <w:r>
        <w:rPr/>
        <w:t>the</w:t>
      </w:r>
      <w:r>
        <w:rPr>
          <w:spacing w:val="-4"/>
        </w:rPr>
        <w:t> </w:t>
      </w:r>
      <w:r>
        <w:rPr/>
        <w:t>state</w:t>
      </w:r>
      <w:r>
        <w:rPr>
          <w:spacing w:val="-4"/>
        </w:rPr>
        <w:t> </w:t>
      </w:r>
      <w:r>
        <w:rPr/>
        <w:t>could</w:t>
      </w:r>
      <w:r>
        <w:rPr>
          <w:spacing w:val="-3"/>
        </w:rPr>
        <w:t> </w:t>
      </w:r>
      <w:r>
        <w:rPr/>
        <w:t>incur</w:t>
      </w:r>
      <w:r>
        <w:rPr>
          <w:spacing w:val="-3"/>
        </w:rPr>
        <w:t> </w:t>
      </w:r>
      <w:r>
        <w:rPr/>
        <w:t>higher</w:t>
      </w:r>
      <w:r>
        <w:rPr>
          <w:spacing w:val="-2"/>
        </w:rPr>
        <w:t> </w:t>
      </w:r>
      <w:r>
        <w:rPr/>
        <w:t>WW</w:t>
      </w:r>
      <w:r>
        <w:rPr>
          <w:spacing w:val="-2"/>
        </w:rPr>
        <w:t> </w:t>
      </w:r>
      <w:r>
        <w:rPr/>
        <w:t>costs</w:t>
      </w:r>
      <w:r>
        <w:rPr>
          <w:spacing w:val="-3"/>
        </w:rPr>
        <w:t> </w:t>
      </w:r>
      <w:r>
        <w:rPr/>
        <w:t>during</w:t>
      </w:r>
      <w:r>
        <w:rPr>
          <w:spacing w:val="-6"/>
        </w:rPr>
        <w:t> </w:t>
      </w:r>
      <w:r>
        <w:rPr/>
        <w:t>the new approval period.</w:t>
      </w:r>
    </w:p>
    <w:p>
      <w:pPr>
        <w:pStyle w:val="BodyText"/>
        <w:spacing w:before="2"/>
      </w:pPr>
    </w:p>
    <w:p>
      <w:pPr>
        <w:pStyle w:val="BodyText"/>
        <w:ind w:left="1440" w:right="1315"/>
      </w:pPr>
      <w:r>
        <w:rPr/>
        <w:t>CMS and states have generally</w:t>
      </w:r>
      <w:r>
        <w:rPr>
          <w:spacing w:val="-1"/>
        </w:rPr>
        <w:t> </w:t>
      </w:r>
      <w:r>
        <w:rPr/>
        <w:t>been applying an approach to calculating budget neutrality</w:t>
      </w:r>
      <w:r>
        <w:rPr>
          <w:spacing w:val="-1"/>
        </w:rPr>
        <w:t> </w:t>
      </w:r>
      <w:r>
        <w:rPr/>
        <w:t>that CMS described in a 2018 State Medicaid Director (SMD) Letter.</w:t>
      </w:r>
      <w:r>
        <w:rPr>
          <w:vertAlign w:val="superscript"/>
        </w:rPr>
        <w:t>11</w:t>
      </w:r>
      <w:r>
        <w:rPr>
          <w:spacing w:val="40"/>
          <w:vertAlign w:val="baseline"/>
        </w:rPr>
        <w:t> </w:t>
      </w:r>
      <w:r>
        <w:rPr>
          <w:vertAlign w:val="baseline"/>
        </w:rPr>
        <w:t>The approach described in the 2018 SMD Letter included certain features that limited the extent to which states could roll over unspent “savings” from one approval period to the next when CMS extended a demonstration,</w:t>
      </w:r>
      <w:r>
        <w:rPr>
          <w:spacing w:val="-3"/>
          <w:vertAlign w:val="baseline"/>
        </w:rPr>
        <w:t> </w:t>
      </w:r>
      <w:r>
        <w:rPr>
          <w:vertAlign w:val="baseline"/>
        </w:rPr>
        <w:t>and</w:t>
      </w:r>
      <w:r>
        <w:rPr>
          <w:spacing w:val="-3"/>
          <w:vertAlign w:val="baseline"/>
        </w:rPr>
        <w:t> </w:t>
      </w:r>
      <w:r>
        <w:rPr>
          <w:vertAlign w:val="baseline"/>
        </w:rPr>
        <w:t>which</w:t>
      </w:r>
      <w:r>
        <w:rPr>
          <w:spacing w:val="-3"/>
          <w:vertAlign w:val="baseline"/>
        </w:rPr>
        <w:t> </w:t>
      </w:r>
      <w:r>
        <w:rPr>
          <w:vertAlign w:val="baseline"/>
        </w:rPr>
        <w:t>were</w:t>
      </w:r>
      <w:r>
        <w:rPr>
          <w:spacing w:val="-5"/>
          <w:vertAlign w:val="baseline"/>
        </w:rPr>
        <w:t> </w:t>
      </w:r>
      <w:r>
        <w:rPr>
          <w:vertAlign w:val="baseline"/>
        </w:rPr>
        <w:t>thereby</w:t>
      </w:r>
      <w:r>
        <w:rPr>
          <w:spacing w:val="-8"/>
          <w:vertAlign w:val="baseline"/>
        </w:rPr>
        <w:t> </w:t>
      </w:r>
      <w:r>
        <w:rPr>
          <w:vertAlign w:val="baseline"/>
        </w:rPr>
        <w:t>intended</w:t>
      </w:r>
      <w:r>
        <w:rPr>
          <w:spacing w:val="-3"/>
          <w:vertAlign w:val="baseline"/>
        </w:rPr>
        <w:t> </w:t>
      </w:r>
      <w:r>
        <w:rPr>
          <w:vertAlign w:val="baseline"/>
        </w:rPr>
        <w:t>to</w:t>
      </w:r>
      <w:r>
        <w:rPr>
          <w:spacing w:val="-3"/>
          <w:vertAlign w:val="baseline"/>
        </w:rPr>
        <w:t> </w:t>
      </w:r>
      <w:r>
        <w:rPr>
          <w:vertAlign w:val="baseline"/>
        </w:rPr>
        <w:t>preserve</w:t>
      </w:r>
      <w:r>
        <w:rPr>
          <w:spacing w:val="-4"/>
          <w:vertAlign w:val="baseline"/>
        </w:rPr>
        <w:t> </w:t>
      </w:r>
      <w:r>
        <w:rPr>
          <w:vertAlign w:val="baseline"/>
        </w:rPr>
        <w:t>the</w:t>
      </w:r>
      <w:r>
        <w:rPr>
          <w:spacing w:val="-3"/>
          <w:vertAlign w:val="baseline"/>
        </w:rPr>
        <w:t> </w:t>
      </w:r>
      <w:r>
        <w:rPr>
          <w:vertAlign w:val="baseline"/>
        </w:rPr>
        <w:t>fiscal</w:t>
      </w:r>
      <w:r>
        <w:rPr>
          <w:spacing w:val="-3"/>
          <w:vertAlign w:val="baseline"/>
        </w:rPr>
        <w:t> </w:t>
      </w:r>
      <w:r>
        <w:rPr>
          <w:vertAlign w:val="baseline"/>
        </w:rPr>
        <w:t>integrity</w:t>
      </w:r>
      <w:r>
        <w:rPr>
          <w:spacing w:val="-8"/>
          <w:vertAlign w:val="baseline"/>
        </w:rPr>
        <w:t> </w:t>
      </w:r>
      <w:r>
        <w:rPr>
          <w:vertAlign w:val="baseline"/>
        </w:rPr>
        <w:t>of</w:t>
      </w:r>
      <w:r>
        <w:rPr>
          <w:spacing w:val="-3"/>
          <w:vertAlign w:val="baseline"/>
        </w:rPr>
        <w:t> </w:t>
      </w:r>
      <w:r>
        <w:rPr>
          <w:vertAlign w:val="baseline"/>
        </w:rPr>
        <w:t>the</w:t>
      </w:r>
      <w:r>
        <w:rPr>
          <w:spacing w:val="-5"/>
          <w:vertAlign w:val="baseline"/>
        </w:rPr>
        <w:t> </w:t>
      </w:r>
      <w:r>
        <w:rPr>
          <w:vertAlign w:val="baseline"/>
        </w:rPr>
        <w:t>Medicaid program.</w:t>
      </w:r>
      <w:r>
        <w:rPr>
          <w:spacing w:val="40"/>
          <w:vertAlign w:val="baseline"/>
        </w:rPr>
        <w:t> </w:t>
      </w:r>
      <w:r>
        <w:rPr>
          <w:vertAlign w:val="baseline"/>
        </w:rPr>
        <w:t>Based on CMS’s and states’ experience implementing the approach described in the 2018 SMD Letter, it has become apparent to CMS that this approach may limit states’ future ability to continue testing and developing innovative demonstration programs that are likely to</w:t>
      </w:r>
    </w:p>
    <w:p>
      <w:pPr>
        <w:pStyle w:val="BodyText"/>
        <w:ind w:left="1440" w:right="1222"/>
      </w:pPr>
      <w:r>
        <w:rPr/>
        <w:t>assist</w:t>
      </w:r>
      <w:r>
        <w:rPr>
          <w:spacing w:val="-3"/>
        </w:rPr>
        <w:t> </w:t>
      </w:r>
      <w:r>
        <w:rPr/>
        <w:t>in</w:t>
      </w:r>
      <w:r>
        <w:rPr>
          <w:spacing w:val="-3"/>
        </w:rPr>
        <w:t> </w:t>
      </w:r>
      <w:r>
        <w:rPr/>
        <w:t>promoting</w:t>
      </w:r>
      <w:r>
        <w:rPr>
          <w:spacing w:val="-5"/>
        </w:rPr>
        <w:t> </w:t>
      </w:r>
      <w:r>
        <w:rPr/>
        <w:t>the</w:t>
      </w:r>
      <w:r>
        <w:rPr>
          <w:spacing w:val="-3"/>
        </w:rPr>
        <w:t> </w:t>
      </w:r>
      <w:r>
        <w:rPr/>
        <w:t>objectives</w:t>
      </w:r>
      <w:r>
        <w:rPr>
          <w:spacing w:val="-3"/>
        </w:rPr>
        <w:t> </w:t>
      </w:r>
      <w:r>
        <w:rPr/>
        <w:t>of</w:t>
      </w:r>
      <w:r>
        <w:rPr>
          <w:spacing w:val="-3"/>
        </w:rPr>
        <w:t> </w:t>
      </w:r>
      <w:r>
        <w:rPr/>
        <w:t>Medicaid.</w:t>
      </w:r>
      <w:r>
        <w:rPr>
          <w:spacing w:val="40"/>
        </w:rPr>
        <w:t> </w:t>
      </w:r>
      <w:r>
        <w:rPr/>
        <w:t>Therefore,</w:t>
      </w:r>
      <w:r>
        <w:rPr>
          <w:spacing w:val="-3"/>
        </w:rPr>
        <w:t> </w:t>
      </w:r>
      <w:r>
        <w:rPr/>
        <w:t>in</w:t>
      </w:r>
      <w:r>
        <w:rPr>
          <w:spacing w:val="-3"/>
        </w:rPr>
        <w:t> </w:t>
      </w:r>
      <w:r>
        <w:rPr/>
        <w:t>this</w:t>
      </w:r>
      <w:r>
        <w:rPr>
          <w:spacing w:val="-3"/>
        </w:rPr>
        <w:t> </w:t>
      </w:r>
      <w:r>
        <w:rPr/>
        <w:t>approval,</w:t>
      </w:r>
      <w:r>
        <w:rPr>
          <w:spacing w:val="-3"/>
        </w:rPr>
        <w:t> </w:t>
      </w:r>
      <w:r>
        <w:rPr/>
        <w:t>CMS has</w:t>
      </w:r>
      <w:r>
        <w:rPr>
          <w:spacing w:val="-3"/>
        </w:rPr>
        <w:t> </w:t>
      </w:r>
      <w:r>
        <w:rPr/>
        <w:t>reevaluated and is modifying certain aspects of the budget neutrality approach described in the 2018 SMD Letter,</w:t>
      </w:r>
      <w:r>
        <w:rPr>
          <w:spacing w:val="-1"/>
        </w:rPr>
        <w:t> </w:t>
      </w:r>
      <w:r>
        <w:rPr/>
        <w:t>in</w:t>
      </w:r>
      <w:r>
        <w:rPr>
          <w:spacing w:val="-1"/>
        </w:rPr>
        <w:t> </w:t>
      </w:r>
      <w:r>
        <w:rPr/>
        <w:t>an</w:t>
      </w:r>
      <w:r>
        <w:rPr>
          <w:spacing w:val="-1"/>
        </w:rPr>
        <w:t> </w:t>
      </w:r>
      <w:r>
        <w:rPr/>
        <w:t>attempt</w:t>
      </w:r>
      <w:r>
        <w:rPr>
          <w:spacing w:val="-1"/>
        </w:rPr>
        <w:t> </w:t>
      </w:r>
      <w:r>
        <w:rPr/>
        <w:t>to</w:t>
      </w:r>
      <w:r>
        <w:rPr>
          <w:spacing w:val="-1"/>
        </w:rPr>
        <w:t> </w:t>
      </w:r>
      <w:r>
        <w:rPr/>
        <w:t>better</w:t>
      </w:r>
      <w:r>
        <w:rPr>
          <w:spacing w:val="-1"/>
        </w:rPr>
        <w:t> </w:t>
      </w:r>
      <w:r>
        <w:rPr/>
        <w:t>support</w:t>
      </w:r>
      <w:r>
        <w:rPr>
          <w:spacing w:val="-1"/>
        </w:rPr>
        <w:t> </w:t>
      </w:r>
      <w:r>
        <w:rPr/>
        <w:t>state</w:t>
      </w:r>
      <w:r>
        <w:rPr>
          <w:spacing w:val="-1"/>
        </w:rPr>
        <w:t> </w:t>
      </w:r>
      <w:r>
        <w:rPr/>
        <w:t>innovation,</w:t>
      </w:r>
      <w:r>
        <w:rPr>
          <w:spacing w:val="-1"/>
        </w:rPr>
        <w:t> </w:t>
      </w:r>
      <w:r>
        <w:rPr/>
        <w:t>in</w:t>
      </w:r>
      <w:r>
        <w:rPr>
          <w:spacing w:val="-1"/>
        </w:rPr>
        <w:t> </w:t>
      </w:r>
      <w:r>
        <w:rPr/>
        <w:t>line</w:t>
      </w:r>
      <w:r>
        <w:rPr>
          <w:spacing w:val="-1"/>
        </w:rPr>
        <w:t> </w:t>
      </w:r>
      <w:r>
        <w:rPr/>
        <w:t>with</w:t>
      </w:r>
      <w:r>
        <w:rPr>
          <w:spacing w:val="-1"/>
        </w:rPr>
        <w:t> </w:t>
      </w:r>
      <w:r>
        <w:rPr/>
        <w:t>section</w:t>
      </w:r>
      <w:r>
        <w:rPr>
          <w:spacing w:val="-4"/>
        </w:rPr>
        <w:t> </w:t>
      </w:r>
      <w:r>
        <w:rPr/>
        <w:t>1115</w:t>
      </w:r>
      <w:r>
        <w:rPr>
          <w:spacing w:val="-1"/>
        </w:rPr>
        <w:t> </w:t>
      </w:r>
      <w:r>
        <w:rPr/>
        <w:t>of</w:t>
      </w:r>
      <w:r>
        <w:rPr>
          <w:spacing w:val="-2"/>
        </w:rPr>
        <w:t> </w:t>
      </w:r>
      <w:r>
        <w:rPr/>
        <w:t>the</w:t>
      </w:r>
      <w:r>
        <w:rPr>
          <w:spacing w:val="-1"/>
        </w:rPr>
        <w:t> </w:t>
      </w:r>
      <w:r>
        <w:rPr/>
        <w:t>Act,</w:t>
      </w:r>
      <w:r>
        <w:rPr>
          <w:spacing w:val="-1"/>
        </w:rPr>
        <w:t> </w:t>
      </w:r>
      <w:r>
        <w:rPr/>
        <w:t>while maintaining its commitment to fiscal integrity.</w:t>
      </w:r>
      <w:r>
        <w:rPr>
          <w:spacing w:val="40"/>
        </w:rPr>
        <w:t> </w:t>
      </w:r>
      <w:r>
        <w:rPr/>
        <w:t>While CMS evaluates each demonstration proposal on a case-by-case basis, CMS anticipates that it will consistently</w:t>
      </w:r>
      <w:r>
        <w:rPr>
          <w:spacing w:val="-2"/>
        </w:rPr>
        <w:t> </w:t>
      </w:r>
      <w:r>
        <w:rPr/>
        <w:t>apply these or similar updates in its approach to budget neutrality to all similarly situated states going forward.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8"/>
        </w:rPr>
      </w:pPr>
      <w:r>
        <w:rPr/>
        <mc:AlternateContent>
          <mc:Choice Requires="wps">
            <w:drawing>
              <wp:anchor distT="0" distB="0" distL="0" distR="0" allowOverlap="1" layoutInCell="1" locked="0" behindDoc="1" simplePos="0" relativeHeight="487590400">
                <wp:simplePos x="0" y="0"/>
                <wp:positionH relativeFrom="page">
                  <wp:posOffset>914704</wp:posOffset>
                </wp:positionH>
                <wp:positionV relativeFrom="paragraph">
                  <wp:posOffset>153728</wp:posOffset>
                </wp:positionV>
                <wp:extent cx="1829435" cy="762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2.104609pt;width:144.020pt;height:.599980pt;mso-position-horizontal-relative:page;mso-position-vertical-relative:paragraph;z-index:-15726080;mso-wrap-distance-left:0;mso-wrap-distance-right:0" id="docshape6" filled="true" fillcolor="#000000" stroked="false">
                <v:fill type="solid"/>
                <w10:wrap type="topAndBottom"/>
              </v:rect>
            </w:pict>
          </mc:Fallback>
        </mc:AlternateContent>
      </w:r>
    </w:p>
    <w:p>
      <w:pPr>
        <w:spacing w:before="103"/>
        <w:ind w:left="1440" w:right="1239" w:firstLine="0"/>
        <w:jc w:val="left"/>
        <w:rPr>
          <w:sz w:val="20"/>
        </w:rPr>
      </w:pPr>
      <w:r>
        <w:rPr>
          <w:sz w:val="20"/>
          <w:vertAlign w:val="superscript"/>
        </w:rPr>
        <w:t>11</w:t>
      </w:r>
      <w:r>
        <w:rPr>
          <w:spacing w:val="-4"/>
          <w:sz w:val="20"/>
          <w:vertAlign w:val="baseline"/>
        </w:rPr>
        <w:t> </w:t>
      </w:r>
      <w:r>
        <w:rPr>
          <w:sz w:val="20"/>
          <w:vertAlign w:val="baseline"/>
        </w:rPr>
        <w:t>August</w:t>
      </w:r>
      <w:r>
        <w:rPr>
          <w:spacing w:val="-5"/>
          <w:sz w:val="20"/>
          <w:vertAlign w:val="baseline"/>
        </w:rPr>
        <w:t> </w:t>
      </w:r>
      <w:r>
        <w:rPr>
          <w:sz w:val="20"/>
          <w:vertAlign w:val="baseline"/>
        </w:rPr>
        <w:t>22,</w:t>
      </w:r>
      <w:r>
        <w:rPr>
          <w:spacing w:val="-4"/>
          <w:sz w:val="20"/>
          <w:vertAlign w:val="baseline"/>
        </w:rPr>
        <w:t> </w:t>
      </w:r>
      <w:r>
        <w:rPr>
          <w:sz w:val="20"/>
          <w:vertAlign w:val="baseline"/>
        </w:rPr>
        <w:t>2018.</w:t>
      </w:r>
      <w:r>
        <w:rPr>
          <w:spacing w:val="-2"/>
          <w:sz w:val="20"/>
          <w:vertAlign w:val="baseline"/>
        </w:rPr>
        <w:t> </w:t>
      </w:r>
      <w:r>
        <w:rPr>
          <w:sz w:val="20"/>
          <w:vertAlign w:val="baseline"/>
        </w:rPr>
        <w:t>SMD#18-009</w:t>
      </w:r>
      <w:r>
        <w:rPr>
          <w:spacing w:val="-3"/>
          <w:sz w:val="20"/>
          <w:vertAlign w:val="baseline"/>
        </w:rPr>
        <w:t> </w:t>
      </w:r>
      <w:r>
        <w:rPr>
          <w:sz w:val="20"/>
          <w:vertAlign w:val="baseline"/>
        </w:rPr>
        <w:t>RE:</w:t>
      </w:r>
      <w:r>
        <w:rPr>
          <w:spacing w:val="-4"/>
          <w:sz w:val="20"/>
          <w:vertAlign w:val="baseline"/>
        </w:rPr>
        <w:t> </w:t>
      </w:r>
      <w:r>
        <w:rPr>
          <w:sz w:val="20"/>
          <w:vertAlign w:val="baseline"/>
        </w:rPr>
        <w:t>Budget</w:t>
      </w:r>
      <w:r>
        <w:rPr>
          <w:spacing w:val="-4"/>
          <w:sz w:val="20"/>
          <w:vertAlign w:val="baseline"/>
        </w:rPr>
        <w:t> </w:t>
      </w:r>
      <w:r>
        <w:rPr>
          <w:sz w:val="20"/>
          <w:vertAlign w:val="baseline"/>
        </w:rPr>
        <w:t>Neutrality</w:t>
      </w:r>
      <w:r>
        <w:rPr>
          <w:spacing w:val="-5"/>
          <w:sz w:val="20"/>
          <w:vertAlign w:val="baseline"/>
        </w:rPr>
        <w:t> </w:t>
      </w:r>
      <w:r>
        <w:rPr>
          <w:sz w:val="20"/>
          <w:vertAlign w:val="baseline"/>
        </w:rPr>
        <w:t>Policies</w:t>
      </w:r>
      <w:r>
        <w:rPr>
          <w:spacing w:val="-5"/>
          <w:sz w:val="20"/>
          <w:vertAlign w:val="baseline"/>
        </w:rPr>
        <w:t> </w:t>
      </w:r>
      <w:r>
        <w:rPr>
          <w:sz w:val="20"/>
          <w:vertAlign w:val="baseline"/>
        </w:rPr>
        <w:t>for</w:t>
      </w:r>
      <w:r>
        <w:rPr>
          <w:spacing w:val="-4"/>
          <w:sz w:val="20"/>
          <w:vertAlign w:val="baseline"/>
        </w:rPr>
        <w:t> </w:t>
      </w:r>
      <w:r>
        <w:rPr>
          <w:sz w:val="20"/>
          <w:vertAlign w:val="baseline"/>
        </w:rPr>
        <w:t>Section</w:t>
      </w:r>
      <w:r>
        <w:rPr>
          <w:spacing w:val="-2"/>
          <w:sz w:val="20"/>
          <w:vertAlign w:val="baseline"/>
        </w:rPr>
        <w:t> </w:t>
      </w:r>
      <w:r>
        <w:rPr>
          <w:sz w:val="20"/>
          <w:vertAlign w:val="baseline"/>
        </w:rPr>
        <w:t>1115(a)</w:t>
      </w:r>
      <w:r>
        <w:rPr>
          <w:spacing w:val="-3"/>
          <w:sz w:val="20"/>
          <w:vertAlign w:val="baseline"/>
        </w:rPr>
        <w:t> </w:t>
      </w:r>
      <w:r>
        <w:rPr>
          <w:sz w:val="20"/>
          <w:vertAlign w:val="baseline"/>
        </w:rPr>
        <w:t>Medicaid</w:t>
      </w:r>
      <w:r>
        <w:rPr>
          <w:spacing w:val="-3"/>
          <w:sz w:val="20"/>
          <w:vertAlign w:val="baseline"/>
        </w:rPr>
        <w:t> </w:t>
      </w:r>
      <w:r>
        <w:rPr>
          <w:sz w:val="20"/>
          <w:vertAlign w:val="baseline"/>
        </w:rPr>
        <w:t>Demonstration Projects. </w:t>
      </w:r>
      <w:hyperlink r:id="rId19">
        <w:r>
          <w:rPr>
            <w:color w:val="0000FF"/>
            <w:sz w:val="20"/>
            <w:u w:val="single" w:color="0000FF"/>
            <w:vertAlign w:val="baseline"/>
          </w:rPr>
          <w:t>https://www.medicaid.gov/federal-policy-guidance/downloads/smd18009.pdf</w:t>
        </w:r>
      </w:hyperlink>
    </w:p>
    <w:p>
      <w:pPr>
        <w:spacing w:after="0"/>
        <w:jc w:val="left"/>
        <w:rPr>
          <w:sz w:val="20"/>
        </w:rPr>
        <w:sectPr>
          <w:pgSz w:w="12240" w:h="15840"/>
          <w:pgMar w:top="640" w:bottom="280" w:left="0" w:right="220"/>
        </w:sectPr>
      </w:pPr>
    </w:p>
    <w:p>
      <w:pPr>
        <w:pStyle w:val="BodyText"/>
        <w:spacing w:before="79"/>
        <w:ind w:right="1218"/>
        <w:jc w:val="right"/>
      </w:pPr>
      <w:r>
        <w:rPr/>
        <w:t>Page</w:t>
      </w:r>
      <w:r>
        <w:rPr>
          <w:spacing w:val="-7"/>
        </w:rPr>
        <w:t> </w:t>
      </w:r>
      <w:r>
        <w:rPr>
          <w:spacing w:val="-10"/>
        </w:rPr>
        <w:t>9</w:t>
      </w:r>
    </w:p>
    <w:p>
      <w:pPr>
        <w:pStyle w:val="BodyText"/>
        <w:spacing w:before="7"/>
        <w:rPr>
          <w:sz w:val="38"/>
        </w:rPr>
      </w:pPr>
    </w:p>
    <w:p>
      <w:pPr>
        <w:pStyle w:val="BodyText"/>
        <w:ind w:left="1440" w:right="1222"/>
      </w:pPr>
      <w:r>
        <w:rPr/>
        <w:t>Under</w:t>
      </w:r>
      <w:r>
        <w:rPr>
          <w:spacing w:val="-3"/>
        </w:rPr>
        <w:t> </w:t>
      </w:r>
      <w:r>
        <w:rPr/>
        <w:t>this</w:t>
      </w:r>
      <w:r>
        <w:rPr>
          <w:spacing w:val="-3"/>
        </w:rPr>
        <w:t> </w:t>
      </w:r>
      <w:r>
        <w:rPr/>
        <w:t>approval,</w:t>
      </w:r>
      <w:r>
        <w:rPr>
          <w:spacing w:val="-3"/>
        </w:rPr>
        <w:t> </w:t>
      </w:r>
      <w:r>
        <w:rPr/>
        <w:t>CMS</w:t>
      </w:r>
      <w:r>
        <w:rPr>
          <w:spacing w:val="-3"/>
        </w:rPr>
        <w:t> </w:t>
      </w:r>
      <w:r>
        <w:rPr/>
        <w:t>is</w:t>
      </w:r>
      <w:r>
        <w:rPr>
          <w:spacing w:val="-3"/>
        </w:rPr>
        <w:t> </w:t>
      </w:r>
      <w:r>
        <w:rPr/>
        <w:t>departing</w:t>
      </w:r>
      <w:r>
        <w:rPr>
          <w:spacing w:val="-6"/>
        </w:rPr>
        <w:t> </w:t>
      </w:r>
      <w:r>
        <w:rPr/>
        <w:t>from</w:t>
      </w:r>
      <w:r>
        <w:rPr>
          <w:spacing w:val="-3"/>
        </w:rPr>
        <w:t> </w:t>
      </w:r>
      <w:r>
        <w:rPr/>
        <w:t>the</w:t>
      </w:r>
      <w:r>
        <w:rPr>
          <w:spacing w:val="-3"/>
        </w:rPr>
        <w:t> </w:t>
      </w:r>
      <w:r>
        <w:rPr/>
        <w:t>budget</w:t>
      </w:r>
      <w:r>
        <w:rPr>
          <w:spacing w:val="-3"/>
        </w:rPr>
        <w:t> </w:t>
      </w:r>
      <w:r>
        <w:rPr/>
        <w:t>neutrality</w:t>
      </w:r>
      <w:r>
        <w:rPr>
          <w:spacing w:val="-6"/>
        </w:rPr>
        <w:t> </w:t>
      </w:r>
      <w:r>
        <w:rPr/>
        <w:t>approach</w:t>
      </w:r>
      <w:r>
        <w:rPr>
          <w:spacing w:val="-1"/>
        </w:rPr>
        <w:t> </w:t>
      </w:r>
      <w:r>
        <w:rPr/>
        <w:t>described</w:t>
      </w:r>
      <w:r>
        <w:rPr>
          <w:spacing w:val="-3"/>
        </w:rPr>
        <w:t> </w:t>
      </w:r>
      <w:r>
        <w:rPr/>
        <w:t>in</w:t>
      </w:r>
      <w:r>
        <w:rPr>
          <w:spacing w:val="-3"/>
        </w:rPr>
        <w:t> </w:t>
      </w:r>
      <w:r>
        <w:rPr/>
        <w:t>the</w:t>
      </w:r>
      <w:r>
        <w:rPr>
          <w:spacing w:val="-4"/>
        </w:rPr>
        <w:t> </w:t>
      </w:r>
      <w:r>
        <w:rPr/>
        <w:t>2018 SMD Letter in two key ways.</w:t>
      </w:r>
      <w:r>
        <w:rPr>
          <w:spacing w:val="40"/>
        </w:rPr>
        <w:t> </w:t>
      </w:r>
      <w:r>
        <w:rPr/>
        <w:t>First, CMS is making several changes that are intended to give</w:t>
      </w:r>
    </w:p>
    <w:p>
      <w:pPr>
        <w:pStyle w:val="BodyText"/>
        <w:ind w:left="1440" w:right="1247"/>
      </w:pPr>
      <w:r>
        <w:rPr/>
        <w:t>states greater access to funding, including “savings” from prior approval periods, while still maintaining fiscal integrity.</w:t>
      </w:r>
      <w:r>
        <w:rPr>
          <w:spacing w:val="40"/>
        </w:rPr>
        <w:t> </w:t>
      </w:r>
      <w:r>
        <w:rPr/>
        <w:t>These changes include an updated approach to calculating the</w:t>
      </w:r>
      <w:r>
        <w:rPr>
          <w:spacing w:val="40"/>
        </w:rPr>
        <w:t> </w:t>
      </w:r>
      <w:r>
        <w:rPr/>
        <w:t>WOW baseline, which refers to the projected expenditures that could have occurred absent the demonstration and which, as described above, is the basis for the budget neutrality expenditure limit for each approval period.</w:t>
      </w:r>
      <w:r>
        <w:rPr>
          <w:spacing w:val="80"/>
        </w:rPr>
        <w:t> </w:t>
      </w:r>
      <w:r>
        <w:rPr/>
        <w:t>Under this approval, CMS calculated the WOW baseline by using a </w:t>
      </w:r>
      <w:r>
        <w:rPr>
          <w:i/>
        </w:rPr>
        <w:t>weighted average </w:t>
      </w:r>
      <w:r>
        <w:rPr/>
        <w:t>of the Commonwealth’s </w:t>
      </w:r>
      <w:r>
        <w:rPr>
          <w:i/>
        </w:rPr>
        <w:t>historical </w:t>
      </w:r>
      <w:r>
        <w:rPr/>
        <w:t>WOW per-member-per-month (PMPM)</w:t>
      </w:r>
      <w:r>
        <w:rPr>
          <w:spacing w:val="-3"/>
        </w:rPr>
        <w:t> </w:t>
      </w:r>
      <w:r>
        <w:rPr/>
        <w:t>baseline</w:t>
      </w:r>
      <w:r>
        <w:rPr>
          <w:spacing w:val="-4"/>
        </w:rPr>
        <w:t> </w:t>
      </w:r>
      <w:r>
        <w:rPr/>
        <w:t>and</w:t>
      </w:r>
      <w:r>
        <w:rPr>
          <w:spacing w:val="-3"/>
        </w:rPr>
        <w:t> </w:t>
      </w:r>
      <w:r>
        <w:rPr/>
        <w:t>its</w:t>
      </w:r>
      <w:r>
        <w:rPr>
          <w:spacing w:val="-2"/>
        </w:rPr>
        <w:t> </w:t>
      </w:r>
      <w:r>
        <w:rPr>
          <w:i/>
        </w:rPr>
        <w:t>recent</w:t>
      </w:r>
      <w:r>
        <w:rPr>
          <w:i/>
          <w:spacing w:val="-3"/>
        </w:rPr>
        <w:t> </w:t>
      </w:r>
      <w:r>
        <w:rPr>
          <w:i/>
        </w:rPr>
        <w:t>actual</w:t>
      </w:r>
      <w:r>
        <w:rPr>
          <w:i/>
          <w:spacing w:val="-3"/>
        </w:rPr>
        <w:t> </w:t>
      </w:r>
      <w:r>
        <w:rPr/>
        <w:t>PMPM</w:t>
      </w:r>
      <w:r>
        <w:rPr>
          <w:spacing w:val="-3"/>
        </w:rPr>
        <w:t> </w:t>
      </w:r>
      <w:r>
        <w:rPr/>
        <w:t>costs,</w:t>
      </w:r>
      <w:r>
        <w:rPr>
          <w:spacing w:val="-3"/>
        </w:rPr>
        <w:t> </w:t>
      </w:r>
      <w:r>
        <w:rPr/>
        <w:t>rather</w:t>
      </w:r>
      <w:r>
        <w:rPr>
          <w:spacing w:val="-5"/>
        </w:rPr>
        <w:t> </w:t>
      </w:r>
      <w:r>
        <w:rPr/>
        <w:t>than</w:t>
      </w:r>
      <w:r>
        <w:rPr>
          <w:spacing w:val="-3"/>
        </w:rPr>
        <w:t> </w:t>
      </w:r>
      <w:r>
        <w:rPr/>
        <w:t>taking</w:t>
      </w:r>
      <w:r>
        <w:rPr>
          <w:spacing w:val="-6"/>
        </w:rPr>
        <w:t> </w:t>
      </w:r>
      <w:r>
        <w:rPr/>
        <w:t>the</w:t>
      </w:r>
      <w:r>
        <w:rPr>
          <w:spacing w:val="-2"/>
        </w:rPr>
        <w:t> </w:t>
      </w:r>
      <w:r>
        <w:rPr/>
        <w:t>approach</w:t>
      </w:r>
      <w:r>
        <w:rPr>
          <w:spacing w:val="-3"/>
        </w:rPr>
        <w:t> </w:t>
      </w:r>
      <w:r>
        <w:rPr/>
        <w:t>described</w:t>
      </w:r>
      <w:r>
        <w:rPr>
          <w:spacing w:val="-3"/>
        </w:rPr>
        <w:t> </w:t>
      </w:r>
      <w:r>
        <w:rPr/>
        <w:t>in the</w:t>
      </w:r>
      <w:r>
        <w:rPr>
          <w:spacing w:val="-2"/>
        </w:rPr>
        <w:t> </w:t>
      </w:r>
      <w:r>
        <w:rPr/>
        <w:t>2018</w:t>
      </w:r>
      <w:r>
        <w:rPr>
          <w:spacing w:val="-2"/>
        </w:rPr>
        <w:t> </w:t>
      </w:r>
      <w:r>
        <w:rPr/>
        <w:t>SMD Letter,</w:t>
      </w:r>
      <w:r>
        <w:rPr>
          <w:spacing w:val="-2"/>
        </w:rPr>
        <w:t> </w:t>
      </w:r>
      <w:r>
        <w:rPr/>
        <w:t>which</w:t>
      </w:r>
      <w:r>
        <w:rPr>
          <w:spacing w:val="-2"/>
        </w:rPr>
        <w:t> </w:t>
      </w:r>
      <w:r>
        <w:rPr/>
        <w:t>was</w:t>
      </w:r>
      <w:r>
        <w:rPr>
          <w:spacing w:val="-2"/>
        </w:rPr>
        <w:t> </w:t>
      </w:r>
      <w:r>
        <w:rPr/>
        <w:t>to adjust</w:t>
      </w:r>
      <w:r>
        <w:rPr>
          <w:spacing w:val="-2"/>
        </w:rPr>
        <w:t> </w:t>
      </w:r>
      <w:r>
        <w:rPr/>
        <w:t>WOW</w:t>
      </w:r>
      <w:r>
        <w:rPr>
          <w:spacing w:val="-4"/>
        </w:rPr>
        <w:t> </w:t>
      </w:r>
      <w:r>
        <w:rPr/>
        <w:t>PMPM</w:t>
      </w:r>
      <w:r>
        <w:rPr>
          <w:spacing w:val="-2"/>
        </w:rPr>
        <w:t> </w:t>
      </w:r>
      <w:r>
        <w:rPr/>
        <w:t>cost</w:t>
      </w:r>
      <w:r>
        <w:rPr>
          <w:spacing w:val="-2"/>
        </w:rPr>
        <w:t> </w:t>
      </w:r>
      <w:r>
        <w:rPr/>
        <w:t>estimates</w:t>
      </w:r>
      <w:r>
        <w:rPr>
          <w:spacing w:val="-2"/>
        </w:rPr>
        <w:t> </w:t>
      </w:r>
      <w:r>
        <w:rPr/>
        <w:t>to</w:t>
      </w:r>
      <w:r>
        <w:rPr>
          <w:spacing w:val="-4"/>
        </w:rPr>
        <w:t> </w:t>
      </w:r>
      <w:r>
        <w:rPr/>
        <w:t>reflect</w:t>
      </w:r>
      <w:r>
        <w:rPr>
          <w:spacing w:val="-2"/>
        </w:rPr>
        <w:t> </w:t>
      </w:r>
      <w:r>
        <w:rPr/>
        <w:t>only</w:t>
      </w:r>
      <w:r>
        <w:rPr>
          <w:spacing w:val="-7"/>
        </w:rPr>
        <w:t> </w:t>
      </w:r>
      <w:r>
        <w:rPr/>
        <w:t>the</w:t>
      </w:r>
      <w:r>
        <w:rPr>
          <w:spacing w:val="-1"/>
        </w:rPr>
        <w:t> </w:t>
      </w:r>
      <w:r>
        <w:rPr>
          <w:i/>
        </w:rPr>
        <w:t>recent</w:t>
      </w:r>
      <w:r>
        <w:rPr>
          <w:i/>
        </w:rPr>
        <w:t> actual </w:t>
      </w:r>
      <w:r>
        <w:rPr/>
        <w:t>PMPM costs.</w:t>
      </w:r>
      <w:r>
        <w:rPr>
          <w:spacing w:val="40"/>
        </w:rPr>
        <w:t> </w:t>
      </w:r>
      <w:r>
        <w:rPr/>
        <w:t>This updated approach is expected to result in a slightly higher WOW</w:t>
      </w:r>
    </w:p>
    <w:p>
      <w:pPr>
        <w:pStyle w:val="BodyText"/>
        <w:spacing w:before="1"/>
        <w:ind w:left="1440" w:right="1264"/>
      </w:pPr>
      <w:r>
        <w:rPr/>
        <w:t>baseline, while still primarily reflecting the state’s most recent expenditures.</w:t>
      </w:r>
      <w:r>
        <w:rPr>
          <w:spacing w:val="40"/>
        </w:rPr>
        <w:t> </w:t>
      </w:r>
      <w:r>
        <w:rPr/>
        <w:t>In addition, under this approval, projected demonstration expenditures associated with each Medicaid Eligibility Group in the WOW baseline have been trended forward using the President’s Budget trend rate to</w:t>
      </w:r>
      <w:r>
        <w:rPr>
          <w:spacing w:val="-3"/>
        </w:rPr>
        <w:t> </w:t>
      </w:r>
      <w:r>
        <w:rPr/>
        <w:t>determine</w:t>
      </w:r>
      <w:r>
        <w:rPr>
          <w:spacing w:val="-4"/>
        </w:rPr>
        <w:t> </w:t>
      </w:r>
      <w:r>
        <w:rPr/>
        <w:t>the</w:t>
      </w:r>
      <w:r>
        <w:rPr>
          <w:spacing w:val="-3"/>
        </w:rPr>
        <w:t> </w:t>
      </w:r>
      <w:r>
        <w:rPr/>
        <w:t>maximum</w:t>
      </w:r>
      <w:r>
        <w:rPr>
          <w:spacing w:val="-3"/>
        </w:rPr>
        <w:t> </w:t>
      </w:r>
      <w:r>
        <w:rPr/>
        <w:t>expenditure</w:t>
      </w:r>
      <w:r>
        <w:rPr>
          <w:spacing w:val="-5"/>
        </w:rPr>
        <w:t> </w:t>
      </w:r>
      <w:r>
        <w:rPr/>
        <w:t>authority</w:t>
      </w:r>
      <w:r>
        <w:rPr>
          <w:spacing w:val="-8"/>
        </w:rPr>
        <w:t> </w:t>
      </w:r>
      <w:r>
        <w:rPr/>
        <w:t>for</w:t>
      </w:r>
      <w:r>
        <w:rPr>
          <w:spacing w:val="-3"/>
        </w:rPr>
        <w:t> </w:t>
      </w:r>
      <w:r>
        <w:rPr/>
        <w:t>the</w:t>
      </w:r>
      <w:r>
        <w:rPr>
          <w:spacing w:val="-5"/>
        </w:rPr>
        <w:t> </w:t>
      </w:r>
      <w:r>
        <w:rPr/>
        <w:t>new</w:t>
      </w:r>
      <w:r>
        <w:rPr>
          <w:spacing w:val="-3"/>
        </w:rPr>
        <w:t> </w:t>
      </w:r>
      <w:r>
        <w:rPr/>
        <w:t>approval</w:t>
      </w:r>
      <w:r>
        <w:rPr>
          <w:spacing w:val="-3"/>
        </w:rPr>
        <w:t> </w:t>
      </w:r>
      <w:r>
        <w:rPr/>
        <w:t>period.</w:t>
      </w:r>
      <w:r>
        <w:rPr>
          <w:spacing w:val="40"/>
        </w:rPr>
        <w:t> </w:t>
      </w:r>
      <w:r>
        <w:rPr/>
        <w:t>In</w:t>
      </w:r>
      <w:r>
        <w:rPr>
          <w:spacing w:val="-1"/>
        </w:rPr>
        <w:t> </w:t>
      </w:r>
      <w:r>
        <w:rPr/>
        <w:t>contrast,</w:t>
      </w:r>
      <w:r>
        <w:rPr>
          <w:spacing w:val="-3"/>
        </w:rPr>
        <w:t> </w:t>
      </w:r>
      <w:r>
        <w:rPr/>
        <w:t>under the approach described in the 2018 SMD Letter, CMS would use the </w:t>
      </w:r>
      <w:r>
        <w:rPr>
          <w:i/>
        </w:rPr>
        <w:t>lower of </w:t>
      </w:r>
      <w:r>
        <w:rPr/>
        <w:t>the state’s</w:t>
      </w:r>
    </w:p>
    <w:p>
      <w:pPr>
        <w:pStyle w:val="BodyText"/>
        <w:ind w:left="1440" w:right="1239"/>
      </w:pPr>
      <w:r>
        <w:rPr/>
        <w:t>historical trend or the President’s Budget trend rate.</w:t>
      </w:r>
      <w:r>
        <w:rPr>
          <w:spacing w:val="40"/>
        </w:rPr>
        <w:t> </w:t>
      </w:r>
      <w:r>
        <w:rPr/>
        <w:t>Using the President’s Budget trend rate instead</w:t>
      </w:r>
      <w:r>
        <w:rPr>
          <w:spacing w:val="-3"/>
        </w:rPr>
        <w:t> </w:t>
      </w:r>
      <w:r>
        <w:rPr/>
        <w:t>aligns</w:t>
      </w:r>
      <w:r>
        <w:rPr>
          <w:spacing w:val="-3"/>
        </w:rPr>
        <w:t> </w:t>
      </w:r>
      <w:r>
        <w:rPr/>
        <w:t>the</w:t>
      </w:r>
      <w:r>
        <w:rPr>
          <w:spacing w:val="-4"/>
        </w:rPr>
        <w:t> </w:t>
      </w:r>
      <w:r>
        <w:rPr/>
        <w:t>demonstration</w:t>
      </w:r>
      <w:r>
        <w:rPr>
          <w:spacing w:val="-3"/>
        </w:rPr>
        <w:t> </w:t>
      </w:r>
      <w:r>
        <w:rPr/>
        <w:t>trend</w:t>
      </w:r>
      <w:r>
        <w:rPr>
          <w:spacing w:val="-3"/>
        </w:rPr>
        <w:t> </w:t>
      </w:r>
      <w:r>
        <w:rPr/>
        <w:t>rate</w:t>
      </w:r>
      <w:r>
        <w:rPr>
          <w:spacing w:val="-3"/>
        </w:rPr>
        <w:t> </w:t>
      </w:r>
      <w:r>
        <w:rPr/>
        <w:t>with</w:t>
      </w:r>
      <w:r>
        <w:rPr>
          <w:spacing w:val="-3"/>
        </w:rPr>
        <w:t> </w:t>
      </w:r>
      <w:r>
        <w:rPr/>
        <w:t>federal</w:t>
      </w:r>
      <w:r>
        <w:rPr>
          <w:spacing w:val="-3"/>
        </w:rPr>
        <w:t> </w:t>
      </w:r>
      <w:r>
        <w:rPr/>
        <w:t>budgeting</w:t>
      </w:r>
      <w:r>
        <w:rPr>
          <w:spacing w:val="-6"/>
        </w:rPr>
        <w:t> </w:t>
      </w:r>
      <w:r>
        <w:rPr/>
        <w:t>principles</w:t>
      </w:r>
      <w:r>
        <w:rPr>
          <w:spacing w:val="-3"/>
        </w:rPr>
        <w:t> </w:t>
      </w:r>
      <w:r>
        <w:rPr/>
        <w:t>and</w:t>
      </w:r>
      <w:r>
        <w:rPr>
          <w:spacing w:val="-3"/>
        </w:rPr>
        <w:t> </w:t>
      </w:r>
      <w:r>
        <w:rPr/>
        <w:t>assumptions.</w:t>
      </w:r>
    </w:p>
    <w:p>
      <w:pPr>
        <w:pStyle w:val="BodyText"/>
        <w:ind w:left="1440"/>
      </w:pPr>
      <w:r>
        <w:rPr/>
        <w:t>Additionally,</w:t>
      </w:r>
      <w:r>
        <w:rPr>
          <w:spacing w:val="-2"/>
        </w:rPr>
        <w:t> </w:t>
      </w:r>
      <w:r>
        <w:rPr/>
        <w:t>while</w:t>
      </w:r>
      <w:r>
        <w:rPr>
          <w:spacing w:val="-1"/>
        </w:rPr>
        <w:t> </w:t>
      </w:r>
      <w:r>
        <w:rPr/>
        <w:t>CMS will</w:t>
      </w:r>
      <w:r>
        <w:rPr>
          <w:spacing w:val="-1"/>
        </w:rPr>
        <w:t> </w:t>
      </w:r>
      <w:r>
        <w:rPr/>
        <w:t>still</w:t>
      </w:r>
      <w:r>
        <w:rPr>
          <w:spacing w:val="-3"/>
        </w:rPr>
        <w:t> </w:t>
      </w:r>
      <w:r>
        <w:rPr/>
        <w:t>limit</w:t>
      </w:r>
      <w:r>
        <w:rPr>
          <w:spacing w:val="-3"/>
        </w:rPr>
        <w:t> </w:t>
      </w:r>
      <w:r>
        <w:rPr/>
        <w:t>the</w:t>
      </w:r>
      <w:r>
        <w:rPr>
          <w:spacing w:val="-2"/>
        </w:rPr>
        <w:t> </w:t>
      </w:r>
      <w:r>
        <w:rPr/>
        <w:t>extent</w:t>
      </w:r>
      <w:r>
        <w:rPr>
          <w:spacing w:val="-4"/>
        </w:rPr>
        <w:t> </w:t>
      </w:r>
      <w:r>
        <w:rPr/>
        <w:t>to</w:t>
      </w:r>
      <w:r>
        <w:rPr>
          <w:spacing w:val="-1"/>
        </w:rPr>
        <w:t> </w:t>
      </w:r>
      <w:r>
        <w:rPr/>
        <w:t>which</w:t>
      </w:r>
      <w:r>
        <w:rPr>
          <w:spacing w:val="-1"/>
        </w:rPr>
        <w:t> </w:t>
      </w:r>
      <w:r>
        <w:rPr/>
        <w:t>demonstration</w:t>
      </w:r>
      <w:r>
        <w:rPr>
          <w:spacing w:val="-1"/>
        </w:rPr>
        <w:t> </w:t>
      </w:r>
      <w:r>
        <w:rPr/>
        <w:t>“savings” can</w:t>
      </w:r>
      <w:r>
        <w:rPr>
          <w:spacing w:val="-1"/>
        </w:rPr>
        <w:t> </w:t>
      </w:r>
      <w:r>
        <w:rPr>
          <w:spacing w:val="-5"/>
        </w:rPr>
        <w:t>be</w:t>
      </w:r>
    </w:p>
    <w:p>
      <w:pPr>
        <w:pStyle w:val="BodyText"/>
        <w:ind w:left="1440" w:right="1264"/>
      </w:pPr>
      <w:r>
        <w:rPr/>
        <w:t>“rolled over” to a new approval period, the limitations will be less narrow than those that apply under</w:t>
      </w:r>
      <w:r>
        <w:rPr>
          <w:spacing w:val="-1"/>
        </w:rPr>
        <w:t> </w:t>
      </w:r>
      <w:r>
        <w:rPr/>
        <w:t>the</w:t>
      </w:r>
      <w:r>
        <w:rPr>
          <w:spacing w:val="-3"/>
        </w:rPr>
        <w:t> </w:t>
      </w:r>
      <w:r>
        <w:rPr/>
        <w:t>approach</w:t>
      </w:r>
      <w:r>
        <w:rPr>
          <w:spacing w:val="-1"/>
        </w:rPr>
        <w:t> </w:t>
      </w:r>
      <w:r>
        <w:rPr/>
        <w:t>described</w:t>
      </w:r>
      <w:r>
        <w:rPr>
          <w:spacing w:val="-1"/>
        </w:rPr>
        <w:t> </w:t>
      </w:r>
      <w:r>
        <w:rPr/>
        <w:t>in</w:t>
      </w:r>
      <w:r>
        <w:rPr>
          <w:spacing w:val="-1"/>
        </w:rPr>
        <w:t> </w:t>
      </w:r>
      <w:r>
        <w:rPr/>
        <w:t>the</w:t>
      </w:r>
      <w:r>
        <w:rPr>
          <w:spacing w:val="-1"/>
        </w:rPr>
        <w:t> </w:t>
      </w:r>
      <w:r>
        <w:rPr/>
        <w:t>2018</w:t>
      </w:r>
      <w:r>
        <w:rPr>
          <w:spacing w:val="-1"/>
        </w:rPr>
        <w:t> </w:t>
      </w:r>
      <w:r>
        <w:rPr/>
        <w:t>SMD</w:t>
      </w:r>
      <w:r>
        <w:rPr>
          <w:spacing w:val="-1"/>
        </w:rPr>
        <w:t> </w:t>
      </w:r>
      <w:r>
        <w:rPr/>
        <w:t>Letter.</w:t>
      </w:r>
      <w:r>
        <w:rPr>
          <w:spacing w:val="40"/>
        </w:rPr>
        <w:t> </w:t>
      </w:r>
      <w:r>
        <w:rPr/>
        <w:t>In</w:t>
      </w:r>
      <w:r>
        <w:rPr>
          <w:spacing w:val="-1"/>
        </w:rPr>
        <w:t> </w:t>
      </w:r>
      <w:r>
        <w:rPr/>
        <w:t>the</w:t>
      </w:r>
      <w:r>
        <w:rPr>
          <w:spacing w:val="-1"/>
        </w:rPr>
        <w:t> </w:t>
      </w:r>
      <w:r>
        <w:rPr/>
        <w:t>2018</w:t>
      </w:r>
      <w:r>
        <w:rPr>
          <w:spacing w:val="-1"/>
        </w:rPr>
        <w:t> </w:t>
      </w:r>
      <w:r>
        <w:rPr/>
        <w:t>SMD Letter,</w:t>
      </w:r>
      <w:r>
        <w:rPr>
          <w:spacing w:val="-1"/>
        </w:rPr>
        <w:t> </w:t>
      </w:r>
      <w:r>
        <w:rPr/>
        <w:t>CMS</w:t>
      </w:r>
      <w:r>
        <w:rPr>
          <w:spacing w:val="-1"/>
        </w:rPr>
        <w:t> </w:t>
      </w:r>
      <w:r>
        <w:rPr/>
        <w:t>explained that</w:t>
      </w:r>
      <w:r>
        <w:rPr>
          <w:spacing w:val="-3"/>
        </w:rPr>
        <w:t> </w:t>
      </w:r>
      <w:r>
        <w:rPr/>
        <w:t>it</w:t>
      </w:r>
      <w:r>
        <w:rPr>
          <w:spacing w:val="-3"/>
        </w:rPr>
        <w:t> </w:t>
      </w:r>
      <w:r>
        <w:rPr/>
        <w:t>expected</w:t>
      </w:r>
      <w:r>
        <w:rPr>
          <w:spacing w:val="-3"/>
        </w:rPr>
        <w:t> </w:t>
      </w:r>
      <w:r>
        <w:rPr/>
        <w:t>to</w:t>
      </w:r>
      <w:r>
        <w:rPr>
          <w:spacing w:val="-3"/>
        </w:rPr>
        <w:t> </w:t>
      </w:r>
      <w:r>
        <w:rPr/>
        <w:t>permit</w:t>
      </w:r>
      <w:r>
        <w:rPr>
          <w:spacing w:val="-3"/>
        </w:rPr>
        <w:t> </w:t>
      </w:r>
      <w:r>
        <w:rPr/>
        <w:t>states</w:t>
      </w:r>
      <w:r>
        <w:rPr>
          <w:spacing w:val="-4"/>
        </w:rPr>
        <w:t> </w:t>
      </w:r>
      <w:r>
        <w:rPr/>
        <w:t>to</w:t>
      </w:r>
      <w:r>
        <w:rPr>
          <w:spacing w:val="-3"/>
        </w:rPr>
        <w:t> </w:t>
      </w:r>
      <w:r>
        <w:rPr/>
        <w:t>roll</w:t>
      </w:r>
      <w:r>
        <w:rPr>
          <w:spacing w:val="-3"/>
        </w:rPr>
        <w:t> </w:t>
      </w:r>
      <w:r>
        <w:rPr/>
        <w:t>over</w:t>
      </w:r>
      <w:r>
        <w:rPr>
          <w:spacing w:val="-3"/>
        </w:rPr>
        <w:t> </w:t>
      </w:r>
      <w:r>
        <w:rPr/>
        <w:t>“savings”</w:t>
      </w:r>
      <w:r>
        <w:rPr>
          <w:spacing w:val="-4"/>
        </w:rPr>
        <w:t> </w:t>
      </w:r>
      <w:r>
        <w:rPr/>
        <w:t>to</w:t>
      </w:r>
      <w:r>
        <w:rPr>
          <w:spacing w:val="-3"/>
        </w:rPr>
        <w:t> </w:t>
      </w:r>
      <w:r>
        <w:rPr/>
        <w:t>a</w:t>
      </w:r>
      <w:r>
        <w:rPr>
          <w:spacing w:val="-3"/>
        </w:rPr>
        <w:t> </w:t>
      </w:r>
      <w:r>
        <w:rPr/>
        <w:t>demonstration</w:t>
      </w:r>
      <w:r>
        <w:rPr>
          <w:spacing w:val="-3"/>
        </w:rPr>
        <w:t> </w:t>
      </w:r>
      <w:r>
        <w:rPr/>
        <w:t>extension</w:t>
      </w:r>
      <w:r>
        <w:rPr>
          <w:spacing w:val="-3"/>
        </w:rPr>
        <w:t> </w:t>
      </w:r>
      <w:r>
        <w:rPr/>
        <w:t>from</w:t>
      </w:r>
      <w:r>
        <w:rPr>
          <w:spacing w:val="-3"/>
        </w:rPr>
        <w:t> </w:t>
      </w:r>
      <w:r>
        <w:rPr/>
        <w:t>only</w:t>
      </w:r>
      <w:r>
        <w:rPr>
          <w:spacing w:val="-7"/>
        </w:rPr>
        <w:t> </w:t>
      </w:r>
      <w:r>
        <w:rPr/>
        <w:t>the most recent 5 years of prior approvals, and that there would be a transitional phase-down of accrued “savings.”</w:t>
      </w:r>
      <w:r>
        <w:rPr>
          <w:spacing w:val="40"/>
        </w:rPr>
        <w:t> </w:t>
      </w:r>
      <w:r>
        <w:rPr/>
        <w:t>Under this approval, the “savings” amount available for the extension approval period has been limited to the lower of (1) the “savings” available to the Commonwealth in the current extension approval period plus net savings from up to 10 years of the immediately prior demonstration approval period(s); or (2) 15 percent of the</w:t>
      </w:r>
    </w:p>
    <w:p>
      <w:pPr>
        <w:pStyle w:val="BodyText"/>
        <w:spacing w:before="1"/>
        <w:ind w:left="1440" w:right="1239"/>
      </w:pPr>
      <w:r>
        <w:rPr/>
        <w:t>Commonwealth’s projected total Medicaid expenditures in aggregate for the demonstration extension period.</w:t>
      </w:r>
      <w:r>
        <w:rPr>
          <w:spacing w:val="40"/>
        </w:rPr>
        <w:t> </w:t>
      </w:r>
      <w:r>
        <w:rPr/>
        <w:t>This change will permit Massachusetts to access more “savings” from prior approval</w:t>
      </w:r>
      <w:r>
        <w:rPr>
          <w:spacing w:val="-3"/>
        </w:rPr>
        <w:t> </w:t>
      </w:r>
      <w:r>
        <w:rPr/>
        <w:t>periods</w:t>
      </w:r>
      <w:r>
        <w:rPr>
          <w:spacing w:val="-3"/>
        </w:rPr>
        <w:t> </w:t>
      </w:r>
      <w:r>
        <w:rPr/>
        <w:t>than</w:t>
      </w:r>
      <w:r>
        <w:rPr>
          <w:spacing w:val="-3"/>
        </w:rPr>
        <w:t> </w:t>
      </w:r>
      <w:r>
        <w:rPr/>
        <w:t>it</w:t>
      </w:r>
      <w:r>
        <w:rPr>
          <w:spacing w:val="-3"/>
        </w:rPr>
        <w:t> </w:t>
      </w:r>
      <w:r>
        <w:rPr/>
        <w:t>would</w:t>
      </w:r>
      <w:r>
        <w:rPr>
          <w:spacing w:val="-3"/>
        </w:rPr>
        <w:t> </w:t>
      </w:r>
      <w:r>
        <w:rPr/>
        <w:t>otherwise</w:t>
      </w:r>
      <w:r>
        <w:rPr>
          <w:spacing w:val="-3"/>
        </w:rPr>
        <w:t> </w:t>
      </w:r>
      <w:r>
        <w:rPr/>
        <w:t>be</w:t>
      </w:r>
      <w:r>
        <w:rPr>
          <w:spacing w:val="-3"/>
        </w:rPr>
        <w:t> </w:t>
      </w:r>
      <w:r>
        <w:rPr/>
        <w:t>able</w:t>
      </w:r>
      <w:r>
        <w:rPr>
          <w:spacing w:val="-2"/>
        </w:rPr>
        <w:t> </w:t>
      </w:r>
      <w:r>
        <w:rPr/>
        <w:t>to</w:t>
      </w:r>
      <w:r>
        <w:rPr>
          <w:spacing w:val="-3"/>
        </w:rPr>
        <w:t> </w:t>
      </w:r>
      <w:r>
        <w:rPr/>
        <w:t>do</w:t>
      </w:r>
      <w:r>
        <w:rPr>
          <w:spacing w:val="-3"/>
        </w:rPr>
        <w:t> </w:t>
      </w:r>
      <w:r>
        <w:rPr/>
        <w:t>under</w:t>
      </w:r>
      <w:r>
        <w:rPr>
          <w:spacing w:val="-5"/>
        </w:rPr>
        <w:t> </w:t>
      </w:r>
      <w:r>
        <w:rPr/>
        <w:t>the</w:t>
      </w:r>
      <w:r>
        <w:rPr>
          <w:spacing w:val="-3"/>
        </w:rPr>
        <w:t> </w:t>
      </w:r>
      <w:r>
        <w:rPr/>
        <w:t>approach</w:t>
      </w:r>
      <w:r>
        <w:rPr>
          <w:spacing w:val="-1"/>
        </w:rPr>
        <w:t> </w:t>
      </w:r>
      <w:r>
        <w:rPr/>
        <w:t>described</w:t>
      </w:r>
      <w:r>
        <w:rPr>
          <w:spacing w:val="-3"/>
        </w:rPr>
        <w:t> </w:t>
      </w:r>
      <w:r>
        <w:rPr/>
        <w:t>in</w:t>
      </w:r>
      <w:r>
        <w:rPr>
          <w:spacing w:val="-3"/>
        </w:rPr>
        <w:t> </w:t>
      </w:r>
      <w:r>
        <w:rPr/>
        <w:t>the</w:t>
      </w:r>
      <w:r>
        <w:rPr>
          <w:spacing w:val="-4"/>
        </w:rPr>
        <w:t> </w:t>
      </w:r>
      <w:r>
        <w:rPr/>
        <w:t>2018 SMD Letter, and thus will better permit Massachusetts to fund the program innovations</w:t>
      </w:r>
    </w:p>
    <w:p>
      <w:pPr>
        <w:pStyle w:val="BodyText"/>
        <w:ind w:left="1440" w:right="1239"/>
      </w:pPr>
      <w:r>
        <w:rPr/>
        <w:t>described above.</w:t>
      </w:r>
      <w:r>
        <w:rPr>
          <w:spacing w:val="40"/>
        </w:rPr>
        <w:t> </w:t>
      </w:r>
      <w:r>
        <w:rPr/>
        <w:t>At the same time, CMS will limit the “savings” Massachusetts can access, thereby preserving the Medicaid program’s fiscal integrity.</w:t>
      </w:r>
      <w:r>
        <w:rPr>
          <w:spacing w:val="40"/>
        </w:rPr>
        <w:t> </w:t>
      </w:r>
      <w:r>
        <w:rPr/>
        <w:t>These adjustments to the 2018 approach improve the balance between the availability of expenditure authority to support program</w:t>
      </w:r>
      <w:r>
        <w:rPr>
          <w:spacing w:val="-3"/>
        </w:rPr>
        <w:t> </w:t>
      </w:r>
      <w:r>
        <w:rPr/>
        <w:t>innovation</w:t>
      </w:r>
      <w:r>
        <w:rPr>
          <w:spacing w:val="-3"/>
        </w:rPr>
        <w:t> </w:t>
      </w:r>
      <w:r>
        <w:rPr/>
        <w:t>and</w:t>
      </w:r>
      <w:r>
        <w:rPr>
          <w:spacing w:val="-3"/>
        </w:rPr>
        <w:t> </w:t>
      </w:r>
      <w:r>
        <w:rPr/>
        <w:t>the</w:t>
      </w:r>
      <w:r>
        <w:rPr>
          <w:spacing w:val="-4"/>
        </w:rPr>
        <w:t> </w:t>
      </w:r>
      <w:r>
        <w:rPr/>
        <w:t>need</w:t>
      </w:r>
      <w:r>
        <w:rPr>
          <w:spacing w:val="-3"/>
        </w:rPr>
        <w:t> </w:t>
      </w:r>
      <w:r>
        <w:rPr/>
        <w:t>for</w:t>
      </w:r>
      <w:r>
        <w:rPr>
          <w:spacing w:val="-3"/>
        </w:rPr>
        <w:t> </w:t>
      </w:r>
      <w:r>
        <w:rPr/>
        <w:t>fiscal</w:t>
      </w:r>
      <w:r>
        <w:rPr>
          <w:spacing w:val="-3"/>
        </w:rPr>
        <w:t> </w:t>
      </w:r>
      <w:r>
        <w:rPr/>
        <w:t>restraint.</w:t>
      </w:r>
      <w:r>
        <w:rPr>
          <w:spacing w:val="40"/>
        </w:rPr>
        <w:t> </w:t>
      </w:r>
      <w:r>
        <w:rPr/>
        <w:t>CMS</w:t>
      </w:r>
      <w:r>
        <w:rPr>
          <w:spacing w:val="-3"/>
        </w:rPr>
        <w:t> </w:t>
      </w:r>
      <w:r>
        <w:rPr/>
        <w:t>expects</w:t>
      </w:r>
      <w:r>
        <w:rPr>
          <w:spacing w:val="-3"/>
        </w:rPr>
        <w:t> </w:t>
      </w:r>
      <w:r>
        <w:rPr/>
        <w:t>these</w:t>
      </w:r>
      <w:r>
        <w:rPr>
          <w:spacing w:val="-4"/>
        </w:rPr>
        <w:t> </w:t>
      </w:r>
      <w:r>
        <w:rPr/>
        <w:t>updates</w:t>
      </w:r>
      <w:r>
        <w:rPr>
          <w:spacing w:val="-3"/>
        </w:rPr>
        <w:t> </w:t>
      </w:r>
      <w:r>
        <w:rPr/>
        <w:t>will</w:t>
      </w:r>
      <w:r>
        <w:rPr>
          <w:spacing w:val="-3"/>
        </w:rPr>
        <w:t> </w:t>
      </w:r>
      <w:r>
        <w:rPr/>
        <w:t>continue</w:t>
      </w:r>
      <w:r>
        <w:rPr>
          <w:spacing w:val="-3"/>
        </w:rPr>
        <w:t> </w:t>
      </w:r>
      <w:r>
        <w:rPr/>
        <w:t>to ensure fiscal integrity by limiting “savings” rollover from one approval period to the next.</w:t>
      </w:r>
    </w:p>
    <w:p>
      <w:pPr>
        <w:pStyle w:val="BodyText"/>
        <w:ind w:left="1440" w:right="1239"/>
      </w:pPr>
      <w:r>
        <w:rPr/>
        <w:t>However, they are also expected to give Massachusetts access to more funding than it would otherwise have been able to access, and thus, more</w:t>
      </w:r>
      <w:r>
        <w:rPr>
          <w:spacing w:val="-1"/>
        </w:rPr>
        <w:t> </w:t>
      </w:r>
      <w:r>
        <w:rPr/>
        <w:t>ability</w:t>
      </w:r>
      <w:r>
        <w:rPr>
          <w:spacing w:val="-4"/>
        </w:rPr>
        <w:t> </w:t>
      </w:r>
      <w:r>
        <w:rPr/>
        <w:t>to implement demonstration projects that</w:t>
      </w:r>
      <w:r>
        <w:rPr>
          <w:spacing w:val="-3"/>
        </w:rPr>
        <w:t> </w:t>
      </w:r>
      <w:r>
        <w:rPr/>
        <w:t>are</w:t>
      </w:r>
      <w:r>
        <w:rPr>
          <w:spacing w:val="-5"/>
        </w:rPr>
        <w:t> </w:t>
      </w:r>
      <w:r>
        <w:rPr/>
        <w:t>likely</w:t>
      </w:r>
      <w:r>
        <w:rPr>
          <w:spacing w:val="-7"/>
        </w:rPr>
        <w:t> </w:t>
      </w:r>
      <w:r>
        <w:rPr/>
        <w:t>to</w:t>
      </w:r>
      <w:r>
        <w:rPr>
          <w:spacing w:val="-3"/>
        </w:rPr>
        <w:t> </w:t>
      </w:r>
      <w:r>
        <w:rPr/>
        <w:t>assist</w:t>
      </w:r>
      <w:r>
        <w:rPr>
          <w:spacing w:val="-3"/>
        </w:rPr>
        <w:t> </w:t>
      </w:r>
      <w:r>
        <w:rPr/>
        <w:t>in</w:t>
      </w:r>
      <w:r>
        <w:rPr>
          <w:spacing w:val="-3"/>
        </w:rPr>
        <w:t> </w:t>
      </w:r>
      <w:r>
        <w:rPr/>
        <w:t>promoting</w:t>
      </w:r>
      <w:r>
        <w:rPr>
          <w:spacing w:val="-5"/>
        </w:rPr>
        <w:t> </w:t>
      </w:r>
      <w:r>
        <w:rPr/>
        <w:t>the</w:t>
      </w:r>
      <w:r>
        <w:rPr>
          <w:spacing w:val="-3"/>
        </w:rPr>
        <w:t> </w:t>
      </w:r>
      <w:r>
        <w:rPr/>
        <w:t>objectives</w:t>
      </w:r>
      <w:r>
        <w:rPr>
          <w:spacing w:val="-1"/>
        </w:rPr>
        <w:t> </w:t>
      </w:r>
      <w:r>
        <w:rPr/>
        <w:t>of</w:t>
      </w:r>
      <w:r>
        <w:rPr>
          <w:spacing w:val="-3"/>
        </w:rPr>
        <w:t> </w:t>
      </w:r>
      <w:r>
        <w:rPr/>
        <w:t>the</w:t>
      </w:r>
      <w:r>
        <w:rPr>
          <w:spacing w:val="-5"/>
        </w:rPr>
        <w:t> </w:t>
      </w:r>
      <w:r>
        <w:rPr/>
        <w:t>Medicaid</w:t>
      </w:r>
      <w:r>
        <w:rPr>
          <w:spacing w:val="-3"/>
        </w:rPr>
        <w:t> </w:t>
      </w:r>
      <w:r>
        <w:rPr/>
        <w:t>program,</w:t>
      </w:r>
      <w:r>
        <w:rPr>
          <w:spacing w:val="-1"/>
        </w:rPr>
        <w:t> </w:t>
      </w:r>
      <w:r>
        <w:rPr/>
        <w:t>than</w:t>
      </w:r>
      <w:r>
        <w:rPr>
          <w:spacing w:val="-3"/>
        </w:rPr>
        <w:t> </w:t>
      </w:r>
      <w:r>
        <w:rPr/>
        <w:t>it</w:t>
      </w:r>
      <w:r>
        <w:rPr>
          <w:spacing w:val="-3"/>
        </w:rPr>
        <w:t> </w:t>
      </w:r>
      <w:r>
        <w:rPr/>
        <w:t>would</w:t>
      </w:r>
      <w:r>
        <w:rPr>
          <w:spacing w:val="-3"/>
        </w:rPr>
        <w:t> </w:t>
      </w:r>
      <w:r>
        <w:rPr/>
        <w:t>have had under the approach described in the 2018 SMD Letter.</w:t>
      </w:r>
    </w:p>
    <w:p>
      <w:pPr>
        <w:pStyle w:val="BodyText"/>
        <w:spacing w:before="1"/>
      </w:pPr>
    </w:p>
    <w:p>
      <w:pPr>
        <w:pStyle w:val="BodyText"/>
        <w:ind w:left="1440" w:right="1239"/>
      </w:pPr>
      <w:r>
        <w:rPr/>
        <w:t>In a second key change from the approach described in the 2018 SMD Letter, CMS is treating certain</w:t>
      </w:r>
      <w:r>
        <w:rPr>
          <w:spacing w:val="-4"/>
        </w:rPr>
        <w:t> </w:t>
      </w:r>
      <w:r>
        <w:rPr/>
        <w:t>HRSN</w:t>
      </w:r>
      <w:r>
        <w:rPr>
          <w:spacing w:val="-5"/>
        </w:rPr>
        <w:t> </w:t>
      </w:r>
      <w:r>
        <w:rPr/>
        <w:t>expenditures</w:t>
      </w:r>
      <w:r>
        <w:rPr>
          <w:spacing w:val="-5"/>
        </w:rPr>
        <w:t> </w:t>
      </w:r>
      <w:r>
        <w:rPr/>
        <w:t>as</w:t>
      </w:r>
      <w:r>
        <w:rPr>
          <w:spacing w:val="-5"/>
        </w:rPr>
        <w:t> </w:t>
      </w:r>
      <w:r>
        <w:rPr/>
        <w:t>“hypothetical”</w:t>
      </w:r>
      <w:r>
        <w:rPr>
          <w:spacing w:val="-4"/>
        </w:rPr>
        <w:t> </w:t>
      </w:r>
      <w:r>
        <w:rPr/>
        <w:t>for</w:t>
      </w:r>
      <w:r>
        <w:rPr>
          <w:spacing w:val="-4"/>
        </w:rPr>
        <w:t> </w:t>
      </w:r>
      <w:r>
        <w:rPr/>
        <w:t>purposes</w:t>
      </w:r>
      <w:r>
        <w:rPr>
          <w:spacing w:val="-5"/>
        </w:rPr>
        <w:t> </w:t>
      </w:r>
      <w:r>
        <w:rPr/>
        <w:t>of</w:t>
      </w:r>
      <w:r>
        <w:rPr>
          <w:spacing w:val="-4"/>
        </w:rPr>
        <w:t> </w:t>
      </w:r>
      <w:r>
        <w:rPr/>
        <w:t>Massachusetts’s</w:t>
      </w:r>
      <w:r>
        <w:rPr>
          <w:spacing w:val="-5"/>
        </w:rPr>
        <w:t> </w:t>
      </w:r>
      <w:r>
        <w:rPr/>
        <w:t>budget</w:t>
      </w:r>
      <w:r>
        <w:rPr>
          <w:spacing w:val="-4"/>
        </w:rPr>
        <w:t> </w:t>
      </w:r>
      <w:r>
        <w:rPr/>
        <w:t>neutrality calculation.</w:t>
      </w:r>
      <w:r>
        <w:rPr>
          <w:spacing w:val="40"/>
        </w:rPr>
        <w:t> </w:t>
      </w:r>
      <w:r>
        <w:rPr/>
        <w:t>As described in the 2018 SMD Letter, CMS effectively treats a hypothetical expenditure like an expenditure that the state could have made absent the demonstration, when calculating budget neutrality.</w:t>
      </w:r>
      <w:r>
        <w:rPr>
          <w:spacing w:val="40"/>
        </w:rPr>
        <w:t> </w:t>
      </w:r>
      <w:r>
        <w:rPr/>
        <w:t>As a result, hypothetical expenditures are included in both the</w:t>
      </w:r>
    </w:p>
    <w:p>
      <w:pPr>
        <w:spacing w:after="0"/>
        <w:sectPr>
          <w:pgSz w:w="12240" w:h="15840"/>
          <w:pgMar w:top="640" w:bottom="280" w:left="0" w:right="220"/>
        </w:sectPr>
      </w:pPr>
    </w:p>
    <w:p>
      <w:pPr>
        <w:pStyle w:val="BodyText"/>
        <w:spacing w:before="79"/>
        <w:ind w:right="1218"/>
        <w:jc w:val="right"/>
      </w:pPr>
      <w:r>
        <w:rPr/>
        <w:t>Page</w:t>
      </w:r>
      <w:r>
        <w:rPr>
          <w:spacing w:val="-5"/>
        </w:rPr>
        <w:t> 10</w:t>
      </w:r>
    </w:p>
    <w:p>
      <w:pPr>
        <w:pStyle w:val="BodyText"/>
        <w:spacing w:before="7"/>
        <w:rPr>
          <w:sz w:val="38"/>
        </w:rPr>
      </w:pPr>
    </w:p>
    <w:p>
      <w:pPr>
        <w:pStyle w:val="BodyText"/>
        <w:ind w:left="1440" w:right="1222"/>
      </w:pPr>
      <w:r>
        <w:rPr/>
        <w:t>WOW baseline and the estimate of the WW expenditures under the demonstration, and states do not have to find demonstration “savings” to offset hypothetical expenditures.</w:t>
      </w:r>
      <w:r>
        <w:rPr>
          <w:spacing w:val="40"/>
        </w:rPr>
        <w:t> </w:t>
      </w:r>
      <w:r>
        <w:rPr/>
        <w:t>However, when evaluating budget neutrality, CMS does not offset non-hypothetical expenditures with projected or</w:t>
      </w:r>
      <w:r>
        <w:rPr>
          <w:spacing w:val="-3"/>
        </w:rPr>
        <w:t> </w:t>
      </w:r>
      <w:r>
        <w:rPr/>
        <w:t>accrued</w:t>
      </w:r>
      <w:r>
        <w:rPr>
          <w:spacing w:val="-2"/>
        </w:rPr>
        <w:t> </w:t>
      </w:r>
      <w:r>
        <w:rPr/>
        <w:t>“savings”</w:t>
      </w:r>
      <w:r>
        <w:rPr>
          <w:spacing w:val="-4"/>
        </w:rPr>
        <w:t> </w:t>
      </w:r>
      <w:r>
        <w:rPr/>
        <w:t>from</w:t>
      </w:r>
      <w:r>
        <w:rPr>
          <w:spacing w:val="-3"/>
        </w:rPr>
        <w:t> </w:t>
      </w:r>
      <w:r>
        <w:rPr/>
        <w:t>hypothetical</w:t>
      </w:r>
      <w:r>
        <w:rPr>
          <w:spacing w:val="-2"/>
        </w:rPr>
        <w:t> </w:t>
      </w:r>
      <w:r>
        <w:rPr/>
        <w:t>expenditures.</w:t>
      </w:r>
      <w:r>
        <w:rPr>
          <w:spacing w:val="40"/>
        </w:rPr>
        <w:t> </w:t>
      </w:r>
      <w:r>
        <w:rPr/>
        <w:t>That</w:t>
      </w:r>
      <w:r>
        <w:rPr>
          <w:spacing w:val="-3"/>
        </w:rPr>
        <w:t> </w:t>
      </w:r>
      <w:r>
        <w:rPr/>
        <w:t>is,</w:t>
      </w:r>
      <w:r>
        <w:rPr>
          <w:spacing w:val="-3"/>
        </w:rPr>
        <w:t> </w:t>
      </w:r>
      <w:r>
        <w:rPr/>
        <w:t>“savings”</w:t>
      </w:r>
      <w:r>
        <w:rPr>
          <w:spacing w:val="-2"/>
        </w:rPr>
        <w:t> </w:t>
      </w:r>
      <w:r>
        <w:rPr/>
        <w:t>are</w:t>
      </w:r>
      <w:r>
        <w:rPr>
          <w:spacing w:val="-4"/>
        </w:rPr>
        <w:t> </w:t>
      </w:r>
      <w:r>
        <w:rPr/>
        <w:t>not</w:t>
      </w:r>
      <w:r>
        <w:rPr>
          <w:spacing w:val="-3"/>
        </w:rPr>
        <w:t> </w:t>
      </w:r>
      <w:r>
        <w:rPr/>
        <w:t>generated</w:t>
      </w:r>
      <w:r>
        <w:rPr>
          <w:spacing w:val="-3"/>
        </w:rPr>
        <w:t> </w:t>
      </w:r>
      <w:r>
        <w:rPr/>
        <w:t>from</w:t>
      </w:r>
      <w:r>
        <w:rPr>
          <w:spacing w:val="-2"/>
        </w:rPr>
        <w:t> </w:t>
      </w:r>
      <w:r>
        <w:rPr/>
        <w:t>a hypothetical population or service if the state does not spend up to the hypothetical expenditure limit.</w:t>
      </w:r>
      <w:r>
        <w:rPr>
          <w:spacing w:val="40"/>
        </w:rPr>
        <w:t> </w:t>
      </w:r>
      <w:r>
        <w:rPr/>
        <w:t>To allow for hypothetical expenditures, while preventing them from resulting in</w:t>
      </w:r>
    </w:p>
    <w:p>
      <w:pPr>
        <w:pStyle w:val="BodyText"/>
        <w:ind w:left="1440" w:right="1239"/>
      </w:pPr>
      <w:r>
        <w:rPr/>
        <w:t>“savings,” CMS applies a separate, independent budget neutrality “supplemental test” for hypothetical expenditures.</w:t>
      </w:r>
      <w:r>
        <w:rPr>
          <w:spacing w:val="40"/>
        </w:rPr>
        <w:t> </w:t>
      </w:r>
      <w:r>
        <w:rPr/>
        <w:t>These supplemental budget neutrality tests subject the hypothetical expenditures</w:t>
      </w:r>
      <w:r>
        <w:rPr>
          <w:spacing w:val="-3"/>
        </w:rPr>
        <w:t> </w:t>
      </w:r>
      <w:r>
        <w:rPr/>
        <w:t>to</w:t>
      </w:r>
      <w:r>
        <w:rPr>
          <w:spacing w:val="-3"/>
        </w:rPr>
        <w:t> </w:t>
      </w:r>
      <w:r>
        <w:rPr/>
        <w:t>predetermined</w:t>
      </w:r>
      <w:r>
        <w:rPr>
          <w:spacing w:val="-3"/>
        </w:rPr>
        <w:t> </w:t>
      </w:r>
      <w:r>
        <w:rPr/>
        <w:t>limits</w:t>
      </w:r>
      <w:r>
        <w:rPr>
          <w:spacing w:val="-3"/>
        </w:rPr>
        <w:t> </w:t>
      </w:r>
      <w:r>
        <w:rPr/>
        <w:t>to</w:t>
      </w:r>
      <w:r>
        <w:rPr>
          <w:spacing w:val="-3"/>
        </w:rPr>
        <w:t> </w:t>
      </w:r>
      <w:r>
        <w:rPr/>
        <w:t>which</w:t>
      </w:r>
      <w:r>
        <w:rPr>
          <w:spacing w:val="-3"/>
        </w:rPr>
        <w:t> </w:t>
      </w:r>
      <w:r>
        <w:rPr/>
        <w:t>the</w:t>
      </w:r>
      <w:r>
        <w:rPr>
          <w:spacing w:val="-6"/>
        </w:rPr>
        <w:t> </w:t>
      </w:r>
      <w:r>
        <w:rPr/>
        <w:t>state</w:t>
      </w:r>
      <w:r>
        <w:rPr>
          <w:spacing w:val="-4"/>
        </w:rPr>
        <w:t> </w:t>
      </w:r>
      <w:r>
        <w:rPr/>
        <w:t>and</w:t>
      </w:r>
      <w:r>
        <w:rPr>
          <w:spacing w:val="-3"/>
        </w:rPr>
        <w:t> </w:t>
      </w:r>
      <w:r>
        <w:rPr/>
        <w:t>CMS</w:t>
      </w:r>
      <w:r>
        <w:rPr>
          <w:spacing w:val="-3"/>
        </w:rPr>
        <w:t> </w:t>
      </w:r>
      <w:r>
        <w:rPr/>
        <w:t>agree,</w:t>
      </w:r>
      <w:r>
        <w:rPr>
          <w:spacing w:val="-2"/>
        </w:rPr>
        <w:t> </w:t>
      </w:r>
      <w:r>
        <w:rPr/>
        <w:t>and</w:t>
      </w:r>
      <w:r>
        <w:rPr>
          <w:spacing w:val="-3"/>
        </w:rPr>
        <w:t> </w:t>
      </w:r>
      <w:r>
        <w:rPr/>
        <w:t>that</w:t>
      </w:r>
      <w:r>
        <w:rPr>
          <w:spacing w:val="-3"/>
        </w:rPr>
        <w:t> </w:t>
      </w:r>
      <w:r>
        <w:rPr/>
        <w:t>CMS</w:t>
      </w:r>
      <w:r>
        <w:rPr>
          <w:spacing w:val="-3"/>
        </w:rPr>
        <w:t> </w:t>
      </w:r>
      <w:r>
        <w:rPr/>
        <w:t>approves, during negotiations.</w:t>
      </w:r>
      <w:r>
        <w:rPr>
          <w:spacing w:val="40"/>
        </w:rPr>
        <w:t> </w:t>
      </w:r>
      <w:r>
        <w:rPr/>
        <w:t>If the state’s WW hypothetical spending exceeds the supplemental test’s expenditure limit, the state agrees (as a condition of CMS approval) to offset that excess</w:t>
      </w:r>
    </w:p>
    <w:p>
      <w:pPr>
        <w:pStyle w:val="BodyText"/>
        <w:spacing w:before="1"/>
        <w:ind w:left="1440" w:right="1239"/>
      </w:pPr>
      <w:r>
        <w:rPr/>
        <w:t>spending</w:t>
      </w:r>
      <w:r>
        <w:rPr>
          <w:spacing w:val="-4"/>
        </w:rPr>
        <w:t> </w:t>
      </w:r>
      <w:r>
        <w:rPr/>
        <w:t>by</w:t>
      </w:r>
      <w:r>
        <w:rPr>
          <w:spacing w:val="-7"/>
        </w:rPr>
        <w:t> </w:t>
      </w:r>
      <w:r>
        <w:rPr/>
        <w:t>finding</w:t>
      </w:r>
      <w:r>
        <w:rPr>
          <w:spacing w:val="-5"/>
        </w:rPr>
        <w:t> </w:t>
      </w:r>
      <w:r>
        <w:rPr/>
        <w:t>“savings”</w:t>
      </w:r>
      <w:r>
        <w:rPr>
          <w:spacing w:val="-3"/>
        </w:rPr>
        <w:t> </w:t>
      </w:r>
      <w:r>
        <w:rPr/>
        <w:t>elsewhere</w:t>
      </w:r>
      <w:r>
        <w:rPr>
          <w:spacing w:val="-4"/>
        </w:rPr>
        <w:t> </w:t>
      </w:r>
      <w:r>
        <w:rPr/>
        <w:t>in</w:t>
      </w:r>
      <w:r>
        <w:rPr>
          <w:spacing w:val="-2"/>
        </w:rPr>
        <w:t> </w:t>
      </w:r>
      <w:r>
        <w:rPr/>
        <w:t>the</w:t>
      </w:r>
      <w:r>
        <w:rPr>
          <w:spacing w:val="-3"/>
        </w:rPr>
        <w:t> </w:t>
      </w:r>
      <w:r>
        <w:rPr/>
        <w:t>demonstration</w:t>
      </w:r>
      <w:r>
        <w:rPr>
          <w:spacing w:val="-2"/>
        </w:rPr>
        <w:t> </w:t>
      </w:r>
      <w:r>
        <w:rPr/>
        <w:t>or</w:t>
      </w:r>
      <w:r>
        <w:rPr>
          <w:spacing w:val="-3"/>
        </w:rPr>
        <w:t> </w:t>
      </w:r>
      <w:r>
        <w:rPr/>
        <w:t>to</w:t>
      </w:r>
      <w:r>
        <w:rPr>
          <w:spacing w:val="-2"/>
        </w:rPr>
        <w:t> </w:t>
      </w:r>
      <w:r>
        <w:rPr/>
        <w:t>refund</w:t>
      </w:r>
      <w:r>
        <w:rPr>
          <w:spacing w:val="-1"/>
        </w:rPr>
        <w:t> </w:t>
      </w:r>
      <w:r>
        <w:rPr/>
        <w:t>the</w:t>
      </w:r>
      <w:r>
        <w:rPr>
          <w:spacing w:val="-3"/>
        </w:rPr>
        <w:t> </w:t>
      </w:r>
      <w:r>
        <w:rPr/>
        <w:t>federal</w:t>
      </w:r>
      <w:r>
        <w:rPr>
          <w:spacing w:val="-2"/>
        </w:rPr>
        <w:t> </w:t>
      </w:r>
      <w:r>
        <w:rPr/>
        <w:t>matching funds to CMS.</w:t>
      </w:r>
      <w:r>
        <w:rPr>
          <w:spacing w:val="40"/>
        </w:rPr>
        <w:t> </w:t>
      </w:r>
      <w:r>
        <w:rPr/>
        <w:t>In the 2018 SMD Letter, CMS explained that it has historically considered</w:t>
      </w:r>
    </w:p>
    <w:p>
      <w:pPr>
        <w:pStyle w:val="BodyText"/>
        <w:ind w:left="1440" w:right="1239"/>
      </w:pPr>
      <w:r>
        <w:rPr/>
        <w:t>demonstration</w:t>
      </w:r>
      <w:r>
        <w:rPr>
          <w:spacing w:val="-3"/>
        </w:rPr>
        <w:t> </w:t>
      </w:r>
      <w:r>
        <w:rPr/>
        <w:t>expenditures</w:t>
      </w:r>
      <w:r>
        <w:rPr>
          <w:spacing w:val="-4"/>
        </w:rPr>
        <w:t> </w:t>
      </w:r>
      <w:r>
        <w:rPr/>
        <w:t>to</w:t>
      </w:r>
      <w:r>
        <w:rPr>
          <w:spacing w:val="-3"/>
        </w:rPr>
        <w:t> </w:t>
      </w:r>
      <w:r>
        <w:rPr/>
        <w:t>be</w:t>
      </w:r>
      <w:r>
        <w:rPr>
          <w:spacing w:val="-4"/>
        </w:rPr>
        <w:t> </w:t>
      </w:r>
      <w:r>
        <w:rPr/>
        <w:t>“hypothetical”</w:t>
      </w:r>
      <w:r>
        <w:rPr>
          <w:spacing w:val="-3"/>
        </w:rPr>
        <w:t> </w:t>
      </w:r>
      <w:r>
        <w:rPr/>
        <w:t>in</w:t>
      </w:r>
      <w:r>
        <w:rPr>
          <w:spacing w:val="-3"/>
        </w:rPr>
        <w:t> </w:t>
      </w:r>
      <w:r>
        <w:rPr/>
        <w:t>the</w:t>
      </w:r>
      <w:r>
        <w:rPr>
          <w:spacing w:val="-3"/>
        </w:rPr>
        <w:t> </w:t>
      </w:r>
      <w:r>
        <w:rPr/>
        <w:t>following</w:t>
      </w:r>
      <w:r>
        <w:rPr>
          <w:spacing w:val="-6"/>
        </w:rPr>
        <w:t> </w:t>
      </w:r>
      <w:r>
        <w:rPr/>
        <w:t>circumstances:</w:t>
      </w:r>
      <w:r>
        <w:rPr>
          <w:spacing w:val="-3"/>
        </w:rPr>
        <w:t> </w:t>
      </w:r>
      <w:r>
        <w:rPr/>
        <w:t>(1)</w:t>
      </w:r>
      <w:r>
        <w:rPr>
          <w:spacing w:val="-2"/>
        </w:rPr>
        <w:t> </w:t>
      </w:r>
      <w:r>
        <w:rPr/>
        <w:t>when</w:t>
      </w:r>
      <w:r>
        <w:rPr>
          <w:spacing w:val="-3"/>
        </w:rPr>
        <w:t> </w:t>
      </w:r>
      <w:r>
        <w:rPr/>
        <w:t>they are for populations or services that the state could otherwise have covered under its Medicaid state plan or other title XIX authority, such as a waiver under section 1915 of the Act; or (2) when a WOW spending baseline is difficult to estimate due to variable and volatile cost data resulting in anomalous trend rates (e.g., CMS has treated demonstration expenditures on the “adult group” described in section 1902(a)(10)(A)(i)(VIII) of the Act as hypothetical for this </w:t>
      </w:r>
      <w:r>
        <w:rPr>
          <w:spacing w:val="-2"/>
        </w:rPr>
        <w:t>reason).</w:t>
      </w:r>
    </w:p>
    <w:p>
      <w:pPr>
        <w:pStyle w:val="BodyText"/>
      </w:pPr>
    </w:p>
    <w:p>
      <w:pPr>
        <w:pStyle w:val="BodyText"/>
        <w:ind w:left="1440" w:right="1252"/>
      </w:pPr>
      <w:r>
        <w:rPr/>
        <w:t>Under this approval, certain HRSN expenditures are considered “hypothetical” expenditures and are included in the budget neutrality WOW baseline.</w:t>
      </w:r>
      <w:r>
        <w:rPr>
          <w:spacing w:val="40"/>
        </w:rPr>
        <w:t> </w:t>
      </w:r>
      <w:r>
        <w:rPr/>
        <w:t>Some of these expenditures, as discussed above, are expenditures for services that the Commonwealth could otherwise cover under other title XIX authority, such as tenancy and nutrition supports for beneficiaries.</w:t>
      </w:r>
      <w:r>
        <w:rPr>
          <w:spacing w:val="40"/>
        </w:rPr>
        <w:t> </w:t>
      </w:r>
      <w:r>
        <w:rPr/>
        <w:t>Treating those expenditures as hypothetical is consistent with how CMS has historically treated similar expenditures.</w:t>
      </w:r>
      <w:r>
        <w:rPr>
          <w:spacing w:val="40"/>
        </w:rPr>
        <w:t> </w:t>
      </w:r>
      <w:r>
        <w:rPr/>
        <w:t>While other approved HRSN expenditures could not otherwise be covered under title XIX authority, such as expenditures on section 1915(c) and 1915(i) services for beneficiaries who would not otherwise be eligible for them under section 1915, there are insufficient or inconsistent data to calculate a WOW baseline for at least some of these expenditures.</w:t>
      </w:r>
      <w:r>
        <w:rPr>
          <w:spacing w:val="40"/>
        </w:rPr>
        <w:t> </w:t>
      </w:r>
      <w:r>
        <w:rPr/>
        <w:t>Treating those expenditures as hypothetical is also consistent with how CMS has historically treated similar expenditures.</w:t>
      </w:r>
      <w:r>
        <w:rPr>
          <w:spacing w:val="40"/>
        </w:rPr>
        <w:t> </w:t>
      </w:r>
      <w:r>
        <w:rPr/>
        <w:t>As discussed above, based on robust academic-level research, it appears likely that these state expenditures could improve the quality and effectiveness of downstream services that can be provided under state plan authority.</w:t>
      </w:r>
      <w:r>
        <w:rPr>
          <w:vertAlign w:val="superscript"/>
        </w:rPr>
        <w:t>12</w:t>
      </w:r>
      <w:r>
        <w:rPr>
          <w:spacing w:val="40"/>
          <w:vertAlign w:val="baseline"/>
        </w:rPr>
        <w:t> </w:t>
      </w:r>
      <w:r>
        <w:rPr>
          <w:vertAlign w:val="baseline"/>
        </w:rPr>
        <w:t>And, as also discussed below, covering HRSN services might improve enrollees’ health, reducing the future downstream costs of medical care for these beneficiaries.</w:t>
      </w:r>
      <w:r>
        <w:rPr>
          <w:spacing w:val="40"/>
          <w:vertAlign w:val="baseline"/>
        </w:rPr>
        <w:t> </w:t>
      </w:r>
      <w:r>
        <w:rPr>
          <w:vertAlign w:val="baseline"/>
        </w:rPr>
        <w:t>At the same time, predicting these downstream effects on overall Medicaid program costs of covering certain evidence-based HRSN services is extremely difficult, making it hard for CMS to pinpoint the estimated fiscal impact of these expenditures on demonstration budget neutrality or on the Commonwealth’s overall</w:t>
      </w:r>
      <w:r>
        <w:rPr>
          <w:spacing w:val="-2"/>
          <w:vertAlign w:val="baseline"/>
        </w:rPr>
        <w:t> </w:t>
      </w:r>
      <w:r>
        <w:rPr>
          <w:vertAlign w:val="baseline"/>
        </w:rPr>
        <w:t>Medicaid</w:t>
      </w:r>
      <w:r>
        <w:rPr>
          <w:spacing w:val="-1"/>
          <w:vertAlign w:val="baseline"/>
        </w:rPr>
        <w:t> </w:t>
      </w:r>
      <w:r>
        <w:rPr>
          <w:vertAlign w:val="baseline"/>
        </w:rPr>
        <w:t>program.</w:t>
      </w:r>
      <w:r>
        <w:rPr>
          <w:spacing w:val="57"/>
          <w:vertAlign w:val="baseline"/>
        </w:rPr>
        <w:t> </w:t>
      </w:r>
      <w:r>
        <w:rPr>
          <w:vertAlign w:val="baseline"/>
        </w:rPr>
        <w:t>Treating</w:t>
      </w:r>
      <w:r>
        <w:rPr>
          <w:spacing w:val="-5"/>
          <w:vertAlign w:val="baseline"/>
        </w:rPr>
        <w:t> </w:t>
      </w:r>
      <w:r>
        <w:rPr>
          <w:vertAlign w:val="baseline"/>
        </w:rPr>
        <w:t>demonstration</w:t>
      </w:r>
      <w:r>
        <w:rPr>
          <w:spacing w:val="-1"/>
          <w:vertAlign w:val="baseline"/>
        </w:rPr>
        <w:t> </w:t>
      </w:r>
      <w:r>
        <w:rPr>
          <w:vertAlign w:val="baseline"/>
        </w:rPr>
        <w:t>HRSN</w:t>
      </w:r>
      <w:r>
        <w:rPr>
          <w:spacing w:val="-2"/>
          <w:vertAlign w:val="baseline"/>
        </w:rPr>
        <w:t> </w:t>
      </w:r>
      <w:r>
        <w:rPr>
          <w:vertAlign w:val="baseline"/>
        </w:rPr>
        <w:t>expenditures</w:t>
      </w:r>
      <w:r>
        <w:rPr>
          <w:spacing w:val="-1"/>
          <w:vertAlign w:val="baseline"/>
        </w:rPr>
        <w:t> </w:t>
      </w:r>
      <w:r>
        <w:rPr>
          <w:vertAlign w:val="baseline"/>
        </w:rPr>
        <w:t>as</w:t>
      </w:r>
      <w:r>
        <w:rPr>
          <w:spacing w:val="-2"/>
          <w:vertAlign w:val="baseline"/>
        </w:rPr>
        <w:t> </w:t>
      </w:r>
      <w:r>
        <w:rPr>
          <w:vertAlign w:val="baseline"/>
        </w:rPr>
        <w:t>hypothetical</w:t>
      </w:r>
      <w:r>
        <w:rPr>
          <w:spacing w:val="-1"/>
          <w:vertAlign w:val="baseline"/>
        </w:rPr>
        <w:t> </w:t>
      </w:r>
      <w:r>
        <w:rPr>
          <w:vertAlign w:val="baseline"/>
        </w:rPr>
        <w:t>will</w:t>
      </w:r>
      <w:r>
        <w:rPr>
          <w:spacing w:val="1"/>
          <w:vertAlign w:val="baseline"/>
        </w:rPr>
        <w:t> </w:t>
      </w:r>
      <w:r>
        <w:rPr>
          <w:spacing w:val="-4"/>
          <w:vertAlign w:val="baseline"/>
        </w:rPr>
        <w:t>give</w:t>
      </w:r>
    </w:p>
    <w:p>
      <w:pPr>
        <w:pStyle w:val="BodyText"/>
        <w:rPr>
          <w:sz w:val="20"/>
        </w:rPr>
      </w:pPr>
    </w:p>
    <w:p>
      <w:pPr>
        <w:pStyle w:val="BodyText"/>
        <w:spacing w:before="1"/>
        <w:rPr>
          <w:sz w:val="15"/>
        </w:rPr>
      </w:pPr>
      <w:r>
        <w:rPr/>
        <mc:AlternateContent>
          <mc:Choice Requires="wps">
            <w:drawing>
              <wp:anchor distT="0" distB="0" distL="0" distR="0" allowOverlap="1" layoutInCell="1" locked="0" behindDoc="1" simplePos="0" relativeHeight="487590912">
                <wp:simplePos x="0" y="0"/>
                <wp:positionH relativeFrom="page">
                  <wp:posOffset>914704</wp:posOffset>
                </wp:positionH>
                <wp:positionV relativeFrom="paragraph">
                  <wp:posOffset>125613</wp:posOffset>
                </wp:positionV>
                <wp:extent cx="1829435" cy="762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9.890839pt;width:144.020pt;height:.60004pt;mso-position-horizontal-relative:page;mso-position-vertical-relative:paragraph;z-index:-15725568;mso-wrap-distance-left:0;mso-wrap-distance-right:0" id="docshape7" filled="true" fillcolor="#000000" stroked="false">
                <v:fill type="solid"/>
                <w10:wrap type="topAndBottom"/>
              </v:rect>
            </w:pict>
          </mc:Fallback>
        </mc:AlternateContent>
      </w:r>
    </w:p>
    <w:p>
      <w:pPr>
        <w:spacing w:line="240" w:lineRule="auto" w:before="103"/>
        <w:ind w:left="1440" w:right="1255" w:firstLine="0"/>
        <w:jc w:val="left"/>
        <w:rPr>
          <w:sz w:val="20"/>
        </w:rPr>
      </w:pPr>
      <w:r>
        <w:rPr>
          <w:sz w:val="20"/>
          <w:vertAlign w:val="superscript"/>
        </w:rPr>
        <w:t>12</w:t>
      </w:r>
      <w:r>
        <w:rPr>
          <w:spacing w:val="-3"/>
          <w:sz w:val="20"/>
          <w:vertAlign w:val="baseline"/>
        </w:rPr>
        <w:t> </w:t>
      </w:r>
      <w:r>
        <w:rPr>
          <w:color w:val="333333"/>
          <w:sz w:val="20"/>
          <w:vertAlign w:val="baseline"/>
        </w:rPr>
        <w:t>Lipson,</w:t>
      </w:r>
      <w:r>
        <w:rPr>
          <w:color w:val="333333"/>
          <w:spacing w:val="-3"/>
          <w:sz w:val="20"/>
          <w:vertAlign w:val="baseline"/>
        </w:rPr>
        <w:t> </w:t>
      </w:r>
      <w:r>
        <w:rPr>
          <w:color w:val="333333"/>
          <w:sz w:val="20"/>
          <w:vertAlign w:val="baseline"/>
        </w:rPr>
        <w:t>D.</w:t>
      </w:r>
      <w:r>
        <w:rPr>
          <w:color w:val="333333"/>
          <w:spacing w:val="-3"/>
          <w:sz w:val="20"/>
          <w:vertAlign w:val="baseline"/>
        </w:rPr>
        <w:t> </w:t>
      </w:r>
      <w:r>
        <w:rPr>
          <w:color w:val="333333"/>
          <w:sz w:val="20"/>
          <w:vertAlign w:val="baseline"/>
        </w:rPr>
        <w:t>J.</w:t>
      </w:r>
      <w:r>
        <w:rPr>
          <w:color w:val="333333"/>
          <w:spacing w:val="40"/>
          <w:sz w:val="20"/>
          <w:vertAlign w:val="baseline"/>
        </w:rPr>
        <w:t> </w:t>
      </w:r>
      <w:r>
        <w:rPr>
          <w:i/>
          <w:color w:val="333333"/>
          <w:sz w:val="20"/>
          <w:vertAlign w:val="baseline"/>
        </w:rPr>
        <w:t>Medicaid’s</w:t>
      </w:r>
      <w:r>
        <w:rPr>
          <w:i/>
          <w:color w:val="333333"/>
          <w:spacing w:val="-4"/>
          <w:sz w:val="20"/>
          <w:vertAlign w:val="baseline"/>
        </w:rPr>
        <w:t> </w:t>
      </w:r>
      <w:r>
        <w:rPr>
          <w:i/>
          <w:color w:val="333333"/>
          <w:sz w:val="20"/>
          <w:vertAlign w:val="baseline"/>
        </w:rPr>
        <w:t>Role</w:t>
      </w:r>
      <w:r>
        <w:rPr>
          <w:i/>
          <w:color w:val="333333"/>
          <w:spacing w:val="-3"/>
          <w:sz w:val="20"/>
          <w:vertAlign w:val="baseline"/>
        </w:rPr>
        <w:t> </w:t>
      </w:r>
      <w:r>
        <w:rPr>
          <w:i/>
          <w:color w:val="333333"/>
          <w:sz w:val="20"/>
          <w:vertAlign w:val="baseline"/>
        </w:rPr>
        <w:t>in</w:t>
      </w:r>
      <w:r>
        <w:rPr>
          <w:i/>
          <w:color w:val="333333"/>
          <w:spacing w:val="-2"/>
          <w:sz w:val="20"/>
          <w:vertAlign w:val="baseline"/>
        </w:rPr>
        <w:t> </w:t>
      </w:r>
      <w:r>
        <w:rPr>
          <w:i/>
          <w:color w:val="333333"/>
          <w:sz w:val="20"/>
          <w:vertAlign w:val="baseline"/>
        </w:rPr>
        <w:t>Improving</w:t>
      </w:r>
      <w:r>
        <w:rPr>
          <w:i/>
          <w:color w:val="333333"/>
          <w:spacing w:val="-2"/>
          <w:sz w:val="20"/>
          <w:vertAlign w:val="baseline"/>
        </w:rPr>
        <w:t> </w:t>
      </w:r>
      <w:r>
        <w:rPr>
          <w:i/>
          <w:color w:val="333333"/>
          <w:sz w:val="20"/>
          <w:vertAlign w:val="baseline"/>
        </w:rPr>
        <w:t>the</w:t>
      </w:r>
      <w:r>
        <w:rPr>
          <w:i/>
          <w:color w:val="333333"/>
          <w:spacing w:val="-3"/>
          <w:sz w:val="20"/>
          <w:vertAlign w:val="baseline"/>
        </w:rPr>
        <w:t> </w:t>
      </w:r>
      <w:r>
        <w:rPr>
          <w:i/>
          <w:color w:val="333333"/>
          <w:sz w:val="20"/>
          <w:vertAlign w:val="baseline"/>
        </w:rPr>
        <w:t>Social</w:t>
      </w:r>
      <w:r>
        <w:rPr>
          <w:i/>
          <w:color w:val="333333"/>
          <w:spacing w:val="-4"/>
          <w:sz w:val="20"/>
          <w:vertAlign w:val="baseline"/>
        </w:rPr>
        <w:t> </w:t>
      </w:r>
      <w:r>
        <w:rPr>
          <w:i/>
          <w:color w:val="333333"/>
          <w:sz w:val="20"/>
          <w:vertAlign w:val="baseline"/>
        </w:rPr>
        <w:t>Determinants</w:t>
      </w:r>
      <w:r>
        <w:rPr>
          <w:i/>
          <w:color w:val="333333"/>
          <w:spacing w:val="-4"/>
          <w:sz w:val="20"/>
          <w:vertAlign w:val="baseline"/>
        </w:rPr>
        <w:t> </w:t>
      </w:r>
      <w:r>
        <w:rPr>
          <w:i/>
          <w:color w:val="333333"/>
          <w:sz w:val="20"/>
          <w:vertAlign w:val="baseline"/>
        </w:rPr>
        <w:t>of</w:t>
      </w:r>
      <w:r>
        <w:rPr>
          <w:i/>
          <w:color w:val="333333"/>
          <w:spacing w:val="-4"/>
          <w:sz w:val="20"/>
          <w:vertAlign w:val="baseline"/>
        </w:rPr>
        <w:t> </w:t>
      </w:r>
      <w:r>
        <w:rPr>
          <w:i/>
          <w:color w:val="333333"/>
          <w:sz w:val="20"/>
          <w:vertAlign w:val="baseline"/>
        </w:rPr>
        <w:t>Health:</w:t>
      </w:r>
      <w:r>
        <w:rPr>
          <w:i/>
          <w:color w:val="333333"/>
          <w:spacing w:val="-3"/>
          <w:sz w:val="20"/>
          <w:vertAlign w:val="baseline"/>
        </w:rPr>
        <w:t> </w:t>
      </w:r>
      <w:r>
        <w:rPr>
          <w:i/>
          <w:color w:val="333333"/>
          <w:sz w:val="20"/>
          <w:vertAlign w:val="baseline"/>
        </w:rPr>
        <w:t>Opportunities</w:t>
      </w:r>
      <w:r>
        <w:rPr>
          <w:i/>
          <w:color w:val="333333"/>
          <w:spacing w:val="-4"/>
          <w:sz w:val="20"/>
          <w:vertAlign w:val="baseline"/>
        </w:rPr>
        <w:t> </w:t>
      </w:r>
      <w:r>
        <w:rPr>
          <w:i/>
          <w:color w:val="333333"/>
          <w:sz w:val="20"/>
          <w:vertAlign w:val="baseline"/>
        </w:rPr>
        <w:t>for</w:t>
      </w:r>
      <w:r>
        <w:rPr>
          <w:i/>
          <w:color w:val="333333"/>
          <w:spacing w:val="-4"/>
          <w:sz w:val="20"/>
          <w:vertAlign w:val="baseline"/>
        </w:rPr>
        <w:t> </w:t>
      </w:r>
      <w:r>
        <w:rPr>
          <w:i/>
          <w:color w:val="333333"/>
          <w:sz w:val="20"/>
          <w:vertAlign w:val="baseline"/>
        </w:rPr>
        <w:t>States</w:t>
      </w:r>
      <w:r>
        <w:rPr>
          <w:color w:val="333333"/>
          <w:sz w:val="20"/>
          <w:vertAlign w:val="baseline"/>
        </w:rPr>
        <w:t>.</w:t>
      </w:r>
      <w:r>
        <w:rPr>
          <w:color w:val="333333"/>
          <w:spacing w:val="-3"/>
          <w:sz w:val="20"/>
          <w:vertAlign w:val="baseline"/>
        </w:rPr>
        <w:t> </w:t>
      </w:r>
      <w:r>
        <w:rPr>
          <w:color w:val="333333"/>
          <w:sz w:val="20"/>
          <w:vertAlign w:val="baseline"/>
        </w:rPr>
        <w:t>National Academy of Social Insurance; 2017; </w:t>
      </w:r>
      <w:hyperlink r:id="rId20">
        <w:r>
          <w:rPr>
            <w:color w:val="0000FF"/>
            <w:sz w:val="20"/>
            <w:u w:val="single" w:color="0000FF"/>
            <w:vertAlign w:val="baseline"/>
          </w:rPr>
          <w:t>https://www.nasi.org/wp-content/uploads/2017/06/Opportunities-for-</w:t>
        </w:r>
      </w:hyperlink>
      <w:r>
        <w:rPr>
          <w:color w:val="0000FF"/>
          <w:sz w:val="20"/>
          <w:vertAlign w:val="baseline"/>
        </w:rPr>
        <w:t> </w:t>
      </w:r>
      <w:hyperlink r:id="rId20">
        <w:r>
          <w:rPr>
            <w:color w:val="0000FF"/>
            <w:sz w:val="20"/>
            <w:u w:val="single" w:color="0000FF"/>
            <w:vertAlign w:val="baseline"/>
          </w:rPr>
          <w:t>States_web.pdf</w:t>
        </w:r>
        <w:r>
          <w:rPr>
            <w:color w:val="333333"/>
            <w:sz w:val="20"/>
            <w:vertAlign w:val="baseline"/>
          </w:rPr>
          <w:t>;</w:t>
        </w:r>
      </w:hyperlink>
      <w:r>
        <w:rPr>
          <w:color w:val="333333"/>
          <w:spacing w:val="-2"/>
          <w:sz w:val="20"/>
          <w:vertAlign w:val="baseline"/>
        </w:rPr>
        <w:t> </w:t>
      </w:r>
      <w:r>
        <w:rPr>
          <w:color w:val="333333"/>
          <w:sz w:val="20"/>
          <w:vertAlign w:val="baseline"/>
        </w:rPr>
        <w:t>Whitman,</w:t>
      </w:r>
      <w:r>
        <w:rPr>
          <w:color w:val="333333"/>
          <w:spacing w:val="-1"/>
          <w:sz w:val="20"/>
          <w:vertAlign w:val="baseline"/>
        </w:rPr>
        <w:t> </w:t>
      </w:r>
      <w:r>
        <w:rPr>
          <w:color w:val="333333"/>
          <w:sz w:val="20"/>
          <w:vertAlign w:val="baseline"/>
        </w:rPr>
        <w:t>A., De</w:t>
      </w:r>
      <w:r>
        <w:rPr>
          <w:color w:val="333333"/>
          <w:spacing w:val="-1"/>
          <w:sz w:val="20"/>
          <w:vertAlign w:val="baseline"/>
        </w:rPr>
        <w:t> </w:t>
      </w:r>
      <w:r>
        <w:rPr>
          <w:color w:val="333333"/>
          <w:sz w:val="20"/>
          <w:vertAlign w:val="baseline"/>
        </w:rPr>
        <w:t>Lew,</w:t>
      </w:r>
      <w:r>
        <w:rPr>
          <w:color w:val="333333"/>
          <w:spacing w:val="-1"/>
          <w:sz w:val="20"/>
          <w:vertAlign w:val="baseline"/>
        </w:rPr>
        <w:t> </w:t>
      </w:r>
      <w:r>
        <w:rPr>
          <w:color w:val="333333"/>
          <w:sz w:val="20"/>
          <w:vertAlign w:val="baseline"/>
        </w:rPr>
        <w:t>N.,</w:t>
      </w:r>
      <w:r>
        <w:rPr>
          <w:color w:val="333333"/>
          <w:spacing w:val="-1"/>
          <w:sz w:val="20"/>
          <w:vertAlign w:val="baseline"/>
        </w:rPr>
        <w:t> </w:t>
      </w:r>
      <w:r>
        <w:rPr>
          <w:color w:val="333333"/>
          <w:sz w:val="20"/>
          <w:vertAlign w:val="baseline"/>
        </w:rPr>
        <w:t>Chappel,</w:t>
      </w:r>
      <w:r>
        <w:rPr>
          <w:color w:val="333333"/>
          <w:spacing w:val="-1"/>
          <w:sz w:val="20"/>
          <w:vertAlign w:val="baseline"/>
        </w:rPr>
        <w:t> </w:t>
      </w:r>
      <w:r>
        <w:rPr>
          <w:color w:val="333333"/>
          <w:sz w:val="20"/>
          <w:vertAlign w:val="baseline"/>
        </w:rPr>
        <w:t>A.,</w:t>
      </w:r>
      <w:r>
        <w:rPr>
          <w:color w:val="333333"/>
          <w:spacing w:val="-1"/>
          <w:sz w:val="20"/>
          <w:vertAlign w:val="baseline"/>
        </w:rPr>
        <w:t> </w:t>
      </w:r>
      <w:r>
        <w:rPr>
          <w:color w:val="333333"/>
          <w:sz w:val="20"/>
          <w:vertAlign w:val="baseline"/>
        </w:rPr>
        <w:t>et</w:t>
      </w:r>
      <w:r>
        <w:rPr>
          <w:color w:val="333333"/>
          <w:spacing w:val="-1"/>
          <w:sz w:val="20"/>
          <w:vertAlign w:val="baseline"/>
        </w:rPr>
        <w:t> </w:t>
      </w:r>
      <w:r>
        <w:rPr>
          <w:color w:val="333333"/>
          <w:sz w:val="20"/>
          <w:vertAlign w:val="baseline"/>
        </w:rPr>
        <w:t>al. </w:t>
      </w:r>
      <w:r>
        <w:rPr>
          <w:i/>
          <w:color w:val="333333"/>
          <w:sz w:val="20"/>
          <w:vertAlign w:val="baseline"/>
        </w:rPr>
        <w:t>Addressing Social</w:t>
      </w:r>
      <w:r>
        <w:rPr>
          <w:i/>
          <w:color w:val="333333"/>
          <w:spacing w:val="-2"/>
          <w:sz w:val="20"/>
          <w:vertAlign w:val="baseline"/>
        </w:rPr>
        <w:t> </w:t>
      </w:r>
      <w:r>
        <w:rPr>
          <w:i/>
          <w:color w:val="333333"/>
          <w:sz w:val="20"/>
          <w:vertAlign w:val="baseline"/>
        </w:rPr>
        <w:t>Determinants</w:t>
      </w:r>
      <w:r>
        <w:rPr>
          <w:i/>
          <w:color w:val="333333"/>
          <w:spacing w:val="-2"/>
          <w:sz w:val="20"/>
          <w:vertAlign w:val="baseline"/>
        </w:rPr>
        <w:t> </w:t>
      </w:r>
      <w:r>
        <w:rPr>
          <w:i/>
          <w:color w:val="333333"/>
          <w:sz w:val="20"/>
          <w:vertAlign w:val="baseline"/>
        </w:rPr>
        <w:t>of</w:t>
      </w:r>
      <w:r>
        <w:rPr>
          <w:i/>
          <w:color w:val="333333"/>
          <w:spacing w:val="-2"/>
          <w:sz w:val="20"/>
          <w:vertAlign w:val="baseline"/>
        </w:rPr>
        <w:t> </w:t>
      </w:r>
      <w:r>
        <w:rPr>
          <w:i/>
          <w:color w:val="333333"/>
          <w:sz w:val="20"/>
          <w:vertAlign w:val="baseline"/>
        </w:rPr>
        <w:t>Health:</w:t>
      </w:r>
      <w:r>
        <w:rPr>
          <w:i/>
          <w:color w:val="333333"/>
          <w:spacing w:val="-1"/>
          <w:sz w:val="20"/>
          <w:vertAlign w:val="baseline"/>
        </w:rPr>
        <w:t> </w:t>
      </w:r>
      <w:r>
        <w:rPr>
          <w:i/>
          <w:color w:val="333333"/>
          <w:sz w:val="20"/>
          <w:vertAlign w:val="baseline"/>
        </w:rPr>
        <w:t>Examples</w:t>
      </w:r>
      <w:r>
        <w:rPr>
          <w:i/>
          <w:color w:val="333333"/>
          <w:sz w:val="20"/>
          <w:vertAlign w:val="baseline"/>
        </w:rPr>
        <w:t> of Successful Evidence-Based Strategies and Current Federal Efforts</w:t>
      </w:r>
      <w:r>
        <w:rPr>
          <w:color w:val="333333"/>
          <w:sz w:val="20"/>
          <w:vertAlign w:val="baseline"/>
        </w:rPr>
        <w:t>. Assistant Secretary for Planning and Evaluation; 2022; </w:t>
      </w:r>
      <w:hyperlink r:id="rId14">
        <w:r>
          <w:rPr>
            <w:color w:val="0000FF"/>
            <w:sz w:val="20"/>
            <w:u w:val="single" w:color="0000FF"/>
            <w:vertAlign w:val="baseline"/>
          </w:rPr>
          <w:t>https://aspe.hhs.gov/sites/default/files/documents/e2b650cd64cf84aae8ff0fae7474af82/SDOH-</w:t>
        </w:r>
      </w:hyperlink>
      <w:r>
        <w:rPr>
          <w:color w:val="0000FF"/>
          <w:sz w:val="20"/>
          <w:vertAlign w:val="baseline"/>
        </w:rPr>
        <w:t> </w:t>
      </w:r>
      <w:hyperlink r:id="rId14">
        <w:r>
          <w:rPr>
            <w:color w:val="0000FF"/>
            <w:spacing w:val="-2"/>
            <w:sz w:val="20"/>
            <w:u w:val="single" w:color="0000FF"/>
            <w:vertAlign w:val="baseline"/>
          </w:rPr>
          <w:t>Evidence-Review.pdf</w:t>
        </w:r>
        <w:r>
          <w:rPr>
            <w:color w:val="333333"/>
            <w:spacing w:val="-2"/>
            <w:sz w:val="20"/>
            <w:vertAlign w:val="baseline"/>
          </w:rPr>
          <w:t>.</w:t>
        </w:r>
      </w:hyperlink>
    </w:p>
    <w:p>
      <w:pPr>
        <w:spacing w:after="0" w:line="240" w:lineRule="auto"/>
        <w:jc w:val="left"/>
        <w:rPr>
          <w:sz w:val="20"/>
        </w:rPr>
        <w:sectPr>
          <w:pgSz w:w="12240" w:h="15840"/>
          <w:pgMar w:top="640" w:bottom="280" w:left="0" w:right="220"/>
        </w:sectPr>
      </w:pPr>
    </w:p>
    <w:p>
      <w:pPr>
        <w:pStyle w:val="BodyText"/>
        <w:spacing w:before="79"/>
        <w:ind w:right="1218"/>
        <w:jc w:val="right"/>
      </w:pPr>
      <w:r>
        <w:rPr/>
        <w:t>Page</w:t>
      </w:r>
      <w:r>
        <w:rPr>
          <w:spacing w:val="-5"/>
        </w:rPr>
        <w:t> 11</w:t>
      </w:r>
    </w:p>
    <w:p>
      <w:pPr>
        <w:pStyle w:val="BodyText"/>
        <w:spacing w:before="7"/>
        <w:rPr>
          <w:sz w:val="38"/>
        </w:rPr>
      </w:pPr>
    </w:p>
    <w:p>
      <w:pPr>
        <w:pStyle w:val="BodyText"/>
        <w:ind w:left="1440" w:right="1239"/>
      </w:pPr>
      <w:r>
        <w:rPr/>
        <w:t>the</w:t>
      </w:r>
      <w:r>
        <w:rPr>
          <w:spacing w:val="-2"/>
        </w:rPr>
        <w:t> </w:t>
      </w:r>
      <w:r>
        <w:rPr/>
        <w:t>state</w:t>
      </w:r>
      <w:r>
        <w:rPr>
          <w:spacing w:val="-2"/>
        </w:rPr>
        <w:t> </w:t>
      </w:r>
      <w:r>
        <w:rPr/>
        <w:t>the</w:t>
      </w:r>
      <w:r>
        <w:rPr>
          <w:spacing w:val="-3"/>
        </w:rPr>
        <w:t> </w:t>
      </w:r>
      <w:r>
        <w:rPr/>
        <w:t>flexibility</w:t>
      </w:r>
      <w:r>
        <w:rPr>
          <w:spacing w:val="-10"/>
        </w:rPr>
        <w:t> </w:t>
      </w:r>
      <w:r>
        <w:rPr/>
        <w:t>to test</w:t>
      </w:r>
      <w:r>
        <w:rPr>
          <w:spacing w:val="-2"/>
        </w:rPr>
        <w:t> </w:t>
      </w:r>
      <w:r>
        <w:rPr/>
        <w:t>these</w:t>
      </w:r>
      <w:r>
        <w:rPr>
          <w:spacing w:val="-3"/>
        </w:rPr>
        <w:t> </w:t>
      </w:r>
      <w:r>
        <w:rPr/>
        <w:t>worthy</w:t>
      </w:r>
      <w:r>
        <w:rPr>
          <w:spacing w:val="-7"/>
        </w:rPr>
        <w:t> </w:t>
      </w:r>
      <w:r>
        <w:rPr/>
        <w:t>innovations,</w:t>
      </w:r>
      <w:r>
        <w:rPr>
          <w:spacing w:val="-2"/>
        </w:rPr>
        <w:t> </w:t>
      </w:r>
      <w:r>
        <w:rPr/>
        <w:t>especially</w:t>
      </w:r>
      <w:r>
        <w:rPr>
          <w:spacing w:val="-5"/>
        </w:rPr>
        <w:t> </w:t>
      </w:r>
      <w:r>
        <w:rPr/>
        <w:t>as</w:t>
      </w:r>
      <w:r>
        <w:rPr>
          <w:spacing w:val="-2"/>
        </w:rPr>
        <w:t> </w:t>
      </w:r>
      <w:r>
        <w:rPr/>
        <w:t>CMS</w:t>
      </w:r>
      <w:r>
        <w:rPr>
          <w:spacing w:val="-2"/>
        </w:rPr>
        <w:t> </w:t>
      </w:r>
      <w:r>
        <w:rPr/>
        <w:t>anticipates</w:t>
      </w:r>
      <w:r>
        <w:rPr>
          <w:spacing w:val="-2"/>
        </w:rPr>
        <w:t> </w:t>
      </w:r>
      <w:r>
        <w:rPr/>
        <w:t>that</w:t>
      </w:r>
      <w:r>
        <w:rPr>
          <w:spacing w:val="-2"/>
        </w:rPr>
        <w:t> </w:t>
      </w:r>
      <w:r>
        <w:rPr/>
        <w:t>they might result in overall reductions in future Medicaid program costs.</w:t>
      </w:r>
    </w:p>
    <w:p>
      <w:pPr>
        <w:pStyle w:val="BodyText"/>
      </w:pPr>
    </w:p>
    <w:p>
      <w:pPr>
        <w:pStyle w:val="BodyText"/>
        <w:ind w:left="1440" w:right="1264"/>
      </w:pPr>
      <w:r>
        <w:rPr/>
        <w:t>Historically, CMS has often authorized expenditures through section 1115 demonstrations subject to expenditure limits.</w:t>
      </w:r>
      <w:r>
        <w:rPr>
          <w:spacing w:val="40"/>
        </w:rPr>
        <w:t> </w:t>
      </w:r>
      <w:r>
        <w:rPr/>
        <w:t>In this case, to ensure that treating certain HRSN expenditures as hypothetical will not have a significant negative impact on Medicaid fiscal program integrity, CMS is applying a budget neutrality spending cap to HRSN services expenditures and an additional</w:t>
      </w:r>
      <w:r>
        <w:rPr>
          <w:spacing w:val="-4"/>
        </w:rPr>
        <w:t> </w:t>
      </w:r>
      <w:r>
        <w:rPr/>
        <w:t>sub-cap</w:t>
      </w:r>
      <w:r>
        <w:rPr>
          <w:spacing w:val="-4"/>
        </w:rPr>
        <w:t> </w:t>
      </w:r>
      <w:r>
        <w:rPr/>
        <w:t>to</w:t>
      </w:r>
      <w:r>
        <w:rPr>
          <w:spacing w:val="-4"/>
        </w:rPr>
        <w:t> </w:t>
      </w:r>
      <w:r>
        <w:rPr/>
        <w:t>HRSN</w:t>
      </w:r>
      <w:r>
        <w:rPr>
          <w:spacing w:val="-4"/>
        </w:rPr>
        <w:t> </w:t>
      </w:r>
      <w:r>
        <w:rPr/>
        <w:t>infrastructure</w:t>
      </w:r>
      <w:r>
        <w:rPr>
          <w:spacing w:val="-5"/>
        </w:rPr>
        <w:t> </w:t>
      </w:r>
      <w:r>
        <w:rPr/>
        <w:t>expenditures,</w:t>
      </w:r>
      <w:r>
        <w:rPr>
          <w:spacing w:val="-4"/>
        </w:rPr>
        <w:t> </w:t>
      </w:r>
      <w:r>
        <w:rPr/>
        <w:t>and</w:t>
      </w:r>
      <w:r>
        <w:rPr>
          <w:spacing w:val="-4"/>
        </w:rPr>
        <w:t> </w:t>
      </w:r>
      <w:r>
        <w:rPr/>
        <w:t>is</w:t>
      </w:r>
      <w:r>
        <w:rPr>
          <w:spacing w:val="-4"/>
        </w:rPr>
        <w:t> </w:t>
      </w:r>
      <w:r>
        <w:rPr/>
        <w:t>referring</w:t>
      </w:r>
      <w:r>
        <w:rPr>
          <w:spacing w:val="-7"/>
        </w:rPr>
        <w:t> </w:t>
      </w:r>
      <w:r>
        <w:rPr/>
        <w:t>to</w:t>
      </w:r>
      <w:r>
        <w:rPr>
          <w:spacing w:val="-2"/>
        </w:rPr>
        <w:t> </w:t>
      </w:r>
      <w:r>
        <w:rPr/>
        <w:t>these</w:t>
      </w:r>
      <w:r>
        <w:rPr>
          <w:spacing w:val="-6"/>
        </w:rPr>
        <w:t> </w:t>
      </w:r>
      <w:r>
        <w:rPr/>
        <w:t>expenditures as “capped hypothetical expenditures” in the STCs.</w:t>
      </w:r>
      <w:r>
        <w:rPr>
          <w:spacing w:val="40"/>
        </w:rPr>
        <w:t> </w:t>
      </w:r>
      <w:r>
        <w:rPr/>
        <w:t>The caps on expenditures for these HRSN services and related infrastructure activities differ from the usual limit CMS places on</w:t>
      </w:r>
    </w:p>
    <w:p>
      <w:pPr>
        <w:pStyle w:val="BodyText"/>
        <w:spacing w:before="1"/>
        <w:ind w:left="1440" w:right="1239"/>
      </w:pPr>
      <w:r>
        <w:rPr/>
        <w:t>hypothetical expenditures under the “supplemental test” discussed above in several respects. First, ordinarily, if a state exceeds the hypothetical expenditure limit it can offset the additional costs</w:t>
      </w:r>
      <w:r>
        <w:rPr>
          <w:spacing w:val="-2"/>
        </w:rPr>
        <w:t> </w:t>
      </w:r>
      <w:r>
        <w:rPr/>
        <w:t>with</w:t>
      </w:r>
      <w:r>
        <w:rPr>
          <w:spacing w:val="-2"/>
        </w:rPr>
        <w:t> </w:t>
      </w:r>
      <w:r>
        <w:rPr/>
        <w:t>savings</w:t>
      </w:r>
      <w:r>
        <w:rPr>
          <w:spacing w:val="-2"/>
        </w:rPr>
        <w:t> </w:t>
      </w:r>
      <w:r>
        <w:rPr/>
        <w:t>from</w:t>
      </w:r>
      <w:r>
        <w:rPr>
          <w:spacing w:val="-2"/>
        </w:rPr>
        <w:t> </w:t>
      </w:r>
      <w:r>
        <w:rPr/>
        <w:t>the</w:t>
      </w:r>
      <w:r>
        <w:rPr>
          <w:spacing w:val="-3"/>
        </w:rPr>
        <w:t> </w:t>
      </w:r>
      <w:r>
        <w:rPr/>
        <w:t>rest</w:t>
      </w:r>
      <w:r>
        <w:rPr>
          <w:spacing w:val="-2"/>
        </w:rPr>
        <w:t> </w:t>
      </w:r>
      <w:r>
        <w:rPr/>
        <w:t>of</w:t>
      </w:r>
      <w:r>
        <w:rPr>
          <w:spacing w:val="-2"/>
        </w:rPr>
        <w:t> </w:t>
      </w:r>
      <w:r>
        <w:rPr/>
        <w:t>the</w:t>
      </w:r>
      <w:r>
        <w:rPr>
          <w:spacing w:val="-2"/>
        </w:rPr>
        <w:t> </w:t>
      </w:r>
      <w:r>
        <w:rPr/>
        <w:t>demonstration.</w:t>
      </w:r>
      <w:r>
        <w:rPr>
          <w:spacing w:val="40"/>
        </w:rPr>
        <w:t> </w:t>
      </w:r>
      <w:r>
        <w:rPr/>
        <w:t>That</w:t>
      </w:r>
      <w:r>
        <w:rPr>
          <w:spacing w:val="-2"/>
        </w:rPr>
        <w:t> </w:t>
      </w:r>
      <w:r>
        <w:rPr/>
        <w:t>will</w:t>
      </w:r>
      <w:r>
        <w:rPr>
          <w:spacing w:val="-2"/>
        </w:rPr>
        <w:t> </w:t>
      </w:r>
      <w:r>
        <w:rPr/>
        <w:t>not</w:t>
      </w:r>
      <w:r>
        <w:rPr>
          <w:spacing w:val="-2"/>
        </w:rPr>
        <w:t> </w:t>
      </w:r>
      <w:r>
        <w:rPr/>
        <w:t>be</w:t>
      </w:r>
      <w:r>
        <w:rPr>
          <w:spacing w:val="-3"/>
        </w:rPr>
        <w:t> </w:t>
      </w:r>
      <w:r>
        <w:rPr/>
        <w:t>permitted</w:t>
      </w:r>
      <w:r>
        <w:rPr>
          <w:spacing w:val="-2"/>
        </w:rPr>
        <w:t> </w:t>
      </w:r>
      <w:r>
        <w:rPr/>
        <w:t>with</w:t>
      </w:r>
      <w:r>
        <w:rPr>
          <w:spacing w:val="-2"/>
        </w:rPr>
        <w:t> </w:t>
      </w:r>
      <w:r>
        <w:rPr/>
        <w:t>the</w:t>
      </w:r>
      <w:r>
        <w:rPr>
          <w:spacing w:val="-3"/>
        </w:rPr>
        <w:t> </w:t>
      </w:r>
      <w:r>
        <w:rPr/>
        <w:t>HRSN expenditures.</w:t>
      </w:r>
      <w:r>
        <w:rPr>
          <w:spacing w:val="40"/>
        </w:rPr>
        <w:t> </w:t>
      </w:r>
      <w:r>
        <w:rPr/>
        <w:t>However, unspent expenditure authority allocated for HRSN infrastructure in a given</w:t>
      </w:r>
      <w:r>
        <w:rPr>
          <w:spacing w:val="-3"/>
        </w:rPr>
        <w:t> </w:t>
      </w:r>
      <w:r>
        <w:rPr/>
        <w:t>demonstration</w:t>
      </w:r>
      <w:r>
        <w:rPr>
          <w:spacing w:val="-2"/>
        </w:rPr>
        <w:t> </w:t>
      </w:r>
      <w:r>
        <w:rPr/>
        <w:t>year</w:t>
      </w:r>
      <w:r>
        <w:rPr>
          <w:spacing w:val="-3"/>
        </w:rPr>
        <w:t> </w:t>
      </w:r>
      <w:r>
        <w:rPr/>
        <w:t>can</w:t>
      </w:r>
      <w:r>
        <w:rPr>
          <w:spacing w:val="-3"/>
        </w:rPr>
        <w:t> </w:t>
      </w:r>
      <w:r>
        <w:rPr/>
        <w:t>be</w:t>
      </w:r>
      <w:r>
        <w:rPr>
          <w:spacing w:val="-3"/>
        </w:rPr>
        <w:t> </w:t>
      </w:r>
      <w:r>
        <w:rPr/>
        <w:t>applied</w:t>
      </w:r>
      <w:r>
        <w:rPr>
          <w:spacing w:val="-3"/>
        </w:rPr>
        <w:t> </w:t>
      </w:r>
      <w:r>
        <w:rPr/>
        <w:t>to</w:t>
      </w:r>
      <w:r>
        <w:rPr>
          <w:spacing w:val="-3"/>
        </w:rPr>
        <w:t> </w:t>
      </w:r>
      <w:r>
        <w:rPr/>
        <w:t>HRSN</w:t>
      </w:r>
      <w:r>
        <w:rPr>
          <w:spacing w:val="-3"/>
        </w:rPr>
        <w:t> </w:t>
      </w:r>
      <w:r>
        <w:rPr/>
        <w:t>services</w:t>
      </w:r>
      <w:r>
        <w:rPr>
          <w:spacing w:val="-3"/>
        </w:rPr>
        <w:t> </w:t>
      </w:r>
      <w:r>
        <w:rPr/>
        <w:t>in</w:t>
      </w:r>
      <w:r>
        <w:rPr>
          <w:spacing w:val="-3"/>
        </w:rPr>
        <w:t> </w:t>
      </w:r>
      <w:r>
        <w:rPr/>
        <w:t>the</w:t>
      </w:r>
      <w:r>
        <w:rPr>
          <w:spacing w:val="-4"/>
        </w:rPr>
        <w:t> </w:t>
      </w:r>
      <w:r>
        <w:rPr/>
        <w:t>same</w:t>
      </w:r>
      <w:r>
        <w:rPr>
          <w:spacing w:val="-4"/>
        </w:rPr>
        <w:t> </w:t>
      </w:r>
      <w:r>
        <w:rPr/>
        <w:t>demonstration</w:t>
      </w:r>
      <w:r>
        <w:rPr>
          <w:spacing w:val="-2"/>
        </w:rPr>
        <w:t> </w:t>
      </w:r>
      <w:r>
        <w:rPr/>
        <w:t>year.</w:t>
      </w:r>
      <w:r>
        <w:rPr>
          <w:spacing w:val="40"/>
        </w:rPr>
        <w:t> </w:t>
      </w:r>
      <w:r>
        <w:rPr/>
        <w:t>Any unspent HRSN services expenditure authority may not be used to fund HRSN infrastructure.</w:t>
      </w:r>
    </w:p>
    <w:p>
      <w:pPr>
        <w:pStyle w:val="BodyText"/>
        <w:ind w:left="1440" w:right="1239"/>
      </w:pPr>
      <w:r>
        <w:rPr/>
        <w:t>Second, the expenditures subject to the cap are narrowly defined to reflect only expenditures associated with services that research indicates are likely to have certain positive downstream effects,</w:t>
      </w:r>
      <w:r>
        <w:rPr>
          <w:spacing w:val="-1"/>
        </w:rPr>
        <w:t> </w:t>
      </w:r>
      <w:r>
        <w:rPr/>
        <w:t>as</w:t>
      </w:r>
      <w:r>
        <w:rPr>
          <w:spacing w:val="-1"/>
        </w:rPr>
        <w:t> </w:t>
      </w:r>
      <w:r>
        <w:rPr/>
        <w:t>discussed above.</w:t>
      </w:r>
      <w:r>
        <w:rPr>
          <w:spacing w:val="40"/>
        </w:rPr>
        <w:t> </w:t>
      </w:r>
      <w:r>
        <w:rPr/>
        <w:t>Third,</w:t>
      </w:r>
      <w:r>
        <w:rPr>
          <w:spacing w:val="-1"/>
        </w:rPr>
        <w:t> </w:t>
      </w:r>
      <w:r>
        <w:rPr/>
        <w:t>the</w:t>
      </w:r>
      <w:r>
        <w:rPr>
          <w:spacing w:val="-2"/>
        </w:rPr>
        <w:t> </w:t>
      </w:r>
      <w:r>
        <w:rPr/>
        <w:t>upper</w:t>
      </w:r>
      <w:r>
        <w:rPr>
          <w:spacing w:val="-1"/>
        </w:rPr>
        <w:t> </w:t>
      </w:r>
      <w:r>
        <w:rPr/>
        <w:t>limit</w:t>
      </w:r>
      <w:r>
        <w:rPr>
          <w:spacing w:val="-1"/>
        </w:rPr>
        <w:t> </w:t>
      </w:r>
      <w:r>
        <w:rPr/>
        <w:t>on</w:t>
      </w:r>
      <w:r>
        <w:rPr>
          <w:spacing w:val="-1"/>
        </w:rPr>
        <w:t> </w:t>
      </w:r>
      <w:r>
        <w:rPr/>
        <w:t>the</w:t>
      </w:r>
      <w:r>
        <w:rPr>
          <w:spacing w:val="-2"/>
        </w:rPr>
        <w:t> </w:t>
      </w:r>
      <w:r>
        <w:rPr/>
        <w:t>cap</w:t>
      </w:r>
      <w:r>
        <w:rPr>
          <w:spacing w:val="-1"/>
        </w:rPr>
        <w:t> </w:t>
      </w:r>
      <w:r>
        <w:rPr/>
        <w:t>is</w:t>
      </w:r>
      <w:r>
        <w:rPr>
          <w:spacing w:val="-1"/>
        </w:rPr>
        <w:t> </w:t>
      </w:r>
      <w:r>
        <w:rPr/>
        <w:t>based</w:t>
      </w:r>
      <w:r>
        <w:rPr>
          <w:spacing w:val="-1"/>
        </w:rPr>
        <w:t> </w:t>
      </w:r>
      <w:r>
        <w:rPr/>
        <w:t>on a range of estimates</w:t>
      </w:r>
      <w:r>
        <w:rPr>
          <w:spacing w:val="-1"/>
        </w:rPr>
        <w:t> </w:t>
      </w:r>
      <w:r>
        <w:rPr/>
        <w:t>of the likely</w:t>
      </w:r>
      <w:r>
        <w:rPr>
          <w:spacing w:val="-4"/>
        </w:rPr>
        <w:t> </w:t>
      </w:r>
      <w:r>
        <w:rPr/>
        <w:t>cost of these expenditures over the course of a 5-year period, and set at a mid-point in that</w:t>
      </w:r>
      <w:r>
        <w:rPr>
          <w:spacing w:val="-3"/>
        </w:rPr>
        <w:t> </w:t>
      </w:r>
      <w:r>
        <w:rPr/>
        <w:t>range.</w:t>
      </w:r>
      <w:r>
        <w:rPr>
          <w:spacing w:val="40"/>
        </w:rPr>
        <w:t> </w:t>
      </w:r>
      <w:r>
        <w:rPr/>
        <w:t>While</w:t>
      </w:r>
      <w:r>
        <w:rPr>
          <w:spacing w:val="-4"/>
        </w:rPr>
        <w:t> </w:t>
      </w:r>
      <w:r>
        <w:rPr/>
        <w:t>this</w:t>
      </w:r>
      <w:r>
        <w:rPr>
          <w:spacing w:val="-3"/>
        </w:rPr>
        <w:t> </w:t>
      </w:r>
      <w:r>
        <w:rPr/>
        <w:t>cap</w:t>
      </w:r>
      <w:r>
        <w:rPr>
          <w:spacing w:val="-3"/>
        </w:rPr>
        <w:t> </w:t>
      </w:r>
      <w:r>
        <w:rPr/>
        <w:t>deviates</w:t>
      </w:r>
      <w:r>
        <w:rPr>
          <w:spacing w:val="-3"/>
        </w:rPr>
        <w:t> </w:t>
      </w:r>
      <w:r>
        <w:rPr/>
        <w:t>from</w:t>
      </w:r>
      <w:r>
        <w:rPr>
          <w:spacing w:val="-3"/>
        </w:rPr>
        <w:t> </w:t>
      </w:r>
      <w:r>
        <w:rPr/>
        <w:t>the</w:t>
      </w:r>
      <w:r>
        <w:rPr>
          <w:spacing w:val="-4"/>
        </w:rPr>
        <w:t> </w:t>
      </w:r>
      <w:r>
        <w:rPr/>
        <w:t>traditional</w:t>
      </w:r>
      <w:r>
        <w:rPr>
          <w:spacing w:val="-3"/>
        </w:rPr>
        <w:t> </w:t>
      </w:r>
      <w:r>
        <w:rPr/>
        <w:t>approach</w:t>
      </w:r>
      <w:r>
        <w:rPr>
          <w:spacing w:val="-3"/>
        </w:rPr>
        <w:t> </w:t>
      </w:r>
      <w:r>
        <w:rPr/>
        <w:t>to</w:t>
      </w:r>
      <w:r>
        <w:rPr>
          <w:spacing w:val="-3"/>
        </w:rPr>
        <w:t> </w:t>
      </w:r>
      <w:r>
        <w:rPr/>
        <w:t>hypothetical</w:t>
      </w:r>
      <w:r>
        <w:rPr>
          <w:spacing w:val="-3"/>
        </w:rPr>
        <w:t> </w:t>
      </w:r>
      <w:r>
        <w:rPr/>
        <w:t>expenditures,</w:t>
      </w:r>
      <w:r>
        <w:rPr>
          <w:spacing w:val="-3"/>
        </w:rPr>
        <w:t> </w:t>
      </w:r>
      <w:r>
        <w:rPr/>
        <w:t>it is consistent with CMS’s historical approach to maintaining budget neutrality in Medicaid demonstrations</w:t>
      </w:r>
      <w:r>
        <w:rPr>
          <w:spacing w:val="-2"/>
        </w:rPr>
        <w:t> </w:t>
      </w:r>
      <w:r>
        <w:rPr/>
        <w:t>and</w:t>
      </w:r>
      <w:r>
        <w:rPr>
          <w:spacing w:val="-2"/>
        </w:rPr>
        <w:t> </w:t>
      </w:r>
      <w:r>
        <w:rPr/>
        <w:t>it</w:t>
      </w:r>
      <w:r>
        <w:rPr>
          <w:spacing w:val="-2"/>
        </w:rPr>
        <w:t> </w:t>
      </w:r>
      <w:r>
        <w:rPr/>
        <w:t>does</w:t>
      </w:r>
      <w:r>
        <w:rPr>
          <w:spacing w:val="-2"/>
        </w:rPr>
        <w:t> </w:t>
      </w:r>
      <w:r>
        <w:rPr/>
        <w:t>not</w:t>
      </w:r>
      <w:r>
        <w:rPr>
          <w:spacing w:val="-2"/>
        </w:rPr>
        <w:t> </w:t>
      </w:r>
      <w:r>
        <w:rPr/>
        <w:t>alter</w:t>
      </w:r>
      <w:r>
        <w:rPr>
          <w:spacing w:val="-2"/>
        </w:rPr>
        <w:t> </w:t>
      </w:r>
      <w:r>
        <w:rPr/>
        <w:t>the</w:t>
      </w:r>
      <w:r>
        <w:rPr>
          <w:spacing w:val="-4"/>
        </w:rPr>
        <w:t> </w:t>
      </w:r>
      <w:r>
        <w:rPr/>
        <w:t>underlying</w:t>
      </w:r>
      <w:r>
        <w:rPr>
          <w:spacing w:val="-5"/>
        </w:rPr>
        <w:t> </w:t>
      </w:r>
      <w:r>
        <w:rPr/>
        <w:t>financing</w:t>
      </w:r>
      <w:r>
        <w:rPr>
          <w:spacing w:val="-5"/>
        </w:rPr>
        <w:t> </w:t>
      </w:r>
      <w:r>
        <w:rPr/>
        <w:t>structure</w:t>
      </w:r>
      <w:r>
        <w:rPr>
          <w:spacing w:val="-3"/>
        </w:rPr>
        <w:t> </w:t>
      </w:r>
      <w:r>
        <w:rPr/>
        <w:t>of</w:t>
      </w:r>
      <w:r>
        <w:rPr>
          <w:spacing w:val="-2"/>
        </w:rPr>
        <w:t> </w:t>
      </w:r>
      <w:r>
        <w:rPr/>
        <w:t>the</w:t>
      </w:r>
      <w:r>
        <w:rPr>
          <w:spacing w:val="-3"/>
        </w:rPr>
        <w:t> </w:t>
      </w:r>
      <w:r>
        <w:rPr/>
        <w:t>Medicaid</w:t>
      </w:r>
      <w:r>
        <w:rPr>
          <w:spacing w:val="-2"/>
        </w:rPr>
        <w:t> </w:t>
      </w:r>
      <w:r>
        <w:rPr/>
        <w:t>program. This cap will ensure that the state maintains its investment in the state plan benefits to which enrollees are entitled while testing the benefit of the HRSN services described above.</w:t>
      </w:r>
      <w:r>
        <w:rPr>
          <w:spacing w:val="40"/>
        </w:rPr>
        <w:t> </w:t>
      </w:r>
      <w:r>
        <w:rPr/>
        <w:t>This cap will not apply to any other benefits or services.</w:t>
      </w:r>
    </w:p>
    <w:p>
      <w:pPr>
        <w:pStyle w:val="BodyText"/>
        <w:spacing w:before="1"/>
      </w:pPr>
    </w:p>
    <w:p>
      <w:pPr>
        <w:pStyle w:val="BodyText"/>
        <w:ind w:left="1440" w:right="1222"/>
      </w:pPr>
      <w:r>
        <w:rPr/>
        <w:t>Finally, CMS is revising</w:t>
      </w:r>
      <w:r>
        <w:rPr>
          <w:spacing w:val="-1"/>
        </w:rPr>
        <w:t> </w:t>
      </w:r>
      <w:r>
        <w:rPr/>
        <w:t>the approach to adjusting the</w:t>
      </w:r>
      <w:r>
        <w:rPr>
          <w:spacing w:val="-1"/>
        </w:rPr>
        <w:t> </w:t>
      </w:r>
      <w:r>
        <w:rPr/>
        <w:t>budget neutrality</w:t>
      </w:r>
      <w:r>
        <w:rPr>
          <w:spacing w:val="-5"/>
        </w:rPr>
        <w:t> </w:t>
      </w:r>
      <w:r>
        <w:rPr/>
        <w:t>calculation in the middle of a demonstration approval period.</w:t>
      </w:r>
      <w:r>
        <w:rPr>
          <w:spacing w:val="80"/>
        </w:rPr>
        <w:t> </w:t>
      </w:r>
      <w:r>
        <w:rPr/>
        <w:t>Historically, CMS has limited its review of state requests</w:t>
      </w:r>
      <w:r>
        <w:rPr>
          <w:spacing w:val="40"/>
        </w:rPr>
        <w:t> </w:t>
      </w:r>
      <w:r>
        <w:rPr/>
        <w:t>for “mid-course” budget neutrality adjustments to situations that necessitate a corrective action plan, in which projected expenditure data indicate a state is likely to exceed its budget neutrality expenditure</w:t>
      </w:r>
      <w:r>
        <w:rPr>
          <w:spacing w:val="-5"/>
        </w:rPr>
        <w:t> </w:t>
      </w:r>
      <w:r>
        <w:rPr/>
        <w:t>limit.</w:t>
      </w:r>
      <w:r>
        <w:rPr>
          <w:spacing w:val="40"/>
        </w:rPr>
        <w:t> </w:t>
      </w:r>
      <w:r>
        <w:rPr/>
        <w:t>CMS</w:t>
      </w:r>
      <w:r>
        <w:rPr>
          <w:spacing w:val="-5"/>
        </w:rPr>
        <w:t> </w:t>
      </w:r>
      <w:r>
        <w:rPr/>
        <w:t>has</w:t>
      </w:r>
      <w:r>
        <w:rPr>
          <w:spacing w:val="-3"/>
        </w:rPr>
        <w:t> </w:t>
      </w:r>
      <w:r>
        <w:rPr/>
        <w:t>updated</w:t>
      </w:r>
      <w:r>
        <w:rPr>
          <w:spacing w:val="-3"/>
        </w:rPr>
        <w:t> </w:t>
      </w:r>
      <w:r>
        <w:rPr/>
        <w:t>its</w:t>
      </w:r>
      <w:r>
        <w:rPr>
          <w:spacing w:val="-3"/>
        </w:rPr>
        <w:t> </w:t>
      </w:r>
      <w:r>
        <w:rPr/>
        <w:t>approach</w:t>
      </w:r>
      <w:r>
        <w:rPr>
          <w:spacing w:val="-1"/>
        </w:rPr>
        <w:t> </w:t>
      </w:r>
      <w:r>
        <w:rPr/>
        <w:t>to</w:t>
      </w:r>
      <w:r>
        <w:rPr>
          <w:spacing w:val="-3"/>
        </w:rPr>
        <w:t> </w:t>
      </w:r>
      <w:r>
        <w:rPr/>
        <w:t>mid-course</w:t>
      </w:r>
      <w:r>
        <w:rPr>
          <w:spacing w:val="-5"/>
        </w:rPr>
        <w:t> </w:t>
      </w:r>
      <w:r>
        <w:rPr/>
        <w:t>corrections</w:t>
      </w:r>
      <w:r>
        <w:rPr>
          <w:spacing w:val="-1"/>
        </w:rPr>
        <w:t> </w:t>
      </w:r>
      <w:r>
        <w:rPr/>
        <w:t>in</w:t>
      </w:r>
      <w:r>
        <w:rPr>
          <w:spacing w:val="-3"/>
        </w:rPr>
        <w:t> </w:t>
      </w:r>
      <w:r>
        <w:rPr/>
        <w:t>this</w:t>
      </w:r>
      <w:r>
        <w:rPr>
          <w:spacing w:val="-3"/>
        </w:rPr>
        <w:t> </w:t>
      </w:r>
      <w:r>
        <w:rPr/>
        <w:t>demonstration approval to provide flexibility and stability for the state over the life of a demonstration.</w:t>
      </w:r>
      <w:r>
        <w:rPr>
          <w:spacing w:val="40"/>
        </w:rPr>
        <w:t> </w:t>
      </w:r>
      <w:r>
        <w:rPr/>
        <w:t>This update identifies, in the STCs, a list of circumstances under which a state’s baseline may be adjusted based on actual expenditure data to accommodate circumstances that are either out of</w:t>
      </w:r>
    </w:p>
    <w:p>
      <w:pPr>
        <w:pStyle w:val="BodyText"/>
        <w:ind w:left="1440" w:right="1251"/>
      </w:pPr>
      <w:r>
        <w:rPr/>
        <w:t>the state’s control (e.g., expensive new drugs that the state is required to cover enter the</w:t>
      </w:r>
      <w:r>
        <w:rPr>
          <w:spacing w:val="-1"/>
        </w:rPr>
        <w:t> </w:t>
      </w:r>
      <w:r>
        <w:rPr/>
        <w:t>market); and/or the effect is not a condition or consequence of the demonstration (e.g., unexpected costs due to a public health emergency); and/or the new expenditure (while not a new demonstration- covered service or population that would require the Commonwealth to propose an amendment to the demonstration) is likely to further strengthen access to care (e.g., a legislated increase in provider rates).</w:t>
      </w:r>
      <w:r>
        <w:rPr>
          <w:spacing w:val="40"/>
        </w:rPr>
        <w:t> </w:t>
      </w:r>
      <w:r>
        <w:rPr/>
        <w:t>CMS also explains in the STCs what data</w:t>
      </w:r>
      <w:r>
        <w:rPr>
          <w:spacing w:val="-1"/>
        </w:rPr>
        <w:t> </w:t>
      </w:r>
      <w:r>
        <w:rPr/>
        <w:t>and other information the state</w:t>
      </w:r>
      <w:r>
        <w:rPr>
          <w:spacing w:val="-2"/>
        </w:rPr>
        <w:t> </w:t>
      </w:r>
      <w:r>
        <w:rPr/>
        <w:t>should submit</w:t>
      </w:r>
      <w:r>
        <w:rPr>
          <w:spacing w:val="-3"/>
        </w:rPr>
        <w:t> </w:t>
      </w:r>
      <w:r>
        <w:rPr/>
        <w:t>to</w:t>
      </w:r>
      <w:r>
        <w:rPr>
          <w:spacing w:val="-3"/>
        </w:rPr>
        <w:t> </w:t>
      </w:r>
      <w:r>
        <w:rPr/>
        <w:t>support</w:t>
      </w:r>
      <w:r>
        <w:rPr>
          <w:spacing w:val="-3"/>
        </w:rPr>
        <w:t> </w:t>
      </w:r>
      <w:r>
        <w:rPr/>
        <w:t>a</w:t>
      </w:r>
      <w:r>
        <w:rPr>
          <w:spacing w:val="-4"/>
        </w:rPr>
        <w:t> </w:t>
      </w:r>
      <w:r>
        <w:rPr/>
        <w:t>potentially</w:t>
      </w:r>
      <w:r>
        <w:rPr>
          <w:spacing w:val="-7"/>
        </w:rPr>
        <w:t> </w:t>
      </w:r>
      <w:r>
        <w:rPr/>
        <w:t>approvable</w:t>
      </w:r>
      <w:r>
        <w:rPr>
          <w:spacing w:val="-3"/>
        </w:rPr>
        <w:t> </w:t>
      </w:r>
      <w:r>
        <w:rPr/>
        <w:t>request</w:t>
      </w:r>
      <w:r>
        <w:rPr>
          <w:spacing w:val="-1"/>
        </w:rPr>
        <w:t> </w:t>
      </w:r>
      <w:r>
        <w:rPr/>
        <w:t>for</w:t>
      </w:r>
      <w:r>
        <w:rPr>
          <w:spacing w:val="-4"/>
        </w:rPr>
        <w:t> </w:t>
      </w:r>
      <w:r>
        <w:rPr/>
        <w:t>an</w:t>
      </w:r>
      <w:r>
        <w:rPr>
          <w:spacing w:val="-3"/>
        </w:rPr>
        <w:t> </w:t>
      </w:r>
      <w:r>
        <w:rPr/>
        <w:t>adjustment.</w:t>
      </w:r>
      <w:r>
        <w:rPr>
          <w:spacing w:val="40"/>
        </w:rPr>
        <w:t> </w:t>
      </w:r>
      <w:r>
        <w:rPr/>
        <w:t>CMS</w:t>
      </w:r>
      <w:r>
        <w:rPr>
          <w:spacing w:val="-3"/>
        </w:rPr>
        <w:t> </w:t>
      </w:r>
      <w:r>
        <w:rPr/>
        <w:t>considers</w:t>
      </w:r>
      <w:r>
        <w:rPr>
          <w:spacing w:val="-3"/>
        </w:rPr>
        <w:t> </w:t>
      </w:r>
      <w:r>
        <w:rPr/>
        <w:t>this</w:t>
      </w:r>
      <w:r>
        <w:rPr>
          <w:spacing w:val="-3"/>
        </w:rPr>
        <w:t> </w:t>
      </w:r>
      <w:r>
        <w:rPr/>
        <w:t>a</w:t>
      </w:r>
      <w:r>
        <w:rPr>
          <w:spacing w:val="-4"/>
        </w:rPr>
        <w:t> </w:t>
      </w:r>
      <w:r>
        <w:rPr/>
        <w:t>more rational, transparent, and standardized approach to permitting budget neutrality modifications during the course of a demonstration.</w:t>
      </w:r>
    </w:p>
    <w:p>
      <w:pPr>
        <w:spacing w:after="0"/>
        <w:sectPr>
          <w:pgSz w:w="12240" w:h="15840"/>
          <w:pgMar w:top="640" w:bottom="280" w:left="0" w:right="220"/>
        </w:sectPr>
      </w:pPr>
    </w:p>
    <w:p>
      <w:pPr>
        <w:pStyle w:val="BodyText"/>
        <w:spacing w:before="79"/>
        <w:ind w:right="1218"/>
        <w:jc w:val="right"/>
      </w:pPr>
      <w:r>
        <w:rPr/>
        <w:t>Page</w:t>
      </w:r>
      <w:r>
        <w:rPr>
          <w:spacing w:val="-5"/>
        </w:rPr>
        <w:t> 12</w:t>
      </w:r>
    </w:p>
    <w:p>
      <w:pPr>
        <w:pStyle w:val="BodyText"/>
        <w:spacing w:before="7"/>
        <w:rPr>
          <w:sz w:val="38"/>
        </w:rPr>
      </w:pPr>
    </w:p>
    <w:p>
      <w:pPr>
        <w:spacing w:before="0"/>
        <w:ind w:left="1440" w:right="0" w:firstLine="0"/>
        <w:jc w:val="left"/>
        <w:rPr>
          <w:i/>
          <w:sz w:val="24"/>
        </w:rPr>
      </w:pPr>
      <w:r>
        <w:rPr>
          <w:i/>
          <w:sz w:val="24"/>
        </w:rPr>
        <w:t>Requests</w:t>
      </w:r>
      <w:r>
        <w:rPr>
          <w:i/>
          <w:spacing w:val="-1"/>
          <w:sz w:val="24"/>
        </w:rPr>
        <w:t> </w:t>
      </w:r>
      <w:r>
        <w:rPr>
          <w:i/>
          <w:sz w:val="24"/>
        </w:rPr>
        <w:t>Not</w:t>
      </w:r>
      <w:r>
        <w:rPr>
          <w:i/>
          <w:spacing w:val="-1"/>
          <w:sz w:val="24"/>
        </w:rPr>
        <w:t> </w:t>
      </w:r>
      <w:r>
        <w:rPr>
          <w:i/>
          <w:sz w:val="24"/>
        </w:rPr>
        <w:t>Being</w:t>
      </w:r>
      <w:r>
        <w:rPr>
          <w:i/>
          <w:spacing w:val="-1"/>
          <w:sz w:val="24"/>
        </w:rPr>
        <w:t> </w:t>
      </w:r>
      <w:r>
        <w:rPr>
          <w:i/>
          <w:sz w:val="24"/>
        </w:rPr>
        <w:t>Approved</w:t>
      </w:r>
      <w:r>
        <w:rPr>
          <w:i/>
          <w:spacing w:val="-1"/>
          <w:sz w:val="24"/>
        </w:rPr>
        <w:t> </w:t>
      </w:r>
      <w:r>
        <w:rPr>
          <w:i/>
          <w:sz w:val="24"/>
        </w:rPr>
        <w:t>at</w:t>
      </w:r>
      <w:r>
        <w:rPr>
          <w:i/>
          <w:spacing w:val="-1"/>
          <w:sz w:val="24"/>
        </w:rPr>
        <w:t> </w:t>
      </w:r>
      <w:r>
        <w:rPr>
          <w:i/>
          <w:sz w:val="24"/>
        </w:rPr>
        <w:t>this</w:t>
      </w:r>
      <w:r>
        <w:rPr>
          <w:i/>
          <w:spacing w:val="-1"/>
          <w:sz w:val="24"/>
        </w:rPr>
        <w:t> </w:t>
      </w:r>
      <w:r>
        <w:rPr>
          <w:i/>
          <w:spacing w:val="-4"/>
          <w:sz w:val="24"/>
        </w:rPr>
        <w:t>Time</w:t>
      </w:r>
    </w:p>
    <w:p>
      <w:pPr>
        <w:pStyle w:val="BodyText"/>
        <w:ind w:left="1440" w:right="1239"/>
      </w:pPr>
      <w:r>
        <w:rPr/>
        <w:t>CMS</w:t>
      </w:r>
      <w:r>
        <w:rPr>
          <w:spacing w:val="-3"/>
        </w:rPr>
        <w:t> </w:t>
      </w:r>
      <w:r>
        <w:rPr/>
        <w:t>and</w:t>
      </w:r>
      <w:r>
        <w:rPr>
          <w:spacing w:val="-3"/>
        </w:rPr>
        <w:t> </w:t>
      </w:r>
      <w:r>
        <w:rPr/>
        <w:t>Massachusetts</w:t>
      </w:r>
      <w:r>
        <w:rPr>
          <w:spacing w:val="-4"/>
        </w:rPr>
        <w:t> </w:t>
      </w:r>
      <w:r>
        <w:rPr/>
        <w:t>are</w:t>
      </w:r>
      <w:r>
        <w:rPr>
          <w:spacing w:val="-5"/>
        </w:rPr>
        <w:t> </w:t>
      </w:r>
      <w:r>
        <w:rPr/>
        <w:t>continuing</w:t>
      </w:r>
      <w:r>
        <w:rPr>
          <w:spacing w:val="-6"/>
        </w:rPr>
        <w:t> </w:t>
      </w:r>
      <w:r>
        <w:rPr/>
        <w:t>discussions</w:t>
      </w:r>
      <w:r>
        <w:rPr>
          <w:spacing w:val="-4"/>
        </w:rPr>
        <w:t> </w:t>
      </w:r>
      <w:r>
        <w:rPr/>
        <w:t>of</w:t>
      </w:r>
      <w:r>
        <w:rPr>
          <w:spacing w:val="-3"/>
        </w:rPr>
        <w:t> </w:t>
      </w:r>
      <w:r>
        <w:rPr/>
        <w:t>the</w:t>
      </w:r>
      <w:r>
        <w:rPr>
          <w:spacing w:val="-4"/>
        </w:rPr>
        <w:t> </w:t>
      </w:r>
      <w:r>
        <w:rPr/>
        <w:t>Commonwealth’s</w:t>
      </w:r>
      <w:r>
        <w:rPr>
          <w:spacing w:val="-4"/>
        </w:rPr>
        <w:t> </w:t>
      </w:r>
      <w:r>
        <w:rPr/>
        <w:t>pending</w:t>
      </w:r>
      <w:r>
        <w:rPr>
          <w:spacing w:val="-5"/>
        </w:rPr>
        <w:t> </w:t>
      </w:r>
      <w:r>
        <w:rPr/>
        <w:t>requests related to the Commonwealth’s strategy to improve and strengthen access to care and health</w:t>
      </w:r>
    </w:p>
    <w:p>
      <w:pPr>
        <w:pStyle w:val="BodyText"/>
        <w:ind w:left="1440" w:right="1239"/>
      </w:pPr>
      <w:r>
        <w:rPr/>
        <w:t>outcomes for individuals enrolled in Medicaid, including justice-involved populations that have experienced increased challenges to accessing health care.</w:t>
      </w:r>
      <w:r>
        <w:rPr>
          <w:spacing w:val="40"/>
        </w:rPr>
        <w:t> </w:t>
      </w:r>
      <w:r>
        <w:rPr/>
        <w:t>Massachusetts requested to provide MassHealth coverage to qualified individuals in Department of Youth Services juvenile justice facilities during their commitment and to justice-involved adults 30 days prior to being released from carceral settings.</w:t>
      </w:r>
      <w:r>
        <w:rPr>
          <w:spacing w:val="40"/>
        </w:rPr>
        <w:t> </w:t>
      </w:r>
      <w:r>
        <w:rPr/>
        <w:t>The Commonwealth anticipates such coverage would help to stabilize beneficiary health pre-release, ensure continuity of coverage through Medicaid pre-release enrollment strategies, increase access to mental health services, and support re-entry into the community.</w:t>
      </w:r>
      <w:r>
        <w:rPr>
          <w:spacing w:val="40"/>
        </w:rPr>
        <w:t> </w:t>
      </w:r>
      <w:r>
        <w:rPr/>
        <w:t>CMS is generally</w:t>
      </w:r>
      <w:r>
        <w:rPr>
          <w:spacing w:val="-5"/>
        </w:rPr>
        <w:t> </w:t>
      </w:r>
      <w:r>
        <w:rPr/>
        <w:t>supportive of</w:t>
      </w:r>
      <w:r>
        <w:rPr>
          <w:spacing w:val="-2"/>
        </w:rPr>
        <w:t> </w:t>
      </w:r>
      <w:r>
        <w:rPr/>
        <w:t>increasing</w:t>
      </w:r>
      <w:r>
        <w:rPr>
          <w:spacing w:val="-2"/>
        </w:rPr>
        <w:t> </w:t>
      </w:r>
      <w:r>
        <w:rPr/>
        <w:t>pre-release</w:t>
      </w:r>
      <w:r>
        <w:rPr>
          <w:spacing w:val="-1"/>
        </w:rPr>
        <w:t> </w:t>
      </w:r>
      <w:r>
        <w:rPr/>
        <w:t>services for</w:t>
      </w:r>
      <w:r>
        <w:rPr>
          <w:spacing w:val="-2"/>
        </w:rPr>
        <w:t> </w:t>
      </w:r>
      <w:r>
        <w:rPr/>
        <w:t>justice-involved populations</w:t>
      </w:r>
      <w:r>
        <w:rPr>
          <w:spacing w:val="-3"/>
        </w:rPr>
        <w:t> </w:t>
      </w:r>
      <w:r>
        <w:rPr/>
        <w:t>in</w:t>
      </w:r>
      <w:r>
        <w:rPr>
          <w:spacing w:val="-3"/>
        </w:rPr>
        <w:t> </w:t>
      </w:r>
      <w:r>
        <w:rPr/>
        <w:t>order</w:t>
      </w:r>
      <w:r>
        <w:rPr>
          <w:spacing w:val="-3"/>
        </w:rPr>
        <w:t> </w:t>
      </w:r>
      <w:r>
        <w:rPr/>
        <w:t>to</w:t>
      </w:r>
      <w:r>
        <w:rPr>
          <w:spacing w:val="-3"/>
        </w:rPr>
        <w:t> </w:t>
      </w:r>
      <w:r>
        <w:rPr/>
        <w:t>assist</w:t>
      </w:r>
      <w:r>
        <w:rPr>
          <w:spacing w:val="-3"/>
        </w:rPr>
        <w:t> </w:t>
      </w:r>
      <w:r>
        <w:rPr/>
        <w:t>in</w:t>
      </w:r>
      <w:r>
        <w:rPr>
          <w:spacing w:val="-3"/>
        </w:rPr>
        <w:t> </w:t>
      </w:r>
      <w:r>
        <w:rPr/>
        <w:t>making</w:t>
      </w:r>
      <w:r>
        <w:rPr>
          <w:spacing w:val="-6"/>
        </w:rPr>
        <w:t> </w:t>
      </w:r>
      <w:r>
        <w:rPr/>
        <w:t>successful</w:t>
      </w:r>
      <w:r>
        <w:rPr>
          <w:spacing w:val="-1"/>
        </w:rPr>
        <w:t> </w:t>
      </w:r>
      <w:r>
        <w:rPr/>
        <w:t>transitions</w:t>
      </w:r>
      <w:r>
        <w:rPr>
          <w:spacing w:val="-3"/>
        </w:rPr>
        <w:t> </w:t>
      </w:r>
      <w:r>
        <w:rPr/>
        <w:t>from</w:t>
      </w:r>
      <w:r>
        <w:rPr>
          <w:spacing w:val="-3"/>
        </w:rPr>
        <w:t> </w:t>
      </w:r>
      <w:r>
        <w:rPr/>
        <w:t>the</w:t>
      </w:r>
      <w:r>
        <w:rPr>
          <w:spacing w:val="-4"/>
        </w:rPr>
        <w:t> </w:t>
      </w:r>
      <w:r>
        <w:rPr/>
        <w:t>carceral</w:t>
      </w:r>
      <w:r>
        <w:rPr>
          <w:spacing w:val="-3"/>
        </w:rPr>
        <w:t> </w:t>
      </w:r>
      <w:r>
        <w:rPr/>
        <w:t>system</w:t>
      </w:r>
      <w:r>
        <w:rPr>
          <w:spacing w:val="-3"/>
        </w:rPr>
        <w:t> </w:t>
      </w:r>
      <w:r>
        <w:rPr/>
        <w:t>back</w:t>
      </w:r>
      <w:r>
        <w:rPr>
          <w:spacing w:val="-3"/>
        </w:rPr>
        <w:t> </w:t>
      </w:r>
      <w:r>
        <w:rPr/>
        <w:t>into the community and will continue to work with the Commonwealth on this request.</w:t>
      </w:r>
    </w:p>
    <w:p>
      <w:pPr>
        <w:pStyle w:val="BodyText"/>
        <w:spacing w:before="1"/>
      </w:pPr>
    </w:p>
    <w:p>
      <w:pPr>
        <w:pStyle w:val="BodyText"/>
        <w:ind w:left="1440" w:right="1239"/>
      </w:pPr>
      <w:r>
        <w:rPr/>
        <w:t>CMS also continues to review the Commonwealth’s requests for flexibilities related to place of service,</w:t>
      </w:r>
      <w:r>
        <w:rPr>
          <w:spacing w:val="-3"/>
        </w:rPr>
        <w:t> </w:t>
      </w:r>
      <w:r>
        <w:rPr/>
        <w:t>that</w:t>
      </w:r>
      <w:r>
        <w:rPr>
          <w:spacing w:val="-3"/>
        </w:rPr>
        <w:t> </w:t>
      </w:r>
      <w:r>
        <w:rPr/>
        <w:t>were</w:t>
      </w:r>
      <w:r>
        <w:rPr>
          <w:spacing w:val="-5"/>
        </w:rPr>
        <w:t> </w:t>
      </w:r>
      <w:r>
        <w:rPr/>
        <w:t>offered</w:t>
      </w:r>
      <w:r>
        <w:rPr>
          <w:spacing w:val="-1"/>
        </w:rPr>
        <w:t> </w:t>
      </w:r>
      <w:r>
        <w:rPr/>
        <w:t>by</w:t>
      </w:r>
      <w:r>
        <w:rPr>
          <w:spacing w:val="-8"/>
        </w:rPr>
        <w:t> </w:t>
      </w:r>
      <w:r>
        <w:rPr/>
        <w:t>CMS</w:t>
      </w:r>
      <w:r>
        <w:rPr>
          <w:spacing w:val="-3"/>
        </w:rPr>
        <w:t> </w:t>
      </w:r>
      <w:r>
        <w:rPr/>
        <w:t>during</w:t>
      </w:r>
      <w:r>
        <w:rPr>
          <w:spacing w:val="-6"/>
        </w:rPr>
        <w:t> </w:t>
      </w:r>
      <w:r>
        <w:rPr/>
        <w:t>the</w:t>
      </w:r>
      <w:r>
        <w:rPr>
          <w:spacing w:val="-4"/>
        </w:rPr>
        <w:t> </w:t>
      </w:r>
      <w:r>
        <w:rPr/>
        <w:t>COVID-19</w:t>
      </w:r>
      <w:r>
        <w:rPr>
          <w:spacing w:val="-3"/>
        </w:rPr>
        <w:t> </w:t>
      </w:r>
      <w:r>
        <w:rPr/>
        <w:t>public</w:t>
      </w:r>
      <w:r>
        <w:rPr>
          <w:spacing w:val="-4"/>
        </w:rPr>
        <w:t> </w:t>
      </w:r>
      <w:r>
        <w:rPr/>
        <w:t>health</w:t>
      </w:r>
      <w:r>
        <w:rPr>
          <w:spacing w:val="-3"/>
        </w:rPr>
        <w:t> </w:t>
      </w:r>
      <w:r>
        <w:rPr/>
        <w:t>emergency.</w:t>
      </w:r>
      <w:r>
        <w:rPr>
          <w:spacing w:val="40"/>
        </w:rPr>
        <w:t> </w:t>
      </w:r>
      <w:r>
        <w:rPr/>
        <w:t>Specifically, these are requests for expenditure authority</w:t>
      </w:r>
      <w:r>
        <w:rPr>
          <w:spacing w:val="-3"/>
        </w:rPr>
        <w:t> </w:t>
      </w:r>
      <w:r>
        <w:rPr/>
        <w:t>to operate a Hospital at Home program based on the CMS Acute Hospital Care at Home program and expenditure authority</w:t>
      </w:r>
      <w:r>
        <w:rPr>
          <w:spacing w:val="-3"/>
        </w:rPr>
        <w:t> </w:t>
      </w:r>
      <w:r>
        <w:rPr/>
        <w:t>to pay</w:t>
      </w:r>
      <w:r>
        <w:rPr>
          <w:spacing w:val="-1"/>
        </w:rPr>
        <w:t> </w:t>
      </w:r>
      <w:r>
        <w:rPr/>
        <w:t>for clinic services delivered</w:t>
      </w:r>
      <w:r>
        <w:rPr>
          <w:spacing w:val="-1"/>
        </w:rPr>
        <w:t> </w:t>
      </w:r>
      <w:r>
        <w:rPr/>
        <w:t>via</w:t>
      </w:r>
      <w:r>
        <w:rPr>
          <w:spacing w:val="-1"/>
        </w:rPr>
        <w:t> </w:t>
      </w:r>
      <w:r>
        <w:rPr/>
        <w:t>telehealth</w:t>
      </w:r>
      <w:r>
        <w:rPr>
          <w:spacing w:val="-1"/>
        </w:rPr>
        <w:t> </w:t>
      </w:r>
      <w:r>
        <w:rPr/>
        <w:t>(when</w:t>
      </w:r>
      <w:r>
        <w:rPr>
          <w:spacing w:val="-1"/>
        </w:rPr>
        <w:t> </w:t>
      </w:r>
      <w:r>
        <w:rPr/>
        <w:t>neither</w:t>
      </w:r>
      <w:r>
        <w:rPr>
          <w:spacing w:val="-1"/>
        </w:rPr>
        <w:t> </w:t>
      </w:r>
      <w:r>
        <w:rPr/>
        <w:t>the</w:t>
      </w:r>
      <w:r>
        <w:rPr>
          <w:spacing w:val="-3"/>
        </w:rPr>
        <w:t> </w:t>
      </w:r>
      <w:r>
        <w:rPr/>
        <w:t>provider</w:t>
      </w:r>
      <w:r>
        <w:rPr>
          <w:spacing w:val="-1"/>
        </w:rPr>
        <w:t> </w:t>
      </w:r>
      <w:r>
        <w:rPr/>
        <w:t>nor</w:t>
      </w:r>
      <w:r>
        <w:rPr>
          <w:spacing w:val="-3"/>
        </w:rPr>
        <w:t> </w:t>
      </w:r>
      <w:r>
        <w:rPr/>
        <w:t>member</w:t>
      </w:r>
      <w:r>
        <w:rPr>
          <w:spacing w:val="-3"/>
        </w:rPr>
        <w:t> </w:t>
      </w:r>
      <w:r>
        <w:rPr/>
        <w:t>is</w:t>
      </w:r>
      <w:r>
        <w:rPr>
          <w:spacing w:val="-1"/>
        </w:rPr>
        <w:t> </w:t>
      </w:r>
      <w:r>
        <w:rPr/>
        <w:t>at</w:t>
      </w:r>
      <w:r>
        <w:rPr>
          <w:spacing w:val="-1"/>
        </w:rPr>
        <w:t> </w:t>
      </w:r>
      <w:r>
        <w:rPr/>
        <w:t>the clinic)</w:t>
      </w:r>
      <w:r>
        <w:rPr>
          <w:spacing w:val="-3"/>
        </w:rPr>
        <w:t> </w:t>
      </w:r>
      <w:r>
        <w:rPr/>
        <w:t>and</w:t>
      </w:r>
      <w:r>
        <w:rPr>
          <w:spacing w:val="-1"/>
        </w:rPr>
        <w:t> </w:t>
      </w:r>
      <w:r>
        <w:rPr/>
        <w:t>in</w:t>
      </w:r>
      <w:r>
        <w:rPr>
          <w:spacing w:val="-1"/>
        </w:rPr>
        <w:t> </w:t>
      </w:r>
      <w:r>
        <w:rPr/>
        <w:t>other</w:t>
      </w:r>
      <w:r>
        <w:rPr>
          <w:spacing w:val="-1"/>
        </w:rPr>
        <w:t> </w:t>
      </w:r>
      <w:r>
        <w:rPr/>
        <w:t>non- clinic</w:t>
      </w:r>
      <w:r>
        <w:rPr>
          <w:spacing w:val="-1"/>
        </w:rPr>
        <w:t> </w:t>
      </w:r>
      <w:r>
        <w:rPr/>
        <w:t>locations,</w:t>
      </w:r>
      <w:r>
        <w:rPr>
          <w:spacing w:val="-1"/>
        </w:rPr>
        <w:t> </w:t>
      </w:r>
      <w:r>
        <w:rPr/>
        <w:t>including</w:t>
      </w:r>
      <w:r>
        <w:rPr>
          <w:spacing w:val="-4"/>
        </w:rPr>
        <w:t> </w:t>
      </w:r>
      <w:r>
        <w:rPr/>
        <w:t>but</w:t>
      </w:r>
      <w:r>
        <w:rPr>
          <w:spacing w:val="-1"/>
        </w:rPr>
        <w:t> </w:t>
      </w:r>
      <w:r>
        <w:rPr/>
        <w:t>not</w:t>
      </w:r>
      <w:r>
        <w:rPr>
          <w:spacing w:val="-1"/>
        </w:rPr>
        <w:t> </w:t>
      </w:r>
      <w:r>
        <w:rPr/>
        <w:t>limited</w:t>
      </w:r>
      <w:r>
        <w:rPr>
          <w:spacing w:val="-1"/>
        </w:rPr>
        <w:t> </w:t>
      </w:r>
      <w:r>
        <w:rPr/>
        <w:t>to</w:t>
      </w:r>
      <w:r>
        <w:rPr>
          <w:spacing w:val="-1"/>
        </w:rPr>
        <w:t> </w:t>
      </w:r>
      <w:r>
        <w:rPr/>
        <w:t>the</w:t>
      </w:r>
      <w:r>
        <w:rPr>
          <w:spacing w:val="-1"/>
        </w:rPr>
        <w:t> </w:t>
      </w:r>
      <w:r>
        <w:rPr/>
        <w:t>member’s</w:t>
      </w:r>
      <w:r>
        <w:rPr>
          <w:spacing w:val="-2"/>
        </w:rPr>
        <w:t> </w:t>
      </w:r>
      <w:r>
        <w:rPr/>
        <w:t>home and</w:t>
      </w:r>
      <w:r>
        <w:rPr>
          <w:spacing w:val="-1"/>
        </w:rPr>
        <w:t> </w:t>
      </w:r>
      <w:r>
        <w:rPr/>
        <w:t>other</w:t>
      </w:r>
      <w:r>
        <w:rPr>
          <w:spacing w:val="-1"/>
        </w:rPr>
        <w:t> </w:t>
      </w:r>
      <w:r>
        <w:rPr/>
        <w:t>community</w:t>
      </w:r>
      <w:r>
        <w:rPr>
          <w:spacing w:val="-6"/>
        </w:rPr>
        <w:t> </w:t>
      </w:r>
      <w:r>
        <w:rPr/>
        <w:t>locations. CMS recognizes the significant value these flexibilities have provided during the public health emergency, and will continue to work with the Commonwealth on these requests.</w:t>
      </w:r>
    </w:p>
    <w:p>
      <w:pPr>
        <w:pStyle w:val="BodyText"/>
      </w:pPr>
    </w:p>
    <w:p>
      <w:pPr>
        <w:spacing w:before="0"/>
        <w:ind w:left="1440" w:right="0" w:firstLine="0"/>
        <w:jc w:val="left"/>
        <w:rPr>
          <w:b/>
          <w:sz w:val="24"/>
        </w:rPr>
      </w:pPr>
      <w:r>
        <w:rPr>
          <w:b/>
          <w:sz w:val="24"/>
          <w:u w:val="single"/>
        </w:rPr>
        <w:t>Monitoring</w:t>
      </w:r>
      <w:r>
        <w:rPr>
          <w:b/>
          <w:spacing w:val="-1"/>
          <w:sz w:val="24"/>
          <w:u w:val="single"/>
        </w:rPr>
        <w:t> </w:t>
      </w:r>
      <w:r>
        <w:rPr>
          <w:b/>
          <w:sz w:val="24"/>
          <w:u w:val="single"/>
        </w:rPr>
        <w:t>and</w:t>
      </w:r>
      <w:r>
        <w:rPr>
          <w:b/>
          <w:spacing w:val="-1"/>
          <w:sz w:val="24"/>
          <w:u w:val="single"/>
        </w:rPr>
        <w:t> </w:t>
      </w:r>
      <w:r>
        <w:rPr>
          <w:b/>
          <w:spacing w:val="-2"/>
          <w:sz w:val="24"/>
          <w:u w:val="single"/>
        </w:rPr>
        <w:t>Evaluation</w:t>
      </w:r>
    </w:p>
    <w:p>
      <w:pPr>
        <w:pStyle w:val="BodyText"/>
        <w:spacing w:before="6"/>
        <w:rPr>
          <w:b/>
          <w:sz w:val="17"/>
        </w:rPr>
      </w:pPr>
    </w:p>
    <w:p>
      <w:pPr>
        <w:pStyle w:val="BodyText"/>
        <w:spacing w:before="90"/>
        <w:ind w:left="1440" w:right="1239"/>
      </w:pPr>
      <w:r>
        <w:rPr/>
        <w:t>Consistent with the STCs in the MassHealth demonstration, the Commonwealth submitted its draft interim evaluation report for the prior demonstration approval period on September 30, 2021.</w:t>
      </w:r>
      <w:r>
        <w:rPr>
          <w:vertAlign w:val="superscript"/>
        </w:rPr>
        <w:t>13</w:t>
      </w:r>
      <w:r>
        <w:rPr>
          <w:spacing w:val="40"/>
          <w:vertAlign w:val="baseline"/>
        </w:rPr>
        <w:t> </w:t>
      </w:r>
      <w:r>
        <w:rPr>
          <w:vertAlign w:val="baseline"/>
        </w:rPr>
        <w:t>The report indicated improvements in diabetes and high blood pressure management, appropriate use of emergency departments among the ACO population, and timely follow-up after an emergency department visit.</w:t>
      </w:r>
      <w:r>
        <w:rPr>
          <w:spacing w:val="40"/>
          <w:vertAlign w:val="baseline"/>
        </w:rPr>
        <w:t> </w:t>
      </w:r>
      <w:r>
        <w:rPr>
          <w:vertAlign w:val="baseline"/>
        </w:rPr>
        <w:t>Additionally, findings suggest that the demonstration was successful at keeping the uninsurance rate low—around 3 percent.</w:t>
      </w:r>
      <w:r>
        <w:rPr>
          <w:spacing w:val="40"/>
          <w:vertAlign w:val="baseline"/>
        </w:rPr>
        <w:t> </w:t>
      </w:r>
      <w:r>
        <w:rPr>
          <w:vertAlign w:val="baseline"/>
        </w:rPr>
        <w:t>It also exhibited positive findings for beneficiaries with SUD, such as decreases in the rate of overdoses and increases in the number of</w:t>
      </w:r>
      <w:r>
        <w:rPr>
          <w:spacing w:val="-1"/>
          <w:vertAlign w:val="baseline"/>
        </w:rPr>
        <w:t> </w:t>
      </w:r>
      <w:r>
        <w:rPr>
          <w:vertAlign w:val="baseline"/>
        </w:rPr>
        <w:t>providers treating</w:t>
      </w:r>
      <w:r>
        <w:rPr>
          <w:spacing w:val="-2"/>
          <w:vertAlign w:val="baseline"/>
        </w:rPr>
        <w:t> </w:t>
      </w:r>
      <w:r>
        <w:rPr>
          <w:vertAlign w:val="baseline"/>
        </w:rPr>
        <w:t>SUD, although findings related to initiation and engagement of SUD treatment demonstrated both positive and negative results.</w:t>
      </w:r>
      <w:r>
        <w:rPr>
          <w:spacing w:val="40"/>
          <w:vertAlign w:val="baseline"/>
        </w:rPr>
        <w:t> </w:t>
      </w:r>
      <w:r>
        <w:rPr>
          <w:vertAlign w:val="baseline"/>
        </w:rPr>
        <w:t>Furthermore, analysis of the impact of various components on demonstration costs all showed that per-member per-month costs for MassHealth beneficiaries were lower than they would have been without the demonstration.</w:t>
      </w:r>
      <w:r>
        <w:rPr>
          <w:spacing w:val="40"/>
          <w:vertAlign w:val="baseline"/>
        </w:rPr>
        <w:t> </w:t>
      </w:r>
      <w:r>
        <w:rPr>
          <w:vertAlign w:val="baseline"/>
        </w:rPr>
        <w:t>Since the report also identified room for improvement in the frequency and standardization of HRSN screenings during the previous demonstration approval period, CMS and</w:t>
      </w:r>
      <w:r>
        <w:rPr>
          <w:spacing w:val="-2"/>
          <w:vertAlign w:val="baseline"/>
        </w:rPr>
        <w:t> </w:t>
      </w:r>
      <w:r>
        <w:rPr>
          <w:vertAlign w:val="baseline"/>
        </w:rPr>
        <w:t>the</w:t>
      </w:r>
      <w:r>
        <w:rPr>
          <w:spacing w:val="-2"/>
          <w:vertAlign w:val="baseline"/>
        </w:rPr>
        <w:t> </w:t>
      </w:r>
      <w:r>
        <w:rPr>
          <w:vertAlign w:val="baseline"/>
        </w:rPr>
        <w:t>Commonwealth</w:t>
      </w:r>
      <w:r>
        <w:rPr>
          <w:spacing w:val="-2"/>
          <w:vertAlign w:val="baseline"/>
        </w:rPr>
        <w:t> </w:t>
      </w:r>
      <w:r>
        <w:rPr>
          <w:vertAlign w:val="baseline"/>
        </w:rPr>
        <w:t>are</w:t>
      </w:r>
      <w:r>
        <w:rPr>
          <w:spacing w:val="-4"/>
          <w:vertAlign w:val="baseline"/>
        </w:rPr>
        <w:t> </w:t>
      </w:r>
      <w:r>
        <w:rPr>
          <w:vertAlign w:val="baseline"/>
        </w:rPr>
        <w:t>setting</w:t>
      </w:r>
      <w:r>
        <w:rPr>
          <w:spacing w:val="-5"/>
          <w:vertAlign w:val="baseline"/>
        </w:rPr>
        <w:t> </w:t>
      </w:r>
      <w:r>
        <w:rPr>
          <w:vertAlign w:val="baseline"/>
        </w:rPr>
        <w:t>more</w:t>
      </w:r>
      <w:r>
        <w:rPr>
          <w:spacing w:val="-2"/>
          <w:vertAlign w:val="baseline"/>
        </w:rPr>
        <w:t> </w:t>
      </w:r>
      <w:r>
        <w:rPr>
          <w:vertAlign w:val="baseline"/>
        </w:rPr>
        <w:t>ambitious</w:t>
      </w:r>
      <w:r>
        <w:rPr>
          <w:spacing w:val="-2"/>
          <w:vertAlign w:val="baseline"/>
        </w:rPr>
        <w:t> </w:t>
      </w:r>
      <w:r>
        <w:rPr>
          <w:vertAlign w:val="baseline"/>
        </w:rPr>
        <w:t>goals</w:t>
      </w:r>
      <w:r>
        <w:rPr>
          <w:spacing w:val="-2"/>
          <w:vertAlign w:val="baseline"/>
        </w:rPr>
        <w:t> </w:t>
      </w:r>
      <w:r>
        <w:rPr>
          <w:vertAlign w:val="baseline"/>
        </w:rPr>
        <w:t>and</w:t>
      </w:r>
      <w:r>
        <w:rPr>
          <w:spacing w:val="-1"/>
          <w:vertAlign w:val="baseline"/>
        </w:rPr>
        <w:t> </w:t>
      </w:r>
      <w:r>
        <w:rPr>
          <w:vertAlign w:val="baseline"/>
        </w:rPr>
        <w:t>are</w:t>
      </w:r>
      <w:r>
        <w:rPr>
          <w:spacing w:val="-3"/>
          <w:vertAlign w:val="baseline"/>
        </w:rPr>
        <w:t> </w:t>
      </w:r>
      <w:r>
        <w:rPr>
          <w:vertAlign w:val="baseline"/>
        </w:rPr>
        <w:t>developing</w:t>
      </w:r>
      <w:r>
        <w:rPr>
          <w:spacing w:val="-5"/>
          <w:vertAlign w:val="baseline"/>
        </w:rPr>
        <w:t> </w:t>
      </w:r>
      <w:r>
        <w:rPr>
          <w:vertAlign w:val="baseline"/>
        </w:rPr>
        <w:t>a</w:t>
      </w:r>
      <w:r>
        <w:rPr>
          <w:spacing w:val="-3"/>
          <w:vertAlign w:val="baseline"/>
        </w:rPr>
        <w:t> </w:t>
      </w:r>
      <w:r>
        <w:rPr>
          <w:vertAlign w:val="baseline"/>
        </w:rPr>
        <w:t>variety</w:t>
      </w:r>
      <w:r>
        <w:rPr>
          <w:spacing w:val="-7"/>
          <w:vertAlign w:val="baseline"/>
        </w:rPr>
        <w:t> </w:t>
      </w:r>
      <w:r>
        <w:rPr>
          <w:vertAlign w:val="baseline"/>
        </w:rPr>
        <w:t>of</w:t>
      </w:r>
      <w:r>
        <w:rPr>
          <w:spacing w:val="-2"/>
          <w:vertAlign w:val="baseline"/>
        </w:rPr>
        <w:t> </w:t>
      </w:r>
      <w:r>
        <w:rPr>
          <w:vertAlign w:val="baseline"/>
        </w:rPr>
        <w:t>tools</w:t>
      </w:r>
      <w:r>
        <w:rPr>
          <w:spacing w:val="-2"/>
          <w:vertAlign w:val="baseline"/>
        </w:rPr>
        <w:t> </w:t>
      </w:r>
      <w:r>
        <w:rPr>
          <w:vertAlign w:val="baseline"/>
        </w:rPr>
        <w:t>to monitor and evaluate these policies in this demonstration approval period, as described in more detail below.</w:t>
      </w:r>
    </w:p>
    <w:p>
      <w:pPr>
        <w:pStyle w:val="BodyText"/>
        <w:rPr>
          <w:sz w:val="20"/>
        </w:rPr>
      </w:pPr>
    </w:p>
    <w:p>
      <w:pPr>
        <w:pStyle w:val="BodyText"/>
        <w:rPr>
          <w:sz w:val="20"/>
        </w:rPr>
      </w:pPr>
    </w:p>
    <w:p>
      <w:pPr>
        <w:pStyle w:val="BodyText"/>
        <w:spacing w:before="10"/>
        <w:rPr>
          <w:sz w:val="29"/>
        </w:rPr>
      </w:pPr>
      <w:r>
        <w:rPr/>
        <mc:AlternateContent>
          <mc:Choice Requires="wps">
            <w:drawing>
              <wp:anchor distT="0" distB="0" distL="0" distR="0" allowOverlap="1" layoutInCell="1" locked="0" behindDoc="1" simplePos="0" relativeHeight="487591424">
                <wp:simplePos x="0" y="0"/>
                <wp:positionH relativeFrom="page">
                  <wp:posOffset>914704</wp:posOffset>
                </wp:positionH>
                <wp:positionV relativeFrom="paragraph">
                  <wp:posOffset>233396</wp:posOffset>
                </wp:positionV>
                <wp:extent cx="1829435" cy="762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8.377645pt;width:144.020pt;height:.60004pt;mso-position-horizontal-relative:page;mso-position-vertical-relative:paragraph;z-index:-15725056;mso-wrap-distance-left:0;mso-wrap-distance-right:0" id="docshape8" filled="true" fillcolor="#000000" stroked="false">
                <v:fill type="solid"/>
                <w10:wrap type="topAndBottom"/>
              </v:rect>
            </w:pict>
          </mc:Fallback>
        </mc:AlternateContent>
      </w:r>
    </w:p>
    <w:p>
      <w:pPr>
        <w:spacing w:before="101"/>
        <w:ind w:left="1440" w:right="1222" w:firstLine="0"/>
        <w:jc w:val="left"/>
        <w:rPr>
          <w:sz w:val="20"/>
        </w:rPr>
      </w:pPr>
      <w:r>
        <w:rPr>
          <w:sz w:val="20"/>
          <w:vertAlign w:val="superscript"/>
        </w:rPr>
        <w:t>13</w:t>
      </w:r>
      <w:r>
        <w:rPr>
          <w:spacing w:val="-3"/>
          <w:sz w:val="20"/>
          <w:vertAlign w:val="baseline"/>
        </w:rPr>
        <w:t> </w:t>
      </w:r>
      <w:r>
        <w:rPr>
          <w:sz w:val="20"/>
          <w:vertAlign w:val="baseline"/>
        </w:rPr>
        <w:t>Draft</w:t>
      </w:r>
      <w:r>
        <w:rPr>
          <w:spacing w:val="-4"/>
          <w:sz w:val="20"/>
          <w:vertAlign w:val="baseline"/>
        </w:rPr>
        <w:t> </w:t>
      </w:r>
      <w:r>
        <w:rPr>
          <w:sz w:val="20"/>
          <w:vertAlign w:val="baseline"/>
        </w:rPr>
        <w:t>Independent</w:t>
      </w:r>
      <w:r>
        <w:rPr>
          <w:spacing w:val="-4"/>
          <w:sz w:val="20"/>
          <w:vertAlign w:val="baseline"/>
        </w:rPr>
        <w:t> </w:t>
      </w:r>
      <w:r>
        <w:rPr>
          <w:sz w:val="20"/>
          <w:vertAlign w:val="baseline"/>
        </w:rPr>
        <w:t>Evaluation</w:t>
      </w:r>
      <w:r>
        <w:rPr>
          <w:spacing w:val="-2"/>
          <w:sz w:val="20"/>
          <w:vertAlign w:val="baseline"/>
        </w:rPr>
        <w:t> </w:t>
      </w:r>
      <w:r>
        <w:rPr>
          <w:sz w:val="20"/>
          <w:vertAlign w:val="baseline"/>
        </w:rPr>
        <w:t>Interim</w:t>
      </w:r>
      <w:r>
        <w:rPr>
          <w:spacing w:val="-5"/>
          <w:sz w:val="20"/>
          <w:vertAlign w:val="baseline"/>
        </w:rPr>
        <w:t> </w:t>
      </w:r>
      <w:r>
        <w:rPr>
          <w:sz w:val="20"/>
          <w:vertAlign w:val="baseline"/>
        </w:rPr>
        <w:t>Report.</w:t>
      </w:r>
      <w:r>
        <w:rPr>
          <w:spacing w:val="-3"/>
          <w:sz w:val="20"/>
          <w:vertAlign w:val="baseline"/>
        </w:rPr>
        <w:t> </w:t>
      </w:r>
      <w:r>
        <w:rPr>
          <w:sz w:val="20"/>
          <w:vertAlign w:val="baseline"/>
        </w:rPr>
        <w:t>Massachusetts</w:t>
      </w:r>
      <w:r>
        <w:rPr>
          <w:spacing w:val="-4"/>
          <w:sz w:val="20"/>
          <w:vertAlign w:val="baseline"/>
        </w:rPr>
        <w:t> </w:t>
      </w:r>
      <w:r>
        <w:rPr>
          <w:sz w:val="20"/>
          <w:vertAlign w:val="baseline"/>
        </w:rPr>
        <w:t>Medicaid</w:t>
      </w:r>
      <w:r>
        <w:rPr>
          <w:spacing w:val="-2"/>
          <w:sz w:val="20"/>
          <w:vertAlign w:val="baseline"/>
        </w:rPr>
        <w:t> </w:t>
      </w:r>
      <w:r>
        <w:rPr>
          <w:sz w:val="20"/>
          <w:vertAlign w:val="baseline"/>
        </w:rPr>
        <w:t>1115</w:t>
      </w:r>
      <w:r>
        <w:rPr>
          <w:spacing w:val="-4"/>
          <w:sz w:val="20"/>
          <w:vertAlign w:val="baseline"/>
        </w:rPr>
        <w:t> </w:t>
      </w:r>
      <w:r>
        <w:rPr>
          <w:sz w:val="20"/>
          <w:vertAlign w:val="baseline"/>
        </w:rPr>
        <w:t>Demonstration</w:t>
      </w:r>
      <w:r>
        <w:rPr>
          <w:spacing w:val="-4"/>
          <w:sz w:val="20"/>
          <w:vertAlign w:val="baseline"/>
        </w:rPr>
        <w:t> </w:t>
      </w:r>
      <w:r>
        <w:rPr>
          <w:sz w:val="20"/>
          <w:vertAlign w:val="baseline"/>
        </w:rPr>
        <w:t>Extension</w:t>
      </w:r>
      <w:r>
        <w:rPr>
          <w:spacing w:val="-4"/>
          <w:sz w:val="20"/>
          <w:vertAlign w:val="baseline"/>
        </w:rPr>
        <w:t> </w:t>
      </w:r>
      <w:r>
        <w:rPr>
          <w:sz w:val="20"/>
          <w:vertAlign w:val="baseline"/>
        </w:rPr>
        <w:t>2017-2022. September 2021.</w:t>
      </w:r>
      <w:r>
        <w:rPr>
          <w:spacing w:val="40"/>
          <w:sz w:val="20"/>
          <w:vertAlign w:val="baseline"/>
        </w:rPr>
        <w:t> </w:t>
      </w:r>
      <w:r>
        <w:rPr>
          <w:sz w:val="20"/>
          <w:vertAlign w:val="baseline"/>
        </w:rPr>
        <w:t>The Commonwealth submitted a revised report in March 2022.</w:t>
      </w:r>
      <w:r>
        <w:rPr>
          <w:spacing w:val="40"/>
          <w:sz w:val="20"/>
          <w:vertAlign w:val="baseline"/>
        </w:rPr>
        <w:t> </w:t>
      </w:r>
      <w:r>
        <w:rPr>
          <w:sz w:val="20"/>
          <w:vertAlign w:val="baseline"/>
        </w:rPr>
        <w:t>CMS and the Commonwealth are working toward finalization and approval of this report; once approved, the report will be posted publicly.</w:t>
      </w:r>
    </w:p>
    <w:p>
      <w:pPr>
        <w:spacing w:after="0"/>
        <w:jc w:val="left"/>
        <w:rPr>
          <w:sz w:val="20"/>
        </w:rPr>
        <w:sectPr>
          <w:pgSz w:w="12240" w:h="15840"/>
          <w:pgMar w:top="640" w:bottom="280" w:left="0" w:right="220"/>
        </w:sectPr>
      </w:pPr>
    </w:p>
    <w:p>
      <w:pPr>
        <w:pStyle w:val="BodyText"/>
        <w:spacing w:before="79"/>
        <w:ind w:right="1218"/>
        <w:jc w:val="right"/>
      </w:pPr>
      <w:r>
        <w:rPr/>
        <w:t>Page</w:t>
      </w:r>
      <w:r>
        <w:rPr>
          <w:spacing w:val="-5"/>
        </w:rPr>
        <w:t> 13</w:t>
      </w:r>
    </w:p>
    <w:p>
      <w:pPr>
        <w:pStyle w:val="BodyText"/>
        <w:spacing w:before="7"/>
        <w:rPr>
          <w:sz w:val="38"/>
        </w:rPr>
      </w:pPr>
    </w:p>
    <w:p>
      <w:pPr>
        <w:pStyle w:val="BodyText"/>
        <w:ind w:left="1440" w:right="1673"/>
        <w:jc w:val="both"/>
      </w:pPr>
      <w:r>
        <w:rPr/>
        <w:t>With</w:t>
      </w:r>
      <w:r>
        <w:rPr>
          <w:spacing w:val="-4"/>
        </w:rPr>
        <w:t> </w:t>
      </w:r>
      <w:r>
        <w:rPr/>
        <w:t>this</w:t>
      </w:r>
      <w:r>
        <w:rPr>
          <w:spacing w:val="-4"/>
        </w:rPr>
        <w:t> </w:t>
      </w:r>
      <w:r>
        <w:rPr/>
        <w:t>extension</w:t>
      </w:r>
      <w:r>
        <w:rPr>
          <w:spacing w:val="-4"/>
        </w:rPr>
        <w:t> </w:t>
      </w:r>
      <w:r>
        <w:rPr/>
        <w:t>of</w:t>
      </w:r>
      <w:r>
        <w:rPr>
          <w:spacing w:val="-4"/>
        </w:rPr>
        <w:t> </w:t>
      </w:r>
      <w:r>
        <w:rPr/>
        <w:t>the</w:t>
      </w:r>
      <w:r>
        <w:rPr>
          <w:spacing w:val="-5"/>
        </w:rPr>
        <w:t> </w:t>
      </w:r>
      <w:r>
        <w:rPr/>
        <w:t>MassHealth</w:t>
      </w:r>
      <w:r>
        <w:rPr>
          <w:spacing w:val="-4"/>
        </w:rPr>
        <w:t> </w:t>
      </w:r>
      <w:r>
        <w:rPr/>
        <w:t>demonstration,</w:t>
      </w:r>
      <w:r>
        <w:rPr>
          <w:spacing w:val="-1"/>
        </w:rPr>
        <w:t> </w:t>
      </w:r>
      <w:r>
        <w:rPr/>
        <w:t>consistent</w:t>
      </w:r>
      <w:r>
        <w:rPr>
          <w:spacing w:val="-4"/>
        </w:rPr>
        <w:t> </w:t>
      </w:r>
      <w:r>
        <w:rPr/>
        <w:t>with</w:t>
      </w:r>
      <w:r>
        <w:rPr>
          <w:spacing w:val="-4"/>
        </w:rPr>
        <w:t> </w:t>
      </w:r>
      <w:r>
        <w:rPr/>
        <w:t>CMS</w:t>
      </w:r>
      <w:r>
        <w:rPr>
          <w:spacing w:val="-6"/>
        </w:rPr>
        <w:t> </w:t>
      </w:r>
      <w:r>
        <w:rPr/>
        <w:t>requirements</w:t>
      </w:r>
      <w:r>
        <w:rPr>
          <w:spacing w:val="-4"/>
        </w:rPr>
        <w:t> </w:t>
      </w:r>
      <w:r>
        <w:rPr/>
        <w:t>for section</w:t>
      </w:r>
      <w:r>
        <w:rPr>
          <w:spacing w:val="-1"/>
        </w:rPr>
        <w:t> </w:t>
      </w:r>
      <w:r>
        <w:rPr/>
        <w:t>1115</w:t>
      </w:r>
      <w:r>
        <w:rPr>
          <w:spacing w:val="-1"/>
        </w:rPr>
        <w:t> </w:t>
      </w:r>
      <w:r>
        <w:rPr/>
        <w:t>demonstrations</w:t>
      </w:r>
      <w:r>
        <w:rPr>
          <w:spacing w:val="-2"/>
        </w:rPr>
        <w:t> </w:t>
      </w:r>
      <w:r>
        <w:rPr/>
        <w:t>as</w:t>
      </w:r>
      <w:r>
        <w:rPr>
          <w:spacing w:val="-2"/>
        </w:rPr>
        <w:t> </w:t>
      </w:r>
      <w:r>
        <w:rPr/>
        <w:t>outlined</w:t>
      </w:r>
      <w:r>
        <w:rPr>
          <w:spacing w:val="-1"/>
        </w:rPr>
        <w:t> </w:t>
      </w:r>
      <w:r>
        <w:rPr/>
        <w:t>in</w:t>
      </w:r>
      <w:r>
        <w:rPr>
          <w:spacing w:val="-1"/>
        </w:rPr>
        <w:t> </w:t>
      </w:r>
      <w:r>
        <w:rPr/>
        <w:t>the</w:t>
      </w:r>
      <w:r>
        <w:rPr>
          <w:spacing w:val="-2"/>
        </w:rPr>
        <w:t> </w:t>
      </w:r>
      <w:r>
        <w:rPr/>
        <w:t>demonstration’s</w:t>
      </w:r>
      <w:r>
        <w:rPr>
          <w:spacing w:val="-2"/>
        </w:rPr>
        <w:t> </w:t>
      </w:r>
      <w:r>
        <w:rPr/>
        <w:t>STCs,</w:t>
      </w:r>
      <w:r>
        <w:rPr>
          <w:spacing w:val="-1"/>
        </w:rPr>
        <w:t> </w:t>
      </w:r>
      <w:r>
        <w:rPr/>
        <w:t>the</w:t>
      </w:r>
      <w:r>
        <w:rPr>
          <w:spacing w:val="-1"/>
        </w:rPr>
        <w:t> </w:t>
      </w:r>
      <w:r>
        <w:rPr/>
        <w:t>Commonwealth</w:t>
      </w:r>
      <w:r>
        <w:rPr>
          <w:spacing w:val="-1"/>
        </w:rPr>
        <w:t> </w:t>
      </w:r>
      <w:r>
        <w:rPr/>
        <w:t>is required to conduct systematic monitoring and robust evaluation of the demonstration per</w:t>
      </w:r>
    </w:p>
    <w:p>
      <w:pPr>
        <w:pStyle w:val="BodyText"/>
        <w:ind w:left="1440" w:right="1239"/>
      </w:pPr>
      <w:r>
        <w:rPr/>
        <w:t>applicable CMS guidance and technical assistance.</w:t>
      </w:r>
      <w:r>
        <w:rPr>
          <w:spacing w:val="40"/>
        </w:rPr>
        <w:t> </w:t>
      </w:r>
      <w:r>
        <w:rPr/>
        <w:t>The overall demonstration, and specifically the novel initiatives, such as the HRSN initiative and Hospital Quality and Equity Initiative that are authorized within the demonstration, must be rigorously</w:t>
      </w:r>
      <w:r>
        <w:rPr>
          <w:spacing w:val="-2"/>
        </w:rPr>
        <w:t> </w:t>
      </w:r>
      <w:r>
        <w:rPr/>
        <w:t>monitored and evaluated.</w:t>
      </w:r>
      <w:r>
        <w:rPr>
          <w:spacing w:val="40"/>
        </w:rPr>
        <w:t> </w:t>
      </w:r>
      <w:r>
        <w:rPr/>
        <w:t>Evidence indicating</w:t>
      </w:r>
      <w:r>
        <w:rPr>
          <w:spacing w:val="-6"/>
        </w:rPr>
        <w:t> </w:t>
      </w:r>
      <w:r>
        <w:rPr/>
        <w:t>substantial</w:t>
      </w:r>
      <w:r>
        <w:rPr>
          <w:spacing w:val="-5"/>
        </w:rPr>
        <w:t> </w:t>
      </w:r>
      <w:r>
        <w:rPr/>
        <w:t>and</w:t>
      </w:r>
      <w:r>
        <w:rPr>
          <w:spacing w:val="-4"/>
        </w:rPr>
        <w:t> </w:t>
      </w:r>
      <w:r>
        <w:rPr/>
        <w:t>sustained</w:t>
      </w:r>
      <w:r>
        <w:rPr>
          <w:spacing w:val="-5"/>
        </w:rPr>
        <w:t> </w:t>
      </w:r>
      <w:r>
        <w:rPr/>
        <w:t>directional</w:t>
      </w:r>
      <w:r>
        <w:rPr>
          <w:spacing w:val="-5"/>
        </w:rPr>
        <w:t> </w:t>
      </w:r>
      <w:r>
        <w:rPr/>
        <w:t>change</w:t>
      </w:r>
      <w:r>
        <w:rPr>
          <w:spacing w:val="-5"/>
        </w:rPr>
        <w:t> </w:t>
      </w:r>
      <w:r>
        <w:rPr/>
        <w:t>inconsistent</w:t>
      </w:r>
      <w:r>
        <w:rPr>
          <w:spacing w:val="-5"/>
        </w:rPr>
        <w:t> </w:t>
      </w:r>
      <w:r>
        <w:rPr/>
        <w:t>with</w:t>
      </w:r>
      <w:r>
        <w:rPr>
          <w:spacing w:val="-5"/>
        </w:rPr>
        <w:t> </w:t>
      </w:r>
      <w:r>
        <w:rPr/>
        <w:t>the</w:t>
      </w:r>
      <w:r>
        <w:rPr>
          <w:spacing w:val="-5"/>
        </w:rPr>
        <w:t> </w:t>
      </w:r>
      <w:r>
        <w:rPr/>
        <w:t>demonstration</w:t>
      </w:r>
      <w:r>
        <w:rPr>
          <w:spacing w:val="-5"/>
        </w:rPr>
        <w:t> </w:t>
      </w:r>
      <w:r>
        <w:rPr/>
        <w:t>goals, such as sustained trends indicating substantially increased difficulty accessing services, could form the basis for CMS to initiate the process for withdrawing specific authorities within the </w:t>
      </w:r>
      <w:r>
        <w:rPr>
          <w:spacing w:val="-2"/>
        </w:rPr>
        <w:t>demonstration.</w:t>
      </w:r>
    </w:p>
    <w:p>
      <w:pPr>
        <w:pStyle w:val="BodyText"/>
      </w:pPr>
    </w:p>
    <w:p>
      <w:pPr>
        <w:pStyle w:val="BodyText"/>
        <w:spacing w:before="1"/>
        <w:ind w:left="1440" w:right="1239"/>
      </w:pPr>
      <w:r>
        <w:rPr/>
        <w:t>The demonstration’s monitoring activities must support tracking the Commonwealth’s progress toward meeting</w:t>
      </w:r>
      <w:r>
        <w:rPr>
          <w:spacing w:val="-2"/>
        </w:rPr>
        <w:t> </w:t>
      </w:r>
      <w:r>
        <w:rPr/>
        <w:t>the goals and milestones—including</w:t>
      </w:r>
      <w:r>
        <w:rPr>
          <w:spacing w:val="-1"/>
        </w:rPr>
        <w:t> </w:t>
      </w:r>
      <w:r>
        <w:rPr/>
        <w:t>relative to their projected timelines—of the demonstration’s program and policy implementation and infrastructure investments.</w:t>
      </w:r>
      <w:r>
        <w:rPr>
          <w:spacing w:val="40"/>
        </w:rPr>
        <w:t> </w:t>
      </w:r>
      <w:r>
        <w:rPr/>
        <w:t>The Commonwealth</w:t>
      </w:r>
      <w:r>
        <w:rPr>
          <w:spacing w:val="-3"/>
        </w:rPr>
        <w:t> </w:t>
      </w:r>
      <w:r>
        <w:rPr/>
        <w:t>must</w:t>
      </w:r>
      <w:r>
        <w:rPr>
          <w:spacing w:val="-3"/>
        </w:rPr>
        <w:t> </w:t>
      </w:r>
      <w:r>
        <w:rPr/>
        <w:t>report</w:t>
      </w:r>
      <w:r>
        <w:rPr>
          <w:spacing w:val="-3"/>
        </w:rPr>
        <w:t> </w:t>
      </w:r>
      <w:r>
        <w:rPr/>
        <w:t>on</w:t>
      </w:r>
      <w:r>
        <w:rPr>
          <w:spacing w:val="-3"/>
        </w:rPr>
        <w:t> </w:t>
      </w:r>
      <w:r>
        <w:rPr/>
        <w:t>metrics</w:t>
      </w:r>
      <w:r>
        <w:rPr>
          <w:spacing w:val="-3"/>
        </w:rPr>
        <w:t> </w:t>
      </w:r>
      <w:r>
        <w:rPr/>
        <w:t>that</w:t>
      </w:r>
      <w:r>
        <w:rPr>
          <w:spacing w:val="-2"/>
        </w:rPr>
        <w:t> </w:t>
      </w:r>
      <w:r>
        <w:rPr/>
        <w:t>relate</w:t>
      </w:r>
      <w:r>
        <w:rPr>
          <w:spacing w:val="-2"/>
        </w:rPr>
        <w:t> </w:t>
      </w:r>
      <w:r>
        <w:rPr/>
        <w:t>to</w:t>
      </w:r>
      <w:r>
        <w:rPr>
          <w:spacing w:val="-3"/>
        </w:rPr>
        <w:t> </w:t>
      </w:r>
      <w:r>
        <w:rPr/>
        <w:t>the</w:t>
      </w:r>
      <w:r>
        <w:rPr>
          <w:spacing w:val="-4"/>
        </w:rPr>
        <w:t> </w:t>
      </w:r>
      <w:r>
        <w:rPr/>
        <w:t>demonstration’s</w:t>
      </w:r>
      <w:r>
        <w:rPr>
          <w:spacing w:val="-4"/>
        </w:rPr>
        <w:t> </w:t>
      </w:r>
      <w:r>
        <w:rPr/>
        <w:t>key</w:t>
      </w:r>
      <w:r>
        <w:rPr>
          <w:spacing w:val="-6"/>
        </w:rPr>
        <w:t> </w:t>
      </w:r>
      <w:r>
        <w:rPr/>
        <w:t>policy</w:t>
      </w:r>
      <w:r>
        <w:rPr>
          <w:spacing w:val="-8"/>
        </w:rPr>
        <w:t> </w:t>
      </w:r>
      <w:r>
        <w:rPr/>
        <w:t>components, including but not limited to:</w:t>
      </w:r>
      <w:r>
        <w:rPr>
          <w:spacing w:val="40"/>
        </w:rPr>
        <w:t> </w:t>
      </w:r>
      <w:r>
        <w:rPr/>
        <w:t>SUD, serious mental illness (SMI), the new Hospital Quality and Equity Initiative, workforce development initiatives, continuous eligibility policy, and HRSN services.</w:t>
      </w:r>
      <w:r>
        <w:rPr>
          <w:spacing w:val="40"/>
        </w:rPr>
        <w:t> </w:t>
      </w:r>
      <w:r>
        <w:rPr/>
        <w:t>In addition, the Commonwealth must undertake reporting on metrics related to premiums and premium assistance programs (e.g., tracking beneficiaries subject to premiums, enrollment continuity and disenrollment rates) and the waiver of retroactive eligibility (e.g., tracking beneficiaries with unpaid medical bills at the time of application and those who experienced a gap in coverage).</w:t>
      </w:r>
    </w:p>
    <w:p>
      <w:pPr>
        <w:pStyle w:val="BodyText"/>
      </w:pPr>
    </w:p>
    <w:p>
      <w:pPr>
        <w:pStyle w:val="BodyText"/>
        <w:ind w:left="1440" w:right="1315"/>
      </w:pPr>
      <w:r>
        <w:rPr/>
        <w:t>The demonstration’s metrics reporting must cover categories including, but not limited to: enrollment and renewal, access to providers, utilization of services, and quality of care and health outcomes.</w:t>
      </w:r>
      <w:r>
        <w:rPr>
          <w:spacing w:val="40"/>
        </w:rPr>
        <w:t> </w:t>
      </w:r>
      <w:r>
        <w:rPr/>
        <w:t>The Commonwealth is required to do robust reporting</w:t>
      </w:r>
      <w:r>
        <w:rPr>
          <w:spacing w:val="-1"/>
        </w:rPr>
        <w:t> </w:t>
      </w:r>
      <w:r>
        <w:rPr/>
        <w:t>of quality</w:t>
      </w:r>
      <w:r>
        <w:rPr>
          <w:spacing w:val="-3"/>
        </w:rPr>
        <w:t> </w:t>
      </w:r>
      <w:r>
        <w:rPr/>
        <w:t>of care and health</w:t>
      </w:r>
      <w:r>
        <w:rPr>
          <w:spacing w:val="-3"/>
        </w:rPr>
        <w:t> </w:t>
      </w:r>
      <w:r>
        <w:rPr/>
        <w:t>outcomes</w:t>
      </w:r>
      <w:r>
        <w:rPr>
          <w:spacing w:val="-4"/>
        </w:rPr>
        <w:t> </w:t>
      </w:r>
      <w:r>
        <w:rPr/>
        <w:t>aligned</w:t>
      </w:r>
      <w:r>
        <w:rPr>
          <w:spacing w:val="-1"/>
        </w:rPr>
        <w:t> </w:t>
      </w:r>
      <w:r>
        <w:rPr/>
        <w:t>with</w:t>
      </w:r>
      <w:r>
        <w:rPr>
          <w:spacing w:val="-3"/>
        </w:rPr>
        <w:t> </w:t>
      </w:r>
      <w:r>
        <w:rPr/>
        <w:t>the</w:t>
      </w:r>
      <w:r>
        <w:rPr>
          <w:spacing w:val="-4"/>
        </w:rPr>
        <w:t> </w:t>
      </w:r>
      <w:r>
        <w:rPr/>
        <w:t>demonstration’s</w:t>
      </w:r>
      <w:r>
        <w:rPr>
          <w:spacing w:val="-4"/>
        </w:rPr>
        <w:t> </w:t>
      </w:r>
      <w:r>
        <w:rPr/>
        <w:t>policies</w:t>
      </w:r>
      <w:r>
        <w:rPr>
          <w:spacing w:val="-4"/>
        </w:rPr>
        <w:t> </w:t>
      </w:r>
      <w:r>
        <w:rPr/>
        <w:t>and</w:t>
      </w:r>
      <w:r>
        <w:rPr>
          <w:spacing w:val="-3"/>
        </w:rPr>
        <w:t> </w:t>
      </w:r>
      <w:r>
        <w:rPr/>
        <w:t>objectives,</w:t>
      </w:r>
      <w:r>
        <w:rPr>
          <w:spacing w:val="-3"/>
        </w:rPr>
        <w:t> </w:t>
      </w:r>
      <w:r>
        <w:rPr/>
        <w:t>to</w:t>
      </w:r>
      <w:r>
        <w:rPr>
          <w:spacing w:val="-3"/>
        </w:rPr>
        <w:t> </w:t>
      </w:r>
      <w:r>
        <w:rPr/>
        <w:t>be</w:t>
      </w:r>
      <w:r>
        <w:rPr>
          <w:spacing w:val="-4"/>
        </w:rPr>
        <w:t> </w:t>
      </w:r>
      <w:r>
        <w:rPr/>
        <w:t>reported</w:t>
      </w:r>
      <w:r>
        <w:rPr>
          <w:spacing w:val="-3"/>
        </w:rPr>
        <w:t> </w:t>
      </w:r>
      <w:r>
        <w:rPr/>
        <w:t>for</w:t>
      </w:r>
      <w:r>
        <w:rPr>
          <w:spacing w:val="-3"/>
        </w:rPr>
        <w:t> </w:t>
      </w:r>
      <w:r>
        <w:rPr/>
        <w:t>all demonstration populations.</w:t>
      </w:r>
      <w:r>
        <w:rPr>
          <w:spacing w:val="40"/>
        </w:rPr>
        <w:t> </w:t>
      </w:r>
      <w:r>
        <w:rPr/>
        <w:t>Such reporting must also be stratified by key demographic subpopulations of interest (e.g., by sex, age, race/ethnicity, English language proficiency, primary language, disability status, and geography) and by demonstration components, to the extent feasible.</w:t>
      </w:r>
      <w:r>
        <w:rPr>
          <w:spacing w:val="40"/>
        </w:rPr>
        <w:t> </w:t>
      </w:r>
      <w:r>
        <w:rPr/>
        <w:t>Subpopulation reporting will support identifying</w:t>
      </w:r>
      <w:r>
        <w:rPr>
          <w:spacing w:val="-3"/>
        </w:rPr>
        <w:t> </w:t>
      </w:r>
      <w:r>
        <w:rPr/>
        <w:t>any</w:t>
      </w:r>
      <w:r>
        <w:rPr>
          <w:spacing w:val="-3"/>
        </w:rPr>
        <w:t> </w:t>
      </w:r>
      <w:r>
        <w:rPr/>
        <w:t>existing</w:t>
      </w:r>
      <w:r>
        <w:rPr>
          <w:spacing w:val="-3"/>
        </w:rPr>
        <w:t> </w:t>
      </w:r>
      <w:r>
        <w:rPr/>
        <w:t>shortcomings or disparities in quality of care and health outcomes, and help track whether the demonstration’s</w:t>
      </w:r>
    </w:p>
    <w:p>
      <w:pPr>
        <w:pStyle w:val="BodyText"/>
        <w:spacing w:before="1"/>
        <w:ind w:left="1440" w:right="1315"/>
      </w:pPr>
      <w:r>
        <w:rPr/>
        <w:t>initiatives</w:t>
      </w:r>
      <w:r>
        <w:rPr>
          <w:spacing w:val="-5"/>
        </w:rPr>
        <w:t> </w:t>
      </w:r>
      <w:r>
        <w:rPr/>
        <w:t>help</w:t>
      </w:r>
      <w:r>
        <w:rPr>
          <w:spacing w:val="-4"/>
        </w:rPr>
        <w:t> </w:t>
      </w:r>
      <w:r>
        <w:rPr/>
        <w:t>improve</w:t>
      </w:r>
      <w:r>
        <w:rPr>
          <w:spacing w:val="-6"/>
        </w:rPr>
        <w:t> </w:t>
      </w:r>
      <w:r>
        <w:rPr/>
        <w:t>outcomes</w:t>
      </w:r>
      <w:r>
        <w:rPr>
          <w:spacing w:val="-5"/>
        </w:rPr>
        <w:t> </w:t>
      </w:r>
      <w:r>
        <w:rPr/>
        <w:t>for</w:t>
      </w:r>
      <w:r>
        <w:rPr>
          <w:spacing w:val="-6"/>
        </w:rPr>
        <w:t> </w:t>
      </w:r>
      <w:r>
        <w:rPr/>
        <w:t>the</w:t>
      </w:r>
      <w:r>
        <w:rPr>
          <w:spacing w:val="-4"/>
        </w:rPr>
        <w:t> </w:t>
      </w:r>
      <w:r>
        <w:rPr/>
        <w:t>Commonwealth’s</w:t>
      </w:r>
      <w:r>
        <w:rPr>
          <w:spacing w:val="-5"/>
        </w:rPr>
        <w:t> </w:t>
      </w:r>
      <w:r>
        <w:rPr/>
        <w:t>Medicaid</w:t>
      </w:r>
      <w:r>
        <w:rPr>
          <w:spacing w:val="-4"/>
        </w:rPr>
        <w:t> </w:t>
      </w:r>
      <w:r>
        <w:rPr/>
        <w:t>population,</w:t>
      </w:r>
      <w:r>
        <w:rPr>
          <w:spacing w:val="-4"/>
        </w:rPr>
        <w:t> </w:t>
      </w:r>
      <w:r>
        <w:rPr/>
        <w:t>including</w:t>
      </w:r>
      <w:r>
        <w:rPr>
          <w:spacing w:val="-6"/>
        </w:rPr>
        <w:t> </w:t>
      </w:r>
      <w:r>
        <w:rPr/>
        <w:t>the narrowing of any identified disparities.</w:t>
      </w:r>
      <w:r>
        <w:rPr>
          <w:spacing w:val="40"/>
        </w:rPr>
        <w:t> </w:t>
      </w:r>
      <w:r>
        <w:rPr/>
        <w:t>To that end, CMS underscores the importance of the Commonwealth’s reporting of quality of care and health outcomes metrics known to be important for closing key equity gaps in Medicaid/CHIP (e.g., the National Quality Forum</w:t>
      </w:r>
    </w:p>
    <w:p>
      <w:pPr>
        <w:pStyle w:val="BodyText"/>
        <w:ind w:left="1440" w:right="1267"/>
      </w:pPr>
      <w:r>
        <w:rPr/>
        <w:t>(NQF)</w:t>
      </w:r>
      <w:r>
        <w:rPr>
          <w:spacing w:val="-4"/>
        </w:rPr>
        <w:t> </w:t>
      </w:r>
      <w:r>
        <w:rPr/>
        <w:t>“disparities-sensitive”</w:t>
      </w:r>
      <w:r>
        <w:rPr>
          <w:spacing w:val="-5"/>
        </w:rPr>
        <w:t> </w:t>
      </w:r>
      <w:r>
        <w:rPr/>
        <w:t>measures)</w:t>
      </w:r>
      <w:r>
        <w:rPr>
          <w:spacing w:val="-4"/>
        </w:rPr>
        <w:t> </w:t>
      </w:r>
      <w:r>
        <w:rPr/>
        <w:t>and</w:t>
      </w:r>
      <w:r>
        <w:rPr>
          <w:spacing w:val="-4"/>
        </w:rPr>
        <w:t> </w:t>
      </w:r>
      <w:r>
        <w:rPr/>
        <w:t>prioritizing</w:t>
      </w:r>
      <w:r>
        <w:rPr>
          <w:spacing w:val="-5"/>
        </w:rPr>
        <w:t> </w:t>
      </w:r>
      <w:r>
        <w:rPr/>
        <w:t>key</w:t>
      </w:r>
      <w:r>
        <w:rPr>
          <w:spacing w:val="-8"/>
        </w:rPr>
        <w:t> </w:t>
      </w:r>
      <w:r>
        <w:rPr/>
        <w:t>outcome</w:t>
      </w:r>
      <w:r>
        <w:rPr>
          <w:spacing w:val="-5"/>
        </w:rPr>
        <w:t> </w:t>
      </w:r>
      <w:r>
        <w:rPr/>
        <w:t>measures</w:t>
      </w:r>
      <w:r>
        <w:rPr>
          <w:spacing w:val="-5"/>
        </w:rPr>
        <w:t> </w:t>
      </w:r>
      <w:r>
        <w:rPr/>
        <w:t>and</w:t>
      </w:r>
      <w:r>
        <w:rPr>
          <w:spacing w:val="-4"/>
        </w:rPr>
        <w:t> </w:t>
      </w:r>
      <w:r>
        <w:rPr/>
        <w:t>their</w:t>
      </w:r>
      <w:r>
        <w:rPr>
          <w:spacing w:val="-3"/>
        </w:rPr>
        <w:t> </w:t>
      </w:r>
      <w:r>
        <w:rPr/>
        <w:t>clinical and</w:t>
      </w:r>
      <w:r>
        <w:rPr>
          <w:spacing w:val="-3"/>
        </w:rPr>
        <w:t> </w:t>
      </w:r>
      <w:r>
        <w:rPr/>
        <w:t>non-clinical</w:t>
      </w:r>
      <w:r>
        <w:rPr>
          <w:spacing w:val="-3"/>
        </w:rPr>
        <w:t> </w:t>
      </w:r>
      <w:r>
        <w:rPr/>
        <w:t>(i.e.,</w:t>
      </w:r>
      <w:r>
        <w:rPr>
          <w:spacing w:val="-3"/>
        </w:rPr>
        <w:t> </w:t>
      </w:r>
      <w:r>
        <w:rPr/>
        <w:t>social)</w:t>
      </w:r>
      <w:r>
        <w:rPr>
          <w:spacing w:val="-3"/>
        </w:rPr>
        <w:t> </w:t>
      </w:r>
      <w:r>
        <w:rPr/>
        <w:t>drivers</w:t>
      </w:r>
      <w:r>
        <w:rPr>
          <w:spacing w:val="-3"/>
        </w:rPr>
        <w:t> </w:t>
      </w:r>
      <w:r>
        <w:rPr/>
        <w:t>of</w:t>
      </w:r>
      <w:r>
        <w:rPr>
          <w:spacing w:val="-5"/>
        </w:rPr>
        <w:t> </w:t>
      </w:r>
      <w:r>
        <w:rPr/>
        <w:t>health.</w:t>
      </w:r>
      <w:r>
        <w:rPr>
          <w:spacing w:val="40"/>
        </w:rPr>
        <w:t> </w:t>
      </w:r>
      <w:r>
        <w:rPr/>
        <w:t>In</w:t>
      </w:r>
      <w:r>
        <w:rPr>
          <w:spacing w:val="-1"/>
        </w:rPr>
        <w:t> </w:t>
      </w:r>
      <w:r>
        <w:rPr/>
        <w:t>coordination</w:t>
      </w:r>
      <w:r>
        <w:rPr>
          <w:spacing w:val="-3"/>
        </w:rPr>
        <w:t> </w:t>
      </w:r>
      <w:r>
        <w:rPr/>
        <w:t>with</w:t>
      </w:r>
      <w:r>
        <w:rPr>
          <w:spacing w:val="-3"/>
        </w:rPr>
        <w:t> </w:t>
      </w:r>
      <w:r>
        <w:rPr/>
        <w:t>CMS,</w:t>
      </w:r>
      <w:r>
        <w:rPr>
          <w:spacing w:val="-3"/>
        </w:rPr>
        <w:t> </w:t>
      </w:r>
      <w:r>
        <w:rPr/>
        <w:t>the</w:t>
      </w:r>
      <w:r>
        <w:rPr>
          <w:spacing w:val="-4"/>
        </w:rPr>
        <w:t> </w:t>
      </w:r>
      <w:r>
        <w:rPr/>
        <w:t>Commonwealth</w:t>
      </w:r>
      <w:r>
        <w:rPr>
          <w:spacing w:val="-3"/>
        </w:rPr>
        <w:t> </w:t>
      </w:r>
      <w:r>
        <w:rPr/>
        <w:t>is expected to select such measures for reporting in alignment with a critical set of equity-focused measures CMS is finalizing as part of its upcoming guidance on the Health Equity Measure </w:t>
      </w:r>
      <w:r>
        <w:rPr>
          <w:spacing w:val="-2"/>
        </w:rPr>
        <w:t>Slate.</w:t>
      </w:r>
    </w:p>
    <w:p>
      <w:pPr>
        <w:pStyle w:val="BodyText"/>
        <w:spacing w:before="1"/>
      </w:pPr>
    </w:p>
    <w:p>
      <w:pPr>
        <w:pStyle w:val="BodyText"/>
        <w:ind w:left="1440" w:right="1264"/>
      </w:pPr>
      <w:r>
        <w:rPr/>
        <w:t>For this demonstration’s HRSN initiatives, in addition to reporting on the metrics described above, the Commonwealth must track beneficiary participation, screening, receipt of referrals and social services over time, as well as narratively report on the adoption of information technology</w:t>
      </w:r>
      <w:r>
        <w:rPr>
          <w:spacing w:val="-9"/>
        </w:rPr>
        <w:t> </w:t>
      </w:r>
      <w:r>
        <w:rPr/>
        <w:t>infrastructure</w:t>
      </w:r>
      <w:r>
        <w:rPr>
          <w:spacing w:val="-3"/>
        </w:rPr>
        <w:t> </w:t>
      </w:r>
      <w:r>
        <w:rPr/>
        <w:t>to</w:t>
      </w:r>
      <w:r>
        <w:rPr>
          <w:spacing w:val="-4"/>
        </w:rPr>
        <w:t> </w:t>
      </w:r>
      <w:r>
        <w:rPr/>
        <w:t>support</w:t>
      </w:r>
      <w:r>
        <w:rPr>
          <w:spacing w:val="-4"/>
        </w:rPr>
        <w:t> </w:t>
      </w:r>
      <w:r>
        <w:rPr/>
        <w:t>data</w:t>
      </w:r>
      <w:r>
        <w:rPr>
          <w:spacing w:val="-4"/>
        </w:rPr>
        <w:t> </w:t>
      </w:r>
      <w:r>
        <w:rPr/>
        <w:t>sharing</w:t>
      </w:r>
      <w:r>
        <w:rPr>
          <w:spacing w:val="-7"/>
        </w:rPr>
        <w:t> </w:t>
      </w:r>
      <w:r>
        <w:rPr/>
        <w:t>between</w:t>
      </w:r>
      <w:r>
        <w:rPr>
          <w:spacing w:val="-4"/>
        </w:rPr>
        <w:t> </w:t>
      </w:r>
      <w:r>
        <w:rPr/>
        <w:t>the</w:t>
      </w:r>
      <w:r>
        <w:rPr>
          <w:spacing w:val="-4"/>
        </w:rPr>
        <w:t> </w:t>
      </w:r>
      <w:r>
        <w:rPr/>
        <w:t>Commonwealth</w:t>
      </w:r>
      <w:r>
        <w:rPr>
          <w:spacing w:val="-4"/>
        </w:rPr>
        <w:t> </w:t>
      </w:r>
      <w:r>
        <w:rPr/>
        <w:t>or</w:t>
      </w:r>
      <w:r>
        <w:rPr>
          <w:spacing w:val="-4"/>
        </w:rPr>
        <w:t> </w:t>
      </w:r>
      <w:r>
        <w:rPr/>
        <w:t>partner</w:t>
      </w:r>
      <w:r>
        <w:rPr>
          <w:spacing w:val="-3"/>
        </w:rPr>
        <w:t> </w:t>
      </w:r>
      <w:r>
        <w:rPr/>
        <w:t>entities</w:t>
      </w:r>
    </w:p>
    <w:p>
      <w:pPr>
        <w:spacing w:after="0"/>
        <w:sectPr>
          <w:pgSz w:w="12240" w:h="15840"/>
          <w:pgMar w:top="640" w:bottom="280" w:left="0" w:right="220"/>
        </w:sectPr>
      </w:pPr>
    </w:p>
    <w:p>
      <w:pPr>
        <w:pStyle w:val="BodyText"/>
        <w:spacing w:before="79"/>
        <w:ind w:right="1218"/>
        <w:jc w:val="right"/>
      </w:pPr>
      <w:r>
        <w:rPr/>
        <w:t>Page</w:t>
      </w:r>
      <w:r>
        <w:rPr>
          <w:spacing w:val="-5"/>
        </w:rPr>
        <w:t> 14</w:t>
      </w:r>
    </w:p>
    <w:p>
      <w:pPr>
        <w:pStyle w:val="BodyText"/>
        <w:spacing w:before="7"/>
        <w:rPr>
          <w:sz w:val="38"/>
        </w:rPr>
      </w:pPr>
    </w:p>
    <w:p>
      <w:pPr>
        <w:pStyle w:val="BodyText"/>
        <w:ind w:left="1440" w:right="1242"/>
      </w:pPr>
      <w:r>
        <w:rPr/>
        <w:t>assisting in the administration of the demonstration and social services organizations. Specifically</w:t>
      </w:r>
      <w:r>
        <w:rPr>
          <w:spacing w:val="-8"/>
        </w:rPr>
        <w:t> </w:t>
      </w:r>
      <w:r>
        <w:rPr/>
        <w:t>in</w:t>
      </w:r>
      <w:r>
        <w:rPr>
          <w:spacing w:val="-3"/>
        </w:rPr>
        <w:t> </w:t>
      </w:r>
      <w:r>
        <w:rPr/>
        <w:t>the</w:t>
      </w:r>
      <w:r>
        <w:rPr>
          <w:spacing w:val="-4"/>
        </w:rPr>
        <w:t> </w:t>
      </w:r>
      <w:r>
        <w:rPr/>
        <w:t>context</w:t>
      </w:r>
      <w:r>
        <w:rPr>
          <w:spacing w:val="-3"/>
        </w:rPr>
        <w:t> </w:t>
      </w:r>
      <w:r>
        <w:rPr/>
        <w:t>of</w:t>
      </w:r>
      <w:r>
        <w:rPr>
          <w:spacing w:val="-3"/>
        </w:rPr>
        <w:t> </w:t>
      </w:r>
      <w:r>
        <w:rPr/>
        <w:t>the</w:t>
      </w:r>
      <w:r>
        <w:rPr>
          <w:spacing w:val="-4"/>
        </w:rPr>
        <w:t> </w:t>
      </w:r>
      <w:r>
        <w:rPr/>
        <w:t>HRSN</w:t>
      </w:r>
      <w:r>
        <w:rPr>
          <w:spacing w:val="-3"/>
        </w:rPr>
        <w:t> </w:t>
      </w:r>
      <w:r>
        <w:rPr/>
        <w:t>initiatives,</w:t>
      </w:r>
      <w:r>
        <w:rPr>
          <w:spacing w:val="-6"/>
        </w:rPr>
        <w:t> </w:t>
      </w:r>
      <w:r>
        <w:rPr/>
        <w:t>the</w:t>
      </w:r>
      <w:r>
        <w:rPr>
          <w:spacing w:val="-2"/>
        </w:rPr>
        <w:t> </w:t>
      </w:r>
      <w:r>
        <w:rPr/>
        <w:t>Commonwealth’s</w:t>
      </w:r>
      <w:r>
        <w:rPr>
          <w:spacing w:val="-4"/>
        </w:rPr>
        <w:t> </w:t>
      </w:r>
      <w:r>
        <w:rPr/>
        <w:t>enrollment</w:t>
      </w:r>
      <w:r>
        <w:rPr>
          <w:spacing w:val="-3"/>
        </w:rPr>
        <w:t> </w:t>
      </w:r>
      <w:r>
        <w:rPr/>
        <w:t>and</w:t>
      </w:r>
      <w:r>
        <w:rPr>
          <w:spacing w:val="-3"/>
        </w:rPr>
        <w:t> </w:t>
      </w:r>
      <w:r>
        <w:rPr/>
        <w:t>renewal metrics must capture baseline data and track progress via Monitoring Reports for the percent of Medicaid renewals completed ex-parte (administratively), as well as the percentage of Medicaid beneficiaries enrolled in other public benefit programs (such as, Supplemental Nutrition Assistance Program (SNAP) and Special Supplemental Nutrition Program for Women, Infants, and Children (WIC)) for which they</w:t>
      </w:r>
      <w:r>
        <w:rPr>
          <w:spacing w:val="-2"/>
        </w:rPr>
        <w:t> </w:t>
      </w:r>
      <w:r>
        <w:rPr/>
        <w:t>are eligible.</w:t>
      </w:r>
      <w:r>
        <w:rPr>
          <w:spacing w:val="40"/>
        </w:rPr>
        <w:t> </w:t>
      </w:r>
      <w:r>
        <w:rPr/>
        <w:t>These reports must also provide status updates in accordance with the Monitoring Protocol on the implementation of infrastructure investments tied to the HRSN initiatives.</w:t>
      </w:r>
      <w:r>
        <w:rPr>
          <w:spacing w:val="80"/>
        </w:rPr>
        <w:t> </w:t>
      </w:r>
      <w:r>
        <w:rPr/>
        <w:t>Finally, if the Commonwealth, health plans, or health care providers will contract or partner with organizations to implement the demonstration, the Commonwealth must use monitoring metrics that track the number and characteristics of contracted or participating organizations in specific demonstration programs and corresponding payment-related metrics; these metrics are specifically relevant for the Commonwealth’s HRSN initiatives and the projects hospitals may undertake as part of the Hospital Quality and Equity </w:t>
      </w:r>
      <w:r>
        <w:rPr>
          <w:spacing w:val="-2"/>
        </w:rPr>
        <w:t>Initiative.</w:t>
      </w:r>
    </w:p>
    <w:p>
      <w:pPr>
        <w:pStyle w:val="BodyText"/>
        <w:spacing w:before="1"/>
      </w:pPr>
    </w:p>
    <w:p>
      <w:pPr>
        <w:pStyle w:val="BodyText"/>
        <w:ind w:left="1440" w:right="1239"/>
      </w:pPr>
      <w:r>
        <w:rPr/>
        <w:t>Furthermore, under the STCs, and consistent with current CMS guidance, Massachusetts must develop,</w:t>
      </w:r>
      <w:r>
        <w:rPr>
          <w:spacing w:val="-1"/>
        </w:rPr>
        <w:t> </w:t>
      </w:r>
      <w:r>
        <w:rPr/>
        <w:t>for</w:t>
      </w:r>
      <w:r>
        <w:rPr>
          <w:spacing w:val="-2"/>
        </w:rPr>
        <w:t> </w:t>
      </w:r>
      <w:r>
        <w:rPr/>
        <w:t>the</w:t>
      </w:r>
      <w:r>
        <w:rPr>
          <w:spacing w:val="-1"/>
        </w:rPr>
        <w:t> </w:t>
      </w:r>
      <w:r>
        <w:rPr/>
        <w:t>demonstration</w:t>
      </w:r>
      <w:r>
        <w:rPr>
          <w:spacing w:val="-1"/>
        </w:rPr>
        <w:t> </w:t>
      </w:r>
      <w:r>
        <w:rPr/>
        <w:t>extension</w:t>
      </w:r>
      <w:r>
        <w:rPr>
          <w:spacing w:val="-1"/>
        </w:rPr>
        <w:t> </w:t>
      </w:r>
      <w:r>
        <w:rPr/>
        <w:t>period,</w:t>
      </w:r>
      <w:r>
        <w:rPr>
          <w:spacing w:val="-1"/>
        </w:rPr>
        <w:t> </w:t>
      </w:r>
      <w:r>
        <w:rPr/>
        <w:t>a</w:t>
      </w:r>
      <w:r>
        <w:rPr>
          <w:spacing w:val="-3"/>
        </w:rPr>
        <w:t> </w:t>
      </w:r>
      <w:r>
        <w:rPr/>
        <w:t>rigorous</w:t>
      </w:r>
      <w:r>
        <w:rPr>
          <w:spacing w:val="-1"/>
        </w:rPr>
        <w:t> </w:t>
      </w:r>
      <w:r>
        <w:rPr/>
        <w:t>Evaluation</w:t>
      </w:r>
      <w:r>
        <w:rPr>
          <w:spacing w:val="-1"/>
        </w:rPr>
        <w:t> </w:t>
      </w:r>
      <w:r>
        <w:rPr/>
        <w:t>Design</w:t>
      </w:r>
      <w:r>
        <w:rPr>
          <w:spacing w:val="-1"/>
        </w:rPr>
        <w:t> </w:t>
      </w:r>
      <w:r>
        <w:rPr/>
        <w:t>using</w:t>
      </w:r>
      <w:r>
        <w:rPr>
          <w:spacing w:val="-4"/>
        </w:rPr>
        <w:t> </w:t>
      </w:r>
      <w:r>
        <w:rPr/>
        <w:t>robust</w:t>
      </w:r>
      <w:r>
        <w:rPr>
          <w:spacing w:val="-1"/>
        </w:rPr>
        <w:t> </w:t>
      </w:r>
      <w:r>
        <w:rPr/>
        <w:t>data sources</w:t>
      </w:r>
      <w:r>
        <w:rPr>
          <w:spacing w:val="-1"/>
        </w:rPr>
        <w:t> </w:t>
      </w:r>
      <w:r>
        <w:rPr/>
        <w:t>and</w:t>
      </w:r>
      <w:r>
        <w:rPr>
          <w:spacing w:val="-1"/>
        </w:rPr>
        <w:t> </w:t>
      </w:r>
      <w:r>
        <w:rPr/>
        <w:t>sound analytic</w:t>
      </w:r>
      <w:r>
        <w:rPr>
          <w:spacing w:val="-1"/>
        </w:rPr>
        <w:t> </w:t>
      </w:r>
      <w:r>
        <w:rPr/>
        <w:t>approaches</w:t>
      </w:r>
      <w:r>
        <w:rPr>
          <w:spacing w:val="-1"/>
        </w:rPr>
        <w:t> </w:t>
      </w:r>
      <w:r>
        <w:rPr/>
        <w:t>that</w:t>
      </w:r>
      <w:r>
        <w:rPr>
          <w:spacing w:val="-1"/>
        </w:rPr>
        <w:t> </w:t>
      </w:r>
      <w:r>
        <w:rPr/>
        <w:t>support</w:t>
      </w:r>
      <w:r>
        <w:rPr>
          <w:spacing w:val="-1"/>
        </w:rPr>
        <w:t> </w:t>
      </w:r>
      <w:r>
        <w:rPr/>
        <w:t>a</w:t>
      </w:r>
      <w:r>
        <w:rPr>
          <w:spacing w:val="-1"/>
        </w:rPr>
        <w:t> </w:t>
      </w:r>
      <w:r>
        <w:rPr/>
        <w:t>comprehensive</w:t>
      </w:r>
      <w:r>
        <w:rPr>
          <w:spacing w:val="-2"/>
        </w:rPr>
        <w:t> </w:t>
      </w:r>
      <w:r>
        <w:rPr/>
        <w:t>and</w:t>
      </w:r>
      <w:r>
        <w:rPr>
          <w:spacing w:val="-1"/>
        </w:rPr>
        <w:t> </w:t>
      </w:r>
      <w:r>
        <w:rPr/>
        <w:t>meaningful</w:t>
      </w:r>
      <w:r>
        <w:rPr>
          <w:spacing w:val="-1"/>
        </w:rPr>
        <w:t> </w:t>
      </w:r>
      <w:r>
        <w:rPr/>
        <w:t>evaluation of</w:t>
      </w:r>
      <w:r>
        <w:rPr>
          <w:spacing w:val="-3"/>
        </w:rPr>
        <w:t> </w:t>
      </w:r>
      <w:r>
        <w:rPr/>
        <w:t>the</w:t>
      </w:r>
      <w:r>
        <w:rPr>
          <w:spacing w:val="-5"/>
        </w:rPr>
        <w:t> </w:t>
      </w:r>
      <w:r>
        <w:rPr/>
        <w:t>demonstration</w:t>
      </w:r>
      <w:r>
        <w:rPr>
          <w:spacing w:val="-3"/>
        </w:rPr>
        <w:t> </w:t>
      </w:r>
      <w:r>
        <w:rPr/>
        <w:t>to</w:t>
      </w:r>
      <w:r>
        <w:rPr>
          <w:spacing w:val="-3"/>
        </w:rPr>
        <w:t> </w:t>
      </w:r>
      <w:r>
        <w:rPr/>
        <w:t>assess</w:t>
      </w:r>
      <w:r>
        <w:rPr>
          <w:spacing w:val="-3"/>
        </w:rPr>
        <w:t> </w:t>
      </w:r>
      <w:r>
        <w:rPr/>
        <w:t>whether</w:t>
      </w:r>
      <w:r>
        <w:rPr>
          <w:spacing w:val="-5"/>
        </w:rPr>
        <w:t> </w:t>
      </w:r>
      <w:r>
        <w:rPr/>
        <w:t>the</w:t>
      </w:r>
      <w:r>
        <w:rPr>
          <w:spacing w:val="-3"/>
        </w:rPr>
        <w:t> </w:t>
      </w:r>
      <w:r>
        <w:rPr/>
        <w:t>demonstration</w:t>
      </w:r>
      <w:r>
        <w:rPr>
          <w:spacing w:val="-3"/>
        </w:rPr>
        <w:t> </w:t>
      </w:r>
      <w:r>
        <w:rPr/>
        <w:t>components</w:t>
      </w:r>
      <w:r>
        <w:rPr>
          <w:spacing w:val="-3"/>
        </w:rPr>
        <w:t> </w:t>
      </w:r>
      <w:r>
        <w:rPr/>
        <w:t>are</w:t>
      </w:r>
      <w:r>
        <w:rPr>
          <w:spacing w:val="-3"/>
        </w:rPr>
        <w:t> </w:t>
      </w:r>
      <w:r>
        <w:rPr/>
        <w:t>effective</w:t>
      </w:r>
      <w:r>
        <w:rPr>
          <w:spacing w:val="-4"/>
        </w:rPr>
        <w:t> </w:t>
      </w:r>
      <w:r>
        <w:rPr/>
        <w:t>in</w:t>
      </w:r>
      <w:r>
        <w:rPr>
          <w:spacing w:val="-3"/>
        </w:rPr>
        <w:t> </w:t>
      </w:r>
      <w:r>
        <w:rPr/>
        <w:t>producing the desired outcomes for its beneficiaries and providers, as well as for the Commonwealth’s overall Medicaid program.</w:t>
      </w:r>
      <w:r>
        <w:rPr>
          <w:spacing w:val="40"/>
        </w:rPr>
        <w:t> </w:t>
      </w:r>
      <w:r>
        <w:rPr/>
        <w:t>The</w:t>
      </w:r>
      <w:r>
        <w:rPr>
          <w:spacing w:val="-1"/>
        </w:rPr>
        <w:t> </w:t>
      </w:r>
      <w:r>
        <w:rPr/>
        <w:t>demonstration evaluation must outline and address well-crafted hypotheses and research questions for all key demonstration policy components that support</w:t>
      </w:r>
    </w:p>
    <w:p>
      <w:pPr>
        <w:pStyle w:val="BodyText"/>
        <w:ind w:left="1440" w:right="1239"/>
      </w:pPr>
      <w:r>
        <w:rPr/>
        <w:t>understanding of the demonstration’s impact on beneficiary coverage, access to and quality of care, and health outcomes, as well as its effectiveness in achieving the policy goals and objectives.</w:t>
      </w:r>
      <w:r>
        <w:rPr>
          <w:spacing w:val="40"/>
        </w:rPr>
        <w:t> </w:t>
      </w:r>
      <w:r>
        <w:rPr/>
        <w:t>Furthermore, to the extent feasible, the Commonwealth must collect data to support analyses stratified by key subpopulations of interest (e.g., by sex, age, race/ethnicity, English language proficiency, primary language, disability status, and geography).</w:t>
      </w:r>
      <w:r>
        <w:rPr>
          <w:spacing w:val="40"/>
        </w:rPr>
        <w:t> </w:t>
      </w:r>
      <w:r>
        <w:rPr/>
        <w:t>Such stratified data analyses</w:t>
      </w:r>
      <w:r>
        <w:rPr>
          <w:spacing w:val="-3"/>
        </w:rPr>
        <w:t> </w:t>
      </w:r>
      <w:r>
        <w:rPr/>
        <w:t>will</w:t>
      </w:r>
      <w:r>
        <w:rPr>
          <w:spacing w:val="-3"/>
        </w:rPr>
        <w:t> </w:t>
      </w:r>
      <w:r>
        <w:rPr/>
        <w:t>provide</w:t>
      </w:r>
      <w:r>
        <w:rPr>
          <w:spacing w:val="-3"/>
        </w:rPr>
        <w:t> </w:t>
      </w:r>
      <w:r>
        <w:rPr/>
        <w:t>a</w:t>
      </w:r>
      <w:r>
        <w:rPr>
          <w:spacing w:val="-3"/>
        </w:rPr>
        <w:t> </w:t>
      </w:r>
      <w:r>
        <w:rPr/>
        <w:t>fuller</w:t>
      </w:r>
      <w:r>
        <w:rPr>
          <w:spacing w:val="-3"/>
        </w:rPr>
        <w:t> </w:t>
      </w:r>
      <w:r>
        <w:rPr/>
        <w:t>understanding</w:t>
      </w:r>
      <w:r>
        <w:rPr>
          <w:spacing w:val="-5"/>
        </w:rPr>
        <w:t> </w:t>
      </w:r>
      <w:r>
        <w:rPr/>
        <w:t>of</w:t>
      </w:r>
      <w:r>
        <w:rPr>
          <w:spacing w:val="-2"/>
        </w:rPr>
        <w:t> </w:t>
      </w:r>
      <w:r>
        <w:rPr/>
        <w:t>existing</w:t>
      </w:r>
      <w:r>
        <w:rPr>
          <w:spacing w:val="-4"/>
        </w:rPr>
        <w:t> </w:t>
      </w:r>
      <w:r>
        <w:rPr/>
        <w:t>disparities</w:t>
      </w:r>
      <w:r>
        <w:rPr>
          <w:spacing w:val="-3"/>
        </w:rPr>
        <w:t> </w:t>
      </w:r>
      <w:r>
        <w:rPr/>
        <w:t>in</w:t>
      </w:r>
      <w:r>
        <w:rPr>
          <w:spacing w:val="-3"/>
        </w:rPr>
        <w:t> </w:t>
      </w:r>
      <w:r>
        <w:rPr/>
        <w:t>access</w:t>
      </w:r>
      <w:r>
        <w:rPr>
          <w:spacing w:val="-3"/>
        </w:rPr>
        <w:t> </w:t>
      </w:r>
      <w:r>
        <w:rPr/>
        <w:t>to</w:t>
      </w:r>
      <w:r>
        <w:rPr>
          <w:spacing w:val="-3"/>
        </w:rPr>
        <w:t> </w:t>
      </w:r>
      <w:r>
        <w:rPr/>
        <w:t>and</w:t>
      </w:r>
      <w:r>
        <w:rPr>
          <w:spacing w:val="-3"/>
        </w:rPr>
        <w:t> </w:t>
      </w:r>
      <w:r>
        <w:rPr/>
        <w:t>quality</w:t>
      </w:r>
      <w:r>
        <w:rPr>
          <w:spacing w:val="-7"/>
        </w:rPr>
        <w:t> </w:t>
      </w:r>
      <w:r>
        <w:rPr/>
        <w:t>of</w:t>
      </w:r>
      <w:r>
        <w:rPr>
          <w:spacing w:val="-2"/>
        </w:rPr>
        <w:t> </w:t>
      </w:r>
      <w:r>
        <w:rPr/>
        <w:t>care and health outcomes, and help inform how the demonstration’s various policies might support reducing such disparities.</w:t>
      </w:r>
    </w:p>
    <w:p>
      <w:pPr>
        <w:pStyle w:val="BodyText"/>
        <w:spacing w:before="1"/>
      </w:pPr>
    </w:p>
    <w:p>
      <w:pPr>
        <w:pStyle w:val="BodyText"/>
        <w:ind w:left="1440" w:right="1264"/>
      </w:pPr>
      <w:r>
        <w:rPr/>
        <w:t>For all components of the demonstration, including those that are being extended from the prior approval period, the Commonwealth must—as applicable—develop and test evaluation hypotheses and research questions in alignment with program goals, and assess care coordination, access to and utilization of primary and behavioral health services, and reductions in</w:t>
      </w:r>
      <w:r>
        <w:rPr>
          <w:spacing w:val="-2"/>
        </w:rPr>
        <w:t> </w:t>
      </w:r>
      <w:r>
        <w:rPr/>
        <w:t>use</w:t>
      </w:r>
      <w:r>
        <w:rPr>
          <w:spacing w:val="-2"/>
        </w:rPr>
        <w:t> </w:t>
      </w:r>
      <w:r>
        <w:rPr/>
        <w:t>of</w:t>
      </w:r>
      <w:r>
        <w:rPr>
          <w:spacing w:val="-3"/>
        </w:rPr>
        <w:t> </w:t>
      </w:r>
      <w:r>
        <w:rPr/>
        <w:t>avoidable</w:t>
      </w:r>
      <w:r>
        <w:rPr>
          <w:spacing w:val="-3"/>
        </w:rPr>
        <w:t> </w:t>
      </w:r>
      <w:r>
        <w:rPr/>
        <w:t>impatient</w:t>
      </w:r>
      <w:r>
        <w:rPr>
          <w:spacing w:val="-2"/>
        </w:rPr>
        <w:t> </w:t>
      </w:r>
      <w:r>
        <w:rPr/>
        <w:t>and</w:t>
      </w:r>
      <w:r>
        <w:rPr>
          <w:spacing w:val="-2"/>
        </w:rPr>
        <w:t> </w:t>
      </w:r>
      <w:r>
        <w:rPr/>
        <w:t>emergency</w:t>
      </w:r>
      <w:r>
        <w:rPr>
          <w:spacing w:val="-7"/>
        </w:rPr>
        <w:t> </w:t>
      </w:r>
      <w:r>
        <w:rPr/>
        <w:t>department</w:t>
      </w:r>
      <w:r>
        <w:rPr>
          <w:spacing w:val="-2"/>
        </w:rPr>
        <w:t> </w:t>
      </w:r>
      <w:r>
        <w:rPr/>
        <w:t>(ED)</w:t>
      </w:r>
      <w:r>
        <w:rPr>
          <w:spacing w:val="-2"/>
        </w:rPr>
        <w:t> </w:t>
      </w:r>
      <w:r>
        <w:rPr/>
        <w:t>services.</w:t>
      </w:r>
      <w:r>
        <w:rPr>
          <w:spacing w:val="40"/>
        </w:rPr>
        <w:t> </w:t>
      </w:r>
      <w:r>
        <w:rPr/>
        <w:t>Specifically, to</w:t>
      </w:r>
      <w:r>
        <w:rPr>
          <w:spacing w:val="-2"/>
        </w:rPr>
        <w:t> </w:t>
      </w:r>
      <w:r>
        <w:rPr/>
        <w:t>evaluate the</w:t>
      </w:r>
      <w:r>
        <w:rPr>
          <w:spacing w:val="-4"/>
        </w:rPr>
        <w:t> </w:t>
      </w:r>
      <w:r>
        <w:rPr/>
        <w:t>impact</w:t>
      </w:r>
      <w:r>
        <w:rPr>
          <w:spacing w:val="-4"/>
        </w:rPr>
        <w:t> </w:t>
      </w:r>
      <w:r>
        <w:rPr/>
        <w:t>of</w:t>
      </w:r>
      <w:r>
        <w:rPr>
          <w:spacing w:val="-4"/>
        </w:rPr>
        <w:t> </w:t>
      </w:r>
      <w:r>
        <w:rPr/>
        <w:t>the</w:t>
      </w:r>
      <w:r>
        <w:rPr>
          <w:spacing w:val="-5"/>
        </w:rPr>
        <w:t> </w:t>
      </w:r>
      <w:r>
        <w:rPr/>
        <w:t>premium</w:t>
      </w:r>
      <w:r>
        <w:rPr>
          <w:spacing w:val="-4"/>
        </w:rPr>
        <w:t> </w:t>
      </w:r>
      <w:r>
        <w:rPr/>
        <w:t>policy,</w:t>
      </w:r>
      <w:r>
        <w:rPr>
          <w:spacing w:val="-4"/>
        </w:rPr>
        <w:t> </w:t>
      </w:r>
      <w:r>
        <w:rPr/>
        <w:t>the</w:t>
      </w:r>
      <w:r>
        <w:rPr>
          <w:spacing w:val="-4"/>
        </w:rPr>
        <w:t> </w:t>
      </w:r>
      <w:r>
        <w:rPr/>
        <w:t>Commonwealth</w:t>
      </w:r>
      <w:r>
        <w:rPr>
          <w:spacing w:val="-4"/>
        </w:rPr>
        <w:t> </w:t>
      </w:r>
      <w:r>
        <w:rPr/>
        <w:t>must</w:t>
      </w:r>
      <w:r>
        <w:rPr>
          <w:spacing w:val="-4"/>
        </w:rPr>
        <w:t> </w:t>
      </w:r>
      <w:r>
        <w:rPr/>
        <w:t>continue</w:t>
      </w:r>
      <w:r>
        <w:rPr>
          <w:spacing w:val="-4"/>
        </w:rPr>
        <w:t> </w:t>
      </w:r>
      <w:r>
        <w:rPr/>
        <w:t>to</w:t>
      </w:r>
      <w:r>
        <w:rPr>
          <w:spacing w:val="-4"/>
        </w:rPr>
        <w:t> </w:t>
      </w:r>
      <w:r>
        <w:rPr/>
        <w:t>assess</w:t>
      </w:r>
      <w:r>
        <w:rPr>
          <w:spacing w:val="-4"/>
        </w:rPr>
        <w:t> </w:t>
      </w:r>
      <w:r>
        <w:rPr/>
        <w:t>beneficiary</w:t>
      </w:r>
      <w:r>
        <w:rPr>
          <w:spacing w:val="-8"/>
        </w:rPr>
        <w:t> </w:t>
      </w:r>
      <w:r>
        <w:rPr/>
        <w:t>access to and utilization of health care services, enrollment continuity, number and frequency of coverage gaps, and beneficiary experiences with care.</w:t>
      </w:r>
      <w:r>
        <w:rPr>
          <w:spacing w:val="40"/>
        </w:rPr>
        <w:t> </w:t>
      </w:r>
      <w:r>
        <w:rPr/>
        <w:t>The Commonwealth also must collect</w:t>
      </w:r>
    </w:p>
    <w:p>
      <w:pPr>
        <w:pStyle w:val="BodyText"/>
        <w:spacing w:before="1"/>
        <w:ind w:left="1440" w:right="1239"/>
      </w:pPr>
      <w:r>
        <w:rPr/>
        <w:t>necessary</w:t>
      </w:r>
      <w:r>
        <w:rPr>
          <w:spacing w:val="-8"/>
        </w:rPr>
        <w:t> </w:t>
      </w:r>
      <w:r>
        <w:rPr/>
        <w:t>data</w:t>
      </w:r>
      <w:r>
        <w:rPr>
          <w:spacing w:val="-3"/>
        </w:rPr>
        <w:t> </w:t>
      </w:r>
      <w:r>
        <w:rPr/>
        <w:t>to</w:t>
      </w:r>
      <w:r>
        <w:rPr>
          <w:spacing w:val="-3"/>
        </w:rPr>
        <w:t> </w:t>
      </w:r>
      <w:r>
        <w:rPr/>
        <w:t>accommodate</w:t>
      </w:r>
      <w:r>
        <w:rPr>
          <w:spacing w:val="-4"/>
        </w:rPr>
        <w:t> </w:t>
      </w:r>
      <w:r>
        <w:rPr/>
        <w:t>CMS’s</w:t>
      </w:r>
      <w:r>
        <w:rPr>
          <w:spacing w:val="-4"/>
        </w:rPr>
        <w:t> </w:t>
      </w:r>
      <w:r>
        <w:rPr/>
        <w:t>evaluation</w:t>
      </w:r>
      <w:r>
        <w:rPr>
          <w:spacing w:val="-3"/>
        </w:rPr>
        <w:t> </w:t>
      </w:r>
      <w:r>
        <w:rPr/>
        <w:t>expectations</w:t>
      </w:r>
      <w:r>
        <w:rPr>
          <w:spacing w:val="-3"/>
        </w:rPr>
        <w:t> </w:t>
      </w:r>
      <w:r>
        <w:rPr/>
        <w:t>to</w:t>
      </w:r>
      <w:r>
        <w:rPr>
          <w:spacing w:val="-3"/>
        </w:rPr>
        <w:t> </w:t>
      </w:r>
      <w:r>
        <w:rPr/>
        <w:t>rigorously</w:t>
      </w:r>
      <w:r>
        <w:rPr>
          <w:spacing w:val="-8"/>
        </w:rPr>
        <w:t> </w:t>
      </w:r>
      <w:r>
        <w:rPr/>
        <w:t>assess</w:t>
      </w:r>
      <w:r>
        <w:rPr>
          <w:spacing w:val="-4"/>
        </w:rPr>
        <w:t> </w:t>
      </w:r>
      <w:r>
        <w:rPr/>
        <w:t>the</w:t>
      </w:r>
      <w:r>
        <w:rPr>
          <w:spacing w:val="-2"/>
        </w:rPr>
        <w:t> </w:t>
      </w:r>
      <w:r>
        <w:rPr/>
        <w:t>effects</w:t>
      </w:r>
      <w:r>
        <w:rPr>
          <w:spacing w:val="-3"/>
        </w:rPr>
        <w:t> </w:t>
      </w:r>
      <w:r>
        <w:rPr/>
        <w:t>of the Commonwealth’s waiver of retroactive eligibility on beneficiaries and providers, for example, by examining outcomes such as likelihood of enrollment and enrollment continuity, health status, and financial status.</w:t>
      </w:r>
    </w:p>
    <w:p>
      <w:pPr>
        <w:spacing w:after="0"/>
        <w:sectPr>
          <w:pgSz w:w="12240" w:h="15840"/>
          <w:pgMar w:top="640" w:bottom="280" w:left="0" w:right="220"/>
        </w:sectPr>
      </w:pPr>
    </w:p>
    <w:p>
      <w:pPr>
        <w:pStyle w:val="BodyText"/>
        <w:spacing w:before="79"/>
        <w:ind w:right="1218"/>
        <w:jc w:val="right"/>
      </w:pPr>
      <w:r>
        <w:rPr/>
        <w:t>Page</w:t>
      </w:r>
      <w:r>
        <w:rPr>
          <w:spacing w:val="-5"/>
        </w:rPr>
        <w:t> 15</w:t>
      </w:r>
    </w:p>
    <w:p>
      <w:pPr>
        <w:pStyle w:val="BodyText"/>
        <w:spacing w:before="7"/>
        <w:rPr>
          <w:sz w:val="38"/>
        </w:rPr>
      </w:pPr>
    </w:p>
    <w:p>
      <w:pPr>
        <w:pStyle w:val="BodyText"/>
        <w:ind w:left="1440" w:right="1239"/>
      </w:pPr>
      <w:r>
        <w:rPr/>
        <w:t>Evaluation</w:t>
      </w:r>
      <w:r>
        <w:rPr>
          <w:spacing w:val="-3"/>
        </w:rPr>
        <w:t> </w:t>
      </w:r>
      <w:r>
        <w:rPr/>
        <w:t>hypotheses</w:t>
      </w:r>
      <w:r>
        <w:rPr>
          <w:spacing w:val="-3"/>
        </w:rPr>
        <w:t> </w:t>
      </w:r>
      <w:r>
        <w:rPr/>
        <w:t>for</w:t>
      </w:r>
      <w:r>
        <w:rPr>
          <w:spacing w:val="-3"/>
        </w:rPr>
        <w:t> </w:t>
      </w:r>
      <w:r>
        <w:rPr/>
        <w:t>the</w:t>
      </w:r>
      <w:r>
        <w:rPr>
          <w:spacing w:val="-3"/>
        </w:rPr>
        <w:t> </w:t>
      </w:r>
      <w:r>
        <w:rPr/>
        <w:t>HRSN</w:t>
      </w:r>
      <w:r>
        <w:rPr>
          <w:spacing w:val="-3"/>
        </w:rPr>
        <w:t> </w:t>
      </w:r>
      <w:r>
        <w:rPr/>
        <w:t>initiatives</w:t>
      </w:r>
      <w:r>
        <w:rPr>
          <w:spacing w:val="-3"/>
        </w:rPr>
        <w:t> </w:t>
      </w:r>
      <w:r>
        <w:rPr/>
        <w:t>must</w:t>
      </w:r>
      <w:r>
        <w:rPr>
          <w:spacing w:val="-3"/>
        </w:rPr>
        <w:t> </w:t>
      </w:r>
      <w:r>
        <w:rPr/>
        <w:t>focus</w:t>
      </w:r>
      <w:r>
        <w:rPr>
          <w:spacing w:val="-3"/>
        </w:rPr>
        <w:t> </w:t>
      </w:r>
      <w:r>
        <w:rPr/>
        <w:t>on</w:t>
      </w:r>
      <w:r>
        <w:rPr>
          <w:spacing w:val="-3"/>
        </w:rPr>
        <w:t> </w:t>
      </w:r>
      <w:r>
        <w:rPr/>
        <w:t>areas</w:t>
      </w:r>
      <w:r>
        <w:rPr>
          <w:spacing w:val="-3"/>
        </w:rPr>
        <w:t> </w:t>
      </w:r>
      <w:r>
        <w:rPr/>
        <w:t>such</w:t>
      </w:r>
      <w:r>
        <w:rPr>
          <w:spacing w:val="-3"/>
        </w:rPr>
        <w:t> </w:t>
      </w:r>
      <w:r>
        <w:rPr/>
        <w:t>as</w:t>
      </w:r>
      <w:r>
        <w:rPr>
          <w:spacing w:val="-3"/>
        </w:rPr>
        <w:t> </w:t>
      </w:r>
      <w:r>
        <w:rPr/>
        <w:t>provision</w:t>
      </w:r>
      <w:r>
        <w:rPr>
          <w:spacing w:val="-3"/>
        </w:rPr>
        <w:t> </w:t>
      </w:r>
      <w:r>
        <w:rPr/>
        <w:t>of</w:t>
      </w:r>
      <w:r>
        <w:rPr>
          <w:spacing w:val="-4"/>
        </w:rPr>
        <w:t> </w:t>
      </w:r>
      <w:r>
        <w:rPr/>
        <w:t>and beneficiary utilization of HRSN services, severity of beneficiaries’ social needs, the</w:t>
      </w:r>
    </w:p>
    <w:p>
      <w:pPr>
        <w:pStyle w:val="BodyText"/>
        <w:ind w:left="1440" w:right="1239"/>
      </w:pPr>
      <w:r>
        <w:rPr/>
        <w:t>effectiveness of the services received in mitigation of identified needs, utilization of preventive and</w:t>
      </w:r>
      <w:r>
        <w:rPr>
          <w:spacing w:val="-3"/>
        </w:rPr>
        <w:t> </w:t>
      </w:r>
      <w:r>
        <w:rPr/>
        <w:t>routine</w:t>
      </w:r>
      <w:r>
        <w:rPr>
          <w:spacing w:val="-4"/>
        </w:rPr>
        <w:t> </w:t>
      </w:r>
      <w:r>
        <w:rPr/>
        <w:t>care,</w:t>
      </w:r>
      <w:r>
        <w:rPr>
          <w:spacing w:val="-3"/>
        </w:rPr>
        <w:t> </w:t>
      </w:r>
      <w:r>
        <w:rPr/>
        <w:t>utilization</w:t>
      </w:r>
      <w:r>
        <w:rPr>
          <w:spacing w:val="-3"/>
        </w:rPr>
        <w:t> </w:t>
      </w:r>
      <w:r>
        <w:rPr/>
        <w:t>of</w:t>
      </w:r>
      <w:r>
        <w:rPr>
          <w:spacing w:val="-4"/>
        </w:rPr>
        <w:t> </w:t>
      </w:r>
      <w:r>
        <w:rPr/>
        <w:t>and</w:t>
      </w:r>
      <w:r>
        <w:rPr>
          <w:spacing w:val="-3"/>
        </w:rPr>
        <w:t> </w:t>
      </w:r>
      <w:r>
        <w:rPr/>
        <w:t>costs</w:t>
      </w:r>
      <w:r>
        <w:rPr>
          <w:spacing w:val="-3"/>
        </w:rPr>
        <w:t> </w:t>
      </w:r>
      <w:r>
        <w:rPr/>
        <w:t>associated</w:t>
      </w:r>
      <w:r>
        <w:rPr>
          <w:spacing w:val="-3"/>
        </w:rPr>
        <w:t> </w:t>
      </w:r>
      <w:r>
        <w:rPr/>
        <w:t>with</w:t>
      </w:r>
      <w:r>
        <w:rPr>
          <w:spacing w:val="-3"/>
        </w:rPr>
        <w:t> </w:t>
      </w:r>
      <w:r>
        <w:rPr/>
        <w:t>potentially</w:t>
      </w:r>
      <w:r>
        <w:rPr>
          <w:spacing w:val="-7"/>
        </w:rPr>
        <w:t> </w:t>
      </w:r>
      <w:r>
        <w:rPr/>
        <w:t>avoidable,</w:t>
      </w:r>
      <w:r>
        <w:rPr>
          <w:spacing w:val="-3"/>
        </w:rPr>
        <w:t> </w:t>
      </w:r>
      <w:r>
        <w:rPr/>
        <w:t>high-acuity</w:t>
      </w:r>
      <w:r>
        <w:rPr>
          <w:spacing w:val="-7"/>
        </w:rPr>
        <w:t> </w:t>
      </w:r>
      <w:r>
        <w:rPr/>
        <w:t>health care, and beneficiary physical and mental health outcomes.</w:t>
      </w:r>
      <w:r>
        <w:rPr>
          <w:spacing w:val="40"/>
        </w:rPr>
        <w:t> </w:t>
      </w:r>
      <w:r>
        <w:rPr/>
        <w:t>The evaluation must also assess the effectiveness of the infrastructure investments authorized through the demonstration to support the development and implementation of the HRSN initiatives.</w:t>
      </w:r>
      <w:r>
        <w:rPr>
          <w:spacing w:val="40"/>
        </w:rPr>
        <w:t> </w:t>
      </w:r>
      <w:r>
        <w:rPr/>
        <w:t>In alignment with the</w:t>
      </w:r>
    </w:p>
    <w:p>
      <w:pPr>
        <w:pStyle w:val="BodyText"/>
        <w:ind w:left="1440" w:right="1239"/>
      </w:pPr>
      <w:r>
        <w:rPr/>
        <w:t>demonstration’s objectives to improve outcomes for the Commonwealth’s overall beneficiary populations eligible for the HRSN initiatives, the Commonwealth must also include research questions and hypotheses focused on understanding the impact of the HRSN initiatives on advancing health quality, including through the reduction of health disparities.</w:t>
      </w:r>
      <w:r>
        <w:rPr>
          <w:spacing w:val="40"/>
        </w:rPr>
        <w:t> </w:t>
      </w:r>
      <w:r>
        <w:rPr/>
        <w:t>For example, by assessing</w:t>
      </w:r>
      <w:r>
        <w:rPr>
          <w:spacing w:val="-5"/>
        </w:rPr>
        <w:t> </w:t>
      </w:r>
      <w:r>
        <w:rPr/>
        <w:t>the</w:t>
      </w:r>
      <w:r>
        <w:rPr>
          <w:spacing w:val="-2"/>
        </w:rPr>
        <w:t> </w:t>
      </w:r>
      <w:r>
        <w:rPr/>
        <w:t>effects</w:t>
      </w:r>
      <w:r>
        <w:rPr>
          <w:spacing w:val="-3"/>
        </w:rPr>
        <w:t> </w:t>
      </w:r>
      <w:r>
        <w:rPr/>
        <w:t>of</w:t>
      </w:r>
      <w:r>
        <w:rPr>
          <w:spacing w:val="-3"/>
        </w:rPr>
        <w:t> </w:t>
      </w:r>
      <w:r>
        <w:rPr/>
        <w:t>the</w:t>
      </w:r>
      <w:r>
        <w:rPr>
          <w:spacing w:val="-3"/>
        </w:rPr>
        <w:t> </w:t>
      </w:r>
      <w:r>
        <w:rPr/>
        <w:t>initiatives</w:t>
      </w:r>
      <w:r>
        <w:rPr>
          <w:spacing w:val="-3"/>
        </w:rPr>
        <w:t> </w:t>
      </w:r>
      <w:r>
        <w:rPr/>
        <w:t>in</w:t>
      </w:r>
      <w:r>
        <w:rPr>
          <w:spacing w:val="-3"/>
        </w:rPr>
        <w:t> </w:t>
      </w:r>
      <w:r>
        <w:rPr/>
        <w:t>reducing</w:t>
      </w:r>
      <w:r>
        <w:rPr>
          <w:spacing w:val="-5"/>
        </w:rPr>
        <w:t> </w:t>
      </w:r>
      <w:r>
        <w:rPr/>
        <w:t>disparities</w:t>
      </w:r>
      <w:r>
        <w:rPr>
          <w:spacing w:val="-3"/>
        </w:rPr>
        <w:t> </w:t>
      </w:r>
      <w:r>
        <w:rPr/>
        <w:t>in</w:t>
      </w:r>
      <w:r>
        <w:rPr>
          <w:spacing w:val="-3"/>
        </w:rPr>
        <w:t> </w:t>
      </w:r>
      <w:r>
        <w:rPr/>
        <w:t>health</w:t>
      </w:r>
      <w:r>
        <w:rPr>
          <w:spacing w:val="-3"/>
        </w:rPr>
        <w:t> </w:t>
      </w:r>
      <w:r>
        <w:rPr/>
        <w:t>care</w:t>
      </w:r>
      <w:r>
        <w:rPr>
          <w:spacing w:val="-4"/>
        </w:rPr>
        <w:t> </w:t>
      </w:r>
      <w:r>
        <w:rPr/>
        <w:t>access,</w:t>
      </w:r>
      <w:r>
        <w:rPr>
          <w:spacing w:val="-3"/>
        </w:rPr>
        <w:t> </w:t>
      </w:r>
      <w:r>
        <w:rPr/>
        <w:t>quality</w:t>
      </w:r>
      <w:r>
        <w:rPr>
          <w:spacing w:val="-8"/>
        </w:rPr>
        <w:t> </w:t>
      </w:r>
      <w:r>
        <w:rPr/>
        <w:t>of</w:t>
      </w:r>
      <w:r>
        <w:rPr>
          <w:spacing w:val="-3"/>
        </w:rPr>
        <w:t> </w:t>
      </w:r>
      <w:r>
        <w:rPr/>
        <w:t>care, or health outcomes at the individual, population and/or community level.</w:t>
      </w:r>
    </w:p>
    <w:p>
      <w:pPr>
        <w:pStyle w:val="BodyText"/>
        <w:spacing w:before="1"/>
      </w:pPr>
    </w:p>
    <w:p>
      <w:pPr>
        <w:pStyle w:val="BodyText"/>
        <w:ind w:left="1440" w:right="1239"/>
      </w:pPr>
      <w:r>
        <w:rPr/>
        <w:t>In</w:t>
      </w:r>
      <w:r>
        <w:rPr>
          <w:spacing w:val="-1"/>
        </w:rPr>
        <w:t> </w:t>
      </w:r>
      <w:r>
        <w:rPr/>
        <w:t>addition,</w:t>
      </w:r>
      <w:r>
        <w:rPr>
          <w:spacing w:val="-2"/>
        </w:rPr>
        <w:t> </w:t>
      </w:r>
      <w:r>
        <w:rPr/>
        <w:t>in</w:t>
      </w:r>
      <w:r>
        <w:rPr>
          <w:spacing w:val="-3"/>
        </w:rPr>
        <w:t> </w:t>
      </w:r>
      <w:r>
        <w:rPr/>
        <w:t>light</w:t>
      </w:r>
      <w:r>
        <w:rPr>
          <w:spacing w:val="-3"/>
        </w:rPr>
        <w:t> </w:t>
      </w:r>
      <w:r>
        <w:rPr/>
        <w:t>of</w:t>
      </w:r>
      <w:r>
        <w:rPr>
          <w:spacing w:val="-3"/>
        </w:rPr>
        <w:t> </w:t>
      </w:r>
      <w:r>
        <w:rPr/>
        <w:t>how</w:t>
      </w:r>
      <w:r>
        <w:rPr>
          <w:spacing w:val="-3"/>
        </w:rPr>
        <w:t> </w:t>
      </w:r>
      <w:r>
        <w:rPr/>
        <w:t>demonstration</w:t>
      </w:r>
      <w:r>
        <w:rPr>
          <w:spacing w:val="-3"/>
        </w:rPr>
        <w:t> </w:t>
      </w:r>
      <w:r>
        <w:rPr/>
        <w:t>HRSN</w:t>
      </w:r>
      <w:r>
        <w:rPr>
          <w:spacing w:val="-3"/>
        </w:rPr>
        <w:t> </w:t>
      </w:r>
      <w:r>
        <w:rPr/>
        <w:t>expenditures</w:t>
      </w:r>
      <w:r>
        <w:rPr>
          <w:spacing w:val="-3"/>
        </w:rPr>
        <w:t> </w:t>
      </w:r>
      <w:r>
        <w:rPr/>
        <w:t>are</w:t>
      </w:r>
      <w:r>
        <w:rPr>
          <w:spacing w:val="-5"/>
        </w:rPr>
        <w:t> </w:t>
      </w:r>
      <w:r>
        <w:rPr/>
        <w:t>being</w:t>
      </w:r>
      <w:r>
        <w:rPr>
          <w:spacing w:val="-6"/>
        </w:rPr>
        <w:t> </w:t>
      </w:r>
      <w:r>
        <w:rPr/>
        <w:t>treated</w:t>
      </w:r>
      <w:r>
        <w:rPr>
          <w:spacing w:val="-3"/>
        </w:rPr>
        <w:t> </w:t>
      </w:r>
      <w:r>
        <w:rPr/>
        <w:t>for</w:t>
      </w:r>
      <w:r>
        <w:rPr>
          <w:spacing w:val="-3"/>
        </w:rPr>
        <w:t> </w:t>
      </w:r>
      <w:r>
        <w:rPr/>
        <w:t>purposes</w:t>
      </w:r>
      <w:r>
        <w:rPr>
          <w:spacing w:val="-3"/>
        </w:rPr>
        <w:t> </w:t>
      </w:r>
      <w:r>
        <w:rPr/>
        <w:t>of budget neutrality, the evaluation of the HRSN initiative must include a cost analysis to support developing comprehensive and accurate cost estimates of providing such services.</w:t>
      </w:r>
      <w:r>
        <w:rPr>
          <w:spacing w:val="40"/>
        </w:rPr>
        <w:t> </w:t>
      </w:r>
      <w:r>
        <w:rPr/>
        <w:t>It also is required to include a robust assessment of potential improvements in the quality and</w:t>
      </w:r>
    </w:p>
    <w:p>
      <w:pPr>
        <w:pStyle w:val="BodyText"/>
        <w:ind w:left="1440" w:right="1239"/>
      </w:pPr>
      <w:r>
        <w:rPr/>
        <w:t>effectiveness</w:t>
      </w:r>
      <w:r>
        <w:rPr>
          <w:spacing w:val="-4"/>
        </w:rPr>
        <w:t> </w:t>
      </w:r>
      <w:r>
        <w:rPr/>
        <w:t>of</w:t>
      </w:r>
      <w:r>
        <w:rPr>
          <w:spacing w:val="-3"/>
        </w:rPr>
        <w:t> </w:t>
      </w:r>
      <w:r>
        <w:rPr/>
        <w:t>downstream</w:t>
      </w:r>
      <w:r>
        <w:rPr>
          <w:spacing w:val="-3"/>
        </w:rPr>
        <w:t> </w:t>
      </w:r>
      <w:r>
        <w:rPr/>
        <w:t>services</w:t>
      </w:r>
      <w:r>
        <w:rPr>
          <w:spacing w:val="-4"/>
        </w:rPr>
        <w:t> </w:t>
      </w:r>
      <w:r>
        <w:rPr/>
        <w:t>that</w:t>
      </w:r>
      <w:r>
        <w:rPr>
          <w:spacing w:val="-1"/>
        </w:rPr>
        <w:t> </w:t>
      </w:r>
      <w:r>
        <w:rPr/>
        <w:t>can</w:t>
      </w:r>
      <w:r>
        <w:rPr>
          <w:spacing w:val="-3"/>
        </w:rPr>
        <w:t> </w:t>
      </w:r>
      <w:r>
        <w:rPr/>
        <w:t>be</w:t>
      </w:r>
      <w:r>
        <w:rPr>
          <w:spacing w:val="-4"/>
        </w:rPr>
        <w:t> </w:t>
      </w:r>
      <w:r>
        <w:rPr/>
        <w:t>provided</w:t>
      </w:r>
      <w:r>
        <w:rPr>
          <w:spacing w:val="-3"/>
        </w:rPr>
        <w:t> </w:t>
      </w:r>
      <w:r>
        <w:rPr/>
        <w:t>under</w:t>
      </w:r>
      <w:r>
        <w:rPr>
          <w:spacing w:val="-3"/>
        </w:rPr>
        <w:t> </w:t>
      </w:r>
      <w:r>
        <w:rPr/>
        <w:t>the</w:t>
      </w:r>
      <w:r>
        <w:rPr>
          <w:spacing w:val="-5"/>
        </w:rPr>
        <w:t> </w:t>
      </w:r>
      <w:r>
        <w:rPr/>
        <w:t>Commonwealth’s</w:t>
      </w:r>
      <w:r>
        <w:rPr>
          <w:spacing w:val="-4"/>
        </w:rPr>
        <w:t> </w:t>
      </w:r>
      <w:r>
        <w:rPr/>
        <w:t>state</w:t>
      </w:r>
      <w:r>
        <w:rPr>
          <w:spacing w:val="-5"/>
        </w:rPr>
        <w:t> </w:t>
      </w:r>
      <w:r>
        <w:rPr/>
        <w:t>plan authority, and associated cost implications.</w:t>
      </w:r>
    </w:p>
    <w:p>
      <w:pPr>
        <w:pStyle w:val="BodyText"/>
      </w:pPr>
    </w:p>
    <w:p>
      <w:pPr>
        <w:pStyle w:val="BodyText"/>
        <w:ind w:left="1440" w:right="1239"/>
      </w:pPr>
      <w:r>
        <w:rPr/>
        <w:t>The</w:t>
      </w:r>
      <w:r>
        <w:rPr>
          <w:spacing w:val="-6"/>
        </w:rPr>
        <w:t> </w:t>
      </w:r>
      <w:r>
        <w:rPr/>
        <w:t>Commonwealth’s</w:t>
      </w:r>
      <w:r>
        <w:rPr>
          <w:spacing w:val="-5"/>
        </w:rPr>
        <w:t> </w:t>
      </w:r>
      <w:r>
        <w:rPr/>
        <w:t>evaluation</w:t>
      </w:r>
      <w:r>
        <w:rPr>
          <w:spacing w:val="-4"/>
        </w:rPr>
        <w:t> </w:t>
      </w:r>
      <w:r>
        <w:rPr/>
        <w:t>efforts</w:t>
      </w:r>
      <w:r>
        <w:rPr>
          <w:spacing w:val="-5"/>
        </w:rPr>
        <w:t> </w:t>
      </w:r>
      <w:r>
        <w:rPr/>
        <w:t>must</w:t>
      </w:r>
      <w:r>
        <w:rPr>
          <w:spacing w:val="-4"/>
        </w:rPr>
        <w:t> </w:t>
      </w:r>
      <w:r>
        <w:rPr/>
        <w:t>also</w:t>
      </w:r>
      <w:r>
        <w:rPr>
          <w:spacing w:val="-2"/>
        </w:rPr>
        <w:t> </w:t>
      </w:r>
      <w:r>
        <w:rPr/>
        <w:t>include</w:t>
      </w:r>
      <w:r>
        <w:rPr>
          <w:spacing w:val="-5"/>
        </w:rPr>
        <w:t> </w:t>
      </w:r>
      <w:r>
        <w:rPr/>
        <w:t>developing</w:t>
      </w:r>
      <w:r>
        <w:rPr>
          <w:spacing w:val="-7"/>
        </w:rPr>
        <w:t> </w:t>
      </w:r>
      <w:r>
        <w:rPr/>
        <w:t>thoughtful</w:t>
      </w:r>
      <w:r>
        <w:rPr>
          <w:spacing w:val="-4"/>
        </w:rPr>
        <w:t> </w:t>
      </w:r>
      <w:r>
        <w:rPr/>
        <w:t>hypotheses</w:t>
      </w:r>
      <w:r>
        <w:rPr>
          <w:spacing w:val="-2"/>
        </w:rPr>
        <w:t> </w:t>
      </w:r>
      <w:r>
        <w:rPr/>
        <w:t>and research questions to assess the effectiveness of the Hospital Quality and Equity Initiative in ensuring</w:t>
      </w:r>
      <w:r>
        <w:rPr>
          <w:spacing w:val="-2"/>
        </w:rPr>
        <w:t> </w:t>
      </w:r>
      <w:r>
        <w:rPr/>
        <w:t>provision of consistent high-quality</w:t>
      </w:r>
      <w:r>
        <w:rPr>
          <w:spacing w:val="-2"/>
        </w:rPr>
        <w:t> </w:t>
      </w:r>
      <w:r>
        <w:rPr/>
        <w:t>care to all beneficiaries, and must provide evidence of the Commonwealth’s efforts to collect stratified data for selected performance measures.</w:t>
      </w:r>
      <w:r>
        <w:rPr>
          <w:spacing w:val="40"/>
        </w:rPr>
        <w:t> </w:t>
      </w:r>
      <w:r>
        <w:rPr/>
        <w:t>The evaluation of the Initiative must also include robust analyses that help demonstrate whether the Commonwealth is succeeding in improving the quality and completeness of reporting on stratified data elements.</w:t>
      </w:r>
    </w:p>
    <w:p>
      <w:pPr>
        <w:pStyle w:val="BodyText"/>
        <w:spacing w:before="1"/>
      </w:pPr>
    </w:p>
    <w:p>
      <w:pPr>
        <w:pStyle w:val="BodyText"/>
        <w:ind w:left="1440" w:right="1247"/>
      </w:pPr>
      <w:r>
        <w:rPr/>
        <w:t>The Commonwealth must evaluate whether the targeted loan repayment and residency grant programs, and any other authorized workforce initiatives under the demonstration improve access to covered services for Medicaid beneficiaries.</w:t>
      </w:r>
      <w:r>
        <w:rPr>
          <w:spacing w:val="40"/>
        </w:rPr>
        <w:t> </w:t>
      </w:r>
      <w:r>
        <w:rPr/>
        <w:t>To that end, the Commonwealth must investigate—to the extent feasible—the effects of the workforce</w:t>
      </w:r>
      <w:r>
        <w:rPr>
          <w:spacing w:val="-1"/>
        </w:rPr>
        <w:t> </w:t>
      </w:r>
      <w:r>
        <w:rPr/>
        <w:t>initiatives on beneficiary</w:t>
      </w:r>
      <w:r>
        <w:rPr>
          <w:spacing w:val="-5"/>
        </w:rPr>
        <w:t> </w:t>
      </w:r>
      <w:r>
        <w:rPr/>
        <w:t>access to</w:t>
      </w:r>
      <w:r>
        <w:rPr>
          <w:spacing w:val="-2"/>
        </w:rPr>
        <w:t> </w:t>
      </w:r>
      <w:r>
        <w:rPr/>
        <w:t>care, as</w:t>
      </w:r>
      <w:r>
        <w:rPr>
          <w:spacing w:val="-2"/>
        </w:rPr>
        <w:t> </w:t>
      </w:r>
      <w:r>
        <w:rPr/>
        <w:t>compared</w:t>
      </w:r>
      <w:r>
        <w:rPr>
          <w:spacing w:val="-2"/>
        </w:rPr>
        <w:t> </w:t>
      </w:r>
      <w:r>
        <w:rPr/>
        <w:t>to</w:t>
      </w:r>
      <w:r>
        <w:rPr>
          <w:spacing w:val="-2"/>
        </w:rPr>
        <w:t> </w:t>
      </w:r>
      <w:r>
        <w:rPr/>
        <w:t>what</w:t>
      </w:r>
      <w:r>
        <w:rPr>
          <w:spacing w:val="-2"/>
        </w:rPr>
        <w:t> </w:t>
      </w:r>
      <w:r>
        <w:rPr/>
        <w:t>may</w:t>
      </w:r>
      <w:r>
        <w:rPr>
          <w:spacing w:val="-7"/>
        </w:rPr>
        <w:t> </w:t>
      </w:r>
      <w:r>
        <w:rPr/>
        <w:t>be</w:t>
      </w:r>
      <w:r>
        <w:rPr>
          <w:spacing w:val="-3"/>
        </w:rPr>
        <w:t> </w:t>
      </w:r>
      <w:r>
        <w:rPr/>
        <w:t>achieved</w:t>
      </w:r>
      <w:r>
        <w:rPr>
          <w:spacing w:val="-2"/>
        </w:rPr>
        <w:t> </w:t>
      </w:r>
      <w:r>
        <w:rPr/>
        <w:t>through</w:t>
      </w:r>
      <w:r>
        <w:rPr>
          <w:spacing w:val="-2"/>
        </w:rPr>
        <w:t> </w:t>
      </w:r>
      <w:r>
        <w:rPr/>
        <w:t>direct</w:t>
      </w:r>
      <w:r>
        <w:rPr>
          <w:spacing w:val="-2"/>
        </w:rPr>
        <w:t> </w:t>
      </w:r>
      <w:r>
        <w:rPr/>
        <w:t>interventions</w:t>
      </w:r>
      <w:r>
        <w:rPr>
          <w:spacing w:val="-2"/>
        </w:rPr>
        <w:t> </w:t>
      </w:r>
      <w:r>
        <w:rPr/>
        <w:t>such</w:t>
      </w:r>
      <w:r>
        <w:rPr>
          <w:spacing w:val="-2"/>
        </w:rPr>
        <w:t> </w:t>
      </w:r>
      <w:r>
        <w:rPr/>
        <w:t>as</w:t>
      </w:r>
      <w:r>
        <w:rPr>
          <w:spacing w:val="-2"/>
        </w:rPr>
        <w:t> </w:t>
      </w:r>
      <w:r>
        <w:rPr/>
        <w:t>rate</w:t>
      </w:r>
      <w:r>
        <w:rPr>
          <w:spacing w:val="-3"/>
        </w:rPr>
        <w:t> </w:t>
      </w:r>
      <w:r>
        <w:rPr/>
        <w:t>increases. The Evaluation Design must outline hypotheses and research questions to assess whether these initiatives sustainably reduce workforce shortages and increase provider retention especially in the concentration areas such as primary care, behavioral health and family practice.</w:t>
      </w:r>
      <w:r>
        <w:rPr>
          <w:spacing w:val="40"/>
        </w:rPr>
        <w:t> </w:t>
      </w:r>
      <w:r>
        <w:rPr/>
        <w:t>For the continuous eligibility</w:t>
      </w:r>
      <w:r>
        <w:rPr>
          <w:spacing w:val="-2"/>
        </w:rPr>
        <w:t> </w:t>
      </w:r>
      <w:r>
        <w:rPr/>
        <w:t>policy, the Commonwealth must evaluate the impact of the program on all relevant populations appropriately</w:t>
      </w:r>
      <w:r>
        <w:rPr>
          <w:spacing w:val="-4"/>
        </w:rPr>
        <w:t> </w:t>
      </w:r>
      <w:r>
        <w:rPr/>
        <w:t>tailored for the specific time span of eligibility.</w:t>
      </w:r>
      <w:r>
        <w:rPr>
          <w:spacing w:val="40"/>
        </w:rPr>
        <w:t> </w:t>
      </w:r>
      <w:r>
        <w:rPr/>
        <w:t>For example, the Commonwealth must evaluate how the continuous eligibility policy affects coverage, enrollment,</w:t>
      </w:r>
      <w:r>
        <w:rPr>
          <w:spacing w:val="-3"/>
        </w:rPr>
        <w:t> </w:t>
      </w:r>
      <w:r>
        <w:rPr/>
        <w:t>and</w:t>
      </w:r>
      <w:r>
        <w:rPr>
          <w:spacing w:val="-3"/>
        </w:rPr>
        <w:t> </w:t>
      </w:r>
      <w:r>
        <w:rPr/>
        <w:t>churn</w:t>
      </w:r>
      <w:r>
        <w:rPr>
          <w:spacing w:val="-2"/>
        </w:rPr>
        <w:t> </w:t>
      </w:r>
      <w:r>
        <w:rPr/>
        <w:t>(i.e.,</w:t>
      </w:r>
      <w:r>
        <w:rPr>
          <w:spacing w:val="-3"/>
        </w:rPr>
        <w:t> </w:t>
      </w:r>
      <w:r>
        <w:rPr/>
        <w:t>temporary</w:t>
      </w:r>
      <w:r>
        <w:rPr>
          <w:spacing w:val="-8"/>
        </w:rPr>
        <w:t> </w:t>
      </w:r>
      <w:r>
        <w:rPr/>
        <w:t>loss</w:t>
      </w:r>
      <w:r>
        <w:rPr>
          <w:spacing w:val="-3"/>
        </w:rPr>
        <w:t> </w:t>
      </w:r>
      <w:r>
        <w:rPr/>
        <w:t>of</w:t>
      </w:r>
      <w:r>
        <w:rPr>
          <w:spacing w:val="-2"/>
        </w:rPr>
        <w:t> </w:t>
      </w:r>
      <w:r>
        <w:rPr/>
        <w:t>coverage</w:t>
      </w:r>
      <w:r>
        <w:rPr>
          <w:spacing w:val="-4"/>
        </w:rPr>
        <w:t> </w:t>
      </w:r>
      <w:r>
        <w:rPr/>
        <w:t>in</w:t>
      </w:r>
      <w:r>
        <w:rPr>
          <w:spacing w:val="-3"/>
        </w:rPr>
        <w:t> </w:t>
      </w:r>
      <w:r>
        <w:rPr/>
        <w:t>which</w:t>
      </w:r>
      <w:r>
        <w:rPr>
          <w:spacing w:val="-3"/>
        </w:rPr>
        <w:t> </w:t>
      </w:r>
      <w:r>
        <w:rPr/>
        <w:t>beneficiaries</w:t>
      </w:r>
      <w:r>
        <w:rPr>
          <w:spacing w:val="-3"/>
        </w:rPr>
        <w:t> </w:t>
      </w:r>
      <w:r>
        <w:rPr/>
        <w:t>are</w:t>
      </w:r>
      <w:r>
        <w:rPr>
          <w:spacing w:val="-5"/>
        </w:rPr>
        <w:t> </w:t>
      </w:r>
      <w:r>
        <w:rPr/>
        <w:t>disenrolled</w:t>
      </w:r>
      <w:r>
        <w:rPr>
          <w:spacing w:val="-3"/>
        </w:rPr>
        <w:t> </w:t>
      </w:r>
      <w:r>
        <w:rPr/>
        <w:t>and re-enroll within 12 months), as well as population-specific appropriate measures of service utilization and health outcomes.</w:t>
      </w:r>
      <w:r>
        <w:rPr>
          <w:spacing w:val="40"/>
        </w:rPr>
        <w:t> </w:t>
      </w:r>
      <w:r>
        <w:rPr/>
        <w:t>In addition, the Commonwealth may conduct a comprehensive qualitative assessment involving beneficiary focus groups and interviews with key stakeholders to assess the merits of such policies.</w:t>
      </w:r>
    </w:p>
    <w:p>
      <w:pPr>
        <w:spacing w:after="0"/>
        <w:sectPr>
          <w:pgSz w:w="12240" w:h="15840"/>
          <w:pgMar w:top="640" w:bottom="280" w:left="0" w:right="220"/>
        </w:sectPr>
      </w:pPr>
    </w:p>
    <w:p>
      <w:pPr>
        <w:pStyle w:val="BodyText"/>
        <w:spacing w:before="79"/>
        <w:ind w:right="1218"/>
        <w:jc w:val="right"/>
      </w:pPr>
      <w:r>
        <w:rPr/>
        <w:t>Page</w:t>
      </w:r>
      <w:r>
        <w:rPr>
          <w:spacing w:val="-5"/>
        </w:rPr>
        <w:t> 16</w:t>
      </w:r>
    </w:p>
    <w:p>
      <w:pPr>
        <w:pStyle w:val="BodyText"/>
        <w:spacing w:before="7"/>
        <w:rPr>
          <w:sz w:val="38"/>
        </w:rPr>
      </w:pPr>
    </w:p>
    <w:p>
      <w:pPr>
        <w:pStyle w:val="BodyText"/>
        <w:ind w:left="1440" w:right="1239"/>
      </w:pPr>
      <w:r>
        <w:rPr/>
        <w:t>Finally, as part of its evaluation efforts, the Commonwealth must also conduct a demonstration cost assessment to include, but not be limited to, administrative costs of demonstration implementation and operation, Medicaid health services expenditures, and provider uncompensated care costs.</w:t>
      </w:r>
      <w:r>
        <w:rPr>
          <w:spacing w:val="40"/>
        </w:rPr>
        <w:t> </w:t>
      </w:r>
      <w:r>
        <w:rPr/>
        <w:t>As noted above, the Commonwealth must analyze the budgetary effects of the HRSN services, and the overall medical assistance service expenditures and uncompensated care and associated costs for populations eligible for continuous eligibility, including in comparison to populations not eligible for such policies.</w:t>
      </w:r>
      <w:r>
        <w:rPr>
          <w:spacing w:val="40"/>
        </w:rPr>
        <w:t> </w:t>
      </w:r>
      <w:r>
        <w:rPr/>
        <w:t>In addition, the Commonwealth</w:t>
      </w:r>
      <w:r>
        <w:rPr>
          <w:spacing w:val="-4"/>
        </w:rPr>
        <w:t> </w:t>
      </w:r>
      <w:r>
        <w:rPr/>
        <w:t>must</w:t>
      </w:r>
      <w:r>
        <w:rPr>
          <w:spacing w:val="-4"/>
        </w:rPr>
        <w:t> </w:t>
      </w:r>
      <w:r>
        <w:rPr/>
        <w:t>use</w:t>
      </w:r>
      <w:r>
        <w:rPr>
          <w:spacing w:val="-4"/>
        </w:rPr>
        <w:t> </w:t>
      </w:r>
      <w:r>
        <w:rPr/>
        <w:t>findings</w:t>
      </w:r>
      <w:r>
        <w:rPr>
          <w:spacing w:val="-4"/>
        </w:rPr>
        <w:t> </w:t>
      </w:r>
      <w:r>
        <w:rPr/>
        <w:t>from</w:t>
      </w:r>
      <w:r>
        <w:rPr>
          <w:spacing w:val="-4"/>
        </w:rPr>
        <w:t> </w:t>
      </w:r>
      <w:r>
        <w:rPr/>
        <w:t>hypothesis</w:t>
      </w:r>
      <w:r>
        <w:rPr>
          <w:spacing w:val="-4"/>
        </w:rPr>
        <w:t> </w:t>
      </w:r>
      <w:r>
        <w:rPr/>
        <w:t>tests</w:t>
      </w:r>
      <w:r>
        <w:rPr>
          <w:spacing w:val="-4"/>
        </w:rPr>
        <w:t> </w:t>
      </w:r>
      <w:r>
        <w:rPr/>
        <w:t>aligned</w:t>
      </w:r>
      <w:r>
        <w:rPr>
          <w:spacing w:val="-4"/>
        </w:rPr>
        <w:t> </w:t>
      </w:r>
      <w:r>
        <w:rPr/>
        <w:t>with</w:t>
      </w:r>
      <w:r>
        <w:rPr>
          <w:spacing w:val="-4"/>
        </w:rPr>
        <w:t> </w:t>
      </w:r>
      <w:r>
        <w:rPr/>
        <w:t>other</w:t>
      </w:r>
      <w:r>
        <w:rPr>
          <w:spacing w:val="-4"/>
        </w:rPr>
        <w:t> </w:t>
      </w:r>
      <w:r>
        <w:rPr/>
        <w:t>demonstration</w:t>
      </w:r>
      <w:r>
        <w:rPr>
          <w:spacing w:val="-4"/>
        </w:rPr>
        <w:t> </w:t>
      </w:r>
      <w:r>
        <w:rPr/>
        <w:t>goals and cost analyses to assess the demonstration’s effects on the fiscal sustainability of the</w:t>
      </w:r>
    </w:p>
    <w:p>
      <w:pPr>
        <w:pStyle w:val="BodyText"/>
        <w:spacing w:before="1"/>
        <w:ind w:left="1440"/>
      </w:pPr>
      <w:r>
        <w:rPr/>
        <w:t>Commonwealth’s</w:t>
      </w:r>
      <w:r>
        <w:rPr>
          <w:spacing w:val="-5"/>
        </w:rPr>
        <w:t> </w:t>
      </w:r>
      <w:r>
        <w:rPr/>
        <w:t>Medicaid</w:t>
      </w:r>
      <w:r>
        <w:rPr>
          <w:spacing w:val="-3"/>
        </w:rPr>
        <w:t> </w:t>
      </w:r>
      <w:r>
        <w:rPr>
          <w:spacing w:val="-2"/>
        </w:rPr>
        <w:t>program.</w:t>
      </w:r>
    </w:p>
    <w:p>
      <w:pPr>
        <w:pStyle w:val="BodyText"/>
        <w:spacing w:before="11"/>
        <w:rPr>
          <w:sz w:val="23"/>
        </w:rPr>
      </w:pPr>
    </w:p>
    <w:p>
      <w:pPr>
        <w:pStyle w:val="BodyText"/>
        <w:ind w:left="1440" w:right="1243"/>
      </w:pPr>
      <w:r>
        <w:rPr/>
        <w:t>CMS</w:t>
      </w:r>
      <w:r>
        <w:rPr>
          <w:spacing w:val="-3"/>
        </w:rPr>
        <w:t> </w:t>
      </w:r>
      <w:r>
        <w:rPr/>
        <w:t>underscores</w:t>
      </w:r>
      <w:r>
        <w:rPr>
          <w:spacing w:val="-3"/>
        </w:rPr>
        <w:t> </w:t>
      </w:r>
      <w:r>
        <w:rPr/>
        <w:t>the</w:t>
      </w:r>
      <w:r>
        <w:rPr>
          <w:spacing w:val="-3"/>
        </w:rPr>
        <w:t> </w:t>
      </w:r>
      <w:r>
        <w:rPr/>
        <w:t>importance</w:t>
      </w:r>
      <w:r>
        <w:rPr>
          <w:spacing w:val="-4"/>
        </w:rPr>
        <w:t> </w:t>
      </w:r>
      <w:r>
        <w:rPr/>
        <w:t>of</w:t>
      </w:r>
      <w:r>
        <w:rPr>
          <w:spacing w:val="-3"/>
        </w:rPr>
        <w:t> </w:t>
      </w:r>
      <w:r>
        <w:rPr/>
        <w:t>the</w:t>
      </w:r>
      <w:r>
        <w:rPr>
          <w:spacing w:val="-5"/>
        </w:rPr>
        <w:t> </w:t>
      </w:r>
      <w:r>
        <w:rPr/>
        <w:t>Commonwealth</w:t>
      </w:r>
      <w:r>
        <w:rPr>
          <w:spacing w:val="-3"/>
        </w:rPr>
        <w:t> </w:t>
      </w:r>
      <w:r>
        <w:rPr/>
        <w:t>undertaking</w:t>
      </w:r>
      <w:r>
        <w:rPr>
          <w:spacing w:val="-4"/>
        </w:rPr>
        <w:t> </w:t>
      </w:r>
      <w:r>
        <w:rPr/>
        <w:t>a</w:t>
      </w:r>
      <w:r>
        <w:rPr>
          <w:spacing w:val="-4"/>
        </w:rPr>
        <w:t> </w:t>
      </w:r>
      <w:r>
        <w:rPr/>
        <w:t>well-designed</w:t>
      </w:r>
      <w:r>
        <w:rPr>
          <w:spacing w:val="-3"/>
        </w:rPr>
        <w:t> </w:t>
      </w:r>
      <w:r>
        <w:rPr/>
        <w:t>beneficiary survey and/or interviews to assess, for instance, beneficiary understanding of and experience with the various demonstration policies, including but not limited to Flexible Services and the waiver</w:t>
      </w:r>
      <w:r>
        <w:rPr>
          <w:spacing w:val="-5"/>
        </w:rPr>
        <w:t> </w:t>
      </w:r>
      <w:r>
        <w:rPr/>
        <w:t>of</w:t>
      </w:r>
      <w:r>
        <w:rPr>
          <w:spacing w:val="-2"/>
        </w:rPr>
        <w:t> </w:t>
      </w:r>
      <w:r>
        <w:rPr/>
        <w:t>retroactive</w:t>
      </w:r>
      <w:r>
        <w:rPr>
          <w:spacing w:val="-4"/>
        </w:rPr>
        <w:t> </w:t>
      </w:r>
      <w:r>
        <w:rPr/>
        <w:t>eligibility,</w:t>
      </w:r>
      <w:r>
        <w:rPr>
          <w:spacing w:val="-3"/>
        </w:rPr>
        <w:t> </w:t>
      </w:r>
      <w:r>
        <w:rPr/>
        <w:t>beneficiary</w:t>
      </w:r>
      <w:r>
        <w:rPr>
          <w:spacing w:val="-8"/>
        </w:rPr>
        <w:t> </w:t>
      </w:r>
      <w:r>
        <w:rPr/>
        <w:t>experience</w:t>
      </w:r>
      <w:r>
        <w:rPr>
          <w:spacing w:val="-4"/>
        </w:rPr>
        <w:t> </w:t>
      </w:r>
      <w:r>
        <w:rPr/>
        <w:t>with</w:t>
      </w:r>
      <w:r>
        <w:rPr>
          <w:spacing w:val="-3"/>
        </w:rPr>
        <w:t> </w:t>
      </w:r>
      <w:r>
        <w:rPr/>
        <w:t>access</w:t>
      </w:r>
      <w:r>
        <w:rPr>
          <w:spacing w:val="-3"/>
        </w:rPr>
        <w:t> </w:t>
      </w:r>
      <w:r>
        <w:rPr/>
        <w:t>to</w:t>
      </w:r>
      <w:r>
        <w:rPr>
          <w:spacing w:val="-3"/>
        </w:rPr>
        <w:t> </w:t>
      </w:r>
      <w:r>
        <w:rPr/>
        <w:t>and</w:t>
      </w:r>
      <w:r>
        <w:rPr>
          <w:spacing w:val="-3"/>
        </w:rPr>
        <w:t> </w:t>
      </w:r>
      <w:r>
        <w:rPr/>
        <w:t>quality</w:t>
      </w:r>
      <w:r>
        <w:rPr>
          <w:spacing w:val="-8"/>
        </w:rPr>
        <w:t> </w:t>
      </w:r>
      <w:r>
        <w:rPr/>
        <w:t>of</w:t>
      </w:r>
      <w:r>
        <w:rPr>
          <w:spacing w:val="-3"/>
        </w:rPr>
        <w:t> </w:t>
      </w:r>
      <w:r>
        <w:rPr/>
        <w:t>care,</w:t>
      </w:r>
      <w:r>
        <w:rPr>
          <w:spacing w:val="-3"/>
        </w:rPr>
        <w:t> </w:t>
      </w:r>
      <w:r>
        <w:rPr/>
        <w:t>as</w:t>
      </w:r>
      <w:r>
        <w:rPr>
          <w:spacing w:val="-3"/>
        </w:rPr>
        <w:t> </w:t>
      </w:r>
      <w:r>
        <w:rPr/>
        <w:t>well as changes in incidence of beneficiary</w:t>
      </w:r>
      <w:r>
        <w:rPr>
          <w:spacing w:val="-2"/>
        </w:rPr>
        <w:t> </w:t>
      </w:r>
      <w:r>
        <w:rPr/>
        <w:t>medical debt.</w:t>
      </w:r>
      <w:r>
        <w:rPr>
          <w:spacing w:val="40"/>
        </w:rPr>
        <w:t> </w:t>
      </w:r>
      <w:r>
        <w:rPr/>
        <w:t>In addition, the Commonwealth is strongly encouraged to evaluate the implementation of the demonstration programs in order to better understand whether implementation of certain key demonstration policies happened as envisioned during the demonstration design process and whether specific factors acted as facilitators of—or barriers to—successful implementation.</w:t>
      </w:r>
      <w:r>
        <w:rPr>
          <w:spacing w:val="80"/>
        </w:rPr>
        <w:t> </w:t>
      </w:r>
      <w:r>
        <w:rPr/>
        <w:t>The implementation evaluation can inform</w:t>
      </w:r>
      <w:r>
        <w:rPr>
          <w:spacing w:val="-1"/>
        </w:rPr>
        <w:t> </w:t>
      </w:r>
      <w:r>
        <w:rPr/>
        <w:t>the</w:t>
      </w:r>
      <w:r>
        <w:rPr>
          <w:spacing w:val="-2"/>
        </w:rPr>
        <w:t> </w:t>
      </w:r>
      <w:r>
        <w:rPr/>
        <w:t>Commonwealth’s</w:t>
      </w:r>
      <w:r>
        <w:rPr>
          <w:spacing w:val="-2"/>
        </w:rPr>
        <w:t> </w:t>
      </w:r>
      <w:r>
        <w:rPr/>
        <w:t>crafting</w:t>
      </w:r>
      <w:r>
        <w:rPr>
          <w:spacing w:val="-2"/>
        </w:rPr>
        <w:t> </w:t>
      </w:r>
      <w:r>
        <w:rPr/>
        <w:t>and</w:t>
      </w:r>
      <w:r>
        <w:rPr>
          <w:spacing w:val="-1"/>
        </w:rPr>
        <w:t> </w:t>
      </w:r>
      <w:r>
        <w:rPr/>
        <w:t>selection</w:t>
      </w:r>
      <w:r>
        <w:rPr>
          <w:spacing w:val="-1"/>
        </w:rPr>
        <w:t> </w:t>
      </w:r>
      <w:r>
        <w:rPr/>
        <w:t>of</w:t>
      </w:r>
      <w:r>
        <w:rPr>
          <w:spacing w:val="-2"/>
        </w:rPr>
        <w:t> </w:t>
      </w:r>
      <w:r>
        <w:rPr/>
        <w:t>testable</w:t>
      </w:r>
      <w:r>
        <w:rPr>
          <w:spacing w:val="-1"/>
        </w:rPr>
        <w:t> </w:t>
      </w:r>
      <w:r>
        <w:rPr/>
        <w:t>hypotheses and</w:t>
      </w:r>
      <w:r>
        <w:rPr>
          <w:spacing w:val="-1"/>
        </w:rPr>
        <w:t> </w:t>
      </w:r>
      <w:r>
        <w:rPr/>
        <w:t>research</w:t>
      </w:r>
      <w:r>
        <w:rPr>
          <w:spacing w:val="-1"/>
        </w:rPr>
        <w:t> </w:t>
      </w:r>
      <w:r>
        <w:rPr/>
        <w:t>questions for the demonstration’s outcome and impact evaluations and provide context for interpreting the </w:t>
      </w:r>
      <w:r>
        <w:rPr>
          <w:spacing w:val="-2"/>
        </w:rPr>
        <w:t>findings.</w:t>
      </w:r>
    </w:p>
    <w:p>
      <w:pPr>
        <w:pStyle w:val="BodyText"/>
        <w:spacing w:before="1"/>
      </w:pPr>
    </w:p>
    <w:p>
      <w:pPr>
        <w:spacing w:before="0"/>
        <w:ind w:left="1440" w:right="0" w:firstLine="0"/>
        <w:jc w:val="left"/>
        <w:rPr>
          <w:b/>
          <w:sz w:val="24"/>
        </w:rPr>
      </w:pPr>
      <w:r>
        <w:rPr>
          <w:b/>
          <w:sz w:val="24"/>
          <w:u w:val="single"/>
        </w:rPr>
        <w:t>Consideration</w:t>
      </w:r>
      <w:r>
        <w:rPr>
          <w:b/>
          <w:spacing w:val="-4"/>
          <w:sz w:val="24"/>
          <w:u w:val="single"/>
        </w:rPr>
        <w:t> </w:t>
      </w:r>
      <w:r>
        <w:rPr>
          <w:b/>
          <w:sz w:val="24"/>
          <w:u w:val="single"/>
        </w:rPr>
        <w:t>of Public</w:t>
      </w:r>
      <w:r>
        <w:rPr>
          <w:b/>
          <w:spacing w:val="-5"/>
          <w:sz w:val="24"/>
          <w:u w:val="single"/>
        </w:rPr>
        <w:t> </w:t>
      </w:r>
      <w:r>
        <w:rPr>
          <w:b/>
          <w:spacing w:val="-2"/>
          <w:sz w:val="24"/>
          <w:u w:val="single"/>
        </w:rPr>
        <w:t>Comments</w:t>
      </w:r>
    </w:p>
    <w:p>
      <w:pPr>
        <w:pStyle w:val="BodyText"/>
        <w:spacing w:before="5"/>
        <w:rPr>
          <w:b/>
          <w:sz w:val="17"/>
        </w:rPr>
      </w:pPr>
    </w:p>
    <w:p>
      <w:pPr>
        <w:pStyle w:val="BodyText"/>
        <w:spacing w:line="275" w:lineRule="exact" w:before="90"/>
        <w:ind w:left="1440"/>
      </w:pPr>
      <w:r>
        <w:rPr/>
        <w:t>To</w:t>
      </w:r>
      <w:r>
        <w:rPr>
          <w:spacing w:val="-1"/>
        </w:rPr>
        <w:t> </w:t>
      </w:r>
      <w:r>
        <w:rPr/>
        <w:t>increase</w:t>
      </w:r>
      <w:r>
        <w:rPr>
          <w:spacing w:val="-2"/>
        </w:rPr>
        <w:t> </w:t>
      </w:r>
      <w:r>
        <w:rPr/>
        <w:t>the</w:t>
      </w:r>
      <w:r>
        <w:rPr>
          <w:spacing w:val="-1"/>
        </w:rPr>
        <w:t> </w:t>
      </w:r>
      <w:r>
        <w:rPr/>
        <w:t>transparency</w:t>
      </w:r>
      <w:r>
        <w:rPr>
          <w:spacing w:val="-6"/>
        </w:rPr>
        <w:t> </w:t>
      </w:r>
      <w:r>
        <w:rPr/>
        <w:t>of demonstration</w:t>
      </w:r>
      <w:r>
        <w:rPr>
          <w:spacing w:val="-1"/>
        </w:rPr>
        <w:t> </w:t>
      </w:r>
      <w:r>
        <w:rPr/>
        <w:t>projects,</w:t>
      </w:r>
      <w:r>
        <w:rPr>
          <w:spacing w:val="-1"/>
        </w:rPr>
        <w:t> </w:t>
      </w:r>
      <w:r>
        <w:rPr/>
        <w:t>section</w:t>
      </w:r>
      <w:r>
        <w:rPr>
          <w:spacing w:val="-1"/>
        </w:rPr>
        <w:t> </w:t>
      </w:r>
      <w:r>
        <w:rPr/>
        <w:t>1115(d)(1)</w:t>
      </w:r>
      <w:r>
        <w:rPr>
          <w:spacing w:val="1"/>
        </w:rPr>
        <w:t> </w:t>
      </w:r>
      <w:r>
        <w:rPr/>
        <w:t>and</w:t>
      </w:r>
      <w:r>
        <w:rPr>
          <w:spacing w:val="-1"/>
        </w:rPr>
        <w:t> </w:t>
      </w:r>
      <w:r>
        <w:rPr/>
        <w:t>(2)</w:t>
      </w:r>
      <w:r>
        <w:rPr>
          <w:spacing w:val="-1"/>
        </w:rPr>
        <w:t> </w:t>
      </w:r>
      <w:r>
        <w:rPr/>
        <w:t>of</w:t>
      </w:r>
      <w:r>
        <w:rPr>
          <w:spacing w:val="-3"/>
        </w:rPr>
        <w:t> </w:t>
      </w:r>
      <w:r>
        <w:rPr/>
        <w:t>the</w:t>
      </w:r>
      <w:r>
        <w:rPr>
          <w:spacing w:val="1"/>
        </w:rPr>
        <w:t> </w:t>
      </w:r>
      <w:r>
        <w:rPr>
          <w:spacing w:val="-5"/>
        </w:rPr>
        <w:t>Act</w:t>
      </w:r>
    </w:p>
    <w:p>
      <w:pPr>
        <w:pStyle w:val="BodyText"/>
        <w:ind w:left="1440" w:right="1236"/>
      </w:pPr>
      <w:r>
        <w:rPr/>
        <w:t>direct the</w:t>
      </w:r>
      <w:r>
        <w:rPr>
          <w:spacing w:val="-1"/>
        </w:rPr>
        <w:t> </w:t>
      </w:r>
      <w:r>
        <w:rPr/>
        <w:t>Secretary</w:t>
      </w:r>
      <w:r>
        <w:rPr>
          <w:spacing w:val="-5"/>
        </w:rPr>
        <w:t> </w:t>
      </w:r>
      <w:r>
        <w:rPr/>
        <w:t>to issue</w:t>
      </w:r>
      <w:r>
        <w:rPr>
          <w:spacing w:val="-1"/>
        </w:rPr>
        <w:t> </w:t>
      </w:r>
      <w:r>
        <w:rPr/>
        <w:t>regulations</w:t>
      </w:r>
      <w:r>
        <w:rPr>
          <w:spacing w:val="-1"/>
        </w:rPr>
        <w:t> </w:t>
      </w:r>
      <w:r>
        <w:rPr/>
        <w:t>providing</w:t>
      </w:r>
      <w:r>
        <w:rPr>
          <w:spacing w:val="-1"/>
        </w:rPr>
        <w:t> </w:t>
      </w:r>
      <w:r>
        <w:rPr/>
        <w:t>for</w:t>
      </w:r>
      <w:r>
        <w:rPr>
          <w:spacing w:val="-2"/>
        </w:rPr>
        <w:t> </w:t>
      </w:r>
      <w:r>
        <w:rPr/>
        <w:t>two periods</w:t>
      </w:r>
      <w:r>
        <w:rPr>
          <w:spacing w:val="-1"/>
        </w:rPr>
        <w:t> </w:t>
      </w:r>
      <w:r>
        <w:rPr/>
        <w:t>of</w:t>
      </w:r>
      <w:r>
        <w:rPr>
          <w:spacing w:val="-1"/>
        </w:rPr>
        <w:t> </w:t>
      </w:r>
      <w:r>
        <w:rPr/>
        <w:t>public comment on a state’s application for a section 1115 demonstration that would result in an impact on eligibility, enrollment, benefits, cost-sharing, or financing.</w:t>
      </w:r>
      <w:r>
        <w:rPr>
          <w:spacing w:val="40"/>
        </w:rPr>
        <w:t> </w:t>
      </w:r>
      <w:r>
        <w:rPr/>
        <w:t>The first comment period occurs at the state level before submission of the section 1115 application, and the second comment period occurs at the federal level after the application is received by the Secretary.</w:t>
      </w:r>
      <w:r>
        <w:rPr>
          <w:spacing w:val="80"/>
        </w:rPr>
        <w:t> </w:t>
      </w:r>
      <w:r>
        <w:rPr/>
        <w:t>Massachusetts completed its state level public comment period, as required, from August 18, 2021 to September 20, 2021. The</w:t>
      </w:r>
      <w:r>
        <w:rPr>
          <w:spacing w:val="-6"/>
        </w:rPr>
        <w:t> </w:t>
      </w:r>
      <w:r>
        <w:rPr/>
        <w:t>Commonwealth</w:t>
      </w:r>
      <w:r>
        <w:rPr>
          <w:spacing w:val="-4"/>
        </w:rPr>
        <w:t> </w:t>
      </w:r>
      <w:r>
        <w:rPr/>
        <w:t>also</w:t>
      </w:r>
      <w:r>
        <w:rPr>
          <w:spacing w:val="-4"/>
        </w:rPr>
        <w:t> </w:t>
      </w:r>
      <w:r>
        <w:rPr/>
        <w:t>completed</w:t>
      </w:r>
      <w:r>
        <w:rPr>
          <w:spacing w:val="-4"/>
        </w:rPr>
        <w:t> </w:t>
      </w:r>
      <w:r>
        <w:rPr/>
        <w:t>tribal</w:t>
      </w:r>
      <w:r>
        <w:rPr>
          <w:spacing w:val="-4"/>
        </w:rPr>
        <w:t> </w:t>
      </w:r>
      <w:r>
        <w:rPr/>
        <w:t>consultation</w:t>
      </w:r>
      <w:r>
        <w:rPr>
          <w:spacing w:val="-4"/>
        </w:rPr>
        <w:t> </w:t>
      </w:r>
      <w:r>
        <w:rPr/>
        <w:t>in</w:t>
      </w:r>
      <w:r>
        <w:rPr>
          <w:spacing w:val="-4"/>
        </w:rPr>
        <w:t> </w:t>
      </w:r>
      <w:r>
        <w:rPr/>
        <w:t>accordance</w:t>
      </w:r>
      <w:r>
        <w:rPr>
          <w:spacing w:val="-3"/>
        </w:rPr>
        <w:t> </w:t>
      </w:r>
      <w:r>
        <w:rPr/>
        <w:t>with</w:t>
      </w:r>
      <w:r>
        <w:rPr>
          <w:spacing w:val="-4"/>
        </w:rPr>
        <w:t> </w:t>
      </w:r>
      <w:r>
        <w:rPr/>
        <w:t>section</w:t>
      </w:r>
      <w:r>
        <w:rPr>
          <w:spacing w:val="-4"/>
        </w:rPr>
        <w:t> </w:t>
      </w:r>
      <w:r>
        <w:rPr/>
        <w:t>1902(a)(73)</w:t>
      </w:r>
      <w:r>
        <w:rPr>
          <w:spacing w:val="-6"/>
        </w:rPr>
        <w:t> </w:t>
      </w:r>
      <w:r>
        <w:rPr/>
        <w:t>of the Act by providing a summary to tribal leaders and designees on August 18, 2021, with a request for comment by September 20, 2021.</w:t>
      </w:r>
    </w:p>
    <w:p>
      <w:pPr>
        <w:pStyle w:val="BodyText"/>
        <w:spacing w:before="161"/>
        <w:ind w:left="1440" w:right="1239"/>
      </w:pPr>
      <w:r>
        <w:rPr/>
        <w:t>Section 1115(d)(2)(A) and (C) of the Act further specifies that comment periods should be “sufficient to ensure a meaningful level of public input,” but the statute imposes no additional requirement on the states or the Secretary to address those comments, as might otherwise be required</w:t>
      </w:r>
      <w:r>
        <w:rPr>
          <w:spacing w:val="-4"/>
        </w:rPr>
        <w:t> </w:t>
      </w:r>
      <w:r>
        <w:rPr/>
        <w:t>under</w:t>
      </w:r>
      <w:r>
        <w:rPr>
          <w:spacing w:val="-4"/>
        </w:rPr>
        <w:t> </w:t>
      </w:r>
      <w:r>
        <w:rPr/>
        <w:t>a</w:t>
      </w:r>
      <w:r>
        <w:rPr>
          <w:spacing w:val="-4"/>
        </w:rPr>
        <w:t> </w:t>
      </w:r>
      <w:r>
        <w:rPr/>
        <w:t>general</w:t>
      </w:r>
      <w:r>
        <w:rPr>
          <w:spacing w:val="-2"/>
        </w:rPr>
        <w:t> </w:t>
      </w:r>
      <w:r>
        <w:rPr/>
        <w:t>rulemaking.</w:t>
      </w:r>
      <w:r>
        <w:rPr>
          <w:spacing w:val="40"/>
        </w:rPr>
        <w:t> </w:t>
      </w:r>
      <w:r>
        <w:rPr/>
        <w:t>Accordingly,</w:t>
      </w:r>
      <w:r>
        <w:rPr>
          <w:spacing w:val="-2"/>
        </w:rPr>
        <w:t> </w:t>
      </w:r>
      <w:r>
        <w:rPr/>
        <w:t>the</w:t>
      </w:r>
      <w:r>
        <w:rPr>
          <w:spacing w:val="-4"/>
        </w:rPr>
        <w:t> </w:t>
      </w:r>
      <w:r>
        <w:rPr/>
        <w:t>implementing</w:t>
      </w:r>
      <w:r>
        <w:rPr>
          <w:spacing w:val="-7"/>
        </w:rPr>
        <w:t> </w:t>
      </w:r>
      <w:r>
        <w:rPr/>
        <w:t>regulations</w:t>
      </w:r>
      <w:r>
        <w:rPr>
          <w:spacing w:val="-4"/>
        </w:rPr>
        <w:t> </w:t>
      </w:r>
      <w:r>
        <w:rPr/>
        <w:t>issued</w:t>
      </w:r>
      <w:r>
        <w:rPr>
          <w:spacing w:val="-4"/>
        </w:rPr>
        <w:t> </w:t>
      </w:r>
      <w:r>
        <w:rPr/>
        <w:t>in</w:t>
      </w:r>
      <w:r>
        <w:rPr>
          <w:spacing w:val="-4"/>
        </w:rPr>
        <w:t> </w:t>
      </w:r>
      <w:r>
        <w:rPr/>
        <w:t>2012 provide that CMS will review and consider all comments received by the deadline but will not necessarily provide written responses to all public comments (42 CFR 431.416(d)(2)).</w:t>
      </w:r>
    </w:p>
    <w:p>
      <w:pPr>
        <w:pStyle w:val="BodyText"/>
      </w:pPr>
    </w:p>
    <w:p>
      <w:pPr>
        <w:pStyle w:val="BodyText"/>
        <w:ind w:left="1440" w:right="1239"/>
      </w:pPr>
      <w:r>
        <w:rPr/>
        <w:t>The federal comment period opened on January</w:t>
      </w:r>
      <w:r>
        <w:rPr>
          <w:spacing w:val="-3"/>
        </w:rPr>
        <w:t> </w:t>
      </w:r>
      <w:r>
        <w:rPr/>
        <w:t>4, 2022 and closed on February</w:t>
      </w:r>
      <w:r>
        <w:rPr>
          <w:spacing w:val="-3"/>
        </w:rPr>
        <w:t> </w:t>
      </w:r>
      <w:r>
        <w:rPr/>
        <w:t>3, 2022.</w:t>
      </w:r>
      <w:r>
        <w:rPr>
          <w:spacing w:val="40"/>
        </w:rPr>
        <w:t> </w:t>
      </w:r>
      <w:r>
        <w:rPr/>
        <w:t>There were</w:t>
      </w:r>
      <w:r>
        <w:rPr>
          <w:spacing w:val="-6"/>
        </w:rPr>
        <w:t> </w:t>
      </w:r>
      <w:r>
        <w:rPr/>
        <w:t>thirty-three</w:t>
      </w:r>
      <w:r>
        <w:rPr>
          <w:spacing w:val="-5"/>
        </w:rPr>
        <w:t> </w:t>
      </w:r>
      <w:r>
        <w:rPr/>
        <w:t>public</w:t>
      </w:r>
      <w:r>
        <w:rPr>
          <w:spacing w:val="-3"/>
        </w:rPr>
        <w:t> </w:t>
      </w:r>
      <w:r>
        <w:rPr/>
        <w:t>comments</w:t>
      </w:r>
      <w:r>
        <w:rPr>
          <w:spacing w:val="-4"/>
        </w:rPr>
        <w:t> </w:t>
      </w:r>
      <w:r>
        <w:rPr/>
        <w:t>received</w:t>
      </w:r>
      <w:r>
        <w:rPr>
          <w:spacing w:val="-4"/>
        </w:rPr>
        <w:t> </w:t>
      </w:r>
      <w:r>
        <w:rPr/>
        <w:t>during</w:t>
      </w:r>
      <w:r>
        <w:rPr>
          <w:spacing w:val="-4"/>
        </w:rPr>
        <w:t> </w:t>
      </w:r>
      <w:r>
        <w:rPr/>
        <w:t>the</w:t>
      </w:r>
      <w:r>
        <w:rPr>
          <w:spacing w:val="-4"/>
        </w:rPr>
        <w:t> </w:t>
      </w:r>
      <w:r>
        <w:rPr/>
        <w:t>federal</w:t>
      </w:r>
      <w:r>
        <w:rPr>
          <w:spacing w:val="-4"/>
        </w:rPr>
        <w:t> </w:t>
      </w:r>
      <w:r>
        <w:rPr/>
        <w:t>comment</w:t>
      </w:r>
      <w:r>
        <w:rPr>
          <w:spacing w:val="-4"/>
        </w:rPr>
        <w:t> </w:t>
      </w:r>
      <w:r>
        <w:rPr/>
        <w:t>period;</w:t>
      </w:r>
      <w:r>
        <w:rPr>
          <w:spacing w:val="-4"/>
        </w:rPr>
        <w:t> </w:t>
      </w:r>
      <w:r>
        <w:rPr/>
        <w:t>however,</w:t>
      </w:r>
      <w:r>
        <w:rPr>
          <w:spacing w:val="-4"/>
        </w:rPr>
        <w:t> </w:t>
      </w:r>
      <w:r>
        <w:rPr/>
        <w:t>two</w:t>
      </w:r>
      <w:r>
        <w:rPr>
          <w:spacing w:val="-4"/>
        </w:rPr>
        <w:t> </w:t>
      </w:r>
      <w:r>
        <w:rPr/>
        <w:t>of these comments did not contain any feedback or information about the commenter; therefore,</w:t>
      </w:r>
    </w:p>
    <w:p>
      <w:pPr>
        <w:spacing w:after="0"/>
        <w:sectPr>
          <w:pgSz w:w="12240" w:h="15840"/>
          <w:pgMar w:top="640" w:bottom="280" w:left="0" w:right="220"/>
        </w:sectPr>
      </w:pPr>
    </w:p>
    <w:p>
      <w:pPr>
        <w:pStyle w:val="BodyText"/>
        <w:spacing w:before="79"/>
        <w:ind w:right="1218"/>
        <w:jc w:val="right"/>
      </w:pPr>
      <w:r>
        <w:rPr/>
        <w:t>Page</w:t>
      </w:r>
      <w:r>
        <w:rPr>
          <w:spacing w:val="-5"/>
        </w:rPr>
        <w:t> 17</w:t>
      </w:r>
    </w:p>
    <w:p>
      <w:pPr>
        <w:pStyle w:val="BodyText"/>
        <w:spacing w:before="7"/>
        <w:rPr>
          <w:sz w:val="38"/>
        </w:rPr>
      </w:pPr>
    </w:p>
    <w:p>
      <w:pPr>
        <w:pStyle w:val="BodyText"/>
        <w:ind w:left="1440" w:right="1239"/>
      </w:pPr>
      <w:r>
        <w:rPr/>
        <w:t>they</w:t>
      </w:r>
      <w:r>
        <w:rPr>
          <w:spacing w:val="-7"/>
        </w:rPr>
        <w:t> </w:t>
      </w:r>
      <w:r>
        <w:rPr/>
        <w:t>were</w:t>
      </w:r>
      <w:r>
        <w:rPr>
          <w:spacing w:val="-5"/>
        </w:rPr>
        <w:t> </w:t>
      </w:r>
      <w:r>
        <w:rPr/>
        <w:t>not</w:t>
      </w:r>
      <w:r>
        <w:rPr>
          <w:spacing w:val="-1"/>
        </w:rPr>
        <w:t> </w:t>
      </w:r>
      <w:r>
        <w:rPr/>
        <w:t>considered.</w:t>
      </w:r>
      <w:r>
        <w:rPr>
          <w:spacing w:val="40"/>
        </w:rPr>
        <w:t> </w:t>
      </w:r>
      <w:r>
        <w:rPr/>
        <w:t>A</w:t>
      </w:r>
      <w:r>
        <w:rPr>
          <w:spacing w:val="-4"/>
        </w:rPr>
        <w:t> </w:t>
      </w:r>
      <w:r>
        <w:rPr/>
        <w:t>majority</w:t>
      </w:r>
      <w:r>
        <w:rPr>
          <w:spacing w:val="-7"/>
        </w:rPr>
        <w:t> </w:t>
      </w:r>
      <w:r>
        <w:rPr/>
        <w:t>of</w:t>
      </w:r>
      <w:r>
        <w:rPr>
          <w:spacing w:val="-2"/>
        </w:rPr>
        <w:t> </w:t>
      </w:r>
      <w:r>
        <w:rPr/>
        <w:t>comments</w:t>
      </w:r>
      <w:r>
        <w:rPr>
          <w:spacing w:val="-4"/>
        </w:rPr>
        <w:t> </w:t>
      </w:r>
      <w:r>
        <w:rPr/>
        <w:t>supported</w:t>
      </w:r>
      <w:r>
        <w:rPr>
          <w:spacing w:val="-3"/>
        </w:rPr>
        <w:t> </w:t>
      </w:r>
      <w:r>
        <w:rPr/>
        <w:t>the</w:t>
      </w:r>
      <w:r>
        <w:rPr>
          <w:spacing w:val="-3"/>
        </w:rPr>
        <w:t> </w:t>
      </w:r>
      <w:r>
        <w:rPr/>
        <w:t>demonstration’s</w:t>
      </w:r>
      <w:r>
        <w:rPr>
          <w:spacing w:val="-4"/>
        </w:rPr>
        <w:t> </w:t>
      </w:r>
      <w:r>
        <w:rPr/>
        <w:t>extension proposals.</w:t>
      </w:r>
      <w:r>
        <w:rPr>
          <w:spacing w:val="40"/>
        </w:rPr>
        <w:t> </w:t>
      </w:r>
      <w:r>
        <w:rPr/>
        <w:t>The most widely supported proposals from these commenters included the</w:t>
      </w:r>
    </w:p>
    <w:p>
      <w:pPr>
        <w:pStyle w:val="BodyText"/>
        <w:ind w:left="1440" w:right="1239"/>
      </w:pPr>
      <w:r>
        <w:rPr/>
        <w:t>Commonwealth’s new initiatives promoting consistent high-quality care to all beneficiaries served</w:t>
      </w:r>
      <w:r>
        <w:rPr>
          <w:spacing w:val="-3"/>
        </w:rPr>
        <w:t> </w:t>
      </w:r>
      <w:r>
        <w:rPr/>
        <w:t>and</w:t>
      </w:r>
      <w:r>
        <w:rPr>
          <w:spacing w:val="-3"/>
        </w:rPr>
        <w:t> </w:t>
      </w:r>
      <w:r>
        <w:rPr/>
        <w:t>delivery</w:t>
      </w:r>
      <w:r>
        <w:rPr>
          <w:spacing w:val="-7"/>
        </w:rPr>
        <w:t> </w:t>
      </w:r>
      <w:r>
        <w:rPr/>
        <w:t>of</w:t>
      </w:r>
      <w:r>
        <w:rPr>
          <w:spacing w:val="-3"/>
        </w:rPr>
        <w:t> </w:t>
      </w:r>
      <w:r>
        <w:rPr/>
        <w:t>services</w:t>
      </w:r>
      <w:r>
        <w:rPr>
          <w:spacing w:val="-3"/>
        </w:rPr>
        <w:t> </w:t>
      </w:r>
      <w:r>
        <w:rPr/>
        <w:t>to</w:t>
      </w:r>
      <w:r>
        <w:rPr>
          <w:spacing w:val="-3"/>
        </w:rPr>
        <w:t> </w:t>
      </w:r>
      <w:r>
        <w:rPr/>
        <w:t>address</w:t>
      </w:r>
      <w:r>
        <w:rPr>
          <w:spacing w:val="-3"/>
        </w:rPr>
        <w:t> </w:t>
      </w:r>
      <w:r>
        <w:rPr/>
        <w:t>HRSN,</w:t>
      </w:r>
      <w:r>
        <w:rPr>
          <w:spacing w:val="-3"/>
        </w:rPr>
        <w:t> </w:t>
      </w:r>
      <w:r>
        <w:rPr/>
        <w:t>continuous</w:t>
      </w:r>
      <w:r>
        <w:rPr>
          <w:spacing w:val="-3"/>
        </w:rPr>
        <w:t> </w:t>
      </w:r>
      <w:r>
        <w:rPr/>
        <w:t>eligibility</w:t>
      </w:r>
      <w:r>
        <w:rPr>
          <w:spacing w:val="-8"/>
        </w:rPr>
        <w:t> </w:t>
      </w:r>
      <w:r>
        <w:rPr/>
        <w:t>for</w:t>
      </w:r>
      <w:r>
        <w:rPr>
          <w:spacing w:val="-3"/>
        </w:rPr>
        <w:t> </w:t>
      </w:r>
      <w:r>
        <w:rPr/>
        <w:t>homeless</w:t>
      </w:r>
      <w:r>
        <w:rPr>
          <w:spacing w:val="-3"/>
        </w:rPr>
        <w:t> </w:t>
      </w:r>
      <w:r>
        <w:rPr/>
        <w:t>and</w:t>
      </w:r>
      <w:r>
        <w:rPr>
          <w:spacing w:val="-3"/>
        </w:rPr>
        <w:t> </w:t>
      </w:r>
      <w:r>
        <w:rPr/>
        <w:t>justice- involved individuals, delivery system reform through sub-capitated payments to providers, the expansion of FSP and CSP services, changes to the retroactive eligibility waiver authority, initiatives supporting the community health center workforce, and justice-involved coverage initiatives.</w:t>
      </w:r>
      <w:r>
        <w:rPr>
          <w:spacing w:val="40"/>
        </w:rPr>
        <w:t> </w:t>
      </w:r>
      <w:r>
        <w:rPr/>
        <w:t>Supporters of the continuous eligibility</w:t>
      </w:r>
      <w:r>
        <w:rPr>
          <w:spacing w:val="-1"/>
        </w:rPr>
        <w:t> </w:t>
      </w:r>
      <w:r>
        <w:rPr/>
        <w:t>provisions emphasized that it would mitigate coverage gaps and churn and improve health outcomes.</w:t>
      </w:r>
    </w:p>
    <w:p>
      <w:pPr>
        <w:pStyle w:val="BodyText"/>
        <w:spacing w:before="161"/>
        <w:ind w:left="1440" w:right="1248"/>
      </w:pPr>
      <w:r>
        <w:rPr/>
        <w:t>Some commenters opposed certain elements within the extension.</w:t>
      </w:r>
      <w:r>
        <w:rPr>
          <w:spacing w:val="40"/>
        </w:rPr>
        <w:t> </w:t>
      </w:r>
      <w:r>
        <w:rPr/>
        <w:t>One commenter raised multiple concerns and did not recommend approval of several elements within the</w:t>
      </w:r>
      <w:r>
        <w:rPr>
          <w:spacing w:val="40"/>
        </w:rPr>
        <w:t> </w:t>
      </w:r>
      <w:r>
        <w:rPr/>
        <w:t>demonstration.</w:t>
      </w:r>
      <w:r>
        <w:rPr>
          <w:spacing w:val="80"/>
        </w:rPr>
        <w:t> </w:t>
      </w:r>
      <w:r>
        <w:rPr/>
        <w:t>This commenter opposed the institutions for mental diseases (IMD) provisions</w:t>
      </w:r>
      <w:r>
        <w:rPr/>
        <w:t> of the demonstration, arguing that the IMD payment exclusion cannot be waived.</w:t>
      </w:r>
      <w:r>
        <w:rPr>
          <w:spacing w:val="40"/>
        </w:rPr>
        <w:t> </w:t>
      </w:r>
      <w:r>
        <w:rPr/>
        <w:t>CMS is approving</w:t>
      </w:r>
      <w:r>
        <w:rPr>
          <w:spacing w:val="-1"/>
        </w:rPr>
        <w:t> </w:t>
      </w:r>
      <w:r>
        <w:rPr/>
        <w:t>the expenditures for services delivered while beneficiaries are residents of IMD under section</w:t>
      </w:r>
      <w:r>
        <w:rPr>
          <w:spacing w:val="-3"/>
        </w:rPr>
        <w:t> </w:t>
      </w:r>
      <w:r>
        <w:rPr/>
        <w:t>1115(a)(2)</w:t>
      </w:r>
      <w:r>
        <w:rPr>
          <w:spacing w:val="-5"/>
        </w:rPr>
        <w:t> </w:t>
      </w:r>
      <w:r>
        <w:rPr/>
        <w:t>of</w:t>
      </w:r>
      <w:r>
        <w:rPr>
          <w:spacing w:val="-3"/>
        </w:rPr>
        <w:t> </w:t>
      </w:r>
      <w:r>
        <w:rPr/>
        <w:t>the</w:t>
      </w:r>
      <w:r>
        <w:rPr>
          <w:spacing w:val="-3"/>
        </w:rPr>
        <w:t> </w:t>
      </w:r>
      <w:r>
        <w:rPr/>
        <w:t>Act.</w:t>
      </w:r>
      <w:r>
        <w:rPr>
          <w:spacing w:val="40"/>
        </w:rPr>
        <w:t> </w:t>
      </w:r>
      <w:r>
        <w:rPr/>
        <w:t>Section</w:t>
      </w:r>
      <w:r>
        <w:rPr>
          <w:spacing w:val="-3"/>
        </w:rPr>
        <w:t> </w:t>
      </w:r>
      <w:r>
        <w:rPr/>
        <w:t>1115(a)(2)</w:t>
      </w:r>
      <w:r>
        <w:rPr>
          <w:spacing w:val="-3"/>
        </w:rPr>
        <w:t> </w:t>
      </w:r>
      <w:r>
        <w:rPr/>
        <w:t>of</w:t>
      </w:r>
      <w:r>
        <w:rPr>
          <w:spacing w:val="-3"/>
        </w:rPr>
        <w:t> </w:t>
      </w:r>
      <w:r>
        <w:rPr/>
        <w:t>the</w:t>
      </w:r>
      <w:r>
        <w:rPr>
          <w:spacing w:val="-5"/>
        </w:rPr>
        <w:t> </w:t>
      </w:r>
      <w:r>
        <w:rPr/>
        <w:t>Act</w:t>
      </w:r>
      <w:r>
        <w:rPr>
          <w:spacing w:val="-1"/>
        </w:rPr>
        <w:t> </w:t>
      </w:r>
      <w:r>
        <w:rPr/>
        <w:t>grants</w:t>
      </w:r>
      <w:r>
        <w:rPr>
          <w:spacing w:val="-3"/>
        </w:rPr>
        <w:t> </w:t>
      </w:r>
      <w:r>
        <w:rPr/>
        <w:t>the</w:t>
      </w:r>
      <w:r>
        <w:rPr>
          <w:spacing w:val="-1"/>
        </w:rPr>
        <w:t> </w:t>
      </w:r>
      <w:r>
        <w:rPr/>
        <w:t>Secretary</w:t>
      </w:r>
      <w:r>
        <w:rPr>
          <w:spacing w:val="-8"/>
        </w:rPr>
        <w:t> </w:t>
      </w:r>
      <w:r>
        <w:rPr/>
        <w:t>the</w:t>
      </w:r>
      <w:r>
        <w:rPr>
          <w:spacing w:val="-3"/>
        </w:rPr>
        <w:t> </w:t>
      </w:r>
      <w:r>
        <w:rPr/>
        <w:t>authority,</w:t>
      </w:r>
      <w:r>
        <w:rPr>
          <w:spacing w:val="-3"/>
        </w:rPr>
        <w:t> </w:t>
      </w:r>
      <w:r>
        <w:rPr/>
        <w:t>in the</w:t>
      </w:r>
      <w:r>
        <w:rPr>
          <w:spacing w:val="-3"/>
        </w:rPr>
        <w:t> </w:t>
      </w:r>
      <w:r>
        <w:rPr/>
        <w:t>context</w:t>
      </w:r>
      <w:r>
        <w:rPr>
          <w:spacing w:val="-3"/>
        </w:rPr>
        <w:t> </w:t>
      </w:r>
      <w:r>
        <w:rPr/>
        <w:t>of</w:t>
      </w:r>
      <w:r>
        <w:rPr>
          <w:spacing w:val="-3"/>
        </w:rPr>
        <w:t> </w:t>
      </w:r>
      <w:r>
        <w:rPr/>
        <w:t>a</w:t>
      </w:r>
      <w:r>
        <w:rPr>
          <w:spacing w:val="-4"/>
        </w:rPr>
        <w:t> </w:t>
      </w:r>
      <w:r>
        <w:rPr/>
        <w:t>demonstration</w:t>
      </w:r>
      <w:r>
        <w:rPr>
          <w:spacing w:val="-3"/>
        </w:rPr>
        <w:t> </w:t>
      </w:r>
      <w:r>
        <w:rPr/>
        <w:t>project</w:t>
      </w:r>
      <w:r>
        <w:rPr>
          <w:spacing w:val="-3"/>
        </w:rPr>
        <w:t> </w:t>
      </w:r>
      <w:r>
        <w:rPr/>
        <w:t>under</w:t>
      </w:r>
      <w:r>
        <w:rPr>
          <w:spacing w:val="-4"/>
        </w:rPr>
        <w:t> </w:t>
      </w:r>
      <w:r>
        <w:rPr/>
        <w:t>section</w:t>
      </w:r>
      <w:r>
        <w:rPr>
          <w:spacing w:val="-3"/>
        </w:rPr>
        <w:t> </w:t>
      </w:r>
      <w:r>
        <w:rPr/>
        <w:t>1115(a),</w:t>
      </w:r>
      <w:r>
        <w:rPr>
          <w:spacing w:val="-3"/>
        </w:rPr>
        <w:t> </w:t>
      </w:r>
      <w:r>
        <w:rPr/>
        <w:t>to</w:t>
      </w:r>
      <w:r>
        <w:rPr>
          <w:spacing w:val="-3"/>
        </w:rPr>
        <w:t> </w:t>
      </w:r>
      <w:r>
        <w:rPr/>
        <w:t>provide</w:t>
      </w:r>
      <w:r>
        <w:rPr>
          <w:spacing w:val="-2"/>
        </w:rPr>
        <w:t> </w:t>
      </w:r>
      <w:r>
        <w:rPr/>
        <w:t>federal</w:t>
      </w:r>
      <w:r>
        <w:rPr>
          <w:spacing w:val="-3"/>
        </w:rPr>
        <w:t> </w:t>
      </w:r>
      <w:r>
        <w:rPr/>
        <w:t>matching</w:t>
      </w:r>
      <w:r>
        <w:rPr>
          <w:spacing w:val="-5"/>
        </w:rPr>
        <w:t> </w:t>
      </w:r>
      <w:r>
        <w:rPr/>
        <w:t>of</w:t>
      </w:r>
      <w:r>
        <w:rPr>
          <w:spacing w:val="-3"/>
        </w:rPr>
        <w:t> </w:t>
      </w:r>
      <w:r>
        <w:rPr/>
        <w:t>state expenditures that would not otherwise be federally matchable under the terms of section 1903.</w:t>
      </w:r>
    </w:p>
    <w:p>
      <w:pPr>
        <w:pStyle w:val="BodyText"/>
        <w:ind w:left="1440" w:right="1239"/>
      </w:pPr>
      <w:r>
        <w:rPr/>
        <w:t>Specifically,</w:t>
      </w:r>
      <w:r>
        <w:rPr>
          <w:spacing w:val="-4"/>
        </w:rPr>
        <w:t> </w:t>
      </w:r>
      <w:r>
        <w:rPr/>
        <w:t>with</w:t>
      </w:r>
      <w:r>
        <w:rPr>
          <w:spacing w:val="-4"/>
        </w:rPr>
        <w:t> </w:t>
      </w:r>
      <w:r>
        <w:rPr/>
        <w:t>respect</w:t>
      </w:r>
      <w:r>
        <w:rPr>
          <w:spacing w:val="-2"/>
        </w:rPr>
        <w:t> </w:t>
      </w:r>
      <w:r>
        <w:rPr/>
        <w:t>to</w:t>
      </w:r>
      <w:r>
        <w:rPr>
          <w:spacing w:val="-4"/>
        </w:rPr>
        <w:t> </w:t>
      </w:r>
      <w:r>
        <w:rPr/>
        <w:t>state</w:t>
      </w:r>
      <w:r>
        <w:rPr>
          <w:spacing w:val="-4"/>
        </w:rPr>
        <w:t> </w:t>
      </w:r>
      <w:r>
        <w:rPr/>
        <w:t>expenditures</w:t>
      </w:r>
      <w:r>
        <w:rPr>
          <w:spacing w:val="-5"/>
        </w:rPr>
        <w:t> </w:t>
      </w:r>
      <w:r>
        <w:rPr/>
        <w:t>under</w:t>
      </w:r>
      <w:r>
        <w:rPr>
          <w:spacing w:val="-4"/>
        </w:rPr>
        <w:t> </w:t>
      </w:r>
      <w:r>
        <w:rPr/>
        <w:t>a</w:t>
      </w:r>
      <w:r>
        <w:rPr>
          <w:spacing w:val="-6"/>
        </w:rPr>
        <w:t> </w:t>
      </w:r>
      <w:r>
        <w:rPr/>
        <w:t>section</w:t>
      </w:r>
      <w:r>
        <w:rPr>
          <w:spacing w:val="-4"/>
        </w:rPr>
        <w:t> </w:t>
      </w:r>
      <w:r>
        <w:rPr/>
        <w:t>1115</w:t>
      </w:r>
      <w:r>
        <w:rPr>
          <w:spacing w:val="-4"/>
        </w:rPr>
        <w:t> </w:t>
      </w:r>
      <w:r>
        <w:rPr/>
        <w:t>“demonstration</w:t>
      </w:r>
      <w:r>
        <w:rPr>
          <w:spacing w:val="-4"/>
        </w:rPr>
        <w:t> </w:t>
      </w:r>
      <w:r>
        <w:rPr/>
        <w:t>project which, in the judgment of the Secretary, is likely to assist in promoting the objectives of</w:t>
      </w:r>
    </w:p>
    <w:p>
      <w:pPr>
        <w:pStyle w:val="BodyText"/>
        <w:ind w:left="1440" w:right="1239"/>
      </w:pPr>
      <w:r>
        <w:rPr/>
        <w:t>[Medicaid],”</w:t>
      </w:r>
      <w:r>
        <w:rPr>
          <w:spacing w:val="-4"/>
        </w:rPr>
        <w:t> </w:t>
      </w:r>
      <w:r>
        <w:rPr/>
        <w:t>expenditures</w:t>
      </w:r>
      <w:r>
        <w:rPr>
          <w:spacing w:val="-4"/>
        </w:rPr>
        <w:t> </w:t>
      </w:r>
      <w:r>
        <w:rPr/>
        <w:t>that</w:t>
      </w:r>
      <w:r>
        <w:rPr>
          <w:spacing w:val="-3"/>
        </w:rPr>
        <w:t> </w:t>
      </w:r>
      <w:r>
        <w:rPr/>
        <w:t>would</w:t>
      </w:r>
      <w:r>
        <w:rPr>
          <w:spacing w:val="-3"/>
        </w:rPr>
        <w:t> </w:t>
      </w:r>
      <w:r>
        <w:rPr/>
        <w:t>“not</w:t>
      </w:r>
      <w:r>
        <w:rPr>
          <w:spacing w:val="-3"/>
        </w:rPr>
        <w:t> </w:t>
      </w:r>
      <w:r>
        <w:rPr/>
        <w:t>otherwise”</w:t>
      </w:r>
      <w:r>
        <w:rPr>
          <w:spacing w:val="-4"/>
        </w:rPr>
        <w:t> </w:t>
      </w:r>
      <w:r>
        <w:rPr/>
        <w:t>be</w:t>
      </w:r>
      <w:r>
        <w:rPr>
          <w:spacing w:val="-4"/>
        </w:rPr>
        <w:t> </w:t>
      </w:r>
      <w:r>
        <w:rPr/>
        <w:t>matchable</w:t>
      </w:r>
      <w:r>
        <w:rPr>
          <w:spacing w:val="-3"/>
        </w:rPr>
        <w:t> </w:t>
      </w:r>
      <w:r>
        <w:rPr/>
        <w:t>under</w:t>
      </w:r>
      <w:r>
        <w:rPr>
          <w:spacing w:val="-3"/>
        </w:rPr>
        <w:t> </w:t>
      </w:r>
      <w:r>
        <w:rPr/>
        <w:t>section</w:t>
      </w:r>
      <w:r>
        <w:rPr>
          <w:spacing w:val="-3"/>
        </w:rPr>
        <w:t> </w:t>
      </w:r>
      <w:r>
        <w:rPr/>
        <w:t>1903</w:t>
      </w:r>
      <w:r>
        <w:rPr>
          <w:spacing w:val="-3"/>
        </w:rPr>
        <w:t> </w:t>
      </w:r>
      <w:r>
        <w:rPr/>
        <w:t>may</w:t>
      </w:r>
      <w:r>
        <w:rPr>
          <w:spacing w:val="-8"/>
        </w:rPr>
        <w:t> </w:t>
      </w:r>
      <w:r>
        <w:rPr/>
        <w:t>“be regarded as expenditures under the State plan or plans approved under such title, or for</w:t>
      </w:r>
    </w:p>
    <w:p>
      <w:pPr>
        <w:pStyle w:val="BodyText"/>
        <w:ind w:left="1440" w:right="1222"/>
      </w:pPr>
      <w:r>
        <w:rPr/>
        <w:t>administration</w:t>
      </w:r>
      <w:r>
        <w:rPr>
          <w:spacing w:val="-2"/>
        </w:rPr>
        <w:t> </w:t>
      </w:r>
      <w:r>
        <w:rPr/>
        <w:t>of</w:t>
      </w:r>
      <w:r>
        <w:rPr>
          <w:spacing w:val="-3"/>
        </w:rPr>
        <w:t> </w:t>
      </w:r>
      <w:r>
        <w:rPr/>
        <w:t>such</w:t>
      </w:r>
      <w:r>
        <w:rPr>
          <w:spacing w:val="-2"/>
        </w:rPr>
        <w:t> </w:t>
      </w:r>
      <w:r>
        <w:rPr/>
        <w:t>State</w:t>
      </w:r>
      <w:r>
        <w:rPr>
          <w:spacing w:val="-3"/>
        </w:rPr>
        <w:t> </w:t>
      </w:r>
      <w:r>
        <w:rPr/>
        <w:t>plan</w:t>
      </w:r>
      <w:r>
        <w:rPr>
          <w:spacing w:val="-2"/>
        </w:rPr>
        <w:t> </w:t>
      </w:r>
      <w:r>
        <w:rPr/>
        <w:t>or</w:t>
      </w:r>
      <w:r>
        <w:rPr>
          <w:spacing w:val="-4"/>
        </w:rPr>
        <w:t> </w:t>
      </w:r>
      <w:r>
        <w:rPr/>
        <w:t>plans</w:t>
      </w:r>
      <w:r>
        <w:rPr>
          <w:spacing w:val="-3"/>
        </w:rPr>
        <w:t> </w:t>
      </w:r>
      <w:r>
        <w:rPr/>
        <w:t>.</w:t>
      </w:r>
      <w:r>
        <w:rPr>
          <w:spacing w:val="-2"/>
        </w:rPr>
        <w:t> </w:t>
      </w:r>
      <w:r>
        <w:rPr/>
        <w:t>.</w:t>
      </w:r>
      <w:r>
        <w:rPr>
          <w:spacing w:val="-2"/>
        </w:rPr>
        <w:t> </w:t>
      </w:r>
      <w:r>
        <w:rPr/>
        <w:t>.</w:t>
      </w:r>
      <w:r>
        <w:rPr>
          <w:spacing w:val="-1"/>
        </w:rPr>
        <w:t> </w:t>
      </w:r>
      <w:r>
        <w:rPr/>
        <w:t>as</w:t>
      </w:r>
      <w:r>
        <w:rPr>
          <w:spacing w:val="-3"/>
        </w:rPr>
        <w:t> </w:t>
      </w:r>
      <w:r>
        <w:rPr/>
        <w:t>may</w:t>
      </w:r>
      <w:r>
        <w:rPr>
          <w:spacing w:val="-7"/>
        </w:rPr>
        <w:t> </w:t>
      </w:r>
      <w:r>
        <w:rPr/>
        <w:t>be</w:t>
      </w:r>
      <w:r>
        <w:rPr>
          <w:spacing w:val="-3"/>
        </w:rPr>
        <w:t> </w:t>
      </w:r>
      <w:r>
        <w:rPr/>
        <w:t>appropriate.”</w:t>
      </w:r>
      <w:r>
        <w:rPr>
          <w:spacing w:val="40"/>
        </w:rPr>
        <w:t> </w:t>
      </w:r>
      <w:r>
        <w:rPr/>
        <w:t>This</w:t>
      </w:r>
      <w:r>
        <w:rPr>
          <w:spacing w:val="-3"/>
        </w:rPr>
        <w:t> </w:t>
      </w:r>
      <w:r>
        <w:rPr/>
        <w:t>expenditure</w:t>
      </w:r>
      <w:r>
        <w:rPr>
          <w:spacing w:val="-4"/>
        </w:rPr>
        <w:t> </w:t>
      </w:r>
      <w:r>
        <w:rPr/>
        <w:t>authority has been exercised by the Secretary for decades to conduct demonstration projects that provide coverage</w:t>
      </w:r>
      <w:r>
        <w:rPr>
          <w:spacing w:val="-1"/>
        </w:rPr>
        <w:t> </w:t>
      </w:r>
      <w:r>
        <w:rPr/>
        <w:t>for</w:t>
      </w:r>
      <w:r>
        <w:rPr>
          <w:spacing w:val="-2"/>
        </w:rPr>
        <w:t> </w:t>
      </w:r>
      <w:r>
        <w:rPr/>
        <w:t>individuals or services</w:t>
      </w:r>
      <w:r>
        <w:rPr>
          <w:spacing w:val="-1"/>
        </w:rPr>
        <w:t> </w:t>
      </w:r>
      <w:r>
        <w:rPr/>
        <w:t>that could not otherwise be covered under a</w:t>
      </w:r>
      <w:r>
        <w:rPr>
          <w:spacing w:val="-2"/>
        </w:rPr>
        <w:t> </w:t>
      </w:r>
      <w:r>
        <w:rPr/>
        <w:t>state’s</w:t>
      </w:r>
      <w:r>
        <w:rPr>
          <w:spacing w:val="-1"/>
        </w:rPr>
        <w:t> </w:t>
      </w:r>
      <w:r>
        <w:rPr/>
        <w:t>Medicaid state plan.</w:t>
      </w:r>
      <w:r>
        <w:rPr>
          <w:spacing w:val="40"/>
        </w:rPr>
        <w:t> </w:t>
      </w:r>
      <w:r>
        <w:rPr/>
        <w:t>This has allowed the Secretary to expand eligibility for benefits to individuals who would not otherwise be eligible, and for services that would not otherwise be covered.</w:t>
      </w:r>
      <w:r>
        <w:rPr>
          <w:spacing w:val="40"/>
        </w:rPr>
        <w:t> </w:t>
      </w:r>
      <w:r>
        <w:rPr/>
        <w:t>This</w:t>
      </w:r>
    </w:p>
    <w:p>
      <w:pPr>
        <w:pStyle w:val="BodyText"/>
        <w:ind w:left="1440" w:right="1264"/>
      </w:pPr>
      <w:r>
        <w:rPr/>
        <w:t>interpretation has been upheld in court as a valid exercise of the Secretary’s demonstration authority</w:t>
      </w:r>
      <w:r>
        <w:rPr>
          <w:spacing w:val="-8"/>
        </w:rPr>
        <w:t> </w:t>
      </w:r>
      <w:r>
        <w:rPr/>
        <w:t>under</w:t>
      </w:r>
      <w:r>
        <w:rPr>
          <w:spacing w:val="-3"/>
        </w:rPr>
        <w:t> </w:t>
      </w:r>
      <w:r>
        <w:rPr/>
        <w:t>section</w:t>
      </w:r>
      <w:r>
        <w:rPr>
          <w:spacing w:val="-3"/>
        </w:rPr>
        <w:t> </w:t>
      </w:r>
      <w:r>
        <w:rPr/>
        <w:t>1115.</w:t>
      </w:r>
      <w:r>
        <w:rPr>
          <w:spacing w:val="40"/>
        </w:rPr>
        <w:t> </w:t>
      </w:r>
      <w:r>
        <w:rPr/>
        <w:t>For</w:t>
      </w:r>
      <w:r>
        <w:rPr>
          <w:spacing w:val="-3"/>
        </w:rPr>
        <w:t> </w:t>
      </w:r>
      <w:r>
        <w:rPr/>
        <w:t>example,</w:t>
      </w:r>
      <w:r>
        <w:rPr>
          <w:spacing w:val="-3"/>
        </w:rPr>
        <w:t> </w:t>
      </w:r>
      <w:r>
        <w:rPr/>
        <w:t>federal</w:t>
      </w:r>
      <w:r>
        <w:rPr>
          <w:spacing w:val="-3"/>
        </w:rPr>
        <w:t> </w:t>
      </w:r>
      <w:r>
        <w:rPr/>
        <w:t>courts</w:t>
      </w:r>
      <w:r>
        <w:rPr>
          <w:spacing w:val="-3"/>
        </w:rPr>
        <w:t> </w:t>
      </w:r>
      <w:r>
        <w:rPr/>
        <w:t>have</w:t>
      </w:r>
      <w:r>
        <w:rPr>
          <w:spacing w:val="-5"/>
        </w:rPr>
        <w:t> </w:t>
      </w:r>
      <w:r>
        <w:rPr/>
        <w:t>upheld</w:t>
      </w:r>
      <w:r>
        <w:rPr>
          <w:spacing w:val="-3"/>
        </w:rPr>
        <w:t> </w:t>
      </w:r>
      <w:r>
        <w:rPr/>
        <w:t>demonstration</w:t>
      </w:r>
      <w:r>
        <w:rPr>
          <w:spacing w:val="-3"/>
        </w:rPr>
        <w:t> </w:t>
      </w:r>
      <w:r>
        <w:rPr/>
        <w:t>projects that covered individuals under section 1115(a)(2) who would not otherwise be eligible for coverage.</w:t>
      </w:r>
      <w:r>
        <w:rPr>
          <w:spacing w:val="40"/>
        </w:rPr>
        <w:t> </w:t>
      </w:r>
      <w:r>
        <w:rPr>
          <w:i/>
        </w:rPr>
        <w:t>Spry v. Thompson</w:t>
      </w:r>
      <w:r>
        <w:rPr/>
        <w:t>, 487 F.3d 1272 (9th Cir. 2007); </w:t>
      </w:r>
      <w:r>
        <w:rPr>
          <w:i/>
        </w:rPr>
        <w:t>Wood v. Betlach</w:t>
      </w:r>
      <w:r>
        <w:rPr/>
        <w:t>, No. CV-12- 08098, 2013 WL 3871414 (D. Ariz. July 26, 2013).</w:t>
      </w:r>
    </w:p>
    <w:p>
      <w:pPr>
        <w:pStyle w:val="BodyText"/>
        <w:spacing w:before="11"/>
        <w:rPr>
          <w:sz w:val="23"/>
        </w:rPr>
      </w:pPr>
    </w:p>
    <w:p>
      <w:pPr>
        <w:pStyle w:val="BodyText"/>
        <w:ind w:left="1440" w:right="1315"/>
      </w:pPr>
      <w:r>
        <w:rPr/>
        <w:t>Additionally,</w:t>
      </w:r>
      <w:r>
        <w:rPr>
          <w:spacing w:val="-3"/>
        </w:rPr>
        <w:t> </w:t>
      </w:r>
      <w:r>
        <w:rPr/>
        <w:t>this</w:t>
      </w:r>
      <w:r>
        <w:rPr>
          <w:spacing w:val="-3"/>
        </w:rPr>
        <w:t> </w:t>
      </w:r>
      <w:r>
        <w:rPr/>
        <w:t>commenter</w:t>
      </w:r>
      <w:r>
        <w:rPr>
          <w:spacing w:val="-5"/>
        </w:rPr>
        <w:t> </w:t>
      </w:r>
      <w:r>
        <w:rPr/>
        <w:t>argued</w:t>
      </w:r>
      <w:r>
        <w:rPr>
          <w:spacing w:val="-3"/>
        </w:rPr>
        <w:t> </w:t>
      </w:r>
      <w:r>
        <w:rPr/>
        <w:t>that</w:t>
      </w:r>
      <w:r>
        <w:rPr>
          <w:spacing w:val="-3"/>
        </w:rPr>
        <w:t> </w:t>
      </w:r>
      <w:r>
        <w:rPr/>
        <w:t>it</w:t>
      </w:r>
      <w:r>
        <w:rPr>
          <w:spacing w:val="-3"/>
        </w:rPr>
        <w:t> </w:t>
      </w:r>
      <w:r>
        <w:rPr/>
        <w:t>does</w:t>
      </w:r>
      <w:r>
        <w:rPr>
          <w:spacing w:val="-3"/>
        </w:rPr>
        <w:t> </w:t>
      </w:r>
      <w:r>
        <w:rPr/>
        <w:t>not</w:t>
      </w:r>
      <w:r>
        <w:rPr>
          <w:spacing w:val="-3"/>
        </w:rPr>
        <w:t> </w:t>
      </w:r>
      <w:r>
        <w:rPr/>
        <w:t>view</w:t>
      </w:r>
      <w:r>
        <w:rPr>
          <w:spacing w:val="-4"/>
        </w:rPr>
        <w:t> </w:t>
      </w:r>
      <w:r>
        <w:rPr/>
        <w:t>the</w:t>
      </w:r>
      <w:r>
        <w:rPr>
          <w:spacing w:val="-3"/>
        </w:rPr>
        <w:t> </w:t>
      </w:r>
      <w:r>
        <w:rPr/>
        <w:t>Commonwealth</w:t>
      </w:r>
      <w:r>
        <w:rPr>
          <w:spacing w:val="-3"/>
        </w:rPr>
        <w:t> </w:t>
      </w:r>
      <w:r>
        <w:rPr/>
        <w:t>receiving</w:t>
      </w:r>
      <w:r>
        <w:rPr>
          <w:spacing w:val="-6"/>
        </w:rPr>
        <w:t> </w:t>
      </w:r>
      <w:r>
        <w:rPr/>
        <w:t>FFP</w:t>
      </w:r>
      <w:r>
        <w:rPr>
          <w:spacing w:val="-3"/>
        </w:rPr>
        <w:t> </w:t>
      </w:r>
      <w:r>
        <w:rPr/>
        <w:t>for these IMD expenditures as a valid experiment.</w:t>
      </w:r>
      <w:r>
        <w:rPr>
          <w:spacing w:val="40"/>
        </w:rPr>
        <w:t> </w:t>
      </w:r>
      <w:r>
        <w:rPr/>
        <w:t>CMS has determined that Massachusetts’s request serves a research and demonstration purpose as outlined in State Medicaid Director Letter #18-011.</w:t>
      </w:r>
      <w:r>
        <w:rPr>
          <w:spacing w:val="40"/>
        </w:rPr>
        <w:t> </w:t>
      </w:r>
      <w:r>
        <w:rPr/>
        <w:t>As noted above, testing the benefits of covering individuals and services that could not otherwise be covered promotes the coverage objective of Medicaid, and helps states and CMS gather information to inform any potential future legislation.</w:t>
      </w:r>
      <w:r>
        <w:rPr>
          <w:spacing w:val="40"/>
        </w:rPr>
        <w:t> </w:t>
      </w:r>
      <w:r>
        <w:rPr/>
        <w:t>CMS believes that this authority</w:t>
      </w:r>
      <w:r>
        <w:rPr>
          <w:spacing w:val="-2"/>
        </w:rPr>
        <w:t> </w:t>
      </w:r>
      <w:r>
        <w:rPr/>
        <w:t>will yield useful data as this demonstration includes robust monitoring and evaluation </w:t>
      </w:r>
      <w:r>
        <w:rPr>
          <w:spacing w:val="-2"/>
        </w:rPr>
        <w:t>requirements.</w:t>
      </w:r>
    </w:p>
    <w:p>
      <w:pPr>
        <w:pStyle w:val="BodyText"/>
        <w:spacing w:before="1"/>
      </w:pPr>
    </w:p>
    <w:p>
      <w:pPr>
        <w:pStyle w:val="BodyText"/>
        <w:ind w:left="1440" w:right="1213"/>
      </w:pPr>
      <w:r>
        <w:rPr/>
        <w:t>This</w:t>
      </w:r>
      <w:r>
        <w:rPr>
          <w:spacing w:val="-3"/>
        </w:rPr>
        <w:t> </w:t>
      </w:r>
      <w:r>
        <w:rPr/>
        <w:t>commenter</w:t>
      </w:r>
      <w:r>
        <w:rPr>
          <w:spacing w:val="-3"/>
        </w:rPr>
        <w:t> </w:t>
      </w:r>
      <w:r>
        <w:rPr/>
        <w:t>expressed</w:t>
      </w:r>
      <w:r>
        <w:rPr>
          <w:spacing w:val="-3"/>
        </w:rPr>
        <w:t> </w:t>
      </w:r>
      <w:r>
        <w:rPr/>
        <w:t>concern</w:t>
      </w:r>
      <w:r>
        <w:rPr>
          <w:spacing w:val="-3"/>
        </w:rPr>
        <w:t> </w:t>
      </w:r>
      <w:r>
        <w:rPr/>
        <w:t>that</w:t>
      </w:r>
      <w:r>
        <w:rPr>
          <w:spacing w:val="-3"/>
        </w:rPr>
        <w:t> </w:t>
      </w:r>
      <w:r>
        <w:rPr/>
        <w:t>the</w:t>
      </w:r>
      <w:r>
        <w:rPr>
          <w:spacing w:val="-4"/>
        </w:rPr>
        <w:t> </w:t>
      </w:r>
      <w:r>
        <w:rPr/>
        <w:t>continuous</w:t>
      </w:r>
      <w:r>
        <w:rPr>
          <w:spacing w:val="-3"/>
        </w:rPr>
        <w:t> </w:t>
      </w:r>
      <w:r>
        <w:rPr/>
        <w:t>coverage</w:t>
      </w:r>
      <w:r>
        <w:rPr>
          <w:spacing w:val="-4"/>
        </w:rPr>
        <w:t> </w:t>
      </w:r>
      <w:r>
        <w:rPr/>
        <w:t>component</w:t>
      </w:r>
      <w:r>
        <w:rPr>
          <w:spacing w:val="-3"/>
        </w:rPr>
        <w:t> </w:t>
      </w:r>
      <w:r>
        <w:rPr/>
        <w:t>does</w:t>
      </w:r>
      <w:r>
        <w:rPr>
          <w:spacing w:val="-3"/>
        </w:rPr>
        <w:t> </w:t>
      </w:r>
      <w:r>
        <w:rPr/>
        <w:t>not</w:t>
      </w:r>
      <w:r>
        <w:rPr>
          <w:spacing w:val="-3"/>
        </w:rPr>
        <w:t> </w:t>
      </w:r>
      <w:r>
        <w:rPr/>
        <w:t>constitute</w:t>
      </w:r>
      <w:r>
        <w:rPr>
          <w:spacing w:val="-3"/>
        </w:rPr>
        <w:t> </w:t>
      </w:r>
      <w:r>
        <w:rPr/>
        <w:t>a clear</w:t>
      </w:r>
      <w:r>
        <w:rPr>
          <w:spacing w:val="-2"/>
        </w:rPr>
        <w:t> </w:t>
      </w:r>
      <w:r>
        <w:rPr/>
        <w:t>experiment.</w:t>
      </w:r>
      <w:r>
        <w:rPr>
          <w:spacing w:val="40"/>
        </w:rPr>
        <w:t> </w:t>
      </w:r>
      <w:r>
        <w:rPr/>
        <w:t>CMS</w:t>
      </w:r>
      <w:r>
        <w:rPr>
          <w:spacing w:val="-5"/>
        </w:rPr>
        <w:t> </w:t>
      </w:r>
      <w:r>
        <w:rPr/>
        <w:t>has</w:t>
      </w:r>
      <w:r>
        <w:rPr>
          <w:spacing w:val="-3"/>
        </w:rPr>
        <w:t> </w:t>
      </w:r>
      <w:r>
        <w:rPr/>
        <w:t>determined</w:t>
      </w:r>
      <w:r>
        <w:rPr>
          <w:spacing w:val="-3"/>
        </w:rPr>
        <w:t> </w:t>
      </w:r>
      <w:r>
        <w:rPr/>
        <w:t>that</w:t>
      </w:r>
      <w:r>
        <w:rPr>
          <w:spacing w:val="-3"/>
        </w:rPr>
        <w:t> </w:t>
      </w:r>
      <w:r>
        <w:rPr/>
        <w:t>this</w:t>
      </w:r>
      <w:r>
        <w:rPr>
          <w:spacing w:val="-3"/>
        </w:rPr>
        <w:t> </w:t>
      </w:r>
      <w:r>
        <w:rPr/>
        <w:t>component</w:t>
      </w:r>
      <w:r>
        <w:rPr>
          <w:spacing w:val="-3"/>
        </w:rPr>
        <w:t> </w:t>
      </w:r>
      <w:r>
        <w:rPr/>
        <w:t>will</w:t>
      </w:r>
      <w:r>
        <w:rPr>
          <w:spacing w:val="-3"/>
        </w:rPr>
        <w:t> </w:t>
      </w:r>
      <w:r>
        <w:rPr/>
        <w:t>test</w:t>
      </w:r>
      <w:r>
        <w:rPr>
          <w:spacing w:val="-3"/>
        </w:rPr>
        <w:t> </w:t>
      </w:r>
      <w:r>
        <w:rPr/>
        <w:t>whether</w:t>
      </w:r>
      <w:r>
        <w:rPr>
          <w:spacing w:val="-5"/>
        </w:rPr>
        <w:t> </w:t>
      </w:r>
      <w:r>
        <w:rPr/>
        <w:t>specific</w:t>
      </w:r>
      <w:r>
        <w:rPr>
          <w:spacing w:val="-4"/>
        </w:rPr>
        <w:t> </w:t>
      </w:r>
      <w:r>
        <w:rPr/>
        <w:t>expansions of uninterrupted coverage to vulnerable beneficiaries will promote access to medical assistance and improve care, and does not agree with the comment.</w:t>
      </w:r>
      <w:r>
        <w:rPr>
          <w:spacing w:val="40"/>
        </w:rPr>
        <w:t> </w:t>
      </w:r>
      <w:r>
        <w:rPr/>
        <w:t>This is an expansion solely allowable</w:t>
      </w:r>
    </w:p>
    <w:p>
      <w:pPr>
        <w:spacing w:after="0"/>
        <w:sectPr>
          <w:pgSz w:w="12240" w:h="15840"/>
          <w:pgMar w:top="640" w:bottom="280" w:left="0" w:right="220"/>
        </w:sectPr>
      </w:pPr>
    </w:p>
    <w:p>
      <w:pPr>
        <w:pStyle w:val="BodyText"/>
        <w:spacing w:before="79"/>
        <w:ind w:right="1218"/>
        <w:jc w:val="right"/>
      </w:pPr>
      <w:r>
        <w:rPr/>
        <w:t>Page</w:t>
      </w:r>
      <w:r>
        <w:rPr>
          <w:spacing w:val="-5"/>
        </w:rPr>
        <w:t> 18</w:t>
      </w:r>
    </w:p>
    <w:p>
      <w:pPr>
        <w:pStyle w:val="BodyText"/>
        <w:rPr>
          <w:sz w:val="20"/>
        </w:rPr>
      </w:pPr>
    </w:p>
    <w:p>
      <w:pPr>
        <w:pStyle w:val="BodyText"/>
        <w:spacing w:before="214"/>
        <w:ind w:left="1440" w:right="1239"/>
      </w:pPr>
      <w:r>
        <w:rPr/>
        <w:t>under</w:t>
      </w:r>
      <w:r>
        <w:rPr>
          <w:spacing w:val="-4"/>
        </w:rPr>
        <w:t> </w:t>
      </w:r>
      <w:r>
        <w:rPr/>
        <w:t>demonstration</w:t>
      </w:r>
      <w:r>
        <w:rPr>
          <w:spacing w:val="-4"/>
        </w:rPr>
        <w:t> </w:t>
      </w:r>
      <w:r>
        <w:rPr/>
        <w:t>authority,</w:t>
      </w:r>
      <w:r>
        <w:rPr>
          <w:spacing w:val="-4"/>
        </w:rPr>
        <w:t> </w:t>
      </w:r>
      <w:r>
        <w:rPr/>
        <w:t>and</w:t>
      </w:r>
      <w:r>
        <w:rPr>
          <w:spacing w:val="-4"/>
        </w:rPr>
        <w:t> </w:t>
      </w:r>
      <w:r>
        <w:rPr/>
        <w:t>has</w:t>
      </w:r>
      <w:r>
        <w:rPr>
          <w:spacing w:val="-4"/>
        </w:rPr>
        <w:t> </w:t>
      </w:r>
      <w:r>
        <w:rPr/>
        <w:t>otherwise</w:t>
      </w:r>
      <w:r>
        <w:rPr>
          <w:spacing w:val="-3"/>
        </w:rPr>
        <w:t> </w:t>
      </w:r>
      <w:r>
        <w:rPr/>
        <w:t>not</w:t>
      </w:r>
      <w:r>
        <w:rPr>
          <w:spacing w:val="-4"/>
        </w:rPr>
        <w:t> </w:t>
      </w:r>
      <w:r>
        <w:rPr/>
        <w:t>been</w:t>
      </w:r>
      <w:r>
        <w:rPr>
          <w:spacing w:val="-4"/>
        </w:rPr>
        <w:t> </w:t>
      </w:r>
      <w:r>
        <w:rPr/>
        <w:t>tested</w:t>
      </w:r>
      <w:r>
        <w:rPr>
          <w:spacing w:val="-4"/>
        </w:rPr>
        <w:t> </w:t>
      </w:r>
      <w:r>
        <w:rPr/>
        <w:t>to</w:t>
      </w:r>
      <w:r>
        <w:rPr>
          <w:spacing w:val="-4"/>
        </w:rPr>
        <w:t> </w:t>
      </w:r>
      <w:r>
        <w:rPr/>
        <w:t>date</w:t>
      </w:r>
      <w:r>
        <w:rPr>
          <w:spacing w:val="-5"/>
        </w:rPr>
        <w:t> </w:t>
      </w:r>
      <w:r>
        <w:rPr/>
        <w:t>in</w:t>
      </w:r>
      <w:r>
        <w:rPr>
          <w:spacing w:val="-2"/>
        </w:rPr>
        <w:t> </w:t>
      </w:r>
      <w:r>
        <w:rPr/>
        <w:t>the</w:t>
      </w:r>
      <w:r>
        <w:rPr>
          <w:spacing w:val="-4"/>
        </w:rPr>
        <w:t> </w:t>
      </w:r>
      <w:r>
        <w:rPr/>
        <w:t>Medicaid </w:t>
      </w:r>
      <w:r>
        <w:rPr>
          <w:spacing w:val="-2"/>
        </w:rPr>
        <w:t>population.</w:t>
      </w:r>
    </w:p>
    <w:p>
      <w:pPr>
        <w:pStyle w:val="BodyText"/>
      </w:pPr>
    </w:p>
    <w:p>
      <w:pPr>
        <w:pStyle w:val="BodyText"/>
        <w:ind w:left="1440" w:right="1315"/>
      </w:pPr>
      <w:r>
        <w:rPr/>
        <w:t>This commenter stated there is nothing experimental about Massachusetts’s proposal to extend its</w:t>
      </w:r>
      <w:r>
        <w:rPr>
          <w:spacing w:val="-3"/>
        </w:rPr>
        <w:t> </w:t>
      </w:r>
      <w:r>
        <w:rPr/>
        <w:t>waiver</w:t>
      </w:r>
      <w:r>
        <w:rPr>
          <w:spacing w:val="-5"/>
        </w:rPr>
        <w:t> </w:t>
      </w:r>
      <w:r>
        <w:rPr/>
        <w:t>for</w:t>
      </w:r>
      <w:r>
        <w:rPr>
          <w:spacing w:val="-3"/>
        </w:rPr>
        <w:t> </w:t>
      </w:r>
      <w:r>
        <w:rPr/>
        <w:t>eliminating</w:t>
      </w:r>
      <w:r>
        <w:rPr>
          <w:spacing w:val="-3"/>
        </w:rPr>
        <w:t> </w:t>
      </w:r>
      <w:r>
        <w:rPr/>
        <w:t>retroactive</w:t>
      </w:r>
      <w:r>
        <w:rPr>
          <w:spacing w:val="-4"/>
        </w:rPr>
        <w:t> </w:t>
      </w:r>
      <w:r>
        <w:rPr/>
        <w:t>coverage</w:t>
      </w:r>
      <w:r>
        <w:rPr>
          <w:spacing w:val="-4"/>
        </w:rPr>
        <w:t> </w:t>
      </w:r>
      <w:r>
        <w:rPr/>
        <w:t>because</w:t>
      </w:r>
      <w:r>
        <w:rPr>
          <w:spacing w:val="-4"/>
        </w:rPr>
        <w:t> </w:t>
      </w:r>
      <w:r>
        <w:rPr/>
        <w:t>Massachusetts</w:t>
      </w:r>
      <w:r>
        <w:rPr>
          <w:spacing w:val="-3"/>
        </w:rPr>
        <w:t> </w:t>
      </w:r>
      <w:r>
        <w:rPr/>
        <w:t>has</w:t>
      </w:r>
      <w:r>
        <w:rPr>
          <w:spacing w:val="-3"/>
        </w:rPr>
        <w:t> </w:t>
      </w:r>
      <w:r>
        <w:rPr/>
        <w:t>possessed a</w:t>
      </w:r>
      <w:r>
        <w:rPr>
          <w:spacing w:val="-4"/>
        </w:rPr>
        <w:t> </w:t>
      </w:r>
      <w:r>
        <w:rPr/>
        <w:t>waiver</w:t>
      </w:r>
      <w:r>
        <w:rPr>
          <w:spacing w:val="-3"/>
        </w:rPr>
        <w:t> </w:t>
      </w:r>
      <w:r>
        <w:rPr/>
        <w:t>of retroactive coverage since 1997.</w:t>
      </w:r>
      <w:r>
        <w:rPr>
          <w:spacing w:val="40"/>
        </w:rPr>
        <w:t> </w:t>
      </w:r>
      <w:r>
        <w:rPr/>
        <w:t>The commenter also argued that waiving retroactive coverage does not promote Medicaid objectives and evidence suggests it reduces access to coverage and care</w:t>
      </w:r>
      <w:r>
        <w:rPr>
          <w:spacing w:val="-1"/>
        </w:rPr>
        <w:t> </w:t>
      </w:r>
      <w:r>
        <w:rPr/>
        <w:t>among</w:t>
      </w:r>
      <w:r>
        <w:rPr>
          <w:spacing w:val="-4"/>
        </w:rPr>
        <w:t> </w:t>
      </w:r>
      <w:r>
        <w:rPr/>
        <w:t>low-income</w:t>
      </w:r>
      <w:r>
        <w:rPr>
          <w:spacing w:val="-2"/>
        </w:rPr>
        <w:t> </w:t>
      </w:r>
      <w:r>
        <w:rPr/>
        <w:t>individuals,</w:t>
      </w:r>
      <w:r>
        <w:rPr>
          <w:spacing w:val="-1"/>
        </w:rPr>
        <w:t> </w:t>
      </w:r>
      <w:r>
        <w:rPr/>
        <w:t>leaving</w:t>
      </w:r>
      <w:r>
        <w:rPr>
          <w:spacing w:val="-3"/>
        </w:rPr>
        <w:t> </w:t>
      </w:r>
      <w:r>
        <w:rPr/>
        <w:t>them with</w:t>
      </w:r>
      <w:r>
        <w:rPr>
          <w:spacing w:val="-1"/>
        </w:rPr>
        <w:t> </w:t>
      </w:r>
      <w:r>
        <w:rPr/>
        <w:t>unmet</w:t>
      </w:r>
      <w:r>
        <w:rPr>
          <w:spacing w:val="-1"/>
        </w:rPr>
        <w:t> </w:t>
      </w:r>
      <w:r>
        <w:rPr/>
        <w:t>needs</w:t>
      </w:r>
      <w:r>
        <w:rPr>
          <w:spacing w:val="-1"/>
        </w:rPr>
        <w:t> </w:t>
      </w:r>
      <w:r>
        <w:rPr/>
        <w:t>and/or medical</w:t>
      </w:r>
      <w:r>
        <w:rPr>
          <w:spacing w:val="-1"/>
        </w:rPr>
        <w:t> </w:t>
      </w:r>
      <w:r>
        <w:rPr/>
        <w:t>debt.</w:t>
      </w:r>
      <w:r>
        <w:rPr>
          <w:spacing w:val="40"/>
        </w:rPr>
        <w:t> </w:t>
      </w:r>
      <w:r>
        <w:rPr/>
        <w:t>They noted that this could cause significant hardship for individuals and that Massachusetts did not justify its request.</w:t>
      </w:r>
      <w:r>
        <w:rPr>
          <w:spacing w:val="40"/>
        </w:rPr>
        <w:t> </w:t>
      </w:r>
      <w:r>
        <w:rPr/>
        <w:t>Multiple other commenters shared similar concerns about the</w:t>
      </w:r>
    </w:p>
    <w:p>
      <w:pPr>
        <w:pStyle w:val="BodyText"/>
        <w:spacing w:before="1"/>
        <w:ind w:left="1440" w:right="1251"/>
      </w:pPr>
      <w:r>
        <w:rPr/>
        <w:t>Commonwealth’s request to continue its retroactive coverage waiver, in part, indicating that it serves</w:t>
      </w:r>
      <w:r>
        <w:rPr>
          <w:spacing w:val="-3"/>
        </w:rPr>
        <w:t> </w:t>
      </w:r>
      <w:r>
        <w:rPr/>
        <w:t>as</w:t>
      </w:r>
      <w:r>
        <w:rPr>
          <w:spacing w:val="-1"/>
        </w:rPr>
        <w:t> </w:t>
      </w:r>
      <w:r>
        <w:rPr/>
        <w:t>a</w:t>
      </w:r>
      <w:r>
        <w:rPr>
          <w:spacing w:val="-4"/>
        </w:rPr>
        <w:t> </w:t>
      </w:r>
      <w:r>
        <w:rPr/>
        <w:t>barrier</w:t>
      </w:r>
      <w:r>
        <w:rPr>
          <w:spacing w:val="-3"/>
        </w:rPr>
        <w:t> </w:t>
      </w:r>
      <w:r>
        <w:rPr/>
        <w:t>to</w:t>
      </w:r>
      <w:r>
        <w:rPr>
          <w:spacing w:val="-3"/>
        </w:rPr>
        <w:t> </w:t>
      </w:r>
      <w:r>
        <w:rPr/>
        <w:t>care</w:t>
      </w:r>
      <w:r>
        <w:rPr>
          <w:spacing w:val="-3"/>
        </w:rPr>
        <w:t> </w:t>
      </w:r>
      <w:r>
        <w:rPr/>
        <w:t>and</w:t>
      </w:r>
      <w:r>
        <w:rPr>
          <w:spacing w:val="-3"/>
        </w:rPr>
        <w:t> </w:t>
      </w:r>
      <w:r>
        <w:rPr/>
        <w:t>does</w:t>
      </w:r>
      <w:r>
        <w:rPr>
          <w:spacing w:val="-3"/>
        </w:rPr>
        <w:t> </w:t>
      </w:r>
      <w:r>
        <w:rPr/>
        <w:t>not</w:t>
      </w:r>
      <w:r>
        <w:rPr>
          <w:spacing w:val="-3"/>
        </w:rPr>
        <w:t> </w:t>
      </w:r>
      <w:r>
        <w:rPr/>
        <w:t>promote</w:t>
      </w:r>
      <w:r>
        <w:rPr>
          <w:spacing w:val="-3"/>
        </w:rPr>
        <w:t> </w:t>
      </w:r>
      <w:r>
        <w:rPr/>
        <w:t>the</w:t>
      </w:r>
      <w:r>
        <w:rPr>
          <w:spacing w:val="-4"/>
        </w:rPr>
        <w:t> </w:t>
      </w:r>
      <w:r>
        <w:rPr/>
        <w:t>objectives</w:t>
      </w:r>
      <w:r>
        <w:rPr>
          <w:spacing w:val="-3"/>
        </w:rPr>
        <w:t> </w:t>
      </w:r>
      <w:r>
        <w:rPr/>
        <w:t>of</w:t>
      </w:r>
      <w:r>
        <w:rPr>
          <w:spacing w:val="-3"/>
        </w:rPr>
        <w:t> </w:t>
      </w:r>
      <w:r>
        <w:rPr/>
        <w:t>the</w:t>
      </w:r>
      <w:r>
        <w:rPr>
          <w:spacing w:val="-4"/>
        </w:rPr>
        <w:t> </w:t>
      </w:r>
      <w:r>
        <w:rPr/>
        <w:t>program.</w:t>
      </w:r>
      <w:r>
        <w:rPr>
          <w:spacing w:val="40"/>
        </w:rPr>
        <w:t> </w:t>
      </w:r>
      <w:r>
        <w:rPr/>
        <w:t>We</w:t>
      </w:r>
      <w:r>
        <w:rPr>
          <w:spacing w:val="-4"/>
        </w:rPr>
        <w:t> </w:t>
      </w:r>
      <w:r>
        <w:rPr/>
        <w:t>appreciate</w:t>
      </w:r>
      <w:r>
        <w:rPr>
          <w:spacing w:val="-4"/>
        </w:rPr>
        <w:t> </w:t>
      </w:r>
      <w:r>
        <w:rPr/>
        <w:t>the concerns raised regarding waiving retroactive eligibility.</w:t>
      </w:r>
      <w:r>
        <w:rPr>
          <w:spacing w:val="40"/>
        </w:rPr>
        <w:t> </w:t>
      </w:r>
      <w:r>
        <w:rPr/>
        <w:t>CMS is requiring the Commonwealth to conduct more rigorous monitoring and evaluation of the effects of this longstanding waiver, and CMS is continuing to examine this authority.</w:t>
      </w:r>
    </w:p>
    <w:p>
      <w:pPr>
        <w:pStyle w:val="BodyText"/>
      </w:pPr>
    </w:p>
    <w:p>
      <w:pPr>
        <w:pStyle w:val="BodyText"/>
        <w:ind w:left="1440" w:right="1239"/>
      </w:pPr>
      <w:r>
        <w:rPr/>
        <w:t>This commenter also expressed concern about the Commonwealth’s statement that, when compiling</w:t>
      </w:r>
      <w:r>
        <w:rPr>
          <w:spacing w:val="-6"/>
        </w:rPr>
        <w:t> </w:t>
      </w:r>
      <w:r>
        <w:rPr/>
        <w:t>data</w:t>
      </w:r>
      <w:r>
        <w:rPr>
          <w:spacing w:val="-3"/>
        </w:rPr>
        <w:t> </w:t>
      </w:r>
      <w:r>
        <w:rPr/>
        <w:t>to</w:t>
      </w:r>
      <w:r>
        <w:rPr>
          <w:spacing w:val="-3"/>
        </w:rPr>
        <w:t> </w:t>
      </w:r>
      <w:r>
        <w:rPr/>
        <w:t>assess</w:t>
      </w:r>
      <w:r>
        <w:rPr>
          <w:spacing w:val="-3"/>
        </w:rPr>
        <w:t> </w:t>
      </w:r>
      <w:r>
        <w:rPr/>
        <w:t>and</w:t>
      </w:r>
      <w:r>
        <w:rPr>
          <w:spacing w:val="-2"/>
        </w:rPr>
        <w:t> </w:t>
      </w:r>
      <w:r>
        <w:rPr/>
        <w:t>understand</w:t>
      </w:r>
      <w:r>
        <w:rPr>
          <w:spacing w:val="-3"/>
        </w:rPr>
        <w:t> </w:t>
      </w:r>
      <w:r>
        <w:rPr/>
        <w:t>the</w:t>
      </w:r>
      <w:r>
        <w:rPr>
          <w:spacing w:val="-2"/>
        </w:rPr>
        <w:t> </w:t>
      </w:r>
      <w:r>
        <w:rPr/>
        <w:t>extent</w:t>
      </w:r>
      <w:r>
        <w:rPr>
          <w:spacing w:val="-3"/>
        </w:rPr>
        <w:t> </w:t>
      </w:r>
      <w:r>
        <w:rPr/>
        <w:t>of</w:t>
      </w:r>
      <w:r>
        <w:rPr>
          <w:spacing w:val="-4"/>
        </w:rPr>
        <w:t> </w:t>
      </w:r>
      <w:r>
        <w:rPr/>
        <w:t>existing</w:t>
      </w:r>
      <w:r>
        <w:rPr>
          <w:spacing w:val="-5"/>
        </w:rPr>
        <w:t> </w:t>
      </w:r>
      <w:r>
        <w:rPr/>
        <w:t>health</w:t>
      </w:r>
      <w:r>
        <w:rPr>
          <w:spacing w:val="-3"/>
        </w:rPr>
        <w:t> </w:t>
      </w:r>
      <w:r>
        <w:rPr/>
        <w:t>disparities,</w:t>
      </w:r>
      <w:r>
        <w:rPr>
          <w:spacing w:val="-3"/>
        </w:rPr>
        <w:t> </w:t>
      </w:r>
      <w:r>
        <w:rPr/>
        <w:t>it</w:t>
      </w:r>
      <w:r>
        <w:rPr>
          <w:spacing w:val="-3"/>
        </w:rPr>
        <w:t> </w:t>
      </w:r>
      <w:r>
        <w:rPr/>
        <w:t>will</w:t>
      </w:r>
      <w:r>
        <w:rPr>
          <w:spacing w:val="-3"/>
        </w:rPr>
        <w:t> </w:t>
      </w:r>
      <w:r>
        <w:rPr/>
        <w:t>“consider the use of imputed social risk factor data as needed” when self-reported data are unavailable.</w:t>
      </w:r>
    </w:p>
    <w:p>
      <w:pPr>
        <w:pStyle w:val="BodyText"/>
        <w:ind w:left="1440" w:right="1298"/>
      </w:pPr>
      <w:r>
        <w:rPr/>
        <w:t>CMS understands the commenter's concern that there may be potential biases in imputed data sources.</w:t>
      </w:r>
      <w:r>
        <w:rPr>
          <w:spacing w:val="40"/>
        </w:rPr>
        <w:t> </w:t>
      </w:r>
      <w:r>
        <w:rPr/>
        <w:t>CMS will work closely with the Commonwealth on developing Implementation Plans and Monitoring Protocols to track and monitor data sources and data completeness, emphasize the importance of prioritizing self-reported data for collection and analysis where possible, and implement guardrails to minimize bias when self-reported data are unavailable.</w:t>
      </w:r>
      <w:r>
        <w:rPr>
          <w:spacing w:val="40"/>
        </w:rPr>
        <w:t> </w:t>
      </w:r>
      <w:r>
        <w:rPr/>
        <w:t>In addition, CMS</w:t>
      </w:r>
      <w:r>
        <w:rPr>
          <w:spacing w:val="-3"/>
        </w:rPr>
        <w:t> </w:t>
      </w:r>
      <w:r>
        <w:rPr/>
        <w:t>is</w:t>
      </w:r>
      <w:r>
        <w:rPr>
          <w:spacing w:val="-3"/>
        </w:rPr>
        <w:t> </w:t>
      </w:r>
      <w:r>
        <w:rPr/>
        <w:t>explicitly</w:t>
      </w:r>
      <w:r>
        <w:rPr>
          <w:spacing w:val="-11"/>
        </w:rPr>
        <w:t> </w:t>
      </w:r>
      <w:r>
        <w:rPr/>
        <w:t>requiring</w:t>
      </w:r>
      <w:r>
        <w:rPr>
          <w:spacing w:val="-6"/>
        </w:rPr>
        <w:t> </w:t>
      </w:r>
      <w:r>
        <w:rPr/>
        <w:t>that</w:t>
      </w:r>
      <w:r>
        <w:rPr>
          <w:spacing w:val="-3"/>
        </w:rPr>
        <w:t> </w:t>
      </w:r>
      <w:r>
        <w:rPr/>
        <w:t>payments</w:t>
      </w:r>
      <w:r>
        <w:rPr>
          <w:spacing w:val="-3"/>
        </w:rPr>
        <w:t> </w:t>
      </w:r>
      <w:r>
        <w:rPr/>
        <w:t>to</w:t>
      </w:r>
      <w:r>
        <w:rPr>
          <w:spacing w:val="-3"/>
        </w:rPr>
        <w:t> </w:t>
      </w:r>
      <w:r>
        <w:rPr/>
        <w:t>providers</w:t>
      </w:r>
      <w:r>
        <w:rPr>
          <w:spacing w:val="-3"/>
        </w:rPr>
        <w:t> </w:t>
      </w:r>
      <w:r>
        <w:rPr/>
        <w:t>under</w:t>
      </w:r>
      <w:r>
        <w:rPr>
          <w:spacing w:val="-3"/>
        </w:rPr>
        <w:t> </w:t>
      </w:r>
      <w:r>
        <w:rPr/>
        <w:t>this</w:t>
      </w:r>
      <w:r>
        <w:rPr>
          <w:spacing w:val="-3"/>
        </w:rPr>
        <w:t> </w:t>
      </w:r>
      <w:r>
        <w:rPr/>
        <w:t>demonstration</w:t>
      </w:r>
      <w:r>
        <w:rPr>
          <w:spacing w:val="-3"/>
        </w:rPr>
        <w:t> </w:t>
      </w:r>
      <w:r>
        <w:rPr/>
        <w:t>cannot</w:t>
      </w:r>
      <w:r>
        <w:rPr>
          <w:spacing w:val="-3"/>
        </w:rPr>
        <w:t> </w:t>
      </w:r>
      <w:r>
        <w:rPr/>
        <w:t>be</w:t>
      </w:r>
      <w:r>
        <w:rPr>
          <w:spacing w:val="-3"/>
        </w:rPr>
        <w:t> </w:t>
      </w:r>
      <w:r>
        <w:rPr/>
        <w:t>based on imputed data.</w:t>
      </w:r>
    </w:p>
    <w:p>
      <w:pPr>
        <w:pStyle w:val="BodyText"/>
        <w:spacing w:before="1"/>
      </w:pPr>
    </w:p>
    <w:p>
      <w:pPr>
        <w:pStyle w:val="BodyText"/>
        <w:ind w:left="1440" w:right="1239"/>
      </w:pPr>
      <w:r>
        <w:rPr/>
        <w:t>Another commenter shared a number of concerns and suggestions for the Commonwealth’s proposal</w:t>
      </w:r>
      <w:r>
        <w:rPr>
          <w:spacing w:val="-3"/>
        </w:rPr>
        <w:t> </w:t>
      </w:r>
      <w:r>
        <w:rPr/>
        <w:t>to</w:t>
      </w:r>
      <w:r>
        <w:rPr>
          <w:spacing w:val="-3"/>
        </w:rPr>
        <w:t> </w:t>
      </w:r>
      <w:r>
        <w:rPr/>
        <w:t>provide</w:t>
      </w:r>
      <w:r>
        <w:rPr>
          <w:spacing w:val="-3"/>
        </w:rPr>
        <w:t> </w:t>
      </w:r>
      <w:r>
        <w:rPr/>
        <w:t>sub-capitated</w:t>
      </w:r>
      <w:r>
        <w:rPr>
          <w:spacing w:val="-3"/>
        </w:rPr>
        <w:t> </w:t>
      </w:r>
      <w:r>
        <w:rPr/>
        <w:t>payments</w:t>
      </w:r>
      <w:r>
        <w:rPr>
          <w:spacing w:val="-3"/>
        </w:rPr>
        <w:t> </w:t>
      </w:r>
      <w:r>
        <w:rPr/>
        <w:t>to</w:t>
      </w:r>
      <w:r>
        <w:rPr>
          <w:spacing w:val="-3"/>
        </w:rPr>
        <w:t> </w:t>
      </w:r>
      <w:r>
        <w:rPr/>
        <w:t>primary</w:t>
      </w:r>
      <w:r>
        <w:rPr>
          <w:spacing w:val="-6"/>
        </w:rPr>
        <w:t> </w:t>
      </w:r>
      <w:r>
        <w:rPr/>
        <w:t>care</w:t>
      </w:r>
      <w:r>
        <w:rPr>
          <w:spacing w:val="-5"/>
        </w:rPr>
        <w:t> </w:t>
      </w:r>
      <w:r>
        <w:rPr/>
        <w:t>providers.</w:t>
      </w:r>
      <w:r>
        <w:rPr>
          <w:spacing w:val="40"/>
        </w:rPr>
        <w:t> </w:t>
      </w:r>
      <w:r>
        <w:rPr/>
        <w:t>The</w:t>
      </w:r>
      <w:r>
        <w:rPr>
          <w:spacing w:val="-4"/>
        </w:rPr>
        <w:t> </w:t>
      </w:r>
      <w:r>
        <w:rPr/>
        <w:t>comment</w:t>
      </w:r>
      <w:r>
        <w:rPr>
          <w:spacing w:val="-3"/>
        </w:rPr>
        <w:t> </w:t>
      </w:r>
      <w:r>
        <w:rPr/>
        <w:t>encouraged CMS to ensure that providers were prepared to assume the risk associated with sub-capitated payments, and that sufficient protections were in place to prevent cherry-picking of patients and stinting</w:t>
      </w:r>
      <w:r>
        <w:rPr>
          <w:spacing w:val="-6"/>
        </w:rPr>
        <w:t> </w:t>
      </w:r>
      <w:r>
        <w:rPr/>
        <w:t>on</w:t>
      </w:r>
      <w:r>
        <w:rPr>
          <w:spacing w:val="-3"/>
        </w:rPr>
        <w:t> </w:t>
      </w:r>
      <w:r>
        <w:rPr/>
        <w:t>care.</w:t>
      </w:r>
      <w:r>
        <w:rPr>
          <w:spacing w:val="40"/>
        </w:rPr>
        <w:t> </w:t>
      </w:r>
      <w:r>
        <w:rPr/>
        <w:t>The</w:t>
      </w:r>
      <w:r>
        <w:rPr>
          <w:spacing w:val="-5"/>
        </w:rPr>
        <w:t> </w:t>
      </w:r>
      <w:r>
        <w:rPr/>
        <w:t>commenter</w:t>
      </w:r>
      <w:r>
        <w:rPr>
          <w:spacing w:val="-5"/>
        </w:rPr>
        <w:t> </w:t>
      </w:r>
      <w:r>
        <w:rPr/>
        <w:t>shared</w:t>
      </w:r>
      <w:r>
        <w:rPr>
          <w:spacing w:val="-3"/>
        </w:rPr>
        <w:t> </w:t>
      </w:r>
      <w:r>
        <w:rPr/>
        <w:t>several</w:t>
      </w:r>
      <w:r>
        <w:rPr>
          <w:spacing w:val="-3"/>
        </w:rPr>
        <w:t> </w:t>
      </w:r>
      <w:r>
        <w:rPr/>
        <w:t>suggested</w:t>
      </w:r>
      <w:r>
        <w:rPr>
          <w:spacing w:val="-2"/>
        </w:rPr>
        <w:t> </w:t>
      </w:r>
      <w:r>
        <w:rPr/>
        <w:t>protections</w:t>
      </w:r>
      <w:r>
        <w:rPr>
          <w:spacing w:val="-3"/>
        </w:rPr>
        <w:t> </w:t>
      </w:r>
      <w:r>
        <w:rPr/>
        <w:t>to</w:t>
      </w:r>
      <w:r>
        <w:rPr>
          <w:spacing w:val="-3"/>
        </w:rPr>
        <w:t> </w:t>
      </w:r>
      <w:r>
        <w:rPr/>
        <w:t>address</w:t>
      </w:r>
      <w:r>
        <w:rPr>
          <w:spacing w:val="-3"/>
        </w:rPr>
        <w:t> </w:t>
      </w:r>
      <w:r>
        <w:rPr/>
        <w:t>potential</w:t>
      </w:r>
      <w:r>
        <w:rPr>
          <w:spacing w:val="-3"/>
        </w:rPr>
        <w:t> </w:t>
      </w:r>
      <w:r>
        <w:rPr/>
        <w:t>issues, such as requiring detailed and public reporting on service utilization and panel composition patterns, complaints and grievances, and other appropriate information. The commenter also recommended to CMS that it carefully review the sub-capitation arrangements, based on the different populations that MassHealth and its providers service and their varying needs.</w:t>
      </w:r>
    </w:p>
    <w:p>
      <w:pPr>
        <w:pStyle w:val="BodyText"/>
        <w:spacing w:before="1"/>
      </w:pPr>
    </w:p>
    <w:p>
      <w:pPr>
        <w:pStyle w:val="BodyText"/>
        <w:ind w:left="1440" w:right="1377"/>
      </w:pPr>
      <w:r>
        <w:rPr/>
        <w:t>CMS appreciates the comments on how critical program design and oversight will be for this program</w:t>
      </w:r>
      <w:r>
        <w:rPr>
          <w:spacing w:val="-3"/>
        </w:rPr>
        <w:t> </w:t>
      </w:r>
      <w:r>
        <w:rPr/>
        <w:t>to</w:t>
      </w:r>
      <w:r>
        <w:rPr>
          <w:spacing w:val="-3"/>
        </w:rPr>
        <w:t> </w:t>
      </w:r>
      <w:r>
        <w:rPr/>
        <w:t>properly</w:t>
      </w:r>
      <w:r>
        <w:rPr>
          <w:spacing w:val="-7"/>
        </w:rPr>
        <w:t> </w:t>
      </w:r>
      <w:r>
        <w:rPr/>
        <w:t>operate</w:t>
      </w:r>
      <w:r>
        <w:rPr>
          <w:spacing w:val="-3"/>
        </w:rPr>
        <w:t> </w:t>
      </w:r>
      <w:r>
        <w:rPr/>
        <w:t>and</w:t>
      </w:r>
      <w:r>
        <w:rPr>
          <w:spacing w:val="-3"/>
        </w:rPr>
        <w:t> </w:t>
      </w:r>
      <w:r>
        <w:rPr/>
        <w:t>not</w:t>
      </w:r>
      <w:r>
        <w:rPr>
          <w:spacing w:val="-3"/>
        </w:rPr>
        <w:t> </w:t>
      </w:r>
      <w:r>
        <w:rPr/>
        <w:t>jeopardize</w:t>
      </w:r>
      <w:r>
        <w:rPr>
          <w:spacing w:val="-4"/>
        </w:rPr>
        <w:t> </w:t>
      </w:r>
      <w:r>
        <w:rPr/>
        <w:t>provider</w:t>
      </w:r>
      <w:r>
        <w:rPr>
          <w:spacing w:val="-5"/>
        </w:rPr>
        <w:t> </w:t>
      </w:r>
      <w:r>
        <w:rPr/>
        <w:t>stability</w:t>
      </w:r>
      <w:r>
        <w:rPr>
          <w:spacing w:val="-7"/>
        </w:rPr>
        <w:t> </w:t>
      </w:r>
      <w:r>
        <w:rPr/>
        <w:t>or</w:t>
      </w:r>
      <w:r>
        <w:rPr>
          <w:spacing w:val="-3"/>
        </w:rPr>
        <w:t> </w:t>
      </w:r>
      <w:r>
        <w:rPr/>
        <w:t>service</w:t>
      </w:r>
      <w:r>
        <w:rPr>
          <w:spacing w:val="-2"/>
        </w:rPr>
        <w:t> </w:t>
      </w:r>
      <w:r>
        <w:rPr/>
        <w:t>delivery.</w:t>
      </w:r>
      <w:r>
        <w:rPr>
          <w:spacing w:val="40"/>
        </w:rPr>
        <w:t> </w:t>
      </w:r>
      <w:r>
        <w:rPr/>
        <w:t>CMS</w:t>
      </w:r>
      <w:r>
        <w:rPr>
          <w:spacing w:val="-3"/>
        </w:rPr>
        <w:t> </w:t>
      </w:r>
      <w:r>
        <w:rPr/>
        <w:t>will apply</w:t>
      </w:r>
      <w:r>
        <w:rPr>
          <w:spacing w:val="-2"/>
        </w:rPr>
        <w:t> </w:t>
      </w:r>
      <w:r>
        <w:rPr/>
        <w:t>stringent review standards to the payment arrangements that will be authorized as part of this program.</w:t>
      </w:r>
      <w:r>
        <w:rPr>
          <w:spacing w:val="40"/>
        </w:rPr>
        <w:t> </w:t>
      </w:r>
      <w:r>
        <w:rPr/>
        <w:t>CMS reserves the right to take appropriate corrective action or terminate this authority if it is found that providers are adopting excessive risk and/or failing to provide Medicaid-covered services to Medicaid beneficiaries and will implement regular program integrity and oversight in order to actively observe the operations of this initiative.</w:t>
      </w:r>
    </w:p>
    <w:p>
      <w:pPr>
        <w:spacing w:after="0"/>
        <w:sectPr>
          <w:pgSz w:w="12240" w:h="15840"/>
          <w:pgMar w:top="640" w:bottom="280" w:left="0" w:right="220"/>
        </w:sectPr>
      </w:pPr>
    </w:p>
    <w:p>
      <w:pPr>
        <w:pStyle w:val="BodyText"/>
        <w:spacing w:before="79"/>
        <w:ind w:right="1218"/>
        <w:jc w:val="right"/>
      </w:pPr>
      <w:r>
        <w:rPr/>
        <w:t>Page</w:t>
      </w:r>
      <w:r>
        <w:rPr>
          <w:spacing w:val="-5"/>
        </w:rPr>
        <w:t> 19</w:t>
      </w:r>
    </w:p>
    <w:p>
      <w:pPr>
        <w:pStyle w:val="BodyText"/>
        <w:spacing w:before="7"/>
        <w:rPr>
          <w:sz w:val="38"/>
        </w:rPr>
      </w:pPr>
    </w:p>
    <w:p>
      <w:pPr>
        <w:pStyle w:val="BodyText"/>
        <w:ind w:left="1440" w:right="1315"/>
      </w:pPr>
      <w:r>
        <w:rPr/>
        <w:t>Another commenter shared concerns about how the demonstration extension and its promotion of the integration of behavioral and physical healthcare might lack sufficient oversight, potentially leading to improper care for those with both physical and behavioral health conditions.</w:t>
      </w:r>
      <w:r>
        <w:rPr>
          <w:spacing w:val="40"/>
        </w:rPr>
        <w:t> </w:t>
      </w:r>
      <w:r>
        <w:rPr/>
        <w:t>The commenter suggested safeguards and monitoring for integration of behavioral and physical health.</w:t>
      </w:r>
      <w:r>
        <w:rPr>
          <w:spacing w:val="40"/>
        </w:rPr>
        <w:t> </w:t>
      </w:r>
      <w:r>
        <w:rPr/>
        <w:t>CMS thanks this commenter for their concerns, and CMS will work with the</w:t>
      </w:r>
      <w:r>
        <w:rPr>
          <w:spacing w:val="-4"/>
        </w:rPr>
        <w:t> </w:t>
      </w:r>
      <w:r>
        <w:rPr/>
        <w:t>Commonwealth</w:t>
      </w:r>
      <w:r>
        <w:rPr>
          <w:spacing w:val="-3"/>
        </w:rPr>
        <w:t> </w:t>
      </w:r>
      <w:r>
        <w:rPr/>
        <w:t>to</w:t>
      </w:r>
      <w:r>
        <w:rPr>
          <w:spacing w:val="-3"/>
        </w:rPr>
        <w:t> </w:t>
      </w:r>
      <w:r>
        <w:rPr/>
        <w:t>ensure</w:t>
      </w:r>
      <w:r>
        <w:rPr>
          <w:spacing w:val="-4"/>
        </w:rPr>
        <w:t> </w:t>
      </w:r>
      <w:r>
        <w:rPr/>
        <w:t>adherence</w:t>
      </w:r>
      <w:r>
        <w:rPr>
          <w:spacing w:val="-4"/>
        </w:rPr>
        <w:t> </w:t>
      </w:r>
      <w:r>
        <w:rPr/>
        <w:t>to</w:t>
      </w:r>
      <w:r>
        <w:rPr>
          <w:spacing w:val="-3"/>
        </w:rPr>
        <w:t> </w:t>
      </w:r>
      <w:r>
        <w:rPr/>
        <w:t>applicable</w:t>
      </w:r>
      <w:r>
        <w:rPr>
          <w:spacing w:val="-3"/>
        </w:rPr>
        <w:t> </w:t>
      </w:r>
      <w:r>
        <w:rPr/>
        <w:t>regulations</w:t>
      </w:r>
      <w:r>
        <w:rPr>
          <w:spacing w:val="-3"/>
        </w:rPr>
        <w:t> </w:t>
      </w:r>
      <w:r>
        <w:rPr/>
        <w:t>related</w:t>
      </w:r>
      <w:r>
        <w:rPr>
          <w:spacing w:val="-3"/>
        </w:rPr>
        <w:t> </w:t>
      </w:r>
      <w:r>
        <w:rPr/>
        <w:t>to</w:t>
      </w:r>
      <w:r>
        <w:rPr>
          <w:spacing w:val="-3"/>
        </w:rPr>
        <w:t> </w:t>
      </w:r>
      <w:r>
        <w:rPr/>
        <w:t>ensuring</w:t>
      </w:r>
      <w:r>
        <w:rPr>
          <w:spacing w:val="-5"/>
        </w:rPr>
        <w:t> </w:t>
      </w:r>
      <w:r>
        <w:rPr/>
        <w:t>delivery</w:t>
      </w:r>
      <w:r>
        <w:rPr>
          <w:spacing w:val="-8"/>
        </w:rPr>
        <w:t> </w:t>
      </w:r>
      <w:r>
        <w:rPr/>
        <w:t>of quality care, and to conduct systematic monitoring and comprehensive evaluation.</w:t>
      </w:r>
    </w:p>
    <w:p>
      <w:pPr>
        <w:pStyle w:val="BodyText"/>
      </w:pPr>
    </w:p>
    <w:p>
      <w:pPr>
        <w:pStyle w:val="BodyText"/>
        <w:ind w:left="1440" w:right="1251"/>
      </w:pPr>
      <w:r>
        <w:rPr/>
        <w:t>One commenter suggested that the Commonwealth’s Hospital Quality and Equity Initiative consider recognizing beneficiaries with psychiatric disorders as a vulnerable population at particular risk of receiving substandard care.</w:t>
      </w:r>
      <w:r>
        <w:rPr>
          <w:spacing w:val="40"/>
        </w:rPr>
        <w:t> </w:t>
      </w:r>
      <w:r>
        <w:rPr/>
        <w:t>We thank the commenter for the suggestion and will</w:t>
      </w:r>
      <w:r>
        <w:rPr>
          <w:spacing w:val="-1"/>
        </w:rPr>
        <w:t> </w:t>
      </w:r>
      <w:r>
        <w:rPr/>
        <w:t>consider it</w:t>
      </w:r>
      <w:r>
        <w:rPr>
          <w:spacing w:val="-1"/>
        </w:rPr>
        <w:t> </w:t>
      </w:r>
      <w:r>
        <w:rPr/>
        <w:t>while</w:t>
      </w:r>
      <w:r>
        <w:rPr>
          <w:spacing w:val="-1"/>
        </w:rPr>
        <w:t> </w:t>
      </w:r>
      <w:r>
        <w:rPr/>
        <w:t>developing</w:t>
      </w:r>
      <w:r>
        <w:rPr>
          <w:spacing w:val="-4"/>
        </w:rPr>
        <w:t> </w:t>
      </w:r>
      <w:r>
        <w:rPr/>
        <w:t>the operational</w:t>
      </w:r>
      <w:r>
        <w:rPr>
          <w:spacing w:val="-1"/>
        </w:rPr>
        <w:t> </w:t>
      </w:r>
      <w:r>
        <w:rPr/>
        <w:t>details of</w:t>
      </w:r>
      <w:r>
        <w:rPr>
          <w:spacing w:val="-1"/>
        </w:rPr>
        <w:t> </w:t>
      </w:r>
      <w:r>
        <w:rPr/>
        <w:t>the</w:t>
      </w:r>
      <w:r>
        <w:rPr>
          <w:spacing w:val="-2"/>
        </w:rPr>
        <w:t> </w:t>
      </w:r>
      <w:r>
        <w:rPr/>
        <w:t>program</w:t>
      </w:r>
      <w:r>
        <w:rPr>
          <w:spacing w:val="-1"/>
        </w:rPr>
        <w:t> </w:t>
      </w:r>
      <w:r>
        <w:rPr/>
        <w:t>with the </w:t>
      </w:r>
      <w:r>
        <w:rPr>
          <w:spacing w:val="-2"/>
        </w:rPr>
        <w:t>Commonwealth.</w:t>
      </w:r>
    </w:p>
    <w:p>
      <w:pPr>
        <w:pStyle w:val="BodyText"/>
        <w:spacing w:before="1"/>
      </w:pPr>
    </w:p>
    <w:p>
      <w:pPr>
        <w:pStyle w:val="BodyText"/>
        <w:ind w:left="1440" w:right="1239"/>
      </w:pPr>
      <w:r>
        <w:rPr/>
        <w:t>After</w:t>
      </w:r>
      <w:r>
        <w:rPr>
          <w:spacing w:val="-5"/>
        </w:rPr>
        <w:t> </w:t>
      </w:r>
      <w:r>
        <w:rPr/>
        <w:t>carefully</w:t>
      </w:r>
      <w:r>
        <w:rPr>
          <w:spacing w:val="-6"/>
        </w:rPr>
        <w:t> </w:t>
      </w:r>
      <w:r>
        <w:rPr/>
        <w:t>reviewing</w:t>
      </w:r>
      <w:r>
        <w:rPr>
          <w:spacing w:val="-3"/>
        </w:rPr>
        <w:t> </w:t>
      </w:r>
      <w:r>
        <w:rPr/>
        <w:t>the</w:t>
      </w:r>
      <w:r>
        <w:rPr>
          <w:spacing w:val="-3"/>
        </w:rPr>
        <w:t> </w:t>
      </w:r>
      <w:r>
        <w:rPr/>
        <w:t>public</w:t>
      </w:r>
      <w:r>
        <w:rPr>
          <w:spacing w:val="-3"/>
        </w:rPr>
        <w:t> </w:t>
      </w:r>
      <w:r>
        <w:rPr/>
        <w:t>comments</w:t>
      </w:r>
      <w:r>
        <w:rPr>
          <w:spacing w:val="-3"/>
        </w:rPr>
        <w:t> </w:t>
      </w:r>
      <w:r>
        <w:rPr/>
        <w:t>submitted</w:t>
      </w:r>
      <w:r>
        <w:rPr>
          <w:spacing w:val="-3"/>
        </w:rPr>
        <w:t> </w:t>
      </w:r>
      <w:r>
        <w:rPr/>
        <w:t>during</w:t>
      </w:r>
      <w:r>
        <w:rPr>
          <w:spacing w:val="-5"/>
        </w:rPr>
        <w:t> </w:t>
      </w:r>
      <w:r>
        <w:rPr/>
        <w:t>the</w:t>
      </w:r>
      <w:r>
        <w:rPr>
          <w:spacing w:val="-3"/>
        </w:rPr>
        <w:t> </w:t>
      </w:r>
      <w:r>
        <w:rPr/>
        <w:t>federal</w:t>
      </w:r>
      <w:r>
        <w:rPr>
          <w:spacing w:val="-3"/>
        </w:rPr>
        <w:t> </w:t>
      </w:r>
      <w:r>
        <w:rPr/>
        <w:t>comment</w:t>
      </w:r>
      <w:r>
        <w:rPr>
          <w:spacing w:val="-3"/>
        </w:rPr>
        <w:t> </w:t>
      </w:r>
      <w:r>
        <w:rPr/>
        <w:t>period</w:t>
      </w:r>
      <w:r>
        <w:rPr>
          <w:spacing w:val="-3"/>
        </w:rPr>
        <w:t> </w:t>
      </w:r>
      <w:r>
        <w:rPr/>
        <w:t>and information received from the state public comment period, CMS has concluded that the demonstration is likely</w:t>
      </w:r>
      <w:r>
        <w:rPr>
          <w:spacing w:val="-3"/>
        </w:rPr>
        <w:t> </w:t>
      </w:r>
      <w:r>
        <w:rPr/>
        <w:t>to assist in promoting the objectives of Medicaid and, as relevant, CHIP.</w:t>
      </w:r>
    </w:p>
    <w:p>
      <w:pPr>
        <w:pStyle w:val="BodyText"/>
      </w:pPr>
    </w:p>
    <w:p>
      <w:pPr>
        <w:spacing w:before="0"/>
        <w:ind w:left="1440" w:right="0" w:firstLine="0"/>
        <w:jc w:val="left"/>
        <w:rPr>
          <w:b/>
          <w:sz w:val="24"/>
        </w:rPr>
      </w:pPr>
      <w:r>
        <w:rPr>
          <w:b/>
          <w:sz w:val="24"/>
          <w:u w:val="single"/>
        </w:rPr>
        <w:t>Other</w:t>
      </w:r>
      <w:r>
        <w:rPr>
          <w:b/>
          <w:spacing w:val="-4"/>
          <w:sz w:val="24"/>
          <w:u w:val="single"/>
        </w:rPr>
        <w:t> </w:t>
      </w:r>
      <w:r>
        <w:rPr>
          <w:b/>
          <w:spacing w:val="-2"/>
          <w:sz w:val="24"/>
          <w:u w:val="single"/>
        </w:rPr>
        <w:t>Information</w:t>
      </w:r>
    </w:p>
    <w:p>
      <w:pPr>
        <w:pStyle w:val="BodyText"/>
        <w:spacing w:before="120"/>
        <w:ind w:left="1440" w:right="1222"/>
      </w:pPr>
      <w:r>
        <w:rPr/>
        <w:t>The</w:t>
      </w:r>
      <w:r>
        <w:rPr>
          <w:spacing w:val="-2"/>
        </w:rPr>
        <w:t> </w:t>
      </w:r>
      <w:r>
        <w:rPr/>
        <w:t>award is subject to CMS receiving</w:t>
      </w:r>
      <w:r>
        <w:rPr>
          <w:spacing w:val="-3"/>
        </w:rPr>
        <w:t> </w:t>
      </w:r>
      <w:r>
        <w:rPr/>
        <w:t>written acceptance</w:t>
      </w:r>
      <w:r>
        <w:rPr>
          <w:spacing w:val="-1"/>
        </w:rPr>
        <w:t> </w:t>
      </w:r>
      <w:r>
        <w:rPr/>
        <w:t>by</w:t>
      </w:r>
      <w:r>
        <w:rPr>
          <w:spacing w:val="-5"/>
        </w:rPr>
        <w:t> </w:t>
      </w:r>
      <w:r>
        <w:rPr/>
        <w:t>the</w:t>
      </w:r>
      <w:r>
        <w:rPr>
          <w:spacing w:val="-1"/>
        </w:rPr>
        <w:t> </w:t>
      </w:r>
      <w:r>
        <w:rPr/>
        <w:t>Commonwealth within 30 days of</w:t>
      </w:r>
      <w:r>
        <w:rPr>
          <w:spacing w:val="-3"/>
        </w:rPr>
        <w:t> </w:t>
      </w:r>
      <w:r>
        <w:rPr/>
        <w:t>the</w:t>
      </w:r>
      <w:r>
        <w:rPr>
          <w:spacing w:val="-4"/>
        </w:rPr>
        <w:t> </w:t>
      </w:r>
      <w:r>
        <w:rPr/>
        <w:t>date</w:t>
      </w:r>
      <w:r>
        <w:rPr>
          <w:spacing w:val="-3"/>
        </w:rPr>
        <w:t> </w:t>
      </w:r>
      <w:r>
        <w:rPr/>
        <w:t>of</w:t>
      </w:r>
      <w:r>
        <w:rPr>
          <w:spacing w:val="-4"/>
        </w:rPr>
        <w:t> </w:t>
      </w:r>
      <w:r>
        <w:rPr/>
        <w:t>this</w:t>
      </w:r>
      <w:r>
        <w:rPr>
          <w:spacing w:val="-3"/>
        </w:rPr>
        <w:t> </w:t>
      </w:r>
      <w:r>
        <w:rPr/>
        <w:t>approval</w:t>
      </w:r>
      <w:r>
        <w:rPr>
          <w:spacing w:val="-3"/>
        </w:rPr>
        <w:t> </w:t>
      </w:r>
      <w:r>
        <w:rPr/>
        <w:t>letter.</w:t>
      </w:r>
      <w:r>
        <w:rPr>
          <w:spacing w:val="40"/>
        </w:rPr>
        <w:t> </w:t>
      </w:r>
      <w:r>
        <w:rPr/>
        <w:t>Your</w:t>
      </w:r>
      <w:r>
        <w:rPr>
          <w:spacing w:val="-3"/>
        </w:rPr>
        <w:t> </w:t>
      </w:r>
      <w:r>
        <w:rPr/>
        <w:t>project</w:t>
      </w:r>
      <w:r>
        <w:rPr>
          <w:spacing w:val="-3"/>
        </w:rPr>
        <w:t> </w:t>
      </w:r>
      <w:r>
        <w:rPr/>
        <w:t>officer</w:t>
      </w:r>
      <w:r>
        <w:rPr>
          <w:spacing w:val="-3"/>
        </w:rPr>
        <w:t> </w:t>
      </w:r>
      <w:r>
        <w:rPr/>
        <w:t>is</w:t>
      </w:r>
      <w:r>
        <w:rPr>
          <w:spacing w:val="-3"/>
        </w:rPr>
        <w:t> </w:t>
      </w:r>
      <w:r>
        <w:rPr/>
        <w:t>Ms.</w:t>
      </w:r>
      <w:r>
        <w:rPr>
          <w:spacing w:val="-3"/>
        </w:rPr>
        <w:t> </w:t>
      </w:r>
      <w:r>
        <w:rPr/>
        <w:t>Rabia</w:t>
      </w:r>
      <w:r>
        <w:rPr>
          <w:spacing w:val="-3"/>
        </w:rPr>
        <w:t> </w:t>
      </w:r>
      <w:r>
        <w:rPr/>
        <w:t>Khan.</w:t>
      </w:r>
      <w:r>
        <w:rPr>
          <w:spacing w:val="40"/>
        </w:rPr>
        <w:t> </w:t>
      </w:r>
      <w:r>
        <w:rPr/>
        <w:t>Ms.</w:t>
      </w:r>
      <w:r>
        <w:rPr>
          <w:spacing w:val="-3"/>
        </w:rPr>
        <w:t> </w:t>
      </w:r>
      <w:r>
        <w:rPr/>
        <w:t>Khan</w:t>
      </w:r>
      <w:r>
        <w:rPr>
          <w:spacing w:val="-3"/>
        </w:rPr>
        <w:t> </w:t>
      </w:r>
      <w:r>
        <w:rPr/>
        <w:t>is</w:t>
      </w:r>
      <w:r>
        <w:rPr>
          <w:spacing w:val="-3"/>
        </w:rPr>
        <w:t> </w:t>
      </w:r>
      <w:r>
        <w:rPr/>
        <w:t>available to answer any questions concerning implementation of the Commonwealth’s section 1115(a) demonstration and her contact information is as follows:</w:t>
      </w:r>
    </w:p>
    <w:p>
      <w:pPr>
        <w:pStyle w:val="BodyText"/>
      </w:pPr>
    </w:p>
    <w:p>
      <w:pPr>
        <w:pStyle w:val="BodyText"/>
        <w:ind w:left="2880" w:right="4874"/>
      </w:pPr>
      <w:r>
        <w:rPr/>
        <w:t>Centers</w:t>
      </w:r>
      <w:r>
        <w:rPr>
          <w:spacing w:val="-8"/>
        </w:rPr>
        <w:t> </w:t>
      </w:r>
      <w:r>
        <w:rPr/>
        <w:t>for</w:t>
      </w:r>
      <w:r>
        <w:rPr>
          <w:spacing w:val="-10"/>
        </w:rPr>
        <w:t> </w:t>
      </w:r>
      <w:r>
        <w:rPr/>
        <w:t>Medicare</w:t>
      </w:r>
      <w:r>
        <w:rPr>
          <w:spacing w:val="-9"/>
        </w:rPr>
        <w:t> </w:t>
      </w:r>
      <w:r>
        <w:rPr/>
        <w:t>&amp;</w:t>
      </w:r>
      <w:r>
        <w:rPr>
          <w:spacing w:val="-8"/>
        </w:rPr>
        <w:t> </w:t>
      </w:r>
      <w:r>
        <w:rPr/>
        <w:t>Medicaid</w:t>
      </w:r>
      <w:r>
        <w:rPr>
          <w:spacing w:val="-8"/>
        </w:rPr>
        <w:t> </w:t>
      </w:r>
      <w:r>
        <w:rPr/>
        <w:t>Services Center for Medicaid and CHIP Services Mail Stop: S2-25-26</w:t>
      </w:r>
    </w:p>
    <w:p>
      <w:pPr>
        <w:pStyle w:val="BodyText"/>
        <w:spacing w:before="1"/>
        <w:ind w:left="2880"/>
      </w:pPr>
      <w:r>
        <w:rPr/>
        <w:t>7500 Security</w:t>
      </w:r>
      <w:r>
        <w:rPr>
          <w:spacing w:val="-3"/>
        </w:rPr>
        <w:t> </w:t>
      </w:r>
      <w:r>
        <w:rPr>
          <w:spacing w:val="-2"/>
        </w:rPr>
        <w:t>Boulevard</w:t>
      </w:r>
    </w:p>
    <w:p>
      <w:pPr>
        <w:pStyle w:val="BodyText"/>
        <w:ind w:left="2880" w:right="5754"/>
      </w:pPr>
      <w:r>
        <w:rPr/>
        <w:t>Baltimore, Maryland 21244-1850 Email:</w:t>
      </w:r>
      <w:r>
        <w:rPr>
          <w:spacing w:val="-15"/>
        </w:rPr>
        <w:t> </w:t>
      </w:r>
      <w:hyperlink r:id="rId21">
        <w:r>
          <w:rPr>
            <w:color w:val="0000FF"/>
            <w:u w:val="single" w:color="0000FF"/>
          </w:rPr>
          <w:t>Rabia.Khan1@cms.hhs.gov</w:t>
        </w:r>
      </w:hyperlink>
    </w:p>
    <w:p>
      <w:pPr>
        <w:pStyle w:val="BodyText"/>
        <w:spacing w:before="2"/>
        <w:rPr>
          <w:sz w:val="16"/>
        </w:rPr>
      </w:pPr>
    </w:p>
    <w:p>
      <w:pPr>
        <w:pStyle w:val="BodyText"/>
        <w:spacing w:before="90"/>
        <w:ind w:left="1440" w:right="1239"/>
      </w:pPr>
      <w:r>
        <w:rPr/>
        <w:t>We appreciate the Commonwealth’s commitment to improving the health of its Medicaid beneficiaries, and we look forward to our continued partnership on the MassHealth section 1115(a) demonstration.</w:t>
      </w:r>
      <w:r>
        <w:rPr>
          <w:spacing w:val="40"/>
        </w:rPr>
        <w:t> </w:t>
      </w:r>
      <w:r>
        <w:rPr/>
        <w:t>If you have any questions regarding this approval, please contact Ms. Judith</w:t>
      </w:r>
      <w:r>
        <w:rPr>
          <w:spacing w:val="-4"/>
        </w:rPr>
        <w:t> </w:t>
      </w:r>
      <w:r>
        <w:rPr/>
        <w:t>Cash,</w:t>
      </w:r>
      <w:r>
        <w:rPr>
          <w:spacing w:val="-4"/>
        </w:rPr>
        <w:t> </w:t>
      </w:r>
      <w:r>
        <w:rPr/>
        <w:t>Director,</w:t>
      </w:r>
      <w:r>
        <w:rPr>
          <w:spacing w:val="-4"/>
        </w:rPr>
        <w:t> </w:t>
      </w:r>
      <w:r>
        <w:rPr/>
        <w:t>State</w:t>
      </w:r>
      <w:r>
        <w:rPr>
          <w:spacing w:val="-5"/>
        </w:rPr>
        <w:t> </w:t>
      </w:r>
      <w:r>
        <w:rPr/>
        <w:t>Demonstrations</w:t>
      </w:r>
      <w:r>
        <w:rPr>
          <w:spacing w:val="-4"/>
        </w:rPr>
        <w:t> </w:t>
      </w:r>
      <w:r>
        <w:rPr/>
        <w:t>Group,</w:t>
      </w:r>
      <w:r>
        <w:rPr>
          <w:spacing w:val="-4"/>
        </w:rPr>
        <w:t> </w:t>
      </w:r>
      <w:r>
        <w:rPr/>
        <w:t>Center</w:t>
      </w:r>
      <w:r>
        <w:rPr>
          <w:spacing w:val="-6"/>
        </w:rPr>
        <w:t> </w:t>
      </w:r>
      <w:r>
        <w:rPr/>
        <w:t>for</w:t>
      </w:r>
      <w:r>
        <w:rPr>
          <w:spacing w:val="-6"/>
        </w:rPr>
        <w:t> </w:t>
      </w:r>
      <w:r>
        <w:rPr/>
        <w:t>Medicaid</w:t>
      </w:r>
      <w:r>
        <w:rPr>
          <w:spacing w:val="-4"/>
        </w:rPr>
        <w:t> </w:t>
      </w:r>
      <w:r>
        <w:rPr/>
        <w:t>and</w:t>
      </w:r>
      <w:r>
        <w:rPr>
          <w:spacing w:val="-4"/>
        </w:rPr>
        <w:t> </w:t>
      </w:r>
      <w:r>
        <w:rPr/>
        <w:t>CHIP</w:t>
      </w:r>
      <w:r>
        <w:rPr>
          <w:spacing w:val="-4"/>
        </w:rPr>
        <w:t> </w:t>
      </w:r>
      <w:r>
        <w:rPr/>
        <w:t>Services,</w:t>
      </w:r>
      <w:r>
        <w:rPr>
          <w:spacing w:val="-4"/>
        </w:rPr>
        <w:t> </w:t>
      </w:r>
      <w:r>
        <w:rPr/>
        <w:t>at</w:t>
      </w:r>
    </w:p>
    <w:p>
      <w:pPr>
        <w:pStyle w:val="BodyText"/>
        <w:ind w:left="1440"/>
      </w:pPr>
      <w:r>
        <w:rPr/>
        <w:t>(410)</w:t>
      </w:r>
      <w:r>
        <w:rPr>
          <w:spacing w:val="-4"/>
        </w:rPr>
        <w:t> </w:t>
      </w:r>
      <w:r>
        <w:rPr/>
        <w:t>786-</w:t>
      </w:r>
      <w:r>
        <w:rPr>
          <w:spacing w:val="-2"/>
        </w:rPr>
        <w:t>9686.</w:t>
      </w:r>
    </w:p>
    <w:p>
      <w:pPr>
        <w:pStyle w:val="BodyText"/>
        <w:spacing w:before="1"/>
      </w:pPr>
    </w:p>
    <w:p>
      <w:pPr>
        <w:pStyle w:val="BodyText"/>
        <w:ind w:left="5761"/>
      </w:pPr>
      <w:r>
        <w:rPr/>
        <w:drawing>
          <wp:anchor distT="0" distB="0" distL="0" distR="0" allowOverlap="1" layoutInCell="1" locked="0" behindDoc="0" simplePos="0" relativeHeight="15732736">
            <wp:simplePos x="0" y="0"/>
            <wp:positionH relativeFrom="page">
              <wp:posOffset>3614801</wp:posOffset>
            </wp:positionH>
            <wp:positionV relativeFrom="paragraph">
              <wp:posOffset>155741</wp:posOffset>
            </wp:positionV>
            <wp:extent cx="1536700" cy="488950"/>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22" cstate="print"/>
                    <a:stretch>
                      <a:fillRect/>
                    </a:stretch>
                  </pic:blipFill>
                  <pic:spPr>
                    <a:xfrm>
                      <a:off x="0" y="0"/>
                      <a:ext cx="1536700" cy="488950"/>
                    </a:xfrm>
                    <a:prstGeom prst="rect">
                      <a:avLst/>
                    </a:prstGeom>
                  </pic:spPr>
                </pic:pic>
              </a:graphicData>
            </a:graphic>
          </wp:anchor>
        </w:drawing>
      </w:r>
      <w:r>
        <w:rPr>
          <w:spacing w:val="-2"/>
        </w:rPr>
        <w:t>Sincerely,</w:t>
      </w:r>
    </w:p>
    <w:p>
      <w:pPr>
        <w:pStyle w:val="BodyText"/>
        <w:rPr>
          <w:sz w:val="26"/>
        </w:rPr>
      </w:pPr>
    </w:p>
    <w:p>
      <w:pPr>
        <w:pStyle w:val="BodyText"/>
        <w:rPr>
          <w:sz w:val="26"/>
        </w:rPr>
      </w:pPr>
    </w:p>
    <w:p>
      <w:pPr>
        <w:pStyle w:val="BodyText"/>
        <w:spacing w:before="230"/>
        <w:ind w:left="5761"/>
      </w:pPr>
      <w:r>
        <w:rPr/>
        <w:t>Chiquita</w:t>
      </w:r>
      <w:r>
        <w:rPr>
          <w:spacing w:val="-4"/>
        </w:rPr>
        <w:t> </w:t>
      </w:r>
      <w:r>
        <w:rPr/>
        <w:t>Brooks-</w:t>
      </w:r>
      <w:r>
        <w:rPr>
          <w:spacing w:val="-2"/>
        </w:rPr>
        <w:t>LaSure</w:t>
      </w:r>
    </w:p>
    <w:p>
      <w:pPr>
        <w:pStyle w:val="BodyText"/>
        <w:rPr>
          <w:sz w:val="26"/>
        </w:rPr>
      </w:pPr>
    </w:p>
    <w:p>
      <w:pPr>
        <w:pStyle w:val="BodyText"/>
        <w:rPr>
          <w:sz w:val="22"/>
        </w:rPr>
      </w:pPr>
    </w:p>
    <w:p>
      <w:pPr>
        <w:pStyle w:val="BodyText"/>
        <w:ind w:left="1440"/>
      </w:pPr>
      <w:r>
        <w:rPr>
          <w:spacing w:val="-2"/>
        </w:rPr>
        <w:t>Enclosure</w:t>
      </w:r>
    </w:p>
    <w:p>
      <w:pPr>
        <w:spacing w:after="0"/>
        <w:sectPr>
          <w:pgSz w:w="12240" w:h="15840"/>
          <w:pgMar w:top="640" w:bottom="280" w:left="0" w:right="220"/>
        </w:sectPr>
      </w:pPr>
    </w:p>
    <w:p>
      <w:pPr>
        <w:pStyle w:val="BodyText"/>
        <w:spacing w:line="626" w:lineRule="auto" w:before="79"/>
        <w:ind w:left="1440" w:right="1213" w:firstLine="8595"/>
      </w:pPr>
      <w:r>
        <w:rPr/>
        <w:t>Page</w:t>
      </w:r>
      <w:r>
        <w:rPr>
          <w:spacing w:val="-15"/>
        </w:rPr>
        <w:t> </w:t>
      </w:r>
      <w:r>
        <w:rPr/>
        <w:t>20 cc: Marie DiMartino, State Monitoring Lead, CMS Medicaid and CHIP Operations Group</w:t>
      </w:r>
    </w:p>
    <w:p>
      <w:pPr>
        <w:spacing w:after="0" w:line="626" w:lineRule="auto"/>
        <w:sectPr>
          <w:pgSz w:w="12240" w:h="15840"/>
          <w:pgMar w:top="640" w:bottom="280" w:left="0" w:right="220"/>
        </w:sectPr>
      </w:pPr>
    </w:p>
    <w:p>
      <w:pPr>
        <w:pStyle w:val="Heading4"/>
        <w:spacing w:line="480" w:lineRule="auto" w:before="79"/>
        <w:ind w:left="4843" w:right="2411" w:hanging="1695"/>
      </w:pPr>
      <w:bookmarkStart w:name="MassHealth Extension STCs 09-28-22 (fina" w:id="2"/>
      <w:bookmarkEnd w:id="2"/>
      <w:r>
        <w:rPr>
          <w:b w:val="0"/>
        </w:rPr>
      </w:r>
      <w:bookmarkStart w:name="Waiver and Expenditure Authorities MassH" w:id="3"/>
      <w:bookmarkEnd w:id="3"/>
      <w:r>
        <w:rPr>
          <w:b w:val="0"/>
        </w:rPr>
      </w:r>
      <w:bookmarkStart w:name="CENTERS FOR MEDICARE &amp; MEDICAID SERVICES" w:id="4"/>
      <w:bookmarkEnd w:id="4"/>
      <w:r>
        <w:rPr>
          <w:b w:val="0"/>
        </w:rPr>
      </w:r>
      <w:r>
        <w:rPr/>
        <w:t>CENTERS</w:t>
      </w:r>
      <w:r>
        <w:rPr>
          <w:spacing w:val="-7"/>
        </w:rPr>
        <w:t> </w:t>
      </w:r>
      <w:r>
        <w:rPr/>
        <w:t>FOR</w:t>
      </w:r>
      <w:r>
        <w:rPr>
          <w:spacing w:val="-8"/>
        </w:rPr>
        <w:t> </w:t>
      </w:r>
      <w:r>
        <w:rPr/>
        <w:t>MEDICARE</w:t>
      </w:r>
      <w:r>
        <w:rPr>
          <w:spacing w:val="-7"/>
        </w:rPr>
        <w:t> </w:t>
      </w:r>
      <w:r>
        <w:rPr/>
        <w:t>&amp;</w:t>
      </w:r>
      <w:r>
        <w:rPr>
          <w:spacing w:val="-8"/>
        </w:rPr>
        <w:t> </w:t>
      </w:r>
      <w:r>
        <w:rPr/>
        <w:t>MEDICAID</w:t>
      </w:r>
      <w:r>
        <w:rPr>
          <w:spacing w:val="-7"/>
        </w:rPr>
        <w:t> </w:t>
      </w:r>
      <w:r>
        <w:rPr/>
        <w:t>SERVICES </w:t>
      </w:r>
      <w:bookmarkStart w:name="WAIVER AUTHORITY" w:id="5"/>
      <w:bookmarkEnd w:id="5"/>
      <w:r>
        <w:rPr/>
        <w:t>W</w:t>
      </w:r>
      <w:r>
        <w:rPr/>
        <w:t>AIVER AUTHORITY</w:t>
      </w:r>
    </w:p>
    <w:p>
      <w:pPr>
        <w:tabs>
          <w:tab w:pos="3599" w:val="left" w:leader="none"/>
        </w:tabs>
        <w:spacing w:before="0"/>
        <w:ind w:left="1440" w:right="0" w:firstLine="0"/>
        <w:jc w:val="left"/>
        <w:rPr>
          <w:b/>
          <w:sz w:val="24"/>
        </w:rPr>
      </w:pPr>
      <w:r>
        <w:rPr>
          <w:b/>
          <w:spacing w:val="-2"/>
          <w:sz w:val="24"/>
        </w:rPr>
        <w:t>NUMBER:</w:t>
      </w:r>
      <w:r>
        <w:rPr>
          <w:b/>
          <w:sz w:val="24"/>
        </w:rPr>
        <w:tab/>
        <w:t>11-W-00030/1</w:t>
      </w:r>
      <w:r>
        <w:rPr>
          <w:b/>
          <w:spacing w:val="-4"/>
          <w:sz w:val="24"/>
        </w:rPr>
        <w:t> </w:t>
      </w:r>
      <w:r>
        <w:rPr>
          <w:b/>
          <w:sz w:val="24"/>
        </w:rPr>
        <w:t>and</w:t>
      </w:r>
      <w:r>
        <w:rPr>
          <w:b/>
          <w:spacing w:val="-2"/>
          <w:sz w:val="24"/>
        </w:rPr>
        <w:t> </w:t>
      </w:r>
      <w:r>
        <w:rPr>
          <w:b/>
          <w:sz w:val="24"/>
        </w:rPr>
        <w:t>21-</w:t>
      </w:r>
      <w:r>
        <w:rPr>
          <w:b/>
          <w:spacing w:val="-2"/>
          <w:sz w:val="24"/>
        </w:rPr>
        <w:t>00071/1</w:t>
      </w:r>
    </w:p>
    <w:p>
      <w:pPr>
        <w:tabs>
          <w:tab w:pos="3599" w:val="left" w:leader="none"/>
        </w:tabs>
        <w:spacing w:line="379" w:lineRule="auto" w:before="158"/>
        <w:ind w:left="1440" w:right="2002" w:firstLine="0"/>
        <w:jc w:val="left"/>
        <w:rPr>
          <w:b/>
          <w:sz w:val="24"/>
        </w:rPr>
      </w:pPr>
      <w:bookmarkStart w:name="TITLE: MassHealth Medicaid and CHIP Sect" w:id="6"/>
      <w:bookmarkEnd w:id="6"/>
      <w:r>
        <w:rPr/>
      </w:r>
      <w:r>
        <w:rPr>
          <w:b/>
          <w:spacing w:val="-2"/>
          <w:sz w:val="24"/>
        </w:rPr>
        <w:t>TITLE:</w:t>
      </w:r>
      <w:r>
        <w:rPr>
          <w:b/>
          <w:sz w:val="24"/>
        </w:rPr>
        <w:tab/>
        <w:t>MassHealth Medicaid and CHIP Section 1115 Demonstration </w:t>
      </w:r>
      <w:r>
        <w:rPr>
          <w:b/>
          <w:spacing w:val="-2"/>
          <w:sz w:val="24"/>
        </w:rPr>
        <w:t>AWARDEE:</w:t>
      </w:r>
      <w:r>
        <w:rPr>
          <w:b/>
          <w:sz w:val="24"/>
        </w:rPr>
        <w:tab/>
        <w:t>Massachusetts</w:t>
      </w:r>
      <w:r>
        <w:rPr>
          <w:b/>
          <w:spacing w:val="-6"/>
          <w:sz w:val="24"/>
        </w:rPr>
        <w:t> </w:t>
      </w:r>
      <w:r>
        <w:rPr>
          <w:b/>
          <w:sz w:val="24"/>
        </w:rPr>
        <w:t>Executive</w:t>
      </w:r>
      <w:r>
        <w:rPr>
          <w:b/>
          <w:spacing w:val="-7"/>
          <w:sz w:val="24"/>
        </w:rPr>
        <w:t> </w:t>
      </w:r>
      <w:r>
        <w:rPr>
          <w:b/>
          <w:sz w:val="24"/>
        </w:rPr>
        <w:t>Office</w:t>
      </w:r>
      <w:r>
        <w:rPr>
          <w:b/>
          <w:spacing w:val="-7"/>
          <w:sz w:val="24"/>
        </w:rPr>
        <w:t> </w:t>
      </w:r>
      <w:r>
        <w:rPr>
          <w:b/>
          <w:sz w:val="24"/>
        </w:rPr>
        <w:t>of</w:t>
      </w:r>
      <w:r>
        <w:rPr>
          <w:b/>
          <w:spacing w:val="-7"/>
          <w:sz w:val="24"/>
        </w:rPr>
        <w:t> </w:t>
      </w:r>
      <w:r>
        <w:rPr>
          <w:b/>
          <w:sz w:val="24"/>
        </w:rPr>
        <w:t>Health</w:t>
      </w:r>
      <w:r>
        <w:rPr>
          <w:b/>
          <w:spacing w:val="-6"/>
          <w:sz w:val="24"/>
        </w:rPr>
        <w:t> </w:t>
      </w:r>
      <w:r>
        <w:rPr>
          <w:b/>
          <w:sz w:val="24"/>
        </w:rPr>
        <w:t>and</w:t>
      </w:r>
      <w:r>
        <w:rPr>
          <w:b/>
          <w:spacing w:val="-7"/>
          <w:sz w:val="24"/>
        </w:rPr>
        <w:t> </w:t>
      </w:r>
      <w:r>
        <w:rPr>
          <w:b/>
          <w:sz w:val="24"/>
        </w:rPr>
        <w:t>Human</w:t>
      </w:r>
      <w:r>
        <w:rPr>
          <w:b/>
          <w:spacing w:val="-6"/>
          <w:sz w:val="24"/>
        </w:rPr>
        <w:t> </w:t>
      </w:r>
      <w:r>
        <w:rPr>
          <w:b/>
          <w:sz w:val="24"/>
        </w:rPr>
        <w:t>Services</w:t>
      </w:r>
    </w:p>
    <w:p>
      <w:pPr>
        <w:pStyle w:val="Heading4"/>
        <w:spacing w:before="2"/>
        <w:ind w:left="3600"/>
      </w:pPr>
      <w:r>
        <w:rPr>
          <w:spacing w:val="-2"/>
        </w:rPr>
        <w:t>(EOHHS)</w:t>
      </w:r>
    </w:p>
    <w:p>
      <w:pPr>
        <w:pStyle w:val="BodyText"/>
        <w:spacing w:before="158"/>
        <w:ind w:left="1439" w:right="1315"/>
      </w:pPr>
      <w:r>
        <w:rPr/>
        <w:t>Under the authority</w:t>
      </w:r>
      <w:r>
        <w:rPr>
          <w:spacing w:val="-3"/>
        </w:rPr>
        <w:t> </w:t>
      </w:r>
      <w:r>
        <w:rPr/>
        <w:t>of Section 1115(a)(1) of the Social Security</w:t>
      </w:r>
      <w:r>
        <w:rPr>
          <w:spacing w:val="-3"/>
        </w:rPr>
        <w:t> </w:t>
      </w:r>
      <w:r>
        <w:rPr/>
        <w:t>Act (“the Act”), the following waivers are granted to enable the Commonwealth of Massachusetts (referred to herein as the state</w:t>
      </w:r>
      <w:r>
        <w:rPr>
          <w:spacing w:val="-4"/>
        </w:rPr>
        <w:t> </w:t>
      </w:r>
      <w:r>
        <w:rPr/>
        <w:t>or</w:t>
      </w:r>
      <w:r>
        <w:rPr>
          <w:spacing w:val="-4"/>
        </w:rPr>
        <w:t> </w:t>
      </w:r>
      <w:r>
        <w:rPr/>
        <w:t>the</w:t>
      </w:r>
      <w:r>
        <w:rPr>
          <w:spacing w:val="-4"/>
        </w:rPr>
        <w:t> </w:t>
      </w:r>
      <w:r>
        <w:rPr/>
        <w:t>State/Commonwealth)</w:t>
      </w:r>
      <w:r>
        <w:rPr>
          <w:spacing w:val="-4"/>
        </w:rPr>
        <w:t> </w:t>
      </w:r>
      <w:r>
        <w:rPr/>
        <w:t>to</w:t>
      </w:r>
      <w:r>
        <w:rPr>
          <w:spacing w:val="-3"/>
        </w:rPr>
        <w:t> </w:t>
      </w:r>
      <w:r>
        <w:rPr/>
        <w:t>operate</w:t>
      </w:r>
      <w:r>
        <w:rPr>
          <w:spacing w:val="-4"/>
        </w:rPr>
        <w:t> </w:t>
      </w:r>
      <w:r>
        <w:rPr/>
        <w:t>the</w:t>
      </w:r>
      <w:r>
        <w:rPr>
          <w:spacing w:val="-2"/>
        </w:rPr>
        <w:t> </w:t>
      </w:r>
      <w:r>
        <w:rPr/>
        <w:t>MassHealth</w:t>
      </w:r>
      <w:r>
        <w:rPr>
          <w:spacing w:val="-3"/>
        </w:rPr>
        <w:t> </w:t>
      </w:r>
      <w:r>
        <w:rPr/>
        <w:t>Medicaid</w:t>
      </w:r>
      <w:r>
        <w:rPr>
          <w:spacing w:val="-3"/>
        </w:rPr>
        <w:t> </w:t>
      </w:r>
      <w:r>
        <w:rPr/>
        <w:t>and</w:t>
      </w:r>
      <w:r>
        <w:rPr>
          <w:spacing w:val="-3"/>
        </w:rPr>
        <w:t> </w:t>
      </w:r>
      <w:r>
        <w:rPr/>
        <w:t>CHIP</w:t>
      </w:r>
      <w:r>
        <w:rPr>
          <w:spacing w:val="-3"/>
        </w:rPr>
        <w:t> </w:t>
      </w:r>
      <w:r>
        <w:rPr/>
        <w:t>Section</w:t>
      </w:r>
      <w:r>
        <w:rPr>
          <w:spacing w:val="-3"/>
        </w:rPr>
        <w:t> </w:t>
      </w:r>
      <w:r>
        <w:rPr/>
        <w:t>1115 Demonstration.</w:t>
      </w:r>
      <w:r>
        <w:rPr>
          <w:spacing w:val="40"/>
        </w:rPr>
        <w:t> </w:t>
      </w:r>
      <w:r>
        <w:rPr/>
        <w:t>These waivers are effective beginning October 1, 2022 and are limited to the extent necessary to achieve the objectives below.</w:t>
      </w:r>
      <w:r>
        <w:rPr>
          <w:spacing w:val="40"/>
        </w:rPr>
        <w:t> </w:t>
      </w:r>
      <w:r>
        <w:rPr/>
        <w:t>These waivers may only be implemented consistent with the approved Special Terms and Conditions (STCs) set forth in the accompanying document.</w:t>
      </w:r>
      <w:r>
        <w:rPr>
          <w:spacing w:val="40"/>
        </w:rPr>
        <w:t> </w:t>
      </w:r>
      <w:r>
        <w:rPr>
          <w:color w:val="1D1C1D"/>
        </w:rPr>
        <w:t>The following waivers are also applicable to Medicaid Expansion CHIP populations unless otherwise specified.</w:t>
      </w:r>
    </w:p>
    <w:p>
      <w:pPr>
        <w:pStyle w:val="BodyText"/>
      </w:pPr>
    </w:p>
    <w:p>
      <w:pPr>
        <w:pStyle w:val="BodyText"/>
        <w:spacing w:before="1"/>
        <w:ind w:left="1440" w:right="1315"/>
      </w:pPr>
      <w:r>
        <w:rPr/>
        <w:t>As discussed in the Centers for Medicare &amp; Medicaid Services’ (CMS) approval letter, the Secretary of Health and Human Services has determined that the MassHealth Medicaid and CHIP</w:t>
      </w:r>
      <w:r>
        <w:rPr>
          <w:spacing w:val="-3"/>
        </w:rPr>
        <w:t> </w:t>
      </w:r>
      <w:r>
        <w:rPr/>
        <w:t>Section</w:t>
      </w:r>
      <w:r>
        <w:rPr>
          <w:spacing w:val="-3"/>
        </w:rPr>
        <w:t> </w:t>
      </w:r>
      <w:r>
        <w:rPr/>
        <w:t>1115</w:t>
      </w:r>
      <w:r>
        <w:rPr>
          <w:spacing w:val="-3"/>
        </w:rPr>
        <w:t> </w:t>
      </w:r>
      <w:r>
        <w:rPr/>
        <w:t>Demonstration,</w:t>
      </w:r>
      <w:r>
        <w:rPr>
          <w:spacing w:val="-3"/>
        </w:rPr>
        <w:t> </w:t>
      </w:r>
      <w:r>
        <w:rPr/>
        <w:t>including</w:t>
      </w:r>
      <w:r>
        <w:rPr>
          <w:spacing w:val="-6"/>
        </w:rPr>
        <w:t> </w:t>
      </w:r>
      <w:r>
        <w:rPr/>
        <w:t>the</w:t>
      </w:r>
      <w:r>
        <w:rPr>
          <w:spacing w:val="-2"/>
        </w:rPr>
        <w:t> </w:t>
      </w:r>
      <w:r>
        <w:rPr/>
        <w:t>granting</w:t>
      </w:r>
      <w:r>
        <w:rPr>
          <w:spacing w:val="-6"/>
        </w:rPr>
        <w:t> </w:t>
      </w:r>
      <w:r>
        <w:rPr/>
        <w:t>of</w:t>
      </w:r>
      <w:r>
        <w:rPr>
          <w:spacing w:val="-4"/>
        </w:rPr>
        <w:t> </w:t>
      </w:r>
      <w:r>
        <w:rPr/>
        <w:t>the</w:t>
      </w:r>
      <w:r>
        <w:rPr>
          <w:spacing w:val="-4"/>
        </w:rPr>
        <w:t> </w:t>
      </w:r>
      <w:r>
        <w:rPr/>
        <w:t>waivers</w:t>
      </w:r>
      <w:r>
        <w:rPr>
          <w:spacing w:val="-3"/>
        </w:rPr>
        <w:t> </w:t>
      </w:r>
      <w:r>
        <w:rPr/>
        <w:t>described</w:t>
      </w:r>
      <w:r>
        <w:rPr>
          <w:spacing w:val="-3"/>
        </w:rPr>
        <w:t> </w:t>
      </w:r>
      <w:r>
        <w:rPr/>
        <w:t>below,</w:t>
      </w:r>
      <w:r>
        <w:rPr>
          <w:spacing w:val="-3"/>
        </w:rPr>
        <w:t> </w:t>
      </w:r>
      <w:r>
        <w:rPr/>
        <w:t>is likely to assist in promoting the objectives of title XIX and XXI of the Act.</w:t>
      </w:r>
    </w:p>
    <w:p>
      <w:pPr>
        <w:pStyle w:val="BodyText"/>
        <w:spacing w:before="11"/>
        <w:rPr>
          <w:sz w:val="23"/>
        </w:rPr>
      </w:pPr>
    </w:p>
    <w:p>
      <w:pPr>
        <w:pStyle w:val="BodyText"/>
        <w:ind w:left="1439" w:right="1222"/>
      </w:pPr>
      <w:r>
        <w:rPr/>
        <w:t>Except</w:t>
      </w:r>
      <w:r>
        <w:rPr>
          <w:spacing w:val="-2"/>
        </w:rPr>
        <w:t> </w:t>
      </w:r>
      <w:r>
        <w:rPr/>
        <w:t>as</w:t>
      </w:r>
      <w:r>
        <w:rPr>
          <w:spacing w:val="-2"/>
        </w:rPr>
        <w:t> </w:t>
      </w:r>
      <w:r>
        <w:rPr/>
        <w:t>provided</w:t>
      </w:r>
      <w:r>
        <w:rPr>
          <w:spacing w:val="-2"/>
        </w:rPr>
        <w:t> </w:t>
      </w:r>
      <w:r>
        <w:rPr/>
        <w:t>below</w:t>
      </w:r>
      <w:r>
        <w:rPr>
          <w:spacing w:val="-3"/>
        </w:rPr>
        <w:t> </w:t>
      </w:r>
      <w:r>
        <w:rPr/>
        <w:t>with</w:t>
      </w:r>
      <w:r>
        <w:rPr>
          <w:spacing w:val="-2"/>
        </w:rPr>
        <w:t> </w:t>
      </w:r>
      <w:r>
        <w:rPr/>
        <w:t>respect</w:t>
      </w:r>
      <w:r>
        <w:rPr>
          <w:spacing w:val="-2"/>
        </w:rPr>
        <w:t> </w:t>
      </w:r>
      <w:r>
        <w:rPr/>
        <w:t>to</w:t>
      </w:r>
      <w:r>
        <w:rPr>
          <w:spacing w:val="-2"/>
        </w:rPr>
        <w:t> </w:t>
      </w:r>
      <w:r>
        <w:rPr/>
        <w:t>expenditure</w:t>
      </w:r>
      <w:r>
        <w:rPr>
          <w:spacing w:val="-3"/>
        </w:rPr>
        <w:t> </w:t>
      </w:r>
      <w:r>
        <w:rPr/>
        <w:t>authority, all</w:t>
      </w:r>
      <w:r>
        <w:rPr>
          <w:spacing w:val="-2"/>
        </w:rPr>
        <w:t> </w:t>
      </w:r>
      <w:r>
        <w:rPr/>
        <w:t>requirements</w:t>
      </w:r>
      <w:r>
        <w:rPr>
          <w:spacing w:val="-2"/>
        </w:rPr>
        <w:t> </w:t>
      </w:r>
      <w:r>
        <w:rPr/>
        <w:t>of</w:t>
      </w:r>
      <w:r>
        <w:rPr>
          <w:spacing w:val="-3"/>
        </w:rPr>
        <w:t> </w:t>
      </w:r>
      <w:r>
        <w:rPr/>
        <w:t>the</w:t>
      </w:r>
      <w:r>
        <w:rPr>
          <w:spacing w:val="-3"/>
        </w:rPr>
        <w:t> </w:t>
      </w:r>
      <w:r>
        <w:rPr/>
        <w:t>Medicaid program</w:t>
      </w:r>
      <w:r>
        <w:rPr>
          <w:spacing w:val="-3"/>
        </w:rPr>
        <w:t> </w:t>
      </w:r>
      <w:r>
        <w:rPr/>
        <w:t>expressed</w:t>
      </w:r>
      <w:r>
        <w:rPr>
          <w:spacing w:val="-3"/>
        </w:rPr>
        <w:t> </w:t>
      </w:r>
      <w:r>
        <w:rPr/>
        <w:t>in</w:t>
      </w:r>
      <w:r>
        <w:rPr>
          <w:spacing w:val="-3"/>
        </w:rPr>
        <w:t> </w:t>
      </w:r>
      <w:r>
        <w:rPr/>
        <w:t>law,</w:t>
      </w:r>
      <w:r>
        <w:rPr>
          <w:spacing w:val="-3"/>
        </w:rPr>
        <w:t> </w:t>
      </w:r>
      <w:r>
        <w:rPr/>
        <w:t>regulation</w:t>
      </w:r>
      <w:r>
        <w:rPr>
          <w:spacing w:val="-3"/>
        </w:rPr>
        <w:t> </w:t>
      </w:r>
      <w:r>
        <w:rPr/>
        <w:t>and</w:t>
      </w:r>
      <w:r>
        <w:rPr>
          <w:spacing w:val="-3"/>
        </w:rPr>
        <w:t> </w:t>
      </w:r>
      <w:r>
        <w:rPr/>
        <w:t>policy</w:t>
      </w:r>
      <w:r>
        <w:rPr>
          <w:spacing w:val="-5"/>
        </w:rPr>
        <w:t> </w:t>
      </w:r>
      <w:r>
        <w:rPr/>
        <w:t>statement,</w:t>
      </w:r>
      <w:r>
        <w:rPr>
          <w:spacing w:val="-3"/>
        </w:rPr>
        <w:t> </w:t>
      </w:r>
      <w:r>
        <w:rPr/>
        <w:t>not</w:t>
      </w:r>
      <w:r>
        <w:rPr>
          <w:spacing w:val="-3"/>
        </w:rPr>
        <w:t> </w:t>
      </w:r>
      <w:r>
        <w:rPr/>
        <w:t>expressly</w:t>
      </w:r>
      <w:r>
        <w:rPr>
          <w:spacing w:val="-5"/>
        </w:rPr>
        <w:t> </w:t>
      </w:r>
      <w:r>
        <w:rPr/>
        <w:t>waived</w:t>
      </w:r>
      <w:r>
        <w:rPr>
          <w:spacing w:val="-3"/>
        </w:rPr>
        <w:t> </w:t>
      </w:r>
      <w:r>
        <w:rPr/>
        <w:t>in</w:t>
      </w:r>
      <w:r>
        <w:rPr>
          <w:spacing w:val="-3"/>
        </w:rPr>
        <w:t> </w:t>
      </w:r>
      <w:r>
        <w:rPr/>
        <w:t>this</w:t>
      </w:r>
      <w:r>
        <w:rPr>
          <w:spacing w:val="-3"/>
        </w:rPr>
        <w:t> </w:t>
      </w:r>
      <w:r>
        <w:rPr/>
        <w:t>list,</w:t>
      </w:r>
      <w:r>
        <w:rPr>
          <w:spacing w:val="-3"/>
        </w:rPr>
        <w:t> </w:t>
      </w:r>
      <w:r>
        <w:rPr/>
        <w:t>shall apply to the demonstration project for the period beginning October 1, 2022 through December 31, 2027.</w:t>
      </w:r>
    </w:p>
    <w:p>
      <w:pPr>
        <w:pStyle w:val="BodyText"/>
        <w:spacing w:before="10"/>
        <w:rPr>
          <w:sz w:val="20"/>
        </w:rPr>
      </w:pPr>
    </w:p>
    <w:p>
      <w:pPr>
        <w:pStyle w:val="Heading5"/>
        <w:numPr>
          <w:ilvl w:val="0"/>
          <w:numId w:val="1"/>
        </w:numPr>
        <w:tabs>
          <w:tab w:pos="360" w:val="left" w:leader="none"/>
          <w:tab w:pos="7514" w:val="left" w:leader="none"/>
        </w:tabs>
        <w:spacing w:line="240" w:lineRule="auto" w:before="0" w:after="0"/>
        <w:ind w:left="360" w:right="1219" w:hanging="360"/>
        <w:jc w:val="right"/>
      </w:pPr>
      <w:bookmarkStart w:name="1. Statewide Operation Section 1902(a)(1" w:id="7"/>
      <w:bookmarkEnd w:id="7"/>
      <w:r>
        <w:rPr>
          <w:b w:val="0"/>
        </w:rPr>
      </w:r>
      <w:r>
        <w:rPr/>
        <w:t>Statewide</w:t>
      </w:r>
      <w:r>
        <w:rPr>
          <w:spacing w:val="-3"/>
        </w:rPr>
        <w:t> </w:t>
      </w:r>
      <w:r>
        <w:rPr>
          <w:spacing w:val="-2"/>
        </w:rPr>
        <w:t>Operation</w:t>
      </w:r>
      <w:r>
        <w:rPr/>
        <w:tab/>
        <w:t>Section</w:t>
      </w:r>
      <w:r>
        <w:rPr>
          <w:spacing w:val="-4"/>
        </w:rPr>
        <w:t> </w:t>
      </w:r>
      <w:r>
        <w:rPr>
          <w:spacing w:val="-2"/>
        </w:rPr>
        <w:t>1902(a)(1)</w:t>
      </w:r>
    </w:p>
    <w:p>
      <w:pPr>
        <w:pStyle w:val="BodyText"/>
        <w:spacing w:before="10"/>
        <w:rPr>
          <w:b/>
          <w:sz w:val="20"/>
        </w:rPr>
      </w:pPr>
    </w:p>
    <w:p>
      <w:pPr>
        <w:pStyle w:val="BodyText"/>
        <w:ind w:left="1799" w:right="1239"/>
      </w:pPr>
      <w:bookmarkStart w:name="To enable Massachusetts to provide manag" w:id="8"/>
      <w:bookmarkEnd w:id="8"/>
      <w:r>
        <w:rPr/>
      </w:r>
      <w:r>
        <w:rPr/>
        <w:t>To</w:t>
      </w:r>
      <w:r>
        <w:rPr>
          <w:spacing w:val="-4"/>
        </w:rPr>
        <w:t> </w:t>
      </w:r>
      <w:r>
        <w:rPr/>
        <w:t>enable</w:t>
      </w:r>
      <w:r>
        <w:rPr>
          <w:spacing w:val="-5"/>
        </w:rPr>
        <w:t> </w:t>
      </w:r>
      <w:r>
        <w:rPr/>
        <w:t>Massachusetts</w:t>
      </w:r>
      <w:r>
        <w:rPr>
          <w:spacing w:val="-2"/>
        </w:rPr>
        <w:t> </w:t>
      </w:r>
      <w:r>
        <w:rPr/>
        <w:t>to</w:t>
      </w:r>
      <w:r>
        <w:rPr>
          <w:spacing w:val="-4"/>
        </w:rPr>
        <w:t> </w:t>
      </w:r>
      <w:r>
        <w:rPr/>
        <w:t>provide</w:t>
      </w:r>
      <w:r>
        <w:rPr>
          <w:spacing w:val="-5"/>
        </w:rPr>
        <w:t> </w:t>
      </w:r>
      <w:r>
        <w:rPr/>
        <w:t>managed</w:t>
      </w:r>
      <w:r>
        <w:rPr>
          <w:spacing w:val="-2"/>
        </w:rPr>
        <w:t> </w:t>
      </w:r>
      <w:r>
        <w:rPr/>
        <w:t>care</w:t>
      </w:r>
      <w:r>
        <w:rPr>
          <w:spacing w:val="-3"/>
        </w:rPr>
        <w:t> </w:t>
      </w:r>
      <w:r>
        <w:rPr/>
        <w:t>plans</w:t>
      </w:r>
      <w:r>
        <w:rPr>
          <w:spacing w:val="-4"/>
        </w:rPr>
        <w:t> </w:t>
      </w:r>
      <w:r>
        <w:rPr/>
        <w:t>or</w:t>
      </w:r>
      <w:r>
        <w:rPr>
          <w:spacing w:val="-5"/>
        </w:rPr>
        <w:t> </w:t>
      </w:r>
      <w:r>
        <w:rPr/>
        <w:t>certain</w:t>
      </w:r>
      <w:r>
        <w:rPr>
          <w:spacing w:val="-4"/>
        </w:rPr>
        <w:t> </w:t>
      </w:r>
      <w:r>
        <w:rPr/>
        <w:t>types</w:t>
      </w:r>
      <w:r>
        <w:rPr>
          <w:spacing w:val="-4"/>
        </w:rPr>
        <w:t> </w:t>
      </w:r>
      <w:r>
        <w:rPr/>
        <w:t>of</w:t>
      </w:r>
      <w:r>
        <w:rPr>
          <w:spacing w:val="-3"/>
        </w:rPr>
        <w:t> </w:t>
      </w:r>
      <w:r>
        <w:rPr/>
        <w:t>managed</w:t>
      </w:r>
      <w:r>
        <w:rPr>
          <w:spacing w:val="-4"/>
        </w:rPr>
        <w:t> </w:t>
      </w:r>
      <w:r>
        <w:rPr/>
        <w:t>care plans, only in certain geographical areas of the Commonwealth.</w:t>
      </w:r>
    </w:p>
    <w:p>
      <w:pPr>
        <w:pStyle w:val="BodyText"/>
        <w:spacing w:before="10"/>
        <w:rPr>
          <w:sz w:val="20"/>
        </w:rPr>
      </w:pPr>
    </w:p>
    <w:p>
      <w:pPr>
        <w:pStyle w:val="BodyText"/>
        <w:ind w:left="1799" w:right="1239"/>
      </w:pPr>
      <w:bookmarkStart w:name="To enable Massachusetts to provide healt" w:id="9"/>
      <w:bookmarkEnd w:id="9"/>
      <w:r>
        <w:rPr/>
      </w:r>
      <w:r>
        <w:rPr/>
        <w:t>To</w:t>
      </w:r>
      <w:r>
        <w:rPr>
          <w:spacing w:val="-4"/>
        </w:rPr>
        <w:t> </w:t>
      </w:r>
      <w:r>
        <w:rPr/>
        <w:t>enable</w:t>
      </w:r>
      <w:r>
        <w:rPr>
          <w:spacing w:val="-5"/>
        </w:rPr>
        <w:t> </w:t>
      </w:r>
      <w:r>
        <w:rPr/>
        <w:t>Massachusetts</w:t>
      </w:r>
      <w:r>
        <w:rPr>
          <w:spacing w:val="-2"/>
        </w:rPr>
        <w:t> </w:t>
      </w:r>
      <w:r>
        <w:rPr/>
        <w:t>to</w:t>
      </w:r>
      <w:r>
        <w:rPr>
          <w:spacing w:val="-4"/>
        </w:rPr>
        <w:t> </w:t>
      </w:r>
      <w:r>
        <w:rPr/>
        <w:t>provide</w:t>
      </w:r>
      <w:r>
        <w:rPr>
          <w:spacing w:val="-5"/>
        </w:rPr>
        <w:t> </w:t>
      </w:r>
      <w:r>
        <w:rPr/>
        <w:t>health-related</w:t>
      </w:r>
      <w:r>
        <w:rPr>
          <w:spacing w:val="-2"/>
        </w:rPr>
        <w:t> </w:t>
      </w:r>
      <w:r>
        <w:rPr/>
        <w:t>social</w:t>
      </w:r>
      <w:r>
        <w:rPr>
          <w:spacing w:val="-4"/>
        </w:rPr>
        <w:t> </w:t>
      </w:r>
      <w:r>
        <w:rPr/>
        <w:t>needs</w:t>
      </w:r>
      <w:r>
        <w:rPr>
          <w:spacing w:val="-4"/>
        </w:rPr>
        <w:t> </w:t>
      </w:r>
      <w:r>
        <w:rPr/>
        <w:t>(HRSN)</w:t>
      </w:r>
      <w:r>
        <w:rPr>
          <w:spacing w:val="-5"/>
        </w:rPr>
        <w:t> </w:t>
      </w:r>
      <w:r>
        <w:rPr/>
        <w:t>services</w:t>
      </w:r>
      <w:r>
        <w:rPr>
          <w:spacing w:val="-4"/>
        </w:rPr>
        <w:t> </w:t>
      </w:r>
      <w:r>
        <w:rPr/>
        <w:t>or</w:t>
      </w:r>
      <w:r>
        <w:rPr>
          <w:spacing w:val="-5"/>
        </w:rPr>
        <w:t> </w:t>
      </w:r>
      <w:r>
        <w:rPr/>
        <w:t>certain types of HRSN services, only in certain geographical areas of the Commonwealth.</w:t>
      </w:r>
    </w:p>
    <w:p>
      <w:pPr>
        <w:pStyle w:val="BodyText"/>
        <w:spacing w:before="10"/>
        <w:rPr>
          <w:sz w:val="20"/>
        </w:rPr>
      </w:pPr>
    </w:p>
    <w:p>
      <w:pPr>
        <w:pStyle w:val="Heading5"/>
        <w:numPr>
          <w:ilvl w:val="0"/>
          <w:numId w:val="1"/>
        </w:numPr>
        <w:tabs>
          <w:tab w:pos="1799" w:val="left" w:leader="none"/>
          <w:tab w:pos="8361" w:val="left" w:leader="none"/>
          <w:tab w:pos="9643" w:val="left" w:leader="none"/>
        </w:tabs>
        <w:spacing w:line="240" w:lineRule="auto" w:before="0" w:after="0"/>
        <w:ind w:left="9643" w:right="1217" w:hanging="8204"/>
        <w:jc w:val="right"/>
      </w:pPr>
      <w:bookmarkStart w:name="2. Comparability/Amount, Duration, and S" w:id="10"/>
      <w:bookmarkEnd w:id="10"/>
      <w:r>
        <w:rPr>
          <w:b w:val="0"/>
        </w:rPr>
      </w:r>
      <w:r>
        <w:rPr/>
        <w:t>Comparability/Amount, Duration, and Scope</w:t>
        <w:tab/>
        <w:t>Sections</w:t>
      </w:r>
      <w:r>
        <w:rPr>
          <w:spacing w:val="-15"/>
        </w:rPr>
        <w:t> </w:t>
      </w:r>
      <w:r>
        <w:rPr/>
        <w:t>1902(a)(10)(B), </w:t>
      </w:r>
      <w:bookmarkStart w:name="1902(a)(17)" w:id="11"/>
      <w:bookmarkEnd w:id="11"/>
      <w:r>
        <w:rPr/>
      </w:r>
      <w:bookmarkStart w:name="To enable Massachusetts to implement pre" w:id="12"/>
      <w:bookmarkEnd w:id="12"/>
      <w:r>
        <w:rPr>
          <w:spacing w:val="-2"/>
        </w:rPr>
        <w:t>1902</w:t>
      </w:r>
      <w:r>
        <w:rPr>
          <w:spacing w:val="-2"/>
        </w:rPr>
        <w:t>(a)(17)</w:t>
      </w:r>
    </w:p>
    <w:p>
      <w:pPr>
        <w:pStyle w:val="BodyText"/>
        <w:spacing w:before="10"/>
        <w:rPr>
          <w:b/>
          <w:sz w:val="20"/>
        </w:rPr>
      </w:pPr>
    </w:p>
    <w:p>
      <w:pPr>
        <w:pStyle w:val="BodyText"/>
        <w:ind w:left="1799" w:right="1239"/>
      </w:pPr>
      <w:r>
        <w:rPr/>
        <w:t>To</w:t>
      </w:r>
      <w:r>
        <w:rPr>
          <w:spacing w:val="-3"/>
        </w:rPr>
        <w:t> </w:t>
      </w:r>
      <w:r>
        <w:rPr/>
        <w:t>enable</w:t>
      </w:r>
      <w:r>
        <w:rPr>
          <w:spacing w:val="-4"/>
        </w:rPr>
        <w:t> </w:t>
      </w:r>
      <w:r>
        <w:rPr/>
        <w:t>Massachusetts</w:t>
      </w:r>
      <w:r>
        <w:rPr>
          <w:spacing w:val="-1"/>
        </w:rPr>
        <w:t> </w:t>
      </w:r>
      <w:r>
        <w:rPr/>
        <w:t>to</w:t>
      </w:r>
      <w:r>
        <w:rPr>
          <w:spacing w:val="-3"/>
        </w:rPr>
        <w:t> </w:t>
      </w:r>
      <w:r>
        <w:rPr/>
        <w:t>implement</w:t>
      </w:r>
      <w:r>
        <w:rPr>
          <w:spacing w:val="-3"/>
        </w:rPr>
        <w:t> </w:t>
      </w:r>
      <w:r>
        <w:rPr/>
        <w:t>premiums</w:t>
      </w:r>
      <w:r>
        <w:rPr>
          <w:spacing w:val="-6"/>
        </w:rPr>
        <w:t> </w:t>
      </w:r>
      <w:r>
        <w:rPr/>
        <w:t>and</w:t>
      </w:r>
      <w:r>
        <w:rPr>
          <w:spacing w:val="-3"/>
        </w:rPr>
        <w:t> </w:t>
      </w:r>
      <w:r>
        <w:rPr/>
        <w:t>copayments</w:t>
      </w:r>
      <w:r>
        <w:rPr>
          <w:spacing w:val="-3"/>
        </w:rPr>
        <w:t> </w:t>
      </w:r>
      <w:r>
        <w:rPr/>
        <w:t>that</w:t>
      </w:r>
      <w:r>
        <w:rPr>
          <w:spacing w:val="-3"/>
        </w:rPr>
        <w:t> </w:t>
      </w:r>
      <w:r>
        <w:rPr/>
        <w:t>vary</w:t>
      </w:r>
      <w:r>
        <w:rPr>
          <w:spacing w:val="-6"/>
        </w:rPr>
        <w:t> </w:t>
      </w:r>
      <w:r>
        <w:rPr/>
        <w:t>by</w:t>
      </w:r>
      <w:r>
        <w:rPr>
          <w:spacing w:val="-8"/>
        </w:rPr>
        <w:t> </w:t>
      </w:r>
      <w:r>
        <w:rPr/>
        <w:t>eligibility group, income level and service, and delivery system as described in Attachment C.</w:t>
      </w:r>
    </w:p>
    <w:p>
      <w:pPr>
        <w:pStyle w:val="BodyText"/>
        <w:spacing w:before="10"/>
        <w:rPr>
          <w:sz w:val="20"/>
        </w:rPr>
      </w:pPr>
    </w:p>
    <w:p>
      <w:pPr>
        <w:pStyle w:val="BodyText"/>
        <w:spacing w:before="1"/>
        <w:ind w:left="1799" w:right="1222"/>
      </w:pPr>
      <w:bookmarkStart w:name="To the extent necessary to enable the Co" w:id="13"/>
      <w:bookmarkEnd w:id="13"/>
      <w:r>
        <w:rPr/>
      </w:r>
      <w:r>
        <w:rPr/>
        <w:t>To</w:t>
      </w:r>
      <w:r>
        <w:rPr>
          <w:spacing w:val="-2"/>
        </w:rPr>
        <w:t> </w:t>
      </w:r>
      <w:r>
        <w:rPr/>
        <w:t>the</w:t>
      </w:r>
      <w:r>
        <w:rPr>
          <w:spacing w:val="-3"/>
        </w:rPr>
        <w:t> </w:t>
      </w:r>
      <w:r>
        <w:rPr/>
        <w:t>extent</w:t>
      </w:r>
      <w:r>
        <w:rPr>
          <w:spacing w:val="-2"/>
        </w:rPr>
        <w:t> </w:t>
      </w:r>
      <w:r>
        <w:rPr/>
        <w:t>necessary</w:t>
      </w:r>
      <w:r>
        <w:rPr>
          <w:spacing w:val="-7"/>
        </w:rPr>
        <w:t> </w:t>
      </w:r>
      <w:r>
        <w:rPr/>
        <w:t>to</w:t>
      </w:r>
      <w:r>
        <w:rPr>
          <w:spacing w:val="-2"/>
        </w:rPr>
        <w:t> </w:t>
      </w:r>
      <w:r>
        <w:rPr/>
        <w:t>enable</w:t>
      </w:r>
      <w:r>
        <w:rPr>
          <w:spacing w:val="-3"/>
        </w:rPr>
        <w:t> </w:t>
      </w:r>
      <w:r>
        <w:rPr/>
        <w:t>the</w:t>
      </w:r>
      <w:r>
        <w:rPr>
          <w:spacing w:val="-3"/>
        </w:rPr>
        <w:t> </w:t>
      </w:r>
      <w:r>
        <w:rPr/>
        <w:t>Commonwealth</w:t>
      </w:r>
      <w:r>
        <w:rPr>
          <w:spacing w:val="-2"/>
        </w:rPr>
        <w:t> </w:t>
      </w:r>
      <w:r>
        <w:rPr/>
        <w:t>to</w:t>
      </w:r>
      <w:r>
        <w:rPr>
          <w:spacing w:val="-2"/>
        </w:rPr>
        <w:t> </w:t>
      </w:r>
      <w:r>
        <w:rPr/>
        <w:t>provide</w:t>
      </w:r>
      <w:r>
        <w:rPr>
          <w:spacing w:val="-3"/>
        </w:rPr>
        <w:t> </w:t>
      </w:r>
      <w:r>
        <w:rPr/>
        <w:t>benefits</w:t>
      </w:r>
      <w:r>
        <w:rPr>
          <w:spacing w:val="-2"/>
        </w:rPr>
        <w:t> </w:t>
      </w:r>
      <w:r>
        <w:rPr/>
        <w:t>that</w:t>
      </w:r>
      <w:r>
        <w:rPr>
          <w:spacing w:val="-2"/>
        </w:rPr>
        <w:t> </w:t>
      </w:r>
      <w:r>
        <w:rPr/>
        <w:t>vary</w:t>
      </w:r>
      <w:r>
        <w:rPr>
          <w:spacing w:val="-7"/>
        </w:rPr>
        <w:t> </w:t>
      </w:r>
      <w:r>
        <w:rPr/>
        <w:t>from</w:t>
      </w:r>
      <w:r>
        <w:rPr>
          <w:spacing w:val="-2"/>
        </w:rPr>
        <w:t> </w:t>
      </w:r>
      <w:r>
        <w:rPr/>
        <w:t>those specified in the State plan, as specified in Table 2, and which may not be available to any categorically needy individuals under the Medicaid state plan, or to any individuals in a statutory eligibility group.</w:t>
      </w:r>
    </w:p>
    <w:p>
      <w:pPr>
        <w:spacing w:after="0"/>
        <w:sectPr>
          <w:footerReference w:type="default" r:id="rId23"/>
          <w:pgSz w:w="12240" w:h="15840"/>
          <w:pgMar w:footer="998" w:header="0" w:top="1360" w:bottom="1180" w:left="0" w:right="220"/>
          <w:pgNumType w:start="1"/>
        </w:sectPr>
      </w:pPr>
    </w:p>
    <w:p>
      <w:pPr>
        <w:pStyle w:val="BodyText"/>
        <w:spacing w:before="79"/>
        <w:ind w:left="1800" w:right="1239"/>
      </w:pPr>
      <w:bookmarkStart w:name="To the extent necessary to enable the Co" w:id="14"/>
      <w:bookmarkEnd w:id="14"/>
      <w:r>
        <w:rPr/>
      </w:r>
      <w:r>
        <w:rPr/>
        <w:t>To</w:t>
      </w:r>
      <w:r>
        <w:rPr>
          <w:spacing w:val="-3"/>
        </w:rPr>
        <w:t> </w:t>
      </w:r>
      <w:r>
        <w:rPr/>
        <w:t>the</w:t>
      </w:r>
      <w:r>
        <w:rPr>
          <w:spacing w:val="-4"/>
        </w:rPr>
        <w:t> </w:t>
      </w:r>
      <w:r>
        <w:rPr/>
        <w:t>extent</w:t>
      </w:r>
      <w:r>
        <w:rPr>
          <w:spacing w:val="-3"/>
        </w:rPr>
        <w:t> </w:t>
      </w:r>
      <w:r>
        <w:rPr/>
        <w:t>necessary</w:t>
      </w:r>
      <w:r>
        <w:rPr>
          <w:spacing w:val="-7"/>
        </w:rPr>
        <w:t> </w:t>
      </w:r>
      <w:r>
        <w:rPr/>
        <w:t>to</w:t>
      </w:r>
      <w:r>
        <w:rPr>
          <w:spacing w:val="-3"/>
        </w:rPr>
        <w:t> </w:t>
      </w:r>
      <w:r>
        <w:rPr/>
        <w:t>enable</w:t>
      </w:r>
      <w:r>
        <w:rPr>
          <w:spacing w:val="-4"/>
        </w:rPr>
        <w:t> </w:t>
      </w:r>
      <w:r>
        <w:rPr/>
        <w:t>the</w:t>
      </w:r>
      <w:r>
        <w:rPr>
          <w:spacing w:val="-4"/>
        </w:rPr>
        <w:t> </w:t>
      </w:r>
      <w:r>
        <w:rPr/>
        <w:t>Commonwealth</w:t>
      </w:r>
      <w:r>
        <w:rPr>
          <w:spacing w:val="-3"/>
        </w:rPr>
        <w:t> </w:t>
      </w:r>
      <w:r>
        <w:rPr/>
        <w:t>to</w:t>
      </w:r>
      <w:r>
        <w:rPr>
          <w:spacing w:val="-3"/>
        </w:rPr>
        <w:t> </w:t>
      </w:r>
      <w:r>
        <w:rPr/>
        <w:t>provide</w:t>
      </w:r>
      <w:r>
        <w:rPr>
          <w:spacing w:val="-4"/>
        </w:rPr>
        <w:t> </w:t>
      </w:r>
      <w:r>
        <w:rPr/>
        <w:t>a</w:t>
      </w:r>
      <w:r>
        <w:rPr>
          <w:spacing w:val="-4"/>
        </w:rPr>
        <w:t> </w:t>
      </w:r>
      <w:r>
        <w:rPr/>
        <w:t>varying</w:t>
      </w:r>
      <w:r>
        <w:rPr>
          <w:spacing w:val="-3"/>
        </w:rPr>
        <w:t> </w:t>
      </w:r>
      <w:r>
        <w:rPr/>
        <w:t>amount,</w:t>
      </w:r>
      <w:r>
        <w:rPr>
          <w:spacing w:val="-3"/>
        </w:rPr>
        <w:t> </w:t>
      </w:r>
      <w:r>
        <w:rPr/>
        <w:t>duration, and scope of HRSN services to a subset of beneficiaries, depending on beneficiary needs identified through assessment, and/or their Medicaid delivery system.</w:t>
      </w:r>
    </w:p>
    <w:p>
      <w:pPr>
        <w:pStyle w:val="BodyText"/>
        <w:spacing w:before="10"/>
        <w:rPr>
          <w:sz w:val="20"/>
        </w:rPr>
      </w:pPr>
    </w:p>
    <w:p>
      <w:pPr>
        <w:pStyle w:val="Heading5"/>
        <w:numPr>
          <w:ilvl w:val="0"/>
          <w:numId w:val="1"/>
        </w:numPr>
        <w:tabs>
          <w:tab w:pos="1799" w:val="left" w:leader="none"/>
          <w:tab w:pos="7773" w:val="left" w:leader="none"/>
          <w:tab w:pos="8443" w:val="left" w:leader="none"/>
        </w:tabs>
        <w:spacing w:line="240" w:lineRule="auto" w:before="0" w:after="0"/>
        <w:ind w:left="7773" w:right="1218" w:hanging="6334"/>
        <w:jc w:val="right"/>
      </w:pPr>
      <w:bookmarkStart w:name="3. Eligibility Procedures and Standards " w:id="15"/>
      <w:bookmarkEnd w:id="15"/>
      <w:r>
        <w:rPr>
          <w:b w:val="0"/>
        </w:rPr>
      </w:r>
      <w:r>
        <w:rPr/>
        <w:t>Eligibility Procedures and Standards</w:t>
        <w:tab/>
        <w:tab/>
        <w:t>Section</w:t>
      </w:r>
      <w:r>
        <w:rPr>
          <w:spacing w:val="-15"/>
        </w:rPr>
        <w:t> </w:t>
      </w:r>
      <w:r>
        <w:rPr/>
        <w:t>1902(a)(10)(A), Section</w:t>
      </w:r>
      <w:r>
        <w:rPr>
          <w:spacing w:val="-15"/>
        </w:rPr>
        <w:t> </w:t>
      </w:r>
      <w:r>
        <w:rPr/>
        <w:t>1902(a)(10)(C)(i)-(iii), </w:t>
      </w:r>
      <w:bookmarkStart w:name="and Section 1902(a)(17)" w:id="16"/>
      <w:bookmarkEnd w:id="16"/>
      <w:r>
        <w:rPr/>
        <w:t>a</w:t>
      </w:r>
      <w:r>
        <w:rPr/>
        <w:t>nd Section 1902(a)(17)</w:t>
      </w:r>
    </w:p>
    <w:p>
      <w:pPr>
        <w:pStyle w:val="BodyText"/>
        <w:spacing w:before="10"/>
        <w:rPr>
          <w:b/>
          <w:sz w:val="20"/>
        </w:rPr>
      </w:pPr>
    </w:p>
    <w:p>
      <w:pPr>
        <w:pStyle w:val="BodyText"/>
        <w:ind w:left="1800" w:right="1239"/>
      </w:pPr>
      <w:bookmarkStart w:name="To enable Massachusetts to use streamlin" w:id="17"/>
      <w:bookmarkEnd w:id="17"/>
      <w:r>
        <w:rPr/>
      </w:r>
      <w:r>
        <w:rPr/>
        <w:t>To enable Massachusetts to use streamlined eligibility procedures including simplified eligibility</w:t>
      </w:r>
      <w:r>
        <w:rPr>
          <w:spacing w:val="-8"/>
        </w:rPr>
        <w:t> </w:t>
      </w:r>
      <w:r>
        <w:rPr/>
        <w:t>redeterminations</w:t>
      </w:r>
      <w:r>
        <w:rPr>
          <w:spacing w:val="-3"/>
        </w:rPr>
        <w:t> </w:t>
      </w:r>
      <w:r>
        <w:rPr/>
        <w:t>for</w:t>
      </w:r>
      <w:r>
        <w:rPr>
          <w:spacing w:val="-4"/>
        </w:rPr>
        <w:t> </w:t>
      </w:r>
      <w:r>
        <w:rPr/>
        <w:t>certain</w:t>
      </w:r>
      <w:r>
        <w:rPr>
          <w:spacing w:val="-3"/>
        </w:rPr>
        <w:t> </w:t>
      </w:r>
      <w:r>
        <w:rPr/>
        <w:t>individuals</w:t>
      </w:r>
      <w:r>
        <w:rPr>
          <w:spacing w:val="-3"/>
        </w:rPr>
        <w:t> </w:t>
      </w:r>
      <w:r>
        <w:rPr/>
        <w:t>who</w:t>
      </w:r>
      <w:r>
        <w:rPr>
          <w:spacing w:val="-3"/>
        </w:rPr>
        <w:t> </w:t>
      </w:r>
      <w:r>
        <w:rPr/>
        <w:t>attest</w:t>
      </w:r>
      <w:r>
        <w:rPr>
          <w:spacing w:val="-3"/>
        </w:rPr>
        <w:t> </w:t>
      </w:r>
      <w:r>
        <w:rPr/>
        <w:t>to</w:t>
      </w:r>
      <w:r>
        <w:rPr>
          <w:spacing w:val="-3"/>
        </w:rPr>
        <w:t> </w:t>
      </w:r>
      <w:r>
        <w:rPr/>
        <w:t>no</w:t>
      </w:r>
      <w:r>
        <w:rPr>
          <w:spacing w:val="-3"/>
        </w:rPr>
        <w:t> </w:t>
      </w:r>
      <w:r>
        <w:rPr/>
        <w:t>change</w:t>
      </w:r>
      <w:r>
        <w:rPr>
          <w:spacing w:val="-4"/>
        </w:rPr>
        <w:t> </w:t>
      </w:r>
      <w:r>
        <w:rPr/>
        <w:t>in</w:t>
      </w:r>
      <w:r>
        <w:rPr>
          <w:spacing w:val="-3"/>
        </w:rPr>
        <w:t> </w:t>
      </w:r>
      <w:r>
        <w:rPr/>
        <w:t>circumstances and streamlined redeterminations for children, parents, caretaker relatives, and childless </w:t>
      </w:r>
      <w:r>
        <w:rPr>
          <w:spacing w:val="-2"/>
        </w:rPr>
        <w:t>adults.</w:t>
      </w:r>
    </w:p>
    <w:p>
      <w:pPr>
        <w:pStyle w:val="BodyText"/>
        <w:spacing w:before="10"/>
        <w:rPr>
          <w:sz w:val="20"/>
        </w:rPr>
      </w:pPr>
    </w:p>
    <w:p>
      <w:pPr>
        <w:pStyle w:val="Heading5"/>
        <w:numPr>
          <w:ilvl w:val="0"/>
          <w:numId w:val="1"/>
        </w:numPr>
        <w:tabs>
          <w:tab w:pos="1799" w:val="left" w:leader="none"/>
          <w:tab w:pos="8051" w:val="left" w:leader="none"/>
          <w:tab w:pos="9026" w:val="left" w:leader="none"/>
        </w:tabs>
        <w:spacing w:line="240" w:lineRule="auto" w:before="0" w:after="0"/>
        <w:ind w:left="9026" w:right="1217" w:hanging="7587"/>
        <w:jc w:val="right"/>
      </w:pPr>
      <w:bookmarkStart w:name="4. Disproportionate Share Hospital (DSH)" w:id="18"/>
      <w:bookmarkEnd w:id="18"/>
      <w:r>
        <w:rPr>
          <w:b w:val="0"/>
        </w:rPr>
      </w:r>
      <w:r>
        <w:rPr/>
        <w:t>Disproportionate Share Hospital (DSH)</w:t>
        <w:tab/>
        <w:t>Section</w:t>
      </w:r>
      <w:r>
        <w:rPr>
          <w:spacing w:val="-15"/>
        </w:rPr>
        <w:t> </w:t>
      </w:r>
      <w:r>
        <w:rPr/>
        <w:t>1902(a)(13)</w:t>
      </w:r>
      <w:r>
        <w:rPr>
          <w:spacing w:val="-15"/>
        </w:rPr>
        <w:t> </w:t>
      </w:r>
      <w:r>
        <w:rPr/>
        <w:t>insofar as</w:t>
      </w:r>
      <w:r>
        <w:rPr>
          <w:spacing w:val="-15"/>
        </w:rPr>
        <w:t> </w:t>
      </w:r>
      <w:r>
        <w:rPr/>
        <w:t>it</w:t>
      </w:r>
      <w:r>
        <w:rPr>
          <w:spacing w:val="-15"/>
        </w:rPr>
        <w:t> </w:t>
      </w:r>
      <w:r>
        <w:rPr/>
        <w:t>incorporates Section 1923</w:t>
      </w:r>
    </w:p>
    <w:p>
      <w:pPr>
        <w:pStyle w:val="BodyText"/>
        <w:spacing w:before="10"/>
        <w:rPr>
          <w:b/>
          <w:sz w:val="20"/>
        </w:rPr>
      </w:pPr>
    </w:p>
    <w:p>
      <w:pPr>
        <w:pStyle w:val="BodyText"/>
        <w:ind w:left="1800" w:right="1239"/>
      </w:pPr>
      <w:bookmarkStart w:name="To exempt Massachusetts from making DSH " w:id="19"/>
      <w:bookmarkEnd w:id="19"/>
      <w:r>
        <w:rPr/>
      </w:r>
      <w:r>
        <w:rPr/>
        <w:t>To exempt Massachusetts from making DSH payments to hospitals which qualify as a Disproportionate Share Hospital in any fiscal year or part of a fiscal year in which Massachusetts is authorized to make provider payments from the Safety Net Care Pool (the amount</w:t>
      </w:r>
      <w:r>
        <w:rPr>
          <w:spacing w:val="-2"/>
        </w:rPr>
        <w:t> </w:t>
      </w:r>
      <w:r>
        <w:rPr/>
        <w:t>of</w:t>
      </w:r>
      <w:r>
        <w:rPr>
          <w:spacing w:val="-3"/>
        </w:rPr>
        <w:t> </w:t>
      </w:r>
      <w:r>
        <w:rPr/>
        <w:t>any</w:t>
      </w:r>
      <w:r>
        <w:rPr>
          <w:spacing w:val="-7"/>
        </w:rPr>
        <w:t> </w:t>
      </w:r>
      <w:r>
        <w:rPr/>
        <w:t>DSH</w:t>
      </w:r>
      <w:r>
        <w:rPr>
          <w:spacing w:val="-3"/>
        </w:rPr>
        <w:t> </w:t>
      </w:r>
      <w:r>
        <w:rPr/>
        <w:t>payments</w:t>
      </w:r>
      <w:r>
        <w:rPr>
          <w:spacing w:val="-2"/>
        </w:rPr>
        <w:t> </w:t>
      </w:r>
      <w:r>
        <w:rPr/>
        <w:t>made</w:t>
      </w:r>
      <w:r>
        <w:rPr>
          <w:spacing w:val="-3"/>
        </w:rPr>
        <w:t> </w:t>
      </w:r>
      <w:r>
        <w:rPr/>
        <w:t>during</w:t>
      </w:r>
      <w:r>
        <w:rPr>
          <w:spacing w:val="-5"/>
        </w:rPr>
        <w:t> </w:t>
      </w:r>
      <w:r>
        <w:rPr/>
        <w:t>a</w:t>
      </w:r>
      <w:r>
        <w:rPr>
          <w:spacing w:val="-3"/>
        </w:rPr>
        <w:t> </w:t>
      </w:r>
      <w:r>
        <w:rPr/>
        <w:t>partial</w:t>
      </w:r>
      <w:r>
        <w:rPr>
          <w:spacing w:val="-2"/>
        </w:rPr>
        <w:t> </w:t>
      </w:r>
      <w:r>
        <w:rPr/>
        <w:t>fiscal year</w:t>
      </w:r>
      <w:r>
        <w:rPr>
          <w:spacing w:val="-3"/>
        </w:rPr>
        <w:t> </w:t>
      </w:r>
      <w:r>
        <w:rPr/>
        <w:t>must</w:t>
      </w:r>
      <w:r>
        <w:rPr>
          <w:spacing w:val="-2"/>
        </w:rPr>
        <w:t> </w:t>
      </w:r>
      <w:r>
        <w:rPr/>
        <w:t>be</w:t>
      </w:r>
      <w:r>
        <w:rPr>
          <w:spacing w:val="-3"/>
        </w:rPr>
        <w:t> </w:t>
      </w:r>
      <w:r>
        <w:rPr/>
        <w:t>prorated</w:t>
      </w:r>
      <w:r>
        <w:rPr>
          <w:spacing w:val="-2"/>
        </w:rPr>
        <w:t> </w:t>
      </w:r>
      <w:r>
        <w:rPr/>
        <w:t>if</w:t>
      </w:r>
      <w:r>
        <w:rPr>
          <w:spacing w:val="-3"/>
        </w:rPr>
        <w:t> </w:t>
      </w:r>
      <w:r>
        <w:rPr/>
        <w:t>necessary so</w:t>
      </w:r>
      <w:r>
        <w:rPr>
          <w:spacing w:val="-2"/>
        </w:rPr>
        <w:t> </w:t>
      </w:r>
      <w:r>
        <w:rPr/>
        <w:t>that</w:t>
      </w:r>
      <w:r>
        <w:rPr>
          <w:spacing w:val="-2"/>
        </w:rPr>
        <w:t> </w:t>
      </w:r>
      <w:r>
        <w:rPr/>
        <w:t>DSH</w:t>
      </w:r>
      <w:r>
        <w:rPr>
          <w:spacing w:val="-3"/>
        </w:rPr>
        <w:t> </w:t>
      </w:r>
      <w:r>
        <w:rPr/>
        <w:t>payments</w:t>
      </w:r>
      <w:r>
        <w:rPr>
          <w:spacing w:val="-2"/>
        </w:rPr>
        <w:t> </w:t>
      </w:r>
      <w:r>
        <w:rPr/>
        <w:t>will</w:t>
      </w:r>
      <w:r>
        <w:rPr>
          <w:spacing w:val="-2"/>
        </w:rPr>
        <w:t> </w:t>
      </w:r>
      <w:r>
        <w:rPr/>
        <w:t>not</w:t>
      </w:r>
      <w:r>
        <w:rPr>
          <w:spacing w:val="-2"/>
        </w:rPr>
        <w:t> </w:t>
      </w:r>
      <w:r>
        <w:rPr/>
        <w:t>exceed</w:t>
      </w:r>
      <w:r>
        <w:rPr>
          <w:spacing w:val="-2"/>
        </w:rPr>
        <w:t> </w:t>
      </w:r>
      <w:r>
        <w:rPr/>
        <w:t>the</w:t>
      </w:r>
      <w:r>
        <w:rPr>
          <w:spacing w:val="-3"/>
        </w:rPr>
        <w:t> </w:t>
      </w:r>
      <w:r>
        <w:rPr/>
        <w:t>percentage</w:t>
      </w:r>
      <w:r>
        <w:rPr>
          <w:spacing w:val="-3"/>
        </w:rPr>
        <w:t> </w:t>
      </w:r>
      <w:r>
        <w:rPr/>
        <w:t>of</w:t>
      </w:r>
      <w:r>
        <w:rPr>
          <w:spacing w:val="-3"/>
        </w:rPr>
        <w:t> </w:t>
      </w:r>
      <w:r>
        <w:rPr/>
        <w:t>the</w:t>
      </w:r>
      <w:r>
        <w:rPr>
          <w:spacing w:val="-3"/>
        </w:rPr>
        <w:t> </w:t>
      </w:r>
      <w:r>
        <w:rPr/>
        <w:t>DSH</w:t>
      </w:r>
      <w:r>
        <w:rPr>
          <w:spacing w:val="-3"/>
        </w:rPr>
        <w:t> </w:t>
      </w:r>
      <w:r>
        <w:rPr/>
        <w:t>allotment corresponding</w:t>
      </w:r>
      <w:r>
        <w:rPr>
          <w:spacing w:val="-5"/>
        </w:rPr>
        <w:t> </w:t>
      </w:r>
      <w:r>
        <w:rPr/>
        <w:t>to the percentage of the federal fiscal year for which payment of DSH payments is required).</w:t>
      </w:r>
    </w:p>
    <w:p>
      <w:pPr>
        <w:pStyle w:val="BodyText"/>
        <w:spacing w:before="10"/>
        <w:rPr>
          <w:sz w:val="20"/>
        </w:rPr>
      </w:pPr>
    </w:p>
    <w:p>
      <w:pPr>
        <w:pStyle w:val="Heading5"/>
        <w:numPr>
          <w:ilvl w:val="0"/>
          <w:numId w:val="1"/>
        </w:numPr>
        <w:tabs>
          <w:tab w:pos="1800" w:val="left" w:leader="none"/>
          <w:tab w:pos="8834" w:val="left" w:leader="none"/>
        </w:tabs>
        <w:spacing w:line="240" w:lineRule="auto" w:before="0" w:after="0"/>
        <w:ind w:left="1800" w:right="0" w:hanging="360"/>
        <w:jc w:val="left"/>
      </w:pPr>
      <w:bookmarkStart w:name="5. Financial Responsibility/Deeming/Comp" w:id="20"/>
      <w:bookmarkEnd w:id="20"/>
      <w:r>
        <w:rPr>
          <w:b w:val="0"/>
        </w:rPr>
      </w:r>
      <w:r>
        <w:rPr/>
        <w:t>Financial</w:t>
      </w:r>
      <w:r>
        <w:rPr>
          <w:spacing w:val="-4"/>
        </w:rPr>
        <w:t> </w:t>
      </w:r>
      <w:r>
        <w:rPr>
          <w:spacing w:val="-2"/>
        </w:rPr>
        <w:t>Responsibility/Deeming/Comparability</w:t>
      </w:r>
      <w:r>
        <w:rPr/>
        <w:tab/>
        <w:t>Section</w:t>
      </w:r>
      <w:r>
        <w:rPr>
          <w:spacing w:val="-4"/>
        </w:rPr>
        <w:t> </w:t>
      </w:r>
      <w:r>
        <w:rPr>
          <w:spacing w:val="-2"/>
        </w:rPr>
        <w:t>1902(a)(17)</w:t>
      </w:r>
    </w:p>
    <w:p>
      <w:pPr>
        <w:pStyle w:val="BodyText"/>
        <w:spacing w:before="10"/>
        <w:rPr>
          <w:b/>
          <w:sz w:val="20"/>
        </w:rPr>
      </w:pPr>
    </w:p>
    <w:p>
      <w:pPr>
        <w:pStyle w:val="BodyText"/>
        <w:ind w:left="1800" w:right="1239"/>
      </w:pPr>
      <w:bookmarkStart w:name="To enable Massachusetts to use family in" w:id="21"/>
      <w:bookmarkEnd w:id="21"/>
      <w:r>
        <w:rPr/>
      </w:r>
      <w:r>
        <w:rPr/>
        <w:t>To enable Massachusetts to use family income and resources to determine an applicant’s eligibility</w:t>
      </w:r>
      <w:r>
        <w:rPr>
          <w:spacing w:val="-6"/>
        </w:rPr>
        <w:t> </w:t>
      </w:r>
      <w:r>
        <w:rPr/>
        <w:t>even</w:t>
      </w:r>
      <w:r>
        <w:rPr>
          <w:spacing w:val="-1"/>
        </w:rPr>
        <w:t> </w:t>
      </w:r>
      <w:r>
        <w:rPr/>
        <w:t>if</w:t>
      </w:r>
      <w:r>
        <w:rPr>
          <w:spacing w:val="-2"/>
        </w:rPr>
        <w:t> </w:t>
      </w:r>
      <w:r>
        <w:rPr/>
        <w:t>that</w:t>
      </w:r>
      <w:r>
        <w:rPr>
          <w:spacing w:val="-1"/>
        </w:rPr>
        <w:t> </w:t>
      </w:r>
      <w:r>
        <w:rPr/>
        <w:t>income</w:t>
      </w:r>
      <w:r>
        <w:rPr>
          <w:spacing w:val="-2"/>
        </w:rPr>
        <w:t> </w:t>
      </w:r>
      <w:r>
        <w:rPr/>
        <w:t>and</w:t>
      </w:r>
      <w:r>
        <w:rPr>
          <w:spacing w:val="-1"/>
        </w:rPr>
        <w:t> </w:t>
      </w:r>
      <w:r>
        <w:rPr/>
        <w:t>resources are</w:t>
      </w:r>
      <w:r>
        <w:rPr>
          <w:spacing w:val="-2"/>
        </w:rPr>
        <w:t> </w:t>
      </w:r>
      <w:r>
        <w:rPr/>
        <w:t>not</w:t>
      </w:r>
      <w:r>
        <w:rPr>
          <w:spacing w:val="-1"/>
        </w:rPr>
        <w:t> </w:t>
      </w:r>
      <w:r>
        <w:rPr/>
        <w:t>actually</w:t>
      </w:r>
      <w:r>
        <w:rPr>
          <w:spacing w:val="-6"/>
        </w:rPr>
        <w:t> </w:t>
      </w:r>
      <w:r>
        <w:rPr/>
        <w:t>made</w:t>
      </w:r>
      <w:r>
        <w:rPr>
          <w:spacing w:val="-2"/>
        </w:rPr>
        <w:t> </w:t>
      </w:r>
      <w:r>
        <w:rPr/>
        <w:t>available to</w:t>
      </w:r>
      <w:r>
        <w:rPr>
          <w:spacing w:val="-1"/>
        </w:rPr>
        <w:t> </w:t>
      </w:r>
      <w:r>
        <w:rPr/>
        <w:t>the</w:t>
      </w:r>
      <w:r>
        <w:rPr>
          <w:spacing w:val="-2"/>
        </w:rPr>
        <w:t> </w:t>
      </w:r>
      <w:r>
        <w:rPr/>
        <w:t>applicant, and</w:t>
      </w:r>
      <w:r>
        <w:rPr>
          <w:spacing w:val="-2"/>
        </w:rPr>
        <w:t> </w:t>
      </w:r>
      <w:r>
        <w:rPr/>
        <w:t>to</w:t>
      </w:r>
      <w:r>
        <w:rPr>
          <w:spacing w:val="-2"/>
        </w:rPr>
        <w:t> </w:t>
      </w:r>
      <w:r>
        <w:rPr/>
        <w:t>enable</w:t>
      </w:r>
      <w:r>
        <w:rPr>
          <w:spacing w:val="-3"/>
        </w:rPr>
        <w:t> </w:t>
      </w:r>
      <w:r>
        <w:rPr/>
        <w:t>Massachusetts</w:t>
      </w:r>
      <w:r>
        <w:rPr>
          <w:spacing w:val="-2"/>
        </w:rPr>
        <w:t> </w:t>
      </w:r>
      <w:r>
        <w:rPr/>
        <w:t>to</w:t>
      </w:r>
      <w:r>
        <w:rPr>
          <w:spacing w:val="-2"/>
        </w:rPr>
        <w:t> </w:t>
      </w:r>
      <w:r>
        <w:rPr/>
        <w:t>deem</w:t>
      </w:r>
      <w:r>
        <w:rPr>
          <w:spacing w:val="-2"/>
        </w:rPr>
        <w:t> </w:t>
      </w:r>
      <w:r>
        <w:rPr/>
        <w:t>income</w:t>
      </w:r>
      <w:r>
        <w:rPr>
          <w:spacing w:val="-3"/>
        </w:rPr>
        <w:t> </w:t>
      </w:r>
      <w:r>
        <w:rPr/>
        <w:t>from any</w:t>
      </w:r>
      <w:r>
        <w:rPr>
          <w:spacing w:val="-7"/>
        </w:rPr>
        <w:t> </w:t>
      </w:r>
      <w:r>
        <w:rPr/>
        <w:t>member</w:t>
      </w:r>
      <w:r>
        <w:rPr>
          <w:spacing w:val="-3"/>
        </w:rPr>
        <w:t> </w:t>
      </w:r>
      <w:r>
        <w:rPr/>
        <w:t>of</w:t>
      </w:r>
      <w:r>
        <w:rPr>
          <w:spacing w:val="-3"/>
        </w:rPr>
        <w:t> </w:t>
      </w:r>
      <w:r>
        <w:rPr/>
        <w:t>the</w:t>
      </w:r>
      <w:r>
        <w:rPr>
          <w:spacing w:val="-3"/>
        </w:rPr>
        <w:t> </w:t>
      </w:r>
      <w:r>
        <w:rPr/>
        <w:t>family</w:t>
      </w:r>
      <w:r>
        <w:rPr>
          <w:spacing w:val="-5"/>
        </w:rPr>
        <w:t> </w:t>
      </w:r>
      <w:r>
        <w:rPr/>
        <w:t>unit</w:t>
      </w:r>
      <w:r>
        <w:rPr>
          <w:spacing w:val="-2"/>
        </w:rPr>
        <w:t> </w:t>
      </w:r>
      <w:r>
        <w:rPr/>
        <w:t>(including any Medicaid-eligible member) for purposes of determining income.</w:t>
      </w:r>
    </w:p>
    <w:p>
      <w:pPr>
        <w:pStyle w:val="BodyText"/>
        <w:spacing w:before="10"/>
        <w:rPr>
          <w:sz w:val="20"/>
        </w:rPr>
      </w:pPr>
    </w:p>
    <w:p>
      <w:pPr>
        <w:pStyle w:val="BodyText"/>
        <w:spacing w:before="1"/>
        <w:ind w:left="1800" w:right="1239"/>
      </w:pPr>
      <w:bookmarkStart w:name="To enable Massachusetts to use MAGI-like" w:id="22"/>
      <w:bookmarkEnd w:id="22"/>
      <w:r>
        <w:rPr/>
      </w:r>
      <w:r>
        <w:rPr/>
        <w:t>To</w:t>
      </w:r>
      <w:r>
        <w:rPr>
          <w:spacing w:val="-4"/>
        </w:rPr>
        <w:t> </w:t>
      </w:r>
      <w:r>
        <w:rPr/>
        <w:t>enable</w:t>
      </w:r>
      <w:r>
        <w:rPr>
          <w:spacing w:val="-5"/>
        </w:rPr>
        <w:t> </w:t>
      </w:r>
      <w:r>
        <w:rPr/>
        <w:t>Massachusetts</w:t>
      </w:r>
      <w:r>
        <w:rPr>
          <w:spacing w:val="-2"/>
        </w:rPr>
        <w:t> </w:t>
      </w:r>
      <w:r>
        <w:rPr/>
        <w:t>to</w:t>
      </w:r>
      <w:r>
        <w:rPr>
          <w:spacing w:val="-4"/>
        </w:rPr>
        <w:t> </w:t>
      </w:r>
      <w:r>
        <w:rPr/>
        <w:t>use</w:t>
      </w:r>
      <w:r>
        <w:rPr>
          <w:spacing w:val="-5"/>
        </w:rPr>
        <w:t> </w:t>
      </w:r>
      <w:r>
        <w:rPr/>
        <w:t>MAGI-like</w:t>
      </w:r>
      <w:r>
        <w:rPr>
          <w:spacing w:val="-5"/>
        </w:rPr>
        <w:t> </w:t>
      </w:r>
      <w:r>
        <w:rPr/>
        <w:t>financial</w:t>
      </w:r>
      <w:r>
        <w:rPr>
          <w:spacing w:val="-4"/>
        </w:rPr>
        <w:t> </w:t>
      </w:r>
      <w:r>
        <w:rPr/>
        <w:t>eligibility</w:t>
      </w:r>
      <w:r>
        <w:rPr>
          <w:spacing w:val="-9"/>
        </w:rPr>
        <w:t> </w:t>
      </w:r>
      <w:r>
        <w:rPr/>
        <w:t>determination</w:t>
      </w:r>
      <w:r>
        <w:rPr>
          <w:spacing w:val="-4"/>
        </w:rPr>
        <w:t> </w:t>
      </w:r>
      <w:r>
        <w:rPr/>
        <w:t>methodologies for disabled adults in determining eligibility for MassHealth Standard and CommonHealth.</w:t>
      </w:r>
    </w:p>
    <w:p>
      <w:pPr>
        <w:pStyle w:val="BodyText"/>
        <w:spacing w:before="9"/>
        <w:rPr>
          <w:sz w:val="20"/>
        </w:rPr>
      </w:pPr>
    </w:p>
    <w:p>
      <w:pPr>
        <w:pStyle w:val="BodyText"/>
        <w:spacing w:before="1"/>
        <w:ind w:left="1800" w:right="1315"/>
      </w:pPr>
      <w:bookmarkStart w:name="To enable Massachusetts to treat the sta" w:id="23"/>
      <w:bookmarkEnd w:id="23"/>
      <w:r>
        <w:rPr/>
      </w:r>
      <w:r>
        <w:rPr/>
        <w:t>To enable Massachusetts to treat the state veteran annuity as non-countable income in making</w:t>
      </w:r>
      <w:r>
        <w:rPr>
          <w:spacing w:val="-5"/>
        </w:rPr>
        <w:t> </w:t>
      </w:r>
      <w:r>
        <w:rPr/>
        <w:t>any</w:t>
      </w:r>
      <w:r>
        <w:rPr>
          <w:spacing w:val="-5"/>
        </w:rPr>
        <w:t> </w:t>
      </w:r>
      <w:r>
        <w:rPr/>
        <w:t>calculations</w:t>
      </w:r>
      <w:r>
        <w:rPr>
          <w:spacing w:val="-2"/>
        </w:rPr>
        <w:t> </w:t>
      </w:r>
      <w:r>
        <w:rPr/>
        <w:t>related</w:t>
      </w:r>
      <w:r>
        <w:rPr>
          <w:spacing w:val="-2"/>
        </w:rPr>
        <w:t> </w:t>
      </w:r>
      <w:r>
        <w:rPr/>
        <w:t>to</w:t>
      </w:r>
      <w:r>
        <w:rPr>
          <w:spacing w:val="-3"/>
        </w:rPr>
        <w:t> </w:t>
      </w:r>
      <w:r>
        <w:rPr/>
        <w:t>the</w:t>
      </w:r>
      <w:r>
        <w:rPr>
          <w:spacing w:val="-3"/>
        </w:rPr>
        <w:t> </w:t>
      </w:r>
      <w:r>
        <w:rPr/>
        <w:t>post-eligibility</w:t>
      </w:r>
      <w:r>
        <w:rPr>
          <w:spacing w:val="-10"/>
        </w:rPr>
        <w:t> </w:t>
      </w:r>
      <w:r>
        <w:rPr/>
        <w:t>treatment</w:t>
      </w:r>
      <w:r>
        <w:rPr>
          <w:spacing w:val="-2"/>
        </w:rPr>
        <w:t> </w:t>
      </w:r>
      <w:r>
        <w:rPr/>
        <w:t>of</w:t>
      </w:r>
      <w:r>
        <w:rPr>
          <w:spacing w:val="-3"/>
        </w:rPr>
        <w:t> </w:t>
      </w:r>
      <w:r>
        <w:rPr/>
        <w:t>income</w:t>
      </w:r>
      <w:r>
        <w:rPr>
          <w:spacing w:val="-3"/>
        </w:rPr>
        <w:t> </w:t>
      </w:r>
      <w:r>
        <w:rPr/>
        <w:t>(PETI)</w:t>
      </w:r>
      <w:r>
        <w:rPr>
          <w:spacing w:val="-1"/>
        </w:rPr>
        <w:t> </w:t>
      </w:r>
      <w:r>
        <w:rPr/>
        <w:t>rules</w:t>
      </w:r>
      <w:r>
        <w:rPr>
          <w:spacing w:val="-2"/>
        </w:rPr>
        <w:t> </w:t>
      </w:r>
      <w:r>
        <w:rPr/>
        <w:t>and other forms of cost sharing.</w:t>
      </w:r>
    </w:p>
    <w:p>
      <w:pPr>
        <w:pStyle w:val="BodyText"/>
        <w:spacing w:before="10"/>
        <w:rPr>
          <w:sz w:val="20"/>
        </w:rPr>
      </w:pPr>
    </w:p>
    <w:p>
      <w:pPr>
        <w:pStyle w:val="Heading5"/>
        <w:numPr>
          <w:ilvl w:val="0"/>
          <w:numId w:val="1"/>
        </w:numPr>
        <w:tabs>
          <w:tab w:pos="1800" w:val="left" w:leader="none"/>
          <w:tab w:pos="8500" w:val="left" w:leader="none"/>
        </w:tabs>
        <w:spacing w:line="240" w:lineRule="auto" w:before="0" w:after="0"/>
        <w:ind w:left="1800" w:right="0" w:hanging="360"/>
        <w:jc w:val="left"/>
      </w:pPr>
      <w:bookmarkStart w:name="6. Freedom of Choice  Section 1902(a)(23" w:id="24"/>
      <w:bookmarkEnd w:id="24"/>
      <w:r>
        <w:rPr>
          <w:b w:val="0"/>
        </w:rPr>
      </w:r>
      <w:r>
        <w:rPr/>
        <w:t>Freedom</w:t>
      </w:r>
      <w:r>
        <w:rPr>
          <w:spacing w:val="-5"/>
        </w:rPr>
        <w:t> </w:t>
      </w:r>
      <w:r>
        <w:rPr/>
        <w:t>of </w:t>
      </w:r>
      <w:r>
        <w:rPr>
          <w:spacing w:val="-2"/>
        </w:rPr>
        <w:t>Choice</w:t>
      </w:r>
      <w:r>
        <w:rPr/>
        <w:tab/>
        <w:t>Section</w:t>
      </w:r>
      <w:r>
        <w:rPr>
          <w:spacing w:val="-6"/>
        </w:rPr>
        <w:t> </w:t>
      </w:r>
      <w:r>
        <w:rPr>
          <w:spacing w:val="-2"/>
        </w:rPr>
        <w:t>1902(a)(23)(A)</w:t>
      </w:r>
    </w:p>
    <w:p>
      <w:pPr>
        <w:pStyle w:val="BodyText"/>
        <w:spacing w:before="10"/>
        <w:rPr>
          <w:b/>
          <w:sz w:val="20"/>
        </w:rPr>
      </w:pPr>
    </w:p>
    <w:p>
      <w:pPr>
        <w:pStyle w:val="BodyText"/>
        <w:ind w:left="1800" w:right="1239"/>
      </w:pPr>
      <w:bookmarkStart w:name="To enable Massachusetts to restrict free" w:id="25"/>
      <w:bookmarkEnd w:id="25"/>
      <w:r>
        <w:rPr/>
      </w:r>
      <w:r>
        <w:rPr/>
        <w:t>To enable Massachusetts to restrict freedom of choice of provider for individuals in the demonstration,</w:t>
      </w:r>
      <w:r>
        <w:rPr>
          <w:spacing w:val="-4"/>
        </w:rPr>
        <w:t> </w:t>
      </w:r>
      <w:r>
        <w:rPr/>
        <w:t>including</w:t>
      </w:r>
      <w:r>
        <w:rPr>
          <w:spacing w:val="-4"/>
        </w:rPr>
        <w:t> </w:t>
      </w:r>
      <w:r>
        <w:rPr/>
        <w:t>to</w:t>
      </w:r>
      <w:r>
        <w:rPr>
          <w:spacing w:val="-4"/>
        </w:rPr>
        <w:t> </w:t>
      </w:r>
      <w:r>
        <w:rPr/>
        <w:t>require</w:t>
      </w:r>
      <w:r>
        <w:rPr>
          <w:spacing w:val="-5"/>
        </w:rPr>
        <w:t> </w:t>
      </w:r>
      <w:r>
        <w:rPr/>
        <w:t>managed</w:t>
      </w:r>
      <w:r>
        <w:rPr>
          <w:spacing w:val="-4"/>
        </w:rPr>
        <w:t> </w:t>
      </w:r>
      <w:r>
        <w:rPr/>
        <w:t>care</w:t>
      </w:r>
      <w:r>
        <w:rPr>
          <w:spacing w:val="-3"/>
        </w:rPr>
        <w:t> </w:t>
      </w:r>
      <w:r>
        <w:rPr/>
        <w:t>enrollment</w:t>
      </w:r>
      <w:r>
        <w:rPr>
          <w:spacing w:val="-4"/>
        </w:rPr>
        <w:t> </w:t>
      </w:r>
      <w:r>
        <w:rPr/>
        <w:t>for</w:t>
      </w:r>
      <w:r>
        <w:rPr>
          <w:spacing w:val="-5"/>
        </w:rPr>
        <w:t> </w:t>
      </w:r>
      <w:r>
        <w:rPr/>
        <w:t>certain</w:t>
      </w:r>
      <w:r>
        <w:rPr>
          <w:spacing w:val="-4"/>
        </w:rPr>
        <w:t> </w:t>
      </w:r>
      <w:r>
        <w:rPr/>
        <w:t>populations</w:t>
      </w:r>
      <w:r>
        <w:rPr>
          <w:spacing w:val="-4"/>
        </w:rPr>
        <w:t> </w:t>
      </w:r>
      <w:r>
        <w:rPr/>
        <w:t>exempt from mandatory managed care under section 1932(a)(2).</w:t>
      </w:r>
      <w:r>
        <w:rPr>
          <w:spacing w:val="40"/>
        </w:rPr>
        <w:t> </w:t>
      </w:r>
      <w:r>
        <w:rPr/>
        <w:t>Freedom of choice of family planning provider will not be restricted.</w:t>
      </w:r>
    </w:p>
    <w:p>
      <w:pPr>
        <w:pStyle w:val="BodyText"/>
        <w:spacing w:before="10"/>
        <w:rPr>
          <w:sz w:val="20"/>
        </w:rPr>
      </w:pPr>
    </w:p>
    <w:p>
      <w:pPr>
        <w:pStyle w:val="BodyText"/>
        <w:ind w:left="1800" w:right="1239"/>
      </w:pPr>
      <w:bookmarkStart w:name="To limit primary care clinician plan (PC" w:id="26"/>
      <w:bookmarkEnd w:id="26"/>
      <w:r>
        <w:rPr/>
      </w:r>
      <w:r>
        <w:rPr/>
        <w:t>To</w:t>
      </w:r>
      <w:r>
        <w:rPr>
          <w:spacing w:val="-2"/>
        </w:rPr>
        <w:t> </w:t>
      </w:r>
      <w:r>
        <w:rPr/>
        <w:t>limit</w:t>
      </w:r>
      <w:r>
        <w:rPr>
          <w:spacing w:val="-2"/>
        </w:rPr>
        <w:t> </w:t>
      </w:r>
      <w:r>
        <w:rPr/>
        <w:t>primary</w:t>
      </w:r>
      <w:r>
        <w:rPr>
          <w:spacing w:val="-7"/>
        </w:rPr>
        <w:t> </w:t>
      </w:r>
      <w:r>
        <w:rPr/>
        <w:t>care</w:t>
      </w:r>
      <w:r>
        <w:rPr>
          <w:spacing w:val="-3"/>
        </w:rPr>
        <w:t> </w:t>
      </w:r>
      <w:r>
        <w:rPr/>
        <w:t>clinician</w:t>
      </w:r>
      <w:r>
        <w:rPr>
          <w:spacing w:val="-2"/>
        </w:rPr>
        <w:t> </w:t>
      </w:r>
      <w:r>
        <w:rPr/>
        <w:t>plan</w:t>
      </w:r>
      <w:r>
        <w:rPr>
          <w:spacing w:val="-2"/>
        </w:rPr>
        <w:t> </w:t>
      </w:r>
      <w:r>
        <w:rPr/>
        <w:t>(PCC)</w:t>
      </w:r>
      <w:r>
        <w:rPr>
          <w:spacing w:val="-3"/>
        </w:rPr>
        <w:t> </w:t>
      </w:r>
      <w:r>
        <w:rPr/>
        <w:t>plan</w:t>
      </w:r>
      <w:r>
        <w:rPr>
          <w:spacing w:val="-2"/>
        </w:rPr>
        <w:t> </w:t>
      </w:r>
      <w:r>
        <w:rPr/>
        <w:t>and</w:t>
      </w:r>
      <w:r>
        <w:rPr>
          <w:spacing w:val="-2"/>
        </w:rPr>
        <w:t> </w:t>
      </w:r>
      <w:r>
        <w:rPr/>
        <w:t>Primary</w:t>
      </w:r>
      <w:r>
        <w:rPr>
          <w:spacing w:val="-7"/>
        </w:rPr>
        <w:t> </w:t>
      </w:r>
      <w:r>
        <w:rPr/>
        <w:t>Care</w:t>
      </w:r>
      <w:r>
        <w:rPr>
          <w:spacing w:val="-3"/>
        </w:rPr>
        <w:t> </w:t>
      </w:r>
      <w:r>
        <w:rPr/>
        <w:t>ACO</w:t>
      </w:r>
      <w:r>
        <w:rPr>
          <w:spacing w:val="-1"/>
        </w:rPr>
        <w:t> </w:t>
      </w:r>
      <w:r>
        <w:rPr/>
        <w:t>enrollees</w:t>
      </w:r>
      <w:r>
        <w:rPr>
          <w:spacing w:val="-2"/>
        </w:rPr>
        <w:t> </w:t>
      </w:r>
      <w:r>
        <w:rPr/>
        <w:t>to</w:t>
      </w:r>
      <w:r>
        <w:rPr>
          <w:spacing w:val="-2"/>
        </w:rPr>
        <w:t> </w:t>
      </w:r>
      <w:r>
        <w:rPr/>
        <w:t>a</w:t>
      </w:r>
      <w:r>
        <w:rPr>
          <w:spacing w:val="-3"/>
        </w:rPr>
        <w:t> </w:t>
      </w:r>
      <w:r>
        <w:rPr/>
        <w:t>single Prepaid Insurance Health Plan (PIHP) for behavioral health services, to limit enrollees who are clients of the Departments of Children and Families or Youth Services and who do not</w:t>
      </w:r>
    </w:p>
    <w:p>
      <w:pPr>
        <w:spacing w:after="0"/>
        <w:sectPr>
          <w:pgSz w:w="12240" w:h="15840"/>
          <w:pgMar w:header="0" w:footer="998" w:top="1360" w:bottom="1180" w:left="0" w:right="220"/>
        </w:sectPr>
      </w:pPr>
    </w:p>
    <w:p>
      <w:pPr>
        <w:pStyle w:val="BodyText"/>
        <w:spacing w:before="79"/>
        <w:ind w:left="1800" w:right="1239"/>
      </w:pPr>
      <w:r>
        <w:rPr/>
        <w:t>choose a managed care option to the single PIHP for behavioral health services, requiring children</w:t>
      </w:r>
      <w:r>
        <w:rPr>
          <w:spacing w:val="-3"/>
        </w:rPr>
        <w:t> </w:t>
      </w:r>
      <w:r>
        <w:rPr/>
        <w:t>with</w:t>
      </w:r>
      <w:r>
        <w:rPr>
          <w:spacing w:val="-3"/>
        </w:rPr>
        <w:t> </w:t>
      </w:r>
      <w:r>
        <w:rPr/>
        <w:t>third</w:t>
      </w:r>
      <w:r>
        <w:rPr>
          <w:spacing w:val="-3"/>
        </w:rPr>
        <w:t> </w:t>
      </w:r>
      <w:r>
        <w:rPr/>
        <w:t>party</w:t>
      </w:r>
      <w:r>
        <w:rPr>
          <w:spacing w:val="-6"/>
        </w:rPr>
        <w:t> </w:t>
      </w:r>
      <w:r>
        <w:rPr/>
        <w:t>insurance</w:t>
      </w:r>
      <w:r>
        <w:rPr>
          <w:spacing w:val="-4"/>
        </w:rPr>
        <w:t> </w:t>
      </w:r>
      <w:r>
        <w:rPr/>
        <w:t>to</w:t>
      </w:r>
      <w:r>
        <w:rPr>
          <w:spacing w:val="-3"/>
        </w:rPr>
        <w:t> </w:t>
      </w:r>
      <w:r>
        <w:rPr/>
        <w:t>enroll</w:t>
      </w:r>
      <w:r>
        <w:rPr>
          <w:spacing w:val="-3"/>
        </w:rPr>
        <w:t> </w:t>
      </w:r>
      <w:r>
        <w:rPr/>
        <w:t>into</w:t>
      </w:r>
      <w:r>
        <w:rPr>
          <w:spacing w:val="-3"/>
        </w:rPr>
        <w:t> </w:t>
      </w:r>
      <w:r>
        <w:rPr/>
        <w:t>a</w:t>
      </w:r>
      <w:r>
        <w:rPr>
          <w:spacing w:val="-4"/>
        </w:rPr>
        <w:t> </w:t>
      </w:r>
      <w:r>
        <w:rPr/>
        <w:t>single</w:t>
      </w:r>
      <w:r>
        <w:rPr>
          <w:spacing w:val="-4"/>
        </w:rPr>
        <w:t> </w:t>
      </w:r>
      <w:r>
        <w:rPr/>
        <w:t>PIHP</w:t>
      </w:r>
      <w:r>
        <w:rPr>
          <w:spacing w:val="-3"/>
        </w:rPr>
        <w:t> </w:t>
      </w:r>
      <w:r>
        <w:rPr/>
        <w:t>for</w:t>
      </w:r>
      <w:r>
        <w:rPr>
          <w:spacing w:val="-4"/>
        </w:rPr>
        <w:t> </w:t>
      </w:r>
      <w:r>
        <w:rPr/>
        <w:t>behavioral</w:t>
      </w:r>
      <w:r>
        <w:rPr>
          <w:spacing w:val="-3"/>
        </w:rPr>
        <w:t> </w:t>
      </w:r>
      <w:r>
        <w:rPr/>
        <w:t>health</w:t>
      </w:r>
      <w:r>
        <w:rPr>
          <w:spacing w:val="-3"/>
        </w:rPr>
        <w:t> </w:t>
      </w:r>
      <w:r>
        <w:rPr/>
        <w:t>services; in addition to limiting</w:t>
      </w:r>
      <w:r>
        <w:rPr>
          <w:spacing w:val="-3"/>
        </w:rPr>
        <w:t> </w:t>
      </w:r>
      <w:r>
        <w:rPr/>
        <w:t>the</w:t>
      </w:r>
      <w:r>
        <w:rPr>
          <w:spacing w:val="-1"/>
        </w:rPr>
        <w:t> </w:t>
      </w:r>
      <w:r>
        <w:rPr/>
        <w:t>number</w:t>
      </w:r>
      <w:r>
        <w:rPr>
          <w:spacing w:val="-1"/>
        </w:rPr>
        <w:t> </w:t>
      </w:r>
      <w:r>
        <w:rPr/>
        <w:t>of</w:t>
      </w:r>
      <w:r>
        <w:rPr>
          <w:spacing w:val="-1"/>
        </w:rPr>
        <w:t> </w:t>
      </w:r>
      <w:r>
        <w:rPr/>
        <w:t>providers within any</w:t>
      </w:r>
      <w:r>
        <w:rPr>
          <w:spacing w:val="-5"/>
        </w:rPr>
        <w:t> </w:t>
      </w:r>
      <w:r>
        <w:rPr/>
        <w:t>provider</w:t>
      </w:r>
      <w:r>
        <w:rPr>
          <w:spacing w:val="-1"/>
        </w:rPr>
        <w:t> </w:t>
      </w:r>
      <w:r>
        <w:rPr/>
        <w:t>type as needed to support improved care integration for MassHealth enrollees, and to permit the state to limit the number of providers who provide Anti-Hemophilia Factor drugs.</w:t>
      </w:r>
    </w:p>
    <w:p>
      <w:pPr>
        <w:pStyle w:val="BodyText"/>
        <w:spacing w:before="10"/>
        <w:rPr>
          <w:sz w:val="20"/>
        </w:rPr>
      </w:pPr>
    </w:p>
    <w:p>
      <w:pPr>
        <w:pStyle w:val="BodyText"/>
        <w:ind w:left="1799" w:right="1239"/>
      </w:pPr>
      <w:bookmarkStart w:name="To permit the state to mandate that Medi" w:id="27"/>
      <w:bookmarkEnd w:id="27"/>
      <w:r>
        <w:rPr/>
      </w:r>
      <w:r>
        <w:rPr/>
        <w:t>To permit the state to mandate that Medicaid eligibles with access to student health plans enroll into the plan, to the extent that it is determined to be cost effective, as a condition of eligibility</w:t>
      </w:r>
      <w:r>
        <w:rPr>
          <w:spacing w:val="-7"/>
        </w:rPr>
        <w:t> </w:t>
      </w:r>
      <w:r>
        <w:rPr/>
        <w:t>as</w:t>
      </w:r>
      <w:r>
        <w:rPr>
          <w:spacing w:val="-2"/>
        </w:rPr>
        <w:t> </w:t>
      </w:r>
      <w:r>
        <w:rPr/>
        <w:t>outlined</w:t>
      </w:r>
      <w:r>
        <w:rPr>
          <w:spacing w:val="-2"/>
        </w:rPr>
        <w:t> </w:t>
      </w:r>
      <w:r>
        <w:rPr/>
        <w:t>in</w:t>
      </w:r>
      <w:r>
        <w:rPr>
          <w:spacing w:val="-2"/>
        </w:rPr>
        <w:t> </w:t>
      </w:r>
      <w:r>
        <w:rPr/>
        <w:t>section</w:t>
      </w:r>
      <w:r>
        <w:rPr>
          <w:spacing w:val="-2"/>
        </w:rPr>
        <w:t> </w:t>
      </w:r>
      <w:r>
        <w:rPr/>
        <w:t>4</w:t>
      </w:r>
      <w:r>
        <w:rPr>
          <w:spacing w:val="-2"/>
        </w:rPr>
        <w:t> </w:t>
      </w:r>
      <w:r>
        <w:rPr/>
        <w:t>and</w:t>
      </w:r>
      <w:r>
        <w:rPr>
          <w:spacing w:val="-2"/>
        </w:rPr>
        <w:t> </w:t>
      </w:r>
      <w:r>
        <w:rPr/>
        <w:t>Table</w:t>
      </w:r>
      <w:r>
        <w:rPr>
          <w:spacing w:val="-3"/>
        </w:rPr>
        <w:t> </w:t>
      </w:r>
      <w:r>
        <w:rPr/>
        <w:t>9.</w:t>
      </w:r>
      <w:r>
        <w:rPr>
          <w:spacing w:val="40"/>
        </w:rPr>
        <w:t> </w:t>
      </w:r>
      <w:r>
        <w:rPr/>
        <w:t>No waiver</w:t>
      </w:r>
      <w:r>
        <w:rPr>
          <w:spacing w:val="-3"/>
        </w:rPr>
        <w:t> </w:t>
      </w:r>
      <w:r>
        <w:rPr/>
        <w:t>of</w:t>
      </w:r>
      <w:r>
        <w:rPr>
          <w:spacing w:val="-1"/>
        </w:rPr>
        <w:t> </w:t>
      </w:r>
      <w:r>
        <w:rPr/>
        <w:t>freedom</w:t>
      </w:r>
      <w:r>
        <w:rPr>
          <w:spacing w:val="-2"/>
        </w:rPr>
        <w:t> </w:t>
      </w:r>
      <w:r>
        <w:rPr/>
        <w:t>of</w:t>
      </w:r>
      <w:r>
        <w:rPr>
          <w:spacing w:val="-3"/>
        </w:rPr>
        <w:t> </w:t>
      </w:r>
      <w:r>
        <w:rPr/>
        <w:t>choice</w:t>
      </w:r>
      <w:r>
        <w:rPr>
          <w:spacing w:val="-3"/>
        </w:rPr>
        <w:t> </w:t>
      </w:r>
      <w:r>
        <w:rPr/>
        <w:t>is</w:t>
      </w:r>
      <w:r>
        <w:rPr>
          <w:spacing w:val="-2"/>
        </w:rPr>
        <w:t> </w:t>
      </w:r>
      <w:r>
        <w:rPr/>
        <w:t>authorized for family planning providers.</w:t>
      </w:r>
    </w:p>
    <w:p>
      <w:pPr>
        <w:pStyle w:val="BodyText"/>
        <w:spacing w:before="10"/>
        <w:rPr>
          <w:sz w:val="20"/>
        </w:rPr>
      </w:pPr>
    </w:p>
    <w:p>
      <w:pPr>
        <w:pStyle w:val="Heading5"/>
        <w:numPr>
          <w:ilvl w:val="0"/>
          <w:numId w:val="1"/>
        </w:numPr>
        <w:tabs>
          <w:tab w:pos="1799" w:val="left" w:leader="none"/>
          <w:tab w:pos="8500" w:val="left" w:leader="none"/>
        </w:tabs>
        <w:spacing w:line="240" w:lineRule="auto" w:before="0" w:after="0"/>
        <w:ind w:left="1799" w:right="0" w:hanging="360"/>
        <w:jc w:val="left"/>
      </w:pPr>
      <w:bookmarkStart w:name="7. Payment for Care and Services Section" w:id="28"/>
      <w:bookmarkEnd w:id="28"/>
      <w:r>
        <w:rPr>
          <w:b w:val="0"/>
        </w:rPr>
      </w:r>
      <w:r>
        <w:rPr/>
        <w:t>Payment</w:t>
      </w:r>
      <w:r>
        <w:rPr>
          <w:spacing w:val="-2"/>
        </w:rPr>
        <w:t> </w:t>
      </w:r>
      <w:r>
        <w:rPr/>
        <w:t>for</w:t>
      </w:r>
      <w:r>
        <w:rPr>
          <w:spacing w:val="-2"/>
        </w:rPr>
        <w:t> </w:t>
      </w:r>
      <w:r>
        <w:rPr/>
        <w:t>Care</w:t>
      </w:r>
      <w:r>
        <w:rPr>
          <w:spacing w:val="-2"/>
        </w:rPr>
        <w:t> </w:t>
      </w:r>
      <w:r>
        <w:rPr/>
        <w:t>and</w:t>
      </w:r>
      <w:r>
        <w:rPr>
          <w:spacing w:val="2"/>
        </w:rPr>
        <w:t> </w:t>
      </w:r>
      <w:r>
        <w:rPr>
          <w:spacing w:val="-2"/>
        </w:rPr>
        <w:t>Services</w:t>
      </w:r>
      <w:r>
        <w:rPr/>
        <w:tab/>
        <w:t>Section</w:t>
      </w:r>
      <w:r>
        <w:rPr>
          <w:spacing w:val="-6"/>
        </w:rPr>
        <w:t> </w:t>
      </w:r>
      <w:r>
        <w:rPr>
          <w:spacing w:val="-2"/>
        </w:rPr>
        <w:t>1902(a)(30)(A)</w:t>
      </w:r>
    </w:p>
    <w:p>
      <w:pPr>
        <w:pStyle w:val="BodyText"/>
        <w:spacing w:before="10"/>
        <w:rPr>
          <w:b/>
          <w:sz w:val="20"/>
        </w:rPr>
      </w:pPr>
    </w:p>
    <w:p>
      <w:pPr>
        <w:pStyle w:val="BodyText"/>
        <w:ind w:left="1800" w:right="1239"/>
      </w:pPr>
      <w:bookmarkStart w:name="To permit the state to pay providers usi" w:id="29"/>
      <w:bookmarkEnd w:id="29"/>
      <w:r>
        <w:rPr/>
      </w:r>
      <w:r>
        <w:rPr/>
        <w:t>To permit the state to pay providers using rates that vary from those set forth under the approved</w:t>
      </w:r>
      <w:r>
        <w:rPr>
          <w:spacing w:val="-3"/>
        </w:rPr>
        <w:t> </w:t>
      </w:r>
      <w:r>
        <w:rPr/>
        <w:t>state</w:t>
      </w:r>
      <w:r>
        <w:rPr>
          <w:spacing w:val="-4"/>
        </w:rPr>
        <w:t> </w:t>
      </w:r>
      <w:r>
        <w:rPr/>
        <w:t>plan</w:t>
      </w:r>
      <w:r>
        <w:rPr>
          <w:spacing w:val="-3"/>
        </w:rPr>
        <w:t> </w:t>
      </w:r>
      <w:r>
        <w:rPr/>
        <w:t>to</w:t>
      </w:r>
      <w:r>
        <w:rPr>
          <w:spacing w:val="-3"/>
        </w:rPr>
        <w:t> </w:t>
      </w:r>
      <w:r>
        <w:rPr/>
        <w:t>the</w:t>
      </w:r>
      <w:r>
        <w:rPr>
          <w:spacing w:val="-4"/>
        </w:rPr>
        <w:t> </w:t>
      </w:r>
      <w:r>
        <w:rPr/>
        <w:t>extent</w:t>
      </w:r>
      <w:r>
        <w:rPr>
          <w:spacing w:val="-3"/>
        </w:rPr>
        <w:t> </w:t>
      </w:r>
      <w:r>
        <w:rPr/>
        <w:t>that</w:t>
      </w:r>
      <w:r>
        <w:rPr>
          <w:spacing w:val="-3"/>
        </w:rPr>
        <w:t> </w:t>
      </w:r>
      <w:r>
        <w:rPr/>
        <w:t>the</w:t>
      </w:r>
      <w:r>
        <w:rPr>
          <w:spacing w:val="-4"/>
        </w:rPr>
        <w:t> </w:t>
      </w:r>
      <w:r>
        <w:rPr/>
        <w:t>payment</w:t>
      </w:r>
      <w:r>
        <w:rPr>
          <w:spacing w:val="-1"/>
        </w:rPr>
        <w:t> </w:t>
      </w:r>
      <w:r>
        <w:rPr/>
        <w:t>varies</w:t>
      </w:r>
      <w:r>
        <w:rPr>
          <w:spacing w:val="-3"/>
        </w:rPr>
        <w:t> </w:t>
      </w:r>
      <w:r>
        <w:rPr/>
        <w:t>based</w:t>
      </w:r>
      <w:r>
        <w:rPr>
          <w:spacing w:val="-1"/>
        </w:rPr>
        <w:t> </w:t>
      </w:r>
      <w:r>
        <w:rPr/>
        <w:t>on</w:t>
      </w:r>
      <w:r>
        <w:rPr>
          <w:spacing w:val="-3"/>
        </w:rPr>
        <w:t> </w:t>
      </w:r>
      <w:r>
        <w:rPr/>
        <w:t>shared</w:t>
      </w:r>
      <w:r>
        <w:rPr>
          <w:spacing w:val="-3"/>
        </w:rPr>
        <w:t> </w:t>
      </w:r>
      <w:r>
        <w:rPr/>
        <w:t>savings</w:t>
      </w:r>
      <w:r>
        <w:rPr>
          <w:spacing w:val="-3"/>
        </w:rPr>
        <w:t> </w:t>
      </w:r>
      <w:r>
        <w:rPr/>
        <w:t>or</w:t>
      </w:r>
      <w:r>
        <w:rPr>
          <w:spacing w:val="-4"/>
        </w:rPr>
        <w:t> </w:t>
      </w:r>
      <w:r>
        <w:rPr/>
        <w:t>shared losses in an incentive arrangement.</w:t>
      </w:r>
    </w:p>
    <w:p>
      <w:pPr>
        <w:pStyle w:val="BodyText"/>
        <w:spacing w:before="10"/>
        <w:rPr>
          <w:sz w:val="20"/>
        </w:rPr>
      </w:pPr>
    </w:p>
    <w:p>
      <w:pPr>
        <w:pStyle w:val="Heading5"/>
        <w:numPr>
          <w:ilvl w:val="0"/>
          <w:numId w:val="1"/>
        </w:numPr>
        <w:tabs>
          <w:tab w:pos="1800" w:val="left" w:leader="none"/>
          <w:tab w:pos="8834" w:val="left" w:leader="none"/>
        </w:tabs>
        <w:spacing w:line="240" w:lineRule="auto" w:before="0" w:after="0"/>
        <w:ind w:left="1800" w:right="0" w:hanging="360"/>
        <w:jc w:val="left"/>
      </w:pPr>
      <w:bookmarkStart w:name="8. Direct Provider Reimbursement Section" w:id="30"/>
      <w:bookmarkEnd w:id="30"/>
      <w:r>
        <w:rPr>
          <w:b w:val="0"/>
        </w:rPr>
      </w:r>
      <w:r>
        <w:rPr/>
        <w:t>Direct</w:t>
      </w:r>
      <w:r>
        <w:rPr>
          <w:spacing w:val="-3"/>
        </w:rPr>
        <w:t> </w:t>
      </w:r>
      <w:r>
        <w:rPr/>
        <w:t>Provider</w:t>
      </w:r>
      <w:r>
        <w:rPr>
          <w:spacing w:val="-4"/>
        </w:rPr>
        <w:t> </w:t>
      </w:r>
      <w:r>
        <w:rPr>
          <w:spacing w:val="-2"/>
        </w:rPr>
        <w:t>Reimbursement</w:t>
      </w:r>
      <w:r>
        <w:rPr/>
        <w:tab/>
        <w:t>Section</w:t>
      </w:r>
      <w:r>
        <w:rPr>
          <w:spacing w:val="-4"/>
        </w:rPr>
        <w:t> </w:t>
      </w:r>
      <w:r>
        <w:rPr>
          <w:spacing w:val="-2"/>
        </w:rPr>
        <w:t>1902(a)(32)</w:t>
      </w:r>
    </w:p>
    <w:p>
      <w:pPr>
        <w:pStyle w:val="BodyText"/>
        <w:spacing w:before="10"/>
        <w:rPr>
          <w:b/>
          <w:sz w:val="20"/>
        </w:rPr>
      </w:pPr>
    </w:p>
    <w:p>
      <w:pPr>
        <w:pStyle w:val="BodyText"/>
        <w:ind w:left="1799" w:right="1239"/>
      </w:pPr>
      <w:bookmarkStart w:name="To enable Massachusetts to make premium " w:id="31"/>
      <w:bookmarkEnd w:id="31"/>
      <w:r>
        <w:rPr/>
      </w:r>
      <w:r>
        <w:rPr/>
        <w:t>To</w:t>
      </w:r>
      <w:r>
        <w:rPr>
          <w:spacing w:val="-3"/>
        </w:rPr>
        <w:t> </w:t>
      </w:r>
      <w:r>
        <w:rPr/>
        <w:t>enable</w:t>
      </w:r>
      <w:r>
        <w:rPr>
          <w:spacing w:val="-4"/>
        </w:rPr>
        <w:t> </w:t>
      </w:r>
      <w:r>
        <w:rPr/>
        <w:t>Massachusetts</w:t>
      </w:r>
      <w:r>
        <w:rPr>
          <w:spacing w:val="-1"/>
        </w:rPr>
        <w:t> </w:t>
      </w:r>
      <w:r>
        <w:rPr/>
        <w:t>to</w:t>
      </w:r>
      <w:r>
        <w:rPr>
          <w:spacing w:val="-3"/>
        </w:rPr>
        <w:t> </w:t>
      </w:r>
      <w:r>
        <w:rPr/>
        <w:t>make</w:t>
      </w:r>
      <w:r>
        <w:rPr>
          <w:spacing w:val="-4"/>
        </w:rPr>
        <w:t> </w:t>
      </w:r>
      <w:r>
        <w:rPr/>
        <w:t>premium</w:t>
      </w:r>
      <w:r>
        <w:rPr>
          <w:spacing w:val="-3"/>
        </w:rPr>
        <w:t> </w:t>
      </w:r>
      <w:r>
        <w:rPr/>
        <w:t>assistance</w:t>
      </w:r>
      <w:r>
        <w:rPr>
          <w:spacing w:val="-4"/>
        </w:rPr>
        <w:t> </w:t>
      </w:r>
      <w:r>
        <w:rPr/>
        <w:t>payments</w:t>
      </w:r>
      <w:r>
        <w:rPr>
          <w:spacing w:val="-3"/>
        </w:rPr>
        <w:t> </w:t>
      </w:r>
      <w:r>
        <w:rPr/>
        <w:t>directly</w:t>
      </w:r>
      <w:r>
        <w:rPr>
          <w:spacing w:val="-8"/>
        </w:rPr>
        <w:t> </w:t>
      </w:r>
      <w:r>
        <w:rPr/>
        <w:t>to</w:t>
      </w:r>
      <w:r>
        <w:rPr>
          <w:spacing w:val="-3"/>
        </w:rPr>
        <w:t> </w:t>
      </w:r>
      <w:r>
        <w:rPr/>
        <w:t>individuals</w:t>
      </w:r>
      <w:r>
        <w:rPr>
          <w:spacing w:val="-3"/>
        </w:rPr>
        <w:t> </w:t>
      </w:r>
      <w:r>
        <w:rPr/>
        <w:t>who are low-income employees, self-employed, or unemployed and eligible for continuation of coverage under federal law, in order to help those individuals access qualified employer- sponsored insurance (where available) or to purchase health insurance (including student health insurance) on their own, instead of to insurers, schools or employers providing the health insurance coverage.</w:t>
      </w:r>
    </w:p>
    <w:p>
      <w:pPr>
        <w:pStyle w:val="BodyText"/>
        <w:spacing w:before="10"/>
        <w:rPr>
          <w:sz w:val="20"/>
        </w:rPr>
      </w:pPr>
    </w:p>
    <w:p>
      <w:pPr>
        <w:pStyle w:val="Heading5"/>
        <w:numPr>
          <w:ilvl w:val="0"/>
          <w:numId w:val="1"/>
        </w:numPr>
        <w:tabs>
          <w:tab w:pos="1799" w:val="left" w:leader="none"/>
          <w:tab w:pos="8834" w:val="left" w:leader="none"/>
        </w:tabs>
        <w:spacing w:line="240" w:lineRule="auto" w:before="0" w:after="0"/>
        <w:ind w:left="1799" w:right="0" w:hanging="360"/>
        <w:jc w:val="left"/>
      </w:pPr>
      <w:bookmarkStart w:name="9. Retroactive Eligibility Section 1902(" w:id="32"/>
      <w:bookmarkEnd w:id="32"/>
      <w:r>
        <w:rPr>
          <w:b w:val="0"/>
        </w:rPr>
      </w:r>
      <w:r>
        <w:rPr/>
        <w:t>Retroactive</w:t>
      </w:r>
      <w:r>
        <w:rPr>
          <w:spacing w:val="-5"/>
        </w:rPr>
        <w:t> </w:t>
      </w:r>
      <w:r>
        <w:rPr>
          <w:spacing w:val="-2"/>
        </w:rPr>
        <w:t>Eligibility</w:t>
      </w:r>
      <w:r>
        <w:rPr/>
        <w:tab/>
        <w:t>Section</w:t>
      </w:r>
      <w:r>
        <w:rPr>
          <w:spacing w:val="-4"/>
        </w:rPr>
        <w:t> </w:t>
      </w:r>
      <w:r>
        <w:rPr>
          <w:spacing w:val="-2"/>
        </w:rPr>
        <w:t>1902(a)(34)</w:t>
      </w:r>
    </w:p>
    <w:p>
      <w:pPr>
        <w:pStyle w:val="BodyText"/>
        <w:spacing w:before="10"/>
        <w:rPr>
          <w:b/>
          <w:sz w:val="20"/>
        </w:rPr>
      </w:pPr>
    </w:p>
    <w:p>
      <w:pPr>
        <w:pStyle w:val="BodyText"/>
        <w:ind w:left="1799" w:right="1224"/>
      </w:pPr>
      <w:bookmarkStart w:name="To enable the Commonwealth not to provid" w:id="33"/>
      <w:bookmarkEnd w:id="33"/>
      <w:r>
        <w:rPr/>
      </w:r>
      <w:r>
        <w:rPr/>
        <w:t>To</w:t>
      </w:r>
      <w:r>
        <w:rPr>
          <w:spacing w:val="-2"/>
        </w:rPr>
        <w:t> </w:t>
      </w:r>
      <w:r>
        <w:rPr/>
        <w:t>enable</w:t>
      </w:r>
      <w:r>
        <w:rPr>
          <w:spacing w:val="-3"/>
        </w:rPr>
        <w:t> </w:t>
      </w:r>
      <w:r>
        <w:rPr/>
        <w:t>the</w:t>
      </w:r>
      <w:r>
        <w:rPr>
          <w:spacing w:val="-3"/>
        </w:rPr>
        <w:t> </w:t>
      </w:r>
      <w:r>
        <w:rPr/>
        <w:t>Commonwealth</w:t>
      </w:r>
      <w:r>
        <w:rPr>
          <w:spacing w:val="-2"/>
        </w:rPr>
        <w:t> </w:t>
      </w:r>
      <w:r>
        <w:rPr/>
        <w:t>not</w:t>
      </w:r>
      <w:r>
        <w:rPr>
          <w:spacing w:val="-2"/>
        </w:rPr>
        <w:t> </w:t>
      </w:r>
      <w:r>
        <w:rPr/>
        <w:t>to</w:t>
      </w:r>
      <w:r>
        <w:rPr>
          <w:spacing w:val="-2"/>
        </w:rPr>
        <w:t> </w:t>
      </w:r>
      <w:r>
        <w:rPr/>
        <w:t>provide</w:t>
      </w:r>
      <w:r>
        <w:rPr>
          <w:spacing w:val="-3"/>
        </w:rPr>
        <w:t> </w:t>
      </w:r>
      <w:r>
        <w:rPr/>
        <w:t>retroactive</w:t>
      </w:r>
      <w:r>
        <w:rPr>
          <w:spacing w:val="-3"/>
        </w:rPr>
        <w:t> </w:t>
      </w:r>
      <w:r>
        <w:rPr/>
        <w:t>eligibility</w:t>
      </w:r>
      <w:r>
        <w:rPr>
          <w:spacing w:val="-7"/>
        </w:rPr>
        <w:t> </w:t>
      </w:r>
      <w:r>
        <w:rPr/>
        <w:t>for</w:t>
      </w:r>
      <w:r>
        <w:rPr>
          <w:spacing w:val="-3"/>
        </w:rPr>
        <w:t> </w:t>
      </w:r>
      <w:r>
        <w:rPr/>
        <w:t>up</w:t>
      </w:r>
      <w:r>
        <w:rPr>
          <w:spacing w:val="-2"/>
        </w:rPr>
        <w:t> </w:t>
      </w:r>
      <w:r>
        <w:rPr/>
        <w:t>to 3</w:t>
      </w:r>
      <w:r>
        <w:rPr>
          <w:spacing w:val="-2"/>
        </w:rPr>
        <w:t> </w:t>
      </w:r>
      <w:r>
        <w:rPr/>
        <w:t>months</w:t>
      </w:r>
      <w:r>
        <w:rPr>
          <w:spacing w:val="-2"/>
        </w:rPr>
        <w:t> </w:t>
      </w:r>
      <w:r>
        <w:rPr/>
        <w:t>prior</w:t>
      </w:r>
      <w:r>
        <w:rPr>
          <w:spacing w:val="-3"/>
        </w:rPr>
        <w:t> </w:t>
      </w:r>
      <w:r>
        <w:rPr/>
        <w:t>to the date that the application for assistance is made and instead provide retroactive eligibility as outlined in Table 9.</w:t>
      </w:r>
      <w:r>
        <w:rPr>
          <w:spacing w:val="40"/>
        </w:rPr>
        <w:t> </w:t>
      </w:r>
      <w:r>
        <w:rPr/>
        <w:t>Effective no later than July 1, 2023, this waiver does not apply to Medicaid-eligible</w:t>
      </w:r>
      <w:r>
        <w:rPr>
          <w:spacing w:val="-4"/>
        </w:rPr>
        <w:t> </w:t>
      </w:r>
      <w:r>
        <w:rPr/>
        <w:t>pregnant</w:t>
      </w:r>
      <w:r>
        <w:rPr>
          <w:spacing w:val="-3"/>
        </w:rPr>
        <w:t> </w:t>
      </w:r>
      <w:r>
        <w:rPr/>
        <w:t>individuals</w:t>
      </w:r>
      <w:r>
        <w:rPr>
          <w:spacing w:val="-3"/>
        </w:rPr>
        <w:t> </w:t>
      </w:r>
      <w:r>
        <w:rPr/>
        <w:t>or</w:t>
      </w:r>
      <w:r>
        <w:rPr>
          <w:spacing w:val="-4"/>
        </w:rPr>
        <w:t> </w:t>
      </w:r>
      <w:r>
        <w:rPr/>
        <w:t>to</w:t>
      </w:r>
      <w:r>
        <w:rPr>
          <w:spacing w:val="-4"/>
        </w:rPr>
        <w:t> </w:t>
      </w:r>
      <w:r>
        <w:rPr/>
        <w:t>children</w:t>
      </w:r>
      <w:r>
        <w:rPr>
          <w:spacing w:val="-3"/>
        </w:rPr>
        <w:t> </w:t>
      </w:r>
      <w:r>
        <w:rPr/>
        <w:t>up</w:t>
      </w:r>
      <w:r>
        <w:rPr>
          <w:spacing w:val="-3"/>
        </w:rPr>
        <w:t> </w:t>
      </w:r>
      <w:r>
        <w:rPr/>
        <w:t>to</w:t>
      </w:r>
      <w:r>
        <w:rPr>
          <w:spacing w:val="-3"/>
        </w:rPr>
        <w:t> </w:t>
      </w:r>
      <w:r>
        <w:rPr/>
        <w:t>age</w:t>
      </w:r>
      <w:r>
        <w:rPr>
          <w:spacing w:val="-4"/>
        </w:rPr>
        <w:t> </w:t>
      </w:r>
      <w:r>
        <w:rPr/>
        <w:t>19,</w:t>
      </w:r>
      <w:r>
        <w:rPr>
          <w:spacing w:val="-3"/>
        </w:rPr>
        <w:t> </w:t>
      </w:r>
      <w:r>
        <w:rPr/>
        <w:t>as</w:t>
      </w:r>
      <w:r>
        <w:rPr>
          <w:spacing w:val="-3"/>
        </w:rPr>
        <w:t> </w:t>
      </w:r>
      <w:r>
        <w:rPr/>
        <w:t>defined</w:t>
      </w:r>
      <w:r>
        <w:rPr>
          <w:spacing w:val="-3"/>
        </w:rPr>
        <w:t> </w:t>
      </w:r>
      <w:r>
        <w:rPr/>
        <w:t>in</w:t>
      </w:r>
      <w:r>
        <w:rPr>
          <w:spacing w:val="-3"/>
        </w:rPr>
        <w:t> </w:t>
      </w:r>
      <w:r>
        <w:rPr/>
        <w:t>the</w:t>
      </w:r>
      <w:r>
        <w:rPr>
          <w:spacing w:val="-4"/>
        </w:rPr>
        <w:t> </w:t>
      </w:r>
      <w:r>
        <w:rPr/>
        <w:t>Medicaid and CHIP state plans.</w:t>
      </w:r>
    </w:p>
    <w:p>
      <w:pPr>
        <w:pStyle w:val="BodyText"/>
        <w:spacing w:before="10"/>
        <w:rPr>
          <w:sz w:val="20"/>
        </w:rPr>
      </w:pPr>
    </w:p>
    <w:p>
      <w:pPr>
        <w:pStyle w:val="Heading5"/>
        <w:numPr>
          <w:ilvl w:val="0"/>
          <w:numId w:val="1"/>
        </w:numPr>
        <w:tabs>
          <w:tab w:pos="1799" w:val="left" w:leader="none"/>
          <w:tab w:pos="8834" w:val="left" w:leader="none"/>
        </w:tabs>
        <w:spacing w:line="240" w:lineRule="auto" w:before="1" w:after="0"/>
        <w:ind w:left="1799" w:right="0" w:hanging="480"/>
        <w:jc w:val="left"/>
      </w:pPr>
      <w:bookmarkStart w:name="10. Extended Eligibility Section 1902(a)" w:id="34"/>
      <w:bookmarkEnd w:id="34"/>
      <w:r>
        <w:rPr>
          <w:b w:val="0"/>
        </w:rPr>
      </w:r>
      <w:r>
        <w:rPr/>
        <w:t>Extended</w:t>
      </w:r>
      <w:r>
        <w:rPr>
          <w:spacing w:val="-3"/>
        </w:rPr>
        <w:t> </w:t>
      </w:r>
      <w:r>
        <w:rPr>
          <w:spacing w:val="-2"/>
        </w:rPr>
        <w:t>Eligibility</w:t>
      </w:r>
      <w:r>
        <w:rPr/>
        <w:tab/>
        <w:t>Section</w:t>
      </w:r>
      <w:r>
        <w:rPr>
          <w:spacing w:val="-4"/>
        </w:rPr>
        <w:t> </w:t>
      </w:r>
      <w:r>
        <w:rPr>
          <w:spacing w:val="-2"/>
        </w:rPr>
        <w:t>1902(a)(52)</w:t>
      </w:r>
    </w:p>
    <w:p>
      <w:pPr>
        <w:pStyle w:val="BodyText"/>
        <w:spacing w:before="9"/>
        <w:rPr>
          <w:b/>
          <w:sz w:val="20"/>
        </w:rPr>
      </w:pPr>
    </w:p>
    <w:p>
      <w:pPr>
        <w:pStyle w:val="BodyText"/>
        <w:spacing w:before="1"/>
        <w:ind w:left="1799" w:right="1239"/>
      </w:pPr>
      <w:bookmarkStart w:name="To enable Massachusetts to not require f" w:id="35"/>
      <w:bookmarkEnd w:id="35"/>
      <w:r>
        <w:rPr/>
      </w:r>
      <w:r>
        <w:rPr/>
        <w:t>To</w:t>
      </w:r>
      <w:r>
        <w:rPr>
          <w:spacing w:val="-2"/>
        </w:rPr>
        <w:t> </w:t>
      </w:r>
      <w:r>
        <w:rPr/>
        <w:t>enable</w:t>
      </w:r>
      <w:r>
        <w:rPr>
          <w:spacing w:val="-3"/>
        </w:rPr>
        <w:t> </w:t>
      </w:r>
      <w:r>
        <w:rPr/>
        <w:t>Massachusetts to</w:t>
      </w:r>
      <w:r>
        <w:rPr>
          <w:spacing w:val="-2"/>
        </w:rPr>
        <w:t> </w:t>
      </w:r>
      <w:r>
        <w:rPr/>
        <w:t>not</w:t>
      </w:r>
      <w:r>
        <w:rPr>
          <w:spacing w:val="-2"/>
        </w:rPr>
        <w:t> </w:t>
      </w:r>
      <w:r>
        <w:rPr/>
        <w:t>require</w:t>
      </w:r>
      <w:r>
        <w:rPr>
          <w:spacing w:val="-3"/>
        </w:rPr>
        <w:t> </w:t>
      </w:r>
      <w:r>
        <w:rPr/>
        <w:t>families</w:t>
      </w:r>
      <w:r>
        <w:rPr>
          <w:spacing w:val="-2"/>
        </w:rPr>
        <w:t> </w:t>
      </w:r>
      <w:r>
        <w:rPr/>
        <w:t>receiving</w:t>
      </w:r>
      <w:r>
        <w:rPr>
          <w:spacing w:val="-5"/>
        </w:rPr>
        <w:t> </w:t>
      </w:r>
      <w:r>
        <w:rPr/>
        <w:t>Transitional</w:t>
      </w:r>
      <w:r>
        <w:rPr>
          <w:spacing w:val="-2"/>
        </w:rPr>
        <w:t> </w:t>
      </w:r>
      <w:r>
        <w:rPr/>
        <w:t>Medical</w:t>
      </w:r>
      <w:r>
        <w:rPr>
          <w:spacing w:val="-2"/>
        </w:rPr>
        <w:t> </w:t>
      </w:r>
      <w:r>
        <w:rPr/>
        <w:t>Assistance</w:t>
      </w:r>
      <w:r>
        <w:rPr>
          <w:spacing w:val="-3"/>
        </w:rPr>
        <w:t> </w:t>
      </w:r>
      <w:r>
        <w:rPr/>
        <w:t>to report the information required by section 1925(b)(2)(B) absent a significant change in circumstances</w:t>
      </w:r>
      <w:r>
        <w:rPr>
          <w:spacing w:val="-3"/>
        </w:rPr>
        <w:t> </w:t>
      </w:r>
      <w:r>
        <w:rPr/>
        <w:t>(i.e.,</w:t>
      </w:r>
      <w:r>
        <w:rPr>
          <w:spacing w:val="-3"/>
        </w:rPr>
        <w:t> </w:t>
      </w:r>
      <w:r>
        <w:rPr/>
        <w:t>members</w:t>
      </w:r>
      <w:r>
        <w:rPr>
          <w:spacing w:val="-3"/>
        </w:rPr>
        <w:t> </w:t>
      </w:r>
      <w:r>
        <w:rPr/>
        <w:t>who</w:t>
      </w:r>
      <w:r>
        <w:rPr>
          <w:spacing w:val="-3"/>
        </w:rPr>
        <w:t> </w:t>
      </w:r>
      <w:r>
        <w:rPr/>
        <w:t>are</w:t>
      </w:r>
      <w:r>
        <w:rPr>
          <w:spacing w:val="-4"/>
        </w:rPr>
        <w:t> </w:t>
      </w:r>
      <w:r>
        <w:rPr/>
        <w:t>deceased,</w:t>
      </w:r>
      <w:r>
        <w:rPr>
          <w:spacing w:val="-3"/>
        </w:rPr>
        <w:t> </w:t>
      </w:r>
      <w:r>
        <w:rPr/>
        <w:t>voluntarily</w:t>
      </w:r>
      <w:r>
        <w:rPr>
          <w:spacing w:val="-8"/>
        </w:rPr>
        <w:t> </w:t>
      </w:r>
      <w:r>
        <w:rPr/>
        <w:t>withdraw,</w:t>
      </w:r>
      <w:r>
        <w:rPr>
          <w:spacing w:val="-3"/>
        </w:rPr>
        <w:t> </w:t>
      </w:r>
      <w:r>
        <w:rPr/>
        <w:t>or</w:t>
      </w:r>
      <w:r>
        <w:rPr>
          <w:spacing w:val="-2"/>
        </w:rPr>
        <w:t> </w:t>
      </w:r>
      <w:r>
        <w:rPr/>
        <w:t>moves</w:t>
      </w:r>
      <w:r>
        <w:rPr>
          <w:spacing w:val="-3"/>
        </w:rPr>
        <w:t> </w:t>
      </w:r>
      <w:r>
        <w:rPr/>
        <w:t>out</w:t>
      </w:r>
      <w:r>
        <w:rPr>
          <w:spacing w:val="-3"/>
        </w:rPr>
        <w:t> </w:t>
      </w:r>
      <w:r>
        <w:rPr/>
        <w:t>of</w:t>
      </w:r>
      <w:r>
        <w:rPr>
          <w:spacing w:val="-4"/>
        </w:rPr>
        <w:t> </w:t>
      </w:r>
      <w:r>
        <w:rPr/>
        <w:t>state), and to not consider enrollment in a demonstration-only eligibility category or CHIP (title XXI) eligibility category in determining eligibility for Transitional Medical Assistance.</w:t>
      </w:r>
    </w:p>
    <w:p>
      <w:pPr>
        <w:pStyle w:val="BodyText"/>
        <w:spacing w:before="10"/>
        <w:rPr>
          <w:sz w:val="20"/>
        </w:rPr>
      </w:pPr>
    </w:p>
    <w:p>
      <w:pPr>
        <w:pStyle w:val="Heading5"/>
        <w:numPr>
          <w:ilvl w:val="0"/>
          <w:numId w:val="1"/>
        </w:numPr>
        <w:tabs>
          <w:tab w:pos="1799" w:val="left" w:leader="none"/>
          <w:tab w:pos="8680" w:val="left" w:leader="none"/>
          <w:tab w:pos="9307" w:val="left" w:leader="none"/>
        </w:tabs>
        <w:spacing w:line="240" w:lineRule="auto" w:before="0" w:after="0"/>
        <w:ind w:left="9307" w:right="1219" w:hanging="7988"/>
        <w:jc w:val="right"/>
      </w:pPr>
      <w:bookmarkStart w:name="11. Payment to Providers  Sections 1902(" w:id="36"/>
      <w:bookmarkEnd w:id="36"/>
      <w:r>
        <w:rPr>
          <w:b w:val="0"/>
        </w:rPr>
      </w:r>
      <w:bookmarkStart w:name="1902(a)(30)(A)" w:id="37"/>
      <w:bookmarkEnd w:id="37"/>
      <w:r>
        <w:rPr>
          <w:b w:val="0"/>
        </w:rPr>
      </w:r>
      <w:r>
        <w:rPr/>
        <w:t>Payment to Providers</w:t>
        <w:tab/>
        <w:t>Sections</w:t>
      </w:r>
      <w:r>
        <w:rPr>
          <w:spacing w:val="-15"/>
        </w:rPr>
        <w:t> </w:t>
      </w:r>
      <w:r>
        <w:rPr/>
        <w:t>1902(a)(15), </w:t>
      </w:r>
      <w:bookmarkStart w:name="To allow the Commonwealth to establish p" w:id="38"/>
      <w:bookmarkEnd w:id="38"/>
      <w:r>
        <w:rPr>
          <w:spacing w:val="-2"/>
        </w:rPr>
        <w:t>1902</w:t>
      </w:r>
      <w:r>
        <w:rPr>
          <w:spacing w:val="-2"/>
        </w:rPr>
        <w:t>(a)(30)(A)</w:t>
      </w:r>
    </w:p>
    <w:p>
      <w:pPr>
        <w:pStyle w:val="BodyText"/>
        <w:spacing w:before="10"/>
        <w:rPr>
          <w:b/>
          <w:sz w:val="20"/>
        </w:rPr>
      </w:pPr>
    </w:p>
    <w:p>
      <w:pPr>
        <w:pStyle w:val="BodyText"/>
        <w:ind w:left="1800" w:right="1239"/>
      </w:pPr>
      <w:r>
        <w:rPr/>
        <w:t>To allow the Commonwealth to establish primary care services payment rates for Primary Care</w:t>
      </w:r>
      <w:r>
        <w:rPr>
          <w:spacing w:val="-4"/>
        </w:rPr>
        <w:t> </w:t>
      </w:r>
      <w:r>
        <w:rPr/>
        <w:t>ACO-participating</w:t>
      </w:r>
      <w:r>
        <w:rPr>
          <w:spacing w:val="-3"/>
        </w:rPr>
        <w:t> </w:t>
      </w:r>
      <w:r>
        <w:rPr/>
        <w:t>primary</w:t>
      </w:r>
      <w:r>
        <w:rPr>
          <w:spacing w:val="-8"/>
        </w:rPr>
        <w:t> </w:t>
      </w:r>
      <w:r>
        <w:rPr/>
        <w:t>care</w:t>
      </w:r>
      <w:r>
        <w:rPr>
          <w:spacing w:val="-4"/>
        </w:rPr>
        <w:t> </w:t>
      </w:r>
      <w:r>
        <w:rPr/>
        <w:t>providers</w:t>
      </w:r>
      <w:r>
        <w:rPr>
          <w:spacing w:val="-3"/>
        </w:rPr>
        <w:t> </w:t>
      </w:r>
      <w:r>
        <w:rPr/>
        <w:t>on</w:t>
      </w:r>
      <w:r>
        <w:rPr>
          <w:spacing w:val="-3"/>
        </w:rPr>
        <w:t> </w:t>
      </w:r>
      <w:r>
        <w:rPr/>
        <w:t>an</w:t>
      </w:r>
      <w:r>
        <w:rPr>
          <w:spacing w:val="-3"/>
        </w:rPr>
        <w:t> </w:t>
      </w:r>
      <w:r>
        <w:rPr/>
        <w:t>individual</w:t>
      </w:r>
      <w:r>
        <w:rPr>
          <w:spacing w:val="-3"/>
        </w:rPr>
        <w:t> </w:t>
      </w:r>
      <w:r>
        <w:rPr/>
        <w:t>or</w:t>
      </w:r>
      <w:r>
        <w:rPr>
          <w:spacing w:val="-4"/>
        </w:rPr>
        <w:t> </w:t>
      </w:r>
      <w:r>
        <w:rPr/>
        <w:t>class</w:t>
      </w:r>
      <w:r>
        <w:rPr>
          <w:spacing w:val="-3"/>
        </w:rPr>
        <w:t> </w:t>
      </w:r>
      <w:r>
        <w:rPr/>
        <w:t>basis</w:t>
      </w:r>
      <w:r>
        <w:rPr>
          <w:spacing w:val="-3"/>
        </w:rPr>
        <w:t> </w:t>
      </w:r>
      <w:r>
        <w:rPr/>
        <w:t>without</w:t>
      </w:r>
      <w:r>
        <w:rPr>
          <w:spacing w:val="-3"/>
        </w:rPr>
        <w:t> </w:t>
      </w:r>
      <w:r>
        <w:rPr/>
        <w:t>regard to the rates set forth in the approved state plan. Such primary care services payment rates</w:t>
      </w:r>
    </w:p>
    <w:p>
      <w:pPr>
        <w:spacing w:after="0"/>
        <w:sectPr>
          <w:pgSz w:w="12240" w:h="15840"/>
          <w:pgMar w:header="0" w:footer="998" w:top="1360" w:bottom="1180" w:left="0" w:right="220"/>
        </w:sectPr>
      </w:pPr>
    </w:p>
    <w:p>
      <w:pPr>
        <w:pStyle w:val="BodyText"/>
        <w:spacing w:before="79"/>
        <w:ind w:left="1800" w:right="1239"/>
      </w:pPr>
      <w:r>
        <w:rPr/>
        <w:t>may vary based on factors such as provider class or clinical practice tier, or on the health status</w:t>
      </w:r>
      <w:r>
        <w:rPr>
          <w:spacing w:val="-2"/>
        </w:rPr>
        <w:t> </w:t>
      </w:r>
      <w:r>
        <w:rPr/>
        <w:t>or</w:t>
      </w:r>
      <w:r>
        <w:rPr>
          <w:spacing w:val="-3"/>
        </w:rPr>
        <w:t> </w:t>
      </w:r>
      <w:r>
        <w:rPr/>
        <w:t>rating</w:t>
      </w:r>
      <w:r>
        <w:rPr>
          <w:spacing w:val="-2"/>
        </w:rPr>
        <w:t> </w:t>
      </w:r>
      <w:r>
        <w:rPr/>
        <w:t>category</w:t>
      </w:r>
      <w:r>
        <w:rPr>
          <w:spacing w:val="-5"/>
        </w:rPr>
        <w:t> </w:t>
      </w:r>
      <w:r>
        <w:rPr/>
        <w:t>of</w:t>
      </w:r>
      <w:r>
        <w:rPr>
          <w:spacing w:val="-3"/>
        </w:rPr>
        <w:t> </w:t>
      </w:r>
      <w:r>
        <w:rPr/>
        <w:t>the</w:t>
      </w:r>
      <w:r>
        <w:rPr>
          <w:spacing w:val="-3"/>
        </w:rPr>
        <w:t> </w:t>
      </w:r>
      <w:r>
        <w:rPr/>
        <w:t>beneficiary</w:t>
      </w:r>
      <w:r>
        <w:rPr>
          <w:spacing w:val="-7"/>
        </w:rPr>
        <w:t> </w:t>
      </w:r>
      <w:r>
        <w:rPr/>
        <w:t>served.</w:t>
      </w:r>
      <w:r>
        <w:rPr>
          <w:spacing w:val="40"/>
        </w:rPr>
        <w:t> </w:t>
      </w:r>
      <w:r>
        <w:rPr/>
        <w:t>Payments</w:t>
      </w:r>
      <w:r>
        <w:rPr>
          <w:spacing w:val="-2"/>
        </w:rPr>
        <w:t> </w:t>
      </w:r>
      <w:r>
        <w:rPr/>
        <w:t>will</w:t>
      </w:r>
      <w:r>
        <w:rPr>
          <w:spacing w:val="-2"/>
        </w:rPr>
        <w:t> </w:t>
      </w:r>
      <w:r>
        <w:rPr/>
        <w:t>not</w:t>
      </w:r>
      <w:r>
        <w:rPr>
          <w:spacing w:val="-2"/>
        </w:rPr>
        <w:t> </w:t>
      </w:r>
      <w:r>
        <w:rPr/>
        <w:t>be</w:t>
      </w:r>
      <w:r>
        <w:rPr>
          <w:spacing w:val="-3"/>
        </w:rPr>
        <w:t> </w:t>
      </w:r>
      <w:r>
        <w:rPr/>
        <w:t>reconciled</w:t>
      </w:r>
      <w:r>
        <w:rPr>
          <w:spacing w:val="-2"/>
        </w:rPr>
        <w:t> </w:t>
      </w:r>
      <w:r>
        <w:rPr/>
        <w:t>to</w:t>
      </w:r>
      <w:r>
        <w:rPr>
          <w:spacing w:val="-2"/>
        </w:rPr>
        <w:t> </w:t>
      </w:r>
      <w:r>
        <w:rPr/>
        <w:t>cost</w:t>
      </w:r>
      <w:r>
        <w:rPr>
          <w:spacing w:val="-2"/>
        </w:rPr>
        <w:t> </w:t>
      </w:r>
      <w:r>
        <w:rPr/>
        <w:t>or utilization,</w:t>
      </w:r>
      <w:r>
        <w:rPr>
          <w:spacing w:val="-3"/>
        </w:rPr>
        <w:t> </w:t>
      </w:r>
      <w:r>
        <w:rPr/>
        <w:t>however,</w:t>
      </w:r>
      <w:r>
        <w:rPr>
          <w:spacing w:val="-3"/>
        </w:rPr>
        <w:t> </w:t>
      </w:r>
      <w:r>
        <w:rPr/>
        <w:t>the</w:t>
      </w:r>
      <w:r>
        <w:rPr>
          <w:spacing w:val="-2"/>
        </w:rPr>
        <w:t> </w:t>
      </w:r>
      <w:r>
        <w:rPr/>
        <w:t>state</w:t>
      </w:r>
      <w:r>
        <w:rPr>
          <w:spacing w:val="-4"/>
        </w:rPr>
        <w:t> </w:t>
      </w:r>
      <w:r>
        <w:rPr/>
        <w:t>will</w:t>
      </w:r>
      <w:r>
        <w:rPr>
          <w:spacing w:val="-3"/>
        </w:rPr>
        <w:t> </w:t>
      </w:r>
      <w:r>
        <w:rPr/>
        <w:t>ensure</w:t>
      </w:r>
      <w:r>
        <w:rPr>
          <w:spacing w:val="-4"/>
        </w:rPr>
        <w:t> </w:t>
      </w:r>
      <w:r>
        <w:rPr/>
        <w:t>that</w:t>
      </w:r>
      <w:r>
        <w:rPr>
          <w:spacing w:val="-3"/>
        </w:rPr>
        <w:t> </w:t>
      </w:r>
      <w:r>
        <w:rPr/>
        <w:t>any</w:t>
      </w:r>
      <w:r>
        <w:rPr>
          <w:spacing w:val="-6"/>
        </w:rPr>
        <w:t> </w:t>
      </w:r>
      <w:r>
        <w:rPr/>
        <w:t>Federally</w:t>
      </w:r>
      <w:r>
        <w:rPr>
          <w:spacing w:val="-8"/>
        </w:rPr>
        <w:t> </w:t>
      </w:r>
      <w:r>
        <w:rPr/>
        <w:t>Qualified</w:t>
      </w:r>
      <w:r>
        <w:rPr>
          <w:spacing w:val="-1"/>
        </w:rPr>
        <w:t> </w:t>
      </w:r>
      <w:r>
        <w:rPr/>
        <w:t>Health</w:t>
      </w:r>
      <w:r>
        <w:rPr>
          <w:spacing w:val="-3"/>
        </w:rPr>
        <w:t> </w:t>
      </w:r>
      <w:r>
        <w:rPr/>
        <w:t>Center</w:t>
      </w:r>
      <w:r>
        <w:rPr>
          <w:spacing w:val="-4"/>
        </w:rPr>
        <w:t> </w:t>
      </w:r>
      <w:r>
        <w:rPr/>
        <w:t>(FQHC) and Rural Health Clinic (RHC) that participate in the primary care payment program with a Primary Care ACO are paid an amount at least equal to what they would be paid under their applicable PPS rates.</w:t>
      </w:r>
    </w:p>
    <w:p>
      <w:pPr>
        <w:pStyle w:val="BodyText"/>
        <w:spacing w:before="10"/>
        <w:rPr>
          <w:sz w:val="20"/>
        </w:rPr>
      </w:pPr>
    </w:p>
    <w:p>
      <w:pPr>
        <w:pStyle w:val="Heading5"/>
        <w:numPr>
          <w:ilvl w:val="0"/>
          <w:numId w:val="1"/>
        </w:numPr>
        <w:tabs>
          <w:tab w:pos="480" w:val="left" w:leader="none"/>
          <w:tab w:pos="7039" w:val="left" w:leader="none"/>
        </w:tabs>
        <w:spacing w:line="240" w:lineRule="auto" w:before="0" w:after="0"/>
        <w:ind w:left="480" w:right="1221" w:hanging="480"/>
        <w:jc w:val="right"/>
      </w:pPr>
      <w:bookmarkStart w:name="12. Comparability and Provision of Medic" w:id="39"/>
      <w:bookmarkEnd w:id="39"/>
      <w:r>
        <w:rPr>
          <w:b w:val="0"/>
        </w:rPr>
      </w:r>
      <w:r>
        <w:rPr/>
        <w:t>Comparability</w:t>
      </w:r>
      <w:r>
        <w:rPr>
          <w:spacing w:val="-3"/>
        </w:rPr>
        <w:t> </w:t>
      </w:r>
      <w:r>
        <w:rPr/>
        <w:t>and</w:t>
      </w:r>
      <w:r>
        <w:rPr>
          <w:spacing w:val="-3"/>
        </w:rPr>
        <w:t> </w:t>
      </w:r>
      <w:r>
        <w:rPr/>
        <w:t>Provision</w:t>
      </w:r>
      <w:r>
        <w:rPr>
          <w:spacing w:val="-3"/>
        </w:rPr>
        <w:t> </w:t>
      </w:r>
      <w:r>
        <w:rPr/>
        <w:t>of</w:t>
      </w:r>
      <w:r>
        <w:rPr>
          <w:spacing w:val="-2"/>
        </w:rPr>
        <w:t> </w:t>
      </w:r>
      <w:r>
        <w:rPr/>
        <w:t>Medical</w:t>
      </w:r>
      <w:r>
        <w:rPr>
          <w:spacing w:val="-3"/>
        </w:rPr>
        <w:t> </w:t>
      </w:r>
      <w:r>
        <w:rPr>
          <w:spacing w:val="-2"/>
        </w:rPr>
        <w:t>Assistance</w:t>
      </w:r>
      <w:r>
        <w:rPr/>
        <w:tab/>
        <w:t>Sections</w:t>
      </w:r>
      <w:r>
        <w:rPr>
          <w:spacing w:val="-6"/>
        </w:rPr>
        <w:t> </w:t>
      </w:r>
      <w:r>
        <w:rPr>
          <w:spacing w:val="-2"/>
        </w:rPr>
        <w:t>1902(a)(10)(B),</w:t>
      </w:r>
    </w:p>
    <w:p>
      <w:pPr>
        <w:spacing w:before="0"/>
        <w:ind w:left="0" w:right="1219" w:firstLine="0"/>
        <w:jc w:val="right"/>
        <w:rPr>
          <w:b/>
          <w:sz w:val="24"/>
        </w:rPr>
      </w:pPr>
      <w:bookmarkStart w:name="1902(a)(17), 1902(a)(8)" w:id="40"/>
      <w:bookmarkEnd w:id="40"/>
      <w:r>
        <w:rPr/>
      </w:r>
      <w:r>
        <w:rPr>
          <w:b/>
          <w:sz w:val="24"/>
        </w:rPr>
        <w:t>1902(a)(17),</w:t>
      </w:r>
      <w:r>
        <w:rPr>
          <w:b/>
          <w:spacing w:val="-4"/>
          <w:sz w:val="24"/>
        </w:rPr>
        <w:t> </w:t>
      </w:r>
      <w:r>
        <w:rPr>
          <w:b/>
          <w:spacing w:val="-2"/>
          <w:sz w:val="24"/>
        </w:rPr>
        <w:t>1902(a)(8)</w:t>
      </w:r>
    </w:p>
    <w:p>
      <w:pPr>
        <w:pStyle w:val="BodyText"/>
        <w:spacing w:before="10"/>
        <w:rPr>
          <w:b/>
          <w:sz w:val="20"/>
        </w:rPr>
      </w:pPr>
    </w:p>
    <w:p>
      <w:pPr>
        <w:pStyle w:val="BodyText"/>
        <w:ind w:left="1800" w:right="1239"/>
      </w:pPr>
      <w:r>
        <w:rPr/>
        <w:t>To</w:t>
      </w:r>
      <w:r>
        <w:rPr>
          <w:spacing w:val="-2"/>
        </w:rPr>
        <w:t> </w:t>
      </w:r>
      <w:r>
        <w:rPr/>
        <w:t>the</w:t>
      </w:r>
      <w:r>
        <w:rPr>
          <w:spacing w:val="-3"/>
        </w:rPr>
        <w:t> </w:t>
      </w:r>
      <w:r>
        <w:rPr/>
        <w:t>extent</w:t>
      </w:r>
      <w:r>
        <w:rPr>
          <w:spacing w:val="-2"/>
        </w:rPr>
        <w:t> </w:t>
      </w:r>
      <w:r>
        <w:rPr/>
        <w:t>necessary</w:t>
      </w:r>
      <w:r>
        <w:rPr>
          <w:spacing w:val="-7"/>
        </w:rPr>
        <w:t> </w:t>
      </w:r>
      <w:r>
        <w:rPr/>
        <w:t>to</w:t>
      </w:r>
      <w:r>
        <w:rPr>
          <w:spacing w:val="-3"/>
        </w:rPr>
        <w:t> </w:t>
      </w:r>
      <w:r>
        <w:rPr/>
        <w:t>allow</w:t>
      </w:r>
      <w:r>
        <w:rPr>
          <w:spacing w:val="-3"/>
        </w:rPr>
        <w:t> </w:t>
      </w:r>
      <w:r>
        <w:rPr/>
        <w:t>the</w:t>
      </w:r>
      <w:r>
        <w:rPr>
          <w:spacing w:val="-3"/>
        </w:rPr>
        <w:t> </w:t>
      </w:r>
      <w:r>
        <w:rPr/>
        <w:t>Commonwealth</w:t>
      </w:r>
      <w:r>
        <w:rPr>
          <w:spacing w:val="-2"/>
        </w:rPr>
        <w:t> </w:t>
      </w:r>
      <w:r>
        <w:rPr/>
        <w:t>to</w:t>
      </w:r>
      <w:r>
        <w:rPr>
          <w:spacing w:val="-2"/>
        </w:rPr>
        <w:t> </w:t>
      </w:r>
      <w:r>
        <w:rPr/>
        <w:t>offer</w:t>
      </w:r>
      <w:r>
        <w:rPr>
          <w:spacing w:val="-3"/>
        </w:rPr>
        <w:t> </w:t>
      </w:r>
      <w:r>
        <w:rPr/>
        <w:t>HRSN</w:t>
      </w:r>
      <w:r>
        <w:rPr>
          <w:spacing w:val="-3"/>
        </w:rPr>
        <w:t> </w:t>
      </w:r>
      <w:r>
        <w:rPr/>
        <w:t>services</w:t>
      </w:r>
      <w:r>
        <w:rPr>
          <w:spacing w:val="-2"/>
        </w:rPr>
        <w:t> </w:t>
      </w:r>
      <w:r>
        <w:rPr/>
        <w:t>to</w:t>
      </w:r>
      <w:r>
        <w:rPr>
          <w:spacing w:val="-2"/>
        </w:rPr>
        <w:t> </w:t>
      </w:r>
      <w:r>
        <w:rPr/>
        <w:t>an</w:t>
      </w:r>
      <w:r>
        <w:rPr>
          <w:spacing w:val="-2"/>
        </w:rPr>
        <w:t> </w:t>
      </w:r>
      <w:r>
        <w:rPr/>
        <w:t>individual who meets the qualifying criteria for HRSN services, including delivery system enrollment, as described in Section 15 of the STCs, and to allow the state to limit the number of beneficiaries receiving HRSN services subject to the HRSN cap described in STCs 19.13-</w:t>
      </w:r>
    </w:p>
    <w:p>
      <w:pPr>
        <w:pStyle w:val="BodyText"/>
        <w:ind w:left="1800"/>
      </w:pPr>
      <w:r>
        <w:rPr/>
        <w:t>19.14 </w:t>
      </w:r>
      <w:r>
        <w:rPr>
          <w:spacing w:val="-10"/>
        </w:rPr>
        <w:t>.</w:t>
      </w:r>
    </w:p>
    <w:p>
      <w:pPr>
        <w:spacing w:after="0"/>
        <w:sectPr>
          <w:pgSz w:w="12240" w:h="15840"/>
          <w:pgMar w:header="0" w:footer="998" w:top="1360" w:bottom="1180" w:left="0" w:right="220"/>
        </w:sectPr>
      </w:pPr>
    </w:p>
    <w:p>
      <w:pPr>
        <w:pStyle w:val="Heading4"/>
        <w:spacing w:line="480" w:lineRule="auto" w:before="79"/>
        <w:ind w:left="4476" w:right="1264" w:hanging="1328"/>
      </w:pPr>
      <w:bookmarkStart w:name="CENTERS FOR MEDICARE &amp; MEDICAID SERVICES" w:id="41"/>
      <w:bookmarkEnd w:id="41"/>
      <w:r>
        <w:rPr>
          <w:b w:val="0"/>
        </w:rPr>
      </w:r>
      <w:r>
        <w:rPr/>
        <w:t>CENTERS</w:t>
      </w:r>
      <w:r>
        <w:rPr>
          <w:spacing w:val="-7"/>
        </w:rPr>
        <w:t> </w:t>
      </w:r>
      <w:r>
        <w:rPr/>
        <w:t>FOR</w:t>
      </w:r>
      <w:r>
        <w:rPr>
          <w:spacing w:val="-8"/>
        </w:rPr>
        <w:t> </w:t>
      </w:r>
      <w:r>
        <w:rPr/>
        <w:t>MEDICARE</w:t>
      </w:r>
      <w:r>
        <w:rPr>
          <w:spacing w:val="-7"/>
        </w:rPr>
        <w:t> </w:t>
      </w:r>
      <w:r>
        <w:rPr/>
        <w:t>&amp;</w:t>
      </w:r>
      <w:r>
        <w:rPr>
          <w:spacing w:val="-8"/>
        </w:rPr>
        <w:t> </w:t>
      </w:r>
      <w:r>
        <w:rPr/>
        <w:t>MEDICAID</w:t>
      </w:r>
      <w:r>
        <w:rPr>
          <w:spacing w:val="-7"/>
        </w:rPr>
        <w:t> </w:t>
      </w:r>
      <w:r>
        <w:rPr/>
        <w:t>SERVICES </w:t>
      </w:r>
      <w:bookmarkStart w:name="EXPENDITURE AUTHORITY" w:id="42"/>
      <w:bookmarkEnd w:id="42"/>
      <w:r>
        <w:rPr/>
        <w:t>E</w:t>
      </w:r>
      <w:r>
        <w:rPr/>
        <w:t>XPENDITURE AUTHORITY</w:t>
      </w:r>
    </w:p>
    <w:p>
      <w:pPr>
        <w:pStyle w:val="BodyText"/>
        <w:spacing w:before="9"/>
        <w:rPr>
          <w:b/>
          <w:sz w:val="23"/>
        </w:rPr>
      </w:pPr>
    </w:p>
    <w:p>
      <w:pPr>
        <w:tabs>
          <w:tab w:pos="3599" w:val="left" w:leader="none"/>
        </w:tabs>
        <w:spacing w:before="0"/>
        <w:ind w:left="1440" w:right="0" w:firstLine="0"/>
        <w:jc w:val="left"/>
        <w:rPr>
          <w:b/>
          <w:sz w:val="24"/>
        </w:rPr>
      </w:pPr>
      <w:r>
        <w:rPr>
          <w:b/>
          <w:spacing w:val="-2"/>
          <w:sz w:val="24"/>
        </w:rPr>
        <w:t>NUMBER:</w:t>
      </w:r>
      <w:r>
        <w:rPr>
          <w:b/>
          <w:sz w:val="24"/>
        </w:rPr>
        <w:tab/>
        <w:t>11-W-00030/1</w:t>
      </w:r>
      <w:r>
        <w:rPr>
          <w:b/>
          <w:spacing w:val="-4"/>
          <w:sz w:val="24"/>
        </w:rPr>
        <w:t> </w:t>
      </w:r>
      <w:r>
        <w:rPr>
          <w:b/>
          <w:sz w:val="24"/>
        </w:rPr>
        <w:t>and</w:t>
      </w:r>
      <w:r>
        <w:rPr>
          <w:b/>
          <w:spacing w:val="-2"/>
          <w:sz w:val="24"/>
        </w:rPr>
        <w:t> </w:t>
      </w:r>
      <w:r>
        <w:rPr>
          <w:b/>
          <w:sz w:val="24"/>
        </w:rPr>
        <w:t>21-</w:t>
      </w:r>
      <w:r>
        <w:rPr>
          <w:b/>
          <w:spacing w:val="-2"/>
          <w:sz w:val="24"/>
        </w:rPr>
        <w:t>00071/1</w:t>
      </w:r>
    </w:p>
    <w:p>
      <w:pPr>
        <w:tabs>
          <w:tab w:pos="3599" w:val="left" w:leader="none"/>
        </w:tabs>
        <w:spacing w:line="376" w:lineRule="auto" w:before="161"/>
        <w:ind w:left="1440" w:right="2002" w:firstLine="0"/>
        <w:jc w:val="left"/>
        <w:rPr>
          <w:b/>
          <w:sz w:val="24"/>
        </w:rPr>
      </w:pPr>
      <w:bookmarkStart w:name="TITLE: MassHealth Medicaid and CHIP Sect" w:id="43"/>
      <w:bookmarkEnd w:id="43"/>
      <w:r>
        <w:rPr/>
      </w:r>
      <w:r>
        <w:rPr>
          <w:b/>
          <w:spacing w:val="-2"/>
          <w:sz w:val="24"/>
        </w:rPr>
        <w:t>TITLE:</w:t>
      </w:r>
      <w:r>
        <w:rPr>
          <w:b/>
          <w:sz w:val="24"/>
        </w:rPr>
        <w:tab/>
        <w:t>MassHealth Medicaid and CHIP Section 1115 Demonstration </w:t>
      </w:r>
      <w:r>
        <w:rPr>
          <w:b/>
          <w:spacing w:val="-2"/>
          <w:sz w:val="24"/>
        </w:rPr>
        <w:t>AWARDEE:</w:t>
      </w:r>
      <w:r>
        <w:rPr>
          <w:b/>
          <w:sz w:val="24"/>
        </w:rPr>
        <w:tab/>
        <w:t>Massachusetts</w:t>
      </w:r>
      <w:r>
        <w:rPr>
          <w:b/>
          <w:spacing w:val="-6"/>
          <w:sz w:val="24"/>
        </w:rPr>
        <w:t> </w:t>
      </w:r>
      <w:r>
        <w:rPr>
          <w:b/>
          <w:sz w:val="24"/>
        </w:rPr>
        <w:t>Executive</w:t>
      </w:r>
      <w:r>
        <w:rPr>
          <w:b/>
          <w:spacing w:val="-7"/>
          <w:sz w:val="24"/>
        </w:rPr>
        <w:t> </w:t>
      </w:r>
      <w:r>
        <w:rPr>
          <w:b/>
          <w:sz w:val="24"/>
        </w:rPr>
        <w:t>Office</w:t>
      </w:r>
      <w:r>
        <w:rPr>
          <w:b/>
          <w:spacing w:val="-7"/>
          <w:sz w:val="24"/>
        </w:rPr>
        <w:t> </w:t>
      </w:r>
      <w:r>
        <w:rPr>
          <w:b/>
          <w:sz w:val="24"/>
        </w:rPr>
        <w:t>of</w:t>
      </w:r>
      <w:r>
        <w:rPr>
          <w:b/>
          <w:spacing w:val="-7"/>
          <w:sz w:val="24"/>
        </w:rPr>
        <w:t> </w:t>
      </w:r>
      <w:r>
        <w:rPr>
          <w:b/>
          <w:sz w:val="24"/>
        </w:rPr>
        <w:t>Health</w:t>
      </w:r>
      <w:r>
        <w:rPr>
          <w:b/>
          <w:spacing w:val="-6"/>
          <w:sz w:val="24"/>
        </w:rPr>
        <w:t> </w:t>
      </w:r>
      <w:r>
        <w:rPr>
          <w:b/>
          <w:sz w:val="24"/>
        </w:rPr>
        <w:t>and</w:t>
      </w:r>
      <w:r>
        <w:rPr>
          <w:b/>
          <w:spacing w:val="-7"/>
          <w:sz w:val="24"/>
        </w:rPr>
        <w:t> </w:t>
      </w:r>
      <w:r>
        <w:rPr>
          <w:b/>
          <w:sz w:val="24"/>
        </w:rPr>
        <w:t>Human</w:t>
      </w:r>
      <w:r>
        <w:rPr>
          <w:b/>
          <w:spacing w:val="-6"/>
          <w:sz w:val="24"/>
        </w:rPr>
        <w:t> </w:t>
      </w:r>
      <w:r>
        <w:rPr>
          <w:b/>
          <w:sz w:val="24"/>
        </w:rPr>
        <w:t>Services</w:t>
      </w:r>
    </w:p>
    <w:p>
      <w:pPr>
        <w:pStyle w:val="Heading4"/>
        <w:spacing w:before="5"/>
        <w:ind w:left="3600"/>
      </w:pPr>
      <w:r>
        <w:rPr>
          <w:spacing w:val="-2"/>
        </w:rPr>
        <w:t>(EOHHS)</w:t>
      </w:r>
    </w:p>
    <w:p>
      <w:pPr>
        <w:pStyle w:val="BodyText"/>
        <w:spacing w:before="160"/>
        <w:ind w:left="1440" w:right="1315"/>
      </w:pPr>
      <w:r>
        <w:rPr/>
        <w:t>Under</w:t>
      </w:r>
      <w:r>
        <w:rPr>
          <w:spacing w:val="-1"/>
        </w:rPr>
        <w:t> </w:t>
      </w:r>
      <w:r>
        <w:rPr/>
        <w:t>the</w:t>
      </w:r>
      <w:r>
        <w:rPr>
          <w:spacing w:val="-1"/>
        </w:rPr>
        <w:t> </w:t>
      </w:r>
      <w:r>
        <w:rPr/>
        <w:t>authority</w:t>
      </w:r>
      <w:r>
        <w:rPr>
          <w:spacing w:val="-5"/>
        </w:rPr>
        <w:t> </w:t>
      </w:r>
      <w:r>
        <w:rPr/>
        <w:t>of</w:t>
      </w:r>
      <w:r>
        <w:rPr>
          <w:spacing w:val="-1"/>
        </w:rPr>
        <w:t> </w:t>
      </w:r>
      <w:r>
        <w:rPr/>
        <w:t>section 1115(a)(2)</w:t>
      </w:r>
      <w:r>
        <w:rPr>
          <w:spacing w:val="-1"/>
        </w:rPr>
        <w:t> </w:t>
      </w:r>
      <w:r>
        <w:rPr/>
        <w:t>of</w:t>
      </w:r>
      <w:r>
        <w:rPr>
          <w:spacing w:val="-1"/>
        </w:rPr>
        <w:t> </w:t>
      </w:r>
      <w:r>
        <w:rPr/>
        <w:t>the</w:t>
      </w:r>
      <w:r>
        <w:rPr>
          <w:spacing w:val="-1"/>
        </w:rPr>
        <w:t> </w:t>
      </w:r>
      <w:r>
        <w:rPr/>
        <w:t>Social Security</w:t>
      </w:r>
      <w:r>
        <w:rPr>
          <w:spacing w:val="-5"/>
        </w:rPr>
        <w:t> </w:t>
      </w:r>
      <w:r>
        <w:rPr/>
        <w:t>Act (“the Act”), expenditures made by the Commonwealth of Massachusetts (referred to hereing as the state or the State/Commonwealth) for the items identified below, which are not otherwise included as expenditures</w:t>
      </w:r>
      <w:r>
        <w:rPr>
          <w:spacing w:val="-3"/>
        </w:rPr>
        <w:t> </w:t>
      </w:r>
      <w:r>
        <w:rPr/>
        <w:t>under</w:t>
      </w:r>
      <w:r>
        <w:rPr>
          <w:spacing w:val="-4"/>
        </w:rPr>
        <w:t> </w:t>
      </w:r>
      <w:r>
        <w:rPr/>
        <w:t>section</w:t>
      </w:r>
      <w:r>
        <w:rPr>
          <w:spacing w:val="-3"/>
        </w:rPr>
        <w:t> </w:t>
      </w:r>
      <w:r>
        <w:rPr/>
        <w:t>1903</w:t>
      </w:r>
      <w:r>
        <w:rPr>
          <w:spacing w:val="-3"/>
        </w:rPr>
        <w:t> </w:t>
      </w:r>
      <w:r>
        <w:rPr/>
        <w:t>of</w:t>
      </w:r>
      <w:r>
        <w:rPr>
          <w:spacing w:val="-4"/>
        </w:rPr>
        <w:t> </w:t>
      </w:r>
      <w:r>
        <w:rPr/>
        <w:t>the</w:t>
      </w:r>
      <w:r>
        <w:rPr>
          <w:spacing w:val="-4"/>
        </w:rPr>
        <w:t> </w:t>
      </w:r>
      <w:r>
        <w:rPr/>
        <w:t>Act</w:t>
      </w:r>
      <w:r>
        <w:rPr>
          <w:spacing w:val="-3"/>
        </w:rPr>
        <w:t> </w:t>
      </w:r>
      <w:r>
        <w:rPr/>
        <w:t>shall,</w:t>
      </w:r>
      <w:r>
        <w:rPr>
          <w:spacing w:val="-3"/>
        </w:rPr>
        <w:t> </w:t>
      </w:r>
      <w:r>
        <w:rPr/>
        <w:t>for</w:t>
      </w:r>
      <w:r>
        <w:rPr>
          <w:spacing w:val="-4"/>
        </w:rPr>
        <w:t> </w:t>
      </w:r>
      <w:r>
        <w:rPr/>
        <w:t>the</w:t>
      </w:r>
      <w:r>
        <w:rPr>
          <w:spacing w:val="-4"/>
        </w:rPr>
        <w:t> </w:t>
      </w:r>
      <w:r>
        <w:rPr/>
        <w:t>period</w:t>
      </w:r>
      <w:r>
        <w:rPr>
          <w:spacing w:val="-3"/>
        </w:rPr>
        <w:t> </w:t>
      </w:r>
      <w:r>
        <w:rPr/>
        <w:t>from</w:t>
      </w:r>
      <w:r>
        <w:rPr>
          <w:spacing w:val="-3"/>
        </w:rPr>
        <w:t> </w:t>
      </w:r>
      <w:r>
        <w:rPr/>
        <w:t>October</w:t>
      </w:r>
      <w:r>
        <w:rPr>
          <w:spacing w:val="-4"/>
        </w:rPr>
        <w:t> </w:t>
      </w:r>
      <w:r>
        <w:rPr/>
        <w:t>1,</w:t>
      </w:r>
      <w:r>
        <w:rPr>
          <w:spacing w:val="-3"/>
        </w:rPr>
        <w:t> </w:t>
      </w:r>
      <w:r>
        <w:rPr/>
        <w:t>2022</w:t>
      </w:r>
      <w:r>
        <w:rPr>
          <w:spacing w:val="-3"/>
        </w:rPr>
        <w:t> </w:t>
      </w:r>
      <w:r>
        <w:rPr/>
        <w:t>through December 31, 2027, unless otherwise specified, be regarded as expenditures under the state’s title XIX plan.</w:t>
      </w:r>
    </w:p>
    <w:p>
      <w:pPr>
        <w:pStyle w:val="BodyText"/>
      </w:pPr>
    </w:p>
    <w:p>
      <w:pPr>
        <w:pStyle w:val="BodyText"/>
        <w:ind w:left="1440" w:right="1315"/>
      </w:pPr>
      <w:r>
        <w:rPr/>
        <w:t>As discussed in the Centers for Medicare &amp; Medicaid Services’ (CMS) approval letter, the Secretary of Health and Human Services has determined that the MassHealth Medicaid and CHIP Section 1115 Demonstration, including the granting of the expenditure authorities described</w:t>
      </w:r>
      <w:r>
        <w:rPr>
          <w:spacing w:val="-2"/>
        </w:rPr>
        <w:t> </w:t>
      </w:r>
      <w:r>
        <w:rPr/>
        <w:t>below,</w:t>
      </w:r>
      <w:r>
        <w:rPr>
          <w:spacing w:val="-2"/>
        </w:rPr>
        <w:t> </w:t>
      </w:r>
      <w:r>
        <w:rPr/>
        <w:t>is</w:t>
      </w:r>
      <w:r>
        <w:rPr>
          <w:spacing w:val="-2"/>
        </w:rPr>
        <w:t> </w:t>
      </w:r>
      <w:r>
        <w:rPr/>
        <w:t>likely</w:t>
      </w:r>
      <w:r>
        <w:rPr>
          <w:spacing w:val="-5"/>
        </w:rPr>
        <w:t> </w:t>
      </w:r>
      <w:r>
        <w:rPr/>
        <w:t>to</w:t>
      </w:r>
      <w:r>
        <w:rPr>
          <w:spacing w:val="-2"/>
        </w:rPr>
        <w:t> </w:t>
      </w:r>
      <w:r>
        <w:rPr/>
        <w:t>assist</w:t>
      </w:r>
      <w:r>
        <w:rPr>
          <w:spacing w:val="-2"/>
        </w:rPr>
        <w:t> </w:t>
      </w:r>
      <w:r>
        <w:rPr/>
        <w:t>in</w:t>
      </w:r>
      <w:r>
        <w:rPr>
          <w:spacing w:val="-2"/>
        </w:rPr>
        <w:t> </w:t>
      </w:r>
      <w:r>
        <w:rPr/>
        <w:t>promoting</w:t>
      </w:r>
      <w:r>
        <w:rPr>
          <w:spacing w:val="-5"/>
        </w:rPr>
        <w:t> </w:t>
      </w:r>
      <w:r>
        <w:rPr/>
        <w:t>the</w:t>
      </w:r>
      <w:r>
        <w:rPr>
          <w:spacing w:val="-3"/>
        </w:rPr>
        <w:t> </w:t>
      </w:r>
      <w:r>
        <w:rPr/>
        <w:t>objectives</w:t>
      </w:r>
      <w:r>
        <w:rPr>
          <w:spacing w:val="-2"/>
        </w:rPr>
        <w:t> </w:t>
      </w:r>
      <w:r>
        <w:rPr/>
        <w:t>of</w:t>
      </w:r>
      <w:r>
        <w:rPr>
          <w:spacing w:val="-3"/>
        </w:rPr>
        <w:t> </w:t>
      </w:r>
      <w:r>
        <w:rPr/>
        <w:t>title</w:t>
      </w:r>
      <w:r>
        <w:rPr>
          <w:spacing w:val="-3"/>
        </w:rPr>
        <w:t> </w:t>
      </w:r>
      <w:r>
        <w:rPr/>
        <w:t>XIX and</w:t>
      </w:r>
      <w:r>
        <w:rPr>
          <w:spacing w:val="-2"/>
        </w:rPr>
        <w:t> </w:t>
      </w:r>
      <w:r>
        <w:rPr/>
        <w:t>XXI</w:t>
      </w:r>
      <w:r>
        <w:rPr>
          <w:spacing w:val="-6"/>
        </w:rPr>
        <w:t> </w:t>
      </w:r>
      <w:r>
        <w:rPr/>
        <w:t>of</w:t>
      </w:r>
      <w:r>
        <w:rPr>
          <w:spacing w:val="-3"/>
        </w:rPr>
        <w:t> </w:t>
      </w:r>
      <w:r>
        <w:rPr/>
        <w:t>the</w:t>
      </w:r>
      <w:r>
        <w:rPr>
          <w:spacing w:val="-3"/>
        </w:rPr>
        <w:t> </w:t>
      </w:r>
      <w:r>
        <w:rPr/>
        <w:t>Act.</w:t>
      </w:r>
    </w:p>
    <w:p>
      <w:pPr>
        <w:pStyle w:val="BodyText"/>
      </w:pPr>
    </w:p>
    <w:p>
      <w:pPr>
        <w:pStyle w:val="BodyText"/>
        <w:spacing w:before="1"/>
        <w:ind w:left="1440" w:right="1239"/>
      </w:pPr>
      <w:r>
        <w:rPr/>
        <w:t>The following expenditure authorities may only be implemented consistent with the approved Special</w:t>
      </w:r>
      <w:r>
        <w:rPr>
          <w:spacing w:val="-3"/>
        </w:rPr>
        <w:t> </w:t>
      </w:r>
      <w:r>
        <w:rPr/>
        <w:t>Terms</w:t>
      </w:r>
      <w:r>
        <w:rPr>
          <w:spacing w:val="-3"/>
        </w:rPr>
        <w:t> </w:t>
      </w:r>
      <w:r>
        <w:rPr/>
        <w:t>and</w:t>
      </w:r>
      <w:r>
        <w:rPr>
          <w:spacing w:val="-3"/>
        </w:rPr>
        <w:t> </w:t>
      </w:r>
      <w:r>
        <w:rPr/>
        <w:t>Conditions</w:t>
      </w:r>
      <w:r>
        <w:rPr>
          <w:spacing w:val="-3"/>
        </w:rPr>
        <w:t> </w:t>
      </w:r>
      <w:r>
        <w:rPr/>
        <w:t>(STCs)</w:t>
      </w:r>
      <w:r>
        <w:rPr>
          <w:spacing w:val="-4"/>
        </w:rPr>
        <w:t> </w:t>
      </w:r>
      <w:r>
        <w:rPr/>
        <w:t>and</w:t>
      </w:r>
      <w:r>
        <w:rPr>
          <w:spacing w:val="-3"/>
        </w:rPr>
        <w:t> </w:t>
      </w:r>
      <w:r>
        <w:rPr/>
        <w:t>shall</w:t>
      </w:r>
      <w:r>
        <w:rPr>
          <w:spacing w:val="-3"/>
        </w:rPr>
        <w:t> </w:t>
      </w:r>
      <w:r>
        <w:rPr/>
        <w:t>enable</w:t>
      </w:r>
      <w:r>
        <w:rPr>
          <w:spacing w:val="-4"/>
        </w:rPr>
        <w:t> </w:t>
      </w:r>
      <w:r>
        <w:rPr/>
        <w:t>the</w:t>
      </w:r>
      <w:r>
        <w:rPr>
          <w:spacing w:val="-4"/>
        </w:rPr>
        <w:t> </w:t>
      </w:r>
      <w:r>
        <w:rPr/>
        <w:t>Commonwealth</w:t>
      </w:r>
      <w:r>
        <w:rPr>
          <w:spacing w:val="-1"/>
        </w:rPr>
        <w:t> </w:t>
      </w:r>
      <w:r>
        <w:rPr/>
        <w:t>to</w:t>
      </w:r>
      <w:r>
        <w:rPr>
          <w:spacing w:val="-3"/>
        </w:rPr>
        <w:t> </w:t>
      </w:r>
      <w:r>
        <w:rPr/>
        <w:t>operate</w:t>
      </w:r>
      <w:r>
        <w:rPr>
          <w:spacing w:val="-4"/>
        </w:rPr>
        <w:t> </w:t>
      </w:r>
      <w:r>
        <w:rPr/>
        <w:t>the</w:t>
      </w:r>
      <w:r>
        <w:rPr>
          <w:spacing w:val="-2"/>
        </w:rPr>
        <w:t> </w:t>
      </w:r>
      <w:r>
        <w:rPr/>
        <w:t>above- identified section 1115(a) demonstration.</w:t>
      </w:r>
    </w:p>
    <w:p>
      <w:pPr>
        <w:pStyle w:val="BodyText"/>
        <w:rPr>
          <w:sz w:val="26"/>
        </w:rPr>
      </w:pPr>
    </w:p>
    <w:p>
      <w:pPr>
        <w:pStyle w:val="ListParagraph"/>
        <w:numPr>
          <w:ilvl w:val="0"/>
          <w:numId w:val="2"/>
        </w:numPr>
        <w:tabs>
          <w:tab w:pos="1800" w:val="left" w:leader="none"/>
        </w:tabs>
        <w:spacing w:line="240" w:lineRule="auto" w:before="217" w:after="0"/>
        <w:ind w:left="1800" w:right="0" w:hanging="360"/>
        <w:jc w:val="left"/>
        <w:rPr>
          <w:sz w:val="24"/>
        </w:rPr>
      </w:pPr>
      <w:bookmarkStart w:name="1. CommonHealth Adults. Expenditures for" w:id="44"/>
      <w:bookmarkEnd w:id="44"/>
      <w:r>
        <w:rPr/>
      </w:r>
      <w:r>
        <w:rPr>
          <w:b/>
          <w:sz w:val="24"/>
        </w:rPr>
        <w:t>CommonHealth</w:t>
      </w:r>
      <w:r>
        <w:rPr>
          <w:b/>
          <w:spacing w:val="-5"/>
          <w:sz w:val="24"/>
        </w:rPr>
        <w:t> </w:t>
      </w:r>
      <w:r>
        <w:rPr>
          <w:b/>
          <w:sz w:val="24"/>
        </w:rPr>
        <w:t>Adults.</w:t>
      </w:r>
      <w:r>
        <w:rPr>
          <w:b/>
          <w:spacing w:val="-2"/>
          <w:sz w:val="24"/>
        </w:rPr>
        <w:t> </w:t>
      </w:r>
      <w:r>
        <w:rPr>
          <w:sz w:val="24"/>
        </w:rPr>
        <w:t>Expenditures</w:t>
      </w:r>
      <w:r>
        <w:rPr>
          <w:spacing w:val="-2"/>
          <w:sz w:val="24"/>
        </w:rPr>
        <w:t> </w:t>
      </w:r>
      <w:r>
        <w:rPr>
          <w:sz w:val="24"/>
        </w:rPr>
        <w:t>for</w:t>
      </w:r>
      <w:r>
        <w:rPr>
          <w:spacing w:val="-4"/>
          <w:sz w:val="24"/>
        </w:rPr>
        <w:t> </w:t>
      </w:r>
      <w:r>
        <w:rPr>
          <w:sz w:val="24"/>
        </w:rPr>
        <w:t>health care-related</w:t>
      </w:r>
      <w:r>
        <w:rPr>
          <w:spacing w:val="-2"/>
          <w:sz w:val="24"/>
        </w:rPr>
        <w:t> </w:t>
      </w:r>
      <w:r>
        <w:rPr>
          <w:sz w:val="24"/>
        </w:rPr>
        <w:t>costs</w:t>
      </w:r>
      <w:r>
        <w:rPr>
          <w:spacing w:val="-2"/>
          <w:sz w:val="24"/>
        </w:rPr>
        <w:t> </w:t>
      </w:r>
      <w:r>
        <w:rPr>
          <w:spacing w:val="-4"/>
          <w:sz w:val="24"/>
        </w:rPr>
        <w:t>for:</w:t>
      </w:r>
    </w:p>
    <w:p>
      <w:pPr>
        <w:pStyle w:val="BodyText"/>
        <w:spacing w:before="10"/>
        <w:rPr>
          <w:sz w:val="20"/>
        </w:rPr>
      </w:pPr>
    </w:p>
    <w:p>
      <w:pPr>
        <w:pStyle w:val="ListParagraph"/>
        <w:numPr>
          <w:ilvl w:val="1"/>
          <w:numId w:val="2"/>
        </w:numPr>
        <w:tabs>
          <w:tab w:pos="2520" w:val="left" w:leader="none"/>
        </w:tabs>
        <w:spacing w:line="240" w:lineRule="auto" w:before="0" w:after="0"/>
        <w:ind w:left="2520" w:right="1372" w:hanging="360"/>
        <w:jc w:val="left"/>
        <w:rPr>
          <w:sz w:val="24"/>
        </w:rPr>
      </w:pPr>
      <w:r>
        <w:rPr>
          <w:sz w:val="24"/>
        </w:rPr>
        <w:t>Adults</w:t>
      </w:r>
      <w:r>
        <w:rPr>
          <w:spacing w:val="-4"/>
          <w:sz w:val="24"/>
        </w:rPr>
        <w:t> </w:t>
      </w:r>
      <w:r>
        <w:rPr>
          <w:sz w:val="24"/>
        </w:rPr>
        <w:t>aged</w:t>
      </w:r>
      <w:r>
        <w:rPr>
          <w:spacing w:val="-3"/>
          <w:sz w:val="24"/>
        </w:rPr>
        <w:t> </w:t>
      </w:r>
      <w:r>
        <w:rPr>
          <w:sz w:val="24"/>
        </w:rPr>
        <w:t>19</w:t>
      </w:r>
      <w:r>
        <w:rPr>
          <w:spacing w:val="-3"/>
          <w:sz w:val="24"/>
        </w:rPr>
        <w:t> </w:t>
      </w:r>
      <w:r>
        <w:rPr>
          <w:sz w:val="24"/>
        </w:rPr>
        <w:t>through</w:t>
      </w:r>
      <w:r>
        <w:rPr>
          <w:spacing w:val="-3"/>
          <w:sz w:val="24"/>
        </w:rPr>
        <w:t> </w:t>
      </w:r>
      <w:r>
        <w:rPr>
          <w:sz w:val="24"/>
        </w:rPr>
        <w:t>64</w:t>
      </w:r>
      <w:r>
        <w:rPr>
          <w:spacing w:val="-3"/>
          <w:sz w:val="24"/>
        </w:rPr>
        <w:t> </w:t>
      </w:r>
      <w:r>
        <w:rPr>
          <w:sz w:val="24"/>
        </w:rPr>
        <w:t>who</w:t>
      </w:r>
      <w:r>
        <w:rPr>
          <w:spacing w:val="-3"/>
          <w:sz w:val="24"/>
        </w:rPr>
        <w:t> </w:t>
      </w:r>
      <w:r>
        <w:rPr>
          <w:sz w:val="24"/>
        </w:rPr>
        <w:t>are</w:t>
      </w:r>
      <w:r>
        <w:rPr>
          <w:spacing w:val="-4"/>
          <w:sz w:val="24"/>
        </w:rPr>
        <w:t> </w:t>
      </w:r>
      <w:r>
        <w:rPr>
          <w:sz w:val="24"/>
        </w:rPr>
        <w:t>totally</w:t>
      </w:r>
      <w:r>
        <w:rPr>
          <w:spacing w:val="-7"/>
          <w:sz w:val="24"/>
        </w:rPr>
        <w:t> </w:t>
      </w:r>
      <w:r>
        <w:rPr>
          <w:sz w:val="24"/>
        </w:rPr>
        <w:t>and</w:t>
      </w:r>
      <w:r>
        <w:rPr>
          <w:spacing w:val="-3"/>
          <w:sz w:val="24"/>
        </w:rPr>
        <w:t> </w:t>
      </w:r>
      <w:r>
        <w:rPr>
          <w:sz w:val="24"/>
        </w:rPr>
        <w:t>permanently</w:t>
      </w:r>
      <w:r>
        <w:rPr>
          <w:spacing w:val="-7"/>
          <w:sz w:val="24"/>
        </w:rPr>
        <w:t> </w:t>
      </w:r>
      <w:r>
        <w:rPr>
          <w:sz w:val="24"/>
        </w:rPr>
        <w:t>disabled</w:t>
      </w:r>
      <w:r>
        <w:rPr>
          <w:spacing w:val="-1"/>
          <w:sz w:val="24"/>
        </w:rPr>
        <w:t> </w:t>
      </w:r>
      <w:r>
        <w:rPr>
          <w:sz w:val="24"/>
        </w:rPr>
        <w:t>and</w:t>
      </w:r>
      <w:r>
        <w:rPr>
          <w:spacing w:val="-15"/>
          <w:sz w:val="24"/>
        </w:rPr>
        <w:t> </w:t>
      </w:r>
      <w:r>
        <w:rPr>
          <w:sz w:val="24"/>
        </w:rPr>
        <w:t>not</w:t>
      </w:r>
      <w:r>
        <w:rPr>
          <w:spacing w:val="-3"/>
          <w:sz w:val="24"/>
        </w:rPr>
        <w:t> </w:t>
      </w:r>
      <w:r>
        <w:rPr>
          <w:sz w:val="24"/>
        </w:rPr>
        <w:t>eligible for comprehensive coverage under the Massachusetts state</w:t>
      </w:r>
      <w:r>
        <w:rPr>
          <w:spacing w:val="-5"/>
          <w:sz w:val="24"/>
        </w:rPr>
        <w:t> </w:t>
      </w:r>
      <w:r>
        <w:rPr>
          <w:sz w:val="24"/>
        </w:rPr>
        <w:t>plan.</w:t>
      </w:r>
    </w:p>
    <w:p>
      <w:pPr>
        <w:pStyle w:val="ListParagraph"/>
        <w:numPr>
          <w:ilvl w:val="1"/>
          <w:numId w:val="2"/>
        </w:numPr>
        <w:tabs>
          <w:tab w:pos="2520" w:val="left" w:leader="none"/>
        </w:tabs>
        <w:spacing w:line="240" w:lineRule="auto" w:before="158" w:after="0"/>
        <w:ind w:left="2520" w:right="1461" w:hanging="360"/>
        <w:jc w:val="left"/>
        <w:rPr>
          <w:sz w:val="24"/>
        </w:rPr>
      </w:pPr>
      <w:r>
        <w:rPr>
          <w:sz w:val="24"/>
        </w:rPr>
        <w:t>Adults</w:t>
      </w:r>
      <w:r>
        <w:rPr>
          <w:spacing w:val="-5"/>
          <w:sz w:val="24"/>
        </w:rPr>
        <w:t> </w:t>
      </w:r>
      <w:r>
        <w:rPr>
          <w:sz w:val="24"/>
        </w:rPr>
        <w:t>aged</w:t>
      </w:r>
      <w:r>
        <w:rPr>
          <w:spacing w:val="-3"/>
          <w:sz w:val="24"/>
        </w:rPr>
        <w:t> </w:t>
      </w:r>
      <w:r>
        <w:rPr>
          <w:sz w:val="24"/>
        </w:rPr>
        <w:t>65</w:t>
      </w:r>
      <w:r>
        <w:rPr>
          <w:spacing w:val="-3"/>
          <w:sz w:val="24"/>
        </w:rPr>
        <w:t> </w:t>
      </w:r>
      <w:r>
        <w:rPr>
          <w:sz w:val="24"/>
        </w:rPr>
        <w:t>and</w:t>
      </w:r>
      <w:r>
        <w:rPr>
          <w:spacing w:val="-3"/>
          <w:sz w:val="24"/>
        </w:rPr>
        <w:t> </w:t>
      </w:r>
      <w:r>
        <w:rPr>
          <w:sz w:val="24"/>
        </w:rPr>
        <w:t>over</w:t>
      </w:r>
      <w:r>
        <w:rPr>
          <w:spacing w:val="-2"/>
          <w:sz w:val="24"/>
        </w:rPr>
        <w:t> </w:t>
      </w:r>
      <w:r>
        <w:rPr>
          <w:sz w:val="24"/>
        </w:rPr>
        <w:t>who</w:t>
      </w:r>
      <w:r>
        <w:rPr>
          <w:spacing w:val="-3"/>
          <w:sz w:val="24"/>
        </w:rPr>
        <w:t> </w:t>
      </w:r>
      <w:r>
        <w:rPr>
          <w:sz w:val="24"/>
        </w:rPr>
        <w:t>are</w:t>
      </w:r>
      <w:r>
        <w:rPr>
          <w:spacing w:val="-4"/>
          <w:sz w:val="24"/>
        </w:rPr>
        <w:t> </w:t>
      </w:r>
      <w:r>
        <w:rPr>
          <w:sz w:val="24"/>
        </w:rPr>
        <w:t>not</w:t>
      </w:r>
      <w:r>
        <w:rPr>
          <w:spacing w:val="-3"/>
          <w:sz w:val="24"/>
        </w:rPr>
        <w:t> </w:t>
      </w:r>
      <w:r>
        <w:rPr>
          <w:sz w:val="24"/>
        </w:rPr>
        <w:t>eligible</w:t>
      </w:r>
      <w:r>
        <w:rPr>
          <w:spacing w:val="-4"/>
          <w:sz w:val="24"/>
        </w:rPr>
        <w:t> </w:t>
      </w:r>
      <w:r>
        <w:rPr>
          <w:sz w:val="24"/>
        </w:rPr>
        <w:t>for</w:t>
      </w:r>
      <w:r>
        <w:rPr>
          <w:spacing w:val="-4"/>
          <w:sz w:val="24"/>
        </w:rPr>
        <w:t> </w:t>
      </w:r>
      <w:r>
        <w:rPr>
          <w:sz w:val="24"/>
        </w:rPr>
        <w:t>comprehensive</w:t>
      </w:r>
      <w:r>
        <w:rPr>
          <w:spacing w:val="-23"/>
          <w:sz w:val="24"/>
        </w:rPr>
        <w:t> </w:t>
      </w:r>
      <w:r>
        <w:rPr>
          <w:sz w:val="24"/>
        </w:rPr>
        <w:t>coverage</w:t>
      </w:r>
      <w:r>
        <w:rPr>
          <w:spacing w:val="-4"/>
          <w:sz w:val="24"/>
        </w:rPr>
        <w:t> </w:t>
      </w:r>
      <w:r>
        <w:rPr>
          <w:sz w:val="24"/>
        </w:rPr>
        <w:t>under</w:t>
      </w:r>
      <w:r>
        <w:rPr>
          <w:spacing w:val="-4"/>
          <w:sz w:val="24"/>
        </w:rPr>
        <w:t> </w:t>
      </w:r>
      <w:r>
        <w:rPr>
          <w:sz w:val="24"/>
        </w:rPr>
        <w:t>the Massachusetts state plan, with disabilities that would meet</w:t>
      </w:r>
      <w:r>
        <w:rPr>
          <w:spacing w:val="-12"/>
          <w:sz w:val="24"/>
        </w:rPr>
        <w:t> </w:t>
      </w:r>
      <w:r>
        <w:rPr>
          <w:sz w:val="24"/>
        </w:rPr>
        <w:t>the federal definition of “permanent and total disability” if these adults were under the age of 65.</w:t>
      </w:r>
    </w:p>
    <w:p>
      <w:pPr>
        <w:pStyle w:val="BodyText"/>
        <w:spacing w:before="10"/>
        <w:rPr>
          <w:sz w:val="20"/>
        </w:rPr>
      </w:pPr>
    </w:p>
    <w:p>
      <w:pPr>
        <w:pStyle w:val="ListParagraph"/>
        <w:numPr>
          <w:ilvl w:val="0"/>
          <w:numId w:val="2"/>
        </w:numPr>
        <w:tabs>
          <w:tab w:pos="1799" w:val="left" w:leader="none"/>
        </w:tabs>
        <w:spacing w:line="240" w:lineRule="auto" w:before="0" w:after="0"/>
        <w:ind w:left="1799" w:right="1265" w:hanging="360"/>
        <w:jc w:val="left"/>
        <w:rPr>
          <w:sz w:val="24"/>
        </w:rPr>
      </w:pPr>
      <w:bookmarkStart w:name="2. CommonHealth Children. Expenditures f" w:id="45"/>
      <w:bookmarkEnd w:id="45"/>
      <w:r>
        <w:rPr/>
      </w:r>
      <w:r>
        <w:rPr>
          <w:b/>
          <w:sz w:val="24"/>
        </w:rPr>
        <w:t>CommonHealth</w:t>
      </w:r>
      <w:r>
        <w:rPr>
          <w:b/>
          <w:spacing w:val="-4"/>
          <w:sz w:val="24"/>
        </w:rPr>
        <w:t> </w:t>
      </w:r>
      <w:r>
        <w:rPr>
          <w:b/>
          <w:sz w:val="24"/>
        </w:rPr>
        <w:t>Children.</w:t>
      </w:r>
      <w:r>
        <w:rPr>
          <w:b/>
          <w:spacing w:val="-4"/>
          <w:sz w:val="24"/>
        </w:rPr>
        <w:t> </w:t>
      </w:r>
      <w:r>
        <w:rPr>
          <w:sz w:val="24"/>
        </w:rPr>
        <w:t>Expenditures</w:t>
      </w:r>
      <w:r>
        <w:rPr>
          <w:spacing w:val="-4"/>
          <w:sz w:val="24"/>
        </w:rPr>
        <w:t> </w:t>
      </w:r>
      <w:r>
        <w:rPr>
          <w:sz w:val="24"/>
        </w:rPr>
        <w:t>for</w:t>
      </w:r>
      <w:r>
        <w:rPr>
          <w:spacing w:val="-5"/>
          <w:sz w:val="24"/>
        </w:rPr>
        <w:t> </w:t>
      </w:r>
      <w:r>
        <w:rPr>
          <w:sz w:val="24"/>
        </w:rPr>
        <w:t>health</w:t>
      </w:r>
      <w:r>
        <w:rPr>
          <w:spacing w:val="-4"/>
          <w:sz w:val="24"/>
        </w:rPr>
        <w:t> </w:t>
      </w:r>
      <w:r>
        <w:rPr>
          <w:sz w:val="24"/>
        </w:rPr>
        <w:t>care-related</w:t>
      </w:r>
      <w:r>
        <w:rPr>
          <w:spacing w:val="-4"/>
          <w:sz w:val="24"/>
        </w:rPr>
        <w:t> </w:t>
      </w:r>
      <w:r>
        <w:rPr>
          <w:sz w:val="24"/>
        </w:rPr>
        <w:t>costs</w:t>
      </w:r>
      <w:r>
        <w:rPr>
          <w:spacing w:val="-4"/>
          <w:sz w:val="24"/>
        </w:rPr>
        <w:t> </w:t>
      </w:r>
      <w:r>
        <w:rPr>
          <w:sz w:val="24"/>
        </w:rPr>
        <w:t>for</w:t>
      </w:r>
      <w:r>
        <w:rPr>
          <w:spacing w:val="-3"/>
          <w:sz w:val="24"/>
        </w:rPr>
        <w:t> </w:t>
      </w:r>
      <w:r>
        <w:rPr>
          <w:sz w:val="24"/>
        </w:rPr>
        <w:t>children</w:t>
      </w:r>
      <w:r>
        <w:rPr>
          <w:spacing w:val="-4"/>
          <w:sz w:val="24"/>
        </w:rPr>
        <w:t> </w:t>
      </w:r>
      <w:r>
        <w:rPr>
          <w:sz w:val="24"/>
        </w:rPr>
        <w:t>from</w:t>
      </w:r>
      <w:r>
        <w:rPr>
          <w:spacing w:val="-4"/>
          <w:sz w:val="24"/>
        </w:rPr>
        <w:t> </w:t>
      </w:r>
      <w:r>
        <w:rPr>
          <w:sz w:val="24"/>
        </w:rPr>
        <w:t>birth through age 18 who are totally and permanently disabled with incomes greater than 150 percent of the Federal poverty level (FPL) and who are not</w:t>
      </w:r>
      <w:r>
        <w:rPr>
          <w:spacing w:val="-32"/>
          <w:sz w:val="24"/>
        </w:rPr>
        <w:t> </w:t>
      </w:r>
      <w:r>
        <w:rPr>
          <w:sz w:val="24"/>
        </w:rPr>
        <w:t>eligible for comprehensive coverage</w:t>
      </w:r>
      <w:r>
        <w:rPr>
          <w:spacing w:val="-2"/>
          <w:sz w:val="24"/>
        </w:rPr>
        <w:t> </w:t>
      </w:r>
      <w:r>
        <w:rPr>
          <w:sz w:val="24"/>
        </w:rPr>
        <w:t>under</w:t>
      </w:r>
      <w:r>
        <w:rPr>
          <w:spacing w:val="-2"/>
          <w:sz w:val="24"/>
        </w:rPr>
        <w:t> </w:t>
      </w:r>
      <w:r>
        <w:rPr>
          <w:sz w:val="24"/>
        </w:rPr>
        <w:t>the</w:t>
      </w:r>
      <w:r>
        <w:rPr>
          <w:spacing w:val="-2"/>
          <w:sz w:val="24"/>
        </w:rPr>
        <w:t> </w:t>
      </w:r>
      <w:r>
        <w:rPr>
          <w:sz w:val="24"/>
        </w:rPr>
        <w:t>Massachusetts</w:t>
      </w:r>
      <w:r>
        <w:rPr>
          <w:spacing w:val="-1"/>
          <w:sz w:val="24"/>
        </w:rPr>
        <w:t> </w:t>
      </w:r>
      <w:r>
        <w:rPr>
          <w:sz w:val="24"/>
        </w:rPr>
        <w:t>state</w:t>
      </w:r>
      <w:r>
        <w:rPr>
          <w:spacing w:val="-14"/>
          <w:sz w:val="24"/>
        </w:rPr>
        <w:t> </w:t>
      </w:r>
      <w:r>
        <w:rPr>
          <w:sz w:val="24"/>
        </w:rPr>
        <w:t>plans,</w:t>
      </w:r>
      <w:r>
        <w:rPr>
          <w:spacing w:val="-1"/>
          <w:sz w:val="24"/>
        </w:rPr>
        <w:t> </w:t>
      </w:r>
      <w:r>
        <w:rPr>
          <w:sz w:val="24"/>
        </w:rPr>
        <w:t>or, for</w:t>
      </w:r>
      <w:r>
        <w:rPr>
          <w:spacing w:val="-2"/>
          <w:sz w:val="24"/>
        </w:rPr>
        <w:t> </w:t>
      </w:r>
      <w:r>
        <w:rPr>
          <w:sz w:val="24"/>
        </w:rPr>
        <w:t>otherwise</w:t>
      </w:r>
      <w:r>
        <w:rPr>
          <w:spacing w:val="-2"/>
          <w:sz w:val="24"/>
        </w:rPr>
        <w:t> </w:t>
      </w:r>
      <w:r>
        <w:rPr>
          <w:sz w:val="24"/>
        </w:rPr>
        <w:t>Title</w:t>
      </w:r>
      <w:r>
        <w:rPr>
          <w:spacing w:val="-2"/>
          <w:sz w:val="24"/>
        </w:rPr>
        <w:t> </w:t>
      </w:r>
      <w:r>
        <w:rPr>
          <w:sz w:val="24"/>
        </w:rPr>
        <w:t>XXI</w:t>
      </w:r>
      <w:r>
        <w:rPr>
          <w:spacing w:val="-5"/>
          <w:sz w:val="24"/>
        </w:rPr>
        <w:t> </w:t>
      </w:r>
      <w:r>
        <w:rPr>
          <w:sz w:val="24"/>
        </w:rPr>
        <w:t>eligible</w:t>
      </w:r>
      <w:r>
        <w:rPr>
          <w:spacing w:val="-2"/>
          <w:sz w:val="24"/>
        </w:rPr>
        <w:t> </w:t>
      </w:r>
      <w:r>
        <w:rPr>
          <w:sz w:val="24"/>
        </w:rPr>
        <w:t>children,</w:t>
      </w:r>
      <w:r>
        <w:rPr>
          <w:spacing w:val="-1"/>
          <w:sz w:val="24"/>
        </w:rPr>
        <w:t> </w:t>
      </w:r>
      <w:r>
        <w:rPr>
          <w:sz w:val="24"/>
        </w:rPr>
        <w:t>if the Title XXI allotment is exhausted.</w:t>
      </w:r>
    </w:p>
    <w:p>
      <w:pPr>
        <w:pStyle w:val="BodyText"/>
        <w:spacing w:before="10"/>
        <w:rPr>
          <w:sz w:val="20"/>
        </w:rPr>
      </w:pPr>
    </w:p>
    <w:p>
      <w:pPr>
        <w:pStyle w:val="ListParagraph"/>
        <w:numPr>
          <w:ilvl w:val="0"/>
          <w:numId w:val="2"/>
        </w:numPr>
        <w:tabs>
          <w:tab w:pos="1800" w:val="left" w:leader="none"/>
        </w:tabs>
        <w:spacing w:line="240" w:lineRule="auto" w:before="0" w:after="0"/>
        <w:ind w:left="1800" w:right="1699" w:hanging="360"/>
        <w:jc w:val="left"/>
        <w:rPr>
          <w:sz w:val="24"/>
        </w:rPr>
      </w:pPr>
      <w:bookmarkStart w:name="3. Family Assistance (e-Family Assistanc" w:id="46"/>
      <w:bookmarkEnd w:id="46"/>
      <w:r>
        <w:rPr/>
      </w:r>
      <w:r>
        <w:rPr>
          <w:b/>
          <w:sz w:val="24"/>
        </w:rPr>
        <w:t>Family</w:t>
      </w:r>
      <w:r>
        <w:rPr>
          <w:b/>
          <w:spacing w:val="-8"/>
          <w:sz w:val="24"/>
        </w:rPr>
        <w:t> </w:t>
      </w:r>
      <w:r>
        <w:rPr>
          <w:b/>
          <w:sz w:val="24"/>
        </w:rPr>
        <w:t>Assistance</w:t>
      </w:r>
      <w:r>
        <w:rPr>
          <w:b/>
          <w:spacing w:val="-4"/>
          <w:sz w:val="24"/>
        </w:rPr>
        <w:t> </w:t>
      </w:r>
      <w:r>
        <w:rPr>
          <w:b/>
          <w:sz w:val="24"/>
        </w:rPr>
        <w:t>(e-Family</w:t>
      </w:r>
      <w:r>
        <w:rPr>
          <w:b/>
          <w:spacing w:val="-5"/>
          <w:sz w:val="24"/>
        </w:rPr>
        <w:t> </w:t>
      </w:r>
      <w:r>
        <w:rPr>
          <w:b/>
          <w:sz w:val="24"/>
        </w:rPr>
        <w:t>Assistance</w:t>
      </w:r>
      <w:r>
        <w:rPr>
          <w:b/>
          <w:spacing w:val="-6"/>
          <w:sz w:val="24"/>
        </w:rPr>
        <w:t> </w:t>
      </w:r>
      <w:r>
        <w:rPr>
          <w:b/>
          <w:sz w:val="24"/>
        </w:rPr>
        <w:t>and</w:t>
      </w:r>
      <w:r>
        <w:rPr>
          <w:b/>
          <w:spacing w:val="-5"/>
          <w:sz w:val="24"/>
        </w:rPr>
        <w:t> </w:t>
      </w:r>
      <w:r>
        <w:rPr>
          <w:b/>
          <w:sz w:val="24"/>
        </w:rPr>
        <w:t>e-HIV/FA).</w:t>
      </w:r>
      <w:r>
        <w:rPr>
          <w:b/>
          <w:spacing w:val="-5"/>
          <w:sz w:val="24"/>
        </w:rPr>
        <w:t> </w:t>
      </w:r>
      <w:r>
        <w:rPr>
          <w:sz w:val="24"/>
        </w:rPr>
        <w:t>Expenditures</w:t>
      </w:r>
      <w:r>
        <w:rPr>
          <w:spacing w:val="-5"/>
          <w:sz w:val="24"/>
        </w:rPr>
        <w:t> </w:t>
      </w:r>
      <w:r>
        <w:rPr>
          <w:sz w:val="24"/>
        </w:rPr>
        <w:t>for</w:t>
      </w:r>
      <w:r>
        <w:rPr>
          <w:spacing w:val="-25"/>
          <w:sz w:val="24"/>
        </w:rPr>
        <w:t> </w:t>
      </w:r>
      <w:r>
        <w:rPr>
          <w:sz w:val="24"/>
        </w:rPr>
        <w:t>health</w:t>
      </w:r>
      <w:r>
        <w:rPr>
          <w:spacing w:val="-5"/>
          <w:sz w:val="24"/>
        </w:rPr>
        <w:t> </w:t>
      </w:r>
      <w:r>
        <w:rPr>
          <w:sz w:val="24"/>
        </w:rPr>
        <w:t>care- related costs for the following</w:t>
      </w:r>
      <w:r>
        <w:rPr>
          <w:spacing w:val="-9"/>
          <w:sz w:val="24"/>
        </w:rPr>
        <w:t> </w:t>
      </w:r>
      <w:r>
        <w:rPr>
          <w:sz w:val="24"/>
        </w:rPr>
        <w:t>individuals:</w:t>
      </w:r>
    </w:p>
    <w:p>
      <w:pPr>
        <w:pStyle w:val="BodyText"/>
        <w:spacing w:before="10"/>
        <w:rPr>
          <w:sz w:val="20"/>
        </w:rPr>
      </w:pPr>
    </w:p>
    <w:p>
      <w:pPr>
        <w:pStyle w:val="ListParagraph"/>
        <w:numPr>
          <w:ilvl w:val="1"/>
          <w:numId w:val="2"/>
        </w:numPr>
        <w:tabs>
          <w:tab w:pos="2519" w:val="left" w:leader="none"/>
        </w:tabs>
        <w:spacing w:line="240" w:lineRule="auto" w:before="0" w:after="0"/>
        <w:ind w:left="2519" w:right="0" w:hanging="359"/>
        <w:jc w:val="left"/>
        <w:rPr>
          <w:sz w:val="24"/>
        </w:rPr>
      </w:pPr>
      <w:r>
        <w:rPr>
          <w:sz w:val="24"/>
        </w:rPr>
        <w:t>Individuals</w:t>
      </w:r>
      <w:r>
        <w:rPr>
          <w:spacing w:val="-4"/>
          <w:sz w:val="24"/>
        </w:rPr>
        <w:t> </w:t>
      </w:r>
      <w:r>
        <w:rPr>
          <w:sz w:val="24"/>
        </w:rPr>
        <w:t>who</w:t>
      </w:r>
      <w:r>
        <w:rPr>
          <w:spacing w:val="-1"/>
          <w:sz w:val="24"/>
        </w:rPr>
        <w:t> </w:t>
      </w:r>
      <w:r>
        <w:rPr>
          <w:sz w:val="24"/>
        </w:rPr>
        <w:t>would</w:t>
      </w:r>
      <w:r>
        <w:rPr>
          <w:spacing w:val="-1"/>
          <w:sz w:val="24"/>
        </w:rPr>
        <w:t> </w:t>
      </w:r>
      <w:r>
        <w:rPr>
          <w:sz w:val="24"/>
        </w:rPr>
        <w:t>be</w:t>
      </w:r>
      <w:r>
        <w:rPr>
          <w:spacing w:val="-3"/>
          <w:sz w:val="24"/>
        </w:rPr>
        <w:t> </w:t>
      </w:r>
      <w:r>
        <w:rPr>
          <w:sz w:val="24"/>
        </w:rPr>
        <w:t>eligible for</w:t>
      </w:r>
      <w:r>
        <w:rPr>
          <w:spacing w:val="-2"/>
          <w:sz w:val="24"/>
        </w:rPr>
        <w:t> </w:t>
      </w:r>
      <w:r>
        <w:rPr>
          <w:sz w:val="24"/>
        </w:rPr>
        <w:t>the</w:t>
      </w:r>
      <w:r>
        <w:rPr>
          <w:spacing w:val="-2"/>
          <w:sz w:val="24"/>
        </w:rPr>
        <w:t> </w:t>
      </w:r>
      <w:r>
        <w:rPr>
          <w:sz w:val="24"/>
        </w:rPr>
        <w:t>New</w:t>
      </w:r>
      <w:r>
        <w:rPr>
          <w:spacing w:val="-3"/>
          <w:sz w:val="24"/>
        </w:rPr>
        <w:t> </w:t>
      </w:r>
      <w:r>
        <w:rPr>
          <w:sz w:val="24"/>
        </w:rPr>
        <w:t>Adult</w:t>
      </w:r>
      <w:r>
        <w:rPr>
          <w:spacing w:val="-1"/>
          <w:sz w:val="24"/>
        </w:rPr>
        <w:t> </w:t>
      </w:r>
      <w:r>
        <w:rPr>
          <w:sz w:val="24"/>
        </w:rPr>
        <w:t>Group</w:t>
      </w:r>
      <w:r>
        <w:rPr>
          <w:spacing w:val="-1"/>
          <w:sz w:val="24"/>
        </w:rPr>
        <w:t> </w:t>
      </w:r>
      <w:r>
        <w:rPr>
          <w:sz w:val="24"/>
        </w:rPr>
        <w:t>(MassHealth</w:t>
      </w:r>
      <w:r>
        <w:rPr>
          <w:spacing w:val="-1"/>
          <w:sz w:val="24"/>
        </w:rPr>
        <w:t> </w:t>
      </w:r>
      <w:r>
        <w:rPr>
          <w:spacing w:val="-2"/>
          <w:sz w:val="24"/>
        </w:rPr>
        <w:t>CarePlus</w:t>
      </w:r>
    </w:p>
    <w:p>
      <w:pPr>
        <w:spacing w:after="0" w:line="240" w:lineRule="auto"/>
        <w:jc w:val="left"/>
        <w:rPr>
          <w:sz w:val="24"/>
        </w:rPr>
        <w:sectPr>
          <w:pgSz w:w="12240" w:h="15840"/>
          <w:pgMar w:header="0" w:footer="998" w:top="1360" w:bottom="1180" w:left="0" w:right="220"/>
        </w:sectPr>
      </w:pPr>
    </w:p>
    <w:p>
      <w:pPr>
        <w:pStyle w:val="BodyText"/>
        <w:spacing w:before="79"/>
        <w:ind w:left="2519" w:right="1315"/>
      </w:pPr>
      <w:r>
        <w:rPr/>
        <w:t>but for the income limit, are HIV-positive, are not institutionalized, with incomes above</w:t>
      </w:r>
      <w:r>
        <w:rPr>
          <w:spacing w:val="-4"/>
        </w:rPr>
        <w:t> </w:t>
      </w:r>
      <w:r>
        <w:rPr/>
        <w:t>133</w:t>
      </w:r>
      <w:r>
        <w:rPr>
          <w:spacing w:val="-3"/>
        </w:rPr>
        <w:t> </w:t>
      </w:r>
      <w:r>
        <w:rPr/>
        <w:t>through</w:t>
      </w:r>
      <w:r>
        <w:rPr>
          <w:spacing w:val="-3"/>
        </w:rPr>
        <w:t> </w:t>
      </w:r>
      <w:r>
        <w:rPr/>
        <w:t>200</w:t>
      </w:r>
      <w:r>
        <w:rPr>
          <w:spacing w:val="-3"/>
        </w:rPr>
        <w:t> </w:t>
      </w:r>
      <w:r>
        <w:rPr/>
        <w:t>percent</w:t>
      </w:r>
      <w:r>
        <w:rPr>
          <w:spacing w:val="-3"/>
        </w:rPr>
        <w:t> </w:t>
      </w:r>
      <w:r>
        <w:rPr/>
        <w:t>of</w:t>
      </w:r>
      <w:r>
        <w:rPr>
          <w:spacing w:val="-4"/>
        </w:rPr>
        <w:t> </w:t>
      </w:r>
      <w:r>
        <w:rPr/>
        <w:t>the</w:t>
      </w:r>
      <w:r>
        <w:rPr>
          <w:spacing w:val="-4"/>
        </w:rPr>
        <w:t> </w:t>
      </w:r>
      <w:r>
        <w:rPr/>
        <w:t>FPL</w:t>
      </w:r>
      <w:r>
        <w:rPr>
          <w:spacing w:val="-5"/>
        </w:rPr>
        <w:t> </w:t>
      </w:r>
      <w:r>
        <w:rPr/>
        <w:t>and</w:t>
      </w:r>
      <w:r>
        <w:rPr>
          <w:spacing w:val="-1"/>
        </w:rPr>
        <w:t> </w:t>
      </w:r>
      <w:r>
        <w:rPr/>
        <w:t>are</w:t>
      </w:r>
      <w:r>
        <w:rPr>
          <w:spacing w:val="-2"/>
        </w:rPr>
        <w:t> </w:t>
      </w:r>
      <w:r>
        <w:rPr/>
        <w:t>not</w:t>
      </w:r>
      <w:r>
        <w:rPr>
          <w:spacing w:val="-3"/>
        </w:rPr>
        <w:t> </w:t>
      </w:r>
      <w:r>
        <w:rPr/>
        <w:t>otherwise</w:t>
      </w:r>
      <w:r>
        <w:rPr>
          <w:spacing w:val="-4"/>
        </w:rPr>
        <w:t> </w:t>
      </w:r>
      <w:r>
        <w:rPr/>
        <w:t>eligible</w:t>
      </w:r>
      <w:r>
        <w:rPr>
          <w:spacing w:val="-4"/>
        </w:rPr>
        <w:t> </w:t>
      </w:r>
      <w:r>
        <w:rPr/>
        <w:t>under</w:t>
      </w:r>
      <w:r>
        <w:rPr>
          <w:spacing w:val="-4"/>
        </w:rPr>
        <w:t> </w:t>
      </w:r>
      <w:r>
        <w:rPr/>
        <w:t>the Massachusetts Medicaid state plan. These expenditures include expenditures for health care services furnished during the 90-day period between the time an individual submits an application and the time that the individual provides to the Commonwealth proof of his or her HIV-positive health</w:t>
      </w:r>
      <w:r>
        <w:rPr>
          <w:spacing w:val="-4"/>
        </w:rPr>
        <w:t> </w:t>
      </w:r>
      <w:r>
        <w:rPr/>
        <w:t>status.</w:t>
      </w:r>
    </w:p>
    <w:p>
      <w:pPr>
        <w:pStyle w:val="ListParagraph"/>
        <w:numPr>
          <w:ilvl w:val="1"/>
          <w:numId w:val="2"/>
        </w:numPr>
        <w:tabs>
          <w:tab w:pos="2520" w:val="left" w:leader="none"/>
        </w:tabs>
        <w:spacing w:line="240" w:lineRule="auto" w:before="161" w:after="0"/>
        <w:ind w:left="2520" w:right="1374" w:hanging="360"/>
        <w:jc w:val="both"/>
        <w:rPr>
          <w:sz w:val="24"/>
        </w:rPr>
      </w:pPr>
      <w:r>
        <w:rPr>
          <w:sz w:val="24"/>
        </w:rPr>
        <w:t>Non-disabled</w:t>
      </w:r>
      <w:r>
        <w:rPr>
          <w:spacing w:val="-1"/>
          <w:sz w:val="24"/>
        </w:rPr>
        <w:t> </w:t>
      </w:r>
      <w:r>
        <w:rPr>
          <w:sz w:val="24"/>
        </w:rPr>
        <w:t>children with</w:t>
      </w:r>
      <w:r>
        <w:rPr>
          <w:spacing w:val="-1"/>
          <w:sz w:val="24"/>
        </w:rPr>
        <w:t> </w:t>
      </w:r>
      <w:r>
        <w:rPr>
          <w:sz w:val="24"/>
        </w:rPr>
        <w:t>incomes</w:t>
      </w:r>
      <w:r>
        <w:rPr>
          <w:spacing w:val="-1"/>
          <w:sz w:val="24"/>
        </w:rPr>
        <w:t> </w:t>
      </w:r>
      <w:r>
        <w:rPr>
          <w:sz w:val="24"/>
        </w:rPr>
        <w:t>above</w:t>
      </w:r>
      <w:r>
        <w:rPr>
          <w:spacing w:val="-2"/>
          <w:sz w:val="24"/>
        </w:rPr>
        <w:t> </w:t>
      </w:r>
      <w:r>
        <w:rPr>
          <w:sz w:val="24"/>
        </w:rPr>
        <w:t>150</w:t>
      </w:r>
      <w:r>
        <w:rPr>
          <w:spacing w:val="-1"/>
          <w:sz w:val="24"/>
        </w:rPr>
        <w:t> </w:t>
      </w:r>
      <w:r>
        <w:rPr>
          <w:sz w:val="24"/>
        </w:rPr>
        <w:t>through</w:t>
      </w:r>
      <w:r>
        <w:rPr>
          <w:spacing w:val="-1"/>
          <w:sz w:val="24"/>
        </w:rPr>
        <w:t> </w:t>
      </w:r>
      <w:r>
        <w:rPr>
          <w:sz w:val="24"/>
        </w:rPr>
        <w:t>300</w:t>
      </w:r>
      <w:r>
        <w:rPr>
          <w:spacing w:val="-1"/>
          <w:sz w:val="24"/>
        </w:rPr>
        <w:t> </w:t>
      </w:r>
      <w:r>
        <w:rPr>
          <w:sz w:val="24"/>
        </w:rPr>
        <w:t>percent</w:t>
      </w:r>
      <w:r>
        <w:rPr>
          <w:spacing w:val="-1"/>
          <w:sz w:val="24"/>
        </w:rPr>
        <w:t> </w:t>
      </w:r>
      <w:r>
        <w:rPr>
          <w:sz w:val="24"/>
        </w:rPr>
        <w:t>of</w:t>
      </w:r>
      <w:r>
        <w:rPr>
          <w:spacing w:val="-2"/>
          <w:sz w:val="24"/>
        </w:rPr>
        <w:t> </w:t>
      </w:r>
      <w:r>
        <w:rPr>
          <w:sz w:val="24"/>
        </w:rPr>
        <w:t>the FPL</w:t>
      </w:r>
      <w:r>
        <w:rPr>
          <w:spacing w:val="-4"/>
          <w:sz w:val="24"/>
        </w:rPr>
        <w:t> </w:t>
      </w:r>
      <w:r>
        <w:rPr>
          <w:sz w:val="24"/>
        </w:rPr>
        <w:t>who are</w:t>
      </w:r>
      <w:r>
        <w:rPr>
          <w:spacing w:val="-4"/>
          <w:sz w:val="24"/>
        </w:rPr>
        <w:t> </w:t>
      </w:r>
      <w:r>
        <w:rPr>
          <w:sz w:val="24"/>
        </w:rPr>
        <w:t>not</w:t>
      </w:r>
      <w:r>
        <w:rPr>
          <w:spacing w:val="-3"/>
          <w:sz w:val="24"/>
        </w:rPr>
        <w:t> </w:t>
      </w:r>
      <w:r>
        <w:rPr>
          <w:sz w:val="24"/>
        </w:rPr>
        <w:t>otherwise</w:t>
      </w:r>
      <w:r>
        <w:rPr>
          <w:spacing w:val="-4"/>
          <w:sz w:val="24"/>
        </w:rPr>
        <w:t> </w:t>
      </w:r>
      <w:r>
        <w:rPr>
          <w:sz w:val="24"/>
        </w:rPr>
        <w:t>eligible</w:t>
      </w:r>
      <w:r>
        <w:rPr>
          <w:spacing w:val="-2"/>
          <w:sz w:val="24"/>
        </w:rPr>
        <w:t> </w:t>
      </w:r>
      <w:r>
        <w:rPr>
          <w:sz w:val="24"/>
        </w:rPr>
        <w:t>under</w:t>
      </w:r>
      <w:r>
        <w:rPr>
          <w:spacing w:val="-4"/>
          <w:sz w:val="24"/>
        </w:rPr>
        <w:t> </w:t>
      </w:r>
      <w:r>
        <w:rPr>
          <w:sz w:val="24"/>
        </w:rPr>
        <w:t>the</w:t>
      </w:r>
      <w:r>
        <w:rPr>
          <w:spacing w:val="-4"/>
          <w:sz w:val="24"/>
        </w:rPr>
        <w:t> </w:t>
      </w:r>
      <w:r>
        <w:rPr>
          <w:sz w:val="24"/>
        </w:rPr>
        <w:t>Massachusetts</w:t>
      </w:r>
      <w:r>
        <w:rPr>
          <w:spacing w:val="-1"/>
          <w:sz w:val="24"/>
        </w:rPr>
        <w:t> </w:t>
      </w:r>
      <w:r>
        <w:rPr>
          <w:sz w:val="24"/>
        </w:rPr>
        <w:t>Medicaid</w:t>
      </w:r>
      <w:r>
        <w:rPr>
          <w:spacing w:val="-3"/>
          <w:sz w:val="24"/>
        </w:rPr>
        <w:t> </w:t>
      </w:r>
      <w:r>
        <w:rPr>
          <w:sz w:val="24"/>
        </w:rPr>
        <w:t>state</w:t>
      </w:r>
      <w:r>
        <w:rPr>
          <w:spacing w:val="-4"/>
          <w:sz w:val="24"/>
        </w:rPr>
        <w:t> </w:t>
      </w:r>
      <w:r>
        <w:rPr>
          <w:sz w:val="24"/>
        </w:rPr>
        <w:t>plan</w:t>
      </w:r>
      <w:r>
        <w:rPr>
          <w:spacing w:val="-3"/>
          <w:sz w:val="24"/>
        </w:rPr>
        <w:t> </w:t>
      </w:r>
      <w:r>
        <w:rPr>
          <w:sz w:val="24"/>
        </w:rPr>
        <w:t>due</w:t>
      </w:r>
      <w:r>
        <w:rPr>
          <w:spacing w:val="-2"/>
          <w:sz w:val="24"/>
        </w:rPr>
        <w:t> </w:t>
      </w:r>
      <w:r>
        <w:rPr>
          <w:sz w:val="24"/>
        </w:rPr>
        <w:t>to</w:t>
      </w:r>
      <w:r>
        <w:rPr>
          <w:spacing w:val="-4"/>
          <w:sz w:val="24"/>
        </w:rPr>
        <w:t> </w:t>
      </w:r>
      <w:r>
        <w:rPr>
          <w:sz w:val="24"/>
        </w:rPr>
        <w:t>family income</w:t>
      </w:r>
      <w:r>
        <w:rPr>
          <w:spacing w:val="-1"/>
          <w:sz w:val="24"/>
        </w:rPr>
        <w:t> </w:t>
      </w:r>
      <w:r>
        <w:rPr>
          <w:sz w:val="24"/>
        </w:rPr>
        <w:t>or</w:t>
      </w:r>
      <w:r>
        <w:rPr>
          <w:spacing w:val="-1"/>
          <w:sz w:val="24"/>
        </w:rPr>
        <w:t> </w:t>
      </w:r>
      <w:r>
        <w:rPr>
          <w:sz w:val="24"/>
        </w:rPr>
        <w:t>the</w:t>
      </w:r>
      <w:r>
        <w:rPr>
          <w:spacing w:val="-1"/>
          <w:sz w:val="24"/>
        </w:rPr>
        <w:t> </w:t>
      </w:r>
      <w:r>
        <w:rPr>
          <w:sz w:val="24"/>
        </w:rPr>
        <w:t>CHIP state plan due</w:t>
      </w:r>
      <w:r>
        <w:rPr>
          <w:spacing w:val="-1"/>
          <w:sz w:val="24"/>
        </w:rPr>
        <w:t> </w:t>
      </w:r>
      <w:r>
        <w:rPr>
          <w:sz w:val="24"/>
        </w:rPr>
        <w:t>to having</w:t>
      </w:r>
      <w:r>
        <w:rPr>
          <w:spacing w:val="-3"/>
          <w:sz w:val="24"/>
        </w:rPr>
        <w:t> </w:t>
      </w:r>
      <w:r>
        <w:rPr>
          <w:sz w:val="24"/>
        </w:rPr>
        <w:t>insurance at application, or</w:t>
      </w:r>
      <w:r>
        <w:rPr>
          <w:spacing w:val="-1"/>
          <w:sz w:val="24"/>
        </w:rPr>
        <w:t> </w:t>
      </w:r>
      <w:r>
        <w:rPr>
          <w:sz w:val="24"/>
        </w:rPr>
        <w:t>if</w:t>
      </w:r>
      <w:r>
        <w:rPr>
          <w:spacing w:val="-1"/>
          <w:sz w:val="24"/>
        </w:rPr>
        <w:t> </w:t>
      </w:r>
      <w:r>
        <w:rPr>
          <w:sz w:val="24"/>
        </w:rPr>
        <w:t>the</w:t>
      </w:r>
      <w:r>
        <w:rPr>
          <w:spacing w:val="-1"/>
          <w:sz w:val="24"/>
        </w:rPr>
        <w:t> </w:t>
      </w:r>
      <w:r>
        <w:rPr>
          <w:sz w:val="24"/>
        </w:rPr>
        <w:t>CHIP allotment is exhausted.</w:t>
      </w:r>
    </w:p>
    <w:p>
      <w:pPr>
        <w:pStyle w:val="BodyText"/>
        <w:spacing w:before="7"/>
        <w:rPr>
          <w:sz w:val="20"/>
        </w:rPr>
      </w:pPr>
    </w:p>
    <w:p>
      <w:pPr>
        <w:pStyle w:val="ListParagraph"/>
        <w:numPr>
          <w:ilvl w:val="0"/>
          <w:numId w:val="2"/>
        </w:numPr>
        <w:tabs>
          <w:tab w:pos="1800" w:val="left" w:leader="none"/>
        </w:tabs>
        <w:spacing w:line="240" w:lineRule="auto" w:before="0" w:after="0"/>
        <w:ind w:left="1800" w:right="1405" w:hanging="360"/>
        <w:jc w:val="left"/>
        <w:rPr>
          <w:sz w:val="24"/>
        </w:rPr>
      </w:pPr>
      <w:bookmarkStart w:name="4. Breast and Cervical Cancer Demonstrat" w:id="47"/>
      <w:bookmarkEnd w:id="47"/>
      <w:r>
        <w:rPr/>
      </w:r>
      <w:r>
        <w:rPr>
          <w:b/>
          <w:sz w:val="24"/>
        </w:rPr>
        <w:t>Breast</w:t>
      </w:r>
      <w:r>
        <w:rPr>
          <w:b/>
          <w:spacing w:val="-8"/>
          <w:sz w:val="24"/>
        </w:rPr>
        <w:t> </w:t>
      </w:r>
      <w:r>
        <w:rPr>
          <w:b/>
          <w:sz w:val="24"/>
        </w:rPr>
        <w:t>and</w:t>
      </w:r>
      <w:r>
        <w:rPr>
          <w:b/>
          <w:spacing w:val="-5"/>
          <w:sz w:val="24"/>
        </w:rPr>
        <w:t> </w:t>
      </w:r>
      <w:r>
        <w:rPr>
          <w:b/>
          <w:sz w:val="24"/>
        </w:rPr>
        <w:t>Cervical</w:t>
      </w:r>
      <w:r>
        <w:rPr>
          <w:b/>
          <w:spacing w:val="-5"/>
          <w:sz w:val="24"/>
        </w:rPr>
        <w:t> </w:t>
      </w:r>
      <w:r>
        <w:rPr>
          <w:b/>
          <w:sz w:val="24"/>
        </w:rPr>
        <w:t>Cancer</w:t>
      </w:r>
      <w:r>
        <w:rPr>
          <w:b/>
          <w:spacing w:val="-6"/>
          <w:sz w:val="24"/>
        </w:rPr>
        <w:t> </w:t>
      </w:r>
      <w:r>
        <w:rPr>
          <w:b/>
          <w:sz w:val="24"/>
        </w:rPr>
        <w:t>Demonstration</w:t>
      </w:r>
      <w:r>
        <w:rPr>
          <w:b/>
          <w:spacing w:val="-2"/>
          <w:sz w:val="24"/>
        </w:rPr>
        <w:t> </w:t>
      </w:r>
      <w:r>
        <w:rPr>
          <w:b/>
          <w:sz w:val="24"/>
        </w:rPr>
        <w:t>Program</w:t>
      </w:r>
      <w:r>
        <w:rPr>
          <w:b/>
          <w:spacing w:val="-9"/>
          <w:sz w:val="24"/>
        </w:rPr>
        <w:t> </w:t>
      </w:r>
      <w:r>
        <w:rPr>
          <w:b/>
          <w:sz w:val="24"/>
        </w:rPr>
        <w:t>(BCCDP).</w:t>
      </w:r>
      <w:r>
        <w:rPr>
          <w:b/>
          <w:spacing w:val="-5"/>
          <w:sz w:val="24"/>
        </w:rPr>
        <w:t> </w:t>
      </w:r>
      <w:r>
        <w:rPr>
          <w:sz w:val="24"/>
        </w:rPr>
        <w:t>Expenditures</w:t>
      </w:r>
      <w:r>
        <w:rPr>
          <w:spacing w:val="-22"/>
          <w:sz w:val="24"/>
        </w:rPr>
        <w:t> </w:t>
      </w:r>
      <w:r>
        <w:rPr>
          <w:sz w:val="24"/>
        </w:rPr>
        <w:t>for</w:t>
      </w:r>
      <w:r>
        <w:rPr>
          <w:spacing w:val="-6"/>
          <w:sz w:val="24"/>
        </w:rPr>
        <w:t> </w:t>
      </w:r>
      <w:r>
        <w:rPr>
          <w:sz w:val="24"/>
        </w:rPr>
        <w:t>health care-related costs for uninsured individuals under the age of 65 with breast or cervical cancer, who are not otherwise eligible under the Massachusetts state plan and have income above 133 percent but no higher than 250 percent of the</w:t>
      </w:r>
      <w:r>
        <w:rPr>
          <w:spacing w:val="-16"/>
          <w:sz w:val="24"/>
        </w:rPr>
        <w:t> </w:t>
      </w:r>
      <w:r>
        <w:rPr>
          <w:sz w:val="24"/>
        </w:rPr>
        <w:t>FPL.</w:t>
      </w:r>
    </w:p>
    <w:p>
      <w:pPr>
        <w:pStyle w:val="BodyText"/>
        <w:spacing w:before="1"/>
        <w:rPr>
          <w:sz w:val="21"/>
        </w:rPr>
      </w:pPr>
    </w:p>
    <w:p>
      <w:pPr>
        <w:pStyle w:val="ListParagraph"/>
        <w:numPr>
          <w:ilvl w:val="0"/>
          <w:numId w:val="2"/>
        </w:numPr>
        <w:tabs>
          <w:tab w:pos="1800" w:val="left" w:leader="none"/>
        </w:tabs>
        <w:spacing w:line="240" w:lineRule="auto" w:before="1" w:after="0"/>
        <w:ind w:left="1800" w:right="1708" w:hanging="360"/>
        <w:jc w:val="left"/>
        <w:rPr>
          <w:sz w:val="24"/>
        </w:rPr>
      </w:pPr>
      <w:bookmarkStart w:name="5. EAEDC Recipients. Expenditures for he" w:id="48"/>
      <w:bookmarkEnd w:id="48"/>
      <w:r>
        <w:rPr/>
      </w:r>
      <w:r>
        <w:rPr>
          <w:b/>
          <w:sz w:val="24"/>
        </w:rPr>
        <w:t>EAEDC</w:t>
      </w:r>
      <w:r>
        <w:rPr>
          <w:b/>
          <w:spacing w:val="-1"/>
          <w:sz w:val="24"/>
        </w:rPr>
        <w:t> </w:t>
      </w:r>
      <w:r>
        <w:rPr>
          <w:b/>
          <w:sz w:val="24"/>
        </w:rPr>
        <w:t>Recipients</w:t>
      </w:r>
      <w:r>
        <w:rPr>
          <w:sz w:val="24"/>
        </w:rPr>
        <w:t>. Expenditures for</w:t>
      </w:r>
      <w:r>
        <w:rPr>
          <w:spacing w:val="-1"/>
          <w:sz w:val="24"/>
        </w:rPr>
        <w:t> </w:t>
      </w:r>
      <w:r>
        <w:rPr>
          <w:sz w:val="24"/>
        </w:rPr>
        <w:t>health care related costs for</w:t>
      </w:r>
      <w:r>
        <w:rPr>
          <w:spacing w:val="-1"/>
          <w:sz w:val="24"/>
        </w:rPr>
        <w:t> </w:t>
      </w:r>
      <w:r>
        <w:rPr>
          <w:sz w:val="24"/>
        </w:rPr>
        <w:t>individuals receiving Emergency</w:t>
      </w:r>
      <w:r>
        <w:rPr>
          <w:spacing w:val="-27"/>
          <w:sz w:val="24"/>
        </w:rPr>
        <w:t> </w:t>
      </w:r>
      <w:r>
        <w:rPr>
          <w:sz w:val="24"/>
        </w:rPr>
        <w:t>Aid</w:t>
      </w:r>
      <w:r>
        <w:rPr>
          <w:spacing w:val="-5"/>
          <w:sz w:val="24"/>
        </w:rPr>
        <w:t> </w:t>
      </w:r>
      <w:r>
        <w:rPr>
          <w:sz w:val="24"/>
        </w:rPr>
        <w:t>to</w:t>
      </w:r>
      <w:r>
        <w:rPr>
          <w:spacing w:val="-3"/>
          <w:sz w:val="24"/>
        </w:rPr>
        <w:t> </w:t>
      </w:r>
      <w:r>
        <w:rPr>
          <w:sz w:val="24"/>
        </w:rPr>
        <w:t>Elders,</w:t>
      </w:r>
      <w:r>
        <w:rPr>
          <w:spacing w:val="-3"/>
          <w:sz w:val="24"/>
        </w:rPr>
        <w:t> </w:t>
      </w:r>
      <w:r>
        <w:rPr>
          <w:sz w:val="24"/>
        </w:rPr>
        <w:t>Disabled</w:t>
      </w:r>
      <w:r>
        <w:rPr>
          <w:spacing w:val="-3"/>
          <w:sz w:val="24"/>
        </w:rPr>
        <w:t> </w:t>
      </w:r>
      <w:r>
        <w:rPr>
          <w:sz w:val="24"/>
        </w:rPr>
        <w:t>and</w:t>
      </w:r>
      <w:r>
        <w:rPr>
          <w:spacing w:val="-3"/>
          <w:sz w:val="24"/>
        </w:rPr>
        <w:t> </w:t>
      </w:r>
      <w:r>
        <w:rPr>
          <w:sz w:val="24"/>
        </w:rPr>
        <w:t>Children.</w:t>
      </w:r>
      <w:r>
        <w:rPr>
          <w:spacing w:val="-1"/>
          <w:sz w:val="24"/>
        </w:rPr>
        <w:t> </w:t>
      </w:r>
      <w:r>
        <w:rPr>
          <w:sz w:val="24"/>
        </w:rPr>
        <w:t>Individuals</w:t>
      </w:r>
      <w:r>
        <w:rPr>
          <w:spacing w:val="-3"/>
          <w:sz w:val="24"/>
        </w:rPr>
        <w:t> </w:t>
      </w:r>
      <w:r>
        <w:rPr>
          <w:sz w:val="24"/>
        </w:rPr>
        <w:t>in</w:t>
      </w:r>
      <w:r>
        <w:rPr>
          <w:spacing w:val="-3"/>
          <w:sz w:val="24"/>
        </w:rPr>
        <w:t> </w:t>
      </w:r>
      <w:r>
        <w:rPr>
          <w:sz w:val="24"/>
        </w:rPr>
        <w:t>this</w:t>
      </w:r>
      <w:r>
        <w:rPr>
          <w:spacing w:val="-3"/>
          <w:sz w:val="24"/>
        </w:rPr>
        <w:t> </w:t>
      </w:r>
      <w:r>
        <w:rPr>
          <w:sz w:val="24"/>
        </w:rPr>
        <w:t>eligibility</w:t>
      </w:r>
      <w:r>
        <w:rPr>
          <w:spacing w:val="-8"/>
          <w:sz w:val="24"/>
        </w:rPr>
        <w:t> </w:t>
      </w:r>
      <w:r>
        <w:rPr>
          <w:sz w:val="24"/>
        </w:rPr>
        <w:t>group</w:t>
      </w:r>
      <w:r>
        <w:rPr>
          <w:spacing w:val="-3"/>
          <w:sz w:val="24"/>
        </w:rPr>
        <w:t> </w:t>
      </w:r>
      <w:r>
        <w:rPr>
          <w:sz w:val="24"/>
        </w:rPr>
        <w:t>are eligible for MassHealth based on receipt of EAEDC benefits, not based on an income </w:t>
      </w:r>
      <w:r>
        <w:rPr>
          <w:spacing w:val="-2"/>
          <w:sz w:val="24"/>
        </w:rPr>
        <w:t>determination.</w:t>
      </w:r>
    </w:p>
    <w:p>
      <w:pPr>
        <w:pStyle w:val="BodyText"/>
        <w:spacing w:before="7"/>
        <w:rPr>
          <w:sz w:val="20"/>
        </w:rPr>
      </w:pPr>
    </w:p>
    <w:p>
      <w:pPr>
        <w:pStyle w:val="ListParagraph"/>
        <w:numPr>
          <w:ilvl w:val="0"/>
          <w:numId w:val="2"/>
        </w:numPr>
        <w:tabs>
          <w:tab w:pos="1800" w:val="left" w:leader="none"/>
        </w:tabs>
        <w:spacing w:line="240" w:lineRule="auto" w:before="0" w:after="0"/>
        <w:ind w:left="1800" w:right="1259" w:hanging="360"/>
        <w:jc w:val="left"/>
        <w:rPr>
          <w:sz w:val="24"/>
        </w:rPr>
      </w:pPr>
      <w:bookmarkStart w:name="6. End of Month Coverage. End of Month C" w:id="49"/>
      <w:bookmarkEnd w:id="49"/>
      <w:r>
        <w:rPr/>
      </w:r>
      <w:r>
        <w:rPr>
          <w:b/>
          <w:sz w:val="24"/>
        </w:rPr>
        <w:t>End of Month Coverage. </w:t>
      </w:r>
      <w:r>
        <w:rPr>
          <w:sz w:val="24"/>
        </w:rPr>
        <w:t>End of Month Coverage for Members Determined Eligible for Subsidized Qualified Health Plan (QHP) Coverage through the Massachusetts Health Connector</w:t>
      </w:r>
      <w:r>
        <w:rPr>
          <w:spacing w:val="-4"/>
          <w:sz w:val="24"/>
        </w:rPr>
        <w:t> </w:t>
      </w:r>
      <w:r>
        <w:rPr>
          <w:sz w:val="24"/>
        </w:rPr>
        <w:t>but</w:t>
      </w:r>
      <w:r>
        <w:rPr>
          <w:spacing w:val="-3"/>
          <w:sz w:val="24"/>
        </w:rPr>
        <w:t> </w:t>
      </w:r>
      <w:r>
        <w:rPr>
          <w:sz w:val="24"/>
        </w:rPr>
        <w:t>not</w:t>
      </w:r>
      <w:r>
        <w:rPr>
          <w:spacing w:val="-3"/>
          <w:sz w:val="24"/>
        </w:rPr>
        <w:t> </w:t>
      </w:r>
      <w:r>
        <w:rPr>
          <w:sz w:val="24"/>
        </w:rPr>
        <w:t>enrolled</w:t>
      </w:r>
      <w:r>
        <w:rPr>
          <w:spacing w:val="-3"/>
          <w:sz w:val="24"/>
        </w:rPr>
        <w:t> </w:t>
      </w:r>
      <w:r>
        <w:rPr>
          <w:sz w:val="24"/>
        </w:rPr>
        <w:t>in</w:t>
      </w:r>
      <w:r>
        <w:rPr>
          <w:spacing w:val="-3"/>
          <w:sz w:val="24"/>
        </w:rPr>
        <w:t> </w:t>
      </w:r>
      <w:r>
        <w:rPr>
          <w:sz w:val="24"/>
        </w:rPr>
        <w:t>a</w:t>
      </w:r>
      <w:r>
        <w:rPr>
          <w:spacing w:val="-4"/>
          <w:sz w:val="24"/>
        </w:rPr>
        <w:t> </w:t>
      </w:r>
      <w:r>
        <w:rPr>
          <w:sz w:val="24"/>
        </w:rPr>
        <w:t>QHP.</w:t>
      </w:r>
      <w:r>
        <w:rPr>
          <w:spacing w:val="-3"/>
          <w:sz w:val="24"/>
        </w:rPr>
        <w:t> </w:t>
      </w:r>
      <w:r>
        <w:rPr>
          <w:sz w:val="24"/>
        </w:rPr>
        <w:t>Expenditures</w:t>
      </w:r>
      <w:r>
        <w:rPr>
          <w:spacing w:val="-3"/>
          <w:sz w:val="24"/>
        </w:rPr>
        <w:t> </w:t>
      </w:r>
      <w:r>
        <w:rPr>
          <w:sz w:val="24"/>
        </w:rPr>
        <w:t>for</w:t>
      </w:r>
      <w:r>
        <w:rPr>
          <w:spacing w:val="-4"/>
          <w:sz w:val="24"/>
        </w:rPr>
        <w:t> </w:t>
      </w:r>
      <w:r>
        <w:rPr>
          <w:sz w:val="24"/>
        </w:rPr>
        <w:t>individuals</w:t>
      </w:r>
      <w:r>
        <w:rPr>
          <w:spacing w:val="-3"/>
          <w:sz w:val="24"/>
        </w:rPr>
        <w:t> </w:t>
      </w:r>
      <w:r>
        <w:rPr>
          <w:sz w:val="24"/>
        </w:rPr>
        <w:t>who</w:t>
      </w:r>
      <w:r>
        <w:rPr>
          <w:spacing w:val="-3"/>
          <w:sz w:val="24"/>
        </w:rPr>
        <w:t> </w:t>
      </w:r>
      <w:r>
        <w:rPr>
          <w:sz w:val="24"/>
        </w:rPr>
        <w:t>would</w:t>
      </w:r>
      <w:r>
        <w:rPr>
          <w:spacing w:val="-3"/>
          <w:sz w:val="24"/>
        </w:rPr>
        <w:t> </w:t>
      </w:r>
      <w:r>
        <w:rPr>
          <w:sz w:val="24"/>
        </w:rPr>
        <w:t>otherwise</w:t>
      </w:r>
      <w:r>
        <w:rPr>
          <w:spacing w:val="-4"/>
          <w:sz w:val="24"/>
        </w:rPr>
        <w:t> </w:t>
      </w:r>
      <w:r>
        <w:rPr>
          <w:sz w:val="24"/>
        </w:rPr>
        <w:t>lose MassHealth coverage because they are eligible for coverage in a</w:t>
      </w:r>
      <w:r>
        <w:rPr>
          <w:spacing w:val="-16"/>
          <w:sz w:val="24"/>
        </w:rPr>
        <w:t> </w:t>
      </w:r>
      <w:r>
        <w:rPr>
          <w:sz w:val="24"/>
        </w:rPr>
        <w:t>QHP during the period.</w:t>
      </w:r>
    </w:p>
    <w:p>
      <w:pPr>
        <w:pStyle w:val="BodyText"/>
        <w:spacing w:before="10"/>
        <w:rPr>
          <w:sz w:val="20"/>
        </w:rPr>
      </w:pPr>
    </w:p>
    <w:p>
      <w:pPr>
        <w:pStyle w:val="ListParagraph"/>
        <w:numPr>
          <w:ilvl w:val="0"/>
          <w:numId w:val="2"/>
        </w:numPr>
        <w:tabs>
          <w:tab w:pos="1800" w:val="left" w:leader="none"/>
        </w:tabs>
        <w:spacing w:line="240" w:lineRule="auto" w:before="0" w:after="0"/>
        <w:ind w:left="1800" w:right="1287" w:hanging="360"/>
        <w:jc w:val="left"/>
        <w:rPr>
          <w:sz w:val="24"/>
        </w:rPr>
      </w:pPr>
      <w:bookmarkStart w:name="7. Provisional Coverage Beneficiaries. E" w:id="50"/>
      <w:bookmarkEnd w:id="50"/>
      <w:r>
        <w:rPr/>
      </w:r>
      <w:r>
        <w:rPr>
          <w:b/>
          <w:sz w:val="24"/>
        </w:rPr>
        <w:t>Provisional</w:t>
      </w:r>
      <w:r>
        <w:rPr>
          <w:b/>
          <w:spacing w:val="-8"/>
          <w:sz w:val="24"/>
        </w:rPr>
        <w:t> </w:t>
      </w:r>
      <w:r>
        <w:rPr>
          <w:b/>
          <w:sz w:val="24"/>
        </w:rPr>
        <w:t>Coverage</w:t>
      </w:r>
      <w:r>
        <w:rPr>
          <w:b/>
          <w:spacing w:val="-6"/>
          <w:sz w:val="24"/>
        </w:rPr>
        <w:t> </w:t>
      </w:r>
      <w:r>
        <w:rPr>
          <w:b/>
          <w:sz w:val="24"/>
        </w:rPr>
        <w:t>Beneficiaries.</w:t>
      </w:r>
      <w:r>
        <w:rPr>
          <w:b/>
          <w:spacing w:val="-5"/>
          <w:sz w:val="24"/>
        </w:rPr>
        <w:t> </w:t>
      </w:r>
      <w:r>
        <w:rPr>
          <w:sz w:val="24"/>
        </w:rPr>
        <w:t>Expenditures</w:t>
      </w:r>
      <w:r>
        <w:rPr>
          <w:spacing w:val="-5"/>
          <w:sz w:val="24"/>
        </w:rPr>
        <w:t> </w:t>
      </w:r>
      <w:r>
        <w:rPr>
          <w:sz w:val="24"/>
        </w:rPr>
        <w:t>for</w:t>
      </w:r>
      <w:r>
        <w:rPr>
          <w:spacing w:val="-6"/>
          <w:sz w:val="24"/>
        </w:rPr>
        <w:t> </w:t>
      </w:r>
      <w:r>
        <w:rPr>
          <w:sz w:val="24"/>
        </w:rPr>
        <w:t>MassHealth</w:t>
      </w:r>
      <w:r>
        <w:rPr>
          <w:spacing w:val="-5"/>
          <w:sz w:val="24"/>
        </w:rPr>
        <w:t> </w:t>
      </w:r>
      <w:r>
        <w:rPr>
          <w:sz w:val="24"/>
        </w:rPr>
        <w:t>Coverage</w:t>
      </w:r>
      <w:r>
        <w:rPr>
          <w:spacing w:val="-20"/>
          <w:sz w:val="24"/>
        </w:rPr>
        <w:t> </w:t>
      </w:r>
      <w:r>
        <w:rPr>
          <w:sz w:val="24"/>
        </w:rPr>
        <w:t>for</w:t>
      </w:r>
      <w:r>
        <w:rPr>
          <w:spacing w:val="-6"/>
          <w:sz w:val="24"/>
        </w:rPr>
        <w:t> </w:t>
      </w:r>
      <w:r>
        <w:rPr>
          <w:sz w:val="24"/>
        </w:rPr>
        <w:t>individuals who self-attest to any eligibility factor, except disability, immigration and citizenship; provided that expenditures for MassHealth Coverage for individuals who self-attest to income not otherwise verified through data hubs are limited to the following populations:</w:t>
      </w:r>
    </w:p>
    <w:p>
      <w:pPr>
        <w:pStyle w:val="BodyText"/>
        <w:spacing w:before="10"/>
        <w:rPr>
          <w:sz w:val="20"/>
        </w:rPr>
      </w:pPr>
    </w:p>
    <w:p>
      <w:pPr>
        <w:pStyle w:val="ListParagraph"/>
        <w:numPr>
          <w:ilvl w:val="1"/>
          <w:numId w:val="2"/>
        </w:numPr>
        <w:tabs>
          <w:tab w:pos="2520" w:val="left" w:leader="none"/>
        </w:tabs>
        <w:spacing w:line="240" w:lineRule="auto" w:before="0" w:after="0"/>
        <w:ind w:left="2520" w:right="1478" w:hanging="360"/>
        <w:jc w:val="both"/>
        <w:rPr>
          <w:sz w:val="24"/>
        </w:rPr>
      </w:pPr>
      <w:r>
        <w:rPr>
          <w:sz w:val="24"/>
        </w:rPr>
        <w:t>Pregnant</w:t>
      </w:r>
      <w:r>
        <w:rPr>
          <w:spacing w:val="-4"/>
          <w:sz w:val="24"/>
        </w:rPr>
        <w:t> </w:t>
      </w:r>
      <w:r>
        <w:rPr>
          <w:sz w:val="24"/>
        </w:rPr>
        <w:t>women</w:t>
      </w:r>
      <w:r>
        <w:rPr>
          <w:spacing w:val="-4"/>
          <w:sz w:val="24"/>
        </w:rPr>
        <w:t> </w:t>
      </w:r>
      <w:r>
        <w:rPr>
          <w:sz w:val="24"/>
        </w:rPr>
        <w:t>with</w:t>
      </w:r>
      <w:r>
        <w:rPr>
          <w:spacing w:val="-4"/>
          <w:sz w:val="24"/>
        </w:rPr>
        <w:t> </w:t>
      </w:r>
      <w:r>
        <w:rPr>
          <w:sz w:val="24"/>
        </w:rPr>
        <w:t>attested</w:t>
      </w:r>
      <w:r>
        <w:rPr>
          <w:spacing w:val="-4"/>
          <w:sz w:val="24"/>
        </w:rPr>
        <w:t> </w:t>
      </w:r>
      <w:r>
        <w:rPr>
          <w:sz w:val="24"/>
        </w:rPr>
        <w:t>modified</w:t>
      </w:r>
      <w:r>
        <w:rPr>
          <w:spacing w:val="-4"/>
          <w:sz w:val="24"/>
        </w:rPr>
        <w:t> </w:t>
      </w:r>
      <w:r>
        <w:rPr>
          <w:sz w:val="24"/>
        </w:rPr>
        <w:t>adjusted</w:t>
      </w:r>
      <w:r>
        <w:rPr>
          <w:spacing w:val="-2"/>
          <w:sz w:val="24"/>
        </w:rPr>
        <w:t> </w:t>
      </w:r>
      <w:r>
        <w:rPr>
          <w:sz w:val="24"/>
        </w:rPr>
        <w:t>gross</w:t>
      </w:r>
      <w:r>
        <w:rPr>
          <w:spacing w:val="-4"/>
          <w:sz w:val="24"/>
        </w:rPr>
        <w:t> </w:t>
      </w:r>
      <w:r>
        <w:rPr>
          <w:sz w:val="24"/>
        </w:rPr>
        <w:t>income</w:t>
      </w:r>
      <w:r>
        <w:rPr>
          <w:spacing w:val="-5"/>
          <w:sz w:val="24"/>
        </w:rPr>
        <w:t> </w:t>
      </w:r>
      <w:r>
        <w:rPr>
          <w:sz w:val="24"/>
        </w:rPr>
        <w:t>(MAGI)</w:t>
      </w:r>
      <w:r>
        <w:rPr>
          <w:spacing w:val="-3"/>
          <w:sz w:val="24"/>
        </w:rPr>
        <w:t> </w:t>
      </w:r>
      <w:r>
        <w:rPr>
          <w:sz w:val="24"/>
        </w:rPr>
        <w:t>at</w:t>
      </w:r>
      <w:r>
        <w:rPr>
          <w:spacing w:val="-2"/>
          <w:sz w:val="24"/>
        </w:rPr>
        <w:t> </w:t>
      </w:r>
      <w:r>
        <w:rPr>
          <w:sz w:val="24"/>
        </w:rPr>
        <w:t>or</w:t>
      </w:r>
      <w:r>
        <w:rPr>
          <w:spacing w:val="-5"/>
          <w:sz w:val="24"/>
        </w:rPr>
        <w:t> </w:t>
      </w:r>
      <w:r>
        <w:rPr>
          <w:sz w:val="24"/>
        </w:rPr>
        <w:t>below 200% of the federal poverty level (FPL);</w:t>
      </w:r>
    </w:p>
    <w:p>
      <w:pPr>
        <w:pStyle w:val="ListParagraph"/>
        <w:numPr>
          <w:ilvl w:val="1"/>
          <w:numId w:val="2"/>
        </w:numPr>
        <w:tabs>
          <w:tab w:pos="2520" w:val="left" w:leader="none"/>
        </w:tabs>
        <w:spacing w:line="240" w:lineRule="auto" w:before="161" w:after="0"/>
        <w:ind w:left="2520" w:right="1685" w:hanging="360"/>
        <w:jc w:val="left"/>
        <w:rPr>
          <w:sz w:val="24"/>
        </w:rPr>
      </w:pPr>
      <w:r>
        <w:rPr>
          <w:sz w:val="24"/>
        </w:rPr>
        <w:t>Adults</w:t>
      </w:r>
      <w:r>
        <w:rPr>
          <w:spacing w:val="-3"/>
          <w:sz w:val="24"/>
        </w:rPr>
        <w:t> </w:t>
      </w:r>
      <w:r>
        <w:rPr>
          <w:sz w:val="24"/>
        </w:rPr>
        <w:t>21</w:t>
      </w:r>
      <w:r>
        <w:rPr>
          <w:spacing w:val="-3"/>
          <w:sz w:val="24"/>
        </w:rPr>
        <w:t> </w:t>
      </w:r>
      <w:r>
        <w:rPr>
          <w:sz w:val="24"/>
        </w:rPr>
        <w:t>through</w:t>
      </w:r>
      <w:r>
        <w:rPr>
          <w:spacing w:val="-3"/>
          <w:sz w:val="24"/>
        </w:rPr>
        <w:t> </w:t>
      </w:r>
      <w:r>
        <w:rPr>
          <w:sz w:val="24"/>
        </w:rPr>
        <w:t>64 years</w:t>
      </w:r>
      <w:r>
        <w:rPr>
          <w:spacing w:val="-3"/>
          <w:sz w:val="24"/>
        </w:rPr>
        <w:t> </w:t>
      </w:r>
      <w:r>
        <w:rPr>
          <w:sz w:val="24"/>
        </w:rPr>
        <w:t>of</w:t>
      </w:r>
      <w:r>
        <w:rPr>
          <w:spacing w:val="-4"/>
          <w:sz w:val="24"/>
        </w:rPr>
        <w:t> </w:t>
      </w:r>
      <w:r>
        <w:rPr>
          <w:sz w:val="24"/>
        </w:rPr>
        <w:t>age</w:t>
      </w:r>
      <w:r>
        <w:rPr>
          <w:spacing w:val="-2"/>
          <w:sz w:val="24"/>
        </w:rPr>
        <w:t> </w:t>
      </w:r>
      <w:r>
        <w:rPr>
          <w:sz w:val="24"/>
        </w:rPr>
        <w:t>who</w:t>
      </w:r>
      <w:r>
        <w:rPr>
          <w:spacing w:val="-3"/>
          <w:sz w:val="24"/>
        </w:rPr>
        <w:t> </w:t>
      </w:r>
      <w:r>
        <w:rPr>
          <w:sz w:val="24"/>
        </w:rPr>
        <w:t>are</w:t>
      </w:r>
      <w:r>
        <w:rPr>
          <w:spacing w:val="-4"/>
          <w:sz w:val="24"/>
        </w:rPr>
        <w:t> </w:t>
      </w:r>
      <w:r>
        <w:rPr>
          <w:sz w:val="24"/>
        </w:rPr>
        <w:t>HIV</w:t>
      </w:r>
      <w:r>
        <w:rPr>
          <w:spacing w:val="-4"/>
          <w:sz w:val="24"/>
        </w:rPr>
        <w:t> </w:t>
      </w:r>
      <w:r>
        <w:rPr>
          <w:sz w:val="24"/>
        </w:rPr>
        <w:t>positive</w:t>
      </w:r>
      <w:r>
        <w:rPr>
          <w:spacing w:val="-4"/>
          <w:sz w:val="24"/>
        </w:rPr>
        <w:t> </w:t>
      </w:r>
      <w:r>
        <w:rPr>
          <w:sz w:val="24"/>
        </w:rPr>
        <w:t>and</w:t>
      </w:r>
      <w:r>
        <w:rPr>
          <w:spacing w:val="-3"/>
          <w:sz w:val="24"/>
        </w:rPr>
        <w:t> </w:t>
      </w:r>
      <w:r>
        <w:rPr>
          <w:sz w:val="24"/>
        </w:rPr>
        <w:t>have</w:t>
      </w:r>
      <w:r>
        <w:rPr>
          <w:spacing w:val="-4"/>
          <w:sz w:val="24"/>
        </w:rPr>
        <w:t> </w:t>
      </w:r>
      <w:r>
        <w:rPr>
          <w:sz w:val="24"/>
        </w:rPr>
        <w:t>attested</w:t>
      </w:r>
      <w:r>
        <w:rPr>
          <w:spacing w:val="-1"/>
          <w:sz w:val="24"/>
        </w:rPr>
        <w:t> </w:t>
      </w:r>
      <w:r>
        <w:rPr>
          <w:sz w:val="24"/>
        </w:rPr>
        <w:t>MAGI income at or below 200% FPL;</w:t>
      </w:r>
    </w:p>
    <w:p>
      <w:pPr>
        <w:pStyle w:val="ListParagraph"/>
        <w:numPr>
          <w:ilvl w:val="1"/>
          <w:numId w:val="2"/>
        </w:numPr>
        <w:tabs>
          <w:tab w:pos="2520" w:val="left" w:leader="none"/>
        </w:tabs>
        <w:spacing w:line="240" w:lineRule="auto" w:before="161" w:after="0"/>
        <w:ind w:left="2520" w:right="1514" w:hanging="360"/>
        <w:jc w:val="left"/>
        <w:rPr>
          <w:sz w:val="24"/>
        </w:rPr>
      </w:pPr>
      <w:r>
        <w:rPr>
          <w:sz w:val="24"/>
        </w:rPr>
        <w:t>Individuals</w:t>
      </w:r>
      <w:r>
        <w:rPr>
          <w:spacing w:val="-3"/>
          <w:sz w:val="24"/>
        </w:rPr>
        <w:t> </w:t>
      </w:r>
      <w:r>
        <w:rPr>
          <w:sz w:val="24"/>
        </w:rPr>
        <w:t>with</w:t>
      </w:r>
      <w:r>
        <w:rPr>
          <w:spacing w:val="-3"/>
          <w:sz w:val="24"/>
        </w:rPr>
        <w:t> </w:t>
      </w:r>
      <w:r>
        <w:rPr>
          <w:sz w:val="24"/>
        </w:rPr>
        <w:t>breast</w:t>
      </w:r>
      <w:r>
        <w:rPr>
          <w:spacing w:val="-3"/>
          <w:sz w:val="24"/>
        </w:rPr>
        <w:t> </w:t>
      </w:r>
      <w:r>
        <w:rPr>
          <w:sz w:val="24"/>
        </w:rPr>
        <w:t>and</w:t>
      </w:r>
      <w:r>
        <w:rPr>
          <w:spacing w:val="-3"/>
          <w:sz w:val="24"/>
        </w:rPr>
        <w:t> </w:t>
      </w:r>
      <w:r>
        <w:rPr>
          <w:sz w:val="24"/>
        </w:rPr>
        <w:t>cervical</w:t>
      </w:r>
      <w:r>
        <w:rPr>
          <w:spacing w:val="-3"/>
          <w:sz w:val="24"/>
        </w:rPr>
        <w:t> </w:t>
      </w:r>
      <w:r>
        <w:rPr>
          <w:sz w:val="24"/>
        </w:rPr>
        <w:t>cancer</w:t>
      </w:r>
      <w:r>
        <w:rPr>
          <w:spacing w:val="-2"/>
          <w:sz w:val="24"/>
        </w:rPr>
        <w:t> </w:t>
      </w:r>
      <w:r>
        <w:rPr>
          <w:sz w:val="24"/>
        </w:rPr>
        <w:t>who</w:t>
      </w:r>
      <w:r>
        <w:rPr>
          <w:spacing w:val="-3"/>
          <w:sz w:val="24"/>
        </w:rPr>
        <w:t> </w:t>
      </w:r>
      <w:r>
        <w:rPr>
          <w:sz w:val="24"/>
        </w:rPr>
        <w:t>are</w:t>
      </w:r>
      <w:r>
        <w:rPr>
          <w:spacing w:val="-4"/>
          <w:sz w:val="24"/>
        </w:rPr>
        <w:t> </w:t>
      </w:r>
      <w:r>
        <w:rPr>
          <w:sz w:val="24"/>
        </w:rPr>
        <w:t>under</w:t>
      </w:r>
      <w:r>
        <w:rPr>
          <w:spacing w:val="-4"/>
          <w:sz w:val="24"/>
        </w:rPr>
        <w:t> </w:t>
      </w:r>
      <w:r>
        <w:rPr>
          <w:sz w:val="24"/>
        </w:rPr>
        <w:t>65 years</w:t>
      </w:r>
      <w:r>
        <w:rPr>
          <w:spacing w:val="-3"/>
          <w:sz w:val="24"/>
        </w:rPr>
        <w:t> </w:t>
      </w:r>
      <w:r>
        <w:rPr>
          <w:sz w:val="24"/>
        </w:rPr>
        <w:t>of</w:t>
      </w:r>
      <w:r>
        <w:rPr>
          <w:spacing w:val="-4"/>
          <w:sz w:val="24"/>
        </w:rPr>
        <w:t> </w:t>
      </w:r>
      <w:r>
        <w:rPr>
          <w:sz w:val="24"/>
        </w:rPr>
        <w:t>age</w:t>
      </w:r>
      <w:r>
        <w:rPr>
          <w:spacing w:val="-2"/>
          <w:sz w:val="24"/>
        </w:rPr>
        <w:t> </w:t>
      </w:r>
      <w:r>
        <w:rPr>
          <w:sz w:val="24"/>
        </w:rPr>
        <w:t>and</w:t>
      </w:r>
      <w:r>
        <w:rPr>
          <w:spacing w:val="-3"/>
          <w:sz w:val="24"/>
        </w:rPr>
        <w:t> </w:t>
      </w:r>
      <w:r>
        <w:rPr>
          <w:sz w:val="24"/>
        </w:rPr>
        <w:t>have attested MAGI income at or below 250% FPL; and</w:t>
      </w:r>
    </w:p>
    <w:p>
      <w:pPr>
        <w:pStyle w:val="ListParagraph"/>
        <w:numPr>
          <w:ilvl w:val="1"/>
          <w:numId w:val="2"/>
        </w:numPr>
        <w:tabs>
          <w:tab w:pos="2520" w:val="left" w:leader="none"/>
        </w:tabs>
        <w:spacing w:line="240" w:lineRule="auto" w:before="159" w:after="0"/>
        <w:ind w:left="2520" w:right="0" w:hanging="360"/>
        <w:jc w:val="left"/>
        <w:rPr>
          <w:sz w:val="24"/>
        </w:rPr>
      </w:pPr>
      <w:r>
        <w:rPr>
          <w:sz w:val="24"/>
        </w:rPr>
        <w:t>Children</w:t>
      </w:r>
      <w:r>
        <w:rPr>
          <w:spacing w:val="-4"/>
          <w:sz w:val="24"/>
        </w:rPr>
        <w:t> </w:t>
      </w:r>
      <w:r>
        <w:rPr>
          <w:sz w:val="24"/>
        </w:rPr>
        <w:t>under</w:t>
      </w:r>
      <w:r>
        <w:rPr>
          <w:spacing w:val="-3"/>
          <w:sz w:val="24"/>
        </w:rPr>
        <w:t> </w:t>
      </w:r>
      <w:r>
        <w:rPr>
          <w:sz w:val="24"/>
        </w:rPr>
        <w:t>age</w:t>
      </w:r>
      <w:r>
        <w:rPr>
          <w:spacing w:val="-2"/>
          <w:sz w:val="24"/>
        </w:rPr>
        <w:t> </w:t>
      </w:r>
      <w:r>
        <w:rPr>
          <w:spacing w:val="-5"/>
          <w:sz w:val="24"/>
        </w:rPr>
        <w:t>21.</w:t>
      </w:r>
    </w:p>
    <w:p>
      <w:pPr>
        <w:pStyle w:val="BodyText"/>
        <w:spacing w:before="9"/>
        <w:rPr>
          <w:sz w:val="20"/>
        </w:rPr>
      </w:pPr>
    </w:p>
    <w:p>
      <w:pPr>
        <w:pStyle w:val="ListParagraph"/>
        <w:numPr>
          <w:ilvl w:val="0"/>
          <w:numId w:val="2"/>
        </w:numPr>
        <w:tabs>
          <w:tab w:pos="1800" w:val="left" w:leader="none"/>
        </w:tabs>
        <w:spacing w:line="240" w:lineRule="auto" w:before="1" w:after="0"/>
        <w:ind w:left="1800" w:right="2029" w:hanging="360"/>
        <w:jc w:val="left"/>
        <w:rPr>
          <w:sz w:val="24"/>
        </w:rPr>
      </w:pPr>
      <w:bookmarkStart w:name="8. Presumptively Eligible Beneficiaries." w:id="51"/>
      <w:bookmarkEnd w:id="51"/>
      <w:r>
        <w:rPr/>
      </w:r>
      <w:r>
        <w:rPr>
          <w:b/>
          <w:sz w:val="24"/>
        </w:rPr>
        <w:t>Presumptively Eligible Beneficiaries. </w:t>
      </w:r>
      <w:r>
        <w:rPr>
          <w:sz w:val="24"/>
        </w:rPr>
        <w:t>Expenditures for individuals determined presumptively</w:t>
      </w:r>
      <w:r>
        <w:rPr>
          <w:spacing w:val="-1"/>
          <w:sz w:val="24"/>
        </w:rPr>
        <w:t> </w:t>
      </w:r>
      <w:r>
        <w:rPr>
          <w:sz w:val="24"/>
        </w:rPr>
        <w:t>eligible for HIV-Family</w:t>
      </w:r>
      <w:r>
        <w:rPr>
          <w:spacing w:val="-3"/>
          <w:sz w:val="24"/>
        </w:rPr>
        <w:t> </w:t>
      </w:r>
      <w:r>
        <w:rPr>
          <w:sz w:val="24"/>
        </w:rPr>
        <w:t>Assistance or the Breast and Cervical Cancer Treatment</w:t>
      </w:r>
      <w:r>
        <w:rPr>
          <w:spacing w:val="-5"/>
          <w:sz w:val="24"/>
        </w:rPr>
        <w:t> </w:t>
      </w:r>
      <w:r>
        <w:rPr>
          <w:sz w:val="24"/>
        </w:rPr>
        <w:t>Program</w:t>
      </w:r>
      <w:r>
        <w:rPr>
          <w:spacing w:val="-3"/>
          <w:sz w:val="24"/>
        </w:rPr>
        <w:t> </w:t>
      </w:r>
      <w:r>
        <w:rPr>
          <w:sz w:val="24"/>
        </w:rPr>
        <w:t>under</w:t>
      </w:r>
      <w:r>
        <w:rPr>
          <w:spacing w:val="-4"/>
          <w:sz w:val="24"/>
        </w:rPr>
        <w:t> </w:t>
      </w:r>
      <w:r>
        <w:rPr>
          <w:sz w:val="24"/>
        </w:rPr>
        <w:t>the</w:t>
      </w:r>
      <w:r>
        <w:rPr>
          <w:spacing w:val="-4"/>
          <w:sz w:val="24"/>
        </w:rPr>
        <w:t> </w:t>
      </w:r>
      <w:r>
        <w:rPr>
          <w:sz w:val="24"/>
        </w:rPr>
        <w:t>demonstration</w:t>
      </w:r>
      <w:r>
        <w:rPr>
          <w:spacing w:val="-3"/>
          <w:sz w:val="24"/>
        </w:rPr>
        <w:t> </w:t>
      </w:r>
      <w:r>
        <w:rPr>
          <w:sz w:val="24"/>
        </w:rPr>
        <w:t>by</w:t>
      </w:r>
      <w:r>
        <w:rPr>
          <w:spacing w:val="-8"/>
          <w:sz w:val="24"/>
        </w:rPr>
        <w:t> </w:t>
      </w:r>
      <w:r>
        <w:rPr>
          <w:sz w:val="24"/>
        </w:rPr>
        <w:t>qualified</w:t>
      </w:r>
      <w:r>
        <w:rPr>
          <w:spacing w:val="-3"/>
          <w:sz w:val="24"/>
        </w:rPr>
        <w:t> </w:t>
      </w:r>
      <w:r>
        <w:rPr>
          <w:sz w:val="24"/>
        </w:rPr>
        <w:t>hospitals</w:t>
      </w:r>
      <w:r>
        <w:rPr>
          <w:spacing w:val="-3"/>
          <w:sz w:val="24"/>
        </w:rPr>
        <w:t> </w:t>
      </w:r>
      <w:r>
        <w:rPr>
          <w:sz w:val="24"/>
        </w:rPr>
        <w:t>that</w:t>
      </w:r>
      <w:r>
        <w:rPr>
          <w:spacing w:val="-3"/>
          <w:sz w:val="24"/>
        </w:rPr>
        <w:t> </w:t>
      </w:r>
      <w:r>
        <w:rPr>
          <w:sz w:val="24"/>
        </w:rPr>
        <w:t>elect</w:t>
      </w:r>
      <w:r>
        <w:rPr>
          <w:spacing w:val="-3"/>
          <w:sz w:val="24"/>
        </w:rPr>
        <w:t> </w:t>
      </w:r>
      <w:r>
        <w:rPr>
          <w:sz w:val="24"/>
        </w:rPr>
        <w:t>to</w:t>
      </w:r>
      <w:r>
        <w:rPr>
          <w:spacing w:val="-3"/>
          <w:sz w:val="24"/>
        </w:rPr>
        <w:t> </w:t>
      </w:r>
      <w:r>
        <w:rPr>
          <w:sz w:val="24"/>
        </w:rPr>
        <w:t>do</w:t>
      </w:r>
      <w:r>
        <w:rPr>
          <w:spacing w:val="-19"/>
          <w:sz w:val="24"/>
        </w:rPr>
        <w:t> </w:t>
      </w:r>
      <w:r>
        <w:rPr>
          <w:sz w:val="24"/>
        </w:rPr>
        <w:t>so.</w:t>
      </w:r>
    </w:p>
    <w:p>
      <w:pPr>
        <w:pStyle w:val="BodyText"/>
        <w:spacing w:before="10"/>
        <w:rPr>
          <w:sz w:val="20"/>
        </w:rPr>
      </w:pPr>
    </w:p>
    <w:p>
      <w:pPr>
        <w:pStyle w:val="ListParagraph"/>
        <w:numPr>
          <w:ilvl w:val="0"/>
          <w:numId w:val="2"/>
        </w:numPr>
        <w:tabs>
          <w:tab w:pos="1800" w:val="left" w:leader="none"/>
        </w:tabs>
        <w:spacing w:line="240" w:lineRule="auto" w:before="0" w:after="0"/>
        <w:ind w:left="1800" w:right="1731" w:hanging="360"/>
        <w:jc w:val="left"/>
        <w:rPr>
          <w:sz w:val="24"/>
        </w:rPr>
      </w:pPr>
      <w:bookmarkStart w:name="9. Out-of-state Former Foster Care Youth" w:id="52"/>
      <w:bookmarkEnd w:id="52"/>
      <w:r>
        <w:rPr/>
      </w:r>
      <w:r>
        <w:rPr>
          <w:b/>
          <w:sz w:val="24"/>
        </w:rPr>
        <w:t>Out-of-state Former Foster Care Youth. </w:t>
      </w:r>
      <w:r>
        <w:rPr>
          <w:sz w:val="24"/>
        </w:rPr>
        <w:t>Expenditures to extend eligibility for full Medicaid</w:t>
      </w:r>
      <w:r>
        <w:rPr>
          <w:spacing w:val="-4"/>
          <w:sz w:val="24"/>
        </w:rPr>
        <w:t> </w:t>
      </w:r>
      <w:r>
        <w:rPr>
          <w:sz w:val="24"/>
        </w:rPr>
        <w:t>State</w:t>
      </w:r>
      <w:r>
        <w:rPr>
          <w:spacing w:val="-5"/>
          <w:sz w:val="24"/>
        </w:rPr>
        <w:t> </w:t>
      </w:r>
      <w:r>
        <w:rPr>
          <w:sz w:val="24"/>
        </w:rPr>
        <w:t>Plan</w:t>
      </w:r>
      <w:r>
        <w:rPr>
          <w:spacing w:val="-4"/>
          <w:sz w:val="24"/>
        </w:rPr>
        <w:t> </w:t>
      </w:r>
      <w:r>
        <w:rPr>
          <w:sz w:val="24"/>
        </w:rPr>
        <w:t>benefits</w:t>
      </w:r>
      <w:r>
        <w:rPr>
          <w:spacing w:val="-4"/>
          <w:sz w:val="24"/>
        </w:rPr>
        <w:t> </w:t>
      </w:r>
      <w:r>
        <w:rPr>
          <w:sz w:val="24"/>
        </w:rPr>
        <w:t>(MassHealth</w:t>
      </w:r>
      <w:r>
        <w:rPr>
          <w:spacing w:val="-4"/>
          <w:sz w:val="24"/>
        </w:rPr>
        <w:t> </w:t>
      </w:r>
      <w:r>
        <w:rPr>
          <w:sz w:val="24"/>
        </w:rPr>
        <w:t>Standard)</w:t>
      </w:r>
      <w:r>
        <w:rPr>
          <w:spacing w:val="-5"/>
          <w:sz w:val="24"/>
        </w:rPr>
        <w:t> </w:t>
      </w:r>
      <w:r>
        <w:rPr>
          <w:sz w:val="24"/>
        </w:rPr>
        <w:t>to</w:t>
      </w:r>
      <w:r>
        <w:rPr>
          <w:spacing w:val="-4"/>
          <w:sz w:val="24"/>
        </w:rPr>
        <w:t> </w:t>
      </w:r>
      <w:r>
        <w:rPr>
          <w:sz w:val="24"/>
        </w:rPr>
        <w:t>former</w:t>
      </w:r>
      <w:r>
        <w:rPr>
          <w:spacing w:val="-5"/>
          <w:sz w:val="24"/>
        </w:rPr>
        <w:t> </w:t>
      </w:r>
      <w:r>
        <w:rPr>
          <w:sz w:val="24"/>
        </w:rPr>
        <w:t>foster</w:t>
      </w:r>
      <w:r>
        <w:rPr>
          <w:spacing w:val="-5"/>
          <w:sz w:val="24"/>
        </w:rPr>
        <w:t> </w:t>
      </w:r>
      <w:r>
        <w:rPr>
          <w:sz w:val="24"/>
        </w:rPr>
        <w:t>care</w:t>
      </w:r>
      <w:r>
        <w:rPr>
          <w:spacing w:val="-1"/>
          <w:sz w:val="24"/>
        </w:rPr>
        <w:t> </w:t>
      </w:r>
      <w:r>
        <w:rPr>
          <w:sz w:val="24"/>
        </w:rPr>
        <w:t>youth</w:t>
      </w:r>
      <w:r>
        <w:rPr>
          <w:spacing w:val="-4"/>
          <w:sz w:val="24"/>
        </w:rPr>
        <w:t> </w:t>
      </w:r>
      <w:r>
        <w:rPr>
          <w:sz w:val="24"/>
        </w:rPr>
        <w:t>who</w:t>
      </w:r>
      <w:r>
        <w:rPr>
          <w:spacing w:val="-4"/>
          <w:sz w:val="24"/>
        </w:rPr>
        <w:t> </w:t>
      </w:r>
      <w:r>
        <w:rPr>
          <w:sz w:val="24"/>
        </w:rPr>
        <w:t>are</w:t>
      </w:r>
    </w:p>
    <w:p>
      <w:pPr>
        <w:spacing w:after="0" w:line="240" w:lineRule="auto"/>
        <w:jc w:val="left"/>
        <w:rPr>
          <w:sz w:val="24"/>
        </w:rPr>
        <w:sectPr>
          <w:pgSz w:w="12240" w:h="15840"/>
          <w:pgMar w:header="0" w:footer="998" w:top="1360" w:bottom="1180" w:left="0" w:right="220"/>
        </w:sectPr>
      </w:pPr>
    </w:p>
    <w:p>
      <w:pPr>
        <w:pStyle w:val="BodyText"/>
        <w:spacing w:before="79"/>
        <w:ind w:left="1800" w:right="1239"/>
      </w:pPr>
      <w:r>
        <w:rPr/>
        <w:t>under</w:t>
      </w:r>
      <w:r>
        <w:rPr>
          <w:spacing w:val="-3"/>
        </w:rPr>
        <w:t> </w:t>
      </w:r>
      <w:r>
        <w:rPr/>
        <w:t>age</w:t>
      </w:r>
      <w:r>
        <w:rPr>
          <w:spacing w:val="-3"/>
        </w:rPr>
        <w:t> </w:t>
      </w:r>
      <w:r>
        <w:rPr/>
        <w:t>26, were</w:t>
      </w:r>
      <w:r>
        <w:rPr>
          <w:spacing w:val="-3"/>
        </w:rPr>
        <w:t> </w:t>
      </w:r>
      <w:r>
        <w:rPr/>
        <w:t>in</w:t>
      </w:r>
      <w:r>
        <w:rPr>
          <w:spacing w:val="-2"/>
        </w:rPr>
        <w:t> </w:t>
      </w:r>
      <w:r>
        <w:rPr/>
        <w:t>foster</w:t>
      </w:r>
      <w:r>
        <w:rPr>
          <w:spacing w:val="-3"/>
        </w:rPr>
        <w:t> </w:t>
      </w:r>
      <w:r>
        <w:rPr/>
        <w:t>care</w:t>
      </w:r>
      <w:r>
        <w:rPr>
          <w:spacing w:val="-3"/>
        </w:rPr>
        <w:t> </w:t>
      </w:r>
      <w:r>
        <w:rPr/>
        <w:t>under</w:t>
      </w:r>
      <w:r>
        <w:rPr>
          <w:spacing w:val="-3"/>
        </w:rPr>
        <w:t> </w:t>
      </w:r>
      <w:r>
        <w:rPr/>
        <w:t>the</w:t>
      </w:r>
      <w:r>
        <w:rPr>
          <w:spacing w:val="-3"/>
        </w:rPr>
        <w:t> </w:t>
      </w:r>
      <w:r>
        <w:rPr/>
        <w:t>responsibility</w:t>
      </w:r>
      <w:r>
        <w:rPr>
          <w:spacing w:val="-10"/>
        </w:rPr>
        <w:t> </w:t>
      </w:r>
      <w:r>
        <w:rPr/>
        <w:t>of</w:t>
      </w:r>
      <w:r>
        <w:rPr>
          <w:spacing w:val="-1"/>
        </w:rPr>
        <w:t> </w:t>
      </w:r>
      <w:r>
        <w:rPr/>
        <w:t>a</w:t>
      </w:r>
      <w:r>
        <w:rPr>
          <w:spacing w:val="-3"/>
        </w:rPr>
        <w:t> </w:t>
      </w:r>
      <w:r>
        <w:rPr/>
        <w:t>state</w:t>
      </w:r>
      <w:r>
        <w:rPr>
          <w:spacing w:val="-3"/>
        </w:rPr>
        <w:t> </w:t>
      </w:r>
      <w:r>
        <w:rPr/>
        <w:t>other</w:t>
      </w:r>
      <w:r>
        <w:rPr>
          <w:spacing w:val="-3"/>
        </w:rPr>
        <w:t> </w:t>
      </w:r>
      <w:r>
        <w:rPr/>
        <w:t>than</w:t>
      </w:r>
      <w:r>
        <w:rPr>
          <w:spacing w:val="-2"/>
        </w:rPr>
        <w:t> </w:t>
      </w:r>
      <w:r>
        <w:rPr/>
        <w:t>Massachusetts or a Tribe in such a state when they</w:t>
      </w:r>
      <w:r>
        <w:rPr>
          <w:spacing w:val="-4"/>
        </w:rPr>
        <w:t> </w:t>
      </w:r>
      <w:r>
        <w:rPr/>
        <w:t>turned 18 or a higher age at which the state’s or Tribe’s foster care assistance ends, and were enrolled in Medicaid under that state’s Medicaid state plan</w:t>
      </w:r>
      <w:r>
        <w:rPr>
          <w:spacing w:val="-1"/>
        </w:rPr>
        <w:t> </w:t>
      </w:r>
      <w:r>
        <w:rPr/>
        <w:t>or</w:t>
      </w:r>
      <w:r>
        <w:rPr>
          <w:spacing w:val="-2"/>
        </w:rPr>
        <w:t> </w:t>
      </w:r>
      <w:r>
        <w:rPr/>
        <w:t>1115</w:t>
      </w:r>
      <w:r>
        <w:rPr>
          <w:spacing w:val="-1"/>
        </w:rPr>
        <w:t> </w:t>
      </w:r>
      <w:r>
        <w:rPr/>
        <w:t>demonstration</w:t>
      </w:r>
      <w:r>
        <w:rPr>
          <w:spacing w:val="-1"/>
        </w:rPr>
        <w:t> </w:t>
      </w:r>
      <w:r>
        <w:rPr/>
        <w:t>at</w:t>
      </w:r>
      <w:r>
        <w:rPr>
          <w:spacing w:val="-1"/>
        </w:rPr>
        <w:t> </w:t>
      </w:r>
      <w:r>
        <w:rPr/>
        <w:t>any</w:t>
      </w:r>
      <w:r>
        <w:rPr>
          <w:spacing w:val="-6"/>
        </w:rPr>
        <w:t> </w:t>
      </w:r>
      <w:r>
        <w:rPr/>
        <w:t>time</w:t>
      </w:r>
      <w:r>
        <w:rPr>
          <w:spacing w:val="-2"/>
        </w:rPr>
        <w:t> </w:t>
      </w:r>
      <w:r>
        <w:rPr/>
        <w:t>during</w:t>
      </w:r>
      <w:r>
        <w:rPr>
          <w:spacing w:val="-4"/>
        </w:rPr>
        <w:t> </w:t>
      </w:r>
      <w:r>
        <w:rPr/>
        <w:t>the</w:t>
      </w:r>
      <w:r>
        <w:rPr>
          <w:spacing w:val="-1"/>
        </w:rPr>
        <w:t> </w:t>
      </w:r>
      <w:r>
        <w:rPr/>
        <w:t>foster</w:t>
      </w:r>
      <w:r>
        <w:rPr>
          <w:spacing w:val="-2"/>
        </w:rPr>
        <w:t> </w:t>
      </w:r>
      <w:r>
        <w:rPr/>
        <w:t>care</w:t>
      </w:r>
      <w:r>
        <w:rPr>
          <w:spacing w:val="-2"/>
        </w:rPr>
        <w:t> </w:t>
      </w:r>
      <w:r>
        <w:rPr/>
        <w:t>period</w:t>
      </w:r>
      <w:r>
        <w:rPr>
          <w:spacing w:val="-1"/>
        </w:rPr>
        <w:t> </w:t>
      </w:r>
      <w:r>
        <w:rPr/>
        <w:t>in</w:t>
      </w:r>
      <w:r>
        <w:rPr>
          <w:spacing w:val="-1"/>
        </w:rPr>
        <w:t> </w:t>
      </w:r>
      <w:r>
        <w:rPr/>
        <w:t>which</w:t>
      </w:r>
      <w:r>
        <w:rPr>
          <w:spacing w:val="-1"/>
        </w:rPr>
        <w:t> </w:t>
      </w:r>
      <w:r>
        <w:rPr/>
        <w:t>they</w:t>
      </w:r>
      <w:r>
        <w:rPr>
          <w:spacing w:val="-6"/>
        </w:rPr>
        <w:t> </w:t>
      </w:r>
      <w:r>
        <w:rPr/>
        <w:t>aged</w:t>
      </w:r>
      <w:r>
        <w:rPr>
          <w:spacing w:val="-1"/>
        </w:rPr>
        <w:t> </w:t>
      </w:r>
      <w:r>
        <w:rPr/>
        <w:t>out.</w:t>
      </w:r>
    </w:p>
    <w:p>
      <w:pPr>
        <w:pStyle w:val="BodyText"/>
        <w:spacing w:before="10"/>
        <w:rPr>
          <w:sz w:val="20"/>
        </w:rPr>
      </w:pPr>
    </w:p>
    <w:p>
      <w:pPr>
        <w:pStyle w:val="ListParagraph"/>
        <w:numPr>
          <w:ilvl w:val="0"/>
          <w:numId w:val="2"/>
        </w:numPr>
        <w:tabs>
          <w:tab w:pos="1800" w:val="left" w:leader="none"/>
        </w:tabs>
        <w:spacing w:line="240" w:lineRule="auto" w:before="0" w:after="0"/>
        <w:ind w:left="1800" w:right="2359" w:hanging="480"/>
        <w:jc w:val="left"/>
        <w:rPr>
          <w:sz w:val="24"/>
        </w:rPr>
      </w:pPr>
      <w:bookmarkStart w:name="10. Recipients of State Veteran Annuitie" w:id="53"/>
      <w:bookmarkEnd w:id="53"/>
      <w:r>
        <w:rPr/>
      </w:r>
      <w:r>
        <w:rPr>
          <w:b/>
          <w:sz w:val="24"/>
        </w:rPr>
        <w:t>Recipients</w:t>
      </w:r>
      <w:r>
        <w:rPr>
          <w:b/>
          <w:spacing w:val="-4"/>
          <w:sz w:val="24"/>
        </w:rPr>
        <w:t> </w:t>
      </w:r>
      <w:r>
        <w:rPr>
          <w:b/>
          <w:sz w:val="24"/>
        </w:rPr>
        <w:t>of</w:t>
      </w:r>
      <w:r>
        <w:rPr>
          <w:b/>
          <w:spacing w:val="-3"/>
          <w:sz w:val="24"/>
        </w:rPr>
        <w:t> </w:t>
      </w:r>
      <w:r>
        <w:rPr>
          <w:b/>
          <w:sz w:val="24"/>
        </w:rPr>
        <w:t>State</w:t>
      </w:r>
      <w:r>
        <w:rPr>
          <w:b/>
          <w:spacing w:val="-5"/>
          <w:sz w:val="24"/>
        </w:rPr>
        <w:t> </w:t>
      </w:r>
      <w:r>
        <w:rPr>
          <w:b/>
          <w:sz w:val="24"/>
        </w:rPr>
        <w:t>Veteran</w:t>
      </w:r>
      <w:r>
        <w:rPr>
          <w:b/>
          <w:spacing w:val="-4"/>
          <w:sz w:val="24"/>
        </w:rPr>
        <w:t> </w:t>
      </w:r>
      <w:r>
        <w:rPr>
          <w:b/>
          <w:sz w:val="24"/>
        </w:rPr>
        <w:t>Annuities.</w:t>
      </w:r>
      <w:r>
        <w:rPr>
          <w:b/>
          <w:spacing w:val="-4"/>
          <w:sz w:val="24"/>
        </w:rPr>
        <w:t> </w:t>
      </w:r>
      <w:r>
        <w:rPr>
          <w:sz w:val="24"/>
        </w:rPr>
        <w:t>Expenditures</w:t>
      </w:r>
      <w:r>
        <w:rPr>
          <w:spacing w:val="-4"/>
          <w:sz w:val="24"/>
        </w:rPr>
        <w:t> </w:t>
      </w:r>
      <w:r>
        <w:rPr>
          <w:sz w:val="24"/>
        </w:rPr>
        <w:t>to</w:t>
      </w:r>
      <w:r>
        <w:rPr>
          <w:spacing w:val="-4"/>
          <w:sz w:val="24"/>
        </w:rPr>
        <w:t> </w:t>
      </w:r>
      <w:r>
        <w:rPr>
          <w:sz w:val="24"/>
        </w:rPr>
        <w:t>extend</w:t>
      </w:r>
      <w:r>
        <w:rPr>
          <w:spacing w:val="-4"/>
          <w:sz w:val="24"/>
        </w:rPr>
        <w:t> </w:t>
      </w:r>
      <w:r>
        <w:rPr>
          <w:sz w:val="24"/>
        </w:rPr>
        <w:t>eligibility</w:t>
      </w:r>
      <w:r>
        <w:rPr>
          <w:spacing w:val="-7"/>
          <w:sz w:val="24"/>
        </w:rPr>
        <w:t> </w:t>
      </w:r>
      <w:r>
        <w:rPr>
          <w:sz w:val="24"/>
        </w:rPr>
        <w:t>for</w:t>
      </w:r>
      <w:r>
        <w:rPr>
          <w:spacing w:val="-5"/>
          <w:sz w:val="24"/>
        </w:rPr>
        <w:t> </w:t>
      </w:r>
      <w:r>
        <w:rPr>
          <w:sz w:val="24"/>
        </w:rPr>
        <w:t>the populations of individuals specified below.</w:t>
      </w:r>
    </w:p>
    <w:p>
      <w:pPr>
        <w:pStyle w:val="BodyText"/>
        <w:spacing w:before="10"/>
        <w:rPr>
          <w:sz w:val="20"/>
        </w:rPr>
      </w:pPr>
    </w:p>
    <w:p>
      <w:pPr>
        <w:pStyle w:val="ListParagraph"/>
        <w:numPr>
          <w:ilvl w:val="1"/>
          <w:numId w:val="2"/>
        </w:numPr>
        <w:tabs>
          <w:tab w:pos="2519" w:val="left" w:leader="none"/>
        </w:tabs>
        <w:spacing w:line="240" w:lineRule="auto" w:before="0" w:after="0"/>
        <w:ind w:left="2519" w:right="1320" w:hanging="360"/>
        <w:jc w:val="left"/>
        <w:rPr>
          <w:sz w:val="24"/>
        </w:rPr>
      </w:pPr>
      <w:r>
        <w:rPr>
          <w:b/>
          <w:sz w:val="24"/>
        </w:rPr>
        <w:t>Recipients of State Veteran Annuities. </w:t>
      </w:r>
      <w:r>
        <w:rPr>
          <w:sz w:val="24"/>
        </w:rPr>
        <w:t>Except as described in 10(b), expenditures to extend eligibility for MassHealth Standard, MassHealth CarePlus, MassHealth Family Assistance and MassHealth Limited benefits for individuals who would be eligible</w:t>
      </w:r>
      <w:r>
        <w:rPr>
          <w:spacing w:val="-3"/>
          <w:sz w:val="24"/>
        </w:rPr>
        <w:t> </w:t>
      </w:r>
      <w:r>
        <w:rPr>
          <w:sz w:val="24"/>
        </w:rPr>
        <w:t>for</w:t>
      </w:r>
      <w:r>
        <w:rPr>
          <w:spacing w:val="-3"/>
          <w:sz w:val="24"/>
        </w:rPr>
        <w:t> </w:t>
      </w:r>
      <w:r>
        <w:rPr>
          <w:sz w:val="24"/>
        </w:rPr>
        <w:t>such</w:t>
      </w:r>
      <w:r>
        <w:rPr>
          <w:spacing w:val="-2"/>
          <w:sz w:val="24"/>
        </w:rPr>
        <w:t> </w:t>
      </w:r>
      <w:r>
        <w:rPr>
          <w:sz w:val="24"/>
        </w:rPr>
        <w:t>benefits</w:t>
      </w:r>
      <w:r>
        <w:rPr>
          <w:spacing w:val="-2"/>
          <w:sz w:val="24"/>
        </w:rPr>
        <w:t> </w:t>
      </w:r>
      <w:r>
        <w:rPr>
          <w:sz w:val="24"/>
        </w:rPr>
        <w:t>but</w:t>
      </w:r>
      <w:r>
        <w:rPr>
          <w:spacing w:val="-2"/>
          <w:sz w:val="24"/>
        </w:rPr>
        <w:t> </w:t>
      </w:r>
      <w:r>
        <w:rPr>
          <w:sz w:val="24"/>
        </w:rPr>
        <w:t>for</w:t>
      </w:r>
      <w:r>
        <w:rPr>
          <w:spacing w:val="-3"/>
          <w:sz w:val="24"/>
        </w:rPr>
        <w:t> </w:t>
      </w:r>
      <w:r>
        <w:rPr>
          <w:sz w:val="24"/>
        </w:rPr>
        <w:t>the</w:t>
      </w:r>
      <w:r>
        <w:rPr>
          <w:spacing w:val="-3"/>
          <w:sz w:val="24"/>
        </w:rPr>
        <w:t> </w:t>
      </w:r>
      <w:r>
        <w:rPr>
          <w:sz w:val="24"/>
        </w:rPr>
        <w:t>receipt</w:t>
      </w:r>
      <w:r>
        <w:rPr>
          <w:spacing w:val="-2"/>
          <w:sz w:val="24"/>
        </w:rPr>
        <w:t> </w:t>
      </w:r>
      <w:r>
        <w:rPr>
          <w:sz w:val="24"/>
        </w:rPr>
        <w:t>of</w:t>
      </w:r>
      <w:r>
        <w:rPr>
          <w:spacing w:val="-3"/>
          <w:sz w:val="24"/>
        </w:rPr>
        <w:t> </w:t>
      </w:r>
      <w:r>
        <w:rPr>
          <w:sz w:val="24"/>
        </w:rPr>
        <w:t>a</w:t>
      </w:r>
      <w:r>
        <w:rPr>
          <w:spacing w:val="-3"/>
          <w:sz w:val="24"/>
        </w:rPr>
        <w:t> </w:t>
      </w:r>
      <w:r>
        <w:rPr>
          <w:sz w:val="24"/>
        </w:rPr>
        <w:t>state</w:t>
      </w:r>
      <w:r>
        <w:rPr>
          <w:spacing w:val="-3"/>
          <w:sz w:val="24"/>
        </w:rPr>
        <w:t> </w:t>
      </w:r>
      <w:r>
        <w:rPr>
          <w:sz w:val="24"/>
        </w:rPr>
        <w:t>veteran</w:t>
      </w:r>
      <w:r>
        <w:rPr>
          <w:spacing w:val="-2"/>
          <w:sz w:val="24"/>
        </w:rPr>
        <w:t> </w:t>
      </w:r>
      <w:r>
        <w:rPr>
          <w:sz w:val="24"/>
        </w:rPr>
        <w:t>annuity</w:t>
      </w:r>
      <w:r>
        <w:rPr>
          <w:spacing w:val="-7"/>
          <w:sz w:val="24"/>
        </w:rPr>
        <w:t> </w:t>
      </w:r>
      <w:r>
        <w:rPr>
          <w:sz w:val="24"/>
        </w:rPr>
        <w:t>or</w:t>
      </w:r>
      <w:r>
        <w:rPr>
          <w:spacing w:val="-3"/>
          <w:sz w:val="24"/>
        </w:rPr>
        <w:t> </w:t>
      </w:r>
      <w:r>
        <w:rPr>
          <w:sz w:val="24"/>
        </w:rPr>
        <w:t>the</w:t>
      </w:r>
      <w:r>
        <w:rPr>
          <w:spacing w:val="-1"/>
          <w:sz w:val="24"/>
        </w:rPr>
        <w:t> </w:t>
      </w:r>
      <w:r>
        <w:rPr>
          <w:sz w:val="24"/>
        </w:rPr>
        <w:t>inclusion of such annuity in the household income, provided that individuals described above are not otherwise eligible to receive comparable coverage on the state exchange.</w:t>
      </w:r>
    </w:p>
    <w:p>
      <w:pPr>
        <w:pStyle w:val="ListParagraph"/>
        <w:numPr>
          <w:ilvl w:val="1"/>
          <w:numId w:val="2"/>
        </w:numPr>
        <w:tabs>
          <w:tab w:pos="2519" w:val="left" w:leader="none"/>
        </w:tabs>
        <w:spacing w:line="240" w:lineRule="auto" w:before="161" w:after="0"/>
        <w:ind w:left="2519" w:right="1494" w:hanging="360"/>
        <w:jc w:val="left"/>
        <w:rPr>
          <w:sz w:val="24"/>
        </w:rPr>
      </w:pPr>
      <w:r>
        <w:rPr>
          <w:sz w:val="24"/>
        </w:rPr>
        <w:t>Expenditures to extend eligibility for MassHealth Standard and CommonHealth benefits</w:t>
      </w:r>
      <w:r>
        <w:rPr>
          <w:spacing w:val="-3"/>
          <w:sz w:val="24"/>
        </w:rPr>
        <w:t> </w:t>
      </w:r>
      <w:r>
        <w:rPr>
          <w:sz w:val="24"/>
        </w:rPr>
        <w:t>for</w:t>
      </w:r>
      <w:r>
        <w:rPr>
          <w:spacing w:val="-4"/>
          <w:sz w:val="24"/>
        </w:rPr>
        <w:t> </w:t>
      </w:r>
      <w:r>
        <w:rPr>
          <w:sz w:val="24"/>
        </w:rPr>
        <w:t>disabled</w:t>
      </w:r>
      <w:r>
        <w:rPr>
          <w:spacing w:val="-3"/>
          <w:sz w:val="24"/>
        </w:rPr>
        <w:t> </w:t>
      </w:r>
      <w:r>
        <w:rPr>
          <w:sz w:val="24"/>
        </w:rPr>
        <w:t>individuals</w:t>
      </w:r>
      <w:r>
        <w:rPr>
          <w:spacing w:val="-3"/>
          <w:sz w:val="24"/>
        </w:rPr>
        <w:t> </w:t>
      </w:r>
      <w:r>
        <w:rPr>
          <w:sz w:val="24"/>
        </w:rPr>
        <w:t>who</w:t>
      </w:r>
      <w:r>
        <w:rPr>
          <w:spacing w:val="-3"/>
          <w:sz w:val="24"/>
        </w:rPr>
        <w:t> </w:t>
      </w:r>
      <w:r>
        <w:rPr>
          <w:sz w:val="24"/>
        </w:rPr>
        <w:t>would</w:t>
      </w:r>
      <w:r>
        <w:rPr>
          <w:spacing w:val="-3"/>
          <w:sz w:val="24"/>
        </w:rPr>
        <w:t> </w:t>
      </w:r>
      <w:r>
        <w:rPr>
          <w:sz w:val="24"/>
        </w:rPr>
        <w:t>be</w:t>
      </w:r>
      <w:r>
        <w:rPr>
          <w:spacing w:val="-4"/>
          <w:sz w:val="24"/>
        </w:rPr>
        <w:t> </w:t>
      </w:r>
      <w:r>
        <w:rPr>
          <w:sz w:val="24"/>
        </w:rPr>
        <w:t>eligible</w:t>
      </w:r>
      <w:r>
        <w:rPr>
          <w:spacing w:val="-4"/>
          <w:sz w:val="24"/>
        </w:rPr>
        <w:t> </w:t>
      </w:r>
      <w:r>
        <w:rPr>
          <w:sz w:val="24"/>
        </w:rPr>
        <w:t>for</w:t>
      </w:r>
      <w:r>
        <w:rPr>
          <w:spacing w:val="-4"/>
          <w:sz w:val="24"/>
        </w:rPr>
        <w:t> </w:t>
      </w:r>
      <w:r>
        <w:rPr>
          <w:sz w:val="24"/>
        </w:rPr>
        <w:t>such</w:t>
      </w:r>
      <w:r>
        <w:rPr>
          <w:spacing w:val="-3"/>
          <w:sz w:val="24"/>
        </w:rPr>
        <w:t> </w:t>
      </w:r>
      <w:r>
        <w:rPr>
          <w:sz w:val="24"/>
        </w:rPr>
        <w:t>benefits</w:t>
      </w:r>
      <w:r>
        <w:rPr>
          <w:spacing w:val="-3"/>
          <w:sz w:val="24"/>
        </w:rPr>
        <w:t> </w:t>
      </w:r>
      <w:r>
        <w:rPr>
          <w:sz w:val="24"/>
        </w:rPr>
        <w:t>but</w:t>
      </w:r>
      <w:r>
        <w:rPr>
          <w:spacing w:val="-3"/>
          <w:sz w:val="24"/>
        </w:rPr>
        <w:t> </w:t>
      </w:r>
      <w:r>
        <w:rPr>
          <w:sz w:val="24"/>
        </w:rPr>
        <w:t>for</w:t>
      </w:r>
      <w:r>
        <w:rPr>
          <w:spacing w:val="-4"/>
          <w:sz w:val="24"/>
        </w:rPr>
        <w:t> </w:t>
      </w:r>
      <w:r>
        <w:rPr>
          <w:sz w:val="24"/>
        </w:rPr>
        <w:t>the receipt of a state veteran annuity or the inclusion of such annuity in the household </w:t>
      </w:r>
      <w:r>
        <w:rPr>
          <w:spacing w:val="-2"/>
          <w:sz w:val="24"/>
        </w:rPr>
        <w:t>income.</w:t>
      </w:r>
    </w:p>
    <w:p>
      <w:pPr>
        <w:pStyle w:val="ListParagraph"/>
        <w:numPr>
          <w:ilvl w:val="1"/>
          <w:numId w:val="2"/>
        </w:numPr>
        <w:tabs>
          <w:tab w:pos="2519" w:val="left" w:leader="none"/>
        </w:tabs>
        <w:spacing w:line="240" w:lineRule="auto" w:before="158" w:after="0"/>
        <w:ind w:left="2519" w:right="1512" w:hanging="360"/>
        <w:jc w:val="left"/>
        <w:rPr>
          <w:sz w:val="24"/>
        </w:rPr>
      </w:pPr>
      <w:r>
        <w:rPr>
          <w:sz w:val="24"/>
        </w:rPr>
        <w:t>Expenditures</w:t>
      </w:r>
      <w:r>
        <w:rPr>
          <w:spacing w:val="-3"/>
          <w:sz w:val="24"/>
        </w:rPr>
        <w:t> </w:t>
      </w:r>
      <w:r>
        <w:rPr>
          <w:sz w:val="24"/>
        </w:rPr>
        <w:t>to</w:t>
      </w:r>
      <w:r>
        <w:rPr>
          <w:spacing w:val="-3"/>
          <w:sz w:val="24"/>
        </w:rPr>
        <w:t> </w:t>
      </w:r>
      <w:r>
        <w:rPr>
          <w:sz w:val="24"/>
        </w:rPr>
        <w:t>extend</w:t>
      </w:r>
      <w:r>
        <w:rPr>
          <w:spacing w:val="-3"/>
          <w:sz w:val="24"/>
        </w:rPr>
        <w:t> </w:t>
      </w:r>
      <w:r>
        <w:rPr>
          <w:sz w:val="24"/>
        </w:rPr>
        <w:t>eligibility</w:t>
      </w:r>
      <w:r>
        <w:rPr>
          <w:spacing w:val="-8"/>
          <w:sz w:val="24"/>
        </w:rPr>
        <w:t> </w:t>
      </w:r>
      <w:r>
        <w:rPr>
          <w:sz w:val="24"/>
        </w:rPr>
        <w:t>for</w:t>
      </w:r>
      <w:r>
        <w:rPr>
          <w:spacing w:val="-4"/>
          <w:sz w:val="24"/>
        </w:rPr>
        <w:t> </w:t>
      </w:r>
      <w:r>
        <w:rPr>
          <w:sz w:val="24"/>
        </w:rPr>
        <w:t>individuals</w:t>
      </w:r>
      <w:r>
        <w:rPr>
          <w:spacing w:val="-1"/>
          <w:sz w:val="24"/>
        </w:rPr>
        <w:t> </w:t>
      </w:r>
      <w:r>
        <w:rPr>
          <w:sz w:val="24"/>
        </w:rPr>
        <w:t>who</w:t>
      </w:r>
      <w:r>
        <w:rPr>
          <w:spacing w:val="-3"/>
          <w:sz w:val="24"/>
        </w:rPr>
        <w:t> </w:t>
      </w:r>
      <w:r>
        <w:rPr>
          <w:sz w:val="24"/>
        </w:rPr>
        <w:t>would</w:t>
      </w:r>
      <w:r>
        <w:rPr>
          <w:spacing w:val="-3"/>
          <w:sz w:val="24"/>
        </w:rPr>
        <w:t> </w:t>
      </w:r>
      <w:r>
        <w:rPr>
          <w:sz w:val="24"/>
        </w:rPr>
        <w:t>be</w:t>
      </w:r>
      <w:r>
        <w:rPr>
          <w:spacing w:val="-4"/>
          <w:sz w:val="24"/>
        </w:rPr>
        <w:t> </w:t>
      </w:r>
      <w:r>
        <w:rPr>
          <w:sz w:val="24"/>
        </w:rPr>
        <w:t>eligible</w:t>
      </w:r>
      <w:r>
        <w:rPr>
          <w:spacing w:val="-4"/>
          <w:sz w:val="24"/>
        </w:rPr>
        <w:t> </w:t>
      </w:r>
      <w:r>
        <w:rPr>
          <w:sz w:val="24"/>
        </w:rPr>
        <w:t>to</w:t>
      </w:r>
      <w:r>
        <w:rPr>
          <w:spacing w:val="-3"/>
          <w:sz w:val="24"/>
        </w:rPr>
        <w:t> </w:t>
      </w:r>
      <w:r>
        <w:rPr>
          <w:sz w:val="24"/>
        </w:rPr>
        <w:t>enroll</w:t>
      </w:r>
      <w:r>
        <w:rPr>
          <w:spacing w:val="-3"/>
          <w:sz w:val="24"/>
        </w:rPr>
        <w:t> </w:t>
      </w:r>
      <w:r>
        <w:rPr>
          <w:sz w:val="24"/>
        </w:rPr>
        <w:t>in PACE but for the receipt of a state veteran annuity or but for the inclusion of such annuity in the household income</w:t>
      </w:r>
    </w:p>
    <w:p>
      <w:pPr>
        <w:pStyle w:val="BodyText"/>
        <w:spacing w:before="10"/>
        <w:rPr>
          <w:sz w:val="20"/>
        </w:rPr>
      </w:pPr>
    </w:p>
    <w:p>
      <w:pPr>
        <w:pStyle w:val="ListParagraph"/>
        <w:numPr>
          <w:ilvl w:val="0"/>
          <w:numId w:val="2"/>
        </w:numPr>
        <w:tabs>
          <w:tab w:pos="1799" w:val="left" w:leader="none"/>
        </w:tabs>
        <w:spacing w:line="240" w:lineRule="auto" w:before="1" w:after="0"/>
        <w:ind w:left="1799" w:right="1384" w:hanging="480"/>
        <w:jc w:val="left"/>
        <w:rPr>
          <w:sz w:val="24"/>
        </w:rPr>
      </w:pPr>
      <w:bookmarkStart w:name="11. Continuous Eligibility. Expenditures" w:id="54"/>
      <w:bookmarkEnd w:id="54"/>
      <w:r>
        <w:rPr/>
      </w:r>
      <w:r>
        <w:rPr>
          <w:b/>
          <w:sz w:val="24"/>
        </w:rPr>
        <w:t>Continuous</w:t>
      </w:r>
      <w:r>
        <w:rPr>
          <w:b/>
          <w:spacing w:val="-3"/>
          <w:sz w:val="24"/>
        </w:rPr>
        <w:t> </w:t>
      </w:r>
      <w:r>
        <w:rPr>
          <w:b/>
          <w:sz w:val="24"/>
        </w:rPr>
        <w:t>Eligibility.</w:t>
      </w:r>
      <w:r>
        <w:rPr>
          <w:b/>
          <w:spacing w:val="-3"/>
          <w:sz w:val="24"/>
        </w:rPr>
        <w:t> </w:t>
      </w:r>
      <w:r>
        <w:rPr>
          <w:sz w:val="24"/>
        </w:rPr>
        <w:t>Expenditures for</w:t>
      </w:r>
      <w:r>
        <w:rPr>
          <w:spacing w:val="-1"/>
          <w:sz w:val="24"/>
        </w:rPr>
        <w:t> </w:t>
      </w:r>
      <w:r>
        <w:rPr>
          <w:sz w:val="24"/>
        </w:rPr>
        <w:t>health care</w:t>
      </w:r>
      <w:r>
        <w:rPr>
          <w:spacing w:val="-1"/>
          <w:sz w:val="24"/>
        </w:rPr>
        <w:t> </w:t>
      </w:r>
      <w:r>
        <w:rPr>
          <w:sz w:val="24"/>
        </w:rPr>
        <w:t>related costs for</w:t>
      </w:r>
      <w:r>
        <w:rPr>
          <w:spacing w:val="-1"/>
          <w:sz w:val="24"/>
        </w:rPr>
        <w:t> </w:t>
      </w:r>
      <w:r>
        <w:rPr>
          <w:sz w:val="24"/>
        </w:rPr>
        <w:t>individuals who have been determined eligible under groups specified in STC 4.10 for continued benefits during any</w:t>
      </w:r>
      <w:r>
        <w:rPr>
          <w:spacing w:val="-7"/>
          <w:sz w:val="24"/>
        </w:rPr>
        <w:t> </w:t>
      </w:r>
      <w:r>
        <w:rPr>
          <w:sz w:val="24"/>
        </w:rPr>
        <w:t>periods</w:t>
      </w:r>
      <w:r>
        <w:rPr>
          <w:spacing w:val="-3"/>
          <w:sz w:val="24"/>
        </w:rPr>
        <w:t> </w:t>
      </w:r>
      <w:r>
        <w:rPr>
          <w:sz w:val="24"/>
        </w:rPr>
        <w:t>within</w:t>
      </w:r>
      <w:r>
        <w:rPr>
          <w:spacing w:val="-3"/>
          <w:sz w:val="24"/>
        </w:rPr>
        <w:t> </w:t>
      </w:r>
      <w:r>
        <w:rPr>
          <w:sz w:val="24"/>
        </w:rPr>
        <w:t>the</w:t>
      </w:r>
      <w:r>
        <w:rPr>
          <w:spacing w:val="-4"/>
          <w:sz w:val="24"/>
        </w:rPr>
        <w:t> </w:t>
      </w:r>
      <w:r>
        <w:rPr>
          <w:sz w:val="24"/>
        </w:rPr>
        <w:t>continuous</w:t>
      </w:r>
      <w:r>
        <w:rPr>
          <w:spacing w:val="-3"/>
          <w:sz w:val="24"/>
        </w:rPr>
        <w:t> </w:t>
      </w:r>
      <w:r>
        <w:rPr>
          <w:sz w:val="24"/>
        </w:rPr>
        <w:t>eligibility</w:t>
      </w:r>
      <w:r>
        <w:rPr>
          <w:spacing w:val="-10"/>
          <w:sz w:val="24"/>
        </w:rPr>
        <w:t> </w:t>
      </w:r>
      <w:r>
        <w:rPr>
          <w:sz w:val="24"/>
        </w:rPr>
        <w:t>period</w:t>
      </w:r>
      <w:r>
        <w:rPr>
          <w:spacing w:val="-3"/>
          <w:sz w:val="24"/>
        </w:rPr>
        <w:t> </w:t>
      </w:r>
      <w:r>
        <w:rPr>
          <w:sz w:val="24"/>
        </w:rPr>
        <w:t>when</w:t>
      </w:r>
      <w:r>
        <w:rPr>
          <w:spacing w:val="-3"/>
          <w:sz w:val="24"/>
        </w:rPr>
        <w:t> </w:t>
      </w:r>
      <w:r>
        <w:rPr>
          <w:sz w:val="24"/>
        </w:rPr>
        <w:t>these</w:t>
      </w:r>
      <w:r>
        <w:rPr>
          <w:spacing w:val="-4"/>
          <w:sz w:val="24"/>
        </w:rPr>
        <w:t> </w:t>
      </w:r>
      <w:r>
        <w:rPr>
          <w:sz w:val="24"/>
        </w:rPr>
        <w:t>individuals</w:t>
      </w:r>
      <w:r>
        <w:rPr>
          <w:spacing w:val="-1"/>
          <w:sz w:val="24"/>
        </w:rPr>
        <w:t> </w:t>
      </w:r>
      <w:r>
        <w:rPr>
          <w:sz w:val="24"/>
        </w:rPr>
        <w:t>would</w:t>
      </w:r>
      <w:r>
        <w:rPr>
          <w:spacing w:val="-3"/>
          <w:sz w:val="24"/>
        </w:rPr>
        <w:t> </w:t>
      </w:r>
      <w:r>
        <w:rPr>
          <w:sz w:val="24"/>
        </w:rPr>
        <w:t>otherwise lose coverage during an eligibility</w:t>
      </w:r>
      <w:r>
        <w:rPr>
          <w:spacing w:val="-1"/>
          <w:sz w:val="24"/>
        </w:rPr>
        <w:t> </w:t>
      </w:r>
      <w:r>
        <w:rPr>
          <w:sz w:val="24"/>
        </w:rPr>
        <w:t>redetermination, except as noted in STC 4.10(b).</w:t>
      </w:r>
      <w:r>
        <w:rPr>
          <w:spacing w:val="40"/>
          <w:sz w:val="24"/>
        </w:rPr>
        <w:t> </w:t>
      </w:r>
      <w:r>
        <w:rPr>
          <w:sz w:val="24"/>
        </w:rPr>
        <w:t>Along with other populations, this authority includes providing continuous eligibility for certain individuals in the Adult Group</w:t>
      </w:r>
    </w:p>
    <w:p>
      <w:pPr>
        <w:pStyle w:val="BodyText"/>
        <w:spacing w:before="10"/>
        <w:rPr>
          <w:sz w:val="20"/>
        </w:rPr>
      </w:pPr>
    </w:p>
    <w:p>
      <w:pPr>
        <w:pStyle w:val="ListParagraph"/>
        <w:numPr>
          <w:ilvl w:val="1"/>
          <w:numId w:val="2"/>
        </w:numPr>
        <w:tabs>
          <w:tab w:pos="2519" w:val="left" w:leader="none"/>
        </w:tabs>
        <w:spacing w:line="240" w:lineRule="auto" w:before="0" w:after="0"/>
        <w:ind w:left="2519" w:right="1292" w:hanging="360"/>
        <w:jc w:val="left"/>
        <w:rPr>
          <w:sz w:val="24"/>
        </w:rPr>
      </w:pPr>
      <w:bookmarkStart w:name="a. For expenditures related to 1905(z)(2" w:id="55"/>
      <w:bookmarkEnd w:id="55"/>
      <w:r>
        <w:rPr/>
      </w:r>
      <w:r>
        <w:rPr>
          <w:sz w:val="24"/>
        </w:rPr>
        <w:t>For</w:t>
      </w:r>
      <w:r>
        <w:rPr>
          <w:spacing w:val="-5"/>
          <w:sz w:val="24"/>
        </w:rPr>
        <w:t> </w:t>
      </w:r>
      <w:r>
        <w:rPr>
          <w:sz w:val="24"/>
        </w:rPr>
        <w:t>expenditures</w:t>
      </w:r>
      <w:r>
        <w:rPr>
          <w:spacing w:val="-4"/>
          <w:sz w:val="24"/>
        </w:rPr>
        <w:t> </w:t>
      </w:r>
      <w:r>
        <w:rPr>
          <w:sz w:val="24"/>
        </w:rPr>
        <w:t>related</w:t>
      </w:r>
      <w:r>
        <w:rPr>
          <w:spacing w:val="-2"/>
          <w:sz w:val="24"/>
        </w:rPr>
        <w:t> </w:t>
      </w:r>
      <w:r>
        <w:rPr>
          <w:sz w:val="24"/>
        </w:rPr>
        <w:t>to</w:t>
      </w:r>
      <w:r>
        <w:rPr>
          <w:spacing w:val="-4"/>
          <w:sz w:val="24"/>
        </w:rPr>
        <w:t> </w:t>
      </w:r>
      <w:r>
        <w:rPr>
          <w:sz w:val="24"/>
        </w:rPr>
        <w:t>1905(z)(2)</w:t>
      </w:r>
      <w:r>
        <w:rPr>
          <w:spacing w:val="-5"/>
          <w:sz w:val="24"/>
        </w:rPr>
        <w:t> </w:t>
      </w:r>
      <w:r>
        <w:rPr>
          <w:sz w:val="24"/>
        </w:rPr>
        <w:t>expansion</w:t>
      </w:r>
      <w:r>
        <w:rPr>
          <w:spacing w:val="-4"/>
          <w:sz w:val="24"/>
        </w:rPr>
        <w:t> </w:t>
      </w:r>
      <w:r>
        <w:rPr>
          <w:sz w:val="24"/>
        </w:rPr>
        <w:t>state</w:t>
      </w:r>
      <w:r>
        <w:rPr>
          <w:spacing w:val="-5"/>
          <w:sz w:val="24"/>
        </w:rPr>
        <w:t> </w:t>
      </w:r>
      <w:r>
        <w:rPr>
          <w:sz w:val="24"/>
        </w:rPr>
        <w:t>individuals</w:t>
      </w:r>
      <w:r>
        <w:rPr>
          <w:spacing w:val="-4"/>
          <w:sz w:val="24"/>
        </w:rPr>
        <w:t> </w:t>
      </w:r>
      <w:r>
        <w:rPr>
          <w:sz w:val="24"/>
        </w:rPr>
        <w:t>in</w:t>
      </w:r>
      <w:r>
        <w:rPr>
          <w:spacing w:val="-4"/>
          <w:sz w:val="24"/>
        </w:rPr>
        <w:t> </w:t>
      </w:r>
      <w:r>
        <w:rPr>
          <w:sz w:val="24"/>
        </w:rPr>
        <w:t>the</w:t>
      </w:r>
      <w:r>
        <w:rPr>
          <w:spacing w:val="-5"/>
          <w:sz w:val="24"/>
        </w:rPr>
        <w:t> </w:t>
      </w:r>
      <w:r>
        <w:rPr>
          <w:sz w:val="24"/>
        </w:rPr>
        <w:t>Adult</w:t>
      </w:r>
      <w:r>
        <w:rPr>
          <w:spacing w:val="-4"/>
          <w:sz w:val="24"/>
        </w:rPr>
        <w:t> </w:t>
      </w:r>
      <w:r>
        <w:rPr>
          <w:sz w:val="24"/>
        </w:rPr>
        <w:t>Group who are eligible for continuous eligibility based on their release from a correctional institution, the state shall make a downward adjustment by claiming 2.6 percent of expenditures at the state’s regular Federal Medical Assistance Percentage (FMAP) instead of at the 1905(z)(2) expansion state increased FMAP.</w:t>
      </w:r>
    </w:p>
    <w:p>
      <w:pPr>
        <w:pStyle w:val="BodyText"/>
        <w:spacing w:before="10"/>
        <w:rPr>
          <w:sz w:val="20"/>
        </w:rPr>
      </w:pPr>
    </w:p>
    <w:p>
      <w:pPr>
        <w:pStyle w:val="ListParagraph"/>
        <w:numPr>
          <w:ilvl w:val="1"/>
          <w:numId w:val="2"/>
        </w:numPr>
        <w:tabs>
          <w:tab w:pos="2519" w:val="left" w:leader="none"/>
        </w:tabs>
        <w:spacing w:line="240" w:lineRule="auto" w:before="0" w:after="0"/>
        <w:ind w:left="2519" w:right="1292" w:hanging="360"/>
        <w:jc w:val="left"/>
        <w:rPr>
          <w:sz w:val="24"/>
        </w:rPr>
      </w:pPr>
      <w:bookmarkStart w:name="b. For expenditures related to 1905(z)(2" w:id="56"/>
      <w:bookmarkEnd w:id="56"/>
      <w:r>
        <w:rPr/>
      </w:r>
      <w:r>
        <w:rPr>
          <w:sz w:val="24"/>
        </w:rPr>
        <w:t>For</w:t>
      </w:r>
      <w:r>
        <w:rPr>
          <w:spacing w:val="-5"/>
          <w:sz w:val="24"/>
        </w:rPr>
        <w:t> </w:t>
      </w:r>
      <w:r>
        <w:rPr>
          <w:sz w:val="24"/>
        </w:rPr>
        <w:t>expenditures</w:t>
      </w:r>
      <w:r>
        <w:rPr>
          <w:spacing w:val="-4"/>
          <w:sz w:val="24"/>
        </w:rPr>
        <w:t> </w:t>
      </w:r>
      <w:r>
        <w:rPr>
          <w:sz w:val="24"/>
        </w:rPr>
        <w:t>related</w:t>
      </w:r>
      <w:r>
        <w:rPr>
          <w:spacing w:val="-2"/>
          <w:sz w:val="24"/>
        </w:rPr>
        <w:t> </w:t>
      </w:r>
      <w:r>
        <w:rPr>
          <w:sz w:val="24"/>
        </w:rPr>
        <w:t>to</w:t>
      </w:r>
      <w:r>
        <w:rPr>
          <w:spacing w:val="-4"/>
          <w:sz w:val="24"/>
        </w:rPr>
        <w:t> </w:t>
      </w:r>
      <w:r>
        <w:rPr>
          <w:sz w:val="24"/>
        </w:rPr>
        <w:t>1905(z)(2)</w:t>
      </w:r>
      <w:r>
        <w:rPr>
          <w:spacing w:val="-5"/>
          <w:sz w:val="24"/>
        </w:rPr>
        <w:t> </w:t>
      </w:r>
      <w:r>
        <w:rPr>
          <w:sz w:val="24"/>
        </w:rPr>
        <w:t>expansion</w:t>
      </w:r>
      <w:r>
        <w:rPr>
          <w:spacing w:val="-4"/>
          <w:sz w:val="24"/>
        </w:rPr>
        <w:t> </w:t>
      </w:r>
      <w:r>
        <w:rPr>
          <w:sz w:val="24"/>
        </w:rPr>
        <w:t>state</w:t>
      </w:r>
      <w:r>
        <w:rPr>
          <w:spacing w:val="-5"/>
          <w:sz w:val="24"/>
        </w:rPr>
        <w:t> </w:t>
      </w:r>
      <w:r>
        <w:rPr>
          <w:sz w:val="24"/>
        </w:rPr>
        <w:t>individuals</w:t>
      </w:r>
      <w:r>
        <w:rPr>
          <w:spacing w:val="-4"/>
          <w:sz w:val="24"/>
        </w:rPr>
        <w:t> </w:t>
      </w:r>
      <w:r>
        <w:rPr>
          <w:sz w:val="24"/>
        </w:rPr>
        <w:t>in</w:t>
      </w:r>
      <w:r>
        <w:rPr>
          <w:spacing w:val="-4"/>
          <w:sz w:val="24"/>
        </w:rPr>
        <w:t> </w:t>
      </w:r>
      <w:r>
        <w:rPr>
          <w:sz w:val="24"/>
        </w:rPr>
        <w:t>the</w:t>
      </w:r>
      <w:r>
        <w:rPr>
          <w:spacing w:val="-5"/>
          <w:sz w:val="24"/>
        </w:rPr>
        <w:t> </w:t>
      </w:r>
      <w:r>
        <w:rPr>
          <w:sz w:val="24"/>
        </w:rPr>
        <w:t>Adult</w:t>
      </w:r>
      <w:r>
        <w:rPr>
          <w:spacing w:val="-4"/>
          <w:sz w:val="24"/>
        </w:rPr>
        <w:t> </w:t>
      </w:r>
      <w:r>
        <w:rPr>
          <w:sz w:val="24"/>
        </w:rPr>
        <w:t>Group who are eligible for continuous eligibility because they are experiencing homelessness as defined in STC 4.10, no downward adjustment of the 1905(z)(2) expansion state increased FMAP will be required.</w:t>
      </w:r>
    </w:p>
    <w:p>
      <w:pPr>
        <w:pStyle w:val="BodyText"/>
        <w:spacing w:before="10"/>
        <w:rPr>
          <w:sz w:val="20"/>
        </w:rPr>
      </w:pPr>
    </w:p>
    <w:p>
      <w:pPr>
        <w:pStyle w:val="ListParagraph"/>
        <w:numPr>
          <w:ilvl w:val="0"/>
          <w:numId w:val="2"/>
        </w:numPr>
        <w:tabs>
          <w:tab w:pos="1799" w:val="left" w:leader="none"/>
        </w:tabs>
        <w:spacing w:line="240" w:lineRule="auto" w:before="0" w:after="0"/>
        <w:ind w:left="1799" w:right="1353" w:hanging="480"/>
        <w:jc w:val="both"/>
        <w:rPr>
          <w:sz w:val="24"/>
        </w:rPr>
      </w:pPr>
      <w:bookmarkStart w:name="12. Premium Assistance. Expenditures for" w:id="57"/>
      <w:bookmarkEnd w:id="57"/>
      <w:r>
        <w:rPr/>
      </w:r>
      <w:r>
        <w:rPr>
          <w:b/>
          <w:sz w:val="24"/>
        </w:rPr>
        <w:t>Premium</w:t>
      </w:r>
      <w:r>
        <w:rPr>
          <w:b/>
          <w:spacing w:val="-1"/>
          <w:sz w:val="24"/>
        </w:rPr>
        <w:t> </w:t>
      </w:r>
      <w:r>
        <w:rPr>
          <w:b/>
          <w:sz w:val="24"/>
        </w:rPr>
        <w:t>Assistance. </w:t>
      </w:r>
      <w:r>
        <w:rPr>
          <w:sz w:val="24"/>
        </w:rPr>
        <w:t>Expenditures for premium assistance payments to enable individuals enrolled</w:t>
      </w:r>
      <w:r>
        <w:rPr>
          <w:spacing w:val="-3"/>
          <w:sz w:val="24"/>
        </w:rPr>
        <w:t> </w:t>
      </w:r>
      <w:r>
        <w:rPr>
          <w:sz w:val="24"/>
        </w:rPr>
        <w:t>in</w:t>
      </w:r>
      <w:r>
        <w:rPr>
          <w:spacing w:val="-3"/>
          <w:sz w:val="24"/>
        </w:rPr>
        <w:t> </w:t>
      </w:r>
      <w:r>
        <w:rPr>
          <w:sz w:val="24"/>
        </w:rPr>
        <w:t>CommonHealth</w:t>
      </w:r>
      <w:r>
        <w:rPr>
          <w:spacing w:val="-3"/>
          <w:sz w:val="24"/>
        </w:rPr>
        <w:t> </w:t>
      </w:r>
      <w:r>
        <w:rPr>
          <w:sz w:val="24"/>
        </w:rPr>
        <w:t>(Adults</w:t>
      </w:r>
      <w:r>
        <w:rPr>
          <w:spacing w:val="-3"/>
          <w:sz w:val="24"/>
        </w:rPr>
        <w:t> </w:t>
      </w:r>
      <w:r>
        <w:rPr>
          <w:sz w:val="24"/>
        </w:rPr>
        <w:t>and</w:t>
      </w:r>
      <w:r>
        <w:rPr>
          <w:spacing w:val="-3"/>
          <w:sz w:val="24"/>
        </w:rPr>
        <w:t> </w:t>
      </w:r>
      <w:r>
        <w:rPr>
          <w:sz w:val="24"/>
        </w:rPr>
        <w:t>Children)</w:t>
      </w:r>
      <w:r>
        <w:rPr>
          <w:spacing w:val="-4"/>
          <w:sz w:val="24"/>
        </w:rPr>
        <w:t> </w:t>
      </w:r>
      <w:r>
        <w:rPr>
          <w:sz w:val="24"/>
        </w:rPr>
        <w:t>and</w:t>
      </w:r>
      <w:r>
        <w:rPr>
          <w:spacing w:val="-3"/>
          <w:sz w:val="24"/>
        </w:rPr>
        <w:t> </w:t>
      </w:r>
      <w:r>
        <w:rPr>
          <w:sz w:val="24"/>
        </w:rPr>
        <w:t>Family</w:t>
      </w:r>
      <w:r>
        <w:rPr>
          <w:spacing w:val="-8"/>
          <w:sz w:val="24"/>
        </w:rPr>
        <w:t> </w:t>
      </w:r>
      <w:r>
        <w:rPr>
          <w:sz w:val="24"/>
        </w:rPr>
        <w:t>Assistance</w:t>
      </w:r>
      <w:r>
        <w:rPr>
          <w:spacing w:val="-4"/>
          <w:sz w:val="24"/>
        </w:rPr>
        <w:t> </w:t>
      </w:r>
      <w:r>
        <w:rPr>
          <w:sz w:val="24"/>
        </w:rPr>
        <w:t>to</w:t>
      </w:r>
      <w:r>
        <w:rPr>
          <w:spacing w:val="-1"/>
          <w:sz w:val="24"/>
        </w:rPr>
        <w:t> </w:t>
      </w:r>
      <w:r>
        <w:rPr>
          <w:sz w:val="24"/>
        </w:rPr>
        <w:t>enroll</w:t>
      </w:r>
      <w:r>
        <w:rPr>
          <w:spacing w:val="-3"/>
          <w:sz w:val="24"/>
        </w:rPr>
        <w:t> </w:t>
      </w:r>
      <w:r>
        <w:rPr>
          <w:sz w:val="24"/>
        </w:rPr>
        <w:t>in</w:t>
      </w:r>
      <w:r>
        <w:rPr>
          <w:spacing w:val="-3"/>
          <w:sz w:val="24"/>
        </w:rPr>
        <w:t> </w:t>
      </w:r>
      <w:r>
        <w:rPr>
          <w:sz w:val="24"/>
        </w:rPr>
        <w:t>private health insurance in accordance with STC 8.13 and Table 9.</w:t>
      </w:r>
    </w:p>
    <w:p>
      <w:pPr>
        <w:pStyle w:val="BodyText"/>
        <w:spacing w:before="10"/>
        <w:rPr>
          <w:sz w:val="20"/>
        </w:rPr>
      </w:pPr>
    </w:p>
    <w:p>
      <w:pPr>
        <w:pStyle w:val="ListParagraph"/>
        <w:numPr>
          <w:ilvl w:val="0"/>
          <w:numId w:val="2"/>
        </w:numPr>
        <w:tabs>
          <w:tab w:pos="1799" w:val="left" w:leader="none"/>
        </w:tabs>
        <w:spacing w:line="240" w:lineRule="auto" w:before="0" w:after="0"/>
        <w:ind w:left="1799" w:right="1301" w:hanging="480"/>
        <w:jc w:val="both"/>
        <w:rPr>
          <w:sz w:val="24"/>
        </w:rPr>
      </w:pPr>
      <w:bookmarkStart w:name="13. Diversionary Behavioral Health Servi" w:id="58"/>
      <w:bookmarkEnd w:id="58"/>
      <w:r>
        <w:rPr/>
      </w:r>
      <w:r>
        <w:rPr>
          <w:b/>
          <w:sz w:val="24"/>
        </w:rPr>
        <w:t>Diversionary</w:t>
      </w:r>
      <w:r>
        <w:rPr>
          <w:b/>
          <w:spacing w:val="-4"/>
          <w:sz w:val="24"/>
        </w:rPr>
        <w:t> </w:t>
      </w:r>
      <w:r>
        <w:rPr>
          <w:b/>
          <w:sz w:val="24"/>
        </w:rPr>
        <w:t>Behavioral</w:t>
      </w:r>
      <w:r>
        <w:rPr>
          <w:b/>
          <w:spacing w:val="-4"/>
          <w:sz w:val="24"/>
        </w:rPr>
        <w:t> </w:t>
      </w:r>
      <w:r>
        <w:rPr>
          <w:b/>
          <w:sz w:val="24"/>
        </w:rPr>
        <w:t>Health</w:t>
      </w:r>
      <w:r>
        <w:rPr>
          <w:b/>
          <w:spacing w:val="-4"/>
          <w:sz w:val="24"/>
        </w:rPr>
        <w:t> </w:t>
      </w:r>
      <w:r>
        <w:rPr>
          <w:b/>
          <w:sz w:val="24"/>
        </w:rPr>
        <w:t>Services.</w:t>
      </w:r>
      <w:r>
        <w:rPr>
          <w:b/>
          <w:spacing w:val="-4"/>
          <w:sz w:val="24"/>
        </w:rPr>
        <w:t> </w:t>
      </w:r>
      <w:r>
        <w:rPr>
          <w:sz w:val="24"/>
        </w:rPr>
        <w:t>Expenditures</w:t>
      </w:r>
      <w:r>
        <w:rPr>
          <w:spacing w:val="-4"/>
          <w:sz w:val="24"/>
        </w:rPr>
        <w:t> </w:t>
      </w:r>
      <w:r>
        <w:rPr>
          <w:sz w:val="24"/>
        </w:rPr>
        <w:t>for</w:t>
      </w:r>
      <w:r>
        <w:rPr>
          <w:spacing w:val="-5"/>
          <w:sz w:val="24"/>
        </w:rPr>
        <w:t> </w:t>
      </w:r>
      <w:r>
        <w:rPr>
          <w:sz w:val="24"/>
        </w:rPr>
        <w:t>benefits</w:t>
      </w:r>
      <w:r>
        <w:rPr>
          <w:spacing w:val="-4"/>
          <w:sz w:val="24"/>
        </w:rPr>
        <w:t> </w:t>
      </w:r>
      <w:r>
        <w:rPr>
          <w:sz w:val="24"/>
        </w:rPr>
        <w:t>specified</w:t>
      </w:r>
      <w:r>
        <w:rPr>
          <w:spacing w:val="-4"/>
          <w:sz w:val="24"/>
        </w:rPr>
        <w:t> </w:t>
      </w:r>
      <w:r>
        <w:rPr>
          <w:sz w:val="24"/>
        </w:rPr>
        <w:t>in</w:t>
      </w:r>
      <w:r>
        <w:rPr>
          <w:spacing w:val="-4"/>
          <w:sz w:val="24"/>
        </w:rPr>
        <w:t> </w:t>
      </w:r>
      <w:r>
        <w:rPr>
          <w:sz w:val="24"/>
        </w:rPr>
        <w:t>Table</w:t>
      </w:r>
      <w:r>
        <w:rPr>
          <w:spacing w:val="-5"/>
          <w:sz w:val="24"/>
        </w:rPr>
        <w:t> </w:t>
      </w:r>
      <w:r>
        <w:rPr>
          <w:sz w:val="24"/>
        </w:rPr>
        <w:t>5</w:t>
      </w:r>
      <w:r>
        <w:rPr>
          <w:spacing w:val="-4"/>
          <w:sz w:val="24"/>
        </w:rPr>
        <w:t> </w:t>
      </w:r>
      <w:r>
        <w:rPr>
          <w:sz w:val="24"/>
        </w:rPr>
        <w:t>to the extent not available under the Medicaid state</w:t>
      </w:r>
      <w:r>
        <w:rPr>
          <w:spacing w:val="-4"/>
          <w:sz w:val="24"/>
        </w:rPr>
        <w:t> </w:t>
      </w:r>
      <w:r>
        <w:rPr>
          <w:sz w:val="24"/>
        </w:rPr>
        <w:t>plan.</w:t>
      </w:r>
    </w:p>
    <w:p>
      <w:pPr>
        <w:spacing w:after="0" w:line="240" w:lineRule="auto"/>
        <w:jc w:val="both"/>
        <w:rPr>
          <w:sz w:val="24"/>
        </w:rPr>
        <w:sectPr>
          <w:pgSz w:w="12240" w:h="15840"/>
          <w:pgMar w:header="0" w:footer="998" w:top="1360" w:bottom="1180" w:left="0" w:right="220"/>
        </w:sectPr>
      </w:pPr>
    </w:p>
    <w:p>
      <w:pPr>
        <w:pStyle w:val="ListParagraph"/>
        <w:numPr>
          <w:ilvl w:val="0"/>
          <w:numId w:val="2"/>
        </w:numPr>
        <w:tabs>
          <w:tab w:pos="1800" w:val="left" w:leader="none"/>
        </w:tabs>
        <w:spacing w:line="240" w:lineRule="auto" w:before="79" w:after="0"/>
        <w:ind w:left="1800" w:right="1268" w:hanging="480"/>
        <w:jc w:val="left"/>
        <w:rPr>
          <w:sz w:val="24"/>
        </w:rPr>
      </w:pPr>
      <w:bookmarkStart w:name="14. Residential and Inpatient Treatment " w:id="59"/>
      <w:bookmarkEnd w:id="59"/>
      <w:r>
        <w:rPr/>
      </w:r>
      <w:r>
        <w:rPr>
          <w:b/>
          <w:sz w:val="24"/>
        </w:rPr>
        <w:t>Residential and Inpatient Treatment for Individuals with Substance Use Disorder (SUD)</w:t>
      </w:r>
      <w:r>
        <w:rPr>
          <w:sz w:val="24"/>
        </w:rPr>
        <w:t>.</w:t>
      </w:r>
      <w:r>
        <w:rPr>
          <w:spacing w:val="-1"/>
          <w:sz w:val="24"/>
        </w:rPr>
        <w:t> </w:t>
      </w:r>
      <w:r>
        <w:rPr>
          <w:sz w:val="24"/>
        </w:rPr>
        <w:t>Expenditures</w:t>
      </w:r>
      <w:r>
        <w:rPr>
          <w:spacing w:val="-1"/>
          <w:sz w:val="24"/>
        </w:rPr>
        <w:t> </w:t>
      </w:r>
      <w:r>
        <w:rPr>
          <w:sz w:val="24"/>
        </w:rPr>
        <w:t>for Medicaid</w:t>
      </w:r>
      <w:r>
        <w:rPr>
          <w:spacing w:val="-1"/>
          <w:sz w:val="24"/>
        </w:rPr>
        <w:t> </w:t>
      </w:r>
      <w:r>
        <w:rPr>
          <w:sz w:val="24"/>
        </w:rPr>
        <w:t>state</w:t>
      </w:r>
      <w:r>
        <w:rPr>
          <w:spacing w:val="-2"/>
          <w:sz w:val="24"/>
        </w:rPr>
        <w:t> </w:t>
      </w:r>
      <w:r>
        <w:rPr>
          <w:sz w:val="24"/>
        </w:rPr>
        <w:t>plan</w:t>
      </w:r>
      <w:r>
        <w:rPr>
          <w:spacing w:val="-1"/>
          <w:sz w:val="24"/>
        </w:rPr>
        <w:t> </w:t>
      </w:r>
      <w:r>
        <w:rPr>
          <w:sz w:val="24"/>
        </w:rPr>
        <w:t>services</w:t>
      </w:r>
      <w:r>
        <w:rPr>
          <w:spacing w:val="-1"/>
          <w:sz w:val="24"/>
        </w:rPr>
        <w:t> </w:t>
      </w:r>
      <w:r>
        <w:rPr>
          <w:sz w:val="24"/>
        </w:rPr>
        <w:t>and</w:t>
      </w:r>
      <w:r>
        <w:rPr>
          <w:spacing w:val="-1"/>
          <w:sz w:val="24"/>
        </w:rPr>
        <w:t> </w:t>
      </w:r>
      <w:r>
        <w:rPr>
          <w:sz w:val="24"/>
        </w:rPr>
        <w:t>benefits</w:t>
      </w:r>
      <w:r>
        <w:rPr>
          <w:spacing w:val="-1"/>
          <w:sz w:val="24"/>
        </w:rPr>
        <w:t> </w:t>
      </w:r>
      <w:r>
        <w:rPr>
          <w:sz w:val="24"/>
        </w:rPr>
        <w:t>specified</w:t>
      </w:r>
      <w:r>
        <w:rPr>
          <w:spacing w:val="-1"/>
          <w:sz w:val="24"/>
        </w:rPr>
        <w:t> </w:t>
      </w:r>
      <w:r>
        <w:rPr>
          <w:sz w:val="24"/>
        </w:rPr>
        <w:t>in</w:t>
      </w:r>
      <w:r>
        <w:rPr>
          <w:spacing w:val="-1"/>
          <w:sz w:val="24"/>
        </w:rPr>
        <w:t> </w:t>
      </w:r>
      <w:r>
        <w:rPr>
          <w:sz w:val="24"/>
        </w:rPr>
        <w:t>Table</w:t>
      </w:r>
      <w:r>
        <w:rPr>
          <w:spacing w:val="-2"/>
          <w:sz w:val="24"/>
        </w:rPr>
        <w:t> </w:t>
      </w:r>
      <w:r>
        <w:rPr>
          <w:sz w:val="24"/>
        </w:rPr>
        <w:t>6</w:t>
      </w:r>
      <w:r>
        <w:rPr>
          <w:spacing w:val="-1"/>
          <w:sz w:val="24"/>
        </w:rPr>
        <w:t> </w:t>
      </w:r>
      <w:r>
        <w:rPr>
          <w:sz w:val="24"/>
        </w:rPr>
        <w:t>to</w:t>
      </w:r>
      <w:r>
        <w:rPr>
          <w:spacing w:val="-1"/>
          <w:sz w:val="24"/>
        </w:rPr>
        <w:t> </w:t>
      </w:r>
      <w:r>
        <w:rPr>
          <w:sz w:val="24"/>
        </w:rPr>
        <w:t>the extent</w:t>
      </w:r>
      <w:r>
        <w:rPr>
          <w:spacing w:val="-4"/>
          <w:sz w:val="24"/>
        </w:rPr>
        <w:t> </w:t>
      </w:r>
      <w:r>
        <w:rPr>
          <w:sz w:val="24"/>
        </w:rPr>
        <w:t>not</w:t>
      </w:r>
      <w:r>
        <w:rPr>
          <w:spacing w:val="-4"/>
          <w:sz w:val="24"/>
        </w:rPr>
        <w:t> </w:t>
      </w:r>
      <w:r>
        <w:rPr>
          <w:sz w:val="24"/>
        </w:rPr>
        <w:t>available</w:t>
      </w:r>
      <w:r>
        <w:rPr>
          <w:spacing w:val="-5"/>
          <w:sz w:val="24"/>
        </w:rPr>
        <w:t> </w:t>
      </w:r>
      <w:r>
        <w:rPr>
          <w:sz w:val="24"/>
        </w:rPr>
        <w:t>under</w:t>
      </w:r>
      <w:r>
        <w:rPr>
          <w:spacing w:val="-5"/>
          <w:sz w:val="24"/>
        </w:rPr>
        <w:t> </w:t>
      </w:r>
      <w:r>
        <w:rPr>
          <w:sz w:val="24"/>
        </w:rPr>
        <w:t>the</w:t>
      </w:r>
      <w:r>
        <w:rPr>
          <w:spacing w:val="-5"/>
          <w:sz w:val="24"/>
        </w:rPr>
        <w:t> </w:t>
      </w:r>
      <w:r>
        <w:rPr>
          <w:sz w:val="24"/>
        </w:rPr>
        <w:t>Medicaid</w:t>
      </w:r>
      <w:r>
        <w:rPr>
          <w:spacing w:val="-4"/>
          <w:sz w:val="24"/>
        </w:rPr>
        <w:t> </w:t>
      </w:r>
      <w:r>
        <w:rPr>
          <w:sz w:val="24"/>
        </w:rPr>
        <w:t>state</w:t>
      </w:r>
      <w:r>
        <w:rPr>
          <w:spacing w:val="-5"/>
          <w:sz w:val="24"/>
        </w:rPr>
        <w:t> </w:t>
      </w:r>
      <w:r>
        <w:rPr>
          <w:sz w:val="24"/>
        </w:rPr>
        <w:t>plan,</w:t>
      </w:r>
      <w:r>
        <w:rPr>
          <w:spacing w:val="-2"/>
          <w:sz w:val="24"/>
        </w:rPr>
        <w:t> </w:t>
      </w:r>
      <w:r>
        <w:rPr>
          <w:sz w:val="24"/>
        </w:rPr>
        <w:t>furnished</w:t>
      </w:r>
      <w:r>
        <w:rPr>
          <w:spacing w:val="-4"/>
          <w:sz w:val="24"/>
        </w:rPr>
        <w:t> </w:t>
      </w:r>
      <w:r>
        <w:rPr>
          <w:sz w:val="24"/>
        </w:rPr>
        <w:t>to</w:t>
      </w:r>
      <w:r>
        <w:rPr>
          <w:spacing w:val="-4"/>
          <w:sz w:val="24"/>
        </w:rPr>
        <w:t> </w:t>
      </w:r>
      <w:r>
        <w:rPr>
          <w:sz w:val="24"/>
        </w:rPr>
        <w:t>otherwise</w:t>
      </w:r>
      <w:r>
        <w:rPr>
          <w:spacing w:val="-3"/>
          <w:sz w:val="24"/>
        </w:rPr>
        <w:t> </w:t>
      </w:r>
      <w:r>
        <w:rPr>
          <w:sz w:val="24"/>
        </w:rPr>
        <w:t>eligible</w:t>
      </w:r>
      <w:r>
        <w:rPr>
          <w:spacing w:val="-5"/>
          <w:sz w:val="24"/>
        </w:rPr>
        <w:t> </w:t>
      </w:r>
      <w:r>
        <w:rPr>
          <w:sz w:val="24"/>
        </w:rPr>
        <w:t>individuals who are primarily</w:t>
      </w:r>
      <w:r>
        <w:rPr>
          <w:spacing w:val="-2"/>
          <w:sz w:val="24"/>
        </w:rPr>
        <w:t> </w:t>
      </w:r>
      <w:r>
        <w:rPr>
          <w:sz w:val="24"/>
        </w:rPr>
        <w:t>receiving</w:t>
      </w:r>
      <w:r>
        <w:rPr>
          <w:spacing w:val="-2"/>
          <w:sz w:val="24"/>
        </w:rPr>
        <w:t> </w:t>
      </w:r>
      <w:r>
        <w:rPr>
          <w:sz w:val="24"/>
        </w:rPr>
        <w:t>treatment and/or withdrawal management services for substance use disorder (SUD) who are short-term residents in facilities that meet the definition of an institution for mental diseases (IMD).</w:t>
      </w:r>
      <w:r>
        <w:rPr>
          <w:spacing w:val="40"/>
          <w:sz w:val="24"/>
        </w:rPr>
        <w:t> </w:t>
      </w:r>
      <w:r>
        <w:rPr>
          <w:sz w:val="24"/>
        </w:rPr>
        <w:t>Expenditures for benefits specified in Table 6 to the extent coverable under the Medicaid state plan that are delivered in non-IMD settings.</w:t>
      </w:r>
    </w:p>
    <w:p>
      <w:pPr>
        <w:pStyle w:val="BodyText"/>
        <w:spacing w:before="10"/>
        <w:rPr>
          <w:sz w:val="20"/>
        </w:rPr>
      </w:pPr>
    </w:p>
    <w:p>
      <w:pPr>
        <w:pStyle w:val="ListParagraph"/>
        <w:numPr>
          <w:ilvl w:val="0"/>
          <w:numId w:val="2"/>
        </w:numPr>
        <w:tabs>
          <w:tab w:pos="1800" w:val="left" w:leader="none"/>
        </w:tabs>
        <w:spacing w:line="240" w:lineRule="auto" w:before="0" w:after="0"/>
        <w:ind w:left="1800" w:right="1220" w:hanging="480"/>
        <w:jc w:val="left"/>
        <w:rPr>
          <w:sz w:val="24"/>
        </w:rPr>
      </w:pPr>
      <w:bookmarkStart w:name="15. Residential and Inpatient Treatment " w:id="60"/>
      <w:bookmarkEnd w:id="60"/>
      <w:r>
        <w:rPr/>
      </w:r>
      <w:r>
        <w:rPr>
          <w:b/>
          <w:sz w:val="24"/>
        </w:rPr>
        <w:t>Residential and Inpatient Treatment for Individuals with Serious Mental Illness (SMI) or Serious Emotional Disturbance (SED).</w:t>
      </w:r>
      <w:r>
        <w:rPr>
          <w:b/>
          <w:spacing w:val="80"/>
          <w:sz w:val="24"/>
        </w:rPr>
        <w:t> </w:t>
      </w:r>
      <w:r>
        <w:rPr>
          <w:sz w:val="24"/>
        </w:rPr>
        <w:t>Expenditures for otherwise covered Medicaid services, including inpatient psychiatric hospital services, and benefits specified in STC 7.1 furnished</w:t>
      </w:r>
      <w:r>
        <w:rPr>
          <w:spacing w:val="-3"/>
          <w:sz w:val="24"/>
        </w:rPr>
        <w:t> </w:t>
      </w:r>
      <w:r>
        <w:rPr>
          <w:sz w:val="24"/>
        </w:rPr>
        <w:t>to</w:t>
      </w:r>
      <w:r>
        <w:rPr>
          <w:spacing w:val="-3"/>
          <w:sz w:val="24"/>
        </w:rPr>
        <w:t> </w:t>
      </w:r>
      <w:r>
        <w:rPr>
          <w:sz w:val="24"/>
        </w:rPr>
        <w:t>otherwise</w:t>
      </w:r>
      <w:r>
        <w:rPr>
          <w:spacing w:val="-2"/>
          <w:sz w:val="24"/>
        </w:rPr>
        <w:t> </w:t>
      </w:r>
      <w:r>
        <w:rPr>
          <w:sz w:val="24"/>
        </w:rPr>
        <w:t>eligible</w:t>
      </w:r>
      <w:r>
        <w:rPr>
          <w:spacing w:val="-4"/>
          <w:sz w:val="24"/>
        </w:rPr>
        <w:t> </w:t>
      </w:r>
      <w:r>
        <w:rPr>
          <w:sz w:val="24"/>
        </w:rPr>
        <w:t>individuals</w:t>
      </w:r>
      <w:r>
        <w:rPr>
          <w:spacing w:val="-3"/>
          <w:sz w:val="24"/>
        </w:rPr>
        <w:t> </w:t>
      </w:r>
      <w:r>
        <w:rPr>
          <w:sz w:val="24"/>
        </w:rPr>
        <w:t>who</w:t>
      </w:r>
      <w:r>
        <w:rPr>
          <w:spacing w:val="-3"/>
          <w:sz w:val="24"/>
        </w:rPr>
        <w:t> </w:t>
      </w:r>
      <w:r>
        <w:rPr>
          <w:sz w:val="24"/>
        </w:rPr>
        <w:t>are</w:t>
      </w:r>
      <w:r>
        <w:rPr>
          <w:spacing w:val="-2"/>
          <w:sz w:val="24"/>
        </w:rPr>
        <w:t> </w:t>
      </w:r>
      <w:r>
        <w:rPr>
          <w:sz w:val="24"/>
        </w:rPr>
        <w:t>primarily</w:t>
      </w:r>
      <w:r>
        <w:rPr>
          <w:spacing w:val="-8"/>
          <w:sz w:val="24"/>
        </w:rPr>
        <w:t> </w:t>
      </w:r>
      <w:r>
        <w:rPr>
          <w:sz w:val="24"/>
        </w:rPr>
        <w:t>receiving</w:t>
      </w:r>
      <w:r>
        <w:rPr>
          <w:spacing w:val="-6"/>
          <w:sz w:val="24"/>
        </w:rPr>
        <w:t> </w:t>
      </w:r>
      <w:r>
        <w:rPr>
          <w:sz w:val="24"/>
        </w:rPr>
        <w:t>treatment</w:t>
      </w:r>
      <w:r>
        <w:rPr>
          <w:spacing w:val="-3"/>
          <w:sz w:val="24"/>
        </w:rPr>
        <w:t> </w:t>
      </w:r>
      <w:r>
        <w:rPr>
          <w:sz w:val="24"/>
        </w:rPr>
        <w:t>for</w:t>
      </w:r>
      <w:r>
        <w:rPr>
          <w:spacing w:val="-4"/>
          <w:sz w:val="24"/>
        </w:rPr>
        <w:t> </w:t>
      </w:r>
      <w:r>
        <w:rPr>
          <w:sz w:val="24"/>
        </w:rPr>
        <w:t>a</w:t>
      </w:r>
      <w:r>
        <w:rPr>
          <w:spacing w:val="-4"/>
          <w:sz w:val="24"/>
        </w:rPr>
        <w:t> </w:t>
      </w:r>
      <w:r>
        <w:rPr>
          <w:sz w:val="24"/>
        </w:rPr>
        <w:t>serious mental illness (SMI) or serious emotional disturbance (SED) who are short-term residents in facilities that meet the definition of an institution for mental diseases (IMD).</w:t>
      </w:r>
      <w:r>
        <w:rPr>
          <w:spacing w:val="40"/>
          <w:sz w:val="24"/>
        </w:rPr>
        <w:t> </w:t>
      </w:r>
      <w:r>
        <w:rPr>
          <w:sz w:val="24"/>
        </w:rPr>
        <w:t>And expenditures for benefits specified in STC 7.1 to the extent coverable under the Medicaid state plan that are delivered in non-IMD settings.</w:t>
      </w:r>
    </w:p>
    <w:p>
      <w:pPr>
        <w:pStyle w:val="BodyText"/>
        <w:spacing w:before="10"/>
        <w:rPr>
          <w:sz w:val="20"/>
        </w:rPr>
      </w:pPr>
    </w:p>
    <w:p>
      <w:pPr>
        <w:pStyle w:val="ListParagraph"/>
        <w:numPr>
          <w:ilvl w:val="0"/>
          <w:numId w:val="2"/>
        </w:numPr>
        <w:tabs>
          <w:tab w:pos="1799" w:val="left" w:leader="none"/>
        </w:tabs>
        <w:spacing w:line="240" w:lineRule="auto" w:before="0" w:after="0"/>
        <w:ind w:left="1799" w:right="1282" w:hanging="480"/>
        <w:jc w:val="left"/>
        <w:rPr>
          <w:sz w:val="24"/>
        </w:rPr>
      </w:pPr>
      <w:bookmarkStart w:name="16. Full Medicaid Benefits for Presumpti" w:id="61"/>
      <w:bookmarkEnd w:id="61"/>
      <w:r>
        <w:rPr/>
      </w:r>
      <w:r>
        <w:rPr>
          <w:b/>
          <w:sz w:val="24"/>
        </w:rPr>
        <w:t>Full</w:t>
      </w:r>
      <w:r>
        <w:rPr>
          <w:b/>
          <w:spacing w:val="-4"/>
          <w:sz w:val="24"/>
        </w:rPr>
        <w:t> </w:t>
      </w:r>
      <w:r>
        <w:rPr>
          <w:b/>
          <w:sz w:val="24"/>
        </w:rPr>
        <w:t>Medicaid</w:t>
      </w:r>
      <w:r>
        <w:rPr>
          <w:b/>
          <w:spacing w:val="-4"/>
          <w:sz w:val="24"/>
        </w:rPr>
        <w:t> </w:t>
      </w:r>
      <w:r>
        <w:rPr>
          <w:b/>
          <w:sz w:val="24"/>
        </w:rPr>
        <w:t>Benefits</w:t>
      </w:r>
      <w:r>
        <w:rPr>
          <w:b/>
          <w:spacing w:val="-4"/>
          <w:sz w:val="24"/>
        </w:rPr>
        <w:t> </w:t>
      </w:r>
      <w:r>
        <w:rPr>
          <w:b/>
          <w:sz w:val="24"/>
        </w:rPr>
        <w:t>for</w:t>
      </w:r>
      <w:r>
        <w:rPr>
          <w:b/>
          <w:spacing w:val="-5"/>
          <w:sz w:val="24"/>
        </w:rPr>
        <w:t> </w:t>
      </w:r>
      <w:r>
        <w:rPr>
          <w:b/>
          <w:sz w:val="24"/>
        </w:rPr>
        <w:t>Presumptively</w:t>
      </w:r>
      <w:r>
        <w:rPr>
          <w:b/>
          <w:spacing w:val="-4"/>
          <w:sz w:val="24"/>
        </w:rPr>
        <w:t> </w:t>
      </w:r>
      <w:r>
        <w:rPr>
          <w:b/>
          <w:sz w:val="24"/>
        </w:rPr>
        <w:t>Eligible</w:t>
      </w:r>
      <w:r>
        <w:rPr>
          <w:b/>
          <w:spacing w:val="-5"/>
          <w:sz w:val="24"/>
        </w:rPr>
        <w:t> </w:t>
      </w:r>
      <w:r>
        <w:rPr>
          <w:b/>
          <w:sz w:val="24"/>
        </w:rPr>
        <w:t>Pregnant</w:t>
      </w:r>
      <w:r>
        <w:rPr>
          <w:b/>
          <w:spacing w:val="-5"/>
          <w:sz w:val="24"/>
        </w:rPr>
        <w:t> </w:t>
      </w:r>
      <w:r>
        <w:rPr>
          <w:b/>
          <w:sz w:val="24"/>
        </w:rPr>
        <w:t>Individuals.</w:t>
      </w:r>
      <w:r>
        <w:rPr>
          <w:b/>
          <w:spacing w:val="-4"/>
          <w:sz w:val="24"/>
        </w:rPr>
        <w:t> </w:t>
      </w:r>
      <w:r>
        <w:rPr>
          <w:sz w:val="24"/>
        </w:rPr>
        <w:t>Expenditures</w:t>
      </w:r>
      <w:r>
        <w:rPr>
          <w:spacing w:val="-4"/>
          <w:sz w:val="24"/>
        </w:rPr>
        <w:t> </w:t>
      </w:r>
      <w:r>
        <w:rPr>
          <w:sz w:val="24"/>
        </w:rPr>
        <w:t>to provide full MassHealth Standard plan benefits to presumptively eligible pregnant individuals (including Hospital Presumptive Eligibility) with incomes at or below 200 percent of the FPL.</w:t>
      </w:r>
    </w:p>
    <w:p>
      <w:pPr>
        <w:pStyle w:val="BodyText"/>
        <w:spacing w:before="10"/>
        <w:rPr>
          <w:sz w:val="20"/>
        </w:rPr>
      </w:pPr>
    </w:p>
    <w:p>
      <w:pPr>
        <w:pStyle w:val="ListParagraph"/>
        <w:numPr>
          <w:ilvl w:val="0"/>
          <w:numId w:val="2"/>
        </w:numPr>
        <w:tabs>
          <w:tab w:pos="1799" w:val="left" w:leader="none"/>
        </w:tabs>
        <w:spacing w:line="240" w:lineRule="auto" w:before="0" w:after="0"/>
        <w:ind w:left="1799" w:right="1434" w:hanging="480"/>
        <w:jc w:val="left"/>
        <w:rPr>
          <w:sz w:val="24"/>
        </w:rPr>
      </w:pPr>
      <w:bookmarkStart w:name="17. Medicare Cost Sharing Assistance. Ex" w:id="62"/>
      <w:bookmarkEnd w:id="62"/>
      <w:r>
        <w:rPr/>
      </w:r>
      <w:r>
        <w:rPr>
          <w:b/>
          <w:sz w:val="24"/>
        </w:rPr>
        <w:t>Medicare</w:t>
      </w:r>
      <w:r>
        <w:rPr>
          <w:b/>
          <w:spacing w:val="-4"/>
          <w:sz w:val="24"/>
        </w:rPr>
        <w:t> </w:t>
      </w:r>
      <w:r>
        <w:rPr>
          <w:b/>
          <w:sz w:val="24"/>
        </w:rPr>
        <w:t>Cost</w:t>
      </w:r>
      <w:r>
        <w:rPr>
          <w:b/>
          <w:spacing w:val="-4"/>
          <w:sz w:val="24"/>
        </w:rPr>
        <w:t> </w:t>
      </w:r>
      <w:r>
        <w:rPr>
          <w:b/>
          <w:sz w:val="24"/>
        </w:rPr>
        <w:t>Sharing</w:t>
      </w:r>
      <w:r>
        <w:rPr>
          <w:b/>
          <w:spacing w:val="-3"/>
          <w:sz w:val="24"/>
        </w:rPr>
        <w:t> </w:t>
      </w:r>
      <w:r>
        <w:rPr>
          <w:b/>
          <w:sz w:val="24"/>
        </w:rPr>
        <w:t>Assistance.</w:t>
      </w:r>
      <w:r>
        <w:rPr>
          <w:b/>
          <w:spacing w:val="-3"/>
          <w:sz w:val="24"/>
        </w:rPr>
        <w:t> </w:t>
      </w:r>
      <w:r>
        <w:rPr>
          <w:sz w:val="24"/>
        </w:rPr>
        <w:t>Expenditures</w:t>
      </w:r>
      <w:r>
        <w:rPr>
          <w:spacing w:val="-3"/>
          <w:sz w:val="24"/>
        </w:rPr>
        <w:t> </w:t>
      </w:r>
      <w:r>
        <w:rPr>
          <w:sz w:val="24"/>
        </w:rPr>
        <w:t>for</w:t>
      </w:r>
      <w:r>
        <w:rPr>
          <w:spacing w:val="-4"/>
          <w:sz w:val="24"/>
        </w:rPr>
        <w:t> </w:t>
      </w:r>
      <w:r>
        <w:rPr>
          <w:sz w:val="24"/>
        </w:rPr>
        <w:t>monthly</w:t>
      </w:r>
      <w:r>
        <w:rPr>
          <w:spacing w:val="-8"/>
          <w:sz w:val="24"/>
        </w:rPr>
        <w:t> </w:t>
      </w:r>
      <w:r>
        <w:rPr>
          <w:sz w:val="24"/>
        </w:rPr>
        <w:t>Medicare</w:t>
      </w:r>
      <w:r>
        <w:rPr>
          <w:spacing w:val="-4"/>
          <w:sz w:val="24"/>
        </w:rPr>
        <w:t> </w:t>
      </w:r>
      <w:r>
        <w:rPr>
          <w:sz w:val="24"/>
        </w:rPr>
        <w:t>Part</w:t>
      </w:r>
      <w:r>
        <w:rPr>
          <w:spacing w:val="-3"/>
          <w:sz w:val="24"/>
        </w:rPr>
        <w:t> </w:t>
      </w:r>
      <w:r>
        <w:rPr>
          <w:sz w:val="24"/>
        </w:rPr>
        <w:t>A</w:t>
      </w:r>
      <w:r>
        <w:rPr>
          <w:spacing w:val="-23"/>
          <w:sz w:val="24"/>
        </w:rPr>
        <w:t> </w:t>
      </w:r>
      <w:r>
        <w:rPr>
          <w:sz w:val="24"/>
        </w:rPr>
        <w:t>and</w:t>
      </w:r>
      <w:r>
        <w:rPr>
          <w:spacing w:val="-3"/>
          <w:sz w:val="24"/>
        </w:rPr>
        <w:t> </w:t>
      </w:r>
      <w:r>
        <w:rPr>
          <w:sz w:val="24"/>
        </w:rPr>
        <w:t>Part</w:t>
      </w:r>
      <w:r>
        <w:rPr>
          <w:spacing w:val="-1"/>
          <w:sz w:val="24"/>
        </w:rPr>
        <w:t> </w:t>
      </w:r>
      <w:r>
        <w:rPr>
          <w:sz w:val="24"/>
        </w:rPr>
        <w:t>B premiums and for deductibles and coinsurance under Part A and Part B for MassHealth Standard members with incomes at or below the 133 percent of the FPL and for monthly Medicare Part B premiums, including through the Qualifying Individual program, for MassHealth Standard members with incomes at or below 165 percent of the FPL, who are also eligible for Medicare (without applying an asset</w:t>
      </w:r>
      <w:r>
        <w:rPr>
          <w:spacing w:val="-22"/>
          <w:sz w:val="24"/>
        </w:rPr>
        <w:t> </w:t>
      </w:r>
      <w:r>
        <w:rPr>
          <w:sz w:val="24"/>
        </w:rPr>
        <w:t>test).</w:t>
      </w:r>
    </w:p>
    <w:p>
      <w:pPr>
        <w:pStyle w:val="BodyText"/>
        <w:spacing w:before="10"/>
        <w:rPr>
          <w:sz w:val="20"/>
        </w:rPr>
      </w:pPr>
    </w:p>
    <w:p>
      <w:pPr>
        <w:pStyle w:val="BodyText"/>
        <w:spacing w:before="1"/>
        <w:ind w:left="1799" w:right="1298"/>
      </w:pPr>
      <w:bookmarkStart w:name="Effective through June 30, 2026, expendi" w:id="63"/>
      <w:bookmarkEnd w:id="63"/>
      <w:r>
        <w:rPr/>
      </w:r>
      <w:r>
        <w:rPr/>
        <w:t>Effective</w:t>
      </w:r>
      <w:r>
        <w:rPr>
          <w:spacing w:val="-4"/>
        </w:rPr>
        <w:t> </w:t>
      </w:r>
      <w:r>
        <w:rPr/>
        <w:t>through</w:t>
      </w:r>
      <w:r>
        <w:rPr>
          <w:spacing w:val="-3"/>
        </w:rPr>
        <w:t> </w:t>
      </w:r>
      <w:r>
        <w:rPr/>
        <w:t>June</w:t>
      </w:r>
      <w:r>
        <w:rPr>
          <w:spacing w:val="-4"/>
        </w:rPr>
        <w:t> </w:t>
      </w:r>
      <w:r>
        <w:rPr/>
        <w:t>30,</w:t>
      </w:r>
      <w:r>
        <w:rPr>
          <w:spacing w:val="-3"/>
        </w:rPr>
        <w:t> </w:t>
      </w:r>
      <w:r>
        <w:rPr/>
        <w:t>2026,</w:t>
      </w:r>
      <w:r>
        <w:rPr>
          <w:spacing w:val="-3"/>
        </w:rPr>
        <w:t> </w:t>
      </w:r>
      <w:r>
        <w:rPr/>
        <w:t>expenditures</w:t>
      </w:r>
      <w:r>
        <w:rPr>
          <w:spacing w:val="-3"/>
        </w:rPr>
        <w:t> </w:t>
      </w:r>
      <w:r>
        <w:rPr/>
        <w:t>to</w:t>
      </w:r>
      <w:r>
        <w:rPr>
          <w:spacing w:val="-3"/>
        </w:rPr>
        <w:t> </w:t>
      </w:r>
      <w:r>
        <w:rPr/>
        <w:t>cover</w:t>
      </w:r>
      <w:r>
        <w:rPr>
          <w:spacing w:val="-4"/>
        </w:rPr>
        <w:t> </w:t>
      </w:r>
      <w:r>
        <w:rPr/>
        <w:t>the</w:t>
      </w:r>
      <w:r>
        <w:rPr>
          <w:spacing w:val="-2"/>
        </w:rPr>
        <w:t> </w:t>
      </w:r>
      <w:r>
        <w:rPr/>
        <w:t>costs</w:t>
      </w:r>
      <w:r>
        <w:rPr>
          <w:spacing w:val="-3"/>
        </w:rPr>
        <w:t> </w:t>
      </w:r>
      <w:r>
        <w:rPr/>
        <w:t>of</w:t>
      </w:r>
      <w:r>
        <w:rPr>
          <w:spacing w:val="-4"/>
        </w:rPr>
        <w:t> </w:t>
      </w:r>
      <w:r>
        <w:rPr/>
        <w:t>monthly</w:t>
      </w:r>
      <w:r>
        <w:rPr>
          <w:spacing w:val="-6"/>
        </w:rPr>
        <w:t> </w:t>
      </w:r>
      <w:r>
        <w:rPr/>
        <w:t>Medicare</w:t>
      </w:r>
      <w:r>
        <w:rPr>
          <w:spacing w:val="-4"/>
        </w:rPr>
        <w:t> </w:t>
      </w:r>
      <w:r>
        <w:rPr/>
        <w:t>Part</w:t>
      </w:r>
      <w:r>
        <w:rPr>
          <w:spacing w:val="-3"/>
        </w:rPr>
        <w:t> </w:t>
      </w:r>
      <w:r>
        <w:rPr/>
        <w:t>B premiums for CommonHealth members who are also eligible for Medicare with gross income between 133 and 135 percent FPL (without applying an asset test).</w:t>
      </w:r>
    </w:p>
    <w:p>
      <w:pPr>
        <w:pStyle w:val="BodyText"/>
        <w:spacing w:before="9"/>
        <w:rPr>
          <w:sz w:val="20"/>
        </w:rPr>
      </w:pPr>
    </w:p>
    <w:p>
      <w:pPr>
        <w:pStyle w:val="ListParagraph"/>
        <w:numPr>
          <w:ilvl w:val="0"/>
          <w:numId w:val="2"/>
        </w:numPr>
        <w:tabs>
          <w:tab w:pos="1799" w:val="left" w:leader="none"/>
        </w:tabs>
        <w:spacing w:line="240" w:lineRule="auto" w:before="1" w:after="0"/>
        <w:ind w:left="1799" w:right="1308" w:hanging="480"/>
        <w:jc w:val="left"/>
        <w:rPr>
          <w:sz w:val="24"/>
        </w:rPr>
      </w:pPr>
      <w:bookmarkStart w:name="18. Enhanced Case Management Payment. Ex" w:id="64"/>
      <w:bookmarkEnd w:id="64"/>
      <w:r>
        <w:rPr/>
      </w:r>
      <w:r>
        <w:rPr>
          <w:b/>
          <w:sz w:val="24"/>
        </w:rPr>
        <w:t>Enhanced Case Management Payment. </w:t>
      </w:r>
      <w:r>
        <w:rPr>
          <w:sz w:val="24"/>
        </w:rPr>
        <w:t>Expenditures for the Commonwealth to directly pay</w:t>
      </w:r>
      <w:r>
        <w:rPr>
          <w:spacing w:val="-7"/>
          <w:sz w:val="24"/>
        </w:rPr>
        <w:t> </w:t>
      </w:r>
      <w:r>
        <w:rPr>
          <w:sz w:val="24"/>
        </w:rPr>
        <w:t>providers</w:t>
      </w:r>
      <w:r>
        <w:rPr>
          <w:spacing w:val="-2"/>
          <w:sz w:val="24"/>
        </w:rPr>
        <w:t> </w:t>
      </w:r>
      <w:r>
        <w:rPr>
          <w:sz w:val="24"/>
        </w:rPr>
        <w:t>participating</w:t>
      </w:r>
      <w:r>
        <w:rPr>
          <w:spacing w:val="-5"/>
          <w:sz w:val="24"/>
        </w:rPr>
        <w:t> </w:t>
      </w:r>
      <w:r>
        <w:rPr>
          <w:sz w:val="24"/>
        </w:rPr>
        <w:t>in</w:t>
      </w:r>
      <w:r>
        <w:rPr>
          <w:spacing w:val="-2"/>
          <w:sz w:val="24"/>
        </w:rPr>
        <w:t> </w:t>
      </w:r>
      <w:r>
        <w:rPr>
          <w:sz w:val="24"/>
        </w:rPr>
        <w:t>either</w:t>
      </w:r>
      <w:r>
        <w:rPr>
          <w:spacing w:val="-3"/>
          <w:sz w:val="24"/>
        </w:rPr>
        <w:t> </w:t>
      </w:r>
      <w:r>
        <w:rPr>
          <w:sz w:val="24"/>
        </w:rPr>
        <w:t>the</w:t>
      </w:r>
      <w:r>
        <w:rPr>
          <w:spacing w:val="-3"/>
          <w:sz w:val="24"/>
        </w:rPr>
        <w:t> </w:t>
      </w:r>
      <w:r>
        <w:rPr>
          <w:sz w:val="24"/>
        </w:rPr>
        <w:t>PCC</w:t>
      </w:r>
      <w:r>
        <w:rPr>
          <w:spacing w:val="-2"/>
          <w:sz w:val="24"/>
        </w:rPr>
        <w:t> </w:t>
      </w:r>
      <w:r>
        <w:rPr>
          <w:sz w:val="24"/>
        </w:rPr>
        <w:t>Plan</w:t>
      </w:r>
      <w:r>
        <w:rPr>
          <w:spacing w:val="-5"/>
          <w:sz w:val="24"/>
        </w:rPr>
        <w:t> </w:t>
      </w:r>
      <w:r>
        <w:rPr>
          <w:sz w:val="24"/>
        </w:rPr>
        <w:t>or</w:t>
      </w:r>
      <w:r>
        <w:rPr>
          <w:spacing w:val="-3"/>
          <w:sz w:val="24"/>
        </w:rPr>
        <w:t> </w:t>
      </w:r>
      <w:r>
        <w:rPr>
          <w:sz w:val="24"/>
        </w:rPr>
        <w:t>a</w:t>
      </w:r>
      <w:r>
        <w:rPr>
          <w:spacing w:val="-3"/>
          <w:sz w:val="24"/>
        </w:rPr>
        <w:t> </w:t>
      </w:r>
      <w:r>
        <w:rPr>
          <w:sz w:val="24"/>
        </w:rPr>
        <w:t>Primary</w:t>
      </w:r>
      <w:r>
        <w:rPr>
          <w:spacing w:val="-7"/>
          <w:sz w:val="24"/>
        </w:rPr>
        <w:t> </w:t>
      </w:r>
      <w:r>
        <w:rPr>
          <w:sz w:val="24"/>
        </w:rPr>
        <w:t>Care</w:t>
      </w:r>
      <w:r>
        <w:rPr>
          <w:spacing w:val="-3"/>
          <w:sz w:val="24"/>
        </w:rPr>
        <w:t> </w:t>
      </w:r>
      <w:r>
        <w:rPr>
          <w:sz w:val="24"/>
        </w:rPr>
        <w:t>ACO</w:t>
      </w:r>
      <w:r>
        <w:rPr>
          <w:spacing w:val="-1"/>
          <w:sz w:val="24"/>
        </w:rPr>
        <w:t> </w:t>
      </w:r>
      <w:r>
        <w:rPr>
          <w:sz w:val="24"/>
        </w:rPr>
        <w:t>an</w:t>
      </w:r>
      <w:r>
        <w:rPr>
          <w:spacing w:val="-2"/>
          <w:sz w:val="24"/>
        </w:rPr>
        <w:t> </w:t>
      </w:r>
      <w:r>
        <w:rPr>
          <w:sz w:val="24"/>
        </w:rPr>
        <w:t>additional</w:t>
      </w:r>
      <w:r>
        <w:rPr>
          <w:spacing w:val="-2"/>
          <w:sz w:val="24"/>
        </w:rPr>
        <w:t> </w:t>
      </w:r>
      <w:r>
        <w:rPr>
          <w:sz w:val="24"/>
        </w:rPr>
        <w:t>case management fee, which does not duplicate payment the PCC Plan or Primary Care ACO makes to the providers.</w:t>
      </w:r>
    </w:p>
    <w:p>
      <w:pPr>
        <w:pStyle w:val="BodyText"/>
        <w:spacing w:before="10"/>
        <w:rPr>
          <w:sz w:val="20"/>
        </w:rPr>
      </w:pPr>
    </w:p>
    <w:p>
      <w:pPr>
        <w:pStyle w:val="ListParagraph"/>
        <w:numPr>
          <w:ilvl w:val="0"/>
          <w:numId w:val="2"/>
        </w:numPr>
        <w:tabs>
          <w:tab w:pos="1799" w:val="left" w:leader="none"/>
        </w:tabs>
        <w:spacing w:line="240" w:lineRule="auto" w:before="0" w:after="0"/>
        <w:ind w:left="1799" w:right="1309" w:hanging="480"/>
        <w:jc w:val="left"/>
        <w:rPr>
          <w:sz w:val="24"/>
        </w:rPr>
      </w:pPr>
      <w:bookmarkStart w:name="19. PCCM Entities. Expenditures for shar" w:id="65"/>
      <w:bookmarkEnd w:id="65"/>
      <w:r>
        <w:rPr/>
      </w:r>
      <w:r>
        <w:rPr>
          <w:b/>
          <w:sz w:val="24"/>
        </w:rPr>
        <w:t>PCCM Entities. </w:t>
      </w:r>
      <w:r>
        <w:rPr>
          <w:sz w:val="24"/>
        </w:rPr>
        <w:t>Expenditures for shared savings payments to participating Primary Care ACOs</w:t>
      </w:r>
      <w:r>
        <w:rPr>
          <w:spacing w:val="-3"/>
          <w:sz w:val="24"/>
        </w:rPr>
        <w:t> </w:t>
      </w:r>
      <w:r>
        <w:rPr>
          <w:sz w:val="24"/>
        </w:rPr>
        <w:t>that</w:t>
      </w:r>
      <w:r>
        <w:rPr>
          <w:spacing w:val="-3"/>
          <w:sz w:val="24"/>
        </w:rPr>
        <w:t> </w:t>
      </w:r>
      <w:r>
        <w:rPr>
          <w:sz w:val="24"/>
        </w:rPr>
        <w:t>include</w:t>
      </w:r>
      <w:r>
        <w:rPr>
          <w:spacing w:val="-4"/>
          <w:sz w:val="24"/>
        </w:rPr>
        <w:t> </w:t>
      </w:r>
      <w:r>
        <w:rPr>
          <w:sz w:val="24"/>
        </w:rPr>
        <w:t>risk-based</w:t>
      </w:r>
      <w:r>
        <w:rPr>
          <w:spacing w:val="-3"/>
          <w:sz w:val="24"/>
        </w:rPr>
        <w:t> </w:t>
      </w:r>
      <w:r>
        <w:rPr>
          <w:sz w:val="24"/>
        </w:rPr>
        <w:t>(upside</w:t>
      </w:r>
      <w:r>
        <w:rPr>
          <w:spacing w:val="-4"/>
          <w:sz w:val="24"/>
        </w:rPr>
        <w:t> </w:t>
      </w:r>
      <w:r>
        <w:rPr>
          <w:sz w:val="24"/>
        </w:rPr>
        <w:t>and</w:t>
      </w:r>
      <w:r>
        <w:rPr>
          <w:spacing w:val="-3"/>
          <w:sz w:val="24"/>
        </w:rPr>
        <w:t> </w:t>
      </w:r>
      <w:r>
        <w:rPr>
          <w:sz w:val="24"/>
        </w:rPr>
        <w:t>downside)</w:t>
      </w:r>
      <w:r>
        <w:rPr>
          <w:spacing w:val="-4"/>
          <w:sz w:val="24"/>
        </w:rPr>
        <w:t> </w:t>
      </w:r>
      <w:r>
        <w:rPr>
          <w:sz w:val="24"/>
        </w:rPr>
        <w:t>payments</w:t>
      </w:r>
      <w:r>
        <w:rPr>
          <w:spacing w:val="-3"/>
          <w:sz w:val="24"/>
        </w:rPr>
        <w:t> </w:t>
      </w:r>
      <w:r>
        <w:rPr>
          <w:sz w:val="24"/>
        </w:rPr>
        <w:t>to</w:t>
      </w:r>
      <w:r>
        <w:rPr>
          <w:spacing w:val="-3"/>
          <w:sz w:val="24"/>
        </w:rPr>
        <w:t> </w:t>
      </w:r>
      <w:r>
        <w:rPr>
          <w:sz w:val="24"/>
        </w:rPr>
        <w:t>these</w:t>
      </w:r>
      <w:r>
        <w:rPr>
          <w:spacing w:val="-4"/>
          <w:sz w:val="24"/>
        </w:rPr>
        <w:t> </w:t>
      </w:r>
      <w:r>
        <w:rPr>
          <w:sz w:val="24"/>
        </w:rPr>
        <w:t>Primary</w:t>
      </w:r>
      <w:r>
        <w:rPr>
          <w:spacing w:val="-8"/>
          <w:sz w:val="24"/>
        </w:rPr>
        <w:t> </w:t>
      </w:r>
      <w:r>
        <w:rPr>
          <w:sz w:val="24"/>
        </w:rPr>
        <w:t>Care</w:t>
      </w:r>
      <w:r>
        <w:rPr>
          <w:spacing w:val="-4"/>
          <w:sz w:val="24"/>
        </w:rPr>
        <w:t> </w:t>
      </w:r>
      <w:r>
        <w:rPr>
          <w:sz w:val="24"/>
        </w:rPr>
        <w:t>ACOs, and that may allow or require the Primary Care ACOs to distribute some portion of shared savings</w:t>
      </w:r>
      <w:r>
        <w:rPr>
          <w:spacing w:val="-2"/>
          <w:sz w:val="24"/>
        </w:rPr>
        <w:t> </w:t>
      </w:r>
      <w:r>
        <w:rPr>
          <w:sz w:val="24"/>
        </w:rPr>
        <w:t>to</w:t>
      </w:r>
      <w:r>
        <w:rPr>
          <w:spacing w:val="-2"/>
          <w:sz w:val="24"/>
        </w:rPr>
        <w:t> </w:t>
      </w:r>
      <w:r>
        <w:rPr>
          <w:sz w:val="24"/>
        </w:rPr>
        <w:t>or</w:t>
      </w:r>
      <w:r>
        <w:rPr>
          <w:spacing w:val="-1"/>
          <w:sz w:val="24"/>
        </w:rPr>
        <w:t> </w:t>
      </w:r>
      <w:r>
        <w:rPr>
          <w:sz w:val="24"/>
        </w:rPr>
        <w:t>collect</w:t>
      </w:r>
      <w:r>
        <w:rPr>
          <w:spacing w:val="-2"/>
          <w:sz w:val="24"/>
        </w:rPr>
        <w:t> </w:t>
      </w:r>
      <w:r>
        <w:rPr>
          <w:sz w:val="24"/>
        </w:rPr>
        <w:t>shared</w:t>
      </w:r>
      <w:r>
        <w:rPr>
          <w:spacing w:val="-2"/>
          <w:sz w:val="24"/>
        </w:rPr>
        <w:t> </w:t>
      </w:r>
      <w:r>
        <w:rPr>
          <w:sz w:val="24"/>
        </w:rPr>
        <w:t>losses</w:t>
      </w:r>
      <w:r>
        <w:rPr>
          <w:spacing w:val="-2"/>
          <w:sz w:val="24"/>
        </w:rPr>
        <w:t> </w:t>
      </w:r>
      <w:r>
        <w:rPr>
          <w:sz w:val="24"/>
        </w:rPr>
        <w:t>from</w:t>
      </w:r>
      <w:r>
        <w:rPr>
          <w:spacing w:val="-2"/>
          <w:sz w:val="24"/>
        </w:rPr>
        <w:t> </w:t>
      </w:r>
      <w:r>
        <w:rPr>
          <w:sz w:val="24"/>
        </w:rPr>
        <w:t>select</w:t>
      </w:r>
      <w:r>
        <w:rPr>
          <w:spacing w:val="-2"/>
          <w:sz w:val="24"/>
        </w:rPr>
        <w:t> </w:t>
      </w:r>
      <w:r>
        <w:rPr>
          <w:sz w:val="24"/>
        </w:rPr>
        <w:t>direct</w:t>
      </w:r>
      <w:r>
        <w:rPr>
          <w:spacing w:val="-2"/>
          <w:sz w:val="24"/>
        </w:rPr>
        <w:t> </w:t>
      </w:r>
      <w:r>
        <w:rPr>
          <w:sz w:val="24"/>
        </w:rPr>
        <w:t>service</w:t>
      </w:r>
      <w:r>
        <w:rPr>
          <w:spacing w:val="-3"/>
          <w:sz w:val="24"/>
        </w:rPr>
        <w:t> </w:t>
      </w:r>
      <w:r>
        <w:rPr>
          <w:sz w:val="24"/>
        </w:rPr>
        <w:t>providers,</w:t>
      </w:r>
      <w:r>
        <w:rPr>
          <w:spacing w:val="-2"/>
          <w:sz w:val="24"/>
        </w:rPr>
        <w:t> </w:t>
      </w:r>
      <w:r>
        <w:rPr>
          <w:sz w:val="24"/>
        </w:rPr>
        <w:t>that are</w:t>
      </w:r>
      <w:r>
        <w:rPr>
          <w:spacing w:val="-3"/>
          <w:sz w:val="24"/>
        </w:rPr>
        <w:t> </w:t>
      </w:r>
      <w:r>
        <w:rPr>
          <w:sz w:val="24"/>
        </w:rPr>
        <w:t>outside</w:t>
      </w:r>
      <w:r>
        <w:rPr>
          <w:spacing w:val="-3"/>
          <w:sz w:val="24"/>
        </w:rPr>
        <w:t> </w:t>
      </w:r>
      <w:r>
        <w:rPr>
          <w:sz w:val="24"/>
        </w:rPr>
        <w:t>of</w:t>
      </w:r>
      <w:r>
        <w:rPr>
          <w:spacing w:val="-3"/>
          <w:sz w:val="24"/>
        </w:rPr>
        <w:t> </w:t>
      </w:r>
      <w:r>
        <w:rPr>
          <w:sz w:val="24"/>
        </w:rPr>
        <w:t>the ranges for Integrated Care Models (ICMs) provisions and/or are not otherwise authorized under 42 CFR §438.</w:t>
      </w:r>
    </w:p>
    <w:p>
      <w:pPr>
        <w:spacing w:after="0" w:line="240" w:lineRule="auto"/>
        <w:jc w:val="left"/>
        <w:rPr>
          <w:sz w:val="24"/>
        </w:rPr>
        <w:sectPr>
          <w:pgSz w:w="12240" w:h="15840"/>
          <w:pgMar w:header="0" w:footer="998" w:top="1360" w:bottom="1180" w:left="0" w:right="220"/>
        </w:sectPr>
      </w:pPr>
    </w:p>
    <w:p>
      <w:pPr>
        <w:pStyle w:val="ListParagraph"/>
        <w:numPr>
          <w:ilvl w:val="1"/>
          <w:numId w:val="2"/>
        </w:numPr>
        <w:tabs>
          <w:tab w:pos="2520" w:val="left" w:leader="none"/>
        </w:tabs>
        <w:spacing w:line="240" w:lineRule="auto" w:before="79" w:after="0"/>
        <w:ind w:left="2520" w:right="1522" w:hanging="360"/>
        <w:jc w:val="both"/>
        <w:rPr>
          <w:sz w:val="24"/>
        </w:rPr>
      </w:pPr>
      <w:bookmarkStart w:name="a. Primary Care Payment.  Expenditures f" w:id="66"/>
      <w:bookmarkEnd w:id="66"/>
      <w:r>
        <w:rPr/>
      </w:r>
      <w:r>
        <w:rPr>
          <w:sz w:val="24"/>
        </w:rPr>
        <w:t>Primary Care Payment.</w:t>
      </w:r>
      <w:r>
        <w:rPr>
          <w:spacing w:val="40"/>
          <w:sz w:val="24"/>
        </w:rPr>
        <w:t> </w:t>
      </w:r>
      <w:r>
        <w:rPr>
          <w:sz w:val="24"/>
        </w:rPr>
        <w:t>Expenditures for primary care payments to Primary Care ACOs.</w:t>
      </w:r>
      <w:r>
        <w:rPr>
          <w:spacing w:val="40"/>
          <w:sz w:val="24"/>
        </w:rPr>
        <w:t> </w:t>
      </w:r>
      <w:r>
        <w:rPr>
          <w:sz w:val="24"/>
        </w:rPr>
        <w:t>These payments will be prospective PMPM rates that vary from state plan rates,</w:t>
      </w:r>
      <w:r>
        <w:rPr>
          <w:spacing w:val="-3"/>
          <w:sz w:val="24"/>
        </w:rPr>
        <w:t> </w:t>
      </w:r>
      <w:r>
        <w:rPr>
          <w:sz w:val="24"/>
        </w:rPr>
        <w:t>set</w:t>
      </w:r>
      <w:r>
        <w:rPr>
          <w:spacing w:val="-3"/>
          <w:sz w:val="24"/>
        </w:rPr>
        <w:t> </w:t>
      </w:r>
      <w:r>
        <w:rPr>
          <w:sz w:val="24"/>
        </w:rPr>
        <w:t>using</w:t>
      </w:r>
      <w:r>
        <w:rPr>
          <w:spacing w:val="-6"/>
          <w:sz w:val="24"/>
        </w:rPr>
        <w:t> </w:t>
      </w:r>
      <w:r>
        <w:rPr>
          <w:sz w:val="24"/>
        </w:rPr>
        <w:t>actuarial</w:t>
      </w:r>
      <w:r>
        <w:rPr>
          <w:spacing w:val="-1"/>
          <w:sz w:val="24"/>
        </w:rPr>
        <w:t> </w:t>
      </w:r>
      <w:r>
        <w:rPr>
          <w:sz w:val="24"/>
        </w:rPr>
        <w:t>principles,</w:t>
      </w:r>
      <w:r>
        <w:rPr>
          <w:spacing w:val="-3"/>
          <w:sz w:val="24"/>
        </w:rPr>
        <w:t> </w:t>
      </w:r>
      <w:r>
        <w:rPr>
          <w:sz w:val="24"/>
        </w:rPr>
        <w:t>and</w:t>
      </w:r>
      <w:r>
        <w:rPr>
          <w:spacing w:val="-3"/>
          <w:sz w:val="24"/>
        </w:rPr>
        <w:t> </w:t>
      </w:r>
      <w:r>
        <w:rPr>
          <w:sz w:val="24"/>
        </w:rPr>
        <w:t>will</w:t>
      </w:r>
      <w:r>
        <w:rPr>
          <w:spacing w:val="-3"/>
          <w:sz w:val="24"/>
        </w:rPr>
        <w:t> </w:t>
      </w:r>
      <w:r>
        <w:rPr>
          <w:sz w:val="24"/>
        </w:rPr>
        <w:t>not</w:t>
      </w:r>
      <w:r>
        <w:rPr>
          <w:spacing w:val="-3"/>
          <w:sz w:val="24"/>
        </w:rPr>
        <w:t> </w:t>
      </w:r>
      <w:r>
        <w:rPr>
          <w:sz w:val="24"/>
        </w:rPr>
        <w:t>be</w:t>
      </w:r>
      <w:r>
        <w:rPr>
          <w:spacing w:val="-4"/>
          <w:sz w:val="24"/>
        </w:rPr>
        <w:t> </w:t>
      </w:r>
      <w:r>
        <w:rPr>
          <w:sz w:val="24"/>
        </w:rPr>
        <w:t>reconciled</w:t>
      </w:r>
      <w:r>
        <w:rPr>
          <w:spacing w:val="-3"/>
          <w:sz w:val="24"/>
        </w:rPr>
        <w:t> </w:t>
      </w:r>
      <w:r>
        <w:rPr>
          <w:sz w:val="24"/>
        </w:rPr>
        <w:t>to</w:t>
      </w:r>
      <w:r>
        <w:rPr>
          <w:spacing w:val="-3"/>
          <w:sz w:val="24"/>
        </w:rPr>
        <w:t> </w:t>
      </w:r>
      <w:r>
        <w:rPr>
          <w:sz w:val="24"/>
        </w:rPr>
        <w:t>cost</w:t>
      </w:r>
      <w:r>
        <w:rPr>
          <w:spacing w:val="-3"/>
          <w:sz w:val="24"/>
        </w:rPr>
        <w:t> </w:t>
      </w:r>
      <w:r>
        <w:rPr>
          <w:sz w:val="24"/>
        </w:rPr>
        <w:t>or</w:t>
      </w:r>
      <w:r>
        <w:rPr>
          <w:spacing w:val="-4"/>
          <w:sz w:val="24"/>
        </w:rPr>
        <w:t> </w:t>
      </w:r>
      <w:r>
        <w:rPr>
          <w:sz w:val="24"/>
        </w:rPr>
        <w:t>utilization.</w:t>
      </w:r>
    </w:p>
    <w:p>
      <w:pPr>
        <w:pStyle w:val="BodyText"/>
        <w:spacing w:before="10"/>
        <w:rPr>
          <w:sz w:val="20"/>
        </w:rPr>
      </w:pPr>
    </w:p>
    <w:p>
      <w:pPr>
        <w:pStyle w:val="ListParagraph"/>
        <w:numPr>
          <w:ilvl w:val="0"/>
          <w:numId w:val="2"/>
        </w:numPr>
        <w:tabs>
          <w:tab w:pos="1800" w:val="left" w:leader="none"/>
        </w:tabs>
        <w:spacing w:line="240" w:lineRule="auto" w:before="0" w:after="0"/>
        <w:ind w:left="1800" w:right="1520" w:hanging="480"/>
        <w:jc w:val="left"/>
        <w:rPr>
          <w:sz w:val="24"/>
        </w:rPr>
      </w:pPr>
      <w:bookmarkStart w:name="20. Safety Net Care Pool (SNCP). Expendi" w:id="67"/>
      <w:bookmarkEnd w:id="67"/>
      <w:r>
        <w:rPr/>
      </w:r>
      <w:r>
        <w:rPr>
          <w:b/>
          <w:sz w:val="24"/>
        </w:rPr>
        <w:t>Safety</w:t>
      </w:r>
      <w:r>
        <w:rPr>
          <w:b/>
          <w:spacing w:val="-4"/>
          <w:sz w:val="24"/>
        </w:rPr>
        <w:t> </w:t>
      </w:r>
      <w:r>
        <w:rPr>
          <w:b/>
          <w:sz w:val="24"/>
        </w:rPr>
        <w:t>Net</w:t>
      </w:r>
      <w:r>
        <w:rPr>
          <w:b/>
          <w:spacing w:val="-5"/>
          <w:sz w:val="24"/>
        </w:rPr>
        <w:t> </w:t>
      </w:r>
      <w:r>
        <w:rPr>
          <w:b/>
          <w:sz w:val="24"/>
        </w:rPr>
        <w:t>Care</w:t>
      </w:r>
      <w:r>
        <w:rPr>
          <w:b/>
          <w:spacing w:val="-3"/>
          <w:sz w:val="24"/>
        </w:rPr>
        <w:t> </w:t>
      </w:r>
      <w:r>
        <w:rPr>
          <w:b/>
          <w:sz w:val="24"/>
        </w:rPr>
        <w:t>Pool</w:t>
      </w:r>
      <w:r>
        <w:rPr>
          <w:b/>
          <w:spacing w:val="-4"/>
          <w:sz w:val="24"/>
        </w:rPr>
        <w:t> </w:t>
      </w:r>
      <w:r>
        <w:rPr>
          <w:b/>
          <w:sz w:val="24"/>
        </w:rPr>
        <w:t>(SNCP).</w:t>
      </w:r>
      <w:r>
        <w:rPr>
          <w:b/>
          <w:spacing w:val="-4"/>
          <w:sz w:val="24"/>
        </w:rPr>
        <w:t> </w:t>
      </w:r>
      <w:r>
        <w:rPr>
          <w:sz w:val="24"/>
        </w:rPr>
        <w:t>Expenditures</w:t>
      </w:r>
      <w:r>
        <w:rPr>
          <w:spacing w:val="-4"/>
          <w:sz w:val="24"/>
        </w:rPr>
        <w:t> </w:t>
      </w:r>
      <w:r>
        <w:rPr>
          <w:sz w:val="24"/>
        </w:rPr>
        <w:t>for</w:t>
      </w:r>
      <w:r>
        <w:rPr>
          <w:spacing w:val="-5"/>
          <w:sz w:val="24"/>
        </w:rPr>
        <w:t> </w:t>
      </w:r>
      <w:r>
        <w:rPr>
          <w:sz w:val="24"/>
        </w:rPr>
        <w:t>the</w:t>
      </w:r>
      <w:r>
        <w:rPr>
          <w:spacing w:val="-5"/>
          <w:sz w:val="24"/>
        </w:rPr>
        <w:t> </w:t>
      </w:r>
      <w:r>
        <w:rPr>
          <w:sz w:val="24"/>
        </w:rPr>
        <w:t>following</w:t>
      </w:r>
      <w:r>
        <w:rPr>
          <w:spacing w:val="-4"/>
          <w:sz w:val="24"/>
        </w:rPr>
        <w:t> </w:t>
      </w:r>
      <w:r>
        <w:rPr>
          <w:sz w:val="24"/>
        </w:rPr>
        <w:t>categories</w:t>
      </w:r>
      <w:r>
        <w:rPr>
          <w:spacing w:val="-4"/>
          <w:sz w:val="24"/>
        </w:rPr>
        <w:t> </w:t>
      </w:r>
      <w:r>
        <w:rPr>
          <w:sz w:val="24"/>
        </w:rPr>
        <w:t>of</w:t>
      </w:r>
      <w:r>
        <w:rPr>
          <w:spacing w:val="-5"/>
          <w:sz w:val="24"/>
        </w:rPr>
        <w:t> </w:t>
      </w:r>
      <w:r>
        <w:rPr>
          <w:sz w:val="24"/>
        </w:rPr>
        <w:t>expenditures, subject to overall SNCP limits and category-specific limits set forth in the STCs.</w:t>
      </w:r>
    </w:p>
    <w:p>
      <w:pPr>
        <w:pStyle w:val="BodyText"/>
        <w:spacing w:before="10"/>
        <w:rPr>
          <w:sz w:val="20"/>
        </w:rPr>
      </w:pPr>
    </w:p>
    <w:p>
      <w:pPr>
        <w:pStyle w:val="ListParagraph"/>
        <w:numPr>
          <w:ilvl w:val="1"/>
          <w:numId w:val="2"/>
        </w:numPr>
        <w:tabs>
          <w:tab w:pos="2520" w:val="left" w:leader="none"/>
        </w:tabs>
        <w:spacing w:line="240" w:lineRule="auto" w:before="0" w:after="0"/>
        <w:ind w:left="2520" w:right="1222" w:hanging="360"/>
        <w:jc w:val="left"/>
        <w:rPr>
          <w:sz w:val="24"/>
        </w:rPr>
      </w:pPr>
      <w:r>
        <w:rPr>
          <w:b/>
          <w:sz w:val="24"/>
        </w:rPr>
        <w:t>DSRIP and Related Initiatives. </w:t>
      </w:r>
      <w:r>
        <w:rPr>
          <w:sz w:val="24"/>
        </w:rPr>
        <w:t>Expenditures for incentive payments and state infrastructure payments for the DSRIP program specified in Section 12 of the STCs, and for flexible services provided to Primary Care ACO, Accountable Care Partnership Plan, and MCO-contracted ACO enrolled beneficiaries, to the extent not otherwise available under the Medicaid state plan, under other state or</w:t>
      </w:r>
      <w:r>
        <w:rPr>
          <w:spacing w:val="-5"/>
          <w:sz w:val="24"/>
        </w:rPr>
        <w:t> </w:t>
      </w:r>
      <w:r>
        <w:rPr>
          <w:sz w:val="24"/>
        </w:rPr>
        <w:t>federal programs,</w:t>
      </w:r>
      <w:r>
        <w:rPr>
          <w:spacing w:val="-3"/>
          <w:sz w:val="24"/>
        </w:rPr>
        <w:t> </w:t>
      </w:r>
      <w:r>
        <w:rPr>
          <w:sz w:val="24"/>
        </w:rPr>
        <w:t>or</w:t>
      </w:r>
      <w:r>
        <w:rPr>
          <w:spacing w:val="-4"/>
          <w:sz w:val="24"/>
        </w:rPr>
        <w:t> </w:t>
      </w:r>
      <w:r>
        <w:rPr>
          <w:sz w:val="24"/>
        </w:rPr>
        <w:t>under</w:t>
      </w:r>
      <w:r>
        <w:rPr>
          <w:spacing w:val="-4"/>
          <w:sz w:val="24"/>
        </w:rPr>
        <w:t> </w:t>
      </w:r>
      <w:r>
        <w:rPr>
          <w:sz w:val="24"/>
        </w:rPr>
        <w:t>this</w:t>
      </w:r>
      <w:r>
        <w:rPr>
          <w:spacing w:val="-11"/>
          <w:sz w:val="24"/>
        </w:rPr>
        <w:t> </w:t>
      </w:r>
      <w:r>
        <w:rPr>
          <w:sz w:val="24"/>
        </w:rPr>
        <w:t>demonstration.</w:t>
      </w:r>
      <w:r>
        <w:rPr>
          <w:spacing w:val="40"/>
          <w:sz w:val="24"/>
        </w:rPr>
        <w:t> </w:t>
      </w:r>
      <w:r>
        <w:rPr>
          <w:sz w:val="24"/>
        </w:rPr>
        <w:t>The</w:t>
      </w:r>
      <w:r>
        <w:rPr>
          <w:spacing w:val="-4"/>
          <w:sz w:val="24"/>
        </w:rPr>
        <w:t> </w:t>
      </w:r>
      <w:r>
        <w:rPr>
          <w:sz w:val="24"/>
        </w:rPr>
        <w:t>only</w:t>
      </w:r>
      <w:r>
        <w:rPr>
          <w:spacing w:val="-6"/>
          <w:sz w:val="24"/>
        </w:rPr>
        <w:t> </w:t>
      </w:r>
      <w:r>
        <w:rPr>
          <w:sz w:val="24"/>
        </w:rPr>
        <w:t>expenditures</w:t>
      </w:r>
      <w:r>
        <w:rPr>
          <w:spacing w:val="-3"/>
          <w:sz w:val="24"/>
        </w:rPr>
        <w:t> </w:t>
      </w:r>
      <w:r>
        <w:rPr>
          <w:sz w:val="24"/>
        </w:rPr>
        <w:t>permitted</w:t>
      </w:r>
      <w:r>
        <w:rPr>
          <w:spacing w:val="-3"/>
          <w:sz w:val="24"/>
        </w:rPr>
        <w:t> </w:t>
      </w:r>
      <w:r>
        <w:rPr>
          <w:sz w:val="24"/>
        </w:rPr>
        <w:t>after</w:t>
      </w:r>
      <w:r>
        <w:rPr>
          <w:spacing w:val="-4"/>
          <w:sz w:val="24"/>
        </w:rPr>
        <w:t> </w:t>
      </w:r>
      <w:r>
        <w:rPr>
          <w:sz w:val="24"/>
        </w:rPr>
        <w:t>April</w:t>
      </w:r>
      <w:r>
        <w:rPr>
          <w:spacing w:val="-3"/>
          <w:sz w:val="24"/>
        </w:rPr>
        <w:t> </w:t>
      </w:r>
      <w:r>
        <w:rPr>
          <w:sz w:val="24"/>
        </w:rPr>
        <w:t>1, 2023, are incentive payments for prior periods of performance and administrative activities to close out the DSRIP program.</w:t>
      </w:r>
    </w:p>
    <w:p>
      <w:pPr>
        <w:pStyle w:val="ListParagraph"/>
        <w:numPr>
          <w:ilvl w:val="1"/>
          <w:numId w:val="2"/>
        </w:numPr>
        <w:tabs>
          <w:tab w:pos="2520" w:val="left" w:leader="none"/>
        </w:tabs>
        <w:spacing w:line="240" w:lineRule="auto" w:before="161" w:after="0"/>
        <w:ind w:left="2520" w:right="1291" w:hanging="360"/>
        <w:jc w:val="left"/>
        <w:rPr>
          <w:sz w:val="24"/>
        </w:rPr>
      </w:pPr>
      <w:r>
        <w:rPr>
          <w:b/>
          <w:sz w:val="24"/>
        </w:rPr>
        <w:t>Public Hospital Transformation and Incentive Initiatives (PHTII). </w:t>
      </w:r>
      <w:r>
        <w:rPr>
          <w:sz w:val="24"/>
        </w:rPr>
        <w:t>Expenditure authority</w:t>
      </w:r>
      <w:r>
        <w:rPr>
          <w:spacing w:val="-3"/>
          <w:sz w:val="24"/>
        </w:rPr>
        <w:t> </w:t>
      </w:r>
      <w:r>
        <w:rPr>
          <w:sz w:val="24"/>
        </w:rPr>
        <w:t>for close-out activities of the Public Hospital Transformation and Incentive Initiatives</w:t>
      </w:r>
      <w:r>
        <w:rPr>
          <w:spacing w:val="-4"/>
          <w:sz w:val="24"/>
        </w:rPr>
        <w:t> </w:t>
      </w:r>
      <w:r>
        <w:rPr>
          <w:sz w:val="24"/>
        </w:rPr>
        <w:t>program</w:t>
      </w:r>
      <w:r>
        <w:rPr>
          <w:spacing w:val="-4"/>
          <w:sz w:val="24"/>
        </w:rPr>
        <w:t> </w:t>
      </w:r>
      <w:r>
        <w:rPr>
          <w:sz w:val="24"/>
        </w:rPr>
        <w:t>from</w:t>
      </w:r>
      <w:r>
        <w:rPr>
          <w:spacing w:val="-2"/>
          <w:sz w:val="24"/>
        </w:rPr>
        <w:t> </w:t>
      </w:r>
      <w:r>
        <w:rPr>
          <w:sz w:val="24"/>
        </w:rPr>
        <w:t>previous</w:t>
      </w:r>
      <w:r>
        <w:rPr>
          <w:spacing w:val="-4"/>
          <w:sz w:val="24"/>
        </w:rPr>
        <w:t> </w:t>
      </w:r>
      <w:r>
        <w:rPr>
          <w:sz w:val="24"/>
        </w:rPr>
        <w:t>demonstration</w:t>
      </w:r>
      <w:r>
        <w:rPr>
          <w:spacing w:val="-4"/>
          <w:sz w:val="24"/>
        </w:rPr>
        <w:t> </w:t>
      </w:r>
      <w:r>
        <w:rPr>
          <w:sz w:val="24"/>
        </w:rPr>
        <w:t>period</w:t>
      </w:r>
      <w:r>
        <w:rPr>
          <w:spacing w:val="-4"/>
          <w:sz w:val="24"/>
        </w:rPr>
        <w:t> </w:t>
      </w:r>
      <w:r>
        <w:rPr>
          <w:sz w:val="24"/>
        </w:rPr>
        <w:t>that</w:t>
      </w:r>
      <w:r>
        <w:rPr>
          <w:spacing w:val="-4"/>
          <w:sz w:val="24"/>
        </w:rPr>
        <w:t> </w:t>
      </w:r>
      <w:r>
        <w:rPr>
          <w:sz w:val="24"/>
        </w:rPr>
        <w:t>ended</w:t>
      </w:r>
      <w:r>
        <w:rPr>
          <w:spacing w:val="-4"/>
          <w:sz w:val="24"/>
        </w:rPr>
        <w:t> </w:t>
      </w:r>
      <w:r>
        <w:rPr>
          <w:sz w:val="24"/>
        </w:rPr>
        <w:t>June</w:t>
      </w:r>
      <w:r>
        <w:rPr>
          <w:spacing w:val="-5"/>
          <w:sz w:val="24"/>
        </w:rPr>
        <w:t> </w:t>
      </w:r>
      <w:r>
        <w:rPr>
          <w:sz w:val="24"/>
        </w:rPr>
        <w:t>30,</w:t>
      </w:r>
      <w:r>
        <w:rPr>
          <w:spacing w:val="-2"/>
          <w:sz w:val="24"/>
        </w:rPr>
        <w:t> </w:t>
      </w:r>
      <w:r>
        <w:rPr>
          <w:sz w:val="24"/>
        </w:rPr>
        <w:t>2022,</w:t>
      </w:r>
      <w:r>
        <w:rPr>
          <w:spacing w:val="-4"/>
          <w:sz w:val="24"/>
        </w:rPr>
        <w:t> </w:t>
      </w:r>
      <w:r>
        <w:rPr>
          <w:sz w:val="24"/>
        </w:rPr>
        <w:t>for up to two years following the conclusion of the demonstration.</w:t>
      </w:r>
    </w:p>
    <w:p>
      <w:pPr>
        <w:pStyle w:val="BodyText"/>
        <w:spacing w:before="8"/>
        <w:rPr>
          <w:sz w:val="20"/>
        </w:rPr>
      </w:pPr>
    </w:p>
    <w:p>
      <w:pPr>
        <w:pStyle w:val="ListParagraph"/>
        <w:numPr>
          <w:ilvl w:val="1"/>
          <w:numId w:val="2"/>
        </w:numPr>
        <w:tabs>
          <w:tab w:pos="2519" w:val="left" w:leader="none"/>
        </w:tabs>
        <w:spacing w:line="240" w:lineRule="auto" w:before="0" w:after="0"/>
        <w:ind w:left="2519" w:right="1225" w:hanging="360"/>
        <w:jc w:val="left"/>
        <w:rPr>
          <w:sz w:val="24"/>
        </w:rPr>
      </w:pPr>
      <w:bookmarkStart w:name="c. Disproportionate Share Hospital-like " w:id="68"/>
      <w:bookmarkEnd w:id="68"/>
      <w:r>
        <w:rPr/>
      </w:r>
      <w:r>
        <w:rPr>
          <w:b/>
          <w:sz w:val="24"/>
        </w:rPr>
        <w:t>Disproportionate</w:t>
      </w:r>
      <w:r>
        <w:rPr>
          <w:b/>
          <w:spacing w:val="-6"/>
          <w:sz w:val="24"/>
        </w:rPr>
        <w:t> </w:t>
      </w:r>
      <w:r>
        <w:rPr>
          <w:b/>
          <w:sz w:val="24"/>
        </w:rPr>
        <w:t>Share</w:t>
      </w:r>
      <w:r>
        <w:rPr>
          <w:b/>
          <w:spacing w:val="-6"/>
          <w:sz w:val="24"/>
        </w:rPr>
        <w:t> </w:t>
      </w:r>
      <w:r>
        <w:rPr>
          <w:b/>
          <w:sz w:val="24"/>
        </w:rPr>
        <w:t>Hospital-like</w:t>
      </w:r>
      <w:r>
        <w:rPr>
          <w:b/>
          <w:spacing w:val="-6"/>
          <w:sz w:val="24"/>
        </w:rPr>
        <w:t> </w:t>
      </w:r>
      <w:r>
        <w:rPr>
          <w:b/>
          <w:sz w:val="24"/>
        </w:rPr>
        <w:t>(DSH-like)</w:t>
      </w:r>
      <w:r>
        <w:rPr>
          <w:b/>
          <w:spacing w:val="-4"/>
          <w:sz w:val="24"/>
        </w:rPr>
        <w:t> </w:t>
      </w:r>
      <w:r>
        <w:rPr>
          <w:b/>
          <w:sz w:val="24"/>
        </w:rPr>
        <w:t>Pool.</w:t>
      </w:r>
      <w:r>
        <w:rPr>
          <w:b/>
          <w:spacing w:val="-6"/>
          <w:sz w:val="24"/>
        </w:rPr>
        <w:t> </w:t>
      </w:r>
      <w:r>
        <w:rPr>
          <w:sz w:val="24"/>
        </w:rPr>
        <w:t>As</w:t>
      </w:r>
      <w:r>
        <w:rPr>
          <w:spacing w:val="-5"/>
          <w:sz w:val="24"/>
        </w:rPr>
        <w:t> </w:t>
      </w:r>
      <w:r>
        <w:rPr>
          <w:sz w:val="24"/>
        </w:rPr>
        <w:t>described</w:t>
      </w:r>
      <w:r>
        <w:rPr>
          <w:spacing w:val="-5"/>
          <w:sz w:val="24"/>
        </w:rPr>
        <w:t> </w:t>
      </w:r>
      <w:r>
        <w:rPr>
          <w:sz w:val="24"/>
        </w:rPr>
        <w:t>in</w:t>
      </w:r>
      <w:r>
        <w:rPr>
          <w:spacing w:val="-3"/>
          <w:sz w:val="24"/>
        </w:rPr>
        <w:t> </w:t>
      </w:r>
      <w:r>
        <w:rPr>
          <w:sz w:val="24"/>
        </w:rPr>
        <w:t>Attachment E, limited to the extent set forth under the SNCP limits, expenditures for payments to providers, including: acute hospitals and health systems, non- acute hospitals, and other providers of medical services to support uncompensated care for Medicaid eligible individuals (Medicaid shortfall), and low-income uninsured individuals, in accordance with the Massachusetts’ Uncompensated Cost Limit Protocol approved December 17, 2013 (including any subsequent amendments), and expenditures for payments for otherwise covered services furnished to individuals who are inpatients</w:t>
      </w:r>
      <w:r>
        <w:rPr>
          <w:spacing w:val="40"/>
          <w:sz w:val="24"/>
        </w:rPr>
        <w:t> </w:t>
      </w:r>
      <w:r>
        <w:rPr>
          <w:sz w:val="24"/>
        </w:rPr>
        <w:t>in</w:t>
      </w:r>
      <w:r>
        <w:rPr>
          <w:spacing w:val="-2"/>
          <w:sz w:val="24"/>
        </w:rPr>
        <w:t> </w:t>
      </w:r>
      <w:r>
        <w:rPr>
          <w:sz w:val="24"/>
        </w:rPr>
        <w:t>an Institution</w:t>
      </w:r>
      <w:r>
        <w:rPr>
          <w:spacing w:val="-2"/>
          <w:sz w:val="24"/>
        </w:rPr>
        <w:t> </w:t>
      </w:r>
      <w:r>
        <w:rPr>
          <w:sz w:val="24"/>
        </w:rPr>
        <w:t>for</w:t>
      </w:r>
      <w:r>
        <w:rPr>
          <w:spacing w:val="-3"/>
          <w:sz w:val="24"/>
        </w:rPr>
        <w:t> </w:t>
      </w:r>
      <w:r>
        <w:rPr>
          <w:sz w:val="24"/>
        </w:rPr>
        <w:t>Mental</w:t>
      </w:r>
      <w:r>
        <w:rPr>
          <w:spacing w:val="-2"/>
          <w:sz w:val="24"/>
        </w:rPr>
        <w:t> </w:t>
      </w:r>
      <w:r>
        <w:rPr>
          <w:sz w:val="24"/>
        </w:rPr>
        <w:t>Disease</w:t>
      </w:r>
      <w:r>
        <w:rPr>
          <w:spacing w:val="-21"/>
          <w:sz w:val="24"/>
        </w:rPr>
        <w:t> </w:t>
      </w:r>
      <w:r>
        <w:rPr>
          <w:sz w:val="24"/>
        </w:rPr>
        <w:t>(IMD).</w:t>
      </w:r>
      <w:r>
        <w:rPr>
          <w:spacing w:val="40"/>
          <w:sz w:val="24"/>
        </w:rPr>
        <w:t> </w:t>
      </w:r>
      <w:r>
        <w:rPr>
          <w:sz w:val="24"/>
        </w:rPr>
        <w:t>Expenditure</w:t>
      </w:r>
      <w:r>
        <w:rPr>
          <w:spacing w:val="-3"/>
          <w:sz w:val="24"/>
        </w:rPr>
        <w:t> </w:t>
      </w:r>
      <w:r>
        <w:rPr>
          <w:sz w:val="24"/>
        </w:rPr>
        <w:t>authority</w:t>
      </w:r>
      <w:r>
        <w:rPr>
          <w:spacing w:val="-7"/>
          <w:sz w:val="24"/>
        </w:rPr>
        <w:t> </w:t>
      </w:r>
      <w:r>
        <w:rPr>
          <w:sz w:val="24"/>
        </w:rPr>
        <w:t>to</w:t>
      </w:r>
      <w:r>
        <w:rPr>
          <w:spacing w:val="-2"/>
          <w:sz w:val="24"/>
        </w:rPr>
        <w:t> </w:t>
      </w:r>
      <w:r>
        <w:rPr>
          <w:sz w:val="24"/>
        </w:rPr>
        <w:t>make</w:t>
      </w:r>
      <w:r>
        <w:rPr>
          <w:spacing w:val="-1"/>
          <w:sz w:val="24"/>
        </w:rPr>
        <w:t> </w:t>
      </w:r>
      <w:r>
        <w:rPr>
          <w:sz w:val="24"/>
        </w:rPr>
        <w:t>Safety</w:t>
      </w:r>
      <w:r>
        <w:rPr>
          <w:spacing w:val="-5"/>
          <w:sz w:val="24"/>
        </w:rPr>
        <w:t> </w:t>
      </w:r>
      <w:r>
        <w:rPr>
          <w:sz w:val="24"/>
        </w:rPr>
        <w:t>Net Provider Payments tied to contractual withholds to providers, per STC 11.2(b), for up to two years following</w:t>
      </w:r>
      <w:r>
        <w:rPr>
          <w:spacing w:val="-2"/>
          <w:sz w:val="24"/>
        </w:rPr>
        <w:t> </w:t>
      </w:r>
      <w:r>
        <w:rPr>
          <w:sz w:val="24"/>
        </w:rPr>
        <w:t>the conclusion of the demonstration. Expenditure authority</w:t>
      </w:r>
      <w:r>
        <w:rPr>
          <w:spacing w:val="-4"/>
          <w:sz w:val="24"/>
        </w:rPr>
        <w:t> </w:t>
      </w:r>
      <w:r>
        <w:rPr>
          <w:sz w:val="24"/>
        </w:rPr>
        <w:t>for close-out activities for Safety Net Provider payments associated with the previous demonstration period.</w:t>
      </w:r>
    </w:p>
    <w:p>
      <w:pPr>
        <w:pStyle w:val="BodyText"/>
        <w:spacing w:before="10"/>
        <w:rPr>
          <w:sz w:val="20"/>
        </w:rPr>
      </w:pPr>
    </w:p>
    <w:p>
      <w:pPr>
        <w:pStyle w:val="ListParagraph"/>
        <w:numPr>
          <w:ilvl w:val="1"/>
          <w:numId w:val="2"/>
        </w:numPr>
        <w:tabs>
          <w:tab w:pos="2519" w:val="left" w:leader="none"/>
        </w:tabs>
        <w:spacing w:line="240" w:lineRule="auto" w:before="0" w:after="0"/>
        <w:ind w:left="2519" w:right="1359" w:hanging="360"/>
        <w:jc w:val="left"/>
        <w:rPr>
          <w:sz w:val="24"/>
        </w:rPr>
      </w:pPr>
      <w:bookmarkStart w:name="d. Uncompensated Care Pool. As described" w:id="69"/>
      <w:bookmarkEnd w:id="69"/>
      <w:r>
        <w:rPr/>
      </w:r>
      <w:r>
        <w:rPr>
          <w:b/>
          <w:sz w:val="24"/>
        </w:rPr>
        <w:t>Uncompensated Care Pool. </w:t>
      </w:r>
      <w:r>
        <w:rPr>
          <w:sz w:val="24"/>
        </w:rPr>
        <w:t>As described in Attachment E, expenditures for supplemental payments to hospitals to reflect uncompensated charity care costs beyond the expenditure limits of the DSH Pool. Specifically, expenditures for additional Health Safety Net payments to hospitals that reflect care provided to certain</w:t>
      </w:r>
      <w:r>
        <w:rPr>
          <w:spacing w:val="-4"/>
          <w:sz w:val="24"/>
        </w:rPr>
        <w:t> </w:t>
      </w:r>
      <w:r>
        <w:rPr>
          <w:sz w:val="24"/>
        </w:rPr>
        <w:t>low-income,</w:t>
      </w:r>
      <w:r>
        <w:rPr>
          <w:spacing w:val="-4"/>
          <w:sz w:val="24"/>
        </w:rPr>
        <w:t> </w:t>
      </w:r>
      <w:r>
        <w:rPr>
          <w:sz w:val="24"/>
        </w:rPr>
        <w:t>uninsured</w:t>
      </w:r>
      <w:r>
        <w:rPr>
          <w:spacing w:val="-4"/>
          <w:sz w:val="24"/>
        </w:rPr>
        <w:t> </w:t>
      </w:r>
      <w:r>
        <w:rPr>
          <w:sz w:val="24"/>
        </w:rPr>
        <w:t>patients;</w:t>
      </w:r>
      <w:r>
        <w:rPr>
          <w:spacing w:val="-4"/>
          <w:sz w:val="24"/>
        </w:rPr>
        <w:t> </w:t>
      </w:r>
      <w:r>
        <w:rPr>
          <w:sz w:val="24"/>
        </w:rPr>
        <w:t>and</w:t>
      </w:r>
      <w:r>
        <w:rPr>
          <w:spacing w:val="-4"/>
          <w:sz w:val="24"/>
        </w:rPr>
        <w:t> </w:t>
      </w:r>
      <w:r>
        <w:rPr>
          <w:sz w:val="24"/>
        </w:rPr>
        <w:t>Department</w:t>
      </w:r>
      <w:r>
        <w:rPr>
          <w:spacing w:val="-4"/>
          <w:sz w:val="24"/>
        </w:rPr>
        <w:t> </w:t>
      </w:r>
      <w:r>
        <w:rPr>
          <w:sz w:val="24"/>
        </w:rPr>
        <w:t>of</w:t>
      </w:r>
      <w:r>
        <w:rPr>
          <w:spacing w:val="-5"/>
          <w:sz w:val="24"/>
        </w:rPr>
        <w:t> </w:t>
      </w:r>
      <w:r>
        <w:rPr>
          <w:sz w:val="24"/>
        </w:rPr>
        <w:t>Public</w:t>
      </w:r>
      <w:r>
        <w:rPr>
          <w:spacing w:val="-5"/>
          <w:sz w:val="24"/>
        </w:rPr>
        <w:t> </w:t>
      </w:r>
      <w:r>
        <w:rPr>
          <w:sz w:val="24"/>
        </w:rPr>
        <w:t>Health</w:t>
      </w:r>
      <w:r>
        <w:rPr>
          <w:spacing w:val="-4"/>
          <w:sz w:val="24"/>
        </w:rPr>
        <w:t> </w:t>
      </w:r>
      <w:r>
        <w:rPr>
          <w:sz w:val="24"/>
        </w:rPr>
        <w:t>(DPH)</w:t>
      </w:r>
      <w:r>
        <w:rPr>
          <w:spacing w:val="-5"/>
          <w:sz w:val="24"/>
        </w:rPr>
        <w:t> </w:t>
      </w:r>
      <w:r>
        <w:rPr>
          <w:sz w:val="24"/>
        </w:rPr>
        <w:t>and Department of Mental Health (DMH) hospital expenditures for care provided to uninsured patients.</w:t>
      </w:r>
      <w:r>
        <w:rPr>
          <w:spacing w:val="40"/>
          <w:sz w:val="24"/>
        </w:rPr>
        <w:t> </w:t>
      </w:r>
      <w:r>
        <w:rPr>
          <w:sz w:val="24"/>
        </w:rPr>
        <w:t>This expenditure authority does not entitle low-income or uninsured individuals to coverage under the demonstration.</w:t>
      </w:r>
    </w:p>
    <w:p>
      <w:pPr>
        <w:pStyle w:val="BodyText"/>
        <w:spacing w:before="10"/>
        <w:rPr>
          <w:sz w:val="20"/>
        </w:rPr>
      </w:pPr>
    </w:p>
    <w:p>
      <w:pPr>
        <w:pStyle w:val="ListParagraph"/>
        <w:numPr>
          <w:ilvl w:val="0"/>
          <w:numId w:val="2"/>
        </w:numPr>
        <w:tabs>
          <w:tab w:pos="1800" w:val="left" w:leader="none"/>
        </w:tabs>
        <w:spacing w:line="240" w:lineRule="auto" w:before="0" w:after="0"/>
        <w:ind w:left="1800" w:right="1263" w:hanging="480"/>
        <w:jc w:val="left"/>
        <w:rPr>
          <w:sz w:val="24"/>
        </w:rPr>
      </w:pPr>
      <w:bookmarkStart w:name="21. Marketplace Subsidies.  Expenditures" w:id="70"/>
      <w:bookmarkEnd w:id="70"/>
      <w:r>
        <w:rPr/>
      </w:r>
      <w:r>
        <w:rPr>
          <w:b/>
          <w:sz w:val="24"/>
        </w:rPr>
        <w:t>Marketplace</w:t>
      </w:r>
      <w:r>
        <w:rPr>
          <w:b/>
          <w:spacing w:val="-5"/>
          <w:sz w:val="24"/>
        </w:rPr>
        <w:t> </w:t>
      </w:r>
      <w:r>
        <w:rPr>
          <w:b/>
          <w:sz w:val="24"/>
        </w:rPr>
        <w:t>Subsidies.</w:t>
      </w:r>
      <w:r>
        <w:rPr>
          <w:b/>
          <w:spacing w:val="40"/>
          <w:sz w:val="24"/>
        </w:rPr>
        <w:t> </w:t>
      </w:r>
      <w:r>
        <w:rPr>
          <w:sz w:val="24"/>
        </w:rPr>
        <w:t>Expenditures</w:t>
      </w:r>
      <w:r>
        <w:rPr>
          <w:spacing w:val="-4"/>
          <w:sz w:val="24"/>
        </w:rPr>
        <w:t> </w:t>
      </w:r>
      <w:r>
        <w:rPr>
          <w:sz w:val="24"/>
        </w:rPr>
        <w:t>for</w:t>
      </w:r>
      <w:r>
        <w:rPr>
          <w:spacing w:val="-5"/>
          <w:sz w:val="24"/>
        </w:rPr>
        <w:t> </w:t>
      </w:r>
      <w:r>
        <w:rPr>
          <w:sz w:val="24"/>
        </w:rPr>
        <w:t>the</w:t>
      </w:r>
      <w:r>
        <w:rPr>
          <w:spacing w:val="-5"/>
          <w:sz w:val="24"/>
        </w:rPr>
        <w:t> </w:t>
      </w:r>
      <w:r>
        <w:rPr>
          <w:sz w:val="24"/>
        </w:rPr>
        <w:t>payments</w:t>
      </w:r>
      <w:r>
        <w:rPr>
          <w:spacing w:val="-4"/>
          <w:sz w:val="24"/>
        </w:rPr>
        <w:t> </w:t>
      </w:r>
      <w:r>
        <w:rPr>
          <w:sz w:val="24"/>
        </w:rPr>
        <w:t>made</w:t>
      </w:r>
      <w:r>
        <w:rPr>
          <w:spacing w:val="-5"/>
          <w:sz w:val="24"/>
        </w:rPr>
        <w:t> </w:t>
      </w:r>
      <w:r>
        <w:rPr>
          <w:sz w:val="24"/>
        </w:rPr>
        <w:t>through</w:t>
      </w:r>
      <w:r>
        <w:rPr>
          <w:spacing w:val="-4"/>
          <w:sz w:val="24"/>
        </w:rPr>
        <w:t> </w:t>
      </w:r>
      <w:r>
        <w:rPr>
          <w:sz w:val="24"/>
        </w:rPr>
        <w:t>the</w:t>
      </w:r>
      <w:r>
        <w:rPr>
          <w:spacing w:val="-3"/>
          <w:sz w:val="24"/>
        </w:rPr>
        <w:t> </w:t>
      </w:r>
      <w:r>
        <w:rPr>
          <w:sz w:val="24"/>
        </w:rPr>
        <w:t>Commonwealth’s state-operated program to:</w:t>
      </w:r>
    </w:p>
    <w:p>
      <w:pPr>
        <w:spacing w:after="0" w:line="240" w:lineRule="auto"/>
        <w:jc w:val="left"/>
        <w:rPr>
          <w:sz w:val="24"/>
        </w:rPr>
        <w:sectPr>
          <w:pgSz w:w="12240" w:h="15840"/>
          <w:pgMar w:header="0" w:footer="998" w:top="1360" w:bottom="1180" w:left="0" w:right="220"/>
        </w:sectPr>
      </w:pPr>
    </w:p>
    <w:p>
      <w:pPr>
        <w:pStyle w:val="ListParagraph"/>
        <w:numPr>
          <w:ilvl w:val="1"/>
          <w:numId w:val="2"/>
        </w:numPr>
        <w:tabs>
          <w:tab w:pos="2520" w:val="left" w:leader="none"/>
        </w:tabs>
        <w:spacing w:line="240" w:lineRule="auto" w:before="79" w:after="0"/>
        <w:ind w:left="2520" w:right="1279" w:hanging="360"/>
        <w:jc w:val="left"/>
        <w:rPr>
          <w:sz w:val="24"/>
        </w:rPr>
      </w:pPr>
      <w:bookmarkStart w:name="a. Provide premium subsidies for individ" w:id="71"/>
      <w:bookmarkEnd w:id="71"/>
      <w:r>
        <w:rPr/>
      </w:r>
      <w:r>
        <w:rPr>
          <w:sz w:val="24"/>
        </w:rPr>
        <w:t>Provide premium subsidies for individuals with incomes at or below 300 percent of the FPL who purchase health insurance through the Massachusetts Health Insurance Connector Authority (Health Connector).</w:t>
      </w:r>
      <w:r>
        <w:rPr>
          <w:spacing w:val="40"/>
          <w:sz w:val="24"/>
        </w:rPr>
        <w:t> </w:t>
      </w:r>
      <w:r>
        <w:rPr>
          <w:sz w:val="24"/>
        </w:rPr>
        <w:t>Subsidies will be provided on behalf of individuals</w:t>
      </w:r>
      <w:r>
        <w:rPr>
          <w:spacing w:val="-4"/>
          <w:sz w:val="24"/>
        </w:rPr>
        <w:t> </w:t>
      </w:r>
      <w:r>
        <w:rPr>
          <w:sz w:val="24"/>
        </w:rPr>
        <w:t>who:</w:t>
      </w:r>
      <w:r>
        <w:rPr>
          <w:spacing w:val="-4"/>
          <w:sz w:val="24"/>
        </w:rPr>
        <w:t> </w:t>
      </w:r>
      <w:r>
        <w:rPr>
          <w:sz w:val="24"/>
        </w:rPr>
        <w:t>(A)</w:t>
      </w:r>
      <w:r>
        <w:rPr>
          <w:spacing w:val="-5"/>
          <w:sz w:val="24"/>
        </w:rPr>
        <w:t> </w:t>
      </w:r>
      <w:r>
        <w:rPr>
          <w:sz w:val="24"/>
        </w:rPr>
        <w:t>are</w:t>
      </w:r>
      <w:r>
        <w:rPr>
          <w:spacing w:val="-3"/>
          <w:sz w:val="24"/>
        </w:rPr>
        <w:t> </w:t>
      </w:r>
      <w:r>
        <w:rPr>
          <w:sz w:val="24"/>
        </w:rPr>
        <w:t>not</w:t>
      </w:r>
      <w:r>
        <w:rPr>
          <w:spacing w:val="-4"/>
          <w:sz w:val="24"/>
        </w:rPr>
        <w:t> </w:t>
      </w:r>
      <w:r>
        <w:rPr>
          <w:sz w:val="24"/>
        </w:rPr>
        <w:t>Medicaid</w:t>
      </w:r>
      <w:r>
        <w:rPr>
          <w:spacing w:val="-4"/>
          <w:sz w:val="24"/>
        </w:rPr>
        <w:t> </w:t>
      </w:r>
      <w:r>
        <w:rPr>
          <w:sz w:val="24"/>
        </w:rPr>
        <w:t>eligible;</w:t>
      </w:r>
      <w:r>
        <w:rPr>
          <w:spacing w:val="-2"/>
          <w:sz w:val="24"/>
        </w:rPr>
        <w:t> </w:t>
      </w:r>
      <w:r>
        <w:rPr>
          <w:sz w:val="24"/>
        </w:rPr>
        <w:t>and</w:t>
      </w:r>
      <w:r>
        <w:rPr>
          <w:spacing w:val="-4"/>
          <w:sz w:val="24"/>
        </w:rPr>
        <w:t> </w:t>
      </w:r>
      <w:r>
        <w:rPr>
          <w:sz w:val="24"/>
        </w:rPr>
        <w:t>(B)</w:t>
      </w:r>
      <w:r>
        <w:rPr>
          <w:spacing w:val="-3"/>
          <w:sz w:val="24"/>
        </w:rPr>
        <w:t> </w:t>
      </w:r>
      <w:r>
        <w:rPr>
          <w:sz w:val="24"/>
        </w:rPr>
        <w:t>whose</w:t>
      </w:r>
      <w:r>
        <w:rPr>
          <w:spacing w:val="-5"/>
          <w:sz w:val="24"/>
        </w:rPr>
        <w:t> </w:t>
      </w:r>
      <w:r>
        <w:rPr>
          <w:sz w:val="24"/>
        </w:rPr>
        <w:t>income,</w:t>
      </w:r>
      <w:r>
        <w:rPr>
          <w:spacing w:val="-2"/>
          <w:sz w:val="24"/>
        </w:rPr>
        <w:t> </w:t>
      </w:r>
      <w:r>
        <w:rPr>
          <w:sz w:val="24"/>
        </w:rPr>
        <w:t>as</w:t>
      </w:r>
      <w:r>
        <w:rPr>
          <w:spacing w:val="-4"/>
          <w:sz w:val="24"/>
        </w:rPr>
        <w:t> </w:t>
      </w:r>
      <w:r>
        <w:rPr>
          <w:sz w:val="24"/>
        </w:rPr>
        <w:t>determined by the state, is at or below 300 percent of the FPL.</w:t>
      </w:r>
    </w:p>
    <w:p>
      <w:pPr>
        <w:pStyle w:val="BodyText"/>
        <w:spacing w:before="10"/>
        <w:rPr>
          <w:sz w:val="20"/>
        </w:rPr>
      </w:pPr>
    </w:p>
    <w:p>
      <w:pPr>
        <w:pStyle w:val="ListParagraph"/>
        <w:numPr>
          <w:ilvl w:val="1"/>
          <w:numId w:val="2"/>
        </w:numPr>
        <w:tabs>
          <w:tab w:pos="2520" w:val="left" w:leader="none"/>
        </w:tabs>
        <w:spacing w:line="240" w:lineRule="auto" w:before="0" w:after="0"/>
        <w:ind w:left="2520" w:right="1306" w:hanging="360"/>
        <w:jc w:val="left"/>
        <w:rPr>
          <w:sz w:val="24"/>
        </w:rPr>
      </w:pPr>
      <w:bookmarkStart w:name="b. Provide cost-sharing subsidies for in" w:id="72"/>
      <w:bookmarkEnd w:id="72"/>
      <w:r>
        <w:rPr/>
      </w:r>
      <w:r>
        <w:rPr>
          <w:sz w:val="24"/>
        </w:rPr>
        <w:t>Provide</w:t>
      </w:r>
      <w:r>
        <w:rPr>
          <w:spacing w:val="-6"/>
          <w:sz w:val="24"/>
        </w:rPr>
        <w:t> </w:t>
      </w:r>
      <w:r>
        <w:rPr>
          <w:sz w:val="24"/>
        </w:rPr>
        <w:t>cost-sharing</w:t>
      </w:r>
      <w:r>
        <w:rPr>
          <w:spacing w:val="-7"/>
          <w:sz w:val="24"/>
        </w:rPr>
        <w:t> </w:t>
      </w:r>
      <w:r>
        <w:rPr>
          <w:sz w:val="24"/>
        </w:rPr>
        <w:t>subsidies</w:t>
      </w:r>
      <w:r>
        <w:rPr>
          <w:spacing w:val="-4"/>
          <w:sz w:val="24"/>
        </w:rPr>
        <w:t> </w:t>
      </w:r>
      <w:r>
        <w:rPr>
          <w:sz w:val="24"/>
        </w:rPr>
        <w:t>for</w:t>
      </w:r>
      <w:r>
        <w:rPr>
          <w:spacing w:val="-5"/>
          <w:sz w:val="24"/>
        </w:rPr>
        <w:t> </w:t>
      </w:r>
      <w:r>
        <w:rPr>
          <w:sz w:val="24"/>
        </w:rPr>
        <w:t>individuals</w:t>
      </w:r>
      <w:r>
        <w:rPr>
          <w:spacing w:val="-4"/>
          <w:sz w:val="24"/>
        </w:rPr>
        <w:t> </w:t>
      </w:r>
      <w:r>
        <w:rPr>
          <w:sz w:val="24"/>
        </w:rPr>
        <w:t>who</w:t>
      </w:r>
      <w:r>
        <w:rPr>
          <w:spacing w:val="-15"/>
          <w:sz w:val="24"/>
        </w:rPr>
        <w:t> </w:t>
      </w:r>
      <w:r>
        <w:rPr>
          <w:sz w:val="24"/>
        </w:rPr>
        <w:t>purchase</w:t>
      </w:r>
      <w:r>
        <w:rPr>
          <w:spacing w:val="-5"/>
          <w:sz w:val="24"/>
        </w:rPr>
        <w:t> </w:t>
      </w:r>
      <w:r>
        <w:rPr>
          <w:sz w:val="24"/>
        </w:rPr>
        <w:t>health</w:t>
      </w:r>
      <w:r>
        <w:rPr>
          <w:spacing w:val="-4"/>
          <w:sz w:val="24"/>
        </w:rPr>
        <w:t> </w:t>
      </w:r>
      <w:r>
        <w:rPr>
          <w:sz w:val="24"/>
        </w:rPr>
        <w:t>insurance</w:t>
      </w:r>
      <w:r>
        <w:rPr>
          <w:spacing w:val="-5"/>
          <w:sz w:val="24"/>
        </w:rPr>
        <w:t> </w:t>
      </w:r>
      <w:r>
        <w:rPr>
          <w:sz w:val="24"/>
        </w:rPr>
        <w:t>through the Health Connector. Subsidies will be provided on behalf of individuals who: (A) are not Medicaid eligible; and (B) whose income, as determined by the Health Connector, is at or below 300 percent of the FPL.</w:t>
      </w:r>
    </w:p>
    <w:p>
      <w:pPr>
        <w:pStyle w:val="BodyText"/>
        <w:spacing w:before="10"/>
        <w:rPr>
          <w:sz w:val="20"/>
        </w:rPr>
      </w:pPr>
    </w:p>
    <w:p>
      <w:pPr>
        <w:pStyle w:val="ListParagraph"/>
        <w:numPr>
          <w:ilvl w:val="1"/>
          <w:numId w:val="2"/>
        </w:numPr>
        <w:tabs>
          <w:tab w:pos="2520" w:val="left" w:leader="none"/>
        </w:tabs>
        <w:spacing w:line="240" w:lineRule="auto" w:before="0" w:after="0"/>
        <w:ind w:left="2520" w:right="1337" w:hanging="360"/>
        <w:jc w:val="left"/>
        <w:rPr>
          <w:sz w:val="24"/>
        </w:rPr>
      </w:pPr>
      <w:r>
        <w:rPr>
          <w:sz w:val="24"/>
        </w:rPr>
        <w:t>Health</w:t>
      </w:r>
      <w:r>
        <w:rPr>
          <w:spacing w:val="-15"/>
          <w:sz w:val="24"/>
        </w:rPr>
        <w:t> </w:t>
      </w:r>
      <w:r>
        <w:rPr>
          <w:sz w:val="24"/>
        </w:rPr>
        <w:t>Connector</w:t>
      </w:r>
      <w:r>
        <w:rPr>
          <w:spacing w:val="-15"/>
          <w:sz w:val="24"/>
        </w:rPr>
        <w:t> </w:t>
      </w:r>
      <w:r>
        <w:rPr>
          <w:sz w:val="24"/>
        </w:rPr>
        <w:t>Gap</w:t>
      </w:r>
      <w:r>
        <w:rPr>
          <w:spacing w:val="-15"/>
          <w:sz w:val="24"/>
        </w:rPr>
        <w:t> </w:t>
      </w:r>
      <w:r>
        <w:rPr>
          <w:sz w:val="24"/>
        </w:rPr>
        <w:t>Coverage.</w:t>
      </w:r>
      <w:r>
        <w:rPr>
          <w:spacing w:val="-15"/>
          <w:sz w:val="24"/>
        </w:rPr>
        <w:t> </w:t>
      </w:r>
      <w:r>
        <w:rPr>
          <w:sz w:val="24"/>
        </w:rPr>
        <w:t>Expenditures</w:t>
      </w:r>
      <w:r>
        <w:rPr>
          <w:spacing w:val="-15"/>
          <w:sz w:val="24"/>
        </w:rPr>
        <w:t> </w:t>
      </w:r>
      <w:r>
        <w:rPr>
          <w:sz w:val="24"/>
        </w:rPr>
        <w:t>for</w:t>
      </w:r>
      <w:r>
        <w:rPr>
          <w:spacing w:val="-15"/>
          <w:sz w:val="24"/>
        </w:rPr>
        <w:t> </w:t>
      </w:r>
      <w:r>
        <w:rPr>
          <w:sz w:val="24"/>
        </w:rPr>
        <w:t>individuals</w:t>
      </w:r>
      <w:r>
        <w:rPr>
          <w:spacing w:val="-17"/>
          <w:sz w:val="24"/>
        </w:rPr>
        <w:t> </w:t>
      </w:r>
      <w:r>
        <w:rPr>
          <w:sz w:val="24"/>
        </w:rPr>
        <w:t>as</w:t>
      </w:r>
      <w:r>
        <w:rPr>
          <w:spacing w:val="-34"/>
          <w:sz w:val="24"/>
        </w:rPr>
        <w:t> </w:t>
      </w:r>
      <w:r>
        <w:rPr>
          <w:sz w:val="24"/>
        </w:rPr>
        <w:t>defined</w:t>
      </w:r>
      <w:r>
        <w:rPr>
          <w:spacing w:val="-34"/>
          <w:sz w:val="24"/>
        </w:rPr>
        <w:t> </w:t>
      </w:r>
      <w:r>
        <w:rPr>
          <w:sz w:val="24"/>
        </w:rPr>
        <w:t>in</w:t>
      </w:r>
      <w:r>
        <w:rPr>
          <w:spacing w:val="-34"/>
          <w:sz w:val="24"/>
        </w:rPr>
        <w:t> </w:t>
      </w:r>
      <w:r>
        <w:rPr>
          <w:sz w:val="24"/>
        </w:rPr>
        <w:t>STC</w:t>
      </w:r>
      <w:r>
        <w:rPr>
          <w:spacing w:val="-33"/>
          <w:sz w:val="24"/>
        </w:rPr>
        <w:t> </w:t>
      </w:r>
      <w:r>
        <w:rPr>
          <w:sz w:val="24"/>
        </w:rPr>
        <w:t>10.1 who</w:t>
      </w:r>
      <w:r>
        <w:rPr>
          <w:spacing w:val="-3"/>
          <w:sz w:val="24"/>
        </w:rPr>
        <w:t> </w:t>
      </w:r>
      <w:r>
        <w:rPr>
          <w:sz w:val="24"/>
        </w:rPr>
        <w:t>are</w:t>
      </w:r>
      <w:r>
        <w:rPr>
          <w:spacing w:val="-4"/>
          <w:sz w:val="24"/>
        </w:rPr>
        <w:t> </w:t>
      </w:r>
      <w:r>
        <w:rPr>
          <w:sz w:val="24"/>
        </w:rPr>
        <w:t>determined</w:t>
      </w:r>
      <w:r>
        <w:rPr>
          <w:spacing w:val="-1"/>
          <w:sz w:val="24"/>
        </w:rPr>
        <w:t> </w:t>
      </w:r>
      <w:r>
        <w:rPr>
          <w:sz w:val="24"/>
        </w:rPr>
        <w:t>eligible</w:t>
      </w:r>
      <w:r>
        <w:rPr>
          <w:spacing w:val="-4"/>
          <w:sz w:val="24"/>
        </w:rPr>
        <w:t> </w:t>
      </w:r>
      <w:r>
        <w:rPr>
          <w:sz w:val="24"/>
        </w:rPr>
        <w:t>QHP</w:t>
      </w:r>
      <w:r>
        <w:rPr>
          <w:spacing w:val="-3"/>
          <w:sz w:val="24"/>
        </w:rPr>
        <w:t> </w:t>
      </w:r>
      <w:r>
        <w:rPr>
          <w:sz w:val="24"/>
        </w:rPr>
        <w:t>coverage,</w:t>
      </w:r>
      <w:r>
        <w:rPr>
          <w:spacing w:val="-3"/>
          <w:sz w:val="24"/>
        </w:rPr>
        <w:t> </w:t>
      </w:r>
      <w:r>
        <w:rPr>
          <w:sz w:val="24"/>
        </w:rPr>
        <w:t>for</w:t>
      </w:r>
      <w:r>
        <w:rPr>
          <w:spacing w:val="-4"/>
          <w:sz w:val="24"/>
        </w:rPr>
        <w:t> </w:t>
      </w:r>
      <w:r>
        <w:rPr>
          <w:sz w:val="24"/>
        </w:rPr>
        <w:t>up</w:t>
      </w:r>
      <w:r>
        <w:rPr>
          <w:spacing w:val="-3"/>
          <w:sz w:val="24"/>
        </w:rPr>
        <w:t> </w:t>
      </w:r>
      <w:r>
        <w:rPr>
          <w:sz w:val="24"/>
        </w:rPr>
        <w:t>to</w:t>
      </w:r>
      <w:r>
        <w:rPr>
          <w:spacing w:val="-3"/>
          <w:sz w:val="24"/>
        </w:rPr>
        <w:t> </w:t>
      </w:r>
      <w:r>
        <w:rPr>
          <w:sz w:val="24"/>
        </w:rPr>
        <w:t>100</w:t>
      </w:r>
      <w:r>
        <w:rPr>
          <w:spacing w:val="-3"/>
          <w:sz w:val="24"/>
        </w:rPr>
        <w:t> </w:t>
      </w:r>
      <w:r>
        <w:rPr>
          <w:sz w:val="24"/>
        </w:rPr>
        <w:t>days</w:t>
      </w:r>
      <w:r>
        <w:rPr>
          <w:spacing w:val="-3"/>
          <w:sz w:val="24"/>
        </w:rPr>
        <w:t> </w:t>
      </w:r>
      <w:r>
        <w:rPr>
          <w:sz w:val="24"/>
        </w:rPr>
        <w:t>while</w:t>
      </w:r>
      <w:r>
        <w:rPr>
          <w:spacing w:val="-4"/>
          <w:sz w:val="24"/>
        </w:rPr>
        <w:t> </w:t>
      </w:r>
      <w:r>
        <w:rPr>
          <w:sz w:val="24"/>
        </w:rPr>
        <w:t>they</w:t>
      </w:r>
      <w:r>
        <w:rPr>
          <w:spacing w:val="-6"/>
          <w:sz w:val="24"/>
        </w:rPr>
        <w:t> </w:t>
      </w:r>
      <w:r>
        <w:rPr>
          <w:sz w:val="24"/>
        </w:rPr>
        <w:t>select,</w:t>
      </w:r>
      <w:r>
        <w:rPr>
          <w:spacing w:val="-3"/>
          <w:sz w:val="24"/>
        </w:rPr>
        <w:t> </w:t>
      </w:r>
      <w:r>
        <w:rPr>
          <w:sz w:val="24"/>
        </w:rPr>
        <w:t>pay and enroll into a health plan.</w:t>
      </w:r>
    </w:p>
    <w:p>
      <w:pPr>
        <w:pStyle w:val="BodyText"/>
        <w:spacing w:before="10"/>
        <w:rPr>
          <w:sz w:val="20"/>
        </w:rPr>
      </w:pPr>
    </w:p>
    <w:p>
      <w:pPr>
        <w:pStyle w:val="ListParagraph"/>
        <w:numPr>
          <w:ilvl w:val="0"/>
          <w:numId w:val="2"/>
        </w:numPr>
        <w:tabs>
          <w:tab w:pos="1800" w:val="left" w:leader="none"/>
        </w:tabs>
        <w:spacing w:line="240" w:lineRule="auto" w:before="0" w:after="0"/>
        <w:ind w:left="1800" w:right="1368" w:hanging="480"/>
        <w:jc w:val="left"/>
        <w:rPr>
          <w:sz w:val="24"/>
        </w:rPr>
      </w:pPr>
      <w:bookmarkStart w:name="22. Health- Related Social Needs (HRSN) " w:id="73"/>
      <w:bookmarkEnd w:id="73"/>
      <w:r>
        <w:rPr/>
      </w:r>
      <w:r>
        <w:rPr>
          <w:b/>
          <w:sz w:val="24"/>
        </w:rPr>
        <w:t>Health- Related Social Needs (HRSN) Services. </w:t>
      </w:r>
      <w:r>
        <w:rPr>
          <w:sz w:val="24"/>
        </w:rPr>
        <w:t>Expenditures for health-related social needs services not otherwise covered furnished to individuals who meet the qualifying criteria</w:t>
      </w:r>
      <w:r>
        <w:rPr>
          <w:spacing w:val="-2"/>
          <w:sz w:val="24"/>
        </w:rPr>
        <w:t> </w:t>
      </w:r>
      <w:r>
        <w:rPr>
          <w:sz w:val="24"/>
        </w:rPr>
        <w:t>as</w:t>
      </w:r>
      <w:r>
        <w:rPr>
          <w:spacing w:val="-3"/>
          <w:sz w:val="24"/>
        </w:rPr>
        <w:t> </w:t>
      </w:r>
      <w:r>
        <w:rPr>
          <w:sz w:val="24"/>
        </w:rPr>
        <w:t>described</w:t>
      </w:r>
      <w:r>
        <w:rPr>
          <w:spacing w:val="-3"/>
          <w:sz w:val="24"/>
        </w:rPr>
        <w:t> </w:t>
      </w:r>
      <w:r>
        <w:rPr>
          <w:sz w:val="24"/>
        </w:rPr>
        <w:t>in</w:t>
      </w:r>
      <w:r>
        <w:rPr>
          <w:spacing w:val="-4"/>
          <w:sz w:val="24"/>
        </w:rPr>
        <w:t> </w:t>
      </w:r>
      <w:r>
        <w:rPr>
          <w:sz w:val="24"/>
        </w:rPr>
        <w:t>Section</w:t>
      </w:r>
      <w:r>
        <w:rPr>
          <w:spacing w:val="-3"/>
          <w:sz w:val="24"/>
        </w:rPr>
        <w:t> </w:t>
      </w:r>
      <w:r>
        <w:rPr>
          <w:sz w:val="24"/>
        </w:rPr>
        <w:t>15</w:t>
      </w:r>
      <w:r>
        <w:rPr>
          <w:spacing w:val="-3"/>
          <w:sz w:val="24"/>
        </w:rPr>
        <w:t> </w:t>
      </w:r>
      <w:r>
        <w:rPr>
          <w:sz w:val="24"/>
        </w:rPr>
        <w:t>of</w:t>
      </w:r>
      <w:r>
        <w:rPr>
          <w:spacing w:val="-4"/>
          <w:sz w:val="24"/>
        </w:rPr>
        <w:t> </w:t>
      </w:r>
      <w:r>
        <w:rPr>
          <w:sz w:val="24"/>
        </w:rPr>
        <w:t>the</w:t>
      </w:r>
      <w:r>
        <w:rPr>
          <w:spacing w:val="-4"/>
          <w:sz w:val="24"/>
        </w:rPr>
        <w:t> </w:t>
      </w:r>
      <w:r>
        <w:rPr>
          <w:sz w:val="24"/>
        </w:rPr>
        <w:t>STCs.</w:t>
      </w:r>
      <w:r>
        <w:rPr>
          <w:spacing w:val="40"/>
          <w:sz w:val="24"/>
        </w:rPr>
        <w:t> </w:t>
      </w:r>
      <w:r>
        <w:rPr>
          <w:sz w:val="24"/>
        </w:rPr>
        <w:t>This</w:t>
      </w:r>
      <w:r>
        <w:rPr>
          <w:spacing w:val="-3"/>
          <w:sz w:val="24"/>
        </w:rPr>
        <w:t> </w:t>
      </w:r>
      <w:r>
        <w:rPr>
          <w:sz w:val="24"/>
        </w:rPr>
        <w:t>authority</w:t>
      </w:r>
      <w:r>
        <w:rPr>
          <w:spacing w:val="-7"/>
          <w:sz w:val="24"/>
        </w:rPr>
        <w:t> </w:t>
      </w:r>
      <w:r>
        <w:rPr>
          <w:sz w:val="24"/>
        </w:rPr>
        <w:t>is</w:t>
      </w:r>
      <w:r>
        <w:rPr>
          <w:spacing w:val="-3"/>
          <w:sz w:val="24"/>
        </w:rPr>
        <w:t> </w:t>
      </w:r>
      <w:r>
        <w:rPr>
          <w:sz w:val="24"/>
        </w:rPr>
        <w:t>contingent</w:t>
      </w:r>
      <w:r>
        <w:rPr>
          <w:spacing w:val="-3"/>
          <w:sz w:val="24"/>
        </w:rPr>
        <w:t> </w:t>
      </w:r>
      <w:r>
        <w:rPr>
          <w:sz w:val="24"/>
        </w:rPr>
        <w:t>upon</w:t>
      </w:r>
      <w:r>
        <w:rPr>
          <w:spacing w:val="-3"/>
          <w:sz w:val="24"/>
        </w:rPr>
        <w:t> </w:t>
      </w:r>
      <w:r>
        <w:rPr>
          <w:sz w:val="24"/>
        </w:rPr>
        <w:t>adherence to the requirements within Section 21 of the STC, as well as all other applicable STCs.</w:t>
      </w:r>
    </w:p>
    <w:p>
      <w:pPr>
        <w:pStyle w:val="BodyText"/>
        <w:spacing w:before="10"/>
        <w:rPr>
          <w:sz w:val="20"/>
        </w:rPr>
      </w:pPr>
    </w:p>
    <w:p>
      <w:pPr>
        <w:pStyle w:val="ListParagraph"/>
        <w:numPr>
          <w:ilvl w:val="1"/>
          <w:numId w:val="2"/>
        </w:numPr>
        <w:tabs>
          <w:tab w:pos="2519" w:val="left" w:leader="none"/>
        </w:tabs>
        <w:spacing w:line="240" w:lineRule="auto" w:before="0" w:after="0"/>
        <w:ind w:left="2519" w:right="1486" w:hanging="360"/>
        <w:jc w:val="left"/>
        <w:rPr>
          <w:sz w:val="24"/>
        </w:rPr>
      </w:pPr>
      <w:bookmarkStart w:name="a. Time-limited authority for the Common" w:id="74"/>
      <w:bookmarkEnd w:id="74"/>
      <w:r>
        <w:rPr/>
      </w:r>
      <w:r>
        <w:rPr>
          <w:sz w:val="24"/>
        </w:rPr>
        <w:t>Time-limited authority for the Commonwealth to continue providing Flexible Services under its existing Flexible Services program without adherence to the delivery system expectations within Section 15, STC 15.7 through 15.9, as well as 15.15(b), of the STC for both managed care and, if applicable, fee-for-service delivery systems, until January 1, 2025, as described in STC 15.7.</w:t>
      </w:r>
      <w:r>
        <w:rPr>
          <w:spacing w:val="40"/>
          <w:sz w:val="24"/>
        </w:rPr>
        <w:t> </w:t>
      </w:r>
      <w:r>
        <w:rPr>
          <w:sz w:val="24"/>
        </w:rPr>
        <w:t>Delivery of Flexible Services must fully comply with Section 15 of the STCs and applicable regulations</w:t>
      </w:r>
      <w:r>
        <w:rPr>
          <w:spacing w:val="-4"/>
          <w:sz w:val="24"/>
        </w:rPr>
        <w:t> </w:t>
      </w:r>
      <w:r>
        <w:rPr>
          <w:sz w:val="24"/>
        </w:rPr>
        <w:t>for</w:t>
      </w:r>
      <w:r>
        <w:rPr>
          <w:spacing w:val="-4"/>
          <w:sz w:val="24"/>
        </w:rPr>
        <w:t> </w:t>
      </w:r>
      <w:r>
        <w:rPr>
          <w:sz w:val="24"/>
        </w:rPr>
        <w:t>managed</w:t>
      </w:r>
      <w:r>
        <w:rPr>
          <w:spacing w:val="-2"/>
          <w:sz w:val="24"/>
        </w:rPr>
        <w:t> </w:t>
      </w:r>
      <w:r>
        <w:rPr>
          <w:sz w:val="24"/>
        </w:rPr>
        <w:t>care</w:t>
      </w:r>
      <w:r>
        <w:rPr>
          <w:spacing w:val="-3"/>
          <w:sz w:val="24"/>
        </w:rPr>
        <w:t> </w:t>
      </w:r>
      <w:r>
        <w:rPr>
          <w:sz w:val="24"/>
        </w:rPr>
        <w:t>and,</w:t>
      </w:r>
      <w:r>
        <w:rPr>
          <w:spacing w:val="-4"/>
          <w:sz w:val="24"/>
        </w:rPr>
        <w:t> </w:t>
      </w:r>
      <w:r>
        <w:rPr>
          <w:sz w:val="24"/>
        </w:rPr>
        <w:t>if</w:t>
      </w:r>
      <w:r>
        <w:rPr>
          <w:spacing w:val="-4"/>
          <w:sz w:val="24"/>
        </w:rPr>
        <w:t> </w:t>
      </w:r>
      <w:r>
        <w:rPr>
          <w:sz w:val="24"/>
        </w:rPr>
        <w:t>applicable,</w:t>
      </w:r>
      <w:r>
        <w:rPr>
          <w:spacing w:val="-4"/>
          <w:sz w:val="24"/>
        </w:rPr>
        <w:t> </w:t>
      </w:r>
      <w:r>
        <w:rPr>
          <w:sz w:val="24"/>
        </w:rPr>
        <w:t>fee-for-service</w:t>
      </w:r>
      <w:r>
        <w:rPr>
          <w:spacing w:val="-4"/>
          <w:sz w:val="24"/>
        </w:rPr>
        <w:t> </w:t>
      </w:r>
      <w:r>
        <w:rPr>
          <w:sz w:val="24"/>
        </w:rPr>
        <w:t>delivery</w:t>
      </w:r>
      <w:r>
        <w:rPr>
          <w:spacing w:val="-8"/>
          <w:sz w:val="24"/>
        </w:rPr>
        <w:t> </w:t>
      </w:r>
      <w:r>
        <w:rPr>
          <w:sz w:val="24"/>
        </w:rPr>
        <w:t>systems</w:t>
      </w:r>
      <w:r>
        <w:rPr>
          <w:spacing w:val="-4"/>
          <w:sz w:val="24"/>
        </w:rPr>
        <w:t> </w:t>
      </w:r>
      <w:r>
        <w:rPr>
          <w:sz w:val="24"/>
        </w:rPr>
        <w:t>no later than January 1, 2025.</w:t>
      </w:r>
    </w:p>
    <w:p>
      <w:pPr>
        <w:pStyle w:val="BodyText"/>
        <w:spacing w:before="10"/>
        <w:rPr>
          <w:sz w:val="20"/>
        </w:rPr>
      </w:pPr>
    </w:p>
    <w:p>
      <w:pPr>
        <w:pStyle w:val="ListParagraph"/>
        <w:numPr>
          <w:ilvl w:val="0"/>
          <w:numId w:val="2"/>
        </w:numPr>
        <w:tabs>
          <w:tab w:pos="1800" w:val="left" w:leader="none"/>
        </w:tabs>
        <w:spacing w:line="240" w:lineRule="auto" w:before="0" w:after="0"/>
        <w:ind w:left="1800" w:right="1274" w:hanging="480"/>
        <w:jc w:val="left"/>
        <w:rPr>
          <w:sz w:val="24"/>
        </w:rPr>
      </w:pPr>
      <w:bookmarkStart w:name="23. Expenditures for HRSN Services Infra" w:id="75"/>
      <w:bookmarkEnd w:id="75"/>
      <w:r>
        <w:rPr/>
      </w:r>
      <w:r>
        <w:rPr>
          <w:b/>
          <w:sz w:val="24"/>
        </w:rPr>
        <w:t>Expenditures</w:t>
      </w:r>
      <w:r>
        <w:rPr>
          <w:b/>
          <w:spacing w:val="-4"/>
          <w:sz w:val="24"/>
        </w:rPr>
        <w:t> </w:t>
      </w:r>
      <w:r>
        <w:rPr>
          <w:b/>
          <w:sz w:val="24"/>
        </w:rPr>
        <w:t>for</w:t>
      </w:r>
      <w:r>
        <w:rPr>
          <w:b/>
          <w:spacing w:val="-5"/>
          <w:sz w:val="24"/>
        </w:rPr>
        <w:t> </w:t>
      </w:r>
      <w:r>
        <w:rPr>
          <w:b/>
          <w:sz w:val="24"/>
        </w:rPr>
        <w:t>HRSN</w:t>
      </w:r>
      <w:r>
        <w:rPr>
          <w:b/>
          <w:spacing w:val="-5"/>
          <w:sz w:val="24"/>
        </w:rPr>
        <w:t> </w:t>
      </w:r>
      <w:r>
        <w:rPr>
          <w:b/>
          <w:sz w:val="24"/>
        </w:rPr>
        <w:t>Services</w:t>
      </w:r>
      <w:r>
        <w:rPr>
          <w:b/>
          <w:spacing w:val="-4"/>
          <w:sz w:val="24"/>
        </w:rPr>
        <w:t> </w:t>
      </w:r>
      <w:r>
        <w:rPr>
          <w:b/>
          <w:sz w:val="24"/>
        </w:rPr>
        <w:t>Infrastructure.</w:t>
      </w:r>
      <w:r>
        <w:rPr>
          <w:b/>
          <w:spacing w:val="-5"/>
          <w:sz w:val="24"/>
        </w:rPr>
        <w:t> </w:t>
      </w:r>
      <w:r>
        <w:rPr>
          <w:sz w:val="24"/>
        </w:rPr>
        <w:t>Expenditures</w:t>
      </w:r>
      <w:r>
        <w:rPr>
          <w:spacing w:val="-4"/>
          <w:sz w:val="24"/>
        </w:rPr>
        <w:t> </w:t>
      </w:r>
      <w:r>
        <w:rPr>
          <w:sz w:val="24"/>
        </w:rPr>
        <w:t>for</w:t>
      </w:r>
      <w:r>
        <w:rPr>
          <w:spacing w:val="-5"/>
          <w:sz w:val="24"/>
        </w:rPr>
        <w:t> </w:t>
      </w:r>
      <w:r>
        <w:rPr>
          <w:sz w:val="24"/>
        </w:rPr>
        <w:t>payments</w:t>
      </w:r>
      <w:r>
        <w:rPr>
          <w:spacing w:val="-4"/>
          <w:sz w:val="24"/>
        </w:rPr>
        <w:t> </w:t>
      </w:r>
      <w:r>
        <w:rPr>
          <w:sz w:val="24"/>
        </w:rPr>
        <w:t>for</w:t>
      </w:r>
      <w:r>
        <w:rPr>
          <w:spacing w:val="-5"/>
          <w:sz w:val="24"/>
        </w:rPr>
        <w:t> </w:t>
      </w:r>
      <w:r>
        <w:rPr>
          <w:sz w:val="24"/>
        </w:rPr>
        <w:t>allowable administrative costs and infrastructure</w:t>
      </w:r>
      <w:r>
        <w:rPr>
          <w:spacing w:val="40"/>
          <w:sz w:val="24"/>
        </w:rPr>
        <w:t> </w:t>
      </w:r>
      <w:r>
        <w:rPr>
          <w:sz w:val="24"/>
        </w:rPr>
        <w:t>not otherwise eligible for Medicaid payment, to the extent</w:t>
      </w:r>
      <w:r>
        <w:rPr>
          <w:spacing w:val="-1"/>
          <w:sz w:val="24"/>
        </w:rPr>
        <w:t> </w:t>
      </w:r>
      <w:r>
        <w:rPr>
          <w:sz w:val="24"/>
        </w:rPr>
        <w:t>such</w:t>
      </w:r>
      <w:r>
        <w:rPr>
          <w:spacing w:val="-1"/>
          <w:sz w:val="24"/>
        </w:rPr>
        <w:t> </w:t>
      </w:r>
      <w:r>
        <w:rPr>
          <w:sz w:val="24"/>
        </w:rPr>
        <w:t>activities</w:t>
      </w:r>
      <w:r>
        <w:rPr>
          <w:spacing w:val="-1"/>
          <w:sz w:val="24"/>
        </w:rPr>
        <w:t> </w:t>
      </w:r>
      <w:r>
        <w:rPr>
          <w:sz w:val="24"/>
        </w:rPr>
        <w:t>are authorized</w:t>
      </w:r>
      <w:r>
        <w:rPr>
          <w:spacing w:val="-1"/>
          <w:sz w:val="24"/>
        </w:rPr>
        <w:t> </w:t>
      </w:r>
      <w:r>
        <w:rPr>
          <w:sz w:val="24"/>
        </w:rPr>
        <w:t>in</w:t>
      </w:r>
      <w:r>
        <w:rPr>
          <w:spacing w:val="-1"/>
          <w:sz w:val="24"/>
        </w:rPr>
        <w:t> </w:t>
      </w:r>
      <w:r>
        <w:rPr>
          <w:sz w:val="24"/>
        </w:rPr>
        <w:t>Section</w:t>
      </w:r>
      <w:r>
        <w:rPr>
          <w:spacing w:val="-1"/>
          <w:sz w:val="24"/>
        </w:rPr>
        <w:t> </w:t>
      </w:r>
      <w:r>
        <w:rPr>
          <w:sz w:val="24"/>
        </w:rPr>
        <w:t>15</w:t>
      </w:r>
      <w:r>
        <w:rPr>
          <w:spacing w:val="-1"/>
          <w:sz w:val="24"/>
        </w:rPr>
        <w:t> </w:t>
      </w:r>
      <w:r>
        <w:rPr>
          <w:sz w:val="24"/>
        </w:rPr>
        <w:t>of</w:t>
      </w:r>
      <w:r>
        <w:rPr>
          <w:spacing w:val="-2"/>
          <w:sz w:val="24"/>
        </w:rPr>
        <w:t> </w:t>
      </w:r>
      <w:r>
        <w:rPr>
          <w:sz w:val="24"/>
        </w:rPr>
        <w:t>the</w:t>
      </w:r>
      <w:r>
        <w:rPr>
          <w:spacing w:val="-2"/>
          <w:sz w:val="24"/>
        </w:rPr>
        <w:t> </w:t>
      </w:r>
      <w:r>
        <w:rPr>
          <w:sz w:val="24"/>
        </w:rPr>
        <w:t>STCs.</w:t>
      </w:r>
      <w:r>
        <w:rPr>
          <w:spacing w:val="40"/>
          <w:sz w:val="24"/>
        </w:rPr>
        <w:t> </w:t>
      </w:r>
      <w:r>
        <w:rPr>
          <w:sz w:val="24"/>
        </w:rPr>
        <w:t>This</w:t>
      </w:r>
      <w:r>
        <w:rPr>
          <w:spacing w:val="-1"/>
          <w:sz w:val="24"/>
        </w:rPr>
        <w:t> </w:t>
      </w:r>
      <w:r>
        <w:rPr>
          <w:sz w:val="24"/>
        </w:rPr>
        <w:t>expenditure</w:t>
      </w:r>
      <w:r>
        <w:rPr>
          <w:spacing w:val="-2"/>
          <w:sz w:val="24"/>
        </w:rPr>
        <w:t> </w:t>
      </w:r>
      <w:r>
        <w:rPr>
          <w:sz w:val="24"/>
        </w:rPr>
        <w:t>authority</w:t>
      </w:r>
      <w:r>
        <w:rPr>
          <w:spacing w:val="-6"/>
          <w:sz w:val="24"/>
        </w:rPr>
        <w:t> </w:t>
      </w:r>
      <w:r>
        <w:rPr>
          <w:sz w:val="24"/>
        </w:rPr>
        <w:t>is contingent upon adherence to the requirements within Section 21 of the STCs, as well as all other applicable STCs.</w:t>
      </w:r>
    </w:p>
    <w:p>
      <w:pPr>
        <w:pStyle w:val="BodyText"/>
        <w:spacing w:before="10"/>
        <w:rPr>
          <w:sz w:val="20"/>
        </w:rPr>
      </w:pPr>
    </w:p>
    <w:p>
      <w:pPr>
        <w:pStyle w:val="ListParagraph"/>
        <w:numPr>
          <w:ilvl w:val="0"/>
          <w:numId w:val="2"/>
        </w:numPr>
        <w:tabs>
          <w:tab w:pos="1800" w:val="left" w:leader="none"/>
        </w:tabs>
        <w:spacing w:line="240" w:lineRule="auto" w:before="1" w:after="0"/>
        <w:ind w:left="1800" w:right="1323" w:hanging="480"/>
        <w:jc w:val="left"/>
        <w:rPr>
          <w:sz w:val="24"/>
        </w:rPr>
      </w:pPr>
      <w:bookmarkStart w:name="24. Workforce Initiatives.  Expenditures" w:id="76"/>
      <w:bookmarkEnd w:id="76"/>
      <w:r>
        <w:rPr/>
      </w:r>
      <w:r>
        <w:rPr>
          <w:b/>
          <w:sz w:val="24"/>
        </w:rPr>
        <w:t>Workforce</w:t>
      </w:r>
      <w:r>
        <w:rPr>
          <w:b/>
          <w:spacing w:val="-5"/>
          <w:sz w:val="24"/>
        </w:rPr>
        <w:t> </w:t>
      </w:r>
      <w:r>
        <w:rPr>
          <w:b/>
          <w:sz w:val="24"/>
        </w:rPr>
        <w:t>Initiatives.</w:t>
      </w:r>
      <w:r>
        <w:rPr>
          <w:b/>
          <w:spacing w:val="40"/>
          <w:sz w:val="24"/>
        </w:rPr>
        <w:t> </w:t>
      </w:r>
      <w:r>
        <w:rPr>
          <w:sz w:val="24"/>
        </w:rPr>
        <w:t>Expenditures</w:t>
      </w:r>
      <w:r>
        <w:rPr>
          <w:spacing w:val="-4"/>
          <w:sz w:val="24"/>
        </w:rPr>
        <w:t> </w:t>
      </w:r>
      <w:r>
        <w:rPr>
          <w:sz w:val="24"/>
        </w:rPr>
        <w:t>for</w:t>
      </w:r>
      <w:r>
        <w:rPr>
          <w:spacing w:val="-5"/>
          <w:sz w:val="24"/>
        </w:rPr>
        <w:t> </w:t>
      </w:r>
      <w:r>
        <w:rPr>
          <w:sz w:val="24"/>
        </w:rPr>
        <w:t>behavioral</w:t>
      </w:r>
      <w:r>
        <w:rPr>
          <w:spacing w:val="-4"/>
          <w:sz w:val="24"/>
        </w:rPr>
        <w:t> </w:t>
      </w:r>
      <w:r>
        <w:rPr>
          <w:sz w:val="24"/>
        </w:rPr>
        <w:t>health</w:t>
      </w:r>
      <w:r>
        <w:rPr>
          <w:spacing w:val="-4"/>
          <w:sz w:val="24"/>
        </w:rPr>
        <w:t> </w:t>
      </w:r>
      <w:r>
        <w:rPr>
          <w:sz w:val="24"/>
        </w:rPr>
        <w:t>student</w:t>
      </w:r>
      <w:r>
        <w:rPr>
          <w:spacing w:val="-4"/>
          <w:sz w:val="24"/>
        </w:rPr>
        <w:t> </w:t>
      </w:r>
      <w:r>
        <w:rPr>
          <w:sz w:val="24"/>
        </w:rPr>
        <w:t>loan</w:t>
      </w:r>
      <w:r>
        <w:rPr>
          <w:spacing w:val="-4"/>
          <w:sz w:val="24"/>
        </w:rPr>
        <w:t> </w:t>
      </w:r>
      <w:r>
        <w:rPr>
          <w:sz w:val="24"/>
        </w:rPr>
        <w:t>repayment,</w:t>
      </w:r>
      <w:r>
        <w:rPr>
          <w:spacing w:val="-4"/>
          <w:sz w:val="24"/>
        </w:rPr>
        <w:t> </w:t>
      </w:r>
      <w:r>
        <w:rPr>
          <w:sz w:val="24"/>
        </w:rPr>
        <w:t>primary care provider student loan repayment and family nurse practitioner residency programs that meet the criteria as specified in Section 13 of the STCs.</w:t>
      </w:r>
    </w:p>
    <w:p>
      <w:pPr>
        <w:pStyle w:val="BodyText"/>
        <w:spacing w:before="10"/>
        <w:rPr>
          <w:sz w:val="20"/>
        </w:rPr>
      </w:pPr>
    </w:p>
    <w:p>
      <w:pPr>
        <w:pStyle w:val="ListParagraph"/>
        <w:numPr>
          <w:ilvl w:val="1"/>
          <w:numId w:val="2"/>
        </w:numPr>
        <w:tabs>
          <w:tab w:pos="2520" w:val="left" w:leader="none"/>
        </w:tabs>
        <w:spacing w:line="240" w:lineRule="auto" w:before="0" w:after="0"/>
        <w:ind w:left="2520" w:right="1282" w:hanging="360"/>
        <w:jc w:val="left"/>
        <w:rPr>
          <w:sz w:val="24"/>
        </w:rPr>
      </w:pPr>
      <w:bookmarkStart w:name="a. Time limited expenditure authority is" w:id="77"/>
      <w:bookmarkEnd w:id="77"/>
      <w:r>
        <w:rPr/>
      </w:r>
      <w:r>
        <w:rPr>
          <w:sz w:val="24"/>
        </w:rPr>
        <w:t>Time limited expenditure authority is granted until four years following the conclusion</w:t>
      </w:r>
      <w:r>
        <w:rPr>
          <w:spacing w:val="-3"/>
          <w:sz w:val="24"/>
        </w:rPr>
        <w:t> </w:t>
      </w:r>
      <w:r>
        <w:rPr>
          <w:sz w:val="24"/>
        </w:rPr>
        <w:t>of</w:t>
      </w:r>
      <w:r>
        <w:rPr>
          <w:spacing w:val="-4"/>
          <w:sz w:val="24"/>
        </w:rPr>
        <w:t> </w:t>
      </w:r>
      <w:r>
        <w:rPr>
          <w:sz w:val="24"/>
        </w:rPr>
        <w:t>the</w:t>
      </w:r>
      <w:r>
        <w:rPr>
          <w:spacing w:val="-4"/>
          <w:sz w:val="24"/>
        </w:rPr>
        <w:t> </w:t>
      </w:r>
      <w:r>
        <w:rPr>
          <w:sz w:val="24"/>
        </w:rPr>
        <w:t>Workforce</w:t>
      </w:r>
      <w:r>
        <w:rPr>
          <w:spacing w:val="-2"/>
          <w:sz w:val="24"/>
        </w:rPr>
        <w:t> </w:t>
      </w:r>
      <w:r>
        <w:rPr>
          <w:sz w:val="24"/>
        </w:rPr>
        <w:t>Initiatives,</w:t>
      </w:r>
      <w:r>
        <w:rPr>
          <w:spacing w:val="-3"/>
          <w:sz w:val="24"/>
        </w:rPr>
        <w:t> </w:t>
      </w:r>
      <w:r>
        <w:rPr>
          <w:sz w:val="24"/>
        </w:rPr>
        <w:t>in</w:t>
      </w:r>
      <w:r>
        <w:rPr>
          <w:spacing w:val="-3"/>
          <w:sz w:val="24"/>
        </w:rPr>
        <w:t> </w:t>
      </w:r>
      <w:r>
        <w:rPr>
          <w:sz w:val="24"/>
        </w:rPr>
        <w:t>order</w:t>
      </w:r>
      <w:r>
        <w:rPr>
          <w:spacing w:val="-4"/>
          <w:sz w:val="24"/>
        </w:rPr>
        <w:t> </w:t>
      </w:r>
      <w:r>
        <w:rPr>
          <w:sz w:val="24"/>
        </w:rPr>
        <w:t>for</w:t>
      </w:r>
      <w:r>
        <w:rPr>
          <w:spacing w:val="-4"/>
          <w:sz w:val="24"/>
        </w:rPr>
        <w:t> </w:t>
      </w:r>
      <w:r>
        <w:rPr>
          <w:sz w:val="24"/>
        </w:rPr>
        <w:t>the</w:t>
      </w:r>
      <w:r>
        <w:rPr>
          <w:spacing w:val="-4"/>
          <w:sz w:val="24"/>
        </w:rPr>
        <w:t> </w:t>
      </w:r>
      <w:r>
        <w:rPr>
          <w:sz w:val="24"/>
        </w:rPr>
        <w:t>Commonwealth</w:t>
      </w:r>
      <w:r>
        <w:rPr>
          <w:spacing w:val="-3"/>
          <w:sz w:val="24"/>
        </w:rPr>
        <w:t> </w:t>
      </w:r>
      <w:r>
        <w:rPr>
          <w:sz w:val="24"/>
        </w:rPr>
        <w:t>to</w:t>
      </w:r>
      <w:r>
        <w:rPr>
          <w:spacing w:val="-3"/>
          <w:sz w:val="24"/>
        </w:rPr>
        <w:t> </w:t>
      </w:r>
      <w:r>
        <w:rPr>
          <w:sz w:val="24"/>
        </w:rPr>
        <w:t>pay</w:t>
      </w:r>
      <w:r>
        <w:rPr>
          <w:spacing w:val="-6"/>
          <w:sz w:val="24"/>
        </w:rPr>
        <w:t> </w:t>
      </w:r>
      <w:r>
        <w:rPr>
          <w:sz w:val="24"/>
        </w:rPr>
        <w:t>close- out administrative costs of operating the program and monitoring service </w:t>
      </w:r>
      <w:r>
        <w:rPr>
          <w:spacing w:val="-2"/>
          <w:sz w:val="24"/>
        </w:rPr>
        <w:t>commitments.</w:t>
      </w:r>
    </w:p>
    <w:p>
      <w:pPr>
        <w:pStyle w:val="BodyText"/>
        <w:spacing w:before="10"/>
        <w:rPr>
          <w:sz w:val="20"/>
        </w:rPr>
      </w:pPr>
    </w:p>
    <w:p>
      <w:pPr>
        <w:pStyle w:val="ListParagraph"/>
        <w:numPr>
          <w:ilvl w:val="0"/>
          <w:numId w:val="2"/>
        </w:numPr>
        <w:tabs>
          <w:tab w:pos="1799" w:val="left" w:leader="none"/>
        </w:tabs>
        <w:spacing w:line="240" w:lineRule="auto" w:before="0" w:after="0"/>
        <w:ind w:left="1799" w:right="1568" w:hanging="480"/>
        <w:jc w:val="left"/>
        <w:rPr>
          <w:sz w:val="24"/>
        </w:rPr>
      </w:pPr>
      <w:bookmarkStart w:name="25. Hospital Quality and Equity Initiati" w:id="78"/>
      <w:bookmarkEnd w:id="78"/>
      <w:r>
        <w:rPr/>
      </w:r>
      <w:r>
        <w:rPr>
          <w:b/>
          <w:sz w:val="24"/>
        </w:rPr>
        <w:t>Hospital Quality and Equity Initiative.</w:t>
      </w:r>
      <w:r>
        <w:rPr>
          <w:b/>
          <w:spacing w:val="40"/>
          <w:sz w:val="24"/>
        </w:rPr>
        <w:t> </w:t>
      </w:r>
      <w:r>
        <w:rPr>
          <w:sz w:val="24"/>
        </w:rPr>
        <w:t>Expenditures for incentive payments to participating private acute hospitals and the Cambrige Health Alliance for meeting data collection</w:t>
      </w:r>
      <w:r>
        <w:rPr>
          <w:spacing w:val="-5"/>
          <w:sz w:val="24"/>
        </w:rPr>
        <w:t> </w:t>
      </w:r>
      <w:r>
        <w:rPr>
          <w:sz w:val="24"/>
        </w:rPr>
        <w:t>requirements,</w:t>
      </w:r>
      <w:r>
        <w:rPr>
          <w:spacing w:val="-5"/>
          <w:sz w:val="24"/>
        </w:rPr>
        <w:t> </w:t>
      </w:r>
      <w:r>
        <w:rPr>
          <w:sz w:val="24"/>
        </w:rPr>
        <w:t>reporting</w:t>
      </w:r>
      <w:r>
        <w:rPr>
          <w:spacing w:val="-7"/>
          <w:sz w:val="24"/>
        </w:rPr>
        <w:t> </w:t>
      </w:r>
      <w:r>
        <w:rPr>
          <w:sz w:val="24"/>
        </w:rPr>
        <w:t>expectations,</w:t>
      </w:r>
      <w:r>
        <w:rPr>
          <w:spacing w:val="-5"/>
          <w:sz w:val="24"/>
        </w:rPr>
        <w:t> </w:t>
      </w:r>
      <w:r>
        <w:rPr>
          <w:sz w:val="24"/>
        </w:rPr>
        <w:t>and</w:t>
      </w:r>
      <w:r>
        <w:rPr>
          <w:spacing w:val="-5"/>
          <w:sz w:val="24"/>
        </w:rPr>
        <w:t> </w:t>
      </w:r>
      <w:r>
        <w:rPr>
          <w:sz w:val="24"/>
        </w:rPr>
        <w:t>demonstrating</w:t>
      </w:r>
      <w:r>
        <w:rPr>
          <w:spacing w:val="-7"/>
          <w:sz w:val="24"/>
        </w:rPr>
        <w:t> </w:t>
      </w:r>
      <w:r>
        <w:rPr>
          <w:sz w:val="24"/>
        </w:rPr>
        <w:t>improvement</w:t>
      </w:r>
      <w:r>
        <w:rPr>
          <w:spacing w:val="-5"/>
          <w:sz w:val="24"/>
        </w:rPr>
        <w:t> </w:t>
      </w:r>
      <w:r>
        <w:rPr>
          <w:sz w:val="24"/>
        </w:rPr>
        <w:t>in</w:t>
      </w:r>
      <w:r>
        <w:rPr>
          <w:spacing w:val="-5"/>
          <w:sz w:val="24"/>
        </w:rPr>
        <w:t> </w:t>
      </w:r>
      <w:r>
        <w:rPr>
          <w:sz w:val="24"/>
        </w:rPr>
        <w:t>health care quality and equity, as specified in the STCs.</w:t>
      </w:r>
    </w:p>
    <w:p>
      <w:pPr>
        <w:spacing w:after="0" w:line="240" w:lineRule="auto"/>
        <w:jc w:val="left"/>
        <w:rPr>
          <w:sz w:val="24"/>
        </w:rPr>
        <w:sectPr>
          <w:pgSz w:w="12240" w:h="15840"/>
          <w:pgMar w:header="0" w:footer="998" w:top="1360" w:bottom="1180" w:left="0" w:right="220"/>
        </w:sectPr>
      </w:pPr>
    </w:p>
    <w:p>
      <w:pPr>
        <w:pStyle w:val="ListParagraph"/>
        <w:numPr>
          <w:ilvl w:val="1"/>
          <w:numId w:val="2"/>
        </w:numPr>
        <w:tabs>
          <w:tab w:pos="2520" w:val="left" w:leader="none"/>
        </w:tabs>
        <w:spacing w:line="240" w:lineRule="auto" w:before="79" w:after="0"/>
        <w:ind w:left="2520" w:right="1587" w:hanging="360"/>
        <w:jc w:val="left"/>
        <w:rPr>
          <w:sz w:val="24"/>
        </w:rPr>
      </w:pPr>
      <w:bookmarkStart w:name="a. Time limited expenditure authority is" w:id="79"/>
      <w:bookmarkEnd w:id="79"/>
      <w:r>
        <w:rPr/>
      </w:r>
      <w:r>
        <w:rPr>
          <w:sz w:val="24"/>
        </w:rPr>
        <w:t>Time limited expenditure authority is granted until two years following the conclusion</w:t>
      </w:r>
      <w:r>
        <w:rPr>
          <w:spacing w:val="-3"/>
          <w:sz w:val="24"/>
        </w:rPr>
        <w:t> </w:t>
      </w:r>
      <w:r>
        <w:rPr>
          <w:sz w:val="24"/>
        </w:rPr>
        <w:t>of</w:t>
      </w:r>
      <w:r>
        <w:rPr>
          <w:spacing w:val="-4"/>
          <w:sz w:val="24"/>
        </w:rPr>
        <w:t> </w:t>
      </w:r>
      <w:r>
        <w:rPr>
          <w:sz w:val="24"/>
        </w:rPr>
        <w:t>the</w:t>
      </w:r>
      <w:r>
        <w:rPr>
          <w:spacing w:val="-4"/>
          <w:sz w:val="24"/>
        </w:rPr>
        <w:t> </w:t>
      </w:r>
      <w:r>
        <w:rPr>
          <w:sz w:val="24"/>
        </w:rPr>
        <w:t>approval</w:t>
      </w:r>
      <w:r>
        <w:rPr>
          <w:spacing w:val="-3"/>
          <w:sz w:val="24"/>
        </w:rPr>
        <w:t> </w:t>
      </w:r>
      <w:r>
        <w:rPr>
          <w:sz w:val="24"/>
        </w:rPr>
        <w:t>period</w:t>
      </w:r>
      <w:r>
        <w:rPr>
          <w:spacing w:val="-3"/>
          <w:sz w:val="24"/>
        </w:rPr>
        <w:t> </w:t>
      </w:r>
      <w:r>
        <w:rPr>
          <w:sz w:val="24"/>
        </w:rPr>
        <w:t>for</w:t>
      </w:r>
      <w:r>
        <w:rPr>
          <w:spacing w:val="-4"/>
          <w:sz w:val="24"/>
        </w:rPr>
        <w:t> </w:t>
      </w:r>
      <w:r>
        <w:rPr>
          <w:sz w:val="24"/>
        </w:rPr>
        <w:t>the</w:t>
      </w:r>
      <w:r>
        <w:rPr>
          <w:spacing w:val="-2"/>
          <w:sz w:val="24"/>
        </w:rPr>
        <w:t> </w:t>
      </w:r>
      <w:r>
        <w:rPr>
          <w:sz w:val="24"/>
        </w:rPr>
        <w:t>Hospital</w:t>
      </w:r>
      <w:r>
        <w:rPr>
          <w:spacing w:val="-3"/>
          <w:sz w:val="24"/>
        </w:rPr>
        <w:t> </w:t>
      </w:r>
      <w:r>
        <w:rPr>
          <w:sz w:val="24"/>
        </w:rPr>
        <w:t>Quality</w:t>
      </w:r>
      <w:r>
        <w:rPr>
          <w:spacing w:val="-8"/>
          <w:sz w:val="24"/>
        </w:rPr>
        <w:t> </w:t>
      </w:r>
      <w:r>
        <w:rPr>
          <w:sz w:val="24"/>
        </w:rPr>
        <w:t>and</w:t>
      </w:r>
      <w:r>
        <w:rPr>
          <w:spacing w:val="-3"/>
          <w:sz w:val="24"/>
        </w:rPr>
        <w:t> </w:t>
      </w:r>
      <w:r>
        <w:rPr>
          <w:sz w:val="24"/>
        </w:rPr>
        <w:t>Equity</w:t>
      </w:r>
      <w:r>
        <w:rPr>
          <w:spacing w:val="-6"/>
          <w:sz w:val="24"/>
        </w:rPr>
        <w:t> </w:t>
      </w:r>
      <w:r>
        <w:rPr>
          <w:sz w:val="24"/>
        </w:rPr>
        <w:t>Initiative,</w:t>
      </w:r>
      <w:r>
        <w:rPr>
          <w:spacing w:val="-3"/>
          <w:sz w:val="24"/>
        </w:rPr>
        <w:t> </w:t>
      </w:r>
      <w:r>
        <w:rPr>
          <w:sz w:val="24"/>
        </w:rPr>
        <w:t>in order for the Commonwealth to pay close-out costs of operating the program, and incentive payments associated with periods of performance within the approval period for the Hospital Quality and Equity Initiative.</w:t>
      </w:r>
    </w:p>
    <w:p>
      <w:pPr>
        <w:pStyle w:val="BodyText"/>
        <w:spacing w:before="10"/>
        <w:rPr>
          <w:sz w:val="20"/>
        </w:rPr>
      </w:pPr>
    </w:p>
    <w:p>
      <w:pPr>
        <w:pStyle w:val="BodyText"/>
        <w:ind w:left="1799" w:right="1315"/>
      </w:pPr>
      <w:bookmarkStart w:name="This expenditure authority does not enti" w:id="80"/>
      <w:bookmarkEnd w:id="80"/>
      <w:r>
        <w:rPr/>
      </w:r>
      <w:r>
        <w:rPr/>
        <w:t>This expenditure authority does not entitle uninsured individuals to any benefits under the demonstration.</w:t>
      </w:r>
      <w:r>
        <w:rPr>
          <w:spacing w:val="-4"/>
        </w:rPr>
        <w:t> </w:t>
      </w:r>
      <w:r>
        <w:rPr/>
        <w:t>This</w:t>
      </w:r>
      <w:r>
        <w:rPr>
          <w:spacing w:val="-4"/>
        </w:rPr>
        <w:t> </w:t>
      </w:r>
      <w:r>
        <w:rPr/>
        <w:t>expenditure</w:t>
      </w:r>
      <w:r>
        <w:rPr>
          <w:spacing w:val="-5"/>
        </w:rPr>
        <w:t> </w:t>
      </w:r>
      <w:r>
        <w:rPr/>
        <w:t>authority</w:t>
      </w:r>
      <w:r>
        <w:rPr>
          <w:spacing w:val="-9"/>
        </w:rPr>
        <w:t> </w:t>
      </w:r>
      <w:r>
        <w:rPr/>
        <w:t>is</w:t>
      </w:r>
      <w:r>
        <w:rPr>
          <w:spacing w:val="-4"/>
        </w:rPr>
        <w:t> </w:t>
      </w:r>
      <w:r>
        <w:rPr/>
        <w:t>contingent</w:t>
      </w:r>
      <w:r>
        <w:rPr>
          <w:spacing w:val="-4"/>
        </w:rPr>
        <w:t> </w:t>
      </w:r>
      <w:r>
        <w:rPr/>
        <w:t>upon</w:t>
      </w:r>
      <w:r>
        <w:rPr>
          <w:spacing w:val="-2"/>
        </w:rPr>
        <w:t> </w:t>
      </w:r>
      <w:r>
        <w:rPr/>
        <w:t>adherence</w:t>
      </w:r>
      <w:r>
        <w:rPr>
          <w:spacing w:val="-5"/>
        </w:rPr>
        <w:t> </w:t>
      </w:r>
      <w:r>
        <w:rPr/>
        <w:t>to</w:t>
      </w:r>
      <w:r>
        <w:rPr>
          <w:spacing w:val="-2"/>
        </w:rPr>
        <w:t> </w:t>
      </w:r>
      <w:r>
        <w:rPr/>
        <w:t>the</w:t>
      </w:r>
      <w:r>
        <w:rPr>
          <w:spacing w:val="-5"/>
        </w:rPr>
        <w:t> </w:t>
      </w:r>
      <w:r>
        <w:rPr/>
        <w:t>requirements of Section 21 of the STCs.</w:t>
      </w:r>
    </w:p>
    <w:p>
      <w:pPr>
        <w:pStyle w:val="BodyText"/>
        <w:spacing w:before="10"/>
        <w:rPr>
          <w:sz w:val="20"/>
        </w:rPr>
      </w:pPr>
    </w:p>
    <w:p>
      <w:pPr>
        <w:pStyle w:val="ListParagraph"/>
        <w:numPr>
          <w:ilvl w:val="0"/>
          <w:numId w:val="2"/>
        </w:numPr>
        <w:tabs>
          <w:tab w:pos="1800" w:val="left" w:leader="none"/>
        </w:tabs>
        <w:spacing w:line="240" w:lineRule="auto" w:before="0" w:after="0"/>
        <w:ind w:left="1800" w:right="1253" w:hanging="480"/>
        <w:jc w:val="left"/>
        <w:rPr>
          <w:sz w:val="24"/>
        </w:rPr>
      </w:pPr>
      <w:bookmarkStart w:name="26. Community Partner Enhanced Care Coor" w:id="81"/>
      <w:bookmarkEnd w:id="81"/>
      <w:r>
        <w:rPr/>
      </w:r>
      <w:r>
        <w:rPr>
          <w:b/>
          <w:sz w:val="24"/>
        </w:rPr>
        <w:t>Community Partner Enhanced Care Coordination Funding. </w:t>
      </w:r>
      <w:r>
        <w:rPr>
          <w:sz w:val="24"/>
        </w:rPr>
        <w:t>Expenditures for payments to Long</w:t>
      </w:r>
      <w:r>
        <w:rPr>
          <w:spacing w:val="-5"/>
          <w:sz w:val="24"/>
        </w:rPr>
        <w:t> </w:t>
      </w:r>
      <w:r>
        <w:rPr>
          <w:sz w:val="24"/>
        </w:rPr>
        <w:t>Term</w:t>
      </w:r>
      <w:r>
        <w:rPr>
          <w:spacing w:val="-2"/>
          <w:sz w:val="24"/>
        </w:rPr>
        <w:t> </w:t>
      </w:r>
      <w:r>
        <w:rPr>
          <w:sz w:val="24"/>
        </w:rPr>
        <w:t>Services and</w:t>
      </w:r>
      <w:r>
        <w:rPr>
          <w:spacing w:val="-2"/>
          <w:sz w:val="24"/>
        </w:rPr>
        <w:t> </w:t>
      </w:r>
      <w:r>
        <w:rPr>
          <w:sz w:val="24"/>
        </w:rPr>
        <w:t>Supports</w:t>
      </w:r>
      <w:r>
        <w:rPr>
          <w:spacing w:val="-2"/>
          <w:sz w:val="24"/>
        </w:rPr>
        <w:t> </w:t>
      </w:r>
      <w:r>
        <w:rPr>
          <w:sz w:val="24"/>
        </w:rPr>
        <w:t>(LTSS)</w:t>
      </w:r>
      <w:r>
        <w:rPr>
          <w:spacing w:val="-3"/>
          <w:sz w:val="24"/>
        </w:rPr>
        <w:t> </w:t>
      </w:r>
      <w:r>
        <w:rPr>
          <w:sz w:val="24"/>
        </w:rPr>
        <w:t>Community</w:t>
      </w:r>
      <w:r>
        <w:rPr>
          <w:spacing w:val="-10"/>
          <w:sz w:val="24"/>
        </w:rPr>
        <w:t> </w:t>
      </w:r>
      <w:r>
        <w:rPr>
          <w:sz w:val="24"/>
        </w:rPr>
        <w:t>Partners</w:t>
      </w:r>
      <w:r>
        <w:rPr>
          <w:spacing w:val="-2"/>
          <w:sz w:val="24"/>
        </w:rPr>
        <w:t> </w:t>
      </w:r>
      <w:r>
        <w:rPr>
          <w:sz w:val="24"/>
        </w:rPr>
        <w:t>(CPs)</w:t>
      </w:r>
      <w:r>
        <w:rPr>
          <w:spacing w:val="-1"/>
          <w:sz w:val="24"/>
        </w:rPr>
        <w:t> </w:t>
      </w:r>
      <w:r>
        <w:rPr>
          <w:sz w:val="24"/>
        </w:rPr>
        <w:t>(paid</w:t>
      </w:r>
      <w:r>
        <w:rPr>
          <w:spacing w:val="-2"/>
          <w:sz w:val="24"/>
        </w:rPr>
        <w:t> </w:t>
      </w:r>
      <w:r>
        <w:rPr>
          <w:sz w:val="24"/>
        </w:rPr>
        <w:t>directly</w:t>
      </w:r>
      <w:r>
        <w:rPr>
          <w:spacing w:val="-7"/>
          <w:sz w:val="24"/>
        </w:rPr>
        <w:t> </w:t>
      </w:r>
      <w:r>
        <w:rPr>
          <w:sz w:val="24"/>
        </w:rPr>
        <w:t>by</w:t>
      </w:r>
      <w:r>
        <w:rPr>
          <w:spacing w:val="-7"/>
          <w:sz w:val="24"/>
        </w:rPr>
        <w:t> </w:t>
      </w:r>
      <w:r>
        <w:rPr>
          <w:sz w:val="24"/>
        </w:rPr>
        <w:t>the state) to support LTSS CPs’ enhanced care coordination responsibilities, as specified in the </w:t>
      </w:r>
      <w:r>
        <w:rPr>
          <w:spacing w:val="-4"/>
          <w:sz w:val="24"/>
        </w:rPr>
        <w:t>STC.</w:t>
      </w:r>
    </w:p>
    <w:p>
      <w:pPr>
        <w:pStyle w:val="BodyText"/>
        <w:spacing w:before="10"/>
        <w:rPr>
          <w:sz w:val="20"/>
        </w:rPr>
      </w:pPr>
    </w:p>
    <w:p>
      <w:pPr>
        <w:pStyle w:val="ListParagraph"/>
        <w:numPr>
          <w:ilvl w:val="0"/>
          <w:numId w:val="2"/>
        </w:numPr>
        <w:tabs>
          <w:tab w:pos="1800" w:val="left" w:leader="none"/>
        </w:tabs>
        <w:spacing w:line="240" w:lineRule="auto" w:before="0" w:after="0"/>
        <w:ind w:left="1800" w:right="1314" w:hanging="480"/>
        <w:jc w:val="left"/>
        <w:rPr>
          <w:sz w:val="24"/>
        </w:rPr>
      </w:pPr>
      <w:bookmarkStart w:name="27. Streamlined Redeterminations for Adu" w:id="82"/>
      <w:bookmarkEnd w:id="82"/>
      <w:r>
        <w:rPr/>
      </w:r>
      <w:r>
        <w:rPr>
          <w:b/>
          <w:sz w:val="24"/>
        </w:rPr>
        <w:t>Streamlined</w:t>
      </w:r>
      <w:r>
        <w:rPr>
          <w:b/>
          <w:spacing w:val="-5"/>
          <w:sz w:val="24"/>
        </w:rPr>
        <w:t> </w:t>
      </w:r>
      <w:r>
        <w:rPr>
          <w:b/>
          <w:sz w:val="24"/>
        </w:rPr>
        <w:t>Redeterminations</w:t>
      </w:r>
      <w:r>
        <w:rPr>
          <w:b/>
          <w:spacing w:val="-5"/>
          <w:sz w:val="24"/>
        </w:rPr>
        <w:t> </w:t>
      </w:r>
      <w:r>
        <w:rPr>
          <w:b/>
          <w:sz w:val="24"/>
        </w:rPr>
        <w:t>for</w:t>
      </w:r>
      <w:r>
        <w:rPr>
          <w:b/>
          <w:spacing w:val="-6"/>
          <w:sz w:val="24"/>
        </w:rPr>
        <w:t> </w:t>
      </w:r>
      <w:r>
        <w:rPr>
          <w:b/>
          <w:sz w:val="24"/>
        </w:rPr>
        <w:t>Adult</w:t>
      </w:r>
      <w:r>
        <w:rPr>
          <w:b/>
          <w:spacing w:val="-6"/>
          <w:sz w:val="24"/>
        </w:rPr>
        <w:t> </w:t>
      </w:r>
      <w:r>
        <w:rPr>
          <w:b/>
          <w:sz w:val="24"/>
        </w:rPr>
        <w:t>Populations.</w:t>
      </w:r>
      <w:r>
        <w:rPr>
          <w:b/>
          <w:spacing w:val="-5"/>
          <w:sz w:val="24"/>
        </w:rPr>
        <w:t> </w:t>
      </w:r>
      <w:r>
        <w:rPr>
          <w:sz w:val="24"/>
        </w:rPr>
        <w:t>Expenditures</w:t>
      </w:r>
      <w:r>
        <w:rPr>
          <w:spacing w:val="-5"/>
          <w:sz w:val="24"/>
        </w:rPr>
        <w:t> </w:t>
      </w:r>
      <w:r>
        <w:rPr>
          <w:sz w:val="24"/>
        </w:rPr>
        <w:t>for</w:t>
      </w:r>
      <w:r>
        <w:rPr>
          <w:spacing w:val="-6"/>
          <w:sz w:val="24"/>
        </w:rPr>
        <w:t> </w:t>
      </w:r>
      <w:r>
        <w:rPr>
          <w:sz w:val="24"/>
        </w:rPr>
        <w:t>parents,</w:t>
      </w:r>
      <w:r>
        <w:rPr>
          <w:spacing w:val="-5"/>
          <w:sz w:val="24"/>
        </w:rPr>
        <w:t> </w:t>
      </w:r>
      <w:r>
        <w:rPr>
          <w:sz w:val="24"/>
        </w:rPr>
        <w:t>caretaker relatives, and childless adults who would not be eligible under either the state plan or other full-benefit demonstration populations, but for Streamlined Redeterminations.</w:t>
      </w:r>
    </w:p>
    <w:p>
      <w:pPr>
        <w:pStyle w:val="BodyText"/>
        <w:spacing w:before="10"/>
        <w:rPr>
          <w:sz w:val="20"/>
        </w:rPr>
      </w:pPr>
    </w:p>
    <w:p>
      <w:pPr>
        <w:pStyle w:val="ListParagraph"/>
        <w:numPr>
          <w:ilvl w:val="0"/>
          <w:numId w:val="2"/>
        </w:numPr>
        <w:tabs>
          <w:tab w:pos="1800" w:val="left" w:leader="none"/>
        </w:tabs>
        <w:spacing w:line="240" w:lineRule="auto" w:before="0" w:after="0"/>
        <w:ind w:left="1800" w:right="1222" w:hanging="480"/>
        <w:jc w:val="left"/>
        <w:rPr>
          <w:sz w:val="24"/>
        </w:rPr>
      </w:pPr>
      <w:bookmarkStart w:name="28. Streamlined Redeterminations for Chi" w:id="83"/>
      <w:bookmarkEnd w:id="83"/>
      <w:r>
        <w:rPr/>
      </w:r>
      <w:r>
        <w:rPr>
          <w:b/>
          <w:sz w:val="24"/>
        </w:rPr>
        <w:t>Streamlined Redeterminations for Children’s Population. </w:t>
      </w:r>
      <w:r>
        <w:rPr>
          <w:sz w:val="24"/>
        </w:rPr>
        <w:t>Expenditures for children who would</w:t>
      </w:r>
      <w:r>
        <w:rPr>
          <w:spacing w:val="-2"/>
          <w:sz w:val="24"/>
        </w:rPr>
        <w:t> </w:t>
      </w:r>
      <w:r>
        <w:rPr>
          <w:sz w:val="24"/>
        </w:rPr>
        <w:t>not</w:t>
      </w:r>
      <w:r>
        <w:rPr>
          <w:spacing w:val="-2"/>
          <w:sz w:val="24"/>
        </w:rPr>
        <w:t> </w:t>
      </w:r>
      <w:r>
        <w:rPr>
          <w:sz w:val="24"/>
        </w:rPr>
        <w:t>be</w:t>
      </w:r>
      <w:r>
        <w:rPr>
          <w:spacing w:val="-3"/>
          <w:sz w:val="24"/>
        </w:rPr>
        <w:t> </w:t>
      </w:r>
      <w:r>
        <w:rPr>
          <w:sz w:val="24"/>
        </w:rPr>
        <w:t>eligible</w:t>
      </w:r>
      <w:r>
        <w:rPr>
          <w:spacing w:val="-3"/>
          <w:sz w:val="24"/>
        </w:rPr>
        <w:t> </w:t>
      </w:r>
      <w:r>
        <w:rPr>
          <w:sz w:val="24"/>
        </w:rPr>
        <w:t>under</w:t>
      </w:r>
      <w:r>
        <w:rPr>
          <w:spacing w:val="-3"/>
          <w:sz w:val="24"/>
        </w:rPr>
        <w:t> </w:t>
      </w:r>
      <w:r>
        <w:rPr>
          <w:sz w:val="24"/>
        </w:rPr>
        <w:t>the</w:t>
      </w:r>
      <w:r>
        <w:rPr>
          <w:spacing w:val="-3"/>
          <w:sz w:val="24"/>
        </w:rPr>
        <w:t> </w:t>
      </w:r>
      <w:r>
        <w:rPr>
          <w:sz w:val="24"/>
        </w:rPr>
        <w:t>Title</w:t>
      </w:r>
      <w:r>
        <w:rPr>
          <w:spacing w:val="-3"/>
          <w:sz w:val="24"/>
        </w:rPr>
        <w:t> </w:t>
      </w:r>
      <w:r>
        <w:rPr>
          <w:sz w:val="24"/>
        </w:rPr>
        <w:t>XIX</w:t>
      </w:r>
      <w:r>
        <w:rPr>
          <w:spacing w:val="-3"/>
          <w:sz w:val="24"/>
        </w:rPr>
        <w:t> </w:t>
      </w:r>
      <w:r>
        <w:rPr>
          <w:sz w:val="24"/>
        </w:rPr>
        <w:t>state</w:t>
      </w:r>
      <w:r>
        <w:rPr>
          <w:spacing w:val="-3"/>
          <w:sz w:val="24"/>
        </w:rPr>
        <w:t> </w:t>
      </w:r>
      <w:r>
        <w:rPr>
          <w:sz w:val="24"/>
        </w:rPr>
        <w:t>plan,</w:t>
      </w:r>
      <w:r>
        <w:rPr>
          <w:spacing w:val="-2"/>
          <w:sz w:val="24"/>
        </w:rPr>
        <w:t> </w:t>
      </w:r>
      <w:r>
        <w:rPr>
          <w:sz w:val="24"/>
        </w:rPr>
        <w:t>Title</w:t>
      </w:r>
      <w:r>
        <w:rPr>
          <w:spacing w:val="-3"/>
          <w:sz w:val="24"/>
        </w:rPr>
        <w:t> </w:t>
      </w:r>
      <w:r>
        <w:rPr>
          <w:sz w:val="24"/>
        </w:rPr>
        <w:t>XXI</w:t>
      </w:r>
      <w:r>
        <w:rPr>
          <w:spacing w:val="-6"/>
          <w:sz w:val="24"/>
        </w:rPr>
        <w:t> </w:t>
      </w:r>
      <w:r>
        <w:rPr>
          <w:sz w:val="24"/>
        </w:rPr>
        <w:t>state</w:t>
      </w:r>
      <w:r>
        <w:rPr>
          <w:spacing w:val="-3"/>
          <w:sz w:val="24"/>
        </w:rPr>
        <w:t> </w:t>
      </w:r>
      <w:r>
        <w:rPr>
          <w:sz w:val="24"/>
        </w:rPr>
        <w:t>child</w:t>
      </w:r>
      <w:r>
        <w:rPr>
          <w:spacing w:val="-2"/>
          <w:sz w:val="24"/>
        </w:rPr>
        <w:t> </w:t>
      </w:r>
      <w:r>
        <w:rPr>
          <w:sz w:val="24"/>
        </w:rPr>
        <w:t>health</w:t>
      </w:r>
      <w:r>
        <w:rPr>
          <w:spacing w:val="-2"/>
          <w:sz w:val="24"/>
        </w:rPr>
        <w:t> </w:t>
      </w:r>
      <w:r>
        <w:rPr>
          <w:sz w:val="24"/>
        </w:rPr>
        <w:t>plan</w:t>
      </w:r>
      <w:r>
        <w:rPr>
          <w:spacing w:val="-2"/>
          <w:sz w:val="24"/>
        </w:rPr>
        <w:t> </w:t>
      </w:r>
      <w:r>
        <w:rPr>
          <w:sz w:val="24"/>
        </w:rPr>
        <w:t>or</w:t>
      </w:r>
      <w:r>
        <w:rPr>
          <w:spacing w:val="-3"/>
          <w:sz w:val="24"/>
        </w:rPr>
        <w:t> </w:t>
      </w:r>
      <w:r>
        <w:rPr>
          <w:sz w:val="24"/>
        </w:rPr>
        <w:t>other full-benefit demonstration populations, but for</w:t>
      </w:r>
      <w:r>
        <w:rPr>
          <w:spacing w:val="-5"/>
          <w:sz w:val="24"/>
        </w:rPr>
        <w:t> </w:t>
      </w:r>
      <w:r>
        <w:rPr>
          <w:sz w:val="24"/>
        </w:rPr>
        <w:t>Streamlined Redeterminations.</w:t>
      </w:r>
    </w:p>
    <w:p>
      <w:pPr>
        <w:pStyle w:val="BodyText"/>
        <w:spacing w:before="10"/>
        <w:rPr>
          <w:sz w:val="20"/>
        </w:rPr>
      </w:pPr>
    </w:p>
    <w:p>
      <w:pPr>
        <w:pStyle w:val="BodyText"/>
        <w:ind w:left="1800" w:right="1264"/>
      </w:pPr>
      <w:bookmarkStart w:name="All requirements of the Medicaid program" w:id="84"/>
      <w:bookmarkEnd w:id="84"/>
      <w:r>
        <w:rPr/>
      </w:r>
      <w:r>
        <w:rPr/>
        <w:t>All requirements of the Medicaid program expressed in law, regulation, and policy statements</w:t>
      </w:r>
      <w:r>
        <w:rPr>
          <w:spacing w:val="-2"/>
        </w:rPr>
        <w:t> </w:t>
      </w:r>
      <w:r>
        <w:rPr/>
        <w:t>that</w:t>
      </w:r>
      <w:r>
        <w:rPr>
          <w:spacing w:val="-2"/>
        </w:rPr>
        <w:t> </w:t>
      </w:r>
      <w:r>
        <w:rPr/>
        <w:t>are</w:t>
      </w:r>
      <w:r>
        <w:rPr>
          <w:spacing w:val="-1"/>
        </w:rPr>
        <w:t> </w:t>
      </w:r>
      <w:r>
        <w:rPr/>
        <w:t>explicitly</w:t>
      </w:r>
      <w:r>
        <w:rPr>
          <w:spacing w:val="-7"/>
        </w:rPr>
        <w:t> </w:t>
      </w:r>
      <w:r>
        <w:rPr/>
        <w:t>waived</w:t>
      </w:r>
      <w:r>
        <w:rPr>
          <w:spacing w:val="-2"/>
        </w:rPr>
        <w:t> </w:t>
      </w:r>
      <w:r>
        <w:rPr/>
        <w:t>under</w:t>
      </w:r>
      <w:r>
        <w:rPr>
          <w:spacing w:val="-3"/>
        </w:rPr>
        <w:t> </w:t>
      </w:r>
      <w:r>
        <w:rPr/>
        <w:t>the</w:t>
      </w:r>
      <w:r>
        <w:rPr>
          <w:spacing w:val="-3"/>
        </w:rPr>
        <w:t> </w:t>
      </w:r>
      <w:r>
        <w:rPr/>
        <w:t>Waiver</w:t>
      </w:r>
      <w:r>
        <w:rPr>
          <w:spacing w:val="-1"/>
        </w:rPr>
        <w:t> </w:t>
      </w:r>
      <w:r>
        <w:rPr/>
        <w:t>List</w:t>
      </w:r>
      <w:r>
        <w:rPr>
          <w:spacing w:val="-2"/>
        </w:rPr>
        <w:t> </w:t>
      </w:r>
      <w:r>
        <w:rPr/>
        <w:t>herein</w:t>
      </w:r>
      <w:r>
        <w:rPr>
          <w:spacing w:val="-2"/>
        </w:rPr>
        <w:t> </w:t>
      </w:r>
      <w:r>
        <w:rPr/>
        <w:t>shall</w:t>
      </w:r>
      <w:r>
        <w:rPr>
          <w:spacing w:val="-2"/>
        </w:rPr>
        <w:t> </w:t>
      </w:r>
      <w:r>
        <w:rPr/>
        <w:t>similarly</w:t>
      </w:r>
      <w:r>
        <w:rPr>
          <w:spacing w:val="-7"/>
        </w:rPr>
        <w:t> </w:t>
      </w:r>
      <w:r>
        <w:rPr/>
        <w:t>not</w:t>
      </w:r>
      <w:r>
        <w:rPr>
          <w:spacing w:val="-2"/>
        </w:rPr>
        <w:t> </w:t>
      </w:r>
      <w:r>
        <w:rPr/>
        <w:t>apply</w:t>
      </w:r>
      <w:r>
        <w:rPr>
          <w:spacing w:val="-7"/>
        </w:rPr>
        <w:t> </w:t>
      </w:r>
      <w:r>
        <w:rPr/>
        <w:t>to any</w:t>
      </w:r>
      <w:r>
        <w:rPr>
          <w:spacing w:val="-3"/>
        </w:rPr>
        <w:t> </w:t>
      </w:r>
      <w:r>
        <w:rPr/>
        <w:t>other expenditures made by</w:t>
      </w:r>
      <w:r>
        <w:rPr>
          <w:spacing w:val="-3"/>
        </w:rPr>
        <w:t> </w:t>
      </w:r>
      <w:r>
        <w:rPr/>
        <w:t>the state pursuant to its Expenditure Authority</w:t>
      </w:r>
      <w:r>
        <w:rPr>
          <w:spacing w:val="-3"/>
        </w:rPr>
        <w:t> </w:t>
      </w:r>
      <w:r>
        <w:rPr/>
        <w:t>hereunder. In addition, none of the Medicaid program requirements as listed and described below shall apply</w:t>
      </w:r>
      <w:r>
        <w:rPr>
          <w:spacing w:val="-1"/>
        </w:rPr>
        <w:t> </w:t>
      </w:r>
      <w:r>
        <w:rPr/>
        <w:t>to such other expenditures. All other requirements of the Medicaid program expressed in law, regulation, and policy statements shall apply to such other expenditures.</w:t>
      </w:r>
    </w:p>
    <w:p>
      <w:pPr>
        <w:pStyle w:val="BodyText"/>
        <w:spacing w:before="10"/>
        <w:rPr>
          <w:sz w:val="20"/>
        </w:rPr>
      </w:pPr>
    </w:p>
    <w:p>
      <w:pPr>
        <w:spacing w:before="1"/>
        <w:ind w:left="1662" w:right="1334" w:firstLine="0"/>
        <w:jc w:val="center"/>
        <w:rPr>
          <w:b/>
          <w:sz w:val="24"/>
        </w:rPr>
      </w:pPr>
      <w:bookmarkStart w:name="The Following Title XIX Requirements Do " w:id="85"/>
      <w:bookmarkEnd w:id="85"/>
      <w:r>
        <w:rPr/>
      </w:r>
      <w:r>
        <w:rPr>
          <w:b/>
          <w:sz w:val="24"/>
          <w:u w:val="thick"/>
        </w:rPr>
        <w:t>The</w:t>
      </w:r>
      <w:r>
        <w:rPr>
          <w:b/>
          <w:spacing w:val="-5"/>
          <w:sz w:val="24"/>
          <w:u w:val="thick"/>
        </w:rPr>
        <w:t> </w:t>
      </w:r>
      <w:r>
        <w:rPr>
          <w:b/>
          <w:sz w:val="24"/>
          <w:u w:val="thick"/>
        </w:rPr>
        <w:t>Following</w:t>
      </w:r>
      <w:r>
        <w:rPr>
          <w:b/>
          <w:spacing w:val="-1"/>
          <w:sz w:val="24"/>
          <w:u w:val="thick"/>
        </w:rPr>
        <w:t> </w:t>
      </w:r>
      <w:r>
        <w:rPr>
          <w:b/>
          <w:sz w:val="24"/>
          <w:u w:val="thick"/>
        </w:rPr>
        <w:t>Title</w:t>
      </w:r>
      <w:r>
        <w:rPr>
          <w:b/>
          <w:spacing w:val="-2"/>
          <w:sz w:val="24"/>
          <w:u w:val="thick"/>
        </w:rPr>
        <w:t> </w:t>
      </w:r>
      <w:r>
        <w:rPr>
          <w:b/>
          <w:sz w:val="24"/>
          <w:u w:val="thick"/>
        </w:rPr>
        <w:t>XIX</w:t>
      </w:r>
      <w:r>
        <w:rPr>
          <w:b/>
          <w:spacing w:val="-3"/>
          <w:sz w:val="24"/>
          <w:u w:val="thick"/>
        </w:rPr>
        <w:t> </w:t>
      </w:r>
      <w:r>
        <w:rPr>
          <w:b/>
          <w:sz w:val="24"/>
          <w:u w:val="thick"/>
        </w:rPr>
        <w:t>Requirements</w:t>
      </w:r>
      <w:r>
        <w:rPr>
          <w:b/>
          <w:spacing w:val="-1"/>
          <w:sz w:val="24"/>
          <w:u w:val="thick"/>
        </w:rPr>
        <w:t> </w:t>
      </w:r>
      <w:r>
        <w:rPr>
          <w:b/>
          <w:sz w:val="24"/>
          <w:u w:val="thick"/>
        </w:rPr>
        <w:t>Do</w:t>
      </w:r>
      <w:r>
        <w:rPr>
          <w:b/>
          <w:spacing w:val="1"/>
          <w:sz w:val="24"/>
          <w:u w:val="thick"/>
        </w:rPr>
        <w:t> </w:t>
      </w:r>
      <w:r>
        <w:rPr>
          <w:b/>
          <w:sz w:val="24"/>
          <w:u w:val="thick"/>
        </w:rPr>
        <w:t>Not</w:t>
      </w:r>
      <w:r>
        <w:rPr>
          <w:b/>
          <w:spacing w:val="-2"/>
          <w:sz w:val="24"/>
          <w:u w:val="thick"/>
        </w:rPr>
        <w:t> </w:t>
      </w:r>
      <w:r>
        <w:rPr>
          <w:b/>
          <w:sz w:val="24"/>
          <w:u w:val="thick"/>
        </w:rPr>
        <w:t>Apply</w:t>
      </w:r>
      <w:r>
        <w:rPr>
          <w:b/>
          <w:spacing w:val="-2"/>
          <w:sz w:val="24"/>
          <w:u w:val="thick"/>
        </w:rPr>
        <w:t> </w:t>
      </w:r>
      <w:r>
        <w:rPr>
          <w:b/>
          <w:sz w:val="24"/>
          <w:u w:val="thick"/>
        </w:rPr>
        <w:t>to</w:t>
      </w:r>
      <w:r>
        <w:rPr>
          <w:b/>
          <w:spacing w:val="-1"/>
          <w:sz w:val="24"/>
          <w:u w:val="thick"/>
        </w:rPr>
        <w:t> </w:t>
      </w:r>
      <w:r>
        <w:rPr>
          <w:b/>
          <w:sz w:val="24"/>
          <w:u w:val="thick"/>
        </w:rPr>
        <w:t>These</w:t>
      </w:r>
      <w:r>
        <w:rPr>
          <w:b/>
          <w:spacing w:val="-2"/>
          <w:sz w:val="24"/>
          <w:u w:val="thick"/>
        </w:rPr>
        <w:t> </w:t>
      </w:r>
      <w:r>
        <w:rPr>
          <w:b/>
          <w:sz w:val="24"/>
          <w:u w:val="thick"/>
        </w:rPr>
        <w:t>Expenditure</w:t>
      </w:r>
      <w:r>
        <w:rPr>
          <w:b/>
          <w:spacing w:val="-2"/>
          <w:sz w:val="24"/>
          <w:u w:val="thick"/>
        </w:rPr>
        <w:t> Authorities.</w:t>
      </w:r>
    </w:p>
    <w:p>
      <w:pPr>
        <w:pStyle w:val="BodyText"/>
        <w:spacing w:before="4"/>
        <w:rPr>
          <w:b/>
          <w:sz w:val="16"/>
        </w:rPr>
      </w:pPr>
    </w:p>
    <w:p>
      <w:pPr>
        <w:pStyle w:val="Heading5"/>
        <w:numPr>
          <w:ilvl w:val="0"/>
          <w:numId w:val="2"/>
        </w:numPr>
        <w:tabs>
          <w:tab w:pos="1799" w:val="left" w:leader="none"/>
          <w:tab w:pos="8246" w:val="left" w:leader="none"/>
          <w:tab w:pos="8836" w:val="left" w:leader="none"/>
        </w:tabs>
        <w:spacing w:line="240" w:lineRule="auto" w:before="90" w:after="0"/>
        <w:ind w:left="8246" w:right="1217" w:hanging="6927"/>
        <w:jc w:val="both"/>
      </w:pPr>
      <w:bookmarkStart w:name="29. Premiums and Cost Sharing Section 19" w:id="86"/>
      <w:bookmarkEnd w:id="86"/>
      <w:r>
        <w:rPr>
          <w:b w:val="0"/>
        </w:rPr>
      </w:r>
      <w:r>
        <w:rPr/>
        <w:t>Premiums and Cost Sharing</w:t>
        <w:tab/>
        <w:tab/>
        <w:t>Section</w:t>
      </w:r>
      <w:r>
        <w:rPr>
          <w:spacing w:val="-15"/>
        </w:rPr>
        <w:t> </w:t>
      </w:r>
      <w:r>
        <w:rPr/>
        <w:t>1902(a)(14) insofar</w:t>
      </w:r>
      <w:r>
        <w:rPr>
          <w:spacing w:val="-13"/>
        </w:rPr>
        <w:t> </w:t>
      </w:r>
      <w:r>
        <w:rPr/>
        <w:t>as</w:t>
      </w:r>
      <w:r>
        <w:rPr>
          <w:spacing w:val="-12"/>
        </w:rPr>
        <w:t> </w:t>
      </w:r>
      <w:r>
        <w:rPr/>
        <w:t>it</w:t>
      </w:r>
      <w:r>
        <w:rPr>
          <w:spacing w:val="-13"/>
        </w:rPr>
        <w:t> </w:t>
      </w:r>
      <w:r>
        <w:rPr/>
        <w:t>incorporates Section 1916 and 1916A</w:t>
      </w:r>
    </w:p>
    <w:p>
      <w:pPr>
        <w:pStyle w:val="BodyText"/>
        <w:spacing w:before="10"/>
        <w:rPr>
          <w:b/>
          <w:sz w:val="20"/>
        </w:rPr>
      </w:pPr>
    </w:p>
    <w:p>
      <w:pPr>
        <w:pStyle w:val="BodyText"/>
        <w:ind w:left="1799" w:right="1315"/>
      </w:pPr>
      <w:bookmarkStart w:name="To enable Massachusetts to impose premiu" w:id="87"/>
      <w:bookmarkEnd w:id="87"/>
      <w:r>
        <w:rPr/>
      </w:r>
      <w:r>
        <w:rPr/>
        <w:t>To</w:t>
      </w:r>
      <w:r>
        <w:rPr>
          <w:spacing w:val="-3"/>
        </w:rPr>
        <w:t> </w:t>
      </w:r>
      <w:r>
        <w:rPr/>
        <w:t>enable</w:t>
      </w:r>
      <w:r>
        <w:rPr>
          <w:spacing w:val="-4"/>
        </w:rPr>
        <w:t> </w:t>
      </w:r>
      <w:r>
        <w:rPr/>
        <w:t>Massachusetts</w:t>
      </w:r>
      <w:r>
        <w:rPr>
          <w:spacing w:val="-1"/>
        </w:rPr>
        <w:t> </w:t>
      </w:r>
      <w:r>
        <w:rPr/>
        <w:t>to</w:t>
      </w:r>
      <w:r>
        <w:rPr>
          <w:spacing w:val="-3"/>
        </w:rPr>
        <w:t> </w:t>
      </w:r>
      <w:r>
        <w:rPr/>
        <w:t>impose</w:t>
      </w:r>
      <w:r>
        <w:rPr>
          <w:spacing w:val="-4"/>
        </w:rPr>
        <w:t> </w:t>
      </w:r>
      <w:r>
        <w:rPr/>
        <w:t>premiums</w:t>
      </w:r>
      <w:r>
        <w:rPr>
          <w:spacing w:val="-3"/>
        </w:rPr>
        <w:t> </w:t>
      </w:r>
      <w:r>
        <w:rPr/>
        <w:t>and</w:t>
      </w:r>
      <w:r>
        <w:rPr>
          <w:spacing w:val="-3"/>
        </w:rPr>
        <w:t> </w:t>
      </w:r>
      <w:r>
        <w:rPr/>
        <w:t>cost-sharing</w:t>
      </w:r>
      <w:r>
        <w:rPr>
          <w:spacing w:val="-6"/>
        </w:rPr>
        <w:t> </w:t>
      </w:r>
      <w:r>
        <w:rPr/>
        <w:t>in</w:t>
      </w:r>
      <w:r>
        <w:rPr>
          <w:spacing w:val="-3"/>
        </w:rPr>
        <w:t> </w:t>
      </w:r>
      <w:r>
        <w:rPr/>
        <w:t>excess</w:t>
      </w:r>
      <w:r>
        <w:rPr>
          <w:spacing w:val="-3"/>
        </w:rPr>
        <w:t> </w:t>
      </w:r>
      <w:r>
        <w:rPr/>
        <w:t>of</w:t>
      </w:r>
      <w:r>
        <w:rPr>
          <w:spacing w:val="-2"/>
        </w:rPr>
        <w:t> </w:t>
      </w:r>
      <w:r>
        <w:rPr/>
        <w:t>statutory</w:t>
      </w:r>
      <w:r>
        <w:rPr>
          <w:spacing w:val="-8"/>
        </w:rPr>
        <w:t> </w:t>
      </w:r>
      <w:r>
        <w:rPr/>
        <w:t>limits on individuals enrolled in the CommonHealth and Breast and Cervical Cancer Treatment </w:t>
      </w:r>
      <w:r>
        <w:rPr>
          <w:spacing w:val="-2"/>
        </w:rPr>
        <w:t>programs.</w:t>
      </w:r>
    </w:p>
    <w:p>
      <w:pPr>
        <w:pStyle w:val="BodyText"/>
        <w:spacing w:before="10"/>
        <w:rPr>
          <w:sz w:val="20"/>
        </w:rPr>
      </w:pPr>
    </w:p>
    <w:p>
      <w:pPr>
        <w:pStyle w:val="Heading5"/>
        <w:numPr>
          <w:ilvl w:val="0"/>
          <w:numId w:val="2"/>
        </w:numPr>
        <w:tabs>
          <w:tab w:pos="1799" w:val="left" w:leader="none"/>
          <w:tab w:pos="8834" w:val="left" w:leader="none"/>
        </w:tabs>
        <w:spacing w:line="240" w:lineRule="auto" w:before="0" w:after="0"/>
        <w:ind w:left="1799" w:right="0" w:hanging="480"/>
        <w:jc w:val="left"/>
      </w:pPr>
      <w:bookmarkStart w:name="30. Financial Responsibility/Deeming Sec" w:id="88"/>
      <w:bookmarkEnd w:id="88"/>
      <w:r>
        <w:rPr>
          <w:b w:val="0"/>
        </w:rPr>
      </w:r>
      <w:r>
        <w:rPr/>
        <w:t>Financial</w:t>
      </w:r>
      <w:r>
        <w:rPr>
          <w:spacing w:val="-6"/>
        </w:rPr>
        <w:t> </w:t>
      </w:r>
      <w:r>
        <w:rPr>
          <w:spacing w:val="-2"/>
        </w:rPr>
        <w:t>Responsibility/Deeming</w:t>
      </w:r>
      <w:r>
        <w:rPr/>
        <w:tab/>
        <w:t>Section</w:t>
      </w:r>
      <w:r>
        <w:rPr>
          <w:spacing w:val="-4"/>
        </w:rPr>
        <w:t> </w:t>
      </w:r>
      <w:r>
        <w:rPr>
          <w:spacing w:val="-2"/>
        </w:rPr>
        <w:t>1902(a)(17)</w:t>
      </w:r>
    </w:p>
    <w:p>
      <w:pPr>
        <w:pStyle w:val="BodyText"/>
        <w:spacing w:before="10"/>
        <w:rPr>
          <w:b/>
          <w:sz w:val="20"/>
        </w:rPr>
      </w:pPr>
    </w:p>
    <w:p>
      <w:pPr>
        <w:pStyle w:val="BodyText"/>
        <w:ind w:left="1799" w:right="1315"/>
      </w:pPr>
      <w:bookmarkStart w:name="To enable Massachusetts to treat the sta" w:id="89"/>
      <w:bookmarkEnd w:id="89"/>
      <w:r>
        <w:rPr/>
      </w:r>
      <w:r>
        <w:rPr/>
        <w:t>To enable Massachusetts to treat the state veteran annuity as non-countable income in making</w:t>
      </w:r>
      <w:r>
        <w:rPr>
          <w:spacing w:val="-5"/>
        </w:rPr>
        <w:t> </w:t>
      </w:r>
      <w:r>
        <w:rPr/>
        <w:t>any</w:t>
      </w:r>
      <w:r>
        <w:rPr>
          <w:spacing w:val="-5"/>
        </w:rPr>
        <w:t> </w:t>
      </w:r>
      <w:r>
        <w:rPr/>
        <w:t>calculations</w:t>
      </w:r>
      <w:r>
        <w:rPr>
          <w:spacing w:val="-2"/>
        </w:rPr>
        <w:t> </w:t>
      </w:r>
      <w:r>
        <w:rPr/>
        <w:t>related</w:t>
      </w:r>
      <w:r>
        <w:rPr>
          <w:spacing w:val="-2"/>
        </w:rPr>
        <w:t> </w:t>
      </w:r>
      <w:r>
        <w:rPr/>
        <w:t>to</w:t>
      </w:r>
      <w:r>
        <w:rPr>
          <w:spacing w:val="-2"/>
        </w:rPr>
        <w:t> </w:t>
      </w:r>
      <w:r>
        <w:rPr/>
        <w:t>the</w:t>
      </w:r>
      <w:r>
        <w:rPr>
          <w:spacing w:val="-3"/>
        </w:rPr>
        <w:t> </w:t>
      </w:r>
      <w:r>
        <w:rPr/>
        <w:t>post-eligibility</w:t>
      </w:r>
      <w:r>
        <w:rPr>
          <w:spacing w:val="-10"/>
        </w:rPr>
        <w:t> </w:t>
      </w:r>
      <w:r>
        <w:rPr/>
        <w:t>treatment</w:t>
      </w:r>
      <w:r>
        <w:rPr>
          <w:spacing w:val="-2"/>
        </w:rPr>
        <w:t> </w:t>
      </w:r>
      <w:r>
        <w:rPr/>
        <w:t>of</w:t>
      </w:r>
      <w:r>
        <w:rPr>
          <w:spacing w:val="-3"/>
        </w:rPr>
        <w:t> </w:t>
      </w:r>
      <w:r>
        <w:rPr/>
        <w:t>income</w:t>
      </w:r>
      <w:r>
        <w:rPr>
          <w:spacing w:val="-3"/>
        </w:rPr>
        <w:t> </w:t>
      </w:r>
      <w:r>
        <w:rPr/>
        <w:t>(PETI)</w:t>
      </w:r>
      <w:r>
        <w:rPr>
          <w:spacing w:val="-2"/>
        </w:rPr>
        <w:t> </w:t>
      </w:r>
      <w:r>
        <w:rPr/>
        <w:t>rules.</w:t>
      </w:r>
    </w:p>
    <w:p>
      <w:pPr>
        <w:pStyle w:val="BodyText"/>
        <w:spacing w:before="10"/>
        <w:rPr>
          <w:sz w:val="20"/>
        </w:rPr>
      </w:pPr>
    </w:p>
    <w:p>
      <w:pPr>
        <w:pStyle w:val="Heading5"/>
        <w:numPr>
          <w:ilvl w:val="0"/>
          <w:numId w:val="2"/>
        </w:numPr>
        <w:tabs>
          <w:tab w:pos="1799" w:val="left" w:leader="none"/>
          <w:tab w:pos="8834" w:val="left" w:leader="none"/>
        </w:tabs>
        <w:spacing w:line="240" w:lineRule="auto" w:before="0" w:after="0"/>
        <w:ind w:left="1799" w:right="0" w:hanging="480"/>
        <w:jc w:val="left"/>
      </w:pPr>
      <w:bookmarkStart w:name="31. Comparability/Amount, Duration, and " w:id="90"/>
      <w:bookmarkEnd w:id="90"/>
      <w:r>
        <w:rPr>
          <w:b w:val="0"/>
        </w:rPr>
      </w:r>
      <w:r>
        <w:rPr/>
        <w:t>Comparability/Amount,</w:t>
      </w:r>
      <w:r>
        <w:rPr>
          <w:spacing w:val="-8"/>
        </w:rPr>
        <w:t> </w:t>
      </w:r>
      <w:r>
        <w:rPr/>
        <w:t>Duration,</w:t>
      </w:r>
      <w:r>
        <w:rPr>
          <w:spacing w:val="-5"/>
        </w:rPr>
        <w:t> </w:t>
      </w:r>
      <w:r>
        <w:rPr/>
        <w:t>and</w:t>
      </w:r>
      <w:r>
        <w:rPr>
          <w:spacing w:val="-5"/>
        </w:rPr>
        <w:t> </w:t>
      </w:r>
      <w:r>
        <w:rPr>
          <w:spacing w:val="-4"/>
        </w:rPr>
        <w:t>Scope</w:t>
      </w:r>
      <w:r>
        <w:rPr/>
        <w:tab/>
        <w:t>Section</w:t>
      </w:r>
      <w:r>
        <w:rPr>
          <w:spacing w:val="-4"/>
        </w:rPr>
        <w:t> </w:t>
      </w:r>
      <w:r>
        <w:rPr>
          <w:spacing w:val="-2"/>
        </w:rPr>
        <w:t>1902(a)(17)</w:t>
      </w:r>
    </w:p>
    <w:p>
      <w:pPr>
        <w:spacing w:after="0" w:line="240" w:lineRule="auto"/>
        <w:jc w:val="left"/>
        <w:sectPr>
          <w:pgSz w:w="12240" w:h="15840"/>
          <w:pgMar w:header="0" w:footer="998" w:top="1360" w:bottom="1180" w:left="0" w:right="220"/>
        </w:sectPr>
      </w:pPr>
    </w:p>
    <w:p>
      <w:pPr>
        <w:pStyle w:val="BodyText"/>
        <w:spacing w:before="79"/>
        <w:ind w:left="1799" w:right="1315"/>
      </w:pPr>
      <w:bookmarkStart w:name="To enable Massachusetts to treat the sta" w:id="91"/>
      <w:bookmarkEnd w:id="91"/>
      <w:r>
        <w:rPr/>
      </w:r>
      <w:r>
        <w:rPr/>
        <w:t>To enable Massachusetts to treat the state veteran annuity as non-countable income in making</w:t>
      </w:r>
      <w:r>
        <w:rPr>
          <w:spacing w:val="-5"/>
        </w:rPr>
        <w:t> </w:t>
      </w:r>
      <w:r>
        <w:rPr/>
        <w:t>any</w:t>
      </w:r>
      <w:r>
        <w:rPr>
          <w:spacing w:val="-5"/>
        </w:rPr>
        <w:t> </w:t>
      </w:r>
      <w:r>
        <w:rPr/>
        <w:t>calculations</w:t>
      </w:r>
      <w:r>
        <w:rPr>
          <w:spacing w:val="-2"/>
        </w:rPr>
        <w:t> </w:t>
      </w:r>
      <w:r>
        <w:rPr/>
        <w:t>related</w:t>
      </w:r>
      <w:r>
        <w:rPr>
          <w:spacing w:val="-2"/>
        </w:rPr>
        <w:t> </w:t>
      </w:r>
      <w:r>
        <w:rPr/>
        <w:t>to</w:t>
      </w:r>
      <w:r>
        <w:rPr>
          <w:spacing w:val="-2"/>
        </w:rPr>
        <w:t> </w:t>
      </w:r>
      <w:r>
        <w:rPr/>
        <w:t>the</w:t>
      </w:r>
      <w:r>
        <w:rPr>
          <w:spacing w:val="-3"/>
        </w:rPr>
        <w:t> </w:t>
      </w:r>
      <w:r>
        <w:rPr/>
        <w:t>post-eligibility</w:t>
      </w:r>
      <w:r>
        <w:rPr>
          <w:spacing w:val="-10"/>
        </w:rPr>
        <w:t> </w:t>
      </w:r>
      <w:r>
        <w:rPr/>
        <w:t>treatment</w:t>
      </w:r>
      <w:r>
        <w:rPr>
          <w:spacing w:val="-2"/>
        </w:rPr>
        <w:t> </w:t>
      </w:r>
      <w:r>
        <w:rPr/>
        <w:t>of</w:t>
      </w:r>
      <w:r>
        <w:rPr>
          <w:spacing w:val="-3"/>
        </w:rPr>
        <w:t> </w:t>
      </w:r>
      <w:r>
        <w:rPr/>
        <w:t>income</w:t>
      </w:r>
      <w:r>
        <w:rPr>
          <w:spacing w:val="-3"/>
        </w:rPr>
        <w:t> </w:t>
      </w:r>
      <w:r>
        <w:rPr/>
        <w:t>(PETI)</w:t>
      </w:r>
      <w:r>
        <w:rPr>
          <w:spacing w:val="-1"/>
        </w:rPr>
        <w:t> </w:t>
      </w:r>
      <w:r>
        <w:rPr/>
        <w:t>rules</w:t>
      </w:r>
      <w:r>
        <w:rPr>
          <w:spacing w:val="-2"/>
        </w:rPr>
        <w:t> </w:t>
      </w:r>
      <w:r>
        <w:rPr/>
        <w:t>and for any cost sharing calculations.</w:t>
      </w:r>
    </w:p>
    <w:p>
      <w:pPr>
        <w:pStyle w:val="BodyText"/>
        <w:spacing w:before="10"/>
        <w:rPr>
          <w:sz w:val="20"/>
        </w:rPr>
      </w:pPr>
    </w:p>
    <w:p>
      <w:pPr>
        <w:pStyle w:val="BodyText"/>
        <w:ind w:left="1799" w:right="1239"/>
      </w:pPr>
      <w:bookmarkStart w:name="Effective no later than July 1, 2023, to" w:id="92"/>
      <w:bookmarkEnd w:id="92"/>
      <w:r>
        <w:rPr/>
      </w:r>
      <w:r>
        <w:rPr/>
        <w:t>Effective</w:t>
      </w:r>
      <w:r>
        <w:rPr>
          <w:spacing w:val="-3"/>
        </w:rPr>
        <w:t> </w:t>
      </w:r>
      <w:r>
        <w:rPr/>
        <w:t>no</w:t>
      </w:r>
      <w:r>
        <w:rPr>
          <w:spacing w:val="-2"/>
        </w:rPr>
        <w:t> </w:t>
      </w:r>
      <w:r>
        <w:rPr/>
        <w:t>later</w:t>
      </w:r>
      <w:r>
        <w:rPr>
          <w:spacing w:val="-3"/>
        </w:rPr>
        <w:t> </w:t>
      </w:r>
      <w:r>
        <w:rPr/>
        <w:t>than</w:t>
      </w:r>
      <w:r>
        <w:rPr>
          <w:spacing w:val="-2"/>
        </w:rPr>
        <w:t> </w:t>
      </w:r>
      <w:r>
        <w:rPr/>
        <w:t>July</w:t>
      </w:r>
      <w:r>
        <w:rPr>
          <w:spacing w:val="-7"/>
        </w:rPr>
        <w:t> </w:t>
      </w:r>
      <w:r>
        <w:rPr/>
        <w:t>1,</w:t>
      </w:r>
      <w:r>
        <w:rPr>
          <w:spacing w:val="-2"/>
        </w:rPr>
        <w:t> </w:t>
      </w:r>
      <w:r>
        <w:rPr/>
        <w:t>2023,</w:t>
      </w:r>
      <w:r>
        <w:rPr>
          <w:spacing w:val="-2"/>
        </w:rPr>
        <w:t> </w:t>
      </w:r>
      <w:r>
        <w:rPr/>
        <w:t>to</w:t>
      </w:r>
      <w:r>
        <w:rPr>
          <w:spacing w:val="-2"/>
        </w:rPr>
        <w:t> </w:t>
      </w:r>
      <w:r>
        <w:rPr/>
        <w:t>enable</w:t>
      </w:r>
      <w:r>
        <w:rPr>
          <w:spacing w:val="-3"/>
        </w:rPr>
        <w:t> </w:t>
      </w:r>
      <w:r>
        <w:rPr/>
        <w:t>Massachusetts</w:t>
      </w:r>
      <w:r>
        <w:rPr>
          <w:spacing w:val="-2"/>
        </w:rPr>
        <w:t> </w:t>
      </w:r>
      <w:r>
        <w:rPr/>
        <w:t>to</w:t>
      </w:r>
      <w:r>
        <w:rPr>
          <w:spacing w:val="-2"/>
        </w:rPr>
        <w:t> </w:t>
      </w:r>
      <w:r>
        <w:rPr/>
        <w:t>not</w:t>
      </w:r>
      <w:r>
        <w:rPr>
          <w:spacing w:val="-2"/>
        </w:rPr>
        <w:t> </w:t>
      </w:r>
      <w:r>
        <w:rPr/>
        <w:t>apply</w:t>
      </w:r>
      <w:r>
        <w:rPr>
          <w:spacing w:val="-5"/>
        </w:rPr>
        <w:t> </w:t>
      </w:r>
      <w:r>
        <w:rPr/>
        <w:t>a</w:t>
      </w:r>
      <w:r>
        <w:rPr>
          <w:spacing w:val="-1"/>
        </w:rPr>
        <w:t> </w:t>
      </w:r>
      <w:r>
        <w:rPr/>
        <w:t>paid</w:t>
      </w:r>
      <w:r>
        <w:rPr>
          <w:spacing w:val="-2"/>
        </w:rPr>
        <w:t> </w:t>
      </w:r>
      <w:r>
        <w:rPr/>
        <w:t>employment hours restriction to CommonHealth enrollees that have been enrolled in the program for at least 10 years.</w:t>
      </w:r>
    </w:p>
    <w:p>
      <w:pPr>
        <w:pStyle w:val="BodyText"/>
        <w:spacing w:before="10"/>
        <w:rPr>
          <w:sz w:val="20"/>
        </w:rPr>
      </w:pPr>
    </w:p>
    <w:p>
      <w:pPr>
        <w:pStyle w:val="Heading5"/>
        <w:numPr>
          <w:ilvl w:val="0"/>
          <w:numId w:val="2"/>
        </w:numPr>
        <w:tabs>
          <w:tab w:pos="1799" w:val="left" w:leader="none"/>
          <w:tab w:pos="8954" w:val="left" w:leader="none"/>
        </w:tabs>
        <w:spacing w:line="240" w:lineRule="auto" w:before="0" w:after="0"/>
        <w:ind w:left="1799" w:right="0" w:hanging="480"/>
        <w:jc w:val="left"/>
      </w:pPr>
      <w:bookmarkStart w:name="32. Statewide Operation Section 1902(a)(" w:id="93"/>
      <w:bookmarkEnd w:id="93"/>
      <w:r>
        <w:rPr>
          <w:b w:val="0"/>
        </w:rPr>
      </w:r>
      <w:r>
        <w:rPr/>
        <w:t>Statewide</w:t>
      </w:r>
      <w:r>
        <w:rPr>
          <w:spacing w:val="-3"/>
        </w:rPr>
        <w:t> </w:t>
      </w:r>
      <w:r>
        <w:rPr>
          <w:spacing w:val="-2"/>
        </w:rPr>
        <w:t>Operation</w:t>
      </w:r>
      <w:r>
        <w:rPr/>
        <w:tab/>
        <w:t>Section</w:t>
      </w:r>
      <w:r>
        <w:rPr>
          <w:spacing w:val="-4"/>
        </w:rPr>
        <w:t> </w:t>
      </w:r>
      <w:r>
        <w:rPr>
          <w:spacing w:val="-2"/>
        </w:rPr>
        <w:t>1902(a)(1)</w:t>
      </w:r>
    </w:p>
    <w:p>
      <w:pPr>
        <w:pStyle w:val="BodyText"/>
        <w:spacing w:before="10"/>
        <w:rPr>
          <w:b/>
          <w:sz w:val="20"/>
        </w:rPr>
      </w:pPr>
    </w:p>
    <w:p>
      <w:pPr>
        <w:pStyle w:val="BodyText"/>
        <w:ind w:left="1799" w:right="1239"/>
      </w:pPr>
      <w:bookmarkStart w:name="To the extent necessary to enable Massac" w:id="94"/>
      <w:bookmarkEnd w:id="94"/>
      <w:r>
        <w:rPr/>
      </w:r>
      <w:r>
        <w:rPr/>
        <w:t>To the extent necessary to enable Massachusetts to provide health-related social needs (HRSN)</w:t>
      </w:r>
      <w:r>
        <w:rPr>
          <w:spacing w:val="-4"/>
        </w:rPr>
        <w:t> </w:t>
      </w:r>
      <w:r>
        <w:rPr/>
        <w:t>services</w:t>
      </w:r>
      <w:r>
        <w:rPr>
          <w:spacing w:val="-3"/>
        </w:rPr>
        <w:t> </w:t>
      </w:r>
      <w:r>
        <w:rPr/>
        <w:t>or</w:t>
      </w:r>
      <w:r>
        <w:rPr>
          <w:spacing w:val="-4"/>
        </w:rPr>
        <w:t> </w:t>
      </w:r>
      <w:r>
        <w:rPr/>
        <w:t>certain</w:t>
      </w:r>
      <w:r>
        <w:rPr>
          <w:spacing w:val="-3"/>
        </w:rPr>
        <w:t> </w:t>
      </w:r>
      <w:r>
        <w:rPr/>
        <w:t>types</w:t>
      </w:r>
      <w:r>
        <w:rPr>
          <w:spacing w:val="-3"/>
        </w:rPr>
        <w:t> </w:t>
      </w:r>
      <w:r>
        <w:rPr/>
        <w:t>of</w:t>
      </w:r>
      <w:r>
        <w:rPr>
          <w:spacing w:val="-4"/>
        </w:rPr>
        <w:t> </w:t>
      </w:r>
      <w:r>
        <w:rPr/>
        <w:t>HRSN</w:t>
      </w:r>
      <w:r>
        <w:rPr>
          <w:spacing w:val="-4"/>
        </w:rPr>
        <w:t> </w:t>
      </w:r>
      <w:r>
        <w:rPr/>
        <w:t>services,</w:t>
      </w:r>
      <w:r>
        <w:rPr>
          <w:spacing w:val="-3"/>
        </w:rPr>
        <w:t> </w:t>
      </w:r>
      <w:r>
        <w:rPr/>
        <w:t>only</w:t>
      </w:r>
      <w:r>
        <w:rPr>
          <w:spacing w:val="-7"/>
        </w:rPr>
        <w:t> </w:t>
      </w:r>
      <w:r>
        <w:rPr/>
        <w:t>in</w:t>
      </w:r>
      <w:r>
        <w:rPr>
          <w:spacing w:val="-3"/>
        </w:rPr>
        <w:t> </w:t>
      </w:r>
      <w:r>
        <w:rPr/>
        <w:t>certain</w:t>
      </w:r>
      <w:r>
        <w:rPr>
          <w:spacing w:val="-1"/>
        </w:rPr>
        <w:t> </w:t>
      </w:r>
      <w:r>
        <w:rPr/>
        <w:t>geographical</w:t>
      </w:r>
      <w:r>
        <w:rPr>
          <w:spacing w:val="-3"/>
        </w:rPr>
        <w:t> </w:t>
      </w:r>
      <w:r>
        <w:rPr/>
        <w:t>areas</w:t>
      </w:r>
      <w:r>
        <w:rPr>
          <w:spacing w:val="-3"/>
        </w:rPr>
        <w:t> </w:t>
      </w:r>
      <w:r>
        <w:rPr/>
        <w:t>of</w:t>
      </w:r>
      <w:r>
        <w:rPr>
          <w:spacing w:val="-4"/>
        </w:rPr>
        <w:t> </w:t>
      </w:r>
      <w:r>
        <w:rPr/>
        <w:t>the </w:t>
      </w:r>
      <w:r>
        <w:rPr>
          <w:spacing w:val="-2"/>
        </w:rPr>
        <w:t>Commonwealth.</w:t>
      </w:r>
    </w:p>
    <w:p>
      <w:pPr>
        <w:pStyle w:val="BodyText"/>
        <w:spacing w:before="10"/>
        <w:rPr>
          <w:sz w:val="20"/>
        </w:rPr>
      </w:pPr>
    </w:p>
    <w:p>
      <w:pPr>
        <w:pStyle w:val="Heading5"/>
        <w:numPr>
          <w:ilvl w:val="0"/>
          <w:numId w:val="2"/>
        </w:numPr>
        <w:tabs>
          <w:tab w:pos="1799" w:val="left" w:leader="none"/>
          <w:tab w:pos="7646" w:val="left" w:leader="none"/>
        </w:tabs>
        <w:spacing w:line="240" w:lineRule="auto" w:before="0" w:after="0"/>
        <w:ind w:left="1799" w:right="1219" w:hanging="480"/>
        <w:jc w:val="left"/>
      </w:pPr>
      <w:bookmarkStart w:name="33. Comparability; Amount, Duration, and" w:id="95"/>
      <w:bookmarkEnd w:id="95"/>
      <w:r>
        <w:rPr>
          <w:b w:val="0"/>
        </w:rPr>
      </w:r>
      <w:r>
        <w:rPr/>
        <w:t>Comparability; Amount, Duration, and Scope.</w:t>
        <w:tab/>
        <w:t>Section</w:t>
      </w:r>
      <w:r>
        <w:rPr>
          <w:spacing w:val="-15"/>
        </w:rPr>
        <w:t> </w:t>
      </w:r>
      <w:r>
        <w:rPr/>
        <w:t>1902(a)(10)(B),</w:t>
      </w:r>
      <w:r>
        <w:rPr>
          <w:spacing w:val="-15"/>
        </w:rPr>
        <w:t> </w:t>
      </w:r>
      <w:r>
        <w:rPr/>
        <w:t>Section </w:t>
      </w:r>
      <w:r>
        <w:rPr>
          <w:spacing w:val="-2"/>
        </w:rPr>
        <w:t>1902(a)(17)</w:t>
      </w:r>
    </w:p>
    <w:p>
      <w:pPr>
        <w:pStyle w:val="BodyText"/>
        <w:spacing w:before="10"/>
        <w:rPr>
          <w:b/>
          <w:sz w:val="20"/>
        </w:rPr>
      </w:pPr>
    </w:p>
    <w:p>
      <w:pPr>
        <w:pStyle w:val="BodyText"/>
        <w:ind w:left="1799" w:right="1239"/>
      </w:pPr>
      <w:bookmarkStart w:name="To the extent necessary to enable the Co" w:id="96"/>
      <w:bookmarkEnd w:id="96"/>
      <w:r>
        <w:rPr/>
      </w:r>
      <w:r>
        <w:rPr/>
        <w:t>To</w:t>
      </w:r>
      <w:r>
        <w:rPr>
          <w:spacing w:val="-3"/>
        </w:rPr>
        <w:t> </w:t>
      </w:r>
      <w:r>
        <w:rPr/>
        <w:t>the</w:t>
      </w:r>
      <w:r>
        <w:rPr>
          <w:spacing w:val="-4"/>
        </w:rPr>
        <w:t> </w:t>
      </w:r>
      <w:r>
        <w:rPr/>
        <w:t>extent</w:t>
      </w:r>
      <w:r>
        <w:rPr>
          <w:spacing w:val="-3"/>
        </w:rPr>
        <w:t> </w:t>
      </w:r>
      <w:r>
        <w:rPr/>
        <w:t>necessary</w:t>
      </w:r>
      <w:r>
        <w:rPr>
          <w:spacing w:val="-7"/>
        </w:rPr>
        <w:t> </w:t>
      </w:r>
      <w:r>
        <w:rPr/>
        <w:t>to</w:t>
      </w:r>
      <w:r>
        <w:rPr>
          <w:spacing w:val="-3"/>
        </w:rPr>
        <w:t> </w:t>
      </w:r>
      <w:r>
        <w:rPr/>
        <w:t>enable</w:t>
      </w:r>
      <w:r>
        <w:rPr>
          <w:spacing w:val="-4"/>
        </w:rPr>
        <w:t> </w:t>
      </w:r>
      <w:r>
        <w:rPr/>
        <w:t>the</w:t>
      </w:r>
      <w:r>
        <w:rPr>
          <w:spacing w:val="-4"/>
        </w:rPr>
        <w:t> </w:t>
      </w:r>
      <w:r>
        <w:rPr/>
        <w:t>Commonwealth</w:t>
      </w:r>
      <w:r>
        <w:rPr>
          <w:spacing w:val="-3"/>
        </w:rPr>
        <w:t> </w:t>
      </w:r>
      <w:r>
        <w:rPr/>
        <w:t>to</w:t>
      </w:r>
      <w:r>
        <w:rPr>
          <w:spacing w:val="-3"/>
        </w:rPr>
        <w:t> </w:t>
      </w:r>
      <w:r>
        <w:rPr/>
        <w:t>provide</w:t>
      </w:r>
      <w:r>
        <w:rPr>
          <w:spacing w:val="-4"/>
        </w:rPr>
        <w:t> </w:t>
      </w:r>
      <w:r>
        <w:rPr/>
        <w:t>a</w:t>
      </w:r>
      <w:r>
        <w:rPr>
          <w:spacing w:val="-4"/>
        </w:rPr>
        <w:t> </w:t>
      </w:r>
      <w:r>
        <w:rPr/>
        <w:t>varying</w:t>
      </w:r>
      <w:r>
        <w:rPr>
          <w:spacing w:val="-3"/>
        </w:rPr>
        <w:t> </w:t>
      </w:r>
      <w:r>
        <w:rPr/>
        <w:t>amount,</w:t>
      </w:r>
      <w:r>
        <w:rPr>
          <w:spacing w:val="-3"/>
        </w:rPr>
        <w:t> </w:t>
      </w:r>
      <w:r>
        <w:rPr/>
        <w:t>duration, and scope of HRSN services to a subset of beneficiaries, depending on beneficiary needs.</w:t>
      </w:r>
    </w:p>
    <w:p>
      <w:pPr>
        <w:pStyle w:val="BodyText"/>
        <w:spacing w:before="10"/>
        <w:rPr>
          <w:sz w:val="20"/>
        </w:rPr>
      </w:pPr>
    </w:p>
    <w:p>
      <w:pPr>
        <w:pStyle w:val="ListParagraph"/>
        <w:numPr>
          <w:ilvl w:val="0"/>
          <w:numId w:val="2"/>
        </w:numPr>
        <w:tabs>
          <w:tab w:pos="1799" w:val="left" w:leader="none"/>
        </w:tabs>
        <w:spacing w:line="240" w:lineRule="auto" w:before="0" w:after="0"/>
        <w:ind w:left="1799" w:right="0" w:hanging="480"/>
        <w:jc w:val="left"/>
        <w:rPr>
          <w:b/>
          <w:sz w:val="24"/>
        </w:rPr>
      </w:pPr>
      <w:bookmarkStart w:name="34. Comparability and Provision of Medic" w:id="97"/>
      <w:bookmarkEnd w:id="97"/>
      <w:r>
        <w:rPr/>
      </w:r>
      <w:r>
        <w:rPr>
          <w:b/>
          <w:sz w:val="24"/>
        </w:rPr>
        <w:t>Comparability</w:t>
      </w:r>
      <w:r>
        <w:rPr>
          <w:b/>
          <w:spacing w:val="-5"/>
          <w:sz w:val="24"/>
        </w:rPr>
        <w:t> </w:t>
      </w:r>
      <w:r>
        <w:rPr>
          <w:b/>
          <w:sz w:val="24"/>
        </w:rPr>
        <w:t>and</w:t>
      </w:r>
      <w:r>
        <w:rPr>
          <w:b/>
          <w:spacing w:val="-3"/>
          <w:sz w:val="24"/>
        </w:rPr>
        <w:t> </w:t>
      </w:r>
      <w:r>
        <w:rPr>
          <w:b/>
          <w:sz w:val="24"/>
        </w:rPr>
        <w:t>Provision</w:t>
      </w:r>
      <w:r>
        <w:rPr>
          <w:b/>
          <w:spacing w:val="-3"/>
          <w:sz w:val="24"/>
        </w:rPr>
        <w:t> </w:t>
      </w:r>
      <w:r>
        <w:rPr>
          <w:b/>
          <w:sz w:val="24"/>
        </w:rPr>
        <w:t>of</w:t>
      </w:r>
      <w:r>
        <w:rPr>
          <w:b/>
          <w:spacing w:val="-2"/>
          <w:sz w:val="24"/>
        </w:rPr>
        <w:t> </w:t>
      </w:r>
      <w:r>
        <w:rPr>
          <w:b/>
          <w:sz w:val="24"/>
        </w:rPr>
        <w:t>Medical</w:t>
      </w:r>
      <w:r>
        <w:rPr>
          <w:b/>
          <w:spacing w:val="-2"/>
          <w:sz w:val="24"/>
        </w:rPr>
        <w:t> </w:t>
      </w:r>
      <w:r>
        <w:rPr>
          <w:b/>
          <w:sz w:val="24"/>
        </w:rPr>
        <w:t>Assistance</w:t>
      </w:r>
      <w:r>
        <w:rPr>
          <w:b/>
          <w:spacing w:val="-4"/>
          <w:sz w:val="24"/>
        </w:rPr>
        <w:t> </w:t>
      </w:r>
      <w:r>
        <w:rPr>
          <w:b/>
          <w:sz w:val="24"/>
        </w:rPr>
        <w:t>&amp;</w:t>
      </w:r>
      <w:r>
        <w:rPr>
          <w:b/>
          <w:spacing w:val="-4"/>
          <w:sz w:val="24"/>
        </w:rPr>
        <w:t> </w:t>
      </w:r>
      <w:r>
        <w:rPr>
          <w:b/>
          <w:sz w:val="24"/>
        </w:rPr>
        <w:t>Reasonable</w:t>
      </w:r>
      <w:r>
        <w:rPr>
          <w:b/>
          <w:spacing w:val="-1"/>
          <w:sz w:val="24"/>
        </w:rPr>
        <w:t> </w:t>
      </w:r>
      <w:r>
        <w:rPr>
          <w:b/>
          <w:spacing w:val="-2"/>
          <w:sz w:val="24"/>
        </w:rPr>
        <w:t>Promptness</w:t>
      </w:r>
    </w:p>
    <w:p>
      <w:pPr>
        <w:spacing w:before="0"/>
        <w:ind w:left="8359" w:right="0" w:firstLine="0"/>
        <w:jc w:val="left"/>
        <w:rPr>
          <w:b/>
          <w:sz w:val="24"/>
        </w:rPr>
      </w:pPr>
      <w:bookmarkStart w:name="Sections 1902(a)(10)(B)," w:id="98"/>
      <w:bookmarkEnd w:id="98"/>
      <w:r>
        <w:rPr/>
      </w:r>
      <w:r>
        <w:rPr>
          <w:b/>
          <w:sz w:val="24"/>
        </w:rPr>
        <w:t>Sections</w:t>
      </w:r>
      <w:r>
        <w:rPr>
          <w:b/>
          <w:spacing w:val="-4"/>
          <w:sz w:val="24"/>
        </w:rPr>
        <w:t> </w:t>
      </w:r>
      <w:r>
        <w:rPr>
          <w:b/>
          <w:spacing w:val="-2"/>
          <w:sz w:val="24"/>
        </w:rPr>
        <w:t>1902(a)(10)(B),</w:t>
      </w:r>
    </w:p>
    <w:p>
      <w:pPr>
        <w:spacing w:before="0"/>
        <w:ind w:left="8481" w:right="0" w:firstLine="0"/>
        <w:jc w:val="left"/>
        <w:rPr>
          <w:b/>
          <w:sz w:val="24"/>
        </w:rPr>
      </w:pPr>
      <w:bookmarkStart w:name="1902(a)(17), 1902(a)(8)" w:id="99"/>
      <w:bookmarkEnd w:id="99"/>
      <w:r>
        <w:rPr/>
      </w:r>
      <w:r>
        <w:rPr>
          <w:b/>
          <w:sz w:val="24"/>
        </w:rPr>
        <w:t>1902(a)(17),</w:t>
      </w:r>
      <w:r>
        <w:rPr>
          <w:b/>
          <w:spacing w:val="-4"/>
          <w:sz w:val="24"/>
        </w:rPr>
        <w:t> </w:t>
      </w:r>
      <w:r>
        <w:rPr>
          <w:b/>
          <w:spacing w:val="-2"/>
          <w:sz w:val="24"/>
        </w:rPr>
        <w:t>1902(a)(8)</w:t>
      </w:r>
    </w:p>
    <w:p>
      <w:pPr>
        <w:pStyle w:val="BodyText"/>
        <w:spacing w:before="10"/>
        <w:rPr>
          <w:b/>
          <w:sz w:val="20"/>
        </w:rPr>
      </w:pPr>
    </w:p>
    <w:p>
      <w:pPr>
        <w:pStyle w:val="BodyText"/>
        <w:ind w:left="1799" w:right="1239"/>
      </w:pPr>
      <w:r>
        <w:rPr/>
        <w:t>To</w:t>
      </w:r>
      <w:r>
        <w:rPr>
          <w:spacing w:val="-2"/>
        </w:rPr>
        <w:t> </w:t>
      </w:r>
      <w:r>
        <w:rPr/>
        <w:t>the</w:t>
      </w:r>
      <w:r>
        <w:rPr>
          <w:spacing w:val="-3"/>
        </w:rPr>
        <w:t> </w:t>
      </w:r>
      <w:r>
        <w:rPr/>
        <w:t>extent</w:t>
      </w:r>
      <w:r>
        <w:rPr>
          <w:spacing w:val="-2"/>
        </w:rPr>
        <w:t> </w:t>
      </w:r>
      <w:r>
        <w:rPr/>
        <w:t>necessary</w:t>
      </w:r>
      <w:r>
        <w:rPr>
          <w:spacing w:val="-7"/>
        </w:rPr>
        <w:t> </w:t>
      </w:r>
      <w:r>
        <w:rPr/>
        <w:t>to</w:t>
      </w:r>
      <w:r>
        <w:rPr>
          <w:spacing w:val="-3"/>
        </w:rPr>
        <w:t> </w:t>
      </w:r>
      <w:r>
        <w:rPr/>
        <w:t>allow</w:t>
      </w:r>
      <w:r>
        <w:rPr>
          <w:spacing w:val="-3"/>
        </w:rPr>
        <w:t> </w:t>
      </w:r>
      <w:r>
        <w:rPr/>
        <w:t>the</w:t>
      </w:r>
      <w:r>
        <w:rPr>
          <w:spacing w:val="-3"/>
        </w:rPr>
        <w:t> </w:t>
      </w:r>
      <w:r>
        <w:rPr/>
        <w:t>Commonwealth</w:t>
      </w:r>
      <w:r>
        <w:rPr>
          <w:spacing w:val="-2"/>
        </w:rPr>
        <w:t> </w:t>
      </w:r>
      <w:r>
        <w:rPr/>
        <w:t>to</w:t>
      </w:r>
      <w:r>
        <w:rPr>
          <w:spacing w:val="-2"/>
        </w:rPr>
        <w:t> </w:t>
      </w:r>
      <w:r>
        <w:rPr/>
        <w:t>offer</w:t>
      </w:r>
      <w:r>
        <w:rPr>
          <w:spacing w:val="-3"/>
        </w:rPr>
        <w:t> </w:t>
      </w:r>
      <w:r>
        <w:rPr/>
        <w:t>HRSN</w:t>
      </w:r>
      <w:r>
        <w:rPr>
          <w:spacing w:val="-3"/>
        </w:rPr>
        <w:t> </w:t>
      </w:r>
      <w:r>
        <w:rPr/>
        <w:t>services</w:t>
      </w:r>
      <w:r>
        <w:rPr>
          <w:spacing w:val="-2"/>
        </w:rPr>
        <w:t> </w:t>
      </w:r>
      <w:r>
        <w:rPr/>
        <w:t>to</w:t>
      </w:r>
      <w:r>
        <w:rPr>
          <w:spacing w:val="-2"/>
        </w:rPr>
        <w:t> </w:t>
      </w:r>
      <w:r>
        <w:rPr/>
        <w:t>an</w:t>
      </w:r>
      <w:r>
        <w:rPr>
          <w:spacing w:val="-2"/>
        </w:rPr>
        <w:t> </w:t>
      </w:r>
      <w:r>
        <w:rPr/>
        <w:t>individual who meets the qualifying criteria for HRSN services, including delivery system enrollment, as described in Section 16 of the STCs.</w:t>
      </w:r>
    </w:p>
    <w:p>
      <w:pPr>
        <w:pStyle w:val="BodyText"/>
      </w:pPr>
    </w:p>
    <w:p>
      <w:pPr>
        <w:pStyle w:val="BodyText"/>
        <w:ind w:left="1799" w:right="1239"/>
      </w:pPr>
      <w:r>
        <w:rPr/>
        <w:t>To</w:t>
      </w:r>
      <w:r>
        <w:rPr>
          <w:spacing w:val="-3"/>
        </w:rPr>
        <w:t> </w:t>
      </w:r>
      <w:r>
        <w:rPr/>
        <w:t>the</w:t>
      </w:r>
      <w:r>
        <w:rPr>
          <w:spacing w:val="-3"/>
        </w:rPr>
        <w:t> </w:t>
      </w:r>
      <w:r>
        <w:rPr/>
        <w:t>extent</w:t>
      </w:r>
      <w:r>
        <w:rPr>
          <w:spacing w:val="-3"/>
        </w:rPr>
        <w:t> </w:t>
      </w:r>
      <w:r>
        <w:rPr/>
        <w:t>necessary</w:t>
      </w:r>
      <w:r>
        <w:rPr>
          <w:spacing w:val="-7"/>
        </w:rPr>
        <w:t> </w:t>
      </w:r>
      <w:r>
        <w:rPr/>
        <w:t>to</w:t>
      </w:r>
      <w:r>
        <w:rPr>
          <w:spacing w:val="-3"/>
        </w:rPr>
        <w:t> </w:t>
      </w:r>
      <w:r>
        <w:rPr/>
        <w:t>allow</w:t>
      </w:r>
      <w:r>
        <w:rPr>
          <w:spacing w:val="-3"/>
        </w:rPr>
        <w:t> </w:t>
      </w:r>
      <w:r>
        <w:rPr/>
        <w:t>the</w:t>
      </w:r>
      <w:r>
        <w:rPr>
          <w:spacing w:val="-4"/>
        </w:rPr>
        <w:t> </w:t>
      </w:r>
      <w:r>
        <w:rPr/>
        <w:t>Commonwealth</w:t>
      </w:r>
      <w:r>
        <w:rPr>
          <w:spacing w:val="-3"/>
        </w:rPr>
        <w:t> </w:t>
      </w:r>
      <w:r>
        <w:rPr/>
        <w:t>to</w:t>
      </w:r>
      <w:r>
        <w:rPr>
          <w:spacing w:val="-3"/>
        </w:rPr>
        <w:t> </w:t>
      </w:r>
      <w:r>
        <w:rPr/>
        <w:t>delay</w:t>
      </w:r>
      <w:r>
        <w:rPr>
          <w:spacing w:val="-7"/>
        </w:rPr>
        <w:t> </w:t>
      </w:r>
      <w:r>
        <w:rPr/>
        <w:t>the</w:t>
      </w:r>
      <w:r>
        <w:rPr>
          <w:spacing w:val="-2"/>
        </w:rPr>
        <w:t> </w:t>
      </w:r>
      <w:r>
        <w:rPr/>
        <w:t>application</w:t>
      </w:r>
      <w:r>
        <w:rPr>
          <w:spacing w:val="-3"/>
        </w:rPr>
        <w:t> </w:t>
      </w:r>
      <w:r>
        <w:rPr/>
        <w:t>review</w:t>
      </w:r>
      <w:r>
        <w:rPr>
          <w:spacing w:val="-3"/>
        </w:rPr>
        <w:t> </w:t>
      </w:r>
      <w:r>
        <w:rPr/>
        <w:t>process for HRSN services in the event the Commonwealth does not have sufficient funding to support providing these services to eligible beneficiaries.</w:t>
      </w:r>
    </w:p>
    <w:p>
      <w:pPr>
        <w:pStyle w:val="BodyText"/>
        <w:rPr>
          <w:sz w:val="26"/>
        </w:rPr>
      </w:pPr>
    </w:p>
    <w:p>
      <w:pPr>
        <w:pStyle w:val="BodyText"/>
        <w:rPr>
          <w:sz w:val="22"/>
        </w:rPr>
      </w:pPr>
    </w:p>
    <w:p>
      <w:pPr>
        <w:spacing w:before="1"/>
        <w:ind w:left="1440" w:right="1239" w:firstLine="0"/>
        <w:jc w:val="left"/>
        <w:rPr>
          <w:b/>
          <w:sz w:val="24"/>
        </w:rPr>
      </w:pPr>
      <w:bookmarkStart w:name="In Addition to the Above, the Following " w:id="100"/>
      <w:bookmarkEnd w:id="100"/>
      <w:r>
        <w:rPr/>
      </w:r>
      <w:r>
        <w:rPr>
          <w:b/>
          <w:sz w:val="24"/>
          <w:u w:val="thick"/>
        </w:rPr>
        <w:t>In</w:t>
      </w:r>
      <w:r>
        <w:rPr>
          <w:b/>
          <w:spacing w:val="-3"/>
          <w:sz w:val="24"/>
          <w:u w:val="thick"/>
        </w:rPr>
        <w:t> </w:t>
      </w:r>
      <w:r>
        <w:rPr>
          <w:b/>
          <w:sz w:val="24"/>
          <w:u w:val="thick"/>
        </w:rPr>
        <w:t>Addition</w:t>
      </w:r>
      <w:r>
        <w:rPr>
          <w:b/>
          <w:spacing w:val="-3"/>
          <w:sz w:val="24"/>
          <w:u w:val="thick"/>
        </w:rPr>
        <w:t> </w:t>
      </w:r>
      <w:r>
        <w:rPr>
          <w:b/>
          <w:sz w:val="24"/>
          <w:u w:val="thick"/>
        </w:rPr>
        <w:t>to</w:t>
      </w:r>
      <w:r>
        <w:rPr>
          <w:b/>
          <w:spacing w:val="-3"/>
          <w:sz w:val="24"/>
          <w:u w:val="thick"/>
        </w:rPr>
        <w:t> </w:t>
      </w:r>
      <w:r>
        <w:rPr>
          <w:b/>
          <w:sz w:val="24"/>
          <w:u w:val="thick"/>
        </w:rPr>
        <w:t>the</w:t>
      </w:r>
      <w:r>
        <w:rPr>
          <w:b/>
          <w:spacing w:val="-4"/>
          <w:sz w:val="24"/>
          <w:u w:val="thick"/>
        </w:rPr>
        <w:t> </w:t>
      </w:r>
      <w:r>
        <w:rPr>
          <w:b/>
          <w:sz w:val="24"/>
          <w:u w:val="thick"/>
        </w:rPr>
        <w:t>Above,</w:t>
      </w:r>
      <w:r>
        <w:rPr>
          <w:b/>
          <w:spacing w:val="-3"/>
          <w:sz w:val="24"/>
          <w:u w:val="thick"/>
        </w:rPr>
        <w:t> </w:t>
      </w:r>
      <w:r>
        <w:rPr>
          <w:b/>
          <w:sz w:val="24"/>
          <w:u w:val="thick"/>
        </w:rPr>
        <w:t>the</w:t>
      </w:r>
      <w:r>
        <w:rPr>
          <w:b/>
          <w:spacing w:val="-2"/>
          <w:sz w:val="24"/>
          <w:u w:val="thick"/>
        </w:rPr>
        <w:t> </w:t>
      </w:r>
      <w:r>
        <w:rPr>
          <w:b/>
          <w:sz w:val="24"/>
          <w:u w:val="thick"/>
        </w:rPr>
        <w:t>Following</w:t>
      </w:r>
      <w:r>
        <w:rPr>
          <w:b/>
          <w:spacing w:val="-3"/>
          <w:sz w:val="24"/>
          <w:u w:val="thick"/>
        </w:rPr>
        <w:t> </w:t>
      </w:r>
      <w:r>
        <w:rPr>
          <w:b/>
          <w:sz w:val="24"/>
          <w:u w:val="thick"/>
        </w:rPr>
        <w:t>Title</w:t>
      </w:r>
      <w:r>
        <w:rPr>
          <w:b/>
          <w:spacing w:val="-4"/>
          <w:sz w:val="24"/>
          <w:u w:val="thick"/>
        </w:rPr>
        <w:t> </w:t>
      </w:r>
      <w:r>
        <w:rPr>
          <w:b/>
          <w:sz w:val="24"/>
          <w:u w:val="thick"/>
        </w:rPr>
        <w:t>XIX</w:t>
      </w:r>
      <w:r>
        <w:rPr>
          <w:b/>
          <w:spacing w:val="-4"/>
          <w:sz w:val="24"/>
          <w:u w:val="thick"/>
        </w:rPr>
        <w:t> </w:t>
      </w:r>
      <w:r>
        <w:rPr>
          <w:b/>
          <w:sz w:val="24"/>
          <w:u w:val="thick"/>
        </w:rPr>
        <w:t>Requirements</w:t>
      </w:r>
      <w:r>
        <w:rPr>
          <w:b/>
          <w:spacing w:val="-3"/>
          <w:sz w:val="24"/>
          <w:u w:val="thick"/>
        </w:rPr>
        <w:t> </w:t>
      </w:r>
      <w:r>
        <w:rPr>
          <w:b/>
          <w:sz w:val="24"/>
          <w:u w:val="thick"/>
        </w:rPr>
        <w:t>Do</w:t>
      </w:r>
      <w:r>
        <w:rPr>
          <w:b/>
          <w:spacing w:val="-1"/>
          <w:sz w:val="24"/>
          <w:u w:val="thick"/>
        </w:rPr>
        <w:t> </w:t>
      </w:r>
      <w:r>
        <w:rPr>
          <w:b/>
          <w:sz w:val="24"/>
          <w:u w:val="thick"/>
        </w:rPr>
        <w:t>Not</w:t>
      </w:r>
      <w:r>
        <w:rPr>
          <w:b/>
          <w:spacing w:val="-4"/>
          <w:sz w:val="24"/>
          <w:u w:val="thick"/>
        </w:rPr>
        <w:t> </w:t>
      </w:r>
      <w:r>
        <w:rPr>
          <w:b/>
          <w:sz w:val="24"/>
          <w:u w:val="thick"/>
        </w:rPr>
        <w:t>Apply</w:t>
      </w:r>
      <w:r>
        <w:rPr>
          <w:b/>
          <w:spacing w:val="-3"/>
          <w:sz w:val="24"/>
          <w:u w:val="thick"/>
        </w:rPr>
        <w:t> </w:t>
      </w:r>
      <w:r>
        <w:rPr>
          <w:b/>
          <w:sz w:val="24"/>
          <w:u w:val="thick"/>
        </w:rPr>
        <w:t>to</w:t>
      </w:r>
      <w:r>
        <w:rPr>
          <w:b/>
          <w:sz w:val="24"/>
        </w:rPr>
        <w:t> </w:t>
      </w:r>
      <w:bookmarkStart w:name="35. Early and Periodic Screening, Diagno" w:id="101"/>
      <w:bookmarkEnd w:id="101"/>
      <w:r>
        <w:rPr>
          <w:b/>
          <w:sz w:val="24"/>
        </w:rPr>
      </w:r>
      <w:r>
        <w:rPr>
          <w:b/>
          <w:sz w:val="24"/>
          <w:u w:val="thick"/>
        </w:rPr>
        <w:t>Expenditures for Family Assistance Coverage:</w:t>
      </w:r>
    </w:p>
    <w:p>
      <w:pPr>
        <w:pStyle w:val="BodyText"/>
        <w:spacing w:before="9"/>
        <w:rPr>
          <w:b/>
          <w:sz w:val="20"/>
        </w:rPr>
      </w:pPr>
    </w:p>
    <w:p>
      <w:pPr>
        <w:pStyle w:val="Heading5"/>
        <w:numPr>
          <w:ilvl w:val="0"/>
          <w:numId w:val="2"/>
        </w:numPr>
        <w:tabs>
          <w:tab w:pos="1800" w:val="left" w:leader="none"/>
          <w:tab w:pos="8834" w:val="left" w:leader="none"/>
        </w:tabs>
        <w:spacing w:line="240" w:lineRule="auto" w:before="1" w:after="0"/>
        <w:ind w:left="1800" w:right="0" w:hanging="480"/>
        <w:jc w:val="left"/>
      </w:pPr>
      <w:r>
        <w:rPr/>
        <w:t>Early</w:t>
      </w:r>
      <w:r>
        <w:rPr>
          <w:spacing w:val="-5"/>
        </w:rPr>
        <w:t> </w:t>
      </w:r>
      <w:r>
        <w:rPr/>
        <w:t>and</w:t>
      </w:r>
      <w:r>
        <w:rPr>
          <w:spacing w:val="-2"/>
        </w:rPr>
        <w:t> </w:t>
      </w:r>
      <w:r>
        <w:rPr/>
        <w:t>Periodic</w:t>
      </w:r>
      <w:r>
        <w:rPr>
          <w:spacing w:val="-3"/>
        </w:rPr>
        <w:t> </w:t>
      </w:r>
      <w:r>
        <w:rPr/>
        <w:t>Screening,</w:t>
      </w:r>
      <w:r>
        <w:rPr>
          <w:spacing w:val="-2"/>
        </w:rPr>
        <w:t> </w:t>
      </w:r>
      <w:r>
        <w:rPr/>
        <w:t>Diagnostic</w:t>
      </w:r>
      <w:r>
        <w:rPr>
          <w:spacing w:val="-3"/>
        </w:rPr>
        <w:t> </w:t>
      </w:r>
      <w:r>
        <w:rPr/>
        <w:t>and</w:t>
      </w:r>
      <w:r>
        <w:rPr>
          <w:spacing w:val="-4"/>
        </w:rPr>
        <w:t> </w:t>
      </w:r>
      <w:r>
        <w:rPr/>
        <w:t>Treatment</w:t>
      </w:r>
      <w:r>
        <w:rPr>
          <w:spacing w:val="-3"/>
        </w:rPr>
        <w:t> </w:t>
      </w:r>
      <w:r>
        <w:rPr>
          <w:spacing w:val="-2"/>
        </w:rPr>
        <w:t>Services</w:t>
      </w:r>
      <w:r>
        <w:rPr/>
        <w:tab/>
        <w:t>Section</w:t>
      </w:r>
      <w:r>
        <w:rPr>
          <w:spacing w:val="-4"/>
        </w:rPr>
        <w:t> </w:t>
      </w:r>
      <w:r>
        <w:rPr>
          <w:spacing w:val="-2"/>
        </w:rPr>
        <w:t>1902(a)(43)</w:t>
      </w:r>
    </w:p>
    <w:p>
      <w:pPr>
        <w:pStyle w:val="BodyText"/>
        <w:spacing w:before="10"/>
        <w:rPr>
          <w:b/>
          <w:sz w:val="20"/>
        </w:rPr>
      </w:pPr>
    </w:p>
    <w:p>
      <w:pPr>
        <w:pStyle w:val="BodyText"/>
        <w:ind w:left="1440" w:right="1239"/>
      </w:pPr>
      <w:r>
        <w:rPr/>
        <w:t>Early</w:t>
      </w:r>
      <w:r>
        <w:rPr>
          <w:spacing w:val="-8"/>
        </w:rPr>
        <w:t> </w:t>
      </w:r>
      <w:r>
        <w:rPr/>
        <w:t>and</w:t>
      </w:r>
      <w:r>
        <w:rPr>
          <w:spacing w:val="-3"/>
        </w:rPr>
        <w:t> </w:t>
      </w:r>
      <w:r>
        <w:rPr/>
        <w:t>Periodic</w:t>
      </w:r>
      <w:r>
        <w:rPr>
          <w:spacing w:val="-4"/>
        </w:rPr>
        <w:t> </w:t>
      </w:r>
      <w:r>
        <w:rPr/>
        <w:t>Screening,</w:t>
      </w:r>
      <w:r>
        <w:rPr>
          <w:spacing w:val="-3"/>
        </w:rPr>
        <w:t> </w:t>
      </w:r>
      <w:r>
        <w:rPr/>
        <w:t>Diagnostic</w:t>
      </w:r>
      <w:r>
        <w:rPr>
          <w:spacing w:val="-4"/>
        </w:rPr>
        <w:t> </w:t>
      </w:r>
      <w:r>
        <w:rPr/>
        <w:t>and</w:t>
      </w:r>
      <w:r>
        <w:rPr>
          <w:spacing w:val="-1"/>
        </w:rPr>
        <w:t> </w:t>
      </w:r>
      <w:r>
        <w:rPr/>
        <w:t>Treatment</w:t>
      </w:r>
      <w:r>
        <w:rPr>
          <w:spacing w:val="-3"/>
        </w:rPr>
        <w:t> </w:t>
      </w:r>
      <w:r>
        <w:rPr/>
        <w:t>Services</w:t>
      </w:r>
      <w:r>
        <w:rPr>
          <w:spacing w:val="-3"/>
        </w:rPr>
        <w:t> </w:t>
      </w:r>
      <w:r>
        <w:rPr/>
        <w:t>(EPSDT)</w:t>
      </w:r>
      <w:r>
        <w:rPr>
          <w:spacing w:val="-4"/>
        </w:rPr>
        <w:t> </w:t>
      </w:r>
      <w:r>
        <w:rPr/>
        <w:t>does</w:t>
      </w:r>
      <w:r>
        <w:rPr>
          <w:spacing w:val="-3"/>
        </w:rPr>
        <w:t> </w:t>
      </w:r>
      <w:r>
        <w:rPr/>
        <w:t>not</w:t>
      </w:r>
      <w:r>
        <w:rPr>
          <w:spacing w:val="-3"/>
        </w:rPr>
        <w:t> </w:t>
      </w:r>
      <w:r>
        <w:rPr/>
        <w:t>apply</w:t>
      </w:r>
      <w:r>
        <w:rPr>
          <w:spacing w:val="-8"/>
        </w:rPr>
        <w:t> </w:t>
      </w:r>
      <w:r>
        <w:rPr/>
        <w:t>to individuals eligible for the Family Assistance program.</w:t>
      </w:r>
    </w:p>
    <w:p>
      <w:pPr>
        <w:pStyle w:val="BodyText"/>
        <w:rPr>
          <w:sz w:val="26"/>
        </w:rPr>
      </w:pPr>
    </w:p>
    <w:p>
      <w:pPr>
        <w:pStyle w:val="Heading5"/>
        <w:numPr>
          <w:ilvl w:val="0"/>
          <w:numId w:val="2"/>
        </w:numPr>
        <w:tabs>
          <w:tab w:pos="1800" w:val="left" w:leader="none"/>
          <w:tab w:pos="8721" w:val="left" w:leader="none"/>
        </w:tabs>
        <w:spacing w:line="240" w:lineRule="auto" w:before="217" w:after="0"/>
        <w:ind w:left="1800" w:right="0" w:hanging="480"/>
        <w:jc w:val="left"/>
      </w:pPr>
      <w:bookmarkStart w:name="36. Assurance of Transportation         " w:id="102"/>
      <w:bookmarkEnd w:id="102"/>
      <w:r>
        <w:rPr>
          <w:b w:val="0"/>
        </w:rPr>
      </w:r>
      <w:r>
        <w:rPr/>
        <w:t>Assurance</w:t>
      </w:r>
      <w:r>
        <w:rPr>
          <w:spacing w:val="-3"/>
        </w:rPr>
        <w:t> </w:t>
      </w:r>
      <w:r>
        <w:rPr/>
        <w:t>of</w:t>
      </w:r>
      <w:r>
        <w:rPr>
          <w:spacing w:val="-1"/>
        </w:rPr>
        <w:t> </w:t>
      </w:r>
      <w:r>
        <w:rPr>
          <w:spacing w:val="-2"/>
        </w:rPr>
        <w:t>Transportation</w:t>
      </w:r>
      <w:r>
        <w:rPr/>
        <w:tab/>
        <w:t>Section</w:t>
      </w:r>
      <w:r>
        <w:rPr>
          <w:spacing w:val="-4"/>
        </w:rPr>
        <w:t> </w:t>
      </w:r>
      <w:r>
        <w:rPr>
          <w:spacing w:val="-2"/>
        </w:rPr>
        <w:t>1902(a)(4)</w:t>
      </w:r>
    </w:p>
    <w:p>
      <w:pPr>
        <w:pStyle w:val="BodyText"/>
        <w:spacing w:before="10"/>
        <w:rPr>
          <w:b/>
          <w:sz w:val="20"/>
        </w:rPr>
      </w:pPr>
    </w:p>
    <w:p>
      <w:pPr>
        <w:pStyle w:val="BodyText"/>
        <w:ind w:left="1800" w:right="1239"/>
      </w:pPr>
      <w:bookmarkStart w:name="To enable Massachusetts to provide benef" w:id="103"/>
      <w:bookmarkEnd w:id="103"/>
      <w:r>
        <w:rPr/>
      </w:r>
      <w:r>
        <w:rPr/>
        <w:t>To</w:t>
      </w:r>
      <w:r>
        <w:rPr>
          <w:spacing w:val="-3"/>
        </w:rPr>
        <w:t> </w:t>
      </w:r>
      <w:r>
        <w:rPr/>
        <w:t>enable</w:t>
      </w:r>
      <w:r>
        <w:rPr>
          <w:spacing w:val="-4"/>
        </w:rPr>
        <w:t> </w:t>
      </w:r>
      <w:r>
        <w:rPr/>
        <w:t>Massachusetts</w:t>
      </w:r>
      <w:r>
        <w:rPr>
          <w:spacing w:val="-1"/>
        </w:rPr>
        <w:t> </w:t>
      </w:r>
      <w:r>
        <w:rPr/>
        <w:t>to</w:t>
      </w:r>
      <w:r>
        <w:rPr>
          <w:spacing w:val="-3"/>
        </w:rPr>
        <w:t> </w:t>
      </w:r>
      <w:r>
        <w:rPr/>
        <w:t>provide</w:t>
      </w:r>
      <w:r>
        <w:rPr>
          <w:spacing w:val="-4"/>
        </w:rPr>
        <w:t> </w:t>
      </w:r>
      <w:r>
        <w:rPr/>
        <w:t>benefit</w:t>
      </w:r>
      <w:r>
        <w:rPr>
          <w:spacing w:val="-3"/>
        </w:rPr>
        <w:t> </w:t>
      </w:r>
      <w:r>
        <w:rPr/>
        <w:t>packages</w:t>
      </w:r>
      <w:r>
        <w:rPr>
          <w:spacing w:val="-3"/>
        </w:rPr>
        <w:t> </w:t>
      </w:r>
      <w:r>
        <w:rPr/>
        <w:t>to</w:t>
      </w:r>
      <w:r>
        <w:rPr>
          <w:spacing w:val="-3"/>
        </w:rPr>
        <w:t> </w:t>
      </w:r>
      <w:r>
        <w:rPr/>
        <w:t>individuals</w:t>
      </w:r>
      <w:r>
        <w:rPr>
          <w:spacing w:val="-3"/>
        </w:rPr>
        <w:t> </w:t>
      </w:r>
      <w:r>
        <w:rPr/>
        <w:t>enrolled</w:t>
      </w:r>
      <w:r>
        <w:rPr>
          <w:spacing w:val="-3"/>
        </w:rPr>
        <w:t> </w:t>
      </w:r>
      <w:r>
        <w:rPr/>
        <w:t>in</w:t>
      </w:r>
      <w:r>
        <w:rPr>
          <w:spacing w:val="-3"/>
        </w:rPr>
        <w:t> </w:t>
      </w:r>
      <w:r>
        <w:rPr/>
        <w:t>the</w:t>
      </w:r>
      <w:r>
        <w:rPr>
          <w:spacing w:val="-4"/>
        </w:rPr>
        <w:t> </w:t>
      </w:r>
      <w:r>
        <w:rPr/>
        <w:t>Family Assistance demonstration programs that do not include transportation.</w:t>
      </w:r>
    </w:p>
    <w:p>
      <w:pPr>
        <w:spacing w:after="0"/>
        <w:sectPr>
          <w:pgSz w:w="12240" w:h="15840"/>
          <w:pgMar w:header="0" w:footer="998" w:top="1360" w:bottom="1180" w:left="0" w:right="220"/>
        </w:sectPr>
      </w:pPr>
    </w:p>
    <w:p>
      <w:pPr>
        <w:pStyle w:val="Heading5"/>
        <w:numPr>
          <w:ilvl w:val="0"/>
          <w:numId w:val="2"/>
        </w:numPr>
        <w:tabs>
          <w:tab w:pos="1799" w:val="left" w:leader="none"/>
          <w:tab w:pos="8246" w:val="left" w:leader="none"/>
          <w:tab w:pos="8515" w:val="left" w:leader="none"/>
        </w:tabs>
        <w:spacing w:line="240" w:lineRule="auto" w:before="79" w:after="0"/>
        <w:ind w:left="8246" w:right="1219" w:hanging="6927"/>
        <w:jc w:val="right"/>
      </w:pPr>
      <w:bookmarkStart w:name="37. Mandatory Services Section 1902(a)(1" w:id="104"/>
      <w:bookmarkEnd w:id="104"/>
      <w:r>
        <w:rPr>
          <w:b w:val="0"/>
        </w:rPr>
      </w:r>
      <w:r>
        <w:rPr/>
        <w:t>Mandatory</w:t>
      </w:r>
      <w:r>
        <w:rPr>
          <w:spacing w:val="-1"/>
        </w:rPr>
        <w:t> </w:t>
      </w:r>
      <w:r>
        <w:rPr/>
        <w:t>Services</w:t>
        <w:tab/>
        <w:tab/>
      </w:r>
      <w:r>
        <w:rPr>
          <w:spacing w:val="-2"/>
        </w:rPr>
        <w:t>Section</w:t>
      </w:r>
      <w:r>
        <w:rPr>
          <w:spacing w:val="-12"/>
        </w:rPr>
        <w:t> </w:t>
      </w:r>
      <w:r>
        <w:rPr>
          <w:spacing w:val="-2"/>
        </w:rPr>
        <w:t>1902(a)(10)(A) </w:t>
      </w:r>
      <w:r>
        <w:rPr/>
        <w:t>insofar</w:t>
      </w:r>
      <w:r>
        <w:rPr>
          <w:spacing w:val="-3"/>
        </w:rPr>
        <w:t> </w:t>
      </w:r>
      <w:r>
        <w:rPr/>
        <w:t>as it</w:t>
      </w:r>
      <w:r>
        <w:rPr>
          <w:spacing w:val="-1"/>
        </w:rPr>
        <w:t> </w:t>
      </w:r>
      <w:r>
        <w:rPr>
          <w:spacing w:val="-2"/>
        </w:rPr>
        <w:t>incorporates</w:t>
      </w:r>
    </w:p>
    <w:p>
      <w:pPr>
        <w:spacing w:before="0"/>
        <w:ind w:left="0" w:right="1219" w:firstLine="0"/>
        <w:jc w:val="right"/>
        <w:rPr>
          <w:b/>
          <w:sz w:val="24"/>
        </w:rPr>
      </w:pPr>
      <w:r>
        <w:rPr>
          <w:b/>
          <w:sz w:val="24"/>
        </w:rPr>
        <w:t>Section</w:t>
      </w:r>
      <w:r>
        <w:rPr>
          <w:b/>
          <w:spacing w:val="-4"/>
          <w:sz w:val="24"/>
        </w:rPr>
        <w:t> </w:t>
      </w:r>
      <w:r>
        <w:rPr>
          <w:b/>
          <w:spacing w:val="-2"/>
          <w:sz w:val="24"/>
        </w:rPr>
        <w:t>1905(a)</w:t>
      </w:r>
    </w:p>
    <w:p>
      <w:pPr>
        <w:pStyle w:val="BodyText"/>
        <w:spacing w:before="10"/>
        <w:rPr>
          <w:b/>
          <w:sz w:val="20"/>
        </w:rPr>
      </w:pPr>
    </w:p>
    <w:p>
      <w:pPr>
        <w:pStyle w:val="BodyText"/>
        <w:ind w:left="1800" w:right="1239"/>
      </w:pPr>
      <w:bookmarkStart w:name="To exempt the state from providing all m" w:id="105"/>
      <w:bookmarkEnd w:id="105"/>
      <w:r>
        <w:rPr/>
      </w:r>
      <w:r>
        <w:rPr/>
        <w:t>To</w:t>
      </w:r>
      <w:r>
        <w:rPr>
          <w:spacing w:val="-3"/>
        </w:rPr>
        <w:t> </w:t>
      </w:r>
      <w:r>
        <w:rPr/>
        <w:t>exempt</w:t>
      </w:r>
      <w:r>
        <w:rPr>
          <w:spacing w:val="-3"/>
        </w:rPr>
        <w:t> </w:t>
      </w:r>
      <w:r>
        <w:rPr/>
        <w:t>the</w:t>
      </w:r>
      <w:r>
        <w:rPr>
          <w:spacing w:val="-4"/>
        </w:rPr>
        <w:t> </w:t>
      </w:r>
      <w:r>
        <w:rPr/>
        <w:t>state</w:t>
      </w:r>
      <w:r>
        <w:rPr>
          <w:spacing w:val="-4"/>
        </w:rPr>
        <w:t> </w:t>
      </w:r>
      <w:r>
        <w:rPr/>
        <w:t>from</w:t>
      </w:r>
      <w:r>
        <w:rPr>
          <w:spacing w:val="-3"/>
        </w:rPr>
        <w:t> </w:t>
      </w:r>
      <w:r>
        <w:rPr/>
        <w:t>providing</w:t>
      </w:r>
      <w:r>
        <w:rPr>
          <w:spacing w:val="-5"/>
        </w:rPr>
        <w:t> </w:t>
      </w:r>
      <w:r>
        <w:rPr/>
        <w:t>all</w:t>
      </w:r>
      <w:r>
        <w:rPr>
          <w:spacing w:val="-3"/>
        </w:rPr>
        <w:t> </w:t>
      </w:r>
      <w:r>
        <w:rPr/>
        <w:t>mandatory</w:t>
      </w:r>
      <w:r>
        <w:rPr>
          <w:spacing w:val="-5"/>
        </w:rPr>
        <w:t> </w:t>
      </w:r>
      <w:r>
        <w:rPr/>
        <w:t>services</w:t>
      </w:r>
      <w:r>
        <w:rPr>
          <w:spacing w:val="-3"/>
        </w:rPr>
        <w:t> </w:t>
      </w:r>
      <w:r>
        <w:rPr/>
        <w:t>to</w:t>
      </w:r>
      <w:r>
        <w:rPr>
          <w:spacing w:val="-3"/>
        </w:rPr>
        <w:t> </w:t>
      </w:r>
      <w:r>
        <w:rPr/>
        <w:t>individuals</w:t>
      </w:r>
      <w:r>
        <w:rPr>
          <w:spacing w:val="-3"/>
        </w:rPr>
        <w:t> </w:t>
      </w:r>
      <w:r>
        <w:rPr/>
        <w:t>enrolled</w:t>
      </w:r>
      <w:r>
        <w:rPr>
          <w:spacing w:val="-3"/>
        </w:rPr>
        <w:t> </w:t>
      </w:r>
      <w:r>
        <w:rPr/>
        <w:t>in</w:t>
      </w:r>
      <w:r>
        <w:rPr>
          <w:spacing w:val="-3"/>
        </w:rPr>
        <w:t> </w:t>
      </w:r>
      <w:r>
        <w:rPr/>
        <w:t>the Family Assistance demonstration programs.</w:t>
      </w:r>
    </w:p>
    <w:p>
      <w:pPr>
        <w:pStyle w:val="BodyText"/>
        <w:spacing w:before="10"/>
        <w:rPr>
          <w:sz w:val="20"/>
        </w:rPr>
      </w:pPr>
    </w:p>
    <w:p>
      <w:pPr>
        <w:spacing w:before="0"/>
        <w:ind w:left="1440" w:right="1239" w:firstLine="0"/>
        <w:jc w:val="left"/>
        <w:rPr>
          <w:b/>
          <w:sz w:val="24"/>
        </w:rPr>
      </w:pPr>
      <w:bookmarkStart w:name="The Following Title XIX Requirements Do " w:id="106"/>
      <w:bookmarkEnd w:id="106"/>
      <w:r>
        <w:rPr/>
      </w:r>
      <w:r>
        <w:rPr>
          <w:b/>
          <w:sz w:val="24"/>
          <w:u w:val="thick"/>
        </w:rPr>
        <w:t>The</w:t>
      </w:r>
      <w:r>
        <w:rPr>
          <w:b/>
          <w:spacing w:val="-4"/>
          <w:sz w:val="24"/>
          <w:u w:val="thick"/>
        </w:rPr>
        <w:t> </w:t>
      </w:r>
      <w:r>
        <w:rPr>
          <w:b/>
          <w:sz w:val="24"/>
          <w:u w:val="thick"/>
        </w:rPr>
        <w:t>Following</w:t>
      </w:r>
      <w:r>
        <w:rPr>
          <w:b/>
          <w:spacing w:val="-4"/>
          <w:sz w:val="24"/>
          <w:u w:val="thick"/>
        </w:rPr>
        <w:t> </w:t>
      </w:r>
      <w:r>
        <w:rPr>
          <w:b/>
          <w:sz w:val="24"/>
          <w:u w:val="thick"/>
        </w:rPr>
        <w:t>Title</w:t>
      </w:r>
      <w:r>
        <w:rPr>
          <w:b/>
          <w:spacing w:val="-4"/>
          <w:sz w:val="24"/>
          <w:u w:val="thick"/>
        </w:rPr>
        <w:t> </w:t>
      </w:r>
      <w:r>
        <w:rPr>
          <w:b/>
          <w:sz w:val="24"/>
          <w:u w:val="thick"/>
        </w:rPr>
        <w:t>XIX</w:t>
      </w:r>
      <w:r>
        <w:rPr>
          <w:b/>
          <w:spacing w:val="-4"/>
          <w:sz w:val="24"/>
          <w:u w:val="thick"/>
        </w:rPr>
        <w:t> </w:t>
      </w:r>
      <w:r>
        <w:rPr>
          <w:b/>
          <w:sz w:val="24"/>
          <w:u w:val="thick"/>
        </w:rPr>
        <w:t>Requirements</w:t>
      </w:r>
      <w:r>
        <w:rPr>
          <w:b/>
          <w:spacing w:val="-4"/>
          <w:sz w:val="24"/>
          <w:u w:val="thick"/>
        </w:rPr>
        <w:t> </w:t>
      </w:r>
      <w:r>
        <w:rPr>
          <w:b/>
          <w:sz w:val="24"/>
          <w:u w:val="thick"/>
        </w:rPr>
        <w:t>Do</w:t>
      </w:r>
      <w:r>
        <w:rPr>
          <w:b/>
          <w:spacing w:val="-2"/>
          <w:sz w:val="24"/>
          <w:u w:val="thick"/>
        </w:rPr>
        <w:t> </w:t>
      </w:r>
      <w:r>
        <w:rPr>
          <w:b/>
          <w:sz w:val="24"/>
          <w:u w:val="thick"/>
        </w:rPr>
        <w:t>Not</w:t>
      </w:r>
      <w:r>
        <w:rPr>
          <w:b/>
          <w:spacing w:val="-4"/>
          <w:sz w:val="24"/>
          <w:u w:val="thick"/>
        </w:rPr>
        <w:t> </w:t>
      </w:r>
      <w:r>
        <w:rPr>
          <w:b/>
          <w:sz w:val="24"/>
          <w:u w:val="thick"/>
        </w:rPr>
        <w:t>Apply</w:t>
      </w:r>
      <w:r>
        <w:rPr>
          <w:b/>
          <w:spacing w:val="-4"/>
          <w:sz w:val="24"/>
          <w:u w:val="thick"/>
        </w:rPr>
        <w:t> </w:t>
      </w:r>
      <w:r>
        <w:rPr>
          <w:b/>
          <w:sz w:val="24"/>
          <w:u w:val="thick"/>
        </w:rPr>
        <w:t>to</w:t>
      </w:r>
      <w:r>
        <w:rPr>
          <w:b/>
          <w:spacing w:val="-4"/>
          <w:sz w:val="24"/>
          <w:u w:val="thick"/>
        </w:rPr>
        <w:t> </w:t>
      </w:r>
      <w:r>
        <w:rPr>
          <w:b/>
          <w:sz w:val="24"/>
          <w:u w:val="thick"/>
        </w:rPr>
        <w:t>Expenditures</w:t>
      </w:r>
      <w:r>
        <w:rPr>
          <w:b/>
          <w:spacing w:val="-4"/>
          <w:sz w:val="24"/>
          <w:u w:val="thick"/>
        </w:rPr>
        <w:t> </w:t>
      </w:r>
      <w:r>
        <w:rPr>
          <w:b/>
          <w:sz w:val="24"/>
          <w:u w:val="thick"/>
        </w:rPr>
        <w:t>for</w:t>
      </w:r>
      <w:r>
        <w:rPr>
          <w:b/>
          <w:spacing w:val="-4"/>
          <w:sz w:val="24"/>
          <w:u w:val="thick"/>
        </w:rPr>
        <w:t> </w:t>
      </w:r>
      <w:r>
        <w:rPr>
          <w:b/>
          <w:sz w:val="24"/>
          <w:u w:val="thick"/>
        </w:rPr>
        <w:t>Medicare</w:t>
      </w:r>
      <w:r>
        <w:rPr>
          <w:b/>
          <w:spacing w:val="-4"/>
          <w:sz w:val="24"/>
          <w:u w:val="thick"/>
        </w:rPr>
        <w:t> </w:t>
      </w:r>
      <w:r>
        <w:rPr>
          <w:b/>
          <w:sz w:val="24"/>
          <w:u w:val="thick"/>
        </w:rPr>
        <w:t>Cost</w:t>
      </w:r>
      <w:r>
        <w:rPr>
          <w:b/>
          <w:sz w:val="24"/>
        </w:rPr>
        <w:t> </w:t>
      </w:r>
      <w:r>
        <w:rPr>
          <w:b/>
          <w:sz w:val="24"/>
          <w:u w:val="thick"/>
        </w:rPr>
        <w:t>Sharing Assistance:</w:t>
      </w:r>
    </w:p>
    <w:p>
      <w:pPr>
        <w:pStyle w:val="BodyText"/>
        <w:spacing w:before="7"/>
        <w:rPr>
          <w:b/>
          <w:sz w:val="16"/>
        </w:rPr>
      </w:pPr>
    </w:p>
    <w:p>
      <w:pPr>
        <w:pStyle w:val="Heading5"/>
        <w:numPr>
          <w:ilvl w:val="0"/>
          <w:numId w:val="2"/>
        </w:numPr>
        <w:tabs>
          <w:tab w:pos="1800" w:val="left" w:leader="none"/>
          <w:tab w:pos="8527" w:val="left" w:leader="none"/>
        </w:tabs>
        <w:spacing w:line="240" w:lineRule="auto" w:before="90" w:after="0"/>
        <w:ind w:left="1800" w:right="0" w:hanging="480"/>
        <w:jc w:val="left"/>
      </w:pPr>
      <w:bookmarkStart w:name="38. Resource Limits Section 1902(a)(10)(" w:id="107"/>
      <w:bookmarkEnd w:id="107"/>
      <w:r>
        <w:rPr>
          <w:b w:val="0"/>
        </w:rPr>
      </w:r>
      <w:r>
        <w:rPr>
          <w:spacing w:val="-2"/>
        </w:rPr>
        <w:t>Resource</w:t>
      </w:r>
      <w:r>
        <w:rPr>
          <w:spacing w:val="-1"/>
        </w:rPr>
        <w:t> </w:t>
      </w:r>
      <w:r>
        <w:rPr>
          <w:spacing w:val="-2"/>
        </w:rPr>
        <w:t>Limits</w:t>
      </w:r>
      <w:r>
        <w:rPr/>
        <w:tab/>
      </w:r>
      <w:r>
        <w:rPr>
          <w:spacing w:val="-2"/>
        </w:rPr>
        <w:t>Section</w:t>
      </w:r>
      <w:r>
        <w:rPr>
          <w:spacing w:val="-3"/>
        </w:rPr>
        <w:t> </w:t>
      </w:r>
      <w:r>
        <w:rPr>
          <w:spacing w:val="-2"/>
        </w:rPr>
        <w:t>1902(a)(10)(E)</w:t>
      </w:r>
    </w:p>
    <w:p>
      <w:pPr>
        <w:pStyle w:val="BodyText"/>
        <w:spacing w:before="10"/>
        <w:rPr>
          <w:b/>
          <w:sz w:val="20"/>
        </w:rPr>
      </w:pPr>
    </w:p>
    <w:p>
      <w:pPr>
        <w:pStyle w:val="BodyText"/>
        <w:ind w:left="1800" w:right="1239"/>
      </w:pPr>
      <w:bookmarkStart w:name="To enable Massachusetts to disregard ass" w:id="108"/>
      <w:bookmarkEnd w:id="108"/>
      <w:r>
        <w:rPr/>
      </w:r>
      <w:r>
        <w:rPr/>
        <w:t>To</w:t>
      </w:r>
      <w:r>
        <w:rPr>
          <w:spacing w:val="-3"/>
        </w:rPr>
        <w:t> </w:t>
      </w:r>
      <w:r>
        <w:rPr/>
        <w:t>enable</w:t>
      </w:r>
      <w:r>
        <w:rPr>
          <w:spacing w:val="-4"/>
        </w:rPr>
        <w:t> </w:t>
      </w:r>
      <w:r>
        <w:rPr/>
        <w:t>Massachusetts</w:t>
      </w:r>
      <w:r>
        <w:rPr>
          <w:spacing w:val="-1"/>
        </w:rPr>
        <w:t> </w:t>
      </w:r>
      <w:r>
        <w:rPr/>
        <w:t>to</w:t>
      </w:r>
      <w:r>
        <w:rPr>
          <w:spacing w:val="-3"/>
        </w:rPr>
        <w:t> </w:t>
      </w:r>
      <w:r>
        <w:rPr/>
        <w:t>disregard</w:t>
      </w:r>
      <w:r>
        <w:rPr>
          <w:spacing w:val="-3"/>
        </w:rPr>
        <w:t> </w:t>
      </w:r>
      <w:r>
        <w:rPr/>
        <w:t>assets</w:t>
      </w:r>
      <w:r>
        <w:rPr>
          <w:spacing w:val="-3"/>
        </w:rPr>
        <w:t> </w:t>
      </w:r>
      <w:r>
        <w:rPr/>
        <w:t>in</w:t>
      </w:r>
      <w:r>
        <w:rPr>
          <w:spacing w:val="-3"/>
        </w:rPr>
        <w:t> </w:t>
      </w:r>
      <w:r>
        <w:rPr/>
        <w:t>determining</w:t>
      </w:r>
      <w:r>
        <w:rPr>
          <w:spacing w:val="-6"/>
        </w:rPr>
        <w:t> </w:t>
      </w:r>
      <w:r>
        <w:rPr/>
        <w:t>eligibility</w:t>
      </w:r>
      <w:r>
        <w:rPr>
          <w:spacing w:val="-8"/>
        </w:rPr>
        <w:t> </w:t>
      </w:r>
      <w:r>
        <w:rPr/>
        <w:t>for</w:t>
      </w:r>
      <w:r>
        <w:rPr>
          <w:spacing w:val="-2"/>
        </w:rPr>
        <w:t> </w:t>
      </w:r>
      <w:r>
        <w:rPr/>
        <w:t>Medicare</w:t>
      </w:r>
      <w:r>
        <w:rPr>
          <w:spacing w:val="-4"/>
        </w:rPr>
        <w:t> </w:t>
      </w:r>
      <w:r>
        <w:rPr/>
        <w:t>cost sharing assistance.</w:t>
      </w:r>
    </w:p>
    <w:p>
      <w:pPr>
        <w:pStyle w:val="BodyText"/>
        <w:spacing w:before="10"/>
        <w:rPr>
          <w:sz w:val="20"/>
        </w:rPr>
      </w:pPr>
    </w:p>
    <w:p>
      <w:pPr>
        <w:spacing w:before="0"/>
        <w:ind w:left="1440" w:right="1239" w:firstLine="0"/>
        <w:jc w:val="left"/>
        <w:rPr>
          <w:b/>
          <w:sz w:val="24"/>
        </w:rPr>
      </w:pPr>
      <w:bookmarkStart w:name="No Title XIX Requirements are Applicable" w:id="109"/>
      <w:bookmarkEnd w:id="109"/>
      <w:r>
        <w:rPr/>
      </w:r>
      <w:r>
        <w:rPr>
          <w:b/>
          <w:sz w:val="24"/>
          <w:u w:val="thick"/>
        </w:rPr>
        <w:t>No</w:t>
      </w:r>
      <w:r>
        <w:rPr>
          <w:b/>
          <w:spacing w:val="-3"/>
          <w:sz w:val="24"/>
          <w:u w:val="thick"/>
        </w:rPr>
        <w:t> </w:t>
      </w:r>
      <w:r>
        <w:rPr>
          <w:b/>
          <w:sz w:val="24"/>
          <w:u w:val="thick"/>
        </w:rPr>
        <w:t>Title</w:t>
      </w:r>
      <w:r>
        <w:rPr>
          <w:b/>
          <w:spacing w:val="-4"/>
          <w:sz w:val="24"/>
          <w:u w:val="thick"/>
        </w:rPr>
        <w:t> </w:t>
      </w:r>
      <w:r>
        <w:rPr>
          <w:b/>
          <w:sz w:val="24"/>
          <w:u w:val="thick"/>
        </w:rPr>
        <w:t>XIX</w:t>
      </w:r>
      <w:r>
        <w:rPr>
          <w:b/>
          <w:spacing w:val="-4"/>
          <w:sz w:val="24"/>
          <w:u w:val="thick"/>
        </w:rPr>
        <w:t> </w:t>
      </w:r>
      <w:r>
        <w:rPr>
          <w:b/>
          <w:sz w:val="24"/>
          <w:u w:val="thick"/>
        </w:rPr>
        <w:t>Requirements</w:t>
      </w:r>
      <w:r>
        <w:rPr>
          <w:b/>
          <w:spacing w:val="-3"/>
          <w:sz w:val="24"/>
          <w:u w:val="thick"/>
        </w:rPr>
        <w:t> </w:t>
      </w:r>
      <w:r>
        <w:rPr>
          <w:b/>
          <w:sz w:val="24"/>
          <w:u w:val="thick"/>
        </w:rPr>
        <w:t>are</w:t>
      </w:r>
      <w:r>
        <w:rPr>
          <w:b/>
          <w:spacing w:val="-4"/>
          <w:sz w:val="24"/>
          <w:u w:val="thick"/>
        </w:rPr>
        <w:t> </w:t>
      </w:r>
      <w:r>
        <w:rPr>
          <w:b/>
          <w:sz w:val="24"/>
          <w:u w:val="thick"/>
        </w:rPr>
        <w:t>Applicable</w:t>
      </w:r>
      <w:r>
        <w:rPr>
          <w:b/>
          <w:spacing w:val="-4"/>
          <w:sz w:val="24"/>
          <w:u w:val="thick"/>
        </w:rPr>
        <w:t> </w:t>
      </w:r>
      <w:r>
        <w:rPr>
          <w:b/>
          <w:sz w:val="24"/>
          <w:u w:val="thick"/>
        </w:rPr>
        <w:t>to</w:t>
      </w:r>
      <w:r>
        <w:rPr>
          <w:b/>
          <w:spacing w:val="-3"/>
          <w:sz w:val="24"/>
          <w:u w:val="thick"/>
        </w:rPr>
        <w:t> </w:t>
      </w:r>
      <w:r>
        <w:rPr>
          <w:b/>
          <w:sz w:val="24"/>
          <w:u w:val="thick"/>
        </w:rPr>
        <w:t>Expenditures</w:t>
      </w:r>
      <w:r>
        <w:rPr>
          <w:b/>
          <w:spacing w:val="-3"/>
          <w:sz w:val="24"/>
          <w:u w:val="thick"/>
        </w:rPr>
        <w:t> </w:t>
      </w:r>
      <w:r>
        <w:rPr>
          <w:b/>
          <w:sz w:val="24"/>
          <w:u w:val="thick"/>
        </w:rPr>
        <w:t>for</w:t>
      </w:r>
      <w:r>
        <w:rPr>
          <w:b/>
          <w:spacing w:val="-4"/>
          <w:sz w:val="24"/>
          <w:u w:val="thick"/>
        </w:rPr>
        <w:t> </w:t>
      </w:r>
      <w:r>
        <w:rPr>
          <w:b/>
          <w:sz w:val="24"/>
          <w:u w:val="thick"/>
        </w:rPr>
        <w:t>the</w:t>
      </w:r>
      <w:r>
        <w:rPr>
          <w:b/>
          <w:spacing w:val="-4"/>
          <w:sz w:val="24"/>
          <w:u w:val="thick"/>
        </w:rPr>
        <w:t> </w:t>
      </w:r>
      <w:r>
        <w:rPr>
          <w:b/>
          <w:sz w:val="24"/>
          <w:u w:val="thick"/>
        </w:rPr>
        <w:t>Safety</w:t>
      </w:r>
      <w:r>
        <w:rPr>
          <w:b/>
          <w:spacing w:val="-3"/>
          <w:sz w:val="24"/>
          <w:u w:val="thick"/>
        </w:rPr>
        <w:t> </w:t>
      </w:r>
      <w:r>
        <w:rPr>
          <w:b/>
          <w:sz w:val="24"/>
          <w:u w:val="thick"/>
        </w:rPr>
        <w:t>Net</w:t>
      </w:r>
      <w:r>
        <w:rPr>
          <w:b/>
          <w:spacing w:val="-4"/>
          <w:sz w:val="24"/>
          <w:u w:val="thick"/>
        </w:rPr>
        <w:t> </w:t>
      </w:r>
      <w:r>
        <w:rPr>
          <w:b/>
          <w:sz w:val="24"/>
          <w:u w:val="thick"/>
        </w:rPr>
        <w:t>Care</w:t>
      </w:r>
      <w:r>
        <w:rPr>
          <w:b/>
          <w:spacing w:val="-2"/>
          <w:sz w:val="24"/>
          <w:u w:val="thick"/>
        </w:rPr>
        <w:t> </w:t>
      </w:r>
      <w:r>
        <w:rPr>
          <w:b/>
          <w:sz w:val="24"/>
          <w:u w:val="thick"/>
        </w:rPr>
        <w:t>Pool</w:t>
      </w:r>
      <w:r>
        <w:rPr>
          <w:b/>
          <w:sz w:val="24"/>
        </w:rPr>
        <w:t> </w:t>
      </w:r>
      <w:r>
        <w:rPr>
          <w:b/>
          <w:sz w:val="24"/>
          <w:u w:val="thick"/>
        </w:rPr>
        <w:t>and Marketplace Subsidies.</w:t>
      </w:r>
    </w:p>
    <w:p>
      <w:pPr>
        <w:pStyle w:val="BodyText"/>
        <w:spacing w:before="2"/>
        <w:rPr>
          <w:b/>
          <w:sz w:val="16"/>
        </w:rPr>
      </w:pPr>
    </w:p>
    <w:p>
      <w:pPr>
        <w:spacing w:before="90"/>
        <w:ind w:left="1440" w:right="1239" w:firstLine="0"/>
        <w:jc w:val="left"/>
        <w:rPr>
          <w:b/>
          <w:sz w:val="24"/>
        </w:rPr>
      </w:pPr>
      <w:bookmarkStart w:name="The Following Title XIX Requirements are" w:id="110"/>
      <w:bookmarkEnd w:id="110"/>
      <w:r>
        <w:rPr/>
      </w:r>
      <w:r>
        <w:rPr>
          <w:b/>
          <w:sz w:val="24"/>
          <w:u w:val="thick"/>
        </w:rPr>
        <w:t>The</w:t>
      </w:r>
      <w:r>
        <w:rPr>
          <w:b/>
          <w:spacing w:val="-4"/>
          <w:sz w:val="24"/>
          <w:u w:val="thick"/>
        </w:rPr>
        <w:t> </w:t>
      </w:r>
      <w:r>
        <w:rPr>
          <w:b/>
          <w:sz w:val="24"/>
          <w:u w:val="thick"/>
        </w:rPr>
        <w:t>Following</w:t>
      </w:r>
      <w:r>
        <w:rPr>
          <w:b/>
          <w:spacing w:val="-3"/>
          <w:sz w:val="24"/>
          <w:u w:val="thick"/>
        </w:rPr>
        <w:t> </w:t>
      </w:r>
      <w:r>
        <w:rPr>
          <w:b/>
          <w:sz w:val="24"/>
          <w:u w:val="thick"/>
        </w:rPr>
        <w:t>Title</w:t>
      </w:r>
      <w:r>
        <w:rPr>
          <w:b/>
          <w:spacing w:val="-4"/>
          <w:sz w:val="24"/>
          <w:u w:val="thick"/>
        </w:rPr>
        <w:t> </w:t>
      </w:r>
      <w:r>
        <w:rPr>
          <w:b/>
          <w:sz w:val="24"/>
          <w:u w:val="thick"/>
        </w:rPr>
        <w:t>XIX</w:t>
      </w:r>
      <w:r>
        <w:rPr>
          <w:b/>
          <w:spacing w:val="-4"/>
          <w:sz w:val="24"/>
          <w:u w:val="thick"/>
        </w:rPr>
        <w:t> </w:t>
      </w:r>
      <w:r>
        <w:rPr>
          <w:b/>
          <w:sz w:val="24"/>
          <w:u w:val="thick"/>
        </w:rPr>
        <w:t>Requirements</w:t>
      </w:r>
      <w:r>
        <w:rPr>
          <w:b/>
          <w:spacing w:val="-3"/>
          <w:sz w:val="24"/>
          <w:u w:val="thick"/>
        </w:rPr>
        <w:t> </w:t>
      </w:r>
      <w:r>
        <w:rPr>
          <w:b/>
          <w:sz w:val="24"/>
          <w:u w:val="thick"/>
        </w:rPr>
        <w:t>are</w:t>
      </w:r>
      <w:r>
        <w:rPr>
          <w:b/>
          <w:spacing w:val="-4"/>
          <w:sz w:val="24"/>
          <w:u w:val="thick"/>
        </w:rPr>
        <w:t> </w:t>
      </w:r>
      <w:r>
        <w:rPr>
          <w:b/>
          <w:sz w:val="24"/>
          <w:u w:val="thick"/>
        </w:rPr>
        <w:t>not</w:t>
      </w:r>
      <w:r>
        <w:rPr>
          <w:b/>
          <w:spacing w:val="-4"/>
          <w:sz w:val="24"/>
          <w:u w:val="thick"/>
        </w:rPr>
        <w:t> </w:t>
      </w:r>
      <w:r>
        <w:rPr>
          <w:b/>
          <w:sz w:val="24"/>
          <w:u w:val="thick"/>
        </w:rPr>
        <w:t>Applicable</w:t>
      </w:r>
      <w:r>
        <w:rPr>
          <w:b/>
          <w:spacing w:val="-4"/>
          <w:sz w:val="24"/>
          <w:u w:val="thick"/>
        </w:rPr>
        <w:t> </w:t>
      </w:r>
      <w:r>
        <w:rPr>
          <w:b/>
          <w:sz w:val="24"/>
          <w:u w:val="thick"/>
        </w:rPr>
        <w:t>to</w:t>
      </w:r>
      <w:r>
        <w:rPr>
          <w:b/>
          <w:spacing w:val="-3"/>
          <w:sz w:val="24"/>
          <w:u w:val="thick"/>
        </w:rPr>
        <w:t> </w:t>
      </w:r>
      <w:r>
        <w:rPr>
          <w:b/>
          <w:sz w:val="24"/>
          <w:u w:val="thick"/>
        </w:rPr>
        <w:t>Expenditures</w:t>
      </w:r>
      <w:r>
        <w:rPr>
          <w:b/>
          <w:spacing w:val="-3"/>
          <w:sz w:val="24"/>
          <w:u w:val="thick"/>
        </w:rPr>
        <w:t> </w:t>
      </w:r>
      <w:r>
        <w:rPr>
          <w:b/>
          <w:sz w:val="24"/>
          <w:u w:val="thick"/>
        </w:rPr>
        <w:t>for</w:t>
      </w:r>
      <w:r>
        <w:rPr>
          <w:b/>
          <w:spacing w:val="-4"/>
          <w:sz w:val="24"/>
          <w:u w:val="thick"/>
        </w:rPr>
        <w:t> </w:t>
      </w:r>
      <w:r>
        <w:rPr>
          <w:b/>
          <w:sz w:val="24"/>
          <w:u w:val="thick"/>
        </w:rPr>
        <w:t>the</w:t>
      </w:r>
      <w:r>
        <w:rPr>
          <w:b/>
          <w:sz w:val="24"/>
        </w:rPr>
        <w:t> </w:t>
      </w:r>
      <w:r>
        <w:rPr>
          <w:b/>
          <w:sz w:val="24"/>
          <w:u w:val="thick"/>
        </w:rPr>
        <w:t>CommonHealth program.</w:t>
      </w:r>
    </w:p>
    <w:p>
      <w:pPr>
        <w:pStyle w:val="BodyText"/>
        <w:spacing w:before="4"/>
        <w:rPr>
          <w:b/>
          <w:sz w:val="16"/>
        </w:rPr>
      </w:pPr>
    </w:p>
    <w:p>
      <w:pPr>
        <w:pStyle w:val="Heading5"/>
        <w:numPr>
          <w:ilvl w:val="0"/>
          <w:numId w:val="2"/>
        </w:numPr>
        <w:tabs>
          <w:tab w:pos="1800" w:val="left" w:leader="none"/>
        </w:tabs>
        <w:spacing w:line="240" w:lineRule="auto" w:before="90" w:after="0"/>
        <w:ind w:left="1800" w:right="0" w:hanging="480"/>
        <w:jc w:val="left"/>
      </w:pPr>
      <w:bookmarkStart w:name="39. Income Disregards under Section 1902" w:id="111"/>
      <w:bookmarkEnd w:id="111"/>
      <w:r>
        <w:rPr>
          <w:b w:val="0"/>
        </w:rPr>
      </w:r>
      <w:r>
        <w:rPr/>
        <w:t>Income</w:t>
      </w:r>
      <w:r>
        <w:rPr>
          <w:spacing w:val="-6"/>
        </w:rPr>
        <w:t> </w:t>
      </w:r>
      <w:r>
        <w:rPr/>
        <w:t>Disregards</w:t>
      </w:r>
      <w:r>
        <w:rPr>
          <w:spacing w:val="-2"/>
        </w:rPr>
        <w:t> </w:t>
      </w:r>
      <w:r>
        <w:rPr/>
        <w:t>under</w:t>
      </w:r>
      <w:r>
        <w:rPr>
          <w:spacing w:val="-4"/>
        </w:rPr>
        <w:t> </w:t>
      </w:r>
      <w:r>
        <w:rPr/>
        <w:t>Section</w:t>
      </w:r>
      <w:r>
        <w:rPr>
          <w:spacing w:val="-2"/>
        </w:rPr>
        <w:t> 1902(r)(2)(A)</w:t>
      </w:r>
    </w:p>
    <w:p>
      <w:pPr>
        <w:pStyle w:val="BodyText"/>
        <w:spacing w:before="10"/>
        <w:rPr>
          <w:b/>
          <w:sz w:val="20"/>
        </w:rPr>
      </w:pPr>
    </w:p>
    <w:p>
      <w:pPr>
        <w:pStyle w:val="BodyText"/>
        <w:spacing w:before="1"/>
        <w:ind w:left="1800" w:right="1239"/>
      </w:pPr>
      <w:bookmarkStart w:name="To enable Massachusetts to not apply fin" w:id="112"/>
      <w:bookmarkEnd w:id="112"/>
      <w:r>
        <w:rPr/>
      </w:r>
      <w:r>
        <w:rPr/>
        <w:t>To enable Massachusetts to not apply financial eligibility determination methodologies required</w:t>
      </w:r>
      <w:r>
        <w:rPr>
          <w:spacing w:val="-5"/>
        </w:rPr>
        <w:t> </w:t>
      </w:r>
      <w:r>
        <w:rPr/>
        <w:t>under</w:t>
      </w:r>
      <w:r>
        <w:rPr>
          <w:spacing w:val="-5"/>
        </w:rPr>
        <w:t> </w:t>
      </w:r>
      <w:r>
        <w:rPr/>
        <w:t>section</w:t>
      </w:r>
      <w:r>
        <w:rPr>
          <w:spacing w:val="-5"/>
        </w:rPr>
        <w:t> </w:t>
      </w:r>
      <w:r>
        <w:rPr/>
        <w:t>1902(r)(2)(A)</w:t>
      </w:r>
      <w:r>
        <w:rPr>
          <w:spacing w:val="-4"/>
        </w:rPr>
        <w:t> </w:t>
      </w:r>
      <w:r>
        <w:rPr/>
        <w:t>for</w:t>
      </w:r>
      <w:r>
        <w:rPr>
          <w:spacing w:val="-5"/>
        </w:rPr>
        <w:t> </w:t>
      </w:r>
      <w:r>
        <w:rPr/>
        <w:t>CommonHealth</w:t>
      </w:r>
      <w:r>
        <w:rPr>
          <w:spacing w:val="-5"/>
        </w:rPr>
        <w:t> </w:t>
      </w:r>
      <w:r>
        <w:rPr/>
        <w:t>adults</w:t>
      </w:r>
      <w:r>
        <w:rPr>
          <w:spacing w:val="-5"/>
        </w:rPr>
        <w:t> </w:t>
      </w:r>
      <w:r>
        <w:rPr/>
        <w:t>eligible</w:t>
      </w:r>
      <w:r>
        <w:rPr>
          <w:spacing w:val="-5"/>
        </w:rPr>
        <w:t> </w:t>
      </w:r>
      <w:r>
        <w:rPr/>
        <w:t>under</w:t>
      </w:r>
      <w:r>
        <w:rPr>
          <w:spacing w:val="-5"/>
        </w:rPr>
        <w:t> </w:t>
      </w:r>
      <w:r>
        <w:rPr/>
        <w:t>expenditure authority #1.</w:t>
      </w:r>
    </w:p>
    <w:p>
      <w:pPr>
        <w:pStyle w:val="BodyText"/>
        <w:spacing w:before="9"/>
        <w:rPr>
          <w:sz w:val="20"/>
        </w:rPr>
      </w:pPr>
    </w:p>
    <w:p>
      <w:pPr>
        <w:spacing w:before="1"/>
        <w:ind w:left="1439" w:right="0" w:firstLine="0"/>
        <w:jc w:val="left"/>
        <w:rPr>
          <w:b/>
          <w:sz w:val="24"/>
        </w:rPr>
      </w:pPr>
      <w:bookmarkStart w:name="Title XXI Expenditure Authorities" w:id="113"/>
      <w:bookmarkEnd w:id="113"/>
      <w:r>
        <w:rPr/>
      </w:r>
      <w:r>
        <w:rPr>
          <w:b/>
          <w:sz w:val="24"/>
          <w:u w:val="single"/>
        </w:rPr>
        <w:t>Title</w:t>
      </w:r>
      <w:r>
        <w:rPr>
          <w:b/>
          <w:spacing w:val="-3"/>
          <w:sz w:val="24"/>
          <w:u w:val="single"/>
        </w:rPr>
        <w:t> </w:t>
      </w:r>
      <w:r>
        <w:rPr>
          <w:b/>
          <w:sz w:val="24"/>
          <w:u w:val="single"/>
        </w:rPr>
        <w:t>XXI</w:t>
      </w:r>
      <w:r>
        <w:rPr>
          <w:b/>
          <w:spacing w:val="-3"/>
          <w:sz w:val="24"/>
          <w:u w:val="single"/>
        </w:rPr>
        <w:t> </w:t>
      </w:r>
      <w:r>
        <w:rPr>
          <w:b/>
          <w:sz w:val="24"/>
          <w:u w:val="single"/>
        </w:rPr>
        <w:t>Expenditure</w:t>
      </w:r>
      <w:r>
        <w:rPr>
          <w:b/>
          <w:spacing w:val="-2"/>
          <w:sz w:val="24"/>
          <w:u w:val="single"/>
        </w:rPr>
        <w:t> Authorities</w:t>
      </w:r>
    </w:p>
    <w:p>
      <w:pPr>
        <w:pStyle w:val="BodyText"/>
        <w:spacing w:before="9"/>
        <w:rPr>
          <w:b/>
          <w:sz w:val="20"/>
        </w:rPr>
      </w:pPr>
    </w:p>
    <w:p>
      <w:pPr>
        <w:pStyle w:val="BodyText"/>
        <w:spacing w:before="1"/>
        <w:ind w:left="1799" w:right="1239"/>
      </w:pPr>
      <w:bookmarkStart w:name="All requirements of the Children’s Healt" w:id="114"/>
      <w:bookmarkEnd w:id="114"/>
      <w:r>
        <w:rPr/>
      </w:r>
      <w:r>
        <w:rPr/>
        <w:t>All requirements of the Children’s Health Insurance Program (CHIP) shall apply to the demonstration populations and expenditures listed below, except those identified below as “not applicable.”</w:t>
      </w:r>
      <w:r>
        <w:rPr>
          <w:spacing w:val="40"/>
        </w:rPr>
        <w:t> </w:t>
      </w:r>
      <w:r>
        <w:rPr/>
        <w:t>All CHIP rules not expressly waived or identified as not applicable in this document shall apply to the demonstration.</w:t>
      </w:r>
      <w:r>
        <w:rPr>
          <w:spacing w:val="40"/>
        </w:rPr>
        <w:t> </w:t>
      </w:r>
      <w:r>
        <w:rPr/>
        <w:t>These expenditure and “non-applicable” authorities,</w:t>
      </w:r>
      <w:r>
        <w:rPr>
          <w:spacing w:val="-3"/>
        </w:rPr>
        <w:t> </w:t>
      </w:r>
      <w:r>
        <w:rPr/>
        <w:t>as</w:t>
      </w:r>
      <w:r>
        <w:rPr>
          <w:spacing w:val="-3"/>
        </w:rPr>
        <w:t> </w:t>
      </w:r>
      <w:r>
        <w:rPr/>
        <w:t>well</w:t>
      </w:r>
      <w:r>
        <w:rPr>
          <w:spacing w:val="-3"/>
        </w:rPr>
        <w:t> </w:t>
      </w:r>
      <w:r>
        <w:rPr/>
        <w:t>as</w:t>
      </w:r>
      <w:r>
        <w:rPr>
          <w:spacing w:val="-3"/>
        </w:rPr>
        <w:t> </w:t>
      </w:r>
      <w:r>
        <w:rPr/>
        <w:t>the</w:t>
      </w:r>
      <w:r>
        <w:rPr>
          <w:spacing w:val="-2"/>
        </w:rPr>
        <w:t> </w:t>
      </w:r>
      <w:r>
        <w:rPr/>
        <w:t>associated</w:t>
      </w:r>
      <w:r>
        <w:rPr>
          <w:spacing w:val="-3"/>
        </w:rPr>
        <w:t> </w:t>
      </w:r>
      <w:r>
        <w:rPr/>
        <w:t>Special</w:t>
      </w:r>
      <w:r>
        <w:rPr>
          <w:spacing w:val="-3"/>
        </w:rPr>
        <w:t> </w:t>
      </w:r>
      <w:r>
        <w:rPr/>
        <w:t>Terms</w:t>
      </w:r>
      <w:r>
        <w:rPr>
          <w:spacing w:val="-3"/>
        </w:rPr>
        <w:t> </w:t>
      </w:r>
      <w:r>
        <w:rPr/>
        <w:t>and</w:t>
      </w:r>
      <w:r>
        <w:rPr>
          <w:spacing w:val="-3"/>
        </w:rPr>
        <w:t> </w:t>
      </w:r>
      <w:r>
        <w:rPr/>
        <w:t>Conditions</w:t>
      </w:r>
      <w:r>
        <w:rPr>
          <w:spacing w:val="-3"/>
        </w:rPr>
        <w:t> </w:t>
      </w:r>
      <w:r>
        <w:rPr/>
        <w:t>(STCs),</w:t>
      </w:r>
      <w:r>
        <w:rPr>
          <w:spacing w:val="-6"/>
        </w:rPr>
        <w:t> </w:t>
      </w:r>
      <w:r>
        <w:rPr/>
        <w:t>are</w:t>
      </w:r>
      <w:r>
        <w:rPr>
          <w:spacing w:val="-4"/>
        </w:rPr>
        <w:t> </w:t>
      </w:r>
      <w:r>
        <w:rPr/>
        <w:t>in</w:t>
      </w:r>
      <w:r>
        <w:rPr>
          <w:spacing w:val="-3"/>
        </w:rPr>
        <w:t> </w:t>
      </w:r>
      <w:r>
        <w:rPr/>
        <w:t>effect</w:t>
      </w:r>
      <w:r>
        <w:rPr>
          <w:spacing w:val="-3"/>
        </w:rPr>
        <w:t> </w:t>
      </w:r>
      <w:r>
        <w:rPr/>
        <w:t>as</w:t>
      </w:r>
      <w:r>
        <w:rPr>
          <w:spacing w:val="-3"/>
        </w:rPr>
        <w:t> </w:t>
      </w:r>
      <w:r>
        <w:rPr/>
        <w:t>of October 1, 2022, through December 31, 2027, except where otherwise noted in these expenditure authorities.</w:t>
      </w:r>
    </w:p>
    <w:p>
      <w:pPr>
        <w:pStyle w:val="BodyText"/>
        <w:spacing w:before="10"/>
        <w:rPr>
          <w:sz w:val="20"/>
        </w:rPr>
      </w:pPr>
    </w:p>
    <w:p>
      <w:pPr>
        <w:pStyle w:val="BodyText"/>
        <w:ind w:left="1799" w:right="1239"/>
      </w:pPr>
      <w:bookmarkStart w:name="Under the authority of section 1115(a)(2" w:id="115"/>
      <w:bookmarkEnd w:id="115"/>
      <w:r>
        <w:rPr/>
      </w:r>
      <w:r>
        <w:rPr/>
        <w:t>Under the authority of section 1115(a)(2) of the Social Security Act (the Act), expenditures made by Massachusetts for the items identified below (which are not otherwise included as expenditures under section 2107(e)(2)(A)) shall, for the period of this demonstration in accordance</w:t>
      </w:r>
      <w:r>
        <w:rPr>
          <w:spacing w:val="-4"/>
        </w:rPr>
        <w:t> </w:t>
      </w:r>
      <w:r>
        <w:rPr/>
        <w:t>with</w:t>
      </w:r>
      <w:r>
        <w:rPr>
          <w:spacing w:val="-4"/>
        </w:rPr>
        <w:t> </w:t>
      </w:r>
      <w:r>
        <w:rPr/>
        <w:t>the</w:t>
      </w:r>
      <w:r>
        <w:rPr>
          <w:spacing w:val="-4"/>
        </w:rPr>
        <w:t> </w:t>
      </w:r>
      <w:r>
        <w:rPr/>
        <w:t>STCs,</w:t>
      </w:r>
      <w:r>
        <w:rPr>
          <w:spacing w:val="-4"/>
        </w:rPr>
        <w:t> </w:t>
      </w:r>
      <w:r>
        <w:rPr/>
        <w:t>be</w:t>
      </w:r>
      <w:r>
        <w:rPr>
          <w:spacing w:val="-4"/>
        </w:rPr>
        <w:t> </w:t>
      </w:r>
      <w:r>
        <w:rPr/>
        <w:t>regarded</w:t>
      </w:r>
      <w:r>
        <w:rPr>
          <w:spacing w:val="-4"/>
        </w:rPr>
        <w:t> </w:t>
      </w:r>
      <w:r>
        <w:rPr/>
        <w:t>as</w:t>
      </w:r>
      <w:r>
        <w:rPr>
          <w:spacing w:val="-4"/>
        </w:rPr>
        <w:t> </w:t>
      </w:r>
      <w:r>
        <w:rPr/>
        <w:t>matchable</w:t>
      </w:r>
      <w:r>
        <w:rPr>
          <w:spacing w:val="-4"/>
        </w:rPr>
        <w:t> </w:t>
      </w:r>
      <w:r>
        <w:rPr/>
        <w:t>expenditures</w:t>
      </w:r>
      <w:r>
        <w:rPr>
          <w:spacing w:val="-4"/>
        </w:rPr>
        <w:t> </w:t>
      </w:r>
      <w:r>
        <w:rPr/>
        <w:t>under</w:t>
      </w:r>
      <w:r>
        <w:rPr>
          <w:spacing w:val="-3"/>
        </w:rPr>
        <w:t> </w:t>
      </w:r>
      <w:r>
        <w:rPr/>
        <w:t>Massachusetts’</w:t>
      </w:r>
      <w:r>
        <w:rPr>
          <w:spacing w:val="-4"/>
        </w:rPr>
        <w:t> </w:t>
      </w:r>
      <w:r>
        <w:rPr/>
        <w:t>title XXI state plan:</w:t>
      </w:r>
    </w:p>
    <w:p>
      <w:pPr>
        <w:pStyle w:val="BodyText"/>
        <w:spacing w:before="10"/>
        <w:rPr>
          <w:sz w:val="20"/>
        </w:rPr>
      </w:pPr>
    </w:p>
    <w:p>
      <w:pPr>
        <w:pStyle w:val="ListParagraph"/>
        <w:numPr>
          <w:ilvl w:val="0"/>
          <w:numId w:val="2"/>
        </w:numPr>
        <w:tabs>
          <w:tab w:pos="1800" w:val="left" w:leader="none"/>
          <w:tab w:pos="1859" w:val="left" w:leader="none"/>
        </w:tabs>
        <w:spacing w:line="240" w:lineRule="auto" w:before="0" w:after="0"/>
        <w:ind w:left="1800" w:right="1260" w:hanging="480"/>
        <w:jc w:val="left"/>
        <w:rPr>
          <w:sz w:val="24"/>
        </w:rPr>
      </w:pPr>
      <w:bookmarkStart w:name="40.  Continuous Eligibility. Expenditure" w:id="116"/>
      <w:bookmarkEnd w:id="116"/>
      <w:r>
        <w:rPr/>
      </w:r>
      <w:r>
        <w:rPr>
          <w:sz w:val="24"/>
        </w:rPr>
        <w:tab/>
      </w:r>
      <w:r>
        <w:rPr>
          <w:b/>
          <w:sz w:val="24"/>
        </w:rPr>
        <w:t>Continuous Eligibility. </w:t>
      </w:r>
      <w:r>
        <w:rPr>
          <w:sz w:val="24"/>
        </w:rPr>
        <w:t>Expenditures for health care related costs for individuals who have been determined eligible under groups specified in Table 1 of STC 4.10 for continued benefits during any periods within the continuous eligibility period when these individuals would</w:t>
      </w:r>
      <w:r>
        <w:rPr>
          <w:spacing w:val="-3"/>
          <w:sz w:val="24"/>
        </w:rPr>
        <w:t> </w:t>
      </w:r>
      <w:r>
        <w:rPr>
          <w:sz w:val="24"/>
        </w:rPr>
        <w:t>be</w:t>
      </w:r>
      <w:r>
        <w:rPr>
          <w:spacing w:val="-4"/>
          <w:sz w:val="24"/>
        </w:rPr>
        <w:t> </w:t>
      </w:r>
      <w:r>
        <w:rPr>
          <w:sz w:val="24"/>
        </w:rPr>
        <w:t>found</w:t>
      </w:r>
      <w:r>
        <w:rPr>
          <w:spacing w:val="-3"/>
          <w:sz w:val="24"/>
        </w:rPr>
        <w:t> </w:t>
      </w:r>
      <w:r>
        <w:rPr>
          <w:sz w:val="24"/>
        </w:rPr>
        <w:t>ineligible</w:t>
      </w:r>
      <w:r>
        <w:rPr>
          <w:spacing w:val="-4"/>
          <w:sz w:val="24"/>
        </w:rPr>
        <w:t> </w:t>
      </w:r>
      <w:r>
        <w:rPr>
          <w:sz w:val="24"/>
        </w:rPr>
        <w:t>if</w:t>
      </w:r>
      <w:r>
        <w:rPr>
          <w:spacing w:val="-4"/>
          <w:sz w:val="24"/>
        </w:rPr>
        <w:t> </w:t>
      </w:r>
      <w:r>
        <w:rPr>
          <w:sz w:val="24"/>
        </w:rPr>
        <w:t>subject</w:t>
      </w:r>
      <w:r>
        <w:rPr>
          <w:spacing w:val="-3"/>
          <w:sz w:val="24"/>
        </w:rPr>
        <w:t> </w:t>
      </w:r>
      <w:r>
        <w:rPr>
          <w:sz w:val="24"/>
        </w:rPr>
        <w:t>to</w:t>
      </w:r>
      <w:r>
        <w:rPr>
          <w:spacing w:val="-3"/>
          <w:sz w:val="24"/>
        </w:rPr>
        <w:t> </w:t>
      </w:r>
      <w:r>
        <w:rPr>
          <w:sz w:val="24"/>
        </w:rPr>
        <w:t>redetermination</w:t>
      </w:r>
      <w:r>
        <w:rPr>
          <w:spacing w:val="-3"/>
          <w:sz w:val="24"/>
        </w:rPr>
        <w:t> </w:t>
      </w:r>
      <w:r>
        <w:rPr>
          <w:sz w:val="24"/>
        </w:rPr>
        <w:t>in</w:t>
      </w:r>
      <w:r>
        <w:rPr>
          <w:spacing w:val="-3"/>
          <w:sz w:val="24"/>
        </w:rPr>
        <w:t> </w:t>
      </w:r>
      <w:r>
        <w:rPr>
          <w:sz w:val="24"/>
        </w:rPr>
        <w:t>accordance</w:t>
      </w:r>
      <w:r>
        <w:rPr>
          <w:spacing w:val="-2"/>
          <w:sz w:val="24"/>
        </w:rPr>
        <w:t> </w:t>
      </w:r>
      <w:r>
        <w:rPr>
          <w:sz w:val="24"/>
        </w:rPr>
        <w:t>with</w:t>
      </w:r>
      <w:r>
        <w:rPr>
          <w:spacing w:val="-3"/>
          <w:sz w:val="24"/>
        </w:rPr>
        <w:t> </w:t>
      </w:r>
      <w:r>
        <w:rPr>
          <w:sz w:val="24"/>
        </w:rPr>
        <w:t>section</w:t>
      </w:r>
      <w:r>
        <w:rPr>
          <w:spacing w:val="-3"/>
          <w:sz w:val="24"/>
        </w:rPr>
        <w:t> </w:t>
      </w:r>
      <w:r>
        <w:rPr>
          <w:sz w:val="24"/>
        </w:rPr>
        <w:t>2102(b)(2) of the Act (regarding continuous eligibility). Along with other populations, this authority</w:t>
      </w:r>
    </w:p>
    <w:p>
      <w:pPr>
        <w:spacing w:after="0" w:line="240" w:lineRule="auto"/>
        <w:jc w:val="left"/>
        <w:rPr>
          <w:sz w:val="24"/>
        </w:rPr>
        <w:sectPr>
          <w:pgSz w:w="12240" w:h="15840"/>
          <w:pgMar w:header="0" w:footer="998" w:top="1360" w:bottom="1180" w:left="0" w:right="220"/>
        </w:sectPr>
      </w:pPr>
    </w:p>
    <w:p>
      <w:pPr>
        <w:pStyle w:val="BodyText"/>
        <w:spacing w:before="79"/>
        <w:ind w:left="1800" w:right="1239"/>
      </w:pPr>
      <w:r>
        <w:rPr/>
        <w:t>includes</w:t>
      </w:r>
      <w:r>
        <w:rPr>
          <w:spacing w:val="-4"/>
        </w:rPr>
        <w:t> </w:t>
      </w:r>
      <w:r>
        <w:rPr/>
        <w:t>providing</w:t>
      </w:r>
      <w:r>
        <w:rPr>
          <w:spacing w:val="-4"/>
        </w:rPr>
        <w:t> </w:t>
      </w:r>
      <w:r>
        <w:rPr/>
        <w:t>continuous</w:t>
      </w:r>
      <w:r>
        <w:rPr>
          <w:spacing w:val="-4"/>
        </w:rPr>
        <w:t> </w:t>
      </w:r>
      <w:r>
        <w:rPr/>
        <w:t>eligibility</w:t>
      </w:r>
      <w:r>
        <w:rPr>
          <w:spacing w:val="-9"/>
        </w:rPr>
        <w:t> </w:t>
      </w:r>
      <w:r>
        <w:rPr/>
        <w:t>for</w:t>
      </w:r>
      <w:r>
        <w:rPr>
          <w:spacing w:val="-3"/>
        </w:rPr>
        <w:t> </w:t>
      </w:r>
      <w:r>
        <w:rPr/>
        <w:t>certain</w:t>
      </w:r>
      <w:r>
        <w:rPr>
          <w:spacing w:val="-4"/>
        </w:rPr>
        <w:t> </w:t>
      </w:r>
      <w:r>
        <w:rPr/>
        <w:t>targeted</w:t>
      </w:r>
      <w:r>
        <w:rPr>
          <w:spacing w:val="-4"/>
        </w:rPr>
        <w:t> </w:t>
      </w:r>
      <w:r>
        <w:rPr/>
        <w:t>low-income</w:t>
      </w:r>
      <w:r>
        <w:rPr>
          <w:spacing w:val="-5"/>
        </w:rPr>
        <w:t> </w:t>
      </w:r>
      <w:r>
        <w:rPr/>
        <w:t>children</w:t>
      </w:r>
      <w:r>
        <w:rPr>
          <w:spacing w:val="-4"/>
        </w:rPr>
        <w:t> </w:t>
      </w:r>
      <w:r>
        <w:rPr/>
        <w:t>enrolled</w:t>
      </w:r>
      <w:r>
        <w:rPr>
          <w:spacing w:val="-4"/>
        </w:rPr>
        <w:t> </w:t>
      </w:r>
      <w:r>
        <w:rPr/>
        <w:t>in </w:t>
      </w:r>
      <w:r>
        <w:rPr>
          <w:spacing w:val="-2"/>
        </w:rPr>
        <w:t>CHIP.</w:t>
      </w:r>
    </w:p>
    <w:p>
      <w:pPr>
        <w:pStyle w:val="BodyText"/>
        <w:spacing w:before="10"/>
        <w:rPr>
          <w:sz w:val="20"/>
        </w:rPr>
      </w:pPr>
    </w:p>
    <w:p>
      <w:pPr>
        <w:pStyle w:val="ListParagraph"/>
        <w:numPr>
          <w:ilvl w:val="1"/>
          <w:numId w:val="2"/>
        </w:numPr>
        <w:tabs>
          <w:tab w:pos="2520" w:val="left" w:leader="none"/>
        </w:tabs>
        <w:spacing w:line="240" w:lineRule="auto" w:before="0" w:after="0"/>
        <w:ind w:left="2520" w:right="1327" w:hanging="360"/>
        <w:jc w:val="left"/>
        <w:rPr>
          <w:sz w:val="24"/>
        </w:rPr>
      </w:pPr>
      <w:bookmarkStart w:name="a. For expenditures related to 2110(b)(1" w:id="117"/>
      <w:bookmarkEnd w:id="117"/>
      <w:r>
        <w:rPr/>
      </w:r>
      <w:r>
        <w:rPr>
          <w:sz w:val="24"/>
        </w:rPr>
        <w:t>For</w:t>
      </w:r>
      <w:r>
        <w:rPr>
          <w:spacing w:val="-5"/>
          <w:sz w:val="24"/>
        </w:rPr>
        <w:t> </w:t>
      </w:r>
      <w:r>
        <w:rPr>
          <w:sz w:val="24"/>
        </w:rPr>
        <w:t>expenditures</w:t>
      </w:r>
      <w:r>
        <w:rPr>
          <w:spacing w:val="-4"/>
          <w:sz w:val="24"/>
        </w:rPr>
        <w:t> </w:t>
      </w:r>
      <w:r>
        <w:rPr>
          <w:sz w:val="24"/>
        </w:rPr>
        <w:t>related</w:t>
      </w:r>
      <w:r>
        <w:rPr>
          <w:spacing w:val="-2"/>
          <w:sz w:val="24"/>
        </w:rPr>
        <w:t> </w:t>
      </w:r>
      <w:r>
        <w:rPr>
          <w:sz w:val="24"/>
        </w:rPr>
        <w:t>to</w:t>
      </w:r>
      <w:r>
        <w:rPr>
          <w:spacing w:val="-4"/>
          <w:sz w:val="24"/>
        </w:rPr>
        <w:t> </w:t>
      </w:r>
      <w:r>
        <w:rPr>
          <w:sz w:val="24"/>
        </w:rPr>
        <w:t>2110(b)(1)</w:t>
      </w:r>
      <w:r>
        <w:rPr>
          <w:spacing w:val="-5"/>
          <w:sz w:val="24"/>
        </w:rPr>
        <w:t> </w:t>
      </w:r>
      <w:r>
        <w:rPr>
          <w:sz w:val="24"/>
        </w:rPr>
        <w:t>targeted</w:t>
      </w:r>
      <w:r>
        <w:rPr>
          <w:spacing w:val="-4"/>
          <w:sz w:val="24"/>
        </w:rPr>
        <w:t> </w:t>
      </w:r>
      <w:r>
        <w:rPr>
          <w:sz w:val="24"/>
        </w:rPr>
        <w:t>low-income</w:t>
      </w:r>
      <w:r>
        <w:rPr>
          <w:spacing w:val="-5"/>
          <w:sz w:val="24"/>
        </w:rPr>
        <w:t> </w:t>
      </w:r>
      <w:r>
        <w:rPr>
          <w:sz w:val="24"/>
        </w:rPr>
        <w:t>children</w:t>
      </w:r>
      <w:r>
        <w:rPr>
          <w:spacing w:val="-4"/>
          <w:sz w:val="24"/>
        </w:rPr>
        <w:t> </w:t>
      </w:r>
      <w:r>
        <w:rPr>
          <w:sz w:val="24"/>
        </w:rPr>
        <w:t>who</w:t>
      </w:r>
      <w:r>
        <w:rPr>
          <w:spacing w:val="-4"/>
          <w:sz w:val="24"/>
        </w:rPr>
        <w:t> </w:t>
      </w:r>
      <w:r>
        <w:rPr>
          <w:sz w:val="24"/>
        </w:rPr>
        <w:t>are</w:t>
      </w:r>
      <w:r>
        <w:rPr>
          <w:spacing w:val="-5"/>
          <w:sz w:val="24"/>
        </w:rPr>
        <w:t> </w:t>
      </w:r>
      <w:r>
        <w:rPr>
          <w:sz w:val="24"/>
        </w:rPr>
        <w:t>eligible for continuous eligibility based on their release from a correctional institution.</w:t>
      </w:r>
    </w:p>
    <w:p>
      <w:pPr>
        <w:pStyle w:val="BodyText"/>
        <w:spacing w:before="10"/>
        <w:rPr>
          <w:sz w:val="20"/>
        </w:rPr>
      </w:pPr>
    </w:p>
    <w:p>
      <w:pPr>
        <w:pStyle w:val="ListParagraph"/>
        <w:numPr>
          <w:ilvl w:val="1"/>
          <w:numId w:val="2"/>
        </w:numPr>
        <w:tabs>
          <w:tab w:pos="2520" w:val="left" w:leader="none"/>
        </w:tabs>
        <w:spacing w:line="240" w:lineRule="auto" w:before="0" w:after="0"/>
        <w:ind w:left="2520" w:right="1327" w:hanging="360"/>
        <w:jc w:val="left"/>
        <w:rPr>
          <w:sz w:val="24"/>
        </w:rPr>
      </w:pPr>
      <w:bookmarkStart w:name="b. For expenditures related to 2110(b)(1" w:id="118"/>
      <w:bookmarkEnd w:id="118"/>
      <w:r>
        <w:rPr/>
      </w:r>
      <w:r>
        <w:rPr>
          <w:sz w:val="24"/>
        </w:rPr>
        <w:t>For</w:t>
      </w:r>
      <w:r>
        <w:rPr>
          <w:spacing w:val="-5"/>
          <w:sz w:val="24"/>
        </w:rPr>
        <w:t> </w:t>
      </w:r>
      <w:r>
        <w:rPr>
          <w:sz w:val="24"/>
        </w:rPr>
        <w:t>expenditures</w:t>
      </w:r>
      <w:r>
        <w:rPr>
          <w:spacing w:val="-4"/>
          <w:sz w:val="24"/>
        </w:rPr>
        <w:t> </w:t>
      </w:r>
      <w:r>
        <w:rPr>
          <w:sz w:val="24"/>
        </w:rPr>
        <w:t>related</w:t>
      </w:r>
      <w:r>
        <w:rPr>
          <w:spacing w:val="-2"/>
          <w:sz w:val="24"/>
        </w:rPr>
        <w:t> </w:t>
      </w:r>
      <w:r>
        <w:rPr>
          <w:sz w:val="24"/>
        </w:rPr>
        <w:t>to</w:t>
      </w:r>
      <w:r>
        <w:rPr>
          <w:spacing w:val="-4"/>
          <w:sz w:val="24"/>
        </w:rPr>
        <w:t> </w:t>
      </w:r>
      <w:r>
        <w:rPr>
          <w:sz w:val="24"/>
        </w:rPr>
        <w:t>2110(b)(1)</w:t>
      </w:r>
      <w:r>
        <w:rPr>
          <w:spacing w:val="-5"/>
          <w:sz w:val="24"/>
        </w:rPr>
        <w:t> </w:t>
      </w:r>
      <w:r>
        <w:rPr>
          <w:sz w:val="24"/>
        </w:rPr>
        <w:t>targeted</w:t>
      </w:r>
      <w:r>
        <w:rPr>
          <w:spacing w:val="-4"/>
          <w:sz w:val="24"/>
        </w:rPr>
        <w:t> </w:t>
      </w:r>
      <w:r>
        <w:rPr>
          <w:sz w:val="24"/>
        </w:rPr>
        <w:t>low-income</w:t>
      </w:r>
      <w:r>
        <w:rPr>
          <w:spacing w:val="-5"/>
          <w:sz w:val="24"/>
        </w:rPr>
        <w:t> </w:t>
      </w:r>
      <w:r>
        <w:rPr>
          <w:sz w:val="24"/>
        </w:rPr>
        <w:t>children</w:t>
      </w:r>
      <w:r>
        <w:rPr>
          <w:spacing w:val="-4"/>
          <w:sz w:val="24"/>
        </w:rPr>
        <w:t> </w:t>
      </w:r>
      <w:r>
        <w:rPr>
          <w:sz w:val="24"/>
        </w:rPr>
        <w:t>who</w:t>
      </w:r>
      <w:r>
        <w:rPr>
          <w:spacing w:val="-4"/>
          <w:sz w:val="24"/>
        </w:rPr>
        <w:t> </w:t>
      </w:r>
      <w:r>
        <w:rPr>
          <w:sz w:val="24"/>
        </w:rPr>
        <w:t>are</w:t>
      </w:r>
      <w:r>
        <w:rPr>
          <w:spacing w:val="-5"/>
          <w:sz w:val="24"/>
        </w:rPr>
        <w:t> </w:t>
      </w:r>
      <w:r>
        <w:rPr>
          <w:sz w:val="24"/>
        </w:rPr>
        <w:t>eligible for continuous eligibility because they are experiencing</w:t>
      </w:r>
      <w:r>
        <w:rPr>
          <w:spacing w:val="40"/>
          <w:sz w:val="24"/>
        </w:rPr>
        <w:t> </w:t>
      </w:r>
      <w:r>
        <w:rPr>
          <w:sz w:val="24"/>
        </w:rPr>
        <w:t>homelessness as defined in STC 4.10(b).</w:t>
      </w:r>
    </w:p>
    <w:p>
      <w:pPr>
        <w:spacing w:after="0" w:line="240" w:lineRule="auto"/>
        <w:jc w:val="left"/>
        <w:rPr>
          <w:sz w:val="24"/>
        </w:rPr>
        <w:sectPr>
          <w:pgSz w:w="12240" w:h="15840"/>
          <w:pgMar w:header="0" w:footer="998" w:top="1360" w:bottom="1180" w:left="0" w:right="220"/>
        </w:sectPr>
      </w:pPr>
    </w:p>
    <w:p>
      <w:pPr>
        <w:pStyle w:val="Heading4"/>
        <w:spacing w:line="480" w:lineRule="auto" w:before="79"/>
        <w:ind w:left="4048" w:right="2411" w:hanging="900"/>
      </w:pPr>
      <w:bookmarkStart w:name="STCs MassHealth 1115 Waiver Extension (f" w:id="119"/>
      <w:bookmarkEnd w:id="119"/>
      <w:r>
        <w:rPr>
          <w:b w:val="0"/>
        </w:rPr>
      </w:r>
      <w:bookmarkStart w:name="CENTERS FOR MEDICARE &amp; MEDICAID SERVICES" w:id="120"/>
      <w:bookmarkEnd w:id="120"/>
      <w:r>
        <w:rPr>
          <w:b w:val="0"/>
        </w:rPr>
      </w:r>
      <w:r>
        <w:rPr/>
        <w:t>CENTERS</w:t>
      </w:r>
      <w:r>
        <w:rPr>
          <w:spacing w:val="-7"/>
        </w:rPr>
        <w:t> </w:t>
      </w:r>
      <w:r>
        <w:rPr/>
        <w:t>FOR</w:t>
      </w:r>
      <w:r>
        <w:rPr>
          <w:spacing w:val="-8"/>
        </w:rPr>
        <w:t> </w:t>
      </w:r>
      <w:r>
        <w:rPr/>
        <w:t>MEDICARE</w:t>
      </w:r>
      <w:r>
        <w:rPr>
          <w:spacing w:val="-7"/>
        </w:rPr>
        <w:t> </w:t>
      </w:r>
      <w:r>
        <w:rPr/>
        <w:t>&amp;</w:t>
      </w:r>
      <w:r>
        <w:rPr>
          <w:spacing w:val="-8"/>
        </w:rPr>
        <w:t> </w:t>
      </w:r>
      <w:r>
        <w:rPr/>
        <w:t>MEDICAID</w:t>
      </w:r>
      <w:r>
        <w:rPr>
          <w:spacing w:val="-7"/>
        </w:rPr>
        <w:t> </w:t>
      </w:r>
      <w:r>
        <w:rPr/>
        <w:t>SERVICES </w:t>
      </w:r>
      <w:bookmarkStart w:name="SPECIAL TERMS AND CONDITIONS" w:id="121"/>
      <w:bookmarkEnd w:id="121"/>
      <w:r>
        <w:rPr/>
        <w:t>S</w:t>
      </w:r>
      <w:r>
        <w:rPr/>
        <w:t>PECIAL TERMS AND CONDITIONS</w:t>
      </w:r>
    </w:p>
    <w:p>
      <w:pPr>
        <w:tabs>
          <w:tab w:pos="3599" w:val="left" w:leader="none"/>
        </w:tabs>
        <w:spacing w:before="0"/>
        <w:ind w:left="1440" w:right="0" w:firstLine="0"/>
        <w:jc w:val="left"/>
        <w:rPr>
          <w:b/>
          <w:sz w:val="24"/>
        </w:rPr>
      </w:pPr>
      <w:r>
        <w:rPr>
          <w:b/>
          <w:spacing w:val="-2"/>
          <w:sz w:val="24"/>
        </w:rPr>
        <w:t>NUMBER:</w:t>
      </w:r>
      <w:r>
        <w:rPr>
          <w:b/>
          <w:sz w:val="24"/>
        </w:rPr>
        <w:tab/>
        <w:t>11-W-00030/1</w:t>
      </w:r>
      <w:r>
        <w:rPr>
          <w:b/>
          <w:spacing w:val="-5"/>
          <w:sz w:val="24"/>
        </w:rPr>
        <w:t> </w:t>
      </w:r>
      <w:r>
        <w:rPr>
          <w:b/>
          <w:sz w:val="24"/>
        </w:rPr>
        <w:t>and</w:t>
      </w:r>
      <w:r>
        <w:rPr>
          <w:b/>
          <w:spacing w:val="-2"/>
          <w:sz w:val="24"/>
        </w:rPr>
        <w:t> </w:t>
      </w:r>
      <w:r>
        <w:rPr>
          <w:b/>
          <w:sz w:val="24"/>
        </w:rPr>
        <w:t>21-W-</w:t>
      </w:r>
      <w:r>
        <w:rPr>
          <w:b/>
          <w:spacing w:val="-2"/>
          <w:sz w:val="24"/>
        </w:rPr>
        <w:t>00071/1</w:t>
      </w:r>
    </w:p>
    <w:p>
      <w:pPr>
        <w:tabs>
          <w:tab w:pos="3599" w:val="left" w:leader="none"/>
        </w:tabs>
        <w:spacing w:before="158"/>
        <w:ind w:left="3600" w:right="1750" w:hanging="2160"/>
        <w:jc w:val="left"/>
        <w:rPr>
          <w:b/>
          <w:sz w:val="24"/>
        </w:rPr>
      </w:pPr>
      <w:r>
        <w:rPr>
          <w:b/>
          <w:spacing w:val="-2"/>
          <w:sz w:val="24"/>
        </w:rPr>
        <w:t>TITLE:</w:t>
      </w:r>
      <w:r>
        <w:rPr>
          <w:b/>
          <w:sz w:val="24"/>
        </w:rPr>
        <w:tab/>
        <w:t>MassHealth</w:t>
      </w:r>
      <w:r>
        <w:rPr>
          <w:b/>
          <w:spacing w:val="-6"/>
          <w:sz w:val="24"/>
        </w:rPr>
        <w:t> </w:t>
      </w:r>
      <w:r>
        <w:rPr>
          <w:b/>
          <w:sz w:val="24"/>
        </w:rPr>
        <w:t>Medicaid</w:t>
      </w:r>
      <w:r>
        <w:rPr>
          <w:b/>
          <w:spacing w:val="-6"/>
          <w:sz w:val="24"/>
        </w:rPr>
        <w:t> </w:t>
      </w:r>
      <w:r>
        <w:rPr>
          <w:b/>
          <w:sz w:val="24"/>
        </w:rPr>
        <w:t>and</w:t>
      </w:r>
      <w:r>
        <w:rPr>
          <w:b/>
          <w:spacing w:val="-6"/>
          <w:sz w:val="24"/>
        </w:rPr>
        <w:t> </w:t>
      </w:r>
      <w:r>
        <w:rPr>
          <w:b/>
          <w:sz w:val="24"/>
        </w:rPr>
        <w:t>Children’s</w:t>
      </w:r>
      <w:r>
        <w:rPr>
          <w:b/>
          <w:spacing w:val="-6"/>
          <w:sz w:val="24"/>
        </w:rPr>
        <w:t> </w:t>
      </w:r>
      <w:r>
        <w:rPr>
          <w:b/>
          <w:sz w:val="24"/>
        </w:rPr>
        <w:t>Health</w:t>
      </w:r>
      <w:r>
        <w:rPr>
          <w:b/>
          <w:spacing w:val="-6"/>
          <w:sz w:val="24"/>
        </w:rPr>
        <w:t> </w:t>
      </w:r>
      <w:r>
        <w:rPr>
          <w:b/>
          <w:sz w:val="24"/>
        </w:rPr>
        <w:t>Insurance</w:t>
      </w:r>
      <w:r>
        <w:rPr>
          <w:b/>
          <w:spacing w:val="-7"/>
          <w:sz w:val="24"/>
        </w:rPr>
        <w:t> </w:t>
      </w:r>
      <w:r>
        <w:rPr>
          <w:b/>
          <w:sz w:val="24"/>
        </w:rPr>
        <w:t>Program (CHIP) Section 1115 Demonstration</w:t>
      </w:r>
    </w:p>
    <w:p>
      <w:pPr>
        <w:tabs>
          <w:tab w:pos="3599" w:val="left" w:leader="none"/>
        </w:tabs>
        <w:spacing w:before="161"/>
        <w:ind w:left="3600" w:right="2000" w:hanging="2160"/>
        <w:jc w:val="left"/>
        <w:rPr>
          <w:b/>
          <w:sz w:val="24"/>
        </w:rPr>
      </w:pPr>
      <w:r>
        <w:rPr>
          <w:b/>
          <w:spacing w:val="-2"/>
          <w:sz w:val="24"/>
        </w:rPr>
        <w:t>AWARDEE:</w:t>
      </w:r>
      <w:r>
        <w:rPr>
          <w:b/>
          <w:sz w:val="24"/>
        </w:rPr>
        <w:tab/>
        <w:t>Massachusetts</w:t>
      </w:r>
      <w:r>
        <w:rPr>
          <w:b/>
          <w:spacing w:val="-5"/>
          <w:sz w:val="24"/>
        </w:rPr>
        <w:t> </w:t>
      </w:r>
      <w:r>
        <w:rPr>
          <w:b/>
          <w:sz w:val="24"/>
        </w:rPr>
        <w:t>Executive</w:t>
      </w:r>
      <w:r>
        <w:rPr>
          <w:b/>
          <w:spacing w:val="-6"/>
          <w:sz w:val="24"/>
        </w:rPr>
        <w:t> </w:t>
      </w:r>
      <w:r>
        <w:rPr>
          <w:b/>
          <w:sz w:val="24"/>
        </w:rPr>
        <w:t>Office</w:t>
      </w:r>
      <w:r>
        <w:rPr>
          <w:b/>
          <w:spacing w:val="-6"/>
          <w:sz w:val="24"/>
        </w:rPr>
        <w:t> </w:t>
      </w:r>
      <w:r>
        <w:rPr>
          <w:b/>
          <w:sz w:val="24"/>
        </w:rPr>
        <w:t>of</w:t>
      </w:r>
      <w:r>
        <w:rPr>
          <w:b/>
          <w:spacing w:val="-6"/>
          <w:sz w:val="24"/>
        </w:rPr>
        <w:t> </w:t>
      </w:r>
      <w:r>
        <w:rPr>
          <w:b/>
          <w:sz w:val="24"/>
        </w:rPr>
        <w:t>Health</w:t>
      </w:r>
      <w:r>
        <w:rPr>
          <w:b/>
          <w:spacing w:val="-5"/>
          <w:sz w:val="24"/>
        </w:rPr>
        <w:t> </w:t>
      </w:r>
      <w:r>
        <w:rPr>
          <w:b/>
          <w:sz w:val="24"/>
        </w:rPr>
        <w:t>and</w:t>
      </w:r>
      <w:r>
        <w:rPr>
          <w:b/>
          <w:spacing w:val="-7"/>
          <w:sz w:val="24"/>
        </w:rPr>
        <w:t> </w:t>
      </w:r>
      <w:r>
        <w:rPr>
          <w:b/>
          <w:sz w:val="24"/>
        </w:rPr>
        <w:t>Human</w:t>
      </w:r>
      <w:r>
        <w:rPr>
          <w:b/>
          <w:spacing w:val="-5"/>
          <w:sz w:val="24"/>
        </w:rPr>
        <w:t> </w:t>
      </w:r>
      <w:r>
        <w:rPr>
          <w:b/>
          <w:sz w:val="24"/>
        </w:rPr>
        <w:t>Services </w:t>
      </w:r>
      <w:r>
        <w:rPr>
          <w:b/>
          <w:spacing w:val="-2"/>
          <w:sz w:val="24"/>
        </w:rPr>
        <w:t>(EOHHS)</w:t>
      </w:r>
    </w:p>
    <w:p>
      <w:pPr>
        <w:pStyle w:val="BodyText"/>
        <w:spacing w:before="1"/>
        <w:rPr>
          <w:b/>
          <w:sz w:val="13"/>
        </w:rPr>
      </w:pPr>
    </w:p>
    <w:p>
      <w:pPr>
        <w:pStyle w:val="Heading4"/>
        <w:numPr>
          <w:ilvl w:val="0"/>
          <w:numId w:val="3"/>
        </w:numPr>
        <w:tabs>
          <w:tab w:pos="1799" w:val="left" w:leader="none"/>
        </w:tabs>
        <w:spacing w:line="240" w:lineRule="auto" w:before="90" w:after="0"/>
        <w:ind w:left="1799" w:right="0" w:hanging="360"/>
        <w:jc w:val="left"/>
      </w:pPr>
      <w:bookmarkStart w:name="1. PREFACE" w:id="122"/>
      <w:bookmarkEnd w:id="122"/>
      <w:r>
        <w:rPr>
          <w:b w:val="0"/>
        </w:rPr>
      </w:r>
      <w:r>
        <w:rPr>
          <w:spacing w:val="-2"/>
        </w:rPr>
        <w:t>PREFACE</w:t>
      </w:r>
    </w:p>
    <w:p>
      <w:pPr>
        <w:pStyle w:val="BodyText"/>
        <w:spacing w:before="10"/>
        <w:rPr>
          <w:b/>
          <w:sz w:val="20"/>
        </w:rPr>
      </w:pPr>
    </w:p>
    <w:p>
      <w:pPr>
        <w:pStyle w:val="BodyText"/>
        <w:ind w:left="1439" w:right="1264"/>
      </w:pPr>
      <w:r>
        <w:rPr/>
        <w:t>The following are the Special Terms and Conditions (STCs) for the “MassHealth” section 1115(a) Medicaid and Children’s Health Insurance Program (CHIP) demonstration (hereinafter “demonstration”), to enable the Massachusetts Executive Office of Health and Human Services (which is the single state agency that oversees the MassHealth program), to operate this demonstration.</w:t>
      </w:r>
      <w:r>
        <w:rPr>
          <w:spacing w:val="40"/>
        </w:rPr>
        <w:t> </w:t>
      </w:r>
      <w:r>
        <w:rPr/>
        <w:t>The Centers for Medicare &amp; Medicaid Services (CMS) has granted the Commonwealth of Massachusetts (hereinaftefr, the state or the Commonwealth) waivers of requirements under section 1902(a) and 2102(b)(2) of the Social Security Act (Act), and expenditure authorities authorizing federal matching of demonstration costs not otherwise matchable,</w:t>
      </w:r>
      <w:r>
        <w:rPr>
          <w:spacing w:val="-3"/>
        </w:rPr>
        <w:t> </w:t>
      </w:r>
      <w:r>
        <w:rPr/>
        <w:t>which</w:t>
      </w:r>
      <w:r>
        <w:rPr>
          <w:spacing w:val="-1"/>
        </w:rPr>
        <w:t> </w:t>
      </w:r>
      <w:r>
        <w:rPr/>
        <w:t>are</w:t>
      </w:r>
      <w:r>
        <w:rPr>
          <w:spacing w:val="-4"/>
        </w:rPr>
        <w:t> </w:t>
      </w:r>
      <w:r>
        <w:rPr/>
        <w:t>separately</w:t>
      </w:r>
      <w:r>
        <w:rPr>
          <w:spacing w:val="-8"/>
        </w:rPr>
        <w:t> </w:t>
      </w:r>
      <w:r>
        <w:rPr/>
        <w:t>enumerated.</w:t>
      </w:r>
      <w:r>
        <w:rPr>
          <w:spacing w:val="40"/>
        </w:rPr>
        <w:t> </w:t>
      </w:r>
      <w:r>
        <w:rPr/>
        <w:t>These</w:t>
      </w:r>
      <w:r>
        <w:rPr>
          <w:spacing w:val="-4"/>
        </w:rPr>
        <w:t> </w:t>
      </w:r>
      <w:r>
        <w:rPr/>
        <w:t>STCs</w:t>
      </w:r>
      <w:r>
        <w:rPr>
          <w:spacing w:val="-3"/>
        </w:rPr>
        <w:t> </w:t>
      </w:r>
      <w:r>
        <w:rPr/>
        <w:t>set</w:t>
      </w:r>
      <w:r>
        <w:rPr>
          <w:spacing w:val="-3"/>
        </w:rPr>
        <w:t> </w:t>
      </w:r>
      <w:r>
        <w:rPr/>
        <w:t>forth</w:t>
      </w:r>
      <w:r>
        <w:rPr>
          <w:spacing w:val="-3"/>
        </w:rPr>
        <w:t> </w:t>
      </w:r>
      <w:r>
        <w:rPr/>
        <w:t>conditions</w:t>
      </w:r>
      <w:r>
        <w:rPr>
          <w:spacing w:val="-3"/>
        </w:rPr>
        <w:t> </w:t>
      </w:r>
      <w:r>
        <w:rPr/>
        <w:t>and</w:t>
      </w:r>
      <w:r>
        <w:rPr>
          <w:spacing w:val="-3"/>
        </w:rPr>
        <w:t> </w:t>
      </w:r>
      <w:r>
        <w:rPr/>
        <w:t>limitations</w:t>
      </w:r>
      <w:r>
        <w:rPr>
          <w:spacing w:val="-3"/>
        </w:rPr>
        <w:t> </w:t>
      </w:r>
      <w:r>
        <w:rPr/>
        <w:t>on those</w:t>
      </w:r>
      <w:r>
        <w:rPr>
          <w:spacing w:val="-1"/>
        </w:rPr>
        <w:t> </w:t>
      </w:r>
      <w:r>
        <w:rPr/>
        <w:t>waivers and expenditure</w:t>
      </w:r>
      <w:r>
        <w:rPr>
          <w:spacing w:val="-1"/>
        </w:rPr>
        <w:t> </w:t>
      </w:r>
      <w:r>
        <w:rPr/>
        <w:t>authorities, and describe</w:t>
      </w:r>
      <w:r>
        <w:rPr>
          <w:spacing w:val="-1"/>
        </w:rPr>
        <w:t> </w:t>
      </w:r>
      <w:r>
        <w:rPr/>
        <w:t>in detail the</w:t>
      </w:r>
      <w:r>
        <w:rPr>
          <w:spacing w:val="-1"/>
        </w:rPr>
        <w:t> </w:t>
      </w:r>
      <w:r>
        <w:rPr/>
        <w:t>nature, character, and extent of federal involvement in the demonstration and the Commonwealth’s obligations to CMS related to the demonstration.</w:t>
      </w:r>
      <w:r>
        <w:rPr>
          <w:spacing w:val="40"/>
        </w:rPr>
        <w:t> </w:t>
      </w:r>
      <w:r>
        <w:rPr/>
        <w:t>These STCs neither grant additional waivers or expenditure authorities, nor expand upon those separately granted.</w:t>
      </w:r>
    </w:p>
    <w:p>
      <w:pPr>
        <w:pStyle w:val="BodyText"/>
        <w:spacing w:before="159"/>
        <w:ind w:left="1439" w:right="1239"/>
      </w:pPr>
      <w:r>
        <w:rPr/>
        <w:t>The STCs are effective as of October 1, 2022 through December 31, 2027, unless otherwise specified. All previously approved STCs are superseded by the STCs set forth below for the Commonwealth’s</w:t>
      </w:r>
      <w:r>
        <w:rPr>
          <w:spacing w:val="-3"/>
        </w:rPr>
        <w:t> </w:t>
      </w:r>
      <w:r>
        <w:rPr/>
        <w:t>expenditures</w:t>
      </w:r>
      <w:r>
        <w:rPr>
          <w:spacing w:val="-3"/>
        </w:rPr>
        <w:t> </w:t>
      </w:r>
      <w:r>
        <w:rPr/>
        <w:t>relating</w:t>
      </w:r>
      <w:r>
        <w:rPr>
          <w:spacing w:val="-6"/>
        </w:rPr>
        <w:t> </w:t>
      </w:r>
      <w:r>
        <w:rPr/>
        <w:t>to</w:t>
      </w:r>
      <w:r>
        <w:rPr>
          <w:spacing w:val="-3"/>
        </w:rPr>
        <w:t> </w:t>
      </w:r>
      <w:r>
        <w:rPr/>
        <w:t>dates</w:t>
      </w:r>
      <w:r>
        <w:rPr>
          <w:spacing w:val="-3"/>
        </w:rPr>
        <w:t> </w:t>
      </w:r>
      <w:r>
        <w:rPr/>
        <w:t>of</w:t>
      </w:r>
      <w:r>
        <w:rPr>
          <w:spacing w:val="-4"/>
        </w:rPr>
        <w:t> </w:t>
      </w:r>
      <w:r>
        <w:rPr/>
        <w:t>service</w:t>
      </w:r>
      <w:r>
        <w:rPr>
          <w:spacing w:val="-4"/>
        </w:rPr>
        <w:t> </w:t>
      </w:r>
      <w:r>
        <w:rPr/>
        <w:t>during</w:t>
      </w:r>
      <w:r>
        <w:rPr>
          <w:spacing w:val="-6"/>
        </w:rPr>
        <w:t> </w:t>
      </w:r>
      <w:r>
        <w:rPr/>
        <w:t>this</w:t>
      </w:r>
      <w:r>
        <w:rPr>
          <w:spacing w:val="-3"/>
        </w:rPr>
        <w:t> </w:t>
      </w:r>
      <w:r>
        <w:rPr/>
        <w:t>demonstration</w:t>
      </w:r>
      <w:r>
        <w:rPr>
          <w:spacing w:val="-3"/>
        </w:rPr>
        <w:t> </w:t>
      </w:r>
      <w:r>
        <w:rPr/>
        <w:t>extension, unless otherwise specified.</w:t>
      </w:r>
    </w:p>
    <w:p>
      <w:pPr>
        <w:pStyle w:val="BodyText"/>
        <w:spacing w:before="160"/>
        <w:ind w:left="1439"/>
      </w:pPr>
      <w:r>
        <w:rPr/>
        <w:t>The</w:t>
      </w:r>
      <w:r>
        <w:rPr>
          <w:spacing w:val="-5"/>
        </w:rPr>
        <w:t> </w:t>
      </w:r>
      <w:r>
        <w:rPr/>
        <w:t>STCs</w:t>
      </w:r>
      <w:r>
        <w:rPr>
          <w:spacing w:val="-1"/>
        </w:rPr>
        <w:t> </w:t>
      </w:r>
      <w:r>
        <w:rPr/>
        <w:t>have</w:t>
      </w:r>
      <w:r>
        <w:rPr>
          <w:spacing w:val="-2"/>
        </w:rPr>
        <w:t> </w:t>
      </w:r>
      <w:r>
        <w:rPr/>
        <w:t>been</w:t>
      </w:r>
      <w:r>
        <w:rPr>
          <w:spacing w:val="1"/>
        </w:rPr>
        <w:t> </w:t>
      </w:r>
      <w:r>
        <w:rPr/>
        <w:t>arranged</w:t>
      </w:r>
      <w:r>
        <w:rPr>
          <w:spacing w:val="-1"/>
        </w:rPr>
        <w:t> </w:t>
      </w:r>
      <w:r>
        <w:rPr/>
        <w:t>into</w:t>
      </w:r>
      <w:r>
        <w:rPr>
          <w:spacing w:val="-1"/>
        </w:rPr>
        <w:t> </w:t>
      </w:r>
      <w:r>
        <w:rPr/>
        <w:t>the</w:t>
      </w:r>
      <w:r>
        <w:rPr>
          <w:spacing w:val="-2"/>
        </w:rPr>
        <w:t> </w:t>
      </w:r>
      <w:r>
        <w:rPr/>
        <w:t>following</w:t>
      </w:r>
      <w:r>
        <w:rPr>
          <w:spacing w:val="-4"/>
        </w:rPr>
        <w:t> </w:t>
      </w:r>
      <w:r>
        <w:rPr/>
        <w:t>subject</w:t>
      </w:r>
      <w:r>
        <w:rPr>
          <w:spacing w:val="-1"/>
        </w:rPr>
        <w:t> </w:t>
      </w:r>
      <w:r>
        <w:rPr>
          <w:spacing w:val="-2"/>
        </w:rPr>
        <w:t>areas:</w:t>
      </w:r>
    </w:p>
    <w:p>
      <w:pPr>
        <w:pStyle w:val="BodyText"/>
        <w:spacing w:before="10"/>
        <w:rPr>
          <w:sz w:val="20"/>
        </w:rPr>
      </w:pPr>
    </w:p>
    <w:p>
      <w:pPr>
        <w:pStyle w:val="ListParagraph"/>
        <w:numPr>
          <w:ilvl w:val="1"/>
          <w:numId w:val="3"/>
        </w:numPr>
        <w:tabs>
          <w:tab w:pos="2879" w:val="left" w:leader="none"/>
        </w:tabs>
        <w:spacing w:line="240" w:lineRule="auto" w:before="0" w:after="0"/>
        <w:ind w:left="2879" w:right="0" w:hanging="360"/>
        <w:jc w:val="left"/>
        <w:rPr>
          <w:sz w:val="24"/>
        </w:rPr>
      </w:pPr>
      <w:r>
        <w:rPr>
          <w:spacing w:val="-2"/>
          <w:sz w:val="24"/>
        </w:rPr>
        <w:t>Preface</w:t>
      </w:r>
    </w:p>
    <w:p>
      <w:pPr>
        <w:pStyle w:val="ListParagraph"/>
        <w:numPr>
          <w:ilvl w:val="1"/>
          <w:numId w:val="3"/>
        </w:numPr>
        <w:tabs>
          <w:tab w:pos="2879" w:val="left" w:leader="none"/>
        </w:tabs>
        <w:spacing w:line="240" w:lineRule="auto" w:before="0" w:after="0"/>
        <w:ind w:left="2879" w:right="0" w:hanging="360"/>
        <w:jc w:val="left"/>
        <w:rPr>
          <w:sz w:val="24"/>
        </w:rPr>
      </w:pPr>
      <w:r>
        <w:rPr>
          <w:sz w:val="24"/>
        </w:rPr>
        <w:t>Program</w:t>
      </w:r>
      <w:r>
        <w:rPr>
          <w:spacing w:val="-3"/>
          <w:sz w:val="24"/>
        </w:rPr>
        <w:t> </w:t>
      </w:r>
      <w:r>
        <w:rPr>
          <w:sz w:val="24"/>
        </w:rPr>
        <w:t>Description</w:t>
      </w:r>
      <w:r>
        <w:rPr>
          <w:spacing w:val="-2"/>
          <w:sz w:val="24"/>
        </w:rPr>
        <w:t> </w:t>
      </w:r>
      <w:r>
        <w:rPr>
          <w:sz w:val="24"/>
        </w:rPr>
        <w:t>and</w:t>
      </w:r>
      <w:r>
        <w:rPr>
          <w:spacing w:val="-2"/>
          <w:sz w:val="24"/>
        </w:rPr>
        <w:t> Objectives</w:t>
      </w:r>
    </w:p>
    <w:p>
      <w:pPr>
        <w:pStyle w:val="ListParagraph"/>
        <w:numPr>
          <w:ilvl w:val="1"/>
          <w:numId w:val="3"/>
        </w:numPr>
        <w:tabs>
          <w:tab w:pos="2879" w:val="left" w:leader="none"/>
        </w:tabs>
        <w:spacing w:line="240" w:lineRule="auto" w:before="0" w:after="0"/>
        <w:ind w:left="2879" w:right="0" w:hanging="360"/>
        <w:jc w:val="left"/>
        <w:rPr>
          <w:sz w:val="24"/>
        </w:rPr>
      </w:pPr>
      <w:r>
        <w:rPr>
          <w:sz w:val="24"/>
        </w:rPr>
        <w:t>General</w:t>
      </w:r>
      <w:r>
        <w:rPr>
          <w:spacing w:val="-3"/>
          <w:sz w:val="24"/>
        </w:rPr>
        <w:t> </w:t>
      </w:r>
      <w:r>
        <w:rPr>
          <w:sz w:val="24"/>
        </w:rPr>
        <w:t>Program</w:t>
      </w:r>
      <w:r>
        <w:rPr>
          <w:spacing w:val="-3"/>
          <w:sz w:val="24"/>
        </w:rPr>
        <w:t> </w:t>
      </w:r>
      <w:r>
        <w:rPr>
          <w:spacing w:val="-2"/>
          <w:sz w:val="24"/>
        </w:rPr>
        <w:t>Requirements</w:t>
      </w:r>
    </w:p>
    <w:p>
      <w:pPr>
        <w:pStyle w:val="ListParagraph"/>
        <w:numPr>
          <w:ilvl w:val="1"/>
          <w:numId w:val="3"/>
        </w:numPr>
        <w:tabs>
          <w:tab w:pos="2879" w:val="left" w:leader="none"/>
        </w:tabs>
        <w:spacing w:line="240" w:lineRule="auto" w:before="1" w:after="0"/>
        <w:ind w:left="2879" w:right="0" w:hanging="360"/>
        <w:jc w:val="left"/>
        <w:rPr>
          <w:sz w:val="24"/>
        </w:rPr>
      </w:pPr>
      <w:r>
        <w:rPr>
          <w:sz w:val="24"/>
        </w:rPr>
        <w:t>Eligibility</w:t>
      </w:r>
      <w:r>
        <w:rPr>
          <w:spacing w:val="-7"/>
          <w:sz w:val="24"/>
        </w:rPr>
        <w:t> </w:t>
      </w:r>
      <w:r>
        <w:rPr>
          <w:sz w:val="24"/>
        </w:rPr>
        <w:t>and</w:t>
      </w:r>
      <w:r>
        <w:rPr>
          <w:spacing w:val="-1"/>
          <w:sz w:val="24"/>
        </w:rPr>
        <w:t> </w:t>
      </w:r>
      <w:r>
        <w:rPr>
          <w:spacing w:val="-2"/>
          <w:sz w:val="24"/>
        </w:rPr>
        <w:t>Enrollment</w:t>
      </w:r>
    </w:p>
    <w:p>
      <w:pPr>
        <w:pStyle w:val="ListParagraph"/>
        <w:numPr>
          <w:ilvl w:val="1"/>
          <w:numId w:val="3"/>
        </w:numPr>
        <w:tabs>
          <w:tab w:pos="2879" w:val="left" w:leader="none"/>
        </w:tabs>
        <w:spacing w:line="240" w:lineRule="auto" w:before="0" w:after="0"/>
        <w:ind w:left="2879" w:right="0" w:hanging="360"/>
        <w:jc w:val="left"/>
        <w:rPr>
          <w:sz w:val="24"/>
        </w:rPr>
      </w:pPr>
      <w:r>
        <w:rPr>
          <w:sz w:val="24"/>
        </w:rPr>
        <w:t>Demonstration</w:t>
      </w:r>
      <w:r>
        <w:rPr>
          <w:spacing w:val="-4"/>
          <w:sz w:val="24"/>
        </w:rPr>
        <w:t> </w:t>
      </w:r>
      <w:r>
        <w:rPr>
          <w:sz w:val="24"/>
        </w:rPr>
        <w:t>Programs</w:t>
      </w:r>
      <w:r>
        <w:rPr>
          <w:spacing w:val="-1"/>
          <w:sz w:val="24"/>
        </w:rPr>
        <w:t> </w:t>
      </w:r>
      <w:r>
        <w:rPr>
          <w:sz w:val="24"/>
        </w:rPr>
        <w:t>and</w:t>
      </w:r>
      <w:r>
        <w:rPr>
          <w:spacing w:val="-3"/>
          <w:sz w:val="24"/>
        </w:rPr>
        <w:t> </w:t>
      </w:r>
      <w:r>
        <w:rPr>
          <w:spacing w:val="-2"/>
          <w:sz w:val="24"/>
        </w:rPr>
        <w:t>Benefits</w:t>
      </w:r>
    </w:p>
    <w:p>
      <w:pPr>
        <w:pStyle w:val="ListParagraph"/>
        <w:numPr>
          <w:ilvl w:val="1"/>
          <w:numId w:val="3"/>
        </w:numPr>
        <w:tabs>
          <w:tab w:pos="2879" w:val="left" w:leader="none"/>
        </w:tabs>
        <w:spacing w:line="240" w:lineRule="auto" w:before="0" w:after="0"/>
        <w:ind w:left="2879" w:right="0" w:hanging="360"/>
        <w:jc w:val="left"/>
        <w:rPr>
          <w:sz w:val="24"/>
        </w:rPr>
      </w:pPr>
      <w:r>
        <w:rPr>
          <w:sz w:val="24"/>
        </w:rPr>
        <w:t>Opioid</w:t>
      </w:r>
      <w:r>
        <w:rPr>
          <w:spacing w:val="-3"/>
          <w:sz w:val="24"/>
        </w:rPr>
        <w:t> </w:t>
      </w:r>
      <w:r>
        <w:rPr>
          <w:sz w:val="24"/>
        </w:rPr>
        <w:t>Use</w:t>
      </w:r>
      <w:r>
        <w:rPr>
          <w:spacing w:val="-3"/>
          <w:sz w:val="24"/>
        </w:rPr>
        <w:t> </w:t>
      </w:r>
      <w:r>
        <w:rPr>
          <w:sz w:val="24"/>
        </w:rPr>
        <w:t>Disorder/Substance</w:t>
      </w:r>
      <w:r>
        <w:rPr>
          <w:spacing w:val="-3"/>
          <w:sz w:val="24"/>
        </w:rPr>
        <w:t> </w:t>
      </w:r>
      <w:r>
        <w:rPr>
          <w:sz w:val="24"/>
        </w:rPr>
        <w:t>Use</w:t>
      </w:r>
      <w:r>
        <w:rPr>
          <w:spacing w:val="-1"/>
          <w:sz w:val="24"/>
        </w:rPr>
        <w:t> </w:t>
      </w:r>
      <w:r>
        <w:rPr>
          <w:sz w:val="24"/>
        </w:rPr>
        <w:t>Disorder</w:t>
      </w:r>
      <w:r>
        <w:rPr>
          <w:spacing w:val="-1"/>
          <w:sz w:val="24"/>
        </w:rPr>
        <w:t> </w:t>
      </w:r>
      <w:r>
        <w:rPr>
          <w:spacing w:val="-4"/>
          <w:sz w:val="24"/>
        </w:rPr>
        <w:t>(SUD)</w:t>
      </w:r>
    </w:p>
    <w:p>
      <w:pPr>
        <w:pStyle w:val="ListParagraph"/>
        <w:numPr>
          <w:ilvl w:val="1"/>
          <w:numId w:val="3"/>
        </w:numPr>
        <w:tabs>
          <w:tab w:pos="2879" w:val="left" w:leader="none"/>
        </w:tabs>
        <w:spacing w:line="240" w:lineRule="auto" w:before="0" w:after="0"/>
        <w:ind w:left="2879" w:right="0" w:hanging="360"/>
        <w:jc w:val="left"/>
        <w:rPr>
          <w:sz w:val="24"/>
        </w:rPr>
      </w:pPr>
      <w:r>
        <w:rPr>
          <w:sz w:val="24"/>
        </w:rPr>
        <w:t>Serious</w:t>
      </w:r>
      <w:r>
        <w:rPr>
          <w:spacing w:val="-6"/>
          <w:sz w:val="24"/>
        </w:rPr>
        <w:t> </w:t>
      </w:r>
      <w:r>
        <w:rPr>
          <w:sz w:val="24"/>
        </w:rPr>
        <w:t>Mental</w:t>
      </w:r>
      <w:r>
        <w:rPr>
          <w:spacing w:val="-2"/>
          <w:sz w:val="24"/>
        </w:rPr>
        <w:t> </w:t>
      </w:r>
      <w:r>
        <w:rPr>
          <w:sz w:val="24"/>
        </w:rPr>
        <w:t>Illness</w:t>
      </w:r>
      <w:r>
        <w:rPr>
          <w:spacing w:val="-4"/>
          <w:sz w:val="24"/>
        </w:rPr>
        <w:t> </w:t>
      </w:r>
      <w:r>
        <w:rPr>
          <w:sz w:val="24"/>
        </w:rPr>
        <w:t>(SMI)/Serious</w:t>
      </w:r>
      <w:r>
        <w:rPr>
          <w:spacing w:val="-4"/>
          <w:sz w:val="24"/>
        </w:rPr>
        <w:t> </w:t>
      </w:r>
      <w:r>
        <w:rPr>
          <w:sz w:val="24"/>
        </w:rPr>
        <w:t>Emotional</w:t>
      </w:r>
      <w:r>
        <w:rPr>
          <w:spacing w:val="-4"/>
          <w:sz w:val="24"/>
        </w:rPr>
        <w:t> </w:t>
      </w:r>
      <w:r>
        <w:rPr>
          <w:sz w:val="24"/>
        </w:rPr>
        <w:t>Disturbance</w:t>
      </w:r>
      <w:r>
        <w:rPr>
          <w:spacing w:val="-5"/>
          <w:sz w:val="24"/>
        </w:rPr>
        <w:t> </w:t>
      </w:r>
      <w:r>
        <w:rPr>
          <w:spacing w:val="-2"/>
          <w:sz w:val="24"/>
        </w:rPr>
        <w:t>(SED)</w:t>
      </w:r>
    </w:p>
    <w:p>
      <w:pPr>
        <w:pStyle w:val="ListParagraph"/>
        <w:numPr>
          <w:ilvl w:val="1"/>
          <w:numId w:val="3"/>
        </w:numPr>
        <w:tabs>
          <w:tab w:pos="2879" w:val="left" w:leader="none"/>
        </w:tabs>
        <w:spacing w:line="240" w:lineRule="auto" w:before="0" w:after="0"/>
        <w:ind w:left="2879" w:right="0" w:hanging="360"/>
        <w:jc w:val="left"/>
        <w:rPr>
          <w:sz w:val="24"/>
        </w:rPr>
      </w:pPr>
      <w:r>
        <w:rPr>
          <w:sz w:val="24"/>
        </w:rPr>
        <w:t>Delivery</w:t>
      </w:r>
      <w:r>
        <w:rPr>
          <w:spacing w:val="-6"/>
          <w:sz w:val="24"/>
        </w:rPr>
        <w:t> </w:t>
      </w:r>
      <w:r>
        <w:rPr>
          <w:spacing w:val="-2"/>
          <w:sz w:val="24"/>
        </w:rPr>
        <w:t>System</w:t>
      </w:r>
    </w:p>
    <w:p>
      <w:pPr>
        <w:pStyle w:val="ListParagraph"/>
        <w:numPr>
          <w:ilvl w:val="1"/>
          <w:numId w:val="3"/>
        </w:numPr>
        <w:tabs>
          <w:tab w:pos="2879" w:val="left" w:leader="none"/>
        </w:tabs>
        <w:spacing w:line="240" w:lineRule="auto" w:before="0" w:after="0"/>
        <w:ind w:left="2879" w:right="0" w:hanging="360"/>
        <w:jc w:val="left"/>
        <w:rPr>
          <w:sz w:val="24"/>
        </w:rPr>
      </w:pPr>
      <w:r>
        <w:rPr>
          <w:sz w:val="24"/>
        </w:rPr>
        <w:t>Cost</w:t>
      </w:r>
      <w:r>
        <w:rPr>
          <w:spacing w:val="-1"/>
          <w:sz w:val="24"/>
        </w:rPr>
        <w:t> </w:t>
      </w:r>
      <w:r>
        <w:rPr>
          <w:spacing w:val="-2"/>
          <w:sz w:val="24"/>
        </w:rPr>
        <w:t>Sharing</w:t>
      </w:r>
    </w:p>
    <w:p>
      <w:pPr>
        <w:pStyle w:val="ListParagraph"/>
        <w:numPr>
          <w:ilvl w:val="1"/>
          <w:numId w:val="3"/>
        </w:numPr>
        <w:tabs>
          <w:tab w:pos="2879" w:val="left" w:leader="none"/>
        </w:tabs>
        <w:spacing w:line="240" w:lineRule="auto" w:before="0" w:after="0"/>
        <w:ind w:left="2879" w:right="0" w:hanging="360"/>
        <w:jc w:val="left"/>
        <w:rPr>
          <w:sz w:val="24"/>
        </w:rPr>
      </w:pPr>
      <w:r>
        <w:rPr>
          <w:sz w:val="24"/>
        </w:rPr>
        <w:t>Marketplace</w:t>
      </w:r>
      <w:r>
        <w:rPr>
          <w:spacing w:val="-4"/>
          <w:sz w:val="24"/>
        </w:rPr>
        <w:t> </w:t>
      </w:r>
      <w:r>
        <w:rPr>
          <w:spacing w:val="-2"/>
          <w:sz w:val="24"/>
        </w:rPr>
        <w:t>Subsidies</w:t>
      </w:r>
    </w:p>
    <w:p>
      <w:pPr>
        <w:pStyle w:val="ListParagraph"/>
        <w:numPr>
          <w:ilvl w:val="1"/>
          <w:numId w:val="3"/>
        </w:numPr>
        <w:tabs>
          <w:tab w:pos="2879" w:val="left" w:leader="none"/>
        </w:tabs>
        <w:spacing w:line="240" w:lineRule="auto" w:before="0" w:after="0"/>
        <w:ind w:left="2879" w:right="0" w:hanging="360"/>
        <w:jc w:val="left"/>
        <w:rPr>
          <w:sz w:val="24"/>
        </w:rPr>
      </w:pPr>
      <w:r>
        <w:rPr>
          <w:sz w:val="24"/>
        </w:rPr>
        <w:t>The</w:t>
      </w:r>
      <w:r>
        <w:rPr>
          <w:spacing w:val="-4"/>
          <w:sz w:val="24"/>
        </w:rPr>
        <w:t> </w:t>
      </w:r>
      <w:r>
        <w:rPr>
          <w:sz w:val="24"/>
        </w:rPr>
        <w:t>Safety</w:t>
      </w:r>
      <w:r>
        <w:rPr>
          <w:spacing w:val="-5"/>
          <w:sz w:val="24"/>
        </w:rPr>
        <w:t> </w:t>
      </w:r>
      <w:r>
        <w:rPr>
          <w:sz w:val="24"/>
        </w:rPr>
        <w:t>Net Care</w:t>
      </w:r>
      <w:r>
        <w:rPr>
          <w:spacing w:val="-1"/>
          <w:sz w:val="24"/>
        </w:rPr>
        <w:t> </w:t>
      </w:r>
      <w:r>
        <w:rPr>
          <w:spacing w:val="-4"/>
          <w:sz w:val="24"/>
        </w:rPr>
        <w:t>Pool</w:t>
      </w:r>
    </w:p>
    <w:p>
      <w:pPr>
        <w:pStyle w:val="ListParagraph"/>
        <w:numPr>
          <w:ilvl w:val="1"/>
          <w:numId w:val="3"/>
        </w:numPr>
        <w:tabs>
          <w:tab w:pos="2879" w:val="left" w:leader="none"/>
        </w:tabs>
        <w:spacing w:line="240" w:lineRule="auto" w:before="0" w:after="0"/>
        <w:ind w:left="2879" w:right="0" w:hanging="360"/>
        <w:jc w:val="left"/>
        <w:rPr>
          <w:sz w:val="24"/>
        </w:rPr>
      </w:pPr>
      <w:r>
        <w:rPr>
          <w:sz w:val="24"/>
        </w:rPr>
        <w:t>Delivery</w:t>
      </w:r>
      <w:r>
        <w:rPr>
          <w:spacing w:val="-8"/>
          <w:sz w:val="24"/>
        </w:rPr>
        <w:t> </w:t>
      </w:r>
      <w:r>
        <w:rPr>
          <w:sz w:val="24"/>
        </w:rPr>
        <w:t>System</w:t>
      </w:r>
      <w:r>
        <w:rPr>
          <w:spacing w:val="-2"/>
          <w:sz w:val="24"/>
        </w:rPr>
        <w:t> </w:t>
      </w:r>
      <w:r>
        <w:rPr>
          <w:sz w:val="24"/>
        </w:rPr>
        <w:t>Reform</w:t>
      </w:r>
      <w:r>
        <w:rPr>
          <w:spacing w:val="2"/>
          <w:sz w:val="24"/>
        </w:rPr>
        <w:t> </w:t>
      </w:r>
      <w:r>
        <w:rPr>
          <w:sz w:val="24"/>
        </w:rPr>
        <w:t>Incentive</w:t>
      </w:r>
      <w:r>
        <w:rPr>
          <w:spacing w:val="-4"/>
          <w:sz w:val="24"/>
        </w:rPr>
        <w:t> </w:t>
      </w:r>
      <w:r>
        <w:rPr>
          <w:sz w:val="24"/>
        </w:rPr>
        <w:t>Payment</w:t>
      </w:r>
      <w:r>
        <w:rPr>
          <w:spacing w:val="-2"/>
          <w:sz w:val="24"/>
        </w:rPr>
        <w:t> (DSRIP)</w:t>
      </w:r>
    </w:p>
    <w:p>
      <w:pPr>
        <w:pStyle w:val="ListParagraph"/>
        <w:numPr>
          <w:ilvl w:val="1"/>
          <w:numId w:val="3"/>
        </w:numPr>
        <w:tabs>
          <w:tab w:pos="2879" w:val="left" w:leader="none"/>
        </w:tabs>
        <w:spacing w:line="240" w:lineRule="auto" w:before="0" w:after="0"/>
        <w:ind w:left="2879" w:right="0" w:hanging="360"/>
        <w:jc w:val="left"/>
        <w:rPr>
          <w:sz w:val="24"/>
        </w:rPr>
      </w:pPr>
      <w:r>
        <w:rPr>
          <w:sz w:val="24"/>
        </w:rPr>
        <w:t>Workforce</w:t>
      </w:r>
      <w:r>
        <w:rPr>
          <w:spacing w:val="-2"/>
          <w:sz w:val="24"/>
        </w:rPr>
        <w:t> Initiatives</w:t>
      </w:r>
    </w:p>
    <w:p>
      <w:pPr>
        <w:spacing w:after="0" w:line="240" w:lineRule="auto"/>
        <w:jc w:val="left"/>
        <w:rPr>
          <w:sz w:val="24"/>
        </w:rPr>
        <w:sectPr>
          <w:footerReference w:type="default" r:id="rId24"/>
          <w:pgSz w:w="12240" w:h="15840"/>
          <w:pgMar w:footer="1201" w:header="0" w:top="1360" w:bottom="1400" w:left="0" w:right="220"/>
          <w:pgNumType w:start="1"/>
        </w:sectPr>
      </w:pPr>
    </w:p>
    <w:p>
      <w:pPr>
        <w:pStyle w:val="ListParagraph"/>
        <w:numPr>
          <w:ilvl w:val="1"/>
          <w:numId w:val="3"/>
        </w:numPr>
        <w:tabs>
          <w:tab w:pos="2880" w:val="left" w:leader="none"/>
        </w:tabs>
        <w:spacing w:line="240" w:lineRule="auto" w:before="79" w:after="0"/>
        <w:ind w:left="2880" w:right="0" w:hanging="360"/>
        <w:jc w:val="left"/>
        <w:rPr>
          <w:sz w:val="24"/>
        </w:rPr>
      </w:pPr>
      <w:r>
        <w:rPr>
          <w:sz w:val="24"/>
        </w:rPr>
        <w:t>Hospital Quality</w:t>
      </w:r>
      <w:r>
        <w:rPr>
          <w:spacing w:val="-5"/>
          <w:sz w:val="24"/>
        </w:rPr>
        <w:t> </w:t>
      </w:r>
      <w:r>
        <w:rPr>
          <w:sz w:val="24"/>
        </w:rPr>
        <w:t>and Equity</w:t>
      </w:r>
      <w:r>
        <w:rPr>
          <w:spacing w:val="-3"/>
          <w:sz w:val="24"/>
        </w:rPr>
        <w:t> </w:t>
      </w:r>
      <w:r>
        <w:rPr>
          <w:spacing w:val="-2"/>
          <w:sz w:val="24"/>
        </w:rPr>
        <w:t>Initiative</w:t>
      </w:r>
    </w:p>
    <w:p>
      <w:pPr>
        <w:pStyle w:val="ListParagraph"/>
        <w:numPr>
          <w:ilvl w:val="1"/>
          <w:numId w:val="3"/>
        </w:numPr>
        <w:tabs>
          <w:tab w:pos="2880" w:val="left" w:leader="none"/>
        </w:tabs>
        <w:spacing w:line="240" w:lineRule="auto" w:before="0" w:after="0"/>
        <w:ind w:left="2880" w:right="0" w:hanging="360"/>
        <w:jc w:val="left"/>
        <w:rPr>
          <w:sz w:val="24"/>
        </w:rPr>
      </w:pPr>
      <w:r>
        <w:rPr>
          <w:sz w:val="24"/>
        </w:rPr>
        <w:t>Health-Related</w:t>
      </w:r>
      <w:r>
        <w:rPr>
          <w:spacing w:val="-4"/>
          <w:sz w:val="24"/>
        </w:rPr>
        <w:t> </w:t>
      </w:r>
      <w:r>
        <w:rPr>
          <w:sz w:val="24"/>
        </w:rPr>
        <w:t>Social</w:t>
      </w:r>
      <w:r>
        <w:rPr>
          <w:spacing w:val="-3"/>
          <w:sz w:val="24"/>
        </w:rPr>
        <w:t> </w:t>
      </w:r>
      <w:r>
        <w:rPr>
          <w:spacing w:val="-4"/>
          <w:sz w:val="24"/>
        </w:rPr>
        <w:t>Needs</w:t>
      </w:r>
    </w:p>
    <w:p>
      <w:pPr>
        <w:pStyle w:val="ListParagraph"/>
        <w:numPr>
          <w:ilvl w:val="1"/>
          <w:numId w:val="3"/>
        </w:numPr>
        <w:tabs>
          <w:tab w:pos="2880" w:val="left" w:leader="none"/>
        </w:tabs>
        <w:spacing w:line="240" w:lineRule="auto" w:before="0" w:after="0"/>
        <w:ind w:left="2880" w:right="0" w:hanging="360"/>
        <w:jc w:val="left"/>
        <w:rPr>
          <w:sz w:val="24"/>
        </w:rPr>
      </w:pPr>
      <w:r>
        <w:rPr>
          <w:sz w:val="24"/>
        </w:rPr>
        <w:t>Monitoring</w:t>
      </w:r>
      <w:r>
        <w:rPr>
          <w:spacing w:val="-4"/>
          <w:sz w:val="24"/>
        </w:rPr>
        <w:t> </w:t>
      </w:r>
      <w:r>
        <w:rPr>
          <w:sz w:val="24"/>
        </w:rPr>
        <w:t>and</w:t>
      </w:r>
      <w:r>
        <w:rPr>
          <w:spacing w:val="-1"/>
          <w:sz w:val="24"/>
        </w:rPr>
        <w:t> </w:t>
      </w:r>
      <w:r>
        <w:rPr>
          <w:sz w:val="24"/>
        </w:rPr>
        <w:t>Reporting</w:t>
      </w:r>
      <w:r>
        <w:rPr>
          <w:spacing w:val="-3"/>
          <w:sz w:val="24"/>
        </w:rPr>
        <w:t> </w:t>
      </w:r>
      <w:r>
        <w:rPr>
          <w:spacing w:val="-2"/>
          <w:sz w:val="24"/>
        </w:rPr>
        <w:t>Requirements</w:t>
      </w:r>
    </w:p>
    <w:p>
      <w:pPr>
        <w:pStyle w:val="ListParagraph"/>
        <w:numPr>
          <w:ilvl w:val="1"/>
          <w:numId w:val="3"/>
        </w:numPr>
        <w:tabs>
          <w:tab w:pos="2880" w:val="left" w:leader="none"/>
        </w:tabs>
        <w:spacing w:line="240" w:lineRule="auto" w:before="0" w:after="0"/>
        <w:ind w:left="2880" w:right="0" w:hanging="360"/>
        <w:jc w:val="left"/>
        <w:rPr>
          <w:sz w:val="24"/>
        </w:rPr>
      </w:pPr>
      <w:r>
        <w:rPr>
          <w:sz w:val="24"/>
        </w:rPr>
        <w:t>Evaluation</w:t>
      </w:r>
      <w:r>
        <w:rPr>
          <w:spacing w:val="-2"/>
          <w:sz w:val="24"/>
        </w:rPr>
        <w:t> </w:t>
      </w:r>
      <w:r>
        <w:rPr>
          <w:sz w:val="24"/>
        </w:rPr>
        <w:t>of</w:t>
      </w:r>
      <w:r>
        <w:rPr>
          <w:spacing w:val="-1"/>
          <w:sz w:val="24"/>
        </w:rPr>
        <w:t> </w:t>
      </w:r>
      <w:r>
        <w:rPr>
          <w:sz w:val="24"/>
        </w:rPr>
        <w:t>the</w:t>
      </w:r>
      <w:r>
        <w:rPr>
          <w:spacing w:val="-2"/>
          <w:sz w:val="24"/>
        </w:rPr>
        <w:t> Demonstration</w:t>
      </w:r>
    </w:p>
    <w:p>
      <w:pPr>
        <w:pStyle w:val="ListParagraph"/>
        <w:numPr>
          <w:ilvl w:val="1"/>
          <w:numId w:val="3"/>
        </w:numPr>
        <w:tabs>
          <w:tab w:pos="2880" w:val="left" w:leader="none"/>
        </w:tabs>
        <w:spacing w:line="240" w:lineRule="auto" w:before="0" w:after="0"/>
        <w:ind w:left="2880" w:right="0" w:hanging="360"/>
        <w:jc w:val="left"/>
        <w:rPr>
          <w:sz w:val="24"/>
        </w:rPr>
      </w:pPr>
      <w:r>
        <w:rPr>
          <w:sz w:val="24"/>
        </w:rPr>
        <w:t>General</w:t>
      </w:r>
      <w:r>
        <w:rPr>
          <w:spacing w:val="-5"/>
          <w:sz w:val="24"/>
        </w:rPr>
        <w:t> </w:t>
      </w:r>
      <w:r>
        <w:rPr>
          <w:sz w:val="24"/>
        </w:rPr>
        <w:t>Financial</w:t>
      </w:r>
      <w:r>
        <w:rPr>
          <w:spacing w:val="-2"/>
          <w:sz w:val="24"/>
        </w:rPr>
        <w:t> </w:t>
      </w:r>
      <w:r>
        <w:rPr>
          <w:sz w:val="24"/>
        </w:rPr>
        <w:t>Requirements</w:t>
      </w:r>
      <w:r>
        <w:rPr>
          <w:spacing w:val="-2"/>
          <w:sz w:val="24"/>
        </w:rPr>
        <w:t> </w:t>
      </w:r>
      <w:r>
        <w:rPr>
          <w:sz w:val="24"/>
        </w:rPr>
        <w:t>under</w:t>
      </w:r>
      <w:r>
        <w:rPr>
          <w:spacing w:val="-3"/>
          <w:sz w:val="24"/>
        </w:rPr>
        <w:t> </w:t>
      </w:r>
      <w:r>
        <w:rPr>
          <w:sz w:val="24"/>
        </w:rPr>
        <w:t>Title</w:t>
      </w:r>
      <w:r>
        <w:rPr>
          <w:spacing w:val="-3"/>
          <w:sz w:val="24"/>
        </w:rPr>
        <w:t> </w:t>
      </w:r>
      <w:r>
        <w:rPr>
          <w:spacing w:val="-5"/>
          <w:sz w:val="24"/>
        </w:rPr>
        <w:t>XIX</w:t>
      </w:r>
    </w:p>
    <w:p>
      <w:pPr>
        <w:pStyle w:val="ListParagraph"/>
        <w:numPr>
          <w:ilvl w:val="1"/>
          <w:numId w:val="3"/>
        </w:numPr>
        <w:tabs>
          <w:tab w:pos="2880" w:val="left" w:leader="none"/>
        </w:tabs>
        <w:spacing w:line="240" w:lineRule="auto" w:before="0" w:after="0"/>
        <w:ind w:left="2880" w:right="0" w:hanging="360"/>
        <w:jc w:val="left"/>
        <w:rPr>
          <w:sz w:val="24"/>
        </w:rPr>
      </w:pPr>
      <w:r>
        <w:rPr>
          <w:sz w:val="24"/>
        </w:rPr>
        <w:t>Monitoring</w:t>
      </w:r>
      <w:r>
        <w:rPr>
          <w:spacing w:val="-4"/>
          <w:sz w:val="24"/>
        </w:rPr>
        <w:t> </w:t>
      </w:r>
      <w:r>
        <w:rPr>
          <w:sz w:val="24"/>
        </w:rPr>
        <w:t>Budget Neutrality</w:t>
      </w:r>
      <w:r>
        <w:rPr>
          <w:spacing w:val="-5"/>
          <w:sz w:val="24"/>
        </w:rPr>
        <w:t> </w:t>
      </w:r>
      <w:r>
        <w:rPr>
          <w:sz w:val="24"/>
        </w:rPr>
        <w:t>for</w:t>
      </w:r>
      <w:r>
        <w:rPr>
          <w:spacing w:val="-1"/>
          <w:sz w:val="24"/>
        </w:rPr>
        <w:t> </w:t>
      </w:r>
      <w:r>
        <w:rPr>
          <w:sz w:val="24"/>
        </w:rPr>
        <w:t>the</w:t>
      </w:r>
      <w:r>
        <w:rPr>
          <w:spacing w:val="-1"/>
          <w:sz w:val="24"/>
        </w:rPr>
        <w:t> </w:t>
      </w:r>
      <w:r>
        <w:rPr>
          <w:spacing w:val="-2"/>
          <w:sz w:val="24"/>
        </w:rPr>
        <w:t>Demonstration</w:t>
      </w:r>
    </w:p>
    <w:p>
      <w:pPr>
        <w:pStyle w:val="ListParagraph"/>
        <w:numPr>
          <w:ilvl w:val="1"/>
          <w:numId w:val="3"/>
        </w:numPr>
        <w:tabs>
          <w:tab w:pos="2880" w:val="left" w:leader="none"/>
        </w:tabs>
        <w:spacing w:line="240" w:lineRule="auto" w:before="0" w:after="0"/>
        <w:ind w:left="2880" w:right="0" w:hanging="360"/>
        <w:jc w:val="left"/>
        <w:rPr>
          <w:sz w:val="24"/>
        </w:rPr>
      </w:pPr>
      <w:r>
        <w:rPr>
          <w:sz w:val="24"/>
        </w:rPr>
        <w:t>Monitoring</w:t>
      </w:r>
      <w:r>
        <w:rPr>
          <w:spacing w:val="-5"/>
          <w:sz w:val="24"/>
        </w:rPr>
        <w:t> </w:t>
      </w:r>
      <w:r>
        <w:rPr>
          <w:sz w:val="24"/>
        </w:rPr>
        <w:t>Allotment</w:t>
      </w:r>
      <w:r>
        <w:rPr>
          <w:spacing w:val="-1"/>
          <w:sz w:val="24"/>
        </w:rPr>
        <w:t> </w:t>
      </w:r>
      <w:r>
        <w:rPr>
          <w:spacing w:val="-2"/>
          <w:sz w:val="24"/>
        </w:rPr>
        <w:t>Neutrality</w:t>
      </w:r>
    </w:p>
    <w:p>
      <w:pPr>
        <w:pStyle w:val="ListParagraph"/>
        <w:numPr>
          <w:ilvl w:val="1"/>
          <w:numId w:val="3"/>
        </w:numPr>
        <w:tabs>
          <w:tab w:pos="2880" w:val="left" w:leader="none"/>
        </w:tabs>
        <w:spacing w:line="240" w:lineRule="auto" w:before="0" w:after="0"/>
        <w:ind w:left="2880" w:right="0" w:hanging="360"/>
        <w:jc w:val="left"/>
        <w:rPr>
          <w:sz w:val="24"/>
        </w:rPr>
      </w:pPr>
      <w:r>
        <w:rPr>
          <w:sz w:val="24"/>
        </w:rPr>
        <w:t>Provider</w:t>
      </w:r>
      <w:r>
        <w:rPr>
          <w:spacing w:val="-4"/>
          <w:sz w:val="24"/>
        </w:rPr>
        <w:t> </w:t>
      </w:r>
      <w:r>
        <w:rPr>
          <w:sz w:val="24"/>
        </w:rPr>
        <w:t>Rate</w:t>
      </w:r>
      <w:r>
        <w:rPr>
          <w:spacing w:val="-1"/>
          <w:sz w:val="24"/>
        </w:rPr>
        <w:t> </w:t>
      </w:r>
      <w:r>
        <w:rPr>
          <w:sz w:val="24"/>
        </w:rPr>
        <w:t>Increase</w:t>
      </w:r>
      <w:r>
        <w:rPr>
          <w:spacing w:val="-3"/>
          <w:sz w:val="24"/>
        </w:rPr>
        <w:t> </w:t>
      </w:r>
      <w:r>
        <w:rPr>
          <w:spacing w:val="-2"/>
          <w:sz w:val="24"/>
        </w:rPr>
        <w:t>Requirements</w:t>
      </w:r>
    </w:p>
    <w:p>
      <w:pPr>
        <w:pStyle w:val="ListParagraph"/>
        <w:numPr>
          <w:ilvl w:val="1"/>
          <w:numId w:val="3"/>
        </w:numPr>
        <w:tabs>
          <w:tab w:pos="2880" w:val="left" w:leader="none"/>
        </w:tabs>
        <w:spacing w:line="240" w:lineRule="auto" w:before="0" w:after="0"/>
        <w:ind w:left="2880" w:right="0" w:hanging="360"/>
        <w:jc w:val="left"/>
        <w:rPr>
          <w:sz w:val="24"/>
        </w:rPr>
      </w:pPr>
      <w:r>
        <w:rPr>
          <w:sz w:val="24"/>
        </w:rPr>
        <w:t>Schedule</w:t>
      </w:r>
      <w:r>
        <w:rPr>
          <w:spacing w:val="-3"/>
          <w:sz w:val="24"/>
        </w:rPr>
        <w:t> </w:t>
      </w:r>
      <w:r>
        <w:rPr>
          <w:sz w:val="24"/>
        </w:rPr>
        <w:t>of</w:t>
      </w:r>
      <w:r>
        <w:rPr>
          <w:spacing w:val="-3"/>
          <w:sz w:val="24"/>
        </w:rPr>
        <w:t> </w:t>
      </w:r>
      <w:r>
        <w:rPr>
          <w:sz w:val="24"/>
        </w:rPr>
        <w:t>Deliverables for</w:t>
      </w:r>
      <w:r>
        <w:rPr>
          <w:spacing w:val="-3"/>
          <w:sz w:val="24"/>
        </w:rPr>
        <w:t> </w:t>
      </w:r>
      <w:r>
        <w:rPr>
          <w:sz w:val="24"/>
        </w:rPr>
        <w:t>the</w:t>
      </w:r>
      <w:r>
        <w:rPr>
          <w:spacing w:val="-3"/>
          <w:sz w:val="24"/>
        </w:rPr>
        <w:t> </w:t>
      </w:r>
      <w:r>
        <w:rPr>
          <w:sz w:val="24"/>
        </w:rPr>
        <w:t>Demonstration</w:t>
      </w:r>
      <w:r>
        <w:rPr>
          <w:spacing w:val="-1"/>
          <w:sz w:val="24"/>
        </w:rPr>
        <w:t> </w:t>
      </w:r>
      <w:r>
        <w:rPr>
          <w:spacing w:val="-2"/>
          <w:sz w:val="24"/>
        </w:rPr>
        <w:t>Period</w:t>
      </w:r>
    </w:p>
    <w:p>
      <w:pPr>
        <w:pStyle w:val="BodyText"/>
        <w:spacing w:before="10"/>
        <w:rPr>
          <w:sz w:val="20"/>
        </w:rPr>
      </w:pPr>
    </w:p>
    <w:p>
      <w:pPr>
        <w:pStyle w:val="BodyText"/>
        <w:ind w:left="1440" w:right="1239"/>
      </w:pPr>
      <w:r>
        <w:rPr/>
        <w:t>Additional</w:t>
      </w:r>
      <w:r>
        <w:rPr>
          <w:spacing w:val="-4"/>
        </w:rPr>
        <w:t> </w:t>
      </w:r>
      <w:r>
        <w:rPr/>
        <w:t>attachments</w:t>
      </w:r>
      <w:r>
        <w:rPr>
          <w:spacing w:val="-4"/>
        </w:rPr>
        <w:t> </w:t>
      </w:r>
      <w:r>
        <w:rPr/>
        <w:t>have</w:t>
      </w:r>
      <w:r>
        <w:rPr>
          <w:spacing w:val="-5"/>
        </w:rPr>
        <w:t> </w:t>
      </w:r>
      <w:r>
        <w:rPr/>
        <w:t>been</w:t>
      </w:r>
      <w:r>
        <w:rPr>
          <w:spacing w:val="-4"/>
        </w:rPr>
        <w:t> </w:t>
      </w:r>
      <w:r>
        <w:rPr/>
        <w:t>included</w:t>
      </w:r>
      <w:r>
        <w:rPr>
          <w:spacing w:val="-4"/>
        </w:rPr>
        <w:t> </w:t>
      </w:r>
      <w:r>
        <w:rPr/>
        <w:t>to</w:t>
      </w:r>
      <w:r>
        <w:rPr>
          <w:spacing w:val="-4"/>
        </w:rPr>
        <w:t> </w:t>
      </w:r>
      <w:r>
        <w:rPr/>
        <w:t>provide</w:t>
      </w:r>
      <w:r>
        <w:rPr>
          <w:spacing w:val="-5"/>
        </w:rPr>
        <w:t> </w:t>
      </w:r>
      <w:r>
        <w:rPr/>
        <w:t>supplementary</w:t>
      </w:r>
      <w:r>
        <w:rPr>
          <w:spacing w:val="-9"/>
        </w:rPr>
        <w:t> </w:t>
      </w:r>
      <w:r>
        <w:rPr/>
        <w:t>information</w:t>
      </w:r>
      <w:r>
        <w:rPr>
          <w:spacing w:val="-4"/>
        </w:rPr>
        <w:t> </w:t>
      </w:r>
      <w:r>
        <w:rPr/>
        <w:t>and</w:t>
      </w:r>
      <w:r>
        <w:rPr>
          <w:spacing w:val="-4"/>
        </w:rPr>
        <w:t> </w:t>
      </w:r>
      <w:r>
        <w:rPr/>
        <w:t>guidance for specific STCs.</w:t>
      </w:r>
    </w:p>
    <w:p>
      <w:pPr>
        <w:pStyle w:val="BodyText"/>
        <w:spacing w:before="10"/>
        <w:rPr>
          <w:sz w:val="20"/>
        </w:rPr>
      </w:pPr>
    </w:p>
    <w:p>
      <w:pPr>
        <w:pStyle w:val="BodyText"/>
        <w:ind w:left="2160"/>
      </w:pPr>
      <w:r>
        <w:rPr/>
        <w:t>Attachment</w:t>
      </w:r>
      <w:r>
        <w:rPr>
          <w:spacing w:val="-2"/>
        </w:rPr>
        <w:t> </w:t>
      </w:r>
      <w:r>
        <w:rPr/>
        <w:t>A.</w:t>
      </w:r>
      <w:r>
        <w:rPr>
          <w:spacing w:val="-2"/>
        </w:rPr>
        <w:t> </w:t>
      </w:r>
      <w:r>
        <w:rPr/>
        <w:t>Preparing</w:t>
      </w:r>
      <w:r>
        <w:rPr>
          <w:spacing w:val="-1"/>
        </w:rPr>
        <w:t> </w:t>
      </w:r>
      <w:r>
        <w:rPr/>
        <w:t>the</w:t>
      </w:r>
      <w:r>
        <w:rPr>
          <w:spacing w:val="-3"/>
        </w:rPr>
        <w:t> </w:t>
      </w:r>
      <w:r>
        <w:rPr/>
        <w:t>Evaluation</w:t>
      </w:r>
      <w:r>
        <w:rPr>
          <w:spacing w:val="-1"/>
        </w:rPr>
        <w:t> </w:t>
      </w:r>
      <w:r>
        <w:rPr>
          <w:spacing w:val="-2"/>
        </w:rPr>
        <w:t>Design</w:t>
      </w:r>
    </w:p>
    <w:p>
      <w:pPr>
        <w:pStyle w:val="BodyText"/>
        <w:ind w:left="2160" w:right="2411"/>
      </w:pPr>
      <w:r>
        <w:rPr/>
        <w:t>Attachment</w:t>
      </w:r>
      <w:r>
        <w:rPr>
          <w:spacing w:val="-5"/>
        </w:rPr>
        <w:t> </w:t>
      </w:r>
      <w:r>
        <w:rPr/>
        <w:t>B.</w:t>
      </w:r>
      <w:r>
        <w:rPr>
          <w:spacing w:val="-5"/>
        </w:rPr>
        <w:t> </w:t>
      </w:r>
      <w:r>
        <w:rPr/>
        <w:t>Preparing</w:t>
      </w:r>
      <w:r>
        <w:rPr>
          <w:spacing w:val="-5"/>
        </w:rPr>
        <w:t> </w:t>
      </w:r>
      <w:r>
        <w:rPr/>
        <w:t>the</w:t>
      </w:r>
      <w:r>
        <w:rPr>
          <w:spacing w:val="-5"/>
        </w:rPr>
        <w:t> </w:t>
      </w:r>
      <w:r>
        <w:rPr/>
        <w:t>Interim</w:t>
      </w:r>
      <w:r>
        <w:rPr>
          <w:spacing w:val="-5"/>
        </w:rPr>
        <w:t> </w:t>
      </w:r>
      <w:r>
        <w:rPr/>
        <w:t>and</w:t>
      </w:r>
      <w:r>
        <w:rPr>
          <w:spacing w:val="-5"/>
        </w:rPr>
        <w:t> </w:t>
      </w:r>
      <w:r>
        <w:rPr/>
        <w:t>Summative</w:t>
      </w:r>
      <w:r>
        <w:rPr>
          <w:spacing w:val="-6"/>
        </w:rPr>
        <w:t> </w:t>
      </w:r>
      <w:r>
        <w:rPr/>
        <w:t>Evaluation</w:t>
      </w:r>
      <w:r>
        <w:rPr>
          <w:spacing w:val="-5"/>
        </w:rPr>
        <w:t> </w:t>
      </w:r>
      <w:r>
        <w:rPr/>
        <w:t>Reports Attachment C. Cost Sharing</w:t>
      </w:r>
    </w:p>
    <w:p>
      <w:pPr>
        <w:pStyle w:val="BodyText"/>
        <w:ind w:left="2160" w:right="4221"/>
      </w:pPr>
      <w:r>
        <w:rPr/>
        <w:t>Attachment D. SUD Health IT Plan (Reserved) Attachment</w:t>
      </w:r>
      <w:r>
        <w:rPr>
          <w:spacing w:val="-5"/>
        </w:rPr>
        <w:t> </w:t>
      </w:r>
      <w:r>
        <w:rPr/>
        <w:t>E.</w:t>
      </w:r>
      <w:r>
        <w:rPr>
          <w:spacing w:val="-5"/>
        </w:rPr>
        <w:t> </w:t>
      </w:r>
      <w:r>
        <w:rPr/>
        <w:t>Safety</w:t>
      </w:r>
      <w:r>
        <w:rPr>
          <w:spacing w:val="-10"/>
        </w:rPr>
        <w:t> </w:t>
      </w:r>
      <w:r>
        <w:rPr/>
        <w:t>Net</w:t>
      </w:r>
      <w:r>
        <w:rPr>
          <w:spacing w:val="-5"/>
        </w:rPr>
        <w:t> </w:t>
      </w:r>
      <w:r>
        <w:rPr/>
        <w:t>Care</w:t>
      </w:r>
      <w:r>
        <w:rPr>
          <w:spacing w:val="-6"/>
        </w:rPr>
        <w:t> </w:t>
      </w:r>
      <w:r>
        <w:rPr/>
        <w:t>Pool</w:t>
      </w:r>
      <w:r>
        <w:rPr>
          <w:spacing w:val="-5"/>
        </w:rPr>
        <w:t> </w:t>
      </w:r>
      <w:r>
        <w:rPr/>
        <w:t>Payments</w:t>
      </w:r>
      <w:r>
        <w:rPr>
          <w:spacing w:val="-5"/>
        </w:rPr>
        <w:t> </w:t>
      </w:r>
      <w:r>
        <w:rPr/>
        <w:t>(Reserved) Attachment</w:t>
      </w:r>
      <w:r>
        <w:rPr>
          <w:spacing w:val="-3"/>
        </w:rPr>
        <w:t> </w:t>
      </w:r>
      <w:r>
        <w:rPr/>
        <w:t>F.</w:t>
      </w:r>
      <w:r>
        <w:rPr>
          <w:spacing w:val="-3"/>
        </w:rPr>
        <w:t> </w:t>
      </w:r>
      <w:r>
        <w:rPr/>
        <w:t>SMI/SED</w:t>
      </w:r>
      <w:r>
        <w:rPr>
          <w:spacing w:val="-2"/>
        </w:rPr>
        <w:t> </w:t>
      </w:r>
      <w:r>
        <w:rPr/>
        <w:t>Implementation</w:t>
      </w:r>
      <w:r>
        <w:rPr>
          <w:spacing w:val="-3"/>
        </w:rPr>
        <w:t> </w:t>
      </w:r>
      <w:r>
        <w:rPr/>
        <w:t>Plan</w:t>
      </w:r>
      <w:r>
        <w:rPr>
          <w:spacing w:val="-3"/>
        </w:rPr>
        <w:t> </w:t>
      </w:r>
      <w:r>
        <w:rPr/>
        <w:t>(Reserved) Attachment G. SUD Monitoring Protocol (Reserved)</w:t>
      </w:r>
    </w:p>
    <w:p>
      <w:pPr>
        <w:pStyle w:val="BodyText"/>
        <w:ind w:left="2160" w:right="1315"/>
      </w:pPr>
      <w:r>
        <w:rPr/>
        <w:t>Attachment</w:t>
      </w:r>
      <w:r>
        <w:rPr>
          <w:spacing w:val="-5"/>
        </w:rPr>
        <w:t> </w:t>
      </w:r>
      <w:r>
        <w:rPr/>
        <w:t>H.</w:t>
      </w:r>
      <w:r>
        <w:rPr>
          <w:spacing w:val="-5"/>
        </w:rPr>
        <w:t> </w:t>
      </w:r>
      <w:r>
        <w:rPr/>
        <w:t>Safety</w:t>
      </w:r>
      <w:r>
        <w:rPr>
          <w:spacing w:val="-10"/>
        </w:rPr>
        <w:t> </w:t>
      </w:r>
      <w:r>
        <w:rPr/>
        <w:t>Net</w:t>
      </w:r>
      <w:r>
        <w:rPr>
          <w:spacing w:val="-5"/>
        </w:rPr>
        <w:t> </w:t>
      </w:r>
      <w:r>
        <w:rPr/>
        <w:t>Care</w:t>
      </w:r>
      <w:r>
        <w:rPr>
          <w:spacing w:val="-6"/>
        </w:rPr>
        <w:t> </w:t>
      </w:r>
      <w:r>
        <w:rPr/>
        <w:t>Pool</w:t>
      </w:r>
      <w:r>
        <w:rPr>
          <w:spacing w:val="-5"/>
        </w:rPr>
        <w:t> </w:t>
      </w:r>
      <w:r>
        <w:rPr/>
        <w:t>Uncompensated</w:t>
      </w:r>
      <w:r>
        <w:rPr>
          <w:spacing w:val="-5"/>
        </w:rPr>
        <w:t> </w:t>
      </w:r>
      <w:r>
        <w:rPr/>
        <w:t>Care</w:t>
      </w:r>
      <w:r>
        <w:rPr>
          <w:spacing w:val="-6"/>
        </w:rPr>
        <w:t> </w:t>
      </w:r>
      <w:r>
        <w:rPr/>
        <w:t>Cost</w:t>
      </w:r>
      <w:r>
        <w:rPr>
          <w:spacing w:val="-2"/>
        </w:rPr>
        <w:t> </w:t>
      </w:r>
      <w:r>
        <w:rPr/>
        <w:t>Limit</w:t>
      </w:r>
      <w:r>
        <w:rPr>
          <w:spacing w:val="-7"/>
        </w:rPr>
        <w:t> </w:t>
      </w:r>
      <w:r>
        <w:rPr/>
        <w:t>Protocol </w:t>
      </w:r>
      <w:r>
        <w:rPr>
          <w:spacing w:val="-2"/>
        </w:rPr>
        <w:t>(Reserved)</w:t>
      </w:r>
    </w:p>
    <w:p>
      <w:pPr>
        <w:pStyle w:val="BodyText"/>
        <w:ind w:left="2160"/>
      </w:pPr>
      <w:r>
        <w:rPr/>
        <w:t>Attachment</w:t>
      </w:r>
      <w:r>
        <w:rPr>
          <w:spacing w:val="-3"/>
        </w:rPr>
        <w:t> </w:t>
      </w:r>
      <w:r>
        <w:rPr/>
        <w:t>I.</w:t>
      </w:r>
      <w:r>
        <w:rPr>
          <w:spacing w:val="-2"/>
        </w:rPr>
        <w:t> </w:t>
      </w:r>
      <w:r>
        <w:rPr/>
        <w:t>Uncompensated</w:t>
      </w:r>
      <w:r>
        <w:rPr>
          <w:spacing w:val="-2"/>
        </w:rPr>
        <w:t> </w:t>
      </w:r>
      <w:r>
        <w:rPr/>
        <w:t>Care</w:t>
      </w:r>
      <w:r>
        <w:rPr>
          <w:spacing w:val="-3"/>
        </w:rPr>
        <w:t> </w:t>
      </w:r>
      <w:r>
        <w:rPr/>
        <w:t>Payment</w:t>
      </w:r>
      <w:r>
        <w:rPr>
          <w:spacing w:val="-2"/>
        </w:rPr>
        <w:t> </w:t>
      </w:r>
      <w:r>
        <w:rPr/>
        <w:t>Protocol</w:t>
      </w:r>
      <w:r>
        <w:rPr>
          <w:spacing w:val="-2"/>
        </w:rPr>
        <w:t> (Reserved)</w:t>
      </w:r>
    </w:p>
    <w:p>
      <w:pPr>
        <w:pStyle w:val="BodyText"/>
        <w:ind w:left="2160" w:right="1239"/>
      </w:pPr>
      <w:r>
        <w:rPr/>
        <w:t>Attachment</w:t>
      </w:r>
      <w:r>
        <w:rPr>
          <w:spacing w:val="-4"/>
        </w:rPr>
        <w:t> </w:t>
      </w:r>
      <w:r>
        <w:rPr/>
        <w:t>J.</w:t>
      </w:r>
      <w:r>
        <w:rPr>
          <w:spacing w:val="-4"/>
        </w:rPr>
        <w:t> </w:t>
      </w:r>
      <w:r>
        <w:rPr/>
        <w:t>Hospital</w:t>
      </w:r>
      <w:r>
        <w:rPr>
          <w:spacing w:val="-4"/>
        </w:rPr>
        <w:t> </w:t>
      </w:r>
      <w:r>
        <w:rPr/>
        <w:t>Quality</w:t>
      </w:r>
      <w:r>
        <w:rPr>
          <w:spacing w:val="-9"/>
        </w:rPr>
        <w:t> </w:t>
      </w:r>
      <w:r>
        <w:rPr/>
        <w:t>and</w:t>
      </w:r>
      <w:r>
        <w:rPr>
          <w:spacing w:val="-4"/>
        </w:rPr>
        <w:t> </w:t>
      </w:r>
      <w:r>
        <w:rPr/>
        <w:t>Equity</w:t>
      </w:r>
      <w:r>
        <w:rPr>
          <w:spacing w:val="-7"/>
        </w:rPr>
        <w:t> </w:t>
      </w:r>
      <w:r>
        <w:rPr/>
        <w:t>Initiative</w:t>
      </w:r>
      <w:r>
        <w:rPr>
          <w:spacing w:val="-3"/>
        </w:rPr>
        <w:t> </w:t>
      </w:r>
      <w:r>
        <w:rPr/>
        <w:t>Implementation</w:t>
      </w:r>
      <w:r>
        <w:rPr>
          <w:spacing w:val="-4"/>
        </w:rPr>
        <w:t> </w:t>
      </w:r>
      <w:r>
        <w:rPr/>
        <w:t>Plan</w:t>
      </w:r>
      <w:r>
        <w:rPr>
          <w:spacing w:val="-4"/>
        </w:rPr>
        <w:t> </w:t>
      </w:r>
      <w:r>
        <w:rPr/>
        <w:t>(Reserved) Attachment K. SMI/SED Monitoring Protocol (Reserved)</w:t>
      </w:r>
    </w:p>
    <w:p>
      <w:pPr>
        <w:pStyle w:val="BodyText"/>
        <w:ind w:left="2160" w:right="1239"/>
      </w:pPr>
      <w:r>
        <w:rPr/>
        <w:t>Attachment</w:t>
      </w:r>
      <w:r>
        <w:rPr>
          <w:spacing w:val="-3"/>
        </w:rPr>
        <w:t> </w:t>
      </w:r>
      <w:r>
        <w:rPr/>
        <w:t>L.</w:t>
      </w:r>
      <w:r>
        <w:rPr>
          <w:spacing w:val="-10"/>
        </w:rPr>
        <w:t> </w:t>
      </w:r>
      <w:r>
        <w:rPr/>
        <w:t>Accountable</w:t>
      </w:r>
      <w:r>
        <w:rPr>
          <w:spacing w:val="-6"/>
        </w:rPr>
        <w:t> </w:t>
      </w:r>
      <w:r>
        <w:rPr/>
        <w:t>Care</w:t>
      </w:r>
      <w:r>
        <w:rPr>
          <w:spacing w:val="-6"/>
        </w:rPr>
        <w:t> </w:t>
      </w:r>
      <w:r>
        <w:rPr/>
        <w:t>Organization</w:t>
      </w:r>
      <w:r>
        <w:rPr>
          <w:spacing w:val="-5"/>
        </w:rPr>
        <w:t> </w:t>
      </w:r>
      <w:r>
        <w:rPr/>
        <w:t>(ACO)</w:t>
      </w:r>
      <w:r>
        <w:rPr>
          <w:spacing w:val="-6"/>
        </w:rPr>
        <w:t> </w:t>
      </w:r>
      <w:r>
        <w:rPr/>
        <w:t>Payment</w:t>
      </w:r>
      <w:r>
        <w:rPr>
          <w:spacing w:val="-3"/>
        </w:rPr>
        <w:t> </w:t>
      </w:r>
      <w:r>
        <w:rPr/>
        <w:t>Methodology</w:t>
      </w:r>
      <w:r>
        <w:rPr>
          <w:spacing w:val="-10"/>
        </w:rPr>
        <w:t> </w:t>
      </w:r>
      <w:r>
        <w:rPr/>
        <w:t>(Reserved) Attachment M. DSRIP Protocol</w:t>
      </w:r>
    </w:p>
    <w:p>
      <w:pPr>
        <w:pStyle w:val="BodyText"/>
        <w:ind w:left="2160" w:right="1928"/>
      </w:pPr>
      <w:r>
        <w:rPr/>
        <w:t>Attachment</w:t>
      </w:r>
      <w:r>
        <w:rPr>
          <w:spacing w:val="-4"/>
        </w:rPr>
        <w:t> </w:t>
      </w:r>
      <w:r>
        <w:rPr/>
        <w:t>N.</w:t>
      </w:r>
      <w:r>
        <w:rPr>
          <w:spacing w:val="22"/>
        </w:rPr>
        <w:t> </w:t>
      </w:r>
      <w:r>
        <w:rPr/>
        <w:t>Safety</w:t>
      </w:r>
      <w:r>
        <w:rPr>
          <w:spacing w:val="-7"/>
        </w:rPr>
        <w:t> </w:t>
      </w:r>
      <w:r>
        <w:rPr/>
        <w:t>Net</w:t>
      </w:r>
      <w:r>
        <w:rPr>
          <w:spacing w:val="-4"/>
        </w:rPr>
        <w:t> </w:t>
      </w:r>
      <w:r>
        <w:rPr/>
        <w:t>Provider</w:t>
      </w:r>
      <w:r>
        <w:rPr>
          <w:spacing w:val="-5"/>
        </w:rPr>
        <w:t> </w:t>
      </w:r>
      <w:r>
        <w:rPr/>
        <w:t>Payment</w:t>
      </w:r>
      <w:r>
        <w:rPr>
          <w:spacing w:val="-4"/>
        </w:rPr>
        <w:t> </w:t>
      </w:r>
      <w:r>
        <w:rPr/>
        <w:t>Eligibility</w:t>
      </w:r>
      <w:r>
        <w:rPr>
          <w:spacing w:val="-9"/>
        </w:rPr>
        <w:t> </w:t>
      </w:r>
      <w:r>
        <w:rPr/>
        <w:t>and</w:t>
      </w:r>
      <w:r>
        <w:rPr>
          <w:spacing w:val="-4"/>
        </w:rPr>
        <w:t> </w:t>
      </w:r>
      <w:r>
        <w:rPr/>
        <w:t>Allocation</w:t>
      </w:r>
      <w:r>
        <w:rPr>
          <w:spacing w:val="-4"/>
        </w:rPr>
        <w:t> </w:t>
      </w:r>
      <w:r>
        <w:rPr/>
        <w:t>(Reserved) Attachment O.</w:t>
      </w:r>
      <w:r>
        <w:rPr>
          <w:spacing w:val="40"/>
        </w:rPr>
        <w:t> </w:t>
      </w:r>
      <w:r>
        <w:rPr/>
        <w:t>Continuous Eligibility Implementation Plan (Reserved) Attachment P. Protocol for Assessment of Beneficiary Eligibility and Needs, Infrastructure Planning, and Provider Qualifications (Reserved)</w:t>
      </w:r>
    </w:p>
    <w:p>
      <w:pPr>
        <w:pStyle w:val="BodyText"/>
        <w:spacing w:before="1"/>
        <w:ind w:left="2160" w:right="1315"/>
      </w:pPr>
      <w:r>
        <w:rPr/>
        <w:t>Attachment</w:t>
      </w:r>
      <w:r>
        <w:rPr>
          <w:spacing w:val="-6"/>
        </w:rPr>
        <w:t> </w:t>
      </w:r>
      <w:r>
        <w:rPr/>
        <w:t>Q.</w:t>
      </w:r>
      <w:r>
        <w:rPr>
          <w:spacing w:val="20"/>
        </w:rPr>
        <w:t> </w:t>
      </w:r>
      <w:r>
        <w:rPr/>
        <w:t>Medicaid</w:t>
      </w:r>
      <w:r>
        <w:rPr>
          <w:spacing w:val="-6"/>
        </w:rPr>
        <w:t> </w:t>
      </w:r>
      <w:r>
        <w:rPr/>
        <w:t>Managed</w:t>
      </w:r>
      <w:r>
        <w:rPr>
          <w:spacing w:val="-6"/>
        </w:rPr>
        <w:t> </w:t>
      </w:r>
      <w:r>
        <w:rPr/>
        <w:t>Care</w:t>
      </w:r>
      <w:r>
        <w:rPr>
          <w:spacing w:val="-5"/>
        </w:rPr>
        <w:t> </w:t>
      </w:r>
      <w:r>
        <w:rPr/>
        <w:t>Plan/ACO</w:t>
      </w:r>
      <w:r>
        <w:rPr>
          <w:spacing w:val="-7"/>
        </w:rPr>
        <w:t> </w:t>
      </w:r>
      <w:r>
        <w:rPr/>
        <w:t>Performance</w:t>
      </w:r>
      <w:r>
        <w:rPr>
          <w:spacing w:val="-5"/>
        </w:rPr>
        <w:t> </w:t>
      </w:r>
      <w:r>
        <w:rPr/>
        <w:t>Based</w:t>
      </w:r>
      <w:r>
        <w:rPr>
          <w:spacing w:val="-2"/>
        </w:rPr>
        <w:t> </w:t>
      </w:r>
      <w:r>
        <w:rPr/>
        <w:t>Incentive Payment Mechanisms</w:t>
      </w:r>
      <w:r>
        <w:rPr>
          <w:spacing w:val="40"/>
        </w:rPr>
        <w:t> </w:t>
      </w:r>
      <w:r>
        <w:rPr/>
        <w:t>(Reserved)</w:t>
      </w:r>
    </w:p>
    <w:p>
      <w:pPr>
        <w:pStyle w:val="BodyText"/>
        <w:ind w:left="2160" w:right="4434"/>
      </w:pPr>
      <w:r>
        <w:rPr/>
        <w:t>Attachment R. DSRIP Flexible Services Protocol Attachment S. Evaluation Design (Reserved) Attachment</w:t>
      </w:r>
      <w:r>
        <w:rPr>
          <w:spacing w:val="-9"/>
        </w:rPr>
        <w:t> </w:t>
      </w:r>
      <w:r>
        <w:rPr/>
        <w:t>T.</w:t>
      </w:r>
      <w:r>
        <w:rPr>
          <w:spacing w:val="-13"/>
        </w:rPr>
        <w:t> </w:t>
      </w:r>
      <w:r>
        <w:rPr/>
        <w:t>HRSN</w:t>
      </w:r>
      <w:r>
        <w:rPr>
          <w:spacing w:val="-8"/>
        </w:rPr>
        <w:t> </w:t>
      </w:r>
      <w:r>
        <w:rPr/>
        <w:t>Implementation</w:t>
      </w:r>
      <w:r>
        <w:rPr>
          <w:spacing w:val="-9"/>
        </w:rPr>
        <w:t> </w:t>
      </w:r>
      <w:r>
        <w:rPr/>
        <w:t>Plan</w:t>
      </w:r>
      <w:r>
        <w:rPr>
          <w:spacing w:val="-9"/>
        </w:rPr>
        <w:t> </w:t>
      </w:r>
      <w:r>
        <w:rPr/>
        <w:t>(Reserved)</w:t>
      </w:r>
    </w:p>
    <w:p>
      <w:pPr>
        <w:pStyle w:val="BodyText"/>
        <w:ind w:left="2160" w:right="3075"/>
      </w:pPr>
      <w:r>
        <w:rPr/>
        <w:t>Attachment U.</w:t>
      </w:r>
      <w:r>
        <w:rPr>
          <w:spacing w:val="40"/>
        </w:rPr>
        <w:t> </w:t>
      </w:r>
      <w:r>
        <w:rPr/>
        <w:t>Primary Care Payment Protocol (Reserved) Attachment</w:t>
      </w:r>
      <w:r>
        <w:rPr>
          <w:spacing w:val="-7"/>
        </w:rPr>
        <w:t> </w:t>
      </w:r>
      <w:r>
        <w:rPr/>
        <w:t>V.</w:t>
      </w:r>
      <w:r>
        <w:rPr>
          <w:spacing w:val="-7"/>
        </w:rPr>
        <w:t> </w:t>
      </w:r>
      <w:r>
        <w:rPr/>
        <w:t>Provider</w:t>
      </w:r>
      <w:r>
        <w:rPr>
          <w:spacing w:val="-6"/>
        </w:rPr>
        <w:t> </w:t>
      </w:r>
      <w:r>
        <w:rPr/>
        <w:t>Rate</w:t>
      </w:r>
      <w:r>
        <w:rPr>
          <w:spacing w:val="-6"/>
        </w:rPr>
        <w:t> </w:t>
      </w:r>
      <w:r>
        <w:rPr/>
        <w:t>Increase</w:t>
      </w:r>
      <w:r>
        <w:rPr>
          <w:spacing w:val="-6"/>
        </w:rPr>
        <w:t> </w:t>
      </w:r>
      <w:r>
        <w:rPr/>
        <w:t>Attestation</w:t>
      </w:r>
      <w:r>
        <w:rPr>
          <w:spacing w:val="-7"/>
        </w:rPr>
        <w:t> </w:t>
      </w:r>
      <w:r>
        <w:rPr/>
        <w:t>Table</w:t>
      </w:r>
      <w:r>
        <w:rPr>
          <w:spacing w:val="-8"/>
        </w:rPr>
        <w:t> </w:t>
      </w:r>
      <w:r>
        <w:rPr/>
        <w:t>(Reserved) Attachment W. Monitoring Protocol for Other Policies (Reserved)</w:t>
      </w:r>
    </w:p>
    <w:p>
      <w:pPr>
        <w:pStyle w:val="BodyText"/>
        <w:rPr>
          <w:sz w:val="26"/>
        </w:rPr>
      </w:pPr>
    </w:p>
    <w:p>
      <w:pPr>
        <w:pStyle w:val="Heading4"/>
        <w:numPr>
          <w:ilvl w:val="0"/>
          <w:numId w:val="3"/>
        </w:numPr>
        <w:tabs>
          <w:tab w:pos="1800" w:val="left" w:leader="none"/>
        </w:tabs>
        <w:spacing w:line="240" w:lineRule="auto" w:before="217" w:after="0"/>
        <w:ind w:left="1800" w:right="0" w:hanging="360"/>
        <w:jc w:val="left"/>
      </w:pPr>
      <w:bookmarkStart w:name="2. PROGRAM DESCRIPTION AND OBJECTIVES" w:id="123"/>
      <w:bookmarkEnd w:id="123"/>
      <w:r>
        <w:rPr>
          <w:b w:val="0"/>
        </w:rPr>
      </w:r>
      <w:r>
        <w:rPr/>
        <w:t>PROGRAM</w:t>
      </w:r>
      <w:r>
        <w:rPr>
          <w:spacing w:val="-6"/>
        </w:rPr>
        <w:t> </w:t>
      </w:r>
      <w:r>
        <w:rPr/>
        <w:t>DESCRIPTION</w:t>
      </w:r>
      <w:r>
        <w:rPr>
          <w:spacing w:val="-4"/>
        </w:rPr>
        <w:t> </w:t>
      </w:r>
      <w:r>
        <w:rPr/>
        <w:t>AND</w:t>
      </w:r>
      <w:r>
        <w:rPr>
          <w:spacing w:val="-3"/>
        </w:rPr>
        <w:t> </w:t>
      </w:r>
      <w:r>
        <w:rPr>
          <w:spacing w:val="-2"/>
        </w:rPr>
        <w:t>OBJECTIVES</w:t>
      </w:r>
    </w:p>
    <w:p>
      <w:pPr>
        <w:pStyle w:val="BodyText"/>
        <w:spacing w:before="10"/>
        <w:rPr>
          <w:b/>
          <w:sz w:val="20"/>
        </w:rPr>
      </w:pPr>
    </w:p>
    <w:p>
      <w:pPr>
        <w:pStyle w:val="BodyText"/>
        <w:ind w:left="1440" w:right="1239"/>
      </w:pPr>
      <w:r>
        <w:rPr/>
        <w:t>In</w:t>
      </w:r>
      <w:r>
        <w:rPr>
          <w:spacing w:val="-3"/>
        </w:rPr>
        <w:t> </w:t>
      </w:r>
      <w:r>
        <w:rPr/>
        <w:t>the</w:t>
      </w:r>
      <w:r>
        <w:rPr>
          <w:spacing w:val="-2"/>
        </w:rPr>
        <w:t> </w:t>
      </w:r>
      <w:r>
        <w:rPr/>
        <w:t>extension</w:t>
      </w:r>
      <w:r>
        <w:rPr>
          <w:spacing w:val="-3"/>
        </w:rPr>
        <w:t> </w:t>
      </w:r>
      <w:r>
        <w:rPr/>
        <w:t>of</w:t>
      </w:r>
      <w:r>
        <w:rPr>
          <w:spacing w:val="-4"/>
        </w:rPr>
        <w:t> </w:t>
      </w:r>
      <w:r>
        <w:rPr/>
        <w:t>the</w:t>
      </w:r>
      <w:r>
        <w:rPr>
          <w:spacing w:val="-4"/>
        </w:rPr>
        <w:t> </w:t>
      </w:r>
      <w:r>
        <w:rPr/>
        <w:t>demonstration</w:t>
      </w:r>
      <w:r>
        <w:rPr>
          <w:spacing w:val="-3"/>
        </w:rPr>
        <w:t> </w:t>
      </w:r>
      <w:r>
        <w:rPr/>
        <w:t>awarded</w:t>
      </w:r>
      <w:r>
        <w:rPr>
          <w:spacing w:val="-3"/>
        </w:rPr>
        <w:t> </w:t>
      </w:r>
      <w:r>
        <w:rPr/>
        <w:t>on</w:t>
      </w:r>
      <w:r>
        <w:rPr>
          <w:spacing w:val="-2"/>
        </w:rPr>
        <w:t> </w:t>
      </w:r>
      <w:r>
        <w:rPr/>
        <w:t>November</w:t>
      </w:r>
      <w:r>
        <w:rPr>
          <w:spacing w:val="-4"/>
        </w:rPr>
        <w:t> </w:t>
      </w:r>
      <w:r>
        <w:rPr/>
        <w:t>4,</w:t>
      </w:r>
      <w:r>
        <w:rPr>
          <w:spacing w:val="-3"/>
        </w:rPr>
        <w:t> </w:t>
      </w:r>
      <w:r>
        <w:rPr/>
        <w:t>2016,</w:t>
      </w:r>
      <w:r>
        <w:rPr>
          <w:spacing w:val="-3"/>
        </w:rPr>
        <w:t> </w:t>
      </w:r>
      <w:r>
        <w:rPr/>
        <w:t>the</w:t>
      </w:r>
      <w:r>
        <w:rPr>
          <w:spacing w:val="-4"/>
        </w:rPr>
        <w:t> </w:t>
      </w:r>
      <w:r>
        <w:rPr/>
        <w:t>Commonwealth</w:t>
      </w:r>
      <w:r>
        <w:rPr>
          <w:spacing w:val="-3"/>
        </w:rPr>
        <w:t> </w:t>
      </w:r>
      <w:r>
        <w:rPr/>
        <w:t>and CMS agreed to implement major new demonstration components to support a value-based restructuring of MassHealth’s health care delivery and payment system, including a new</w:t>
      </w:r>
    </w:p>
    <w:p>
      <w:pPr>
        <w:spacing w:after="0"/>
        <w:sectPr>
          <w:pgSz w:w="12240" w:h="15840"/>
          <w:pgMar w:header="0" w:footer="1201" w:top="1360" w:bottom="1400" w:left="0" w:right="220"/>
        </w:sectPr>
      </w:pPr>
    </w:p>
    <w:p>
      <w:pPr>
        <w:pStyle w:val="BodyText"/>
        <w:spacing w:before="79"/>
        <w:ind w:left="1440" w:right="1264"/>
      </w:pPr>
      <w:r>
        <w:rPr/>
        <w:t>Accountable Care Organization (ACO) initiative and Delivery System Reform Incentive Payment</w:t>
      </w:r>
      <w:r>
        <w:rPr>
          <w:spacing w:val="-3"/>
        </w:rPr>
        <w:t> </w:t>
      </w:r>
      <w:r>
        <w:rPr/>
        <w:t>(DSRIP)</w:t>
      </w:r>
      <w:r>
        <w:rPr>
          <w:spacing w:val="-4"/>
        </w:rPr>
        <w:t> </w:t>
      </w:r>
      <w:r>
        <w:rPr/>
        <w:t>Program</w:t>
      </w:r>
      <w:r>
        <w:rPr>
          <w:spacing w:val="-3"/>
        </w:rPr>
        <w:t> </w:t>
      </w:r>
      <w:r>
        <w:rPr/>
        <w:t>to</w:t>
      </w:r>
      <w:r>
        <w:rPr>
          <w:spacing w:val="-3"/>
        </w:rPr>
        <w:t> </w:t>
      </w:r>
      <w:r>
        <w:rPr/>
        <w:t>transition</w:t>
      </w:r>
      <w:r>
        <w:rPr>
          <w:spacing w:val="-3"/>
        </w:rPr>
        <w:t> </w:t>
      </w:r>
      <w:r>
        <w:rPr/>
        <w:t>the</w:t>
      </w:r>
      <w:r>
        <w:rPr>
          <w:spacing w:val="-4"/>
        </w:rPr>
        <w:t> </w:t>
      </w:r>
      <w:r>
        <w:rPr/>
        <w:t>Massachusetts</w:t>
      </w:r>
      <w:r>
        <w:rPr>
          <w:spacing w:val="-3"/>
        </w:rPr>
        <w:t> </w:t>
      </w:r>
      <w:r>
        <w:rPr/>
        <w:t>delivery</w:t>
      </w:r>
      <w:r>
        <w:rPr>
          <w:spacing w:val="-8"/>
        </w:rPr>
        <w:t> </w:t>
      </w:r>
      <w:r>
        <w:rPr/>
        <w:t>system</w:t>
      </w:r>
      <w:r>
        <w:rPr>
          <w:spacing w:val="-1"/>
        </w:rPr>
        <w:t> </w:t>
      </w:r>
      <w:r>
        <w:rPr/>
        <w:t>into</w:t>
      </w:r>
      <w:r>
        <w:rPr>
          <w:spacing w:val="-3"/>
        </w:rPr>
        <w:t> </w:t>
      </w:r>
      <w:r>
        <w:rPr/>
        <w:t>accountable</w:t>
      </w:r>
      <w:r>
        <w:rPr>
          <w:spacing w:val="-4"/>
        </w:rPr>
        <w:t> </w:t>
      </w:r>
      <w:r>
        <w:rPr/>
        <w:t>care models.</w:t>
      </w:r>
      <w:r>
        <w:rPr>
          <w:spacing w:val="40"/>
        </w:rPr>
        <w:t> </w:t>
      </w:r>
      <w:r>
        <w:rPr/>
        <w:t>The Safety Net Care Pool (SNCP) aligns funding with MassHealth’s broader accountable care strategies and expectations and to establish a more sustainable structure for necessary and ongoing funding support to safety net providers.</w:t>
      </w:r>
    </w:p>
    <w:p>
      <w:pPr>
        <w:pStyle w:val="ListParagraph"/>
        <w:numPr>
          <w:ilvl w:val="0"/>
          <w:numId w:val="4"/>
        </w:numPr>
        <w:tabs>
          <w:tab w:pos="1800" w:val="left" w:leader="none"/>
        </w:tabs>
        <w:spacing w:line="240" w:lineRule="auto" w:before="160" w:after="0"/>
        <w:ind w:left="1800" w:right="1903" w:hanging="360"/>
        <w:jc w:val="left"/>
        <w:rPr>
          <w:sz w:val="24"/>
        </w:rPr>
      </w:pPr>
      <w:r>
        <w:rPr>
          <w:sz w:val="24"/>
        </w:rPr>
        <w:t>As</w:t>
      </w:r>
      <w:r>
        <w:rPr>
          <w:spacing w:val="-3"/>
          <w:sz w:val="24"/>
        </w:rPr>
        <w:t> </w:t>
      </w:r>
      <w:r>
        <w:rPr>
          <w:sz w:val="24"/>
        </w:rPr>
        <w:t>of</w:t>
      </w:r>
      <w:r>
        <w:rPr>
          <w:spacing w:val="-4"/>
          <w:sz w:val="24"/>
        </w:rPr>
        <w:t> </w:t>
      </w:r>
      <w:r>
        <w:rPr>
          <w:sz w:val="24"/>
        </w:rPr>
        <w:t>October</w:t>
      </w:r>
      <w:r>
        <w:rPr>
          <w:spacing w:val="-4"/>
          <w:sz w:val="24"/>
        </w:rPr>
        <w:t> </w:t>
      </w:r>
      <w:r>
        <w:rPr>
          <w:sz w:val="24"/>
        </w:rPr>
        <w:t>1,</w:t>
      </w:r>
      <w:r>
        <w:rPr>
          <w:spacing w:val="-3"/>
          <w:sz w:val="24"/>
        </w:rPr>
        <w:t> </w:t>
      </w:r>
      <w:r>
        <w:rPr>
          <w:sz w:val="24"/>
        </w:rPr>
        <w:t>2022,</w:t>
      </w:r>
      <w:r>
        <w:rPr>
          <w:spacing w:val="-3"/>
          <w:sz w:val="24"/>
        </w:rPr>
        <w:t> </w:t>
      </w:r>
      <w:r>
        <w:rPr>
          <w:sz w:val="24"/>
        </w:rPr>
        <w:t>CMS</w:t>
      </w:r>
      <w:r>
        <w:rPr>
          <w:spacing w:val="-3"/>
          <w:sz w:val="24"/>
        </w:rPr>
        <w:t> </w:t>
      </w:r>
      <w:r>
        <w:rPr>
          <w:sz w:val="24"/>
        </w:rPr>
        <w:t>approved</w:t>
      </w:r>
      <w:r>
        <w:rPr>
          <w:spacing w:val="-3"/>
          <w:sz w:val="24"/>
        </w:rPr>
        <w:t> </w:t>
      </w:r>
      <w:r>
        <w:rPr>
          <w:sz w:val="24"/>
        </w:rPr>
        <w:t>an</w:t>
      </w:r>
      <w:r>
        <w:rPr>
          <w:spacing w:val="-3"/>
          <w:sz w:val="24"/>
        </w:rPr>
        <w:t> </w:t>
      </w:r>
      <w:r>
        <w:rPr>
          <w:sz w:val="24"/>
        </w:rPr>
        <w:t>extension</w:t>
      </w:r>
      <w:r>
        <w:rPr>
          <w:spacing w:val="-3"/>
          <w:sz w:val="24"/>
        </w:rPr>
        <w:t> </w:t>
      </w:r>
      <w:r>
        <w:rPr>
          <w:sz w:val="24"/>
        </w:rPr>
        <w:t>of</w:t>
      </w:r>
      <w:r>
        <w:rPr>
          <w:spacing w:val="-4"/>
          <w:sz w:val="24"/>
        </w:rPr>
        <w:t> </w:t>
      </w:r>
      <w:r>
        <w:rPr>
          <w:sz w:val="24"/>
        </w:rPr>
        <w:t>the</w:t>
      </w:r>
      <w:r>
        <w:rPr>
          <w:spacing w:val="-4"/>
          <w:sz w:val="24"/>
        </w:rPr>
        <w:t> </w:t>
      </w:r>
      <w:r>
        <w:rPr>
          <w:sz w:val="24"/>
        </w:rPr>
        <w:t>demonstration</w:t>
      </w:r>
      <w:r>
        <w:rPr>
          <w:spacing w:val="-3"/>
          <w:sz w:val="24"/>
        </w:rPr>
        <w:t> </w:t>
      </w:r>
      <w:r>
        <w:rPr>
          <w:sz w:val="24"/>
        </w:rPr>
        <w:t>to</w:t>
      </w:r>
      <w:r>
        <w:rPr>
          <w:spacing w:val="-3"/>
          <w:sz w:val="24"/>
        </w:rPr>
        <w:t> </w:t>
      </w:r>
      <w:r>
        <w:rPr>
          <w:sz w:val="24"/>
        </w:rPr>
        <w:t>enable</w:t>
      </w:r>
      <w:r>
        <w:rPr>
          <w:spacing w:val="-4"/>
          <w:sz w:val="24"/>
        </w:rPr>
        <w:t> </w:t>
      </w:r>
      <w:r>
        <w:rPr>
          <w:sz w:val="24"/>
        </w:rPr>
        <w:t>the Commonwealth to achieve the following goals:</w:t>
      </w:r>
    </w:p>
    <w:p>
      <w:pPr>
        <w:pStyle w:val="BodyText"/>
        <w:spacing w:before="9"/>
        <w:rPr>
          <w:sz w:val="20"/>
        </w:rPr>
      </w:pPr>
    </w:p>
    <w:p>
      <w:pPr>
        <w:pStyle w:val="ListParagraph"/>
        <w:numPr>
          <w:ilvl w:val="0"/>
          <w:numId w:val="4"/>
        </w:numPr>
        <w:tabs>
          <w:tab w:pos="1800" w:val="left" w:leader="none"/>
        </w:tabs>
        <w:spacing w:line="240" w:lineRule="auto" w:before="0" w:after="0"/>
        <w:ind w:left="1800" w:right="1556" w:hanging="360"/>
        <w:jc w:val="left"/>
        <w:rPr>
          <w:sz w:val="24"/>
        </w:rPr>
      </w:pPr>
      <w:bookmarkStart w:name=" Continue the path of restructuring and" w:id="124"/>
      <w:bookmarkEnd w:id="124"/>
      <w:r>
        <w:rPr/>
      </w:r>
      <w:r>
        <w:rPr>
          <w:sz w:val="24"/>
        </w:rPr>
        <w:t>Continue</w:t>
      </w:r>
      <w:r>
        <w:rPr>
          <w:spacing w:val="-5"/>
          <w:sz w:val="24"/>
        </w:rPr>
        <w:t> </w:t>
      </w:r>
      <w:r>
        <w:rPr>
          <w:sz w:val="24"/>
        </w:rPr>
        <w:t>the</w:t>
      </w:r>
      <w:r>
        <w:rPr>
          <w:spacing w:val="-5"/>
          <w:sz w:val="24"/>
        </w:rPr>
        <w:t> </w:t>
      </w:r>
      <w:r>
        <w:rPr>
          <w:sz w:val="24"/>
        </w:rPr>
        <w:t>path</w:t>
      </w:r>
      <w:r>
        <w:rPr>
          <w:spacing w:val="-4"/>
          <w:sz w:val="24"/>
        </w:rPr>
        <w:t> </w:t>
      </w:r>
      <w:r>
        <w:rPr>
          <w:sz w:val="24"/>
        </w:rPr>
        <w:t>of</w:t>
      </w:r>
      <w:r>
        <w:rPr>
          <w:spacing w:val="-5"/>
          <w:sz w:val="24"/>
        </w:rPr>
        <w:t> </w:t>
      </w:r>
      <w:r>
        <w:rPr>
          <w:sz w:val="24"/>
        </w:rPr>
        <w:t>restructuring</w:t>
      </w:r>
      <w:r>
        <w:rPr>
          <w:spacing w:val="-4"/>
          <w:sz w:val="24"/>
        </w:rPr>
        <w:t> </w:t>
      </w:r>
      <w:r>
        <w:rPr>
          <w:sz w:val="24"/>
        </w:rPr>
        <w:t>and</w:t>
      </w:r>
      <w:r>
        <w:rPr>
          <w:spacing w:val="-4"/>
          <w:sz w:val="24"/>
        </w:rPr>
        <w:t> </w:t>
      </w:r>
      <w:r>
        <w:rPr>
          <w:sz w:val="24"/>
        </w:rPr>
        <w:t>reaffirm</w:t>
      </w:r>
      <w:r>
        <w:rPr>
          <w:spacing w:val="-2"/>
          <w:sz w:val="24"/>
        </w:rPr>
        <w:t> </w:t>
      </w:r>
      <w:r>
        <w:rPr>
          <w:sz w:val="24"/>
        </w:rPr>
        <w:t>accountable,</w:t>
      </w:r>
      <w:r>
        <w:rPr>
          <w:spacing w:val="-4"/>
          <w:sz w:val="24"/>
        </w:rPr>
        <w:t> </w:t>
      </w:r>
      <w:r>
        <w:rPr>
          <w:sz w:val="24"/>
        </w:rPr>
        <w:t>value-based</w:t>
      </w:r>
      <w:r>
        <w:rPr>
          <w:spacing w:val="-4"/>
          <w:sz w:val="24"/>
        </w:rPr>
        <w:t> </w:t>
      </w:r>
      <w:r>
        <w:rPr>
          <w:sz w:val="24"/>
        </w:rPr>
        <w:t>care</w:t>
      </w:r>
      <w:r>
        <w:rPr>
          <w:spacing w:val="-5"/>
          <w:sz w:val="24"/>
        </w:rPr>
        <w:t> </w:t>
      </w:r>
      <w:r>
        <w:rPr>
          <w:sz w:val="24"/>
        </w:rPr>
        <w:t>–</w:t>
      </w:r>
      <w:r>
        <w:rPr>
          <w:spacing w:val="-4"/>
          <w:sz w:val="24"/>
        </w:rPr>
        <w:t> </w:t>
      </w:r>
      <w:r>
        <w:rPr>
          <w:sz w:val="24"/>
        </w:rPr>
        <w:t>increasing expectations for how ACOs improve care and trend management, and refining</w:t>
      </w:r>
      <w:r>
        <w:rPr>
          <w:spacing w:val="-1"/>
          <w:sz w:val="24"/>
        </w:rPr>
        <w:t> </w:t>
      </w:r>
      <w:r>
        <w:rPr>
          <w:sz w:val="24"/>
        </w:rPr>
        <w:t>the model;</w:t>
      </w:r>
    </w:p>
    <w:p>
      <w:pPr>
        <w:pStyle w:val="BodyText"/>
        <w:spacing w:before="9"/>
        <w:rPr>
          <w:sz w:val="20"/>
        </w:rPr>
      </w:pPr>
    </w:p>
    <w:p>
      <w:pPr>
        <w:pStyle w:val="ListParagraph"/>
        <w:numPr>
          <w:ilvl w:val="0"/>
          <w:numId w:val="4"/>
        </w:numPr>
        <w:tabs>
          <w:tab w:pos="1800" w:val="left" w:leader="none"/>
        </w:tabs>
        <w:spacing w:line="240" w:lineRule="auto" w:before="0" w:after="0"/>
        <w:ind w:left="1800" w:right="1497" w:hanging="360"/>
        <w:jc w:val="left"/>
        <w:rPr>
          <w:sz w:val="24"/>
        </w:rPr>
      </w:pPr>
      <w:bookmarkStart w:name=" Make reforms and investments in primar" w:id="125"/>
      <w:bookmarkEnd w:id="125"/>
      <w:r>
        <w:rPr/>
      </w:r>
      <w:r>
        <w:rPr>
          <w:sz w:val="24"/>
        </w:rPr>
        <w:t>Make reforms and investments in primary care, behavioral health, and pediatric care that expand</w:t>
      </w:r>
      <w:r>
        <w:rPr>
          <w:spacing w:val="-3"/>
          <w:sz w:val="24"/>
        </w:rPr>
        <w:t> </w:t>
      </w:r>
      <w:r>
        <w:rPr>
          <w:sz w:val="24"/>
        </w:rPr>
        <w:t>access</w:t>
      </w:r>
      <w:r>
        <w:rPr>
          <w:spacing w:val="-1"/>
          <w:sz w:val="24"/>
        </w:rPr>
        <w:t> </w:t>
      </w:r>
      <w:r>
        <w:rPr>
          <w:sz w:val="24"/>
        </w:rPr>
        <w:t>and</w:t>
      </w:r>
      <w:r>
        <w:rPr>
          <w:spacing w:val="-3"/>
          <w:sz w:val="24"/>
        </w:rPr>
        <w:t> </w:t>
      </w:r>
      <w:r>
        <w:rPr>
          <w:sz w:val="24"/>
        </w:rPr>
        <w:t>move</w:t>
      </w:r>
      <w:r>
        <w:rPr>
          <w:spacing w:val="-2"/>
          <w:sz w:val="24"/>
        </w:rPr>
        <w:t> </w:t>
      </w:r>
      <w:r>
        <w:rPr>
          <w:sz w:val="24"/>
        </w:rPr>
        <w:t>the</w:t>
      </w:r>
      <w:r>
        <w:rPr>
          <w:spacing w:val="-4"/>
          <w:sz w:val="24"/>
        </w:rPr>
        <w:t> </w:t>
      </w:r>
      <w:r>
        <w:rPr>
          <w:sz w:val="24"/>
        </w:rPr>
        <w:t>delivery</w:t>
      </w:r>
      <w:r>
        <w:rPr>
          <w:spacing w:val="-8"/>
          <w:sz w:val="24"/>
        </w:rPr>
        <w:t> </w:t>
      </w:r>
      <w:r>
        <w:rPr>
          <w:sz w:val="24"/>
        </w:rPr>
        <w:t>system</w:t>
      </w:r>
      <w:r>
        <w:rPr>
          <w:spacing w:val="-3"/>
          <w:sz w:val="24"/>
        </w:rPr>
        <w:t> </w:t>
      </w:r>
      <w:r>
        <w:rPr>
          <w:sz w:val="24"/>
        </w:rPr>
        <w:t>away</w:t>
      </w:r>
      <w:r>
        <w:rPr>
          <w:spacing w:val="-6"/>
          <w:sz w:val="24"/>
        </w:rPr>
        <w:t> </w:t>
      </w:r>
      <w:r>
        <w:rPr>
          <w:sz w:val="24"/>
        </w:rPr>
        <w:t>from</w:t>
      </w:r>
      <w:r>
        <w:rPr>
          <w:spacing w:val="-3"/>
          <w:sz w:val="24"/>
        </w:rPr>
        <w:t> </w:t>
      </w:r>
      <w:r>
        <w:rPr>
          <w:sz w:val="24"/>
        </w:rPr>
        <w:t>siloed,</w:t>
      </w:r>
      <w:r>
        <w:rPr>
          <w:spacing w:val="-3"/>
          <w:sz w:val="24"/>
        </w:rPr>
        <w:t> </w:t>
      </w:r>
      <w:r>
        <w:rPr>
          <w:sz w:val="24"/>
        </w:rPr>
        <w:t>fee-for-service</w:t>
      </w:r>
      <w:r>
        <w:rPr>
          <w:spacing w:val="-4"/>
          <w:sz w:val="24"/>
        </w:rPr>
        <w:t> </w:t>
      </w:r>
      <w:r>
        <w:rPr>
          <w:sz w:val="24"/>
        </w:rPr>
        <w:t>health</w:t>
      </w:r>
      <w:r>
        <w:rPr>
          <w:spacing w:val="-3"/>
          <w:sz w:val="24"/>
        </w:rPr>
        <w:t> </w:t>
      </w:r>
      <w:r>
        <w:rPr>
          <w:sz w:val="24"/>
        </w:rPr>
        <w:t>care;</w:t>
      </w:r>
    </w:p>
    <w:p>
      <w:pPr>
        <w:pStyle w:val="BodyText"/>
        <w:spacing w:before="9"/>
        <w:rPr>
          <w:sz w:val="20"/>
        </w:rPr>
      </w:pPr>
    </w:p>
    <w:p>
      <w:pPr>
        <w:pStyle w:val="ListParagraph"/>
        <w:numPr>
          <w:ilvl w:val="0"/>
          <w:numId w:val="4"/>
        </w:numPr>
        <w:tabs>
          <w:tab w:pos="1800" w:val="left" w:leader="none"/>
        </w:tabs>
        <w:spacing w:line="240" w:lineRule="auto" w:before="0" w:after="0"/>
        <w:ind w:left="1800" w:right="1325" w:hanging="360"/>
        <w:jc w:val="left"/>
        <w:rPr>
          <w:sz w:val="24"/>
        </w:rPr>
      </w:pPr>
      <w:bookmarkStart w:name=" Continue to improve access to and qual" w:id="126"/>
      <w:bookmarkEnd w:id="126"/>
      <w:r>
        <w:rPr/>
      </w:r>
      <w:r>
        <w:rPr>
          <w:sz w:val="24"/>
        </w:rPr>
        <w:t>Continue to improve access to and quality and equity of care, with a focus on initiatives addressing health-related social needs and specific improvement areas relating to health quality</w:t>
      </w:r>
      <w:r>
        <w:rPr>
          <w:spacing w:val="-8"/>
          <w:sz w:val="24"/>
        </w:rPr>
        <w:t> </w:t>
      </w:r>
      <w:r>
        <w:rPr>
          <w:sz w:val="24"/>
        </w:rPr>
        <w:t>and</w:t>
      </w:r>
      <w:r>
        <w:rPr>
          <w:spacing w:val="-1"/>
          <w:sz w:val="24"/>
        </w:rPr>
        <w:t> </w:t>
      </w:r>
      <w:r>
        <w:rPr>
          <w:sz w:val="24"/>
        </w:rPr>
        <w:t>equity,</w:t>
      </w:r>
      <w:r>
        <w:rPr>
          <w:spacing w:val="-3"/>
          <w:sz w:val="24"/>
        </w:rPr>
        <w:t> </w:t>
      </w:r>
      <w:r>
        <w:rPr>
          <w:sz w:val="24"/>
        </w:rPr>
        <w:t>including</w:t>
      </w:r>
      <w:r>
        <w:rPr>
          <w:spacing w:val="-6"/>
          <w:sz w:val="24"/>
        </w:rPr>
        <w:t> </w:t>
      </w:r>
      <w:r>
        <w:rPr>
          <w:sz w:val="24"/>
        </w:rPr>
        <w:t>maternal</w:t>
      </w:r>
      <w:r>
        <w:rPr>
          <w:spacing w:val="-3"/>
          <w:sz w:val="24"/>
        </w:rPr>
        <w:t> </w:t>
      </w:r>
      <w:r>
        <w:rPr>
          <w:sz w:val="24"/>
        </w:rPr>
        <w:t>health</w:t>
      </w:r>
      <w:r>
        <w:rPr>
          <w:spacing w:val="-3"/>
          <w:sz w:val="24"/>
        </w:rPr>
        <w:t> </w:t>
      </w:r>
      <w:r>
        <w:rPr>
          <w:sz w:val="24"/>
        </w:rPr>
        <w:t>and</w:t>
      </w:r>
      <w:r>
        <w:rPr>
          <w:spacing w:val="-3"/>
          <w:sz w:val="24"/>
        </w:rPr>
        <w:t> </w:t>
      </w:r>
      <w:r>
        <w:rPr>
          <w:sz w:val="24"/>
        </w:rPr>
        <w:t>health</w:t>
      </w:r>
      <w:r>
        <w:rPr>
          <w:spacing w:val="-3"/>
          <w:sz w:val="24"/>
        </w:rPr>
        <w:t> </w:t>
      </w:r>
      <w:r>
        <w:rPr>
          <w:sz w:val="24"/>
        </w:rPr>
        <w:t>care</w:t>
      </w:r>
      <w:r>
        <w:rPr>
          <w:spacing w:val="-4"/>
          <w:sz w:val="24"/>
        </w:rPr>
        <w:t> </w:t>
      </w:r>
      <w:r>
        <w:rPr>
          <w:sz w:val="24"/>
        </w:rPr>
        <w:t>for</w:t>
      </w:r>
      <w:r>
        <w:rPr>
          <w:spacing w:val="-4"/>
          <w:sz w:val="24"/>
        </w:rPr>
        <w:t> </w:t>
      </w:r>
      <w:r>
        <w:rPr>
          <w:sz w:val="24"/>
        </w:rPr>
        <w:t>justice-involved</w:t>
      </w:r>
      <w:r>
        <w:rPr>
          <w:spacing w:val="-3"/>
          <w:sz w:val="24"/>
        </w:rPr>
        <w:t> </w:t>
      </w:r>
      <w:r>
        <w:rPr>
          <w:sz w:val="24"/>
        </w:rPr>
        <w:t>individuals who are in the community;</w:t>
      </w:r>
    </w:p>
    <w:p>
      <w:pPr>
        <w:pStyle w:val="BodyText"/>
        <w:spacing w:before="8"/>
        <w:rPr>
          <w:sz w:val="20"/>
        </w:rPr>
      </w:pPr>
    </w:p>
    <w:p>
      <w:pPr>
        <w:pStyle w:val="ListParagraph"/>
        <w:numPr>
          <w:ilvl w:val="0"/>
          <w:numId w:val="4"/>
        </w:numPr>
        <w:tabs>
          <w:tab w:pos="1800" w:val="left" w:leader="none"/>
        </w:tabs>
        <w:spacing w:line="240" w:lineRule="auto" w:before="1" w:after="0"/>
        <w:ind w:left="1800" w:right="1510" w:hanging="360"/>
        <w:jc w:val="left"/>
        <w:rPr>
          <w:sz w:val="24"/>
        </w:rPr>
      </w:pPr>
      <w:bookmarkStart w:name=" Support the Commonwealth’s safety net," w:id="127"/>
      <w:bookmarkEnd w:id="127"/>
      <w:r>
        <w:rPr/>
      </w:r>
      <w:r>
        <w:rPr>
          <w:sz w:val="24"/>
        </w:rPr>
        <w:t>Support</w:t>
      </w:r>
      <w:r>
        <w:rPr>
          <w:spacing w:val="-3"/>
          <w:sz w:val="24"/>
        </w:rPr>
        <w:t> </w:t>
      </w:r>
      <w:r>
        <w:rPr>
          <w:sz w:val="24"/>
        </w:rPr>
        <w:t>the</w:t>
      </w:r>
      <w:r>
        <w:rPr>
          <w:spacing w:val="-4"/>
          <w:sz w:val="24"/>
        </w:rPr>
        <w:t> </w:t>
      </w:r>
      <w:r>
        <w:rPr>
          <w:sz w:val="24"/>
        </w:rPr>
        <w:t>Commonwealth’s</w:t>
      </w:r>
      <w:r>
        <w:rPr>
          <w:spacing w:val="-3"/>
          <w:sz w:val="24"/>
        </w:rPr>
        <w:t> </w:t>
      </w:r>
      <w:r>
        <w:rPr>
          <w:sz w:val="24"/>
        </w:rPr>
        <w:t>safety</w:t>
      </w:r>
      <w:r>
        <w:rPr>
          <w:spacing w:val="-8"/>
          <w:sz w:val="24"/>
        </w:rPr>
        <w:t> </w:t>
      </w:r>
      <w:r>
        <w:rPr>
          <w:sz w:val="24"/>
        </w:rPr>
        <w:t>net,</w:t>
      </w:r>
      <w:r>
        <w:rPr>
          <w:spacing w:val="-3"/>
          <w:sz w:val="24"/>
        </w:rPr>
        <w:t> </w:t>
      </w:r>
      <w:r>
        <w:rPr>
          <w:sz w:val="24"/>
        </w:rPr>
        <w:t>including</w:t>
      </w:r>
      <w:r>
        <w:rPr>
          <w:spacing w:val="-3"/>
          <w:sz w:val="24"/>
        </w:rPr>
        <w:t> </w:t>
      </w:r>
      <w:r>
        <w:rPr>
          <w:sz w:val="24"/>
        </w:rPr>
        <w:t>ongoing,</w:t>
      </w:r>
      <w:r>
        <w:rPr>
          <w:spacing w:val="-3"/>
          <w:sz w:val="24"/>
        </w:rPr>
        <w:t> </w:t>
      </w:r>
      <w:r>
        <w:rPr>
          <w:sz w:val="24"/>
        </w:rPr>
        <w:t>predictable</w:t>
      </w:r>
      <w:r>
        <w:rPr>
          <w:spacing w:val="-4"/>
          <w:sz w:val="24"/>
        </w:rPr>
        <w:t> </w:t>
      </w:r>
      <w:r>
        <w:rPr>
          <w:sz w:val="24"/>
        </w:rPr>
        <w:t>funding</w:t>
      </w:r>
      <w:r>
        <w:rPr>
          <w:spacing w:val="-6"/>
          <w:sz w:val="24"/>
        </w:rPr>
        <w:t> </w:t>
      </w:r>
      <w:r>
        <w:rPr>
          <w:sz w:val="24"/>
        </w:rPr>
        <w:t>for</w:t>
      </w:r>
      <w:r>
        <w:rPr>
          <w:spacing w:val="-4"/>
          <w:sz w:val="24"/>
        </w:rPr>
        <w:t> </w:t>
      </w:r>
      <w:r>
        <w:rPr>
          <w:sz w:val="24"/>
        </w:rPr>
        <w:t>safety net providers, with a continued linkage to accountable care; and</w:t>
      </w:r>
    </w:p>
    <w:p>
      <w:pPr>
        <w:pStyle w:val="BodyText"/>
        <w:spacing w:before="8"/>
        <w:rPr>
          <w:sz w:val="20"/>
        </w:rPr>
      </w:pPr>
    </w:p>
    <w:p>
      <w:pPr>
        <w:pStyle w:val="ListParagraph"/>
        <w:numPr>
          <w:ilvl w:val="0"/>
          <w:numId w:val="4"/>
        </w:numPr>
        <w:tabs>
          <w:tab w:pos="1800" w:val="left" w:leader="none"/>
        </w:tabs>
        <w:spacing w:line="240" w:lineRule="auto" w:before="0" w:after="0"/>
        <w:ind w:left="1800" w:right="1233" w:hanging="360"/>
        <w:jc w:val="left"/>
        <w:rPr>
          <w:sz w:val="24"/>
        </w:rPr>
      </w:pPr>
      <w:bookmarkStart w:name=" Maintain near-universal coverage inclu" w:id="128"/>
      <w:bookmarkEnd w:id="128"/>
      <w:r>
        <w:rPr/>
      </w:r>
      <w:r>
        <w:rPr>
          <w:sz w:val="24"/>
        </w:rPr>
        <w:t>Maintain</w:t>
      </w:r>
      <w:r>
        <w:rPr>
          <w:spacing w:val="-3"/>
          <w:sz w:val="24"/>
        </w:rPr>
        <w:t> </w:t>
      </w:r>
      <w:r>
        <w:rPr>
          <w:sz w:val="24"/>
        </w:rPr>
        <w:t>near-universal</w:t>
      </w:r>
      <w:r>
        <w:rPr>
          <w:spacing w:val="-2"/>
          <w:sz w:val="24"/>
        </w:rPr>
        <w:t> </w:t>
      </w:r>
      <w:r>
        <w:rPr>
          <w:sz w:val="24"/>
        </w:rPr>
        <w:t>coverage</w:t>
      </w:r>
      <w:r>
        <w:rPr>
          <w:spacing w:val="-5"/>
          <w:sz w:val="24"/>
        </w:rPr>
        <w:t> </w:t>
      </w:r>
      <w:r>
        <w:rPr>
          <w:sz w:val="24"/>
        </w:rPr>
        <w:t>including</w:t>
      </w:r>
      <w:r>
        <w:rPr>
          <w:spacing w:val="-6"/>
          <w:sz w:val="24"/>
        </w:rPr>
        <w:t> </w:t>
      </w:r>
      <w:r>
        <w:rPr>
          <w:sz w:val="24"/>
        </w:rPr>
        <w:t>updates</w:t>
      </w:r>
      <w:r>
        <w:rPr>
          <w:spacing w:val="-3"/>
          <w:sz w:val="24"/>
        </w:rPr>
        <w:t> </w:t>
      </w:r>
      <w:r>
        <w:rPr>
          <w:sz w:val="24"/>
        </w:rPr>
        <w:t>to</w:t>
      </w:r>
      <w:r>
        <w:rPr>
          <w:spacing w:val="-3"/>
          <w:sz w:val="24"/>
        </w:rPr>
        <w:t> </w:t>
      </w:r>
      <w:r>
        <w:rPr>
          <w:sz w:val="24"/>
        </w:rPr>
        <w:t>eligibility</w:t>
      </w:r>
      <w:r>
        <w:rPr>
          <w:spacing w:val="-8"/>
          <w:sz w:val="24"/>
        </w:rPr>
        <w:t> </w:t>
      </w:r>
      <w:r>
        <w:rPr>
          <w:sz w:val="24"/>
        </w:rPr>
        <w:t>policies</w:t>
      </w:r>
      <w:r>
        <w:rPr>
          <w:spacing w:val="-3"/>
          <w:sz w:val="24"/>
        </w:rPr>
        <w:t> </w:t>
      </w:r>
      <w:r>
        <w:rPr>
          <w:sz w:val="24"/>
        </w:rPr>
        <w:t>to</w:t>
      </w:r>
      <w:r>
        <w:rPr>
          <w:spacing w:val="-3"/>
          <w:sz w:val="24"/>
        </w:rPr>
        <w:t> </w:t>
      </w:r>
      <w:r>
        <w:rPr>
          <w:sz w:val="24"/>
        </w:rPr>
        <w:t>support</w:t>
      </w:r>
      <w:r>
        <w:rPr>
          <w:spacing w:val="-3"/>
          <w:sz w:val="24"/>
        </w:rPr>
        <w:t> </w:t>
      </w:r>
      <w:r>
        <w:rPr>
          <w:sz w:val="24"/>
        </w:rPr>
        <w:t>coverage and equity.</w:t>
      </w:r>
    </w:p>
    <w:p>
      <w:pPr>
        <w:pStyle w:val="BodyText"/>
        <w:rPr>
          <w:sz w:val="26"/>
        </w:rPr>
      </w:pPr>
    </w:p>
    <w:p>
      <w:pPr>
        <w:pStyle w:val="BodyText"/>
        <w:rPr>
          <w:sz w:val="26"/>
        </w:rPr>
      </w:pPr>
    </w:p>
    <w:p>
      <w:pPr>
        <w:pStyle w:val="Heading4"/>
        <w:numPr>
          <w:ilvl w:val="0"/>
          <w:numId w:val="3"/>
        </w:numPr>
        <w:tabs>
          <w:tab w:pos="1800" w:val="left" w:leader="none"/>
        </w:tabs>
        <w:spacing w:line="240" w:lineRule="auto" w:before="160" w:after="0"/>
        <w:ind w:left="1800" w:right="0" w:hanging="360"/>
        <w:jc w:val="left"/>
      </w:pPr>
      <w:bookmarkStart w:name="3. GENERAL PROGRAM REQUIREMENTS" w:id="129"/>
      <w:bookmarkEnd w:id="129"/>
      <w:r>
        <w:rPr>
          <w:b w:val="0"/>
        </w:rPr>
      </w:r>
      <w:r>
        <w:rPr/>
        <w:t>GENERAL</w:t>
      </w:r>
      <w:r>
        <w:rPr>
          <w:spacing w:val="-2"/>
        </w:rPr>
        <w:t> </w:t>
      </w:r>
      <w:r>
        <w:rPr/>
        <w:t>PROGRAM</w:t>
      </w:r>
      <w:r>
        <w:rPr>
          <w:spacing w:val="-5"/>
        </w:rPr>
        <w:t> </w:t>
      </w:r>
      <w:r>
        <w:rPr>
          <w:spacing w:val="-2"/>
        </w:rPr>
        <w:t>REQUIREMENTS</w:t>
      </w:r>
    </w:p>
    <w:p>
      <w:pPr>
        <w:pStyle w:val="BodyText"/>
        <w:spacing w:before="10"/>
        <w:rPr>
          <w:b/>
          <w:sz w:val="20"/>
        </w:rPr>
      </w:pPr>
    </w:p>
    <w:p>
      <w:pPr>
        <w:pStyle w:val="BodyText"/>
        <w:ind w:left="2071" w:right="1315"/>
      </w:pPr>
      <w:r>
        <w:rPr/>
        <w:drawing>
          <wp:anchor distT="0" distB="0" distL="0" distR="0" allowOverlap="1" layoutInCell="1" locked="0" behindDoc="0" simplePos="0" relativeHeight="15733248">
            <wp:simplePos x="0" y="0"/>
            <wp:positionH relativeFrom="page">
              <wp:posOffset>975359</wp:posOffset>
            </wp:positionH>
            <wp:positionV relativeFrom="paragraph">
              <wp:posOffset>35599</wp:posOffset>
            </wp:positionV>
            <wp:extent cx="217931" cy="112775"/>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25" cstate="print"/>
                    <a:stretch>
                      <a:fillRect/>
                    </a:stretch>
                  </pic:blipFill>
                  <pic:spPr>
                    <a:xfrm>
                      <a:off x="0" y="0"/>
                      <a:ext cx="217931" cy="112775"/>
                    </a:xfrm>
                    <a:prstGeom prst="rect">
                      <a:avLst/>
                    </a:prstGeom>
                  </pic:spPr>
                </pic:pic>
              </a:graphicData>
            </a:graphic>
          </wp:anchor>
        </w:drawing>
      </w:r>
      <w:bookmarkStart w:name="3.1. Compliance with Federal Non-Discrim" w:id="130"/>
      <w:bookmarkEnd w:id="130"/>
      <w:r>
        <w:rPr/>
      </w:r>
      <w:r>
        <w:rPr>
          <w:b/>
        </w:rPr>
        <w:t>Compliance with Federal Non-Discrimination Statutes. </w:t>
      </w:r>
      <w:r>
        <w:rPr/>
        <w:t>The Commonwealth must comply with all applicable federal statutes relating to non-discrimination. These include, but</w:t>
      </w:r>
      <w:r>
        <w:rPr>
          <w:spacing w:val="-2"/>
        </w:rPr>
        <w:t> </w:t>
      </w:r>
      <w:r>
        <w:rPr/>
        <w:t>are</w:t>
      </w:r>
      <w:r>
        <w:rPr>
          <w:spacing w:val="-3"/>
        </w:rPr>
        <w:t> </w:t>
      </w:r>
      <w:r>
        <w:rPr/>
        <w:t>not</w:t>
      </w:r>
      <w:r>
        <w:rPr>
          <w:spacing w:val="-2"/>
        </w:rPr>
        <w:t> </w:t>
      </w:r>
      <w:r>
        <w:rPr/>
        <w:t>limited</w:t>
      </w:r>
      <w:r>
        <w:rPr>
          <w:spacing w:val="-2"/>
        </w:rPr>
        <w:t> </w:t>
      </w:r>
      <w:r>
        <w:rPr/>
        <w:t>to,</w:t>
      </w:r>
      <w:r>
        <w:rPr>
          <w:spacing w:val="-2"/>
        </w:rPr>
        <w:t> </w:t>
      </w:r>
      <w:r>
        <w:rPr/>
        <w:t>the</w:t>
      </w:r>
      <w:r>
        <w:rPr>
          <w:spacing w:val="-3"/>
        </w:rPr>
        <w:t> </w:t>
      </w:r>
      <w:r>
        <w:rPr/>
        <w:t>Americans</w:t>
      </w:r>
      <w:r>
        <w:rPr>
          <w:spacing w:val="-2"/>
        </w:rPr>
        <w:t> </w:t>
      </w:r>
      <w:r>
        <w:rPr/>
        <w:t>with</w:t>
      </w:r>
      <w:r>
        <w:rPr>
          <w:spacing w:val="-2"/>
        </w:rPr>
        <w:t> </w:t>
      </w:r>
      <w:r>
        <w:rPr/>
        <w:t>Disabilities</w:t>
      </w:r>
      <w:r>
        <w:rPr>
          <w:spacing w:val="-2"/>
        </w:rPr>
        <w:t> </w:t>
      </w:r>
      <w:r>
        <w:rPr/>
        <w:t>Act</w:t>
      </w:r>
      <w:r>
        <w:rPr>
          <w:spacing w:val="-2"/>
        </w:rPr>
        <w:t> </w:t>
      </w:r>
      <w:r>
        <w:rPr/>
        <w:t>of</w:t>
      </w:r>
      <w:r>
        <w:rPr>
          <w:spacing w:val="-3"/>
        </w:rPr>
        <w:t> </w:t>
      </w:r>
      <w:r>
        <w:rPr/>
        <w:t>1990</w:t>
      </w:r>
      <w:r>
        <w:rPr>
          <w:spacing w:val="-2"/>
        </w:rPr>
        <w:t> </w:t>
      </w:r>
      <w:r>
        <w:rPr/>
        <w:t>(ADA), Title</w:t>
      </w:r>
      <w:r>
        <w:rPr>
          <w:spacing w:val="-3"/>
        </w:rPr>
        <w:t> </w:t>
      </w:r>
      <w:r>
        <w:rPr/>
        <w:t>VI</w:t>
      </w:r>
      <w:r>
        <w:rPr>
          <w:spacing w:val="-8"/>
        </w:rPr>
        <w:t> </w:t>
      </w:r>
      <w:r>
        <w:rPr/>
        <w:t>of</w:t>
      </w:r>
      <w:r>
        <w:rPr>
          <w:spacing w:val="-3"/>
        </w:rPr>
        <w:t> </w:t>
      </w:r>
      <w:r>
        <w:rPr/>
        <w:t>the Civil</w:t>
      </w:r>
      <w:r>
        <w:rPr>
          <w:spacing w:val="-2"/>
        </w:rPr>
        <w:t> </w:t>
      </w:r>
      <w:r>
        <w:rPr/>
        <w:t>Rights</w:t>
      </w:r>
      <w:r>
        <w:rPr>
          <w:spacing w:val="-2"/>
        </w:rPr>
        <w:t> </w:t>
      </w:r>
      <w:r>
        <w:rPr/>
        <w:t>Act</w:t>
      </w:r>
      <w:r>
        <w:rPr>
          <w:spacing w:val="-2"/>
        </w:rPr>
        <w:t> </w:t>
      </w:r>
      <w:r>
        <w:rPr/>
        <w:t>of</w:t>
      </w:r>
      <w:r>
        <w:rPr>
          <w:spacing w:val="-3"/>
        </w:rPr>
        <w:t> </w:t>
      </w:r>
      <w:r>
        <w:rPr/>
        <w:t>1964,</w:t>
      </w:r>
      <w:r>
        <w:rPr>
          <w:spacing w:val="-2"/>
        </w:rPr>
        <w:t> </w:t>
      </w:r>
      <w:r>
        <w:rPr/>
        <w:t>section</w:t>
      </w:r>
      <w:r>
        <w:rPr>
          <w:spacing w:val="-2"/>
        </w:rPr>
        <w:t> </w:t>
      </w:r>
      <w:r>
        <w:rPr/>
        <w:t>504</w:t>
      </w:r>
      <w:r>
        <w:rPr>
          <w:spacing w:val="-2"/>
        </w:rPr>
        <w:t> </w:t>
      </w:r>
      <w:r>
        <w:rPr/>
        <w:t>of</w:t>
      </w:r>
      <w:r>
        <w:rPr>
          <w:spacing w:val="-3"/>
        </w:rPr>
        <w:t> </w:t>
      </w:r>
      <w:r>
        <w:rPr/>
        <w:t>the</w:t>
      </w:r>
      <w:r>
        <w:rPr>
          <w:spacing w:val="-3"/>
        </w:rPr>
        <w:t> </w:t>
      </w:r>
      <w:r>
        <w:rPr/>
        <w:t>Rehabilitation</w:t>
      </w:r>
      <w:r>
        <w:rPr>
          <w:spacing w:val="-2"/>
        </w:rPr>
        <w:t> </w:t>
      </w:r>
      <w:r>
        <w:rPr/>
        <w:t>Act</w:t>
      </w:r>
      <w:r>
        <w:rPr>
          <w:spacing w:val="-2"/>
        </w:rPr>
        <w:t> </w:t>
      </w:r>
      <w:r>
        <w:rPr/>
        <w:t>of</w:t>
      </w:r>
      <w:r>
        <w:rPr>
          <w:spacing w:val="-3"/>
        </w:rPr>
        <w:t> </w:t>
      </w:r>
      <w:r>
        <w:rPr/>
        <w:t>1973</w:t>
      </w:r>
      <w:r>
        <w:rPr>
          <w:spacing w:val="-2"/>
        </w:rPr>
        <w:t> </w:t>
      </w:r>
      <w:r>
        <w:rPr/>
        <w:t>(Section</w:t>
      </w:r>
      <w:r>
        <w:rPr>
          <w:spacing w:val="-2"/>
        </w:rPr>
        <w:t> </w:t>
      </w:r>
      <w:r>
        <w:rPr/>
        <w:t>504),</w:t>
      </w:r>
      <w:r>
        <w:rPr>
          <w:spacing w:val="-2"/>
        </w:rPr>
        <w:t> </w:t>
      </w:r>
      <w:r>
        <w:rPr/>
        <w:t>the Age Discrimination Act of 1975, and section 1557 of the Patient Protection and Affordable Care Act (Section 1557).</w:t>
      </w:r>
    </w:p>
    <w:p>
      <w:pPr>
        <w:pStyle w:val="BodyText"/>
        <w:spacing w:before="8"/>
        <w:rPr>
          <w:sz w:val="20"/>
        </w:rPr>
      </w:pPr>
    </w:p>
    <w:p>
      <w:pPr>
        <w:spacing w:before="0"/>
        <w:ind w:left="2071" w:right="1239" w:firstLine="0"/>
        <w:jc w:val="left"/>
        <w:rPr>
          <w:sz w:val="24"/>
        </w:rPr>
      </w:pPr>
      <w:r>
        <w:rPr/>
        <w:drawing>
          <wp:anchor distT="0" distB="0" distL="0" distR="0" allowOverlap="1" layoutInCell="1" locked="0" behindDoc="0" simplePos="0" relativeHeight="15733760">
            <wp:simplePos x="0" y="0"/>
            <wp:positionH relativeFrom="page">
              <wp:posOffset>975359</wp:posOffset>
            </wp:positionH>
            <wp:positionV relativeFrom="paragraph">
              <wp:posOffset>35599</wp:posOffset>
            </wp:positionV>
            <wp:extent cx="217931" cy="112775"/>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26" cstate="print"/>
                    <a:stretch>
                      <a:fillRect/>
                    </a:stretch>
                  </pic:blipFill>
                  <pic:spPr>
                    <a:xfrm>
                      <a:off x="0" y="0"/>
                      <a:ext cx="217931" cy="112775"/>
                    </a:xfrm>
                    <a:prstGeom prst="rect">
                      <a:avLst/>
                    </a:prstGeom>
                  </pic:spPr>
                </pic:pic>
              </a:graphicData>
            </a:graphic>
          </wp:anchor>
        </w:drawing>
      </w:r>
      <w:bookmarkStart w:name="3.2. Compliance with Medicaid and Childr" w:id="131"/>
      <w:bookmarkEnd w:id="131"/>
      <w:r>
        <w:rPr/>
      </w:r>
      <w:r>
        <w:rPr>
          <w:b/>
          <w:sz w:val="24"/>
        </w:rPr>
        <w:t>Compliance with Medicaid and Children’s Health Insurance Program (CHIP) Law, Regulation,</w:t>
      </w:r>
      <w:r>
        <w:rPr>
          <w:b/>
          <w:spacing w:val="-3"/>
          <w:sz w:val="24"/>
        </w:rPr>
        <w:t> </w:t>
      </w:r>
      <w:r>
        <w:rPr>
          <w:b/>
          <w:sz w:val="24"/>
        </w:rPr>
        <w:t>and</w:t>
      </w:r>
      <w:r>
        <w:rPr>
          <w:b/>
          <w:spacing w:val="-3"/>
          <w:sz w:val="24"/>
        </w:rPr>
        <w:t> </w:t>
      </w:r>
      <w:r>
        <w:rPr>
          <w:b/>
          <w:sz w:val="24"/>
        </w:rPr>
        <w:t>Policy.</w:t>
      </w:r>
      <w:r>
        <w:rPr>
          <w:b/>
          <w:spacing w:val="-3"/>
          <w:sz w:val="24"/>
        </w:rPr>
        <w:t> </w:t>
      </w:r>
      <w:r>
        <w:rPr>
          <w:sz w:val="24"/>
        </w:rPr>
        <w:t>All</w:t>
      </w:r>
      <w:r>
        <w:rPr>
          <w:spacing w:val="-3"/>
          <w:sz w:val="24"/>
        </w:rPr>
        <w:t> </w:t>
      </w:r>
      <w:r>
        <w:rPr>
          <w:sz w:val="24"/>
        </w:rPr>
        <w:t>requirements</w:t>
      </w:r>
      <w:r>
        <w:rPr>
          <w:spacing w:val="-3"/>
          <w:sz w:val="24"/>
        </w:rPr>
        <w:t> </w:t>
      </w:r>
      <w:r>
        <w:rPr>
          <w:sz w:val="24"/>
        </w:rPr>
        <w:t>of</w:t>
      </w:r>
      <w:r>
        <w:rPr>
          <w:spacing w:val="-4"/>
          <w:sz w:val="24"/>
        </w:rPr>
        <w:t> </w:t>
      </w:r>
      <w:r>
        <w:rPr>
          <w:sz w:val="24"/>
        </w:rPr>
        <w:t>the</w:t>
      </w:r>
      <w:r>
        <w:rPr>
          <w:spacing w:val="-3"/>
          <w:sz w:val="24"/>
        </w:rPr>
        <w:t> </w:t>
      </w:r>
      <w:r>
        <w:rPr>
          <w:sz w:val="24"/>
        </w:rPr>
        <w:t>Medicaid</w:t>
      </w:r>
      <w:r>
        <w:rPr>
          <w:spacing w:val="-3"/>
          <w:sz w:val="24"/>
        </w:rPr>
        <w:t> </w:t>
      </w:r>
      <w:r>
        <w:rPr>
          <w:sz w:val="24"/>
        </w:rPr>
        <w:t>and</w:t>
      </w:r>
      <w:r>
        <w:rPr>
          <w:spacing w:val="-3"/>
          <w:sz w:val="24"/>
        </w:rPr>
        <w:t> </w:t>
      </w:r>
      <w:r>
        <w:rPr>
          <w:sz w:val="24"/>
        </w:rPr>
        <w:t>CHIP</w:t>
      </w:r>
      <w:r>
        <w:rPr>
          <w:spacing w:val="-3"/>
          <w:sz w:val="24"/>
        </w:rPr>
        <w:t> </w:t>
      </w:r>
      <w:r>
        <w:rPr>
          <w:sz w:val="24"/>
        </w:rPr>
        <w:t>programs,</w:t>
      </w:r>
      <w:r>
        <w:rPr>
          <w:spacing w:val="-3"/>
          <w:sz w:val="24"/>
        </w:rPr>
        <w:t> </w:t>
      </w:r>
      <w:r>
        <w:rPr>
          <w:sz w:val="24"/>
        </w:rPr>
        <w:t>expressed in</w:t>
      </w:r>
      <w:r>
        <w:rPr>
          <w:spacing w:val="-2"/>
          <w:sz w:val="24"/>
        </w:rPr>
        <w:t> </w:t>
      </w:r>
      <w:r>
        <w:rPr>
          <w:sz w:val="24"/>
        </w:rPr>
        <w:t>federal</w:t>
      </w:r>
      <w:r>
        <w:rPr>
          <w:spacing w:val="-2"/>
          <w:sz w:val="24"/>
        </w:rPr>
        <w:t> </w:t>
      </w:r>
      <w:r>
        <w:rPr>
          <w:sz w:val="24"/>
        </w:rPr>
        <w:t>law,</w:t>
      </w:r>
      <w:r>
        <w:rPr>
          <w:spacing w:val="-2"/>
          <w:sz w:val="24"/>
        </w:rPr>
        <w:t> </w:t>
      </w:r>
      <w:r>
        <w:rPr>
          <w:sz w:val="24"/>
        </w:rPr>
        <w:t>regulation,</w:t>
      </w:r>
      <w:r>
        <w:rPr>
          <w:spacing w:val="-2"/>
          <w:sz w:val="24"/>
        </w:rPr>
        <w:t> </w:t>
      </w:r>
      <w:r>
        <w:rPr>
          <w:sz w:val="24"/>
        </w:rPr>
        <w:t>and</w:t>
      </w:r>
      <w:r>
        <w:rPr>
          <w:spacing w:val="-2"/>
          <w:sz w:val="24"/>
        </w:rPr>
        <w:t> </w:t>
      </w:r>
      <w:r>
        <w:rPr>
          <w:sz w:val="24"/>
        </w:rPr>
        <w:t>policy</w:t>
      </w:r>
      <w:r>
        <w:rPr>
          <w:spacing w:val="-7"/>
          <w:sz w:val="24"/>
        </w:rPr>
        <w:t> </w:t>
      </w:r>
      <w:r>
        <w:rPr>
          <w:sz w:val="24"/>
        </w:rPr>
        <w:t>statement,</w:t>
      </w:r>
      <w:r>
        <w:rPr>
          <w:spacing w:val="-2"/>
          <w:sz w:val="24"/>
        </w:rPr>
        <w:t> </w:t>
      </w:r>
      <w:r>
        <w:rPr>
          <w:sz w:val="24"/>
        </w:rPr>
        <w:t>that</w:t>
      </w:r>
      <w:r>
        <w:rPr>
          <w:spacing w:val="-2"/>
          <w:sz w:val="24"/>
        </w:rPr>
        <w:t> </w:t>
      </w:r>
      <w:r>
        <w:rPr>
          <w:sz w:val="24"/>
        </w:rPr>
        <w:t>are</w:t>
      </w:r>
      <w:r>
        <w:rPr>
          <w:spacing w:val="-3"/>
          <w:sz w:val="24"/>
        </w:rPr>
        <w:t> </w:t>
      </w:r>
      <w:r>
        <w:rPr>
          <w:sz w:val="24"/>
        </w:rPr>
        <w:t>not</w:t>
      </w:r>
      <w:r>
        <w:rPr>
          <w:spacing w:val="-2"/>
          <w:sz w:val="24"/>
        </w:rPr>
        <w:t> </w:t>
      </w:r>
      <w:r>
        <w:rPr>
          <w:sz w:val="24"/>
        </w:rPr>
        <w:t>expressly</w:t>
      </w:r>
      <w:r>
        <w:rPr>
          <w:spacing w:val="-7"/>
          <w:sz w:val="24"/>
        </w:rPr>
        <w:t> </w:t>
      </w:r>
      <w:r>
        <w:rPr>
          <w:sz w:val="24"/>
        </w:rPr>
        <w:t>waived</w:t>
      </w:r>
      <w:r>
        <w:rPr>
          <w:spacing w:val="-2"/>
          <w:sz w:val="24"/>
        </w:rPr>
        <w:t> </w:t>
      </w:r>
      <w:r>
        <w:rPr>
          <w:sz w:val="24"/>
        </w:rPr>
        <w:t>or</w:t>
      </w:r>
      <w:r>
        <w:rPr>
          <w:spacing w:val="-3"/>
          <w:sz w:val="24"/>
        </w:rPr>
        <w:t> </w:t>
      </w:r>
      <w:r>
        <w:rPr>
          <w:sz w:val="24"/>
        </w:rPr>
        <w:t>identified as</w:t>
      </w:r>
      <w:r>
        <w:rPr>
          <w:spacing w:val="-3"/>
          <w:sz w:val="24"/>
        </w:rPr>
        <w:t> </w:t>
      </w:r>
      <w:r>
        <w:rPr>
          <w:sz w:val="24"/>
        </w:rPr>
        <w:t>not</w:t>
      </w:r>
      <w:r>
        <w:rPr>
          <w:spacing w:val="-3"/>
          <w:sz w:val="24"/>
        </w:rPr>
        <w:t> </w:t>
      </w:r>
      <w:r>
        <w:rPr>
          <w:sz w:val="24"/>
        </w:rPr>
        <w:t>applicable</w:t>
      </w:r>
      <w:r>
        <w:rPr>
          <w:spacing w:val="-4"/>
          <w:sz w:val="24"/>
        </w:rPr>
        <w:t> </w:t>
      </w:r>
      <w:r>
        <w:rPr>
          <w:sz w:val="24"/>
        </w:rPr>
        <w:t>in</w:t>
      </w:r>
      <w:r>
        <w:rPr>
          <w:spacing w:val="-3"/>
          <w:sz w:val="24"/>
        </w:rPr>
        <w:t> </w:t>
      </w:r>
      <w:r>
        <w:rPr>
          <w:sz w:val="24"/>
        </w:rPr>
        <w:t>the</w:t>
      </w:r>
      <w:r>
        <w:rPr>
          <w:spacing w:val="-5"/>
          <w:sz w:val="24"/>
        </w:rPr>
        <w:t> </w:t>
      </w:r>
      <w:r>
        <w:rPr>
          <w:sz w:val="24"/>
        </w:rPr>
        <w:t>waiver</w:t>
      </w:r>
      <w:r>
        <w:rPr>
          <w:spacing w:val="-4"/>
          <w:sz w:val="24"/>
        </w:rPr>
        <w:t> </w:t>
      </w:r>
      <w:r>
        <w:rPr>
          <w:sz w:val="24"/>
        </w:rPr>
        <w:t>and</w:t>
      </w:r>
      <w:r>
        <w:rPr>
          <w:spacing w:val="-1"/>
          <w:sz w:val="24"/>
        </w:rPr>
        <w:t> </w:t>
      </w:r>
      <w:r>
        <w:rPr>
          <w:sz w:val="24"/>
        </w:rPr>
        <w:t>expenditure</w:t>
      </w:r>
      <w:r>
        <w:rPr>
          <w:spacing w:val="-4"/>
          <w:sz w:val="24"/>
        </w:rPr>
        <w:t> </w:t>
      </w:r>
      <w:r>
        <w:rPr>
          <w:sz w:val="24"/>
        </w:rPr>
        <w:t>authority</w:t>
      </w:r>
      <w:r>
        <w:rPr>
          <w:spacing w:val="-7"/>
          <w:sz w:val="24"/>
        </w:rPr>
        <w:t> </w:t>
      </w:r>
      <w:r>
        <w:rPr>
          <w:sz w:val="24"/>
        </w:rPr>
        <w:t>documents</w:t>
      </w:r>
      <w:r>
        <w:rPr>
          <w:spacing w:val="-4"/>
          <w:sz w:val="24"/>
        </w:rPr>
        <w:t> </w:t>
      </w:r>
      <w:r>
        <w:rPr>
          <w:sz w:val="24"/>
        </w:rPr>
        <w:t>(of</w:t>
      </w:r>
      <w:r>
        <w:rPr>
          <w:spacing w:val="-4"/>
          <w:sz w:val="24"/>
        </w:rPr>
        <w:t> </w:t>
      </w:r>
      <w:r>
        <w:rPr>
          <w:sz w:val="24"/>
        </w:rPr>
        <w:t>which</w:t>
      </w:r>
      <w:r>
        <w:rPr>
          <w:spacing w:val="-3"/>
          <w:sz w:val="24"/>
        </w:rPr>
        <w:t> </w:t>
      </w:r>
      <w:r>
        <w:rPr>
          <w:sz w:val="24"/>
        </w:rPr>
        <w:t>these</w:t>
      </w:r>
      <w:r>
        <w:rPr>
          <w:spacing w:val="-4"/>
          <w:sz w:val="24"/>
        </w:rPr>
        <w:t> </w:t>
      </w:r>
      <w:r>
        <w:rPr>
          <w:sz w:val="24"/>
        </w:rPr>
        <w:t>terms and conditions are part), apply to the demonstration.</w:t>
      </w:r>
    </w:p>
    <w:p>
      <w:pPr>
        <w:pStyle w:val="BodyText"/>
        <w:spacing w:before="10"/>
        <w:rPr>
          <w:sz w:val="20"/>
        </w:rPr>
      </w:pPr>
    </w:p>
    <w:p>
      <w:pPr>
        <w:pStyle w:val="BodyText"/>
        <w:ind w:left="2071" w:right="1239"/>
      </w:pPr>
      <w:r>
        <w:rPr/>
        <w:drawing>
          <wp:anchor distT="0" distB="0" distL="0" distR="0" allowOverlap="1" layoutInCell="1" locked="0" behindDoc="0" simplePos="0" relativeHeight="15734272">
            <wp:simplePos x="0" y="0"/>
            <wp:positionH relativeFrom="page">
              <wp:posOffset>975359</wp:posOffset>
            </wp:positionH>
            <wp:positionV relativeFrom="paragraph">
              <wp:posOffset>35599</wp:posOffset>
            </wp:positionV>
            <wp:extent cx="217931" cy="112775"/>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27" cstate="print"/>
                    <a:stretch>
                      <a:fillRect/>
                    </a:stretch>
                  </pic:blipFill>
                  <pic:spPr>
                    <a:xfrm>
                      <a:off x="0" y="0"/>
                      <a:ext cx="217931" cy="112775"/>
                    </a:xfrm>
                    <a:prstGeom prst="rect">
                      <a:avLst/>
                    </a:prstGeom>
                  </pic:spPr>
                </pic:pic>
              </a:graphicData>
            </a:graphic>
          </wp:anchor>
        </w:drawing>
      </w:r>
      <w:bookmarkStart w:name="3.3. Changes in Medicaid and CHIP Law, R" w:id="132"/>
      <w:bookmarkEnd w:id="132"/>
      <w:r>
        <w:rPr/>
      </w:r>
      <w:r>
        <w:rPr>
          <w:b/>
        </w:rPr>
        <w:t>Changes in Medicaid and CHIP Law, Regulation, and Policy. </w:t>
      </w:r>
      <w:r>
        <w:rPr/>
        <w:t>The Commonwealth must,</w:t>
      </w:r>
      <w:r>
        <w:rPr>
          <w:spacing w:val="-3"/>
        </w:rPr>
        <w:t> </w:t>
      </w:r>
      <w:r>
        <w:rPr/>
        <w:t>within</w:t>
      </w:r>
      <w:r>
        <w:rPr>
          <w:spacing w:val="-3"/>
        </w:rPr>
        <w:t> </w:t>
      </w:r>
      <w:r>
        <w:rPr/>
        <w:t>the</w:t>
      </w:r>
      <w:r>
        <w:rPr>
          <w:spacing w:val="-4"/>
        </w:rPr>
        <w:t> </w:t>
      </w:r>
      <w:r>
        <w:rPr/>
        <w:t>timeframes</w:t>
      </w:r>
      <w:r>
        <w:rPr>
          <w:spacing w:val="-3"/>
        </w:rPr>
        <w:t> </w:t>
      </w:r>
      <w:r>
        <w:rPr/>
        <w:t>specified</w:t>
      </w:r>
      <w:r>
        <w:rPr>
          <w:spacing w:val="-3"/>
        </w:rPr>
        <w:t> </w:t>
      </w:r>
      <w:r>
        <w:rPr/>
        <w:t>in</w:t>
      </w:r>
      <w:r>
        <w:rPr>
          <w:spacing w:val="-3"/>
        </w:rPr>
        <w:t> </w:t>
      </w:r>
      <w:r>
        <w:rPr/>
        <w:t>federal</w:t>
      </w:r>
      <w:r>
        <w:rPr>
          <w:spacing w:val="-3"/>
        </w:rPr>
        <w:t> </w:t>
      </w:r>
      <w:r>
        <w:rPr/>
        <w:t>law,</w:t>
      </w:r>
      <w:r>
        <w:rPr>
          <w:spacing w:val="-3"/>
        </w:rPr>
        <w:t> </w:t>
      </w:r>
      <w:r>
        <w:rPr/>
        <w:t>regulation,</w:t>
      </w:r>
      <w:r>
        <w:rPr>
          <w:spacing w:val="-3"/>
        </w:rPr>
        <w:t> </w:t>
      </w:r>
      <w:r>
        <w:rPr/>
        <w:t>or</w:t>
      </w:r>
      <w:r>
        <w:rPr>
          <w:spacing w:val="-4"/>
        </w:rPr>
        <w:t> </w:t>
      </w:r>
      <w:r>
        <w:rPr/>
        <w:t>policy</w:t>
      </w:r>
      <w:r>
        <w:rPr>
          <w:spacing w:val="-6"/>
        </w:rPr>
        <w:t> </w:t>
      </w:r>
      <w:r>
        <w:rPr/>
        <w:t>statement,</w:t>
      </w:r>
      <w:r>
        <w:rPr>
          <w:spacing w:val="-3"/>
        </w:rPr>
        <w:t> </w:t>
      </w:r>
      <w:r>
        <w:rPr/>
        <w:t>come into</w:t>
      </w:r>
      <w:r>
        <w:rPr>
          <w:spacing w:val="-2"/>
        </w:rPr>
        <w:t> </w:t>
      </w:r>
      <w:r>
        <w:rPr/>
        <w:t>compliance</w:t>
      </w:r>
      <w:r>
        <w:rPr>
          <w:spacing w:val="-3"/>
        </w:rPr>
        <w:t> </w:t>
      </w:r>
      <w:r>
        <w:rPr/>
        <w:t>with</w:t>
      </w:r>
      <w:r>
        <w:rPr>
          <w:spacing w:val="-2"/>
        </w:rPr>
        <w:t> </w:t>
      </w:r>
      <w:r>
        <w:rPr/>
        <w:t>changes</w:t>
      </w:r>
      <w:r>
        <w:rPr>
          <w:spacing w:val="-2"/>
        </w:rPr>
        <w:t> </w:t>
      </w:r>
      <w:r>
        <w:rPr/>
        <w:t>in</w:t>
      </w:r>
      <w:r>
        <w:rPr>
          <w:spacing w:val="-2"/>
        </w:rPr>
        <w:t> </w:t>
      </w:r>
      <w:r>
        <w:rPr/>
        <w:t>law,</w:t>
      </w:r>
      <w:r>
        <w:rPr>
          <w:spacing w:val="-2"/>
        </w:rPr>
        <w:t> </w:t>
      </w:r>
      <w:r>
        <w:rPr/>
        <w:t>regulation,</w:t>
      </w:r>
      <w:r>
        <w:rPr>
          <w:spacing w:val="-2"/>
        </w:rPr>
        <w:t> </w:t>
      </w:r>
      <w:r>
        <w:rPr/>
        <w:t>or</w:t>
      </w:r>
      <w:r>
        <w:rPr>
          <w:spacing w:val="-3"/>
        </w:rPr>
        <w:t> </w:t>
      </w:r>
      <w:r>
        <w:rPr/>
        <w:t>policy</w:t>
      </w:r>
      <w:r>
        <w:rPr>
          <w:spacing w:val="-5"/>
        </w:rPr>
        <w:t> </w:t>
      </w:r>
      <w:r>
        <w:rPr/>
        <w:t>affecting</w:t>
      </w:r>
      <w:r>
        <w:rPr>
          <w:spacing w:val="-5"/>
        </w:rPr>
        <w:t> </w:t>
      </w:r>
      <w:r>
        <w:rPr/>
        <w:t>the</w:t>
      </w:r>
      <w:r>
        <w:rPr>
          <w:spacing w:val="-3"/>
        </w:rPr>
        <w:t> </w:t>
      </w:r>
      <w:r>
        <w:rPr/>
        <w:t>Medicaid</w:t>
      </w:r>
      <w:r>
        <w:rPr>
          <w:spacing w:val="-2"/>
        </w:rPr>
        <w:t> </w:t>
      </w:r>
      <w:r>
        <w:rPr/>
        <w:t>or</w:t>
      </w:r>
      <w:r>
        <w:rPr>
          <w:spacing w:val="-3"/>
        </w:rPr>
        <w:t> </w:t>
      </w:r>
      <w:r>
        <w:rPr/>
        <w:t>CHIP programs</w:t>
      </w:r>
      <w:r>
        <w:rPr>
          <w:spacing w:val="-4"/>
        </w:rPr>
        <w:t> </w:t>
      </w:r>
      <w:r>
        <w:rPr/>
        <w:t>that</w:t>
      </w:r>
      <w:r>
        <w:rPr>
          <w:spacing w:val="-1"/>
        </w:rPr>
        <w:t> </w:t>
      </w:r>
      <w:r>
        <w:rPr/>
        <w:t>occur</w:t>
      </w:r>
      <w:r>
        <w:rPr>
          <w:spacing w:val="-2"/>
        </w:rPr>
        <w:t> </w:t>
      </w:r>
      <w:r>
        <w:rPr/>
        <w:t>during</w:t>
      </w:r>
      <w:r>
        <w:rPr>
          <w:spacing w:val="-4"/>
        </w:rPr>
        <w:t> </w:t>
      </w:r>
      <w:r>
        <w:rPr/>
        <w:t>this</w:t>
      </w:r>
      <w:r>
        <w:rPr>
          <w:spacing w:val="-1"/>
        </w:rPr>
        <w:t> </w:t>
      </w:r>
      <w:r>
        <w:rPr/>
        <w:t>demonstration</w:t>
      </w:r>
      <w:r>
        <w:rPr>
          <w:spacing w:val="-2"/>
        </w:rPr>
        <w:t> </w:t>
      </w:r>
      <w:r>
        <w:rPr/>
        <w:t>approval</w:t>
      </w:r>
      <w:r>
        <w:rPr>
          <w:spacing w:val="-1"/>
        </w:rPr>
        <w:t> </w:t>
      </w:r>
      <w:r>
        <w:rPr/>
        <w:t>period,</w:t>
      </w:r>
      <w:r>
        <w:rPr>
          <w:spacing w:val="-1"/>
        </w:rPr>
        <w:t> </w:t>
      </w:r>
      <w:r>
        <w:rPr/>
        <w:t>unless</w:t>
      </w:r>
      <w:r>
        <w:rPr>
          <w:spacing w:val="-1"/>
        </w:rPr>
        <w:t> </w:t>
      </w:r>
      <w:r>
        <w:rPr/>
        <w:t>the provision</w:t>
      </w:r>
      <w:r>
        <w:rPr>
          <w:spacing w:val="-1"/>
        </w:rPr>
        <w:t> </w:t>
      </w:r>
      <w:r>
        <w:rPr>
          <w:spacing w:val="-2"/>
        </w:rPr>
        <w:t>being</w:t>
      </w:r>
    </w:p>
    <w:p>
      <w:pPr>
        <w:spacing w:after="0"/>
        <w:sectPr>
          <w:pgSz w:w="12240" w:h="15840"/>
          <w:pgMar w:header="0" w:footer="1201" w:top="1360" w:bottom="1400" w:left="0" w:right="220"/>
        </w:sectPr>
      </w:pPr>
    </w:p>
    <w:p>
      <w:pPr>
        <w:pStyle w:val="BodyText"/>
        <w:spacing w:before="79"/>
        <w:ind w:left="2071" w:right="1239"/>
      </w:pPr>
      <w:r>
        <w:rPr/>
        <w:t>changed</w:t>
      </w:r>
      <w:r>
        <w:rPr>
          <w:spacing w:val="-3"/>
        </w:rPr>
        <w:t> </w:t>
      </w:r>
      <w:r>
        <w:rPr/>
        <w:t>is</w:t>
      </w:r>
      <w:r>
        <w:rPr>
          <w:spacing w:val="-3"/>
        </w:rPr>
        <w:t> </w:t>
      </w:r>
      <w:r>
        <w:rPr/>
        <w:t>expressly</w:t>
      </w:r>
      <w:r>
        <w:rPr>
          <w:spacing w:val="-8"/>
        </w:rPr>
        <w:t> </w:t>
      </w:r>
      <w:r>
        <w:rPr/>
        <w:t>waived</w:t>
      </w:r>
      <w:r>
        <w:rPr>
          <w:spacing w:val="-4"/>
        </w:rPr>
        <w:t> </w:t>
      </w:r>
      <w:r>
        <w:rPr/>
        <w:t>or</w:t>
      </w:r>
      <w:r>
        <w:rPr>
          <w:spacing w:val="-4"/>
        </w:rPr>
        <w:t> </w:t>
      </w:r>
      <w:r>
        <w:rPr/>
        <w:t>identified</w:t>
      </w:r>
      <w:r>
        <w:rPr>
          <w:spacing w:val="-3"/>
        </w:rPr>
        <w:t> </w:t>
      </w:r>
      <w:r>
        <w:rPr/>
        <w:t>as</w:t>
      </w:r>
      <w:r>
        <w:rPr>
          <w:spacing w:val="-3"/>
        </w:rPr>
        <w:t> </w:t>
      </w:r>
      <w:r>
        <w:rPr/>
        <w:t>not</w:t>
      </w:r>
      <w:r>
        <w:rPr>
          <w:spacing w:val="-3"/>
        </w:rPr>
        <w:t> </w:t>
      </w:r>
      <w:r>
        <w:rPr/>
        <w:t>applicable.</w:t>
      </w:r>
      <w:r>
        <w:rPr>
          <w:spacing w:val="-1"/>
        </w:rPr>
        <w:t> </w:t>
      </w:r>
      <w:r>
        <w:rPr/>
        <w:t>In</w:t>
      </w:r>
      <w:r>
        <w:rPr>
          <w:spacing w:val="-3"/>
        </w:rPr>
        <w:t> </w:t>
      </w:r>
      <w:r>
        <w:rPr/>
        <w:t>addition,</w:t>
      </w:r>
      <w:r>
        <w:rPr>
          <w:spacing w:val="-3"/>
        </w:rPr>
        <w:t> </w:t>
      </w:r>
      <w:r>
        <w:rPr/>
        <w:t>CMS</w:t>
      </w:r>
      <w:r>
        <w:rPr>
          <w:spacing w:val="-3"/>
        </w:rPr>
        <w:t> </w:t>
      </w:r>
      <w:r>
        <w:rPr/>
        <w:t>reserves</w:t>
      </w:r>
      <w:r>
        <w:rPr>
          <w:spacing w:val="-3"/>
        </w:rPr>
        <w:t> </w:t>
      </w:r>
      <w:r>
        <w:rPr/>
        <w:t>the right to amend the STCs to reflect such changes and/or changes as needed without requiring the Commonwealth to submit an amendment to the demonstration under STC</w:t>
      </w:r>
    </w:p>
    <w:p>
      <w:pPr>
        <w:pStyle w:val="BodyText"/>
        <w:ind w:left="2071" w:right="1231"/>
      </w:pPr>
      <w:r>
        <w:rPr/>
        <w:t>3.7.</w:t>
      </w:r>
      <w:r>
        <w:rPr>
          <w:spacing w:val="-3"/>
        </w:rPr>
        <w:t> </w:t>
      </w:r>
      <w:r>
        <w:rPr/>
        <w:t>CMS</w:t>
      </w:r>
      <w:r>
        <w:rPr>
          <w:spacing w:val="-3"/>
        </w:rPr>
        <w:t> </w:t>
      </w:r>
      <w:r>
        <w:rPr/>
        <w:t>will</w:t>
      </w:r>
      <w:r>
        <w:rPr>
          <w:spacing w:val="-3"/>
        </w:rPr>
        <w:t> </w:t>
      </w:r>
      <w:r>
        <w:rPr/>
        <w:t>notify</w:t>
      </w:r>
      <w:r>
        <w:rPr>
          <w:spacing w:val="-8"/>
        </w:rPr>
        <w:t> </w:t>
      </w:r>
      <w:r>
        <w:rPr/>
        <w:t>the</w:t>
      </w:r>
      <w:r>
        <w:rPr>
          <w:spacing w:val="-2"/>
        </w:rPr>
        <w:t> </w:t>
      </w:r>
      <w:r>
        <w:rPr/>
        <w:t>Commonwealth</w:t>
      </w:r>
      <w:r>
        <w:rPr>
          <w:spacing w:val="-3"/>
        </w:rPr>
        <w:t> </w:t>
      </w:r>
      <w:r>
        <w:rPr/>
        <w:t>30</w:t>
      </w:r>
      <w:r>
        <w:rPr>
          <w:spacing w:val="-3"/>
        </w:rPr>
        <w:t> </w:t>
      </w:r>
      <w:r>
        <w:rPr/>
        <w:t>days</w:t>
      </w:r>
      <w:r>
        <w:rPr>
          <w:spacing w:val="-1"/>
        </w:rPr>
        <w:t> </w:t>
      </w:r>
      <w:r>
        <w:rPr/>
        <w:t>in</w:t>
      </w:r>
      <w:r>
        <w:rPr>
          <w:spacing w:val="-3"/>
        </w:rPr>
        <w:t> </w:t>
      </w:r>
      <w:r>
        <w:rPr/>
        <w:t>advance</w:t>
      </w:r>
      <w:r>
        <w:rPr>
          <w:spacing w:val="-4"/>
        </w:rPr>
        <w:t> </w:t>
      </w:r>
      <w:r>
        <w:rPr/>
        <w:t>of</w:t>
      </w:r>
      <w:r>
        <w:rPr>
          <w:spacing w:val="-4"/>
        </w:rPr>
        <w:t> </w:t>
      </w:r>
      <w:r>
        <w:rPr/>
        <w:t>the</w:t>
      </w:r>
      <w:r>
        <w:rPr>
          <w:spacing w:val="-4"/>
        </w:rPr>
        <w:t> </w:t>
      </w:r>
      <w:r>
        <w:rPr/>
        <w:t>expected</w:t>
      </w:r>
      <w:r>
        <w:rPr>
          <w:spacing w:val="-3"/>
        </w:rPr>
        <w:t> </w:t>
      </w:r>
      <w:r>
        <w:rPr/>
        <w:t>approval</w:t>
      </w:r>
      <w:r>
        <w:rPr>
          <w:spacing w:val="-3"/>
        </w:rPr>
        <w:t> </w:t>
      </w:r>
      <w:r>
        <w:rPr/>
        <w:t>date of the amended STCs to allow the Commonwealth to provide comment. Changes will be considered in force upon issuance of the approval letter by CMS. The Commonwealth must accept the changes in writing.</w:t>
      </w:r>
    </w:p>
    <w:p>
      <w:pPr>
        <w:pStyle w:val="BodyText"/>
        <w:spacing w:before="10"/>
        <w:rPr>
          <w:sz w:val="20"/>
        </w:rPr>
      </w:pPr>
    </w:p>
    <w:p>
      <w:pPr>
        <w:pStyle w:val="Heading5"/>
        <w:ind w:left="2071"/>
      </w:pPr>
      <w:r>
        <w:rPr/>
        <w:drawing>
          <wp:anchor distT="0" distB="0" distL="0" distR="0" allowOverlap="1" layoutInCell="1" locked="0" behindDoc="0" simplePos="0" relativeHeight="15734784">
            <wp:simplePos x="0" y="0"/>
            <wp:positionH relativeFrom="page">
              <wp:posOffset>975359</wp:posOffset>
            </wp:positionH>
            <wp:positionV relativeFrom="paragraph">
              <wp:posOffset>35599</wp:posOffset>
            </wp:positionV>
            <wp:extent cx="217931" cy="112775"/>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28" cstate="print"/>
                    <a:stretch>
                      <a:fillRect/>
                    </a:stretch>
                  </pic:blipFill>
                  <pic:spPr>
                    <a:xfrm>
                      <a:off x="0" y="0"/>
                      <a:ext cx="217931" cy="112775"/>
                    </a:xfrm>
                    <a:prstGeom prst="rect">
                      <a:avLst/>
                    </a:prstGeom>
                  </pic:spPr>
                </pic:pic>
              </a:graphicData>
            </a:graphic>
          </wp:anchor>
        </w:drawing>
      </w:r>
      <w:bookmarkStart w:name="3.4. Impact on Demonstration of Changes " w:id="133"/>
      <w:bookmarkEnd w:id="133"/>
      <w:r>
        <w:rPr>
          <w:b w:val="0"/>
        </w:rPr>
      </w:r>
      <w:r>
        <w:rPr/>
        <w:t>Impact</w:t>
      </w:r>
      <w:r>
        <w:rPr>
          <w:spacing w:val="-6"/>
        </w:rPr>
        <w:t> </w:t>
      </w:r>
      <w:r>
        <w:rPr/>
        <w:t>on</w:t>
      </w:r>
      <w:r>
        <w:rPr>
          <w:spacing w:val="-3"/>
        </w:rPr>
        <w:t> </w:t>
      </w:r>
      <w:r>
        <w:rPr/>
        <w:t>Demonstration</w:t>
      </w:r>
      <w:r>
        <w:rPr>
          <w:spacing w:val="-3"/>
        </w:rPr>
        <w:t> </w:t>
      </w:r>
      <w:r>
        <w:rPr/>
        <w:t>of</w:t>
      </w:r>
      <w:r>
        <w:rPr>
          <w:spacing w:val="-2"/>
        </w:rPr>
        <w:t> </w:t>
      </w:r>
      <w:r>
        <w:rPr/>
        <w:t>Changes</w:t>
      </w:r>
      <w:r>
        <w:rPr>
          <w:spacing w:val="-3"/>
        </w:rPr>
        <w:t> </w:t>
      </w:r>
      <w:r>
        <w:rPr/>
        <w:t>in</w:t>
      </w:r>
      <w:r>
        <w:rPr>
          <w:spacing w:val="-2"/>
        </w:rPr>
        <w:t> </w:t>
      </w:r>
      <w:r>
        <w:rPr/>
        <w:t>Federal</w:t>
      </w:r>
      <w:r>
        <w:rPr>
          <w:spacing w:val="-3"/>
        </w:rPr>
        <w:t> </w:t>
      </w:r>
      <w:r>
        <w:rPr/>
        <w:t>Law,</w:t>
      </w:r>
      <w:r>
        <w:rPr>
          <w:spacing w:val="-3"/>
        </w:rPr>
        <w:t> </w:t>
      </w:r>
      <w:r>
        <w:rPr/>
        <w:t>Regulation,</w:t>
      </w:r>
      <w:r>
        <w:rPr>
          <w:spacing w:val="-3"/>
        </w:rPr>
        <w:t> </w:t>
      </w:r>
      <w:r>
        <w:rPr/>
        <w:t>and</w:t>
      </w:r>
      <w:r>
        <w:rPr>
          <w:spacing w:val="-4"/>
        </w:rPr>
        <w:t> </w:t>
      </w:r>
      <w:r>
        <w:rPr>
          <w:spacing w:val="-2"/>
        </w:rPr>
        <w:t>Policy.</w:t>
      </w:r>
    </w:p>
    <w:p>
      <w:pPr>
        <w:pStyle w:val="BodyText"/>
        <w:spacing w:before="10"/>
        <w:rPr>
          <w:b/>
          <w:sz w:val="20"/>
        </w:rPr>
      </w:pPr>
    </w:p>
    <w:p>
      <w:pPr>
        <w:pStyle w:val="BodyText"/>
        <w:ind w:left="2611" w:right="1251"/>
      </w:pPr>
      <w:r>
        <w:rPr/>
        <w:drawing>
          <wp:anchor distT="0" distB="0" distL="0" distR="0" allowOverlap="1" layoutInCell="1" locked="0" behindDoc="0" simplePos="0" relativeHeight="15735296">
            <wp:simplePos x="0" y="0"/>
            <wp:positionH relativeFrom="page">
              <wp:posOffset>1431036</wp:posOffset>
            </wp:positionH>
            <wp:positionV relativeFrom="paragraph">
              <wp:posOffset>67603</wp:posOffset>
            </wp:positionV>
            <wp:extent cx="96011" cy="80771"/>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29" cstate="print"/>
                    <a:stretch>
                      <a:fillRect/>
                    </a:stretch>
                  </pic:blipFill>
                  <pic:spPr>
                    <a:xfrm>
                      <a:off x="0" y="0"/>
                      <a:ext cx="96011" cy="80771"/>
                    </a:xfrm>
                    <a:prstGeom prst="rect">
                      <a:avLst/>
                    </a:prstGeom>
                  </pic:spPr>
                </pic:pic>
              </a:graphicData>
            </a:graphic>
          </wp:anchor>
        </w:drawing>
      </w:r>
      <w:bookmarkStart w:name="a. To the extent that a change in federa" w:id="134"/>
      <w:bookmarkEnd w:id="134"/>
      <w:r>
        <w:rPr/>
      </w:r>
      <w:r>
        <w:rPr/>
        <w:t>To the extent that a change in federal law, regulation, or policy requires either a reduction or an increase in federal financial participation (FFP) for expenditures made under this demonstration, the Commonwealth must adopt, subject to CMS approval, a modified budget neutrality agreement and/or a modified allotment neutrality</w:t>
      </w:r>
      <w:r>
        <w:rPr>
          <w:spacing w:val="-8"/>
        </w:rPr>
        <w:t> </w:t>
      </w:r>
      <w:r>
        <w:rPr/>
        <w:t>worksheet</w:t>
      </w:r>
      <w:r>
        <w:rPr>
          <w:spacing w:val="-1"/>
        </w:rPr>
        <w:t> </w:t>
      </w:r>
      <w:r>
        <w:rPr/>
        <w:t>for</w:t>
      </w:r>
      <w:r>
        <w:rPr>
          <w:spacing w:val="-4"/>
        </w:rPr>
        <w:t> </w:t>
      </w:r>
      <w:r>
        <w:rPr/>
        <w:t>the</w:t>
      </w:r>
      <w:r>
        <w:rPr>
          <w:spacing w:val="-4"/>
        </w:rPr>
        <w:t> </w:t>
      </w:r>
      <w:r>
        <w:rPr/>
        <w:t>demonstration</w:t>
      </w:r>
      <w:r>
        <w:rPr>
          <w:spacing w:val="-3"/>
        </w:rPr>
        <w:t> </w:t>
      </w:r>
      <w:r>
        <w:rPr/>
        <w:t>as</w:t>
      </w:r>
      <w:r>
        <w:rPr>
          <w:spacing w:val="-3"/>
        </w:rPr>
        <w:t> </w:t>
      </w:r>
      <w:r>
        <w:rPr/>
        <w:t>necessary</w:t>
      </w:r>
      <w:r>
        <w:rPr>
          <w:spacing w:val="-8"/>
        </w:rPr>
        <w:t> </w:t>
      </w:r>
      <w:r>
        <w:rPr/>
        <w:t>to</w:t>
      </w:r>
      <w:r>
        <w:rPr>
          <w:spacing w:val="-3"/>
        </w:rPr>
        <w:t> </w:t>
      </w:r>
      <w:r>
        <w:rPr/>
        <w:t>comply</w:t>
      </w:r>
      <w:r>
        <w:rPr>
          <w:spacing w:val="-6"/>
        </w:rPr>
        <w:t> </w:t>
      </w:r>
      <w:r>
        <w:rPr/>
        <w:t>with</w:t>
      </w:r>
      <w:r>
        <w:rPr>
          <w:spacing w:val="-3"/>
        </w:rPr>
        <w:t> </w:t>
      </w:r>
      <w:r>
        <w:rPr/>
        <w:t>such</w:t>
      </w:r>
      <w:r>
        <w:rPr>
          <w:spacing w:val="-3"/>
        </w:rPr>
        <w:t> </w:t>
      </w:r>
      <w:r>
        <w:rPr/>
        <w:t>change. The modified budget neutrality and/or modified allotment neutrality agreement will be effective upon the implementation of the change.</w:t>
      </w:r>
      <w:r>
        <w:rPr>
          <w:spacing w:val="40"/>
        </w:rPr>
        <w:t> </w:t>
      </w:r>
      <w:r>
        <w:rPr/>
        <w:t>The trend rates for the budget neutrality</w:t>
      </w:r>
      <w:r>
        <w:rPr>
          <w:spacing w:val="-1"/>
        </w:rPr>
        <w:t> </w:t>
      </w:r>
      <w:r>
        <w:rPr/>
        <w:t>agreement are not subject to change under this subparagraph.</w:t>
      </w:r>
      <w:r>
        <w:rPr>
          <w:spacing w:val="40"/>
        </w:rPr>
        <w:t> </w:t>
      </w:r>
      <w:r>
        <w:rPr/>
        <w:t>Further, the Commonwealth may seek an amendment to the demonstration (as per STC 3.7 of this section) as a result of the change in FFP.</w:t>
      </w:r>
    </w:p>
    <w:p>
      <w:pPr>
        <w:pStyle w:val="BodyText"/>
        <w:spacing w:before="10"/>
        <w:rPr>
          <w:sz w:val="20"/>
        </w:rPr>
      </w:pPr>
    </w:p>
    <w:p>
      <w:pPr>
        <w:pStyle w:val="BodyText"/>
        <w:ind w:left="2611" w:right="1239"/>
      </w:pPr>
      <w:r>
        <w:rPr/>
        <w:drawing>
          <wp:anchor distT="0" distB="0" distL="0" distR="0" allowOverlap="1" layoutInCell="1" locked="0" behindDoc="0" simplePos="0" relativeHeight="15735808">
            <wp:simplePos x="0" y="0"/>
            <wp:positionH relativeFrom="page">
              <wp:posOffset>1424939</wp:posOffset>
            </wp:positionH>
            <wp:positionV relativeFrom="paragraph">
              <wp:posOffset>32551</wp:posOffset>
            </wp:positionV>
            <wp:extent cx="111251" cy="115823"/>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30" cstate="print"/>
                    <a:stretch>
                      <a:fillRect/>
                    </a:stretch>
                  </pic:blipFill>
                  <pic:spPr>
                    <a:xfrm>
                      <a:off x="0" y="0"/>
                      <a:ext cx="111251" cy="115823"/>
                    </a:xfrm>
                    <a:prstGeom prst="rect">
                      <a:avLst/>
                    </a:prstGeom>
                  </pic:spPr>
                </pic:pic>
              </a:graphicData>
            </a:graphic>
          </wp:anchor>
        </w:drawing>
      </w:r>
      <w:bookmarkStart w:name="b. If mandated changes in the federal la" w:id="135"/>
      <w:bookmarkEnd w:id="135"/>
      <w:r>
        <w:rPr/>
      </w:r>
      <w:r>
        <w:rPr/>
        <w:t>If</w:t>
      </w:r>
      <w:r>
        <w:rPr>
          <w:spacing w:val="-3"/>
        </w:rPr>
        <w:t> </w:t>
      </w:r>
      <w:r>
        <w:rPr/>
        <w:t>mandated</w:t>
      </w:r>
      <w:r>
        <w:rPr>
          <w:spacing w:val="-2"/>
        </w:rPr>
        <w:t> </w:t>
      </w:r>
      <w:r>
        <w:rPr/>
        <w:t>changes</w:t>
      </w:r>
      <w:r>
        <w:rPr>
          <w:spacing w:val="-3"/>
        </w:rPr>
        <w:t> </w:t>
      </w:r>
      <w:r>
        <w:rPr/>
        <w:t>in</w:t>
      </w:r>
      <w:r>
        <w:rPr>
          <w:spacing w:val="-3"/>
        </w:rPr>
        <w:t> </w:t>
      </w:r>
      <w:r>
        <w:rPr/>
        <w:t>the</w:t>
      </w:r>
      <w:r>
        <w:rPr>
          <w:spacing w:val="-4"/>
        </w:rPr>
        <w:t> </w:t>
      </w:r>
      <w:r>
        <w:rPr/>
        <w:t>federal</w:t>
      </w:r>
      <w:r>
        <w:rPr>
          <w:spacing w:val="-3"/>
        </w:rPr>
        <w:t> </w:t>
      </w:r>
      <w:r>
        <w:rPr/>
        <w:t>law,</w:t>
      </w:r>
      <w:r>
        <w:rPr>
          <w:spacing w:val="-2"/>
        </w:rPr>
        <w:t> </w:t>
      </w:r>
      <w:r>
        <w:rPr/>
        <w:t>regulation,</w:t>
      </w:r>
      <w:r>
        <w:rPr>
          <w:spacing w:val="-3"/>
        </w:rPr>
        <w:t> </w:t>
      </w:r>
      <w:r>
        <w:rPr/>
        <w:t>or</w:t>
      </w:r>
      <w:r>
        <w:rPr>
          <w:spacing w:val="-4"/>
        </w:rPr>
        <w:t> </w:t>
      </w:r>
      <w:r>
        <w:rPr/>
        <w:t>policy</w:t>
      </w:r>
      <w:r>
        <w:rPr>
          <w:spacing w:val="-6"/>
        </w:rPr>
        <w:t> </w:t>
      </w:r>
      <w:r>
        <w:rPr/>
        <w:t>require</w:t>
      </w:r>
      <w:r>
        <w:rPr>
          <w:spacing w:val="-4"/>
        </w:rPr>
        <w:t> </w:t>
      </w:r>
      <w:r>
        <w:rPr/>
        <w:t>state</w:t>
      </w:r>
      <w:r>
        <w:rPr>
          <w:spacing w:val="-4"/>
        </w:rPr>
        <w:t> </w:t>
      </w:r>
      <w:r>
        <w:rPr/>
        <w:t>legislation, unless otherwise prescribed by the terms of the federal law, the changes must take effect on the</w:t>
      </w:r>
      <w:r>
        <w:rPr>
          <w:spacing w:val="-1"/>
        </w:rPr>
        <w:t> </w:t>
      </w:r>
      <w:r>
        <w:rPr/>
        <w:t>earlier</w:t>
      </w:r>
      <w:r>
        <w:rPr>
          <w:spacing w:val="-1"/>
        </w:rPr>
        <w:t> </w:t>
      </w:r>
      <w:r>
        <w:rPr/>
        <w:t>of</w:t>
      </w:r>
      <w:r>
        <w:rPr>
          <w:spacing w:val="-1"/>
        </w:rPr>
        <w:t> </w:t>
      </w:r>
      <w:r>
        <w:rPr/>
        <w:t>the</w:t>
      </w:r>
      <w:r>
        <w:rPr>
          <w:spacing w:val="-1"/>
        </w:rPr>
        <w:t> </w:t>
      </w:r>
      <w:r>
        <w:rPr/>
        <w:t>day</w:t>
      </w:r>
      <w:r>
        <w:rPr>
          <w:spacing w:val="-5"/>
        </w:rPr>
        <w:t> </w:t>
      </w:r>
      <w:r>
        <w:rPr/>
        <w:t>such</w:t>
      </w:r>
      <w:r>
        <w:rPr>
          <w:spacing w:val="-1"/>
        </w:rPr>
        <w:t> </w:t>
      </w:r>
      <w:r>
        <w:rPr/>
        <w:t>state</w:t>
      </w:r>
      <w:r>
        <w:rPr>
          <w:spacing w:val="-1"/>
        </w:rPr>
        <w:t> </w:t>
      </w:r>
      <w:r>
        <w:rPr/>
        <w:t>legislation becomes effective, or</w:t>
      </w:r>
      <w:r>
        <w:rPr>
          <w:spacing w:val="-1"/>
        </w:rPr>
        <w:t> </w:t>
      </w:r>
      <w:r>
        <w:rPr/>
        <w:t>on the</w:t>
      </w:r>
      <w:r>
        <w:rPr>
          <w:spacing w:val="-1"/>
        </w:rPr>
        <w:t> </w:t>
      </w:r>
      <w:r>
        <w:rPr/>
        <w:t>last day</w:t>
      </w:r>
      <w:r>
        <w:rPr>
          <w:spacing w:val="-1"/>
        </w:rPr>
        <w:t> </w:t>
      </w:r>
      <w:r>
        <w:rPr/>
        <w:t>such legislation was required to be in effect under the law, whichever is sooner.</w:t>
      </w:r>
    </w:p>
    <w:p>
      <w:pPr>
        <w:pStyle w:val="BodyText"/>
        <w:spacing w:before="10"/>
        <w:rPr>
          <w:sz w:val="20"/>
        </w:rPr>
      </w:pPr>
    </w:p>
    <w:p>
      <w:pPr>
        <w:pStyle w:val="BodyText"/>
        <w:ind w:left="2071" w:right="1239"/>
      </w:pPr>
      <w:r>
        <w:rPr/>
        <w:drawing>
          <wp:anchor distT="0" distB="0" distL="0" distR="0" allowOverlap="1" layoutInCell="1" locked="0" behindDoc="0" simplePos="0" relativeHeight="15736320">
            <wp:simplePos x="0" y="0"/>
            <wp:positionH relativeFrom="page">
              <wp:posOffset>975359</wp:posOffset>
            </wp:positionH>
            <wp:positionV relativeFrom="paragraph">
              <wp:posOffset>35599</wp:posOffset>
            </wp:positionV>
            <wp:extent cx="217931" cy="112775"/>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31" cstate="print"/>
                    <a:stretch>
                      <a:fillRect/>
                    </a:stretch>
                  </pic:blipFill>
                  <pic:spPr>
                    <a:xfrm>
                      <a:off x="0" y="0"/>
                      <a:ext cx="217931" cy="112775"/>
                    </a:xfrm>
                    <a:prstGeom prst="rect">
                      <a:avLst/>
                    </a:prstGeom>
                  </pic:spPr>
                </pic:pic>
              </a:graphicData>
            </a:graphic>
          </wp:anchor>
        </w:drawing>
      </w:r>
      <w:bookmarkStart w:name="3.5. State Plan Amendments. The state wi" w:id="136"/>
      <w:bookmarkEnd w:id="136"/>
      <w:r>
        <w:rPr/>
      </w:r>
      <w:r>
        <w:rPr>
          <w:b/>
        </w:rPr>
        <w:t>State</w:t>
      </w:r>
      <w:r>
        <w:rPr>
          <w:b/>
          <w:spacing w:val="-1"/>
        </w:rPr>
        <w:t> </w:t>
      </w:r>
      <w:r>
        <w:rPr>
          <w:b/>
        </w:rPr>
        <w:t>Plan</w:t>
      </w:r>
      <w:r>
        <w:rPr>
          <w:b/>
          <w:spacing w:val="-2"/>
        </w:rPr>
        <w:t> </w:t>
      </w:r>
      <w:r>
        <w:rPr>
          <w:b/>
        </w:rPr>
        <w:t>Amendments.</w:t>
      </w:r>
      <w:r>
        <w:rPr>
          <w:b/>
          <w:spacing w:val="-3"/>
        </w:rPr>
        <w:t> </w:t>
      </w:r>
      <w:r>
        <w:rPr/>
        <w:t>The</w:t>
      </w:r>
      <w:r>
        <w:rPr>
          <w:spacing w:val="-3"/>
        </w:rPr>
        <w:t> </w:t>
      </w:r>
      <w:r>
        <w:rPr/>
        <w:t>state</w:t>
      </w:r>
      <w:r>
        <w:rPr>
          <w:spacing w:val="-3"/>
        </w:rPr>
        <w:t> </w:t>
      </w:r>
      <w:r>
        <w:rPr/>
        <w:t>will</w:t>
      </w:r>
      <w:r>
        <w:rPr>
          <w:spacing w:val="-2"/>
        </w:rPr>
        <w:t> </w:t>
      </w:r>
      <w:r>
        <w:rPr/>
        <w:t>not</w:t>
      </w:r>
      <w:r>
        <w:rPr>
          <w:spacing w:val="-2"/>
        </w:rPr>
        <w:t> </w:t>
      </w:r>
      <w:r>
        <w:rPr/>
        <w:t>be</w:t>
      </w:r>
      <w:r>
        <w:rPr>
          <w:spacing w:val="-3"/>
        </w:rPr>
        <w:t> </w:t>
      </w:r>
      <w:r>
        <w:rPr/>
        <w:t>required</w:t>
      </w:r>
      <w:r>
        <w:rPr>
          <w:spacing w:val="-2"/>
        </w:rPr>
        <w:t> </w:t>
      </w:r>
      <w:r>
        <w:rPr/>
        <w:t>to</w:t>
      </w:r>
      <w:r>
        <w:rPr>
          <w:spacing w:val="-2"/>
        </w:rPr>
        <w:t> </w:t>
      </w:r>
      <w:r>
        <w:rPr/>
        <w:t>submit</w:t>
      </w:r>
      <w:r>
        <w:rPr>
          <w:spacing w:val="-2"/>
        </w:rPr>
        <w:t> </w:t>
      </w:r>
      <w:r>
        <w:rPr/>
        <w:t>title</w:t>
      </w:r>
      <w:r>
        <w:rPr>
          <w:spacing w:val="-3"/>
        </w:rPr>
        <w:t> </w:t>
      </w:r>
      <w:r>
        <w:rPr/>
        <w:t>XIX</w:t>
      </w:r>
      <w:r>
        <w:rPr>
          <w:spacing w:val="-3"/>
        </w:rPr>
        <w:t> </w:t>
      </w:r>
      <w:r>
        <w:rPr/>
        <w:t>or</w:t>
      </w:r>
      <w:r>
        <w:rPr>
          <w:spacing w:val="-3"/>
        </w:rPr>
        <w:t> </w:t>
      </w:r>
      <w:r>
        <w:rPr/>
        <w:t>XXI</w:t>
      </w:r>
      <w:r>
        <w:rPr>
          <w:spacing w:val="-6"/>
        </w:rPr>
        <w:t> </w:t>
      </w:r>
      <w:r>
        <w:rPr/>
        <w:t>state plan amendments (SPAs) for changes affecting any populations made eligible solely through the demonstration. If a population eligible through the Medicaid or CHIP state plan is affected by a change to the demonstration, a conforming amendment to the appropriate state plan is required, except as otherwise noted in these STCs. In all such cases, the Medicaid and CHIP state plans govern.</w:t>
      </w:r>
    </w:p>
    <w:p>
      <w:pPr>
        <w:pStyle w:val="BodyText"/>
        <w:spacing w:before="10"/>
        <w:rPr>
          <w:sz w:val="20"/>
        </w:rPr>
      </w:pPr>
    </w:p>
    <w:p>
      <w:pPr>
        <w:pStyle w:val="BodyText"/>
        <w:spacing w:before="1"/>
        <w:ind w:left="2071" w:right="1313"/>
      </w:pPr>
      <w:r>
        <w:rPr/>
        <w:drawing>
          <wp:anchor distT="0" distB="0" distL="0" distR="0" allowOverlap="1" layoutInCell="1" locked="0" behindDoc="0" simplePos="0" relativeHeight="15736832">
            <wp:simplePos x="0" y="0"/>
            <wp:positionH relativeFrom="page">
              <wp:posOffset>975360</wp:posOffset>
            </wp:positionH>
            <wp:positionV relativeFrom="paragraph">
              <wp:posOffset>36247</wp:posOffset>
            </wp:positionV>
            <wp:extent cx="217931" cy="112762"/>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32" cstate="print"/>
                    <a:stretch>
                      <a:fillRect/>
                    </a:stretch>
                  </pic:blipFill>
                  <pic:spPr>
                    <a:xfrm>
                      <a:off x="0" y="0"/>
                      <a:ext cx="217931" cy="112762"/>
                    </a:xfrm>
                    <a:prstGeom prst="rect">
                      <a:avLst/>
                    </a:prstGeom>
                  </pic:spPr>
                </pic:pic>
              </a:graphicData>
            </a:graphic>
          </wp:anchor>
        </w:drawing>
      </w:r>
      <w:bookmarkStart w:name="3.6. Changes Subject to the Amendment Pr" w:id="137"/>
      <w:bookmarkEnd w:id="137"/>
      <w:r>
        <w:rPr/>
      </w:r>
      <w:r>
        <w:rPr>
          <w:b/>
        </w:rPr>
        <w:t>Changes</w:t>
      </w:r>
      <w:r>
        <w:rPr>
          <w:b/>
          <w:spacing w:val="-4"/>
        </w:rPr>
        <w:t> </w:t>
      </w:r>
      <w:r>
        <w:rPr>
          <w:b/>
        </w:rPr>
        <w:t>Subject</w:t>
      </w:r>
      <w:r>
        <w:rPr>
          <w:b/>
          <w:spacing w:val="-5"/>
        </w:rPr>
        <w:t> </w:t>
      </w:r>
      <w:r>
        <w:rPr>
          <w:b/>
        </w:rPr>
        <w:t>to</w:t>
      </w:r>
      <w:r>
        <w:rPr>
          <w:b/>
          <w:spacing w:val="-4"/>
        </w:rPr>
        <w:t> </w:t>
      </w:r>
      <w:r>
        <w:rPr>
          <w:b/>
        </w:rPr>
        <w:t>the</w:t>
      </w:r>
      <w:r>
        <w:rPr>
          <w:b/>
          <w:spacing w:val="-3"/>
        </w:rPr>
        <w:t> </w:t>
      </w:r>
      <w:r>
        <w:rPr>
          <w:b/>
        </w:rPr>
        <w:t>Amendment</w:t>
      </w:r>
      <w:r>
        <w:rPr>
          <w:b/>
          <w:spacing w:val="-3"/>
        </w:rPr>
        <w:t> </w:t>
      </w:r>
      <w:r>
        <w:rPr>
          <w:b/>
        </w:rPr>
        <w:t>Process.</w:t>
      </w:r>
      <w:r>
        <w:rPr>
          <w:b/>
          <w:spacing w:val="-4"/>
        </w:rPr>
        <w:t> </w:t>
      </w:r>
      <w:r>
        <w:rPr/>
        <w:t>Changes</w:t>
      </w:r>
      <w:r>
        <w:rPr>
          <w:spacing w:val="-4"/>
        </w:rPr>
        <w:t> </w:t>
      </w:r>
      <w:r>
        <w:rPr/>
        <w:t>related</w:t>
      </w:r>
      <w:r>
        <w:rPr>
          <w:spacing w:val="-4"/>
        </w:rPr>
        <w:t> </w:t>
      </w:r>
      <w:r>
        <w:rPr/>
        <w:t>to</w:t>
      </w:r>
      <w:r>
        <w:rPr>
          <w:spacing w:val="-4"/>
        </w:rPr>
        <w:t> </w:t>
      </w:r>
      <w:r>
        <w:rPr/>
        <w:t>eligibility,</w:t>
      </w:r>
      <w:r>
        <w:rPr>
          <w:spacing w:val="-4"/>
        </w:rPr>
        <w:t> </w:t>
      </w:r>
      <w:r>
        <w:rPr/>
        <w:t>enrollment, benefits, beneficiary rights, delivery systems, cost sharing, evaluation design, sources of non-federal share of funding, budget neutrality, and other comparable program elements authorized through these STCs must be submitted to CMS as amendments to the demonstration.</w:t>
      </w:r>
      <w:r>
        <w:rPr>
          <w:spacing w:val="40"/>
        </w:rPr>
        <w:t> </w:t>
      </w:r>
      <w:r>
        <w:rPr/>
        <w:t>All amendment requests are subject to approval at the discretion of the Secretary in accordance with section 1115 of the Act.</w:t>
      </w:r>
      <w:r>
        <w:rPr>
          <w:spacing w:val="40"/>
        </w:rPr>
        <w:t> </w:t>
      </w:r>
      <w:r>
        <w:rPr/>
        <w:t>The Commonwealth must not implement or begin operational changes to these demonstration elements without prior approval.</w:t>
      </w:r>
      <w:r>
        <w:rPr>
          <w:spacing w:val="40"/>
        </w:rPr>
        <w:t> </w:t>
      </w:r>
      <w:r>
        <w:rPr/>
        <w:t>Amendments to the demonstration are not retroactive and no FFP of any kind, including for administrative or medical assistance expenditures, will be available for amendments to the demonstration that have not been approved through the amendment process set forth in STC 3.7 below, except as provided in STC 3.3 or as otherwise specified in the STCs.</w:t>
      </w:r>
    </w:p>
    <w:p>
      <w:pPr>
        <w:spacing w:after="0"/>
        <w:sectPr>
          <w:pgSz w:w="12240" w:h="15840"/>
          <w:pgMar w:header="0" w:footer="1201" w:top="1360" w:bottom="1400" w:left="0" w:right="220"/>
        </w:sectPr>
      </w:pPr>
    </w:p>
    <w:p>
      <w:pPr>
        <w:pStyle w:val="BodyText"/>
        <w:spacing w:before="79"/>
        <w:ind w:left="2071" w:right="1231"/>
      </w:pPr>
      <w:r>
        <w:rPr/>
        <w:drawing>
          <wp:anchor distT="0" distB="0" distL="0" distR="0" allowOverlap="1" layoutInCell="1" locked="0" behindDoc="0" simplePos="0" relativeHeight="15737344">
            <wp:simplePos x="0" y="0"/>
            <wp:positionH relativeFrom="page">
              <wp:posOffset>975360</wp:posOffset>
            </wp:positionH>
            <wp:positionV relativeFrom="paragraph">
              <wp:posOffset>85777</wp:posOffset>
            </wp:positionV>
            <wp:extent cx="217931" cy="112763"/>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33" cstate="print"/>
                    <a:stretch>
                      <a:fillRect/>
                    </a:stretch>
                  </pic:blipFill>
                  <pic:spPr>
                    <a:xfrm>
                      <a:off x="0" y="0"/>
                      <a:ext cx="217931" cy="112763"/>
                    </a:xfrm>
                    <a:prstGeom prst="rect">
                      <a:avLst/>
                    </a:prstGeom>
                  </pic:spPr>
                </pic:pic>
              </a:graphicData>
            </a:graphic>
          </wp:anchor>
        </w:drawing>
      </w:r>
      <w:bookmarkStart w:name="3.7. Amendment Process.  Requests to ame" w:id="138"/>
      <w:bookmarkEnd w:id="138"/>
      <w:r>
        <w:rPr/>
      </w:r>
      <w:r>
        <w:rPr>
          <w:b/>
        </w:rPr>
        <w:t>Amendment Process.</w:t>
      </w:r>
      <w:r>
        <w:rPr>
          <w:b/>
          <w:spacing w:val="40"/>
        </w:rPr>
        <w:t> </w:t>
      </w:r>
      <w:r>
        <w:rPr/>
        <w:t>Requests to amend the demonstration must be submitted to CMS for</w:t>
      </w:r>
      <w:r>
        <w:rPr>
          <w:spacing w:val="-4"/>
        </w:rPr>
        <w:t> </w:t>
      </w:r>
      <w:r>
        <w:rPr/>
        <w:t>approval</w:t>
      </w:r>
      <w:r>
        <w:rPr>
          <w:spacing w:val="-3"/>
        </w:rPr>
        <w:t> </w:t>
      </w:r>
      <w:r>
        <w:rPr/>
        <w:t>no</w:t>
      </w:r>
      <w:r>
        <w:rPr>
          <w:spacing w:val="-3"/>
        </w:rPr>
        <w:t> </w:t>
      </w:r>
      <w:r>
        <w:rPr/>
        <w:t>later</w:t>
      </w:r>
      <w:r>
        <w:rPr>
          <w:spacing w:val="-4"/>
        </w:rPr>
        <w:t> </w:t>
      </w:r>
      <w:r>
        <w:rPr/>
        <w:t>than</w:t>
      </w:r>
      <w:r>
        <w:rPr>
          <w:spacing w:val="-1"/>
        </w:rPr>
        <w:t> </w:t>
      </w:r>
      <w:r>
        <w:rPr/>
        <w:t>120</w:t>
      </w:r>
      <w:r>
        <w:rPr>
          <w:spacing w:val="-3"/>
        </w:rPr>
        <w:t> </w:t>
      </w:r>
      <w:r>
        <w:rPr/>
        <w:t>calendar</w:t>
      </w:r>
      <w:r>
        <w:rPr>
          <w:spacing w:val="-4"/>
        </w:rPr>
        <w:t> </w:t>
      </w:r>
      <w:r>
        <w:rPr/>
        <w:t>days</w:t>
      </w:r>
      <w:r>
        <w:rPr>
          <w:spacing w:val="-3"/>
        </w:rPr>
        <w:t> </w:t>
      </w:r>
      <w:r>
        <w:rPr/>
        <w:t>prior</w:t>
      </w:r>
      <w:r>
        <w:rPr>
          <w:spacing w:val="-4"/>
        </w:rPr>
        <w:t> </w:t>
      </w:r>
      <w:r>
        <w:rPr/>
        <w:t>to</w:t>
      </w:r>
      <w:r>
        <w:rPr>
          <w:spacing w:val="-3"/>
        </w:rPr>
        <w:t> </w:t>
      </w:r>
      <w:r>
        <w:rPr/>
        <w:t>the</w:t>
      </w:r>
      <w:r>
        <w:rPr>
          <w:spacing w:val="-4"/>
        </w:rPr>
        <w:t> </w:t>
      </w:r>
      <w:r>
        <w:rPr/>
        <w:t>planned</w:t>
      </w:r>
      <w:r>
        <w:rPr>
          <w:spacing w:val="-3"/>
        </w:rPr>
        <w:t> </w:t>
      </w:r>
      <w:r>
        <w:rPr/>
        <w:t>date</w:t>
      </w:r>
      <w:r>
        <w:rPr>
          <w:spacing w:val="-4"/>
        </w:rPr>
        <w:t> </w:t>
      </w:r>
      <w:r>
        <w:rPr/>
        <w:t>of</w:t>
      </w:r>
      <w:r>
        <w:rPr>
          <w:spacing w:val="-4"/>
        </w:rPr>
        <w:t> </w:t>
      </w:r>
      <w:r>
        <w:rPr/>
        <w:t>implementation</w:t>
      </w:r>
      <w:r>
        <w:rPr>
          <w:spacing w:val="-3"/>
        </w:rPr>
        <w:t> </w:t>
      </w:r>
      <w:r>
        <w:rPr/>
        <w:t>of the change and may not be implemented until approved.</w:t>
      </w:r>
      <w:r>
        <w:rPr>
          <w:spacing w:val="79"/>
        </w:rPr>
        <w:t> </w:t>
      </w:r>
      <w:r>
        <w:rPr/>
        <w:t>CMS reserves the right to deny or delay approval of a demonstration amendment based on non-compliance with these STCs, including but not limited to the failure by the Commonwealth to submit required elements of a complete amendment request as described in this STC, and failure by the Commonwealth to submit required reports and other deliverables according to the deadlines specified therein.</w:t>
      </w:r>
      <w:r>
        <w:rPr>
          <w:spacing w:val="40"/>
        </w:rPr>
        <w:t> </w:t>
      </w:r>
      <w:r>
        <w:rPr/>
        <w:t>Amendment requests must include, but are not limited to, the </w:t>
      </w:r>
      <w:r>
        <w:rPr>
          <w:spacing w:val="-2"/>
        </w:rPr>
        <w:t>following:</w:t>
      </w:r>
    </w:p>
    <w:p>
      <w:pPr>
        <w:pStyle w:val="BodyText"/>
        <w:spacing w:before="10"/>
        <w:rPr>
          <w:sz w:val="20"/>
        </w:rPr>
      </w:pPr>
    </w:p>
    <w:p>
      <w:pPr>
        <w:pStyle w:val="BodyText"/>
        <w:ind w:left="2611" w:right="1264"/>
      </w:pPr>
      <w:r>
        <w:rPr/>
        <w:drawing>
          <wp:anchor distT="0" distB="0" distL="0" distR="0" allowOverlap="1" layoutInCell="1" locked="0" behindDoc="0" simplePos="0" relativeHeight="15737856">
            <wp:simplePos x="0" y="0"/>
            <wp:positionH relativeFrom="page">
              <wp:posOffset>1431036</wp:posOffset>
            </wp:positionH>
            <wp:positionV relativeFrom="paragraph">
              <wp:posOffset>67603</wp:posOffset>
            </wp:positionV>
            <wp:extent cx="96011" cy="80771"/>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29" cstate="print"/>
                    <a:stretch>
                      <a:fillRect/>
                    </a:stretch>
                  </pic:blipFill>
                  <pic:spPr>
                    <a:xfrm>
                      <a:off x="0" y="0"/>
                      <a:ext cx="96011" cy="80771"/>
                    </a:xfrm>
                    <a:prstGeom prst="rect">
                      <a:avLst/>
                    </a:prstGeom>
                  </pic:spPr>
                </pic:pic>
              </a:graphicData>
            </a:graphic>
          </wp:anchor>
        </w:drawing>
      </w:r>
      <w:bookmarkStart w:name="a. An explanation of the public notice p" w:id="139"/>
      <w:bookmarkEnd w:id="139"/>
      <w:r>
        <w:rPr/>
      </w:r>
      <w:r>
        <w:rPr/>
        <w:t>An explanation of the public notice process used by</w:t>
      </w:r>
      <w:r>
        <w:rPr>
          <w:spacing w:val="-3"/>
        </w:rPr>
        <w:t> </w:t>
      </w:r>
      <w:r>
        <w:rPr/>
        <w:t>the Commonwealth, consistent with the requirements of STC 3.13.</w:t>
      </w:r>
      <w:r>
        <w:rPr>
          <w:spacing w:val="40"/>
        </w:rPr>
        <w:t> </w:t>
      </w:r>
      <w:r>
        <w:rPr/>
        <w:t>Such explanation must include a summary of any</w:t>
      </w:r>
      <w:r>
        <w:rPr>
          <w:spacing w:val="-9"/>
        </w:rPr>
        <w:t> </w:t>
      </w:r>
      <w:r>
        <w:rPr/>
        <w:t>public</w:t>
      </w:r>
      <w:r>
        <w:rPr>
          <w:spacing w:val="-3"/>
        </w:rPr>
        <w:t> </w:t>
      </w:r>
      <w:r>
        <w:rPr/>
        <w:t>feedback</w:t>
      </w:r>
      <w:r>
        <w:rPr>
          <w:spacing w:val="-2"/>
        </w:rPr>
        <w:t> </w:t>
      </w:r>
      <w:r>
        <w:rPr/>
        <w:t>received</w:t>
      </w:r>
      <w:r>
        <w:rPr>
          <w:spacing w:val="-4"/>
        </w:rPr>
        <w:t> </w:t>
      </w:r>
      <w:r>
        <w:rPr/>
        <w:t>and</w:t>
      </w:r>
      <w:r>
        <w:rPr>
          <w:spacing w:val="-4"/>
        </w:rPr>
        <w:t> </w:t>
      </w:r>
      <w:r>
        <w:rPr/>
        <w:t>identification</w:t>
      </w:r>
      <w:r>
        <w:rPr>
          <w:spacing w:val="-4"/>
        </w:rPr>
        <w:t> </w:t>
      </w:r>
      <w:r>
        <w:rPr/>
        <w:t>of</w:t>
      </w:r>
      <w:r>
        <w:rPr>
          <w:spacing w:val="-3"/>
        </w:rPr>
        <w:t> </w:t>
      </w:r>
      <w:r>
        <w:rPr/>
        <w:t>how</w:t>
      </w:r>
      <w:r>
        <w:rPr>
          <w:spacing w:val="-5"/>
        </w:rPr>
        <w:t> </w:t>
      </w:r>
      <w:r>
        <w:rPr/>
        <w:t>this</w:t>
      </w:r>
      <w:r>
        <w:rPr>
          <w:spacing w:val="-4"/>
        </w:rPr>
        <w:t> </w:t>
      </w:r>
      <w:r>
        <w:rPr/>
        <w:t>feedback</w:t>
      </w:r>
      <w:r>
        <w:rPr>
          <w:spacing w:val="-4"/>
        </w:rPr>
        <w:t> </w:t>
      </w:r>
      <w:r>
        <w:rPr/>
        <w:t>was</w:t>
      </w:r>
      <w:r>
        <w:rPr>
          <w:spacing w:val="-2"/>
        </w:rPr>
        <w:t> </w:t>
      </w:r>
      <w:r>
        <w:rPr/>
        <w:t>addressed by the Commonwealth in the final amendment request submitted to CMS;</w:t>
      </w:r>
    </w:p>
    <w:p>
      <w:pPr>
        <w:pStyle w:val="BodyText"/>
        <w:spacing w:before="10"/>
        <w:rPr>
          <w:sz w:val="20"/>
        </w:rPr>
      </w:pPr>
    </w:p>
    <w:p>
      <w:pPr>
        <w:pStyle w:val="BodyText"/>
        <w:ind w:left="2611" w:right="1239"/>
      </w:pPr>
      <w:r>
        <w:rPr/>
        <w:drawing>
          <wp:anchor distT="0" distB="0" distL="0" distR="0" allowOverlap="1" layoutInCell="1" locked="0" behindDoc="0" simplePos="0" relativeHeight="15738368">
            <wp:simplePos x="0" y="0"/>
            <wp:positionH relativeFrom="page">
              <wp:posOffset>1424939</wp:posOffset>
            </wp:positionH>
            <wp:positionV relativeFrom="paragraph">
              <wp:posOffset>32551</wp:posOffset>
            </wp:positionV>
            <wp:extent cx="111251" cy="115823"/>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34" cstate="print"/>
                    <a:stretch>
                      <a:fillRect/>
                    </a:stretch>
                  </pic:blipFill>
                  <pic:spPr>
                    <a:xfrm>
                      <a:off x="0" y="0"/>
                      <a:ext cx="111251" cy="115823"/>
                    </a:xfrm>
                    <a:prstGeom prst="rect">
                      <a:avLst/>
                    </a:prstGeom>
                  </pic:spPr>
                </pic:pic>
              </a:graphicData>
            </a:graphic>
          </wp:anchor>
        </w:drawing>
      </w:r>
      <w:bookmarkStart w:name="b. A detailed description of the amendme" w:id="140"/>
      <w:bookmarkEnd w:id="140"/>
      <w:r>
        <w:rPr/>
      </w:r>
      <w:r>
        <w:rPr/>
        <w:t>A</w:t>
      </w:r>
      <w:r>
        <w:rPr>
          <w:spacing w:val="-5"/>
        </w:rPr>
        <w:t> </w:t>
      </w:r>
      <w:r>
        <w:rPr/>
        <w:t>detailed</w:t>
      </w:r>
      <w:r>
        <w:rPr>
          <w:spacing w:val="-4"/>
        </w:rPr>
        <w:t> </w:t>
      </w:r>
      <w:r>
        <w:rPr/>
        <w:t>description</w:t>
      </w:r>
      <w:r>
        <w:rPr>
          <w:spacing w:val="-4"/>
        </w:rPr>
        <w:t> </w:t>
      </w:r>
      <w:r>
        <w:rPr/>
        <w:t>of</w:t>
      </w:r>
      <w:r>
        <w:rPr>
          <w:spacing w:val="-5"/>
        </w:rPr>
        <w:t> </w:t>
      </w:r>
      <w:r>
        <w:rPr/>
        <w:t>the</w:t>
      </w:r>
      <w:r>
        <w:rPr>
          <w:spacing w:val="-5"/>
        </w:rPr>
        <w:t> </w:t>
      </w:r>
      <w:r>
        <w:rPr/>
        <w:t>amendment,</w:t>
      </w:r>
      <w:r>
        <w:rPr>
          <w:spacing w:val="-4"/>
        </w:rPr>
        <w:t> </w:t>
      </w:r>
      <w:r>
        <w:rPr/>
        <w:t>including</w:t>
      </w:r>
      <w:r>
        <w:rPr>
          <w:spacing w:val="-7"/>
        </w:rPr>
        <w:t> </w:t>
      </w:r>
      <w:r>
        <w:rPr/>
        <w:t>impact</w:t>
      </w:r>
      <w:r>
        <w:rPr>
          <w:spacing w:val="-4"/>
        </w:rPr>
        <w:t> </w:t>
      </w:r>
      <w:r>
        <w:rPr/>
        <w:t>on</w:t>
      </w:r>
      <w:r>
        <w:rPr>
          <w:spacing w:val="-4"/>
        </w:rPr>
        <w:t> </w:t>
      </w:r>
      <w:r>
        <w:rPr/>
        <w:t>beneficiaries,</w:t>
      </w:r>
      <w:r>
        <w:rPr>
          <w:spacing w:val="-4"/>
        </w:rPr>
        <w:t> </w:t>
      </w:r>
      <w:r>
        <w:rPr/>
        <w:t>with sufficient supporting documentation;</w:t>
      </w:r>
    </w:p>
    <w:p>
      <w:pPr>
        <w:pStyle w:val="BodyText"/>
        <w:spacing w:before="10"/>
        <w:rPr>
          <w:sz w:val="20"/>
        </w:rPr>
      </w:pPr>
    </w:p>
    <w:p>
      <w:pPr>
        <w:pStyle w:val="BodyText"/>
        <w:ind w:left="2611" w:right="1251"/>
      </w:pPr>
      <w:r>
        <w:rPr/>
        <w:drawing>
          <wp:anchor distT="0" distB="0" distL="0" distR="0" allowOverlap="1" layoutInCell="1" locked="0" behindDoc="0" simplePos="0" relativeHeight="15738880">
            <wp:simplePos x="0" y="0"/>
            <wp:positionH relativeFrom="page">
              <wp:posOffset>1431036</wp:posOffset>
            </wp:positionH>
            <wp:positionV relativeFrom="paragraph">
              <wp:posOffset>67616</wp:posOffset>
            </wp:positionV>
            <wp:extent cx="96011" cy="80759"/>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35" cstate="print"/>
                    <a:stretch>
                      <a:fillRect/>
                    </a:stretch>
                  </pic:blipFill>
                  <pic:spPr>
                    <a:xfrm>
                      <a:off x="0" y="0"/>
                      <a:ext cx="96011" cy="80759"/>
                    </a:xfrm>
                    <a:prstGeom prst="rect">
                      <a:avLst/>
                    </a:prstGeom>
                  </pic:spPr>
                </pic:pic>
              </a:graphicData>
            </a:graphic>
          </wp:anchor>
        </w:drawing>
      </w:r>
      <w:bookmarkStart w:name="c. A data analysis which identifies the " w:id="141"/>
      <w:bookmarkEnd w:id="141"/>
      <w:r>
        <w:rPr/>
      </w:r>
      <w:r>
        <w:rPr/>
        <w:t>A data analysis which identifies the specific “with waiver” impact of the proposed amendment on the current budget neutrality agreement.</w:t>
      </w:r>
      <w:r>
        <w:rPr>
          <w:spacing w:val="40"/>
        </w:rPr>
        <w:t> </w:t>
      </w:r>
      <w:r>
        <w:rPr/>
        <w:t>Such analysis must include current total computable “with waiver” and “without waiver” status on both a summary and detailed level through the current approval period using the most recent</w:t>
      </w:r>
      <w:r>
        <w:rPr>
          <w:spacing w:val="-2"/>
        </w:rPr>
        <w:t> </w:t>
      </w:r>
      <w:r>
        <w:rPr/>
        <w:t>actual</w:t>
      </w:r>
      <w:r>
        <w:rPr>
          <w:spacing w:val="-4"/>
        </w:rPr>
        <w:t> </w:t>
      </w:r>
      <w:r>
        <w:rPr/>
        <w:t>expenditures,</w:t>
      </w:r>
      <w:r>
        <w:rPr>
          <w:spacing w:val="-4"/>
        </w:rPr>
        <w:t> </w:t>
      </w:r>
      <w:r>
        <w:rPr/>
        <w:t>as</w:t>
      </w:r>
      <w:r>
        <w:rPr>
          <w:spacing w:val="-4"/>
        </w:rPr>
        <w:t> </w:t>
      </w:r>
      <w:r>
        <w:rPr/>
        <w:t>well</w:t>
      </w:r>
      <w:r>
        <w:rPr>
          <w:spacing w:val="-4"/>
        </w:rPr>
        <w:t> </w:t>
      </w:r>
      <w:r>
        <w:rPr/>
        <w:t>as</w:t>
      </w:r>
      <w:r>
        <w:rPr>
          <w:spacing w:val="-4"/>
        </w:rPr>
        <w:t> </w:t>
      </w:r>
      <w:r>
        <w:rPr/>
        <w:t>summaryand</w:t>
      </w:r>
      <w:r>
        <w:rPr>
          <w:spacing w:val="-2"/>
        </w:rPr>
        <w:t> </w:t>
      </w:r>
      <w:r>
        <w:rPr/>
        <w:t>detailed</w:t>
      </w:r>
      <w:r>
        <w:rPr>
          <w:spacing w:val="-4"/>
        </w:rPr>
        <w:t> </w:t>
      </w:r>
      <w:r>
        <w:rPr/>
        <w:t>projections</w:t>
      </w:r>
      <w:r>
        <w:rPr>
          <w:spacing w:val="-4"/>
        </w:rPr>
        <w:t> </w:t>
      </w:r>
      <w:r>
        <w:rPr/>
        <w:t>of</w:t>
      </w:r>
      <w:r>
        <w:rPr>
          <w:spacing w:val="-5"/>
        </w:rPr>
        <w:t> </w:t>
      </w:r>
      <w:r>
        <w:rPr/>
        <w:t>the</w:t>
      </w:r>
      <w:r>
        <w:rPr>
          <w:spacing w:val="-5"/>
        </w:rPr>
        <w:t> </w:t>
      </w:r>
      <w:r>
        <w:rPr/>
        <w:t>change in the “with waiver” expenditure total as a result of the proposed amendment, which isolates (by Eligibility Group) the impact of the amendment;</w:t>
      </w:r>
    </w:p>
    <w:p>
      <w:pPr>
        <w:pStyle w:val="BodyText"/>
        <w:spacing w:before="10"/>
        <w:rPr>
          <w:sz w:val="20"/>
        </w:rPr>
      </w:pPr>
    </w:p>
    <w:p>
      <w:pPr>
        <w:pStyle w:val="BodyText"/>
        <w:ind w:left="2611"/>
      </w:pPr>
      <w:r>
        <w:rPr/>
        <w:drawing>
          <wp:anchor distT="0" distB="0" distL="0" distR="0" allowOverlap="1" layoutInCell="1" locked="0" behindDoc="0" simplePos="0" relativeHeight="15739392">
            <wp:simplePos x="0" y="0"/>
            <wp:positionH relativeFrom="page">
              <wp:posOffset>1431036</wp:posOffset>
            </wp:positionH>
            <wp:positionV relativeFrom="paragraph">
              <wp:posOffset>32551</wp:posOffset>
            </wp:positionV>
            <wp:extent cx="105155" cy="115823"/>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36" cstate="print"/>
                    <a:stretch>
                      <a:fillRect/>
                    </a:stretch>
                  </pic:blipFill>
                  <pic:spPr>
                    <a:xfrm>
                      <a:off x="0" y="0"/>
                      <a:ext cx="105155" cy="115823"/>
                    </a:xfrm>
                    <a:prstGeom prst="rect">
                      <a:avLst/>
                    </a:prstGeom>
                  </pic:spPr>
                </pic:pic>
              </a:graphicData>
            </a:graphic>
          </wp:anchor>
        </w:drawing>
      </w:r>
      <w:bookmarkStart w:name="d. An up-to-date CHIP allotment workshee" w:id="142"/>
      <w:bookmarkEnd w:id="142"/>
      <w:r>
        <w:rPr/>
      </w:r>
      <w:r>
        <w:rPr/>
        <w:t>An</w:t>
      </w:r>
      <w:r>
        <w:rPr>
          <w:spacing w:val="-3"/>
        </w:rPr>
        <w:t> </w:t>
      </w:r>
      <w:r>
        <w:rPr/>
        <w:t>up-to-date</w:t>
      </w:r>
      <w:r>
        <w:rPr>
          <w:spacing w:val="-3"/>
        </w:rPr>
        <w:t> </w:t>
      </w:r>
      <w:r>
        <w:rPr/>
        <w:t>CHIP</w:t>
      </w:r>
      <w:r>
        <w:rPr>
          <w:spacing w:val="-2"/>
        </w:rPr>
        <w:t> </w:t>
      </w:r>
      <w:r>
        <w:rPr/>
        <w:t>allotment</w:t>
      </w:r>
      <w:r>
        <w:rPr>
          <w:spacing w:val="-2"/>
        </w:rPr>
        <w:t> </w:t>
      </w:r>
      <w:r>
        <w:rPr/>
        <w:t>worksheet,</w:t>
      </w:r>
      <w:r>
        <w:rPr>
          <w:spacing w:val="-2"/>
        </w:rPr>
        <w:t> </w:t>
      </w:r>
      <w:r>
        <w:rPr/>
        <w:t>if</w:t>
      </w:r>
      <w:r>
        <w:rPr>
          <w:spacing w:val="-3"/>
        </w:rPr>
        <w:t> </w:t>
      </w:r>
      <w:r>
        <w:rPr>
          <w:spacing w:val="-2"/>
        </w:rPr>
        <w:t>necessary;</w:t>
      </w:r>
    </w:p>
    <w:p>
      <w:pPr>
        <w:pStyle w:val="BodyText"/>
        <w:spacing w:before="10"/>
        <w:rPr>
          <w:sz w:val="20"/>
        </w:rPr>
      </w:pPr>
    </w:p>
    <w:p>
      <w:pPr>
        <w:pStyle w:val="BodyText"/>
        <w:ind w:left="2611" w:right="1239"/>
      </w:pPr>
      <w:r>
        <w:rPr/>
        <w:drawing>
          <wp:anchor distT="0" distB="0" distL="0" distR="0" allowOverlap="1" layoutInCell="1" locked="0" behindDoc="0" simplePos="0" relativeHeight="15739904">
            <wp:simplePos x="0" y="0"/>
            <wp:positionH relativeFrom="page">
              <wp:posOffset>1431036</wp:posOffset>
            </wp:positionH>
            <wp:positionV relativeFrom="paragraph">
              <wp:posOffset>67603</wp:posOffset>
            </wp:positionV>
            <wp:extent cx="96011" cy="80771"/>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37" cstate="print"/>
                    <a:stretch>
                      <a:fillRect/>
                    </a:stretch>
                  </pic:blipFill>
                  <pic:spPr>
                    <a:xfrm>
                      <a:off x="0" y="0"/>
                      <a:ext cx="96011" cy="80771"/>
                    </a:xfrm>
                    <a:prstGeom prst="rect">
                      <a:avLst/>
                    </a:prstGeom>
                  </pic:spPr>
                </pic:pic>
              </a:graphicData>
            </a:graphic>
          </wp:anchor>
        </w:drawing>
      </w:r>
      <w:bookmarkStart w:name="e. The Commonwealth must provide updates" w:id="143"/>
      <w:bookmarkEnd w:id="143"/>
      <w:r>
        <w:rPr/>
      </w:r>
      <w:r>
        <w:rPr/>
        <w:t>The Commonwealth must provide updates to existing demonstration reporting and quality and evaluation plans.</w:t>
      </w:r>
      <w:r>
        <w:rPr>
          <w:spacing w:val="40"/>
        </w:rPr>
        <w:t> </w:t>
      </w:r>
      <w:r>
        <w:rPr/>
        <w:t>This includes a description of how the evaluation design and annual progress reports will be modified to incorporate the amendment provisions,</w:t>
      </w:r>
      <w:r>
        <w:rPr>
          <w:spacing w:val="-3"/>
        </w:rPr>
        <w:t> </w:t>
      </w:r>
      <w:r>
        <w:rPr/>
        <w:t>as</w:t>
      </w:r>
      <w:r>
        <w:rPr>
          <w:spacing w:val="-3"/>
        </w:rPr>
        <w:t> </w:t>
      </w:r>
      <w:r>
        <w:rPr/>
        <w:t>well</w:t>
      </w:r>
      <w:r>
        <w:rPr>
          <w:spacing w:val="-3"/>
        </w:rPr>
        <w:t> </w:t>
      </w:r>
      <w:r>
        <w:rPr/>
        <w:t>as</w:t>
      </w:r>
      <w:r>
        <w:rPr>
          <w:spacing w:val="-3"/>
        </w:rPr>
        <w:t> </w:t>
      </w:r>
      <w:r>
        <w:rPr/>
        <w:t>the</w:t>
      </w:r>
      <w:r>
        <w:rPr>
          <w:spacing w:val="-2"/>
        </w:rPr>
        <w:t> </w:t>
      </w:r>
      <w:r>
        <w:rPr/>
        <w:t>oversight,</w:t>
      </w:r>
      <w:r>
        <w:rPr>
          <w:spacing w:val="-3"/>
        </w:rPr>
        <w:t> </w:t>
      </w:r>
      <w:r>
        <w:rPr/>
        <w:t>monitoring</w:t>
      </w:r>
      <w:r>
        <w:rPr>
          <w:spacing w:val="-6"/>
        </w:rPr>
        <w:t> </w:t>
      </w:r>
      <w:r>
        <w:rPr/>
        <w:t>and</w:t>
      </w:r>
      <w:r>
        <w:rPr>
          <w:spacing w:val="-3"/>
        </w:rPr>
        <w:t> </w:t>
      </w:r>
      <w:r>
        <w:rPr/>
        <w:t>measurement</w:t>
      </w:r>
      <w:r>
        <w:rPr>
          <w:spacing w:val="-3"/>
        </w:rPr>
        <w:t> </w:t>
      </w:r>
      <w:r>
        <w:rPr/>
        <w:t>of</w:t>
      </w:r>
      <w:r>
        <w:rPr>
          <w:spacing w:val="-4"/>
        </w:rPr>
        <w:t> </w:t>
      </w:r>
      <w:r>
        <w:rPr/>
        <w:t>the</w:t>
      </w:r>
      <w:r>
        <w:rPr>
          <w:spacing w:val="-4"/>
        </w:rPr>
        <w:t> </w:t>
      </w:r>
      <w:r>
        <w:rPr/>
        <w:t>provisions.</w:t>
      </w:r>
    </w:p>
    <w:p>
      <w:pPr>
        <w:pStyle w:val="BodyText"/>
        <w:spacing w:before="10"/>
        <w:rPr>
          <w:sz w:val="20"/>
        </w:rPr>
      </w:pPr>
    </w:p>
    <w:p>
      <w:pPr>
        <w:pStyle w:val="BodyText"/>
        <w:spacing w:before="1"/>
        <w:ind w:left="2071" w:right="1239"/>
      </w:pPr>
      <w:r>
        <w:rPr/>
        <w:drawing>
          <wp:anchor distT="0" distB="0" distL="0" distR="0" allowOverlap="1" layoutInCell="1" locked="0" behindDoc="0" simplePos="0" relativeHeight="15740416">
            <wp:simplePos x="0" y="0"/>
            <wp:positionH relativeFrom="page">
              <wp:posOffset>975360</wp:posOffset>
            </wp:positionH>
            <wp:positionV relativeFrom="paragraph">
              <wp:posOffset>36247</wp:posOffset>
            </wp:positionV>
            <wp:extent cx="217931" cy="112763"/>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38" cstate="print"/>
                    <a:stretch>
                      <a:fillRect/>
                    </a:stretch>
                  </pic:blipFill>
                  <pic:spPr>
                    <a:xfrm>
                      <a:off x="0" y="0"/>
                      <a:ext cx="217931" cy="112763"/>
                    </a:xfrm>
                    <a:prstGeom prst="rect">
                      <a:avLst/>
                    </a:prstGeom>
                  </pic:spPr>
                </pic:pic>
              </a:graphicData>
            </a:graphic>
          </wp:anchor>
        </w:drawing>
      </w:r>
      <w:bookmarkStart w:name="3.8. Extension of the Demonstration.  St" w:id="144"/>
      <w:bookmarkEnd w:id="144"/>
      <w:r>
        <w:rPr/>
      </w:r>
      <w:r>
        <w:rPr>
          <w:b/>
        </w:rPr>
        <w:t>Extension of the Demonstration.</w:t>
      </w:r>
      <w:r>
        <w:rPr>
          <w:b/>
          <w:spacing w:val="40"/>
        </w:rPr>
        <w:t> </w:t>
      </w:r>
      <w:r>
        <w:rPr/>
        <w:t>States that intend to request an extension of the demonstration must submit an application to CMS from the Governor of the state in accordance</w:t>
      </w:r>
      <w:r>
        <w:rPr>
          <w:spacing w:val="-4"/>
        </w:rPr>
        <w:t> </w:t>
      </w:r>
      <w:r>
        <w:rPr/>
        <w:t>with</w:t>
      </w:r>
      <w:r>
        <w:rPr>
          <w:spacing w:val="-3"/>
        </w:rPr>
        <w:t> </w:t>
      </w:r>
      <w:r>
        <w:rPr/>
        <w:t>the</w:t>
      </w:r>
      <w:r>
        <w:rPr>
          <w:spacing w:val="-4"/>
        </w:rPr>
        <w:t> </w:t>
      </w:r>
      <w:r>
        <w:rPr/>
        <w:t>requirements</w:t>
      </w:r>
      <w:r>
        <w:rPr>
          <w:spacing w:val="-3"/>
        </w:rPr>
        <w:t> </w:t>
      </w:r>
      <w:r>
        <w:rPr/>
        <w:t>of</w:t>
      </w:r>
      <w:r>
        <w:rPr>
          <w:spacing w:val="-4"/>
        </w:rPr>
        <w:t> </w:t>
      </w:r>
      <w:r>
        <w:rPr/>
        <w:t>42</w:t>
      </w:r>
      <w:r>
        <w:rPr>
          <w:spacing w:val="-3"/>
        </w:rPr>
        <w:t> </w:t>
      </w:r>
      <w:r>
        <w:rPr/>
        <w:t>CFR</w:t>
      </w:r>
      <w:r>
        <w:rPr>
          <w:spacing w:val="-3"/>
        </w:rPr>
        <w:t> </w:t>
      </w:r>
      <w:r>
        <w:rPr/>
        <w:t>§</w:t>
      </w:r>
      <w:r>
        <w:rPr>
          <w:spacing w:val="-3"/>
        </w:rPr>
        <w:t> </w:t>
      </w:r>
      <w:r>
        <w:rPr/>
        <w:t>431.412(c).</w:t>
      </w:r>
      <w:r>
        <w:rPr>
          <w:spacing w:val="40"/>
        </w:rPr>
        <w:t> </w:t>
      </w:r>
      <w:r>
        <w:rPr/>
        <w:t>States</w:t>
      </w:r>
      <w:r>
        <w:rPr>
          <w:spacing w:val="-3"/>
        </w:rPr>
        <w:t> </w:t>
      </w:r>
      <w:r>
        <w:rPr/>
        <w:t>that</w:t>
      </w:r>
      <w:r>
        <w:rPr>
          <w:spacing w:val="-3"/>
        </w:rPr>
        <w:t> </w:t>
      </w:r>
      <w:r>
        <w:rPr/>
        <w:t>do</w:t>
      </w:r>
      <w:r>
        <w:rPr>
          <w:spacing w:val="-1"/>
        </w:rPr>
        <w:t> </w:t>
      </w:r>
      <w:r>
        <w:rPr/>
        <w:t>not</w:t>
      </w:r>
      <w:r>
        <w:rPr>
          <w:spacing w:val="-3"/>
        </w:rPr>
        <w:t> </w:t>
      </w:r>
      <w:r>
        <w:rPr/>
        <w:t>intend</w:t>
      </w:r>
      <w:r>
        <w:rPr>
          <w:spacing w:val="-3"/>
        </w:rPr>
        <w:t> </w:t>
      </w:r>
      <w:r>
        <w:rPr/>
        <w:t>to request an extension of the demonstration beyond the period authorized in these STCs must submit a phase-out plan consistent with the requirements of STC 3.9.</w:t>
      </w:r>
    </w:p>
    <w:p>
      <w:pPr>
        <w:pStyle w:val="BodyText"/>
        <w:spacing w:before="10"/>
        <w:rPr>
          <w:sz w:val="20"/>
        </w:rPr>
      </w:pPr>
    </w:p>
    <w:p>
      <w:pPr>
        <w:pStyle w:val="BodyText"/>
        <w:ind w:left="2071" w:right="1239"/>
      </w:pPr>
      <w:r>
        <w:rPr/>
        <w:drawing>
          <wp:anchor distT="0" distB="0" distL="0" distR="0" allowOverlap="1" layoutInCell="1" locked="0" behindDoc="0" simplePos="0" relativeHeight="15740928">
            <wp:simplePos x="0" y="0"/>
            <wp:positionH relativeFrom="page">
              <wp:posOffset>975360</wp:posOffset>
            </wp:positionH>
            <wp:positionV relativeFrom="paragraph">
              <wp:posOffset>35612</wp:posOffset>
            </wp:positionV>
            <wp:extent cx="217931" cy="112763"/>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39" cstate="print"/>
                    <a:stretch>
                      <a:fillRect/>
                    </a:stretch>
                  </pic:blipFill>
                  <pic:spPr>
                    <a:xfrm>
                      <a:off x="0" y="0"/>
                      <a:ext cx="217931" cy="112763"/>
                    </a:xfrm>
                    <a:prstGeom prst="rect">
                      <a:avLst/>
                    </a:prstGeom>
                  </pic:spPr>
                </pic:pic>
              </a:graphicData>
            </a:graphic>
          </wp:anchor>
        </w:drawing>
      </w:r>
      <w:bookmarkStart w:name="3.9. Demonstration Phase-Out.  The Commo" w:id="145"/>
      <w:bookmarkEnd w:id="145"/>
      <w:r>
        <w:rPr/>
      </w:r>
      <w:r>
        <w:rPr>
          <w:b/>
        </w:rPr>
        <w:t>Demonstration Phase-Out.</w:t>
      </w:r>
      <w:r>
        <w:rPr>
          <w:b/>
          <w:spacing w:val="40"/>
        </w:rPr>
        <w:t> </w:t>
      </w:r>
      <w:r>
        <w:rPr/>
        <w:t>The</w:t>
      </w:r>
      <w:r>
        <w:rPr>
          <w:spacing w:val="-4"/>
        </w:rPr>
        <w:t> </w:t>
      </w:r>
      <w:r>
        <w:rPr/>
        <w:t>Commonwealth</w:t>
      </w:r>
      <w:r>
        <w:rPr>
          <w:spacing w:val="-3"/>
        </w:rPr>
        <w:t> </w:t>
      </w:r>
      <w:r>
        <w:rPr/>
        <w:t>may</w:t>
      </w:r>
      <w:r>
        <w:rPr>
          <w:spacing w:val="-8"/>
        </w:rPr>
        <w:t> </w:t>
      </w:r>
      <w:r>
        <w:rPr/>
        <w:t>only</w:t>
      </w:r>
      <w:r>
        <w:rPr>
          <w:spacing w:val="-8"/>
        </w:rPr>
        <w:t> </w:t>
      </w:r>
      <w:r>
        <w:rPr/>
        <w:t>suspend</w:t>
      </w:r>
      <w:r>
        <w:rPr>
          <w:spacing w:val="-3"/>
        </w:rPr>
        <w:t> </w:t>
      </w:r>
      <w:r>
        <w:rPr/>
        <w:t>or</w:t>
      </w:r>
      <w:r>
        <w:rPr>
          <w:spacing w:val="-4"/>
        </w:rPr>
        <w:t> </w:t>
      </w:r>
      <w:r>
        <w:rPr/>
        <w:t>terminate</w:t>
      </w:r>
      <w:r>
        <w:rPr>
          <w:spacing w:val="-4"/>
        </w:rPr>
        <w:t> </w:t>
      </w:r>
      <w:r>
        <w:rPr/>
        <w:t>this demonstration in whole, or in part, consistent with the following requirements.</w:t>
      </w:r>
    </w:p>
    <w:p>
      <w:pPr>
        <w:pStyle w:val="BodyText"/>
        <w:spacing w:before="10"/>
        <w:rPr>
          <w:sz w:val="20"/>
        </w:rPr>
      </w:pPr>
    </w:p>
    <w:p>
      <w:pPr>
        <w:pStyle w:val="BodyText"/>
        <w:ind w:left="2611" w:right="1298"/>
      </w:pPr>
      <w:r>
        <w:rPr/>
        <w:drawing>
          <wp:anchor distT="0" distB="0" distL="0" distR="0" allowOverlap="1" layoutInCell="1" locked="0" behindDoc="0" simplePos="0" relativeHeight="15741440">
            <wp:simplePos x="0" y="0"/>
            <wp:positionH relativeFrom="page">
              <wp:posOffset>1431036</wp:posOffset>
            </wp:positionH>
            <wp:positionV relativeFrom="paragraph">
              <wp:posOffset>67616</wp:posOffset>
            </wp:positionV>
            <wp:extent cx="96011" cy="80759"/>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40" cstate="print"/>
                    <a:stretch>
                      <a:fillRect/>
                    </a:stretch>
                  </pic:blipFill>
                  <pic:spPr>
                    <a:xfrm>
                      <a:off x="0" y="0"/>
                      <a:ext cx="96011" cy="80759"/>
                    </a:xfrm>
                    <a:prstGeom prst="rect">
                      <a:avLst/>
                    </a:prstGeom>
                  </pic:spPr>
                </pic:pic>
              </a:graphicData>
            </a:graphic>
          </wp:anchor>
        </w:drawing>
      </w:r>
      <w:bookmarkStart w:name="a. Notification of Suspension or Termina" w:id="146"/>
      <w:bookmarkEnd w:id="146"/>
      <w:r>
        <w:rPr/>
      </w:r>
      <w:r>
        <w:rPr>
          <w:b/>
        </w:rPr>
        <w:t>Notification of Suspension or Termination.</w:t>
      </w:r>
      <w:r>
        <w:rPr>
          <w:b/>
          <w:spacing w:val="40"/>
        </w:rPr>
        <w:t> </w:t>
      </w:r>
      <w:r>
        <w:rPr/>
        <w:t>The Commonwealth must promptly notify CMS in writing of the reason(s) for the suspension or termination, together with the effective date and a transition and phase-out plan.</w:t>
      </w:r>
      <w:r>
        <w:rPr>
          <w:spacing w:val="40"/>
        </w:rPr>
        <w:t> </w:t>
      </w:r>
      <w:r>
        <w:rPr/>
        <w:t>The Commonwealth must</w:t>
      </w:r>
      <w:r>
        <w:rPr>
          <w:spacing w:val="-3"/>
        </w:rPr>
        <w:t> </w:t>
      </w:r>
      <w:r>
        <w:rPr/>
        <w:t>submit</w:t>
      </w:r>
      <w:r>
        <w:rPr>
          <w:spacing w:val="-3"/>
        </w:rPr>
        <w:t> </w:t>
      </w:r>
      <w:r>
        <w:rPr/>
        <w:t>a</w:t>
      </w:r>
      <w:r>
        <w:rPr>
          <w:spacing w:val="-4"/>
        </w:rPr>
        <w:t> </w:t>
      </w:r>
      <w:r>
        <w:rPr/>
        <w:t>notification</w:t>
      </w:r>
      <w:r>
        <w:rPr>
          <w:spacing w:val="-3"/>
        </w:rPr>
        <w:t> </w:t>
      </w:r>
      <w:r>
        <w:rPr/>
        <w:t>letter</w:t>
      </w:r>
      <w:r>
        <w:rPr>
          <w:spacing w:val="-4"/>
        </w:rPr>
        <w:t> </w:t>
      </w:r>
      <w:r>
        <w:rPr/>
        <w:t>and</w:t>
      </w:r>
      <w:r>
        <w:rPr>
          <w:spacing w:val="-3"/>
        </w:rPr>
        <w:t> </w:t>
      </w:r>
      <w:r>
        <w:rPr/>
        <w:t>a</w:t>
      </w:r>
      <w:r>
        <w:rPr>
          <w:spacing w:val="-4"/>
        </w:rPr>
        <w:t> </w:t>
      </w:r>
      <w:r>
        <w:rPr/>
        <w:t>draft</w:t>
      </w:r>
      <w:r>
        <w:rPr>
          <w:spacing w:val="-3"/>
        </w:rPr>
        <w:t> </w:t>
      </w:r>
      <w:r>
        <w:rPr/>
        <w:t>transition</w:t>
      </w:r>
      <w:r>
        <w:rPr>
          <w:spacing w:val="-3"/>
        </w:rPr>
        <w:t> </w:t>
      </w:r>
      <w:r>
        <w:rPr/>
        <w:t>and</w:t>
      </w:r>
      <w:r>
        <w:rPr>
          <w:spacing w:val="-3"/>
        </w:rPr>
        <w:t> </w:t>
      </w:r>
      <w:r>
        <w:rPr/>
        <w:t>phase-out</w:t>
      </w:r>
      <w:r>
        <w:rPr>
          <w:spacing w:val="-3"/>
        </w:rPr>
        <w:t> </w:t>
      </w:r>
      <w:r>
        <w:rPr/>
        <w:t>plan</w:t>
      </w:r>
      <w:r>
        <w:rPr>
          <w:spacing w:val="-3"/>
        </w:rPr>
        <w:t> </w:t>
      </w:r>
      <w:r>
        <w:rPr/>
        <w:t>to</w:t>
      </w:r>
      <w:r>
        <w:rPr>
          <w:spacing w:val="-1"/>
        </w:rPr>
        <w:t> </w:t>
      </w:r>
      <w:r>
        <w:rPr/>
        <w:t>CMS</w:t>
      </w:r>
      <w:r>
        <w:rPr>
          <w:spacing w:val="-3"/>
        </w:rPr>
        <w:t> </w:t>
      </w:r>
      <w:r>
        <w:rPr/>
        <w:t>no less than six months before the effective date of the demonstration’s suspension or</w:t>
      </w:r>
    </w:p>
    <w:p>
      <w:pPr>
        <w:spacing w:after="0"/>
        <w:sectPr>
          <w:pgSz w:w="12240" w:h="15840"/>
          <w:pgMar w:header="0" w:footer="1201" w:top="1360" w:bottom="1400" w:left="0" w:right="220"/>
        </w:sectPr>
      </w:pPr>
    </w:p>
    <w:p>
      <w:pPr>
        <w:pStyle w:val="BodyText"/>
        <w:spacing w:before="79"/>
        <w:ind w:left="2611" w:right="1239"/>
      </w:pPr>
      <w:r>
        <w:rPr/>
        <w:t>termination.</w:t>
      </w:r>
      <w:r>
        <w:rPr>
          <w:spacing w:val="40"/>
        </w:rPr>
        <w:t> </w:t>
      </w:r>
      <w:r>
        <w:rPr/>
        <w:t>Prior</w:t>
      </w:r>
      <w:r>
        <w:rPr>
          <w:spacing w:val="-4"/>
        </w:rPr>
        <w:t> </w:t>
      </w:r>
      <w:r>
        <w:rPr/>
        <w:t>to</w:t>
      </w:r>
      <w:r>
        <w:rPr>
          <w:spacing w:val="-3"/>
        </w:rPr>
        <w:t> </w:t>
      </w:r>
      <w:r>
        <w:rPr/>
        <w:t>submitting</w:t>
      </w:r>
      <w:r>
        <w:rPr>
          <w:spacing w:val="-6"/>
        </w:rPr>
        <w:t> </w:t>
      </w:r>
      <w:r>
        <w:rPr/>
        <w:t>the</w:t>
      </w:r>
      <w:r>
        <w:rPr>
          <w:spacing w:val="-4"/>
        </w:rPr>
        <w:t> </w:t>
      </w:r>
      <w:r>
        <w:rPr/>
        <w:t>draft</w:t>
      </w:r>
      <w:r>
        <w:rPr>
          <w:spacing w:val="-3"/>
        </w:rPr>
        <w:t> </w:t>
      </w:r>
      <w:r>
        <w:rPr/>
        <w:t>transition</w:t>
      </w:r>
      <w:r>
        <w:rPr>
          <w:spacing w:val="-3"/>
        </w:rPr>
        <w:t> </w:t>
      </w:r>
      <w:r>
        <w:rPr/>
        <w:t>and</w:t>
      </w:r>
      <w:r>
        <w:rPr>
          <w:spacing w:val="-3"/>
        </w:rPr>
        <w:t> </w:t>
      </w:r>
      <w:r>
        <w:rPr/>
        <w:t>phase-out</w:t>
      </w:r>
      <w:r>
        <w:rPr>
          <w:spacing w:val="-3"/>
        </w:rPr>
        <w:t> </w:t>
      </w:r>
      <w:r>
        <w:rPr/>
        <w:t>plan</w:t>
      </w:r>
      <w:r>
        <w:rPr>
          <w:spacing w:val="-3"/>
        </w:rPr>
        <w:t> </w:t>
      </w:r>
      <w:r>
        <w:rPr/>
        <w:t>to</w:t>
      </w:r>
      <w:r>
        <w:rPr>
          <w:spacing w:val="-1"/>
        </w:rPr>
        <w:t> </w:t>
      </w:r>
      <w:r>
        <w:rPr/>
        <w:t>CMS,</w:t>
      </w:r>
      <w:r>
        <w:rPr>
          <w:spacing w:val="-3"/>
        </w:rPr>
        <w:t> </w:t>
      </w:r>
      <w:r>
        <w:rPr/>
        <w:t>the Commonwealth must publish on its website the draft transition and phase-out plan for</w:t>
      </w:r>
      <w:r>
        <w:rPr>
          <w:spacing w:val="-4"/>
        </w:rPr>
        <w:t> </w:t>
      </w:r>
      <w:r>
        <w:rPr/>
        <w:t>a</w:t>
      </w:r>
      <w:r>
        <w:rPr>
          <w:spacing w:val="-4"/>
        </w:rPr>
        <w:t> </w:t>
      </w:r>
      <w:r>
        <w:rPr/>
        <w:t>30-day</w:t>
      </w:r>
      <w:r>
        <w:rPr>
          <w:spacing w:val="-8"/>
        </w:rPr>
        <w:t> </w:t>
      </w:r>
      <w:r>
        <w:rPr/>
        <w:t>public</w:t>
      </w:r>
      <w:r>
        <w:rPr>
          <w:spacing w:val="-4"/>
        </w:rPr>
        <w:t> </w:t>
      </w:r>
      <w:r>
        <w:rPr/>
        <w:t>comment</w:t>
      </w:r>
      <w:r>
        <w:rPr>
          <w:spacing w:val="-3"/>
        </w:rPr>
        <w:t> </w:t>
      </w:r>
      <w:r>
        <w:rPr/>
        <w:t>period.</w:t>
      </w:r>
      <w:r>
        <w:rPr>
          <w:spacing w:val="40"/>
        </w:rPr>
        <w:t> </w:t>
      </w:r>
      <w:r>
        <w:rPr/>
        <w:t>In</w:t>
      </w:r>
      <w:r>
        <w:rPr>
          <w:spacing w:val="-3"/>
        </w:rPr>
        <w:t> </w:t>
      </w:r>
      <w:r>
        <w:rPr/>
        <w:t>addition,</w:t>
      </w:r>
      <w:r>
        <w:rPr>
          <w:spacing w:val="-1"/>
        </w:rPr>
        <w:t> </w:t>
      </w:r>
      <w:r>
        <w:rPr/>
        <w:t>the</w:t>
      </w:r>
      <w:r>
        <w:rPr>
          <w:spacing w:val="-4"/>
        </w:rPr>
        <w:t> </w:t>
      </w:r>
      <w:r>
        <w:rPr/>
        <w:t>Commonwealth</w:t>
      </w:r>
      <w:r>
        <w:rPr>
          <w:spacing w:val="-3"/>
        </w:rPr>
        <w:t> </w:t>
      </w:r>
      <w:r>
        <w:rPr/>
        <w:t>must</w:t>
      </w:r>
      <w:r>
        <w:rPr>
          <w:spacing w:val="-3"/>
        </w:rPr>
        <w:t> </w:t>
      </w:r>
      <w:r>
        <w:rPr/>
        <w:t>conduct tribal consultation in accordance with STC 3.13, if applicable.</w:t>
      </w:r>
      <w:r>
        <w:rPr>
          <w:spacing w:val="40"/>
        </w:rPr>
        <w:t> </w:t>
      </w:r>
      <w:r>
        <w:rPr/>
        <w:t>Once the 30-day public comment period has ended, the Commonwealth must provide a summary of the issues raised by the public during the comment period and how the Commonwealth considered the comments received when developing the revised transition and phase-out plan.</w:t>
      </w:r>
    </w:p>
    <w:p>
      <w:pPr>
        <w:pStyle w:val="BodyText"/>
        <w:spacing w:before="10"/>
        <w:rPr>
          <w:sz w:val="20"/>
        </w:rPr>
      </w:pPr>
    </w:p>
    <w:p>
      <w:pPr>
        <w:pStyle w:val="BodyText"/>
        <w:ind w:left="2611" w:right="1255"/>
      </w:pPr>
      <w:r>
        <w:rPr/>
        <w:drawing>
          <wp:anchor distT="0" distB="0" distL="0" distR="0" allowOverlap="1" layoutInCell="1" locked="0" behindDoc="0" simplePos="0" relativeHeight="15741952">
            <wp:simplePos x="0" y="0"/>
            <wp:positionH relativeFrom="page">
              <wp:posOffset>1424939</wp:posOffset>
            </wp:positionH>
            <wp:positionV relativeFrom="paragraph">
              <wp:posOffset>32551</wp:posOffset>
            </wp:positionV>
            <wp:extent cx="111251" cy="115823"/>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34" cstate="print"/>
                    <a:stretch>
                      <a:fillRect/>
                    </a:stretch>
                  </pic:blipFill>
                  <pic:spPr>
                    <a:xfrm>
                      <a:off x="0" y="0"/>
                      <a:ext cx="111251" cy="115823"/>
                    </a:xfrm>
                    <a:prstGeom prst="rect">
                      <a:avLst/>
                    </a:prstGeom>
                  </pic:spPr>
                </pic:pic>
              </a:graphicData>
            </a:graphic>
          </wp:anchor>
        </w:drawing>
      </w:r>
      <w:bookmarkStart w:name="b. Transition and Phase-out Plan Require" w:id="147"/>
      <w:bookmarkEnd w:id="147"/>
      <w:r>
        <w:rPr/>
      </w:r>
      <w:r>
        <w:rPr>
          <w:b/>
        </w:rPr>
        <w:t>Transition</w:t>
      </w:r>
      <w:r>
        <w:rPr>
          <w:b/>
          <w:spacing w:val="-1"/>
        </w:rPr>
        <w:t> </w:t>
      </w:r>
      <w:r>
        <w:rPr>
          <w:b/>
        </w:rPr>
        <w:t>and</w:t>
      </w:r>
      <w:r>
        <w:rPr>
          <w:b/>
          <w:spacing w:val="-1"/>
        </w:rPr>
        <w:t> </w:t>
      </w:r>
      <w:r>
        <w:rPr>
          <w:b/>
        </w:rPr>
        <w:t>Phase-out</w:t>
      </w:r>
      <w:r>
        <w:rPr>
          <w:b/>
          <w:spacing w:val="-2"/>
        </w:rPr>
        <w:t> </w:t>
      </w:r>
      <w:r>
        <w:rPr>
          <w:b/>
        </w:rPr>
        <w:t>Plan</w:t>
      </w:r>
      <w:r>
        <w:rPr>
          <w:b/>
          <w:spacing w:val="-1"/>
        </w:rPr>
        <w:t> </w:t>
      </w:r>
      <w:r>
        <w:rPr>
          <w:b/>
        </w:rPr>
        <w:t>Requirements.</w:t>
      </w:r>
      <w:r>
        <w:rPr>
          <w:b/>
          <w:spacing w:val="40"/>
        </w:rPr>
        <w:t> </w:t>
      </w:r>
      <w:r>
        <w:rPr/>
        <w:t>The</w:t>
      </w:r>
      <w:r>
        <w:rPr>
          <w:spacing w:val="-2"/>
        </w:rPr>
        <w:t> </w:t>
      </w:r>
      <w:r>
        <w:rPr/>
        <w:t>Commonwealth</w:t>
      </w:r>
      <w:r>
        <w:rPr>
          <w:spacing w:val="-1"/>
        </w:rPr>
        <w:t> </w:t>
      </w:r>
      <w:r>
        <w:rPr/>
        <w:t>must</w:t>
      </w:r>
      <w:r>
        <w:rPr>
          <w:spacing w:val="-1"/>
        </w:rPr>
        <w:t> </w:t>
      </w:r>
      <w:r>
        <w:rPr/>
        <w:t>include, at a minimum, in its phase-out plan the process by which it will notify affected beneficiaries, the content of said notices (including information on the beneficiary’s appeal rights), the process by which the Commonwealth will conduct redeterminations of Medicaid or CHIP eligibility prior to the termination of the demonstration for the affected beneficiaries, and ensure ongoing coverage for eligible beneficiaries, as well as any community outreach activities the Commonwealth</w:t>
      </w:r>
      <w:r>
        <w:rPr>
          <w:spacing w:val="-4"/>
        </w:rPr>
        <w:t> </w:t>
      </w:r>
      <w:r>
        <w:rPr/>
        <w:t>will</w:t>
      </w:r>
      <w:r>
        <w:rPr>
          <w:spacing w:val="-4"/>
        </w:rPr>
        <w:t> </w:t>
      </w:r>
      <w:r>
        <w:rPr/>
        <w:t>undertake</w:t>
      </w:r>
      <w:r>
        <w:rPr>
          <w:spacing w:val="-5"/>
        </w:rPr>
        <w:t> </w:t>
      </w:r>
      <w:r>
        <w:rPr/>
        <w:t>to</w:t>
      </w:r>
      <w:r>
        <w:rPr>
          <w:spacing w:val="-4"/>
        </w:rPr>
        <w:t> </w:t>
      </w:r>
      <w:r>
        <w:rPr/>
        <w:t>notify</w:t>
      </w:r>
      <w:r>
        <w:rPr>
          <w:spacing w:val="-9"/>
        </w:rPr>
        <w:t> </w:t>
      </w:r>
      <w:r>
        <w:rPr/>
        <w:t>affected</w:t>
      </w:r>
      <w:r>
        <w:rPr>
          <w:spacing w:val="-2"/>
        </w:rPr>
        <w:t> </w:t>
      </w:r>
      <w:r>
        <w:rPr/>
        <w:t>beneficiaries,</w:t>
      </w:r>
      <w:r>
        <w:rPr>
          <w:spacing w:val="-5"/>
        </w:rPr>
        <w:t> </w:t>
      </w:r>
      <w:r>
        <w:rPr/>
        <w:t>including</w:t>
      </w:r>
      <w:r>
        <w:rPr>
          <w:spacing w:val="-7"/>
        </w:rPr>
        <w:t> </w:t>
      </w:r>
      <w:r>
        <w:rPr/>
        <w:t>community resources that are available.</w:t>
      </w:r>
    </w:p>
    <w:p>
      <w:pPr>
        <w:pStyle w:val="BodyText"/>
        <w:spacing w:before="10"/>
        <w:rPr>
          <w:sz w:val="20"/>
        </w:rPr>
      </w:pPr>
    </w:p>
    <w:p>
      <w:pPr>
        <w:pStyle w:val="BodyText"/>
        <w:ind w:left="2611" w:right="1239"/>
      </w:pPr>
      <w:r>
        <w:rPr/>
        <w:drawing>
          <wp:anchor distT="0" distB="0" distL="0" distR="0" allowOverlap="1" layoutInCell="1" locked="0" behindDoc="0" simplePos="0" relativeHeight="15742464">
            <wp:simplePos x="0" y="0"/>
            <wp:positionH relativeFrom="page">
              <wp:posOffset>1431036</wp:posOffset>
            </wp:positionH>
            <wp:positionV relativeFrom="paragraph">
              <wp:posOffset>67603</wp:posOffset>
            </wp:positionV>
            <wp:extent cx="96011" cy="80771"/>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41" cstate="print"/>
                    <a:stretch>
                      <a:fillRect/>
                    </a:stretch>
                  </pic:blipFill>
                  <pic:spPr>
                    <a:xfrm>
                      <a:off x="0" y="0"/>
                      <a:ext cx="96011" cy="80771"/>
                    </a:xfrm>
                    <a:prstGeom prst="rect">
                      <a:avLst/>
                    </a:prstGeom>
                  </pic:spPr>
                </pic:pic>
              </a:graphicData>
            </a:graphic>
          </wp:anchor>
        </w:drawing>
      </w:r>
      <w:bookmarkStart w:name="c. Transition and Phase-out Plan Approva" w:id="148"/>
      <w:bookmarkEnd w:id="148"/>
      <w:r>
        <w:rPr/>
      </w:r>
      <w:r>
        <w:rPr>
          <w:b/>
        </w:rPr>
        <w:t>Transition</w:t>
      </w:r>
      <w:r>
        <w:rPr>
          <w:b/>
          <w:spacing w:val="-4"/>
        </w:rPr>
        <w:t> </w:t>
      </w:r>
      <w:r>
        <w:rPr>
          <w:b/>
        </w:rPr>
        <w:t>and</w:t>
      </w:r>
      <w:r>
        <w:rPr>
          <w:b/>
          <w:spacing w:val="-4"/>
        </w:rPr>
        <w:t> </w:t>
      </w:r>
      <w:r>
        <w:rPr>
          <w:b/>
        </w:rPr>
        <w:t>Phase-out</w:t>
      </w:r>
      <w:r>
        <w:rPr>
          <w:b/>
          <w:spacing w:val="-5"/>
        </w:rPr>
        <w:t> </w:t>
      </w:r>
      <w:r>
        <w:rPr>
          <w:b/>
        </w:rPr>
        <w:t>Plan</w:t>
      </w:r>
      <w:r>
        <w:rPr>
          <w:b/>
          <w:spacing w:val="-4"/>
        </w:rPr>
        <w:t> </w:t>
      </w:r>
      <w:r>
        <w:rPr>
          <w:b/>
        </w:rPr>
        <w:t>Approval.</w:t>
      </w:r>
      <w:r>
        <w:rPr>
          <w:b/>
          <w:spacing w:val="40"/>
        </w:rPr>
        <w:t> </w:t>
      </w:r>
      <w:r>
        <w:rPr/>
        <w:t>The</w:t>
      </w:r>
      <w:r>
        <w:rPr>
          <w:spacing w:val="-3"/>
        </w:rPr>
        <w:t> </w:t>
      </w:r>
      <w:r>
        <w:rPr/>
        <w:t>Commonwealth</w:t>
      </w:r>
      <w:r>
        <w:rPr>
          <w:spacing w:val="-4"/>
        </w:rPr>
        <w:t> </w:t>
      </w:r>
      <w:r>
        <w:rPr/>
        <w:t>must</w:t>
      </w:r>
      <w:r>
        <w:rPr>
          <w:spacing w:val="-4"/>
        </w:rPr>
        <w:t> </w:t>
      </w:r>
      <w:r>
        <w:rPr/>
        <w:t>obtain</w:t>
      </w:r>
      <w:r>
        <w:rPr>
          <w:spacing w:val="-4"/>
        </w:rPr>
        <w:t> </w:t>
      </w:r>
      <w:r>
        <w:rPr/>
        <w:t>CMS approval of the transition and phase-out plan prior to the implementation of the transition and phase-out activities.</w:t>
      </w:r>
      <w:r>
        <w:rPr>
          <w:spacing w:val="40"/>
        </w:rPr>
        <w:t> </w:t>
      </w:r>
      <w:r>
        <w:rPr/>
        <w:t>Implementation of transition and phase-out activities must be no sooner than 14 calendar days after CMS approval of the transition and phase-out plan.</w:t>
      </w:r>
    </w:p>
    <w:p>
      <w:pPr>
        <w:pStyle w:val="BodyText"/>
        <w:spacing w:before="10"/>
        <w:rPr>
          <w:sz w:val="20"/>
        </w:rPr>
      </w:pPr>
    </w:p>
    <w:p>
      <w:pPr>
        <w:pStyle w:val="BodyText"/>
        <w:ind w:left="2611" w:right="1222"/>
      </w:pPr>
      <w:r>
        <w:rPr/>
        <w:drawing>
          <wp:anchor distT="0" distB="0" distL="0" distR="0" allowOverlap="1" layoutInCell="1" locked="0" behindDoc="0" simplePos="0" relativeHeight="15742976">
            <wp:simplePos x="0" y="0"/>
            <wp:positionH relativeFrom="page">
              <wp:posOffset>1431036</wp:posOffset>
            </wp:positionH>
            <wp:positionV relativeFrom="paragraph">
              <wp:posOffset>32551</wp:posOffset>
            </wp:positionV>
            <wp:extent cx="105155" cy="115823"/>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36" cstate="print"/>
                    <a:stretch>
                      <a:fillRect/>
                    </a:stretch>
                  </pic:blipFill>
                  <pic:spPr>
                    <a:xfrm>
                      <a:off x="0" y="0"/>
                      <a:ext cx="105155" cy="115823"/>
                    </a:xfrm>
                    <a:prstGeom prst="rect">
                      <a:avLst/>
                    </a:prstGeom>
                  </pic:spPr>
                </pic:pic>
              </a:graphicData>
            </a:graphic>
          </wp:anchor>
        </w:drawing>
      </w:r>
      <w:bookmarkStart w:name="d. Transition and Phase-out Procedures. " w:id="149"/>
      <w:bookmarkEnd w:id="149"/>
      <w:r>
        <w:rPr/>
      </w:r>
      <w:r>
        <w:rPr>
          <w:b/>
        </w:rPr>
        <w:t>Transition and Phase-out Procedures.</w:t>
      </w:r>
      <w:r>
        <w:rPr>
          <w:b/>
          <w:spacing w:val="40"/>
        </w:rPr>
        <w:t> </w:t>
      </w:r>
      <w:r>
        <w:rPr/>
        <w:t>The Commonwealth must redetermine eligibility for all affected beneficiaries in order to determine if they qualify for Medicaid eligibility under a different eligibility category prior to making a determination of ineligibility</w:t>
      </w:r>
      <w:r>
        <w:rPr>
          <w:spacing w:val="-3"/>
        </w:rPr>
        <w:t> </w:t>
      </w:r>
      <w:r>
        <w:rPr/>
        <w:t>as required under 42 CFR 435.916(f)(1) or for children in</w:t>
      </w:r>
      <w:r>
        <w:rPr>
          <w:spacing w:val="-3"/>
        </w:rPr>
        <w:t> </w:t>
      </w:r>
      <w:r>
        <w:rPr/>
        <w:t>CHIP</w:t>
      </w:r>
      <w:r>
        <w:rPr>
          <w:spacing w:val="-3"/>
        </w:rPr>
        <w:t> </w:t>
      </w:r>
      <w:r>
        <w:rPr/>
        <w:t>consider</w:t>
      </w:r>
      <w:r>
        <w:rPr>
          <w:spacing w:val="-2"/>
        </w:rPr>
        <w:t> </w:t>
      </w:r>
      <w:r>
        <w:rPr/>
        <w:t>eligibility</w:t>
      </w:r>
      <w:r>
        <w:rPr>
          <w:spacing w:val="-8"/>
        </w:rPr>
        <w:t> </w:t>
      </w:r>
      <w:r>
        <w:rPr/>
        <w:t>for</w:t>
      </w:r>
      <w:r>
        <w:rPr>
          <w:spacing w:val="-4"/>
        </w:rPr>
        <w:t> </w:t>
      </w:r>
      <w:r>
        <w:rPr/>
        <w:t>other</w:t>
      </w:r>
      <w:r>
        <w:rPr>
          <w:spacing w:val="-4"/>
        </w:rPr>
        <w:t> </w:t>
      </w:r>
      <w:r>
        <w:rPr/>
        <w:t>insurance</w:t>
      </w:r>
      <w:r>
        <w:rPr>
          <w:spacing w:val="-4"/>
        </w:rPr>
        <w:t> </w:t>
      </w:r>
      <w:r>
        <w:rPr/>
        <w:t>affordability</w:t>
      </w:r>
      <w:r>
        <w:rPr>
          <w:spacing w:val="-8"/>
        </w:rPr>
        <w:t> </w:t>
      </w:r>
      <w:r>
        <w:rPr/>
        <w:t>programs</w:t>
      </w:r>
      <w:r>
        <w:rPr>
          <w:spacing w:val="-3"/>
        </w:rPr>
        <w:t> </w:t>
      </w:r>
      <w:r>
        <w:rPr/>
        <w:t>under</w:t>
      </w:r>
      <w:r>
        <w:rPr>
          <w:spacing w:val="-4"/>
        </w:rPr>
        <w:t> </w:t>
      </w:r>
      <w:r>
        <w:rPr/>
        <w:t>42</w:t>
      </w:r>
      <w:r>
        <w:rPr>
          <w:spacing w:val="-3"/>
        </w:rPr>
        <w:t> </w:t>
      </w:r>
      <w:r>
        <w:rPr/>
        <w:t>CFR</w:t>
      </w:r>
    </w:p>
    <w:p>
      <w:pPr>
        <w:pStyle w:val="BodyText"/>
        <w:spacing w:before="1"/>
        <w:ind w:left="2611" w:right="1239"/>
      </w:pPr>
      <w:r>
        <w:rPr/>
        <w:t>457.350.</w:t>
      </w:r>
      <w:r>
        <w:rPr>
          <w:spacing w:val="40"/>
        </w:rPr>
        <w:t> </w:t>
      </w:r>
      <w:r>
        <w:rPr/>
        <w:t>For individuals determined ineligible for Medicaid and CHIP, the Commonwealth</w:t>
      </w:r>
      <w:r>
        <w:rPr>
          <w:spacing w:val="-3"/>
        </w:rPr>
        <w:t> </w:t>
      </w:r>
      <w:r>
        <w:rPr/>
        <w:t>must</w:t>
      </w:r>
      <w:r>
        <w:rPr>
          <w:spacing w:val="-3"/>
        </w:rPr>
        <w:t> </w:t>
      </w:r>
      <w:r>
        <w:rPr/>
        <w:t>determine</w:t>
      </w:r>
      <w:r>
        <w:rPr>
          <w:spacing w:val="-4"/>
        </w:rPr>
        <w:t> </w:t>
      </w:r>
      <w:r>
        <w:rPr/>
        <w:t>potential</w:t>
      </w:r>
      <w:r>
        <w:rPr>
          <w:spacing w:val="-3"/>
        </w:rPr>
        <w:t> </w:t>
      </w:r>
      <w:r>
        <w:rPr/>
        <w:t>eligibility</w:t>
      </w:r>
      <w:r>
        <w:rPr>
          <w:spacing w:val="-6"/>
        </w:rPr>
        <w:t> </w:t>
      </w:r>
      <w:r>
        <w:rPr/>
        <w:t>for</w:t>
      </w:r>
      <w:r>
        <w:rPr>
          <w:spacing w:val="-4"/>
        </w:rPr>
        <w:t> </w:t>
      </w:r>
      <w:r>
        <w:rPr/>
        <w:t>other</w:t>
      </w:r>
      <w:r>
        <w:rPr>
          <w:spacing w:val="-4"/>
        </w:rPr>
        <w:t> </w:t>
      </w:r>
      <w:r>
        <w:rPr/>
        <w:t>insurance</w:t>
      </w:r>
      <w:r>
        <w:rPr>
          <w:spacing w:val="-2"/>
        </w:rPr>
        <w:t> </w:t>
      </w:r>
      <w:r>
        <w:rPr/>
        <w:t>affordability programs and comply with the procedures set forth in 42 CFR 435.1200(e).</w:t>
      </w:r>
      <w:r>
        <w:rPr>
          <w:spacing w:val="40"/>
        </w:rPr>
        <w:t> </w:t>
      </w:r>
      <w:r>
        <w:rPr/>
        <w:t>The Commonwealth must comply with all applicable notice requirements for Medicaid found</w:t>
      </w:r>
      <w:r>
        <w:rPr>
          <w:spacing w:val="-3"/>
        </w:rPr>
        <w:t> </w:t>
      </w:r>
      <w:r>
        <w:rPr/>
        <w:t>in</w:t>
      </w:r>
      <w:r>
        <w:rPr>
          <w:spacing w:val="-3"/>
        </w:rPr>
        <w:t> </w:t>
      </w:r>
      <w:r>
        <w:rPr/>
        <w:t>42</w:t>
      </w:r>
      <w:r>
        <w:rPr>
          <w:spacing w:val="-3"/>
        </w:rPr>
        <w:t> </w:t>
      </w:r>
      <w:r>
        <w:rPr/>
        <w:t>CFR,</w:t>
      </w:r>
      <w:r>
        <w:rPr>
          <w:spacing w:val="-3"/>
        </w:rPr>
        <w:t> </w:t>
      </w:r>
      <w:r>
        <w:rPr/>
        <w:t>part</w:t>
      </w:r>
      <w:r>
        <w:rPr>
          <w:spacing w:val="-3"/>
        </w:rPr>
        <w:t> </w:t>
      </w:r>
      <w:r>
        <w:rPr/>
        <w:t>431</w:t>
      </w:r>
      <w:r>
        <w:rPr>
          <w:spacing w:val="-3"/>
        </w:rPr>
        <w:t> </w:t>
      </w:r>
      <w:r>
        <w:rPr/>
        <w:t>subpart</w:t>
      </w:r>
      <w:r>
        <w:rPr>
          <w:spacing w:val="-3"/>
        </w:rPr>
        <w:t> </w:t>
      </w:r>
      <w:r>
        <w:rPr/>
        <w:t>E,</w:t>
      </w:r>
      <w:r>
        <w:rPr>
          <w:spacing w:val="-3"/>
        </w:rPr>
        <w:t> </w:t>
      </w:r>
      <w:r>
        <w:rPr/>
        <w:t>including</w:t>
      </w:r>
      <w:r>
        <w:rPr>
          <w:spacing w:val="-6"/>
        </w:rPr>
        <w:t> </w:t>
      </w:r>
      <w:r>
        <w:rPr/>
        <w:t>sections</w:t>
      </w:r>
      <w:r>
        <w:rPr>
          <w:spacing w:val="-3"/>
        </w:rPr>
        <w:t> </w:t>
      </w:r>
      <w:r>
        <w:rPr/>
        <w:t>431.206</w:t>
      </w:r>
      <w:r>
        <w:rPr>
          <w:spacing w:val="-3"/>
        </w:rPr>
        <w:t> </w:t>
      </w:r>
      <w:r>
        <w:rPr/>
        <w:t>through</w:t>
      </w:r>
      <w:r>
        <w:rPr>
          <w:spacing w:val="-3"/>
        </w:rPr>
        <w:t> </w:t>
      </w:r>
      <w:r>
        <w:rPr/>
        <w:t>431.214</w:t>
      </w:r>
      <w:r>
        <w:rPr>
          <w:spacing w:val="-3"/>
        </w:rPr>
        <w:t> </w:t>
      </w:r>
      <w:r>
        <w:rPr/>
        <w:t>or for CHIP found at 42 CFR 457.340(e), including information about a right to a review consistent with 42 CFR 457.1180.</w:t>
      </w:r>
      <w:r>
        <w:rPr>
          <w:spacing w:val="40"/>
        </w:rPr>
        <w:t> </w:t>
      </w:r>
      <w:r>
        <w:rPr/>
        <w:t>In addition, the Commonwealth must assure all applicable Medicaid appeal and hearing rights are afforded to Medicaid beneficiaries in the demonstration as outlined in 42 CFR, part 431 subpart E, including sections 431.220 and 431.221. If a beneficiary in the demonstration requests a hearing before the date of action, the Commonwealth must maintain Medicaid benefits as required in 42 CFR §431.230.</w:t>
      </w:r>
    </w:p>
    <w:p>
      <w:pPr>
        <w:pStyle w:val="BodyText"/>
        <w:spacing w:before="10"/>
        <w:rPr>
          <w:sz w:val="20"/>
        </w:rPr>
      </w:pPr>
    </w:p>
    <w:p>
      <w:pPr>
        <w:spacing w:before="0"/>
        <w:ind w:left="2611" w:right="1239" w:firstLine="0"/>
        <w:jc w:val="left"/>
        <w:rPr>
          <w:sz w:val="24"/>
        </w:rPr>
      </w:pPr>
      <w:r>
        <w:rPr/>
        <w:drawing>
          <wp:anchor distT="0" distB="0" distL="0" distR="0" allowOverlap="1" layoutInCell="1" locked="0" behindDoc="0" simplePos="0" relativeHeight="15743488">
            <wp:simplePos x="0" y="0"/>
            <wp:positionH relativeFrom="page">
              <wp:posOffset>1431036</wp:posOffset>
            </wp:positionH>
            <wp:positionV relativeFrom="paragraph">
              <wp:posOffset>67603</wp:posOffset>
            </wp:positionV>
            <wp:extent cx="96011" cy="80771"/>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37" cstate="print"/>
                    <a:stretch>
                      <a:fillRect/>
                    </a:stretch>
                  </pic:blipFill>
                  <pic:spPr>
                    <a:xfrm>
                      <a:off x="0" y="0"/>
                      <a:ext cx="96011" cy="80771"/>
                    </a:xfrm>
                    <a:prstGeom prst="rect">
                      <a:avLst/>
                    </a:prstGeom>
                  </pic:spPr>
                </pic:pic>
              </a:graphicData>
            </a:graphic>
          </wp:anchor>
        </w:drawing>
      </w:r>
      <w:bookmarkStart w:name="e. Exemption from Public Notice Procedur" w:id="150"/>
      <w:bookmarkEnd w:id="150"/>
      <w:r>
        <w:rPr/>
      </w:r>
      <w:r>
        <w:rPr>
          <w:b/>
          <w:sz w:val="24"/>
        </w:rPr>
        <w:t>Exemption from Public Notice Procedures 42 CFR Section 431.416(g).</w:t>
      </w:r>
      <w:r>
        <w:rPr>
          <w:b/>
          <w:spacing w:val="40"/>
          <w:sz w:val="24"/>
        </w:rPr>
        <w:t> </w:t>
      </w:r>
      <w:r>
        <w:rPr>
          <w:sz w:val="24"/>
        </w:rPr>
        <w:t>CMS may</w:t>
      </w:r>
      <w:r>
        <w:rPr>
          <w:spacing w:val="-6"/>
          <w:sz w:val="24"/>
        </w:rPr>
        <w:t> </w:t>
      </w:r>
      <w:r>
        <w:rPr>
          <w:sz w:val="24"/>
        </w:rPr>
        <w:t>expedite</w:t>
      </w:r>
      <w:r>
        <w:rPr>
          <w:spacing w:val="-5"/>
          <w:sz w:val="24"/>
        </w:rPr>
        <w:t> </w:t>
      </w:r>
      <w:r>
        <w:rPr>
          <w:sz w:val="24"/>
        </w:rPr>
        <w:t>the</w:t>
      </w:r>
      <w:r>
        <w:rPr>
          <w:spacing w:val="-5"/>
          <w:sz w:val="24"/>
        </w:rPr>
        <w:t> </w:t>
      </w:r>
      <w:r>
        <w:rPr>
          <w:sz w:val="24"/>
        </w:rPr>
        <w:t>federal</w:t>
      </w:r>
      <w:r>
        <w:rPr>
          <w:spacing w:val="-2"/>
          <w:sz w:val="24"/>
        </w:rPr>
        <w:t> </w:t>
      </w:r>
      <w:r>
        <w:rPr>
          <w:sz w:val="24"/>
        </w:rPr>
        <w:t>and</w:t>
      </w:r>
      <w:r>
        <w:rPr>
          <w:spacing w:val="-4"/>
          <w:sz w:val="24"/>
        </w:rPr>
        <w:t> </w:t>
      </w:r>
      <w:r>
        <w:rPr>
          <w:sz w:val="24"/>
        </w:rPr>
        <w:t>state</w:t>
      </w:r>
      <w:r>
        <w:rPr>
          <w:spacing w:val="-5"/>
          <w:sz w:val="24"/>
        </w:rPr>
        <w:t> </w:t>
      </w:r>
      <w:r>
        <w:rPr>
          <w:sz w:val="24"/>
        </w:rPr>
        <w:t>public</w:t>
      </w:r>
      <w:r>
        <w:rPr>
          <w:spacing w:val="-5"/>
          <w:sz w:val="24"/>
        </w:rPr>
        <w:t> </w:t>
      </w:r>
      <w:r>
        <w:rPr>
          <w:sz w:val="24"/>
        </w:rPr>
        <w:t>notice</w:t>
      </w:r>
      <w:r>
        <w:rPr>
          <w:spacing w:val="-5"/>
          <w:sz w:val="24"/>
        </w:rPr>
        <w:t> </w:t>
      </w:r>
      <w:r>
        <w:rPr>
          <w:sz w:val="24"/>
        </w:rPr>
        <w:t>requirements</w:t>
      </w:r>
      <w:r>
        <w:rPr>
          <w:spacing w:val="-4"/>
          <w:sz w:val="24"/>
        </w:rPr>
        <w:t> </w:t>
      </w:r>
      <w:r>
        <w:rPr>
          <w:sz w:val="24"/>
        </w:rPr>
        <w:t>under</w:t>
      </w:r>
      <w:r>
        <w:rPr>
          <w:spacing w:val="-5"/>
          <w:sz w:val="24"/>
        </w:rPr>
        <w:t> </w:t>
      </w:r>
      <w:r>
        <w:rPr>
          <w:sz w:val="24"/>
        </w:rPr>
        <w:t>circumstances described in 42 CFR 431.416(g).</w:t>
      </w:r>
    </w:p>
    <w:p>
      <w:pPr>
        <w:spacing w:after="0"/>
        <w:jc w:val="left"/>
        <w:rPr>
          <w:sz w:val="24"/>
        </w:rPr>
        <w:sectPr>
          <w:pgSz w:w="12240" w:h="15840"/>
          <w:pgMar w:header="0" w:footer="1201" w:top="1360" w:bottom="1400" w:left="0" w:right="220"/>
        </w:sectPr>
      </w:pPr>
    </w:p>
    <w:p>
      <w:pPr>
        <w:pStyle w:val="BodyText"/>
        <w:spacing w:before="79"/>
        <w:ind w:left="2611" w:right="1239"/>
      </w:pPr>
      <w:r>
        <w:rPr/>
        <w:drawing>
          <wp:anchor distT="0" distB="0" distL="0" distR="0" allowOverlap="1" layoutInCell="1" locked="0" behindDoc="0" simplePos="0" relativeHeight="15744000">
            <wp:simplePos x="0" y="0"/>
            <wp:positionH relativeFrom="page">
              <wp:posOffset>1431036</wp:posOffset>
            </wp:positionH>
            <wp:positionV relativeFrom="paragraph">
              <wp:posOffset>82717</wp:posOffset>
            </wp:positionV>
            <wp:extent cx="79247" cy="115823"/>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42" cstate="print"/>
                    <a:stretch>
                      <a:fillRect/>
                    </a:stretch>
                  </pic:blipFill>
                  <pic:spPr>
                    <a:xfrm>
                      <a:off x="0" y="0"/>
                      <a:ext cx="79247" cy="115823"/>
                    </a:xfrm>
                    <a:prstGeom prst="rect">
                      <a:avLst/>
                    </a:prstGeom>
                  </pic:spPr>
                </pic:pic>
              </a:graphicData>
            </a:graphic>
          </wp:anchor>
        </w:drawing>
      </w:r>
      <w:bookmarkStart w:name="f. Enrollment Limitation during Demonstr" w:id="151"/>
      <w:bookmarkEnd w:id="151"/>
      <w:r>
        <w:rPr/>
      </w:r>
      <w:r>
        <w:rPr>
          <w:b/>
        </w:rPr>
        <w:t>Enrollment</w:t>
      </w:r>
      <w:r>
        <w:rPr>
          <w:b/>
          <w:spacing w:val="-7"/>
        </w:rPr>
        <w:t> </w:t>
      </w:r>
      <w:r>
        <w:rPr>
          <w:b/>
        </w:rPr>
        <w:t>Limitation</w:t>
      </w:r>
      <w:r>
        <w:rPr>
          <w:b/>
          <w:spacing w:val="-3"/>
        </w:rPr>
        <w:t> </w:t>
      </w:r>
      <w:r>
        <w:rPr>
          <w:b/>
        </w:rPr>
        <w:t>during</w:t>
      </w:r>
      <w:r>
        <w:rPr>
          <w:b/>
          <w:spacing w:val="-6"/>
        </w:rPr>
        <w:t> </w:t>
      </w:r>
      <w:r>
        <w:rPr>
          <w:b/>
        </w:rPr>
        <w:t>Demonstration</w:t>
      </w:r>
      <w:r>
        <w:rPr>
          <w:b/>
          <w:spacing w:val="-3"/>
        </w:rPr>
        <w:t> </w:t>
      </w:r>
      <w:r>
        <w:rPr>
          <w:b/>
        </w:rPr>
        <w:t>Phase-Out.</w:t>
      </w:r>
      <w:r>
        <w:rPr>
          <w:b/>
          <w:spacing w:val="40"/>
        </w:rPr>
        <w:t> </w:t>
      </w:r>
      <w:r>
        <w:rPr/>
        <w:t>If</w:t>
      </w:r>
      <w:r>
        <w:rPr>
          <w:spacing w:val="-5"/>
        </w:rPr>
        <w:t> </w:t>
      </w:r>
      <w:r>
        <w:rPr/>
        <w:t>the</w:t>
      </w:r>
      <w:r>
        <w:rPr>
          <w:spacing w:val="-7"/>
        </w:rPr>
        <w:t> </w:t>
      </w:r>
      <w:r>
        <w:rPr/>
        <w:t>Commonwealth elects to suspend, terminate, or not extend this demonstration, during the last six months of the demonstration, enrollment of new individuals into the demonstration must be suspended.</w:t>
      </w:r>
      <w:r>
        <w:rPr>
          <w:spacing w:val="40"/>
        </w:rPr>
        <w:t> </w:t>
      </w:r>
      <w:r>
        <w:rPr/>
        <w:t>The limitation of enrollment into the demonstration does not impact the Commonwealth’s obligation to determine Medicaid eligibility in accordance with the approved Medicaid state plan.</w:t>
      </w:r>
    </w:p>
    <w:p>
      <w:pPr>
        <w:pStyle w:val="BodyText"/>
        <w:spacing w:before="10"/>
        <w:rPr>
          <w:sz w:val="20"/>
        </w:rPr>
      </w:pPr>
    </w:p>
    <w:p>
      <w:pPr>
        <w:pStyle w:val="BodyText"/>
        <w:ind w:left="2611" w:right="1239"/>
      </w:pPr>
      <w:r>
        <w:rPr/>
        <w:drawing>
          <wp:anchor distT="0" distB="0" distL="0" distR="0" allowOverlap="1" layoutInCell="1" locked="0" behindDoc="0" simplePos="0" relativeHeight="15744512">
            <wp:simplePos x="0" y="0"/>
            <wp:positionH relativeFrom="page">
              <wp:posOffset>1429511</wp:posOffset>
            </wp:positionH>
            <wp:positionV relativeFrom="paragraph">
              <wp:posOffset>67603</wp:posOffset>
            </wp:positionV>
            <wp:extent cx="105155" cy="111251"/>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43" cstate="print"/>
                    <a:stretch>
                      <a:fillRect/>
                    </a:stretch>
                  </pic:blipFill>
                  <pic:spPr>
                    <a:xfrm>
                      <a:off x="0" y="0"/>
                      <a:ext cx="105155" cy="111251"/>
                    </a:xfrm>
                    <a:prstGeom prst="rect">
                      <a:avLst/>
                    </a:prstGeom>
                  </pic:spPr>
                </pic:pic>
              </a:graphicData>
            </a:graphic>
          </wp:anchor>
        </w:drawing>
      </w:r>
      <w:bookmarkStart w:name="g. Federal Financial Participation (FFP)" w:id="152"/>
      <w:bookmarkEnd w:id="152"/>
      <w:r>
        <w:rPr/>
      </w:r>
      <w:r>
        <w:rPr>
          <w:b/>
        </w:rPr>
        <w:t>Federal</w:t>
      </w:r>
      <w:r>
        <w:rPr>
          <w:b/>
          <w:spacing w:val="-2"/>
        </w:rPr>
        <w:t> </w:t>
      </w:r>
      <w:r>
        <w:rPr>
          <w:b/>
        </w:rPr>
        <w:t>Financial</w:t>
      </w:r>
      <w:r>
        <w:rPr>
          <w:b/>
          <w:spacing w:val="-4"/>
        </w:rPr>
        <w:t> </w:t>
      </w:r>
      <w:r>
        <w:rPr>
          <w:b/>
        </w:rPr>
        <w:t>Participation</w:t>
      </w:r>
      <w:r>
        <w:rPr>
          <w:b/>
          <w:spacing w:val="-4"/>
        </w:rPr>
        <w:t> </w:t>
      </w:r>
      <w:r>
        <w:rPr>
          <w:b/>
        </w:rPr>
        <w:t>(FFP).</w:t>
      </w:r>
      <w:r>
        <w:rPr>
          <w:b/>
          <w:spacing w:val="40"/>
        </w:rPr>
        <w:t> </w:t>
      </w:r>
      <w:r>
        <w:rPr/>
        <w:t>If</w:t>
      </w:r>
      <w:r>
        <w:rPr>
          <w:spacing w:val="-5"/>
        </w:rPr>
        <w:t> </w:t>
      </w:r>
      <w:r>
        <w:rPr/>
        <w:t>the</w:t>
      </w:r>
      <w:r>
        <w:rPr>
          <w:spacing w:val="-5"/>
        </w:rPr>
        <w:t> </w:t>
      </w:r>
      <w:r>
        <w:rPr/>
        <w:t>project</w:t>
      </w:r>
      <w:r>
        <w:rPr>
          <w:spacing w:val="-4"/>
        </w:rPr>
        <w:t> </w:t>
      </w:r>
      <w:r>
        <w:rPr/>
        <w:t>is</w:t>
      </w:r>
      <w:r>
        <w:rPr>
          <w:spacing w:val="-4"/>
        </w:rPr>
        <w:t> </w:t>
      </w:r>
      <w:r>
        <w:rPr/>
        <w:t>terminated</w:t>
      </w:r>
      <w:r>
        <w:rPr>
          <w:spacing w:val="-5"/>
        </w:rPr>
        <w:t> </w:t>
      </w:r>
      <w:r>
        <w:rPr/>
        <w:t>or</w:t>
      </w:r>
      <w:r>
        <w:rPr>
          <w:spacing w:val="-5"/>
        </w:rPr>
        <w:t> </w:t>
      </w:r>
      <w:r>
        <w:rPr/>
        <w:t>any</w:t>
      </w:r>
      <w:r>
        <w:rPr>
          <w:spacing w:val="-7"/>
        </w:rPr>
        <w:t> </w:t>
      </w:r>
      <w:r>
        <w:rPr/>
        <w:t>relevant waivers are suspended by the Commonwealth, FFP must be limited to normal closeout costs associated with the termination or expiration of the demonstration including services, continued benefits as a result of beneficiaries’ appeals, and administrative costs of disenrolling beneficiaries.</w:t>
      </w:r>
    </w:p>
    <w:p>
      <w:pPr>
        <w:pStyle w:val="BodyText"/>
        <w:spacing w:before="10"/>
        <w:rPr>
          <w:sz w:val="20"/>
        </w:rPr>
      </w:pPr>
    </w:p>
    <w:p>
      <w:pPr>
        <w:pStyle w:val="BodyText"/>
        <w:ind w:left="2071" w:right="1264"/>
      </w:pPr>
      <w:r>
        <w:rPr/>
        <w:drawing>
          <wp:anchor distT="0" distB="0" distL="0" distR="0" allowOverlap="1" layoutInCell="1" locked="0" behindDoc="0" simplePos="0" relativeHeight="15745024">
            <wp:simplePos x="0" y="0"/>
            <wp:positionH relativeFrom="page">
              <wp:posOffset>897636</wp:posOffset>
            </wp:positionH>
            <wp:positionV relativeFrom="paragraph">
              <wp:posOffset>35599</wp:posOffset>
            </wp:positionV>
            <wp:extent cx="294131" cy="112775"/>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44" cstate="print"/>
                    <a:stretch>
                      <a:fillRect/>
                    </a:stretch>
                  </pic:blipFill>
                  <pic:spPr>
                    <a:xfrm>
                      <a:off x="0" y="0"/>
                      <a:ext cx="294131" cy="112775"/>
                    </a:xfrm>
                    <a:prstGeom prst="rect">
                      <a:avLst/>
                    </a:prstGeom>
                  </pic:spPr>
                </pic:pic>
              </a:graphicData>
            </a:graphic>
          </wp:anchor>
        </w:drawing>
      </w:r>
      <w:bookmarkStart w:name="3.10. CMS Right to Terminate or Suspend." w:id="153"/>
      <w:bookmarkEnd w:id="153"/>
      <w:r>
        <w:rPr/>
      </w:r>
      <w:r>
        <w:rPr>
          <w:b/>
        </w:rPr>
        <w:t>CMS Right to Terminate or Suspend. </w:t>
      </w:r>
      <w:r>
        <w:rPr/>
        <w:t>CMS may suspend or terminate the demonstration, in whole or in part, at any time before the date of expiration, whenever it determines following a hearing that the Commonwealth has materially failed to comply with</w:t>
      </w:r>
      <w:r>
        <w:rPr>
          <w:spacing w:val="-2"/>
        </w:rPr>
        <w:t> </w:t>
      </w:r>
      <w:r>
        <w:rPr/>
        <w:t>the</w:t>
      </w:r>
      <w:r>
        <w:rPr>
          <w:spacing w:val="-3"/>
        </w:rPr>
        <w:t> </w:t>
      </w:r>
      <w:r>
        <w:rPr/>
        <w:t>terms</w:t>
      </w:r>
      <w:r>
        <w:rPr>
          <w:spacing w:val="-2"/>
        </w:rPr>
        <w:t> </w:t>
      </w:r>
      <w:r>
        <w:rPr/>
        <w:t>of</w:t>
      </w:r>
      <w:r>
        <w:rPr>
          <w:spacing w:val="-3"/>
        </w:rPr>
        <w:t> </w:t>
      </w:r>
      <w:r>
        <w:rPr/>
        <w:t>the</w:t>
      </w:r>
      <w:r>
        <w:rPr>
          <w:spacing w:val="-3"/>
        </w:rPr>
        <w:t> </w:t>
      </w:r>
      <w:r>
        <w:rPr/>
        <w:t>project.</w:t>
      </w:r>
      <w:r>
        <w:rPr>
          <w:spacing w:val="-2"/>
        </w:rPr>
        <w:t> </w:t>
      </w:r>
      <w:r>
        <w:rPr/>
        <w:t>CMS</w:t>
      </w:r>
      <w:r>
        <w:rPr>
          <w:spacing w:val="-2"/>
        </w:rPr>
        <w:t> </w:t>
      </w:r>
      <w:r>
        <w:rPr/>
        <w:t>must</w:t>
      </w:r>
      <w:r>
        <w:rPr>
          <w:spacing w:val="-2"/>
        </w:rPr>
        <w:t> </w:t>
      </w:r>
      <w:r>
        <w:rPr/>
        <w:t>promptly</w:t>
      </w:r>
      <w:r>
        <w:rPr>
          <w:spacing w:val="-7"/>
        </w:rPr>
        <w:t> </w:t>
      </w:r>
      <w:r>
        <w:rPr/>
        <w:t>notify</w:t>
      </w:r>
      <w:r>
        <w:rPr>
          <w:spacing w:val="-7"/>
        </w:rPr>
        <w:t> </w:t>
      </w:r>
      <w:r>
        <w:rPr/>
        <w:t>the</w:t>
      </w:r>
      <w:r>
        <w:rPr>
          <w:spacing w:val="-3"/>
        </w:rPr>
        <w:t> </w:t>
      </w:r>
      <w:r>
        <w:rPr/>
        <w:t>Commonwealth</w:t>
      </w:r>
      <w:r>
        <w:rPr>
          <w:spacing w:val="-2"/>
        </w:rPr>
        <w:t> </w:t>
      </w:r>
      <w:r>
        <w:rPr/>
        <w:t>in</w:t>
      </w:r>
      <w:r>
        <w:rPr>
          <w:spacing w:val="-2"/>
        </w:rPr>
        <w:t> </w:t>
      </w:r>
      <w:r>
        <w:rPr/>
        <w:t>writing</w:t>
      </w:r>
      <w:r>
        <w:rPr>
          <w:spacing w:val="-5"/>
        </w:rPr>
        <w:t> </w:t>
      </w:r>
      <w:r>
        <w:rPr/>
        <w:t>of the determination and the reasons for the suspension or termination, together with the effective date.</w:t>
      </w:r>
    </w:p>
    <w:p>
      <w:pPr>
        <w:pStyle w:val="BodyText"/>
        <w:spacing w:before="10"/>
        <w:rPr>
          <w:sz w:val="20"/>
        </w:rPr>
      </w:pPr>
    </w:p>
    <w:p>
      <w:pPr>
        <w:pStyle w:val="BodyText"/>
        <w:ind w:left="2071" w:right="1239"/>
      </w:pPr>
      <w:r>
        <w:rPr/>
        <w:drawing>
          <wp:anchor distT="0" distB="0" distL="0" distR="0" allowOverlap="1" layoutInCell="1" locked="0" behindDoc="0" simplePos="0" relativeHeight="15745536">
            <wp:simplePos x="0" y="0"/>
            <wp:positionH relativeFrom="page">
              <wp:posOffset>897636</wp:posOffset>
            </wp:positionH>
            <wp:positionV relativeFrom="paragraph">
              <wp:posOffset>35599</wp:posOffset>
            </wp:positionV>
            <wp:extent cx="294131" cy="112775"/>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45" cstate="print"/>
                    <a:stretch>
                      <a:fillRect/>
                    </a:stretch>
                  </pic:blipFill>
                  <pic:spPr>
                    <a:xfrm>
                      <a:off x="0" y="0"/>
                      <a:ext cx="294131" cy="112775"/>
                    </a:xfrm>
                    <a:prstGeom prst="rect">
                      <a:avLst/>
                    </a:prstGeom>
                  </pic:spPr>
                </pic:pic>
              </a:graphicData>
            </a:graphic>
          </wp:anchor>
        </w:drawing>
      </w:r>
      <w:bookmarkStart w:name="3.11. Withdrawal of Waiver or Expenditur" w:id="154"/>
      <w:bookmarkEnd w:id="154"/>
      <w:r>
        <w:rPr/>
      </w:r>
      <w:r>
        <w:rPr>
          <w:b/>
        </w:rPr>
        <w:t>Withdrawal of Waiver or Expenditure Authority.</w:t>
      </w:r>
      <w:r>
        <w:rPr>
          <w:b/>
          <w:spacing w:val="40"/>
        </w:rPr>
        <w:t> </w:t>
      </w:r>
      <w:r>
        <w:rPr/>
        <w:t>CMS reserves the right to withdraw waivers</w:t>
      </w:r>
      <w:r>
        <w:rPr>
          <w:spacing w:val="-1"/>
        </w:rPr>
        <w:t> </w:t>
      </w:r>
      <w:r>
        <w:rPr/>
        <w:t>and/or</w:t>
      </w:r>
      <w:r>
        <w:rPr>
          <w:spacing w:val="-2"/>
        </w:rPr>
        <w:t> </w:t>
      </w:r>
      <w:r>
        <w:rPr/>
        <w:t>expenditure</w:t>
      </w:r>
      <w:r>
        <w:rPr>
          <w:spacing w:val="-2"/>
        </w:rPr>
        <w:t> </w:t>
      </w:r>
      <w:r>
        <w:rPr/>
        <w:t>authorities</w:t>
      </w:r>
      <w:r>
        <w:rPr>
          <w:spacing w:val="-1"/>
        </w:rPr>
        <w:t> </w:t>
      </w:r>
      <w:r>
        <w:rPr/>
        <w:t>at</w:t>
      </w:r>
      <w:r>
        <w:rPr>
          <w:spacing w:val="-1"/>
        </w:rPr>
        <w:t> </w:t>
      </w:r>
      <w:r>
        <w:rPr/>
        <w:t>any</w:t>
      </w:r>
      <w:r>
        <w:rPr>
          <w:spacing w:val="-6"/>
        </w:rPr>
        <w:t> </w:t>
      </w:r>
      <w:r>
        <w:rPr/>
        <w:t>time it</w:t>
      </w:r>
      <w:r>
        <w:rPr>
          <w:spacing w:val="-1"/>
        </w:rPr>
        <w:t> </w:t>
      </w:r>
      <w:r>
        <w:rPr/>
        <w:t>determines</w:t>
      </w:r>
      <w:r>
        <w:rPr>
          <w:spacing w:val="-1"/>
        </w:rPr>
        <w:t> </w:t>
      </w:r>
      <w:r>
        <w:rPr/>
        <w:t>that</w:t>
      </w:r>
      <w:r>
        <w:rPr>
          <w:spacing w:val="-1"/>
        </w:rPr>
        <w:t> </w:t>
      </w:r>
      <w:r>
        <w:rPr/>
        <w:t>continuing</w:t>
      </w:r>
      <w:r>
        <w:rPr>
          <w:spacing w:val="-4"/>
        </w:rPr>
        <w:t> </w:t>
      </w:r>
      <w:r>
        <w:rPr/>
        <w:t>the</w:t>
      </w:r>
      <w:r>
        <w:rPr>
          <w:spacing w:val="-2"/>
        </w:rPr>
        <w:t> </w:t>
      </w:r>
      <w:r>
        <w:rPr/>
        <w:t>waiver or expenditure authorities would no longer be in the public interest or promote the objectives of title XIX and title XXI. CMS will promptly notify the Commonwealth in writing</w:t>
      </w:r>
      <w:r>
        <w:rPr>
          <w:spacing w:val="-6"/>
        </w:rPr>
        <w:t> </w:t>
      </w:r>
      <w:r>
        <w:rPr/>
        <w:t>of</w:t>
      </w:r>
      <w:r>
        <w:rPr>
          <w:spacing w:val="-4"/>
        </w:rPr>
        <w:t> </w:t>
      </w:r>
      <w:r>
        <w:rPr/>
        <w:t>the</w:t>
      </w:r>
      <w:r>
        <w:rPr>
          <w:spacing w:val="-4"/>
        </w:rPr>
        <w:t> </w:t>
      </w:r>
      <w:r>
        <w:rPr/>
        <w:t>determination</w:t>
      </w:r>
      <w:r>
        <w:rPr>
          <w:spacing w:val="-3"/>
        </w:rPr>
        <w:t> </w:t>
      </w:r>
      <w:r>
        <w:rPr/>
        <w:t>and</w:t>
      </w:r>
      <w:r>
        <w:rPr>
          <w:spacing w:val="-3"/>
        </w:rPr>
        <w:t> </w:t>
      </w:r>
      <w:r>
        <w:rPr/>
        <w:t>the</w:t>
      </w:r>
      <w:r>
        <w:rPr>
          <w:spacing w:val="-4"/>
        </w:rPr>
        <w:t> </w:t>
      </w:r>
      <w:r>
        <w:rPr/>
        <w:t>reasons</w:t>
      </w:r>
      <w:r>
        <w:rPr>
          <w:spacing w:val="-1"/>
        </w:rPr>
        <w:t> </w:t>
      </w:r>
      <w:r>
        <w:rPr/>
        <w:t>for</w:t>
      </w:r>
      <w:r>
        <w:rPr>
          <w:spacing w:val="-4"/>
        </w:rPr>
        <w:t> </w:t>
      </w:r>
      <w:r>
        <w:rPr/>
        <w:t>the</w:t>
      </w:r>
      <w:r>
        <w:rPr>
          <w:spacing w:val="-4"/>
        </w:rPr>
        <w:t> </w:t>
      </w:r>
      <w:r>
        <w:rPr/>
        <w:t>withdrawal,</w:t>
      </w:r>
      <w:r>
        <w:rPr>
          <w:spacing w:val="-3"/>
        </w:rPr>
        <w:t> </w:t>
      </w:r>
      <w:r>
        <w:rPr/>
        <w:t>together</w:t>
      </w:r>
      <w:r>
        <w:rPr>
          <w:spacing w:val="-4"/>
        </w:rPr>
        <w:t> </w:t>
      </w:r>
      <w:r>
        <w:rPr/>
        <w:t>with</w:t>
      </w:r>
      <w:r>
        <w:rPr>
          <w:spacing w:val="-3"/>
        </w:rPr>
        <w:t> </w:t>
      </w:r>
      <w:r>
        <w:rPr/>
        <w:t>the</w:t>
      </w:r>
      <w:r>
        <w:rPr>
          <w:spacing w:val="-4"/>
        </w:rPr>
        <w:t> </w:t>
      </w:r>
      <w:r>
        <w:rPr/>
        <w:t>effective date, and afford the Commonwealth an opportunity to request a hearing to challenge CMS’s determination prior to the effective date.</w:t>
      </w:r>
      <w:r>
        <w:rPr>
          <w:spacing w:val="40"/>
        </w:rPr>
        <w:t> </w:t>
      </w:r>
      <w:r>
        <w:rPr/>
        <w:t>If a waiver or expenditure authority is withdrawn, FFP is limited to normal closeout costs associated with terminating</w:t>
      </w:r>
      <w:r>
        <w:rPr>
          <w:spacing w:val="-1"/>
        </w:rPr>
        <w:t> </w:t>
      </w:r>
      <w:r>
        <w:rPr/>
        <w:t>the waiver or expenditure authority, including services, continued benefits as a result of beneficiary appeals, and administrative costs of disenrolling beneficiaries.</w:t>
      </w:r>
    </w:p>
    <w:p>
      <w:pPr>
        <w:pStyle w:val="BodyText"/>
        <w:spacing w:before="10"/>
        <w:rPr>
          <w:sz w:val="20"/>
        </w:rPr>
      </w:pPr>
    </w:p>
    <w:p>
      <w:pPr>
        <w:pStyle w:val="BodyText"/>
        <w:spacing w:before="1"/>
        <w:ind w:left="2071" w:right="1252"/>
      </w:pPr>
      <w:r>
        <w:rPr/>
        <w:drawing>
          <wp:anchor distT="0" distB="0" distL="0" distR="0" allowOverlap="1" layoutInCell="1" locked="0" behindDoc="0" simplePos="0" relativeHeight="15746048">
            <wp:simplePos x="0" y="0"/>
            <wp:positionH relativeFrom="page">
              <wp:posOffset>897636</wp:posOffset>
            </wp:positionH>
            <wp:positionV relativeFrom="paragraph">
              <wp:posOffset>36234</wp:posOffset>
            </wp:positionV>
            <wp:extent cx="294131" cy="112775"/>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46" cstate="print"/>
                    <a:stretch>
                      <a:fillRect/>
                    </a:stretch>
                  </pic:blipFill>
                  <pic:spPr>
                    <a:xfrm>
                      <a:off x="0" y="0"/>
                      <a:ext cx="294131" cy="112775"/>
                    </a:xfrm>
                    <a:prstGeom prst="rect">
                      <a:avLst/>
                    </a:prstGeom>
                  </pic:spPr>
                </pic:pic>
              </a:graphicData>
            </a:graphic>
          </wp:anchor>
        </w:drawing>
      </w:r>
      <w:bookmarkStart w:name="3.12. Adequacy of Infrastructure.  The C" w:id="155"/>
      <w:bookmarkEnd w:id="155"/>
      <w:r>
        <w:rPr/>
      </w:r>
      <w:r>
        <w:rPr>
          <w:b/>
        </w:rPr>
        <w:t>Adequacy of Infrastructure.</w:t>
      </w:r>
      <w:r>
        <w:rPr>
          <w:b/>
          <w:spacing w:val="40"/>
        </w:rPr>
        <w:t> </w:t>
      </w:r>
      <w:r>
        <w:rPr/>
        <w:t>The Commonwealth will ensure the availability of</w:t>
      </w:r>
      <w:r>
        <w:rPr>
          <w:spacing w:val="40"/>
        </w:rPr>
        <w:t> </w:t>
      </w:r>
      <w:r>
        <w:rPr/>
        <w:t>adequate resources for implementation and monitoring of the demonstration, including education,</w:t>
      </w:r>
      <w:r>
        <w:rPr>
          <w:spacing w:val="-4"/>
        </w:rPr>
        <w:t> </w:t>
      </w:r>
      <w:r>
        <w:rPr/>
        <w:t>outreach,</w:t>
      </w:r>
      <w:r>
        <w:rPr>
          <w:spacing w:val="-4"/>
        </w:rPr>
        <w:t> </w:t>
      </w:r>
      <w:r>
        <w:rPr/>
        <w:t>and</w:t>
      </w:r>
      <w:r>
        <w:rPr>
          <w:spacing w:val="-3"/>
        </w:rPr>
        <w:t> </w:t>
      </w:r>
      <w:r>
        <w:rPr/>
        <w:t>enrollment;</w:t>
      </w:r>
      <w:r>
        <w:rPr>
          <w:spacing w:val="-4"/>
        </w:rPr>
        <w:t> </w:t>
      </w:r>
      <w:r>
        <w:rPr/>
        <w:t>maintaining</w:t>
      </w:r>
      <w:r>
        <w:rPr>
          <w:spacing w:val="-4"/>
        </w:rPr>
        <w:t> </w:t>
      </w:r>
      <w:r>
        <w:rPr/>
        <w:t>eligibility</w:t>
      </w:r>
      <w:r>
        <w:rPr>
          <w:spacing w:val="-9"/>
        </w:rPr>
        <w:t> </w:t>
      </w:r>
      <w:r>
        <w:rPr/>
        <w:t>systems;</w:t>
      </w:r>
      <w:r>
        <w:rPr>
          <w:spacing w:val="-4"/>
        </w:rPr>
        <w:t> </w:t>
      </w:r>
      <w:r>
        <w:rPr/>
        <w:t>compliance</w:t>
      </w:r>
      <w:r>
        <w:rPr>
          <w:spacing w:val="-5"/>
        </w:rPr>
        <w:t> </w:t>
      </w:r>
      <w:r>
        <w:rPr/>
        <w:t>with</w:t>
      </w:r>
      <w:r>
        <w:rPr>
          <w:spacing w:val="-4"/>
        </w:rPr>
        <w:t> </w:t>
      </w:r>
      <w:r>
        <w:rPr/>
        <w:t>cost sharing requirements; and reporting on financial and other demonstration components.</w:t>
      </w:r>
    </w:p>
    <w:p>
      <w:pPr>
        <w:pStyle w:val="BodyText"/>
        <w:spacing w:before="9"/>
        <w:rPr>
          <w:sz w:val="20"/>
        </w:rPr>
      </w:pPr>
    </w:p>
    <w:p>
      <w:pPr>
        <w:spacing w:before="1"/>
        <w:ind w:left="2071" w:right="1239" w:firstLine="0"/>
        <w:jc w:val="left"/>
        <w:rPr>
          <w:sz w:val="24"/>
        </w:rPr>
      </w:pPr>
      <w:r>
        <w:rPr/>
        <w:drawing>
          <wp:anchor distT="0" distB="0" distL="0" distR="0" allowOverlap="1" layoutInCell="1" locked="0" behindDoc="0" simplePos="0" relativeHeight="15746560">
            <wp:simplePos x="0" y="0"/>
            <wp:positionH relativeFrom="page">
              <wp:posOffset>897636</wp:posOffset>
            </wp:positionH>
            <wp:positionV relativeFrom="paragraph">
              <wp:posOffset>36247</wp:posOffset>
            </wp:positionV>
            <wp:extent cx="294131" cy="112763"/>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47" cstate="print"/>
                    <a:stretch>
                      <a:fillRect/>
                    </a:stretch>
                  </pic:blipFill>
                  <pic:spPr>
                    <a:xfrm>
                      <a:off x="0" y="0"/>
                      <a:ext cx="294131" cy="112763"/>
                    </a:xfrm>
                    <a:prstGeom prst="rect">
                      <a:avLst/>
                    </a:prstGeom>
                  </pic:spPr>
                </pic:pic>
              </a:graphicData>
            </a:graphic>
          </wp:anchor>
        </w:drawing>
      </w:r>
      <w:bookmarkStart w:name="3.13. Public Notice, Tribal Consultation" w:id="156"/>
      <w:bookmarkEnd w:id="156"/>
      <w:r>
        <w:rPr/>
      </w:r>
      <w:r>
        <w:rPr>
          <w:b/>
          <w:sz w:val="24"/>
        </w:rPr>
        <w:t>Public</w:t>
      </w:r>
      <w:r>
        <w:rPr>
          <w:b/>
          <w:spacing w:val="-5"/>
          <w:sz w:val="24"/>
        </w:rPr>
        <w:t> </w:t>
      </w:r>
      <w:r>
        <w:rPr>
          <w:b/>
          <w:sz w:val="24"/>
        </w:rPr>
        <w:t>Notice,</w:t>
      </w:r>
      <w:r>
        <w:rPr>
          <w:b/>
          <w:spacing w:val="-4"/>
          <w:sz w:val="24"/>
        </w:rPr>
        <w:t> </w:t>
      </w:r>
      <w:r>
        <w:rPr>
          <w:b/>
          <w:sz w:val="24"/>
        </w:rPr>
        <w:t>Tribal</w:t>
      </w:r>
      <w:r>
        <w:rPr>
          <w:b/>
          <w:spacing w:val="-4"/>
          <w:sz w:val="24"/>
        </w:rPr>
        <w:t> </w:t>
      </w:r>
      <w:r>
        <w:rPr>
          <w:b/>
          <w:sz w:val="24"/>
        </w:rPr>
        <w:t>Consultation,</w:t>
      </w:r>
      <w:r>
        <w:rPr>
          <w:b/>
          <w:spacing w:val="-4"/>
          <w:sz w:val="24"/>
        </w:rPr>
        <w:t> </w:t>
      </w:r>
      <w:r>
        <w:rPr>
          <w:b/>
          <w:sz w:val="24"/>
        </w:rPr>
        <w:t>and</w:t>
      </w:r>
      <w:r>
        <w:rPr>
          <w:b/>
          <w:spacing w:val="-4"/>
          <w:sz w:val="24"/>
        </w:rPr>
        <w:t> </w:t>
      </w:r>
      <w:r>
        <w:rPr>
          <w:b/>
          <w:sz w:val="24"/>
        </w:rPr>
        <w:t>Consultation</w:t>
      </w:r>
      <w:r>
        <w:rPr>
          <w:b/>
          <w:spacing w:val="-4"/>
          <w:sz w:val="24"/>
        </w:rPr>
        <w:t> </w:t>
      </w:r>
      <w:r>
        <w:rPr>
          <w:b/>
          <w:sz w:val="24"/>
        </w:rPr>
        <w:t>with</w:t>
      </w:r>
      <w:r>
        <w:rPr>
          <w:b/>
          <w:spacing w:val="-4"/>
          <w:sz w:val="24"/>
        </w:rPr>
        <w:t> </w:t>
      </w:r>
      <w:r>
        <w:rPr>
          <w:b/>
          <w:sz w:val="24"/>
        </w:rPr>
        <w:t>Interested</w:t>
      </w:r>
      <w:r>
        <w:rPr>
          <w:b/>
          <w:spacing w:val="-4"/>
          <w:sz w:val="24"/>
        </w:rPr>
        <w:t> </w:t>
      </w:r>
      <w:r>
        <w:rPr>
          <w:b/>
          <w:sz w:val="24"/>
        </w:rPr>
        <w:t>Parties.</w:t>
      </w:r>
      <w:r>
        <w:rPr>
          <w:b/>
          <w:spacing w:val="40"/>
          <w:sz w:val="24"/>
        </w:rPr>
        <w:t> </w:t>
      </w:r>
      <w:r>
        <w:rPr>
          <w:sz w:val="24"/>
        </w:rPr>
        <w:t>The Commonwealth must comply with the state notice procedures as required in 42 CFR</w:t>
      </w:r>
    </w:p>
    <w:p>
      <w:pPr>
        <w:pStyle w:val="BodyText"/>
        <w:ind w:left="2071" w:right="1315"/>
      </w:pPr>
      <w:r>
        <w:rPr/>
        <w:t>431.408 prior to submitting an application to extend the demonstration.</w:t>
      </w:r>
      <w:r>
        <w:rPr>
          <w:spacing w:val="40"/>
        </w:rPr>
        <w:t> </w:t>
      </w:r>
      <w:r>
        <w:rPr/>
        <w:t>For applications to amend the demonstration, the Commonwealth must comply with the state notice procedures</w:t>
      </w:r>
      <w:r>
        <w:rPr>
          <w:spacing w:val="-3"/>
        </w:rPr>
        <w:t> </w:t>
      </w:r>
      <w:r>
        <w:rPr/>
        <w:t>set</w:t>
      </w:r>
      <w:r>
        <w:rPr>
          <w:spacing w:val="-3"/>
        </w:rPr>
        <w:t> </w:t>
      </w:r>
      <w:r>
        <w:rPr/>
        <w:t>forth</w:t>
      </w:r>
      <w:r>
        <w:rPr>
          <w:spacing w:val="-3"/>
        </w:rPr>
        <w:t> </w:t>
      </w:r>
      <w:r>
        <w:rPr/>
        <w:t>in</w:t>
      </w:r>
      <w:r>
        <w:rPr>
          <w:spacing w:val="-3"/>
        </w:rPr>
        <w:t> </w:t>
      </w:r>
      <w:r>
        <w:rPr/>
        <w:t>59</w:t>
      </w:r>
      <w:r>
        <w:rPr>
          <w:spacing w:val="-1"/>
        </w:rPr>
        <w:t> </w:t>
      </w:r>
      <w:r>
        <w:rPr/>
        <w:t>Fed.</w:t>
      </w:r>
      <w:r>
        <w:rPr>
          <w:spacing w:val="-3"/>
        </w:rPr>
        <w:t> </w:t>
      </w:r>
      <w:r>
        <w:rPr/>
        <w:t>Reg.</w:t>
      </w:r>
      <w:r>
        <w:rPr>
          <w:spacing w:val="-3"/>
        </w:rPr>
        <w:t> </w:t>
      </w:r>
      <w:r>
        <w:rPr/>
        <w:t>49249</w:t>
      </w:r>
      <w:r>
        <w:rPr>
          <w:spacing w:val="-3"/>
        </w:rPr>
        <w:t> </w:t>
      </w:r>
      <w:r>
        <w:rPr/>
        <w:t>(September</w:t>
      </w:r>
      <w:r>
        <w:rPr>
          <w:spacing w:val="-4"/>
        </w:rPr>
        <w:t> </w:t>
      </w:r>
      <w:r>
        <w:rPr/>
        <w:t>27,</w:t>
      </w:r>
      <w:r>
        <w:rPr>
          <w:spacing w:val="-3"/>
        </w:rPr>
        <w:t> </w:t>
      </w:r>
      <w:r>
        <w:rPr/>
        <w:t>1994)</w:t>
      </w:r>
      <w:r>
        <w:rPr>
          <w:spacing w:val="-4"/>
        </w:rPr>
        <w:t> </w:t>
      </w:r>
      <w:r>
        <w:rPr/>
        <w:t>prior</w:t>
      </w:r>
      <w:r>
        <w:rPr>
          <w:spacing w:val="-4"/>
        </w:rPr>
        <w:t> </w:t>
      </w:r>
      <w:r>
        <w:rPr/>
        <w:t>to</w:t>
      </w:r>
      <w:r>
        <w:rPr>
          <w:spacing w:val="-3"/>
        </w:rPr>
        <w:t> </w:t>
      </w:r>
      <w:r>
        <w:rPr/>
        <w:t>submitting</w:t>
      </w:r>
      <w:r>
        <w:rPr>
          <w:spacing w:val="-6"/>
        </w:rPr>
        <w:t> </w:t>
      </w:r>
      <w:r>
        <w:rPr/>
        <w:t>such request.</w:t>
      </w:r>
      <w:r>
        <w:rPr>
          <w:spacing w:val="40"/>
        </w:rPr>
        <w:t> </w:t>
      </w:r>
      <w:r>
        <w:rPr/>
        <w:t>The Commonwealth must also comply with the Public Notice Procedures set forth in 42 CFR 447.205 for changes in statewide methods and standards for setting payment rates.</w:t>
      </w:r>
    </w:p>
    <w:p>
      <w:pPr>
        <w:pStyle w:val="BodyText"/>
        <w:spacing w:before="10"/>
        <w:rPr>
          <w:sz w:val="20"/>
        </w:rPr>
      </w:pPr>
    </w:p>
    <w:p>
      <w:pPr>
        <w:pStyle w:val="BodyText"/>
        <w:ind w:left="2071" w:right="1239"/>
      </w:pPr>
      <w:bookmarkStart w:name="In states with federally recognized Indi" w:id="157"/>
      <w:bookmarkEnd w:id="157"/>
      <w:r>
        <w:rPr/>
      </w:r>
      <w:r>
        <w:rPr/>
        <w:t>In</w:t>
      </w:r>
      <w:r>
        <w:rPr>
          <w:spacing w:val="-4"/>
        </w:rPr>
        <w:t> </w:t>
      </w:r>
      <w:r>
        <w:rPr/>
        <w:t>states</w:t>
      </w:r>
      <w:r>
        <w:rPr>
          <w:spacing w:val="-4"/>
        </w:rPr>
        <w:t> </w:t>
      </w:r>
      <w:r>
        <w:rPr/>
        <w:t>with</w:t>
      </w:r>
      <w:r>
        <w:rPr>
          <w:spacing w:val="-4"/>
        </w:rPr>
        <w:t> </w:t>
      </w:r>
      <w:r>
        <w:rPr/>
        <w:t>federally</w:t>
      </w:r>
      <w:r>
        <w:rPr>
          <w:spacing w:val="-8"/>
        </w:rPr>
        <w:t> </w:t>
      </w:r>
      <w:r>
        <w:rPr/>
        <w:t>recognized</w:t>
      </w:r>
      <w:r>
        <w:rPr>
          <w:spacing w:val="-2"/>
        </w:rPr>
        <w:t> </w:t>
      </w:r>
      <w:r>
        <w:rPr/>
        <w:t>Indian</w:t>
      </w:r>
      <w:r>
        <w:rPr>
          <w:spacing w:val="-4"/>
        </w:rPr>
        <w:t> </w:t>
      </w:r>
      <w:r>
        <w:rPr/>
        <w:t>tribes,</w:t>
      </w:r>
      <w:r>
        <w:rPr>
          <w:spacing w:val="-4"/>
        </w:rPr>
        <w:t> </w:t>
      </w:r>
      <w:r>
        <w:rPr/>
        <w:t>consultation</w:t>
      </w:r>
      <w:r>
        <w:rPr>
          <w:spacing w:val="-4"/>
        </w:rPr>
        <w:t> </w:t>
      </w:r>
      <w:r>
        <w:rPr/>
        <w:t>must</w:t>
      </w:r>
      <w:r>
        <w:rPr>
          <w:spacing w:val="-4"/>
        </w:rPr>
        <w:t> </w:t>
      </w:r>
      <w:r>
        <w:rPr/>
        <w:t>be</w:t>
      </w:r>
      <w:r>
        <w:rPr>
          <w:spacing w:val="-5"/>
        </w:rPr>
        <w:t> </w:t>
      </w:r>
      <w:r>
        <w:rPr/>
        <w:t>conducted</w:t>
      </w:r>
      <w:r>
        <w:rPr>
          <w:spacing w:val="-4"/>
        </w:rPr>
        <w:t> </w:t>
      </w:r>
      <w:r>
        <w:rPr/>
        <w:t>in accordance with the consultation process outlined in the July</w:t>
      </w:r>
      <w:r>
        <w:rPr>
          <w:spacing w:val="-6"/>
        </w:rPr>
        <w:t> </w:t>
      </w:r>
      <w:r>
        <w:rPr/>
        <w:t>17, 2001 letter or the</w:t>
      </w:r>
    </w:p>
    <w:p>
      <w:pPr>
        <w:spacing w:after="0"/>
        <w:sectPr>
          <w:pgSz w:w="12240" w:h="15840"/>
          <w:pgMar w:header="0" w:footer="1201" w:top="1360" w:bottom="1400" w:left="0" w:right="220"/>
        </w:sectPr>
      </w:pPr>
    </w:p>
    <w:p>
      <w:pPr>
        <w:pStyle w:val="BodyText"/>
        <w:spacing w:before="79"/>
        <w:ind w:left="2071" w:right="1315"/>
      </w:pPr>
      <w:r>
        <w:rPr/>
        <w:t>consultation process in the state’s approved Medicaid state plan if that process is specifically</w:t>
      </w:r>
      <w:r>
        <w:rPr>
          <w:spacing w:val="-8"/>
        </w:rPr>
        <w:t> </w:t>
      </w:r>
      <w:r>
        <w:rPr/>
        <w:t>applicable</w:t>
      </w:r>
      <w:r>
        <w:rPr>
          <w:spacing w:val="-5"/>
        </w:rPr>
        <w:t> </w:t>
      </w:r>
      <w:r>
        <w:rPr/>
        <w:t>to</w:t>
      </w:r>
      <w:r>
        <w:rPr>
          <w:spacing w:val="-2"/>
        </w:rPr>
        <w:t> </w:t>
      </w:r>
      <w:r>
        <w:rPr/>
        <w:t>consulting</w:t>
      </w:r>
      <w:r>
        <w:rPr>
          <w:spacing w:val="-6"/>
        </w:rPr>
        <w:t> </w:t>
      </w:r>
      <w:r>
        <w:rPr/>
        <w:t>with</w:t>
      </w:r>
      <w:r>
        <w:rPr>
          <w:spacing w:val="-4"/>
        </w:rPr>
        <w:t> </w:t>
      </w:r>
      <w:r>
        <w:rPr/>
        <w:t>tribal</w:t>
      </w:r>
      <w:r>
        <w:rPr>
          <w:spacing w:val="-2"/>
        </w:rPr>
        <w:t> </w:t>
      </w:r>
      <w:r>
        <w:rPr/>
        <w:t>governments</w:t>
      </w:r>
      <w:r>
        <w:rPr>
          <w:spacing w:val="-4"/>
        </w:rPr>
        <w:t> </w:t>
      </w:r>
      <w:r>
        <w:rPr/>
        <w:t>on</w:t>
      </w:r>
      <w:r>
        <w:rPr>
          <w:spacing w:val="-4"/>
        </w:rPr>
        <w:t> </w:t>
      </w:r>
      <w:r>
        <w:rPr/>
        <w:t>waivers</w:t>
      </w:r>
      <w:r>
        <w:rPr>
          <w:spacing w:val="-4"/>
        </w:rPr>
        <w:t> </w:t>
      </w:r>
      <w:r>
        <w:rPr/>
        <w:t>in</w:t>
      </w:r>
      <w:r>
        <w:rPr>
          <w:spacing w:val="-4"/>
        </w:rPr>
        <w:t> </w:t>
      </w:r>
      <w:r>
        <w:rPr/>
        <w:t>accordance with 42 CFR §431.408(b)(2).</w:t>
      </w:r>
    </w:p>
    <w:p>
      <w:pPr>
        <w:pStyle w:val="BodyText"/>
        <w:spacing w:before="10"/>
        <w:rPr>
          <w:sz w:val="20"/>
        </w:rPr>
      </w:pPr>
    </w:p>
    <w:p>
      <w:pPr>
        <w:pStyle w:val="BodyText"/>
        <w:ind w:left="2071" w:right="1239"/>
      </w:pPr>
      <w:r>
        <w:rPr/>
        <w:drawing>
          <wp:anchor distT="0" distB="0" distL="0" distR="0" allowOverlap="1" layoutInCell="1" locked="0" behindDoc="0" simplePos="0" relativeHeight="15747072">
            <wp:simplePos x="0" y="0"/>
            <wp:positionH relativeFrom="page">
              <wp:posOffset>897636</wp:posOffset>
            </wp:positionH>
            <wp:positionV relativeFrom="paragraph">
              <wp:posOffset>35600</wp:posOffset>
            </wp:positionV>
            <wp:extent cx="294131" cy="112775"/>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48" cstate="print"/>
                    <a:stretch>
                      <a:fillRect/>
                    </a:stretch>
                  </pic:blipFill>
                  <pic:spPr>
                    <a:xfrm>
                      <a:off x="0" y="0"/>
                      <a:ext cx="294131" cy="112775"/>
                    </a:xfrm>
                    <a:prstGeom prst="rect">
                      <a:avLst/>
                    </a:prstGeom>
                  </pic:spPr>
                </pic:pic>
              </a:graphicData>
            </a:graphic>
          </wp:anchor>
        </w:drawing>
      </w:r>
      <w:bookmarkStart w:name="3.14. Federal Financial Participation (F" w:id="158"/>
      <w:bookmarkEnd w:id="158"/>
      <w:r>
        <w:rPr/>
      </w:r>
      <w:r>
        <w:rPr>
          <w:b/>
        </w:rPr>
        <w:t>Federal Financial</w:t>
      </w:r>
      <w:r>
        <w:rPr>
          <w:b/>
          <w:spacing w:val="-2"/>
        </w:rPr>
        <w:t> </w:t>
      </w:r>
      <w:r>
        <w:rPr>
          <w:b/>
        </w:rPr>
        <w:t>Participation</w:t>
      </w:r>
      <w:r>
        <w:rPr>
          <w:b/>
          <w:spacing w:val="-2"/>
        </w:rPr>
        <w:t> </w:t>
      </w:r>
      <w:r>
        <w:rPr>
          <w:b/>
        </w:rPr>
        <w:t>(FFP).</w:t>
      </w:r>
      <w:r>
        <w:rPr>
          <w:b/>
          <w:spacing w:val="40"/>
        </w:rPr>
        <w:t> </w:t>
      </w:r>
      <w:r>
        <w:rPr/>
        <w:t>No</w:t>
      </w:r>
      <w:r>
        <w:rPr>
          <w:spacing w:val="-2"/>
        </w:rPr>
        <w:t> </w:t>
      </w:r>
      <w:r>
        <w:rPr/>
        <w:t>federal</w:t>
      </w:r>
      <w:r>
        <w:rPr>
          <w:spacing w:val="-2"/>
        </w:rPr>
        <w:t> </w:t>
      </w:r>
      <w:r>
        <w:rPr/>
        <w:t>matching</w:t>
      </w:r>
      <w:r>
        <w:rPr>
          <w:spacing w:val="-5"/>
        </w:rPr>
        <w:t> </w:t>
      </w:r>
      <w:r>
        <w:rPr/>
        <w:t>funds</w:t>
      </w:r>
      <w:r>
        <w:rPr>
          <w:spacing w:val="-2"/>
        </w:rPr>
        <w:t> </w:t>
      </w:r>
      <w:r>
        <w:rPr/>
        <w:t>for</w:t>
      </w:r>
      <w:r>
        <w:rPr>
          <w:spacing w:val="-1"/>
        </w:rPr>
        <w:t> </w:t>
      </w:r>
      <w:r>
        <w:rPr/>
        <w:t>expenditures</w:t>
      </w:r>
      <w:r>
        <w:rPr>
          <w:spacing w:val="-2"/>
        </w:rPr>
        <w:t> </w:t>
      </w:r>
      <w:r>
        <w:rPr/>
        <w:t>for this</w:t>
      </w:r>
      <w:r>
        <w:rPr>
          <w:spacing w:val="-4"/>
        </w:rPr>
        <w:t> </w:t>
      </w:r>
      <w:r>
        <w:rPr/>
        <w:t>demonstration,</w:t>
      </w:r>
      <w:r>
        <w:rPr>
          <w:spacing w:val="-4"/>
        </w:rPr>
        <w:t> </w:t>
      </w:r>
      <w:r>
        <w:rPr/>
        <w:t>including</w:t>
      </w:r>
      <w:r>
        <w:rPr>
          <w:spacing w:val="-7"/>
        </w:rPr>
        <w:t> </w:t>
      </w:r>
      <w:r>
        <w:rPr/>
        <w:t>for</w:t>
      </w:r>
      <w:r>
        <w:rPr>
          <w:spacing w:val="-3"/>
        </w:rPr>
        <w:t> </w:t>
      </w:r>
      <w:r>
        <w:rPr/>
        <w:t>administrative</w:t>
      </w:r>
      <w:r>
        <w:rPr>
          <w:spacing w:val="-5"/>
        </w:rPr>
        <w:t> </w:t>
      </w:r>
      <w:r>
        <w:rPr/>
        <w:t>and</w:t>
      </w:r>
      <w:r>
        <w:rPr>
          <w:spacing w:val="-4"/>
        </w:rPr>
        <w:t> </w:t>
      </w:r>
      <w:r>
        <w:rPr/>
        <w:t>medical</w:t>
      </w:r>
      <w:r>
        <w:rPr>
          <w:spacing w:val="-4"/>
        </w:rPr>
        <w:t> </w:t>
      </w:r>
      <w:r>
        <w:rPr/>
        <w:t>assistance</w:t>
      </w:r>
      <w:r>
        <w:rPr>
          <w:spacing w:val="-3"/>
        </w:rPr>
        <w:t> </w:t>
      </w:r>
      <w:r>
        <w:rPr/>
        <w:t>expenditures,</w:t>
      </w:r>
      <w:r>
        <w:rPr>
          <w:spacing w:val="-4"/>
        </w:rPr>
        <w:t> </w:t>
      </w:r>
      <w:r>
        <w:rPr/>
        <w:t>will be available until the effective date identified in the demonstration approval letter, or if later, as expressly stated within these STCs.</w:t>
      </w:r>
    </w:p>
    <w:p>
      <w:pPr>
        <w:pStyle w:val="BodyText"/>
        <w:spacing w:before="10"/>
        <w:rPr>
          <w:sz w:val="20"/>
        </w:rPr>
      </w:pPr>
    </w:p>
    <w:p>
      <w:pPr>
        <w:pStyle w:val="BodyText"/>
        <w:ind w:left="2071" w:right="1239"/>
      </w:pPr>
      <w:r>
        <w:rPr/>
        <w:drawing>
          <wp:anchor distT="0" distB="0" distL="0" distR="0" allowOverlap="1" layoutInCell="1" locked="0" behindDoc="0" simplePos="0" relativeHeight="15747584">
            <wp:simplePos x="0" y="0"/>
            <wp:positionH relativeFrom="page">
              <wp:posOffset>897636</wp:posOffset>
            </wp:positionH>
            <wp:positionV relativeFrom="paragraph">
              <wp:posOffset>35612</wp:posOffset>
            </wp:positionV>
            <wp:extent cx="294131" cy="112763"/>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49" cstate="print"/>
                    <a:stretch>
                      <a:fillRect/>
                    </a:stretch>
                  </pic:blipFill>
                  <pic:spPr>
                    <a:xfrm>
                      <a:off x="0" y="0"/>
                      <a:ext cx="294131" cy="112763"/>
                    </a:xfrm>
                    <a:prstGeom prst="rect">
                      <a:avLst/>
                    </a:prstGeom>
                  </pic:spPr>
                </pic:pic>
              </a:graphicData>
            </a:graphic>
          </wp:anchor>
        </w:drawing>
      </w:r>
      <w:bookmarkStart w:name="3.15. Administrative Authority.  When th" w:id="159"/>
      <w:bookmarkEnd w:id="159"/>
      <w:r>
        <w:rPr/>
      </w:r>
      <w:r>
        <w:rPr>
          <w:b/>
        </w:rPr>
        <w:t>Administrative Authority.</w:t>
      </w:r>
      <w:r>
        <w:rPr>
          <w:b/>
          <w:spacing w:val="40"/>
        </w:rPr>
        <w:t> </w:t>
      </w:r>
      <w:r>
        <w:rPr/>
        <w:t>When there are multiple entities involved in the administration of the demonstration, the Single State Medicaid Agency must maintain authority, accountability, and oversight of the program.</w:t>
      </w:r>
      <w:r>
        <w:rPr>
          <w:spacing w:val="40"/>
        </w:rPr>
        <w:t> </w:t>
      </w:r>
      <w:r>
        <w:rPr/>
        <w:t>The State Medicaid Agency</w:t>
      </w:r>
      <w:r>
        <w:rPr>
          <w:spacing w:val="-2"/>
        </w:rPr>
        <w:t> </w:t>
      </w:r>
      <w:r>
        <w:rPr/>
        <w:t>must exercise oversight of all delegated functions to operating agencies, managed care plans, and</w:t>
      </w:r>
      <w:r>
        <w:rPr>
          <w:spacing w:val="-2"/>
        </w:rPr>
        <w:t> </w:t>
      </w:r>
      <w:r>
        <w:rPr/>
        <w:t>any</w:t>
      </w:r>
      <w:r>
        <w:rPr>
          <w:spacing w:val="-7"/>
        </w:rPr>
        <w:t> </w:t>
      </w:r>
      <w:r>
        <w:rPr/>
        <w:t>other</w:t>
      </w:r>
      <w:r>
        <w:rPr>
          <w:spacing w:val="-1"/>
        </w:rPr>
        <w:t> </w:t>
      </w:r>
      <w:r>
        <w:rPr/>
        <w:t>contracted entities.</w:t>
      </w:r>
      <w:r>
        <w:rPr>
          <w:spacing w:val="40"/>
        </w:rPr>
        <w:t> </w:t>
      </w:r>
      <w:r>
        <w:rPr/>
        <w:t>The</w:t>
      </w:r>
      <w:r>
        <w:rPr>
          <w:spacing w:val="-3"/>
        </w:rPr>
        <w:t> </w:t>
      </w:r>
      <w:r>
        <w:rPr/>
        <w:t>Single</w:t>
      </w:r>
      <w:r>
        <w:rPr>
          <w:spacing w:val="-3"/>
        </w:rPr>
        <w:t> </w:t>
      </w:r>
      <w:r>
        <w:rPr/>
        <w:t>State</w:t>
      </w:r>
      <w:r>
        <w:rPr>
          <w:spacing w:val="-3"/>
        </w:rPr>
        <w:t> </w:t>
      </w:r>
      <w:r>
        <w:rPr/>
        <w:t>Medicaid</w:t>
      </w:r>
      <w:r>
        <w:rPr>
          <w:spacing w:val="-2"/>
        </w:rPr>
        <w:t> </w:t>
      </w:r>
      <w:r>
        <w:rPr/>
        <w:t>Agency</w:t>
      </w:r>
      <w:r>
        <w:rPr>
          <w:spacing w:val="-7"/>
        </w:rPr>
        <w:t> </w:t>
      </w:r>
      <w:r>
        <w:rPr/>
        <w:t>is</w:t>
      </w:r>
      <w:r>
        <w:rPr>
          <w:spacing w:val="-2"/>
        </w:rPr>
        <w:t> </w:t>
      </w:r>
      <w:r>
        <w:rPr/>
        <w:t>responsible</w:t>
      </w:r>
      <w:r>
        <w:rPr>
          <w:spacing w:val="-3"/>
        </w:rPr>
        <w:t> </w:t>
      </w:r>
      <w:r>
        <w:rPr/>
        <w:t>for</w:t>
      </w:r>
      <w:r>
        <w:rPr>
          <w:spacing w:val="-3"/>
        </w:rPr>
        <w:t> </w:t>
      </w:r>
      <w:r>
        <w:rPr/>
        <w:t>the content and oversight of the quality strategies for the demonstration.</w:t>
      </w:r>
    </w:p>
    <w:p>
      <w:pPr>
        <w:pStyle w:val="BodyText"/>
        <w:spacing w:before="10"/>
        <w:rPr>
          <w:sz w:val="20"/>
        </w:rPr>
      </w:pPr>
    </w:p>
    <w:p>
      <w:pPr>
        <w:pStyle w:val="BodyText"/>
        <w:ind w:left="2071" w:right="1280"/>
      </w:pPr>
      <w:r>
        <w:rPr/>
        <w:drawing>
          <wp:anchor distT="0" distB="0" distL="0" distR="0" allowOverlap="1" layoutInCell="1" locked="0" behindDoc="0" simplePos="0" relativeHeight="15748096">
            <wp:simplePos x="0" y="0"/>
            <wp:positionH relativeFrom="page">
              <wp:posOffset>897636</wp:posOffset>
            </wp:positionH>
            <wp:positionV relativeFrom="paragraph">
              <wp:posOffset>35599</wp:posOffset>
            </wp:positionV>
            <wp:extent cx="294131" cy="112775"/>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50" cstate="print"/>
                    <a:stretch>
                      <a:fillRect/>
                    </a:stretch>
                  </pic:blipFill>
                  <pic:spPr>
                    <a:xfrm>
                      <a:off x="0" y="0"/>
                      <a:ext cx="294131" cy="112775"/>
                    </a:xfrm>
                    <a:prstGeom prst="rect">
                      <a:avLst/>
                    </a:prstGeom>
                  </pic:spPr>
                </pic:pic>
              </a:graphicData>
            </a:graphic>
          </wp:anchor>
        </w:drawing>
      </w:r>
      <w:bookmarkStart w:name="3.16. Common Rule Exemption.  The Common" w:id="160"/>
      <w:bookmarkEnd w:id="160"/>
      <w:r>
        <w:rPr/>
      </w:r>
      <w:r>
        <w:rPr>
          <w:b/>
        </w:rPr>
        <w:t>Common Rule Exemption.</w:t>
      </w:r>
      <w:r>
        <w:rPr>
          <w:b/>
          <w:spacing w:val="40"/>
        </w:rPr>
        <w:t> </w:t>
      </w:r>
      <w:r>
        <w:rPr/>
        <w:t>The Commonwealth shall ensure that the only involvement of human subjects in research activities that may be authorized and/or required by this demonstration</w:t>
      </w:r>
      <w:r>
        <w:rPr>
          <w:spacing w:val="-2"/>
        </w:rPr>
        <w:t> </w:t>
      </w:r>
      <w:r>
        <w:rPr/>
        <w:t>is</w:t>
      </w:r>
      <w:r>
        <w:rPr>
          <w:spacing w:val="-2"/>
        </w:rPr>
        <w:t> </w:t>
      </w:r>
      <w:r>
        <w:rPr/>
        <w:t>for</w:t>
      </w:r>
      <w:r>
        <w:rPr>
          <w:spacing w:val="-3"/>
        </w:rPr>
        <w:t> </w:t>
      </w:r>
      <w:r>
        <w:rPr/>
        <w:t>projects</w:t>
      </w:r>
      <w:r>
        <w:rPr>
          <w:spacing w:val="-2"/>
        </w:rPr>
        <w:t> </w:t>
      </w:r>
      <w:r>
        <w:rPr/>
        <w:t>that</w:t>
      </w:r>
      <w:r>
        <w:rPr>
          <w:spacing w:val="-2"/>
        </w:rPr>
        <w:t> </w:t>
      </w:r>
      <w:r>
        <w:rPr/>
        <w:t>are</w:t>
      </w:r>
      <w:r>
        <w:rPr>
          <w:spacing w:val="-3"/>
        </w:rPr>
        <w:t> </w:t>
      </w:r>
      <w:r>
        <w:rPr/>
        <w:t>conducted</w:t>
      </w:r>
      <w:r>
        <w:rPr>
          <w:spacing w:val="-1"/>
        </w:rPr>
        <w:t> </w:t>
      </w:r>
      <w:r>
        <w:rPr/>
        <w:t>by</w:t>
      </w:r>
      <w:r>
        <w:rPr>
          <w:spacing w:val="-5"/>
        </w:rPr>
        <w:t> </w:t>
      </w:r>
      <w:r>
        <w:rPr/>
        <w:t>or</w:t>
      </w:r>
      <w:r>
        <w:rPr>
          <w:spacing w:val="-3"/>
        </w:rPr>
        <w:t> </w:t>
      </w:r>
      <w:r>
        <w:rPr/>
        <w:t>subject</w:t>
      </w:r>
      <w:r>
        <w:rPr>
          <w:spacing w:val="-2"/>
        </w:rPr>
        <w:t> </w:t>
      </w:r>
      <w:r>
        <w:rPr/>
        <w:t>to</w:t>
      </w:r>
      <w:r>
        <w:rPr>
          <w:spacing w:val="-2"/>
        </w:rPr>
        <w:t> </w:t>
      </w:r>
      <w:r>
        <w:rPr/>
        <w:t>the</w:t>
      </w:r>
      <w:r>
        <w:rPr>
          <w:spacing w:val="-3"/>
        </w:rPr>
        <w:t> </w:t>
      </w:r>
      <w:r>
        <w:rPr/>
        <w:t>approval</w:t>
      </w:r>
      <w:r>
        <w:rPr>
          <w:spacing w:val="-2"/>
        </w:rPr>
        <w:t> </w:t>
      </w:r>
      <w:r>
        <w:rPr/>
        <w:t>of</w:t>
      </w:r>
      <w:r>
        <w:rPr>
          <w:spacing w:val="-3"/>
        </w:rPr>
        <w:t> </w:t>
      </w:r>
      <w:r>
        <w:rPr/>
        <w:t>CMS,</w:t>
      </w:r>
      <w:r>
        <w:rPr>
          <w:spacing w:val="-2"/>
        </w:rPr>
        <w:t> </w:t>
      </w:r>
      <w:r>
        <w:rPr/>
        <w:t>and that are</w:t>
      </w:r>
      <w:r>
        <w:rPr>
          <w:spacing w:val="-1"/>
        </w:rPr>
        <w:t> </w:t>
      </w:r>
      <w:r>
        <w:rPr/>
        <w:t>designed to study, evaluate, or</w:t>
      </w:r>
      <w:r>
        <w:rPr>
          <w:spacing w:val="-1"/>
        </w:rPr>
        <w:t> </w:t>
      </w:r>
      <w:r>
        <w:rPr/>
        <w:t>otherwise examine</w:t>
      </w:r>
      <w:r>
        <w:rPr>
          <w:spacing w:val="-1"/>
        </w:rPr>
        <w:t> </w:t>
      </w:r>
      <w:r>
        <w:rPr/>
        <w:t>the</w:t>
      </w:r>
      <w:r>
        <w:rPr>
          <w:spacing w:val="-1"/>
        </w:rPr>
        <w:t> </w:t>
      </w:r>
      <w:r>
        <w:rPr/>
        <w:t>Medicaid or CHIP program – including public benefit or service programs; procedures for obtaining Medicaid or CHIP benefits or services; possible changes in or alternatives to those Medicaid or CHIP programs or and procedures; or possible changes in methods or levels of payment for Medicaid and CHIP benefits or services under those programs.</w:t>
      </w:r>
      <w:r>
        <w:rPr>
          <w:spacing w:val="40"/>
        </w:rPr>
        <w:t> </w:t>
      </w:r>
      <w:r>
        <w:rPr/>
        <w:t>CMS has determined that this demonstration as represented in these approved STCs meets the requirements for exemption from the human subject research provisions of the Common Rule set forth in 45 CFR 46.104(d)(5).</w:t>
      </w:r>
    </w:p>
    <w:p>
      <w:pPr>
        <w:pStyle w:val="BodyText"/>
        <w:spacing w:before="10"/>
        <w:rPr>
          <w:sz w:val="20"/>
        </w:rPr>
      </w:pPr>
    </w:p>
    <w:p>
      <w:pPr>
        <w:pStyle w:val="Heading4"/>
        <w:numPr>
          <w:ilvl w:val="0"/>
          <w:numId w:val="3"/>
        </w:numPr>
        <w:tabs>
          <w:tab w:pos="1800" w:val="left" w:leader="none"/>
        </w:tabs>
        <w:spacing w:line="240" w:lineRule="auto" w:before="0" w:after="0"/>
        <w:ind w:left="1800" w:right="0" w:hanging="360"/>
        <w:jc w:val="left"/>
      </w:pPr>
      <w:bookmarkStart w:name="4. ELIGIBILITY AND ENROLLMENT" w:id="161"/>
      <w:bookmarkEnd w:id="161"/>
      <w:r>
        <w:rPr>
          <w:b w:val="0"/>
        </w:rPr>
      </w:r>
      <w:r>
        <w:rPr/>
        <w:t>ELIGIBILITY</w:t>
      </w:r>
      <w:r>
        <w:rPr>
          <w:spacing w:val="-3"/>
        </w:rPr>
        <w:t> </w:t>
      </w:r>
      <w:r>
        <w:rPr/>
        <w:t>AND</w:t>
      </w:r>
      <w:r>
        <w:rPr>
          <w:spacing w:val="-3"/>
        </w:rPr>
        <w:t> </w:t>
      </w:r>
      <w:r>
        <w:rPr>
          <w:spacing w:val="-2"/>
        </w:rPr>
        <w:t>ENROLLMENT</w:t>
      </w:r>
    </w:p>
    <w:p>
      <w:pPr>
        <w:pStyle w:val="BodyText"/>
        <w:spacing w:before="10"/>
        <w:rPr>
          <w:b/>
          <w:sz w:val="20"/>
        </w:rPr>
      </w:pPr>
    </w:p>
    <w:p>
      <w:pPr>
        <w:pStyle w:val="BodyText"/>
        <w:spacing w:before="1"/>
        <w:ind w:left="2071" w:right="1239"/>
      </w:pPr>
      <w:r>
        <w:rPr/>
        <w:drawing>
          <wp:anchor distT="0" distB="0" distL="0" distR="0" allowOverlap="1" layoutInCell="1" locked="0" behindDoc="0" simplePos="0" relativeHeight="15748608">
            <wp:simplePos x="0" y="0"/>
            <wp:positionH relativeFrom="page">
              <wp:posOffset>970788</wp:posOffset>
            </wp:positionH>
            <wp:positionV relativeFrom="paragraph">
              <wp:posOffset>36247</wp:posOffset>
            </wp:positionV>
            <wp:extent cx="222503" cy="112763"/>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51" cstate="print"/>
                    <a:stretch>
                      <a:fillRect/>
                    </a:stretch>
                  </pic:blipFill>
                  <pic:spPr>
                    <a:xfrm>
                      <a:off x="0" y="0"/>
                      <a:ext cx="222503" cy="112763"/>
                    </a:xfrm>
                    <a:prstGeom prst="rect">
                      <a:avLst/>
                    </a:prstGeom>
                  </pic:spPr>
                </pic:pic>
              </a:graphicData>
            </a:graphic>
          </wp:anchor>
        </w:drawing>
      </w:r>
      <w:bookmarkStart w:name="4.1. Eligible Populations.  This demonst" w:id="162"/>
      <w:bookmarkEnd w:id="162"/>
      <w:r>
        <w:rPr/>
      </w:r>
      <w:r>
        <w:rPr>
          <w:b/>
        </w:rPr>
        <w:t>Eligible Populations.</w:t>
      </w:r>
      <w:r>
        <w:rPr>
          <w:b/>
          <w:spacing w:val="40"/>
        </w:rPr>
        <w:t> </w:t>
      </w:r>
      <w:r>
        <w:rPr/>
        <w:t>This demonstration affects mandatory and optional Medicaid and CHIP State plan populations as well as populations eligible for benefits only through the demonstration.</w:t>
      </w:r>
      <w:r>
        <w:rPr>
          <w:spacing w:val="40"/>
        </w:rPr>
        <w:t> </w:t>
      </w:r>
      <w:r>
        <w:rPr/>
        <w:t>Table</w:t>
      </w:r>
      <w:r>
        <w:rPr>
          <w:spacing w:val="-4"/>
        </w:rPr>
        <w:t> </w:t>
      </w:r>
      <w:r>
        <w:rPr/>
        <w:t>2</w:t>
      </w:r>
      <w:r>
        <w:rPr>
          <w:spacing w:val="-1"/>
        </w:rPr>
        <w:t> </w:t>
      </w:r>
      <w:r>
        <w:rPr/>
        <w:t>of</w:t>
      </w:r>
      <w:r>
        <w:rPr>
          <w:spacing w:val="-4"/>
        </w:rPr>
        <w:t> </w:t>
      </w:r>
      <w:r>
        <w:rPr/>
        <w:t>section</w:t>
      </w:r>
      <w:r>
        <w:rPr>
          <w:spacing w:val="-3"/>
        </w:rPr>
        <w:t> </w:t>
      </w:r>
      <w:r>
        <w:rPr/>
        <w:t>4</w:t>
      </w:r>
      <w:r>
        <w:rPr>
          <w:spacing w:val="-3"/>
        </w:rPr>
        <w:t> </w:t>
      </w:r>
      <w:r>
        <w:rPr/>
        <w:t>of</w:t>
      </w:r>
      <w:r>
        <w:rPr>
          <w:spacing w:val="-4"/>
        </w:rPr>
        <w:t> </w:t>
      </w:r>
      <w:r>
        <w:rPr/>
        <w:t>the</w:t>
      </w:r>
      <w:r>
        <w:rPr>
          <w:spacing w:val="-4"/>
        </w:rPr>
        <w:t> </w:t>
      </w:r>
      <w:r>
        <w:rPr/>
        <w:t>STCs</w:t>
      </w:r>
      <w:r>
        <w:rPr>
          <w:spacing w:val="-3"/>
        </w:rPr>
        <w:t> </w:t>
      </w:r>
      <w:r>
        <w:rPr/>
        <w:t>shows</w:t>
      </w:r>
      <w:r>
        <w:rPr>
          <w:spacing w:val="-3"/>
        </w:rPr>
        <w:t> </w:t>
      </w:r>
      <w:r>
        <w:rPr/>
        <w:t>each</w:t>
      </w:r>
      <w:r>
        <w:rPr>
          <w:spacing w:val="-3"/>
        </w:rPr>
        <w:t> </w:t>
      </w:r>
      <w:r>
        <w:rPr/>
        <w:t>specific</w:t>
      </w:r>
      <w:r>
        <w:rPr>
          <w:spacing w:val="-2"/>
        </w:rPr>
        <w:t> </w:t>
      </w:r>
      <w:r>
        <w:rPr/>
        <w:t>group</w:t>
      </w:r>
      <w:r>
        <w:rPr>
          <w:spacing w:val="-3"/>
        </w:rPr>
        <w:t> </w:t>
      </w:r>
      <w:r>
        <w:rPr/>
        <w:t>of</w:t>
      </w:r>
      <w:r>
        <w:rPr>
          <w:spacing w:val="-4"/>
        </w:rPr>
        <w:t> </w:t>
      </w:r>
      <w:r>
        <w:rPr/>
        <w:t>individuals; under what authority they are made eligible for the demonstration; the name of the eligibility and expenditure group under which expenditures are reported to CMS and the budget neutrality expenditure agreement is constructed; and the corresponding demonstration program under which benefits are provided.</w:t>
      </w:r>
    </w:p>
    <w:p>
      <w:pPr>
        <w:pStyle w:val="BodyText"/>
        <w:spacing w:before="10"/>
        <w:rPr>
          <w:sz w:val="20"/>
        </w:rPr>
      </w:pPr>
    </w:p>
    <w:p>
      <w:pPr>
        <w:pStyle w:val="BodyText"/>
        <w:ind w:left="2611" w:right="1239"/>
      </w:pPr>
      <w:r>
        <w:rPr/>
        <w:drawing>
          <wp:anchor distT="0" distB="0" distL="0" distR="0" allowOverlap="1" layoutInCell="1" locked="0" behindDoc="0" simplePos="0" relativeHeight="15749120">
            <wp:simplePos x="0" y="0"/>
            <wp:positionH relativeFrom="page">
              <wp:posOffset>1431036</wp:posOffset>
            </wp:positionH>
            <wp:positionV relativeFrom="paragraph">
              <wp:posOffset>67603</wp:posOffset>
            </wp:positionV>
            <wp:extent cx="96011" cy="80771"/>
            <wp:effectExtent l="0" t="0" r="0" b="0"/>
            <wp:wrapNone/>
            <wp:docPr id="46" name="Image 46"/>
            <wp:cNvGraphicFramePr>
              <a:graphicFrameLocks/>
            </wp:cNvGraphicFramePr>
            <a:graphic>
              <a:graphicData uri="http://schemas.openxmlformats.org/drawingml/2006/picture">
                <pic:pic>
                  <pic:nvPicPr>
                    <pic:cNvPr id="46" name="Image 46"/>
                    <pic:cNvPicPr/>
                  </pic:nvPicPr>
                  <pic:blipFill>
                    <a:blip r:embed="rId29" cstate="print"/>
                    <a:stretch>
                      <a:fillRect/>
                    </a:stretch>
                  </pic:blipFill>
                  <pic:spPr>
                    <a:xfrm>
                      <a:off x="0" y="0"/>
                      <a:ext cx="96011" cy="80771"/>
                    </a:xfrm>
                    <a:prstGeom prst="rect">
                      <a:avLst/>
                    </a:prstGeom>
                  </pic:spPr>
                </pic:pic>
              </a:graphicData>
            </a:graphic>
          </wp:anchor>
        </w:drawing>
      </w:r>
      <w:bookmarkStart w:name="a. Eligibility is determined based on an" w:id="163"/>
      <w:bookmarkEnd w:id="163"/>
      <w:r>
        <w:rPr/>
      </w:r>
      <w:r>
        <w:rPr/>
        <w:t>Eligibility is determined based on an application by the beneficiary or without an application</w:t>
      </w:r>
      <w:r>
        <w:rPr>
          <w:spacing w:val="-4"/>
        </w:rPr>
        <w:t> </w:t>
      </w:r>
      <w:r>
        <w:rPr/>
        <w:t>for</w:t>
      </w:r>
      <w:r>
        <w:rPr>
          <w:spacing w:val="-5"/>
        </w:rPr>
        <w:t> </w:t>
      </w:r>
      <w:r>
        <w:rPr/>
        <w:t>eligibility</w:t>
      </w:r>
      <w:r>
        <w:rPr>
          <w:spacing w:val="-6"/>
        </w:rPr>
        <w:t> </w:t>
      </w:r>
      <w:r>
        <w:rPr/>
        <w:t>groups</w:t>
      </w:r>
      <w:r>
        <w:rPr>
          <w:spacing w:val="-2"/>
        </w:rPr>
        <w:t> </w:t>
      </w:r>
      <w:r>
        <w:rPr/>
        <w:t>enrolled</w:t>
      </w:r>
      <w:r>
        <w:rPr>
          <w:spacing w:val="-4"/>
        </w:rPr>
        <w:t> </w:t>
      </w:r>
      <w:r>
        <w:rPr/>
        <w:t>based</w:t>
      </w:r>
      <w:r>
        <w:rPr>
          <w:spacing w:val="-4"/>
        </w:rPr>
        <w:t> </w:t>
      </w:r>
      <w:r>
        <w:rPr/>
        <w:t>on</w:t>
      </w:r>
      <w:r>
        <w:rPr>
          <w:spacing w:val="-4"/>
        </w:rPr>
        <w:t> </w:t>
      </w:r>
      <w:r>
        <w:rPr/>
        <w:t>receipt</w:t>
      </w:r>
      <w:r>
        <w:rPr>
          <w:spacing w:val="-4"/>
        </w:rPr>
        <w:t> </w:t>
      </w:r>
      <w:r>
        <w:rPr/>
        <w:t>of</w:t>
      </w:r>
      <w:r>
        <w:rPr>
          <w:spacing w:val="-5"/>
        </w:rPr>
        <w:t> </w:t>
      </w:r>
      <w:r>
        <w:rPr/>
        <w:t>benefits</w:t>
      </w:r>
      <w:r>
        <w:rPr>
          <w:spacing w:val="-4"/>
        </w:rPr>
        <w:t> </w:t>
      </w:r>
      <w:r>
        <w:rPr/>
        <w:t>under</w:t>
      </w:r>
      <w:r>
        <w:rPr>
          <w:spacing w:val="-5"/>
        </w:rPr>
        <w:t> </w:t>
      </w:r>
      <w:r>
        <w:rPr/>
        <w:t>another </w:t>
      </w:r>
      <w:r>
        <w:rPr>
          <w:spacing w:val="-2"/>
        </w:rPr>
        <w:t>program.</w:t>
      </w:r>
    </w:p>
    <w:p>
      <w:pPr>
        <w:pStyle w:val="BodyText"/>
        <w:spacing w:before="10"/>
        <w:rPr>
          <w:sz w:val="20"/>
        </w:rPr>
      </w:pPr>
    </w:p>
    <w:p>
      <w:pPr>
        <w:pStyle w:val="BodyText"/>
        <w:ind w:left="2611" w:right="1281"/>
        <w:jc w:val="both"/>
      </w:pPr>
      <w:r>
        <w:rPr/>
        <w:drawing>
          <wp:anchor distT="0" distB="0" distL="0" distR="0" allowOverlap="1" layoutInCell="1" locked="0" behindDoc="0" simplePos="0" relativeHeight="15749632">
            <wp:simplePos x="0" y="0"/>
            <wp:positionH relativeFrom="page">
              <wp:posOffset>1424939</wp:posOffset>
            </wp:positionH>
            <wp:positionV relativeFrom="paragraph">
              <wp:posOffset>32551</wp:posOffset>
            </wp:positionV>
            <wp:extent cx="111251" cy="115823"/>
            <wp:effectExtent l="0" t="0" r="0" b="0"/>
            <wp:wrapNone/>
            <wp:docPr id="47" name="Image 47"/>
            <wp:cNvGraphicFramePr>
              <a:graphicFrameLocks/>
            </wp:cNvGraphicFramePr>
            <a:graphic>
              <a:graphicData uri="http://schemas.openxmlformats.org/drawingml/2006/picture">
                <pic:pic>
                  <pic:nvPicPr>
                    <pic:cNvPr id="47" name="Image 47"/>
                    <pic:cNvPicPr/>
                  </pic:nvPicPr>
                  <pic:blipFill>
                    <a:blip r:embed="rId34" cstate="print"/>
                    <a:stretch>
                      <a:fillRect/>
                    </a:stretch>
                  </pic:blipFill>
                  <pic:spPr>
                    <a:xfrm>
                      <a:off x="0" y="0"/>
                      <a:ext cx="111251" cy="115823"/>
                    </a:xfrm>
                    <a:prstGeom prst="rect">
                      <a:avLst/>
                    </a:prstGeom>
                  </pic:spPr>
                </pic:pic>
              </a:graphicData>
            </a:graphic>
          </wp:anchor>
        </w:drawing>
      </w:r>
      <w:bookmarkStart w:name="b. MassHealth defines the age of a depen" w:id="164"/>
      <w:bookmarkEnd w:id="164"/>
      <w:r>
        <w:rPr/>
      </w:r>
      <w:r>
        <w:rPr/>
        <w:t>MassHealth</w:t>
      </w:r>
      <w:r>
        <w:rPr>
          <w:spacing w:val="-3"/>
        </w:rPr>
        <w:t> </w:t>
      </w:r>
      <w:r>
        <w:rPr/>
        <w:t>defines</w:t>
      </w:r>
      <w:r>
        <w:rPr>
          <w:spacing w:val="-3"/>
        </w:rPr>
        <w:t> </w:t>
      </w:r>
      <w:r>
        <w:rPr/>
        <w:t>the</w:t>
      </w:r>
      <w:r>
        <w:rPr>
          <w:spacing w:val="-4"/>
        </w:rPr>
        <w:t> </w:t>
      </w:r>
      <w:r>
        <w:rPr/>
        <w:t>age</w:t>
      </w:r>
      <w:r>
        <w:rPr>
          <w:spacing w:val="-4"/>
        </w:rPr>
        <w:t> </w:t>
      </w:r>
      <w:r>
        <w:rPr/>
        <w:t>of</w:t>
      </w:r>
      <w:r>
        <w:rPr>
          <w:spacing w:val="-4"/>
        </w:rPr>
        <w:t> </w:t>
      </w:r>
      <w:r>
        <w:rPr/>
        <w:t>a</w:t>
      </w:r>
      <w:r>
        <w:rPr>
          <w:spacing w:val="-4"/>
        </w:rPr>
        <w:t> </w:t>
      </w:r>
      <w:r>
        <w:rPr/>
        <w:t>dependent</w:t>
      </w:r>
      <w:r>
        <w:rPr>
          <w:spacing w:val="-3"/>
        </w:rPr>
        <w:t> </w:t>
      </w:r>
      <w:r>
        <w:rPr/>
        <w:t>child</w:t>
      </w:r>
      <w:r>
        <w:rPr>
          <w:spacing w:val="-3"/>
        </w:rPr>
        <w:t> </w:t>
      </w:r>
      <w:r>
        <w:rPr/>
        <w:t>for</w:t>
      </w:r>
      <w:r>
        <w:rPr>
          <w:spacing w:val="-4"/>
        </w:rPr>
        <w:t> </w:t>
      </w:r>
      <w:r>
        <w:rPr/>
        <w:t>purposes</w:t>
      </w:r>
      <w:r>
        <w:rPr>
          <w:spacing w:val="-3"/>
        </w:rPr>
        <w:t> </w:t>
      </w:r>
      <w:r>
        <w:rPr/>
        <w:t>of</w:t>
      </w:r>
      <w:r>
        <w:rPr>
          <w:spacing w:val="-4"/>
        </w:rPr>
        <w:t> </w:t>
      </w:r>
      <w:r>
        <w:rPr/>
        <w:t>the</w:t>
      </w:r>
      <w:r>
        <w:rPr>
          <w:spacing w:val="-4"/>
        </w:rPr>
        <w:t> </w:t>
      </w:r>
      <w:r>
        <w:rPr/>
        <w:t>parent/caretaker relative</w:t>
      </w:r>
      <w:r>
        <w:rPr>
          <w:spacing w:val="-1"/>
        </w:rPr>
        <w:t> </w:t>
      </w:r>
      <w:r>
        <w:rPr/>
        <w:t>coverage</w:t>
      </w:r>
      <w:r>
        <w:rPr>
          <w:spacing w:val="-1"/>
        </w:rPr>
        <w:t> </w:t>
      </w:r>
      <w:r>
        <w:rPr/>
        <w:t>type</w:t>
      </w:r>
      <w:r>
        <w:rPr>
          <w:spacing w:val="-1"/>
        </w:rPr>
        <w:t> </w:t>
      </w:r>
      <w:r>
        <w:rPr/>
        <w:t>as a</w:t>
      </w:r>
      <w:r>
        <w:rPr>
          <w:spacing w:val="-1"/>
        </w:rPr>
        <w:t> </w:t>
      </w:r>
      <w:r>
        <w:rPr/>
        <w:t>child who is younger</w:t>
      </w:r>
      <w:r>
        <w:rPr>
          <w:spacing w:val="-1"/>
        </w:rPr>
        <w:t> </w:t>
      </w:r>
      <w:r>
        <w:rPr/>
        <w:t>than age</w:t>
      </w:r>
      <w:r>
        <w:rPr>
          <w:spacing w:val="-1"/>
        </w:rPr>
        <w:t> </w:t>
      </w:r>
      <w:r>
        <w:rPr/>
        <w:t>19.</w:t>
      </w:r>
      <w:r>
        <w:rPr>
          <w:spacing w:val="40"/>
        </w:rPr>
        <w:t> </w:t>
      </w:r>
      <w:r>
        <w:rPr/>
        <w:t>A caretaker</w:t>
      </w:r>
      <w:r>
        <w:rPr>
          <w:spacing w:val="-1"/>
        </w:rPr>
        <w:t> </w:t>
      </w:r>
      <w:r>
        <w:rPr/>
        <w:t>relative</w:t>
      </w:r>
      <w:r>
        <w:rPr>
          <w:spacing w:val="-1"/>
        </w:rPr>
        <w:t> </w:t>
      </w:r>
      <w:r>
        <w:rPr/>
        <w:t>is eligible under this provision only if the parent is not living in the household.</w:t>
      </w:r>
    </w:p>
    <w:p>
      <w:pPr>
        <w:spacing w:after="0"/>
        <w:jc w:val="both"/>
        <w:sectPr>
          <w:pgSz w:w="12240" w:h="15840"/>
          <w:pgMar w:header="0" w:footer="1201" w:top="1360" w:bottom="1400" w:left="0" w:right="220"/>
        </w:sectPr>
      </w:pPr>
    </w:p>
    <w:p>
      <w:pPr>
        <w:pStyle w:val="BodyText"/>
        <w:spacing w:before="79"/>
        <w:ind w:left="2071" w:right="1239"/>
      </w:pPr>
      <w:r>
        <w:rPr/>
        <w:drawing>
          <wp:anchor distT="0" distB="0" distL="0" distR="0" allowOverlap="1" layoutInCell="1" locked="0" behindDoc="0" simplePos="0" relativeHeight="15750144">
            <wp:simplePos x="0" y="0"/>
            <wp:positionH relativeFrom="page">
              <wp:posOffset>970788</wp:posOffset>
            </wp:positionH>
            <wp:positionV relativeFrom="paragraph">
              <wp:posOffset>85777</wp:posOffset>
            </wp:positionV>
            <wp:extent cx="222503" cy="112763"/>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52" cstate="print"/>
                    <a:stretch>
                      <a:fillRect/>
                    </a:stretch>
                  </pic:blipFill>
                  <pic:spPr>
                    <a:xfrm>
                      <a:off x="0" y="0"/>
                      <a:ext cx="222503" cy="112763"/>
                    </a:xfrm>
                    <a:prstGeom prst="rect">
                      <a:avLst/>
                    </a:prstGeom>
                  </pic:spPr>
                </pic:pic>
              </a:graphicData>
            </a:graphic>
          </wp:anchor>
        </w:drawing>
      </w:r>
      <w:bookmarkStart w:name="4.2. Retroactive Eligibility.  Retroacti" w:id="165"/>
      <w:bookmarkEnd w:id="165"/>
      <w:r>
        <w:rPr/>
      </w:r>
      <w:r>
        <w:rPr>
          <w:b/>
        </w:rPr>
        <w:t>Retroactive</w:t>
      </w:r>
      <w:r>
        <w:rPr>
          <w:b/>
          <w:spacing w:val="-4"/>
        </w:rPr>
        <w:t> </w:t>
      </w:r>
      <w:r>
        <w:rPr>
          <w:b/>
        </w:rPr>
        <w:t>Eligibility.</w:t>
      </w:r>
      <w:r>
        <w:rPr>
          <w:b/>
          <w:spacing w:val="40"/>
        </w:rPr>
        <w:t> </w:t>
      </w:r>
      <w:r>
        <w:rPr/>
        <w:t>Retroactive</w:t>
      </w:r>
      <w:r>
        <w:rPr>
          <w:spacing w:val="-4"/>
        </w:rPr>
        <w:t> </w:t>
      </w:r>
      <w:r>
        <w:rPr/>
        <w:t>eligibility</w:t>
      </w:r>
      <w:r>
        <w:rPr>
          <w:spacing w:val="-8"/>
        </w:rPr>
        <w:t> </w:t>
      </w:r>
      <w:r>
        <w:rPr/>
        <w:t>is</w:t>
      </w:r>
      <w:r>
        <w:rPr>
          <w:spacing w:val="-1"/>
        </w:rPr>
        <w:t> </w:t>
      </w:r>
      <w:r>
        <w:rPr/>
        <w:t>provided</w:t>
      </w:r>
      <w:r>
        <w:rPr>
          <w:spacing w:val="-3"/>
        </w:rPr>
        <w:t> </w:t>
      </w:r>
      <w:r>
        <w:rPr/>
        <w:t>in</w:t>
      </w:r>
      <w:r>
        <w:rPr>
          <w:spacing w:val="-3"/>
        </w:rPr>
        <w:t> </w:t>
      </w:r>
      <w:r>
        <w:rPr/>
        <w:t>accordance</w:t>
      </w:r>
      <w:r>
        <w:rPr>
          <w:spacing w:val="-2"/>
        </w:rPr>
        <w:t> </w:t>
      </w:r>
      <w:r>
        <w:rPr/>
        <w:t>with</w:t>
      </w:r>
      <w:r>
        <w:rPr>
          <w:spacing w:val="-3"/>
        </w:rPr>
        <w:t> </w:t>
      </w:r>
      <w:r>
        <w:rPr/>
        <w:t>STC</w:t>
      </w:r>
      <w:r>
        <w:rPr>
          <w:spacing w:val="-3"/>
        </w:rPr>
        <w:t> </w:t>
      </w:r>
      <w:r>
        <w:rPr/>
        <w:t>8.13 and Table 9. except that pregnant individuals and children up to the age of 19, of any eligible income level, are eligible for retroactive coverage up to the first day of the third month prior to the date of application for individuals that meet these definitions.</w:t>
      </w:r>
      <w:r>
        <w:rPr>
          <w:spacing w:val="40"/>
        </w:rPr>
        <w:t> </w:t>
      </w:r>
      <w:r>
        <w:rPr/>
        <w:t>The Commonwealth shall implement this STC by July 1, 2023.</w:t>
      </w:r>
    </w:p>
    <w:p>
      <w:pPr>
        <w:pStyle w:val="BodyText"/>
        <w:spacing w:before="10"/>
        <w:rPr>
          <w:sz w:val="20"/>
        </w:rPr>
      </w:pPr>
    </w:p>
    <w:p>
      <w:pPr>
        <w:pStyle w:val="BodyText"/>
        <w:ind w:left="2071" w:right="1239"/>
      </w:pPr>
      <w:r>
        <w:rPr/>
        <w:drawing>
          <wp:anchor distT="0" distB="0" distL="0" distR="0" allowOverlap="1" layoutInCell="1" locked="0" behindDoc="0" simplePos="0" relativeHeight="15750656">
            <wp:simplePos x="0" y="0"/>
            <wp:positionH relativeFrom="page">
              <wp:posOffset>970788</wp:posOffset>
            </wp:positionH>
            <wp:positionV relativeFrom="paragraph">
              <wp:posOffset>35612</wp:posOffset>
            </wp:positionV>
            <wp:extent cx="222503" cy="112763"/>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53" cstate="print"/>
                    <a:stretch>
                      <a:fillRect/>
                    </a:stretch>
                  </pic:blipFill>
                  <pic:spPr>
                    <a:xfrm>
                      <a:off x="0" y="0"/>
                      <a:ext cx="222503" cy="112763"/>
                    </a:xfrm>
                    <a:prstGeom prst="rect">
                      <a:avLst/>
                    </a:prstGeom>
                  </pic:spPr>
                </pic:pic>
              </a:graphicData>
            </a:graphic>
          </wp:anchor>
        </w:drawing>
      </w:r>
      <w:bookmarkStart w:name="4.3. Calculation of Financial Eligibilit" w:id="166"/>
      <w:bookmarkEnd w:id="166"/>
      <w:r>
        <w:rPr/>
      </w:r>
      <w:r>
        <w:rPr>
          <w:b/>
        </w:rPr>
        <w:t>Calculation of Financial Eligibility.</w:t>
      </w:r>
      <w:r>
        <w:rPr>
          <w:b/>
          <w:spacing w:val="40"/>
        </w:rPr>
        <w:t> </w:t>
      </w:r>
      <w:r>
        <w:rPr/>
        <w:t>Financial eligibility for demonstration programs is determined</w:t>
      </w:r>
      <w:r>
        <w:rPr>
          <w:spacing w:val="-3"/>
        </w:rPr>
        <w:t> </w:t>
      </w:r>
      <w:r>
        <w:rPr/>
        <w:t>by</w:t>
      </w:r>
      <w:r>
        <w:rPr>
          <w:spacing w:val="-8"/>
        </w:rPr>
        <w:t> </w:t>
      </w:r>
      <w:r>
        <w:rPr/>
        <w:t>comparing</w:t>
      </w:r>
      <w:r>
        <w:rPr>
          <w:spacing w:val="-6"/>
        </w:rPr>
        <w:t> </w:t>
      </w:r>
      <w:r>
        <w:rPr/>
        <w:t>the</w:t>
      </w:r>
      <w:r>
        <w:rPr>
          <w:spacing w:val="-4"/>
        </w:rPr>
        <w:t> </w:t>
      </w:r>
      <w:r>
        <w:rPr/>
        <w:t>family’s</w:t>
      </w:r>
      <w:r>
        <w:rPr>
          <w:spacing w:val="-3"/>
        </w:rPr>
        <w:t> </w:t>
      </w:r>
      <w:r>
        <w:rPr/>
        <w:t>Modified</w:t>
      </w:r>
      <w:r>
        <w:rPr>
          <w:spacing w:val="-1"/>
        </w:rPr>
        <w:t> </w:t>
      </w:r>
      <w:r>
        <w:rPr/>
        <w:t>Adjusted</w:t>
      </w:r>
      <w:r>
        <w:rPr>
          <w:spacing w:val="-3"/>
        </w:rPr>
        <w:t> </w:t>
      </w:r>
      <w:r>
        <w:rPr/>
        <w:t>Gross</w:t>
      </w:r>
      <w:r>
        <w:rPr>
          <w:spacing w:val="-1"/>
        </w:rPr>
        <w:t> </w:t>
      </w:r>
      <w:r>
        <w:rPr/>
        <w:t>Income</w:t>
      </w:r>
      <w:r>
        <w:rPr>
          <w:spacing w:val="-2"/>
        </w:rPr>
        <w:t> </w:t>
      </w:r>
      <w:r>
        <w:rPr/>
        <w:t>(MAGI)</w:t>
      </w:r>
      <w:r>
        <w:rPr>
          <w:spacing w:val="-4"/>
        </w:rPr>
        <w:t> </w:t>
      </w:r>
      <w:r>
        <w:rPr/>
        <w:t>with</w:t>
      </w:r>
      <w:r>
        <w:rPr>
          <w:spacing w:val="-3"/>
        </w:rPr>
        <w:t> </w:t>
      </w:r>
      <w:r>
        <w:rPr/>
        <w:t>the applicable income standard for the specific coverage type, with the exception of adults aged 19 and above who are determined eligible on the basis of disability and whose financial eligibility is determined as described below.</w:t>
      </w:r>
      <w:r>
        <w:rPr>
          <w:spacing w:val="40"/>
        </w:rPr>
        <w:t> </w:t>
      </w:r>
      <w:r>
        <w:rPr/>
        <w:t>MAGI income counting methodologies will also be applied to disabled adults in determining eligibility for MassHealth Standard and CommonHealth; however, household composition for disabled adults will always be determined using non-tax filer rules, regardless of whether the individual files income taxes or is claimed as a dependent on another person’s income taxes.</w:t>
      </w:r>
      <w:r>
        <w:rPr>
          <w:spacing w:val="40"/>
        </w:rPr>
        <w:t> </w:t>
      </w:r>
      <w:r>
        <w:rPr/>
        <w:t>In determining eligibility and making related calculations of deductibles and cost sharing for MassHealth Standard and CommonHealth for disabled adults, the Commonwealth may</w:t>
      </w:r>
      <w:r>
        <w:rPr>
          <w:spacing w:val="-4"/>
        </w:rPr>
        <w:t> </w:t>
      </w:r>
      <w:r>
        <w:rPr/>
        <w:t>consider state veteran annuity</w:t>
      </w:r>
      <w:r>
        <w:rPr>
          <w:spacing w:val="-2"/>
        </w:rPr>
        <w:t> </w:t>
      </w:r>
      <w:r>
        <w:rPr/>
        <w:t>as non-countable income as described below, and apply the five percent income disregard that is also applied to non-disabled </w:t>
      </w:r>
      <w:r>
        <w:rPr>
          <w:spacing w:val="-2"/>
        </w:rPr>
        <w:t>adults.</w:t>
      </w:r>
    </w:p>
    <w:p>
      <w:pPr>
        <w:pStyle w:val="BodyText"/>
        <w:spacing w:before="10"/>
        <w:rPr>
          <w:sz w:val="20"/>
        </w:rPr>
      </w:pPr>
    </w:p>
    <w:p>
      <w:pPr>
        <w:pStyle w:val="BodyText"/>
        <w:ind w:left="2611" w:right="1222"/>
      </w:pPr>
      <w:r>
        <w:rPr/>
        <w:drawing>
          <wp:anchor distT="0" distB="0" distL="0" distR="0" allowOverlap="1" layoutInCell="1" locked="0" behindDoc="0" simplePos="0" relativeHeight="15751168">
            <wp:simplePos x="0" y="0"/>
            <wp:positionH relativeFrom="page">
              <wp:posOffset>1431036</wp:posOffset>
            </wp:positionH>
            <wp:positionV relativeFrom="paragraph">
              <wp:posOffset>67616</wp:posOffset>
            </wp:positionV>
            <wp:extent cx="96011" cy="80759"/>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29" cstate="print"/>
                    <a:stretch>
                      <a:fillRect/>
                    </a:stretch>
                  </pic:blipFill>
                  <pic:spPr>
                    <a:xfrm>
                      <a:off x="0" y="0"/>
                      <a:ext cx="96011" cy="80759"/>
                    </a:xfrm>
                    <a:prstGeom prst="rect">
                      <a:avLst/>
                    </a:prstGeom>
                  </pic:spPr>
                </pic:pic>
              </a:graphicData>
            </a:graphic>
          </wp:anchor>
        </w:drawing>
      </w:r>
      <w:bookmarkStart w:name="a. Section 6b of Chapter 115 of Massachu" w:id="167"/>
      <w:bookmarkEnd w:id="167"/>
      <w:r>
        <w:rPr/>
      </w:r>
      <w:r>
        <w:rPr/>
        <w:t>Section 6b of Chapter 115 of Massachusetts General Law authorizes a state veteran annuity payment to eligible disabled veterans and surviving Gold Star parents and spouses who have lost their child or spouse in combat.</w:t>
      </w:r>
      <w:r>
        <w:rPr>
          <w:spacing w:val="40"/>
        </w:rPr>
        <w:t> </w:t>
      </w:r>
      <w:r>
        <w:rPr/>
        <w:t>Except as described in the next sentence, the Commonwealth may consider such payment as non-countable income</w:t>
      </w:r>
      <w:r>
        <w:rPr>
          <w:spacing w:val="-3"/>
        </w:rPr>
        <w:t> </w:t>
      </w:r>
      <w:r>
        <w:rPr/>
        <w:t>for</w:t>
      </w:r>
      <w:r>
        <w:rPr>
          <w:spacing w:val="-3"/>
        </w:rPr>
        <w:t> </w:t>
      </w:r>
      <w:r>
        <w:rPr/>
        <w:t>purposes</w:t>
      </w:r>
      <w:r>
        <w:rPr>
          <w:spacing w:val="-2"/>
        </w:rPr>
        <w:t> </w:t>
      </w:r>
      <w:r>
        <w:rPr/>
        <w:t>of</w:t>
      </w:r>
      <w:r>
        <w:rPr>
          <w:spacing w:val="-3"/>
        </w:rPr>
        <w:t> </w:t>
      </w:r>
      <w:r>
        <w:rPr/>
        <w:t>determining</w:t>
      </w:r>
      <w:r>
        <w:rPr>
          <w:spacing w:val="-2"/>
        </w:rPr>
        <w:t> </w:t>
      </w:r>
      <w:r>
        <w:rPr/>
        <w:t>eligibility</w:t>
      </w:r>
      <w:r>
        <w:rPr>
          <w:spacing w:val="-7"/>
        </w:rPr>
        <w:t> </w:t>
      </w:r>
      <w:r>
        <w:rPr/>
        <w:t>for</w:t>
      </w:r>
      <w:r>
        <w:rPr>
          <w:spacing w:val="-1"/>
        </w:rPr>
        <w:t> </w:t>
      </w:r>
      <w:r>
        <w:rPr/>
        <w:t>MassHealth</w:t>
      </w:r>
      <w:r>
        <w:rPr>
          <w:spacing w:val="-2"/>
        </w:rPr>
        <w:t> </w:t>
      </w:r>
      <w:r>
        <w:rPr/>
        <w:t>Standard,</w:t>
      </w:r>
      <w:r>
        <w:rPr>
          <w:spacing w:val="-2"/>
        </w:rPr>
        <w:t> </w:t>
      </w:r>
      <w:r>
        <w:rPr/>
        <w:t>MassHealth CarePlus, MassHealth Family Assistance and MassHealth Limited benefits for individuals who would be eligible for such benefits but for the receipt of a state veteran annuity or the inclusion of such annuity in the household income, provided that, except with respect to disabled individuals and Programs of All-Inclusive Care for the Elderly (PACE) enrollees described in the next two sentences, individuals described above are not otherwise eligible to receive comparable coverage on the state exchange. The Commonwealth may consider such payment as non-countable income for purposes of determining eligibility for MassHealth Standard and MassHealth CommonHealth benefits for disabled individuals who would be eligible for</w:t>
      </w:r>
      <w:r>
        <w:rPr>
          <w:spacing w:val="-2"/>
        </w:rPr>
        <w:t> </w:t>
      </w:r>
      <w:r>
        <w:rPr/>
        <w:t>such</w:t>
      </w:r>
      <w:r>
        <w:rPr>
          <w:spacing w:val="-1"/>
        </w:rPr>
        <w:t> </w:t>
      </w:r>
      <w:r>
        <w:rPr/>
        <w:t>benefits</w:t>
      </w:r>
      <w:r>
        <w:rPr>
          <w:spacing w:val="-1"/>
        </w:rPr>
        <w:t> </w:t>
      </w:r>
      <w:r>
        <w:rPr/>
        <w:t>but</w:t>
      </w:r>
      <w:r>
        <w:rPr>
          <w:spacing w:val="-1"/>
        </w:rPr>
        <w:t> </w:t>
      </w:r>
      <w:r>
        <w:rPr/>
        <w:t>for</w:t>
      </w:r>
      <w:r>
        <w:rPr>
          <w:spacing w:val="-2"/>
        </w:rPr>
        <w:t> </w:t>
      </w:r>
      <w:r>
        <w:rPr/>
        <w:t>the</w:t>
      </w:r>
      <w:r>
        <w:rPr>
          <w:spacing w:val="-2"/>
        </w:rPr>
        <w:t> </w:t>
      </w:r>
      <w:r>
        <w:rPr/>
        <w:t>receipt</w:t>
      </w:r>
      <w:r>
        <w:rPr>
          <w:spacing w:val="-1"/>
        </w:rPr>
        <w:t> </w:t>
      </w:r>
      <w:r>
        <w:rPr/>
        <w:t>of</w:t>
      </w:r>
      <w:r>
        <w:rPr>
          <w:spacing w:val="-2"/>
        </w:rPr>
        <w:t> </w:t>
      </w:r>
      <w:r>
        <w:rPr/>
        <w:t>a</w:t>
      </w:r>
      <w:r>
        <w:rPr>
          <w:spacing w:val="-2"/>
        </w:rPr>
        <w:t> </w:t>
      </w:r>
      <w:r>
        <w:rPr/>
        <w:t>state</w:t>
      </w:r>
      <w:r>
        <w:rPr>
          <w:spacing w:val="-2"/>
        </w:rPr>
        <w:t> </w:t>
      </w:r>
      <w:r>
        <w:rPr/>
        <w:t>veteran</w:t>
      </w:r>
      <w:r>
        <w:rPr>
          <w:spacing w:val="-1"/>
        </w:rPr>
        <w:t> </w:t>
      </w:r>
      <w:r>
        <w:rPr/>
        <w:t>annuity</w:t>
      </w:r>
      <w:r>
        <w:rPr>
          <w:spacing w:val="-6"/>
        </w:rPr>
        <w:t> </w:t>
      </w:r>
      <w:r>
        <w:rPr/>
        <w:t>or</w:t>
      </w:r>
      <w:r>
        <w:rPr>
          <w:spacing w:val="-2"/>
        </w:rPr>
        <w:t> </w:t>
      </w:r>
      <w:r>
        <w:rPr/>
        <w:t>the</w:t>
      </w:r>
      <w:r>
        <w:rPr>
          <w:spacing w:val="-2"/>
        </w:rPr>
        <w:t> </w:t>
      </w:r>
      <w:r>
        <w:rPr/>
        <w:t>inclusion</w:t>
      </w:r>
      <w:r>
        <w:rPr>
          <w:spacing w:val="-1"/>
        </w:rPr>
        <w:t> </w:t>
      </w:r>
      <w:r>
        <w:rPr/>
        <w:t>of</w:t>
      </w:r>
      <w:r>
        <w:rPr>
          <w:spacing w:val="-2"/>
        </w:rPr>
        <w:t> </w:t>
      </w:r>
      <w:r>
        <w:rPr/>
        <w:t>such annuity in the household income.</w:t>
      </w:r>
      <w:r>
        <w:rPr>
          <w:spacing w:val="40"/>
        </w:rPr>
        <w:t> </w:t>
      </w:r>
      <w:r>
        <w:rPr/>
        <w:t>In addition, the Commonwealth may consider the state</w:t>
      </w:r>
      <w:r>
        <w:rPr>
          <w:spacing w:val="-4"/>
        </w:rPr>
        <w:t> </w:t>
      </w:r>
      <w:r>
        <w:rPr/>
        <w:t>veteran</w:t>
      </w:r>
      <w:r>
        <w:rPr>
          <w:spacing w:val="-3"/>
        </w:rPr>
        <w:t> </w:t>
      </w:r>
      <w:r>
        <w:rPr/>
        <w:t>annuity</w:t>
      </w:r>
      <w:r>
        <w:rPr>
          <w:spacing w:val="-8"/>
        </w:rPr>
        <w:t> </w:t>
      </w:r>
      <w:r>
        <w:rPr/>
        <w:t>as</w:t>
      </w:r>
      <w:r>
        <w:rPr>
          <w:spacing w:val="-3"/>
        </w:rPr>
        <w:t> </w:t>
      </w:r>
      <w:r>
        <w:rPr/>
        <w:t>non-countable</w:t>
      </w:r>
      <w:r>
        <w:rPr>
          <w:spacing w:val="-4"/>
        </w:rPr>
        <w:t> </w:t>
      </w:r>
      <w:r>
        <w:rPr/>
        <w:t>income</w:t>
      </w:r>
      <w:r>
        <w:rPr>
          <w:spacing w:val="-2"/>
        </w:rPr>
        <w:t> </w:t>
      </w:r>
      <w:r>
        <w:rPr/>
        <w:t>for</w:t>
      </w:r>
      <w:r>
        <w:rPr>
          <w:spacing w:val="-2"/>
        </w:rPr>
        <w:t> </w:t>
      </w:r>
      <w:r>
        <w:rPr/>
        <w:t>purposes</w:t>
      </w:r>
      <w:r>
        <w:rPr>
          <w:spacing w:val="-3"/>
        </w:rPr>
        <w:t> </w:t>
      </w:r>
      <w:r>
        <w:rPr/>
        <w:t>of</w:t>
      </w:r>
      <w:r>
        <w:rPr>
          <w:spacing w:val="-4"/>
        </w:rPr>
        <w:t> </w:t>
      </w:r>
      <w:r>
        <w:rPr/>
        <w:t>determining</w:t>
      </w:r>
      <w:r>
        <w:rPr>
          <w:spacing w:val="-3"/>
        </w:rPr>
        <w:t> </w:t>
      </w:r>
      <w:r>
        <w:rPr/>
        <w:t>eligibility for individuals who would be eligible to enroll in PACE but for the receipt of a state veteran annuity or but for the inclusion of such annuity in the household income.</w:t>
      </w:r>
    </w:p>
    <w:p>
      <w:pPr>
        <w:pStyle w:val="BodyText"/>
        <w:spacing w:before="1"/>
        <w:ind w:left="2611" w:right="1315"/>
      </w:pPr>
      <w:r>
        <w:rPr/>
        <w:t>The Commonwealth will not count the state veteran annuity when calculating a beneficiary’s premium, deductible, and/or other cost sharing obligations.</w:t>
      </w:r>
      <w:r>
        <w:rPr>
          <w:spacing w:val="40"/>
        </w:rPr>
        <w:t> </w:t>
      </w:r>
      <w:r>
        <w:rPr/>
        <w:t>The Commonwealth may treat the state veteran annuity as non-countable income in making calculations related to the post-eligibility treatment of income (PETI) rules as</w:t>
      </w:r>
      <w:r>
        <w:rPr>
          <w:spacing w:val="-4"/>
        </w:rPr>
        <w:t> </w:t>
      </w:r>
      <w:r>
        <w:rPr/>
        <w:t>described</w:t>
      </w:r>
      <w:r>
        <w:rPr>
          <w:spacing w:val="-4"/>
        </w:rPr>
        <w:t> </w:t>
      </w:r>
      <w:r>
        <w:rPr/>
        <w:t>in</w:t>
      </w:r>
      <w:r>
        <w:rPr>
          <w:spacing w:val="-4"/>
        </w:rPr>
        <w:t> </w:t>
      </w:r>
      <w:r>
        <w:rPr/>
        <w:t>42</w:t>
      </w:r>
      <w:r>
        <w:rPr>
          <w:spacing w:val="-4"/>
        </w:rPr>
        <w:t> </w:t>
      </w:r>
      <w:r>
        <w:rPr/>
        <w:t>C.F.R.</w:t>
      </w:r>
      <w:r>
        <w:rPr>
          <w:spacing w:val="-4"/>
        </w:rPr>
        <w:t> </w:t>
      </w:r>
      <w:r>
        <w:rPr/>
        <w:t>435.700</w:t>
      </w:r>
      <w:r>
        <w:rPr>
          <w:spacing w:val="-4"/>
        </w:rPr>
        <w:t> </w:t>
      </w:r>
      <w:r>
        <w:rPr/>
        <w:t>et</w:t>
      </w:r>
      <w:r>
        <w:rPr>
          <w:spacing w:val="-4"/>
        </w:rPr>
        <w:t> </w:t>
      </w:r>
      <w:r>
        <w:rPr/>
        <w:t>seq.</w:t>
      </w:r>
      <w:r>
        <w:rPr>
          <w:spacing w:val="-4"/>
        </w:rPr>
        <w:t> </w:t>
      </w:r>
      <w:r>
        <w:rPr/>
        <w:t>as</w:t>
      </w:r>
      <w:r>
        <w:rPr>
          <w:spacing w:val="-4"/>
        </w:rPr>
        <w:t> </w:t>
      </w:r>
      <w:r>
        <w:rPr/>
        <w:t>applicable</w:t>
      </w:r>
      <w:r>
        <w:rPr>
          <w:spacing w:val="-5"/>
        </w:rPr>
        <w:t> </w:t>
      </w:r>
      <w:r>
        <w:rPr/>
        <w:t>for</w:t>
      </w:r>
      <w:r>
        <w:rPr>
          <w:spacing w:val="-3"/>
        </w:rPr>
        <w:t> </w:t>
      </w:r>
      <w:r>
        <w:rPr/>
        <w:t>all</w:t>
      </w:r>
      <w:r>
        <w:rPr>
          <w:spacing w:val="-4"/>
        </w:rPr>
        <w:t> </w:t>
      </w:r>
      <w:r>
        <w:rPr/>
        <w:t>MassHealth</w:t>
      </w:r>
      <w:r>
        <w:rPr>
          <w:spacing w:val="-2"/>
        </w:rPr>
        <w:t> </w:t>
      </w:r>
      <w:r>
        <w:rPr/>
        <w:t>members.</w:t>
      </w:r>
    </w:p>
    <w:p>
      <w:pPr>
        <w:spacing w:after="0"/>
        <w:sectPr>
          <w:pgSz w:w="12240" w:h="15840"/>
          <w:pgMar w:header="0" w:footer="1201" w:top="1360" w:bottom="1400" w:left="0" w:right="220"/>
        </w:sectPr>
      </w:pPr>
    </w:p>
    <w:p>
      <w:pPr>
        <w:pStyle w:val="BodyText"/>
        <w:spacing w:before="79"/>
        <w:ind w:left="2071" w:right="1264"/>
      </w:pPr>
      <w:r>
        <w:rPr/>
        <w:drawing>
          <wp:anchor distT="0" distB="0" distL="0" distR="0" allowOverlap="1" layoutInCell="1" locked="0" behindDoc="0" simplePos="0" relativeHeight="15751680">
            <wp:simplePos x="0" y="0"/>
            <wp:positionH relativeFrom="page">
              <wp:posOffset>970788</wp:posOffset>
            </wp:positionH>
            <wp:positionV relativeFrom="paragraph">
              <wp:posOffset>85777</wp:posOffset>
            </wp:positionV>
            <wp:extent cx="222503" cy="112763"/>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54" cstate="print"/>
                    <a:stretch>
                      <a:fillRect/>
                    </a:stretch>
                  </pic:blipFill>
                  <pic:spPr>
                    <a:xfrm>
                      <a:off x="0" y="0"/>
                      <a:ext cx="222503" cy="112763"/>
                    </a:xfrm>
                    <a:prstGeom prst="rect">
                      <a:avLst/>
                    </a:prstGeom>
                  </pic:spPr>
                </pic:pic>
              </a:graphicData>
            </a:graphic>
          </wp:anchor>
        </w:drawing>
      </w:r>
      <w:bookmarkStart w:name="4.4. Streamlined Redeterminations.  Unde" w:id="168"/>
      <w:bookmarkEnd w:id="168"/>
      <w:r>
        <w:rPr/>
      </w:r>
      <w:r>
        <w:rPr>
          <w:b/>
        </w:rPr>
        <w:t>Streamlined Redeterminations.</w:t>
      </w:r>
      <w:r>
        <w:rPr>
          <w:b/>
          <w:spacing w:val="40"/>
        </w:rPr>
        <w:t> </w:t>
      </w:r>
      <w:r>
        <w:rPr/>
        <w:t>Under the streamlined renewal process, enrollees are not</w:t>
      </w:r>
      <w:r>
        <w:rPr>
          <w:spacing w:val="-27"/>
        </w:rPr>
        <w:t> </w:t>
      </w:r>
      <w:r>
        <w:rPr/>
        <w:t>required to return an annual eligibility review form if they are asked to attest whether they</w:t>
      </w:r>
      <w:r>
        <w:rPr>
          <w:spacing w:val="-7"/>
        </w:rPr>
        <w:t> </w:t>
      </w:r>
      <w:r>
        <w:rPr/>
        <w:t>have</w:t>
      </w:r>
      <w:r>
        <w:rPr>
          <w:spacing w:val="-3"/>
        </w:rPr>
        <w:t> </w:t>
      </w:r>
      <w:r>
        <w:rPr/>
        <w:t>any</w:t>
      </w:r>
      <w:r>
        <w:rPr>
          <w:spacing w:val="-5"/>
        </w:rPr>
        <w:t> </w:t>
      </w:r>
      <w:r>
        <w:rPr/>
        <w:t>changes</w:t>
      </w:r>
      <w:r>
        <w:rPr>
          <w:spacing w:val="-2"/>
        </w:rPr>
        <w:t> </w:t>
      </w:r>
      <w:r>
        <w:rPr/>
        <w:t>in</w:t>
      </w:r>
      <w:r>
        <w:rPr>
          <w:spacing w:val="-2"/>
        </w:rPr>
        <w:t> </w:t>
      </w:r>
      <w:r>
        <w:rPr/>
        <w:t>circumstances</w:t>
      </w:r>
      <w:r>
        <w:rPr>
          <w:spacing w:val="-2"/>
        </w:rPr>
        <w:t> </w:t>
      </w:r>
      <w:r>
        <w:rPr/>
        <w:t>(including</w:t>
      </w:r>
      <w:r>
        <w:rPr>
          <w:spacing w:val="-5"/>
        </w:rPr>
        <w:t> </w:t>
      </w:r>
      <w:r>
        <w:rPr/>
        <w:t>household</w:t>
      </w:r>
      <w:r>
        <w:rPr>
          <w:spacing w:val="-2"/>
        </w:rPr>
        <w:t> </w:t>
      </w:r>
      <w:r>
        <w:rPr/>
        <w:t>size</w:t>
      </w:r>
      <w:r>
        <w:rPr>
          <w:spacing w:val="-3"/>
        </w:rPr>
        <w:t> </w:t>
      </w:r>
      <w:r>
        <w:rPr/>
        <w:t>and</w:t>
      </w:r>
      <w:r>
        <w:rPr>
          <w:spacing w:val="-2"/>
        </w:rPr>
        <w:t> </w:t>
      </w:r>
      <w:r>
        <w:rPr/>
        <w:t>income)</w:t>
      </w:r>
      <w:r>
        <w:rPr>
          <w:spacing w:val="-3"/>
        </w:rPr>
        <w:t> </w:t>
      </w:r>
      <w:r>
        <w:rPr/>
        <w:t>and</w:t>
      </w:r>
      <w:r>
        <w:rPr>
          <w:spacing w:val="-2"/>
        </w:rPr>
        <w:t> </w:t>
      </w:r>
      <w:r>
        <w:rPr/>
        <w:t>do</w:t>
      </w:r>
      <w:r>
        <w:rPr>
          <w:spacing w:val="-2"/>
        </w:rPr>
        <w:t> </w:t>
      </w:r>
      <w:r>
        <w:rPr/>
        <w:t>not have any changes in circumstances reported to MassHealth.</w:t>
      </w:r>
      <w:r>
        <w:rPr>
          <w:spacing w:val="40"/>
        </w:rPr>
        <w:t> </w:t>
      </w:r>
      <w:r>
        <w:rPr/>
        <w:t>The process applies to the following</w:t>
      </w:r>
      <w:r>
        <w:rPr>
          <w:spacing w:val="-24"/>
        </w:rPr>
        <w:t> </w:t>
      </w:r>
      <w:r>
        <w:rPr/>
        <w:t>populations:</w:t>
      </w:r>
    </w:p>
    <w:p>
      <w:pPr>
        <w:pStyle w:val="BodyText"/>
        <w:spacing w:before="10"/>
        <w:rPr>
          <w:sz w:val="20"/>
        </w:rPr>
      </w:pPr>
    </w:p>
    <w:p>
      <w:pPr>
        <w:pStyle w:val="BodyText"/>
        <w:ind w:left="2611" w:right="1239"/>
      </w:pPr>
      <w:r>
        <w:rPr/>
        <w:drawing>
          <wp:anchor distT="0" distB="0" distL="0" distR="0" allowOverlap="1" layoutInCell="1" locked="0" behindDoc="0" simplePos="0" relativeHeight="15752192">
            <wp:simplePos x="0" y="0"/>
            <wp:positionH relativeFrom="page">
              <wp:posOffset>1431036</wp:posOffset>
            </wp:positionH>
            <wp:positionV relativeFrom="paragraph">
              <wp:posOffset>67616</wp:posOffset>
            </wp:positionV>
            <wp:extent cx="96011" cy="80759"/>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29" cstate="print"/>
                    <a:stretch>
                      <a:fillRect/>
                    </a:stretch>
                  </pic:blipFill>
                  <pic:spPr>
                    <a:xfrm>
                      <a:off x="0" y="0"/>
                      <a:ext cx="96011" cy="80759"/>
                    </a:xfrm>
                    <a:prstGeom prst="rect">
                      <a:avLst/>
                    </a:prstGeom>
                  </pic:spPr>
                </pic:pic>
              </a:graphicData>
            </a:graphic>
          </wp:anchor>
        </w:drawing>
      </w:r>
      <w:bookmarkStart w:name="a. Families with children under the age " w:id="169"/>
      <w:bookmarkEnd w:id="169"/>
      <w:r>
        <w:rPr/>
      </w:r>
      <w:r>
        <w:rPr/>
        <w:t>Families with children under the age of 19 who have gross income as verified by MassHealth</w:t>
      </w:r>
      <w:r>
        <w:rPr>
          <w:spacing w:val="-3"/>
        </w:rPr>
        <w:t> </w:t>
      </w:r>
      <w:r>
        <w:rPr/>
        <w:t>at</w:t>
      </w:r>
      <w:r>
        <w:rPr>
          <w:spacing w:val="-3"/>
        </w:rPr>
        <w:t> </w:t>
      </w:r>
      <w:r>
        <w:rPr/>
        <w:t>or</w:t>
      </w:r>
      <w:r>
        <w:rPr>
          <w:spacing w:val="-4"/>
        </w:rPr>
        <w:t> </w:t>
      </w:r>
      <w:r>
        <w:rPr/>
        <w:t>below</w:t>
      </w:r>
      <w:r>
        <w:rPr>
          <w:spacing w:val="-2"/>
        </w:rPr>
        <w:t> </w:t>
      </w:r>
      <w:r>
        <w:rPr/>
        <w:t>150</w:t>
      </w:r>
      <w:r>
        <w:rPr>
          <w:spacing w:val="-3"/>
        </w:rPr>
        <w:t> </w:t>
      </w:r>
      <w:r>
        <w:rPr/>
        <w:t>percent</w:t>
      </w:r>
      <w:r>
        <w:rPr>
          <w:spacing w:val="-1"/>
        </w:rPr>
        <w:t> </w:t>
      </w:r>
      <w:r>
        <w:rPr/>
        <w:t>FPL</w:t>
      </w:r>
      <w:r>
        <w:rPr>
          <w:spacing w:val="-6"/>
        </w:rPr>
        <w:t> </w:t>
      </w:r>
      <w:r>
        <w:rPr/>
        <w:t>and</w:t>
      </w:r>
      <w:r>
        <w:rPr>
          <w:spacing w:val="-3"/>
        </w:rPr>
        <w:t> </w:t>
      </w:r>
      <w:r>
        <w:rPr/>
        <w:t>who</w:t>
      </w:r>
      <w:r>
        <w:rPr>
          <w:spacing w:val="-3"/>
        </w:rPr>
        <w:t> </w:t>
      </w:r>
      <w:r>
        <w:rPr/>
        <w:t>are</w:t>
      </w:r>
      <w:r>
        <w:rPr>
          <w:spacing w:val="-4"/>
        </w:rPr>
        <w:t> </w:t>
      </w:r>
      <w:r>
        <w:rPr/>
        <w:t>receiving</w:t>
      </w:r>
      <w:r>
        <w:rPr>
          <w:spacing w:val="-6"/>
        </w:rPr>
        <w:t> </w:t>
      </w:r>
      <w:r>
        <w:rPr/>
        <w:t>SNAP</w:t>
      </w:r>
      <w:r>
        <w:rPr>
          <w:spacing w:val="-3"/>
        </w:rPr>
        <w:t> </w:t>
      </w:r>
      <w:r>
        <w:rPr/>
        <w:t>benefits</w:t>
      </w:r>
      <w:r>
        <w:rPr>
          <w:spacing w:val="-3"/>
        </w:rPr>
        <w:t> </w:t>
      </w:r>
      <w:r>
        <w:rPr/>
        <w:t>with SNAP verified income at or below 180 percent FPL.</w:t>
      </w:r>
    </w:p>
    <w:p>
      <w:pPr>
        <w:pStyle w:val="BodyText"/>
        <w:spacing w:before="10"/>
        <w:rPr>
          <w:sz w:val="20"/>
        </w:rPr>
      </w:pPr>
    </w:p>
    <w:p>
      <w:pPr>
        <w:pStyle w:val="BodyText"/>
        <w:ind w:left="2611" w:right="1239"/>
      </w:pPr>
      <w:r>
        <w:rPr/>
        <w:drawing>
          <wp:anchor distT="0" distB="0" distL="0" distR="0" allowOverlap="1" layoutInCell="1" locked="0" behindDoc="0" simplePos="0" relativeHeight="15752704">
            <wp:simplePos x="0" y="0"/>
            <wp:positionH relativeFrom="page">
              <wp:posOffset>1424939</wp:posOffset>
            </wp:positionH>
            <wp:positionV relativeFrom="paragraph">
              <wp:posOffset>32551</wp:posOffset>
            </wp:positionV>
            <wp:extent cx="111251" cy="115823"/>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34" cstate="print"/>
                    <a:stretch>
                      <a:fillRect/>
                    </a:stretch>
                  </pic:blipFill>
                  <pic:spPr>
                    <a:xfrm>
                      <a:off x="0" y="0"/>
                      <a:ext cx="111251" cy="115823"/>
                    </a:xfrm>
                    <a:prstGeom prst="rect">
                      <a:avLst/>
                    </a:prstGeom>
                  </pic:spPr>
                </pic:pic>
              </a:graphicData>
            </a:graphic>
          </wp:anchor>
        </w:drawing>
      </w:r>
      <w:bookmarkStart w:name="b. Families with children under age 21 w" w:id="170"/>
      <w:bookmarkEnd w:id="170"/>
      <w:r>
        <w:rPr/>
      </w:r>
      <w:r>
        <w:rPr/>
        <w:t>Families</w:t>
      </w:r>
      <w:r>
        <w:rPr>
          <w:spacing w:val="-3"/>
        </w:rPr>
        <w:t> </w:t>
      </w:r>
      <w:r>
        <w:rPr/>
        <w:t>with</w:t>
      </w:r>
      <w:r>
        <w:rPr>
          <w:spacing w:val="-3"/>
        </w:rPr>
        <w:t> </w:t>
      </w:r>
      <w:r>
        <w:rPr/>
        <w:t>children</w:t>
      </w:r>
      <w:r>
        <w:rPr>
          <w:spacing w:val="-3"/>
        </w:rPr>
        <w:t> </w:t>
      </w:r>
      <w:r>
        <w:rPr/>
        <w:t>under</w:t>
      </w:r>
      <w:r>
        <w:rPr>
          <w:spacing w:val="-4"/>
        </w:rPr>
        <w:t> </w:t>
      </w:r>
      <w:r>
        <w:rPr/>
        <w:t>age</w:t>
      </w:r>
      <w:r>
        <w:rPr>
          <w:spacing w:val="-4"/>
        </w:rPr>
        <w:t> </w:t>
      </w:r>
      <w:r>
        <w:rPr/>
        <w:t>21</w:t>
      </w:r>
      <w:r>
        <w:rPr>
          <w:spacing w:val="-1"/>
        </w:rPr>
        <w:t> </w:t>
      </w:r>
      <w:r>
        <w:rPr/>
        <w:t>whose</w:t>
      </w:r>
      <w:r>
        <w:rPr>
          <w:spacing w:val="-4"/>
        </w:rPr>
        <w:t> </w:t>
      </w:r>
      <w:r>
        <w:rPr/>
        <w:t>SNAP</w:t>
      </w:r>
      <w:r>
        <w:rPr>
          <w:spacing w:val="-3"/>
        </w:rPr>
        <w:t> </w:t>
      </w:r>
      <w:r>
        <w:rPr/>
        <w:t>verified</w:t>
      </w:r>
      <w:r>
        <w:rPr>
          <w:spacing w:val="-3"/>
        </w:rPr>
        <w:t> </w:t>
      </w:r>
      <w:r>
        <w:rPr/>
        <w:t>income</w:t>
      </w:r>
      <w:r>
        <w:rPr>
          <w:spacing w:val="-4"/>
        </w:rPr>
        <w:t> </w:t>
      </w:r>
      <w:r>
        <w:rPr/>
        <w:t>is</w:t>
      </w:r>
      <w:r>
        <w:rPr>
          <w:spacing w:val="-3"/>
        </w:rPr>
        <w:t> </w:t>
      </w:r>
      <w:r>
        <w:rPr/>
        <w:t>at</w:t>
      </w:r>
      <w:r>
        <w:rPr>
          <w:spacing w:val="-3"/>
        </w:rPr>
        <w:t> </w:t>
      </w:r>
      <w:r>
        <w:rPr/>
        <w:t>or</w:t>
      </w:r>
      <w:r>
        <w:rPr>
          <w:spacing w:val="-2"/>
        </w:rPr>
        <w:t> </w:t>
      </w:r>
      <w:r>
        <w:rPr/>
        <w:t>below</w:t>
      </w:r>
      <w:r>
        <w:rPr>
          <w:spacing w:val="-4"/>
        </w:rPr>
        <w:t> </w:t>
      </w:r>
      <w:r>
        <w:rPr/>
        <w:t>180 percent FPL, effective to the extent that the state uses an Express Lane eligibility process under its state plan for children under age 21.</w:t>
      </w:r>
    </w:p>
    <w:p>
      <w:pPr>
        <w:pStyle w:val="BodyText"/>
        <w:spacing w:before="10"/>
        <w:rPr>
          <w:sz w:val="20"/>
        </w:rPr>
      </w:pPr>
    </w:p>
    <w:p>
      <w:pPr>
        <w:pStyle w:val="BodyText"/>
        <w:ind w:left="2611"/>
      </w:pPr>
      <w:r>
        <w:rPr/>
        <w:drawing>
          <wp:anchor distT="0" distB="0" distL="0" distR="0" allowOverlap="1" layoutInCell="1" locked="0" behindDoc="0" simplePos="0" relativeHeight="15753216">
            <wp:simplePos x="0" y="0"/>
            <wp:positionH relativeFrom="page">
              <wp:posOffset>1431036</wp:posOffset>
            </wp:positionH>
            <wp:positionV relativeFrom="paragraph">
              <wp:posOffset>67602</wp:posOffset>
            </wp:positionV>
            <wp:extent cx="96011" cy="80771"/>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35" cstate="print"/>
                    <a:stretch>
                      <a:fillRect/>
                    </a:stretch>
                  </pic:blipFill>
                  <pic:spPr>
                    <a:xfrm>
                      <a:off x="0" y="0"/>
                      <a:ext cx="96011" cy="80771"/>
                    </a:xfrm>
                    <a:prstGeom prst="rect">
                      <a:avLst/>
                    </a:prstGeom>
                  </pic:spPr>
                </pic:pic>
              </a:graphicData>
            </a:graphic>
          </wp:anchor>
        </w:drawing>
      </w:r>
      <w:bookmarkStart w:name="c. Childless adults whose SNAP verified " w:id="171"/>
      <w:bookmarkEnd w:id="171"/>
      <w:r>
        <w:rPr/>
      </w:r>
      <w:r>
        <w:rPr/>
        <w:t>Childless</w:t>
      </w:r>
      <w:r>
        <w:rPr>
          <w:spacing w:val="-2"/>
        </w:rPr>
        <w:t> </w:t>
      </w:r>
      <w:r>
        <w:rPr/>
        <w:t>adults</w:t>
      </w:r>
      <w:r>
        <w:rPr>
          <w:spacing w:val="-1"/>
        </w:rPr>
        <w:t> </w:t>
      </w:r>
      <w:r>
        <w:rPr/>
        <w:t>whose</w:t>
      </w:r>
      <w:r>
        <w:rPr>
          <w:spacing w:val="-2"/>
        </w:rPr>
        <w:t> </w:t>
      </w:r>
      <w:r>
        <w:rPr/>
        <w:t>SNAP</w:t>
      </w:r>
      <w:r>
        <w:rPr>
          <w:spacing w:val="-1"/>
        </w:rPr>
        <w:t> </w:t>
      </w:r>
      <w:r>
        <w:rPr/>
        <w:t>verified</w:t>
      </w:r>
      <w:r>
        <w:rPr>
          <w:spacing w:val="-2"/>
        </w:rPr>
        <w:t> </w:t>
      </w:r>
      <w:r>
        <w:rPr/>
        <w:t>income</w:t>
      </w:r>
      <w:r>
        <w:rPr>
          <w:spacing w:val="-2"/>
        </w:rPr>
        <w:t> </w:t>
      </w:r>
      <w:r>
        <w:rPr/>
        <w:t>is</w:t>
      </w:r>
      <w:r>
        <w:rPr>
          <w:spacing w:val="-1"/>
        </w:rPr>
        <w:t> </w:t>
      </w:r>
      <w:r>
        <w:rPr/>
        <w:t>at</w:t>
      </w:r>
      <w:r>
        <w:rPr>
          <w:spacing w:val="-2"/>
        </w:rPr>
        <w:t> </w:t>
      </w:r>
      <w:r>
        <w:rPr/>
        <w:t>or</w:t>
      </w:r>
      <w:r>
        <w:rPr>
          <w:spacing w:val="-2"/>
        </w:rPr>
        <w:t> </w:t>
      </w:r>
      <w:r>
        <w:rPr/>
        <w:t>below</w:t>
      </w:r>
      <w:r>
        <w:rPr>
          <w:spacing w:val="-2"/>
        </w:rPr>
        <w:t> </w:t>
      </w:r>
      <w:r>
        <w:rPr/>
        <w:t>163</w:t>
      </w:r>
      <w:r>
        <w:rPr>
          <w:spacing w:val="-1"/>
        </w:rPr>
        <w:t> </w:t>
      </w:r>
      <w:r>
        <w:rPr/>
        <w:t>percent</w:t>
      </w:r>
      <w:r>
        <w:rPr>
          <w:spacing w:val="-1"/>
        </w:rPr>
        <w:t> </w:t>
      </w:r>
      <w:r>
        <w:rPr>
          <w:spacing w:val="-4"/>
        </w:rPr>
        <w:t>FPL.</w:t>
      </w:r>
    </w:p>
    <w:p>
      <w:pPr>
        <w:pStyle w:val="BodyText"/>
        <w:spacing w:before="10"/>
        <w:rPr>
          <w:sz w:val="20"/>
        </w:rPr>
      </w:pPr>
    </w:p>
    <w:p>
      <w:pPr>
        <w:pStyle w:val="BodyText"/>
        <w:ind w:left="2611" w:right="1239"/>
      </w:pPr>
      <w:r>
        <w:rPr/>
        <w:drawing>
          <wp:anchor distT="0" distB="0" distL="0" distR="0" allowOverlap="1" layoutInCell="1" locked="0" behindDoc="0" simplePos="0" relativeHeight="15753728">
            <wp:simplePos x="0" y="0"/>
            <wp:positionH relativeFrom="page">
              <wp:posOffset>1431036</wp:posOffset>
            </wp:positionH>
            <wp:positionV relativeFrom="paragraph">
              <wp:posOffset>32551</wp:posOffset>
            </wp:positionV>
            <wp:extent cx="105155" cy="115823"/>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36" cstate="print"/>
                    <a:stretch>
                      <a:fillRect/>
                    </a:stretch>
                  </pic:blipFill>
                  <pic:spPr>
                    <a:xfrm>
                      <a:off x="0" y="0"/>
                      <a:ext cx="105155" cy="115823"/>
                    </a:xfrm>
                    <a:prstGeom prst="rect">
                      <a:avLst/>
                    </a:prstGeom>
                  </pic:spPr>
                </pic:pic>
              </a:graphicData>
            </a:graphic>
          </wp:anchor>
        </w:drawing>
      </w:r>
      <w:bookmarkStart w:name="d. The authority to use streamlined elig" w:id="172"/>
      <w:bookmarkEnd w:id="172"/>
      <w:r>
        <w:rPr/>
      </w:r>
      <w:r>
        <w:rPr/>
        <w:t>The authority to use streamlined eligibility redetermination procedures will also remain</w:t>
      </w:r>
      <w:r>
        <w:rPr>
          <w:spacing w:val="-4"/>
        </w:rPr>
        <w:t> </w:t>
      </w:r>
      <w:r>
        <w:rPr/>
        <w:t>in</w:t>
      </w:r>
      <w:r>
        <w:rPr>
          <w:spacing w:val="-4"/>
        </w:rPr>
        <w:t> </w:t>
      </w:r>
      <w:r>
        <w:rPr/>
        <w:t>effect</w:t>
      </w:r>
      <w:r>
        <w:rPr>
          <w:spacing w:val="-4"/>
        </w:rPr>
        <w:t> </w:t>
      </w:r>
      <w:r>
        <w:rPr/>
        <w:t>for</w:t>
      </w:r>
      <w:r>
        <w:rPr>
          <w:spacing w:val="-5"/>
        </w:rPr>
        <w:t> </w:t>
      </w:r>
      <w:r>
        <w:rPr/>
        <w:t>families</w:t>
      </w:r>
      <w:r>
        <w:rPr>
          <w:spacing w:val="-4"/>
        </w:rPr>
        <w:t> </w:t>
      </w:r>
      <w:r>
        <w:rPr/>
        <w:t>with</w:t>
      </w:r>
      <w:r>
        <w:rPr>
          <w:spacing w:val="-4"/>
        </w:rPr>
        <w:t> </w:t>
      </w:r>
      <w:r>
        <w:rPr/>
        <w:t>children</w:t>
      </w:r>
      <w:r>
        <w:rPr>
          <w:spacing w:val="-4"/>
        </w:rPr>
        <w:t> </w:t>
      </w:r>
      <w:r>
        <w:rPr/>
        <w:t>notwithstanding</w:t>
      </w:r>
      <w:r>
        <w:rPr>
          <w:spacing w:val="-6"/>
        </w:rPr>
        <w:t> </w:t>
      </w:r>
      <w:r>
        <w:rPr/>
        <w:t>sunset</w:t>
      </w:r>
      <w:r>
        <w:rPr>
          <w:spacing w:val="-4"/>
        </w:rPr>
        <w:t> </w:t>
      </w:r>
      <w:r>
        <w:rPr/>
        <w:t>dates</w:t>
      </w:r>
      <w:r>
        <w:rPr>
          <w:spacing w:val="-2"/>
        </w:rPr>
        <w:t> </w:t>
      </w:r>
      <w:r>
        <w:rPr/>
        <w:t>for</w:t>
      </w:r>
      <w:r>
        <w:rPr>
          <w:spacing w:val="-3"/>
        </w:rPr>
        <w:t> </w:t>
      </w:r>
      <w:r>
        <w:rPr/>
        <w:t>Express Lane Eligibility applicable to the companion state plan amendments.</w:t>
      </w:r>
    </w:p>
    <w:p>
      <w:pPr>
        <w:pStyle w:val="BodyText"/>
        <w:spacing w:before="10"/>
        <w:rPr>
          <w:sz w:val="20"/>
        </w:rPr>
      </w:pPr>
    </w:p>
    <w:p>
      <w:pPr>
        <w:pStyle w:val="BodyText"/>
        <w:ind w:left="2071" w:right="1222"/>
      </w:pPr>
      <w:r>
        <w:rPr/>
        <w:drawing>
          <wp:anchor distT="0" distB="0" distL="0" distR="0" allowOverlap="1" layoutInCell="1" locked="0" behindDoc="0" simplePos="0" relativeHeight="15754240">
            <wp:simplePos x="0" y="0"/>
            <wp:positionH relativeFrom="page">
              <wp:posOffset>970787</wp:posOffset>
            </wp:positionH>
            <wp:positionV relativeFrom="paragraph">
              <wp:posOffset>35599</wp:posOffset>
            </wp:positionV>
            <wp:extent cx="222503" cy="112775"/>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55" cstate="print"/>
                    <a:stretch>
                      <a:fillRect/>
                    </a:stretch>
                  </pic:blipFill>
                  <pic:spPr>
                    <a:xfrm>
                      <a:off x="0" y="0"/>
                      <a:ext cx="222503" cy="112775"/>
                    </a:xfrm>
                    <a:prstGeom prst="rect">
                      <a:avLst/>
                    </a:prstGeom>
                  </pic:spPr>
                </pic:pic>
              </a:graphicData>
            </a:graphic>
          </wp:anchor>
        </w:drawing>
      </w:r>
      <w:bookmarkStart w:name="4.5. EAEDC Recipients.  The Medicaid age" w:id="173"/>
      <w:bookmarkEnd w:id="173"/>
      <w:r>
        <w:rPr/>
      </w:r>
      <w:r>
        <w:rPr>
          <w:b/>
        </w:rPr>
        <w:t>EAEDC Recipients.</w:t>
      </w:r>
      <w:r>
        <w:rPr>
          <w:b/>
          <w:spacing w:val="40"/>
        </w:rPr>
        <w:t> </w:t>
      </w:r>
      <w:r>
        <w:rPr/>
        <w:t>The Medicaid agency shall extend MassHealth eligibility to individuals receiving Emergency Aid to Elders, Disabled and Children.</w:t>
      </w:r>
      <w:r>
        <w:rPr>
          <w:spacing w:val="40"/>
        </w:rPr>
        <w:t> </w:t>
      </w:r>
      <w:r>
        <w:rPr/>
        <w:t>MassHealth eligibility for individuals in this demonstration population does not involve an income determination, but is based on receipt of EAEDC benefits.</w:t>
      </w:r>
      <w:r>
        <w:rPr>
          <w:spacing w:val="40"/>
        </w:rPr>
        <w:t> </w:t>
      </w:r>
      <w:r>
        <w:rPr/>
        <w:t>Individuals in this demonstration population would not be described in the Adult Group, because that is a group defined by an income determination.</w:t>
      </w:r>
      <w:r>
        <w:rPr>
          <w:spacing w:val="40"/>
        </w:rPr>
        <w:t> </w:t>
      </w:r>
      <w:r>
        <w:rPr/>
        <w:t>Therefore, the enhanced increased federal match for individuals in the Adult Group is not available for this population.</w:t>
      </w:r>
      <w:r>
        <w:rPr>
          <w:spacing w:val="40"/>
        </w:rPr>
        <w:t> </w:t>
      </w:r>
      <w:r>
        <w:rPr/>
        <w:t>If an individual</w:t>
      </w:r>
      <w:r>
        <w:rPr>
          <w:spacing w:val="-2"/>
        </w:rPr>
        <w:t> </w:t>
      </w:r>
      <w:r>
        <w:rPr/>
        <w:t>loses</w:t>
      </w:r>
      <w:r>
        <w:rPr>
          <w:spacing w:val="-2"/>
        </w:rPr>
        <w:t> </w:t>
      </w:r>
      <w:r>
        <w:rPr/>
        <w:t>his/her</w:t>
      </w:r>
      <w:r>
        <w:rPr>
          <w:spacing w:val="-3"/>
        </w:rPr>
        <w:t> </w:t>
      </w:r>
      <w:r>
        <w:rPr/>
        <w:t>EAEDC</w:t>
      </w:r>
      <w:r>
        <w:rPr>
          <w:spacing w:val="-2"/>
        </w:rPr>
        <w:t> </w:t>
      </w:r>
      <w:r>
        <w:rPr/>
        <w:t>eligibility</w:t>
      </w:r>
      <w:r>
        <w:rPr>
          <w:spacing w:val="-7"/>
        </w:rPr>
        <w:t> </w:t>
      </w:r>
      <w:r>
        <w:rPr/>
        <w:t>then</w:t>
      </w:r>
      <w:r>
        <w:rPr>
          <w:spacing w:val="-3"/>
        </w:rPr>
        <w:t> </w:t>
      </w:r>
      <w:r>
        <w:rPr/>
        <w:t>he/she</w:t>
      </w:r>
      <w:r>
        <w:rPr>
          <w:spacing w:val="-3"/>
        </w:rPr>
        <w:t> </w:t>
      </w:r>
      <w:r>
        <w:rPr/>
        <w:t>must</w:t>
      </w:r>
      <w:r>
        <w:rPr>
          <w:spacing w:val="-2"/>
        </w:rPr>
        <w:t> </w:t>
      </w:r>
      <w:r>
        <w:rPr/>
        <w:t>apply</w:t>
      </w:r>
      <w:r>
        <w:rPr>
          <w:spacing w:val="-7"/>
        </w:rPr>
        <w:t> </w:t>
      </w:r>
      <w:r>
        <w:rPr/>
        <w:t>for</w:t>
      </w:r>
      <w:r>
        <w:rPr>
          <w:spacing w:val="-3"/>
        </w:rPr>
        <w:t> </w:t>
      </w:r>
      <w:r>
        <w:rPr/>
        <w:t>MassHealth</w:t>
      </w:r>
      <w:r>
        <w:rPr>
          <w:spacing w:val="-2"/>
        </w:rPr>
        <w:t> </w:t>
      </w:r>
      <w:r>
        <w:rPr/>
        <w:t>benefits and receive an income eligibility determination in order to receive MassHealth benefits.</w:t>
      </w:r>
    </w:p>
    <w:p>
      <w:pPr>
        <w:pStyle w:val="BodyText"/>
        <w:spacing w:before="10"/>
        <w:rPr>
          <w:sz w:val="20"/>
        </w:rPr>
      </w:pPr>
    </w:p>
    <w:p>
      <w:pPr>
        <w:pStyle w:val="BodyText"/>
        <w:spacing w:before="1"/>
        <w:ind w:left="2071" w:right="1264"/>
      </w:pPr>
      <w:r>
        <w:rPr/>
        <w:drawing>
          <wp:anchor distT="0" distB="0" distL="0" distR="0" allowOverlap="1" layoutInCell="1" locked="0" behindDoc="0" simplePos="0" relativeHeight="15754752">
            <wp:simplePos x="0" y="0"/>
            <wp:positionH relativeFrom="page">
              <wp:posOffset>970788</wp:posOffset>
            </wp:positionH>
            <wp:positionV relativeFrom="paragraph">
              <wp:posOffset>36247</wp:posOffset>
            </wp:positionV>
            <wp:extent cx="222503" cy="112763"/>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56" cstate="print"/>
                    <a:stretch>
                      <a:fillRect/>
                    </a:stretch>
                  </pic:blipFill>
                  <pic:spPr>
                    <a:xfrm>
                      <a:off x="0" y="0"/>
                      <a:ext cx="222503" cy="112763"/>
                    </a:xfrm>
                    <a:prstGeom prst="rect">
                      <a:avLst/>
                    </a:prstGeom>
                  </pic:spPr>
                </pic:pic>
              </a:graphicData>
            </a:graphic>
          </wp:anchor>
        </w:drawing>
      </w:r>
      <w:bookmarkStart w:name="4.6. Hospital-Determined Presumptive Eli" w:id="174"/>
      <w:bookmarkEnd w:id="174"/>
      <w:r>
        <w:rPr/>
      </w:r>
      <w:r>
        <w:rPr>
          <w:b/>
        </w:rPr>
        <w:t>Hospital-Determined Presumptive Eligibility for Additional Eligibility Groups</w:t>
      </w:r>
      <w:r>
        <w:rPr/>
        <w:t>. Qualified</w:t>
      </w:r>
      <w:r>
        <w:rPr>
          <w:spacing w:val="-3"/>
        </w:rPr>
        <w:t> </w:t>
      </w:r>
      <w:r>
        <w:rPr/>
        <w:t>hospitals</w:t>
      </w:r>
      <w:r>
        <w:rPr>
          <w:spacing w:val="-3"/>
        </w:rPr>
        <w:t> </w:t>
      </w:r>
      <w:r>
        <w:rPr/>
        <w:t>that</w:t>
      </w:r>
      <w:r>
        <w:rPr>
          <w:spacing w:val="-3"/>
        </w:rPr>
        <w:t> </w:t>
      </w:r>
      <w:r>
        <w:rPr/>
        <w:t>elect</w:t>
      </w:r>
      <w:r>
        <w:rPr>
          <w:spacing w:val="-3"/>
        </w:rPr>
        <w:t> </w:t>
      </w:r>
      <w:r>
        <w:rPr/>
        <w:t>to</w:t>
      </w:r>
      <w:r>
        <w:rPr>
          <w:spacing w:val="-3"/>
        </w:rPr>
        <w:t> </w:t>
      </w:r>
      <w:r>
        <w:rPr/>
        <w:t>do</w:t>
      </w:r>
      <w:r>
        <w:rPr>
          <w:spacing w:val="-3"/>
        </w:rPr>
        <w:t> </w:t>
      </w:r>
      <w:r>
        <w:rPr/>
        <w:t>so</w:t>
      </w:r>
      <w:r>
        <w:rPr>
          <w:spacing w:val="-3"/>
        </w:rPr>
        <w:t> </w:t>
      </w:r>
      <w:r>
        <w:rPr/>
        <w:t>may</w:t>
      </w:r>
      <w:r>
        <w:rPr>
          <w:spacing w:val="-8"/>
        </w:rPr>
        <w:t> </w:t>
      </w:r>
      <w:r>
        <w:rPr/>
        <w:t>make</w:t>
      </w:r>
      <w:r>
        <w:rPr>
          <w:spacing w:val="-4"/>
        </w:rPr>
        <w:t> </w:t>
      </w:r>
      <w:r>
        <w:rPr/>
        <w:t>presumptive</w:t>
      </w:r>
      <w:r>
        <w:rPr>
          <w:spacing w:val="-4"/>
        </w:rPr>
        <w:t> </w:t>
      </w:r>
      <w:r>
        <w:rPr/>
        <w:t>eligibility</w:t>
      </w:r>
      <w:r>
        <w:rPr>
          <w:spacing w:val="-8"/>
        </w:rPr>
        <w:t> </w:t>
      </w:r>
      <w:r>
        <w:rPr/>
        <w:t>determinations</w:t>
      </w:r>
      <w:r>
        <w:rPr>
          <w:spacing w:val="-3"/>
        </w:rPr>
        <w:t> </w:t>
      </w:r>
      <w:r>
        <w:rPr/>
        <w:t>for individuals who appear eligible for HIV-Family Assistance or the Breast and Cervical Cancer Demonstration Program</w:t>
      </w:r>
      <w:r>
        <w:rPr>
          <w:spacing w:val="-22"/>
        </w:rPr>
        <w:t> </w:t>
      </w:r>
      <w:r>
        <w:rPr/>
        <w:t>under the demonstration, in addition to populations that are eligible in accordance with the Medicaid state plan.</w:t>
      </w:r>
    </w:p>
    <w:p>
      <w:pPr>
        <w:pStyle w:val="BodyText"/>
        <w:spacing w:before="9"/>
        <w:rPr>
          <w:sz w:val="20"/>
        </w:rPr>
      </w:pPr>
    </w:p>
    <w:p>
      <w:pPr>
        <w:pStyle w:val="BodyText"/>
        <w:spacing w:before="1"/>
        <w:ind w:left="2611" w:right="1239"/>
      </w:pPr>
      <w:r>
        <w:rPr/>
        <w:drawing>
          <wp:anchor distT="0" distB="0" distL="0" distR="0" allowOverlap="1" layoutInCell="1" locked="0" behindDoc="0" simplePos="0" relativeHeight="15755264">
            <wp:simplePos x="0" y="0"/>
            <wp:positionH relativeFrom="page">
              <wp:posOffset>1431036</wp:posOffset>
            </wp:positionH>
            <wp:positionV relativeFrom="paragraph">
              <wp:posOffset>68251</wp:posOffset>
            </wp:positionV>
            <wp:extent cx="96011" cy="80759"/>
            <wp:effectExtent l="0" t="0" r="0" b="0"/>
            <wp:wrapNone/>
            <wp:docPr id="58" name="Image 58"/>
            <wp:cNvGraphicFramePr>
              <a:graphicFrameLocks/>
            </wp:cNvGraphicFramePr>
            <a:graphic>
              <a:graphicData uri="http://schemas.openxmlformats.org/drawingml/2006/picture">
                <pic:pic>
                  <pic:nvPicPr>
                    <pic:cNvPr id="58" name="Image 58"/>
                    <pic:cNvPicPr/>
                  </pic:nvPicPr>
                  <pic:blipFill>
                    <a:blip r:embed="rId40" cstate="print"/>
                    <a:stretch>
                      <a:fillRect/>
                    </a:stretch>
                  </pic:blipFill>
                  <pic:spPr>
                    <a:xfrm>
                      <a:off x="0" y="0"/>
                      <a:ext cx="96011" cy="80759"/>
                    </a:xfrm>
                    <a:prstGeom prst="rect">
                      <a:avLst/>
                    </a:prstGeom>
                  </pic:spPr>
                </pic:pic>
              </a:graphicData>
            </a:graphic>
          </wp:anchor>
        </w:drawing>
      </w:r>
      <w:bookmarkStart w:name="a. The hospital determined presumptive e" w:id="175"/>
      <w:bookmarkEnd w:id="175"/>
      <w:r>
        <w:rPr/>
      </w:r>
      <w:r>
        <w:rPr/>
        <w:t>The</w:t>
      </w:r>
      <w:r>
        <w:rPr>
          <w:spacing w:val="-5"/>
        </w:rPr>
        <w:t> </w:t>
      </w:r>
      <w:r>
        <w:rPr/>
        <w:t>hospital</w:t>
      </w:r>
      <w:r>
        <w:rPr>
          <w:spacing w:val="-4"/>
        </w:rPr>
        <w:t> </w:t>
      </w:r>
      <w:r>
        <w:rPr/>
        <w:t>determined</w:t>
      </w:r>
      <w:r>
        <w:rPr>
          <w:spacing w:val="-2"/>
        </w:rPr>
        <w:t> </w:t>
      </w:r>
      <w:r>
        <w:rPr/>
        <w:t>presumptive</w:t>
      </w:r>
      <w:r>
        <w:rPr>
          <w:spacing w:val="-5"/>
        </w:rPr>
        <w:t> </w:t>
      </w:r>
      <w:r>
        <w:rPr/>
        <w:t>eligibility</w:t>
      </w:r>
      <w:r>
        <w:rPr>
          <w:spacing w:val="-9"/>
        </w:rPr>
        <w:t> </w:t>
      </w:r>
      <w:r>
        <w:rPr/>
        <w:t>benefit</w:t>
      </w:r>
      <w:r>
        <w:rPr>
          <w:spacing w:val="-4"/>
        </w:rPr>
        <w:t> </w:t>
      </w:r>
      <w:r>
        <w:rPr/>
        <w:t>for</w:t>
      </w:r>
      <w:r>
        <w:rPr>
          <w:spacing w:val="-5"/>
        </w:rPr>
        <w:t> </w:t>
      </w:r>
      <w:r>
        <w:rPr/>
        <w:t>pregnant</w:t>
      </w:r>
      <w:r>
        <w:rPr>
          <w:spacing w:val="-4"/>
        </w:rPr>
        <w:t> </w:t>
      </w:r>
      <w:r>
        <w:rPr/>
        <w:t>individuals</w:t>
      </w:r>
      <w:r>
        <w:rPr>
          <w:spacing w:val="-4"/>
        </w:rPr>
        <w:t> </w:t>
      </w:r>
      <w:r>
        <w:rPr/>
        <w:t>and unborn children (as authorized under the Title XXI</w:t>
      </w:r>
      <w:r>
        <w:rPr>
          <w:spacing w:val="-1"/>
        </w:rPr>
        <w:t> </w:t>
      </w:r>
      <w:r>
        <w:rPr/>
        <w:t>State Plan) is a full MassHealth Standard benefit.</w:t>
      </w:r>
    </w:p>
    <w:p>
      <w:pPr>
        <w:pStyle w:val="BodyText"/>
        <w:spacing w:before="10"/>
        <w:rPr>
          <w:sz w:val="20"/>
        </w:rPr>
      </w:pPr>
    </w:p>
    <w:p>
      <w:pPr>
        <w:pStyle w:val="BodyText"/>
        <w:ind w:left="2071" w:right="1264"/>
      </w:pPr>
      <w:r>
        <w:rPr/>
        <w:drawing>
          <wp:anchor distT="0" distB="0" distL="0" distR="0" allowOverlap="1" layoutInCell="1" locked="0" behindDoc="0" simplePos="0" relativeHeight="15755776">
            <wp:simplePos x="0" y="0"/>
            <wp:positionH relativeFrom="page">
              <wp:posOffset>970787</wp:posOffset>
            </wp:positionH>
            <wp:positionV relativeFrom="paragraph">
              <wp:posOffset>35599</wp:posOffset>
            </wp:positionV>
            <wp:extent cx="222503" cy="112775"/>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57" cstate="print"/>
                    <a:stretch>
                      <a:fillRect/>
                    </a:stretch>
                  </pic:blipFill>
                  <pic:spPr>
                    <a:xfrm>
                      <a:off x="0" y="0"/>
                      <a:ext cx="222503" cy="112775"/>
                    </a:xfrm>
                    <a:prstGeom prst="rect">
                      <a:avLst/>
                    </a:prstGeom>
                  </pic:spPr>
                </pic:pic>
              </a:graphicData>
            </a:graphic>
          </wp:anchor>
        </w:drawing>
      </w:r>
      <w:bookmarkStart w:name="4.7. Provisional Eligibility.  MassHealt" w:id="176"/>
      <w:bookmarkEnd w:id="176"/>
      <w:r>
        <w:rPr/>
      </w:r>
      <w:r>
        <w:rPr>
          <w:b/>
        </w:rPr>
        <w:t>Provisional Eligibility.</w:t>
      </w:r>
      <w:r>
        <w:rPr>
          <w:b/>
          <w:spacing w:val="40"/>
        </w:rPr>
        <w:t> </w:t>
      </w:r>
      <w:r>
        <w:rPr/>
        <w:t>MassHealth will accept self-attestation for all eligibility factors, except for disability</w:t>
      </w:r>
      <w:r>
        <w:rPr>
          <w:spacing w:val="-1"/>
        </w:rPr>
        <w:t> </w:t>
      </w:r>
      <w:r>
        <w:rPr/>
        <w:t>status, immigration and citizenship status and, for certain individuals described</w:t>
      </w:r>
      <w:r>
        <w:rPr>
          <w:spacing w:val="-3"/>
        </w:rPr>
        <w:t> </w:t>
      </w:r>
      <w:r>
        <w:rPr/>
        <w:t>below,</w:t>
      </w:r>
      <w:r>
        <w:rPr>
          <w:spacing w:val="-3"/>
        </w:rPr>
        <w:t> </w:t>
      </w:r>
      <w:r>
        <w:rPr/>
        <w:t>income,</w:t>
      </w:r>
      <w:r>
        <w:rPr>
          <w:spacing w:val="-2"/>
        </w:rPr>
        <w:t> </w:t>
      </w:r>
      <w:r>
        <w:rPr/>
        <w:t>in</w:t>
      </w:r>
      <w:r>
        <w:rPr>
          <w:spacing w:val="-3"/>
        </w:rPr>
        <w:t> </w:t>
      </w:r>
      <w:r>
        <w:rPr/>
        <w:t>order</w:t>
      </w:r>
      <w:r>
        <w:rPr>
          <w:spacing w:val="-4"/>
        </w:rPr>
        <w:t> </w:t>
      </w:r>
      <w:r>
        <w:rPr/>
        <w:t>to</w:t>
      </w:r>
      <w:r>
        <w:rPr>
          <w:spacing w:val="-3"/>
        </w:rPr>
        <w:t> </w:t>
      </w:r>
      <w:r>
        <w:rPr/>
        <w:t>determine</w:t>
      </w:r>
      <w:r>
        <w:rPr>
          <w:spacing w:val="-3"/>
        </w:rPr>
        <w:t> </w:t>
      </w:r>
      <w:r>
        <w:rPr/>
        <w:t>eligibility,</w:t>
      </w:r>
      <w:r>
        <w:rPr>
          <w:spacing w:val="-3"/>
        </w:rPr>
        <w:t> </w:t>
      </w:r>
      <w:r>
        <w:rPr/>
        <w:t>and</w:t>
      </w:r>
      <w:r>
        <w:rPr>
          <w:spacing w:val="-3"/>
        </w:rPr>
        <w:t> </w:t>
      </w:r>
      <w:r>
        <w:rPr/>
        <w:t>may</w:t>
      </w:r>
      <w:r>
        <w:rPr>
          <w:spacing w:val="-8"/>
        </w:rPr>
        <w:t> </w:t>
      </w:r>
      <w:r>
        <w:rPr/>
        <w:t>require</w:t>
      </w:r>
      <w:r>
        <w:rPr>
          <w:spacing w:val="-3"/>
        </w:rPr>
        <w:t> </w:t>
      </w:r>
      <w:r>
        <w:rPr/>
        <w:t>post-eligibility (after determination of financial or categorical eligibility) verification from the applicant. If MassHealth is unable to verify eligibility through federal and state data hubs, or if the information provided by an applicant is not reasonably compatible with the information available through the data hubs, MassHealth can provide individuals with a 90-day</w:t>
      </w:r>
    </w:p>
    <w:p>
      <w:pPr>
        <w:spacing w:after="0"/>
        <w:sectPr>
          <w:pgSz w:w="12240" w:h="15840"/>
          <w:pgMar w:header="0" w:footer="1201" w:top="1360" w:bottom="1400" w:left="0" w:right="220"/>
        </w:sectPr>
      </w:pPr>
    </w:p>
    <w:p>
      <w:pPr>
        <w:pStyle w:val="BodyText"/>
        <w:spacing w:before="79"/>
        <w:ind w:left="2071" w:right="1239"/>
      </w:pPr>
      <w:r>
        <w:rPr/>
        <w:t>“provisional</w:t>
      </w:r>
      <w:r>
        <w:rPr>
          <w:spacing w:val="-3"/>
        </w:rPr>
        <w:t> </w:t>
      </w:r>
      <w:r>
        <w:rPr/>
        <w:t>eligibility</w:t>
      </w:r>
      <w:r>
        <w:rPr>
          <w:spacing w:val="-8"/>
        </w:rPr>
        <w:t> </w:t>
      </w:r>
      <w:r>
        <w:rPr/>
        <w:t>period,”</w:t>
      </w:r>
      <w:r>
        <w:rPr>
          <w:spacing w:val="-4"/>
        </w:rPr>
        <w:t> </w:t>
      </w:r>
      <w:r>
        <w:rPr/>
        <w:t>during</w:t>
      </w:r>
      <w:r>
        <w:rPr>
          <w:spacing w:val="-6"/>
        </w:rPr>
        <w:t> </w:t>
      </w:r>
      <w:r>
        <w:rPr/>
        <w:t>which</w:t>
      </w:r>
      <w:r>
        <w:rPr>
          <w:spacing w:val="-3"/>
        </w:rPr>
        <w:t> </w:t>
      </w:r>
      <w:r>
        <w:rPr/>
        <w:t>MassHealth</w:t>
      </w:r>
      <w:r>
        <w:rPr>
          <w:spacing w:val="-4"/>
        </w:rPr>
        <w:t> </w:t>
      </w:r>
      <w:r>
        <w:rPr/>
        <w:t>will</w:t>
      </w:r>
      <w:r>
        <w:rPr>
          <w:spacing w:val="-3"/>
        </w:rPr>
        <w:t> </w:t>
      </w:r>
      <w:r>
        <w:rPr/>
        <w:t>require</w:t>
      </w:r>
      <w:r>
        <w:rPr>
          <w:spacing w:val="-4"/>
        </w:rPr>
        <w:t> </w:t>
      </w:r>
      <w:r>
        <w:rPr/>
        <w:t>further</w:t>
      </w:r>
      <w:r>
        <w:rPr>
          <w:spacing w:val="-4"/>
        </w:rPr>
        <w:t> </w:t>
      </w:r>
      <w:r>
        <w:rPr/>
        <w:t>verifications from the applicant.</w:t>
      </w:r>
    </w:p>
    <w:p>
      <w:pPr>
        <w:pStyle w:val="BodyText"/>
        <w:spacing w:before="10"/>
        <w:rPr>
          <w:sz w:val="20"/>
        </w:rPr>
      </w:pPr>
    </w:p>
    <w:p>
      <w:pPr>
        <w:pStyle w:val="BodyText"/>
        <w:ind w:left="2071" w:right="1315"/>
      </w:pPr>
      <w:bookmarkStart w:name="Applicants whose self-attested income is" w:id="177"/>
      <w:bookmarkEnd w:id="177"/>
      <w:r>
        <w:rPr/>
      </w:r>
      <w:r>
        <w:rPr/>
        <w:t>Applicants whose self-attested income is not otherwise verified through data hubs are eligible</w:t>
      </w:r>
      <w:r>
        <w:rPr>
          <w:spacing w:val="-4"/>
        </w:rPr>
        <w:t> </w:t>
      </w:r>
      <w:r>
        <w:rPr/>
        <w:t>to</w:t>
      </w:r>
      <w:r>
        <w:rPr>
          <w:spacing w:val="-3"/>
        </w:rPr>
        <w:t> </w:t>
      </w:r>
      <w:r>
        <w:rPr/>
        <w:t>receive</w:t>
      </w:r>
      <w:r>
        <w:rPr>
          <w:spacing w:val="-4"/>
        </w:rPr>
        <w:t> </w:t>
      </w:r>
      <w:r>
        <w:rPr/>
        <w:t>provisional</w:t>
      </w:r>
      <w:r>
        <w:rPr>
          <w:spacing w:val="-3"/>
        </w:rPr>
        <w:t> </w:t>
      </w:r>
      <w:r>
        <w:rPr/>
        <w:t>eligibility</w:t>
      </w:r>
      <w:r>
        <w:rPr>
          <w:spacing w:val="-8"/>
        </w:rPr>
        <w:t> </w:t>
      </w:r>
      <w:r>
        <w:rPr/>
        <w:t>consistent</w:t>
      </w:r>
      <w:r>
        <w:rPr>
          <w:spacing w:val="-1"/>
        </w:rPr>
        <w:t> </w:t>
      </w:r>
      <w:r>
        <w:rPr/>
        <w:t>with</w:t>
      </w:r>
      <w:r>
        <w:rPr>
          <w:spacing w:val="-3"/>
        </w:rPr>
        <w:t> </w:t>
      </w:r>
      <w:r>
        <w:rPr/>
        <w:t>the</w:t>
      </w:r>
      <w:r>
        <w:rPr>
          <w:spacing w:val="-4"/>
        </w:rPr>
        <w:t> </w:t>
      </w:r>
      <w:r>
        <w:rPr/>
        <w:t>previous</w:t>
      </w:r>
      <w:r>
        <w:rPr>
          <w:spacing w:val="-3"/>
        </w:rPr>
        <w:t> </w:t>
      </w:r>
      <w:r>
        <w:rPr/>
        <w:t>paragraph</w:t>
      </w:r>
      <w:r>
        <w:rPr>
          <w:spacing w:val="-3"/>
        </w:rPr>
        <w:t> </w:t>
      </w:r>
      <w:r>
        <w:rPr/>
        <w:t>only</w:t>
      </w:r>
      <w:r>
        <w:rPr>
          <w:spacing w:val="-8"/>
        </w:rPr>
        <w:t> </w:t>
      </w:r>
      <w:r>
        <w:rPr/>
        <w:t>if they fall within any one of the following populations:</w:t>
      </w:r>
    </w:p>
    <w:p>
      <w:pPr>
        <w:pStyle w:val="BodyText"/>
        <w:spacing w:before="10"/>
        <w:rPr>
          <w:sz w:val="20"/>
        </w:rPr>
      </w:pPr>
    </w:p>
    <w:p>
      <w:pPr>
        <w:pStyle w:val="BodyText"/>
        <w:ind w:left="2611" w:right="1239"/>
      </w:pPr>
      <w:r>
        <w:rPr/>
        <w:drawing>
          <wp:anchor distT="0" distB="0" distL="0" distR="0" allowOverlap="1" layoutInCell="1" locked="0" behindDoc="0" simplePos="0" relativeHeight="15756288">
            <wp:simplePos x="0" y="0"/>
            <wp:positionH relativeFrom="page">
              <wp:posOffset>1431036</wp:posOffset>
            </wp:positionH>
            <wp:positionV relativeFrom="paragraph">
              <wp:posOffset>67604</wp:posOffset>
            </wp:positionV>
            <wp:extent cx="96011" cy="80771"/>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29" cstate="print"/>
                    <a:stretch>
                      <a:fillRect/>
                    </a:stretch>
                  </pic:blipFill>
                  <pic:spPr>
                    <a:xfrm>
                      <a:off x="0" y="0"/>
                      <a:ext cx="96011" cy="80771"/>
                    </a:xfrm>
                    <a:prstGeom prst="rect">
                      <a:avLst/>
                    </a:prstGeom>
                  </pic:spPr>
                </pic:pic>
              </a:graphicData>
            </a:graphic>
          </wp:anchor>
        </w:drawing>
      </w:r>
      <w:bookmarkStart w:name="a. Pregnant individuals with comprehensi" w:id="178"/>
      <w:bookmarkEnd w:id="178"/>
      <w:r>
        <w:rPr/>
      </w:r>
      <w:r>
        <w:rPr/>
        <w:t>Pregnant</w:t>
      </w:r>
      <w:r>
        <w:rPr>
          <w:spacing w:val="-5"/>
        </w:rPr>
        <w:t> </w:t>
      </w:r>
      <w:r>
        <w:rPr/>
        <w:t>individuals</w:t>
      </w:r>
      <w:r>
        <w:rPr>
          <w:spacing w:val="-5"/>
        </w:rPr>
        <w:t> </w:t>
      </w:r>
      <w:r>
        <w:rPr/>
        <w:t>with</w:t>
      </w:r>
      <w:r>
        <w:rPr>
          <w:spacing w:val="-5"/>
        </w:rPr>
        <w:t> </w:t>
      </w:r>
      <w:r>
        <w:rPr/>
        <w:t>comprehensive</w:t>
      </w:r>
      <w:r>
        <w:rPr>
          <w:spacing w:val="-4"/>
        </w:rPr>
        <w:t> </w:t>
      </w:r>
      <w:r>
        <w:rPr/>
        <w:t>coverage</w:t>
      </w:r>
      <w:r>
        <w:rPr>
          <w:spacing w:val="-6"/>
        </w:rPr>
        <w:t> </w:t>
      </w:r>
      <w:r>
        <w:rPr/>
        <w:t>and</w:t>
      </w:r>
      <w:r>
        <w:rPr>
          <w:spacing w:val="-5"/>
        </w:rPr>
        <w:t> </w:t>
      </w:r>
      <w:r>
        <w:rPr/>
        <w:t>regardless</w:t>
      </w:r>
      <w:r>
        <w:rPr>
          <w:spacing w:val="-5"/>
        </w:rPr>
        <w:t> </w:t>
      </w:r>
      <w:r>
        <w:rPr/>
        <w:t>of</w:t>
      </w:r>
      <w:r>
        <w:rPr>
          <w:spacing w:val="-6"/>
        </w:rPr>
        <w:t> </w:t>
      </w:r>
      <w:r>
        <w:rPr/>
        <w:t>attested modified adjusted gross income (MAGI);</w:t>
      </w:r>
    </w:p>
    <w:p>
      <w:pPr>
        <w:pStyle w:val="BodyText"/>
        <w:spacing w:before="10"/>
        <w:rPr>
          <w:sz w:val="20"/>
        </w:rPr>
      </w:pPr>
    </w:p>
    <w:p>
      <w:pPr>
        <w:pStyle w:val="BodyText"/>
        <w:ind w:left="2611" w:right="1239"/>
      </w:pPr>
      <w:r>
        <w:rPr/>
        <w:drawing>
          <wp:anchor distT="0" distB="0" distL="0" distR="0" allowOverlap="1" layoutInCell="1" locked="0" behindDoc="0" simplePos="0" relativeHeight="15756800">
            <wp:simplePos x="0" y="0"/>
            <wp:positionH relativeFrom="page">
              <wp:posOffset>1424939</wp:posOffset>
            </wp:positionH>
            <wp:positionV relativeFrom="paragraph">
              <wp:posOffset>32551</wp:posOffset>
            </wp:positionV>
            <wp:extent cx="111251" cy="115823"/>
            <wp:effectExtent l="0" t="0" r="0" b="0"/>
            <wp:wrapNone/>
            <wp:docPr id="61" name="Image 61"/>
            <wp:cNvGraphicFramePr>
              <a:graphicFrameLocks/>
            </wp:cNvGraphicFramePr>
            <a:graphic>
              <a:graphicData uri="http://schemas.openxmlformats.org/drawingml/2006/picture">
                <pic:pic>
                  <pic:nvPicPr>
                    <pic:cNvPr id="61" name="Image 61"/>
                    <pic:cNvPicPr/>
                  </pic:nvPicPr>
                  <pic:blipFill>
                    <a:blip r:embed="rId34" cstate="print"/>
                    <a:stretch>
                      <a:fillRect/>
                    </a:stretch>
                  </pic:blipFill>
                  <pic:spPr>
                    <a:xfrm>
                      <a:off x="0" y="0"/>
                      <a:ext cx="111251" cy="115823"/>
                    </a:xfrm>
                    <a:prstGeom prst="rect">
                      <a:avLst/>
                    </a:prstGeom>
                  </pic:spPr>
                </pic:pic>
              </a:graphicData>
            </a:graphic>
          </wp:anchor>
        </w:drawing>
      </w:r>
      <w:bookmarkStart w:name="b. Adults 21 through 64 years of age who" w:id="179"/>
      <w:bookmarkEnd w:id="179"/>
      <w:r>
        <w:rPr/>
      </w:r>
      <w:r>
        <w:rPr/>
        <w:t>Adults</w:t>
      </w:r>
      <w:r>
        <w:rPr>
          <w:spacing w:val="-3"/>
        </w:rPr>
        <w:t> </w:t>
      </w:r>
      <w:r>
        <w:rPr/>
        <w:t>21</w:t>
      </w:r>
      <w:r>
        <w:rPr>
          <w:spacing w:val="-3"/>
        </w:rPr>
        <w:t> </w:t>
      </w:r>
      <w:r>
        <w:rPr/>
        <w:t>through</w:t>
      </w:r>
      <w:r>
        <w:rPr>
          <w:spacing w:val="-3"/>
        </w:rPr>
        <w:t> </w:t>
      </w:r>
      <w:r>
        <w:rPr/>
        <w:t>64 years</w:t>
      </w:r>
      <w:r>
        <w:rPr>
          <w:spacing w:val="-3"/>
        </w:rPr>
        <w:t> </w:t>
      </w:r>
      <w:r>
        <w:rPr/>
        <w:t>of</w:t>
      </w:r>
      <w:r>
        <w:rPr>
          <w:spacing w:val="-4"/>
        </w:rPr>
        <w:t> </w:t>
      </w:r>
      <w:r>
        <w:rPr/>
        <w:t>age</w:t>
      </w:r>
      <w:r>
        <w:rPr>
          <w:spacing w:val="-2"/>
        </w:rPr>
        <w:t> </w:t>
      </w:r>
      <w:r>
        <w:rPr/>
        <w:t>who</w:t>
      </w:r>
      <w:r>
        <w:rPr>
          <w:spacing w:val="-3"/>
        </w:rPr>
        <w:t> </w:t>
      </w:r>
      <w:r>
        <w:rPr/>
        <w:t>are</w:t>
      </w:r>
      <w:r>
        <w:rPr>
          <w:spacing w:val="-4"/>
        </w:rPr>
        <w:t> </w:t>
      </w:r>
      <w:r>
        <w:rPr/>
        <w:t>HIV</w:t>
      </w:r>
      <w:r>
        <w:rPr>
          <w:spacing w:val="-4"/>
        </w:rPr>
        <w:t> </w:t>
      </w:r>
      <w:r>
        <w:rPr/>
        <w:t>positive</w:t>
      </w:r>
      <w:r>
        <w:rPr>
          <w:spacing w:val="-4"/>
        </w:rPr>
        <w:t> </w:t>
      </w:r>
      <w:r>
        <w:rPr/>
        <w:t>and</w:t>
      </w:r>
      <w:r>
        <w:rPr>
          <w:spacing w:val="-3"/>
        </w:rPr>
        <w:t> </w:t>
      </w:r>
      <w:r>
        <w:rPr/>
        <w:t>have</w:t>
      </w:r>
      <w:r>
        <w:rPr>
          <w:spacing w:val="-4"/>
        </w:rPr>
        <w:t> </w:t>
      </w:r>
      <w:r>
        <w:rPr/>
        <w:t>attested</w:t>
      </w:r>
      <w:r>
        <w:rPr>
          <w:spacing w:val="-1"/>
        </w:rPr>
        <w:t> </w:t>
      </w:r>
      <w:r>
        <w:rPr/>
        <w:t>MAGI income at or below 200 percent of the FPL;</w:t>
      </w:r>
    </w:p>
    <w:p>
      <w:pPr>
        <w:pStyle w:val="BodyText"/>
        <w:spacing w:before="10"/>
        <w:rPr>
          <w:sz w:val="20"/>
        </w:rPr>
      </w:pPr>
    </w:p>
    <w:p>
      <w:pPr>
        <w:pStyle w:val="BodyText"/>
        <w:ind w:left="2611" w:right="1239"/>
      </w:pPr>
      <w:r>
        <w:rPr/>
        <w:drawing>
          <wp:anchor distT="0" distB="0" distL="0" distR="0" allowOverlap="1" layoutInCell="1" locked="0" behindDoc="0" simplePos="0" relativeHeight="15757312">
            <wp:simplePos x="0" y="0"/>
            <wp:positionH relativeFrom="page">
              <wp:posOffset>1431036</wp:posOffset>
            </wp:positionH>
            <wp:positionV relativeFrom="paragraph">
              <wp:posOffset>67603</wp:posOffset>
            </wp:positionV>
            <wp:extent cx="96011" cy="80771"/>
            <wp:effectExtent l="0" t="0" r="0" b="0"/>
            <wp:wrapNone/>
            <wp:docPr id="62" name="Image 62"/>
            <wp:cNvGraphicFramePr>
              <a:graphicFrameLocks/>
            </wp:cNvGraphicFramePr>
            <a:graphic>
              <a:graphicData uri="http://schemas.openxmlformats.org/drawingml/2006/picture">
                <pic:pic>
                  <pic:nvPicPr>
                    <pic:cNvPr id="62" name="Image 62"/>
                    <pic:cNvPicPr/>
                  </pic:nvPicPr>
                  <pic:blipFill>
                    <a:blip r:embed="rId35" cstate="print"/>
                    <a:stretch>
                      <a:fillRect/>
                    </a:stretch>
                  </pic:blipFill>
                  <pic:spPr>
                    <a:xfrm>
                      <a:off x="0" y="0"/>
                      <a:ext cx="96011" cy="80771"/>
                    </a:xfrm>
                    <a:prstGeom prst="rect">
                      <a:avLst/>
                    </a:prstGeom>
                  </pic:spPr>
                </pic:pic>
              </a:graphicData>
            </a:graphic>
          </wp:anchor>
        </w:drawing>
      </w:r>
      <w:bookmarkStart w:name="c. Individuals with breast and cervical " w:id="180"/>
      <w:bookmarkEnd w:id="180"/>
      <w:r>
        <w:rPr/>
      </w:r>
      <w:r>
        <w:rPr/>
        <w:t>Individuals</w:t>
      </w:r>
      <w:r>
        <w:rPr>
          <w:spacing w:val="-3"/>
        </w:rPr>
        <w:t> </w:t>
      </w:r>
      <w:r>
        <w:rPr/>
        <w:t>with</w:t>
      </w:r>
      <w:r>
        <w:rPr>
          <w:spacing w:val="-3"/>
        </w:rPr>
        <w:t> </w:t>
      </w:r>
      <w:r>
        <w:rPr/>
        <w:t>breast</w:t>
      </w:r>
      <w:r>
        <w:rPr>
          <w:spacing w:val="-3"/>
        </w:rPr>
        <w:t> </w:t>
      </w:r>
      <w:r>
        <w:rPr/>
        <w:t>and</w:t>
      </w:r>
      <w:r>
        <w:rPr>
          <w:spacing w:val="-3"/>
        </w:rPr>
        <w:t> </w:t>
      </w:r>
      <w:r>
        <w:rPr/>
        <w:t>cervical</w:t>
      </w:r>
      <w:r>
        <w:rPr>
          <w:spacing w:val="-3"/>
        </w:rPr>
        <w:t> </w:t>
      </w:r>
      <w:r>
        <w:rPr/>
        <w:t>cancer</w:t>
      </w:r>
      <w:r>
        <w:rPr>
          <w:spacing w:val="-2"/>
        </w:rPr>
        <w:t> </w:t>
      </w:r>
      <w:r>
        <w:rPr/>
        <w:t>who</w:t>
      </w:r>
      <w:r>
        <w:rPr>
          <w:spacing w:val="-3"/>
        </w:rPr>
        <w:t> </w:t>
      </w:r>
      <w:r>
        <w:rPr/>
        <w:t>are</w:t>
      </w:r>
      <w:r>
        <w:rPr>
          <w:spacing w:val="-4"/>
        </w:rPr>
        <w:t> </w:t>
      </w:r>
      <w:r>
        <w:rPr/>
        <w:t>under</w:t>
      </w:r>
      <w:r>
        <w:rPr>
          <w:spacing w:val="-4"/>
        </w:rPr>
        <w:t> </w:t>
      </w:r>
      <w:r>
        <w:rPr/>
        <w:t>65 years</w:t>
      </w:r>
      <w:r>
        <w:rPr>
          <w:spacing w:val="-3"/>
        </w:rPr>
        <w:t> </w:t>
      </w:r>
      <w:r>
        <w:rPr/>
        <w:t>of</w:t>
      </w:r>
      <w:r>
        <w:rPr>
          <w:spacing w:val="-4"/>
        </w:rPr>
        <w:t> </w:t>
      </w:r>
      <w:r>
        <w:rPr/>
        <w:t>age</w:t>
      </w:r>
      <w:r>
        <w:rPr>
          <w:spacing w:val="-2"/>
        </w:rPr>
        <w:t> </w:t>
      </w:r>
      <w:r>
        <w:rPr/>
        <w:t>and</w:t>
      </w:r>
      <w:r>
        <w:rPr>
          <w:spacing w:val="-3"/>
        </w:rPr>
        <w:t> </w:t>
      </w:r>
      <w:r>
        <w:rPr/>
        <w:t>have attested MAGI income at or below 250 percent of the FPL; and</w:t>
      </w:r>
    </w:p>
    <w:p>
      <w:pPr>
        <w:pStyle w:val="BodyText"/>
        <w:spacing w:before="10"/>
        <w:rPr>
          <w:sz w:val="20"/>
        </w:rPr>
      </w:pPr>
    </w:p>
    <w:p>
      <w:pPr>
        <w:pStyle w:val="BodyText"/>
        <w:ind w:left="2611"/>
      </w:pPr>
      <w:r>
        <w:rPr/>
        <w:drawing>
          <wp:anchor distT="0" distB="0" distL="0" distR="0" allowOverlap="1" layoutInCell="1" locked="0" behindDoc="0" simplePos="0" relativeHeight="15757824">
            <wp:simplePos x="0" y="0"/>
            <wp:positionH relativeFrom="page">
              <wp:posOffset>1431036</wp:posOffset>
            </wp:positionH>
            <wp:positionV relativeFrom="paragraph">
              <wp:posOffset>32551</wp:posOffset>
            </wp:positionV>
            <wp:extent cx="105155" cy="115823"/>
            <wp:effectExtent l="0" t="0" r="0" b="0"/>
            <wp:wrapNone/>
            <wp:docPr id="63" name="Image 63"/>
            <wp:cNvGraphicFramePr>
              <a:graphicFrameLocks/>
            </wp:cNvGraphicFramePr>
            <a:graphic>
              <a:graphicData uri="http://schemas.openxmlformats.org/drawingml/2006/picture">
                <pic:pic>
                  <pic:nvPicPr>
                    <pic:cNvPr id="63" name="Image 63"/>
                    <pic:cNvPicPr/>
                  </pic:nvPicPr>
                  <pic:blipFill>
                    <a:blip r:embed="rId36" cstate="print"/>
                    <a:stretch>
                      <a:fillRect/>
                    </a:stretch>
                  </pic:blipFill>
                  <pic:spPr>
                    <a:xfrm>
                      <a:off x="0" y="0"/>
                      <a:ext cx="105155" cy="115823"/>
                    </a:xfrm>
                    <a:prstGeom prst="rect">
                      <a:avLst/>
                    </a:prstGeom>
                  </pic:spPr>
                </pic:pic>
              </a:graphicData>
            </a:graphic>
          </wp:anchor>
        </w:drawing>
      </w:r>
      <w:bookmarkStart w:name="d. Children under age 21." w:id="181"/>
      <w:bookmarkEnd w:id="181"/>
      <w:r>
        <w:rPr/>
      </w:r>
      <w:r>
        <w:rPr/>
        <w:t>Children</w:t>
      </w:r>
      <w:r>
        <w:rPr>
          <w:spacing w:val="-4"/>
        </w:rPr>
        <w:t> </w:t>
      </w:r>
      <w:r>
        <w:rPr/>
        <w:t>under</w:t>
      </w:r>
      <w:r>
        <w:rPr>
          <w:spacing w:val="-3"/>
        </w:rPr>
        <w:t> </w:t>
      </w:r>
      <w:r>
        <w:rPr/>
        <w:t>age</w:t>
      </w:r>
      <w:r>
        <w:rPr>
          <w:spacing w:val="-2"/>
        </w:rPr>
        <w:t> </w:t>
      </w:r>
      <w:r>
        <w:rPr>
          <w:spacing w:val="-5"/>
        </w:rPr>
        <w:t>21.</w:t>
      </w:r>
    </w:p>
    <w:p>
      <w:pPr>
        <w:pStyle w:val="BodyText"/>
        <w:spacing w:before="10"/>
        <w:rPr>
          <w:sz w:val="20"/>
        </w:rPr>
      </w:pPr>
    </w:p>
    <w:p>
      <w:pPr>
        <w:pStyle w:val="BodyText"/>
        <w:ind w:left="2071" w:right="1230"/>
      </w:pPr>
      <w:bookmarkStart w:name="Necessary verifications are required wit" w:id="182"/>
      <w:bookmarkEnd w:id="182"/>
      <w:r>
        <w:rPr/>
      </w:r>
      <w:r>
        <w:rPr/>
        <w:t>Necessary verifications are required within 90 days of the date the individual receives notice of the provisional eligibility determination in order to maintain enrollment.</w:t>
      </w:r>
      <w:r>
        <w:rPr>
          <w:spacing w:val="40"/>
        </w:rPr>
        <w:t> </w:t>
      </w:r>
      <w:r>
        <w:rPr/>
        <w:t>The date the notice is received is considered to be five days after the date the notice is sent, unless the notice recipient shows otherwise.</w:t>
      </w:r>
      <w:r>
        <w:rPr>
          <w:spacing w:val="40"/>
        </w:rPr>
        <w:t> </w:t>
      </w:r>
      <w:r>
        <w:rPr/>
        <w:t>The reasonable opportunity period for applicants pending verification of citizenship or immigration status aligns with the 90-day provisional</w:t>
      </w:r>
      <w:r>
        <w:rPr>
          <w:spacing w:val="-3"/>
        </w:rPr>
        <w:t> </w:t>
      </w:r>
      <w:r>
        <w:rPr/>
        <w:t>eligibility</w:t>
      </w:r>
      <w:r>
        <w:rPr>
          <w:spacing w:val="-8"/>
        </w:rPr>
        <w:t> </w:t>
      </w:r>
      <w:r>
        <w:rPr/>
        <w:t>period</w:t>
      </w:r>
      <w:r>
        <w:rPr>
          <w:spacing w:val="-3"/>
        </w:rPr>
        <w:t> </w:t>
      </w:r>
      <w:r>
        <w:rPr/>
        <w:t>for</w:t>
      </w:r>
      <w:r>
        <w:rPr>
          <w:spacing w:val="-4"/>
        </w:rPr>
        <w:t> </w:t>
      </w:r>
      <w:r>
        <w:rPr/>
        <w:t>applicants</w:t>
      </w:r>
      <w:r>
        <w:rPr>
          <w:spacing w:val="-3"/>
        </w:rPr>
        <w:t> </w:t>
      </w:r>
      <w:r>
        <w:rPr/>
        <w:t>pending</w:t>
      </w:r>
      <w:r>
        <w:rPr>
          <w:spacing w:val="-6"/>
        </w:rPr>
        <w:t> </w:t>
      </w:r>
      <w:r>
        <w:rPr/>
        <w:t>verification</w:t>
      </w:r>
      <w:r>
        <w:rPr>
          <w:spacing w:val="-3"/>
        </w:rPr>
        <w:t> </w:t>
      </w:r>
      <w:r>
        <w:rPr/>
        <w:t>of</w:t>
      </w:r>
      <w:r>
        <w:rPr>
          <w:spacing w:val="-4"/>
        </w:rPr>
        <w:t> </w:t>
      </w:r>
      <w:r>
        <w:rPr/>
        <w:t>other</w:t>
      </w:r>
      <w:r>
        <w:rPr>
          <w:spacing w:val="-4"/>
        </w:rPr>
        <w:t> </w:t>
      </w:r>
      <w:r>
        <w:rPr/>
        <w:t>eligibility</w:t>
      </w:r>
      <w:r>
        <w:rPr>
          <w:spacing w:val="-8"/>
        </w:rPr>
        <w:t> </w:t>
      </w:r>
      <w:r>
        <w:rPr/>
        <w:t>criteria, such that benefits provided may begin prospectively with respect to all applicants as early as the date of application.</w:t>
      </w:r>
      <w:r>
        <w:rPr>
          <w:spacing w:val="40"/>
        </w:rPr>
        <w:t> </w:t>
      </w:r>
      <w:r>
        <w:rPr/>
        <w:t>For individuals not eligible for provisional eligibility as described in the previous paragraph, income verifications are required within 90 days of the date the individual receives notice requesting income verification in order to maintain original application date.</w:t>
      </w:r>
    </w:p>
    <w:p>
      <w:pPr>
        <w:pStyle w:val="BodyText"/>
        <w:spacing w:before="10"/>
        <w:rPr>
          <w:sz w:val="20"/>
        </w:rPr>
      </w:pPr>
    </w:p>
    <w:p>
      <w:pPr>
        <w:pStyle w:val="BodyText"/>
        <w:spacing w:before="1"/>
        <w:ind w:left="2071" w:right="1222"/>
      </w:pPr>
      <w:bookmarkStart w:name="Under the demonstration, benefits for ch" w:id="183"/>
      <w:bookmarkEnd w:id="183"/>
      <w:r>
        <w:rPr/>
      </w:r>
      <w:r>
        <w:rPr/>
        <w:t>Under the demonstration, benefits for children under age 21 and pregnant individuals who have been determined provisionally eligible begin 10 days prior to the date the paper application is received at the MassHealth Enrollment Center (MEC) or MassHealth outreach</w:t>
      </w:r>
      <w:r>
        <w:rPr>
          <w:spacing w:val="-3"/>
        </w:rPr>
        <w:t> </w:t>
      </w:r>
      <w:r>
        <w:rPr/>
        <w:t>site,</w:t>
      </w:r>
      <w:r>
        <w:rPr>
          <w:spacing w:val="-3"/>
        </w:rPr>
        <w:t> </w:t>
      </w:r>
      <w:r>
        <w:rPr/>
        <w:t>or</w:t>
      </w:r>
      <w:r>
        <w:rPr>
          <w:spacing w:val="-2"/>
        </w:rPr>
        <w:t> </w:t>
      </w:r>
      <w:r>
        <w:rPr/>
        <w:t>an</w:t>
      </w:r>
      <w:r>
        <w:rPr>
          <w:spacing w:val="-3"/>
        </w:rPr>
        <w:t> </w:t>
      </w:r>
      <w:r>
        <w:rPr/>
        <w:t>electronic</w:t>
      </w:r>
      <w:r>
        <w:rPr>
          <w:spacing w:val="-4"/>
        </w:rPr>
        <w:t> </w:t>
      </w:r>
      <w:r>
        <w:rPr/>
        <w:t>application</w:t>
      </w:r>
      <w:r>
        <w:rPr>
          <w:spacing w:val="-3"/>
        </w:rPr>
        <w:t> </w:t>
      </w:r>
      <w:r>
        <w:rPr/>
        <w:t>is</w:t>
      </w:r>
      <w:r>
        <w:rPr>
          <w:spacing w:val="-3"/>
        </w:rPr>
        <w:t> </w:t>
      </w:r>
      <w:r>
        <w:rPr/>
        <w:t>submitted</w:t>
      </w:r>
      <w:r>
        <w:rPr>
          <w:spacing w:val="-3"/>
        </w:rPr>
        <w:t> </w:t>
      </w:r>
      <w:r>
        <w:rPr/>
        <w:t>through</w:t>
      </w:r>
      <w:r>
        <w:rPr>
          <w:spacing w:val="-3"/>
        </w:rPr>
        <w:t> </w:t>
      </w:r>
      <w:r>
        <w:rPr/>
        <w:t>an</w:t>
      </w:r>
      <w:r>
        <w:rPr>
          <w:spacing w:val="-3"/>
        </w:rPr>
        <w:t> </w:t>
      </w:r>
      <w:r>
        <w:rPr/>
        <w:t>online</w:t>
      </w:r>
      <w:r>
        <w:rPr>
          <w:spacing w:val="-2"/>
        </w:rPr>
        <w:t> </w:t>
      </w:r>
      <w:r>
        <w:rPr/>
        <w:t>eligibility</w:t>
      </w:r>
      <w:r>
        <w:rPr>
          <w:spacing w:val="-8"/>
        </w:rPr>
        <w:t> </w:t>
      </w:r>
      <w:r>
        <w:rPr/>
        <w:t>system. FFP is not available for the 10 days of retroactive coverage for children and pregnant individuals receiving benefits during a reasonable opportunity period pending verification of citizenship, immigration status, or lawfully present status.</w:t>
      </w:r>
      <w:r>
        <w:rPr>
          <w:spacing w:val="40"/>
        </w:rPr>
        <w:t> </w:t>
      </w:r>
      <w:r>
        <w:rPr/>
        <w:t>FFP is available for the 10 days of retroactive-coverage period if the pregnant individual’s or child’s citizenship, immigration or lawfully present status is verified before the end of the reasonable opportunity period.</w:t>
      </w:r>
      <w:r>
        <w:rPr>
          <w:spacing w:val="40"/>
        </w:rPr>
        <w:t> </w:t>
      </w:r>
      <w:r>
        <w:rPr/>
        <w:t>Benefits are provided on a fee-for-service basis for covered services received during the period starting 10 days prior to the date of application up until the application is processed and a provisional eligibility determination is made.</w:t>
      </w:r>
    </w:p>
    <w:p>
      <w:pPr>
        <w:pStyle w:val="BodyText"/>
        <w:spacing w:before="10"/>
        <w:rPr>
          <w:sz w:val="20"/>
        </w:rPr>
      </w:pPr>
    </w:p>
    <w:p>
      <w:pPr>
        <w:pStyle w:val="BodyText"/>
        <w:ind w:left="2071" w:right="1300"/>
      </w:pPr>
      <w:bookmarkStart w:name="Benefits for all other individuals who h" w:id="184"/>
      <w:bookmarkEnd w:id="184"/>
      <w:r>
        <w:rPr/>
      </w:r>
      <w:r>
        <w:rPr/>
        <w:t>Benefits for all other individuals who have been determined provisionally eligible begin on the date that MassHealth sends the notice of the provisional eligibility determination.</w:t>
      </w:r>
      <w:r>
        <w:rPr>
          <w:spacing w:val="40"/>
        </w:rPr>
        <w:t> </w:t>
      </w:r>
      <w:r>
        <w:rPr/>
        <w:t>If</w:t>
      </w:r>
      <w:r>
        <w:rPr>
          <w:spacing w:val="-2"/>
        </w:rPr>
        <w:t> </w:t>
      </w:r>
      <w:r>
        <w:rPr/>
        <w:t>all</w:t>
      </w:r>
      <w:r>
        <w:rPr>
          <w:spacing w:val="-3"/>
        </w:rPr>
        <w:t> </w:t>
      </w:r>
      <w:r>
        <w:rPr/>
        <w:t>required</w:t>
      </w:r>
      <w:r>
        <w:rPr>
          <w:spacing w:val="-3"/>
        </w:rPr>
        <w:t> </w:t>
      </w:r>
      <w:r>
        <w:rPr/>
        <w:t>verifications</w:t>
      </w:r>
      <w:r>
        <w:rPr>
          <w:spacing w:val="-3"/>
        </w:rPr>
        <w:t> </w:t>
      </w:r>
      <w:r>
        <w:rPr/>
        <w:t>are</w:t>
      </w:r>
      <w:r>
        <w:rPr>
          <w:spacing w:val="-4"/>
        </w:rPr>
        <w:t> </w:t>
      </w:r>
      <w:r>
        <w:rPr/>
        <w:t>received</w:t>
      </w:r>
      <w:r>
        <w:rPr>
          <w:spacing w:val="-3"/>
        </w:rPr>
        <w:t> </w:t>
      </w:r>
      <w:r>
        <w:rPr/>
        <w:t>before</w:t>
      </w:r>
      <w:r>
        <w:rPr>
          <w:spacing w:val="-4"/>
        </w:rPr>
        <w:t> </w:t>
      </w:r>
      <w:r>
        <w:rPr/>
        <w:t>the</w:t>
      </w:r>
      <w:r>
        <w:rPr>
          <w:spacing w:val="-4"/>
        </w:rPr>
        <w:t> </w:t>
      </w:r>
      <w:r>
        <w:rPr/>
        <w:t>end</w:t>
      </w:r>
      <w:r>
        <w:rPr>
          <w:spacing w:val="-3"/>
        </w:rPr>
        <w:t> </w:t>
      </w:r>
      <w:r>
        <w:rPr/>
        <w:t>of</w:t>
      </w:r>
      <w:r>
        <w:rPr>
          <w:spacing w:val="-4"/>
        </w:rPr>
        <w:t> </w:t>
      </w:r>
      <w:r>
        <w:rPr/>
        <w:t>the</w:t>
      </w:r>
      <w:r>
        <w:rPr>
          <w:spacing w:val="-4"/>
        </w:rPr>
        <w:t> </w:t>
      </w:r>
      <w:r>
        <w:rPr/>
        <w:t>provisional</w:t>
      </w:r>
      <w:r>
        <w:rPr>
          <w:spacing w:val="-3"/>
        </w:rPr>
        <w:t> </w:t>
      </w:r>
      <w:r>
        <w:rPr/>
        <w:t>eligibility</w:t>
      </w:r>
      <w:r>
        <w:rPr>
          <w:spacing w:val="-8"/>
        </w:rPr>
        <w:t> </w:t>
      </w:r>
      <w:r>
        <w:rPr/>
        <w:t>period or before the end of the 90-day verification period for those not receiving provisional</w:t>
      </w:r>
    </w:p>
    <w:p>
      <w:pPr>
        <w:spacing w:after="0"/>
        <w:sectPr>
          <w:pgSz w:w="12240" w:h="15840"/>
          <w:pgMar w:header="0" w:footer="1201" w:top="1360" w:bottom="1400" w:left="0" w:right="220"/>
        </w:sectPr>
      </w:pPr>
    </w:p>
    <w:p>
      <w:pPr>
        <w:pStyle w:val="BodyText"/>
        <w:spacing w:before="79"/>
        <w:ind w:left="2071" w:right="1245"/>
      </w:pPr>
      <w:r>
        <w:rPr/>
        <w:t>eligibility, retroactive coverage is provided for the verified coverage type in accordance with Table 9.</w:t>
      </w:r>
      <w:r>
        <w:rPr>
          <w:spacing w:val="40"/>
        </w:rPr>
        <w:t> </w:t>
      </w:r>
      <w:r>
        <w:rPr/>
        <w:t>The Commonwealth must not provide retroactive coverage for individuals age 21 and over or for non-pregnant adults until eligibility has been verified through federal and state data hubs or, if the information provided by an applicant is not</w:t>
      </w:r>
      <w:r>
        <w:rPr>
          <w:spacing w:val="40"/>
        </w:rPr>
        <w:t> </w:t>
      </w:r>
      <w:r>
        <w:rPr/>
        <w:t>reasonably compatible with the information available through the data hubs, until MassHealth has obtained further verifications from the applicant verifying eligibility during the retroactive period.</w:t>
      </w:r>
      <w:r>
        <w:rPr>
          <w:spacing w:val="40"/>
        </w:rPr>
        <w:t> </w:t>
      </w:r>
      <w:r>
        <w:rPr/>
        <w:t>For individuals eligible for the New Adult Group, the Commonwealth may</w:t>
      </w:r>
      <w:r>
        <w:rPr>
          <w:spacing w:val="-4"/>
        </w:rPr>
        <w:t> </w:t>
      </w:r>
      <w:r>
        <w:rPr/>
        <w:t>not claim the expansion state Federal Medical Assistance Percentage (FMAP) for individuals whose eligibility has not been verified within the provisional eligibility</w:t>
      </w:r>
      <w:r>
        <w:rPr>
          <w:spacing w:val="-7"/>
        </w:rPr>
        <w:t> </w:t>
      </w:r>
      <w:r>
        <w:rPr/>
        <w:t>period,</w:t>
      </w:r>
      <w:r>
        <w:rPr>
          <w:spacing w:val="-2"/>
        </w:rPr>
        <w:t> </w:t>
      </w:r>
      <w:r>
        <w:rPr/>
        <w:t>but</w:t>
      </w:r>
      <w:r>
        <w:rPr>
          <w:spacing w:val="-2"/>
        </w:rPr>
        <w:t> </w:t>
      </w:r>
      <w:r>
        <w:rPr/>
        <w:t>may</w:t>
      </w:r>
      <w:r>
        <w:rPr>
          <w:spacing w:val="-5"/>
        </w:rPr>
        <w:t> </w:t>
      </w:r>
      <w:r>
        <w:rPr/>
        <w:t>claim</w:t>
      </w:r>
      <w:r>
        <w:rPr>
          <w:spacing w:val="-2"/>
        </w:rPr>
        <w:t> </w:t>
      </w:r>
      <w:r>
        <w:rPr/>
        <w:t>the</w:t>
      </w:r>
      <w:r>
        <w:rPr>
          <w:spacing w:val="-3"/>
        </w:rPr>
        <w:t> </w:t>
      </w:r>
      <w:r>
        <w:rPr/>
        <w:t>regular</w:t>
      </w:r>
      <w:r>
        <w:rPr>
          <w:spacing w:val="-3"/>
        </w:rPr>
        <w:t> </w:t>
      </w:r>
      <w:r>
        <w:rPr/>
        <w:t>FMAP</w:t>
      </w:r>
      <w:r>
        <w:rPr>
          <w:spacing w:val="-2"/>
        </w:rPr>
        <w:t> </w:t>
      </w:r>
      <w:r>
        <w:rPr/>
        <w:t>for</w:t>
      </w:r>
      <w:r>
        <w:rPr>
          <w:spacing w:val="-3"/>
        </w:rPr>
        <w:t> </w:t>
      </w:r>
      <w:r>
        <w:rPr/>
        <w:t>those</w:t>
      </w:r>
      <w:r>
        <w:rPr>
          <w:spacing w:val="-3"/>
        </w:rPr>
        <w:t> </w:t>
      </w:r>
      <w:r>
        <w:rPr/>
        <w:t>individuals</w:t>
      </w:r>
      <w:r>
        <w:rPr>
          <w:spacing w:val="-2"/>
        </w:rPr>
        <w:t> </w:t>
      </w:r>
      <w:r>
        <w:rPr/>
        <w:t>for</w:t>
      </w:r>
      <w:r>
        <w:rPr>
          <w:spacing w:val="-3"/>
        </w:rPr>
        <w:t> </w:t>
      </w:r>
      <w:r>
        <w:rPr/>
        <w:t>no</w:t>
      </w:r>
      <w:r>
        <w:rPr>
          <w:spacing w:val="-2"/>
        </w:rPr>
        <w:t> </w:t>
      </w:r>
      <w:r>
        <w:rPr/>
        <w:t>longer</w:t>
      </w:r>
      <w:r>
        <w:rPr>
          <w:spacing w:val="-3"/>
        </w:rPr>
        <w:t> </w:t>
      </w:r>
      <w:r>
        <w:rPr/>
        <w:t>than a 90 day plus a five-day notice period of benefits (unless the individual can demonstrate that he or she did not receive the notice within five days, in which case benefits would be </w:t>
      </w:r>
      <w:r>
        <w:rPr>
          <w:spacing w:val="-2"/>
        </w:rPr>
        <w:t>extended).</w:t>
      </w:r>
    </w:p>
    <w:p>
      <w:pPr>
        <w:pStyle w:val="BodyText"/>
        <w:spacing w:before="10"/>
        <w:rPr>
          <w:sz w:val="20"/>
        </w:rPr>
      </w:pPr>
    </w:p>
    <w:p>
      <w:pPr>
        <w:pStyle w:val="BodyText"/>
        <w:ind w:left="2071" w:right="1239"/>
      </w:pPr>
      <w:bookmarkStart w:name="The reasonable opportunity period for im" w:id="185"/>
      <w:bookmarkEnd w:id="185"/>
      <w:r>
        <w:rPr/>
      </w:r>
      <w:r>
        <w:rPr/>
        <w:t>The reasonable opportunity period for immigration, citizenship and identity verification will be aligned with the provisional eligibility period.</w:t>
      </w:r>
      <w:r>
        <w:rPr>
          <w:spacing w:val="40"/>
        </w:rPr>
        <w:t> </w:t>
      </w:r>
      <w:r>
        <w:rPr/>
        <w:t>An individual may receive provisional eligibility no more than once within a twelve-month period, starting with the effective date of the initial provisional eligibility determination, unless the individual is transitioning</w:t>
      </w:r>
      <w:r>
        <w:rPr>
          <w:spacing w:val="-6"/>
        </w:rPr>
        <w:t> </w:t>
      </w:r>
      <w:r>
        <w:rPr/>
        <w:t>from</w:t>
      </w:r>
      <w:r>
        <w:rPr>
          <w:spacing w:val="-4"/>
        </w:rPr>
        <w:t> </w:t>
      </w:r>
      <w:r>
        <w:rPr/>
        <w:t>a</w:t>
      </w:r>
      <w:r>
        <w:rPr>
          <w:spacing w:val="-3"/>
        </w:rPr>
        <w:t> </w:t>
      </w:r>
      <w:r>
        <w:rPr/>
        <w:t>Qualified</w:t>
      </w:r>
      <w:r>
        <w:rPr>
          <w:spacing w:val="-4"/>
        </w:rPr>
        <w:t> </w:t>
      </w:r>
      <w:r>
        <w:rPr/>
        <w:t>Health</w:t>
      </w:r>
      <w:r>
        <w:rPr>
          <w:spacing w:val="-4"/>
        </w:rPr>
        <w:t> </w:t>
      </w:r>
      <w:r>
        <w:rPr/>
        <w:t>Plan</w:t>
      </w:r>
      <w:r>
        <w:rPr>
          <w:spacing w:val="-4"/>
        </w:rPr>
        <w:t> </w:t>
      </w:r>
      <w:r>
        <w:rPr/>
        <w:t>(QHP)</w:t>
      </w:r>
      <w:r>
        <w:rPr>
          <w:spacing w:val="-3"/>
        </w:rPr>
        <w:t> </w:t>
      </w:r>
      <w:r>
        <w:rPr/>
        <w:t>with</w:t>
      </w:r>
      <w:r>
        <w:rPr>
          <w:spacing w:val="-4"/>
        </w:rPr>
        <w:t> </w:t>
      </w:r>
      <w:r>
        <w:rPr/>
        <w:t>an</w:t>
      </w:r>
      <w:r>
        <w:rPr>
          <w:spacing w:val="-5"/>
        </w:rPr>
        <w:t> </w:t>
      </w:r>
      <w:r>
        <w:rPr/>
        <w:t>Advanced</w:t>
      </w:r>
      <w:r>
        <w:rPr>
          <w:spacing w:val="-4"/>
        </w:rPr>
        <w:t> </w:t>
      </w:r>
      <w:r>
        <w:rPr/>
        <w:t>Premium</w:t>
      </w:r>
      <w:r>
        <w:rPr>
          <w:spacing w:val="-4"/>
        </w:rPr>
        <w:t> </w:t>
      </w:r>
      <w:r>
        <w:rPr/>
        <w:t>Tax</w:t>
      </w:r>
      <w:r>
        <w:rPr>
          <w:spacing w:val="-2"/>
        </w:rPr>
        <w:t> </w:t>
      </w:r>
      <w:r>
        <w:rPr/>
        <w:t>Credit (APTC), or if the individual self-attests pregnancy.</w:t>
      </w:r>
      <w:r>
        <w:rPr>
          <w:spacing w:val="40"/>
        </w:rPr>
        <w:t> </w:t>
      </w:r>
      <w:r>
        <w:rPr/>
        <w:t>In those cases, an individual may receive provisional eligibility before such 12-month period has passed.</w:t>
      </w:r>
    </w:p>
    <w:p>
      <w:pPr>
        <w:pStyle w:val="BodyText"/>
        <w:spacing w:before="10"/>
        <w:rPr>
          <w:sz w:val="20"/>
        </w:rPr>
      </w:pPr>
    </w:p>
    <w:p>
      <w:pPr>
        <w:pStyle w:val="BodyText"/>
        <w:ind w:left="2071" w:right="1239"/>
      </w:pPr>
      <w:r>
        <w:rPr/>
        <w:drawing>
          <wp:anchor distT="0" distB="0" distL="0" distR="0" allowOverlap="1" layoutInCell="1" locked="0" behindDoc="0" simplePos="0" relativeHeight="15758336">
            <wp:simplePos x="0" y="0"/>
            <wp:positionH relativeFrom="page">
              <wp:posOffset>970787</wp:posOffset>
            </wp:positionH>
            <wp:positionV relativeFrom="paragraph">
              <wp:posOffset>35599</wp:posOffset>
            </wp:positionV>
            <wp:extent cx="222503" cy="112775"/>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58" cstate="print"/>
                    <a:stretch>
                      <a:fillRect/>
                    </a:stretch>
                  </pic:blipFill>
                  <pic:spPr>
                    <a:xfrm>
                      <a:off x="0" y="0"/>
                      <a:ext cx="222503" cy="112775"/>
                    </a:xfrm>
                    <a:prstGeom prst="rect">
                      <a:avLst/>
                    </a:prstGeom>
                  </pic:spPr>
                </pic:pic>
              </a:graphicData>
            </a:graphic>
          </wp:anchor>
        </w:drawing>
      </w:r>
      <w:bookmarkStart w:name="4.8. Verification of Breast or Cervical " w:id="186"/>
      <w:bookmarkEnd w:id="186"/>
      <w:r>
        <w:rPr/>
      </w:r>
      <w:r>
        <w:rPr>
          <w:b/>
        </w:rPr>
        <w:t>Verification</w:t>
      </w:r>
      <w:r>
        <w:rPr>
          <w:b/>
          <w:spacing w:val="-4"/>
        </w:rPr>
        <w:t> </w:t>
      </w:r>
      <w:r>
        <w:rPr>
          <w:b/>
        </w:rPr>
        <w:t>of</w:t>
      </w:r>
      <w:r>
        <w:rPr>
          <w:b/>
          <w:spacing w:val="-3"/>
        </w:rPr>
        <w:t> </w:t>
      </w:r>
      <w:r>
        <w:rPr>
          <w:b/>
        </w:rPr>
        <w:t>Breast</w:t>
      </w:r>
      <w:r>
        <w:rPr>
          <w:b/>
          <w:spacing w:val="-5"/>
        </w:rPr>
        <w:t> </w:t>
      </w:r>
      <w:r>
        <w:rPr>
          <w:b/>
        </w:rPr>
        <w:t>or</w:t>
      </w:r>
      <w:r>
        <w:rPr>
          <w:b/>
          <w:spacing w:val="-5"/>
        </w:rPr>
        <w:t> </w:t>
      </w:r>
      <w:r>
        <w:rPr>
          <w:b/>
        </w:rPr>
        <w:t>Cervical</w:t>
      </w:r>
      <w:r>
        <w:rPr>
          <w:b/>
          <w:spacing w:val="-4"/>
        </w:rPr>
        <w:t> </w:t>
      </w:r>
      <w:r>
        <w:rPr>
          <w:b/>
        </w:rPr>
        <w:t>Cancer</w:t>
      </w:r>
      <w:r>
        <w:rPr>
          <w:b/>
          <w:spacing w:val="-5"/>
        </w:rPr>
        <w:t> </w:t>
      </w:r>
      <w:r>
        <w:rPr>
          <w:b/>
        </w:rPr>
        <w:t>or</w:t>
      </w:r>
      <w:r>
        <w:rPr>
          <w:b/>
          <w:spacing w:val="-5"/>
        </w:rPr>
        <w:t> </w:t>
      </w:r>
      <w:r>
        <w:rPr>
          <w:b/>
        </w:rPr>
        <w:t>Human</w:t>
      </w:r>
      <w:r>
        <w:rPr>
          <w:b/>
          <w:spacing w:val="-4"/>
        </w:rPr>
        <w:t> </w:t>
      </w:r>
      <w:r>
        <w:rPr>
          <w:b/>
        </w:rPr>
        <w:t>Immunodeficiency</w:t>
      </w:r>
      <w:r>
        <w:rPr>
          <w:b/>
          <w:spacing w:val="-4"/>
        </w:rPr>
        <w:t> </w:t>
      </w:r>
      <w:r>
        <w:rPr>
          <w:b/>
        </w:rPr>
        <w:t>Virus</w:t>
      </w:r>
      <w:r>
        <w:rPr>
          <w:b/>
          <w:spacing w:val="-4"/>
        </w:rPr>
        <w:t> </w:t>
      </w:r>
      <w:r>
        <w:rPr>
          <w:b/>
        </w:rPr>
        <w:t>(HIV). </w:t>
      </w:r>
      <w:r>
        <w:rPr/>
        <w:t>For individuals who indicate on the application that they</w:t>
      </w:r>
      <w:r>
        <w:rPr>
          <w:spacing w:val="-2"/>
        </w:rPr>
        <w:t> </w:t>
      </w:r>
      <w:r>
        <w:rPr/>
        <w:t>have breast or cervical cancer or HIV, a determination of eligibility will be made in accordance with the procedures described in STC 4.7.</w:t>
      </w:r>
      <w:r>
        <w:rPr>
          <w:spacing w:val="40"/>
        </w:rPr>
        <w:t> </w:t>
      </w:r>
      <w:r>
        <w:rPr/>
        <w:t>Persons who have not submitted verification of breast cancer, cervical cancer, or HIV diagnosis within 90 days of the eligibility determination will subsequently have their eligibility redetermined as if they did not have breast cancer, cervical cancer, or HIV.</w:t>
      </w:r>
    </w:p>
    <w:p>
      <w:pPr>
        <w:pStyle w:val="BodyText"/>
        <w:spacing w:before="10"/>
        <w:rPr>
          <w:sz w:val="20"/>
        </w:rPr>
      </w:pPr>
    </w:p>
    <w:p>
      <w:pPr>
        <w:pStyle w:val="BodyText"/>
        <w:spacing w:before="1"/>
        <w:ind w:left="2071" w:right="1234"/>
      </w:pPr>
      <w:r>
        <w:rPr/>
        <w:drawing>
          <wp:anchor distT="0" distB="0" distL="0" distR="0" allowOverlap="1" layoutInCell="1" locked="0" behindDoc="0" simplePos="0" relativeHeight="15758848">
            <wp:simplePos x="0" y="0"/>
            <wp:positionH relativeFrom="page">
              <wp:posOffset>970788</wp:posOffset>
            </wp:positionH>
            <wp:positionV relativeFrom="paragraph">
              <wp:posOffset>36247</wp:posOffset>
            </wp:positionV>
            <wp:extent cx="222503" cy="112763"/>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59" cstate="print"/>
                    <a:stretch>
                      <a:fillRect/>
                    </a:stretch>
                  </pic:blipFill>
                  <pic:spPr>
                    <a:xfrm>
                      <a:off x="0" y="0"/>
                      <a:ext cx="222503" cy="112763"/>
                    </a:xfrm>
                    <a:prstGeom prst="rect">
                      <a:avLst/>
                    </a:prstGeom>
                  </pic:spPr>
                </pic:pic>
              </a:graphicData>
            </a:graphic>
          </wp:anchor>
        </w:drawing>
      </w:r>
      <w:bookmarkStart w:name="4.9. Eligibility Exclusions.  Notwithsta" w:id="187"/>
      <w:bookmarkEnd w:id="187"/>
      <w:r>
        <w:rPr/>
      </w:r>
      <w:r>
        <w:rPr>
          <w:b/>
        </w:rPr>
        <w:t>Eligibility Exclusions.</w:t>
      </w:r>
      <w:r>
        <w:rPr>
          <w:b/>
          <w:spacing w:val="40"/>
        </w:rPr>
        <w:t> </w:t>
      </w:r>
      <w:r>
        <w:rPr/>
        <w:t>Notwithstanding the criteria outlined in this section or in Table 2, the</w:t>
      </w:r>
      <w:r>
        <w:rPr>
          <w:spacing w:val="-5"/>
        </w:rPr>
        <w:t> </w:t>
      </w:r>
      <w:r>
        <w:rPr/>
        <w:t>following</w:t>
      </w:r>
      <w:r>
        <w:rPr>
          <w:spacing w:val="-6"/>
        </w:rPr>
        <w:t> </w:t>
      </w:r>
      <w:r>
        <w:rPr/>
        <w:t>individuals</w:t>
      </w:r>
      <w:r>
        <w:rPr>
          <w:spacing w:val="-2"/>
        </w:rPr>
        <w:t> </w:t>
      </w:r>
      <w:r>
        <w:rPr/>
        <w:t>are</w:t>
      </w:r>
      <w:r>
        <w:rPr>
          <w:spacing w:val="-5"/>
        </w:rPr>
        <w:t> </w:t>
      </w:r>
      <w:r>
        <w:rPr/>
        <w:t>excluded</w:t>
      </w:r>
      <w:r>
        <w:rPr>
          <w:spacing w:val="-4"/>
        </w:rPr>
        <w:t> </w:t>
      </w:r>
      <w:r>
        <w:rPr/>
        <w:t>from</w:t>
      </w:r>
      <w:r>
        <w:rPr>
          <w:spacing w:val="-4"/>
        </w:rPr>
        <w:t> </w:t>
      </w:r>
      <w:r>
        <w:rPr/>
        <w:t>this</w:t>
      </w:r>
      <w:r>
        <w:rPr>
          <w:spacing w:val="-4"/>
        </w:rPr>
        <w:t> </w:t>
      </w:r>
      <w:r>
        <w:rPr/>
        <w:t>demonstration.</w:t>
      </w:r>
      <w:r>
        <w:rPr>
          <w:spacing w:val="40"/>
        </w:rPr>
        <w:t> </w:t>
      </w:r>
      <w:r>
        <w:rPr/>
        <w:t>Payments</w:t>
      </w:r>
      <w:r>
        <w:rPr>
          <w:spacing w:val="-2"/>
        </w:rPr>
        <w:t> </w:t>
      </w:r>
      <w:r>
        <w:rPr/>
        <w:t>or</w:t>
      </w:r>
      <w:r>
        <w:rPr>
          <w:spacing w:val="-5"/>
        </w:rPr>
        <w:t> </w:t>
      </w:r>
      <w:r>
        <w:rPr/>
        <w:t>expenditures related to uncompensated care for such individuals as defined in section 11, and as described in STC 10.1, however, may be included as allowable expenditures under the Safety Net Care Pool (SNCP).</w:t>
      </w:r>
      <w:r>
        <w:rPr>
          <w:spacing w:val="40"/>
        </w:rPr>
        <w:t> </w:t>
      </w:r>
      <w:r>
        <w:rPr/>
        <w:t>In addition, SUD services described in section 6, diversionary behavioral health services described in STC 5.11, and SMI/SED services described in section 7</w:t>
      </w:r>
      <w:r>
        <w:rPr>
          <w:spacing w:val="80"/>
        </w:rPr>
        <w:t> </w:t>
      </w:r>
      <w:r>
        <w:rPr/>
        <w:t>provided to MassHealth eligible individuals age 65 and over as</w:t>
      </w:r>
      <w:r>
        <w:rPr>
          <w:spacing w:val="40"/>
        </w:rPr>
        <w:t> </w:t>
      </w:r>
      <w:r>
        <w:rPr/>
        <w:t>well as benefits provided to recipients of state veteran annuities, regardless of age, described in the expenditure</w:t>
      </w:r>
      <w:r>
        <w:rPr>
          <w:spacing w:val="-1"/>
        </w:rPr>
        <w:t> </w:t>
      </w:r>
      <w:r>
        <w:rPr/>
        <w:t>authority, may</w:t>
      </w:r>
      <w:r>
        <w:rPr>
          <w:spacing w:val="-5"/>
        </w:rPr>
        <w:t> </w:t>
      </w:r>
      <w:r>
        <w:rPr/>
        <w:t>be</w:t>
      </w:r>
      <w:r>
        <w:rPr>
          <w:spacing w:val="-1"/>
        </w:rPr>
        <w:t> </w:t>
      </w:r>
      <w:r>
        <w:rPr/>
        <w:t>included as an allowable</w:t>
      </w:r>
      <w:r>
        <w:rPr>
          <w:spacing w:val="-1"/>
        </w:rPr>
        <w:t> </w:t>
      </w:r>
      <w:r>
        <w:rPr/>
        <w:t>expenditure</w:t>
      </w:r>
      <w:r>
        <w:rPr>
          <w:spacing w:val="-1"/>
        </w:rPr>
        <w:t> </w:t>
      </w:r>
      <w:r>
        <w:rPr/>
        <w:t>under the demonstration.</w:t>
      </w:r>
    </w:p>
    <w:p>
      <w:pPr>
        <w:pStyle w:val="BodyText"/>
        <w:spacing w:before="10"/>
        <w:rPr>
          <w:sz w:val="20"/>
        </w:rPr>
      </w:pPr>
    </w:p>
    <w:p>
      <w:pPr>
        <w:pStyle w:val="BodyText"/>
        <w:ind w:left="2611" w:right="1400"/>
        <w:jc w:val="both"/>
      </w:pPr>
      <w:r>
        <w:rPr/>
        <w:drawing>
          <wp:anchor distT="0" distB="0" distL="0" distR="0" allowOverlap="1" layoutInCell="1" locked="0" behindDoc="0" simplePos="0" relativeHeight="15759360">
            <wp:simplePos x="0" y="0"/>
            <wp:positionH relativeFrom="page">
              <wp:posOffset>1431036</wp:posOffset>
            </wp:positionH>
            <wp:positionV relativeFrom="paragraph">
              <wp:posOffset>67603</wp:posOffset>
            </wp:positionV>
            <wp:extent cx="96011" cy="80771"/>
            <wp:effectExtent l="0" t="0" r="0" b="0"/>
            <wp:wrapNone/>
            <wp:docPr id="66" name="Image 66"/>
            <wp:cNvGraphicFramePr>
              <a:graphicFrameLocks/>
            </wp:cNvGraphicFramePr>
            <a:graphic>
              <a:graphicData uri="http://schemas.openxmlformats.org/drawingml/2006/picture">
                <pic:pic>
                  <pic:nvPicPr>
                    <pic:cNvPr id="66" name="Image 66"/>
                    <pic:cNvPicPr/>
                  </pic:nvPicPr>
                  <pic:blipFill>
                    <a:blip r:embed="rId40" cstate="print"/>
                    <a:stretch>
                      <a:fillRect/>
                    </a:stretch>
                  </pic:blipFill>
                  <pic:spPr>
                    <a:xfrm>
                      <a:off x="0" y="0"/>
                      <a:ext cx="96011" cy="80771"/>
                    </a:xfrm>
                    <a:prstGeom prst="rect">
                      <a:avLst/>
                    </a:prstGeom>
                  </pic:spPr>
                </pic:pic>
              </a:graphicData>
            </a:graphic>
          </wp:anchor>
        </w:drawing>
      </w:r>
      <w:bookmarkStart w:name="a. Individuals 65 years and older, to th" w:id="188"/>
      <w:bookmarkEnd w:id="188"/>
      <w:r>
        <w:rPr/>
      </w:r>
      <w:r>
        <w:rPr/>
        <w:t>Individuals</w:t>
      </w:r>
      <w:r>
        <w:rPr>
          <w:spacing w:val="-2"/>
        </w:rPr>
        <w:t> </w:t>
      </w:r>
      <w:r>
        <w:rPr/>
        <w:t>65 years</w:t>
      </w:r>
      <w:r>
        <w:rPr>
          <w:spacing w:val="-2"/>
        </w:rPr>
        <w:t> </w:t>
      </w:r>
      <w:r>
        <w:rPr/>
        <w:t>and</w:t>
      </w:r>
      <w:r>
        <w:rPr>
          <w:spacing w:val="-1"/>
        </w:rPr>
        <w:t> </w:t>
      </w:r>
      <w:r>
        <w:rPr/>
        <w:t>older,</w:t>
      </w:r>
      <w:r>
        <w:rPr>
          <w:spacing w:val="-2"/>
        </w:rPr>
        <w:t> </w:t>
      </w:r>
      <w:r>
        <w:rPr/>
        <w:t>to</w:t>
      </w:r>
      <w:r>
        <w:rPr>
          <w:spacing w:val="-2"/>
        </w:rPr>
        <w:t> </w:t>
      </w:r>
      <w:r>
        <w:rPr/>
        <w:t>the</w:t>
      </w:r>
      <w:r>
        <w:rPr>
          <w:spacing w:val="-3"/>
        </w:rPr>
        <w:t> </w:t>
      </w:r>
      <w:r>
        <w:rPr/>
        <w:t>extent</w:t>
      </w:r>
      <w:r>
        <w:rPr>
          <w:spacing w:val="-2"/>
        </w:rPr>
        <w:t> </w:t>
      </w:r>
      <w:r>
        <w:rPr/>
        <w:t>that</w:t>
      </w:r>
      <w:r>
        <w:rPr>
          <w:spacing w:val="-2"/>
        </w:rPr>
        <w:t> </w:t>
      </w:r>
      <w:r>
        <w:rPr/>
        <w:t>such</w:t>
      </w:r>
      <w:r>
        <w:rPr>
          <w:spacing w:val="-2"/>
        </w:rPr>
        <w:t> </w:t>
      </w:r>
      <w:r>
        <w:rPr/>
        <w:t>an</w:t>
      </w:r>
      <w:r>
        <w:rPr>
          <w:spacing w:val="-2"/>
        </w:rPr>
        <w:t> </w:t>
      </w:r>
      <w:r>
        <w:rPr/>
        <w:t>exclusion</w:t>
      </w:r>
      <w:r>
        <w:rPr>
          <w:spacing w:val="-2"/>
        </w:rPr>
        <w:t> </w:t>
      </w:r>
      <w:r>
        <w:rPr/>
        <w:t>is</w:t>
      </w:r>
      <w:r>
        <w:rPr>
          <w:spacing w:val="-2"/>
        </w:rPr>
        <w:t> </w:t>
      </w:r>
      <w:r>
        <w:rPr/>
        <w:t>authorized</w:t>
      </w:r>
      <w:r>
        <w:rPr>
          <w:spacing w:val="-2"/>
        </w:rPr>
        <w:t> </w:t>
      </w:r>
      <w:r>
        <w:rPr/>
        <w:t>by MGL</w:t>
      </w:r>
      <w:r>
        <w:rPr>
          <w:spacing w:val="-8"/>
        </w:rPr>
        <w:t> </w:t>
      </w:r>
      <w:r>
        <w:rPr/>
        <w:t>Ch118E</w:t>
      </w:r>
      <w:r>
        <w:rPr>
          <w:spacing w:val="-4"/>
        </w:rPr>
        <w:t> </w:t>
      </w:r>
      <w:r>
        <w:rPr/>
        <w:t>Sec</w:t>
      </w:r>
      <w:r>
        <w:rPr>
          <w:spacing w:val="-4"/>
        </w:rPr>
        <w:t> </w:t>
      </w:r>
      <w:r>
        <w:rPr/>
        <w:t>9A,</w:t>
      </w:r>
      <w:r>
        <w:rPr>
          <w:spacing w:val="-3"/>
        </w:rPr>
        <w:t> </w:t>
      </w:r>
      <w:r>
        <w:rPr/>
        <w:t>except</w:t>
      </w:r>
      <w:r>
        <w:rPr>
          <w:spacing w:val="-3"/>
        </w:rPr>
        <w:t> </w:t>
      </w:r>
      <w:r>
        <w:rPr/>
        <w:t>for</w:t>
      </w:r>
      <w:r>
        <w:rPr>
          <w:spacing w:val="-4"/>
        </w:rPr>
        <w:t> </w:t>
      </w:r>
      <w:r>
        <w:rPr/>
        <w:t>individuals</w:t>
      </w:r>
      <w:r>
        <w:rPr>
          <w:spacing w:val="-3"/>
        </w:rPr>
        <w:t> </w:t>
      </w:r>
      <w:r>
        <w:rPr/>
        <w:t>eligible</w:t>
      </w:r>
      <w:r>
        <w:rPr>
          <w:spacing w:val="-4"/>
        </w:rPr>
        <w:t> </w:t>
      </w:r>
      <w:r>
        <w:rPr/>
        <w:t>in</w:t>
      </w:r>
      <w:r>
        <w:rPr>
          <w:spacing w:val="-3"/>
        </w:rPr>
        <w:t> </w:t>
      </w:r>
      <w:r>
        <w:rPr/>
        <w:t>accordance</w:t>
      </w:r>
      <w:r>
        <w:rPr>
          <w:spacing w:val="-2"/>
        </w:rPr>
        <w:t> </w:t>
      </w:r>
      <w:r>
        <w:rPr/>
        <w:t>within</w:t>
      </w:r>
      <w:r>
        <w:rPr>
          <w:spacing w:val="-3"/>
        </w:rPr>
        <w:t> </w:t>
      </w:r>
      <w:r>
        <w:rPr/>
        <w:t>42</w:t>
      </w:r>
      <w:r>
        <w:rPr>
          <w:spacing w:val="-3"/>
        </w:rPr>
        <w:t> </w:t>
      </w:r>
      <w:r>
        <w:rPr/>
        <w:t>CFR </w:t>
      </w:r>
      <w:r>
        <w:rPr>
          <w:spacing w:val="-2"/>
        </w:rPr>
        <w:t>435.110.</w:t>
      </w:r>
    </w:p>
    <w:p>
      <w:pPr>
        <w:spacing w:after="0"/>
        <w:jc w:val="both"/>
        <w:sectPr>
          <w:pgSz w:w="12240" w:h="15840"/>
          <w:pgMar w:header="0" w:footer="1201" w:top="1360" w:bottom="1400" w:left="0" w:right="220"/>
        </w:sectPr>
      </w:pPr>
    </w:p>
    <w:p>
      <w:pPr>
        <w:pStyle w:val="BodyText"/>
        <w:spacing w:before="79"/>
        <w:ind w:left="2611" w:right="1239"/>
      </w:pPr>
      <w:r>
        <w:rPr/>
        <w:drawing>
          <wp:anchor distT="0" distB="0" distL="0" distR="0" allowOverlap="1" layoutInCell="1" locked="0" behindDoc="0" simplePos="0" relativeHeight="15759872">
            <wp:simplePos x="0" y="0"/>
            <wp:positionH relativeFrom="page">
              <wp:posOffset>1424939</wp:posOffset>
            </wp:positionH>
            <wp:positionV relativeFrom="paragraph">
              <wp:posOffset>82717</wp:posOffset>
            </wp:positionV>
            <wp:extent cx="111251" cy="115823"/>
            <wp:effectExtent l="0" t="0" r="0" b="0"/>
            <wp:wrapNone/>
            <wp:docPr id="67" name="Image 67"/>
            <wp:cNvGraphicFramePr>
              <a:graphicFrameLocks/>
            </wp:cNvGraphicFramePr>
            <a:graphic>
              <a:graphicData uri="http://schemas.openxmlformats.org/drawingml/2006/picture">
                <pic:pic>
                  <pic:nvPicPr>
                    <pic:cNvPr id="67" name="Image 67"/>
                    <pic:cNvPicPr/>
                  </pic:nvPicPr>
                  <pic:blipFill>
                    <a:blip r:embed="rId34" cstate="print"/>
                    <a:stretch>
                      <a:fillRect/>
                    </a:stretch>
                  </pic:blipFill>
                  <pic:spPr>
                    <a:xfrm>
                      <a:off x="0" y="0"/>
                      <a:ext cx="111251" cy="115823"/>
                    </a:xfrm>
                    <a:prstGeom prst="rect">
                      <a:avLst/>
                    </a:prstGeom>
                  </pic:spPr>
                </pic:pic>
              </a:graphicData>
            </a:graphic>
          </wp:anchor>
        </w:drawing>
      </w:r>
      <w:bookmarkStart w:name="b. Participants in Program of All-Inclus" w:id="189"/>
      <w:bookmarkEnd w:id="189"/>
      <w:r>
        <w:rPr/>
      </w:r>
      <w:r>
        <w:rPr/>
        <w:t>Participants</w:t>
      </w:r>
      <w:r>
        <w:rPr>
          <w:spacing w:val="-3"/>
        </w:rPr>
        <w:t> </w:t>
      </w:r>
      <w:r>
        <w:rPr/>
        <w:t>in</w:t>
      </w:r>
      <w:r>
        <w:rPr>
          <w:spacing w:val="-3"/>
        </w:rPr>
        <w:t> </w:t>
      </w:r>
      <w:r>
        <w:rPr/>
        <w:t>Program</w:t>
      </w:r>
      <w:r>
        <w:rPr>
          <w:spacing w:val="-3"/>
        </w:rPr>
        <w:t> </w:t>
      </w:r>
      <w:r>
        <w:rPr/>
        <w:t>of</w:t>
      </w:r>
      <w:r>
        <w:rPr>
          <w:spacing w:val="-4"/>
        </w:rPr>
        <w:t> </w:t>
      </w:r>
      <w:r>
        <w:rPr/>
        <w:t>All-Inclusive</w:t>
      </w:r>
      <w:r>
        <w:rPr>
          <w:spacing w:val="-4"/>
        </w:rPr>
        <w:t> </w:t>
      </w:r>
      <w:r>
        <w:rPr/>
        <w:t>Care</w:t>
      </w:r>
      <w:r>
        <w:rPr>
          <w:spacing w:val="-4"/>
        </w:rPr>
        <w:t> </w:t>
      </w:r>
      <w:r>
        <w:rPr/>
        <w:t>of</w:t>
      </w:r>
      <w:r>
        <w:rPr>
          <w:spacing w:val="-4"/>
        </w:rPr>
        <w:t> </w:t>
      </w:r>
      <w:r>
        <w:rPr/>
        <w:t>the</w:t>
      </w:r>
      <w:r>
        <w:rPr>
          <w:spacing w:val="-4"/>
        </w:rPr>
        <w:t> </w:t>
      </w:r>
      <w:r>
        <w:rPr/>
        <w:t>Elderly</w:t>
      </w:r>
      <w:r>
        <w:rPr>
          <w:spacing w:val="-8"/>
        </w:rPr>
        <w:t> </w:t>
      </w:r>
      <w:r>
        <w:rPr/>
        <w:t>(PACE),</w:t>
      </w:r>
      <w:r>
        <w:rPr>
          <w:spacing w:val="-3"/>
        </w:rPr>
        <w:t> </w:t>
      </w:r>
      <w:r>
        <w:rPr/>
        <w:t>except</w:t>
      </w:r>
      <w:r>
        <w:rPr>
          <w:spacing w:val="-2"/>
        </w:rPr>
        <w:t> </w:t>
      </w:r>
      <w:r>
        <w:rPr/>
        <w:t>as otherwise described at STC 4.3(a).</w:t>
      </w:r>
    </w:p>
    <w:p>
      <w:pPr>
        <w:pStyle w:val="BodyText"/>
        <w:spacing w:before="10"/>
        <w:rPr>
          <w:sz w:val="20"/>
        </w:rPr>
      </w:pPr>
    </w:p>
    <w:p>
      <w:pPr>
        <w:pStyle w:val="BodyText"/>
        <w:ind w:left="2611"/>
      </w:pPr>
      <w:r>
        <w:rPr/>
        <w:drawing>
          <wp:anchor distT="0" distB="0" distL="0" distR="0" allowOverlap="1" layoutInCell="1" locked="0" behindDoc="0" simplePos="0" relativeHeight="15760384">
            <wp:simplePos x="0" y="0"/>
            <wp:positionH relativeFrom="page">
              <wp:posOffset>1431036</wp:posOffset>
            </wp:positionH>
            <wp:positionV relativeFrom="paragraph">
              <wp:posOffset>67616</wp:posOffset>
            </wp:positionV>
            <wp:extent cx="96011" cy="80759"/>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35" cstate="print"/>
                    <a:stretch>
                      <a:fillRect/>
                    </a:stretch>
                  </pic:blipFill>
                  <pic:spPr>
                    <a:xfrm>
                      <a:off x="0" y="0"/>
                      <a:ext cx="96011" cy="80759"/>
                    </a:xfrm>
                    <a:prstGeom prst="rect">
                      <a:avLst/>
                    </a:prstGeom>
                  </pic:spPr>
                </pic:pic>
              </a:graphicData>
            </a:graphic>
          </wp:anchor>
        </w:drawing>
      </w:r>
      <w:bookmarkStart w:name="c. Refugees served through the Refugee R" w:id="190"/>
      <w:bookmarkEnd w:id="190"/>
      <w:r>
        <w:rPr/>
      </w:r>
      <w:r>
        <w:rPr/>
        <w:t>Refugees</w:t>
      </w:r>
      <w:r>
        <w:rPr>
          <w:spacing w:val="-4"/>
        </w:rPr>
        <w:t> </w:t>
      </w:r>
      <w:r>
        <w:rPr/>
        <w:t>served</w:t>
      </w:r>
      <w:r>
        <w:rPr>
          <w:spacing w:val="-2"/>
        </w:rPr>
        <w:t> </w:t>
      </w:r>
      <w:r>
        <w:rPr/>
        <w:t>through</w:t>
      </w:r>
      <w:r>
        <w:rPr>
          <w:spacing w:val="-1"/>
        </w:rPr>
        <w:t> </w:t>
      </w:r>
      <w:r>
        <w:rPr/>
        <w:t>the</w:t>
      </w:r>
      <w:r>
        <w:rPr>
          <w:spacing w:val="-3"/>
        </w:rPr>
        <w:t> </w:t>
      </w:r>
      <w:r>
        <w:rPr/>
        <w:t>Refugee</w:t>
      </w:r>
      <w:r>
        <w:rPr>
          <w:spacing w:val="-2"/>
        </w:rPr>
        <w:t> </w:t>
      </w:r>
      <w:r>
        <w:rPr/>
        <w:t>Resettlement</w:t>
      </w:r>
      <w:r>
        <w:rPr>
          <w:spacing w:val="-2"/>
        </w:rPr>
        <w:t> Program.</w:t>
      </w:r>
    </w:p>
    <w:p>
      <w:pPr>
        <w:pStyle w:val="BodyText"/>
        <w:spacing w:before="10"/>
        <w:rPr>
          <w:sz w:val="20"/>
        </w:rPr>
      </w:pPr>
    </w:p>
    <w:p>
      <w:pPr>
        <w:pStyle w:val="BodyText"/>
        <w:ind w:left="2611" w:right="1239"/>
      </w:pPr>
      <w:r>
        <w:rPr/>
        <w:drawing>
          <wp:anchor distT="0" distB="0" distL="0" distR="0" allowOverlap="1" layoutInCell="1" locked="0" behindDoc="0" simplePos="0" relativeHeight="15760896">
            <wp:simplePos x="0" y="0"/>
            <wp:positionH relativeFrom="page">
              <wp:posOffset>1431036</wp:posOffset>
            </wp:positionH>
            <wp:positionV relativeFrom="paragraph">
              <wp:posOffset>32551</wp:posOffset>
            </wp:positionV>
            <wp:extent cx="105155" cy="115823"/>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36" cstate="print"/>
                    <a:stretch>
                      <a:fillRect/>
                    </a:stretch>
                  </pic:blipFill>
                  <pic:spPr>
                    <a:xfrm>
                      <a:off x="0" y="0"/>
                      <a:ext cx="105155" cy="115823"/>
                    </a:xfrm>
                    <a:prstGeom prst="rect">
                      <a:avLst/>
                    </a:prstGeom>
                  </pic:spPr>
                </pic:pic>
              </a:graphicData>
            </a:graphic>
          </wp:anchor>
        </w:drawing>
      </w:r>
      <w:bookmarkStart w:name="d. Individuals 65 years and older who ar" w:id="191"/>
      <w:bookmarkEnd w:id="191"/>
      <w:r>
        <w:rPr/>
      </w:r>
      <w:r>
        <w:rPr/>
        <w:t>Individuals</w:t>
      </w:r>
      <w:r>
        <w:rPr>
          <w:spacing w:val="-3"/>
        </w:rPr>
        <w:t> </w:t>
      </w:r>
      <w:r>
        <w:rPr/>
        <w:t>65 years</w:t>
      </w:r>
      <w:r>
        <w:rPr>
          <w:spacing w:val="-3"/>
        </w:rPr>
        <w:t> </w:t>
      </w:r>
      <w:r>
        <w:rPr/>
        <w:t>and</w:t>
      </w:r>
      <w:r>
        <w:rPr>
          <w:spacing w:val="-1"/>
        </w:rPr>
        <w:t> </w:t>
      </w:r>
      <w:r>
        <w:rPr/>
        <w:t>older</w:t>
      </w:r>
      <w:r>
        <w:rPr>
          <w:spacing w:val="-4"/>
        </w:rPr>
        <w:t> </w:t>
      </w:r>
      <w:r>
        <w:rPr/>
        <w:t>who</w:t>
      </w:r>
      <w:r>
        <w:rPr>
          <w:spacing w:val="-3"/>
        </w:rPr>
        <w:t> </w:t>
      </w:r>
      <w:r>
        <w:rPr/>
        <w:t>are</w:t>
      </w:r>
      <w:r>
        <w:rPr>
          <w:spacing w:val="-4"/>
        </w:rPr>
        <w:t> </w:t>
      </w:r>
      <w:r>
        <w:rPr/>
        <w:t>eligible</w:t>
      </w:r>
      <w:r>
        <w:rPr>
          <w:spacing w:val="-4"/>
        </w:rPr>
        <w:t> </w:t>
      </w:r>
      <w:r>
        <w:rPr/>
        <w:t>for</w:t>
      </w:r>
      <w:r>
        <w:rPr>
          <w:spacing w:val="-2"/>
        </w:rPr>
        <w:t> </w:t>
      </w:r>
      <w:r>
        <w:rPr/>
        <w:t>coverage</w:t>
      </w:r>
      <w:r>
        <w:rPr>
          <w:spacing w:val="-4"/>
        </w:rPr>
        <w:t> </w:t>
      </w:r>
      <w:r>
        <w:rPr/>
        <w:t>under</w:t>
      </w:r>
      <w:r>
        <w:rPr>
          <w:spacing w:val="-4"/>
        </w:rPr>
        <w:t> </w:t>
      </w:r>
      <w:r>
        <w:rPr/>
        <w:t>the</w:t>
      </w:r>
      <w:r>
        <w:rPr>
          <w:spacing w:val="-4"/>
        </w:rPr>
        <w:t> </w:t>
      </w:r>
      <w:r>
        <w:rPr/>
        <w:t>State</w:t>
      </w:r>
      <w:r>
        <w:rPr>
          <w:spacing w:val="-2"/>
        </w:rPr>
        <w:t> </w:t>
      </w:r>
      <w:r>
        <w:rPr/>
        <w:t>Plan</w:t>
      </w:r>
      <w:r>
        <w:rPr>
          <w:spacing w:val="-3"/>
        </w:rPr>
        <w:t> </w:t>
      </w:r>
      <w:r>
        <w:rPr/>
        <w:t>and who have income within the range of Qualified Individual eligibility.</w:t>
      </w:r>
    </w:p>
    <w:p>
      <w:pPr>
        <w:pStyle w:val="BodyText"/>
        <w:spacing w:before="10"/>
        <w:rPr>
          <w:sz w:val="20"/>
        </w:rPr>
      </w:pPr>
    </w:p>
    <w:p>
      <w:pPr>
        <w:pStyle w:val="Heading5"/>
        <w:ind w:left="2071"/>
      </w:pPr>
      <w:r>
        <w:rPr/>
        <w:drawing>
          <wp:anchor distT="0" distB="0" distL="0" distR="0" allowOverlap="1" layoutInCell="1" locked="0" behindDoc="0" simplePos="0" relativeHeight="15761408">
            <wp:simplePos x="0" y="0"/>
            <wp:positionH relativeFrom="page">
              <wp:posOffset>893063</wp:posOffset>
            </wp:positionH>
            <wp:positionV relativeFrom="paragraph">
              <wp:posOffset>35600</wp:posOffset>
            </wp:positionV>
            <wp:extent cx="298703" cy="112775"/>
            <wp:effectExtent l="0" t="0" r="0" b="0"/>
            <wp:wrapNone/>
            <wp:docPr id="70" name="Image 70"/>
            <wp:cNvGraphicFramePr>
              <a:graphicFrameLocks/>
            </wp:cNvGraphicFramePr>
            <a:graphic>
              <a:graphicData uri="http://schemas.openxmlformats.org/drawingml/2006/picture">
                <pic:pic>
                  <pic:nvPicPr>
                    <pic:cNvPr id="70" name="Image 70"/>
                    <pic:cNvPicPr/>
                  </pic:nvPicPr>
                  <pic:blipFill>
                    <a:blip r:embed="rId60" cstate="print"/>
                    <a:stretch>
                      <a:fillRect/>
                    </a:stretch>
                  </pic:blipFill>
                  <pic:spPr>
                    <a:xfrm>
                      <a:off x="0" y="0"/>
                      <a:ext cx="298703" cy="112775"/>
                    </a:xfrm>
                    <a:prstGeom prst="rect">
                      <a:avLst/>
                    </a:prstGeom>
                  </pic:spPr>
                </pic:pic>
              </a:graphicData>
            </a:graphic>
          </wp:anchor>
        </w:drawing>
      </w:r>
      <w:bookmarkStart w:name="4.10. Continuous Eligibility Period." w:id="192"/>
      <w:bookmarkEnd w:id="192"/>
      <w:r>
        <w:rPr>
          <w:b w:val="0"/>
        </w:rPr>
      </w:r>
      <w:r>
        <w:rPr/>
        <w:t>Continuous</w:t>
      </w:r>
      <w:r>
        <w:rPr>
          <w:spacing w:val="-6"/>
        </w:rPr>
        <w:t> </w:t>
      </w:r>
      <w:r>
        <w:rPr/>
        <w:t>Eligibility</w:t>
      </w:r>
      <w:r>
        <w:rPr>
          <w:spacing w:val="-5"/>
        </w:rPr>
        <w:t> </w:t>
      </w:r>
      <w:r>
        <w:rPr>
          <w:spacing w:val="-2"/>
        </w:rPr>
        <w:t>Period.</w:t>
      </w:r>
    </w:p>
    <w:p>
      <w:pPr>
        <w:pStyle w:val="BodyText"/>
        <w:spacing w:before="10"/>
        <w:rPr>
          <w:b/>
          <w:sz w:val="20"/>
        </w:rPr>
      </w:pPr>
    </w:p>
    <w:p>
      <w:pPr>
        <w:pStyle w:val="BodyText"/>
        <w:ind w:left="2611" w:right="1264"/>
      </w:pPr>
      <w:r>
        <w:rPr/>
        <w:drawing>
          <wp:anchor distT="0" distB="0" distL="0" distR="0" allowOverlap="1" layoutInCell="1" locked="0" behindDoc="0" simplePos="0" relativeHeight="15761920">
            <wp:simplePos x="0" y="0"/>
            <wp:positionH relativeFrom="page">
              <wp:posOffset>1431036</wp:posOffset>
            </wp:positionH>
            <wp:positionV relativeFrom="paragraph">
              <wp:posOffset>67603</wp:posOffset>
            </wp:positionV>
            <wp:extent cx="96011" cy="80771"/>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29" cstate="print"/>
                    <a:stretch>
                      <a:fillRect/>
                    </a:stretch>
                  </pic:blipFill>
                  <pic:spPr>
                    <a:xfrm>
                      <a:off x="0" y="0"/>
                      <a:ext cx="96011" cy="80771"/>
                    </a:xfrm>
                    <a:prstGeom prst="rect">
                      <a:avLst/>
                    </a:prstGeom>
                  </pic:spPr>
                </pic:pic>
              </a:graphicData>
            </a:graphic>
          </wp:anchor>
        </w:drawing>
      </w:r>
      <w:bookmarkStart w:name="a. Continuous Eligibility Duration. The " w:id="193"/>
      <w:bookmarkEnd w:id="193"/>
      <w:r>
        <w:rPr/>
      </w:r>
      <w:r>
        <w:rPr>
          <w:b/>
        </w:rPr>
        <w:t>Continuous Eligibility Duration. </w:t>
      </w:r>
      <w:r>
        <w:rPr/>
        <w:t>The Commonwealth is authorized to provide continuous</w:t>
      </w:r>
      <w:r>
        <w:rPr>
          <w:spacing w:val="-4"/>
        </w:rPr>
        <w:t> </w:t>
      </w:r>
      <w:r>
        <w:rPr/>
        <w:t>eligibility</w:t>
      </w:r>
      <w:r>
        <w:rPr>
          <w:spacing w:val="-9"/>
        </w:rPr>
        <w:t> </w:t>
      </w:r>
      <w:r>
        <w:rPr/>
        <w:t>for</w:t>
      </w:r>
      <w:r>
        <w:rPr>
          <w:spacing w:val="-3"/>
        </w:rPr>
        <w:t> </w:t>
      </w:r>
      <w:r>
        <w:rPr/>
        <w:t>the</w:t>
      </w:r>
      <w:r>
        <w:rPr>
          <w:spacing w:val="-5"/>
        </w:rPr>
        <w:t> </w:t>
      </w:r>
      <w:r>
        <w:rPr/>
        <w:t>populations</w:t>
      </w:r>
      <w:r>
        <w:rPr>
          <w:spacing w:val="-4"/>
        </w:rPr>
        <w:t> </w:t>
      </w:r>
      <w:r>
        <w:rPr/>
        <w:t>and</w:t>
      </w:r>
      <w:r>
        <w:rPr>
          <w:spacing w:val="-4"/>
        </w:rPr>
        <w:t> </w:t>
      </w:r>
      <w:r>
        <w:rPr/>
        <w:t>associated</w:t>
      </w:r>
      <w:r>
        <w:rPr>
          <w:spacing w:val="-4"/>
        </w:rPr>
        <w:t> </w:t>
      </w:r>
      <w:r>
        <w:rPr/>
        <w:t>durations</w:t>
      </w:r>
      <w:r>
        <w:rPr>
          <w:spacing w:val="-4"/>
        </w:rPr>
        <w:t> </w:t>
      </w:r>
      <w:r>
        <w:rPr/>
        <w:t>specified</w:t>
      </w:r>
      <w:r>
        <w:rPr>
          <w:spacing w:val="-2"/>
        </w:rPr>
        <w:t> </w:t>
      </w:r>
      <w:r>
        <w:rPr/>
        <w:t>in</w:t>
      </w:r>
      <w:r>
        <w:rPr>
          <w:spacing w:val="-4"/>
        </w:rPr>
        <w:t> </w:t>
      </w:r>
      <w:r>
        <w:rPr/>
        <w:t>Table 1 below, regardless of the delivery system through which these populations receive Medicaid benefits.</w:t>
      </w:r>
    </w:p>
    <w:p>
      <w:pPr>
        <w:pStyle w:val="BodyText"/>
        <w:spacing w:before="10"/>
        <w:rPr>
          <w:sz w:val="20"/>
        </w:rPr>
      </w:pPr>
    </w:p>
    <w:p>
      <w:pPr>
        <w:pStyle w:val="BodyText"/>
        <w:ind w:left="3240" w:right="1264"/>
      </w:pPr>
      <w:r>
        <w:rPr/>
        <w:drawing>
          <wp:anchor distT="0" distB="0" distL="0" distR="0" allowOverlap="1" layoutInCell="1" locked="0" behindDoc="0" simplePos="0" relativeHeight="15762432">
            <wp:simplePos x="0" y="0"/>
            <wp:positionH relativeFrom="page">
              <wp:posOffset>1862327</wp:posOffset>
            </wp:positionH>
            <wp:positionV relativeFrom="paragraph">
              <wp:posOffset>32551</wp:posOffset>
            </wp:positionV>
            <wp:extent cx="73151" cy="115823"/>
            <wp:effectExtent l="0" t="0" r="0" b="0"/>
            <wp:wrapNone/>
            <wp:docPr id="72" name="Image 72"/>
            <wp:cNvGraphicFramePr>
              <a:graphicFrameLocks/>
            </wp:cNvGraphicFramePr>
            <a:graphic>
              <a:graphicData uri="http://schemas.openxmlformats.org/drawingml/2006/picture">
                <pic:pic>
                  <pic:nvPicPr>
                    <pic:cNvPr id="72" name="Image 72"/>
                    <pic:cNvPicPr/>
                  </pic:nvPicPr>
                  <pic:blipFill>
                    <a:blip r:embed="rId61" cstate="print"/>
                    <a:stretch>
                      <a:fillRect/>
                    </a:stretch>
                  </pic:blipFill>
                  <pic:spPr>
                    <a:xfrm>
                      <a:off x="0" y="0"/>
                      <a:ext cx="73151" cy="115823"/>
                    </a:xfrm>
                    <a:prstGeom prst="rect">
                      <a:avLst/>
                    </a:prstGeom>
                  </pic:spPr>
                </pic:pic>
              </a:graphicData>
            </a:graphic>
          </wp:anchor>
        </w:drawing>
      </w:r>
      <w:bookmarkStart w:name="i. For individuals who are released from" w:id="194"/>
      <w:bookmarkEnd w:id="194"/>
      <w:r>
        <w:rPr/>
      </w:r>
      <w:r>
        <w:rPr/>
        <w:t>For individuals who are released from a correctional institution, each individual’s 12-month continuous eligibility period shall begin at the date of their release and will extend through the end of the 12th month following release. Eligible individuals for whom an eligibility determination is made after their release date but before 12 months after their release date shall be eligible</w:t>
      </w:r>
      <w:r>
        <w:rPr>
          <w:spacing w:val="-4"/>
        </w:rPr>
        <w:t> </w:t>
      </w:r>
      <w:r>
        <w:rPr/>
        <w:t>for</w:t>
      </w:r>
      <w:r>
        <w:rPr>
          <w:spacing w:val="-4"/>
        </w:rPr>
        <w:t> </w:t>
      </w:r>
      <w:r>
        <w:rPr/>
        <w:t>continuous</w:t>
      </w:r>
      <w:r>
        <w:rPr>
          <w:spacing w:val="-3"/>
        </w:rPr>
        <w:t> </w:t>
      </w:r>
      <w:r>
        <w:rPr/>
        <w:t>eligibility</w:t>
      </w:r>
      <w:r>
        <w:rPr>
          <w:spacing w:val="-8"/>
        </w:rPr>
        <w:t> </w:t>
      </w:r>
      <w:r>
        <w:rPr/>
        <w:t>through</w:t>
      </w:r>
      <w:r>
        <w:rPr>
          <w:spacing w:val="-3"/>
        </w:rPr>
        <w:t> </w:t>
      </w:r>
      <w:r>
        <w:rPr/>
        <w:t>the</w:t>
      </w:r>
      <w:r>
        <w:rPr>
          <w:spacing w:val="-4"/>
        </w:rPr>
        <w:t> </w:t>
      </w:r>
      <w:r>
        <w:rPr/>
        <w:t>end</w:t>
      </w:r>
      <w:r>
        <w:rPr>
          <w:spacing w:val="-1"/>
        </w:rPr>
        <w:t> </w:t>
      </w:r>
      <w:r>
        <w:rPr/>
        <w:t>of</w:t>
      </w:r>
      <w:r>
        <w:rPr>
          <w:spacing w:val="-4"/>
        </w:rPr>
        <w:t> </w:t>
      </w:r>
      <w:r>
        <w:rPr/>
        <w:t>the</w:t>
      </w:r>
      <w:r>
        <w:rPr>
          <w:spacing w:val="-4"/>
        </w:rPr>
        <w:t> </w:t>
      </w:r>
      <w:r>
        <w:rPr/>
        <w:t>12th</w:t>
      </w:r>
      <w:r>
        <w:rPr>
          <w:spacing w:val="-3"/>
        </w:rPr>
        <w:t> </w:t>
      </w:r>
      <w:r>
        <w:rPr/>
        <w:t>month</w:t>
      </w:r>
      <w:r>
        <w:rPr>
          <w:spacing w:val="-3"/>
        </w:rPr>
        <w:t> </w:t>
      </w:r>
      <w:r>
        <w:rPr/>
        <w:t>following release. This may result in continuous eligibility periods of less than 12 months for some individuals.</w:t>
      </w:r>
    </w:p>
    <w:p>
      <w:pPr>
        <w:pStyle w:val="BodyText"/>
        <w:spacing w:before="159"/>
        <w:ind w:left="3239" w:right="1239"/>
      </w:pPr>
      <w:r>
        <w:rPr/>
        <w:drawing>
          <wp:anchor distT="0" distB="0" distL="0" distR="0" allowOverlap="1" layoutInCell="1" locked="0" behindDoc="0" simplePos="0" relativeHeight="15762944">
            <wp:simplePos x="0" y="0"/>
            <wp:positionH relativeFrom="page">
              <wp:posOffset>1819655</wp:posOffset>
            </wp:positionH>
            <wp:positionV relativeFrom="paragraph">
              <wp:posOffset>133516</wp:posOffset>
            </wp:positionV>
            <wp:extent cx="115823" cy="115823"/>
            <wp:effectExtent l="0" t="0" r="0" b="0"/>
            <wp:wrapNone/>
            <wp:docPr id="73" name="Image 73"/>
            <wp:cNvGraphicFramePr>
              <a:graphicFrameLocks/>
            </wp:cNvGraphicFramePr>
            <a:graphic>
              <a:graphicData uri="http://schemas.openxmlformats.org/drawingml/2006/picture">
                <pic:pic>
                  <pic:nvPicPr>
                    <pic:cNvPr id="73" name="Image 73"/>
                    <pic:cNvPicPr/>
                  </pic:nvPicPr>
                  <pic:blipFill>
                    <a:blip r:embed="rId62" cstate="print"/>
                    <a:stretch>
                      <a:fillRect/>
                    </a:stretch>
                  </pic:blipFill>
                  <pic:spPr>
                    <a:xfrm>
                      <a:off x="0" y="0"/>
                      <a:ext cx="115823" cy="115823"/>
                    </a:xfrm>
                    <a:prstGeom prst="rect">
                      <a:avLst/>
                    </a:prstGeom>
                  </pic:spPr>
                </pic:pic>
              </a:graphicData>
            </a:graphic>
          </wp:anchor>
        </w:drawing>
      </w:r>
      <w:bookmarkStart w:name="ii. For individuals experiencing homeles" w:id="195"/>
      <w:bookmarkEnd w:id="195"/>
      <w:r>
        <w:rPr/>
      </w:r>
      <w:r>
        <w:rPr/>
        <w:t>For individuals experiencing homelessness who qualify for 24 months of continuous</w:t>
      </w:r>
      <w:r>
        <w:rPr>
          <w:spacing w:val="-4"/>
        </w:rPr>
        <w:t> </w:t>
      </w:r>
      <w:r>
        <w:rPr/>
        <w:t>eligibility,</w:t>
      </w:r>
      <w:r>
        <w:rPr>
          <w:spacing w:val="-4"/>
        </w:rPr>
        <w:t> </w:t>
      </w:r>
      <w:r>
        <w:rPr/>
        <w:t>the</w:t>
      </w:r>
      <w:r>
        <w:rPr>
          <w:spacing w:val="-5"/>
        </w:rPr>
        <w:t> </w:t>
      </w:r>
      <w:r>
        <w:rPr/>
        <w:t>continuous</w:t>
      </w:r>
      <w:r>
        <w:rPr>
          <w:spacing w:val="-4"/>
        </w:rPr>
        <w:t> </w:t>
      </w:r>
      <w:r>
        <w:rPr/>
        <w:t>eligibility</w:t>
      </w:r>
      <w:r>
        <w:rPr>
          <w:spacing w:val="-8"/>
        </w:rPr>
        <w:t> </w:t>
      </w:r>
      <w:r>
        <w:rPr/>
        <w:t>period</w:t>
      </w:r>
      <w:r>
        <w:rPr>
          <w:spacing w:val="-4"/>
        </w:rPr>
        <w:t> </w:t>
      </w:r>
      <w:r>
        <w:rPr/>
        <w:t>begins</w:t>
      </w:r>
      <w:r>
        <w:rPr>
          <w:spacing w:val="-4"/>
        </w:rPr>
        <w:t> </w:t>
      </w:r>
      <w:r>
        <w:rPr/>
        <w:t>on</w:t>
      </w:r>
      <w:r>
        <w:rPr>
          <w:spacing w:val="-4"/>
        </w:rPr>
        <w:t> </w:t>
      </w:r>
      <w:r>
        <w:rPr/>
        <w:t>the</w:t>
      </w:r>
      <w:r>
        <w:rPr>
          <w:spacing w:val="-5"/>
        </w:rPr>
        <w:t> </w:t>
      </w:r>
      <w:r>
        <w:rPr/>
        <w:t>effective date of the individual's Medicaid eligibility under 42 CFR §435.915 or CHIP eligibility under 42 CFR 457.340(g) or effective date of the most recent renewal of eligibility. Given these individuals are continuously eligible regardless of changes in circumstances, the Commonwealth will conduct renewals of eligibility consistent with 42 CFR §§ 435.916 and 457.343 for individuals who qualify for 24 months of continuous eligibility at the end of the continuous eligibility period.</w:t>
      </w:r>
    </w:p>
    <w:p>
      <w:pPr>
        <w:pStyle w:val="BodyText"/>
        <w:spacing w:before="202"/>
        <w:ind w:left="2611" w:right="1264"/>
      </w:pPr>
      <w:r>
        <w:rPr/>
        <w:drawing>
          <wp:anchor distT="0" distB="0" distL="0" distR="0" allowOverlap="1" layoutInCell="1" locked="0" behindDoc="0" simplePos="0" relativeHeight="15763456">
            <wp:simplePos x="0" y="0"/>
            <wp:positionH relativeFrom="page">
              <wp:posOffset>1424939</wp:posOffset>
            </wp:positionH>
            <wp:positionV relativeFrom="paragraph">
              <wp:posOffset>160821</wp:posOffset>
            </wp:positionV>
            <wp:extent cx="111251" cy="115823"/>
            <wp:effectExtent l="0" t="0" r="0" b="0"/>
            <wp:wrapNone/>
            <wp:docPr id="74" name="Image 74"/>
            <wp:cNvGraphicFramePr>
              <a:graphicFrameLocks/>
            </wp:cNvGraphicFramePr>
            <a:graphic>
              <a:graphicData uri="http://schemas.openxmlformats.org/drawingml/2006/picture">
                <pic:pic>
                  <pic:nvPicPr>
                    <pic:cNvPr id="74" name="Image 74"/>
                    <pic:cNvPicPr/>
                  </pic:nvPicPr>
                  <pic:blipFill>
                    <a:blip r:embed="rId63" cstate="print"/>
                    <a:stretch>
                      <a:fillRect/>
                    </a:stretch>
                  </pic:blipFill>
                  <pic:spPr>
                    <a:xfrm>
                      <a:off x="0" y="0"/>
                      <a:ext cx="111251" cy="115823"/>
                    </a:xfrm>
                    <a:prstGeom prst="rect">
                      <a:avLst/>
                    </a:prstGeom>
                  </pic:spPr>
                </pic:pic>
              </a:graphicData>
            </a:graphic>
          </wp:anchor>
        </w:drawing>
      </w:r>
      <w:bookmarkStart w:name="b. Continuous Eligibility Exceptions. No" w:id="196"/>
      <w:bookmarkEnd w:id="196"/>
      <w:r>
        <w:rPr/>
      </w:r>
      <w:r>
        <w:rPr>
          <w:b/>
        </w:rPr>
        <w:t>Continuous</w:t>
      </w:r>
      <w:r>
        <w:rPr>
          <w:b/>
          <w:spacing w:val="-7"/>
        </w:rPr>
        <w:t> </w:t>
      </w:r>
      <w:r>
        <w:rPr>
          <w:b/>
        </w:rPr>
        <w:t>Eligibility</w:t>
      </w:r>
      <w:r>
        <w:rPr>
          <w:b/>
          <w:spacing w:val="-7"/>
        </w:rPr>
        <w:t> </w:t>
      </w:r>
      <w:r>
        <w:rPr>
          <w:b/>
        </w:rPr>
        <w:t>Exceptions.</w:t>
      </w:r>
      <w:r>
        <w:rPr>
          <w:b/>
          <w:spacing w:val="-4"/>
        </w:rPr>
        <w:t> </w:t>
      </w:r>
      <w:r>
        <w:rPr/>
        <w:t>Notwithstanding</w:t>
      </w:r>
      <w:r>
        <w:rPr>
          <w:spacing w:val="-7"/>
        </w:rPr>
        <w:t> </w:t>
      </w:r>
      <w:r>
        <w:rPr/>
        <w:t>subparagraph</w:t>
      </w:r>
      <w:r>
        <w:rPr>
          <w:spacing w:val="-4"/>
        </w:rPr>
        <w:t> </w:t>
      </w:r>
      <w:r>
        <w:rPr/>
        <w:t>(a)</w:t>
      </w:r>
      <w:r>
        <w:rPr>
          <w:spacing w:val="-5"/>
        </w:rPr>
        <w:t> </w:t>
      </w:r>
      <w:r>
        <w:rPr/>
        <w:t>and</w:t>
      </w:r>
      <w:r>
        <w:rPr>
          <w:spacing w:val="-4"/>
        </w:rPr>
        <w:t> </w:t>
      </w:r>
      <w:r>
        <w:rPr/>
        <w:t>Table</w:t>
      </w:r>
      <w:r>
        <w:rPr>
          <w:spacing w:val="-5"/>
        </w:rPr>
        <w:t> </w:t>
      </w:r>
      <w:r>
        <w:rPr/>
        <w:t>1, if any of the following circumstances occur during an individual’s designated continuous eligibility period, the individual’s Medicaid eligibility shall be terminated, suspended or re-determined, as the state determines is appropriate:</w:t>
      </w:r>
    </w:p>
    <w:p>
      <w:pPr>
        <w:pStyle w:val="BodyText"/>
        <w:spacing w:before="9"/>
        <w:rPr>
          <w:sz w:val="20"/>
        </w:rPr>
      </w:pPr>
    </w:p>
    <w:p>
      <w:pPr>
        <w:pStyle w:val="BodyText"/>
        <w:spacing w:line="379" w:lineRule="auto" w:before="1"/>
        <w:ind w:left="3240" w:right="3742"/>
      </w:pPr>
      <w:r>
        <w:rPr/>
        <w:drawing>
          <wp:anchor distT="0" distB="0" distL="0" distR="0" allowOverlap="1" layoutInCell="1" locked="0" behindDoc="0" simplePos="0" relativeHeight="15763968">
            <wp:simplePos x="0" y="0"/>
            <wp:positionH relativeFrom="page">
              <wp:posOffset>1862327</wp:posOffset>
            </wp:positionH>
            <wp:positionV relativeFrom="paragraph">
              <wp:posOffset>33186</wp:posOffset>
            </wp:positionV>
            <wp:extent cx="73151" cy="115823"/>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64" cstate="print"/>
                    <a:stretch>
                      <a:fillRect/>
                    </a:stretch>
                  </pic:blipFill>
                  <pic:spPr>
                    <a:xfrm>
                      <a:off x="0" y="0"/>
                      <a:ext cx="73151" cy="115823"/>
                    </a:xfrm>
                    <a:prstGeom prst="rect">
                      <a:avLst/>
                    </a:prstGeom>
                  </pic:spPr>
                </pic:pic>
              </a:graphicData>
            </a:graphic>
          </wp:anchor>
        </w:drawing>
      </w:r>
      <w:r>
        <w:rPr/>
        <w:drawing>
          <wp:anchor distT="0" distB="0" distL="0" distR="0" allowOverlap="1" layoutInCell="1" locked="0" behindDoc="0" simplePos="0" relativeHeight="15764480">
            <wp:simplePos x="0" y="0"/>
            <wp:positionH relativeFrom="page">
              <wp:posOffset>1819655</wp:posOffset>
            </wp:positionH>
            <wp:positionV relativeFrom="paragraph">
              <wp:posOffset>309030</wp:posOffset>
            </wp:positionV>
            <wp:extent cx="115823" cy="115823"/>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62" cstate="print"/>
                    <a:stretch>
                      <a:fillRect/>
                    </a:stretch>
                  </pic:blipFill>
                  <pic:spPr>
                    <a:xfrm>
                      <a:off x="0" y="0"/>
                      <a:ext cx="115823" cy="115823"/>
                    </a:xfrm>
                    <a:prstGeom prst="rect">
                      <a:avLst/>
                    </a:prstGeom>
                  </pic:spPr>
                </pic:pic>
              </a:graphicData>
            </a:graphic>
          </wp:anchor>
        </w:drawing>
      </w:r>
      <w:r>
        <w:rPr/>
        <w:drawing>
          <wp:anchor distT="0" distB="0" distL="0" distR="0" allowOverlap="1" layoutInCell="1" locked="0" behindDoc="0" simplePos="0" relativeHeight="15764992">
            <wp:simplePos x="0" y="0"/>
            <wp:positionH relativeFrom="page">
              <wp:posOffset>1778507</wp:posOffset>
            </wp:positionH>
            <wp:positionV relativeFrom="paragraph">
              <wp:posOffset>586398</wp:posOffset>
            </wp:positionV>
            <wp:extent cx="158495" cy="115823"/>
            <wp:effectExtent l="0" t="0" r="0" b="0"/>
            <wp:wrapNone/>
            <wp:docPr id="77" name="Image 77"/>
            <wp:cNvGraphicFramePr>
              <a:graphicFrameLocks/>
            </wp:cNvGraphicFramePr>
            <a:graphic>
              <a:graphicData uri="http://schemas.openxmlformats.org/drawingml/2006/picture">
                <pic:pic>
                  <pic:nvPicPr>
                    <pic:cNvPr id="77" name="Image 77"/>
                    <pic:cNvPicPr/>
                  </pic:nvPicPr>
                  <pic:blipFill>
                    <a:blip r:embed="rId65" cstate="print"/>
                    <a:stretch>
                      <a:fillRect/>
                    </a:stretch>
                  </pic:blipFill>
                  <pic:spPr>
                    <a:xfrm>
                      <a:off x="0" y="0"/>
                      <a:ext cx="158495" cy="115823"/>
                    </a:xfrm>
                    <a:prstGeom prst="rect">
                      <a:avLst/>
                    </a:prstGeom>
                  </pic:spPr>
                </pic:pic>
              </a:graphicData>
            </a:graphic>
          </wp:anchor>
        </w:drawing>
      </w:r>
      <w:bookmarkStart w:name="i. The individual is no longer a Massach" w:id="197"/>
      <w:bookmarkEnd w:id="197"/>
      <w:r>
        <w:rPr/>
      </w:r>
      <w:r>
        <w:rPr/>
        <w:t>The</w:t>
      </w:r>
      <w:r>
        <w:rPr>
          <w:spacing w:val="-6"/>
        </w:rPr>
        <w:t> </w:t>
      </w:r>
      <w:r>
        <w:rPr/>
        <w:t>individual</w:t>
      </w:r>
      <w:r>
        <w:rPr>
          <w:spacing w:val="-5"/>
        </w:rPr>
        <w:t> </w:t>
      </w:r>
      <w:r>
        <w:rPr/>
        <w:t>is</w:t>
      </w:r>
      <w:r>
        <w:rPr>
          <w:spacing w:val="-5"/>
        </w:rPr>
        <w:t> </w:t>
      </w:r>
      <w:r>
        <w:rPr/>
        <w:t>no</w:t>
      </w:r>
      <w:r>
        <w:rPr>
          <w:spacing w:val="-5"/>
        </w:rPr>
        <w:t> </w:t>
      </w:r>
      <w:r>
        <w:rPr/>
        <w:t>longer</w:t>
      </w:r>
      <w:r>
        <w:rPr>
          <w:spacing w:val="-6"/>
        </w:rPr>
        <w:t> </w:t>
      </w:r>
      <w:r>
        <w:rPr/>
        <w:t>a</w:t>
      </w:r>
      <w:r>
        <w:rPr>
          <w:spacing w:val="-6"/>
        </w:rPr>
        <w:t> </w:t>
      </w:r>
      <w:r>
        <w:rPr/>
        <w:t>Massachusetts</w:t>
      </w:r>
      <w:r>
        <w:rPr>
          <w:spacing w:val="-5"/>
        </w:rPr>
        <w:t> </w:t>
      </w:r>
      <w:r>
        <w:rPr/>
        <w:t>resident </w:t>
      </w:r>
      <w:bookmarkStart w:name="ii. The individual requests termination " w:id="198"/>
      <w:bookmarkEnd w:id="198"/>
      <w:r>
        <w:rPr/>
        <w:t>T</w:t>
      </w:r>
      <w:r>
        <w:rPr/>
        <w:t>he individual requests termination of eligibility </w:t>
      </w:r>
      <w:bookmarkStart w:name="iii. The individual dies" w:id="199"/>
      <w:bookmarkEnd w:id="199"/>
      <w:r>
        <w:rPr/>
        <w:t>T</w:t>
      </w:r>
      <w:r>
        <w:rPr/>
        <w:t>he individual dies</w:t>
      </w:r>
    </w:p>
    <w:p>
      <w:pPr>
        <w:pStyle w:val="BodyText"/>
        <w:ind w:left="3240" w:right="1239"/>
      </w:pPr>
      <w:r>
        <w:rPr/>
        <w:drawing>
          <wp:anchor distT="0" distB="0" distL="0" distR="0" allowOverlap="1" layoutInCell="1" locked="0" behindDoc="0" simplePos="0" relativeHeight="15765504">
            <wp:simplePos x="0" y="0"/>
            <wp:positionH relativeFrom="page">
              <wp:posOffset>1786127</wp:posOffset>
            </wp:positionH>
            <wp:positionV relativeFrom="paragraph">
              <wp:posOffset>32551</wp:posOffset>
            </wp:positionV>
            <wp:extent cx="149339" cy="115823"/>
            <wp:effectExtent l="0" t="0" r="0" b="0"/>
            <wp:wrapNone/>
            <wp:docPr id="78" name="Image 78"/>
            <wp:cNvGraphicFramePr>
              <a:graphicFrameLocks/>
            </wp:cNvGraphicFramePr>
            <a:graphic>
              <a:graphicData uri="http://schemas.openxmlformats.org/drawingml/2006/picture">
                <pic:pic>
                  <pic:nvPicPr>
                    <pic:cNvPr id="78" name="Image 78"/>
                    <pic:cNvPicPr/>
                  </pic:nvPicPr>
                  <pic:blipFill>
                    <a:blip r:embed="rId66" cstate="print"/>
                    <a:stretch>
                      <a:fillRect/>
                    </a:stretch>
                  </pic:blipFill>
                  <pic:spPr>
                    <a:xfrm>
                      <a:off x="0" y="0"/>
                      <a:ext cx="149339" cy="115823"/>
                    </a:xfrm>
                    <a:prstGeom prst="rect">
                      <a:avLst/>
                    </a:prstGeom>
                  </pic:spPr>
                </pic:pic>
              </a:graphicData>
            </a:graphic>
          </wp:anchor>
        </w:drawing>
      </w:r>
      <w:bookmarkStart w:name="iv. The agency determines that eligibili" w:id="200"/>
      <w:bookmarkEnd w:id="200"/>
      <w:r>
        <w:rPr/>
      </w:r>
      <w:r>
        <w:rPr/>
        <w:t>The</w:t>
      </w:r>
      <w:r>
        <w:rPr>
          <w:spacing w:val="-4"/>
        </w:rPr>
        <w:t> </w:t>
      </w:r>
      <w:r>
        <w:rPr/>
        <w:t>agency</w:t>
      </w:r>
      <w:r>
        <w:rPr>
          <w:spacing w:val="-8"/>
        </w:rPr>
        <w:t> </w:t>
      </w:r>
      <w:r>
        <w:rPr/>
        <w:t>determines</w:t>
      </w:r>
      <w:r>
        <w:rPr>
          <w:spacing w:val="-3"/>
        </w:rPr>
        <w:t> </w:t>
      </w:r>
      <w:r>
        <w:rPr/>
        <w:t>that</w:t>
      </w:r>
      <w:r>
        <w:rPr>
          <w:spacing w:val="-3"/>
        </w:rPr>
        <w:t> </w:t>
      </w:r>
      <w:r>
        <w:rPr/>
        <w:t>eligibility</w:t>
      </w:r>
      <w:r>
        <w:rPr>
          <w:spacing w:val="-8"/>
        </w:rPr>
        <w:t> </w:t>
      </w:r>
      <w:r>
        <w:rPr/>
        <w:t>was</w:t>
      </w:r>
      <w:r>
        <w:rPr>
          <w:spacing w:val="-3"/>
        </w:rPr>
        <w:t> </w:t>
      </w:r>
      <w:r>
        <w:rPr/>
        <w:t>erroneously</w:t>
      </w:r>
      <w:r>
        <w:rPr>
          <w:spacing w:val="-6"/>
        </w:rPr>
        <w:t> </w:t>
      </w:r>
      <w:r>
        <w:rPr/>
        <w:t>granted</w:t>
      </w:r>
      <w:r>
        <w:rPr>
          <w:spacing w:val="-3"/>
        </w:rPr>
        <w:t> </w:t>
      </w:r>
      <w:r>
        <w:rPr/>
        <w:t>at</w:t>
      </w:r>
      <w:r>
        <w:rPr>
          <w:spacing w:val="-3"/>
        </w:rPr>
        <w:t> </w:t>
      </w:r>
      <w:r>
        <w:rPr/>
        <w:t>the</w:t>
      </w:r>
      <w:r>
        <w:rPr>
          <w:spacing w:val="-4"/>
        </w:rPr>
        <w:t> </w:t>
      </w:r>
      <w:r>
        <w:rPr/>
        <w:t>most recent determination, redetermination or renewal of eligibility because of agency error or fraud, abuse, or perjury attributed to the individual</w:t>
      </w:r>
    </w:p>
    <w:p>
      <w:pPr>
        <w:spacing w:after="0"/>
        <w:sectPr>
          <w:pgSz w:w="12240" w:h="15840"/>
          <w:pgMar w:header="0" w:footer="1201" w:top="1360" w:bottom="1400" w:left="0" w:right="220"/>
        </w:sectPr>
      </w:pPr>
    </w:p>
    <w:p>
      <w:pPr>
        <w:pStyle w:val="BodyText"/>
        <w:spacing w:before="79"/>
        <w:ind w:left="3240" w:right="1239"/>
      </w:pPr>
      <w:r>
        <w:rPr/>
        <w:drawing>
          <wp:anchor distT="0" distB="0" distL="0" distR="0" allowOverlap="1" layoutInCell="1" locked="0" behindDoc="0" simplePos="0" relativeHeight="15766016">
            <wp:simplePos x="0" y="0"/>
            <wp:positionH relativeFrom="page">
              <wp:posOffset>1825751</wp:posOffset>
            </wp:positionH>
            <wp:positionV relativeFrom="paragraph">
              <wp:posOffset>120817</wp:posOffset>
            </wp:positionV>
            <wp:extent cx="109727" cy="77723"/>
            <wp:effectExtent l="0" t="0" r="0" b="0"/>
            <wp:wrapNone/>
            <wp:docPr id="79" name="Image 79"/>
            <wp:cNvGraphicFramePr>
              <a:graphicFrameLocks/>
            </wp:cNvGraphicFramePr>
            <a:graphic>
              <a:graphicData uri="http://schemas.openxmlformats.org/drawingml/2006/picture">
                <pic:pic>
                  <pic:nvPicPr>
                    <pic:cNvPr id="79" name="Image 79"/>
                    <pic:cNvPicPr/>
                  </pic:nvPicPr>
                  <pic:blipFill>
                    <a:blip r:embed="rId67" cstate="print"/>
                    <a:stretch>
                      <a:fillRect/>
                    </a:stretch>
                  </pic:blipFill>
                  <pic:spPr>
                    <a:xfrm>
                      <a:off x="0" y="0"/>
                      <a:ext cx="109727" cy="77723"/>
                    </a:xfrm>
                    <a:prstGeom prst="rect">
                      <a:avLst/>
                    </a:prstGeom>
                  </pic:spPr>
                </pic:pic>
              </a:graphicData>
            </a:graphic>
          </wp:anchor>
        </w:drawing>
      </w:r>
      <w:bookmarkStart w:name="v. Except as specified in subparagraph (" w:id="201"/>
      <w:bookmarkEnd w:id="201"/>
      <w:r>
        <w:rPr/>
      </w:r>
      <w:r>
        <w:rPr/>
        <w:t>Except as specified in subparagraph (b), continuous eligibility applies to individuals</w:t>
      </w:r>
      <w:r>
        <w:rPr>
          <w:spacing w:val="-3"/>
        </w:rPr>
        <w:t> </w:t>
      </w:r>
      <w:r>
        <w:rPr/>
        <w:t>in</w:t>
      </w:r>
      <w:r>
        <w:rPr>
          <w:spacing w:val="-3"/>
        </w:rPr>
        <w:t> </w:t>
      </w:r>
      <w:r>
        <w:rPr/>
        <w:t>all</w:t>
      </w:r>
      <w:r>
        <w:rPr>
          <w:spacing w:val="-3"/>
        </w:rPr>
        <w:t> </w:t>
      </w:r>
      <w:r>
        <w:rPr/>
        <w:t>eligibility</w:t>
      </w:r>
      <w:r>
        <w:rPr>
          <w:spacing w:val="-8"/>
        </w:rPr>
        <w:t> </w:t>
      </w:r>
      <w:r>
        <w:rPr/>
        <w:t>categories</w:t>
      </w:r>
      <w:r>
        <w:rPr>
          <w:spacing w:val="-3"/>
        </w:rPr>
        <w:t> </w:t>
      </w:r>
      <w:r>
        <w:rPr/>
        <w:t>who</w:t>
      </w:r>
      <w:r>
        <w:rPr>
          <w:spacing w:val="-3"/>
        </w:rPr>
        <w:t> </w:t>
      </w:r>
      <w:r>
        <w:rPr/>
        <w:t>meet</w:t>
      </w:r>
      <w:r>
        <w:rPr>
          <w:spacing w:val="-3"/>
        </w:rPr>
        <w:t> </w:t>
      </w:r>
      <w:r>
        <w:rPr/>
        <w:t>the</w:t>
      </w:r>
      <w:r>
        <w:rPr>
          <w:spacing w:val="-4"/>
        </w:rPr>
        <w:t> </w:t>
      </w:r>
      <w:r>
        <w:rPr/>
        <w:t>criteria</w:t>
      </w:r>
      <w:r>
        <w:rPr>
          <w:spacing w:val="-4"/>
        </w:rPr>
        <w:t> </w:t>
      </w:r>
      <w:r>
        <w:rPr/>
        <w:t>in</w:t>
      </w:r>
      <w:r>
        <w:rPr>
          <w:spacing w:val="-3"/>
        </w:rPr>
        <w:t> </w:t>
      </w:r>
      <w:r>
        <w:rPr/>
        <w:t>this</w:t>
      </w:r>
      <w:r>
        <w:rPr>
          <w:spacing w:val="-3"/>
        </w:rPr>
        <w:t> </w:t>
      </w:r>
      <w:r>
        <w:rPr/>
        <w:t>Table</w:t>
      </w:r>
      <w:r>
        <w:rPr>
          <w:spacing w:val="-4"/>
        </w:rPr>
        <w:t> </w:t>
      </w:r>
      <w:r>
        <w:rPr/>
        <w:t>1:</w:t>
      </w:r>
    </w:p>
    <w:p>
      <w:pPr>
        <w:pStyle w:val="BodyText"/>
        <w:spacing w:after="1"/>
        <w:rPr>
          <w:sz w:val="14"/>
        </w:rPr>
      </w:pPr>
    </w:p>
    <w:tbl>
      <w:tblPr>
        <w:tblW w:w="0" w:type="auto"/>
        <w:jc w:val="left"/>
        <w:tblInd w:w="1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26"/>
        <w:gridCol w:w="3328"/>
      </w:tblGrid>
      <w:tr>
        <w:trPr>
          <w:trHeight w:val="371" w:hRule="atLeast"/>
        </w:trPr>
        <w:tc>
          <w:tcPr>
            <w:tcW w:w="9354" w:type="dxa"/>
            <w:gridSpan w:val="2"/>
            <w:shd w:val="clear" w:color="auto" w:fill="DBE4F0"/>
          </w:tcPr>
          <w:p>
            <w:pPr>
              <w:pStyle w:val="TableParagraph"/>
              <w:spacing w:before="61"/>
              <w:ind w:left="897"/>
              <w:rPr>
                <w:b/>
                <w:sz w:val="22"/>
              </w:rPr>
            </w:pPr>
            <w:r>
              <w:rPr>
                <w:b/>
                <w:sz w:val="22"/>
              </w:rPr>
              <w:t>Table</w:t>
            </w:r>
            <w:r>
              <w:rPr>
                <w:b/>
                <w:spacing w:val="-6"/>
                <w:sz w:val="22"/>
              </w:rPr>
              <w:t> </w:t>
            </w:r>
            <w:r>
              <w:rPr>
                <w:b/>
                <w:sz w:val="22"/>
              </w:rPr>
              <w:t>1:</w:t>
            </w:r>
            <w:r>
              <w:rPr>
                <w:b/>
                <w:spacing w:val="-3"/>
                <w:sz w:val="22"/>
              </w:rPr>
              <w:t> </w:t>
            </w:r>
            <w:r>
              <w:rPr>
                <w:b/>
                <w:sz w:val="22"/>
              </w:rPr>
              <w:t>Eligible</w:t>
            </w:r>
            <w:r>
              <w:rPr>
                <w:b/>
                <w:spacing w:val="-6"/>
                <w:sz w:val="22"/>
              </w:rPr>
              <w:t> </w:t>
            </w:r>
            <w:r>
              <w:rPr>
                <w:b/>
                <w:sz w:val="22"/>
              </w:rPr>
              <w:t>Populations</w:t>
            </w:r>
            <w:r>
              <w:rPr>
                <w:b/>
                <w:spacing w:val="-4"/>
                <w:sz w:val="22"/>
              </w:rPr>
              <w:t> </w:t>
            </w:r>
            <w:r>
              <w:rPr>
                <w:b/>
                <w:sz w:val="22"/>
              </w:rPr>
              <w:t>and</w:t>
            </w:r>
            <w:r>
              <w:rPr>
                <w:b/>
                <w:spacing w:val="-5"/>
                <w:sz w:val="22"/>
              </w:rPr>
              <w:t> </w:t>
            </w:r>
            <w:r>
              <w:rPr>
                <w:b/>
                <w:sz w:val="22"/>
              </w:rPr>
              <w:t>Associated</w:t>
            </w:r>
            <w:r>
              <w:rPr>
                <w:b/>
                <w:spacing w:val="-5"/>
                <w:sz w:val="22"/>
              </w:rPr>
              <w:t> </w:t>
            </w:r>
            <w:r>
              <w:rPr>
                <w:b/>
                <w:sz w:val="22"/>
              </w:rPr>
              <w:t>Duration</w:t>
            </w:r>
            <w:r>
              <w:rPr>
                <w:b/>
                <w:spacing w:val="-7"/>
                <w:sz w:val="22"/>
              </w:rPr>
              <w:t> </w:t>
            </w:r>
            <w:r>
              <w:rPr>
                <w:b/>
                <w:sz w:val="22"/>
              </w:rPr>
              <w:t>for</w:t>
            </w:r>
            <w:r>
              <w:rPr>
                <w:b/>
                <w:spacing w:val="-4"/>
                <w:sz w:val="22"/>
              </w:rPr>
              <w:t> </w:t>
            </w:r>
            <w:r>
              <w:rPr>
                <w:b/>
                <w:sz w:val="22"/>
              </w:rPr>
              <w:t>Continuous</w:t>
            </w:r>
            <w:r>
              <w:rPr>
                <w:b/>
                <w:spacing w:val="-3"/>
                <w:sz w:val="22"/>
              </w:rPr>
              <w:t> </w:t>
            </w:r>
            <w:r>
              <w:rPr>
                <w:b/>
                <w:spacing w:val="-2"/>
                <w:sz w:val="22"/>
              </w:rPr>
              <w:t>Eligibility</w:t>
            </w:r>
          </w:p>
        </w:tc>
      </w:tr>
      <w:tr>
        <w:trPr>
          <w:trHeight w:val="625" w:hRule="atLeast"/>
        </w:trPr>
        <w:tc>
          <w:tcPr>
            <w:tcW w:w="6026" w:type="dxa"/>
            <w:shd w:val="clear" w:color="auto" w:fill="DBE4F0"/>
          </w:tcPr>
          <w:p>
            <w:pPr>
              <w:pStyle w:val="TableParagraph"/>
              <w:spacing w:before="188"/>
              <w:ind w:left="2489" w:right="2479"/>
              <w:jc w:val="center"/>
              <w:rPr>
                <w:b/>
                <w:sz w:val="22"/>
              </w:rPr>
            </w:pPr>
            <w:r>
              <w:rPr>
                <w:b/>
                <w:spacing w:val="-2"/>
                <w:sz w:val="22"/>
              </w:rPr>
              <w:t>Population</w:t>
            </w:r>
          </w:p>
        </w:tc>
        <w:tc>
          <w:tcPr>
            <w:tcW w:w="3328" w:type="dxa"/>
            <w:shd w:val="clear" w:color="auto" w:fill="DBE4F0"/>
          </w:tcPr>
          <w:p>
            <w:pPr>
              <w:pStyle w:val="TableParagraph"/>
              <w:spacing w:line="244" w:lineRule="auto" w:before="58"/>
              <w:ind w:left="1197" w:hanging="656"/>
              <w:rPr>
                <w:b/>
                <w:sz w:val="22"/>
              </w:rPr>
            </w:pPr>
            <w:r>
              <w:rPr>
                <w:b/>
                <w:sz w:val="22"/>
              </w:rPr>
              <w:t>Duration</w:t>
            </w:r>
            <w:r>
              <w:rPr>
                <w:b/>
                <w:spacing w:val="-14"/>
                <w:sz w:val="22"/>
              </w:rPr>
              <w:t> </w:t>
            </w:r>
            <w:r>
              <w:rPr>
                <w:b/>
                <w:sz w:val="22"/>
              </w:rPr>
              <w:t>of</w:t>
            </w:r>
            <w:r>
              <w:rPr>
                <w:b/>
                <w:spacing w:val="-14"/>
                <w:sz w:val="22"/>
              </w:rPr>
              <w:t> </w:t>
            </w:r>
            <w:r>
              <w:rPr>
                <w:b/>
                <w:sz w:val="22"/>
              </w:rPr>
              <w:t>Continuous </w:t>
            </w:r>
            <w:r>
              <w:rPr>
                <w:b/>
                <w:spacing w:val="-2"/>
                <w:sz w:val="22"/>
              </w:rPr>
              <w:t>Eligibility</w:t>
            </w:r>
          </w:p>
        </w:tc>
      </w:tr>
      <w:tr>
        <w:trPr>
          <w:trHeight w:val="1012" w:hRule="atLeast"/>
        </w:trPr>
        <w:tc>
          <w:tcPr>
            <w:tcW w:w="6026" w:type="dxa"/>
          </w:tcPr>
          <w:p>
            <w:pPr>
              <w:pStyle w:val="TableParagraph"/>
              <w:ind w:left="107"/>
              <w:rPr>
                <w:sz w:val="22"/>
              </w:rPr>
            </w:pPr>
            <w:r>
              <w:rPr>
                <w:sz w:val="22"/>
              </w:rPr>
              <w:t>Individuals released from a correctional institution, defined as County Correctional Facilities (CCFs), state Department of Corrections</w:t>
            </w:r>
            <w:r>
              <w:rPr>
                <w:spacing w:val="-7"/>
                <w:sz w:val="22"/>
              </w:rPr>
              <w:t> </w:t>
            </w:r>
            <w:r>
              <w:rPr>
                <w:sz w:val="22"/>
              </w:rPr>
              <w:t>(DOC)</w:t>
            </w:r>
            <w:r>
              <w:rPr>
                <w:spacing w:val="-4"/>
                <w:sz w:val="22"/>
              </w:rPr>
              <w:t> </w:t>
            </w:r>
            <w:r>
              <w:rPr>
                <w:sz w:val="22"/>
              </w:rPr>
              <w:t>Facilities,</w:t>
            </w:r>
            <w:r>
              <w:rPr>
                <w:spacing w:val="-5"/>
                <w:sz w:val="22"/>
              </w:rPr>
              <w:t> </w:t>
            </w:r>
            <w:r>
              <w:rPr>
                <w:sz w:val="22"/>
              </w:rPr>
              <w:t>and</w:t>
            </w:r>
            <w:r>
              <w:rPr>
                <w:spacing w:val="-8"/>
                <w:sz w:val="22"/>
              </w:rPr>
              <w:t> </w:t>
            </w:r>
            <w:r>
              <w:rPr>
                <w:sz w:val="22"/>
              </w:rPr>
              <w:t>Department</w:t>
            </w:r>
            <w:r>
              <w:rPr>
                <w:spacing w:val="-4"/>
                <w:sz w:val="22"/>
              </w:rPr>
              <w:t> </w:t>
            </w:r>
            <w:r>
              <w:rPr>
                <w:sz w:val="22"/>
              </w:rPr>
              <w:t>of</w:t>
            </w:r>
            <w:r>
              <w:rPr>
                <w:spacing w:val="-4"/>
                <w:sz w:val="22"/>
              </w:rPr>
              <w:t> </w:t>
            </w:r>
            <w:r>
              <w:rPr>
                <w:sz w:val="22"/>
              </w:rPr>
              <w:t>Youth</w:t>
            </w:r>
            <w:r>
              <w:rPr>
                <w:spacing w:val="-5"/>
                <w:sz w:val="22"/>
              </w:rPr>
              <w:t> </w:t>
            </w:r>
            <w:r>
              <w:rPr>
                <w:sz w:val="22"/>
              </w:rPr>
              <w:t>Services</w:t>
            </w:r>
          </w:p>
          <w:p>
            <w:pPr>
              <w:pStyle w:val="TableParagraph"/>
              <w:spacing w:line="233" w:lineRule="exact"/>
              <w:ind w:left="107"/>
              <w:rPr>
                <w:sz w:val="22"/>
              </w:rPr>
            </w:pPr>
            <w:r>
              <w:rPr>
                <w:sz w:val="22"/>
              </w:rPr>
              <w:t>(DYS)</w:t>
            </w:r>
            <w:r>
              <w:rPr>
                <w:spacing w:val="-5"/>
                <w:sz w:val="22"/>
              </w:rPr>
              <w:t> </w:t>
            </w:r>
            <w:r>
              <w:rPr>
                <w:sz w:val="22"/>
              </w:rPr>
              <w:t>juvenile</w:t>
            </w:r>
            <w:r>
              <w:rPr>
                <w:spacing w:val="-5"/>
                <w:sz w:val="22"/>
              </w:rPr>
              <w:t> </w:t>
            </w:r>
            <w:r>
              <w:rPr>
                <w:sz w:val="22"/>
              </w:rPr>
              <w:t>justice</w:t>
            </w:r>
            <w:r>
              <w:rPr>
                <w:spacing w:val="-4"/>
                <w:sz w:val="22"/>
              </w:rPr>
              <w:t> </w:t>
            </w:r>
            <w:r>
              <w:rPr>
                <w:spacing w:val="-2"/>
                <w:sz w:val="22"/>
              </w:rPr>
              <w:t>facilities</w:t>
            </w:r>
          </w:p>
        </w:tc>
        <w:tc>
          <w:tcPr>
            <w:tcW w:w="3328" w:type="dxa"/>
          </w:tcPr>
          <w:p>
            <w:pPr>
              <w:pStyle w:val="TableParagraph"/>
              <w:spacing w:line="251" w:lineRule="exact"/>
              <w:ind w:left="105"/>
              <w:rPr>
                <w:sz w:val="22"/>
              </w:rPr>
            </w:pPr>
            <w:r>
              <w:rPr>
                <w:sz w:val="22"/>
              </w:rPr>
              <w:t>12</w:t>
            </w:r>
            <w:r>
              <w:rPr>
                <w:spacing w:val="-6"/>
                <w:sz w:val="22"/>
              </w:rPr>
              <w:t> </w:t>
            </w:r>
            <w:r>
              <w:rPr>
                <w:sz w:val="22"/>
              </w:rPr>
              <w:t>months</w:t>
            </w:r>
            <w:r>
              <w:rPr>
                <w:spacing w:val="-3"/>
                <w:sz w:val="22"/>
              </w:rPr>
              <w:t> </w:t>
            </w:r>
            <w:r>
              <w:rPr>
                <w:sz w:val="22"/>
              </w:rPr>
              <w:t>following</w:t>
            </w:r>
            <w:r>
              <w:rPr>
                <w:spacing w:val="-5"/>
                <w:sz w:val="22"/>
              </w:rPr>
              <w:t> </w:t>
            </w:r>
            <w:r>
              <w:rPr>
                <w:spacing w:val="-2"/>
                <w:sz w:val="22"/>
              </w:rPr>
              <w:t>release</w:t>
            </w:r>
          </w:p>
        </w:tc>
      </w:tr>
      <w:tr>
        <w:trPr>
          <w:trHeight w:val="1518" w:hRule="atLeast"/>
        </w:trPr>
        <w:tc>
          <w:tcPr>
            <w:tcW w:w="6026" w:type="dxa"/>
          </w:tcPr>
          <w:p>
            <w:pPr>
              <w:pStyle w:val="TableParagraph"/>
              <w:ind w:left="107" w:right="100"/>
              <w:rPr>
                <w:sz w:val="22"/>
              </w:rPr>
            </w:pPr>
            <w:r>
              <w:rPr>
                <w:sz w:val="22"/>
              </w:rPr>
              <w:t>Individuals</w:t>
            </w:r>
            <w:r>
              <w:rPr>
                <w:spacing w:val="-5"/>
                <w:sz w:val="22"/>
              </w:rPr>
              <w:t> </w:t>
            </w:r>
            <w:r>
              <w:rPr>
                <w:sz w:val="22"/>
              </w:rPr>
              <w:t>who</w:t>
            </w:r>
            <w:r>
              <w:rPr>
                <w:spacing w:val="-5"/>
                <w:sz w:val="22"/>
              </w:rPr>
              <w:t> </w:t>
            </w:r>
            <w:r>
              <w:rPr>
                <w:sz w:val="22"/>
              </w:rPr>
              <w:t>are</w:t>
            </w:r>
            <w:r>
              <w:rPr>
                <w:spacing w:val="-5"/>
                <w:sz w:val="22"/>
              </w:rPr>
              <w:t> </w:t>
            </w:r>
            <w:r>
              <w:rPr>
                <w:sz w:val="22"/>
              </w:rPr>
              <w:t>experiencing</w:t>
            </w:r>
            <w:r>
              <w:rPr>
                <w:spacing w:val="-8"/>
                <w:sz w:val="22"/>
              </w:rPr>
              <w:t> </w:t>
            </w:r>
            <w:r>
              <w:rPr>
                <w:sz w:val="22"/>
              </w:rPr>
              <w:t>homelessness</w:t>
            </w:r>
            <w:r>
              <w:rPr>
                <w:spacing w:val="-7"/>
                <w:sz w:val="22"/>
              </w:rPr>
              <w:t> </w:t>
            </w:r>
            <w:r>
              <w:rPr>
                <w:sz w:val="22"/>
              </w:rPr>
              <w:t>(i.e.,</w:t>
            </w:r>
            <w:r>
              <w:rPr>
                <w:spacing w:val="-8"/>
                <w:sz w:val="22"/>
              </w:rPr>
              <w:t> </w:t>
            </w:r>
            <w:r>
              <w:rPr>
                <w:sz w:val="22"/>
              </w:rPr>
              <w:t>individuals with a confirmed status of homelessness for at least 6 months from the Statewide Homeless Management Information System Data Warehouse or from the Department of Housing and</w:t>
            </w:r>
          </w:p>
          <w:p>
            <w:pPr>
              <w:pStyle w:val="TableParagraph"/>
              <w:spacing w:line="252" w:lineRule="exact"/>
              <w:ind w:left="107" w:right="100" w:hanging="1"/>
              <w:rPr>
                <w:sz w:val="22"/>
              </w:rPr>
            </w:pPr>
            <w:r>
              <w:rPr>
                <w:sz w:val="22"/>
              </w:rPr>
              <w:t>Community</w:t>
            </w:r>
            <w:r>
              <w:rPr>
                <w:spacing w:val="-9"/>
                <w:sz w:val="22"/>
              </w:rPr>
              <w:t> </w:t>
            </w:r>
            <w:r>
              <w:rPr>
                <w:sz w:val="22"/>
              </w:rPr>
              <w:t>Development</w:t>
            </w:r>
            <w:r>
              <w:rPr>
                <w:spacing w:val="-5"/>
                <w:sz w:val="22"/>
              </w:rPr>
              <w:t> </w:t>
            </w:r>
            <w:r>
              <w:rPr>
                <w:sz w:val="22"/>
              </w:rPr>
              <w:t>Emergency</w:t>
            </w:r>
            <w:r>
              <w:rPr>
                <w:spacing w:val="-6"/>
                <w:sz w:val="22"/>
              </w:rPr>
              <w:t> </w:t>
            </w:r>
            <w:r>
              <w:rPr>
                <w:sz w:val="22"/>
              </w:rPr>
              <w:t>Assistance</w:t>
            </w:r>
            <w:r>
              <w:rPr>
                <w:spacing w:val="-6"/>
                <w:sz w:val="22"/>
              </w:rPr>
              <w:t> </w:t>
            </w:r>
            <w:r>
              <w:rPr>
                <w:sz w:val="22"/>
              </w:rPr>
              <w:t>shelter</w:t>
            </w:r>
            <w:r>
              <w:rPr>
                <w:spacing w:val="-8"/>
                <w:sz w:val="22"/>
              </w:rPr>
              <w:t> </w:t>
            </w:r>
            <w:r>
              <w:rPr>
                <w:sz w:val="22"/>
              </w:rPr>
              <w:t>system for families experiencing homelessness.)</w:t>
            </w:r>
          </w:p>
        </w:tc>
        <w:tc>
          <w:tcPr>
            <w:tcW w:w="3328" w:type="dxa"/>
          </w:tcPr>
          <w:p>
            <w:pPr>
              <w:pStyle w:val="TableParagraph"/>
              <w:spacing w:line="251" w:lineRule="exact"/>
              <w:ind w:left="105"/>
              <w:rPr>
                <w:sz w:val="22"/>
              </w:rPr>
            </w:pPr>
            <w:r>
              <w:rPr>
                <w:sz w:val="22"/>
              </w:rPr>
              <w:t>24 </w:t>
            </w:r>
            <w:r>
              <w:rPr>
                <w:spacing w:val="-2"/>
                <w:sz w:val="22"/>
              </w:rPr>
              <w:t>months</w:t>
            </w:r>
          </w:p>
        </w:tc>
      </w:tr>
    </w:tbl>
    <w:p>
      <w:pPr>
        <w:pStyle w:val="BodyText"/>
        <w:spacing w:before="7"/>
        <w:rPr>
          <w:sz w:val="9"/>
        </w:rPr>
      </w:pPr>
    </w:p>
    <w:p>
      <w:pPr>
        <w:pStyle w:val="BodyText"/>
        <w:spacing w:before="90"/>
        <w:ind w:left="2611" w:right="1239"/>
      </w:pPr>
      <w:r>
        <w:rPr/>
        <w:drawing>
          <wp:anchor distT="0" distB="0" distL="0" distR="0" allowOverlap="1" layoutInCell="1" locked="0" behindDoc="0" simplePos="0" relativeHeight="15766528">
            <wp:simplePos x="0" y="0"/>
            <wp:positionH relativeFrom="page">
              <wp:posOffset>1431036</wp:posOffset>
            </wp:positionH>
            <wp:positionV relativeFrom="paragraph">
              <wp:posOffset>124753</wp:posOffset>
            </wp:positionV>
            <wp:extent cx="96011" cy="80771"/>
            <wp:effectExtent l="0" t="0" r="0" b="0"/>
            <wp:wrapNone/>
            <wp:docPr id="80" name="Image 80"/>
            <wp:cNvGraphicFramePr>
              <a:graphicFrameLocks/>
            </wp:cNvGraphicFramePr>
            <a:graphic>
              <a:graphicData uri="http://schemas.openxmlformats.org/drawingml/2006/picture">
                <pic:pic>
                  <pic:nvPicPr>
                    <pic:cNvPr id="80" name="Image 80"/>
                    <pic:cNvPicPr/>
                  </pic:nvPicPr>
                  <pic:blipFill>
                    <a:blip r:embed="rId41" cstate="print"/>
                    <a:stretch>
                      <a:fillRect/>
                    </a:stretch>
                  </pic:blipFill>
                  <pic:spPr>
                    <a:xfrm>
                      <a:off x="0" y="0"/>
                      <a:ext cx="96011" cy="80771"/>
                    </a:xfrm>
                    <a:prstGeom prst="rect">
                      <a:avLst/>
                    </a:prstGeom>
                  </pic:spPr>
                </pic:pic>
              </a:graphicData>
            </a:graphic>
          </wp:anchor>
        </w:drawing>
      </w:r>
      <w:bookmarkStart w:name="c. Beneficiary-Reported Information and " w:id="202"/>
      <w:bookmarkEnd w:id="202"/>
      <w:r>
        <w:rPr/>
      </w:r>
      <w:r>
        <w:rPr>
          <w:b/>
        </w:rPr>
        <w:t>Beneficiary-Reported Information and Periodic Data Checks</w:t>
      </w:r>
      <w:r>
        <w:rPr/>
        <w:t>. The Commonwealth must have procedures designed to ensure that beneficiaries make timely and accurate reports of any change in circumstances that may affect their eligibility</w:t>
      </w:r>
      <w:r>
        <w:rPr>
          <w:spacing w:val="-8"/>
        </w:rPr>
        <w:t> </w:t>
      </w:r>
      <w:r>
        <w:rPr/>
        <w:t>as</w:t>
      </w:r>
      <w:r>
        <w:rPr>
          <w:spacing w:val="-3"/>
        </w:rPr>
        <w:t> </w:t>
      </w:r>
      <w:r>
        <w:rPr/>
        <w:t>outlined</w:t>
      </w:r>
      <w:r>
        <w:rPr>
          <w:spacing w:val="-3"/>
        </w:rPr>
        <w:t> </w:t>
      </w:r>
      <w:r>
        <w:rPr/>
        <w:t>in</w:t>
      </w:r>
      <w:r>
        <w:rPr>
          <w:spacing w:val="-3"/>
        </w:rPr>
        <w:t> </w:t>
      </w:r>
      <w:r>
        <w:rPr/>
        <w:t>this</w:t>
      </w:r>
      <w:r>
        <w:rPr>
          <w:spacing w:val="-3"/>
        </w:rPr>
        <w:t> </w:t>
      </w:r>
      <w:r>
        <w:rPr/>
        <w:t>demonstration,</w:t>
      </w:r>
      <w:r>
        <w:rPr>
          <w:spacing w:val="-3"/>
        </w:rPr>
        <w:t> </w:t>
      </w:r>
      <w:r>
        <w:rPr/>
        <w:t>such</w:t>
      </w:r>
      <w:r>
        <w:rPr>
          <w:spacing w:val="-3"/>
        </w:rPr>
        <w:t> </w:t>
      </w:r>
      <w:r>
        <w:rPr/>
        <w:t>as</w:t>
      </w:r>
      <w:r>
        <w:rPr>
          <w:spacing w:val="-3"/>
        </w:rPr>
        <w:t> </w:t>
      </w:r>
      <w:r>
        <w:rPr/>
        <w:t>a</w:t>
      </w:r>
      <w:r>
        <w:rPr>
          <w:spacing w:val="-4"/>
        </w:rPr>
        <w:t> </w:t>
      </w:r>
      <w:r>
        <w:rPr/>
        <w:t>change</w:t>
      </w:r>
      <w:r>
        <w:rPr>
          <w:spacing w:val="-4"/>
        </w:rPr>
        <w:t> </w:t>
      </w:r>
      <w:r>
        <w:rPr/>
        <w:t>in</w:t>
      </w:r>
      <w:r>
        <w:rPr>
          <w:spacing w:val="-3"/>
        </w:rPr>
        <w:t> </w:t>
      </w:r>
      <w:r>
        <w:rPr/>
        <w:t>state</w:t>
      </w:r>
      <w:r>
        <w:rPr>
          <w:spacing w:val="-4"/>
        </w:rPr>
        <w:t> </w:t>
      </w:r>
      <w:r>
        <w:rPr/>
        <w:t>residency,</w:t>
      </w:r>
      <w:r>
        <w:rPr>
          <w:spacing w:val="-1"/>
        </w:rPr>
        <w:t> </w:t>
      </w:r>
      <w:r>
        <w:rPr/>
        <w:t>and are able to report other information potentially relevant to the state’s evaluation of this demonstration, such as changes in income.</w:t>
      </w:r>
      <w:r>
        <w:rPr>
          <w:spacing w:val="40"/>
        </w:rPr>
        <w:t> </w:t>
      </w:r>
      <w:r>
        <w:rPr/>
        <w:t>The beneficiary must be able to report this information through any of the modes of submission available at application (online, in person, by telephone, or by mail).</w:t>
      </w:r>
    </w:p>
    <w:p>
      <w:pPr>
        <w:pStyle w:val="BodyText"/>
        <w:spacing w:before="10"/>
        <w:rPr>
          <w:sz w:val="20"/>
        </w:rPr>
      </w:pPr>
    </w:p>
    <w:p>
      <w:pPr>
        <w:pStyle w:val="BodyText"/>
        <w:ind w:left="2611" w:right="1232"/>
      </w:pPr>
      <w:bookmarkStart w:name="For individuals who qualify for a contin" w:id="203"/>
      <w:bookmarkEnd w:id="203"/>
      <w:r>
        <w:rPr/>
      </w:r>
      <w:r>
        <w:rPr/>
        <w:t>For individuals who qualify for a continuous eligibility period that exceeds 12 months, the state must continue to attempt to verify residency at least once every 12 months. Additionally, the state must attempt to confirm the individual is not</w:t>
      </w:r>
      <w:r>
        <w:rPr>
          <w:spacing w:val="40"/>
        </w:rPr>
        <w:t> </w:t>
      </w:r>
      <w:r>
        <w:rPr/>
        <w:t>deceased at least once every 12 months, consistent with the data sources outlined in the state’s verification plan(s) and/or confirmed by the household per 42 CFR 435.952(d) and 42 CFR 457.380.</w:t>
      </w:r>
      <w:r>
        <w:rPr>
          <w:spacing w:val="79"/>
        </w:rPr>
        <w:t> </w:t>
      </w:r>
      <w:r>
        <w:rPr/>
        <w:t>The state must continue to redetermine eligibility if the state receives information that indicates a change in state residency or that the individual is deceased, verifying the change consistent with 42 CFR 435.916(d) and in</w:t>
      </w:r>
      <w:r>
        <w:rPr>
          <w:spacing w:val="-4"/>
        </w:rPr>
        <w:t> </w:t>
      </w:r>
      <w:r>
        <w:rPr/>
        <w:t>accordance</w:t>
      </w:r>
      <w:r>
        <w:rPr>
          <w:spacing w:val="-3"/>
        </w:rPr>
        <w:t> </w:t>
      </w:r>
      <w:r>
        <w:rPr/>
        <w:t>with</w:t>
      </w:r>
      <w:r>
        <w:rPr>
          <w:spacing w:val="-4"/>
        </w:rPr>
        <w:t> </w:t>
      </w:r>
      <w:r>
        <w:rPr/>
        <w:t>42</w:t>
      </w:r>
      <w:r>
        <w:rPr>
          <w:spacing w:val="-4"/>
        </w:rPr>
        <w:t> </w:t>
      </w:r>
      <w:r>
        <w:rPr/>
        <w:t>CFR</w:t>
      </w:r>
      <w:r>
        <w:rPr>
          <w:spacing w:val="-4"/>
        </w:rPr>
        <w:t> </w:t>
      </w:r>
      <w:r>
        <w:rPr/>
        <w:t>435.940</w:t>
      </w:r>
      <w:r>
        <w:rPr>
          <w:spacing w:val="-4"/>
        </w:rPr>
        <w:t> </w:t>
      </w:r>
      <w:r>
        <w:rPr/>
        <w:t>through</w:t>
      </w:r>
      <w:r>
        <w:rPr>
          <w:spacing w:val="-4"/>
        </w:rPr>
        <w:t> </w:t>
      </w:r>
      <w:r>
        <w:rPr/>
        <w:t>435.960</w:t>
      </w:r>
      <w:r>
        <w:rPr>
          <w:spacing w:val="-4"/>
        </w:rPr>
        <w:t> </w:t>
      </w:r>
      <w:r>
        <w:rPr/>
        <w:t>and</w:t>
      </w:r>
      <w:r>
        <w:rPr>
          <w:spacing w:val="-4"/>
        </w:rPr>
        <w:t> </w:t>
      </w:r>
      <w:r>
        <w:rPr/>
        <w:t>the</w:t>
      </w:r>
      <w:r>
        <w:rPr>
          <w:spacing w:val="-5"/>
        </w:rPr>
        <w:t> </w:t>
      </w:r>
      <w:r>
        <w:rPr/>
        <w:t>state’s</w:t>
      </w:r>
      <w:r>
        <w:rPr>
          <w:spacing w:val="-4"/>
        </w:rPr>
        <w:t> </w:t>
      </w:r>
      <w:r>
        <w:rPr/>
        <w:t>verification</w:t>
      </w:r>
      <w:r>
        <w:rPr>
          <w:spacing w:val="-4"/>
        </w:rPr>
        <w:t> </w:t>
      </w:r>
      <w:r>
        <w:rPr/>
        <w:t>plan developed under 42 CFR 435.945(j) or 42 CFR 457.380.</w:t>
      </w:r>
    </w:p>
    <w:p>
      <w:pPr>
        <w:pStyle w:val="BodyText"/>
        <w:spacing w:before="10"/>
        <w:rPr>
          <w:sz w:val="20"/>
        </w:rPr>
      </w:pPr>
    </w:p>
    <w:p>
      <w:pPr>
        <w:pStyle w:val="BodyText"/>
        <w:ind w:left="2611" w:right="1239"/>
      </w:pPr>
      <w:r>
        <w:rPr/>
        <w:drawing>
          <wp:anchor distT="0" distB="0" distL="0" distR="0" allowOverlap="1" layoutInCell="1" locked="0" behindDoc="0" simplePos="0" relativeHeight="15767040">
            <wp:simplePos x="0" y="0"/>
            <wp:positionH relativeFrom="page">
              <wp:posOffset>1431036</wp:posOffset>
            </wp:positionH>
            <wp:positionV relativeFrom="paragraph">
              <wp:posOffset>32551</wp:posOffset>
            </wp:positionV>
            <wp:extent cx="105155" cy="115823"/>
            <wp:effectExtent l="0" t="0" r="0" b="0"/>
            <wp:wrapNone/>
            <wp:docPr id="81" name="Image 81"/>
            <wp:cNvGraphicFramePr>
              <a:graphicFrameLocks/>
            </wp:cNvGraphicFramePr>
            <a:graphic>
              <a:graphicData uri="http://schemas.openxmlformats.org/drawingml/2006/picture">
                <pic:pic>
                  <pic:nvPicPr>
                    <pic:cNvPr id="81" name="Image 81"/>
                    <pic:cNvPicPr/>
                  </pic:nvPicPr>
                  <pic:blipFill>
                    <a:blip r:embed="rId36" cstate="print"/>
                    <a:stretch>
                      <a:fillRect/>
                    </a:stretch>
                  </pic:blipFill>
                  <pic:spPr>
                    <a:xfrm>
                      <a:off x="0" y="0"/>
                      <a:ext cx="105155" cy="115823"/>
                    </a:xfrm>
                    <a:prstGeom prst="rect">
                      <a:avLst/>
                    </a:prstGeom>
                  </pic:spPr>
                </pic:pic>
              </a:graphicData>
            </a:graphic>
          </wp:anchor>
        </w:drawing>
      </w:r>
      <w:bookmarkStart w:name="d. As part of a deliverable titled Conti" w:id="204"/>
      <w:bookmarkEnd w:id="204"/>
      <w:r>
        <w:rPr/>
      </w:r>
      <w:r>
        <w:rPr/>
        <w:t>As part of a deliverable titled Continuous Eligibility Implementation Plan (see STC 4.11),</w:t>
      </w:r>
      <w:r>
        <w:rPr>
          <w:spacing w:val="-3"/>
        </w:rPr>
        <w:t> </w:t>
      </w:r>
      <w:r>
        <w:rPr/>
        <w:t>the</w:t>
      </w:r>
      <w:r>
        <w:rPr>
          <w:spacing w:val="-4"/>
        </w:rPr>
        <w:t> </w:t>
      </w:r>
      <w:r>
        <w:rPr/>
        <w:t>Commonwealth</w:t>
      </w:r>
      <w:r>
        <w:rPr>
          <w:spacing w:val="-3"/>
        </w:rPr>
        <w:t> </w:t>
      </w:r>
      <w:r>
        <w:rPr/>
        <w:t>must</w:t>
      </w:r>
      <w:r>
        <w:rPr>
          <w:spacing w:val="-3"/>
        </w:rPr>
        <w:t> </w:t>
      </w:r>
      <w:r>
        <w:rPr/>
        <w:t>submit</w:t>
      </w:r>
      <w:r>
        <w:rPr>
          <w:spacing w:val="-3"/>
        </w:rPr>
        <w:t> </w:t>
      </w:r>
      <w:r>
        <w:rPr/>
        <w:t>a</w:t>
      </w:r>
      <w:r>
        <w:rPr>
          <w:spacing w:val="-4"/>
        </w:rPr>
        <w:t> </w:t>
      </w:r>
      <w:r>
        <w:rPr/>
        <w:t>description</w:t>
      </w:r>
      <w:r>
        <w:rPr>
          <w:spacing w:val="-3"/>
        </w:rPr>
        <w:t> </w:t>
      </w:r>
      <w:r>
        <w:rPr/>
        <w:t>of</w:t>
      </w:r>
      <w:r>
        <w:rPr>
          <w:spacing w:val="-4"/>
        </w:rPr>
        <w:t> </w:t>
      </w:r>
      <w:r>
        <w:rPr/>
        <w:t>the</w:t>
      </w:r>
      <w:r>
        <w:rPr>
          <w:spacing w:val="-4"/>
        </w:rPr>
        <w:t> </w:t>
      </w:r>
      <w:r>
        <w:rPr/>
        <w:t>processes</w:t>
      </w:r>
      <w:r>
        <w:rPr>
          <w:spacing w:val="-3"/>
        </w:rPr>
        <w:t> </w:t>
      </w:r>
      <w:r>
        <w:rPr/>
        <w:t>to</w:t>
      </w:r>
      <w:r>
        <w:rPr>
          <w:spacing w:val="-3"/>
        </w:rPr>
        <w:t> </w:t>
      </w:r>
      <w:r>
        <w:rPr/>
        <w:t>perform</w:t>
      </w:r>
      <w:r>
        <w:rPr>
          <w:spacing w:val="-3"/>
        </w:rPr>
        <w:t> </w:t>
      </w:r>
      <w:r>
        <w:rPr/>
        <w:t>the verifications described above.</w:t>
      </w:r>
      <w:r>
        <w:rPr>
          <w:spacing w:val="40"/>
        </w:rPr>
        <w:t> </w:t>
      </w:r>
      <w:r>
        <w:rPr/>
        <w:t>Furthermore, the Commonwealth is required to provide CMS a narrative update annually on the processes it conducted and a summary of its findings regarding the successes and challenges in conducting such verifications.</w:t>
      </w:r>
      <w:r>
        <w:rPr>
          <w:spacing w:val="40"/>
        </w:rPr>
        <w:t> </w:t>
      </w:r>
      <w:r>
        <w:rPr/>
        <w:t>The information can be provided in the demonstration’s Annual Monitoring Reports (see STC 16.5).</w:t>
      </w:r>
    </w:p>
    <w:p>
      <w:pPr>
        <w:pStyle w:val="BodyText"/>
        <w:spacing w:before="10"/>
        <w:rPr>
          <w:sz w:val="20"/>
        </w:rPr>
      </w:pPr>
    </w:p>
    <w:p>
      <w:pPr>
        <w:spacing w:before="1"/>
        <w:ind w:left="2611" w:right="1239" w:firstLine="0"/>
        <w:jc w:val="left"/>
        <w:rPr>
          <w:sz w:val="24"/>
        </w:rPr>
      </w:pPr>
      <w:r>
        <w:rPr/>
        <w:drawing>
          <wp:anchor distT="0" distB="0" distL="0" distR="0" allowOverlap="1" layoutInCell="1" locked="0" behindDoc="0" simplePos="0" relativeHeight="15767552">
            <wp:simplePos x="0" y="0"/>
            <wp:positionH relativeFrom="page">
              <wp:posOffset>1431036</wp:posOffset>
            </wp:positionH>
            <wp:positionV relativeFrom="paragraph">
              <wp:posOffset>68251</wp:posOffset>
            </wp:positionV>
            <wp:extent cx="96011" cy="80759"/>
            <wp:effectExtent l="0" t="0" r="0" b="0"/>
            <wp:wrapNone/>
            <wp:docPr id="82" name="Image 82"/>
            <wp:cNvGraphicFramePr>
              <a:graphicFrameLocks/>
            </wp:cNvGraphicFramePr>
            <a:graphic>
              <a:graphicData uri="http://schemas.openxmlformats.org/drawingml/2006/picture">
                <pic:pic>
                  <pic:nvPicPr>
                    <pic:cNvPr id="82" name="Image 82"/>
                    <pic:cNvPicPr/>
                  </pic:nvPicPr>
                  <pic:blipFill>
                    <a:blip r:embed="rId37" cstate="print"/>
                    <a:stretch>
                      <a:fillRect/>
                    </a:stretch>
                  </pic:blipFill>
                  <pic:spPr>
                    <a:xfrm>
                      <a:off x="0" y="0"/>
                      <a:ext cx="96011" cy="80759"/>
                    </a:xfrm>
                    <a:prstGeom prst="rect">
                      <a:avLst/>
                    </a:prstGeom>
                  </pic:spPr>
                </pic:pic>
              </a:graphicData>
            </a:graphic>
          </wp:anchor>
        </w:drawing>
      </w:r>
      <w:bookmarkStart w:name="e. Annual Updates to Beneficiary Informa" w:id="205"/>
      <w:bookmarkEnd w:id="205"/>
      <w:r>
        <w:rPr/>
      </w:r>
      <w:r>
        <w:rPr>
          <w:b/>
          <w:sz w:val="24"/>
        </w:rPr>
        <w:t>Annual</w:t>
      </w:r>
      <w:r>
        <w:rPr>
          <w:b/>
          <w:spacing w:val="-4"/>
          <w:sz w:val="24"/>
        </w:rPr>
        <w:t> </w:t>
      </w:r>
      <w:r>
        <w:rPr>
          <w:b/>
          <w:sz w:val="24"/>
        </w:rPr>
        <w:t>Updates</w:t>
      </w:r>
      <w:r>
        <w:rPr>
          <w:b/>
          <w:spacing w:val="-4"/>
          <w:sz w:val="24"/>
        </w:rPr>
        <w:t> </w:t>
      </w:r>
      <w:r>
        <w:rPr>
          <w:b/>
          <w:sz w:val="24"/>
        </w:rPr>
        <w:t>to</w:t>
      </w:r>
      <w:r>
        <w:rPr>
          <w:b/>
          <w:spacing w:val="-4"/>
          <w:sz w:val="24"/>
        </w:rPr>
        <w:t> </w:t>
      </w:r>
      <w:r>
        <w:rPr>
          <w:b/>
          <w:sz w:val="24"/>
        </w:rPr>
        <w:t>Beneficiary</w:t>
      </w:r>
      <w:r>
        <w:rPr>
          <w:b/>
          <w:spacing w:val="-4"/>
          <w:sz w:val="24"/>
        </w:rPr>
        <w:t> </w:t>
      </w:r>
      <w:r>
        <w:rPr>
          <w:b/>
          <w:sz w:val="24"/>
        </w:rPr>
        <w:t>Information.</w:t>
      </w:r>
      <w:r>
        <w:rPr>
          <w:b/>
          <w:spacing w:val="-4"/>
          <w:sz w:val="24"/>
        </w:rPr>
        <w:t> </w:t>
      </w:r>
      <w:r>
        <w:rPr>
          <w:sz w:val="24"/>
        </w:rPr>
        <w:t>For</w:t>
      </w:r>
      <w:r>
        <w:rPr>
          <w:spacing w:val="-5"/>
          <w:sz w:val="24"/>
        </w:rPr>
        <w:t> </w:t>
      </w:r>
      <w:r>
        <w:rPr>
          <w:sz w:val="24"/>
        </w:rPr>
        <w:t>all</w:t>
      </w:r>
      <w:r>
        <w:rPr>
          <w:spacing w:val="-4"/>
          <w:sz w:val="24"/>
        </w:rPr>
        <w:t> </w:t>
      </w:r>
      <w:r>
        <w:rPr>
          <w:sz w:val="24"/>
        </w:rPr>
        <w:t>continuous</w:t>
      </w:r>
      <w:r>
        <w:rPr>
          <w:spacing w:val="-4"/>
          <w:sz w:val="24"/>
        </w:rPr>
        <w:t> </w:t>
      </w:r>
      <w:r>
        <w:rPr>
          <w:sz w:val="24"/>
        </w:rPr>
        <w:t>eligibility</w:t>
      </w:r>
      <w:r>
        <w:rPr>
          <w:spacing w:val="-9"/>
          <w:sz w:val="24"/>
        </w:rPr>
        <w:t> </w:t>
      </w:r>
      <w:r>
        <w:rPr>
          <w:sz w:val="24"/>
        </w:rPr>
        <w:t>periods longer than 12 months, the Commonwealth will be required to attempt to update</w:t>
      </w:r>
    </w:p>
    <w:p>
      <w:pPr>
        <w:spacing w:after="0"/>
        <w:jc w:val="left"/>
        <w:rPr>
          <w:sz w:val="24"/>
        </w:rPr>
        <w:sectPr>
          <w:pgSz w:w="12240" w:h="15840"/>
          <w:pgMar w:header="0" w:footer="1201" w:top="1360" w:bottom="1400" w:left="0" w:right="220"/>
        </w:sectPr>
      </w:pPr>
    </w:p>
    <w:p>
      <w:pPr>
        <w:pStyle w:val="BodyText"/>
        <w:spacing w:before="79"/>
        <w:ind w:left="2611" w:right="1230"/>
      </w:pPr>
      <w:r>
        <w:rPr/>
        <w:t>beneficiary information on an annual basis.</w:t>
      </w:r>
      <w:r>
        <w:rPr>
          <w:spacing w:val="40"/>
        </w:rPr>
        <w:t> </w:t>
      </w:r>
      <w:r>
        <w:rPr/>
        <w:t>The Commonwealth must have procedures and processes in place to accept and update beneficiary contact information and attempt to update beneficiary contact information on an annual basis, which could include annually checking data sources and partnering with managed care organizations (MCOs), Behavioral Health Prepaid Inpatient Health Plan</w:t>
      </w:r>
      <w:r>
        <w:rPr>
          <w:spacing w:val="-1"/>
        </w:rPr>
        <w:t> </w:t>
      </w:r>
      <w:r>
        <w:rPr/>
        <w:t>(BH</w:t>
      </w:r>
      <w:r>
        <w:rPr>
          <w:spacing w:val="-2"/>
        </w:rPr>
        <w:t> </w:t>
      </w:r>
      <w:r>
        <w:rPr/>
        <w:t>PIHP),</w:t>
      </w:r>
      <w:r>
        <w:rPr>
          <w:spacing w:val="-1"/>
        </w:rPr>
        <w:t> </w:t>
      </w:r>
      <w:r>
        <w:rPr/>
        <w:t>Primary</w:t>
      </w:r>
      <w:r>
        <w:rPr>
          <w:spacing w:val="-4"/>
        </w:rPr>
        <w:t> </w:t>
      </w:r>
      <w:r>
        <w:rPr/>
        <w:t>Care</w:t>
      </w:r>
      <w:r>
        <w:rPr>
          <w:spacing w:val="-2"/>
        </w:rPr>
        <w:t> </w:t>
      </w:r>
      <w:r>
        <w:rPr/>
        <w:t>ACOs</w:t>
      </w:r>
      <w:r>
        <w:rPr>
          <w:spacing w:val="-1"/>
        </w:rPr>
        <w:t> </w:t>
      </w:r>
      <w:r>
        <w:rPr/>
        <w:t>(PCACOs), and</w:t>
      </w:r>
      <w:r>
        <w:rPr>
          <w:spacing w:val="-1"/>
        </w:rPr>
        <w:t> </w:t>
      </w:r>
      <w:r>
        <w:rPr/>
        <w:t>Accountable</w:t>
      </w:r>
      <w:r>
        <w:rPr>
          <w:spacing w:val="-2"/>
        </w:rPr>
        <w:t> </w:t>
      </w:r>
      <w:r>
        <w:rPr/>
        <w:t>Care</w:t>
      </w:r>
      <w:r>
        <w:rPr>
          <w:spacing w:val="-2"/>
        </w:rPr>
        <w:t> </w:t>
      </w:r>
      <w:r>
        <w:rPr/>
        <w:t>Partnership Plans (ACPPs) to encourage beneficiaries to update their contact information.</w:t>
      </w:r>
      <w:r>
        <w:rPr>
          <w:spacing w:val="40"/>
        </w:rPr>
        <w:t> </w:t>
      </w:r>
      <w:r>
        <w:rPr/>
        <w:t>This must include procedures to annually check data sources and to partner with MCO, BH PIHP, PCACOs, and ACPPs to encourage beneficiaries to update their contact information.</w:t>
      </w:r>
      <w:r>
        <w:rPr>
          <w:spacing w:val="40"/>
        </w:rPr>
        <w:t> </w:t>
      </w:r>
      <w:r>
        <w:rPr/>
        <w:t>The</w:t>
      </w:r>
      <w:r>
        <w:rPr>
          <w:spacing w:val="-5"/>
        </w:rPr>
        <w:t> </w:t>
      </w:r>
      <w:r>
        <w:rPr/>
        <w:t>Commonwealth</w:t>
      </w:r>
      <w:r>
        <w:rPr>
          <w:spacing w:val="-4"/>
        </w:rPr>
        <w:t> </w:t>
      </w:r>
      <w:r>
        <w:rPr/>
        <w:t>is</w:t>
      </w:r>
      <w:r>
        <w:rPr>
          <w:spacing w:val="-4"/>
        </w:rPr>
        <w:t> </w:t>
      </w:r>
      <w:r>
        <w:rPr/>
        <w:t>reminded</w:t>
      </w:r>
      <w:r>
        <w:rPr>
          <w:spacing w:val="-4"/>
        </w:rPr>
        <w:t> </w:t>
      </w:r>
      <w:r>
        <w:rPr/>
        <w:t>that</w:t>
      </w:r>
      <w:r>
        <w:rPr>
          <w:spacing w:val="-4"/>
        </w:rPr>
        <w:t> </w:t>
      </w:r>
      <w:r>
        <w:rPr/>
        <w:t>updated</w:t>
      </w:r>
      <w:r>
        <w:rPr>
          <w:spacing w:val="-4"/>
        </w:rPr>
        <w:t> </w:t>
      </w:r>
      <w:r>
        <w:rPr/>
        <w:t>contact</w:t>
      </w:r>
      <w:r>
        <w:rPr>
          <w:spacing w:val="-4"/>
        </w:rPr>
        <w:t> </w:t>
      </w:r>
      <w:r>
        <w:rPr/>
        <w:t>information</w:t>
      </w:r>
      <w:r>
        <w:rPr>
          <w:spacing w:val="-4"/>
        </w:rPr>
        <w:t> </w:t>
      </w:r>
      <w:r>
        <w:rPr/>
        <w:t>from third-party</w:t>
      </w:r>
      <w:r>
        <w:rPr>
          <w:spacing w:val="-2"/>
        </w:rPr>
        <w:t> </w:t>
      </w:r>
      <w:r>
        <w:rPr/>
        <w:t>sources with an in-state address is not an indication of a change affecting eligibility.</w:t>
      </w:r>
      <w:r>
        <w:rPr>
          <w:spacing w:val="40"/>
        </w:rPr>
        <w:t> </w:t>
      </w:r>
      <w:r>
        <w:rPr/>
        <w:t>Contact information with an out-of-state or no forwarding address indicates a potential change in circumstance with respect to State residency, but without additional follow up by the Commonwealth per 42 CFR 435.952(d), the receipt of this third-party data is not sufficient to make a definitive determination as to whether beneficiaries no longer meet State residency requirements.</w:t>
      </w:r>
    </w:p>
    <w:p>
      <w:pPr>
        <w:pStyle w:val="BodyText"/>
        <w:spacing w:before="10"/>
        <w:rPr>
          <w:sz w:val="20"/>
        </w:rPr>
      </w:pPr>
    </w:p>
    <w:p>
      <w:pPr>
        <w:pStyle w:val="BodyText"/>
        <w:ind w:left="2611" w:right="1222"/>
      </w:pPr>
      <w:r>
        <w:rPr/>
        <w:drawing>
          <wp:anchor distT="0" distB="0" distL="0" distR="0" allowOverlap="1" layoutInCell="1" locked="0" behindDoc="0" simplePos="0" relativeHeight="15768064">
            <wp:simplePos x="0" y="0"/>
            <wp:positionH relativeFrom="page">
              <wp:posOffset>1431036</wp:posOffset>
            </wp:positionH>
            <wp:positionV relativeFrom="paragraph">
              <wp:posOffset>32551</wp:posOffset>
            </wp:positionV>
            <wp:extent cx="79247" cy="115823"/>
            <wp:effectExtent l="0" t="0" r="0" b="0"/>
            <wp:wrapNone/>
            <wp:docPr id="83" name="Image 83"/>
            <wp:cNvGraphicFramePr>
              <a:graphicFrameLocks/>
            </wp:cNvGraphicFramePr>
            <a:graphic>
              <a:graphicData uri="http://schemas.openxmlformats.org/drawingml/2006/picture">
                <pic:pic>
                  <pic:nvPicPr>
                    <pic:cNvPr id="83" name="Image 83"/>
                    <pic:cNvPicPr/>
                  </pic:nvPicPr>
                  <pic:blipFill>
                    <a:blip r:embed="rId42" cstate="print"/>
                    <a:stretch>
                      <a:fillRect/>
                    </a:stretch>
                  </pic:blipFill>
                  <pic:spPr>
                    <a:xfrm>
                      <a:off x="0" y="0"/>
                      <a:ext cx="79247" cy="115823"/>
                    </a:xfrm>
                    <a:prstGeom prst="rect">
                      <a:avLst/>
                    </a:prstGeom>
                  </pic:spPr>
                </pic:pic>
              </a:graphicData>
            </a:graphic>
          </wp:anchor>
        </w:drawing>
      </w:r>
      <w:bookmarkStart w:name="f. The Commonwealth must submit a descri" w:id="206"/>
      <w:bookmarkEnd w:id="206"/>
      <w:r>
        <w:rPr/>
      </w:r>
      <w:r>
        <w:rPr/>
        <w:t>The</w:t>
      </w:r>
      <w:r>
        <w:rPr>
          <w:spacing w:val="-4"/>
        </w:rPr>
        <w:t> </w:t>
      </w:r>
      <w:r>
        <w:rPr/>
        <w:t>Commonwealth</w:t>
      </w:r>
      <w:r>
        <w:rPr>
          <w:spacing w:val="-3"/>
        </w:rPr>
        <w:t> </w:t>
      </w:r>
      <w:r>
        <w:rPr/>
        <w:t>must</w:t>
      </w:r>
      <w:r>
        <w:rPr>
          <w:spacing w:val="-3"/>
        </w:rPr>
        <w:t> </w:t>
      </w:r>
      <w:r>
        <w:rPr/>
        <w:t>submit</w:t>
      </w:r>
      <w:r>
        <w:rPr>
          <w:spacing w:val="-3"/>
        </w:rPr>
        <w:t> </w:t>
      </w:r>
      <w:r>
        <w:rPr/>
        <w:t>a</w:t>
      </w:r>
      <w:r>
        <w:rPr>
          <w:spacing w:val="-4"/>
        </w:rPr>
        <w:t> </w:t>
      </w:r>
      <w:r>
        <w:rPr/>
        <w:t>description</w:t>
      </w:r>
      <w:r>
        <w:rPr>
          <w:spacing w:val="-3"/>
        </w:rPr>
        <w:t> </w:t>
      </w:r>
      <w:r>
        <w:rPr/>
        <w:t>of</w:t>
      </w:r>
      <w:r>
        <w:rPr>
          <w:spacing w:val="-4"/>
        </w:rPr>
        <w:t> </w:t>
      </w:r>
      <w:r>
        <w:rPr/>
        <w:t>the</w:t>
      </w:r>
      <w:r>
        <w:rPr>
          <w:spacing w:val="-4"/>
        </w:rPr>
        <w:t> </w:t>
      </w:r>
      <w:r>
        <w:rPr/>
        <w:t>processes</w:t>
      </w:r>
      <w:r>
        <w:rPr>
          <w:spacing w:val="-3"/>
        </w:rPr>
        <w:t> </w:t>
      </w:r>
      <w:r>
        <w:rPr/>
        <w:t>to</w:t>
      </w:r>
      <w:r>
        <w:rPr>
          <w:spacing w:val="-3"/>
        </w:rPr>
        <w:t> </w:t>
      </w:r>
      <w:r>
        <w:rPr/>
        <w:t>update</w:t>
      </w:r>
      <w:r>
        <w:rPr>
          <w:spacing w:val="-4"/>
        </w:rPr>
        <w:t> </w:t>
      </w:r>
      <w:r>
        <w:rPr/>
        <w:t>beneficiary contact information on an annual basis in an Implementation Plan, as described in STC 4.11.</w:t>
      </w:r>
      <w:r>
        <w:rPr>
          <w:spacing w:val="40"/>
        </w:rPr>
        <w:t> </w:t>
      </w:r>
      <w:r>
        <w:rPr/>
        <w:t>Furthermore, each demonstration year, through the Annual Monitoring Reports (see STC 16.5), the Commonwealth must submit to CMS a summary of activities and outcomes from these efforts.</w:t>
      </w:r>
    </w:p>
    <w:p>
      <w:pPr>
        <w:pStyle w:val="BodyText"/>
        <w:spacing w:before="10"/>
        <w:rPr>
          <w:sz w:val="20"/>
        </w:rPr>
      </w:pPr>
    </w:p>
    <w:p>
      <w:pPr>
        <w:pStyle w:val="BodyText"/>
        <w:ind w:left="2071" w:right="1222"/>
      </w:pPr>
      <w:r>
        <w:rPr/>
        <w:drawing>
          <wp:anchor distT="0" distB="0" distL="0" distR="0" allowOverlap="1" layoutInCell="1" locked="0" behindDoc="0" simplePos="0" relativeHeight="15768576">
            <wp:simplePos x="0" y="0"/>
            <wp:positionH relativeFrom="page">
              <wp:posOffset>893063</wp:posOffset>
            </wp:positionH>
            <wp:positionV relativeFrom="paragraph">
              <wp:posOffset>35599</wp:posOffset>
            </wp:positionV>
            <wp:extent cx="298703" cy="112775"/>
            <wp:effectExtent l="0" t="0" r="0" b="0"/>
            <wp:wrapNone/>
            <wp:docPr id="84" name="Image 84"/>
            <wp:cNvGraphicFramePr>
              <a:graphicFrameLocks/>
            </wp:cNvGraphicFramePr>
            <a:graphic>
              <a:graphicData uri="http://schemas.openxmlformats.org/drawingml/2006/picture">
                <pic:pic>
                  <pic:nvPicPr>
                    <pic:cNvPr id="84" name="Image 84"/>
                    <pic:cNvPicPr/>
                  </pic:nvPicPr>
                  <pic:blipFill>
                    <a:blip r:embed="rId68" cstate="print"/>
                    <a:stretch>
                      <a:fillRect/>
                    </a:stretch>
                  </pic:blipFill>
                  <pic:spPr>
                    <a:xfrm>
                      <a:off x="0" y="0"/>
                      <a:ext cx="298703" cy="112775"/>
                    </a:xfrm>
                    <a:prstGeom prst="rect">
                      <a:avLst/>
                    </a:prstGeom>
                  </pic:spPr>
                </pic:pic>
              </a:graphicData>
            </a:graphic>
          </wp:anchor>
        </w:drawing>
      </w:r>
      <w:bookmarkStart w:name="4.11. Continuous Eligibility Implementat" w:id="207"/>
      <w:bookmarkEnd w:id="207"/>
      <w:r>
        <w:rPr/>
      </w:r>
      <w:r>
        <w:rPr>
          <w:b/>
        </w:rPr>
        <w:t>Continuous Eligibility Implementation Plan. </w:t>
      </w:r>
      <w:r>
        <w:rPr/>
        <w:t>The Commonwealth must submit to CMS no later than 90 days after the approval of the demonstration extension a Continuous Eligibility Implementation Plan describing the timeline for implementation, the processes to</w:t>
      </w:r>
      <w:r>
        <w:rPr>
          <w:spacing w:val="-3"/>
        </w:rPr>
        <w:t> </w:t>
      </w:r>
      <w:r>
        <w:rPr/>
        <w:t>perform</w:t>
      </w:r>
      <w:r>
        <w:rPr>
          <w:spacing w:val="-3"/>
        </w:rPr>
        <w:t> </w:t>
      </w:r>
      <w:r>
        <w:rPr/>
        <w:t>verifications</w:t>
      </w:r>
      <w:r>
        <w:rPr>
          <w:spacing w:val="-1"/>
        </w:rPr>
        <w:t> </w:t>
      </w:r>
      <w:r>
        <w:rPr/>
        <w:t>on</w:t>
      </w:r>
      <w:r>
        <w:rPr>
          <w:spacing w:val="-3"/>
        </w:rPr>
        <w:t> </w:t>
      </w:r>
      <w:r>
        <w:rPr/>
        <w:t>beneficiary</w:t>
      </w:r>
      <w:r>
        <w:rPr>
          <w:spacing w:val="-7"/>
        </w:rPr>
        <w:t> </w:t>
      </w:r>
      <w:r>
        <w:rPr/>
        <w:t>residency</w:t>
      </w:r>
      <w:r>
        <w:rPr>
          <w:spacing w:val="-6"/>
        </w:rPr>
        <w:t> </w:t>
      </w:r>
      <w:r>
        <w:rPr/>
        <w:t>or</w:t>
      </w:r>
      <w:r>
        <w:rPr>
          <w:spacing w:val="-4"/>
        </w:rPr>
        <w:t> </w:t>
      </w:r>
      <w:r>
        <w:rPr/>
        <w:t>other</w:t>
      </w:r>
      <w:r>
        <w:rPr>
          <w:spacing w:val="-4"/>
        </w:rPr>
        <w:t> </w:t>
      </w:r>
      <w:r>
        <w:rPr/>
        <w:t>checks</w:t>
      </w:r>
      <w:r>
        <w:rPr>
          <w:spacing w:val="-3"/>
        </w:rPr>
        <w:t> </w:t>
      </w:r>
      <w:r>
        <w:rPr/>
        <w:t>and</w:t>
      </w:r>
      <w:r>
        <w:rPr>
          <w:spacing w:val="-3"/>
        </w:rPr>
        <w:t> </w:t>
      </w:r>
      <w:r>
        <w:rPr/>
        <w:t>to</w:t>
      </w:r>
      <w:r>
        <w:rPr>
          <w:spacing w:val="-3"/>
        </w:rPr>
        <w:t> </w:t>
      </w:r>
      <w:r>
        <w:rPr/>
        <w:t>update</w:t>
      </w:r>
      <w:r>
        <w:rPr>
          <w:spacing w:val="-4"/>
        </w:rPr>
        <w:t> </w:t>
      </w:r>
      <w:r>
        <w:rPr/>
        <w:t>beneficiary contact information on an annual basis, as described in STCs 4.10(c)-(d).</w:t>
      </w:r>
      <w:r>
        <w:rPr>
          <w:spacing w:val="40"/>
        </w:rPr>
        <w:t> </w:t>
      </w:r>
      <w:r>
        <w:rPr/>
        <w:t>The Commonwealth is required to submit a revised Implementation Plan if CMS provides any feedback on the original submission no later than 60 days after receiving CMS’s comments.</w:t>
      </w:r>
      <w:r>
        <w:rPr>
          <w:spacing w:val="40"/>
        </w:rPr>
        <w:t> </w:t>
      </w:r>
      <w:r>
        <w:rPr/>
        <w:t>Once approved, the Implementation Plan will become affixed to the STCs as Attachment O.</w:t>
      </w:r>
    </w:p>
    <w:p>
      <w:pPr>
        <w:pStyle w:val="BodyText"/>
        <w:spacing w:before="10"/>
        <w:rPr>
          <w:sz w:val="20"/>
        </w:rPr>
      </w:pPr>
    </w:p>
    <w:p>
      <w:pPr>
        <w:pStyle w:val="BodyText"/>
        <w:spacing w:before="1"/>
        <w:ind w:left="2071" w:right="1229"/>
      </w:pPr>
      <w:r>
        <w:rPr/>
        <w:drawing>
          <wp:anchor distT="0" distB="0" distL="0" distR="0" allowOverlap="1" layoutInCell="1" locked="0" behindDoc="0" simplePos="0" relativeHeight="15769088">
            <wp:simplePos x="0" y="0"/>
            <wp:positionH relativeFrom="page">
              <wp:posOffset>893063</wp:posOffset>
            </wp:positionH>
            <wp:positionV relativeFrom="paragraph">
              <wp:posOffset>36247</wp:posOffset>
            </wp:positionV>
            <wp:extent cx="298703" cy="112763"/>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69" cstate="print"/>
                    <a:stretch>
                      <a:fillRect/>
                    </a:stretch>
                  </pic:blipFill>
                  <pic:spPr>
                    <a:xfrm>
                      <a:off x="0" y="0"/>
                      <a:ext cx="298703" cy="112763"/>
                    </a:xfrm>
                    <a:prstGeom prst="rect">
                      <a:avLst/>
                    </a:prstGeom>
                  </pic:spPr>
                </pic:pic>
              </a:graphicData>
            </a:graphic>
          </wp:anchor>
        </w:drawing>
      </w:r>
      <w:bookmarkStart w:name="4.12. Mandatory and Optional State Plan " w:id="208"/>
      <w:bookmarkEnd w:id="208"/>
      <w:r>
        <w:rPr/>
      </w:r>
      <w:r>
        <w:rPr>
          <w:b/>
        </w:rPr>
        <w:t>Mandatory and Optional State Plan Groups.</w:t>
      </w:r>
      <w:r>
        <w:rPr>
          <w:b/>
          <w:spacing w:val="40"/>
        </w:rPr>
        <w:t> </w:t>
      </w:r>
      <w:r>
        <w:rPr/>
        <w:t>Massachusetts includes in the demonstration almost all the mandatory and optional populations under age 65 eligible under</w:t>
      </w:r>
      <w:r>
        <w:rPr>
          <w:spacing w:val="-4"/>
        </w:rPr>
        <w:t> </w:t>
      </w:r>
      <w:r>
        <w:rPr/>
        <w:t>the</w:t>
      </w:r>
      <w:r>
        <w:rPr>
          <w:spacing w:val="-4"/>
        </w:rPr>
        <w:t> </w:t>
      </w:r>
      <w:r>
        <w:rPr/>
        <w:t>state</w:t>
      </w:r>
      <w:r>
        <w:rPr>
          <w:spacing w:val="-4"/>
        </w:rPr>
        <w:t> </w:t>
      </w:r>
      <w:r>
        <w:rPr/>
        <w:t>plan.</w:t>
      </w:r>
      <w:r>
        <w:rPr>
          <w:spacing w:val="40"/>
        </w:rPr>
        <w:t> </w:t>
      </w:r>
      <w:r>
        <w:rPr/>
        <w:t>The</w:t>
      </w:r>
      <w:r>
        <w:rPr>
          <w:spacing w:val="-2"/>
        </w:rPr>
        <w:t> </w:t>
      </w:r>
      <w:r>
        <w:rPr/>
        <w:t>Massachusetts</w:t>
      </w:r>
      <w:r>
        <w:rPr>
          <w:spacing w:val="-3"/>
        </w:rPr>
        <w:t> </w:t>
      </w:r>
      <w:r>
        <w:rPr/>
        <w:t>title</w:t>
      </w:r>
      <w:r>
        <w:rPr>
          <w:spacing w:val="-4"/>
        </w:rPr>
        <w:t> </w:t>
      </w:r>
      <w:r>
        <w:rPr/>
        <w:t>XIX</w:t>
      </w:r>
      <w:r>
        <w:rPr>
          <w:spacing w:val="-1"/>
        </w:rPr>
        <w:t> </w:t>
      </w:r>
      <w:r>
        <w:rPr/>
        <w:t>and</w:t>
      </w:r>
      <w:r>
        <w:rPr>
          <w:spacing w:val="-3"/>
        </w:rPr>
        <w:t> </w:t>
      </w:r>
      <w:r>
        <w:rPr/>
        <w:t>XXI</w:t>
      </w:r>
      <w:r>
        <w:rPr>
          <w:spacing w:val="-6"/>
        </w:rPr>
        <w:t> </w:t>
      </w:r>
      <w:r>
        <w:rPr/>
        <w:t>state</w:t>
      </w:r>
      <w:r>
        <w:rPr>
          <w:spacing w:val="-4"/>
        </w:rPr>
        <w:t> </w:t>
      </w:r>
      <w:r>
        <w:rPr/>
        <w:t>plans</w:t>
      </w:r>
      <w:r>
        <w:rPr>
          <w:spacing w:val="-3"/>
        </w:rPr>
        <w:t> </w:t>
      </w:r>
      <w:r>
        <w:rPr/>
        <w:t>establish</w:t>
      </w:r>
      <w:r>
        <w:rPr>
          <w:spacing w:val="-3"/>
        </w:rPr>
        <w:t> </w:t>
      </w:r>
      <w:r>
        <w:rPr/>
        <w:t>and</w:t>
      </w:r>
      <w:r>
        <w:rPr>
          <w:spacing w:val="-3"/>
        </w:rPr>
        <w:t> </w:t>
      </w:r>
      <w:r>
        <w:rPr/>
        <w:t>define all covered eligibility groups that do not derive their eligibility authority from this demonstration.</w:t>
      </w:r>
      <w:r>
        <w:rPr>
          <w:spacing w:val="-3"/>
        </w:rPr>
        <w:t> </w:t>
      </w:r>
      <w:r>
        <w:rPr/>
        <w:t>Benefits</w:t>
      </w:r>
      <w:r>
        <w:rPr>
          <w:spacing w:val="-3"/>
        </w:rPr>
        <w:t> </w:t>
      </w:r>
      <w:r>
        <w:rPr/>
        <w:t>are</w:t>
      </w:r>
      <w:r>
        <w:rPr>
          <w:spacing w:val="-4"/>
        </w:rPr>
        <w:t> </w:t>
      </w:r>
      <w:r>
        <w:rPr/>
        <w:t>described</w:t>
      </w:r>
      <w:r>
        <w:rPr>
          <w:spacing w:val="-3"/>
        </w:rPr>
        <w:t> </w:t>
      </w:r>
      <w:r>
        <w:rPr/>
        <w:t>in</w:t>
      </w:r>
      <w:r>
        <w:rPr>
          <w:spacing w:val="-3"/>
        </w:rPr>
        <w:t> </w:t>
      </w:r>
      <w:r>
        <w:rPr/>
        <w:t>the</w:t>
      </w:r>
      <w:r>
        <w:rPr>
          <w:spacing w:val="-4"/>
        </w:rPr>
        <w:t> </w:t>
      </w:r>
      <w:r>
        <w:rPr/>
        <w:t>title</w:t>
      </w:r>
      <w:r>
        <w:rPr>
          <w:spacing w:val="-2"/>
        </w:rPr>
        <w:t> </w:t>
      </w:r>
      <w:r>
        <w:rPr/>
        <w:t>XIX</w:t>
      </w:r>
      <w:r>
        <w:rPr>
          <w:spacing w:val="-4"/>
        </w:rPr>
        <w:t> </w:t>
      </w:r>
      <w:r>
        <w:rPr/>
        <w:t>and</w:t>
      </w:r>
      <w:r>
        <w:rPr>
          <w:spacing w:val="-3"/>
        </w:rPr>
        <w:t> </w:t>
      </w:r>
      <w:r>
        <w:rPr/>
        <w:t>XXI</w:t>
      </w:r>
      <w:r>
        <w:rPr>
          <w:spacing w:val="-7"/>
        </w:rPr>
        <w:t> </w:t>
      </w:r>
      <w:r>
        <w:rPr/>
        <w:t>state</w:t>
      </w:r>
      <w:r>
        <w:rPr>
          <w:spacing w:val="-4"/>
        </w:rPr>
        <w:t> </w:t>
      </w:r>
      <w:r>
        <w:rPr/>
        <w:t>plans</w:t>
      </w:r>
      <w:r>
        <w:rPr>
          <w:spacing w:val="-1"/>
        </w:rPr>
        <w:t> </w:t>
      </w:r>
      <w:r>
        <w:rPr/>
        <w:t>and</w:t>
      </w:r>
      <w:r>
        <w:rPr>
          <w:spacing w:val="-3"/>
        </w:rPr>
        <w:t> </w:t>
      </w:r>
      <w:r>
        <w:rPr/>
        <w:t>these</w:t>
      </w:r>
      <w:r>
        <w:rPr>
          <w:spacing w:val="-4"/>
        </w:rPr>
        <w:t> </w:t>
      </w:r>
      <w:r>
        <w:rPr/>
        <w:t>STCs. All</w:t>
      </w:r>
      <w:r>
        <w:rPr>
          <w:spacing w:val="-4"/>
        </w:rPr>
        <w:t> </w:t>
      </w:r>
      <w:r>
        <w:rPr/>
        <w:t>MassHealth</w:t>
      </w:r>
      <w:r>
        <w:rPr>
          <w:spacing w:val="-4"/>
        </w:rPr>
        <w:t> </w:t>
      </w:r>
      <w:r>
        <w:rPr/>
        <w:t>Standard,</w:t>
      </w:r>
      <w:r>
        <w:rPr>
          <w:spacing w:val="-4"/>
        </w:rPr>
        <w:t> </w:t>
      </w:r>
      <w:r>
        <w:rPr/>
        <w:t>CommonHealth,</w:t>
      </w:r>
      <w:r>
        <w:rPr>
          <w:spacing w:val="-4"/>
        </w:rPr>
        <w:t> </w:t>
      </w:r>
      <w:r>
        <w:rPr/>
        <w:t>CarePlus</w:t>
      </w:r>
      <w:r>
        <w:rPr>
          <w:spacing w:val="-4"/>
        </w:rPr>
        <w:t> </w:t>
      </w:r>
      <w:r>
        <w:rPr/>
        <w:t>and</w:t>
      </w:r>
      <w:r>
        <w:rPr>
          <w:spacing w:val="-4"/>
        </w:rPr>
        <w:t> </w:t>
      </w:r>
      <w:r>
        <w:rPr/>
        <w:t>Family</w:t>
      </w:r>
      <w:r>
        <w:rPr>
          <w:spacing w:val="-8"/>
        </w:rPr>
        <w:t> </w:t>
      </w:r>
      <w:r>
        <w:rPr/>
        <w:t>Assistance</w:t>
      </w:r>
      <w:r>
        <w:rPr>
          <w:spacing w:val="-3"/>
        </w:rPr>
        <w:t> </w:t>
      </w:r>
      <w:r>
        <w:rPr/>
        <w:t>members</w:t>
      </w:r>
      <w:r>
        <w:rPr>
          <w:spacing w:val="-4"/>
        </w:rPr>
        <w:t> </w:t>
      </w:r>
      <w:r>
        <w:rPr/>
        <w:t>who have access to qualifying private health insurance may receive premium assistance plus wrap-around benefits.</w:t>
      </w:r>
    </w:p>
    <w:p>
      <w:pPr>
        <w:pStyle w:val="BodyText"/>
        <w:spacing w:before="10"/>
        <w:rPr>
          <w:sz w:val="20"/>
        </w:rPr>
      </w:pPr>
    </w:p>
    <w:p>
      <w:pPr>
        <w:pStyle w:val="BodyText"/>
        <w:ind w:left="2071" w:right="1239"/>
      </w:pPr>
      <w:bookmarkStart w:name="Coverage for mandatory and optional stat" w:id="209"/>
      <w:bookmarkEnd w:id="209"/>
      <w:r>
        <w:rPr/>
      </w:r>
      <w:r>
        <w:rPr/>
        <w:t>Coverage for mandatory and optional state plan groups described below are subject to all applicable</w:t>
      </w:r>
      <w:r>
        <w:rPr>
          <w:spacing w:val="-4"/>
        </w:rPr>
        <w:t> </w:t>
      </w:r>
      <w:r>
        <w:rPr/>
        <w:t>Medicaid</w:t>
      </w:r>
      <w:r>
        <w:rPr>
          <w:spacing w:val="-3"/>
        </w:rPr>
        <w:t> </w:t>
      </w:r>
      <w:r>
        <w:rPr/>
        <w:t>laws</w:t>
      </w:r>
      <w:r>
        <w:rPr>
          <w:spacing w:val="-1"/>
        </w:rPr>
        <w:t> </w:t>
      </w:r>
      <w:r>
        <w:rPr/>
        <w:t>and</w:t>
      </w:r>
      <w:r>
        <w:rPr>
          <w:spacing w:val="-3"/>
        </w:rPr>
        <w:t> </w:t>
      </w:r>
      <w:r>
        <w:rPr/>
        <w:t>regulations,</w:t>
      </w:r>
      <w:r>
        <w:rPr>
          <w:spacing w:val="-3"/>
        </w:rPr>
        <w:t> </w:t>
      </w:r>
      <w:r>
        <w:rPr/>
        <w:t>except</w:t>
      </w:r>
      <w:r>
        <w:rPr>
          <w:spacing w:val="-3"/>
        </w:rPr>
        <w:t> </w:t>
      </w:r>
      <w:r>
        <w:rPr/>
        <w:t>as</w:t>
      </w:r>
      <w:r>
        <w:rPr>
          <w:spacing w:val="-3"/>
        </w:rPr>
        <w:t> </w:t>
      </w:r>
      <w:r>
        <w:rPr/>
        <w:t>expressly</w:t>
      </w:r>
      <w:r>
        <w:rPr>
          <w:spacing w:val="-8"/>
        </w:rPr>
        <w:t> </w:t>
      </w:r>
      <w:r>
        <w:rPr/>
        <w:t>waived</w:t>
      </w:r>
      <w:r>
        <w:rPr>
          <w:spacing w:val="-3"/>
        </w:rPr>
        <w:t> </w:t>
      </w:r>
      <w:r>
        <w:rPr/>
        <w:t>in</w:t>
      </w:r>
      <w:r>
        <w:rPr>
          <w:spacing w:val="-3"/>
        </w:rPr>
        <w:t> </w:t>
      </w:r>
      <w:r>
        <w:rPr/>
        <w:t>the</w:t>
      </w:r>
      <w:r>
        <w:rPr>
          <w:spacing w:val="-2"/>
        </w:rPr>
        <w:t> </w:t>
      </w:r>
      <w:r>
        <w:rPr/>
        <w:t>waiver</w:t>
      </w:r>
      <w:r>
        <w:rPr>
          <w:spacing w:val="-4"/>
        </w:rPr>
        <w:t> </w:t>
      </w:r>
      <w:r>
        <w:rPr/>
        <w:t>list</w:t>
      </w:r>
      <w:r>
        <w:rPr>
          <w:spacing w:val="-3"/>
        </w:rPr>
        <w:t> </w:t>
      </w:r>
      <w:r>
        <w:rPr/>
        <w:t>as further detailed in these STCs, or as made inapplicable to the expenditure authorities for this demonstration that may provide demonstration-only benefits to state plan groups.</w:t>
      </w:r>
    </w:p>
    <w:p>
      <w:pPr>
        <w:spacing w:after="0"/>
        <w:sectPr>
          <w:pgSz w:w="12240" w:h="15840"/>
          <w:pgMar w:header="0" w:footer="1201" w:top="1360" w:bottom="1400" w:left="0" w:right="220"/>
        </w:sectPr>
      </w:pPr>
    </w:p>
    <w:p>
      <w:pPr>
        <w:pStyle w:val="BodyText"/>
        <w:spacing w:before="79"/>
        <w:ind w:left="2071" w:right="1239"/>
      </w:pPr>
      <w:r>
        <w:rPr/>
        <w:t>Any Medicaid SPAs modifying the eligibility standards and methodologies for these eligibility groups will apply to this demonstration.</w:t>
      </w:r>
      <w:r>
        <w:rPr>
          <w:spacing w:val="40"/>
        </w:rPr>
        <w:t> </w:t>
      </w:r>
      <w:r>
        <w:rPr/>
        <w:t>Massachusetts includes in the demonstration</w:t>
      </w:r>
      <w:r>
        <w:rPr>
          <w:spacing w:val="-2"/>
        </w:rPr>
        <w:t> </w:t>
      </w:r>
      <w:r>
        <w:rPr/>
        <w:t>Lawfully</w:t>
      </w:r>
      <w:r>
        <w:rPr>
          <w:spacing w:val="-7"/>
        </w:rPr>
        <w:t> </w:t>
      </w:r>
      <w:r>
        <w:rPr/>
        <w:t>Present</w:t>
      </w:r>
      <w:r>
        <w:rPr>
          <w:spacing w:val="-4"/>
        </w:rPr>
        <w:t> </w:t>
      </w:r>
      <w:r>
        <w:rPr/>
        <w:t>infants,</w:t>
      </w:r>
      <w:r>
        <w:rPr>
          <w:spacing w:val="-4"/>
        </w:rPr>
        <w:t> </w:t>
      </w:r>
      <w:r>
        <w:rPr/>
        <w:t>children</w:t>
      </w:r>
      <w:r>
        <w:rPr>
          <w:spacing w:val="-2"/>
        </w:rPr>
        <w:t> </w:t>
      </w:r>
      <w:r>
        <w:rPr/>
        <w:t>under</w:t>
      </w:r>
      <w:r>
        <w:rPr>
          <w:spacing w:val="-5"/>
        </w:rPr>
        <w:t> </w:t>
      </w:r>
      <w:r>
        <w:rPr/>
        <w:t>age</w:t>
      </w:r>
      <w:r>
        <w:rPr>
          <w:spacing w:val="-5"/>
        </w:rPr>
        <w:t> </w:t>
      </w:r>
      <w:r>
        <w:rPr/>
        <w:t>21,</w:t>
      </w:r>
      <w:r>
        <w:rPr>
          <w:spacing w:val="-2"/>
        </w:rPr>
        <w:t> </w:t>
      </w:r>
      <w:r>
        <w:rPr/>
        <w:t>and</w:t>
      </w:r>
      <w:r>
        <w:rPr>
          <w:spacing w:val="-4"/>
        </w:rPr>
        <w:t> </w:t>
      </w:r>
      <w:r>
        <w:rPr/>
        <w:t>pregnant</w:t>
      </w:r>
      <w:r>
        <w:rPr>
          <w:spacing w:val="-4"/>
        </w:rPr>
        <w:t> </w:t>
      </w:r>
      <w:r>
        <w:rPr/>
        <w:t>individuals eligible under any coverage type in this demonstration, one of the state plans, or both.</w:t>
      </w:r>
    </w:p>
    <w:p>
      <w:pPr>
        <w:pStyle w:val="BodyText"/>
        <w:spacing w:before="10"/>
        <w:rPr>
          <w:sz w:val="20"/>
        </w:rPr>
      </w:pPr>
    </w:p>
    <w:p>
      <w:pPr>
        <w:pStyle w:val="BodyText"/>
        <w:ind w:left="2071" w:right="1315"/>
      </w:pPr>
      <w:r>
        <w:rPr/>
        <w:drawing>
          <wp:anchor distT="0" distB="0" distL="0" distR="0" allowOverlap="1" layoutInCell="1" locked="0" behindDoc="0" simplePos="0" relativeHeight="15769600">
            <wp:simplePos x="0" y="0"/>
            <wp:positionH relativeFrom="page">
              <wp:posOffset>893063</wp:posOffset>
            </wp:positionH>
            <wp:positionV relativeFrom="paragraph">
              <wp:posOffset>35599</wp:posOffset>
            </wp:positionV>
            <wp:extent cx="298703" cy="112775"/>
            <wp:effectExtent l="0" t="0" r="0" b="0"/>
            <wp:wrapNone/>
            <wp:docPr id="86" name="Image 86"/>
            <wp:cNvGraphicFramePr>
              <a:graphicFrameLocks/>
            </wp:cNvGraphicFramePr>
            <a:graphic>
              <a:graphicData uri="http://schemas.openxmlformats.org/drawingml/2006/picture">
                <pic:pic>
                  <pic:nvPicPr>
                    <pic:cNvPr id="86" name="Image 86"/>
                    <pic:cNvPicPr/>
                  </pic:nvPicPr>
                  <pic:blipFill>
                    <a:blip r:embed="rId70" cstate="print"/>
                    <a:stretch>
                      <a:fillRect/>
                    </a:stretch>
                  </pic:blipFill>
                  <pic:spPr>
                    <a:xfrm>
                      <a:off x="0" y="0"/>
                      <a:ext cx="298703" cy="112775"/>
                    </a:xfrm>
                    <a:prstGeom prst="rect">
                      <a:avLst/>
                    </a:prstGeom>
                  </pic:spPr>
                </pic:pic>
              </a:graphicData>
            </a:graphic>
          </wp:anchor>
        </w:drawing>
      </w:r>
      <w:bookmarkStart w:name="4.13. Other Demonstration Expansion Popu" w:id="210"/>
      <w:bookmarkEnd w:id="210"/>
      <w:r>
        <w:rPr/>
      </w:r>
      <w:r>
        <w:rPr>
          <w:b/>
        </w:rPr>
        <w:t>Other Demonstration Expansion Populations. </w:t>
      </w:r>
      <w:r>
        <w:rPr/>
        <w:t>Coverage for these populations, which derive</w:t>
      </w:r>
      <w:r>
        <w:rPr>
          <w:spacing w:val="-4"/>
        </w:rPr>
        <w:t> </w:t>
      </w:r>
      <w:r>
        <w:rPr/>
        <w:t>their</w:t>
      </w:r>
      <w:r>
        <w:rPr>
          <w:spacing w:val="-2"/>
        </w:rPr>
        <w:t> </w:t>
      </w:r>
      <w:r>
        <w:rPr/>
        <w:t>eligibility</w:t>
      </w:r>
      <w:r>
        <w:rPr>
          <w:spacing w:val="-8"/>
        </w:rPr>
        <w:t> </w:t>
      </w:r>
      <w:r>
        <w:rPr/>
        <w:t>from</w:t>
      </w:r>
      <w:r>
        <w:rPr>
          <w:spacing w:val="-3"/>
        </w:rPr>
        <w:t> </w:t>
      </w:r>
      <w:r>
        <w:rPr/>
        <w:t>this</w:t>
      </w:r>
      <w:r>
        <w:rPr>
          <w:spacing w:val="-3"/>
        </w:rPr>
        <w:t> </w:t>
      </w:r>
      <w:r>
        <w:rPr/>
        <w:t>demonstration,</w:t>
      </w:r>
      <w:r>
        <w:rPr>
          <w:spacing w:val="-3"/>
        </w:rPr>
        <w:t> </w:t>
      </w:r>
      <w:r>
        <w:rPr/>
        <w:t>is</w:t>
      </w:r>
      <w:r>
        <w:rPr>
          <w:spacing w:val="-6"/>
        </w:rPr>
        <w:t> </w:t>
      </w:r>
      <w:r>
        <w:rPr/>
        <w:t>subject</w:t>
      </w:r>
      <w:r>
        <w:rPr>
          <w:spacing w:val="-3"/>
        </w:rPr>
        <w:t> </w:t>
      </w:r>
      <w:r>
        <w:rPr/>
        <w:t>to</w:t>
      </w:r>
      <w:r>
        <w:rPr>
          <w:spacing w:val="-3"/>
        </w:rPr>
        <w:t> </w:t>
      </w:r>
      <w:r>
        <w:rPr/>
        <w:t>all</w:t>
      </w:r>
      <w:r>
        <w:rPr>
          <w:spacing w:val="-3"/>
        </w:rPr>
        <w:t> </w:t>
      </w:r>
      <w:r>
        <w:rPr/>
        <w:t>applicable</w:t>
      </w:r>
      <w:r>
        <w:rPr>
          <w:spacing w:val="-2"/>
        </w:rPr>
        <w:t> </w:t>
      </w:r>
      <w:r>
        <w:rPr/>
        <w:t>Medicaid</w:t>
      </w:r>
      <w:r>
        <w:rPr>
          <w:spacing w:val="-3"/>
        </w:rPr>
        <w:t> </w:t>
      </w:r>
      <w:r>
        <w:rPr/>
        <w:t>laws and regulations, except as expressly</w:t>
      </w:r>
      <w:r>
        <w:rPr>
          <w:spacing w:val="-2"/>
        </w:rPr>
        <w:t> </w:t>
      </w:r>
      <w:r>
        <w:rPr/>
        <w:t>not applicable to the relevant expenditure authority, as further detailed in the STCs. This includes the application of modified adjusted gross income (MAGI) based methodologies and exceptions for non-MAGI based methodologies, as appropriate, used to determine financial eligibility for expansion populations. The general categories of populations affected, or made eligible, by the demonstration are:</w:t>
      </w:r>
    </w:p>
    <w:p>
      <w:pPr>
        <w:spacing w:after="0"/>
        <w:sectPr>
          <w:pgSz w:w="12240" w:h="15840"/>
          <w:pgMar w:header="0" w:footer="1201" w:top="1360" w:bottom="1400" w:left="0" w:right="220"/>
        </w:sectPr>
      </w:pPr>
    </w:p>
    <w:p>
      <w:pPr>
        <w:pStyle w:val="BodyText"/>
        <w:spacing w:before="2"/>
        <w:rPr>
          <w:sz w:val="2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4"/>
        <w:gridCol w:w="2042"/>
        <w:gridCol w:w="2037"/>
        <w:gridCol w:w="1667"/>
        <w:gridCol w:w="1948"/>
        <w:gridCol w:w="2769"/>
      </w:tblGrid>
      <w:tr>
        <w:trPr>
          <w:trHeight w:val="254" w:hRule="atLeast"/>
        </w:trPr>
        <w:tc>
          <w:tcPr>
            <w:tcW w:w="12947" w:type="dxa"/>
            <w:gridSpan w:val="6"/>
            <w:shd w:val="clear" w:color="auto" w:fill="DBE6F1"/>
          </w:tcPr>
          <w:p>
            <w:pPr>
              <w:pStyle w:val="TableParagraph"/>
              <w:spacing w:line="234" w:lineRule="exact"/>
              <w:ind w:left="4160" w:right="4148"/>
              <w:jc w:val="center"/>
              <w:rPr>
                <w:b/>
                <w:sz w:val="22"/>
              </w:rPr>
            </w:pPr>
            <w:r>
              <w:rPr>
                <w:b/>
                <w:sz w:val="22"/>
              </w:rPr>
              <w:t>Table</w:t>
            </w:r>
            <w:r>
              <w:rPr>
                <w:b/>
                <w:spacing w:val="-3"/>
                <w:sz w:val="22"/>
              </w:rPr>
              <w:t> </w:t>
            </w:r>
            <w:r>
              <w:rPr>
                <w:b/>
                <w:sz w:val="22"/>
              </w:rPr>
              <w:t>2:</w:t>
            </w:r>
            <w:r>
              <w:rPr>
                <w:b/>
                <w:spacing w:val="-2"/>
                <w:sz w:val="22"/>
              </w:rPr>
              <w:t> </w:t>
            </w:r>
            <w:r>
              <w:rPr>
                <w:b/>
                <w:sz w:val="22"/>
              </w:rPr>
              <w:t>MassHealth</w:t>
            </w:r>
            <w:r>
              <w:rPr>
                <w:b/>
                <w:spacing w:val="-4"/>
                <w:sz w:val="22"/>
              </w:rPr>
              <w:t> </w:t>
            </w:r>
            <w:r>
              <w:rPr>
                <w:b/>
                <w:sz w:val="22"/>
              </w:rPr>
              <w:t>State</w:t>
            </w:r>
            <w:r>
              <w:rPr>
                <w:b/>
                <w:spacing w:val="-3"/>
                <w:sz w:val="22"/>
              </w:rPr>
              <w:t> </w:t>
            </w:r>
            <w:r>
              <w:rPr>
                <w:b/>
                <w:sz w:val="22"/>
              </w:rPr>
              <w:t>Plan</w:t>
            </w:r>
            <w:r>
              <w:rPr>
                <w:b/>
                <w:spacing w:val="-6"/>
                <w:sz w:val="22"/>
              </w:rPr>
              <w:t> </w:t>
            </w:r>
            <w:r>
              <w:rPr>
                <w:b/>
                <w:sz w:val="22"/>
              </w:rPr>
              <w:t>Base</w:t>
            </w:r>
            <w:r>
              <w:rPr>
                <w:b/>
                <w:spacing w:val="-4"/>
                <w:sz w:val="22"/>
              </w:rPr>
              <w:t> </w:t>
            </w:r>
            <w:r>
              <w:rPr>
                <w:b/>
                <w:spacing w:val="-2"/>
                <w:sz w:val="22"/>
              </w:rPr>
              <w:t>Populations</w:t>
            </w:r>
          </w:p>
        </w:tc>
      </w:tr>
      <w:tr>
        <w:trPr>
          <w:trHeight w:val="1010" w:hRule="atLeast"/>
        </w:trPr>
        <w:tc>
          <w:tcPr>
            <w:tcW w:w="2484" w:type="dxa"/>
            <w:shd w:val="clear" w:color="auto" w:fill="DBE6F1"/>
          </w:tcPr>
          <w:p>
            <w:pPr>
              <w:pStyle w:val="TableParagraph"/>
              <w:ind w:left="112" w:right="100" w:hanging="2"/>
              <w:jc w:val="center"/>
              <w:rPr>
                <w:b/>
                <w:sz w:val="22"/>
              </w:rPr>
            </w:pPr>
            <w:r>
              <w:rPr>
                <w:b/>
                <w:sz w:val="22"/>
              </w:rPr>
              <w:t>Medicaid Mandatory and</w:t>
            </w:r>
            <w:r>
              <w:rPr>
                <w:b/>
                <w:spacing w:val="-12"/>
                <w:sz w:val="22"/>
              </w:rPr>
              <w:t> </w:t>
            </w:r>
            <w:r>
              <w:rPr>
                <w:b/>
                <w:sz w:val="22"/>
              </w:rPr>
              <w:t>Optional</w:t>
            </w:r>
            <w:r>
              <w:rPr>
                <w:b/>
                <w:spacing w:val="-10"/>
                <w:sz w:val="22"/>
              </w:rPr>
              <w:t> </w:t>
            </w:r>
            <w:r>
              <w:rPr>
                <w:b/>
                <w:sz w:val="22"/>
              </w:rPr>
              <w:t>State</w:t>
            </w:r>
            <w:r>
              <w:rPr>
                <w:b/>
                <w:spacing w:val="-13"/>
                <w:sz w:val="22"/>
              </w:rPr>
              <w:t> </w:t>
            </w:r>
            <w:r>
              <w:rPr>
                <w:b/>
                <w:sz w:val="22"/>
              </w:rPr>
              <w:t>Plan Groups (Categorical</w:t>
            </w:r>
          </w:p>
          <w:p>
            <w:pPr>
              <w:pStyle w:val="TableParagraph"/>
              <w:spacing w:line="233" w:lineRule="exact"/>
              <w:ind w:left="275" w:right="267"/>
              <w:jc w:val="center"/>
              <w:rPr>
                <w:b/>
                <w:sz w:val="22"/>
              </w:rPr>
            </w:pPr>
            <w:r>
              <w:rPr>
                <w:b/>
                <w:spacing w:val="-2"/>
                <w:sz w:val="22"/>
              </w:rPr>
              <w:t>Eligibility)</w:t>
            </w:r>
          </w:p>
        </w:tc>
        <w:tc>
          <w:tcPr>
            <w:tcW w:w="2042" w:type="dxa"/>
            <w:shd w:val="clear" w:color="auto" w:fill="DBE6F1"/>
          </w:tcPr>
          <w:p>
            <w:pPr>
              <w:pStyle w:val="TableParagraph"/>
              <w:ind w:left="115" w:right="103" w:firstLine="2"/>
              <w:jc w:val="center"/>
              <w:rPr>
                <w:b/>
                <w:sz w:val="22"/>
              </w:rPr>
            </w:pPr>
            <w:r>
              <w:rPr>
                <w:b/>
                <w:sz w:val="22"/>
              </w:rPr>
              <w:t>Federal Poverty Level</w:t>
            </w:r>
            <w:r>
              <w:rPr>
                <w:b/>
                <w:spacing w:val="-14"/>
                <w:sz w:val="22"/>
              </w:rPr>
              <w:t> </w:t>
            </w:r>
            <w:r>
              <w:rPr>
                <w:b/>
                <w:sz w:val="22"/>
              </w:rPr>
              <w:t>(FPL)</w:t>
            </w:r>
            <w:r>
              <w:rPr>
                <w:b/>
                <w:spacing w:val="-14"/>
                <w:sz w:val="22"/>
              </w:rPr>
              <w:t> </w:t>
            </w:r>
            <w:r>
              <w:rPr>
                <w:b/>
                <w:sz w:val="22"/>
              </w:rPr>
              <w:t>and/or Other Qualifying</w:t>
            </w:r>
          </w:p>
          <w:p>
            <w:pPr>
              <w:pStyle w:val="TableParagraph"/>
              <w:spacing w:line="233" w:lineRule="exact"/>
              <w:ind w:left="210" w:right="196"/>
              <w:jc w:val="center"/>
              <w:rPr>
                <w:b/>
                <w:sz w:val="22"/>
              </w:rPr>
            </w:pPr>
            <w:r>
              <w:rPr>
                <w:b/>
                <w:spacing w:val="-2"/>
                <w:sz w:val="22"/>
              </w:rPr>
              <w:t>Criteria</w:t>
            </w:r>
          </w:p>
        </w:tc>
        <w:tc>
          <w:tcPr>
            <w:tcW w:w="2037" w:type="dxa"/>
            <w:shd w:val="clear" w:color="auto" w:fill="DBE6F1"/>
          </w:tcPr>
          <w:p>
            <w:pPr>
              <w:pStyle w:val="TableParagraph"/>
              <w:spacing w:before="9"/>
              <w:rPr>
                <w:sz w:val="32"/>
              </w:rPr>
            </w:pPr>
          </w:p>
          <w:p>
            <w:pPr>
              <w:pStyle w:val="TableParagraph"/>
              <w:ind w:left="249"/>
              <w:rPr>
                <w:b/>
                <w:sz w:val="22"/>
              </w:rPr>
            </w:pPr>
            <w:r>
              <w:rPr>
                <w:b/>
                <w:sz w:val="22"/>
              </w:rPr>
              <w:t>Funding</w:t>
            </w:r>
            <w:r>
              <w:rPr>
                <w:b/>
                <w:spacing w:val="-4"/>
                <w:sz w:val="22"/>
              </w:rPr>
              <w:t> </w:t>
            </w:r>
            <w:r>
              <w:rPr>
                <w:b/>
                <w:spacing w:val="-2"/>
                <w:sz w:val="22"/>
              </w:rPr>
              <w:t>Stream</w:t>
            </w:r>
          </w:p>
        </w:tc>
        <w:tc>
          <w:tcPr>
            <w:tcW w:w="1667" w:type="dxa"/>
            <w:shd w:val="clear" w:color="auto" w:fill="DBE6F1"/>
          </w:tcPr>
          <w:p>
            <w:pPr>
              <w:pStyle w:val="TableParagraph"/>
              <w:ind w:left="163" w:right="149" w:hanging="4"/>
              <w:jc w:val="center"/>
              <w:rPr>
                <w:b/>
                <w:sz w:val="22"/>
              </w:rPr>
            </w:pPr>
            <w:r>
              <w:rPr>
                <w:b/>
                <w:spacing w:val="-2"/>
                <w:sz w:val="22"/>
              </w:rPr>
              <w:t>Expenditure </w:t>
            </w:r>
            <w:r>
              <w:rPr>
                <w:b/>
                <w:sz w:val="22"/>
              </w:rPr>
              <w:t>and</w:t>
            </w:r>
            <w:r>
              <w:rPr>
                <w:b/>
                <w:spacing w:val="-14"/>
                <w:sz w:val="22"/>
              </w:rPr>
              <w:t> </w:t>
            </w:r>
            <w:r>
              <w:rPr>
                <w:b/>
                <w:sz w:val="22"/>
              </w:rPr>
              <w:t>Eligibility Group (EG)</w:t>
            </w:r>
          </w:p>
          <w:p>
            <w:pPr>
              <w:pStyle w:val="TableParagraph"/>
              <w:spacing w:line="233" w:lineRule="exact"/>
              <w:ind w:left="262" w:right="248"/>
              <w:jc w:val="center"/>
              <w:rPr>
                <w:b/>
                <w:sz w:val="22"/>
              </w:rPr>
            </w:pPr>
            <w:r>
              <w:rPr>
                <w:b/>
                <w:spacing w:val="-2"/>
                <w:sz w:val="22"/>
              </w:rPr>
              <w:t>Reporting</w:t>
            </w:r>
          </w:p>
        </w:tc>
        <w:tc>
          <w:tcPr>
            <w:tcW w:w="1948" w:type="dxa"/>
            <w:shd w:val="clear" w:color="auto" w:fill="DBE6F1"/>
          </w:tcPr>
          <w:p>
            <w:pPr>
              <w:pStyle w:val="TableParagraph"/>
              <w:spacing w:before="123"/>
              <w:ind w:left="270" w:right="256" w:firstLine="2"/>
              <w:jc w:val="center"/>
              <w:rPr>
                <w:b/>
                <w:sz w:val="22"/>
              </w:rPr>
            </w:pPr>
            <w:r>
              <w:rPr>
                <w:b/>
                <w:spacing w:val="-2"/>
                <w:sz w:val="22"/>
              </w:rPr>
              <w:t>MassHealth Demonstration Program</w:t>
            </w:r>
          </w:p>
        </w:tc>
        <w:tc>
          <w:tcPr>
            <w:tcW w:w="2769" w:type="dxa"/>
            <w:shd w:val="clear" w:color="auto" w:fill="DBE6F1"/>
          </w:tcPr>
          <w:p>
            <w:pPr>
              <w:pStyle w:val="TableParagraph"/>
              <w:spacing w:before="9"/>
              <w:rPr>
                <w:sz w:val="32"/>
              </w:rPr>
            </w:pPr>
          </w:p>
          <w:p>
            <w:pPr>
              <w:pStyle w:val="TableParagraph"/>
              <w:ind w:left="878"/>
              <w:rPr>
                <w:b/>
                <w:sz w:val="22"/>
              </w:rPr>
            </w:pPr>
            <w:r>
              <w:rPr>
                <w:b/>
                <w:spacing w:val="-2"/>
                <w:sz w:val="22"/>
              </w:rPr>
              <w:t>Comments</w:t>
            </w:r>
          </w:p>
        </w:tc>
      </w:tr>
      <w:tr>
        <w:trPr>
          <w:trHeight w:val="510" w:hRule="atLeast"/>
        </w:trPr>
        <w:tc>
          <w:tcPr>
            <w:tcW w:w="2484" w:type="dxa"/>
          </w:tcPr>
          <w:p>
            <w:pPr>
              <w:pStyle w:val="TableParagraph"/>
              <w:spacing w:line="254" w:lineRule="exact"/>
              <w:ind w:left="107" w:right="460"/>
              <w:rPr>
                <w:sz w:val="22"/>
              </w:rPr>
            </w:pPr>
            <w:r>
              <w:rPr>
                <w:sz w:val="22"/>
              </w:rPr>
              <w:t>AFDC-Poverty</w:t>
            </w:r>
            <w:r>
              <w:rPr>
                <w:spacing w:val="-14"/>
                <w:sz w:val="22"/>
              </w:rPr>
              <w:t> </w:t>
            </w:r>
            <w:r>
              <w:rPr>
                <w:sz w:val="22"/>
              </w:rPr>
              <w:t>Level </w:t>
            </w:r>
            <w:r>
              <w:rPr>
                <w:spacing w:val="-2"/>
                <w:sz w:val="22"/>
              </w:rPr>
              <w:t>infants</w:t>
            </w:r>
          </w:p>
        </w:tc>
        <w:tc>
          <w:tcPr>
            <w:tcW w:w="2042" w:type="dxa"/>
          </w:tcPr>
          <w:p>
            <w:pPr>
              <w:pStyle w:val="TableParagraph"/>
              <w:spacing w:line="252" w:lineRule="exact" w:before="5"/>
              <w:ind w:left="107"/>
              <w:rPr>
                <w:sz w:val="22"/>
              </w:rPr>
            </w:pPr>
            <w:r>
              <w:rPr>
                <w:sz w:val="22"/>
              </w:rPr>
              <w:t>&lt;</w:t>
            </w:r>
            <w:r>
              <w:rPr>
                <w:spacing w:val="-2"/>
                <w:sz w:val="22"/>
              </w:rPr>
              <w:t> </w:t>
            </w:r>
            <w:r>
              <w:rPr>
                <w:sz w:val="22"/>
              </w:rPr>
              <w:t>Age</w:t>
            </w:r>
            <w:r>
              <w:rPr>
                <w:spacing w:val="-1"/>
                <w:sz w:val="22"/>
              </w:rPr>
              <w:t> </w:t>
            </w:r>
            <w:r>
              <w:rPr>
                <w:sz w:val="22"/>
              </w:rPr>
              <w:t>1: 0</w:t>
            </w:r>
            <w:r>
              <w:rPr>
                <w:spacing w:val="-1"/>
                <w:sz w:val="22"/>
              </w:rPr>
              <w:t> </w:t>
            </w:r>
            <w:r>
              <w:rPr>
                <w:spacing w:val="-2"/>
                <w:sz w:val="22"/>
              </w:rPr>
              <w:t>through</w:t>
            </w:r>
          </w:p>
          <w:p>
            <w:pPr>
              <w:pStyle w:val="TableParagraph"/>
              <w:spacing w:line="233" w:lineRule="exact"/>
              <w:ind w:left="107"/>
              <w:rPr>
                <w:sz w:val="22"/>
              </w:rPr>
            </w:pPr>
            <w:r>
              <w:rPr>
                <w:spacing w:val="-4"/>
                <w:sz w:val="22"/>
              </w:rPr>
              <w:t>185%</w:t>
            </w:r>
          </w:p>
        </w:tc>
        <w:tc>
          <w:tcPr>
            <w:tcW w:w="2037" w:type="dxa"/>
          </w:tcPr>
          <w:p>
            <w:pPr>
              <w:pStyle w:val="TableParagraph"/>
              <w:spacing w:before="128"/>
              <w:ind w:left="108"/>
              <w:rPr>
                <w:sz w:val="22"/>
              </w:rPr>
            </w:pPr>
            <w:r>
              <w:rPr>
                <w:sz w:val="22"/>
              </w:rPr>
              <w:t>Title</w:t>
            </w:r>
            <w:r>
              <w:rPr>
                <w:spacing w:val="-5"/>
                <w:sz w:val="22"/>
              </w:rPr>
              <w:t> XIX</w:t>
            </w:r>
          </w:p>
        </w:tc>
        <w:tc>
          <w:tcPr>
            <w:tcW w:w="1667" w:type="dxa"/>
          </w:tcPr>
          <w:p>
            <w:pPr>
              <w:pStyle w:val="TableParagraph"/>
              <w:spacing w:before="128"/>
              <w:ind w:left="108"/>
              <w:rPr>
                <w:sz w:val="22"/>
              </w:rPr>
            </w:pPr>
            <w:r>
              <w:rPr>
                <w:sz w:val="22"/>
              </w:rPr>
              <w:t>Base</w:t>
            </w:r>
            <w:r>
              <w:rPr>
                <w:spacing w:val="-3"/>
                <w:sz w:val="22"/>
              </w:rPr>
              <w:t> </w:t>
            </w:r>
            <w:r>
              <w:rPr>
                <w:spacing w:val="-2"/>
                <w:sz w:val="22"/>
              </w:rPr>
              <w:t>Families</w:t>
            </w:r>
          </w:p>
        </w:tc>
        <w:tc>
          <w:tcPr>
            <w:tcW w:w="1948" w:type="dxa"/>
          </w:tcPr>
          <w:p>
            <w:pPr>
              <w:pStyle w:val="TableParagraph"/>
              <w:spacing w:before="128"/>
              <w:ind w:left="109"/>
              <w:rPr>
                <w:sz w:val="22"/>
              </w:rPr>
            </w:pPr>
            <w:r>
              <w:rPr>
                <w:spacing w:val="-2"/>
                <w:sz w:val="22"/>
              </w:rPr>
              <w:t>Standard</w:t>
            </w:r>
          </w:p>
        </w:tc>
        <w:tc>
          <w:tcPr>
            <w:tcW w:w="2769" w:type="dxa"/>
          </w:tcPr>
          <w:p>
            <w:pPr>
              <w:pStyle w:val="TableParagraph"/>
              <w:rPr>
                <w:sz w:val="20"/>
              </w:rPr>
            </w:pPr>
          </w:p>
        </w:tc>
      </w:tr>
      <w:tr>
        <w:trPr>
          <w:trHeight w:val="3998" w:hRule="atLeast"/>
        </w:trPr>
        <w:tc>
          <w:tcPr>
            <w:tcW w:w="2484"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31"/>
              </w:rPr>
            </w:pPr>
          </w:p>
          <w:p>
            <w:pPr>
              <w:pStyle w:val="TableParagraph"/>
              <w:ind w:left="107" w:right="546"/>
              <w:rPr>
                <w:sz w:val="22"/>
              </w:rPr>
            </w:pPr>
            <w:r>
              <w:rPr>
                <w:sz w:val="22"/>
              </w:rPr>
              <w:t>Medicaid</w:t>
            </w:r>
            <w:r>
              <w:rPr>
                <w:spacing w:val="-14"/>
                <w:sz w:val="22"/>
              </w:rPr>
              <w:t> </w:t>
            </w:r>
            <w:r>
              <w:rPr>
                <w:sz w:val="22"/>
              </w:rPr>
              <w:t>Expansion </w:t>
            </w:r>
            <w:r>
              <w:rPr>
                <w:spacing w:val="-2"/>
                <w:sz w:val="22"/>
              </w:rPr>
              <w:t>infants</w:t>
            </w:r>
          </w:p>
        </w:tc>
        <w:tc>
          <w:tcPr>
            <w:tcW w:w="2042"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0"/>
              <w:rPr>
                <w:sz w:val="20"/>
              </w:rPr>
            </w:pPr>
          </w:p>
          <w:p>
            <w:pPr>
              <w:pStyle w:val="TableParagraph"/>
              <w:spacing w:line="241" w:lineRule="exact"/>
              <w:ind w:left="107"/>
              <w:rPr>
                <w:sz w:val="22"/>
              </w:rPr>
            </w:pPr>
            <w:r>
              <w:rPr>
                <w:sz w:val="22"/>
              </w:rPr>
              <w:t>&lt;</w:t>
            </w:r>
            <w:r>
              <w:rPr>
                <w:spacing w:val="-2"/>
                <w:sz w:val="22"/>
              </w:rPr>
              <w:t> </w:t>
            </w:r>
            <w:r>
              <w:rPr>
                <w:sz w:val="22"/>
              </w:rPr>
              <w:t>Age</w:t>
            </w:r>
            <w:r>
              <w:rPr>
                <w:spacing w:val="-2"/>
                <w:sz w:val="22"/>
              </w:rPr>
              <w:t> </w:t>
            </w:r>
            <w:r>
              <w:rPr>
                <w:sz w:val="22"/>
              </w:rPr>
              <w:t>1: </w:t>
            </w:r>
            <w:r>
              <w:rPr>
                <w:spacing w:val="-4"/>
                <w:sz w:val="22"/>
              </w:rPr>
              <w:t>185.1</w:t>
            </w:r>
          </w:p>
          <w:p>
            <w:pPr>
              <w:pStyle w:val="TableParagraph"/>
              <w:ind w:left="107" w:right="1234"/>
              <w:rPr>
                <w:sz w:val="22"/>
              </w:rPr>
            </w:pPr>
            <w:r>
              <w:rPr>
                <w:spacing w:val="-2"/>
                <w:sz w:val="22"/>
              </w:rPr>
              <w:t>through </w:t>
            </w:r>
            <w:r>
              <w:rPr>
                <w:spacing w:val="-4"/>
                <w:sz w:val="22"/>
              </w:rPr>
              <w:t>200%</w:t>
            </w:r>
          </w:p>
        </w:tc>
        <w:tc>
          <w:tcPr>
            <w:tcW w:w="2037" w:type="dxa"/>
          </w:tcPr>
          <w:p>
            <w:pPr>
              <w:pStyle w:val="TableParagraph"/>
              <w:numPr>
                <w:ilvl w:val="0"/>
                <w:numId w:val="5"/>
              </w:numPr>
              <w:tabs>
                <w:tab w:pos="468" w:val="left" w:leader="none"/>
              </w:tabs>
              <w:spacing w:line="240" w:lineRule="auto" w:before="0" w:after="0"/>
              <w:ind w:left="468" w:right="369" w:hanging="360"/>
              <w:jc w:val="left"/>
              <w:rPr>
                <w:rFonts w:ascii="Symbol" w:hAnsi="Symbol"/>
                <w:sz w:val="22"/>
              </w:rPr>
            </w:pPr>
            <w:r>
              <w:rPr>
                <w:sz w:val="22"/>
              </w:rPr>
              <w:t>Title XIX if insured</w:t>
            </w:r>
            <w:r>
              <w:rPr>
                <w:spacing w:val="-14"/>
                <w:sz w:val="22"/>
              </w:rPr>
              <w:t> </w:t>
            </w:r>
            <w:r>
              <w:rPr>
                <w:sz w:val="22"/>
              </w:rPr>
              <w:t>at</w:t>
            </w:r>
            <w:r>
              <w:rPr>
                <w:spacing w:val="-14"/>
                <w:sz w:val="22"/>
              </w:rPr>
              <w:t> </w:t>
            </w:r>
            <w:r>
              <w:rPr>
                <w:sz w:val="22"/>
              </w:rPr>
              <w:t>the time of </w:t>
            </w:r>
            <w:r>
              <w:rPr>
                <w:spacing w:val="-2"/>
                <w:sz w:val="22"/>
              </w:rPr>
              <w:t>application</w:t>
            </w:r>
          </w:p>
          <w:p>
            <w:pPr>
              <w:pStyle w:val="TableParagraph"/>
              <w:numPr>
                <w:ilvl w:val="0"/>
                <w:numId w:val="5"/>
              </w:numPr>
              <w:tabs>
                <w:tab w:pos="468" w:val="left" w:leader="none"/>
              </w:tabs>
              <w:spacing w:line="240" w:lineRule="auto" w:before="0" w:after="0"/>
              <w:ind w:left="468" w:right="148" w:hanging="360"/>
              <w:jc w:val="left"/>
              <w:rPr>
                <w:rFonts w:ascii="Symbol" w:hAnsi="Symbol"/>
                <w:sz w:val="24"/>
              </w:rPr>
            </w:pPr>
            <w:r>
              <w:rPr>
                <w:sz w:val="22"/>
              </w:rPr>
              <w:t>Title XXI if uninsured</w:t>
            </w:r>
            <w:r>
              <w:rPr>
                <w:spacing w:val="-14"/>
                <w:sz w:val="22"/>
              </w:rPr>
              <w:t> </w:t>
            </w:r>
            <w:r>
              <w:rPr>
                <w:sz w:val="22"/>
              </w:rPr>
              <w:t>at</w:t>
            </w:r>
            <w:r>
              <w:rPr>
                <w:spacing w:val="-14"/>
                <w:sz w:val="22"/>
              </w:rPr>
              <w:t> </w:t>
            </w:r>
            <w:r>
              <w:rPr>
                <w:sz w:val="22"/>
              </w:rPr>
              <w:t>the </w:t>
            </w:r>
            <w:r>
              <w:rPr>
                <w:sz w:val="24"/>
              </w:rPr>
              <w:t>time of application,</w:t>
            </w:r>
            <w:r>
              <w:rPr>
                <w:spacing w:val="-15"/>
                <w:sz w:val="24"/>
              </w:rPr>
              <w:t> </w:t>
            </w:r>
            <w:r>
              <w:rPr>
                <w:sz w:val="24"/>
              </w:rPr>
              <w:t>as a Medicaid </w:t>
            </w:r>
            <w:r>
              <w:rPr>
                <w:spacing w:val="-2"/>
                <w:sz w:val="24"/>
              </w:rPr>
              <w:t>Expansion Child</w:t>
            </w:r>
          </w:p>
          <w:p>
            <w:pPr>
              <w:pStyle w:val="TableParagraph"/>
              <w:numPr>
                <w:ilvl w:val="0"/>
                <w:numId w:val="5"/>
              </w:numPr>
              <w:tabs>
                <w:tab w:pos="468" w:val="left" w:leader="none"/>
              </w:tabs>
              <w:spacing w:line="237" w:lineRule="auto" w:before="0" w:after="0"/>
              <w:ind w:left="468" w:right="157" w:hanging="360"/>
              <w:jc w:val="both"/>
              <w:rPr>
                <w:rFonts w:ascii="Symbol" w:hAnsi="Symbol"/>
                <w:sz w:val="24"/>
              </w:rPr>
            </w:pPr>
            <w:r>
              <w:rPr>
                <w:sz w:val="22"/>
              </w:rPr>
              <w:t>Funded</w:t>
            </w:r>
            <w:r>
              <w:rPr>
                <w:spacing w:val="-14"/>
                <w:sz w:val="22"/>
              </w:rPr>
              <w:t> </w:t>
            </w:r>
            <w:r>
              <w:rPr>
                <w:sz w:val="22"/>
              </w:rPr>
              <w:t>through title</w:t>
            </w:r>
            <w:r>
              <w:rPr>
                <w:spacing w:val="-7"/>
                <w:sz w:val="22"/>
              </w:rPr>
              <w:t> </w:t>
            </w:r>
            <w:r>
              <w:rPr>
                <w:sz w:val="22"/>
              </w:rPr>
              <w:t>XIX</w:t>
            </w:r>
            <w:r>
              <w:rPr>
                <w:spacing w:val="-4"/>
                <w:sz w:val="22"/>
              </w:rPr>
              <w:t> </w:t>
            </w:r>
            <w:r>
              <w:rPr>
                <w:sz w:val="22"/>
              </w:rPr>
              <w:t>if</w:t>
            </w:r>
            <w:r>
              <w:rPr>
                <w:spacing w:val="-4"/>
                <w:sz w:val="22"/>
              </w:rPr>
              <w:t> </w:t>
            </w:r>
            <w:r>
              <w:rPr>
                <w:sz w:val="22"/>
              </w:rPr>
              <w:t>title XXI is</w:t>
            </w:r>
          </w:p>
          <w:p>
            <w:pPr>
              <w:pStyle w:val="TableParagraph"/>
              <w:spacing w:line="235" w:lineRule="exact"/>
              <w:ind w:left="468"/>
              <w:rPr>
                <w:sz w:val="22"/>
              </w:rPr>
            </w:pPr>
            <w:r>
              <w:rPr>
                <w:spacing w:val="-2"/>
                <w:sz w:val="22"/>
              </w:rPr>
              <w:t>exhausted</w:t>
            </w:r>
          </w:p>
        </w:tc>
        <w:tc>
          <w:tcPr>
            <w:tcW w:w="1667"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7"/>
              <w:rPr>
                <w:sz w:val="22"/>
              </w:rPr>
            </w:pPr>
          </w:p>
          <w:p>
            <w:pPr>
              <w:pStyle w:val="TableParagraph"/>
              <w:ind w:left="108"/>
              <w:rPr>
                <w:sz w:val="22"/>
              </w:rPr>
            </w:pPr>
            <w:r>
              <w:rPr>
                <w:spacing w:val="-2"/>
                <w:sz w:val="22"/>
              </w:rPr>
              <w:t>1902(r)(2)</w:t>
            </w:r>
          </w:p>
          <w:p>
            <w:pPr>
              <w:pStyle w:val="TableParagraph"/>
              <w:spacing w:before="1"/>
              <w:ind w:left="108"/>
              <w:rPr>
                <w:sz w:val="22"/>
              </w:rPr>
            </w:pPr>
            <w:r>
              <w:rPr>
                <w:spacing w:val="-2"/>
                <w:sz w:val="22"/>
              </w:rPr>
              <w:t>Children</w:t>
            </w:r>
          </w:p>
          <w:p>
            <w:pPr>
              <w:pStyle w:val="TableParagraph"/>
              <w:rPr>
                <w:sz w:val="22"/>
              </w:rPr>
            </w:pPr>
          </w:p>
          <w:p>
            <w:pPr>
              <w:pStyle w:val="TableParagraph"/>
              <w:spacing w:before="1"/>
              <w:ind w:left="108" w:right="180"/>
              <w:rPr>
                <w:sz w:val="22"/>
              </w:rPr>
            </w:pPr>
            <w:r>
              <w:rPr>
                <w:sz w:val="22"/>
              </w:rPr>
              <w:t>1902(r)(2)</w:t>
            </w:r>
            <w:r>
              <w:rPr>
                <w:spacing w:val="-14"/>
                <w:sz w:val="22"/>
              </w:rPr>
              <w:t> </w:t>
            </w:r>
            <w:r>
              <w:rPr>
                <w:sz w:val="22"/>
              </w:rPr>
              <w:t>XXI </w:t>
            </w:r>
            <w:r>
              <w:rPr>
                <w:spacing w:val="-6"/>
                <w:sz w:val="22"/>
              </w:rPr>
              <w:t>RO</w:t>
            </w:r>
          </w:p>
        </w:tc>
        <w:tc>
          <w:tcPr>
            <w:tcW w:w="1948"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8"/>
              <w:rPr>
                <w:sz w:val="31"/>
              </w:rPr>
            </w:pPr>
          </w:p>
          <w:p>
            <w:pPr>
              <w:pStyle w:val="TableParagraph"/>
              <w:spacing w:before="1"/>
              <w:ind w:left="109"/>
              <w:rPr>
                <w:sz w:val="22"/>
              </w:rPr>
            </w:pPr>
            <w:r>
              <w:rPr>
                <w:spacing w:val="-2"/>
                <w:sz w:val="22"/>
              </w:rPr>
              <w:t>Standard</w:t>
            </w:r>
          </w:p>
        </w:tc>
        <w:tc>
          <w:tcPr>
            <w:tcW w:w="2769" w:type="dxa"/>
          </w:tcPr>
          <w:p>
            <w:pPr>
              <w:pStyle w:val="TableParagraph"/>
              <w:rPr>
                <w:sz w:val="24"/>
              </w:rPr>
            </w:pPr>
          </w:p>
          <w:p>
            <w:pPr>
              <w:pStyle w:val="TableParagraph"/>
              <w:rPr>
                <w:sz w:val="24"/>
              </w:rPr>
            </w:pPr>
          </w:p>
          <w:p>
            <w:pPr>
              <w:pStyle w:val="TableParagraph"/>
              <w:rPr>
                <w:sz w:val="24"/>
              </w:rPr>
            </w:pPr>
          </w:p>
          <w:p>
            <w:pPr>
              <w:pStyle w:val="TableParagraph"/>
              <w:spacing w:before="7"/>
              <w:rPr>
                <w:sz w:val="24"/>
              </w:rPr>
            </w:pPr>
          </w:p>
          <w:p>
            <w:pPr>
              <w:pStyle w:val="TableParagraph"/>
              <w:ind w:left="110" w:right="127"/>
              <w:rPr>
                <w:sz w:val="22"/>
              </w:rPr>
            </w:pPr>
            <w:r>
              <w:rPr>
                <w:sz w:val="22"/>
              </w:rPr>
              <w:t>Medicaid</w:t>
            </w:r>
            <w:r>
              <w:rPr>
                <w:spacing w:val="-13"/>
                <w:sz w:val="22"/>
              </w:rPr>
              <w:t> </w:t>
            </w:r>
            <w:r>
              <w:rPr>
                <w:sz w:val="22"/>
              </w:rPr>
              <w:t>Expansion</w:t>
            </w:r>
            <w:r>
              <w:rPr>
                <w:spacing w:val="-13"/>
                <w:sz w:val="22"/>
              </w:rPr>
              <w:t> </w:t>
            </w:r>
            <w:r>
              <w:rPr>
                <w:sz w:val="22"/>
              </w:rPr>
              <w:t>child</w:t>
            </w:r>
            <w:r>
              <w:rPr>
                <w:spacing w:val="-13"/>
                <w:sz w:val="22"/>
              </w:rPr>
              <w:t> </w:t>
            </w:r>
            <w:r>
              <w:rPr>
                <w:sz w:val="22"/>
              </w:rPr>
              <w:t>is described both in the Title XXI plan and authorized under this 1115 demonstration, including premium assistance for ESI or direct benefits.</w:t>
            </w:r>
          </w:p>
        </w:tc>
      </w:tr>
      <w:tr>
        <w:trPr>
          <w:trHeight w:val="3042" w:hRule="atLeast"/>
        </w:trPr>
        <w:tc>
          <w:tcPr>
            <w:tcW w:w="2484" w:type="dxa"/>
          </w:tcPr>
          <w:p>
            <w:pPr>
              <w:pStyle w:val="TableParagraph"/>
              <w:rPr>
                <w:sz w:val="24"/>
              </w:rPr>
            </w:pPr>
          </w:p>
          <w:p>
            <w:pPr>
              <w:pStyle w:val="TableParagraph"/>
              <w:rPr>
                <w:sz w:val="24"/>
              </w:rPr>
            </w:pPr>
          </w:p>
          <w:p>
            <w:pPr>
              <w:pStyle w:val="TableParagraph"/>
              <w:rPr>
                <w:sz w:val="24"/>
              </w:rPr>
            </w:pPr>
          </w:p>
          <w:p>
            <w:pPr>
              <w:pStyle w:val="TableParagraph"/>
              <w:spacing w:before="185"/>
              <w:ind w:left="107" w:right="159"/>
              <w:rPr>
                <w:sz w:val="22"/>
              </w:rPr>
            </w:pPr>
            <w:r>
              <w:rPr>
                <w:sz w:val="22"/>
              </w:rPr>
              <w:t>AFDC-Poverty Level Children and Independent</w:t>
            </w:r>
            <w:r>
              <w:rPr>
                <w:spacing w:val="-14"/>
                <w:sz w:val="22"/>
              </w:rPr>
              <w:t> </w:t>
            </w:r>
            <w:r>
              <w:rPr>
                <w:sz w:val="22"/>
              </w:rPr>
              <w:t>Foster</w:t>
            </w:r>
            <w:r>
              <w:rPr>
                <w:spacing w:val="-14"/>
                <w:sz w:val="22"/>
              </w:rPr>
              <w:t> </w:t>
            </w:r>
            <w:r>
              <w:rPr>
                <w:sz w:val="22"/>
              </w:rPr>
              <w:t>Care </w:t>
            </w:r>
            <w:r>
              <w:rPr>
                <w:spacing w:val="-2"/>
                <w:sz w:val="22"/>
              </w:rPr>
              <w:t>Adolescents</w:t>
            </w:r>
          </w:p>
        </w:tc>
        <w:tc>
          <w:tcPr>
            <w:tcW w:w="2042" w:type="dxa"/>
          </w:tcPr>
          <w:p>
            <w:pPr>
              <w:pStyle w:val="TableParagraph"/>
              <w:spacing w:line="251" w:lineRule="exact"/>
              <w:ind w:left="107"/>
              <w:rPr>
                <w:sz w:val="22"/>
              </w:rPr>
            </w:pPr>
            <w:r>
              <w:rPr>
                <w:sz w:val="22"/>
              </w:rPr>
              <w:t>Age</w:t>
            </w:r>
            <w:r>
              <w:rPr>
                <w:spacing w:val="-4"/>
                <w:sz w:val="22"/>
              </w:rPr>
              <w:t> </w:t>
            </w:r>
            <w:r>
              <w:rPr>
                <w:sz w:val="22"/>
              </w:rPr>
              <w:t>1</w:t>
            </w:r>
            <w:r>
              <w:rPr>
                <w:spacing w:val="1"/>
                <w:sz w:val="22"/>
              </w:rPr>
              <w:t> </w:t>
            </w:r>
            <w:r>
              <w:rPr>
                <w:sz w:val="22"/>
              </w:rPr>
              <w:t>-</w:t>
            </w:r>
            <w:r>
              <w:rPr>
                <w:spacing w:val="-5"/>
                <w:sz w:val="22"/>
              </w:rPr>
              <w:t> </w:t>
            </w:r>
            <w:r>
              <w:rPr>
                <w:sz w:val="22"/>
              </w:rPr>
              <w:t>5: </w:t>
            </w:r>
            <w:r>
              <w:rPr>
                <w:spacing w:val="-10"/>
                <w:sz w:val="22"/>
              </w:rPr>
              <w:t>0</w:t>
            </w:r>
          </w:p>
          <w:p>
            <w:pPr>
              <w:pStyle w:val="TableParagraph"/>
              <w:spacing w:line="252" w:lineRule="exact"/>
              <w:ind w:left="107"/>
              <w:rPr>
                <w:sz w:val="22"/>
              </w:rPr>
            </w:pPr>
            <w:r>
              <w:rPr>
                <w:sz w:val="22"/>
              </w:rPr>
              <w:t>through</w:t>
            </w:r>
            <w:r>
              <w:rPr>
                <w:spacing w:val="-2"/>
                <w:sz w:val="22"/>
              </w:rPr>
              <w:t> </w:t>
            </w:r>
            <w:r>
              <w:rPr>
                <w:spacing w:val="-4"/>
                <w:sz w:val="22"/>
              </w:rPr>
              <w:t>133%</w:t>
            </w:r>
          </w:p>
          <w:p>
            <w:pPr>
              <w:pStyle w:val="TableParagraph"/>
              <w:rPr>
                <w:sz w:val="22"/>
              </w:rPr>
            </w:pPr>
          </w:p>
          <w:p>
            <w:pPr>
              <w:pStyle w:val="TableParagraph"/>
              <w:spacing w:line="252" w:lineRule="exact"/>
              <w:ind w:left="107"/>
              <w:rPr>
                <w:sz w:val="22"/>
              </w:rPr>
            </w:pPr>
            <w:r>
              <w:rPr>
                <w:sz w:val="22"/>
              </w:rPr>
              <w:t>Age</w:t>
            </w:r>
            <w:r>
              <w:rPr>
                <w:spacing w:val="-4"/>
                <w:sz w:val="22"/>
              </w:rPr>
              <w:t> </w:t>
            </w:r>
            <w:r>
              <w:rPr>
                <w:sz w:val="22"/>
              </w:rPr>
              <w:t>6</w:t>
            </w:r>
            <w:r>
              <w:rPr>
                <w:spacing w:val="1"/>
                <w:sz w:val="22"/>
              </w:rPr>
              <w:t> </w:t>
            </w:r>
            <w:r>
              <w:rPr>
                <w:sz w:val="22"/>
              </w:rPr>
              <w:t>-</w:t>
            </w:r>
            <w:r>
              <w:rPr>
                <w:spacing w:val="-5"/>
                <w:sz w:val="22"/>
              </w:rPr>
              <w:t> </w:t>
            </w:r>
            <w:r>
              <w:rPr>
                <w:sz w:val="22"/>
              </w:rPr>
              <w:t>17:</w:t>
            </w:r>
            <w:r>
              <w:rPr>
                <w:spacing w:val="-10"/>
                <w:sz w:val="22"/>
              </w:rPr>
              <w:t> 0</w:t>
            </w:r>
          </w:p>
          <w:p>
            <w:pPr>
              <w:pStyle w:val="TableParagraph"/>
              <w:spacing w:line="252" w:lineRule="exact"/>
              <w:ind w:left="108"/>
              <w:rPr>
                <w:sz w:val="22"/>
              </w:rPr>
            </w:pPr>
            <w:r>
              <w:rPr>
                <w:sz w:val="22"/>
              </w:rPr>
              <w:t>through</w:t>
            </w:r>
            <w:r>
              <w:rPr>
                <w:spacing w:val="-2"/>
                <w:sz w:val="22"/>
              </w:rPr>
              <w:t> </w:t>
            </w:r>
            <w:r>
              <w:rPr>
                <w:spacing w:val="-4"/>
                <w:sz w:val="22"/>
              </w:rPr>
              <w:t>114%</w:t>
            </w:r>
          </w:p>
          <w:p>
            <w:pPr>
              <w:pStyle w:val="TableParagraph"/>
              <w:spacing w:before="10"/>
              <w:rPr>
                <w:sz w:val="22"/>
              </w:rPr>
            </w:pPr>
          </w:p>
          <w:p>
            <w:pPr>
              <w:pStyle w:val="TableParagraph"/>
              <w:ind w:left="107" w:right="69"/>
              <w:rPr>
                <w:sz w:val="22"/>
              </w:rPr>
            </w:pPr>
            <w:r>
              <w:rPr>
                <w:sz w:val="22"/>
              </w:rPr>
              <w:t>Independent</w:t>
            </w:r>
            <w:r>
              <w:rPr>
                <w:spacing w:val="-19"/>
                <w:sz w:val="22"/>
              </w:rPr>
              <w:t> </w:t>
            </w:r>
            <w:r>
              <w:rPr>
                <w:sz w:val="22"/>
              </w:rPr>
              <w:t>Foster Care Adolescents aged</w:t>
            </w:r>
            <w:r>
              <w:rPr>
                <w:spacing w:val="-9"/>
                <w:sz w:val="22"/>
              </w:rPr>
              <w:t> </w:t>
            </w:r>
            <w:r>
              <w:rPr>
                <w:sz w:val="22"/>
              </w:rPr>
              <w:t>out</w:t>
            </w:r>
            <w:r>
              <w:rPr>
                <w:spacing w:val="-9"/>
                <w:sz w:val="22"/>
              </w:rPr>
              <w:t> </w:t>
            </w:r>
            <w:r>
              <w:rPr>
                <w:sz w:val="22"/>
              </w:rPr>
              <w:t>of</w:t>
            </w:r>
            <w:r>
              <w:rPr>
                <w:spacing w:val="-9"/>
                <w:sz w:val="22"/>
              </w:rPr>
              <w:t> </w:t>
            </w:r>
            <w:r>
              <w:rPr>
                <w:sz w:val="22"/>
              </w:rPr>
              <w:t>DCF</w:t>
            </w:r>
            <w:r>
              <w:rPr>
                <w:spacing w:val="-10"/>
                <w:sz w:val="22"/>
              </w:rPr>
              <w:t> </w:t>
            </w:r>
            <w:r>
              <w:rPr>
                <w:sz w:val="22"/>
              </w:rPr>
              <w:t>up to age 21 without regard</w:t>
            </w:r>
            <w:r>
              <w:rPr>
                <w:spacing w:val="-8"/>
                <w:sz w:val="22"/>
              </w:rPr>
              <w:t> </w:t>
            </w:r>
            <w:r>
              <w:rPr>
                <w:sz w:val="22"/>
              </w:rPr>
              <w:t>to</w:t>
            </w:r>
            <w:r>
              <w:rPr>
                <w:spacing w:val="-5"/>
                <w:sz w:val="22"/>
              </w:rPr>
              <w:t> </w:t>
            </w:r>
            <w:r>
              <w:rPr>
                <w:sz w:val="22"/>
              </w:rPr>
              <w:t>income</w:t>
            </w:r>
            <w:r>
              <w:rPr>
                <w:spacing w:val="-5"/>
                <w:sz w:val="22"/>
              </w:rPr>
              <w:t> </w:t>
            </w:r>
            <w:r>
              <w:rPr>
                <w:sz w:val="22"/>
              </w:rPr>
              <w:t>or</w:t>
            </w:r>
          </w:p>
          <w:p>
            <w:pPr>
              <w:pStyle w:val="TableParagraph"/>
              <w:spacing w:line="233" w:lineRule="exact"/>
              <w:ind w:left="107"/>
              <w:rPr>
                <w:sz w:val="22"/>
              </w:rPr>
            </w:pPr>
            <w:r>
              <w:rPr>
                <w:spacing w:val="-2"/>
                <w:sz w:val="22"/>
              </w:rPr>
              <w:t>assets</w:t>
            </w:r>
          </w:p>
        </w:tc>
        <w:tc>
          <w:tcPr>
            <w:tcW w:w="2037"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
              <w:rPr>
                <w:sz w:val="25"/>
              </w:rPr>
            </w:pPr>
          </w:p>
          <w:p>
            <w:pPr>
              <w:pStyle w:val="TableParagraph"/>
              <w:ind w:left="108"/>
              <w:rPr>
                <w:sz w:val="22"/>
              </w:rPr>
            </w:pPr>
            <w:r>
              <w:rPr>
                <w:sz w:val="22"/>
              </w:rPr>
              <w:t>Title</w:t>
            </w:r>
            <w:r>
              <w:rPr>
                <w:spacing w:val="-5"/>
                <w:sz w:val="22"/>
              </w:rPr>
              <w:t> XIX</w:t>
            </w:r>
          </w:p>
        </w:tc>
        <w:tc>
          <w:tcPr>
            <w:tcW w:w="1667"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
              <w:rPr>
                <w:sz w:val="25"/>
              </w:rPr>
            </w:pPr>
          </w:p>
          <w:p>
            <w:pPr>
              <w:pStyle w:val="TableParagraph"/>
              <w:ind w:left="108"/>
              <w:rPr>
                <w:sz w:val="22"/>
              </w:rPr>
            </w:pPr>
            <w:r>
              <w:rPr>
                <w:sz w:val="22"/>
              </w:rPr>
              <w:t>Base</w:t>
            </w:r>
            <w:r>
              <w:rPr>
                <w:spacing w:val="-3"/>
                <w:sz w:val="22"/>
              </w:rPr>
              <w:t> </w:t>
            </w:r>
            <w:r>
              <w:rPr>
                <w:spacing w:val="-2"/>
                <w:sz w:val="22"/>
              </w:rPr>
              <w:t>Families</w:t>
            </w:r>
          </w:p>
        </w:tc>
        <w:tc>
          <w:tcPr>
            <w:tcW w:w="1948"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
              <w:rPr>
                <w:sz w:val="25"/>
              </w:rPr>
            </w:pPr>
          </w:p>
          <w:p>
            <w:pPr>
              <w:pStyle w:val="TableParagraph"/>
              <w:ind w:left="109"/>
              <w:rPr>
                <w:sz w:val="22"/>
              </w:rPr>
            </w:pPr>
            <w:r>
              <w:rPr>
                <w:spacing w:val="-2"/>
                <w:sz w:val="22"/>
              </w:rPr>
              <w:t>Standard</w:t>
            </w:r>
          </w:p>
        </w:tc>
        <w:tc>
          <w:tcPr>
            <w:tcW w:w="2769" w:type="dxa"/>
          </w:tcPr>
          <w:p>
            <w:pPr>
              <w:pStyle w:val="TableParagraph"/>
              <w:rPr>
                <w:sz w:val="20"/>
              </w:rPr>
            </w:pPr>
          </w:p>
        </w:tc>
      </w:tr>
    </w:tbl>
    <w:p>
      <w:pPr>
        <w:spacing w:after="0"/>
        <w:rPr>
          <w:sz w:val="20"/>
        </w:rPr>
        <w:sectPr>
          <w:footerReference w:type="default" r:id="rId71"/>
          <w:pgSz w:w="15840" w:h="12240" w:orient="landscape"/>
          <w:pgMar w:footer="1201" w:header="0" w:top="1380" w:bottom="1400" w:left="1320" w:right="1340"/>
        </w:sectPr>
      </w:pPr>
    </w:p>
    <w:p>
      <w:pPr>
        <w:pStyle w:val="BodyText"/>
        <w:spacing w:before="2"/>
        <w:rPr>
          <w:sz w:val="5"/>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4"/>
        <w:gridCol w:w="2042"/>
        <w:gridCol w:w="2037"/>
        <w:gridCol w:w="1667"/>
        <w:gridCol w:w="1948"/>
        <w:gridCol w:w="2769"/>
      </w:tblGrid>
      <w:tr>
        <w:trPr>
          <w:trHeight w:val="253" w:hRule="atLeast"/>
        </w:trPr>
        <w:tc>
          <w:tcPr>
            <w:tcW w:w="12947" w:type="dxa"/>
            <w:gridSpan w:val="6"/>
            <w:shd w:val="clear" w:color="auto" w:fill="DBE6F1"/>
          </w:tcPr>
          <w:p>
            <w:pPr>
              <w:pStyle w:val="TableParagraph"/>
              <w:spacing w:line="234" w:lineRule="exact"/>
              <w:ind w:left="4160" w:right="4148"/>
              <w:jc w:val="center"/>
              <w:rPr>
                <w:b/>
                <w:sz w:val="22"/>
              </w:rPr>
            </w:pPr>
            <w:r>
              <w:rPr>
                <w:b/>
                <w:sz w:val="22"/>
              </w:rPr>
              <w:t>Table</w:t>
            </w:r>
            <w:r>
              <w:rPr>
                <w:b/>
                <w:spacing w:val="-3"/>
                <w:sz w:val="22"/>
              </w:rPr>
              <w:t> </w:t>
            </w:r>
            <w:r>
              <w:rPr>
                <w:b/>
                <w:sz w:val="22"/>
              </w:rPr>
              <w:t>2:</w:t>
            </w:r>
            <w:r>
              <w:rPr>
                <w:b/>
                <w:spacing w:val="-2"/>
                <w:sz w:val="22"/>
              </w:rPr>
              <w:t> </w:t>
            </w:r>
            <w:r>
              <w:rPr>
                <w:b/>
                <w:sz w:val="22"/>
              </w:rPr>
              <w:t>MassHealth</w:t>
            </w:r>
            <w:r>
              <w:rPr>
                <w:b/>
                <w:spacing w:val="-4"/>
                <w:sz w:val="22"/>
              </w:rPr>
              <w:t> </w:t>
            </w:r>
            <w:r>
              <w:rPr>
                <w:b/>
                <w:sz w:val="22"/>
              </w:rPr>
              <w:t>State</w:t>
            </w:r>
            <w:r>
              <w:rPr>
                <w:b/>
                <w:spacing w:val="-3"/>
                <w:sz w:val="22"/>
              </w:rPr>
              <w:t> </w:t>
            </w:r>
            <w:r>
              <w:rPr>
                <w:b/>
                <w:sz w:val="22"/>
              </w:rPr>
              <w:t>Plan</w:t>
            </w:r>
            <w:r>
              <w:rPr>
                <w:b/>
                <w:spacing w:val="-6"/>
                <w:sz w:val="22"/>
              </w:rPr>
              <w:t> </w:t>
            </w:r>
            <w:r>
              <w:rPr>
                <w:b/>
                <w:sz w:val="22"/>
              </w:rPr>
              <w:t>Base</w:t>
            </w:r>
            <w:r>
              <w:rPr>
                <w:b/>
                <w:spacing w:val="-4"/>
                <w:sz w:val="22"/>
              </w:rPr>
              <w:t> </w:t>
            </w:r>
            <w:r>
              <w:rPr>
                <w:b/>
                <w:spacing w:val="-2"/>
                <w:sz w:val="22"/>
              </w:rPr>
              <w:t>Populations</w:t>
            </w:r>
          </w:p>
        </w:tc>
      </w:tr>
      <w:tr>
        <w:trPr>
          <w:trHeight w:val="1009" w:hRule="atLeast"/>
        </w:trPr>
        <w:tc>
          <w:tcPr>
            <w:tcW w:w="2484" w:type="dxa"/>
            <w:shd w:val="clear" w:color="auto" w:fill="DBE6F1"/>
          </w:tcPr>
          <w:p>
            <w:pPr>
              <w:pStyle w:val="TableParagraph"/>
              <w:ind w:left="112" w:right="100" w:hanging="2"/>
              <w:jc w:val="center"/>
              <w:rPr>
                <w:b/>
                <w:sz w:val="22"/>
              </w:rPr>
            </w:pPr>
            <w:r>
              <w:rPr>
                <w:b/>
                <w:sz w:val="22"/>
              </w:rPr>
              <w:t>Medicaid Mandatory and</w:t>
            </w:r>
            <w:r>
              <w:rPr>
                <w:b/>
                <w:spacing w:val="-12"/>
                <w:sz w:val="22"/>
              </w:rPr>
              <w:t> </w:t>
            </w:r>
            <w:r>
              <w:rPr>
                <w:b/>
                <w:sz w:val="22"/>
              </w:rPr>
              <w:t>Optional</w:t>
            </w:r>
            <w:r>
              <w:rPr>
                <w:b/>
                <w:spacing w:val="-10"/>
                <w:sz w:val="22"/>
              </w:rPr>
              <w:t> </w:t>
            </w:r>
            <w:r>
              <w:rPr>
                <w:b/>
                <w:sz w:val="22"/>
              </w:rPr>
              <w:t>State</w:t>
            </w:r>
            <w:r>
              <w:rPr>
                <w:b/>
                <w:spacing w:val="-13"/>
                <w:sz w:val="22"/>
              </w:rPr>
              <w:t> </w:t>
            </w:r>
            <w:r>
              <w:rPr>
                <w:b/>
                <w:sz w:val="22"/>
              </w:rPr>
              <w:t>Plan</w:t>
            </w:r>
          </w:p>
          <w:p>
            <w:pPr>
              <w:pStyle w:val="TableParagraph"/>
              <w:spacing w:line="252" w:lineRule="exact"/>
              <w:ind w:left="278" w:right="267"/>
              <w:jc w:val="center"/>
              <w:rPr>
                <w:b/>
                <w:sz w:val="22"/>
              </w:rPr>
            </w:pPr>
            <w:r>
              <w:rPr>
                <w:b/>
                <w:sz w:val="22"/>
              </w:rPr>
              <w:t>Groups</w:t>
            </w:r>
            <w:r>
              <w:rPr>
                <w:b/>
                <w:spacing w:val="-14"/>
                <w:sz w:val="22"/>
              </w:rPr>
              <w:t> </w:t>
            </w:r>
            <w:r>
              <w:rPr>
                <w:b/>
                <w:sz w:val="22"/>
              </w:rPr>
              <w:t>(Categorical </w:t>
            </w:r>
            <w:r>
              <w:rPr>
                <w:b/>
                <w:spacing w:val="-2"/>
                <w:sz w:val="22"/>
              </w:rPr>
              <w:t>Eligibility)</w:t>
            </w:r>
          </w:p>
        </w:tc>
        <w:tc>
          <w:tcPr>
            <w:tcW w:w="2042" w:type="dxa"/>
            <w:shd w:val="clear" w:color="auto" w:fill="DBE6F1"/>
          </w:tcPr>
          <w:p>
            <w:pPr>
              <w:pStyle w:val="TableParagraph"/>
              <w:ind w:left="115" w:right="103" w:firstLine="2"/>
              <w:jc w:val="center"/>
              <w:rPr>
                <w:b/>
                <w:sz w:val="22"/>
              </w:rPr>
            </w:pPr>
            <w:r>
              <w:rPr>
                <w:b/>
                <w:sz w:val="22"/>
              </w:rPr>
              <w:t>Federal Poverty Level</w:t>
            </w:r>
            <w:r>
              <w:rPr>
                <w:b/>
                <w:spacing w:val="-4"/>
                <w:sz w:val="22"/>
              </w:rPr>
              <w:t> </w:t>
            </w:r>
            <w:r>
              <w:rPr>
                <w:b/>
                <w:sz w:val="22"/>
              </w:rPr>
              <w:t>(FPL)</w:t>
            </w:r>
            <w:r>
              <w:rPr>
                <w:b/>
                <w:spacing w:val="-1"/>
                <w:sz w:val="22"/>
              </w:rPr>
              <w:t> </w:t>
            </w:r>
            <w:r>
              <w:rPr>
                <w:b/>
                <w:spacing w:val="-2"/>
                <w:sz w:val="22"/>
              </w:rPr>
              <w:t>and/or</w:t>
            </w:r>
          </w:p>
          <w:p>
            <w:pPr>
              <w:pStyle w:val="TableParagraph"/>
              <w:spacing w:line="252" w:lineRule="exact"/>
              <w:ind w:left="211" w:right="196"/>
              <w:jc w:val="center"/>
              <w:rPr>
                <w:b/>
                <w:sz w:val="22"/>
              </w:rPr>
            </w:pPr>
            <w:r>
              <w:rPr>
                <w:b/>
                <w:sz w:val="22"/>
              </w:rPr>
              <w:t>Other</w:t>
            </w:r>
            <w:r>
              <w:rPr>
                <w:b/>
                <w:spacing w:val="-14"/>
                <w:sz w:val="22"/>
              </w:rPr>
              <w:t> </w:t>
            </w:r>
            <w:r>
              <w:rPr>
                <w:b/>
                <w:sz w:val="22"/>
              </w:rPr>
              <w:t>Qualifying </w:t>
            </w:r>
            <w:r>
              <w:rPr>
                <w:b/>
                <w:spacing w:val="-2"/>
                <w:sz w:val="22"/>
              </w:rPr>
              <w:t>Criteria</w:t>
            </w:r>
          </w:p>
        </w:tc>
        <w:tc>
          <w:tcPr>
            <w:tcW w:w="2037" w:type="dxa"/>
            <w:shd w:val="clear" w:color="auto" w:fill="DBE6F1"/>
          </w:tcPr>
          <w:p>
            <w:pPr>
              <w:pStyle w:val="TableParagraph"/>
              <w:spacing w:before="9"/>
              <w:rPr>
                <w:sz w:val="32"/>
              </w:rPr>
            </w:pPr>
          </w:p>
          <w:p>
            <w:pPr>
              <w:pStyle w:val="TableParagraph"/>
              <w:ind w:left="249"/>
              <w:rPr>
                <w:b/>
                <w:sz w:val="22"/>
              </w:rPr>
            </w:pPr>
            <w:r>
              <w:rPr>
                <w:b/>
                <w:sz w:val="22"/>
              </w:rPr>
              <w:t>Funding</w:t>
            </w:r>
            <w:r>
              <w:rPr>
                <w:b/>
                <w:spacing w:val="-4"/>
                <w:sz w:val="22"/>
              </w:rPr>
              <w:t> </w:t>
            </w:r>
            <w:r>
              <w:rPr>
                <w:b/>
                <w:spacing w:val="-2"/>
                <w:sz w:val="22"/>
              </w:rPr>
              <w:t>Stream</w:t>
            </w:r>
          </w:p>
        </w:tc>
        <w:tc>
          <w:tcPr>
            <w:tcW w:w="1667" w:type="dxa"/>
            <w:shd w:val="clear" w:color="auto" w:fill="DBE6F1"/>
          </w:tcPr>
          <w:p>
            <w:pPr>
              <w:pStyle w:val="TableParagraph"/>
              <w:ind w:left="163" w:right="149" w:hanging="4"/>
              <w:jc w:val="center"/>
              <w:rPr>
                <w:b/>
                <w:sz w:val="22"/>
              </w:rPr>
            </w:pPr>
            <w:r>
              <w:rPr>
                <w:b/>
                <w:spacing w:val="-2"/>
                <w:sz w:val="22"/>
              </w:rPr>
              <w:t>Expenditure </w:t>
            </w:r>
            <w:r>
              <w:rPr>
                <w:b/>
                <w:sz w:val="22"/>
              </w:rPr>
              <w:t>and</w:t>
            </w:r>
            <w:r>
              <w:rPr>
                <w:b/>
                <w:spacing w:val="-2"/>
                <w:sz w:val="22"/>
              </w:rPr>
              <w:t> </w:t>
            </w:r>
            <w:r>
              <w:rPr>
                <w:b/>
                <w:spacing w:val="-2"/>
                <w:sz w:val="22"/>
              </w:rPr>
              <w:t>Eligibility</w:t>
            </w:r>
          </w:p>
          <w:p>
            <w:pPr>
              <w:pStyle w:val="TableParagraph"/>
              <w:spacing w:line="252" w:lineRule="exact"/>
              <w:ind w:left="262" w:right="249"/>
              <w:jc w:val="center"/>
              <w:rPr>
                <w:b/>
                <w:sz w:val="22"/>
              </w:rPr>
            </w:pPr>
            <w:r>
              <w:rPr>
                <w:b/>
                <w:sz w:val="22"/>
              </w:rPr>
              <w:t>Group</w:t>
            </w:r>
            <w:r>
              <w:rPr>
                <w:b/>
                <w:spacing w:val="-14"/>
                <w:sz w:val="22"/>
              </w:rPr>
              <w:t> </w:t>
            </w:r>
            <w:r>
              <w:rPr>
                <w:b/>
                <w:sz w:val="22"/>
              </w:rPr>
              <w:t>(EG) </w:t>
            </w:r>
            <w:r>
              <w:rPr>
                <w:b/>
                <w:spacing w:val="-2"/>
                <w:sz w:val="22"/>
              </w:rPr>
              <w:t>Reporting</w:t>
            </w:r>
          </w:p>
        </w:tc>
        <w:tc>
          <w:tcPr>
            <w:tcW w:w="1948" w:type="dxa"/>
            <w:shd w:val="clear" w:color="auto" w:fill="DBE6F1"/>
          </w:tcPr>
          <w:p>
            <w:pPr>
              <w:pStyle w:val="TableParagraph"/>
              <w:spacing w:before="123"/>
              <w:ind w:left="270" w:right="256" w:firstLine="2"/>
              <w:jc w:val="center"/>
              <w:rPr>
                <w:b/>
                <w:sz w:val="22"/>
              </w:rPr>
            </w:pPr>
            <w:r>
              <w:rPr>
                <w:b/>
                <w:spacing w:val="-2"/>
                <w:sz w:val="22"/>
              </w:rPr>
              <w:t>MassHealth Demonstration Program</w:t>
            </w:r>
          </w:p>
        </w:tc>
        <w:tc>
          <w:tcPr>
            <w:tcW w:w="2769" w:type="dxa"/>
            <w:shd w:val="clear" w:color="auto" w:fill="DBE6F1"/>
          </w:tcPr>
          <w:p>
            <w:pPr>
              <w:pStyle w:val="TableParagraph"/>
              <w:spacing w:before="9"/>
              <w:rPr>
                <w:sz w:val="32"/>
              </w:rPr>
            </w:pPr>
          </w:p>
          <w:p>
            <w:pPr>
              <w:pStyle w:val="TableParagraph"/>
              <w:ind w:left="878"/>
              <w:rPr>
                <w:b/>
                <w:sz w:val="22"/>
              </w:rPr>
            </w:pPr>
            <w:r>
              <w:rPr>
                <w:b/>
                <w:spacing w:val="-2"/>
                <w:sz w:val="22"/>
              </w:rPr>
              <w:t>Comments</w:t>
            </w:r>
          </w:p>
        </w:tc>
      </w:tr>
      <w:tr>
        <w:trPr>
          <w:trHeight w:val="1269" w:hRule="atLeast"/>
        </w:trPr>
        <w:tc>
          <w:tcPr>
            <w:tcW w:w="2484" w:type="dxa"/>
          </w:tcPr>
          <w:p>
            <w:pPr>
              <w:pStyle w:val="TableParagraph"/>
              <w:rPr>
                <w:sz w:val="20"/>
              </w:rPr>
            </w:pPr>
          </w:p>
        </w:tc>
        <w:tc>
          <w:tcPr>
            <w:tcW w:w="2042" w:type="dxa"/>
          </w:tcPr>
          <w:p>
            <w:pPr>
              <w:pStyle w:val="TableParagraph"/>
              <w:spacing w:before="2"/>
              <w:rPr>
                <w:sz w:val="22"/>
              </w:rPr>
            </w:pPr>
          </w:p>
          <w:p>
            <w:pPr>
              <w:pStyle w:val="TableParagraph"/>
              <w:ind w:left="107"/>
              <w:rPr>
                <w:sz w:val="22"/>
              </w:rPr>
            </w:pPr>
            <w:r>
              <w:rPr>
                <w:sz w:val="22"/>
              </w:rPr>
              <w:t>Former Foster Care Children up to age</w:t>
            </w:r>
          </w:p>
          <w:p>
            <w:pPr>
              <w:pStyle w:val="TableParagraph"/>
              <w:spacing w:line="252" w:lineRule="exact"/>
              <w:ind w:left="107"/>
              <w:rPr>
                <w:sz w:val="22"/>
              </w:rPr>
            </w:pPr>
            <w:r>
              <w:rPr>
                <w:sz w:val="22"/>
              </w:rPr>
              <w:t>26</w:t>
            </w:r>
            <w:r>
              <w:rPr>
                <w:spacing w:val="-11"/>
                <w:sz w:val="22"/>
              </w:rPr>
              <w:t> </w:t>
            </w:r>
            <w:r>
              <w:rPr>
                <w:sz w:val="22"/>
              </w:rPr>
              <w:t>without</w:t>
            </w:r>
            <w:r>
              <w:rPr>
                <w:spacing w:val="-12"/>
                <w:sz w:val="22"/>
              </w:rPr>
              <w:t> </w:t>
            </w:r>
            <w:r>
              <w:rPr>
                <w:sz w:val="22"/>
              </w:rPr>
              <w:t>regard</w:t>
            </w:r>
            <w:r>
              <w:rPr>
                <w:spacing w:val="-13"/>
                <w:sz w:val="22"/>
              </w:rPr>
              <w:t> </w:t>
            </w:r>
            <w:r>
              <w:rPr>
                <w:sz w:val="22"/>
              </w:rPr>
              <w:t>t</w:t>
            </w:r>
            <w:r>
              <w:rPr>
                <w:sz w:val="22"/>
              </w:rPr>
              <w:t>o income or assets</w:t>
            </w:r>
          </w:p>
        </w:tc>
        <w:tc>
          <w:tcPr>
            <w:tcW w:w="2037" w:type="dxa"/>
          </w:tcPr>
          <w:p>
            <w:pPr>
              <w:pStyle w:val="TableParagraph"/>
              <w:rPr>
                <w:sz w:val="20"/>
              </w:rPr>
            </w:pPr>
          </w:p>
        </w:tc>
        <w:tc>
          <w:tcPr>
            <w:tcW w:w="1667" w:type="dxa"/>
          </w:tcPr>
          <w:p>
            <w:pPr>
              <w:pStyle w:val="TableParagraph"/>
              <w:rPr>
                <w:sz w:val="20"/>
              </w:rPr>
            </w:pPr>
          </w:p>
        </w:tc>
        <w:tc>
          <w:tcPr>
            <w:tcW w:w="1948" w:type="dxa"/>
          </w:tcPr>
          <w:p>
            <w:pPr>
              <w:pStyle w:val="TableParagraph"/>
              <w:rPr>
                <w:sz w:val="20"/>
              </w:rPr>
            </w:pPr>
          </w:p>
        </w:tc>
        <w:tc>
          <w:tcPr>
            <w:tcW w:w="2769" w:type="dxa"/>
          </w:tcPr>
          <w:p>
            <w:pPr>
              <w:pStyle w:val="TableParagraph"/>
              <w:rPr>
                <w:sz w:val="20"/>
              </w:rPr>
            </w:pPr>
          </w:p>
        </w:tc>
      </w:tr>
      <w:tr>
        <w:trPr>
          <w:trHeight w:val="3976" w:hRule="atLeast"/>
        </w:trPr>
        <w:tc>
          <w:tcPr>
            <w:tcW w:w="2484"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21"/>
              </w:rPr>
            </w:pPr>
          </w:p>
          <w:p>
            <w:pPr>
              <w:pStyle w:val="TableParagraph"/>
              <w:ind w:left="107" w:right="460"/>
              <w:rPr>
                <w:sz w:val="22"/>
              </w:rPr>
            </w:pPr>
            <w:r>
              <w:rPr>
                <w:sz w:val="22"/>
              </w:rPr>
              <w:t>AFDC-Poverty</w:t>
            </w:r>
            <w:r>
              <w:rPr>
                <w:spacing w:val="-14"/>
                <w:sz w:val="22"/>
              </w:rPr>
              <w:t> </w:t>
            </w:r>
            <w:r>
              <w:rPr>
                <w:sz w:val="22"/>
              </w:rPr>
              <w:t>Level </w:t>
            </w:r>
            <w:r>
              <w:rPr>
                <w:spacing w:val="-2"/>
                <w:sz w:val="22"/>
              </w:rPr>
              <w:t>Children</w:t>
            </w:r>
          </w:p>
          <w:p>
            <w:pPr>
              <w:pStyle w:val="TableParagraph"/>
              <w:spacing w:before="10"/>
              <w:rPr>
                <w:sz w:val="21"/>
              </w:rPr>
            </w:pPr>
          </w:p>
          <w:p>
            <w:pPr>
              <w:pStyle w:val="TableParagraph"/>
              <w:spacing w:before="1"/>
              <w:ind w:left="107" w:right="546"/>
              <w:rPr>
                <w:sz w:val="22"/>
              </w:rPr>
            </w:pPr>
            <w:r>
              <w:rPr>
                <w:sz w:val="22"/>
              </w:rPr>
              <w:t>Medicaid</w:t>
            </w:r>
            <w:r>
              <w:rPr>
                <w:spacing w:val="-14"/>
                <w:sz w:val="22"/>
              </w:rPr>
              <w:t> </w:t>
            </w:r>
            <w:r>
              <w:rPr>
                <w:sz w:val="22"/>
              </w:rPr>
              <w:t>Expansion Children I</w:t>
            </w:r>
          </w:p>
        </w:tc>
        <w:tc>
          <w:tcPr>
            <w:tcW w:w="2042"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8"/>
              <w:rPr>
                <w:sz w:val="21"/>
              </w:rPr>
            </w:pPr>
          </w:p>
          <w:p>
            <w:pPr>
              <w:pStyle w:val="TableParagraph"/>
              <w:spacing w:line="252" w:lineRule="exact" w:before="1"/>
              <w:ind w:left="107"/>
              <w:rPr>
                <w:sz w:val="22"/>
              </w:rPr>
            </w:pPr>
            <w:r>
              <w:rPr>
                <w:sz w:val="22"/>
              </w:rPr>
              <w:t>Age</w:t>
            </w:r>
            <w:r>
              <w:rPr>
                <w:spacing w:val="-2"/>
                <w:sz w:val="22"/>
              </w:rPr>
              <w:t> </w:t>
            </w:r>
            <w:r>
              <w:rPr>
                <w:sz w:val="22"/>
              </w:rPr>
              <w:t>6</w:t>
            </w:r>
            <w:r>
              <w:rPr>
                <w:spacing w:val="1"/>
                <w:sz w:val="22"/>
              </w:rPr>
              <w:t> </w:t>
            </w:r>
            <w:r>
              <w:rPr>
                <w:sz w:val="22"/>
              </w:rPr>
              <w:t>-</w:t>
            </w:r>
            <w:r>
              <w:rPr>
                <w:spacing w:val="-5"/>
                <w:sz w:val="22"/>
              </w:rPr>
              <w:t> </w:t>
            </w:r>
            <w:r>
              <w:rPr>
                <w:sz w:val="22"/>
              </w:rPr>
              <w:t>17:</w:t>
            </w:r>
            <w:r>
              <w:rPr>
                <w:spacing w:val="-5"/>
                <w:sz w:val="22"/>
              </w:rPr>
              <w:t> </w:t>
            </w:r>
            <w:r>
              <w:rPr>
                <w:spacing w:val="-2"/>
                <w:sz w:val="22"/>
              </w:rPr>
              <w:t>114.1%</w:t>
            </w:r>
          </w:p>
          <w:p>
            <w:pPr>
              <w:pStyle w:val="TableParagraph"/>
              <w:spacing w:line="252" w:lineRule="exact"/>
              <w:ind w:left="107"/>
              <w:rPr>
                <w:sz w:val="22"/>
              </w:rPr>
            </w:pPr>
            <w:r>
              <w:rPr>
                <w:sz w:val="22"/>
              </w:rPr>
              <w:t>through</w:t>
            </w:r>
            <w:r>
              <w:rPr>
                <w:spacing w:val="-2"/>
                <w:sz w:val="22"/>
              </w:rPr>
              <w:t> </w:t>
            </w:r>
            <w:r>
              <w:rPr>
                <w:spacing w:val="-4"/>
                <w:sz w:val="22"/>
              </w:rPr>
              <w:t>133%</w:t>
            </w:r>
          </w:p>
          <w:p>
            <w:pPr>
              <w:pStyle w:val="TableParagraph"/>
              <w:rPr>
                <w:sz w:val="22"/>
              </w:rPr>
            </w:pPr>
          </w:p>
          <w:p>
            <w:pPr>
              <w:pStyle w:val="TableParagraph"/>
              <w:ind w:left="107"/>
              <w:rPr>
                <w:sz w:val="22"/>
              </w:rPr>
            </w:pPr>
            <w:r>
              <w:rPr>
                <w:sz w:val="22"/>
              </w:rPr>
              <w:t>Age</w:t>
            </w:r>
            <w:r>
              <w:rPr>
                <w:spacing w:val="-2"/>
                <w:sz w:val="22"/>
              </w:rPr>
              <w:t> </w:t>
            </w:r>
            <w:r>
              <w:rPr>
                <w:sz w:val="22"/>
              </w:rPr>
              <w:t>18:</w:t>
            </w:r>
            <w:r>
              <w:rPr>
                <w:spacing w:val="-1"/>
                <w:sz w:val="22"/>
              </w:rPr>
              <w:t> </w:t>
            </w:r>
            <w:r>
              <w:rPr>
                <w:sz w:val="22"/>
              </w:rPr>
              <w:t>0</w:t>
            </w:r>
            <w:r>
              <w:rPr>
                <w:spacing w:val="-1"/>
                <w:sz w:val="22"/>
              </w:rPr>
              <w:t> </w:t>
            </w:r>
            <w:r>
              <w:rPr>
                <w:spacing w:val="-2"/>
                <w:sz w:val="22"/>
              </w:rPr>
              <w:t>through</w:t>
            </w:r>
          </w:p>
          <w:p>
            <w:pPr>
              <w:pStyle w:val="TableParagraph"/>
              <w:spacing w:before="1"/>
              <w:ind w:left="107"/>
              <w:rPr>
                <w:sz w:val="22"/>
              </w:rPr>
            </w:pPr>
            <w:r>
              <w:rPr>
                <w:spacing w:val="-4"/>
                <w:sz w:val="22"/>
              </w:rPr>
              <w:t>133%</w:t>
            </w:r>
          </w:p>
        </w:tc>
        <w:tc>
          <w:tcPr>
            <w:tcW w:w="2037" w:type="dxa"/>
          </w:tcPr>
          <w:p>
            <w:pPr>
              <w:pStyle w:val="TableParagraph"/>
              <w:numPr>
                <w:ilvl w:val="0"/>
                <w:numId w:val="6"/>
              </w:numPr>
              <w:tabs>
                <w:tab w:pos="468" w:val="left" w:leader="none"/>
              </w:tabs>
              <w:spacing w:line="240" w:lineRule="auto" w:before="0" w:after="0"/>
              <w:ind w:left="468" w:right="369" w:hanging="360"/>
              <w:jc w:val="left"/>
              <w:rPr>
                <w:rFonts w:ascii="Symbol" w:hAnsi="Symbol"/>
                <w:sz w:val="22"/>
              </w:rPr>
            </w:pPr>
            <w:r>
              <w:rPr>
                <w:sz w:val="22"/>
              </w:rPr>
              <w:t>Title XIX if insured</w:t>
            </w:r>
            <w:r>
              <w:rPr>
                <w:spacing w:val="-14"/>
                <w:sz w:val="22"/>
              </w:rPr>
              <w:t> </w:t>
            </w:r>
            <w:r>
              <w:rPr>
                <w:sz w:val="22"/>
              </w:rPr>
              <w:t>at</w:t>
            </w:r>
            <w:r>
              <w:rPr>
                <w:spacing w:val="-14"/>
                <w:sz w:val="22"/>
              </w:rPr>
              <w:t> </w:t>
            </w:r>
            <w:r>
              <w:rPr>
                <w:sz w:val="22"/>
              </w:rPr>
              <w:t>the time of </w:t>
            </w:r>
            <w:r>
              <w:rPr>
                <w:spacing w:val="-2"/>
                <w:sz w:val="22"/>
              </w:rPr>
              <w:t>application</w:t>
            </w:r>
          </w:p>
          <w:p>
            <w:pPr>
              <w:pStyle w:val="TableParagraph"/>
              <w:numPr>
                <w:ilvl w:val="0"/>
                <w:numId w:val="6"/>
              </w:numPr>
              <w:tabs>
                <w:tab w:pos="468" w:val="left" w:leader="none"/>
              </w:tabs>
              <w:spacing w:line="240" w:lineRule="auto" w:before="0" w:after="0"/>
              <w:ind w:left="468" w:right="148" w:hanging="360"/>
              <w:jc w:val="left"/>
              <w:rPr>
                <w:rFonts w:ascii="Symbol" w:hAnsi="Symbol"/>
                <w:sz w:val="24"/>
              </w:rPr>
            </w:pPr>
            <w:r>
              <w:rPr>
                <w:sz w:val="22"/>
              </w:rPr>
              <w:t>Title XXI if uninsured</w:t>
            </w:r>
            <w:r>
              <w:rPr>
                <w:spacing w:val="-14"/>
                <w:sz w:val="22"/>
              </w:rPr>
              <w:t> </w:t>
            </w:r>
            <w:r>
              <w:rPr>
                <w:sz w:val="22"/>
              </w:rPr>
              <w:t>at</w:t>
            </w:r>
            <w:r>
              <w:rPr>
                <w:spacing w:val="-14"/>
                <w:sz w:val="22"/>
              </w:rPr>
              <w:t> </w:t>
            </w:r>
            <w:r>
              <w:rPr>
                <w:sz w:val="22"/>
              </w:rPr>
              <w:t>the </w:t>
            </w:r>
            <w:r>
              <w:rPr>
                <w:sz w:val="24"/>
              </w:rPr>
              <w:t>time of application as a Medicaid </w:t>
            </w:r>
            <w:r>
              <w:rPr>
                <w:spacing w:val="-2"/>
                <w:sz w:val="24"/>
              </w:rPr>
              <w:t>Expansion Child</w:t>
            </w:r>
          </w:p>
          <w:p>
            <w:pPr>
              <w:pStyle w:val="TableParagraph"/>
              <w:numPr>
                <w:ilvl w:val="0"/>
                <w:numId w:val="6"/>
              </w:numPr>
              <w:tabs>
                <w:tab w:pos="466" w:val="left" w:leader="none"/>
                <w:tab w:pos="468" w:val="left" w:leader="none"/>
              </w:tabs>
              <w:spacing w:line="237" w:lineRule="auto" w:before="0" w:after="0"/>
              <w:ind w:left="468" w:right="162" w:hanging="361"/>
              <w:jc w:val="both"/>
              <w:rPr>
                <w:rFonts w:ascii="Symbol" w:hAnsi="Symbol"/>
                <w:sz w:val="22"/>
              </w:rPr>
            </w:pPr>
            <w:r>
              <w:rPr>
                <w:sz w:val="22"/>
              </w:rPr>
              <w:t>Funded</w:t>
            </w:r>
            <w:r>
              <w:rPr>
                <w:spacing w:val="-14"/>
                <w:sz w:val="22"/>
              </w:rPr>
              <w:t> </w:t>
            </w:r>
            <w:r>
              <w:rPr>
                <w:sz w:val="22"/>
              </w:rPr>
              <w:t>through title</w:t>
            </w:r>
            <w:r>
              <w:rPr>
                <w:spacing w:val="-8"/>
                <w:sz w:val="22"/>
              </w:rPr>
              <w:t> </w:t>
            </w:r>
            <w:r>
              <w:rPr>
                <w:sz w:val="22"/>
              </w:rPr>
              <w:t>XIX</w:t>
            </w:r>
            <w:r>
              <w:rPr>
                <w:spacing w:val="-6"/>
                <w:sz w:val="22"/>
              </w:rPr>
              <w:t> </w:t>
            </w:r>
            <w:r>
              <w:rPr>
                <w:sz w:val="22"/>
              </w:rPr>
              <w:t>if</w:t>
            </w:r>
            <w:r>
              <w:rPr>
                <w:spacing w:val="-6"/>
                <w:sz w:val="22"/>
              </w:rPr>
              <w:t> </w:t>
            </w:r>
            <w:r>
              <w:rPr>
                <w:sz w:val="22"/>
              </w:rPr>
              <w:t>title XXI is</w:t>
            </w:r>
          </w:p>
          <w:p>
            <w:pPr>
              <w:pStyle w:val="TableParagraph"/>
              <w:spacing w:line="233" w:lineRule="exact"/>
              <w:ind w:left="468"/>
              <w:rPr>
                <w:sz w:val="22"/>
              </w:rPr>
            </w:pPr>
            <w:r>
              <w:rPr>
                <w:spacing w:val="-2"/>
                <w:sz w:val="22"/>
              </w:rPr>
              <w:t>exhausted</w:t>
            </w:r>
          </w:p>
        </w:tc>
        <w:tc>
          <w:tcPr>
            <w:tcW w:w="1667"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32"/>
              </w:rPr>
            </w:pPr>
          </w:p>
          <w:p>
            <w:pPr>
              <w:pStyle w:val="TableParagraph"/>
              <w:ind w:left="108"/>
              <w:rPr>
                <w:sz w:val="22"/>
              </w:rPr>
            </w:pPr>
            <w:r>
              <w:rPr>
                <w:sz w:val="22"/>
              </w:rPr>
              <w:t>Base</w:t>
            </w:r>
            <w:r>
              <w:rPr>
                <w:spacing w:val="-3"/>
                <w:sz w:val="22"/>
              </w:rPr>
              <w:t> </w:t>
            </w:r>
            <w:r>
              <w:rPr>
                <w:spacing w:val="-2"/>
                <w:sz w:val="22"/>
              </w:rPr>
              <w:t>Families</w:t>
            </w:r>
          </w:p>
          <w:p>
            <w:pPr>
              <w:pStyle w:val="TableParagraph"/>
              <w:spacing w:before="1"/>
              <w:rPr>
                <w:sz w:val="22"/>
              </w:rPr>
            </w:pPr>
          </w:p>
          <w:p>
            <w:pPr>
              <w:pStyle w:val="TableParagraph"/>
              <w:ind w:left="108" w:right="180"/>
              <w:rPr>
                <w:sz w:val="22"/>
              </w:rPr>
            </w:pPr>
            <w:r>
              <w:rPr>
                <w:sz w:val="22"/>
              </w:rPr>
              <w:t>Bas</w:t>
            </w:r>
            <w:r>
              <w:rPr>
                <w:spacing w:val="-14"/>
                <w:sz w:val="22"/>
              </w:rPr>
              <w:t> </w:t>
            </w:r>
            <w:r>
              <w:rPr>
                <w:sz w:val="22"/>
              </w:rPr>
              <w:t>Fam</w:t>
            </w:r>
            <w:r>
              <w:rPr>
                <w:spacing w:val="-14"/>
                <w:sz w:val="22"/>
              </w:rPr>
              <w:t> </w:t>
            </w:r>
            <w:r>
              <w:rPr>
                <w:sz w:val="22"/>
              </w:rPr>
              <w:t>XXI </w:t>
            </w:r>
            <w:r>
              <w:rPr>
                <w:spacing w:val="-6"/>
                <w:sz w:val="22"/>
              </w:rPr>
              <w:t>RO</w:t>
            </w:r>
          </w:p>
        </w:tc>
        <w:tc>
          <w:tcPr>
            <w:tcW w:w="1948"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05"/>
              <w:ind w:left="109"/>
              <w:rPr>
                <w:sz w:val="22"/>
              </w:rPr>
            </w:pPr>
            <w:r>
              <w:rPr>
                <w:spacing w:val="-2"/>
                <w:sz w:val="22"/>
              </w:rPr>
              <w:t>Standard</w:t>
            </w:r>
          </w:p>
        </w:tc>
        <w:tc>
          <w:tcPr>
            <w:tcW w:w="2769" w:type="dxa"/>
          </w:tcPr>
          <w:p>
            <w:pPr>
              <w:pStyle w:val="TableParagraph"/>
              <w:ind w:left="110" w:right="127"/>
              <w:rPr>
                <w:sz w:val="22"/>
              </w:rPr>
            </w:pPr>
            <w:r>
              <w:rPr>
                <w:sz w:val="22"/>
              </w:rPr>
              <w:t>Medicaid</w:t>
            </w:r>
            <w:r>
              <w:rPr>
                <w:spacing w:val="-13"/>
                <w:sz w:val="22"/>
              </w:rPr>
              <w:t> </w:t>
            </w:r>
            <w:r>
              <w:rPr>
                <w:sz w:val="22"/>
              </w:rPr>
              <w:t>Expansion</w:t>
            </w:r>
            <w:r>
              <w:rPr>
                <w:spacing w:val="-13"/>
                <w:sz w:val="22"/>
              </w:rPr>
              <w:t> </w:t>
            </w:r>
            <w:r>
              <w:rPr>
                <w:sz w:val="22"/>
              </w:rPr>
              <w:t>child</w:t>
            </w:r>
            <w:r>
              <w:rPr>
                <w:spacing w:val="-13"/>
                <w:sz w:val="22"/>
              </w:rPr>
              <w:t> </w:t>
            </w:r>
            <w:r>
              <w:rPr>
                <w:sz w:val="22"/>
              </w:rPr>
              <w:t>is described both in the Title XXI plan and authorized under this 1115 demonstration, including premium assistance for ESI or direct benefits.</w:t>
            </w:r>
          </w:p>
        </w:tc>
      </w:tr>
      <w:tr>
        <w:trPr>
          <w:trHeight w:val="2562" w:hRule="atLeast"/>
        </w:trPr>
        <w:tc>
          <w:tcPr>
            <w:tcW w:w="2484" w:type="dxa"/>
          </w:tcPr>
          <w:p>
            <w:pPr>
              <w:pStyle w:val="TableParagraph"/>
              <w:rPr>
                <w:sz w:val="24"/>
              </w:rPr>
            </w:pPr>
          </w:p>
          <w:p>
            <w:pPr>
              <w:pStyle w:val="TableParagraph"/>
              <w:rPr>
                <w:sz w:val="24"/>
              </w:rPr>
            </w:pPr>
          </w:p>
          <w:p>
            <w:pPr>
              <w:pStyle w:val="TableParagraph"/>
              <w:rPr>
                <w:sz w:val="24"/>
              </w:rPr>
            </w:pPr>
          </w:p>
          <w:p>
            <w:pPr>
              <w:pStyle w:val="TableParagraph"/>
              <w:spacing w:before="200"/>
              <w:ind w:left="107" w:right="546"/>
              <w:rPr>
                <w:sz w:val="22"/>
              </w:rPr>
            </w:pPr>
            <w:r>
              <w:rPr>
                <w:sz w:val="22"/>
              </w:rPr>
              <w:t>Medicaid</w:t>
            </w:r>
            <w:r>
              <w:rPr>
                <w:spacing w:val="-14"/>
                <w:sz w:val="22"/>
              </w:rPr>
              <w:t> </w:t>
            </w:r>
            <w:r>
              <w:rPr>
                <w:sz w:val="22"/>
              </w:rPr>
              <w:t>Expansion Children II</w:t>
            </w:r>
          </w:p>
        </w:tc>
        <w:tc>
          <w:tcPr>
            <w:tcW w:w="2042" w:type="dxa"/>
          </w:tcPr>
          <w:p>
            <w:pPr>
              <w:pStyle w:val="TableParagraph"/>
              <w:rPr>
                <w:sz w:val="24"/>
              </w:rPr>
            </w:pPr>
          </w:p>
          <w:p>
            <w:pPr>
              <w:pStyle w:val="TableParagraph"/>
              <w:rPr>
                <w:sz w:val="24"/>
              </w:rPr>
            </w:pPr>
          </w:p>
          <w:p>
            <w:pPr>
              <w:pStyle w:val="TableParagraph"/>
              <w:rPr>
                <w:sz w:val="24"/>
              </w:rPr>
            </w:pPr>
          </w:p>
          <w:p>
            <w:pPr>
              <w:pStyle w:val="TableParagraph"/>
              <w:spacing w:line="252" w:lineRule="exact" w:before="200"/>
              <w:ind w:left="107"/>
              <w:rPr>
                <w:sz w:val="22"/>
              </w:rPr>
            </w:pPr>
            <w:r>
              <w:rPr>
                <w:sz w:val="22"/>
              </w:rPr>
              <w:t>Ages</w:t>
            </w:r>
            <w:r>
              <w:rPr>
                <w:spacing w:val="-2"/>
                <w:sz w:val="22"/>
              </w:rPr>
              <w:t> </w:t>
            </w:r>
            <w:r>
              <w:rPr>
                <w:sz w:val="22"/>
              </w:rPr>
              <w:t>1</w:t>
            </w:r>
            <w:r>
              <w:rPr>
                <w:spacing w:val="1"/>
                <w:sz w:val="22"/>
              </w:rPr>
              <w:t> </w:t>
            </w:r>
            <w:r>
              <w:rPr>
                <w:sz w:val="22"/>
              </w:rPr>
              <w:t>-</w:t>
            </w:r>
            <w:r>
              <w:rPr>
                <w:spacing w:val="-5"/>
                <w:sz w:val="22"/>
              </w:rPr>
              <w:t> </w:t>
            </w:r>
            <w:r>
              <w:rPr>
                <w:sz w:val="22"/>
              </w:rPr>
              <w:t>18: </w:t>
            </w:r>
            <w:r>
              <w:rPr>
                <w:spacing w:val="-2"/>
                <w:sz w:val="22"/>
              </w:rPr>
              <w:t>133.1</w:t>
            </w:r>
          </w:p>
          <w:p>
            <w:pPr>
              <w:pStyle w:val="TableParagraph"/>
              <w:spacing w:line="252" w:lineRule="exact"/>
              <w:ind w:left="107"/>
              <w:rPr>
                <w:sz w:val="22"/>
              </w:rPr>
            </w:pPr>
            <w:r>
              <w:rPr>
                <w:sz w:val="22"/>
              </w:rPr>
              <w:t>through</w:t>
            </w:r>
            <w:r>
              <w:rPr>
                <w:spacing w:val="-2"/>
                <w:sz w:val="22"/>
              </w:rPr>
              <w:t> </w:t>
            </w:r>
            <w:r>
              <w:rPr>
                <w:spacing w:val="-4"/>
                <w:sz w:val="22"/>
              </w:rPr>
              <w:t>150%</w:t>
            </w:r>
          </w:p>
        </w:tc>
        <w:tc>
          <w:tcPr>
            <w:tcW w:w="2037" w:type="dxa"/>
          </w:tcPr>
          <w:p>
            <w:pPr>
              <w:pStyle w:val="TableParagraph"/>
              <w:numPr>
                <w:ilvl w:val="0"/>
                <w:numId w:val="7"/>
              </w:numPr>
              <w:tabs>
                <w:tab w:pos="468" w:val="left" w:leader="none"/>
              </w:tabs>
              <w:spacing w:line="240" w:lineRule="auto" w:before="0" w:after="0"/>
              <w:ind w:left="468" w:right="369" w:hanging="360"/>
              <w:jc w:val="left"/>
              <w:rPr>
                <w:sz w:val="22"/>
              </w:rPr>
            </w:pPr>
            <w:r>
              <w:rPr>
                <w:sz w:val="22"/>
              </w:rPr>
              <w:t>Title XIX if insured</w:t>
            </w:r>
            <w:r>
              <w:rPr>
                <w:spacing w:val="-14"/>
                <w:sz w:val="22"/>
              </w:rPr>
              <w:t> </w:t>
            </w:r>
            <w:r>
              <w:rPr>
                <w:sz w:val="22"/>
              </w:rPr>
              <w:t>at</w:t>
            </w:r>
            <w:r>
              <w:rPr>
                <w:spacing w:val="-14"/>
                <w:sz w:val="22"/>
              </w:rPr>
              <w:t> </w:t>
            </w:r>
            <w:r>
              <w:rPr>
                <w:sz w:val="22"/>
              </w:rPr>
              <w:t>the time of </w:t>
            </w:r>
            <w:r>
              <w:rPr>
                <w:spacing w:val="-2"/>
                <w:sz w:val="22"/>
              </w:rPr>
              <w:t>application</w:t>
            </w:r>
          </w:p>
          <w:p>
            <w:pPr>
              <w:pStyle w:val="TableParagraph"/>
              <w:numPr>
                <w:ilvl w:val="0"/>
                <w:numId w:val="7"/>
              </w:numPr>
              <w:tabs>
                <w:tab w:pos="468" w:val="left" w:leader="none"/>
              </w:tabs>
              <w:spacing w:line="240" w:lineRule="auto" w:before="0" w:after="0"/>
              <w:ind w:left="468" w:right="131" w:hanging="361"/>
              <w:jc w:val="left"/>
              <w:rPr>
                <w:sz w:val="22"/>
              </w:rPr>
            </w:pPr>
            <w:r>
              <w:rPr>
                <w:sz w:val="22"/>
              </w:rPr>
              <w:t>Title XXI if uninsured</w:t>
            </w:r>
            <w:r>
              <w:rPr>
                <w:spacing w:val="-10"/>
                <w:sz w:val="22"/>
              </w:rPr>
              <w:t> </w:t>
            </w:r>
            <w:r>
              <w:rPr>
                <w:sz w:val="22"/>
              </w:rPr>
              <w:t>at</w:t>
            </w:r>
            <w:r>
              <w:rPr>
                <w:spacing w:val="-9"/>
                <w:sz w:val="22"/>
              </w:rPr>
              <w:t> </w:t>
            </w:r>
            <w:r>
              <w:rPr>
                <w:sz w:val="22"/>
              </w:rPr>
              <w:t>the time of application,</w:t>
            </w:r>
            <w:r>
              <w:rPr>
                <w:spacing w:val="-14"/>
                <w:sz w:val="22"/>
              </w:rPr>
              <w:t> </w:t>
            </w:r>
            <w:r>
              <w:rPr>
                <w:sz w:val="22"/>
              </w:rPr>
              <w:t>as</w:t>
            </w:r>
            <w:r>
              <w:rPr>
                <w:spacing w:val="-14"/>
                <w:sz w:val="22"/>
              </w:rPr>
              <w:t> </w:t>
            </w:r>
            <w:r>
              <w:rPr>
                <w:sz w:val="22"/>
              </w:rPr>
              <w:t>a </w:t>
            </w:r>
            <w:r>
              <w:rPr>
                <w:spacing w:val="-2"/>
                <w:sz w:val="22"/>
              </w:rPr>
              <w:t>Medicaid</w:t>
            </w:r>
          </w:p>
          <w:p>
            <w:pPr>
              <w:pStyle w:val="TableParagraph"/>
              <w:spacing w:line="232" w:lineRule="exact"/>
              <w:ind w:left="468"/>
              <w:rPr>
                <w:sz w:val="22"/>
              </w:rPr>
            </w:pPr>
            <w:r>
              <w:rPr>
                <w:sz w:val="22"/>
              </w:rPr>
              <w:t>expansion</w:t>
            </w:r>
            <w:r>
              <w:rPr>
                <w:spacing w:val="-5"/>
                <w:sz w:val="22"/>
              </w:rPr>
              <w:t> </w:t>
            </w:r>
            <w:r>
              <w:rPr>
                <w:spacing w:val="-2"/>
                <w:sz w:val="22"/>
              </w:rPr>
              <w:t>child</w:t>
            </w:r>
          </w:p>
        </w:tc>
        <w:tc>
          <w:tcPr>
            <w:tcW w:w="1667" w:type="dxa"/>
          </w:tcPr>
          <w:p>
            <w:pPr>
              <w:pStyle w:val="TableParagraph"/>
              <w:rPr>
                <w:sz w:val="24"/>
              </w:rPr>
            </w:pPr>
          </w:p>
          <w:p>
            <w:pPr>
              <w:pStyle w:val="TableParagraph"/>
              <w:spacing w:before="2"/>
              <w:rPr>
                <w:sz w:val="32"/>
              </w:rPr>
            </w:pPr>
          </w:p>
          <w:p>
            <w:pPr>
              <w:pStyle w:val="TableParagraph"/>
              <w:ind w:left="108"/>
              <w:rPr>
                <w:sz w:val="22"/>
              </w:rPr>
            </w:pPr>
            <w:r>
              <w:rPr>
                <w:spacing w:val="-2"/>
                <w:sz w:val="22"/>
              </w:rPr>
              <w:t>1902(r)(2)</w:t>
            </w:r>
          </w:p>
          <w:p>
            <w:pPr>
              <w:pStyle w:val="TableParagraph"/>
              <w:spacing w:before="2"/>
              <w:ind w:left="108"/>
              <w:rPr>
                <w:sz w:val="22"/>
              </w:rPr>
            </w:pPr>
            <w:r>
              <w:rPr>
                <w:spacing w:val="-2"/>
                <w:sz w:val="22"/>
              </w:rPr>
              <w:t>Children</w:t>
            </w:r>
          </w:p>
          <w:p>
            <w:pPr>
              <w:pStyle w:val="TableParagraph"/>
              <w:rPr>
                <w:sz w:val="22"/>
              </w:rPr>
            </w:pPr>
          </w:p>
          <w:p>
            <w:pPr>
              <w:pStyle w:val="TableParagraph"/>
              <w:ind w:left="108" w:right="180"/>
              <w:rPr>
                <w:sz w:val="22"/>
              </w:rPr>
            </w:pPr>
            <w:r>
              <w:rPr>
                <w:sz w:val="22"/>
              </w:rPr>
              <w:t>1902(r)(2)</w:t>
            </w:r>
            <w:r>
              <w:rPr>
                <w:spacing w:val="-14"/>
                <w:sz w:val="22"/>
              </w:rPr>
              <w:t> </w:t>
            </w:r>
            <w:r>
              <w:rPr>
                <w:sz w:val="22"/>
              </w:rPr>
              <w:t>XXI </w:t>
            </w:r>
            <w:r>
              <w:rPr>
                <w:spacing w:val="-6"/>
                <w:sz w:val="22"/>
              </w:rPr>
              <w:t>RO</w:t>
            </w:r>
          </w:p>
        </w:tc>
        <w:tc>
          <w:tcPr>
            <w:tcW w:w="1948" w:type="dxa"/>
          </w:tcPr>
          <w:p>
            <w:pPr>
              <w:pStyle w:val="TableParagraph"/>
              <w:rPr>
                <w:sz w:val="24"/>
              </w:rPr>
            </w:pPr>
          </w:p>
          <w:p>
            <w:pPr>
              <w:pStyle w:val="TableParagraph"/>
              <w:rPr>
                <w:sz w:val="24"/>
              </w:rPr>
            </w:pPr>
          </w:p>
          <w:p>
            <w:pPr>
              <w:pStyle w:val="TableParagraph"/>
              <w:rPr>
                <w:sz w:val="24"/>
              </w:rPr>
            </w:pPr>
          </w:p>
          <w:p>
            <w:pPr>
              <w:pStyle w:val="TableParagraph"/>
              <w:spacing w:before="2"/>
              <w:rPr>
                <w:sz w:val="28"/>
              </w:rPr>
            </w:pPr>
          </w:p>
          <w:p>
            <w:pPr>
              <w:pStyle w:val="TableParagraph"/>
              <w:spacing w:before="1"/>
              <w:ind w:left="109"/>
              <w:rPr>
                <w:sz w:val="22"/>
              </w:rPr>
            </w:pPr>
            <w:r>
              <w:rPr>
                <w:spacing w:val="-2"/>
                <w:sz w:val="22"/>
              </w:rPr>
              <w:t>Standard</w:t>
            </w:r>
          </w:p>
        </w:tc>
        <w:tc>
          <w:tcPr>
            <w:tcW w:w="2769" w:type="dxa"/>
          </w:tcPr>
          <w:p>
            <w:pPr>
              <w:pStyle w:val="TableParagraph"/>
              <w:spacing w:before="3"/>
              <w:rPr>
                <w:sz w:val="34"/>
              </w:rPr>
            </w:pPr>
          </w:p>
          <w:p>
            <w:pPr>
              <w:pStyle w:val="TableParagraph"/>
              <w:ind w:left="110" w:right="127"/>
              <w:rPr>
                <w:sz w:val="22"/>
              </w:rPr>
            </w:pPr>
            <w:r>
              <w:rPr>
                <w:sz w:val="22"/>
              </w:rPr>
              <w:t>Medicaid</w:t>
            </w:r>
            <w:r>
              <w:rPr>
                <w:spacing w:val="-13"/>
                <w:sz w:val="22"/>
              </w:rPr>
              <w:t> </w:t>
            </w:r>
            <w:r>
              <w:rPr>
                <w:sz w:val="22"/>
              </w:rPr>
              <w:t>Expansion</w:t>
            </w:r>
            <w:r>
              <w:rPr>
                <w:spacing w:val="-13"/>
                <w:sz w:val="22"/>
              </w:rPr>
              <w:t> </w:t>
            </w:r>
            <w:r>
              <w:rPr>
                <w:sz w:val="22"/>
              </w:rPr>
              <w:t>child</w:t>
            </w:r>
            <w:r>
              <w:rPr>
                <w:spacing w:val="-13"/>
                <w:sz w:val="22"/>
              </w:rPr>
              <w:t> </w:t>
            </w:r>
            <w:r>
              <w:rPr>
                <w:sz w:val="22"/>
              </w:rPr>
              <w:t>is described both in the Title XXI plan and authorized under this 1115 demonstration including premium assistance for ESI or direct benefits.</w:t>
            </w:r>
          </w:p>
        </w:tc>
      </w:tr>
    </w:tbl>
    <w:p>
      <w:pPr>
        <w:spacing w:after="0"/>
        <w:rPr>
          <w:sz w:val="22"/>
        </w:rPr>
        <w:sectPr>
          <w:pgSz w:w="15840" w:h="12240" w:orient="landscape"/>
          <w:pgMar w:header="0" w:footer="1201" w:top="1380" w:bottom="1400" w:left="1320" w:right="1340"/>
        </w:sectPr>
      </w:pPr>
    </w:p>
    <w:p>
      <w:pPr>
        <w:pStyle w:val="BodyText"/>
        <w:spacing w:before="2"/>
        <w:rPr>
          <w:sz w:val="5"/>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4"/>
        <w:gridCol w:w="2042"/>
        <w:gridCol w:w="2037"/>
        <w:gridCol w:w="1667"/>
        <w:gridCol w:w="1948"/>
        <w:gridCol w:w="2769"/>
      </w:tblGrid>
      <w:tr>
        <w:trPr>
          <w:trHeight w:val="253" w:hRule="atLeast"/>
        </w:trPr>
        <w:tc>
          <w:tcPr>
            <w:tcW w:w="12947" w:type="dxa"/>
            <w:gridSpan w:val="6"/>
            <w:shd w:val="clear" w:color="auto" w:fill="DBE6F1"/>
          </w:tcPr>
          <w:p>
            <w:pPr>
              <w:pStyle w:val="TableParagraph"/>
              <w:spacing w:line="234" w:lineRule="exact"/>
              <w:ind w:left="4160" w:right="4148"/>
              <w:jc w:val="center"/>
              <w:rPr>
                <w:b/>
                <w:sz w:val="22"/>
              </w:rPr>
            </w:pPr>
            <w:r>
              <w:rPr>
                <w:b/>
                <w:sz w:val="22"/>
              </w:rPr>
              <w:t>Table</w:t>
            </w:r>
            <w:r>
              <w:rPr>
                <w:b/>
                <w:spacing w:val="-3"/>
                <w:sz w:val="22"/>
              </w:rPr>
              <w:t> </w:t>
            </w:r>
            <w:r>
              <w:rPr>
                <w:b/>
                <w:sz w:val="22"/>
              </w:rPr>
              <w:t>2:</w:t>
            </w:r>
            <w:r>
              <w:rPr>
                <w:b/>
                <w:spacing w:val="-2"/>
                <w:sz w:val="22"/>
              </w:rPr>
              <w:t> </w:t>
            </w:r>
            <w:r>
              <w:rPr>
                <w:b/>
                <w:sz w:val="22"/>
              </w:rPr>
              <w:t>MassHealth</w:t>
            </w:r>
            <w:r>
              <w:rPr>
                <w:b/>
                <w:spacing w:val="-4"/>
                <w:sz w:val="22"/>
              </w:rPr>
              <w:t> </w:t>
            </w:r>
            <w:r>
              <w:rPr>
                <w:b/>
                <w:sz w:val="22"/>
              </w:rPr>
              <w:t>State</w:t>
            </w:r>
            <w:r>
              <w:rPr>
                <w:b/>
                <w:spacing w:val="-3"/>
                <w:sz w:val="22"/>
              </w:rPr>
              <w:t> </w:t>
            </w:r>
            <w:r>
              <w:rPr>
                <w:b/>
                <w:sz w:val="22"/>
              </w:rPr>
              <w:t>Plan</w:t>
            </w:r>
            <w:r>
              <w:rPr>
                <w:b/>
                <w:spacing w:val="-6"/>
                <w:sz w:val="22"/>
              </w:rPr>
              <w:t> </w:t>
            </w:r>
            <w:r>
              <w:rPr>
                <w:b/>
                <w:sz w:val="22"/>
              </w:rPr>
              <w:t>Base</w:t>
            </w:r>
            <w:r>
              <w:rPr>
                <w:b/>
                <w:spacing w:val="-4"/>
                <w:sz w:val="22"/>
              </w:rPr>
              <w:t> </w:t>
            </w:r>
            <w:r>
              <w:rPr>
                <w:b/>
                <w:spacing w:val="-2"/>
                <w:sz w:val="22"/>
              </w:rPr>
              <w:t>Populations</w:t>
            </w:r>
          </w:p>
        </w:tc>
      </w:tr>
      <w:tr>
        <w:trPr>
          <w:trHeight w:val="1009" w:hRule="atLeast"/>
        </w:trPr>
        <w:tc>
          <w:tcPr>
            <w:tcW w:w="2484" w:type="dxa"/>
            <w:shd w:val="clear" w:color="auto" w:fill="DBE6F1"/>
          </w:tcPr>
          <w:p>
            <w:pPr>
              <w:pStyle w:val="TableParagraph"/>
              <w:ind w:left="112" w:right="100" w:hanging="2"/>
              <w:jc w:val="center"/>
              <w:rPr>
                <w:b/>
                <w:sz w:val="22"/>
              </w:rPr>
            </w:pPr>
            <w:r>
              <w:rPr>
                <w:b/>
                <w:sz w:val="22"/>
              </w:rPr>
              <w:t>Medicaid Mandatory and</w:t>
            </w:r>
            <w:r>
              <w:rPr>
                <w:b/>
                <w:spacing w:val="-12"/>
                <w:sz w:val="22"/>
              </w:rPr>
              <w:t> </w:t>
            </w:r>
            <w:r>
              <w:rPr>
                <w:b/>
                <w:sz w:val="22"/>
              </w:rPr>
              <w:t>Optional</w:t>
            </w:r>
            <w:r>
              <w:rPr>
                <w:b/>
                <w:spacing w:val="-10"/>
                <w:sz w:val="22"/>
              </w:rPr>
              <w:t> </w:t>
            </w:r>
            <w:r>
              <w:rPr>
                <w:b/>
                <w:sz w:val="22"/>
              </w:rPr>
              <w:t>State</w:t>
            </w:r>
            <w:r>
              <w:rPr>
                <w:b/>
                <w:spacing w:val="-13"/>
                <w:sz w:val="22"/>
              </w:rPr>
              <w:t> </w:t>
            </w:r>
            <w:r>
              <w:rPr>
                <w:b/>
                <w:sz w:val="22"/>
              </w:rPr>
              <w:t>Plan</w:t>
            </w:r>
          </w:p>
          <w:p>
            <w:pPr>
              <w:pStyle w:val="TableParagraph"/>
              <w:spacing w:line="252" w:lineRule="exact"/>
              <w:ind w:left="278" w:right="267"/>
              <w:jc w:val="center"/>
              <w:rPr>
                <w:b/>
                <w:sz w:val="22"/>
              </w:rPr>
            </w:pPr>
            <w:r>
              <w:rPr>
                <w:b/>
                <w:sz w:val="22"/>
              </w:rPr>
              <w:t>Groups</w:t>
            </w:r>
            <w:r>
              <w:rPr>
                <w:b/>
                <w:spacing w:val="-14"/>
                <w:sz w:val="22"/>
              </w:rPr>
              <w:t> </w:t>
            </w:r>
            <w:r>
              <w:rPr>
                <w:b/>
                <w:sz w:val="22"/>
              </w:rPr>
              <w:t>(Categorical </w:t>
            </w:r>
            <w:r>
              <w:rPr>
                <w:b/>
                <w:spacing w:val="-2"/>
                <w:sz w:val="22"/>
              </w:rPr>
              <w:t>Eligibility)</w:t>
            </w:r>
          </w:p>
        </w:tc>
        <w:tc>
          <w:tcPr>
            <w:tcW w:w="2042" w:type="dxa"/>
            <w:shd w:val="clear" w:color="auto" w:fill="DBE6F1"/>
          </w:tcPr>
          <w:p>
            <w:pPr>
              <w:pStyle w:val="TableParagraph"/>
              <w:ind w:left="115" w:right="103" w:firstLine="2"/>
              <w:jc w:val="center"/>
              <w:rPr>
                <w:b/>
                <w:sz w:val="22"/>
              </w:rPr>
            </w:pPr>
            <w:r>
              <w:rPr>
                <w:b/>
                <w:sz w:val="22"/>
              </w:rPr>
              <w:t>Federal Poverty Level</w:t>
            </w:r>
            <w:r>
              <w:rPr>
                <w:b/>
                <w:spacing w:val="-4"/>
                <w:sz w:val="22"/>
              </w:rPr>
              <w:t> </w:t>
            </w:r>
            <w:r>
              <w:rPr>
                <w:b/>
                <w:sz w:val="22"/>
              </w:rPr>
              <w:t>(FPL)</w:t>
            </w:r>
            <w:r>
              <w:rPr>
                <w:b/>
                <w:spacing w:val="-1"/>
                <w:sz w:val="22"/>
              </w:rPr>
              <w:t> </w:t>
            </w:r>
            <w:r>
              <w:rPr>
                <w:b/>
                <w:spacing w:val="-2"/>
                <w:sz w:val="22"/>
              </w:rPr>
              <w:t>and/or</w:t>
            </w:r>
          </w:p>
          <w:p>
            <w:pPr>
              <w:pStyle w:val="TableParagraph"/>
              <w:spacing w:line="252" w:lineRule="exact"/>
              <w:ind w:left="211" w:right="196"/>
              <w:jc w:val="center"/>
              <w:rPr>
                <w:b/>
                <w:sz w:val="22"/>
              </w:rPr>
            </w:pPr>
            <w:r>
              <w:rPr>
                <w:b/>
                <w:sz w:val="22"/>
              </w:rPr>
              <w:t>Other</w:t>
            </w:r>
            <w:r>
              <w:rPr>
                <w:b/>
                <w:spacing w:val="-14"/>
                <w:sz w:val="22"/>
              </w:rPr>
              <w:t> </w:t>
            </w:r>
            <w:r>
              <w:rPr>
                <w:b/>
                <w:sz w:val="22"/>
              </w:rPr>
              <w:t>Qualifying </w:t>
            </w:r>
            <w:r>
              <w:rPr>
                <w:b/>
                <w:spacing w:val="-2"/>
                <w:sz w:val="22"/>
              </w:rPr>
              <w:t>Criteria</w:t>
            </w:r>
          </w:p>
        </w:tc>
        <w:tc>
          <w:tcPr>
            <w:tcW w:w="2037" w:type="dxa"/>
            <w:shd w:val="clear" w:color="auto" w:fill="DBE6F1"/>
          </w:tcPr>
          <w:p>
            <w:pPr>
              <w:pStyle w:val="TableParagraph"/>
              <w:spacing w:before="9"/>
              <w:rPr>
                <w:sz w:val="32"/>
              </w:rPr>
            </w:pPr>
          </w:p>
          <w:p>
            <w:pPr>
              <w:pStyle w:val="TableParagraph"/>
              <w:ind w:left="249"/>
              <w:rPr>
                <w:b/>
                <w:sz w:val="22"/>
              </w:rPr>
            </w:pPr>
            <w:r>
              <w:rPr>
                <w:b/>
                <w:sz w:val="22"/>
              </w:rPr>
              <w:t>Funding</w:t>
            </w:r>
            <w:r>
              <w:rPr>
                <w:b/>
                <w:spacing w:val="-4"/>
                <w:sz w:val="22"/>
              </w:rPr>
              <w:t> </w:t>
            </w:r>
            <w:r>
              <w:rPr>
                <w:b/>
                <w:spacing w:val="-2"/>
                <w:sz w:val="22"/>
              </w:rPr>
              <w:t>Stream</w:t>
            </w:r>
          </w:p>
        </w:tc>
        <w:tc>
          <w:tcPr>
            <w:tcW w:w="1667" w:type="dxa"/>
            <w:shd w:val="clear" w:color="auto" w:fill="DBE6F1"/>
          </w:tcPr>
          <w:p>
            <w:pPr>
              <w:pStyle w:val="TableParagraph"/>
              <w:ind w:left="163" w:right="149" w:hanging="4"/>
              <w:jc w:val="center"/>
              <w:rPr>
                <w:b/>
                <w:sz w:val="22"/>
              </w:rPr>
            </w:pPr>
            <w:r>
              <w:rPr>
                <w:b/>
                <w:spacing w:val="-2"/>
                <w:sz w:val="22"/>
              </w:rPr>
              <w:t>Expenditure </w:t>
            </w:r>
            <w:r>
              <w:rPr>
                <w:b/>
                <w:sz w:val="22"/>
              </w:rPr>
              <w:t>and</w:t>
            </w:r>
            <w:r>
              <w:rPr>
                <w:b/>
                <w:spacing w:val="-2"/>
                <w:sz w:val="22"/>
              </w:rPr>
              <w:t> </w:t>
            </w:r>
            <w:r>
              <w:rPr>
                <w:b/>
                <w:spacing w:val="-2"/>
                <w:sz w:val="22"/>
              </w:rPr>
              <w:t>Eligibility</w:t>
            </w:r>
          </w:p>
          <w:p>
            <w:pPr>
              <w:pStyle w:val="TableParagraph"/>
              <w:spacing w:line="252" w:lineRule="exact"/>
              <w:ind w:left="262" w:right="249"/>
              <w:jc w:val="center"/>
              <w:rPr>
                <w:b/>
                <w:sz w:val="22"/>
              </w:rPr>
            </w:pPr>
            <w:r>
              <w:rPr>
                <w:b/>
                <w:sz w:val="22"/>
              </w:rPr>
              <w:t>Group</w:t>
            </w:r>
            <w:r>
              <w:rPr>
                <w:b/>
                <w:spacing w:val="-14"/>
                <w:sz w:val="22"/>
              </w:rPr>
              <w:t> </w:t>
            </w:r>
            <w:r>
              <w:rPr>
                <w:b/>
                <w:sz w:val="22"/>
              </w:rPr>
              <w:t>(EG) </w:t>
            </w:r>
            <w:r>
              <w:rPr>
                <w:b/>
                <w:spacing w:val="-2"/>
                <w:sz w:val="22"/>
              </w:rPr>
              <w:t>Reporting</w:t>
            </w:r>
          </w:p>
        </w:tc>
        <w:tc>
          <w:tcPr>
            <w:tcW w:w="1948" w:type="dxa"/>
            <w:shd w:val="clear" w:color="auto" w:fill="DBE6F1"/>
          </w:tcPr>
          <w:p>
            <w:pPr>
              <w:pStyle w:val="TableParagraph"/>
              <w:spacing w:before="123"/>
              <w:ind w:left="270" w:right="256" w:firstLine="2"/>
              <w:jc w:val="center"/>
              <w:rPr>
                <w:b/>
                <w:sz w:val="22"/>
              </w:rPr>
            </w:pPr>
            <w:r>
              <w:rPr>
                <w:b/>
                <w:spacing w:val="-2"/>
                <w:sz w:val="22"/>
              </w:rPr>
              <w:t>MassHealth Demonstration Program</w:t>
            </w:r>
          </w:p>
        </w:tc>
        <w:tc>
          <w:tcPr>
            <w:tcW w:w="2769" w:type="dxa"/>
            <w:shd w:val="clear" w:color="auto" w:fill="DBE6F1"/>
          </w:tcPr>
          <w:p>
            <w:pPr>
              <w:pStyle w:val="TableParagraph"/>
              <w:spacing w:before="9"/>
              <w:rPr>
                <w:sz w:val="32"/>
              </w:rPr>
            </w:pPr>
          </w:p>
          <w:p>
            <w:pPr>
              <w:pStyle w:val="TableParagraph"/>
              <w:ind w:right="860"/>
              <w:jc w:val="right"/>
              <w:rPr>
                <w:b/>
                <w:sz w:val="22"/>
              </w:rPr>
            </w:pPr>
            <w:r>
              <w:rPr>
                <w:b/>
                <w:spacing w:val="-2"/>
                <w:sz w:val="22"/>
              </w:rPr>
              <w:t>Comments</w:t>
            </w:r>
          </w:p>
        </w:tc>
      </w:tr>
      <w:tr>
        <w:trPr>
          <w:trHeight w:val="1029" w:hRule="atLeast"/>
        </w:trPr>
        <w:tc>
          <w:tcPr>
            <w:tcW w:w="2484" w:type="dxa"/>
          </w:tcPr>
          <w:p>
            <w:pPr>
              <w:pStyle w:val="TableParagraph"/>
              <w:rPr>
                <w:sz w:val="20"/>
              </w:rPr>
            </w:pPr>
          </w:p>
        </w:tc>
        <w:tc>
          <w:tcPr>
            <w:tcW w:w="2042" w:type="dxa"/>
          </w:tcPr>
          <w:p>
            <w:pPr>
              <w:pStyle w:val="TableParagraph"/>
              <w:rPr>
                <w:sz w:val="20"/>
              </w:rPr>
            </w:pPr>
          </w:p>
        </w:tc>
        <w:tc>
          <w:tcPr>
            <w:tcW w:w="2037" w:type="dxa"/>
          </w:tcPr>
          <w:p>
            <w:pPr>
              <w:pStyle w:val="TableParagraph"/>
              <w:numPr>
                <w:ilvl w:val="0"/>
                <w:numId w:val="8"/>
              </w:numPr>
              <w:tabs>
                <w:tab w:pos="468" w:val="left" w:leader="none"/>
              </w:tabs>
              <w:spacing w:line="252" w:lineRule="exact" w:before="1" w:after="0"/>
              <w:ind w:left="468" w:right="157" w:hanging="360"/>
              <w:jc w:val="left"/>
              <w:rPr>
                <w:sz w:val="22"/>
              </w:rPr>
            </w:pPr>
            <w:r>
              <w:rPr>
                <w:sz w:val="22"/>
              </w:rPr>
              <w:t>Funded</w:t>
            </w:r>
            <w:r>
              <w:rPr>
                <w:spacing w:val="-14"/>
                <w:sz w:val="22"/>
              </w:rPr>
              <w:t> </w:t>
            </w:r>
            <w:r>
              <w:rPr>
                <w:sz w:val="22"/>
              </w:rPr>
              <w:t>through title</w:t>
            </w:r>
            <w:r>
              <w:rPr>
                <w:spacing w:val="-7"/>
                <w:sz w:val="22"/>
              </w:rPr>
              <w:t> </w:t>
            </w:r>
            <w:r>
              <w:rPr>
                <w:sz w:val="22"/>
              </w:rPr>
              <w:t>XIX</w:t>
            </w:r>
            <w:r>
              <w:rPr>
                <w:spacing w:val="-4"/>
                <w:sz w:val="22"/>
              </w:rPr>
              <w:t> </w:t>
            </w:r>
            <w:r>
              <w:rPr>
                <w:sz w:val="22"/>
              </w:rPr>
              <w:t>if</w:t>
            </w:r>
            <w:r>
              <w:rPr>
                <w:spacing w:val="-4"/>
                <w:sz w:val="22"/>
              </w:rPr>
              <w:t> </w:t>
            </w:r>
            <w:r>
              <w:rPr>
                <w:sz w:val="22"/>
              </w:rPr>
              <w:t>title XXI is </w:t>
            </w:r>
            <w:r>
              <w:rPr>
                <w:spacing w:val="-2"/>
                <w:sz w:val="22"/>
              </w:rPr>
              <w:t>exhausted</w:t>
            </w:r>
          </w:p>
        </w:tc>
        <w:tc>
          <w:tcPr>
            <w:tcW w:w="1667" w:type="dxa"/>
          </w:tcPr>
          <w:p>
            <w:pPr>
              <w:pStyle w:val="TableParagraph"/>
              <w:rPr>
                <w:sz w:val="20"/>
              </w:rPr>
            </w:pPr>
          </w:p>
        </w:tc>
        <w:tc>
          <w:tcPr>
            <w:tcW w:w="1948" w:type="dxa"/>
          </w:tcPr>
          <w:p>
            <w:pPr>
              <w:pStyle w:val="TableParagraph"/>
              <w:rPr>
                <w:sz w:val="20"/>
              </w:rPr>
            </w:pPr>
          </w:p>
        </w:tc>
        <w:tc>
          <w:tcPr>
            <w:tcW w:w="2769" w:type="dxa"/>
          </w:tcPr>
          <w:p>
            <w:pPr>
              <w:pStyle w:val="TableParagraph"/>
              <w:rPr>
                <w:sz w:val="20"/>
              </w:rPr>
            </w:pPr>
          </w:p>
        </w:tc>
      </w:tr>
      <w:tr>
        <w:trPr>
          <w:trHeight w:val="505" w:hRule="atLeast"/>
        </w:trPr>
        <w:tc>
          <w:tcPr>
            <w:tcW w:w="2484" w:type="dxa"/>
          </w:tcPr>
          <w:p>
            <w:pPr>
              <w:pStyle w:val="TableParagraph"/>
              <w:spacing w:line="252" w:lineRule="exact"/>
              <w:ind w:left="107" w:right="546"/>
              <w:rPr>
                <w:sz w:val="22"/>
              </w:rPr>
            </w:pPr>
            <w:r>
              <w:rPr>
                <w:sz w:val="22"/>
              </w:rPr>
              <w:t>Medicaid</w:t>
            </w:r>
            <w:r>
              <w:rPr>
                <w:spacing w:val="-14"/>
                <w:sz w:val="22"/>
              </w:rPr>
              <w:t> </w:t>
            </w:r>
            <w:r>
              <w:rPr>
                <w:sz w:val="22"/>
              </w:rPr>
              <w:t>Expansion Children II</w:t>
            </w:r>
          </w:p>
        </w:tc>
        <w:tc>
          <w:tcPr>
            <w:tcW w:w="2042" w:type="dxa"/>
          </w:tcPr>
          <w:p>
            <w:pPr>
              <w:pStyle w:val="TableParagraph"/>
              <w:spacing w:line="251" w:lineRule="exact"/>
              <w:ind w:left="107"/>
              <w:rPr>
                <w:sz w:val="22"/>
              </w:rPr>
            </w:pPr>
            <w:r>
              <w:rPr>
                <w:sz w:val="22"/>
              </w:rPr>
              <w:t>Ages</w:t>
            </w:r>
            <w:r>
              <w:rPr>
                <w:spacing w:val="-2"/>
                <w:sz w:val="22"/>
              </w:rPr>
              <w:t> </w:t>
            </w:r>
            <w:r>
              <w:rPr>
                <w:sz w:val="22"/>
              </w:rPr>
              <w:t>19</w:t>
            </w:r>
            <w:r>
              <w:rPr>
                <w:spacing w:val="-2"/>
                <w:sz w:val="22"/>
              </w:rPr>
              <w:t> </w:t>
            </w:r>
            <w:r>
              <w:rPr>
                <w:sz w:val="22"/>
              </w:rPr>
              <w:t>and</w:t>
            </w:r>
            <w:r>
              <w:rPr>
                <w:spacing w:val="-1"/>
                <w:sz w:val="22"/>
              </w:rPr>
              <w:t> </w:t>
            </w:r>
            <w:r>
              <w:rPr>
                <w:spacing w:val="-5"/>
                <w:sz w:val="22"/>
              </w:rPr>
              <w:t>20:</w:t>
            </w:r>
          </w:p>
          <w:p>
            <w:pPr>
              <w:pStyle w:val="TableParagraph"/>
              <w:spacing w:line="235" w:lineRule="exact"/>
              <w:ind w:left="107"/>
              <w:rPr>
                <w:sz w:val="22"/>
              </w:rPr>
            </w:pPr>
            <w:r>
              <w:rPr>
                <w:sz w:val="22"/>
              </w:rPr>
              <w:t>133.1</w:t>
            </w:r>
            <w:r>
              <w:rPr>
                <w:spacing w:val="-5"/>
                <w:sz w:val="22"/>
              </w:rPr>
              <w:t> </w:t>
            </w:r>
            <w:r>
              <w:rPr>
                <w:sz w:val="22"/>
              </w:rPr>
              <w:t>through</w:t>
            </w:r>
            <w:r>
              <w:rPr>
                <w:spacing w:val="-2"/>
                <w:sz w:val="22"/>
              </w:rPr>
              <w:t> </w:t>
            </w:r>
            <w:r>
              <w:rPr>
                <w:spacing w:val="-4"/>
                <w:sz w:val="22"/>
              </w:rPr>
              <w:t>150%</w:t>
            </w:r>
          </w:p>
        </w:tc>
        <w:tc>
          <w:tcPr>
            <w:tcW w:w="2037" w:type="dxa"/>
          </w:tcPr>
          <w:p>
            <w:pPr>
              <w:pStyle w:val="TableParagraph"/>
              <w:spacing w:before="125"/>
              <w:ind w:left="108"/>
              <w:rPr>
                <w:sz w:val="22"/>
              </w:rPr>
            </w:pPr>
            <w:r>
              <w:rPr>
                <w:sz w:val="22"/>
              </w:rPr>
              <w:t>Title</w:t>
            </w:r>
            <w:r>
              <w:rPr>
                <w:spacing w:val="-5"/>
                <w:sz w:val="22"/>
              </w:rPr>
              <w:t> XIX</w:t>
            </w:r>
          </w:p>
        </w:tc>
        <w:tc>
          <w:tcPr>
            <w:tcW w:w="1667" w:type="dxa"/>
          </w:tcPr>
          <w:p>
            <w:pPr>
              <w:pStyle w:val="TableParagraph"/>
              <w:spacing w:line="251" w:lineRule="exact"/>
              <w:ind w:left="108"/>
              <w:rPr>
                <w:sz w:val="22"/>
              </w:rPr>
            </w:pPr>
            <w:r>
              <w:rPr>
                <w:spacing w:val="-2"/>
                <w:sz w:val="22"/>
              </w:rPr>
              <w:t>1902(r)(2)</w:t>
            </w:r>
          </w:p>
          <w:p>
            <w:pPr>
              <w:pStyle w:val="TableParagraph"/>
              <w:spacing w:line="235" w:lineRule="exact"/>
              <w:ind w:left="108"/>
              <w:rPr>
                <w:sz w:val="22"/>
              </w:rPr>
            </w:pPr>
            <w:r>
              <w:rPr>
                <w:spacing w:val="-2"/>
                <w:sz w:val="22"/>
              </w:rPr>
              <w:t>Children</w:t>
            </w:r>
          </w:p>
        </w:tc>
        <w:tc>
          <w:tcPr>
            <w:tcW w:w="1948" w:type="dxa"/>
          </w:tcPr>
          <w:p>
            <w:pPr>
              <w:pStyle w:val="TableParagraph"/>
              <w:spacing w:before="125"/>
              <w:ind w:left="109"/>
              <w:rPr>
                <w:sz w:val="22"/>
              </w:rPr>
            </w:pPr>
            <w:r>
              <w:rPr>
                <w:spacing w:val="-2"/>
                <w:sz w:val="22"/>
              </w:rPr>
              <w:t>Standard</w:t>
            </w:r>
          </w:p>
        </w:tc>
        <w:tc>
          <w:tcPr>
            <w:tcW w:w="2769" w:type="dxa"/>
          </w:tcPr>
          <w:p>
            <w:pPr>
              <w:pStyle w:val="TableParagraph"/>
              <w:rPr>
                <w:sz w:val="20"/>
              </w:rPr>
            </w:pPr>
          </w:p>
        </w:tc>
      </w:tr>
      <w:tr>
        <w:trPr>
          <w:trHeight w:val="1744" w:hRule="atLeast"/>
        </w:trPr>
        <w:tc>
          <w:tcPr>
            <w:tcW w:w="2484" w:type="dxa"/>
          </w:tcPr>
          <w:p>
            <w:pPr>
              <w:pStyle w:val="TableParagraph"/>
              <w:rPr>
                <w:sz w:val="24"/>
              </w:rPr>
            </w:pPr>
          </w:p>
          <w:p>
            <w:pPr>
              <w:pStyle w:val="TableParagraph"/>
              <w:spacing w:before="214"/>
              <w:ind w:left="107" w:right="101"/>
              <w:jc w:val="both"/>
              <w:rPr>
                <w:sz w:val="22"/>
              </w:rPr>
            </w:pPr>
            <w:r>
              <w:rPr>
                <w:sz w:val="22"/>
              </w:rPr>
              <w:t>5 year bar and other non- qualified</w:t>
            </w:r>
            <w:r>
              <w:rPr>
                <w:spacing w:val="-14"/>
                <w:sz w:val="22"/>
              </w:rPr>
              <w:t> </w:t>
            </w:r>
            <w:r>
              <w:rPr>
                <w:sz w:val="22"/>
              </w:rPr>
              <w:t>lawfully</w:t>
            </w:r>
            <w:r>
              <w:rPr>
                <w:spacing w:val="-14"/>
                <w:sz w:val="22"/>
              </w:rPr>
              <w:t> </w:t>
            </w:r>
            <w:r>
              <w:rPr>
                <w:sz w:val="22"/>
              </w:rPr>
              <w:t>present infants and children</w:t>
            </w:r>
          </w:p>
        </w:tc>
        <w:tc>
          <w:tcPr>
            <w:tcW w:w="2042" w:type="dxa"/>
          </w:tcPr>
          <w:p>
            <w:pPr>
              <w:pStyle w:val="TableParagraph"/>
              <w:rPr>
                <w:sz w:val="24"/>
              </w:rPr>
            </w:pPr>
          </w:p>
          <w:p>
            <w:pPr>
              <w:pStyle w:val="TableParagraph"/>
              <w:spacing w:before="214"/>
              <w:ind w:left="107"/>
              <w:rPr>
                <w:sz w:val="22"/>
              </w:rPr>
            </w:pPr>
            <w:r>
              <w:rPr>
                <w:sz w:val="22"/>
              </w:rPr>
              <w:t>&lt;</w:t>
            </w:r>
            <w:r>
              <w:rPr>
                <w:spacing w:val="-4"/>
                <w:sz w:val="22"/>
              </w:rPr>
              <w:t> </w:t>
            </w:r>
            <w:r>
              <w:rPr>
                <w:sz w:val="22"/>
              </w:rPr>
              <w:t>Age</w:t>
            </w:r>
            <w:r>
              <w:rPr>
                <w:spacing w:val="-3"/>
                <w:sz w:val="22"/>
              </w:rPr>
              <w:t> </w:t>
            </w:r>
            <w:r>
              <w:rPr>
                <w:sz w:val="22"/>
              </w:rPr>
              <w:t>1:</w:t>
            </w:r>
            <w:r>
              <w:rPr>
                <w:spacing w:val="-2"/>
                <w:sz w:val="22"/>
              </w:rPr>
              <w:t> </w:t>
            </w:r>
            <w:r>
              <w:rPr>
                <w:sz w:val="22"/>
              </w:rPr>
              <w:t>0-</w:t>
            </w:r>
            <w:r>
              <w:rPr>
                <w:spacing w:val="-4"/>
                <w:sz w:val="22"/>
              </w:rPr>
              <w:t>200%</w:t>
            </w:r>
          </w:p>
          <w:p>
            <w:pPr>
              <w:pStyle w:val="TableParagraph"/>
              <w:rPr>
                <w:sz w:val="22"/>
              </w:rPr>
            </w:pPr>
          </w:p>
          <w:p>
            <w:pPr>
              <w:pStyle w:val="TableParagraph"/>
              <w:ind w:left="107"/>
              <w:rPr>
                <w:sz w:val="22"/>
              </w:rPr>
            </w:pPr>
            <w:r>
              <w:rPr>
                <w:sz w:val="22"/>
              </w:rPr>
              <w:t>Age</w:t>
            </w:r>
            <w:r>
              <w:rPr>
                <w:spacing w:val="-6"/>
                <w:sz w:val="22"/>
              </w:rPr>
              <w:t> </w:t>
            </w:r>
            <w:r>
              <w:rPr>
                <w:sz w:val="22"/>
              </w:rPr>
              <w:t>1-18:</w:t>
            </w:r>
            <w:r>
              <w:rPr>
                <w:spacing w:val="-4"/>
                <w:sz w:val="22"/>
              </w:rPr>
              <w:t> </w:t>
            </w:r>
            <w:r>
              <w:rPr>
                <w:sz w:val="22"/>
              </w:rPr>
              <w:t>0-</w:t>
            </w:r>
            <w:r>
              <w:rPr>
                <w:spacing w:val="-4"/>
                <w:sz w:val="22"/>
              </w:rPr>
              <w:t>150%</w:t>
            </w:r>
          </w:p>
        </w:tc>
        <w:tc>
          <w:tcPr>
            <w:tcW w:w="2037" w:type="dxa"/>
          </w:tcPr>
          <w:p>
            <w:pPr>
              <w:pStyle w:val="TableParagraph"/>
              <w:spacing w:before="111"/>
              <w:ind w:left="108"/>
              <w:rPr>
                <w:sz w:val="22"/>
              </w:rPr>
            </w:pPr>
            <w:r>
              <w:rPr>
                <w:sz w:val="22"/>
              </w:rPr>
              <w:t>Title XXI CHIP Medicaid</w:t>
            </w:r>
            <w:r>
              <w:rPr>
                <w:spacing w:val="-7"/>
                <w:sz w:val="22"/>
              </w:rPr>
              <w:t> </w:t>
            </w:r>
            <w:r>
              <w:rPr>
                <w:sz w:val="22"/>
              </w:rPr>
              <w:t>expansion funding at option of state agency, as authorized</w:t>
            </w:r>
            <w:r>
              <w:rPr>
                <w:spacing w:val="-14"/>
                <w:sz w:val="22"/>
              </w:rPr>
              <w:t> </w:t>
            </w:r>
            <w:r>
              <w:rPr>
                <w:sz w:val="22"/>
              </w:rPr>
              <w:t>under</w:t>
            </w:r>
            <w:r>
              <w:rPr>
                <w:spacing w:val="-14"/>
                <w:sz w:val="22"/>
              </w:rPr>
              <w:t> </w:t>
            </w:r>
            <w:r>
              <w:rPr>
                <w:sz w:val="22"/>
              </w:rPr>
              <w:t>the Title</w:t>
            </w:r>
            <w:r>
              <w:rPr>
                <w:spacing w:val="-5"/>
                <w:sz w:val="22"/>
              </w:rPr>
              <w:t> </w:t>
            </w:r>
            <w:r>
              <w:rPr>
                <w:sz w:val="22"/>
              </w:rPr>
              <w:t>XXI</w:t>
            </w:r>
            <w:r>
              <w:rPr>
                <w:spacing w:val="-4"/>
                <w:sz w:val="22"/>
              </w:rPr>
              <w:t> </w:t>
            </w:r>
            <w:r>
              <w:rPr>
                <w:sz w:val="22"/>
              </w:rPr>
              <w:t>State </w:t>
            </w:r>
            <w:r>
              <w:rPr>
                <w:spacing w:val="-4"/>
                <w:sz w:val="22"/>
              </w:rPr>
              <w:t>Plan</w:t>
            </w:r>
          </w:p>
        </w:tc>
        <w:tc>
          <w:tcPr>
            <w:tcW w:w="1667" w:type="dxa"/>
          </w:tcPr>
          <w:p>
            <w:pPr>
              <w:pStyle w:val="TableParagraph"/>
              <w:spacing w:line="251" w:lineRule="exact"/>
              <w:ind w:left="108"/>
              <w:rPr>
                <w:sz w:val="22"/>
              </w:rPr>
            </w:pPr>
            <w:r>
              <w:rPr>
                <w:spacing w:val="-2"/>
                <w:sz w:val="22"/>
              </w:rPr>
              <w:t>1902(r)(2)</w:t>
            </w:r>
          </w:p>
          <w:p>
            <w:pPr>
              <w:pStyle w:val="TableParagraph"/>
              <w:spacing w:before="1"/>
              <w:ind w:left="108"/>
              <w:rPr>
                <w:sz w:val="22"/>
              </w:rPr>
            </w:pPr>
            <w:r>
              <w:rPr>
                <w:spacing w:val="-2"/>
                <w:sz w:val="22"/>
              </w:rPr>
              <w:t>Children</w:t>
            </w:r>
          </w:p>
          <w:p>
            <w:pPr>
              <w:pStyle w:val="TableParagraph"/>
              <w:spacing w:line="244" w:lineRule="auto" w:before="158"/>
              <w:ind w:left="108" w:right="180"/>
              <w:rPr>
                <w:sz w:val="22"/>
              </w:rPr>
            </w:pPr>
            <w:r>
              <w:rPr>
                <w:sz w:val="22"/>
              </w:rPr>
              <w:t>1902(r)(2)</w:t>
            </w:r>
            <w:r>
              <w:rPr>
                <w:spacing w:val="-14"/>
                <w:sz w:val="22"/>
              </w:rPr>
              <w:t> </w:t>
            </w:r>
            <w:r>
              <w:rPr>
                <w:sz w:val="22"/>
              </w:rPr>
              <w:t>XXI </w:t>
            </w:r>
            <w:r>
              <w:rPr>
                <w:spacing w:val="-6"/>
                <w:sz w:val="22"/>
              </w:rPr>
              <w:t>RO</w:t>
            </w:r>
          </w:p>
        </w:tc>
        <w:tc>
          <w:tcPr>
            <w:tcW w:w="1948" w:type="dxa"/>
          </w:tcPr>
          <w:p>
            <w:pPr>
              <w:pStyle w:val="TableParagraph"/>
              <w:rPr>
                <w:sz w:val="24"/>
              </w:rPr>
            </w:pPr>
          </w:p>
          <w:p>
            <w:pPr>
              <w:pStyle w:val="TableParagraph"/>
              <w:spacing w:before="10"/>
              <w:rPr>
                <w:sz w:val="33"/>
              </w:rPr>
            </w:pPr>
          </w:p>
          <w:p>
            <w:pPr>
              <w:pStyle w:val="TableParagraph"/>
              <w:ind w:left="109"/>
              <w:rPr>
                <w:sz w:val="22"/>
              </w:rPr>
            </w:pPr>
            <w:r>
              <w:rPr>
                <w:spacing w:val="-2"/>
                <w:sz w:val="22"/>
              </w:rPr>
              <w:t>Standard</w:t>
            </w:r>
          </w:p>
        </w:tc>
        <w:tc>
          <w:tcPr>
            <w:tcW w:w="2769" w:type="dxa"/>
          </w:tcPr>
          <w:p>
            <w:pPr>
              <w:pStyle w:val="TableParagraph"/>
              <w:rPr>
                <w:sz w:val="20"/>
              </w:rPr>
            </w:pPr>
          </w:p>
        </w:tc>
      </w:tr>
      <w:tr>
        <w:trPr>
          <w:trHeight w:val="253" w:hRule="atLeast"/>
        </w:trPr>
        <w:tc>
          <w:tcPr>
            <w:tcW w:w="2484" w:type="dxa"/>
          </w:tcPr>
          <w:p>
            <w:pPr>
              <w:pStyle w:val="TableParagraph"/>
              <w:spacing w:line="234" w:lineRule="exact"/>
              <w:ind w:left="107"/>
              <w:rPr>
                <w:sz w:val="22"/>
              </w:rPr>
            </w:pPr>
            <w:r>
              <w:rPr>
                <w:sz w:val="22"/>
              </w:rPr>
              <w:t>Pregnant</w:t>
            </w:r>
            <w:r>
              <w:rPr>
                <w:spacing w:val="-6"/>
                <w:sz w:val="22"/>
              </w:rPr>
              <w:t> </w:t>
            </w:r>
            <w:r>
              <w:rPr>
                <w:spacing w:val="-2"/>
                <w:sz w:val="22"/>
              </w:rPr>
              <w:t>individuals</w:t>
            </w:r>
          </w:p>
        </w:tc>
        <w:tc>
          <w:tcPr>
            <w:tcW w:w="2042" w:type="dxa"/>
          </w:tcPr>
          <w:p>
            <w:pPr>
              <w:pStyle w:val="TableParagraph"/>
              <w:spacing w:line="234" w:lineRule="exact"/>
              <w:ind w:left="107"/>
              <w:rPr>
                <w:sz w:val="22"/>
              </w:rPr>
            </w:pPr>
            <w:r>
              <w:rPr>
                <w:sz w:val="22"/>
              </w:rPr>
              <w:t>0</w:t>
            </w:r>
            <w:r>
              <w:rPr>
                <w:spacing w:val="-2"/>
                <w:sz w:val="22"/>
              </w:rPr>
              <w:t> </w:t>
            </w:r>
            <w:r>
              <w:rPr>
                <w:sz w:val="22"/>
              </w:rPr>
              <w:t>through</w:t>
            </w:r>
            <w:r>
              <w:rPr>
                <w:spacing w:val="-2"/>
                <w:sz w:val="22"/>
              </w:rPr>
              <w:t> </w:t>
            </w:r>
            <w:r>
              <w:rPr>
                <w:spacing w:val="-4"/>
                <w:sz w:val="22"/>
              </w:rPr>
              <w:t>185%</w:t>
            </w:r>
          </w:p>
        </w:tc>
        <w:tc>
          <w:tcPr>
            <w:tcW w:w="2037" w:type="dxa"/>
          </w:tcPr>
          <w:p>
            <w:pPr>
              <w:pStyle w:val="TableParagraph"/>
              <w:spacing w:line="234" w:lineRule="exact"/>
              <w:ind w:left="108"/>
              <w:rPr>
                <w:sz w:val="22"/>
              </w:rPr>
            </w:pPr>
            <w:r>
              <w:rPr>
                <w:sz w:val="22"/>
              </w:rPr>
              <w:t>Title</w:t>
            </w:r>
            <w:r>
              <w:rPr>
                <w:spacing w:val="-5"/>
                <w:sz w:val="22"/>
              </w:rPr>
              <w:t> XIX</w:t>
            </w:r>
          </w:p>
        </w:tc>
        <w:tc>
          <w:tcPr>
            <w:tcW w:w="1667" w:type="dxa"/>
          </w:tcPr>
          <w:p>
            <w:pPr>
              <w:pStyle w:val="TableParagraph"/>
              <w:spacing w:line="234" w:lineRule="exact"/>
              <w:ind w:left="108"/>
              <w:rPr>
                <w:sz w:val="22"/>
              </w:rPr>
            </w:pPr>
            <w:r>
              <w:rPr>
                <w:sz w:val="22"/>
              </w:rPr>
              <w:t>Base</w:t>
            </w:r>
            <w:r>
              <w:rPr>
                <w:spacing w:val="-3"/>
                <w:sz w:val="22"/>
              </w:rPr>
              <w:t> </w:t>
            </w:r>
            <w:r>
              <w:rPr>
                <w:spacing w:val="-2"/>
                <w:sz w:val="22"/>
              </w:rPr>
              <w:t>Families</w:t>
            </w:r>
          </w:p>
        </w:tc>
        <w:tc>
          <w:tcPr>
            <w:tcW w:w="1948" w:type="dxa"/>
          </w:tcPr>
          <w:p>
            <w:pPr>
              <w:pStyle w:val="TableParagraph"/>
              <w:spacing w:line="234" w:lineRule="exact"/>
              <w:ind w:left="109"/>
              <w:rPr>
                <w:sz w:val="22"/>
              </w:rPr>
            </w:pPr>
            <w:r>
              <w:rPr>
                <w:spacing w:val="-2"/>
                <w:sz w:val="22"/>
              </w:rPr>
              <w:t>Standard</w:t>
            </w:r>
          </w:p>
        </w:tc>
        <w:tc>
          <w:tcPr>
            <w:tcW w:w="2769" w:type="dxa"/>
          </w:tcPr>
          <w:p>
            <w:pPr>
              <w:pStyle w:val="TableParagraph"/>
              <w:spacing w:line="234" w:lineRule="exact"/>
              <w:ind w:right="830"/>
              <w:jc w:val="right"/>
              <w:rPr>
                <w:sz w:val="22"/>
              </w:rPr>
            </w:pPr>
            <w:r>
              <w:rPr>
                <w:sz w:val="22"/>
              </w:rPr>
              <w:t>Pregnant</w:t>
            </w:r>
            <w:r>
              <w:rPr>
                <w:spacing w:val="-6"/>
                <w:sz w:val="22"/>
              </w:rPr>
              <w:t> </w:t>
            </w:r>
            <w:r>
              <w:rPr>
                <w:spacing w:val="-2"/>
                <w:sz w:val="22"/>
              </w:rPr>
              <w:t>individuals</w:t>
            </w:r>
          </w:p>
        </w:tc>
      </w:tr>
      <w:tr>
        <w:trPr>
          <w:trHeight w:val="1264" w:hRule="atLeast"/>
        </w:trPr>
        <w:tc>
          <w:tcPr>
            <w:tcW w:w="2484" w:type="dxa"/>
          </w:tcPr>
          <w:p>
            <w:pPr>
              <w:pStyle w:val="TableParagraph"/>
              <w:ind w:left="107" w:right="159"/>
              <w:rPr>
                <w:sz w:val="22"/>
              </w:rPr>
            </w:pPr>
            <w:r>
              <w:rPr>
                <w:sz w:val="22"/>
              </w:rPr>
              <w:t>Parents and caretaker relatives</w:t>
            </w:r>
            <w:r>
              <w:rPr>
                <w:spacing w:val="-12"/>
                <w:sz w:val="22"/>
              </w:rPr>
              <w:t> </w:t>
            </w:r>
            <w:r>
              <w:rPr>
                <w:sz w:val="22"/>
              </w:rPr>
              <w:t>ages</w:t>
            </w:r>
            <w:r>
              <w:rPr>
                <w:spacing w:val="-12"/>
                <w:sz w:val="22"/>
              </w:rPr>
              <w:t> </w:t>
            </w:r>
            <w:r>
              <w:rPr>
                <w:sz w:val="22"/>
              </w:rPr>
              <w:t>19</w:t>
            </w:r>
            <w:r>
              <w:rPr>
                <w:spacing w:val="-14"/>
                <w:sz w:val="22"/>
              </w:rPr>
              <w:t> </w:t>
            </w:r>
            <w:r>
              <w:rPr>
                <w:sz w:val="22"/>
              </w:rPr>
              <w:t>through 64 eligible</w:t>
            </w:r>
            <w:r>
              <w:rPr>
                <w:spacing w:val="-2"/>
                <w:sz w:val="22"/>
              </w:rPr>
              <w:t> </w:t>
            </w:r>
            <w:r>
              <w:rPr>
                <w:sz w:val="22"/>
              </w:rPr>
              <w:t>under section 1931 and Transitional</w:t>
            </w:r>
          </w:p>
          <w:p>
            <w:pPr>
              <w:pStyle w:val="TableParagraph"/>
              <w:spacing w:line="234" w:lineRule="exact"/>
              <w:ind w:left="107"/>
              <w:rPr>
                <w:sz w:val="22"/>
              </w:rPr>
            </w:pPr>
            <w:r>
              <w:rPr>
                <w:sz w:val="22"/>
              </w:rPr>
              <w:t>Medical</w:t>
            </w:r>
            <w:r>
              <w:rPr>
                <w:spacing w:val="-4"/>
                <w:sz w:val="22"/>
              </w:rPr>
              <w:t> </w:t>
            </w:r>
            <w:r>
              <w:rPr>
                <w:spacing w:val="-2"/>
                <w:sz w:val="22"/>
              </w:rPr>
              <w:t>Assistance</w:t>
            </w:r>
          </w:p>
        </w:tc>
        <w:tc>
          <w:tcPr>
            <w:tcW w:w="2042" w:type="dxa"/>
          </w:tcPr>
          <w:p>
            <w:pPr>
              <w:pStyle w:val="TableParagraph"/>
              <w:rPr>
                <w:sz w:val="24"/>
              </w:rPr>
            </w:pPr>
          </w:p>
          <w:p>
            <w:pPr>
              <w:pStyle w:val="TableParagraph"/>
              <w:spacing w:before="7"/>
              <w:rPr>
                <w:sz w:val="19"/>
              </w:rPr>
            </w:pPr>
          </w:p>
          <w:p>
            <w:pPr>
              <w:pStyle w:val="TableParagraph"/>
              <w:spacing w:before="1"/>
              <w:ind w:left="107"/>
              <w:rPr>
                <w:sz w:val="22"/>
              </w:rPr>
            </w:pPr>
            <w:r>
              <w:rPr>
                <w:sz w:val="22"/>
              </w:rPr>
              <w:t>0</w:t>
            </w:r>
            <w:r>
              <w:rPr>
                <w:spacing w:val="-2"/>
                <w:sz w:val="22"/>
              </w:rPr>
              <w:t> </w:t>
            </w:r>
            <w:r>
              <w:rPr>
                <w:sz w:val="22"/>
              </w:rPr>
              <w:t>through</w:t>
            </w:r>
            <w:r>
              <w:rPr>
                <w:spacing w:val="-2"/>
                <w:sz w:val="22"/>
              </w:rPr>
              <w:t> </w:t>
            </w:r>
            <w:r>
              <w:rPr>
                <w:spacing w:val="-4"/>
                <w:sz w:val="22"/>
              </w:rPr>
              <w:t>133%</w:t>
            </w:r>
          </w:p>
        </w:tc>
        <w:tc>
          <w:tcPr>
            <w:tcW w:w="2037" w:type="dxa"/>
          </w:tcPr>
          <w:p>
            <w:pPr>
              <w:pStyle w:val="TableParagraph"/>
              <w:rPr>
                <w:sz w:val="24"/>
              </w:rPr>
            </w:pPr>
          </w:p>
          <w:p>
            <w:pPr>
              <w:pStyle w:val="TableParagraph"/>
              <w:spacing w:before="7"/>
              <w:rPr>
                <w:sz w:val="19"/>
              </w:rPr>
            </w:pPr>
          </w:p>
          <w:p>
            <w:pPr>
              <w:pStyle w:val="TableParagraph"/>
              <w:spacing w:before="1"/>
              <w:ind w:left="108"/>
              <w:rPr>
                <w:sz w:val="22"/>
              </w:rPr>
            </w:pPr>
            <w:r>
              <w:rPr>
                <w:sz w:val="22"/>
              </w:rPr>
              <w:t>Title</w:t>
            </w:r>
            <w:r>
              <w:rPr>
                <w:spacing w:val="-5"/>
                <w:sz w:val="22"/>
              </w:rPr>
              <w:t> XIX</w:t>
            </w:r>
          </w:p>
        </w:tc>
        <w:tc>
          <w:tcPr>
            <w:tcW w:w="1667" w:type="dxa"/>
          </w:tcPr>
          <w:p>
            <w:pPr>
              <w:pStyle w:val="TableParagraph"/>
              <w:rPr>
                <w:sz w:val="24"/>
              </w:rPr>
            </w:pPr>
          </w:p>
          <w:p>
            <w:pPr>
              <w:pStyle w:val="TableParagraph"/>
              <w:spacing w:before="7"/>
              <w:rPr>
                <w:sz w:val="19"/>
              </w:rPr>
            </w:pPr>
          </w:p>
          <w:p>
            <w:pPr>
              <w:pStyle w:val="TableParagraph"/>
              <w:spacing w:before="1"/>
              <w:ind w:left="108"/>
              <w:rPr>
                <w:sz w:val="22"/>
              </w:rPr>
            </w:pPr>
            <w:r>
              <w:rPr>
                <w:sz w:val="22"/>
              </w:rPr>
              <w:t>Base</w:t>
            </w:r>
            <w:r>
              <w:rPr>
                <w:spacing w:val="-3"/>
                <w:sz w:val="22"/>
              </w:rPr>
              <w:t> </w:t>
            </w:r>
            <w:r>
              <w:rPr>
                <w:spacing w:val="-2"/>
                <w:sz w:val="22"/>
              </w:rPr>
              <w:t>Families</w:t>
            </w:r>
          </w:p>
        </w:tc>
        <w:tc>
          <w:tcPr>
            <w:tcW w:w="1948" w:type="dxa"/>
          </w:tcPr>
          <w:p>
            <w:pPr>
              <w:pStyle w:val="TableParagraph"/>
              <w:rPr>
                <w:sz w:val="24"/>
              </w:rPr>
            </w:pPr>
          </w:p>
          <w:p>
            <w:pPr>
              <w:pStyle w:val="TableParagraph"/>
              <w:spacing w:before="7"/>
              <w:rPr>
                <w:sz w:val="19"/>
              </w:rPr>
            </w:pPr>
          </w:p>
          <w:p>
            <w:pPr>
              <w:pStyle w:val="TableParagraph"/>
              <w:spacing w:before="1"/>
              <w:ind w:left="109"/>
              <w:rPr>
                <w:sz w:val="22"/>
              </w:rPr>
            </w:pPr>
            <w:r>
              <w:rPr>
                <w:spacing w:val="-2"/>
                <w:sz w:val="22"/>
              </w:rPr>
              <w:t>Standard</w:t>
            </w:r>
          </w:p>
        </w:tc>
        <w:tc>
          <w:tcPr>
            <w:tcW w:w="2769" w:type="dxa"/>
          </w:tcPr>
          <w:p>
            <w:pPr>
              <w:pStyle w:val="TableParagraph"/>
              <w:ind w:left="110" w:right="127"/>
              <w:rPr>
                <w:sz w:val="22"/>
              </w:rPr>
            </w:pPr>
            <w:r>
              <w:rPr>
                <w:sz w:val="22"/>
              </w:rPr>
              <w:t>Parents and caretaker relatives</w:t>
            </w:r>
            <w:r>
              <w:rPr>
                <w:spacing w:val="-9"/>
                <w:sz w:val="22"/>
              </w:rPr>
              <w:t> </w:t>
            </w:r>
            <w:r>
              <w:rPr>
                <w:sz w:val="22"/>
              </w:rPr>
              <w:t>ages</w:t>
            </w:r>
            <w:r>
              <w:rPr>
                <w:spacing w:val="-9"/>
                <w:sz w:val="22"/>
              </w:rPr>
              <w:t> </w:t>
            </w:r>
            <w:r>
              <w:rPr>
                <w:sz w:val="22"/>
              </w:rPr>
              <w:t>19</w:t>
            </w:r>
            <w:r>
              <w:rPr>
                <w:spacing w:val="-11"/>
                <w:sz w:val="22"/>
              </w:rPr>
              <w:t> </w:t>
            </w:r>
            <w:r>
              <w:rPr>
                <w:sz w:val="22"/>
              </w:rPr>
              <w:t>through</w:t>
            </w:r>
            <w:r>
              <w:rPr>
                <w:spacing w:val="-9"/>
                <w:sz w:val="22"/>
              </w:rPr>
              <w:t> </w:t>
            </w:r>
            <w:r>
              <w:rPr>
                <w:sz w:val="22"/>
              </w:rPr>
              <w:t>64 eligible under section 1931 and Transitional Medical</w:t>
            </w:r>
          </w:p>
          <w:p>
            <w:pPr>
              <w:pStyle w:val="TableParagraph"/>
              <w:spacing w:line="234" w:lineRule="exact"/>
              <w:ind w:left="110"/>
              <w:rPr>
                <w:sz w:val="22"/>
              </w:rPr>
            </w:pPr>
            <w:r>
              <w:rPr>
                <w:spacing w:val="-2"/>
                <w:sz w:val="22"/>
              </w:rPr>
              <w:t>Assistance</w:t>
            </w:r>
          </w:p>
        </w:tc>
      </w:tr>
      <w:tr>
        <w:trPr>
          <w:trHeight w:val="505" w:hRule="atLeast"/>
        </w:trPr>
        <w:tc>
          <w:tcPr>
            <w:tcW w:w="2484" w:type="dxa"/>
          </w:tcPr>
          <w:p>
            <w:pPr>
              <w:pStyle w:val="TableParagraph"/>
              <w:spacing w:line="252" w:lineRule="exact"/>
              <w:ind w:left="107" w:right="159"/>
              <w:rPr>
                <w:sz w:val="22"/>
              </w:rPr>
            </w:pPr>
            <w:r>
              <w:rPr>
                <w:sz w:val="22"/>
              </w:rPr>
              <w:t>Disabled</w:t>
            </w:r>
            <w:r>
              <w:rPr>
                <w:spacing w:val="-14"/>
                <w:sz w:val="22"/>
              </w:rPr>
              <w:t> </w:t>
            </w:r>
            <w:r>
              <w:rPr>
                <w:sz w:val="22"/>
              </w:rPr>
              <w:t>children</w:t>
            </w:r>
            <w:r>
              <w:rPr>
                <w:spacing w:val="-14"/>
                <w:sz w:val="22"/>
              </w:rPr>
              <w:t> </w:t>
            </w:r>
            <w:r>
              <w:rPr>
                <w:sz w:val="22"/>
              </w:rPr>
              <w:t>under age 19</w:t>
            </w:r>
          </w:p>
        </w:tc>
        <w:tc>
          <w:tcPr>
            <w:tcW w:w="2042" w:type="dxa"/>
          </w:tcPr>
          <w:p>
            <w:pPr>
              <w:pStyle w:val="TableParagraph"/>
              <w:spacing w:before="125"/>
              <w:ind w:left="107"/>
              <w:rPr>
                <w:sz w:val="22"/>
              </w:rPr>
            </w:pPr>
            <w:r>
              <w:rPr>
                <w:sz w:val="22"/>
              </w:rPr>
              <w:t>0</w:t>
            </w:r>
            <w:r>
              <w:rPr>
                <w:spacing w:val="-2"/>
                <w:sz w:val="22"/>
              </w:rPr>
              <w:t> </w:t>
            </w:r>
            <w:r>
              <w:rPr>
                <w:sz w:val="22"/>
              </w:rPr>
              <w:t>through</w:t>
            </w:r>
            <w:r>
              <w:rPr>
                <w:spacing w:val="-2"/>
                <w:sz w:val="22"/>
              </w:rPr>
              <w:t> </w:t>
            </w:r>
            <w:r>
              <w:rPr>
                <w:spacing w:val="-4"/>
                <w:sz w:val="22"/>
              </w:rPr>
              <w:t>150%</w:t>
            </w:r>
          </w:p>
        </w:tc>
        <w:tc>
          <w:tcPr>
            <w:tcW w:w="2037" w:type="dxa"/>
          </w:tcPr>
          <w:p>
            <w:pPr>
              <w:pStyle w:val="TableParagraph"/>
              <w:spacing w:before="125"/>
              <w:ind w:left="108"/>
              <w:rPr>
                <w:sz w:val="22"/>
              </w:rPr>
            </w:pPr>
            <w:r>
              <w:rPr>
                <w:sz w:val="22"/>
              </w:rPr>
              <w:t>Title</w:t>
            </w:r>
            <w:r>
              <w:rPr>
                <w:spacing w:val="-5"/>
                <w:sz w:val="22"/>
              </w:rPr>
              <w:t> XIX</w:t>
            </w:r>
          </w:p>
        </w:tc>
        <w:tc>
          <w:tcPr>
            <w:tcW w:w="1667" w:type="dxa"/>
          </w:tcPr>
          <w:p>
            <w:pPr>
              <w:pStyle w:val="TableParagraph"/>
              <w:spacing w:before="125"/>
              <w:ind w:left="108"/>
              <w:rPr>
                <w:sz w:val="22"/>
              </w:rPr>
            </w:pPr>
            <w:r>
              <w:rPr>
                <w:sz w:val="22"/>
              </w:rPr>
              <w:t>Base</w:t>
            </w:r>
            <w:r>
              <w:rPr>
                <w:spacing w:val="-3"/>
                <w:sz w:val="22"/>
              </w:rPr>
              <w:t> </w:t>
            </w:r>
            <w:r>
              <w:rPr>
                <w:spacing w:val="-2"/>
                <w:sz w:val="22"/>
              </w:rPr>
              <w:t>Disabled</w:t>
            </w:r>
          </w:p>
        </w:tc>
        <w:tc>
          <w:tcPr>
            <w:tcW w:w="1948" w:type="dxa"/>
          </w:tcPr>
          <w:p>
            <w:pPr>
              <w:pStyle w:val="TableParagraph"/>
              <w:spacing w:before="125"/>
              <w:ind w:left="109"/>
              <w:rPr>
                <w:sz w:val="22"/>
              </w:rPr>
            </w:pPr>
            <w:r>
              <w:rPr>
                <w:spacing w:val="-2"/>
                <w:sz w:val="22"/>
              </w:rPr>
              <w:t>Standard</w:t>
            </w:r>
          </w:p>
        </w:tc>
        <w:tc>
          <w:tcPr>
            <w:tcW w:w="2769" w:type="dxa"/>
          </w:tcPr>
          <w:p>
            <w:pPr>
              <w:pStyle w:val="TableParagraph"/>
              <w:rPr>
                <w:sz w:val="20"/>
              </w:rPr>
            </w:pPr>
          </w:p>
        </w:tc>
      </w:tr>
      <w:tr>
        <w:trPr>
          <w:trHeight w:val="506" w:hRule="atLeast"/>
        </w:trPr>
        <w:tc>
          <w:tcPr>
            <w:tcW w:w="2484" w:type="dxa"/>
          </w:tcPr>
          <w:p>
            <w:pPr>
              <w:pStyle w:val="TableParagraph"/>
              <w:spacing w:line="252" w:lineRule="exact"/>
              <w:ind w:left="107" w:right="159"/>
              <w:rPr>
                <w:sz w:val="22"/>
              </w:rPr>
            </w:pPr>
            <w:r>
              <w:rPr>
                <w:sz w:val="22"/>
              </w:rPr>
              <w:t>Disabled</w:t>
            </w:r>
            <w:r>
              <w:rPr>
                <w:spacing w:val="-13"/>
                <w:sz w:val="22"/>
              </w:rPr>
              <w:t> </w:t>
            </w:r>
            <w:r>
              <w:rPr>
                <w:sz w:val="22"/>
              </w:rPr>
              <w:t>adults</w:t>
            </w:r>
            <w:r>
              <w:rPr>
                <w:spacing w:val="-12"/>
                <w:sz w:val="22"/>
              </w:rPr>
              <w:t> </w:t>
            </w:r>
            <w:r>
              <w:rPr>
                <w:sz w:val="22"/>
              </w:rPr>
              <w:t>ages</w:t>
            </w:r>
            <w:r>
              <w:rPr>
                <w:spacing w:val="-11"/>
                <w:sz w:val="22"/>
              </w:rPr>
              <w:t> </w:t>
            </w:r>
            <w:r>
              <w:rPr>
                <w:sz w:val="22"/>
              </w:rPr>
              <w:t>19 through 64</w:t>
            </w:r>
          </w:p>
        </w:tc>
        <w:tc>
          <w:tcPr>
            <w:tcW w:w="2042" w:type="dxa"/>
          </w:tcPr>
          <w:p>
            <w:pPr>
              <w:pStyle w:val="TableParagraph"/>
              <w:spacing w:before="125"/>
              <w:ind w:left="107"/>
              <w:rPr>
                <w:sz w:val="22"/>
              </w:rPr>
            </w:pPr>
            <w:r>
              <w:rPr>
                <w:sz w:val="22"/>
              </w:rPr>
              <w:t>0</w:t>
            </w:r>
            <w:r>
              <w:rPr>
                <w:spacing w:val="-2"/>
                <w:sz w:val="22"/>
              </w:rPr>
              <w:t> </w:t>
            </w:r>
            <w:r>
              <w:rPr>
                <w:sz w:val="22"/>
              </w:rPr>
              <w:t>through</w:t>
            </w:r>
            <w:r>
              <w:rPr>
                <w:spacing w:val="-2"/>
                <w:sz w:val="22"/>
              </w:rPr>
              <w:t> </w:t>
            </w:r>
            <w:r>
              <w:rPr>
                <w:spacing w:val="-4"/>
                <w:sz w:val="22"/>
              </w:rPr>
              <w:t>114%</w:t>
            </w:r>
          </w:p>
        </w:tc>
        <w:tc>
          <w:tcPr>
            <w:tcW w:w="2037" w:type="dxa"/>
          </w:tcPr>
          <w:p>
            <w:pPr>
              <w:pStyle w:val="TableParagraph"/>
              <w:spacing w:before="125"/>
              <w:ind w:left="108"/>
              <w:rPr>
                <w:sz w:val="22"/>
              </w:rPr>
            </w:pPr>
            <w:r>
              <w:rPr>
                <w:sz w:val="22"/>
              </w:rPr>
              <w:t>Title</w:t>
            </w:r>
            <w:r>
              <w:rPr>
                <w:spacing w:val="-5"/>
                <w:sz w:val="22"/>
              </w:rPr>
              <w:t> XIX</w:t>
            </w:r>
          </w:p>
        </w:tc>
        <w:tc>
          <w:tcPr>
            <w:tcW w:w="1667" w:type="dxa"/>
          </w:tcPr>
          <w:p>
            <w:pPr>
              <w:pStyle w:val="TableParagraph"/>
              <w:spacing w:before="125"/>
              <w:ind w:left="108"/>
              <w:rPr>
                <w:sz w:val="22"/>
              </w:rPr>
            </w:pPr>
            <w:r>
              <w:rPr>
                <w:sz w:val="22"/>
              </w:rPr>
              <w:t>Base</w:t>
            </w:r>
            <w:r>
              <w:rPr>
                <w:spacing w:val="-3"/>
                <w:sz w:val="22"/>
              </w:rPr>
              <w:t> </w:t>
            </w:r>
            <w:r>
              <w:rPr>
                <w:spacing w:val="-2"/>
                <w:sz w:val="22"/>
              </w:rPr>
              <w:t>Disabled</w:t>
            </w:r>
          </w:p>
        </w:tc>
        <w:tc>
          <w:tcPr>
            <w:tcW w:w="1948" w:type="dxa"/>
          </w:tcPr>
          <w:p>
            <w:pPr>
              <w:pStyle w:val="TableParagraph"/>
              <w:spacing w:before="125"/>
              <w:ind w:left="109"/>
              <w:rPr>
                <w:sz w:val="22"/>
              </w:rPr>
            </w:pPr>
            <w:r>
              <w:rPr>
                <w:spacing w:val="-2"/>
                <w:sz w:val="22"/>
              </w:rPr>
              <w:t>Standard</w:t>
            </w:r>
          </w:p>
        </w:tc>
        <w:tc>
          <w:tcPr>
            <w:tcW w:w="2769" w:type="dxa"/>
          </w:tcPr>
          <w:p>
            <w:pPr>
              <w:pStyle w:val="TableParagraph"/>
              <w:rPr>
                <w:sz w:val="20"/>
              </w:rPr>
            </w:pPr>
          </w:p>
        </w:tc>
      </w:tr>
      <w:tr>
        <w:trPr>
          <w:trHeight w:val="506" w:hRule="atLeast"/>
        </w:trPr>
        <w:tc>
          <w:tcPr>
            <w:tcW w:w="2484" w:type="dxa"/>
          </w:tcPr>
          <w:p>
            <w:pPr>
              <w:pStyle w:val="TableParagraph"/>
              <w:spacing w:line="252" w:lineRule="exact"/>
              <w:ind w:left="107"/>
              <w:rPr>
                <w:sz w:val="22"/>
              </w:rPr>
            </w:pPr>
            <w:r>
              <w:rPr>
                <w:sz w:val="22"/>
              </w:rPr>
              <w:t>Non-working disabled adults</w:t>
            </w:r>
            <w:r>
              <w:rPr>
                <w:spacing w:val="-9"/>
                <w:sz w:val="22"/>
              </w:rPr>
              <w:t> </w:t>
            </w:r>
            <w:r>
              <w:rPr>
                <w:sz w:val="22"/>
              </w:rPr>
              <w:t>ages</w:t>
            </w:r>
            <w:r>
              <w:rPr>
                <w:spacing w:val="-9"/>
                <w:sz w:val="22"/>
              </w:rPr>
              <w:t> </w:t>
            </w:r>
            <w:r>
              <w:rPr>
                <w:sz w:val="22"/>
              </w:rPr>
              <w:t>19</w:t>
            </w:r>
            <w:r>
              <w:rPr>
                <w:spacing w:val="-9"/>
                <w:sz w:val="22"/>
              </w:rPr>
              <w:t> </w:t>
            </w:r>
            <w:r>
              <w:rPr>
                <w:sz w:val="22"/>
              </w:rPr>
              <w:t>through</w:t>
            </w:r>
            <w:r>
              <w:rPr>
                <w:spacing w:val="-9"/>
                <w:sz w:val="22"/>
              </w:rPr>
              <w:t> </w:t>
            </w:r>
            <w:r>
              <w:rPr>
                <w:sz w:val="22"/>
              </w:rPr>
              <w:t>64</w:t>
            </w:r>
          </w:p>
        </w:tc>
        <w:tc>
          <w:tcPr>
            <w:tcW w:w="2042" w:type="dxa"/>
          </w:tcPr>
          <w:p>
            <w:pPr>
              <w:pStyle w:val="TableParagraph"/>
              <w:spacing w:before="125"/>
              <w:ind w:left="107"/>
              <w:rPr>
                <w:sz w:val="22"/>
              </w:rPr>
            </w:pPr>
            <w:r>
              <w:rPr>
                <w:sz w:val="22"/>
              </w:rPr>
              <w:t>Above</w:t>
            </w:r>
            <w:r>
              <w:rPr>
                <w:spacing w:val="-5"/>
                <w:sz w:val="22"/>
              </w:rPr>
              <w:t> </w:t>
            </w:r>
            <w:r>
              <w:rPr>
                <w:spacing w:val="-4"/>
                <w:sz w:val="22"/>
              </w:rPr>
              <w:t>133%</w:t>
            </w:r>
          </w:p>
        </w:tc>
        <w:tc>
          <w:tcPr>
            <w:tcW w:w="2037" w:type="dxa"/>
          </w:tcPr>
          <w:p>
            <w:pPr>
              <w:pStyle w:val="TableParagraph"/>
              <w:spacing w:before="125"/>
              <w:ind w:left="108"/>
              <w:rPr>
                <w:sz w:val="22"/>
              </w:rPr>
            </w:pPr>
            <w:r>
              <w:rPr>
                <w:sz w:val="22"/>
              </w:rPr>
              <w:t>Title</w:t>
            </w:r>
            <w:r>
              <w:rPr>
                <w:spacing w:val="-5"/>
                <w:sz w:val="22"/>
              </w:rPr>
              <w:t> XIX</w:t>
            </w:r>
          </w:p>
        </w:tc>
        <w:tc>
          <w:tcPr>
            <w:tcW w:w="1667" w:type="dxa"/>
          </w:tcPr>
          <w:p>
            <w:pPr>
              <w:pStyle w:val="TableParagraph"/>
              <w:spacing w:before="125"/>
              <w:ind w:left="108"/>
              <w:rPr>
                <w:sz w:val="22"/>
              </w:rPr>
            </w:pPr>
            <w:r>
              <w:rPr>
                <w:sz w:val="22"/>
              </w:rPr>
              <w:t>Base</w:t>
            </w:r>
            <w:r>
              <w:rPr>
                <w:spacing w:val="-3"/>
                <w:sz w:val="22"/>
              </w:rPr>
              <w:t> </w:t>
            </w:r>
            <w:r>
              <w:rPr>
                <w:spacing w:val="-2"/>
                <w:sz w:val="22"/>
              </w:rPr>
              <w:t>Disabled</w:t>
            </w:r>
          </w:p>
        </w:tc>
        <w:tc>
          <w:tcPr>
            <w:tcW w:w="1948" w:type="dxa"/>
          </w:tcPr>
          <w:p>
            <w:pPr>
              <w:pStyle w:val="TableParagraph"/>
              <w:spacing w:before="125"/>
              <w:ind w:left="109"/>
              <w:rPr>
                <w:sz w:val="22"/>
              </w:rPr>
            </w:pPr>
            <w:r>
              <w:rPr>
                <w:spacing w:val="-2"/>
                <w:sz w:val="22"/>
              </w:rPr>
              <w:t>CommonHealth</w:t>
            </w:r>
          </w:p>
        </w:tc>
        <w:tc>
          <w:tcPr>
            <w:tcW w:w="2769" w:type="dxa"/>
          </w:tcPr>
          <w:p>
            <w:pPr>
              <w:pStyle w:val="TableParagraph"/>
              <w:rPr>
                <w:sz w:val="20"/>
              </w:rPr>
            </w:pPr>
          </w:p>
        </w:tc>
      </w:tr>
      <w:tr>
        <w:trPr>
          <w:trHeight w:val="505" w:hRule="atLeast"/>
        </w:trPr>
        <w:tc>
          <w:tcPr>
            <w:tcW w:w="2484" w:type="dxa"/>
          </w:tcPr>
          <w:p>
            <w:pPr>
              <w:pStyle w:val="TableParagraph"/>
              <w:spacing w:before="125"/>
              <w:ind w:left="107"/>
              <w:rPr>
                <w:sz w:val="22"/>
              </w:rPr>
            </w:pPr>
            <w:r>
              <w:rPr>
                <w:sz w:val="22"/>
              </w:rPr>
              <w:t>Pregnant</w:t>
            </w:r>
            <w:r>
              <w:rPr>
                <w:spacing w:val="-6"/>
                <w:sz w:val="22"/>
              </w:rPr>
              <w:t> </w:t>
            </w:r>
            <w:r>
              <w:rPr>
                <w:spacing w:val="-2"/>
                <w:sz w:val="22"/>
              </w:rPr>
              <w:t>individuals</w:t>
            </w:r>
          </w:p>
        </w:tc>
        <w:tc>
          <w:tcPr>
            <w:tcW w:w="2042" w:type="dxa"/>
          </w:tcPr>
          <w:p>
            <w:pPr>
              <w:pStyle w:val="TableParagraph"/>
              <w:spacing w:before="125"/>
              <w:ind w:left="107"/>
              <w:rPr>
                <w:sz w:val="22"/>
              </w:rPr>
            </w:pPr>
            <w:r>
              <w:rPr>
                <w:sz w:val="22"/>
              </w:rPr>
              <w:t>185.1</w:t>
            </w:r>
            <w:r>
              <w:rPr>
                <w:spacing w:val="-5"/>
                <w:sz w:val="22"/>
              </w:rPr>
              <w:t> </w:t>
            </w:r>
            <w:r>
              <w:rPr>
                <w:sz w:val="22"/>
              </w:rPr>
              <w:t>through</w:t>
            </w:r>
            <w:r>
              <w:rPr>
                <w:spacing w:val="-2"/>
                <w:sz w:val="22"/>
              </w:rPr>
              <w:t> </w:t>
            </w:r>
            <w:r>
              <w:rPr>
                <w:spacing w:val="-4"/>
                <w:sz w:val="22"/>
              </w:rPr>
              <w:t>200%</w:t>
            </w:r>
          </w:p>
        </w:tc>
        <w:tc>
          <w:tcPr>
            <w:tcW w:w="2037" w:type="dxa"/>
          </w:tcPr>
          <w:p>
            <w:pPr>
              <w:pStyle w:val="TableParagraph"/>
              <w:spacing w:before="125"/>
              <w:ind w:left="108"/>
              <w:rPr>
                <w:sz w:val="22"/>
              </w:rPr>
            </w:pPr>
            <w:r>
              <w:rPr>
                <w:sz w:val="22"/>
              </w:rPr>
              <w:t>Title</w:t>
            </w:r>
            <w:r>
              <w:rPr>
                <w:spacing w:val="-5"/>
                <w:sz w:val="22"/>
              </w:rPr>
              <w:t> XIX</w:t>
            </w:r>
          </w:p>
        </w:tc>
        <w:tc>
          <w:tcPr>
            <w:tcW w:w="1667" w:type="dxa"/>
          </w:tcPr>
          <w:p>
            <w:pPr>
              <w:pStyle w:val="TableParagraph"/>
              <w:spacing w:line="251" w:lineRule="exact"/>
              <w:ind w:left="108"/>
              <w:rPr>
                <w:sz w:val="22"/>
              </w:rPr>
            </w:pPr>
            <w:r>
              <w:rPr>
                <w:spacing w:val="-2"/>
                <w:sz w:val="22"/>
              </w:rPr>
              <w:t>1902(r)(2)</w:t>
            </w:r>
          </w:p>
          <w:p>
            <w:pPr>
              <w:pStyle w:val="TableParagraph"/>
              <w:spacing w:line="235" w:lineRule="exact"/>
              <w:ind w:left="108"/>
              <w:rPr>
                <w:sz w:val="22"/>
              </w:rPr>
            </w:pPr>
            <w:r>
              <w:rPr>
                <w:spacing w:val="-2"/>
                <w:sz w:val="22"/>
              </w:rPr>
              <w:t>Children</w:t>
            </w:r>
          </w:p>
        </w:tc>
        <w:tc>
          <w:tcPr>
            <w:tcW w:w="1948" w:type="dxa"/>
          </w:tcPr>
          <w:p>
            <w:pPr>
              <w:pStyle w:val="TableParagraph"/>
              <w:spacing w:before="125"/>
              <w:ind w:left="109"/>
              <w:rPr>
                <w:sz w:val="22"/>
              </w:rPr>
            </w:pPr>
            <w:r>
              <w:rPr>
                <w:spacing w:val="-2"/>
                <w:sz w:val="22"/>
              </w:rPr>
              <w:t>Standard</w:t>
            </w:r>
          </w:p>
        </w:tc>
        <w:tc>
          <w:tcPr>
            <w:tcW w:w="2769" w:type="dxa"/>
          </w:tcPr>
          <w:p>
            <w:pPr>
              <w:pStyle w:val="TableParagraph"/>
              <w:rPr>
                <w:sz w:val="20"/>
              </w:rPr>
            </w:pPr>
          </w:p>
        </w:tc>
      </w:tr>
      <w:tr>
        <w:trPr>
          <w:trHeight w:val="758" w:hRule="atLeast"/>
        </w:trPr>
        <w:tc>
          <w:tcPr>
            <w:tcW w:w="2484" w:type="dxa"/>
          </w:tcPr>
          <w:p>
            <w:pPr>
              <w:pStyle w:val="TableParagraph"/>
              <w:spacing w:before="125"/>
              <w:ind w:left="107" w:right="159"/>
              <w:rPr>
                <w:sz w:val="22"/>
              </w:rPr>
            </w:pPr>
            <w:r>
              <w:rPr>
                <w:sz w:val="22"/>
              </w:rPr>
              <w:t>“Non-qualified</w:t>
            </w:r>
            <w:r>
              <w:rPr>
                <w:spacing w:val="-14"/>
                <w:sz w:val="22"/>
              </w:rPr>
              <w:t> </w:t>
            </w:r>
            <w:r>
              <w:rPr>
                <w:sz w:val="22"/>
              </w:rPr>
              <w:t>Aliens” or “Protected Aliens”</w:t>
            </w:r>
          </w:p>
        </w:tc>
        <w:tc>
          <w:tcPr>
            <w:tcW w:w="2042" w:type="dxa"/>
          </w:tcPr>
          <w:p>
            <w:pPr>
              <w:pStyle w:val="TableParagraph"/>
              <w:ind w:left="107" w:right="69"/>
              <w:rPr>
                <w:sz w:val="22"/>
              </w:rPr>
            </w:pPr>
            <w:r>
              <w:rPr>
                <w:sz w:val="22"/>
              </w:rPr>
              <w:t>Otherwise eligible for</w:t>
            </w:r>
            <w:r>
              <w:rPr>
                <w:spacing w:val="-4"/>
                <w:sz w:val="22"/>
              </w:rPr>
              <w:t> </w:t>
            </w:r>
            <w:r>
              <w:rPr>
                <w:sz w:val="22"/>
              </w:rPr>
              <w:t>Medicaid</w:t>
            </w:r>
            <w:r>
              <w:rPr>
                <w:spacing w:val="-1"/>
                <w:sz w:val="22"/>
              </w:rPr>
              <w:t> </w:t>
            </w:r>
            <w:r>
              <w:rPr>
                <w:spacing w:val="-2"/>
                <w:sz w:val="22"/>
              </w:rPr>
              <w:t>under</w:t>
            </w:r>
          </w:p>
          <w:p>
            <w:pPr>
              <w:pStyle w:val="TableParagraph"/>
              <w:spacing w:line="233" w:lineRule="exact"/>
              <w:ind w:left="107"/>
              <w:rPr>
                <w:sz w:val="22"/>
              </w:rPr>
            </w:pPr>
            <w:r>
              <w:rPr>
                <w:sz w:val="22"/>
              </w:rPr>
              <w:t>the</w:t>
            </w:r>
            <w:r>
              <w:rPr>
                <w:spacing w:val="-2"/>
                <w:sz w:val="22"/>
              </w:rPr>
              <w:t> </w:t>
            </w:r>
            <w:r>
              <w:rPr>
                <w:sz w:val="22"/>
              </w:rPr>
              <w:t>State</w:t>
            </w:r>
            <w:r>
              <w:rPr>
                <w:spacing w:val="-1"/>
                <w:sz w:val="22"/>
              </w:rPr>
              <w:t> </w:t>
            </w:r>
            <w:r>
              <w:rPr>
                <w:spacing w:val="-4"/>
                <w:sz w:val="22"/>
              </w:rPr>
              <w:t>Plan</w:t>
            </w:r>
          </w:p>
        </w:tc>
        <w:tc>
          <w:tcPr>
            <w:tcW w:w="2037" w:type="dxa"/>
          </w:tcPr>
          <w:p>
            <w:pPr>
              <w:pStyle w:val="TableParagraph"/>
              <w:spacing w:before="8"/>
              <w:rPr>
                <w:sz w:val="21"/>
              </w:rPr>
            </w:pPr>
          </w:p>
          <w:p>
            <w:pPr>
              <w:pStyle w:val="TableParagraph"/>
              <w:spacing w:before="1"/>
              <w:ind w:left="108"/>
              <w:rPr>
                <w:sz w:val="22"/>
              </w:rPr>
            </w:pPr>
            <w:r>
              <w:rPr>
                <w:sz w:val="22"/>
              </w:rPr>
              <w:t>Title</w:t>
            </w:r>
            <w:r>
              <w:rPr>
                <w:spacing w:val="-5"/>
                <w:sz w:val="22"/>
              </w:rPr>
              <w:t> XIX</w:t>
            </w:r>
          </w:p>
        </w:tc>
        <w:tc>
          <w:tcPr>
            <w:tcW w:w="1667" w:type="dxa"/>
          </w:tcPr>
          <w:p>
            <w:pPr>
              <w:pStyle w:val="TableParagraph"/>
              <w:ind w:left="108" w:right="571"/>
              <w:rPr>
                <w:sz w:val="22"/>
              </w:rPr>
            </w:pPr>
            <w:r>
              <w:rPr>
                <w:spacing w:val="-4"/>
                <w:sz w:val="22"/>
              </w:rPr>
              <w:t>Base </w:t>
            </w:r>
            <w:r>
              <w:rPr>
                <w:spacing w:val="-2"/>
                <w:sz w:val="22"/>
              </w:rPr>
              <w:t>Families</w:t>
            </w:r>
          </w:p>
        </w:tc>
        <w:tc>
          <w:tcPr>
            <w:tcW w:w="1948" w:type="dxa"/>
          </w:tcPr>
          <w:p>
            <w:pPr>
              <w:pStyle w:val="TableParagraph"/>
              <w:spacing w:before="8"/>
              <w:rPr>
                <w:sz w:val="21"/>
              </w:rPr>
            </w:pPr>
          </w:p>
          <w:p>
            <w:pPr>
              <w:pStyle w:val="TableParagraph"/>
              <w:spacing w:before="1"/>
              <w:ind w:left="109"/>
              <w:rPr>
                <w:sz w:val="22"/>
              </w:rPr>
            </w:pPr>
            <w:r>
              <w:rPr>
                <w:spacing w:val="-2"/>
                <w:sz w:val="22"/>
              </w:rPr>
              <w:t>Limited</w:t>
            </w:r>
          </w:p>
        </w:tc>
        <w:tc>
          <w:tcPr>
            <w:tcW w:w="2769" w:type="dxa"/>
          </w:tcPr>
          <w:p>
            <w:pPr>
              <w:pStyle w:val="TableParagraph"/>
              <w:spacing w:before="125"/>
              <w:ind w:left="110"/>
              <w:rPr>
                <w:sz w:val="22"/>
              </w:rPr>
            </w:pPr>
            <w:r>
              <w:rPr>
                <w:sz w:val="22"/>
              </w:rPr>
              <w:t>Member eligible for emergency</w:t>
            </w:r>
            <w:r>
              <w:rPr>
                <w:spacing w:val="-14"/>
                <w:sz w:val="22"/>
              </w:rPr>
              <w:t> </w:t>
            </w:r>
            <w:r>
              <w:rPr>
                <w:sz w:val="22"/>
              </w:rPr>
              <w:t>services</w:t>
            </w:r>
            <w:r>
              <w:rPr>
                <w:spacing w:val="-14"/>
                <w:sz w:val="22"/>
              </w:rPr>
              <w:t> </w:t>
            </w:r>
            <w:r>
              <w:rPr>
                <w:sz w:val="22"/>
              </w:rPr>
              <w:t>only</w:t>
            </w:r>
          </w:p>
        </w:tc>
      </w:tr>
    </w:tbl>
    <w:p>
      <w:pPr>
        <w:spacing w:after="0"/>
        <w:rPr>
          <w:sz w:val="22"/>
        </w:rPr>
        <w:sectPr>
          <w:pgSz w:w="15840" w:h="12240" w:orient="landscape"/>
          <w:pgMar w:header="0" w:footer="1201" w:top="1380" w:bottom="1400" w:left="1320" w:right="1340"/>
        </w:sectPr>
      </w:pPr>
    </w:p>
    <w:p>
      <w:pPr>
        <w:pStyle w:val="BodyText"/>
        <w:spacing w:before="2"/>
        <w:rPr>
          <w:sz w:val="5"/>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4"/>
        <w:gridCol w:w="2042"/>
        <w:gridCol w:w="2037"/>
        <w:gridCol w:w="1667"/>
        <w:gridCol w:w="1948"/>
        <w:gridCol w:w="2769"/>
      </w:tblGrid>
      <w:tr>
        <w:trPr>
          <w:trHeight w:val="253" w:hRule="atLeast"/>
        </w:trPr>
        <w:tc>
          <w:tcPr>
            <w:tcW w:w="12947" w:type="dxa"/>
            <w:gridSpan w:val="6"/>
            <w:shd w:val="clear" w:color="auto" w:fill="DBE6F1"/>
          </w:tcPr>
          <w:p>
            <w:pPr>
              <w:pStyle w:val="TableParagraph"/>
              <w:spacing w:line="234" w:lineRule="exact"/>
              <w:ind w:left="4160" w:right="4148"/>
              <w:jc w:val="center"/>
              <w:rPr>
                <w:b/>
                <w:sz w:val="22"/>
              </w:rPr>
            </w:pPr>
            <w:r>
              <w:rPr>
                <w:b/>
                <w:sz w:val="22"/>
              </w:rPr>
              <w:t>Table</w:t>
            </w:r>
            <w:r>
              <w:rPr>
                <w:b/>
                <w:spacing w:val="-3"/>
                <w:sz w:val="22"/>
              </w:rPr>
              <w:t> </w:t>
            </w:r>
            <w:r>
              <w:rPr>
                <w:b/>
                <w:sz w:val="22"/>
              </w:rPr>
              <w:t>2:</w:t>
            </w:r>
            <w:r>
              <w:rPr>
                <w:b/>
                <w:spacing w:val="-2"/>
                <w:sz w:val="22"/>
              </w:rPr>
              <w:t> </w:t>
            </w:r>
            <w:r>
              <w:rPr>
                <w:b/>
                <w:sz w:val="22"/>
              </w:rPr>
              <w:t>MassHealth</w:t>
            </w:r>
            <w:r>
              <w:rPr>
                <w:b/>
                <w:spacing w:val="-4"/>
                <w:sz w:val="22"/>
              </w:rPr>
              <w:t> </w:t>
            </w:r>
            <w:r>
              <w:rPr>
                <w:b/>
                <w:sz w:val="22"/>
              </w:rPr>
              <w:t>State</w:t>
            </w:r>
            <w:r>
              <w:rPr>
                <w:b/>
                <w:spacing w:val="-3"/>
                <w:sz w:val="22"/>
              </w:rPr>
              <w:t> </w:t>
            </w:r>
            <w:r>
              <w:rPr>
                <w:b/>
                <w:sz w:val="22"/>
              </w:rPr>
              <w:t>Plan</w:t>
            </w:r>
            <w:r>
              <w:rPr>
                <w:b/>
                <w:spacing w:val="-6"/>
                <w:sz w:val="22"/>
              </w:rPr>
              <w:t> </w:t>
            </w:r>
            <w:r>
              <w:rPr>
                <w:b/>
                <w:sz w:val="22"/>
              </w:rPr>
              <w:t>Base</w:t>
            </w:r>
            <w:r>
              <w:rPr>
                <w:b/>
                <w:spacing w:val="-4"/>
                <w:sz w:val="22"/>
              </w:rPr>
              <w:t> </w:t>
            </w:r>
            <w:r>
              <w:rPr>
                <w:b/>
                <w:spacing w:val="-2"/>
                <w:sz w:val="22"/>
              </w:rPr>
              <w:t>Populations</w:t>
            </w:r>
          </w:p>
        </w:tc>
      </w:tr>
      <w:tr>
        <w:trPr>
          <w:trHeight w:val="1009" w:hRule="atLeast"/>
        </w:trPr>
        <w:tc>
          <w:tcPr>
            <w:tcW w:w="2484" w:type="dxa"/>
            <w:shd w:val="clear" w:color="auto" w:fill="DBE6F1"/>
          </w:tcPr>
          <w:p>
            <w:pPr>
              <w:pStyle w:val="TableParagraph"/>
              <w:ind w:left="112" w:right="100" w:hanging="2"/>
              <w:jc w:val="center"/>
              <w:rPr>
                <w:b/>
                <w:sz w:val="22"/>
              </w:rPr>
            </w:pPr>
            <w:r>
              <w:rPr>
                <w:b/>
                <w:sz w:val="22"/>
              </w:rPr>
              <w:t>Medicaid Mandatory and</w:t>
            </w:r>
            <w:r>
              <w:rPr>
                <w:b/>
                <w:spacing w:val="-12"/>
                <w:sz w:val="22"/>
              </w:rPr>
              <w:t> </w:t>
            </w:r>
            <w:r>
              <w:rPr>
                <w:b/>
                <w:sz w:val="22"/>
              </w:rPr>
              <w:t>Optional</w:t>
            </w:r>
            <w:r>
              <w:rPr>
                <w:b/>
                <w:spacing w:val="-10"/>
                <w:sz w:val="22"/>
              </w:rPr>
              <w:t> </w:t>
            </w:r>
            <w:r>
              <w:rPr>
                <w:b/>
                <w:sz w:val="22"/>
              </w:rPr>
              <w:t>State</w:t>
            </w:r>
            <w:r>
              <w:rPr>
                <w:b/>
                <w:spacing w:val="-13"/>
                <w:sz w:val="22"/>
              </w:rPr>
              <w:t> </w:t>
            </w:r>
            <w:r>
              <w:rPr>
                <w:b/>
                <w:sz w:val="22"/>
              </w:rPr>
              <w:t>Plan</w:t>
            </w:r>
          </w:p>
          <w:p>
            <w:pPr>
              <w:pStyle w:val="TableParagraph"/>
              <w:spacing w:line="252" w:lineRule="exact"/>
              <w:ind w:left="278" w:right="267"/>
              <w:jc w:val="center"/>
              <w:rPr>
                <w:b/>
                <w:sz w:val="22"/>
              </w:rPr>
            </w:pPr>
            <w:r>
              <w:rPr>
                <w:b/>
                <w:sz w:val="22"/>
              </w:rPr>
              <w:t>Groups</w:t>
            </w:r>
            <w:r>
              <w:rPr>
                <w:b/>
                <w:spacing w:val="-14"/>
                <w:sz w:val="22"/>
              </w:rPr>
              <w:t> </w:t>
            </w:r>
            <w:r>
              <w:rPr>
                <w:b/>
                <w:sz w:val="22"/>
              </w:rPr>
              <w:t>(Categorical </w:t>
            </w:r>
            <w:r>
              <w:rPr>
                <w:b/>
                <w:spacing w:val="-2"/>
                <w:sz w:val="22"/>
              </w:rPr>
              <w:t>Eligibility)</w:t>
            </w:r>
          </w:p>
        </w:tc>
        <w:tc>
          <w:tcPr>
            <w:tcW w:w="2042" w:type="dxa"/>
            <w:shd w:val="clear" w:color="auto" w:fill="DBE6F1"/>
          </w:tcPr>
          <w:p>
            <w:pPr>
              <w:pStyle w:val="TableParagraph"/>
              <w:ind w:left="115" w:right="103" w:firstLine="2"/>
              <w:jc w:val="center"/>
              <w:rPr>
                <w:b/>
                <w:sz w:val="22"/>
              </w:rPr>
            </w:pPr>
            <w:r>
              <w:rPr>
                <w:b/>
                <w:sz w:val="22"/>
              </w:rPr>
              <w:t>Federal Poverty Level</w:t>
            </w:r>
            <w:r>
              <w:rPr>
                <w:b/>
                <w:spacing w:val="-4"/>
                <w:sz w:val="22"/>
              </w:rPr>
              <w:t> </w:t>
            </w:r>
            <w:r>
              <w:rPr>
                <w:b/>
                <w:sz w:val="22"/>
              </w:rPr>
              <w:t>(FPL)</w:t>
            </w:r>
            <w:r>
              <w:rPr>
                <w:b/>
                <w:spacing w:val="-1"/>
                <w:sz w:val="22"/>
              </w:rPr>
              <w:t> </w:t>
            </w:r>
            <w:r>
              <w:rPr>
                <w:b/>
                <w:spacing w:val="-2"/>
                <w:sz w:val="22"/>
              </w:rPr>
              <w:t>and/or</w:t>
            </w:r>
          </w:p>
          <w:p>
            <w:pPr>
              <w:pStyle w:val="TableParagraph"/>
              <w:spacing w:line="252" w:lineRule="exact"/>
              <w:ind w:left="211" w:right="196"/>
              <w:jc w:val="center"/>
              <w:rPr>
                <w:b/>
                <w:sz w:val="22"/>
              </w:rPr>
            </w:pPr>
            <w:r>
              <w:rPr>
                <w:b/>
                <w:sz w:val="22"/>
              </w:rPr>
              <w:t>Other</w:t>
            </w:r>
            <w:r>
              <w:rPr>
                <w:b/>
                <w:spacing w:val="-14"/>
                <w:sz w:val="22"/>
              </w:rPr>
              <w:t> </w:t>
            </w:r>
            <w:r>
              <w:rPr>
                <w:b/>
                <w:sz w:val="22"/>
              </w:rPr>
              <w:t>Qualifying </w:t>
            </w:r>
            <w:r>
              <w:rPr>
                <w:b/>
                <w:spacing w:val="-2"/>
                <w:sz w:val="22"/>
              </w:rPr>
              <w:t>Criteria</w:t>
            </w:r>
          </w:p>
        </w:tc>
        <w:tc>
          <w:tcPr>
            <w:tcW w:w="2037" w:type="dxa"/>
            <w:shd w:val="clear" w:color="auto" w:fill="DBE6F1"/>
          </w:tcPr>
          <w:p>
            <w:pPr>
              <w:pStyle w:val="TableParagraph"/>
              <w:spacing w:before="9"/>
              <w:rPr>
                <w:sz w:val="32"/>
              </w:rPr>
            </w:pPr>
          </w:p>
          <w:p>
            <w:pPr>
              <w:pStyle w:val="TableParagraph"/>
              <w:ind w:left="249"/>
              <w:rPr>
                <w:b/>
                <w:sz w:val="22"/>
              </w:rPr>
            </w:pPr>
            <w:r>
              <w:rPr>
                <w:b/>
                <w:sz w:val="22"/>
              </w:rPr>
              <w:t>Funding</w:t>
            </w:r>
            <w:r>
              <w:rPr>
                <w:b/>
                <w:spacing w:val="-4"/>
                <w:sz w:val="22"/>
              </w:rPr>
              <w:t> </w:t>
            </w:r>
            <w:r>
              <w:rPr>
                <w:b/>
                <w:spacing w:val="-2"/>
                <w:sz w:val="22"/>
              </w:rPr>
              <w:t>Stream</w:t>
            </w:r>
          </w:p>
        </w:tc>
        <w:tc>
          <w:tcPr>
            <w:tcW w:w="1667" w:type="dxa"/>
            <w:shd w:val="clear" w:color="auto" w:fill="DBE6F1"/>
          </w:tcPr>
          <w:p>
            <w:pPr>
              <w:pStyle w:val="TableParagraph"/>
              <w:ind w:left="163" w:right="149" w:hanging="4"/>
              <w:jc w:val="center"/>
              <w:rPr>
                <w:b/>
                <w:sz w:val="22"/>
              </w:rPr>
            </w:pPr>
            <w:r>
              <w:rPr>
                <w:b/>
                <w:spacing w:val="-2"/>
                <w:sz w:val="22"/>
              </w:rPr>
              <w:t>Expenditure </w:t>
            </w:r>
            <w:r>
              <w:rPr>
                <w:b/>
                <w:sz w:val="22"/>
              </w:rPr>
              <w:t>and</w:t>
            </w:r>
            <w:r>
              <w:rPr>
                <w:b/>
                <w:spacing w:val="-2"/>
                <w:sz w:val="22"/>
              </w:rPr>
              <w:t> </w:t>
            </w:r>
            <w:r>
              <w:rPr>
                <w:b/>
                <w:spacing w:val="-2"/>
                <w:sz w:val="22"/>
              </w:rPr>
              <w:t>Eligibility</w:t>
            </w:r>
          </w:p>
          <w:p>
            <w:pPr>
              <w:pStyle w:val="TableParagraph"/>
              <w:spacing w:line="252" w:lineRule="exact"/>
              <w:ind w:left="262" w:right="249"/>
              <w:jc w:val="center"/>
              <w:rPr>
                <w:b/>
                <w:sz w:val="22"/>
              </w:rPr>
            </w:pPr>
            <w:r>
              <w:rPr>
                <w:b/>
                <w:sz w:val="22"/>
              </w:rPr>
              <w:t>Group</w:t>
            </w:r>
            <w:r>
              <w:rPr>
                <w:b/>
                <w:spacing w:val="-14"/>
                <w:sz w:val="22"/>
              </w:rPr>
              <w:t> </w:t>
            </w:r>
            <w:r>
              <w:rPr>
                <w:b/>
                <w:sz w:val="22"/>
              </w:rPr>
              <w:t>(EG) </w:t>
            </w:r>
            <w:r>
              <w:rPr>
                <w:b/>
                <w:spacing w:val="-2"/>
                <w:sz w:val="22"/>
              </w:rPr>
              <w:t>Reporting</w:t>
            </w:r>
          </w:p>
        </w:tc>
        <w:tc>
          <w:tcPr>
            <w:tcW w:w="1948" w:type="dxa"/>
            <w:shd w:val="clear" w:color="auto" w:fill="DBE6F1"/>
          </w:tcPr>
          <w:p>
            <w:pPr>
              <w:pStyle w:val="TableParagraph"/>
              <w:spacing w:before="123"/>
              <w:ind w:left="270" w:right="256" w:firstLine="2"/>
              <w:jc w:val="center"/>
              <w:rPr>
                <w:b/>
                <w:sz w:val="22"/>
              </w:rPr>
            </w:pPr>
            <w:r>
              <w:rPr>
                <w:b/>
                <w:spacing w:val="-2"/>
                <w:sz w:val="22"/>
              </w:rPr>
              <w:t>MassHealth Demonstration Program</w:t>
            </w:r>
          </w:p>
        </w:tc>
        <w:tc>
          <w:tcPr>
            <w:tcW w:w="2769" w:type="dxa"/>
            <w:shd w:val="clear" w:color="auto" w:fill="DBE6F1"/>
          </w:tcPr>
          <w:p>
            <w:pPr>
              <w:pStyle w:val="TableParagraph"/>
              <w:spacing w:before="9"/>
              <w:rPr>
                <w:sz w:val="32"/>
              </w:rPr>
            </w:pPr>
          </w:p>
          <w:p>
            <w:pPr>
              <w:pStyle w:val="TableParagraph"/>
              <w:ind w:left="878"/>
              <w:rPr>
                <w:b/>
                <w:sz w:val="22"/>
              </w:rPr>
            </w:pPr>
            <w:r>
              <w:rPr>
                <w:b/>
                <w:spacing w:val="-2"/>
                <w:sz w:val="22"/>
              </w:rPr>
              <w:t>Comments</w:t>
            </w:r>
          </w:p>
        </w:tc>
      </w:tr>
      <w:tr>
        <w:trPr>
          <w:trHeight w:val="3549" w:hRule="atLeast"/>
        </w:trPr>
        <w:tc>
          <w:tcPr>
            <w:tcW w:w="2484" w:type="dxa"/>
          </w:tcPr>
          <w:p>
            <w:pPr>
              <w:pStyle w:val="TableParagraph"/>
              <w:rPr>
                <w:sz w:val="20"/>
              </w:rPr>
            </w:pPr>
          </w:p>
        </w:tc>
        <w:tc>
          <w:tcPr>
            <w:tcW w:w="2042" w:type="dxa"/>
          </w:tcPr>
          <w:p>
            <w:pPr>
              <w:pStyle w:val="TableParagraph"/>
              <w:rPr>
                <w:sz w:val="20"/>
              </w:rPr>
            </w:pPr>
          </w:p>
        </w:tc>
        <w:tc>
          <w:tcPr>
            <w:tcW w:w="2037" w:type="dxa"/>
          </w:tcPr>
          <w:p>
            <w:pPr>
              <w:pStyle w:val="TableParagraph"/>
              <w:rPr>
                <w:sz w:val="20"/>
              </w:rPr>
            </w:pPr>
          </w:p>
        </w:tc>
        <w:tc>
          <w:tcPr>
            <w:tcW w:w="1667" w:type="dxa"/>
          </w:tcPr>
          <w:p>
            <w:pPr>
              <w:pStyle w:val="TableParagraph"/>
              <w:spacing w:before="5"/>
              <w:ind w:left="108" w:right="571"/>
              <w:rPr>
                <w:sz w:val="22"/>
              </w:rPr>
            </w:pPr>
            <w:r>
              <w:rPr>
                <w:spacing w:val="-4"/>
                <w:sz w:val="22"/>
              </w:rPr>
              <w:t>Base </w:t>
            </w:r>
            <w:r>
              <w:rPr>
                <w:spacing w:val="-2"/>
                <w:sz w:val="22"/>
              </w:rPr>
              <w:t>Disabled</w:t>
            </w:r>
          </w:p>
          <w:p>
            <w:pPr>
              <w:pStyle w:val="TableParagraph"/>
              <w:spacing w:before="2"/>
              <w:rPr>
                <w:sz w:val="22"/>
              </w:rPr>
            </w:pPr>
          </w:p>
          <w:p>
            <w:pPr>
              <w:pStyle w:val="TableParagraph"/>
              <w:ind w:left="108"/>
              <w:rPr>
                <w:sz w:val="22"/>
              </w:rPr>
            </w:pPr>
            <w:r>
              <w:rPr>
                <w:spacing w:val="-2"/>
                <w:sz w:val="22"/>
              </w:rPr>
              <w:t>1902(r)(2)</w:t>
            </w:r>
          </w:p>
          <w:p>
            <w:pPr>
              <w:pStyle w:val="TableParagraph"/>
              <w:spacing w:before="1"/>
              <w:ind w:left="108"/>
              <w:rPr>
                <w:sz w:val="22"/>
              </w:rPr>
            </w:pPr>
            <w:r>
              <w:rPr>
                <w:spacing w:val="-2"/>
                <w:sz w:val="22"/>
              </w:rPr>
              <w:t>Children</w:t>
            </w:r>
          </w:p>
          <w:p>
            <w:pPr>
              <w:pStyle w:val="TableParagraph"/>
              <w:spacing w:before="10"/>
              <w:rPr>
                <w:sz w:val="21"/>
              </w:rPr>
            </w:pPr>
          </w:p>
          <w:p>
            <w:pPr>
              <w:pStyle w:val="TableParagraph"/>
              <w:ind w:left="108"/>
              <w:rPr>
                <w:sz w:val="22"/>
              </w:rPr>
            </w:pPr>
            <w:r>
              <w:rPr>
                <w:spacing w:val="-2"/>
                <w:sz w:val="22"/>
              </w:rPr>
              <w:t>1902(r)(2)</w:t>
            </w:r>
          </w:p>
          <w:p>
            <w:pPr>
              <w:pStyle w:val="TableParagraph"/>
              <w:spacing w:before="1"/>
              <w:ind w:left="108"/>
              <w:rPr>
                <w:sz w:val="22"/>
              </w:rPr>
            </w:pPr>
            <w:r>
              <w:rPr>
                <w:spacing w:val="-2"/>
                <w:sz w:val="22"/>
              </w:rPr>
              <w:t>Disabled</w:t>
            </w:r>
          </w:p>
          <w:p>
            <w:pPr>
              <w:pStyle w:val="TableParagraph"/>
              <w:rPr>
                <w:sz w:val="22"/>
              </w:rPr>
            </w:pPr>
          </w:p>
          <w:p>
            <w:pPr>
              <w:pStyle w:val="TableParagraph"/>
              <w:spacing w:before="1"/>
              <w:ind w:left="108" w:right="571"/>
              <w:rPr>
                <w:sz w:val="22"/>
              </w:rPr>
            </w:pPr>
            <w:r>
              <w:rPr>
                <w:sz w:val="22"/>
              </w:rPr>
              <w:t>New</w:t>
            </w:r>
            <w:r>
              <w:rPr>
                <w:spacing w:val="-14"/>
                <w:sz w:val="22"/>
              </w:rPr>
              <w:t> </w:t>
            </w:r>
            <w:r>
              <w:rPr>
                <w:sz w:val="22"/>
              </w:rPr>
              <w:t>Adult </w:t>
            </w:r>
            <w:r>
              <w:rPr>
                <w:spacing w:val="-2"/>
                <w:sz w:val="22"/>
              </w:rPr>
              <w:t>Group</w:t>
            </w:r>
          </w:p>
        </w:tc>
        <w:tc>
          <w:tcPr>
            <w:tcW w:w="1948" w:type="dxa"/>
          </w:tcPr>
          <w:p>
            <w:pPr>
              <w:pStyle w:val="TableParagraph"/>
              <w:rPr>
                <w:sz w:val="20"/>
              </w:rPr>
            </w:pPr>
          </w:p>
        </w:tc>
        <w:tc>
          <w:tcPr>
            <w:tcW w:w="2769" w:type="dxa"/>
          </w:tcPr>
          <w:p>
            <w:pPr>
              <w:pStyle w:val="TableParagraph"/>
              <w:spacing w:before="1"/>
              <w:ind w:left="110"/>
              <w:rPr>
                <w:sz w:val="22"/>
              </w:rPr>
            </w:pPr>
            <w:r>
              <w:rPr>
                <w:sz w:val="22"/>
              </w:rPr>
              <w:t>under</w:t>
            </w:r>
            <w:r>
              <w:rPr>
                <w:spacing w:val="-7"/>
                <w:sz w:val="22"/>
              </w:rPr>
              <w:t> </w:t>
            </w:r>
            <w:r>
              <w:rPr>
                <w:sz w:val="22"/>
              </w:rPr>
              <w:t>the</w:t>
            </w:r>
            <w:r>
              <w:rPr>
                <w:spacing w:val="-7"/>
                <w:sz w:val="22"/>
              </w:rPr>
              <w:t> </w:t>
            </w:r>
            <w:r>
              <w:rPr>
                <w:sz w:val="22"/>
              </w:rPr>
              <w:t>state</w:t>
            </w:r>
            <w:r>
              <w:rPr>
                <w:spacing w:val="-7"/>
                <w:sz w:val="22"/>
              </w:rPr>
              <w:t> </w:t>
            </w:r>
            <w:r>
              <w:rPr>
                <w:sz w:val="22"/>
              </w:rPr>
              <w:t>Plan</w:t>
            </w:r>
            <w:r>
              <w:rPr>
                <w:spacing w:val="-6"/>
                <w:sz w:val="22"/>
              </w:rPr>
              <w:t> </w:t>
            </w:r>
            <w:r>
              <w:rPr>
                <w:sz w:val="22"/>
              </w:rPr>
              <w:t>and</w:t>
            </w:r>
            <w:r>
              <w:rPr>
                <w:spacing w:val="-8"/>
                <w:sz w:val="22"/>
              </w:rPr>
              <w:t> </w:t>
            </w:r>
            <w:r>
              <w:rPr>
                <w:sz w:val="22"/>
              </w:rPr>
              <w:t>the </w:t>
            </w:r>
            <w:r>
              <w:rPr>
                <w:spacing w:val="-2"/>
                <w:sz w:val="22"/>
              </w:rPr>
              <w:t>demonstration.</w:t>
            </w:r>
          </w:p>
          <w:p>
            <w:pPr>
              <w:pStyle w:val="TableParagraph"/>
              <w:spacing w:before="1"/>
              <w:rPr>
                <w:sz w:val="22"/>
              </w:rPr>
            </w:pPr>
          </w:p>
          <w:p>
            <w:pPr>
              <w:pStyle w:val="TableParagraph"/>
              <w:ind w:left="110" w:right="127"/>
              <w:rPr>
                <w:sz w:val="22"/>
              </w:rPr>
            </w:pPr>
            <w:r>
              <w:rPr>
                <w:sz w:val="22"/>
              </w:rPr>
              <w:t>Members who meet the definition and are determined to have a disability</w:t>
            </w:r>
            <w:r>
              <w:rPr>
                <w:spacing w:val="-10"/>
                <w:sz w:val="22"/>
              </w:rPr>
              <w:t> </w:t>
            </w:r>
            <w:r>
              <w:rPr>
                <w:sz w:val="22"/>
              </w:rPr>
              <w:t>are</w:t>
            </w:r>
            <w:r>
              <w:rPr>
                <w:spacing w:val="-9"/>
                <w:sz w:val="22"/>
              </w:rPr>
              <w:t> </w:t>
            </w:r>
            <w:r>
              <w:rPr>
                <w:sz w:val="22"/>
              </w:rPr>
              <w:t>included</w:t>
            </w:r>
            <w:r>
              <w:rPr>
                <w:spacing w:val="-10"/>
                <w:sz w:val="22"/>
              </w:rPr>
              <w:t> </w:t>
            </w:r>
            <w:r>
              <w:rPr>
                <w:sz w:val="22"/>
              </w:rPr>
              <w:t>in</w:t>
            </w:r>
            <w:r>
              <w:rPr>
                <w:spacing w:val="-10"/>
                <w:sz w:val="22"/>
              </w:rPr>
              <w:t> </w:t>
            </w:r>
            <w:r>
              <w:rPr>
                <w:sz w:val="22"/>
              </w:rPr>
              <w:t>the Base Disabled EG</w:t>
            </w:r>
          </w:p>
          <w:p>
            <w:pPr>
              <w:pStyle w:val="TableParagraph"/>
              <w:spacing w:before="4"/>
              <w:rPr>
                <w:sz w:val="22"/>
              </w:rPr>
            </w:pPr>
          </w:p>
          <w:p>
            <w:pPr>
              <w:pStyle w:val="TableParagraph"/>
              <w:ind w:left="110" w:right="127"/>
              <w:rPr>
                <w:sz w:val="22"/>
              </w:rPr>
            </w:pPr>
            <w:r>
              <w:rPr>
                <w:sz w:val="22"/>
              </w:rPr>
              <w:t>Members who are determined eligible via 1902(r)(2) criteria are included</w:t>
            </w:r>
            <w:r>
              <w:rPr>
                <w:spacing w:val="-13"/>
                <w:sz w:val="22"/>
              </w:rPr>
              <w:t> </w:t>
            </w:r>
            <w:r>
              <w:rPr>
                <w:sz w:val="22"/>
              </w:rPr>
              <w:t>in</w:t>
            </w:r>
            <w:r>
              <w:rPr>
                <w:spacing w:val="-13"/>
                <w:sz w:val="22"/>
              </w:rPr>
              <w:t> </w:t>
            </w:r>
            <w:r>
              <w:rPr>
                <w:sz w:val="22"/>
              </w:rPr>
              <w:t>the</w:t>
            </w:r>
            <w:r>
              <w:rPr>
                <w:spacing w:val="-10"/>
                <w:sz w:val="22"/>
              </w:rPr>
              <w:t> </w:t>
            </w:r>
            <w:r>
              <w:rPr>
                <w:sz w:val="22"/>
              </w:rPr>
              <w:t>1902(r)(2)</w:t>
            </w:r>
          </w:p>
          <w:p>
            <w:pPr>
              <w:pStyle w:val="TableParagraph"/>
              <w:spacing w:line="234" w:lineRule="exact"/>
              <w:ind w:left="110"/>
              <w:rPr>
                <w:sz w:val="22"/>
              </w:rPr>
            </w:pPr>
            <w:r>
              <w:rPr>
                <w:spacing w:val="-5"/>
                <w:sz w:val="22"/>
              </w:rPr>
              <w:t>EG</w:t>
            </w:r>
          </w:p>
        </w:tc>
      </w:tr>
      <w:tr>
        <w:trPr>
          <w:trHeight w:val="505" w:hRule="atLeast"/>
        </w:trPr>
        <w:tc>
          <w:tcPr>
            <w:tcW w:w="2484" w:type="dxa"/>
          </w:tcPr>
          <w:p>
            <w:pPr>
              <w:pStyle w:val="TableParagraph"/>
              <w:spacing w:line="252" w:lineRule="exact"/>
              <w:ind w:left="107" w:right="159"/>
              <w:rPr>
                <w:sz w:val="22"/>
              </w:rPr>
            </w:pPr>
            <w:r>
              <w:rPr>
                <w:sz w:val="22"/>
              </w:rPr>
              <w:t>Disabled</w:t>
            </w:r>
            <w:r>
              <w:rPr>
                <w:spacing w:val="-13"/>
                <w:sz w:val="22"/>
              </w:rPr>
              <w:t> </w:t>
            </w:r>
            <w:r>
              <w:rPr>
                <w:sz w:val="22"/>
              </w:rPr>
              <w:t>adults</w:t>
            </w:r>
            <w:r>
              <w:rPr>
                <w:spacing w:val="-12"/>
                <w:sz w:val="22"/>
              </w:rPr>
              <w:t> </w:t>
            </w:r>
            <w:r>
              <w:rPr>
                <w:sz w:val="22"/>
              </w:rPr>
              <w:t>ages</w:t>
            </w:r>
            <w:r>
              <w:rPr>
                <w:spacing w:val="-11"/>
                <w:sz w:val="22"/>
              </w:rPr>
              <w:t> </w:t>
            </w:r>
            <w:r>
              <w:rPr>
                <w:sz w:val="22"/>
              </w:rPr>
              <w:t>19 through 64</w:t>
            </w:r>
          </w:p>
        </w:tc>
        <w:tc>
          <w:tcPr>
            <w:tcW w:w="2042" w:type="dxa"/>
          </w:tcPr>
          <w:p>
            <w:pPr>
              <w:pStyle w:val="TableParagraph"/>
              <w:spacing w:before="125"/>
              <w:ind w:left="107"/>
              <w:rPr>
                <w:sz w:val="22"/>
              </w:rPr>
            </w:pPr>
            <w:r>
              <w:rPr>
                <w:sz w:val="22"/>
              </w:rPr>
              <w:t>114.1</w:t>
            </w:r>
            <w:r>
              <w:rPr>
                <w:spacing w:val="-5"/>
                <w:sz w:val="22"/>
              </w:rPr>
              <w:t> </w:t>
            </w:r>
            <w:r>
              <w:rPr>
                <w:sz w:val="22"/>
              </w:rPr>
              <w:t>through</w:t>
            </w:r>
            <w:r>
              <w:rPr>
                <w:spacing w:val="-2"/>
                <w:sz w:val="22"/>
              </w:rPr>
              <w:t> </w:t>
            </w:r>
            <w:r>
              <w:rPr>
                <w:spacing w:val="-4"/>
                <w:sz w:val="22"/>
              </w:rPr>
              <w:t>133%</w:t>
            </w:r>
          </w:p>
        </w:tc>
        <w:tc>
          <w:tcPr>
            <w:tcW w:w="2037" w:type="dxa"/>
          </w:tcPr>
          <w:p>
            <w:pPr>
              <w:pStyle w:val="TableParagraph"/>
              <w:spacing w:before="125"/>
              <w:ind w:left="108"/>
              <w:rPr>
                <w:sz w:val="22"/>
              </w:rPr>
            </w:pPr>
            <w:r>
              <w:rPr>
                <w:sz w:val="22"/>
              </w:rPr>
              <w:t>Title</w:t>
            </w:r>
            <w:r>
              <w:rPr>
                <w:spacing w:val="-5"/>
                <w:sz w:val="22"/>
              </w:rPr>
              <w:t> XIX</w:t>
            </w:r>
          </w:p>
        </w:tc>
        <w:tc>
          <w:tcPr>
            <w:tcW w:w="1667" w:type="dxa"/>
          </w:tcPr>
          <w:p>
            <w:pPr>
              <w:pStyle w:val="TableParagraph"/>
              <w:spacing w:line="251" w:lineRule="exact"/>
              <w:ind w:left="108"/>
              <w:rPr>
                <w:sz w:val="22"/>
              </w:rPr>
            </w:pPr>
            <w:r>
              <w:rPr>
                <w:spacing w:val="-2"/>
                <w:sz w:val="22"/>
              </w:rPr>
              <w:t>1902(r)(2)</w:t>
            </w:r>
          </w:p>
          <w:p>
            <w:pPr>
              <w:pStyle w:val="TableParagraph"/>
              <w:spacing w:line="235" w:lineRule="exact"/>
              <w:ind w:left="108"/>
              <w:rPr>
                <w:sz w:val="22"/>
              </w:rPr>
            </w:pPr>
            <w:r>
              <w:rPr>
                <w:spacing w:val="-2"/>
                <w:sz w:val="22"/>
              </w:rPr>
              <w:t>Disabled</w:t>
            </w:r>
          </w:p>
        </w:tc>
        <w:tc>
          <w:tcPr>
            <w:tcW w:w="1948" w:type="dxa"/>
          </w:tcPr>
          <w:p>
            <w:pPr>
              <w:pStyle w:val="TableParagraph"/>
              <w:spacing w:before="125"/>
              <w:ind w:left="109"/>
              <w:rPr>
                <w:sz w:val="22"/>
              </w:rPr>
            </w:pPr>
            <w:r>
              <w:rPr>
                <w:spacing w:val="-2"/>
                <w:sz w:val="22"/>
              </w:rPr>
              <w:t>Standard</w:t>
            </w:r>
          </w:p>
        </w:tc>
        <w:tc>
          <w:tcPr>
            <w:tcW w:w="2769" w:type="dxa"/>
          </w:tcPr>
          <w:p>
            <w:pPr>
              <w:pStyle w:val="TableParagraph"/>
              <w:rPr>
                <w:sz w:val="20"/>
              </w:rPr>
            </w:pPr>
          </w:p>
        </w:tc>
      </w:tr>
      <w:tr>
        <w:trPr>
          <w:trHeight w:val="2615" w:hRule="atLeast"/>
        </w:trPr>
        <w:tc>
          <w:tcPr>
            <w:tcW w:w="2484" w:type="dxa"/>
          </w:tcPr>
          <w:p>
            <w:pPr>
              <w:pStyle w:val="TableParagraph"/>
              <w:rPr>
                <w:sz w:val="24"/>
              </w:rPr>
            </w:pPr>
          </w:p>
          <w:p>
            <w:pPr>
              <w:pStyle w:val="TableParagraph"/>
              <w:spacing w:before="7"/>
              <w:rPr>
                <w:sz w:val="23"/>
              </w:rPr>
            </w:pPr>
          </w:p>
          <w:p>
            <w:pPr>
              <w:pStyle w:val="TableParagraph"/>
              <w:ind w:left="107" w:right="168"/>
              <w:rPr>
                <w:sz w:val="22"/>
              </w:rPr>
            </w:pPr>
            <w:r>
              <w:rPr>
                <w:sz w:val="22"/>
              </w:rPr>
              <w:t>Children eligible under TEFRA section 134, SSA</w:t>
            </w:r>
            <w:r>
              <w:rPr>
                <w:spacing w:val="-14"/>
                <w:sz w:val="22"/>
              </w:rPr>
              <w:t> </w:t>
            </w:r>
            <w:r>
              <w:rPr>
                <w:sz w:val="22"/>
              </w:rPr>
              <w:t>section</w:t>
            </w:r>
            <w:r>
              <w:rPr>
                <w:spacing w:val="-14"/>
                <w:sz w:val="22"/>
              </w:rPr>
              <w:t> </w:t>
            </w:r>
            <w:r>
              <w:rPr>
                <w:sz w:val="22"/>
              </w:rPr>
              <w:t>1902(e)(3) and 42</w:t>
            </w:r>
          </w:p>
          <w:p>
            <w:pPr>
              <w:pStyle w:val="TableParagraph"/>
              <w:spacing w:line="252" w:lineRule="exact" w:before="1"/>
              <w:ind w:left="107"/>
              <w:rPr>
                <w:sz w:val="22"/>
              </w:rPr>
            </w:pPr>
            <w:r>
              <w:rPr>
                <w:sz w:val="22"/>
              </w:rPr>
              <w:t>U.S.C.</w:t>
            </w:r>
            <w:r>
              <w:rPr>
                <w:spacing w:val="-5"/>
                <w:sz w:val="22"/>
              </w:rPr>
              <w:t> </w:t>
            </w:r>
            <w:r>
              <w:rPr>
                <w:spacing w:val="-2"/>
                <w:sz w:val="22"/>
              </w:rPr>
              <w:t>1396a(e)(3)</w:t>
            </w:r>
          </w:p>
          <w:p>
            <w:pPr>
              <w:pStyle w:val="TableParagraph"/>
              <w:spacing w:line="252" w:lineRule="exact"/>
              <w:ind w:left="107"/>
              <w:rPr>
                <w:sz w:val="22"/>
              </w:rPr>
            </w:pPr>
            <w:r>
              <w:rPr>
                <w:sz w:val="22"/>
              </w:rPr>
              <w:t>(Kaileigh</w:t>
            </w:r>
            <w:r>
              <w:rPr>
                <w:spacing w:val="-7"/>
                <w:sz w:val="22"/>
              </w:rPr>
              <w:t> </w:t>
            </w:r>
            <w:r>
              <w:rPr>
                <w:sz w:val="22"/>
              </w:rPr>
              <w:t>Mulligan</w:t>
            </w:r>
            <w:r>
              <w:rPr>
                <w:spacing w:val="-5"/>
                <w:sz w:val="22"/>
              </w:rPr>
              <w:t> </w:t>
            </w:r>
            <w:r>
              <w:rPr>
                <w:spacing w:val="-4"/>
                <w:sz w:val="22"/>
              </w:rPr>
              <w:t>kids)</w:t>
            </w:r>
          </w:p>
        </w:tc>
        <w:tc>
          <w:tcPr>
            <w:tcW w:w="2042" w:type="dxa"/>
          </w:tcPr>
          <w:p>
            <w:pPr>
              <w:pStyle w:val="TableParagraph"/>
              <w:spacing w:line="252" w:lineRule="exact" w:before="22"/>
              <w:ind w:left="107"/>
              <w:rPr>
                <w:sz w:val="22"/>
              </w:rPr>
            </w:pPr>
            <w:r>
              <w:rPr>
                <w:sz w:val="22"/>
              </w:rPr>
              <w:t>Age</w:t>
            </w:r>
            <w:r>
              <w:rPr>
                <w:spacing w:val="-2"/>
                <w:sz w:val="22"/>
              </w:rPr>
              <w:t> </w:t>
            </w:r>
            <w:r>
              <w:rPr>
                <w:sz w:val="22"/>
              </w:rPr>
              <w:t>0</w:t>
            </w:r>
            <w:r>
              <w:rPr>
                <w:spacing w:val="-2"/>
                <w:sz w:val="22"/>
              </w:rPr>
              <w:t> </w:t>
            </w:r>
            <w:r>
              <w:rPr>
                <w:sz w:val="22"/>
              </w:rPr>
              <w:t>–</w:t>
            </w:r>
            <w:r>
              <w:rPr>
                <w:spacing w:val="-1"/>
                <w:sz w:val="22"/>
              </w:rPr>
              <w:t> </w:t>
            </w:r>
            <w:r>
              <w:rPr>
                <w:spacing w:val="-5"/>
                <w:sz w:val="22"/>
              </w:rPr>
              <w:t>17</w:t>
            </w:r>
          </w:p>
          <w:p>
            <w:pPr>
              <w:pStyle w:val="TableParagraph"/>
              <w:numPr>
                <w:ilvl w:val="0"/>
                <w:numId w:val="9"/>
              </w:numPr>
              <w:tabs>
                <w:tab w:pos="467" w:val="left" w:leader="none"/>
              </w:tabs>
              <w:spacing w:line="240" w:lineRule="auto" w:before="0" w:after="0"/>
              <w:ind w:left="467" w:right="113" w:hanging="361"/>
              <w:jc w:val="left"/>
              <w:rPr>
                <w:rFonts w:ascii="Symbol" w:hAnsi="Symbol"/>
                <w:sz w:val="22"/>
              </w:rPr>
            </w:pPr>
            <w:r>
              <w:rPr>
                <w:sz w:val="22"/>
              </w:rPr>
              <w:t>Require</w:t>
            </w:r>
            <w:r>
              <w:rPr>
                <w:spacing w:val="-14"/>
                <w:sz w:val="22"/>
              </w:rPr>
              <w:t> </w:t>
            </w:r>
            <w:r>
              <w:rPr>
                <w:sz w:val="22"/>
              </w:rPr>
              <w:t>hospital or nursing facility level of </w:t>
            </w:r>
            <w:r>
              <w:rPr>
                <w:spacing w:val="-4"/>
                <w:sz w:val="22"/>
              </w:rPr>
              <w:t>care</w:t>
            </w:r>
          </w:p>
          <w:p>
            <w:pPr>
              <w:pStyle w:val="TableParagraph"/>
              <w:numPr>
                <w:ilvl w:val="0"/>
                <w:numId w:val="9"/>
              </w:numPr>
              <w:tabs>
                <w:tab w:pos="468" w:val="left" w:leader="none"/>
              </w:tabs>
              <w:spacing w:line="240" w:lineRule="auto" w:before="0" w:after="0"/>
              <w:ind w:left="468" w:right="304" w:hanging="361"/>
              <w:jc w:val="left"/>
              <w:rPr>
                <w:rFonts w:ascii="Symbol" w:hAnsi="Symbol"/>
                <w:sz w:val="22"/>
              </w:rPr>
            </w:pPr>
            <w:r>
              <w:rPr>
                <w:sz w:val="22"/>
              </w:rPr>
              <w:t>Income</w:t>
            </w:r>
            <w:r>
              <w:rPr>
                <w:spacing w:val="-13"/>
                <w:sz w:val="22"/>
              </w:rPr>
              <w:t> </w:t>
            </w:r>
            <w:r>
              <w:rPr>
                <w:sz w:val="22"/>
              </w:rPr>
              <w:t>&lt;</w:t>
            </w:r>
            <w:r>
              <w:rPr>
                <w:spacing w:val="-13"/>
                <w:sz w:val="22"/>
              </w:rPr>
              <w:t> </w:t>
            </w:r>
            <w:r>
              <w:rPr>
                <w:sz w:val="22"/>
              </w:rPr>
              <w:t>or</w:t>
            </w:r>
            <w:r>
              <w:rPr>
                <w:spacing w:val="-12"/>
                <w:sz w:val="22"/>
              </w:rPr>
              <w:t> </w:t>
            </w:r>
            <w:r>
              <w:rPr>
                <w:sz w:val="22"/>
              </w:rPr>
              <w:t>= to $72.81, or </w:t>
            </w:r>
            <w:r>
              <w:rPr>
                <w:spacing w:val="-2"/>
                <w:sz w:val="22"/>
              </w:rPr>
              <w:t>deductible</w:t>
            </w:r>
          </w:p>
          <w:p>
            <w:pPr>
              <w:pStyle w:val="TableParagraph"/>
              <w:numPr>
                <w:ilvl w:val="0"/>
                <w:numId w:val="9"/>
              </w:numPr>
              <w:tabs>
                <w:tab w:pos="467" w:val="left" w:leader="none"/>
              </w:tabs>
              <w:spacing w:line="290" w:lineRule="exact" w:before="0" w:after="0"/>
              <w:ind w:left="467" w:right="0" w:hanging="360"/>
              <w:jc w:val="left"/>
              <w:rPr>
                <w:rFonts w:ascii="Symbol" w:hAnsi="Symbol"/>
                <w:sz w:val="24"/>
              </w:rPr>
            </w:pPr>
            <w:r>
              <w:rPr>
                <w:sz w:val="22"/>
              </w:rPr>
              <w:t>$0 </w:t>
            </w:r>
            <w:r>
              <w:rPr>
                <w:spacing w:val="-2"/>
                <w:sz w:val="22"/>
              </w:rPr>
              <w:t>through</w:t>
            </w:r>
          </w:p>
          <w:p>
            <w:pPr>
              <w:pStyle w:val="TableParagraph"/>
              <w:spacing w:line="230" w:lineRule="exact"/>
              <w:ind w:left="467"/>
              <w:rPr>
                <w:sz w:val="22"/>
              </w:rPr>
            </w:pPr>
            <w:r>
              <w:rPr>
                <w:sz w:val="22"/>
              </w:rPr>
              <w:t>$2,000</w:t>
            </w:r>
            <w:r>
              <w:rPr>
                <w:spacing w:val="-5"/>
                <w:sz w:val="22"/>
              </w:rPr>
              <w:t> </w:t>
            </w:r>
            <w:r>
              <w:rPr>
                <w:sz w:val="22"/>
              </w:rPr>
              <w:t>in</w:t>
            </w:r>
            <w:r>
              <w:rPr>
                <w:spacing w:val="1"/>
                <w:sz w:val="22"/>
              </w:rPr>
              <w:t> </w:t>
            </w:r>
            <w:r>
              <w:rPr>
                <w:spacing w:val="-2"/>
                <w:sz w:val="22"/>
              </w:rPr>
              <w:t>assets</w:t>
            </w:r>
          </w:p>
        </w:tc>
        <w:tc>
          <w:tcPr>
            <w:tcW w:w="2037" w:type="dxa"/>
          </w:tcPr>
          <w:p>
            <w:pPr>
              <w:pStyle w:val="TableParagraph"/>
              <w:rPr>
                <w:sz w:val="24"/>
              </w:rPr>
            </w:pPr>
          </w:p>
          <w:p>
            <w:pPr>
              <w:pStyle w:val="TableParagraph"/>
              <w:rPr>
                <w:sz w:val="24"/>
              </w:rPr>
            </w:pPr>
          </w:p>
          <w:p>
            <w:pPr>
              <w:pStyle w:val="TableParagraph"/>
              <w:rPr>
                <w:sz w:val="24"/>
              </w:rPr>
            </w:pPr>
          </w:p>
          <w:p>
            <w:pPr>
              <w:pStyle w:val="TableParagraph"/>
              <w:spacing w:before="6"/>
              <w:rPr>
                <w:sz w:val="30"/>
              </w:rPr>
            </w:pPr>
          </w:p>
          <w:p>
            <w:pPr>
              <w:pStyle w:val="TableParagraph"/>
              <w:ind w:left="108"/>
              <w:rPr>
                <w:sz w:val="22"/>
              </w:rPr>
            </w:pPr>
            <w:r>
              <w:rPr>
                <w:sz w:val="22"/>
              </w:rPr>
              <w:t>Title</w:t>
            </w:r>
            <w:r>
              <w:rPr>
                <w:spacing w:val="-5"/>
                <w:sz w:val="22"/>
              </w:rPr>
              <w:t> XIX</w:t>
            </w:r>
          </w:p>
        </w:tc>
        <w:tc>
          <w:tcPr>
            <w:tcW w:w="1667" w:type="dxa"/>
          </w:tcPr>
          <w:p>
            <w:pPr>
              <w:pStyle w:val="TableParagraph"/>
              <w:rPr>
                <w:sz w:val="24"/>
              </w:rPr>
            </w:pPr>
          </w:p>
          <w:p>
            <w:pPr>
              <w:pStyle w:val="TableParagraph"/>
              <w:rPr>
                <w:sz w:val="24"/>
              </w:rPr>
            </w:pPr>
          </w:p>
          <w:p>
            <w:pPr>
              <w:pStyle w:val="TableParagraph"/>
              <w:rPr>
                <w:sz w:val="24"/>
              </w:rPr>
            </w:pPr>
          </w:p>
          <w:p>
            <w:pPr>
              <w:pStyle w:val="TableParagraph"/>
              <w:spacing w:before="6"/>
              <w:rPr>
                <w:sz w:val="30"/>
              </w:rPr>
            </w:pPr>
          </w:p>
          <w:p>
            <w:pPr>
              <w:pStyle w:val="TableParagraph"/>
              <w:ind w:left="108"/>
              <w:rPr>
                <w:sz w:val="22"/>
              </w:rPr>
            </w:pPr>
            <w:r>
              <w:rPr>
                <w:sz w:val="22"/>
              </w:rPr>
              <w:t>Base</w:t>
            </w:r>
            <w:r>
              <w:rPr>
                <w:spacing w:val="-3"/>
                <w:sz w:val="22"/>
              </w:rPr>
              <w:t> </w:t>
            </w:r>
            <w:r>
              <w:rPr>
                <w:spacing w:val="-2"/>
                <w:sz w:val="22"/>
              </w:rPr>
              <w:t>Disabled</w:t>
            </w:r>
          </w:p>
        </w:tc>
        <w:tc>
          <w:tcPr>
            <w:tcW w:w="1948" w:type="dxa"/>
          </w:tcPr>
          <w:p>
            <w:pPr>
              <w:pStyle w:val="TableParagraph"/>
              <w:rPr>
                <w:sz w:val="24"/>
              </w:rPr>
            </w:pPr>
          </w:p>
          <w:p>
            <w:pPr>
              <w:pStyle w:val="TableParagraph"/>
              <w:rPr>
                <w:sz w:val="24"/>
              </w:rPr>
            </w:pPr>
          </w:p>
          <w:p>
            <w:pPr>
              <w:pStyle w:val="TableParagraph"/>
              <w:rPr>
                <w:sz w:val="24"/>
              </w:rPr>
            </w:pPr>
          </w:p>
          <w:p>
            <w:pPr>
              <w:pStyle w:val="TableParagraph"/>
              <w:spacing w:before="6"/>
              <w:rPr>
                <w:sz w:val="30"/>
              </w:rPr>
            </w:pPr>
          </w:p>
          <w:p>
            <w:pPr>
              <w:pStyle w:val="TableParagraph"/>
              <w:ind w:left="109"/>
              <w:rPr>
                <w:sz w:val="22"/>
              </w:rPr>
            </w:pPr>
            <w:r>
              <w:rPr>
                <w:spacing w:val="-2"/>
                <w:sz w:val="22"/>
              </w:rPr>
              <w:t>Standard</w:t>
            </w:r>
          </w:p>
        </w:tc>
        <w:tc>
          <w:tcPr>
            <w:tcW w:w="2769" w:type="dxa"/>
          </w:tcPr>
          <w:p>
            <w:pPr>
              <w:pStyle w:val="TableParagraph"/>
              <w:rPr>
                <w:sz w:val="24"/>
              </w:rPr>
            </w:pPr>
          </w:p>
          <w:p>
            <w:pPr>
              <w:pStyle w:val="TableParagraph"/>
              <w:rPr>
                <w:sz w:val="24"/>
              </w:rPr>
            </w:pPr>
          </w:p>
          <w:p>
            <w:pPr>
              <w:pStyle w:val="TableParagraph"/>
              <w:spacing w:before="7"/>
              <w:rPr>
                <w:sz w:val="32"/>
              </w:rPr>
            </w:pPr>
          </w:p>
          <w:p>
            <w:pPr>
              <w:pStyle w:val="TableParagraph"/>
              <w:ind w:left="110"/>
              <w:rPr>
                <w:sz w:val="22"/>
              </w:rPr>
            </w:pPr>
            <w:r>
              <w:rPr>
                <w:sz w:val="22"/>
              </w:rPr>
              <w:t>Income and assets of their parents</w:t>
            </w:r>
            <w:r>
              <w:rPr>
                <w:spacing w:val="-10"/>
                <w:sz w:val="22"/>
              </w:rPr>
              <w:t> </w:t>
            </w:r>
            <w:r>
              <w:rPr>
                <w:sz w:val="22"/>
              </w:rPr>
              <w:t>are</w:t>
            </w:r>
            <w:r>
              <w:rPr>
                <w:spacing w:val="-10"/>
                <w:sz w:val="22"/>
              </w:rPr>
              <w:t> </w:t>
            </w:r>
            <w:r>
              <w:rPr>
                <w:sz w:val="22"/>
              </w:rPr>
              <w:t>not</w:t>
            </w:r>
            <w:r>
              <w:rPr>
                <w:spacing w:val="-10"/>
                <w:sz w:val="22"/>
              </w:rPr>
              <w:t> </w:t>
            </w:r>
            <w:r>
              <w:rPr>
                <w:sz w:val="22"/>
              </w:rPr>
              <w:t>considered</w:t>
            </w:r>
            <w:r>
              <w:rPr>
                <w:spacing w:val="-11"/>
                <w:sz w:val="22"/>
              </w:rPr>
              <w:t> </w:t>
            </w:r>
            <w:r>
              <w:rPr>
                <w:sz w:val="22"/>
              </w:rPr>
              <w:t>in determination of eligibility</w:t>
            </w:r>
          </w:p>
        </w:tc>
      </w:tr>
      <w:tr>
        <w:trPr>
          <w:trHeight w:val="1012" w:hRule="atLeast"/>
        </w:trPr>
        <w:tc>
          <w:tcPr>
            <w:tcW w:w="2484" w:type="dxa"/>
          </w:tcPr>
          <w:p>
            <w:pPr>
              <w:pStyle w:val="TableParagraph"/>
              <w:spacing w:before="11"/>
              <w:rPr>
                <w:sz w:val="21"/>
              </w:rPr>
            </w:pPr>
          </w:p>
          <w:p>
            <w:pPr>
              <w:pStyle w:val="TableParagraph"/>
              <w:ind w:left="107" w:right="163"/>
              <w:rPr>
                <w:sz w:val="22"/>
              </w:rPr>
            </w:pPr>
            <w:r>
              <w:rPr>
                <w:sz w:val="22"/>
              </w:rPr>
              <w:t>Children receiving title IV-E</w:t>
            </w:r>
            <w:r>
              <w:rPr>
                <w:spacing w:val="-14"/>
                <w:sz w:val="22"/>
              </w:rPr>
              <w:t> </w:t>
            </w:r>
            <w:r>
              <w:rPr>
                <w:sz w:val="22"/>
              </w:rPr>
              <w:t>adoption</w:t>
            </w:r>
            <w:r>
              <w:rPr>
                <w:spacing w:val="-14"/>
                <w:sz w:val="22"/>
              </w:rPr>
              <w:t> </w:t>
            </w:r>
            <w:r>
              <w:rPr>
                <w:sz w:val="22"/>
              </w:rPr>
              <w:t>assistance</w:t>
            </w:r>
          </w:p>
        </w:tc>
        <w:tc>
          <w:tcPr>
            <w:tcW w:w="2042" w:type="dxa"/>
          </w:tcPr>
          <w:p>
            <w:pPr>
              <w:pStyle w:val="TableParagraph"/>
              <w:rPr>
                <w:sz w:val="33"/>
              </w:rPr>
            </w:pPr>
          </w:p>
          <w:p>
            <w:pPr>
              <w:pStyle w:val="TableParagraph"/>
              <w:ind w:left="107"/>
              <w:rPr>
                <w:sz w:val="22"/>
              </w:rPr>
            </w:pPr>
            <w:r>
              <w:rPr>
                <w:sz w:val="22"/>
              </w:rPr>
              <w:t>Age</w:t>
            </w:r>
            <w:r>
              <w:rPr>
                <w:spacing w:val="-5"/>
                <w:sz w:val="22"/>
              </w:rPr>
              <w:t> </w:t>
            </w:r>
            <w:r>
              <w:rPr>
                <w:sz w:val="22"/>
              </w:rPr>
              <w:t>0</w:t>
            </w:r>
            <w:r>
              <w:rPr>
                <w:spacing w:val="-2"/>
                <w:sz w:val="22"/>
              </w:rPr>
              <w:t> </w:t>
            </w:r>
            <w:r>
              <w:rPr>
                <w:sz w:val="22"/>
              </w:rPr>
              <w:t>through</w:t>
            </w:r>
            <w:r>
              <w:rPr>
                <w:spacing w:val="-19"/>
                <w:sz w:val="22"/>
              </w:rPr>
              <w:t> </w:t>
            </w:r>
            <w:r>
              <w:rPr>
                <w:spacing w:val="-5"/>
                <w:sz w:val="22"/>
              </w:rPr>
              <w:t>18</w:t>
            </w:r>
          </w:p>
        </w:tc>
        <w:tc>
          <w:tcPr>
            <w:tcW w:w="2037" w:type="dxa"/>
          </w:tcPr>
          <w:p>
            <w:pPr>
              <w:pStyle w:val="TableParagraph"/>
              <w:rPr>
                <w:sz w:val="33"/>
              </w:rPr>
            </w:pPr>
          </w:p>
          <w:p>
            <w:pPr>
              <w:pStyle w:val="TableParagraph"/>
              <w:ind w:left="107"/>
              <w:rPr>
                <w:sz w:val="22"/>
              </w:rPr>
            </w:pPr>
            <w:r>
              <w:rPr>
                <w:sz w:val="22"/>
              </w:rPr>
              <w:t>Title</w:t>
            </w:r>
            <w:r>
              <w:rPr>
                <w:spacing w:val="-5"/>
                <w:sz w:val="22"/>
              </w:rPr>
              <w:t> XIX</w:t>
            </w:r>
          </w:p>
        </w:tc>
        <w:tc>
          <w:tcPr>
            <w:tcW w:w="1667" w:type="dxa"/>
          </w:tcPr>
          <w:p>
            <w:pPr>
              <w:pStyle w:val="TableParagraph"/>
              <w:rPr>
                <w:sz w:val="33"/>
              </w:rPr>
            </w:pPr>
          </w:p>
          <w:p>
            <w:pPr>
              <w:pStyle w:val="TableParagraph"/>
              <w:ind w:left="108"/>
              <w:rPr>
                <w:sz w:val="22"/>
              </w:rPr>
            </w:pPr>
            <w:r>
              <w:rPr>
                <w:sz w:val="22"/>
              </w:rPr>
              <w:t>Base</w:t>
            </w:r>
            <w:r>
              <w:rPr>
                <w:spacing w:val="-3"/>
                <w:sz w:val="22"/>
              </w:rPr>
              <w:t> </w:t>
            </w:r>
            <w:r>
              <w:rPr>
                <w:spacing w:val="-2"/>
                <w:sz w:val="22"/>
              </w:rPr>
              <w:t>Families</w:t>
            </w:r>
          </w:p>
        </w:tc>
        <w:tc>
          <w:tcPr>
            <w:tcW w:w="1948" w:type="dxa"/>
          </w:tcPr>
          <w:p>
            <w:pPr>
              <w:pStyle w:val="TableParagraph"/>
              <w:rPr>
                <w:sz w:val="33"/>
              </w:rPr>
            </w:pPr>
          </w:p>
          <w:p>
            <w:pPr>
              <w:pStyle w:val="TableParagraph"/>
              <w:ind w:left="109"/>
              <w:rPr>
                <w:sz w:val="22"/>
              </w:rPr>
            </w:pPr>
            <w:r>
              <w:rPr>
                <w:spacing w:val="-2"/>
                <w:sz w:val="22"/>
              </w:rPr>
              <w:t>Standard</w:t>
            </w:r>
          </w:p>
        </w:tc>
        <w:tc>
          <w:tcPr>
            <w:tcW w:w="2769" w:type="dxa"/>
          </w:tcPr>
          <w:p>
            <w:pPr>
              <w:pStyle w:val="TableParagraph"/>
              <w:spacing w:before="1"/>
              <w:ind w:left="110" w:right="127"/>
              <w:rPr>
                <w:sz w:val="22"/>
              </w:rPr>
            </w:pPr>
            <w:r>
              <w:rPr>
                <w:sz w:val="22"/>
              </w:rPr>
              <w:t>Children placed in subsidized</w:t>
            </w:r>
            <w:r>
              <w:rPr>
                <w:spacing w:val="-14"/>
                <w:sz w:val="22"/>
              </w:rPr>
              <w:t> </w:t>
            </w:r>
            <w:r>
              <w:rPr>
                <w:sz w:val="22"/>
              </w:rPr>
              <w:t>adoption</w:t>
            </w:r>
            <w:r>
              <w:rPr>
                <w:spacing w:val="-14"/>
                <w:sz w:val="22"/>
              </w:rPr>
              <w:t> </w:t>
            </w:r>
            <w:r>
              <w:rPr>
                <w:sz w:val="22"/>
              </w:rPr>
              <w:t>under title IV-E of the Social</w:t>
            </w:r>
          </w:p>
          <w:p>
            <w:pPr>
              <w:pStyle w:val="TableParagraph"/>
              <w:spacing w:line="233" w:lineRule="exact"/>
              <w:ind w:left="110"/>
              <w:rPr>
                <w:sz w:val="22"/>
              </w:rPr>
            </w:pPr>
            <w:r>
              <w:rPr>
                <w:sz w:val="22"/>
              </w:rPr>
              <w:t>Security</w:t>
            </w:r>
            <w:r>
              <w:rPr>
                <w:spacing w:val="-4"/>
                <w:sz w:val="22"/>
              </w:rPr>
              <w:t> </w:t>
            </w:r>
            <w:r>
              <w:rPr>
                <w:spacing w:val="-5"/>
                <w:sz w:val="22"/>
              </w:rPr>
              <w:t>Act</w:t>
            </w:r>
          </w:p>
        </w:tc>
      </w:tr>
    </w:tbl>
    <w:p>
      <w:pPr>
        <w:spacing w:after="0" w:line="233" w:lineRule="exact"/>
        <w:rPr>
          <w:sz w:val="22"/>
        </w:rPr>
        <w:sectPr>
          <w:pgSz w:w="15840" w:h="12240" w:orient="landscape"/>
          <w:pgMar w:header="0" w:footer="1201" w:top="1380" w:bottom="1400" w:left="1320" w:right="1340"/>
        </w:sectPr>
      </w:pPr>
    </w:p>
    <w:p>
      <w:pPr>
        <w:pStyle w:val="BodyText"/>
        <w:spacing w:before="2"/>
        <w:rPr>
          <w:sz w:val="5"/>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4"/>
        <w:gridCol w:w="2042"/>
        <w:gridCol w:w="2037"/>
        <w:gridCol w:w="1667"/>
        <w:gridCol w:w="1948"/>
        <w:gridCol w:w="2769"/>
      </w:tblGrid>
      <w:tr>
        <w:trPr>
          <w:trHeight w:val="253" w:hRule="atLeast"/>
        </w:trPr>
        <w:tc>
          <w:tcPr>
            <w:tcW w:w="12947" w:type="dxa"/>
            <w:gridSpan w:val="6"/>
            <w:shd w:val="clear" w:color="auto" w:fill="DBE6F1"/>
          </w:tcPr>
          <w:p>
            <w:pPr>
              <w:pStyle w:val="TableParagraph"/>
              <w:spacing w:line="234" w:lineRule="exact"/>
              <w:ind w:left="4160" w:right="4148"/>
              <w:jc w:val="center"/>
              <w:rPr>
                <w:b/>
                <w:sz w:val="22"/>
              </w:rPr>
            </w:pPr>
            <w:r>
              <w:rPr>
                <w:b/>
                <w:sz w:val="22"/>
              </w:rPr>
              <w:t>Table</w:t>
            </w:r>
            <w:r>
              <w:rPr>
                <w:b/>
                <w:spacing w:val="-3"/>
                <w:sz w:val="22"/>
              </w:rPr>
              <w:t> </w:t>
            </w:r>
            <w:r>
              <w:rPr>
                <w:b/>
                <w:sz w:val="22"/>
              </w:rPr>
              <w:t>2:</w:t>
            </w:r>
            <w:r>
              <w:rPr>
                <w:b/>
                <w:spacing w:val="-2"/>
                <w:sz w:val="22"/>
              </w:rPr>
              <w:t> </w:t>
            </w:r>
            <w:r>
              <w:rPr>
                <w:b/>
                <w:sz w:val="22"/>
              </w:rPr>
              <w:t>MassHealth</w:t>
            </w:r>
            <w:r>
              <w:rPr>
                <w:b/>
                <w:spacing w:val="-4"/>
                <w:sz w:val="22"/>
              </w:rPr>
              <w:t> </w:t>
            </w:r>
            <w:r>
              <w:rPr>
                <w:b/>
                <w:sz w:val="22"/>
              </w:rPr>
              <w:t>State</w:t>
            </w:r>
            <w:r>
              <w:rPr>
                <w:b/>
                <w:spacing w:val="-3"/>
                <w:sz w:val="22"/>
              </w:rPr>
              <w:t> </w:t>
            </w:r>
            <w:r>
              <w:rPr>
                <w:b/>
                <w:sz w:val="22"/>
              </w:rPr>
              <w:t>Plan</w:t>
            </w:r>
            <w:r>
              <w:rPr>
                <w:b/>
                <w:spacing w:val="-6"/>
                <w:sz w:val="22"/>
              </w:rPr>
              <w:t> </w:t>
            </w:r>
            <w:r>
              <w:rPr>
                <w:b/>
                <w:sz w:val="22"/>
              </w:rPr>
              <w:t>Base</w:t>
            </w:r>
            <w:r>
              <w:rPr>
                <w:b/>
                <w:spacing w:val="-4"/>
                <w:sz w:val="22"/>
              </w:rPr>
              <w:t> </w:t>
            </w:r>
            <w:r>
              <w:rPr>
                <w:b/>
                <w:spacing w:val="-2"/>
                <w:sz w:val="22"/>
              </w:rPr>
              <w:t>Populations</w:t>
            </w:r>
          </w:p>
        </w:tc>
      </w:tr>
      <w:tr>
        <w:trPr>
          <w:trHeight w:val="1009" w:hRule="atLeast"/>
        </w:trPr>
        <w:tc>
          <w:tcPr>
            <w:tcW w:w="2484" w:type="dxa"/>
            <w:shd w:val="clear" w:color="auto" w:fill="DBE6F1"/>
          </w:tcPr>
          <w:p>
            <w:pPr>
              <w:pStyle w:val="TableParagraph"/>
              <w:ind w:left="112" w:right="100" w:hanging="2"/>
              <w:jc w:val="center"/>
              <w:rPr>
                <w:b/>
                <w:sz w:val="22"/>
              </w:rPr>
            </w:pPr>
            <w:r>
              <w:rPr>
                <w:b/>
                <w:sz w:val="22"/>
              </w:rPr>
              <w:t>Medicaid Mandatory and</w:t>
            </w:r>
            <w:r>
              <w:rPr>
                <w:b/>
                <w:spacing w:val="-12"/>
                <w:sz w:val="22"/>
              </w:rPr>
              <w:t> </w:t>
            </w:r>
            <w:r>
              <w:rPr>
                <w:b/>
                <w:sz w:val="22"/>
              </w:rPr>
              <w:t>Optional</w:t>
            </w:r>
            <w:r>
              <w:rPr>
                <w:b/>
                <w:spacing w:val="-10"/>
                <w:sz w:val="22"/>
              </w:rPr>
              <w:t> </w:t>
            </w:r>
            <w:r>
              <w:rPr>
                <w:b/>
                <w:sz w:val="22"/>
              </w:rPr>
              <w:t>State</w:t>
            </w:r>
            <w:r>
              <w:rPr>
                <w:b/>
                <w:spacing w:val="-13"/>
                <w:sz w:val="22"/>
              </w:rPr>
              <w:t> </w:t>
            </w:r>
            <w:r>
              <w:rPr>
                <w:b/>
                <w:sz w:val="22"/>
              </w:rPr>
              <w:t>Plan</w:t>
            </w:r>
          </w:p>
          <w:p>
            <w:pPr>
              <w:pStyle w:val="TableParagraph"/>
              <w:spacing w:line="252" w:lineRule="exact"/>
              <w:ind w:left="278" w:right="267"/>
              <w:jc w:val="center"/>
              <w:rPr>
                <w:b/>
                <w:sz w:val="22"/>
              </w:rPr>
            </w:pPr>
            <w:r>
              <w:rPr>
                <w:b/>
                <w:sz w:val="22"/>
              </w:rPr>
              <w:t>Groups</w:t>
            </w:r>
            <w:r>
              <w:rPr>
                <w:b/>
                <w:spacing w:val="-14"/>
                <w:sz w:val="22"/>
              </w:rPr>
              <w:t> </w:t>
            </w:r>
            <w:r>
              <w:rPr>
                <w:b/>
                <w:sz w:val="22"/>
              </w:rPr>
              <w:t>(Categorical </w:t>
            </w:r>
            <w:r>
              <w:rPr>
                <w:b/>
                <w:spacing w:val="-2"/>
                <w:sz w:val="22"/>
              </w:rPr>
              <w:t>Eligibility)</w:t>
            </w:r>
          </w:p>
        </w:tc>
        <w:tc>
          <w:tcPr>
            <w:tcW w:w="2042" w:type="dxa"/>
            <w:shd w:val="clear" w:color="auto" w:fill="DBE6F1"/>
          </w:tcPr>
          <w:p>
            <w:pPr>
              <w:pStyle w:val="TableParagraph"/>
              <w:ind w:left="115" w:right="103" w:firstLine="2"/>
              <w:jc w:val="center"/>
              <w:rPr>
                <w:b/>
                <w:sz w:val="22"/>
              </w:rPr>
            </w:pPr>
            <w:r>
              <w:rPr>
                <w:b/>
                <w:sz w:val="22"/>
              </w:rPr>
              <w:t>Federal Poverty Level</w:t>
            </w:r>
            <w:r>
              <w:rPr>
                <w:b/>
                <w:spacing w:val="-4"/>
                <w:sz w:val="22"/>
              </w:rPr>
              <w:t> </w:t>
            </w:r>
            <w:r>
              <w:rPr>
                <w:b/>
                <w:sz w:val="22"/>
              </w:rPr>
              <w:t>(FPL)</w:t>
            </w:r>
            <w:r>
              <w:rPr>
                <w:b/>
                <w:spacing w:val="-1"/>
                <w:sz w:val="22"/>
              </w:rPr>
              <w:t> </w:t>
            </w:r>
            <w:r>
              <w:rPr>
                <w:b/>
                <w:spacing w:val="-2"/>
                <w:sz w:val="22"/>
              </w:rPr>
              <w:t>and/or</w:t>
            </w:r>
          </w:p>
          <w:p>
            <w:pPr>
              <w:pStyle w:val="TableParagraph"/>
              <w:spacing w:line="252" w:lineRule="exact"/>
              <w:ind w:left="211" w:right="196"/>
              <w:jc w:val="center"/>
              <w:rPr>
                <w:b/>
                <w:sz w:val="22"/>
              </w:rPr>
            </w:pPr>
            <w:r>
              <w:rPr>
                <w:b/>
                <w:sz w:val="22"/>
              </w:rPr>
              <w:t>Other</w:t>
            </w:r>
            <w:r>
              <w:rPr>
                <w:b/>
                <w:spacing w:val="-14"/>
                <w:sz w:val="22"/>
              </w:rPr>
              <w:t> </w:t>
            </w:r>
            <w:r>
              <w:rPr>
                <w:b/>
                <w:sz w:val="22"/>
              </w:rPr>
              <w:t>Qualifying </w:t>
            </w:r>
            <w:r>
              <w:rPr>
                <w:b/>
                <w:spacing w:val="-2"/>
                <w:sz w:val="22"/>
              </w:rPr>
              <w:t>Criteria</w:t>
            </w:r>
          </w:p>
        </w:tc>
        <w:tc>
          <w:tcPr>
            <w:tcW w:w="2037" w:type="dxa"/>
            <w:shd w:val="clear" w:color="auto" w:fill="DBE6F1"/>
          </w:tcPr>
          <w:p>
            <w:pPr>
              <w:pStyle w:val="TableParagraph"/>
              <w:spacing w:before="9"/>
              <w:rPr>
                <w:sz w:val="32"/>
              </w:rPr>
            </w:pPr>
          </w:p>
          <w:p>
            <w:pPr>
              <w:pStyle w:val="TableParagraph"/>
              <w:ind w:left="249"/>
              <w:rPr>
                <w:b/>
                <w:sz w:val="22"/>
              </w:rPr>
            </w:pPr>
            <w:r>
              <w:rPr>
                <w:b/>
                <w:sz w:val="22"/>
              </w:rPr>
              <w:t>Funding</w:t>
            </w:r>
            <w:r>
              <w:rPr>
                <w:b/>
                <w:spacing w:val="-4"/>
                <w:sz w:val="22"/>
              </w:rPr>
              <w:t> </w:t>
            </w:r>
            <w:r>
              <w:rPr>
                <w:b/>
                <w:spacing w:val="-2"/>
                <w:sz w:val="22"/>
              </w:rPr>
              <w:t>Stream</w:t>
            </w:r>
          </w:p>
        </w:tc>
        <w:tc>
          <w:tcPr>
            <w:tcW w:w="1667" w:type="dxa"/>
            <w:shd w:val="clear" w:color="auto" w:fill="DBE6F1"/>
          </w:tcPr>
          <w:p>
            <w:pPr>
              <w:pStyle w:val="TableParagraph"/>
              <w:ind w:left="163" w:right="149" w:hanging="4"/>
              <w:jc w:val="center"/>
              <w:rPr>
                <w:b/>
                <w:sz w:val="22"/>
              </w:rPr>
            </w:pPr>
            <w:r>
              <w:rPr>
                <w:b/>
                <w:spacing w:val="-2"/>
                <w:sz w:val="22"/>
              </w:rPr>
              <w:t>Expenditure </w:t>
            </w:r>
            <w:r>
              <w:rPr>
                <w:b/>
                <w:sz w:val="22"/>
              </w:rPr>
              <w:t>and</w:t>
            </w:r>
            <w:r>
              <w:rPr>
                <w:b/>
                <w:spacing w:val="-2"/>
                <w:sz w:val="22"/>
              </w:rPr>
              <w:t> </w:t>
            </w:r>
            <w:r>
              <w:rPr>
                <w:b/>
                <w:spacing w:val="-2"/>
                <w:sz w:val="22"/>
              </w:rPr>
              <w:t>Eligibility</w:t>
            </w:r>
          </w:p>
          <w:p>
            <w:pPr>
              <w:pStyle w:val="TableParagraph"/>
              <w:spacing w:line="252" w:lineRule="exact"/>
              <w:ind w:left="262" w:right="249"/>
              <w:jc w:val="center"/>
              <w:rPr>
                <w:b/>
                <w:sz w:val="22"/>
              </w:rPr>
            </w:pPr>
            <w:r>
              <w:rPr>
                <w:b/>
                <w:sz w:val="22"/>
              </w:rPr>
              <w:t>Group</w:t>
            </w:r>
            <w:r>
              <w:rPr>
                <w:b/>
                <w:spacing w:val="-14"/>
                <w:sz w:val="22"/>
              </w:rPr>
              <w:t> </w:t>
            </w:r>
            <w:r>
              <w:rPr>
                <w:b/>
                <w:sz w:val="22"/>
              </w:rPr>
              <w:t>(EG) </w:t>
            </w:r>
            <w:r>
              <w:rPr>
                <w:b/>
                <w:spacing w:val="-2"/>
                <w:sz w:val="22"/>
              </w:rPr>
              <w:t>Reporting</w:t>
            </w:r>
          </w:p>
        </w:tc>
        <w:tc>
          <w:tcPr>
            <w:tcW w:w="1948" w:type="dxa"/>
            <w:shd w:val="clear" w:color="auto" w:fill="DBE6F1"/>
          </w:tcPr>
          <w:p>
            <w:pPr>
              <w:pStyle w:val="TableParagraph"/>
              <w:spacing w:before="123"/>
              <w:ind w:left="270" w:right="256" w:firstLine="2"/>
              <w:jc w:val="center"/>
              <w:rPr>
                <w:b/>
                <w:sz w:val="22"/>
              </w:rPr>
            </w:pPr>
            <w:r>
              <w:rPr>
                <w:b/>
                <w:spacing w:val="-2"/>
                <w:sz w:val="22"/>
              </w:rPr>
              <w:t>MassHealth Demonstration Program</w:t>
            </w:r>
          </w:p>
        </w:tc>
        <w:tc>
          <w:tcPr>
            <w:tcW w:w="2769" w:type="dxa"/>
            <w:shd w:val="clear" w:color="auto" w:fill="DBE6F1"/>
          </w:tcPr>
          <w:p>
            <w:pPr>
              <w:pStyle w:val="TableParagraph"/>
              <w:spacing w:before="9"/>
              <w:rPr>
                <w:sz w:val="32"/>
              </w:rPr>
            </w:pPr>
          </w:p>
          <w:p>
            <w:pPr>
              <w:pStyle w:val="TableParagraph"/>
              <w:ind w:left="878"/>
              <w:rPr>
                <w:b/>
                <w:sz w:val="22"/>
              </w:rPr>
            </w:pPr>
            <w:r>
              <w:rPr>
                <w:b/>
                <w:spacing w:val="-2"/>
                <w:sz w:val="22"/>
              </w:rPr>
              <w:t>Comments</w:t>
            </w:r>
          </w:p>
        </w:tc>
      </w:tr>
      <w:tr>
        <w:trPr>
          <w:trHeight w:val="2025" w:hRule="atLeast"/>
        </w:trPr>
        <w:tc>
          <w:tcPr>
            <w:tcW w:w="2484" w:type="dxa"/>
          </w:tcPr>
          <w:p>
            <w:pPr>
              <w:pStyle w:val="TableParagraph"/>
              <w:spacing w:before="1"/>
              <w:ind w:left="107" w:right="149"/>
              <w:rPr>
                <w:sz w:val="22"/>
              </w:rPr>
            </w:pPr>
            <w:r>
              <w:rPr>
                <w:sz w:val="22"/>
              </w:rPr>
              <w:t>Special Home and </w:t>
            </w:r>
            <w:r>
              <w:rPr>
                <w:spacing w:val="-2"/>
                <w:sz w:val="22"/>
              </w:rPr>
              <w:t>Community-Based </w:t>
            </w:r>
            <w:r>
              <w:rPr>
                <w:sz w:val="22"/>
              </w:rPr>
              <w:t>Waiver (HCBW) Group (individuals</w:t>
            </w:r>
            <w:r>
              <w:rPr>
                <w:spacing w:val="-14"/>
                <w:sz w:val="22"/>
              </w:rPr>
              <w:t> </w:t>
            </w:r>
            <w:r>
              <w:rPr>
                <w:sz w:val="22"/>
              </w:rPr>
              <w:t>who</w:t>
            </w:r>
            <w:r>
              <w:rPr>
                <w:spacing w:val="-14"/>
                <w:sz w:val="22"/>
              </w:rPr>
              <w:t> </w:t>
            </w:r>
            <w:r>
              <w:rPr>
                <w:sz w:val="22"/>
              </w:rPr>
              <w:t>without the HCBW would be eligible for Medicaid if in an institution) under</w:t>
            </w:r>
          </w:p>
          <w:p>
            <w:pPr>
              <w:pStyle w:val="TableParagraph"/>
              <w:spacing w:line="234" w:lineRule="exact"/>
              <w:ind w:left="107"/>
              <w:rPr>
                <w:sz w:val="22"/>
              </w:rPr>
            </w:pPr>
            <w:r>
              <w:rPr>
                <w:sz w:val="22"/>
              </w:rPr>
              <w:t>age</w:t>
            </w:r>
            <w:r>
              <w:rPr>
                <w:spacing w:val="-3"/>
                <w:sz w:val="22"/>
              </w:rPr>
              <w:t> </w:t>
            </w:r>
            <w:r>
              <w:rPr>
                <w:spacing w:val="-5"/>
                <w:sz w:val="22"/>
              </w:rPr>
              <w:t>65</w:t>
            </w:r>
          </w:p>
        </w:tc>
        <w:tc>
          <w:tcPr>
            <w:tcW w:w="2042" w:type="dxa"/>
          </w:tcPr>
          <w:p>
            <w:pPr>
              <w:pStyle w:val="TableParagraph"/>
              <w:spacing w:before="7"/>
              <w:rPr>
                <w:sz w:val="31"/>
              </w:rPr>
            </w:pPr>
          </w:p>
          <w:p>
            <w:pPr>
              <w:pStyle w:val="TableParagraph"/>
              <w:numPr>
                <w:ilvl w:val="0"/>
                <w:numId w:val="10"/>
              </w:numPr>
              <w:tabs>
                <w:tab w:pos="467" w:val="left" w:leader="none"/>
              </w:tabs>
              <w:spacing w:line="240" w:lineRule="auto" w:before="0" w:after="0"/>
              <w:ind w:left="467" w:right="142" w:hanging="361"/>
              <w:jc w:val="left"/>
              <w:rPr>
                <w:sz w:val="22"/>
              </w:rPr>
            </w:pPr>
            <w:r>
              <w:rPr>
                <w:sz w:val="22"/>
              </w:rPr>
              <w:t>0</w:t>
            </w:r>
            <w:r>
              <w:rPr>
                <w:spacing w:val="-14"/>
                <w:sz w:val="22"/>
              </w:rPr>
              <w:t> </w:t>
            </w:r>
            <w:r>
              <w:rPr>
                <w:sz w:val="22"/>
              </w:rPr>
              <w:t>through</w:t>
            </w:r>
            <w:r>
              <w:rPr>
                <w:spacing w:val="-14"/>
                <w:sz w:val="22"/>
              </w:rPr>
              <w:t> </w:t>
            </w:r>
            <w:r>
              <w:rPr>
                <w:sz w:val="22"/>
              </w:rPr>
              <w:t>300% SSI Federal Benefits Rate</w:t>
            </w:r>
          </w:p>
          <w:p>
            <w:pPr>
              <w:pStyle w:val="TableParagraph"/>
              <w:numPr>
                <w:ilvl w:val="0"/>
                <w:numId w:val="10"/>
              </w:numPr>
              <w:tabs>
                <w:tab w:pos="467" w:val="left" w:leader="none"/>
              </w:tabs>
              <w:spacing w:line="268" w:lineRule="exact" w:before="0" w:after="0"/>
              <w:ind w:left="467" w:right="0" w:hanging="360"/>
              <w:jc w:val="left"/>
              <w:rPr>
                <w:sz w:val="22"/>
              </w:rPr>
            </w:pPr>
            <w:r>
              <w:rPr>
                <w:sz w:val="22"/>
              </w:rPr>
              <w:t>$0 </w:t>
            </w:r>
            <w:r>
              <w:rPr>
                <w:spacing w:val="-2"/>
                <w:sz w:val="22"/>
              </w:rPr>
              <w:t>through</w:t>
            </w:r>
          </w:p>
          <w:p>
            <w:pPr>
              <w:pStyle w:val="TableParagraph"/>
              <w:spacing w:line="252" w:lineRule="exact"/>
              <w:ind w:left="467"/>
              <w:rPr>
                <w:sz w:val="22"/>
              </w:rPr>
            </w:pPr>
            <w:r>
              <w:rPr>
                <w:sz w:val="22"/>
              </w:rPr>
              <w:t>$2,000</w:t>
            </w:r>
            <w:r>
              <w:rPr>
                <w:spacing w:val="-5"/>
                <w:sz w:val="22"/>
              </w:rPr>
              <w:t> </w:t>
            </w:r>
            <w:r>
              <w:rPr>
                <w:sz w:val="22"/>
              </w:rPr>
              <w:t>in</w:t>
            </w:r>
            <w:r>
              <w:rPr>
                <w:spacing w:val="1"/>
                <w:sz w:val="22"/>
              </w:rPr>
              <w:t> </w:t>
            </w:r>
            <w:r>
              <w:rPr>
                <w:spacing w:val="-2"/>
                <w:sz w:val="22"/>
              </w:rPr>
              <w:t>assets</w:t>
            </w:r>
          </w:p>
        </w:tc>
        <w:tc>
          <w:tcPr>
            <w:tcW w:w="2037" w:type="dxa"/>
          </w:tcPr>
          <w:p>
            <w:pPr>
              <w:pStyle w:val="TableParagraph"/>
              <w:rPr>
                <w:sz w:val="24"/>
              </w:rPr>
            </w:pPr>
          </w:p>
          <w:p>
            <w:pPr>
              <w:pStyle w:val="TableParagraph"/>
              <w:rPr>
                <w:sz w:val="24"/>
              </w:rPr>
            </w:pPr>
          </w:p>
          <w:p>
            <w:pPr>
              <w:pStyle w:val="TableParagraph"/>
              <w:spacing w:before="9"/>
              <w:rPr>
                <w:sz w:val="28"/>
              </w:rPr>
            </w:pPr>
          </w:p>
          <w:p>
            <w:pPr>
              <w:pStyle w:val="TableParagraph"/>
              <w:ind w:left="108"/>
              <w:rPr>
                <w:sz w:val="22"/>
              </w:rPr>
            </w:pPr>
            <w:r>
              <w:rPr>
                <w:sz w:val="22"/>
              </w:rPr>
              <w:t>Title</w:t>
            </w:r>
            <w:r>
              <w:rPr>
                <w:spacing w:val="-5"/>
                <w:sz w:val="22"/>
              </w:rPr>
              <w:t> XIX</w:t>
            </w:r>
          </w:p>
        </w:tc>
        <w:tc>
          <w:tcPr>
            <w:tcW w:w="1667" w:type="dxa"/>
          </w:tcPr>
          <w:p>
            <w:pPr>
              <w:pStyle w:val="TableParagraph"/>
              <w:rPr>
                <w:sz w:val="24"/>
              </w:rPr>
            </w:pPr>
          </w:p>
          <w:p>
            <w:pPr>
              <w:pStyle w:val="TableParagraph"/>
              <w:rPr>
                <w:sz w:val="24"/>
              </w:rPr>
            </w:pPr>
          </w:p>
          <w:p>
            <w:pPr>
              <w:pStyle w:val="TableParagraph"/>
              <w:spacing w:before="9"/>
              <w:rPr>
                <w:sz w:val="28"/>
              </w:rPr>
            </w:pPr>
          </w:p>
          <w:p>
            <w:pPr>
              <w:pStyle w:val="TableParagraph"/>
              <w:ind w:left="108"/>
              <w:rPr>
                <w:sz w:val="22"/>
              </w:rPr>
            </w:pPr>
            <w:r>
              <w:rPr>
                <w:sz w:val="22"/>
              </w:rPr>
              <w:t>Base</w:t>
            </w:r>
            <w:r>
              <w:rPr>
                <w:spacing w:val="-3"/>
                <w:sz w:val="22"/>
              </w:rPr>
              <w:t> </w:t>
            </w:r>
            <w:r>
              <w:rPr>
                <w:spacing w:val="-2"/>
                <w:sz w:val="22"/>
              </w:rPr>
              <w:t>Disabled</w:t>
            </w:r>
          </w:p>
        </w:tc>
        <w:tc>
          <w:tcPr>
            <w:tcW w:w="1948" w:type="dxa"/>
          </w:tcPr>
          <w:p>
            <w:pPr>
              <w:pStyle w:val="TableParagraph"/>
              <w:rPr>
                <w:sz w:val="24"/>
              </w:rPr>
            </w:pPr>
          </w:p>
          <w:p>
            <w:pPr>
              <w:pStyle w:val="TableParagraph"/>
              <w:rPr>
                <w:sz w:val="24"/>
              </w:rPr>
            </w:pPr>
          </w:p>
          <w:p>
            <w:pPr>
              <w:pStyle w:val="TableParagraph"/>
              <w:spacing w:before="9"/>
              <w:rPr>
                <w:sz w:val="28"/>
              </w:rPr>
            </w:pPr>
          </w:p>
          <w:p>
            <w:pPr>
              <w:pStyle w:val="TableParagraph"/>
              <w:ind w:left="109"/>
              <w:rPr>
                <w:sz w:val="22"/>
              </w:rPr>
            </w:pPr>
            <w:r>
              <w:rPr>
                <w:spacing w:val="-2"/>
                <w:sz w:val="22"/>
              </w:rPr>
              <w:t>Standard</w:t>
            </w:r>
          </w:p>
        </w:tc>
        <w:tc>
          <w:tcPr>
            <w:tcW w:w="2769" w:type="dxa"/>
          </w:tcPr>
          <w:p>
            <w:pPr>
              <w:pStyle w:val="TableParagraph"/>
              <w:rPr>
                <w:sz w:val="33"/>
              </w:rPr>
            </w:pPr>
          </w:p>
          <w:p>
            <w:pPr>
              <w:pStyle w:val="TableParagraph"/>
              <w:ind w:left="110"/>
              <w:rPr>
                <w:sz w:val="22"/>
              </w:rPr>
            </w:pPr>
            <w:r>
              <w:rPr>
                <w:sz w:val="22"/>
              </w:rPr>
              <w:t>All</w:t>
            </w:r>
            <w:r>
              <w:rPr>
                <w:spacing w:val="-12"/>
                <w:sz w:val="22"/>
              </w:rPr>
              <w:t> </w:t>
            </w:r>
            <w:r>
              <w:rPr>
                <w:sz w:val="22"/>
              </w:rPr>
              <w:t>other</w:t>
            </w:r>
            <w:r>
              <w:rPr>
                <w:spacing w:val="-12"/>
                <w:sz w:val="22"/>
              </w:rPr>
              <w:t> </w:t>
            </w:r>
            <w:r>
              <w:rPr>
                <w:sz w:val="22"/>
              </w:rPr>
              <w:t>participants</w:t>
            </w:r>
            <w:r>
              <w:rPr>
                <w:spacing w:val="-13"/>
                <w:sz w:val="22"/>
              </w:rPr>
              <w:t> </w:t>
            </w:r>
            <w:r>
              <w:rPr>
                <w:sz w:val="22"/>
              </w:rPr>
              <w:t>under age 65 in a HCBW are reflected in other Base Eligibility Groups in this </w:t>
            </w:r>
            <w:r>
              <w:rPr>
                <w:spacing w:val="-2"/>
                <w:sz w:val="22"/>
              </w:rPr>
              <w:t>chart.</w:t>
            </w:r>
          </w:p>
        </w:tc>
      </w:tr>
      <w:tr>
        <w:trPr>
          <w:trHeight w:val="4617" w:hRule="atLeast"/>
        </w:trPr>
        <w:tc>
          <w:tcPr>
            <w:tcW w:w="2484"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5"/>
              <w:rPr>
                <w:sz w:val="34"/>
              </w:rPr>
            </w:pPr>
          </w:p>
          <w:p>
            <w:pPr>
              <w:pStyle w:val="TableParagraph"/>
              <w:spacing w:before="1"/>
              <w:ind w:left="107" w:right="460"/>
              <w:rPr>
                <w:sz w:val="22"/>
              </w:rPr>
            </w:pPr>
            <w:r>
              <w:rPr>
                <w:sz w:val="22"/>
              </w:rPr>
              <w:t>Affordable</w:t>
            </w:r>
            <w:r>
              <w:rPr>
                <w:spacing w:val="-14"/>
                <w:sz w:val="22"/>
              </w:rPr>
              <w:t> </w:t>
            </w:r>
            <w:r>
              <w:rPr>
                <w:sz w:val="22"/>
              </w:rPr>
              <w:t>Care</w:t>
            </w:r>
            <w:r>
              <w:rPr>
                <w:spacing w:val="-14"/>
                <w:sz w:val="22"/>
              </w:rPr>
              <w:t> </w:t>
            </w:r>
            <w:r>
              <w:rPr>
                <w:sz w:val="22"/>
              </w:rPr>
              <w:t>Act New Adult Group</w:t>
            </w:r>
          </w:p>
        </w:tc>
        <w:tc>
          <w:tcPr>
            <w:tcW w:w="2042" w:type="dxa"/>
          </w:tcPr>
          <w:p>
            <w:pPr>
              <w:pStyle w:val="TableParagraph"/>
              <w:numPr>
                <w:ilvl w:val="0"/>
                <w:numId w:val="11"/>
              </w:numPr>
              <w:tabs>
                <w:tab w:pos="359" w:val="left" w:leader="none"/>
              </w:tabs>
              <w:spacing w:line="268" w:lineRule="exact" w:before="0" w:after="0"/>
              <w:ind w:left="359" w:right="125" w:hanging="359"/>
              <w:jc w:val="right"/>
              <w:rPr>
                <w:sz w:val="22"/>
              </w:rPr>
            </w:pPr>
            <w:r>
              <w:rPr>
                <w:sz w:val="22"/>
              </w:rPr>
              <w:t>Ages</w:t>
            </w:r>
            <w:r>
              <w:rPr>
                <w:spacing w:val="-2"/>
                <w:sz w:val="22"/>
              </w:rPr>
              <w:t> </w:t>
            </w:r>
            <w:r>
              <w:rPr>
                <w:sz w:val="22"/>
              </w:rPr>
              <w:t>19</w:t>
            </w:r>
            <w:r>
              <w:rPr>
                <w:spacing w:val="-2"/>
                <w:sz w:val="22"/>
              </w:rPr>
              <w:t> </w:t>
            </w:r>
            <w:r>
              <w:rPr>
                <w:sz w:val="22"/>
              </w:rPr>
              <w:t>and</w:t>
            </w:r>
            <w:r>
              <w:rPr>
                <w:spacing w:val="-1"/>
                <w:sz w:val="22"/>
              </w:rPr>
              <w:t> </w:t>
            </w:r>
            <w:r>
              <w:rPr>
                <w:spacing w:val="-5"/>
                <w:sz w:val="22"/>
              </w:rPr>
              <w:t>20:</w:t>
            </w:r>
          </w:p>
          <w:p>
            <w:pPr>
              <w:pStyle w:val="TableParagraph"/>
              <w:spacing w:line="252" w:lineRule="exact"/>
              <w:ind w:right="142"/>
              <w:jc w:val="right"/>
              <w:rPr>
                <w:sz w:val="22"/>
              </w:rPr>
            </w:pPr>
            <w:r>
              <w:rPr>
                <w:sz w:val="22"/>
              </w:rPr>
              <w:t>0</w:t>
            </w:r>
            <w:r>
              <w:rPr>
                <w:spacing w:val="-2"/>
                <w:sz w:val="22"/>
              </w:rPr>
              <w:t> </w:t>
            </w:r>
            <w:r>
              <w:rPr>
                <w:sz w:val="22"/>
              </w:rPr>
              <w:t>through</w:t>
            </w:r>
            <w:r>
              <w:rPr>
                <w:spacing w:val="-2"/>
                <w:sz w:val="22"/>
              </w:rPr>
              <w:t> </w:t>
            </w:r>
            <w:r>
              <w:rPr>
                <w:spacing w:val="-4"/>
                <w:sz w:val="22"/>
              </w:rPr>
              <w:t>133%</w:t>
            </w:r>
          </w:p>
          <w:p>
            <w:pPr>
              <w:pStyle w:val="TableParagraph"/>
              <w:numPr>
                <w:ilvl w:val="0"/>
                <w:numId w:val="11"/>
              </w:numPr>
              <w:tabs>
                <w:tab w:pos="465" w:val="left" w:leader="none"/>
                <w:tab w:pos="467" w:val="left" w:leader="none"/>
              </w:tabs>
              <w:spacing w:line="240" w:lineRule="auto" w:before="0" w:after="0"/>
              <w:ind w:left="467" w:right="113" w:hanging="361"/>
              <w:jc w:val="both"/>
              <w:rPr>
                <w:sz w:val="22"/>
              </w:rPr>
            </w:pPr>
            <w:r>
              <w:rPr>
                <w:sz w:val="22"/>
              </w:rPr>
              <w:t>Individuals</w:t>
            </w:r>
            <w:r>
              <w:rPr>
                <w:spacing w:val="-14"/>
                <w:sz w:val="22"/>
              </w:rPr>
              <w:t> </w:t>
            </w:r>
            <w:r>
              <w:rPr>
                <w:sz w:val="22"/>
              </w:rPr>
              <w:t>with HIV</w:t>
            </w:r>
            <w:r>
              <w:rPr>
                <w:spacing w:val="-13"/>
                <w:sz w:val="22"/>
              </w:rPr>
              <w:t> </w:t>
            </w:r>
            <w:r>
              <w:rPr>
                <w:sz w:val="22"/>
              </w:rPr>
              <w:t>or</w:t>
            </w:r>
            <w:r>
              <w:rPr>
                <w:spacing w:val="-13"/>
                <w:sz w:val="22"/>
              </w:rPr>
              <w:t> </w:t>
            </w:r>
            <w:r>
              <w:rPr>
                <w:sz w:val="22"/>
              </w:rPr>
              <w:t>breast</w:t>
            </w:r>
            <w:r>
              <w:rPr>
                <w:spacing w:val="-13"/>
                <w:sz w:val="22"/>
              </w:rPr>
              <w:t> </w:t>
            </w:r>
            <w:r>
              <w:rPr>
                <w:sz w:val="22"/>
              </w:rPr>
              <w:t>or cervical cancer: 0</w:t>
            </w:r>
            <w:r>
              <w:rPr>
                <w:spacing w:val="-2"/>
                <w:sz w:val="22"/>
              </w:rPr>
              <w:t> </w:t>
            </w:r>
            <w:r>
              <w:rPr>
                <w:sz w:val="22"/>
              </w:rPr>
              <w:t>through</w:t>
            </w:r>
            <w:r>
              <w:rPr>
                <w:spacing w:val="-2"/>
                <w:sz w:val="22"/>
              </w:rPr>
              <w:t> </w:t>
            </w:r>
            <w:r>
              <w:rPr>
                <w:spacing w:val="-4"/>
                <w:sz w:val="22"/>
              </w:rPr>
              <w:t>133%</w:t>
            </w:r>
          </w:p>
          <w:p>
            <w:pPr>
              <w:pStyle w:val="TableParagraph"/>
              <w:numPr>
                <w:ilvl w:val="0"/>
                <w:numId w:val="11"/>
              </w:numPr>
              <w:tabs>
                <w:tab w:pos="468" w:val="left" w:leader="none"/>
              </w:tabs>
              <w:spacing w:line="240" w:lineRule="auto" w:before="1" w:after="0"/>
              <w:ind w:left="468" w:right="141" w:hanging="361"/>
              <w:jc w:val="left"/>
              <w:rPr>
                <w:sz w:val="22"/>
              </w:rPr>
            </w:pPr>
            <w:r>
              <w:rPr>
                <w:spacing w:val="-2"/>
                <w:sz w:val="22"/>
              </w:rPr>
              <w:t>Individuals receiving </w:t>
            </w:r>
            <w:r>
              <w:rPr>
                <w:sz w:val="22"/>
              </w:rPr>
              <w:t>services or on a waiting list to receive</w:t>
            </w:r>
            <w:r>
              <w:rPr>
                <w:spacing w:val="-14"/>
                <w:sz w:val="22"/>
              </w:rPr>
              <w:t> </w:t>
            </w:r>
            <w:r>
              <w:rPr>
                <w:sz w:val="22"/>
              </w:rPr>
              <w:t>services through the Department of Mental Health: 0</w:t>
            </w:r>
            <w:r>
              <w:rPr>
                <w:spacing w:val="-2"/>
                <w:sz w:val="22"/>
              </w:rPr>
              <w:t> </w:t>
            </w:r>
            <w:r>
              <w:rPr>
                <w:sz w:val="22"/>
              </w:rPr>
              <w:t>through</w:t>
            </w:r>
            <w:r>
              <w:rPr>
                <w:spacing w:val="-2"/>
                <w:sz w:val="22"/>
              </w:rPr>
              <w:t> </w:t>
            </w:r>
            <w:r>
              <w:rPr>
                <w:spacing w:val="-4"/>
                <w:sz w:val="22"/>
              </w:rPr>
              <w:t>133%</w:t>
            </w:r>
          </w:p>
          <w:p>
            <w:pPr>
              <w:pStyle w:val="TableParagraph"/>
              <w:numPr>
                <w:ilvl w:val="0"/>
                <w:numId w:val="11"/>
              </w:numPr>
              <w:tabs>
                <w:tab w:pos="467" w:val="left" w:leader="none"/>
              </w:tabs>
              <w:spacing w:line="240" w:lineRule="auto" w:before="0" w:after="0"/>
              <w:ind w:left="467" w:right="178" w:hanging="361"/>
              <w:jc w:val="left"/>
              <w:rPr>
                <w:sz w:val="22"/>
              </w:rPr>
            </w:pPr>
            <w:r>
              <w:rPr>
                <w:sz w:val="22"/>
              </w:rPr>
              <w:t>Adults</w:t>
            </w:r>
            <w:r>
              <w:rPr>
                <w:spacing w:val="-14"/>
                <w:sz w:val="22"/>
              </w:rPr>
              <w:t> </w:t>
            </w:r>
            <w:r>
              <w:rPr>
                <w:sz w:val="22"/>
              </w:rPr>
              <w:t>ages</w:t>
            </w:r>
            <w:r>
              <w:rPr>
                <w:spacing w:val="-14"/>
                <w:sz w:val="22"/>
              </w:rPr>
              <w:t> </w:t>
            </w:r>
            <w:r>
              <w:rPr>
                <w:sz w:val="22"/>
              </w:rPr>
              <w:t>21- 64: 0 through</w:t>
            </w:r>
          </w:p>
          <w:p>
            <w:pPr>
              <w:pStyle w:val="TableParagraph"/>
              <w:spacing w:line="233" w:lineRule="exact"/>
              <w:ind w:left="467"/>
              <w:rPr>
                <w:sz w:val="22"/>
              </w:rPr>
            </w:pPr>
            <w:r>
              <w:rPr>
                <w:spacing w:val="-4"/>
                <w:sz w:val="22"/>
              </w:rPr>
              <w:t>133%</w:t>
            </w:r>
          </w:p>
        </w:tc>
        <w:tc>
          <w:tcPr>
            <w:tcW w:w="2037"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6"/>
              <w:rPr>
                <w:sz w:val="21"/>
              </w:rPr>
            </w:pPr>
          </w:p>
          <w:p>
            <w:pPr>
              <w:pStyle w:val="TableParagraph"/>
              <w:ind w:left="108"/>
              <w:rPr>
                <w:sz w:val="22"/>
              </w:rPr>
            </w:pPr>
            <w:r>
              <w:rPr>
                <w:sz w:val="22"/>
              </w:rPr>
              <w:t>Title</w:t>
            </w:r>
            <w:r>
              <w:rPr>
                <w:spacing w:val="-5"/>
                <w:sz w:val="22"/>
              </w:rPr>
              <w:t> XIX</w:t>
            </w:r>
          </w:p>
        </w:tc>
        <w:tc>
          <w:tcPr>
            <w:tcW w:w="1667"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6"/>
              <w:rPr>
                <w:sz w:val="34"/>
              </w:rPr>
            </w:pPr>
          </w:p>
          <w:p>
            <w:pPr>
              <w:pStyle w:val="TableParagraph"/>
              <w:ind w:left="108" w:right="571"/>
              <w:rPr>
                <w:sz w:val="22"/>
              </w:rPr>
            </w:pPr>
            <w:r>
              <w:rPr>
                <w:sz w:val="22"/>
              </w:rPr>
              <w:t>New</w:t>
            </w:r>
            <w:r>
              <w:rPr>
                <w:spacing w:val="-14"/>
                <w:sz w:val="22"/>
              </w:rPr>
              <w:t> </w:t>
            </w:r>
            <w:r>
              <w:rPr>
                <w:sz w:val="22"/>
              </w:rPr>
              <w:t>Adult </w:t>
            </w:r>
            <w:r>
              <w:rPr>
                <w:spacing w:val="-2"/>
                <w:sz w:val="22"/>
              </w:rPr>
              <w:t>Group</w:t>
            </w:r>
          </w:p>
        </w:tc>
        <w:tc>
          <w:tcPr>
            <w:tcW w:w="1948"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4"/>
              <w:rPr>
                <w:sz w:val="27"/>
              </w:rPr>
            </w:pPr>
          </w:p>
          <w:p>
            <w:pPr>
              <w:pStyle w:val="TableParagraph"/>
              <w:ind w:left="109" w:right="656"/>
              <w:rPr>
                <w:sz w:val="22"/>
              </w:rPr>
            </w:pPr>
            <w:r>
              <w:rPr>
                <w:spacing w:val="-2"/>
                <w:sz w:val="22"/>
              </w:rPr>
              <w:t>Standard (Alternative </w:t>
            </w:r>
            <w:r>
              <w:rPr>
                <w:sz w:val="22"/>
              </w:rPr>
              <w:t>Benefit</w:t>
            </w:r>
            <w:r>
              <w:rPr>
                <w:spacing w:val="-14"/>
                <w:sz w:val="22"/>
              </w:rPr>
              <w:t> </w:t>
            </w:r>
            <w:r>
              <w:rPr>
                <w:sz w:val="22"/>
              </w:rPr>
              <w:t>Plan)</w:t>
            </w:r>
          </w:p>
          <w:p>
            <w:pPr>
              <w:pStyle w:val="TableParagraph"/>
              <w:spacing w:before="3"/>
              <w:rPr>
                <w:sz w:val="22"/>
              </w:rPr>
            </w:pPr>
          </w:p>
          <w:p>
            <w:pPr>
              <w:pStyle w:val="TableParagraph"/>
              <w:spacing w:before="1"/>
              <w:ind w:left="109" w:right="656"/>
              <w:rPr>
                <w:sz w:val="22"/>
              </w:rPr>
            </w:pPr>
            <w:r>
              <w:rPr>
                <w:spacing w:val="-2"/>
                <w:sz w:val="22"/>
              </w:rPr>
              <w:t>CarePlus (Alternative </w:t>
            </w:r>
            <w:r>
              <w:rPr>
                <w:sz w:val="22"/>
              </w:rPr>
              <w:t>Benefit</w:t>
            </w:r>
            <w:r>
              <w:rPr>
                <w:spacing w:val="-14"/>
                <w:sz w:val="22"/>
              </w:rPr>
              <w:t> </w:t>
            </w:r>
            <w:r>
              <w:rPr>
                <w:sz w:val="22"/>
              </w:rPr>
              <w:t>Plan)</w:t>
            </w:r>
          </w:p>
        </w:tc>
        <w:tc>
          <w:tcPr>
            <w:tcW w:w="2769"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90"/>
              <w:ind w:left="110"/>
              <w:rPr>
                <w:sz w:val="22"/>
              </w:rPr>
            </w:pPr>
            <w:r>
              <w:rPr>
                <w:sz w:val="22"/>
              </w:rPr>
              <w:t>Ages</w:t>
            </w:r>
            <w:r>
              <w:rPr>
                <w:spacing w:val="-7"/>
                <w:sz w:val="22"/>
              </w:rPr>
              <w:t> </w:t>
            </w:r>
            <w:r>
              <w:rPr>
                <w:sz w:val="22"/>
              </w:rPr>
              <w:t>19</w:t>
            </w:r>
            <w:r>
              <w:rPr>
                <w:spacing w:val="-7"/>
                <w:sz w:val="22"/>
              </w:rPr>
              <w:t> </w:t>
            </w:r>
            <w:r>
              <w:rPr>
                <w:sz w:val="22"/>
              </w:rPr>
              <w:t>and</w:t>
            </w:r>
            <w:r>
              <w:rPr>
                <w:spacing w:val="-7"/>
                <w:sz w:val="22"/>
              </w:rPr>
              <w:t> </w:t>
            </w:r>
            <w:r>
              <w:rPr>
                <w:sz w:val="22"/>
              </w:rPr>
              <w:t>20</w:t>
            </w:r>
            <w:r>
              <w:rPr>
                <w:spacing w:val="-10"/>
                <w:sz w:val="22"/>
              </w:rPr>
              <w:t> </w:t>
            </w:r>
            <w:r>
              <w:rPr>
                <w:sz w:val="22"/>
              </w:rPr>
              <w:t>treated</w:t>
            </w:r>
            <w:r>
              <w:rPr>
                <w:spacing w:val="-7"/>
                <w:sz w:val="22"/>
              </w:rPr>
              <w:t> </w:t>
            </w:r>
            <w:r>
              <w:rPr>
                <w:sz w:val="22"/>
              </w:rPr>
              <w:t>as children and entitled to </w:t>
            </w:r>
            <w:r>
              <w:rPr>
                <w:spacing w:val="-2"/>
                <w:sz w:val="22"/>
              </w:rPr>
              <w:t>EPSDT</w:t>
            </w:r>
          </w:p>
          <w:p>
            <w:pPr>
              <w:pStyle w:val="TableParagraph"/>
              <w:rPr>
                <w:sz w:val="22"/>
              </w:rPr>
            </w:pPr>
          </w:p>
          <w:p>
            <w:pPr>
              <w:pStyle w:val="TableParagraph"/>
              <w:ind w:left="110" w:right="152"/>
              <w:rPr>
                <w:sz w:val="22"/>
              </w:rPr>
            </w:pPr>
            <w:r>
              <w:rPr>
                <w:sz w:val="22"/>
              </w:rPr>
              <w:t>Individuals exempt from mandatory</w:t>
            </w:r>
            <w:r>
              <w:rPr>
                <w:spacing w:val="-13"/>
                <w:sz w:val="22"/>
              </w:rPr>
              <w:t> </w:t>
            </w:r>
            <w:r>
              <w:rPr>
                <w:sz w:val="22"/>
              </w:rPr>
              <w:t>enrollment</w:t>
            </w:r>
            <w:r>
              <w:rPr>
                <w:spacing w:val="-12"/>
                <w:sz w:val="22"/>
              </w:rPr>
              <w:t> </w:t>
            </w:r>
            <w:r>
              <w:rPr>
                <w:sz w:val="22"/>
              </w:rPr>
              <w:t>in</w:t>
            </w:r>
            <w:r>
              <w:rPr>
                <w:spacing w:val="-10"/>
                <w:sz w:val="22"/>
              </w:rPr>
              <w:t> </w:t>
            </w:r>
            <w:r>
              <w:rPr>
                <w:sz w:val="22"/>
              </w:rPr>
              <w:t>an Alternative Benefit Plan may enroll in</w:t>
            </w:r>
            <w:r>
              <w:rPr>
                <w:spacing w:val="-4"/>
                <w:sz w:val="22"/>
              </w:rPr>
              <w:t> </w:t>
            </w:r>
            <w:r>
              <w:rPr>
                <w:sz w:val="22"/>
              </w:rPr>
              <w:t>Standard</w:t>
            </w:r>
          </w:p>
        </w:tc>
      </w:tr>
      <w:tr>
        <w:trPr>
          <w:trHeight w:val="251" w:hRule="atLeast"/>
        </w:trPr>
        <w:tc>
          <w:tcPr>
            <w:tcW w:w="2484" w:type="dxa"/>
          </w:tcPr>
          <w:p>
            <w:pPr>
              <w:pStyle w:val="TableParagraph"/>
              <w:spacing w:line="232" w:lineRule="exact"/>
              <w:ind w:left="107"/>
              <w:rPr>
                <w:sz w:val="22"/>
              </w:rPr>
            </w:pPr>
            <w:r>
              <w:rPr>
                <w:spacing w:val="-4"/>
                <w:sz w:val="22"/>
              </w:rPr>
              <w:t>TANF</w:t>
            </w:r>
          </w:p>
        </w:tc>
        <w:tc>
          <w:tcPr>
            <w:tcW w:w="2042" w:type="dxa"/>
          </w:tcPr>
          <w:p>
            <w:pPr>
              <w:pStyle w:val="TableParagraph"/>
              <w:spacing w:line="232" w:lineRule="exact"/>
              <w:ind w:left="107"/>
              <w:rPr>
                <w:sz w:val="22"/>
              </w:rPr>
            </w:pPr>
            <w:r>
              <w:rPr>
                <w:sz w:val="22"/>
              </w:rPr>
              <w:t>Referred</w:t>
            </w:r>
            <w:r>
              <w:rPr>
                <w:spacing w:val="-6"/>
                <w:sz w:val="22"/>
              </w:rPr>
              <w:t> </w:t>
            </w:r>
            <w:r>
              <w:rPr>
                <w:spacing w:val="-2"/>
                <w:sz w:val="22"/>
              </w:rPr>
              <w:t>eligibility</w:t>
            </w:r>
          </w:p>
        </w:tc>
        <w:tc>
          <w:tcPr>
            <w:tcW w:w="2037" w:type="dxa"/>
          </w:tcPr>
          <w:p>
            <w:pPr>
              <w:pStyle w:val="TableParagraph"/>
              <w:spacing w:line="232" w:lineRule="exact"/>
              <w:ind w:left="108"/>
              <w:rPr>
                <w:sz w:val="22"/>
              </w:rPr>
            </w:pPr>
            <w:r>
              <w:rPr>
                <w:sz w:val="22"/>
              </w:rPr>
              <w:t>Title</w:t>
            </w:r>
            <w:r>
              <w:rPr>
                <w:spacing w:val="-5"/>
                <w:sz w:val="22"/>
              </w:rPr>
              <w:t> XIX</w:t>
            </w:r>
          </w:p>
        </w:tc>
        <w:tc>
          <w:tcPr>
            <w:tcW w:w="1667" w:type="dxa"/>
          </w:tcPr>
          <w:p>
            <w:pPr>
              <w:pStyle w:val="TableParagraph"/>
              <w:spacing w:line="232" w:lineRule="exact"/>
              <w:ind w:left="108"/>
              <w:rPr>
                <w:sz w:val="22"/>
              </w:rPr>
            </w:pPr>
            <w:r>
              <w:rPr>
                <w:sz w:val="22"/>
              </w:rPr>
              <w:t>Base</w:t>
            </w:r>
            <w:r>
              <w:rPr>
                <w:spacing w:val="-3"/>
                <w:sz w:val="22"/>
              </w:rPr>
              <w:t> </w:t>
            </w:r>
            <w:r>
              <w:rPr>
                <w:spacing w:val="-2"/>
                <w:sz w:val="22"/>
              </w:rPr>
              <w:t>Families</w:t>
            </w:r>
          </w:p>
        </w:tc>
        <w:tc>
          <w:tcPr>
            <w:tcW w:w="1948" w:type="dxa"/>
          </w:tcPr>
          <w:p>
            <w:pPr>
              <w:pStyle w:val="TableParagraph"/>
              <w:spacing w:line="232" w:lineRule="exact"/>
              <w:ind w:left="109"/>
              <w:rPr>
                <w:sz w:val="22"/>
              </w:rPr>
            </w:pPr>
            <w:r>
              <w:rPr>
                <w:spacing w:val="-2"/>
                <w:sz w:val="22"/>
              </w:rPr>
              <w:t>Standard</w:t>
            </w:r>
          </w:p>
        </w:tc>
        <w:tc>
          <w:tcPr>
            <w:tcW w:w="2769" w:type="dxa"/>
          </w:tcPr>
          <w:p>
            <w:pPr>
              <w:pStyle w:val="TableParagraph"/>
              <w:rPr>
                <w:sz w:val="18"/>
              </w:rPr>
            </w:pPr>
          </w:p>
        </w:tc>
      </w:tr>
    </w:tbl>
    <w:p>
      <w:pPr>
        <w:spacing w:after="0"/>
        <w:rPr>
          <w:sz w:val="18"/>
        </w:rPr>
        <w:sectPr>
          <w:pgSz w:w="15840" w:h="12240" w:orient="landscape"/>
          <w:pgMar w:header="0" w:footer="1201" w:top="1380" w:bottom="1400" w:left="1320" w:right="1340"/>
        </w:sectPr>
      </w:pPr>
    </w:p>
    <w:p>
      <w:pPr>
        <w:pStyle w:val="BodyText"/>
        <w:spacing w:before="2"/>
        <w:rPr>
          <w:sz w:val="5"/>
        </w:rPr>
      </w:pPr>
    </w:p>
    <w:tbl>
      <w:tblPr>
        <w:tblW w:w="0" w:type="auto"/>
        <w:jc w:val="left"/>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82"/>
        <w:gridCol w:w="6670"/>
        <w:gridCol w:w="3790"/>
      </w:tblGrid>
      <w:tr>
        <w:trPr>
          <w:trHeight w:val="464" w:hRule="atLeast"/>
        </w:trPr>
        <w:tc>
          <w:tcPr>
            <w:tcW w:w="12942" w:type="dxa"/>
            <w:gridSpan w:val="3"/>
            <w:shd w:val="clear" w:color="auto" w:fill="DBE4F0"/>
          </w:tcPr>
          <w:p>
            <w:pPr>
              <w:pStyle w:val="TableParagraph"/>
              <w:spacing w:before="27"/>
              <w:ind w:left="4247" w:right="4228"/>
              <w:jc w:val="center"/>
              <w:rPr>
                <w:b/>
                <w:sz w:val="22"/>
              </w:rPr>
            </w:pPr>
            <w:r>
              <w:rPr>
                <w:b/>
                <w:sz w:val="22"/>
              </w:rPr>
              <w:t>Table</w:t>
            </w:r>
            <w:r>
              <w:rPr>
                <w:b/>
                <w:spacing w:val="-6"/>
                <w:sz w:val="22"/>
              </w:rPr>
              <w:t> </w:t>
            </w:r>
            <w:r>
              <w:rPr>
                <w:b/>
                <w:sz w:val="22"/>
              </w:rPr>
              <w:t>3:</w:t>
            </w:r>
            <w:r>
              <w:rPr>
                <w:b/>
                <w:spacing w:val="-4"/>
                <w:sz w:val="22"/>
              </w:rPr>
              <w:t> </w:t>
            </w:r>
            <w:r>
              <w:rPr>
                <w:b/>
                <w:sz w:val="22"/>
              </w:rPr>
              <w:t>Demonstration</w:t>
            </w:r>
            <w:r>
              <w:rPr>
                <w:b/>
                <w:spacing w:val="-6"/>
                <w:sz w:val="22"/>
              </w:rPr>
              <w:t> </w:t>
            </w:r>
            <w:r>
              <w:rPr>
                <w:b/>
                <w:sz w:val="22"/>
              </w:rPr>
              <w:t>Expansion</w:t>
            </w:r>
            <w:r>
              <w:rPr>
                <w:b/>
                <w:spacing w:val="-5"/>
                <w:sz w:val="22"/>
              </w:rPr>
              <w:t> </w:t>
            </w:r>
            <w:r>
              <w:rPr>
                <w:b/>
                <w:spacing w:val="-2"/>
                <w:sz w:val="22"/>
              </w:rPr>
              <w:t>Populations</w:t>
            </w:r>
          </w:p>
        </w:tc>
      </w:tr>
      <w:tr>
        <w:trPr>
          <w:trHeight w:val="1004" w:hRule="atLeast"/>
        </w:trPr>
        <w:tc>
          <w:tcPr>
            <w:tcW w:w="2482" w:type="dxa"/>
            <w:shd w:val="clear" w:color="auto" w:fill="DBE4F0"/>
          </w:tcPr>
          <w:p>
            <w:pPr>
              <w:pStyle w:val="TableParagraph"/>
              <w:spacing w:before="10"/>
              <w:rPr>
                <w:sz w:val="25"/>
              </w:rPr>
            </w:pPr>
          </w:p>
          <w:p>
            <w:pPr>
              <w:pStyle w:val="TableParagraph"/>
              <w:ind w:left="424"/>
              <w:rPr>
                <w:b/>
                <w:sz w:val="22"/>
              </w:rPr>
            </w:pPr>
            <w:r>
              <w:rPr>
                <w:b/>
                <w:sz w:val="22"/>
              </w:rPr>
              <w:t>Population</w:t>
            </w:r>
            <w:r>
              <w:rPr>
                <w:b/>
                <w:spacing w:val="-8"/>
                <w:sz w:val="22"/>
              </w:rPr>
              <w:t> </w:t>
            </w:r>
            <w:r>
              <w:rPr>
                <w:b/>
                <w:spacing w:val="-4"/>
                <w:sz w:val="22"/>
              </w:rPr>
              <w:t>Name</w:t>
            </w:r>
          </w:p>
        </w:tc>
        <w:tc>
          <w:tcPr>
            <w:tcW w:w="6670" w:type="dxa"/>
            <w:shd w:val="clear" w:color="auto" w:fill="DBE4F0"/>
          </w:tcPr>
          <w:p>
            <w:pPr>
              <w:pStyle w:val="TableParagraph"/>
              <w:spacing w:before="10"/>
              <w:rPr>
                <w:sz w:val="25"/>
              </w:rPr>
            </w:pPr>
          </w:p>
          <w:p>
            <w:pPr>
              <w:pStyle w:val="TableParagraph"/>
              <w:ind w:left="2243" w:right="2225"/>
              <w:jc w:val="center"/>
              <w:rPr>
                <w:b/>
                <w:sz w:val="22"/>
              </w:rPr>
            </w:pPr>
            <w:r>
              <w:rPr>
                <w:b/>
                <w:sz w:val="22"/>
              </w:rPr>
              <w:t>Population</w:t>
            </w:r>
            <w:r>
              <w:rPr>
                <w:b/>
                <w:spacing w:val="-6"/>
                <w:sz w:val="22"/>
              </w:rPr>
              <w:t> </w:t>
            </w:r>
            <w:r>
              <w:rPr>
                <w:b/>
                <w:spacing w:val="-2"/>
                <w:sz w:val="22"/>
              </w:rPr>
              <w:t>Description</w:t>
            </w:r>
          </w:p>
        </w:tc>
        <w:tc>
          <w:tcPr>
            <w:tcW w:w="3790" w:type="dxa"/>
            <w:shd w:val="clear" w:color="auto" w:fill="DBE4F0"/>
          </w:tcPr>
          <w:p>
            <w:pPr>
              <w:pStyle w:val="TableParagraph"/>
              <w:spacing w:before="10"/>
              <w:rPr>
                <w:sz w:val="25"/>
              </w:rPr>
            </w:pPr>
          </w:p>
          <w:p>
            <w:pPr>
              <w:pStyle w:val="TableParagraph"/>
              <w:ind w:left="209" w:right="192"/>
              <w:jc w:val="center"/>
              <w:rPr>
                <w:b/>
                <w:sz w:val="22"/>
              </w:rPr>
            </w:pPr>
            <w:r>
              <w:rPr>
                <w:b/>
                <w:spacing w:val="-2"/>
                <w:sz w:val="22"/>
              </w:rPr>
              <w:t>Benefits</w:t>
            </w:r>
          </w:p>
        </w:tc>
      </w:tr>
      <w:tr>
        <w:trPr>
          <w:trHeight w:val="5927" w:hRule="atLeast"/>
        </w:trPr>
        <w:tc>
          <w:tcPr>
            <w:tcW w:w="2482"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23"/>
              </w:rPr>
            </w:pPr>
          </w:p>
          <w:p>
            <w:pPr>
              <w:pStyle w:val="TableParagraph"/>
              <w:spacing w:before="1"/>
              <w:ind w:left="107"/>
              <w:rPr>
                <w:sz w:val="22"/>
              </w:rPr>
            </w:pPr>
            <w:r>
              <w:rPr>
                <w:sz w:val="22"/>
              </w:rPr>
              <w:t>CommonHealth</w:t>
            </w:r>
            <w:r>
              <w:rPr>
                <w:spacing w:val="-9"/>
                <w:sz w:val="22"/>
              </w:rPr>
              <w:t> </w:t>
            </w:r>
            <w:r>
              <w:rPr>
                <w:spacing w:val="-2"/>
                <w:sz w:val="22"/>
              </w:rPr>
              <w:t>Adults</w:t>
            </w:r>
          </w:p>
        </w:tc>
        <w:tc>
          <w:tcPr>
            <w:tcW w:w="6670" w:type="dxa"/>
          </w:tcPr>
          <w:p>
            <w:pPr>
              <w:pStyle w:val="TableParagraph"/>
              <w:rPr>
                <w:sz w:val="24"/>
              </w:rPr>
            </w:pPr>
          </w:p>
          <w:p>
            <w:pPr>
              <w:pStyle w:val="TableParagraph"/>
              <w:rPr>
                <w:sz w:val="24"/>
              </w:rPr>
            </w:pPr>
          </w:p>
          <w:p>
            <w:pPr>
              <w:pStyle w:val="TableParagraph"/>
              <w:rPr>
                <w:sz w:val="24"/>
              </w:rPr>
            </w:pPr>
          </w:p>
          <w:p>
            <w:pPr>
              <w:pStyle w:val="TableParagraph"/>
              <w:spacing w:before="7"/>
              <w:rPr>
                <w:sz w:val="28"/>
              </w:rPr>
            </w:pPr>
          </w:p>
          <w:p>
            <w:pPr>
              <w:pStyle w:val="TableParagraph"/>
              <w:ind w:left="107" w:right="110"/>
              <w:rPr>
                <w:sz w:val="22"/>
              </w:rPr>
            </w:pPr>
            <w:r>
              <w:rPr>
                <w:sz w:val="22"/>
              </w:rPr>
              <w:t>Adults</w:t>
            </w:r>
            <w:r>
              <w:rPr>
                <w:spacing w:val="-1"/>
                <w:sz w:val="22"/>
              </w:rPr>
              <w:t> </w:t>
            </w:r>
            <w:r>
              <w:rPr>
                <w:sz w:val="22"/>
              </w:rPr>
              <w:t>aged</w:t>
            </w:r>
            <w:r>
              <w:rPr>
                <w:spacing w:val="-1"/>
                <w:sz w:val="22"/>
              </w:rPr>
              <w:t> </w:t>
            </w:r>
            <w:r>
              <w:rPr>
                <w:sz w:val="22"/>
              </w:rPr>
              <w:t>19</w:t>
            </w:r>
            <w:r>
              <w:rPr>
                <w:spacing w:val="-4"/>
                <w:sz w:val="22"/>
              </w:rPr>
              <w:t> </w:t>
            </w:r>
            <w:r>
              <w:rPr>
                <w:sz w:val="22"/>
              </w:rPr>
              <w:t>through</w:t>
            </w:r>
            <w:r>
              <w:rPr>
                <w:spacing w:val="-1"/>
                <w:sz w:val="22"/>
              </w:rPr>
              <w:t> </w:t>
            </w:r>
            <w:r>
              <w:rPr>
                <w:sz w:val="22"/>
              </w:rPr>
              <w:t>64</w:t>
            </w:r>
            <w:r>
              <w:rPr>
                <w:spacing w:val="-1"/>
                <w:sz w:val="22"/>
              </w:rPr>
              <w:t> </w:t>
            </w:r>
            <w:r>
              <w:rPr>
                <w:sz w:val="22"/>
              </w:rPr>
              <w:t>who</w:t>
            </w:r>
            <w:r>
              <w:rPr>
                <w:spacing w:val="-1"/>
                <w:sz w:val="22"/>
              </w:rPr>
              <w:t> </w:t>
            </w:r>
            <w:r>
              <w:rPr>
                <w:sz w:val="22"/>
              </w:rPr>
              <w:t>are</w:t>
            </w:r>
            <w:r>
              <w:rPr>
                <w:spacing w:val="-3"/>
                <w:sz w:val="22"/>
              </w:rPr>
              <w:t> </w:t>
            </w:r>
            <w:r>
              <w:rPr>
                <w:sz w:val="22"/>
              </w:rPr>
              <w:t>totally</w:t>
            </w:r>
            <w:r>
              <w:rPr>
                <w:spacing w:val="-4"/>
                <w:sz w:val="22"/>
              </w:rPr>
              <w:t> </w:t>
            </w:r>
            <w:r>
              <w:rPr>
                <w:sz w:val="22"/>
              </w:rPr>
              <w:t>and</w:t>
            </w:r>
            <w:r>
              <w:rPr>
                <w:spacing w:val="-1"/>
                <w:sz w:val="22"/>
              </w:rPr>
              <w:t> </w:t>
            </w:r>
            <w:r>
              <w:rPr>
                <w:sz w:val="22"/>
              </w:rPr>
              <w:t>permanently</w:t>
            </w:r>
            <w:r>
              <w:rPr>
                <w:spacing w:val="-4"/>
                <w:sz w:val="22"/>
              </w:rPr>
              <w:t> </w:t>
            </w:r>
            <w:r>
              <w:rPr>
                <w:sz w:val="22"/>
              </w:rPr>
              <w:t>disabled</w:t>
            </w:r>
            <w:r>
              <w:rPr>
                <w:spacing w:val="-4"/>
                <w:sz w:val="22"/>
              </w:rPr>
              <w:t> </w:t>
            </w:r>
            <w:r>
              <w:rPr>
                <w:sz w:val="22"/>
              </w:rPr>
              <w:t>and not eligible for comprehensive coverage under the Massachusetts state plan.</w:t>
            </w:r>
            <w:r>
              <w:rPr>
                <w:spacing w:val="40"/>
                <w:sz w:val="22"/>
              </w:rPr>
              <w:t> </w:t>
            </w:r>
            <w:r>
              <w:rPr>
                <w:sz w:val="22"/>
              </w:rPr>
              <w:t>For 19 and 20 year olds, income is above 150% of the FPL. Income</w:t>
            </w:r>
            <w:r>
              <w:rPr>
                <w:spacing w:val="-3"/>
                <w:sz w:val="22"/>
              </w:rPr>
              <w:t> </w:t>
            </w:r>
            <w:r>
              <w:rPr>
                <w:sz w:val="22"/>
              </w:rPr>
              <w:t>above</w:t>
            </w:r>
            <w:r>
              <w:rPr>
                <w:spacing w:val="-3"/>
                <w:sz w:val="22"/>
              </w:rPr>
              <w:t> </w:t>
            </w:r>
            <w:r>
              <w:rPr>
                <w:sz w:val="22"/>
              </w:rPr>
              <w:t>133%</w:t>
            </w:r>
            <w:r>
              <w:rPr>
                <w:spacing w:val="-2"/>
                <w:sz w:val="22"/>
              </w:rPr>
              <w:t> </w:t>
            </w:r>
            <w:r>
              <w:rPr>
                <w:sz w:val="22"/>
              </w:rPr>
              <w:t>FPL</w:t>
            </w:r>
            <w:r>
              <w:rPr>
                <w:spacing w:val="-4"/>
                <w:sz w:val="22"/>
              </w:rPr>
              <w:t> </w:t>
            </w:r>
            <w:r>
              <w:rPr>
                <w:sz w:val="22"/>
              </w:rPr>
              <w:t>for</w:t>
            </w:r>
            <w:r>
              <w:rPr>
                <w:spacing w:val="-2"/>
                <w:sz w:val="22"/>
              </w:rPr>
              <w:t> </w:t>
            </w:r>
            <w:r>
              <w:rPr>
                <w:sz w:val="22"/>
              </w:rPr>
              <w:t>adults</w:t>
            </w:r>
            <w:r>
              <w:rPr>
                <w:spacing w:val="-3"/>
                <w:sz w:val="22"/>
              </w:rPr>
              <w:t> </w:t>
            </w:r>
            <w:r>
              <w:rPr>
                <w:sz w:val="22"/>
              </w:rPr>
              <w:t>aged</w:t>
            </w:r>
            <w:r>
              <w:rPr>
                <w:spacing w:val="-3"/>
                <w:sz w:val="22"/>
              </w:rPr>
              <w:t> </w:t>
            </w:r>
            <w:r>
              <w:rPr>
                <w:sz w:val="22"/>
              </w:rPr>
              <w:t>21</w:t>
            </w:r>
            <w:r>
              <w:rPr>
                <w:spacing w:val="-6"/>
                <w:sz w:val="22"/>
              </w:rPr>
              <w:t> </w:t>
            </w:r>
            <w:r>
              <w:rPr>
                <w:sz w:val="22"/>
              </w:rPr>
              <w:t>through</w:t>
            </w:r>
            <w:r>
              <w:rPr>
                <w:spacing w:val="-3"/>
                <w:sz w:val="22"/>
              </w:rPr>
              <w:t> </w:t>
            </w:r>
            <w:r>
              <w:rPr>
                <w:sz w:val="22"/>
              </w:rPr>
              <w:t>64.</w:t>
            </w:r>
            <w:r>
              <w:rPr>
                <w:spacing w:val="-3"/>
                <w:sz w:val="22"/>
              </w:rPr>
              <w:t> </w:t>
            </w:r>
            <w:r>
              <w:rPr>
                <w:sz w:val="22"/>
              </w:rPr>
              <w:t>Individuals</w:t>
            </w:r>
            <w:r>
              <w:rPr>
                <w:spacing w:val="-3"/>
                <w:sz w:val="22"/>
              </w:rPr>
              <w:t> </w:t>
            </w:r>
            <w:r>
              <w:rPr>
                <w:sz w:val="22"/>
              </w:rPr>
              <w:t>who have retained CommonHealth coverage for at least 10 years may retain coverage after age 65, regardless of employment status. These individuals must meet eligibility requirements for MassHealth Standard (or be subject to a spend down to qualify for MassHealth Standard).</w:t>
            </w:r>
          </w:p>
          <w:p>
            <w:pPr>
              <w:pStyle w:val="TableParagraph"/>
              <w:spacing w:before="160"/>
              <w:ind w:left="107" w:right="148"/>
              <w:rPr>
                <w:sz w:val="22"/>
              </w:rPr>
            </w:pPr>
            <w:r>
              <w:rPr>
                <w:sz w:val="22"/>
              </w:rPr>
              <w:t>Adults aged 65 and over who are not eligible for comprehensive coverage</w:t>
            </w:r>
            <w:r>
              <w:rPr>
                <w:spacing w:val="-4"/>
                <w:sz w:val="22"/>
              </w:rPr>
              <w:t> </w:t>
            </w:r>
            <w:r>
              <w:rPr>
                <w:sz w:val="22"/>
              </w:rPr>
              <w:t>under</w:t>
            </w:r>
            <w:r>
              <w:rPr>
                <w:spacing w:val="-3"/>
                <w:sz w:val="22"/>
              </w:rPr>
              <w:t> </w:t>
            </w:r>
            <w:r>
              <w:rPr>
                <w:sz w:val="22"/>
              </w:rPr>
              <w:t>the</w:t>
            </w:r>
            <w:r>
              <w:rPr>
                <w:spacing w:val="-4"/>
                <w:sz w:val="22"/>
              </w:rPr>
              <w:t> </w:t>
            </w:r>
            <w:r>
              <w:rPr>
                <w:sz w:val="22"/>
              </w:rPr>
              <w:t>Massachusetts</w:t>
            </w:r>
            <w:r>
              <w:rPr>
                <w:spacing w:val="-6"/>
                <w:sz w:val="22"/>
              </w:rPr>
              <w:t> </w:t>
            </w:r>
            <w:r>
              <w:rPr>
                <w:sz w:val="22"/>
              </w:rPr>
              <w:t>state</w:t>
            </w:r>
            <w:r>
              <w:rPr>
                <w:spacing w:val="-6"/>
                <w:sz w:val="22"/>
              </w:rPr>
              <w:t> </w:t>
            </w:r>
            <w:r>
              <w:rPr>
                <w:sz w:val="22"/>
              </w:rPr>
              <w:t>plan,</w:t>
            </w:r>
            <w:r>
              <w:rPr>
                <w:spacing w:val="-4"/>
                <w:sz w:val="22"/>
              </w:rPr>
              <w:t> </w:t>
            </w:r>
            <w:r>
              <w:rPr>
                <w:sz w:val="22"/>
              </w:rPr>
              <w:t>with</w:t>
            </w:r>
            <w:r>
              <w:rPr>
                <w:spacing w:val="-4"/>
                <w:sz w:val="22"/>
              </w:rPr>
              <w:t> </w:t>
            </w:r>
            <w:r>
              <w:rPr>
                <w:sz w:val="22"/>
              </w:rPr>
              <w:t>disabilities</w:t>
            </w:r>
            <w:r>
              <w:rPr>
                <w:spacing w:val="-6"/>
                <w:sz w:val="22"/>
              </w:rPr>
              <w:t> </w:t>
            </w:r>
            <w:r>
              <w:rPr>
                <w:sz w:val="22"/>
              </w:rPr>
              <w:t>that</w:t>
            </w:r>
            <w:r>
              <w:rPr>
                <w:spacing w:val="-3"/>
                <w:sz w:val="22"/>
              </w:rPr>
              <w:t> </w:t>
            </w:r>
            <w:r>
              <w:rPr>
                <w:sz w:val="22"/>
              </w:rPr>
              <w:t>would meet the federal definition of “permanent and total disability” if these adults were under the age of 65. Net income above 100% FPL and/or Assets &gt;$2,000.</w:t>
            </w:r>
          </w:p>
        </w:tc>
        <w:tc>
          <w:tcPr>
            <w:tcW w:w="3790" w:type="dxa"/>
          </w:tcPr>
          <w:p>
            <w:pPr>
              <w:pStyle w:val="TableParagraph"/>
              <w:spacing w:before="8"/>
              <w:rPr>
                <w:sz w:val="30"/>
              </w:rPr>
            </w:pPr>
          </w:p>
          <w:p>
            <w:pPr>
              <w:pStyle w:val="TableParagraph"/>
              <w:ind w:left="106" w:right="112"/>
              <w:rPr>
                <w:sz w:val="22"/>
              </w:rPr>
            </w:pPr>
            <w:r>
              <w:rPr>
                <w:sz w:val="22"/>
              </w:rPr>
              <w:t>CommonHeath benefits as described in the Medicaid state plan and benefits described in these STCs.</w:t>
            </w:r>
            <w:r>
              <w:rPr>
                <w:spacing w:val="40"/>
                <w:sz w:val="22"/>
              </w:rPr>
              <w:t> </w:t>
            </w:r>
            <w:r>
              <w:rPr>
                <w:sz w:val="22"/>
              </w:rPr>
              <w:t>Individuals aged</w:t>
            </w:r>
            <w:r>
              <w:rPr>
                <w:spacing w:val="-6"/>
                <w:sz w:val="22"/>
              </w:rPr>
              <w:t> </w:t>
            </w:r>
            <w:r>
              <w:rPr>
                <w:sz w:val="22"/>
              </w:rPr>
              <w:t>21-64</w:t>
            </w:r>
            <w:r>
              <w:rPr>
                <w:spacing w:val="-6"/>
                <w:sz w:val="22"/>
              </w:rPr>
              <w:t> </w:t>
            </w:r>
            <w:r>
              <w:rPr>
                <w:sz w:val="22"/>
              </w:rPr>
              <w:t>who</w:t>
            </w:r>
            <w:r>
              <w:rPr>
                <w:spacing w:val="-4"/>
                <w:sz w:val="22"/>
              </w:rPr>
              <w:t> </w:t>
            </w:r>
            <w:r>
              <w:rPr>
                <w:sz w:val="22"/>
              </w:rPr>
              <w:t>met</w:t>
            </w:r>
            <w:r>
              <w:rPr>
                <w:spacing w:val="-5"/>
                <w:sz w:val="22"/>
              </w:rPr>
              <w:t> </w:t>
            </w:r>
            <w:r>
              <w:rPr>
                <w:sz w:val="22"/>
              </w:rPr>
              <w:t>the</w:t>
            </w:r>
            <w:r>
              <w:rPr>
                <w:spacing w:val="-6"/>
                <w:sz w:val="22"/>
              </w:rPr>
              <w:t> </w:t>
            </w:r>
            <w:r>
              <w:rPr>
                <w:sz w:val="22"/>
              </w:rPr>
              <w:t>asset</w:t>
            </w:r>
            <w:r>
              <w:rPr>
                <w:spacing w:val="-5"/>
                <w:sz w:val="22"/>
              </w:rPr>
              <w:t> </w:t>
            </w:r>
            <w:r>
              <w:rPr>
                <w:sz w:val="22"/>
              </w:rPr>
              <w:t>test</w:t>
            </w:r>
            <w:r>
              <w:rPr>
                <w:spacing w:val="-5"/>
                <w:sz w:val="22"/>
              </w:rPr>
              <w:t> </w:t>
            </w:r>
            <w:r>
              <w:rPr>
                <w:sz w:val="22"/>
              </w:rPr>
              <w:t>under the State plan receive MassHealth Standard, individuals aged 19 and 20 must also meet the deductible requirements. For adults aged 65 and over, no deductible and no asset test, provided they are</w:t>
            </w:r>
          </w:p>
          <w:p>
            <w:pPr>
              <w:pStyle w:val="TableParagraph"/>
              <w:spacing w:before="161"/>
              <w:ind w:left="106" w:right="112"/>
              <w:rPr>
                <w:sz w:val="22"/>
              </w:rPr>
            </w:pPr>
            <w:r>
              <w:rPr>
                <w:sz w:val="22"/>
              </w:rPr>
              <w:t>first determined to be ineligible for MassHealth Standard under non MAGI eligibility</w:t>
            </w:r>
            <w:r>
              <w:rPr>
                <w:spacing w:val="-9"/>
                <w:sz w:val="22"/>
              </w:rPr>
              <w:t> </w:t>
            </w:r>
            <w:r>
              <w:rPr>
                <w:sz w:val="22"/>
              </w:rPr>
              <w:t>rules</w:t>
            </w:r>
            <w:r>
              <w:rPr>
                <w:spacing w:val="-8"/>
                <w:sz w:val="22"/>
              </w:rPr>
              <w:t> </w:t>
            </w:r>
            <w:r>
              <w:rPr>
                <w:sz w:val="22"/>
              </w:rPr>
              <w:t>(which</w:t>
            </w:r>
            <w:r>
              <w:rPr>
                <w:spacing w:val="-9"/>
                <w:sz w:val="22"/>
              </w:rPr>
              <w:t> </w:t>
            </w:r>
            <w:r>
              <w:rPr>
                <w:sz w:val="22"/>
              </w:rPr>
              <w:t>includes</w:t>
            </w:r>
            <w:r>
              <w:rPr>
                <w:spacing w:val="-6"/>
                <w:sz w:val="22"/>
              </w:rPr>
              <w:t> </w:t>
            </w:r>
            <w:r>
              <w:rPr>
                <w:sz w:val="22"/>
              </w:rPr>
              <w:t>an</w:t>
            </w:r>
            <w:r>
              <w:rPr>
                <w:spacing w:val="-6"/>
                <w:sz w:val="22"/>
              </w:rPr>
              <w:t> </w:t>
            </w:r>
            <w:r>
              <w:rPr>
                <w:sz w:val="22"/>
              </w:rPr>
              <w:t>asset </w:t>
            </w:r>
            <w:r>
              <w:rPr>
                <w:spacing w:val="-2"/>
                <w:sz w:val="22"/>
              </w:rPr>
              <w:t>test).</w:t>
            </w:r>
          </w:p>
          <w:p>
            <w:pPr>
              <w:pStyle w:val="TableParagraph"/>
              <w:rPr>
                <w:sz w:val="24"/>
              </w:rPr>
            </w:pPr>
          </w:p>
          <w:p>
            <w:pPr>
              <w:pStyle w:val="TableParagraph"/>
              <w:spacing w:before="9"/>
              <w:rPr>
                <w:sz w:val="27"/>
              </w:rPr>
            </w:pPr>
          </w:p>
          <w:p>
            <w:pPr>
              <w:pStyle w:val="TableParagraph"/>
              <w:spacing w:line="242" w:lineRule="auto"/>
              <w:ind w:left="106" w:right="112"/>
              <w:rPr>
                <w:sz w:val="22"/>
              </w:rPr>
            </w:pPr>
            <w:r>
              <w:rPr>
                <w:sz w:val="22"/>
              </w:rPr>
              <w:t>Sliding scale premium responsibilities for</w:t>
            </w:r>
            <w:r>
              <w:rPr>
                <w:spacing w:val="-8"/>
                <w:sz w:val="22"/>
              </w:rPr>
              <w:t> </w:t>
            </w:r>
            <w:r>
              <w:rPr>
                <w:sz w:val="22"/>
              </w:rPr>
              <w:t>those</w:t>
            </w:r>
            <w:r>
              <w:rPr>
                <w:spacing w:val="-7"/>
                <w:sz w:val="22"/>
              </w:rPr>
              <w:t> </w:t>
            </w:r>
            <w:r>
              <w:rPr>
                <w:sz w:val="22"/>
              </w:rPr>
              <w:t>individuals</w:t>
            </w:r>
            <w:r>
              <w:rPr>
                <w:spacing w:val="-8"/>
                <w:sz w:val="22"/>
              </w:rPr>
              <w:t> </w:t>
            </w:r>
            <w:r>
              <w:rPr>
                <w:sz w:val="22"/>
              </w:rPr>
              <w:t>above</w:t>
            </w:r>
            <w:r>
              <w:rPr>
                <w:spacing w:val="-9"/>
                <w:sz w:val="22"/>
              </w:rPr>
              <w:t> </w:t>
            </w:r>
            <w:r>
              <w:rPr>
                <w:sz w:val="22"/>
              </w:rPr>
              <w:t>150</w:t>
            </w:r>
            <w:r>
              <w:rPr>
                <w:spacing w:val="-7"/>
                <w:sz w:val="22"/>
              </w:rPr>
              <w:t> </w:t>
            </w:r>
            <w:r>
              <w:rPr>
                <w:sz w:val="22"/>
              </w:rPr>
              <w:t>percent of the FPL.</w:t>
            </w:r>
          </w:p>
        </w:tc>
      </w:tr>
    </w:tbl>
    <w:p>
      <w:pPr>
        <w:spacing w:after="0" w:line="242" w:lineRule="auto"/>
        <w:rPr>
          <w:sz w:val="22"/>
        </w:rPr>
        <w:sectPr>
          <w:pgSz w:w="15840" w:h="12240" w:orient="landscape"/>
          <w:pgMar w:header="0" w:footer="1201" w:top="1380" w:bottom="1400" w:left="1320" w:right="1340"/>
        </w:sectPr>
      </w:pPr>
    </w:p>
    <w:p>
      <w:pPr>
        <w:pStyle w:val="BodyText"/>
        <w:spacing w:before="2"/>
        <w:rPr>
          <w:sz w:val="5"/>
        </w:rPr>
      </w:pPr>
    </w:p>
    <w:tbl>
      <w:tblPr>
        <w:tblW w:w="0" w:type="auto"/>
        <w:jc w:val="left"/>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82"/>
        <w:gridCol w:w="6670"/>
        <w:gridCol w:w="3790"/>
      </w:tblGrid>
      <w:tr>
        <w:trPr>
          <w:trHeight w:val="464" w:hRule="atLeast"/>
        </w:trPr>
        <w:tc>
          <w:tcPr>
            <w:tcW w:w="12942" w:type="dxa"/>
            <w:gridSpan w:val="3"/>
            <w:shd w:val="clear" w:color="auto" w:fill="DBE4F0"/>
          </w:tcPr>
          <w:p>
            <w:pPr>
              <w:pStyle w:val="TableParagraph"/>
              <w:spacing w:before="27"/>
              <w:ind w:left="4247" w:right="4228"/>
              <w:jc w:val="center"/>
              <w:rPr>
                <w:b/>
                <w:sz w:val="22"/>
              </w:rPr>
            </w:pPr>
            <w:r>
              <w:rPr>
                <w:b/>
                <w:sz w:val="22"/>
              </w:rPr>
              <w:t>Table</w:t>
            </w:r>
            <w:r>
              <w:rPr>
                <w:b/>
                <w:spacing w:val="-6"/>
                <w:sz w:val="22"/>
              </w:rPr>
              <w:t> </w:t>
            </w:r>
            <w:r>
              <w:rPr>
                <w:b/>
                <w:sz w:val="22"/>
              </w:rPr>
              <w:t>3:</w:t>
            </w:r>
            <w:r>
              <w:rPr>
                <w:b/>
                <w:spacing w:val="-4"/>
                <w:sz w:val="22"/>
              </w:rPr>
              <w:t> </w:t>
            </w:r>
            <w:r>
              <w:rPr>
                <w:b/>
                <w:sz w:val="22"/>
              </w:rPr>
              <w:t>Demonstration</w:t>
            </w:r>
            <w:r>
              <w:rPr>
                <w:b/>
                <w:spacing w:val="-6"/>
                <w:sz w:val="22"/>
              </w:rPr>
              <w:t> </w:t>
            </w:r>
            <w:r>
              <w:rPr>
                <w:b/>
                <w:sz w:val="22"/>
              </w:rPr>
              <w:t>Expansion</w:t>
            </w:r>
            <w:r>
              <w:rPr>
                <w:b/>
                <w:spacing w:val="-5"/>
                <w:sz w:val="22"/>
              </w:rPr>
              <w:t> </w:t>
            </w:r>
            <w:r>
              <w:rPr>
                <w:b/>
                <w:spacing w:val="-2"/>
                <w:sz w:val="22"/>
              </w:rPr>
              <w:t>Populations</w:t>
            </w:r>
          </w:p>
        </w:tc>
      </w:tr>
      <w:tr>
        <w:trPr>
          <w:trHeight w:val="1004" w:hRule="atLeast"/>
        </w:trPr>
        <w:tc>
          <w:tcPr>
            <w:tcW w:w="2482" w:type="dxa"/>
            <w:shd w:val="clear" w:color="auto" w:fill="DBE4F0"/>
          </w:tcPr>
          <w:p>
            <w:pPr>
              <w:pStyle w:val="TableParagraph"/>
              <w:spacing w:before="10"/>
              <w:rPr>
                <w:sz w:val="25"/>
              </w:rPr>
            </w:pPr>
          </w:p>
          <w:p>
            <w:pPr>
              <w:pStyle w:val="TableParagraph"/>
              <w:ind w:left="102" w:right="82"/>
              <w:jc w:val="center"/>
              <w:rPr>
                <w:b/>
                <w:sz w:val="22"/>
              </w:rPr>
            </w:pPr>
            <w:r>
              <w:rPr>
                <w:b/>
                <w:sz w:val="22"/>
              </w:rPr>
              <w:t>Population</w:t>
            </w:r>
            <w:r>
              <w:rPr>
                <w:b/>
                <w:spacing w:val="-8"/>
                <w:sz w:val="22"/>
              </w:rPr>
              <w:t> </w:t>
            </w:r>
            <w:r>
              <w:rPr>
                <w:b/>
                <w:spacing w:val="-4"/>
                <w:sz w:val="22"/>
              </w:rPr>
              <w:t>Name</w:t>
            </w:r>
          </w:p>
        </w:tc>
        <w:tc>
          <w:tcPr>
            <w:tcW w:w="6670" w:type="dxa"/>
            <w:shd w:val="clear" w:color="auto" w:fill="DBE4F0"/>
          </w:tcPr>
          <w:p>
            <w:pPr>
              <w:pStyle w:val="TableParagraph"/>
              <w:spacing w:before="10"/>
              <w:rPr>
                <w:sz w:val="25"/>
              </w:rPr>
            </w:pPr>
          </w:p>
          <w:p>
            <w:pPr>
              <w:pStyle w:val="TableParagraph"/>
              <w:ind w:left="2243" w:right="2225"/>
              <w:jc w:val="center"/>
              <w:rPr>
                <w:b/>
                <w:sz w:val="22"/>
              </w:rPr>
            </w:pPr>
            <w:r>
              <w:rPr>
                <w:b/>
                <w:sz w:val="22"/>
              </w:rPr>
              <w:t>Population</w:t>
            </w:r>
            <w:r>
              <w:rPr>
                <w:b/>
                <w:spacing w:val="-6"/>
                <w:sz w:val="22"/>
              </w:rPr>
              <w:t> </w:t>
            </w:r>
            <w:r>
              <w:rPr>
                <w:b/>
                <w:spacing w:val="-2"/>
                <w:sz w:val="22"/>
              </w:rPr>
              <w:t>Description</w:t>
            </w:r>
          </w:p>
        </w:tc>
        <w:tc>
          <w:tcPr>
            <w:tcW w:w="3790" w:type="dxa"/>
            <w:shd w:val="clear" w:color="auto" w:fill="DBE4F0"/>
          </w:tcPr>
          <w:p>
            <w:pPr>
              <w:pStyle w:val="TableParagraph"/>
              <w:spacing w:before="10"/>
              <w:rPr>
                <w:sz w:val="25"/>
              </w:rPr>
            </w:pPr>
          </w:p>
          <w:p>
            <w:pPr>
              <w:pStyle w:val="TableParagraph"/>
              <w:ind w:left="209" w:right="192"/>
              <w:jc w:val="center"/>
              <w:rPr>
                <w:b/>
                <w:sz w:val="22"/>
              </w:rPr>
            </w:pPr>
            <w:r>
              <w:rPr>
                <w:b/>
                <w:spacing w:val="-2"/>
                <w:sz w:val="22"/>
              </w:rPr>
              <w:t>Benefits</w:t>
            </w:r>
          </w:p>
        </w:tc>
      </w:tr>
      <w:tr>
        <w:trPr>
          <w:trHeight w:val="5216" w:hRule="atLeast"/>
        </w:trPr>
        <w:tc>
          <w:tcPr>
            <w:tcW w:w="2482"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95"/>
              <w:ind w:left="102" w:right="114"/>
              <w:jc w:val="center"/>
              <w:rPr>
                <w:sz w:val="22"/>
              </w:rPr>
            </w:pPr>
            <w:r>
              <w:rPr>
                <w:sz w:val="22"/>
              </w:rPr>
              <w:t>CommonHealth</w:t>
            </w:r>
            <w:r>
              <w:rPr>
                <w:spacing w:val="-9"/>
                <w:sz w:val="22"/>
              </w:rPr>
              <w:t> </w:t>
            </w:r>
            <w:r>
              <w:rPr>
                <w:spacing w:val="-2"/>
                <w:sz w:val="22"/>
              </w:rPr>
              <w:t>Children</w:t>
            </w:r>
          </w:p>
        </w:tc>
        <w:tc>
          <w:tcPr>
            <w:tcW w:w="6670" w:type="dxa"/>
          </w:tcPr>
          <w:p>
            <w:pPr>
              <w:pStyle w:val="TableParagraph"/>
              <w:spacing w:before="8"/>
              <w:rPr>
                <w:sz w:val="34"/>
              </w:rPr>
            </w:pPr>
          </w:p>
          <w:p>
            <w:pPr>
              <w:pStyle w:val="TableParagraph"/>
              <w:ind w:left="107" w:right="188"/>
              <w:rPr>
                <w:sz w:val="22"/>
              </w:rPr>
            </w:pPr>
            <w:r>
              <w:rPr>
                <w:sz w:val="22"/>
              </w:rPr>
              <w:t>Children from birth through age 18 who are totally and permanently disabled with incomes greater than 150% of the FPL and who are not eligible</w:t>
            </w:r>
            <w:r>
              <w:rPr>
                <w:spacing w:val="-5"/>
                <w:sz w:val="22"/>
              </w:rPr>
              <w:t> </w:t>
            </w:r>
            <w:r>
              <w:rPr>
                <w:sz w:val="22"/>
              </w:rPr>
              <w:t>for</w:t>
            </w:r>
            <w:r>
              <w:rPr>
                <w:spacing w:val="-5"/>
                <w:sz w:val="22"/>
              </w:rPr>
              <w:t> </w:t>
            </w:r>
            <w:r>
              <w:rPr>
                <w:sz w:val="22"/>
              </w:rPr>
              <w:t>comprehensive</w:t>
            </w:r>
            <w:r>
              <w:rPr>
                <w:spacing w:val="-3"/>
                <w:sz w:val="22"/>
              </w:rPr>
              <w:t> </w:t>
            </w:r>
            <w:r>
              <w:rPr>
                <w:sz w:val="22"/>
              </w:rPr>
              <w:t>coverage</w:t>
            </w:r>
            <w:r>
              <w:rPr>
                <w:spacing w:val="-3"/>
                <w:sz w:val="22"/>
              </w:rPr>
              <w:t> </w:t>
            </w:r>
            <w:r>
              <w:rPr>
                <w:sz w:val="22"/>
              </w:rPr>
              <w:t>under</w:t>
            </w:r>
            <w:r>
              <w:rPr>
                <w:spacing w:val="-2"/>
                <w:sz w:val="22"/>
              </w:rPr>
              <w:t> </w:t>
            </w:r>
            <w:r>
              <w:rPr>
                <w:sz w:val="22"/>
              </w:rPr>
              <w:t>the</w:t>
            </w:r>
            <w:r>
              <w:rPr>
                <w:spacing w:val="-3"/>
                <w:sz w:val="22"/>
              </w:rPr>
              <w:t> </w:t>
            </w:r>
            <w:r>
              <w:rPr>
                <w:sz w:val="22"/>
              </w:rPr>
              <w:t>Medicaid</w:t>
            </w:r>
            <w:r>
              <w:rPr>
                <w:spacing w:val="-3"/>
                <w:sz w:val="22"/>
              </w:rPr>
              <w:t> </w:t>
            </w:r>
            <w:r>
              <w:rPr>
                <w:sz w:val="22"/>
              </w:rPr>
              <w:t>state</w:t>
            </w:r>
            <w:r>
              <w:rPr>
                <w:spacing w:val="-3"/>
                <w:sz w:val="22"/>
              </w:rPr>
              <w:t> </w:t>
            </w:r>
            <w:r>
              <w:rPr>
                <w:sz w:val="22"/>
              </w:rPr>
              <w:t>plan</w:t>
            </w:r>
            <w:r>
              <w:rPr>
                <w:spacing w:val="-7"/>
                <w:sz w:val="22"/>
              </w:rPr>
              <w:t> </w:t>
            </w:r>
            <w:r>
              <w:rPr>
                <w:sz w:val="22"/>
              </w:rPr>
              <w:t>due to income or under the CHIP state plan due to having insurance at application, or if the Title XXI allotment is exhausted</w:t>
            </w:r>
          </w:p>
          <w:p>
            <w:pPr>
              <w:pStyle w:val="TableParagraph"/>
              <w:spacing w:before="158"/>
              <w:ind w:left="107" w:right="148"/>
              <w:rPr>
                <w:sz w:val="22"/>
              </w:rPr>
            </w:pPr>
            <w:r>
              <w:rPr>
                <w:sz w:val="22"/>
              </w:rPr>
              <w:t>Higher</w:t>
            </w:r>
            <w:r>
              <w:rPr>
                <w:spacing w:val="-2"/>
                <w:sz w:val="22"/>
              </w:rPr>
              <w:t> </w:t>
            </w:r>
            <w:r>
              <w:rPr>
                <w:sz w:val="22"/>
              </w:rPr>
              <w:t>income</w:t>
            </w:r>
            <w:r>
              <w:rPr>
                <w:spacing w:val="-3"/>
                <w:sz w:val="22"/>
              </w:rPr>
              <w:t> </w:t>
            </w:r>
            <w:r>
              <w:rPr>
                <w:sz w:val="22"/>
              </w:rPr>
              <w:t>children</w:t>
            </w:r>
            <w:r>
              <w:rPr>
                <w:spacing w:val="-3"/>
                <w:sz w:val="22"/>
              </w:rPr>
              <w:t> </w:t>
            </w:r>
            <w:r>
              <w:rPr>
                <w:sz w:val="22"/>
              </w:rPr>
              <w:t>with</w:t>
            </w:r>
            <w:r>
              <w:rPr>
                <w:spacing w:val="-3"/>
                <w:sz w:val="22"/>
              </w:rPr>
              <w:t> </w:t>
            </w:r>
            <w:r>
              <w:rPr>
                <w:sz w:val="22"/>
              </w:rPr>
              <w:t>disabilities</w:t>
            </w:r>
            <w:r>
              <w:rPr>
                <w:spacing w:val="-5"/>
                <w:sz w:val="22"/>
              </w:rPr>
              <w:t> </w:t>
            </w:r>
            <w:r>
              <w:rPr>
                <w:sz w:val="22"/>
              </w:rPr>
              <w:t>if</w:t>
            </w:r>
            <w:r>
              <w:rPr>
                <w:spacing w:val="-5"/>
                <w:sz w:val="22"/>
              </w:rPr>
              <w:t> </w:t>
            </w:r>
            <w:r>
              <w:rPr>
                <w:sz w:val="22"/>
              </w:rPr>
              <w:t>insured</w:t>
            </w:r>
            <w:r>
              <w:rPr>
                <w:spacing w:val="-6"/>
                <w:sz w:val="22"/>
              </w:rPr>
              <w:t> </w:t>
            </w:r>
            <w:r>
              <w:rPr>
                <w:sz w:val="22"/>
              </w:rPr>
              <w:t>at</w:t>
            </w:r>
            <w:r>
              <w:rPr>
                <w:spacing w:val="-5"/>
                <w:sz w:val="22"/>
              </w:rPr>
              <w:t> </w:t>
            </w:r>
            <w:r>
              <w:rPr>
                <w:sz w:val="22"/>
              </w:rPr>
              <w:t>the</w:t>
            </w:r>
            <w:r>
              <w:rPr>
                <w:spacing w:val="-3"/>
                <w:sz w:val="22"/>
              </w:rPr>
              <w:t> </w:t>
            </w:r>
            <w:r>
              <w:rPr>
                <w:sz w:val="22"/>
              </w:rPr>
              <w:t>time</w:t>
            </w:r>
            <w:r>
              <w:rPr>
                <w:spacing w:val="-3"/>
                <w:sz w:val="22"/>
              </w:rPr>
              <w:t> </w:t>
            </w:r>
            <w:r>
              <w:rPr>
                <w:sz w:val="22"/>
              </w:rPr>
              <w:t>of application or when </w:t>
            </w:r>
            <w:r>
              <w:rPr>
                <w:sz w:val="24"/>
              </w:rPr>
              <w:t>Title XXI funding is exhausted</w:t>
            </w:r>
            <w:r>
              <w:rPr>
                <w:sz w:val="22"/>
              </w:rPr>
              <w:t>:</w:t>
            </w:r>
          </w:p>
          <w:p>
            <w:pPr>
              <w:pStyle w:val="TableParagraph"/>
              <w:numPr>
                <w:ilvl w:val="0"/>
                <w:numId w:val="12"/>
              </w:numPr>
              <w:tabs>
                <w:tab w:pos="467" w:val="left" w:leader="none"/>
              </w:tabs>
              <w:spacing w:line="269" w:lineRule="exact" w:before="161" w:after="0"/>
              <w:ind w:left="467" w:right="0" w:hanging="360"/>
              <w:jc w:val="left"/>
              <w:rPr>
                <w:sz w:val="22"/>
              </w:rPr>
            </w:pPr>
            <w:r>
              <w:rPr>
                <w:sz w:val="22"/>
              </w:rPr>
              <w:t>&lt;</w:t>
            </w:r>
            <w:r>
              <w:rPr>
                <w:spacing w:val="-3"/>
                <w:sz w:val="22"/>
              </w:rPr>
              <w:t> </w:t>
            </w:r>
            <w:r>
              <w:rPr>
                <w:sz w:val="22"/>
              </w:rPr>
              <w:t>Age</w:t>
            </w:r>
            <w:r>
              <w:rPr>
                <w:spacing w:val="-3"/>
                <w:sz w:val="22"/>
              </w:rPr>
              <w:t> </w:t>
            </w:r>
            <w:r>
              <w:rPr>
                <w:sz w:val="22"/>
              </w:rPr>
              <w:t>1:</w:t>
            </w:r>
            <w:r>
              <w:rPr>
                <w:spacing w:val="-1"/>
                <w:sz w:val="22"/>
              </w:rPr>
              <w:t> </w:t>
            </w:r>
            <w:r>
              <w:rPr>
                <w:sz w:val="22"/>
              </w:rPr>
              <w:t>200.1%</w:t>
            </w:r>
            <w:r>
              <w:rPr>
                <w:spacing w:val="-2"/>
                <w:sz w:val="22"/>
              </w:rPr>
              <w:t> </w:t>
            </w:r>
            <w:r>
              <w:rPr>
                <w:sz w:val="22"/>
              </w:rPr>
              <w:t>through</w:t>
            </w:r>
            <w:r>
              <w:rPr>
                <w:spacing w:val="-3"/>
                <w:sz w:val="22"/>
              </w:rPr>
              <w:t> </w:t>
            </w:r>
            <w:r>
              <w:rPr>
                <w:sz w:val="22"/>
              </w:rPr>
              <w:t>300%</w:t>
            </w:r>
            <w:r>
              <w:rPr>
                <w:spacing w:val="-1"/>
                <w:sz w:val="22"/>
              </w:rPr>
              <w:t> </w:t>
            </w:r>
            <w:r>
              <w:rPr>
                <w:spacing w:val="-5"/>
                <w:sz w:val="22"/>
              </w:rPr>
              <w:t>FPL</w:t>
            </w:r>
          </w:p>
          <w:p>
            <w:pPr>
              <w:pStyle w:val="TableParagraph"/>
              <w:numPr>
                <w:ilvl w:val="0"/>
                <w:numId w:val="12"/>
              </w:numPr>
              <w:tabs>
                <w:tab w:pos="467" w:val="left" w:leader="none"/>
              </w:tabs>
              <w:spacing w:line="269" w:lineRule="exact" w:before="0" w:after="0"/>
              <w:ind w:left="467" w:right="0" w:hanging="360"/>
              <w:jc w:val="left"/>
              <w:rPr>
                <w:sz w:val="22"/>
              </w:rPr>
            </w:pPr>
            <w:r>
              <w:rPr>
                <w:sz w:val="22"/>
              </w:rPr>
              <w:t>Ages</w:t>
            </w:r>
            <w:r>
              <w:rPr>
                <w:spacing w:val="-3"/>
                <w:sz w:val="22"/>
              </w:rPr>
              <w:t> </w:t>
            </w:r>
            <w:r>
              <w:rPr>
                <w:sz w:val="22"/>
              </w:rPr>
              <w:t>1 -</w:t>
            </w:r>
            <w:r>
              <w:rPr>
                <w:spacing w:val="-6"/>
                <w:sz w:val="22"/>
              </w:rPr>
              <w:t> </w:t>
            </w:r>
            <w:r>
              <w:rPr>
                <w:sz w:val="22"/>
              </w:rPr>
              <w:t>18:</w:t>
            </w:r>
            <w:r>
              <w:rPr>
                <w:spacing w:val="-1"/>
                <w:sz w:val="22"/>
              </w:rPr>
              <w:t> </w:t>
            </w:r>
            <w:r>
              <w:rPr>
                <w:sz w:val="22"/>
              </w:rPr>
              <w:t>150.1%</w:t>
            </w:r>
            <w:r>
              <w:rPr>
                <w:spacing w:val="-1"/>
                <w:sz w:val="22"/>
              </w:rPr>
              <w:t> </w:t>
            </w:r>
            <w:r>
              <w:rPr>
                <w:sz w:val="22"/>
              </w:rPr>
              <w:t>through</w:t>
            </w:r>
            <w:r>
              <w:rPr>
                <w:spacing w:val="-2"/>
                <w:sz w:val="22"/>
              </w:rPr>
              <w:t> </w:t>
            </w:r>
            <w:r>
              <w:rPr>
                <w:sz w:val="22"/>
              </w:rPr>
              <w:t>300%</w:t>
            </w:r>
            <w:r>
              <w:rPr>
                <w:spacing w:val="-1"/>
                <w:sz w:val="22"/>
              </w:rPr>
              <w:t> </w:t>
            </w:r>
            <w:r>
              <w:rPr>
                <w:spacing w:val="-5"/>
                <w:sz w:val="22"/>
              </w:rPr>
              <w:t>FPL</w:t>
            </w:r>
          </w:p>
          <w:p>
            <w:pPr>
              <w:pStyle w:val="TableParagraph"/>
              <w:rPr>
                <w:sz w:val="26"/>
              </w:rPr>
            </w:pPr>
          </w:p>
          <w:p>
            <w:pPr>
              <w:pStyle w:val="TableParagraph"/>
              <w:spacing w:before="8"/>
              <w:rPr>
                <w:sz w:val="23"/>
              </w:rPr>
            </w:pPr>
          </w:p>
          <w:p>
            <w:pPr>
              <w:pStyle w:val="TableParagraph"/>
              <w:ind w:left="107" w:right="148"/>
              <w:rPr>
                <w:sz w:val="22"/>
              </w:rPr>
            </w:pPr>
            <w:r>
              <w:rPr>
                <w:sz w:val="22"/>
              </w:rPr>
              <w:t>Higher</w:t>
            </w:r>
            <w:r>
              <w:rPr>
                <w:spacing w:val="-3"/>
                <w:sz w:val="22"/>
              </w:rPr>
              <w:t> </w:t>
            </w:r>
            <w:r>
              <w:rPr>
                <w:sz w:val="22"/>
              </w:rPr>
              <w:t>income</w:t>
            </w:r>
            <w:r>
              <w:rPr>
                <w:spacing w:val="-4"/>
                <w:sz w:val="22"/>
              </w:rPr>
              <w:t> </w:t>
            </w:r>
            <w:r>
              <w:rPr>
                <w:sz w:val="22"/>
              </w:rPr>
              <w:t>children</w:t>
            </w:r>
            <w:r>
              <w:rPr>
                <w:spacing w:val="-7"/>
                <w:sz w:val="22"/>
              </w:rPr>
              <w:t> </w:t>
            </w:r>
            <w:r>
              <w:rPr>
                <w:sz w:val="22"/>
              </w:rPr>
              <w:t>(above</w:t>
            </w:r>
            <w:r>
              <w:rPr>
                <w:spacing w:val="-4"/>
                <w:sz w:val="22"/>
              </w:rPr>
              <w:t> </w:t>
            </w:r>
            <w:r>
              <w:rPr>
                <w:sz w:val="22"/>
              </w:rPr>
              <w:t>300%</w:t>
            </w:r>
            <w:r>
              <w:rPr>
                <w:spacing w:val="-3"/>
                <w:sz w:val="22"/>
              </w:rPr>
              <w:t> </w:t>
            </w:r>
            <w:r>
              <w:rPr>
                <w:sz w:val="22"/>
              </w:rPr>
              <w:t>FPL)</w:t>
            </w:r>
            <w:r>
              <w:rPr>
                <w:spacing w:val="-6"/>
                <w:sz w:val="22"/>
              </w:rPr>
              <w:t> </w:t>
            </w:r>
            <w:r>
              <w:rPr>
                <w:sz w:val="22"/>
              </w:rPr>
              <w:t>with</w:t>
            </w:r>
            <w:r>
              <w:rPr>
                <w:spacing w:val="-4"/>
                <w:sz w:val="22"/>
              </w:rPr>
              <w:t> </w:t>
            </w:r>
            <w:r>
              <w:rPr>
                <w:sz w:val="22"/>
              </w:rPr>
              <w:t>disabilities</w:t>
            </w:r>
            <w:r>
              <w:rPr>
                <w:spacing w:val="-4"/>
                <w:sz w:val="22"/>
              </w:rPr>
              <w:t> </w:t>
            </w:r>
            <w:r>
              <w:rPr>
                <w:sz w:val="22"/>
              </w:rPr>
              <w:t>ages</w:t>
            </w:r>
            <w:r>
              <w:rPr>
                <w:spacing w:val="-4"/>
                <w:sz w:val="22"/>
              </w:rPr>
              <w:t> </w:t>
            </w:r>
            <w:r>
              <w:rPr>
                <w:sz w:val="22"/>
              </w:rPr>
              <w:t>0 through 18</w:t>
            </w:r>
          </w:p>
        </w:tc>
        <w:tc>
          <w:tcPr>
            <w:tcW w:w="3790" w:type="dxa"/>
          </w:tcPr>
          <w:p>
            <w:pPr>
              <w:pStyle w:val="TableParagraph"/>
              <w:ind w:left="106" w:right="112"/>
              <w:rPr>
                <w:sz w:val="22"/>
              </w:rPr>
            </w:pPr>
            <w:r>
              <w:rPr>
                <w:sz w:val="22"/>
              </w:rPr>
              <w:t>CommonHealth</w:t>
            </w:r>
            <w:r>
              <w:rPr>
                <w:spacing w:val="-8"/>
                <w:sz w:val="22"/>
              </w:rPr>
              <w:t> </w:t>
            </w:r>
            <w:r>
              <w:rPr>
                <w:sz w:val="22"/>
              </w:rPr>
              <w:t>benefits</w:t>
            </w:r>
            <w:r>
              <w:rPr>
                <w:spacing w:val="-10"/>
                <w:sz w:val="22"/>
              </w:rPr>
              <w:t> </w:t>
            </w:r>
            <w:r>
              <w:rPr>
                <w:sz w:val="22"/>
              </w:rPr>
              <w:t>as</w:t>
            </w:r>
            <w:r>
              <w:rPr>
                <w:spacing w:val="-10"/>
                <w:sz w:val="22"/>
              </w:rPr>
              <w:t> </w:t>
            </w:r>
            <w:r>
              <w:rPr>
                <w:sz w:val="22"/>
              </w:rPr>
              <w:t>described</w:t>
            </w:r>
            <w:r>
              <w:rPr>
                <w:spacing w:val="-8"/>
                <w:sz w:val="22"/>
              </w:rPr>
              <w:t> </w:t>
            </w:r>
            <w:r>
              <w:rPr>
                <w:sz w:val="22"/>
              </w:rPr>
              <w:t>in the CHIP state plan and benefits described in these STCs.</w:t>
            </w:r>
          </w:p>
          <w:p>
            <w:pPr>
              <w:pStyle w:val="TableParagraph"/>
              <w:spacing w:before="158"/>
              <w:ind w:left="106" w:right="140"/>
              <w:rPr>
                <w:sz w:val="22"/>
              </w:rPr>
            </w:pPr>
            <w:r>
              <w:rPr>
                <w:sz w:val="22"/>
              </w:rPr>
              <w:t>Certain children derive eligibility from both the authority granted under this demonstration and the separate XXI program,</w:t>
            </w:r>
            <w:r>
              <w:rPr>
                <w:spacing w:val="-10"/>
                <w:sz w:val="22"/>
              </w:rPr>
              <w:t> </w:t>
            </w:r>
            <w:r>
              <w:rPr>
                <w:sz w:val="22"/>
              </w:rPr>
              <w:t>including</w:t>
            </w:r>
            <w:r>
              <w:rPr>
                <w:spacing w:val="-12"/>
                <w:sz w:val="22"/>
              </w:rPr>
              <w:t> </w:t>
            </w:r>
            <w:r>
              <w:rPr>
                <w:sz w:val="22"/>
              </w:rPr>
              <w:t>premium</w:t>
            </w:r>
            <w:r>
              <w:rPr>
                <w:spacing w:val="-13"/>
                <w:sz w:val="22"/>
              </w:rPr>
              <w:t> </w:t>
            </w:r>
            <w:r>
              <w:rPr>
                <w:sz w:val="22"/>
              </w:rPr>
              <w:t>assistance for ESI or direct benefits. These are disabled children with income over Medicaid and up to 300% who are uninsured at application.</w:t>
            </w:r>
            <w:r>
              <w:rPr>
                <w:spacing w:val="40"/>
                <w:sz w:val="22"/>
              </w:rPr>
              <w:t> </w:t>
            </w:r>
            <w:r>
              <w:rPr>
                <w:sz w:val="22"/>
              </w:rPr>
              <w:t>They are eligible under the CHIP State Plan but also use the authorities granted under the 1115 demonstration.</w:t>
            </w:r>
          </w:p>
          <w:p>
            <w:pPr>
              <w:pStyle w:val="TableParagraph"/>
              <w:rPr>
                <w:sz w:val="24"/>
              </w:rPr>
            </w:pPr>
          </w:p>
          <w:p>
            <w:pPr>
              <w:pStyle w:val="TableParagraph"/>
              <w:spacing w:before="10"/>
              <w:rPr>
                <w:sz w:val="27"/>
              </w:rPr>
            </w:pPr>
          </w:p>
          <w:p>
            <w:pPr>
              <w:pStyle w:val="TableParagraph"/>
              <w:ind w:left="106" w:right="112"/>
              <w:rPr>
                <w:sz w:val="22"/>
              </w:rPr>
            </w:pPr>
            <w:r>
              <w:rPr>
                <w:sz w:val="22"/>
              </w:rPr>
              <w:t>Sliding scale premium responsibilities for</w:t>
            </w:r>
            <w:r>
              <w:rPr>
                <w:spacing w:val="-8"/>
                <w:sz w:val="22"/>
              </w:rPr>
              <w:t> </w:t>
            </w:r>
            <w:r>
              <w:rPr>
                <w:sz w:val="22"/>
              </w:rPr>
              <w:t>those</w:t>
            </w:r>
            <w:r>
              <w:rPr>
                <w:spacing w:val="-7"/>
                <w:sz w:val="22"/>
              </w:rPr>
              <w:t> </w:t>
            </w:r>
            <w:r>
              <w:rPr>
                <w:sz w:val="22"/>
              </w:rPr>
              <w:t>individuals</w:t>
            </w:r>
            <w:r>
              <w:rPr>
                <w:spacing w:val="-8"/>
                <w:sz w:val="22"/>
              </w:rPr>
              <w:t> </w:t>
            </w:r>
            <w:r>
              <w:rPr>
                <w:sz w:val="22"/>
              </w:rPr>
              <w:t>above</w:t>
            </w:r>
            <w:r>
              <w:rPr>
                <w:spacing w:val="-9"/>
                <w:sz w:val="22"/>
              </w:rPr>
              <w:t> </w:t>
            </w:r>
            <w:r>
              <w:rPr>
                <w:sz w:val="22"/>
              </w:rPr>
              <w:t>150</w:t>
            </w:r>
            <w:r>
              <w:rPr>
                <w:spacing w:val="-7"/>
                <w:sz w:val="22"/>
              </w:rPr>
              <w:t> </w:t>
            </w:r>
            <w:r>
              <w:rPr>
                <w:sz w:val="22"/>
              </w:rPr>
              <w:t>percent of the FPL.</w:t>
            </w:r>
          </w:p>
        </w:tc>
      </w:tr>
    </w:tbl>
    <w:p>
      <w:pPr>
        <w:spacing w:after="0"/>
        <w:rPr>
          <w:sz w:val="22"/>
        </w:rPr>
        <w:sectPr>
          <w:pgSz w:w="15840" w:h="12240" w:orient="landscape"/>
          <w:pgMar w:header="0" w:footer="1201" w:top="1380" w:bottom="1400" w:left="1320" w:right="1340"/>
        </w:sectPr>
      </w:pPr>
    </w:p>
    <w:p>
      <w:pPr>
        <w:pStyle w:val="BodyText"/>
        <w:spacing w:before="2"/>
        <w:rPr>
          <w:sz w:val="5"/>
        </w:rPr>
      </w:pPr>
    </w:p>
    <w:tbl>
      <w:tblPr>
        <w:tblW w:w="0" w:type="auto"/>
        <w:jc w:val="left"/>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82"/>
        <w:gridCol w:w="6670"/>
        <w:gridCol w:w="3790"/>
      </w:tblGrid>
      <w:tr>
        <w:trPr>
          <w:trHeight w:val="464" w:hRule="atLeast"/>
        </w:trPr>
        <w:tc>
          <w:tcPr>
            <w:tcW w:w="12942" w:type="dxa"/>
            <w:gridSpan w:val="3"/>
            <w:shd w:val="clear" w:color="auto" w:fill="DBE4F0"/>
          </w:tcPr>
          <w:p>
            <w:pPr>
              <w:pStyle w:val="TableParagraph"/>
              <w:spacing w:before="27"/>
              <w:ind w:left="4247" w:right="4228"/>
              <w:jc w:val="center"/>
              <w:rPr>
                <w:b/>
                <w:sz w:val="22"/>
              </w:rPr>
            </w:pPr>
            <w:r>
              <w:rPr>
                <w:b/>
                <w:sz w:val="22"/>
              </w:rPr>
              <w:t>Table</w:t>
            </w:r>
            <w:r>
              <w:rPr>
                <w:b/>
                <w:spacing w:val="-6"/>
                <w:sz w:val="22"/>
              </w:rPr>
              <w:t> </w:t>
            </w:r>
            <w:r>
              <w:rPr>
                <w:b/>
                <w:sz w:val="22"/>
              </w:rPr>
              <w:t>3:</w:t>
            </w:r>
            <w:r>
              <w:rPr>
                <w:b/>
                <w:spacing w:val="-4"/>
                <w:sz w:val="22"/>
              </w:rPr>
              <w:t> </w:t>
            </w:r>
            <w:r>
              <w:rPr>
                <w:b/>
                <w:sz w:val="22"/>
              </w:rPr>
              <w:t>Demonstration</w:t>
            </w:r>
            <w:r>
              <w:rPr>
                <w:b/>
                <w:spacing w:val="-6"/>
                <w:sz w:val="22"/>
              </w:rPr>
              <w:t> </w:t>
            </w:r>
            <w:r>
              <w:rPr>
                <w:b/>
                <w:sz w:val="22"/>
              </w:rPr>
              <w:t>Expansion</w:t>
            </w:r>
            <w:r>
              <w:rPr>
                <w:b/>
                <w:spacing w:val="-5"/>
                <w:sz w:val="22"/>
              </w:rPr>
              <w:t> </w:t>
            </w:r>
            <w:r>
              <w:rPr>
                <w:b/>
                <w:spacing w:val="-2"/>
                <w:sz w:val="22"/>
              </w:rPr>
              <w:t>Populations</w:t>
            </w:r>
          </w:p>
        </w:tc>
      </w:tr>
      <w:tr>
        <w:trPr>
          <w:trHeight w:val="1004" w:hRule="atLeast"/>
        </w:trPr>
        <w:tc>
          <w:tcPr>
            <w:tcW w:w="2482" w:type="dxa"/>
            <w:shd w:val="clear" w:color="auto" w:fill="DBE4F0"/>
          </w:tcPr>
          <w:p>
            <w:pPr>
              <w:pStyle w:val="TableParagraph"/>
              <w:spacing w:before="10"/>
              <w:rPr>
                <w:sz w:val="25"/>
              </w:rPr>
            </w:pPr>
          </w:p>
          <w:p>
            <w:pPr>
              <w:pStyle w:val="TableParagraph"/>
              <w:ind w:left="424"/>
              <w:rPr>
                <w:b/>
                <w:sz w:val="22"/>
              </w:rPr>
            </w:pPr>
            <w:r>
              <w:rPr>
                <w:b/>
                <w:sz w:val="22"/>
              </w:rPr>
              <w:t>Population</w:t>
            </w:r>
            <w:r>
              <w:rPr>
                <w:b/>
                <w:spacing w:val="-8"/>
                <w:sz w:val="22"/>
              </w:rPr>
              <w:t> </w:t>
            </w:r>
            <w:r>
              <w:rPr>
                <w:b/>
                <w:spacing w:val="-4"/>
                <w:sz w:val="22"/>
              </w:rPr>
              <w:t>Name</w:t>
            </w:r>
          </w:p>
        </w:tc>
        <w:tc>
          <w:tcPr>
            <w:tcW w:w="6670" w:type="dxa"/>
            <w:shd w:val="clear" w:color="auto" w:fill="DBE4F0"/>
          </w:tcPr>
          <w:p>
            <w:pPr>
              <w:pStyle w:val="TableParagraph"/>
              <w:spacing w:before="10"/>
              <w:rPr>
                <w:sz w:val="25"/>
              </w:rPr>
            </w:pPr>
          </w:p>
          <w:p>
            <w:pPr>
              <w:pStyle w:val="TableParagraph"/>
              <w:ind w:left="2243" w:right="2225"/>
              <w:jc w:val="center"/>
              <w:rPr>
                <w:b/>
                <w:sz w:val="22"/>
              </w:rPr>
            </w:pPr>
            <w:r>
              <w:rPr>
                <w:b/>
                <w:sz w:val="22"/>
              </w:rPr>
              <w:t>Population</w:t>
            </w:r>
            <w:r>
              <w:rPr>
                <w:b/>
                <w:spacing w:val="-6"/>
                <w:sz w:val="22"/>
              </w:rPr>
              <w:t> </w:t>
            </w:r>
            <w:r>
              <w:rPr>
                <w:b/>
                <w:spacing w:val="-2"/>
                <w:sz w:val="22"/>
              </w:rPr>
              <w:t>Description</w:t>
            </w:r>
          </w:p>
        </w:tc>
        <w:tc>
          <w:tcPr>
            <w:tcW w:w="3790" w:type="dxa"/>
            <w:shd w:val="clear" w:color="auto" w:fill="DBE4F0"/>
          </w:tcPr>
          <w:p>
            <w:pPr>
              <w:pStyle w:val="TableParagraph"/>
              <w:spacing w:before="10"/>
              <w:rPr>
                <w:sz w:val="25"/>
              </w:rPr>
            </w:pPr>
          </w:p>
          <w:p>
            <w:pPr>
              <w:pStyle w:val="TableParagraph"/>
              <w:ind w:left="209" w:right="192"/>
              <w:jc w:val="center"/>
              <w:rPr>
                <w:b/>
                <w:sz w:val="22"/>
              </w:rPr>
            </w:pPr>
            <w:r>
              <w:rPr>
                <w:b/>
                <w:spacing w:val="-2"/>
                <w:sz w:val="22"/>
              </w:rPr>
              <w:t>Benefits</w:t>
            </w:r>
          </w:p>
        </w:tc>
      </w:tr>
      <w:tr>
        <w:trPr>
          <w:trHeight w:val="2593" w:hRule="atLeast"/>
        </w:trPr>
        <w:tc>
          <w:tcPr>
            <w:tcW w:w="2482" w:type="dxa"/>
          </w:tcPr>
          <w:p>
            <w:pPr>
              <w:pStyle w:val="TableParagraph"/>
              <w:rPr>
                <w:sz w:val="24"/>
              </w:rPr>
            </w:pPr>
          </w:p>
          <w:p>
            <w:pPr>
              <w:pStyle w:val="TableParagraph"/>
              <w:rPr>
                <w:sz w:val="24"/>
              </w:rPr>
            </w:pPr>
          </w:p>
          <w:p>
            <w:pPr>
              <w:pStyle w:val="TableParagraph"/>
              <w:spacing w:before="8"/>
              <w:rPr>
                <w:sz w:val="35"/>
              </w:rPr>
            </w:pPr>
          </w:p>
          <w:p>
            <w:pPr>
              <w:pStyle w:val="TableParagraph"/>
              <w:ind w:left="107" w:right="583"/>
              <w:rPr>
                <w:sz w:val="22"/>
              </w:rPr>
            </w:pPr>
            <w:r>
              <w:rPr>
                <w:sz w:val="22"/>
              </w:rPr>
              <w:t>Out-of-state</w:t>
            </w:r>
            <w:r>
              <w:rPr>
                <w:spacing w:val="-14"/>
                <w:sz w:val="22"/>
              </w:rPr>
              <w:t> </w:t>
            </w:r>
            <w:r>
              <w:rPr>
                <w:sz w:val="22"/>
              </w:rPr>
              <w:t>Former Foster Care Youth</w:t>
            </w:r>
          </w:p>
        </w:tc>
        <w:tc>
          <w:tcPr>
            <w:tcW w:w="6670" w:type="dxa"/>
          </w:tcPr>
          <w:p>
            <w:pPr>
              <w:pStyle w:val="TableParagraph"/>
              <w:rPr>
                <w:sz w:val="24"/>
              </w:rPr>
            </w:pPr>
          </w:p>
          <w:p>
            <w:pPr>
              <w:pStyle w:val="TableParagraph"/>
              <w:spacing w:before="180"/>
              <w:ind w:left="107" w:right="148"/>
              <w:rPr>
                <w:sz w:val="22"/>
              </w:rPr>
            </w:pPr>
            <w:r>
              <w:rPr>
                <w:sz w:val="22"/>
              </w:rPr>
              <w:t>Youth</w:t>
            </w:r>
            <w:r>
              <w:rPr>
                <w:spacing w:val="-2"/>
                <w:sz w:val="22"/>
              </w:rPr>
              <w:t> </w:t>
            </w:r>
            <w:r>
              <w:rPr>
                <w:sz w:val="22"/>
              </w:rPr>
              <w:t>under</w:t>
            </w:r>
            <w:r>
              <w:rPr>
                <w:spacing w:val="-4"/>
                <w:sz w:val="22"/>
              </w:rPr>
              <w:t> </w:t>
            </w:r>
            <w:r>
              <w:rPr>
                <w:sz w:val="22"/>
              </w:rPr>
              <w:t>age</w:t>
            </w:r>
            <w:r>
              <w:rPr>
                <w:spacing w:val="-2"/>
                <w:sz w:val="22"/>
              </w:rPr>
              <w:t> </w:t>
            </w:r>
            <w:r>
              <w:rPr>
                <w:sz w:val="22"/>
              </w:rPr>
              <w:t>26</w:t>
            </w:r>
            <w:r>
              <w:rPr>
                <w:spacing w:val="-2"/>
                <w:sz w:val="22"/>
              </w:rPr>
              <w:t> </w:t>
            </w:r>
            <w:r>
              <w:rPr>
                <w:sz w:val="22"/>
              </w:rPr>
              <w:t>who</w:t>
            </w:r>
            <w:r>
              <w:rPr>
                <w:spacing w:val="-2"/>
                <w:sz w:val="22"/>
              </w:rPr>
              <w:t> </w:t>
            </w:r>
            <w:r>
              <w:rPr>
                <w:sz w:val="22"/>
              </w:rPr>
              <w:t>were</w:t>
            </w:r>
            <w:r>
              <w:rPr>
                <w:spacing w:val="-4"/>
                <w:sz w:val="22"/>
              </w:rPr>
              <w:t> </w:t>
            </w:r>
            <w:r>
              <w:rPr>
                <w:sz w:val="22"/>
              </w:rPr>
              <w:t>in</w:t>
            </w:r>
            <w:r>
              <w:rPr>
                <w:spacing w:val="-2"/>
                <w:sz w:val="22"/>
              </w:rPr>
              <w:t> </w:t>
            </w:r>
            <w:r>
              <w:rPr>
                <w:sz w:val="22"/>
              </w:rPr>
              <w:t>foster</w:t>
            </w:r>
            <w:r>
              <w:rPr>
                <w:spacing w:val="-4"/>
                <w:sz w:val="22"/>
              </w:rPr>
              <w:t> </w:t>
            </w:r>
            <w:r>
              <w:rPr>
                <w:sz w:val="22"/>
              </w:rPr>
              <w:t>care</w:t>
            </w:r>
            <w:r>
              <w:rPr>
                <w:spacing w:val="-2"/>
                <w:sz w:val="22"/>
              </w:rPr>
              <w:t> </w:t>
            </w:r>
            <w:r>
              <w:rPr>
                <w:sz w:val="22"/>
              </w:rPr>
              <w:t>under</w:t>
            </w:r>
            <w:r>
              <w:rPr>
                <w:spacing w:val="-4"/>
                <w:sz w:val="22"/>
              </w:rPr>
              <w:t> </w:t>
            </w:r>
            <w:r>
              <w:rPr>
                <w:sz w:val="22"/>
              </w:rPr>
              <w:t>the</w:t>
            </w:r>
            <w:r>
              <w:rPr>
                <w:spacing w:val="-4"/>
                <w:sz w:val="22"/>
              </w:rPr>
              <w:t> </w:t>
            </w:r>
            <w:r>
              <w:rPr>
                <w:sz w:val="22"/>
              </w:rPr>
              <w:t>responsibility</w:t>
            </w:r>
            <w:r>
              <w:rPr>
                <w:spacing w:val="-5"/>
                <w:sz w:val="22"/>
              </w:rPr>
              <w:t> </w:t>
            </w:r>
            <w:r>
              <w:rPr>
                <w:sz w:val="22"/>
              </w:rPr>
              <w:t>of</w:t>
            </w:r>
            <w:r>
              <w:rPr>
                <w:spacing w:val="-1"/>
                <w:sz w:val="22"/>
              </w:rPr>
              <w:t> </w:t>
            </w:r>
            <w:r>
              <w:rPr>
                <w:sz w:val="22"/>
              </w:rPr>
              <w:t>a state other than Massachusetts or a Tribe in such a state when they turned 18 (or a higher age at which the state’s or Tribe’s foster care assistance ends), and were enrolled in Medicaid under that state’s Medicaid state plan or 1115 demonstration at any time during the foster care period in which they aged out.</w:t>
            </w:r>
          </w:p>
        </w:tc>
        <w:tc>
          <w:tcPr>
            <w:tcW w:w="3790" w:type="dxa"/>
          </w:tcPr>
          <w:p>
            <w:pPr>
              <w:pStyle w:val="TableParagraph"/>
              <w:rPr>
                <w:sz w:val="24"/>
              </w:rPr>
            </w:pPr>
          </w:p>
          <w:p>
            <w:pPr>
              <w:pStyle w:val="TableParagraph"/>
              <w:rPr>
                <w:sz w:val="24"/>
              </w:rPr>
            </w:pPr>
          </w:p>
          <w:p>
            <w:pPr>
              <w:pStyle w:val="TableParagraph"/>
              <w:spacing w:before="7"/>
              <w:rPr>
                <w:sz w:val="24"/>
              </w:rPr>
            </w:pPr>
          </w:p>
          <w:p>
            <w:pPr>
              <w:pStyle w:val="TableParagraph"/>
              <w:spacing w:line="242" w:lineRule="auto" w:before="1"/>
              <w:ind w:left="106" w:right="112"/>
              <w:rPr>
                <w:sz w:val="22"/>
              </w:rPr>
            </w:pPr>
            <w:r>
              <w:rPr>
                <w:sz w:val="22"/>
              </w:rPr>
              <w:t>MassHealth Standard benefits, as described</w:t>
            </w:r>
            <w:r>
              <w:rPr>
                <w:spacing w:val="-6"/>
                <w:sz w:val="22"/>
              </w:rPr>
              <w:t> </w:t>
            </w:r>
            <w:r>
              <w:rPr>
                <w:sz w:val="22"/>
              </w:rPr>
              <w:t>in</w:t>
            </w:r>
            <w:r>
              <w:rPr>
                <w:spacing w:val="-6"/>
                <w:sz w:val="22"/>
              </w:rPr>
              <w:t> </w:t>
            </w:r>
            <w:r>
              <w:rPr>
                <w:sz w:val="22"/>
              </w:rPr>
              <w:t>the</w:t>
            </w:r>
            <w:r>
              <w:rPr>
                <w:spacing w:val="-6"/>
                <w:sz w:val="22"/>
              </w:rPr>
              <w:t> </w:t>
            </w:r>
            <w:r>
              <w:rPr>
                <w:sz w:val="22"/>
              </w:rPr>
              <w:t>Medicaid</w:t>
            </w:r>
            <w:r>
              <w:rPr>
                <w:spacing w:val="-8"/>
                <w:sz w:val="22"/>
              </w:rPr>
              <w:t> </w:t>
            </w:r>
            <w:r>
              <w:rPr>
                <w:sz w:val="22"/>
              </w:rPr>
              <w:t>state</w:t>
            </w:r>
            <w:r>
              <w:rPr>
                <w:spacing w:val="-6"/>
                <w:sz w:val="22"/>
              </w:rPr>
              <w:t> </w:t>
            </w:r>
            <w:r>
              <w:rPr>
                <w:sz w:val="22"/>
              </w:rPr>
              <w:t>plan</w:t>
            </w:r>
            <w:r>
              <w:rPr>
                <w:spacing w:val="-6"/>
                <w:sz w:val="22"/>
              </w:rPr>
              <w:t> </w:t>
            </w:r>
            <w:r>
              <w:rPr>
                <w:sz w:val="22"/>
              </w:rPr>
              <w:t>and Section 5 of these STCs.</w:t>
            </w:r>
          </w:p>
        </w:tc>
      </w:tr>
      <w:tr>
        <w:trPr>
          <w:trHeight w:val="4273" w:hRule="atLeast"/>
        </w:trPr>
        <w:tc>
          <w:tcPr>
            <w:tcW w:w="2482"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04"/>
              <w:ind w:left="107" w:right="583"/>
              <w:rPr>
                <w:sz w:val="22"/>
              </w:rPr>
            </w:pPr>
            <w:r>
              <w:rPr>
                <w:sz w:val="22"/>
              </w:rPr>
              <w:t>Family</w:t>
            </w:r>
            <w:r>
              <w:rPr>
                <w:spacing w:val="-14"/>
                <w:sz w:val="22"/>
              </w:rPr>
              <w:t> </w:t>
            </w:r>
            <w:r>
              <w:rPr>
                <w:sz w:val="22"/>
              </w:rPr>
              <w:t>Assistance </w:t>
            </w:r>
            <w:r>
              <w:rPr>
                <w:spacing w:val="-2"/>
                <w:sz w:val="22"/>
              </w:rPr>
              <w:t>Children</w:t>
            </w:r>
          </w:p>
        </w:tc>
        <w:tc>
          <w:tcPr>
            <w:tcW w:w="6670" w:type="dxa"/>
          </w:tcPr>
          <w:p>
            <w:pPr>
              <w:pStyle w:val="TableParagraph"/>
              <w:rPr>
                <w:sz w:val="24"/>
              </w:rPr>
            </w:pPr>
          </w:p>
          <w:p>
            <w:pPr>
              <w:pStyle w:val="TableParagraph"/>
              <w:rPr>
                <w:sz w:val="24"/>
              </w:rPr>
            </w:pPr>
          </w:p>
          <w:p>
            <w:pPr>
              <w:pStyle w:val="TableParagraph"/>
              <w:rPr>
                <w:sz w:val="24"/>
              </w:rPr>
            </w:pPr>
          </w:p>
          <w:p>
            <w:pPr>
              <w:pStyle w:val="TableParagraph"/>
              <w:spacing w:before="3"/>
              <w:rPr>
                <w:sz w:val="21"/>
              </w:rPr>
            </w:pPr>
          </w:p>
          <w:p>
            <w:pPr>
              <w:pStyle w:val="TableParagraph"/>
              <w:spacing w:before="1"/>
              <w:ind w:left="106" w:right="148"/>
              <w:rPr>
                <w:sz w:val="22"/>
              </w:rPr>
            </w:pPr>
            <w:r>
              <w:rPr>
                <w:sz w:val="22"/>
              </w:rPr>
              <w:t>Non-disabled children with incomes above 150% through 300% of the FPL, if insured at the time of application or Title XXI funding is exhausted,</w:t>
            </w:r>
            <w:r>
              <w:rPr>
                <w:spacing w:val="-3"/>
                <w:sz w:val="22"/>
              </w:rPr>
              <w:t> </w:t>
            </w:r>
            <w:r>
              <w:rPr>
                <w:sz w:val="22"/>
              </w:rPr>
              <w:t>who</w:t>
            </w:r>
            <w:r>
              <w:rPr>
                <w:spacing w:val="-3"/>
                <w:sz w:val="22"/>
              </w:rPr>
              <w:t> </w:t>
            </w:r>
            <w:r>
              <w:rPr>
                <w:sz w:val="22"/>
              </w:rPr>
              <w:t>are</w:t>
            </w:r>
            <w:r>
              <w:rPr>
                <w:spacing w:val="-3"/>
                <w:sz w:val="22"/>
              </w:rPr>
              <w:t> </w:t>
            </w:r>
            <w:r>
              <w:rPr>
                <w:sz w:val="22"/>
              </w:rPr>
              <w:t>not</w:t>
            </w:r>
            <w:r>
              <w:rPr>
                <w:spacing w:val="-2"/>
                <w:sz w:val="22"/>
              </w:rPr>
              <w:t> </w:t>
            </w:r>
            <w:r>
              <w:rPr>
                <w:sz w:val="22"/>
              </w:rPr>
              <w:t>otherwise</w:t>
            </w:r>
            <w:r>
              <w:rPr>
                <w:spacing w:val="-3"/>
                <w:sz w:val="22"/>
              </w:rPr>
              <w:t> </w:t>
            </w:r>
            <w:r>
              <w:rPr>
                <w:sz w:val="22"/>
              </w:rPr>
              <w:t>eligible</w:t>
            </w:r>
            <w:r>
              <w:rPr>
                <w:spacing w:val="-3"/>
                <w:sz w:val="22"/>
              </w:rPr>
              <w:t> </w:t>
            </w:r>
            <w:r>
              <w:rPr>
                <w:sz w:val="22"/>
              </w:rPr>
              <w:t>under</w:t>
            </w:r>
            <w:r>
              <w:rPr>
                <w:spacing w:val="-5"/>
                <w:sz w:val="22"/>
              </w:rPr>
              <w:t> </w:t>
            </w:r>
            <w:r>
              <w:rPr>
                <w:sz w:val="22"/>
              </w:rPr>
              <w:t>the</w:t>
            </w:r>
            <w:r>
              <w:rPr>
                <w:spacing w:val="-5"/>
                <w:sz w:val="22"/>
              </w:rPr>
              <w:t> </w:t>
            </w:r>
            <w:r>
              <w:rPr>
                <w:sz w:val="22"/>
              </w:rPr>
              <w:t>Medicaid</w:t>
            </w:r>
            <w:r>
              <w:rPr>
                <w:spacing w:val="-6"/>
                <w:sz w:val="22"/>
              </w:rPr>
              <w:t> </w:t>
            </w:r>
            <w:r>
              <w:rPr>
                <w:sz w:val="22"/>
              </w:rPr>
              <w:t>state</w:t>
            </w:r>
            <w:r>
              <w:rPr>
                <w:spacing w:val="-5"/>
                <w:sz w:val="22"/>
              </w:rPr>
              <w:t> </w:t>
            </w:r>
            <w:r>
              <w:rPr>
                <w:sz w:val="22"/>
              </w:rPr>
              <w:t>plan due to family income or under the CHIP state plan due to having insurance at application.</w:t>
            </w:r>
          </w:p>
          <w:p>
            <w:pPr>
              <w:pStyle w:val="TableParagraph"/>
              <w:numPr>
                <w:ilvl w:val="0"/>
                <w:numId w:val="13"/>
              </w:numPr>
              <w:tabs>
                <w:tab w:pos="467" w:val="left" w:leader="none"/>
              </w:tabs>
              <w:spacing w:line="269" w:lineRule="exact" w:before="161" w:after="0"/>
              <w:ind w:left="467" w:right="0" w:hanging="360"/>
              <w:jc w:val="left"/>
              <w:rPr>
                <w:sz w:val="22"/>
              </w:rPr>
            </w:pPr>
            <w:r>
              <w:rPr>
                <w:sz w:val="22"/>
              </w:rPr>
              <w:t>Children</w:t>
            </w:r>
            <w:r>
              <w:rPr>
                <w:spacing w:val="-6"/>
                <w:sz w:val="22"/>
              </w:rPr>
              <w:t> </w:t>
            </w:r>
            <w:r>
              <w:rPr>
                <w:sz w:val="22"/>
              </w:rPr>
              <w:t>ages</w:t>
            </w:r>
            <w:r>
              <w:rPr>
                <w:spacing w:val="-3"/>
                <w:sz w:val="22"/>
              </w:rPr>
              <w:t> </w:t>
            </w:r>
            <w:r>
              <w:rPr>
                <w:sz w:val="22"/>
              </w:rPr>
              <w:t>1</w:t>
            </w:r>
            <w:r>
              <w:rPr>
                <w:spacing w:val="-2"/>
                <w:sz w:val="22"/>
              </w:rPr>
              <w:t> </w:t>
            </w:r>
            <w:r>
              <w:rPr>
                <w:sz w:val="22"/>
              </w:rPr>
              <w:t>through</w:t>
            </w:r>
            <w:r>
              <w:rPr>
                <w:spacing w:val="-3"/>
                <w:sz w:val="22"/>
              </w:rPr>
              <w:t> </w:t>
            </w:r>
            <w:r>
              <w:rPr>
                <w:sz w:val="22"/>
              </w:rPr>
              <w:t>18:</w:t>
            </w:r>
            <w:r>
              <w:rPr>
                <w:spacing w:val="-2"/>
                <w:sz w:val="22"/>
              </w:rPr>
              <w:t> </w:t>
            </w:r>
            <w:r>
              <w:rPr>
                <w:sz w:val="22"/>
              </w:rPr>
              <w:t>above</w:t>
            </w:r>
            <w:r>
              <w:rPr>
                <w:spacing w:val="-2"/>
                <w:sz w:val="22"/>
              </w:rPr>
              <w:t> </w:t>
            </w:r>
            <w:r>
              <w:rPr>
                <w:sz w:val="22"/>
              </w:rPr>
              <w:t>150%</w:t>
            </w:r>
            <w:r>
              <w:rPr>
                <w:spacing w:val="-5"/>
                <w:sz w:val="22"/>
              </w:rPr>
              <w:t> </w:t>
            </w:r>
            <w:r>
              <w:rPr>
                <w:sz w:val="22"/>
              </w:rPr>
              <w:t>through</w:t>
            </w:r>
            <w:r>
              <w:rPr>
                <w:spacing w:val="-3"/>
                <w:sz w:val="22"/>
              </w:rPr>
              <w:t> </w:t>
            </w:r>
            <w:r>
              <w:rPr>
                <w:sz w:val="22"/>
              </w:rPr>
              <w:t>300%</w:t>
            </w:r>
            <w:r>
              <w:rPr>
                <w:spacing w:val="-1"/>
                <w:sz w:val="22"/>
              </w:rPr>
              <w:t> </w:t>
            </w:r>
            <w:r>
              <w:rPr>
                <w:spacing w:val="-5"/>
                <w:sz w:val="22"/>
              </w:rPr>
              <w:t>FPL</w:t>
            </w:r>
          </w:p>
          <w:p>
            <w:pPr>
              <w:pStyle w:val="TableParagraph"/>
              <w:numPr>
                <w:ilvl w:val="0"/>
                <w:numId w:val="13"/>
              </w:numPr>
              <w:tabs>
                <w:tab w:pos="467" w:val="left" w:leader="none"/>
              </w:tabs>
              <w:spacing w:line="269" w:lineRule="exact" w:before="0" w:after="0"/>
              <w:ind w:left="467" w:right="0" w:hanging="360"/>
              <w:jc w:val="left"/>
              <w:rPr>
                <w:sz w:val="22"/>
              </w:rPr>
            </w:pPr>
            <w:r>
              <w:rPr>
                <w:sz w:val="22"/>
              </w:rPr>
              <w:t>Children</w:t>
            </w:r>
            <w:r>
              <w:rPr>
                <w:spacing w:val="-8"/>
                <w:sz w:val="22"/>
              </w:rPr>
              <w:t> </w:t>
            </w:r>
            <w:r>
              <w:rPr>
                <w:sz w:val="22"/>
              </w:rPr>
              <w:t>less</w:t>
            </w:r>
            <w:r>
              <w:rPr>
                <w:spacing w:val="-3"/>
                <w:sz w:val="22"/>
              </w:rPr>
              <w:t> </w:t>
            </w:r>
            <w:r>
              <w:rPr>
                <w:sz w:val="22"/>
              </w:rPr>
              <w:t>than</w:t>
            </w:r>
            <w:r>
              <w:rPr>
                <w:spacing w:val="-2"/>
                <w:sz w:val="22"/>
              </w:rPr>
              <w:t> </w:t>
            </w:r>
            <w:r>
              <w:rPr>
                <w:sz w:val="22"/>
              </w:rPr>
              <w:t>age</w:t>
            </w:r>
            <w:r>
              <w:rPr>
                <w:spacing w:val="-3"/>
                <w:sz w:val="22"/>
              </w:rPr>
              <w:t> </w:t>
            </w:r>
            <w:r>
              <w:rPr>
                <w:sz w:val="22"/>
              </w:rPr>
              <w:t>1:</w:t>
            </w:r>
            <w:r>
              <w:rPr>
                <w:spacing w:val="-1"/>
                <w:sz w:val="22"/>
              </w:rPr>
              <w:t> </w:t>
            </w:r>
            <w:r>
              <w:rPr>
                <w:sz w:val="22"/>
              </w:rPr>
              <w:t>Above</w:t>
            </w:r>
            <w:r>
              <w:rPr>
                <w:spacing w:val="-3"/>
                <w:sz w:val="22"/>
              </w:rPr>
              <w:t> </w:t>
            </w:r>
            <w:r>
              <w:rPr>
                <w:sz w:val="22"/>
              </w:rPr>
              <w:t>200%</w:t>
            </w:r>
            <w:r>
              <w:rPr>
                <w:spacing w:val="-4"/>
                <w:sz w:val="22"/>
              </w:rPr>
              <w:t> </w:t>
            </w:r>
            <w:r>
              <w:rPr>
                <w:sz w:val="22"/>
              </w:rPr>
              <w:t>through</w:t>
            </w:r>
            <w:r>
              <w:rPr>
                <w:spacing w:val="-3"/>
                <w:sz w:val="22"/>
              </w:rPr>
              <w:t> </w:t>
            </w:r>
            <w:r>
              <w:rPr>
                <w:sz w:val="22"/>
              </w:rPr>
              <w:t>300%</w:t>
            </w:r>
            <w:r>
              <w:rPr>
                <w:spacing w:val="-4"/>
                <w:sz w:val="22"/>
              </w:rPr>
              <w:t> </w:t>
            </w:r>
            <w:r>
              <w:rPr>
                <w:spacing w:val="-5"/>
                <w:sz w:val="22"/>
              </w:rPr>
              <w:t>FPL</w:t>
            </w:r>
          </w:p>
        </w:tc>
        <w:tc>
          <w:tcPr>
            <w:tcW w:w="3790" w:type="dxa"/>
          </w:tcPr>
          <w:p>
            <w:pPr>
              <w:pStyle w:val="TableParagraph"/>
              <w:spacing w:line="242" w:lineRule="auto"/>
              <w:ind w:left="106" w:right="112"/>
              <w:rPr>
                <w:sz w:val="22"/>
              </w:rPr>
            </w:pPr>
            <w:r>
              <w:rPr>
                <w:sz w:val="22"/>
              </w:rPr>
              <w:t>Family</w:t>
            </w:r>
            <w:r>
              <w:rPr>
                <w:spacing w:val="-10"/>
                <w:sz w:val="22"/>
              </w:rPr>
              <w:t> </w:t>
            </w:r>
            <w:r>
              <w:rPr>
                <w:sz w:val="22"/>
              </w:rPr>
              <w:t>Assistance</w:t>
            </w:r>
            <w:r>
              <w:rPr>
                <w:spacing w:val="-7"/>
                <w:sz w:val="22"/>
              </w:rPr>
              <w:t> </w:t>
            </w:r>
            <w:r>
              <w:rPr>
                <w:sz w:val="22"/>
              </w:rPr>
              <w:t>benefits</w:t>
            </w:r>
            <w:r>
              <w:rPr>
                <w:spacing w:val="-9"/>
                <w:sz w:val="22"/>
              </w:rPr>
              <w:t> </w:t>
            </w:r>
            <w:r>
              <w:rPr>
                <w:sz w:val="22"/>
              </w:rPr>
              <w:t>as</w:t>
            </w:r>
            <w:r>
              <w:rPr>
                <w:spacing w:val="-7"/>
                <w:sz w:val="22"/>
              </w:rPr>
              <w:t> </w:t>
            </w:r>
            <w:r>
              <w:rPr>
                <w:sz w:val="22"/>
              </w:rPr>
              <w:t>described in the CHIP state plan and Section 5 of these STCs.</w:t>
            </w:r>
          </w:p>
          <w:p>
            <w:pPr>
              <w:pStyle w:val="TableParagraph"/>
              <w:spacing w:before="151"/>
              <w:ind w:left="106" w:right="112"/>
              <w:rPr>
                <w:sz w:val="22"/>
              </w:rPr>
            </w:pPr>
            <w:r>
              <w:rPr>
                <w:sz w:val="22"/>
              </w:rPr>
              <w:t>Children who are uninsured at the time of application derive eligibility from both the authority granted under this demonstration and the XXI program including</w:t>
            </w:r>
            <w:r>
              <w:rPr>
                <w:spacing w:val="-9"/>
                <w:sz w:val="22"/>
              </w:rPr>
              <w:t> </w:t>
            </w:r>
            <w:r>
              <w:rPr>
                <w:sz w:val="22"/>
              </w:rPr>
              <w:t>premium</w:t>
            </w:r>
            <w:r>
              <w:rPr>
                <w:spacing w:val="-10"/>
                <w:sz w:val="22"/>
              </w:rPr>
              <w:t> </w:t>
            </w:r>
            <w:r>
              <w:rPr>
                <w:sz w:val="22"/>
              </w:rPr>
              <w:t>assistance</w:t>
            </w:r>
            <w:r>
              <w:rPr>
                <w:spacing w:val="-6"/>
                <w:sz w:val="22"/>
              </w:rPr>
              <w:t> </w:t>
            </w:r>
            <w:r>
              <w:rPr>
                <w:sz w:val="22"/>
              </w:rPr>
              <w:t>for</w:t>
            </w:r>
            <w:r>
              <w:rPr>
                <w:spacing w:val="-5"/>
                <w:sz w:val="22"/>
              </w:rPr>
              <w:t> </w:t>
            </w:r>
            <w:r>
              <w:rPr>
                <w:sz w:val="22"/>
              </w:rPr>
              <w:t>ESI</w:t>
            </w:r>
            <w:r>
              <w:rPr>
                <w:spacing w:val="-10"/>
                <w:sz w:val="22"/>
              </w:rPr>
              <w:t> </w:t>
            </w:r>
            <w:r>
              <w:rPr>
                <w:sz w:val="22"/>
              </w:rPr>
              <w:t>or direct benefits. The premium assistance payments and FFP will be based on the children’s eligibility. Parents are covered incidental to the child.</w:t>
            </w:r>
          </w:p>
          <w:p>
            <w:pPr>
              <w:pStyle w:val="TableParagraph"/>
              <w:spacing w:line="242" w:lineRule="auto" w:before="158"/>
              <w:ind w:left="106" w:right="112"/>
              <w:rPr>
                <w:sz w:val="22"/>
              </w:rPr>
            </w:pPr>
            <w:r>
              <w:rPr>
                <w:sz w:val="22"/>
              </w:rPr>
              <w:t>A benefit wrap is provided for MassHealth</w:t>
            </w:r>
            <w:r>
              <w:rPr>
                <w:spacing w:val="-12"/>
                <w:sz w:val="22"/>
              </w:rPr>
              <w:t> </w:t>
            </w:r>
            <w:r>
              <w:rPr>
                <w:sz w:val="22"/>
              </w:rPr>
              <w:t>covered</w:t>
            </w:r>
            <w:r>
              <w:rPr>
                <w:spacing w:val="-12"/>
                <w:sz w:val="22"/>
              </w:rPr>
              <w:t> </w:t>
            </w:r>
            <w:r>
              <w:rPr>
                <w:sz w:val="22"/>
              </w:rPr>
              <w:t>services</w:t>
            </w:r>
            <w:r>
              <w:rPr>
                <w:spacing w:val="-12"/>
                <w:sz w:val="22"/>
              </w:rPr>
              <w:t> </w:t>
            </w:r>
            <w:r>
              <w:rPr>
                <w:sz w:val="22"/>
              </w:rPr>
              <w:t>not provided through the ESI</w:t>
            </w:r>
          </w:p>
        </w:tc>
      </w:tr>
    </w:tbl>
    <w:p>
      <w:pPr>
        <w:spacing w:after="0" w:line="242" w:lineRule="auto"/>
        <w:rPr>
          <w:sz w:val="22"/>
        </w:rPr>
        <w:sectPr>
          <w:pgSz w:w="15840" w:h="12240" w:orient="landscape"/>
          <w:pgMar w:header="0" w:footer="1201" w:top="1380" w:bottom="1400" w:left="1320" w:right="1340"/>
        </w:sectPr>
      </w:pPr>
    </w:p>
    <w:p>
      <w:pPr>
        <w:pStyle w:val="BodyText"/>
        <w:spacing w:before="2"/>
        <w:rPr>
          <w:sz w:val="5"/>
        </w:rPr>
      </w:pPr>
    </w:p>
    <w:tbl>
      <w:tblPr>
        <w:tblW w:w="0" w:type="auto"/>
        <w:jc w:val="left"/>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82"/>
        <w:gridCol w:w="6670"/>
        <w:gridCol w:w="3790"/>
      </w:tblGrid>
      <w:tr>
        <w:trPr>
          <w:trHeight w:val="464" w:hRule="atLeast"/>
        </w:trPr>
        <w:tc>
          <w:tcPr>
            <w:tcW w:w="12942" w:type="dxa"/>
            <w:gridSpan w:val="3"/>
            <w:shd w:val="clear" w:color="auto" w:fill="DBE4F0"/>
          </w:tcPr>
          <w:p>
            <w:pPr>
              <w:pStyle w:val="TableParagraph"/>
              <w:spacing w:before="27"/>
              <w:ind w:left="4247" w:right="4228"/>
              <w:jc w:val="center"/>
              <w:rPr>
                <w:b/>
                <w:sz w:val="22"/>
              </w:rPr>
            </w:pPr>
            <w:r>
              <w:rPr>
                <w:b/>
                <w:sz w:val="22"/>
              </w:rPr>
              <w:t>Table</w:t>
            </w:r>
            <w:r>
              <w:rPr>
                <w:b/>
                <w:spacing w:val="-6"/>
                <w:sz w:val="22"/>
              </w:rPr>
              <w:t> </w:t>
            </w:r>
            <w:r>
              <w:rPr>
                <w:b/>
                <w:sz w:val="22"/>
              </w:rPr>
              <w:t>3:</w:t>
            </w:r>
            <w:r>
              <w:rPr>
                <w:b/>
                <w:spacing w:val="-4"/>
                <w:sz w:val="22"/>
              </w:rPr>
              <w:t> </w:t>
            </w:r>
            <w:r>
              <w:rPr>
                <w:b/>
                <w:sz w:val="22"/>
              </w:rPr>
              <w:t>Demonstration</w:t>
            </w:r>
            <w:r>
              <w:rPr>
                <w:b/>
                <w:spacing w:val="-6"/>
                <w:sz w:val="22"/>
              </w:rPr>
              <w:t> </w:t>
            </w:r>
            <w:r>
              <w:rPr>
                <w:b/>
                <w:sz w:val="22"/>
              </w:rPr>
              <w:t>Expansion</w:t>
            </w:r>
            <w:r>
              <w:rPr>
                <w:b/>
                <w:spacing w:val="-5"/>
                <w:sz w:val="22"/>
              </w:rPr>
              <w:t> </w:t>
            </w:r>
            <w:r>
              <w:rPr>
                <w:b/>
                <w:spacing w:val="-2"/>
                <w:sz w:val="22"/>
              </w:rPr>
              <w:t>Populations</w:t>
            </w:r>
          </w:p>
        </w:tc>
      </w:tr>
      <w:tr>
        <w:trPr>
          <w:trHeight w:val="1004" w:hRule="atLeast"/>
        </w:trPr>
        <w:tc>
          <w:tcPr>
            <w:tcW w:w="2482" w:type="dxa"/>
            <w:shd w:val="clear" w:color="auto" w:fill="DBE4F0"/>
          </w:tcPr>
          <w:p>
            <w:pPr>
              <w:pStyle w:val="TableParagraph"/>
              <w:spacing w:before="10"/>
              <w:rPr>
                <w:sz w:val="25"/>
              </w:rPr>
            </w:pPr>
          </w:p>
          <w:p>
            <w:pPr>
              <w:pStyle w:val="TableParagraph"/>
              <w:ind w:left="424"/>
              <w:rPr>
                <w:b/>
                <w:sz w:val="22"/>
              </w:rPr>
            </w:pPr>
            <w:r>
              <w:rPr>
                <w:b/>
                <w:sz w:val="22"/>
              </w:rPr>
              <w:t>Population</w:t>
            </w:r>
            <w:r>
              <w:rPr>
                <w:b/>
                <w:spacing w:val="-8"/>
                <w:sz w:val="22"/>
              </w:rPr>
              <w:t> </w:t>
            </w:r>
            <w:r>
              <w:rPr>
                <w:b/>
                <w:spacing w:val="-4"/>
                <w:sz w:val="22"/>
              </w:rPr>
              <w:t>Name</w:t>
            </w:r>
          </w:p>
        </w:tc>
        <w:tc>
          <w:tcPr>
            <w:tcW w:w="6670" w:type="dxa"/>
            <w:shd w:val="clear" w:color="auto" w:fill="DBE4F0"/>
          </w:tcPr>
          <w:p>
            <w:pPr>
              <w:pStyle w:val="TableParagraph"/>
              <w:spacing w:before="10"/>
              <w:rPr>
                <w:sz w:val="25"/>
              </w:rPr>
            </w:pPr>
          </w:p>
          <w:p>
            <w:pPr>
              <w:pStyle w:val="TableParagraph"/>
              <w:ind w:left="2243" w:right="2225"/>
              <w:jc w:val="center"/>
              <w:rPr>
                <w:b/>
                <w:sz w:val="22"/>
              </w:rPr>
            </w:pPr>
            <w:r>
              <w:rPr>
                <w:b/>
                <w:sz w:val="22"/>
              </w:rPr>
              <w:t>Population</w:t>
            </w:r>
            <w:r>
              <w:rPr>
                <w:b/>
                <w:spacing w:val="-6"/>
                <w:sz w:val="22"/>
              </w:rPr>
              <w:t> </w:t>
            </w:r>
            <w:r>
              <w:rPr>
                <w:b/>
                <w:spacing w:val="-2"/>
                <w:sz w:val="22"/>
              </w:rPr>
              <w:t>Description</w:t>
            </w:r>
          </w:p>
        </w:tc>
        <w:tc>
          <w:tcPr>
            <w:tcW w:w="3790" w:type="dxa"/>
            <w:shd w:val="clear" w:color="auto" w:fill="DBE4F0"/>
          </w:tcPr>
          <w:p>
            <w:pPr>
              <w:pStyle w:val="TableParagraph"/>
              <w:spacing w:before="10"/>
              <w:rPr>
                <w:sz w:val="25"/>
              </w:rPr>
            </w:pPr>
          </w:p>
          <w:p>
            <w:pPr>
              <w:pStyle w:val="TableParagraph"/>
              <w:ind w:left="209" w:right="192"/>
              <w:jc w:val="center"/>
              <w:rPr>
                <w:b/>
                <w:sz w:val="22"/>
              </w:rPr>
            </w:pPr>
            <w:r>
              <w:rPr>
                <w:b/>
                <w:spacing w:val="-2"/>
                <w:sz w:val="22"/>
              </w:rPr>
              <w:t>Benefits</w:t>
            </w:r>
          </w:p>
        </w:tc>
      </w:tr>
      <w:tr>
        <w:trPr>
          <w:trHeight w:val="4964" w:hRule="atLeast"/>
        </w:trPr>
        <w:tc>
          <w:tcPr>
            <w:tcW w:w="2482"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18"/>
              </w:rPr>
            </w:pPr>
          </w:p>
          <w:p>
            <w:pPr>
              <w:pStyle w:val="TableParagraph"/>
              <w:ind w:left="107"/>
              <w:rPr>
                <w:sz w:val="22"/>
              </w:rPr>
            </w:pPr>
            <w:r>
              <w:rPr>
                <w:sz w:val="22"/>
              </w:rPr>
              <w:t>Family</w:t>
            </w:r>
            <w:r>
              <w:rPr>
                <w:spacing w:val="-14"/>
                <w:sz w:val="22"/>
              </w:rPr>
              <w:t> </w:t>
            </w:r>
            <w:r>
              <w:rPr>
                <w:sz w:val="22"/>
              </w:rPr>
              <w:t>Assistance </w:t>
            </w:r>
            <w:r>
              <w:rPr>
                <w:spacing w:val="-2"/>
                <w:sz w:val="22"/>
              </w:rPr>
              <w:t>HIV/AIDs</w:t>
            </w:r>
          </w:p>
        </w:tc>
        <w:tc>
          <w:tcPr>
            <w:tcW w:w="6670"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18"/>
              </w:rPr>
            </w:pPr>
          </w:p>
          <w:p>
            <w:pPr>
              <w:pStyle w:val="TableParagraph"/>
              <w:ind w:left="107" w:right="188"/>
              <w:rPr>
                <w:sz w:val="22"/>
              </w:rPr>
            </w:pPr>
            <w:r>
              <w:rPr>
                <w:sz w:val="22"/>
              </w:rPr>
              <w:t>Individuals</w:t>
            </w:r>
            <w:r>
              <w:rPr>
                <w:spacing w:val="-4"/>
                <w:sz w:val="22"/>
              </w:rPr>
              <w:t> </w:t>
            </w:r>
            <w:r>
              <w:rPr>
                <w:sz w:val="22"/>
              </w:rPr>
              <w:t>with</w:t>
            </w:r>
            <w:r>
              <w:rPr>
                <w:spacing w:val="-4"/>
                <w:sz w:val="22"/>
              </w:rPr>
              <w:t> </w:t>
            </w:r>
            <w:r>
              <w:rPr>
                <w:sz w:val="22"/>
              </w:rPr>
              <w:t>HIV</w:t>
            </w:r>
            <w:r>
              <w:rPr>
                <w:spacing w:val="-3"/>
                <w:sz w:val="22"/>
              </w:rPr>
              <w:t> </w:t>
            </w:r>
            <w:r>
              <w:rPr>
                <w:sz w:val="22"/>
              </w:rPr>
              <w:t>not</w:t>
            </w:r>
            <w:r>
              <w:rPr>
                <w:spacing w:val="-3"/>
                <w:sz w:val="22"/>
              </w:rPr>
              <w:t> </w:t>
            </w:r>
            <w:r>
              <w:rPr>
                <w:sz w:val="22"/>
              </w:rPr>
              <w:t>otherwise</w:t>
            </w:r>
            <w:r>
              <w:rPr>
                <w:spacing w:val="-4"/>
                <w:sz w:val="22"/>
              </w:rPr>
              <w:t> </w:t>
            </w:r>
            <w:r>
              <w:rPr>
                <w:sz w:val="22"/>
              </w:rPr>
              <w:t>eligible</w:t>
            </w:r>
            <w:r>
              <w:rPr>
                <w:spacing w:val="-4"/>
                <w:sz w:val="22"/>
              </w:rPr>
              <w:t> </w:t>
            </w:r>
            <w:r>
              <w:rPr>
                <w:sz w:val="22"/>
              </w:rPr>
              <w:t>under</w:t>
            </w:r>
            <w:r>
              <w:rPr>
                <w:spacing w:val="-6"/>
                <w:sz w:val="22"/>
              </w:rPr>
              <w:t> </w:t>
            </w:r>
            <w:r>
              <w:rPr>
                <w:sz w:val="22"/>
              </w:rPr>
              <w:t>the</w:t>
            </w:r>
            <w:r>
              <w:rPr>
                <w:spacing w:val="-9"/>
                <w:sz w:val="22"/>
              </w:rPr>
              <w:t> </w:t>
            </w:r>
            <w:r>
              <w:rPr>
                <w:sz w:val="22"/>
              </w:rPr>
              <w:t>Medicaid</w:t>
            </w:r>
            <w:r>
              <w:rPr>
                <w:spacing w:val="-4"/>
                <w:sz w:val="22"/>
              </w:rPr>
              <w:t> </w:t>
            </w:r>
            <w:r>
              <w:rPr>
                <w:sz w:val="22"/>
              </w:rPr>
              <w:t>state plan with income above 133% through 200% FPL.</w:t>
            </w:r>
          </w:p>
        </w:tc>
        <w:tc>
          <w:tcPr>
            <w:tcW w:w="3790" w:type="dxa"/>
          </w:tcPr>
          <w:p>
            <w:pPr>
              <w:pStyle w:val="TableParagraph"/>
              <w:ind w:left="106" w:right="112"/>
              <w:rPr>
                <w:sz w:val="22"/>
              </w:rPr>
            </w:pPr>
            <w:r>
              <w:rPr>
                <w:sz w:val="22"/>
              </w:rPr>
              <w:t>Family</w:t>
            </w:r>
            <w:r>
              <w:rPr>
                <w:spacing w:val="-10"/>
                <w:sz w:val="22"/>
              </w:rPr>
              <w:t> </w:t>
            </w:r>
            <w:r>
              <w:rPr>
                <w:sz w:val="22"/>
              </w:rPr>
              <w:t>Assistance</w:t>
            </w:r>
            <w:r>
              <w:rPr>
                <w:spacing w:val="-7"/>
                <w:sz w:val="22"/>
              </w:rPr>
              <w:t> </w:t>
            </w:r>
            <w:r>
              <w:rPr>
                <w:sz w:val="22"/>
              </w:rPr>
              <w:t>benefits</w:t>
            </w:r>
            <w:r>
              <w:rPr>
                <w:spacing w:val="-9"/>
                <w:sz w:val="22"/>
              </w:rPr>
              <w:t> </w:t>
            </w:r>
            <w:r>
              <w:rPr>
                <w:sz w:val="22"/>
              </w:rPr>
              <w:t>as</w:t>
            </w:r>
            <w:r>
              <w:rPr>
                <w:spacing w:val="-7"/>
                <w:sz w:val="22"/>
              </w:rPr>
              <w:t> </w:t>
            </w:r>
            <w:r>
              <w:rPr>
                <w:sz w:val="22"/>
              </w:rPr>
              <w:t>described in Section 5 of these STCs.</w:t>
            </w:r>
            <w:r>
              <w:rPr>
                <w:spacing w:val="40"/>
                <w:sz w:val="22"/>
              </w:rPr>
              <w:t> </w:t>
            </w:r>
            <w:r>
              <w:rPr>
                <w:sz w:val="22"/>
              </w:rPr>
              <w:t>This includes expenditures for health care services furnished during the 90-day period between the time an individual submits</w:t>
            </w:r>
            <w:r>
              <w:rPr>
                <w:spacing w:val="-5"/>
                <w:sz w:val="22"/>
              </w:rPr>
              <w:t> </w:t>
            </w:r>
            <w:r>
              <w:rPr>
                <w:sz w:val="22"/>
              </w:rPr>
              <w:t>an</w:t>
            </w:r>
            <w:r>
              <w:rPr>
                <w:spacing w:val="-7"/>
                <w:sz w:val="22"/>
              </w:rPr>
              <w:t> </w:t>
            </w:r>
            <w:r>
              <w:rPr>
                <w:sz w:val="22"/>
              </w:rPr>
              <w:t>application</w:t>
            </w:r>
            <w:r>
              <w:rPr>
                <w:spacing w:val="-5"/>
                <w:sz w:val="22"/>
              </w:rPr>
              <w:t> </w:t>
            </w:r>
            <w:r>
              <w:rPr>
                <w:sz w:val="22"/>
              </w:rPr>
              <w:t>and</w:t>
            </w:r>
            <w:r>
              <w:rPr>
                <w:spacing w:val="-7"/>
                <w:sz w:val="22"/>
              </w:rPr>
              <w:t> </w:t>
            </w:r>
            <w:r>
              <w:rPr>
                <w:sz w:val="22"/>
              </w:rPr>
              <w:t>the</w:t>
            </w:r>
            <w:r>
              <w:rPr>
                <w:spacing w:val="-6"/>
                <w:sz w:val="22"/>
              </w:rPr>
              <w:t> </w:t>
            </w:r>
            <w:r>
              <w:rPr>
                <w:sz w:val="22"/>
              </w:rPr>
              <w:t>time</w:t>
            </w:r>
            <w:r>
              <w:rPr>
                <w:spacing w:val="-5"/>
                <w:sz w:val="22"/>
              </w:rPr>
              <w:t> </w:t>
            </w:r>
            <w:r>
              <w:rPr>
                <w:sz w:val="22"/>
              </w:rPr>
              <w:t>that the individual provides to the Commonwealth proof of HIV-positive health status.</w:t>
            </w:r>
          </w:p>
          <w:p>
            <w:pPr>
              <w:pStyle w:val="TableParagraph"/>
              <w:spacing w:before="159"/>
              <w:ind w:left="106" w:right="152"/>
              <w:jc w:val="both"/>
              <w:rPr>
                <w:sz w:val="22"/>
              </w:rPr>
            </w:pPr>
            <w:r>
              <w:rPr>
                <w:sz w:val="22"/>
              </w:rPr>
              <w:t>Premium</w:t>
            </w:r>
            <w:r>
              <w:rPr>
                <w:spacing w:val="-4"/>
                <w:sz w:val="22"/>
              </w:rPr>
              <w:t> </w:t>
            </w:r>
            <w:r>
              <w:rPr>
                <w:sz w:val="22"/>
              </w:rPr>
              <w:t>assistance</w:t>
            </w:r>
            <w:r>
              <w:rPr>
                <w:spacing w:val="-2"/>
                <w:sz w:val="22"/>
              </w:rPr>
              <w:t> </w:t>
            </w:r>
            <w:r>
              <w:rPr>
                <w:sz w:val="22"/>
              </w:rPr>
              <w:t>is</w:t>
            </w:r>
            <w:r>
              <w:rPr>
                <w:spacing w:val="-2"/>
                <w:sz w:val="22"/>
              </w:rPr>
              <w:t> </w:t>
            </w:r>
            <w:r>
              <w:rPr>
                <w:sz w:val="22"/>
              </w:rPr>
              <w:t>offered in</w:t>
            </w:r>
            <w:r>
              <w:rPr>
                <w:spacing w:val="-3"/>
                <w:sz w:val="22"/>
              </w:rPr>
              <w:t> </w:t>
            </w:r>
            <w:r>
              <w:rPr>
                <w:sz w:val="22"/>
              </w:rPr>
              <w:t>lieu of direct coverage when there is access to other</w:t>
            </w:r>
            <w:r>
              <w:rPr>
                <w:spacing w:val="-11"/>
                <w:sz w:val="22"/>
              </w:rPr>
              <w:t> </w:t>
            </w:r>
            <w:r>
              <w:rPr>
                <w:sz w:val="22"/>
              </w:rPr>
              <w:t>insurance.</w:t>
            </w:r>
            <w:r>
              <w:rPr>
                <w:spacing w:val="-12"/>
                <w:sz w:val="22"/>
              </w:rPr>
              <w:t> </w:t>
            </w:r>
            <w:r>
              <w:rPr>
                <w:sz w:val="22"/>
              </w:rPr>
              <w:t>Additional</w:t>
            </w:r>
            <w:r>
              <w:rPr>
                <w:spacing w:val="-13"/>
                <w:sz w:val="22"/>
              </w:rPr>
              <w:t> </w:t>
            </w:r>
            <w:r>
              <w:rPr>
                <w:sz w:val="22"/>
              </w:rPr>
              <w:t>wraparound to private insurance is provided.</w:t>
            </w:r>
          </w:p>
          <w:p>
            <w:pPr>
              <w:pStyle w:val="TableParagraph"/>
              <w:rPr>
                <w:sz w:val="24"/>
              </w:rPr>
            </w:pPr>
          </w:p>
          <w:p>
            <w:pPr>
              <w:pStyle w:val="TableParagraph"/>
              <w:spacing w:before="10"/>
              <w:rPr>
                <w:sz w:val="27"/>
              </w:rPr>
            </w:pPr>
          </w:p>
          <w:p>
            <w:pPr>
              <w:pStyle w:val="TableParagraph"/>
              <w:spacing w:line="242" w:lineRule="auto"/>
              <w:ind w:left="106" w:right="112"/>
              <w:rPr>
                <w:sz w:val="22"/>
              </w:rPr>
            </w:pPr>
            <w:r>
              <w:rPr>
                <w:sz w:val="22"/>
              </w:rPr>
              <w:t>Sliding scale premium responsibilities for</w:t>
            </w:r>
            <w:r>
              <w:rPr>
                <w:spacing w:val="-8"/>
                <w:sz w:val="22"/>
              </w:rPr>
              <w:t> </w:t>
            </w:r>
            <w:r>
              <w:rPr>
                <w:sz w:val="22"/>
              </w:rPr>
              <w:t>those</w:t>
            </w:r>
            <w:r>
              <w:rPr>
                <w:spacing w:val="-7"/>
                <w:sz w:val="22"/>
              </w:rPr>
              <w:t> </w:t>
            </w:r>
            <w:r>
              <w:rPr>
                <w:sz w:val="22"/>
              </w:rPr>
              <w:t>individuals</w:t>
            </w:r>
            <w:r>
              <w:rPr>
                <w:spacing w:val="-8"/>
                <w:sz w:val="22"/>
              </w:rPr>
              <w:t> </w:t>
            </w:r>
            <w:r>
              <w:rPr>
                <w:sz w:val="22"/>
              </w:rPr>
              <w:t>above</w:t>
            </w:r>
            <w:r>
              <w:rPr>
                <w:spacing w:val="-9"/>
                <w:sz w:val="22"/>
              </w:rPr>
              <w:t> </w:t>
            </w:r>
            <w:r>
              <w:rPr>
                <w:sz w:val="22"/>
              </w:rPr>
              <w:t>150</w:t>
            </w:r>
            <w:r>
              <w:rPr>
                <w:spacing w:val="-7"/>
                <w:sz w:val="22"/>
              </w:rPr>
              <w:t> </w:t>
            </w:r>
            <w:r>
              <w:rPr>
                <w:sz w:val="22"/>
              </w:rPr>
              <w:t>percent of the FPL.</w:t>
            </w:r>
          </w:p>
        </w:tc>
      </w:tr>
      <w:tr>
        <w:trPr>
          <w:trHeight w:val="1439" w:hRule="atLeast"/>
        </w:trPr>
        <w:tc>
          <w:tcPr>
            <w:tcW w:w="2482" w:type="dxa"/>
          </w:tcPr>
          <w:p>
            <w:pPr>
              <w:pStyle w:val="TableParagraph"/>
              <w:rPr>
                <w:sz w:val="26"/>
              </w:rPr>
            </w:pPr>
          </w:p>
          <w:p>
            <w:pPr>
              <w:pStyle w:val="TableParagraph"/>
              <w:spacing w:before="201"/>
              <w:ind w:left="107"/>
              <w:rPr>
                <w:sz w:val="24"/>
              </w:rPr>
            </w:pPr>
            <w:r>
              <w:rPr>
                <w:spacing w:val="-2"/>
                <w:sz w:val="24"/>
              </w:rPr>
              <w:t>EAEDC</w:t>
            </w:r>
          </w:p>
        </w:tc>
        <w:tc>
          <w:tcPr>
            <w:tcW w:w="6670" w:type="dxa"/>
          </w:tcPr>
          <w:p>
            <w:pPr>
              <w:pStyle w:val="TableParagraph"/>
              <w:spacing w:before="132"/>
              <w:ind w:left="107" w:right="148"/>
              <w:rPr>
                <w:sz w:val="22"/>
              </w:rPr>
            </w:pPr>
            <w:r>
              <w:rPr>
                <w:sz w:val="22"/>
              </w:rPr>
              <w:t>Individuals who receive Emergency Aid to Elders, Disabled and Children</w:t>
            </w:r>
            <w:r>
              <w:rPr>
                <w:spacing w:val="-6"/>
                <w:sz w:val="22"/>
              </w:rPr>
              <w:t> </w:t>
            </w:r>
            <w:r>
              <w:rPr>
                <w:sz w:val="22"/>
              </w:rPr>
              <w:t>(EAEDC).</w:t>
            </w:r>
            <w:r>
              <w:rPr>
                <w:spacing w:val="40"/>
                <w:sz w:val="22"/>
              </w:rPr>
              <w:t> </w:t>
            </w:r>
            <w:r>
              <w:rPr>
                <w:sz w:val="22"/>
              </w:rPr>
              <w:t>Individuals</w:t>
            </w:r>
            <w:r>
              <w:rPr>
                <w:spacing w:val="-5"/>
                <w:sz w:val="22"/>
              </w:rPr>
              <w:t> </w:t>
            </w:r>
            <w:r>
              <w:rPr>
                <w:sz w:val="22"/>
              </w:rPr>
              <w:t>in</w:t>
            </w:r>
            <w:r>
              <w:rPr>
                <w:spacing w:val="-6"/>
                <w:sz w:val="22"/>
              </w:rPr>
              <w:t> </w:t>
            </w:r>
            <w:r>
              <w:rPr>
                <w:sz w:val="22"/>
              </w:rPr>
              <w:t>this</w:t>
            </w:r>
            <w:r>
              <w:rPr>
                <w:spacing w:val="-3"/>
                <w:sz w:val="22"/>
              </w:rPr>
              <w:t> </w:t>
            </w:r>
            <w:r>
              <w:rPr>
                <w:sz w:val="22"/>
              </w:rPr>
              <w:t>eligibility</w:t>
            </w:r>
            <w:r>
              <w:rPr>
                <w:spacing w:val="-6"/>
                <w:sz w:val="22"/>
              </w:rPr>
              <w:t> </w:t>
            </w:r>
            <w:r>
              <w:rPr>
                <w:sz w:val="22"/>
              </w:rPr>
              <w:t>group</w:t>
            </w:r>
            <w:r>
              <w:rPr>
                <w:spacing w:val="-3"/>
                <w:sz w:val="22"/>
              </w:rPr>
              <w:t> </w:t>
            </w:r>
            <w:r>
              <w:rPr>
                <w:sz w:val="22"/>
              </w:rPr>
              <w:t>are</w:t>
            </w:r>
            <w:r>
              <w:rPr>
                <w:spacing w:val="-5"/>
                <w:sz w:val="22"/>
              </w:rPr>
              <w:t> </w:t>
            </w:r>
            <w:r>
              <w:rPr>
                <w:sz w:val="22"/>
              </w:rPr>
              <w:t>eligible</w:t>
            </w:r>
            <w:r>
              <w:rPr>
                <w:spacing w:val="-5"/>
                <w:sz w:val="22"/>
              </w:rPr>
              <w:t> </w:t>
            </w:r>
            <w:r>
              <w:rPr>
                <w:sz w:val="22"/>
              </w:rPr>
              <w:t>for MassHealth Standard based on receipt of EAEDC benefits, not an income determination.</w:t>
            </w:r>
          </w:p>
        </w:tc>
        <w:tc>
          <w:tcPr>
            <w:tcW w:w="3790" w:type="dxa"/>
          </w:tcPr>
          <w:p>
            <w:pPr>
              <w:pStyle w:val="TableParagraph"/>
              <w:rPr>
                <w:sz w:val="24"/>
              </w:rPr>
            </w:pPr>
          </w:p>
          <w:p>
            <w:pPr>
              <w:pStyle w:val="TableParagraph"/>
              <w:spacing w:before="8"/>
              <w:rPr>
                <w:sz w:val="20"/>
              </w:rPr>
            </w:pPr>
          </w:p>
          <w:p>
            <w:pPr>
              <w:pStyle w:val="TableParagraph"/>
              <w:ind w:left="106"/>
              <w:rPr>
                <w:sz w:val="22"/>
              </w:rPr>
            </w:pPr>
            <w:r>
              <w:rPr>
                <w:sz w:val="22"/>
              </w:rPr>
              <w:t>MassHealth</w:t>
            </w:r>
            <w:r>
              <w:rPr>
                <w:spacing w:val="-7"/>
                <w:sz w:val="22"/>
              </w:rPr>
              <w:t> </w:t>
            </w:r>
            <w:r>
              <w:rPr>
                <w:spacing w:val="-2"/>
                <w:sz w:val="22"/>
              </w:rPr>
              <w:t>Standard</w:t>
            </w:r>
          </w:p>
        </w:tc>
      </w:tr>
    </w:tbl>
    <w:p>
      <w:pPr>
        <w:spacing w:after="0"/>
        <w:rPr>
          <w:sz w:val="22"/>
        </w:rPr>
        <w:sectPr>
          <w:pgSz w:w="15840" w:h="12240" w:orient="landscape"/>
          <w:pgMar w:header="0" w:footer="1201" w:top="1380" w:bottom="1400" w:left="1320" w:right="1340"/>
        </w:sectPr>
      </w:pPr>
    </w:p>
    <w:p>
      <w:pPr>
        <w:pStyle w:val="BodyText"/>
        <w:spacing w:before="2"/>
        <w:rPr>
          <w:sz w:val="5"/>
        </w:rPr>
      </w:pPr>
    </w:p>
    <w:tbl>
      <w:tblPr>
        <w:tblW w:w="0" w:type="auto"/>
        <w:jc w:val="left"/>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82"/>
        <w:gridCol w:w="6670"/>
        <w:gridCol w:w="3790"/>
      </w:tblGrid>
      <w:tr>
        <w:trPr>
          <w:trHeight w:val="464" w:hRule="atLeast"/>
        </w:trPr>
        <w:tc>
          <w:tcPr>
            <w:tcW w:w="12942" w:type="dxa"/>
            <w:gridSpan w:val="3"/>
            <w:shd w:val="clear" w:color="auto" w:fill="DBE4F0"/>
          </w:tcPr>
          <w:p>
            <w:pPr>
              <w:pStyle w:val="TableParagraph"/>
              <w:spacing w:before="27"/>
              <w:ind w:left="4247" w:right="4228"/>
              <w:jc w:val="center"/>
              <w:rPr>
                <w:b/>
                <w:sz w:val="22"/>
              </w:rPr>
            </w:pPr>
            <w:r>
              <w:rPr>
                <w:b/>
                <w:sz w:val="22"/>
              </w:rPr>
              <w:t>Table</w:t>
            </w:r>
            <w:r>
              <w:rPr>
                <w:b/>
                <w:spacing w:val="-6"/>
                <w:sz w:val="22"/>
              </w:rPr>
              <w:t> </w:t>
            </w:r>
            <w:r>
              <w:rPr>
                <w:b/>
                <w:sz w:val="22"/>
              </w:rPr>
              <w:t>3:</w:t>
            </w:r>
            <w:r>
              <w:rPr>
                <w:b/>
                <w:spacing w:val="-4"/>
                <w:sz w:val="22"/>
              </w:rPr>
              <w:t> </w:t>
            </w:r>
            <w:r>
              <w:rPr>
                <w:b/>
                <w:sz w:val="22"/>
              </w:rPr>
              <w:t>Demonstration</w:t>
            </w:r>
            <w:r>
              <w:rPr>
                <w:b/>
                <w:spacing w:val="-6"/>
                <w:sz w:val="22"/>
              </w:rPr>
              <w:t> </w:t>
            </w:r>
            <w:r>
              <w:rPr>
                <w:b/>
                <w:sz w:val="22"/>
              </w:rPr>
              <w:t>Expansion</w:t>
            </w:r>
            <w:r>
              <w:rPr>
                <w:b/>
                <w:spacing w:val="-5"/>
                <w:sz w:val="22"/>
              </w:rPr>
              <w:t> </w:t>
            </w:r>
            <w:r>
              <w:rPr>
                <w:b/>
                <w:spacing w:val="-2"/>
                <w:sz w:val="22"/>
              </w:rPr>
              <w:t>Populations</w:t>
            </w:r>
          </w:p>
        </w:tc>
      </w:tr>
      <w:tr>
        <w:trPr>
          <w:trHeight w:val="1004" w:hRule="atLeast"/>
        </w:trPr>
        <w:tc>
          <w:tcPr>
            <w:tcW w:w="2482" w:type="dxa"/>
            <w:shd w:val="clear" w:color="auto" w:fill="DBE4F0"/>
          </w:tcPr>
          <w:p>
            <w:pPr>
              <w:pStyle w:val="TableParagraph"/>
              <w:spacing w:before="10"/>
              <w:rPr>
                <w:sz w:val="25"/>
              </w:rPr>
            </w:pPr>
          </w:p>
          <w:p>
            <w:pPr>
              <w:pStyle w:val="TableParagraph"/>
              <w:ind w:left="424"/>
              <w:rPr>
                <w:b/>
                <w:sz w:val="22"/>
              </w:rPr>
            </w:pPr>
            <w:r>
              <w:rPr>
                <w:b/>
                <w:sz w:val="22"/>
              </w:rPr>
              <w:t>Population</w:t>
            </w:r>
            <w:r>
              <w:rPr>
                <w:b/>
                <w:spacing w:val="-8"/>
                <w:sz w:val="22"/>
              </w:rPr>
              <w:t> </w:t>
            </w:r>
            <w:r>
              <w:rPr>
                <w:b/>
                <w:spacing w:val="-4"/>
                <w:sz w:val="22"/>
              </w:rPr>
              <w:t>Name</w:t>
            </w:r>
          </w:p>
        </w:tc>
        <w:tc>
          <w:tcPr>
            <w:tcW w:w="6670" w:type="dxa"/>
            <w:shd w:val="clear" w:color="auto" w:fill="DBE4F0"/>
          </w:tcPr>
          <w:p>
            <w:pPr>
              <w:pStyle w:val="TableParagraph"/>
              <w:spacing w:before="10"/>
              <w:rPr>
                <w:sz w:val="25"/>
              </w:rPr>
            </w:pPr>
          </w:p>
          <w:p>
            <w:pPr>
              <w:pStyle w:val="TableParagraph"/>
              <w:ind w:left="2243" w:right="2225"/>
              <w:jc w:val="center"/>
              <w:rPr>
                <w:b/>
                <w:sz w:val="22"/>
              </w:rPr>
            </w:pPr>
            <w:r>
              <w:rPr>
                <w:b/>
                <w:sz w:val="22"/>
              </w:rPr>
              <w:t>Population</w:t>
            </w:r>
            <w:r>
              <w:rPr>
                <w:b/>
                <w:spacing w:val="-6"/>
                <w:sz w:val="22"/>
              </w:rPr>
              <w:t> </w:t>
            </w:r>
            <w:r>
              <w:rPr>
                <w:b/>
                <w:spacing w:val="-2"/>
                <w:sz w:val="22"/>
              </w:rPr>
              <w:t>Description</w:t>
            </w:r>
          </w:p>
        </w:tc>
        <w:tc>
          <w:tcPr>
            <w:tcW w:w="3790" w:type="dxa"/>
            <w:shd w:val="clear" w:color="auto" w:fill="DBE4F0"/>
          </w:tcPr>
          <w:p>
            <w:pPr>
              <w:pStyle w:val="TableParagraph"/>
              <w:spacing w:before="10"/>
              <w:rPr>
                <w:sz w:val="25"/>
              </w:rPr>
            </w:pPr>
          </w:p>
          <w:p>
            <w:pPr>
              <w:pStyle w:val="TableParagraph"/>
              <w:ind w:left="209" w:right="192"/>
              <w:jc w:val="center"/>
              <w:rPr>
                <w:b/>
                <w:sz w:val="22"/>
              </w:rPr>
            </w:pPr>
            <w:r>
              <w:rPr>
                <w:b/>
                <w:spacing w:val="-2"/>
                <w:sz w:val="22"/>
              </w:rPr>
              <w:t>Benefits</w:t>
            </w:r>
          </w:p>
        </w:tc>
      </w:tr>
      <w:tr>
        <w:trPr>
          <w:trHeight w:val="1290" w:hRule="atLeast"/>
        </w:trPr>
        <w:tc>
          <w:tcPr>
            <w:tcW w:w="2482" w:type="dxa"/>
          </w:tcPr>
          <w:p>
            <w:pPr>
              <w:pStyle w:val="TableParagraph"/>
              <w:rPr>
                <w:sz w:val="24"/>
              </w:rPr>
            </w:pPr>
          </w:p>
          <w:p>
            <w:pPr>
              <w:pStyle w:val="TableParagraph"/>
              <w:spacing w:before="164"/>
              <w:ind w:left="107"/>
              <w:rPr>
                <w:sz w:val="22"/>
              </w:rPr>
            </w:pPr>
            <w:r>
              <w:rPr>
                <w:sz w:val="22"/>
              </w:rPr>
              <w:t>Provisional</w:t>
            </w:r>
            <w:r>
              <w:rPr>
                <w:spacing w:val="-4"/>
                <w:sz w:val="22"/>
              </w:rPr>
              <w:t> </w:t>
            </w:r>
            <w:r>
              <w:rPr>
                <w:spacing w:val="-2"/>
                <w:sz w:val="22"/>
              </w:rPr>
              <w:t>Eligibility</w:t>
            </w:r>
          </w:p>
        </w:tc>
        <w:tc>
          <w:tcPr>
            <w:tcW w:w="6670" w:type="dxa"/>
          </w:tcPr>
          <w:p>
            <w:pPr>
              <w:pStyle w:val="TableParagraph"/>
              <w:spacing w:before="58"/>
              <w:ind w:left="107" w:right="148"/>
              <w:rPr>
                <w:sz w:val="22"/>
              </w:rPr>
            </w:pPr>
            <w:r>
              <w:rPr>
                <w:sz w:val="22"/>
              </w:rPr>
              <w:t>Self-Attested income level to qualify for other group, pending verification.</w:t>
            </w:r>
            <w:r>
              <w:rPr>
                <w:spacing w:val="40"/>
                <w:sz w:val="22"/>
              </w:rPr>
              <w:t> </w:t>
            </w:r>
            <w:r>
              <w:rPr>
                <w:sz w:val="22"/>
              </w:rPr>
              <w:t>Expenditures</w:t>
            </w:r>
            <w:r>
              <w:rPr>
                <w:spacing w:val="-7"/>
                <w:sz w:val="22"/>
              </w:rPr>
              <w:t> </w:t>
            </w:r>
            <w:r>
              <w:rPr>
                <w:sz w:val="22"/>
              </w:rPr>
              <w:t>for</w:t>
            </w:r>
            <w:r>
              <w:rPr>
                <w:spacing w:val="-4"/>
                <w:sz w:val="22"/>
              </w:rPr>
              <w:t> </w:t>
            </w:r>
            <w:r>
              <w:rPr>
                <w:sz w:val="22"/>
              </w:rPr>
              <w:t>amounts</w:t>
            </w:r>
            <w:r>
              <w:rPr>
                <w:spacing w:val="-5"/>
                <w:sz w:val="22"/>
              </w:rPr>
              <w:t> </w:t>
            </w:r>
            <w:r>
              <w:rPr>
                <w:sz w:val="22"/>
              </w:rPr>
              <w:t>spent</w:t>
            </w:r>
            <w:r>
              <w:rPr>
                <w:spacing w:val="-4"/>
                <w:sz w:val="22"/>
              </w:rPr>
              <w:t> </w:t>
            </w:r>
            <w:r>
              <w:rPr>
                <w:sz w:val="22"/>
              </w:rPr>
              <w:t>on</w:t>
            </w:r>
            <w:r>
              <w:rPr>
                <w:spacing w:val="-5"/>
                <w:sz w:val="22"/>
              </w:rPr>
              <w:t> </w:t>
            </w:r>
            <w:r>
              <w:rPr>
                <w:sz w:val="22"/>
              </w:rPr>
              <w:t>individuals</w:t>
            </w:r>
            <w:r>
              <w:rPr>
                <w:spacing w:val="-7"/>
                <w:sz w:val="22"/>
              </w:rPr>
              <w:t> </w:t>
            </w:r>
            <w:r>
              <w:rPr>
                <w:sz w:val="22"/>
              </w:rPr>
              <w:t>found</w:t>
            </w:r>
            <w:r>
              <w:rPr>
                <w:spacing w:val="-5"/>
                <w:sz w:val="22"/>
              </w:rPr>
              <w:t> </w:t>
            </w:r>
            <w:r>
              <w:rPr>
                <w:sz w:val="22"/>
              </w:rPr>
              <w:t>not eligible for Medicaid benefits under this authority in accordance with STC 4.7.</w:t>
            </w:r>
          </w:p>
        </w:tc>
        <w:tc>
          <w:tcPr>
            <w:tcW w:w="3790" w:type="dxa"/>
          </w:tcPr>
          <w:p>
            <w:pPr>
              <w:pStyle w:val="TableParagraph"/>
              <w:rPr>
                <w:sz w:val="24"/>
              </w:rPr>
            </w:pPr>
          </w:p>
          <w:p>
            <w:pPr>
              <w:pStyle w:val="TableParagraph"/>
              <w:spacing w:before="164"/>
              <w:ind w:left="106"/>
              <w:rPr>
                <w:sz w:val="22"/>
              </w:rPr>
            </w:pPr>
            <w:r>
              <w:rPr>
                <w:sz w:val="22"/>
              </w:rPr>
              <w:t>MassHealth</w:t>
            </w:r>
            <w:r>
              <w:rPr>
                <w:spacing w:val="-7"/>
                <w:sz w:val="22"/>
              </w:rPr>
              <w:t> </w:t>
            </w:r>
            <w:r>
              <w:rPr>
                <w:spacing w:val="-2"/>
                <w:sz w:val="22"/>
              </w:rPr>
              <w:t>Standard</w:t>
            </w:r>
          </w:p>
        </w:tc>
      </w:tr>
      <w:tr>
        <w:trPr>
          <w:trHeight w:val="2591" w:hRule="atLeast"/>
        </w:trPr>
        <w:tc>
          <w:tcPr>
            <w:tcW w:w="2482" w:type="dxa"/>
          </w:tcPr>
          <w:p>
            <w:pPr>
              <w:pStyle w:val="TableParagraph"/>
              <w:rPr>
                <w:sz w:val="24"/>
              </w:rPr>
            </w:pPr>
          </w:p>
          <w:p>
            <w:pPr>
              <w:pStyle w:val="TableParagraph"/>
              <w:rPr>
                <w:sz w:val="24"/>
              </w:rPr>
            </w:pPr>
          </w:p>
          <w:p>
            <w:pPr>
              <w:pStyle w:val="TableParagraph"/>
              <w:rPr>
                <w:sz w:val="24"/>
              </w:rPr>
            </w:pPr>
          </w:p>
          <w:p>
            <w:pPr>
              <w:pStyle w:val="TableParagraph"/>
              <w:spacing w:before="9"/>
              <w:rPr>
                <w:sz w:val="22"/>
              </w:rPr>
            </w:pPr>
          </w:p>
          <w:p>
            <w:pPr>
              <w:pStyle w:val="TableParagraph"/>
              <w:ind w:left="107"/>
              <w:rPr>
                <w:sz w:val="22"/>
              </w:rPr>
            </w:pPr>
            <w:r>
              <w:rPr>
                <w:sz w:val="22"/>
              </w:rPr>
              <w:t>End</w:t>
            </w:r>
            <w:r>
              <w:rPr>
                <w:spacing w:val="-2"/>
                <w:sz w:val="22"/>
              </w:rPr>
              <w:t> </w:t>
            </w:r>
            <w:r>
              <w:rPr>
                <w:sz w:val="22"/>
              </w:rPr>
              <w:t>of</w:t>
            </w:r>
            <w:r>
              <w:rPr>
                <w:spacing w:val="-2"/>
                <w:sz w:val="22"/>
              </w:rPr>
              <w:t> </w:t>
            </w:r>
            <w:r>
              <w:rPr>
                <w:sz w:val="22"/>
              </w:rPr>
              <w:t>Month</w:t>
            </w:r>
            <w:r>
              <w:rPr>
                <w:spacing w:val="-1"/>
                <w:sz w:val="22"/>
              </w:rPr>
              <w:t> </w:t>
            </w:r>
            <w:r>
              <w:rPr>
                <w:spacing w:val="-2"/>
                <w:sz w:val="22"/>
              </w:rPr>
              <w:t>Coverage</w:t>
            </w:r>
          </w:p>
        </w:tc>
        <w:tc>
          <w:tcPr>
            <w:tcW w:w="6670" w:type="dxa"/>
          </w:tcPr>
          <w:p>
            <w:pPr>
              <w:pStyle w:val="TableParagraph"/>
              <w:spacing w:before="7"/>
              <w:rPr>
                <w:sz w:val="28"/>
              </w:rPr>
            </w:pPr>
          </w:p>
          <w:p>
            <w:pPr>
              <w:pStyle w:val="TableParagraph"/>
              <w:ind w:left="107" w:right="115"/>
              <w:rPr>
                <w:sz w:val="22"/>
              </w:rPr>
            </w:pPr>
            <w:r>
              <w:rPr>
                <w:sz w:val="22"/>
              </w:rPr>
              <w:t>Beneficiaries determined eligible for subsidized Qualified Health Plan (QHP) coverage through the Massachusetts Health Connector but not enrolled in a QHP.</w:t>
            </w:r>
            <w:r>
              <w:rPr>
                <w:spacing w:val="40"/>
                <w:sz w:val="22"/>
              </w:rPr>
              <w:t> </w:t>
            </w:r>
            <w:r>
              <w:rPr>
                <w:sz w:val="22"/>
              </w:rPr>
              <w:t>The individuals are ineligible for MassHealth Standard</w:t>
            </w:r>
            <w:r>
              <w:rPr>
                <w:spacing w:val="-5"/>
                <w:sz w:val="22"/>
              </w:rPr>
              <w:t> </w:t>
            </w:r>
            <w:r>
              <w:rPr>
                <w:sz w:val="22"/>
              </w:rPr>
              <w:t>and</w:t>
            </w:r>
            <w:r>
              <w:rPr>
                <w:spacing w:val="-2"/>
                <w:sz w:val="22"/>
              </w:rPr>
              <w:t> </w:t>
            </w:r>
            <w:r>
              <w:rPr>
                <w:sz w:val="22"/>
              </w:rPr>
              <w:t>are</w:t>
            </w:r>
            <w:r>
              <w:rPr>
                <w:spacing w:val="-2"/>
                <w:sz w:val="22"/>
              </w:rPr>
              <w:t> </w:t>
            </w:r>
            <w:r>
              <w:rPr>
                <w:sz w:val="22"/>
              </w:rPr>
              <w:t>eligible</w:t>
            </w:r>
            <w:r>
              <w:rPr>
                <w:spacing w:val="-4"/>
                <w:sz w:val="22"/>
              </w:rPr>
              <w:t> </w:t>
            </w:r>
            <w:r>
              <w:rPr>
                <w:sz w:val="22"/>
              </w:rPr>
              <w:t>for</w:t>
            </w:r>
            <w:r>
              <w:rPr>
                <w:spacing w:val="-1"/>
                <w:sz w:val="22"/>
              </w:rPr>
              <w:t> </w:t>
            </w:r>
            <w:r>
              <w:rPr>
                <w:sz w:val="22"/>
              </w:rPr>
              <w:t>QHP</w:t>
            </w:r>
            <w:r>
              <w:rPr>
                <w:spacing w:val="-3"/>
                <w:sz w:val="22"/>
              </w:rPr>
              <w:t> </w:t>
            </w:r>
            <w:r>
              <w:rPr>
                <w:sz w:val="22"/>
              </w:rPr>
              <w:t>up</w:t>
            </w:r>
            <w:r>
              <w:rPr>
                <w:spacing w:val="-2"/>
                <w:sz w:val="22"/>
              </w:rPr>
              <w:t> </w:t>
            </w:r>
            <w:r>
              <w:rPr>
                <w:sz w:val="22"/>
              </w:rPr>
              <w:t>to</w:t>
            </w:r>
            <w:r>
              <w:rPr>
                <w:spacing w:val="-5"/>
                <w:sz w:val="22"/>
              </w:rPr>
              <w:t> </w:t>
            </w:r>
            <w:r>
              <w:rPr>
                <w:sz w:val="22"/>
              </w:rPr>
              <w:t>400%</w:t>
            </w:r>
            <w:r>
              <w:rPr>
                <w:spacing w:val="-1"/>
                <w:sz w:val="22"/>
              </w:rPr>
              <w:t> </w:t>
            </w:r>
            <w:r>
              <w:rPr>
                <w:sz w:val="22"/>
              </w:rPr>
              <w:t>FPL.</w:t>
            </w:r>
            <w:r>
              <w:rPr>
                <w:spacing w:val="40"/>
                <w:sz w:val="22"/>
              </w:rPr>
              <w:t> </w:t>
            </w:r>
            <w:r>
              <w:rPr>
                <w:sz w:val="22"/>
              </w:rPr>
              <w:t>Effective</w:t>
            </w:r>
            <w:r>
              <w:rPr>
                <w:spacing w:val="-4"/>
                <w:sz w:val="22"/>
              </w:rPr>
              <w:t> </w:t>
            </w:r>
            <w:r>
              <w:rPr>
                <w:sz w:val="22"/>
              </w:rPr>
              <w:t>January</w:t>
            </w:r>
            <w:r>
              <w:rPr>
                <w:spacing w:val="-5"/>
                <w:sz w:val="22"/>
              </w:rPr>
              <w:t> </w:t>
            </w:r>
            <w:r>
              <w:rPr>
                <w:sz w:val="22"/>
              </w:rPr>
              <w:t>1, 2014, expenditures for individuals who would otherwise lose MassHealth coverage because they are eligible for coverage in a QHP, during the period specified in STC 5.1.</w:t>
            </w:r>
          </w:p>
        </w:tc>
        <w:tc>
          <w:tcPr>
            <w:tcW w:w="3790" w:type="dxa"/>
          </w:tcPr>
          <w:p>
            <w:pPr>
              <w:pStyle w:val="TableParagraph"/>
              <w:rPr>
                <w:sz w:val="20"/>
              </w:rPr>
            </w:pPr>
          </w:p>
        </w:tc>
      </w:tr>
      <w:tr>
        <w:trPr>
          <w:trHeight w:val="1516" w:hRule="atLeast"/>
        </w:trPr>
        <w:tc>
          <w:tcPr>
            <w:tcW w:w="2482" w:type="dxa"/>
          </w:tcPr>
          <w:p>
            <w:pPr>
              <w:pStyle w:val="TableParagraph"/>
              <w:spacing w:before="10"/>
              <w:rPr>
                <w:sz w:val="25"/>
              </w:rPr>
            </w:pPr>
          </w:p>
          <w:p>
            <w:pPr>
              <w:pStyle w:val="TableParagraph"/>
              <w:spacing w:line="242" w:lineRule="auto"/>
              <w:ind w:left="107" w:right="363"/>
              <w:rPr>
                <w:sz w:val="22"/>
              </w:rPr>
            </w:pPr>
            <w:r>
              <w:rPr>
                <w:sz w:val="22"/>
              </w:rPr>
              <w:t>Breast and Cervical Cancer</w:t>
            </w:r>
            <w:r>
              <w:rPr>
                <w:spacing w:val="-14"/>
                <w:sz w:val="22"/>
              </w:rPr>
              <w:t> </w:t>
            </w:r>
            <w:r>
              <w:rPr>
                <w:sz w:val="22"/>
              </w:rPr>
              <w:t>Demonstration Program (BCCDP)</w:t>
            </w:r>
          </w:p>
        </w:tc>
        <w:tc>
          <w:tcPr>
            <w:tcW w:w="6670" w:type="dxa"/>
          </w:tcPr>
          <w:p>
            <w:pPr>
              <w:pStyle w:val="TableParagraph"/>
              <w:rPr>
                <w:sz w:val="24"/>
              </w:rPr>
            </w:pPr>
          </w:p>
          <w:p>
            <w:pPr>
              <w:pStyle w:val="TableParagraph"/>
              <w:spacing w:before="149"/>
              <w:ind w:left="107" w:right="148"/>
              <w:rPr>
                <w:sz w:val="22"/>
              </w:rPr>
            </w:pPr>
            <w:r>
              <w:rPr>
                <w:sz w:val="22"/>
              </w:rPr>
              <w:t>Individuals</w:t>
            </w:r>
            <w:r>
              <w:rPr>
                <w:spacing w:val="-4"/>
                <w:sz w:val="22"/>
              </w:rPr>
              <w:t> </w:t>
            </w:r>
            <w:r>
              <w:rPr>
                <w:sz w:val="22"/>
              </w:rPr>
              <w:t>determined</w:t>
            </w:r>
            <w:r>
              <w:rPr>
                <w:spacing w:val="-7"/>
                <w:sz w:val="22"/>
              </w:rPr>
              <w:t> </w:t>
            </w:r>
            <w:r>
              <w:rPr>
                <w:sz w:val="22"/>
              </w:rPr>
              <w:t>eligible</w:t>
            </w:r>
            <w:r>
              <w:rPr>
                <w:spacing w:val="-4"/>
                <w:sz w:val="22"/>
              </w:rPr>
              <w:t> </w:t>
            </w:r>
            <w:r>
              <w:rPr>
                <w:sz w:val="22"/>
              </w:rPr>
              <w:t>for</w:t>
            </w:r>
            <w:r>
              <w:rPr>
                <w:spacing w:val="-4"/>
                <w:sz w:val="22"/>
              </w:rPr>
              <w:t> </w:t>
            </w:r>
            <w:r>
              <w:rPr>
                <w:sz w:val="22"/>
              </w:rPr>
              <w:t>the</w:t>
            </w:r>
            <w:r>
              <w:rPr>
                <w:spacing w:val="-4"/>
                <w:sz w:val="22"/>
              </w:rPr>
              <w:t> </w:t>
            </w:r>
            <w:r>
              <w:rPr>
                <w:sz w:val="22"/>
              </w:rPr>
              <w:t>BCCDP</w:t>
            </w:r>
            <w:r>
              <w:rPr>
                <w:spacing w:val="-5"/>
                <w:sz w:val="22"/>
              </w:rPr>
              <w:t> </w:t>
            </w:r>
            <w:r>
              <w:rPr>
                <w:sz w:val="22"/>
              </w:rPr>
              <w:t>under</w:t>
            </w:r>
            <w:r>
              <w:rPr>
                <w:spacing w:val="-4"/>
                <w:sz w:val="22"/>
              </w:rPr>
              <w:t> </w:t>
            </w:r>
            <w:r>
              <w:rPr>
                <w:sz w:val="22"/>
              </w:rPr>
              <w:t>the</w:t>
            </w:r>
            <w:r>
              <w:rPr>
                <w:spacing w:val="-4"/>
                <w:sz w:val="22"/>
              </w:rPr>
              <w:t> </w:t>
            </w:r>
            <w:r>
              <w:rPr>
                <w:sz w:val="22"/>
              </w:rPr>
              <w:t>demonstration with income above 133.1% of the FPL through 250% of the FPL</w:t>
            </w:r>
          </w:p>
        </w:tc>
        <w:tc>
          <w:tcPr>
            <w:tcW w:w="3790" w:type="dxa"/>
          </w:tcPr>
          <w:p>
            <w:pPr>
              <w:pStyle w:val="TableParagraph"/>
              <w:rPr>
                <w:sz w:val="24"/>
              </w:rPr>
            </w:pPr>
          </w:p>
          <w:p>
            <w:pPr>
              <w:pStyle w:val="TableParagraph"/>
              <w:rPr>
                <w:sz w:val="24"/>
              </w:rPr>
            </w:pPr>
          </w:p>
          <w:p>
            <w:pPr>
              <w:pStyle w:val="TableParagraph"/>
              <w:ind w:left="106"/>
              <w:rPr>
                <w:sz w:val="22"/>
              </w:rPr>
            </w:pPr>
            <w:r>
              <w:rPr>
                <w:sz w:val="22"/>
              </w:rPr>
              <w:t>MassHealth</w:t>
            </w:r>
            <w:r>
              <w:rPr>
                <w:spacing w:val="-8"/>
                <w:sz w:val="22"/>
              </w:rPr>
              <w:t> </w:t>
            </w:r>
            <w:r>
              <w:rPr>
                <w:sz w:val="22"/>
              </w:rPr>
              <w:t>Standard</w:t>
            </w:r>
            <w:r>
              <w:rPr>
                <w:spacing w:val="-7"/>
                <w:sz w:val="22"/>
              </w:rPr>
              <w:t> </w:t>
            </w:r>
            <w:r>
              <w:rPr>
                <w:spacing w:val="-4"/>
                <w:sz w:val="22"/>
              </w:rPr>
              <w:t>(ABP)</w:t>
            </w:r>
          </w:p>
        </w:tc>
      </w:tr>
      <w:tr>
        <w:trPr>
          <w:trHeight w:val="1290" w:hRule="atLeast"/>
        </w:trPr>
        <w:tc>
          <w:tcPr>
            <w:tcW w:w="2482" w:type="dxa"/>
          </w:tcPr>
          <w:p>
            <w:pPr>
              <w:pStyle w:val="TableParagraph"/>
              <w:rPr>
                <w:sz w:val="24"/>
              </w:rPr>
            </w:pPr>
          </w:p>
          <w:p>
            <w:pPr>
              <w:pStyle w:val="TableParagraph"/>
              <w:spacing w:before="164"/>
              <w:ind w:left="107"/>
              <w:rPr>
                <w:sz w:val="22"/>
              </w:rPr>
            </w:pPr>
            <w:r>
              <w:rPr>
                <w:sz w:val="22"/>
              </w:rPr>
              <w:t>Presumptively</w:t>
            </w:r>
            <w:r>
              <w:rPr>
                <w:spacing w:val="-8"/>
                <w:sz w:val="22"/>
              </w:rPr>
              <w:t> </w:t>
            </w:r>
            <w:r>
              <w:rPr>
                <w:spacing w:val="-2"/>
                <w:sz w:val="22"/>
              </w:rPr>
              <w:t>Eligible</w:t>
            </w:r>
          </w:p>
        </w:tc>
        <w:tc>
          <w:tcPr>
            <w:tcW w:w="6670" w:type="dxa"/>
          </w:tcPr>
          <w:p>
            <w:pPr>
              <w:pStyle w:val="TableParagraph"/>
              <w:spacing w:before="58"/>
              <w:ind w:left="107" w:right="148"/>
              <w:rPr>
                <w:sz w:val="22"/>
              </w:rPr>
            </w:pPr>
            <w:r>
              <w:rPr>
                <w:sz w:val="22"/>
              </w:rPr>
              <w:t>Individuals determined presumptively eligible for HIV-Family Assistance</w:t>
            </w:r>
            <w:r>
              <w:rPr>
                <w:spacing w:val="-3"/>
                <w:sz w:val="22"/>
              </w:rPr>
              <w:t> </w:t>
            </w:r>
            <w:r>
              <w:rPr>
                <w:sz w:val="22"/>
              </w:rPr>
              <w:t>(with</w:t>
            </w:r>
            <w:r>
              <w:rPr>
                <w:spacing w:val="-6"/>
                <w:sz w:val="22"/>
              </w:rPr>
              <w:t> </w:t>
            </w:r>
            <w:r>
              <w:rPr>
                <w:sz w:val="22"/>
              </w:rPr>
              <w:t>income</w:t>
            </w:r>
            <w:r>
              <w:rPr>
                <w:spacing w:val="-3"/>
                <w:sz w:val="22"/>
              </w:rPr>
              <w:t> </w:t>
            </w:r>
            <w:r>
              <w:rPr>
                <w:sz w:val="22"/>
              </w:rPr>
              <w:t>above</w:t>
            </w:r>
            <w:r>
              <w:rPr>
                <w:spacing w:val="-3"/>
                <w:sz w:val="22"/>
              </w:rPr>
              <w:t> </w:t>
            </w:r>
            <w:r>
              <w:rPr>
                <w:sz w:val="22"/>
              </w:rPr>
              <w:t>133%</w:t>
            </w:r>
            <w:r>
              <w:rPr>
                <w:spacing w:val="-2"/>
                <w:sz w:val="22"/>
              </w:rPr>
              <w:t> </w:t>
            </w:r>
            <w:r>
              <w:rPr>
                <w:sz w:val="22"/>
              </w:rPr>
              <w:t>FPL</w:t>
            </w:r>
            <w:r>
              <w:rPr>
                <w:spacing w:val="-6"/>
                <w:sz w:val="22"/>
              </w:rPr>
              <w:t> </w:t>
            </w:r>
            <w:r>
              <w:rPr>
                <w:sz w:val="22"/>
              </w:rPr>
              <w:t>through</w:t>
            </w:r>
            <w:r>
              <w:rPr>
                <w:spacing w:val="-3"/>
                <w:sz w:val="22"/>
              </w:rPr>
              <w:t> </w:t>
            </w:r>
            <w:r>
              <w:rPr>
                <w:sz w:val="22"/>
              </w:rPr>
              <w:t>200%</w:t>
            </w:r>
            <w:r>
              <w:rPr>
                <w:spacing w:val="-2"/>
                <w:sz w:val="22"/>
              </w:rPr>
              <w:t> </w:t>
            </w:r>
            <w:r>
              <w:rPr>
                <w:sz w:val="22"/>
              </w:rPr>
              <w:t>FPL)</w:t>
            </w:r>
            <w:r>
              <w:rPr>
                <w:spacing w:val="-2"/>
                <w:sz w:val="22"/>
              </w:rPr>
              <w:t> </w:t>
            </w:r>
            <w:r>
              <w:rPr>
                <w:sz w:val="22"/>
              </w:rPr>
              <w:t>or</w:t>
            </w:r>
            <w:r>
              <w:rPr>
                <w:spacing w:val="-5"/>
                <w:sz w:val="22"/>
              </w:rPr>
              <w:t> </w:t>
            </w:r>
            <w:r>
              <w:rPr>
                <w:sz w:val="22"/>
              </w:rPr>
              <w:t>the BCCDP (with income above 133% through 250% FPL) under the demonstration by qualified hospitals that elect to do so.</w:t>
            </w:r>
          </w:p>
        </w:tc>
        <w:tc>
          <w:tcPr>
            <w:tcW w:w="3790" w:type="dxa"/>
          </w:tcPr>
          <w:p>
            <w:pPr>
              <w:pStyle w:val="TableParagraph"/>
              <w:spacing w:line="504" w:lineRule="auto" w:before="173"/>
              <w:ind w:left="106" w:right="112"/>
              <w:rPr>
                <w:sz w:val="22"/>
              </w:rPr>
            </w:pPr>
            <w:r>
              <w:rPr>
                <w:sz w:val="22"/>
              </w:rPr>
              <w:t>MassHealth</w:t>
            </w:r>
            <w:r>
              <w:rPr>
                <w:spacing w:val="-12"/>
                <w:sz w:val="22"/>
              </w:rPr>
              <w:t> </w:t>
            </w:r>
            <w:r>
              <w:rPr>
                <w:sz w:val="22"/>
              </w:rPr>
              <w:t>Standard</w:t>
            </w:r>
            <w:r>
              <w:rPr>
                <w:spacing w:val="-14"/>
                <w:sz w:val="22"/>
              </w:rPr>
              <w:t> </w:t>
            </w:r>
            <w:r>
              <w:rPr>
                <w:sz w:val="22"/>
              </w:rPr>
              <w:t>(ABP)</w:t>
            </w:r>
            <w:r>
              <w:rPr>
                <w:spacing w:val="-11"/>
                <w:sz w:val="22"/>
              </w:rPr>
              <w:t> </w:t>
            </w:r>
            <w:r>
              <w:rPr>
                <w:sz w:val="22"/>
              </w:rPr>
              <w:t>(BCCDP) Family Assistance (HIV)</w:t>
            </w:r>
          </w:p>
        </w:tc>
      </w:tr>
    </w:tbl>
    <w:p>
      <w:pPr>
        <w:spacing w:after="0" w:line="504" w:lineRule="auto"/>
        <w:rPr>
          <w:sz w:val="22"/>
        </w:rPr>
        <w:sectPr>
          <w:pgSz w:w="15840" w:h="12240" w:orient="landscape"/>
          <w:pgMar w:header="0" w:footer="1201" w:top="1380" w:bottom="1400" w:left="1320" w:right="1340"/>
        </w:sectPr>
      </w:pPr>
    </w:p>
    <w:p>
      <w:pPr>
        <w:pStyle w:val="BodyText"/>
        <w:spacing w:before="2"/>
        <w:rPr>
          <w:sz w:val="5"/>
        </w:rPr>
      </w:pPr>
    </w:p>
    <w:tbl>
      <w:tblPr>
        <w:tblW w:w="0" w:type="auto"/>
        <w:jc w:val="left"/>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82"/>
        <w:gridCol w:w="6670"/>
        <w:gridCol w:w="3790"/>
      </w:tblGrid>
      <w:tr>
        <w:trPr>
          <w:trHeight w:val="464" w:hRule="atLeast"/>
        </w:trPr>
        <w:tc>
          <w:tcPr>
            <w:tcW w:w="12942" w:type="dxa"/>
            <w:gridSpan w:val="3"/>
            <w:shd w:val="clear" w:color="auto" w:fill="DBE4F0"/>
          </w:tcPr>
          <w:p>
            <w:pPr>
              <w:pStyle w:val="TableParagraph"/>
              <w:spacing w:before="27"/>
              <w:ind w:left="4247" w:right="4228"/>
              <w:jc w:val="center"/>
              <w:rPr>
                <w:b/>
                <w:sz w:val="22"/>
              </w:rPr>
            </w:pPr>
            <w:r>
              <w:rPr>
                <w:b/>
                <w:sz w:val="22"/>
              </w:rPr>
              <w:t>Table</w:t>
            </w:r>
            <w:r>
              <w:rPr>
                <w:b/>
                <w:spacing w:val="-6"/>
                <w:sz w:val="22"/>
              </w:rPr>
              <w:t> </w:t>
            </w:r>
            <w:r>
              <w:rPr>
                <w:b/>
                <w:sz w:val="22"/>
              </w:rPr>
              <w:t>3:</w:t>
            </w:r>
            <w:r>
              <w:rPr>
                <w:b/>
                <w:spacing w:val="-4"/>
                <w:sz w:val="22"/>
              </w:rPr>
              <w:t> </w:t>
            </w:r>
            <w:r>
              <w:rPr>
                <w:b/>
                <w:sz w:val="22"/>
              </w:rPr>
              <w:t>Demonstration</w:t>
            </w:r>
            <w:r>
              <w:rPr>
                <w:b/>
                <w:spacing w:val="-6"/>
                <w:sz w:val="22"/>
              </w:rPr>
              <w:t> </w:t>
            </w:r>
            <w:r>
              <w:rPr>
                <w:b/>
                <w:sz w:val="22"/>
              </w:rPr>
              <w:t>Expansion</w:t>
            </w:r>
            <w:r>
              <w:rPr>
                <w:b/>
                <w:spacing w:val="-5"/>
                <w:sz w:val="22"/>
              </w:rPr>
              <w:t> </w:t>
            </w:r>
            <w:r>
              <w:rPr>
                <w:b/>
                <w:spacing w:val="-2"/>
                <w:sz w:val="22"/>
              </w:rPr>
              <w:t>Populations</w:t>
            </w:r>
          </w:p>
        </w:tc>
      </w:tr>
      <w:tr>
        <w:trPr>
          <w:trHeight w:val="1004" w:hRule="atLeast"/>
        </w:trPr>
        <w:tc>
          <w:tcPr>
            <w:tcW w:w="2482" w:type="dxa"/>
            <w:shd w:val="clear" w:color="auto" w:fill="DBE4F0"/>
          </w:tcPr>
          <w:p>
            <w:pPr>
              <w:pStyle w:val="TableParagraph"/>
              <w:spacing w:before="10"/>
              <w:rPr>
                <w:sz w:val="25"/>
              </w:rPr>
            </w:pPr>
          </w:p>
          <w:p>
            <w:pPr>
              <w:pStyle w:val="TableParagraph"/>
              <w:ind w:right="401"/>
              <w:jc w:val="right"/>
              <w:rPr>
                <w:b/>
                <w:sz w:val="22"/>
              </w:rPr>
            </w:pPr>
            <w:r>
              <w:rPr>
                <w:b/>
                <w:sz w:val="22"/>
              </w:rPr>
              <w:t>Population</w:t>
            </w:r>
            <w:r>
              <w:rPr>
                <w:b/>
                <w:spacing w:val="-8"/>
                <w:sz w:val="22"/>
              </w:rPr>
              <w:t> </w:t>
            </w:r>
            <w:r>
              <w:rPr>
                <w:b/>
                <w:spacing w:val="-4"/>
                <w:sz w:val="22"/>
              </w:rPr>
              <w:t>Name</w:t>
            </w:r>
          </w:p>
        </w:tc>
        <w:tc>
          <w:tcPr>
            <w:tcW w:w="6670" w:type="dxa"/>
            <w:shd w:val="clear" w:color="auto" w:fill="DBE4F0"/>
          </w:tcPr>
          <w:p>
            <w:pPr>
              <w:pStyle w:val="TableParagraph"/>
              <w:spacing w:before="10"/>
              <w:rPr>
                <w:sz w:val="25"/>
              </w:rPr>
            </w:pPr>
          </w:p>
          <w:p>
            <w:pPr>
              <w:pStyle w:val="TableParagraph"/>
              <w:ind w:left="2243" w:right="2225"/>
              <w:jc w:val="center"/>
              <w:rPr>
                <w:b/>
                <w:sz w:val="22"/>
              </w:rPr>
            </w:pPr>
            <w:r>
              <w:rPr>
                <w:b/>
                <w:sz w:val="22"/>
              </w:rPr>
              <w:t>Population</w:t>
            </w:r>
            <w:r>
              <w:rPr>
                <w:b/>
                <w:spacing w:val="-6"/>
                <w:sz w:val="22"/>
              </w:rPr>
              <w:t> </w:t>
            </w:r>
            <w:r>
              <w:rPr>
                <w:b/>
                <w:spacing w:val="-2"/>
                <w:sz w:val="22"/>
              </w:rPr>
              <w:t>Description</w:t>
            </w:r>
          </w:p>
        </w:tc>
        <w:tc>
          <w:tcPr>
            <w:tcW w:w="3790" w:type="dxa"/>
            <w:shd w:val="clear" w:color="auto" w:fill="DBE4F0"/>
          </w:tcPr>
          <w:p>
            <w:pPr>
              <w:pStyle w:val="TableParagraph"/>
              <w:spacing w:before="10"/>
              <w:rPr>
                <w:sz w:val="25"/>
              </w:rPr>
            </w:pPr>
          </w:p>
          <w:p>
            <w:pPr>
              <w:pStyle w:val="TableParagraph"/>
              <w:ind w:left="209" w:right="192"/>
              <w:jc w:val="center"/>
              <w:rPr>
                <w:b/>
                <w:sz w:val="22"/>
              </w:rPr>
            </w:pPr>
            <w:r>
              <w:rPr>
                <w:b/>
                <w:spacing w:val="-2"/>
                <w:sz w:val="22"/>
              </w:rPr>
              <w:t>Benefits</w:t>
            </w:r>
          </w:p>
        </w:tc>
      </w:tr>
      <w:tr>
        <w:trPr>
          <w:trHeight w:val="3135" w:hRule="atLeast"/>
        </w:trPr>
        <w:tc>
          <w:tcPr>
            <w:tcW w:w="2482"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6"/>
              <w:rPr>
                <w:sz w:val="22"/>
              </w:rPr>
            </w:pPr>
          </w:p>
          <w:p>
            <w:pPr>
              <w:pStyle w:val="TableParagraph"/>
              <w:spacing w:before="1"/>
              <w:ind w:right="385"/>
              <w:jc w:val="right"/>
              <w:rPr>
                <w:sz w:val="22"/>
              </w:rPr>
            </w:pPr>
            <w:r>
              <w:rPr>
                <w:sz w:val="22"/>
              </w:rPr>
              <w:t>Continuous</w:t>
            </w:r>
            <w:r>
              <w:rPr>
                <w:spacing w:val="-3"/>
                <w:sz w:val="22"/>
              </w:rPr>
              <w:t> </w:t>
            </w:r>
            <w:r>
              <w:rPr>
                <w:spacing w:val="-2"/>
                <w:sz w:val="22"/>
              </w:rPr>
              <w:t>Eligibility</w:t>
            </w:r>
          </w:p>
        </w:tc>
        <w:tc>
          <w:tcPr>
            <w:tcW w:w="6670" w:type="dxa"/>
          </w:tcPr>
          <w:p>
            <w:pPr>
              <w:pStyle w:val="TableParagraph"/>
              <w:spacing w:line="242" w:lineRule="auto" w:before="175"/>
              <w:ind w:left="107" w:right="148"/>
              <w:rPr>
                <w:sz w:val="22"/>
              </w:rPr>
            </w:pPr>
            <w:r>
              <w:rPr>
                <w:sz w:val="22"/>
              </w:rPr>
              <w:t>Individuals</w:t>
            </w:r>
            <w:r>
              <w:rPr>
                <w:spacing w:val="-2"/>
                <w:sz w:val="22"/>
              </w:rPr>
              <w:t> </w:t>
            </w:r>
            <w:r>
              <w:rPr>
                <w:sz w:val="22"/>
              </w:rPr>
              <w:t>released</w:t>
            </w:r>
            <w:r>
              <w:rPr>
                <w:spacing w:val="-5"/>
                <w:sz w:val="22"/>
              </w:rPr>
              <w:t> </w:t>
            </w:r>
            <w:r>
              <w:rPr>
                <w:sz w:val="22"/>
              </w:rPr>
              <w:t>from</w:t>
            </w:r>
            <w:r>
              <w:rPr>
                <w:spacing w:val="-6"/>
                <w:sz w:val="22"/>
              </w:rPr>
              <w:t> </w:t>
            </w:r>
            <w:r>
              <w:rPr>
                <w:sz w:val="22"/>
              </w:rPr>
              <w:t>a</w:t>
            </w:r>
            <w:r>
              <w:rPr>
                <w:spacing w:val="-2"/>
                <w:sz w:val="22"/>
              </w:rPr>
              <w:t> </w:t>
            </w:r>
            <w:r>
              <w:rPr>
                <w:sz w:val="22"/>
              </w:rPr>
              <w:t>correctional</w:t>
            </w:r>
            <w:r>
              <w:rPr>
                <w:spacing w:val="-4"/>
                <w:sz w:val="22"/>
              </w:rPr>
              <w:t> </w:t>
            </w:r>
            <w:r>
              <w:rPr>
                <w:sz w:val="22"/>
              </w:rPr>
              <w:t>facility</w:t>
            </w:r>
            <w:r>
              <w:rPr>
                <w:spacing w:val="-5"/>
                <w:sz w:val="22"/>
              </w:rPr>
              <w:t> </w:t>
            </w:r>
            <w:r>
              <w:rPr>
                <w:sz w:val="22"/>
              </w:rPr>
              <w:t>who</w:t>
            </w:r>
            <w:r>
              <w:rPr>
                <w:spacing w:val="-2"/>
                <w:sz w:val="22"/>
              </w:rPr>
              <w:t> </w:t>
            </w:r>
            <w:r>
              <w:rPr>
                <w:sz w:val="22"/>
              </w:rPr>
              <w:t>no</w:t>
            </w:r>
            <w:r>
              <w:rPr>
                <w:spacing w:val="-2"/>
                <w:sz w:val="22"/>
              </w:rPr>
              <w:t> </w:t>
            </w:r>
            <w:r>
              <w:rPr>
                <w:sz w:val="22"/>
              </w:rPr>
              <w:t>longer</w:t>
            </w:r>
            <w:r>
              <w:rPr>
                <w:spacing w:val="-1"/>
                <w:sz w:val="22"/>
              </w:rPr>
              <w:t> </w:t>
            </w:r>
            <w:r>
              <w:rPr>
                <w:sz w:val="22"/>
              </w:rPr>
              <w:t>would</w:t>
            </w:r>
            <w:r>
              <w:rPr>
                <w:spacing w:val="-2"/>
                <w:sz w:val="22"/>
              </w:rPr>
              <w:t> </w:t>
            </w:r>
            <w:r>
              <w:rPr>
                <w:sz w:val="22"/>
              </w:rPr>
              <w:t>be eligible for Medicaid or CHIP if subject to redetermination but are still within</w:t>
            </w:r>
            <w:r>
              <w:rPr>
                <w:spacing w:val="-3"/>
                <w:sz w:val="22"/>
              </w:rPr>
              <w:t> </w:t>
            </w:r>
            <w:r>
              <w:rPr>
                <w:sz w:val="22"/>
              </w:rPr>
              <w:t>a</w:t>
            </w:r>
            <w:r>
              <w:rPr>
                <w:spacing w:val="-3"/>
                <w:sz w:val="22"/>
              </w:rPr>
              <w:t> </w:t>
            </w:r>
            <w:r>
              <w:rPr>
                <w:sz w:val="22"/>
              </w:rPr>
              <w:t>12-month</w:t>
            </w:r>
            <w:r>
              <w:rPr>
                <w:spacing w:val="-3"/>
                <w:sz w:val="22"/>
              </w:rPr>
              <w:t> </w:t>
            </w:r>
            <w:r>
              <w:rPr>
                <w:sz w:val="22"/>
              </w:rPr>
              <w:t>continuous</w:t>
            </w:r>
            <w:r>
              <w:rPr>
                <w:spacing w:val="-3"/>
                <w:sz w:val="22"/>
              </w:rPr>
              <w:t> </w:t>
            </w:r>
            <w:r>
              <w:rPr>
                <w:sz w:val="22"/>
              </w:rPr>
              <w:t>eligibility</w:t>
            </w:r>
            <w:r>
              <w:rPr>
                <w:spacing w:val="-6"/>
                <w:sz w:val="22"/>
              </w:rPr>
              <w:t> </w:t>
            </w:r>
            <w:r>
              <w:rPr>
                <w:sz w:val="22"/>
              </w:rPr>
              <w:t>period</w:t>
            </w:r>
            <w:r>
              <w:rPr>
                <w:spacing w:val="-6"/>
                <w:sz w:val="22"/>
              </w:rPr>
              <w:t> </w:t>
            </w:r>
            <w:r>
              <w:rPr>
                <w:sz w:val="22"/>
              </w:rPr>
              <w:t>following</w:t>
            </w:r>
            <w:r>
              <w:rPr>
                <w:spacing w:val="-6"/>
                <w:sz w:val="22"/>
              </w:rPr>
              <w:t> </w:t>
            </w:r>
            <w:r>
              <w:rPr>
                <w:sz w:val="22"/>
              </w:rPr>
              <w:t>the</w:t>
            </w:r>
            <w:r>
              <w:rPr>
                <w:spacing w:val="-3"/>
                <w:sz w:val="22"/>
              </w:rPr>
              <w:t> </w:t>
            </w:r>
            <w:r>
              <w:rPr>
                <w:sz w:val="22"/>
              </w:rPr>
              <w:t>date</w:t>
            </w:r>
            <w:r>
              <w:rPr>
                <w:spacing w:val="-3"/>
                <w:sz w:val="22"/>
              </w:rPr>
              <w:t> </w:t>
            </w:r>
            <w:r>
              <w:rPr>
                <w:sz w:val="22"/>
              </w:rPr>
              <w:t>of</w:t>
            </w:r>
            <w:r>
              <w:rPr>
                <w:spacing w:val="-2"/>
                <w:sz w:val="22"/>
              </w:rPr>
              <w:t> </w:t>
            </w:r>
            <w:r>
              <w:rPr>
                <w:sz w:val="22"/>
              </w:rPr>
              <w:t>the individual’s release.</w:t>
            </w:r>
          </w:p>
          <w:p>
            <w:pPr>
              <w:pStyle w:val="TableParagraph"/>
              <w:rPr>
                <w:sz w:val="24"/>
              </w:rPr>
            </w:pPr>
          </w:p>
          <w:p>
            <w:pPr>
              <w:pStyle w:val="TableParagraph"/>
              <w:rPr>
                <w:sz w:val="27"/>
              </w:rPr>
            </w:pPr>
          </w:p>
          <w:p>
            <w:pPr>
              <w:pStyle w:val="TableParagraph"/>
              <w:spacing w:line="242" w:lineRule="auto"/>
              <w:ind w:left="107" w:right="148"/>
              <w:rPr>
                <w:sz w:val="22"/>
              </w:rPr>
            </w:pPr>
            <w:r>
              <w:rPr>
                <w:sz w:val="22"/>
              </w:rPr>
              <w:t>Individuals</w:t>
            </w:r>
            <w:r>
              <w:rPr>
                <w:spacing w:val="-3"/>
                <w:sz w:val="22"/>
              </w:rPr>
              <w:t> </w:t>
            </w:r>
            <w:r>
              <w:rPr>
                <w:sz w:val="22"/>
              </w:rPr>
              <w:t>who</w:t>
            </w:r>
            <w:r>
              <w:rPr>
                <w:spacing w:val="-3"/>
                <w:sz w:val="22"/>
              </w:rPr>
              <w:t> </w:t>
            </w:r>
            <w:r>
              <w:rPr>
                <w:sz w:val="22"/>
              </w:rPr>
              <w:t>are</w:t>
            </w:r>
            <w:r>
              <w:rPr>
                <w:spacing w:val="-3"/>
                <w:sz w:val="22"/>
              </w:rPr>
              <w:t> </w:t>
            </w:r>
            <w:r>
              <w:rPr>
                <w:sz w:val="22"/>
              </w:rPr>
              <w:t>experiencing</w:t>
            </w:r>
            <w:r>
              <w:rPr>
                <w:spacing w:val="-6"/>
                <w:sz w:val="22"/>
              </w:rPr>
              <w:t> </w:t>
            </w:r>
            <w:r>
              <w:rPr>
                <w:sz w:val="22"/>
              </w:rPr>
              <w:t>homelessness</w:t>
            </w:r>
            <w:r>
              <w:rPr>
                <w:spacing w:val="-5"/>
                <w:sz w:val="22"/>
              </w:rPr>
              <w:t> </w:t>
            </w:r>
            <w:r>
              <w:rPr>
                <w:sz w:val="22"/>
              </w:rPr>
              <w:t>as</w:t>
            </w:r>
            <w:r>
              <w:rPr>
                <w:spacing w:val="-3"/>
                <w:sz w:val="22"/>
              </w:rPr>
              <w:t> </w:t>
            </w:r>
            <w:r>
              <w:rPr>
                <w:sz w:val="22"/>
              </w:rPr>
              <w:t>defined</w:t>
            </w:r>
            <w:r>
              <w:rPr>
                <w:spacing w:val="-3"/>
                <w:sz w:val="22"/>
              </w:rPr>
              <w:t> </w:t>
            </w:r>
            <w:r>
              <w:rPr>
                <w:sz w:val="22"/>
              </w:rPr>
              <w:t>in</w:t>
            </w:r>
            <w:r>
              <w:rPr>
                <w:spacing w:val="-6"/>
                <w:sz w:val="22"/>
              </w:rPr>
              <w:t> </w:t>
            </w:r>
            <w:r>
              <w:rPr>
                <w:sz w:val="22"/>
              </w:rPr>
              <w:t>Table</w:t>
            </w:r>
            <w:r>
              <w:rPr>
                <w:spacing w:val="-3"/>
                <w:sz w:val="22"/>
              </w:rPr>
              <w:t> </w:t>
            </w:r>
            <w:r>
              <w:rPr>
                <w:sz w:val="22"/>
              </w:rPr>
              <w:t>1</w:t>
            </w:r>
            <w:r>
              <w:rPr>
                <w:spacing w:val="-3"/>
                <w:sz w:val="22"/>
              </w:rPr>
              <w:t> </w:t>
            </w:r>
            <w:r>
              <w:rPr>
                <w:sz w:val="22"/>
              </w:rPr>
              <w:t>of STC 4.10(b) who would no longer be eligible for Medicaid or CHIP if subject to redetermination but are still within a 24-month continuous eligibility period.</w:t>
            </w:r>
          </w:p>
        </w:tc>
        <w:tc>
          <w:tcPr>
            <w:tcW w:w="3790" w:type="dxa"/>
          </w:tcPr>
          <w:p>
            <w:pPr>
              <w:pStyle w:val="TableParagraph"/>
              <w:rPr>
                <w:sz w:val="24"/>
              </w:rPr>
            </w:pPr>
          </w:p>
          <w:p>
            <w:pPr>
              <w:pStyle w:val="TableParagraph"/>
              <w:rPr>
                <w:sz w:val="24"/>
              </w:rPr>
            </w:pPr>
          </w:p>
          <w:p>
            <w:pPr>
              <w:pStyle w:val="TableParagraph"/>
              <w:rPr>
                <w:sz w:val="24"/>
              </w:rPr>
            </w:pPr>
          </w:p>
          <w:p>
            <w:pPr>
              <w:pStyle w:val="TableParagraph"/>
              <w:spacing w:before="3"/>
              <w:rPr>
                <w:sz w:val="24"/>
              </w:rPr>
            </w:pPr>
          </w:p>
          <w:p>
            <w:pPr>
              <w:pStyle w:val="TableParagraph"/>
              <w:ind w:left="106" w:right="140"/>
              <w:rPr>
                <w:sz w:val="22"/>
              </w:rPr>
            </w:pPr>
            <w:r>
              <w:rPr>
                <w:sz w:val="22"/>
              </w:rPr>
              <w:t>Benefits by CHIP or Medicaid eligibility</w:t>
            </w:r>
            <w:r>
              <w:rPr>
                <w:spacing w:val="-11"/>
                <w:sz w:val="22"/>
              </w:rPr>
              <w:t> </w:t>
            </w:r>
            <w:r>
              <w:rPr>
                <w:sz w:val="22"/>
              </w:rPr>
              <w:t>group</w:t>
            </w:r>
            <w:r>
              <w:rPr>
                <w:spacing w:val="-8"/>
                <w:sz w:val="22"/>
              </w:rPr>
              <w:t> </w:t>
            </w:r>
            <w:r>
              <w:rPr>
                <w:sz w:val="22"/>
              </w:rPr>
              <w:t>according</w:t>
            </w:r>
            <w:r>
              <w:rPr>
                <w:spacing w:val="-11"/>
                <w:sz w:val="22"/>
              </w:rPr>
              <w:t> </w:t>
            </w:r>
            <w:r>
              <w:rPr>
                <w:sz w:val="22"/>
              </w:rPr>
              <w:t>to</w:t>
            </w:r>
            <w:r>
              <w:rPr>
                <w:spacing w:val="-8"/>
                <w:sz w:val="22"/>
              </w:rPr>
              <w:t> </w:t>
            </w:r>
            <w:r>
              <w:rPr>
                <w:sz w:val="22"/>
              </w:rPr>
              <w:t>most recent eligibility determination.</w:t>
            </w:r>
          </w:p>
        </w:tc>
      </w:tr>
    </w:tbl>
    <w:p>
      <w:pPr>
        <w:spacing w:after="0"/>
        <w:rPr>
          <w:sz w:val="22"/>
        </w:rPr>
        <w:sectPr>
          <w:pgSz w:w="15840" w:h="12240" w:orient="landscape"/>
          <w:pgMar w:header="0" w:footer="1201" w:top="1380" w:bottom="1400" w:left="1320" w:right="1340"/>
        </w:sectPr>
      </w:pPr>
    </w:p>
    <w:p>
      <w:pPr>
        <w:pStyle w:val="Heading4"/>
        <w:numPr>
          <w:ilvl w:val="0"/>
          <w:numId w:val="3"/>
        </w:numPr>
        <w:tabs>
          <w:tab w:pos="600" w:val="left" w:leader="none"/>
        </w:tabs>
        <w:spacing w:line="240" w:lineRule="auto" w:before="79" w:after="0"/>
        <w:ind w:left="600" w:right="0" w:hanging="360"/>
        <w:jc w:val="left"/>
      </w:pPr>
      <w:bookmarkStart w:name="5. DEMONSTRATION PROGRAMS AND BENEFITS" w:id="211"/>
      <w:bookmarkEnd w:id="211"/>
      <w:r>
        <w:rPr>
          <w:b w:val="0"/>
        </w:rPr>
      </w:r>
      <w:r>
        <w:rPr/>
        <w:t>DEMONSTRATION</w:t>
      </w:r>
      <w:r>
        <w:rPr>
          <w:spacing w:val="-5"/>
        </w:rPr>
        <w:t> </w:t>
      </w:r>
      <w:r>
        <w:rPr/>
        <w:t>PROGRAMS</w:t>
      </w:r>
      <w:r>
        <w:rPr>
          <w:spacing w:val="-5"/>
        </w:rPr>
        <w:t> </w:t>
      </w:r>
      <w:r>
        <w:rPr/>
        <w:t>AND</w:t>
      </w:r>
      <w:r>
        <w:rPr>
          <w:spacing w:val="-4"/>
        </w:rPr>
        <w:t> </w:t>
      </w:r>
      <w:r>
        <w:rPr>
          <w:spacing w:val="-2"/>
        </w:rPr>
        <w:t>BENEFITS</w:t>
      </w:r>
    </w:p>
    <w:p>
      <w:pPr>
        <w:pStyle w:val="BodyText"/>
        <w:spacing w:before="10"/>
        <w:rPr>
          <w:b/>
          <w:sz w:val="20"/>
        </w:rPr>
      </w:pPr>
    </w:p>
    <w:p>
      <w:pPr>
        <w:pStyle w:val="BodyText"/>
        <w:ind w:left="871" w:right="1059"/>
      </w:pPr>
      <w:r>
        <w:rPr/>
        <w:drawing>
          <wp:anchor distT="0" distB="0" distL="0" distR="0" allowOverlap="1" layoutInCell="1" locked="0" behindDoc="0" simplePos="0" relativeHeight="15770112">
            <wp:simplePos x="0" y="0"/>
            <wp:positionH relativeFrom="page">
              <wp:posOffset>975360</wp:posOffset>
            </wp:positionH>
            <wp:positionV relativeFrom="paragraph">
              <wp:posOffset>35612</wp:posOffset>
            </wp:positionV>
            <wp:extent cx="217931" cy="112763"/>
            <wp:effectExtent l="0" t="0" r="0" b="0"/>
            <wp:wrapNone/>
            <wp:docPr id="91" name="Image 91"/>
            <wp:cNvGraphicFramePr>
              <a:graphicFrameLocks/>
            </wp:cNvGraphicFramePr>
            <a:graphic>
              <a:graphicData uri="http://schemas.openxmlformats.org/drawingml/2006/picture">
                <pic:pic>
                  <pic:nvPicPr>
                    <pic:cNvPr id="91" name="Image 91"/>
                    <pic:cNvPicPr/>
                  </pic:nvPicPr>
                  <pic:blipFill>
                    <a:blip r:embed="rId73" cstate="print"/>
                    <a:stretch>
                      <a:fillRect/>
                    </a:stretch>
                  </pic:blipFill>
                  <pic:spPr>
                    <a:xfrm>
                      <a:off x="0" y="0"/>
                      <a:ext cx="217931" cy="112763"/>
                    </a:xfrm>
                    <a:prstGeom prst="rect">
                      <a:avLst/>
                    </a:prstGeom>
                  </pic:spPr>
                </pic:pic>
              </a:graphicData>
            </a:graphic>
          </wp:anchor>
        </w:drawing>
      </w:r>
      <w:bookmarkStart w:name="5.1. End of Month Coverage for Members E" w:id="212"/>
      <w:bookmarkEnd w:id="212"/>
      <w:r>
        <w:rPr/>
      </w:r>
      <w:r>
        <w:rPr>
          <w:b/>
        </w:rPr>
        <w:t>End of Month Coverage for Members Eligible</w:t>
      </w:r>
      <w:r>
        <w:rPr>
          <w:b/>
          <w:spacing w:val="-3"/>
        </w:rPr>
        <w:t> </w:t>
      </w:r>
      <w:r>
        <w:rPr>
          <w:b/>
        </w:rPr>
        <w:t>for Subsidized Coverage through the Massachusetts Health Connector.</w:t>
      </w:r>
      <w:r>
        <w:rPr>
          <w:b/>
          <w:spacing w:val="40"/>
        </w:rPr>
        <w:t> </w:t>
      </w:r>
      <w:r>
        <w:rPr/>
        <w:t>When a MassHealth member’s enrollment is being terminated due to a change in circumstance that makes the member ineligible for MassHealth but eligible for subsidized coverage through the Health Connector, MassHealth</w:t>
      </w:r>
      <w:r>
        <w:rPr>
          <w:spacing w:val="-2"/>
        </w:rPr>
        <w:t> </w:t>
      </w:r>
      <w:r>
        <w:rPr/>
        <w:t>will</w:t>
      </w:r>
      <w:r>
        <w:rPr>
          <w:spacing w:val="-2"/>
        </w:rPr>
        <w:t> </w:t>
      </w:r>
      <w:r>
        <w:rPr/>
        <w:t>extend</w:t>
      </w:r>
      <w:r>
        <w:rPr>
          <w:spacing w:val="-2"/>
        </w:rPr>
        <w:t> </w:t>
      </w:r>
      <w:r>
        <w:rPr/>
        <w:t>the</w:t>
      </w:r>
      <w:r>
        <w:rPr>
          <w:spacing w:val="-3"/>
        </w:rPr>
        <w:t> </w:t>
      </w:r>
      <w:r>
        <w:rPr/>
        <w:t>member’s</w:t>
      </w:r>
      <w:r>
        <w:rPr>
          <w:spacing w:val="-2"/>
        </w:rPr>
        <w:t> </w:t>
      </w:r>
      <w:r>
        <w:rPr/>
        <w:t>last</w:t>
      </w:r>
      <w:r>
        <w:rPr>
          <w:spacing w:val="-2"/>
        </w:rPr>
        <w:t> </w:t>
      </w:r>
      <w:r>
        <w:rPr/>
        <w:t>day</w:t>
      </w:r>
      <w:r>
        <w:rPr>
          <w:spacing w:val="-7"/>
        </w:rPr>
        <w:t> </w:t>
      </w:r>
      <w:r>
        <w:rPr/>
        <w:t>of</w:t>
      </w:r>
      <w:r>
        <w:rPr>
          <w:spacing w:val="-1"/>
        </w:rPr>
        <w:t> </w:t>
      </w:r>
      <w:r>
        <w:rPr/>
        <w:t>coverage</w:t>
      </w:r>
      <w:r>
        <w:rPr>
          <w:spacing w:val="-3"/>
        </w:rPr>
        <w:t> </w:t>
      </w:r>
      <w:r>
        <w:rPr/>
        <w:t>to</w:t>
      </w:r>
      <w:r>
        <w:rPr>
          <w:spacing w:val="-2"/>
        </w:rPr>
        <w:t> </w:t>
      </w:r>
      <w:r>
        <w:rPr/>
        <w:t>the</w:t>
      </w:r>
      <w:r>
        <w:rPr>
          <w:spacing w:val="-3"/>
        </w:rPr>
        <w:t> </w:t>
      </w:r>
      <w:r>
        <w:rPr/>
        <w:t>end</w:t>
      </w:r>
      <w:r>
        <w:rPr>
          <w:spacing w:val="-2"/>
        </w:rPr>
        <w:t> </w:t>
      </w:r>
      <w:r>
        <w:rPr/>
        <w:t>of</w:t>
      </w:r>
      <w:r>
        <w:rPr>
          <w:spacing w:val="-3"/>
        </w:rPr>
        <w:t> </w:t>
      </w:r>
      <w:r>
        <w:rPr/>
        <w:t>the</w:t>
      </w:r>
      <w:r>
        <w:rPr>
          <w:spacing w:val="-3"/>
        </w:rPr>
        <w:t> </w:t>
      </w:r>
      <w:r>
        <w:rPr/>
        <w:t>month</w:t>
      </w:r>
      <w:r>
        <w:rPr>
          <w:spacing w:val="-2"/>
        </w:rPr>
        <w:t> </w:t>
      </w:r>
      <w:r>
        <w:rPr/>
        <w:t>before Health Connector coverage may feasibly become effective.</w:t>
      </w:r>
      <w:r>
        <w:rPr>
          <w:spacing w:val="40"/>
        </w:rPr>
        <w:t> </w:t>
      </w:r>
      <w:r>
        <w:rPr/>
        <w:t>If the termination otherwise would have been effective on or before the 15th of a given month, then MassHealth coverage will be extended to the end of that month.</w:t>
      </w:r>
      <w:r>
        <w:rPr>
          <w:spacing w:val="40"/>
        </w:rPr>
        <w:t> </w:t>
      </w:r>
      <w:r>
        <w:rPr/>
        <w:t>If the termination otherwise would have</w:t>
      </w:r>
      <w:r>
        <w:rPr>
          <w:spacing w:val="-1"/>
        </w:rPr>
        <w:t> </w:t>
      </w:r>
      <w:r>
        <w:rPr/>
        <w:t>been effective</w:t>
      </w:r>
      <w:r>
        <w:rPr>
          <w:spacing w:val="-1"/>
        </w:rPr>
        <w:t> </w:t>
      </w:r>
      <w:r>
        <w:rPr/>
        <w:t>on or after</w:t>
      </w:r>
      <w:r>
        <w:rPr>
          <w:spacing w:val="-1"/>
        </w:rPr>
        <w:t> </w:t>
      </w:r>
      <w:r>
        <w:rPr/>
        <w:t>the</w:t>
      </w:r>
      <w:r>
        <w:rPr>
          <w:spacing w:val="-1"/>
        </w:rPr>
        <w:t> </w:t>
      </w:r>
      <w:r>
        <w:rPr/>
        <w:t>16th of a given month, then MassHealth coverage</w:t>
      </w:r>
      <w:r>
        <w:rPr>
          <w:spacing w:val="-1"/>
        </w:rPr>
        <w:t> </w:t>
      </w:r>
      <w:r>
        <w:rPr/>
        <w:t>will be extended to the end of the following month.</w:t>
      </w:r>
    </w:p>
    <w:p>
      <w:pPr>
        <w:pStyle w:val="BodyText"/>
        <w:spacing w:before="10"/>
        <w:rPr>
          <w:sz w:val="20"/>
        </w:rPr>
      </w:pPr>
    </w:p>
    <w:p>
      <w:pPr>
        <w:pStyle w:val="BodyText"/>
        <w:ind w:left="871" w:right="1059"/>
      </w:pPr>
      <w:r>
        <w:rPr/>
        <w:drawing>
          <wp:anchor distT="0" distB="0" distL="0" distR="0" allowOverlap="1" layoutInCell="1" locked="0" behindDoc="0" simplePos="0" relativeHeight="15770624">
            <wp:simplePos x="0" y="0"/>
            <wp:positionH relativeFrom="page">
              <wp:posOffset>975359</wp:posOffset>
            </wp:positionH>
            <wp:positionV relativeFrom="paragraph">
              <wp:posOffset>35599</wp:posOffset>
            </wp:positionV>
            <wp:extent cx="217931" cy="112775"/>
            <wp:effectExtent l="0" t="0" r="0" b="0"/>
            <wp:wrapNone/>
            <wp:docPr id="92" name="Image 92"/>
            <wp:cNvGraphicFramePr>
              <a:graphicFrameLocks/>
            </wp:cNvGraphicFramePr>
            <a:graphic>
              <a:graphicData uri="http://schemas.openxmlformats.org/drawingml/2006/picture">
                <pic:pic>
                  <pic:nvPicPr>
                    <pic:cNvPr id="92" name="Image 92"/>
                    <pic:cNvPicPr/>
                  </pic:nvPicPr>
                  <pic:blipFill>
                    <a:blip r:embed="rId74" cstate="print"/>
                    <a:stretch>
                      <a:fillRect/>
                    </a:stretch>
                  </pic:blipFill>
                  <pic:spPr>
                    <a:xfrm>
                      <a:off x="0" y="0"/>
                      <a:ext cx="217931" cy="112775"/>
                    </a:xfrm>
                    <a:prstGeom prst="rect">
                      <a:avLst/>
                    </a:prstGeom>
                  </pic:spPr>
                </pic:pic>
              </a:graphicData>
            </a:graphic>
          </wp:anchor>
        </w:drawing>
      </w:r>
      <w:bookmarkStart w:name="5.2. Demonstration Program Benefits.  Ma" w:id="213"/>
      <w:bookmarkEnd w:id="213"/>
      <w:r>
        <w:rPr/>
      </w:r>
      <w:r>
        <w:rPr>
          <w:b/>
        </w:rPr>
        <w:t>Demonstration Program Benefits.</w:t>
      </w:r>
      <w:r>
        <w:rPr>
          <w:b/>
          <w:spacing w:val="40"/>
        </w:rPr>
        <w:t> </w:t>
      </w:r>
      <w:r>
        <w:rPr/>
        <w:t>Massachusetts provides health care benefits through specific</w:t>
      </w:r>
      <w:r>
        <w:rPr>
          <w:spacing w:val="-4"/>
        </w:rPr>
        <w:t> </w:t>
      </w:r>
      <w:r>
        <w:rPr/>
        <w:t>benefit</w:t>
      </w:r>
      <w:r>
        <w:rPr>
          <w:spacing w:val="-3"/>
        </w:rPr>
        <w:t> </w:t>
      </w:r>
      <w:r>
        <w:rPr/>
        <w:t>programs.</w:t>
      </w:r>
      <w:r>
        <w:rPr>
          <w:spacing w:val="40"/>
        </w:rPr>
        <w:t> </w:t>
      </w:r>
      <w:r>
        <w:rPr/>
        <w:t>The</w:t>
      </w:r>
      <w:r>
        <w:rPr>
          <w:spacing w:val="-4"/>
        </w:rPr>
        <w:t> </w:t>
      </w:r>
      <w:r>
        <w:rPr/>
        <w:t>benefit</w:t>
      </w:r>
      <w:r>
        <w:rPr>
          <w:spacing w:val="-3"/>
        </w:rPr>
        <w:t> </w:t>
      </w:r>
      <w:r>
        <w:rPr/>
        <w:t>program</w:t>
      </w:r>
      <w:r>
        <w:rPr>
          <w:spacing w:val="-3"/>
        </w:rPr>
        <w:t> </w:t>
      </w:r>
      <w:r>
        <w:rPr/>
        <w:t>for</w:t>
      </w:r>
      <w:r>
        <w:rPr>
          <w:spacing w:val="-4"/>
        </w:rPr>
        <w:t> </w:t>
      </w:r>
      <w:r>
        <w:rPr/>
        <w:t>which</w:t>
      </w:r>
      <w:r>
        <w:rPr>
          <w:spacing w:val="-3"/>
        </w:rPr>
        <w:t> </w:t>
      </w:r>
      <w:r>
        <w:rPr/>
        <w:t>an</w:t>
      </w:r>
      <w:r>
        <w:rPr>
          <w:spacing w:val="-3"/>
        </w:rPr>
        <w:t> </w:t>
      </w:r>
      <w:r>
        <w:rPr/>
        <w:t>individual</w:t>
      </w:r>
      <w:r>
        <w:rPr>
          <w:spacing w:val="-3"/>
        </w:rPr>
        <w:t> </w:t>
      </w:r>
      <w:r>
        <w:rPr/>
        <w:t>is</w:t>
      </w:r>
      <w:r>
        <w:rPr>
          <w:spacing w:val="-3"/>
        </w:rPr>
        <w:t> </w:t>
      </w:r>
      <w:r>
        <w:rPr/>
        <w:t>eligible</w:t>
      </w:r>
      <w:r>
        <w:rPr>
          <w:spacing w:val="-4"/>
        </w:rPr>
        <w:t> </w:t>
      </w:r>
      <w:r>
        <w:rPr/>
        <w:t>is</w:t>
      </w:r>
      <w:r>
        <w:rPr>
          <w:spacing w:val="-3"/>
        </w:rPr>
        <w:t> </w:t>
      </w:r>
      <w:r>
        <w:rPr/>
        <w:t>based on the criteria outlined in Tables 2 and 3 of Section 4 of the STCs.</w:t>
      </w:r>
      <w:r>
        <w:rPr>
          <w:spacing w:val="40"/>
        </w:rPr>
        <w:t> </w:t>
      </w:r>
      <w:r>
        <w:rPr/>
        <w:t>Table 4 in STC 5.10, provides a side-by-side analysis of the benefits offered through these MassHealth </w:t>
      </w:r>
      <w:r>
        <w:rPr>
          <w:spacing w:val="-2"/>
        </w:rPr>
        <w:t>programs.</w:t>
      </w:r>
    </w:p>
    <w:p>
      <w:pPr>
        <w:pStyle w:val="BodyText"/>
        <w:spacing w:before="10"/>
        <w:rPr>
          <w:sz w:val="20"/>
        </w:rPr>
      </w:pPr>
    </w:p>
    <w:p>
      <w:pPr>
        <w:pStyle w:val="BodyText"/>
        <w:ind w:left="871" w:right="1059"/>
      </w:pPr>
      <w:r>
        <w:rPr/>
        <w:drawing>
          <wp:anchor distT="0" distB="0" distL="0" distR="0" allowOverlap="1" layoutInCell="1" locked="0" behindDoc="0" simplePos="0" relativeHeight="15771136">
            <wp:simplePos x="0" y="0"/>
            <wp:positionH relativeFrom="page">
              <wp:posOffset>975359</wp:posOffset>
            </wp:positionH>
            <wp:positionV relativeFrom="paragraph">
              <wp:posOffset>35599</wp:posOffset>
            </wp:positionV>
            <wp:extent cx="217931" cy="112775"/>
            <wp:effectExtent l="0" t="0" r="0" b="0"/>
            <wp:wrapNone/>
            <wp:docPr id="93" name="Image 93"/>
            <wp:cNvGraphicFramePr>
              <a:graphicFrameLocks/>
            </wp:cNvGraphicFramePr>
            <a:graphic>
              <a:graphicData uri="http://schemas.openxmlformats.org/drawingml/2006/picture">
                <pic:pic>
                  <pic:nvPicPr>
                    <pic:cNvPr id="93" name="Image 93"/>
                    <pic:cNvPicPr/>
                  </pic:nvPicPr>
                  <pic:blipFill>
                    <a:blip r:embed="rId75" cstate="print"/>
                    <a:stretch>
                      <a:fillRect/>
                    </a:stretch>
                  </pic:blipFill>
                  <pic:spPr>
                    <a:xfrm>
                      <a:off x="0" y="0"/>
                      <a:ext cx="217931" cy="112775"/>
                    </a:xfrm>
                    <a:prstGeom prst="rect">
                      <a:avLst/>
                    </a:prstGeom>
                  </pic:spPr>
                </pic:pic>
              </a:graphicData>
            </a:graphic>
          </wp:anchor>
        </w:drawing>
      </w:r>
      <w:bookmarkStart w:name="5.3. MassHealth Standard.  Individuals e" w:id="214"/>
      <w:bookmarkEnd w:id="214"/>
      <w:r>
        <w:rPr/>
      </w:r>
      <w:r>
        <w:rPr>
          <w:b/>
        </w:rPr>
        <w:t>MassHealth Standard.</w:t>
      </w:r>
      <w:r>
        <w:rPr>
          <w:b/>
          <w:spacing w:val="40"/>
        </w:rPr>
        <w:t> </w:t>
      </w:r>
      <w:r>
        <w:rPr/>
        <w:t>Individuals enrolled in MassHealth Standard receive state plan services</w:t>
      </w:r>
      <w:r>
        <w:rPr>
          <w:spacing w:val="-3"/>
        </w:rPr>
        <w:t> </w:t>
      </w:r>
      <w:r>
        <w:rPr/>
        <w:t>including</w:t>
      </w:r>
      <w:r>
        <w:rPr>
          <w:spacing w:val="-6"/>
        </w:rPr>
        <w:t> </w:t>
      </w:r>
      <w:r>
        <w:rPr/>
        <w:t>for</w:t>
      </w:r>
      <w:r>
        <w:rPr>
          <w:spacing w:val="-4"/>
        </w:rPr>
        <w:t> </w:t>
      </w:r>
      <w:r>
        <w:rPr/>
        <w:t>individuals</w:t>
      </w:r>
      <w:r>
        <w:rPr>
          <w:spacing w:val="-3"/>
        </w:rPr>
        <w:t> </w:t>
      </w:r>
      <w:r>
        <w:rPr/>
        <w:t>under</w:t>
      </w:r>
      <w:r>
        <w:rPr>
          <w:spacing w:val="-4"/>
        </w:rPr>
        <w:t> </w:t>
      </w:r>
      <w:r>
        <w:rPr/>
        <w:t>age</w:t>
      </w:r>
      <w:r>
        <w:rPr>
          <w:spacing w:val="-4"/>
        </w:rPr>
        <w:t> </w:t>
      </w:r>
      <w:r>
        <w:rPr/>
        <w:t>21,</w:t>
      </w:r>
      <w:r>
        <w:rPr>
          <w:spacing w:val="-3"/>
        </w:rPr>
        <w:t> </w:t>
      </w:r>
      <w:r>
        <w:rPr/>
        <w:t>Early</w:t>
      </w:r>
      <w:r>
        <w:rPr>
          <w:spacing w:val="-8"/>
        </w:rPr>
        <w:t> </w:t>
      </w:r>
      <w:r>
        <w:rPr/>
        <w:t>and</w:t>
      </w:r>
      <w:r>
        <w:rPr>
          <w:spacing w:val="-3"/>
        </w:rPr>
        <w:t> </w:t>
      </w:r>
      <w:r>
        <w:rPr/>
        <w:t>Periodic</w:t>
      </w:r>
      <w:r>
        <w:rPr>
          <w:spacing w:val="-4"/>
        </w:rPr>
        <w:t> </w:t>
      </w:r>
      <w:r>
        <w:rPr/>
        <w:t>Screening,</w:t>
      </w:r>
      <w:r>
        <w:rPr>
          <w:spacing w:val="-3"/>
        </w:rPr>
        <w:t> </w:t>
      </w:r>
      <w:r>
        <w:rPr/>
        <w:t>Diagnostic and Treatment (EPSDT) benefit.</w:t>
      </w:r>
      <w:r>
        <w:rPr>
          <w:spacing w:val="40"/>
        </w:rPr>
        <w:t> </w:t>
      </w:r>
      <w:r>
        <w:rPr/>
        <w:t>In addition, individuals enrolled in Standard receive additional demonstration benefits specifically authorized in demonstration expenditure </w:t>
      </w:r>
      <w:r>
        <w:rPr>
          <w:spacing w:val="-2"/>
        </w:rPr>
        <w:t>authorities.</w:t>
      </w:r>
    </w:p>
    <w:p>
      <w:pPr>
        <w:pStyle w:val="BodyText"/>
        <w:spacing w:before="10"/>
        <w:rPr>
          <w:sz w:val="20"/>
        </w:rPr>
      </w:pPr>
    </w:p>
    <w:p>
      <w:pPr>
        <w:pStyle w:val="BodyText"/>
        <w:ind w:left="1411" w:right="1086"/>
      </w:pPr>
      <w:r>
        <w:rPr/>
        <w:drawing>
          <wp:anchor distT="0" distB="0" distL="0" distR="0" allowOverlap="1" layoutInCell="1" locked="0" behindDoc="0" simplePos="0" relativeHeight="15771648">
            <wp:simplePos x="0" y="0"/>
            <wp:positionH relativeFrom="page">
              <wp:posOffset>1431036</wp:posOffset>
            </wp:positionH>
            <wp:positionV relativeFrom="paragraph">
              <wp:posOffset>67603</wp:posOffset>
            </wp:positionV>
            <wp:extent cx="96011" cy="80771"/>
            <wp:effectExtent l="0" t="0" r="0" b="0"/>
            <wp:wrapNone/>
            <wp:docPr id="94" name="Image 94"/>
            <wp:cNvGraphicFramePr>
              <a:graphicFrameLocks/>
            </wp:cNvGraphicFramePr>
            <a:graphic>
              <a:graphicData uri="http://schemas.openxmlformats.org/drawingml/2006/picture">
                <pic:pic>
                  <pic:nvPicPr>
                    <pic:cNvPr id="94" name="Image 94"/>
                    <pic:cNvPicPr/>
                  </pic:nvPicPr>
                  <pic:blipFill>
                    <a:blip r:embed="rId40" cstate="print"/>
                    <a:stretch>
                      <a:fillRect/>
                    </a:stretch>
                  </pic:blipFill>
                  <pic:spPr>
                    <a:xfrm>
                      <a:off x="0" y="0"/>
                      <a:ext cx="96011" cy="80771"/>
                    </a:xfrm>
                    <a:prstGeom prst="rect">
                      <a:avLst/>
                    </a:prstGeom>
                  </pic:spPr>
                </pic:pic>
              </a:graphicData>
            </a:graphic>
          </wp:anchor>
        </w:drawing>
      </w:r>
      <w:bookmarkStart w:name="a. MassHealth’s Standard Alternative Ben" w:id="215"/>
      <w:bookmarkEnd w:id="215"/>
      <w:r>
        <w:rPr/>
      </w:r>
      <w:r>
        <w:rPr/>
        <w:t>MassHealth’s Standard Alternative Benefit Plan (ABP) is for individuals in the Adult</w:t>
      </w:r>
      <w:r>
        <w:rPr>
          <w:spacing w:val="-3"/>
        </w:rPr>
        <w:t> </w:t>
      </w:r>
      <w:r>
        <w:rPr/>
        <w:t>Group</w:t>
      </w:r>
      <w:r>
        <w:rPr>
          <w:spacing w:val="-3"/>
        </w:rPr>
        <w:t> </w:t>
      </w:r>
      <w:r>
        <w:rPr/>
        <w:t>who</w:t>
      </w:r>
      <w:r>
        <w:rPr>
          <w:spacing w:val="-3"/>
        </w:rPr>
        <w:t> </w:t>
      </w:r>
      <w:r>
        <w:rPr/>
        <w:t>are</w:t>
      </w:r>
      <w:r>
        <w:rPr>
          <w:spacing w:val="-4"/>
        </w:rPr>
        <w:t> </w:t>
      </w:r>
      <w:r>
        <w:rPr/>
        <w:t>ages</w:t>
      </w:r>
      <w:r>
        <w:rPr>
          <w:spacing w:val="-3"/>
        </w:rPr>
        <w:t> </w:t>
      </w:r>
      <w:r>
        <w:rPr/>
        <w:t>19-20,</w:t>
      </w:r>
      <w:r>
        <w:rPr>
          <w:spacing w:val="-3"/>
        </w:rPr>
        <w:t> </w:t>
      </w:r>
      <w:r>
        <w:rPr/>
        <w:t>as</w:t>
      </w:r>
      <w:r>
        <w:rPr>
          <w:spacing w:val="-3"/>
        </w:rPr>
        <w:t> </w:t>
      </w:r>
      <w:r>
        <w:rPr/>
        <w:t>well</w:t>
      </w:r>
      <w:r>
        <w:rPr>
          <w:spacing w:val="-3"/>
        </w:rPr>
        <w:t> </w:t>
      </w:r>
      <w:r>
        <w:rPr/>
        <w:t>as</w:t>
      </w:r>
      <w:r>
        <w:rPr>
          <w:spacing w:val="-3"/>
        </w:rPr>
        <w:t> </w:t>
      </w:r>
      <w:r>
        <w:rPr/>
        <w:t>individuals</w:t>
      </w:r>
      <w:r>
        <w:rPr>
          <w:spacing w:val="-3"/>
        </w:rPr>
        <w:t> </w:t>
      </w:r>
      <w:r>
        <w:rPr/>
        <w:t>21-64</w:t>
      </w:r>
      <w:r>
        <w:rPr>
          <w:spacing w:val="-3"/>
        </w:rPr>
        <w:t> </w:t>
      </w:r>
      <w:r>
        <w:rPr/>
        <w:t>who</w:t>
      </w:r>
      <w:r>
        <w:rPr>
          <w:spacing w:val="-3"/>
        </w:rPr>
        <w:t> </w:t>
      </w:r>
      <w:r>
        <w:rPr/>
        <w:t>are</w:t>
      </w:r>
      <w:r>
        <w:rPr>
          <w:spacing w:val="-4"/>
        </w:rPr>
        <w:t> </w:t>
      </w:r>
      <w:r>
        <w:rPr/>
        <w:t>HIV</w:t>
      </w:r>
      <w:r>
        <w:rPr>
          <w:spacing w:val="-2"/>
        </w:rPr>
        <w:t> </w:t>
      </w:r>
      <w:r>
        <w:rPr/>
        <w:t>positive, have breast or cervical cancer or are receiving services from the Department of Mental Health or who are on a waiting list to receive such services.</w:t>
      </w:r>
      <w:r>
        <w:rPr>
          <w:spacing w:val="40"/>
        </w:rPr>
        <w:t> </w:t>
      </w:r>
      <w:r>
        <w:rPr/>
        <w:t>Individuals enrolled in the Standard ABP receive the same benefits offered in Standard and benefits are provided in the same manner as outlined below.</w:t>
      </w:r>
    </w:p>
    <w:p>
      <w:pPr>
        <w:pStyle w:val="BodyText"/>
        <w:spacing w:before="10"/>
        <w:rPr>
          <w:sz w:val="20"/>
        </w:rPr>
      </w:pPr>
    </w:p>
    <w:p>
      <w:pPr>
        <w:pStyle w:val="BodyText"/>
        <w:spacing w:before="1"/>
        <w:ind w:left="1411" w:right="1059"/>
      </w:pPr>
      <w:r>
        <w:rPr/>
        <w:drawing>
          <wp:anchor distT="0" distB="0" distL="0" distR="0" allowOverlap="1" layoutInCell="1" locked="0" behindDoc="0" simplePos="0" relativeHeight="15772160">
            <wp:simplePos x="0" y="0"/>
            <wp:positionH relativeFrom="page">
              <wp:posOffset>1424939</wp:posOffset>
            </wp:positionH>
            <wp:positionV relativeFrom="paragraph">
              <wp:posOffset>33186</wp:posOffset>
            </wp:positionV>
            <wp:extent cx="111251" cy="115823"/>
            <wp:effectExtent l="0" t="0" r="0" b="0"/>
            <wp:wrapNone/>
            <wp:docPr id="95" name="Image 95"/>
            <wp:cNvGraphicFramePr>
              <a:graphicFrameLocks/>
            </wp:cNvGraphicFramePr>
            <a:graphic>
              <a:graphicData uri="http://schemas.openxmlformats.org/drawingml/2006/picture">
                <pic:pic>
                  <pic:nvPicPr>
                    <pic:cNvPr id="95" name="Image 95"/>
                    <pic:cNvPicPr/>
                  </pic:nvPicPr>
                  <pic:blipFill>
                    <a:blip r:embed="rId34" cstate="print"/>
                    <a:stretch>
                      <a:fillRect/>
                    </a:stretch>
                  </pic:blipFill>
                  <pic:spPr>
                    <a:xfrm>
                      <a:off x="0" y="0"/>
                      <a:ext cx="111251" cy="115823"/>
                    </a:xfrm>
                    <a:prstGeom prst="rect">
                      <a:avLst/>
                    </a:prstGeom>
                  </pic:spPr>
                </pic:pic>
              </a:graphicData>
            </a:graphic>
          </wp:anchor>
        </w:drawing>
      </w:r>
      <w:bookmarkStart w:name="b. MassHealth Standard benefits will be " w:id="216"/>
      <w:bookmarkEnd w:id="216"/>
      <w:r>
        <w:rPr/>
      </w:r>
      <w:r>
        <w:rPr/>
        <w:t>MassHealth</w:t>
      </w:r>
      <w:r>
        <w:rPr>
          <w:spacing w:val="-4"/>
        </w:rPr>
        <w:t> </w:t>
      </w:r>
      <w:r>
        <w:rPr/>
        <w:t>Standard</w:t>
      </w:r>
      <w:r>
        <w:rPr>
          <w:spacing w:val="-4"/>
        </w:rPr>
        <w:t> </w:t>
      </w:r>
      <w:r>
        <w:rPr/>
        <w:t>benefits</w:t>
      </w:r>
      <w:r>
        <w:rPr>
          <w:spacing w:val="-4"/>
        </w:rPr>
        <w:t> </w:t>
      </w:r>
      <w:r>
        <w:rPr/>
        <w:t>will</w:t>
      </w:r>
      <w:r>
        <w:rPr>
          <w:spacing w:val="-4"/>
        </w:rPr>
        <w:t> </w:t>
      </w:r>
      <w:r>
        <w:rPr/>
        <w:t>be</w:t>
      </w:r>
      <w:r>
        <w:rPr>
          <w:spacing w:val="-5"/>
        </w:rPr>
        <w:t> </w:t>
      </w:r>
      <w:r>
        <w:rPr/>
        <w:t>provided</w:t>
      </w:r>
      <w:r>
        <w:rPr>
          <w:spacing w:val="-4"/>
        </w:rPr>
        <w:t> </w:t>
      </w:r>
      <w:r>
        <w:rPr/>
        <w:t>either</w:t>
      </w:r>
      <w:r>
        <w:rPr>
          <w:spacing w:val="-5"/>
        </w:rPr>
        <w:t> </w:t>
      </w:r>
      <w:r>
        <w:rPr/>
        <w:t>through</w:t>
      </w:r>
      <w:r>
        <w:rPr>
          <w:spacing w:val="-4"/>
        </w:rPr>
        <w:t> </w:t>
      </w:r>
      <w:r>
        <w:rPr/>
        <w:t>direct</w:t>
      </w:r>
      <w:r>
        <w:rPr>
          <w:spacing w:val="-2"/>
        </w:rPr>
        <w:t> </w:t>
      </w:r>
      <w:r>
        <w:rPr/>
        <w:t>coverage,</w:t>
      </w:r>
      <w:r>
        <w:rPr>
          <w:spacing w:val="-4"/>
        </w:rPr>
        <w:t> </w:t>
      </w:r>
      <w:r>
        <w:rPr/>
        <w:t>cost effective premium assistance, or a combination of both (benefits wrap).</w:t>
      </w:r>
      <w:r>
        <w:rPr>
          <w:spacing w:val="40"/>
        </w:rPr>
        <w:t> </w:t>
      </w:r>
      <w:r>
        <w:rPr/>
        <w:t>Premium assistance will be furnished as described in STC 8.13.</w:t>
      </w:r>
    </w:p>
    <w:p>
      <w:pPr>
        <w:pStyle w:val="BodyText"/>
        <w:spacing w:before="9"/>
        <w:rPr>
          <w:sz w:val="20"/>
        </w:rPr>
      </w:pPr>
    </w:p>
    <w:p>
      <w:pPr>
        <w:pStyle w:val="BodyText"/>
        <w:spacing w:before="1"/>
        <w:ind w:left="1411" w:right="1064"/>
      </w:pPr>
      <w:r>
        <w:rPr/>
        <w:drawing>
          <wp:anchor distT="0" distB="0" distL="0" distR="0" allowOverlap="1" layoutInCell="1" locked="0" behindDoc="0" simplePos="0" relativeHeight="15772672">
            <wp:simplePos x="0" y="0"/>
            <wp:positionH relativeFrom="page">
              <wp:posOffset>1431036</wp:posOffset>
            </wp:positionH>
            <wp:positionV relativeFrom="paragraph">
              <wp:posOffset>68238</wp:posOffset>
            </wp:positionV>
            <wp:extent cx="96011" cy="80771"/>
            <wp:effectExtent l="0" t="0" r="0" b="0"/>
            <wp:wrapNone/>
            <wp:docPr id="96" name="Image 96"/>
            <wp:cNvGraphicFramePr>
              <a:graphicFrameLocks/>
            </wp:cNvGraphicFramePr>
            <a:graphic>
              <a:graphicData uri="http://schemas.openxmlformats.org/drawingml/2006/picture">
                <pic:pic>
                  <pic:nvPicPr>
                    <pic:cNvPr id="96" name="Image 96"/>
                    <pic:cNvPicPr/>
                  </pic:nvPicPr>
                  <pic:blipFill>
                    <a:blip r:embed="rId41" cstate="print"/>
                    <a:stretch>
                      <a:fillRect/>
                    </a:stretch>
                  </pic:blipFill>
                  <pic:spPr>
                    <a:xfrm>
                      <a:off x="0" y="0"/>
                      <a:ext cx="96011" cy="80771"/>
                    </a:xfrm>
                    <a:prstGeom prst="rect">
                      <a:avLst/>
                    </a:prstGeom>
                  </pic:spPr>
                </pic:pic>
              </a:graphicData>
            </a:graphic>
          </wp:anchor>
        </w:drawing>
      </w:r>
      <w:bookmarkStart w:name="c. MassHealth Standard benefits include," w:id="217"/>
      <w:bookmarkEnd w:id="217"/>
      <w:r>
        <w:rPr/>
      </w:r>
      <w:r>
        <w:rPr/>
        <w:t>MassHealth Standard benefits include, for individuals with incomes at or below 165 percent</w:t>
      </w:r>
      <w:r>
        <w:rPr>
          <w:spacing w:val="-3"/>
        </w:rPr>
        <w:t> </w:t>
      </w:r>
      <w:r>
        <w:rPr/>
        <w:t>of</w:t>
      </w:r>
      <w:r>
        <w:rPr>
          <w:spacing w:val="-4"/>
        </w:rPr>
        <w:t> </w:t>
      </w:r>
      <w:r>
        <w:rPr/>
        <w:t>FPL</w:t>
      </w:r>
      <w:r>
        <w:rPr>
          <w:spacing w:val="-6"/>
        </w:rPr>
        <w:t> </w:t>
      </w:r>
      <w:r>
        <w:rPr/>
        <w:t>who</w:t>
      </w:r>
      <w:r>
        <w:rPr>
          <w:spacing w:val="-1"/>
        </w:rPr>
        <w:t> </w:t>
      </w:r>
      <w:r>
        <w:rPr/>
        <w:t>are</w:t>
      </w:r>
      <w:r>
        <w:rPr>
          <w:spacing w:val="-2"/>
        </w:rPr>
        <w:t> </w:t>
      </w:r>
      <w:r>
        <w:rPr/>
        <w:t>also</w:t>
      </w:r>
      <w:r>
        <w:rPr>
          <w:spacing w:val="-4"/>
        </w:rPr>
        <w:t> </w:t>
      </w:r>
      <w:r>
        <w:rPr/>
        <w:t>eligible</w:t>
      </w:r>
      <w:r>
        <w:rPr>
          <w:spacing w:val="-4"/>
        </w:rPr>
        <w:t> </w:t>
      </w:r>
      <w:r>
        <w:rPr/>
        <w:t>for</w:t>
      </w:r>
      <w:r>
        <w:rPr>
          <w:spacing w:val="-4"/>
        </w:rPr>
        <w:t> </w:t>
      </w:r>
      <w:r>
        <w:rPr/>
        <w:t>Medicare,</w:t>
      </w:r>
      <w:r>
        <w:rPr>
          <w:spacing w:val="-1"/>
        </w:rPr>
        <w:t> </w:t>
      </w:r>
      <w:r>
        <w:rPr/>
        <w:t>(1)</w:t>
      </w:r>
      <w:r>
        <w:rPr>
          <w:spacing w:val="-4"/>
        </w:rPr>
        <w:t> </w:t>
      </w:r>
      <w:r>
        <w:rPr/>
        <w:t>payment</w:t>
      </w:r>
      <w:r>
        <w:rPr>
          <w:spacing w:val="-3"/>
        </w:rPr>
        <w:t> </w:t>
      </w:r>
      <w:r>
        <w:rPr/>
        <w:t>of</w:t>
      </w:r>
      <w:r>
        <w:rPr>
          <w:spacing w:val="-4"/>
        </w:rPr>
        <w:t> </w:t>
      </w:r>
      <w:r>
        <w:rPr/>
        <w:t>monthly</w:t>
      </w:r>
      <w:r>
        <w:rPr>
          <w:spacing w:val="-6"/>
        </w:rPr>
        <w:t> </w:t>
      </w:r>
      <w:r>
        <w:rPr/>
        <w:t>Medicare Part B premiums, including through the Qualifying Individual program (2) payment of hospital insurance premiums under Medicare Part A; and, (3) payment of deductibles and co-insurance under Medicare Part A and B.</w:t>
      </w:r>
      <w:r>
        <w:rPr>
          <w:spacing w:val="40"/>
        </w:rPr>
        <w:t> </w:t>
      </w:r>
      <w:r>
        <w:rPr/>
        <w:t>The Commonwealth may establish eligibility for this coverage without applying an asset test.</w:t>
      </w:r>
      <w:r>
        <w:rPr>
          <w:spacing w:val="40"/>
        </w:rPr>
        <w:t> </w:t>
      </w:r>
      <w:r>
        <w:rPr/>
        <w:t>These benefits will begin on the first day of the month following the date of the</w:t>
      </w:r>
      <w:r>
        <w:rPr>
          <w:spacing w:val="40"/>
        </w:rPr>
        <w:t> </w:t>
      </w:r>
      <w:r>
        <w:rPr/>
        <w:t>MassHealth eligibility determination.</w:t>
      </w:r>
    </w:p>
    <w:p>
      <w:pPr>
        <w:spacing w:after="0"/>
        <w:sectPr>
          <w:footerReference w:type="default" r:id="rId72"/>
          <w:pgSz w:w="12240" w:h="15840"/>
          <w:pgMar w:footer="1201" w:header="0" w:top="1600" w:bottom="1400" w:left="1200" w:right="400"/>
        </w:sectPr>
      </w:pPr>
    </w:p>
    <w:p>
      <w:pPr>
        <w:pStyle w:val="BodyText"/>
        <w:spacing w:before="79"/>
        <w:ind w:left="871" w:right="1078"/>
      </w:pPr>
      <w:r>
        <w:rPr/>
        <w:drawing>
          <wp:anchor distT="0" distB="0" distL="0" distR="0" allowOverlap="1" layoutInCell="1" locked="0" behindDoc="0" simplePos="0" relativeHeight="15773184">
            <wp:simplePos x="0" y="0"/>
            <wp:positionH relativeFrom="page">
              <wp:posOffset>975360</wp:posOffset>
            </wp:positionH>
            <wp:positionV relativeFrom="paragraph">
              <wp:posOffset>85777</wp:posOffset>
            </wp:positionV>
            <wp:extent cx="217931" cy="112763"/>
            <wp:effectExtent l="0" t="0" r="0" b="0"/>
            <wp:wrapNone/>
            <wp:docPr id="97" name="Image 97"/>
            <wp:cNvGraphicFramePr>
              <a:graphicFrameLocks/>
            </wp:cNvGraphicFramePr>
            <a:graphic>
              <a:graphicData uri="http://schemas.openxmlformats.org/drawingml/2006/picture">
                <pic:pic>
                  <pic:nvPicPr>
                    <pic:cNvPr id="97" name="Image 97"/>
                    <pic:cNvPicPr/>
                  </pic:nvPicPr>
                  <pic:blipFill>
                    <a:blip r:embed="rId76" cstate="print"/>
                    <a:stretch>
                      <a:fillRect/>
                    </a:stretch>
                  </pic:blipFill>
                  <pic:spPr>
                    <a:xfrm>
                      <a:off x="0" y="0"/>
                      <a:ext cx="217931" cy="112763"/>
                    </a:xfrm>
                    <a:prstGeom prst="rect">
                      <a:avLst/>
                    </a:prstGeom>
                  </pic:spPr>
                </pic:pic>
              </a:graphicData>
            </a:graphic>
          </wp:anchor>
        </w:drawing>
      </w:r>
      <w:bookmarkStart w:name="5.4. MassHealth CarePlus.  MassHealth’s " w:id="218"/>
      <w:bookmarkEnd w:id="218"/>
      <w:r>
        <w:rPr/>
      </w:r>
      <w:r>
        <w:rPr>
          <w:b/>
        </w:rPr>
        <w:t>MassHealth CarePlus.</w:t>
      </w:r>
      <w:r>
        <w:rPr>
          <w:b/>
          <w:spacing w:val="80"/>
        </w:rPr>
        <w:t> </w:t>
      </w:r>
      <w:r>
        <w:rPr/>
        <w:t>MassHealth’s CarePlus ABP is for individuals in the Adult Group ages 21-64 who are</w:t>
      </w:r>
      <w:r>
        <w:rPr>
          <w:spacing w:val="-1"/>
        </w:rPr>
        <w:t> </w:t>
      </w:r>
      <w:r>
        <w:rPr/>
        <w:t>not otherwise</w:t>
      </w:r>
      <w:r>
        <w:rPr>
          <w:spacing w:val="-1"/>
        </w:rPr>
        <w:t> </w:t>
      </w:r>
      <w:r>
        <w:rPr/>
        <w:t>eligible</w:t>
      </w:r>
      <w:r>
        <w:rPr>
          <w:spacing w:val="-1"/>
        </w:rPr>
        <w:t> </w:t>
      </w:r>
      <w:r>
        <w:rPr/>
        <w:t>for</w:t>
      </w:r>
      <w:r>
        <w:rPr>
          <w:spacing w:val="-1"/>
        </w:rPr>
        <w:t> </w:t>
      </w:r>
      <w:r>
        <w:rPr/>
        <w:t>MassHealth Standard ABP. CarePlus provides medical and behavioral health services, including diversionary behavioral health service and non-emergency medical transportation, but does not include long term</w:t>
      </w:r>
      <w:r>
        <w:rPr>
          <w:spacing w:val="40"/>
        </w:rPr>
        <w:t> </w:t>
      </w:r>
      <w:r>
        <w:rPr/>
        <w:t>services and supports.</w:t>
      </w:r>
      <w:r>
        <w:rPr>
          <w:spacing w:val="40"/>
        </w:rPr>
        <w:t> </w:t>
      </w:r>
      <w:r>
        <w:rPr/>
        <w:t>Benefits are</w:t>
      </w:r>
      <w:r>
        <w:rPr>
          <w:spacing w:val="-1"/>
        </w:rPr>
        <w:t> </w:t>
      </w:r>
      <w:r>
        <w:rPr/>
        <w:t>provided either</w:t>
      </w:r>
      <w:r>
        <w:rPr>
          <w:spacing w:val="-1"/>
        </w:rPr>
        <w:t> </w:t>
      </w:r>
      <w:r>
        <w:rPr/>
        <w:t>through direct coverage, cost effective premium</w:t>
      </w:r>
      <w:r>
        <w:rPr>
          <w:spacing w:val="-3"/>
        </w:rPr>
        <w:t> </w:t>
      </w:r>
      <w:r>
        <w:rPr/>
        <w:t>assistance,</w:t>
      </w:r>
      <w:r>
        <w:rPr>
          <w:spacing w:val="-3"/>
        </w:rPr>
        <w:t> </w:t>
      </w:r>
      <w:r>
        <w:rPr/>
        <w:t>or</w:t>
      </w:r>
      <w:r>
        <w:rPr>
          <w:spacing w:val="-2"/>
        </w:rPr>
        <w:t> </w:t>
      </w:r>
      <w:r>
        <w:rPr/>
        <w:t>a</w:t>
      </w:r>
      <w:r>
        <w:rPr>
          <w:spacing w:val="-2"/>
        </w:rPr>
        <w:t> </w:t>
      </w:r>
      <w:r>
        <w:rPr/>
        <w:t>combination</w:t>
      </w:r>
      <w:r>
        <w:rPr>
          <w:spacing w:val="-3"/>
        </w:rPr>
        <w:t> </w:t>
      </w:r>
      <w:r>
        <w:rPr/>
        <w:t>of</w:t>
      </w:r>
      <w:r>
        <w:rPr>
          <w:spacing w:val="-4"/>
        </w:rPr>
        <w:t> </w:t>
      </w:r>
      <w:r>
        <w:rPr/>
        <w:t>both</w:t>
      </w:r>
      <w:r>
        <w:rPr>
          <w:spacing w:val="-3"/>
        </w:rPr>
        <w:t> </w:t>
      </w:r>
      <w:r>
        <w:rPr/>
        <w:t>(benefits</w:t>
      </w:r>
      <w:r>
        <w:rPr>
          <w:spacing w:val="-3"/>
        </w:rPr>
        <w:t> </w:t>
      </w:r>
      <w:r>
        <w:rPr/>
        <w:t>wrap).</w:t>
      </w:r>
      <w:r>
        <w:rPr>
          <w:spacing w:val="40"/>
        </w:rPr>
        <w:t> </w:t>
      </w:r>
      <w:r>
        <w:rPr/>
        <w:t>Premium</w:t>
      </w:r>
      <w:r>
        <w:rPr>
          <w:spacing w:val="-3"/>
        </w:rPr>
        <w:t> </w:t>
      </w:r>
      <w:r>
        <w:rPr/>
        <w:t>assistance</w:t>
      </w:r>
      <w:r>
        <w:rPr>
          <w:spacing w:val="-4"/>
        </w:rPr>
        <w:t> </w:t>
      </w:r>
      <w:r>
        <w:rPr/>
        <w:t>will</w:t>
      </w:r>
      <w:r>
        <w:rPr>
          <w:spacing w:val="-3"/>
        </w:rPr>
        <w:t> </w:t>
      </w:r>
      <w:r>
        <w:rPr/>
        <w:t>be furnished as described in STC 8.13.</w:t>
      </w:r>
    </w:p>
    <w:p>
      <w:pPr>
        <w:pStyle w:val="BodyText"/>
        <w:spacing w:before="10"/>
        <w:rPr>
          <w:sz w:val="20"/>
        </w:rPr>
      </w:pPr>
    </w:p>
    <w:p>
      <w:pPr>
        <w:spacing w:before="0"/>
        <w:ind w:left="871" w:right="1141" w:firstLine="0"/>
        <w:jc w:val="left"/>
        <w:rPr>
          <w:sz w:val="24"/>
        </w:rPr>
      </w:pPr>
      <w:r>
        <w:rPr/>
        <w:drawing>
          <wp:anchor distT="0" distB="0" distL="0" distR="0" allowOverlap="1" layoutInCell="1" locked="0" behindDoc="0" simplePos="0" relativeHeight="15773696">
            <wp:simplePos x="0" y="0"/>
            <wp:positionH relativeFrom="page">
              <wp:posOffset>975359</wp:posOffset>
            </wp:positionH>
            <wp:positionV relativeFrom="paragraph">
              <wp:posOffset>37123</wp:posOffset>
            </wp:positionV>
            <wp:extent cx="217931" cy="111251"/>
            <wp:effectExtent l="0" t="0" r="0" b="0"/>
            <wp:wrapNone/>
            <wp:docPr id="98" name="Image 98"/>
            <wp:cNvGraphicFramePr>
              <a:graphicFrameLocks/>
            </wp:cNvGraphicFramePr>
            <a:graphic>
              <a:graphicData uri="http://schemas.openxmlformats.org/drawingml/2006/picture">
                <pic:pic>
                  <pic:nvPicPr>
                    <pic:cNvPr id="98" name="Image 98"/>
                    <pic:cNvPicPr/>
                  </pic:nvPicPr>
                  <pic:blipFill>
                    <a:blip r:embed="rId77" cstate="print"/>
                    <a:stretch>
                      <a:fillRect/>
                    </a:stretch>
                  </pic:blipFill>
                  <pic:spPr>
                    <a:xfrm>
                      <a:off x="0" y="0"/>
                      <a:ext cx="217931" cy="111251"/>
                    </a:xfrm>
                    <a:prstGeom prst="rect">
                      <a:avLst/>
                    </a:prstGeom>
                  </pic:spPr>
                </pic:pic>
              </a:graphicData>
            </a:graphic>
          </wp:anchor>
        </w:drawing>
      </w:r>
      <w:bookmarkStart w:name="5.5. MassHealth Breast and Cervical Canc" w:id="219"/>
      <w:bookmarkEnd w:id="219"/>
      <w:r>
        <w:rPr/>
      </w:r>
      <w:r>
        <w:rPr>
          <w:b/>
          <w:sz w:val="24"/>
        </w:rPr>
        <w:t>MassHealth Breast and Cervical Cancer Demonstration Program (BCCDP).</w:t>
      </w:r>
      <w:r>
        <w:rPr>
          <w:b/>
          <w:spacing w:val="40"/>
          <w:sz w:val="24"/>
        </w:rPr>
        <w:t> </w:t>
      </w:r>
      <w:r>
        <w:rPr>
          <w:sz w:val="24"/>
        </w:rPr>
        <w:t>The BCCDP is a health benefits program for individuals in need of treatment for breast or cervical</w:t>
      </w:r>
      <w:r>
        <w:rPr>
          <w:spacing w:val="-4"/>
          <w:sz w:val="24"/>
        </w:rPr>
        <w:t> </w:t>
      </w:r>
      <w:r>
        <w:rPr>
          <w:sz w:val="24"/>
        </w:rPr>
        <w:t>cancer.</w:t>
      </w:r>
      <w:r>
        <w:rPr>
          <w:spacing w:val="40"/>
          <w:sz w:val="24"/>
        </w:rPr>
        <w:t> </w:t>
      </w:r>
      <w:r>
        <w:rPr>
          <w:sz w:val="24"/>
        </w:rPr>
        <w:t>This</w:t>
      </w:r>
      <w:r>
        <w:rPr>
          <w:spacing w:val="-4"/>
          <w:sz w:val="24"/>
        </w:rPr>
        <w:t> </w:t>
      </w:r>
      <w:r>
        <w:rPr>
          <w:sz w:val="24"/>
        </w:rPr>
        <w:t>program</w:t>
      </w:r>
      <w:r>
        <w:rPr>
          <w:spacing w:val="-4"/>
          <w:sz w:val="24"/>
        </w:rPr>
        <w:t> </w:t>
      </w:r>
      <w:r>
        <w:rPr>
          <w:sz w:val="24"/>
        </w:rPr>
        <w:t>offers</w:t>
      </w:r>
      <w:r>
        <w:rPr>
          <w:spacing w:val="-4"/>
          <w:sz w:val="24"/>
        </w:rPr>
        <w:t> </w:t>
      </w:r>
      <w:r>
        <w:rPr>
          <w:sz w:val="24"/>
        </w:rPr>
        <w:t>MassHealth</w:t>
      </w:r>
      <w:r>
        <w:rPr>
          <w:spacing w:val="-4"/>
          <w:sz w:val="24"/>
        </w:rPr>
        <w:t> </w:t>
      </w:r>
      <w:r>
        <w:rPr>
          <w:sz w:val="24"/>
        </w:rPr>
        <w:t>Standard</w:t>
      </w:r>
      <w:r>
        <w:rPr>
          <w:spacing w:val="-4"/>
          <w:sz w:val="24"/>
        </w:rPr>
        <w:t> </w:t>
      </w:r>
      <w:r>
        <w:rPr>
          <w:sz w:val="24"/>
        </w:rPr>
        <w:t>benefits</w:t>
      </w:r>
      <w:r>
        <w:rPr>
          <w:spacing w:val="-4"/>
          <w:sz w:val="24"/>
        </w:rPr>
        <w:t> </w:t>
      </w:r>
      <w:r>
        <w:rPr>
          <w:sz w:val="24"/>
        </w:rPr>
        <w:t>to</w:t>
      </w:r>
      <w:r>
        <w:rPr>
          <w:spacing w:val="-4"/>
          <w:sz w:val="24"/>
        </w:rPr>
        <w:t> </w:t>
      </w:r>
      <w:r>
        <w:rPr>
          <w:sz w:val="24"/>
        </w:rPr>
        <w:t>individuals</w:t>
      </w:r>
      <w:r>
        <w:rPr>
          <w:spacing w:val="-4"/>
          <w:sz w:val="24"/>
        </w:rPr>
        <w:t> </w:t>
      </w:r>
      <w:r>
        <w:rPr>
          <w:sz w:val="24"/>
        </w:rPr>
        <w:t>under 65 who do not otherwise qualify for MassHealth and are uninsured according to the </w:t>
      </w:r>
      <w:r>
        <w:rPr>
          <w:spacing w:val="-2"/>
          <w:sz w:val="24"/>
        </w:rPr>
        <w:t>Commonwealth.</w:t>
      </w:r>
    </w:p>
    <w:p>
      <w:pPr>
        <w:pStyle w:val="BodyText"/>
        <w:spacing w:before="10"/>
        <w:rPr>
          <w:sz w:val="20"/>
        </w:rPr>
      </w:pPr>
    </w:p>
    <w:p>
      <w:pPr>
        <w:pStyle w:val="BodyText"/>
        <w:ind w:left="871" w:right="1141"/>
      </w:pPr>
      <w:r>
        <w:rPr/>
        <w:drawing>
          <wp:anchor distT="0" distB="0" distL="0" distR="0" allowOverlap="1" layoutInCell="1" locked="0" behindDoc="0" simplePos="0" relativeHeight="15774208">
            <wp:simplePos x="0" y="0"/>
            <wp:positionH relativeFrom="page">
              <wp:posOffset>975359</wp:posOffset>
            </wp:positionH>
            <wp:positionV relativeFrom="paragraph">
              <wp:posOffset>35599</wp:posOffset>
            </wp:positionV>
            <wp:extent cx="217931" cy="112775"/>
            <wp:effectExtent l="0" t="0" r="0" b="0"/>
            <wp:wrapNone/>
            <wp:docPr id="99" name="Image 99"/>
            <wp:cNvGraphicFramePr>
              <a:graphicFrameLocks/>
            </wp:cNvGraphicFramePr>
            <a:graphic>
              <a:graphicData uri="http://schemas.openxmlformats.org/drawingml/2006/picture">
                <pic:pic>
                  <pic:nvPicPr>
                    <pic:cNvPr id="99" name="Image 99"/>
                    <pic:cNvPicPr/>
                  </pic:nvPicPr>
                  <pic:blipFill>
                    <a:blip r:embed="rId78" cstate="print"/>
                    <a:stretch>
                      <a:fillRect/>
                    </a:stretch>
                  </pic:blipFill>
                  <pic:spPr>
                    <a:xfrm>
                      <a:off x="0" y="0"/>
                      <a:ext cx="217931" cy="112775"/>
                    </a:xfrm>
                    <a:prstGeom prst="rect">
                      <a:avLst/>
                    </a:prstGeom>
                  </pic:spPr>
                </pic:pic>
              </a:graphicData>
            </a:graphic>
          </wp:anchor>
        </w:drawing>
      </w:r>
      <w:bookmarkStart w:name="5.6. MassHealth CommonHealth.  Individua" w:id="220"/>
      <w:bookmarkEnd w:id="220"/>
      <w:r>
        <w:rPr/>
      </w:r>
      <w:r>
        <w:rPr>
          <w:b/>
        </w:rPr>
        <w:t>MassHealth CommonHealth.</w:t>
      </w:r>
      <w:r>
        <w:rPr>
          <w:b/>
          <w:spacing w:val="40"/>
        </w:rPr>
        <w:t> </w:t>
      </w:r>
      <w:r>
        <w:rPr/>
        <w:t>Individuals enrolled in CommonHealth receive the same benefits as those available under MassHealth Standard; individuals under age 21 receive EPSDT services as well.</w:t>
      </w:r>
      <w:r>
        <w:rPr>
          <w:spacing w:val="40"/>
        </w:rPr>
        <w:t> </w:t>
      </w:r>
      <w:r>
        <w:rPr/>
        <w:t>In addition, individuals enrolled in CommonHealth receive additional demonstration benefits specifically authorized in demonstration expenditure authorities.</w:t>
      </w:r>
      <w:r>
        <w:rPr>
          <w:spacing w:val="40"/>
        </w:rPr>
        <w:t> </w:t>
      </w:r>
      <w:r>
        <w:rPr/>
        <w:t>Benefits are provided either through direct coverage, cost effective premium assistance</w:t>
      </w:r>
      <w:r>
        <w:rPr>
          <w:spacing w:val="-4"/>
        </w:rPr>
        <w:t> </w:t>
      </w:r>
      <w:r>
        <w:rPr/>
        <w:t>or</w:t>
      </w:r>
      <w:r>
        <w:rPr>
          <w:spacing w:val="-2"/>
        </w:rPr>
        <w:t> </w:t>
      </w:r>
      <w:r>
        <w:rPr/>
        <w:t>a</w:t>
      </w:r>
      <w:r>
        <w:rPr>
          <w:spacing w:val="-4"/>
        </w:rPr>
        <w:t> </w:t>
      </w:r>
      <w:r>
        <w:rPr/>
        <w:t>combination</w:t>
      </w:r>
      <w:r>
        <w:rPr>
          <w:spacing w:val="-3"/>
        </w:rPr>
        <w:t> </w:t>
      </w:r>
      <w:r>
        <w:rPr/>
        <w:t>of</w:t>
      </w:r>
      <w:r>
        <w:rPr>
          <w:spacing w:val="-4"/>
        </w:rPr>
        <w:t> </w:t>
      </w:r>
      <w:r>
        <w:rPr/>
        <w:t>both.</w:t>
      </w:r>
      <w:r>
        <w:rPr>
          <w:spacing w:val="40"/>
        </w:rPr>
        <w:t> </w:t>
      </w:r>
      <w:r>
        <w:rPr/>
        <w:t>Premium</w:t>
      </w:r>
      <w:r>
        <w:rPr>
          <w:spacing w:val="-3"/>
        </w:rPr>
        <w:t> </w:t>
      </w:r>
      <w:r>
        <w:rPr/>
        <w:t>assistance</w:t>
      </w:r>
      <w:r>
        <w:rPr>
          <w:spacing w:val="-4"/>
        </w:rPr>
        <w:t> </w:t>
      </w:r>
      <w:r>
        <w:rPr/>
        <w:t>will</w:t>
      </w:r>
      <w:r>
        <w:rPr>
          <w:spacing w:val="-3"/>
        </w:rPr>
        <w:t> </w:t>
      </w:r>
      <w:r>
        <w:rPr/>
        <w:t>be</w:t>
      </w:r>
      <w:r>
        <w:rPr>
          <w:spacing w:val="-4"/>
        </w:rPr>
        <w:t> </w:t>
      </w:r>
      <w:r>
        <w:rPr/>
        <w:t>furnished</w:t>
      </w:r>
      <w:r>
        <w:rPr>
          <w:spacing w:val="-1"/>
        </w:rPr>
        <w:t> </w:t>
      </w:r>
      <w:r>
        <w:rPr/>
        <w:t>as</w:t>
      </w:r>
      <w:r>
        <w:rPr>
          <w:spacing w:val="-3"/>
        </w:rPr>
        <w:t> </w:t>
      </w:r>
      <w:r>
        <w:rPr/>
        <w:t>described</w:t>
      </w:r>
      <w:r>
        <w:rPr>
          <w:spacing w:val="-3"/>
        </w:rPr>
        <w:t> </w:t>
      </w:r>
      <w:r>
        <w:rPr/>
        <w:t>in STC 8.13.</w:t>
      </w:r>
      <w:r>
        <w:rPr>
          <w:spacing w:val="40"/>
        </w:rPr>
        <w:t> </w:t>
      </w:r>
      <w:r>
        <w:rPr/>
        <w:t>These benefits shall begin on the first day of the month following the date of the MassHealth eligibility determination.</w:t>
      </w:r>
      <w:r>
        <w:rPr>
          <w:spacing w:val="40"/>
        </w:rPr>
        <w:t> </w:t>
      </w:r>
      <w:r>
        <w:rPr/>
        <w:t>The Commonwealth may establish eligibility for this coverage for children, including those eligible under the Title XXI State Plan if uninsured at application and for adults under age 65 without applying an asset test.</w:t>
      </w:r>
    </w:p>
    <w:p>
      <w:pPr>
        <w:pStyle w:val="BodyText"/>
        <w:ind w:left="871" w:right="1059"/>
      </w:pPr>
      <w:r>
        <w:rPr/>
        <w:t>Effective</w:t>
      </w:r>
      <w:r>
        <w:rPr>
          <w:spacing w:val="-4"/>
        </w:rPr>
        <w:t> </w:t>
      </w:r>
      <w:r>
        <w:rPr/>
        <w:t>no</w:t>
      </w:r>
      <w:r>
        <w:rPr>
          <w:spacing w:val="-3"/>
        </w:rPr>
        <w:t> </w:t>
      </w:r>
      <w:r>
        <w:rPr/>
        <w:t>later</w:t>
      </w:r>
      <w:r>
        <w:rPr>
          <w:spacing w:val="-4"/>
        </w:rPr>
        <w:t> </w:t>
      </w:r>
      <w:r>
        <w:rPr/>
        <w:t>than</w:t>
      </w:r>
      <w:r>
        <w:rPr>
          <w:spacing w:val="-3"/>
        </w:rPr>
        <w:t> </w:t>
      </w:r>
      <w:r>
        <w:rPr/>
        <w:t>July</w:t>
      </w:r>
      <w:r>
        <w:rPr>
          <w:spacing w:val="-8"/>
        </w:rPr>
        <w:t> </w:t>
      </w:r>
      <w:r>
        <w:rPr/>
        <w:t>1,</w:t>
      </w:r>
      <w:r>
        <w:rPr>
          <w:spacing w:val="-3"/>
        </w:rPr>
        <w:t> </w:t>
      </w:r>
      <w:r>
        <w:rPr/>
        <w:t>2023,</w:t>
      </w:r>
      <w:r>
        <w:rPr>
          <w:spacing w:val="-3"/>
        </w:rPr>
        <w:t> </w:t>
      </w:r>
      <w:r>
        <w:rPr/>
        <w:t>individuals</w:t>
      </w:r>
      <w:r>
        <w:rPr>
          <w:spacing w:val="-3"/>
        </w:rPr>
        <w:t> </w:t>
      </w:r>
      <w:r>
        <w:rPr/>
        <w:t>over</w:t>
      </w:r>
      <w:r>
        <w:rPr>
          <w:spacing w:val="-4"/>
        </w:rPr>
        <w:t> </w:t>
      </w:r>
      <w:r>
        <w:rPr/>
        <w:t>65</w:t>
      </w:r>
      <w:r>
        <w:rPr>
          <w:spacing w:val="-3"/>
        </w:rPr>
        <w:t> </w:t>
      </w:r>
      <w:r>
        <w:rPr/>
        <w:t>that</w:t>
      </w:r>
      <w:r>
        <w:rPr>
          <w:spacing w:val="-3"/>
        </w:rPr>
        <w:t> </w:t>
      </w:r>
      <w:r>
        <w:rPr/>
        <w:t>have</w:t>
      </w:r>
      <w:r>
        <w:rPr>
          <w:spacing w:val="-2"/>
        </w:rPr>
        <w:t> </w:t>
      </w:r>
      <w:r>
        <w:rPr/>
        <w:t>retained</w:t>
      </w:r>
      <w:r>
        <w:rPr>
          <w:spacing w:val="-3"/>
        </w:rPr>
        <w:t> </w:t>
      </w:r>
      <w:r>
        <w:rPr/>
        <w:t>coverage</w:t>
      </w:r>
      <w:r>
        <w:rPr>
          <w:spacing w:val="-2"/>
        </w:rPr>
        <w:t> </w:t>
      </w:r>
      <w:r>
        <w:rPr/>
        <w:t>for</w:t>
      </w:r>
      <w:r>
        <w:rPr>
          <w:spacing w:val="-4"/>
        </w:rPr>
        <w:t> </w:t>
      </w:r>
      <w:r>
        <w:rPr/>
        <w:t>at least 10 years are not subject to paid employment hours restrictions;</w:t>
      </w:r>
    </w:p>
    <w:p>
      <w:pPr>
        <w:pStyle w:val="BodyText"/>
        <w:spacing w:before="10"/>
        <w:rPr>
          <w:sz w:val="20"/>
        </w:rPr>
      </w:pPr>
    </w:p>
    <w:p>
      <w:pPr>
        <w:pStyle w:val="BodyText"/>
        <w:ind w:left="1411" w:right="1117"/>
      </w:pPr>
      <w:r>
        <w:rPr/>
        <w:drawing>
          <wp:anchor distT="0" distB="0" distL="0" distR="0" allowOverlap="1" layoutInCell="1" locked="0" behindDoc="0" simplePos="0" relativeHeight="15774720">
            <wp:simplePos x="0" y="0"/>
            <wp:positionH relativeFrom="page">
              <wp:posOffset>1431036</wp:posOffset>
            </wp:positionH>
            <wp:positionV relativeFrom="paragraph">
              <wp:posOffset>67616</wp:posOffset>
            </wp:positionV>
            <wp:extent cx="96011" cy="80759"/>
            <wp:effectExtent l="0" t="0" r="0" b="0"/>
            <wp:wrapNone/>
            <wp:docPr id="100" name="Image 100"/>
            <wp:cNvGraphicFramePr>
              <a:graphicFrameLocks/>
            </wp:cNvGraphicFramePr>
            <a:graphic>
              <a:graphicData uri="http://schemas.openxmlformats.org/drawingml/2006/picture">
                <pic:pic>
                  <pic:nvPicPr>
                    <pic:cNvPr id="100" name="Image 100"/>
                    <pic:cNvPicPr/>
                  </pic:nvPicPr>
                  <pic:blipFill>
                    <a:blip r:embed="rId29" cstate="print"/>
                    <a:stretch>
                      <a:fillRect/>
                    </a:stretch>
                  </pic:blipFill>
                  <pic:spPr>
                    <a:xfrm>
                      <a:off x="0" y="0"/>
                      <a:ext cx="96011" cy="80759"/>
                    </a:xfrm>
                    <a:prstGeom prst="rect">
                      <a:avLst/>
                    </a:prstGeom>
                  </pic:spPr>
                </pic:pic>
              </a:graphicData>
            </a:graphic>
          </wp:anchor>
        </w:drawing>
      </w:r>
      <w:bookmarkStart w:name="a. For CommonHealth members with gross i" w:id="221"/>
      <w:bookmarkEnd w:id="221"/>
      <w:r>
        <w:rPr/>
      </w:r>
      <w:r>
        <w:rPr/>
        <w:t>For CommonHealth members with gross income between 133 and 135 percent FPL who are also eligible for Medicare, the Commonwealth may pay the cost of the monthly</w:t>
      </w:r>
      <w:r>
        <w:rPr>
          <w:spacing w:val="-5"/>
        </w:rPr>
        <w:t> </w:t>
      </w:r>
      <w:r>
        <w:rPr/>
        <w:t>Medicare Part B premium until June 30, 2026; provided, however, that the Commonwealth may continue to accept new applicants or re-applicants into the program who apply or reapply on or before December 30, 2025, and any member determined</w:t>
      </w:r>
      <w:r>
        <w:rPr>
          <w:spacing w:val="-3"/>
        </w:rPr>
        <w:t> </w:t>
      </w:r>
      <w:r>
        <w:rPr/>
        <w:t>eligible</w:t>
      </w:r>
      <w:r>
        <w:rPr>
          <w:spacing w:val="-4"/>
        </w:rPr>
        <w:t> </w:t>
      </w:r>
      <w:r>
        <w:rPr/>
        <w:t>for</w:t>
      </w:r>
      <w:r>
        <w:rPr>
          <w:spacing w:val="-4"/>
        </w:rPr>
        <w:t> </w:t>
      </w:r>
      <w:r>
        <w:rPr/>
        <w:t>the</w:t>
      </w:r>
      <w:r>
        <w:rPr>
          <w:spacing w:val="-4"/>
        </w:rPr>
        <w:t> </w:t>
      </w:r>
      <w:r>
        <w:rPr/>
        <w:t>program</w:t>
      </w:r>
      <w:r>
        <w:rPr>
          <w:spacing w:val="-3"/>
        </w:rPr>
        <w:t> </w:t>
      </w:r>
      <w:r>
        <w:rPr/>
        <w:t>prior</w:t>
      </w:r>
      <w:r>
        <w:rPr>
          <w:spacing w:val="-4"/>
        </w:rPr>
        <w:t> </w:t>
      </w:r>
      <w:r>
        <w:rPr/>
        <w:t>June</w:t>
      </w:r>
      <w:r>
        <w:rPr>
          <w:spacing w:val="-4"/>
        </w:rPr>
        <w:t> </w:t>
      </w:r>
      <w:r>
        <w:rPr/>
        <w:t>30,</w:t>
      </w:r>
      <w:r>
        <w:rPr>
          <w:spacing w:val="-3"/>
        </w:rPr>
        <w:t> </w:t>
      </w:r>
      <w:r>
        <w:rPr/>
        <w:t>2026</w:t>
      </w:r>
      <w:r>
        <w:rPr>
          <w:spacing w:val="-3"/>
        </w:rPr>
        <w:t> </w:t>
      </w:r>
      <w:r>
        <w:rPr/>
        <w:t>may</w:t>
      </w:r>
      <w:r>
        <w:rPr>
          <w:spacing w:val="-6"/>
        </w:rPr>
        <w:t> </w:t>
      </w:r>
      <w:r>
        <w:rPr/>
        <w:t>continue</w:t>
      </w:r>
      <w:r>
        <w:rPr>
          <w:spacing w:val="-4"/>
        </w:rPr>
        <w:t> </w:t>
      </w:r>
      <w:r>
        <w:rPr/>
        <w:t>to</w:t>
      </w:r>
      <w:r>
        <w:rPr>
          <w:spacing w:val="-3"/>
        </w:rPr>
        <w:t> </w:t>
      </w:r>
      <w:r>
        <w:rPr/>
        <w:t>be</w:t>
      </w:r>
      <w:r>
        <w:rPr>
          <w:spacing w:val="-2"/>
        </w:rPr>
        <w:t> </w:t>
      </w:r>
      <w:r>
        <w:rPr/>
        <w:t>enrolled until June 30, 2026, provided that they continue to meet all other eligibility requirements.</w:t>
      </w:r>
      <w:r>
        <w:rPr>
          <w:spacing w:val="40"/>
        </w:rPr>
        <w:t> </w:t>
      </w:r>
      <w:r>
        <w:rPr/>
        <w:t>Effective July 1, 2026, the Commonwealth must either discontinue the program, or have submitted and received approval of an amendment to the demonstration for a Part B premium subsidy design that is consistent with all applicable federal legal requirements.</w:t>
      </w:r>
      <w:r>
        <w:rPr>
          <w:spacing w:val="40"/>
        </w:rPr>
        <w:t> </w:t>
      </w:r>
      <w:r>
        <w:rPr/>
        <w:t>Should the Commonwealth decide to discontinue</w:t>
      </w:r>
      <w:r>
        <w:rPr>
          <w:spacing w:val="-3"/>
        </w:rPr>
        <w:t> </w:t>
      </w:r>
      <w:r>
        <w:rPr/>
        <w:t>the</w:t>
      </w:r>
      <w:r>
        <w:rPr>
          <w:spacing w:val="-3"/>
        </w:rPr>
        <w:t> </w:t>
      </w:r>
      <w:r>
        <w:rPr/>
        <w:t>program, it</w:t>
      </w:r>
      <w:r>
        <w:rPr>
          <w:spacing w:val="-2"/>
        </w:rPr>
        <w:t> </w:t>
      </w:r>
      <w:r>
        <w:rPr/>
        <w:t>must</w:t>
      </w:r>
      <w:r>
        <w:rPr>
          <w:spacing w:val="-2"/>
        </w:rPr>
        <w:t> </w:t>
      </w:r>
      <w:r>
        <w:rPr/>
        <w:t>follow</w:t>
      </w:r>
      <w:r>
        <w:rPr>
          <w:spacing w:val="-3"/>
        </w:rPr>
        <w:t> </w:t>
      </w:r>
      <w:r>
        <w:rPr/>
        <w:t>the</w:t>
      </w:r>
      <w:r>
        <w:rPr>
          <w:spacing w:val="-3"/>
        </w:rPr>
        <w:t> </w:t>
      </w:r>
      <w:r>
        <w:rPr/>
        <w:t>phase-out</w:t>
      </w:r>
      <w:r>
        <w:rPr>
          <w:spacing w:val="-2"/>
        </w:rPr>
        <w:t> </w:t>
      </w:r>
      <w:r>
        <w:rPr/>
        <w:t>rules</w:t>
      </w:r>
      <w:r>
        <w:rPr>
          <w:spacing w:val="-2"/>
        </w:rPr>
        <w:t> </w:t>
      </w:r>
      <w:r>
        <w:rPr/>
        <w:t>as</w:t>
      </w:r>
      <w:r>
        <w:rPr>
          <w:spacing w:val="-2"/>
        </w:rPr>
        <w:t> </w:t>
      </w:r>
      <w:r>
        <w:rPr/>
        <w:t>described</w:t>
      </w:r>
      <w:r>
        <w:rPr>
          <w:spacing w:val="-2"/>
        </w:rPr>
        <w:t> </w:t>
      </w:r>
      <w:r>
        <w:rPr/>
        <w:t>in</w:t>
      </w:r>
      <w:r>
        <w:rPr>
          <w:spacing w:val="-2"/>
        </w:rPr>
        <w:t> </w:t>
      </w:r>
      <w:r>
        <w:rPr/>
        <w:t>STC</w:t>
      </w:r>
      <w:r>
        <w:rPr>
          <w:spacing w:val="-2"/>
        </w:rPr>
        <w:t> </w:t>
      </w:r>
      <w:r>
        <w:rPr/>
        <w:t>3.9, and all applicable statutory and regulatory requirements.</w:t>
      </w:r>
    </w:p>
    <w:p>
      <w:pPr>
        <w:pStyle w:val="BodyText"/>
        <w:spacing w:before="11"/>
        <w:rPr>
          <w:sz w:val="20"/>
        </w:rPr>
      </w:pPr>
    </w:p>
    <w:p>
      <w:pPr>
        <w:pStyle w:val="BodyText"/>
        <w:ind w:left="871" w:right="1179"/>
      </w:pPr>
      <w:r>
        <w:rPr/>
        <w:drawing>
          <wp:anchor distT="0" distB="0" distL="0" distR="0" allowOverlap="1" layoutInCell="1" locked="0" behindDoc="0" simplePos="0" relativeHeight="15775232">
            <wp:simplePos x="0" y="0"/>
            <wp:positionH relativeFrom="page">
              <wp:posOffset>975359</wp:posOffset>
            </wp:positionH>
            <wp:positionV relativeFrom="paragraph">
              <wp:posOffset>37123</wp:posOffset>
            </wp:positionV>
            <wp:extent cx="217931" cy="111251"/>
            <wp:effectExtent l="0" t="0" r="0" b="0"/>
            <wp:wrapNone/>
            <wp:docPr id="101" name="Image 101"/>
            <wp:cNvGraphicFramePr>
              <a:graphicFrameLocks/>
            </wp:cNvGraphicFramePr>
            <a:graphic>
              <a:graphicData uri="http://schemas.openxmlformats.org/drawingml/2006/picture">
                <pic:pic>
                  <pic:nvPicPr>
                    <pic:cNvPr id="101" name="Image 101"/>
                    <pic:cNvPicPr/>
                  </pic:nvPicPr>
                  <pic:blipFill>
                    <a:blip r:embed="rId79" cstate="print"/>
                    <a:stretch>
                      <a:fillRect/>
                    </a:stretch>
                  </pic:blipFill>
                  <pic:spPr>
                    <a:xfrm>
                      <a:off x="0" y="0"/>
                      <a:ext cx="217931" cy="111251"/>
                    </a:xfrm>
                    <a:prstGeom prst="rect">
                      <a:avLst/>
                    </a:prstGeom>
                  </pic:spPr>
                </pic:pic>
              </a:graphicData>
            </a:graphic>
          </wp:anchor>
        </w:drawing>
      </w:r>
      <w:bookmarkStart w:name="5.7. MassHealth Family Assistance.  Indi" w:id="222"/>
      <w:bookmarkEnd w:id="222"/>
      <w:r>
        <w:rPr/>
      </w:r>
      <w:r>
        <w:rPr>
          <w:b/>
        </w:rPr>
        <w:t>MassHealth Family Assistance.</w:t>
      </w:r>
      <w:r>
        <w:rPr>
          <w:b/>
          <w:spacing w:val="40"/>
        </w:rPr>
        <w:t> </w:t>
      </w:r>
      <w:r>
        <w:rPr/>
        <w:t>Individuals enrolled in Family Assistance receive benefits similar to those provided under MassHealth Standard.</w:t>
      </w:r>
      <w:r>
        <w:rPr>
          <w:spacing w:val="40"/>
        </w:rPr>
        <w:t> </w:t>
      </w:r>
      <w:r>
        <w:rPr/>
        <w:t>Among other things, individuals enrolled in Family Assistance receive additional demonstration benefits specifically</w:t>
      </w:r>
      <w:r>
        <w:rPr>
          <w:spacing w:val="-9"/>
        </w:rPr>
        <w:t> </w:t>
      </w:r>
      <w:r>
        <w:rPr/>
        <w:t>authorized</w:t>
      </w:r>
      <w:r>
        <w:rPr>
          <w:spacing w:val="-4"/>
        </w:rPr>
        <w:t> </w:t>
      </w:r>
      <w:r>
        <w:rPr/>
        <w:t>in</w:t>
      </w:r>
      <w:r>
        <w:rPr>
          <w:spacing w:val="-2"/>
        </w:rPr>
        <w:t> </w:t>
      </w:r>
      <w:r>
        <w:rPr/>
        <w:t>demonstration</w:t>
      </w:r>
      <w:r>
        <w:rPr>
          <w:spacing w:val="-4"/>
        </w:rPr>
        <w:t> </w:t>
      </w:r>
      <w:r>
        <w:rPr/>
        <w:t>expenditure</w:t>
      </w:r>
      <w:r>
        <w:rPr>
          <w:spacing w:val="-5"/>
        </w:rPr>
        <w:t> </w:t>
      </w:r>
      <w:r>
        <w:rPr/>
        <w:t>authorities.</w:t>
      </w:r>
      <w:r>
        <w:rPr>
          <w:spacing w:val="40"/>
        </w:rPr>
        <w:t> </w:t>
      </w:r>
      <w:r>
        <w:rPr/>
        <w:t>The</w:t>
      </w:r>
      <w:r>
        <w:rPr>
          <w:spacing w:val="-5"/>
        </w:rPr>
        <w:t> </w:t>
      </w:r>
      <w:r>
        <w:rPr/>
        <w:t>Commonwealth may waive its requirement for children with access to ESI to enroll in ESI if the</w:t>
      </w:r>
    </w:p>
    <w:p>
      <w:pPr>
        <w:spacing w:after="0"/>
        <w:sectPr>
          <w:pgSz w:w="12240" w:h="15840"/>
          <w:pgMar w:header="0" w:footer="1201" w:top="1360" w:bottom="1400" w:left="1200" w:right="400"/>
        </w:sectPr>
      </w:pPr>
    </w:p>
    <w:p>
      <w:pPr>
        <w:pStyle w:val="BodyText"/>
        <w:spacing w:before="79"/>
        <w:ind w:left="871" w:right="1086"/>
      </w:pPr>
      <w:r>
        <w:rPr/>
        <w:t>Commonwealth determines it is more cost effective to provide benefits under direct Family Assistance coverage than to provide premium assistance.</w:t>
      </w:r>
      <w:r>
        <w:rPr>
          <w:spacing w:val="40"/>
        </w:rPr>
        <w:t> </w:t>
      </w:r>
      <w:r>
        <w:rPr/>
        <w:t>For individuals who derive their Family</w:t>
      </w:r>
      <w:r>
        <w:rPr>
          <w:spacing w:val="-1"/>
        </w:rPr>
        <w:t> </w:t>
      </w:r>
      <w:r>
        <w:rPr/>
        <w:t>Assistance benefits via the 1115 demonstration and who are on direct coverage,</w:t>
      </w:r>
      <w:r>
        <w:rPr>
          <w:spacing w:val="-3"/>
        </w:rPr>
        <w:t> </w:t>
      </w:r>
      <w:r>
        <w:rPr/>
        <w:t>premium</w:t>
      </w:r>
      <w:r>
        <w:rPr>
          <w:spacing w:val="-3"/>
        </w:rPr>
        <w:t> </w:t>
      </w:r>
      <w:r>
        <w:rPr/>
        <w:t>assistance</w:t>
      </w:r>
      <w:r>
        <w:rPr>
          <w:spacing w:val="-4"/>
        </w:rPr>
        <w:t> </w:t>
      </w:r>
      <w:r>
        <w:rPr/>
        <w:t>will</w:t>
      </w:r>
      <w:r>
        <w:rPr>
          <w:spacing w:val="-3"/>
        </w:rPr>
        <w:t> </w:t>
      </w:r>
      <w:r>
        <w:rPr/>
        <w:t>be</w:t>
      </w:r>
      <w:r>
        <w:rPr>
          <w:spacing w:val="-4"/>
        </w:rPr>
        <w:t> </w:t>
      </w:r>
      <w:r>
        <w:rPr/>
        <w:t>furnished</w:t>
      </w:r>
      <w:r>
        <w:rPr>
          <w:spacing w:val="-3"/>
        </w:rPr>
        <w:t> </w:t>
      </w:r>
      <w:r>
        <w:rPr/>
        <w:t>in</w:t>
      </w:r>
      <w:r>
        <w:rPr>
          <w:spacing w:val="-1"/>
        </w:rPr>
        <w:t> </w:t>
      </w:r>
      <w:r>
        <w:rPr/>
        <w:t>accordance</w:t>
      </w:r>
      <w:r>
        <w:rPr>
          <w:spacing w:val="-4"/>
        </w:rPr>
        <w:t> </w:t>
      </w:r>
      <w:r>
        <w:rPr/>
        <w:t>with</w:t>
      </w:r>
      <w:r>
        <w:rPr>
          <w:spacing w:val="-3"/>
        </w:rPr>
        <w:t> </w:t>
      </w:r>
      <w:r>
        <w:rPr/>
        <w:t>STC</w:t>
      </w:r>
      <w:r>
        <w:rPr>
          <w:spacing w:val="-3"/>
        </w:rPr>
        <w:t> </w:t>
      </w:r>
      <w:r>
        <w:rPr/>
        <w:t>8.13</w:t>
      </w:r>
      <w:r>
        <w:rPr>
          <w:spacing w:val="-3"/>
        </w:rPr>
        <w:t> </w:t>
      </w:r>
      <w:r>
        <w:rPr/>
        <w:t>and</w:t>
      </w:r>
      <w:r>
        <w:rPr>
          <w:spacing w:val="-3"/>
        </w:rPr>
        <w:t> </w:t>
      </w:r>
      <w:r>
        <w:rPr/>
        <w:t>Table</w:t>
      </w:r>
      <w:r>
        <w:rPr>
          <w:spacing w:val="-4"/>
        </w:rPr>
        <w:t> </w:t>
      </w:r>
      <w:r>
        <w:rPr/>
        <w:t>9. There are two separate categories of eligibility under Family Assistance:</w:t>
      </w:r>
    </w:p>
    <w:p>
      <w:pPr>
        <w:pStyle w:val="BodyText"/>
        <w:spacing w:before="10"/>
        <w:rPr>
          <w:sz w:val="20"/>
        </w:rPr>
      </w:pPr>
    </w:p>
    <w:p>
      <w:pPr>
        <w:pStyle w:val="BodyText"/>
        <w:ind w:left="1411" w:right="1086"/>
      </w:pPr>
      <w:r>
        <w:rPr/>
        <w:drawing>
          <wp:anchor distT="0" distB="0" distL="0" distR="0" allowOverlap="1" layoutInCell="1" locked="0" behindDoc="0" simplePos="0" relativeHeight="15775744">
            <wp:simplePos x="0" y="0"/>
            <wp:positionH relativeFrom="page">
              <wp:posOffset>1431036</wp:posOffset>
            </wp:positionH>
            <wp:positionV relativeFrom="paragraph">
              <wp:posOffset>67616</wp:posOffset>
            </wp:positionV>
            <wp:extent cx="96011" cy="80759"/>
            <wp:effectExtent l="0" t="0" r="0" b="0"/>
            <wp:wrapNone/>
            <wp:docPr id="102" name="Image 102"/>
            <wp:cNvGraphicFramePr>
              <a:graphicFrameLocks/>
            </wp:cNvGraphicFramePr>
            <a:graphic>
              <a:graphicData uri="http://schemas.openxmlformats.org/drawingml/2006/picture">
                <pic:pic>
                  <pic:nvPicPr>
                    <pic:cNvPr id="102" name="Image 102"/>
                    <pic:cNvPicPr/>
                  </pic:nvPicPr>
                  <pic:blipFill>
                    <a:blip r:embed="rId29" cstate="print"/>
                    <a:stretch>
                      <a:fillRect/>
                    </a:stretch>
                  </pic:blipFill>
                  <pic:spPr>
                    <a:xfrm>
                      <a:off x="0" y="0"/>
                      <a:ext cx="96011" cy="80759"/>
                    </a:xfrm>
                    <a:prstGeom prst="rect">
                      <a:avLst/>
                    </a:prstGeom>
                  </pic:spPr>
                </pic:pic>
              </a:graphicData>
            </a:graphic>
          </wp:anchor>
        </w:drawing>
      </w:r>
      <w:bookmarkStart w:name="a. Family Assistance-HIV/AIDS.  As refer" w:id="223"/>
      <w:bookmarkEnd w:id="223"/>
      <w:r>
        <w:rPr/>
      </w:r>
      <w:r>
        <w:rPr>
          <w:b/>
        </w:rPr>
        <w:t>Family Assistance-HIV/AIDS.</w:t>
      </w:r>
      <w:r>
        <w:rPr>
          <w:b/>
          <w:spacing w:val="40"/>
        </w:rPr>
        <w:t> </w:t>
      </w:r>
      <w:r>
        <w:rPr/>
        <w:t>As referenced in Table 3 above, for persons with HIV/AIDS</w:t>
      </w:r>
      <w:r>
        <w:rPr>
          <w:spacing w:val="-3"/>
        </w:rPr>
        <w:t> </w:t>
      </w:r>
      <w:r>
        <w:rPr/>
        <w:t>whose</w:t>
      </w:r>
      <w:r>
        <w:rPr>
          <w:spacing w:val="-4"/>
        </w:rPr>
        <w:t> </w:t>
      </w:r>
      <w:r>
        <w:rPr/>
        <w:t>income</w:t>
      </w:r>
      <w:r>
        <w:rPr>
          <w:spacing w:val="-4"/>
        </w:rPr>
        <w:t> </w:t>
      </w:r>
      <w:r>
        <w:rPr/>
        <w:t>is</w:t>
      </w:r>
      <w:r>
        <w:rPr>
          <w:spacing w:val="-3"/>
        </w:rPr>
        <w:t> </w:t>
      </w:r>
      <w:r>
        <w:rPr/>
        <w:t>above</w:t>
      </w:r>
      <w:r>
        <w:rPr>
          <w:spacing w:val="-4"/>
        </w:rPr>
        <w:t> </w:t>
      </w:r>
      <w:r>
        <w:rPr/>
        <w:t>133</w:t>
      </w:r>
      <w:r>
        <w:rPr>
          <w:spacing w:val="-3"/>
        </w:rPr>
        <w:t> </w:t>
      </w:r>
      <w:r>
        <w:rPr/>
        <w:t>percent</w:t>
      </w:r>
      <w:r>
        <w:rPr>
          <w:spacing w:val="-1"/>
        </w:rPr>
        <w:t> </w:t>
      </w:r>
      <w:r>
        <w:rPr/>
        <w:t>and</w:t>
      </w:r>
      <w:r>
        <w:rPr>
          <w:spacing w:val="-3"/>
        </w:rPr>
        <w:t> </w:t>
      </w:r>
      <w:r>
        <w:rPr/>
        <w:t>less</w:t>
      </w:r>
      <w:r>
        <w:rPr>
          <w:spacing w:val="-3"/>
        </w:rPr>
        <w:t> </w:t>
      </w:r>
      <w:r>
        <w:rPr/>
        <w:t>than</w:t>
      </w:r>
      <w:r>
        <w:rPr>
          <w:spacing w:val="-3"/>
        </w:rPr>
        <w:t> </w:t>
      </w:r>
      <w:r>
        <w:rPr/>
        <w:t>or</w:t>
      </w:r>
      <w:r>
        <w:rPr>
          <w:spacing w:val="-4"/>
        </w:rPr>
        <w:t> </w:t>
      </w:r>
      <w:r>
        <w:rPr/>
        <w:t>equal</w:t>
      </w:r>
      <w:r>
        <w:rPr>
          <w:spacing w:val="-3"/>
        </w:rPr>
        <w:t> </w:t>
      </w:r>
      <w:r>
        <w:rPr/>
        <w:t>to</w:t>
      </w:r>
      <w:r>
        <w:rPr>
          <w:spacing w:val="-3"/>
        </w:rPr>
        <w:t> </w:t>
      </w:r>
      <w:r>
        <w:rPr/>
        <w:t>200</w:t>
      </w:r>
      <w:r>
        <w:rPr>
          <w:spacing w:val="-3"/>
        </w:rPr>
        <w:t> </w:t>
      </w:r>
      <w:r>
        <w:rPr/>
        <w:t>percent of</w:t>
      </w:r>
      <w:r>
        <w:rPr>
          <w:spacing w:val="-2"/>
        </w:rPr>
        <w:t> </w:t>
      </w:r>
      <w:r>
        <w:rPr/>
        <w:t>the</w:t>
      </w:r>
      <w:r>
        <w:rPr>
          <w:spacing w:val="-2"/>
        </w:rPr>
        <w:t> </w:t>
      </w:r>
      <w:r>
        <w:rPr/>
        <w:t>FPL</w:t>
      </w:r>
      <w:r>
        <w:rPr>
          <w:spacing w:val="-4"/>
        </w:rPr>
        <w:t> </w:t>
      </w:r>
      <w:r>
        <w:rPr/>
        <w:t>would</w:t>
      </w:r>
      <w:r>
        <w:rPr>
          <w:spacing w:val="-1"/>
        </w:rPr>
        <w:t> </w:t>
      </w:r>
      <w:r>
        <w:rPr/>
        <w:t>be eligible</w:t>
      </w:r>
      <w:r>
        <w:rPr>
          <w:spacing w:val="-2"/>
        </w:rPr>
        <w:t> </w:t>
      </w:r>
      <w:r>
        <w:rPr/>
        <w:t>for</w:t>
      </w:r>
      <w:r>
        <w:rPr>
          <w:spacing w:val="-2"/>
        </w:rPr>
        <w:t> </w:t>
      </w:r>
      <w:r>
        <w:rPr/>
        <w:t>the</w:t>
      </w:r>
      <w:r>
        <w:rPr>
          <w:spacing w:val="-2"/>
        </w:rPr>
        <w:t> </w:t>
      </w:r>
      <w:r>
        <w:rPr/>
        <w:t>Adult</w:t>
      </w:r>
      <w:r>
        <w:rPr>
          <w:spacing w:val="-1"/>
        </w:rPr>
        <w:t> </w:t>
      </w:r>
      <w:r>
        <w:rPr/>
        <w:t>Group (MassHealth</w:t>
      </w:r>
      <w:r>
        <w:rPr>
          <w:spacing w:val="-1"/>
        </w:rPr>
        <w:t> </w:t>
      </w:r>
      <w:r>
        <w:rPr/>
        <w:t>CarePlus)</w:t>
      </w:r>
      <w:r>
        <w:rPr>
          <w:spacing w:val="-2"/>
        </w:rPr>
        <w:t> </w:t>
      </w:r>
      <w:r>
        <w:rPr/>
        <w:t>but</w:t>
      </w:r>
      <w:r>
        <w:rPr>
          <w:spacing w:val="-1"/>
        </w:rPr>
        <w:t> </w:t>
      </w:r>
      <w:r>
        <w:rPr/>
        <w:t>for</w:t>
      </w:r>
      <w:r>
        <w:rPr>
          <w:spacing w:val="-2"/>
        </w:rPr>
        <w:t> </w:t>
      </w:r>
      <w:r>
        <w:rPr/>
        <w:t>the income limit.</w:t>
      </w:r>
      <w:r>
        <w:rPr>
          <w:spacing w:val="40"/>
        </w:rPr>
        <w:t> </w:t>
      </w:r>
      <w:r>
        <w:rPr/>
        <w:t>Unlike other coverage types, persons with HIV who have access to ESI do not have to enroll in available ESI; however, if they choose to receive premium assistance, the Commonwealth will provide covered services that are not available from the ESI plan on a fee-for-service (FFS) basis.</w:t>
      </w:r>
    </w:p>
    <w:p>
      <w:pPr>
        <w:pStyle w:val="BodyText"/>
        <w:spacing w:before="10"/>
        <w:rPr>
          <w:sz w:val="20"/>
        </w:rPr>
      </w:pPr>
    </w:p>
    <w:p>
      <w:pPr>
        <w:pStyle w:val="BodyText"/>
        <w:ind w:left="1411" w:right="1072"/>
      </w:pPr>
      <w:r>
        <w:rPr/>
        <w:drawing>
          <wp:anchor distT="0" distB="0" distL="0" distR="0" allowOverlap="1" layoutInCell="1" locked="0" behindDoc="0" simplePos="0" relativeHeight="15776256">
            <wp:simplePos x="0" y="0"/>
            <wp:positionH relativeFrom="page">
              <wp:posOffset>1424939</wp:posOffset>
            </wp:positionH>
            <wp:positionV relativeFrom="paragraph">
              <wp:posOffset>32551</wp:posOffset>
            </wp:positionV>
            <wp:extent cx="111251" cy="115823"/>
            <wp:effectExtent l="0" t="0" r="0" b="0"/>
            <wp:wrapNone/>
            <wp:docPr id="103" name="Image 103"/>
            <wp:cNvGraphicFramePr>
              <a:graphicFrameLocks/>
            </wp:cNvGraphicFramePr>
            <a:graphic>
              <a:graphicData uri="http://schemas.openxmlformats.org/drawingml/2006/picture">
                <pic:pic>
                  <pic:nvPicPr>
                    <pic:cNvPr id="103" name="Image 103"/>
                    <pic:cNvPicPr/>
                  </pic:nvPicPr>
                  <pic:blipFill>
                    <a:blip r:embed="rId34" cstate="print"/>
                    <a:stretch>
                      <a:fillRect/>
                    </a:stretch>
                  </pic:blipFill>
                  <pic:spPr>
                    <a:xfrm>
                      <a:off x="0" y="0"/>
                      <a:ext cx="111251" cy="115823"/>
                    </a:xfrm>
                    <a:prstGeom prst="rect">
                      <a:avLst/>
                    </a:prstGeom>
                  </pic:spPr>
                </pic:pic>
              </a:graphicData>
            </a:graphic>
          </wp:anchor>
        </w:drawing>
      </w:r>
      <w:bookmarkStart w:name="b. Family Assistance-Children.  As refer" w:id="224"/>
      <w:bookmarkEnd w:id="224"/>
      <w:r>
        <w:rPr/>
      </w:r>
      <w:r>
        <w:rPr>
          <w:b/>
        </w:rPr>
        <w:t>Family Assistance-Children.</w:t>
      </w:r>
      <w:r>
        <w:rPr>
          <w:b/>
          <w:spacing w:val="40"/>
        </w:rPr>
        <w:t> </w:t>
      </w:r>
      <w:r>
        <w:rPr/>
        <w:t>As referenced in table 3 above, children can be enrolled in Family</w:t>
      </w:r>
      <w:r>
        <w:rPr>
          <w:spacing w:val="-1"/>
        </w:rPr>
        <w:t> </w:t>
      </w:r>
      <w:r>
        <w:rPr/>
        <w:t>Assistance if their family’s income is above 150 percent and less than or equal to 300 percent FPL under the Title XXI State Plan if uninsured at application, and under the 1115 Demonstration if insured at application or when the CHIP allotment has been exhausted.</w:t>
      </w:r>
      <w:r>
        <w:rPr>
          <w:spacing w:val="40"/>
        </w:rPr>
        <w:t> </w:t>
      </w:r>
      <w:r>
        <w:rPr/>
        <w:t>Benefits are provided either through direct coverage or cost-effective premium assistance.</w:t>
      </w:r>
      <w:r>
        <w:rPr>
          <w:spacing w:val="40"/>
        </w:rPr>
        <w:t> </w:t>
      </w:r>
      <w:r>
        <w:rPr/>
        <w:t>Direct coverage Family Assistance under</w:t>
      </w:r>
      <w:r>
        <w:rPr>
          <w:spacing w:val="-3"/>
        </w:rPr>
        <w:t> </w:t>
      </w:r>
      <w:r>
        <w:rPr/>
        <w:t>the</w:t>
      </w:r>
      <w:r>
        <w:rPr>
          <w:spacing w:val="-3"/>
        </w:rPr>
        <w:t> </w:t>
      </w:r>
      <w:r>
        <w:rPr/>
        <w:t>title</w:t>
      </w:r>
      <w:r>
        <w:rPr>
          <w:spacing w:val="-3"/>
        </w:rPr>
        <w:t> </w:t>
      </w:r>
      <w:r>
        <w:rPr/>
        <w:t>XXI</w:t>
      </w:r>
      <w:r>
        <w:rPr>
          <w:spacing w:val="-6"/>
        </w:rPr>
        <w:t> </w:t>
      </w:r>
      <w:r>
        <w:rPr/>
        <w:t>program</w:t>
      </w:r>
      <w:r>
        <w:rPr>
          <w:spacing w:val="-2"/>
        </w:rPr>
        <w:t> </w:t>
      </w:r>
      <w:r>
        <w:rPr/>
        <w:t>is</w:t>
      </w:r>
      <w:r>
        <w:rPr>
          <w:spacing w:val="-2"/>
        </w:rPr>
        <w:t> </w:t>
      </w:r>
      <w:r>
        <w:rPr/>
        <w:t>provided</w:t>
      </w:r>
      <w:r>
        <w:rPr>
          <w:spacing w:val="-2"/>
        </w:rPr>
        <w:t> </w:t>
      </w:r>
      <w:r>
        <w:rPr/>
        <w:t>through an</w:t>
      </w:r>
      <w:r>
        <w:rPr>
          <w:spacing w:val="-2"/>
        </w:rPr>
        <w:t> </w:t>
      </w:r>
      <w:r>
        <w:rPr/>
        <w:t>MCO,</w:t>
      </w:r>
      <w:r>
        <w:rPr>
          <w:spacing w:val="-2"/>
        </w:rPr>
        <w:t> </w:t>
      </w:r>
      <w:r>
        <w:rPr/>
        <w:t>ACO,</w:t>
      </w:r>
      <w:r>
        <w:rPr>
          <w:spacing w:val="-2"/>
        </w:rPr>
        <w:t> </w:t>
      </w:r>
      <w:r>
        <w:rPr/>
        <w:t>or</w:t>
      </w:r>
      <w:r>
        <w:rPr>
          <w:spacing w:val="-3"/>
        </w:rPr>
        <w:t> </w:t>
      </w:r>
      <w:r>
        <w:rPr/>
        <w:t>the</w:t>
      </w:r>
      <w:r>
        <w:rPr>
          <w:spacing w:val="-3"/>
        </w:rPr>
        <w:t> </w:t>
      </w:r>
      <w:r>
        <w:rPr/>
        <w:t>PCC</w:t>
      </w:r>
      <w:r>
        <w:rPr>
          <w:spacing w:val="-2"/>
        </w:rPr>
        <w:t> </w:t>
      </w:r>
      <w:r>
        <w:rPr/>
        <w:t>plan</w:t>
      </w:r>
      <w:r>
        <w:rPr>
          <w:spacing w:val="-2"/>
        </w:rPr>
        <w:t> </w:t>
      </w:r>
      <w:r>
        <w:rPr/>
        <w:t>for children</w:t>
      </w:r>
      <w:r>
        <w:rPr>
          <w:spacing w:val="-3"/>
        </w:rPr>
        <w:t> </w:t>
      </w:r>
      <w:r>
        <w:rPr/>
        <w:t>without</w:t>
      </w:r>
      <w:r>
        <w:rPr>
          <w:spacing w:val="-3"/>
        </w:rPr>
        <w:t> </w:t>
      </w:r>
      <w:r>
        <w:rPr/>
        <w:t>access</w:t>
      </w:r>
      <w:r>
        <w:rPr>
          <w:spacing w:val="-3"/>
        </w:rPr>
        <w:t> </w:t>
      </w:r>
      <w:r>
        <w:rPr/>
        <w:t>to</w:t>
      </w:r>
      <w:r>
        <w:rPr>
          <w:spacing w:val="-3"/>
        </w:rPr>
        <w:t> </w:t>
      </w:r>
      <w:r>
        <w:rPr/>
        <w:t>ESI.</w:t>
      </w:r>
      <w:r>
        <w:rPr>
          <w:spacing w:val="40"/>
        </w:rPr>
        <w:t> </w:t>
      </w:r>
      <w:r>
        <w:rPr/>
        <w:t>Premium</w:t>
      </w:r>
      <w:r>
        <w:rPr>
          <w:spacing w:val="-3"/>
        </w:rPr>
        <w:t> </w:t>
      </w:r>
      <w:r>
        <w:rPr/>
        <w:t>Assistance</w:t>
      </w:r>
      <w:r>
        <w:rPr>
          <w:spacing w:val="-4"/>
        </w:rPr>
        <w:t> </w:t>
      </w:r>
      <w:r>
        <w:rPr/>
        <w:t>benefits</w:t>
      </w:r>
      <w:r>
        <w:rPr>
          <w:spacing w:val="-3"/>
        </w:rPr>
        <w:t> </w:t>
      </w:r>
      <w:r>
        <w:rPr/>
        <w:t>are</w:t>
      </w:r>
      <w:r>
        <w:rPr>
          <w:spacing w:val="-4"/>
        </w:rPr>
        <w:t> </w:t>
      </w:r>
      <w:r>
        <w:rPr/>
        <w:t>limited</w:t>
      </w:r>
      <w:r>
        <w:rPr>
          <w:spacing w:val="-3"/>
        </w:rPr>
        <w:t> </w:t>
      </w:r>
      <w:r>
        <w:rPr/>
        <w:t>to</w:t>
      </w:r>
      <w:r>
        <w:rPr>
          <w:spacing w:val="-3"/>
        </w:rPr>
        <w:t> </w:t>
      </w:r>
      <w:r>
        <w:rPr/>
        <w:t>premium assistance for ESI, to the extent that ESI is available to these children that is cost- effective, meets a basic benefit level (BBL), and for which the employer contributes at least 50 percent of the premium cost.</w:t>
      </w:r>
      <w:r>
        <w:rPr>
          <w:spacing w:val="40"/>
        </w:rPr>
        <w:t> </w:t>
      </w:r>
      <w:r>
        <w:rPr/>
        <w:t>Premium assistance may</w:t>
      </w:r>
      <w:r>
        <w:rPr>
          <w:spacing w:val="-2"/>
        </w:rPr>
        <w:t> </w:t>
      </w:r>
      <w:r>
        <w:rPr/>
        <w:t>exceed the cost of child-only coverage and include family coverage if cost effective based on the child’s coverage.</w:t>
      </w:r>
      <w:r>
        <w:rPr>
          <w:spacing w:val="40"/>
        </w:rPr>
        <w:t> </w:t>
      </w:r>
      <w:r>
        <w:rPr/>
        <w:t>Direct coverage is provided for children with access to cost effective ESI that meets the BBL only during the provisional eligibility period and the time span while the Commonwealth is investigating availability</w:t>
      </w:r>
      <w:r>
        <w:rPr>
          <w:spacing w:val="-1"/>
        </w:rPr>
        <w:t> </w:t>
      </w:r>
      <w:r>
        <w:rPr/>
        <w:t>of and enrolling the child in ESI.</w:t>
      </w:r>
    </w:p>
    <w:p>
      <w:pPr>
        <w:pStyle w:val="BodyText"/>
        <w:spacing w:before="10"/>
        <w:rPr>
          <w:sz w:val="20"/>
        </w:rPr>
      </w:pPr>
    </w:p>
    <w:p>
      <w:pPr>
        <w:pStyle w:val="BodyText"/>
        <w:spacing w:before="1"/>
        <w:ind w:left="871" w:right="1059"/>
      </w:pPr>
      <w:r>
        <w:rPr/>
        <w:drawing>
          <wp:anchor distT="0" distB="0" distL="0" distR="0" allowOverlap="1" layoutInCell="1" locked="0" behindDoc="0" simplePos="0" relativeHeight="15776768">
            <wp:simplePos x="0" y="0"/>
            <wp:positionH relativeFrom="page">
              <wp:posOffset>975359</wp:posOffset>
            </wp:positionH>
            <wp:positionV relativeFrom="paragraph">
              <wp:posOffset>36234</wp:posOffset>
            </wp:positionV>
            <wp:extent cx="217931" cy="112775"/>
            <wp:effectExtent l="0" t="0" r="0" b="0"/>
            <wp:wrapNone/>
            <wp:docPr id="104" name="Image 104"/>
            <wp:cNvGraphicFramePr>
              <a:graphicFrameLocks/>
            </wp:cNvGraphicFramePr>
            <a:graphic>
              <a:graphicData uri="http://schemas.openxmlformats.org/drawingml/2006/picture">
                <pic:pic>
                  <pic:nvPicPr>
                    <pic:cNvPr id="104" name="Image 104"/>
                    <pic:cNvPicPr/>
                  </pic:nvPicPr>
                  <pic:blipFill>
                    <a:blip r:embed="rId80" cstate="print"/>
                    <a:stretch>
                      <a:fillRect/>
                    </a:stretch>
                  </pic:blipFill>
                  <pic:spPr>
                    <a:xfrm>
                      <a:off x="0" y="0"/>
                      <a:ext cx="217931" cy="112775"/>
                    </a:xfrm>
                    <a:prstGeom prst="rect">
                      <a:avLst/>
                    </a:prstGeom>
                  </pic:spPr>
                </pic:pic>
              </a:graphicData>
            </a:graphic>
          </wp:anchor>
        </w:drawing>
      </w:r>
      <w:bookmarkStart w:name="5.8. MassHealth Limited.  Individuals ar" w:id="225"/>
      <w:bookmarkEnd w:id="225"/>
      <w:r>
        <w:rPr/>
      </w:r>
      <w:r>
        <w:rPr>
          <w:b/>
        </w:rPr>
        <w:t>MassHealth Limited.</w:t>
      </w:r>
      <w:r>
        <w:rPr>
          <w:b/>
          <w:spacing w:val="40"/>
        </w:rPr>
        <w:t> </w:t>
      </w:r>
      <w:r>
        <w:rPr/>
        <w:t>Individuals are enrolled in Limited if they are federally non- qualified non-citizens, whose immigration status makes them ineligible for other MassHealth</w:t>
      </w:r>
      <w:r>
        <w:rPr>
          <w:spacing w:val="-4"/>
        </w:rPr>
        <w:t> </w:t>
      </w:r>
      <w:r>
        <w:rPr/>
        <w:t>programs</w:t>
      </w:r>
      <w:r>
        <w:rPr>
          <w:spacing w:val="-4"/>
        </w:rPr>
        <w:t> </w:t>
      </w:r>
      <w:r>
        <w:rPr/>
        <w:t>under</w:t>
      </w:r>
      <w:r>
        <w:rPr>
          <w:spacing w:val="-5"/>
        </w:rPr>
        <w:t> </w:t>
      </w:r>
      <w:r>
        <w:rPr/>
        <w:t>the</w:t>
      </w:r>
      <w:r>
        <w:rPr>
          <w:spacing w:val="-5"/>
        </w:rPr>
        <w:t> </w:t>
      </w:r>
      <w:r>
        <w:rPr/>
        <w:t>state</w:t>
      </w:r>
      <w:r>
        <w:rPr>
          <w:spacing w:val="-5"/>
        </w:rPr>
        <w:t> </w:t>
      </w:r>
      <w:r>
        <w:rPr/>
        <w:t>plan.</w:t>
      </w:r>
      <w:r>
        <w:rPr>
          <w:spacing w:val="40"/>
        </w:rPr>
        <w:t> </w:t>
      </w:r>
      <w:r>
        <w:rPr/>
        <w:t>These</w:t>
      </w:r>
      <w:r>
        <w:rPr>
          <w:spacing w:val="-3"/>
        </w:rPr>
        <w:t> </w:t>
      </w:r>
      <w:r>
        <w:rPr/>
        <w:t>individuals</w:t>
      </w:r>
      <w:r>
        <w:rPr>
          <w:spacing w:val="-4"/>
        </w:rPr>
        <w:t> </w:t>
      </w:r>
      <w:r>
        <w:rPr/>
        <w:t>receive</w:t>
      </w:r>
      <w:r>
        <w:rPr>
          <w:spacing w:val="-3"/>
        </w:rPr>
        <w:t> </w:t>
      </w:r>
      <w:r>
        <w:rPr/>
        <w:t>emergency</w:t>
      </w:r>
      <w:r>
        <w:rPr>
          <w:spacing w:val="-8"/>
        </w:rPr>
        <w:t> </w:t>
      </w:r>
      <w:r>
        <w:rPr/>
        <w:t>medical services only as described in 42 C.F.R. 440.255.</w:t>
      </w:r>
    </w:p>
    <w:p>
      <w:pPr>
        <w:pStyle w:val="BodyText"/>
        <w:spacing w:before="9"/>
        <w:rPr>
          <w:sz w:val="20"/>
        </w:rPr>
      </w:pPr>
    </w:p>
    <w:p>
      <w:pPr>
        <w:pStyle w:val="BodyText"/>
        <w:spacing w:before="1"/>
        <w:ind w:left="871" w:right="1179"/>
      </w:pPr>
      <w:r>
        <w:rPr/>
        <w:drawing>
          <wp:anchor distT="0" distB="0" distL="0" distR="0" allowOverlap="1" layoutInCell="1" locked="0" behindDoc="0" simplePos="0" relativeHeight="15777280">
            <wp:simplePos x="0" y="0"/>
            <wp:positionH relativeFrom="page">
              <wp:posOffset>975360</wp:posOffset>
            </wp:positionH>
            <wp:positionV relativeFrom="paragraph">
              <wp:posOffset>36247</wp:posOffset>
            </wp:positionV>
            <wp:extent cx="217931" cy="112763"/>
            <wp:effectExtent l="0" t="0" r="0" b="0"/>
            <wp:wrapNone/>
            <wp:docPr id="105" name="Image 105"/>
            <wp:cNvGraphicFramePr>
              <a:graphicFrameLocks/>
            </wp:cNvGraphicFramePr>
            <a:graphic>
              <a:graphicData uri="http://schemas.openxmlformats.org/drawingml/2006/picture">
                <pic:pic>
                  <pic:nvPicPr>
                    <pic:cNvPr id="105" name="Image 105"/>
                    <pic:cNvPicPr/>
                  </pic:nvPicPr>
                  <pic:blipFill>
                    <a:blip r:embed="rId81" cstate="print"/>
                    <a:stretch>
                      <a:fillRect/>
                    </a:stretch>
                  </pic:blipFill>
                  <pic:spPr>
                    <a:xfrm>
                      <a:off x="0" y="0"/>
                      <a:ext cx="217931" cy="112763"/>
                    </a:xfrm>
                    <a:prstGeom prst="rect">
                      <a:avLst/>
                    </a:prstGeom>
                  </pic:spPr>
                </pic:pic>
              </a:graphicData>
            </a:graphic>
          </wp:anchor>
        </w:drawing>
      </w:r>
      <w:bookmarkStart w:name="5.9. Former Foster Care Youth.  Individu" w:id="226"/>
      <w:bookmarkEnd w:id="226"/>
      <w:r>
        <w:rPr/>
      </w:r>
      <w:r>
        <w:rPr>
          <w:b/>
        </w:rPr>
        <w:t>Former Foster Care Youth.</w:t>
      </w:r>
      <w:r>
        <w:rPr>
          <w:b/>
          <w:spacing w:val="40"/>
        </w:rPr>
        <w:t> </w:t>
      </w:r>
      <w:r>
        <w:rPr/>
        <w:t>Individuals enrolled as "Former Foster Care Youth" (both in-</w:t>
      </w:r>
      <w:r>
        <w:rPr>
          <w:spacing w:val="-4"/>
        </w:rPr>
        <w:t> </w:t>
      </w:r>
      <w:r>
        <w:rPr/>
        <w:t>and</w:t>
      </w:r>
      <w:r>
        <w:rPr>
          <w:spacing w:val="-3"/>
        </w:rPr>
        <w:t> </w:t>
      </w:r>
      <w:r>
        <w:rPr/>
        <w:t>out-of-state</w:t>
      </w:r>
      <w:r>
        <w:rPr>
          <w:spacing w:val="-2"/>
        </w:rPr>
        <w:t> </w:t>
      </w:r>
      <w:r>
        <w:rPr/>
        <w:t>former</w:t>
      </w:r>
      <w:r>
        <w:rPr>
          <w:spacing w:val="-4"/>
        </w:rPr>
        <w:t> </w:t>
      </w:r>
      <w:r>
        <w:rPr/>
        <w:t>foster</w:t>
      </w:r>
      <w:r>
        <w:rPr>
          <w:spacing w:val="-2"/>
        </w:rPr>
        <w:t> </w:t>
      </w:r>
      <w:r>
        <w:rPr/>
        <w:t>care youth)</w:t>
      </w:r>
      <w:r>
        <w:rPr>
          <w:spacing w:val="-4"/>
        </w:rPr>
        <w:t> </w:t>
      </w:r>
      <w:r>
        <w:rPr/>
        <w:t>as</w:t>
      </w:r>
      <w:r>
        <w:rPr>
          <w:spacing w:val="-3"/>
        </w:rPr>
        <w:t> </w:t>
      </w:r>
      <w:r>
        <w:rPr/>
        <w:t>described</w:t>
      </w:r>
      <w:r>
        <w:rPr>
          <w:spacing w:val="-3"/>
        </w:rPr>
        <w:t> </w:t>
      </w:r>
      <w:r>
        <w:rPr/>
        <w:t>in</w:t>
      </w:r>
      <w:r>
        <w:rPr>
          <w:spacing w:val="-3"/>
        </w:rPr>
        <w:t> </w:t>
      </w:r>
      <w:r>
        <w:rPr/>
        <w:t>Table</w:t>
      </w:r>
      <w:r>
        <w:rPr>
          <w:spacing w:val="-4"/>
        </w:rPr>
        <w:t> </w:t>
      </w:r>
      <w:r>
        <w:rPr/>
        <w:t>3</w:t>
      </w:r>
      <w:r>
        <w:rPr>
          <w:spacing w:val="-3"/>
        </w:rPr>
        <w:t> </w:t>
      </w:r>
      <w:r>
        <w:rPr/>
        <w:t>above</w:t>
      </w:r>
      <w:r>
        <w:rPr>
          <w:spacing w:val="-4"/>
        </w:rPr>
        <w:t> </w:t>
      </w:r>
      <w:r>
        <w:rPr/>
        <w:t>are</w:t>
      </w:r>
      <w:r>
        <w:rPr>
          <w:spacing w:val="-2"/>
        </w:rPr>
        <w:t> </w:t>
      </w:r>
      <w:r>
        <w:rPr/>
        <w:t>eligible</w:t>
      </w:r>
      <w:r>
        <w:rPr>
          <w:spacing w:val="-4"/>
        </w:rPr>
        <w:t> </w:t>
      </w:r>
      <w:r>
        <w:rPr/>
        <w:t>to receive MassHealth Standard.</w:t>
      </w:r>
    </w:p>
    <w:p>
      <w:pPr>
        <w:pStyle w:val="BodyText"/>
        <w:spacing w:before="10"/>
        <w:rPr>
          <w:sz w:val="20"/>
        </w:rPr>
      </w:pPr>
    </w:p>
    <w:p>
      <w:pPr>
        <w:pStyle w:val="Heading5"/>
        <w:ind w:left="871"/>
      </w:pPr>
      <w:r>
        <w:rPr/>
        <w:drawing>
          <wp:anchor distT="0" distB="0" distL="0" distR="0" allowOverlap="1" layoutInCell="1" locked="0" behindDoc="0" simplePos="0" relativeHeight="15777792">
            <wp:simplePos x="0" y="0"/>
            <wp:positionH relativeFrom="page">
              <wp:posOffset>897636</wp:posOffset>
            </wp:positionH>
            <wp:positionV relativeFrom="paragraph">
              <wp:posOffset>35599</wp:posOffset>
            </wp:positionV>
            <wp:extent cx="294131" cy="112775"/>
            <wp:effectExtent l="0" t="0" r="0" b="0"/>
            <wp:wrapNone/>
            <wp:docPr id="106" name="Image 106"/>
            <wp:cNvGraphicFramePr>
              <a:graphicFrameLocks/>
            </wp:cNvGraphicFramePr>
            <a:graphic>
              <a:graphicData uri="http://schemas.openxmlformats.org/drawingml/2006/picture">
                <pic:pic>
                  <pic:nvPicPr>
                    <pic:cNvPr id="106" name="Image 106"/>
                    <pic:cNvPicPr/>
                  </pic:nvPicPr>
                  <pic:blipFill>
                    <a:blip r:embed="rId82" cstate="print"/>
                    <a:stretch>
                      <a:fillRect/>
                    </a:stretch>
                  </pic:blipFill>
                  <pic:spPr>
                    <a:xfrm>
                      <a:off x="0" y="0"/>
                      <a:ext cx="294131" cy="112775"/>
                    </a:xfrm>
                    <a:prstGeom prst="rect">
                      <a:avLst/>
                    </a:prstGeom>
                  </pic:spPr>
                </pic:pic>
              </a:graphicData>
            </a:graphic>
          </wp:anchor>
        </w:drawing>
      </w:r>
      <w:bookmarkStart w:name="5.10. Benefits Offered under Certain Dem" w:id="227"/>
      <w:bookmarkEnd w:id="227"/>
      <w:r>
        <w:rPr>
          <w:b w:val="0"/>
        </w:rPr>
      </w:r>
      <w:r>
        <w:rPr/>
        <w:t>Benefits</w:t>
      </w:r>
      <w:r>
        <w:rPr>
          <w:spacing w:val="-6"/>
        </w:rPr>
        <w:t> </w:t>
      </w:r>
      <w:r>
        <w:rPr/>
        <w:t>Offered</w:t>
      </w:r>
      <w:r>
        <w:rPr>
          <w:spacing w:val="-3"/>
        </w:rPr>
        <w:t> </w:t>
      </w:r>
      <w:r>
        <w:rPr/>
        <w:t>under</w:t>
      </w:r>
      <w:r>
        <w:rPr>
          <w:spacing w:val="-4"/>
        </w:rPr>
        <w:t> </w:t>
      </w:r>
      <w:r>
        <w:rPr/>
        <w:t>Certain</w:t>
      </w:r>
      <w:r>
        <w:rPr>
          <w:spacing w:val="-3"/>
        </w:rPr>
        <w:t> </w:t>
      </w:r>
      <w:r>
        <w:rPr/>
        <w:t>Demonstration </w:t>
      </w:r>
      <w:r>
        <w:rPr>
          <w:spacing w:val="-2"/>
        </w:rPr>
        <w:t>Programs.</w:t>
      </w:r>
    </w:p>
    <w:p>
      <w:pPr>
        <w:spacing w:after="0"/>
        <w:sectPr>
          <w:pgSz w:w="12240" w:h="15840"/>
          <w:pgMar w:header="0" w:footer="1201" w:top="1360" w:bottom="1400" w:left="1200" w:right="400"/>
        </w:sectPr>
      </w:pPr>
    </w:p>
    <w:tbl>
      <w:tblPr>
        <w:tblW w:w="0" w:type="auto"/>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37"/>
        <w:gridCol w:w="1848"/>
        <w:gridCol w:w="1870"/>
        <w:gridCol w:w="1851"/>
        <w:gridCol w:w="1846"/>
      </w:tblGrid>
      <w:tr>
        <w:trPr>
          <w:trHeight w:val="412" w:hRule="atLeast"/>
        </w:trPr>
        <w:tc>
          <w:tcPr>
            <w:tcW w:w="9352" w:type="dxa"/>
            <w:gridSpan w:val="5"/>
            <w:shd w:val="clear" w:color="auto" w:fill="DBE6F1"/>
          </w:tcPr>
          <w:p>
            <w:pPr>
              <w:pStyle w:val="TableParagraph"/>
              <w:spacing w:before="1"/>
              <w:ind w:left="1888" w:right="1881"/>
              <w:jc w:val="center"/>
              <w:rPr>
                <w:b/>
                <w:sz w:val="22"/>
              </w:rPr>
            </w:pPr>
            <w:r>
              <w:rPr>
                <w:b/>
                <w:sz w:val="22"/>
              </w:rPr>
              <w:t>Table</w:t>
            </w:r>
            <w:r>
              <w:rPr>
                <w:b/>
                <w:spacing w:val="-5"/>
                <w:sz w:val="22"/>
              </w:rPr>
              <w:t> </w:t>
            </w:r>
            <w:r>
              <w:rPr>
                <w:b/>
                <w:sz w:val="22"/>
              </w:rPr>
              <w:t>4:</w:t>
            </w:r>
            <w:r>
              <w:rPr>
                <w:b/>
                <w:spacing w:val="-3"/>
                <w:sz w:val="22"/>
              </w:rPr>
              <w:t> </w:t>
            </w:r>
            <w:r>
              <w:rPr>
                <w:b/>
                <w:sz w:val="22"/>
              </w:rPr>
              <w:t>Summary</w:t>
            </w:r>
            <w:r>
              <w:rPr>
                <w:b/>
                <w:spacing w:val="-4"/>
                <w:sz w:val="22"/>
              </w:rPr>
              <w:t> </w:t>
            </w:r>
            <w:r>
              <w:rPr>
                <w:b/>
                <w:sz w:val="22"/>
              </w:rPr>
              <w:t>of</w:t>
            </w:r>
            <w:r>
              <w:rPr>
                <w:b/>
                <w:spacing w:val="-4"/>
                <w:sz w:val="22"/>
              </w:rPr>
              <w:t> </w:t>
            </w:r>
            <w:r>
              <w:rPr>
                <w:b/>
                <w:sz w:val="22"/>
              </w:rPr>
              <w:t>MassHealth</w:t>
            </w:r>
            <w:r>
              <w:rPr>
                <w:b/>
                <w:spacing w:val="-5"/>
                <w:sz w:val="22"/>
              </w:rPr>
              <w:t> </w:t>
            </w:r>
            <w:r>
              <w:rPr>
                <w:b/>
                <w:sz w:val="22"/>
              </w:rPr>
              <w:t>Direct</w:t>
            </w:r>
            <w:r>
              <w:rPr>
                <w:b/>
                <w:spacing w:val="-3"/>
                <w:sz w:val="22"/>
              </w:rPr>
              <w:t> </w:t>
            </w:r>
            <w:r>
              <w:rPr>
                <w:b/>
                <w:sz w:val="22"/>
              </w:rPr>
              <w:t>Coverage</w:t>
            </w:r>
            <w:r>
              <w:rPr>
                <w:b/>
                <w:spacing w:val="-6"/>
                <w:sz w:val="22"/>
              </w:rPr>
              <w:t> </w:t>
            </w:r>
            <w:r>
              <w:rPr>
                <w:b/>
                <w:spacing w:val="-2"/>
                <w:sz w:val="22"/>
              </w:rPr>
              <w:t>Benefits</w:t>
            </w:r>
          </w:p>
        </w:tc>
      </w:tr>
      <w:tr>
        <w:trPr>
          <w:trHeight w:val="505" w:hRule="atLeast"/>
        </w:trPr>
        <w:tc>
          <w:tcPr>
            <w:tcW w:w="1937" w:type="dxa"/>
            <w:shd w:val="clear" w:color="auto" w:fill="DBE6F1"/>
          </w:tcPr>
          <w:p>
            <w:pPr>
              <w:pStyle w:val="TableParagraph"/>
              <w:spacing w:before="125"/>
              <w:ind w:left="587"/>
              <w:rPr>
                <w:b/>
                <w:sz w:val="22"/>
              </w:rPr>
            </w:pPr>
            <w:r>
              <w:rPr>
                <w:b/>
                <w:spacing w:val="-2"/>
                <w:sz w:val="22"/>
              </w:rPr>
              <w:t>Benefits</w:t>
            </w:r>
          </w:p>
        </w:tc>
        <w:tc>
          <w:tcPr>
            <w:tcW w:w="1848" w:type="dxa"/>
            <w:shd w:val="clear" w:color="auto" w:fill="DBE6F1"/>
          </w:tcPr>
          <w:p>
            <w:pPr>
              <w:pStyle w:val="TableParagraph"/>
              <w:spacing w:line="254" w:lineRule="exact"/>
              <w:ind w:left="234" w:right="222" w:firstLine="216"/>
              <w:rPr>
                <w:b/>
                <w:sz w:val="22"/>
              </w:rPr>
            </w:pPr>
            <w:r>
              <w:rPr>
                <w:b/>
                <w:spacing w:val="-2"/>
                <w:sz w:val="22"/>
              </w:rPr>
              <w:t>Standard/ </w:t>
            </w:r>
            <w:r>
              <w:rPr>
                <w:b/>
                <w:sz w:val="22"/>
              </w:rPr>
              <w:t>Standard</w:t>
            </w:r>
            <w:r>
              <w:rPr>
                <w:b/>
                <w:spacing w:val="-14"/>
                <w:sz w:val="22"/>
              </w:rPr>
              <w:t> </w:t>
            </w:r>
            <w:r>
              <w:rPr>
                <w:b/>
                <w:sz w:val="22"/>
              </w:rPr>
              <w:t>ABP</w:t>
            </w:r>
          </w:p>
        </w:tc>
        <w:tc>
          <w:tcPr>
            <w:tcW w:w="1870" w:type="dxa"/>
            <w:shd w:val="clear" w:color="auto" w:fill="DBE6F1"/>
          </w:tcPr>
          <w:p>
            <w:pPr>
              <w:pStyle w:val="TableParagraph"/>
              <w:spacing w:before="125"/>
              <w:ind w:left="174" w:right="165"/>
              <w:jc w:val="center"/>
              <w:rPr>
                <w:b/>
                <w:sz w:val="22"/>
              </w:rPr>
            </w:pPr>
            <w:r>
              <w:rPr>
                <w:b/>
                <w:spacing w:val="-2"/>
                <w:sz w:val="22"/>
              </w:rPr>
              <w:t>CommonHealth</w:t>
            </w:r>
          </w:p>
        </w:tc>
        <w:tc>
          <w:tcPr>
            <w:tcW w:w="1851" w:type="dxa"/>
            <w:shd w:val="clear" w:color="auto" w:fill="DBE6F1"/>
          </w:tcPr>
          <w:p>
            <w:pPr>
              <w:pStyle w:val="TableParagraph"/>
              <w:spacing w:line="254" w:lineRule="exact"/>
              <w:ind w:left="436" w:firstLine="156"/>
              <w:rPr>
                <w:b/>
                <w:sz w:val="22"/>
              </w:rPr>
            </w:pPr>
            <w:r>
              <w:rPr>
                <w:b/>
                <w:spacing w:val="-2"/>
                <w:sz w:val="22"/>
              </w:rPr>
              <w:t>Family Assistance</w:t>
            </w:r>
          </w:p>
        </w:tc>
        <w:tc>
          <w:tcPr>
            <w:tcW w:w="1846" w:type="dxa"/>
            <w:shd w:val="clear" w:color="auto" w:fill="DBE6F1"/>
          </w:tcPr>
          <w:p>
            <w:pPr>
              <w:pStyle w:val="TableParagraph"/>
              <w:spacing w:before="125"/>
              <w:ind w:left="475" w:right="469"/>
              <w:jc w:val="center"/>
              <w:rPr>
                <w:b/>
                <w:sz w:val="22"/>
              </w:rPr>
            </w:pPr>
            <w:r>
              <w:rPr>
                <w:b/>
                <w:spacing w:val="-2"/>
                <w:sz w:val="22"/>
              </w:rPr>
              <w:t>CarePlus</w:t>
            </w:r>
          </w:p>
        </w:tc>
      </w:tr>
      <w:tr>
        <w:trPr>
          <w:trHeight w:val="285" w:hRule="atLeast"/>
        </w:trPr>
        <w:tc>
          <w:tcPr>
            <w:tcW w:w="1937" w:type="dxa"/>
          </w:tcPr>
          <w:p>
            <w:pPr>
              <w:pStyle w:val="TableParagraph"/>
              <w:spacing w:line="250" w:lineRule="exact" w:before="15"/>
              <w:ind w:left="107"/>
              <w:rPr>
                <w:b/>
                <w:sz w:val="22"/>
              </w:rPr>
            </w:pPr>
            <w:r>
              <w:rPr>
                <w:b/>
                <w:spacing w:val="-2"/>
                <w:sz w:val="22"/>
              </w:rPr>
              <w:t>EPSDT</w:t>
            </w:r>
          </w:p>
        </w:tc>
        <w:tc>
          <w:tcPr>
            <w:tcW w:w="1848" w:type="dxa"/>
          </w:tcPr>
          <w:p>
            <w:pPr>
              <w:pStyle w:val="TableParagraph"/>
              <w:spacing w:line="250" w:lineRule="exact" w:before="15"/>
              <w:ind w:right="838"/>
              <w:jc w:val="right"/>
              <w:rPr>
                <w:sz w:val="22"/>
              </w:rPr>
            </w:pPr>
            <w:r>
              <w:rPr>
                <w:w w:val="93"/>
                <w:sz w:val="22"/>
              </w:rPr>
              <w:t>X</w:t>
            </w:r>
          </w:p>
        </w:tc>
        <w:tc>
          <w:tcPr>
            <w:tcW w:w="1870" w:type="dxa"/>
          </w:tcPr>
          <w:p>
            <w:pPr>
              <w:pStyle w:val="TableParagraph"/>
              <w:spacing w:line="250" w:lineRule="exact" w:before="15"/>
              <w:ind w:left="10"/>
              <w:jc w:val="center"/>
              <w:rPr>
                <w:sz w:val="22"/>
              </w:rPr>
            </w:pPr>
            <w:r>
              <w:rPr>
                <w:w w:val="99"/>
                <w:sz w:val="22"/>
              </w:rPr>
              <w:t>X</w:t>
            </w:r>
          </w:p>
        </w:tc>
        <w:tc>
          <w:tcPr>
            <w:tcW w:w="1851" w:type="dxa"/>
          </w:tcPr>
          <w:p>
            <w:pPr>
              <w:pStyle w:val="TableParagraph"/>
              <w:rPr>
                <w:sz w:val="20"/>
              </w:rPr>
            </w:pPr>
          </w:p>
        </w:tc>
        <w:tc>
          <w:tcPr>
            <w:tcW w:w="1846" w:type="dxa"/>
          </w:tcPr>
          <w:p>
            <w:pPr>
              <w:pStyle w:val="TableParagraph"/>
              <w:rPr>
                <w:sz w:val="20"/>
              </w:rPr>
            </w:pPr>
          </w:p>
        </w:tc>
      </w:tr>
      <w:tr>
        <w:trPr>
          <w:trHeight w:val="505" w:hRule="atLeast"/>
        </w:trPr>
        <w:tc>
          <w:tcPr>
            <w:tcW w:w="1937" w:type="dxa"/>
          </w:tcPr>
          <w:p>
            <w:pPr>
              <w:pStyle w:val="TableParagraph"/>
              <w:spacing w:line="252" w:lineRule="exact"/>
              <w:ind w:left="107"/>
              <w:rPr>
                <w:b/>
                <w:sz w:val="22"/>
              </w:rPr>
            </w:pPr>
            <w:r>
              <w:rPr>
                <w:b/>
                <w:sz w:val="22"/>
              </w:rPr>
              <w:t>Inpatient</w:t>
            </w:r>
            <w:r>
              <w:rPr>
                <w:b/>
                <w:spacing w:val="-14"/>
                <w:sz w:val="22"/>
              </w:rPr>
              <w:t> </w:t>
            </w:r>
            <w:r>
              <w:rPr>
                <w:b/>
                <w:sz w:val="22"/>
              </w:rPr>
              <w:t>Acute </w:t>
            </w:r>
            <w:r>
              <w:rPr>
                <w:b/>
                <w:spacing w:val="-2"/>
                <w:sz w:val="22"/>
              </w:rPr>
              <w:t>Hospital</w:t>
            </w:r>
          </w:p>
        </w:tc>
        <w:tc>
          <w:tcPr>
            <w:tcW w:w="1848" w:type="dxa"/>
          </w:tcPr>
          <w:p>
            <w:pPr>
              <w:pStyle w:val="TableParagraph"/>
              <w:spacing w:before="125"/>
              <w:ind w:right="838"/>
              <w:jc w:val="right"/>
              <w:rPr>
                <w:sz w:val="22"/>
              </w:rPr>
            </w:pPr>
            <w:r>
              <w:rPr>
                <w:w w:val="93"/>
                <w:sz w:val="22"/>
              </w:rPr>
              <w:t>X</w:t>
            </w:r>
          </w:p>
        </w:tc>
        <w:tc>
          <w:tcPr>
            <w:tcW w:w="1870" w:type="dxa"/>
          </w:tcPr>
          <w:p>
            <w:pPr>
              <w:pStyle w:val="TableParagraph"/>
              <w:spacing w:before="125"/>
              <w:ind w:left="10"/>
              <w:jc w:val="center"/>
              <w:rPr>
                <w:sz w:val="22"/>
              </w:rPr>
            </w:pPr>
            <w:r>
              <w:rPr>
                <w:w w:val="99"/>
                <w:sz w:val="22"/>
              </w:rPr>
              <w:t>X</w:t>
            </w:r>
          </w:p>
        </w:tc>
        <w:tc>
          <w:tcPr>
            <w:tcW w:w="1851" w:type="dxa"/>
          </w:tcPr>
          <w:p>
            <w:pPr>
              <w:pStyle w:val="TableParagraph"/>
              <w:spacing w:before="125"/>
              <w:ind w:left="9"/>
              <w:jc w:val="center"/>
              <w:rPr>
                <w:sz w:val="22"/>
              </w:rPr>
            </w:pPr>
            <w:r>
              <w:rPr>
                <w:w w:val="99"/>
                <w:sz w:val="22"/>
              </w:rPr>
              <w:t>X</w:t>
            </w:r>
          </w:p>
        </w:tc>
        <w:tc>
          <w:tcPr>
            <w:tcW w:w="1846" w:type="dxa"/>
          </w:tcPr>
          <w:p>
            <w:pPr>
              <w:pStyle w:val="TableParagraph"/>
              <w:spacing w:before="125"/>
              <w:ind w:left="8"/>
              <w:jc w:val="center"/>
              <w:rPr>
                <w:sz w:val="22"/>
              </w:rPr>
            </w:pPr>
            <w:r>
              <w:rPr>
                <w:w w:val="99"/>
                <w:sz w:val="22"/>
              </w:rPr>
              <w:t>X</w:t>
            </w:r>
          </w:p>
        </w:tc>
      </w:tr>
      <w:tr>
        <w:trPr>
          <w:trHeight w:val="254" w:hRule="atLeast"/>
        </w:trPr>
        <w:tc>
          <w:tcPr>
            <w:tcW w:w="1937" w:type="dxa"/>
          </w:tcPr>
          <w:p>
            <w:pPr>
              <w:pStyle w:val="TableParagraph"/>
              <w:spacing w:line="233" w:lineRule="exact" w:before="1"/>
              <w:ind w:left="107"/>
              <w:rPr>
                <w:b/>
                <w:sz w:val="22"/>
              </w:rPr>
            </w:pPr>
            <w:r>
              <w:rPr>
                <w:b/>
                <w:sz w:val="22"/>
              </w:rPr>
              <w:t>Adult</w:t>
            </w:r>
            <w:r>
              <w:rPr>
                <w:b/>
                <w:spacing w:val="-2"/>
                <w:sz w:val="22"/>
              </w:rPr>
              <w:t> </w:t>
            </w:r>
            <w:r>
              <w:rPr>
                <w:b/>
                <w:sz w:val="22"/>
              </w:rPr>
              <w:t>Day</w:t>
            </w:r>
            <w:r>
              <w:rPr>
                <w:b/>
                <w:spacing w:val="-5"/>
                <w:sz w:val="22"/>
              </w:rPr>
              <w:t> </w:t>
            </w:r>
            <w:r>
              <w:rPr>
                <w:b/>
                <w:spacing w:val="-2"/>
                <w:sz w:val="22"/>
              </w:rPr>
              <w:t>Health</w:t>
            </w:r>
          </w:p>
        </w:tc>
        <w:tc>
          <w:tcPr>
            <w:tcW w:w="1848" w:type="dxa"/>
          </w:tcPr>
          <w:p>
            <w:pPr>
              <w:pStyle w:val="TableParagraph"/>
              <w:spacing w:line="233" w:lineRule="exact" w:before="1"/>
              <w:ind w:right="838"/>
              <w:jc w:val="right"/>
              <w:rPr>
                <w:sz w:val="22"/>
              </w:rPr>
            </w:pPr>
            <w:r>
              <w:rPr>
                <w:w w:val="93"/>
                <w:sz w:val="22"/>
              </w:rPr>
              <w:t>X</w:t>
            </w:r>
          </w:p>
        </w:tc>
        <w:tc>
          <w:tcPr>
            <w:tcW w:w="1870" w:type="dxa"/>
          </w:tcPr>
          <w:p>
            <w:pPr>
              <w:pStyle w:val="TableParagraph"/>
              <w:spacing w:line="233" w:lineRule="exact" w:before="1"/>
              <w:ind w:left="10"/>
              <w:jc w:val="center"/>
              <w:rPr>
                <w:sz w:val="22"/>
              </w:rPr>
            </w:pPr>
            <w:r>
              <w:rPr>
                <w:w w:val="99"/>
                <w:sz w:val="22"/>
              </w:rPr>
              <w:t>X</w:t>
            </w:r>
          </w:p>
        </w:tc>
        <w:tc>
          <w:tcPr>
            <w:tcW w:w="1851" w:type="dxa"/>
          </w:tcPr>
          <w:p>
            <w:pPr>
              <w:pStyle w:val="TableParagraph"/>
              <w:rPr>
                <w:sz w:val="18"/>
              </w:rPr>
            </w:pPr>
          </w:p>
        </w:tc>
        <w:tc>
          <w:tcPr>
            <w:tcW w:w="1846" w:type="dxa"/>
          </w:tcPr>
          <w:p>
            <w:pPr>
              <w:pStyle w:val="TableParagraph"/>
              <w:rPr>
                <w:sz w:val="18"/>
              </w:rPr>
            </w:pPr>
          </w:p>
        </w:tc>
      </w:tr>
      <w:tr>
        <w:trPr>
          <w:trHeight w:val="506" w:hRule="atLeast"/>
        </w:trPr>
        <w:tc>
          <w:tcPr>
            <w:tcW w:w="1937" w:type="dxa"/>
          </w:tcPr>
          <w:p>
            <w:pPr>
              <w:pStyle w:val="TableParagraph"/>
              <w:spacing w:line="254" w:lineRule="exact"/>
              <w:ind w:left="107"/>
              <w:rPr>
                <w:b/>
                <w:sz w:val="22"/>
              </w:rPr>
            </w:pPr>
            <w:r>
              <w:rPr>
                <w:b/>
                <w:sz w:val="22"/>
              </w:rPr>
              <w:t>Adult</w:t>
            </w:r>
            <w:r>
              <w:rPr>
                <w:b/>
                <w:spacing w:val="-14"/>
                <w:sz w:val="22"/>
              </w:rPr>
              <w:t> </w:t>
            </w:r>
            <w:r>
              <w:rPr>
                <w:b/>
                <w:sz w:val="22"/>
              </w:rPr>
              <w:t>Foster </w:t>
            </w:r>
            <w:r>
              <w:rPr>
                <w:b/>
                <w:spacing w:val="-2"/>
                <w:sz w:val="22"/>
              </w:rPr>
              <w:t>Care**</w:t>
            </w:r>
          </w:p>
        </w:tc>
        <w:tc>
          <w:tcPr>
            <w:tcW w:w="1848" w:type="dxa"/>
          </w:tcPr>
          <w:p>
            <w:pPr>
              <w:pStyle w:val="TableParagraph"/>
              <w:spacing w:before="125"/>
              <w:ind w:right="838"/>
              <w:jc w:val="right"/>
              <w:rPr>
                <w:sz w:val="22"/>
              </w:rPr>
            </w:pPr>
            <w:r>
              <w:rPr>
                <w:w w:val="93"/>
                <w:sz w:val="22"/>
              </w:rPr>
              <w:t>X</w:t>
            </w:r>
          </w:p>
        </w:tc>
        <w:tc>
          <w:tcPr>
            <w:tcW w:w="1870" w:type="dxa"/>
          </w:tcPr>
          <w:p>
            <w:pPr>
              <w:pStyle w:val="TableParagraph"/>
              <w:spacing w:before="125"/>
              <w:ind w:left="10"/>
              <w:jc w:val="center"/>
              <w:rPr>
                <w:sz w:val="22"/>
              </w:rPr>
            </w:pPr>
            <w:r>
              <w:rPr>
                <w:w w:val="99"/>
                <w:sz w:val="22"/>
              </w:rPr>
              <w:t>X</w:t>
            </w:r>
          </w:p>
        </w:tc>
        <w:tc>
          <w:tcPr>
            <w:tcW w:w="1851" w:type="dxa"/>
          </w:tcPr>
          <w:p>
            <w:pPr>
              <w:pStyle w:val="TableParagraph"/>
              <w:rPr>
                <w:sz w:val="20"/>
              </w:rPr>
            </w:pPr>
          </w:p>
        </w:tc>
        <w:tc>
          <w:tcPr>
            <w:tcW w:w="1846" w:type="dxa"/>
          </w:tcPr>
          <w:p>
            <w:pPr>
              <w:pStyle w:val="TableParagraph"/>
              <w:rPr>
                <w:sz w:val="20"/>
              </w:rPr>
            </w:pPr>
          </w:p>
        </w:tc>
      </w:tr>
      <w:tr>
        <w:trPr>
          <w:trHeight w:val="503" w:hRule="atLeast"/>
        </w:trPr>
        <w:tc>
          <w:tcPr>
            <w:tcW w:w="1937" w:type="dxa"/>
          </w:tcPr>
          <w:p>
            <w:pPr>
              <w:pStyle w:val="TableParagraph"/>
              <w:spacing w:line="249" w:lineRule="exact"/>
              <w:ind w:left="107"/>
              <w:rPr>
                <w:b/>
                <w:sz w:val="22"/>
              </w:rPr>
            </w:pPr>
            <w:r>
              <w:rPr>
                <w:b/>
                <w:spacing w:val="-2"/>
                <w:sz w:val="22"/>
              </w:rPr>
              <w:t>Ambulance</w:t>
            </w:r>
          </w:p>
          <w:p>
            <w:pPr>
              <w:pStyle w:val="TableParagraph"/>
              <w:spacing w:line="233" w:lineRule="exact" w:before="1"/>
              <w:ind w:left="107"/>
              <w:rPr>
                <w:b/>
                <w:sz w:val="22"/>
              </w:rPr>
            </w:pPr>
            <w:r>
              <w:rPr>
                <w:b/>
                <w:spacing w:val="-2"/>
                <w:sz w:val="22"/>
              </w:rPr>
              <w:t>(emergency)</w:t>
            </w:r>
          </w:p>
        </w:tc>
        <w:tc>
          <w:tcPr>
            <w:tcW w:w="1848" w:type="dxa"/>
          </w:tcPr>
          <w:p>
            <w:pPr>
              <w:pStyle w:val="TableParagraph"/>
              <w:spacing w:before="123"/>
              <w:ind w:right="838"/>
              <w:jc w:val="right"/>
              <w:rPr>
                <w:sz w:val="22"/>
              </w:rPr>
            </w:pPr>
            <w:r>
              <w:rPr>
                <w:w w:val="93"/>
                <w:sz w:val="22"/>
              </w:rPr>
              <w:t>X</w:t>
            </w:r>
          </w:p>
        </w:tc>
        <w:tc>
          <w:tcPr>
            <w:tcW w:w="1870" w:type="dxa"/>
          </w:tcPr>
          <w:p>
            <w:pPr>
              <w:pStyle w:val="TableParagraph"/>
              <w:spacing w:before="123"/>
              <w:ind w:left="10"/>
              <w:jc w:val="center"/>
              <w:rPr>
                <w:sz w:val="22"/>
              </w:rPr>
            </w:pPr>
            <w:r>
              <w:rPr>
                <w:w w:val="99"/>
                <w:sz w:val="22"/>
              </w:rPr>
              <w:t>X</w:t>
            </w:r>
          </w:p>
        </w:tc>
        <w:tc>
          <w:tcPr>
            <w:tcW w:w="1851" w:type="dxa"/>
          </w:tcPr>
          <w:p>
            <w:pPr>
              <w:pStyle w:val="TableParagraph"/>
              <w:spacing w:before="123"/>
              <w:ind w:left="9"/>
              <w:jc w:val="center"/>
              <w:rPr>
                <w:sz w:val="22"/>
              </w:rPr>
            </w:pPr>
            <w:r>
              <w:rPr>
                <w:w w:val="99"/>
                <w:sz w:val="22"/>
              </w:rPr>
              <w:t>X</w:t>
            </w:r>
          </w:p>
        </w:tc>
        <w:tc>
          <w:tcPr>
            <w:tcW w:w="1846" w:type="dxa"/>
          </w:tcPr>
          <w:p>
            <w:pPr>
              <w:pStyle w:val="TableParagraph"/>
              <w:spacing w:before="123"/>
              <w:ind w:left="8"/>
              <w:jc w:val="center"/>
              <w:rPr>
                <w:sz w:val="22"/>
              </w:rPr>
            </w:pPr>
            <w:r>
              <w:rPr>
                <w:w w:val="99"/>
                <w:sz w:val="22"/>
              </w:rPr>
              <w:t>X</w:t>
            </w:r>
          </w:p>
        </w:tc>
      </w:tr>
      <w:tr>
        <w:trPr>
          <w:trHeight w:val="506" w:hRule="atLeast"/>
        </w:trPr>
        <w:tc>
          <w:tcPr>
            <w:tcW w:w="1937" w:type="dxa"/>
          </w:tcPr>
          <w:p>
            <w:pPr>
              <w:pStyle w:val="TableParagraph"/>
              <w:spacing w:line="252" w:lineRule="exact"/>
              <w:ind w:left="107" w:right="646"/>
              <w:rPr>
                <w:b/>
                <w:sz w:val="22"/>
              </w:rPr>
            </w:pPr>
            <w:r>
              <w:rPr>
                <w:b/>
                <w:spacing w:val="-2"/>
                <w:sz w:val="22"/>
              </w:rPr>
              <w:t>Audiologist Services</w:t>
            </w:r>
          </w:p>
        </w:tc>
        <w:tc>
          <w:tcPr>
            <w:tcW w:w="1848" w:type="dxa"/>
          </w:tcPr>
          <w:p>
            <w:pPr>
              <w:pStyle w:val="TableParagraph"/>
              <w:spacing w:before="125"/>
              <w:ind w:right="838"/>
              <w:jc w:val="right"/>
              <w:rPr>
                <w:sz w:val="22"/>
              </w:rPr>
            </w:pPr>
            <w:r>
              <w:rPr>
                <w:w w:val="93"/>
                <w:sz w:val="22"/>
              </w:rPr>
              <w:t>X</w:t>
            </w:r>
          </w:p>
        </w:tc>
        <w:tc>
          <w:tcPr>
            <w:tcW w:w="1870" w:type="dxa"/>
          </w:tcPr>
          <w:p>
            <w:pPr>
              <w:pStyle w:val="TableParagraph"/>
              <w:spacing w:before="125"/>
              <w:ind w:left="10"/>
              <w:jc w:val="center"/>
              <w:rPr>
                <w:sz w:val="22"/>
              </w:rPr>
            </w:pPr>
            <w:r>
              <w:rPr>
                <w:w w:val="99"/>
                <w:sz w:val="22"/>
              </w:rPr>
              <w:t>X</w:t>
            </w:r>
          </w:p>
        </w:tc>
        <w:tc>
          <w:tcPr>
            <w:tcW w:w="1851" w:type="dxa"/>
          </w:tcPr>
          <w:p>
            <w:pPr>
              <w:pStyle w:val="TableParagraph"/>
              <w:spacing w:before="125"/>
              <w:ind w:left="9"/>
              <w:jc w:val="center"/>
              <w:rPr>
                <w:sz w:val="22"/>
              </w:rPr>
            </w:pPr>
            <w:r>
              <w:rPr>
                <w:w w:val="99"/>
                <w:sz w:val="22"/>
              </w:rPr>
              <w:t>X</w:t>
            </w:r>
          </w:p>
        </w:tc>
        <w:tc>
          <w:tcPr>
            <w:tcW w:w="1846" w:type="dxa"/>
          </w:tcPr>
          <w:p>
            <w:pPr>
              <w:pStyle w:val="TableParagraph"/>
              <w:spacing w:before="125"/>
              <w:ind w:left="8"/>
              <w:jc w:val="center"/>
              <w:rPr>
                <w:sz w:val="22"/>
              </w:rPr>
            </w:pPr>
            <w:r>
              <w:rPr>
                <w:w w:val="99"/>
                <w:sz w:val="22"/>
              </w:rPr>
              <w:t>X</w:t>
            </w:r>
          </w:p>
        </w:tc>
      </w:tr>
      <w:tr>
        <w:trPr>
          <w:trHeight w:val="1012" w:hRule="atLeast"/>
        </w:trPr>
        <w:tc>
          <w:tcPr>
            <w:tcW w:w="1937" w:type="dxa"/>
          </w:tcPr>
          <w:p>
            <w:pPr>
              <w:pStyle w:val="TableParagraph"/>
              <w:ind w:left="107"/>
              <w:rPr>
                <w:b/>
                <w:sz w:val="22"/>
              </w:rPr>
            </w:pPr>
            <w:r>
              <w:rPr>
                <w:b/>
                <w:sz w:val="22"/>
              </w:rPr>
              <w:t>Behavioral</w:t>
            </w:r>
            <w:r>
              <w:rPr>
                <w:b/>
                <w:spacing w:val="-14"/>
                <w:sz w:val="22"/>
              </w:rPr>
              <w:t> </w:t>
            </w:r>
            <w:r>
              <w:rPr>
                <w:b/>
                <w:sz w:val="22"/>
              </w:rPr>
              <w:t>Health Services (mental health and</w:t>
            </w:r>
          </w:p>
          <w:p>
            <w:pPr>
              <w:pStyle w:val="TableParagraph"/>
              <w:spacing w:line="235" w:lineRule="exact"/>
              <w:ind w:left="107"/>
              <w:rPr>
                <w:b/>
                <w:sz w:val="22"/>
              </w:rPr>
            </w:pPr>
            <w:r>
              <w:rPr>
                <w:b/>
                <w:sz w:val="22"/>
              </w:rPr>
              <w:t>substance</w:t>
            </w:r>
            <w:r>
              <w:rPr>
                <w:b/>
                <w:spacing w:val="-5"/>
                <w:sz w:val="22"/>
              </w:rPr>
              <w:t> </w:t>
            </w:r>
            <w:r>
              <w:rPr>
                <w:b/>
                <w:spacing w:val="-2"/>
                <w:sz w:val="22"/>
              </w:rPr>
              <w:t>abuse)</w:t>
            </w:r>
          </w:p>
        </w:tc>
        <w:tc>
          <w:tcPr>
            <w:tcW w:w="1848" w:type="dxa"/>
          </w:tcPr>
          <w:p>
            <w:pPr>
              <w:pStyle w:val="TableParagraph"/>
              <w:spacing w:before="9"/>
              <w:rPr>
                <w:b/>
                <w:sz w:val="32"/>
              </w:rPr>
            </w:pPr>
          </w:p>
          <w:p>
            <w:pPr>
              <w:pStyle w:val="TableParagraph"/>
              <w:ind w:right="834"/>
              <w:jc w:val="right"/>
              <w:rPr>
                <w:sz w:val="22"/>
              </w:rPr>
            </w:pPr>
            <w:r>
              <w:rPr>
                <w:w w:val="99"/>
                <w:sz w:val="22"/>
              </w:rPr>
              <w:t>X</w:t>
            </w:r>
          </w:p>
        </w:tc>
        <w:tc>
          <w:tcPr>
            <w:tcW w:w="1870" w:type="dxa"/>
          </w:tcPr>
          <w:p>
            <w:pPr>
              <w:pStyle w:val="TableParagraph"/>
              <w:spacing w:before="9"/>
              <w:rPr>
                <w:b/>
                <w:sz w:val="32"/>
              </w:rPr>
            </w:pPr>
          </w:p>
          <w:p>
            <w:pPr>
              <w:pStyle w:val="TableParagraph"/>
              <w:ind w:left="10"/>
              <w:jc w:val="center"/>
              <w:rPr>
                <w:sz w:val="22"/>
              </w:rPr>
            </w:pPr>
            <w:r>
              <w:rPr>
                <w:w w:val="99"/>
                <w:sz w:val="22"/>
              </w:rPr>
              <w:t>X</w:t>
            </w:r>
          </w:p>
        </w:tc>
        <w:tc>
          <w:tcPr>
            <w:tcW w:w="1851" w:type="dxa"/>
          </w:tcPr>
          <w:p>
            <w:pPr>
              <w:pStyle w:val="TableParagraph"/>
              <w:spacing w:before="9"/>
              <w:rPr>
                <w:b/>
                <w:sz w:val="32"/>
              </w:rPr>
            </w:pPr>
          </w:p>
          <w:p>
            <w:pPr>
              <w:pStyle w:val="TableParagraph"/>
              <w:ind w:left="9"/>
              <w:jc w:val="center"/>
              <w:rPr>
                <w:sz w:val="22"/>
              </w:rPr>
            </w:pPr>
            <w:r>
              <w:rPr>
                <w:w w:val="99"/>
                <w:sz w:val="22"/>
              </w:rPr>
              <w:t>X</w:t>
            </w:r>
          </w:p>
        </w:tc>
        <w:tc>
          <w:tcPr>
            <w:tcW w:w="1846" w:type="dxa"/>
          </w:tcPr>
          <w:p>
            <w:pPr>
              <w:pStyle w:val="TableParagraph"/>
              <w:spacing w:before="9"/>
              <w:rPr>
                <w:b/>
                <w:sz w:val="32"/>
              </w:rPr>
            </w:pPr>
          </w:p>
          <w:p>
            <w:pPr>
              <w:pStyle w:val="TableParagraph"/>
              <w:ind w:left="8"/>
              <w:jc w:val="center"/>
              <w:rPr>
                <w:sz w:val="22"/>
              </w:rPr>
            </w:pPr>
            <w:r>
              <w:rPr>
                <w:w w:val="99"/>
                <w:sz w:val="22"/>
              </w:rPr>
              <w:t>X</w:t>
            </w:r>
          </w:p>
        </w:tc>
      </w:tr>
      <w:tr>
        <w:trPr>
          <w:trHeight w:val="757" w:hRule="atLeast"/>
        </w:trPr>
        <w:tc>
          <w:tcPr>
            <w:tcW w:w="1937" w:type="dxa"/>
          </w:tcPr>
          <w:p>
            <w:pPr>
              <w:pStyle w:val="TableParagraph"/>
              <w:ind w:left="107" w:right="646"/>
              <w:rPr>
                <w:b/>
                <w:sz w:val="22"/>
              </w:rPr>
            </w:pPr>
            <w:r>
              <w:rPr>
                <w:b/>
                <w:sz w:val="22"/>
              </w:rPr>
              <w:t>Chapter</w:t>
            </w:r>
            <w:r>
              <w:rPr>
                <w:b/>
                <w:spacing w:val="-14"/>
                <w:sz w:val="22"/>
              </w:rPr>
              <w:t> </w:t>
            </w:r>
            <w:r>
              <w:rPr>
                <w:b/>
                <w:sz w:val="22"/>
              </w:rPr>
              <w:t>766 </w:t>
            </w:r>
            <w:r>
              <w:rPr>
                <w:b/>
                <w:spacing w:val="-4"/>
                <w:sz w:val="22"/>
              </w:rPr>
              <w:t>Home</w:t>
            </w:r>
          </w:p>
          <w:p>
            <w:pPr>
              <w:pStyle w:val="TableParagraph"/>
              <w:spacing w:line="233" w:lineRule="exact"/>
              <w:ind w:left="107"/>
              <w:rPr>
                <w:b/>
                <w:sz w:val="22"/>
              </w:rPr>
            </w:pPr>
            <w:r>
              <w:rPr>
                <w:b/>
                <w:spacing w:val="-2"/>
                <w:sz w:val="22"/>
              </w:rPr>
              <w:t>Assessment***</w:t>
            </w:r>
          </w:p>
        </w:tc>
        <w:tc>
          <w:tcPr>
            <w:tcW w:w="1848" w:type="dxa"/>
          </w:tcPr>
          <w:p>
            <w:pPr>
              <w:pStyle w:val="TableParagraph"/>
              <w:spacing w:before="8"/>
              <w:rPr>
                <w:b/>
                <w:sz w:val="21"/>
              </w:rPr>
            </w:pPr>
          </w:p>
          <w:p>
            <w:pPr>
              <w:pStyle w:val="TableParagraph"/>
              <w:spacing w:before="1"/>
              <w:ind w:right="832"/>
              <w:jc w:val="right"/>
              <w:rPr>
                <w:sz w:val="22"/>
              </w:rPr>
            </w:pPr>
            <w:r>
              <w:rPr>
                <w:w w:val="100"/>
                <w:sz w:val="22"/>
              </w:rPr>
              <w:t>X</w:t>
            </w:r>
          </w:p>
        </w:tc>
        <w:tc>
          <w:tcPr>
            <w:tcW w:w="1870" w:type="dxa"/>
          </w:tcPr>
          <w:p>
            <w:pPr>
              <w:pStyle w:val="TableParagraph"/>
              <w:spacing w:before="8"/>
              <w:rPr>
                <w:b/>
                <w:sz w:val="21"/>
              </w:rPr>
            </w:pPr>
          </w:p>
          <w:p>
            <w:pPr>
              <w:pStyle w:val="TableParagraph"/>
              <w:spacing w:before="1"/>
              <w:ind w:left="10"/>
              <w:jc w:val="center"/>
              <w:rPr>
                <w:sz w:val="22"/>
              </w:rPr>
            </w:pPr>
            <w:r>
              <w:rPr>
                <w:w w:val="99"/>
                <w:sz w:val="22"/>
              </w:rPr>
              <w:t>X</w:t>
            </w:r>
          </w:p>
        </w:tc>
        <w:tc>
          <w:tcPr>
            <w:tcW w:w="1851" w:type="dxa"/>
          </w:tcPr>
          <w:p>
            <w:pPr>
              <w:pStyle w:val="TableParagraph"/>
              <w:spacing w:before="8"/>
              <w:rPr>
                <w:b/>
                <w:sz w:val="21"/>
              </w:rPr>
            </w:pPr>
          </w:p>
          <w:p>
            <w:pPr>
              <w:pStyle w:val="TableParagraph"/>
              <w:spacing w:before="1"/>
              <w:ind w:left="8"/>
              <w:jc w:val="center"/>
              <w:rPr>
                <w:sz w:val="22"/>
              </w:rPr>
            </w:pPr>
            <w:r>
              <w:rPr>
                <w:w w:val="99"/>
                <w:sz w:val="22"/>
              </w:rPr>
              <w:t>X</w:t>
            </w:r>
          </w:p>
        </w:tc>
        <w:tc>
          <w:tcPr>
            <w:tcW w:w="1846" w:type="dxa"/>
          </w:tcPr>
          <w:p>
            <w:pPr>
              <w:pStyle w:val="TableParagraph"/>
              <w:rPr>
                <w:sz w:val="20"/>
              </w:rPr>
            </w:pPr>
          </w:p>
        </w:tc>
      </w:tr>
      <w:tr>
        <w:trPr>
          <w:trHeight w:val="505" w:hRule="atLeast"/>
        </w:trPr>
        <w:tc>
          <w:tcPr>
            <w:tcW w:w="1937" w:type="dxa"/>
          </w:tcPr>
          <w:p>
            <w:pPr>
              <w:pStyle w:val="TableParagraph"/>
              <w:spacing w:line="254" w:lineRule="exact"/>
              <w:ind w:left="107" w:right="292"/>
              <w:rPr>
                <w:b/>
                <w:sz w:val="22"/>
              </w:rPr>
            </w:pPr>
            <w:r>
              <w:rPr>
                <w:b/>
                <w:spacing w:val="-2"/>
                <w:sz w:val="22"/>
              </w:rPr>
              <w:t>Chiropractic </w:t>
            </w:r>
            <w:r>
              <w:rPr>
                <w:b/>
                <w:spacing w:val="-4"/>
                <w:sz w:val="22"/>
              </w:rPr>
              <w:t>Care</w:t>
            </w:r>
          </w:p>
        </w:tc>
        <w:tc>
          <w:tcPr>
            <w:tcW w:w="1848" w:type="dxa"/>
          </w:tcPr>
          <w:p>
            <w:pPr>
              <w:pStyle w:val="TableParagraph"/>
              <w:spacing w:before="125"/>
              <w:ind w:right="838"/>
              <w:jc w:val="right"/>
              <w:rPr>
                <w:sz w:val="22"/>
              </w:rPr>
            </w:pPr>
            <w:r>
              <w:rPr>
                <w:w w:val="93"/>
                <w:sz w:val="22"/>
              </w:rPr>
              <w:t>X</w:t>
            </w:r>
          </w:p>
        </w:tc>
        <w:tc>
          <w:tcPr>
            <w:tcW w:w="1870" w:type="dxa"/>
          </w:tcPr>
          <w:p>
            <w:pPr>
              <w:pStyle w:val="TableParagraph"/>
              <w:spacing w:before="125"/>
              <w:ind w:left="10"/>
              <w:jc w:val="center"/>
              <w:rPr>
                <w:sz w:val="22"/>
              </w:rPr>
            </w:pPr>
            <w:r>
              <w:rPr>
                <w:w w:val="99"/>
                <w:sz w:val="22"/>
              </w:rPr>
              <w:t>X</w:t>
            </w:r>
          </w:p>
        </w:tc>
        <w:tc>
          <w:tcPr>
            <w:tcW w:w="1851" w:type="dxa"/>
          </w:tcPr>
          <w:p>
            <w:pPr>
              <w:pStyle w:val="TableParagraph"/>
              <w:spacing w:before="125"/>
              <w:ind w:left="8"/>
              <w:jc w:val="center"/>
              <w:rPr>
                <w:sz w:val="22"/>
              </w:rPr>
            </w:pPr>
            <w:r>
              <w:rPr>
                <w:w w:val="99"/>
                <w:sz w:val="22"/>
              </w:rPr>
              <w:t>X</w:t>
            </w:r>
          </w:p>
        </w:tc>
        <w:tc>
          <w:tcPr>
            <w:tcW w:w="1846" w:type="dxa"/>
          </w:tcPr>
          <w:p>
            <w:pPr>
              <w:pStyle w:val="TableParagraph"/>
              <w:spacing w:before="125"/>
              <w:ind w:left="7"/>
              <w:jc w:val="center"/>
              <w:rPr>
                <w:sz w:val="22"/>
              </w:rPr>
            </w:pPr>
            <w:r>
              <w:rPr>
                <w:w w:val="99"/>
                <w:sz w:val="22"/>
              </w:rPr>
              <w:t>X</w:t>
            </w:r>
          </w:p>
        </w:tc>
      </w:tr>
      <w:tr>
        <w:trPr>
          <w:trHeight w:val="1010" w:hRule="atLeast"/>
        </w:trPr>
        <w:tc>
          <w:tcPr>
            <w:tcW w:w="1937" w:type="dxa"/>
          </w:tcPr>
          <w:p>
            <w:pPr>
              <w:pStyle w:val="TableParagraph"/>
              <w:ind w:left="107" w:right="292"/>
              <w:rPr>
                <w:b/>
                <w:sz w:val="22"/>
              </w:rPr>
            </w:pPr>
            <w:r>
              <w:rPr>
                <w:b/>
                <w:sz w:val="22"/>
              </w:rPr>
              <w:t>Chronic</w:t>
            </w:r>
            <w:r>
              <w:rPr>
                <w:b/>
                <w:spacing w:val="-14"/>
                <w:sz w:val="22"/>
              </w:rPr>
              <w:t> </w:t>
            </w:r>
            <w:r>
              <w:rPr>
                <w:b/>
                <w:sz w:val="22"/>
              </w:rPr>
              <w:t>Disease </w:t>
            </w:r>
            <w:r>
              <w:rPr>
                <w:b/>
                <w:spacing w:val="-4"/>
                <w:sz w:val="22"/>
              </w:rPr>
              <w:t>and </w:t>
            </w:r>
            <w:r>
              <w:rPr>
                <w:b/>
                <w:spacing w:val="-2"/>
                <w:sz w:val="22"/>
              </w:rPr>
              <w:t>Rehabilitation</w:t>
            </w:r>
          </w:p>
          <w:p>
            <w:pPr>
              <w:pStyle w:val="TableParagraph"/>
              <w:spacing w:line="235" w:lineRule="exact"/>
              <w:ind w:left="107"/>
              <w:rPr>
                <w:b/>
                <w:sz w:val="22"/>
              </w:rPr>
            </w:pPr>
            <w:r>
              <w:rPr>
                <w:b/>
                <w:sz w:val="22"/>
              </w:rPr>
              <w:t>Hospital</w:t>
            </w:r>
            <w:r>
              <w:rPr>
                <w:b/>
                <w:spacing w:val="-3"/>
                <w:sz w:val="22"/>
              </w:rPr>
              <w:t> </w:t>
            </w:r>
            <w:r>
              <w:rPr>
                <w:b/>
                <w:spacing w:val="-2"/>
                <w:sz w:val="22"/>
              </w:rPr>
              <w:t>Inpatient</w:t>
            </w:r>
          </w:p>
        </w:tc>
        <w:tc>
          <w:tcPr>
            <w:tcW w:w="1848" w:type="dxa"/>
          </w:tcPr>
          <w:p>
            <w:pPr>
              <w:pStyle w:val="TableParagraph"/>
              <w:spacing w:before="7"/>
              <w:rPr>
                <w:b/>
                <w:sz w:val="32"/>
              </w:rPr>
            </w:pPr>
          </w:p>
          <w:p>
            <w:pPr>
              <w:pStyle w:val="TableParagraph"/>
              <w:ind w:right="838"/>
              <w:jc w:val="right"/>
              <w:rPr>
                <w:sz w:val="22"/>
              </w:rPr>
            </w:pPr>
            <w:r>
              <w:rPr>
                <w:w w:val="93"/>
                <w:sz w:val="22"/>
              </w:rPr>
              <w:t>X</w:t>
            </w:r>
          </w:p>
        </w:tc>
        <w:tc>
          <w:tcPr>
            <w:tcW w:w="1870" w:type="dxa"/>
          </w:tcPr>
          <w:p>
            <w:pPr>
              <w:pStyle w:val="TableParagraph"/>
              <w:spacing w:before="7"/>
              <w:rPr>
                <w:b/>
                <w:sz w:val="32"/>
              </w:rPr>
            </w:pPr>
          </w:p>
          <w:p>
            <w:pPr>
              <w:pStyle w:val="TableParagraph"/>
              <w:ind w:left="10"/>
              <w:jc w:val="center"/>
              <w:rPr>
                <w:sz w:val="22"/>
              </w:rPr>
            </w:pPr>
            <w:r>
              <w:rPr>
                <w:w w:val="99"/>
                <w:sz w:val="22"/>
              </w:rPr>
              <w:t>X</w:t>
            </w:r>
          </w:p>
        </w:tc>
        <w:tc>
          <w:tcPr>
            <w:tcW w:w="1851" w:type="dxa"/>
          </w:tcPr>
          <w:p>
            <w:pPr>
              <w:pStyle w:val="TableParagraph"/>
              <w:spacing w:before="7"/>
              <w:rPr>
                <w:b/>
                <w:sz w:val="32"/>
              </w:rPr>
            </w:pPr>
          </w:p>
          <w:p>
            <w:pPr>
              <w:pStyle w:val="TableParagraph"/>
              <w:ind w:left="561" w:right="555"/>
              <w:jc w:val="center"/>
              <w:rPr>
                <w:sz w:val="22"/>
              </w:rPr>
            </w:pPr>
            <w:r>
              <w:rPr>
                <w:spacing w:val="-2"/>
                <w:sz w:val="22"/>
              </w:rPr>
              <w:t>Limited</w:t>
            </w:r>
          </w:p>
        </w:tc>
        <w:tc>
          <w:tcPr>
            <w:tcW w:w="1846" w:type="dxa"/>
          </w:tcPr>
          <w:p>
            <w:pPr>
              <w:pStyle w:val="TableParagraph"/>
              <w:spacing w:before="7"/>
              <w:rPr>
                <w:b/>
                <w:sz w:val="32"/>
              </w:rPr>
            </w:pPr>
          </w:p>
          <w:p>
            <w:pPr>
              <w:pStyle w:val="TableParagraph"/>
              <w:ind w:left="7"/>
              <w:jc w:val="center"/>
              <w:rPr>
                <w:sz w:val="22"/>
              </w:rPr>
            </w:pPr>
            <w:r>
              <w:rPr>
                <w:w w:val="99"/>
                <w:sz w:val="22"/>
              </w:rPr>
              <w:t>X</w:t>
            </w:r>
          </w:p>
        </w:tc>
      </w:tr>
      <w:tr>
        <w:trPr>
          <w:trHeight w:val="1264" w:hRule="atLeast"/>
        </w:trPr>
        <w:tc>
          <w:tcPr>
            <w:tcW w:w="1937" w:type="dxa"/>
          </w:tcPr>
          <w:p>
            <w:pPr>
              <w:pStyle w:val="TableParagraph"/>
              <w:ind w:left="107" w:right="292"/>
              <w:rPr>
                <w:b/>
                <w:sz w:val="22"/>
              </w:rPr>
            </w:pPr>
            <w:r>
              <w:rPr>
                <w:b/>
                <w:sz w:val="22"/>
              </w:rPr>
              <w:t>Chronic</w:t>
            </w:r>
            <w:r>
              <w:rPr>
                <w:b/>
                <w:spacing w:val="-14"/>
                <w:sz w:val="22"/>
              </w:rPr>
              <w:t> </w:t>
            </w:r>
            <w:r>
              <w:rPr>
                <w:b/>
                <w:sz w:val="22"/>
              </w:rPr>
              <w:t>Disease </w:t>
            </w:r>
            <w:r>
              <w:rPr>
                <w:b/>
                <w:spacing w:val="-4"/>
                <w:sz w:val="22"/>
              </w:rPr>
              <w:t>and </w:t>
            </w:r>
            <w:r>
              <w:rPr>
                <w:b/>
                <w:spacing w:val="-2"/>
                <w:sz w:val="22"/>
              </w:rPr>
              <w:t>Rehabilitation Hospital</w:t>
            </w:r>
          </w:p>
          <w:p>
            <w:pPr>
              <w:pStyle w:val="TableParagraph"/>
              <w:spacing w:line="233" w:lineRule="exact"/>
              <w:ind w:left="107"/>
              <w:rPr>
                <w:b/>
                <w:sz w:val="22"/>
              </w:rPr>
            </w:pPr>
            <w:r>
              <w:rPr>
                <w:b/>
                <w:spacing w:val="-2"/>
                <w:sz w:val="22"/>
              </w:rPr>
              <w:t>Outpatient</w:t>
            </w:r>
          </w:p>
        </w:tc>
        <w:tc>
          <w:tcPr>
            <w:tcW w:w="1848" w:type="dxa"/>
          </w:tcPr>
          <w:p>
            <w:pPr>
              <w:pStyle w:val="TableParagraph"/>
              <w:rPr>
                <w:b/>
                <w:sz w:val="24"/>
              </w:rPr>
            </w:pPr>
          </w:p>
          <w:p>
            <w:pPr>
              <w:pStyle w:val="TableParagraph"/>
              <w:spacing w:before="10"/>
              <w:rPr>
                <w:b/>
                <w:sz w:val="19"/>
              </w:rPr>
            </w:pPr>
          </w:p>
          <w:p>
            <w:pPr>
              <w:pStyle w:val="TableParagraph"/>
              <w:ind w:right="838"/>
              <w:jc w:val="right"/>
              <w:rPr>
                <w:sz w:val="22"/>
              </w:rPr>
            </w:pPr>
            <w:r>
              <w:rPr>
                <w:w w:val="93"/>
                <w:sz w:val="22"/>
              </w:rPr>
              <w:t>X</w:t>
            </w:r>
          </w:p>
        </w:tc>
        <w:tc>
          <w:tcPr>
            <w:tcW w:w="1870" w:type="dxa"/>
          </w:tcPr>
          <w:p>
            <w:pPr>
              <w:pStyle w:val="TableParagraph"/>
              <w:rPr>
                <w:b/>
                <w:sz w:val="24"/>
              </w:rPr>
            </w:pPr>
          </w:p>
          <w:p>
            <w:pPr>
              <w:pStyle w:val="TableParagraph"/>
              <w:spacing w:before="10"/>
              <w:rPr>
                <w:b/>
                <w:sz w:val="19"/>
              </w:rPr>
            </w:pPr>
          </w:p>
          <w:p>
            <w:pPr>
              <w:pStyle w:val="TableParagraph"/>
              <w:ind w:left="10"/>
              <w:jc w:val="center"/>
              <w:rPr>
                <w:sz w:val="22"/>
              </w:rPr>
            </w:pPr>
            <w:r>
              <w:rPr>
                <w:w w:val="99"/>
                <w:sz w:val="22"/>
              </w:rPr>
              <w:t>X</w:t>
            </w:r>
          </w:p>
        </w:tc>
        <w:tc>
          <w:tcPr>
            <w:tcW w:w="1851" w:type="dxa"/>
          </w:tcPr>
          <w:p>
            <w:pPr>
              <w:pStyle w:val="TableParagraph"/>
              <w:rPr>
                <w:b/>
                <w:sz w:val="24"/>
              </w:rPr>
            </w:pPr>
          </w:p>
          <w:p>
            <w:pPr>
              <w:pStyle w:val="TableParagraph"/>
              <w:spacing w:before="10"/>
              <w:rPr>
                <w:b/>
                <w:sz w:val="19"/>
              </w:rPr>
            </w:pPr>
          </w:p>
          <w:p>
            <w:pPr>
              <w:pStyle w:val="TableParagraph"/>
              <w:ind w:left="8"/>
              <w:jc w:val="center"/>
              <w:rPr>
                <w:sz w:val="22"/>
              </w:rPr>
            </w:pPr>
            <w:r>
              <w:rPr>
                <w:w w:val="99"/>
                <w:sz w:val="22"/>
              </w:rPr>
              <w:t>X</w:t>
            </w:r>
          </w:p>
        </w:tc>
        <w:tc>
          <w:tcPr>
            <w:tcW w:w="1846" w:type="dxa"/>
          </w:tcPr>
          <w:p>
            <w:pPr>
              <w:pStyle w:val="TableParagraph"/>
              <w:rPr>
                <w:b/>
                <w:sz w:val="24"/>
              </w:rPr>
            </w:pPr>
          </w:p>
          <w:p>
            <w:pPr>
              <w:pStyle w:val="TableParagraph"/>
              <w:spacing w:before="10"/>
              <w:rPr>
                <w:b/>
                <w:sz w:val="19"/>
              </w:rPr>
            </w:pPr>
          </w:p>
          <w:p>
            <w:pPr>
              <w:pStyle w:val="TableParagraph"/>
              <w:ind w:left="7"/>
              <w:jc w:val="center"/>
              <w:rPr>
                <w:sz w:val="22"/>
              </w:rPr>
            </w:pPr>
            <w:r>
              <w:rPr>
                <w:w w:val="99"/>
                <w:sz w:val="22"/>
              </w:rPr>
              <w:t>X</w:t>
            </w:r>
          </w:p>
        </w:tc>
      </w:tr>
      <w:tr>
        <w:trPr>
          <w:trHeight w:val="1264" w:hRule="atLeast"/>
        </w:trPr>
        <w:tc>
          <w:tcPr>
            <w:tcW w:w="1937" w:type="dxa"/>
          </w:tcPr>
          <w:p>
            <w:pPr>
              <w:pStyle w:val="TableParagraph"/>
              <w:ind w:left="107" w:right="231"/>
              <w:rPr>
                <w:b/>
                <w:sz w:val="22"/>
              </w:rPr>
            </w:pPr>
            <w:r>
              <w:rPr>
                <w:b/>
                <w:spacing w:val="-2"/>
                <w:sz w:val="22"/>
              </w:rPr>
              <w:t>Community </w:t>
            </w:r>
            <w:r>
              <w:rPr>
                <w:b/>
                <w:sz w:val="22"/>
              </w:rPr>
              <w:t>Health Center (includes</w:t>
            </w:r>
            <w:r>
              <w:rPr>
                <w:b/>
                <w:spacing w:val="-14"/>
                <w:sz w:val="22"/>
              </w:rPr>
              <w:t> </w:t>
            </w:r>
            <w:r>
              <w:rPr>
                <w:b/>
                <w:sz w:val="22"/>
              </w:rPr>
              <w:t>FQHC and RHC</w:t>
            </w:r>
          </w:p>
          <w:p>
            <w:pPr>
              <w:pStyle w:val="TableParagraph"/>
              <w:spacing w:line="233" w:lineRule="exact"/>
              <w:ind w:left="107"/>
              <w:rPr>
                <w:b/>
                <w:sz w:val="22"/>
              </w:rPr>
            </w:pPr>
            <w:r>
              <w:rPr>
                <w:b/>
                <w:spacing w:val="-2"/>
                <w:sz w:val="22"/>
              </w:rPr>
              <w:t>services)</w:t>
            </w:r>
          </w:p>
        </w:tc>
        <w:tc>
          <w:tcPr>
            <w:tcW w:w="1848" w:type="dxa"/>
          </w:tcPr>
          <w:p>
            <w:pPr>
              <w:pStyle w:val="TableParagraph"/>
              <w:rPr>
                <w:b/>
                <w:sz w:val="24"/>
              </w:rPr>
            </w:pPr>
          </w:p>
          <w:p>
            <w:pPr>
              <w:pStyle w:val="TableParagraph"/>
              <w:spacing w:before="10"/>
              <w:rPr>
                <w:b/>
                <w:sz w:val="19"/>
              </w:rPr>
            </w:pPr>
          </w:p>
          <w:p>
            <w:pPr>
              <w:pStyle w:val="TableParagraph"/>
              <w:ind w:right="838"/>
              <w:jc w:val="right"/>
              <w:rPr>
                <w:sz w:val="22"/>
              </w:rPr>
            </w:pPr>
            <w:r>
              <w:rPr>
                <w:w w:val="93"/>
                <w:sz w:val="22"/>
              </w:rPr>
              <w:t>X</w:t>
            </w:r>
          </w:p>
        </w:tc>
        <w:tc>
          <w:tcPr>
            <w:tcW w:w="1870" w:type="dxa"/>
          </w:tcPr>
          <w:p>
            <w:pPr>
              <w:pStyle w:val="TableParagraph"/>
              <w:rPr>
                <w:b/>
                <w:sz w:val="24"/>
              </w:rPr>
            </w:pPr>
          </w:p>
          <w:p>
            <w:pPr>
              <w:pStyle w:val="TableParagraph"/>
              <w:spacing w:before="10"/>
              <w:rPr>
                <w:b/>
                <w:sz w:val="19"/>
              </w:rPr>
            </w:pPr>
          </w:p>
          <w:p>
            <w:pPr>
              <w:pStyle w:val="TableParagraph"/>
              <w:ind w:left="10"/>
              <w:jc w:val="center"/>
              <w:rPr>
                <w:sz w:val="22"/>
              </w:rPr>
            </w:pPr>
            <w:r>
              <w:rPr>
                <w:w w:val="99"/>
                <w:sz w:val="22"/>
              </w:rPr>
              <w:t>X</w:t>
            </w:r>
          </w:p>
        </w:tc>
        <w:tc>
          <w:tcPr>
            <w:tcW w:w="1851" w:type="dxa"/>
          </w:tcPr>
          <w:p>
            <w:pPr>
              <w:pStyle w:val="TableParagraph"/>
              <w:rPr>
                <w:b/>
                <w:sz w:val="24"/>
              </w:rPr>
            </w:pPr>
          </w:p>
          <w:p>
            <w:pPr>
              <w:pStyle w:val="TableParagraph"/>
              <w:spacing w:before="10"/>
              <w:rPr>
                <w:b/>
                <w:sz w:val="19"/>
              </w:rPr>
            </w:pPr>
          </w:p>
          <w:p>
            <w:pPr>
              <w:pStyle w:val="TableParagraph"/>
              <w:ind w:left="8"/>
              <w:jc w:val="center"/>
              <w:rPr>
                <w:sz w:val="22"/>
              </w:rPr>
            </w:pPr>
            <w:r>
              <w:rPr>
                <w:w w:val="99"/>
                <w:sz w:val="22"/>
              </w:rPr>
              <w:t>X</w:t>
            </w:r>
          </w:p>
        </w:tc>
        <w:tc>
          <w:tcPr>
            <w:tcW w:w="1846" w:type="dxa"/>
          </w:tcPr>
          <w:p>
            <w:pPr>
              <w:pStyle w:val="TableParagraph"/>
              <w:rPr>
                <w:b/>
                <w:sz w:val="24"/>
              </w:rPr>
            </w:pPr>
          </w:p>
          <w:p>
            <w:pPr>
              <w:pStyle w:val="TableParagraph"/>
              <w:spacing w:before="10"/>
              <w:rPr>
                <w:b/>
                <w:sz w:val="19"/>
              </w:rPr>
            </w:pPr>
          </w:p>
          <w:p>
            <w:pPr>
              <w:pStyle w:val="TableParagraph"/>
              <w:ind w:left="7"/>
              <w:jc w:val="center"/>
              <w:rPr>
                <w:sz w:val="22"/>
              </w:rPr>
            </w:pPr>
            <w:r>
              <w:rPr>
                <w:w w:val="99"/>
                <w:sz w:val="22"/>
              </w:rPr>
              <w:t>X</w:t>
            </w:r>
          </w:p>
        </w:tc>
      </w:tr>
      <w:tr>
        <w:trPr>
          <w:trHeight w:val="506" w:hRule="atLeast"/>
        </w:trPr>
        <w:tc>
          <w:tcPr>
            <w:tcW w:w="1937" w:type="dxa"/>
          </w:tcPr>
          <w:p>
            <w:pPr>
              <w:pStyle w:val="TableParagraph"/>
              <w:spacing w:line="254" w:lineRule="exact"/>
              <w:ind w:left="107"/>
              <w:rPr>
                <w:b/>
                <w:sz w:val="22"/>
              </w:rPr>
            </w:pPr>
            <w:r>
              <w:rPr>
                <w:b/>
                <w:spacing w:val="-4"/>
                <w:sz w:val="22"/>
              </w:rPr>
              <w:t>Day </w:t>
            </w:r>
            <w:r>
              <w:rPr>
                <w:b/>
                <w:spacing w:val="-2"/>
                <w:sz w:val="22"/>
              </w:rPr>
              <w:t>Habilitation****</w:t>
            </w:r>
          </w:p>
        </w:tc>
        <w:tc>
          <w:tcPr>
            <w:tcW w:w="1848" w:type="dxa"/>
          </w:tcPr>
          <w:p>
            <w:pPr>
              <w:pStyle w:val="TableParagraph"/>
              <w:spacing w:before="125"/>
              <w:ind w:right="838"/>
              <w:jc w:val="right"/>
              <w:rPr>
                <w:sz w:val="22"/>
              </w:rPr>
            </w:pPr>
            <w:r>
              <w:rPr>
                <w:w w:val="93"/>
                <w:sz w:val="22"/>
              </w:rPr>
              <w:t>X</w:t>
            </w:r>
          </w:p>
        </w:tc>
        <w:tc>
          <w:tcPr>
            <w:tcW w:w="1870" w:type="dxa"/>
          </w:tcPr>
          <w:p>
            <w:pPr>
              <w:pStyle w:val="TableParagraph"/>
              <w:spacing w:before="125"/>
              <w:ind w:left="10"/>
              <w:jc w:val="center"/>
              <w:rPr>
                <w:sz w:val="22"/>
              </w:rPr>
            </w:pPr>
            <w:r>
              <w:rPr>
                <w:w w:val="99"/>
                <w:sz w:val="22"/>
              </w:rPr>
              <w:t>X</w:t>
            </w:r>
          </w:p>
        </w:tc>
        <w:tc>
          <w:tcPr>
            <w:tcW w:w="1851" w:type="dxa"/>
          </w:tcPr>
          <w:p>
            <w:pPr>
              <w:pStyle w:val="TableParagraph"/>
              <w:rPr>
                <w:sz w:val="20"/>
              </w:rPr>
            </w:pPr>
          </w:p>
        </w:tc>
        <w:tc>
          <w:tcPr>
            <w:tcW w:w="1846" w:type="dxa"/>
          </w:tcPr>
          <w:p>
            <w:pPr>
              <w:pStyle w:val="TableParagraph"/>
              <w:rPr>
                <w:sz w:val="20"/>
              </w:rPr>
            </w:pPr>
          </w:p>
        </w:tc>
      </w:tr>
      <w:tr>
        <w:trPr>
          <w:trHeight w:val="429" w:hRule="atLeast"/>
        </w:trPr>
        <w:tc>
          <w:tcPr>
            <w:tcW w:w="1937" w:type="dxa"/>
          </w:tcPr>
          <w:p>
            <w:pPr>
              <w:pStyle w:val="TableParagraph"/>
              <w:spacing w:before="87"/>
              <w:ind w:left="107"/>
              <w:rPr>
                <w:b/>
                <w:sz w:val="22"/>
              </w:rPr>
            </w:pPr>
            <w:r>
              <w:rPr>
                <w:b/>
                <w:sz w:val="22"/>
              </w:rPr>
              <w:t>Dental</w:t>
            </w:r>
            <w:r>
              <w:rPr>
                <w:b/>
                <w:spacing w:val="-2"/>
                <w:sz w:val="22"/>
              </w:rPr>
              <w:t> Services</w:t>
            </w:r>
          </w:p>
        </w:tc>
        <w:tc>
          <w:tcPr>
            <w:tcW w:w="1848" w:type="dxa"/>
          </w:tcPr>
          <w:p>
            <w:pPr>
              <w:pStyle w:val="TableParagraph"/>
              <w:spacing w:before="87"/>
              <w:ind w:right="838"/>
              <w:jc w:val="right"/>
              <w:rPr>
                <w:sz w:val="22"/>
              </w:rPr>
            </w:pPr>
            <w:r>
              <w:rPr>
                <w:w w:val="93"/>
                <w:sz w:val="22"/>
              </w:rPr>
              <w:t>X</w:t>
            </w:r>
          </w:p>
        </w:tc>
        <w:tc>
          <w:tcPr>
            <w:tcW w:w="1870" w:type="dxa"/>
          </w:tcPr>
          <w:p>
            <w:pPr>
              <w:pStyle w:val="TableParagraph"/>
              <w:spacing w:before="87"/>
              <w:ind w:left="10"/>
              <w:jc w:val="center"/>
              <w:rPr>
                <w:sz w:val="22"/>
              </w:rPr>
            </w:pPr>
            <w:r>
              <w:rPr>
                <w:w w:val="99"/>
                <w:sz w:val="22"/>
              </w:rPr>
              <w:t>X</w:t>
            </w:r>
          </w:p>
        </w:tc>
        <w:tc>
          <w:tcPr>
            <w:tcW w:w="1851" w:type="dxa"/>
          </w:tcPr>
          <w:p>
            <w:pPr>
              <w:pStyle w:val="TableParagraph"/>
              <w:spacing w:before="87"/>
              <w:ind w:left="8"/>
              <w:jc w:val="center"/>
              <w:rPr>
                <w:sz w:val="22"/>
              </w:rPr>
            </w:pPr>
            <w:r>
              <w:rPr>
                <w:w w:val="99"/>
                <w:sz w:val="22"/>
              </w:rPr>
              <w:t>X</w:t>
            </w:r>
          </w:p>
        </w:tc>
        <w:tc>
          <w:tcPr>
            <w:tcW w:w="1846" w:type="dxa"/>
          </w:tcPr>
          <w:p>
            <w:pPr>
              <w:pStyle w:val="TableParagraph"/>
              <w:spacing w:before="87"/>
              <w:ind w:left="7"/>
              <w:jc w:val="center"/>
              <w:rPr>
                <w:sz w:val="22"/>
              </w:rPr>
            </w:pPr>
            <w:r>
              <w:rPr>
                <w:w w:val="99"/>
                <w:sz w:val="22"/>
              </w:rPr>
              <w:t>X</w:t>
            </w:r>
          </w:p>
        </w:tc>
      </w:tr>
      <w:tr>
        <w:trPr>
          <w:trHeight w:val="760" w:hRule="atLeast"/>
        </w:trPr>
        <w:tc>
          <w:tcPr>
            <w:tcW w:w="1937" w:type="dxa"/>
          </w:tcPr>
          <w:p>
            <w:pPr>
              <w:pStyle w:val="TableParagraph"/>
              <w:spacing w:line="252" w:lineRule="exact"/>
              <w:ind w:left="107"/>
              <w:rPr>
                <w:b/>
                <w:sz w:val="22"/>
              </w:rPr>
            </w:pPr>
            <w:r>
              <w:rPr>
                <w:b/>
                <w:spacing w:val="-2"/>
                <w:sz w:val="22"/>
              </w:rPr>
              <w:t>Diversionary </w:t>
            </w:r>
            <w:r>
              <w:rPr>
                <w:b/>
                <w:sz w:val="22"/>
              </w:rPr>
              <w:t>Behavioral</w:t>
            </w:r>
            <w:r>
              <w:rPr>
                <w:b/>
                <w:spacing w:val="-14"/>
                <w:sz w:val="22"/>
              </w:rPr>
              <w:t> </w:t>
            </w:r>
            <w:r>
              <w:rPr>
                <w:b/>
                <w:sz w:val="22"/>
              </w:rPr>
              <w:t>Health </w:t>
            </w:r>
            <w:r>
              <w:rPr>
                <w:b/>
                <w:spacing w:val="-2"/>
                <w:sz w:val="22"/>
              </w:rPr>
              <w:t>Services</w:t>
            </w:r>
          </w:p>
        </w:tc>
        <w:tc>
          <w:tcPr>
            <w:tcW w:w="1848" w:type="dxa"/>
          </w:tcPr>
          <w:p>
            <w:pPr>
              <w:pStyle w:val="TableParagraph"/>
              <w:spacing w:before="11"/>
              <w:rPr>
                <w:b/>
                <w:sz w:val="21"/>
              </w:rPr>
            </w:pPr>
          </w:p>
          <w:p>
            <w:pPr>
              <w:pStyle w:val="TableParagraph"/>
              <w:ind w:right="838"/>
              <w:jc w:val="right"/>
              <w:rPr>
                <w:sz w:val="22"/>
              </w:rPr>
            </w:pPr>
            <w:r>
              <w:rPr>
                <w:w w:val="93"/>
                <w:sz w:val="22"/>
              </w:rPr>
              <w:t>X</w:t>
            </w:r>
          </w:p>
        </w:tc>
        <w:tc>
          <w:tcPr>
            <w:tcW w:w="1870" w:type="dxa"/>
          </w:tcPr>
          <w:p>
            <w:pPr>
              <w:pStyle w:val="TableParagraph"/>
              <w:spacing w:before="11"/>
              <w:rPr>
                <w:b/>
                <w:sz w:val="21"/>
              </w:rPr>
            </w:pPr>
          </w:p>
          <w:p>
            <w:pPr>
              <w:pStyle w:val="TableParagraph"/>
              <w:ind w:left="10"/>
              <w:jc w:val="center"/>
              <w:rPr>
                <w:sz w:val="22"/>
              </w:rPr>
            </w:pPr>
            <w:r>
              <w:rPr>
                <w:w w:val="99"/>
                <w:sz w:val="22"/>
              </w:rPr>
              <w:t>X</w:t>
            </w:r>
          </w:p>
        </w:tc>
        <w:tc>
          <w:tcPr>
            <w:tcW w:w="1851" w:type="dxa"/>
          </w:tcPr>
          <w:p>
            <w:pPr>
              <w:pStyle w:val="TableParagraph"/>
              <w:spacing w:before="11"/>
              <w:rPr>
                <w:b/>
                <w:sz w:val="21"/>
              </w:rPr>
            </w:pPr>
          </w:p>
          <w:p>
            <w:pPr>
              <w:pStyle w:val="TableParagraph"/>
              <w:ind w:left="8"/>
              <w:jc w:val="center"/>
              <w:rPr>
                <w:sz w:val="22"/>
              </w:rPr>
            </w:pPr>
            <w:r>
              <w:rPr>
                <w:w w:val="99"/>
                <w:sz w:val="22"/>
              </w:rPr>
              <w:t>X</w:t>
            </w:r>
          </w:p>
        </w:tc>
        <w:tc>
          <w:tcPr>
            <w:tcW w:w="1846" w:type="dxa"/>
          </w:tcPr>
          <w:p>
            <w:pPr>
              <w:pStyle w:val="TableParagraph"/>
              <w:spacing w:before="11"/>
              <w:rPr>
                <w:b/>
                <w:sz w:val="21"/>
              </w:rPr>
            </w:pPr>
          </w:p>
          <w:p>
            <w:pPr>
              <w:pStyle w:val="TableParagraph"/>
              <w:ind w:left="7"/>
              <w:jc w:val="center"/>
              <w:rPr>
                <w:sz w:val="22"/>
              </w:rPr>
            </w:pPr>
            <w:r>
              <w:rPr>
                <w:w w:val="99"/>
                <w:sz w:val="22"/>
              </w:rPr>
              <w:t>X</w:t>
            </w:r>
          </w:p>
        </w:tc>
      </w:tr>
      <w:tr>
        <w:trPr>
          <w:trHeight w:val="758" w:hRule="atLeast"/>
        </w:trPr>
        <w:tc>
          <w:tcPr>
            <w:tcW w:w="1937" w:type="dxa"/>
          </w:tcPr>
          <w:p>
            <w:pPr>
              <w:pStyle w:val="TableParagraph"/>
              <w:ind w:left="107" w:right="231"/>
              <w:rPr>
                <w:b/>
                <w:sz w:val="22"/>
              </w:rPr>
            </w:pPr>
            <w:r>
              <w:rPr>
                <w:b/>
                <w:sz w:val="22"/>
              </w:rPr>
              <w:t>Durable</w:t>
            </w:r>
            <w:r>
              <w:rPr>
                <w:b/>
                <w:spacing w:val="-14"/>
                <w:sz w:val="22"/>
              </w:rPr>
              <w:t> </w:t>
            </w:r>
            <w:r>
              <w:rPr>
                <w:b/>
                <w:sz w:val="22"/>
              </w:rPr>
              <w:t>Medical Equipment and</w:t>
            </w:r>
          </w:p>
          <w:p>
            <w:pPr>
              <w:pStyle w:val="TableParagraph"/>
              <w:spacing w:line="233" w:lineRule="exact"/>
              <w:ind w:left="107"/>
              <w:rPr>
                <w:b/>
                <w:sz w:val="22"/>
              </w:rPr>
            </w:pPr>
            <w:r>
              <w:rPr>
                <w:b/>
                <w:spacing w:val="-2"/>
                <w:sz w:val="22"/>
              </w:rPr>
              <w:t>Supplies</w:t>
            </w:r>
          </w:p>
        </w:tc>
        <w:tc>
          <w:tcPr>
            <w:tcW w:w="1848" w:type="dxa"/>
          </w:tcPr>
          <w:p>
            <w:pPr>
              <w:pStyle w:val="TableParagraph"/>
              <w:spacing w:before="8"/>
              <w:rPr>
                <w:b/>
                <w:sz w:val="21"/>
              </w:rPr>
            </w:pPr>
          </w:p>
          <w:p>
            <w:pPr>
              <w:pStyle w:val="TableParagraph"/>
              <w:spacing w:before="1"/>
              <w:ind w:right="838"/>
              <w:jc w:val="right"/>
              <w:rPr>
                <w:sz w:val="22"/>
              </w:rPr>
            </w:pPr>
            <w:r>
              <w:rPr>
                <w:w w:val="93"/>
                <w:sz w:val="22"/>
              </w:rPr>
              <w:t>X</w:t>
            </w:r>
          </w:p>
        </w:tc>
        <w:tc>
          <w:tcPr>
            <w:tcW w:w="1870" w:type="dxa"/>
          </w:tcPr>
          <w:p>
            <w:pPr>
              <w:pStyle w:val="TableParagraph"/>
              <w:spacing w:before="8"/>
              <w:rPr>
                <w:b/>
                <w:sz w:val="21"/>
              </w:rPr>
            </w:pPr>
          </w:p>
          <w:p>
            <w:pPr>
              <w:pStyle w:val="TableParagraph"/>
              <w:spacing w:before="1"/>
              <w:ind w:left="10"/>
              <w:jc w:val="center"/>
              <w:rPr>
                <w:sz w:val="22"/>
              </w:rPr>
            </w:pPr>
            <w:r>
              <w:rPr>
                <w:w w:val="99"/>
                <w:sz w:val="22"/>
              </w:rPr>
              <w:t>X</w:t>
            </w:r>
          </w:p>
        </w:tc>
        <w:tc>
          <w:tcPr>
            <w:tcW w:w="1851" w:type="dxa"/>
          </w:tcPr>
          <w:p>
            <w:pPr>
              <w:pStyle w:val="TableParagraph"/>
              <w:spacing w:before="8"/>
              <w:rPr>
                <w:b/>
                <w:sz w:val="21"/>
              </w:rPr>
            </w:pPr>
          </w:p>
          <w:p>
            <w:pPr>
              <w:pStyle w:val="TableParagraph"/>
              <w:spacing w:before="1"/>
              <w:ind w:left="8"/>
              <w:jc w:val="center"/>
              <w:rPr>
                <w:sz w:val="22"/>
              </w:rPr>
            </w:pPr>
            <w:r>
              <w:rPr>
                <w:w w:val="99"/>
                <w:sz w:val="22"/>
              </w:rPr>
              <w:t>X</w:t>
            </w:r>
          </w:p>
        </w:tc>
        <w:tc>
          <w:tcPr>
            <w:tcW w:w="1846" w:type="dxa"/>
          </w:tcPr>
          <w:p>
            <w:pPr>
              <w:pStyle w:val="TableParagraph"/>
              <w:spacing w:before="8"/>
              <w:rPr>
                <w:b/>
                <w:sz w:val="21"/>
              </w:rPr>
            </w:pPr>
          </w:p>
          <w:p>
            <w:pPr>
              <w:pStyle w:val="TableParagraph"/>
              <w:spacing w:before="1"/>
              <w:ind w:left="7"/>
              <w:jc w:val="center"/>
              <w:rPr>
                <w:sz w:val="22"/>
              </w:rPr>
            </w:pPr>
            <w:r>
              <w:rPr>
                <w:w w:val="99"/>
                <w:sz w:val="22"/>
              </w:rPr>
              <w:t>X</w:t>
            </w:r>
          </w:p>
        </w:tc>
      </w:tr>
      <w:tr>
        <w:trPr>
          <w:trHeight w:val="505" w:hRule="atLeast"/>
        </w:trPr>
        <w:tc>
          <w:tcPr>
            <w:tcW w:w="1937" w:type="dxa"/>
          </w:tcPr>
          <w:p>
            <w:pPr>
              <w:pStyle w:val="TableParagraph"/>
              <w:spacing w:line="254" w:lineRule="exact"/>
              <w:ind w:left="107" w:right="292"/>
              <w:rPr>
                <w:b/>
                <w:sz w:val="22"/>
              </w:rPr>
            </w:pPr>
            <w:r>
              <w:rPr>
                <w:b/>
                <w:spacing w:val="-2"/>
                <w:sz w:val="22"/>
              </w:rPr>
              <w:t>Early Intervention</w:t>
            </w:r>
          </w:p>
        </w:tc>
        <w:tc>
          <w:tcPr>
            <w:tcW w:w="1848" w:type="dxa"/>
          </w:tcPr>
          <w:p>
            <w:pPr>
              <w:pStyle w:val="TableParagraph"/>
              <w:spacing w:before="125"/>
              <w:ind w:right="838"/>
              <w:jc w:val="right"/>
              <w:rPr>
                <w:sz w:val="22"/>
              </w:rPr>
            </w:pPr>
            <w:r>
              <w:rPr>
                <w:w w:val="93"/>
                <w:sz w:val="22"/>
              </w:rPr>
              <w:t>X</w:t>
            </w:r>
          </w:p>
        </w:tc>
        <w:tc>
          <w:tcPr>
            <w:tcW w:w="1870" w:type="dxa"/>
          </w:tcPr>
          <w:p>
            <w:pPr>
              <w:pStyle w:val="TableParagraph"/>
              <w:spacing w:before="125"/>
              <w:ind w:left="10"/>
              <w:jc w:val="center"/>
              <w:rPr>
                <w:sz w:val="22"/>
              </w:rPr>
            </w:pPr>
            <w:r>
              <w:rPr>
                <w:w w:val="99"/>
                <w:sz w:val="22"/>
              </w:rPr>
              <w:t>X</w:t>
            </w:r>
          </w:p>
        </w:tc>
        <w:tc>
          <w:tcPr>
            <w:tcW w:w="1851" w:type="dxa"/>
          </w:tcPr>
          <w:p>
            <w:pPr>
              <w:pStyle w:val="TableParagraph"/>
              <w:spacing w:before="125"/>
              <w:ind w:left="8"/>
              <w:jc w:val="center"/>
              <w:rPr>
                <w:sz w:val="22"/>
              </w:rPr>
            </w:pPr>
            <w:r>
              <w:rPr>
                <w:w w:val="99"/>
                <w:sz w:val="22"/>
              </w:rPr>
              <w:t>X</w:t>
            </w:r>
          </w:p>
        </w:tc>
        <w:tc>
          <w:tcPr>
            <w:tcW w:w="1846" w:type="dxa"/>
          </w:tcPr>
          <w:p>
            <w:pPr>
              <w:pStyle w:val="TableParagraph"/>
              <w:rPr>
                <w:sz w:val="20"/>
              </w:rPr>
            </w:pPr>
          </w:p>
        </w:tc>
      </w:tr>
    </w:tbl>
    <w:p>
      <w:pPr>
        <w:spacing w:after="0"/>
        <w:rPr>
          <w:sz w:val="20"/>
        </w:rPr>
        <w:sectPr>
          <w:pgSz w:w="12240" w:h="15840"/>
          <w:pgMar w:header="0" w:footer="1201" w:top="1420" w:bottom="1759" w:left="1200" w:right="400"/>
        </w:sectPr>
      </w:pPr>
    </w:p>
    <w:tbl>
      <w:tblPr>
        <w:tblW w:w="0" w:type="auto"/>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37"/>
        <w:gridCol w:w="1848"/>
        <w:gridCol w:w="1870"/>
        <w:gridCol w:w="1851"/>
        <w:gridCol w:w="1846"/>
      </w:tblGrid>
      <w:tr>
        <w:trPr>
          <w:trHeight w:val="412" w:hRule="atLeast"/>
        </w:trPr>
        <w:tc>
          <w:tcPr>
            <w:tcW w:w="9352" w:type="dxa"/>
            <w:gridSpan w:val="5"/>
            <w:shd w:val="clear" w:color="auto" w:fill="DBE6F1"/>
          </w:tcPr>
          <w:p>
            <w:pPr>
              <w:pStyle w:val="TableParagraph"/>
              <w:spacing w:before="1"/>
              <w:ind w:left="1888" w:right="1881"/>
              <w:jc w:val="center"/>
              <w:rPr>
                <w:b/>
                <w:sz w:val="22"/>
              </w:rPr>
            </w:pPr>
            <w:r>
              <w:rPr>
                <w:b/>
                <w:sz w:val="22"/>
              </w:rPr>
              <w:t>Table</w:t>
            </w:r>
            <w:r>
              <w:rPr>
                <w:b/>
                <w:spacing w:val="-5"/>
                <w:sz w:val="22"/>
              </w:rPr>
              <w:t> </w:t>
            </w:r>
            <w:r>
              <w:rPr>
                <w:b/>
                <w:sz w:val="22"/>
              </w:rPr>
              <w:t>4:</w:t>
            </w:r>
            <w:r>
              <w:rPr>
                <w:b/>
                <w:spacing w:val="-3"/>
                <w:sz w:val="22"/>
              </w:rPr>
              <w:t> </w:t>
            </w:r>
            <w:r>
              <w:rPr>
                <w:b/>
                <w:sz w:val="22"/>
              </w:rPr>
              <w:t>Summary</w:t>
            </w:r>
            <w:r>
              <w:rPr>
                <w:b/>
                <w:spacing w:val="-4"/>
                <w:sz w:val="22"/>
              </w:rPr>
              <w:t> </w:t>
            </w:r>
            <w:r>
              <w:rPr>
                <w:b/>
                <w:sz w:val="22"/>
              </w:rPr>
              <w:t>of</w:t>
            </w:r>
            <w:r>
              <w:rPr>
                <w:b/>
                <w:spacing w:val="-4"/>
                <w:sz w:val="22"/>
              </w:rPr>
              <w:t> </w:t>
            </w:r>
            <w:r>
              <w:rPr>
                <w:b/>
                <w:sz w:val="22"/>
              </w:rPr>
              <w:t>MassHealth</w:t>
            </w:r>
            <w:r>
              <w:rPr>
                <w:b/>
                <w:spacing w:val="-5"/>
                <w:sz w:val="22"/>
              </w:rPr>
              <w:t> </w:t>
            </w:r>
            <w:r>
              <w:rPr>
                <w:b/>
                <w:sz w:val="22"/>
              </w:rPr>
              <w:t>Direct</w:t>
            </w:r>
            <w:r>
              <w:rPr>
                <w:b/>
                <w:spacing w:val="-3"/>
                <w:sz w:val="22"/>
              </w:rPr>
              <w:t> </w:t>
            </w:r>
            <w:r>
              <w:rPr>
                <w:b/>
                <w:sz w:val="22"/>
              </w:rPr>
              <w:t>Coverage</w:t>
            </w:r>
            <w:r>
              <w:rPr>
                <w:b/>
                <w:spacing w:val="-6"/>
                <w:sz w:val="22"/>
              </w:rPr>
              <w:t> </w:t>
            </w:r>
            <w:r>
              <w:rPr>
                <w:b/>
                <w:spacing w:val="-2"/>
                <w:sz w:val="22"/>
              </w:rPr>
              <w:t>Benefits</w:t>
            </w:r>
          </w:p>
        </w:tc>
      </w:tr>
      <w:tr>
        <w:trPr>
          <w:trHeight w:val="505" w:hRule="atLeast"/>
        </w:trPr>
        <w:tc>
          <w:tcPr>
            <w:tcW w:w="1937" w:type="dxa"/>
            <w:shd w:val="clear" w:color="auto" w:fill="DBE6F1"/>
          </w:tcPr>
          <w:p>
            <w:pPr>
              <w:pStyle w:val="TableParagraph"/>
              <w:spacing w:before="125"/>
              <w:ind w:left="587"/>
              <w:rPr>
                <w:b/>
                <w:sz w:val="22"/>
              </w:rPr>
            </w:pPr>
            <w:r>
              <w:rPr>
                <w:b/>
                <w:spacing w:val="-2"/>
                <w:sz w:val="22"/>
              </w:rPr>
              <w:t>Benefits</w:t>
            </w:r>
          </w:p>
        </w:tc>
        <w:tc>
          <w:tcPr>
            <w:tcW w:w="1848" w:type="dxa"/>
            <w:shd w:val="clear" w:color="auto" w:fill="DBE6F1"/>
          </w:tcPr>
          <w:p>
            <w:pPr>
              <w:pStyle w:val="TableParagraph"/>
              <w:spacing w:line="254" w:lineRule="exact"/>
              <w:ind w:left="234" w:right="222" w:firstLine="216"/>
              <w:rPr>
                <w:b/>
                <w:sz w:val="22"/>
              </w:rPr>
            </w:pPr>
            <w:r>
              <w:rPr>
                <w:b/>
                <w:spacing w:val="-2"/>
                <w:sz w:val="22"/>
              </w:rPr>
              <w:t>Standard/ </w:t>
            </w:r>
            <w:r>
              <w:rPr>
                <w:b/>
                <w:sz w:val="22"/>
              </w:rPr>
              <w:t>Standard</w:t>
            </w:r>
            <w:r>
              <w:rPr>
                <w:b/>
                <w:spacing w:val="-14"/>
                <w:sz w:val="22"/>
              </w:rPr>
              <w:t> </w:t>
            </w:r>
            <w:r>
              <w:rPr>
                <w:b/>
                <w:sz w:val="22"/>
              </w:rPr>
              <w:t>ABP</w:t>
            </w:r>
          </w:p>
        </w:tc>
        <w:tc>
          <w:tcPr>
            <w:tcW w:w="1870" w:type="dxa"/>
            <w:shd w:val="clear" w:color="auto" w:fill="DBE6F1"/>
          </w:tcPr>
          <w:p>
            <w:pPr>
              <w:pStyle w:val="TableParagraph"/>
              <w:spacing w:before="125"/>
              <w:ind w:left="174" w:right="165"/>
              <w:jc w:val="center"/>
              <w:rPr>
                <w:b/>
                <w:sz w:val="22"/>
              </w:rPr>
            </w:pPr>
            <w:r>
              <w:rPr>
                <w:b/>
                <w:spacing w:val="-2"/>
                <w:sz w:val="22"/>
              </w:rPr>
              <w:t>CommonHealth</w:t>
            </w:r>
          </w:p>
        </w:tc>
        <w:tc>
          <w:tcPr>
            <w:tcW w:w="1851" w:type="dxa"/>
            <w:shd w:val="clear" w:color="auto" w:fill="DBE6F1"/>
          </w:tcPr>
          <w:p>
            <w:pPr>
              <w:pStyle w:val="TableParagraph"/>
              <w:spacing w:line="254" w:lineRule="exact"/>
              <w:ind w:left="436" w:firstLine="156"/>
              <w:rPr>
                <w:b/>
                <w:sz w:val="22"/>
              </w:rPr>
            </w:pPr>
            <w:r>
              <w:rPr>
                <w:b/>
                <w:spacing w:val="-2"/>
                <w:sz w:val="22"/>
              </w:rPr>
              <w:t>Family Assistance</w:t>
            </w:r>
          </w:p>
        </w:tc>
        <w:tc>
          <w:tcPr>
            <w:tcW w:w="1846" w:type="dxa"/>
            <w:shd w:val="clear" w:color="auto" w:fill="DBE6F1"/>
          </w:tcPr>
          <w:p>
            <w:pPr>
              <w:pStyle w:val="TableParagraph"/>
              <w:spacing w:before="125"/>
              <w:ind w:left="475" w:right="469"/>
              <w:jc w:val="center"/>
              <w:rPr>
                <w:b/>
                <w:sz w:val="22"/>
              </w:rPr>
            </w:pPr>
            <w:r>
              <w:rPr>
                <w:b/>
                <w:spacing w:val="-2"/>
                <w:sz w:val="22"/>
              </w:rPr>
              <w:t>CarePlus</w:t>
            </w:r>
          </w:p>
        </w:tc>
      </w:tr>
      <w:tr>
        <w:trPr>
          <w:trHeight w:val="429" w:hRule="atLeast"/>
        </w:trPr>
        <w:tc>
          <w:tcPr>
            <w:tcW w:w="1937" w:type="dxa"/>
          </w:tcPr>
          <w:p>
            <w:pPr>
              <w:pStyle w:val="TableParagraph"/>
              <w:spacing w:before="87"/>
              <w:ind w:left="107"/>
              <w:rPr>
                <w:b/>
                <w:sz w:val="22"/>
              </w:rPr>
            </w:pPr>
            <w:r>
              <w:rPr>
                <w:b/>
                <w:sz w:val="22"/>
              </w:rPr>
              <w:t>Family</w:t>
            </w:r>
            <w:r>
              <w:rPr>
                <w:b/>
                <w:spacing w:val="-6"/>
                <w:sz w:val="22"/>
              </w:rPr>
              <w:t> </w:t>
            </w:r>
            <w:r>
              <w:rPr>
                <w:b/>
                <w:spacing w:val="-2"/>
                <w:sz w:val="22"/>
              </w:rPr>
              <w:t>Planning</w:t>
            </w:r>
          </w:p>
        </w:tc>
        <w:tc>
          <w:tcPr>
            <w:tcW w:w="1848" w:type="dxa"/>
          </w:tcPr>
          <w:p>
            <w:pPr>
              <w:pStyle w:val="TableParagraph"/>
              <w:spacing w:before="87"/>
              <w:ind w:right="838"/>
              <w:jc w:val="right"/>
              <w:rPr>
                <w:sz w:val="22"/>
              </w:rPr>
            </w:pPr>
            <w:r>
              <w:rPr>
                <w:w w:val="93"/>
                <w:sz w:val="22"/>
              </w:rPr>
              <w:t>X</w:t>
            </w:r>
          </w:p>
        </w:tc>
        <w:tc>
          <w:tcPr>
            <w:tcW w:w="1870" w:type="dxa"/>
          </w:tcPr>
          <w:p>
            <w:pPr>
              <w:pStyle w:val="TableParagraph"/>
              <w:spacing w:before="87"/>
              <w:ind w:left="10"/>
              <w:jc w:val="center"/>
              <w:rPr>
                <w:sz w:val="22"/>
              </w:rPr>
            </w:pPr>
            <w:r>
              <w:rPr>
                <w:w w:val="99"/>
                <w:sz w:val="22"/>
              </w:rPr>
              <w:t>X</w:t>
            </w:r>
          </w:p>
        </w:tc>
        <w:tc>
          <w:tcPr>
            <w:tcW w:w="1851" w:type="dxa"/>
          </w:tcPr>
          <w:p>
            <w:pPr>
              <w:pStyle w:val="TableParagraph"/>
              <w:spacing w:before="87"/>
              <w:ind w:left="8"/>
              <w:jc w:val="center"/>
              <w:rPr>
                <w:sz w:val="22"/>
              </w:rPr>
            </w:pPr>
            <w:r>
              <w:rPr>
                <w:w w:val="99"/>
                <w:sz w:val="22"/>
              </w:rPr>
              <w:t>X</w:t>
            </w:r>
          </w:p>
        </w:tc>
        <w:tc>
          <w:tcPr>
            <w:tcW w:w="1846" w:type="dxa"/>
          </w:tcPr>
          <w:p>
            <w:pPr>
              <w:pStyle w:val="TableParagraph"/>
              <w:spacing w:before="87"/>
              <w:ind w:left="7"/>
              <w:jc w:val="center"/>
              <w:rPr>
                <w:sz w:val="22"/>
              </w:rPr>
            </w:pPr>
            <w:r>
              <w:rPr>
                <w:w w:val="99"/>
                <w:sz w:val="22"/>
              </w:rPr>
              <w:t>X</w:t>
            </w:r>
          </w:p>
        </w:tc>
      </w:tr>
      <w:tr>
        <w:trPr>
          <w:trHeight w:val="505" w:hRule="atLeast"/>
        </w:trPr>
        <w:tc>
          <w:tcPr>
            <w:tcW w:w="1937" w:type="dxa"/>
          </w:tcPr>
          <w:p>
            <w:pPr>
              <w:pStyle w:val="TableParagraph"/>
              <w:spacing w:line="252" w:lineRule="exact"/>
              <w:ind w:left="107" w:right="597"/>
              <w:rPr>
                <w:b/>
                <w:sz w:val="22"/>
              </w:rPr>
            </w:pPr>
            <w:r>
              <w:rPr>
                <w:b/>
                <w:sz w:val="22"/>
              </w:rPr>
              <w:t>Group</w:t>
            </w:r>
            <w:r>
              <w:rPr>
                <w:b/>
                <w:spacing w:val="-14"/>
                <w:sz w:val="22"/>
              </w:rPr>
              <w:t> </w:t>
            </w:r>
            <w:r>
              <w:rPr>
                <w:b/>
                <w:sz w:val="22"/>
              </w:rPr>
              <w:t>Adult Foster Care</w:t>
            </w:r>
          </w:p>
        </w:tc>
        <w:tc>
          <w:tcPr>
            <w:tcW w:w="1848" w:type="dxa"/>
          </w:tcPr>
          <w:p>
            <w:pPr>
              <w:pStyle w:val="TableParagraph"/>
              <w:spacing w:before="125"/>
              <w:ind w:right="838"/>
              <w:jc w:val="right"/>
              <w:rPr>
                <w:sz w:val="22"/>
              </w:rPr>
            </w:pPr>
            <w:r>
              <w:rPr>
                <w:w w:val="93"/>
                <w:sz w:val="22"/>
              </w:rPr>
              <w:t>X</w:t>
            </w:r>
          </w:p>
        </w:tc>
        <w:tc>
          <w:tcPr>
            <w:tcW w:w="1870" w:type="dxa"/>
          </w:tcPr>
          <w:p>
            <w:pPr>
              <w:pStyle w:val="TableParagraph"/>
              <w:spacing w:before="125"/>
              <w:ind w:left="10"/>
              <w:jc w:val="center"/>
              <w:rPr>
                <w:sz w:val="22"/>
              </w:rPr>
            </w:pPr>
            <w:r>
              <w:rPr>
                <w:w w:val="99"/>
                <w:sz w:val="22"/>
              </w:rPr>
              <w:t>X</w:t>
            </w:r>
          </w:p>
        </w:tc>
        <w:tc>
          <w:tcPr>
            <w:tcW w:w="1851" w:type="dxa"/>
          </w:tcPr>
          <w:p>
            <w:pPr>
              <w:pStyle w:val="TableParagraph"/>
              <w:rPr>
                <w:sz w:val="20"/>
              </w:rPr>
            </w:pPr>
          </w:p>
        </w:tc>
        <w:tc>
          <w:tcPr>
            <w:tcW w:w="1846" w:type="dxa"/>
          </w:tcPr>
          <w:p>
            <w:pPr>
              <w:pStyle w:val="TableParagraph"/>
              <w:rPr>
                <w:sz w:val="20"/>
              </w:rPr>
            </w:pPr>
          </w:p>
        </w:tc>
      </w:tr>
      <w:tr>
        <w:trPr>
          <w:trHeight w:val="434" w:hRule="atLeast"/>
        </w:trPr>
        <w:tc>
          <w:tcPr>
            <w:tcW w:w="1937" w:type="dxa"/>
          </w:tcPr>
          <w:p>
            <w:pPr>
              <w:pStyle w:val="TableParagraph"/>
              <w:spacing w:before="89"/>
              <w:ind w:left="107"/>
              <w:rPr>
                <w:b/>
                <w:sz w:val="22"/>
              </w:rPr>
            </w:pPr>
            <w:r>
              <w:rPr>
                <w:b/>
                <w:sz w:val="22"/>
              </w:rPr>
              <w:t>Hearing</w:t>
            </w:r>
            <w:r>
              <w:rPr>
                <w:b/>
                <w:spacing w:val="-3"/>
                <w:sz w:val="22"/>
              </w:rPr>
              <w:t> </w:t>
            </w:r>
            <w:r>
              <w:rPr>
                <w:b/>
                <w:spacing w:val="-4"/>
                <w:sz w:val="22"/>
              </w:rPr>
              <w:t>Aids</w:t>
            </w:r>
          </w:p>
        </w:tc>
        <w:tc>
          <w:tcPr>
            <w:tcW w:w="1848" w:type="dxa"/>
          </w:tcPr>
          <w:p>
            <w:pPr>
              <w:pStyle w:val="TableParagraph"/>
              <w:spacing w:before="89"/>
              <w:ind w:right="838"/>
              <w:jc w:val="right"/>
              <w:rPr>
                <w:sz w:val="22"/>
              </w:rPr>
            </w:pPr>
            <w:r>
              <w:rPr>
                <w:w w:val="93"/>
                <w:sz w:val="22"/>
              </w:rPr>
              <w:t>X</w:t>
            </w:r>
          </w:p>
        </w:tc>
        <w:tc>
          <w:tcPr>
            <w:tcW w:w="1870" w:type="dxa"/>
          </w:tcPr>
          <w:p>
            <w:pPr>
              <w:pStyle w:val="TableParagraph"/>
              <w:spacing w:before="89"/>
              <w:ind w:left="10"/>
              <w:jc w:val="center"/>
              <w:rPr>
                <w:sz w:val="22"/>
              </w:rPr>
            </w:pPr>
            <w:r>
              <w:rPr>
                <w:w w:val="99"/>
                <w:sz w:val="22"/>
              </w:rPr>
              <w:t>X</w:t>
            </w:r>
          </w:p>
        </w:tc>
        <w:tc>
          <w:tcPr>
            <w:tcW w:w="1851" w:type="dxa"/>
          </w:tcPr>
          <w:p>
            <w:pPr>
              <w:pStyle w:val="TableParagraph"/>
              <w:spacing w:before="89"/>
              <w:ind w:left="8"/>
              <w:jc w:val="center"/>
              <w:rPr>
                <w:sz w:val="22"/>
              </w:rPr>
            </w:pPr>
            <w:r>
              <w:rPr>
                <w:w w:val="99"/>
                <w:sz w:val="22"/>
              </w:rPr>
              <w:t>X</w:t>
            </w:r>
          </w:p>
        </w:tc>
        <w:tc>
          <w:tcPr>
            <w:tcW w:w="1846" w:type="dxa"/>
          </w:tcPr>
          <w:p>
            <w:pPr>
              <w:pStyle w:val="TableParagraph"/>
              <w:spacing w:before="89"/>
              <w:ind w:left="7"/>
              <w:jc w:val="center"/>
              <w:rPr>
                <w:sz w:val="22"/>
              </w:rPr>
            </w:pPr>
            <w:r>
              <w:rPr>
                <w:w w:val="99"/>
                <w:sz w:val="22"/>
              </w:rPr>
              <w:t>X</w:t>
            </w:r>
          </w:p>
        </w:tc>
      </w:tr>
      <w:tr>
        <w:trPr>
          <w:trHeight w:val="431" w:hRule="atLeast"/>
        </w:trPr>
        <w:tc>
          <w:tcPr>
            <w:tcW w:w="1937" w:type="dxa"/>
          </w:tcPr>
          <w:p>
            <w:pPr>
              <w:pStyle w:val="TableParagraph"/>
              <w:spacing w:before="87"/>
              <w:ind w:left="107"/>
              <w:rPr>
                <w:b/>
                <w:sz w:val="22"/>
              </w:rPr>
            </w:pPr>
            <w:r>
              <w:rPr>
                <w:b/>
                <w:sz w:val="22"/>
              </w:rPr>
              <w:t>Home</w:t>
            </w:r>
            <w:r>
              <w:rPr>
                <w:b/>
                <w:spacing w:val="-5"/>
                <w:sz w:val="22"/>
              </w:rPr>
              <w:t> </w:t>
            </w:r>
            <w:r>
              <w:rPr>
                <w:b/>
                <w:spacing w:val="-2"/>
                <w:sz w:val="22"/>
              </w:rPr>
              <w:t>Health</w:t>
            </w:r>
          </w:p>
        </w:tc>
        <w:tc>
          <w:tcPr>
            <w:tcW w:w="1848" w:type="dxa"/>
          </w:tcPr>
          <w:p>
            <w:pPr>
              <w:pStyle w:val="TableParagraph"/>
              <w:spacing w:before="87"/>
              <w:ind w:right="838"/>
              <w:jc w:val="right"/>
              <w:rPr>
                <w:sz w:val="22"/>
              </w:rPr>
            </w:pPr>
            <w:r>
              <w:rPr>
                <w:w w:val="93"/>
                <w:sz w:val="22"/>
              </w:rPr>
              <w:t>X</w:t>
            </w:r>
          </w:p>
        </w:tc>
        <w:tc>
          <w:tcPr>
            <w:tcW w:w="1870" w:type="dxa"/>
          </w:tcPr>
          <w:p>
            <w:pPr>
              <w:pStyle w:val="TableParagraph"/>
              <w:spacing w:before="87"/>
              <w:ind w:left="10"/>
              <w:jc w:val="center"/>
              <w:rPr>
                <w:sz w:val="22"/>
              </w:rPr>
            </w:pPr>
            <w:r>
              <w:rPr>
                <w:w w:val="99"/>
                <w:sz w:val="22"/>
              </w:rPr>
              <w:t>X</w:t>
            </w:r>
          </w:p>
        </w:tc>
        <w:tc>
          <w:tcPr>
            <w:tcW w:w="1851" w:type="dxa"/>
          </w:tcPr>
          <w:p>
            <w:pPr>
              <w:pStyle w:val="TableParagraph"/>
              <w:spacing w:before="87"/>
              <w:ind w:left="8"/>
              <w:jc w:val="center"/>
              <w:rPr>
                <w:sz w:val="22"/>
              </w:rPr>
            </w:pPr>
            <w:r>
              <w:rPr>
                <w:w w:val="99"/>
                <w:sz w:val="22"/>
              </w:rPr>
              <w:t>X</w:t>
            </w:r>
          </w:p>
        </w:tc>
        <w:tc>
          <w:tcPr>
            <w:tcW w:w="1846" w:type="dxa"/>
          </w:tcPr>
          <w:p>
            <w:pPr>
              <w:pStyle w:val="TableParagraph"/>
              <w:spacing w:before="87"/>
              <w:ind w:left="7"/>
              <w:jc w:val="center"/>
              <w:rPr>
                <w:sz w:val="22"/>
              </w:rPr>
            </w:pPr>
            <w:r>
              <w:rPr>
                <w:w w:val="99"/>
                <w:sz w:val="22"/>
              </w:rPr>
              <w:t>X</w:t>
            </w:r>
          </w:p>
        </w:tc>
      </w:tr>
      <w:tr>
        <w:trPr>
          <w:trHeight w:val="431" w:hRule="atLeast"/>
        </w:trPr>
        <w:tc>
          <w:tcPr>
            <w:tcW w:w="1937" w:type="dxa"/>
          </w:tcPr>
          <w:p>
            <w:pPr>
              <w:pStyle w:val="TableParagraph"/>
              <w:spacing w:before="87"/>
              <w:ind w:left="107"/>
              <w:rPr>
                <w:b/>
                <w:sz w:val="22"/>
              </w:rPr>
            </w:pPr>
            <w:r>
              <w:rPr>
                <w:b/>
                <w:spacing w:val="-2"/>
                <w:sz w:val="22"/>
              </w:rPr>
              <w:t>Hospice</w:t>
            </w:r>
          </w:p>
        </w:tc>
        <w:tc>
          <w:tcPr>
            <w:tcW w:w="1848" w:type="dxa"/>
          </w:tcPr>
          <w:p>
            <w:pPr>
              <w:pStyle w:val="TableParagraph"/>
              <w:spacing w:before="87"/>
              <w:ind w:right="838"/>
              <w:jc w:val="right"/>
              <w:rPr>
                <w:sz w:val="22"/>
              </w:rPr>
            </w:pPr>
            <w:r>
              <w:rPr>
                <w:w w:val="93"/>
                <w:sz w:val="22"/>
              </w:rPr>
              <w:t>X</w:t>
            </w:r>
          </w:p>
        </w:tc>
        <w:tc>
          <w:tcPr>
            <w:tcW w:w="1870" w:type="dxa"/>
          </w:tcPr>
          <w:p>
            <w:pPr>
              <w:pStyle w:val="TableParagraph"/>
              <w:spacing w:before="87"/>
              <w:ind w:left="10"/>
              <w:jc w:val="center"/>
              <w:rPr>
                <w:sz w:val="22"/>
              </w:rPr>
            </w:pPr>
            <w:r>
              <w:rPr>
                <w:w w:val="99"/>
                <w:sz w:val="22"/>
              </w:rPr>
              <w:t>X</w:t>
            </w:r>
          </w:p>
        </w:tc>
        <w:tc>
          <w:tcPr>
            <w:tcW w:w="1851" w:type="dxa"/>
          </w:tcPr>
          <w:p>
            <w:pPr>
              <w:pStyle w:val="TableParagraph"/>
              <w:spacing w:before="87"/>
              <w:ind w:left="8"/>
              <w:jc w:val="center"/>
              <w:rPr>
                <w:sz w:val="22"/>
              </w:rPr>
            </w:pPr>
            <w:r>
              <w:rPr>
                <w:w w:val="99"/>
                <w:sz w:val="22"/>
              </w:rPr>
              <w:t>X</w:t>
            </w:r>
          </w:p>
        </w:tc>
        <w:tc>
          <w:tcPr>
            <w:tcW w:w="1846" w:type="dxa"/>
          </w:tcPr>
          <w:p>
            <w:pPr>
              <w:pStyle w:val="TableParagraph"/>
              <w:spacing w:before="87"/>
              <w:ind w:left="7"/>
              <w:jc w:val="center"/>
              <w:rPr>
                <w:sz w:val="22"/>
              </w:rPr>
            </w:pPr>
            <w:r>
              <w:rPr>
                <w:w w:val="99"/>
                <w:sz w:val="22"/>
              </w:rPr>
              <w:t>X</w:t>
            </w:r>
          </w:p>
        </w:tc>
      </w:tr>
      <w:tr>
        <w:trPr>
          <w:trHeight w:val="505" w:hRule="atLeast"/>
        </w:trPr>
        <w:tc>
          <w:tcPr>
            <w:tcW w:w="1937" w:type="dxa"/>
          </w:tcPr>
          <w:p>
            <w:pPr>
              <w:pStyle w:val="TableParagraph"/>
              <w:spacing w:line="252" w:lineRule="exact"/>
              <w:ind w:left="107" w:right="292"/>
              <w:rPr>
                <w:b/>
                <w:sz w:val="22"/>
              </w:rPr>
            </w:pPr>
            <w:r>
              <w:rPr>
                <w:b/>
                <w:spacing w:val="-2"/>
                <w:sz w:val="22"/>
              </w:rPr>
              <w:t>Laboratory/X- </w:t>
            </w:r>
            <w:r>
              <w:rPr>
                <w:b/>
                <w:sz w:val="22"/>
              </w:rPr>
              <w:t>ray/ Imaging</w:t>
            </w:r>
          </w:p>
        </w:tc>
        <w:tc>
          <w:tcPr>
            <w:tcW w:w="1848" w:type="dxa"/>
          </w:tcPr>
          <w:p>
            <w:pPr>
              <w:pStyle w:val="TableParagraph"/>
              <w:spacing w:before="125"/>
              <w:ind w:right="838"/>
              <w:jc w:val="right"/>
              <w:rPr>
                <w:sz w:val="22"/>
              </w:rPr>
            </w:pPr>
            <w:r>
              <w:rPr>
                <w:w w:val="93"/>
                <w:sz w:val="22"/>
              </w:rPr>
              <w:t>X</w:t>
            </w:r>
          </w:p>
        </w:tc>
        <w:tc>
          <w:tcPr>
            <w:tcW w:w="1870" w:type="dxa"/>
          </w:tcPr>
          <w:p>
            <w:pPr>
              <w:pStyle w:val="TableParagraph"/>
              <w:spacing w:before="125"/>
              <w:ind w:left="10"/>
              <w:jc w:val="center"/>
              <w:rPr>
                <w:sz w:val="22"/>
              </w:rPr>
            </w:pPr>
            <w:r>
              <w:rPr>
                <w:w w:val="99"/>
                <w:sz w:val="22"/>
              </w:rPr>
              <w:t>X</w:t>
            </w:r>
          </w:p>
        </w:tc>
        <w:tc>
          <w:tcPr>
            <w:tcW w:w="1851" w:type="dxa"/>
          </w:tcPr>
          <w:p>
            <w:pPr>
              <w:pStyle w:val="TableParagraph"/>
              <w:spacing w:before="125"/>
              <w:ind w:left="8"/>
              <w:jc w:val="center"/>
              <w:rPr>
                <w:sz w:val="22"/>
              </w:rPr>
            </w:pPr>
            <w:r>
              <w:rPr>
                <w:w w:val="99"/>
                <w:sz w:val="22"/>
              </w:rPr>
              <w:t>X</w:t>
            </w:r>
          </w:p>
        </w:tc>
        <w:tc>
          <w:tcPr>
            <w:tcW w:w="1846" w:type="dxa"/>
          </w:tcPr>
          <w:p>
            <w:pPr>
              <w:pStyle w:val="TableParagraph"/>
              <w:spacing w:before="125"/>
              <w:ind w:left="7"/>
              <w:jc w:val="center"/>
              <w:rPr>
                <w:sz w:val="22"/>
              </w:rPr>
            </w:pPr>
            <w:r>
              <w:rPr>
                <w:w w:val="99"/>
                <w:sz w:val="22"/>
              </w:rPr>
              <w:t>X</w:t>
            </w:r>
          </w:p>
        </w:tc>
      </w:tr>
      <w:tr>
        <w:trPr>
          <w:trHeight w:val="1012" w:hRule="atLeast"/>
        </w:trPr>
        <w:tc>
          <w:tcPr>
            <w:tcW w:w="1937" w:type="dxa"/>
          </w:tcPr>
          <w:p>
            <w:pPr>
              <w:pStyle w:val="TableParagraph"/>
              <w:ind w:left="107" w:right="353"/>
              <w:rPr>
                <w:b/>
                <w:sz w:val="22"/>
              </w:rPr>
            </w:pPr>
            <w:r>
              <w:rPr>
                <w:b/>
                <w:spacing w:val="-2"/>
                <w:sz w:val="22"/>
              </w:rPr>
              <w:t>Medically </w:t>
            </w:r>
            <w:r>
              <w:rPr>
                <w:b/>
                <w:sz w:val="22"/>
              </w:rPr>
              <w:t>Necessary</w:t>
            </w:r>
            <w:r>
              <w:rPr>
                <w:b/>
                <w:spacing w:val="-14"/>
                <w:sz w:val="22"/>
              </w:rPr>
              <w:t> </w:t>
            </w:r>
            <w:r>
              <w:rPr>
                <w:b/>
                <w:sz w:val="22"/>
              </w:rPr>
              <w:t>Non- </w:t>
            </w:r>
            <w:r>
              <w:rPr>
                <w:b/>
                <w:spacing w:val="-2"/>
                <w:sz w:val="22"/>
              </w:rPr>
              <w:t>Emergency</w:t>
            </w:r>
          </w:p>
          <w:p>
            <w:pPr>
              <w:pStyle w:val="TableParagraph"/>
              <w:spacing w:line="235" w:lineRule="exact"/>
              <w:ind w:left="107"/>
              <w:rPr>
                <w:b/>
                <w:sz w:val="22"/>
              </w:rPr>
            </w:pPr>
            <w:r>
              <w:rPr>
                <w:b/>
                <w:spacing w:val="-2"/>
                <w:sz w:val="22"/>
              </w:rPr>
              <w:t>Transport</w:t>
            </w:r>
          </w:p>
        </w:tc>
        <w:tc>
          <w:tcPr>
            <w:tcW w:w="1848" w:type="dxa"/>
          </w:tcPr>
          <w:p>
            <w:pPr>
              <w:pStyle w:val="TableParagraph"/>
              <w:spacing w:before="9"/>
              <w:rPr>
                <w:b/>
                <w:sz w:val="32"/>
              </w:rPr>
            </w:pPr>
          </w:p>
          <w:p>
            <w:pPr>
              <w:pStyle w:val="TableParagraph"/>
              <w:ind w:right="838"/>
              <w:jc w:val="right"/>
              <w:rPr>
                <w:sz w:val="22"/>
              </w:rPr>
            </w:pPr>
            <w:r>
              <w:rPr>
                <w:w w:val="93"/>
                <w:sz w:val="22"/>
              </w:rPr>
              <w:t>X</w:t>
            </w:r>
          </w:p>
        </w:tc>
        <w:tc>
          <w:tcPr>
            <w:tcW w:w="1870" w:type="dxa"/>
          </w:tcPr>
          <w:p>
            <w:pPr>
              <w:pStyle w:val="TableParagraph"/>
              <w:spacing w:before="9"/>
              <w:rPr>
                <w:b/>
                <w:sz w:val="32"/>
              </w:rPr>
            </w:pPr>
          </w:p>
          <w:p>
            <w:pPr>
              <w:pStyle w:val="TableParagraph"/>
              <w:ind w:left="10"/>
              <w:jc w:val="center"/>
              <w:rPr>
                <w:sz w:val="22"/>
              </w:rPr>
            </w:pPr>
            <w:r>
              <w:rPr>
                <w:w w:val="99"/>
                <w:sz w:val="22"/>
              </w:rPr>
              <w:t>X</w:t>
            </w:r>
          </w:p>
        </w:tc>
        <w:tc>
          <w:tcPr>
            <w:tcW w:w="1851" w:type="dxa"/>
          </w:tcPr>
          <w:p>
            <w:pPr>
              <w:pStyle w:val="TableParagraph"/>
              <w:rPr>
                <w:sz w:val="20"/>
              </w:rPr>
            </w:pPr>
          </w:p>
        </w:tc>
        <w:tc>
          <w:tcPr>
            <w:tcW w:w="1846" w:type="dxa"/>
          </w:tcPr>
          <w:p>
            <w:pPr>
              <w:pStyle w:val="TableParagraph"/>
              <w:spacing w:before="9"/>
              <w:rPr>
                <w:b/>
                <w:sz w:val="32"/>
              </w:rPr>
            </w:pPr>
          </w:p>
          <w:p>
            <w:pPr>
              <w:pStyle w:val="TableParagraph"/>
              <w:ind w:left="8"/>
              <w:jc w:val="center"/>
              <w:rPr>
                <w:sz w:val="22"/>
              </w:rPr>
            </w:pPr>
            <w:r>
              <w:rPr>
                <w:w w:val="99"/>
                <w:sz w:val="22"/>
              </w:rPr>
              <w:t>X</w:t>
            </w:r>
          </w:p>
        </w:tc>
      </w:tr>
      <w:tr>
        <w:trPr>
          <w:trHeight w:val="506" w:hRule="atLeast"/>
        </w:trPr>
        <w:tc>
          <w:tcPr>
            <w:tcW w:w="1937" w:type="dxa"/>
          </w:tcPr>
          <w:p>
            <w:pPr>
              <w:pStyle w:val="TableParagraph"/>
              <w:spacing w:line="252" w:lineRule="exact"/>
              <w:ind w:left="107" w:right="414"/>
              <w:rPr>
                <w:b/>
                <w:sz w:val="22"/>
              </w:rPr>
            </w:pPr>
            <w:r>
              <w:rPr>
                <w:b/>
                <w:sz w:val="22"/>
              </w:rPr>
              <w:t>Nurse</w:t>
            </w:r>
            <w:r>
              <w:rPr>
                <w:b/>
                <w:spacing w:val="-14"/>
                <w:sz w:val="22"/>
              </w:rPr>
              <w:t> </w:t>
            </w:r>
            <w:r>
              <w:rPr>
                <w:b/>
                <w:sz w:val="22"/>
              </w:rPr>
              <w:t>Midwife </w:t>
            </w:r>
            <w:r>
              <w:rPr>
                <w:b/>
                <w:spacing w:val="-2"/>
                <w:sz w:val="22"/>
              </w:rPr>
              <w:t>Services</w:t>
            </w:r>
          </w:p>
        </w:tc>
        <w:tc>
          <w:tcPr>
            <w:tcW w:w="1848" w:type="dxa"/>
          </w:tcPr>
          <w:p>
            <w:pPr>
              <w:pStyle w:val="TableParagraph"/>
              <w:spacing w:before="125"/>
              <w:ind w:right="838"/>
              <w:jc w:val="right"/>
              <w:rPr>
                <w:sz w:val="22"/>
              </w:rPr>
            </w:pPr>
            <w:r>
              <w:rPr>
                <w:w w:val="93"/>
                <w:sz w:val="22"/>
              </w:rPr>
              <w:t>X</w:t>
            </w:r>
          </w:p>
        </w:tc>
        <w:tc>
          <w:tcPr>
            <w:tcW w:w="1870" w:type="dxa"/>
          </w:tcPr>
          <w:p>
            <w:pPr>
              <w:pStyle w:val="TableParagraph"/>
              <w:spacing w:before="125"/>
              <w:ind w:left="10"/>
              <w:jc w:val="center"/>
              <w:rPr>
                <w:sz w:val="22"/>
              </w:rPr>
            </w:pPr>
            <w:r>
              <w:rPr>
                <w:w w:val="99"/>
                <w:sz w:val="22"/>
              </w:rPr>
              <w:t>X</w:t>
            </w:r>
          </w:p>
        </w:tc>
        <w:tc>
          <w:tcPr>
            <w:tcW w:w="1851" w:type="dxa"/>
          </w:tcPr>
          <w:p>
            <w:pPr>
              <w:pStyle w:val="TableParagraph"/>
              <w:spacing w:before="125"/>
              <w:ind w:left="8"/>
              <w:jc w:val="center"/>
              <w:rPr>
                <w:sz w:val="22"/>
              </w:rPr>
            </w:pPr>
            <w:r>
              <w:rPr>
                <w:w w:val="99"/>
                <w:sz w:val="22"/>
              </w:rPr>
              <w:t>X</w:t>
            </w:r>
          </w:p>
        </w:tc>
        <w:tc>
          <w:tcPr>
            <w:tcW w:w="1846" w:type="dxa"/>
          </w:tcPr>
          <w:p>
            <w:pPr>
              <w:pStyle w:val="TableParagraph"/>
              <w:spacing w:before="125"/>
              <w:ind w:left="7"/>
              <w:jc w:val="center"/>
              <w:rPr>
                <w:sz w:val="22"/>
              </w:rPr>
            </w:pPr>
            <w:r>
              <w:rPr>
                <w:w w:val="99"/>
                <w:sz w:val="22"/>
              </w:rPr>
              <w:t>X</w:t>
            </w:r>
          </w:p>
        </w:tc>
      </w:tr>
      <w:tr>
        <w:trPr>
          <w:trHeight w:val="757" w:hRule="atLeast"/>
        </w:trPr>
        <w:tc>
          <w:tcPr>
            <w:tcW w:w="1937" w:type="dxa"/>
          </w:tcPr>
          <w:p>
            <w:pPr>
              <w:pStyle w:val="TableParagraph"/>
              <w:ind w:left="107" w:right="646"/>
              <w:rPr>
                <w:b/>
                <w:sz w:val="22"/>
              </w:rPr>
            </w:pPr>
            <w:r>
              <w:rPr>
                <w:b/>
                <w:spacing w:val="-2"/>
                <w:sz w:val="22"/>
              </w:rPr>
              <w:t>Nurse Practitioner</w:t>
            </w:r>
          </w:p>
          <w:p>
            <w:pPr>
              <w:pStyle w:val="TableParagraph"/>
              <w:spacing w:line="233" w:lineRule="exact"/>
              <w:ind w:left="107"/>
              <w:rPr>
                <w:b/>
                <w:sz w:val="22"/>
              </w:rPr>
            </w:pPr>
            <w:r>
              <w:rPr>
                <w:b/>
                <w:spacing w:val="-2"/>
                <w:sz w:val="22"/>
              </w:rPr>
              <w:t>Services</w:t>
            </w:r>
          </w:p>
        </w:tc>
        <w:tc>
          <w:tcPr>
            <w:tcW w:w="1848" w:type="dxa"/>
          </w:tcPr>
          <w:p>
            <w:pPr>
              <w:pStyle w:val="TableParagraph"/>
              <w:spacing w:before="8"/>
              <w:rPr>
                <w:b/>
                <w:sz w:val="21"/>
              </w:rPr>
            </w:pPr>
          </w:p>
          <w:p>
            <w:pPr>
              <w:pStyle w:val="TableParagraph"/>
              <w:spacing w:before="1"/>
              <w:ind w:right="838"/>
              <w:jc w:val="right"/>
              <w:rPr>
                <w:sz w:val="22"/>
              </w:rPr>
            </w:pPr>
            <w:r>
              <w:rPr>
                <w:w w:val="93"/>
                <w:sz w:val="22"/>
              </w:rPr>
              <w:t>X</w:t>
            </w:r>
          </w:p>
        </w:tc>
        <w:tc>
          <w:tcPr>
            <w:tcW w:w="1870" w:type="dxa"/>
          </w:tcPr>
          <w:p>
            <w:pPr>
              <w:pStyle w:val="TableParagraph"/>
              <w:spacing w:before="8"/>
              <w:rPr>
                <w:b/>
                <w:sz w:val="21"/>
              </w:rPr>
            </w:pPr>
          </w:p>
          <w:p>
            <w:pPr>
              <w:pStyle w:val="TableParagraph"/>
              <w:spacing w:before="1"/>
              <w:ind w:left="10"/>
              <w:jc w:val="center"/>
              <w:rPr>
                <w:sz w:val="22"/>
              </w:rPr>
            </w:pPr>
            <w:r>
              <w:rPr>
                <w:w w:val="99"/>
                <w:sz w:val="22"/>
              </w:rPr>
              <w:t>X</w:t>
            </w:r>
          </w:p>
        </w:tc>
        <w:tc>
          <w:tcPr>
            <w:tcW w:w="1851" w:type="dxa"/>
          </w:tcPr>
          <w:p>
            <w:pPr>
              <w:pStyle w:val="TableParagraph"/>
              <w:spacing w:before="8"/>
              <w:rPr>
                <w:b/>
                <w:sz w:val="21"/>
              </w:rPr>
            </w:pPr>
          </w:p>
          <w:p>
            <w:pPr>
              <w:pStyle w:val="TableParagraph"/>
              <w:spacing w:before="1"/>
              <w:ind w:left="8"/>
              <w:jc w:val="center"/>
              <w:rPr>
                <w:sz w:val="22"/>
              </w:rPr>
            </w:pPr>
            <w:r>
              <w:rPr>
                <w:w w:val="99"/>
                <w:sz w:val="22"/>
              </w:rPr>
              <w:t>X</w:t>
            </w:r>
          </w:p>
        </w:tc>
        <w:tc>
          <w:tcPr>
            <w:tcW w:w="1846" w:type="dxa"/>
          </w:tcPr>
          <w:p>
            <w:pPr>
              <w:pStyle w:val="TableParagraph"/>
              <w:spacing w:before="8"/>
              <w:rPr>
                <w:b/>
                <w:sz w:val="21"/>
              </w:rPr>
            </w:pPr>
          </w:p>
          <w:p>
            <w:pPr>
              <w:pStyle w:val="TableParagraph"/>
              <w:spacing w:before="1"/>
              <w:ind w:left="7"/>
              <w:jc w:val="center"/>
              <w:rPr>
                <w:sz w:val="22"/>
              </w:rPr>
            </w:pPr>
            <w:r>
              <w:rPr>
                <w:w w:val="99"/>
                <w:sz w:val="22"/>
              </w:rPr>
              <w:t>X</w:t>
            </w:r>
          </w:p>
        </w:tc>
      </w:tr>
      <w:tr>
        <w:trPr>
          <w:trHeight w:val="253" w:hRule="atLeast"/>
        </w:trPr>
        <w:tc>
          <w:tcPr>
            <w:tcW w:w="1937" w:type="dxa"/>
          </w:tcPr>
          <w:p>
            <w:pPr>
              <w:pStyle w:val="TableParagraph"/>
              <w:spacing w:line="234" w:lineRule="exact"/>
              <w:ind w:left="107"/>
              <w:rPr>
                <w:b/>
                <w:sz w:val="22"/>
              </w:rPr>
            </w:pPr>
            <w:r>
              <w:rPr>
                <w:b/>
                <w:sz w:val="22"/>
              </w:rPr>
              <w:t>Orthotic</w:t>
            </w:r>
            <w:r>
              <w:rPr>
                <w:b/>
                <w:spacing w:val="-5"/>
                <w:sz w:val="22"/>
              </w:rPr>
              <w:t> </w:t>
            </w:r>
            <w:r>
              <w:rPr>
                <w:b/>
                <w:spacing w:val="-2"/>
                <w:sz w:val="22"/>
              </w:rPr>
              <w:t>Services</w:t>
            </w:r>
          </w:p>
        </w:tc>
        <w:tc>
          <w:tcPr>
            <w:tcW w:w="1848" w:type="dxa"/>
          </w:tcPr>
          <w:p>
            <w:pPr>
              <w:pStyle w:val="TableParagraph"/>
              <w:spacing w:line="234" w:lineRule="exact"/>
              <w:ind w:right="838"/>
              <w:jc w:val="right"/>
              <w:rPr>
                <w:sz w:val="22"/>
              </w:rPr>
            </w:pPr>
            <w:r>
              <w:rPr>
                <w:w w:val="93"/>
                <w:sz w:val="22"/>
              </w:rPr>
              <w:t>X</w:t>
            </w:r>
          </w:p>
        </w:tc>
        <w:tc>
          <w:tcPr>
            <w:tcW w:w="1870" w:type="dxa"/>
          </w:tcPr>
          <w:p>
            <w:pPr>
              <w:pStyle w:val="TableParagraph"/>
              <w:spacing w:line="234" w:lineRule="exact"/>
              <w:ind w:left="10"/>
              <w:jc w:val="center"/>
              <w:rPr>
                <w:sz w:val="22"/>
              </w:rPr>
            </w:pPr>
            <w:r>
              <w:rPr>
                <w:w w:val="99"/>
                <w:sz w:val="22"/>
              </w:rPr>
              <w:t>X</w:t>
            </w:r>
          </w:p>
        </w:tc>
        <w:tc>
          <w:tcPr>
            <w:tcW w:w="1851" w:type="dxa"/>
          </w:tcPr>
          <w:p>
            <w:pPr>
              <w:pStyle w:val="TableParagraph"/>
              <w:spacing w:line="234" w:lineRule="exact"/>
              <w:ind w:left="9"/>
              <w:jc w:val="center"/>
              <w:rPr>
                <w:sz w:val="22"/>
              </w:rPr>
            </w:pPr>
            <w:r>
              <w:rPr>
                <w:w w:val="99"/>
                <w:sz w:val="22"/>
              </w:rPr>
              <w:t>X</w:t>
            </w:r>
          </w:p>
        </w:tc>
        <w:tc>
          <w:tcPr>
            <w:tcW w:w="1846" w:type="dxa"/>
          </w:tcPr>
          <w:p>
            <w:pPr>
              <w:pStyle w:val="TableParagraph"/>
              <w:spacing w:line="234" w:lineRule="exact"/>
              <w:ind w:left="8"/>
              <w:jc w:val="center"/>
              <w:rPr>
                <w:sz w:val="22"/>
              </w:rPr>
            </w:pPr>
            <w:r>
              <w:rPr>
                <w:w w:val="99"/>
                <w:sz w:val="22"/>
              </w:rPr>
              <w:t>X</w:t>
            </w:r>
          </w:p>
        </w:tc>
      </w:tr>
      <w:tr>
        <w:trPr>
          <w:trHeight w:val="506" w:hRule="atLeast"/>
        </w:trPr>
        <w:tc>
          <w:tcPr>
            <w:tcW w:w="1937" w:type="dxa"/>
          </w:tcPr>
          <w:p>
            <w:pPr>
              <w:pStyle w:val="TableParagraph"/>
              <w:spacing w:line="252" w:lineRule="exact"/>
              <w:ind w:left="107" w:right="646"/>
              <w:rPr>
                <w:b/>
                <w:sz w:val="22"/>
              </w:rPr>
            </w:pPr>
            <w:r>
              <w:rPr>
                <w:b/>
                <w:spacing w:val="-2"/>
                <w:sz w:val="22"/>
              </w:rPr>
              <w:t>Outpatient Hospital</w:t>
            </w:r>
          </w:p>
        </w:tc>
        <w:tc>
          <w:tcPr>
            <w:tcW w:w="1848" w:type="dxa"/>
          </w:tcPr>
          <w:p>
            <w:pPr>
              <w:pStyle w:val="TableParagraph"/>
              <w:spacing w:before="123"/>
              <w:ind w:right="838"/>
              <w:jc w:val="right"/>
              <w:rPr>
                <w:sz w:val="22"/>
              </w:rPr>
            </w:pPr>
            <w:r>
              <w:rPr>
                <w:w w:val="93"/>
                <w:sz w:val="22"/>
              </w:rPr>
              <w:t>X</w:t>
            </w:r>
          </w:p>
        </w:tc>
        <w:tc>
          <w:tcPr>
            <w:tcW w:w="1870" w:type="dxa"/>
          </w:tcPr>
          <w:p>
            <w:pPr>
              <w:pStyle w:val="TableParagraph"/>
              <w:spacing w:before="123"/>
              <w:ind w:left="10"/>
              <w:jc w:val="center"/>
              <w:rPr>
                <w:sz w:val="22"/>
              </w:rPr>
            </w:pPr>
            <w:r>
              <w:rPr>
                <w:w w:val="99"/>
                <w:sz w:val="22"/>
              </w:rPr>
              <w:t>X</w:t>
            </w:r>
          </w:p>
        </w:tc>
        <w:tc>
          <w:tcPr>
            <w:tcW w:w="1851" w:type="dxa"/>
          </w:tcPr>
          <w:p>
            <w:pPr>
              <w:pStyle w:val="TableParagraph"/>
              <w:spacing w:before="123"/>
              <w:ind w:left="8"/>
              <w:jc w:val="center"/>
              <w:rPr>
                <w:sz w:val="22"/>
              </w:rPr>
            </w:pPr>
            <w:r>
              <w:rPr>
                <w:w w:val="99"/>
                <w:sz w:val="22"/>
              </w:rPr>
              <w:t>X</w:t>
            </w:r>
          </w:p>
        </w:tc>
        <w:tc>
          <w:tcPr>
            <w:tcW w:w="1846" w:type="dxa"/>
          </w:tcPr>
          <w:p>
            <w:pPr>
              <w:pStyle w:val="TableParagraph"/>
              <w:spacing w:before="123"/>
              <w:ind w:left="7"/>
              <w:jc w:val="center"/>
              <w:rPr>
                <w:sz w:val="22"/>
              </w:rPr>
            </w:pPr>
            <w:r>
              <w:rPr>
                <w:w w:val="99"/>
                <w:sz w:val="22"/>
              </w:rPr>
              <w:t>X</w:t>
            </w:r>
          </w:p>
        </w:tc>
      </w:tr>
      <w:tr>
        <w:trPr>
          <w:trHeight w:val="506" w:hRule="atLeast"/>
        </w:trPr>
        <w:tc>
          <w:tcPr>
            <w:tcW w:w="1937" w:type="dxa"/>
          </w:tcPr>
          <w:p>
            <w:pPr>
              <w:pStyle w:val="TableParagraph"/>
              <w:spacing w:line="252" w:lineRule="exact"/>
              <w:ind w:left="107" w:right="646"/>
              <w:rPr>
                <w:b/>
                <w:sz w:val="22"/>
              </w:rPr>
            </w:pPr>
            <w:r>
              <w:rPr>
                <w:b/>
                <w:spacing w:val="-2"/>
                <w:sz w:val="22"/>
              </w:rPr>
              <w:t>Outpatient Surgery</w:t>
            </w:r>
          </w:p>
        </w:tc>
        <w:tc>
          <w:tcPr>
            <w:tcW w:w="1848" w:type="dxa"/>
          </w:tcPr>
          <w:p>
            <w:pPr>
              <w:pStyle w:val="TableParagraph"/>
              <w:spacing w:before="123"/>
              <w:ind w:right="838"/>
              <w:jc w:val="right"/>
              <w:rPr>
                <w:sz w:val="22"/>
              </w:rPr>
            </w:pPr>
            <w:r>
              <w:rPr>
                <w:w w:val="93"/>
                <w:sz w:val="22"/>
              </w:rPr>
              <w:t>X</w:t>
            </w:r>
          </w:p>
        </w:tc>
        <w:tc>
          <w:tcPr>
            <w:tcW w:w="1870" w:type="dxa"/>
          </w:tcPr>
          <w:p>
            <w:pPr>
              <w:pStyle w:val="TableParagraph"/>
              <w:spacing w:before="123"/>
              <w:ind w:left="10"/>
              <w:jc w:val="center"/>
              <w:rPr>
                <w:sz w:val="22"/>
              </w:rPr>
            </w:pPr>
            <w:r>
              <w:rPr>
                <w:w w:val="99"/>
                <w:sz w:val="22"/>
              </w:rPr>
              <w:t>X</w:t>
            </w:r>
          </w:p>
        </w:tc>
        <w:tc>
          <w:tcPr>
            <w:tcW w:w="1851" w:type="dxa"/>
          </w:tcPr>
          <w:p>
            <w:pPr>
              <w:pStyle w:val="TableParagraph"/>
              <w:spacing w:before="123"/>
              <w:ind w:left="8"/>
              <w:jc w:val="center"/>
              <w:rPr>
                <w:sz w:val="22"/>
              </w:rPr>
            </w:pPr>
            <w:r>
              <w:rPr>
                <w:w w:val="99"/>
                <w:sz w:val="22"/>
              </w:rPr>
              <w:t>X</w:t>
            </w:r>
          </w:p>
        </w:tc>
        <w:tc>
          <w:tcPr>
            <w:tcW w:w="1846" w:type="dxa"/>
          </w:tcPr>
          <w:p>
            <w:pPr>
              <w:pStyle w:val="TableParagraph"/>
              <w:spacing w:before="123"/>
              <w:ind w:left="7"/>
              <w:jc w:val="center"/>
              <w:rPr>
                <w:sz w:val="22"/>
              </w:rPr>
            </w:pPr>
            <w:r>
              <w:rPr>
                <w:w w:val="99"/>
                <w:sz w:val="22"/>
              </w:rPr>
              <w:t>X</w:t>
            </w:r>
          </w:p>
        </w:tc>
      </w:tr>
      <w:tr>
        <w:trPr>
          <w:trHeight w:val="1009" w:hRule="atLeast"/>
        </w:trPr>
        <w:tc>
          <w:tcPr>
            <w:tcW w:w="1937" w:type="dxa"/>
          </w:tcPr>
          <w:p>
            <w:pPr>
              <w:pStyle w:val="TableParagraph"/>
              <w:ind w:left="107" w:right="684"/>
              <w:jc w:val="both"/>
              <w:rPr>
                <w:b/>
                <w:sz w:val="22"/>
              </w:rPr>
            </w:pPr>
            <w:r>
              <w:rPr>
                <w:b/>
                <w:sz w:val="22"/>
              </w:rPr>
              <w:t>Oxygen</w:t>
            </w:r>
            <w:r>
              <w:rPr>
                <w:b/>
                <w:spacing w:val="-14"/>
                <w:sz w:val="22"/>
              </w:rPr>
              <w:t> </w:t>
            </w:r>
            <w:r>
              <w:rPr>
                <w:b/>
                <w:sz w:val="22"/>
              </w:rPr>
              <w:t>and </w:t>
            </w:r>
            <w:r>
              <w:rPr>
                <w:b/>
                <w:spacing w:val="-2"/>
                <w:sz w:val="22"/>
              </w:rPr>
              <w:t>Respiratory Therapy</w:t>
            </w:r>
          </w:p>
          <w:p>
            <w:pPr>
              <w:pStyle w:val="TableParagraph"/>
              <w:spacing w:line="233" w:lineRule="exact"/>
              <w:ind w:left="107"/>
              <w:rPr>
                <w:b/>
                <w:sz w:val="22"/>
              </w:rPr>
            </w:pPr>
            <w:r>
              <w:rPr>
                <w:b/>
                <w:spacing w:val="-2"/>
                <w:sz w:val="22"/>
              </w:rPr>
              <w:t>Equipment</w:t>
            </w:r>
          </w:p>
        </w:tc>
        <w:tc>
          <w:tcPr>
            <w:tcW w:w="1848" w:type="dxa"/>
          </w:tcPr>
          <w:p>
            <w:pPr>
              <w:pStyle w:val="TableParagraph"/>
              <w:spacing w:before="9"/>
              <w:rPr>
                <w:b/>
                <w:sz w:val="32"/>
              </w:rPr>
            </w:pPr>
          </w:p>
          <w:p>
            <w:pPr>
              <w:pStyle w:val="TableParagraph"/>
              <w:ind w:right="838"/>
              <w:jc w:val="right"/>
              <w:rPr>
                <w:sz w:val="22"/>
              </w:rPr>
            </w:pPr>
            <w:r>
              <w:rPr>
                <w:w w:val="93"/>
                <w:sz w:val="22"/>
              </w:rPr>
              <w:t>X</w:t>
            </w:r>
          </w:p>
        </w:tc>
        <w:tc>
          <w:tcPr>
            <w:tcW w:w="1870" w:type="dxa"/>
          </w:tcPr>
          <w:p>
            <w:pPr>
              <w:pStyle w:val="TableParagraph"/>
              <w:spacing w:before="9"/>
              <w:rPr>
                <w:b/>
                <w:sz w:val="32"/>
              </w:rPr>
            </w:pPr>
          </w:p>
          <w:p>
            <w:pPr>
              <w:pStyle w:val="TableParagraph"/>
              <w:ind w:left="10"/>
              <w:jc w:val="center"/>
              <w:rPr>
                <w:sz w:val="22"/>
              </w:rPr>
            </w:pPr>
            <w:r>
              <w:rPr>
                <w:w w:val="99"/>
                <w:sz w:val="22"/>
              </w:rPr>
              <w:t>X</w:t>
            </w:r>
          </w:p>
        </w:tc>
        <w:tc>
          <w:tcPr>
            <w:tcW w:w="1851" w:type="dxa"/>
          </w:tcPr>
          <w:p>
            <w:pPr>
              <w:pStyle w:val="TableParagraph"/>
              <w:spacing w:before="9"/>
              <w:rPr>
                <w:b/>
                <w:sz w:val="32"/>
              </w:rPr>
            </w:pPr>
          </w:p>
          <w:p>
            <w:pPr>
              <w:pStyle w:val="TableParagraph"/>
              <w:ind w:left="8"/>
              <w:jc w:val="center"/>
              <w:rPr>
                <w:sz w:val="22"/>
              </w:rPr>
            </w:pPr>
            <w:r>
              <w:rPr>
                <w:w w:val="99"/>
                <w:sz w:val="22"/>
              </w:rPr>
              <w:t>X</w:t>
            </w:r>
          </w:p>
        </w:tc>
        <w:tc>
          <w:tcPr>
            <w:tcW w:w="1846" w:type="dxa"/>
          </w:tcPr>
          <w:p>
            <w:pPr>
              <w:pStyle w:val="TableParagraph"/>
              <w:spacing w:before="9"/>
              <w:rPr>
                <w:b/>
                <w:sz w:val="32"/>
              </w:rPr>
            </w:pPr>
          </w:p>
          <w:p>
            <w:pPr>
              <w:pStyle w:val="TableParagraph"/>
              <w:ind w:left="7"/>
              <w:jc w:val="center"/>
              <w:rPr>
                <w:sz w:val="22"/>
              </w:rPr>
            </w:pPr>
            <w:r>
              <w:rPr>
                <w:w w:val="99"/>
                <w:sz w:val="22"/>
              </w:rPr>
              <w:t>X</w:t>
            </w:r>
          </w:p>
        </w:tc>
      </w:tr>
      <w:tr>
        <w:trPr>
          <w:trHeight w:val="434" w:hRule="atLeast"/>
        </w:trPr>
        <w:tc>
          <w:tcPr>
            <w:tcW w:w="1937" w:type="dxa"/>
          </w:tcPr>
          <w:p>
            <w:pPr>
              <w:pStyle w:val="TableParagraph"/>
              <w:spacing w:before="89"/>
              <w:ind w:left="107"/>
              <w:rPr>
                <w:b/>
                <w:sz w:val="22"/>
              </w:rPr>
            </w:pPr>
            <w:r>
              <w:rPr>
                <w:b/>
                <w:sz w:val="22"/>
              </w:rPr>
              <w:t>Personal</w:t>
            </w:r>
            <w:r>
              <w:rPr>
                <w:b/>
                <w:spacing w:val="-7"/>
                <w:sz w:val="22"/>
              </w:rPr>
              <w:t> </w:t>
            </w:r>
            <w:r>
              <w:rPr>
                <w:b/>
                <w:spacing w:val="-4"/>
                <w:sz w:val="22"/>
              </w:rPr>
              <w:t>Care</w:t>
            </w:r>
          </w:p>
        </w:tc>
        <w:tc>
          <w:tcPr>
            <w:tcW w:w="1848" w:type="dxa"/>
          </w:tcPr>
          <w:p>
            <w:pPr>
              <w:pStyle w:val="TableParagraph"/>
              <w:spacing w:before="89"/>
              <w:ind w:right="838"/>
              <w:jc w:val="right"/>
              <w:rPr>
                <w:sz w:val="22"/>
              </w:rPr>
            </w:pPr>
            <w:r>
              <w:rPr>
                <w:w w:val="93"/>
                <w:sz w:val="22"/>
              </w:rPr>
              <w:t>X</w:t>
            </w:r>
          </w:p>
        </w:tc>
        <w:tc>
          <w:tcPr>
            <w:tcW w:w="1870" w:type="dxa"/>
          </w:tcPr>
          <w:p>
            <w:pPr>
              <w:pStyle w:val="TableParagraph"/>
              <w:spacing w:before="89"/>
              <w:ind w:left="10"/>
              <w:jc w:val="center"/>
              <w:rPr>
                <w:sz w:val="22"/>
              </w:rPr>
            </w:pPr>
            <w:r>
              <w:rPr>
                <w:w w:val="99"/>
                <w:sz w:val="22"/>
              </w:rPr>
              <w:t>X</w:t>
            </w:r>
          </w:p>
        </w:tc>
        <w:tc>
          <w:tcPr>
            <w:tcW w:w="1851" w:type="dxa"/>
          </w:tcPr>
          <w:p>
            <w:pPr>
              <w:pStyle w:val="TableParagraph"/>
              <w:rPr>
                <w:sz w:val="20"/>
              </w:rPr>
            </w:pPr>
          </w:p>
        </w:tc>
        <w:tc>
          <w:tcPr>
            <w:tcW w:w="1846" w:type="dxa"/>
          </w:tcPr>
          <w:p>
            <w:pPr>
              <w:pStyle w:val="TableParagraph"/>
              <w:rPr>
                <w:sz w:val="20"/>
              </w:rPr>
            </w:pPr>
          </w:p>
        </w:tc>
      </w:tr>
      <w:tr>
        <w:trPr>
          <w:trHeight w:val="431" w:hRule="atLeast"/>
        </w:trPr>
        <w:tc>
          <w:tcPr>
            <w:tcW w:w="1937" w:type="dxa"/>
          </w:tcPr>
          <w:p>
            <w:pPr>
              <w:pStyle w:val="TableParagraph"/>
              <w:spacing w:before="87"/>
              <w:ind w:left="107"/>
              <w:rPr>
                <w:b/>
                <w:sz w:val="22"/>
              </w:rPr>
            </w:pPr>
            <w:r>
              <w:rPr>
                <w:b/>
                <w:spacing w:val="-2"/>
                <w:sz w:val="22"/>
              </w:rPr>
              <w:t>Pharmacy</w:t>
            </w:r>
          </w:p>
        </w:tc>
        <w:tc>
          <w:tcPr>
            <w:tcW w:w="1848" w:type="dxa"/>
          </w:tcPr>
          <w:p>
            <w:pPr>
              <w:pStyle w:val="TableParagraph"/>
              <w:spacing w:before="87"/>
              <w:ind w:right="838"/>
              <w:jc w:val="right"/>
              <w:rPr>
                <w:sz w:val="22"/>
              </w:rPr>
            </w:pPr>
            <w:r>
              <w:rPr>
                <w:w w:val="93"/>
                <w:sz w:val="22"/>
              </w:rPr>
              <w:t>X</w:t>
            </w:r>
          </w:p>
        </w:tc>
        <w:tc>
          <w:tcPr>
            <w:tcW w:w="1870" w:type="dxa"/>
          </w:tcPr>
          <w:p>
            <w:pPr>
              <w:pStyle w:val="TableParagraph"/>
              <w:spacing w:before="87"/>
              <w:ind w:left="10"/>
              <w:jc w:val="center"/>
              <w:rPr>
                <w:sz w:val="22"/>
              </w:rPr>
            </w:pPr>
            <w:r>
              <w:rPr>
                <w:w w:val="99"/>
                <w:sz w:val="22"/>
              </w:rPr>
              <w:t>X</w:t>
            </w:r>
          </w:p>
        </w:tc>
        <w:tc>
          <w:tcPr>
            <w:tcW w:w="1851" w:type="dxa"/>
          </w:tcPr>
          <w:p>
            <w:pPr>
              <w:pStyle w:val="TableParagraph"/>
              <w:spacing w:before="87"/>
              <w:ind w:left="8"/>
              <w:jc w:val="center"/>
              <w:rPr>
                <w:sz w:val="22"/>
              </w:rPr>
            </w:pPr>
            <w:r>
              <w:rPr>
                <w:w w:val="99"/>
                <w:sz w:val="22"/>
              </w:rPr>
              <w:t>X</w:t>
            </w:r>
          </w:p>
        </w:tc>
        <w:tc>
          <w:tcPr>
            <w:tcW w:w="1846" w:type="dxa"/>
          </w:tcPr>
          <w:p>
            <w:pPr>
              <w:pStyle w:val="TableParagraph"/>
              <w:spacing w:before="87"/>
              <w:ind w:left="7"/>
              <w:jc w:val="center"/>
              <w:rPr>
                <w:sz w:val="22"/>
              </w:rPr>
            </w:pPr>
            <w:r>
              <w:rPr>
                <w:w w:val="99"/>
                <w:sz w:val="22"/>
              </w:rPr>
              <w:t>X</w:t>
            </w:r>
          </w:p>
        </w:tc>
      </w:tr>
      <w:tr>
        <w:trPr>
          <w:trHeight w:val="431" w:hRule="atLeast"/>
        </w:trPr>
        <w:tc>
          <w:tcPr>
            <w:tcW w:w="1937" w:type="dxa"/>
          </w:tcPr>
          <w:p>
            <w:pPr>
              <w:pStyle w:val="TableParagraph"/>
              <w:spacing w:before="87"/>
              <w:ind w:left="107"/>
              <w:rPr>
                <w:b/>
                <w:sz w:val="22"/>
              </w:rPr>
            </w:pPr>
            <w:r>
              <w:rPr>
                <w:b/>
                <w:spacing w:val="-2"/>
                <w:sz w:val="22"/>
              </w:rPr>
              <w:t>Physician</w:t>
            </w:r>
          </w:p>
        </w:tc>
        <w:tc>
          <w:tcPr>
            <w:tcW w:w="1848" w:type="dxa"/>
          </w:tcPr>
          <w:p>
            <w:pPr>
              <w:pStyle w:val="TableParagraph"/>
              <w:spacing w:before="87"/>
              <w:ind w:right="838"/>
              <w:jc w:val="right"/>
              <w:rPr>
                <w:sz w:val="22"/>
              </w:rPr>
            </w:pPr>
            <w:r>
              <w:rPr>
                <w:w w:val="93"/>
                <w:sz w:val="22"/>
              </w:rPr>
              <w:t>X</w:t>
            </w:r>
          </w:p>
        </w:tc>
        <w:tc>
          <w:tcPr>
            <w:tcW w:w="1870" w:type="dxa"/>
          </w:tcPr>
          <w:p>
            <w:pPr>
              <w:pStyle w:val="TableParagraph"/>
              <w:spacing w:before="87"/>
              <w:ind w:left="10"/>
              <w:jc w:val="center"/>
              <w:rPr>
                <w:sz w:val="22"/>
              </w:rPr>
            </w:pPr>
            <w:r>
              <w:rPr>
                <w:w w:val="99"/>
                <w:sz w:val="22"/>
              </w:rPr>
              <w:t>X</w:t>
            </w:r>
          </w:p>
        </w:tc>
        <w:tc>
          <w:tcPr>
            <w:tcW w:w="1851" w:type="dxa"/>
          </w:tcPr>
          <w:p>
            <w:pPr>
              <w:pStyle w:val="TableParagraph"/>
              <w:spacing w:before="87"/>
              <w:ind w:left="8"/>
              <w:jc w:val="center"/>
              <w:rPr>
                <w:sz w:val="22"/>
              </w:rPr>
            </w:pPr>
            <w:r>
              <w:rPr>
                <w:w w:val="99"/>
                <w:sz w:val="22"/>
              </w:rPr>
              <w:t>X</w:t>
            </w:r>
          </w:p>
        </w:tc>
        <w:tc>
          <w:tcPr>
            <w:tcW w:w="1846" w:type="dxa"/>
          </w:tcPr>
          <w:p>
            <w:pPr>
              <w:pStyle w:val="TableParagraph"/>
              <w:spacing w:before="87"/>
              <w:ind w:left="7"/>
              <w:jc w:val="center"/>
              <w:rPr>
                <w:sz w:val="22"/>
              </w:rPr>
            </w:pPr>
            <w:r>
              <w:rPr>
                <w:w w:val="99"/>
                <w:sz w:val="22"/>
              </w:rPr>
              <w:t>X</w:t>
            </w:r>
          </w:p>
        </w:tc>
      </w:tr>
      <w:tr>
        <w:trPr>
          <w:trHeight w:val="431" w:hRule="atLeast"/>
        </w:trPr>
        <w:tc>
          <w:tcPr>
            <w:tcW w:w="1937" w:type="dxa"/>
          </w:tcPr>
          <w:p>
            <w:pPr>
              <w:pStyle w:val="TableParagraph"/>
              <w:spacing w:before="87"/>
              <w:ind w:left="107"/>
              <w:rPr>
                <w:b/>
                <w:sz w:val="22"/>
              </w:rPr>
            </w:pPr>
            <w:r>
              <w:rPr>
                <w:b/>
                <w:spacing w:val="-2"/>
                <w:sz w:val="22"/>
              </w:rPr>
              <w:t>Podiatry</w:t>
            </w:r>
          </w:p>
        </w:tc>
        <w:tc>
          <w:tcPr>
            <w:tcW w:w="1848" w:type="dxa"/>
          </w:tcPr>
          <w:p>
            <w:pPr>
              <w:pStyle w:val="TableParagraph"/>
              <w:spacing w:before="87"/>
              <w:ind w:right="838"/>
              <w:jc w:val="right"/>
              <w:rPr>
                <w:sz w:val="22"/>
              </w:rPr>
            </w:pPr>
            <w:r>
              <w:rPr>
                <w:w w:val="93"/>
                <w:sz w:val="22"/>
              </w:rPr>
              <w:t>X</w:t>
            </w:r>
          </w:p>
        </w:tc>
        <w:tc>
          <w:tcPr>
            <w:tcW w:w="1870" w:type="dxa"/>
          </w:tcPr>
          <w:p>
            <w:pPr>
              <w:pStyle w:val="TableParagraph"/>
              <w:spacing w:before="87"/>
              <w:ind w:left="10"/>
              <w:jc w:val="center"/>
              <w:rPr>
                <w:sz w:val="22"/>
              </w:rPr>
            </w:pPr>
            <w:r>
              <w:rPr>
                <w:w w:val="99"/>
                <w:sz w:val="22"/>
              </w:rPr>
              <w:t>X</w:t>
            </w:r>
          </w:p>
        </w:tc>
        <w:tc>
          <w:tcPr>
            <w:tcW w:w="1851" w:type="dxa"/>
          </w:tcPr>
          <w:p>
            <w:pPr>
              <w:pStyle w:val="TableParagraph"/>
              <w:spacing w:before="87"/>
              <w:ind w:left="8"/>
              <w:jc w:val="center"/>
              <w:rPr>
                <w:sz w:val="22"/>
              </w:rPr>
            </w:pPr>
            <w:r>
              <w:rPr>
                <w:w w:val="99"/>
                <w:sz w:val="22"/>
              </w:rPr>
              <w:t>X</w:t>
            </w:r>
          </w:p>
        </w:tc>
        <w:tc>
          <w:tcPr>
            <w:tcW w:w="1846" w:type="dxa"/>
          </w:tcPr>
          <w:p>
            <w:pPr>
              <w:pStyle w:val="TableParagraph"/>
              <w:spacing w:before="87"/>
              <w:ind w:left="7"/>
              <w:jc w:val="center"/>
              <w:rPr>
                <w:sz w:val="22"/>
              </w:rPr>
            </w:pPr>
            <w:r>
              <w:rPr>
                <w:w w:val="99"/>
                <w:sz w:val="22"/>
              </w:rPr>
              <w:t>X</w:t>
            </w:r>
          </w:p>
        </w:tc>
      </w:tr>
      <w:tr>
        <w:trPr>
          <w:trHeight w:val="506" w:hRule="atLeast"/>
        </w:trPr>
        <w:tc>
          <w:tcPr>
            <w:tcW w:w="1937" w:type="dxa"/>
          </w:tcPr>
          <w:p>
            <w:pPr>
              <w:pStyle w:val="TableParagraph"/>
              <w:spacing w:line="254" w:lineRule="exact"/>
              <w:ind w:left="107"/>
              <w:rPr>
                <w:b/>
                <w:sz w:val="22"/>
              </w:rPr>
            </w:pPr>
            <w:r>
              <w:rPr>
                <w:b/>
                <w:sz w:val="22"/>
              </w:rPr>
              <w:t>Private</w:t>
            </w:r>
            <w:r>
              <w:rPr>
                <w:b/>
                <w:spacing w:val="-14"/>
                <w:sz w:val="22"/>
              </w:rPr>
              <w:t> </w:t>
            </w:r>
            <w:r>
              <w:rPr>
                <w:b/>
                <w:sz w:val="22"/>
              </w:rPr>
              <w:t>Duty </w:t>
            </w:r>
            <w:r>
              <w:rPr>
                <w:b/>
                <w:spacing w:val="-2"/>
                <w:sz w:val="22"/>
              </w:rPr>
              <w:t>Nursing</w:t>
            </w:r>
          </w:p>
        </w:tc>
        <w:tc>
          <w:tcPr>
            <w:tcW w:w="1848" w:type="dxa"/>
          </w:tcPr>
          <w:p>
            <w:pPr>
              <w:pStyle w:val="TableParagraph"/>
              <w:spacing w:before="125"/>
              <w:ind w:right="838"/>
              <w:jc w:val="right"/>
              <w:rPr>
                <w:sz w:val="22"/>
              </w:rPr>
            </w:pPr>
            <w:r>
              <w:rPr>
                <w:w w:val="93"/>
                <w:sz w:val="22"/>
              </w:rPr>
              <w:t>X</w:t>
            </w:r>
          </w:p>
        </w:tc>
        <w:tc>
          <w:tcPr>
            <w:tcW w:w="1870" w:type="dxa"/>
          </w:tcPr>
          <w:p>
            <w:pPr>
              <w:pStyle w:val="TableParagraph"/>
              <w:spacing w:before="125"/>
              <w:ind w:left="10"/>
              <w:jc w:val="center"/>
              <w:rPr>
                <w:sz w:val="22"/>
              </w:rPr>
            </w:pPr>
            <w:r>
              <w:rPr>
                <w:w w:val="99"/>
                <w:sz w:val="22"/>
              </w:rPr>
              <w:t>X</w:t>
            </w:r>
          </w:p>
        </w:tc>
        <w:tc>
          <w:tcPr>
            <w:tcW w:w="1851" w:type="dxa"/>
          </w:tcPr>
          <w:p>
            <w:pPr>
              <w:pStyle w:val="TableParagraph"/>
              <w:rPr>
                <w:sz w:val="20"/>
              </w:rPr>
            </w:pPr>
          </w:p>
        </w:tc>
        <w:tc>
          <w:tcPr>
            <w:tcW w:w="1846" w:type="dxa"/>
          </w:tcPr>
          <w:p>
            <w:pPr>
              <w:pStyle w:val="TableParagraph"/>
              <w:rPr>
                <w:sz w:val="20"/>
              </w:rPr>
            </w:pPr>
          </w:p>
        </w:tc>
      </w:tr>
      <w:tr>
        <w:trPr>
          <w:trHeight w:val="429" w:hRule="atLeast"/>
        </w:trPr>
        <w:tc>
          <w:tcPr>
            <w:tcW w:w="1937" w:type="dxa"/>
          </w:tcPr>
          <w:p>
            <w:pPr>
              <w:pStyle w:val="TableParagraph"/>
              <w:spacing w:before="85"/>
              <w:ind w:left="107"/>
              <w:rPr>
                <w:b/>
                <w:sz w:val="22"/>
              </w:rPr>
            </w:pPr>
            <w:r>
              <w:rPr>
                <w:b/>
                <w:spacing w:val="-2"/>
                <w:sz w:val="22"/>
              </w:rPr>
              <w:t>Prosthetics</w:t>
            </w:r>
          </w:p>
        </w:tc>
        <w:tc>
          <w:tcPr>
            <w:tcW w:w="1848" w:type="dxa"/>
          </w:tcPr>
          <w:p>
            <w:pPr>
              <w:pStyle w:val="TableParagraph"/>
              <w:spacing w:before="85"/>
              <w:ind w:right="838"/>
              <w:jc w:val="right"/>
              <w:rPr>
                <w:sz w:val="22"/>
              </w:rPr>
            </w:pPr>
            <w:r>
              <w:rPr>
                <w:w w:val="93"/>
                <w:sz w:val="22"/>
              </w:rPr>
              <w:t>X</w:t>
            </w:r>
          </w:p>
        </w:tc>
        <w:tc>
          <w:tcPr>
            <w:tcW w:w="1870" w:type="dxa"/>
          </w:tcPr>
          <w:p>
            <w:pPr>
              <w:pStyle w:val="TableParagraph"/>
              <w:spacing w:before="85"/>
              <w:ind w:left="10"/>
              <w:jc w:val="center"/>
              <w:rPr>
                <w:sz w:val="22"/>
              </w:rPr>
            </w:pPr>
            <w:r>
              <w:rPr>
                <w:w w:val="99"/>
                <w:sz w:val="22"/>
              </w:rPr>
              <w:t>X</w:t>
            </w:r>
          </w:p>
        </w:tc>
        <w:tc>
          <w:tcPr>
            <w:tcW w:w="1851" w:type="dxa"/>
          </w:tcPr>
          <w:p>
            <w:pPr>
              <w:pStyle w:val="TableParagraph"/>
              <w:spacing w:before="85"/>
              <w:ind w:left="8"/>
              <w:jc w:val="center"/>
              <w:rPr>
                <w:sz w:val="22"/>
              </w:rPr>
            </w:pPr>
            <w:r>
              <w:rPr>
                <w:w w:val="99"/>
                <w:sz w:val="22"/>
              </w:rPr>
              <w:t>X</w:t>
            </w:r>
          </w:p>
        </w:tc>
        <w:tc>
          <w:tcPr>
            <w:tcW w:w="1846" w:type="dxa"/>
          </w:tcPr>
          <w:p>
            <w:pPr>
              <w:pStyle w:val="TableParagraph"/>
              <w:spacing w:before="85"/>
              <w:ind w:left="7"/>
              <w:jc w:val="center"/>
              <w:rPr>
                <w:sz w:val="22"/>
              </w:rPr>
            </w:pPr>
            <w:r>
              <w:rPr>
                <w:w w:val="99"/>
                <w:sz w:val="22"/>
              </w:rPr>
              <w:t>X</w:t>
            </w:r>
          </w:p>
        </w:tc>
      </w:tr>
      <w:tr>
        <w:trPr>
          <w:trHeight w:val="431" w:hRule="atLeast"/>
        </w:trPr>
        <w:tc>
          <w:tcPr>
            <w:tcW w:w="1937" w:type="dxa"/>
          </w:tcPr>
          <w:p>
            <w:pPr>
              <w:pStyle w:val="TableParagraph"/>
              <w:spacing w:before="89"/>
              <w:ind w:left="107"/>
              <w:rPr>
                <w:b/>
                <w:sz w:val="22"/>
              </w:rPr>
            </w:pPr>
            <w:r>
              <w:rPr>
                <w:b/>
                <w:spacing w:val="-2"/>
                <w:sz w:val="22"/>
              </w:rPr>
              <w:t>Rehabilitation</w:t>
            </w:r>
          </w:p>
        </w:tc>
        <w:tc>
          <w:tcPr>
            <w:tcW w:w="1848" w:type="dxa"/>
          </w:tcPr>
          <w:p>
            <w:pPr>
              <w:pStyle w:val="TableParagraph"/>
              <w:spacing w:before="89"/>
              <w:ind w:right="838"/>
              <w:jc w:val="right"/>
              <w:rPr>
                <w:sz w:val="22"/>
              </w:rPr>
            </w:pPr>
            <w:r>
              <w:rPr>
                <w:w w:val="93"/>
                <w:sz w:val="22"/>
              </w:rPr>
              <w:t>X</w:t>
            </w:r>
          </w:p>
        </w:tc>
        <w:tc>
          <w:tcPr>
            <w:tcW w:w="1870" w:type="dxa"/>
          </w:tcPr>
          <w:p>
            <w:pPr>
              <w:pStyle w:val="TableParagraph"/>
              <w:spacing w:before="89"/>
              <w:ind w:left="10"/>
              <w:jc w:val="center"/>
              <w:rPr>
                <w:sz w:val="22"/>
              </w:rPr>
            </w:pPr>
            <w:r>
              <w:rPr>
                <w:w w:val="99"/>
                <w:sz w:val="22"/>
              </w:rPr>
              <w:t>X</w:t>
            </w:r>
          </w:p>
        </w:tc>
        <w:tc>
          <w:tcPr>
            <w:tcW w:w="1851" w:type="dxa"/>
          </w:tcPr>
          <w:p>
            <w:pPr>
              <w:pStyle w:val="TableParagraph"/>
              <w:spacing w:before="89"/>
              <w:ind w:left="8"/>
              <w:jc w:val="center"/>
              <w:rPr>
                <w:sz w:val="22"/>
              </w:rPr>
            </w:pPr>
            <w:r>
              <w:rPr>
                <w:w w:val="99"/>
                <w:sz w:val="22"/>
              </w:rPr>
              <w:t>X</w:t>
            </w:r>
          </w:p>
        </w:tc>
        <w:tc>
          <w:tcPr>
            <w:tcW w:w="1846" w:type="dxa"/>
          </w:tcPr>
          <w:p>
            <w:pPr>
              <w:pStyle w:val="TableParagraph"/>
              <w:spacing w:before="89"/>
              <w:ind w:left="7"/>
              <w:jc w:val="center"/>
              <w:rPr>
                <w:sz w:val="22"/>
              </w:rPr>
            </w:pPr>
            <w:r>
              <w:rPr>
                <w:w w:val="99"/>
                <w:sz w:val="22"/>
              </w:rPr>
              <w:t>X</w:t>
            </w:r>
          </w:p>
        </w:tc>
      </w:tr>
      <w:tr>
        <w:trPr>
          <w:trHeight w:val="506" w:hRule="atLeast"/>
        </w:trPr>
        <w:tc>
          <w:tcPr>
            <w:tcW w:w="1937" w:type="dxa"/>
          </w:tcPr>
          <w:p>
            <w:pPr>
              <w:pStyle w:val="TableParagraph"/>
              <w:spacing w:line="252" w:lineRule="exact"/>
              <w:ind w:left="107"/>
              <w:rPr>
                <w:b/>
                <w:sz w:val="22"/>
              </w:rPr>
            </w:pPr>
            <w:r>
              <w:rPr>
                <w:b/>
                <w:sz w:val="22"/>
              </w:rPr>
              <w:t>Renal</w:t>
            </w:r>
            <w:r>
              <w:rPr>
                <w:b/>
                <w:spacing w:val="-14"/>
                <w:sz w:val="22"/>
              </w:rPr>
              <w:t> </w:t>
            </w:r>
            <w:r>
              <w:rPr>
                <w:b/>
                <w:sz w:val="22"/>
              </w:rPr>
              <w:t>Dialysis </w:t>
            </w:r>
            <w:r>
              <w:rPr>
                <w:b/>
                <w:spacing w:val="-2"/>
                <w:sz w:val="22"/>
              </w:rPr>
              <w:t>Services</w:t>
            </w:r>
          </w:p>
        </w:tc>
        <w:tc>
          <w:tcPr>
            <w:tcW w:w="1848" w:type="dxa"/>
          </w:tcPr>
          <w:p>
            <w:pPr>
              <w:pStyle w:val="TableParagraph"/>
              <w:spacing w:before="125"/>
              <w:ind w:right="838"/>
              <w:jc w:val="right"/>
              <w:rPr>
                <w:sz w:val="22"/>
              </w:rPr>
            </w:pPr>
            <w:r>
              <w:rPr>
                <w:w w:val="93"/>
                <w:sz w:val="22"/>
              </w:rPr>
              <w:t>X</w:t>
            </w:r>
          </w:p>
        </w:tc>
        <w:tc>
          <w:tcPr>
            <w:tcW w:w="1870" w:type="dxa"/>
          </w:tcPr>
          <w:p>
            <w:pPr>
              <w:pStyle w:val="TableParagraph"/>
              <w:spacing w:before="125"/>
              <w:ind w:left="10"/>
              <w:jc w:val="center"/>
              <w:rPr>
                <w:sz w:val="22"/>
              </w:rPr>
            </w:pPr>
            <w:r>
              <w:rPr>
                <w:w w:val="99"/>
                <w:sz w:val="22"/>
              </w:rPr>
              <w:t>X</w:t>
            </w:r>
          </w:p>
        </w:tc>
        <w:tc>
          <w:tcPr>
            <w:tcW w:w="1851" w:type="dxa"/>
          </w:tcPr>
          <w:p>
            <w:pPr>
              <w:pStyle w:val="TableParagraph"/>
              <w:spacing w:before="125"/>
              <w:ind w:left="8"/>
              <w:jc w:val="center"/>
              <w:rPr>
                <w:sz w:val="22"/>
              </w:rPr>
            </w:pPr>
            <w:r>
              <w:rPr>
                <w:w w:val="99"/>
                <w:sz w:val="22"/>
              </w:rPr>
              <w:t>X</w:t>
            </w:r>
          </w:p>
        </w:tc>
        <w:tc>
          <w:tcPr>
            <w:tcW w:w="1846" w:type="dxa"/>
          </w:tcPr>
          <w:p>
            <w:pPr>
              <w:pStyle w:val="TableParagraph"/>
              <w:spacing w:before="125"/>
              <w:ind w:left="7"/>
              <w:jc w:val="center"/>
              <w:rPr>
                <w:sz w:val="22"/>
              </w:rPr>
            </w:pPr>
            <w:r>
              <w:rPr>
                <w:w w:val="99"/>
                <w:sz w:val="22"/>
              </w:rPr>
              <w:t>X</w:t>
            </w:r>
          </w:p>
        </w:tc>
      </w:tr>
      <w:tr>
        <w:trPr>
          <w:trHeight w:val="505" w:hRule="atLeast"/>
        </w:trPr>
        <w:tc>
          <w:tcPr>
            <w:tcW w:w="1937" w:type="dxa"/>
          </w:tcPr>
          <w:p>
            <w:pPr>
              <w:pStyle w:val="TableParagraph"/>
              <w:spacing w:line="254" w:lineRule="exact"/>
              <w:ind w:left="107" w:right="352"/>
              <w:rPr>
                <w:b/>
                <w:sz w:val="22"/>
              </w:rPr>
            </w:pPr>
            <w:r>
              <w:rPr>
                <w:b/>
                <w:sz w:val="22"/>
              </w:rPr>
              <w:t>Skilled</w:t>
            </w:r>
            <w:r>
              <w:rPr>
                <w:b/>
                <w:spacing w:val="-14"/>
                <w:sz w:val="22"/>
              </w:rPr>
              <w:t> </w:t>
            </w:r>
            <w:r>
              <w:rPr>
                <w:b/>
                <w:sz w:val="22"/>
              </w:rPr>
              <w:t>Nursing </w:t>
            </w:r>
            <w:r>
              <w:rPr>
                <w:b/>
                <w:spacing w:val="-2"/>
                <w:sz w:val="22"/>
              </w:rPr>
              <w:t>Facility</w:t>
            </w:r>
          </w:p>
        </w:tc>
        <w:tc>
          <w:tcPr>
            <w:tcW w:w="1848" w:type="dxa"/>
          </w:tcPr>
          <w:p>
            <w:pPr>
              <w:pStyle w:val="TableParagraph"/>
              <w:spacing w:before="125"/>
              <w:ind w:right="838"/>
              <w:jc w:val="right"/>
              <w:rPr>
                <w:sz w:val="22"/>
              </w:rPr>
            </w:pPr>
            <w:r>
              <w:rPr>
                <w:w w:val="93"/>
                <w:sz w:val="22"/>
              </w:rPr>
              <w:t>X</w:t>
            </w:r>
          </w:p>
        </w:tc>
        <w:tc>
          <w:tcPr>
            <w:tcW w:w="1870" w:type="dxa"/>
          </w:tcPr>
          <w:p>
            <w:pPr>
              <w:pStyle w:val="TableParagraph"/>
              <w:spacing w:before="125"/>
              <w:ind w:left="10"/>
              <w:jc w:val="center"/>
              <w:rPr>
                <w:sz w:val="22"/>
              </w:rPr>
            </w:pPr>
            <w:r>
              <w:rPr>
                <w:w w:val="99"/>
                <w:sz w:val="22"/>
              </w:rPr>
              <w:t>X</w:t>
            </w:r>
          </w:p>
        </w:tc>
        <w:tc>
          <w:tcPr>
            <w:tcW w:w="1851" w:type="dxa"/>
          </w:tcPr>
          <w:p>
            <w:pPr>
              <w:pStyle w:val="TableParagraph"/>
              <w:spacing w:before="125"/>
              <w:ind w:left="562" w:right="554"/>
              <w:jc w:val="center"/>
              <w:rPr>
                <w:sz w:val="22"/>
              </w:rPr>
            </w:pPr>
            <w:r>
              <w:rPr>
                <w:spacing w:val="-2"/>
                <w:sz w:val="22"/>
              </w:rPr>
              <w:t>Limited</w:t>
            </w:r>
          </w:p>
        </w:tc>
        <w:tc>
          <w:tcPr>
            <w:tcW w:w="1846" w:type="dxa"/>
          </w:tcPr>
          <w:p>
            <w:pPr>
              <w:pStyle w:val="TableParagraph"/>
              <w:spacing w:before="125"/>
              <w:ind w:left="475" w:right="468"/>
              <w:jc w:val="center"/>
              <w:rPr>
                <w:sz w:val="22"/>
              </w:rPr>
            </w:pPr>
            <w:r>
              <w:rPr>
                <w:spacing w:val="-2"/>
                <w:sz w:val="22"/>
              </w:rPr>
              <w:t>Limited</w:t>
            </w:r>
          </w:p>
        </w:tc>
      </w:tr>
    </w:tbl>
    <w:p>
      <w:pPr>
        <w:spacing w:after="0"/>
        <w:jc w:val="center"/>
        <w:rPr>
          <w:sz w:val="22"/>
        </w:rPr>
        <w:sectPr>
          <w:type w:val="continuous"/>
          <w:pgSz w:w="12240" w:h="15840"/>
          <w:pgMar w:header="0" w:footer="1201" w:top="1420" w:bottom="1654" w:left="1200" w:right="400"/>
        </w:sectPr>
      </w:pPr>
    </w:p>
    <w:tbl>
      <w:tblPr>
        <w:tblW w:w="0" w:type="auto"/>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37"/>
        <w:gridCol w:w="1848"/>
        <w:gridCol w:w="1870"/>
        <w:gridCol w:w="1851"/>
        <w:gridCol w:w="1846"/>
      </w:tblGrid>
      <w:tr>
        <w:trPr>
          <w:trHeight w:val="412" w:hRule="atLeast"/>
        </w:trPr>
        <w:tc>
          <w:tcPr>
            <w:tcW w:w="9352" w:type="dxa"/>
            <w:gridSpan w:val="5"/>
            <w:shd w:val="clear" w:color="auto" w:fill="DBE6F1"/>
          </w:tcPr>
          <w:p>
            <w:pPr>
              <w:pStyle w:val="TableParagraph"/>
              <w:spacing w:before="1"/>
              <w:ind w:left="1888" w:right="1881"/>
              <w:jc w:val="center"/>
              <w:rPr>
                <w:b/>
                <w:sz w:val="22"/>
              </w:rPr>
            </w:pPr>
            <w:r>
              <w:rPr>
                <w:b/>
                <w:sz w:val="22"/>
              </w:rPr>
              <w:t>Table</w:t>
            </w:r>
            <w:r>
              <w:rPr>
                <w:b/>
                <w:spacing w:val="-5"/>
                <w:sz w:val="22"/>
              </w:rPr>
              <w:t> </w:t>
            </w:r>
            <w:r>
              <w:rPr>
                <w:b/>
                <w:sz w:val="22"/>
              </w:rPr>
              <w:t>4:</w:t>
            </w:r>
            <w:r>
              <w:rPr>
                <w:b/>
                <w:spacing w:val="-3"/>
                <w:sz w:val="22"/>
              </w:rPr>
              <w:t> </w:t>
            </w:r>
            <w:r>
              <w:rPr>
                <w:b/>
                <w:sz w:val="22"/>
              </w:rPr>
              <w:t>Summary</w:t>
            </w:r>
            <w:r>
              <w:rPr>
                <w:b/>
                <w:spacing w:val="-4"/>
                <w:sz w:val="22"/>
              </w:rPr>
              <w:t> </w:t>
            </w:r>
            <w:r>
              <w:rPr>
                <w:b/>
                <w:sz w:val="22"/>
              </w:rPr>
              <w:t>of</w:t>
            </w:r>
            <w:r>
              <w:rPr>
                <w:b/>
                <w:spacing w:val="-4"/>
                <w:sz w:val="22"/>
              </w:rPr>
              <w:t> </w:t>
            </w:r>
            <w:r>
              <w:rPr>
                <w:b/>
                <w:sz w:val="22"/>
              </w:rPr>
              <w:t>MassHealth</w:t>
            </w:r>
            <w:r>
              <w:rPr>
                <w:b/>
                <w:spacing w:val="-5"/>
                <w:sz w:val="22"/>
              </w:rPr>
              <w:t> </w:t>
            </w:r>
            <w:r>
              <w:rPr>
                <w:b/>
                <w:sz w:val="22"/>
              </w:rPr>
              <w:t>Direct</w:t>
            </w:r>
            <w:r>
              <w:rPr>
                <w:b/>
                <w:spacing w:val="-3"/>
                <w:sz w:val="22"/>
              </w:rPr>
              <w:t> </w:t>
            </w:r>
            <w:r>
              <w:rPr>
                <w:b/>
                <w:sz w:val="22"/>
              </w:rPr>
              <w:t>Coverage</w:t>
            </w:r>
            <w:r>
              <w:rPr>
                <w:b/>
                <w:spacing w:val="-6"/>
                <w:sz w:val="22"/>
              </w:rPr>
              <w:t> </w:t>
            </w:r>
            <w:r>
              <w:rPr>
                <w:b/>
                <w:spacing w:val="-2"/>
                <w:sz w:val="22"/>
              </w:rPr>
              <w:t>Benefits</w:t>
            </w:r>
          </w:p>
        </w:tc>
      </w:tr>
      <w:tr>
        <w:trPr>
          <w:trHeight w:val="505" w:hRule="atLeast"/>
        </w:trPr>
        <w:tc>
          <w:tcPr>
            <w:tcW w:w="1937" w:type="dxa"/>
            <w:shd w:val="clear" w:color="auto" w:fill="DBE6F1"/>
          </w:tcPr>
          <w:p>
            <w:pPr>
              <w:pStyle w:val="TableParagraph"/>
              <w:spacing w:before="125"/>
              <w:ind w:left="587"/>
              <w:rPr>
                <w:b/>
                <w:sz w:val="22"/>
              </w:rPr>
            </w:pPr>
            <w:r>
              <w:rPr>
                <w:b/>
                <w:spacing w:val="-2"/>
                <w:sz w:val="22"/>
              </w:rPr>
              <w:t>Benefits</w:t>
            </w:r>
          </w:p>
        </w:tc>
        <w:tc>
          <w:tcPr>
            <w:tcW w:w="1848" w:type="dxa"/>
            <w:shd w:val="clear" w:color="auto" w:fill="DBE6F1"/>
          </w:tcPr>
          <w:p>
            <w:pPr>
              <w:pStyle w:val="TableParagraph"/>
              <w:spacing w:line="254" w:lineRule="exact"/>
              <w:ind w:left="234" w:right="222" w:firstLine="216"/>
              <w:rPr>
                <w:b/>
                <w:sz w:val="22"/>
              </w:rPr>
            </w:pPr>
            <w:r>
              <w:rPr>
                <w:b/>
                <w:spacing w:val="-2"/>
                <w:sz w:val="22"/>
              </w:rPr>
              <w:t>Standard/ </w:t>
            </w:r>
            <w:r>
              <w:rPr>
                <w:b/>
                <w:sz w:val="22"/>
              </w:rPr>
              <w:t>Standard</w:t>
            </w:r>
            <w:r>
              <w:rPr>
                <w:b/>
                <w:spacing w:val="-14"/>
                <w:sz w:val="22"/>
              </w:rPr>
              <w:t> </w:t>
            </w:r>
            <w:r>
              <w:rPr>
                <w:b/>
                <w:sz w:val="22"/>
              </w:rPr>
              <w:t>ABP</w:t>
            </w:r>
          </w:p>
        </w:tc>
        <w:tc>
          <w:tcPr>
            <w:tcW w:w="1870" w:type="dxa"/>
            <w:shd w:val="clear" w:color="auto" w:fill="DBE6F1"/>
          </w:tcPr>
          <w:p>
            <w:pPr>
              <w:pStyle w:val="TableParagraph"/>
              <w:spacing w:before="125"/>
              <w:ind w:left="174" w:right="165"/>
              <w:jc w:val="center"/>
              <w:rPr>
                <w:b/>
                <w:sz w:val="22"/>
              </w:rPr>
            </w:pPr>
            <w:r>
              <w:rPr>
                <w:b/>
                <w:spacing w:val="-2"/>
                <w:sz w:val="22"/>
              </w:rPr>
              <w:t>CommonHealth</w:t>
            </w:r>
          </w:p>
        </w:tc>
        <w:tc>
          <w:tcPr>
            <w:tcW w:w="1851" w:type="dxa"/>
            <w:shd w:val="clear" w:color="auto" w:fill="DBE6F1"/>
          </w:tcPr>
          <w:p>
            <w:pPr>
              <w:pStyle w:val="TableParagraph"/>
              <w:spacing w:line="254" w:lineRule="exact"/>
              <w:ind w:left="436" w:firstLine="156"/>
              <w:rPr>
                <w:b/>
                <w:sz w:val="22"/>
              </w:rPr>
            </w:pPr>
            <w:r>
              <w:rPr>
                <w:b/>
                <w:spacing w:val="-2"/>
                <w:sz w:val="22"/>
              </w:rPr>
              <w:t>Family Assistance</w:t>
            </w:r>
          </w:p>
        </w:tc>
        <w:tc>
          <w:tcPr>
            <w:tcW w:w="1846" w:type="dxa"/>
            <w:shd w:val="clear" w:color="auto" w:fill="DBE6F1"/>
          </w:tcPr>
          <w:p>
            <w:pPr>
              <w:pStyle w:val="TableParagraph"/>
              <w:spacing w:before="125"/>
              <w:ind w:left="475" w:right="469"/>
              <w:jc w:val="center"/>
              <w:rPr>
                <w:b/>
                <w:sz w:val="22"/>
              </w:rPr>
            </w:pPr>
            <w:r>
              <w:rPr>
                <w:b/>
                <w:spacing w:val="-2"/>
                <w:sz w:val="22"/>
              </w:rPr>
              <w:t>CarePlus</w:t>
            </w:r>
          </w:p>
        </w:tc>
      </w:tr>
      <w:tr>
        <w:trPr>
          <w:trHeight w:val="504" w:hRule="atLeast"/>
        </w:trPr>
        <w:tc>
          <w:tcPr>
            <w:tcW w:w="1937" w:type="dxa"/>
          </w:tcPr>
          <w:p>
            <w:pPr>
              <w:pStyle w:val="TableParagraph"/>
              <w:spacing w:line="249" w:lineRule="exact"/>
              <w:ind w:left="107"/>
              <w:rPr>
                <w:b/>
                <w:sz w:val="22"/>
              </w:rPr>
            </w:pPr>
            <w:r>
              <w:rPr>
                <w:b/>
                <w:sz w:val="22"/>
              </w:rPr>
              <w:t>Speech</w:t>
            </w:r>
            <w:r>
              <w:rPr>
                <w:b/>
                <w:spacing w:val="-3"/>
                <w:sz w:val="22"/>
              </w:rPr>
              <w:t> </w:t>
            </w:r>
            <w:r>
              <w:rPr>
                <w:b/>
                <w:spacing w:val="-5"/>
                <w:sz w:val="22"/>
              </w:rPr>
              <w:t>and</w:t>
            </w:r>
          </w:p>
          <w:p>
            <w:pPr>
              <w:pStyle w:val="TableParagraph"/>
              <w:spacing w:line="233" w:lineRule="exact" w:before="1"/>
              <w:ind w:left="107"/>
              <w:rPr>
                <w:b/>
                <w:sz w:val="22"/>
              </w:rPr>
            </w:pPr>
            <w:r>
              <w:rPr>
                <w:b/>
                <w:sz w:val="22"/>
              </w:rPr>
              <w:t>Hearing</w:t>
            </w:r>
            <w:r>
              <w:rPr>
                <w:b/>
                <w:spacing w:val="-2"/>
                <w:sz w:val="22"/>
              </w:rPr>
              <w:t> Services</w:t>
            </w:r>
          </w:p>
        </w:tc>
        <w:tc>
          <w:tcPr>
            <w:tcW w:w="1848" w:type="dxa"/>
          </w:tcPr>
          <w:p>
            <w:pPr>
              <w:pStyle w:val="TableParagraph"/>
              <w:spacing w:before="123"/>
              <w:ind w:right="838"/>
              <w:jc w:val="right"/>
              <w:rPr>
                <w:sz w:val="22"/>
              </w:rPr>
            </w:pPr>
            <w:r>
              <w:rPr>
                <w:w w:val="93"/>
                <w:sz w:val="22"/>
              </w:rPr>
              <w:t>X</w:t>
            </w:r>
          </w:p>
        </w:tc>
        <w:tc>
          <w:tcPr>
            <w:tcW w:w="1870" w:type="dxa"/>
          </w:tcPr>
          <w:p>
            <w:pPr>
              <w:pStyle w:val="TableParagraph"/>
              <w:spacing w:before="123"/>
              <w:ind w:left="10"/>
              <w:jc w:val="center"/>
              <w:rPr>
                <w:sz w:val="22"/>
              </w:rPr>
            </w:pPr>
            <w:r>
              <w:rPr>
                <w:w w:val="99"/>
                <w:sz w:val="22"/>
              </w:rPr>
              <w:t>X</w:t>
            </w:r>
          </w:p>
        </w:tc>
        <w:tc>
          <w:tcPr>
            <w:tcW w:w="1851" w:type="dxa"/>
          </w:tcPr>
          <w:p>
            <w:pPr>
              <w:pStyle w:val="TableParagraph"/>
              <w:spacing w:before="123"/>
              <w:ind w:left="846"/>
              <w:rPr>
                <w:sz w:val="22"/>
              </w:rPr>
            </w:pPr>
            <w:r>
              <w:rPr>
                <w:w w:val="99"/>
                <w:sz w:val="22"/>
              </w:rPr>
              <w:t>X</w:t>
            </w:r>
          </w:p>
        </w:tc>
        <w:tc>
          <w:tcPr>
            <w:tcW w:w="1846" w:type="dxa"/>
          </w:tcPr>
          <w:p>
            <w:pPr>
              <w:pStyle w:val="TableParagraph"/>
              <w:spacing w:before="123"/>
              <w:ind w:left="7"/>
              <w:jc w:val="center"/>
              <w:rPr>
                <w:sz w:val="22"/>
              </w:rPr>
            </w:pPr>
            <w:r>
              <w:rPr>
                <w:w w:val="99"/>
                <w:sz w:val="22"/>
              </w:rPr>
              <w:t>X</w:t>
            </w:r>
          </w:p>
        </w:tc>
      </w:tr>
      <w:tr>
        <w:trPr>
          <w:trHeight w:val="505" w:hRule="atLeast"/>
        </w:trPr>
        <w:tc>
          <w:tcPr>
            <w:tcW w:w="1937" w:type="dxa"/>
          </w:tcPr>
          <w:p>
            <w:pPr>
              <w:pStyle w:val="TableParagraph"/>
              <w:spacing w:line="254" w:lineRule="exact"/>
              <w:ind w:left="107"/>
              <w:rPr>
                <w:b/>
                <w:sz w:val="22"/>
              </w:rPr>
            </w:pPr>
            <w:r>
              <w:rPr>
                <w:b/>
                <w:sz w:val="22"/>
              </w:rPr>
              <w:t>Targeted</w:t>
            </w:r>
            <w:r>
              <w:rPr>
                <w:b/>
                <w:spacing w:val="-14"/>
                <w:sz w:val="22"/>
              </w:rPr>
              <w:t> </w:t>
            </w:r>
            <w:r>
              <w:rPr>
                <w:b/>
                <w:sz w:val="22"/>
              </w:rPr>
              <w:t>Case </w:t>
            </w:r>
            <w:r>
              <w:rPr>
                <w:b/>
                <w:spacing w:val="-2"/>
                <w:sz w:val="22"/>
              </w:rPr>
              <w:t>Management</w:t>
            </w:r>
          </w:p>
        </w:tc>
        <w:tc>
          <w:tcPr>
            <w:tcW w:w="1848" w:type="dxa"/>
          </w:tcPr>
          <w:p>
            <w:pPr>
              <w:pStyle w:val="TableParagraph"/>
              <w:spacing w:before="125"/>
              <w:ind w:right="838"/>
              <w:jc w:val="right"/>
              <w:rPr>
                <w:sz w:val="22"/>
              </w:rPr>
            </w:pPr>
            <w:r>
              <w:rPr>
                <w:w w:val="93"/>
                <w:sz w:val="22"/>
              </w:rPr>
              <w:t>X</w:t>
            </w:r>
          </w:p>
        </w:tc>
        <w:tc>
          <w:tcPr>
            <w:tcW w:w="1870" w:type="dxa"/>
          </w:tcPr>
          <w:p>
            <w:pPr>
              <w:pStyle w:val="TableParagraph"/>
              <w:spacing w:before="125"/>
              <w:ind w:left="10"/>
              <w:jc w:val="center"/>
              <w:rPr>
                <w:sz w:val="22"/>
              </w:rPr>
            </w:pPr>
            <w:r>
              <w:rPr>
                <w:w w:val="99"/>
                <w:sz w:val="22"/>
              </w:rPr>
              <w:t>X</w:t>
            </w:r>
          </w:p>
        </w:tc>
        <w:tc>
          <w:tcPr>
            <w:tcW w:w="1851" w:type="dxa"/>
          </w:tcPr>
          <w:p>
            <w:pPr>
              <w:pStyle w:val="TableParagraph"/>
              <w:rPr>
                <w:sz w:val="22"/>
              </w:rPr>
            </w:pPr>
          </w:p>
        </w:tc>
        <w:tc>
          <w:tcPr>
            <w:tcW w:w="1846" w:type="dxa"/>
          </w:tcPr>
          <w:p>
            <w:pPr>
              <w:pStyle w:val="TableParagraph"/>
              <w:spacing w:before="125"/>
              <w:ind w:left="8"/>
              <w:jc w:val="center"/>
              <w:rPr>
                <w:sz w:val="22"/>
              </w:rPr>
            </w:pPr>
            <w:r>
              <w:rPr>
                <w:w w:val="99"/>
                <w:sz w:val="22"/>
              </w:rPr>
              <w:t>X</w:t>
            </w:r>
          </w:p>
        </w:tc>
      </w:tr>
      <w:tr>
        <w:trPr>
          <w:trHeight w:val="1262" w:hRule="atLeast"/>
        </w:trPr>
        <w:tc>
          <w:tcPr>
            <w:tcW w:w="1937" w:type="dxa"/>
          </w:tcPr>
          <w:p>
            <w:pPr>
              <w:pStyle w:val="TableParagraph"/>
              <w:ind w:left="107" w:right="292"/>
              <w:rPr>
                <w:b/>
                <w:sz w:val="22"/>
              </w:rPr>
            </w:pPr>
            <w:r>
              <w:rPr>
                <w:b/>
                <w:spacing w:val="-2"/>
                <w:sz w:val="22"/>
              </w:rPr>
              <w:t>Therapy: Physical, Occupational,</w:t>
            </w:r>
          </w:p>
          <w:p>
            <w:pPr>
              <w:pStyle w:val="TableParagraph"/>
              <w:spacing w:line="252" w:lineRule="exact"/>
              <w:ind w:left="107" w:right="683"/>
              <w:rPr>
                <w:b/>
                <w:sz w:val="22"/>
              </w:rPr>
            </w:pPr>
            <w:r>
              <w:rPr>
                <w:b/>
                <w:sz w:val="22"/>
              </w:rPr>
              <w:t>and</w:t>
            </w:r>
            <w:r>
              <w:rPr>
                <w:b/>
                <w:spacing w:val="-14"/>
                <w:sz w:val="22"/>
              </w:rPr>
              <w:t> </w:t>
            </w:r>
            <w:r>
              <w:rPr>
                <w:b/>
                <w:sz w:val="22"/>
              </w:rPr>
              <w:t>Speech/ </w:t>
            </w:r>
            <w:r>
              <w:rPr>
                <w:b/>
                <w:spacing w:val="-2"/>
                <w:sz w:val="22"/>
              </w:rPr>
              <w:t>Language</w:t>
            </w:r>
          </w:p>
        </w:tc>
        <w:tc>
          <w:tcPr>
            <w:tcW w:w="1848" w:type="dxa"/>
          </w:tcPr>
          <w:p>
            <w:pPr>
              <w:pStyle w:val="TableParagraph"/>
              <w:rPr>
                <w:b/>
                <w:sz w:val="24"/>
              </w:rPr>
            </w:pPr>
          </w:p>
          <w:p>
            <w:pPr>
              <w:pStyle w:val="TableParagraph"/>
              <w:spacing w:before="8"/>
              <w:rPr>
                <w:b/>
                <w:sz w:val="19"/>
              </w:rPr>
            </w:pPr>
          </w:p>
          <w:p>
            <w:pPr>
              <w:pStyle w:val="TableParagraph"/>
              <w:ind w:right="838"/>
              <w:jc w:val="right"/>
              <w:rPr>
                <w:sz w:val="22"/>
              </w:rPr>
            </w:pPr>
            <w:r>
              <w:rPr>
                <w:w w:val="93"/>
                <w:sz w:val="22"/>
              </w:rPr>
              <w:t>X</w:t>
            </w:r>
          </w:p>
        </w:tc>
        <w:tc>
          <w:tcPr>
            <w:tcW w:w="1870" w:type="dxa"/>
          </w:tcPr>
          <w:p>
            <w:pPr>
              <w:pStyle w:val="TableParagraph"/>
              <w:rPr>
                <w:b/>
                <w:sz w:val="24"/>
              </w:rPr>
            </w:pPr>
          </w:p>
          <w:p>
            <w:pPr>
              <w:pStyle w:val="TableParagraph"/>
              <w:spacing w:before="8"/>
              <w:rPr>
                <w:b/>
                <w:sz w:val="19"/>
              </w:rPr>
            </w:pPr>
          </w:p>
          <w:p>
            <w:pPr>
              <w:pStyle w:val="TableParagraph"/>
              <w:ind w:left="10"/>
              <w:jc w:val="center"/>
              <w:rPr>
                <w:sz w:val="22"/>
              </w:rPr>
            </w:pPr>
            <w:r>
              <w:rPr>
                <w:w w:val="99"/>
                <w:sz w:val="22"/>
              </w:rPr>
              <w:t>X</w:t>
            </w:r>
          </w:p>
        </w:tc>
        <w:tc>
          <w:tcPr>
            <w:tcW w:w="1851" w:type="dxa"/>
          </w:tcPr>
          <w:p>
            <w:pPr>
              <w:pStyle w:val="TableParagraph"/>
              <w:rPr>
                <w:b/>
                <w:sz w:val="24"/>
              </w:rPr>
            </w:pPr>
          </w:p>
          <w:p>
            <w:pPr>
              <w:pStyle w:val="TableParagraph"/>
              <w:spacing w:before="8"/>
              <w:rPr>
                <w:b/>
                <w:sz w:val="19"/>
              </w:rPr>
            </w:pPr>
          </w:p>
          <w:p>
            <w:pPr>
              <w:pStyle w:val="TableParagraph"/>
              <w:ind w:left="846"/>
              <w:rPr>
                <w:sz w:val="22"/>
              </w:rPr>
            </w:pPr>
            <w:r>
              <w:rPr>
                <w:w w:val="99"/>
                <w:sz w:val="22"/>
              </w:rPr>
              <w:t>X</w:t>
            </w:r>
          </w:p>
        </w:tc>
        <w:tc>
          <w:tcPr>
            <w:tcW w:w="1846" w:type="dxa"/>
          </w:tcPr>
          <w:p>
            <w:pPr>
              <w:pStyle w:val="TableParagraph"/>
              <w:rPr>
                <w:b/>
                <w:sz w:val="24"/>
              </w:rPr>
            </w:pPr>
          </w:p>
          <w:p>
            <w:pPr>
              <w:pStyle w:val="TableParagraph"/>
              <w:spacing w:before="8"/>
              <w:rPr>
                <w:b/>
                <w:sz w:val="19"/>
              </w:rPr>
            </w:pPr>
          </w:p>
          <w:p>
            <w:pPr>
              <w:pStyle w:val="TableParagraph"/>
              <w:ind w:left="7"/>
              <w:jc w:val="center"/>
              <w:rPr>
                <w:sz w:val="22"/>
              </w:rPr>
            </w:pPr>
            <w:r>
              <w:rPr>
                <w:w w:val="99"/>
                <w:sz w:val="22"/>
              </w:rPr>
              <w:t>X</w:t>
            </w:r>
          </w:p>
        </w:tc>
      </w:tr>
      <w:tr>
        <w:trPr>
          <w:trHeight w:val="432" w:hRule="atLeast"/>
        </w:trPr>
        <w:tc>
          <w:tcPr>
            <w:tcW w:w="1937" w:type="dxa"/>
          </w:tcPr>
          <w:p>
            <w:pPr>
              <w:pStyle w:val="TableParagraph"/>
              <w:spacing w:before="89"/>
              <w:ind w:left="107"/>
              <w:rPr>
                <w:b/>
                <w:sz w:val="22"/>
              </w:rPr>
            </w:pPr>
            <w:r>
              <w:rPr>
                <w:b/>
                <w:sz w:val="22"/>
              </w:rPr>
              <w:t>Vision</w:t>
            </w:r>
            <w:r>
              <w:rPr>
                <w:b/>
                <w:spacing w:val="-3"/>
                <w:sz w:val="22"/>
              </w:rPr>
              <w:t> </w:t>
            </w:r>
            <w:r>
              <w:rPr>
                <w:b/>
                <w:spacing w:val="-4"/>
                <w:sz w:val="22"/>
              </w:rPr>
              <w:t>Care</w:t>
            </w:r>
          </w:p>
        </w:tc>
        <w:tc>
          <w:tcPr>
            <w:tcW w:w="1848" w:type="dxa"/>
          </w:tcPr>
          <w:p>
            <w:pPr>
              <w:pStyle w:val="TableParagraph"/>
              <w:spacing w:before="89"/>
              <w:ind w:right="838"/>
              <w:jc w:val="right"/>
              <w:rPr>
                <w:sz w:val="22"/>
              </w:rPr>
            </w:pPr>
            <w:r>
              <w:rPr>
                <w:w w:val="93"/>
                <w:sz w:val="22"/>
              </w:rPr>
              <w:t>X</w:t>
            </w:r>
          </w:p>
        </w:tc>
        <w:tc>
          <w:tcPr>
            <w:tcW w:w="1870" w:type="dxa"/>
          </w:tcPr>
          <w:p>
            <w:pPr>
              <w:pStyle w:val="TableParagraph"/>
              <w:spacing w:before="89"/>
              <w:ind w:left="10"/>
              <w:jc w:val="center"/>
              <w:rPr>
                <w:sz w:val="22"/>
              </w:rPr>
            </w:pPr>
            <w:r>
              <w:rPr>
                <w:w w:val="99"/>
                <w:sz w:val="22"/>
              </w:rPr>
              <w:t>X</w:t>
            </w:r>
          </w:p>
        </w:tc>
        <w:tc>
          <w:tcPr>
            <w:tcW w:w="1851" w:type="dxa"/>
          </w:tcPr>
          <w:p>
            <w:pPr>
              <w:pStyle w:val="TableParagraph"/>
              <w:spacing w:before="89"/>
              <w:ind w:left="846"/>
              <w:rPr>
                <w:sz w:val="22"/>
              </w:rPr>
            </w:pPr>
            <w:r>
              <w:rPr>
                <w:w w:val="99"/>
                <w:sz w:val="22"/>
              </w:rPr>
              <w:t>X</w:t>
            </w:r>
          </w:p>
        </w:tc>
        <w:tc>
          <w:tcPr>
            <w:tcW w:w="1846" w:type="dxa"/>
          </w:tcPr>
          <w:p>
            <w:pPr>
              <w:pStyle w:val="TableParagraph"/>
              <w:spacing w:before="89"/>
              <w:ind w:left="7"/>
              <w:jc w:val="center"/>
              <w:rPr>
                <w:sz w:val="22"/>
              </w:rPr>
            </w:pPr>
            <w:r>
              <w:rPr>
                <w:w w:val="99"/>
                <w:sz w:val="22"/>
              </w:rPr>
              <w:t>X</w:t>
            </w:r>
          </w:p>
        </w:tc>
      </w:tr>
      <w:tr>
        <w:trPr>
          <w:trHeight w:val="330" w:hRule="atLeast"/>
        </w:trPr>
        <w:tc>
          <w:tcPr>
            <w:tcW w:w="9352" w:type="dxa"/>
            <w:gridSpan w:val="5"/>
          </w:tcPr>
          <w:p>
            <w:pPr>
              <w:pStyle w:val="TableParagraph"/>
              <w:spacing w:before="37"/>
              <w:ind w:left="107"/>
              <w:rPr>
                <w:i/>
                <w:sz w:val="22"/>
              </w:rPr>
            </w:pPr>
            <w:r>
              <w:rPr>
                <w:i/>
                <w:sz w:val="22"/>
              </w:rPr>
              <w:t>Chart </w:t>
            </w:r>
            <w:r>
              <w:rPr>
                <w:i/>
                <w:spacing w:val="-2"/>
                <w:sz w:val="22"/>
              </w:rPr>
              <w:t>Notes</w:t>
            </w:r>
          </w:p>
        </w:tc>
      </w:tr>
      <w:tr>
        <w:trPr>
          <w:trHeight w:val="2022" w:hRule="atLeast"/>
        </w:trPr>
        <w:tc>
          <w:tcPr>
            <w:tcW w:w="9352" w:type="dxa"/>
            <w:gridSpan w:val="5"/>
          </w:tcPr>
          <w:p>
            <w:pPr>
              <w:pStyle w:val="TableParagraph"/>
              <w:ind w:left="107" w:right="42"/>
              <w:rPr>
                <w:sz w:val="22"/>
              </w:rPr>
            </w:pPr>
            <w:r>
              <w:rPr>
                <w:b/>
                <w:sz w:val="22"/>
              </w:rPr>
              <w:t>**Adult Foster Care Services: </w:t>
            </w:r>
            <w:r>
              <w:rPr>
                <w:sz w:val="22"/>
              </w:rPr>
              <w:t>These services are state plan services and the definition of these services</w:t>
            </w:r>
            <w:r>
              <w:rPr>
                <w:spacing w:val="-2"/>
                <w:sz w:val="22"/>
              </w:rPr>
              <w:t> </w:t>
            </w:r>
            <w:r>
              <w:rPr>
                <w:sz w:val="22"/>
              </w:rPr>
              <w:t>may</w:t>
            </w:r>
            <w:r>
              <w:rPr>
                <w:spacing w:val="-2"/>
                <w:sz w:val="22"/>
              </w:rPr>
              <w:t> </w:t>
            </w:r>
            <w:r>
              <w:rPr>
                <w:sz w:val="22"/>
              </w:rPr>
              <w:t>vary</w:t>
            </w:r>
            <w:r>
              <w:rPr>
                <w:spacing w:val="-5"/>
                <w:sz w:val="22"/>
              </w:rPr>
              <w:t> </w:t>
            </w:r>
            <w:r>
              <w:rPr>
                <w:sz w:val="22"/>
              </w:rPr>
              <w:t>contingent</w:t>
            </w:r>
            <w:r>
              <w:rPr>
                <w:spacing w:val="-1"/>
                <w:sz w:val="22"/>
              </w:rPr>
              <w:t> </w:t>
            </w:r>
            <w:r>
              <w:rPr>
                <w:sz w:val="22"/>
              </w:rPr>
              <w:t>upon</w:t>
            </w:r>
            <w:r>
              <w:rPr>
                <w:spacing w:val="-5"/>
                <w:sz w:val="22"/>
              </w:rPr>
              <w:t> </w:t>
            </w:r>
            <w:r>
              <w:rPr>
                <w:sz w:val="22"/>
              </w:rPr>
              <w:t>the</w:t>
            </w:r>
            <w:r>
              <w:rPr>
                <w:spacing w:val="-2"/>
                <w:sz w:val="22"/>
              </w:rPr>
              <w:t> </w:t>
            </w:r>
            <w:r>
              <w:rPr>
                <w:sz w:val="22"/>
              </w:rPr>
              <w:t>approved</w:t>
            </w:r>
            <w:r>
              <w:rPr>
                <w:spacing w:val="-2"/>
                <w:sz w:val="22"/>
              </w:rPr>
              <w:t> </w:t>
            </w:r>
            <w:r>
              <w:rPr>
                <w:sz w:val="22"/>
              </w:rPr>
              <w:t>state</w:t>
            </w:r>
            <w:r>
              <w:rPr>
                <w:spacing w:val="-4"/>
                <w:sz w:val="22"/>
              </w:rPr>
              <w:t> </w:t>
            </w:r>
            <w:r>
              <w:rPr>
                <w:sz w:val="22"/>
              </w:rPr>
              <w:t>plan.</w:t>
            </w:r>
            <w:r>
              <w:rPr>
                <w:spacing w:val="40"/>
                <w:sz w:val="22"/>
              </w:rPr>
              <w:t> </w:t>
            </w:r>
            <w:r>
              <w:rPr>
                <w:sz w:val="22"/>
              </w:rPr>
              <w:t>In</w:t>
            </w:r>
            <w:r>
              <w:rPr>
                <w:spacing w:val="-2"/>
                <w:sz w:val="22"/>
              </w:rPr>
              <w:t> </w:t>
            </w:r>
            <w:r>
              <w:rPr>
                <w:sz w:val="22"/>
              </w:rPr>
              <w:t>general,</w:t>
            </w:r>
            <w:r>
              <w:rPr>
                <w:spacing w:val="-5"/>
                <w:sz w:val="22"/>
              </w:rPr>
              <w:t> </w:t>
            </w:r>
            <w:r>
              <w:rPr>
                <w:sz w:val="22"/>
              </w:rPr>
              <w:t>the</w:t>
            </w:r>
            <w:r>
              <w:rPr>
                <w:spacing w:val="-2"/>
                <w:sz w:val="22"/>
              </w:rPr>
              <w:t> </w:t>
            </w:r>
            <w:r>
              <w:rPr>
                <w:sz w:val="22"/>
              </w:rPr>
              <w:t>services</w:t>
            </w:r>
            <w:r>
              <w:rPr>
                <w:spacing w:val="-2"/>
                <w:sz w:val="22"/>
              </w:rPr>
              <w:t> </w:t>
            </w:r>
            <w:r>
              <w:rPr>
                <w:sz w:val="22"/>
              </w:rPr>
              <w:t>are</w:t>
            </w:r>
            <w:r>
              <w:rPr>
                <w:spacing w:val="-2"/>
                <w:sz w:val="22"/>
              </w:rPr>
              <w:t> </w:t>
            </w:r>
            <w:r>
              <w:rPr>
                <w:sz w:val="22"/>
              </w:rPr>
              <w:t>assistance</w:t>
            </w:r>
            <w:r>
              <w:rPr>
                <w:spacing w:val="-2"/>
                <w:sz w:val="22"/>
              </w:rPr>
              <w:t> </w:t>
            </w:r>
            <w:r>
              <w:rPr>
                <w:sz w:val="22"/>
              </w:rPr>
              <w:t>with activities of daily living and instrumental activities daily living, supportive services, nursing oversight and care management provided in a qualified private home by a principal caregiver who lives in the home.</w:t>
            </w:r>
            <w:r>
              <w:rPr>
                <w:spacing w:val="40"/>
                <w:sz w:val="22"/>
              </w:rPr>
              <w:t> </w:t>
            </w:r>
            <w:r>
              <w:rPr>
                <w:sz w:val="22"/>
              </w:rPr>
              <w:t>Adult foster care is furnished to adults who receive the services in conjunction with</w:t>
            </w:r>
            <w:r>
              <w:rPr>
                <w:spacing w:val="-1"/>
                <w:sz w:val="22"/>
              </w:rPr>
              <w:t> </w:t>
            </w:r>
            <w:r>
              <w:rPr>
                <w:sz w:val="22"/>
              </w:rPr>
              <w:t>residing</w:t>
            </w:r>
            <w:r>
              <w:rPr>
                <w:spacing w:val="-1"/>
                <w:sz w:val="22"/>
              </w:rPr>
              <w:t> </w:t>
            </w:r>
            <w:r>
              <w:rPr>
                <w:sz w:val="22"/>
              </w:rPr>
              <w:t>in the home.</w:t>
            </w:r>
            <w:r>
              <w:rPr>
                <w:spacing w:val="40"/>
                <w:sz w:val="22"/>
              </w:rPr>
              <w:t> </w:t>
            </w:r>
            <w:r>
              <w:rPr>
                <w:sz w:val="22"/>
              </w:rPr>
              <w:t>The number of individuals living in the home unrelated to the principal caregiver may not</w:t>
            </w:r>
          </w:p>
          <w:p>
            <w:pPr>
              <w:pStyle w:val="TableParagraph"/>
              <w:spacing w:line="252" w:lineRule="exact"/>
              <w:ind w:left="107"/>
              <w:rPr>
                <w:sz w:val="22"/>
              </w:rPr>
            </w:pPr>
            <w:r>
              <w:rPr>
                <w:sz w:val="22"/>
              </w:rPr>
              <w:t>exceed</w:t>
            </w:r>
            <w:r>
              <w:rPr>
                <w:spacing w:val="-1"/>
                <w:sz w:val="22"/>
              </w:rPr>
              <w:t> </w:t>
            </w:r>
            <w:r>
              <w:rPr>
                <w:sz w:val="22"/>
              </w:rPr>
              <w:t>three.</w:t>
            </w:r>
            <w:r>
              <w:rPr>
                <w:spacing w:val="40"/>
                <w:sz w:val="22"/>
              </w:rPr>
              <w:t> </w:t>
            </w:r>
            <w:r>
              <w:rPr>
                <w:sz w:val="22"/>
              </w:rPr>
              <w:t>Adult foster</w:t>
            </w:r>
            <w:r>
              <w:rPr>
                <w:spacing w:val="-3"/>
                <w:sz w:val="22"/>
              </w:rPr>
              <w:t> </w:t>
            </w:r>
            <w:r>
              <w:rPr>
                <w:sz w:val="22"/>
              </w:rPr>
              <w:t>care</w:t>
            </w:r>
            <w:r>
              <w:rPr>
                <w:spacing w:val="-3"/>
                <w:sz w:val="22"/>
              </w:rPr>
              <w:t> </w:t>
            </w:r>
            <w:r>
              <w:rPr>
                <w:sz w:val="22"/>
              </w:rPr>
              <w:t>does</w:t>
            </w:r>
            <w:r>
              <w:rPr>
                <w:spacing w:val="-3"/>
                <w:sz w:val="22"/>
              </w:rPr>
              <w:t> </w:t>
            </w:r>
            <w:r>
              <w:rPr>
                <w:sz w:val="22"/>
              </w:rPr>
              <w:t>not</w:t>
            </w:r>
            <w:r>
              <w:rPr>
                <w:spacing w:val="-3"/>
                <w:sz w:val="22"/>
              </w:rPr>
              <w:t> </w:t>
            </w:r>
            <w:r>
              <w:rPr>
                <w:sz w:val="22"/>
              </w:rPr>
              <w:t>include</w:t>
            </w:r>
            <w:r>
              <w:rPr>
                <w:spacing w:val="-1"/>
                <w:sz w:val="22"/>
              </w:rPr>
              <w:t> </w:t>
            </w:r>
            <w:r>
              <w:rPr>
                <w:sz w:val="22"/>
              </w:rPr>
              <w:t>payment</w:t>
            </w:r>
            <w:r>
              <w:rPr>
                <w:spacing w:val="-3"/>
                <w:sz w:val="22"/>
              </w:rPr>
              <w:t> </w:t>
            </w:r>
            <w:r>
              <w:rPr>
                <w:sz w:val="22"/>
              </w:rPr>
              <w:t>for</w:t>
            </w:r>
            <w:r>
              <w:rPr>
                <w:spacing w:val="-3"/>
                <w:sz w:val="22"/>
              </w:rPr>
              <w:t> </w:t>
            </w:r>
            <w:r>
              <w:rPr>
                <w:sz w:val="22"/>
              </w:rPr>
              <w:t>room</w:t>
            </w:r>
            <w:r>
              <w:rPr>
                <w:spacing w:val="-5"/>
                <w:sz w:val="22"/>
              </w:rPr>
              <w:t> </w:t>
            </w:r>
            <w:r>
              <w:rPr>
                <w:sz w:val="22"/>
              </w:rPr>
              <w:t>and</w:t>
            </w:r>
            <w:r>
              <w:rPr>
                <w:spacing w:val="-1"/>
                <w:sz w:val="22"/>
              </w:rPr>
              <w:t> </w:t>
            </w:r>
            <w:r>
              <w:rPr>
                <w:sz w:val="22"/>
              </w:rPr>
              <w:t>board</w:t>
            </w:r>
            <w:r>
              <w:rPr>
                <w:spacing w:val="-1"/>
                <w:sz w:val="22"/>
              </w:rPr>
              <w:t> </w:t>
            </w:r>
            <w:r>
              <w:rPr>
                <w:sz w:val="22"/>
              </w:rPr>
              <w:t>or payments</w:t>
            </w:r>
            <w:r>
              <w:rPr>
                <w:spacing w:val="-1"/>
                <w:sz w:val="22"/>
              </w:rPr>
              <w:t> </w:t>
            </w:r>
            <w:r>
              <w:rPr>
                <w:sz w:val="22"/>
              </w:rPr>
              <w:t>to</w:t>
            </w:r>
            <w:r>
              <w:rPr>
                <w:spacing w:val="-4"/>
                <w:sz w:val="22"/>
              </w:rPr>
              <w:t> </w:t>
            </w:r>
            <w:r>
              <w:rPr>
                <w:sz w:val="22"/>
              </w:rPr>
              <w:t>spouses, parents of minor children and other legally responsible relatives</w:t>
            </w:r>
          </w:p>
        </w:tc>
      </w:tr>
      <w:tr>
        <w:trPr>
          <w:trHeight w:val="760" w:hRule="atLeast"/>
        </w:trPr>
        <w:tc>
          <w:tcPr>
            <w:tcW w:w="9352" w:type="dxa"/>
            <w:gridSpan w:val="5"/>
          </w:tcPr>
          <w:p>
            <w:pPr>
              <w:pStyle w:val="TableParagraph"/>
              <w:spacing w:line="252" w:lineRule="exact"/>
              <w:ind w:left="107"/>
              <w:rPr>
                <w:sz w:val="22"/>
              </w:rPr>
            </w:pPr>
            <w:r>
              <w:rPr>
                <w:b/>
                <w:sz w:val="22"/>
              </w:rPr>
              <w:t>*** Chapter 766 Home Assessments: </w:t>
            </w:r>
            <w:r>
              <w:rPr>
                <w:sz w:val="22"/>
              </w:rPr>
              <w:t>These services may be provided by a social worker, nurse or counselor.</w:t>
            </w:r>
            <w:r>
              <w:rPr>
                <w:spacing w:val="40"/>
                <w:sz w:val="22"/>
              </w:rPr>
              <w:t> </w:t>
            </w:r>
            <w:r>
              <w:rPr>
                <w:sz w:val="22"/>
              </w:rPr>
              <w:t>The</w:t>
            </w:r>
            <w:r>
              <w:rPr>
                <w:spacing w:val="-3"/>
                <w:sz w:val="22"/>
              </w:rPr>
              <w:t> </w:t>
            </w:r>
            <w:r>
              <w:rPr>
                <w:sz w:val="22"/>
              </w:rPr>
              <w:t>purpose</w:t>
            </w:r>
            <w:r>
              <w:rPr>
                <w:spacing w:val="-1"/>
                <w:sz w:val="22"/>
              </w:rPr>
              <w:t> </w:t>
            </w:r>
            <w:r>
              <w:rPr>
                <w:sz w:val="22"/>
              </w:rPr>
              <w:t>of</w:t>
            </w:r>
            <w:r>
              <w:rPr>
                <w:spacing w:val="-3"/>
                <w:sz w:val="22"/>
              </w:rPr>
              <w:t> </w:t>
            </w:r>
            <w:r>
              <w:rPr>
                <w:sz w:val="22"/>
              </w:rPr>
              <w:t>the</w:t>
            </w:r>
            <w:r>
              <w:rPr>
                <w:spacing w:val="-1"/>
                <w:sz w:val="22"/>
              </w:rPr>
              <w:t> </w:t>
            </w:r>
            <w:r>
              <w:rPr>
                <w:sz w:val="22"/>
              </w:rPr>
              <w:t>home</w:t>
            </w:r>
            <w:r>
              <w:rPr>
                <w:spacing w:val="-1"/>
                <w:sz w:val="22"/>
              </w:rPr>
              <w:t> </w:t>
            </w:r>
            <w:r>
              <w:rPr>
                <w:sz w:val="22"/>
              </w:rPr>
              <w:t>assessment</w:t>
            </w:r>
            <w:r>
              <w:rPr>
                <w:spacing w:val="-3"/>
                <w:sz w:val="22"/>
              </w:rPr>
              <w:t> </w:t>
            </w:r>
            <w:r>
              <w:rPr>
                <w:sz w:val="22"/>
              </w:rPr>
              <w:t>is</w:t>
            </w:r>
            <w:r>
              <w:rPr>
                <w:spacing w:val="-3"/>
                <w:sz w:val="22"/>
              </w:rPr>
              <w:t> </w:t>
            </w:r>
            <w:r>
              <w:rPr>
                <w:sz w:val="22"/>
              </w:rPr>
              <w:t>to</w:t>
            </w:r>
            <w:r>
              <w:rPr>
                <w:spacing w:val="-1"/>
                <w:sz w:val="22"/>
              </w:rPr>
              <w:t> </w:t>
            </w:r>
            <w:r>
              <w:rPr>
                <w:sz w:val="22"/>
              </w:rPr>
              <w:t>identify</w:t>
            </w:r>
            <w:r>
              <w:rPr>
                <w:spacing w:val="-4"/>
                <w:sz w:val="22"/>
              </w:rPr>
              <w:t> </w:t>
            </w:r>
            <w:r>
              <w:rPr>
                <w:sz w:val="22"/>
              </w:rPr>
              <w:t>and</w:t>
            </w:r>
            <w:r>
              <w:rPr>
                <w:spacing w:val="-1"/>
                <w:sz w:val="22"/>
              </w:rPr>
              <w:t> </w:t>
            </w:r>
            <w:r>
              <w:rPr>
                <w:sz w:val="22"/>
              </w:rPr>
              <w:t>address</w:t>
            </w:r>
            <w:r>
              <w:rPr>
                <w:spacing w:val="-1"/>
                <w:sz w:val="22"/>
              </w:rPr>
              <w:t> </w:t>
            </w:r>
            <w:r>
              <w:rPr>
                <w:sz w:val="22"/>
              </w:rPr>
              <w:t>behavioral</w:t>
            </w:r>
            <w:r>
              <w:rPr>
                <w:spacing w:val="-3"/>
                <w:sz w:val="22"/>
              </w:rPr>
              <w:t> </w:t>
            </w:r>
            <w:r>
              <w:rPr>
                <w:sz w:val="22"/>
              </w:rPr>
              <w:t>needs</w:t>
            </w:r>
            <w:r>
              <w:rPr>
                <w:spacing w:val="-1"/>
                <w:sz w:val="22"/>
              </w:rPr>
              <w:t> </w:t>
            </w:r>
            <w:r>
              <w:rPr>
                <w:sz w:val="22"/>
              </w:rPr>
              <w:t>that</w:t>
            </w:r>
            <w:r>
              <w:rPr>
                <w:spacing w:val="-3"/>
                <w:sz w:val="22"/>
              </w:rPr>
              <w:t> </w:t>
            </w:r>
            <w:r>
              <w:rPr>
                <w:sz w:val="22"/>
              </w:rPr>
              <w:t>can</w:t>
            </w:r>
            <w:r>
              <w:rPr>
                <w:spacing w:val="-4"/>
                <w:sz w:val="22"/>
              </w:rPr>
              <w:t> </w:t>
            </w:r>
            <w:r>
              <w:rPr>
                <w:sz w:val="22"/>
              </w:rPr>
              <w:t>be obtained by direct observation of the child in the home setting.</w:t>
            </w:r>
          </w:p>
        </w:tc>
      </w:tr>
      <w:tr>
        <w:trPr>
          <w:trHeight w:val="2277" w:hRule="atLeast"/>
        </w:trPr>
        <w:tc>
          <w:tcPr>
            <w:tcW w:w="9352" w:type="dxa"/>
            <w:gridSpan w:val="5"/>
          </w:tcPr>
          <w:p>
            <w:pPr>
              <w:pStyle w:val="TableParagraph"/>
              <w:ind w:left="107"/>
              <w:rPr>
                <w:sz w:val="22"/>
              </w:rPr>
            </w:pPr>
            <w:r>
              <w:rPr>
                <w:b/>
                <w:sz w:val="22"/>
              </w:rPr>
              <w:t>**** Day Habilitation Services: </w:t>
            </w:r>
            <w:r>
              <w:rPr>
                <w:sz w:val="22"/>
              </w:rPr>
              <w:t>These services are state plan services and the definition of these services</w:t>
            </w:r>
            <w:r>
              <w:rPr>
                <w:spacing w:val="-1"/>
                <w:sz w:val="22"/>
              </w:rPr>
              <w:t> </w:t>
            </w:r>
            <w:r>
              <w:rPr>
                <w:sz w:val="22"/>
              </w:rPr>
              <w:t>may</w:t>
            </w:r>
            <w:r>
              <w:rPr>
                <w:spacing w:val="-1"/>
                <w:sz w:val="22"/>
              </w:rPr>
              <w:t> </w:t>
            </w:r>
            <w:r>
              <w:rPr>
                <w:sz w:val="22"/>
              </w:rPr>
              <w:t>vary</w:t>
            </w:r>
            <w:r>
              <w:rPr>
                <w:spacing w:val="-4"/>
                <w:sz w:val="22"/>
              </w:rPr>
              <w:t> </w:t>
            </w:r>
            <w:r>
              <w:rPr>
                <w:sz w:val="22"/>
              </w:rPr>
              <w:t>contingent upon</w:t>
            </w:r>
            <w:r>
              <w:rPr>
                <w:spacing w:val="-4"/>
                <w:sz w:val="22"/>
              </w:rPr>
              <w:t> </w:t>
            </w:r>
            <w:r>
              <w:rPr>
                <w:sz w:val="22"/>
              </w:rPr>
              <w:t>the</w:t>
            </w:r>
            <w:r>
              <w:rPr>
                <w:spacing w:val="-1"/>
                <w:sz w:val="22"/>
              </w:rPr>
              <w:t> </w:t>
            </w:r>
            <w:r>
              <w:rPr>
                <w:sz w:val="22"/>
              </w:rPr>
              <w:t>approved</w:t>
            </w:r>
            <w:r>
              <w:rPr>
                <w:spacing w:val="-1"/>
                <w:sz w:val="22"/>
              </w:rPr>
              <w:t> </w:t>
            </w:r>
            <w:r>
              <w:rPr>
                <w:sz w:val="22"/>
              </w:rPr>
              <w:t>state</w:t>
            </w:r>
            <w:r>
              <w:rPr>
                <w:spacing w:val="-3"/>
                <w:sz w:val="22"/>
              </w:rPr>
              <w:t> </w:t>
            </w:r>
            <w:r>
              <w:rPr>
                <w:sz w:val="22"/>
              </w:rPr>
              <w:t>plan.</w:t>
            </w:r>
            <w:r>
              <w:rPr>
                <w:spacing w:val="40"/>
                <w:sz w:val="22"/>
              </w:rPr>
              <w:t> </w:t>
            </w:r>
            <w:r>
              <w:rPr>
                <w:sz w:val="22"/>
              </w:rPr>
              <w:t>In</w:t>
            </w:r>
            <w:r>
              <w:rPr>
                <w:spacing w:val="-1"/>
                <w:sz w:val="22"/>
              </w:rPr>
              <w:t> </w:t>
            </w:r>
            <w:r>
              <w:rPr>
                <w:sz w:val="22"/>
              </w:rPr>
              <w:t>general,</w:t>
            </w:r>
            <w:r>
              <w:rPr>
                <w:spacing w:val="-4"/>
                <w:sz w:val="22"/>
              </w:rPr>
              <w:t> </w:t>
            </w:r>
            <w:r>
              <w:rPr>
                <w:sz w:val="22"/>
              </w:rPr>
              <w:t>the</w:t>
            </w:r>
            <w:r>
              <w:rPr>
                <w:spacing w:val="-1"/>
                <w:sz w:val="22"/>
              </w:rPr>
              <w:t> </w:t>
            </w:r>
            <w:r>
              <w:rPr>
                <w:sz w:val="22"/>
              </w:rPr>
              <w:t>services</w:t>
            </w:r>
            <w:r>
              <w:rPr>
                <w:spacing w:val="-1"/>
                <w:sz w:val="22"/>
              </w:rPr>
              <w:t> </w:t>
            </w:r>
            <w:r>
              <w:rPr>
                <w:sz w:val="22"/>
              </w:rPr>
              <w:t>are</w:t>
            </w:r>
            <w:r>
              <w:rPr>
                <w:spacing w:val="-1"/>
                <w:sz w:val="22"/>
              </w:rPr>
              <w:t> </w:t>
            </w:r>
            <w:r>
              <w:rPr>
                <w:sz w:val="22"/>
              </w:rPr>
              <w:t>assistance</w:t>
            </w:r>
            <w:r>
              <w:rPr>
                <w:spacing w:val="-1"/>
                <w:sz w:val="22"/>
              </w:rPr>
              <w:t> </w:t>
            </w:r>
            <w:r>
              <w:rPr>
                <w:sz w:val="22"/>
              </w:rPr>
              <w:t>with skill acquisition in the following developmental need areas: self-help, sensorimotor, communication, independent</w:t>
            </w:r>
            <w:r>
              <w:rPr>
                <w:spacing w:val="-4"/>
                <w:sz w:val="22"/>
              </w:rPr>
              <w:t> </w:t>
            </w:r>
            <w:r>
              <w:rPr>
                <w:sz w:val="22"/>
              </w:rPr>
              <w:t>living,</w:t>
            </w:r>
            <w:r>
              <w:rPr>
                <w:spacing w:val="-2"/>
                <w:sz w:val="22"/>
              </w:rPr>
              <w:t> </w:t>
            </w:r>
            <w:r>
              <w:rPr>
                <w:sz w:val="22"/>
              </w:rPr>
              <w:t>affective,</w:t>
            </w:r>
            <w:r>
              <w:rPr>
                <w:spacing w:val="-2"/>
                <w:sz w:val="22"/>
              </w:rPr>
              <w:t> </w:t>
            </w:r>
            <w:r>
              <w:rPr>
                <w:sz w:val="22"/>
              </w:rPr>
              <w:t>behavior,</w:t>
            </w:r>
            <w:r>
              <w:rPr>
                <w:spacing w:val="-2"/>
                <w:sz w:val="22"/>
              </w:rPr>
              <w:t> </w:t>
            </w:r>
            <w:r>
              <w:rPr>
                <w:sz w:val="22"/>
              </w:rPr>
              <w:t>socialization</w:t>
            </w:r>
            <w:r>
              <w:rPr>
                <w:spacing w:val="-2"/>
                <w:sz w:val="22"/>
              </w:rPr>
              <w:t> </w:t>
            </w:r>
            <w:r>
              <w:rPr>
                <w:sz w:val="22"/>
              </w:rPr>
              <w:t>and</w:t>
            </w:r>
            <w:r>
              <w:rPr>
                <w:spacing w:val="-2"/>
                <w:sz w:val="22"/>
              </w:rPr>
              <w:t> </w:t>
            </w:r>
            <w:r>
              <w:rPr>
                <w:sz w:val="22"/>
              </w:rPr>
              <w:t>adaptive</w:t>
            </w:r>
            <w:r>
              <w:rPr>
                <w:spacing w:val="-2"/>
                <w:sz w:val="22"/>
              </w:rPr>
              <w:t> </w:t>
            </w:r>
            <w:r>
              <w:rPr>
                <w:sz w:val="22"/>
              </w:rPr>
              <w:t>skills.</w:t>
            </w:r>
            <w:r>
              <w:rPr>
                <w:spacing w:val="40"/>
                <w:sz w:val="22"/>
              </w:rPr>
              <w:t> </w:t>
            </w:r>
            <w:r>
              <w:rPr>
                <w:sz w:val="22"/>
              </w:rPr>
              <w:t>Services</w:t>
            </w:r>
            <w:r>
              <w:rPr>
                <w:spacing w:val="-4"/>
                <w:sz w:val="22"/>
              </w:rPr>
              <w:t> </w:t>
            </w:r>
            <w:r>
              <w:rPr>
                <w:sz w:val="22"/>
              </w:rPr>
              <w:t>are</w:t>
            </w:r>
            <w:r>
              <w:rPr>
                <w:spacing w:val="-2"/>
                <w:sz w:val="22"/>
              </w:rPr>
              <w:t> </w:t>
            </w:r>
            <w:r>
              <w:rPr>
                <w:sz w:val="22"/>
              </w:rPr>
              <w:t>provided</w:t>
            </w:r>
            <w:r>
              <w:rPr>
                <w:spacing w:val="-5"/>
                <w:sz w:val="22"/>
              </w:rPr>
              <w:t> </w:t>
            </w:r>
            <w:r>
              <w:rPr>
                <w:sz w:val="22"/>
              </w:rPr>
              <w:t>in</w:t>
            </w:r>
            <w:r>
              <w:rPr>
                <w:spacing w:val="-2"/>
                <w:sz w:val="22"/>
              </w:rPr>
              <w:t> </w:t>
            </w:r>
            <w:r>
              <w:rPr>
                <w:sz w:val="22"/>
              </w:rPr>
              <w:t>non- residential settings or Skilled Nursing Facilities when recommended through the PASRR process.</w:t>
            </w:r>
          </w:p>
          <w:p>
            <w:pPr>
              <w:pStyle w:val="TableParagraph"/>
              <w:ind w:left="107"/>
              <w:rPr>
                <w:sz w:val="22"/>
              </w:rPr>
            </w:pPr>
            <w:r>
              <w:rPr>
                <w:sz w:val="22"/>
              </w:rPr>
              <w:t>Services</w:t>
            </w:r>
            <w:r>
              <w:rPr>
                <w:spacing w:val="-4"/>
                <w:sz w:val="22"/>
              </w:rPr>
              <w:t> </w:t>
            </w:r>
            <w:r>
              <w:rPr>
                <w:sz w:val="22"/>
              </w:rPr>
              <w:t>include</w:t>
            </w:r>
            <w:r>
              <w:rPr>
                <w:spacing w:val="-2"/>
                <w:sz w:val="22"/>
              </w:rPr>
              <w:t> </w:t>
            </w:r>
            <w:r>
              <w:rPr>
                <w:sz w:val="22"/>
              </w:rPr>
              <w:t>nursing,</w:t>
            </w:r>
            <w:r>
              <w:rPr>
                <w:spacing w:val="-2"/>
                <w:sz w:val="22"/>
              </w:rPr>
              <w:t> </w:t>
            </w:r>
            <w:r>
              <w:rPr>
                <w:sz w:val="22"/>
              </w:rPr>
              <w:t>therapy</w:t>
            </w:r>
            <w:r>
              <w:rPr>
                <w:spacing w:val="-5"/>
                <w:sz w:val="22"/>
              </w:rPr>
              <w:t> </w:t>
            </w:r>
            <w:r>
              <w:rPr>
                <w:sz w:val="22"/>
              </w:rPr>
              <w:t>and</w:t>
            </w:r>
            <w:r>
              <w:rPr>
                <w:spacing w:val="-2"/>
                <w:sz w:val="22"/>
              </w:rPr>
              <w:t> </w:t>
            </w:r>
            <w:r>
              <w:rPr>
                <w:sz w:val="22"/>
              </w:rPr>
              <w:t>developmental</w:t>
            </w:r>
            <w:r>
              <w:rPr>
                <w:spacing w:val="-1"/>
                <w:sz w:val="22"/>
              </w:rPr>
              <w:t> </w:t>
            </w:r>
            <w:r>
              <w:rPr>
                <w:sz w:val="22"/>
              </w:rPr>
              <w:t>skills</w:t>
            </w:r>
            <w:r>
              <w:rPr>
                <w:spacing w:val="-4"/>
                <w:sz w:val="22"/>
              </w:rPr>
              <w:t> </w:t>
            </w:r>
            <w:r>
              <w:rPr>
                <w:sz w:val="22"/>
              </w:rPr>
              <w:t>training</w:t>
            </w:r>
            <w:r>
              <w:rPr>
                <w:spacing w:val="-5"/>
                <w:sz w:val="22"/>
              </w:rPr>
              <w:t> </w:t>
            </w:r>
            <w:r>
              <w:rPr>
                <w:sz w:val="22"/>
              </w:rPr>
              <w:t>in</w:t>
            </w:r>
            <w:r>
              <w:rPr>
                <w:spacing w:val="-2"/>
                <w:sz w:val="22"/>
              </w:rPr>
              <w:t> </w:t>
            </w:r>
            <w:r>
              <w:rPr>
                <w:sz w:val="22"/>
              </w:rPr>
              <w:t>environments</w:t>
            </w:r>
            <w:r>
              <w:rPr>
                <w:spacing w:val="-2"/>
                <w:sz w:val="22"/>
              </w:rPr>
              <w:t> </w:t>
            </w:r>
            <w:r>
              <w:rPr>
                <w:sz w:val="22"/>
              </w:rPr>
              <w:t>designed</w:t>
            </w:r>
            <w:r>
              <w:rPr>
                <w:spacing w:val="-5"/>
                <w:sz w:val="22"/>
              </w:rPr>
              <w:t> </w:t>
            </w:r>
            <w:r>
              <w:rPr>
                <w:sz w:val="22"/>
              </w:rPr>
              <w:t>to</w:t>
            </w:r>
            <w:r>
              <w:rPr>
                <w:spacing w:val="-2"/>
                <w:sz w:val="22"/>
              </w:rPr>
              <w:t> </w:t>
            </w:r>
            <w:r>
              <w:rPr>
                <w:sz w:val="22"/>
              </w:rPr>
              <w:t>foster skill acquisition and greater independence.</w:t>
            </w:r>
            <w:r>
              <w:rPr>
                <w:spacing w:val="40"/>
                <w:sz w:val="22"/>
              </w:rPr>
              <w:t> </w:t>
            </w:r>
            <w:r>
              <w:rPr>
                <w:sz w:val="22"/>
              </w:rPr>
              <w:t>A day habilitation plan sets forth measurable goals and objectives, and prescribes an integrated program of developmental skills training and therapies</w:t>
            </w:r>
          </w:p>
          <w:p>
            <w:pPr>
              <w:pStyle w:val="TableParagraph"/>
              <w:spacing w:line="235" w:lineRule="exact"/>
              <w:ind w:left="107"/>
              <w:rPr>
                <w:sz w:val="22"/>
              </w:rPr>
            </w:pPr>
            <w:r>
              <w:rPr>
                <w:sz w:val="22"/>
              </w:rPr>
              <w:t>necessary</w:t>
            </w:r>
            <w:r>
              <w:rPr>
                <w:spacing w:val="-5"/>
                <w:sz w:val="22"/>
              </w:rPr>
              <w:t> </w:t>
            </w:r>
            <w:r>
              <w:rPr>
                <w:sz w:val="22"/>
              </w:rPr>
              <w:t>to</w:t>
            </w:r>
            <w:r>
              <w:rPr>
                <w:spacing w:val="-1"/>
                <w:sz w:val="22"/>
              </w:rPr>
              <w:t> </w:t>
            </w:r>
            <w:r>
              <w:rPr>
                <w:sz w:val="22"/>
              </w:rPr>
              <w:t>reach</w:t>
            </w:r>
            <w:r>
              <w:rPr>
                <w:spacing w:val="-4"/>
                <w:sz w:val="22"/>
              </w:rPr>
              <w:t> </w:t>
            </w:r>
            <w:r>
              <w:rPr>
                <w:sz w:val="22"/>
              </w:rPr>
              <w:t>the</w:t>
            </w:r>
            <w:r>
              <w:rPr>
                <w:spacing w:val="-3"/>
                <w:sz w:val="22"/>
              </w:rPr>
              <w:t> </w:t>
            </w:r>
            <w:r>
              <w:rPr>
                <w:sz w:val="22"/>
              </w:rPr>
              <w:t>stated</w:t>
            </w:r>
            <w:r>
              <w:rPr>
                <w:spacing w:val="-1"/>
                <w:sz w:val="22"/>
              </w:rPr>
              <w:t> </w:t>
            </w:r>
            <w:r>
              <w:rPr>
                <w:sz w:val="22"/>
              </w:rPr>
              <w:t>goals</w:t>
            </w:r>
            <w:r>
              <w:rPr>
                <w:spacing w:val="-1"/>
                <w:sz w:val="22"/>
              </w:rPr>
              <w:t> </w:t>
            </w:r>
            <w:r>
              <w:rPr>
                <w:sz w:val="22"/>
              </w:rPr>
              <w:t>and</w:t>
            </w:r>
            <w:r>
              <w:rPr>
                <w:spacing w:val="-4"/>
                <w:sz w:val="22"/>
              </w:rPr>
              <w:t> </w:t>
            </w:r>
            <w:r>
              <w:rPr>
                <w:spacing w:val="-2"/>
                <w:sz w:val="22"/>
              </w:rPr>
              <w:t>objectives.</w:t>
            </w:r>
          </w:p>
        </w:tc>
      </w:tr>
    </w:tbl>
    <w:p>
      <w:pPr>
        <w:pStyle w:val="BodyText"/>
        <w:rPr>
          <w:b/>
          <w:sz w:val="20"/>
        </w:rPr>
      </w:pPr>
    </w:p>
    <w:p>
      <w:pPr>
        <w:pStyle w:val="BodyText"/>
        <w:spacing w:before="2"/>
        <w:rPr>
          <w:b/>
          <w:sz w:val="19"/>
        </w:rPr>
      </w:pPr>
    </w:p>
    <w:p>
      <w:pPr>
        <w:pStyle w:val="BodyText"/>
        <w:spacing w:before="90"/>
        <w:ind w:left="871" w:right="1059"/>
      </w:pPr>
      <w:r>
        <w:rPr/>
        <w:drawing>
          <wp:anchor distT="0" distB="0" distL="0" distR="0" allowOverlap="1" layoutInCell="1" locked="0" behindDoc="0" simplePos="0" relativeHeight="15778304">
            <wp:simplePos x="0" y="0"/>
            <wp:positionH relativeFrom="page">
              <wp:posOffset>897636</wp:posOffset>
            </wp:positionH>
            <wp:positionV relativeFrom="paragraph">
              <wp:posOffset>92749</wp:posOffset>
            </wp:positionV>
            <wp:extent cx="294131" cy="112775"/>
            <wp:effectExtent l="0" t="0" r="0" b="0"/>
            <wp:wrapNone/>
            <wp:docPr id="107" name="Image 107"/>
            <wp:cNvGraphicFramePr>
              <a:graphicFrameLocks/>
            </wp:cNvGraphicFramePr>
            <a:graphic>
              <a:graphicData uri="http://schemas.openxmlformats.org/drawingml/2006/picture">
                <pic:pic>
                  <pic:nvPicPr>
                    <pic:cNvPr id="107" name="Image 107"/>
                    <pic:cNvPicPr/>
                  </pic:nvPicPr>
                  <pic:blipFill>
                    <a:blip r:embed="rId83" cstate="print"/>
                    <a:stretch>
                      <a:fillRect/>
                    </a:stretch>
                  </pic:blipFill>
                  <pic:spPr>
                    <a:xfrm>
                      <a:off x="0" y="0"/>
                      <a:ext cx="294131" cy="112775"/>
                    </a:xfrm>
                    <a:prstGeom prst="rect">
                      <a:avLst/>
                    </a:prstGeom>
                  </pic:spPr>
                </pic:pic>
              </a:graphicData>
            </a:graphic>
          </wp:anchor>
        </w:drawing>
      </w:r>
      <w:bookmarkStart w:name="5.11. Diversionary Behavioral Health Ser" w:id="228"/>
      <w:bookmarkEnd w:id="228"/>
      <w:r>
        <w:rPr/>
      </w:r>
      <w:r>
        <w:rPr>
          <w:b/>
        </w:rPr>
        <w:t>Diversionary Behavioral Health Services.</w:t>
      </w:r>
      <w:r>
        <w:rPr>
          <w:b/>
          <w:spacing w:val="40"/>
        </w:rPr>
        <w:t> </w:t>
      </w:r>
      <w:r>
        <w:rPr/>
        <w:t>Diversionary behavioral health services are home and community-based mental health and substance use disorder services furnished as clinically appropriate alternatives to and diversions from inpatient mental health and substance use disorder services in more community-based, less structured environments. Diversionary</w:t>
      </w:r>
      <w:r>
        <w:rPr>
          <w:spacing w:val="-8"/>
        </w:rPr>
        <w:t> </w:t>
      </w:r>
      <w:r>
        <w:rPr/>
        <w:t>services</w:t>
      </w:r>
      <w:r>
        <w:rPr>
          <w:spacing w:val="-1"/>
        </w:rPr>
        <w:t> </w:t>
      </w:r>
      <w:r>
        <w:rPr/>
        <w:t>are</w:t>
      </w:r>
      <w:r>
        <w:rPr>
          <w:spacing w:val="-2"/>
        </w:rPr>
        <w:t> </w:t>
      </w:r>
      <w:r>
        <w:rPr/>
        <w:t>also</w:t>
      </w:r>
      <w:r>
        <w:rPr>
          <w:spacing w:val="-3"/>
        </w:rPr>
        <w:t> </w:t>
      </w:r>
      <w:r>
        <w:rPr/>
        <w:t>provided</w:t>
      </w:r>
      <w:r>
        <w:rPr>
          <w:spacing w:val="-3"/>
        </w:rPr>
        <w:t> </w:t>
      </w:r>
      <w:r>
        <w:rPr/>
        <w:t>to</w:t>
      </w:r>
      <w:r>
        <w:rPr>
          <w:spacing w:val="-3"/>
        </w:rPr>
        <w:t> </w:t>
      </w:r>
      <w:r>
        <w:rPr/>
        <w:t>support</w:t>
      </w:r>
      <w:r>
        <w:rPr>
          <w:spacing w:val="-3"/>
        </w:rPr>
        <w:t> </w:t>
      </w:r>
      <w:r>
        <w:rPr/>
        <w:t>an</w:t>
      </w:r>
      <w:r>
        <w:rPr>
          <w:spacing w:val="-3"/>
        </w:rPr>
        <w:t> </w:t>
      </w:r>
      <w:r>
        <w:rPr/>
        <w:t>individual’s</w:t>
      </w:r>
      <w:r>
        <w:rPr>
          <w:spacing w:val="-3"/>
        </w:rPr>
        <w:t> </w:t>
      </w:r>
      <w:r>
        <w:rPr/>
        <w:t>return</w:t>
      </w:r>
      <w:r>
        <w:rPr>
          <w:spacing w:val="-3"/>
        </w:rPr>
        <w:t> </w:t>
      </w:r>
      <w:r>
        <w:rPr/>
        <w:t>to</w:t>
      </w:r>
      <w:r>
        <w:rPr>
          <w:spacing w:val="-3"/>
        </w:rPr>
        <w:t> </w:t>
      </w:r>
      <w:r>
        <w:rPr/>
        <w:t>the</w:t>
      </w:r>
      <w:r>
        <w:rPr>
          <w:spacing w:val="-4"/>
        </w:rPr>
        <w:t> </w:t>
      </w:r>
      <w:r>
        <w:rPr/>
        <w:t>community following a 24-hour acute placement; or to provide intensive support to maintain functioning in the community.</w:t>
      </w:r>
      <w:r>
        <w:rPr>
          <w:spacing w:val="40"/>
        </w:rPr>
        <w:t> </w:t>
      </w:r>
      <w:r>
        <w:rPr/>
        <w:t>There are two categories of diversionary services, those provided in a 24-hour facility, and those which are provided on an outpatient basis in a non-24-hour setting or facility.</w:t>
      </w:r>
      <w:r>
        <w:rPr>
          <w:spacing w:val="40"/>
        </w:rPr>
        <w:t> </w:t>
      </w:r>
      <w:r>
        <w:rPr/>
        <w:t>Generally, 24-hour and non- 24-hour diversionary behavioral health services are provided by free-standing (community-based) or hospital- based programs licensed by</w:t>
      </w:r>
      <w:r>
        <w:rPr>
          <w:spacing w:val="-3"/>
        </w:rPr>
        <w:t> </w:t>
      </w:r>
      <w:r>
        <w:rPr/>
        <w:t>the Department of Mental Health or the Department of Public</w:t>
      </w:r>
    </w:p>
    <w:p>
      <w:pPr>
        <w:spacing w:after="0"/>
        <w:sectPr>
          <w:type w:val="continuous"/>
          <w:pgSz w:w="12240" w:h="15840"/>
          <w:pgMar w:header="0" w:footer="1201" w:top="1420" w:bottom="1400" w:left="1200" w:right="400"/>
        </w:sectPr>
      </w:pPr>
    </w:p>
    <w:p>
      <w:pPr>
        <w:pStyle w:val="BodyText"/>
        <w:spacing w:before="79"/>
        <w:ind w:left="871" w:right="1141"/>
      </w:pPr>
      <w:r>
        <w:rPr/>
        <w:t>Health.</w:t>
      </w:r>
      <w:r>
        <w:rPr>
          <w:spacing w:val="40"/>
        </w:rPr>
        <w:t> </w:t>
      </w:r>
      <w:r>
        <w:rPr/>
        <w:t>No Diversionary Behavioral Health Services under this STC 5.11 may be provided</w:t>
      </w:r>
      <w:r>
        <w:rPr>
          <w:spacing w:val="-3"/>
        </w:rPr>
        <w:t> </w:t>
      </w:r>
      <w:r>
        <w:rPr/>
        <w:t>within</w:t>
      </w:r>
      <w:r>
        <w:rPr>
          <w:spacing w:val="-3"/>
        </w:rPr>
        <w:t> </w:t>
      </w:r>
      <w:r>
        <w:rPr/>
        <w:t>an</w:t>
      </w:r>
      <w:r>
        <w:rPr>
          <w:spacing w:val="-3"/>
        </w:rPr>
        <w:t> </w:t>
      </w:r>
      <w:r>
        <w:rPr/>
        <w:t>institution</w:t>
      </w:r>
      <w:r>
        <w:rPr>
          <w:spacing w:val="-3"/>
        </w:rPr>
        <w:t> </w:t>
      </w:r>
      <w:r>
        <w:rPr/>
        <w:t>for</w:t>
      </w:r>
      <w:r>
        <w:rPr>
          <w:spacing w:val="-4"/>
        </w:rPr>
        <w:t> </w:t>
      </w:r>
      <w:r>
        <w:rPr/>
        <w:t>mental</w:t>
      </w:r>
      <w:r>
        <w:rPr>
          <w:spacing w:val="-3"/>
        </w:rPr>
        <w:t> </w:t>
      </w:r>
      <w:r>
        <w:rPr/>
        <w:t>disease</w:t>
      </w:r>
      <w:r>
        <w:rPr>
          <w:spacing w:val="-4"/>
        </w:rPr>
        <w:t> </w:t>
      </w:r>
      <w:r>
        <w:rPr/>
        <w:t>(IMD),</w:t>
      </w:r>
      <w:r>
        <w:rPr>
          <w:spacing w:val="-3"/>
        </w:rPr>
        <w:t> </w:t>
      </w:r>
      <w:r>
        <w:rPr/>
        <w:t>except</w:t>
      </w:r>
      <w:r>
        <w:rPr>
          <w:spacing w:val="-3"/>
        </w:rPr>
        <w:t> </w:t>
      </w:r>
      <w:r>
        <w:rPr/>
        <w:t>when</w:t>
      </w:r>
      <w:r>
        <w:rPr>
          <w:spacing w:val="-3"/>
        </w:rPr>
        <w:t> </w:t>
      </w:r>
      <w:r>
        <w:rPr>
          <w:sz w:val="22"/>
        </w:rPr>
        <w:t>Program</w:t>
      </w:r>
      <w:r>
        <w:rPr>
          <w:spacing w:val="-7"/>
          <w:sz w:val="22"/>
        </w:rPr>
        <w:t> </w:t>
      </w:r>
      <w:r>
        <w:rPr>
          <w:sz w:val="22"/>
        </w:rPr>
        <w:t>of</w:t>
      </w:r>
      <w:r>
        <w:rPr>
          <w:spacing w:val="-2"/>
          <w:sz w:val="22"/>
        </w:rPr>
        <w:t> </w:t>
      </w:r>
      <w:r>
        <w:rPr>
          <w:sz w:val="22"/>
        </w:rPr>
        <w:t>Assertive Community Treatment (</w:t>
      </w:r>
      <w:r>
        <w:rPr/>
        <w:t>PACT) or Community Support Program (CSP) services are provided in an IMD as part of a beneficiary’s discharge planning from the IMD to the </w:t>
      </w:r>
      <w:r>
        <w:rPr>
          <w:spacing w:val="-2"/>
        </w:rPr>
        <w:t>community.</w:t>
      </w:r>
    </w:p>
    <w:p>
      <w:pPr>
        <w:pStyle w:val="BodyText"/>
        <w:spacing w:before="10"/>
        <w:rPr>
          <w:sz w:val="20"/>
        </w:rPr>
      </w:pPr>
    </w:p>
    <w:p>
      <w:pPr>
        <w:pStyle w:val="BodyText"/>
        <w:ind w:left="871" w:right="1141"/>
      </w:pPr>
      <w:bookmarkStart w:name="Diversionary services are offered to pro" w:id="229"/>
      <w:bookmarkEnd w:id="229"/>
      <w:r>
        <w:rPr/>
      </w:r>
      <w:r>
        <w:rPr/>
        <w:t>Diversionary</w:t>
      </w:r>
      <w:r>
        <w:rPr>
          <w:spacing w:val="-9"/>
        </w:rPr>
        <w:t> </w:t>
      </w:r>
      <w:r>
        <w:rPr/>
        <w:t>services</w:t>
      </w:r>
      <w:r>
        <w:rPr>
          <w:spacing w:val="-2"/>
        </w:rPr>
        <w:t> </w:t>
      </w:r>
      <w:r>
        <w:rPr/>
        <w:t>are</w:t>
      </w:r>
      <w:r>
        <w:rPr>
          <w:spacing w:val="-3"/>
        </w:rPr>
        <w:t> </w:t>
      </w:r>
      <w:r>
        <w:rPr/>
        <w:t>offered</w:t>
      </w:r>
      <w:r>
        <w:rPr>
          <w:spacing w:val="-4"/>
        </w:rPr>
        <w:t> </w:t>
      </w:r>
      <w:r>
        <w:rPr/>
        <w:t>to</w:t>
      </w:r>
      <w:r>
        <w:rPr>
          <w:spacing w:val="-4"/>
        </w:rPr>
        <w:t> </w:t>
      </w:r>
      <w:r>
        <w:rPr/>
        <w:t>provide</w:t>
      </w:r>
      <w:r>
        <w:rPr>
          <w:spacing w:val="-5"/>
        </w:rPr>
        <w:t> </w:t>
      </w:r>
      <w:r>
        <w:rPr/>
        <w:t>interventions</w:t>
      </w:r>
      <w:r>
        <w:rPr>
          <w:spacing w:val="-4"/>
        </w:rPr>
        <w:t> </w:t>
      </w:r>
      <w:r>
        <w:rPr/>
        <w:t>and</w:t>
      </w:r>
      <w:r>
        <w:rPr>
          <w:spacing w:val="-4"/>
        </w:rPr>
        <w:t> </w:t>
      </w:r>
      <w:r>
        <w:rPr/>
        <w:t>stabilization</w:t>
      </w:r>
      <w:r>
        <w:rPr>
          <w:spacing w:val="-7"/>
        </w:rPr>
        <w:t> </w:t>
      </w:r>
      <w:r>
        <w:rPr/>
        <w:t>to</w:t>
      </w:r>
      <w:r>
        <w:rPr>
          <w:spacing w:val="-4"/>
        </w:rPr>
        <w:t> </w:t>
      </w:r>
      <w:r>
        <w:rPr/>
        <w:t>persons experiencing mental health or substance abuse crises in order to divert from acute inpatient hospitalization</w:t>
      </w:r>
      <w:r>
        <w:rPr>
          <w:spacing w:val="-2"/>
        </w:rPr>
        <w:t> </w:t>
      </w:r>
      <w:r>
        <w:rPr/>
        <w:t>or to stabilize after discharge.</w:t>
      </w:r>
      <w:r>
        <w:rPr>
          <w:spacing w:val="40"/>
        </w:rPr>
        <w:t> </w:t>
      </w:r>
      <w:r>
        <w:rPr/>
        <w:t>These services do not include residential programs involving long-term residential stays.</w:t>
      </w:r>
    </w:p>
    <w:p>
      <w:pPr>
        <w:pStyle w:val="BodyText"/>
        <w:spacing w:before="10"/>
        <w:rPr>
          <w:sz w:val="20"/>
        </w:rPr>
      </w:pPr>
    </w:p>
    <w:p>
      <w:pPr>
        <w:pStyle w:val="BodyText"/>
        <w:ind w:left="1411" w:right="1059"/>
      </w:pPr>
      <w:r>
        <w:rPr/>
        <w:drawing>
          <wp:anchor distT="0" distB="0" distL="0" distR="0" allowOverlap="1" layoutInCell="1" locked="0" behindDoc="0" simplePos="0" relativeHeight="15778816">
            <wp:simplePos x="0" y="0"/>
            <wp:positionH relativeFrom="page">
              <wp:posOffset>1431036</wp:posOffset>
            </wp:positionH>
            <wp:positionV relativeFrom="paragraph">
              <wp:posOffset>67603</wp:posOffset>
            </wp:positionV>
            <wp:extent cx="96011" cy="80771"/>
            <wp:effectExtent l="0" t="0" r="0" b="0"/>
            <wp:wrapNone/>
            <wp:docPr id="108" name="Image 108"/>
            <wp:cNvGraphicFramePr>
              <a:graphicFrameLocks/>
            </wp:cNvGraphicFramePr>
            <a:graphic>
              <a:graphicData uri="http://schemas.openxmlformats.org/drawingml/2006/picture">
                <pic:pic>
                  <pic:nvPicPr>
                    <pic:cNvPr id="108" name="Image 108"/>
                    <pic:cNvPicPr/>
                  </pic:nvPicPr>
                  <pic:blipFill>
                    <a:blip r:embed="rId29" cstate="print"/>
                    <a:stretch>
                      <a:fillRect/>
                    </a:stretch>
                  </pic:blipFill>
                  <pic:spPr>
                    <a:xfrm>
                      <a:off x="0" y="0"/>
                      <a:ext cx="96011" cy="80771"/>
                    </a:xfrm>
                    <a:prstGeom prst="rect">
                      <a:avLst/>
                    </a:prstGeom>
                  </pic:spPr>
                </pic:pic>
              </a:graphicData>
            </a:graphic>
          </wp:anchor>
        </w:drawing>
      </w:r>
      <w:bookmarkStart w:name="a. Any MassHealth member under the demon" w:id="230"/>
      <w:bookmarkEnd w:id="230"/>
      <w:r>
        <w:rPr/>
      </w:r>
      <w:r>
        <w:rPr/>
        <w:t>Any MassHealth member under the demonstration who is enrolled in managed care may receive diversionary services, dependent on their clinical need for the services. Managed Care Organizations (i.e., MassHealth MCOs and Accountable Care Partnership Plans), and the Behavioral Health Prepaid Inpatient Health Plan (PIHP) may</w:t>
      </w:r>
      <w:r>
        <w:rPr>
          <w:spacing w:val="-8"/>
        </w:rPr>
        <w:t> </w:t>
      </w:r>
      <w:r>
        <w:rPr/>
        <w:t>identify</w:t>
      </w:r>
      <w:r>
        <w:rPr>
          <w:spacing w:val="-6"/>
        </w:rPr>
        <w:t> </w:t>
      </w:r>
      <w:r>
        <w:rPr/>
        <w:t>appropriate</w:t>
      </w:r>
      <w:r>
        <w:rPr>
          <w:spacing w:val="-2"/>
        </w:rPr>
        <w:t> </w:t>
      </w:r>
      <w:r>
        <w:rPr/>
        <w:t>individuals</w:t>
      </w:r>
      <w:r>
        <w:rPr>
          <w:spacing w:val="-3"/>
        </w:rPr>
        <w:t> </w:t>
      </w:r>
      <w:r>
        <w:rPr/>
        <w:t>to</w:t>
      </w:r>
      <w:r>
        <w:rPr>
          <w:spacing w:val="-3"/>
        </w:rPr>
        <w:t> </w:t>
      </w:r>
      <w:r>
        <w:rPr/>
        <w:t>receive</w:t>
      </w:r>
      <w:r>
        <w:rPr>
          <w:spacing w:val="-4"/>
        </w:rPr>
        <w:t> </w:t>
      </w:r>
      <w:r>
        <w:rPr/>
        <w:t>diversionary</w:t>
      </w:r>
      <w:r>
        <w:rPr>
          <w:spacing w:val="-8"/>
        </w:rPr>
        <w:t> </w:t>
      </w:r>
      <w:r>
        <w:rPr/>
        <w:t>services.</w:t>
      </w:r>
      <w:r>
        <w:rPr>
          <w:spacing w:val="40"/>
        </w:rPr>
        <w:t> </w:t>
      </w:r>
      <w:r>
        <w:rPr/>
        <w:t>Managed</w:t>
      </w:r>
      <w:r>
        <w:rPr>
          <w:spacing w:val="-1"/>
        </w:rPr>
        <w:t> </w:t>
      </w:r>
      <w:r>
        <w:rPr/>
        <w:t>care plans maintain a network of diversionary services and arrange, coordinate, and oversee the provision of medically necessary diversionary services, as described in Table 5.</w:t>
      </w:r>
      <w:r>
        <w:rPr>
          <w:spacing w:val="40"/>
        </w:rPr>
        <w:t> </w:t>
      </w:r>
      <w:r>
        <w:rPr/>
        <w:t>Diversionary services are included in risk-based capitation rates in accordance with 42 CFR 438.</w:t>
      </w:r>
    </w:p>
    <w:p>
      <w:pPr>
        <w:pStyle w:val="BodyText"/>
        <w:spacing w:before="10"/>
        <w:rPr>
          <w:sz w:val="20"/>
        </w:rPr>
      </w:pPr>
    </w:p>
    <w:p>
      <w:pPr>
        <w:pStyle w:val="BodyText"/>
        <w:ind w:left="1411" w:right="1141"/>
      </w:pPr>
      <w:r>
        <w:rPr/>
        <w:drawing>
          <wp:anchor distT="0" distB="0" distL="0" distR="0" allowOverlap="1" layoutInCell="1" locked="0" behindDoc="0" simplePos="0" relativeHeight="15779328">
            <wp:simplePos x="0" y="0"/>
            <wp:positionH relativeFrom="page">
              <wp:posOffset>1424939</wp:posOffset>
            </wp:positionH>
            <wp:positionV relativeFrom="paragraph">
              <wp:posOffset>32551</wp:posOffset>
            </wp:positionV>
            <wp:extent cx="111251" cy="115823"/>
            <wp:effectExtent l="0" t="0" r="0" b="0"/>
            <wp:wrapNone/>
            <wp:docPr id="109" name="Image 109"/>
            <wp:cNvGraphicFramePr>
              <a:graphicFrameLocks/>
            </wp:cNvGraphicFramePr>
            <a:graphic>
              <a:graphicData uri="http://schemas.openxmlformats.org/drawingml/2006/picture">
                <pic:pic>
                  <pic:nvPicPr>
                    <pic:cNvPr id="109" name="Image 109"/>
                    <pic:cNvPicPr/>
                  </pic:nvPicPr>
                  <pic:blipFill>
                    <a:blip r:embed="rId30" cstate="print"/>
                    <a:stretch>
                      <a:fillRect/>
                    </a:stretch>
                  </pic:blipFill>
                  <pic:spPr>
                    <a:xfrm>
                      <a:off x="0" y="0"/>
                      <a:ext cx="111251" cy="115823"/>
                    </a:xfrm>
                    <a:prstGeom prst="rect">
                      <a:avLst/>
                    </a:prstGeom>
                  </pic:spPr>
                </pic:pic>
              </a:graphicData>
            </a:graphic>
          </wp:anchor>
        </w:drawing>
      </w:r>
      <w:bookmarkStart w:name="b. MassHealth members enrolled in fee fo" w:id="231"/>
      <w:bookmarkEnd w:id="231"/>
      <w:r>
        <w:rPr/>
      </w:r>
      <w:r>
        <w:rPr/>
        <w:t>MassHealth members enrolled in fee for service (FFS) may receive Community Support Program (CSP), Program of Assertive Community Treatment, Structured Outpatient</w:t>
      </w:r>
      <w:r>
        <w:rPr>
          <w:spacing w:val="-5"/>
        </w:rPr>
        <w:t> </w:t>
      </w:r>
      <w:r>
        <w:rPr/>
        <w:t>Addiction</w:t>
      </w:r>
      <w:r>
        <w:rPr>
          <w:spacing w:val="-5"/>
        </w:rPr>
        <w:t> </w:t>
      </w:r>
      <w:r>
        <w:rPr/>
        <w:t>Program,</w:t>
      </w:r>
      <w:r>
        <w:rPr>
          <w:spacing w:val="-5"/>
        </w:rPr>
        <w:t> </w:t>
      </w:r>
      <w:r>
        <w:rPr/>
        <w:t>and</w:t>
      </w:r>
      <w:r>
        <w:rPr>
          <w:spacing w:val="40"/>
        </w:rPr>
        <w:t> </w:t>
      </w:r>
      <w:r>
        <w:rPr/>
        <w:t>Intensive</w:t>
      </w:r>
      <w:r>
        <w:rPr>
          <w:spacing w:val="-4"/>
        </w:rPr>
        <w:t> </w:t>
      </w:r>
      <w:r>
        <w:rPr/>
        <w:t>Outpatient</w:t>
      </w:r>
      <w:r>
        <w:rPr>
          <w:spacing w:val="-5"/>
        </w:rPr>
        <w:t> </w:t>
      </w:r>
      <w:r>
        <w:rPr/>
        <w:t>Program</w:t>
      </w:r>
      <w:r>
        <w:rPr>
          <w:spacing w:val="-5"/>
        </w:rPr>
        <w:t> </w:t>
      </w:r>
      <w:r>
        <w:rPr/>
        <w:t>services,</w:t>
      </w:r>
      <w:r>
        <w:rPr>
          <w:spacing w:val="-3"/>
        </w:rPr>
        <w:t> </w:t>
      </w:r>
      <w:r>
        <w:rPr/>
        <w:t>as</w:t>
      </w:r>
      <w:r>
        <w:rPr>
          <w:spacing w:val="-5"/>
        </w:rPr>
        <w:t> </w:t>
      </w:r>
      <w:r>
        <w:rPr/>
        <w:t>well as</w:t>
      </w:r>
      <w:r>
        <w:rPr>
          <w:spacing w:val="-2"/>
        </w:rPr>
        <w:t> </w:t>
      </w:r>
      <w:r>
        <w:rPr/>
        <w:t>the</w:t>
      </w:r>
      <w:r>
        <w:rPr>
          <w:spacing w:val="-3"/>
        </w:rPr>
        <w:t> </w:t>
      </w:r>
      <w:r>
        <w:rPr/>
        <w:t>state</w:t>
      </w:r>
      <w:r>
        <w:rPr>
          <w:spacing w:val="-3"/>
        </w:rPr>
        <w:t> </w:t>
      </w:r>
      <w:r>
        <w:rPr/>
        <w:t>plan</w:t>
      </w:r>
      <w:r>
        <w:rPr>
          <w:spacing w:val="-2"/>
        </w:rPr>
        <w:t> </w:t>
      </w:r>
      <w:r>
        <w:rPr/>
        <w:t>services, described</w:t>
      </w:r>
      <w:r>
        <w:rPr>
          <w:spacing w:val="-2"/>
        </w:rPr>
        <w:t> </w:t>
      </w:r>
      <w:r>
        <w:rPr/>
        <w:t>in</w:t>
      </w:r>
      <w:r>
        <w:rPr>
          <w:spacing w:val="-2"/>
        </w:rPr>
        <w:t> </w:t>
      </w:r>
      <w:r>
        <w:rPr/>
        <w:t>Table</w:t>
      </w:r>
      <w:r>
        <w:rPr>
          <w:spacing w:val="-3"/>
        </w:rPr>
        <w:t> </w:t>
      </w:r>
      <w:r>
        <w:rPr/>
        <w:t>5,</w:t>
      </w:r>
      <w:r>
        <w:rPr>
          <w:spacing w:val="-2"/>
        </w:rPr>
        <w:t> </w:t>
      </w:r>
      <w:r>
        <w:rPr/>
        <w:t>dependent</w:t>
      </w:r>
      <w:r>
        <w:rPr>
          <w:spacing w:val="-2"/>
        </w:rPr>
        <w:t> </w:t>
      </w:r>
      <w:r>
        <w:rPr/>
        <w:t>on</w:t>
      </w:r>
      <w:r>
        <w:rPr>
          <w:spacing w:val="-2"/>
        </w:rPr>
        <w:t> </w:t>
      </w:r>
      <w:r>
        <w:rPr/>
        <w:t>their</w:t>
      </w:r>
      <w:r>
        <w:rPr>
          <w:spacing w:val="-3"/>
        </w:rPr>
        <w:t> </w:t>
      </w:r>
      <w:r>
        <w:rPr/>
        <w:t>clinical need</w:t>
      </w:r>
      <w:r>
        <w:rPr>
          <w:spacing w:val="-2"/>
        </w:rPr>
        <w:t> </w:t>
      </w:r>
      <w:r>
        <w:rPr/>
        <w:t>for the services.</w:t>
      </w:r>
    </w:p>
    <w:p>
      <w:pPr>
        <w:pStyle w:val="BodyText"/>
        <w:rPr>
          <w:sz w:val="21"/>
        </w:rPr>
      </w:pPr>
    </w:p>
    <w:tbl>
      <w:tblPr>
        <w:tblW w:w="0" w:type="auto"/>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62"/>
        <w:gridCol w:w="2512"/>
        <w:gridCol w:w="3774"/>
      </w:tblGrid>
      <w:tr>
        <w:trPr>
          <w:trHeight w:val="530" w:hRule="atLeast"/>
        </w:trPr>
        <w:tc>
          <w:tcPr>
            <w:tcW w:w="9348" w:type="dxa"/>
            <w:gridSpan w:val="3"/>
            <w:shd w:val="clear" w:color="auto" w:fill="DBE6F1"/>
          </w:tcPr>
          <w:p>
            <w:pPr>
              <w:pStyle w:val="TableParagraph"/>
              <w:spacing w:before="140"/>
              <w:ind w:left="664"/>
              <w:rPr>
                <w:b/>
                <w:sz w:val="22"/>
              </w:rPr>
            </w:pPr>
            <w:r>
              <w:rPr>
                <w:b/>
                <w:sz w:val="22"/>
              </w:rPr>
              <w:t>Table</w:t>
            </w:r>
            <w:r>
              <w:rPr>
                <w:b/>
                <w:spacing w:val="-6"/>
                <w:sz w:val="22"/>
              </w:rPr>
              <w:t> </w:t>
            </w:r>
            <w:r>
              <w:rPr>
                <w:b/>
                <w:sz w:val="22"/>
              </w:rPr>
              <w:t>5:</w:t>
            </w:r>
            <w:r>
              <w:rPr>
                <w:b/>
                <w:spacing w:val="-3"/>
                <w:sz w:val="22"/>
              </w:rPr>
              <w:t> </w:t>
            </w:r>
            <w:r>
              <w:rPr>
                <w:b/>
                <w:sz w:val="22"/>
              </w:rPr>
              <w:t>Diversionary</w:t>
            </w:r>
            <w:r>
              <w:rPr>
                <w:b/>
                <w:spacing w:val="-6"/>
                <w:sz w:val="22"/>
              </w:rPr>
              <w:t> </w:t>
            </w:r>
            <w:r>
              <w:rPr>
                <w:b/>
                <w:sz w:val="22"/>
              </w:rPr>
              <w:t>Behavioral</w:t>
            </w:r>
            <w:r>
              <w:rPr>
                <w:b/>
                <w:spacing w:val="-6"/>
                <w:sz w:val="22"/>
              </w:rPr>
              <w:t> </w:t>
            </w:r>
            <w:r>
              <w:rPr>
                <w:b/>
                <w:sz w:val="22"/>
              </w:rPr>
              <w:t>Health</w:t>
            </w:r>
            <w:r>
              <w:rPr>
                <w:b/>
                <w:spacing w:val="-4"/>
                <w:sz w:val="22"/>
              </w:rPr>
              <w:t> </w:t>
            </w:r>
            <w:r>
              <w:rPr>
                <w:b/>
                <w:sz w:val="22"/>
              </w:rPr>
              <w:t>Services</w:t>
            </w:r>
            <w:r>
              <w:rPr>
                <w:b/>
                <w:spacing w:val="-6"/>
                <w:sz w:val="22"/>
              </w:rPr>
              <w:t> </w:t>
            </w:r>
            <w:r>
              <w:rPr>
                <w:b/>
                <w:sz w:val="22"/>
              </w:rPr>
              <w:t>Provided</w:t>
            </w:r>
            <w:r>
              <w:rPr>
                <w:b/>
                <w:spacing w:val="-4"/>
                <w:sz w:val="22"/>
              </w:rPr>
              <w:t> </w:t>
            </w:r>
            <w:r>
              <w:rPr>
                <w:b/>
                <w:sz w:val="22"/>
              </w:rPr>
              <w:t>Under</w:t>
            </w:r>
            <w:r>
              <w:rPr>
                <w:b/>
                <w:spacing w:val="-6"/>
                <w:sz w:val="22"/>
              </w:rPr>
              <w:t> </w:t>
            </w:r>
            <w:r>
              <w:rPr>
                <w:b/>
                <w:sz w:val="22"/>
              </w:rPr>
              <w:t>the</w:t>
            </w:r>
            <w:r>
              <w:rPr>
                <w:b/>
                <w:spacing w:val="-3"/>
                <w:sz w:val="22"/>
              </w:rPr>
              <w:t> </w:t>
            </w:r>
            <w:r>
              <w:rPr>
                <w:b/>
                <w:spacing w:val="-2"/>
                <w:sz w:val="22"/>
              </w:rPr>
              <w:t>Demonstration</w:t>
            </w:r>
          </w:p>
        </w:tc>
      </w:tr>
      <w:tr>
        <w:trPr>
          <w:trHeight w:val="618" w:hRule="atLeast"/>
        </w:trPr>
        <w:tc>
          <w:tcPr>
            <w:tcW w:w="3062" w:type="dxa"/>
            <w:shd w:val="clear" w:color="auto" w:fill="DBE6F1"/>
          </w:tcPr>
          <w:p>
            <w:pPr>
              <w:pStyle w:val="TableParagraph"/>
              <w:spacing w:before="56"/>
              <w:ind w:left="1211" w:hanging="836"/>
              <w:rPr>
                <w:b/>
                <w:sz w:val="22"/>
              </w:rPr>
            </w:pPr>
            <w:r>
              <w:rPr>
                <w:b/>
                <w:sz w:val="22"/>
              </w:rPr>
              <w:t>Diversionary</w:t>
            </w:r>
            <w:r>
              <w:rPr>
                <w:b/>
                <w:spacing w:val="-14"/>
                <w:sz w:val="22"/>
              </w:rPr>
              <w:t> </w:t>
            </w:r>
            <w:r>
              <w:rPr>
                <w:b/>
                <w:sz w:val="22"/>
              </w:rPr>
              <w:t>Behavioral </w:t>
            </w:r>
            <w:r>
              <w:rPr>
                <w:b/>
                <w:spacing w:val="-2"/>
                <w:sz w:val="22"/>
              </w:rPr>
              <w:t>Health</w:t>
            </w:r>
          </w:p>
        </w:tc>
        <w:tc>
          <w:tcPr>
            <w:tcW w:w="2512" w:type="dxa"/>
            <w:shd w:val="clear" w:color="auto" w:fill="DBE6F1"/>
          </w:tcPr>
          <w:p>
            <w:pPr>
              <w:pStyle w:val="TableParagraph"/>
              <w:spacing w:before="181"/>
              <w:ind w:left="907" w:right="899"/>
              <w:jc w:val="center"/>
              <w:rPr>
                <w:b/>
                <w:sz w:val="22"/>
              </w:rPr>
            </w:pPr>
            <w:r>
              <w:rPr>
                <w:b/>
                <w:spacing w:val="-2"/>
                <w:sz w:val="22"/>
              </w:rPr>
              <w:t>Setting</w:t>
            </w:r>
          </w:p>
        </w:tc>
        <w:tc>
          <w:tcPr>
            <w:tcW w:w="3774" w:type="dxa"/>
            <w:shd w:val="clear" w:color="auto" w:fill="DBE6F1"/>
          </w:tcPr>
          <w:p>
            <w:pPr>
              <w:pStyle w:val="TableParagraph"/>
              <w:spacing w:before="181"/>
              <w:ind w:left="812"/>
              <w:rPr>
                <w:b/>
                <w:sz w:val="22"/>
              </w:rPr>
            </w:pPr>
            <w:r>
              <w:rPr>
                <w:b/>
                <w:sz w:val="22"/>
              </w:rPr>
              <w:t>Description</w:t>
            </w:r>
            <w:r>
              <w:rPr>
                <w:b/>
                <w:spacing w:val="-5"/>
                <w:sz w:val="22"/>
              </w:rPr>
              <w:t> </w:t>
            </w:r>
            <w:r>
              <w:rPr>
                <w:b/>
                <w:sz w:val="22"/>
              </w:rPr>
              <w:t>of</w:t>
            </w:r>
            <w:r>
              <w:rPr>
                <w:b/>
                <w:spacing w:val="-3"/>
                <w:sz w:val="22"/>
              </w:rPr>
              <w:t> </w:t>
            </w:r>
            <w:r>
              <w:rPr>
                <w:b/>
                <w:spacing w:val="-2"/>
                <w:sz w:val="22"/>
              </w:rPr>
              <w:t>Services</w:t>
            </w:r>
          </w:p>
        </w:tc>
      </w:tr>
      <w:tr>
        <w:trPr>
          <w:trHeight w:val="2153" w:hRule="atLeast"/>
        </w:trPr>
        <w:tc>
          <w:tcPr>
            <w:tcW w:w="3062" w:type="dxa"/>
            <w:tcBorders>
              <w:bottom w:val="nil"/>
            </w:tcBorders>
          </w:tcPr>
          <w:p>
            <w:pPr>
              <w:pStyle w:val="TableParagraph"/>
              <w:ind w:left="107"/>
              <w:rPr>
                <w:sz w:val="22"/>
              </w:rPr>
            </w:pPr>
            <w:r>
              <w:rPr>
                <w:sz w:val="22"/>
              </w:rPr>
              <w:t>Community</w:t>
            </w:r>
            <w:r>
              <w:rPr>
                <w:spacing w:val="-14"/>
                <w:sz w:val="22"/>
              </w:rPr>
              <w:t> </w:t>
            </w:r>
            <w:r>
              <w:rPr>
                <w:sz w:val="22"/>
              </w:rPr>
              <w:t>Support</w:t>
            </w:r>
            <w:r>
              <w:rPr>
                <w:spacing w:val="-14"/>
                <w:sz w:val="22"/>
              </w:rPr>
              <w:t> </w:t>
            </w:r>
            <w:r>
              <w:rPr>
                <w:sz w:val="22"/>
              </w:rPr>
              <w:t>Program </w:t>
            </w:r>
            <w:r>
              <w:rPr>
                <w:spacing w:val="-2"/>
                <w:sz w:val="22"/>
              </w:rPr>
              <w:t>(CSP)</w:t>
            </w:r>
          </w:p>
        </w:tc>
        <w:tc>
          <w:tcPr>
            <w:tcW w:w="2512" w:type="dxa"/>
            <w:tcBorders>
              <w:bottom w:val="nil"/>
            </w:tcBorders>
          </w:tcPr>
          <w:p>
            <w:pPr>
              <w:pStyle w:val="TableParagraph"/>
              <w:ind w:left="105" w:right="110"/>
              <w:rPr>
                <w:sz w:val="22"/>
              </w:rPr>
            </w:pPr>
            <w:r>
              <w:rPr>
                <w:sz w:val="22"/>
              </w:rPr>
              <w:t>Non-24-hour facility, and/or</w:t>
            </w:r>
            <w:r>
              <w:rPr>
                <w:spacing w:val="-14"/>
                <w:sz w:val="22"/>
              </w:rPr>
              <w:t> </w:t>
            </w:r>
            <w:r>
              <w:rPr>
                <w:sz w:val="22"/>
              </w:rPr>
              <w:t>discharge</w:t>
            </w:r>
            <w:r>
              <w:rPr>
                <w:spacing w:val="-14"/>
                <w:sz w:val="22"/>
              </w:rPr>
              <w:t> </w:t>
            </w:r>
            <w:r>
              <w:rPr>
                <w:sz w:val="22"/>
              </w:rPr>
              <w:t>planning provided in a 24 hour facility, including a facility that qualifies as</w:t>
            </w:r>
            <w:r>
              <w:rPr>
                <w:spacing w:val="40"/>
                <w:sz w:val="22"/>
              </w:rPr>
              <w:t> </w:t>
            </w:r>
            <w:r>
              <w:rPr>
                <w:sz w:val="22"/>
              </w:rPr>
              <w:t>an IMD</w:t>
            </w:r>
          </w:p>
        </w:tc>
        <w:tc>
          <w:tcPr>
            <w:tcW w:w="3774" w:type="dxa"/>
            <w:tcBorders>
              <w:bottom w:val="nil"/>
            </w:tcBorders>
          </w:tcPr>
          <w:p>
            <w:pPr>
              <w:pStyle w:val="TableParagraph"/>
              <w:ind w:left="108" w:right="160"/>
              <w:rPr>
                <w:sz w:val="22"/>
              </w:rPr>
            </w:pPr>
            <w:r>
              <w:rPr>
                <w:sz w:val="22"/>
              </w:rPr>
              <w:t>All CSP services will be provided as described in this STC 5.11 under the Diversionary Behavioral Health authority through 3/31/23.</w:t>
            </w:r>
            <w:r>
              <w:rPr>
                <w:spacing w:val="40"/>
                <w:sz w:val="22"/>
              </w:rPr>
              <w:t> </w:t>
            </w:r>
            <w:r>
              <w:rPr>
                <w:sz w:val="22"/>
              </w:rPr>
              <w:t>Specialized CSP services will be provided as described</w:t>
            </w:r>
            <w:r>
              <w:rPr>
                <w:spacing w:val="-4"/>
                <w:sz w:val="22"/>
              </w:rPr>
              <w:t> </w:t>
            </w:r>
            <w:r>
              <w:rPr>
                <w:sz w:val="22"/>
              </w:rPr>
              <w:t>in</w:t>
            </w:r>
            <w:r>
              <w:rPr>
                <w:spacing w:val="-4"/>
                <w:sz w:val="22"/>
              </w:rPr>
              <w:t> </w:t>
            </w:r>
            <w:r>
              <w:rPr>
                <w:sz w:val="22"/>
              </w:rPr>
              <w:t>this</w:t>
            </w:r>
            <w:r>
              <w:rPr>
                <w:spacing w:val="-4"/>
                <w:sz w:val="22"/>
              </w:rPr>
              <w:t> </w:t>
            </w:r>
            <w:r>
              <w:rPr>
                <w:sz w:val="22"/>
              </w:rPr>
              <w:t>STC</w:t>
            </w:r>
            <w:r>
              <w:rPr>
                <w:spacing w:val="-5"/>
                <w:sz w:val="22"/>
              </w:rPr>
              <w:t> </w:t>
            </w:r>
            <w:r>
              <w:rPr>
                <w:sz w:val="22"/>
              </w:rPr>
              <w:t>5.11</w:t>
            </w:r>
            <w:r>
              <w:rPr>
                <w:spacing w:val="-7"/>
                <w:sz w:val="22"/>
              </w:rPr>
              <w:t> </w:t>
            </w:r>
            <w:r>
              <w:rPr>
                <w:sz w:val="22"/>
              </w:rPr>
              <w:t>as</w:t>
            </w:r>
            <w:r>
              <w:rPr>
                <w:spacing w:val="-4"/>
                <w:sz w:val="22"/>
              </w:rPr>
              <w:t> </w:t>
            </w:r>
            <w:r>
              <w:rPr>
                <w:sz w:val="22"/>
              </w:rPr>
              <w:t>of</w:t>
            </w:r>
            <w:r>
              <w:rPr>
                <w:spacing w:val="-6"/>
                <w:sz w:val="22"/>
              </w:rPr>
              <w:t> </w:t>
            </w:r>
            <w:r>
              <w:rPr>
                <w:sz w:val="22"/>
              </w:rPr>
              <w:t>4/1/23, under the HRSN authority, see details in Section 15.</w:t>
            </w:r>
          </w:p>
        </w:tc>
      </w:tr>
      <w:tr>
        <w:trPr>
          <w:trHeight w:val="1894" w:hRule="atLeast"/>
        </w:trPr>
        <w:tc>
          <w:tcPr>
            <w:tcW w:w="3062" w:type="dxa"/>
            <w:tcBorders>
              <w:top w:val="nil"/>
            </w:tcBorders>
          </w:tcPr>
          <w:p>
            <w:pPr>
              <w:pStyle w:val="TableParagraph"/>
              <w:rPr>
                <w:sz w:val="22"/>
              </w:rPr>
            </w:pPr>
          </w:p>
        </w:tc>
        <w:tc>
          <w:tcPr>
            <w:tcW w:w="2512" w:type="dxa"/>
            <w:tcBorders>
              <w:top w:val="nil"/>
            </w:tcBorders>
          </w:tcPr>
          <w:p>
            <w:pPr>
              <w:pStyle w:val="TableParagraph"/>
              <w:rPr>
                <w:sz w:val="22"/>
              </w:rPr>
            </w:pPr>
          </w:p>
        </w:tc>
        <w:tc>
          <w:tcPr>
            <w:tcW w:w="3774" w:type="dxa"/>
            <w:tcBorders>
              <w:top w:val="nil"/>
            </w:tcBorders>
          </w:tcPr>
          <w:p>
            <w:pPr>
              <w:pStyle w:val="TableParagraph"/>
              <w:spacing w:before="122"/>
              <w:ind w:left="108" w:right="129" w:firstLine="55"/>
              <w:rPr>
                <w:sz w:val="22"/>
              </w:rPr>
            </w:pPr>
            <w:r>
              <w:rPr>
                <w:sz w:val="22"/>
              </w:rPr>
              <w:t>An array of services delivered by a community-based, mobile, multi- disciplinary team of professionals and paraprofessionals. These programs provide essential services to Covered Individuals</w:t>
            </w:r>
            <w:r>
              <w:rPr>
                <w:spacing w:val="-8"/>
                <w:sz w:val="22"/>
              </w:rPr>
              <w:t> </w:t>
            </w:r>
            <w:r>
              <w:rPr>
                <w:sz w:val="22"/>
              </w:rPr>
              <w:t>with</w:t>
            </w:r>
            <w:r>
              <w:rPr>
                <w:spacing w:val="-8"/>
                <w:sz w:val="22"/>
              </w:rPr>
              <w:t> </w:t>
            </w:r>
            <w:r>
              <w:rPr>
                <w:sz w:val="22"/>
              </w:rPr>
              <w:t>a</w:t>
            </w:r>
            <w:r>
              <w:rPr>
                <w:spacing w:val="-9"/>
                <w:sz w:val="22"/>
              </w:rPr>
              <w:t> </w:t>
            </w:r>
            <w:r>
              <w:rPr>
                <w:sz w:val="22"/>
              </w:rPr>
              <w:t>long-standing</w:t>
            </w:r>
            <w:r>
              <w:rPr>
                <w:spacing w:val="-10"/>
                <w:sz w:val="22"/>
              </w:rPr>
              <w:t> </w:t>
            </w:r>
            <w:r>
              <w:rPr>
                <w:sz w:val="22"/>
              </w:rPr>
              <w:t>history</w:t>
            </w:r>
          </w:p>
          <w:p>
            <w:pPr>
              <w:pStyle w:val="TableParagraph"/>
              <w:spacing w:line="233" w:lineRule="exact" w:before="2"/>
              <w:ind w:left="108"/>
              <w:rPr>
                <w:sz w:val="22"/>
              </w:rPr>
            </w:pPr>
            <w:r>
              <w:rPr>
                <w:sz w:val="22"/>
              </w:rPr>
              <w:t>of</w:t>
            </w:r>
            <w:r>
              <w:rPr>
                <w:spacing w:val="-3"/>
                <w:sz w:val="22"/>
              </w:rPr>
              <w:t> </w:t>
            </w:r>
            <w:r>
              <w:rPr>
                <w:sz w:val="22"/>
              </w:rPr>
              <w:t>a</w:t>
            </w:r>
            <w:r>
              <w:rPr>
                <w:spacing w:val="-3"/>
                <w:sz w:val="22"/>
              </w:rPr>
              <w:t> </w:t>
            </w:r>
            <w:r>
              <w:rPr>
                <w:sz w:val="22"/>
              </w:rPr>
              <w:t>psychiatric</w:t>
            </w:r>
            <w:r>
              <w:rPr>
                <w:spacing w:val="-4"/>
                <w:sz w:val="22"/>
              </w:rPr>
              <w:t> </w:t>
            </w:r>
            <w:r>
              <w:rPr>
                <w:sz w:val="22"/>
              </w:rPr>
              <w:t>or</w:t>
            </w:r>
            <w:r>
              <w:rPr>
                <w:spacing w:val="-2"/>
                <w:sz w:val="22"/>
              </w:rPr>
              <w:t> </w:t>
            </w:r>
            <w:r>
              <w:rPr>
                <w:sz w:val="22"/>
              </w:rPr>
              <w:t>substance</w:t>
            </w:r>
            <w:r>
              <w:rPr>
                <w:spacing w:val="-3"/>
                <w:sz w:val="22"/>
              </w:rPr>
              <w:t> </w:t>
            </w:r>
            <w:r>
              <w:rPr>
                <w:spacing w:val="-5"/>
                <w:sz w:val="22"/>
              </w:rPr>
              <w:t>use</w:t>
            </w:r>
          </w:p>
        </w:tc>
      </w:tr>
    </w:tbl>
    <w:p>
      <w:pPr>
        <w:spacing w:after="0" w:line="233" w:lineRule="exact"/>
        <w:rPr>
          <w:sz w:val="22"/>
        </w:rPr>
        <w:sectPr>
          <w:pgSz w:w="12240" w:h="15840"/>
          <w:pgMar w:header="0" w:footer="1201" w:top="1360" w:bottom="1591" w:left="1200" w:right="400"/>
        </w:sectPr>
      </w:pPr>
    </w:p>
    <w:tbl>
      <w:tblPr>
        <w:tblW w:w="0" w:type="auto"/>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62"/>
        <w:gridCol w:w="2512"/>
        <w:gridCol w:w="3774"/>
      </w:tblGrid>
      <w:tr>
        <w:trPr>
          <w:trHeight w:val="530" w:hRule="atLeast"/>
        </w:trPr>
        <w:tc>
          <w:tcPr>
            <w:tcW w:w="9348" w:type="dxa"/>
            <w:gridSpan w:val="3"/>
            <w:shd w:val="clear" w:color="auto" w:fill="DBE6F1"/>
          </w:tcPr>
          <w:p>
            <w:pPr>
              <w:pStyle w:val="TableParagraph"/>
              <w:spacing w:before="140"/>
              <w:ind w:left="664"/>
              <w:rPr>
                <w:b/>
                <w:sz w:val="22"/>
              </w:rPr>
            </w:pPr>
            <w:r>
              <w:rPr>
                <w:b/>
                <w:sz w:val="22"/>
              </w:rPr>
              <w:t>Table</w:t>
            </w:r>
            <w:r>
              <w:rPr>
                <w:b/>
                <w:spacing w:val="-6"/>
                <w:sz w:val="22"/>
              </w:rPr>
              <w:t> </w:t>
            </w:r>
            <w:r>
              <w:rPr>
                <w:b/>
                <w:sz w:val="22"/>
              </w:rPr>
              <w:t>5:</w:t>
            </w:r>
            <w:r>
              <w:rPr>
                <w:b/>
                <w:spacing w:val="-3"/>
                <w:sz w:val="22"/>
              </w:rPr>
              <w:t> </w:t>
            </w:r>
            <w:r>
              <w:rPr>
                <w:b/>
                <w:sz w:val="22"/>
              </w:rPr>
              <w:t>Diversionary</w:t>
            </w:r>
            <w:r>
              <w:rPr>
                <w:b/>
                <w:spacing w:val="-6"/>
                <w:sz w:val="22"/>
              </w:rPr>
              <w:t> </w:t>
            </w:r>
            <w:r>
              <w:rPr>
                <w:b/>
                <w:sz w:val="22"/>
              </w:rPr>
              <w:t>Behavioral</w:t>
            </w:r>
            <w:r>
              <w:rPr>
                <w:b/>
                <w:spacing w:val="-6"/>
                <w:sz w:val="22"/>
              </w:rPr>
              <w:t> </w:t>
            </w:r>
            <w:r>
              <w:rPr>
                <w:b/>
                <w:sz w:val="22"/>
              </w:rPr>
              <w:t>Health</w:t>
            </w:r>
            <w:r>
              <w:rPr>
                <w:b/>
                <w:spacing w:val="-4"/>
                <w:sz w:val="22"/>
              </w:rPr>
              <w:t> </w:t>
            </w:r>
            <w:r>
              <w:rPr>
                <w:b/>
                <w:sz w:val="22"/>
              </w:rPr>
              <w:t>Services</w:t>
            </w:r>
            <w:r>
              <w:rPr>
                <w:b/>
                <w:spacing w:val="-6"/>
                <w:sz w:val="22"/>
              </w:rPr>
              <w:t> </w:t>
            </w:r>
            <w:r>
              <w:rPr>
                <w:b/>
                <w:sz w:val="22"/>
              </w:rPr>
              <w:t>Provided</w:t>
            </w:r>
            <w:r>
              <w:rPr>
                <w:b/>
                <w:spacing w:val="-4"/>
                <w:sz w:val="22"/>
              </w:rPr>
              <w:t> </w:t>
            </w:r>
            <w:r>
              <w:rPr>
                <w:b/>
                <w:sz w:val="22"/>
              </w:rPr>
              <w:t>Under</w:t>
            </w:r>
            <w:r>
              <w:rPr>
                <w:b/>
                <w:spacing w:val="-6"/>
                <w:sz w:val="22"/>
              </w:rPr>
              <w:t> </w:t>
            </w:r>
            <w:r>
              <w:rPr>
                <w:b/>
                <w:sz w:val="22"/>
              </w:rPr>
              <w:t>the</w:t>
            </w:r>
            <w:r>
              <w:rPr>
                <w:b/>
                <w:spacing w:val="-3"/>
                <w:sz w:val="22"/>
              </w:rPr>
              <w:t> </w:t>
            </w:r>
            <w:r>
              <w:rPr>
                <w:b/>
                <w:spacing w:val="-2"/>
                <w:sz w:val="22"/>
              </w:rPr>
              <w:t>Demonstration</w:t>
            </w:r>
          </w:p>
        </w:tc>
      </w:tr>
      <w:tr>
        <w:trPr>
          <w:trHeight w:val="621" w:hRule="atLeast"/>
        </w:trPr>
        <w:tc>
          <w:tcPr>
            <w:tcW w:w="3062" w:type="dxa"/>
            <w:shd w:val="clear" w:color="auto" w:fill="DBE6F1"/>
          </w:tcPr>
          <w:p>
            <w:pPr>
              <w:pStyle w:val="TableParagraph"/>
              <w:spacing w:before="56"/>
              <w:ind w:left="1211" w:hanging="836"/>
              <w:rPr>
                <w:b/>
                <w:sz w:val="22"/>
              </w:rPr>
            </w:pPr>
            <w:r>
              <w:rPr>
                <w:b/>
                <w:sz w:val="22"/>
              </w:rPr>
              <w:t>Diversionary</w:t>
            </w:r>
            <w:r>
              <w:rPr>
                <w:b/>
                <w:spacing w:val="-14"/>
                <w:sz w:val="22"/>
              </w:rPr>
              <w:t> </w:t>
            </w:r>
            <w:r>
              <w:rPr>
                <w:b/>
                <w:sz w:val="22"/>
              </w:rPr>
              <w:t>Behavioral </w:t>
            </w:r>
            <w:r>
              <w:rPr>
                <w:b/>
                <w:spacing w:val="-2"/>
                <w:sz w:val="22"/>
              </w:rPr>
              <w:t>Health</w:t>
            </w:r>
          </w:p>
        </w:tc>
        <w:tc>
          <w:tcPr>
            <w:tcW w:w="2512" w:type="dxa"/>
            <w:shd w:val="clear" w:color="auto" w:fill="DBE6F1"/>
          </w:tcPr>
          <w:p>
            <w:pPr>
              <w:pStyle w:val="TableParagraph"/>
              <w:spacing w:before="183"/>
              <w:ind w:left="907" w:right="899"/>
              <w:jc w:val="center"/>
              <w:rPr>
                <w:b/>
                <w:sz w:val="22"/>
              </w:rPr>
            </w:pPr>
            <w:r>
              <w:rPr>
                <w:b/>
                <w:spacing w:val="-2"/>
                <w:sz w:val="22"/>
              </w:rPr>
              <w:t>Setting</w:t>
            </w:r>
          </w:p>
        </w:tc>
        <w:tc>
          <w:tcPr>
            <w:tcW w:w="3774" w:type="dxa"/>
            <w:shd w:val="clear" w:color="auto" w:fill="DBE6F1"/>
          </w:tcPr>
          <w:p>
            <w:pPr>
              <w:pStyle w:val="TableParagraph"/>
              <w:spacing w:before="183"/>
              <w:ind w:left="812"/>
              <w:rPr>
                <w:b/>
                <w:sz w:val="22"/>
              </w:rPr>
            </w:pPr>
            <w:r>
              <w:rPr>
                <w:b/>
                <w:sz w:val="22"/>
              </w:rPr>
              <w:t>Description</w:t>
            </w:r>
            <w:r>
              <w:rPr>
                <w:b/>
                <w:spacing w:val="-5"/>
                <w:sz w:val="22"/>
              </w:rPr>
              <w:t> </w:t>
            </w:r>
            <w:r>
              <w:rPr>
                <w:b/>
                <w:sz w:val="22"/>
              </w:rPr>
              <w:t>of</w:t>
            </w:r>
            <w:r>
              <w:rPr>
                <w:b/>
                <w:spacing w:val="-3"/>
                <w:sz w:val="22"/>
              </w:rPr>
              <w:t> </w:t>
            </w:r>
            <w:r>
              <w:rPr>
                <w:b/>
                <w:spacing w:val="-2"/>
                <w:sz w:val="22"/>
              </w:rPr>
              <w:t>Services</w:t>
            </w:r>
          </w:p>
        </w:tc>
      </w:tr>
      <w:tr>
        <w:trPr>
          <w:trHeight w:val="10386" w:hRule="atLeast"/>
        </w:trPr>
        <w:tc>
          <w:tcPr>
            <w:tcW w:w="3062" w:type="dxa"/>
          </w:tcPr>
          <w:p>
            <w:pPr>
              <w:pStyle w:val="TableParagraph"/>
              <w:rPr>
                <w:sz w:val="20"/>
              </w:rPr>
            </w:pPr>
          </w:p>
        </w:tc>
        <w:tc>
          <w:tcPr>
            <w:tcW w:w="2512" w:type="dxa"/>
          </w:tcPr>
          <w:p>
            <w:pPr>
              <w:pStyle w:val="TableParagraph"/>
              <w:rPr>
                <w:sz w:val="20"/>
              </w:rPr>
            </w:pPr>
          </w:p>
        </w:tc>
        <w:tc>
          <w:tcPr>
            <w:tcW w:w="3774" w:type="dxa"/>
          </w:tcPr>
          <w:p>
            <w:pPr>
              <w:pStyle w:val="TableParagraph"/>
              <w:ind w:left="108" w:right="160"/>
              <w:rPr>
                <w:sz w:val="22"/>
              </w:rPr>
            </w:pPr>
            <w:r>
              <w:rPr>
                <w:sz w:val="22"/>
              </w:rPr>
              <w:t>disorder and to their families, or to Covered</w:t>
            </w:r>
            <w:r>
              <w:rPr>
                <w:spacing w:val="-7"/>
                <w:sz w:val="22"/>
              </w:rPr>
              <w:t> </w:t>
            </w:r>
            <w:r>
              <w:rPr>
                <w:sz w:val="22"/>
              </w:rPr>
              <w:t>Individuals</w:t>
            </w:r>
            <w:r>
              <w:rPr>
                <w:spacing w:val="-7"/>
                <w:sz w:val="22"/>
              </w:rPr>
              <w:t> </w:t>
            </w:r>
            <w:r>
              <w:rPr>
                <w:sz w:val="22"/>
              </w:rPr>
              <w:t>who</w:t>
            </w:r>
            <w:r>
              <w:rPr>
                <w:spacing w:val="-9"/>
                <w:sz w:val="22"/>
              </w:rPr>
              <w:t> </w:t>
            </w:r>
            <w:r>
              <w:rPr>
                <w:sz w:val="22"/>
              </w:rPr>
              <w:t>are</w:t>
            </w:r>
            <w:r>
              <w:rPr>
                <w:spacing w:val="-7"/>
                <w:sz w:val="22"/>
              </w:rPr>
              <w:t> </w:t>
            </w:r>
            <w:r>
              <w:rPr>
                <w:sz w:val="22"/>
              </w:rPr>
              <w:t>at</w:t>
            </w:r>
            <w:r>
              <w:rPr>
                <w:spacing w:val="-6"/>
                <w:sz w:val="22"/>
              </w:rPr>
              <w:t> </w:t>
            </w:r>
            <w:r>
              <w:rPr>
                <w:sz w:val="22"/>
              </w:rPr>
              <w:t>varying degrees of increased medical risk, or</w:t>
            </w:r>
            <w:r>
              <w:rPr>
                <w:spacing w:val="-2"/>
                <w:sz w:val="22"/>
              </w:rPr>
              <w:t> </w:t>
            </w:r>
            <w:r>
              <w:rPr>
                <w:sz w:val="22"/>
              </w:rPr>
              <w:t>to children/adolescents who have behavioral health issues challenging their</w:t>
            </w:r>
            <w:r>
              <w:rPr>
                <w:spacing w:val="-1"/>
                <w:sz w:val="22"/>
              </w:rPr>
              <w:t> </w:t>
            </w:r>
            <w:r>
              <w:rPr>
                <w:sz w:val="22"/>
              </w:rPr>
              <w:t>optimal</w:t>
            </w:r>
            <w:r>
              <w:rPr>
                <w:spacing w:val="-4"/>
                <w:sz w:val="22"/>
              </w:rPr>
              <w:t> </w:t>
            </w:r>
            <w:r>
              <w:rPr>
                <w:sz w:val="22"/>
              </w:rPr>
              <w:t>level</w:t>
            </w:r>
            <w:r>
              <w:rPr>
                <w:spacing w:val="-1"/>
                <w:sz w:val="22"/>
              </w:rPr>
              <w:t> </w:t>
            </w:r>
            <w:r>
              <w:rPr>
                <w:sz w:val="22"/>
              </w:rPr>
              <w:t>of</w:t>
            </w:r>
            <w:r>
              <w:rPr>
                <w:spacing w:val="-1"/>
                <w:sz w:val="22"/>
              </w:rPr>
              <w:t> </w:t>
            </w:r>
            <w:r>
              <w:rPr>
                <w:sz w:val="22"/>
              </w:rPr>
              <w:t>functioning</w:t>
            </w:r>
            <w:r>
              <w:rPr>
                <w:spacing w:val="-5"/>
                <w:sz w:val="22"/>
              </w:rPr>
              <w:t> </w:t>
            </w:r>
            <w:r>
              <w:rPr>
                <w:sz w:val="22"/>
              </w:rPr>
              <w:t>in</w:t>
            </w:r>
            <w:r>
              <w:rPr>
                <w:spacing w:val="-5"/>
                <w:sz w:val="22"/>
              </w:rPr>
              <w:t> </w:t>
            </w:r>
            <w:r>
              <w:rPr>
                <w:sz w:val="22"/>
              </w:rPr>
              <w:t>the home/community setting.</w:t>
            </w:r>
          </w:p>
          <w:p>
            <w:pPr>
              <w:pStyle w:val="TableParagraph"/>
              <w:spacing w:before="9"/>
              <w:rPr>
                <w:sz w:val="21"/>
              </w:rPr>
            </w:pPr>
          </w:p>
          <w:p>
            <w:pPr>
              <w:pStyle w:val="TableParagraph"/>
              <w:ind w:left="108" w:right="137"/>
              <w:rPr>
                <w:sz w:val="22"/>
              </w:rPr>
            </w:pPr>
            <w:r>
              <w:rPr>
                <w:sz w:val="22"/>
              </w:rPr>
              <w:t>Services include outreach and supportive services, delivered in a community setting, which will vary with</w:t>
            </w:r>
            <w:r>
              <w:rPr>
                <w:spacing w:val="-8"/>
                <w:sz w:val="22"/>
              </w:rPr>
              <w:t> </w:t>
            </w:r>
            <w:r>
              <w:rPr>
                <w:sz w:val="22"/>
              </w:rPr>
              <w:t>respect</w:t>
            </w:r>
            <w:r>
              <w:rPr>
                <w:spacing w:val="-4"/>
                <w:sz w:val="22"/>
              </w:rPr>
              <w:t> </w:t>
            </w:r>
            <w:r>
              <w:rPr>
                <w:sz w:val="22"/>
              </w:rPr>
              <w:t>to</w:t>
            </w:r>
            <w:r>
              <w:rPr>
                <w:spacing w:val="-8"/>
                <w:sz w:val="22"/>
              </w:rPr>
              <w:t> </w:t>
            </w:r>
            <w:r>
              <w:rPr>
                <w:sz w:val="22"/>
              </w:rPr>
              <w:t>hours,</w:t>
            </w:r>
            <w:r>
              <w:rPr>
                <w:spacing w:val="-5"/>
                <w:sz w:val="22"/>
              </w:rPr>
              <w:t> </w:t>
            </w:r>
            <w:r>
              <w:rPr>
                <w:sz w:val="22"/>
              </w:rPr>
              <w:t>type</w:t>
            </w:r>
            <w:r>
              <w:rPr>
                <w:spacing w:val="-7"/>
                <w:sz w:val="22"/>
              </w:rPr>
              <w:t> </w:t>
            </w:r>
            <w:r>
              <w:rPr>
                <w:sz w:val="22"/>
              </w:rPr>
              <w:t>and</w:t>
            </w:r>
            <w:r>
              <w:rPr>
                <w:spacing w:val="-5"/>
                <w:sz w:val="22"/>
              </w:rPr>
              <w:t> </w:t>
            </w:r>
            <w:r>
              <w:rPr>
                <w:sz w:val="22"/>
              </w:rPr>
              <w:t>intensity of services depending on the changing needs of the Enrollee.</w:t>
            </w:r>
          </w:p>
          <w:p>
            <w:pPr>
              <w:pStyle w:val="TableParagraph"/>
              <w:rPr>
                <w:sz w:val="22"/>
              </w:rPr>
            </w:pPr>
          </w:p>
          <w:p>
            <w:pPr>
              <w:pStyle w:val="TableParagraph"/>
              <w:ind w:left="108" w:right="129"/>
              <w:rPr>
                <w:sz w:val="22"/>
              </w:rPr>
            </w:pPr>
            <w:r>
              <w:rPr>
                <w:sz w:val="22"/>
              </w:rPr>
              <w:t>When</w:t>
            </w:r>
            <w:r>
              <w:rPr>
                <w:spacing w:val="-8"/>
                <w:sz w:val="22"/>
              </w:rPr>
              <w:t> </w:t>
            </w:r>
            <w:r>
              <w:rPr>
                <w:sz w:val="22"/>
              </w:rPr>
              <w:t>provided</w:t>
            </w:r>
            <w:r>
              <w:rPr>
                <w:spacing w:val="-11"/>
                <w:sz w:val="22"/>
              </w:rPr>
              <w:t> </w:t>
            </w:r>
            <w:r>
              <w:rPr>
                <w:sz w:val="22"/>
              </w:rPr>
              <w:t>to</w:t>
            </w:r>
            <w:r>
              <w:rPr>
                <w:spacing w:val="-8"/>
                <w:sz w:val="22"/>
              </w:rPr>
              <w:t> </w:t>
            </w:r>
            <w:r>
              <w:rPr>
                <w:sz w:val="22"/>
              </w:rPr>
              <w:t>chronically</w:t>
            </w:r>
            <w:r>
              <w:rPr>
                <w:spacing w:val="-11"/>
                <w:sz w:val="22"/>
              </w:rPr>
              <w:t> </w:t>
            </w:r>
            <w:r>
              <w:rPr>
                <w:sz w:val="22"/>
              </w:rPr>
              <w:t>homeless individuals or individuals with justice involvement living in the community</w:t>
            </w:r>
            <w:hyperlink w:history="true" w:anchor="_bookmark0">
              <w:r>
                <w:rPr>
                  <w:sz w:val="22"/>
                  <w:vertAlign w:val="superscript"/>
                </w:rPr>
                <w:t>1</w:t>
              </w:r>
            </w:hyperlink>
            <w:r>
              <w:rPr>
                <w:sz w:val="22"/>
                <w:vertAlign w:val="baseline"/>
              </w:rPr>
              <w:t>, CSP services fall into the following domains, as applicable to the individual’s needs:</w:t>
            </w:r>
          </w:p>
          <w:p>
            <w:pPr>
              <w:pStyle w:val="TableParagraph"/>
              <w:numPr>
                <w:ilvl w:val="0"/>
                <w:numId w:val="14"/>
              </w:numPr>
              <w:tabs>
                <w:tab w:pos="469" w:val="left" w:leader="none"/>
              </w:tabs>
              <w:spacing w:line="240" w:lineRule="auto" w:before="0" w:after="0"/>
              <w:ind w:left="469" w:right="398" w:hanging="361"/>
              <w:jc w:val="left"/>
              <w:rPr>
                <w:sz w:val="22"/>
              </w:rPr>
            </w:pPr>
            <w:r>
              <w:rPr>
                <w:sz w:val="22"/>
              </w:rPr>
              <w:t>Assisting</w:t>
            </w:r>
            <w:r>
              <w:rPr>
                <w:spacing w:val="-12"/>
                <w:sz w:val="22"/>
              </w:rPr>
              <w:t> </w:t>
            </w:r>
            <w:r>
              <w:rPr>
                <w:sz w:val="22"/>
              </w:rPr>
              <w:t>Members</w:t>
            </w:r>
            <w:r>
              <w:rPr>
                <w:spacing w:val="-10"/>
                <w:sz w:val="22"/>
              </w:rPr>
              <w:t> </w:t>
            </w:r>
            <w:r>
              <w:rPr>
                <w:sz w:val="22"/>
              </w:rPr>
              <w:t>in</w:t>
            </w:r>
            <w:r>
              <w:rPr>
                <w:spacing w:val="-12"/>
                <w:sz w:val="22"/>
              </w:rPr>
              <w:t> </w:t>
            </w:r>
            <w:r>
              <w:rPr>
                <w:sz w:val="22"/>
              </w:rPr>
              <w:t>enhancing daily living skills;</w:t>
            </w:r>
          </w:p>
          <w:p>
            <w:pPr>
              <w:pStyle w:val="TableParagraph"/>
              <w:numPr>
                <w:ilvl w:val="1"/>
                <w:numId w:val="14"/>
              </w:numPr>
              <w:tabs>
                <w:tab w:pos="1187" w:val="left" w:leader="none"/>
                <w:tab w:pos="1189" w:val="left" w:leader="none"/>
              </w:tabs>
              <w:spacing w:line="235" w:lineRule="auto" w:before="3" w:after="0"/>
              <w:ind w:left="1189" w:right="223" w:hanging="361"/>
              <w:jc w:val="left"/>
              <w:rPr>
                <w:sz w:val="22"/>
              </w:rPr>
            </w:pPr>
            <w:r>
              <w:rPr>
                <w:sz w:val="22"/>
              </w:rPr>
              <w:t>Identifying</w:t>
            </w:r>
            <w:r>
              <w:rPr>
                <w:spacing w:val="-14"/>
                <w:sz w:val="22"/>
              </w:rPr>
              <w:t> </w:t>
            </w:r>
            <w:r>
              <w:rPr>
                <w:sz w:val="22"/>
              </w:rPr>
              <w:t>and</w:t>
            </w:r>
            <w:r>
              <w:rPr>
                <w:spacing w:val="-14"/>
                <w:sz w:val="22"/>
              </w:rPr>
              <w:t> </w:t>
            </w:r>
            <w:r>
              <w:rPr>
                <w:sz w:val="22"/>
              </w:rPr>
              <w:t>addressing barriers to attaining and maintaining community </w:t>
            </w:r>
            <w:r>
              <w:rPr>
                <w:spacing w:val="-2"/>
                <w:sz w:val="22"/>
              </w:rPr>
              <w:t>tenure</w:t>
            </w:r>
          </w:p>
          <w:p>
            <w:pPr>
              <w:pStyle w:val="TableParagraph"/>
              <w:numPr>
                <w:ilvl w:val="1"/>
                <w:numId w:val="14"/>
              </w:numPr>
              <w:tabs>
                <w:tab w:pos="1187" w:val="left" w:leader="none"/>
                <w:tab w:pos="1189" w:val="left" w:leader="none"/>
              </w:tabs>
              <w:spacing w:line="237" w:lineRule="auto" w:before="0" w:after="0"/>
              <w:ind w:left="1189" w:right="334" w:hanging="361"/>
              <w:jc w:val="left"/>
              <w:rPr>
                <w:sz w:val="22"/>
              </w:rPr>
            </w:pPr>
            <w:r>
              <w:rPr>
                <w:sz w:val="22"/>
              </w:rPr>
              <w:t>Supporting members to mitigate barriers to community tenure, including coaching and connection with social services that assist them with</w:t>
            </w:r>
            <w:r>
              <w:rPr>
                <w:spacing w:val="-8"/>
                <w:sz w:val="22"/>
              </w:rPr>
              <w:t> </w:t>
            </w:r>
            <w:r>
              <w:rPr>
                <w:sz w:val="22"/>
              </w:rPr>
              <w:t>issues</w:t>
            </w:r>
            <w:r>
              <w:rPr>
                <w:spacing w:val="-5"/>
                <w:sz w:val="22"/>
              </w:rPr>
              <w:t> </w:t>
            </w:r>
            <w:r>
              <w:rPr>
                <w:sz w:val="22"/>
              </w:rPr>
              <w:t>such</w:t>
            </w:r>
            <w:r>
              <w:rPr>
                <w:spacing w:val="-8"/>
                <w:sz w:val="22"/>
              </w:rPr>
              <w:t> </w:t>
            </w:r>
            <w:r>
              <w:rPr>
                <w:sz w:val="22"/>
              </w:rPr>
              <w:t>as</w:t>
            </w:r>
            <w:r>
              <w:rPr>
                <w:spacing w:val="-5"/>
                <w:sz w:val="22"/>
              </w:rPr>
              <w:t> </w:t>
            </w:r>
            <w:r>
              <w:rPr>
                <w:sz w:val="22"/>
              </w:rPr>
              <w:t>credit history, presence of criminal</w:t>
            </w:r>
            <w:r>
              <w:rPr>
                <w:spacing w:val="-11"/>
                <w:sz w:val="22"/>
              </w:rPr>
              <w:t> </w:t>
            </w:r>
            <w:r>
              <w:rPr>
                <w:sz w:val="22"/>
              </w:rPr>
              <w:t>record,</w:t>
            </w:r>
            <w:r>
              <w:rPr>
                <w:spacing w:val="-12"/>
                <w:sz w:val="22"/>
              </w:rPr>
              <w:t> </w:t>
            </w:r>
            <w:r>
              <w:rPr>
                <w:sz w:val="22"/>
              </w:rPr>
              <w:t>and</w:t>
            </w:r>
            <w:r>
              <w:rPr>
                <w:spacing w:val="-14"/>
                <w:sz w:val="22"/>
              </w:rPr>
              <w:t> </w:t>
            </w:r>
            <w:r>
              <w:rPr>
                <w:sz w:val="22"/>
              </w:rPr>
              <w:t>poor housing history</w:t>
            </w:r>
          </w:p>
          <w:p>
            <w:pPr>
              <w:pStyle w:val="TableParagraph"/>
              <w:numPr>
                <w:ilvl w:val="1"/>
                <w:numId w:val="14"/>
              </w:numPr>
              <w:tabs>
                <w:tab w:pos="1187" w:val="left" w:leader="none"/>
                <w:tab w:pos="1189" w:val="left" w:leader="none"/>
              </w:tabs>
              <w:spacing w:line="232" w:lineRule="auto" w:before="9" w:after="0"/>
              <w:ind w:left="1189" w:right="468" w:hanging="361"/>
              <w:jc w:val="left"/>
              <w:rPr>
                <w:sz w:val="22"/>
              </w:rPr>
            </w:pPr>
            <w:r>
              <w:rPr>
                <w:sz w:val="22"/>
              </w:rPr>
              <w:t>Coaching members on budget</w:t>
            </w:r>
            <w:r>
              <w:rPr>
                <w:spacing w:val="-14"/>
                <w:sz w:val="22"/>
              </w:rPr>
              <w:t> </w:t>
            </w:r>
            <w:r>
              <w:rPr>
                <w:sz w:val="22"/>
              </w:rPr>
              <w:t>strategies</w:t>
            </w:r>
            <w:r>
              <w:rPr>
                <w:spacing w:val="-14"/>
                <w:sz w:val="22"/>
              </w:rPr>
              <w:t> </w:t>
            </w:r>
            <w:r>
              <w:rPr>
                <w:sz w:val="22"/>
              </w:rPr>
              <w:t>and/or supporting Members to</w:t>
            </w:r>
          </w:p>
          <w:p>
            <w:pPr>
              <w:pStyle w:val="TableParagraph"/>
              <w:spacing w:line="233" w:lineRule="exact" w:before="1"/>
              <w:ind w:left="1188"/>
              <w:rPr>
                <w:sz w:val="22"/>
              </w:rPr>
            </w:pPr>
            <w:r>
              <w:rPr>
                <w:sz w:val="22"/>
              </w:rPr>
              <w:t>connect</w:t>
            </w:r>
            <w:r>
              <w:rPr>
                <w:spacing w:val="-2"/>
                <w:sz w:val="22"/>
              </w:rPr>
              <w:t> </w:t>
            </w:r>
            <w:r>
              <w:rPr>
                <w:sz w:val="22"/>
              </w:rPr>
              <w:t>with</w:t>
            </w:r>
            <w:r>
              <w:rPr>
                <w:spacing w:val="-2"/>
                <w:sz w:val="22"/>
              </w:rPr>
              <w:t> money</w:t>
            </w:r>
          </w:p>
        </w:tc>
      </w:tr>
    </w:tbl>
    <w:p>
      <w:pPr>
        <w:pStyle w:val="BodyText"/>
        <w:spacing w:before="8"/>
        <w:rPr>
          <w:sz w:val="18"/>
        </w:rPr>
      </w:pPr>
      <w:r>
        <w:rPr/>
        <mc:AlternateContent>
          <mc:Choice Requires="wps">
            <w:drawing>
              <wp:anchor distT="0" distB="0" distL="0" distR="0" allowOverlap="1" layoutInCell="1" locked="0" behindDoc="1" simplePos="0" relativeHeight="487639040">
                <wp:simplePos x="0" y="0"/>
                <wp:positionH relativeFrom="page">
                  <wp:posOffset>914400</wp:posOffset>
                </wp:positionH>
                <wp:positionV relativeFrom="paragraph">
                  <wp:posOffset>151764</wp:posOffset>
                </wp:positionV>
                <wp:extent cx="1828800" cy="7620"/>
                <wp:effectExtent l="0" t="0" r="0" b="0"/>
                <wp:wrapTopAndBottom/>
                <wp:docPr id="110" name="Graphic 110"/>
                <wp:cNvGraphicFramePr>
                  <a:graphicFrameLocks/>
                </wp:cNvGraphicFramePr>
                <a:graphic>
                  <a:graphicData uri="http://schemas.microsoft.com/office/word/2010/wordprocessingShape">
                    <wps:wsp>
                      <wps:cNvPr id="110" name="Graphic 110"/>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1.95pt;width:144pt;height:.6pt;mso-position-horizontal-relative:page;mso-position-vertical-relative:paragraph;z-index:-15677440;mso-wrap-distance-left:0;mso-wrap-distance-right:0" id="docshape17" filled="true" fillcolor="#000000" stroked="false">
                <v:fill type="solid"/>
                <w10:wrap type="topAndBottom"/>
              </v:rect>
            </w:pict>
          </mc:Fallback>
        </mc:AlternateContent>
      </w:r>
    </w:p>
    <w:p>
      <w:pPr>
        <w:pStyle w:val="BodyText"/>
        <w:spacing w:before="2"/>
        <w:rPr>
          <w:sz w:val="14"/>
        </w:rPr>
      </w:pPr>
    </w:p>
    <w:p>
      <w:pPr>
        <w:spacing w:before="99"/>
        <w:ind w:left="240" w:right="1059" w:hanging="1"/>
        <w:jc w:val="left"/>
        <w:rPr>
          <w:sz w:val="20"/>
        </w:rPr>
      </w:pPr>
      <w:bookmarkStart w:name="_bookmark0" w:id="232"/>
      <w:bookmarkEnd w:id="232"/>
      <w:r>
        <w:rPr/>
      </w:r>
      <w:r>
        <w:rPr>
          <w:sz w:val="20"/>
          <w:vertAlign w:val="superscript"/>
        </w:rPr>
        <w:t>1</w:t>
      </w:r>
      <w:r>
        <w:rPr>
          <w:spacing w:val="-2"/>
          <w:sz w:val="20"/>
          <w:vertAlign w:val="baseline"/>
        </w:rPr>
        <w:t> </w:t>
      </w:r>
      <w:r>
        <w:rPr>
          <w:sz w:val="20"/>
          <w:vertAlign w:val="baseline"/>
        </w:rPr>
        <w:t>Individuals with</w:t>
      </w:r>
      <w:r>
        <w:rPr>
          <w:spacing w:val="-3"/>
          <w:sz w:val="20"/>
          <w:vertAlign w:val="baseline"/>
        </w:rPr>
        <w:t> </w:t>
      </w:r>
      <w:r>
        <w:rPr>
          <w:sz w:val="20"/>
          <w:vertAlign w:val="baseline"/>
        </w:rPr>
        <w:t>justice</w:t>
      </w:r>
      <w:r>
        <w:rPr>
          <w:spacing w:val="-2"/>
          <w:sz w:val="20"/>
          <w:vertAlign w:val="baseline"/>
        </w:rPr>
        <w:t> </w:t>
      </w:r>
      <w:r>
        <w:rPr>
          <w:sz w:val="20"/>
          <w:vertAlign w:val="baseline"/>
        </w:rPr>
        <w:t>involvement</w:t>
      </w:r>
      <w:r>
        <w:rPr>
          <w:spacing w:val="-2"/>
          <w:sz w:val="20"/>
          <w:vertAlign w:val="baseline"/>
        </w:rPr>
        <w:t> </w:t>
      </w:r>
      <w:r>
        <w:rPr>
          <w:sz w:val="20"/>
          <w:vertAlign w:val="baseline"/>
        </w:rPr>
        <w:t>living</w:t>
      </w:r>
      <w:r>
        <w:rPr>
          <w:spacing w:val="-3"/>
          <w:sz w:val="20"/>
          <w:vertAlign w:val="baseline"/>
        </w:rPr>
        <w:t> </w:t>
      </w:r>
      <w:r>
        <w:rPr>
          <w:sz w:val="20"/>
          <w:vertAlign w:val="baseline"/>
        </w:rPr>
        <w:t>in</w:t>
      </w:r>
      <w:r>
        <w:rPr>
          <w:spacing w:val="-3"/>
          <w:sz w:val="20"/>
          <w:vertAlign w:val="baseline"/>
        </w:rPr>
        <w:t> </w:t>
      </w:r>
      <w:r>
        <w:rPr>
          <w:sz w:val="20"/>
          <w:vertAlign w:val="baseline"/>
        </w:rPr>
        <w:t>the</w:t>
      </w:r>
      <w:r>
        <w:rPr>
          <w:spacing w:val="-2"/>
          <w:sz w:val="20"/>
          <w:vertAlign w:val="baseline"/>
        </w:rPr>
        <w:t> </w:t>
      </w:r>
      <w:r>
        <w:rPr>
          <w:sz w:val="20"/>
          <w:vertAlign w:val="baseline"/>
        </w:rPr>
        <w:t>community</w:t>
      </w:r>
      <w:r>
        <w:rPr>
          <w:spacing w:val="-6"/>
          <w:sz w:val="20"/>
          <w:vertAlign w:val="baseline"/>
        </w:rPr>
        <w:t> </w:t>
      </w:r>
      <w:r>
        <w:rPr>
          <w:sz w:val="20"/>
          <w:vertAlign w:val="baseline"/>
        </w:rPr>
        <w:t>are</w:t>
      </w:r>
      <w:r>
        <w:rPr>
          <w:spacing w:val="-2"/>
          <w:sz w:val="20"/>
          <w:vertAlign w:val="baseline"/>
        </w:rPr>
        <w:t> </w:t>
      </w:r>
      <w:r>
        <w:rPr>
          <w:sz w:val="20"/>
          <w:vertAlign w:val="baseline"/>
        </w:rPr>
        <w:t>covered</w:t>
      </w:r>
      <w:r>
        <w:rPr>
          <w:spacing w:val="-1"/>
          <w:sz w:val="20"/>
          <w:vertAlign w:val="baseline"/>
        </w:rPr>
        <w:t> </w:t>
      </w:r>
      <w:r>
        <w:rPr>
          <w:sz w:val="20"/>
          <w:vertAlign w:val="baseline"/>
        </w:rPr>
        <w:t>individuals</w:t>
      </w:r>
      <w:r>
        <w:rPr>
          <w:spacing w:val="-3"/>
          <w:sz w:val="20"/>
          <w:vertAlign w:val="baseline"/>
        </w:rPr>
        <w:t> </w:t>
      </w:r>
      <w:r>
        <w:rPr>
          <w:sz w:val="20"/>
          <w:vertAlign w:val="baseline"/>
        </w:rPr>
        <w:t>released</w:t>
      </w:r>
      <w:r>
        <w:rPr>
          <w:spacing w:val="-1"/>
          <w:sz w:val="20"/>
          <w:vertAlign w:val="baseline"/>
        </w:rPr>
        <w:t> </w:t>
      </w:r>
      <w:r>
        <w:rPr>
          <w:sz w:val="20"/>
          <w:vertAlign w:val="baseline"/>
        </w:rPr>
        <w:t>from</w:t>
      </w:r>
      <w:r>
        <w:rPr>
          <w:spacing w:val="-6"/>
          <w:sz w:val="20"/>
          <w:vertAlign w:val="baseline"/>
        </w:rPr>
        <w:t> </w:t>
      </w:r>
      <w:r>
        <w:rPr>
          <w:sz w:val="20"/>
          <w:vertAlign w:val="baseline"/>
        </w:rPr>
        <w:t>a</w:t>
      </w:r>
      <w:r>
        <w:rPr>
          <w:spacing w:val="-2"/>
          <w:sz w:val="20"/>
          <w:vertAlign w:val="baseline"/>
        </w:rPr>
        <w:t> </w:t>
      </w:r>
      <w:r>
        <w:rPr>
          <w:sz w:val="20"/>
          <w:vertAlign w:val="baseline"/>
        </w:rPr>
        <w:t>correctional institution within one year, or who are under the supervision of the Massachusetts Probation Service or the Massachusetts Parole Board.</w:t>
      </w:r>
    </w:p>
    <w:p>
      <w:pPr>
        <w:spacing w:after="0"/>
        <w:jc w:val="left"/>
        <w:rPr>
          <w:sz w:val="20"/>
        </w:rPr>
        <w:sectPr>
          <w:type w:val="continuous"/>
          <w:pgSz w:w="12240" w:h="15840"/>
          <w:pgMar w:header="0" w:footer="1201" w:top="1420" w:bottom="1400" w:left="1200" w:right="400"/>
        </w:sectPr>
      </w:pPr>
    </w:p>
    <w:tbl>
      <w:tblPr>
        <w:tblW w:w="0" w:type="auto"/>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62"/>
        <w:gridCol w:w="2512"/>
        <w:gridCol w:w="3774"/>
      </w:tblGrid>
      <w:tr>
        <w:trPr>
          <w:trHeight w:val="530" w:hRule="atLeast"/>
        </w:trPr>
        <w:tc>
          <w:tcPr>
            <w:tcW w:w="9348" w:type="dxa"/>
            <w:gridSpan w:val="3"/>
            <w:shd w:val="clear" w:color="auto" w:fill="DBE6F1"/>
          </w:tcPr>
          <w:p>
            <w:pPr>
              <w:pStyle w:val="TableParagraph"/>
              <w:spacing w:before="140"/>
              <w:ind w:left="664"/>
              <w:rPr>
                <w:b/>
                <w:sz w:val="22"/>
              </w:rPr>
            </w:pPr>
            <w:r>
              <w:rPr>
                <w:b/>
                <w:sz w:val="22"/>
              </w:rPr>
              <w:t>Table</w:t>
            </w:r>
            <w:r>
              <w:rPr>
                <w:b/>
                <w:spacing w:val="-6"/>
                <w:sz w:val="22"/>
              </w:rPr>
              <w:t> </w:t>
            </w:r>
            <w:r>
              <w:rPr>
                <w:b/>
                <w:sz w:val="22"/>
              </w:rPr>
              <w:t>5:</w:t>
            </w:r>
            <w:r>
              <w:rPr>
                <w:b/>
                <w:spacing w:val="-3"/>
                <w:sz w:val="22"/>
              </w:rPr>
              <w:t> </w:t>
            </w:r>
            <w:r>
              <w:rPr>
                <w:b/>
                <w:sz w:val="22"/>
              </w:rPr>
              <w:t>Diversionary</w:t>
            </w:r>
            <w:r>
              <w:rPr>
                <w:b/>
                <w:spacing w:val="-6"/>
                <w:sz w:val="22"/>
              </w:rPr>
              <w:t> </w:t>
            </w:r>
            <w:r>
              <w:rPr>
                <w:b/>
                <w:sz w:val="22"/>
              </w:rPr>
              <w:t>Behavioral</w:t>
            </w:r>
            <w:r>
              <w:rPr>
                <w:b/>
                <w:spacing w:val="-6"/>
                <w:sz w:val="22"/>
              </w:rPr>
              <w:t> </w:t>
            </w:r>
            <w:r>
              <w:rPr>
                <w:b/>
                <w:sz w:val="22"/>
              </w:rPr>
              <w:t>Health</w:t>
            </w:r>
            <w:r>
              <w:rPr>
                <w:b/>
                <w:spacing w:val="-4"/>
                <w:sz w:val="22"/>
              </w:rPr>
              <w:t> </w:t>
            </w:r>
            <w:r>
              <w:rPr>
                <w:b/>
                <w:sz w:val="22"/>
              </w:rPr>
              <w:t>Services</w:t>
            </w:r>
            <w:r>
              <w:rPr>
                <w:b/>
                <w:spacing w:val="-6"/>
                <w:sz w:val="22"/>
              </w:rPr>
              <w:t> </w:t>
            </w:r>
            <w:r>
              <w:rPr>
                <w:b/>
                <w:sz w:val="22"/>
              </w:rPr>
              <w:t>Provided</w:t>
            </w:r>
            <w:r>
              <w:rPr>
                <w:b/>
                <w:spacing w:val="-4"/>
                <w:sz w:val="22"/>
              </w:rPr>
              <w:t> </w:t>
            </w:r>
            <w:r>
              <w:rPr>
                <w:b/>
                <w:sz w:val="22"/>
              </w:rPr>
              <w:t>Under</w:t>
            </w:r>
            <w:r>
              <w:rPr>
                <w:b/>
                <w:spacing w:val="-6"/>
                <w:sz w:val="22"/>
              </w:rPr>
              <w:t> </w:t>
            </w:r>
            <w:r>
              <w:rPr>
                <w:b/>
                <w:sz w:val="22"/>
              </w:rPr>
              <w:t>the</w:t>
            </w:r>
            <w:r>
              <w:rPr>
                <w:b/>
                <w:spacing w:val="-3"/>
                <w:sz w:val="22"/>
              </w:rPr>
              <w:t> </w:t>
            </w:r>
            <w:r>
              <w:rPr>
                <w:b/>
                <w:spacing w:val="-2"/>
                <w:sz w:val="22"/>
              </w:rPr>
              <w:t>Demonstration</w:t>
            </w:r>
          </w:p>
        </w:tc>
      </w:tr>
      <w:tr>
        <w:trPr>
          <w:trHeight w:val="621" w:hRule="atLeast"/>
        </w:trPr>
        <w:tc>
          <w:tcPr>
            <w:tcW w:w="3062" w:type="dxa"/>
            <w:shd w:val="clear" w:color="auto" w:fill="DBE6F1"/>
          </w:tcPr>
          <w:p>
            <w:pPr>
              <w:pStyle w:val="TableParagraph"/>
              <w:spacing w:before="56"/>
              <w:ind w:left="1211" w:hanging="836"/>
              <w:rPr>
                <w:b/>
                <w:sz w:val="22"/>
              </w:rPr>
            </w:pPr>
            <w:r>
              <w:rPr>
                <w:b/>
                <w:sz w:val="22"/>
              </w:rPr>
              <w:t>Diversionary</w:t>
            </w:r>
            <w:r>
              <w:rPr>
                <w:b/>
                <w:spacing w:val="-14"/>
                <w:sz w:val="22"/>
              </w:rPr>
              <w:t> </w:t>
            </w:r>
            <w:r>
              <w:rPr>
                <w:b/>
                <w:sz w:val="22"/>
              </w:rPr>
              <w:t>Behavioral </w:t>
            </w:r>
            <w:r>
              <w:rPr>
                <w:b/>
                <w:spacing w:val="-2"/>
                <w:sz w:val="22"/>
              </w:rPr>
              <w:t>Health</w:t>
            </w:r>
          </w:p>
        </w:tc>
        <w:tc>
          <w:tcPr>
            <w:tcW w:w="2512" w:type="dxa"/>
            <w:shd w:val="clear" w:color="auto" w:fill="DBE6F1"/>
          </w:tcPr>
          <w:p>
            <w:pPr>
              <w:pStyle w:val="TableParagraph"/>
              <w:spacing w:before="183"/>
              <w:ind w:left="907" w:right="899"/>
              <w:jc w:val="center"/>
              <w:rPr>
                <w:b/>
                <w:sz w:val="22"/>
              </w:rPr>
            </w:pPr>
            <w:r>
              <w:rPr>
                <w:b/>
                <w:spacing w:val="-2"/>
                <w:sz w:val="22"/>
              </w:rPr>
              <w:t>Setting</w:t>
            </w:r>
          </w:p>
        </w:tc>
        <w:tc>
          <w:tcPr>
            <w:tcW w:w="3774" w:type="dxa"/>
            <w:shd w:val="clear" w:color="auto" w:fill="DBE6F1"/>
          </w:tcPr>
          <w:p>
            <w:pPr>
              <w:pStyle w:val="TableParagraph"/>
              <w:spacing w:before="183"/>
              <w:ind w:left="812"/>
              <w:rPr>
                <w:b/>
                <w:sz w:val="22"/>
              </w:rPr>
            </w:pPr>
            <w:r>
              <w:rPr>
                <w:b/>
                <w:sz w:val="22"/>
              </w:rPr>
              <w:t>Description</w:t>
            </w:r>
            <w:r>
              <w:rPr>
                <w:b/>
                <w:spacing w:val="-5"/>
                <w:sz w:val="22"/>
              </w:rPr>
              <w:t> </w:t>
            </w:r>
            <w:r>
              <w:rPr>
                <w:b/>
                <w:sz w:val="22"/>
              </w:rPr>
              <w:t>of</w:t>
            </w:r>
            <w:r>
              <w:rPr>
                <w:b/>
                <w:spacing w:val="-3"/>
                <w:sz w:val="22"/>
              </w:rPr>
              <w:t> </w:t>
            </w:r>
            <w:r>
              <w:rPr>
                <w:b/>
                <w:spacing w:val="-2"/>
                <w:sz w:val="22"/>
              </w:rPr>
              <w:t>Services</w:t>
            </w:r>
          </w:p>
        </w:tc>
      </w:tr>
      <w:tr>
        <w:trPr>
          <w:trHeight w:val="11399" w:hRule="atLeast"/>
        </w:trPr>
        <w:tc>
          <w:tcPr>
            <w:tcW w:w="3062" w:type="dxa"/>
          </w:tcPr>
          <w:p>
            <w:pPr>
              <w:pStyle w:val="TableParagraph"/>
              <w:rPr>
                <w:sz w:val="20"/>
              </w:rPr>
            </w:pPr>
          </w:p>
        </w:tc>
        <w:tc>
          <w:tcPr>
            <w:tcW w:w="2512" w:type="dxa"/>
          </w:tcPr>
          <w:p>
            <w:pPr>
              <w:pStyle w:val="TableParagraph"/>
              <w:rPr>
                <w:sz w:val="20"/>
              </w:rPr>
            </w:pPr>
          </w:p>
        </w:tc>
        <w:tc>
          <w:tcPr>
            <w:tcW w:w="3774" w:type="dxa"/>
          </w:tcPr>
          <w:p>
            <w:pPr>
              <w:pStyle w:val="TableParagraph"/>
              <w:ind w:left="1188" w:right="627"/>
              <w:rPr>
                <w:sz w:val="22"/>
              </w:rPr>
            </w:pPr>
            <w:r>
              <w:rPr>
                <w:sz w:val="22"/>
              </w:rPr>
              <w:t>management</w:t>
            </w:r>
            <w:r>
              <w:rPr>
                <w:spacing w:val="-14"/>
                <w:sz w:val="22"/>
              </w:rPr>
              <w:t> </w:t>
            </w:r>
            <w:r>
              <w:rPr>
                <w:sz w:val="22"/>
              </w:rPr>
              <w:t>services, including financial counselors and representative payees</w:t>
            </w:r>
          </w:p>
          <w:p>
            <w:pPr>
              <w:pStyle w:val="TableParagraph"/>
              <w:numPr>
                <w:ilvl w:val="0"/>
                <w:numId w:val="15"/>
              </w:numPr>
              <w:tabs>
                <w:tab w:pos="1187" w:val="left" w:leader="none"/>
                <w:tab w:pos="1189" w:val="left" w:leader="none"/>
              </w:tabs>
              <w:spacing w:line="235" w:lineRule="auto" w:before="0" w:after="0"/>
              <w:ind w:left="1189" w:right="110" w:hanging="361"/>
              <w:jc w:val="left"/>
              <w:rPr>
                <w:sz w:val="22"/>
              </w:rPr>
            </w:pPr>
            <w:r>
              <w:rPr>
                <w:sz w:val="22"/>
              </w:rPr>
              <w:t>Support to gather documentation such as government identification documents,</w:t>
            </w:r>
            <w:r>
              <w:rPr>
                <w:spacing w:val="-14"/>
                <w:sz w:val="22"/>
              </w:rPr>
              <w:t> </w:t>
            </w:r>
            <w:r>
              <w:rPr>
                <w:sz w:val="22"/>
              </w:rPr>
              <w:t>medical</w:t>
            </w:r>
            <w:r>
              <w:rPr>
                <w:spacing w:val="-14"/>
                <w:sz w:val="22"/>
              </w:rPr>
              <w:t> </w:t>
            </w:r>
            <w:r>
              <w:rPr>
                <w:sz w:val="22"/>
              </w:rPr>
              <w:t>records</w:t>
            </w:r>
          </w:p>
          <w:p>
            <w:pPr>
              <w:pStyle w:val="TableParagraph"/>
              <w:numPr>
                <w:ilvl w:val="0"/>
                <w:numId w:val="15"/>
              </w:numPr>
              <w:tabs>
                <w:tab w:pos="1187" w:val="left" w:leader="none"/>
                <w:tab w:pos="1189" w:val="left" w:leader="none"/>
              </w:tabs>
              <w:spacing w:line="223" w:lineRule="auto" w:before="12" w:after="0"/>
              <w:ind w:left="1189" w:right="143" w:hanging="361"/>
              <w:jc w:val="left"/>
              <w:rPr>
                <w:sz w:val="22"/>
              </w:rPr>
            </w:pPr>
            <w:r>
              <w:rPr>
                <w:sz w:val="22"/>
              </w:rPr>
              <w:t>Linkages to education, vocational</w:t>
            </w:r>
            <w:r>
              <w:rPr>
                <w:spacing w:val="-14"/>
                <w:sz w:val="22"/>
              </w:rPr>
              <w:t> </w:t>
            </w:r>
            <w:r>
              <w:rPr>
                <w:sz w:val="22"/>
              </w:rPr>
              <w:t>training/services</w:t>
            </w:r>
          </w:p>
          <w:p>
            <w:pPr>
              <w:pStyle w:val="TableParagraph"/>
              <w:numPr>
                <w:ilvl w:val="0"/>
                <w:numId w:val="16"/>
              </w:numPr>
              <w:tabs>
                <w:tab w:pos="469" w:val="left" w:leader="none"/>
              </w:tabs>
              <w:spacing w:line="240" w:lineRule="auto" w:before="5" w:after="0"/>
              <w:ind w:left="469" w:right="205" w:hanging="361"/>
              <w:jc w:val="left"/>
              <w:rPr>
                <w:sz w:val="22"/>
              </w:rPr>
            </w:pPr>
            <w:r>
              <w:rPr>
                <w:sz w:val="22"/>
              </w:rPr>
              <w:t>Providing</w:t>
            </w:r>
            <w:r>
              <w:rPr>
                <w:spacing w:val="-14"/>
                <w:sz w:val="22"/>
              </w:rPr>
              <w:t> </w:t>
            </w:r>
            <w:r>
              <w:rPr>
                <w:sz w:val="22"/>
              </w:rPr>
              <w:t>service</w:t>
            </w:r>
            <w:r>
              <w:rPr>
                <w:spacing w:val="-11"/>
                <w:sz w:val="22"/>
              </w:rPr>
              <w:t> </w:t>
            </w:r>
            <w:r>
              <w:rPr>
                <w:sz w:val="22"/>
              </w:rPr>
              <w:t>coordination</w:t>
            </w:r>
            <w:r>
              <w:rPr>
                <w:spacing w:val="-12"/>
                <w:sz w:val="22"/>
              </w:rPr>
              <w:t> </w:t>
            </w:r>
            <w:r>
              <w:rPr>
                <w:sz w:val="22"/>
              </w:rPr>
              <w:t>and </w:t>
            </w:r>
            <w:r>
              <w:rPr>
                <w:spacing w:val="-2"/>
                <w:sz w:val="22"/>
              </w:rPr>
              <w:t>linkages;</w:t>
            </w:r>
          </w:p>
          <w:p>
            <w:pPr>
              <w:pStyle w:val="TableParagraph"/>
              <w:numPr>
                <w:ilvl w:val="1"/>
                <w:numId w:val="16"/>
              </w:numPr>
              <w:tabs>
                <w:tab w:pos="1187" w:val="left" w:leader="none"/>
                <w:tab w:pos="1189" w:val="left" w:leader="none"/>
              </w:tabs>
              <w:spacing w:line="225" w:lineRule="auto" w:before="9" w:after="0"/>
              <w:ind w:left="1189" w:right="578" w:hanging="361"/>
              <w:jc w:val="left"/>
              <w:rPr>
                <w:sz w:val="22"/>
              </w:rPr>
            </w:pPr>
            <w:r>
              <w:rPr>
                <w:sz w:val="22"/>
              </w:rPr>
              <w:t>Referrals</w:t>
            </w:r>
            <w:r>
              <w:rPr>
                <w:spacing w:val="-14"/>
                <w:sz w:val="22"/>
              </w:rPr>
              <w:t> </w:t>
            </w:r>
            <w:r>
              <w:rPr>
                <w:sz w:val="22"/>
              </w:rPr>
              <w:t>to</w:t>
            </w:r>
            <w:r>
              <w:rPr>
                <w:spacing w:val="-14"/>
                <w:sz w:val="22"/>
              </w:rPr>
              <w:t> </w:t>
            </w:r>
            <w:r>
              <w:rPr>
                <w:sz w:val="22"/>
              </w:rPr>
              <w:t>healthcare </w:t>
            </w:r>
            <w:r>
              <w:rPr>
                <w:spacing w:val="-2"/>
                <w:sz w:val="22"/>
              </w:rPr>
              <w:t>providers</w:t>
            </w:r>
          </w:p>
          <w:p>
            <w:pPr>
              <w:pStyle w:val="TableParagraph"/>
              <w:numPr>
                <w:ilvl w:val="1"/>
                <w:numId w:val="16"/>
              </w:numPr>
              <w:tabs>
                <w:tab w:pos="1188" w:val="left" w:leader="none"/>
                <w:tab w:pos="1190" w:val="left" w:leader="none"/>
              </w:tabs>
              <w:spacing w:line="237" w:lineRule="auto" w:before="3" w:after="0"/>
              <w:ind w:left="1190" w:right="110" w:hanging="361"/>
              <w:jc w:val="left"/>
              <w:rPr>
                <w:sz w:val="22"/>
              </w:rPr>
            </w:pPr>
            <w:r>
              <w:rPr>
                <w:sz w:val="22"/>
              </w:rPr>
              <w:t>Providers make reasonable efforts to assist Members identify and/or facilitate transportation options, including</w:t>
            </w:r>
            <w:r>
              <w:rPr>
                <w:spacing w:val="-14"/>
                <w:sz w:val="22"/>
              </w:rPr>
              <w:t> </w:t>
            </w:r>
            <w:r>
              <w:rPr>
                <w:sz w:val="22"/>
              </w:rPr>
              <w:t>community-based transportation resources, such as public transportation and/or community- or publicly- subsidized transportation </w:t>
            </w:r>
            <w:r>
              <w:rPr>
                <w:spacing w:val="-2"/>
                <w:sz w:val="22"/>
              </w:rPr>
              <w:t>options</w:t>
            </w:r>
          </w:p>
          <w:p>
            <w:pPr>
              <w:pStyle w:val="TableParagraph"/>
              <w:numPr>
                <w:ilvl w:val="1"/>
                <w:numId w:val="16"/>
              </w:numPr>
              <w:tabs>
                <w:tab w:pos="1188" w:val="left" w:leader="none"/>
                <w:tab w:pos="1190" w:val="left" w:leader="none"/>
              </w:tabs>
              <w:spacing w:line="237" w:lineRule="auto" w:before="7" w:after="0"/>
              <w:ind w:left="1190" w:right="166" w:hanging="361"/>
              <w:jc w:val="left"/>
              <w:rPr>
                <w:sz w:val="22"/>
              </w:rPr>
            </w:pPr>
            <w:r>
              <w:rPr>
                <w:sz w:val="22"/>
              </w:rPr>
              <w:t>Collaborating with state agencies, outpatient or </w:t>
            </w:r>
            <w:r>
              <w:rPr>
                <w:spacing w:val="-2"/>
                <w:sz w:val="22"/>
              </w:rPr>
              <w:t>community-based </w:t>
            </w:r>
            <w:r>
              <w:rPr>
                <w:sz w:val="22"/>
              </w:rPr>
              <w:t>providers, Emergency Services Programs (ESPs), criminal justice entities, or other</w:t>
            </w:r>
            <w:r>
              <w:rPr>
                <w:spacing w:val="-11"/>
                <w:sz w:val="22"/>
              </w:rPr>
              <w:t> </w:t>
            </w:r>
            <w:r>
              <w:rPr>
                <w:sz w:val="22"/>
              </w:rPr>
              <w:t>significant</w:t>
            </w:r>
            <w:r>
              <w:rPr>
                <w:spacing w:val="-11"/>
                <w:sz w:val="22"/>
              </w:rPr>
              <w:t> </w:t>
            </w:r>
            <w:r>
              <w:rPr>
                <w:sz w:val="22"/>
              </w:rPr>
              <w:t>entities</w:t>
            </w:r>
            <w:r>
              <w:rPr>
                <w:spacing w:val="-12"/>
                <w:sz w:val="22"/>
              </w:rPr>
              <w:t> </w:t>
            </w:r>
            <w:r>
              <w:rPr>
                <w:sz w:val="22"/>
              </w:rPr>
              <w:t>on service and discharge </w:t>
            </w:r>
            <w:r>
              <w:rPr>
                <w:spacing w:val="-2"/>
                <w:sz w:val="22"/>
              </w:rPr>
              <w:t>planning.</w:t>
            </w:r>
          </w:p>
          <w:p>
            <w:pPr>
              <w:pStyle w:val="TableParagraph"/>
              <w:numPr>
                <w:ilvl w:val="1"/>
                <w:numId w:val="16"/>
              </w:numPr>
              <w:tabs>
                <w:tab w:pos="1188" w:val="left" w:leader="none"/>
                <w:tab w:pos="1190" w:val="left" w:leader="none"/>
              </w:tabs>
              <w:spacing w:line="237" w:lineRule="auto" w:before="5" w:after="0"/>
              <w:ind w:left="1190" w:right="264" w:hanging="361"/>
              <w:jc w:val="left"/>
              <w:rPr>
                <w:sz w:val="22"/>
              </w:rPr>
            </w:pPr>
            <w:r>
              <w:rPr>
                <w:sz w:val="22"/>
              </w:rPr>
              <w:t>Discharge planning that involves collaterals as appropriate. Collaterals include state agencies, </w:t>
            </w:r>
            <w:r>
              <w:rPr>
                <w:spacing w:val="-2"/>
                <w:sz w:val="22"/>
              </w:rPr>
              <w:t>community-based </w:t>
            </w:r>
            <w:r>
              <w:rPr>
                <w:sz w:val="22"/>
              </w:rPr>
              <w:t>programs,</w:t>
            </w:r>
            <w:r>
              <w:rPr>
                <w:spacing w:val="-14"/>
                <w:sz w:val="22"/>
              </w:rPr>
              <w:t> </w:t>
            </w:r>
            <w:r>
              <w:rPr>
                <w:sz w:val="22"/>
              </w:rPr>
              <w:t>criminal</w:t>
            </w:r>
            <w:r>
              <w:rPr>
                <w:spacing w:val="-14"/>
                <w:sz w:val="22"/>
              </w:rPr>
              <w:t> </w:t>
            </w:r>
            <w:r>
              <w:rPr>
                <w:sz w:val="22"/>
              </w:rPr>
              <w:t>justice entities, and other non- health care community </w:t>
            </w:r>
            <w:r>
              <w:rPr>
                <w:spacing w:val="-2"/>
                <w:sz w:val="22"/>
              </w:rPr>
              <w:t>supports</w:t>
            </w:r>
          </w:p>
          <w:p>
            <w:pPr>
              <w:pStyle w:val="TableParagraph"/>
              <w:numPr>
                <w:ilvl w:val="1"/>
                <w:numId w:val="16"/>
              </w:numPr>
              <w:tabs>
                <w:tab w:pos="1188" w:val="left" w:leader="none"/>
              </w:tabs>
              <w:spacing w:line="252" w:lineRule="exact" w:before="0" w:after="0"/>
              <w:ind w:left="1188" w:right="322" w:hanging="360"/>
              <w:jc w:val="left"/>
              <w:rPr>
                <w:sz w:val="22"/>
              </w:rPr>
            </w:pPr>
            <w:r>
              <w:rPr>
                <w:sz w:val="22"/>
              </w:rPr>
              <w:t>Provider</w:t>
            </w:r>
            <w:r>
              <w:rPr>
                <w:spacing w:val="-14"/>
                <w:sz w:val="22"/>
              </w:rPr>
              <w:t> </w:t>
            </w:r>
            <w:r>
              <w:rPr>
                <w:sz w:val="22"/>
              </w:rPr>
              <w:t>coordinates</w:t>
            </w:r>
            <w:r>
              <w:rPr>
                <w:spacing w:val="-14"/>
                <w:sz w:val="22"/>
              </w:rPr>
              <w:t> </w:t>
            </w:r>
            <w:r>
              <w:rPr>
                <w:sz w:val="22"/>
              </w:rPr>
              <w:t>care with Members’ primary</w:t>
            </w:r>
          </w:p>
        </w:tc>
      </w:tr>
    </w:tbl>
    <w:p>
      <w:pPr>
        <w:spacing w:after="0" w:line="252" w:lineRule="exact"/>
        <w:jc w:val="left"/>
        <w:rPr>
          <w:sz w:val="22"/>
        </w:rPr>
        <w:sectPr>
          <w:pgSz w:w="12240" w:h="15840"/>
          <w:pgMar w:header="0" w:footer="1201" w:top="1420" w:bottom="1564" w:left="1200" w:right="400"/>
        </w:sectPr>
      </w:pPr>
    </w:p>
    <w:tbl>
      <w:tblPr>
        <w:tblW w:w="0" w:type="auto"/>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62"/>
        <w:gridCol w:w="2512"/>
        <w:gridCol w:w="3774"/>
      </w:tblGrid>
      <w:tr>
        <w:trPr>
          <w:trHeight w:val="530" w:hRule="atLeast"/>
        </w:trPr>
        <w:tc>
          <w:tcPr>
            <w:tcW w:w="9348" w:type="dxa"/>
            <w:gridSpan w:val="3"/>
            <w:shd w:val="clear" w:color="auto" w:fill="DBE6F1"/>
          </w:tcPr>
          <w:p>
            <w:pPr>
              <w:pStyle w:val="TableParagraph"/>
              <w:spacing w:before="140"/>
              <w:ind w:left="664"/>
              <w:rPr>
                <w:b/>
                <w:sz w:val="22"/>
              </w:rPr>
            </w:pPr>
            <w:r>
              <w:rPr>
                <w:b/>
                <w:sz w:val="22"/>
              </w:rPr>
              <w:t>Table</w:t>
            </w:r>
            <w:r>
              <w:rPr>
                <w:b/>
                <w:spacing w:val="-6"/>
                <w:sz w:val="22"/>
              </w:rPr>
              <w:t> </w:t>
            </w:r>
            <w:r>
              <w:rPr>
                <w:b/>
                <w:sz w:val="22"/>
              </w:rPr>
              <w:t>5:</w:t>
            </w:r>
            <w:r>
              <w:rPr>
                <w:b/>
                <w:spacing w:val="-3"/>
                <w:sz w:val="22"/>
              </w:rPr>
              <w:t> </w:t>
            </w:r>
            <w:r>
              <w:rPr>
                <w:b/>
                <w:sz w:val="22"/>
              </w:rPr>
              <w:t>Diversionary</w:t>
            </w:r>
            <w:r>
              <w:rPr>
                <w:b/>
                <w:spacing w:val="-6"/>
                <w:sz w:val="22"/>
              </w:rPr>
              <w:t> </w:t>
            </w:r>
            <w:r>
              <w:rPr>
                <w:b/>
                <w:sz w:val="22"/>
              </w:rPr>
              <w:t>Behavioral</w:t>
            </w:r>
            <w:r>
              <w:rPr>
                <w:b/>
                <w:spacing w:val="-6"/>
                <w:sz w:val="22"/>
              </w:rPr>
              <w:t> </w:t>
            </w:r>
            <w:r>
              <w:rPr>
                <w:b/>
                <w:sz w:val="22"/>
              </w:rPr>
              <w:t>Health</w:t>
            </w:r>
            <w:r>
              <w:rPr>
                <w:b/>
                <w:spacing w:val="-4"/>
                <w:sz w:val="22"/>
              </w:rPr>
              <w:t> </w:t>
            </w:r>
            <w:r>
              <w:rPr>
                <w:b/>
                <w:sz w:val="22"/>
              </w:rPr>
              <w:t>Services</w:t>
            </w:r>
            <w:r>
              <w:rPr>
                <w:b/>
                <w:spacing w:val="-6"/>
                <w:sz w:val="22"/>
              </w:rPr>
              <w:t> </w:t>
            </w:r>
            <w:r>
              <w:rPr>
                <w:b/>
                <w:sz w:val="22"/>
              </w:rPr>
              <w:t>Provided</w:t>
            </w:r>
            <w:r>
              <w:rPr>
                <w:b/>
                <w:spacing w:val="-4"/>
                <w:sz w:val="22"/>
              </w:rPr>
              <w:t> </w:t>
            </w:r>
            <w:r>
              <w:rPr>
                <w:b/>
                <w:sz w:val="22"/>
              </w:rPr>
              <w:t>Under</w:t>
            </w:r>
            <w:r>
              <w:rPr>
                <w:b/>
                <w:spacing w:val="-6"/>
                <w:sz w:val="22"/>
              </w:rPr>
              <w:t> </w:t>
            </w:r>
            <w:r>
              <w:rPr>
                <w:b/>
                <w:sz w:val="22"/>
              </w:rPr>
              <w:t>the</w:t>
            </w:r>
            <w:r>
              <w:rPr>
                <w:b/>
                <w:spacing w:val="-3"/>
                <w:sz w:val="22"/>
              </w:rPr>
              <w:t> </w:t>
            </w:r>
            <w:r>
              <w:rPr>
                <w:b/>
                <w:spacing w:val="-2"/>
                <w:sz w:val="22"/>
              </w:rPr>
              <w:t>Demonstration</w:t>
            </w:r>
          </w:p>
        </w:tc>
      </w:tr>
      <w:tr>
        <w:trPr>
          <w:trHeight w:val="621" w:hRule="atLeast"/>
        </w:trPr>
        <w:tc>
          <w:tcPr>
            <w:tcW w:w="3062" w:type="dxa"/>
            <w:shd w:val="clear" w:color="auto" w:fill="DBE6F1"/>
          </w:tcPr>
          <w:p>
            <w:pPr>
              <w:pStyle w:val="TableParagraph"/>
              <w:spacing w:before="56"/>
              <w:ind w:left="1211" w:hanging="836"/>
              <w:rPr>
                <w:b/>
                <w:sz w:val="22"/>
              </w:rPr>
            </w:pPr>
            <w:r>
              <w:rPr>
                <w:b/>
                <w:sz w:val="22"/>
              </w:rPr>
              <w:t>Diversionary</w:t>
            </w:r>
            <w:r>
              <w:rPr>
                <w:b/>
                <w:spacing w:val="-14"/>
                <w:sz w:val="22"/>
              </w:rPr>
              <w:t> </w:t>
            </w:r>
            <w:r>
              <w:rPr>
                <w:b/>
                <w:sz w:val="22"/>
              </w:rPr>
              <w:t>Behavioral </w:t>
            </w:r>
            <w:r>
              <w:rPr>
                <w:b/>
                <w:spacing w:val="-2"/>
                <w:sz w:val="22"/>
              </w:rPr>
              <w:t>Health</w:t>
            </w:r>
          </w:p>
        </w:tc>
        <w:tc>
          <w:tcPr>
            <w:tcW w:w="2512" w:type="dxa"/>
            <w:shd w:val="clear" w:color="auto" w:fill="DBE6F1"/>
          </w:tcPr>
          <w:p>
            <w:pPr>
              <w:pStyle w:val="TableParagraph"/>
              <w:spacing w:before="183"/>
              <w:ind w:left="907" w:right="899"/>
              <w:jc w:val="center"/>
              <w:rPr>
                <w:b/>
                <w:sz w:val="22"/>
              </w:rPr>
            </w:pPr>
            <w:r>
              <w:rPr>
                <w:b/>
                <w:spacing w:val="-2"/>
                <w:sz w:val="22"/>
              </w:rPr>
              <w:t>Setting</w:t>
            </w:r>
          </w:p>
        </w:tc>
        <w:tc>
          <w:tcPr>
            <w:tcW w:w="3774" w:type="dxa"/>
            <w:shd w:val="clear" w:color="auto" w:fill="DBE6F1"/>
          </w:tcPr>
          <w:p>
            <w:pPr>
              <w:pStyle w:val="TableParagraph"/>
              <w:spacing w:before="183"/>
              <w:ind w:left="812"/>
              <w:rPr>
                <w:b/>
                <w:sz w:val="22"/>
              </w:rPr>
            </w:pPr>
            <w:r>
              <w:rPr>
                <w:b/>
                <w:sz w:val="22"/>
              </w:rPr>
              <w:t>Description</w:t>
            </w:r>
            <w:r>
              <w:rPr>
                <w:b/>
                <w:spacing w:val="-5"/>
                <w:sz w:val="22"/>
              </w:rPr>
              <w:t> </w:t>
            </w:r>
            <w:r>
              <w:rPr>
                <w:b/>
                <w:sz w:val="22"/>
              </w:rPr>
              <w:t>of</w:t>
            </w:r>
            <w:r>
              <w:rPr>
                <w:b/>
                <w:spacing w:val="-3"/>
                <w:sz w:val="22"/>
              </w:rPr>
              <w:t> </w:t>
            </w:r>
            <w:r>
              <w:rPr>
                <w:b/>
                <w:spacing w:val="-2"/>
                <w:sz w:val="22"/>
              </w:rPr>
              <w:t>Services</w:t>
            </w:r>
          </w:p>
        </w:tc>
      </w:tr>
      <w:tr>
        <w:trPr>
          <w:trHeight w:val="10909" w:hRule="atLeast"/>
        </w:trPr>
        <w:tc>
          <w:tcPr>
            <w:tcW w:w="3062" w:type="dxa"/>
          </w:tcPr>
          <w:p>
            <w:pPr>
              <w:pStyle w:val="TableParagraph"/>
              <w:rPr>
                <w:sz w:val="20"/>
              </w:rPr>
            </w:pPr>
          </w:p>
        </w:tc>
        <w:tc>
          <w:tcPr>
            <w:tcW w:w="2512" w:type="dxa"/>
          </w:tcPr>
          <w:p>
            <w:pPr>
              <w:pStyle w:val="TableParagraph"/>
              <w:rPr>
                <w:sz w:val="20"/>
              </w:rPr>
            </w:pPr>
          </w:p>
        </w:tc>
        <w:tc>
          <w:tcPr>
            <w:tcW w:w="3774" w:type="dxa"/>
          </w:tcPr>
          <w:p>
            <w:pPr>
              <w:pStyle w:val="TableParagraph"/>
              <w:ind w:left="1188" w:right="129"/>
              <w:rPr>
                <w:sz w:val="22"/>
              </w:rPr>
            </w:pPr>
            <w:r>
              <w:rPr>
                <w:sz w:val="22"/>
              </w:rPr>
              <w:t>care providers to be knowledgeable of medical conditions, to assess Members’</w:t>
            </w:r>
            <w:r>
              <w:rPr>
                <w:spacing w:val="-14"/>
                <w:sz w:val="22"/>
              </w:rPr>
              <w:t> </w:t>
            </w:r>
            <w:r>
              <w:rPr>
                <w:sz w:val="22"/>
              </w:rPr>
              <w:t>compliance</w:t>
            </w:r>
            <w:r>
              <w:rPr>
                <w:spacing w:val="-14"/>
                <w:sz w:val="22"/>
              </w:rPr>
              <w:t> </w:t>
            </w:r>
            <w:r>
              <w:rPr>
                <w:sz w:val="22"/>
              </w:rPr>
              <w:t>with medical treatment, and to assist with mitigating related barriers</w:t>
            </w:r>
          </w:p>
          <w:p>
            <w:pPr>
              <w:pStyle w:val="TableParagraph"/>
              <w:numPr>
                <w:ilvl w:val="0"/>
                <w:numId w:val="17"/>
              </w:numPr>
              <w:tabs>
                <w:tab w:pos="469" w:val="left" w:leader="none"/>
              </w:tabs>
              <w:spacing w:line="240" w:lineRule="auto" w:before="0" w:after="0"/>
              <w:ind w:left="469" w:right="251" w:hanging="361"/>
              <w:jc w:val="left"/>
              <w:rPr>
                <w:sz w:val="22"/>
              </w:rPr>
            </w:pPr>
            <w:r>
              <w:rPr>
                <w:sz w:val="22"/>
              </w:rPr>
              <w:t>Assisting</w:t>
            </w:r>
            <w:r>
              <w:rPr>
                <w:spacing w:val="-13"/>
                <w:sz w:val="22"/>
              </w:rPr>
              <w:t> </w:t>
            </w:r>
            <w:r>
              <w:rPr>
                <w:sz w:val="22"/>
              </w:rPr>
              <w:t>Members</w:t>
            </w:r>
            <w:r>
              <w:rPr>
                <w:spacing w:val="-11"/>
                <w:sz w:val="22"/>
              </w:rPr>
              <w:t> </w:t>
            </w:r>
            <w:r>
              <w:rPr>
                <w:sz w:val="22"/>
              </w:rPr>
              <w:t>with</w:t>
            </w:r>
            <w:r>
              <w:rPr>
                <w:spacing w:val="-11"/>
                <w:sz w:val="22"/>
              </w:rPr>
              <w:t> </w:t>
            </w:r>
            <w:r>
              <w:rPr>
                <w:sz w:val="22"/>
              </w:rPr>
              <w:t>obtaining benefits, housing, and</w:t>
            </w:r>
            <w:r>
              <w:rPr>
                <w:spacing w:val="-3"/>
                <w:sz w:val="22"/>
              </w:rPr>
              <w:t> </w:t>
            </w:r>
            <w:r>
              <w:rPr>
                <w:sz w:val="22"/>
              </w:rPr>
              <w:t>health care;</w:t>
            </w:r>
          </w:p>
          <w:p>
            <w:pPr>
              <w:pStyle w:val="TableParagraph"/>
              <w:numPr>
                <w:ilvl w:val="1"/>
                <w:numId w:val="17"/>
              </w:numPr>
              <w:tabs>
                <w:tab w:pos="1187" w:val="left" w:leader="none"/>
                <w:tab w:pos="1189" w:val="left" w:leader="none"/>
              </w:tabs>
              <w:spacing w:line="235" w:lineRule="auto" w:before="0" w:after="0"/>
              <w:ind w:left="1189" w:right="230" w:hanging="361"/>
              <w:jc w:val="left"/>
              <w:rPr>
                <w:sz w:val="22"/>
              </w:rPr>
            </w:pPr>
            <w:r>
              <w:rPr>
                <w:sz w:val="22"/>
              </w:rPr>
              <w:t>Providers work with housing</w:t>
            </w:r>
            <w:r>
              <w:rPr>
                <w:spacing w:val="-13"/>
                <w:sz w:val="22"/>
              </w:rPr>
              <w:t> </w:t>
            </w:r>
            <w:r>
              <w:rPr>
                <w:sz w:val="22"/>
              </w:rPr>
              <w:t>agencies</w:t>
            </w:r>
            <w:r>
              <w:rPr>
                <w:spacing w:val="-13"/>
                <w:sz w:val="22"/>
              </w:rPr>
              <w:t> </w:t>
            </w:r>
            <w:r>
              <w:rPr>
                <w:sz w:val="22"/>
              </w:rPr>
              <w:t>to</w:t>
            </w:r>
            <w:r>
              <w:rPr>
                <w:spacing w:val="-11"/>
                <w:sz w:val="22"/>
              </w:rPr>
              <w:t> </w:t>
            </w:r>
            <w:r>
              <w:rPr>
                <w:sz w:val="22"/>
              </w:rPr>
              <w:t>obtain documentation of housing </w:t>
            </w:r>
            <w:r>
              <w:rPr>
                <w:spacing w:val="-2"/>
                <w:sz w:val="22"/>
              </w:rPr>
              <w:t>status</w:t>
            </w:r>
          </w:p>
          <w:p>
            <w:pPr>
              <w:pStyle w:val="TableParagraph"/>
              <w:numPr>
                <w:ilvl w:val="1"/>
                <w:numId w:val="17"/>
              </w:numPr>
              <w:tabs>
                <w:tab w:pos="1187" w:val="left" w:leader="none"/>
                <w:tab w:pos="1189" w:val="left" w:leader="none"/>
              </w:tabs>
              <w:spacing w:line="230" w:lineRule="auto" w:before="7" w:after="0"/>
              <w:ind w:left="1189" w:right="230" w:hanging="361"/>
              <w:jc w:val="left"/>
              <w:rPr>
                <w:sz w:val="22"/>
              </w:rPr>
            </w:pPr>
            <w:r>
              <w:rPr>
                <w:sz w:val="22"/>
              </w:rPr>
              <w:t>Working</w:t>
            </w:r>
            <w:r>
              <w:rPr>
                <w:spacing w:val="-12"/>
                <w:sz w:val="22"/>
              </w:rPr>
              <w:t> </w:t>
            </w:r>
            <w:r>
              <w:rPr>
                <w:sz w:val="22"/>
              </w:rPr>
              <w:t>with</w:t>
            </w:r>
            <w:r>
              <w:rPr>
                <w:spacing w:val="-12"/>
                <w:sz w:val="22"/>
              </w:rPr>
              <w:t> </w:t>
            </w:r>
            <w:r>
              <w:rPr>
                <w:sz w:val="22"/>
              </w:rPr>
              <w:t>Members</w:t>
            </w:r>
            <w:r>
              <w:rPr>
                <w:spacing w:val="-11"/>
                <w:sz w:val="22"/>
              </w:rPr>
              <w:t> </w:t>
            </w:r>
            <w:r>
              <w:rPr>
                <w:sz w:val="22"/>
              </w:rPr>
              <w:t>to identify transitional supports for move-in</w:t>
            </w:r>
          </w:p>
          <w:p>
            <w:pPr>
              <w:pStyle w:val="TableParagraph"/>
              <w:numPr>
                <w:ilvl w:val="1"/>
                <w:numId w:val="17"/>
              </w:numPr>
              <w:tabs>
                <w:tab w:pos="1187" w:val="left" w:leader="none"/>
                <w:tab w:pos="1189" w:val="left" w:leader="none"/>
              </w:tabs>
              <w:spacing w:line="235" w:lineRule="auto" w:before="7" w:after="0"/>
              <w:ind w:left="1189" w:right="265" w:hanging="361"/>
              <w:jc w:val="left"/>
              <w:rPr>
                <w:sz w:val="22"/>
              </w:rPr>
            </w:pPr>
            <w:r>
              <w:rPr>
                <w:sz w:val="22"/>
              </w:rPr>
              <w:t>Connecting Members to housing</w:t>
            </w:r>
            <w:r>
              <w:rPr>
                <w:spacing w:val="-14"/>
                <w:sz w:val="22"/>
              </w:rPr>
              <w:t> </w:t>
            </w:r>
            <w:r>
              <w:rPr>
                <w:sz w:val="22"/>
              </w:rPr>
              <w:t>search</w:t>
            </w:r>
            <w:r>
              <w:rPr>
                <w:spacing w:val="-14"/>
                <w:sz w:val="22"/>
              </w:rPr>
              <w:t> </w:t>
            </w:r>
            <w:r>
              <w:rPr>
                <w:sz w:val="22"/>
              </w:rPr>
              <w:t>assistance, and helping to coordinate </w:t>
            </w:r>
            <w:r>
              <w:rPr>
                <w:spacing w:val="-2"/>
                <w:sz w:val="22"/>
              </w:rPr>
              <w:t>search(es)</w:t>
            </w:r>
          </w:p>
          <w:p>
            <w:pPr>
              <w:pStyle w:val="TableParagraph"/>
              <w:numPr>
                <w:ilvl w:val="1"/>
                <w:numId w:val="17"/>
              </w:numPr>
              <w:tabs>
                <w:tab w:pos="1187" w:val="left" w:leader="none"/>
                <w:tab w:pos="1189" w:val="left" w:leader="none"/>
              </w:tabs>
              <w:spacing w:line="235" w:lineRule="auto" w:before="0" w:after="0"/>
              <w:ind w:left="1189" w:right="285" w:hanging="361"/>
              <w:jc w:val="left"/>
              <w:rPr>
                <w:sz w:val="22"/>
              </w:rPr>
            </w:pPr>
            <w:r>
              <w:rPr>
                <w:sz w:val="22"/>
              </w:rPr>
              <w:t>Linkages to primary and preventive</w:t>
            </w:r>
            <w:r>
              <w:rPr>
                <w:spacing w:val="-14"/>
                <w:sz w:val="22"/>
              </w:rPr>
              <w:t> </w:t>
            </w:r>
            <w:r>
              <w:rPr>
                <w:sz w:val="22"/>
              </w:rPr>
              <w:t>health</w:t>
            </w:r>
            <w:r>
              <w:rPr>
                <w:spacing w:val="-14"/>
                <w:sz w:val="22"/>
              </w:rPr>
              <w:t> </w:t>
            </w:r>
            <w:r>
              <w:rPr>
                <w:sz w:val="22"/>
              </w:rPr>
              <w:t>services Linkages to behavioral health and substance use disorder treatment</w:t>
            </w:r>
          </w:p>
          <w:p>
            <w:pPr>
              <w:pStyle w:val="TableParagraph"/>
              <w:numPr>
                <w:ilvl w:val="1"/>
                <w:numId w:val="17"/>
              </w:numPr>
              <w:tabs>
                <w:tab w:pos="1187" w:val="left" w:leader="none"/>
                <w:tab w:pos="1189" w:val="left" w:leader="none"/>
              </w:tabs>
              <w:spacing w:line="237" w:lineRule="auto" w:before="5" w:after="0"/>
              <w:ind w:left="1189" w:right="109" w:hanging="361"/>
              <w:jc w:val="left"/>
              <w:rPr>
                <w:sz w:val="22"/>
              </w:rPr>
            </w:pPr>
            <w:r>
              <w:rPr>
                <w:sz w:val="22"/>
              </w:rPr>
              <w:t>Assistance</w:t>
            </w:r>
            <w:r>
              <w:rPr>
                <w:spacing w:val="-11"/>
                <w:sz w:val="22"/>
              </w:rPr>
              <w:t> </w:t>
            </w:r>
            <w:r>
              <w:rPr>
                <w:sz w:val="22"/>
              </w:rPr>
              <w:t>with</w:t>
            </w:r>
            <w:r>
              <w:rPr>
                <w:spacing w:val="-11"/>
                <w:sz w:val="22"/>
              </w:rPr>
              <w:t> </w:t>
            </w:r>
            <w:r>
              <w:rPr>
                <w:sz w:val="22"/>
              </w:rPr>
              <w:t>enrolling</w:t>
            </w:r>
            <w:r>
              <w:rPr>
                <w:spacing w:val="-14"/>
                <w:sz w:val="22"/>
              </w:rPr>
              <w:t> </w:t>
            </w:r>
            <w:r>
              <w:rPr>
                <w:sz w:val="22"/>
              </w:rPr>
              <w:t>in community</w:t>
            </w:r>
            <w:r>
              <w:rPr>
                <w:spacing w:val="-4"/>
                <w:sz w:val="22"/>
              </w:rPr>
              <w:t> </w:t>
            </w:r>
            <w:r>
              <w:rPr>
                <w:sz w:val="22"/>
              </w:rPr>
              <w:t>benefits</w:t>
            </w:r>
            <w:r>
              <w:rPr>
                <w:spacing w:val="-3"/>
                <w:sz w:val="22"/>
              </w:rPr>
              <w:t> </w:t>
            </w:r>
            <w:r>
              <w:rPr>
                <w:sz w:val="22"/>
              </w:rPr>
              <w:t>(Social Security benefits, SNAP, VA benefits, MassHealth, Medicare, etc.) including obtaining needed documentation and helping to complete applications and attend appointments</w:t>
            </w:r>
          </w:p>
          <w:p>
            <w:pPr>
              <w:pStyle w:val="TableParagraph"/>
              <w:numPr>
                <w:ilvl w:val="1"/>
                <w:numId w:val="17"/>
              </w:numPr>
              <w:tabs>
                <w:tab w:pos="1187" w:val="left" w:leader="none"/>
                <w:tab w:pos="1189" w:val="left" w:leader="none"/>
              </w:tabs>
              <w:spacing w:line="232" w:lineRule="auto" w:before="8" w:after="0"/>
              <w:ind w:left="1189" w:right="146" w:hanging="361"/>
              <w:jc w:val="left"/>
              <w:rPr>
                <w:sz w:val="22"/>
              </w:rPr>
            </w:pPr>
            <w:r>
              <w:rPr>
                <w:sz w:val="22"/>
              </w:rPr>
              <w:t>Working with Member to identify</w:t>
            </w:r>
            <w:r>
              <w:rPr>
                <w:spacing w:val="-14"/>
                <w:sz w:val="22"/>
              </w:rPr>
              <w:t> </w:t>
            </w:r>
            <w:r>
              <w:rPr>
                <w:sz w:val="22"/>
              </w:rPr>
              <w:t>resources</w:t>
            </w:r>
            <w:r>
              <w:rPr>
                <w:spacing w:val="-12"/>
                <w:sz w:val="22"/>
              </w:rPr>
              <w:t> </w:t>
            </w:r>
            <w:r>
              <w:rPr>
                <w:sz w:val="22"/>
              </w:rPr>
              <w:t>for</w:t>
            </w:r>
            <w:r>
              <w:rPr>
                <w:spacing w:val="-11"/>
                <w:sz w:val="22"/>
              </w:rPr>
              <w:t> </w:t>
            </w:r>
            <w:r>
              <w:rPr>
                <w:sz w:val="22"/>
              </w:rPr>
              <w:t>home modifications as needed</w:t>
            </w:r>
          </w:p>
          <w:p>
            <w:pPr>
              <w:pStyle w:val="TableParagraph"/>
              <w:numPr>
                <w:ilvl w:val="0"/>
                <w:numId w:val="17"/>
              </w:numPr>
              <w:tabs>
                <w:tab w:pos="469" w:val="left" w:leader="none"/>
              </w:tabs>
              <w:spacing w:line="240" w:lineRule="auto" w:before="0" w:after="0"/>
              <w:ind w:left="469" w:right="606" w:hanging="361"/>
              <w:jc w:val="left"/>
              <w:rPr>
                <w:sz w:val="22"/>
              </w:rPr>
            </w:pPr>
            <w:r>
              <w:rPr>
                <w:sz w:val="22"/>
              </w:rPr>
              <w:t>Developing</w:t>
            </w:r>
            <w:r>
              <w:rPr>
                <w:spacing w:val="-8"/>
                <w:sz w:val="22"/>
              </w:rPr>
              <w:t> </w:t>
            </w:r>
            <w:r>
              <w:rPr>
                <w:sz w:val="22"/>
              </w:rPr>
              <w:t>a</w:t>
            </w:r>
            <w:r>
              <w:rPr>
                <w:spacing w:val="-6"/>
                <w:sz w:val="22"/>
              </w:rPr>
              <w:t> </w:t>
            </w:r>
            <w:r>
              <w:rPr>
                <w:sz w:val="22"/>
              </w:rPr>
              <w:t>crisis</w:t>
            </w:r>
            <w:r>
              <w:rPr>
                <w:spacing w:val="-8"/>
                <w:sz w:val="22"/>
              </w:rPr>
              <w:t> </w:t>
            </w:r>
            <w:r>
              <w:rPr>
                <w:sz w:val="22"/>
              </w:rPr>
              <w:t>plan</w:t>
            </w:r>
            <w:r>
              <w:rPr>
                <w:spacing w:val="-6"/>
                <w:sz w:val="22"/>
              </w:rPr>
              <w:t> </w:t>
            </w:r>
            <w:r>
              <w:rPr>
                <w:sz w:val="22"/>
              </w:rPr>
              <w:t>in</w:t>
            </w:r>
            <w:r>
              <w:rPr>
                <w:spacing w:val="-8"/>
                <w:sz w:val="22"/>
              </w:rPr>
              <w:t> </w:t>
            </w:r>
            <w:r>
              <w:rPr>
                <w:sz w:val="22"/>
              </w:rPr>
              <w:t>the event of a psychiatric crisis;</w:t>
            </w:r>
          </w:p>
          <w:p>
            <w:pPr>
              <w:pStyle w:val="TableParagraph"/>
              <w:numPr>
                <w:ilvl w:val="1"/>
                <w:numId w:val="17"/>
              </w:numPr>
              <w:tabs>
                <w:tab w:pos="1188" w:val="left" w:leader="none"/>
                <w:tab w:pos="1190" w:val="left" w:leader="none"/>
              </w:tabs>
              <w:spacing w:line="223" w:lineRule="auto" w:before="12" w:after="0"/>
              <w:ind w:left="1190" w:right="730" w:hanging="361"/>
              <w:jc w:val="left"/>
              <w:rPr>
                <w:sz w:val="22"/>
              </w:rPr>
            </w:pPr>
            <w:r>
              <w:rPr>
                <w:sz w:val="22"/>
              </w:rPr>
              <w:t>Refer</w:t>
            </w:r>
            <w:r>
              <w:rPr>
                <w:spacing w:val="-12"/>
                <w:sz w:val="22"/>
              </w:rPr>
              <w:t> </w:t>
            </w:r>
            <w:r>
              <w:rPr>
                <w:sz w:val="22"/>
              </w:rPr>
              <w:t>the</w:t>
            </w:r>
            <w:r>
              <w:rPr>
                <w:spacing w:val="-10"/>
                <w:sz w:val="22"/>
              </w:rPr>
              <w:t> </w:t>
            </w:r>
            <w:r>
              <w:rPr>
                <w:sz w:val="22"/>
              </w:rPr>
              <w:t>Member</w:t>
            </w:r>
            <w:r>
              <w:rPr>
                <w:spacing w:val="-12"/>
                <w:sz w:val="22"/>
              </w:rPr>
              <w:t> </w:t>
            </w:r>
            <w:r>
              <w:rPr>
                <w:sz w:val="22"/>
              </w:rPr>
              <w:t>to outpatient provider</w:t>
            </w:r>
          </w:p>
          <w:p>
            <w:pPr>
              <w:pStyle w:val="TableParagraph"/>
              <w:numPr>
                <w:ilvl w:val="1"/>
                <w:numId w:val="17"/>
              </w:numPr>
              <w:tabs>
                <w:tab w:pos="1188" w:val="left" w:leader="none"/>
              </w:tabs>
              <w:spacing w:line="252" w:lineRule="exact" w:before="0" w:after="0"/>
              <w:ind w:left="1188" w:right="467" w:hanging="360"/>
              <w:jc w:val="left"/>
              <w:rPr>
                <w:sz w:val="22"/>
              </w:rPr>
            </w:pPr>
            <w:r>
              <w:rPr>
                <w:sz w:val="22"/>
              </w:rPr>
              <w:t>Refer</w:t>
            </w:r>
            <w:r>
              <w:rPr>
                <w:spacing w:val="-10"/>
                <w:sz w:val="22"/>
              </w:rPr>
              <w:t> </w:t>
            </w:r>
            <w:r>
              <w:rPr>
                <w:sz w:val="22"/>
              </w:rPr>
              <w:t>the</w:t>
            </w:r>
            <w:r>
              <w:rPr>
                <w:spacing w:val="-8"/>
                <w:sz w:val="22"/>
              </w:rPr>
              <w:t> </w:t>
            </w:r>
            <w:r>
              <w:rPr>
                <w:sz w:val="22"/>
              </w:rPr>
              <w:t>Member</w:t>
            </w:r>
            <w:r>
              <w:rPr>
                <w:spacing w:val="-10"/>
                <w:sz w:val="22"/>
              </w:rPr>
              <w:t> </w:t>
            </w:r>
            <w:r>
              <w:rPr>
                <w:sz w:val="22"/>
              </w:rPr>
              <w:t>to</w:t>
            </w:r>
            <w:r>
              <w:rPr>
                <w:spacing w:val="-8"/>
                <w:sz w:val="22"/>
              </w:rPr>
              <w:t> </w:t>
            </w:r>
            <w:r>
              <w:rPr>
                <w:sz w:val="22"/>
              </w:rPr>
              <w:t>an </w:t>
            </w:r>
            <w:r>
              <w:rPr>
                <w:spacing w:val="-4"/>
                <w:sz w:val="22"/>
              </w:rPr>
              <w:t>ESP</w:t>
            </w:r>
          </w:p>
        </w:tc>
      </w:tr>
    </w:tbl>
    <w:p>
      <w:pPr>
        <w:spacing w:after="0" w:line="252" w:lineRule="exact"/>
        <w:jc w:val="left"/>
        <w:rPr>
          <w:sz w:val="22"/>
        </w:rPr>
        <w:sectPr>
          <w:type w:val="continuous"/>
          <w:pgSz w:w="12240" w:h="15840"/>
          <w:pgMar w:header="0" w:footer="1201" w:top="1420" w:bottom="2054" w:left="1200" w:right="400"/>
        </w:sectPr>
      </w:pPr>
    </w:p>
    <w:tbl>
      <w:tblPr>
        <w:tblW w:w="0" w:type="auto"/>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62"/>
        <w:gridCol w:w="2512"/>
        <w:gridCol w:w="3774"/>
      </w:tblGrid>
      <w:tr>
        <w:trPr>
          <w:trHeight w:val="530" w:hRule="atLeast"/>
        </w:trPr>
        <w:tc>
          <w:tcPr>
            <w:tcW w:w="9348" w:type="dxa"/>
            <w:gridSpan w:val="3"/>
            <w:shd w:val="clear" w:color="auto" w:fill="DBE6F1"/>
          </w:tcPr>
          <w:p>
            <w:pPr>
              <w:pStyle w:val="TableParagraph"/>
              <w:spacing w:before="140"/>
              <w:ind w:left="664"/>
              <w:rPr>
                <w:b/>
                <w:sz w:val="22"/>
              </w:rPr>
            </w:pPr>
            <w:r>
              <w:rPr>
                <w:b/>
                <w:sz w:val="22"/>
              </w:rPr>
              <w:t>Table</w:t>
            </w:r>
            <w:r>
              <w:rPr>
                <w:b/>
                <w:spacing w:val="-6"/>
                <w:sz w:val="22"/>
              </w:rPr>
              <w:t> </w:t>
            </w:r>
            <w:r>
              <w:rPr>
                <w:b/>
                <w:sz w:val="22"/>
              </w:rPr>
              <w:t>5:</w:t>
            </w:r>
            <w:r>
              <w:rPr>
                <w:b/>
                <w:spacing w:val="-3"/>
                <w:sz w:val="22"/>
              </w:rPr>
              <w:t> </w:t>
            </w:r>
            <w:r>
              <w:rPr>
                <w:b/>
                <w:sz w:val="22"/>
              </w:rPr>
              <w:t>Diversionary</w:t>
            </w:r>
            <w:r>
              <w:rPr>
                <w:b/>
                <w:spacing w:val="-6"/>
                <w:sz w:val="22"/>
              </w:rPr>
              <w:t> </w:t>
            </w:r>
            <w:r>
              <w:rPr>
                <w:b/>
                <w:sz w:val="22"/>
              </w:rPr>
              <w:t>Behavioral</w:t>
            </w:r>
            <w:r>
              <w:rPr>
                <w:b/>
                <w:spacing w:val="-6"/>
                <w:sz w:val="22"/>
              </w:rPr>
              <w:t> </w:t>
            </w:r>
            <w:r>
              <w:rPr>
                <w:b/>
                <w:sz w:val="22"/>
              </w:rPr>
              <w:t>Health</w:t>
            </w:r>
            <w:r>
              <w:rPr>
                <w:b/>
                <w:spacing w:val="-4"/>
                <w:sz w:val="22"/>
              </w:rPr>
              <w:t> </w:t>
            </w:r>
            <w:r>
              <w:rPr>
                <w:b/>
                <w:sz w:val="22"/>
              </w:rPr>
              <w:t>Services</w:t>
            </w:r>
            <w:r>
              <w:rPr>
                <w:b/>
                <w:spacing w:val="-6"/>
                <w:sz w:val="22"/>
              </w:rPr>
              <w:t> </w:t>
            </w:r>
            <w:r>
              <w:rPr>
                <w:b/>
                <w:sz w:val="22"/>
              </w:rPr>
              <w:t>Provided</w:t>
            </w:r>
            <w:r>
              <w:rPr>
                <w:b/>
                <w:spacing w:val="-4"/>
                <w:sz w:val="22"/>
              </w:rPr>
              <w:t> </w:t>
            </w:r>
            <w:r>
              <w:rPr>
                <w:b/>
                <w:sz w:val="22"/>
              </w:rPr>
              <w:t>Under</w:t>
            </w:r>
            <w:r>
              <w:rPr>
                <w:b/>
                <w:spacing w:val="-6"/>
                <w:sz w:val="22"/>
              </w:rPr>
              <w:t> </w:t>
            </w:r>
            <w:r>
              <w:rPr>
                <w:b/>
                <w:sz w:val="22"/>
              </w:rPr>
              <w:t>the</w:t>
            </w:r>
            <w:r>
              <w:rPr>
                <w:b/>
                <w:spacing w:val="-3"/>
                <w:sz w:val="22"/>
              </w:rPr>
              <w:t> </w:t>
            </w:r>
            <w:r>
              <w:rPr>
                <w:b/>
                <w:spacing w:val="-2"/>
                <w:sz w:val="22"/>
              </w:rPr>
              <w:t>Demonstration</w:t>
            </w:r>
          </w:p>
        </w:tc>
      </w:tr>
      <w:tr>
        <w:trPr>
          <w:trHeight w:val="621" w:hRule="atLeast"/>
        </w:trPr>
        <w:tc>
          <w:tcPr>
            <w:tcW w:w="3062" w:type="dxa"/>
            <w:shd w:val="clear" w:color="auto" w:fill="DBE6F1"/>
          </w:tcPr>
          <w:p>
            <w:pPr>
              <w:pStyle w:val="TableParagraph"/>
              <w:spacing w:before="56"/>
              <w:ind w:left="1211" w:hanging="836"/>
              <w:rPr>
                <w:b/>
                <w:sz w:val="22"/>
              </w:rPr>
            </w:pPr>
            <w:r>
              <w:rPr>
                <w:b/>
                <w:sz w:val="22"/>
              </w:rPr>
              <w:t>Diversionary</w:t>
            </w:r>
            <w:r>
              <w:rPr>
                <w:b/>
                <w:spacing w:val="-14"/>
                <w:sz w:val="22"/>
              </w:rPr>
              <w:t> </w:t>
            </w:r>
            <w:r>
              <w:rPr>
                <w:b/>
                <w:sz w:val="22"/>
              </w:rPr>
              <w:t>Behavioral </w:t>
            </w:r>
            <w:r>
              <w:rPr>
                <w:b/>
                <w:spacing w:val="-2"/>
                <w:sz w:val="22"/>
              </w:rPr>
              <w:t>Health</w:t>
            </w:r>
          </w:p>
        </w:tc>
        <w:tc>
          <w:tcPr>
            <w:tcW w:w="2512" w:type="dxa"/>
            <w:shd w:val="clear" w:color="auto" w:fill="DBE6F1"/>
          </w:tcPr>
          <w:p>
            <w:pPr>
              <w:pStyle w:val="TableParagraph"/>
              <w:spacing w:before="183"/>
              <w:ind w:left="907" w:right="899"/>
              <w:jc w:val="center"/>
              <w:rPr>
                <w:b/>
                <w:sz w:val="22"/>
              </w:rPr>
            </w:pPr>
            <w:r>
              <w:rPr>
                <w:b/>
                <w:spacing w:val="-2"/>
                <w:sz w:val="22"/>
              </w:rPr>
              <w:t>Setting</w:t>
            </w:r>
          </w:p>
        </w:tc>
        <w:tc>
          <w:tcPr>
            <w:tcW w:w="3774" w:type="dxa"/>
            <w:shd w:val="clear" w:color="auto" w:fill="DBE6F1"/>
          </w:tcPr>
          <w:p>
            <w:pPr>
              <w:pStyle w:val="TableParagraph"/>
              <w:spacing w:before="183"/>
              <w:ind w:left="812"/>
              <w:rPr>
                <w:b/>
                <w:sz w:val="22"/>
              </w:rPr>
            </w:pPr>
            <w:r>
              <w:rPr>
                <w:b/>
                <w:sz w:val="22"/>
              </w:rPr>
              <w:t>Description</w:t>
            </w:r>
            <w:r>
              <w:rPr>
                <w:b/>
                <w:spacing w:val="-5"/>
                <w:sz w:val="22"/>
              </w:rPr>
              <w:t> </w:t>
            </w:r>
            <w:r>
              <w:rPr>
                <w:b/>
                <w:sz w:val="22"/>
              </w:rPr>
              <w:t>of</w:t>
            </w:r>
            <w:r>
              <w:rPr>
                <w:b/>
                <w:spacing w:val="-3"/>
                <w:sz w:val="22"/>
              </w:rPr>
              <w:t> </w:t>
            </w:r>
            <w:r>
              <w:rPr>
                <w:b/>
                <w:spacing w:val="-2"/>
                <w:sz w:val="22"/>
              </w:rPr>
              <w:t>Services</w:t>
            </w:r>
          </w:p>
        </w:tc>
      </w:tr>
      <w:tr>
        <w:trPr>
          <w:trHeight w:val="11399" w:hRule="atLeast"/>
        </w:trPr>
        <w:tc>
          <w:tcPr>
            <w:tcW w:w="3062" w:type="dxa"/>
          </w:tcPr>
          <w:p>
            <w:pPr>
              <w:pStyle w:val="TableParagraph"/>
              <w:rPr>
                <w:sz w:val="20"/>
              </w:rPr>
            </w:pPr>
          </w:p>
        </w:tc>
        <w:tc>
          <w:tcPr>
            <w:tcW w:w="2512" w:type="dxa"/>
          </w:tcPr>
          <w:p>
            <w:pPr>
              <w:pStyle w:val="TableParagraph"/>
              <w:rPr>
                <w:sz w:val="20"/>
              </w:rPr>
            </w:pPr>
          </w:p>
        </w:tc>
        <w:tc>
          <w:tcPr>
            <w:tcW w:w="3774" w:type="dxa"/>
          </w:tcPr>
          <w:p>
            <w:pPr>
              <w:pStyle w:val="TableParagraph"/>
              <w:numPr>
                <w:ilvl w:val="0"/>
                <w:numId w:val="18"/>
              </w:numPr>
              <w:tabs>
                <w:tab w:pos="1188" w:val="left" w:leader="none"/>
              </w:tabs>
              <w:spacing w:line="230" w:lineRule="auto" w:before="6" w:after="0"/>
              <w:ind w:left="1188" w:right="652" w:hanging="360"/>
              <w:jc w:val="left"/>
              <w:rPr>
                <w:sz w:val="22"/>
              </w:rPr>
            </w:pPr>
            <w:r>
              <w:rPr>
                <w:sz w:val="22"/>
              </w:rPr>
              <w:t>Implement other interventions such as Member’s</w:t>
            </w:r>
            <w:r>
              <w:rPr>
                <w:spacing w:val="-14"/>
                <w:sz w:val="22"/>
              </w:rPr>
              <w:t> </w:t>
            </w:r>
            <w:r>
              <w:rPr>
                <w:sz w:val="22"/>
              </w:rPr>
              <w:t>safety</w:t>
            </w:r>
            <w:r>
              <w:rPr>
                <w:spacing w:val="-14"/>
                <w:sz w:val="22"/>
              </w:rPr>
              <w:t> </w:t>
            </w:r>
            <w:r>
              <w:rPr>
                <w:sz w:val="22"/>
              </w:rPr>
              <w:t>plan</w:t>
            </w:r>
          </w:p>
          <w:p>
            <w:pPr>
              <w:pStyle w:val="TableParagraph"/>
              <w:numPr>
                <w:ilvl w:val="0"/>
                <w:numId w:val="18"/>
              </w:numPr>
              <w:tabs>
                <w:tab w:pos="1187" w:val="left" w:leader="none"/>
                <w:tab w:pos="1189" w:val="left" w:leader="none"/>
              </w:tabs>
              <w:spacing w:line="232" w:lineRule="auto" w:before="9" w:after="0"/>
              <w:ind w:left="1189" w:right="211" w:hanging="361"/>
              <w:jc w:val="left"/>
              <w:rPr>
                <w:sz w:val="22"/>
              </w:rPr>
            </w:pPr>
            <w:r>
              <w:rPr>
                <w:sz w:val="22"/>
              </w:rPr>
              <w:t>Collaborate</w:t>
            </w:r>
            <w:r>
              <w:rPr>
                <w:spacing w:val="-14"/>
                <w:sz w:val="22"/>
              </w:rPr>
              <w:t> </w:t>
            </w:r>
            <w:r>
              <w:rPr>
                <w:sz w:val="22"/>
              </w:rPr>
              <w:t>with</w:t>
            </w:r>
            <w:r>
              <w:rPr>
                <w:spacing w:val="-14"/>
                <w:sz w:val="22"/>
              </w:rPr>
              <w:t> </w:t>
            </w:r>
            <w:r>
              <w:rPr>
                <w:sz w:val="22"/>
              </w:rPr>
              <w:t>providers (including ESPs) and natural supports</w:t>
            </w:r>
          </w:p>
          <w:p>
            <w:pPr>
              <w:pStyle w:val="TableParagraph"/>
              <w:numPr>
                <w:ilvl w:val="0"/>
                <w:numId w:val="19"/>
              </w:numPr>
              <w:tabs>
                <w:tab w:pos="469" w:val="left" w:leader="none"/>
              </w:tabs>
              <w:spacing w:line="240" w:lineRule="auto" w:before="0" w:after="0"/>
              <w:ind w:left="469" w:right="1053" w:hanging="361"/>
              <w:jc w:val="left"/>
              <w:rPr>
                <w:sz w:val="22"/>
              </w:rPr>
            </w:pPr>
            <w:r>
              <w:rPr>
                <w:sz w:val="22"/>
              </w:rPr>
              <w:t>Providing</w:t>
            </w:r>
            <w:r>
              <w:rPr>
                <w:spacing w:val="-14"/>
                <w:sz w:val="22"/>
              </w:rPr>
              <w:t> </w:t>
            </w:r>
            <w:r>
              <w:rPr>
                <w:sz w:val="22"/>
              </w:rPr>
              <w:t>prevention</w:t>
            </w:r>
            <w:r>
              <w:rPr>
                <w:spacing w:val="-14"/>
                <w:sz w:val="22"/>
              </w:rPr>
              <w:t> </w:t>
            </w:r>
            <w:r>
              <w:rPr>
                <w:sz w:val="22"/>
              </w:rPr>
              <w:t>and </w:t>
            </w:r>
            <w:r>
              <w:rPr>
                <w:spacing w:val="-2"/>
                <w:sz w:val="22"/>
              </w:rPr>
              <w:t>intervention;</w:t>
            </w:r>
          </w:p>
          <w:p>
            <w:pPr>
              <w:pStyle w:val="TableParagraph"/>
              <w:numPr>
                <w:ilvl w:val="1"/>
                <w:numId w:val="19"/>
              </w:numPr>
              <w:tabs>
                <w:tab w:pos="1187" w:val="left" w:leader="none"/>
                <w:tab w:pos="1189" w:val="left" w:leader="none"/>
              </w:tabs>
              <w:spacing w:line="240" w:lineRule="auto" w:before="0" w:after="0"/>
              <w:ind w:left="1189" w:right="126" w:hanging="361"/>
              <w:jc w:val="left"/>
              <w:rPr>
                <w:sz w:val="22"/>
              </w:rPr>
            </w:pPr>
            <w:r>
              <w:rPr>
                <w:sz w:val="22"/>
              </w:rPr>
              <w:t>Comprehensive</w:t>
            </w:r>
            <w:r>
              <w:rPr>
                <w:spacing w:val="-3"/>
                <w:sz w:val="22"/>
              </w:rPr>
              <w:t> </w:t>
            </w:r>
            <w:r>
              <w:rPr>
                <w:sz w:val="22"/>
              </w:rPr>
              <w:t>assessment of</w:t>
            </w:r>
            <w:r>
              <w:rPr>
                <w:spacing w:val="-11"/>
                <w:sz w:val="22"/>
              </w:rPr>
              <w:t> </w:t>
            </w:r>
            <w:r>
              <w:rPr>
                <w:sz w:val="22"/>
              </w:rPr>
              <w:t>needs</w:t>
            </w:r>
            <w:r>
              <w:rPr>
                <w:spacing w:val="-14"/>
                <w:sz w:val="22"/>
              </w:rPr>
              <w:t> </w:t>
            </w:r>
            <w:r>
              <w:rPr>
                <w:sz w:val="22"/>
              </w:rPr>
              <w:t>(behavioral</w:t>
            </w:r>
            <w:r>
              <w:rPr>
                <w:spacing w:val="-11"/>
                <w:sz w:val="22"/>
              </w:rPr>
              <w:t> </w:t>
            </w:r>
            <w:r>
              <w:rPr>
                <w:sz w:val="22"/>
              </w:rPr>
              <w:t>health, medical, substance use, developmental, and social history; linguistic and cultural background;</w:t>
            </w:r>
            <w:r>
              <w:rPr>
                <w:spacing w:val="40"/>
                <w:sz w:val="22"/>
              </w:rPr>
              <w:t> </w:t>
            </w:r>
            <w:r>
              <w:rPr>
                <w:sz w:val="22"/>
              </w:rPr>
              <w:t>mental status examination; medications and allergies; barriers to housing; diagnosis and clinical formulation supported by the clinical data gathered, rationale for treatment, and recommendations; level of functioning; justice involvement; criminogenic needs; and key providers) to</w:t>
            </w:r>
            <w:r>
              <w:rPr>
                <w:spacing w:val="-2"/>
                <w:sz w:val="22"/>
              </w:rPr>
              <w:t> </w:t>
            </w:r>
            <w:r>
              <w:rPr>
                <w:sz w:val="22"/>
              </w:rPr>
              <w:t>identify</w:t>
            </w:r>
            <w:r>
              <w:rPr>
                <w:spacing w:val="-5"/>
                <w:sz w:val="22"/>
              </w:rPr>
              <w:t> </w:t>
            </w:r>
            <w:r>
              <w:rPr>
                <w:sz w:val="22"/>
              </w:rPr>
              <w:t>ways</w:t>
            </w:r>
            <w:r>
              <w:rPr>
                <w:spacing w:val="-2"/>
                <w:sz w:val="22"/>
              </w:rPr>
              <w:t> </w:t>
            </w:r>
            <w:r>
              <w:rPr>
                <w:sz w:val="22"/>
              </w:rPr>
              <w:t>to</w:t>
            </w:r>
            <w:r>
              <w:rPr>
                <w:spacing w:val="-2"/>
                <w:sz w:val="22"/>
              </w:rPr>
              <w:t> </w:t>
            </w:r>
            <w:r>
              <w:rPr>
                <w:sz w:val="22"/>
              </w:rPr>
              <w:t>mitigate barriers to accessing clinical treatment and attaining</w:t>
            </w:r>
            <w:r>
              <w:rPr>
                <w:spacing w:val="-11"/>
                <w:sz w:val="22"/>
              </w:rPr>
              <w:t> </w:t>
            </w:r>
            <w:r>
              <w:rPr>
                <w:sz w:val="22"/>
              </w:rPr>
              <w:t>the</w:t>
            </w:r>
            <w:r>
              <w:rPr>
                <w:spacing w:val="-10"/>
                <w:sz w:val="22"/>
              </w:rPr>
              <w:t> </w:t>
            </w:r>
            <w:r>
              <w:rPr>
                <w:sz w:val="22"/>
              </w:rPr>
              <w:t>skills</w:t>
            </w:r>
            <w:r>
              <w:rPr>
                <w:spacing w:val="-8"/>
                <w:sz w:val="22"/>
              </w:rPr>
              <w:t> </w:t>
            </w:r>
            <w:r>
              <w:rPr>
                <w:sz w:val="22"/>
              </w:rPr>
              <w:t>to</w:t>
            </w:r>
            <w:r>
              <w:rPr>
                <w:spacing w:val="-8"/>
                <w:sz w:val="22"/>
              </w:rPr>
              <w:t> </w:t>
            </w:r>
            <w:r>
              <w:rPr>
                <w:sz w:val="22"/>
              </w:rPr>
              <w:t>obtain and maintain community </w:t>
            </w:r>
            <w:r>
              <w:rPr>
                <w:spacing w:val="-2"/>
                <w:sz w:val="22"/>
              </w:rPr>
              <w:t>tenure</w:t>
            </w:r>
          </w:p>
          <w:p>
            <w:pPr>
              <w:pStyle w:val="TableParagraph"/>
              <w:numPr>
                <w:ilvl w:val="1"/>
                <w:numId w:val="19"/>
              </w:numPr>
              <w:tabs>
                <w:tab w:pos="1187" w:val="left" w:leader="none"/>
                <w:tab w:pos="1189" w:val="left" w:leader="none"/>
              </w:tabs>
              <w:spacing w:line="223" w:lineRule="auto" w:before="0" w:after="0"/>
              <w:ind w:left="1189" w:right="712" w:hanging="361"/>
              <w:jc w:val="left"/>
              <w:rPr>
                <w:sz w:val="22"/>
              </w:rPr>
            </w:pPr>
            <w:r>
              <w:rPr>
                <w:sz w:val="22"/>
              </w:rPr>
              <w:t>Developing</w:t>
            </w:r>
            <w:r>
              <w:rPr>
                <w:spacing w:val="-14"/>
                <w:sz w:val="22"/>
              </w:rPr>
              <w:t> </w:t>
            </w:r>
            <w:r>
              <w:rPr>
                <w:sz w:val="22"/>
              </w:rPr>
              <w:t>a</w:t>
            </w:r>
            <w:r>
              <w:rPr>
                <w:spacing w:val="-14"/>
                <w:sz w:val="22"/>
              </w:rPr>
              <w:t> </w:t>
            </w:r>
            <w:r>
              <w:rPr>
                <w:sz w:val="22"/>
              </w:rPr>
              <w:t>service plan/treatment plan</w:t>
            </w:r>
          </w:p>
          <w:p>
            <w:pPr>
              <w:pStyle w:val="TableParagraph"/>
              <w:ind w:left="1189" w:right="160"/>
              <w:rPr>
                <w:sz w:val="22"/>
              </w:rPr>
            </w:pPr>
            <w:r>
              <w:rPr>
                <w:sz w:val="22"/>
              </w:rPr>
              <w:t>(linkages to health, behavioral health, and substance</w:t>
            </w:r>
            <w:r>
              <w:rPr>
                <w:spacing w:val="-14"/>
                <w:sz w:val="22"/>
              </w:rPr>
              <w:t> </w:t>
            </w:r>
            <w:r>
              <w:rPr>
                <w:sz w:val="22"/>
              </w:rPr>
              <w:t>use</w:t>
            </w:r>
            <w:r>
              <w:rPr>
                <w:spacing w:val="-14"/>
                <w:sz w:val="22"/>
              </w:rPr>
              <w:t> </w:t>
            </w:r>
            <w:r>
              <w:rPr>
                <w:sz w:val="22"/>
              </w:rPr>
              <w:t>treatment; and addressing criminogenic needs)</w:t>
            </w:r>
          </w:p>
          <w:p>
            <w:pPr>
              <w:pStyle w:val="TableParagraph"/>
              <w:numPr>
                <w:ilvl w:val="1"/>
                <w:numId w:val="19"/>
              </w:numPr>
              <w:tabs>
                <w:tab w:pos="1187" w:val="left" w:leader="none"/>
                <w:tab w:pos="1189" w:val="left" w:leader="none"/>
              </w:tabs>
              <w:spacing w:line="237" w:lineRule="auto" w:before="0" w:after="0"/>
              <w:ind w:left="1189" w:right="437" w:hanging="361"/>
              <w:jc w:val="left"/>
              <w:rPr>
                <w:sz w:val="22"/>
              </w:rPr>
            </w:pPr>
            <w:r>
              <w:rPr>
                <w:sz w:val="22"/>
              </w:rPr>
              <w:t>Assisting Members to prepare for transition to permanent supportive housing by linking Members</w:t>
            </w:r>
            <w:r>
              <w:rPr>
                <w:spacing w:val="-12"/>
                <w:sz w:val="22"/>
              </w:rPr>
              <w:t> </w:t>
            </w:r>
            <w:r>
              <w:rPr>
                <w:sz w:val="22"/>
              </w:rPr>
              <w:t>to</w:t>
            </w:r>
            <w:r>
              <w:rPr>
                <w:spacing w:val="-12"/>
                <w:sz w:val="22"/>
              </w:rPr>
              <w:t> </w:t>
            </w:r>
            <w:r>
              <w:rPr>
                <w:sz w:val="22"/>
              </w:rPr>
              <w:t>entities</w:t>
            </w:r>
            <w:r>
              <w:rPr>
                <w:spacing w:val="-12"/>
                <w:sz w:val="22"/>
              </w:rPr>
              <w:t> </w:t>
            </w:r>
            <w:r>
              <w:rPr>
                <w:sz w:val="22"/>
              </w:rPr>
              <w:t>that provide transitional</w:t>
            </w:r>
          </w:p>
          <w:p>
            <w:pPr>
              <w:pStyle w:val="TableParagraph"/>
              <w:spacing w:line="229" w:lineRule="exact"/>
              <w:ind w:left="1188"/>
              <w:rPr>
                <w:sz w:val="22"/>
              </w:rPr>
            </w:pPr>
            <w:r>
              <w:rPr>
                <w:sz w:val="22"/>
              </w:rPr>
              <w:t>assistance</w:t>
            </w:r>
            <w:r>
              <w:rPr>
                <w:spacing w:val="-9"/>
                <w:sz w:val="22"/>
              </w:rPr>
              <w:t> </w:t>
            </w:r>
            <w:r>
              <w:rPr>
                <w:sz w:val="22"/>
              </w:rPr>
              <w:t>resources.</w:t>
            </w:r>
            <w:r>
              <w:rPr>
                <w:spacing w:val="-8"/>
                <w:sz w:val="22"/>
              </w:rPr>
              <w:t> </w:t>
            </w:r>
            <w:r>
              <w:rPr>
                <w:spacing w:val="-4"/>
                <w:sz w:val="22"/>
              </w:rPr>
              <w:t>This</w:t>
            </w:r>
          </w:p>
        </w:tc>
      </w:tr>
    </w:tbl>
    <w:p>
      <w:pPr>
        <w:spacing w:after="0" w:line="229" w:lineRule="exact"/>
        <w:rPr>
          <w:sz w:val="22"/>
        </w:rPr>
        <w:sectPr>
          <w:type w:val="continuous"/>
          <w:pgSz w:w="12240" w:h="15840"/>
          <w:pgMar w:header="0" w:footer="1201" w:top="1420" w:bottom="1564" w:left="1200" w:right="400"/>
        </w:sectPr>
      </w:pPr>
    </w:p>
    <w:tbl>
      <w:tblPr>
        <w:tblW w:w="0" w:type="auto"/>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62"/>
        <w:gridCol w:w="2512"/>
        <w:gridCol w:w="3774"/>
      </w:tblGrid>
      <w:tr>
        <w:trPr>
          <w:trHeight w:val="530" w:hRule="atLeast"/>
        </w:trPr>
        <w:tc>
          <w:tcPr>
            <w:tcW w:w="9348" w:type="dxa"/>
            <w:gridSpan w:val="3"/>
            <w:shd w:val="clear" w:color="auto" w:fill="DBE6F1"/>
          </w:tcPr>
          <w:p>
            <w:pPr>
              <w:pStyle w:val="TableParagraph"/>
              <w:spacing w:before="140"/>
              <w:ind w:left="664"/>
              <w:rPr>
                <w:b/>
                <w:sz w:val="22"/>
              </w:rPr>
            </w:pPr>
            <w:r>
              <w:rPr>
                <w:b/>
                <w:sz w:val="22"/>
              </w:rPr>
              <w:t>Table</w:t>
            </w:r>
            <w:r>
              <w:rPr>
                <w:b/>
                <w:spacing w:val="-6"/>
                <w:sz w:val="22"/>
              </w:rPr>
              <w:t> </w:t>
            </w:r>
            <w:r>
              <w:rPr>
                <w:b/>
                <w:sz w:val="22"/>
              </w:rPr>
              <w:t>5:</w:t>
            </w:r>
            <w:r>
              <w:rPr>
                <w:b/>
                <w:spacing w:val="-3"/>
                <w:sz w:val="22"/>
              </w:rPr>
              <w:t> </w:t>
            </w:r>
            <w:r>
              <w:rPr>
                <w:b/>
                <w:sz w:val="22"/>
              </w:rPr>
              <w:t>Diversionary</w:t>
            </w:r>
            <w:r>
              <w:rPr>
                <w:b/>
                <w:spacing w:val="-6"/>
                <w:sz w:val="22"/>
              </w:rPr>
              <w:t> </w:t>
            </w:r>
            <w:r>
              <w:rPr>
                <w:b/>
                <w:sz w:val="22"/>
              </w:rPr>
              <w:t>Behavioral</w:t>
            </w:r>
            <w:r>
              <w:rPr>
                <w:b/>
                <w:spacing w:val="-6"/>
                <w:sz w:val="22"/>
              </w:rPr>
              <w:t> </w:t>
            </w:r>
            <w:r>
              <w:rPr>
                <w:b/>
                <w:sz w:val="22"/>
              </w:rPr>
              <w:t>Health</w:t>
            </w:r>
            <w:r>
              <w:rPr>
                <w:b/>
                <w:spacing w:val="-4"/>
                <w:sz w:val="22"/>
              </w:rPr>
              <w:t> </w:t>
            </w:r>
            <w:r>
              <w:rPr>
                <w:b/>
                <w:sz w:val="22"/>
              </w:rPr>
              <w:t>Services</w:t>
            </w:r>
            <w:r>
              <w:rPr>
                <w:b/>
                <w:spacing w:val="-6"/>
                <w:sz w:val="22"/>
              </w:rPr>
              <w:t> </w:t>
            </w:r>
            <w:r>
              <w:rPr>
                <w:b/>
                <w:sz w:val="22"/>
              </w:rPr>
              <w:t>Provided</w:t>
            </w:r>
            <w:r>
              <w:rPr>
                <w:b/>
                <w:spacing w:val="-4"/>
                <w:sz w:val="22"/>
              </w:rPr>
              <w:t> </w:t>
            </w:r>
            <w:r>
              <w:rPr>
                <w:b/>
                <w:sz w:val="22"/>
              </w:rPr>
              <w:t>Under</w:t>
            </w:r>
            <w:r>
              <w:rPr>
                <w:b/>
                <w:spacing w:val="-6"/>
                <w:sz w:val="22"/>
              </w:rPr>
              <w:t> </w:t>
            </w:r>
            <w:r>
              <w:rPr>
                <w:b/>
                <w:sz w:val="22"/>
              </w:rPr>
              <w:t>the</w:t>
            </w:r>
            <w:r>
              <w:rPr>
                <w:b/>
                <w:spacing w:val="-3"/>
                <w:sz w:val="22"/>
              </w:rPr>
              <w:t> </w:t>
            </w:r>
            <w:r>
              <w:rPr>
                <w:b/>
                <w:spacing w:val="-2"/>
                <w:sz w:val="22"/>
              </w:rPr>
              <w:t>Demonstration</w:t>
            </w:r>
          </w:p>
        </w:tc>
      </w:tr>
      <w:tr>
        <w:trPr>
          <w:trHeight w:val="621" w:hRule="atLeast"/>
        </w:trPr>
        <w:tc>
          <w:tcPr>
            <w:tcW w:w="3062" w:type="dxa"/>
            <w:shd w:val="clear" w:color="auto" w:fill="DBE6F1"/>
          </w:tcPr>
          <w:p>
            <w:pPr>
              <w:pStyle w:val="TableParagraph"/>
              <w:spacing w:before="56"/>
              <w:ind w:left="1211" w:hanging="836"/>
              <w:rPr>
                <w:b/>
                <w:sz w:val="22"/>
              </w:rPr>
            </w:pPr>
            <w:r>
              <w:rPr>
                <w:b/>
                <w:sz w:val="22"/>
              </w:rPr>
              <w:t>Diversionary</w:t>
            </w:r>
            <w:r>
              <w:rPr>
                <w:b/>
                <w:spacing w:val="-14"/>
                <w:sz w:val="22"/>
              </w:rPr>
              <w:t> </w:t>
            </w:r>
            <w:r>
              <w:rPr>
                <w:b/>
                <w:sz w:val="22"/>
              </w:rPr>
              <w:t>Behavioral </w:t>
            </w:r>
            <w:r>
              <w:rPr>
                <w:b/>
                <w:spacing w:val="-2"/>
                <w:sz w:val="22"/>
              </w:rPr>
              <w:t>Health</w:t>
            </w:r>
          </w:p>
        </w:tc>
        <w:tc>
          <w:tcPr>
            <w:tcW w:w="2512" w:type="dxa"/>
            <w:shd w:val="clear" w:color="auto" w:fill="DBE6F1"/>
          </w:tcPr>
          <w:p>
            <w:pPr>
              <w:pStyle w:val="TableParagraph"/>
              <w:spacing w:before="183"/>
              <w:ind w:left="907" w:right="899"/>
              <w:jc w:val="center"/>
              <w:rPr>
                <w:b/>
                <w:sz w:val="22"/>
              </w:rPr>
            </w:pPr>
            <w:r>
              <w:rPr>
                <w:b/>
                <w:spacing w:val="-2"/>
                <w:sz w:val="22"/>
              </w:rPr>
              <w:t>Setting</w:t>
            </w:r>
          </w:p>
        </w:tc>
        <w:tc>
          <w:tcPr>
            <w:tcW w:w="3774" w:type="dxa"/>
            <w:shd w:val="clear" w:color="auto" w:fill="DBE6F1"/>
          </w:tcPr>
          <w:p>
            <w:pPr>
              <w:pStyle w:val="TableParagraph"/>
              <w:spacing w:before="183"/>
              <w:ind w:left="812"/>
              <w:rPr>
                <w:b/>
                <w:sz w:val="22"/>
              </w:rPr>
            </w:pPr>
            <w:r>
              <w:rPr>
                <w:b/>
                <w:sz w:val="22"/>
              </w:rPr>
              <w:t>Description</w:t>
            </w:r>
            <w:r>
              <w:rPr>
                <w:b/>
                <w:spacing w:val="-5"/>
                <w:sz w:val="22"/>
              </w:rPr>
              <w:t> </w:t>
            </w:r>
            <w:r>
              <w:rPr>
                <w:b/>
                <w:sz w:val="22"/>
              </w:rPr>
              <w:t>of</w:t>
            </w:r>
            <w:r>
              <w:rPr>
                <w:b/>
                <w:spacing w:val="-3"/>
                <w:sz w:val="22"/>
              </w:rPr>
              <w:t> </w:t>
            </w:r>
            <w:r>
              <w:rPr>
                <w:b/>
                <w:spacing w:val="-2"/>
                <w:sz w:val="22"/>
              </w:rPr>
              <w:t>Services</w:t>
            </w:r>
          </w:p>
        </w:tc>
      </w:tr>
      <w:tr>
        <w:trPr>
          <w:trHeight w:val="10134" w:hRule="atLeast"/>
        </w:trPr>
        <w:tc>
          <w:tcPr>
            <w:tcW w:w="3062" w:type="dxa"/>
          </w:tcPr>
          <w:p>
            <w:pPr>
              <w:pStyle w:val="TableParagraph"/>
              <w:rPr>
                <w:sz w:val="20"/>
              </w:rPr>
            </w:pPr>
          </w:p>
        </w:tc>
        <w:tc>
          <w:tcPr>
            <w:tcW w:w="2512" w:type="dxa"/>
          </w:tcPr>
          <w:p>
            <w:pPr>
              <w:pStyle w:val="TableParagraph"/>
              <w:rPr>
                <w:sz w:val="20"/>
              </w:rPr>
            </w:pPr>
          </w:p>
        </w:tc>
        <w:tc>
          <w:tcPr>
            <w:tcW w:w="3774" w:type="dxa"/>
          </w:tcPr>
          <w:p>
            <w:pPr>
              <w:pStyle w:val="TableParagraph"/>
              <w:ind w:left="1188" w:right="433"/>
              <w:rPr>
                <w:sz w:val="22"/>
              </w:rPr>
            </w:pPr>
            <w:r>
              <w:rPr>
                <w:sz w:val="22"/>
              </w:rPr>
              <w:t>may include referrals to houses</w:t>
            </w:r>
            <w:r>
              <w:rPr>
                <w:spacing w:val="-13"/>
                <w:sz w:val="22"/>
              </w:rPr>
              <w:t> </w:t>
            </w:r>
            <w:r>
              <w:rPr>
                <w:sz w:val="22"/>
              </w:rPr>
              <w:t>of</w:t>
            </w:r>
            <w:r>
              <w:rPr>
                <w:spacing w:val="-11"/>
                <w:sz w:val="22"/>
              </w:rPr>
              <w:t> </w:t>
            </w:r>
            <w:r>
              <w:rPr>
                <w:sz w:val="22"/>
              </w:rPr>
              <w:t>worship,</w:t>
            </w:r>
            <w:r>
              <w:rPr>
                <w:spacing w:val="-14"/>
                <w:sz w:val="22"/>
              </w:rPr>
              <w:t> </w:t>
            </w:r>
            <w:r>
              <w:rPr>
                <w:sz w:val="22"/>
              </w:rPr>
              <w:t>local housing authorities and non-profit agencies.</w:t>
            </w:r>
          </w:p>
          <w:p>
            <w:pPr>
              <w:pStyle w:val="TableParagraph"/>
              <w:ind w:left="1188"/>
              <w:rPr>
                <w:sz w:val="22"/>
              </w:rPr>
            </w:pPr>
            <w:r>
              <w:rPr>
                <w:sz w:val="22"/>
              </w:rPr>
              <w:t>Transitional assistance includes non-recurring household</w:t>
            </w:r>
            <w:r>
              <w:rPr>
                <w:spacing w:val="-14"/>
                <w:sz w:val="22"/>
              </w:rPr>
              <w:t> </w:t>
            </w:r>
            <w:r>
              <w:rPr>
                <w:sz w:val="22"/>
              </w:rPr>
              <w:t>set-up</w:t>
            </w:r>
            <w:r>
              <w:rPr>
                <w:spacing w:val="-14"/>
                <w:sz w:val="22"/>
              </w:rPr>
              <w:t> </w:t>
            </w:r>
            <w:r>
              <w:rPr>
                <w:sz w:val="22"/>
              </w:rPr>
              <w:t>expenses</w:t>
            </w:r>
          </w:p>
          <w:p>
            <w:pPr>
              <w:pStyle w:val="TableParagraph"/>
              <w:numPr>
                <w:ilvl w:val="0"/>
                <w:numId w:val="20"/>
              </w:numPr>
              <w:tabs>
                <w:tab w:pos="1187" w:val="left" w:leader="none"/>
                <w:tab w:pos="1189" w:val="left" w:leader="none"/>
              </w:tabs>
              <w:spacing w:line="223" w:lineRule="auto" w:before="12" w:after="0"/>
              <w:ind w:left="1189" w:right="468" w:hanging="361"/>
              <w:jc w:val="left"/>
              <w:rPr>
                <w:sz w:val="22"/>
              </w:rPr>
            </w:pPr>
            <w:r>
              <w:rPr>
                <w:sz w:val="22"/>
              </w:rPr>
              <w:t>Discharge</w:t>
            </w:r>
            <w:r>
              <w:rPr>
                <w:spacing w:val="-14"/>
                <w:sz w:val="22"/>
              </w:rPr>
              <w:t> </w:t>
            </w:r>
            <w:r>
              <w:rPr>
                <w:sz w:val="22"/>
              </w:rPr>
              <w:t>planning</w:t>
            </w:r>
            <w:r>
              <w:rPr>
                <w:spacing w:val="-14"/>
                <w:sz w:val="22"/>
              </w:rPr>
              <w:t> </w:t>
            </w:r>
            <w:r>
              <w:rPr>
                <w:sz w:val="22"/>
              </w:rPr>
              <w:t>that involves collaterals</w:t>
            </w:r>
          </w:p>
          <w:p>
            <w:pPr>
              <w:pStyle w:val="TableParagraph"/>
              <w:numPr>
                <w:ilvl w:val="0"/>
                <w:numId w:val="20"/>
              </w:numPr>
              <w:tabs>
                <w:tab w:pos="1187" w:val="left" w:leader="none"/>
                <w:tab w:pos="1189" w:val="left" w:leader="none"/>
              </w:tabs>
              <w:spacing w:line="235" w:lineRule="auto" w:before="5" w:after="0"/>
              <w:ind w:left="1189" w:right="389" w:hanging="361"/>
              <w:jc w:val="left"/>
              <w:rPr>
                <w:sz w:val="22"/>
              </w:rPr>
            </w:pPr>
            <w:r>
              <w:rPr>
                <w:sz w:val="22"/>
              </w:rPr>
              <w:t>Early intervention for potential</w:t>
            </w:r>
            <w:r>
              <w:rPr>
                <w:spacing w:val="-14"/>
                <w:sz w:val="22"/>
              </w:rPr>
              <w:t> </w:t>
            </w:r>
            <w:r>
              <w:rPr>
                <w:sz w:val="22"/>
              </w:rPr>
              <w:t>issues/behavior intervention affecting tenancy or community </w:t>
            </w:r>
            <w:r>
              <w:rPr>
                <w:spacing w:val="-2"/>
                <w:sz w:val="22"/>
              </w:rPr>
              <w:t>tenure</w:t>
            </w:r>
          </w:p>
          <w:p>
            <w:pPr>
              <w:pStyle w:val="TableParagraph"/>
              <w:numPr>
                <w:ilvl w:val="0"/>
                <w:numId w:val="21"/>
              </w:numPr>
              <w:tabs>
                <w:tab w:pos="469" w:val="left" w:leader="none"/>
              </w:tabs>
              <w:spacing w:line="240" w:lineRule="auto" w:before="4" w:after="0"/>
              <w:ind w:left="469" w:right="130" w:hanging="361"/>
              <w:jc w:val="left"/>
              <w:rPr>
                <w:sz w:val="22"/>
              </w:rPr>
            </w:pPr>
            <w:r>
              <w:rPr>
                <w:sz w:val="22"/>
              </w:rPr>
              <w:t>Fostering empowerment and recovery,</w:t>
            </w:r>
            <w:r>
              <w:rPr>
                <w:spacing w:val="-8"/>
                <w:sz w:val="22"/>
              </w:rPr>
              <w:t> </w:t>
            </w:r>
            <w:r>
              <w:rPr>
                <w:sz w:val="22"/>
              </w:rPr>
              <w:t>including</w:t>
            </w:r>
            <w:r>
              <w:rPr>
                <w:spacing w:val="-11"/>
                <w:sz w:val="22"/>
              </w:rPr>
              <w:t> </w:t>
            </w:r>
            <w:r>
              <w:rPr>
                <w:sz w:val="22"/>
              </w:rPr>
              <w:t>linkages</w:t>
            </w:r>
            <w:r>
              <w:rPr>
                <w:spacing w:val="-8"/>
                <w:sz w:val="22"/>
              </w:rPr>
              <w:t> </w:t>
            </w:r>
            <w:r>
              <w:rPr>
                <w:sz w:val="22"/>
              </w:rPr>
              <w:t>to</w:t>
            </w:r>
            <w:r>
              <w:rPr>
                <w:spacing w:val="-8"/>
                <w:sz w:val="22"/>
              </w:rPr>
              <w:t> </w:t>
            </w:r>
            <w:r>
              <w:rPr>
                <w:sz w:val="22"/>
              </w:rPr>
              <w:t>peer support and self-help groups</w:t>
            </w:r>
          </w:p>
          <w:p>
            <w:pPr>
              <w:pStyle w:val="TableParagraph"/>
              <w:numPr>
                <w:ilvl w:val="1"/>
                <w:numId w:val="21"/>
              </w:numPr>
              <w:tabs>
                <w:tab w:pos="1187" w:val="left" w:leader="none"/>
                <w:tab w:pos="1189" w:val="left" w:leader="none"/>
              </w:tabs>
              <w:spacing w:line="237" w:lineRule="auto" w:before="0" w:after="0"/>
              <w:ind w:left="1189" w:right="389" w:hanging="361"/>
              <w:jc w:val="left"/>
              <w:rPr>
                <w:sz w:val="22"/>
              </w:rPr>
            </w:pPr>
            <w:r>
              <w:rPr>
                <w:sz w:val="22"/>
              </w:rPr>
              <w:t>Recovery, wellness and empowerment</w:t>
            </w:r>
            <w:r>
              <w:rPr>
                <w:spacing w:val="-14"/>
                <w:sz w:val="22"/>
              </w:rPr>
              <w:t> </w:t>
            </w:r>
            <w:r>
              <w:rPr>
                <w:sz w:val="22"/>
              </w:rPr>
              <w:t>principles and practices are incorporated in service delivery, trainings, and quality improvement </w:t>
            </w:r>
            <w:r>
              <w:rPr>
                <w:spacing w:val="-2"/>
                <w:sz w:val="22"/>
              </w:rPr>
              <w:t>activities</w:t>
            </w:r>
          </w:p>
          <w:p>
            <w:pPr>
              <w:pStyle w:val="TableParagraph"/>
              <w:numPr>
                <w:ilvl w:val="1"/>
                <w:numId w:val="21"/>
              </w:numPr>
              <w:tabs>
                <w:tab w:pos="1187" w:val="left" w:leader="none"/>
                <w:tab w:pos="1189" w:val="left" w:leader="none"/>
              </w:tabs>
              <w:spacing w:line="237" w:lineRule="auto" w:before="0" w:after="0"/>
              <w:ind w:left="1189" w:right="115" w:hanging="361"/>
              <w:jc w:val="left"/>
              <w:rPr>
                <w:sz w:val="22"/>
              </w:rPr>
            </w:pPr>
            <w:r>
              <w:rPr>
                <w:sz w:val="22"/>
              </w:rPr>
              <w:t>Facilitates</w:t>
            </w:r>
            <w:r>
              <w:rPr>
                <w:spacing w:val="-10"/>
                <w:sz w:val="22"/>
              </w:rPr>
              <w:t> </w:t>
            </w:r>
            <w:r>
              <w:rPr>
                <w:sz w:val="22"/>
              </w:rPr>
              <w:t>the</w:t>
            </w:r>
            <w:r>
              <w:rPr>
                <w:spacing w:val="-10"/>
                <w:sz w:val="22"/>
              </w:rPr>
              <w:t> </w:t>
            </w:r>
            <w:r>
              <w:rPr>
                <w:sz w:val="22"/>
              </w:rPr>
              <w:t>use</w:t>
            </w:r>
            <w:r>
              <w:rPr>
                <w:spacing w:val="-8"/>
                <w:sz w:val="22"/>
              </w:rPr>
              <w:t> </w:t>
            </w:r>
            <w:r>
              <w:rPr>
                <w:sz w:val="22"/>
              </w:rPr>
              <w:t>of</w:t>
            </w:r>
            <w:r>
              <w:rPr>
                <w:spacing w:val="-8"/>
                <w:sz w:val="22"/>
              </w:rPr>
              <w:t> </w:t>
            </w:r>
            <w:r>
              <w:rPr>
                <w:sz w:val="22"/>
              </w:rPr>
              <w:t>formal and informal resources including community and natural support systems, wellness programs, vocational assistance programs, and peer and</w:t>
            </w:r>
          </w:p>
          <w:p>
            <w:pPr>
              <w:pStyle w:val="TableParagraph"/>
              <w:ind w:left="1189"/>
              <w:rPr>
                <w:sz w:val="22"/>
              </w:rPr>
            </w:pPr>
            <w:r>
              <w:rPr>
                <w:sz w:val="22"/>
              </w:rPr>
              <w:t>self-help</w:t>
            </w:r>
            <w:r>
              <w:rPr>
                <w:spacing w:val="-14"/>
                <w:sz w:val="22"/>
              </w:rPr>
              <w:t> </w:t>
            </w:r>
            <w:r>
              <w:rPr>
                <w:sz w:val="22"/>
              </w:rPr>
              <w:t>supports</w:t>
            </w:r>
            <w:r>
              <w:rPr>
                <w:spacing w:val="-14"/>
                <w:sz w:val="22"/>
              </w:rPr>
              <w:t> </w:t>
            </w:r>
            <w:r>
              <w:rPr>
                <w:sz w:val="22"/>
              </w:rPr>
              <w:t>and </w:t>
            </w:r>
            <w:r>
              <w:rPr>
                <w:spacing w:val="-2"/>
                <w:sz w:val="22"/>
              </w:rPr>
              <w:t>services</w:t>
            </w:r>
          </w:p>
          <w:p>
            <w:pPr>
              <w:pStyle w:val="TableParagraph"/>
              <w:numPr>
                <w:ilvl w:val="1"/>
                <w:numId w:val="21"/>
              </w:numPr>
              <w:tabs>
                <w:tab w:pos="1187" w:val="left" w:leader="none"/>
                <w:tab w:pos="1189" w:val="left" w:leader="none"/>
              </w:tabs>
              <w:spacing w:line="237" w:lineRule="auto" w:before="0" w:after="0"/>
              <w:ind w:left="1189" w:right="115" w:hanging="361"/>
              <w:jc w:val="left"/>
              <w:rPr>
                <w:sz w:val="22"/>
              </w:rPr>
            </w:pPr>
            <w:r>
              <w:rPr>
                <w:sz w:val="22"/>
              </w:rPr>
              <w:t>Provider</w:t>
            </w:r>
            <w:r>
              <w:rPr>
                <w:spacing w:val="-14"/>
                <w:sz w:val="22"/>
              </w:rPr>
              <w:t> </w:t>
            </w:r>
            <w:r>
              <w:rPr>
                <w:sz w:val="22"/>
              </w:rPr>
              <w:t>educates</w:t>
            </w:r>
            <w:r>
              <w:rPr>
                <w:spacing w:val="-14"/>
                <w:sz w:val="22"/>
              </w:rPr>
              <w:t> </w:t>
            </w:r>
            <w:r>
              <w:rPr>
                <w:sz w:val="22"/>
              </w:rPr>
              <w:t>Members and their natural supports about substance use and psychiatric disorders, recovery and medications, and links with regular</w:t>
            </w:r>
          </w:p>
          <w:p>
            <w:pPr>
              <w:pStyle w:val="TableParagraph"/>
              <w:spacing w:line="229" w:lineRule="exact"/>
              <w:ind w:left="1188"/>
              <w:rPr>
                <w:sz w:val="22"/>
              </w:rPr>
            </w:pPr>
            <w:r>
              <w:rPr>
                <w:sz w:val="22"/>
              </w:rPr>
              <w:t>health</w:t>
            </w:r>
            <w:r>
              <w:rPr>
                <w:spacing w:val="-1"/>
                <w:sz w:val="22"/>
              </w:rPr>
              <w:t> </w:t>
            </w:r>
            <w:r>
              <w:rPr>
                <w:spacing w:val="-2"/>
                <w:sz w:val="22"/>
              </w:rPr>
              <w:t>services</w:t>
            </w:r>
          </w:p>
        </w:tc>
      </w:tr>
      <w:tr>
        <w:trPr>
          <w:trHeight w:val="1264" w:hRule="atLeast"/>
        </w:trPr>
        <w:tc>
          <w:tcPr>
            <w:tcW w:w="3062" w:type="dxa"/>
          </w:tcPr>
          <w:p>
            <w:pPr>
              <w:pStyle w:val="TableParagraph"/>
              <w:spacing w:line="251" w:lineRule="exact"/>
              <w:ind w:left="107"/>
              <w:rPr>
                <w:sz w:val="22"/>
              </w:rPr>
            </w:pPr>
            <w:r>
              <w:rPr>
                <w:sz w:val="22"/>
              </w:rPr>
              <w:t>Partial</w:t>
            </w:r>
            <w:r>
              <w:rPr>
                <w:spacing w:val="-3"/>
                <w:sz w:val="22"/>
              </w:rPr>
              <w:t> </w:t>
            </w:r>
            <w:r>
              <w:rPr>
                <w:spacing w:val="-2"/>
                <w:sz w:val="22"/>
              </w:rPr>
              <w:t>Hospitalization*</w:t>
            </w:r>
          </w:p>
        </w:tc>
        <w:tc>
          <w:tcPr>
            <w:tcW w:w="2512" w:type="dxa"/>
          </w:tcPr>
          <w:p>
            <w:pPr>
              <w:pStyle w:val="TableParagraph"/>
              <w:spacing w:line="251" w:lineRule="exact"/>
              <w:ind w:left="105"/>
              <w:rPr>
                <w:sz w:val="22"/>
              </w:rPr>
            </w:pPr>
            <w:r>
              <w:rPr>
                <w:sz w:val="22"/>
              </w:rPr>
              <w:t>Non-24-hour</w:t>
            </w:r>
            <w:r>
              <w:rPr>
                <w:spacing w:val="-7"/>
                <w:sz w:val="22"/>
              </w:rPr>
              <w:t> </w:t>
            </w:r>
            <w:r>
              <w:rPr>
                <w:spacing w:val="-2"/>
                <w:sz w:val="22"/>
              </w:rPr>
              <w:t>facility</w:t>
            </w:r>
          </w:p>
        </w:tc>
        <w:tc>
          <w:tcPr>
            <w:tcW w:w="3774" w:type="dxa"/>
          </w:tcPr>
          <w:p>
            <w:pPr>
              <w:pStyle w:val="TableParagraph"/>
              <w:ind w:left="108" w:right="255"/>
              <w:rPr>
                <w:sz w:val="22"/>
              </w:rPr>
            </w:pPr>
            <w:r>
              <w:rPr>
                <w:sz w:val="22"/>
              </w:rPr>
              <w:t>An alternative to Inpatient Mental Health Services, PHP services offer short-term day mental health programming</w:t>
            </w:r>
            <w:r>
              <w:rPr>
                <w:spacing w:val="-11"/>
                <w:sz w:val="22"/>
              </w:rPr>
              <w:t> </w:t>
            </w:r>
            <w:r>
              <w:rPr>
                <w:sz w:val="22"/>
              </w:rPr>
              <w:t>available</w:t>
            </w:r>
            <w:r>
              <w:rPr>
                <w:spacing w:val="-10"/>
                <w:sz w:val="22"/>
              </w:rPr>
              <w:t> </w:t>
            </w:r>
            <w:r>
              <w:rPr>
                <w:sz w:val="22"/>
              </w:rPr>
              <w:t>seven</w:t>
            </w:r>
            <w:r>
              <w:rPr>
                <w:spacing w:val="-8"/>
                <w:sz w:val="22"/>
              </w:rPr>
              <w:t> </w:t>
            </w:r>
            <w:r>
              <w:rPr>
                <w:sz w:val="22"/>
              </w:rPr>
              <w:t>days</w:t>
            </w:r>
            <w:r>
              <w:rPr>
                <w:spacing w:val="-8"/>
                <w:sz w:val="22"/>
              </w:rPr>
              <w:t> </w:t>
            </w:r>
            <w:r>
              <w:rPr>
                <w:sz w:val="22"/>
              </w:rPr>
              <w:t>per</w:t>
            </w:r>
          </w:p>
          <w:p>
            <w:pPr>
              <w:pStyle w:val="TableParagraph"/>
              <w:spacing w:line="234" w:lineRule="exact"/>
              <w:ind w:left="108"/>
              <w:rPr>
                <w:sz w:val="22"/>
              </w:rPr>
            </w:pPr>
            <w:r>
              <w:rPr>
                <w:sz w:val="22"/>
              </w:rPr>
              <w:t>week.</w:t>
            </w:r>
            <w:r>
              <w:rPr>
                <w:spacing w:val="-5"/>
                <w:sz w:val="22"/>
              </w:rPr>
              <w:t> </w:t>
            </w:r>
            <w:r>
              <w:rPr>
                <w:sz w:val="22"/>
              </w:rPr>
              <w:t>These</w:t>
            </w:r>
            <w:r>
              <w:rPr>
                <w:spacing w:val="-4"/>
                <w:sz w:val="22"/>
              </w:rPr>
              <w:t> </w:t>
            </w:r>
            <w:r>
              <w:rPr>
                <w:sz w:val="22"/>
              </w:rPr>
              <w:t>services</w:t>
            </w:r>
            <w:r>
              <w:rPr>
                <w:spacing w:val="-4"/>
                <w:sz w:val="22"/>
              </w:rPr>
              <w:t> </w:t>
            </w:r>
            <w:r>
              <w:rPr>
                <w:sz w:val="22"/>
              </w:rPr>
              <w:t>consist</w:t>
            </w:r>
            <w:r>
              <w:rPr>
                <w:spacing w:val="-3"/>
                <w:sz w:val="22"/>
              </w:rPr>
              <w:t> </w:t>
            </w:r>
            <w:r>
              <w:rPr>
                <w:spacing w:val="-5"/>
                <w:sz w:val="22"/>
              </w:rPr>
              <w:t>of</w:t>
            </w:r>
          </w:p>
        </w:tc>
      </w:tr>
    </w:tbl>
    <w:p>
      <w:pPr>
        <w:spacing w:after="0" w:line="234" w:lineRule="exact"/>
        <w:rPr>
          <w:sz w:val="22"/>
        </w:rPr>
        <w:sectPr>
          <w:type w:val="continuous"/>
          <w:pgSz w:w="12240" w:h="15840"/>
          <w:pgMar w:header="0" w:footer="1201" w:top="1420" w:bottom="1400" w:left="1200" w:right="400"/>
        </w:sectPr>
      </w:pPr>
    </w:p>
    <w:tbl>
      <w:tblPr>
        <w:tblW w:w="0" w:type="auto"/>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62"/>
        <w:gridCol w:w="2512"/>
        <w:gridCol w:w="3774"/>
      </w:tblGrid>
      <w:tr>
        <w:trPr>
          <w:trHeight w:val="530" w:hRule="atLeast"/>
        </w:trPr>
        <w:tc>
          <w:tcPr>
            <w:tcW w:w="9348" w:type="dxa"/>
            <w:gridSpan w:val="3"/>
            <w:shd w:val="clear" w:color="auto" w:fill="DBE6F1"/>
          </w:tcPr>
          <w:p>
            <w:pPr>
              <w:pStyle w:val="TableParagraph"/>
              <w:spacing w:before="140"/>
              <w:ind w:left="664"/>
              <w:rPr>
                <w:b/>
                <w:sz w:val="22"/>
              </w:rPr>
            </w:pPr>
            <w:r>
              <w:rPr>
                <w:b/>
                <w:sz w:val="22"/>
              </w:rPr>
              <w:t>Table</w:t>
            </w:r>
            <w:r>
              <w:rPr>
                <w:b/>
                <w:spacing w:val="-6"/>
                <w:sz w:val="22"/>
              </w:rPr>
              <w:t> </w:t>
            </w:r>
            <w:r>
              <w:rPr>
                <w:b/>
                <w:sz w:val="22"/>
              </w:rPr>
              <w:t>5:</w:t>
            </w:r>
            <w:r>
              <w:rPr>
                <w:b/>
                <w:spacing w:val="-3"/>
                <w:sz w:val="22"/>
              </w:rPr>
              <w:t> </w:t>
            </w:r>
            <w:r>
              <w:rPr>
                <w:b/>
                <w:sz w:val="22"/>
              </w:rPr>
              <w:t>Diversionary</w:t>
            </w:r>
            <w:r>
              <w:rPr>
                <w:b/>
                <w:spacing w:val="-6"/>
                <w:sz w:val="22"/>
              </w:rPr>
              <w:t> </w:t>
            </w:r>
            <w:r>
              <w:rPr>
                <w:b/>
                <w:sz w:val="22"/>
              </w:rPr>
              <w:t>Behavioral</w:t>
            </w:r>
            <w:r>
              <w:rPr>
                <w:b/>
                <w:spacing w:val="-6"/>
                <w:sz w:val="22"/>
              </w:rPr>
              <w:t> </w:t>
            </w:r>
            <w:r>
              <w:rPr>
                <w:b/>
                <w:sz w:val="22"/>
              </w:rPr>
              <w:t>Health</w:t>
            </w:r>
            <w:r>
              <w:rPr>
                <w:b/>
                <w:spacing w:val="-4"/>
                <w:sz w:val="22"/>
              </w:rPr>
              <w:t> </w:t>
            </w:r>
            <w:r>
              <w:rPr>
                <w:b/>
                <w:sz w:val="22"/>
              </w:rPr>
              <w:t>Services</w:t>
            </w:r>
            <w:r>
              <w:rPr>
                <w:b/>
                <w:spacing w:val="-6"/>
                <w:sz w:val="22"/>
              </w:rPr>
              <w:t> </w:t>
            </w:r>
            <w:r>
              <w:rPr>
                <w:b/>
                <w:sz w:val="22"/>
              </w:rPr>
              <w:t>Provided</w:t>
            </w:r>
            <w:r>
              <w:rPr>
                <w:b/>
                <w:spacing w:val="-4"/>
                <w:sz w:val="22"/>
              </w:rPr>
              <w:t> </w:t>
            </w:r>
            <w:r>
              <w:rPr>
                <w:b/>
                <w:sz w:val="22"/>
              </w:rPr>
              <w:t>Under</w:t>
            </w:r>
            <w:r>
              <w:rPr>
                <w:b/>
                <w:spacing w:val="-6"/>
                <w:sz w:val="22"/>
              </w:rPr>
              <w:t> </w:t>
            </w:r>
            <w:r>
              <w:rPr>
                <w:b/>
                <w:sz w:val="22"/>
              </w:rPr>
              <w:t>the</w:t>
            </w:r>
            <w:r>
              <w:rPr>
                <w:b/>
                <w:spacing w:val="-3"/>
                <w:sz w:val="22"/>
              </w:rPr>
              <w:t> </w:t>
            </w:r>
            <w:r>
              <w:rPr>
                <w:b/>
                <w:spacing w:val="-2"/>
                <w:sz w:val="22"/>
              </w:rPr>
              <w:t>Demonstration</w:t>
            </w:r>
          </w:p>
        </w:tc>
      </w:tr>
      <w:tr>
        <w:trPr>
          <w:trHeight w:val="621" w:hRule="atLeast"/>
        </w:trPr>
        <w:tc>
          <w:tcPr>
            <w:tcW w:w="3062" w:type="dxa"/>
            <w:shd w:val="clear" w:color="auto" w:fill="DBE6F1"/>
          </w:tcPr>
          <w:p>
            <w:pPr>
              <w:pStyle w:val="TableParagraph"/>
              <w:spacing w:before="56"/>
              <w:ind w:left="1211" w:hanging="836"/>
              <w:rPr>
                <w:b/>
                <w:sz w:val="22"/>
              </w:rPr>
            </w:pPr>
            <w:r>
              <w:rPr>
                <w:b/>
                <w:sz w:val="22"/>
              </w:rPr>
              <w:t>Diversionary</w:t>
            </w:r>
            <w:r>
              <w:rPr>
                <w:b/>
                <w:spacing w:val="-14"/>
                <w:sz w:val="22"/>
              </w:rPr>
              <w:t> </w:t>
            </w:r>
            <w:r>
              <w:rPr>
                <w:b/>
                <w:sz w:val="22"/>
              </w:rPr>
              <w:t>Behavioral </w:t>
            </w:r>
            <w:r>
              <w:rPr>
                <w:b/>
                <w:spacing w:val="-2"/>
                <w:sz w:val="22"/>
              </w:rPr>
              <w:t>Health</w:t>
            </w:r>
          </w:p>
        </w:tc>
        <w:tc>
          <w:tcPr>
            <w:tcW w:w="2512" w:type="dxa"/>
            <w:shd w:val="clear" w:color="auto" w:fill="DBE6F1"/>
          </w:tcPr>
          <w:p>
            <w:pPr>
              <w:pStyle w:val="TableParagraph"/>
              <w:spacing w:before="183"/>
              <w:ind w:left="907" w:right="899"/>
              <w:jc w:val="center"/>
              <w:rPr>
                <w:b/>
                <w:sz w:val="22"/>
              </w:rPr>
            </w:pPr>
            <w:r>
              <w:rPr>
                <w:b/>
                <w:spacing w:val="-2"/>
                <w:sz w:val="22"/>
              </w:rPr>
              <w:t>Setting</w:t>
            </w:r>
          </w:p>
        </w:tc>
        <w:tc>
          <w:tcPr>
            <w:tcW w:w="3774" w:type="dxa"/>
            <w:shd w:val="clear" w:color="auto" w:fill="DBE6F1"/>
          </w:tcPr>
          <w:p>
            <w:pPr>
              <w:pStyle w:val="TableParagraph"/>
              <w:spacing w:before="183"/>
              <w:ind w:left="812"/>
              <w:rPr>
                <w:b/>
                <w:sz w:val="22"/>
              </w:rPr>
            </w:pPr>
            <w:r>
              <w:rPr>
                <w:b/>
                <w:sz w:val="22"/>
              </w:rPr>
              <w:t>Description</w:t>
            </w:r>
            <w:r>
              <w:rPr>
                <w:b/>
                <w:spacing w:val="-5"/>
                <w:sz w:val="22"/>
              </w:rPr>
              <w:t> </w:t>
            </w:r>
            <w:r>
              <w:rPr>
                <w:b/>
                <w:sz w:val="22"/>
              </w:rPr>
              <w:t>of</w:t>
            </w:r>
            <w:r>
              <w:rPr>
                <w:b/>
                <w:spacing w:val="-3"/>
                <w:sz w:val="22"/>
              </w:rPr>
              <w:t> </w:t>
            </w:r>
            <w:r>
              <w:rPr>
                <w:b/>
                <w:spacing w:val="-2"/>
                <w:sz w:val="22"/>
              </w:rPr>
              <w:t>Services</w:t>
            </w:r>
          </w:p>
        </w:tc>
      </w:tr>
      <w:tr>
        <w:trPr>
          <w:trHeight w:val="1009" w:hRule="atLeast"/>
        </w:trPr>
        <w:tc>
          <w:tcPr>
            <w:tcW w:w="3062" w:type="dxa"/>
          </w:tcPr>
          <w:p>
            <w:pPr>
              <w:pStyle w:val="TableParagraph"/>
              <w:rPr>
                <w:sz w:val="20"/>
              </w:rPr>
            </w:pPr>
          </w:p>
        </w:tc>
        <w:tc>
          <w:tcPr>
            <w:tcW w:w="2512" w:type="dxa"/>
          </w:tcPr>
          <w:p>
            <w:pPr>
              <w:pStyle w:val="TableParagraph"/>
              <w:rPr>
                <w:sz w:val="20"/>
              </w:rPr>
            </w:pPr>
          </w:p>
        </w:tc>
        <w:tc>
          <w:tcPr>
            <w:tcW w:w="3774" w:type="dxa"/>
          </w:tcPr>
          <w:p>
            <w:pPr>
              <w:pStyle w:val="TableParagraph"/>
              <w:ind w:left="108" w:right="433"/>
              <w:rPr>
                <w:sz w:val="22"/>
              </w:rPr>
            </w:pPr>
            <w:r>
              <w:rPr>
                <w:sz w:val="22"/>
              </w:rPr>
              <w:t>therapeutically intensive acute treatment</w:t>
            </w:r>
            <w:r>
              <w:rPr>
                <w:spacing w:val="-8"/>
                <w:sz w:val="22"/>
              </w:rPr>
              <w:t> </w:t>
            </w:r>
            <w:r>
              <w:rPr>
                <w:sz w:val="22"/>
              </w:rPr>
              <w:t>within</w:t>
            </w:r>
            <w:r>
              <w:rPr>
                <w:spacing w:val="-9"/>
                <w:sz w:val="22"/>
              </w:rPr>
              <w:t> </w:t>
            </w:r>
            <w:r>
              <w:rPr>
                <w:sz w:val="22"/>
              </w:rPr>
              <w:t>a</w:t>
            </w:r>
            <w:r>
              <w:rPr>
                <w:spacing w:val="-9"/>
                <w:sz w:val="22"/>
              </w:rPr>
              <w:t> </w:t>
            </w:r>
            <w:r>
              <w:rPr>
                <w:sz w:val="22"/>
              </w:rPr>
              <w:t>stable</w:t>
            </w:r>
            <w:r>
              <w:rPr>
                <w:spacing w:val="-10"/>
                <w:sz w:val="22"/>
              </w:rPr>
              <w:t> </w:t>
            </w:r>
            <w:r>
              <w:rPr>
                <w:sz w:val="22"/>
              </w:rPr>
              <w:t>therapeutic milieu and include daily psychiatric</w:t>
            </w:r>
          </w:p>
          <w:p>
            <w:pPr>
              <w:pStyle w:val="TableParagraph"/>
              <w:spacing w:line="233" w:lineRule="exact"/>
              <w:ind w:left="108"/>
              <w:rPr>
                <w:sz w:val="22"/>
              </w:rPr>
            </w:pPr>
            <w:r>
              <w:rPr>
                <w:spacing w:val="-2"/>
                <w:sz w:val="22"/>
              </w:rPr>
              <w:t>management.</w:t>
            </w:r>
          </w:p>
        </w:tc>
      </w:tr>
      <w:tr>
        <w:trPr>
          <w:trHeight w:val="2531" w:hRule="atLeast"/>
        </w:trPr>
        <w:tc>
          <w:tcPr>
            <w:tcW w:w="3062" w:type="dxa"/>
          </w:tcPr>
          <w:p>
            <w:pPr>
              <w:pStyle w:val="TableParagraph"/>
              <w:ind w:left="107" w:right="106"/>
              <w:rPr>
                <w:sz w:val="22"/>
              </w:rPr>
            </w:pPr>
            <w:r>
              <w:rPr>
                <w:sz w:val="22"/>
              </w:rPr>
              <w:t>Transitional Care Unit Services addressing</w:t>
            </w:r>
            <w:r>
              <w:rPr>
                <w:spacing w:val="-11"/>
                <w:sz w:val="22"/>
              </w:rPr>
              <w:t> </w:t>
            </w:r>
            <w:r>
              <w:rPr>
                <w:sz w:val="22"/>
              </w:rPr>
              <w:t>the</w:t>
            </w:r>
            <w:r>
              <w:rPr>
                <w:spacing w:val="-8"/>
                <w:sz w:val="22"/>
              </w:rPr>
              <w:t> </w:t>
            </w:r>
            <w:r>
              <w:rPr>
                <w:sz w:val="22"/>
              </w:rPr>
              <w:t>needs</w:t>
            </w:r>
            <w:r>
              <w:rPr>
                <w:spacing w:val="-10"/>
                <w:sz w:val="22"/>
              </w:rPr>
              <w:t> </w:t>
            </w:r>
            <w:r>
              <w:rPr>
                <w:sz w:val="22"/>
              </w:rPr>
              <w:t>of</w:t>
            </w:r>
            <w:r>
              <w:rPr>
                <w:spacing w:val="-7"/>
                <w:sz w:val="22"/>
              </w:rPr>
              <w:t> </w:t>
            </w:r>
            <w:r>
              <w:rPr>
                <w:sz w:val="22"/>
              </w:rPr>
              <w:t>children and adolescents, under age 19, in the custody of the Department of Children and Families (DCF), who need group care or</w:t>
            </w:r>
            <w:r>
              <w:rPr>
                <w:spacing w:val="-2"/>
                <w:sz w:val="22"/>
              </w:rPr>
              <w:t> </w:t>
            </w:r>
            <w:r>
              <w:rPr>
                <w:sz w:val="22"/>
              </w:rPr>
              <w:t>foster care</w:t>
            </w:r>
            <w:r>
              <w:rPr>
                <w:spacing w:val="-2"/>
                <w:sz w:val="22"/>
              </w:rPr>
              <w:t> </w:t>
            </w:r>
            <w:r>
              <w:rPr>
                <w:sz w:val="22"/>
              </w:rPr>
              <w:t>and no longer meet the clinical criteria</w:t>
            </w:r>
          </w:p>
          <w:p>
            <w:pPr>
              <w:pStyle w:val="TableParagraph"/>
              <w:spacing w:line="252" w:lineRule="exact"/>
              <w:ind w:left="107"/>
              <w:rPr>
                <w:sz w:val="22"/>
              </w:rPr>
            </w:pPr>
            <w:r>
              <w:rPr>
                <w:sz w:val="22"/>
              </w:rPr>
              <w:t>for</w:t>
            </w:r>
            <w:r>
              <w:rPr>
                <w:spacing w:val="-6"/>
                <w:sz w:val="22"/>
              </w:rPr>
              <w:t> </w:t>
            </w:r>
            <w:r>
              <w:rPr>
                <w:sz w:val="22"/>
              </w:rPr>
              <w:t>continued</w:t>
            </w:r>
            <w:r>
              <w:rPr>
                <w:spacing w:val="-7"/>
                <w:sz w:val="22"/>
              </w:rPr>
              <w:t> </w:t>
            </w:r>
            <w:r>
              <w:rPr>
                <w:sz w:val="22"/>
              </w:rPr>
              <w:t>stay</w:t>
            </w:r>
            <w:r>
              <w:rPr>
                <w:spacing w:val="-10"/>
                <w:sz w:val="22"/>
              </w:rPr>
              <w:t> </w:t>
            </w:r>
            <w:r>
              <w:rPr>
                <w:sz w:val="22"/>
              </w:rPr>
              <w:t>at</w:t>
            </w:r>
            <w:r>
              <w:rPr>
                <w:spacing w:val="-6"/>
                <w:sz w:val="22"/>
              </w:rPr>
              <w:t> </w:t>
            </w:r>
            <w:r>
              <w:rPr>
                <w:sz w:val="22"/>
              </w:rPr>
              <w:t>an</w:t>
            </w:r>
            <w:r>
              <w:rPr>
                <w:spacing w:val="-7"/>
                <w:sz w:val="22"/>
              </w:rPr>
              <w:t> </w:t>
            </w:r>
            <w:r>
              <w:rPr>
                <w:sz w:val="22"/>
              </w:rPr>
              <w:t>acute level of care.</w:t>
            </w:r>
          </w:p>
        </w:tc>
        <w:tc>
          <w:tcPr>
            <w:tcW w:w="2512" w:type="dxa"/>
          </w:tcPr>
          <w:p>
            <w:pPr>
              <w:pStyle w:val="TableParagraph"/>
              <w:spacing w:line="251" w:lineRule="exact"/>
              <w:ind w:left="105"/>
              <w:rPr>
                <w:sz w:val="22"/>
              </w:rPr>
            </w:pPr>
            <w:r>
              <w:rPr>
                <w:sz w:val="22"/>
              </w:rPr>
              <w:t>24-hour</w:t>
            </w:r>
            <w:r>
              <w:rPr>
                <w:spacing w:val="-3"/>
                <w:sz w:val="22"/>
              </w:rPr>
              <w:t> </w:t>
            </w:r>
            <w:r>
              <w:rPr>
                <w:spacing w:val="-2"/>
                <w:sz w:val="22"/>
              </w:rPr>
              <w:t>facility</w:t>
            </w:r>
          </w:p>
        </w:tc>
        <w:tc>
          <w:tcPr>
            <w:tcW w:w="3774" w:type="dxa"/>
          </w:tcPr>
          <w:p>
            <w:pPr>
              <w:pStyle w:val="TableParagraph"/>
              <w:ind w:left="108" w:right="160"/>
              <w:rPr>
                <w:sz w:val="22"/>
              </w:rPr>
            </w:pPr>
            <w:r>
              <w:rPr>
                <w:sz w:val="22"/>
              </w:rPr>
              <w:t>A community based therapeutic program offering high levels of supervision, structure and intensity of service</w:t>
            </w:r>
            <w:r>
              <w:rPr>
                <w:spacing w:val="-7"/>
                <w:sz w:val="22"/>
              </w:rPr>
              <w:t> </w:t>
            </w:r>
            <w:r>
              <w:rPr>
                <w:sz w:val="22"/>
              </w:rPr>
              <w:t>within</w:t>
            </w:r>
            <w:r>
              <w:rPr>
                <w:spacing w:val="-8"/>
                <w:sz w:val="22"/>
              </w:rPr>
              <w:t> </w:t>
            </w:r>
            <w:r>
              <w:rPr>
                <w:sz w:val="22"/>
              </w:rPr>
              <w:t>an</w:t>
            </w:r>
            <w:r>
              <w:rPr>
                <w:spacing w:val="-5"/>
                <w:sz w:val="22"/>
              </w:rPr>
              <w:t> </w:t>
            </w:r>
            <w:r>
              <w:rPr>
                <w:sz w:val="22"/>
              </w:rPr>
              <w:t>unlocked</w:t>
            </w:r>
            <w:r>
              <w:rPr>
                <w:spacing w:val="-8"/>
                <w:sz w:val="22"/>
              </w:rPr>
              <w:t> </w:t>
            </w:r>
            <w:r>
              <w:rPr>
                <w:sz w:val="22"/>
              </w:rPr>
              <w:t>setting.</w:t>
            </w:r>
            <w:r>
              <w:rPr>
                <w:spacing w:val="-8"/>
                <w:sz w:val="22"/>
              </w:rPr>
              <w:t> </w:t>
            </w:r>
            <w:r>
              <w:rPr>
                <w:sz w:val="22"/>
              </w:rPr>
              <w:t>The TCU offers comprehensive services, including but not limited to, a therapeutic milieu**, psychiatry, aggressive case management, and</w:t>
            </w:r>
          </w:p>
          <w:p>
            <w:pPr>
              <w:pStyle w:val="TableParagraph"/>
              <w:spacing w:line="252" w:lineRule="exact"/>
              <w:ind w:left="108" w:right="949"/>
              <w:rPr>
                <w:sz w:val="22"/>
              </w:rPr>
            </w:pPr>
            <w:r>
              <w:rPr>
                <w:sz w:val="22"/>
              </w:rPr>
              <w:t>multidisciplinary,</w:t>
            </w:r>
            <w:r>
              <w:rPr>
                <w:spacing w:val="-14"/>
                <w:sz w:val="22"/>
              </w:rPr>
              <w:t> </w:t>
            </w:r>
            <w:r>
              <w:rPr>
                <w:sz w:val="22"/>
              </w:rPr>
              <w:t>multi-modal </w:t>
            </w:r>
            <w:r>
              <w:rPr>
                <w:spacing w:val="-2"/>
                <w:sz w:val="22"/>
              </w:rPr>
              <w:t>therapies.</w:t>
            </w:r>
          </w:p>
        </w:tc>
      </w:tr>
      <w:tr>
        <w:trPr>
          <w:trHeight w:val="2781" w:hRule="atLeast"/>
        </w:trPr>
        <w:tc>
          <w:tcPr>
            <w:tcW w:w="3062" w:type="dxa"/>
          </w:tcPr>
          <w:p>
            <w:pPr>
              <w:pStyle w:val="TableParagraph"/>
              <w:spacing w:line="251" w:lineRule="exact"/>
              <w:ind w:left="107"/>
              <w:rPr>
                <w:sz w:val="22"/>
              </w:rPr>
            </w:pPr>
            <w:r>
              <w:rPr>
                <w:sz w:val="22"/>
              </w:rPr>
              <w:t>Psychiatric</w:t>
            </w:r>
            <w:r>
              <w:rPr>
                <w:spacing w:val="-5"/>
                <w:sz w:val="22"/>
              </w:rPr>
              <w:t> </w:t>
            </w:r>
            <w:r>
              <w:rPr>
                <w:sz w:val="22"/>
              </w:rPr>
              <w:t>Day</w:t>
            </w:r>
            <w:r>
              <w:rPr>
                <w:spacing w:val="-7"/>
                <w:sz w:val="22"/>
              </w:rPr>
              <w:t> </w:t>
            </w:r>
            <w:r>
              <w:rPr>
                <w:spacing w:val="-2"/>
                <w:sz w:val="22"/>
              </w:rPr>
              <w:t>Treatment*</w:t>
            </w:r>
          </w:p>
        </w:tc>
        <w:tc>
          <w:tcPr>
            <w:tcW w:w="2512" w:type="dxa"/>
          </w:tcPr>
          <w:p>
            <w:pPr>
              <w:pStyle w:val="TableParagraph"/>
              <w:spacing w:line="251" w:lineRule="exact"/>
              <w:ind w:left="105"/>
              <w:rPr>
                <w:sz w:val="22"/>
              </w:rPr>
            </w:pPr>
            <w:r>
              <w:rPr>
                <w:sz w:val="22"/>
              </w:rPr>
              <w:t>Non-24-hour</w:t>
            </w:r>
            <w:r>
              <w:rPr>
                <w:spacing w:val="-7"/>
                <w:sz w:val="22"/>
              </w:rPr>
              <w:t> </w:t>
            </w:r>
            <w:r>
              <w:rPr>
                <w:spacing w:val="-2"/>
                <w:sz w:val="22"/>
              </w:rPr>
              <w:t>facility</w:t>
            </w:r>
          </w:p>
        </w:tc>
        <w:tc>
          <w:tcPr>
            <w:tcW w:w="3774" w:type="dxa"/>
          </w:tcPr>
          <w:p>
            <w:pPr>
              <w:pStyle w:val="TableParagraph"/>
              <w:ind w:left="108" w:right="114"/>
              <w:rPr>
                <w:sz w:val="22"/>
              </w:rPr>
            </w:pPr>
            <w:r>
              <w:rPr>
                <w:sz w:val="22"/>
              </w:rPr>
              <w:t>Services which constitute a program of a planned combination of diagnostic, treatment and rehabilitative services provided</w:t>
            </w:r>
            <w:r>
              <w:rPr>
                <w:spacing w:val="-5"/>
                <w:sz w:val="22"/>
              </w:rPr>
              <w:t> </w:t>
            </w:r>
            <w:r>
              <w:rPr>
                <w:sz w:val="22"/>
              </w:rPr>
              <w:t>to</w:t>
            </w:r>
            <w:r>
              <w:rPr>
                <w:spacing w:val="-2"/>
                <w:sz w:val="22"/>
              </w:rPr>
              <w:t> </w:t>
            </w:r>
            <w:r>
              <w:rPr>
                <w:sz w:val="22"/>
              </w:rPr>
              <w:t>a</w:t>
            </w:r>
            <w:r>
              <w:rPr>
                <w:spacing w:val="-4"/>
                <w:sz w:val="22"/>
              </w:rPr>
              <w:t> </w:t>
            </w:r>
            <w:r>
              <w:rPr>
                <w:sz w:val="22"/>
              </w:rPr>
              <w:t>person</w:t>
            </w:r>
            <w:r>
              <w:rPr>
                <w:spacing w:val="-2"/>
                <w:sz w:val="22"/>
              </w:rPr>
              <w:t> </w:t>
            </w:r>
            <w:r>
              <w:rPr>
                <w:sz w:val="22"/>
              </w:rPr>
              <w:t>with</w:t>
            </w:r>
            <w:r>
              <w:rPr>
                <w:spacing w:val="-5"/>
                <w:sz w:val="22"/>
              </w:rPr>
              <w:t> </w:t>
            </w:r>
            <w:r>
              <w:rPr>
                <w:sz w:val="22"/>
              </w:rPr>
              <w:t>mental</w:t>
            </w:r>
            <w:r>
              <w:rPr>
                <w:spacing w:val="-1"/>
                <w:sz w:val="22"/>
              </w:rPr>
              <w:t> </w:t>
            </w:r>
            <w:r>
              <w:rPr>
                <w:sz w:val="22"/>
              </w:rPr>
              <w:t>illness who needs more active or inclusive treatment than is typically available through a weekly visit to a mental health center, individual Provider’s office</w:t>
            </w:r>
            <w:r>
              <w:rPr>
                <w:spacing w:val="-10"/>
                <w:sz w:val="22"/>
              </w:rPr>
              <w:t> </w:t>
            </w:r>
            <w:r>
              <w:rPr>
                <w:sz w:val="22"/>
              </w:rPr>
              <w:t>or</w:t>
            </w:r>
            <w:r>
              <w:rPr>
                <w:spacing w:val="-8"/>
                <w:sz w:val="22"/>
              </w:rPr>
              <w:t> </w:t>
            </w:r>
            <w:r>
              <w:rPr>
                <w:sz w:val="22"/>
              </w:rPr>
              <w:t>hospital</w:t>
            </w:r>
            <w:r>
              <w:rPr>
                <w:spacing w:val="-8"/>
                <w:sz w:val="22"/>
              </w:rPr>
              <w:t> </w:t>
            </w:r>
            <w:r>
              <w:rPr>
                <w:sz w:val="22"/>
              </w:rPr>
              <w:t>outpatient</w:t>
            </w:r>
            <w:r>
              <w:rPr>
                <w:spacing w:val="-10"/>
                <w:sz w:val="22"/>
              </w:rPr>
              <w:t> </w:t>
            </w:r>
            <w:r>
              <w:rPr>
                <w:sz w:val="22"/>
              </w:rPr>
              <w:t>department, but who does not need 24-hour</w:t>
            </w:r>
          </w:p>
          <w:p>
            <w:pPr>
              <w:pStyle w:val="TableParagraph"/>
              <w:spacing w:line="233" w:lineRule="exact"/>
              <w:ind w:left="108"/>
              <w:rPr>
                <w:sz w:val="22"/>
              </w:rPr>
            </w:pPr>
            <w:r>
              <w:rPr>
                <w:spacing w:val="-2"/>
                <w:sz w:val="22"/>
              </w:rPr>
              <w:t>hospitalization.</w:t>
            </w:r>
          </w:p>
        </w:tc>
      </w:tr>
      <w:tr>
        <w:trPr>
          <w:trHeight w:val="2529" w:hRule="atLeast"/>
        </w:trPr>
        <w:tc>
          <w:tcPr>
            <w:tcW w:w="3062" w:type="dxa"/>
          </w:tcPr>
          <w:p>
            <w:pPr>
              <w:pStyle w:val="TableParagraph"/>
              <w:ind w:left="107"/>
              <w:rPr>
                <w:sz w:val="22"/>
              </w:rPr>
            </w:pPr>
            <w:r>
              <w:rPr>
                <w:sz w:val="22"/>
              </w:rPr>
              <w:t>Intensive</w:t>
            </w:r>
            <w:r>
              <w:rPr>
                <w:spacing w:val="-14"/>
                <w:sz w:val="22"/>
              </w:rPr>
              <w:t> </w:t>
            </w:r>
            <w:r>
              <w:rPr>
                <w:sz w:val="22"/>
              </w:rPr>
              <w:t>Outpatient</w:t>
            </w:r>
            <w:r>
              <w:rPr>
                <w:spacing w:val="-14"/>
                <w:sz w:val="22"/>
              </w:rPr>
              <w:t> </w:t>
            </w:r>
            <w:r>
              <w:rPr>
                <w:sz w:val="22"/>
              </w:rPr>
              <w:t>Program </w:t>
            </w:r>
            <w:r>
              <w:rPr>
                <w:spacing w:val="-2"/>
                <w:sz w:val="22"/>
              </w:rPr>
              <w:t>(IOP)*</w:t>
            </w:r>
          </w:p>
        </w:tc>
        <w:tc>
          <w:tcPr>
            <w:tcW w:w="2512" w:type="dxa"/>
          </w:tcPr>
          <w:p>
            <w:pPr>
              <w:pStyle w:val="TableParagraph"/>
              <w:spacing w:line="251" w:lineRule="exact"/>
              <w:ind w:left="105"/>
              <w:rPr>
                <w:sz w:val="22"/>
              </w:rPr>
            </w:pPr>
            <w:r>
              <w:rPr>
                <w:sz w:val="22"/>
              </w:rPr>
              <w:t>Non-24-hour</w:t>
            </w:r>
            <w:r>
              <w:rPr>
                <w:spacing w:val="-7"/>
                <w:sz w:val="22"/>
              </w:rPr>
              <w:t> </w:t>
            </w:r>
            <w:r>
              <w:rPr>
                <w:spacing w:val="-2"/>
                <w:sz w:val="22"/>
              </w:rPr>
              <w:t>facility</w:t>
            </w:r>
          </w:p>
        </w:tc>
        <w:tc>
          <w:tcPr>
            <w:tcW w:w="3774" w:type="dxa"/>
          </w:tcPr>
          <w:p>
            <w:pPr>
              <w:pStyle w:val="TableParagraph"/>
              <w:ind w:left="108" w:right="122"/>
              <w:rPr>
                <w:sz w:val="22"/>
              </w:rPr>
            </w:pPr>
            <w:r>
              <w:rPr>
                <w:sz w:val="22"/>
              </w:rPr>
              <w:t>A clinically intensive service designed to improve functional status, provide stabilization in the community, divert</w:t>
            </w:r>
            <w:r>
              <w:rPr>
                <w:spacing w:val="40"/>
                <w:sz w:val="22"/>
              </w:rPr>
              <w:t> </w:t>
            </w:r>
            <w:r>
              <w:rPr>
                <w:sz w:val="22"/>
              </w:rPr>
              <w:t>an admission to an Inpatient Service, or facilitate</w:t>
            </w:r>
            <w:r>
              <w:rPr>
                <w:spacing w:val="-7"/>
                <w:sz w:val="22"/>
              </w:rPr>
              <w:t> </w:t>
            </w:r>
            <w:r>
              <w:rPr>
                <w:sz w:val="22"/>
              </w:rPr>
              <w:t>a</w:t>
            </w:r>
            <w:r>
              <w:rPr>
                <w:spacing w:val="-5"/>
                <w:sz w:val="22"/>
              </w:rPr>
              <w:t> </w:t>
            </w:r>
            <w:r>
              <w:rPr>
                <w:sz w:val="22"/>
              </w:rPr>
              <w:t>rapid</w:t>
            </w:r>
            <w:r>
              <w:rPr>
                <w:spacing w:val="-8"/>
                <w:sz w:val="22"/>
              </w:rPr>
              <w:t> </w:t>
            </w:r>
            <w:r>
              <w:rPr>
                <w:sz w:val="22"/>
              </w:rPr>
              <w:t>and</w:t>
            </w:r>
            <w:r>
              <w:rPr>
                <w:spacing w:val="-8"/>
                <w:sz w:val="22"/>
              </w:rPr>
              <w:t> </w:t>
            </w:r>
            <w:r>
              <w:rPr>
                <w:sz w:val="22"/>
              </w:rPr>
              <w:t>stable</w:t>
            </w:r>
            <w:r>
              <w:rPr>
                <w:spacing w:val="-10"/>
                <w:sz w:val="22"/>
              </w:rPr>
              <w:t> </w:t>
            </w:r>
            <w:r>
              <w:rPr>
                <w:sz w:val="22"/>
              </w:rPr>
              <w:t>reintegration into the community following a discharge</w:t>
            </w:r>
            <w:r>
              <w:rPr>
                <w:spacing w:val="-5"/>
                <w:sz w:val="22"/>
              </w:rPr>
              <w:t> </w:t>
            </w:r>
            <w:r>
              <w:rPr>
                <w:sz w:val="22"/>
              </w:rPr>
              <w:t>from</w:t>
            </w:r>
            <w:r>
              <w:rPr>
                <w:spacing w:val="-8"/>
                <w:sz w:val="22"/>
              </w:rPr>
              <w:t> </w:t>
            </w:r>
            <w:r>
              <w:rPr>
                <w:sz w:val="22"/>
              </w:rPr>
              <w:t>an</w:t>
            </w:r>
            <w:r>
              <w:rPr>
                <w:spacing w:val="-5"/>
                <w:sz w:val="22"/>
              </w:rPr>
              <w:t> </w:t>
            </w:r>
            <w:r>
              <w:rPr>
                <w:sz w:val="22"/>
              </w:rPr>
              <w:t>inpatient</w:t>
            </w:r>
            <w:r>
              <w:rPr>
                <w:spacing w:val="-7"/>
                <w:sz w:val="22"/>
              </w:rPr>
              <w:t> </w:t>
            </w:r>
            <w:r>
              <w:rPr>
                <w:sz w:val="22"/>
              </w:rPr>
              <w:t>service.</w:t>
            </w:r>
            <w:r>
              <w:rPr>
                <w:spacing w:val="-7"/>
                <w:sz w:val="22"/>
              </w:rPr>
              <w:t> </w:t>
            </w:r>
            <w:r>
              <w:rPr>
                <w:sz w:val="22"/>
              </w:rPr>
              <w:t>The IOP provides time-limited,</w:t>
            </w:r>
          </w:p>
          <w:p>
            <w:pPr>
              <w:pStyle w:val="TableParagraph"/>
              <w:spacing w:line="252" w:lineRule="exact"/>
              <w:ind w:left="108"/>
              <w:rPr>
                <w:sz w:val="22"/>
              </w:rPr>
            </w:pPr>
            <w:r>
              <w:rPr>
                <w:sz w:val="22"/>
              </w:rPr>
              <w:t>comprehensive,</w:t>
            </w:r>
            <w:r>
              <w:rPr>
                <w:spacing w:val="-14"/>
                <w:sz w:val="22"/>
              </w:rPr>
              <w:t> </w:t>
            </w:r>
            <w:r>
              <w:rPr>
                <w:sz w:val="22"/>
              </w:rPr>
              <w:t>and</w:t>
            </w:r>
            <w:r>
              <w:rPr>
                <w:spacing w:val="-14"/>
                <w:sz w:val="22"/>
              </w:rPr>
              <w:t> </w:t>
            </w:r>
            <w:r>
              <w:rPr>
                <w:sz w:val="22"/>
              </w:rPr>
              <w:t>coordinated multidisciplinary treatment.</w:t>
            </w:r>
          </w:p>
        </w:tc>
      </w:tr>
      <w:tr>
        <w:trPr>
          <w:trHeight w:val="2531" w:hRule="atLeast"/>
        </w:trPr>
        <w:tc>
          <w:tcPr>
            <w:tcW w:w="3062" w:type="dxa"/>
          </w:tcPr>
          <w:p>
            <w:pPr>
              <w:pStyle w:val="TableParagraph"/>
              <w:spacing w:before="1"/>
              <w:ind w:left="107"/>
              <w:rPr>
                <w:sz w:val="22"/>
              </w:rPr>
            </w:pPr>
            <w:r>
              <w:rPr>
                <w:sz w:val="22"/>
              </w:rPr>
              <w:t>Structured</w:t>
            </w:r>
            <w:r>
              <w:rPr>
                <w:spacing w:val="-14"/>
                <w:sz w:val="22"/>
              </w:rPr>
              <w:t> </w:t>
            </w:r>
            <w:r>
              <w:rPr>
                <w:sz w:val="22"/>
              </w:rPr>
              <w:t>Outpatient</w:t>
            </w:r>
            <w:r>
              <w:rPr>
                <w:spacing w:val="-14"/>
                <w:sz w:val="22"/>
              </w:rPr>
              <w:t> </w:t>
            </w:r>
            <w:r>
              <w:rPr>
                <w:sz w:val="22"/>
              </w:rPr>
              <w:t>Addiction Program (SOAP)*</w:t>
            </w:r>
          </w:p>
        </w:tc>
        <w:tc>
          <w:tcPr>
            <w:tcW w:w="2512" w:type="dxa"/>
          </w:tcPr>
          <w:p>
            <w:pPr>
              <w:pStyle w:val="TableParagraph"/>
              <w:spacing w:before="1"/>
              <w:ind w:left="105"/>
              <w:rPr>
                <w:sz w:val="22"/>
              </w:rPr>
            </w:pPr>
            <w:r>
              <w:rPr>
                <w:sz w:val="22"/>
              </w:rPr>
              <w:t>Non-24-hour</w:t>
            </w:r>
            <w:r>
              <w:rPr>
                <w:spacing w:val="-7"/>
                <w:sz w:val="22"/>
              </w:rPr>
              <w:t> </w:t>
            </w:r>
            <w:r>
              <w:rPr>
                <w:spacing w:val="-2"/>
                <w:sz w:val="22"/>
              </w:rPr>
              <w:t>facility</w:t>
            </w:r>
          </w:p>
        </w:tc>
        <w:tc>
          <w:tcPr>
            <w:tcW w:w="3774" w:type="dxa"/>
          </w:tcPr>
          <w:p>
            <w:pPr>
              <w:pStyle w:val="TableParagraph"/>
              <w:spacing w:before="1"/>
              <w:ind w:left="108" w:right="135"/>
              <w:rPr>
                <w:sz w:val="22"/>
              </w:rPr>
            </w:pPr>
            <w:r>
              <w:rPr>
                <w:sz w:val="22"/>
              </w:rPr>
              <w:t>Clinically intensive, structured day and/or evening substance use disorder services. These programs can be utilized as a transition service in the continuum</w:t>
            </w:r>
            <w:r>
              <w:rPr>
                <w:spacing w:val="-8"/>
                <w:sz w:val="22"/>
              </w:rPr>
              <w:t> </w:t>
            </w:r>
            <w:r>
              <w:rPr>
                <w:sz w:val="22"/>
              </w:rPr>
              <w:t>of</w:t>
            </w:r>
            <w:r>
              <w:rPr>
                <w:spacing w:val="-4"/>
                <w:sz w:val="22"/>
              </w:rPr>
              <w:t> </w:t>
            </w:r>
            <w:r>
              <w:rPr>
                <w:sz w:val="22"/>
              </w:rPr>
              <w:t>care</w:t>
            </w:r>
            <w:r>
              <w:rPr>
                <w:spacing w:val="-7"/>
                <w:sz w:val="22"/>
              </w:rPr>
              <w:t> </w:t>
            </w:r>
            <w:r>
              <w:rPr>
                <w:sz w:val="22"/>
              </w:rPr>
              <w:t>for</w:t>
            </w:r>
            <w:r>
              <w:rPr>
                <w:spacing w:val="-7"/>
                <w:sz w:val="22"/>
              </w:rPr>
              <w:t> </w:t>
            </w:r>
            <w:r>
              <w:rPr>
                <w:sz w:val="22"/>
              </w:rPr>
              <w:t>an</w:t>
            </w:r>
            <w:r>
              <w:rPr>
                <w:spacing w:val="-5"/>
                <w:sz w:val="22"/>
              </w:rPr>
              <w:t> </w:t>
            </w:r>
            <w:r>
              <w:rPr>
                <w:sz w:val="22"/>
              </w:rPr>
              <w:t>Enrollee</w:t>
            </w:r>
            <w:r>
              <w:rPr>
                <w:spacing w:val="-7"/>
                <w:sz w:val="22"/>
              </w:rPr>
              <w:t> </w:t>
            </w:r>
            <w:r>
              <w:rPr>
                <w:sz w:val="22"/>
              </w:rPr>
              <w:t>being discharged from Acute Substance Abuse Treatment, or can be utilized by individuals, who need Outpatient Services, but who also need more</w:t>
            </w:r>
          </w:p>
          <w:p>
            <w:pPr>
              <w:pStyle w:val="TableParagraph"/>
              <w:spacing w:line="234" w:lineRule="exact"/>
              <w:ind w:left="108"/>
              <w:rPr>
                <w:sz w:val="22"/>
              </w:rPr>
            </w:pPr>
            <w:r>
              <w:rPr>
                <w:sz w:val="22"/>
              </w:rPr>
              <w:t>structured</w:t>
            </w:r>
            <w:r>
              <w:rPr>
                <w:spacing w:val="-7"/>
                <w:sz w:val="22"/>
              </w:rPr>
              <w:t> </w:t>
            </w:r>
            <w:r>
              <w:rPr>
                <w:sz w:val="22"/>
              </w:rPr>
              <w:t>treatment</w:t>
            </w:r>
            <w:r>
              <w:rPr>
                <w:spacing w:val="-2"/>
                <w:sz w:val="22"/>
              </w:rPr>
              <w:t> </w:t>
            </w:r>
            <w:r>
              <w:rPr>
                <w:sz w:val="22"/>
              </w:rPr>
              <w:t>for</w:t>
            </w:r>
            <w:r>
              <w:rPr>
                <w:spacing w:val="-3"/>
                <w:sz w:val="22"/>
              </w:rPr>
              <w:t> </w:t>
            </w:r>
            <w:r>
              <w:rPr>
                <w:sz w:val="22"/>
              </w:rPr>
              <w:t>a</w:t>
            </w:r>
            <w:r>
              <w:rPr>
                <w:spacing w:val="-3"/>
                <w:sz w:val="22"/>
              </w:rPr>
              <w:t> </w:t>
            </w:r>
            <w:r>
              <w:rPr>
                <w:sz w:val="22"/>
              </w:rPr>
              <w:t>substance</w:t>
            </w:r>
            <w:r>
              <w:rPr>
                <w:spacing w:val="-5"/>
                <w:sz w:val="22"/>
              </w:rPr>
              <w:t> use</w:t>
            </w:r>
          </w:p>
        </w:tc>
      </w:tr>
    </w:tbl>
    <w:p>
      <w:pPr>
        <w:spacing w:after="0" w:line="234" w:lineRule="exact"/>
        <w:rPr>
          <w:sz w:val="22"/>
        </w:rPr>
        <w:sectPr>
          <w:type w:val="continuous"/>
          <w:pgSz w:w="12240" w:h="15840"/>
          <w:pgMar w:header="0" w:footer="1201" w:top="1420" w:bottom="1400" w:left="1200" w:right="400"/>
        </w:sectPr>
      </w:pPr>
    </w:p>
    <w:tbl>
      <w:tblPr>
        <w:tblW w:w="0" w:type="auto"/>
        <w:jc w:val="left"/>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62"/>
        <w:gridCol w:w="2512"/>
        <w:gridCol w:w="3774"/>
      </w:tblGrid>
      <w:tr>
        <w:trPr>
          <w:trHeight w:val="530" w:hRule="atLeast"/>
        </w:trPr>
        <w:tc>
          <w:tcPr>
            <w:tcW w:w="9348" w:type="dxa"/>
            <w:gridSpan w:val="3"/>
            <w:shd w:val="clear" w:color="auto" w:fill="DBE6F1"/>
          </w:tcPr>
          <w:p>
            <w:pPr>
              <w:pStyle w:val="TableParagraph"/>
              <w:spacing w:before="140"/>
              <w:ind w:left="669"/>
              <w:rPr>
                <w:b/>
                <w:sz w:val="22"/>
              </w:rPr>
            </w:pPr>
            <w:r>
              <w:rPr>
                <w:b/>
                <w:sz w:val="22"/>
              </w:rPr>
              <w:t>Table</w:t>
            </w:r>
            <w:r>
              <w:rPr>
                <w:b/>
                <w:spacing w:val="-6"/>
                <w:sz w:val="22"/>
              </w:rPr>
              <w:t> </w:t>
            </w:r>
            <w:r>
              <w:rPr>
                <w:b/>
                <w:sz w:val="22"/>
              </w:rPr>
              <w:t>5:</w:t>
            </w:r>
            <w:r>
              <w:rPr>
                <w:b/>
                <w:spacing w:val="-3"/>
                <w:sz w:val="22"/>
              </w:rPr>
              <w:t> </w:t>
            </w:r>
            <w:r>
              <w:rPr>
                <w:b/>
                <w:sz w:val="22"/>
              </w:rPr>
              <w:t>Diversionary</w:t>
            </w:r>
            <w:r>
              <w:rPr>
                <w:b/>
                <w:spacing w:val="-6"/>
                <w:sz w:val="22"/>
              </w:rPr>
              <w:t> </w:t>
            </w:r>
            <w:r>
              <w:rPr>
                <w:b/>
                <w:sz w:val="22"/>
              </w:rPr>
              <w:t>Behavioral</w:t>
            </w:r>
            <w:r>
              <w:rPr>
                <w:b/>
                <w:spacing w:val="-6"/>
                <w:sz w:val="22"/>
              </w:rPr>
              <w:t> </w:t>
            </w:r>
            <w:r>
              <w:rPr>
                <w:b/>
                <w:sz w:val="22"/>
              </w:rPr>
              <w:t>Health</w:t>
            </w:r>
            <w:r>
              <w:rPr>
                <w:b/>
                <w:spacing w:val="-4"/>
                <w:sz w:val="22"/>
              </w:rPr>
              <w:t> </w:t>
            </w:r>
            <w:r>
              <w:rPr>
                <w:b/>
                <w:sz w:val="22"/>
              </w:rPr>
              <w:t>Services</w:t>
            </w:r>
            <w:r>
              <w:rPr>
                <w:b/>
                <w:spacing w:val="-6"/>
                <w:sz w:val="22"/>
              </w:rPr>
              <w:t> </w:t>
            </w:r>
            <w:r>
              <w:rPr>
                <w:b/>
                <w:sz w:val="22"/>
              </w:rPr>
              <w:t>Provided</w:t>
            </w:r>
            <w:r>
              <w:rPr>
                <w:b/>
                <w:spacing w:val="-4"/>
                <w:sz w:val="22"/>
              </w:rPr>
              <w:t> </w:t>
            </w:r>
            <w:r>
              <w:rPr>
                <w:b/>
                <w:sz w:val="22"/>
              </w:rPr>
              <w:t>Under</w:t>
            </w:r>
            <w:r>
              <w:rPr>
                <w:b/>
                <w:spacing w:val="-6"/>
                <w:sz w:val="22"/>
              </w:rPr>
              <w:t> </w:t>
            </w:r>
            <w:r>
              <w:rPr>
                <w:b/>
                <w:sz w:val="22"/>
              </w:rPr>
              <w:t>the</w:t>
            </w:r>
            <w:r>
              <w:rPr>
                <w:b/>
                <w:spacing w:val="-3"/>
                <w:sz w:val="22"/>
              </w:rPr>
              <w:t> </w:t>
            </w:r>
            <w:r>
              <w:rPr>
                <w:b/>
                <w:spacing w:val="-2"/>
                <w:sz w:val="22"/>
              </w:rPr>
              <w:t>Demonstration</w:t>
            </w:r>
          </w:p>
        </w:tc>
      </w:tr>
      <w:tr>
        <w:trPr>
          <w:trHeight w:val="621" w:hRule="atLeast"/>
        </w:trPr>
        <w:tc>
          <w:tcPr>
            <w:tcW w:w="3062" w:type="dxa"/>
            <w:shd w:val="clear" w:color="auto" w:fill="DBE6F1"/>
          </w:tcPr>
          <w:p>
            <w:pPr>
              <w:pStyle w:val="TableParagraph"/>
              <w:spacing w:before="56"/>
              <w:ind w:left="1216" w:right="362" w:hanging="836"/>
              <w:rPr>
                <w:b/>
                <w:sz w:val="22"/>
              </w:rPr>
            </w:pPr>
            <w:r>
              <w:rPr>
                <w:b/>
                <w:sz w:val="22"/>
              </w:rPr>
              <w:t>Diversionary</w:t>
            </w:r>
            <w:r>
              <w:rPr>
                <w:b/>
                <w:spacing w:val="-14"/>
                <w:sz w:val="22"/>
              </w:rPr>
              <w:t> </w:t>
            </w:r>
            <w:r>
              <w:rPr>
                <w:b/>
                <w:sz w:val="22"/>
              </w:rPr>
              <w:t>Behavioral </w:t>
            </w:r>
            <w:r>
              <w:rPr>
                <w:b/>
                <w:spacing w:val="-2"/>
                <w:sz w:val="22"/>
              </w:rPr>
              <w:t>Health</w:t>
            </w:r>
          </w:p>
        </w:tc>
        <w:tc>
          <w:tcPr>
            <w:tcW w:w="2512" w:type="dxa"/>
            <w:shd w:val="clear" w:color="auto" w:fill="DBE6F1"/>
          </w:tcPr>
          <w:p>
            <w:pPr>
              <w:pStyle w:val="TableParagraph"/>
              <w:spacing w:before="183"/>
              <w:ind w:left="912" w:right="895"/>
              <w:jc w:val="center"/>
              <w:rPr>
                <w:b/>
                <w:sz w:val="22"/>
              </w:rPr>
            </w:pPr>
            <w:r>
              <w:rPr>
                <w:b/>
                <w:spacing w:val="-2"/>
                <w:sz w:val="22"/>
              </w:rPr>
              <w:t>Setting</w:t>
            </w:r>
          </w:p>
        </w:tc>
        <w:tc>
          <w:tcPr>
            <w:tcW w:w="3774" w:type="dxa"/>
            <w:shd w:val="clear" w:color="auto" w:fill="DBE6F1"/>
          </w:tcPr>
          <w:p>
            <w:pPr>
              <w:pStyle w:val="TableParagraph"/>
              <w:spacing w:before="183"/>
              <w:ind w:left="816"/>
              <w:rPr>
                <w:b/>
                <w:sz w:val="22"/>
              </w:rPr>
            </w:pPr>
            <w:r>
              <w:rPr>
                <w:b/>
                <w:sz w:val="22"/>
              </w:rPr>
              <w:t>Description</w:t>
            </w:r>
            <w:r>
              <w:rPr>
                <w:b/>
                <w:spacing w:val="-5"/>
                <w:sz w:val="22"/>
              </w:rPr>
              <w:t> </w:t>
            </w:r>
            <w:r>
              <w:rPr>
                <w:b/>
                <w:sz w:val="22"/>
              </w:rPr>
              <w:t>of</w:t>
            </w:r>
            <w:r>
              <w:rPr>
                <w:b/>
                <w:spacing w:val="-3"/>
                <w:sz w:val="22"/>
              </w:rPr>
              <w:t> </w:t>
            </w:r>
            <w:r>
              <w:rPr>
                <w:b/>
                <w:spacing w:val="-2"/>
                <w:sz w:val="22"/>
              </w:rPr>
              <w:t>Services</w:t>
            </w:r>
          </w:p>
        </w:tc>
      </w:tr>
      <w:tr>
        <w:trPr>
          <w:trHeight w:val="3035" w:hRule="atLeast"/>
        </w:trPr>
        <w:tc>
          <w:tcPr>
            <w:tcW w:w="3062" w:type="dxa"/>
          </w:tcPr>
          <w:p>
            <w:pPr>
              <w:pStyle w:val="TableParagraph"/>
              <w:rPr>
                <w:sz w:val="20"/>
              </w:rPr>
            </w:pPr>
          </w:p>
        </w:tc>
        <w:tc>
          <w:tcPr>
            <w:tcW w:w="2512" w:type="dxa"/>
          </w:tcPr>
          <w:p>
            <w:pPr>
              <w:pStyle w:val="TableParagraph"/>
              <w:rPr>
                <w:sz w:val="20"/>
              </w:rPr>
            </w:pPr>
          </w:p>
        </w:tc>
        <w:tc>
          <w:tcPr>
            <w:tcW w:w="3774" w:type="dxa"/>
          </w:tcPr>
          <w:p>
            <w:pPr>
              <w:pStyle w:val="TableParagraph"/>
              <w:ind w:left="113" w:right="105"/>
              <w:rPr>
                <w:sz w:val="22"/>
              </w:rPr>
            </w:pPr>
            <w:r>
              <w:rPr>
                <w:sz w:val="22"/>
              </w:rPr>
              <w:t>disorder. These programs may incorporate the evidence-based practice of Motivational Interviewing (as</w:t>
            </w:r>
            <w:r>
              <w:rPr>
                <w:spacing w:val="40"/>
                <w:sz w:val="22"/>
              </w:rPr>
              <w:t> </w:t>
            </w:r>
            <w:r>
              <w:rPr>
                <w:sz w:val="22"/>
              </w:rPr>
              <w:t>defined</w:t>
            </w:r>
            <w:r>
              <w:rPr>
                <w:spacing w:val="-6"/>
                <w:sz w:val="22"/>
              </w:rPr>
              <w:t> </w:t>
            </w:r>
            <w:r>
              <w:rPr>
                <w:sz w:val="22"/>
              </w:rPr>
              <w:t>by</w:t>
            </w:r>
            <w:r>
              <w:rPr>
                <w:spacing w:val="-9"/>
                <w:sz w:val="22"/>
              </w:rPr>
              <w:t> </w:t>
            </w:r>
            <w:r>
              <w:rPr>
                <w:sz w:val="22"/>
              </w:rPr>
              <w:t>Substance</w:t>
            </w:r>
            <w:r>
              <w:rPr>
                <w:spacing w:val="-6"/>
                <w:sz w:val="22"/>
              </w:rPr>
              <w:t> </w:t>
            </w:r>
            <w:r>
              <w:rPr>
                <w:sz w:val="22"/>
              </w:rPr>
              <w:t>Abuse</w:t>
            </w:r>
            <w:r>
              <w:rPr>
                <w:spacing w:val="-6"/>
                <w:sz w:val="22"/>
              </w:rPr>
              <w:t> </w:t>
            </w:r>
            <w:r>
              <w:rPr>
                <w:sz w:val="22"/>
              </w:rPr>
              <w:t>and</w:t>
            </w:r>
            <w:r>
              <w:rPr>
                <w:spacing w:val="-9"/>
                <w:sz w:val="22"/>
              </w:rPr>
              <w:t> </w:t>
            </w:r>
            <w:r>
              <w:rPr>
                <w:sz w:val="22"/>
              </w:rPr>
              <w:t>Mental Health Services Administration) into clinical programming to promote individualized treatment planning.</w:t>
            </w:r>
          </w:p>
          <w:p>
            <w:pPr>
              <w:pStyle w:val="TableParagraph"/>
              <w:ind w:left="113" w:right="146"/>
              <w:rPr>
                <w:sz w:val="22"/>
              </w:rPr>
            </w:pPr>
            <w:r>
              <w:rPr>
                <w:sz w:val="22"/>
              </w:rPr>
              <w:t>These programs may include specialized services and staffing for targeted</w:t>
            </w:r>
            <w:r>
              <w:rPr>
                <w:spacing w:val="-11"/>
                <w:sz w:val="22"/>
              </w:rPr>
              <w:t> </w:t>
            </w:r>
            <w:r>
              <w:rPr>
                <w:sz w:val="22"/>
              </w:rPr>
              <w:t>populations</w:t>
            </w:r>
            <w:r>
              <w:rPr>
                <w:spacing w:val="-13"/>
                <w:sz w:val="22"/>
              </w:rPr>
              <w:t> </w:t>
            </w:r>
            <w:r>
              <w:rPr>
                <w:sz w:val="22"/>
              </w:rPr>
              <w:t>including</w:t>
            </w:r>
            <w:r>
              <w:rPr>
                <w:spacing w:val="-14"/>
                <w:sz w:val="22"/>
              </w:rPr>
              <w:t> </w:t>
            </w:r>
            <w:r>
              <w:rPr>
                <w:sz w:val="22"/>
              </w:rPr>
              <w:t>pregnant individuals, adolescents and adults</w:t>
            </w:r>
          </w:p>
          <w:p>
            <w:pPr>
              <w:pStyle w:val="TableParagraph"/>
              <w:spacing w:line="234" w:lineRule="exact"/>
              <w:ind w:left="113"/>
              <w:rPr>
                <w:sz w:val="22"/>
              </w:rPr>
            </w:pPr>
            <w:r>
              <w:rPr>
                <w:sz w:val="22"/>
              </w:rPr>
              <w:t>requiring</w:t>
            </w:r>
            <w:r>
              <w:rPr>
                <w:spacing w:val="-9"/>
                <w:sz w:val="22"/>
              </w:rPr>
              <w:t> </w:t>
            </w:r>
            <w:r>
              <w:rPr>
                <w:sz w:val="22"/>
              </w:rPr>
              <w:t>24-hour</w:t>
            </w:r>
            <w:r>
              <w:rPr>
                <w:spacing w:val="-2"/>
                <w:sz w:val="22"/>
              </w:rPr>
              <w:t> monitoring.</w:t>
            </w:r>
          </w:p>
        </w:tc>
      </w:tr>
      <w:tr>
        <w:trPr>
          <w:trHeight w:val="4552" w:hRule="atLeast"/>
        </w:trPr>
        <w:tc>
          <w:tcPr>
            <w:tcW w:w="3062" w:type="dxa"/>
          </w:tcPr>
          <w:p>
            <w:pPr>
              <w:pStyle w:val="TableParagraph"/>
              <w:ind w:left="112" w:right="128"/>
              <w:rPr>
                <w:sz w:val="22"/>
              </w:rPr>
            </w:pPr>
            <w:r>
              <w:rPr>
                <w:sz w:val="22"/>
              </w:rPr>
              <w:t>Program of Assertive Community</w:t>
            </w:r>
            <w:r>
              <w:rPr>
                <w:spacing w:val="-14"/>
                <w:sz w:val="22"/>
              </w:rPr>
              <w:t> </w:t>
            </w:r>
            <w:r>
              <w:rPr>
                <w:sz w:val="22"/>
              </w:rPr>
              <w:t>Treatment</w:t>
            </w:r>
            <w:r>
              <w:rPr>
                <w:spacing w:val="-14"/>
                <w:sz w:val="22"/>
              </w:rPr>
              <w:t> </w:t>
            </w:r>
            <w:r>
              <w:rPr>
                <w:sz w:val="22"/>
              </w:rPr>
              <w:t>(PACT)</w:t>
            </w:r>
          </w:p>
        </w:tc>
        <w:tc>
          <w:tcPr>
            <w:tcW w:w="2512" w:type="dxa"/>
          </w:tcPr>
          <w:p>
            <w:pPr>
              <w:pStyle w:val="TableParagraph"/>
              <w:ind w:left="110" w:right="105"/>
              <w:rPr>
                <w:sz w:val="22"/>
              </w:rPr>
            </w:pPr>
            <w:r>
              <w:rPr>
                <w:sz w:val="22"/>
              </w:rPr>
              <w:t>Non-24-hour facility, and/or</w:t>
            </w:r>
            <w:r>
              <w:rPr>
                <w:spacing w:val="-14"/>
                <w:sz w:val="22"/>
              </w:rPr>
              <w:t> </w:t>
            </w:r>
            <w:r>
              <w:rPr>
                <w:sz w:val="22"/>
              </w:rPr>
              <w:t>discharge</w:t>
            </w:r>
            <w:r>
              <w:rPr>
                <w:spacing w:val="-14"/>
                <w:sz w:val="22"/>
              </w:rPr>
              <w:t> </w:t>
            </w:r>
            <w:r>
              <w:rPr>
                <w:sz w:val="22"/>
              </w:rPr>
              <w:t>planning provided in a 24 hour facility, including a facility that qualifies as</w:t>
            </w:r>
            <w:r>
              <w:rPr>
                <w:spacing w:val="40"/>
                <w:sz w:val="22"/>
              </w:rPr>
              <w:t> </w:t>
            </w:r>
            <w:r>
              <w:rPr>
                <w:sz w:val="22"/>
              </w:rPr>
              <w:t>an IMD</w:t>
            </w:r>
          </w:p>
        </w:tc>
        <w:tc>
          <w:tcPr>
            <w:tcW w:w="3774" w:type="dxa"/>
          </w:tcPr>
          <w:p>
            <w:pPr>
              <w:pStyle w:val="TableParagraph"/>
              <w:ind w:left="113" w:right="120"/>
              <w:rPr>
                <w:sz w:val="22"/>
              </w:rPr>
            </w:pPr>
            <w:r>
              <w:rPr>
                <w:sz w:val="22"/>
              </w:rPr>
              <w:t>A multi-disciplinary team approach to providing acute, active, ongoing, and long-term</w:t>
            </w:r>
            <w:r>
              <w:rPr>
                <w:spacing w:val="-14"/>
                <w:sz w:val="22"/>
              </w:rPr>
              <w:t> </w:t>
            </w:r>
            <w:r>
              <w:rPr>
                <w:sz w:val="22"/>
              </w:rPr>
              <w:t>community-based</w:t>
            </w:r>
            <w:r>
              <w:rPr>
                <w:spacing w:val="-14"/>
                <w:sz w:val="22"/>
              </w:rPr>
              <w:t> </w:t>
            </w:r>
            <w:r>
              <w:rPr>
                <w:sz w:val="22"/>
              </w:rPr>
              <w:t>psychiatric treatment, assertive outreach, rehabilitation</w:t>
            </w:r>
            <w:r>
              <w:rPr>
                <w:spacing w:val="-7"/>
                <w:sz w:val="22"/>
              </w:rPr>
              <w:t> </w:t>
            </w:r>
            <w:r>
              <w:rPr>
                <w:sz w:val="22"/>
              </w:rPr>
              <w:t>and</w:t>
            </w:r>
            <w:r>
              <w:rPr>
                <w:spacing w:val="-4"/>
                <w:sz w:val="22"/>
              </w:rPr>
              <w:t> </w:t>
            </w:r>
            <w:r>
              <w:rPr>
                <w:sz w:val="22"/>
              </w:rPr>
              <w:t>support.</w:t>
            </w:r>
            <w:r>
              <w:rPr>
                <w:spacing w:val="-7"/>
                <w:sz w:val="22"/>
              </w:rPr>
              <w:t> </w:t>
            </w:r>
            <w:r>
              <w:rPr>
                <w:sz w:val="22"/>
              </w:rPr>
              <w:t>The</w:t>
            </w:r>
            <w:r>
              <w:rPr>
                <w:spacing w:val="-6"/>
                <w:sz w:val="22"/>
              </w:rPr>
              <w:t> </w:t>
            </w:r>
            <w:r>
              <w:rPr>
                <w:sz w:val="22"/>
              </w:rPr>
              <w:t>program team provides assistance to Covered Individuals to maximize their recovery, ensure consumer-directed goal setting, assist individuals in gaining a sense of hope and empowerment, and provide assistance in helping the individuals served</w:t>
            </w:r>
            <w:r>
              <w:rPr>
                <w:spacing w:val="-6"/>
                <w:sz w:val="22"/>
              </w:rPr>
              <w:t> </w:t>
            </w:r>
            <w:r>
              <w:rPr>
                <w:sz w:val="22"/>
              </w:rPr>
              <w:t>become</w:t>
            </w:r>
            <w:r>
              <w:rPr>
                <w:spacing w:val="-6"/>
                <w:sz w:val="22"/>
              </w:rPr>
              <w:t> </w:t>
            </w:r>
            <w:r>
              <w:rPr>
                <w:sz w:val="22"/>
              </w:rPr>
              <w:t>better</w:t>
            </w:r>
            <w:r>
              <w:rPr>
                <w:spacing w:val="-8"/>
                <w:sz w:val="22"/>
              </w:rPr>
              <w:t> </w:t>
            </w:r>
            <w:r>
              <w:rPr>
                <w:sz w:val="22"/>
              </w:rPr>
              <w:t>integrated</w:t>
            </w:r>
            <w:r>
              <w:rPr>
                <w:spacing w:val="-9"/>
                <w:sz w:val="22"/>
              </w:rPr>
              <w:t> </w:t>
            </w:r>
            <w:r>
              <w:rPr>
                <w:sz w:val="22"/>
              </w:rPr>
              <w:t>into</w:t>
            </w:r>
            <w:r>
              <w:rPr>
                <w:spacing w:val="-6"/>
                <w:sz w:val="22"/>
              </w:rPr>
              <w:t> </w:t>
            </w:r>
            <w:r>
              <w:rPr>
                <w:sz w:val="22"/>
              </w:rPr>
              <w:t>the </w:t>
            </w:r>
            <w:r>
              <w:rPr>
                <w:spacing w:val="-2"/>
                <w:sz w:val="22"/>
              </w:rPr>
              <w:t>community.</w:t>
            </w:r>
          </w:p>
          <w:p>
            <w:pPr>
              <w:pStyle w:val="TableParagraph"/>
              <w:spacing w:before="8"/>
              <w:rPr>
                <w:sz w:val="21"/>
              </w:rPr>
            </w:pPr>
          </w:p>
          <w:p>
            <w:pPr>
              <w:pStyle w:val="TableParagraph"/>
              <w:ind w:left="113"/>
              <w:rPr>
                <w:sz w:val="22"/>
              </w:rPr>
            </w:pPr>
            <w:r>
              <w:rPr>
                <w:sz w:val="22"/>
              </w:rPr>
              <w:t>Services</w:t>
            </w:r>
            <w:r>
              <w:rPr>
                <w:spacing w:val="-3"/>
                <w:sz w:val="22"/>
              </w:rPr>
              <w:t> </w:t>
            </w:r>
            <w:r>
              <w:rPr>
                <w:sz w:val="22"/>
              </w:rPr>
              <w:t>are</w:t>
            </w:r>
            <w:r>
              <w:rPr>
                <w:spacing w:val="-1"/>
                <w:sz w:val="22"/>
              </w:rPr>
              <w:t> </w:t>
            </w:r>
            <w:r>
              <w:rPr>
                <w:sz w:val="22"/>
              </w:rPr>
              <w:t>provided</w:t>
            </w:r>
            <w:r>
              <w:rPr>
                <w:spacing w:val="-1"/>
                <w:sz w:val="22"/>
              </w:rPr>
              <w:t> </w:t>
            </w:r>
            <w:r>
              <w:rPr>
                <w:sz w:val="22"/>
              </w:rPr>
              <w:t>in</w:t>
            </w:r>
            <w:r>
              <w:rPr>
                <w:spacing w:val="-1"/>
                <w:sz w:val="22"/>
              </w:rPr>
              <w:t> </w:t>
            </w:r>
            <w:r>
              <w:rPr>
                <w:sz w:val="22"/>
              </w:rPr>
              <w:t>the</w:t>
            </w:r>
            <w:r>
              <w:rPr>
                <w:spacing w:val="-3"/>
                <w:sz w:val="22"/>
              </w:rPr>
              <w:t> </w:t>
            </w:r>
            <w:r>
              <w:rPr>
                <w:sz w:val="22"/>
              </w:rPr>
              <w:t>community and are available, as needed by the individual,</w:t>
            </w:r>
            <w:r>
              <w:rPr>
                <w:spacing w:val="-9"/>
                <w:sz w:val="22"/>
              </w:rPr>
              <w:t> </w:t>
            </w:r>
            <w:r>
              <w:rPr>
                <w:sz w:val="22"/>
              </w:rPr>
              <w:t>24</w:t>
            </w:r>
            <w:r>
              <w:rPr>
                <w:spacing w:val="-7"/>
                <w:sz w:val="22"/>
              </w:rPr>
              <w:t> </w:t>
            </w:r>
            <w:r>
              <w:rPr>
                <w:sz w:val="22"/>
              </w:rPr>
              <w:t>hours</w:t>
            </w:r>
            <w:r>
              <w:rPr>
                <w:spacing w:val="-7"/>
                <w:sz w:val="22"/>
              </w:rPr>
              <w:t> </w:t>
            </w:r>
            <w:r>
              <w:rPr>
                <w:sz w:val="22"/>
              </w:rPr>
              <w:t>per</w:t>
            </w:r>
            <w:r>
              <w:rPr>
                <w:spacing w:val="-6"/>
                <w:sz w:val="22"/>
              </w:rPr>
              <w:t> </w:t>
            </w:r>
            <w:r>
              <w:rPr>
                <w:sz w:val="22"/>
              </w:rPr>
              <w:t>day,</w:t>
            </w:r>
            <w:r>
              <w:rPr>
                <w:spacing w:val="-7"/>
                <w:sz w:val="22"/>
              </w:rPr>
              <w:t> </w:t>
            </w:r>
            <w:r>
              <w:rPr>
                <w:sz w:val="22"/>
              </w:rPr>
              <w:t>seven</w:t>
            </w:r>
            <w:r>
              <w:rPr>
                <w:spacing w:val="-7"/>
                <w:sz w:val="22"/>
              </w:rPr>
              <w:t> </w:t>
            </w:r>
            <w:r>
              <w:rPr>
                <w:sz w:val="22"/>
              </w:rPr>
              <w:t>days</w:t>
            </w:r>
          </w:p>
          <w:p>
            <w:pPr>
              <w:pStyle w:val="TableParagraph"/>
              <w:spacing w:line="233" w:lineRule="exact" w:before="2"/>
              <w:ind w:left="113"/>
              <w:rPr>
                <w:sz w:val="22"/>
              </w:rPr>
            </w:pPr>
            <w:r>
              <w:rPr>
                <w:sz w:val="22"/>
              </w:rPr>
              <w:t>per</w:t>
            </w:r>
            <w:r>
              <w:rPr>
                <w:spacing w:val="-3"/>
                <w:sz w:val="22"/>
              </w:rPr>
              <w:t> </w:t>
            </w:r>
            <w:r>
              <w:rPr>
                <w:sz w:val="22"/>
              </w:rPr>
              <w:t>week,</w:t>
            </w:r>
            <w:r>
              <w:rPr>
                <w:spacing w:val="-2"/>
                <w:sz w:val="22"/>
              </w:rPr>
              <w:t> </w:t>
            </w:r>
            <w:r>
              <w:rPr>
                <w:sz w:val="22"/>
              </w:rPr>
              <w:t>365</w:t>
            </w:r>
            <w:r>
              <w:rPr>
                <w:spacing w:val="-4"/>
                <w:sz w:val="22"/>
              </w:rPr>
              <w:t> </w:t>
            </w:r>
            <w:r>
              <w:rPr>
                <w:sz w:val="22"/>
              </w:rPr>
              <w:t>days</w:t>
            </w:r>
            <w:r>
              <w:rPr>
                <w:spacing w:val="-2"/>
                <w:sz w:val="22"/>
              </w:rPr>
              <w:t> </w:t>
            </w:r>
            <w:r>
              <w:rPr>
                <w:sz w:val="22"/>
              </w:rPr>
              <w:t>per </w:t>
            </w:r>
            <w:r>
              <w:rPr>
                <w:spacing w:val="-4"/>
                <w:sz w:val="22"/>
              </w:rPr>
              <w:t>year.</w:t>
            </w:r>
          </w:p>
        </w:tc>
      </w:tr>
      <w:tr>
        <w:trPr>
          <w:trHeight w:val="1775" w:hRule="atLeast"/>
        </w:trPr>
        <w:tc>
          <w:tcPr>
            <w:tcW w:w="3062" w:type="dxa"/>
            <w:tcBorders>
              <w:bottom w:val="single" w:sz="12" w:space="0" w:color="000000"/>
            </w:tcBorders>
          </w:tcPr>
          <w:p>
            <w:pPr>
              <w:pStyle w:val="TableParagraph"/>
              <w:ind w:left="112" w:right="128"/>
              <w:rPr>
                <w:sz w:val="22"/>
              </w:rPr>
            </w:pPr>
            <w:r>
              <w:rPr>
                <w:sz w:val="22"/>
              </w:rPr>
              <w:t>Emergency</w:t>
            </w:r>
            <w:r>
              <w:rPr>
                <w:spacing w:val="-14"/>
                <w:sz w:val="22"/>
              </w:rPr>
              <w:t> </w:t>
            </w:r>
            <w:r>
              <w:rPr>
                <w:sz w:val="22"/>
              </w:rPr>
              <w:t>Services</w:t>
            </w:r>
            <w:r>
              <w:rPr>
                <w:spacing w:val="-14"/>
                <w:sz w:val="22"/>
              </w:rPr>
              <w:t> </w:t>
            </w:r>
            <w:r>
              <w:rPr>
                <w:sz w:val="22"/>
              </w:rPr>
              <w:t>Program (to be renamed Mobile</w:t>
            </w:r>
            <w:r>
              <w:rPr>
                <w:spacing w:val="-2"/>
                <w:sz w:val="22"/>
              </w:rPr>
              <w:t> </w:t>
            </w:r>
            <w:r>
              <w:rPr>
                <w:sz w:val="22"/>
              </w:rPr>
              <w:t>Crisis Intervention as of January </w:t>
            </w:r>
            <w:r>
              <w:rPr>
                <w:spacing w:val="-2"/>
                <w:sz w:val="22"/>
              </w:rPr>
              <w:t>2023)*</w:t>
            </w:r>
          </w:p>
        </w:tc>
        <w:tc>
          <w:tcPr>
            <w:tcW w:w="2512" w:type="dxa"/>
            <w:tcBorders>
              <w:bottom w:val="single" w:sz="12" w:space="0" w:color="000000"/>
            </w:tcBorders>
          </w:tcPr>
          <w:p>
            <w:pPr>
              <w:pStyle w:val="TableParagraph"/>
              <w:spacing w:line="251" w:lineRule="exact"/>
              <w:ind w:left="110"/>
              <w:rPr>
                <w:sz w:val="22"/>
              </w:rPr>
            </w:pPr>
            <w:r>
              <w:rPr>
                <w:sz w:val="22"/>
              </w:rPr>
              <w:t>Non-24-hour</w:t>
            </w:r>
            <w:r>
              <w:rPr>
                <w:spacing w:val="-7"/>
                <w:sz w:val="22"/>
              </w:rPr>
              <w:t> </w:t>
            </w:r>
            <w:r>
              <w:rPr>
                <w:spacing w:val="-2"/>
                <w:sz w:val="22"/>
              </w:rPr>
              <w:t>facility</w:t>
            </w:r>
          </w:p>
        </w:tc>
        <w:tc>
          <w:tcPr>
            <w:tcW w:w="3774" w:type="dxa"/>
            <w:tcBorders>
              <w:bottom w:val="single" w:sz="12" w:space="0" w:color="000000"/>
            </w:tcBorders>
          </w:tcPr>
          <w:p>
            <w:pPr>
              <w:pStyle w:val="TableParagraph"/>
              <w:ind w:left="113"/>
              <w:rPr>
                <w:sz w:val="22"/>
              </w:rPr>
            </w:pPr>
            <w:r>
              <w:rPr>
                <w:sz w:val="22"/>
              </w:rPr>
              <w:t>Services provided through designated contracted ESPs / Mobile Crisis Intervention providers, and which are available</w:t>
            </w:r>
            <w:r>
              <w:rPr>
                <w:spacing w:val="-8"/>
                <w:sz w:val="22"/>
              </w:rPr>
              <w:t> </w:t>
            </w:r>
            <w:r>
              <w:rPr>
                <w:sz w:val="22"/>
              </w:rPr>
              <w:t>seven</w:t>
            </w:r>
            <w:r>
              <w:rPr>
                <w:spacing w:val="-6"/>
                <w:sz w:val="22"/>
              </w:rPr>
              <w:t> </w:t>
            </w:r>
            <w:r>
              <w:rPr>
                <w:sz w:val="22"/>
              </w:rPr>
              <w:t>days</w:t>
            </w:r>
            <w:r>
              <w:rPr>
                <w:spacing w:val="-6"/>
                <w:sz w:val="22"/>
              </w:rPr>
              <w:t> </w:t>
            </w:r>
            <w:r>
              <w:rPr>
                <w:sz w:val="22"/>
              </w:rPr>
              <w:t>per</w:t>
            </w:r>
            <w:r>
              <w:rPr>
                <w:spacing w:val="-5"/>
                <w:sz w:val="22"/>
              </w:rPr>
              <w:t> </w:t>
            </w:r>
            <w:r>
              <w:rPr>
                <w:sz w:val="22"/>
              </w:rPr>
              <w:t>week,</w:t>
            </w:r>
            <w:r>
              <w:rPr>
                <w:spacing w:val="-6"/>
                <w:sz w:val="22"/>
              </w:rPr>
              <w:t> </w:t>
            </w:r>
            <w:r>
              <w:rPr>
                <w:sz w:val="22"/>
              </w:rPr>
              <w:t>24</w:t>
            </w:r>
            <w:r>
              <w:rPr>
                <w:spacing w:val="-6"/>
                <w:sz w:val="22"/>
              </w:rPr>
              <w:t> </w:t>
            </w:r>
            <w:r>
              <w:rPr>
                <w:sz w:val="22"/>
              </w:rPr>
              <w:t>hours per day to provide treatment of any individual</w:t>
            </w:r>
            <w:r>
              <w:rPr>
                <w:spacing w:val="-3"/>
                <w:sz w:val="22"/>
              </w:rPr>
              <w:t> </w:t>
            </w:r>
            <w:r>
              <w:rPr>
                <w:sz w:val="22"/>
              </w:rPr>
              <w:t>who</w:t>
            </w:r>
            <w:r>
              <w:rPr>
                <w:spacing w:val="-6"/>
                <w:sz w:val="22"/>
              </w:rPr>
              <w:t> </w:t>
            </w:r>
            <w:r>
              <w:rPr>
                <w:sz w:val="22"/>
              </w:rPr>
              <w:t>is</w:t>
            </w:r>
            <w:r>
              <w:rPr>
                <w:spacing w:val="-6"/>
                <w:sz w:val="22"/>
              </w:rPr>
              <w:t> </w:t>
            </w:r>
            <w:r>
              <w:rPr>
                <w:sz w:val="22"/>
              </w:rPr>
              <w:t>experiencing</w:t>
            </w:r>
            <w:r>
              <w:rPr>
                <w:spacing w:val="-6"/>
                <w:sz w:val="22"/>
              </w:rPr>
              <w:t> </w:t>
            </w:r>
            <w:r>
              <w:rPr>
                <w:sz w:val="22"/>
              </w:rPr>
              <w:t>a</w:t>
            </w:r>
            <w:r>
              <w:rPr>
                <w:spacing w:val="-4"/>
                <w:sz w:val="22"/>
              </w:rPr>
              <w:t> </w:t>
            </w:r>
            <w:r>
              <w:rPr>
                <w:sz w:val="22"/>
              </w:rPr>
              <w:t>mental</w:t>
            </w:r>
          </w:p>
          <w:p>
            <w:pPr>
              <w:pStyle w:val="TableParagraph"/>
              <w:spacing w:line="238" w:lineRule="exact"/>
              <w:ind w:left="113"/>
              <w:rPr>
                <w:sz w:val="22"/>
              </w:rPr>
            </w:pPr>
            <w:r>
              <w:rPr>
                <w:sz w:val="22"/>
              </w:rPr>
              <w:t>health</w:t>
            </w:r>
            <w:r>
              <w:rPr>
                <w:spacing w:val="-1"/>
                <w:sz w:val="22"/>
              </w:rPr>
              <w:t> </w:t>
            </w:r>
            <w:r>
              <w:rPr>
                <w:spacing w:val="-2"/>
                <w:sz w:val="22"/>
              </w:rPr>
              <w:t>crisis.</w:t>
            </w:r>
          </w:p>
        </w:tc>
      </w:tr>
      <w:tr>
        <w:trPr>
          <w:trHeight w:val="409" w:hRule="atLeast"/>
        </w:trPr>
        <w:tc>
          <w:tcPr>
            <w:tcW w:w="9348" w:type="dxa"/>
            <w:gridSpan w:val="3"/>
            <w:tcBorders>
              <w:top w:val="single" w:sz="12" w:space="0" w:color="000000"/>
              <w:left w:val="single" w:sz="8" w:space="0" w:color="000000"/>
              <w:bottom w:val="single" w:sz="8" w:space="0" w:color="000000"/>
              <w:right w:val="single" w:sz="8" w:space="0" w:color="000000"/>
            </w:tcBorders>
          </w:tcPr>
          <w:p>
            <w:pPr>
              <w:pStyle w:val="TableParagraph"/>
              <w:spacing w:line="251" w:lineRule="exact"/>
              <w:ind w:left="102"/>
              <w:rPr>
                <w:i/>
                <w:sz w:val="22"/>
              </w:rPr>
            </w:pPr>
            <w:r>
              <w:rPr>
                <w:i/>
                <w:sz w:val="22"/>
                <w:u w:val="single"/>
              </w:rPr>
              <w:t>Chart</w:t>
            </w:r>
            <w:r>
              <w:rPr>
                <w:i/>
                <w:spacing w:val="-2"/>
                <w:sz w:val="22"/>
                <w:u w:val="single"/>
              </w:rPr>
              <w:t> Notes:</w:t>
            </w:r>
          </w:p>
        </w:tc>
      </w:tr>
      <w:tr>
        <w:trPr>
          <w:trHeight w:val="918" w:hRule="atLeast"/>
        </w:trPr>
        <w:tc>
          <w:tcPr>
            <w:tcW w:w="9348" w:type="dxa"/>
            <w:gridSpan w:val="3"/>
            <w:tcBorders>
              <w:top w:val="single" w:sz="8" w:space="0" w:color="000000"/>
              <w:left w:val="single" w:sz="8" w:space="0" w:color="000000"/>
              <w:bottom w:val="single" w:sz="8" w:space="0" w:color="000000"/>
              <w:right w:val="single" w:sz="8" w:space="0" w:color="000000"/>
            </w:tcBorders>
          </w:tcPr>
          <w:p>
            <w:pPr>
              <w:pStyle w:val="TableParagraph"/>
              <w:spacing w:line="242" w:lineRule="auto"/>
              <w:ind w:left="102" w:right="313"/>
              <w:jc w:val="both"/>
              <w:rPr>
                <w:sz w:val="22"/>
              </w:rPr>
            </w:pPr>
            <w:r>
              <w:rPr>
                <w:sz w:val="22"/>
              </w:rPr>
              <w:t>*</w:t>
            </w:r>
            <w:r>
              <w:rPr>
                <w:spacing w:val="-1"/>
                <w:sz w:val="22"/>
              </w:rPr>
              <w:t> </w:t>
            </w:r>
            <w:r>
              <w:rPr>
                <w:sz w:val="22"/>
              </w:rPr>
              <w:t>This</w:t>
            </w:r>
            <w:r>
              <w:rPr>
                <w:spacing w:val="-3"/>
                <w:sz w:val="22"/>
              </w:rPr>
              <w:t> </w:t>
            </w:r>
            <w:r>
              <w:rPr>
                <w:sz w:val="22"/>
              </w:rPr>
              <w:t>service</w:t>
            </w:r>
            <w:r>
              <w:rPr>
                <w:spacing w:val="-1"/>
                <w:sz w:val="22"/>
              </w:rPr>
              <w:t> </w:t>
            </w:r>
            <w:r>
              <w:rPr>
                <w:sz w:val="22"/>
              </w:rPr>
              <w:t>is</w:t>
            </w:r>
            <w:r>
              <w:rPr>
                <w:spacing w:val="-1"/>
                <w:sz w:val="22"/>
              </w:rPr>
              <w:t> </w:t>
            </w:r>
            <w:r>
              <w:rPr>
                <w:sz w:val="22"/>
              </w:rPr>
              <w:t>a</w:t>
            </w:r>
            <w:r>
              <w:rPr>
                <w:spacing w:val="-3"/>
                <w:sz w:val="22"/>
              </w:rPr>
              <w:t> </w:t>
            </w:r>
            <w:r>
              <w:rPr>
                <w:sz w:val="22"/>
              </w:rPr>
              <w:t>service</w:t>
            </w:r>
            <w:r>
              <w:rPr>
                <w:spacing w:val="-1"/>
                <w:sz w:val="22"/>
              </w:rPr>
              <w:t> </w:t>
            </w:r>
            <w:r>
              <w:rPr>
                <w:sz w:val="22"/>
              </w:rPr>
              <w:t>provided</w:t>
            </w:r>
            <w:r>
              <w:rPr>
                <w:spacing w:val="-1"/>
                <w:sz w:val="22"/>
              </w:rPr>
              <w:t> </w:t>
            </w:r>
            <w:r>
              <w:rPr>
                <w:sz w:val="22"/>
              </w:rPr>
              <w:t>under</w:t>
            </w:r>
            <w:r>
              <w:rPr>
                <w:spacing w:val="-3"/>
                <w:sz w:val="22"/>
              </w:rPr>
              <w:t> </w:t>
            </w:r>
            <w:r>
              <w:rPr>
                <w:sz w:val="22"/>
              </w:rPr>
              <w:t>the</w:t>
            </w:r>
            <w:r>
              <w:rPr>
                <w:spacing w:val="-3"/>
                <w:sz w:val="22"/>
              </w:rPr>
              <w:t> </w:t>
            </w:r>
            <w:r>
              <w:rPr>
                <w:sz w:val="22"/>
              </w:rPr>
              <w:t>Medicaid</w:t>
            </w:r>
            <w:r>
              <w:rPr>
                <w:spacing w:val="-4"/>
                <w:sz w:val="22"/>
              </w:rPr>
              <w:t> </w:t>
            </w:r>
            <w:r>
              <w:rPr>
                <w:sz w:val="22"/>
              </w:rPr>
              <w:t>state</w:t>
            </w:r>
            <w:r>
              <w:rPr>
                <w:spacing w:val="-1"/>
                <w:sz w:val="22"/>
              </w:rPr>
              <w:t> </w:t>
            </w:r>
            <w:r>
              <w:rPr>
                <w:sz w:val="22"/>
              </w:rPr>
              <w:t>plan,</w:t>
            </w:r>
            <w:r>
              <w:rPr>
                <w:spacing w:val="-4"/>
                <w:sz w:val="22"/>
              </w:rPr>
              <w:t> </w:t>
            </w:r>
            <w:r>
              <w:rPr>
                <w:sz w:val="22"/>
              </w:rPr>
              <w:t>and</w:t>
            </w:r>
            <w:r>
              <w:rPr>
                <w:spacing w:val="-4"/>
                <w:sz w:val="22"/>
              </w:rPr>
              <w:t> </w:t>
            </w:r>
            <w:r>
              <w:rPr>
                <w:sz w:val="22"/>
              </w:rPr>
              <w:t>the</w:t>
            </w:r>
            <w:r>
              <w:rPr>
                <w:spacing w:val="-1"/>
                <w:sz w:val="22"/>
              </w:rPr>
              <w:t> </w:t>
            </w:r>
            <w:r>
              <w:rPr>
                <w:sz w:val="22"/>
              </w:rPr>
              <w:t>definition</w:t>
            </w:r>
            <w:r>
              <w:rPr>
                <w:spacing w:val="-1"/>
                <w:sz w:val="22"/>
              </w:rPr>
              <w:t> </w:t>
            </w:r>
            <w:r>
              <w:rPr>
                <w:sz w:val="22"/>
              </w:rPr>
              <w:t>may</w:t>
            </w:r>
            <w:r>
              <w:rPr>
                <w:spacing w:val="-4"/>
                <w:sz w:val="22"/>
              </w:rPr>
              <w:t> </w:t>
            </w:r>
            <w:r>
              <w:rPr>
                <w:sz w:val="22"/>
              </w:rPr>
              <w:t>be</w:t>
            </w:r>
            <w:r>
              <w:rPr>
                <w:spacing w:val="-1"/>
                <w:sz w:val="22"/>
              </w:rPr>
              <w:t> </w:t>
            </w:r>
            <w:r>
              <w:rPr>
                <w:sz w:val="22"/>
              </w:rPr>
              <w:t>changed pursuant to any</w:t>
            </w:r>
            <w:r>
              <w:rPr>
                <w:spacing w:val="-2"/>
                <w:sz w:val="22"/>
              </w:rPr>
              <w:t> </w:t>
            </w:r>
            <w:r>
              <w:rPr>
                <w:sz w:val="22"/>
              </w:rPr>
              <w:t>state plan</w:t>
            </w:r>
            <w:r>
              <w:rPr>
                <w:spacing w:val="-2"/>
                <w:sz w:val="22"/>
              </w:rPr>
              <w:t> </w:t>
            </w:r>
            <w:r>
              <w:rPr>
                <w:sz w:val="22"/>
              </w:rPr>
              <w:t>amendment.</w:t>
            </w:r>
            <w:r>
              <w:rPr>
                <w:spacing w:val="40"/>
                <w:sz w:val="22"/>
              </w:rPr>
              <w:t> </w:t>
            </w:r>
            <w:r>
              <w:rPr>
                <w:sz w:val="22"/>
              </w:rPr>
              <w:t>The state intends to</w:t>
            </w:r>
            <w:r>
              <w:rPr>
                <w:spacing w:val="-2"/>
                <w:sz w:val="22"/>
              </w:rPr>
              <w:t> </w:t>
            </w:r>
            <w:r>
              <w:rPr>
                <w:sz w:val="22"/>
              </w:rPr>
              <w:t>submit state plan amendments to</w:t>
            </w:r>
            <w:r>
              <w:rPr>
                <w:spacing w:val="-2"/>
                <w:sz w:val="22"/>
              </w:rPr>
              <w:t> </w:t>
            </w:r>
            <w:r>
              <w:rPr>
                <w:sz w:val="22"/>
              </w:rPr>
              <w:t>include IOP and SOAP in the state plan on or after January 1, 2023.</w:t>
            </w:r>
          </w:p>
        </w:tc>
      </w:tr>
    </w:tbl>
    <w:p>
      <w:pPr>
        <w:spacing w:after="0" w:line="242" w:lineRule="auto"/>
        <w:jc w:val="both"/>
        <w:rPr>
          <w:sz w:val="22"/>
        </w:rPr>
        <w:sectPr>
          <w:type w:val="continuous"/>
          <w:pgSz w:w="12240" w:h="15840"/>
          <w:pgMar w:header="0" w:footer="1201" w:top="1420" w:bottom="1400" w:left="1200" w:right="400"/>
        </w:sectPr>
      </w:pPr>
    </w:p>
    <w:p>
      <w:pPr>
        <w:pStyle w:val="BodyText"/>
        <w:ind w:left="229"/>
        <w:rPr>
          <w:sz w:val="20"/>
        </w:rPr>
      </w:pPr>
      <w:r>
        <w:rPr>
          <w:sz w:val="20"/>
        </w:rPr>
        <mc:AlternateContent>
          <mc:Choice Requires="wps">
            <w:drawing>
              <wp:inline distT="0" distB="0" distL="0" distR="0">
                <wp:extent cx="5943600" cy="757555"/>
                <wp:effectExtent l="9525" t="0" r="0" b="13970"/>
                <wp:docPr id="111" name="Textbox 111"/>
                <wp:cNvGraphicFramePr>
                  <a:graphicFrameLocks/>
                </wp:cNvGraphicFramePr>
                <a:graphic>
                  <a:graphicData uri="http://schemas.microsoft.com/office/word/2010/wordprocessingShape">
                    <wps:wsp>
                      <wps:cNvPr id="111" name="Textbox 111"/>
                      <wps:cNvSpPr txBox="1"/>
                      <wps:spPr>
                        <a:xfrm>
                          <a:off x="0" y="0"/>
                          <a:ext cx="5943600" cy="757555"/>
                        </a:xfrm>
                        <a:prstGeom prst="rect">
                          <a:avLst/>
                        </a:prstGeom>
                        <a:ln w="12179">
                          <a:solidFill>
                            <a:srgbClr val="000000"/>
                          </a:solidFill>
                          <a:prstDash val="solid"/>
                        </a:ln>
                      </wps:spPr>
                      <wps:txbx>
                        <w:txbxContent>
                          <w:p>
                            <w:pPr>
                              <w:spacing w:line="242" w:lineRule="auto" w:before="0"/>
                              <w:ind w:left="98" w:right="81" w:firstLine="0"/>
                              <w:jc w:val="left"/>
                              <w:rPr>
                                <w:sz w:val="22"/>
                              </w:rPr>
                            </w:pPr>
                            <w:r>
                              <w:rPr>
                                <w:sz w:val="22"/>
                              </w:rPr>
                              <w:t>** In this context, “therapeutic milieu” refers to a structured, sub-acute setting, in which clinical services (therapies) are provided at both the individual and group level, and in which the common social/interpersonal</w:t>
                            </w:r>
                            <w:r>
                              <w:rPr>
                                <w:spacing w:val="-4"/>
                                <w:sz w:val="22"/>
                              </w:rPr>
                              <w:t> </w:t>
                            </w:r>
                            <w:r>
                              <w:rPr>
                                <w:sz w:val="22"/>
                              </w:rPr>
                              <w:t>interactions</w:t>
                            </w:r>
                            <w:r>
                              <w:rPr>
                                <w:spacing w:val="-2"/>
                                <w:sz w:val="22"/>
                              </w:rPr>
                              <w:t> </w:t>
                            </w:r>
                            <w:r>
                              <w:rPr>
                                <w:sz w:val="22"/>
                              </w:rPr>
                              <w:t>between</w:t>
                            </w:r>
                            <w:r>
                              <w:rPr>
                                <w:spacing w:val="-2"/>
                                <w:sz w:val="22"/>
                              </w:rPr>
                              <w:t> </w:t>
                            </w:r>
                            <w:r>
                              <w:rPr>
                                <w:sz w:val="22"/>
                              </w:rPr>
                              <w:t>each</w:t>
                            </w:r>
                            <w:r>
                              <w:rPr>
                                <w:spacing w:val="-2"/>
                                <w:sz w:val="22"/>
                              </w:rPr>
                              <w:t> </w:t>
                            </w:r>
                            <w:r>
                              <w:rPr>
                                <w:sz w:val="22"/>
                              </w:rPr>
                              <w:t>patient,</w:t>
                            </w:r>
                            <w:r>
                              <w:rPr>
                                <w:spacing w:val="-5"/>
                                <w:sz w:val="22"/>
                              </w:rPr>
                              <w:t> </w:t>
                            </w:r>
                            <w:r>
                              <w:rPr>
                                <w:sz w:val="22"/>
                              </w:rPr>
                              <w:t>and</w:t>
                            </w:r>
                            <w:r>
                              <w:rPr>
                                <w:spacing w:val="-2"/>
                                <w:sz w:val="22"/>
                              </w:rPr>
                              <w:t> </w:t>
                            </w:r>
                            <w:r>
                              <w:rPr>
                                <w:sz w:val="22"/>
                              </w:rPr>
                              <w:t>all</w:t>
                            </w:r>
                            <w:r>
                              <w:rPr>
                                <w:spacing w:val="-1"/>
                                <w:sz w:val="22"/>
                              </w:rPr>
                              <w:t> </w:t>
                            </w:r>
                            <w:r>
                              <w:rPr>
                                <w:sz w:val="22"/>
                              </w:rPr>
                              <w:t>others</w:t>
                            </w:r>
                            <w:r>
                              <w:rPr>
                                <w:spacing w:val="-2"/>
                                <w:sz w:val="22"/>
                              </w:rPr>
                              <w:t> </w:t>
                            </w:r>
                            <w:r>
                              <w:rPr>
                                <w:sz w:val="22"/>
                              </w:rPr>
                              <w:t>who</w:t>
                            </w:r>
                            <w:r>
                              <w:rPr>
                                <w:spacing w:val="-5"/>
                                <w:sz w:val="22"/>
                              </w:rPr>
                              <w:t> </w:t>
                            </w:r>
                            <w:r>
                              <w:rPr>
                                <w:sz w:val="22"/>
                              </w:rPr>
                              <w:t>are</w:t>
                            </w:r>
                            <w:r>
                              <w:rPr>
                                <w:spacing w:val="-2"/>
                                <w:sz w:val="22"/>
                              </w:rPr>
                              <w:t> </w:t>
                            </w:r>
                            <w:r>
                              <w:rPr>
                                <w:sz w:val="22"/>
                              </w:rPr>
                              <w:t>present</w:t>
                            </w:r>
                            <w:r>
                              <w:rPr>
                                <w:spacing w:val="-4"/>
                                <w:sz w:val="22"/>
                              </w:rPr>
                              <w:t> </w:t>
                            </w:r>
                            <w:r>
                              <w:rPr>
                                <w:sz w:val="22"/>
                              </w:rPr>
                              <w:t>in</w:t>
                            </w:r>
                            <w:r>
                              <w:rPr>
                                <w:spacing w:val="-2"/>
                                <w:sz w:val="22"/>
                              </w:rPr>
                              <w:t> </w:t>
                            </w:r>
                            <w:r>
                              <w:rPr>
                                <w:sz w:val="22"/>
                              </w:rPr>
                              <w:t>the</w:t>
                            </w:r>
                            <w:r>
                              <w:rPr>
                                <w:spacing w:val="-2"/>
                                <w:sz w:val="22"/>
                              </w:rPr>
                              <w:t> </w:t>
                            </w:r>
                            <w:r>
                              <w:rPr>
                                <w:sz w:val="22"/>
                              </w:rPr>
                              <w:t>setting,</w:t>
                            </w:r>
                            <w:r>
                              <w:rPr>
                                <w:spacing w:val="-2"/>
                                <w:sz w:val="22"/>
                              </w:rPr>
                              <w:t> </w:t>
                            </w:r>
                            <w:r>
                              <w:rPr>
                                <w:sz w:val="22"/>
                              </w:rPr>
                              <w:t>are incorporated into the treatment approach.</w:t>
                            </w:r>
                          </w:p>
                        </w:txbxContent>
                      </wps:txbx>
                      <wps:bodyPr wrap="square" lIns="0" tIns="0" rIns="0" bIns="0" rtlCol="0">
                        <a:noAutofit/>
                      </wps:bodyPr>
                    </wps:wsp>
                  </a:graphicData>
                </a:graphic>
              </wp:inline>
            </w:drawing>
          </mc:Choice>
          <mc:Fallback>
            <w:pict>
              <v:shape style="width:468pt;height:59.65pt;mso-position-horizontal-relative:char;mso-position-vertical-relative:line" type="#_x0000_t202" id="docshape18" filled="false" stroked="true" strokeweight=".959pt" strokecolor="#000000">
                <w10:anchorlock/>
                <v:textbox inset="0,0,0,0">
                  <w:txbxContent>
                    <w:p>
                      <w:pPr>
                        <w:spacing w:line="242" w:lineRule="auto" w:before="0"/>
                        <w:ind w:left="98" w:right="81" w:firstLine="0"/>
                        <w:jc w:val="left"/>
                        <w:rPr>
                          <w:sz w:val="22"/>
                        </w:rPr>
                      </w:pPr>
                      <w:r>
                        <w:rPr>
                          <w:sz w:val="22"/>
                        </w:rPr>
                        <w:t>** In this context, “therapeutic milieu” refers to a structured, sub-acute setting, in which clinical services (therapies) are provided at both the individual and group level, and in which the common social/interpersonal</w:t>
                      </w:r>
                      <w:r>
                        <w:rPr>
                          <w:spacing w:val="-4"/>
                          <w:sz w:val="22"/>
                        </w:rPr>
                        <w:t> </w:t>
                      </w:r>
                      <w:r>
                        <w:rPr>
                          <w:sz w:val="22"/>
                        </w:rPr>
                        <w:t>interactions</w:t>
                      </w:r>
                      <w:r>
                        <w:rPr>
                          <w:spacing w:val="-2"/>
                          <w:sz w:val="22"/>
                        </w:rPr>
                        <w:t> </w:t>
                      </w:r>
                      <w:r>
                        <w:rPr>
                          <w:sz w:val="22"/>
                        </w:rPr>
                        <w:t>between</w:t>
                      </w:r>
                      <w:r>
                        <w:rPr>
                          <w:spacing w:val="-2"/>
                          <w:sz w:val="22"/>
                        </w:rPr>
                        <w:t> </w:t>
                      </w:r>
                      <w:r>
                        <w:rPr>
                          <w:sz w:val="22"/>
                        </w:rPr>
                        <w:t>each</w:t>
                      </w:r>
                      <w:r>
                        <w:rPr>
                          <w:spacing w:val="-2"/>
                          <w:sz w:val="22"/>
                        </w:rPr>
                        <w:t> </w:t>
                      </w:r>
                      <w:r>
                        <w:rPr>
                          <w:sz w:val="22"/>
                        </w:rPr>
                        <w:t>patient,</w:t>
                      </w:r>
                      <w:r>
                        <w:rPr>
                          <w:spacing w:val="-5"/>
                          <w:sz w:val="22"/>
                        </w:rPr>
                        <w:t> </w:t>
                      </w:r>
                      <w:r>
                        <w:rPr>
                          <w:sz w:val="22"/>
                        </w:rPr>
                        <w:t>and</w:t>
                      </w:r>
                      <w:r>
                        <w:rPr>
                          <w:spacing w:val="-2"/>
                          <w:sz w:val="22"/>
                        </w:rPr>
                        <w:t> </w:t>
                      </w:r>
                      <w:r>
                        <w:rPr>
                          <w:sz w:val="22"/>
                        </w:rPr>
                        <w:t>all</w:t>
                      </w:r>
                      <w:r>
                        <w:rPr>
                          <w:spacing w:val="-1"/>
                          <w:sz w:val="22"/>
                        </w:rPr>
                        <w:t> </w:t>
                      </w:r>
                      <w:r>
                        <w:rPr>
                          <w:sz w:val="22"/>
                        </w:rPr>
                        <w:t>others</w:t>
                      </w:r>
                      <w:r>
                        <w:rPr>
                          <w:spacing w:val="-2"/>
                          <w:sz w:val="22"/>
                        </w:rPr>
                        <w:t> </w:t>
                      </w:r>
                      <w:r>
                        <w:rPr>
                          <w:sz w:val="22"/>
                        </w:rPr>
                        <w:t>who</w:t>
                      </w:r>
                      <w:r>
                        <w:rPr>
                          <w:spacing w:val="-5"/>
                          <w:sz w:val="22"/>
                        </w:rPr>
                        <w:t> </w:t>
                      </w:r>
                      <w:r>
                        <w:rPr>
                          <w:sz w:val="22"/>
                        </w:rPr>
                        <w:t>are</w:t>
                      </w:r>
                      <w:r>
                        <w:rPr>
                          <w:spacing w:val="-2"/>
                          <w:sz w:val="22"/>
                        </w:rPr>
                        <w:t> </w:t>
                      </w:r>
                      <w:r>
                        <w:rPr>
                          <w:sz w:val="22"/>
                        </w:rPr>
                        <w:t>present</w:t>
                      </w:r>
                      <w:r>
                        <w:rPr>
                          <w:spacing w:val="-4"/>
                          <w:sz w:val="22"/>
                        </w:rPr>
                        <w:t> </w:t>
                      </w:r>
                      <w:r>
                        <w:rPr>
                          <w:sz w:val="22"/>
                        </w:rPr>
                        <w:t>in</w:t>
                      </w:r>
                      <w:r>
                        <w:rPr>
                          <w:spacing w:val="-2"/>
                          <w:sz w:val="22"/>
                        </w:rPr>
                        <w:t> </w:t>
                      </w:r>
                      <w:r>
                        <w:rPr>
                          <w:sz w:val="22"/>
                        </w:rPr>
                        <w:t>the</w:t>
                      </w:r>
                      <w:r>
                        <w:rPr>
                          <w:spacing w:val="-2"/>
                          <w:sz w:val="22"/>
                        </w:rPr>
                        <w:t> </w:t>
                      </w:r>
                      <w:r>
                        <w:rPr>
                          <w:sz w:val="22"/>
                        </w:rPr>
                        <w:t>setting,</w:t>
                      </w:r>
                      <w:r>
                        <w:rPr>
                          <w:spacing w:val="-2"/>
                          <w:sz w:val="22"/>
                        </w:rPr>
                        <w:t> </w:t>
                      </w:r>
                      <w:r>
                        <w:rPr>
                          <w:sz w:val="22"/>
                        </w:rPr>
                        <w:t>are incorporated into the treatment approach.</w:t>
                      </w:r>
                    </w:p>
                  </w:txbxContent>
                </v:textbox>
                <v:stroke dashstyle="solid"/>
              </v:shape>
            </w:pict>
          </mc:Fallback>
        </mc:AlternateContent>
      </w:r>
      <w:r>
        <w:rPr>
          <w:sz w:val="20"/>
        </w:rPr>
      </w:r>
    </w:p>
    <w:p>
      <w:pPr>
        <w:pStyle w:val="BodyText"/>
        <w:rPr>
          <w:sz w:val="20"/>
        </w:rPr>
      </w:pPr>
    </w:p>
    <w:p>
      <w:pPr>
        <w:pStyle w:val="BodyText"/>
        <w:spacing w:before="1"/>
        <w:rPr>
          <w:sz w:val="23"/>
        </w:rPr>
      </w:pPr>
    </w:p>
    <w:p>
      <w:pPr>
        <w:pStyle w:val="Heading4"/>
        <w:numPr>
          <w:ilvl w:val="0"/>
          <w:numId w:val="3"/>
        </w:numPr>
        <w:tabs>
          <w:tab w:pos="600" w:val="left" w:leader="none"/>
        </w:tabs>
        <w:spacing w:line="240" w:lineRule="auto" w:before="1" w:after="0"/>
        <w:ind w:left="600" w:right="0" w:hanging="360"/>
        <w:jc w:val="left"/>
      </w:pPr>
      <w:bookmarkStart w:name="6. OPIOID USE DISORDER/SUBSTANCE USE DIS" w:id="233"/>
      <w:bookmarkEnd w:id="233"/>
      <w:r>
        <w:rPr>
          <w:b w:val="0"/>
        </w:rPr>
      </w:r>
      <w:r>
        <w:rPr/>
        <w:t>OPIOID</w:t>
      </w:r>
      <w:r>
        <w:rPr>
          <w:spacing w:val="-5"/>
        </w:rPr>
        <w:t> </w:t>
      </w:r>
      <w:r>
        <w:rPr/>
        <w:t>USE</w:t>
      </w:r>
      <w:r>
        <w:rPr>
          <w:spacing w:val="-3"/>
        </w:rPr>
        <w:t> </w:t>
      </w:r>
      <w:r>
        <w:rPr/>
        <w:t>DISORDER/SUBSTANCE</w:t>
      </w:r>
      <w:r>
        <w:rPr>
          <w:spacing w:val="-3"/>
        </w:rPr>
        <w:t> </w:t>
      </w:r>
      <w:r>
        <w:rPr/>
        <w:t>USE</w:t>
      </w:r>
      <w:r>
        <w:rPr>
          <w:spacing w:val="-5"/>
        </w:rPr>
        <w:t> </w:t>
      </w:r>
      <w:r>
        <w:rPr>
          <w:spacing w:val="-2"/>
        </w:rPr>
        <w:t>DISORDER</w:t>
      </w:r>
    </w:p>
    <w:p>
      <w:pPr>
        <w:pStyle w:val="BodyText"/>
        <w:spacing w:before="9"/>
        <w:rPr>
          <w:b/>
          <w:sz w:val="20"/>
        </w:rPr>
      </w:pPr>
    </w:p>
    <w:p>
      <w:pPr>
        <w:pStyle w:val="BodyText"/>
        <w:spacing w:before="1"/>
        <w:ind w:left="240" w:right="1059"/>
      </w:pPr>
      <w:r>
        <w:rPr/>
        <w:t>Since</w:t>
      </w:r>
      <w:r>
        <w:rPr>
          <w:spacing w:val="-4"/>
        </w:rPr>
        <w:t> </w:t>
      </w:r>
      <w:r>
        <w:rPr/>
        <w:t>2016,</w:t>
      </w:r>
      <w:r>
        <w:rPr>
          <w:spacing w:val="-3"/>
        </w:rPr>
        <w:t> </w:t>
      </w:r>
      <w:r>
        <w:rPr/>
        <w:t>the</w:t>
      </w:r>
      <w:r>
        <w:rPr>
          <w:spacing w:val="-4"/>
        </w:rPr>
        <w:t> </w:t>
      </w:r>
      <w:r>
        <w:rPr/>
        <w:t>Commonwealth</w:t>
      </w:r>
      <w:r>
        <w:rPr>
          <w:spacing w:val="-3"/>
        </w:rPr>
        <w:t> </w:t>
      </w:r>
      <w:r>
        <w:rPr/>
        <w:t>has</w:t>
      </w:r>
      <w:r>
        <w:rPr>
          <w:spacing w:val="-3"/>
        </w:rPr>
        <w:t> </w:t>
      </w:r>
      <w:r>
        <w:rPr/>
        <w:t>provided</w:t>
      </w:r>
      <w:r>
        <w:rPr>
          <w:spacing w:val="-1"/>
        </w:rPr>
        <w:t> </w:t>
      </w:r>
      <w:r>
        <w:rPr/>
        <w:t>access</w:t>
      </w:r>
      <w:r>
        <w:rPr>
          <w:spacing w:val="-3"/>
        </w:rPr>
        <w:t> </w:t>
      </w:r>
      <w:r>
        <w:rPr/>
        <w:t>to</w:t>
      </w:r>
      <w:r>
        <w:rPr>
          <w:spacing w:val="-3"/>
        </w:rPr>
        <w:t> </w:t>
      </w:r>
      <w:r>
        <w:rPr/>
        <w:t>Substance</w:t>
      </w:r>
      <w:r>
        <w:rPr>
          <w:spacing w:val="-4"/>
        </w:rPr>
        <w:t> </w:t>
      </w:r>
      <w:r>
        <w:rPr/>
        <w:t>Use</w:t>
      </w:r>
      <w:r>
        <w:rPr>
          <w:spacing w:val="-4"/>
        </w:rPr>
        <w:t> </w:t>
      </w:r>
      <w:r>
        <w:rPr/>
        <w:t>Disorder</w:t>
      </w:r>
      <w:r>
        <w:rPr>
          <w:spacing w:val="-4"/>
        </w:rPr>
        <w:t> </w:t>
      </w:r>
      <w:r>
        <w:rPr/>
        <w:t>(SUD)</w:t>
      </w:r>
      <w:r>
        <w:rPr>
          <w:spacing w:val="-4"/>
        </w:rPr>
        <w:t> </w:t>
      </w:r>
      <w:r>
        <w:rPr/>
        <w:t>treatment services and ongoing recovery support to improve beneficiary health and increase rates of long- term recovery.</w:t>
      </w:r>
      <w:r>
        <w:rPr>
          <w:spacing w:val="40"/>
        </w:rPr>
        <w:t> </w:t>
      </w:r>
      <w:r>
        <w:rPr/>
        <w:t>During the MassHealth demonstration period, the Commonwealth seeks to continue achieving the following goals:</w:t>
      </w:r>
    </w:p>
    <w:p>
      <w:pPr>
        <w:pStyle w:val="ListParagraph"/>
        <w:numPr>
          <w:ilvl w:val="0"/>
          <w:numId w:val="22"/>
        </w:numPr>
        <w:tabs>
          <w:tab w:pos="959" w:val="left" w:leader="none"/>
        </w:tabs>
        <w:spacing w:line="240" w:lineRule="auto" w:before="162" w:after="0"/>
        <w:ind w:left="959" w:right="0" w:hanging="359"/>
        <w:jc w:val="left"/>
        <w:rPr>
          <w:sz w:val="24"/>
        </w:rPr>
      </w:pPr>
      <w:r>
        <w:rPr>
          <w:sz w:val="24"/>
        </w:rPr>
        <w:t>Increase</w:t>
      </w:r>
      <w:r>
        <w:rPr>
          <w:spacing w:val="-3"/>
          <w:sz w:val="24"/>
        </w:rPr>
        <w:t> </w:t>
      </w:r>
      <w:r>
        <w:rPr>
          <w:sz w:val="24"/>
        </w:rPr>
        <w:t>rates</w:t>
      </w:r>
      <w:r>
        <w:rPr>
          <w:spacing w:val="-2"/>
          <w:sz w:val="24"/>
        </w:rPr>
        <w:t> </w:t>
      </w:r>
      <w:r>
        <w:rPr>
          <w:sz w:val="24"/>
        </w:rPr>
        <w:t>of</w:t>
      </w:r>
      <w:r>
        <w:rPr>
          <w:spacing w:val="-3"/>
          <w:sz w:val="24"/>
        </w:rPr>
        <w:t> </w:t>
      </w:r>
      <w:r>
        <w:rPr>
          <w:sz w:val="24"/>
        </w:rPr>
        <w:t>identification,</w:t>
      </w:r>
      <w:r>
        <w:rPr>
          <w:spacing w:val="-2"/>
          <w:sz w:val="24"/>
        </w:rPr>
        <w:t> </w:t>
      </w:r>
      <w:r>
        <w:rPr>
          <w:sz w:val="24"/>
        </w:rPr>
        <w:t>initiation,</w:t>
      </w:r>
      <w:r>
        <w:rPr>
          <w:spacing w:val="-2"/>
          <w:sz w:val="24"/>
        </w:rPr>
        <w:t> </w:t>
      </w:r>
      <w:r>
        <w:rPr>
          <w:sz w:val="24"/>
        </w:rPr>
        <w:t>and</w:t>
      </w:r>
      <w:r>
        <w:rPr>
          <w:spacing w:val="-2"/>
          <w:sz w:val="24"/>
        </w:rPr>
        <w:t> </w:t>
      </w:r>
      <w:r>
        <w:rPr>
          <w:sz w:val="24"/>
        </w:rPr>
        <w:t>engagement</w:t>
      </w:r>
      <w:r>
        <w:rPr>
          <w:spacing w:val="-2"/>
          <w:sz w:val="24"/>
        </w:rPr>
        <w:t> </w:t>
      </w:r>
      <w:r>
        <w:rPr>
          <w:sz w:val="24"/>
        </w:rPr>
        <w:t>in</w:t>
      </w:r>
      <w:r>
        <w:rPr>
          <w:spacing w:val="-3"/>
          <w:sz w:val="24"/>
        </w:rPr>
        <w:t> </w:t>
      </w:r>
      <w:r>
        <w:rPr>
          <w:sz w:val="24"/>
        </w:rPr>
        <w:t>treatment</w:t>
      </w:r>
      <w:r>
        <w:rPr>
          <w:spacing w:val="-2"/>
          <w:sz w:val="24"/>
        </w:rPr>
        <w:t> </w:t>
      </w:r>
      <w:r>
        <w:rPr>
          <w:sz w:val="24"/>
        </w:rPr>
        <w:t>for</w:t>
      </w:r>
      <w:r>
        <w:rPr>
          <w:spacing w:val="-2"/>
          <w:sz w:val="24"/>
        </w:rPr>
        <w:t> </w:t>
      </w:r>
      <w:r>
        <w:rPr>
          <w:spacing w:val="-4"/>
          <w:sz w:val="24"/>
        </w:rPr>
        <w:t>SUD;</w:t>
      </w:r>
    </w:p>
    <w:p>
      <w:pPr>
        <w:pStyle w:val="ListParagraph"/>
        <w:numPr>
          <w:ilvl w:val="0"/>
          <w:numId w:val="22"/>
        </w:numPr>
        <w:tabs>
          <w:tab w:pos="959" w:val="left" w:leader="none"/>
        </w:tabs>
        <w:spacing w:line="240" w:lineRule="auto" w:before="158" w:after="0"/>
        <w:ind w:left="959" w:right="0" w:hanging="359"/>
        <w:jc w:val="left"/>
        <w:rPr>
          <w:sz w:val="24"/>
        </w:rPr>
      </w:pPr>
      <w:r>
        <w:rPr>
          <w:sz w:val="24"/>
        </w:rPr>
        <w:t>Increase</w:t>
      </w:r>
      <w:r>
        <w:rPr>
          <w:spacing w:val="-3"/>
          <w:sz w:val="24"/>
        </w:rPr>
        <w:t> </w:t>
      </w:r>
      <w:r>
        <w:rPr>
          <w:sz w:val="24"/>
        </w:rPr>
        <w:t>adherence</w:t>
      </w:r>
      <w:r>
        <w:rPr>
          <w:spacing w:val="-2"/>
          <w:sz w:val="24"/>
        </w:rPr>
        <w:t> </w:t>
      </w:r>
      <w:r>
        <w:rPr>
          <w:sz w:val="24"/>
        </w:rPr>
        <w:t>to</w:t>
      </w:r>
      <w:r>
        <w:rPr>
          <w:spacing w:val="1"/>
          <w:sz w:val="24"/>
        </w:rPr>
        <w:t> </w:t>
      </w:r>
      <w:r>
        <w:rPr>
          <w:sz w:val="24"/>
        </w:rPr>
        <w:t>and</w:t>
      </w:r>
      <w:r>
        <w:rPr>
          <w:spacing w:val="-1"/>
          <w:sz w:val="24"/>
        </w:rPr>
        <w:t> </w:t>
      </w:r>
      <w:r>
        <w:rPr>
          <w:sz w:val="24"/>
        </w:rPr>
        <w:t>retention</w:t>
      </w:r>
      <w:r>
        <w:rPr>
          <w:spacing w:val="-1"/>
          <w:sz w:val="24"/>
        </w:rPr>
        <w:t> </w:t>
      </w:r>
      <w:r>
        <w:rPr>
          <w:sz w:val="24"/>
        </w:rPr>
        <w:t>in</w:t>
      </w:r>
      <w:r>
        <w:rPr>
          <w:spacing w:val="-1"/>
          <w:sz w:val="24"/>
        </w:rPr>
        <w:t> </w:t>
      </w:r>
      <w:r>
        <w:rPr>
          <w:spacing w:val="-2"/>
          <w:sz w:val="24"/>
        </w:rPr>
        <w:t>treatment;</w:t>
      </w:r>
    </w:p>
    <w:p>
      <w:pPr>
        <w:pStyle w:val="ListParagraph"/>
        <w:numPr>
          <w:ilvl w:val="0"/>
          <w:numId w:val="22"/>
        </w:numPr>
        <w:tabs>
          <w:tab w:pos="959" w:val="left" w:leader="none"/>
        </w:tabs>
        <w:spacing w:line="240" w:lineRule="auto" w:before="159" w:after="0"/>
        <w:ind w:left="959" w:right="0" w:hanging="359"/>
        <w:jc w:val="left"/>
        <w:rPr>
          <w:sz w:val="24"/>
        </w:rPr>
      </w:pPr>
      <w:r>
        <w:rPr>
          <w:sz w:val="24"/>
        </w:rPr>
        <w:t>Reduce</w:t>
      </w:r>
      <w:r>
        <w:rPr>
          <w:spacing w:val="-4"/>
          <w:sz w:val="24"/>
        </w:rPr>
        <w:t> </w:t>
      </w:r>
      <w:r>
        <w:rPr>
          <w:sz w:val="24"/>
        </w:rPr>
        <w:t>overdose</w:t>
      </w:r>
      <w:r>
        <w:rPr>
          <w:spacing w:val="-2"/>
          <w:sz w:val="24"/>
        </w:rPr>
        <w:t> </w:t>
      </w:r>
      <w:r>
        <w:rPr>
          <w:sz w:val="24"/>
        </w:rPr>
        <w:t>deaths,</w:t>
      </w:r>
      <w:r>
        <w:rPr>
          <w:spacing w:val="-2"/>
          <w:sz w:val="24"/>
        </w:rPr>
        <w:t> </w:t>
      </w:r>
      <w:r>
        <w:rPr>
          <w:sz w:val="24"/>
        </w:rPr>
        <w:t>particularly</w:t>
      </w:r>
      <w:r>
        <w:rPr>
          <w:spacing w:val="-5"/>
          <w:sz w:val="24"/>
        </w:rPr>
        <w:t> </w:t>
      </w:r>
      <w:r>
        <w:rPr>
          <w:sz w:val="24"/>
        </w:rPr>
        <w:t>those</w:t>
      </w:r>
      <w:r>
        <w:rPr>
          <w:spacing w:val="-2"/>
          <w:sz w:val="24"/>
        </w:rPr>
        <w:t> </w:t>
      </w:r>
      <w:r>
        <w:rPr>
          <w:sz w:val="24"/>
        </w:rPr>
        <w:t>due</w:t>
      </w:r>
      <w:r>
        <w:rPr>
          <w:spacing w:val="-2"/>
          <w:sz w:val="24"/>
        </w:rPr>
        <w:t> </w:t>
      </w:r>
      <w:r>
        <w:rPr>
          <w:sz w:val="24"/>
        </w:rPr>
        <w:t>to</w:t>
      </w:r>
      <w:r>
        <w:rPr>
          <w:spacing w:val="1"/>
          <w:sz w:val="24"/>
        </w:rPr>
        <w:t> </w:t>
      </w:r>
      <w:r>
        <w:rPr>
          <w:spacing w:val="-2"/>
          <w:sz w:val="24"/>
        </w:rPr>
        <w:t>opioids;</w:t>
      </w:r>
    </w:p>
    <w:p>
      <w:pPr>
        <w:pStyle w:val="ListParagraph"/>
        <w:numPr>
          <w:ilvl w:val="0"/>
          <w:numId w:val="22"/>
        </w:numPr>
        <w:tabs>
          <w:tab w:pos="960" w:val="left" w:leader="none"/>
        </w:tabs>
        <w:spacing w:line="240" w:lineRule="auto" w:before="157" w:after="0"/>
        <w:ind w:left="960" w:right="1096" w:hanging="360"/>
        <w:jc w:val="left"/>
        <w:rPr>
          <w:sz w:val="24"/>
        </w:rPr>
      </w:pPr>
      <w:r>
        <w:rPr>
          <w:sz w:val="24"/>
        </w:rPr>
        <w:t>Reduce</w:t>
      </w:r>
      <w:r>
        <w:rPr>
          <w:spacing w:val="-5"/>
          <w:sz w:val="24"/>
        </w:rPr>
        <w:t> </w:t>
      </w:r>
      <w:r>
        <w:rPr>
          <w:sz w:val="24"/>
        </w:rPr>
        <w:t>utilization</w:t>
      </w:r>
      <w:r>
        <w:rPr>
          <w:spacing w:val="-4"/>
          <w:sz w:val="24"/>
        </w:rPr>
        <w:t> </w:t>
      </w:r>
      <w:r>
        <w:rPr>
          <w:sz w:val="24"/>
        </w:rPr>
        <w:t>of</w:t>
      </w:r>
      <w:r>
        <w:rPr>
          <w:spacing w:val="-5"/>
          <w:sz w:val="24"/>
        </w:rPr>
        <w:t> </w:t>
      </w:r>
      <w:r>
        <w:rPr>
          <w:sz w:val="24"/>
        </w:rPr>
        <w:t>emergency</w:t>
      </w:r>
      <w:r>
        <w:rPr>
          <w:spacing w:val="-9"/>
          <w:sz w:val="24"/>
        </w:rPr>
        <w:t> </w:t>
      </w:r>
      <w:r>
        <w:rPr>
          <w:sz w:val="24"/>
        </w:rPr>
        <w:t>departments</w:t>
      </w:r>
      <w:r>
        <w:rPr>
          <w:spacing w:val="-4"/>
          <w:sz w:val="24"/>
        </w:rPr>
        <w:t> </w:t>
      </w:r>
      <w:r>
        <w:rPr>
          <w:sz w:val="24"/>
        </w:rPr>
        <w:t>and</w:t>
      </w:r>
      <w:r>
        <w:rPr>
          <w:spacing w:val="-2"/>
          <w:sz w:val="24"/>
        </w:rPr>
        <w:t> </w:t>
      </w:r>
      <w:r>
        <w:rPr>
          <w:sz w:val="24"/>
        </w:rPr>
        <w:t>inpatient</w:t>
      </w:r>
      <w:r>
        <w:rPr>
          <w:spacing w:val="-4"/>
          <w:sz w:val="24"/>
        </w:rPr>
        <w:t> </w:t>
      </w:r>
      <w:r>
        <w:rPr>
          <w:sz w:val="24"/>
        </w:rPr>
        <w:t>hospital</w:t>
      </w:r>
      <w:r>
        <w:rPr>
          <w:spacing w:val="-4"/>
          <w:sz w:val="24"/>
        </w:rPr>
        <w:t> </w:t>
      </w:r>
      <w:r>
        <w:rPr>
          <w:sz w:val="24"/>
        </w:rPr>
        <w:t>settings</w:t>
      </w:r>
      <w:r>
        <w:rPr>
          <w:spacing w:val="-4"/>
          <w:sz w:val="24"/>
        </w:rPr>
        <w:t> </w:t>
      </w:r>
      <w:r>
        <w:rPr>
          <w:sz w:val="24"/>
        </w:rPr>
        <w:t>for</w:t>
      </w:r>
      <w:r>
        <w:rPr>
          <w:spacing w:val="-5"/>
          <w:sz w:val="24"/>
        </w:rPr>
        <w:t> </w:t>
      </w:r>
      <w:r>
        <w:rPr>
          <w:sz w:val="24"/>
        </w:rPr>
        <w:t>treatment where the utilization is preventable or medically inappropriate through improved access to other continuum of care services;</w:t>
      </w:r>
    </w:p>
    <w:p>
      <w:pPr>
        <w:pStyle w:val="ListParagraph"/>
        <w:numPr>
          <w:ilvl w:val="0"/>
          <w:numId w:val="22"/>
        </w:numPr>
        <w:tabs>
          <w:tab w:pos="960" w:val="left" w:leader="none"/>
        </w:tabs>
        <w:spacing w:line="240" w:lineRule="auto" w:before="160" w:after="0"/>
        <w:ind w:left="960" w:right="1993" w:hanging="360"/>
        <w:jc w:val="left"/>
        <w:rPr>
          <w:sz w:val="24"/>
        </w:rPr>
      </w:pPr>
      <w:r>
        <w:rPr>
          <w:sz w:val="24"/>
        </w:rPr>
        <w:t>Fewer</w:t>
      </w:r>
      <w:r>
        <w:rPr>
          <w:spacing w:val="-4"/>
          <w:sz w:val="24"/>
        </w:rPr>
        <w:t> </w:t>
      </w:r>
      <w:r>
        <w:rPr>
          <w:sz w:val="24"/>
        </w:rPr>
        <w:t>readmissions</w:t>
      </w:r>
      <w:r>
        <w:rPr>
          <w:spacing w:val="-3"/>
          <w:sz w:val="24"/>
        </w:rPr>
        <w:t> </w:t>
      </w:r>
      <w:r>
        <w:rPr>
          <w:sz w:val="24"/>
        </w:rPr>
        <w:t>to</w:t>
      </w:r>
      <w:r>
        <w:rPr>
          <w:spacing w:val="-3"/>
          <w:sz w:val="24"/>
        </w:rPr>
        <w:t> </w:t>
      </w:r>
      <w:r>
        <w:rPr>
          <w:sz w:val="24"/>
        </w:rPr>
        <w:t>the</w:t>
      </w:r>
      <w:r>
        <w:rPr>
          <w:spacing w:val="-4"/>
          <w:sz w:val="24"/>
        </w:rPr>
        <w:t> </w:t>
      </w:r>
      <w:r>
        <w:rPr>
          <w:sz w:val="24"/>
        </w:rPr>
        <w:t>same</w:t>
      </w:r>
      <w:r>
        <w:rPr>
          <w:spacing w:val="-4"/>
          <w:sz w:val="24"/>
        </w:rPr>
        <w:t> </w:t>
      </w:r>
      <w:r>
        <w:rPr>
          <w:sz w:val="24"/>
        </w:rPr>
        <w:t>or</w:t>
      </w:r>
      <w:r>
        <w:rPr>
          <w:spacing w:val="-4"/>
          <w:sz w:val="24"/>
        </w:rPr>
        <w:t> </w:t>
      </w:r>
      <w:r>
        <w:rPr>
          <w:sz w:val="24"/>
        </w:rPr>
        <w:t>higher</w:t>
      </w:r>
      <w:r>
        <w:rPr>
          <w:spacing w:val="-4"/>
          <w:sz w:val="24"/>
        </w:rPr>
        <w:t> </w:t>
      </w:r>
      <w:r>
        <w:rPr>
          <w:sz w:val="24"/>
        </w:rPr>
        <w:t>level</w:t>
      </w:r>
      <w:r>
        <w:rPr>
          <w:spacing w:val="-3"/>
          <w:sz w:val="24"/>
        </w:rPr>
        <w:t> </w:t>
      </w:r>
      <w:r>
        <w:rPr>
          <w:sz w:val="24"/>
        </w:rPr>
        <w:t>of</w:t>
      </w:r>
      <w:r>
        <w:rPr>
          <w:spacing w:val="-2"/>
          <w:sz w:val="24"/>
        </w:rPr>
        <w:t> </w:t>
      </w:r>
      <w:r>
        <w:rPr>
          <w:sz w:val="24"/>
        </w:rPr>
        <w:t>care</w:t>
      </w:r>
      <w:r>
        <w:rPr>
          <w:spacing w:val="-2"/>
          <w:sz w:val="24"/>
        </w:rPr>
        <w:t> </w:t>
      </w:r>
      <w:r>
        <w:rPr>
          <w:sz w:val="24"/>
        </w:rPr>
        <w:t>where</w:t>
      </w:r>
      <w:r>
        <w:rPr>
          <w:spacing w:val="-4"/>
          <w:sz w:val="24"/>
        </w:rPr>
        <w:t> </w:t>
      </w:r>
      <w:r>
        <w:rPr>
          <w:sz w:val="24"/>
        </w:rPr>
        <w:t>the</w:t>
      </w:r>
      <w:r>
        <w:rPr>
          <w:spacing w:val="-4"/>
          <w:sz w:val="24"/>
        </w:rPr>
        <w:t> </w:t>
      </w:r>
      <w:r>
        <w:rPr>
          <w:sz w:val="24"/>
        </w:rPr>
        <w:t>readmission</w:t>
      </w:r>
      <w:r>
        <w:rPr>
          <w:spacing w:val="-3"/>
          <w:sz w:val="24"/>
        </w:rPr>
        <w:t> </w:t>
      </w:r>
      <w:r>
        <w:rPr>
          <w:sz w:val="24"/>
        </w:rPr>
        <w:t>is preventable or medically inappropriate; and</w:t>
      </w:r>
    </w:p>
    <w:p>
      <w:pPr>
        <w:pStyle w:val="ListParagraph"/>
        <w:numPr>
          <w:ilvl w:val="0"/>
          <w:numId w:val="22"/>
        </w:numPr>
        <w:tabs>
          <w:tab w:pos="959" w:val="left" w:leader="none"/>
        </w:tabs>
        <w:spacing w:line="240" w:lineRule="auto" w:before="162" w:after="0"/>
        <w:ind w:left="959" w:right="0" w:hanging="359"/>
        <w:jc w:val="left"/>
        <w:rPr>
          <w:sz w:val="24"/>
        </w:rPr>
      </w:pPr>
      <w:r>
        <w:rPr>
          <w:sz w:val="24"/>
        </w:rPr>
        <w:t>Improve</w:t>
      </w:r>
      <w:r>
        <w:rPr>
          <w:spacing w:val="-3"/>
          <w:sz w:val="24"/>
        </w:rPr>
        <w:t> </w:t>
      </w:r>
      <w:r>
        <w:rPr>
          <w:sz w:val="24"/>
        </w:rPr>
        <w:t>access</w:t>
      </w:r>
      <w:r>
        <w:rPr>
          <w:spacing w:val="-1"/>
          <w:sz w:val="24"/>
        </w:rPr>
        <w:t> </w:t>
      </w:r>
      <w:r>
        <w:rPr>
          <w:sz w:val="24"/>
        </w:rPr>
        <w:t>to</w:t>
      </w:r>
      <w:r>
        <w:rPr>
          <w:spacing w:val="-1"/>
          <w:sz w:val="24"/>
        </w:rPr>
        <w:t> </w:t>
      </w:r>
      <w:r>
        <w:rPr>
          <w:sz w:val="24"/>
        </w:rPr>
        <w:t>care for</w:t>
      </w:r>
      <w:r>
        <w:rPr>
          <w:spacing w:val="-2"/>
          <w:sz w:val="24"/>
        </w:rPr>
        <w:t> </w:t>
      </w:r>
      <w:r>
        <w:rPr>
          <w:sz w:val="24"/>
        </w:rPr>
        <w:t>physical</w:t>
      </w:r>
      <w:r>
        <w:rPr>
          <w:spacing w:val="-1"/>
          <w:sz w:val="24"/>
        </w:rPr>
        <w:t> </w:t>
      </w:r>
      <w:r>
        <w:rPr>
          <w:sz w:val="24"/>
        </w:rPr>
        <w:t>health</w:t>
      </w:r>
      <w:r>
        <w:rPr>
          <w:spacing w:val="-1"/>
          <w:sz w:val="24"/>
        </w:rPr>
        <w:t> </w:t>
      </w:r>
      <w:r>
        <w:rPr>
          <w:sz w:val="24"/>
        </w:rPr>
        <w:t>conditions</w:t>
      </w:r>
      <w:r>
        <w:rPr>
          <w:spacing w:val="-1"/>
          <w:sz w:val="24"/>
        </w:rPr>
        <w:t> </w:t>
      </w:r>
      <w:r>
        <w:rPr>
          <w:sz w:val="24"/>
        </w:rPr>
        <w:t>among</w:t>
      </w:r>
      <w:r>
        <w:rPr>
          <w:spacing w:val="-4"/>
          <w:sz w:val="24"/>
        </w:rPr>
        <w:t> </w:t>
      </w:r>
      <w:r>
        <w:rPr>
          <w:sz w:val="24"/>
        </w:rPr>
        <w:t>beneficiaries</w:t>
      </w:r>
      <w:r>
        <w:rPr>
          <w:spacing w:val="-1"/>
          <w:sz w:val="24"/>
        </w:rPr>
        <w:t> </w:t>
      </w:r>
      <w:r>
        <w:rPr>
          <w:sz w:val="24"/>
        </w:rPr>
        <w:t>with</w:t>
      </w:r>
      <w:r>
        <w:rPr>
          <w:spacing w:val="-1"/>
          <w:sz w:val="24"/>
        </w:rPr>
        <w:t> </w:t>
      </w:r>
      <w:r>
        <w:rPr>
          <w:spacing w:val="-4"/>
          <w:sz w:val="24"/>
        </w:rPr>
        <w:t>SUD.</w:t>
      </w:r>
    </w:p>
    <w:p>
      <w:pPr>
        <w:pStyle w:val="BodyText"/>
        <w:spacing w:before="237"/>
        <w:ind w:left="871" w:right="1141"/>
      </w:pPr>
      <w:r>
        <w:rPr/>
        <w:drawing>
          <wp:anchor distT="0" distB="0" distL="0" distR="0" allowOverlap="1" layoutInCell="1" locked="0" behindDoc="0" simplePos="0" relativeHeight="15780864">
            <wp:simplePos x="0" y="0"/>
            <wp:positionH relativeFrom="page">
              <wp:posOffset>975360</wp:posOffset>
            </wp:positionH>
            <wp:positionV relativeFrom="paragraph">
              <wp:posOffset>186107</wp:posOffset>
            </wp:positionV>
            <wp:extent cx="217931" cy="112763"/>
            <wp:effectExtent l="0" t="0" r="0" b="0"/>
            <wp:wrapNone/>
            <wp:docPr id="112" name="Image 112"/>
            <wp:cNvGraphicFramePr>
              <a:graphicFrameLocks/>
            </wp:cNvGraphicFramePr>
            <a:graphic>
              <a:graphicData uri="http://schemas.openxmlformats.org/drawingml/2006/picture">
                <pic:pic>
                  <pic:nvPicPr>
                    <pic:cNvPr id="112" name="Image 112"/>
                    <pic:cNvPicPr/>
                  </pic:nvPicPr>
                  <pic:blipFill>
                    <a:blip r:embed="rId84" cstate="print"/>
                    <a:stretch>
                      <a:fillRect/>
                    </a:stretch>
                  </pic:blipFill>
                  <pic:spPr>
                    <a:xfrm>
                      <a:off x="0" y="0"/>
                      <a:ext cx="217931" cy="112763"/>
                    </a:xfrm>
                    <a:prstGeom prst="rect">
                      <a:avLst/>
                    </a:prstGeom>
                  </pic:spPr>
                </pic:pic>
              </a:graphicData>
            </a:graphic>
          </wp:anchor>
        </w:drawing>
      </w:r>
      <w:bookmarkStart w:name="6.1. Opioid Use Disorder (OUD)/Substance" w:id="234"/>
      <w:bookmarkEnd w:id="234"/>
      <w:r>
        <w:rPr/>
      </w:r>
      <w:r>
        <w:rPr>
          <w:b/>
        </w:rPr>
        <w:t>Opioid Use Disorder (OUD)/Substance Use Disorder Program (SUD).</w:t>
      </w:r>
      <w:r>
        <w:rPr>
          <w:b/>
          <w:spacing w:val="40"/>
        </w:rPr>
        <w:t> </w:t>
      </w:r>
      <w:r>
        <w:rPr/>
        <w:t>Under this demonstration component, MassHealth members, except those in MassHealth Limited, will continue to have access to high-quality, evidence-based OUD and other SUD treatment services including services provided in residential and inpatient treatment settings</w:t>
      </w:r>
      <w:r>
        <w:rPr>
          <w:spacing w:val="-4"/>
        </w:rPr>
        <w:t> </w:t>
      </w:r>
      <w:r>
        <w:rPr/>
        <w:t>that</w:t>
      </w:r>
      <w:r>
        <w:rPr>
          <w:spacing w:val="-4"/>
        </w:rPr>
        <w:t> </w:t>
      </w:r>
      <w:r>
        <w:rPr/>
        <w:t>qualify</w:t>
      </w:r>
      <w:r>
        <w:rPr>
          <w:spacing w:val="-8"/>
        </w:rPr>
        <w:t> </w:t>
      </w:r>
      <w:r>
        <w:rPr/>
        <w:t>as</w:t>
      </w:r>
      <w:r>
        <w:rPr>
          <w:spacing w:val="-2"/>
        </w:rPr>
        <w:t> </w:t>
      </w:r>
      <w:r>
        <w:rPr/>
        <w:t>an IMD,</w:t>
      </w:r>
      <w:r>
        <w:rPr>
          <w:spacing w:val="-2"/>
        </w:rPr>
        <w:t> </w:t>
      </w:r>
      <w:r>
        <w:rPr/>
        <w:t>which</w:t>
      </w:r>
      <w:r>
        <w:rPr>
          <w:spacing w:val="-4"/>
        </w:rPr>
        <w:t> </w:t>
      </w:r>
      <w:r>
        <w:rPr/>
        <w:t>are</w:t>
      </w:r>
      <w:r>
        <w:rPr>
          <w:spacing w:val="-5"/>
        </w:rPr>
        <w:t> </w:t>
      </w:r>
      <w:r>
        <w:rPr/>
        <w:t>not</w:t>
      </w:r>
      <w:r>
        <w:rPr>
          <w:spacing w:val="-4"/>
        </w:rPr>
        <w:t> </w:t>
      </w:r>
      <w:r>
        <w:rPr/>
        <w:t>otherwise</w:t>
      </w:r>
      <w:r>
        <w:rPr>
          <w:spacing w:val="-5"/>
        </w:rPr>
        <w:t> </w:t>
      </w:r>
      <w:r>
        <w:rPr/>
        <w:t>reimbursable</w:t>
      </w:r>
      <w:r>
        <w:rPr>
          <w:spacing w:val="-5"/>
        </w:rPr>
        <w:t> </w:t>
      </w:r>
      <w:r>
        <w:rPr/>
        <w:t>expenditures</w:t>
      </w:r>
      <w:r>
        <w:rPr>
          <w:spacing w:val="-4"/>
        </w:rPr>
        <w:t> </w:t>
      </w:r>
      <w:r>
        <w:rPr/>
        <w:t>under section 1903 of the Act.</w:t>
      </w:r>
      <w:r>
        <w:rPr>
          <w:spacing w:val="40"/>
        </w:rPr>
        <w:t> </w:t>
      </w:r>
      <w:r>
        <w:rPr/>
        <w:t>The Commonwealth will continue to be eligible to receive FFP for Medicaid beneficiaries residing in IMDs under the terms of this demonstration for coverage of medical assistance, including OUD/SUD benefits that would otherwise be reimbursable if the beneficiary were not residing in an IMD.</w:t>
      </w:r>
      <w:r>
        <w:rPr>
          <w:spacing w:val="40"/>
        </w:rPr>
        <w:t> </w:t>
      </w:r>
      <w:r>
        <w:rPr/>
        <w:t>The Commonwealth will continue to aim for a statewide average length of stay of 30 days or less in residential treatment settings, to be monitored pursuant to the SUD Monitoring Protocol as outlined in STC 6.5 below, to ensure short-term residential treatment stays.</w:t>
      </w:r>
    </w:p>
    <w:p>
      <w:pPr>
        <w:pStyle w:val="BodyText"/>
        <w:spacing w:before="10"/>
        <w:rPr>
          <w:sz w:val="20"/>
        </w:rPr>
      </w:pPr>
    </w:p>
    <w:p>
      <w:pPr>
        <w:pStyle w:val="BodyText"/>
        <w:ind w:left="871" w:right="1086"/>
      </w:pPr>
      <w:bookmarkStart w:name="The OUD/SUD benefits, as outlined in the" w:id="235"/>
      <w:bookmarkEnd w:id="235"/>
      <w:r>
        <w:rPr/>
      </w:r>
      <w:r>
        <w:rPr/>
        <w:t>The OUD/SUD benefits, as outlined in the table below, reflect a continuum of care that ensures that clients can enter SUD treatment at a level appropriate to their needs and step up or down to a different intensity of treatment based on their responses.</w:t>
      </w:r>
      <w:r>
        <w:rPr>
          <w:spacing w:val="40"/>
        </w:rPr>
        <w:t> </w:t>
      </w:r>
      <w:r>
        <w:rPr/>
        <w:t>The American Society</w:t>
      </w:r>
      <w:r>
        <w:rPr>
          <w:spacing w:val="-8"/>
        </w:rPr>
        <w:t> </w:t>
      </w:r>
      <w:r>
        <w:rPr/>
        <w:t>of</w:t>
      </w:r>
      <w:r>
        <w:rPr>
          <w:spacing w:val="-2"/>
        </w:rPr>
        <w:t> </w:t>
      </w:r>
      <w:r>
        <w:rPr/>
        <w:t>Addiction</w:t>
      </w:r>
      <w:r>
        <w:rPr>
          <w:spacing w:val="-3"/>
        </w:rPr>
        <w:t> </w:t>
      </w:r>
      <w:r>
        <w:rPr/>
        <w:t>Medicine</w:t>
      </w:r>
      <w:r>
        <w:rPr>
          <w:spacing w:val="-4"/>
        </w:rPr>
        <w:t> </w:t>
      </w:r>
      <w:r>
        <w:rPr/>
        <w:t>(ASAM)</w:t>
      </w:r>
      <w:r>
        <w:rPr>
          <w:spacing w:val="-4"/>
        </w:rPr>
        <w:t> </w:t>
      </w:r>
      <w:r>
        <w:rPr/>
        <w:t>Criteria</w:t>
      </w:r>
      <w:r>
        <w:rPr>
          <w:spacing w:val="-2"/>
        </w:rPr>
        <w:t> </w:t>
      </w:r>
      <w:r>
        <w:rPr/>
        <w:t>Assessment</w:t>
      </w:r>
      <w:r>
        <w:rPr>
          <w:spacing w:val="-3"/>
        </w:rPr>
        <w:t> </w:t>
      </w:r>
      <w:r>
        <w:rPr/>
        <w:t>shall</w:t>
      </w:r>
      <w:r>
        <w:rPr>
          <w:spacing w:val="-3"/>
        </w:rPr>
        <w:t> </w:t>
      </w:r>
      <w:r>
        <w:rPr/>
        <w:t>continue</w:t>
      </w:r>
      <w:r>
        <w:rPr>
          <w:spacing w:val="-4"/>
        </w:rPr>
        <w:t> </w:t>
      </w:r>
      <w:r>
        <w:rPr/>
        <w:t>to</w:t>
      </w:r>
      <w:r>
        <w:rPr>
          <w:spacing w:val="-3"/>
        </w:rPr>
        <w:t> </w:t>
      </w:r>
      <w:r>
        <w:rPr/>
        <w:t>be</w:t>
      </w:r>
      <w:r>
        <w:rPr>
          <w:spacing w:val="-4"/>
        </w:rPr>
        <w:t> </w:t>
      </w:r>
      <w:r>
        <w:rPr/>
        <w:t>used</w:t>
      </w:r>
      <w:r>
        <w:rPr>
          <w:spacing w:val="-3"/>
        </w:rPr>
        <w:t> </w:t>
      </w:r>
      <w:r>
        <w:rPr/>
        <w:t>for all beneficiaries to determine placement into the appropriate level of care.</w:t>
      </w:r>
      <w:r>
        <w:rPr>
          <w:spacing w:val="40"/>
        </w:rPr>
        <w:t> </w:t>
      </w:r>
      <w:r>
        <w:rPr/>
        <w:t>Room and board costs are not considered allowable costs for residential treatment service providers unless they qualify as inpatient facilities under section 1905(a) of the Act.</w:t>
      </w:r>
    </w:p>
    <w:p>
      <w:pPr>
        <w:spacing w:after="0"/>
        <w:sectPr>
          <w:pgSz w:w="12240" w:h="15840"/>
          <w:pgMar w:header="0" w:footer="1201" w:top="1440" w:bottom="1400" w:left="1200" w:right="400"/>
        </w:sectPr>
      </w:pPr>
    </w:p>
    <w:p>
      <w:pPr>
        <w:pStyle w:val="BodyText"/>
        <w:spacing w:before="79"/>
        <w:ind w:left="871" w:right="1065"/>
      </w:pPr>
      <w:bookmarkStart w:name="As is currently the case, MassHealth ant" w:id="236"/>
      <w:bookmarkEnd w:id="236"/>
      <w:r>
        <w:rPr/>
      </w:r>
      <w:r>
        <w:rPr/>
        <w:t>As is currently the case, MassHealth anticipates that the Department of Public Health, Bureau of Substance Addiction Services (BSAS), which is the single state authority on SUD</w:t>
      </w:r>
      <w:r>
        <w:rPr>
          <w:spacing w:val="-5"/>
        </w:rPr>
        <w:t> </w:t>
      </w:r>
      <w:r>
        <w:rPr/>
        <w:t>services,</w:t>
      </w:r>
      <w:r>
        <w:rPr>
          <w:spacing w:val="-2"/>
        </w:rPr>
        <w:t> </w:t>
      </w:r>
      <w:r>
        <w:rPr/>
        <w:t>continue</w:t>
      </w:r>
      <w:r>
        <w:rPr>
          <w:spacing w:val="-5"/>
        </w:rPr>
        <w:t> </w:t>
      </w:r>
      <w:r>
        <w:rPr/>
        <w:t>to</w:t>
      </w:r>
      <w:r>
        <w:rPr>
          <w:spacing w:val="-4"/>
        </w:rPr>
        <w:t> </w:t>
      </w:r>
      <w:r>
        <w:rPr/>
        <w:t>fund</w:t>
      </w:r>
      <w:r>
        <w:rPr>
          <w:spacing w:val="-4"/>
        </w:rPr>
        <w:t> </w:t>
      </w:r>
      <w:r>
        <w:rPr/>
        <w:t>primary</w:t>
      </w:r>
      <w:r>
        <w:rPr>
          <w:spacing w:val="-8"/>
        </w:rPr>
        <w:t> </w:t>
      </w:r>
      <w:r>
        <w:rPr/>
        <w:t>prevention</w:t>
      </w:r>
      <w:r>
        <w:rPr>
          <w:spacing w:val="-4"/>
        </w:rPr>
        <w:t> </w:t>
      </w:r>
      <w:r>
        <w:rPr/>
        <w:t>efforts,</w:t>
      </w:r>
      <w:r>
        <w:rPr>
          <w:spacing w:val="-4"/>
        </w:rPr>
        <w:t> </w:t>
      </w:r>
      <w:r>
        <w:rPr/>
        <w:t>including</w:t>
      </w:r>
      <w:r>
        <w:rPr>
          <w:spacing w:val="-7"/>
        </w:rPr>
        <w:t> </w:t>
      </w:r>
      <w:r>
        <w:rPr/>
        <w:t>education</w:t>
      </w:r>
      <w:r>
        <w:rPr>
          <w:spacing w:val="-4"/>
        </w:rPr>
        <w:t> </w:t>
      </w:r>
      <w:r>
        <w:rPr/>
        <w:t>campaigns and community prevention coalitions. Intervention and initial treatment will be available to</w:t>
      </w:r>
      <w:r>
        <w:rPr>
          <w:spacing w:val="-1"/>
        </w:rPr>
        <w:t> </w:t>
      </w:r>
      <w:r>
        <w:rPr/>
        <w:t>MassHealth</w:t>
      </w:r>
      <w:r>
        <w:rPr>
          <w:spacing w:val="-1"/>
        </w:rPr>
        <w:t> </w:t>
      </w:r>
      <w:r>
        <w:rPr/>
        <w:t>members, as</w:t>
      </w:r>
      <w:r>
        <w:rPr>
          <w:spacing w:val="-1"/>
        </w:rPr>
        <w:t> </w:t>
      </w:r>
      <w:r>
        <w:rPr/>
        <w:t>described</w:t>
      </w:r>
      <w:r>
        <w:rPr>
          <w:spacing w:val="-1"/>
        </w:rPr>
        <w:t> </w:t>
      </w:r>
      <w:r>
        <w:rPr/>
        <w:t>below,</w:t>
      </w:r>
      <w:r>
        <w:rPr>
          <w:spacing w:val="-1"/>
        </w:rPr>
        <w:t> </w:t>
      </w:r>
      <w:r>
        <w:rPr/>
        <w:t>in</w:t>
      </w:r>
      <w:r>
        <w:rPr>
          <w:spacing w:val="-1"/>
        </w:rPr>
        <w:t> </w:t>
      </w:r>
      <w:r>
        <w:rPr/>
        <w:t>a number</w:t>
      </w:r>
      <w:r>
        <w:rPr>
          <w:spacing w:val="-2"/>
        </w:rPr>
        <w:t> </w:t>
      </w:r>
      <w:r>
        <w:rPr/>
        <w:t>of</w:t>
      </w:r>
      <w:r>
        <w:rPr>
          <w:spacing w:val="-2"/>
        </w:rPr>
        <w:t> </w:t>
      </w:r>
      <w:r>
        <w:rPr/>
        <w:t>different</w:t>
      </w:r>
      <w:r>
        <w:rPr>
          <w:spacing w:val="-1"/>
        </w:rPr>
        <w:t> </w:t>
      </w:r>
      <w:r>
        <w:rPr/>
        <w:t>settings</w:t>
      </w:r>
      <w:r>
        <w:rPr>
          <w:spacing w:val="-1"/>
        </w:rPr>
        <w:t> </w:t>
      </w:r>
      <w:r>
        <w:rPr/>
        <w:t>(as</w:t>
      </w:r>
      <w:r>
        <w:rPr>
          <w:spacing w:val="-1"/>
        </w:rPr>
        <w:t> </w:t>
      </w:r>
      <w:r>
        <w:rPr/>
        <w:t>set</w:t>
      </w:r>
      <w:r>
        <w:rPr>
          <w:spacing w:val="-1"/>
        </w:rPr>
        <w:t> </w:t>
      </w:r>
      <w:r>
        <w:rPr/>
        <w:t>forth herein) and allow for a bio-psycho-social clinical assessment, based on the ASAM principles, to gain an understanding of addiction severity, co-occurring mental health issues and trauma, physical health issues, family</w:t>
      </w:r>
      <w:r>
        <w:rPr>
          <w:spacing w:val="-5"/>
        </w:rPr>
        <w:t> </w:t>
      </w:r>
      <w:r>
        <w:rPr/>
        <w:t>and social supports, housing</w:t>
      </w:r>
      <w:r>
        <w:rPr>
          <w:spacing w:val="-3"/>
        </w:rPr>
        <w:t> </w:t>
      </w:r>
      <w:r>
        <w:rPr/>
        <w:t>stability</w:t>
      </w:r>
      <w:r>
        <w:rPr>
          <w:spacing w:val="-3"/>
        </w:rPr>
        <w:t> </w:t>
      </w:r>
      <w:r>
        <w:rPr/>
        <w:t>and other issues.</w:t>
      </w:r>
    </w:p>
    <w:p>
      <w:pPr>
        <w:pStyle w:val="BodyText"/>
        <w:spacing w:before="11"/>
        <w:rPr>
          <w:sz w:val="20"/>
        </w:rPr>
      </w:pPr>
    </w:p>
    <w:tbl>
      <w:tblPr>
        <w:tblW w:w="0" w:type="auto"/>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65"/>
        <w:gridCol w:w="1819"/>
        <w:gridCol w:w="1365"/>
        <w:gridCol w:w="3700"/>
      </w:tblGrid>
      <w:tr>
        <w:trPr>
          <w:trHeight w:val="251" w:hRule="atLeast"/>
        </w:trPr>
        <w:tc>
          <w:tcPr>
            <w:tcW w:w="9349" w:type="dxa"/>
            <w:gridSpan w:val="4"/>
            <w:shd w:val="clear" w:color="auto" w:fill="DBE6F1"/>
          </w:tcPr>
          <w:p>
            <w:pPr>
              <w:pStyle w:val="TableParagraph"/>
              <w:spacing w:line="232" w:lineRule="exact"/>
              <w:ind w:left="3618" w:right="3608"/>
              <w:jc w:val="center"/>
              <w:rPr>
                <w:b/>
                <w:sz w:val="22"/>
              </w:rPr>
            </w:pPr>
            <w:r>
              <w:rPr>
                <w:b/>
                <w:sz w:val="22"/>
              </w:rPr>
              <w:t>Table</w:t>
            </w:r>
            <w:r>
              <w:rPr>
                <w:b/>
                <w:spacing w:val="-3"/>
                <w:sz w:val="22"/>
              </w:rPr>
              <w:t> </w:t>
            </w:r>
            <w:r>
              <w:rPr>
                <w:b/>
                <w:sz w:val="22"/>
              </w:rPr>
              <w:t>6:</w:t>
            </w:r>
            <w:r>
              <w:rPr>
                <w:b/>
                <w:spacing w:val="-1"/>
                <w:sz w:val="22"/>
              </w:rPr>
              <w:t> </w:t>
            </w:r>
            <w:r>
              <w:rPr>
                <w:b/>
                <w:sz w:val="22"/>
              </w:rPr>
              <w:t>SUD</w:t>
            </w:r>
            <w:r>
              <w:rPr>
                <w:b/>
                <w:spacing w:val="-3"/>
                <w:sz w:val="22"/>
              </w:rPr>
              <w:t> </w:t>
            </w:r>
            <w:r>
              <w:rPr>
                <w:b/>
                <w:spacing w:val="-2"/>
                <w:sz w:val="22"/>
              </w:rPr>
              <w:t>Services</w:t>
            </w:r>
          </w:p>
        </w:tc>
      </w:tr>
      <w:tr>
        <w:trPr>
          <w:trHeight w:val="505" w:hRule="atLeast"/>
        </w:trPr>
        <w:tc>
          <w:tcPr>
            <w:tcW w:w="2465" w:type="dxa"/>
            <w:shd w:val="clear" w:color="auto" w:fill="DBE6F1"/>
          </w:tcPr>
          <w:p>
            <w:pPr>
              <w:pStyle w:val="TableParagraph"/>
              <w:spacing w:line="252" w:lineRule="exact"/>
              <w:ind w:left="1012" w:right="3" w:hanging="867"/>
              <w:rPr>
                <w:b/>
                <w:sz w:val="22"/>
              </w:rPr>
            </w:pPr>
            <w:r>
              <w:rPr>
                <w:b/>
                <w:sz w:val="22"/>
              </w:rPr>
              <w:t>Service</w:t>
            </w:r>
            <w:r>
              <w:rPr>
                <w:b/>
                <w:spacing w:val="-11"/>
                <w:sz w:val="22"/>
              </w:rPr>
              <w:t> </w:t>
            </w:r>
            <w:r>
              <w:rPr>
                <w:b/>
                <w:sz w:val="22"/>
              </w:rPr>
              <w:t>for</w:t>
            </w:r>
            <w:r>
              <w:rPr>
                <w:b/>
                <w:spacing w:val="-11"/>
                <w:sz w:val="22"/>
              </w:rPr>
              <w:t> </w:t>
            </w:r>
            <w:r>
              <w:rPr>
                <w:b/>
                <w:sz w:val="22"/>
              </w:rPr>
              <w:t>People</w:t>
            </w:r>
            <w:r>
              <w:rPr>
                <w:b/>
                <w:spacing w:val="-11"/>
                <w:sz w:val="22"/>
              </w:rPr>
              <w:t> </w:t>
            </w:r>
            <w:r>
              <w:rPr>
                <w:b/>
                <w:sz w:val="22"/>
              </w:rPr>
              <w:t>with </w:t>
            </w:r>
            <w:r>
              <w:rPr>
                <w:b/>
                <w:spacing w:val="-4"/>
                <w:sz w:val="22"/>
              </w:rPr>
              <w:t>SUD</w:t>
            </w:r>
          </w:p>
        </w:tc>
        <w:tc>
          <w:tcPr>
            <w:tcW w:w="1819" w:type="dxa"/>
            <w:shd w:val="clear" w:color="auto" w:fill="DBE6F1"/>
          </w:tcPr>
          <w:p>
            <w:pPr>
              <w:pStyle w:val="TableParagraph"/>
              <w:spacing w:before="125"/>
              <w:ind w:left="395"/>
              <w:rPr>
                <w:b/>
                <w:sz w:val="22"/>
              </w:rPr>
            </w:pPr>
            <w:r>
              <w:rPr>
                <w:b/>
                <w:spacing w:val="-2"/>
                <w:sz w:val="22"/>
              </w:rPr>
              <w:t>Population</w:t>
            </w:r>
          </w:p>
        </w:tc>
        <w:tc>
          <w:tcPr>
            <w:tcW w:w="1365" w:type="dxa"/>
            <w:shd w:val="clear" w:color="auto" w:fill="DBE6F1"/>
          </w:tcPr>
          <w:p>
            <w:pPr>
              <w:pStyle w:val="TableParagraph"/>
              <w:spacing w:before="125"/>
              <w:ind w:left="352"/>
              <w:rPr>
                <w:b/>
                <w:sz w:val="22"/>
              </w:rPr>
            </w:pPr>
            <w:r>
              <w:rPr>
                <w:b/>
                <w:spacing w:val="-2"/>
                <w:sz w:val="22"/>
              </w:rPr>
              <w:t>Setting</w:t>
            </w:r>
          </w:p>
        </w:tc>
        <w:tc>
          <w:tcPr>
            <w:tcW w:w="3700" w:type="dxa"/>
            <w:shd w:val="clear" w:color="auto" w:fill="DBE6F1"/>
          </w:tcPr>
          <w:p>
            <w:pPr>
              <w:pStyle w:val="TableParagraph"/>
              <w:spacing w:before="125"/>
              <w:ind w:left="890"/>
              <w:rPr>
                <w:b/>
                <w:sz w:val="22"/>
              </w:rPr>
            </w:pPr>
            <w:r>
              <w:rPr>
                <w:b/>
                <w:sz w:val="22"/>
              </w:rPr>
              <w:t>Definition</w:t>
            </w:r>
            <w:r>
              <w:rPr>
                <w:b/>
                <w:spacing w:val="-4"/>
                <w:sz w:val="22"/>
              </w:rPr>
              <w:t> </w:t>
            </w:r>
            <w:r>
              <w:rPr>
                <w:b/>
                <w:sz w:val="22"/>
              </w:rPr>
              <w:t>of</w:t>
            </w:r>
            <w:r>
              <w:rPr>
                <w:b/>
                <w:spacing w:val="-2"/>
                <w:sz w:val="22"/>
              </w:rPr>
              <w:t> Service</w:t>
            </w:r>
          </w:p>
        </w:tc>
      </w:tr>
      <w:tr>
        <w:trPr>
          <w:trHeight w:val="3542" w:hRule="atLeast"/>
        </w:trPr>
        <w:tc>
          <w:tcPr>
            <w:tcW w:w="2465" w:type="dxa"/>
          </w:tcPr>
          <w:p>
            <w:pPr>
              <w:pStyle w:val="TableParagraph"/>
              <w:spacing w:before="1"/>
              <w:ind w:left="107" w:right="505"/>
              <w:rPr>
                <w:sz w:val="22"/>
              </w:rPr>
            </w:pPr>
            <w:r>
              <w:rPr>
                <w:sz w:val="22"/>
              </w:rPr>
              <w:t>Clinically Managed </w:t>
            </w:r>
            <w:r>
              <w:rPr>
                <w:spacing w:val="-2"/>
                <w:sz w:val="22"/>
              </w:rPr>
              <w:t>Population-Specific </w:t>
            </w:r>
            <w:r>
              <w:rPr>
                <w:sz w:val="22"/>
              </w:rPr>
              <w:t>High- Intensity Residential Services ASAM Level 3.3 (Specialized</w:t>
            </w:r>
            <w:r>
              <w:rPr>
                <w:spacing w:val="-14"/>
                <w:sz w:val="22"/>
              </w:rPr>
              <w:t> </w:t>
            </w:r>
            <w:r>
              <w:rPr>
                <w:sz w:val="22"/>
              </w:rPr>
              <w:t>24-hour treatment</w:t>
            </w:r>
            <w:r>
              <w:rPr>
                <w:spacing w:val="-9"/>
                <w:sz w:val="22"/>
              </w:rPr>
              <w:t> </w:t>
            </w:r>
            <w:r>
              <w:rPr>
                <w:sz w:val="22"/>
              </w:rPr>
              <w:t>services</w:t>
            </w:r>
            <w:r>
              <w:rPr>
                <w:spacing w:val="-10"/>
                <w:sz w:val="22"/>
              </w:rPr>
              <w:t> </w:t>
            </w:r>
            <w:r>
              <w:rPr>
                <w:sz w:val="22"/>
              </w:rPr>
              <w:t>to meet more complex </w:t>
            </w:r>
            <w:r>
              <w:rPr>
                <w:spacing w:val="-2"/>
                <w:sz w:val="22"/>
              </w:rPr>
              <w:t>needs)</w:t>
            </w:r>
          </w:p>
        </w:tc>
        <w:tc>
          <w:tcPr>
            <w:tcW w:w="1819" w:type="dxa"/>
          </w:tcPr>
          <w:p>
            <w:pPr>
              <w:pStyle w:val="TableParagraph"/>
              <w:spacing w:before="1"/>
              <w:ind w:left="107" w:right="181"/>
              <w:rPr>
                <w:sz w:val="22"/>
              </w:rPr>
            </w:pPr>
            <w:r>
              <w:rPr>
                <w:sz w:val="22"/>
              </w:rPr>
              <w:t>All MassHealth Members,</w:t>
            </w:r>
            <w:r>
              <w:rPr>
                <w:spacing w:val="-14"/>
                <w:sz w:val="22"/>
              </w:rPr>
              <w:t> </w:t>
            </w:r>
            <w:r>
              <w:rPr>
                <w:sz w:val="22"/>
              </w:rPr>
              <w:t>except those in </w:t>
            </w:r>
            <w:r>
              <w:rPr>
                <w:spacing w:val="-2"/>
                <w:sz w:val="22"/>
              </w:rPr>
              <w:t>MassHealth Limited</w:t>
            </w:r>
          </w:p>
        </w:tc>
        <w:tc>
          <w:tcPr>
            <w:tcW w:w="1365" w:type="dxa"/>
          </w:tcPr>
          <w:p>
            <w:pPr>
              <w:pStyle w:val="TableParagraph"/>
              <w:spacing w:before="1"/>
              <w:ind w:left="107"/>
              <w:rPr>
                <w:sz w:val="22"/>
              </w:rPr>
            </w:pPr>
            <w:r>
              <w:rPr>
                <w:spacing w:val="-2"/>
                <w:sz w:val="22"/>
              </w:rPr>
              <w:t>24-hour facility, including </w:t>
            </w:r>
            <w:r>
              <w:rPr>
                <w:spacing w:val="-4"/>
                <w:sz w:val="22"/>
              </w:rPr>
              <w:t>IMDs</w:t>
            </w:r>
          </w:p>
        </w:tc>
        <w:tc>
          <w:tcPr>
            <w:tcW w:w="3700" w:type="dxa"/>
          </w:tcPr>
          <w:p>
            <w:pPr>
              <w:pStyle w:val="TableParagraph"/>
              <w:spacing w:before="1"/>
              <w:ind w:left="108" w:right="113"/>
              <w:rPr>
                <w:sz w:val="22"/>
              </w:rPr>
            </w:pPr>
            <w:r>
              <w:rPr>
                <w:sz w:val="22"/>
              </w:rPr>
              <w:t>Treats patients in a 24-hour setting where</w:t>
            </w:r>
            <w:r>
              <w:rPr>
                <w:spacing w:val="-7"/>
                <w:sz w:val="22"/>
              </w:rPr>
              <w:t> </w:t>
            </w:r>
            <w:r>
              <w:rPr>
                <w:sz w:val="22"/>
              </w:rPr>
              <w:t>the</w:t>
            </w:r>
            <w:r>
              <w:rPr>
                <w:spacing w:val="-7"/>
                <w:sz w:val="22"/>
              </w:rPr>
              <w:t> </w:t>
            </w:r>
            <w:r>
              <w:rPr>
                <w:sz w:val="22"/>
              </w:rPr>
              <w:t>effects</w:t>
            </w:r>
            <w:r>
              <w:rPr>
                <w:spacing w:val="-5"/>
                <w:sz w:val="22"/>
              </w:rPr>
              <w:t> </w:t>
            </w:r>
            <w:r>
              <w:rPr>
                <w:sz w:val="22"/>
              </w:rPr>
              <w:t>of</w:t>
            </w:r>
            <w:r>
              <w:rPr>
                <w:spacing w:val="-4"/>
                <w:sz w:val="22"/>
              </w:rPr>
              <w:t> </w:t>
            </w:r>
            <w:r>
              <w:rPr>
                <w:sz w:val="22"/>
              </w:rPr>
              <w:t>the</w:t>
            </w:r>
            <w:r>
              <w:rPr>
                <w:spacing w:val="-5"/>
                <w:sz w:val="22"/>
              </w:rPr>
              <w:t> </w:t>
            </w:r>
            <w:r>
              <w:rPr>
                <w:sz w:val="22"/>
              </w:rPr>
              <w:t>substance</w:t>
            </w:r>
            <w:r>
              <w:rPr>
                <w:spacing w:val="-5"/>
                <w:sz w:val="22"/>
              </w:rPr>
              <w:t> </w:t>
            </w:r>
            <w:r>
              <w:rPr>
                <w:sz w:val="22"/>
              </w:rPr>
              <w:t>use, other addictive disorder, or co- occurring disorder resulting in cognitive impairment on the individual’s life are so significant and the resulting level of impairment so great that other levels of 24-hour or outpatient care are not feasible or effective. Includes day programming and individual and group services.</w:t>
            </w:r>
          </w:p>
          <w:p>
            <w:pPr>
              <w:pStyle w:val="TableParagraph"/>
              <w:spacing w:before="4"/>
              <w:rPr>
                <w:sz w:val="20"/>
              </w:rPr>
            </w:pPr>
          </w:p>
          <w:p>
            <w:pPr>
              <w:pStyle w:val="TableParagraph"/>
              <w:spacing w:line="252" w:lineRule="exact"/>
              <w:ind w:left="108"/>
              <w:rPr>
                <w:sz w:val="22"/>
              </w:rPr>
            </w:pPr>
            <w:r>
              <w:rPr>
                <w:sz w:val="22"/>
              </w:rPr>
              <w:t>This</w:t>
            </w:r>
            <w:r>
              <w:rPr>
                <w:spacing w:val="-6"/>
                <w:sz w:val="22"/>
              </w:rPr>
              <w:t> </w:t>
            </w:r>
            <w:r>
              <w:rPr>
                <w:sz w:val="22"/>
              </w:rPr>
              <w:t>service</w:t>
            </w:r>
            <w:r>
              <w:rPr>
                <w:spacing w:val="-6"/>
                <w:sz w:val="22"/>
              </w:rPr>
              <w:t> </w:t>
            </w:r>
            <w:r>
              <w:rPr>
                <w:sz w:val="22"/>
              </w:rPr>
              <w:t>will</w:t>
            </w:r>
            <w:r>
              <w:rPr>
                <w:spacing w:val="-5"/>
                <w:sz w:val="22"/>
              </w:rPr>
              <w:t> </w:t>
            </w:r>
            <w:r>
              <w:rPr>
                <w:sz w:val="22"/>
              </w:rPr>
              <w:t>be</w:t>
            </w:r>
            <w:r>
              <w:rPr>
                <w:spacing w:val="-6"/>
                <w:sz w:val="22"/>
              </w:rPr>
              <w:t> </w:t>
            </w:r>
            <w:r>
              <w:rPr>
                <w:sz w:val="22"/>
              </w:rPr>
              <w:t>implemented</w:t>
            </w:r>
            <w:r>
              <w:rPr>
                <w:spacing w:val="-9"/>
                <w:sz w:val="22"/>
              </w:rPr>
              <w:t> </w:t>
            </w:r>
            <w:r>
              <w:rPr>
                <w:sz w:val="22"/>
              </w:rPr>
              <w:t>on</w:t>
            </w:r>
            <w:r>
              <w:rPr>
                <w:spacing w:val="-6"/>
                <w:sz w:val="22"/>
              </w:rPr>
              <w:t> </w:t>
            </w:r>
            <w:r>
              <w:rPr>
                <w:sz w:val="22"/>
              </w:rPr>
              <w:t>or after July 1, 2018.</w:t>
            </w:r>
          </w:p>
        </w:tc>
      </w:tr>
      <w:tr>
        <w:trPr>
          <w:trHeight w:val="2025" w:hRule="atLeast"/>
        </w:trPr>
        <w:tc>
          <w:tcPr>
            <w:tcW w:w="2465" w:type="dxa"/>
          </w:tcPr>
          <w:p>
            <w:pPr>
              <w:pStyle w:val="TableParagraph"/>
              <w:spacing w:before="1"/>
              <w:ind w:left="107" w:right="399"/>
              <w:rPr>
                <w:sz w:val="22"/>
              </w:rPr>
            </w:pPr>
            <w:r>
              <w:rPr>
                <w:sz w:val="22"/>
              </w:rPr>
              <w:t>Clinically Managed Low- Intensity Residential Services ASAM</w:t>
            </w:r>
            <w:r>
              <w:rPr>
                <w:spacing w:val="-11"/>
                <w:sz w:val="22"/>
              </w:rPr>
              <w:t> </w:t>
            </w:r>
            <w:r>
              <w:rPr>
                <w:sz w:val="22"/>
              </w:rPr>
              <w:t>Level</w:t>
            </w:r>
            <w:r>
              <w:rPr>
                <w:spacing w:val="-11"/>
                <w:sz w:val="22"/>
              </w:rPr>
              <w:t> </w:t>
            </w:r>
            <w:r>
              <w:rPr>
                <w:sz w:val="22"/>
              </w:rPr>
              <w:t>3.1</w:t>
            </w:r>
            <w:r>
              <w:rPr>
                <w:spacing w:val="-14"/>
                <w:sz w:val="22"/>
              </w:rPr>
              <w:t> </w:t>
            </w:r>
            <w:r>
              <w:rPr>
                <w:sz w:val="22"/>
              </w:rPr>
              <w:t>(24-</w:t>
            </w:r>
          </w:p>
          <w:p>
            <w:pPr>
              <w:pStyle w:val="TableParagraph"/>
              <w:ind w:left="107" w:right="505"/>
              <w:rPr>
                <w:sz w:val="22"/>
              </w:rPr>
            </w:pPr>
            <w:r>
              <w:rPr>
                <w:sz w:val="22"/>
              </w:rPr>
              <w:t>hour Transitional Support</w:t>
            </w:r>
            <w:r>
              <w:rPr>
                <w:spacing w:val="-2"/>
                <w:sz w:val="22"/>
              </w:rPr>
              <w:t> </w:t>
            </w:r>
            <w:r>
              <w:rPr>
                <w:spacing w:val="-2"/>
                <w:sz w:val="22"/>
              </w:rPr>
              <w:t>Services)</w:t>
            </w:r>
          </w:p>
        </w:tc>
        <w:tc>
          <w:tcPr>
            <w:tcW w:w="1819" w:type="dxa"/>
          </w:tcPr>
          <w:p>
            <w:pPr>
              <w:pStyle w:val="TableParagraph"/>
              <w:spacing w:before="1"/>
              <w:ind w:left="107" w:right="205"/>
              <w:rPr>
                <w:sz w:val="22"/>
              </w:rPr>
            </w:pPr>
            <w:r>
              <w:rPr>
                <w:sz w:val="22"/>
              </w:rPr>
              <w:t>All MassHealth members,</w:t>
            </w:r>
            <w:r>
              <w:rPr>
                <w:spacing w:val="-14"/>
                <w:sz w:val="22"/>
              </w:rPr>
              <w:t> </w:t>
            </w:r>
            <w:r>
              <w:rPr>
                <w:sz w:val="22"/>
              </w:rPr>
              <w:t>except those in </w:t>
            </w:r>
            <w:r>
              <w:rPr>
                <w:spacing w:val="-2"/>
                <w:sz w:val="22"/>
              </w:rPr>
              <w:t>MassHealth Limited</w:t>
            </w:r>
          </w:p>
        </w:tc>
        <w:tc>
          <w:tcPr>
            <w:tcW w:w="1365" w:type="dxa"/>
          </w:tcPr>
          <w:p>
            <w:pPr>
              <w:pStyle w:val="TableParagraph"/>
              <w:spacing w:before="1"/>
              <w:ind w:left="107"/>
              <w:rPr>
                <w:sz w:val="22"/>
              </w:rPr>
            </w:pPr>
            <w:r>
              <w:rPr>
                <w:spacing w:val="-2"/>
                <w:sz w:val="22"/>
              </w:rPr>
              <w:t>24-hour facility, including </w:t>
            </w:r>
            <w:r>
              <w:rPr>
                <w:spacing w:val="-4"/>
                <w:sz w:val="22"/>
              </w:rPr>
              <w:t>IMDs</w:t>
            </w:r>
          </w:p>
        </w:tc>
        <w:tc>
          <w:tcPr>
            <w:tcW w:w="3700" w:type="dxa"/>
          </w:tcPr>
          <w:p>
            <w:pPr>
              <w:pStyle w:val="TableParagraph"/>
              <w:spacing w:before="1"/>
              <w:ind w:left="108" w:right="107"/>
              <w:rPr>
                <w:sz w:val="22"/>
              </w:rPr>
            </w:pPr>
            <w:r>
              <w:rPr>
                <w:sz w:val="22"/>
              </w:rPr>
              <w:t>Services</w:t>
            </w:r>
            <w:r>
              <w:rPr>
                <w:spacing w:val="-8"/>
                <w:sz w:val="22"/>
              </w:rPr>
              <w:t> </w:t>
            </w:r>
            <w:r>
              <w:rPr>
                <w:sz w:val="22"/>
              </w:rPr>
              <w:t>provided</w:t>
            </w:r>
            <w:r>
              <w:rPr>
                <w:spacing w:val="-6"/>
                <w:sz w:val="22"/>
              </w:rPr>
              <w:t> </w:t>
            </w:r>
            <w:r>
              <w:rPr>
                <w:sz w:val="22"/>
              </w:rPr>
              <w:t>to</w:t>
            </w:r>
            <w:r>
              <w:rPr>
                <w:spacing w:val="-8"/>
                <w:sz w:val="22"/>
              </w:rPr>
              <w:t> </w:t>
            </w:r>
            <w:r>
              <w:rPr>
                <w:sz w:val="22"/>
              </w:rPr>
              <w:t>an</w:t>
            </w:r>
            <w:r>
              <w:rPr>
                <w:spacing w:val="-8"/>
                <w:sz w:val="22"/>
              </w:rPr>
              <w:t> </w:t>
            </w:r>
            <w:r>
              <w:rPr>
                <w:sz w:val="22"/>
              </w:rPr>
              <w:t>individual</w:t>
            </w:r>
            <w:r>
              <w:rPr>
                <w:spacing w:val="-5"/>
                <w:sz w:val="22"/>
              </w:rPr>
              <w:t> </w:t>
            </w:r>
            <w:r>
              <w:rPr>
                <w:sz w:val="22"/>
              </w:rPr>
              <w:t>with a substance use disorder in a 24-hour setting, with clinical staff and appropriately trained professional and paraprofessional staff to ensure safety for the individual, while providing active treatment and reassessment.</w:t>
            </w:r>
          </w:p>
          <w:p>
            <w:pPr>
              <w:pStyle w:val="TableParagraph"/>
              <w:spacing w:line="234" w:lineRule="exact"/>
              <w:ind w:left="108"/>
              <w:rPr>
                <w:sz w:val="22"/>
              </w:rPr>
            </w:pPr>
            <w:r>
              <w:rPr>
                <w:sz w:val="22"/>
              </w:rPr>
              <w:t>Includes</w:t>
            </w:r>
            <w:r>
              <w:rPr>
                <w:spacing w:val="-4"/>
                <w:sz w:val="22"/>
              </w:rPr>
              <w:t> </w:t>
            </w:r>
            <w:r>
              <w:rPr>
                <w:sz w:val="22"/>
              </w:rPr>
              <w:t>4</w:t>
            </w:r>
            <w:r>
              <w:rPr>
                <w:spacing w:val="-3"/>
                <w:sz w:val="22"/>
              </w:rPr>
              <w:t> </w:t>
            </w:r>
            <w:r>
              <w:rPr>
                <w:sz w:val="22"/>
              </w:rPr>
              <w:t>hours</w:t>
            </w:r>
            <w:r>
              <w:rPr>
                <w:spacing w:val="-3"/>
                <w:sz w:val="22"/>
              </w:rPr>
              <w:t> </w:t>
            </w:r>
            <w:r>
              <w:rPr>
                <w:sz w:val="22"/>
              </w:rPr>
              <w:t>of</w:t>
            </w:r>
            <w:r>
              <w:rPr>
                <w:spacing w:val="-2"/>
                <w:sz w:val="22"/>
              </w:rPr>
              <w:t> </w:t>
            </w:r>
            <w:r>
              <w:rPr>
                <w:sz w:val="22"/>
              </w:rPr>
              <w:t>nursing</w:t>
            </w:r>
            <w:r>
              <w:rPr>
                <w:spacing w:val="-5"/>
                <w:sz w:val="22"/>
              </w:rPr>
              <w:t> </w:t>
            </w:r>
            <w:r>
              <w:rPr>
                <w:spacing w:val="-2"/>
                <w:sz w:val="22"/>
              </w:rPr>
              <w:t>services.</w:t>
            </w:r>
          </w:p>
        </w:tc>
      </w:tr>
      <w:tr>
        <w:trPr>
          <w:trHeight w:val="3287" w:hRule="atLeast"/>
        </w:trPr>
        <w:tc>
          <w:tcPr>
            <w:tcW w:w="2465" w:type="dxa"/>
          </w:tcPr>
          <w:p>
            <w:pPr>
              <w:pStyle w:val="TableParagraph"/>
              <w:ind w:left="107" w:right="399"/>
              <w:rPr>
                <w:sz w:val="22"/>
              </w:rPr>
            </w:pPr>
            <w:r>
              <w:rPr>
                <w:sz w:val="22"/>
              </w:rPr>
              <w:t>Clinically Managed Low- Intensity Residential Services ASAM</w:t>
            </w:r>
            <w:r>
              <w:rPr>
                <w:spacing w:val="-11"/>
                <w:sz w:val="22"/>
              </w:rPr>
              <w:t> </w:t>
            </w:r>
            <w:r>
              <w:rPr>
                <w:sz w:val="22"/>
              </w:rPr>
              <w:t>Level</w:t>
            </w:r>
            <w:r>
              <w:rPr>
                <w:spacing w:val="-11"/>
                <w:sz w:val="22"/>
              </w:rPr>
              <w:t> </w:t>
            </w:r>
            <w:r>
              <w:rPr>
                <w:sz w:val="22"/>
              </w:rPr>
              <w:t>3.1</w:t>
            </w:r>
            <w:r>
              <w:rPr>
                <w:spacing w:val="-14"/>
                <w:sz w:val="22"/>
              </w:rPr>
              <w:t> </w:t>
            </w:r>
            <w:r>
              <w:rPr>
                <w:sz w:val="22"/>
              </w:rPr>
              <w:t>(24-</w:t>
            </w:r>
          </w:p>
          <w:p>
            <w:pPr>
              <w:pStyle w:val="TableParagraph"/>
              <w:ind w:left="107" w:right="3"/>
              <w:rPr>
                <w:sz w:val="22"/>
              </w:rPr>
            </w:pPr>
            <w:r>
              <w:rPr>
                <w:sz w:val="22"/>
              </w:rPr>
              <w:t>hour Residential Rehabilitation Services and</w:t>
            </w:r>
            <w:r>
              <w:rPr>
                <w:spacing w:val="-14"/>
                <w:sz w:val="22"/>
              </w:rPr>
              <w:t> </w:t>
            </w:r>
            <w:r>
              <w:rPr>
                <w:sz w:val="22"/>
              </w:rPr>
              <w:t>24-hour</w:t>
            </w:r>
            <w:r>
              <w:rPr>
                <w:spacing w:val="-14"/>
                <w:sz w:val="22"/>
              </w:rPr>
              <w:t> </w:t>
            </w:r>
            <w:r>
              <w:rPr>
                <w:sz w:val="22"/>
              </w:rPr>
              <w:t>community- based family SUD treatment services)</w:t>
            </w:r>
          </w:p>
        </w:tc>
        <w:tc>
          <w:tcPr>
            <w:tcW w:w="1819" w:type="dxa"/>
          </w:tcPr>
          <w:p>
            <w:pPr>
              <w:pStyle w:val="TableParagraph"/>
              <w:ind w:left="107" w:right="205"/>
              <w:rPr>
                <w:sz w:val="22"/>
              </w:rPr>
            </w:pPr>
            <w:r>
              <w:rPr>
                <w:sz w:val="22"/>
              </w:rPr>
              <w:t>All MassHealth members,</w:t>
            </w:r>
            <w:r>
              <w:rPr>
                <w:spacing w:val="-14"/>
                <w:sz w:val="22"/>
              </w:rPr>
              <w:t> </w:t>
            </w:r>
            <w:r>
              <w:rPr>
                <w:sz w:val="22"/>
              </w:rPr>
              <w:t>except those in </w:t>
            </w:r>
            <w:r>
              <w:rPr>
                <w:spacing w:val="-2"/>
                <w:sz w:val="22"/>
              </w:rPr>
              <w:t>MassHealth Limited</w:t>
            </w:r>
          </w:p>
        </w:tc>
        <w:tc>
          <w:tcPr>
            <w:tcW w:w="1365" w:type="dxa"/>
          </w:tcPr>
          <w:p>
            <w:pPr>
              <w:pStyle w:val="TableParagraph"/>
              <w:ind w:left="107"/>
              <w:rPr>
                <w:sz w:val="22"/>
              </w:rPr>
            </w:pPr>
            <w:r>
              <w:rPr>
                <w:spacing w:val="-2"/>
                <w:sz w:val="22"/>
              </w:rPr>
              <w:t>24-hour facility, including </w:t>
            </w:r>
            <w:r>
              <w:rPr>
                <w:spacing w:val="-4"/>
                <w:sz w:val="22"/>
              </w:rPr>
              <w:t>IMDs</w:t>
            </w:r>
          </w:p>
        </w:tc>
        <w:tc>
          <w:tcPr>
            <w:tcW w:w="3700" w:type="dxa"/>
          </w:tcPr>
          <w:p>
            <w:pPr>
              <w:pStyle w:val="TableParagraph"/>
              <w:ind w:left="108" w:right="107"/>
              <w:rPr>
                <w:sz w:val="22"/>
              </w:rPr>
            </w:pPr>
            <w:r>
              <w:rPr>
                <w:sz w:val="22"/>
              </w:rPr>
              <w:t>Services</w:t>
            </w:r>
            <w:r>
              <w:rPr>
                <w:spacing w:val="-8"/>
                <w:sz w:val="22"/>
              </w:rPr>
              <w:t> </w:t>
            </w:r>
            <w:r>
              <w:rPr>
                <w:sz w:val="22"/>
              </w:rPr>
              <w:t>provided</w:t>
            </w:r>
            <w:r>
              <w:rPr>
                <w:spacing w:val="-6"/>
                <w:sz w:val="22"/>
              </w:rPr>
              <w:t> </w:t>
            </w:r>
            <w:r>
              <w:rPr>
                <w:sz w:val="22"/>
              </w:rPr>
              <w:t>to</w:t>
            </w:r>
            <w:r>
              <w:rPr>
                <w:spacing w:val="-8"/>
                <w:sz w:val="22"/>
              </w:rPr>
              <w:t> </w:t>
            </w:r>
            <w:r>
              <w:rPr>
                <w:sz w:val="22"/>
              </w:rPr>
              <w:t>an</w:t>
            </w:r>
            <w:r>
              <w:rPr>
                <w:spacing w:val="-8"/>
                <w:sz w:val="22"/>
              </w:rPr>
              <w:t> </w:t>
            </w:r>
            <w:r>
              <w:rPr>
                <w:sz w:val="22"/>
              </w:rPr>
              <w:t>individual</w:t>
            </w:r>
            <w:r>
              <w:rPr>
                <w:spacing w:val="-5"/>
                <w:sz w:val="22"/>
              </w:rPr>
              <w:t> </w:t>
            </w:r>
            <w:r>
              <w:rPr>
                <w:sz w:val="22"/>
              </w:rPr>
              <w:t>with a substance use disorder in a 24-hour setting, with clinical staff and appropriately trained professional and paraprofessional staff to ensure safety for the individual, while providing active treatment and reassessment.</w:t>
            </w:r>
          </w:p>
          <w:p>
            <w:pPr>
              <w:pStyle w:val="TableParagraph"/>
              <w:ind w:left="108"/>
              <w:rPr>
                <w:sz w:val="22"/>
              </w:rPr>
            </w:pPr>
            <w:r>
              <w:rPr>
                <w:sz w:val="22"/>
              </w:rPr>
              <w:t>Through</w:t>
            </w:r>
            <w:r>
              <w:rPr>
                <w:spacing w:val="-9"/>
                <w:sz w:val="22"/>
              </w:rPr>
              <w:t> </w:t>
            </w:r>
            <w:r>
              <w:rPr>
                <w:sz w:val="22"/>
              </w:rPr>
              <w:t>this</w:t>
            </w:r>
            <w:r>
              <w:rPr>
                <w:spacing w:val="-9"/>
                <w:sz w:val="22"/>
              </w:rPr>
              <w:t> </w:t>
            </w:r>
            <w:r>
              <w:rPr>
                <w:sz w:val="22"/>
              </w:rPr>
              <w:t>service</w:t>
            </w:r>
            <w:r>
              <w:rPr>
                <w:spacing w:val="-11"/>
                <w:sz w:val="22"/>
              </w:rPr>
              <w:t> </w:t>
            </w:r>
            <w:r>
              <w:rPr>
                <w:sz w:val="22"/>
              </w:rPr>
              <w:t>MassHealth</w:t>
            </w:r>
            <w:r>
              <w:rPr>
                <w:spacing w:val="-9"/>
                <w:sz w:val="22"/>
              </w:rPr>
              <w:t> </w:t>
            </w:r>
            <w:r>
              <w:rPr>
                <w:sz w:val="22"/>
              </w:rPr>
              <w:t>will provide ASAM Level 3.1 services to adults, families, and adolescents.</w:t>
            </w:r>
          </w:p>
          <w:p>
            <w:pPr>
              <w:pStyle w:val="TableParagraph"/>
              <w:ind w:left="108"/>
              <w:rPr>
                <w:sz w:val="22"/>
              </w:rPr>
            </w:pPr>
            <w:r>
              <w:rPr>
                <w:sz w:val="22"/>
              </w:rPr>
              <w:t>Residential</w:t>
            </w:r>
            <w:r>
              <w:rPr>
                <w:spacing w:val="-14"/>
                <w:sz w:val="22"/>
              </w:rPr>
              <w:t> </w:t>
            </w:r>
            <w:r>
              <w:rPr>
                <w:sz w:val="22"/>
              </w:rPr>
              <w:t>Rehabilitation</w:t>
            </w:r>
            <w:r>
              <w:rPr>
                <w:spacing w:val="-14"/>
                <w:sz w:val="22"/>
              </w:rPr>
              <w:t> </w:t>
            </w:r>
            <w:r>
              <w:rPr>
                <w:sz w:val="22"/>
              </w:rPr>
              <w:t>Services includes day programming and</w:t>
            </w:r>
          </w:p>
          <w:p>
            <w:pPr>
              <w:pStyle w:val="TableParagraph"/>
              <w:spacing w:line="233" w:lineRule="exact"/>
              <w:ind w:left="108"/>
              <w:rPr>
                <w:sz w:val="22"/>
              </w:rPr>
            </w:pPr>
            <w:r>
              <w:rPr>
                <w:sz w:val="22"/>
              </w:rPr>
              <w:t>individual</w:t>
            </w:r>
            <w:r>
              <w:rPr>
                <w:spacing w:val="-4"/>
                <w:sz w:val="22"/>
              </w:rPr>
              <w:t> </w:t>
            </w:r>
            <w:r>
              <w:rPr>
                <w:sz w:val="22"/>
              </w:rPr>
              <w:t>and</w:t>
            </w:r>
            <w:r>
              <w:rPr>
                <w:spacing w:val="-3"/>
                <w:sz w:val="22"/>
              </w:rPr>
              <w:t> </w:t>
            </w:r>
            <w:r>
              <w:rPr>
                <w:sz w:val="22"/>
              </w:rPr>
              <w:t>group</w:t>
            </w:r>
            <w:r>
              <w:rPr>
                <w:spacing w:val="-4"/>
                <w:sz w:val="22"/>
              </w:rPr>
              <w:t> </w:t>
            </w:r>
            <w:r>
              <w:rPr>
                <w:spacing w:val="-2"/>
                <w:sz w:val="22"/>
              </w:rPr>
              <w:t>services.</w:t>
            </w:r>
          </w:p>
        </w:tc>
      </w:tr>
    </w:tbl>
    <w:p>
      <w:pPr>
        <w:spacing w:after="0" w:line="233" w:lineRule="exact"/>
        <w:rPr>
          <w:sz w:val="22"/>
        </w:rPr>
        <w:sectPr>
          <w:pgSz w:w="12240" w:h="15840"/>
          <w:pgMar w:header="0" w:footer="1201" w:top="1360" w:bottom="1880" w:left="1200" w:right="400"/>
        </w:sectPr>
      </w:pPr>
    </w:p>
    <w:tbl>
      <w:tblPr>
        <w:tblW w:w="0" w:type="auto"/>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65"/>
        <w:gridCol w:w="1819"/>
        <w:gridCol w:w="1365"/>
        <w:gridCol w:w="3700"/>
      </w:tblGrid>
      <w:tr>
        <w:trPr>
          <w:trHeight w:val="253" w:hRule="atLeast"/>
        </w:trPr>
        <w:tc>
          <w:tcPr>
            <w:tcW w:w="9349" w:type="dxa"/>
            <w:gridSpan w:val="4"/>
            <w:shd w:val="clear" w:color="auto" w:fill="DBE6F1"/>
          </w:tcPr>
          <w:p>
            <w:pPr>
              <w:pStyle w:val="TableParagraph"/>
              <w:spacing w:line="234" w:lineRule="exact"/>
              <w:ind w:left="3618" w:right="3608"/>
              <w:jc w:val="center"/>
              <w:rPr>
                <w:b/>
                <w:sz w:val="22"/>
              </w:rPr>
            </w:pPr>
            <w:r>
              <w:rPr>
                <w:b/>
                <w:sz w:val="22"/>
              </w:rPr>
              <w:t>Table</w:t>
            </w:r>
            <w:r>
              <w:rPr>
                <w:b/>
                <w:spacing w:val="-3"/>
                <w:sz w:val="22"/>
              </w:rPr>
              <w:t> </w:t>
            </w:r>
            <w:r>
              <w:rPr>
                <w:b/>
                <w:sz w:val="22"/>
              </w:rPr>
              <w:t>6:</w:t>
            </w:r>
            <w:r>
              <w:rPr>
                <w:b/>
                <w:spacing w:val="-1"/>
                <w:sz w:val="22"/>
              </w:rPr>
              <w:t> </w:t>
            </w:r>
            <w:r>
              <w:rPr>
                <w:b/>
                <w:sz w:val="22"/>
              </w:rPr>
              <w:t>SUD</w:t>
            </w:r>
            <w:r>
              <w:rPr>
                <w:b/>
                <w:spacing w:val="-3"/>
                <w:sz w:val="22"/>
              </w:rPr>
              <w:t> </w:t>
            </w:r>
            <w:r>
              <w:rPr>
                <w:b/>
                <w:spacing w:val="-2"/>
                <w:sz w:val="22"/>
              </w:rPr>
              <w:t>Services</w:t>
            </w:r>
          </w:p>
        </w:tc>
      </w:tr>
      <w:tr>
        <w:trPr>
          <w:trHeight w:val="505" w:hRule="atLeast"/>
        </w:trPr>
        <w:tc>
          <w:tcPr>
            <w:tcW w:w="2465" w:type="dxa"/>
            <w:shd w:val="clear" w:color="auto" w:fill="DBE6F1"/>
          </w:tcPr>
          <w:p>
            <w:pPr>
              <w:pStyle w:val="TableParagraph"/>
              <w:spacing w:line="252" w:lineRule="exact"/>
              <w:ind w:left="1012" w:right="3" w:hanging="867"/>
              <w:rPr>
                <w:b/>
                <w:sz w:val="22"/>
              </w:rPr>
            </w:pPr>
            <w:r>
              <w:rPr>
                <w:b/>
                <w:sz w:val="22"/>
              </w:rPr>
              <w:t>Service</w:t>
            </w:r>
            <w:r>
              <w:rPr>
                <w:b/>
                <w:spacing w:val="-11"/>
                <w:sz w:val="22"/>
              </w:rPr>
              <w:t> </w:t>
            </w:r>
            <w:r>
              <w:rPr>
                <w:b/>
                <w:sz w:val="22"/>
              </w:rPr>
              <w:t>for</w:t>
            </w:r>
            <w:r>
              <w:rPr>
                <w:b/>
                <w:spacing w:val="-11"/>
                <w:sz w:val="22"/>
              </w:rPr>
              <w:t> </w:t>
            </w:r>
            <w:r>
              <w:rPr>
                <w:b/>
                <w:sz w:val="22"/>
              </w:rPr>
              <w:t>People</w:t>
            </w:r>
            <w:r>
              <w:rPr>
                <w:b/>
                <w:spacing w:val="-11"/>
                <w:sz w:val="22"/>
              </w:rPr>
              <w:t> </w:t>
            </w:r>
            <w:r>
              <w:rPr>
                <w:b/>
                <w:sz w:val="22"/>
              </w:rPr>
              <w:t>with </w:t>
            </w:r>
            <w:r>
              <w:rPr>
                <w:b/>
                <w:spacing w:val="-4"/>
                <w:sz w:val="22"/>
              </w:rPr>
              <w:t>SUD</w:t>
            </w:r>
          </w:p>
        </w:tc>
        <w:tc>
          <w:tcPr>
            <w:tcW w:w="1819" w:type="dxa"/>
            <w:shd w:val="clear" w:color="auto" w:fill="DBE6F1"/>
          </w:tcPr>
          <w:p>
            <w:pPr>
              <w:pStyle w:val="TableParagraph"/>
              <w:spacing w:before="123"/>
              <w:ind w:left="395"/>
              <w:rPr>
                <w:b/>
                <w:sz w:val="22"/>
              </w:rPr>
            </w:pPr>
            <w:r>
              <w:rPr>
                <w:b/>
                <w:spacing w:val="-2"/>
                <w:sz w:val="22"/>
              </w:rPr>
              <w:t>Population</w:t>
            </w:r>
          </w:p>
        </w:tc>
        <w:tc>
          <w:tcPr>
            <w:tcW w:w="1365" w:type="dxa"/>
            <w:shd w:val="clear" w:color="auto" w:fill="DBE6F1"/>
          </w:tcPr>
          <w:p>
            <w:pPr>
              <w:pStyle w:val="TableParagraph"/>
              <w:spacing w:before="123"/>
              <w:ind w:left="352"/>
              <w:rPr>
                <w:b/>
                <w:sz w:val="22"/>
              </w:rPr>
            </w:pPr>
            <w:r>
              <w:rPr>
                <w:b/>
                <w:spacing w:val="-2"/>
                <w:sz w:val="22"/>
              </w:rPr>
              <w:t>Setting</w:t>
            </w:r>
          </w:p>
        </w:tc>
        <w:tc>
          <w:tcPr>
            <w:tcW w:w="3700" w:type="dxa"/>
            <w:shd w:val="clear" w:color="auto" w:fill="DBE6F1"/>
          </w:tcPr>
          <w:p>
            <w:pPr>
              <w:pStyle w:val="TableParagraph"/>
              <w:spacing w:before="123"/>
              <w:ind w:left="890"/>
              <w:rPr>
                <w:b/>
                <w:sz w:val="22"/>
              </w:rPr>
            </w:pPr>
            <w:r>
              <w:rPr>
                <w:b/>
                <w:sz w:val="22"/>
              </w:rPr>
              <w:t>Definition</w:t>
            </w:r>
            <w:r>
              <w:rPr>
                <w:b/>
                <w:spacing w:val="-4"/>
                <w:sz w:val="22"/>
              </w:rPr>
              <w:t> </w:t>
            </w:r>
            <w:r>
              <w:rPr>
                <w:b/>
                <w:sz w:val="22"/>
              </w:rPr>
              <w:t>of</w:t>
            </w:r>
            <w:r>
              <w:rPr>
                <w:b/>
                <w:spacing w:val="-2"/>
                <w:sz w:val="22"/>
              </w:rPr>
              <w:t> Service</w:t>
            </w:r>
          </w:p>
        </w:tc>
      </w:tr>
      <w:tr>
        <w:trPr>
          <w:trHeight w:val="2781" w:hRule="atLeast"/>
        </w:trPr>
        <w:tc>
          <w:tcPr>
            <w:tcW w:w="2465" w:type="dxa"/>
          </w:tcPr>
          <w:p>
            <w:pPr>
              <w:pStyle w:val="TableParagraph"/>
              <w:ind w:left="107" w:right="3"/>
              <w:rPr>
                <w:sz w:val="22"/>
              </w:rPr>
            </w:pPr>
            <w:r>
              <w:rPr>
                <w:sz w:val="22"/>
              </w:rPr>
              <w:t>Recovery support navigator</w:t>
            </w:r>
            <w:r>
              <w:rPr>
                <w:spacing w:val="-3"/>
                <w:sz w:val="22"/>
              </w:rPr>
              <w:t> </w:t>
            </w:r>
            <w:r>
              <w:rPr>
                <w:spacing w:val="-2"/>
                <w:sz w:val="22"/>
              </w:rPr>
              <w:t>services</w:t>
            </w:r>
          </w:p>
        </w:tc>
        <w:tc>
          <w:tcPr>
            <w:tcW w:w="1819" w:type="dxa"/>
          </w:tcPr>
          <w:p>
            <w:pPr>
              <w:pStyle w:val="TableParagraph"/>
              <w:ind w:left="107" w:right="205"/>
              <w:rPr>
                <w:sz w:val="22"/>
              </w:rPr>
            </w:pPr>
            <w:r>
              <w:rPr>
                <w:sz w:val="22"/>
              </w:rPr>
              <w:t>All MassHealth members,</w:t>
            </w:r>
            <w:r>
              <w:rPr>
                <w:spacing w:val="-14"/>
                <w:sz w:val="22"/>
              </w:rPr>
              <w:t> </w:t>
            </w:r>
            <w:r>
              <w:rPr>
                <w:sz w:val="22"/>
              </w:rPr>
              <w:t>except those in </w:t>
            </w:r>
            <w:r>
              <w:rPr>
                <w:spacing w:val="-2"/>
                <w:sz w:val="22"/>
              </w:rPr>
              <w:t>MassHealth Limited</w:t>
            </w:r>
          </w:p>
        </w:tc>
        <w:tc>
          <w:tcPr>
            <w:tcW w:w="1365" w:type="dxa"/>
          </w:tcPr>
          <w:p>
            <w:pPr>
              <w:pStyle w:val="TableParagraph"/>
              <w:rPr>
                <w:sz w:val="20"/>
              </w:rPr>
            </w:pPr>
          </w:p>
        </w:tc>
        <w:tc>
          <w:tcPr>
            <w:tcW w:w="3700" w:type="dxa"/>
          </w:tcPr>
          <w:p>
            <w:pPr>
              <w:pStyle w:val="TableParagraph"/>
              <w:ind w:left="108" w:right="113"/>
              <w:rPr>
                <w:sz w:val="22"/>
              </w:rPr>
            </w:pPr>
            <w:r>
              <w:rPr>
                <w:sz w:val="22"/>
              </w:rPr>
              <w:t>Under</w:t>
            </w:r>
            <w:r>
              <w:rPr>
                <w:spacing w:val="-8"/>
                <w:sz w:val="22"/>
              </w:rPr>
              <w:t> </w:t>
            </w:r>
            <w:r>
              <w:rPr>
                <w:sz w:val="22"/>
              </w:rPr>
              <w:t>this</w:t>
            </w:r>
            <w:r>
              <w:rPr>
                <w:spacing w:val="-6"/>
                <w:sz w:val="22"/>
              </w:rPr>
              <w:t> </w:t>
            </w:r>
            <w:r>
              <w:rPr>
                <w:sz w:val="22"/>
              </w:rPr>
              <w:t>service,</w:t>
            </w:r>
            <w:r>
              <w:rPr>
                <w:spacing w:val="-9"/>
                <w:sz w:val="22"/>
              </w:rPr>
              <w:t> </w:t>
            </w:r>
            <w:r>
              <w:rPr>
                <w:sz w:val="22"/>
              </w:rPr>
              <w:t>a</w:t>
            </w:r>
            <w:r>
              <w:rPr>
                <w:spacing w:val="-6"/>
                <w:sz w:val="22"/>
              </w:rPr>
              <w:t> </w:t>
            </w:r>
            <w:r>
              <w:rPr>
                <w:sz w:val="22"/>
              </w:rPr>
              <w:t>Recovery</w:t>
            </w:r>
            <w:r>
              <w:rPr>
                <w:spacing w:val="-9"/>
                <w:sz w:val="22"/>
              </w:rPr>
              <w:t> </w:t>
            </w:r>
            <w:r>
              <w:rPr>
                <w:sz w:val="22"/>
              </w:rPr>
              <w:t>Support Navigator develops and monitors a recovery plan in conjunction with the member, coordinates all clinical and non–clinical services, participates in discharge planning from acute treatment programs, works with the member to ensure adherence to the discharge plan, and assists the member in pursuing his or her health</w:t>
            </w:r>
          </w:p>
          <w:p>
            <w:pPr>
              <w:pStyle w:val="TableParagraph"/>
              <w:spacing w:line="233" w:lineRule="exact"/>
              <w:ind w:left="108"/>
              <w:rPr>
                <w:sz w:val="22"/>
              </w:rPr>
            </w:pPr>
            <w:r>
              <w:rPr>
                <w:sz w:val="22"/>
              </w:rPr>
              <w:t>management</w:t>
            </w:r>
            <w:r>
              <w:rPr>
                <w:spacing w:val="-8"/>
                <w:sz w:val="22"/>
              </w:rPr>
              <w:t> </w:t>
            </w:r>
            <w:r>
              <w:rPr>
                <w:spacing w:val="-2"/>
                <w:sz w:val="22"/>
              </w:rPr>
              <w:t>goals.</w:t>
            </w:r>
          </w:p>
        </w:tc>
      </w:tr>
      <w:tr>
        <w:trPr>
          <w:trHeight w:val="1770" w:hRule="atLeast"/>
        </w:trPr>
        <w:tc>
          <w:tcPr>
            <w:tcW w:w="2465" w:type="dxa"/>
          </w:tcPr>
          <w:p>
            <w:pPr>
              <w:pStyle w:val="TableParagraph"/>
              <w:spacing w:line="251" w:lineRule="exact"/>
              <w:ind w:left="107"/>
              <w:rPr>
                <w:sz w:val="22"/>
              </w:rPr>
            </w:pPr>
            <w:r>
              <w:rPr>
                <w:sz w:val="22"/>
              </w:rPr>
              <w:t>Recovery</w:t>
            </w:r>
            <w:r>
              <w:rPr>
                <w:spacing w:val="-5"/>
                <w:sz w:val="22"/>
              </w:rPr>
              <w:t> </w:t>
            </w:r>
            <w:r>
              <w:rPr>
                <w:sz w:val="22"/>
              </w:rPr>
              <w:t>coach</w:t>
            </w:r>
            <w:r>
              <w:rPr>
                <w:spacing w:val="-2"/>
                <w:sz w:val="22"/>
              </w:rPr>
              <w:t> services</w:t>
            </w:r>
          </w:p>
        </w:tc>
        <w:tc>
          <w:tcPr>
            <w:tcW w:w="1819" w:type="dxa"/>
          </w:tcPr>
          <w:p>
            <w:pPr>
              <w:pStyle w:val="TableParagraph"/>
              <w:ind w:left="107" w:right="205"/>
              <w:rPr>
                <w:sz w:val="22"/>
              </w:rPr>
            </w:pPr>
            <w:r>
              <w:rPr>
                <w:sz w:val="22"/>
              </w:rPr>
              <w:t>All MassHealth members,</w:t>
            </w:r>
            <w:r>
              <w:rPr>
                <w:spacing w:val="-14"/>
                <w:sz w:val="22"/>
              </w:rPr>
              <w:t> </w:t>
            </w:r>
            <w:r>
              <w:rPr>
                <w:sz w:val="22"/>
              </w:rPr>
              <w:t>except those in </w:t>
            </w:r>
            <w:r>
              <w:rPr>
                <w:spacing w:val="-2"/>
                <w:sz w:val="22"/>
              </w:rPr>
              <w:t>MassHealth Limited</w:t>
            </w:r>
          </w:p>
        </w:tc>
        <w:tc>
          <w:tcPr>
            <w:tcW w:w="1365" w:type="dxa"/>
          </w:tcPr>
          <w:p>
            <w:pPr>
              <w:pStyle w:val="TableParagraph"/>
              <w:rPr>
                <w:sz w:val="20"/>
              </w:rPr>
            </w:pPr>
          </w:p>
        </w:tc>
        <w:tc>
          <w:tcPr>
            <w:tcW w:w="3700" w:type="dxa"/>
          </w:tcPr>
          <w:p>
            <w:pPr>
              <w:pStyle w:val="TableParagraph"/>
              <w:ind w:left="108" w:right="113"/>
              <w:rPr>
                <w:sz w:val="22"/>
              </w:rPr>
            </w:pPr>
            <w:r>
              <w:rPr>
                <w:sz w:val="22"/>
              </w:rPr>
              <w:t>Under this service, a Recovery Coach (a person with SUD lived experience) will</w:t>
            </w:r>
            <w:r>
              <w:rPr>
                <w:spacing w:val="-6"/>
                <w:sz w:val="22"/>
              </w:rPr>
              <w:t> </w:t>
            </w:r>
            <w:r>
              <w:rPr>
                <w:sz w:val="22"/>
              </w:rPr>
              <w:t>serve</w:t>
            </w:r>
            <w:r>
              <w:rPr>
                <w:spacing w:val="-4"/>
                <w:sz w:val="22"/>
              </w:rPr>
              <w:t> </w:t>
            </w:r>
            <w:r>
              <w:rPr>
                <w:sz w:val="22"/>
              </w:rPr>
              <w:t>as</w:t>
            </w:r>
            <w:r>
              <w:rPr>
                <w:spacing w:val="-4"/>
                <w:sz w:val="22"/>
              </w:rPr>
              <w:t> </w:t>
            </w:r>
            <w:r>
              <w:rPr>
                <w:sz w:val="22"/>
              </w:rPr>
              <w:t>a</w:t>
            </w:r>
            <w:r>
              <w:rPr>
                <w:spacing w:val="-6"/>
                <w:sz w:val="22"/>
              </w:rPr>
              <w:t> </w:t>
            </w:r>
            <w:r>
              <w:rPr>
                <w:sz w:val="22"/>
              </w:rPr>
              <w:t>recovery</w:t>
            </w:r>
            <w:r>
              <w:rPr>
                <w:spacing w:val="-7"/>
                <w:sz w:val="22"/>
              </w:rPr>
              <w:t> </w:t>
            </w:r>
            <w:r>
              <w:rPr>
                <w:sz w:val="22"/>
              </w:rPr>
              <w:t>guide</w:t>
            </w:r>
            <w:r>
              <w:rPr>
                <w:spacing w:val="-4"/>
                <w:sz w:val="22"/>
              </w:rPr>
              <w:t> </w:t>
            </w:r>
            <w:r>
              <w:rPr>
                <w:sz w:val="22"/>
              </w:rPr>
              <w:t>and</w:t>
            </w:r>
            <w:r>
              <w:rPr>
                <w:spacing w:val="-7"/>
                <w:sz w:val="22"/>
              </w:rPr>
              <w:t> </w:t>
            </w:r>
            <w:r>
              <w:rPr>
                <w:sz w:val="22"/>
              </w:rPr>
              <w:t>role model. Recovery Coaches provide nonjudgmental problem solving and advocacy to help members meet their</w:t>
            </w:r>
          </w:p>
          <w:p>
            <w:pPr>
              <w:pStyle w:val="TableParagraph"/>
              <w:spacing w:line="233" w:lineRule="exact"/>
              <w:ind w:left="108"/>
              <w:rPr>
                <w:sz w:val="22"/>
              </w:rPr>
            </w:pPr>
            <w:r>
              <w:rPr>
                <w:sz w:val="22"/>
              </w:rPr>
              <w:t>recovery</w:t>
            </w:r>
            <w:r>
              <w:rPr>
                <w:spacing w:val="-6"/>
                <w:sz w:val="22"/>
              </w:rPr>
              <w:t> </w:t>
            </w:r>
            <w:r>
              <w:rPr>
                <w:spacing w:val="-2"/>
                <w:sz w:val="22"/>
              </w:rPr>
              <w:t>goals.</w:t>
            </w:r>
          </w:p>
        </w:tc>
      </w:tr>
      <w:tr>
        <w:trPr>
          <w:trHeight w:val="4554" w:hRule="atLeast"/>
        </w:trPr>
        <w:tc>
          <w:tcPr>
            <w:tcW w:w="2465" w:type="dxa"/>
          </w:tcPr>
          <w:p>
            <w:pPr>
              <w:pStyle w:val="TableParagraph"/>
              <w:ind w:left="107" w:right="3"/>
              <w:rPr>
                <w:sz w:val="22"/>
              </w:rPr>
            </w:pPr>
            <w:r>
              <w:rPr>
                <w:sz w:val="22"/>
              </w:rPr>
              <w:t>Clinical</w:t>
            </w:r>
            <w:r>
              <w:rPr>
                <w:spacing w:val="-14"/>
                <w:sz w:val="22"/>
              </w:rPr>
              <w:t> </w:t>
            </w:r>
            <w:r>
              <w:rPr>
                <w:sz w:val="22"/>
              </w:rPr>
              <w:t>Stabilization </w:t>
            </w:r>
            <w:r>
              <w:rPr>
                <w:spacing w:val="-2"/>
                <w:sz w:val="22"/>
              </w:rPr>
              <w:t>Services</w:t>
            </w:r>
          </w:p>
        </w:tc>
        <w:tc>
          <w:tcPr>
            <w:tcW w:w="1819" w:type="dxa"/>
          </w:tcPr>
          <w:p>
            <w:pPr>
              <w:pStyle w:val="TableParagraph"/>
              <w:ind w:left="107" w:right="205"/>
              <w:rPr>
                <w:sz w:val="22"/>
              </w:rPr>
            </w:pPr>
            <w:r>
              <w:rPr>
                <w:sz w:val="22"/>
              </w:rPr>
              <w:t>All MassHealth members,</w:t>
            </w:r>
            <w:r>
              <w:rPr>
                <w:spacing w:val="-14"/>
                <w:sz w:val="22"/>
              </w:rPr>
              <w:t> </w:t>
            </w:r>
            <w:r>
              <w:rPr>
                <w:sz w:val="22"/>
              </w:rPr>
              <w:t>except those in </w:t>
            </w:r>
            <w:r>
              <w:rPr>
                <w:spacing w:val="-2"/>
                <w:sz w:val="22"/>
              </w:rPr>
              <w:t>MassHealth Limited</w:t>
            </w:r>
          </w:p>
        </w:tc>
        <w:tc>
          <w:tcPr>
            <w:tcW w:w="1365" w:type="dxa"/>
          </w:tcPr>
          <w:p>
            <w:pPr>
              <w:pStyle w:val="TableParagraph"/>
              <w:ind w:left="107"/>
              <w:rPr>
                <w:sz w:val="22"/>
              </w:rPr>
            </w:pPr>
            <w:r>
              <w:rPr>
                <w:spacing w:val="-2"/>
                <w:sz w:val="22"/>
              </w:rPr>
              <w:t>24-hour facility, including </w:t>
            </w:r>
            <w:r>
              <w:rPr>
                <w:spacing w:val="-4"/>
                <w:sz w:val="22"/>
              </w:rPr>
              <w:t>IMDs</w:t>
            </w:r>
          </w:p>
        </w:tc>
        <w:tc>
          <w:tcPr>
            <w:tcW w:w="3700" w:type="dxa"/>
          </w:tcPr>
          <w:p>
            <w:pPr>
              <w:pStyle w:val="TableParagraph"/>
              <w:ind w:left="108" w:right="162"/>
              <w:rPr>
                <w:sz w:val="22"/>
              </w:rPr>
            </w:pPr>
            <w:r>
              <w:rPr>
                <w:sz w:val="22"/>
              </w:rPr>
              <w:t>24-hour</w:t>
            </w:r>
            <w:r>
              <w:rPr>
                <w:spacing w:val="-2"/>
                <w:sz w:val="22"/>
              </w:rPr>
              <w:t> </w:t>
            </w:r>
            <w:r>
              <w:rPr>
                <w:sz w:val="22"/>
              </w:rPr>
              <w:t>treatment</w:t>
            </w:r>
            <w:r>
              <w:rPr>
                <w:spacing w:val="-2"/>
                <w:sz w:val="22"/>
              </w:rPr>
              <w:t> </w:t>
            </w:r>
            <w:r>
              <w:rPr>
                <w:sz w:val="22"/>
              </w:rPr>
              <w:t>services,</w:t>
            </w:r>
            <w:r>
              <w:rPr>
                <w:spacing w:val="-6"/>
                <w:sz w:val="22"/>
              </w:rPr>
              <w:t> </w:t>
            </w:r>
            <w:r>
              <w:rPr>
                <w:sz w:val="22"/>
              </w:rPr>
              <w:t>which</w:t>
            </w:r>
            <w:r>
              <w:rPr>
                <w:spacing w:val="-3"/>
                <w:sz w:val="22"/>
              </w:rPr>
              <w:t> </w:t>
            </w:r>
            <w:r>
              <w:rPr>
                <w:sz w:val="22"/>
              </w:rPr>
              <w:t>can be used independently or following Acute Treatment Services for substance</w:t>
            </w:r>
            <w:r>
              <w:rPr>
                <w:spacing w:val="-9"/>
                <w:sz w:val="22"/>
              </w:rPr>
              <w:t> </w:t>
            </w:r>
            <w:r>
              <w:rPr>
                <w:sz w:val="22"/>
              </w:rPr>
              <w:t>use</w:t>
            </w:r>
            <w:r>
              <w:rPr>
                <w:spacing w:val="-10"/>
                <w:sz w:val="22"/>
              </w:rPr>
              <w:t> </w:t>
            </w:r>
            <w:r>
              <w:rPr>
                <w:sz w:val="22"/>
              </w:rPr>
              <w:t>disorders,</w:t>
            </w:r>
            <w:r>
              <w:rPr>
                <w:spacing w:val="-9"/>
                <w:sz w:val="22"/>
              </w:rPr>
              <w:t> </w:t>
            </w:r>
            <w:r>
              <w:rPr>
                <w:sz w:val="22"/>
              </w:rPr>
              <w:t>and</w:t>
            </w:r>
            <w:r>
              <w:rPr>
                <w:spacing w:val="-9"/>
                <w:sz w:val="22"/>
              </w:rPr>
              <w:t> </w:t>
            </w:r>
            <w:r>
              <w:rPr>
                <w:sz w:val="22"/>
              </w:rPr>
              <w:t>including intensive education and counseling regarding the nature of addiction and its consequences; outreach</w:t>
            </w:r>
            <w:r>
              <w:rPr>
                <w:spacing w:val="-1"/>
                <w:sz w:val="22"/>
              </w:rPr>
              <w:t> </w:t>
            </w:r>
            <w:r>
              <w:rPr>
                <w:sz w:val="22"/>
              </w:rPr>
              <w:t>to families and significant others; and aftercare planning for individuals beginning to engage in recovery from addiction.</w:t>
            </w:r>
          </w:p>
          <w:p>
            <w:pPr>
              <w:pStyle w:val="TableParagraph"/>
              <w:ind w:left="108" w:right="113"/>
              <w:rPr>
                <w:sz w:val="22"/>
              </w:rPr>
            </w:pPr>
            <w:r>
              <w:rPr>
                <w:sz w:val="22"/>
              </w:rPr>
              <w:t>Covered Individuals with Co- Occurring Disorders receive coordination of transportation and referrals to mental health providers to ensure</w:t>
            </w:r>
            <w:r>
              <w:rPr>
                <w:spacing w:val="-9"/>
                <w:sz w:val="22"/>
              </w:rPr>
              <w:t> </w:t>
            </w:r>
            <w:r>
              <w:rPr>
                <w:sz w:val="22"/>
              </w:rPr>
              <w:t>treatment</w:t>
            </w:r>
            <w:r>
              <w:rPr>
                <w:spacing w:val="-8"/>
                <w:sz w:val="22"/>
              </w:rPr>
              <w:t> </w:t>
            </w:r>
            <w:r>
              <w:rPr>
                <w:sz w:val="22"/>
              </w:rPr>
              <w:t>for</w:t>
            </w:r>
            <w:r>
              <w:rPr>
                <w:spacing w:val="-8"/>
                <w:sz w:val="22"/>
              </w:rPr>
              <w:t> </w:t>
            </w:r>
            <w:r>
              <w:rPr>
                <w:sz w:val="22"/>
              </w:rPr>
              <w:t>their</w:t>
            </w:r>
            <w:r>
              <w:rPr>
                <w:spacing w:val="-8"/>
                <w:sz w:val="22"/>
              </w:rPr>
              <w:t> </w:t>
            </w:r>
            <w:r>
              <w:rPr>
                <w:sz w:val="22"/>
              </w:rPr>
              <w:t>co-occurring psychiatric conditions. Pregnant</w:t>
            </w:r>
          </w:p>
          <w:p>
            <w:pPr>
              <w:pStyle w:val="TableParagraph"/>
              <w:spacing w:line="250" w:lineRule="atLeast"/>
              <w:ind w:left="108" w:right="162" w:hanging="1"/>
              <w:rPr>
                <w:sz w:val="22"/>
              </w:rPr>
            </w:pPr>
            <w:r>
              <w:rPr>
                <w:sz w:val="22"/>
              </w:rPr>
              <w:t>individuals</w:t>
            </w:r>
            <w:r>
              <w:rPr>
                <w:spacing w:val="-12"/>
                <w:sz w:val="22"/>
              </w:rPr>
              <w:t> </w:t>
            </w:r>
            <w:r>
              <w:rPr>
                <w:sz w:val="22"/>
              </w:rPr>
              <w:t>receive</w:t>
            </w:r>
            <w:r>
              <w:rPr>
                <w:spacing w:val="-12"/>
                <w:sz w:val="22"/>
              </w:rPr>
              <w:t> </w:t>
            </w:r>
            <w:r>
              <w:rPr>
                <w:sz w:val="22"/>
              </w:rPr>
              <w:t>coordination</w:t>
            </w:r>
            <w:r>
              <w:rPr>
                <w:spacing w:val="-12"/>
                <w:sz w:val="22"/>
              </w:rPr>
              <w:t> </w:t>
            </w:r>
            <w:r>
              <w:rPr>
                <w:sz w:val="22"/>
              </w:rPr>
              <w:t>of their obstetrical care.</w:t>
            </w:r>
          </w:p>
        </w:tc>
      </w:tr>
      <w:tr>
        <w:trPr>
          <w:trHeight w:val="2783" w:hRule="atLeast"/>
        </w:trPr>
        <w:tc>
          <w:tcPr>
            <w:tcW w:w="2465" w:type="dxa"/>
          </w:tcPr>
          <w:p>
            <w:pPr>
              <w:pStyle w:val="TableParagraph"/>
              <w:spacing w:line="251" w:lineRule="exact"/>
              <w:ind w:left="107"/>
              <w:rPr>
                <w:sz w:val="22"/>
              </w:rPr>
            </w:pPr>
            <w:r>
              <w:rPr>
                <w:sz w:val="22"/>
              </w:rPr>
              <w:t>Acute</w:t>
            </w:r>
            <w:r>
              <w:rPr>
                <w:spacing w:val="-5"/>
                <w:sz w:val="22"/>
              </w:rPr>
              <w:t> </w:t>
            </w:r>
            <w:r>
              <w:rPr>
                <w:sz w:val="22"/>
              </w:rPr>
              <w:t>treatment</w:t>
            </w:r>
            <w:r>
              <w:rPr>
                <w:spacing w:val="-1"/>
                <w:sz w:val="22"/>
              </w:rPr>
              <w:t> </w:t>
            </w:r>
            <w:r>
              <w:rPr>
                <w:spacing w:val="-2"/>
                <w:sz w:val="22"/>
              </w:rPr>
              <w:t>services</w:t>
            </w:r>
          </w:p>
        </w:tc>
        <w:tc>
          <w:tcPr>
            <w:tcW w:w="1819" w:type="dxa"/>
          </w:tcPr>
          <w:p>
            <w:pPr>
              <w:pStyle w:val="TableParagraph"/>
              <w:ind w:left="107" w:right="205"/>
              <w:rPr>
                <w:sz w:val="22"/>
              </w:rPr>
            </w:pPr>
            <w:r>
              <w:rPr>
                <w:sz w:val="22"/>
              </w:rPr>
              <w:t>All MassHealth members,</w:t>
            </w:r>
            <w:r>
              <w:rPr>
                <w:spacing w:val="-14"/>
                <w:sz w:val="22"/>
              </w:rPr>
              <w:t> </w:t>
            </w:r>
            <w:r>
              <w:rPr>
                <w:sz w:val="22"/>
              </w:rPr>
              <w:t>except those in </w:t>
            </w:r>
            <w:r>
              <w:rPr>
                <w:spacing w:val="-2"/>
                <w:sz w:val="22"/>
              </w:rPr>
              <w:t>MassHealth Limited</w:t>
            </w:r>
          </w:p>
        </w:tc>
        <w:tc>
          <w:tcPr>
            <w:tcW w:w="1365" w:type="dxa"/>
          </w:tcPr>
          <w:p>
            <w:pPr>
              <w:pStyle w:val="TableParagraph"/>
              <w:ind w:left="107"/>
              <w:rPr>
                <w:sz w:val="22"/>
              </w:rPr>
            </w:pPr>
            <w:r>
              <w:rPr>
                <w:spacing w:val="-2"/>
                <w:sz w:val="22"/>
              </w:rPr>
              <w:t>24-hour facility, including </w:t>
            </w:r>
            <w:r>
              <w:rPr>
                <w:spacing w:val="-4"/>
                <w:sz w:val="22"/>
              </w:rPr>
              <w:t>IMDs</w:t>
            </w:r>
          </w:p>
        </w:tc>
        <w:tc>
          <w:tcPr>
            <w:tcW w:w="3700" w:type="dxa"/>
          </w:tcPr>
          <w:p>
            <w:pPr>
              <w:pStyle w:val="TableParagraph"/>
              <w:ind w:left="108" w:right="113"/>
              <w:rPr>
                <w:sz w:val="22"/>
              </w:rPr>
            </w:pPr>
            <w:r>
              <w:rPr>
                <w:sz w:val="22"/>
              </w:rPr>
              <w:t>24-hour,</w:t>
            </w:r>
            <w:r>
              <w:rPr>
                <w:spacing w:val="-2"/>
                <w:sz w:val="22"/>
              </w:rPr>
              <w:t> </w:t>
            </w:r>
            <w:r>
              <w:rPr>
                <w:sz w:val="22"/>
              </w:rPr>
              <w:t>seven</w:t>
            </w:r>
            <w:r>
              <w:rPr>
                <w:spacing w:val="-2"/>
                <w:sz w:val="22"/>
              </w:rPr>
              <w:t> </w:t>
            </w:r>
            <w:r>
              <w:rPr>
                <w:sz w:val="22"/>
              </w:rPr>
              <w:t>days</w:t>
            </w:r>
            <w:r>
              <w:rPr>
                <w:spacing w:val="-2"/>
                <w:sz w:val="22"/>
              </w:rPr>
              <w:t> </w:t>
            </w:r>
            <w:r>
              <w:rPr>
                <w:sz w:val="22"/>
              </w:rPr>
              <w:t>per</w:t>
            </w:r>
            <w:r>
              <w:rPr>
                <w:spacing w:val="-1"/>
                <w:sz w:val="22"/>
              </w:rPr>
              <w:t> </w:t>
            </w:r>
            <w:r>
              <w:rPr>
                <w:sz w:val="22"/>
              </w:rPr>
              <w:t>week, medically</w:t>
            </w:r>
            <w:r>
              <w:rPr>
                <w:spacing w:val="-14"/>
                <w:sz w:val="22"/>
              </w:rPr>
              <w:t> </w:t>
            </w:r>
            <w:r>
              <w:rPr>
                <w:sz w:val="22"/>
              </w:rPr>
              <w:t>monitored</w:t>
            </w:r>
            <w:r>
              <w:rPr>
                <w:spacing w:val="-14"/>
                <w:sz w:val="22"/>
              </w:rPr>
              <w:t> </w:t>
            </w:r>
            <w:r>
              <w:rPr>
                <w:sz w:val="22"/>
              </w:rPr>
              <w:t>addiction treatment</w:t>
            </w:r>
            <w:r>
              <w:rPr>
                <w:spacing w:val="-11"/>
                <w:sz w:val="22"/>
              </w:rPr>
              <w:t> </w:t>
            </w:r>
            <w:r>
              <w:rPr>
                <w:sz w:val="22"/>
              </w:rPr>
              <w:t>services</w:t>
            </w:r>
            <w:r>
              <w:rPr>
                <w:spacing w:val="-12"/>
                <w:sz w:val="22"/>
              </w:rPr>
              <w:t> </w:t>
            </w:r>
            <w:r>
              <w:rPr>
                <w:sz w:val="22"/>
              </w:rPr>
              <w:t>that</w:t>
            </w:r>
            <w:r>
              <w:rPr>
                <w:spacing w:val="-13"/>
                <w:sz w:val="22"/>
              </w:rPr>
              <w:t> </w:t>
            </w:r>
            <w:r>
              <w:rPr>
                <w:sz w:val="22"/>
              </w:rPr>
              <w:t>provide evaluation and withdrawal </w:t>
            </w:r>
            <w:r>
              <w:rPr>
                <w:spacing w:val="-2"/>
                <w:sz w:val="22"/>
              </w:rPr>
              <w:t>management.</w:t>
            </w:r>
          </w:p>
          <w:p>
            <w:pPr>
              <w:pStyle w:val="TableParagraph"/>
              <w:spacing w:before="8"/>
              <w:rPr>
                <w:sz w:val="21"/>
              </w:rPr>
            </w:pPr>
          </w:p>
          <w:p>
            <w:pPr>
              <w:pStyle w:val="TableParagraph"/>
              <w:spacing w:before="1"/>
              <w:ind w:left="108" w:right="107"/>
              <w:rPr>
                <w:sz w:val="22"/>
              </w:rPr>
            </w:pPr>
            <w:r>
              <w:rPr>
                <w:sz w:val="22"/>
              </w:rPr>
              <w:t>Detoxification services are delivered</w:t>
            </w:r>
            <w:r>
              <w:rPr>
                <w:spacing w:val="40"/>
                <w:sz w:val="22"/>
              </w:rPr>
              <w:t> </w:t>
            </w:r>
            <w:r>
              <w:rPr>
                <w:sz w:val="22"/>
              </w:rPr>
              <w:t>by</w:t>
            </w:r>
            <w:r>
              <w:rPr>
                <w:spacing w:val="-8"/>
                <w:sz w:val="22"/>
              </w:rPr>
              <w:t> </w:t>
            </w:r>
            <w:r>
              <w:rPr>
                <w:sz w:val="22"/>
              </w:rPr>
              <w:t>nursing</w:t>
            </w:r>
            <w:r>
              <w:rPr>
                <w:spacing w:val="-8"/>
                <w:sz w:val="22"/>
              </w:rPr>
              <w:t> </w:t>
            </w:r>
            <w:r>
              <w:rPr>
                <w:sz w:val="22"/>
              </w:rPr>
              <w:t>and</w:t>
            </w:r>
            <w:r>
              <w:rPr>
                <w:spacing w:val="-5"/>
                <w:sz w:val="22"/>
              </w:rPr>
              <w:t> </w:t>
            </w:r>
            <w:r>
              <w:rPr>
                <w:sz w:val="22"/>
              </w:rPr>
              <w:t>counseling</w:t>
            </w:r>
            <w:r>
              <w:rPr>
                <w:spacing w:val="-8"/>
                <w:sz w:val="22"/>
              </w:rPr>
              <w:t> </w:t>
            </w:r>
            <w:r>
              <w:rPr>
                <w:sz w:val="22"/>
              </w:rPr>
              <w:t>staff</w:t>
            </w:r>
            <w:r>
              <w:rPr>
                <w:spacing w:val="-4"/>
                <w:sz w:val="22"/>
              </w:rPr>
              <w:t> </w:t>
            </w:r>
            <w:r>
              <w:rPr>
                <w:sz w:val="22"/>
              </w:rPr>
              <w:t>under</w:t>
            </w:r>
            <w:r>
              <w:rPr>
                <w:spacing w:val="-7"/>
                <w:sz w:val="22"/>
              </w:rPr>
              <w:t> </w:t>
            </w:r>
            <w:r>
              <w:rPr>
                <w:sz w:val="22"/>
              </w:rPr>
              <w:t>a physician-approved protocol and</w:t>
            </w:r>
          </w:p>
          <w:p>
            <w:pPr>
              <w:pStyle w:val="TableParagraph"/>
              <w:spacing w:line="252" w:lineRule="exact"/>
              <w:ind w:left="108"/>
              <w:rPr>
                <w:sz w:val="22"/>
              </w:rPr>
            </w:pPr>
            <w:r>
              <w:rPr>
                <w:sz w:val="22"/>
              </w:rPr>
              <w:t>physician-monitored procedures and include:</w:t>
            </w:r>
            <w:r>
              <w:rPr>
                <w:spacing w:val="-14"/>
                <w:sz w:val="22"/>
              </w:rPr>
              <w:t> </w:t>
            </w:r>
            <w:r>
              <w:rPr>
                <w:sz w:val="22"/>
              </w:rPr>
              <w:t>bio-psychosocial</w:t>
            </w:r>
            <w:r>
              <w:rPr>
                <w:spacing w:val="-14"/>
                <w:sz w:val="22"/>
              </w:rPr>
              <w:t> </w:t>
            </w:r>
            <w:r>
              <w:rPr>
                <w:sz w:val="22"/>
              </w:rPr>
              <w:t>assessment;</w:t>
            </w:r>
          </w:p>
        </w:tc>
      </w:tr>
    </w:tbl>
    <w:p>
      <w:pPr>
        <w:spacing w:after="0" w:line="252" w:lineRule="exact"/>
        <w:rPr>
          <w:sz w:val="22"/>
        </w:rPr>
        <w:sectPr>
          <w:type w:val="continuous"/>
          <w:pgSz w:w="12240" w:h="15840"/>
          <w:pgMar w:header="0" w:footer="1201" w:top="1420" w:bottom="1577" w:left="1200" w:right="400"/>
        </w:sectPr>
      </w:pPr>
    </w:p>
    <w:tbl>
      <w:tblPr>
        <w:tblW w:w="0" w:type="auto"/>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65"/>
        <w:gridCol w:w="1819"/>
        <w:gridCol w:w="1365"/>
        <w:gridCol w:w="3700"/>
      </w:tblGrid>
      <w:tr>
        <w:trPr>
          <w:trHeight w:val="253" w:hRule="atLeast"/>
        </w:trPr>
        <w:tc>
          <w:tcPr>
            <w:tcW w:w="9349" w:type="dxa"/>
            <w:gridSpan w:val="4"/>
            <w:shd w:val="clear" w:color="auto" w:fill="DBE6F1"/>
          </w:tcPr>
          <w:p>
            <w:pPr>
              <w:pStyle w:val="TableParagraph"/>
              <w:spacing w:line="234" w:lineRule="exact"/>
              <w:ind w:left="3618" w:right="3608"/>
              <w:jc w:val="center"/>
              <w:rPr>
                <w:b/>
                <w:sz w:val="22"/>
              </w:rPr>
            </w:pPr>
            <w:r>
              <w:rPr>
                <w:b/>
                <w:sz w:val="22"/>
              </w:rPr>
              <w:t>Table</w:t>
            </w:r>
            <w:r>
              <w:rPr>
                <w:b/>
                <w:spacing w:val="-3"/>
                <w:sz w:val="22"/>
              </w:rPr>
              <w:t> </w:t>
            </w:r>
            <w:r>
              <w:rPr>
                <w:b/>
                <w:sz w:val="22"/>
              </w:rPr>
              <w:t>6:</w:t>
            </w:r>
            <w:r>
              <w:rPr>
                <w:b/>
                <w:spacing w:val="-1"/>
                <w:sz w:val="22"/>
              </w:rPr>
              <w:t> </w:t>
            </w:r>
            <w:r>
              <w:rPr>
                <w:b/>
                <w:sz w:val="22"/>
              </w:rPr>
              <w:t>SUD</w:t>
            </w:r>
            <w:r>
              <w:rPr>
                <w:b/>
                <w:spacing w:val="-3"/>
                <w:sz w:val="22"/>
              </w:rPr>
              <w:t> </w:t>
            </w:r>
            <w:r>
              <w:rPr>
                <w:b/>
                <w:spacing w:val="-2"/>
                <w:sz w:val="22"/>
              </w:rPr>
              <w:t>Services</w:t>
            </w:r>
          </w:p>
        </w:tc>
      </w:tr>
      <w:tr>
        <w:trPr>
          <w:trHeight w:val="505" w:hRule="atLeast"/>
        </w:trPr>
        <w:tc>
          <w:tcPr>
            <w:tcW w:w="2465" w:type="dxa"/>
            <w:shd w:val="clear" w:color="auto" w:fill="DBE6F1"/>
          </w:tcPr>
          <w:p>
            <w:pPr>
              <w:pStyle w:val="TableParagraph"/>
              <w:spacing w:line="252" w:lineRule="exact"/>
              <w:ind w:left="1012" w:right="3" w:hanging="867"/>
              <w:rPr>
                <w:b/>
                <w:sz w:val="22"/>
              </w:rPr>
            </w:pPr>
            <w:r>
              <w:rPr>
                <w:b/>
                <w:sz w:val="22"/>
              </w:rPr>
              <w:t>Service</w:t>
            </w:r>
            <w:r>
              <w:rPr>
                <w:b/>
                <w:spacing w:val="-11"/>
                <w:sz w:val="22"/>
              </w:rPr>
              <w:t> </w:t>
            </w:r>
            <w:r>
              <w:rPr>
                <w:b/>
                <w:sz w:val="22"/>
              </w:rPr>
              <w:t>for</w:t>
            </w:r>
            <w:r>
              <w:rPr>
                <w:b/>
                <w:spacing w:val="-11"/>
                <w:sz w:val="22"/>
              </w:rPr>
              <w:t> </w:t>
            </w:r>
            <w:r>
              <w:rPr>
                <w:b/>
                <w:sz w:val="22"/>
              </w:rPr>
              <w:t>People</w:t>
            </w:r>
            <w:r>
              <w:rPr>
                <w:b/>
                <w:spacing w:val="-11"/>
                <w:sz w:val="22"/>
              </w:rPr>
              <w:t> </w:t>
            </w:r>
            <w:r>
              <w:rPr>
                <w:b/>
                <w:sz w:val="22"/>
              </w:rPr>
              <w:t>with </w:t>
            </w:r>
            <w:r>
              <w:rPr>
                <w:b/>
                <w:spacing w:val="-4"/>
                <w:sz w:val="22"/>
              </w:rPr>
              <w:t>SUD</w:t>
            </w:r>
          </w:p>
        </w:tc>
        <w:tc>
          <w:tcPr>
            <w:tcW w:w="1819" w:type="dxa"/>
            <w:shd w:val="clear" w:color="auto" w:fill="DBE6F1"/>
          </w:tcPr>
          <w:p>
            <w:pPr>
              <w:pStyle w:val="TableParagraph"/>
              <w:spacing w:before="123"/>
              <w:ind w:left="395"/>
              <w:rPr>
                <w:b/>
                <w:sz w:val="22"/>
              </w:rPr>
            </w:pPr>
            <w:r>
              <w:rPr>
                <w:b/>
                <w:spacing w:val="-2"/>
                <w:sz w:val="22"/>
              </w:rPr>
              <w:t>Population</w:t>
            </w:r>
          </w:p>
        </w:tc>
        <w:tc>
          <w:tcPr>
            <w:tcW w:w="1365" w:type="dxa"/>
            <w:shd w:val="clear" w:color="auto" w:fill="DBE6F1"/>
          </w:tcPr>
          <w:p>
            <w:pPr>
              <w:pStyle w:val="TableParagraph"/>
              <w:spacing w:before="123"/>
              <w:ind w:left="352"/>
              <w:rPr>
                <w:b/>
                <w:sz w:val="22"/>
              </w:rPr>
            </w:pPr>
            <w:r>
              <w:rPr>
                <w:b/>
                <w:spacing w:val="-2"/>
                <w:sz w:val="22"/>
              </w:rPr>
              <w:t>Setting</w:t>
            </w:r>
          </w:p>
        </w:tc>
        <w:tc>
          <w:tcPr>
            <w:tcW w:w="3700" w:type="dxa"/>
            <w:shd w:val="clear" w:color="auto" w:fill="DBE6F1"/>
          </w:tcPr>
          <w:p>
            <w:pPr>
              <w:pStyle w:val="TableParagraph"/>
              <w:spacing w:before="123"/>
              <w:ind w:left="890"/>
              <w:rPr>
                <w:b/>
                <w:sz w:val="22"/>
              </w:rPr>
            </w:pPr>
            <w:r>
              <w:rPr>
                <w:b/>
                <w:sz w:val="22"/>
              </w:rPr>
              <w:t>Definition</w:t>
            </w:r>
            <w:r>
              <w:rPr>
                <w:b/>
                <w:spacing w:val="-4"/>
                <w:sz w:val="22"/>
              </w:rPr>
              <w:t> </w:t>
            </w:r>
            <w:r>
              <w:rPr>
                <w:b/>
                <w:sz w:val="22"/>
              </w:rPr>
              <w:t>of</w:t>
            </w:r>
            <w:r>
              <w:rPr>
                <w:b/>
                <w:spacing w:val="-2"/>
                <w:sz w:val="22"/>
              </w:rPr>
              <w:t> Service</w:t>
            </w:r>
          </w:p>
        </w:tc>
      </w:tr>
      <w:tr>
        <w:trPr>
          <w:trHeight w:val="4804" w:hRule="atLeast"/>
        </w:trPr>
        <w:tc>
          <w:tcPr>
            <w:tcW w:w="2465" w:type="dxa"/>
          </w:tcPr>
          <w:p>
            <w:pPr>
              <w:pStyle w:val="TableParagraph"/>
              <w:rPr>
                <w:sz w:val="22"/>
              </w:rPr>
            </w:pPr>
          </w:p>
        </w:tc>
        <w:tc>
          <w:tcPr>
            <w:tcW w:w="1819" w:type="dxa"/>
          </w:tcPr>
          <w:p>
            <w:pPr>
              <w:pStyle w:val="TableParagraph"/>
              <w:rPr>
                <w:sz w:val="22"/>
              </w:rPr>
            </w:pPr>
          </w:p>
        </w:tc>
        <w:tc>
          <w:tcPr>
            <w:tcW w:w="1365" w:type="dxa"/>
          </w:tcPr>
          <w:p>
            <w:pPr>
              <w:pStyle w:val="TableParagraph"/>
              <w:rPr>
                <w:sz w:val="22"/>
              </w:rPr>
            </w:pPr>
          </w:p>
        </w:tc>
        <w:tc>
          <w:tcPr>
            <w:tcW w:w="3700" w:type="dxa"/>
          </w:tcPr>
          <w:p>
            <w:pPr>
              <w:pStyle w:val="TableParagraph"/>
              <w:ind w:left="108" w:right="113"/>
              <w:rPr>
                <w:sz w:val="22"/>
              </w:rPr>
            </w:pPr>
            <w:r>
              <w:rPr>
                <w:sz w:val="22"/>
              </w:rPr>
              <w:t>individual</w:t>
            </w:r>
            <w:r>
              <w:rPr>
                <w:spacing w:val="-13"/>
                <w:sz w:val="22"/>
              </w:rPr>
              <w:t> </w:t>
            </w:r>
            <w:r>
              <w:rPr>
                <w:sz w:val="22"/>
              </w:rPr>
              <w:t>and</w:t>
            </w:r>
            <w:r>
              <w:rPr>
                <w:spacing w:val="-11"/>
                <w:sz w:val="22"/>
              </w:rPr>
              <w:t> </w:t>
            </w:r>
            <w:r>
              <w:rPr>
                <w:sz w:val="22"/>
              </w:rPr>
              <w:t>group</w:t>
            </w:r>
            <w:r>
              <w:rPr>
                <w:spacing w:val="-14"/>
                <w:sz w:val="22"/>
              </w:rPr>
              <w:t> </w:t>
            </w:r>
            <w:r>
              <w:rPr>
                <w:sz w:val="22"/>
              </w:rPr>
              <w:t>counseling; psychoeducational groups; and discharge planning.</w:t>
            </w:r>
          </w:p>
          <w:p>
            <w:pPr>
              <w:pStyle w:val="TableParagraph"/>
              <w:spacing w:before="8"/>
              <w:rPr>
                <w:sz w:val="21"/>
              </w:rPr>
            </w:pPr>
          </w:p>
          <w:p>
            <w:pPr>
              <w:pStyle w:val="TableParagraph"/>
              <w:ind w:left="108" w:right="95"/>
              <w:rPr>
                <w:sz w:val="22"/>
              </w:rPr>
            </w:pPr>
            <w:r>
              <w:rPr>
                <w:sz w:val="22"/>
              </w:rPr>
              <w:t>Pregnant individuals receive specialized services to ensure</w:t>
            </w:r>
            <w:r>
              <w:rPr>
                <w:spacing w:val="40"/>
                <w:sz w:val="22"/>
              </w:rPr>
              <w:t> </w:t>
            </w:r>
            <w:r>
              <w:rPr>
                <w:sz w:val="22"/>
              </w:rPr>
              <w:t>substance use disorder treatment and obstetrical care. Covered Individuals with Co-occurring Disorders receive specialized</w:t>
            </w:r>
            <w:r>
              <w:rPr>
                <w:spacing w:val="-9"/>
                <w:sz w:val="22"/>
              </w:rPr>
              <w:t> </w:t>
            </w:r>
            <w:r>
              <w:rPr>
                <w:sz w:val="22"/>
              </w:rPr>
              <w:t>services</w:t>
            </w:r>
            <w:r>
              <w:rPr>
                <w:spacing w:val="-9"/>
                <w:sz w:val="22"/>
              </w:rPr>
              <w:t> </w:t>
            </w:r>
            <w:r>
              <w:rPr>
                <w:sz w:val="22"/>
              </w:rPr>
              <w:t>to</w:t>
            </w:r>
            <w:r>
              <w:rPr>
                <w:spacing w:val="-11"/>
                <w:sz w:val="22"/>
              </w:rPr>
              <w:t> </w:t>
            </w:r>
            <w:r>
              <w:rPr>
                <w:sz w:val="22"/>
              </w:rPr>
              <w:t>ensure</w:t>
            </w:r>
            <w:r>
              <w:rPr>
                <w:spacing w:val="-9"/>
                <w:sz w:val="22"/>
              </w:rPr>
              <w:t> </w:t>
            </w:r>
            <w:r>
              <w:rPr>
                <w:sz w:val="22"/>
              </w:rPr>
              <w:t>treatment for their co-occurring psychiatric conditions. These services may be provided in licensed freestanding or hospital-based programs, and ensure treatment for their co-occurring psychiatric conditions. These services may be provided in licensed</w:t>
            </w:r>
          </w:p>
          <w:p>
            <w:pPr>
              <w:pStyle w:val="TableParagraph"/>
              <w:spacing w:line="252" w:lineRule="exact"/>
              <w:ind w:left="108" w:right="113"/>
              <w:rPr>
                <w:sz w:val="22"/>
              </w:rPr>
            </w:pPr>
            <w:r>
              <w:rPr>
                <w:sz w:val="22"/>
              </w:rPr>
              <w:t>freestanding</w:t>
            </w:r>
            <w:r>
              <w:rPr>
                <w:spacing w:val="-14"/>
                <w:sz w:val="22"/>
              </w:rPr>
              <w:t> </w:t>
            </w:r>
            <w:r>
              <w:rPr>
                <w:sz w:val="22"/>
              </w:rPr>
              <w:t>or</w:t>
            </w:r>
            <w:r>
              <w:rPr>
                <w:spacing w:val="-14"/>
                <w:sz w:val="22"/>
              </w:rPr>
              <w:t> </w:t>
            </w:r>
            <w:r>
              <w:rPr>
                <w:sz w:val="22"/>
              </w:rPr>
              <w:t>hospital-based </w:t>
            </w:r>
            <w:r>
              <w:rPr>
                <w:spacing w:val="-2"/>
                <w:sz w:val="22"/>
              </w:rPr>
              <w:t>programs.</w:t>
            </w:r>
          </w:p>
        </w:tc>
      </w:tr>
      <w:tr>
        <w:trPr>
          <w:trHeight w:val="1266" w:hRule="atLeast"/>
        </w:trPr>
        <w:tc>
          <w:tcPr>
            <w:tcW w:w="2465" w:type="dxa"/>
          </w:tcPr>
          <w:p>
            <w:pPr>
              <w:pStyle w:val="TableParagraph"/>
              <w:spacing w:before="1"/>
              <w:ind w:left="107" w:right="674"/>
              <w:rPr>
                <w:sz w:val="22"/>
              </w:rPr>
            </w:pPr>
            <w:r>
              <w:rPr>
                <w:sz w:val="22"/>
              </w:rPr>
              <w:t>Inpatient</w:t>
            </w:r>
            <w:r>
              <w:rPr>
                <w:spacing w:val="-14"/>
                <w:sz w:val="22"/>
              </w:rPr>
              <w:t> </w:t>
            </w:r>
            <w:r>
              <w:rPr>
                <w:sz w:val="22"/>
              </w:rPr>
              <w:t>treatment </w:t>
            </w:r>
            <w:r>
              <w:rPr>
                <w:spacing w:val="-2"/>
                <w:sz w:val="22"/>
              </w:rPr>
              <w:t>services*</w:t>
            </w:r>
          </w:p>
        </w:tc>
        <w:tc>
          <w:tcPr>
            <w:tcW w:w="1819" w:type="dxa"/>
          </w:tcPr>
          <w:p>
            <w:pPr>
              <w:pStyle w:val="TableParagraph"/>
              <w:spacing w:before="1"/>
              <w:ind w:left="107" w:right="205"/>
              <w:rPr>
                <w:sz w:val="22"/>
              </w:rPr>
            </w:pPr>
            <w:r>
              <w:rPr>
                <w:sz w:val="22"/>
              </w:rPr>
              <w:t>All MassHealth members,</w:t>
            </w:r>
            <w:r>
              <w:rPr>
                <w:spacing w:val="-14"/>
                <w:sz w:val="22"/>
              </w:rPr>
              <w:t> </w:t>
            </w:r>
            <w:r>
              <w:rPr>
                <w:sz w:val="22"/>
              </w:rPr>
              <w:t>except those in </w:t>
            </w:r>
            <w:r>
              <w:rPr>
                <w:spacing w:val="-2"/>
                <w:sz w:val="22"/>
              </w:rPr>
              <w:t>MassHealth</w:t>
            </w:r>
          </w:p>
          <w:p>
            <w:pPr>
              <w:pStyle w:val="TableParagraph"/>
              <w:spacing w:line="234" w:lineRule="exact"/>
              <w:ind w:left="107"/>
              <w:rPr>
                <w:sz w:val="22"/>
              </w:rPr>
            </w:pPr>
            <w:r>
              <w:rPr>
                <w:spacing w:val="-2"/>
                <w:sz w:val="22"/>
              </w:rPr>
              <w:t>Limited</w:t>
            </w:r>
          </w:p>
        </w:tc>
        <w:tc>
          <w:tcPr>
            <w:tcW w:w="1365" w:type="dxa"/>
          </w:tcPr>
          <w:p>
            <w:pPr>
              <w:pStyle w:val="TableParagraph"/>
              <w:spacing w:before="1"/>
              <w:ind w:left="107" w:right="357"/>
              <w:jc w:val="both"/>
              <w:rPr>
                <w:sz w:val="22"/>
              </w:rPr>
            </w:pPr>
            <w:r>
              <w:rPr>
                <w:spacing w:val="-2"/>
                <w:sz w:val="22"/>
              </w:rPr>
              <w:t>Hospitals, including </w:t>
            </w:r>
            <w:r>
              <w:rPr>
                <w:spacing w:val="-4"/>
                <w:sz w:val="22"/>
              </w:rPr>
              <w:t>IMDs</w:t>
            </w:r>
          </w:p>
        </w:tc>
        <w:tc>
          <w:tcPr>
            <w:tcW w:w="3700" w:type="dxa"/>
          </w:tcPr>
          <w:p>
            <w:pPr>
              <w:pStyle w:val="TableParagraph"/>
              <w:spacing w:before="1"/>
              <w:ind w:left="108" w:right="162"/>
              <w:rPr>
                <w:sz w:val="22"/>
              </w:rPr>
            </w:pPr>
            <w:r>
              <w:rPr>
                <w:sz w:val="22"/>
              </w:rPr>
              <w:t>Medically managed addiction treatment services that provides 24 hour</w:t>
            </w:r>
            <w:r>
              <w:rPr>
                <w:spacing w:val="-6"/>
                <w:sz w:val="22"/>
              </w:rPr>
              <w:t> </w:t>
            </w:r>
            <w:r>
              <w:rPr>
                <w:sz w:val="22"/>
              </w:rPr>
              <w:t>nursing</w:t>
            </w:r>
            <w:r>
              <w:rPr>
                <w:spacing w:val="-9"/>
                <w:sz w:val="22"/>
              </w:rPr>
              <w:t> </w:t>
            </w:r>
            <w:r>
              <w:rPr>
                <w:sz w:val="22"/>
              </w:rPr>
              <w:t>care</w:t>
            </w:r>
            <w:r>
              <w:rPr>
                <w:spacing w:val="-7"/>
                <w:sz w:val="22"/>
              </w:rPr>
              <w:t> </w:t>
            </w:r>
            <w:r>
              <w:rPr>
                <w:sz w:val="22"/>
              </w:rPr>
              <w:t>and</w:t>
            </w:r>
            <w:r>
              <w:rPr>
                <w:spacing w:val="-7"/>
                <w:sz w:val="22"/>
              </w:rPr>
              <w:t> </w:t>
            </w:r>
            <w:r>
              <w:rPr>
                <w:sz w:val="22"/>
              </w:rPr>
              <w:t>daily</w:t>
            </w:r>
            <w:r>
              <w:rPr>
                <w:spacing w:val="-9"/>
                <w:sz w:val="22"/>
              </w:rPr>
              <w:t> </w:t>
            </w:r>
            <w:r>
              <w:rPr>
                <w:sz w:val="22"/>
              </w:rPr>
              <w:t>physician care.</w:t>
            </w:r>
            <w:r>
              <w:rPr>
                <w:spacing w:val="40"/>
                <w:sz w:val="22"/>
              </w:rPr>
              <w:t> </w:t>
            </w:r>
            <w:r>
              <w:rPr>
                <w:sz w:val="22"/>
              </w:rPr>
              <w:t>(ASAM Level 4)</w:t>
            </w:r>
          </w:p>
        </w:tc>
      </w:tr>
      <w:tr>
        <w:trPr>
          <w:trHeight w:val="251" w:hRule="atLeast"/>
        </w:trPr>
        <w:tc>
          <w:tcPr>
            <w:tcW w:w="9349" w:type="dxa"/>
            <w:gridSpan w:val="4"/>
          </w:tcPr>
          <w:p>
            <w:pPr>
              <w:pStyle w:val="TableParagraph"/>
              <w:spacing w:line="232" w:lineRule="exact"/>
              <w:ind w:left="107"/>
              <w:rPr>
                <w:i/>
                <w:sz w:val="22"/>
              </w:rPr>
            </w:pPr>
            <w:r>
              <w:rPr>
                <w:i/>
                <w:sz w:val="22"/>
              </w:rPr>
              <w:t>Chart </w:t>
            </w:r>
            <w:r>
              <w:rPr>
                <w:i/>
                <w:spacing w:val="-2"/>
                <w:sz w:val="22"/>
              </w:rPr>
              <w:t>Notes</w:t>
            </w:r>
          </w:p>
        </w:tc>
      </w:tr>
      <w:tr>
        <w:trPr>
          <w:trHeight w:val="1770" w:hRule="atLeast"/>
        </w:trPr>
        <w:tc>
          <w:tcPr>
            <w:tcW w:w="9349" w:type="dxa"/>
            <w:gridSpan w:val="4"/>
          </w:tcPr>
          <w:p>
            <w:pPr>
              <w:pStyle w:val="TableParagraph"/>
              <w:ind w:left="107" w:right="120"/>
              <w:rPr>
                <w:sz w:val="22"/>
              </w:rPr>
            </w:pPr>
            <w:r>
              <w:rPr>
                <w:sz w:val="22"/>
              </w:rPr>
              <w:t>MassHealth Members receiving services on a FFS basis will receive all medically necessary Transitional Support Services (TSS), and up to the first 90 days of a medically necessary stay in Residential Rehabilitation Services (RRS). MassHealth Members who are enrolled in an MCO, ACO</w:t>
            </w:r>
            <w:r>
              <w:rPr>
                <w:spacing w:val="40"/>
                <w:sz w:val="22"/>
              </w:rPr>
              <w:t> </w:t>
            </w:r>
            <w:r>
              <w:rPr>
                <w:sz w:val="22"/>
              </w:rPr>
              <w:t>or the PCC Plan, will receive all medically necessary TSS and RRS from an MCO, ACO, or the behavioral health PIHP. The Commonwealth’s average length of stay (ALOS) in SUD treatment for persons</w:t>
            </w:r>
            <w:r>
              <w:rPr>
                <w:spacing w:val="-2"/>
                <w:sz w:val="22"/>
              </w:rPr>
              <w:t> </w:t>
            </w:r>
            <w:r>
              <w:rPr>
                <w:sz w:val="22"/>
              </w:rPr>
              <w:t>admitted</w:t>
            </w:r>
            <w:r>
              <w:rPr>
                <w:spacing w:val="-5"/>
                <w:sz w:val="22"/>
              </w:rPr>
              <w:t> </w:t>
            </w:r>
            <w:r>
              <w:rPr>
                <w:sz w:val="22"/>
              </w:rPr>
              <w:t>into</w:t>
            </w:r>
            <w:r>
              <w:rPr>
                <w:spacing w:val="-2"/>
                <w:sz w:val="22"/>
              </w:rPr>
              <w:t> </w:t>
            </w:r>
            <w:r>
              <w:rPr>
                <w:sz w:val="22"/>
              </w:rPr>
              <w:t>all</w:t>
            </w:r>
            <w:r>
              <w:rPr>
                <w:spacing w:val="-1"/>
                <w:sz w:val="22"/>
              </w:rPr>
              <w:t> </w:t>
            </w:r>
            <w:r>
              <w:rPr>
                <w:sz w:val="22"/>
              </w:rPr>
              <w:t>DPH-licensed</w:t>
            </w:r>
            <w:r>
              <w:rPr>
                <w:spacing w:val="-2"/>
                <w:sz w:val="22"/>
              </w:rPr>
              <w:t> </w:t>
            </w:r>
            <w:r>
              <w:rPr>
                <w:sz w:val="22"/>
              </w:rPr>
              <w:t>by</w:t>
            </w:r>
            <w:r>
              <w:rPr>
                <w:spacing w:val="-5"/>
                <w:sz w:val="22"/>
              </w:rPr>
              <w:t> </w:t>
            </w:r>
            <w:r>
              <w:rPr>
                <w:sz w:val="22"/>
              </w:rPr>
              <w:t>or</w:t>
            </w:r>
            <w:r>
              <w:rPr>
                <w:spacing w:val="-1"/>
                <w:sz w:val="22"/>
              </w:rPr>
              <w:t> </w:t>
            </w:r>
            <w:r>
              <w:rPr>
                <w:sz w:val="22"/>
              </w:rPr>
              <w:t>contracted</w:t>
            </w:r>
            <w:r>
              <w:rPr>
                <w:spacing w:val="-2"/>
                <w:sz w:val="22"/>
              </w:rPr>
              <w:t> </w:t>
            </w:r>
            <w:r>
              <w:rPr>
                <w:sz w:val="22"/>
              </w:rPr>
              <w:t>ASAM</w:t>
            </w:r>
            <w:r>
              <w:rPr>
                <w:spacing w:val="-2"/>
                <w:sz w:val="22"/>
              </w:rPr>
              <w:t> </w:t>
            </w:r>
            <w:r>
              <w:rPr>
                <w:sz w:val="22"/>
              </w:rPr>
              <w:t>Level</w:t>
            </w:r>
            <w:r>
              <w:rPr>
                <w:spacing w:val="-1"/>
                <w:sz w:val="22"/>
              </w:rPr>
              <w:t> </w:t>
            </w:r>
            <w:r>
              <w:rPr>
                <w:sz w:val="22"/>
              </w:rPr>
              <w:t>3.7,</w:t>
            </w:r>
            <w:r>
              <w:rPr>
                <w:spacing w:val="-5"/>
                <w:sz w:val="22"/>
              </w:rPr>
              <w:t> </w:t>
            </w:r>
            <w:r>
              <w:rPr>
                <w:sz w:val="22"/>
              </w:rPr>
              <w:t>3.5</w:t>
            </w:r>
            <w:r>
              <w:rPr>
                <w:spacing w:val="-2"/>
                <w:sz w:val="22"/>
              </w:rPr>
              <w:t> </w:t>
            </w:r>
            <w:r>
              <w:rPr>
                <w:sz w:val="22"/>
              </w:rPr>
              <w:t>and</w:t>
            </w:r>
            <w:r>
              <w:rPr>
                <w:spacing w:val="-5"/>
                <w:sz w:val="22"/>
              </w:rPr>
              <w:t> </w:t>
            </w:r>
            <w:r>
              <w:rPr>
                <w:sz w:val="22"/>
              </w:rPr>
              <w:t>3.1</w:t>
            </w:r>
            <w:r>
              <w:rPr>
                <w:spacing w:val="-2"/>
                <w:sz w:val="22"/>
              </w:rPr>
              <w:t> </w:t>
            </w:r>
            <w:r>
              <w:rPr>
                <w:sz w:val="22"/>
              </w:rPr>
              <w:t>programs</w:t>
            </w:r>
            <w:r>
              <w:rPr>
                <w:spacing w:val="-2"/>
                <w:sz w:val="22"/>
              </w:rPr>
              <w:t> </w:t>
            </w:r>
            <w:r>
              <w:rPr>
                <w:sz w:val="22"/>
              </w:rPr>
              <w:t>during</w:t>
            </w:r>
          </w:p>
          <w:p>
            <w:pPr>
              <w:pStyle w:val="TableParagraph"/>
              <w:spacing w:line="233" w:lineRule="exact"/>
              <w:ind w:left="107"/>
              <w:rPr>
                <w:sz w:val="22"/>
              </w:rPr>
            </w:pPr>
            <w:r>
              <w:rPr>
                <w:sz w:val="22"/>
              </w:rPr>
              <w:t>state</w:t>
            </w:r>
            <w:r>
              <w:rPr>
                <w:spacing w:val="-7"/>
                <w:sz w:val="22"/>
              </w:rPr>
              <w:t> </w:t>
            </w:r>
            <w:r>
              <w:rPr>
                <w:sz w:val="22"/>
              </w:rPr>
              <w:t>fiscal</w:t>
            </w:r>
            <w:r>
              <w:rPr>
                <w:spacing w:val="-2"/>
                <w:sz w:val="22"/>
              </w:rPr>
              <w:t> </w:t>
            </w:r>
            <w:r>
              <w:rPr>
                <w:sz w:val="22"/>
              </w:rPr>
              <w:t>year</w:t>
            </w:r>
            <w:r>
              <w:rPr>
                <w:spacing w:val="-1"/>
                <w:sz w:val="22"/>
              </w:rPr>
              <w:t> </w:t>
            </w:r>
            <w:r>
              <w:rPr>
                <w:sz w:val="22"/>
              </w:rPr>
              <w:t>2015</w:t>
            </w:r>
            <w:r>
              <w:rPr>
                <w:spacing w:val="-3"/>
                <w:sz w:val="22"/>
              </w:rPr>
              <w:t> </w:t>
            </w:r>
            <w:r>
              <w:rPr>
                <w:sz w:val="22"/>
              </w:rPr>
              <w:t>was</w:t>
            </w:r>
            <w:r>
              <w:rPr>
                <w:spacing w:val="-2"/>
                <w:sz w:val="22"/>
              </w:rPr>
              <w:t> </w:t>
            </w:r>
            <w:r>
              <w:rPr>
                <w:sz w:val="22"/>
              </w:rPr>
              <w:t>16.1</w:t>
            </w:r>
            <w:r>
              <w:rPr>
                <w:spacing w:val="-12"/>
                <w:sz w:val="22"/>
              </w:rPr>
              <w:t> </w:t>
            </w:r>
            <w:r>
              <w:rPr>
                <w:spacing w:val="-4"/>
                <w:sz w:val="22"/>
              </w:rPr>
              <w:t>days.</w:t>
            </w:r>
          </w:p>
        </w:tc>
      </w:tr>
      <w:tr>
        <w:trPr>
          <w:trHeight w:val="506" w:hRule="atLeast"/>
        </w:trPr>
        <w:tc>
          <w:tcPr>
            <w:tcW w:w="9349" w:type="dxa"/>
            <w:gridSpan w:val="4"/>
          </w:tcPr>
          <w:p>
            <w:pPr>
              <w:pStyle w:val="TableParagraph"/>
              <w:spacing w:line="254" w:lineRule="exact"/>
              <w:ind w:left="107" w:right="140"/>
              <w:rPr>
                <w:sz w:val="22"/>
              </w:rPr>
            </w:pPr>
            <w:r>
              <w:rPr>
                <w:sz w:val="22"/>
              </w:rPr>
              <w:t>*</w:t>
            </w:r>
            <w:r>
              <w:rPr>
                <w:spacing w:val="-1"/>
                <w:sz w:val="22"/>
              </w:rPr>
              <w:t> </w:t>
            </w:r>
            <w:r>
              <w:rPr>
                <w:sz w:val="22"/>
              </w:rPr>
              <w:t>This</w:t>
            </w:r>
            <w:r>
              <w:rPr>
                <w:spacing w:val="-3"/>
                <w:sz w:val="22"/>
              </w:rPr>
              <w:t> </w:t>
            </w:r>
            <w:r>
              <w:rPr>
                <w:sz w:val="22"/>
              </w:rPr>
              <w:t>is</w:t>
            </w:r>
            <w:r>
              <w:rPr>
                <w:spacing w:val="-3"/>
                <w:sz w:val="22"/>
              </w:rPr>
              <w:t> </w:t>
            </w:r>
            <w:r>
              <w:rPr>
                <w:sz w:val="22"/>
              </w:rPr>
              <w:t>a</w:t>
            </w:r>
            <w:r>
              <w:rPr>
                <w:spacing w:val="-1"/>
                <w:sz w:val="22"/>
              </w:rPr>
              <w:t> </w:t>
            </w:r>
            <w:r>
              <w:rPr>
                <w:sz w:val="22"/>
              </w:rPr>
              <w:t>service</w:t>
            </w:r>
            <w:r>
              <w:rPr>
                <w:spacing w:val="-1"/>
                <w:sz w:val="22"/>
              </w:rPr>
              <w:t> </w:t>
            </w:r>
            <w:r>
              <w:rPr>
                <w:sz w:val="22"/>
              </w:rPr>
              <w:t>provided</w:t>
            </w:r>
            <w:r>
              <w:rPr>
                <w:spacing w:val="-4"/>
                <w:sz w:val="22"/>
              </w:rPr>
              <w:t> </w:t>
            </w:r>
            <w:r>
              <w:rPr>
                <w:sz w:val="22"/>
              </w:rPr>
              <w:t>under</w:t>
            </w:r>
            <w:r>
              <w:rPr>
                <w:spacing w:val="-3"/>
                <w:sz w:val="22"/>
              </w:rPr>
              <w:t> </w:t>
            </w:r>
            <w:r>
              <w:rPr>
                <w:sz w:val="22"/>
              </w:rPr>
              <w:t>the</w:t>
            </w:r>
            <w:r>
              <w:rPr>
                <w:spacing w:val="-3"/>
                <w:sz w:val="22"/>
              </w:rPr>
              <w:t> </w:t>
            </w:r>
            <w:r>
              <w:rPr>
                <w:sz w:val="22"/>
              </w:rPr>
              <w:t>Medicaid</w:t>
            </w:r>
            <w:r>
              <w:rPr>
                <w:spacing w:val="-4"/>
                <w:sz w:val="22"/>
              </w:rPr>
              <w:t> </w:t>
            </w:r>
            <w:r>
              <w:rPr>
                <w:sz w:val="22"/>
              </w:rPr>
              <w:t>state</w:t>
            </w:r>
            <w:r>
              <w:rPr>
                <w:spacing w:val="-3"/>
                <w:sz w:val="22"/>
              </w:rPr>
              <w:t> </w:t>
            </w:r>
            <w:r>
              <w:rPr>
                <w:sz w:val="22"/>
              </w:rPr>
              <w:t>plan,</w:t>
            </w:r>
            <w:r>
              <w:rPr>
                <w:spacing w:val="-1"/>
                <w:sz w:val="22"/>
              </w:rPr>
              <w:t> </w:t>
            </w:r>
            <w:r>
              <w:rPr>
                <w:sz w:val="22"/>
              </w:rPr>
              <w:t>and</w:t>
            </w:r>
            <w:r>
              <w:rPr>
                <w:spacing w:val="-4"/>
                <w:sz w:val="22"/>
              </w:rPr>
              <w:t> </w:t>
            </w:r>
            <w:r>
              <w:rPr>
                <w:sz w:val="22"/>
              </w:rPr>
              <w:t>the</w:t>
            </w:r>
            <w:r>
              <w:rPr>
                <w:spacing w:val="-3"/>
                <w:sz w:val="22"/>
              </w:rPr>
              <w:t> </w:t>
            </w:r>
            <w:r>
              <w:rPr>
                <w:sz w:val="22"/>
              </w:rPr>
              <w:t>definition</w:t>
            </w:r>
            <w:r>
              <w:rPr>
                <w:spacing w:val="-1"/>
                <w:sz w:val="22"/>
              </w:rPr>
              <w:t> </w:t>
            </w:r>
            <w:r>
              <w:rPr>
                <w:sz w:val="22"/>
              </w:rPr>
              <w:t>may</w:t>
            </w:r>
            <w:r>
              <w:rPr>
                <w:spacing w:val="-1"/>
                <w:sz w:val="22"/>
              </w:rPr>
              <w:t> </w:t>
            </w:r>
            <w:r>
              <w:rPr>
                <w:sz w:val="22"/>
              </w:rPr>
              <w:t>be</w:t>
            </w:r>
            <w:r>
              <w:rPr>
                <w:spacing w:val="-1"/>
                <w:sz w:val="22"/>
              </w:rPr>
              <w:t> </w:t>
            </w:r>
            <w:r>
              <w:rPr>
                <w:sz w:val="22"/>
              </w:rPr>
              <w:t>changed</w:t>
            </w:r>
            <w:r>
              <w:rPr>
                <w:spacing w:val="-1"/>
                <w:sz w:val="22"/>
              </w:rPr>
              <w:t> </w:t>
            </w:r>
            <w:r>
              <w:rPr>
                <w:sz w:val="22"/>
              </w:rPr>
              <w:t>pursuant to any state plan amendment.</w:t>
            </w:r>
          </w:p>
        </w:tc>
      </w:tr>
    </w:tbl>
    <w:p>
      <w:pPr>
        <w:pStyle w:val="BodyText"/>
        <w:spacing w:before="1"/>
        <w:rPr>
          <w:sz w:val="15"/>
        </w:rPr>
      </w:pPr>
    </w:p>
    <w:p>
      <w:pPr>
        <w:pStyle w:val="BodyText"/>
        <w:spacing w:before="90"/>
        <w:ind w:left="871" w:right="1059"/>
      </w:pPr>
      <w:r>
        <w:rPr/>
        <w:drawing>
          <wp:anchor distT="0" distB="0" distL="0" distR="0" allowOverlap="1" layoutInCell="1" locked="0" behindDoc="0" simplePos="0" relativeHeight="15781376">
            <wp:simplePos x="0" y="0"/>
            <wp:positionH relativeFrom="page">
              <wp:posOffset>975359</wp:posOffset>
            </wp:positionH>
            <wp:positionV relativeFrom="paragraph">
              <wp:posOffset>92749</wp:posOffset>
            </wp:positionV>
            <wp:extent cx="217931" cy="112775"/>
            <wp:effectExtent l="0" t="0" r="0" b="0"/>
            <wp:wrapNone/>
            <wp:docPr id="113" name="Image 113"/>
            <wp:cNvGraphicFramePr>
              <a:graphicFrameLocks/>
            </wp:cNvGraphicFramePr>
            <a:graphic>
              <a:graphicData uri="http://schemas.openxmlformats.org/drawingml/2006/picture">
                <pic:pic>
                  <pic:nvPicPr>
                    <pic:cNvPr id="113" name="Image 113"/>
                    <pic:cNvPicPr/>
                  </pic:nvPicPr>
                  <pic:blipFill>
                    <a:blip r:embed="rId85" cstate="print"/>
                    <a:stretch>
                      <a:fillRect/>
                    </a:stretch>
                  </pic:blipFill>
                  <pic:spPr>
                    <a:xfrm>
                      <a:off x="0" y="0"/>
                      <a:ext cx="217931" cy="112775"/>
                    </a:xfrm>
                    <a:prstGeom prst="rect">
                      <a:avLst/>
                    </a:prstGeom>
                  </pic:spPr>
                </pic:pic>
              </a:graphicData>
            </a:graphic>
          </wp:anchor>
        </w:drawing>
      </w:r>
      <w:bookmarkStart w:name="6.2. SUD Program Requirements  The follo" w:id="237"/>
      <w:bookmarkEnd w:id="237"/>
      <w:r>
        <w:rPr/>
      </w:r>
      <w:r>
        <w:rPr>
          <w:b/>
        </w:rPr>
        <w:t>SUD</w:t>
      </w:r>
      <w:r>
        <w:rPr>
          <w:b/>
          <w:spacing w:val="-4"/>
        </w:rPr>
        <w:t> </w:t>
      </w:r>
      <w:r>
        <w:rPr>
          <w:b/>
        </w:rPr>
        <w:t>Program</w:t>
      </w:r>
      <w:r>
        <w:rPr>
          <w:b/>
          <w:spacing w:val="-7"/>
        </w:rPr>
        <w:t> </w:t>
      </w:r>
      <w:r>
        <w:rPr>
          <w:b/>
        </w:rPr>
        <w:t>Requirements</w:t>
      </w:r>
      <w:r>
        <w:rPr>
          <w:b/>
          <w:spacing w:val="40"/>
        </w:rPr>
        <w:t> </w:t>
      </w:r>
      <w:r>
        <w:rPr/>
        <w:t>The</w:t>
      </w:r>
      <w:r>
        <w:rPr>
          <w:spacing w:val="-4"/>
        </w:rPr>
        <w:t> </w:t>
      </w:r>
      <w:r>
        <w:rPr/>
        <w:t>following</w:t>
      </w:r>
      <w:r>
        <w:rPr>
          <w:spacing w:val="-6"/>
        </w:rPr>
        <w:t> </w:t>
      </w:r>
      <w:r>
        <w:rPr/>
        <w:t>requirements</w:t>
      </w:r>
      <w:r>
        <w:rPr>
          <w:spacing w:val="-3"/>
        </w:rPr>
        <w:t> </w:t>
      </w:r>
      <w:r>
        <w:rPr/>
        <w:t>that</w:t>
      </w:r>
      <w:r>
        <w:rPr>
          <w:spacing w:val="-3"/>
        </w:rPr>
        <w:t> </w:t>
      </w:r>
      <w:r>
        <w:rPr/>
        <w:t>reflect</w:t>
      </w:r>
      <w:r>
        <w:rPr>
          <w:spacing w:val="-3"/>
        </w:rPr>
        <w:t> </w:t>
      </w:r>
      <w:r>
        <w:rPr/>
        <w:t>key</w:t>
      </w:r>
      <w:r>
        <w:rPr>
          <w:spacing w:val="-6"/>
        </w:rPr>
        <w:t> </w:t>
      </w:r>
      <w:r>
        <w:rPr/>
        <w:t>goals</w:t>
      </w:r>
      <w:r>
        <w:rPr>
          <w:spacing w:val="-3"/>
        </w:rPr>
        <w:t> </w:t>
      </w:r>
      <w:r>
        <w:rPr/>
        <w:t>and objectives of this SUD project apply to this demonstration:</w:t>
      </w:r>
    </w:p>
    <w:p>
      <w:pPr>
        <w:pStyle w:val="BodyText"/>
        <w:spacing w:before="9"/>
        <w:rPr>
          <w:sz w:val="20"/>
        </w:rPr>
      </w:pPr>
    </w:p>
    <w:p>
      <w:pPr>
        <w:pStyle w:val="BodyText"/>
        <w:spacing w:before="1"/>
        <w:ind w:left="1411" w:right="1059"/>
      </w:pPr>
      <w:r>
        <w:rPr/>
        <w:drawing>
          <wp:anchor distT="0" distB="0" distL="0" distR="0" allowOverlap="1" layoutInCell="1" locked="0" behindDoc="0" simplePos="0" relativeHeight="15781888">
            <wp:simplePos x="0" y="0"/>
            <wp:positionH relativeFrom="page">
              <wp:posOffset>1431036</wp:posOffset>
            </wp:positionH>
            <wp:positionV relativeFrom="paragraph">
              <wp:posOffset>68238</wp:posOffset>
            </wp:positionV>
            <wp:extent cx="96011" cy="80771"/>
            <wp:effectExtent l="0" t="0" r="0" b="0"/>
            <wp:wrapNone/>
            <wp:docPr id="114" name="Image 114"/>
            <wp:cNvGraphicFramePr>
              <a:graphicFrameLocks/>
            </wp:cNvGraphicFramePr>
            <a:graphic>
              <a:graphicData uri="http://schemas.openxmlformats.org/drawingml/2006/picture">
                <pic:pic>
                  <pic:nvPicPr>
                    <pic:cNvPr id="114" name="Image 114"/>
                    <pic:cNvPicPr/>
                  </pic:nvPicPr>
                  <pic:blipFill>
                    <a:blip r:embed="rId40" cstate="print"/>
                    <a:stretch>
                      <a:fillRect/>
                    </a:stretch>
                  </pic:blipFill>
                  <pic:spPr>
                    <a:xfrm>
                      <a:off x="0" y="0"/>
                      <a:ext cx="96011" cy="80771"/>
                    </a:xfrm>
                    <a:prstGeom prst="rect">
                      <a:avLst/>
                    </a:prstGeom>
                  </pic:spPr>
                </pic:pic>
              </a:graphicData>
            </a:graphic>
          </wp:anchor>
        </w:drawing>
      </w:r>
      <w:bookmarkStart w:name="a. Access to Critical Levels of Care for" w:id="238"/>
      <w:bookmarkEnd w:id="238"/>
      <w:r>
        <w:rPr/>
      </w:r>
      <w:r>
        <w:rPr>
          <w:b/>
        </w:rPr>
        <w:t>Access to Critical Levels of Care for OUD and other SUDs.</w:t>
      </w:r>
      <w:r>
        <w:rPr>
          <w:b/>
          <w:spacing w:val="40"/>
        </w:rPr>
        <w:t> </w:t>
      </w:r>
      <w:r>
        <w:rPr/>
        <w:t>Coverage of OUD/SUD treatment services across a comprehensive continuum of care including: outpatient;</w:t>
      </w:r>
      <w:r>
        <w:rPr>
          <w:spacing w:val="-5"/>
        </w:rPr>
        <w:t> </w:t>
      </w:r>
      <w:r>
        <w:rPr/>
        <w:t>intensive</w:t>
      </w:r>
      <w:r>
        <w:rPr>
          <w:spacing w:val="-6"/>
        </w:rPr>
        <w:t> </w:t>
      </w:r>
      <w:r>
        <w:rPr/>
        <w:t>outpatient;</w:t>
      </w:r>
      <w:r>
        <w:rPr>
          <w:spacing w:val="-5"/>
        </w:rPr>
        <w:t> </w:t>
      </w:r>
      <w:r>
        <w:rPr/>
        <w:t>medication</w:t>
      </w:r>
      <w:r>
        <w:rPr>
          <w:spacing w:val="-5"/>
        </w:rPr>
        <w:t> </w:t>
      </w:r>
      <w:r>
        <w:rPr/>
        <w:t>assisted</w:t>
      </w:r>
      <w:r>
        <w:rPr>
          <w:spacing w:val="-5"/>
        </w:rPr>
        <w:t> </w:t>
      </w:r>
      <w:r>
        <w:rPr/>
        <w:t>treatment</w:t>
      </w:r>
      <w:r>
        <w:rPr>
          <w:spacing w:val="-5"/>
        </w:rPr>
        <w:t> </w:t>
      </w:r>
      <w:r>
        <w:rPr/>
        <w:t>(medication</w:t>
      </w:r>
      <w:r>
        <w:rPr>
          <w:spacing w:val="-5"/>
        </w:rPr>
        <w:t> </w:t>
      </w:r>
      <w:r>
        <w:rPr/>
        <w:t>as</w:t>
      </w:r>
      <w:r>
        <w:rPr>
          <w:spacing w:val="-5"/>
        </w:rPr>
        <w:t> </w:t>
      </w:r>
      <w:r>
        <w:rPr/>
        <w:t>well</w:t>
      </w:r>
      <w:r>
        <w:rPr>
          <w:spacing w:val="-5"/>
        </w:rPr>
        <w:t> </w:t>
      </w:r>
      <w:r>
        <w:rPr/>
        <w:t>as counseling and other services with sufficient provider capacity to meet needs of Medicaid beneficiaries in the state); intensive levels of care in residential and inpatient settings; and medically supervised withdrawal management.</w:t>
      </w:r>
    </w:p>
    <w:p>
      <w:pPr>
        <w:spacing w:after="0"/>
        <w:sectPr>
          <w:type w:val="continuous"/>
          <w:pgSz w:w="12240" w:h="15840"/>
          <w:pgMar w:header="0" w:footer="1201" w:top="1420" w:bottom="1400" w:left="1200" w:right="400"/>
        </w:sectPr>
      </w:pPr>
    </w:p>
    <w:p>
      <w:pPr>
        <w:spacing w:before="79"/>
        <w:ind w:left="1411" w:right="1275" w:firstLine="0"/>
        <w:jc w:val="left"/>
        <w:rPr>
          <w:sz w:val="24"/>
        </w:rPr>
      </w:pPr>
      <w:r>
        <w:rPr/>
        <w:drawing>
          <wp:anchor distT="0" distB="0" distL="0" distR="0" allowOverlap="1" layoutInCell="1" locked="0" behindDoc="0" simplePos="0" relativeHeight="15782400">
            <wp:simplePos x="0" y="0"/>
            <wp:positionH relativeFrom="page">
              <wp:posOffset>1424939</wp:posOffset>
            </wp:positionH>
            <wp:positionV relativeFrom="paragraph">
              <wp:posOffset>82717</wp:posOffset>
            </wp:positionV>
            <wp:extent cx="111251" cy="115823"/>
            <wp:effectExtent l="0" t="0" r="0" b="0"/>
            <wp:wrapNone/>
            <wp:docPr id="115" name="Image 115"/>
            <wp:cNvGraphicFramePr>
              <a:graphicFrameLocks/>
            </wp:cNvGraphicFramePr>
            <a:graphic>
              <a:graphicData uri="http://schemas.openxmlformats.org/drawingml/2006/picture">
                <pic:pic>
                  <pic:nvPicPr>
                    <pic:cNvPr id="115" name="Image 115"/>
                    <pic:cNvPicPr/>
                  </pic:nvPicPr>
                  <pic:blipFill>
                    <a:blip r:embed="rId34" cstate="print"/>
                    <a:stretch>
                      <a:fillRect/>
                    </a:stretch>
                  </pic:blipFill>
                  <pic:spPr>
                    <a:xfrm>
                      <a:off x="0" y="0"/>
                      <a:ext cx="111251" cy="115823"/>
                    </a:xfrm>
                    <a:prstGeom prst="rect">
                      <a:avLst/>
                    </a:prstGeom>
                  </pic:spPr>
                </pic:pic>
              </a:graphicData>
            </a:graphic>
          </wp:anchor>
        </w:drawing>
      </w:r>
      <w:bookmarkStart w:name="b. Use of Evidence-based SUD-specific Pa" w:id="239"/>
      <w:bookmarkEnd w:id="239"/>
      <w:r>
        <w:rPr/>
      </w:r>
      <w:r>
        <w:rPr>
          <w:b/>
          <w:sz w:val="24"/>
        </w:rPr>
        <w:t>Use</w:t>
      </w:r>
      <w:r>
        <w:rPr>
          <w:b/>
          <w:spacing w:val="-6"/>
          <w:sz w:val="24"/>
        </w:rPr>
        <w:t> </w:t>
      </w:r>
      <w:r>
        <w:rPr>
          <w:b/>
          <w:sz w:val="24"/>
        </w:rPr>
        <w:t>of</w:t>
      </w:r>
      <w:r>
        <w:rPr>
          <w:b/>
          <w:spacing w:val="-4"/>
          <w:sz w:val="24"/>
        </w:rPr>
        <w:t> </w:t>
      </w:r>
      <w:r>
        <w:rPr>
          <w:b/>
          <w:sz w:val="24"/>
        </w:rPr>
        <w:t>Evidence-based</w:t>
      </w:r>
      <w:r>
        <w:rPr>
          <w:b/>
          <w:spacing w:val="-5"/>
          <w:sz w:val="24"/>
        </w:rPr>
        <w:t> </w:t>
      </w:r>
      <w:r>
        <w:rPr>
          <w:b/>
          <w:sz w:val="24"/>
        </w:rPr>
        <w:t>SUD-specific</w:t>
      </w:r>
      <w:r>
        <w:rPr>
          <w:b/>
          <w:spacing w:val="-6"/>
          <w:sz w:val="24"/>
        </w:rPr>
        <w:t> </w:t>
      </w:r>
      <w:r>
        <w:rPr>
          <w:b/>
          <w:sz w:val="24"/>
        </w:rPr>
        <w:t>Patient</w:t>
      </w:r>
      <w:r>
        <w:rPr>
          <w:b/>
          <w:spacing w:val="-4"/>
          <w:sz w:val="24"/>
        </w:rPr>
        <w:t> </w:t>
      </w:r>
      <w:r>
        <w:rPr>
          <w:b/>
          <w:sz w:val="24"/>
        </w:rPr>
        <w:t>Placement</w:t>
      </w:r>
      <w:r>
        <w:rPr>
          <w:b/>
          <w:spacing w:val="-4"/>
          <w:sz w:val="24"/>
        </w:rPr>
        <w:t> </w:t>
      </w:r>
      <w:r>
        <w:rPr>
          <w:b/>
          <w:sz w:val="24"/>
        </w:rPr>
        <w:t>Criteria.</w:t>
      </w:r>
      <w:r>
        <w:rPr>
          <w:b/>
          <w:spacing w:val="-5"/>
          <w:sz w:val="24"/>
        </w:rPr>
        <w:t> </w:t>
      </w:r>
      <w:r>
        <w:rPr>
          <w:sz w:val="24"/>
        </w:rPr>
        <w:t>Providers</w:t>
      </w:r>
      <w:r>
        <w:rPr>
          <w:spacing w:val="-5"/>
          <w:sz w:val="24"/>
        </w:rPr>
        <w:t> </w:t>
      </w:r>
      <w:r>
        <w:rPr>
          <w:sz w:val="24"/>
        </w:rPr>
        <w:t>will assess</w:t>
      </w:r>
      <w:r>
        <w:rPr>
          <w:spacing w:val="-4"/>
          <w:sz w:val="24"/>
        </w:rPr>
        <w:t> </w:t>
      </w:r>
      <w:r>
        <w:rPr>
          <w:sz w:val="24"/>
        </w:rPr>
        <w:t>treatment</w:t>
      </w:r>
      <w:r>
        <w:rPr>
          <w:spacing w:val="-4"/>
          <w:sz w:val="24"/>
        </w:rPr>
        <w:t> </w:t>
      </w:r>
      <w:r>
        <w:rPr>
          <w:sz w:val="24"/>
        </w:rPr>
        <w:t>needs</w:t>
      </w:r>
      <w:r>
        <w:rPr>
          <w:spacing w:val="-4"/>
          <w:sz w:val="24"/>
        </w:rPr>
        <w:t> </w:t>
      </w:r>
      <w:r>
        <w:rPr>
          <w:sz w:val="24"/>
        </w:rPr>
        <w:t>based</w:t>
      </w:r>
      <w:r>
        <w:rPr>
          <w:spacing w:val="-5"/>
          <w:sz w:val="24"/>
        </w:rPr>
        <w:t> </w:t>
      </w:r>
      <w:r>
        <w:rPr>
          <w:sz w:val="24"/>
        </w:rPr>
        <w:t>on</w:t>
      </w:r>
      <w:r>
        <w:rPr>
          <w:spacing w:val="-4"/>
          <w:sz w:val="24"/>
        </w:rPr>
        <w:t> </w:t>
      </w:r>
      <w:r>
        <w:rPr>
          <w:sz w:val="24"/>
        </w:rPr>
        <w:t>SUD-specific,</w:t>
      </w:r>
      <w:r>
        <w:rPr>
          <w:spacing w:val="-4"/>
          <w:sz w:val="24"/>
        </w:rPr>
        <w:t> </w:t>
      </w:r>
      <w:r>
        <w:rPr>
          <w:sz w:val="24"/>
        </w:rPr>
        <w:t>multidimensional</w:t>
      </w:r>
      <w:r>
        <w:rPr>
          <w:spacing w:val="-4"/>
          <w:sz w:val="24"/>
        </w:rPr>
        <w:t> </w:t>
      </w:r>
      <w:r>
        <w:rPr>
          <w:sz w:val="24"/>
        </w:rPr>
        <w:t>assessment</w:t>
      </w:r>
      <w:r>
        <w:rPr>
          <w:spacing w:val="-4"/>
          <w:sz w:val="24"/>
        </w:rPr>
        <w:t> </w:t>
      </w:r>
      <w:r>
        <w:rPr>
          <w:sz w:val="24"/>
        </w:rPr>
        <w:t>tools, such as the ASAM Criteria or other assessment and placement tools that reflect evidence-based clinical treatment guidelines</w:t>
      </w:r>
    </w:p>
    <w:p>
      <w:pPr>
        <w:pStyle w:val="BodyText"/>
        <w:spacing w:before="10"/>
        <w:rPr>
          <w:sz w:val="20"/>
        </w:rPr>
      </w:pPr>
    </w:p>
    <w:p>
      <w:pPr>
        <w:pStyle w:val="BodyText"/>
        <w:ind w:left="1411" w:right="1059"/>
      </w:pPr>
      <w:r>
        <w:rPr/>
        <w:drawing>
          <wp:anchor distT="0" distB="0" distL="0" distR="0" allowOverlap="1" layoutInCell="1" locked="0" behindDoc="0" simplePos="0" relativeHeight="15782912">
            <wp:simplePos x="0" y="0"/>
            <wp:positionH relativeFrom="page">
              <wp:posOffset>1431036</wp:posOffset>
            </wp:positionH>
            <wp:positionV relativeFrom="paragraph">
              <wp:posOffset>67603</wp:posOffset>
            </wp:positionV>
            <wp:extent cx="96011" cy="80771"/>
            <wp:effectExtent l="0" t="0" r="0" b="0"/>
            <wp:wrapNone/>
            <wp:docPr id="116" name="Image 116"/>
            <wp:cNvGraphicFramePr>
              <a:graphicFrameLocks/>
            </wp:cNvGraphicFramePr>
            <a:graphic>
              <a:graphicData uri="http://schemas.openxmlformats.org/drawingml/2006/picture">
                <pic:pic>
                  <pic:nvPicPr>
                    <pic:cNvPr id="116" name="Image 116"/>
                    <pic:cNvPicPr/>
                  </pic:nvPicPr>
                  <pic:blipFill>
                    <a:blip r:embed="rId35" cstate="print"/>
                    <a:stretch>
                      <a:fillRect/>
                    </a:stretch>
                  </pic:blipFill>
                  <pic:spPr>
                    <a:xfrm>
                      <a:off x="0" y="0"/>
                      <a:ext cx="96011" cy="80771"/>
                    </a:xfrm>
                    <a:prstGeom prst="rect">
                      <a:avLst/>
                    </a:prstGeom>
                  </pic:spPr>
                </pic:pic>
              </a:graphicData>
            </a:graphic>
          </wp:anchor>
        </w:drawing>
      </w:r>
      <w:bookmarkStart w:name="c. Patient Placement.  The state will co" w:id="240"/>
      <w:bookmarkEnd w:id="240"/>
      <w:r>
        <w:rPr/>
      </w:r>
      <w:r>
        <w:rPr>
          <w:b/>
        </w:rPr>
        <w:t>Patient Placement.</w:t>
      </w:r>
      <w:r>
        <w:rPr>
          <w:b/>
          <w:spacing w:val="40"/>
        </w:rPr>
        <w:t> </w:t>
      </w:r>
      <w:r>
        <w:rPr/>
        <w:t>The state will continue to employ a utilization management approach, in accordance with state law, such that beneficiaries have access to SUD services</w:t>
      </w:r>
      <w:r>
        <w:rPr>
          <w:spacing w:val="-3"/>
        </w:rPr>
        <w:t> </w:t>
      </w:r>
      <w:r>
        <w:rPr/>
        <w:t>at</w:t>
      </w:r>
      <w:r>
        <w:rPr>
          <w:spacing w:val="-3"/>
        </w:rPr>
        <w:t> </w:t>
      </w:r>
      <w:r>
        <w:rPr/>
        <w:t>the</w:t>
      </w:r>
      <w:r>
        <w:rPr>
          <w:spacing w:val="-2"/>
        </w:rPr>
        <w:t> </w:t>
      </w:r>
      <w:r>
        <w:rPr/>
        <w:t>appropriate</w:t>
      </w:r>
      <w:r>
        <w:rPr>
          <w:spacing w:val="-4"/>
        </w:rPr>
        <w:t> </w:t>
      </w:r>
      <w:r>
        <w:rPr/>
        <w:t>level</w:t>
      </w:r>
      <w:r>
        <w:rPr>
          <w:spacing w:val="-3"/>
        </w:rPr>
        <w:t> </w:t>
      </w:r>
      <w:r>
        <w:rPr/>
        <w:t>of</w:t>
      </w:r>
      <w:r>
        <w:rPr>
          <w:spacing w:val="-4"/>
        </w:rPr>
        <w:t> </w:t>
      </w:r>
      <w:r>
        <w:rPr/>
        <w:t>care</w:t>
      </w:r>
      <w:r>
        <w:rPr>
          <w:spacing w:val="-4"/>
        </w:rPr>
        <w:t> </w:t>
      </w:r>
      <w:r>
        <w:rPr/>
        <w:t>and</w:t>
      </w:r>
      <w:r>
        <w:rPr>
          <w:spacing w:val="-3"/>
        </w:rPr>
        <w:t> </w:t>
      </w:r>
      <w:r>
        <w:rPr/>
        <w:t>that</w:t>
      </w:r>
      <w:r>
        <w:rPr>
          <w:spacing w:val="-3"/>
        </w:rPr>
        <w:t> </w:t>
      </w:r>
      <w:r>
        <w:rPr/>
        <w:t>the</w:t>
      </w:r>
      <w:r>
        <w:rPr>
          <w:spacing w:val="-4"/>
        </w:rPr>
        <w:t> </w:t>
      </w:r>
      <w:r>
        <w:rPr/>
        <w:t>interventions</w:t>
      </w:r>
      <w:r>
        <w:rPr>
          <w:spacing w:val="-3"/>
        </w:rPr>
        <w:t> </w:t>
      </w:r>
      <w:r>
        <w:rPr/>
        <w:t>are</w:t>
      </w:r>
      <w:r>
        <w:rPr>
          <w:spacing w:val="-4"/>
        </w:rPr>
        <w:t> </w:t>
      </w:r>
      <w:r>
        <w:rPr/>
        <w:t>appropriate</w:t>
      </w:r>
      <w:r>
        <w:rPr>
          <w:spacing w:val="-4"/>
        </w:rPr>
        <w:t> </w:t>
      </w:r>
      <w:r>
        <w:rPr/>
        <w:t>for the diagnosis and level of care, including an independent process for reviewing placement in residential treatment settings.</w:t>
      </w:r>
    </w:p>
    <w:p>
      <w:pPr>
        <w:pStyle w:val="BodyText"/>
        <w:spacing w:before="10"/>
        <w:rPr>
          <w:sz w:val="20"/>
        </w:rPr>
      </w:pPr>
    </w:p>
    <w:p>
      <w:pPr>
        <w:spacing w:before="0"/>
        <w:ind w:left="1411" w:right="1059" w:firstLine="0"/>
        <w:jc w:val="left"/>
        <w:rPr>
          <w:sz w:val="24"/>
        </w:rPr>
      </w:pPr>
      <w:r>
        <w:rPr/>
        <w:drawing>
          <wp:anchor distT="0" distB="0" distL="0" distR="0" allowOverlap="1" layoutInCell="1" locked="0" behindDoc="0" simplePos="0" relativeHeight="15783424">
            <wp:simplePos x="0" y="0"/>
            <wp:positionH relativeFrom="page">
              <wp:posOffset>1431036</wp:posOffset>
            </wp:positionH>
            <wp:positionV relativeFrom="paragraph">
              <wp:posOffset>32551</wp:posOffset>
            </wp:positionV>
            <wp:extent cx="105155" cy="115823"/>
            <wp:effectExtent l="0" t="0" r="0" b="0"/>
            <wp:wrapNone/>
            <wp:docPr id="117" name="Image 117"/>
            <wp:cNvGraphicFramePr>
              <a:graphicFrameLocks/>
            </wp:cNvGraphicFramePr>
            <a:graphic>
              <a:graphicData uri="http://schemas.openxmlformats.org/drawingml/2006/picture">
                <pic:pic>
                  <pic:nvPicPr>
                    <pic:cNvPr id="117" name="Image 117"/>
                    <pic:cNvPicPr/>
                  </pic:nvPicPr>
                  <pic:blipFill>
                    <a:blip r:embed="rId86" cstate="print"/>
                    <a:stretch>
                      <a:fillRect/>
                    </a:stretch>
                  </pic:blipFill>
                  <pic:spPr>
                    <a:xfrm>
                      <a:off x="0" y="0"/>
                      <a:ext cx="105155" cy="115823"/>
                    </a:xfrm>
                    <a:prstGeom prst="rect">
                      <a:avLst/>
                    </a:prstGeom>
                  </pic:spPr>
                </pic:pic>
              </a:graphicData>
            </a:graphic>
          </wp:anchor>
        </w:drawing>
      </w:r>
      <w:bookmarkStart w:name="d. Use of Nationally Recognized SUD-spec" w:id="241"/>
      <w:bookmarkEnd w:id="241"/>
      <w:r>
        <w:rPr/>
      </w:r>
      <w:r>
        <w:rPr>
          <w:b/>
          <w:sz w:val="24"/>
        </w:rPr>
        <w:t>Use</w:t>
      </w:r>
      <w:r>
        <w:rPr>
          <w:b/>
          <w:spacing w:val="-5"/>
          <w:sz w:val="24"/>
        </w:rPr>
        <w:t> </w:t>
      </w:r>
      <w:r>
        <w:rPr>
          <w:b/>
          <w:sz w:val="24"/>
        </w:rPr>
        <w:t>of</w:t>
      </w:r>
      <w:r>
        <w:rPr>
          <w:b/>
          <w:spacing w:val="-3"/>
          <w:sz w:val="24"/>
        </w:rPr>
        <w:t> </w:t>
      </w:r>
      <w:r>
        <w:rPr>
          <w:b/>
          <w:sz w:val="24"/>
        </w:rPr>
        <w:t>Nationally</w:t>
      </w:r>
      <w:r>
        <w:rPr>
          <w:b/>
          <w:spacing w:val="-4"/>
          <w:sz w:val="24"/>
        </w:rPr>
        <w:t> </w:t>
      </w:r>
      <w:r>
        <w:rPr>
          <w:b/>
          <w:sz w:val="24"/>
        </w:rPr>
        <w:t>Recognized</w:t>
      </w:r>
      <w:r>
        <w:rPr>
          <w:b/>
          <w:spacing w:val="-4"/>
          <w:sz w:val="24"/>
        </w:rPr>
        <w:t> </w:t>
      </w:r>
      <w:r>
        <w:rPr>
          <w:b/>
          <w:sz w:val="24"/>
        </w:rPr>
        <w:t>SUD-specific</w:t>
      </w:r>
      <w:r>
        <w:rPr>
          <w:b/>
          <w:spacing w:val="-5"/>
          <w:sz w:val="24"/>
        </w:rPr>
        <w:t> </w:t>
      </w:r>
      <w:r>
        <w:rPr>
          <w:b/>
          <w:sz w:val="24"/>
        </w:rPr>
        <w:t>Program</w:t>
      </w:r>
      <w:r>
        <w:rPr>
          <w:b/>
          <w:spacing w:val="-8"/>
          <w:sz w:val="24"/>
        </w:rPr>
        <w:t> </w:t>
      </w:r>
      <w:r>
        <w:rPr>
          <w:b/>
          <w:sz w:val="24"/>
        </w:rPr>
        <w:t>Standards</w:t>
      </w:r>
      <w:r>
        <w:rPr>
          <w:b/>
          <w:spacing w:val="-4"/>
          <w:sz w:val="24"/>
        </w:rPr>
        <w:t> </w:t>
      </w:r>
      <w:r>
        <w:rPr>
          <w:b/>
          <w:sz w:val="24"/>
        </w:rPr>
        <w:t>to</w:t>
      </w:r>
      <w:r>
        <w:rPr>
          <w:b/>
          <w:spacing w:val="-5"/>
          <w:sz w:val="24"/>
        </w:rPr>
        <w:t> </w:t>
      </w:r>
      <w:r>
        <w:rPr>
          <w:b/>
          <w:sz w:val="24"/>
        </w:rPr>
        <w:t>set</w:t>
      </w:r>
      <w:r>
        <w:rPr>
          <w:b/>
          <w:spacing w:val="-3"/>
          <w:sz w:val="24"/>
        </w:rPr>
        <w:t> </w:t>
      </w:r>
      <w:r>
        <w:rPr>
          <w:b/>
          <w:sz w:val="24"/>
        </w:rPr>
        <w:t>Provider Qualifications for Residential Treatment Facilities.</w:t>
      </w:r>
      <w:r>
        <w:rPr>
          <w:b/>
          <w:spacing w:val="40"/>
          <w:sz w:val="24"/>
        </w:rPr>
        <w:t> </w:t>
      </w:r>
      <w:r>
        <w:rPr>
          <w:sz w:val="24"/>
        </w:rPr>
        <w:t>Residential treatment providers must align with the program standards in the ASAM Criteria or other nationally recognized, SUD-specific program standards regarding in particular the types of services, hours of clinical care, and credentials of staff for residential treatment settings. Residential treatment providers must also be</w:t>
      </w:r>
      <w:r>
        <w:rPr>
          <w:spacing w:val="-1"/>
          <w:sz w:val="24"/>
        </w:rPr>
        <w:t> </w:t>
      </w:r>
      <w:r>
        <w:rPr>
          <w:sz w:val="24"/>
        </w:rPr>
        <w:t>in compliance</w:t>
      </w:r>
      <w:r>
        <w:rPr>
          <w:spacing w:val="-1"/>
          <w:sz w:val="24"/>
        </w:rPr>
        <w:t> </w:t>
      </w:r>
      <w:r>
        <w:rPr>
          <w:sz w:val="24"/>
        </w:rPr>
        <w:t>with state licensure requirements for substance use disorder treatment programs.</w:t>
      </w:r>
    </w:p>
    <w:p>
      <w:pPr>
        <w:pStyle w:val="BodyText"/>
        <w:spacing w:before="10"/>
        <w:rPr>
          <w:sz w:val="20"/>
        </w:rPr>
      </w:pPr>
    </w:p>
    <w:p>
      <w:pPr>
        <w:pStyle w:val="BodyText"/>
        <w:ind w:left="1411" w:right="1059"/>
      </w:pPr>
      <w:r>
        <w:rPr/>
        <w:drawing>
          <wp:anchor distT="0" distB="0" distL="0" distR="0" allowOverlap="1" layoutInCell="1" locked="0" behindDoc="0" simplePos="0" relativeHeight="15783936">
            <wp:simplePos x="0" y="0"/>
            <wp:positionH relativeFrom="page">
              <wp:posOffset>1431036</wp:posOffset>
            </wp:positionH>
            <wp:positionV relativeFrom="paragraph">
              <wp:posOffset>67603</wp:posOffset>
            </wp:positionV>
            <wp:extent cx="96011" cy="80771"/>
            <wp:effectExtent l="0" t="0" r="0" b="0"/>
            <wp:wrapNone/>
            <wp:docPr id="118" name="Image 118"/>
            <wp:cNvGraphicFramePr>
              <a:graphicFrameLocks/>
            </wp:cNvGraphicFramePr>
            <a:graphic>
              <a:graphicData uri="http://schemas.openxmlformats.org/drawingml/2006/picture">
                <pic:pic>
                  <pic:nvPicPr>
                    <pic:cNvPr id="118" name="Image 118"/>
                    <pic:cNvPicPr/>
                  </pic:nvPicPr>
                  <pic:blipFill>
                    <a:blip r:embed="rId87" cstate="print"/>
                    <a:stretch>
                      <a:fillRect/>
                    </a:stretch>
                  </pic:blipFill>
                  <pic:spPr>
                    <a:xfrm>
                      <a:off x="0" y="0"/>
                      <a:ext cx="96011" cy="80771"/>
                    </a:xfrm>
                    <a:prstGeom prst="rect">
                      <a:avLst/>
                    </a:prstGeom>
                  </pic:spPr>
                </pic:pic>
              </a:graphicData>
            </a:graphic>
          </wp:anchor>
        </w:drawing>
      </w:r>
      <w:bookmarkStart w:name="e. Standards of Care for Residential Tre" w:id="242"/>
      <w:bookmarkEnd w:id="242"/>
      <w:r>
        <w:rPr/>
      </w:r>
      <w:r>
        <w:rPr>
          <w:b/>
        </w:rPr>
        <w:t>Standards of Care for Residential Treatment Settings.</w:t>
      </w:r>
      <w:r>
        <w:rPr>
          <w:b/>
          <w:spacing w:val="40"/>
        </w:rPr>
        <w:t> </w:t>
      </w:r>
      <w:r>
        <w:rPr/>
        <w:t>The state will review residential treatment providers to ensure that providers deliver care consistent with the</w:t>
      </w:r>
      <w:r>
        <w:rPr>
          <w:spacing w:val="-5"/>
        </w:rPr>
        <w:t> </w:t>
      </w:r>
      <w:r>
        <w:rPr/>
        <w:t>specifications</w:t>
      </w:r>
      <w:r>
        <w:rPr>
          <w:spacing w:val="-4"/>
        </w:rPr>
        <w:t> </w:t>
      </w:r>
      <w:r>
        <w:rPr/>
        <w:t>in</w:t>
      </w:r>
      <w:r>
        <w:rPr>
          <w:spacing w:val="-4"/>
        </w:rPr>
        <w:t> </w:t>
      </w:r>
      <w:r>
        <w:rPr/>
        <w:t>the</w:t>
      </w:r>
      <w:r>
        <w:rPr>
          <w:spacing w:val="-5"/>
        </w:rPr>
        <w:t> </w:t>
      </w:r>
      <w:r>
        <w:rPr/>
        <w:t>ASAM</w:t>
      </w:r>
      <w:r>
        <w:rPr>
          <w:spacing w:val="-4"/>
        </w:rPr>
        <w:t> </w:t>
      </w:r>
      <w:r>
        <w:rPr/>
        <w:t>Criteria</w:t>
      </w:r>
      <w:r>
        <w:rPr>
          <w:spacing w:val="-5"/>
        </w:rPr>
        <w:t> </w:t>
      </w:r>
      <w:r>
        <w:rPr/>
        <w:t>or</w:t>
      </w:r>
      <w:r>
        <w:rPr>
          <w:spacing w:val="-5"/>
        </w:rPr>
        <w:t> </w:t>
      </w:r>
      <w:r>
        <w:rPr/>
        <w:t>other</w:t>
      </w:r>
      <w:r>
        <w:rPr>
          <w:spacing w:val="-3"/>
        </w:rPr>
        <w:t> </w:t>
      </w:r>
      <w:r>
        <w:rPr/>
        <w:t>comparable,</w:t>
      </w:r>
      <w:r>
        <w:rPr>
          <w:spacing w:val="-4"/>
        </w:rPr>
        <w:t> </w:t>
      </w:r>
      <w:r>
        <w:rPr/>
        <w:t>nationally</w:t>
      </w:r>
      <w:r>
        <w:rPr>
          <w:spacing w:val="-7"/>
        </w:rPr>
        <w:t> </w:t>
      </w:r>
      <w:r>
        <w:rPr/>
        <w:t>recognized SUD program standards based on evidence-based clinical treatment guidelines for types of services, hours of clinical care, and credentials of staff for residential treatment settings.</w:t>
      </w:r>
    </w:p>
    <w:p>
      <w:pPr>
        <w:pStyle w:val="BodyText"/>
        <w:spacing w:before="10"/>
        <w:rPr>
          <w:sz w:val="20"/>
        </w:rPr>
      </w:pPr>
    </w:p>
    <w:p>
      <w:pPr>
        <w:spacing w:before="0"/>
        <w:ind w:left="1411" w:right="1059" w:firstLine="0"/>
        <w:jc w:val="left"/>
        <w:rPr>
          <w:sz w:val="24"/>
        </w:rPr>
      </w:pPr>
      <w:r>
        <w:rPr/>
        <w:drawing>
          <wp:anchor distT="0" distB="0" distL="0" distR="0" allowOverlap="1" layoutInCell="1" locked="0" behindDoc="0" simplePos="0" relativeHeight="15784448">
            <wp:simplePos x="0" y="0"/>
            <wp:positionH relativeFrom="page">
              <wp:posOffset>1431036</wp:posOffset>
            </wp:positionH>
            <wp:positionV relativeFrom="paragraph">
              <wp:posOffset>32551</wp:posOffset>
            </wp:positionV>
            <wp:extent cx="79247" cy="115823"/>
            <wp:effectExtent l="0" t="0" r="0" b="0"/>
            <wp:wrapNone/>
            <wp:docPr id="119" name="Image 119"/>
            <wp:cNvGraphicFramePr>
              <a:graphicFrameLocks/>
            </wp:cNvGraphicFramePr>
            <a:graphic>
              <a:graphicData uri="http://schemas.openxmlformats.org/drawingml/2006/picture">
                <pic:pic>
                  <pic:nvPicPr>
                    <pic:cNvPr id="119" name="Image 119"/>
                    <pic:cNvPicPr/>
                  </pic:nvPicPr>
                  <pic:blipFill>
                    <a:blip r:embed="rId88" cstate="print"/>
                    <a:stretch>
                      <a:fillRect/>
                    </a:stretch>
                  </pic:blipFill>
                  <pic:spPr>
                    <a:xfrm>
                      <a:off x="0" y="0"/>
                      <a:ext cx="79247" cy="115823"/>
                    </a:xfrm>
                    <a:prstGeom prst="rect">
                      <a:avLst/>
                    </a:prstGeom>
                  </pic:spPr>
                </pic:pic>
              </a:graphicData>
            </a:graphic>
          </wp:anchor>
        </w:drawing>
      </w:r>
      <w:bookmarkStart w:name="f. Standards of Care for Medication Assi" w:id="243"/>
      <w:bookmarkEnd w:id="243"/>
      <w:r>
        <w:rPr/>
      </w:r>
      <w:r>
        <w:rPr>
          <w:b/>
          <w:sz w:val="24"/>
        </w:rPr>
        <w:t>Standards</w:t>
      </w:r>
      <w:r>
        <w:rPr>
          <w:b/>
          <w:spacing w:val="-5"/>
          <w:sz w:val="24"/>
        </w:rPr>
        <w:t> </w:t>
      </w:r>
      <w:r>
        <w:rPr>
          <w:b/>
          <w:sz w:val="24"/>
        </w:rPr>
        <w:t>of</w:t>
      </w:r>
      <w:r>
        <w:rPr>
          <w:b/>
          <w:spacing w:val="-4"/>
          <w:sz w:val="24"/>
        </w:rPr>
        <w:t> </w:t>
      </w:r>
      <w:r>
        <w:rPr>
          <w:b/>
          <w:sz w:val="24"/>
        </w:rPr>
        <w:t>Care</w:t>
      </w:r>
      <w:r>
        <w:rPr>
          <w:b/>
          <w:spacing w:val="-6"/>
          <w:sz w:val="24"/>
        </w:rPr>
        <w:t> </w:t>
      </w:r>
      <w:r>
        <w:rPr>
          <w:b/>
          <w:sz w:val="24"/>
        </w:rPr>
        <w:t>for</w:t>
      </w:r>
      <w:r>
        <w:rPr>
          <w:b/>
          <w:spacing w:val="-5"/>
          <w:sz w:val="24"/>
        </w:rPr>
        <w:t> </w:t>
      </w:r>
      <w:r>
        <w:rPr>
          <w:b/>
          <w:sz w:val="24"/>
        </w:rPr>
        <w:t>Medication</w:t>
      </w:r>
      <w:r>
        <w:rPr>
          <w:b/>
          <w:spacing w:val="-5"/>
          <w:sz w:val="24"/>
        </w:rPr>
        <w:t> </w:t>
      </w:r>
      <w:r>
        <w:rPr>
          <w:b/>
          <w:sz w:val="24"/>
        </w:rPr>
        <w:t>Assisted</w:t>
      </w:r>
      <w:r>
        <w:rPr>
          <w:b/>
          <w:spacing w:val="-5"/>
          <w:sz w:val="24"/>
        </w:rPr>
        <w:t> </w:t>
      </w:r>
      <w:r>
        <w:rPr>
          <w:b/>
          <w:sz w:val="24"/>
        </w:rPr>
        <w:t>Treatment.</w:t>
      </w:r>
      <w:r>
        <w:rPr>
          <w:b/>
          <w:spacing w:val="40"/>
          <w:sz w:val="24"/>
        </w:rPr>
        <w:t> </w:t>
      </w:r>
      <w:r>
        <w:rPr>
          <w:sz w:val="24"/>
        </w:rPr>
        <w:t>Residential</w:t>
      </w:r>
      <w:r>
        <w:rPr>
          <w:spacing w:val="-5"/>
          <w:sz w:val="24"/>
        </w:rPr>
        <w:t> </w:t>
      </w:r>
      <w:r>
        <w:rPr>
          <w:sz w:val="24"/>
        </w:rPr>
        <w:t>treatment providers must offer Medication Assisted Treatment (MAT) on-site or facilitate access to MAT off-site.</w:t>
      </w:r>
    </w:p>
    <w:p>
      <w:pPr>
        <w:pStyle w:val="BodyText"/>
        <w:spacing w:before="10"/>
        <w:rPr>
          <w:sz w:val="20"/>
        </w:rPr>
      </w:pPr>
    </w:p>
    <w:p>
      <w:pPr>
        <w:spacing w:before="1"/>
        <w:ind w:left="1411" w:right="1059" w:firstLine="0"/>
        <w:jc w:val="left"/>
        <w:rPr>
          <w:sz w:val="24"/>
        </w:rPr>
      </w:pPr>
      <w:r>
        <w:rPr/>
        <w:drawing>
          <wp:anchor distT="0" distB="0" distL="0" distR="0" allowOverlap="1" layoutInCell="1" locked="0" behindDoc="0" simplePos="0" relativeHeight="15784960">
            <wp:simplePos x="0" y="0"/>
            <wp:positionH relativeFrom="page">
              <wp:posOffset>1429511</wp:posOffset>
            </wp:positionH>
            <wp:positionV relativeFrom="paragraph">
              <wp:posOffset>68238</wp:posOffset>
            </wp:positionV>
            <wp:extent cx="105155" cy="111251"/>
            <wp:effectExtent l="0" t="0" r="0" b="0"/>
            <wp:wrapNone/>
            <wp:docPr id="120" name="Image 120"/>
            <wp:cNvGraphicFramePr>
              <a:graphicFrameLocks/>
            </wp:cNvGraphicFramePr>
            <a:graphic>
              <a:graphicData uri="http://schemas.openxmlformats.org/drawingml/2006/picture">
                <pic:pic>
                  <pic:nvPicPr>
                    <pic:cNvPr id="120" name="Image 120"/>
                    <pic:cNvPicPr/>
                  </pic:nvPicPr>
                  <pic:blipFill>
                    <a:blip r:embed="rId89" cstate="print"/>
                    <a:stretch>
                      <a:fillRect/>
                    </a:stretch>
                  </pic:blipFill>
                  <pic:spPr>
                    <a:xfrm>
                      <a:off x="0" y="0"/>
                      <a:ext cx="105155" cy="111251"/>
                    </a:xfrm>
                    <a:prstGeom prst="rect">
                      <a:avLst/>
                    </a:prstGeom>
                  </pic:spPr>
                </pic:pic>
              </a:graphicData>
            </a:graphic>
          </wp:anchor>
        </w:drawing>
      </w:r>
      <w:bookmarkStart w:name="g. Sufficient Provider Capacity at each " w:id="244"/>
      <w:bookmarkEnd w:id="244"/>
      <w:r>
        <w:rPr/>
      </w:r>
      <w:r>
        <w:rPr>
          <w:b/>
          <w:sz w:val="24"/>
        </w:rPr>
        <w:t>Sufficient Provider Capacity at each Level of Care including Medication Assisted Treatment for SUD/OUD.</w:t>
      </w:r>
      <w:r>
        <w:rPr>
          <w:b/>
          <w:spacing w:val="40"/>
          <w:sz w:val="24"/>
        </w:rPr>
        <w:t> </w:t>
      </w:r>
      <w:r>
        <w:rPr>
          <w:sz w:val="24"/>
        </w:rPr>
        <w:t>The state must ensure sufficient provider capacity</w:t>
      </w:r>
      <w:r>
        <w:rPr>
          <w:spacing w:val="-7"/>
          <w:sz w:val="24"/>
        </w:rPr>
        <w:t> </w:t>
      </w:r>
      <w:r>
        <w:rPr>
          <w:sz w:val="24"/>
        </w:rPr>
        <w:t>in</w:t>
      </w:r>
      <w:r>
        <w:rPr>
          <w:spacing w:val="-3"/>
          <w:sz w:val="24"/>
        </w:rPr>
        <w:t> </w:t>
      </w:r>
      <w:r>
        <w:rPr>
          <w:sz w:val="24"/>
        </w:rPr>
        <w:t>the</w:t>
      </w:r>
      <w:r>
        <w:rPr>
          <w:spacing w:val="-4"/>
          <w:sz w:val="24"/>
        </w:rPr>
        <w:t> </w:t>
      </w:r>
      <w:r>
        <w:rPr>
          <w:sz w:val="24"/>
        </w:rPr>
        <w:t>critical</w:t>
      </w:r>
      <w:r>
        <w:rPr>
          <w:spacing w:val="-3"/>
          <w:sz w:val="24"/>
        </w:rPr>
        <w:t> </w:t>
      </w:r>
      <w:r>
        <w:rPr>
          <w:sz w:val="24"/>
        </w:rPr>
        <w:t>levels</w:t>
      </w:r>
      <w:r>
        <w:rPr>
          <w:spacing w:val="-3"/>
          <w:sz w:val="24"/>
        </w:rPr>
        <w:t> </w:t>
      </w:r>
      <w:r>
        <w:rPr>
          <w:sz w:val="24"/>
        </w:rPr>
        <w:t>of</w:t>
      </w:r>
      <w:r>
        <w:rPr>
          <w:spacing w:val="-4"/>
          <w:sz w:val="24"/>
        </w:rPr>
        <w:t> </w:t>
      </w:r>
      <w:r>
        <w:rPr>
          <w:sz w:val="24"/>
        </w:rPr>
        <w:t>care</w:t>
      </w:r>
      <w:r>
        <w:rPr>
          <w:spacing w:val="-4"/>
          <w:sz w:val="24"/>
        </w:rPr>
        <w:t> </w:t>
      </w:r>
      <w:r>
        <w:rPr>
          <w:sz w:val="24"/>
        </w:rPr>
        <w:t>throughout</w:t>
      </w:r>
      <w:r>
        <w:rPr>
          <w:spacing w:val="-3"/>
          <w:sz w:val="24"/>
        </w:rPr>
        <w:t> </w:t>
      </w:r>
      <w:r>
        <w:rPr>
          <w:sz w:val="24"/>
        </w:rPr>
        <w:t>the</w:t>
      </w:r>
      <w:r>
        <w:rPr>
          <w:spacing w:val="-4"/>
          <w:sz w:val="24"/>
        </w:rPr>
        <w:t> </w:t>
      </w:r>
      <w:r>
        <w:rPr>
          <w:sz w:val="24"/>
        </w:rPr>
        <w:t>state,</w:t>
      </w:r>
      <w:r>
        <w:rPr>
          <w:spacing w:val="-3"/>
          <w:sz w:val="24"/>
        </w:rPr>
        <w:t> </w:t>
      </w:r>
      <w:r>
        <w:rPr>
          <w:sz w:val="24"/>
        </w:rPr>
        <w:t>including</w:t>
      </w:r>
      <w:r>
        <w:rPr>
          <w:spacing w:val="-5"/>
          <w:sz w:val="24"/>
        </w:rPr>
        <w:t> </w:t>
      </w:r>
      <w:r>
        <w:rPr>
          <w:sz w:val="24"/>
        </w:rPr>
        <w:t>those</w:t>
      </w:r>
      <w:r>
        <w:rPr>
          <w:spacing w:val="-4"/>
          <w:sz w:val="24"/>
        </w:rPr>
        <w:t> </w:t>
      </w:r>
      <w:r>
        <w:rPr>
          <w:sz w:val="24"/>
        </w:rPr>
        <w:t>that</w:t>
      </w:r>
      <w:r>
        <w:rPr>
          <w:spacing w:val="-3"/>
          <w:sz w:val="24"/>
        </w:rPr>
        <w:t> </w:t>
      </w:r>
      <w:r>
        <w:rPr>
          <w:sz w:val="24"/>
        </w:rPr>
        <w:t>offer </w:t>
      </w:r>
      <w:r>
        <w:rPr>
          <w:spacing w:val="-4"/>
          <w:sz w:val="24"/>
        </w:rPr>
        <w:t>MAT.</w:t>
      </w:r>
    </w:p>
    <w:p>
      <w:pPr>
        <w:pStyle w:val="BodyText"/>
        <w:spacing w:before="9"/>
        <w:rPr>
          <w:sz w:val="20"/>
        </w:rPr>
      </w:pPr>
    </w:p>
    <w:p>
      <w:pPr>
        <w:spacing w:before="1"/>
        <w:ind w:left="1411" w:right="1141" w:firstLine="0"/>
        <w:jc w:val="left"/>
        <w:rPr>
          <w:sz w:val="24"/>
        </w:rPr>
      </w:pPr>
      <w:r>
        <w:rPr/>
        <w:drawing>
          <wp:anchor distT="0" distB="0" distL="0" distR="0" allowOverlap="1" layoutInCell="1" locked="0" behindDoc="0" simplePos="0" relativeHeight="15785472">
            <wp:simplePos x="0" y="0"/>
            <wp:positionH relativeFrom="page">
              <wp:posOffset>1426463</wp:posOffset>
            </wp:positionH>
            <wp:positionV relativeFrom="paragraph">
              <wp:posOffset>33186</wp:posOffset>
            </wp:positionV>
            <wp:extent cx="109727" cy="115823"/>
            <wp:effectExtent l="0" t="0" r="0" b="0"/>
            <wp:wrapNone/>
            <wp:docPr id="121" name="Image 121"/>
            <wp:cNvGraphicFramePr>
              <a:graphicFrameLocks/>
            </wp:cNvGraphicFramePr>
            <a:graphic>
              <a:graphicData uri="http://schemas.openxmlformats.org/drawingml/2006/picture">
                <pic:pic>
                  <pic:nvPicPr>
                    <pic:cNvPr id="121" name="Image 121"/>
                    <pic:cNvPicPr/>
                  </pic:nvPicPr>
                  <pic:blipFill>
                    <a:blip r:embed="rId90" cstate="print"/>
                    <a:stretch>
                      <a:fillRect/>
                    </a:stretch>
                  </pic:blipFill>
                  <pic:spPr>
                    <a:xfrm>
                      <a:off x="0" y="0"/>
                      <a:ext cx="109727" cy="115823"/>
                    </a:xfrm>
                    <a:prstGeom prst="rect">
                      <a:avLst/>
                    </a:prstGeom>
                  </pic:spPr>
                </pic:pic>
              </a:graphicData>
            </a:graphic>
          </wp:anchor>
        </w:drawing>
      </w:r>
      <w:bookmarkStart w:name="h. Implementation of Comprehensive Treat" w:id="245"/>
      <w:bookmarkEnd w:id="245"/>
      <w:r>
        <w:rPr/>
      </w:r>
      <w:r>
        <w:rPr>
          <w:b/>
          <w:sz w:val="24"/>
        </w:rPr>
        <w:t>Implementation of Comprehensive Treatment and Prevention Strategies to Address Opioid Abuse and SUD/OUD.</w:t>
      </w:r>
      <w:r>
        <w:rPr>
          <w:b/>
          <w:spacing w:val="40"/>
          <w:sz w:val="24"/>
        </w:rPr>
        <w:t> </w:t>
      </w:r>
      <w:r>
        <w:rPr>
          <w:sz w:val="24"/>
        </w:rPr>
        <w:t>The state has implemented opioid prescribing guidelines along with other interventions to prevent prescription drug abuse</w:t>
      </w:r>
      <w:r>
        <w:rPr>
          <w:spacing w:val="-4"/>
          <w:sz w:val="24"/>
        </w:rPr>
        <w:t> </w:t>
      </w:r>
      <w:r>
        <w:rPr>
          <w:sz w:val="24"/>
        </w:rPr>
        <w:t>and</w:t>
      </w:r>
      <w:r>
        <w:rPr>
          <w:spacing w:val="-3"/>
          <w:sz w:val="24"/>
        </w:rPr>
        <w:t> </w:t>
      </w:r>
      <w:r>
        <w:rPr>
          <w:sz w:val="24"/>
        </w:rPr>
        <w:t>expand</w:t>
      </w:r>
      <w:r>
        <w:rPr>
          <w:spacing w:val="-3"/>
          <w:sz w:val="24"/>
        </w:rPr>
        <w:t> </w:t>
      </w:r>
      <w:r>
        <w:rPr>
          <w:sz w:val="24"/>
        </w:rPr>
        <w:t>coverage</w:t>
      </w:r>
      <w:r>
        <w:rPr>
          <w:spacing w:val="-4"/>
          <w:sz w:val="24"/>
        </w:rPr>
        <w:t> </w:t>
      </w:r>
      <w:r>
        <w:rPr>
          <w:sz w:val="24"/>
        </w:rPr>
        <w:t>of</w:t>
      </w:r>
      <w:r>
        <w:rPr>
          <w:spacing w:val="-4"/>
          <w:sz w:val="24"/>
        </w:rPr>
        <w:t> </w:t>
      </w:r>
      <w:r>
        <w:rPr>
          <w:sz w:val="24"/>
        </w:rPr>
        <w:t>and</w:t>
      </w:r>
      <w:r>
        <w:rPr>
          <w:spacing w:val="-3"/>
          <w:sz w:val="24"/>
        </w:rPr>
        <w:t> </w:t>
      </w:r>
      <w:r>
        <w:rPr>
          <w:sz w:val="24"/>
        </w:rPr>
        <w:t>access</w:t>
      </w:r>
      <w:r>
        <w:rPr>
          <w:spacing w:val="-3"/>
          <w:sz w:val="24"/>
        </w:rPr>
        <w:t> </w:t>
      </w:r>
      <w:r>
        <w:rPr>
          <w:sz w:val="24"/>
        </w:rPr>
        <w:t>to</w:t>
      </w:r>
      <w:r>
        <w:rPr>
          <w:spacing w:val="-3"/>
          <w:sz w:val="24"/>
        </w:rPr>
        <w:t> </w:t>
      </w:r>
      <w:r>
        <w:rPr>
          <w:sz w:val="24"/>
        </w:rPr>
        <w:t>naloxone</w:t>
      </w:r>
      <w:r>
        <w:rPr>
          <w:spacing w:val="-4"/>
          <w:sz w:val="24"/>
        </w:rPr>
        <w:t> </w:t>
      </w:r>
      <w:r>
        <w:rPr>
          <w:sz w:val="24"/>
        </w:rPr>
        <w:t>for</w:t>
      </w:r>
      <w:r>
        <w:rPr>
          <w:spacing w:val="-4"/>
          <w:sz w:val="24"/>
        </w:rPr>
        <w:t> </w:t>
      </w:r>
      <w:r>
        <w:rPr>
          <w:sz w:val="24"/>
        </w:rPr>
        <w:t>overdose</w:t>
      </w:r>
      <w:r>
        <w:rPr>
          <w:spacing w:val="-4"/>
          <w:sz w:val="24"/>
        </w:rPr>
        <w:t> </w:t>
      </w:r>
      <w:r>
        <w:rPr>
          <w:sz w:val="24"/>
        </w:rPr>
        <w:t>reversal</w:t>
      </w:r>
      <w:r>
        <w:rPr>
          <w:spacing w:val="-1"/>
          <w:sz w:val="24"/>
        </w:rPr>
        <w:t> </w:t>
      </w:r>
      <w:r>
        <w:rPr>
          <w:sz w:val="24"/>
        </w:rPr>
        <w:t>as</w:t>
      </w:r>
      <w:r>
        <w:rPr>
          <w:spacing w:val="-3"/>
          <w:sz w:val="24"/>
        </w:rPr>
        <w:t> </w:t>
      </w:r>
      <w:r>
        <w:rPr>
          <w:sz w:val="24"/>
        </w:rPr>
        <w:t>well as implementation of strategies to increase utilization and improve functionality</w:t>
      </w:r>
      <w:r>
        <w:rPr>
          <w:spacing w:val="-4"/>
          <w:sz w:val="24"/>
        </w:rPr>
        <w:t> </w:t>
      </w:r>
      <w:r>
        <w:rPr>
          <w:sz w:val="24"/>
        </w:rPr>
        <w:t>of prescription drug monitoring programs.</w:t>
      </w:r>
    </w:p>
    <w:p>
      <w:pPr>
        <w:pStyle w:val="BodyText"/>
        <w:spacing w:before="10"/>
        <w:rPr>
          <w:sz w:val="20"/>
        </w:rPr>
      </w:pPr>
    </w:p>
    <w:p>
      <w:pPr>
        <w:spacing w:before="0"/>
        <w:ind w:left="1411" w:right="1200" w:firstLine="0"/>
        <w:jc w:val="left"/>
        <w:rPr>
          <w:sz w:val="24"/>
        </w:rPr>
      </w:pPr>
      <w:r>
        <w:rPr/>
        <w:drawing>
          <wp:anchor distT="0" distB="0" distL="0" distR="0" allowOverlap="1" layoutInCell="1" locked="0" behindDoc="0" simplePos="0" relativeHeight="15785984">
            <wp:simplePos x="0" y="0"/>
            <wp:positionH relativeFrom="page">
              <wp:posOffset>1429511</wp:posOffset>
            </wp:positionH>
            <wp:positionV relativeFrom="paragraph">
              <wp:posOffset>32551</wp:posOffset>
            </wp:positionV>
            <wp:extent cx="73151" cy="115823"/>
            <wp:effectExtent l="0" t="0" r="0" b="0"/>
            <wp:wrapNone/>
            <wp:docPr id="122" name="Image 122"/>
            <wp:cNvGraphicFramePr>
              <a:graphicFrameLocks/>
            </wp:cNvGraphicFramePr>
            <a:graphic>
              <a:graphicData uri="http://schemas.openxmlformats.org/drawingml/2006/picture">
                <pic:pic>
                  <pic:nvPicPr>
                    <pic:cNvPr id="122" name="Image 122"/>
                    <pic:cNvPicPr/>
                  </pic:nvPicPr>
                  <pic:blipFill>
                    <a:blip r:embed="rId61" cstate="print"/>
                    <a:stretch>
                      <a:fillRect/>
                    </a:stretch>
                  </pic:blipFill>
                  <pic:spPr>
                    <a:xfrm>
                      <a:off x="0" y="0"/>
                      <a:ext cx="73151" cy="115823"/>
                    </a:xfrm>
                    <a:prstGeom prst="rect">
                      <a:avLst/>
                    </a:prstGeom>
                  </pic:spPr>
                </pic:pic>
              </a:graphicData>
            </a:graphic>
          </wp:anchor>
        </w:drawing>
      </w:r>
      <w:bookmarkStart w:name="i. Improved Care Coordination and Transi" w:id="246"/>
      <w:bookmarkEnd w:id="246"/>
      <w:r>
        <w:rPr/>
      </w:r>
      <w:r>
        <w:rPr>
          <w:b/>
          <w:sz w:val="24"/>
        </w:rPr>
        <w:t>Improved</w:t>
      </w:r>
      <w:r>
        <w:rPr>
          <w:b/>
          <w:spacing w:val="-4"/>
          <w:sz w:val="24"/>
        </w:rPr>
        <w:t> </w:t>
      </w:r>
      <w:r>
        <w:rPr>
          <w:b/>
          <w:sz w:val="24"/>
        </w:rPr>
        <w:t>Care</w:t>
      </w:r>
      <w:r>
        <w:rPr>
          <w:b/>
          <w:spacing w:val="-4"/>
          <w:sz w:val="24"/>
        </w:rPr>
        <w:t> </w:t>
      </w:r>
      <w:r>
        <w:rPr>
          <w:b/>
          <w:sz w:val="24"/>
        </w:rPr>
        <w:t>Coordination</w:t>
      </w:r>
      <w:r>
        <w:rPr>
          <w:b/>
          <w:spacing w:val="-4"/>
          <w:sz w:val="24"/>
        </w:rPr>
        <w:t> </w:t>
      </w:r>
      <w:r>
        <w:rPr>
          <w:b/>
          <w:sz w:val="24"/>
        </w:rPr>
        <w:t>and</w:t>
      </w:r>
      <w:r>
        <w:rPr>
          <w:b/>
          <w:spacing w:val="-5"/>
          <w:sz w:val="24"/>
        </w:rPr>
        <w:t> </w:t>
      </w:r>
      <w:r>
        <w:rPr>
          <w:b/>
          <w:sz w:val="24"/>
        </w:rPr>
        <w:t>Transitions</w:t>
      </w:r>
      <w:r>
        <w:rPr>
          <w:b/>
          <w:spacing w:val="-6"/>
          <w:sz w:val="24"/>
        </w:rPr>
        <w:t> </w:t>
      </w:r>
      <w:r>
        <w:rPr>
          <w:b/>
          <w:sz w:val="24"/>
        </w:rPr>
        <w:t>between</w:t>
      </w:r>
      <w:r>
        <w:rPr>
          <w:b/>
          <w:spacing w:val="-4"/>
          <w:sz w:val="24"/>
        </w:rPr>
        <w:t> </w:t>
      </w:r>
      <w:r>
        <w:rPr>
          <w:b/>
          <w:sz w:val="24"/>
        </w:rPr>
        <w:t>levels</w:t>
      </w:r>
      <w:r>
        <w:rPr>
          <w:b/>
          <w:spacing w:val="-4"/>
          <w:sz w:val="24"/>
        </w:rPr>
        <w:t> </w:t>
      </w:r>
      <w:r>
        <w:rPr>
          <w:b/>
          <w:sz w:val="24"/>
        </w:rPr>
        <w:t>of</w:t>
      </w:r>
      <w:r>
        <w:rPr>
          <w:b/>
          <w:spacing w:val="-3"/>
          <w:sz w:val="24"/>
        </w:rPr>
        <w:t> </w:t>
      </w:r>
      <w:r>
        <w:rPr>
          <w:b/>
          <w:sz w:val="24"/>
        </w:rPr>
        <w:t>care.</w:t>
      </w:r>
      <w:r>
        <w:rPr>
          <w:b/>
          <w:spacing w:val="40"/>
          <w:sz w:val="24"/>
        </w:rPr>
        <w:t> </w:t>
      </w:r>
      <w:r>
        <w:rPr>
          <w:sz w:val="24"/>
        </w:rPr>
        <w:t>The</w:t>
      </w:r>
      <w:r>
        <w:rPr>
          <w:spacing w:val="-4"/>
          <w:sz w:val="24"/>
        </w:rPr>
        <w:t> </w:t>
      </w:r>
      <w:r>
        <w:rPr>
          <w:sz w:val="24"/>
        </w:rPr>
        <w:t>state will continue to ensure residential and inpatient facilities link beneficiaries with community-based services and supports following stays in these facilities.</w:t>
      </w:r>
    </w:p>
    <w:p>
      <w:pPr>
        <w:spacing w:after="0"/>
        <w:jc w:val="left"/>
        <w:rPr>
          <w:sz w:val="24"/>
        </w:rPr>
        <w:sectPr>
          <w:pgSz w:w="12240" w:h="15840"/>
          <w:pgMar w:header="0" w:footer="1201" w:top="1360" w:bottom="1400" w:left="1200" w:right="400"/>
        </w:sectPr>
      </w:pPr>
    </w:p>
    <w:p>
      <w:pPr>
        <w:pStyle w:val="BodyText"/>
        <w:spacing w:line="235" w:lineRule="auto" w:before="83"/>
        <w:ind w:left="1411" w:right="1059" w:hanging="384"/>
      </w:pPr>
      <w:r>
        <w:rPr>
          <w:position w:val="-5"/>
        </w:rPr>
        <w:drawing>
          <wp:inline distT="0" distB="0" distL="0" distR="0">
            <wp:extent cx="88391" cy="146303"/>
            <wp:effectExtent l="0" t="0" r="0" b="0"/>
            <wp:docPr id="123" name="Image 123"/>
            <wp:cNvGraphicFramePr>
              <a:graphicFrameLocks/>
            </wp:cNvGraphicFramePr>
            <a:graphic>
              <a:graphicData uri="http://schemas.openxmlformats.org/drawingml/2006/picture">
                <pic:pic>
                  <pic:nvPicPr>
                    <pic:cNvPr id="123" name="Image 123"/>
                    <pic:cNvPicPr/>
                  </pic:nvPicPr>
                  <pic:blipFill>
                    <a:blip r:embed="rId91" cstate="print"/>
                    <a:stretch>
                      <a:fillRect/>
                    </a:stretch>
                  </pic:blipFill>
                  <pic:spPr>
                    <a:xfrm>
                      <a:off x="0" y="0"/>
                      <a:ext cx="88391" cy="146303"/>
                    </a:xfrm>
                    <a:prstGeom prst="rect">
                      <a:avLst/>
                    </a:prstGeom>
                  </pic:spPr>
                </pic:pic>
              </a:graphicData>
            </a:graphic>
          </wp:inline>
        </w:drawing>
      </w:r>
      <w:r>
        <w:rPr>
          <w:position w:val="-5"/>
        </w:rPr>
      </w:r>
      <w:r>
        <w:rPr>
          <w:spacing w:val="185"/>
          <w:sz w:val="20"/>
        </w:rPr>
        <w:t> </w:t>
      </w:r>
      <w:bookmarkStart w:name="j. SUD Health IT Plan.  Implementation o" w:id="247"/>
      <w:bookmarkEnd w:id="247"/>
      <w:r>
        <w:rPr>
          <w:spacing w:val="-6"/>
          <w:sz w:val="20"/>
        </w:rPr>
      </w:r>
      <w:r>
        <w:rPr>
          <w:b/>
        </w:rPr>
        <w:t>SUD</w:t>
      </w:r>
      <w:r>
        <w:rPr>
          <w:b/>
          <w:spacing w:val="-4"/>
        </w:rPr>
        <w:t> </w:t>
      </w:r>
      <w:r>
        <w:rPr>
          <w:b/>
        </w:rPr>
        <w:t>Health</w:t>
      </w:r>
      <w:r>
        <w:rPr>
          <w:b/>
          <w:spacing w:val="-3"/>
        </w:rPr>
        <w:t> </w:t>
      </w:r>
      <w:r>
        <w:rPr>
          <w:b/>
        </w:rPr>
        <w:t>IT</w:t>
      </w:r>
      <w:r>
        <w:rPr>
          <w:b/>
          <w:spacing w:val="-3"/>
        </w:rPr>
        <w:t> </w:t>
      </w:r>
      <w:r>
        <w:rPr>
          <w:b/>
        </w:rPr>
        <w:t>Plan.</w:t>
      </w:r>
      <w:r>
        <w:rPr>
          <w:b/>
          <w:spacing w:val="40"/>
        </w:rPr>
        <w:t> </w:t>
      </w:r>
      <w:r>
        <w:rPr/>
        <w:t>Implementation</w:t>
      </w:r>
      <w:r>
        <w:rPr>
          <w:spacing w:val="-3"/>
        </w:rPr>
        <w:t> </w:t>
      </w:r>
      <w:r>
        <w:rPr/>
        <w:t>of</w:t>
      </w:r>
      <w:r>
        <w:rPr>
          <w:spacing w:val="-4"/>
        </w:rPr>
        <w:t> </w:t>
      </w:r>
      <w:r>
        <w:rPr/>
        <w:t>the</w:t>
      </w:r>
      <w:r>
        <w:rPr>
          <w:spacing w:val="-4"/>
        </w:rPr>
        <w:t> </w:t>
      </w:r>
      <w:r>
        <w:rPr/>
        <w:t>milestones</w:t>
      </w:r>
      <w:r>
        <w:rPr>
          <w:spacing w:val="-3"/>
        </w:rPr>
        <w:t> </w:t>
      </w:r>
      <w:r>
        <w:rPr/>
        <w:t>and</w:t>
      </w:r>
      <w:r>
        <w:rPr>
          <w:spacing w:val="-3"/>
        </w:rPr>
        <w:t> </w:t>
      </w:r>
      <w:r>
        <w:rPr/>
        <w:t>metrics</w:t>
      </w:r>
      <w:r>
        <w:rPr>
          <w:spacing w:val="-1"/>
        </w:rPr>
        <w:t> </w:t>
      </w:r>
      <w:r>
        <w:rPr/>
        <w:t>as</w:t>
      </w:r>
      <w:r>
        <w:rPr>
          <w:spacing w:val="-3"/>
        </w:rPr>
        <w:t> </w:t>
      </w:r>
      <w:r>
        <w:rPr/>
        <w:t>detailed</w:t>
      </w:r>
      <w:r>
        <w:rPr>
          <w:spacing w:val="-3"/>
        </w:rPr>
        <w:t> </w:t>
      </w:r>
      <w:r>
        <w:rPr/>
        <w:t>in STC 6.3 and Attachment D.</w:t>
      </w:r>
    </w:p>
    <w:p>
      <w:pPr>
        <w:pStyle w:val="BodyText"/>
        <w:rPr>
          <w:sz w:val="21"/>
        </w:rPr>
      </w:pPr>
    </w:p>
    <w:p>
      <w:pPr>
        <w:pStyle w:val="BodyText"/>
        <w:ind w:left="871" w:right="1059"/>
      </w:pPr>
      <w:r>
        <w:rPr/>
        <w:drawing>
          <wp:anchor distT="0" distB="0" distL="0" distR="0" allowOverlap="1" layoutInCell="1" locked="0" behindDoc="0" simplePos="0" relativeHeight="15786496">
            <wp:simplePos x="0" y="0"/>
            <wp:positionH relativeFrom="page">
              <wp:posOffset>975360</wp:posOffset>
            </wp:positionH>
            <wp:positionV relativeFrom="paragraph">
              <wp:posOffset>35612</wp:posOffset>
            </wp:positionV>
            <wp:extent cx="217931" cy="112763"/>
            <wp:effectExtent l="0" t="0" r="0" b="0"/>
            <wp:wrapNone/>
            <wp:docPr id="124" name="Image 124"/>
            <wp:cNvGraphicFramePr>
              <a:graphicFrameLocks/>
            </wp:cNvGraphicFramePr>
            <a:graphic>
              <a:graphicData uri="http://schemas.openxmlformats.org/drawingml/2006/picture">
                <pic:pic>
                  <pic:nvPicPr>
                    <pic:cNvPr id="124" name="Image 124"/>
                    <pic:cNvPicPr/>
                  </pic:nvPicPr>
                  <pic:blipFill>
                    <a:blip r:embed="rId92" cstate="print"/>
                    <a:stretch>
                      <a:fillRect/>
                    </a:stretch>
                  </pic:blipFill>
                  <pic:spPr>
                    <a:xfrm>
                      <a:off x="0" y="0"/>
                      <a:ext cx="217931" cy="112763"/>
                    </a:xfrm>
                    <a:prstGeom prst="rect">
                      <a:avLst/>
                    </a:prstGeom>
                  </pic:spPr>
                </pic:pic>
              </a:graphicData>
            </a:graphic>
          </wp:anchor>
        </w:drawing>
      </w:r>
      <w:bookmarkStart w:name="6.3. SUD Health Information Technology P" w:id="248"/>
      <w:bookmarkEnd w:id="248"/>
      <w:r>
        <w:rPr/>
      </w:r>
      <w:r>
        <w:rPr>
          <w:b/>
        </w:rPr>
        <w:t>SUD Health Information Technology Plan (“SUD Health IT Plan”).</w:t>
      </w:r>
      <w:r>
        <w:rPr>
          <w:b/>
          <w:spacing w:val="40"/>
        </w:rPr>
        <w:t> </w:t>
      </w:r>
      <w:r>
        <w:rPr/>
        <w:t>The SUD Health IT plan applies to all states where the health IT functionalities are expected to impact beneficiaries</w:t>
      </w:r>
      <w:r>
        <w:rPr>
          <w:spacing w:val="-3"/>
        </w:rPr>
        <w:t> </w:t>
      </w:r>
      <w:r>
        <w:rPr/>
        <w:t>within</w:t>
      </w:r>
      <w:r>
        <w:rPr>
          <w:spacing w:val="-3"/>
        </w:rPr>
        <w:t> </w:t>
      </w:r>
      <w:r>
        <w:rPr/>
        <w:t>the</w:t>
      </w:r>
      <w:r>
        <w:rPr>
          <w:spacing w:val="-4"/>
        </w:rPr>
        <w:t> </w:t>
      </w:r>
      <w:r>
        <w:rPr/>
        <w:t>demonstration.</w:t>
      </w:r>
      <w:r>
        <w:rPr>
          <w:spacing w:val="40"/>
        </w:rPr>
        <w:t> </w:t>
      </w:r>
      <w:r>
        <w:rPr/>
        <w:t>As</w:t>
      </w:r>
      <w:r>
        <w:rPr>
          <w:spacing w:val="-3"/>
        </w:rPr>
        <w:t> </w:t>
      </w:r>
      <w:r>
        <w:rPr/>
        <w:t>outlined</w:t>
      </w:r>
      <w:r>
        <w:rPr>
          <w:spacing w:val="-3"/>
        </w:rPr>
        <w:t> </w:t>
      </w:r>
      <w:r>
        <w:rPr/>
        <w:t>in</w:t>
      </w:r>
      <w:r>
        <w:rPr>
          <w:spacing w:val="-3"/>
        </w:rPr>
        <w:t> </w:t>
      </w:r>
      <w:r>
        <w:rPr/>
        <w:t>SMDL</w:t>
      </w:r>
      <w:r>
        <w:rPr>
          <w:spacing w:val="-8"/>
        </w:rPr>
        <w:t> </w:t>
      </w:r>
      <w:r>
        <w:rPr/>
        <w:t>#17-003,</w:t>
      </w:r>
      <w:r>
        <w:rPr>
          <w:spacing w:val="-3"/>
        </w:rPr>
        <w:t> </w:t>
      </w:r>
      <w:r>
        <w:rPr/>
        <w:t>states</w:t>
      </w:r>
      <w:r>
        <w:rPr>
          <w:spacing w:val="-3"/>
        </w:rPr>
        <w:t> </w:t>
      </w:r>
      <w:r>
        <w:rPr/>
        <w:t>must</w:t>
      </w:r>
      <w:r>
        <w:rPr>
          <w:spacing w:val="-3"/>
        </w:rPr>
        <w:t> </w:t>
      </w:r>
      <w:r>
        <w:rPr/>
        <w:t>submit to CMS the applicable SUD Health IT Plan(s), to be included as Attachment D to the STCs, to develop infrastructure and capabilities consistent with the requirements outlined in each demonstration-type.</w:t>
      </w:r>
    </w:p>
    <w:p>
      <w:pPr>
        <w:pStyle w:val="BodyText"/>
        <w:spacing w:before="10"/>
        <w:rPr>
          <w:sz w:val="20"/>
        </w:rPr>
      </w:pPr>
    </w:p>
    <w:p>
      <w:pPr>
        <w:pStyle w:val="BodyText"/>
        <w:ind w:left="1411" w:right="1072"/>
      </w:pPr>
      <w:r>
        <w:rPr/>
        <w:drawing>
          <wp:anchor distT="0" distB="0" distL="0" distR="0" allowOverlap="1" layoutInCell="1" locked="0" behindDoc="0" simplePos="0" relativeHeight="15787008">
            <wp:simplePos x="0" y="0"/>
            <wp:positionH relativeFrom="page">
              <wp:posOffset>1431036</wp:posOffset>
            </wp:positionH>
            <wp:positionV relativeFrom="paragraph">
              <wp:posOffset>67603</wp:posOffset>
            </wp:positionV>
            <wp:extent cx="96011" cy="80771"/>
            <wp:effectExtent l="0" t="0" r="0" b="0"/>
            <wp:wrapNone/>
            <wp:docPr id="125" name="Image 125"/>
            <wp:cNvGraphicFramePr>
              <a:graphicFrameLocks/>
            </wp:cNvGraphicFramePr>
            <a:graphic>
              <a:graphicData uri="http://schemas.openxmlformats.org/drawingml/2006/picture">
                <pic:pic>
                  <pic:nvPicPr>
                    <pic:cNvPr id="125" name="Image 125"/>
                    <pic:cNvPicPr/>
                  </pic:nvPicPr>
                  <pic:blipFill>
                    <a:blip r:embed="rId29" cstate="print"/>
                    <a:stretch>
                      <a:fillRect/>
                    </a:stretch>
                  </pic:blipFill>
                  <pic:spPr>
                    <a:xfrm>
                      <a:off x="0" y="0"/>
                      <a:ext cx="96011" cy="80771"/>
                    </a:xfrm>
                    <a:prstGeom prst="rect">
                      <a:avLst/>
                    </a:prstGeom>
                  </pic:spPr>
                </pic:pic>
              </a:graphicData>
            </a:graphic>
          </wp:anchor>
        </w:drawing>
      </w:r>
      <w:bookmarkStart w:name="a. The SUD Health IT Plan must detail th" w:id="249"/>
      <w:bookmarkEnd w:id="249"/>
      <w:r>
        <w:rPr/>
      </w:r>
      <w:r>
        <w:rPr/>
        <w:t>The SUD Health IT Plan must detail the necessary health IT capabilities in place to support beneficiary</w:t>
      </w:r>
      <w:r>
        <w:rPr>
          <w:spacing w:val="-1"/>
        </w:rPr>
        <w:t> </w:t>
      </w:r>
      <w:r>
        <w:rPr/>
        <w:t>health outcomes to address the SUD goals of the demonstration. The</w:t>
      </w:r>
      <w:r>
        <w:rPr>
          <w:spacing w:val="-4"/>
        </w:rPr>
        <w:t> </w:t>
      </w:r>
      <w:r>
        <w:rPr/>
        <w:t>SUD</w:t>
      </w:r>
      <w:r>
        <w:rPr>
          <w:spacing w:val="-4"/>
        </w:rPr>
        <w:t> </w:t>
      </w:r>
      <w:r>
        <w:rPr/>
        <w:t>Health</w:t>
      </w:r>
      <w:r>
        <w:rPr>
          <w:spacing w:val="-1"/>
        </w:rPr>
        <w:t> </w:t>
      </w:r>
      <w:r>
        <w:rPr/>
        <w:t>IT</w:t>
      </w:r>
      <w:r>
        <w:rPr>
          <w:spacing w:val="-4"/>
        </w:rPr>
        <w:t> </w:t>
      </w:r>
      <w:r>
        <w:rPr/>
        <w:t>Plan(s)</w:t>
      </w:r>
      <w:r>
        <w:rPr>
          <w:spacing w:val="-4"/>
        </w:rPr>
        <w:t> </w:t>
      </w:r>
      <w:r>
        <w:rPr/>
        <w:t>will</w:t>
      </w:r>
      <w:r>
        <w:rPr>
          <w:spacing w:val="-3"/>
        </w:rPr>
        <w:t> </w:t>
      </w:r>
      <w:r>
        <w:rPr/>
        <w:t>also</w:t>
      </w:r>
      <w:r>
        <w:rPr>
          <w:spacing w:val="-3"/>
        </w:rPr>
        <w:t> </w:t>
      </w:r>
      <w:r>
        <w:rPr/>
        <w:t>be</w:t>
      </w:r>
      <w:r>
        <w:rPr>
          <w:spacing w:val="-4"/>
        </w:rPr>
        <w:t> </w:t>
      </w:r>
      <w:r>
        <w:rPr/>
        <w:t>used</w:t>
      </w:r>
      <w:r>
        <w:rPr>
          <w:spacing w:val="-3"/>
        </w:rPr>
        <w:t> </w:t>
      </w:r>
      <w:r>
        <w:rPr/>
        <w:t>to</w:t>
      </w:r>
      <w:r>
        <w:rPr>
          <w:spacing w:val="-3"/>
        </w:rPr>
        <w:t> </w:t>
      </w:r>
      <w:r>
        <w:rPr/>
        <w:t>identify</w:t>
      </w:r>
      <w:r>
        <w:rPr>
          <w:spacing w:val="-6"/>
        </w:rPr>
        <w:t> </w:t>
      </w:r>
      <w:r>
        <w:rPr/>
        <w:t>areas</w:t>
      </w:r>
      <w:r>
        <w:rPr>
          <w:spacing w:val="-3"/>
        </w:rPr>
        <w:t> </w:t>
      </w:r>
      <w:r>
        <w:rPr/>
        <w:t>of</w:t>
      </w:r>
      <w:r>
        <w:rPr>
          <w:spacing w:val="-4"/>
        </w:rPr>
        <w:t> </w:t>
      </w:r>
      <w:r>
        <w:rPr/>
        <w:t>health</w:t>
      </w:r>
      <w:r>
        <w:rPr>
          <w:spacing w:val="-1"/>
        </w:rPr>
        <w:t> </w:t>
      </w:r>
      <w:r>
        <w:rPr/>
        <w:t>IT</w:t>
      </w:r>
      <w:r>
        <w:rPr>
          <w:spacing w:val="-1"/>
        </w:rPr>
        <w:t> </w:t>
      </w:r>
      <w:r>
        <w:rPr/>
        <w:t>ecosystem improvement.</w:t>
      </w:r>
      <w:r>
        <w:rPr>
          <w:spacing w:val="80"/>
        </w:rPr>
        <w:t> </w:t>
      </w:r>
      <w:r>
        <w:rPr/>
        <w:t>The SUD Health IT Plan must include implementation milestones and projected dates for achieving them (see Attachment D), and must be aligned</w:t>
      </w:r>
      <w:r>
        <w:rPr>
          <w:spacing w:val="40"/>
        </w:rPr>
        <w:t> </w:t>
      </w:r>
      <w:r>
        <w:rPr/>
        <w:t>with the Commonwealth’s broader State Medicaid Health IT Plan (SMHP) and, if applicable, the Commonwealth’s SMI IT Health Plan.</w:t>
      </w:r>
    </w:p>
    <w:p>
      <w:pPr>
        <w:pStyle w:val="BodyText"/>
        <w:spacing w:before="10"/>
        <w:rPr>
          <w:sz w:val="20"/>
        </w:rPr>
      </w:pPr>
    </w:p>
    <w:p>
      <w:pPr>
        <w:pStyle w:val="BodyText"/>
        <w:ind w:left="1411" w:right="1059"/>
      </w:pPr>
      <w:r>
        <w:rPr/>
        <w:drawing>
          <wp:anchor distT="0" distB="0" distL="0" distR="0" allowOverlap="1" layoutInCell="1" locked="0" behindDoc="0" simplePos="0" relativeHeight="15787520">
            <wp:simplePos x="0" y="0"/>
            <wp:positionH relativeFrom="page">
              <wp:posOffset>1424939</wp:posOffset>
            </wp:positionH>
            <wp:positionV relativeFrom="paragraph">
              <wp:posOffset>32551</wp:posOffset>
            </wp:positionV>
            <wp:extent cx="111251" cy="115823"/>
            <wp:effectExtent l="0" t="0" r="0" b="0"/>
            <wp:wrapNone/>
            <wp:docPr id="126" name="Image 126"/>
            <wp:cNvGraphicFramePr>
              <a:graphicFrameLocks/>
            </wp:cNvGraphicFramePr>
            <a:graphic>
              <a:graphicData uri="http://schemas.openxmlformats.org/drawingml/2006/picture">
                <pic:pic>
                  <pic:nvPicPr>
                    <pic:cNvPr id="126" name="Image 126"/>
                    <pic:cNvPicPr/>
                  </pic:nvPicPr>
                  <pic:blipFill>
                    <a:blip r:embed="rId34" cstate="print"/>
                    <a:stretch>
                      <a:fillRect/>
                    </a:stretch>
                  </pic:blipFill>
                  <pic:spPr>
                    <a:xfrm>
                      <a:off x="0" y="0"/>
                      <a:ext cx="111251" cy="115823"/>
                    </a:xfrm>
                    <a:prstGeom prst="rect">
                      <a:avLst/>
                    </a:prstGeom>
                  </pic:spPr>
                </pic:pic>
              </a:graphicData>
            </a:graphic>
          </wp:anchor>
        </w:drawing>
      </w:r>
      <w:bookmarkStart w:name="b. The Commonwealth must include in its " w:id="250"/>
      <w:bookmarkEnd w:id="250"/>
      <w:r>
        <w:rPr/>
      </w:r>
      <w:r>
        <w:rPr/>
        <w:t>The Commonwealth must include in its Monitoring Protocol (see STC 6.5) an approach</w:t>
      </w:r>
      <w:r>
        <w:rPr>
          <w:spacing w:val="-4"/>
        </w:rPr>
        <w:t> </w:t>
      </w:r>
      <w:r>
        <w:rPr/>
        <w:t>to</w:t>
      </w:r>
      <w:r>
        <w:rPr>
          <w:spacing w:val="-4"/>
        </w:rPr>
        <w:t> </w:t>
      </w:r>
      <w:r>
        <w:rPr/>
        <w:t>monitoring</w:t>
      </w:r>
      <w:r>
        <w:rPr>
          <w:spacing w:val="-7"/>
        </w:rPr>
        <w:t> </w:t>
      </w:r>
      <w:r>
        <w:rPr/>
        <w:t>its</w:t>
      </w:r>
      <w:r>
        <w:rPr>
          <w:spacing w:val="-4"/>
        </w:rPr>
        <w:t> </w:t>
      </w:r>
      <w:r>
        <w:rPr/>
        <w:t>SUD</w:t>
      </w:r>
      <w:r>
        <w:rPr>
          <w:spacing w:val="-5"/>
        </w:rPr>
        <w:t> </w:t>
      </w:r>
      <w:r>
        <w:rPr/>
        <w:t>Health</w:t>
      </w:r>
      <w:r>
        <w:rPr>
          <w:spacing w:val="-2"/>
        </w:rPr>
        <w:t> </w:t>
      </w:r>
      <w:r>
        <w:rPr/>
        <w:t>IT</w:t>
      </w:r>
      <w:r>
        <w:rPr>
          <w:spacing w:val="-5"/>
        </w:rPr>
        <w:t> </w:t>
      </w:r>
      <w:r>
        <w:rPr/>
        <w:t>Plan</w:t>
      </w:r>
      <w:r>
        <w:rPr>
          <w:spacing w:val="-4"/>
        </w:rPr>
        <w:t> </w:t>
      </w:r>
      <w:r>
        <w:rPr/>
        <w:t>which</w:t>
      </w:r>
      <w:r>
        <w:rPr>
          <w:spacing w:val="-4"/>
        </w:rPr>
        <w:t> </w:t>
      </w:r>
      <w:r>
        <w:rPr/>
        <w:t>will</w:t>
      </w:r>
      <w:r>
        <w:rPr>
          <w:spacing w:val="-4"/>
        </w:rPr>
        <w:t> </w:t>
      </w:r>
      <w:r>
        <w:rPr/>
        <w:t>include</w:t>
      </w:r>
      <w:r>
        <w:rPr>
          <w:spacing w:val="-5"/>
        </w:rPr>
        <w:t> </w:t>
      </w:r>
      <w:r>
        <w:rPr/>
        <w:t>performance metrics to be approved in advance by CMS.</w:t>
      </w:r>
    </w:p>
    <w:p>
      <w:pPr>
        <w:pStyle w:val="BodyText"/>
        <w:spacing w:before="10"/>
        <w:rPr>
          <w:sz w:val="20"/>
        </w:rPr>
      </w:pPr>
    </w:p>
    <w:p>
      <w:pPr>
        <w:pStyle w:val="BodyText"/>
        <w:ind w:left="1411" w:right="1182"/>
        <w:jc w:val="both"/>
      </w:pPr>
      <w:r>
        <w:rPr/>
        <w:drawing>
          <wp:anchor distT="0" distB="0" distL="0" distR="0" allowOverlap="1" layoutInCell="1" locked="0" behindDoc="0" simplePos="0" relativeHeight="15788032">
            <wp:simplePos x="0" y="0"/>
            <wp:positionH relativeFrom="page">
              <wp:posOffset>1431036</wp:posOffset>
            </wp:positionH>
            <wp:positionV relativeFrom="paragraph">
              <wp:posOffset>67603</wp:posOffset>
            </wp:positionV>
            <wp:extent cx="96011" cy="80771"/>
            <wp:effectExtent l="0" t="0" r="0" b="0"/>
            <wp:wrapNone/>
            <wp:docPr id="127" name="Image 127"/>
            <wp:cNvGraphicFramePr>
              <a:graphicFrameLocks/>
            </wp:cNvGraphicFramePr>
            <a:graphic>
              <a:graphicData uri="http://schemas.openxmlformats.org/drawingml/2006/picture">
                <pic:pic>
                  <pic:nvPicPr>
                    <pic:cNvPr id="127" name="Image 127"/>
                    <pic:cNvPicPr/>
                  </pic:nvPicPr>
                  <pic:blipFill>
                    <a:blip r:embed="rId41" cstate="print"/>
                    <a:stretch>
                      <a:fillRect/>
                    </a:stretch>
                  </pic:blipFill>
                  <pic:spPr>
                    <a:xfrm>
                      <a:off x="0" y="0"/>
                      <a:ext cx="96011" cy="80771"/>
                    </a:xfrm>
                    <a:prstGeom prst="rect">
                      <a:avLst/>
                    </a:prstGeom>
                  </pic:spPr>
                </pic:pic>
              </a:graphicData>
            </a:graphic>
          </wp:anchor>
        </w:drawing>
      </w:r>
      <w:bookmarkStart w:name="c. The state will monitor progress, each" w:id="251"/>
      <w:bookmarkEnd w:id="251"/>
      <w:r>
        <w:rPr/>
      </w:r>
      <w:r>
        <w:rPr/>
        <w:t>The</w:t>
      </w:r>
      <w:r>
        <w:rPr>
          <w:spacing w:val="-3"/>
        </w:rPr>
        <w:t> </w:t>
      </w:r>
      <w:r>
        <w:rPr/>
        <w:t>state</w:t>
      </w:r>
      <w:r>
        <w:rPr>
          <w:spacing w:val="-3"/>
        </w:rPr>
        <w:t> </w:t>
      </w:r>
      <w:r>
        <w:rPr/>
        <w:t>will</w:t>
      </w:r>
      <w:r>
        <w:rPr>
          <w:spacing w:val="-2"/>
        </w:rPr>
        <w:t> </w:t>
      </w:r>
      <w:r>
        <w:rPr/>
        <w:t>monitor</w:t>
      </w:r>
      <w:r>
        <w:rPr>
          <w:spacing w:val="-3"/>
        </w:rPr>
        <w:t> </w:t>
      </w:r>
      <w:r>
        <w:rPr/>
        <w:t>progress,</w:t>
      </w:r>
      <w:r>
        <w:rPr>
          <w:spacing w:val="-2"/>
        </w:rPr>
        <w:t> </w:t>
      </w:r>
      <w:r>
        <w:rPr/>
        <w:t>each</w:t>
      </w:r>
      <w:r>
        <w:rPr>
          <w:spacing w:val="-2"/>
        </w:rPr>
        <w:t> </w:t>
      </w:r>
      <w:r>
        <w:rPr/>
        <w:t>DY,</w:t>
      </w:r>
      <w:r>
        <w:rPr>
          <w:spacing w:val="-2"/>
        </w:rPr>
        <w:t> </w:t>
      </w:r>
      <w:r>
        <w:rPr/>
        <w:t>on</w:t>
      </w:r>
      <w:r>
        <w:rPr>
          <w:spacing w:val="-2"/>
        </w:rPr>
        <w:t> </w:t>
      </w:r>
      <w:r>
        <w:rPr/>
        <w:t>the</w:t>
      </w:r>
      <w:r>
        <w:rPr>
          <w:spacing w:val="-3"/>
        </w:rPr>
        <w:t> </w:t>
      </w:r>
      <w:r>
        <w:rPr/>
        <w:t>implementation</w:t>
      </w:r>
      <w:r>
        <w:rPr>
          <w:spacing w:val="-2"/>
        </w:rPr>
        <w:t> </w:t>
      </w:r>
      <w:r>
        <w:rPr/>
        <w:t>of</w:t>
      </w:r>
      <w:r>
        <w:rPr>
          <w:spacing w:val="-3"/>
        </w:rPr>
        <w:t> </w:t>
      </w:r>
      <w:r>
        <w:rPr/>
        <w:t>its</w:t>
      </w:r>
      <w:r>
        <w:rPr>
          <w:spacing w:val="-2"/>
        </w:rPr>
        <w:t> </w:t>
      </w:r>
      <w:r>
        <w:rPr/>
        <w:t>SUD</w:t>
      </w:r>
      <w:r>
        <w:rPr>
          <w:spacing w:val="-3"/>
        </w:rPr>
        <w:t> </w:t>
      </w:r>
      <w:r>
        <w:rPr/>
        <w:t>Health IT</w:t>
      </w:r>
      <w:r>
        <w:rPr>
          <w:spacing w:val="-4"/>
        </w:rPr>
        <w:t> </w:t>
      </w:r>
      <w:r>
        <w:rPr/>
        <w:t>Plan</w:t>
      </w:r>
      <w:r>
        <w:rPr>
          <w:spacing w:val="-3"/>
        </w:rPr>
        <w:t> </w:t>
      </w:r>
      <w:r>
        <w:rPr/>
        <w:t>in</w:t>
      </w:r>
      <w:r>
        <w:rPr>
          <w:spacing w:val="-3"/>
        </w:rPr>
        <w:t> </w:t>
      </w:r>
      <w:r>
        <w:rPr/>
        <w:t>relationship</w:t>
      </w:r>
      <w:r>
        <w:rPr>
          <w:spacing w:val="-3"/>
        </w:rPr>
        <w:t> </w:t>
      </w:r>
      <w:r>
        <w:rPr/>
        <w:t>to</w:t>
      </w:r>
      <w:r>
        <w:rPr>
          <w:spacing w:val="-3"/>
        </w:rPr>
        <w:t> </w:t>
      </w:r>
      <w:r>
        <w:rPr/>
        <w:t>its</w:t>
      </w:r>
      <w:r>
        <w:rPr>
          <w:spacing w:val="-3"/>
        </w:rPr>
        <w:t> </w:t>
      </w:r>
      <w:r>
        <w:rPr/>
        <w:t>milestones</w:t>
      </w:r>
      <w:r>
        <w:rPr>
          <w:spacing w:val="-3"/>
        </w:rPr>
        <w:t> </w:t>
      </w:r>
      <w:r>
        <w:rPr/>
        <w:t>and</w:t>
      </w:r>
      <w:r>
        <w:rPr>
          <w:spacing w:val="-3"/>
        </w:rPr>
        <w:t> </w:t>
      </w:r>
      <w:r>
        <w:rPr/>
        <w:t>timelines—and</w:t>
      </w:r>
      <w:r>
        <w:rPr>
          <w:spacing w:val="-3"/>
        </w:rPr>
        <w:t> </w:t>
      </w:r>
      <w:r>
        <w:rPr/>
        <w:t>report</w:t>
      </w:r>
      <w:r>
        <w:rPr>
          <w:spacing w:val="-3"/>
        </w:rPr>
        <w:t> </w:t>
      </w:r>
      <w:r>
        <w:rPr/>
        <w:t>on</w:t>
      </w:r>
      <w:r>
        <w:rPr>
          <w:spacing w:val="-3"/>
        </w:rPr>
        <w:t> </w:t>
      </w:r>
      <w:r>
        <w:rPr/>
        <w:t>its</w:t>
      </w:r>
      <w:r>
        <w:rPr>
          <w:spacing w:val="-3"/>
        </w:rPr>
        <w:t> </w:t>
      </w:r>
      <w:r>
        <w:rPr/>
        <w:t>progress</w:t>
      </w:r>
      <w:r>
        <w:rPr>
          <w:spacing w:val="-3"/>
        </w:rPr>
        <w:t> </w:t>
      </w:r>
      <w:r>
        <w:rPr/>
        <w:t>to CMS in an addendum to its Annual Report (see STC 16.5).</w:t>
      </w:r>
    </w:p>
    <w:p>
      <w:pPr>
        <w:pStyle w:val="BodyText"/>
        <w:spacing w:before="10"/>
        <w:rPr>
          <w:sz w:val="20"/>
        </w:rPr>
      </w:pPr>
    </w:p>
    <w:p>
      <w:pPr>
        <w:pStyle w:val="BodyText"/>
        <w:ind w:left="1411" w:right="1041"/>
      </w:pPr>
      <w:r>
        <w:rPr/>
        <w:drawing>
          <wp:anchor distT="0" distB="0" distL="0" distR="0" allowOverlap="1" layoutInCell="1" locked="0" behindDoc="0" simplePos="0" relativeHeight="15788544">
            <wp:simplePos x="0" y="0"/>
            <wp:positionH relativeFrom="page">
              <wp:posOffset>1431036</wp:posOffset>
            </wp:positionH>
            <wp:positionV relativeFrom="paragraph">
              <wp:posOffset>32551</wp:posOffset>
            </wp:positionV>
            <wp:extent cx="105155" cy="115823"/>
            <wp:effectExtent l="0" t="0" r="0" b="0"/>
            <wp:wrapNone/>
            <wp:docPr id="128" name="Image 128"/>
            <wp:cNvGraphicFramePr>
              <a:graphicFrameLocks/>
            </wp:cNvGraphicFramePr>
            <a:graphic>
              <a:graphicData uri="http://schemas.openxmlformats.org/drawingml/2006/picture">
                <pic:pic>
                  <pic:nvPicPr>
                    <pic:cNvPr id="128" name="Image 128"/>
                    <pic:cNvPicPr/>
                  </pic:nvPicPr>
                  <pic:blipFill>
                    <a:blip r:embed="rId93" cstate="print"/>
                    <a:stretch>
                      <a:fillRect/>
                    </a:stretch>
                  </pic:blipFill>
                  <pic:spPr>
                    <a:xfrm>
                      <a:off x="0" y="0"/>
                      <a:ext cx="105155" cy="115823"/>
                    </a:xfrm>
                    <a:prstGeom prst="rect">
                      <a:avLst/>
                    </a:prstGeom>
                  </pic:spPr>
                </pic:pic>
              </a:graphicData>
            </a:graphic>
          </wp:anchor>
        </w:drawing>
      </w:r>
      <w:bookmarkStart w:name="d. As applicable, the Commonwealth shoul" w:id="252"/>
      <w:bookmarkEnd w:id="252"/>
      <w:r>
        <w:rPr/>
      </w:r>
      <w:r>
        <w:rPr/>
        <w:t>As applicable, the Commonwealth should advance the standards identified in the ‘Interoperability</w:t>
      </w:r>
      <w:r>
        <w:rPr>
          <w:spacing w:val="-11"/>
        </w:rPr>
        <w:t> </w:t>
      </w:r>
      <w:r>
        <w:rPr/>
        <w:t>Standards</w:t>
      </w:r>
      <w:r>
        <w:rPr>
          <w:spacing w:val="-6"/>
        </w:rPr>
        <w:t> </w:t>
      </w:r>
      <w:r>
        <w:rPr/>
        <w:t>Advisory—Best</w:t>
      </w:r>
      <w:r>
        <w:rPr>
          <w:spacing w:val="-6"/>
        </w:rPr>
        <w:t> </w:t>
      </w:r>
      <w:r>
        <w:rPr/>
        <w:t>Available</w:t>
      </w:r>
      <w:r>
        <w:rPr>
          <w:spacing w:val="-7"/>
        </w:rPr>
        <w:t> </w:t>
      </w:r>
      <w:r>
        <w:rPr/>
        <w:t>Standards</w:t>
      </w:r>
      <w:r>
        <w:rPr>
          <w:spacing w:val="-6"/>
        </w:rPr>
        <w:t> </w:t>
      </w:r>
      <w:r>
        <w:rPr/>
        <w:t>and</w:t>
      </w:r>
      <w:r>
        <w:rPr>
          <w:spacing w:val="-3"/>
        </w:rPr>
        <w:t> </w:t>
      </w:r>
      <w:r>
        <w:rPr/>
        <w:t>Implementation Specifications’ (ISA) in developing and implementing the state’s SUD health IT policies and in all related applicable State procurements (e.g., including managed care contracts) that are associated with this demonstration.</w:t>
      </w:r>
    </w:p>
    <w:p>
      <w:pPr>
        <w:pStyle w:val="BodyText"/>
        <w:spacing w:before="10"/>
        <w:rPr>
          <w:sz w:val="20"/>
        </w:rPr>
      </w:pPr>
    </w:p>
    <w:p>
      <w:pPr>
        <w:pStyle w:val="BodyText"/>
        <w:ind w:left="1411" w:right="1117"/>
      </w:pPr>
      <w:r>
        <w:rPr/>
        <w:drawing>
          <wp:anchor distT="0" distB="0" distL="0" distR="0" allowOverlap="1" layoutInCell="1" locked="0" behindDoc="0" simplePos="0" relativeHeight="15789056">
            <wp:simplePos x="0" y="0"/>
            <wp:positionH relativeFrom="page">
              <wp:posOffset>1431036</wp:posOffset>
            </wp:positionH>
            <wp:positionV relativeFrom="paragraph">
              <wp:posOffset>67603</wp:posOffset>
            </wp:positionV>
            <wp:extent cx="96011" cy="80771"/>
            <wp:effectExtent l="0" t="0" r="0" b="0"/>
            <wp:wrapNone/>
            <wp:docPr id="129" name="Image 129"/>
            <wp:cNvGraphicFramePr>
              <a:graphicFrameLocks/>
            </wp:cNvGraphicFramePr>
            <a:graphic>
              <a:graphicData uri="http://schemas.openxmlformats.org/drawingml/2006/picture">
                <pic:pic>
                  <pic:nvPicPr>
                    <pic:cNvPr id="129" name="Image 129"/>
                    <pic:cNvPicPr/>
                  </pic:nvPicPr>
                  <pic:blipFill>
                    <a:blip r:embed="rId37" cstate="print"/>
                    <a:stretch>
                      <a:fillRect/>
                    </a:stretch>
                  </pic:blipFill>
                  <pic:spPr>
                    <a:xfrm>
                      <a:off x="0" y="0"/>
                      <a:ext cx="96011" cy="80771"/>
                    </a:xfrm>
                    <a:prstGeom prst="rect">
                      <a:avLst/>
                    </a:prstGeom>
                  </pic:spPr>
                </pic:pic>
              </a:graphicData>
            </a:graphic>
          </wp:anchor>
        </w:drawing>
      </w:r>
      <w:bookmarkStart w:name="e. Where there are opportunities at the " w:id="253"/>
      <w:bookmarkEnd w:id="253"/>
      <w:r>
        <w:rPr/>
      </w:r>
      <w:r>
        <w:rPr/>
        <w:t>Where there are opportunities at the state and provider-level (up to and including usage in MCO or ACO participation agreements) to leverage federal funds associated</w:t>
      </w:r>
      <w:r>
        <w:rPr>
          <w:spacing w:val="-3"/>
        </w:rPr>
        <w:t> </w:t>
      </w:r>
      <w:r>
        <w:rPr/>
        <w:t>with</w:t>
      </w:r>
      <w:r>
        <w:rPr>
          <w:spacing w:val="-3"/>
        </w:rPr>
        <w:t> </w:t>
      </w:r>
      <w:r>
        <w:rPr/>
        <w:t>a</w:t>
      </w:r>
      <w:r>
        <w:rPr>
          <w:spacing w:val="-4"/>
        </w:rPr>
        <w:t> </w:t>
      </w:r>
      <w:r>
        <w:rPr/>
        <w:t>standard</w:t>
      </w:r>
      <w:r>
        <w:rPr>
          <w:spacing w:val="-3"/>
        </w:rPr>
        <w:t> </w:t>
      </w:r>
      <w:r>
        <w:rPr/>
        <w:t>referenced</w:t>
      </w:r>
      <w:r>
        <w:rPr>
          <w:spacing w:val="-3"/>
        </w:rPr>
        <w:t> </w:t>
      </w:r>
      <w:r>
        <w:rPr/>
        <w:t>in</w:t>
      </w:r>
      <w:r>
        <w:rPr>
          <w:spacing w:val="-3"/>
        </w:rPr>
        <w:t> </w:t>
      </w:r>
      <w:r>
        <w:rPr/>
        <w:t>45</w:t>
      </w:r>
      <w:r>
        <w:rPr>
          <w:spacing w:val="-3"/>
        </w:rPr>
        <w:t> </w:t>
      </w:r>
      <w:r>
        <w:rPr/>
        <w:t>CFR</w:t>
      </w:r>
      <w:r>
        <w:rPr>
          <w:spacing w:val="-3"/>
        </w:rPr>
        <w:t> </w:t>
      </w:r>
      <w:r>
        <w:rPr/>
        <w:t>170</w:t>
      </w:r>
      <w:r>
        <w:rPr>
          <w:spacing w:val="-3"/>
        </w:rPr>
        <w:t> </w:t>
      </w:r>
      <w:r>
        <w:rPr/>
        <w:t>Subpart</w:t>
      </w:r>
      <w:r>
        <w:rPr>
          <w:spacing w:val="-3"/>
        </w:rPr>
        <w:t> </w:t>
      </w:r>
      <w:r>
        <w:rPr/>
        <w:t>B,</w:t>
      </w:r>
      <w:r>
        <w:rPr>
          <w:spacing w:val="-3"/>
        </w:rPr>
        <w:t> </w:t>
      </w:r>
      <w:r>
        <w:rPr/>
        <w:t>the</w:t>
      </w:r>
      <w:r>
        <w:rPr>
          <w:spacing w:val="-4"/>
        </w:rPr>
        <w:t> </w:t>
      </w:r>
      <w:r>
        <w:rPr/>
        <w:t>Commonwealth should use the federally-recognized standards, barring another compelling state </w:t>
      </w:r>
      <w:r>
        <w:rPr>
          <w:spacing w:val="-2"/>
        </w:rPr>
        <w:t>interest.</w:t>
      </w:r>
    </w:p>
    <w:p>
      <w:pPr>
        <w:pStyle w:val="BodyText"/>
        <w:spacing w:before="10"/>
        <w:rPr>
          <w:sz w:val="20"/>
        </w:rPr>
      </w:pPr>
    </w:p>
    <w:p>
      <w:pPr>
        <w:pStyle w:val="BodyText"/>
        <w:spacing w:before="1"/>
        <w:ind w:left="1411" w:right="1086"/>
      </w:pPr>
      <w:r>
        <w:rPr/>
        <w:drawing>
          <wp:anchor distT="0" distB="0" distL="0" distR="0" allowOverlap="1" layoutInCell="1" locked="0" behindDoc="0" simplePos="0" relativeHeight="15789568">
            <wp:simplePos x="0" y="0"/>
            <wp:positionH relativeFrom="page">
              <wp:posOffset>1431036</wp:posOffset>
            </wp:positionH>
            <wp:positionV relativeFrom="paragraph">
              <wp:posOffset>33186</wp:posOffset>
            </wp:positionV>
            <wp:extent cx="79247" cy="115823"/>
            <wp:effectExtent l="0" t="0" r="0" b="0"/>
            <wp:wrapNone/>
            <wp:docPr id="130" name="Image 130"/>
            <wp:cNvGraphicFramePr>
              <a:graphicFrameLocks/>
            </wp:cNvGraphicFramePr>
            <a:graphic>
              <a:graphicData uri="http://schemas.openxmlformats.org/drawingml/2006/picture">
                <pic:pic>
                  <pic:nvPicPr>
                    <pic:cNvPr id="130" name="Image 130"/>
                    <pic:cNvPicPr/>
                  </pic:nvPicPr>
                  <pic:blipFill>
                    <a:blip r:embed="rId94" cstate="print"/>
                    <a:stretch>
                      <a:fillRect/>
                    </a:stretch>
                  </pic:blipFill>
                  <pic:spPr>
                    <a:xfrm>
                      <a:off x="0" y="0"/>
                      <a:ext cx="79247" cy="115823"/>
                    </a:xfrm>
                    <a:prstGeom prst="rect">
                      <a:avLst/>
                    </a:prstGeom>
                  </pic:spPr>
                </pic:pic>
              </a:graphicData>
            </a:graphic>
          </wp:anchor>
        </w:drawing>
      </w:r>
      <w:bookmarkStart w:name="f. Where there are opportunities at the " w:id="254"/>
      <w:bookmarkEnd w:id="254"/>
      <w:r>
        <w:rPr/>
      </w:r>
      <w:r>
        <w:rPr/>
        <w:t>Where there are opportunities at the state- and provider-level to leverage federal funds</w:t>
      </w:r>
      <w:r>
        <w:rPr>
          <w:spacing w:val="-3"/>
        </w:rPr>
        <w:t> </w:t>
      </w:r>
      <w:r>
        <w:rPr/>
        <w:t>associated</w:t>
      </w:r>
      <w:r>
        <w:rPr>
          <w:spacing w:val="-3"/>
        </w:rPr>
        <w:t> </w:t>
      </w:r>
      <w:r>
        <w:rPr/>
        <w:t>with</w:t>
      </w:r>
      <w:r>
        <w:rPr>
          <w:spacing w:val="-3"/>
        </w:rPr>
        <w:t> </w:t>
      </w:r>
      <w:r>
        <w:rPr/>
        <w:t>a</w:t>
      </w:r>
      <w:r>
        <w:rPr>
          <w:spacing w:val="-4"/>
        </w:rPr>
        <w:t> </w:t>
      </w:r>
      <w:r>
        <w:rPr/>
        <w:t>standard</w:t>
      </w:r>
      <w:r>
        <w:rPr>
          <w:spacing w:val="-3"/>
        </w:rPr>
        <w:t> </w:t>
      </w:r>
      <w:r>
        <w:rPr/>
        <w:t>not</w:t>
      </w:r>
      <w:r>
        <w:rPr>
          <w:spacing w:val="-3"/>
        </w:rPr>
        <w:t> </w:t>
      </w:r>
      <w:r>
        <w:rPr/>
        <w:t>already</w:t>
      </w:r>
      <w:r>
        <w:rPr>
          <w:spacing w:val="-8"/>
        </w:rPr>
        <w:t> </w:t>
      </w:r>
      <w:r>
        <w:rPr/>
        <w:t>referenced</w:t>
      </w:r>
      <w:r>
        <w:rPr>
          <w:spacing w:val="-3"/>
        </w:rPr>
        <w:t> </w:t>
      </w:r>
      <w:r>
        <w:rPr/>
        <w:t>in</w:t>
      </w:r>
      <w:r>
        <w:rPr>
          <w:spacing w:val="-3"/>
        </w:rPr>
        <w:t> </w:t>
      </w:r>
      <w:r>
        <w:rPr/>
        <w:t>45</w:t>
      </w:r>
      <w:r>
        <w:rPr>
          <w:spacing w:val="-3"/>
        </w:rPr>
        <w:t> </w:t>
      </w:r>
      <w:r>
        <w:rPr/>
        <w:t>CFR</w:t>
      </w:r>
      <w:r>
        <w:rPr>
          <w:spacing w:val="-3"/>
        </w:rPr>
        <w:t> </w:t>
      </w:r>
      <w:r>
        <w:rPr/>
        <w:t>170</w:t>
      </w:r>
      <w:r>
        <w:rPr>
          <w:spacing w:val="-3"/>
        </w:rPr>
        <w:t> </w:t>
      </w:r>
      <w:r>
        <w:rPr/>
        <w:t>but</w:t>
      </w:r>
      <w:r>
        <w:rPr>
          <w:spacing w:val="-3"/>
        </w:rPr>
        <w:t> </w:t>
      </w:r>
      <w:r>
        <w:rPr/>
        <w:t>included in the ISA, the Commonwealth should use the federally-recognized ISA standards, barring no other compelling state interest.</w:t>
      </w:r>
    </w:p>
    <w:p>
      <w:pPr>
        <w:pStyle w:val="BodyText"/>
        <w:spacing w:before="9"/>
        <w:rPr>
          <w:sz w:val="20"/>
        </w:rPr>
      </w:pPr>
    </w:p>
    <w:p>
      <w:pPr>
        <w:pStyle w:val="BodyText"/>
        <w:spacing w:before="1"/>
        <w:ind w:left="1411"/>
        <w:jc w:val="both"/>
      </w:pPr>
      <w:r>
        <w:rPr/>
        <w:drawing>
          <wp:anchor distT="0" distB="0" distL="0" distR="0" allowOverlap="1" layoutInCell="1" locked="0" behindDoc="0" simplePos="0" relativeHeight="15790080">
            <wp:simplePos x="0" y="0"/>
            <wp:positionH relativeFrom="page">
              <wp:posOffset>1429511</wp:posOffset>
            </wp:positionH>
            <wp:positionV relativeFrom="paragraph">
              <wp:posOffset>68238</wp:posOffset>
            </wp:positionV>
            <wp:extent cx="105155" cy="111251"/>
            <wp:effectExtent l="0" t="0" r="0" b="0"/>
            <wp:wrapNone/>
            <wp:docPr id="131" name="Image 131"/>
            <wp:cNvGraphicFramePr>
              <a:graphicFrameLocks/>
            </wp:cNvGraphicFramePr>
            <a:graphic>
              <a:graphicData uri="http://schemas.openxmlformats.org/drawingml/2006/picture">
                <pic:pic>
                  <pic:nvPicPr>
                    <pic:cNvPr id="131" name="Image 131"/>
                    <pic:cNvPicPr/>
                  </pic:nvPicPr>
                  <pic:blipFill>
                    <a:blip r:embed="rId95" cstate="print"/>
                    <a:stretch>
                      <a:fillRect/>
                    </a:stretch>
                  </pic:blipFill>
                  <pic:spPr>
                    <a:xfrm>
                      <a:off x="0" y="0"/>
                      <a:ext cx="105155" cy="111251"/>
                    </a:xfrm>
                    <a:prstGeom prst="rect">
                      <a:avLst/>
                    </a:prstGeom>
                  </pic:spPr>
                </pic:pic>
              </a:graphicData>
            </a:graphic>
          </wp:anchor>
        </w:drawing>
      </w:r>
      <w:bookmarkStart w:name="g. Components of the SUD Health IT Plan " w:id="255"/>
      <w:bookmarkEnd w:id="255"/>
      <w:r>
        <w:rPr/>
      </w:r>
      <w:r>
        <w:rPr/>
        <w:t>Components</w:t>
      </w:r>
      <w:r>
        <w:rPr>
          <w:spacing w:val="-2"/>
        </w:rPr>
        <w:t> </w:t>
      </w:r>
      <w:r>
        <w:rPr/>
        <w:t>of</w:t>
      </w:r>
      <w:r>
        <w:rPr>
          <w:spacing w:val="-2"/>
        </w:rPr>
        <w:t> </w:t>
      </w:r>
      <w:r>
        <w:rPr/>
        <w:t>the</w:t>
      </w:r>
      <w:r>
        <w:rPr>
          <w:spacing w:val="-3"/>
        </w:rPr>
        <w:t> </w:t>
      </w:r>
      <w:r>
        <w:rPr/>
        <w:t>SUD</w:t>
      </w:r>
      <w:r>
        <w:rPr>
          <w:spacing w:val="-2"/>
        </w:rPr>
        <w:t> </w:t>
      </w:r>
      <w:r>
        <w:rPr/>
        <w:t>Health IT</w:t>
      </w:r>
      <w:r>
        <w:rPr>
          <w:spacing w:val="-2"/>
        </w:rPr>
        <w:t> </w:t>
      </w:r>
      <w:r>
        <w:rPr/>
        <w:t>Plan</w:t>
      </w:r>
      <w:r>
        <w:rPr>
          <w:spacing w:val="-1"/>
        </w:rPr>
        <w:t> </w:t>
      </w:r>
      <w:r>
        <w:rPr>
          <w:spacing w:val="-2"/>
        </w:rPr>
        <w:t>include:</w:t>
      </w:r>
    </w:p>
    <w:p>
      <w:pPr>
        <w:spacing w:after="0"/>
        <w:jc w:val="both"/>
        <w:sectPr>
          <w:pgSz w:w="12240" w:h="15840"/>
          <w:pgMar w:header="0" w:footer="1201" w:top="1360" w:bottom="1400" w:left="1200" w:right="400"/>
        </w:sectPr>
      </w:pPr>
    </w:p>
    <w:p>
      <w:pPr>
        <w:pStyle w:val="BodyText"/>
        <w:spacing w:before="79"/>
        <w:ind w:left="2040" w:right="1059"/>
      </w:pPr>
      <w:r>
        <w:rPr/>
        <w:drawing>
          <wp:anchor distT="0" distB="0" distL="0" distR="0" allowOverlap="1" layoutInCell="1" locked="0" behindDoc="0" simplePos="0" relativeHeight="15791104">
            <wp:simplePos x="0" y="0"/>
            <wp:positionH relativeFrom="page">
              <wp:posOffset>1862327</wp:posOffset>
            </wp:positionH>
            <wp:positionV relativeFrom="paragraph">
              <wp:posOffset>82717</wp:posOffset>
            </wp:positionV>
            <wp:extent cx="73151" cy="115823"/>
            <wp:effectExtent l="0" t="0" r="0" b="0"/>
            <wp:wrapNone/>
            <wp:docPr id="132" name="Image 132"/>
            <wp:cNvGraphicFramePr>
              <a:graphicFrameLocks/>
            </wp:cNvGraphicFramePr>
            <a:graphic>
              <a:graphicData uri="http://schemas.openxmlformats.org/drawingml/2006/picture">
                <pic:pic>
                  <pic:nvPicPr>
                    <pic:cNvPr id="132" name="Image 132"/>
                    <pic:cNvPicPr/>
                  </pic:nvPicPr>
                  <pic:blipFill>
                    <a:blip r:embed="rId61" cstate="print"/>
                    <a:stretch>
                      <a:fillRect/>
                    </a:stretch>
                  </pic:blipFill>
                  <pic:spPr>
                    <a:xfrm>
                      <a:off x="0" y="0"/>
                      <a:ext cx="73151" cy="115823"/>
                    </a:xfrm>
                    <a:prstGeom prst="rect">
                      <a:avLst/>
                    </a:prstGeom>
                  </pic:spPr>
                </pic:pic>
              </a:graphicData>
            </a:graphic>
          </wp:anchor>
        </w:drawing>
      </w:r>
      <w:bookmarkStart w:name="i. The SUD Health IT Plan must describe " w:id="256"/>
      <w:bookmarkEnd w:id="256"/>
      <w:r>
        <w:rPr/>
      </w:r>
      <w:r>
        <w:rPr/>
        <w:t>The</w:t>
      </w:r>
      <w:r>
        <w:rPr>
          <w:spacing w:val="-5"/>
        </w:rPr>
        <w:t> </w:t>
      </w:r>
      <w:r>
        <w:rPr/>
        <w:t>SUD</w:t>
      </w:r>
      <w:r>
        <w:rPr>
          <w:spacing w:val="-5"/>
        </w:rPr>
        <w:t> </w:t>
      </w:r>
      <w:r>
        <w:rPr/>
        <w:t>Health</w:t>
      </w:r>
      <w:r>
        <w:rPr>
          <w:spacing w:val="-2"/>
        </w:rPr>
        <w:t> </w:t>
      </w:r>
      <w:r>
        <w:rPr/>
        <w:t>IT</w:t>
      </w:r>
      <w:r>
        <w:rPr>
          <w:spacing w:val="-5"/>
        </w:rPr>
        <w:t> </w:t>
      </w:r>
      <w:r>
        <w:rPr/>
        <w:t>Plan</w:t>
      </w:r>
      <w:r>
        <w:rPr>
          <w:spacing w:val="-4"/>
        </w:rPr>
        <w:t> </w:t>
      </w:r>
      <w:r>
        <w:rPr/>
        <w:t>must</w:t>
      </w:r>
      <w:r>
        <w:rPr>
          <w:spacing w:val="-4"/>
        </w:rPr>
        <w:t> </w:t>
      </w:r>
      <w:r>
        <w:rPr/>
        <w:t>describe</w:t>
      </w:r>
      <w:r>
        <w:rPr>
          <w:spacing w:val="-5"/>
        </w:rPr>
        <w:t> </w:t>
      </w:r>
      <w:r>
        <w:rPr/>
        <w:t>the</w:t>
      </w:r>
      <w:r>
        <w:rPr>
          <w:spacing w:val="-5"/>
        </w:rPr>
        <w:t> </w:t>
      </w:r>
      <w:r>
        <w:rPr/>
        <w:t>Commonwealth’s</w:t>
      </w:r>
      <w:r>
        <w:rPr>
          <w:spacing w:val="-2"/>
        </w:rPr>
        <w:t> </w:t>
      </w:r>
      <w:r>
        <w:rPr/>
        <w:t>goals,</w:t>
      </w:r>
      <w:r>
        <w:rPr>
          <w:spacing w:val="-4"/>
        </w:rPr>
        <w:t> </w:t>
      </w:r>
      <w:r>
        <w:rPr/>
        <w:t>each</w:t>
      </w:r>
      <w:r>
        <w:rPr>
          <w:spacing w:val="-4"/>
        </w:rPr>
        <w:t> </w:t>
      </w:r>
      <w:r>
        <w:rPr/>
        <w:t>DY, to enhance the Commonwealth’s prescription drug monitoring program </w:t>
      </w:r>
      <w:r>
        <w:rPr>
          <w:spacing w:val="-2"/>
        </w:rPr>
        <w:t>(PDMP).</w:t>
      </w:r>
      <w:hyperlink w:history="true" w:anchor="_bookmark1">
        <w:r>
          <w:rPr>
            <w:spacing w:val="-2"/>
            <w:vertAlign w:val="superscript"/>
          </w:rPr>
          <w:t>2</w:t>
        </w:r>
      </w:hyperlink>
    </w:p>
    <w:p>
      <w:pPr>
        <w:pStyle w:val="BodyText"/>
        <w:spacing w:before="161"/>
        <w:ind w:left="2040" w:right="1059"/>
      </w:pPr>
      <w:r>
        <w:rPr/>
        <w:drawing>
          <wp:anchor distT="0" distB="0" distL="0" distR="0" allowOverlap="1" layoutInCell="1" locked="0" behindDoc="0" simplePos="0" relativeHeight="15791616">
            <wp:simplePos x="0" y="0"/>
            <wp:positionH relativeFrom="page">
              <wp:posOffset>1819655</wp:posOffset>
            </wp:positionH>
            <wp:positionV relativeFrom="paragraph">
              <wp:posOffset>134787</wp:posOffset>
            </wp:positionV>
            <wp:extent cx="115823" cy="115823"/>
            <wp:effectExtent l="0" t="0" r="0" b="0"/>
            <wp:wrapNone/>
            <wp:docPr id="133" name="Image 133"/>
            <wp:cNvGraphicFramePr>
              <a:graphicFrameLocks/>
            </wp:cNvGraphicFramePr>
            <a:graphic>
              <a:graphicData uri="http://schemas.openxmlformats.org/drawingml/2006/picture">
                <pic:pic>
                  <pic:nvPicPr>
                    <pic:cNvPr id="133" name="Image 133"/>
                    <pic:cNvPicPr/>
                  </pic:nvPicPr>
                  <pic:blipFill>
                    <a:blip r:embed="rId62" cstate="print"/>
                    <a:stretch>
                      <a:fillRect/>
                    </a:stretch>
                  </pic:blipFill>
                  <pic:spPr>
                    <a:xfrm>
                      <a:off x="0" y="0"/>
                      <a:ext cx="115823" cy="115823"/>
                    </a:xfrm>
                    <a:prstGeom prst="rect">
                      <a:avLst/>
                    </a:prstGeom>
                  </pic:spPr>
                </pic:pic>
              </a:graphicData>
            </a:graphic>
          </wp:anchor>
        </w:drawing>
      </w:r>
      <w:bookmarkStart w:name="ii. The SUD Health IT Plan must address " w:id="257"/>
      <w:bookmarkEnd w:id="257"/>
      <w:r>
        <w:rPr/>
      </w:r>
      <w:r>
        <w:rPr/>
        <w:t>The</w:t>
      </w:r>
      <w:r>
        <w:rPr>
          <w:spacing w:val="-1"/>
        </w:rPr>
        <w:t> </w:t>
      </w:r>
      <w:r>
        <w:rPr/>
        <w:t>SUD</w:t>
      </w:r>
      <w:r>
        <w:rPr>
          <w:spacing w:val="-1"/>
        </w:rPr>
        <w:t> </w:t>
      </w:r>
      <w:r>
        <w:rPr/>
        <w:t>Health IT</w:t>
      </w:r>
      <w:r>
        <w:rPr>
          <w:spacing w:val="-1"/>
        </w:rPr>
        <w:t> </w:t>
      </w:r>
      <w:r>
        <w:rPr/>
        <w:t>Plan must address how</w:t>
      </w:r>
      <w:r>
        <w:rPr>
          <w:spacing w:val="-1"/>
        </w:rPr>
        <w:t> </w:t>
      </w:r>
      <w:r>
        <w:rPr/>
        <w:t>the</w:t>
      </w:r>
      <w:r>
        <w:rPr>
          <w:spacing w:val="-1"/>
        </w:rPr>
        <w:t> </w:t>
      </w:r>
      <w:r>
        <w:rPr/>
        <w:t>Commonwealth’s PDMP will enhance ease of use for prescribers and other Commonwealth and federal stakeholders.</w:t>
      </w:r>
      <w:hyperlink w:history="true" w:anchor="_bookmark2">
        <w:r>
          <w:rPr>
            <w:vertAlign w:val="superscript"/>
          </w:rPr>
          <w:t>3</w:t>
        </w:r>
      </w:hyperlink>
      <w:r>
        <w:rPr>
          <w:spacing w:val="40"/>
          <w:vertAlign w:val="baseline"/>
        </w:rPr>
        <w:t> </w:t>
      </w:r>
      <w:r>
        <w:rPr>
          <w:vertAlign w:val="baseline"/>
        </w:rPr>
        <w:t>This</w:t>
      </w:r>
      <w:r>
        <w:rPr>
          <w:spacing w:val="-3"/>
          <w:vertAlign w:val="baseline"/>
        </w:rPr>
        <w:t> </w:t>
      </w:r>
      <w:r>
        <w:rPr>
          <w:vertAlign w:val="baseline"/>
        </w:rPr>
        <w:t>must</w:t>
      </w:r>
      <w:r>
        <w:rPr>
          <w:spacing w:val="-5"/>
          <w:vertAlign w:val="baseline"/>
        </w:rPr>
        <w:t> </w:t>
      </w:r>
      <w:r>
        <w:rPr>
          <w:vertAlign w:val="baseline"/>
        </w:rPr>
        <w:t>also</w:t>
      </w:r>
      <w:r>
        <w:rPr>
          <w:spacing w:val="-3"/>
          <w:vertAlign w:val="baseline"/>
        </w:rPr>
        <w:t> </w:t>
      </w:r>
      <w:r>
        <w:rPr>
          <w:vertAlign w:val="baseline"/>
        </w:rPr>
        <w:t>include</w:t>
      </w:r>
      <w:r>
        <w:rPr>
          <w:spacing w:val="-4"/>
          <w:vertAlign w:val="baseline"/>
        </w:rPr>
        <w:t> </w:t>
      </w:r>
      <w:r>
        <w:rPr>
          <w:vertAlign w:val="baseline"/>
        </w:rPr>
        <w:t>plans</w:t>
      </w:r>
      <w:r>
        <w:rPr>
          <w:spacing w:val="-3"/>
          <w:vertAlign w:val="baseline"/>
        </w:rPr>
        <w:t> </w:t>
      </w:r>
      <w:r>
        <w:rPr>
          <w:vertAlign w:val="baseline"/>
        </w:rPr>
        <w:t>to</w:t>
      </w:r>
      <w:r>
        <w:rPr>
          <w:spacing w:val="-3"/>
          <w:vertAlign w:val="baseline"/>
        </w:rPr>
        <w:t> </w:t>
      </w:r>
      <w:r>
        <w:rPr>
          <w:vertAlign w:val="baseline"/>
        </w:rPr>
        <w:t>include</w:t>
      </w:r>
      <w:r>
        <w:rPr>
          <w:spacing w:val="-4"/>
          <w:vertAlign w:val="baseline"/>
        </w:rPr>
        <w:t> </w:t>
      </w:r>
      <w:r>
        <w:rPr>
          <w:vertAlign w:val="baseline"/>
        </w:rPr>
        <w:t>PDMP</w:t>
      </w:r>
      <w:r>
        <w:rPr>
          <w:spacing w:val="-3"/>
          <w:vertAlign w:val="baseline"/>
        </w:rPr>
        <w:t> </w:t>
      </w:r>
      <w:r>
        <w:rPr>
          <w:vertAlign w:val="baseline"/>
        </w:rPr>
        <w:t>interoperability with a statewide, regional or local Health Information Exchange.</w:t>
      </w:r>
    </w:p>
    <w:p>
      <w:pPr>
        <w:pStyle w:val="BodyText"/>
        <w:ind w:left="2040" w:right="1059"/>
      </w:pPr>
      <w:r>
        <w:rPr/>
        <w:t>Additionally, the SUD Health IT Plan must describe ways in which the Commonwealth</w:t>
      </w:r>
      <w:r>
        <w:rPr>
          <w:spacing w:val="-4"/>
        </w:rPr>
        <w:t> </w:t>
      </w:r>
      <w:r>
        <w:rPr/>
        <w:t>will</w:t>
      </w:r>
      <w:r>
        <w:rPr>
          <w:spacing w:val="-4"/>
        </w:rPr>
        <w:t> </w:t>
      </w:r>
      <w:r>
        <w:rPr/>
        <w:t>support</w:t>
      </w:r>
      <w:r>
        <w:rPr>
          <w:spacing w:val="-4"/>
        </w:rPr>
        <w:t> </w:t>
      </w:r>
      <w:r>
        <w:rPr/>
        <w:t>clinicians</w:t>
      </w:r>
      <w:r>
        <w:rPr>
          <w:spacing w:val="-4"/>
        </w:rPr>
        <w:t> </w:t>
      </w:r>
      <w:r>
        <w:rPr/>
        <w:t>in</w:t>
      </w:r>
      <w:r>
        <w:rPr>
          <w:spacing w:val="-4"/>
        </w:rPr>
        <w:t> </w:t>
      </w:r>
      <w:r>
        <w:rPr/>
        <w:t>consulting</w:t>
      </w:r>
      <w:r>
        <w:rPr>
          <w:spacing w:val="-7"/>
        </w:rPr>
        <w:t> </w:t>
      </w:r>
      <w:r>
        <w:rPr/>
        <w:t>the</w:t>
      </w:r>
      <w:r>
        <w:rPr>
          <w:spacing w:val="-5"/>
        </w:rPr>
        <w:t> </w:t>
      </w:r>
      <w:r>
        <w:rPr/>
        <w:t>PDMP</w:t>
      </w:r>
      <w:r>
        <w:rPr>
          <w:spacing w:val="-4"/>
        </w:rPr>
        <w:t> </w:t>
      </w:r>
      <w:r>
        <w:rPr/>
        <w:t>and</w:t>
      </w:r>
      <w:r>
        <w:rPr>
          <w:spacing w:val="-4"/>
        </w:rPr>
        <w:t> </w:t>
      </w:r>
      <w:r>
        <w:rPr/>
        <w:t>reviewing the patients’ history of controlled substance prescriptionsprior to the issuance of a Controlled Substance Schedule II (CSII) opioid prescription.</w:t>
      </w:r>
    </w:p>
    <w:p>
      <w:pPr>
        <w:pStyle w:val="BodyText"/>
        <w:spacing w:before="158"/>
        <w:ind w:left="2039" w:right="1086"/>
      </w:pPr>
      <w:r>
        <w:rPr/>
        <w:drawing>
          <wp:anchor distT="0" distB="0" distL="0" distR="0" allowOverlap="1" layoutInCell="1" locked="0" behindDoc="0" simplePos="0" relativeHeight="15792128">
            <wp:simplePos x="0" y="0"/>
            <wp:positionH relativeFrom="page">
              <wp:posOffset>1778507</wp:posOffset>
            </wp:positionH>
            <wp:positionV relativeFrom="paragraph">
              <wp:posOffset>132882</wp:posOffset>
            </wp:positionV>
            <wp:extent cx="158495" cy="115823"/>
            <wp:effectExtent l="0" t="0" r="0" b="0"/>
            <wp:wrapNone/>
            <wp:docPr id="134" name="Image 134"/>
            <wp:cNvGraphicFramePr>
              <a:graphicFrameLocks/>
            </wp:cNvGraphicFramePr>
            <a:graphic>
              <a:graphicData uri="http://schemas.openxmlformats.org/drawingml/2006/picture">
                <pic:pic>
                  <pic:nvPicPr>
                    <pic:cNvPr id="134" name="Image 134"/>
                    <pic:cNvPicPr/>
                  </pic:nvPicPr>
                  <pic:blipFill>
                    <a:blip r:embed="rId65" cstate="print"/>
                    <a:stretch>
                      <a:fillRect/>
                    </a:stretch>
                  </pic:blipFill>
                  <pic:spPr>
                    <a:xfrm>
                      <a:off x="0" y="0"/>
                      <a:ext cx="158495" cy="115823"/>
                    </a:xfrm>
                    <a:prstGeom prst="rect">
                      <a:avLst/>
                    </a:prstGeom>
                  </pic:spPr>
                </pic:pic>
              </a:graphicData>
            </a:graphic>
          </wp:anchor>
        </w:drawing>
      </w:r>
      <w:bookmarkStart w:name="iii. The SUD Health IT Plan will, as app" w:id="258"/>
      <w:bookmarkEnd w:id="258"/>
      <w:r>
        <w:rPr/>
      </w:r>
      <w:r>
        <w:rPr/>
        <w:t>The SUD Health IT Plan will, as applicable, describe the Commonwealth’s capabilities to leverage a master patient index (or master data management service, etc.) in support of SUD care delivery.</w:t>
      </w:r>
      <w:r>
        <w:rPr>
          <w:spacing w:val="40"/>
        </w:rPr>
        <w:t> </w:t>
      </w:r>
      <w:r>
        <w:rPr/>
        <w:t>Additionally, the Health IT Plan</w:t>
      </w:r>
      <w:r>
        <w:rPr>
          <w:spacing w:val="-1"/>
        </w:rPr>
        <w:t> </w:t>
      </w:r>
      <w:r>
        <w:rPr/>
        <w:t>must</w:t>
      </w:r>
      <w:r>
        <w:rPr>
          <w:spacing w:val="-1"/>
        </w:rPr>
        <w:t> </w:t>
      </w:r>
      <w:r>
        <w:rPr/>
        <w:t>describe</w:t>
      </w:r>
      <w:r>
        <w:rPr>
          <w:spacing w:val="-2"/>
        </w:rPr>
        <w:t> </w:t>
      </w:r>
      <w:r>
        <w:rPr/>
        <w:t>current</w:t>
      </w:r>
      <w:r>
        <w:rPr>
          <w:spacing w:val="-1"/>
        </w:rPr>
        <w:t> </w:t>
      </w:r>
      <w:r>
        <w:rPr/>
        <w:t>and</w:t>
      </w:r>
      <w:r>
        <w:rPr>
          <w:spacing w:val="-1"/>
        </w:rPr>
        <w:t> </w:t>
      </w:r>
      <w:r>
        <w:rPr/>
        <w:t>future</w:t>
      </w:r>
      <w:r>
        <w:rPr>
          <w:spacing w:val="-2"/>
        </w:rPr>
        <w:t> </w:t>
      </w:r>
      <w:r>
        <w:rPr/>
        <w:t>capabilities</w:t>
      </w:r>
      <w:r>
        <w:rPr>
          <w:spacing w:val="-1"/>
        </w:rPr>
        <w:t> </w:t>
      </w:r>
      <w:r>
        <w:rPr/>
        <w:t>regarding</w:t>
      </w:r>
      <w:r>
        <w:rPr>
          <w:spacing w:val="-4"/>
        </w:rPr>
        <w:t> </w:t>
      </w:r>
      <w:r>
        <w:rPr/>
        <w:t>PDMP</w:t>
      </w:r>
      <w:r>
        <w:rPr>
          <w:spacing w:val="-1"/>
        </w:rPr>
        <w:t> </w:t>
      </w:r>
      <w:r>
        <w:rPr/>
        <w:t>queries— and the Commonwealth’s ability to properly match patients receiving opioid prescriptions with patients in the PDMP.</w:t>
      </w:r>
      <w:r>
        <w:rPr>
          <w:spacing w:val="40"/>
        </w:rPr>
        <w:t> </w:t>
      </w:r>
      <w:r>
        <w:rPr/>
        <w:t>The Commonwealth will also indicate</w:t>
      </w:r>
      <w:r>
        <w:rPr>
          <w:spacing w:val="-5"/>
        </w:rPr>
        <w:t> </w:t>
      </w:r>
      <w:r>
        <w:rPr/>
        <w:t>current</w:t>
      </w:r>
      <w:r>
        <w:rPr>
          <w:spacing w:val="-4"/>
        </w:rPr>
        <w:t> </w:t>
      </w:r>
      <w:r>
        <w:rPr/>
        <w:t>efforts</w:t>
      </w:r>
      <w:r>
        <w:rPr>
          <w:spacing w:val="-4"/>
        </w:rPr>
        <w:t> </w:t>
      </w:r>
      <w:r>
        <w:rPr/>
        <w:t>or</w:t>
      </w:r>
      <w:r>
        <w:rPr>
          <w:spacing w:val="-3"/>
        </w:rPr>
        <w:t> </w:t>
      </w:r>
      <w:r>
        <w:rPr/>
        <w:t>plans</w:t>
      </w:r>
      <w:r>
        <w:rPr>
          <w:spacing w:val="-4"/>
        </w:rPr>
        <w:t> </w:t>
      </w:r>
      <w:r>
        <w:rPr/>
        <w:t>to</w:t>
      </w:r>
      <w:r>
        <w:rPr>
          <w:spacing w:val="-4"/>
        </w:rPr>
        <w:t> </w:t>
      </w:r>
      <w:r>
        <w:rPr/>
        <w:t>develop</w:t>
      </w:r>
      <w:r>
        <w:rPr>
          <w:spacing w:val="-4"/>
        </w:rPr>
        <w:t> </w:t>
      </w:r>
      <w:r>
        <w:rPr/>
        <w:t>and/or</w:t>
      </w:r>
      <w:r>
        <w:rPr>
          <w:spacing w:val="-3"/>
        </w:rPr>
        <w:t> </w:t>
      </w:r>
      <w:r>
        <w:rPr/>
        <w:t>utilize</w:t>
      </w:r>
      <w:r>
        <w:rPr>
          <w:spacing w:val="-5"/>
        </w:rPr>
        <w:t> </w:t>
      </w:r>
      <w:r>
        <w:rPr/>
        <w:t>current</w:t>
      </w:r>
      <w:r>
        <w:rPr>
          <w:spacing w:val="-4"/>
        </w:rPr>
        <w:t> </w:t>
      </w:r>
      <w:r>
        <w:rPr/>
        <w:t>patient</w:t>
      </w:r>
      <w:r>
        <w:rPr>
          <w:spacing w:val="-4"/>
        </w:rPr>
        <w:t> </w:t>
      </w:r>
      <w:r>
        <w:rPr/>
        <w:t>index capability that supports the programmatic objectives of the demonstration.</w:t>
      </w:r>
    </w:p>
    <w:p>
      <w:pPr>
        <w:pStyle w:val="BodyText"/>
        <w:spacing w:before="161"/>
        <w:ind w:left="2039" w:right="1059"/>
      </w:pPr>
      <w:r>
        <w:rPr/>
        <w:drawing>
          <wp:anchor distT="0" distB="0" distL="0" distR="0" allowOverlap="1" layoutInCell="1" locked="0" behindDoc="0" simplePos="0" relativeHeight="15792640">
            <wp:simplePos x="0" y="0"/>
            <wp:positionH relativeFrom="page">
              <wp:posOffset>1786127</wp:posOffset>
            </wp:positionH>
            <wp:positionV relativeFrom="paragraph">
              <wp:posOffset>134786</wp:posOffset>
            </wp:positionV>
            <wp:extent cx="149339" cy="115823"/>
            <wp:effectExtent l="0" t="0" r="0" b="0"/>
            <wp:wrapNone/>
            <wp:docPr id="135" name="Image 135"/>
            <wp:cNvGraphicFramePr>
              <a:graphicFrameLocks/>
            </wp:cNvGraphicFramePr>
            <a:graphic>
              <a:graphicData uri="http://schemas.openxmlformats.org/drawingml/2006/picture">
                <pic:pic>
                  <pic:nvPicPr>
                    <pic:cNvPr id="135" name="Image 135"/>
                    <pic:cNvPicPr/>
                  </pic:nvPicPr>
                  <pic:blipFill>
                    <a:blip r:embed="rId96" cstate="print"/>
                    <a:stretch>
                      <a:fillRect/>
                    </a:stretch>
                  </pic:blipFill>
                  <pic:spPr>
                    <a:xfrm>
                      <a:off x="0" y="0"/>
                      <a:ext cx="149339" cy="115823"/>
                    </a:xfrm>
                    <a:prstGeom prst="rect">
                      <a:avLst/>
                    </a:prstGeom>
                  </pic:spPr>
                </pic:pic>
              </a:graphicData>
            </a:graphic>
          </wp:anchor>
        </w:drawing>
      </w:r>
      <w:bookmarkStart w:name="iv. The SUD Health IT Plan will describe" w:id="259"/>
      <w:bookmarkEnd w:id="259"/>
      <w:r>
        <w:rPr/>
      </w:r>
      <w:r>
        <w:rPr/>
        <w:t>The SUD Health IT Plan will describe how the activities described in STC 6.3(a) through (c) above will support broader Commonwealth and federal efforts</w:t>
      </w:r>
      <w:r>
        <w:rPr>
          <w:spacing w:val="-3"/>
        </w:rPr>
        <w:t> </w:t>
      </w:r>
      <w:r>
        <w:rPr/>
        <w:t>to</w:t>
      </w:r>
      <w:r>
        <w:rPr>
          <w:spacing w:val="-3"/>
        </w:rPr>
        <w:t> </w:t>
      </w:r>
      <w:r>
        <w:rPr/>
        <w:t>diminish</w:t>
      </w:r>
      <w:r>
        <w:rPr>
          <w:spacing w:val="-3"/>
        </w:rPr>
        <w:t> </w:t>
      </w:r>
      <w:r>
        <w:rPr/>
        <w:t>the</w:t>
      </w:r>
      <w:r>
        <w:rPr>
          <w:spacing w:val="-4"/>
        </w:rPr>
        <w:t> </w:t>
      </w:r>
      <w:r>
        <w:rPr/>
        <w:t>likelihood</w:t>
      </w:r>
      <w:r>
        <w:rPr>
          <w:spacing w:val="-3"/>
        </w:rPr>
        <w:t> </w:t>
      </w:r>
      <w:r>
        <w:rPr/>
        <w:t>of</w:t>
      </w:r>
      <w:r>
        <w:rPr>
          <w:spacing w:val="-4"/>
        </w:rPr>
        <w:t> </w:t>
      </w:r>
      <w:r>
        <w:rPr/>
        <w:t>long-term</w:t>
      </w:r>
      <w:r>
        <w:rPr>
          <w:spacing w:val="-3"/>
        </w:rPr>
        <w:t> </w:t>
      </w:r>
      <w:r>
        <w:rPr/>
        <w:t>opioid</w:t>
      </w:r>
      <w:r>
        <w:rPr>
          <w:spacing w:val="-3"/>
        </w:rPr>
        <w:t> </w:t>
      </w:r>
      <w:r>
        <w:rPr/>
        <w:t>use</w:t>
      </w:r>
      <w:r>
        <w:rPr>
          <w:spacing w:val="-4"/>
        </w:rPr>
        <w:t> </w:t>
      </w:r>
      <w:r>
        <w:rPr/>
        <w:t>directly</w:t>
      </w:r>
      <w:r>
        <w:rPr>
          <w:spacing w:val="-8"/>
        </w:rPr>
        <w:t> </w:t>
      </w:r>
      <w:r>
        <w:rPr/>
        <w:t>correlated</w:t>
      </w:r>
      <w:r>
        <w:rPr>
          <w:spacing w:val="-3"/>
        </w:rPr>
        <w:t> </w:t>
      </w:r>
      <w:r>
        <w:rPr/>
        <w:t>to clinician prescribing patterns.</w:t>
      </w:r>
      <w:hyperlink w:history="true" w:anchor="_bookmark3">
        <w:r>
          <w:rPr>
            <w:vertAlign w:val="superscript"/>
          </w:rPr>
          <w:t>4</w:t>
        </w:r>
      </w:hyperlink>
    </w:p>
    <w:p>
      <w:pPr>
        <w:pStyle w:val="BodyText"/>
        <w:spacing w:before="159"/>
        <w:ind w:left="2040" w:right="1141"/>
      </w:pPr>
      <w:r>
        <w:rPr/>
        <w:drawing>
          <wp:anchor distT="0" distB="0" distL="0" distR="0" allowOverlap="1" layoutInCell="1" locked="0" behindDoc="0" simplePos="0" relativeHeight="15793152">
            <wp:simplePos x="0" y="0"/>
            <wp:positionH relativeFrom="page">
              <wp:posOffset>1825751</wp:posOffset>
            </wp:positionH>
            <wp:positionV relativeFrom="paragraph">
              <wp:posOffset>171616</wp:posOffset>
            </wp:positionV>
            <wp:extent cx="109727" cy="77723"/>
            <wp:effectExtent l="0" t="0" r="0" b="0"/>
            <wp:wrapNone/>
            <wp:docPr id="136" name="Image 136"/>
            <wp:cNvGraphicFramePr>
              <a:graphicFrameLocks/>
            </wp:cNvGraphicFramePr>
            <a:graphic>
              <a:graphicData uri="http://schemas.openxmlformats.org/drawingml/2006/picture">
                <pic:pic>
                  <pic:nvPicPr>
                    <pic:cNvPr id="136" name="Image 136"/>
                    <pic:cNvPicPr/>
                  </pic:nvPicPr>
                  <pic:blipFill>
                    <a:blip r:embed="rId97" cstate="print"/>
                    <a:stretch>
                      <a:fillRect/>
                    </a:stretch>
                  </pic:blipFill>
                  <pic:spPr>
                    <a:xfrm>
                      <a:off x="0" y="0"/>
                      <a:ext cx="109727" cy="77723"/>
                    </a:xfrm>
                    <a:prstGeom prst="rect">
                      <a:avLst/>
                    </a:prstGeom>
                  </pic:spPr>
                </pic:pic>
              </a:graphicData>
            </a:graphic>
          </wp:anchor>
        </w:drawing>
      </w:r>
      <w:bookmarkStart w:name="v. The SUD Health IT Plan will describe " w:id="260"/>
      <w:bookmarkEnd w:id="260"/>
      <w:r>
        <w:rPr/>
      </w:r>
      <w:r>
        <w:rPr/>
        <w:t>The SUD Health IT Plan will describe the Commonwealth’s current and future</w:t>
      </w:r>
      <w:r>
        <w:rPr>
          <w:spacing w:val="-3"/>
        </w:rPr>
        <w:t> </w:t>
      </w:r>
      <w:r>
        <w:rPr/>
        <w:t>capabilities</w:t>
      </w:r>
      <w:r>
        <w:rPr>
          <w:spacing w:val="-2"/>
        </w:rPr>
        <w:t> </w:t>
      </w:r>
      <w:r>
        <w:rPr/>
        <w:t>to</w:t>
      </w:r>
      <w:r>
        <w:rPr>
          <w:spacing w:val="-2"/>
        </w:rPr>
        <w:t> </w:t>
      </w:r>
      <w:r>
        <w:rPr/>
        <w:t>support</w:t>
      </w:r>
      <w:r>
        <w:rPr>
          <w:spacing w:val="-2"/>
        </w:rPr>
        <w:t> </w:t>
      </w:r>
      <w:r>
        <w:rPr/>
        <w:t>providers</w:t>
      </w:r>
      <w:r>
        <w:rPr>
          <w:spacing w:val="-2"/>
        </w:rPr>
        <w:t> </w:t>
      </w:r>
      <w:r>
        <w:rPr/>
        <w:t>implementing</w:t>
      </w:r>
      <w:r>
        <w:rPr>
          <w:spacing w:val="-5"/>
        </w:rPr>
        <w:t> </w:t>
      </w:r>
      <w:r>
        <w:rPr/>
        <w:t>or</w:t>
      </w:r>
      <w:r>
        <w:rPr>
          <w:spacing w:val="-3"/>
        </w:rPr>
        <w:t> </w:t>
      </w:r>
      <w:r>
        <w:rPr/>
        <w:t>expanding</w:t>
      </w:r>
      <w:r>
        <w:rPr>
          <w:spacing w:val="-5"/>
        </w:rPr>
        <w:t> </w:t>
      </w:r>
      <w:r>
        <w:rPr/>
        <w:t>Health</w:t>
      </w:r>
      <w:r>
        <w:rPr>
          <w:spacing w:val="-2"/>
        </w:rPr>
        <w:t> </w:t>
      </w:r>
      <w:r>
        <w:rPr/>
        <w:t>IT functionality</w:t>
      </w:r>
      <w:r>
        <w:rPr>
          <w:spacing w:val="-8"/>
        </w:rPr>
        <w:t> </w:t>
      </w:r>
      <w:r>
        <w:rPr/>
        <w:t>in</w:t>
      </w:r>
      <w:r>
        <w:rPr>
          <w:spacing w:val="-3"/>
        </w:rPr>
        <w:t> </w:t>
      </w:r>
      <w:r>
        <w:rPr/>
        <w:t>the</w:t>
      </w:r>
      <w:r>
        <w:rPr>
          <w:spacing w:val="-4"/>
        </w:rPr>
        <w:t> </w:t>
      </w:r>
      <w:r>
        <w:rPr/>
        <w:t>following</w:t>
      </w:r>
      <w:r>
        <w:rPr>
          <w:spacing w:val="-6"/>
        </w:rPr>
        <w:t> </w:t>
      </w:r>
      <w:r>
        <w:rPr/>
        <w:t>areas:</w:t>
      </w:r>
      <w:r>
        <w:rPr>
          <w:spacing w:val="-3"/>
        </w:rPr>
        <w:t> </w:t>
      </w:r>
      <w:r>
        <w:rPr/>
        <w:t>1)</w:t>
      </w:r>
      <w:r>
        <w:rPr>
          <w:spacing w:val="-2"/>
        </w:rPr>
        <w:t> </w:t>
      </w:r>
      <w:r>
        <w:rPr/>
        <w:t>Referrals,</w:t>
      </w:r>
      <w:r>
        <w:rPr>
          <w:spacing w:val="-1"/>
        </w:rPr>
        <w:t> </w:t>
      </w:r>
      <w:r>
        <w:rPr/>
        <w:t>2)</w:t>
      </w:r>
      <w:r>
        <w:rPr>
          <w:spacing w:val="-4"/>
        </w:rPr>
        <w:t> </w:t>
      </w:r>
      <w:r>
        <w:rPr/>
        <w:t>Electronic</w:t>
      </w:r>
      <w:r>
        <w:rPr>
          <w:spacing w:val="-2"/>
        </w:rPr>
        <w:t> </w:t>
      </w:r>
      <w:r>
        <w:rPr/>
        <w:t>care</w:t>
      </w:r>
      <w:r>
        <w:rPr>
          <w:spacing w:val="-4"/>
        </w:rPr>
        <w:t> </w:t>
      </w:r>
      <w:r>
        <w:rPr/>
        <w:t>plans</w:t>
      </w:r>
      <w:r>
        <w:rPr>
          <w:spacing w:val="-3"/>
        </w:rPr>
        <w:t> </w:t>
      </w:r>
      <w:r>
        <w:rPr/>
        <w:t>and medical records, 3) Consent, 4) Interoperability, 5) Telehealth, 6) Alerting/analytics, and 7) Identity management.</w:t>
      </w:r>
    </w:p>
    <w:p>
      <w:pPr>
        <w:pStyle w:val="BodyText"/>
        <w:spacing w:before="161"/>
        <w:ind w:left="2040" w:right="1059"/>
      </w:pPr>
      <w:r>
        <w:rPr/>
        <w:drawing>
          <wp:anchor distT="0" distB="0" distL="0" distR="0" allowOverlap="1" layoutInCell="1" locked="0" behindDoc="0" simplePos="0" relativeHeight="15793664">
            <wp:simplePos x="0" y="0"/>
            <wp:positionH relativeFrom="page">
              <wp:posOffset>1783079</wp:posOffset>
            </wp:positionH>
            <wp:positionV relativeFrom="paragraph">
              <wp:posOffset>134786</wp:posOffset>
            </wp:positionV>
            <wp:extent cx="152399" cy="115823"/>
            <wp:effectExtent l="0" t="0" r="0" b="0"/>
            <wp:wrapNone/>
            <wp:docPr id="137" name="Image 137"/>
            <wp:cNvGraphicFramePr>
              <a:graphicFrameLocks/>
            </wp:cNvGraphicFramePr>
            <a:graphic>
              <a:graphicData uri="http://schemas.openxmlformats.org/drawingml/2006/picture">
                <pic:pic>
                  <pic:nvPicPr>
                    <pic:cNvPr id="137" name="Image 137"/>
                    <pic:cNvPicPr/>
                  </pic:nvPicPr>
                  <pic:blipFill>
                    <a:blip r:embed="rId98" cstate="print"/>
                    <a:stretch>
                      <a:fillRect/>
                    </a:stretch>
                  </pic:blipFill>
                  <pic:spPr>
                    <a:xfrm>
                      <a:off x="0" y="0"/>
                      <a:ext cx="152399" cy="115823"/>
                    </a:xfrm>
                    <a:prstGeom prst="rect">
                      <a:avLst/>
                    </a:prstGeom>
                  </pic:spPr>
                </pic:pic>
              </a:graphicData>
            </a:graphic>
          </wp:anchor>
        </w:drawing>
      </w:r>
      <w:bookmarkStart w:name="vi. In developing the SUD Health IT Plan" w:id="261"/>
      <w:bookmarkEnd w:id="261"/>
      <w:r>
        <w:rPr/>
      </w:r>
      <w:r>
        <w:rPr/>
        <w:t>In</w:t>
      </w:r>
      <w:r>
        <w:rPr>
          <w:spacing w:val="-3"/>
        </w:rPr>
        <w:t> </w:t>
      </w:r>
      <w:r>
        <w:rPr/>
        <w:t>developing</w:t>
      </w:r>
      <w:r>
        <w:rPr>
          <w:spacing w:val="-6"/>
        </w:rPr>
        <w:t> </w:t>
      </w:r>
      <w:r>
        <w:rPr/>
        <w:t>the</w:t>
      </w:r>
      <w:r>
        <w:rPr>
          <w:spacing w:val="-4"/>
        </w:rPr>
        <w:t> </w:t>
      </w:r>
      <w:r>
        <w:rPr/>
        <w:t>SUD</w:t>
      </w:r>
      <w:r>
        <w:rPr>
          <w:spacing w:val="-4"/>
        </w:rPr>
        <w:t> </w:t>
      </w:r>
      <w:r>
        <w:rPr/>
        <w:t>Health</w:t>
      </w:r>
      <w:r>
        <w:rPr>
          <w:spacing w:val="-1"/>
        </w:rPr>
        <w:t> </w:t>
      </w:r>
      <w:r>
        <w:rPr/>
        <w:t>IT</w:t>
      </w:r>
      <w:r>
        <w:rPr>
          <w:spacing w:val="-4"/>
        </w:rPr>
        <w:t> </w:t>
      </w:r>
      <w:r>
        <w:rPr/>
        <w:t>Plan,</w:t>
      </w:r>
      <w:r>
        <w:rPr>
          <w:spacing w:val="-3"/>
        </w:rPr>
        <w:t> </w:t>
      </w:r>
      <w:r>
        <w:rPr/>
        <w:t>states</w:t>
      </w:r>
      <w:r>
        <w:rPr>
          <w:spacing w:val="-3"/>
        </w:rPr>
        <w:t> </w:t>
      </w:r>
      <w:r>
        <w:rPr/>
        <w:t>should</w:t>
      </w:r>
      <w:r>
        <w:rPr>
          <w:spacing w:val="-3"/>
        </w:rPr>
        <w:t> </w:t>
      </w:r>
      <w:r>
        <w:rPr/>
        <w:t>use</w:t>
      </w:r>
      <w:r>
        <w:rPr>
          <w:spacing w:val="-4"/>
        </w:rPr>
        <w:t> </w:t>
      </w:r>
      <w:r>
        <w:rPr/>
        <w:t>the</w:t>
      </w:r>
      <w:r>
        <w:rPr>
          <w:spacing w:val="-4"/>
        </w:rPr>
        <w:t> </w:t>
      </w:r>
      <w:r>
        <w:rPr/>
        <w:t>following </w:t>
      </w:r>
      <w:r>
        <w:rPr>
          <w:spacing w:val="-2"/>
        </w:rPr>
        <w:t>resources:</w:t>
      </w:r>
    </w:p>
    <w:p>
      <w:pPr>
        <w:pStyle w:val="ListParagraph"/>
        <w:numPr>
          <w:ilvl w:val="0"/>
          <w:numId w:val="23"/>
        </w:numPr>
        <w:tabs>
          <w:tab w:pos="2851" w:val="left" w:leader="none"/>
        </w:tabs>
        <w:spacing w:line="240" w:lineRule="auto" w:before="161" w:after="0"/>
        <w:ind w:left="2851" w:right="1249" w:hanging="360"/>
        <w:jc w:val="left"/>
        <w:rPr>
          <w:sz w:val="24"/>
        </w:rPr>
      </w:pPr>
      <w:bookmarkStart w:name="1. States may use federal resources avai" w:id="262"/>
      <w:bookmarkEnd w:id="262"/>
      <w:r>
        <w:rPr/>
      </w:r>
      <w:r>
        <w:rPr>
          <w:sz w:val="24"/>
        </w:rPr>
        <w:t>States may use federal resources available on Health IT.Gov (</w:t>
      </w:r>
      <w:hyperlink r:id="rId99">
        <w:r>
          <w:rPr>
            <w:sz w:val="24"/>
            <w:u w:val="single"/>
          </w:rPr>
          <w:t>https://www.healthit.gov/topic/behavioral-health</w:t>
        </w:r>
      </w:hyperlink>
      <w:r>
        <w:rPr>
          <w:sz w:val="24"/>
        </w:rPr>
        <w:t>)</w:t>
      </w:r>
      <w:r>
        <w:rPr>
          <w:spacing w:val="-13"/>
          <w:sz w:val="24"/>
        </w:rPr>
        <w:t> </w:t>
      </w:r>
      <w:r>
        <w:rPr>
          <w:sz w:val="24"/>
        </w:rPr>
        <w:t>including</w:t>
      </w:r>
      <w:r>
        <w:rPr>
          <w:spacing w:val="-15"/>
          <w:sz w:val="24"/>
        </w:rPr>
        <w:t> </w:t>
      </w:r>
      <w:r>
        <w:rPr>
          <w:sz w:val="24"/>
        </w:rPr>
        <w:t>but</w:t>
      </w:r>
      <w:r>
        <w:rPr>
          <w:spacing w:val="-12"/>
          <w:sz w:val="24"/>
        </w:rPr>
        <w:t> </w:t>
      </w:r>
      <w:r>
        <w:rPr>
          <w:sz w:val="24"/>
        </w:rPr>
        <w:t>not limited to “Behavioral Health and Physical Health Integration” and “Section 34: Opioid Epidemic and Health IT” </w:t>
      </w:r>
      <w:r>
        <w:rPr>
          <w:spacing w:val="-2"/>
          <w:sz w:val="24"/>
        </w:rPr>
        <w:t>(https</w:t>
      </w:r>
      <w:hyperlink r:id="rId100">
        <w:r>
          <w:rPr>
            <w:spacing w:val="-2"/>
            <w:sz w:val="24"/>
          </w:rPr>
          <w:t>://w</w:t>
        </w:r>
      </w:hyperlink>
      <w:r>
        <w:rPr>
          <w:spacing w:val="-2"/>
          <w:sz w:val="24"/>
        </w:rPr>
        <w:t>ww.</w:t>
      </w:r>
      <w:hyperlink r:id="rId100">
        <w:r>
          <w:rPr>
            <w:spacing w:val="-2"/>
            <w:sz w:val="24"/>
          </w:rPr>
          <w:t>healthit.gov/playbook/health-information-exchange/).</w:t>
        </w:r>
      </w:hyperlink>
    </w:p>
    <w:p>
      <w:pPr>
        <w:pStyle w:val="BodyText"/>
        <w:rPr>
          <w:sz w:val="20"/>
        </w:rPr>
      </w:pPr>
    </w:p>
    <w:p>
      <w:pPr>
        <w:pStyle w:val="BodyText"/>
        <w:spacing w:before="1"/>
        <w:rPr>
          <w:sz w:val="20"/>
        </w:rPr>
      </w:pPr>
      <w:r>
        <w:rPr/>
        <mc:AlternateContent>
          <mc:Choice Requires="wps">
            <w:drawing>
              <wp:anchor distT="0" distB="0" distL="0" distR="0" allowOverlap="1" layoutInCell="1" locked="0" behindDoc="1" simplePos="0" relativeHeight="487649792">
                <wp:simplePos x="0" y="0"/>
                <wp:positionH relativeFrom="page">
                  <wp:posOffset>914400</wp:posOffset>
                </wp:positionH>
                <wp:positionV relativeFrom="paragraph">
                  <wp:posOffset>162331</wp:posOffset>
                </wp:positionV>
                <wp:extent cx="1828800" cy="7620"/>
                <wp:effectExtent l="0" t="0" r="0" b="0"/>
                <wp:wrapTopAndBottom/>
                <wp:docPr id="138" name="Graphic 138"/>
                <wp:cNvGraphicFramePr>
                  <a:graphicFrameLocks/>
                </wp:cNvGraphicFramePr>
                <a:graphic>
                  <a:graphicData uri="http://schemas.microsoft.com/office/word/2010/wordprocessingShape">
                    <wps:wsp>
                      <wps:cNvPr id="138" name="Graphic 138"/>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2.781992pt;width:144pt;height:.6pt;mso-position-horizontal-relative:page;mso-position-vertical-relative:paragraph;z-index:-15666688;mso-wrap-distance-left:0;mso-wrap-distance-right:0" id="docshape19" filled="true" fillcolor="#000000" stroked="false">
                <v:fill type="solid"/>
                <w10:wrap type="topAndBottom"/>
              </v:rect>
            </w:pict>
          </mc:Fallback>
        </mc:AlternateContent>
      </w:r>
    </w:p>
    <w:p>
      <w:pPr>
        <w:pStyle w:val="BodyText"/>
        <w:spacing w:before="5"/>
        <w:rPr>
          <w:sz w:val="14"/>
        </w:rPr>
      </w:pPr>
    </w:p>
    <w:p>
      <w:pPr>
        <w:spacing w:before="98"/>
        <w:ind w:left="240" w:right="1059" w:hanging="1"/>
        <w:jc w:val="left"/>
        <w:rPr>
          <w:sz w:val="20"/>
        </w:rPr>
      </w:pPr>
      <w:bookmarkStart w:name="_bookmark1" w:id="263"/>
      <w:bookmarkEnd w:id="263"/>
      <w:r>
        <w:rPr/>
      </w:r>
      <w:r>
        <w:rPr>
          <w:sz w:val="20"/>
          <w:vertAlign w:val="superscript"/>
        </w:rPr>
        <w:t>2</w:t>
      </w:r>
      <w:r>
        <w:rPr>
          <w:sz w:val="20"/>
          <w:vertAlign w:val="baseline"/>
        </w:rPr>
        <w:t> Prescription drug monitoring programs (PDMP) are electronic databases that track controlled substance prescriptions</w:t>
      </w:r>
      <w:r>
        <w:rPr>
          <w:spacing w:val="-4"/>
          <w:sz w:val="20"/>
          <w:vertAlign w:val="baseline"/>
        </w:rPr>
        <w:t> </w:t>
      </w:r>
      <w:r>
        <w:rPr>
          <w:sz w:val="20"/>
          <w:vertAlign w:val="baseline"/>
        </w:rPr>
        <w:t>in</w:t>
      </w:r>
      <w:r>
        <w:rPr>
          <w:spacing w:val="-4"/>
          <w:sz w:val="20"/>
          <w:vertAlign w:val="baseline"/>
        </w:rPr>
        <w:t> </w:t>
      </w:r>
      <w:r>
        <w:rPr>
          <w:sz w:val="20"/>
          <w:vertAlign w:val="baseline"/>
        </w:rPr>
        <w:t>states.</w:t>
      </w:r>
      <w:r>
        <w:rPr>
          <w:spacing w:val="40"/>
          <w:sz w:val="20"/>
          <w:vertAlign w:val="baseline"/>
        </w:rPr>
        <w:t> </w:t>
      </w:r>
      <w:r>
        <w:rPr>
          <w:sz w:val="20"/>
          <w:vertAlign w:val="baseline"/>
        </w:rPr>
        <w:t>PDMPs</w:t>
      </w:r>
      <w:r>
        <w:rPr>
          <w:spacing w:val="-4"/>
          <w:sz w:val="20"/>
          <w:vertAlign w:val="baseline"/>
        </w:rPr>
        <w:t> </w:t>
      </w:r>
      <w:r>
        <w:rPr>
          <w:sz w:val="20"/>
          <w:vertAlign w:val="baseline"/>
        </w:rPr>
        <w:t>can</w:t>
      </w:r>
      <w:r>
        <w:rPr>
          <w:spacing w:val="-4"/>
          <w:sz w:val="20"/>
          <w:vertAlign w:val="baseline"/>
        </w:rPr>
        <w:t> </w:t>
      </w:r>
      <w:r>
        <w:rPr>
          <w:sz w:val="20"/>
          <w:vertAlign w:val="baseline"/>
        </w:rPr>
        <w:t>provide</w:t>
      </w:r>
      <w:r>
        <w:rPr>
          <w:spacing w:val="-3"/>
          <w:sz w:val="20"/>
          <w:vertAlign w:val="baseline"/>
        </w:rPr>
        <w:t> </w:t>
      </w:r>
      <w:r>
        <w:rPr>
          <w:sz w:val="20"/>
          <w:vertAlign w:val="baseline"/>
        </w:rPr>
        <w:t>health</w:t>
      </w:r>
      <w:r>
        <w:rPr>
          <w:spacing w:val="-4"/>
          <w:sz w:val="20"/>
          <w:vertAlign w:val="baseline"/>
        </w:rPr>
        <w:t> </w:t>
      </w:r>
      <w:r>
        <w:rPr>
          <w:sz w:val="20"/>
          <w:vertAlign w:val="baseline"/>
        </w:rPr>
        <w:t>authorities</w:t>
      </w:r>
      <w:r>
        <w:rPr>
          <w:spacing w:val="-4"/>
          <w:sz w:val="20"/>
          <w:vertAlign w:val="baseline"/>
        </w:rPr>
        <w:t> </w:t>
      </w:r>
      <w:r>
        <w:rPr>
          <w:sz w:val="20"/>
          <w:vertAlign w:val="baseline"/>
        </w:rPr>
        <w:t>timely</w:t>
      </w:r>
      <w:r>
        <w:rPr>
          <w:spacing w:val="-6"/>
          <w:sz w:val="20"/>
          <w:vertAlign w:val="baseline"/>
        </w:rPr>
        <w:t> </w:t>
      </w:r>
      <w:r>
        <w:rPr>
          <w:sz w:val="20"/>
          <w:vertAlign w:val="baseline"/>
        </w:rPr>
        <w:t>information</w:t>
      </w:r>
      <w:r>
        <w:rPr>
          <w:spacing w:val="-4"/>
          <w:sz w:val="20"/>
          <w:vertAlign w:val="baseline"/>
        </w:rPr>
        <w:t> </w:t>
      </w:r>
      <w:r>
        <w:rPr>
          <w:sz w:val="20"/>
          <w:vertAlign w:val="baseline"/>
        </w:rPr>
        <w:t>about</w:t>
      </w:r>
      <w:r>
        <w:rPr>
          <w:spacing w:val="-3"/>
          <w:sz w:val="20"/>
          <w:vertAlign w:val="baseline"/>
        </w:rPr>
        <w:t> </w:t>
      </w:r>
      <w:r>
        <w:rPr>
          <w:sz w:val="20"/>
          <w:vertAlign w:val="baseline"/>
        </w:rPr>
        <w:t>prescribing</w:t>
      </w:r>
      <w:r>
        <w:rPr>
          <w:spacing w:val="-4"/>
          <w:sz w:val="20"/>
          <w:vertAlign w:val="baseline"/>
        </w:rPr>
        <w:t> </w:t>
      </w:r>
      <w:r>
        <w:rPr>
          <w:sz w:val="20"/>
          <w:vertAlign w:val="baseline"/>
        </w:rPr>
        <w:t>and</w:t>
      </w:r>
      <w:r>
        <w:rPr>
          <w:spacing w:val="-2"/>
          <w:sz w:val="20"/>
          <w:vertAlign w:val="baseline"/>
        </w:rPr>
        <w:t> </w:t>
      </w:r>
      <w:r>
        <w:rPr>
          <w:sz w:val="20"/>
          <w:vertAlign w:val="baseline"/>
        </w:rPr>
        <w:t>patient behaviors that contribute to the “opioid” epidemic and facilitate a nimble and targeted response.</w:t>
      </w:r>
    </w:p>
    <w:p>
      <w:pPr>
        <w:spacing w:line="229" w:lineRule="exact" w:before="0"/>
        <w:ind w:left="240" w:right="0" w:firstLine="0"/>
        <w:jc w:val="left"/>
        <w:rPr>
          <w:sz w:val="20"/>
        </w:rPr>
      </w:pPr>
      <w:bookmarkStart w:name="_bookmark2" w:id="264"/>
      <w:bookmarkEnd w:id="264"/>
      <w:r>
        <w:rPr/>
      </w:r>
      <w:r>
        <w:rPr>
          <w:sz w:val="20"/>
          <w:vertAlign w:val="superscript"/>
        </w:rPr>
        <w:t>3</w:t>
      </w:r>
      <w:r>
        <w:rPr>
          <w:spacing w:val="-1"/>
          <w:sz w:val="20"/>
          <w:vertAlign w:val="baseline"/>
        </w:rPr>
        <w:t> </w:t>
      </w:r>
      <w:r>
        <w:rPr>
          <w:i/>
          <w:spacing w:val="-2"/>
          <w:sz w:val="20"/>
          <w:vertAlign w:val="baseline"/>
        </w:rPr>
        <w:t>Ibid</w:t>
      </w:r>
      <w:r>
        <w:rPr>
          <w:spacing w:val="-2"/>
          <w:sz w:val="20"/>
          <w:vertAlign w:val="baseline"/>
        </w:rPr>
        <w:t>.</w:t>
      </w:r>
    </w:p>
    <w:p>
      <w:pPr>
        <w:spacing w:before="1"/>
        <w:ind w:left="239" w:right="1266" w:firstLine="0"/>
        <w:jc w:val="left"/>
        <w:rPr>
          <w:sz w:val="20"/>
        </w:rPr>
      </w:pPr>
      <w:bookmarkStart w:name="_bookmark3" w:id="265"/>
      <w:bookmarkEnd w:id="265"/>
      <w:r>
        <w:rPr/>
      </w:r>
      <w:r>
        <w:rPr>
          <w:sz w:val="20"/>
          <w:vertAlign w:val="superscript"/>
        </w:rPr>
        <w:t>4</w:t>
      </w:r>
      <w:r>
        <w:rPr>
          <w:spacing w:val="-2"/>
          <w:sz w:val="20"/>
          <w:vertAlign w:val="baseline"/>
        </w:rPr>
        <w:t> </w:t>
      </w:r>
      <w:r>
        <w:rPr>
          <w:sz w:val="20"/>
          <w:vertAlign w:val="baseline"/>
        </w:rPr>
        <w:t>Shah,</w:t>
      </w:r>
      <w:r>
        <w:rPr>
          <w:spacing w:val="-2"/>
          <w:sz w:val="20"/>
          <w:vertAlign w:val="baseline"/>
        </w:rPr>
        <w:t> </w:t>
      </w:r>
      <w:r>
        <w:rPr>
          <w:sz w:val="20"/>
          <w:vertAlign w:val="baseline"/>
        </w:rPr>
        <w:t>Anuj,</w:t>
      </w:r>
      <w:r>
        <w:rPr>
          <w:spacing w:val="-2"/>
          <w:sz w:val="20"/>
          <w:vertAlign w:val="baseline"/>
        </w:rPr>
        <w:t> </w:t>
      </w:r>
      <w:r>
        <w:rPr>
          <w:sz w:val="20"/>
          <w:vertAlign w:val="baseline"/>
        </w:rPr>
        <w:t>Corey</w:t>
      </w:r>
      <w:r>
        <w:rPr>
          <w:spacing w:val="-6"/>
          <w:sz w:val="20"/>
          <w:vertAlign w:val="baseline"/>
        </w:rPr>
        <w:t> </w:t>
      </w:r>
      <w:r>
        <w:rPr>
          <w:sz w:val="20"/>
          <w:vertAlign w:val="baseline"/>
        </w:rPr>
        <w:t>Hayes</w:t>
      </w:r>
      <w:r>
        <w:rPr>
          <w:spacing w:val="-3"/>
          <w:sz w:val="20"/>
          <w:vertAlign w:val="baseline"/>
        </w:rPr>
        <w:t> </w:t>
      </w:r>
      <w:r>
        <w:rPr>
          <w:sz w:val="20"/>
          <w:vertAlign w:val="baseline"/>
        </w:rPr>
        <w:t>and</w:t>
      </w:r>
      <w:r>
        <w:rPr>
          <w:spacing w:val="-2"/>
          <w:sz w:val="20"/>
          <w:vertAlign w:val="baseline"/>
        </w:rPr>
        <w:t> </w:t>
      </w:r>
      <w:r>
        <w:rPr>
          <w:sz w:val="20"/>
          <w:vertAlign w:val="baseline"/>
        </w:rPr>
        <w:t>Bradley</w:t>
      </w:r>
      <w:r>
        <w:rPr>
          <w:spacing w:val="-6"/>
          <w:sz w:val="20"/>
          <w:vertAlign w:val="baseline"/>
        </w:rPr>
        <w:t> </w:t>
      </w:r>
      <w:r>
        <w:rPr>
          <w:sz w:val="20"/>
          <w:vertAlign w:val="baseline"/>
        </w:rPr>
        <w:t>Martin. </w:t>
      </w:r>
      <w:r>
        <w:rPr>
          <w:i/>
          <w:sz w:val="20"/>
          <w:vertAlign w:val="baseline"/>
        </w:rPr>
        <w:t>Characteristics</w:t>
      </w:r>
      <w:r>
        <w:rPr>
          <w:i/>
          <w:spacing w:val="-3"/>
          <w:sz w:val="20"/>
          <w:vertAlign w:val="baseline"/>
        </w:rPr>
        <w:t> </w:t>
      </w:r>
      <w:r>
        <w:rPr>
          <w:i/>
          <w:sz w:val="20"/>
          <w:vertAlign w:val="baseline"/>
        </w:rPr>
        <w:t>of</w:t>
      </w:r>
      <w:r>
        <w:rPr>
          <w:i/>
          <w:spacing w:val="-2"/>
          <w:sz w:val="20"/>
          <w:vertAlign w:val="baseline"/>
        </w:rPr>
        <w:t> </w:t>
      </w:r>
      <w:r>
        <w:rPr>
          <w:i/>
          <w:sz w:val="20"/>
          <w:vertAlign w:val="baseline"/>
        </w:rPr>
        <w:t>Initial</w:t>
      </w:r>
      <w:r>
        <w:rPr>
          <w:i/>
          <w:spacing w:val="-2"/>
          <w:sz w:val="20"/>
          <w:vertAlign w:val="baseline"/>
        </w:rPr>
        <w:t> </w:t>
      </w:r>
      <w:r>
        <w:rPr>
          <w:i/>
          <w:sz w:val="20"/>
          <w:vertAlign w:val="baseline"/>
        </w:rPr>
        <w:t>Prescription</w:t>
      </w:r>
      <w:r>
        <w:rPr>
          <w:i/>
          <w:spacing w:val="-2"/>
          <w:sz w:val="20"/>
          <w:vertAlign w:val="baseline"/>
        </w:rPr>
        <w:t> </w:t>
      </w:r>
      <w:r>
        <w:rPr>
          <w:i/>
          <w:sz w:val="20"/>
          <w:vertAlign w:val="baseline"/>
        </w:rPr>
        <w:t>Episodes</w:t>
      </w:r>
      <w:r>
        <w:rPr>
          <w:i/>
          <w:spacing w:val="-3"/>
          <w:sz w:val="20"/>
          <w:vertAlign w:val="baseline"/>
        </w:rPr>
        <w:t> </w:t>
      </w:r>
      <w:r>
        <w:rPr>
          <w:i/>
          <w:sz w:val="20"/>
          <w:vertAlign w:val="baseline"/>
        </w:rPr>
        <w:t>and</w:t>
      </w:r>
      <w:r>
        <w:rPr>
          <w:i/>
          <w:spacing w:val="-3"/>
          <w:sz w:val="20"/>
          <w:vertAlign w:val="baseline"/>
        </w:rPr>
        <w:t> </w:t>
      </w:r>
      <w:r>
        <w:rPr>
          <w:i/>
          <w:sz w:val="20"/>
          <w:vertAlign w:val="baseline"/>
        </w:rPr>
        <w:t>Likelihood</w:t>
      </w:r>
      <w:r>
        <w:rPr>
          <w:i/>
          <w:spacing w:val="-3"/>
          <w:sz w:val="20"/>
          <w:vertAlign w:val="baseline"/>
        </w:rPr>
        <w:t> </w:t>
      </w:r>
      <w:r>
        <w:rPr>
          <w:i/>
          <w:sz w:val="20"/>
          <w:vertAlign w:val="baseline"/>
        </w:rPr>
        <w:t>of</w:t>
      </w:r>
      <w:r>
        <w:rPr>
          <w:i/>
          <w:sz w:val="20"/>
          <w:vertAlign w:val="baseline"/>
        </w:rPr>
        <w:t> Long-Term Opioid Use — United States, 2006–2015</w:t>
      </w:r>
      <w:r>
        <w:rPr>
          <w:sz w:val="20"/>
          <w:vertAlign w:val="baseline"/>
        </w:rPr>
        <w:t>. MMWR Morb Mortal Wkly Rep 2017;66.</w:t>
      </w:r>
    </w:p>
    <w:p>
      <w:pPr>
        <w:spacing w:after="0"/>
        <w:jc w:val="left"/>
        <w:rPr>
          <w:sz w:val="20"/>
        </w:rPr>
        <w:sectPr>
          <w:pgSz w:w="12240" w:h="15840"/>
          <w:pgMar w:header="0" w:footer="1201" w:top="1360" w:bottom="1400" w:left="1200" w:right="400"/>
        </w:sectPr>
      </w:pPr>
    </w:p>
    <w:p>
      <w:pPr>
        <w:pStyle w:val="ListParagraph"/>
        <w:numPr>
          <w:ilvl w:val="0"/>
          <w:numId w:val="23"/>
        </w:numPr>
        <w:tabs>
          <w:tab w:pos="2851" w:val="left" w:leader="none"/>
        </w:tabs>
        <w:spacing w:line="240" w:lineRule="auto" w:before="79" w:after="0"/>
        <w:ind w:left="2851" w:right="1237" w:hanging="360"/>
        <w:jc w:val="left"/>
        <w:rPr>
          <w:sz w:val="24"/>
        </w:rPr>
      </w:pPr>
      <w:bookmarkStart w:name="2. States may also use the CMS 1115 Heal" w:id="266"/>
      <w:bookmarkEnd w:id="266"/>
      <w:r>
        <w:rPr/>
      </w:r>
      <w:r>
        <w:rPr>
          <w:sz w:val="24"/>
        </w:rPr>
        <w:t>States may</w:t>
      </w:r>
      <w:r>
        <w:rPr>
          <w:spacing w:val="-5"/>
          <w:sz w:val="24"/>
        </w:rPr>
        <w:t> </w:t>
      </w:r>
      <w:r>
        <w:rPr>
          <w:sz w:val="24"/>
        </w:rPr>
        <w:t>also use</w:t>
      </w:r>
      <w:r>
        <w:rPr>
          <w:spacing w:val="-1"/>
          <w:sz w:val="24"/>
        </w:rPr>
        <w:t> </w:t>
      </w:r>
      <w:r>
        <w:rPr>
          <w:sz w:val="24"/>
        </w:rPr>
        <w:t>the</w:t>
      </w:r>
      <w:r>
        <w:rPr>
          <w:spacing w:val="-1"/>
          <w:sz w:val="24"/>
        </w:rPr>
        <w:t> </w:t>
      </w:r>
      <w:r>
        <w:rPr>
          <w:sz w:val="24"/>
        </w:rPr>
        <w:t>CMS 1115</w:t>
      </w:r>
      <w:r>
        <w:rPr>
          <w:spacing w:val="-1"/>
          <w:sz w:val="24"/>
        </w:rPr>
        <w:t> </w:t>
      </w:r>
      <w:r>
        <w:rPr>
          <w:sz w:val="24"/>
        </w:rPr>
        <w:t>Health IT</w:t>
      </w:r>
      <w:r>
        <w:rPr>
          <w:spacing w:val="-1"/>
          <w:sz w:val="24"/>
        </w:rPr>
        <w:t> </w:t>
      </w:r>
      <w:r>
        <w:rPr>
          <w:sz w:val="24"/>
        </w:rPr>
        <w:t>resources available</w:t>
      </w:r>
      <w:r>
        <w:rPr>
          <w:spacing w:val="-1"/>
          <w:sz w:val="24"/>
        </w:rPr>
        <w:t> </w:t>
      </w:r>
      <w:r>
        <w:rPr>
          <w:sz w:val="24"/>
        </w:rPr>
        <w:t>on “Medicaid</w:t>
      </w:r>
      <w:r>
        <w:rPr>
          <w:spacing w:val="-5"/>
          <w:sz w:val="24"/>
        </w:rPr>
        <w:t> </w:t>
      </w:r>
      <w:r>
        <w:rPr>
          <w:sz w:val="24"/>
        </w:rPr>
        <w:t>Program</w:t>
      </w:r>
      <w:r>
        <w:rPr>
          <w:spacing w:val="-5"/>
          <w:sz w:val="24"/>
        </w:rPr>
        <w:t> </w:t>
      </w:r>
      <w:r>
        <w:rPr>
          <w:sz w:val="24"/>
        </w:rPr>
        <w:t>Alignment</w:t>
      </w:r>
      <w:r>
        <w:rPr>
          <w:spacing w:val="-5"/>
          <w:sz w:val="24"/>
        </w:rPr>
        <w:t> </w:t>
      </w:r>
      <w:r>
        <w:rPr>
          <w:sz w:val="24"/>
        </w:rPr>
        <w:t>with</w:t>
      </w:r>
      <w:r>
        <w:rPr>
          <w:spacing w:val="-5"/>
          <w:sz w:val="24"/>
        </w:rPr>
        <w:t> </w:t>
      </w:r>
      <w:r>
        <w:rPr>
          <w:sz w:val="24"/>
        </w:rPr>
        <w:t>State</w:t>
      </w:r>
      <w:r>
        <w:rPr>
          <w:spacing w:val="-6"/>
          <w:sz w:val="24"/>
        </w:rPr>
        <w:t> </w:t>
      </w:r>
      <w:r>
        <w:rPr>
          <w:sz w:val="24"/>
        </w:rPr>
        <w:t>Systems</w:t>
      </w:r>
      <w:r>
        <w:rPr>
          <w:spacing w:val="-5"/>
          <w:sz w:val="24"/>
        </w:rPr>
        <w:t> </w:t>
      </w:r>
      <w:r>
        <w:rPr>
          <w:sz w:val="24"/>
        </w:rPr>
        <w:t>to</w:t>
      </w:r>
      <w:r>
        <w:rPr>
          <w:spacing w:val="-5"/>
          <w:sz w:val="24"/>
        </w:rPr>
        <w:t> </w:t>
      </w:r>
      <w:r>
        <w:rPr>
          <w:sz w:val="24"/>
        </w:rPr>
        <w:t>Advance</w:t>
      </w:r>
      <w:r>
        <w:rPr>
          <w:spacing w:val="-6"/>
          <w:sz w:val="24"/>
        </w:rPr>
        <w:t> </w:t>
      </w:r>
      <w:r>
        <w:rPr>
          <w:sz w:val="24"/>
        </w:rPr>
        <w:t>HIT,</w:t>
      </w:r>
    </w:p>
    <w:p>
      <w:pPr>
        <w:pStyle w:val="BodyText"/>
        <w:ind w:left="2851"/>
      </w:pPr>
      <w:r>
        <w:rPr/>
        <w:t>HIE</w:t>
      </w:r>
      <w:r>
        <w:rPr>
          <w:spacing w:val="-5"/>
        </w:rPr>
        <w:t> </w:t>
      </w:r>
      <w:r>
        <w:rPr/>
        <w:t>and</w:t>
      </w:r>
      <w:r>
        <w:rPr>
          <w:spacing w:val="-1"/>
        </w:rPr>
        <w:t> </w:t>
      </w:r>
      <w:r>
        <w:rPr/>
        <w:t>Interoperability”</w:t>
      </w:r>
      <w:r>
        <w:rPr>
          <w:spacing w:val="-4"/>
        </w:rPr>
        <w:t> </w:t>
      </w:r>
      <w:r>
        <w:rPr>
          <w:spacing w:val="-5"/>
        </w:rPr>
        <w:t>at</w:t>
      </w:r>
    </w:p>
    <w:p>
      <w:pPr>
        <w:pStyle w:val="BodyText"/>
        <w:ind w:left="2851" w:right="1059"/>
      </w:pPr>
      <w:r>
        <w:rPr>
          <w:spacing w:val="-2"/>
        </w:rPr>
        <w:t>https</w:t>
      </w:r>
      <w:hyperlink r:id="rId101">
        <w:r>
          <w:rPr>
            <w:spacing w:val="-2"/>
          </w:rPr>
          <w:t>://w</w:t>
        </w:r>
      </w:hyperlink>
      <w:r>
        <w:rPr>
          <w:spacing w:val="-2"/>
        </w:rPr>
        <w:t>ww.</w:t>
      </w:r>
      <w:hyperlink r:id="rId101">
        <w:r>
          <w:rPr>
            <w:spacing w:val="-2"/>
          </w:rPr>
          <w:t>medicaid.gov/medicaid/data-and-systems/hie/index.html.</w:t>
        </w:r>
      </w:hyperlink>
      <w:r>
        <w:rPr>
          <w:spacing w:val="-2"/>
        </w:rPr>
        <w:t> </w:t>
      </w:r>
      <w:r>
        <w:rPr/>
        <w:t>States should review the “1115 Health IT Toolkit” for health IT considerations in conducting an assessment and developing their Health IT Plans.</w:t>
      </w:r>
    </w:p>
    <w:p>
      <w:pPr>
        <w:pStyle w:val="ListParagraph"/>
        <w:numPr>
          <w:ilvl w:val="0"/>
          <w:numId w:val="23"/>
        </w:numPr>
        <w:tabs>
          <w:tab w:pos="2851" w:val="left" w:leader="none"/>
        </w:tabs>
        <w:spacing w:line="240" w:lineRule="auto" w:before="120" w:after="0"/>
        <w:ind w:left="2851" w:right="1203" w:hanging="360"/>
        <w:jc w:val="left"/>
        <w:rPr>
          <w:sz w:val="24"/>
        </w:rPr>
      </w:pPr>
      <w:bookmarkStart w:name="3. States may request from CMS technical" w:id="267"/>
      <w:bookmarkEnd w:id="267"/>
      <w:r>
        <w:rPr/>
      </w:r>
      <w:r>
        <w:rPr>
          <w:sz w:val="24"/>
        </w:rPr>
        <w:t>States may request from CMS technical assistance to conduct an assessment</w:t>
      </w:r>
      <w:r>
        <w:rPr>
          <w:spacing w:val="-4"/>
          <w:sz w:val="24"/>
        </w:rPr>
        <w:t> </w:t>
      </w:r>
      <w:r>
        <w:rPr>
          <w:sz w:val="24"/>
        </w:rPr>
        <w:t>and</w:t>
      </w:r>
      <w:r>
        <w:rPr>
          <w:spacing w:val="-4"/>
          <w:sz w:val="24"/>
        </w:rPr>
        <w:t> </w:t>
      </w:r>
      <w:r>
        <w:rPr>
          <w:sz w:val="24"/>
        </w:rPr>
        <w:t>develop</w:t>
      </w:r>
      <w:r>
        <w:rPr>
          <w:spacing w:val="-4"/>
          <w:sz w:val="24"/>
        </w:rPr>
        <w:t> </w:t>
      </w:r>
      <w:r>
        <w:rPr>
          <w:sz w:val="24"/>
        </w:rPr>
        <w:t>plans</w:t>
      </w:r>
      <w:r>
        <w:rPr>
          <w:spacing w:val="-4"/>
          <w:sz w:val="24"/>
        </w:rPr>
        <w:t> </w:t>
      </w:r>
      <w:r>
        <w:rPr>
          <w:sz w:val="24"/>
        </w:rPr>
        <w:t>to</w:t>
      </w:r>
      <w:r>
        <w:rPr>
          <w:spacing w:val="-4"/>
          <w:sz w:val="24"/>
        </w:rPr>
        <w:t> </w:t>
      </w:r>
      <w:r>
        <w:rPr>
          <w:sz w:val="24"/>
        </w:rPr>
        <w:t>ensure</w:t>
      </w:r>
      <w:r>
        <w:rPr>
          <w:spacing w:val="-5"/>
          <w:sz w:val="24"/>
        </w:rPr>
        <w:t> </w:t>
      </w:r>
      <w:r>
        <w:rPr>
          <w:sz w:val="24"/>
        </w:rPr>
        <w:t>they</w:t>
      </w:r>
      <w:r>
        <w:rPr>
          <w:spacing w:val="-8"/>
          <w:sz w:val="24"/>
        </w:rPr>
        <w:t> </w:t>
      </w:r>
      <w:r>
        <w:rPr>
          <w:sz w:val="24"/>
        </w:rPr>
        <w:t>have</w:t>
      </w:r>
      <w:r>
        <w:rPr>
          <w:spacing w:val="-3"/>
          <w:sz w:val="24"/>
        </w:rPr>
        <w:t> </w:t>
      </w:r>
      <w:r>
        <w:rPr>
          <w:sz w:val="24"/>
        </w:rPr>
        <w:t>the</w:t>
      </w:r>
      <w:r>
        <w:rPr>
          <w:spacing w:val="-5"/>
          <w:sz w:val="24"/>
        </w:rPr>
        <w:t> </w:t>
      </w:r>
      <w:r>
        <w:rPr>
          <w:sz w:val="24"/>
        </w:rPr>
        <w:t>specific</w:t>
      </w:r>
      <w:r>
        <w:rPr>
          <w:spacing w:val="-5"/>
          <w:sz w:val="24"/>
        </w:rPr>
        <w:t> </w:t>
      </w:r>
      <w:r>
        <w:rPr>
          <w:sz w:val="24"/>
        </w:rPr>
        <w:t>health IT infrastructure with regards to PDMP interoperability, electronic care plan sharing, care coordination, and behavioral health-physical health integration, to meet the goals of the demonstration.</w:t>
      </w:r>
    </w:p>
    <w:p>
      <w:pPr>
        <w:pStyle w:val="BodyText"/>
        <w:spacing w:before="10"/>
        <w:rPr>
          <w:sz w:val="20"/>
        </w:rPr>
      </w:pPr>
    </w:p>
    <w:p>
      <w:pPr>
        <w:pStyle w:val="BodyText"/>
        <w:ind w:left="871" w:right="1059"/>
      </w:pPr>
      <w:r>
        <w:rPr/>
        <w:drawing>
          <wp:anchor distT="0" distB="0" distL="0" distR="0" allowOverlap="1" layoutInCell="1" locked="0" behindDoc="0" simplePos="0" relativeHeight="15794176">
            <wp:simplePos x="0" y="0"/>
            <wp:positionH relativeFrom="page">
              <wp:posOffset>975360</wp:posOffset>
            </wp:positionH>
            <wp:positionV relativeFrom="paragraph">
              <wp:posOffset>35612</wp:posOffset>
            </wp:positionV>
            <wp:extent cx="217931" cy="112763"/>
            <wp:effectExtent l="0" t="0" r="0" b="0"/>
            <wp:wrapNone/>
            <wp:docPr id="139" name="Image 139"/>
            <wp:cNvGraphicFramePr>
              <a:graphicFrameLocks/>
            </wp:cNvGraphicFramePr>
            <a:graphic>
              <a:graphicData uri="http://schemas.openxmlformats.org/drawingml/2006/picture">
                <pic:pic>
                  <pic:nvPicPr>
                    <pic:cNvPr id="139" name="Image 139"/>
                    <pic:cNvPicPr/>
                  </pic:nvPicPr>
                  <pic:blipFill>
                    <a:blip r:embed="rId102" cstate="print"/>
                    <a:stretch>
                      <a:fillRect/>
                    </a:stretch>
                  </pic:blipFill>
                  <pic:spPr>
                    <a:xfrm>
                      <a:off x="0" y="0"/>
                      <a:ext cx="217931" cy="112763"/>
                    </a:xfrm>
                    <a:prstGeom prst="rect">
                      <a:avLst/>
                    </a:prstGeom>
                  </pic:spPr>
                </pic:pic>
              </a:graphicData>
            </a:graphic>
          </wp:anchor>
        </w:drawing>
      </w:r>
      <w:bookmarkStart w:name="6.4. SUD Transition Period.  To avoid se" w:id="268"/>
      <w:bookmarkEnd w:id="268"/>
      <w:r>
        <w:rPr/>
      </w:r>
      <w:r>
        <w:rPr>
          <w:b/>
        </w:rPr>
        <w:t>SUD Transition Period.</w:t>
      </w:r>
      <w:r>
        <w:rPr>
          <w:b/>
          <w:spacing w:val="40"/>
        </w:rPr>
        <w:t> </w:t>
      </w:r>
      <w:r>
        <w:rPr/>
        <w:t>To avoid service disruption for beneficiaries as the Commonwealth aligns with expectations in SMDL #17-003 and these STCs, CMS is authorizing a SUD transition period until March 31, 2023.</w:t>
      </w:r>
      <w:r>
        <w:rPr>
          <w:spacing w:val="40"/>
        </w:rPr>
        <w:t> </w:t>
      </w:r>
      <w:r>
        <w:rPr/>
        <w:t>During this period, the Commonwealth can continue to claim FFP for services authorized under the demonstration.</w:t>
      </w:r>
      <w:r>
        <w:rPr>
          <w:spacing w:val="40"/>
        </w:rPr>
        <w:t> </w:t>
      </w:r>
      <w:r>
        <w:rPr/>
        <w:t>The</w:t>
      </w:r>
      <w:r>
        <w:rPr>
          <w:spacing w:val="-4"/>
        </w:rPr>
        <w:t> </w:t>
      </w:r>
      <w:r>
        <w:rPr/>
        <w:t>SUD</w:t>
      </w:r>
      <w:r>
        <w:rPr>
          <w:spacing w:val="-4"/>
        </w:rPr>
        <w:t> </w:t>
      </w:r>
      <w:r>
        <w:rPr/>
        <w:t>Health</w:t>
      </w:r>
      <w:r>
        <w:rPr>
          <w:spacing w:val="-1"/>
        </w:rPr>
        <w:t> </w:t>
      </w:r>
      <w:r>
        <w:rPr/>
        <w:t>IT</w:t>
      </w:r>
      <w:r>
        <w:rPr>
          <w:spacing w:val="-4"/>
        </w:rPr>
        <w:t> </w:t>
      </w:r>
      <w:r>
        <w:rPr/>
        <w:t>Plan</w:t>
      </w:r>
      <w:r>
        <w:rPr>
          <w:spacing w:val="-3"/>
        </w:rPr>
        <w:t> </w:t>
      </w:r>
      <w:r>
        <w:rPr/>
        <w:t>must</w:t>
      </w:r>
      <w:r>
        <w:rPr>
          <w:spacing w:val="-3"/>
        </w:rPr>
        <w:t> </w:t>
      </w:r>
      <w:r>
        <w:rPr/>
        <w:t>be</w:t>
      </w:r>
      <w:r>
        <w:rPr>
          <w:spacing w:val="-4"/>
        </w:rPr>
        <w:t> </w:t>
      </w:r>
      <w:r>
        <w:rPr/>
        <w:t>submitted</w:t>
      </w:r>
      <w:r>
        <w:rPr>
          <w:spacing w:val="-3"/>
        </w:rPr>
        <w:t> </w:t>
      </w:r>
      <w:r>
        <w:rPr/>
        <w:t>to</w:t>
      </w:r>
      <w:r>
        <w:rPr>
          <w:spacing w:val="-3"/>
        </w:rPr>
        <w:t> </w:t>
      </w:r>
      <w:r>
        <w:rPr/>
        <w:t>CMS</w:t>
      </w:r>
      <w:r>
        <w:rPr>
          <w:spacing w:val="-3"/>
        </w:rPr>
        <w:t> </w:t>
      </w:r>
      <w:r>
        <w:rPr/>
        <w:t>no</w:t>
      </w:r>
      <w:r>
        <w:rPr>
          <w:spacing w:val="-3"/>
        </w:rPr>
        <w:t> </w:t>
      </w:r>
      <w:r>
        <w:rPr/>
        <w:t>later</w:t>
      </w:r>
      <w:r>
        <w:rPr>
          <w:spacing w:val="-4"/>
        </w:rPr>
        <w:t> </w:t>
      </w:r>
      <w:r>
        <w:rPr/>
        <w:t>than</w:t>
      </w:r>
      <w:r>
        <w:rPr>
          <w:spacing w:val="-3"/>
        </w:rPr>
        <w:t> </w:t>
      </w:r>
      <w:r>
        <w:rPr/>
        <w:t>60</w:t>
      </w:r>
      <w:r>
        <w:rPr>
          <w:spacing w:val="-3"/>
        </w:rPr>
        <w:t> </w:t>
      </w:r>
      <w:r>
        <w:rPr/>
        <w:t>days after the demonstration effective date and must be approved by the end of the transition period in order for the Commonwealth to continue claiming FFP after March 31, 2023.</w:t>
      </w:r>
    </w:p>
    <w:p>
      <w:pPr>
        <w:pStyle w:val="BodyText"/>
        <w:spacing w:before="10"/>
        <w:rPr>
          <w:sz w:val="20"/>
        </w:rPr>
      </w:pPr>
    </w:p>
    <w:p>
      <w:pPr>
        <w:pStyle w:val="BodyText"/>
        <w:ind w:left="871" w:right="1059"/>
      </w:pPr>
      <w:r>
        <w:rPr/>
        <w:drawing>
          <wp:anchor distT="0" distB="0" distL="0" distR="0" allowOverlap="1" layoutInCell="1" locked="0" behindDoc="0" simplePos="0" relativeHeight="15794688">
            <wp:simplePos x="0" y="0"/>
            <wp:positionH relativeFrom="page">
              <wp:posOffset>975359</wp:posOffset>
            </wp:positionH>
            <wp:positionV relativeFrom="paragraph">
              <wp:posOffset>35599</wp:posOffset>
            </wp:positionV>
            <wp:extent cx="217931" cy="112775"/>
            <wp:effectExtent l="0" t="0" r="0" b="0"/>
            <wp:wrapNone/>
            <wp:docPr id="140" name="Image 140"/>
            <wp:cNvGraphicFramePr>
              <a:graphicFrameLocks/>
            </wp:cNvGraphicFramePr>
            <a:graphic>
              <a:graphicData uri="http://schemas.openxmlformats.org/drawingml/2006/picture">
                <pic:pic>
                  <pic:nvPicPr>
                    <pic:cNvPr id="140" name="Image 140"/>
                    <pic:cNvPicPr/>
                  </pic:nvPicPr>
                  <pic:blipFill>
                    <a:blip r:embed="rId103" cstate="print"/>
                    <a:stretch>
                      <a:fillRect/>
                    </a:stretch>
                  </pic:blipFill>
                  <pic:spPr>
                    <a:xfrm>
                      <a:off x="0" y="0"/>
                      <a:ext cx="217931" cy="112775"/>
                    </a:xfrm>
                    <a:prstGeom prst="rect">
                      <a:avLst/>
                    </a:prstGeom>
                  </pic:spPr>
                </pic:pic>
              </a:graphicData>
            </a:graphic>
          </wp:anchor>
        </w:drawing>
      </w:r>
      <w:bookmarkStart w:name="6.5. SUD Monitoring Protocol.  The Commo" w:id="269"/>
      <w:bookmarkEnd w:id="269"/>
      <w:r>
        <w:rPr/>
      </w:r>
      <w:r>
        <w:rPr>
          <w:b/>
        </w:rPr>
        <w:t>SUD Monitoring Protocol.</w:t>
      </w:r>
      <w:r>
        <w:rPr>
          <w:b/>
          <w:spacing w:val="40"/>
        </w:rPr>
        <w:t> </w:t>
      </w:r>
      <w:r>
        <w:rPr/>
        <w:t>The Commonwealth must submit a Monitoring Protocol for the SUD programs authorized by this demonstration within 150 calendar days after approval of the demonstration.</w:t>
      </w:r>
      <w:r>
        <w:rPr>
          <w:spacing w:val="40"/>
        </w:rPr>
        <w:t> </w:t>
      </w:r>
      <w:r>
        <w:rPr/>
        <w:t>The Monitoring Protocol Template must be developed in cooperation with CMS and is subject to CMS approval.</w:t>
      </w:r>
      <w:r>
        <w:rPr>
          <w:spacing w:val="40"/>
        </w:rPr>
        <w:t> </w:t>
      </w:r>
      <w:r>
        <w:rPr/>
        <w:t>The</w:t>
      </w:r>
      <w:r>
        <w:rPr>
          <w:spacing w:val="-1"/>
        </w:rPr>
        <w:t> </w:t>
      </w:r>
      <w:r>
        <w:rPr/>
        <w:t>Commonwealth must submit a revised Monitoring Protocol within 60 calendar days after receipt of CMS’s comments. Once approved, the SUD Monitoring Protocol will be incorporated into the STCs as Attachment G.</w:t>
      </w:r>
      <w:r>
        <w:rPr>
          <w:spacing w:val="40"/>
        </w:rPr>
        <w:t> </w:t>
      </w:r>
      <w:r>
        <w:rPr/>
        <w:t>Progress on the performance measures identified in the Monitoring Protocol</w:t>
      </w:r>
      <w:r>
        <w:rPr>
          <w:spacing w:val="-3"/>
        </w:rPr>
        <w:t> </w:t>
      </w:r>
      <w:r>
        <w:rPr/>
        <w:t>must</w:t>
      </w:r>
      <w:r>
        <w:rPr>
          <w:spacing w:val="-3"/>
        </w:rPr>
        <w:t> </w:t>
      </w:r>
      <w:r>
        <w:rPr/>
        <w:t>be</w:t>
      </w:r>
      <w:r>
        <w:rPr>
          <w:spacing w:val="-4"/>
        </w:rPr>
        <w:t> </w:t>
      </w:r>
      <w:r>
        <w:rPr/>
        <w:t>reported</w:t>
      </w:r>
      <w:r>
        <w:rPr>
          <w:spacing w:val="-3"/>
        </w:rPr>
        <w:t> </w:t>
      </w:r>
      <w:r>
        <w:rPr/>
        <w:t>via</w:t>
      </w:r>
      <w:r>
        <w:rPr>
          <w:spacing w:val="-4"/>
        </w:rPr>
        <w:t> </w:t>
      </w:r>
      <w:r>
        <w:rPr/>
        <w:t>the</w:t>
      </w:r>
      <w:r>
        <w:rPr>
          <w:spacing w:val="-4"/>
        </w:rPr>
        <w:t> </w:t>
      </w:r>
      <w:r>
        <w:rPr/>
        <w:t>Quarterly</w:t>
      </w:r>
      <w:r>
        <w:rPr>
          <w:spacing w:val="-7"/>
        </w:rPr>
        <w:t> </w:t>
      </w:r>
      <w:r>
        <w:rPr/>
        <w:t>and</w:t>
      </w:r>
      <w:r>
        <w:rPr>
          <w:spacing w:val="-3"/>
        </w:rPr>
        <w:t> </w:t>
      </w:r>
      <w:r>
        <w:rPr/>
        <w:t>Annual</w:t>
      </w:r>
      <w:r>
        <w:rPr>
          <w:spacing w:val="-3"/>
        </w:rPr>
        <w:t> </w:t>
      </w:r>
      <w:r>
        <w:rPr/>
        <w:t>Monitoring</w:t>
      </w:r>
      <w:r>
        <w:rPr>
          <w:spacing w:val="-5"/>
        </w:rPr>
        <w:t> </w:t>
      </w:r>
      <w:r>
        <w:rPr/>
        <w:t>Reports.</w:t>
      </w:r>
      <w:r>
        <w:rPr>
          <w:spacing w:val="40"/>
        </w:rPr>
        <w:t> </w:t>
      </w:r>
      <w:r>
        <w:rPr/>
        <w:t>Components of the SUD Monitoring Protocol must include:</w:t>
      </w:r>
    </w:p>
    <w:p>
      <w:pPr>
        <w:pStyle w:val="BodyText"/>
        <w:spacing w:before="10"/>
        <w:rPr>
          <w:sz w:val="20"/>
        </w:rPr>
      </w:pPr>
    </w:p>
    <w:p>
      <w:pPr>
        <w:pStyle w:val="BodyText"/>
        <w:spacing w:before="1"/>
        <w:ind w:left="1411" w:right="1059"/>
      </w:pPr>
      <w:r>
        <w:rPr/>
        <w:drawing>
          <wp:anchor distT="0" distB="0" distL="0" distR="0" allowOverlap="1" layoutInCell="1" locked="0" behindDoc="0" simplePos="0" relativeHeight="15795200">
            <wp:simplePos x="0" y="0"/>
            <wp:positionH relativeFrom="page">
              <wp:posOffset>1431036</wp:posOffset>
            </wp:positionH>
            <wp:positionV relativeFrom="paragraph">
              <wp:posOffset>68251</wp:posOffset>
            </wp:positionV>
            <wp:extent cx="96011" cy="80759"/>
            <wp:effectExtent l="0" t="0" r="0" b="0"/>
            <wp:wrapNone/>
            <wp:docPr id="141" name="Image 141"/>
            <wp:cNvGraphicFramePr>
              <a:graphicFrameLocks/>
            </wp:cNvGraphicFramePr>
            <a:graphic>
              <a:graphicData uri="http://schemas.openxmlformats.org/drawingml/2006/picture">
                <pic:pic>
                  <pic:nvPicPr>
                    <pic:cNvPr id="141" name="Image 141"/>
                    <pic:cNvPicPr/>
                  </pic:nvPicPr>
                  <pic:blipFill>
                    <a:blip r:embed="rId40" cstate="print"/>
                    <a:stretch>
                      <a:fillRect/>
                    </a:stretch>
                  </pic:blipFill>
                  <pic:spPr>
                    <a:xfrm>
                      <a:off x="0" y="0"/>
                      <a:ext cx="96011" cy="80759"/>
                    </a:xfrm>
                    <a:prstGeom prst="rect">
                      <a:avLst/>
                    </a:prstGeom>
                  </pic:spPr>
                </pic:pic>
              </a:graphicData>
            </a:graphic>
          </wp:anchor>
        </w:drawing>
      </w:r>
      <w:bookmarkStart w:name="a. An assurance of the Commonwealth’s co" w:id="270"/>
      <w:bookmarkEnd w:id="270"/>
      <w:r>
        <w:rPr/>
      </w:r>
      <w:r>
        <w:rPr/>
        <w:t>An assurance of the Commonwealth’s commitment and ability</w:t>
      </w:r>
      <w:r>
        <w:rPr>
          <w:spacing w:val="-2"/>
        </w:rPr>
        <w:t> </w:t>
      </w:r>
      <w:r>
        <w:rPr/>
        <w:t>to report information relevant</w:t>
      </w:r>
      <w:r>
        <w:rPr>
          <w:spacing w:val="-3"/>
        </w:rPr>
        <w:t> </w:t>
      </w:r>
      <w:r>
        <w:rPr/>
        <w:t>to</w:t>
      </w:r>
      <w:r>
        <w:rPr>
          <w:spacing w:val="-3"/>
        </w:rPr>
        <w:t> </w:t>
      </w:r>
      <w:r>
        <w:rPr/>
        <w:t>each</w:t>
      </w:r>
      <w:r>
        <w:rPr>
          <w:spacing w:val="-3"/>
        </w:rPr>
        <w:t> </w:t>
      </w:r>
      <w:r>
        <w:rPr/>
        <w:t>of</w:t>
      </w:r>
      <w:r>
        <w:rPr>
          <w:spacing w:val="-4"/>
        </w:rPr>
        <w:t> </w:t>
      </w:r>
      <w:r>
        <w:rPr/>
        <w:t>the</w:t>
      </w:r>
      <w:r>
        <w:rPr>
          <w:spacing w:val="-2"/>
        </w:rPr>
        <w:t> </w:t>
      </w:r>
      <w:r>
        <w:rPr/>
        <w:t>program</w:t>
      </w:r>
      <w:r>
        <w:rPr>
          <w:spacing w:val="-3"/>
        </w:rPr>
        <w:t> </w:t>
      </w:r>
      <w:r>
        <w:rPr/>
        <w:t>implementation</w:t>
      </w:r>
      <w:r>
        <w:rPr>
          <w:spacing w:val="-3"/>
        </w:rPr>
        <w:t> </w:t>
      </w:r>
      <w:r>
        <w:rPr/>
        <w:t>areas</w:t>
      </w:r>
      <w:r>
        <w:rPr>
          <w:spacing w:val="-3"/>
        </w:rPr>
        <w:t> </w:t>
      </w:r>
      <w:r>
        <w:rPr/>
        <w:t>listed</w:t>
      </w:r>
      <w:r>
        <w:rPr>
          <w:spacing w:val="-3"/>
        </w:rPr>
        <w:t> </w:t>
      </w:r>
      <w:r>
        <w:rPr/>
        <w:t>in</w:t>
      </w:r>
      <w:r>
        <w:rPr>
          <w:spacing w:val="-3"/>
        </w:rPr>
        <w:t> </w:t>
      </w:r>
      <w:r>
        <w:rPr/>
        <w:t>STC</w:t>
      </w:r>
      <w:r>
        <w:rPr>
          <w:spacing w:val="-3"/>
        </w:rPr>
        <w:t> </w:t>
      </w:r>
      <w:r>
        <w:rPr/>
        <w:t>6.2</w:t>
      </w:r>
      <w:r>
        <w:rPr>
          <w:spacing w:val="-3"/>
        </w:rPr>
        <w:t> </w:t>
      </w:r>
      <w:r>
        <w:rPr/>
        <w:t>and</w:t>
      </w:r>
      <w:r>
        <w:rPr>
          <w:spacing w:val="-3"/>
        </w:rPr>
        <w:t> </w:t>
      </w:r>
      <w:r>
        <w:rPr/>
        <w:t>reporting relevant information to the Commonwealth’s SUD Health IT Plan described in STC </w:t>
      </w:r>
      <w:r>
        <w:rPr>
          <w:spacing w:val="-4"/>
        </w:rPr>
        <w:t>6.3;</w:t>
      </w:r>
    </w:p>
    <w:p>
      <w:pPr>
        <w:pStyle w:val="BodyText"/>
        <w:spacing w:before="9"/>
        <w:rPr>
          <w:sz w:val="20"/>
        </w:rPr>
      </w:pPr>
    </w:p>
    <w:p>
      <w:pPr>
        <w:pStyle w:val="BodyText"/>
        <w:spacing w:before="1"/>
        <w:ind w:left="1411" w:right="1059"/>
      </w:pPr>
      <w:r>
        <w:rPr/>
        <w:drawing>
          <wp:anchor distT="0" distB="0" distL="0" distR="0" allowOverlap="1" layoutInCell="1" locked="0" behindDoc="0" simplePos="0" relativeHeight="15795712">
            <wp:simplePos x="0" y="0"/>
            <wp:positionH relativeFrom="page">
              <wp:posOffset>1424939</wp:posOffset>
            </wp:positionH>
            <wp:positionV relativeFrom="paragraph">
              <wp:posOffset>33186</wp:posOffset>
            </wp:positionV>
            <wp:extent cx="111251" cy="115823"/>
            <wp:effectExtent l="0" t="0" r="0" b="0"/>
            <wp:wrapNone/>
            <wp:docPr id="142" name="Image 142"/>
            <wp:cNvGraphicFramePr>
              <a:graphicFrameLocks/>
            </wp:cNvGraphicFramePr>
            <a:graphic>
              <a:graphicData uri="http://schemas.openxmlformats.org/drawingml/2006/picture">
                <pic:pic>
                  <pic:nvPicPr>
                    <pic:cNvPr id="142" name="Image 142"/>
                    <pic:cNvPicPr/>
                  </pic:nvPicPr>
                  <pic:blipFill>
                    <a:blip r:embed="rId34" cstate="print"/>
                    <a:stretch>
                      <a:fillRect/>
                    </a:stretch>
                  </pic:blipFill>
                  <pic:spPr>
                    <a:xfrm>
                      <a:off x="0" y="0"/>
                      <a:ext cx="111251" cy="115823"/>
                    </a:xfrm>
                    <a:prstGeom prst="rect">
                      <a:avLst/>
                    </a:prstGeom>
                  </pic:spPr>
                </pic:pic>
              </a:graphicData>
            </a:graphic>
          </wp:anchor>
        </w:drawing>
      </w:r>
      <w:bookmarkStart w:name="b. A description of the methods of data " w:id="271"/>
      <w:bookmarkEnd w:id="271"/>
      <w:r>
        <w:rPr/>
      </w:r>
      <w:r>
        <w:rPr/>
        <w:t>A</w:t>
      </w:r>
      <w:r>
        <w:rPr>
          <w:spacing w:val="-4"/>
        </w:rPr>
        <w:t> </w:t>
      </w:r>
      <w:r>
        <w:rPr/>
        <w:t>description</w:t>
      </w:r>
      <w:r>
        <w:rPr>
          <w:spacing w:val="-3"/>
        </w:rPr>
        <w:t> </w:t>
      </w:r>
      <w:r>
        <w:rPr/>
        <w:t>of</w:t>
      </w:r>
      <w:r>
        <w:rPr>
          <w:spacing w:val="-4"/>
        </w:rPr>
        <w:t> </w:t>
      </w:r>
      <w:r>
        <w:rPr/>
        <w:t>the</w:t>
      </w:r>
      <w:r>
        <w:rPr>
          <w:spacing w:val="-4"/>
        </w:rPr>
        <w:t> </w:t>
      </w:r>
      <w:r>
        <w:rPr/>
        <w:t>methods</w:t>
      </w:r>
      <w:r>
        <w:rPr>
          <w:spacing w:val="-3"/>
        </w:rPr>
        <w:t> </w:t>
      </w:r>
      <w:r>
        <w:rPr/>
        <w:t>of</w:t>
      </w:r>
      <w:r>
        <w:rPr>
          <w:spacing w:val="-4"/>
        </w:rPr>
        <w:t> </w:t>
      </w:r>
      <w:r>
        <w:rPr/>
        <w:t>data</w:t>
      </w:r>
      <w:r>
        <w:rPr>
          <w:spacing w:val="-4"/>
        </w:rPr>
        <w:t> </w:t>
      </w:r>
      <w:r>
        <w:rPr/>
        <w:t>collection</w:t>
      </w:r>
      <w:r>
        <w:rPr>
          <w:spacing w:val="-3"/>
        </w:rPr>
        <w:t> </w:t>
      </w:r>
      <w:r>
        <w:rPr/>
        <w:t>and</w:t>
      </w:r>
      <w:r>
        <w:rPr>
          <w:spacing w:val="-4"/>
        </w:rPr>
        <w:t> </w:t>
      </w:r>
      <w:r>
        <w:rPr/>
        <w:t>timeframes</w:t>
      </w:r>
      <w:r>
        <w:rPr>
          <w:spacing w:val="-3"/>
        </w:rPr>
        <w:t> </w:t>
      </w:r>
      <w:r>
        <w:rPr/>
        <w:t>for</w:t>
      </w:r>
      <w:r>
        <w:rPr>
          <w:spacing w:val="-2"/>
        </w:rPr>
        <w:t> </w:t>
      </w:r>
      <w:r>
        <w:rPr/>
        <w:t>reporting</w:t>
      </w:r>
      <w:r>
        <w:rPr>
          <w:spacing w:val="-6"/>
        </w:rPr>
        <w:t> </w:t>
      </w:r>
      <w:r>
        <w:rPr/>
        <w:t>on</w:t>
      </w:r>
      <w:r>
        <w:rPr>
          <w:spacing w:val="-3"/>
        </w:rPr>
        <w:t> </w:t>
      </w:r>
      <w:r>
        <w:rPr/>
        <w:t>the Commonwealth’s progress on required measures as part of the monitoring and reporting requirements described in Section 16 of the STCs; and</w:t>
      </w:r>
    </w:p>
    <w:p>
      <w:pPr>
        <w:pStyle w:val="BodyText"/>
        <w:spacing w:before="10"/>
        <w:rPr>
          <w:sz w:val="20"/>
        </w:rPr>
      </w:pPr>
    </w:p>
    <w:p>
      <w:pPr>
        <w:pStyle w:val="BodyText"/>
        <w:ind w:left="1411" w:right="1117"/>
      </w:pPr>
      <w:r>
        <w:rPr/>
        <w:drawing>
          <wp:anchor distT="0" distB="0" distL="0" distR="0" allowOverlap="1" layoutInCell="1" locked="0" behindDoc="0" simplePos="0" relativeHeight="15796224">
            <wp:simplePos x="0" y="0"/>
            <wp:positionH relativeFrom="page">
              <wp:posOffset>1431036</wp:posOffset>
            </wp:positionH>
            <wp:positionV relativeFrom="paragraph">
              <wp:posOffset>67616</wp:posOffset>
            </wp:positionV>
            <wp:extent cx="96011" cy="80758"/>
            <wp:effectExtent l="0" t="0" r="0" b="0"/>
            <wp:wrapNone/>
            <wp:docPr id="143" name="Image 143"/>
            <wp:cNvGraphicFramePr>
              <a:graphicFrameLocks/>
            </wp:cNvGraphicFramePr>
            <a:graphic>
              <a:graphicData uri="http://schemas.openxmlformats.org/drawingml/2006/picture">
                <pic:pic>
                  <pic:nvPicPr>
                    <pic:cNvPr id="143" name="Image 143"/>
                    <pic:cNvPicPr/>
                  </pic:nvPicPr>
                  <pic:blipFill>
                    <a:blip r:embed="rId41" cstate="print"/>
                    <a:stretch>
                      <a:fillRect/>
                    </a:stretch>
                  </pic:blipFill>
                  <pic:spPr>
                    <a:xfrm>
                      <a:off x="0" y="0"/>
                      <a:ext cx="96011" cy="80758"/>
                    </a:xfrm>
                    <a:prstGeom prst="rect">
                      <a:avLst/>
                    </a:prstGeom>
                  </pic:spPr>
                </pic:pic>
              </a:graphicData>
            </a:graphic>
          </wp:anchor>
        </w:drawing>
      </w:r>
      <w:bookmarkStart w:name="c. A description of baselines and target" w:id="272"/>
      <w:bookmarkEnd w:id="272"/>
      <w:r>
        <w:rPr/>
      </w:r>
      <w:r>
        <w:rPr/>
        <w:t>A description of baselines and targets to be achieved by the end of the demonstration.</w:t>
      </w:r>
      <w:r>
        <w:rPr>
          <w:spacing w:val="40"/>
        </w:rPr>
        <w:t> </w:t>
      </w:r>
      <w:r>
        <w:rPr/>
        <w:t>Where</w:t>
      </w:r>
      <w:r>
        <w:rPr>
          <w:spacing w:val="-4"/>
        </w:rPr>
        <w:t> </w:t>
      </w:r>
      <w:r>
        <w:rPr/>
        <w:t>possible,</w:t>
      </w:r>
      <w:r>
        <w:rPr>
          <w:spacing w:val="-3"/>
        </w:rPr>
        <w:t> </w:t>
      </w:r>
      <w:r>
        <w:rPr/>
        <w:t>baselines</w:t>
      </w:r>
      <w:r>
        <w:rPr>
          <w:spacing w:val="-3"/>
        </w:rPr>
        <w:t> </w:t>
      </w:r>
      <w:r>
        <w:rPr/>
        <w:t>will</w:t>
      </w:r>
      <w:r>
        <w:rPr>
          <w:spacing w:val="-3"/>
        </w:rPr>
        <w:t> </w:t>
      </w:r>
      <w:r>
        <w:rPr/>
        <w:t>be</w:t>
      </w:r>
      <w:r>
        <w:rPr>
          <w:spacing w:val="-4"/>
        </w:rPr>
        <w:t> </w:t>
      </w:r>
      <w:r>
        <w:rPr/>
        <w:t>informed</w:t>
      </w:r>
      <w:r>
        <w:rPr>
          <w:spacing w:val="-3"/>
        </w:rPr>
        <w:t> </w:t>
      </w:r>
      <w:r>
        <w:rPr/>
        <w:t>by</w:t>
      </w:r>
      <w:r>
        <w:rPr>
          <w:spacing w:val="-8"/>
        </w:rPr>
        <w:t> </w:t>
      </w:r>
      <w:r>
        <w:rPr/>
        <w:t>state</w:t>
      </w:r>
      <w:r>
        <w:rPr>
          <w:spacing w:val="-4"/>
        </w:rPr>
        <w:t> </w:t>
      </w:r>
      <w:r>
        <w:rPr/>
        <w:t>data,</w:t>
      </w:r>
      <w:r>
        <w:rPr>
          <w:spacing w:val="-1"/>
        </w:rPr>
        <w:t> </w:t>
      </w:r>
      <w:r>
        <w:rPr/>
        <w:t>and</w:t>
      </w:r>
      <w:r>
        <w:rPr>
          <w:spacing w:val="-3"/>
        </w:rPr>
        <w:t> </w:t>
      </w:r>
      <w:r>
        <w:rPr/>
        <w:t>targets will be benchmarked against performance in best practice settings.</w:t>
      </w:r>
    </w:p>
    <w:p>
      <w:pPr>
        <w:pStyle w:val="BodyText"/>
        <w:spacing w:before="10"/>
        <w:rPr>
          <w:sz w:val="20"/>
        </w:rPr>
      </w:pPr>
    </w:p>
    <w:p>
      <w:pPr>
        <w:pStyle w:val="BodyText"/>
        <w:ind w:left="871" w:right="1059"/>
      </w:pPr>
      <w:r>
        <w:rPr/>
        <w:drawing>
          <wp:anchor distT="0" distB="0" distL="0" distR="0" allowOverlap="1" layoutInCell="1" locked="0" behindDoc="0" simplePos="0" relativeHeight="15796736">
            <wp:simplePos x="0" y="0"/>
            <wp:positionH relativeFrom="page">
              <wp:posOffset>975359</wp:posOffset>
            </wp:positionH>
            <wp:positionV relativeFrom="paragraph">
              <wp:posOffset>35599</wp:posOffset>
            </wp:positionV>
            <wp:extent cx="217931" cy="112775"/>
            <wp:effectExtent l="0" t="0" r="0" b="0"/>
            <wp:wrapNone/>
            <wp:docPr id="144" name="Image 144"/>
            <wp:cNvGraphicFramePr>
              <a:graphicFrameLocks/>
            </wp:cNvGraphicFramePr>
            <a:graphic>
              <a:graphicData uri="http://schemas.openxmlformats.org/drawingml/2006/picture">
                <pic:pic>
                  <pic:nvPicPr>
                    <pic:cNvPr id="144" name="Image 144"/>
                    <pic:cNvPicPr/>
                  </pic:nvPicPr>
                  <pic:blipFill>
                    <a:blip r:embed="rId104" cstate="print"/>
                    <a:stretch>
                      <a:fillRect/>
                    </a:stretch>
                  </pic:blipFill>
                  <pic:spPr>
                    <a:xfrm>
                      <a:off x="0" y="0"/>
                      <a:ext cx="217931" cy="112775"/>
                    </a:xfrm>
                    <a:prstGeom prst="rect">
                      <a:avLst/>
                    </a:prstGeom>
                  </pic:spPr>
                </pic:pic>
              </a:graphicData>
            </a:graphic>
          </wp:anchor>
        </w:drawing>
      </w:r>
      <w:bookmarkStart w:name="6.6. SUD Mid-Point Assessment. The Commo" w:id="273"/>
      <w:bookmarkEnd w:id="273"/>
      <w:r>
        <w:rPr/>
      </w:r>
      <w:r>
        <w:rPr>
          <w:b/>
        </w:rPr>
        <w:t>SUD</w:t>
      </w:r>
      <w:r>
        <w:rPr>
          <w:b/>
          <w:spacing w:val="-6"/>
        </w:rPr>
        <w:t> </w:t>
      </w:r>
      <w:r>
        <w:rPr>
          <w:b/>
        </w:rPr>
        <w:t>Mid-Point</w:t>
      </w:r>
      <w:r>
        <w:rPr>
          <w:b/>
          <w:spacing w:val="-6"/>
        </w:rPr>
        <w:t> </w:t>
      </w:r>
      <w:r>
        <w:rPr>
          <w:b/>
        </w:rPr>
        <w:t>Assessment.</w:t>
      </w:r>
      <w:r>
        <w:rPr>
          <w:b/>
          <w:spacing w:val="-6"/>
        </w:rPr>
        <w:t> </w:t>
      </w:r>
      <w:r>
        <w:rPr/>
        <w:t>The</w:t>
      </w:r>
      <w:r>
        <w:rPr>
          <w:spacing w:val="-6"/>
        </w:rPr>
        <w:t> </w:t>
      </w:r>
      <w:r>
        <w:rPr/>
        <w:t>Commonwealth</w:t>
      </w:r>
      <w:r>
        <w:rPr>
          <w:spacing w:val="-5"/>
        </w:rPr>
        <w:t> </w:t>
      </w:r>
      <w:r>
        <w:rPr/>
        <w:t>must</w:t>
      </w:r>
      <w:r>
        <w:rPr>
          <w:spacing w:val="-5"/>
        </w:rPr>
        <w:t> </w:t>
      </w:r>
      <w:r>
        <w:rPr/>
        <w:t>contract</w:t>
      </w:r>
      <w:r>
        <w:rPr>
          <w:spacing w:val="-5"/>
        </w:rPr>
        <w:t> </w:t>
      </w:r>
      <w:r>
        <w:rPr/>
        <w:t>with</w:t>
      </w:r>
      <w:r>
        <w:rPr>
          <w:spacing w:val="-5"/>
        </w:rPr>
        <w:t> </w:t>
      </w:r>
      <w:r>
        <w:rPr/>
        <w:t>an</w:t>
      </w:r>
      <w:r>
        <w:rPr>
          <w:spacing w:val="-5"/>
        </w:rPr>
        <w:t> </w:t>
      </w:r>
      <w:r>
        <w:rPr/>
        <w:t>independent entity</w:t>
      </w:r>
      <w:r>
        <w:rPr>
          <w:spacing w:val="-6"/>
        </w:rPr>
        <w:t> </w:t>
      </w:r>
      <w:r>
        <w:rPr/>
        <w:t>to</w:t>
      </w:r>
      <w:r>
        <w:rPr>
          <w:spacing w:val="-1"/>
        </w:rPr>
        <w:t> </w:t>
      </w:r>
      <w:r>
        <w:rPr/>
        <w:t>conduct</w:t>
      </w:r>
      <w:r>
        <w:rPr>
          <w:spacing w:val="2"/>
        </w:rPr>
        <w:t> </w:t>
      </w:r>
      <w:r>
        <w:rPr/>
        <w:t>an</w:t>
      </w:r>
      <w:r>
        <w:rPr>
          <w:spacing w:val="-1"/>
        </w:rPr>
        <w:t> </w:t>
      </w:r>
      <w:r>
        <w:rPr/>
        <w:t>independent Mid-Point</w:t>
      </w:r>
      <w:r>
        <w:rPr>
          <w:spacing w:val="-1"/>
        </w:rPr>
        <w:t> </w:t>
      </w:r>
      <w:r>
        <w:rPr/>
        <w:t>Assessment</w:t>
      </w:r>
      <w:r>
        <w:rPr>
          <w:spacing w:val="-1"/>
        </w:rPr>
        <w:t> </w:t>
      </w:r>
      <w:r>
        <w:rPr/>
        <w:t>by</w:t>
      </w:r>
      <w:r>
        <w:rPr>
          <w:spacing w:val="-5"/>
        </w:rPr>
        <w:t> </w:t>
      </w:r>
      <w:r>
        <w:rPr/>
        <w:t>September</w:t>
      </w:r>
      <w:r>
        <w:rPr>
          <w:spacing w:val="-2"/>
        </w:rPr>
        <w:t> </w:t>
      </w:r>
      <w:r>
        <w:rPr/>
        <w:t>30,</w:t>
      </w:r>
      <w:r>
        <w:rPr>
          <w:spacing w:val="2"/>
        </w:rPr>
        <w:t> </w:t>
      </w:r>
      <w:r>
        <w:rPr/>
        <w:t>2025.</w:t>
      </w:r>
      <w:r>
        <w:rPr>
          <w:spacing w:val="59"/>
        </w:rPr>
        <w:t> </w:t>
      </w:r>
      <w:r>
        <w:rPr>
          <w:spacing w:val="-4"/>
        </w:rPr>
        <w:t>This</w:t>
      </w:r>
    </w:p>
    <w:p>
      <w:pPr>
        <w:spacing w:after="0"/>
        <w:sectPr>
          <w:pgSz w:w="12240" w:h="15840"/>
          <w:pgMar w:header="0" w:footer="1201" w:top="1360" w:bottom="1400" w:left="1200" w:right="400"/>
        </w:sectPr>
      </w:pPr>
    </w:p>
    <w:p>
      <w:pPr>
        <w:pStyle w:val="BodyText"/>
        <w:spacing w:before="79"/>
        <w:ind w:left="871" w:right="1050"/>
      </w:pPr>
      <w:r>
        <w:rPr/>
        <w:t>timeline</w:t>
      </w:r>
      <w:r>
        <w:rPr>
          <w:spacing w:val="-4"/>
        </w:rPr>
        <w:t> </w:t>
      </w:r>
      <w:r>
        <w:rPr/>
        <w:t>will</w:t>
      </w:r>
      <w:r>
        <w:rPr>
          <w:spacing w:val="-3"/>
        </w:rPr>
        <w:t> </w:t>
      </w:r>
      <w:r>
        <w:rPr/>
        <w:t>allow</w:t>
      </w:r>
      <w:r>
        <w:rPr>
          <w:spacing w:val="-4"/>
        </w:rPr>
        <w:t> </w:t>
      </w:r>
      <w:r>
        <w:rPr/>
        <w:t>for</w:t>
      </w:r>
      <w:r>
        <w:rPr>
          <w:spacing w:val="-4"/>
        </w:rPr>
        <w:t> </w:t>
      </w:r>
      <w:r>
        <w:rPr/>
        <w:t>the</w:t>
      </w:r>
      <w:r>
        <w:rPr>
          <w:spacing w:val="-4"/>
        </w:rPr>
        <w:t> </w:t>
      </w:r>
      <w:r>
        <w:rPr/>
        <w:t>Mid-Point</w:t>
      </w:r>
      <w:r>
        <w:rPr>
          <w:spacing w:val="-3"/>
        </w:rPr>
        <w:t> </w:t>
      </w:r>
      <w:r>
        <w:rPr/>
        <w:t>Assessment</w:t>
      </w:r>
      <w:r>
        <w:rPr>
          <w:spacing w:val="-3"/>
        </w:rPr>
        <w:t> </w:t>
      </w:r>
      <w:r>
        <w:rPr/>
        <w:t>Report</w:t>
      </w:r>
      <w:r>
        <w:rPr>
          <w:spacing w:val="-3"/>
        </w:rPr>
        <w:t> </w:t>
      </w:r>
      <w:r>
        <w:rPr/>
        <w:t>to</w:t>
      </w:r>
      <w:r>
        <w:rPr>
          <w:spacing w:val="-3"/>
        </w:rPr>
        <w:t> </w:t>
      </w:r>
      <w:r>
        <w:rPr/>
        <w:t>capture</w:t>
      </w:r>
      <w:r>
        <w:rPr>
          <w:spacing w:val="-2"/>
        </w:rPr>
        <w:t> </w:t>
      </w:r>
      <w:r>
        <w:rPr/>
        <w:t>approximately</w:t>
      </w:r>
      <w:r>
        <w:rPr>
          <w:spacing w:val="-8"/>
        </w:rPr>
        <w:t> </w:t>
      </w:r>
      <w:r>
        <w:rPr/>
        <w:t>the</w:t>
      </w:r>
      <w:r>
        <w:rPr>
          <w:spacing w:val="-4"/>
        </w:rPr>
        <w:t> </w:t>
      </w:r>
      <w:r>
        <w:rPr/>
        <w:t>first two-and-a-half years of demonstration program data, accounting for data run-out and data completeness.</w:t>
      </w:r>
      <w:r>
        <w:rPr>
          <w:spacing w:val="40"/>
        </w:rPr>
        <w:t> </w:t>
      </w:r>
      <w:r>
        <w:rPr/>
        <w:t>In</w:t>
      </w:r>
      <w:r>
        <w:rPr>
          <w:spacing w:val="-2"/>
        </w:rPr>
        <w:t> </w:t>
      </w:r>
      <w:r>
        <w:rPr/>
        <w:t>addition,</w:t>
      </w:r>
      <w:r>
        <w:rPr>
          <w:spacing w:val="-2"/>
        </w:rPr>
        <w:t> </w:t>
      </w:r>
      <w:r>
        <w:rPr/>
        <w:t>if</w:t>
      </w:r>
      <w:r>
        <w:rPr>
          <w:spacing w:val="-3"/>
        </w:rPr>
        <w:t> </w:t>
      </w:r>
      <w:r>
        <w:rPr/>
        <w:t>applicable,</w:t>
      </w:r>
      <w:r>
        <w:rPr>
          <w:spacing w:val="-2"/>
        </w:rPr>
        <w:t> </w:t>
      </w:r>
      <w:r>
        <w:rPr/>
        <w:t>the</w:t>
      </w:r>
      <w:r>
        <w:rPr>
          <w:spacing w:val="-3"/>
        </w:rPr>
        <w:t> </w:t>
      </w:r>
      <w:r>
        <w:rPr/>
        <w:t>Commonwealth</w:t>
      </w:r>
      <w:r>
        <w:rPr>
          <w:spacing w:val="-2"/>
        </w:rPr>
        <w:t> </w:t>
      </w:r>
      <w:r>
        <w:rPr/>
        <w:t>should</w:t>
      </w:r>
      <w:r>
        <w:rPr>
          <w:spacing w:val="-2"/>
        </w:rPr>
        <w:t> </w:t>
      </w:r>
      <w:r>
        <w:rPr/>
        <w:t>use</w:t>
      </w:r>
      <w:r>
        <w:rPr>
          <w:spacing w:val="-3"/>
        </w:rPr>
        <w:t> </w:t>
      </w:r>
      <w:r>
        <w:rPr/>
        <w:t>the</w:t>
      </w:r>
      <w:r>
        <w:rPr>
          <w:spacing w:val="-3"/>
        </w:rPr>
        <w:t> </w:t>
      </w:r>
      <w:r>
        <w:rPr/>
        <w:t>prior</w:t>
      </w:r>
      <w:r>
        <w:rPr>
          <w:spacing w:val="-3"/>
        </w:rPr>
        <w:t> </w:t>
      </w:r>
      <w:r>
        <w:rPr/>
        <w:t>approval period experiences as context, and conduct the Mid-Point Assessment in light of the data from any such prior approval period(s).</w:t>
      </w:r>
      <w:r>
        <w:rPr>
          <w:spacing w:val="40"/>
        </w:rPr>
        <w:t> </w:t>
      </w:r>
      <w:r>
        <w:rPr/>
        <w:t>In the design, planning and conduct of the Mid- Point Assessment, the state must require that the independent assessor consult with key stakeholders including, but not limited to: representatives of MCOs, health care providers (including SUD treatment providers), beneficiaries, community groups, and other key </w:t>
      </w:r>
      <w:r>
        <w:rPr>
          <w:spacing w:val="-2"/>
        </w:rPr>
        <w:t>partners.</w:t>
      </w:r>
    </w:p>
    <w:p>
      <w:pPr>
        <w:pStyle w:val="BodyText"/>
        <w:spacing w:before="10"/>
        <w:rPr>
          <w:sz w:val="20"/>
        </w:rPr>
      </w:pPr>
    </w:p>
    <w:p>
      <w:pPr>
        <w:pStyle w:val="BodyText"/>
        <w:ind w:left="1411" w:right="1074"/>
      </w:pPr>
      <w:r>
        <w:rPr/>
        <w:drawing>
          <wp:anchor distT="0" distB="0" distL="0" distR="0" allowOverlap="1" layoutInCell="1" locked="0" behindDoc="0" simplePos="0" relativeHeight="15797248">
            <wp:simplePos x="0" y="0"/>
            <wp:positionH relativeFrom="page">
              <wp:posOffset>1431036</wp:posOffset>
            </wp:positionH>
            <wp:positionV relativeFrom="paragraph">
              <wp:posOffset>67603</wp:posOffset>
            </wp:positionV>
            <wp:extent cx="96011" cy="80771"/>
            <wp:effectExtent l="0" t="0" r="0" b="0"/>
            <wp:wrapNone/>
            <wp:docPr id="145" name="Image 145"/>
            <wp:cNvGraphicFramePr>
              <a:graphicFrameLocks/>
            </wp:cNvGraphicFramePr>
            <a:graphic>
              <a:graphicData uri="http://schemas.openxmlformats.org/drawingml/2006/picture">
                <pic:pic>
                  <pic:nvPicPr>
                    <pic:cNvPr id="145" name="Image 145"/>
                    <pic:cNvPicPr/>
                  </pic:nvPicPr>
                  <pic:blipFill>
                    <a:blip r:embed="rId29" cstate="print"/>
                    <a:stretch>
                      <a:fillRect/>
                    </a:stretch>
                  </pic:blipFill>
                  <pic:spPr>
                    <a:xfrm>
                      <a:off x="0" y="0"/>
                      <a:ext cx="96011" cy="80771"/>
                    </a:xfrm>
                    <a:prstGeom prst="rect">
                      <a:avLst/>
                    </a:prstGeom>
                  </pic:spPr>
                </pic:pic>
              </a:graphicData>
            </a:graphic>
          </wp:anchor>
        </w:drawing>
      </w:r>
      <w:bookmarkStart w:name="a. The Commonwealth must require that th" w:id="274"/>
      <w:bookmarkEnd w:id="274"/>
      <w:r>
        <w:rPr/>
      </w:r>
      <w:r>
        <w:rPr/>
        <w:t>The Commonwealth must require that the assessor provide a Mid-Point Assessment Report to the Commonwealth that includes the methodologies used for examining progress and assessing risk, the limitations of the methodologies, its determinations and</w:t>
      </w:r>
      <w:r>
        <w:rPr>
          <w:spacing w:val="-2"/>
        </w:rPr>
        <w:t> </w:t>
      </w:r>
      <w:r>
        <w:rPr/>
        <w:t>any</w:t>
      </w:r>
      <w:r>
        <w:rPr>
          <w:spacing w:val="-7"/>
        </w:rPr>
        <w:t> </w:t>
      </w:r>
      <w:r>
        <w:rPr/>
        <w:t>recommendations.</w:t>
      </w:r>
      <w:r>
        <w:rPr>
          <w:spacing w:val="40"/>
        </w:rPr>
        <w:t> </w:t>
      </w:r>
      <w:r>
        <w:rPr/>
        <w:t>The</w:t>
      </w:r>
      <w:r>
        <w:rPr>
          <w:spacing w:val="-3"/>
        </w:rPr>
        <w:t> </w:t>
      </w:r>
      <w:r>
        <w:rPr/>
        <w:t>Commonwealth</w:t>
      </w:r>
      <w:r>
        <w:rPr>
          <w:spacing w:val="-2"/>
        </w:rPr>
        <w:t> </w:t>
      </w:r>
      <w:r>
        <w:rPr/>
        <w:t>must</w:t>
      </w:r>
      <w:r>
        <w:rPr>
          <w:spacing w:val="-2"/>
        </w:rPr>
        <w:t> </w:t>
      </w:r>
      <w:r>
        <w:rPr/>
        <w:t>provide</w:t>
      </w:r>
      <w:r>
        <w:rPr>
          <w:spacing w:val="-3"/>
        </w:rPr>
        <w:t> </w:t>
      </w:r>
      <w:r>
        <w:rPr/>
        <w:t>a</w:t>
      </w:r>
      <w:r>
        <w:rPr>
          <w:spacing w:val="-3"/>
        </w:rPr>
        <w:t> </w:t>
      </w:r>
      <w:r>
        <w:rPr/>
        <w:t>copy</w:t>
      </w:r>
      <w:r>
        <w:rPr>
          <w:spacing w:val="-7"/>
        </w:rPr>
        <w:t> </w:t>
      </w:r>
      <w:r>
        <w:rPr/>
        <w:t>of</w:t>
      </w:r>
      <w:r>
        <w:rPr>
          <w:spacing w:val="-3"/>
        </w:rPr>
        <w:t> </w:t>
      </w:r>
      <w:r>
        <w:rPr/>
        <w:t>the</w:t>
      </w:r>
      <w:r>
        <w:rPr>
          <w:spacing w:val="-3"/>
        </w:rPr>
        <w:t> </w:t>
      </w:r>
      <w:r>
        <w:rPr/>
        <w:t>report</w:t>
      </w:r>
      <w:r>
        <w:rPr>
          <w:spacing w:val="-2"/>
        </w:rPr>
        <w:t> </w:t>
      </w:r>
      <w:r>
        <w:rPr/>
        <w:t>to CMS no later than 60 calendar days after September 30, 2025 and the Commonwealth must brief CMS on the report.</w:t>
      </w:r>
      <w:r>
        <w:rPr>
          <w:spacing w:val="40"/>
        </w:rPr>
        <w:t> </w:t>
      </w:r>
      <w:r>
        <w:rPr/>
        <w:t>The Commonwealth must submit a revised Mid-Point Assessment Report within 60 calendar days after receipt of</w:t>
      </w:r>
      <w:r>
        <w:rPr>
          <w:spacing w:val="40"/>
        </w:rPr>
        <w:t> </w:t>
      </w:r>
      <w:r>
        <w:rPr/>
        <w:t>CMS’s comments, if any.</w:t>
      </w:r>
    </w:p>
    <w:p>
      <w:pPr>
        <w:pStyle w:val="BodyText"/>
        <w:spacing w:before="10"/>
        <w:rPr>
          <w:sz w:val="20"/>
        </w:rPr>
      </w:pPr>
    </w:p>
    <w:p>
      <w:pPr>
        <w:pStyle w:val="BodyText"/>
        <w:ind w:left="1411" w:right="1069"/>
      </w:pPr>
      <w:r>
        <w:rPr/>
        <w:drawing>
          <wp:anchor distT="0" distB="0" distL="0" distR="0" allowOverlap="1" layoutInCell="1" locked="0" behindDoc="0" simplePos="0" relativeHeight="15797760">
            <wp:simplePos x="0" y="0"/>
            <wp:positionH relativeFrom="page">
              <wp:posOffset>1424939</wp:posOffset>
            </wp:positionH>
            <wp:positionV relativeFrom="paragraph">
              <wp:posOffset>32551</wp:posOffset>
            </wp:positionV>
            <wp:extent cx="111251" cy="115823"/>
            <wp:effectExtent l="0" t="0" r="0" b="0"/>
            <wp:wrapNone/>
            <wp:docPr id="146" name="Image 146"/>
            <wp:cNvGraphicFramePr>
              <a:graphicFrameLocks/>
            </wp:cNvGraphicFramePr>
            <a:graphic>
              <a:graphicData uri="http://schemas.openxmlformats.org/drawingml/2006/picture">
                <pic:pic>
                  <pic:nvPicPr>
                    <pic:cNvPr id="146" name="Image 146"/>
                    <pic:cNvPicPr/>
                  </pic:nvPicPr>
                  <pic:blipFill>
                    <a:blip r:embed="rId105" cstate="print"/>
                    <a:stretch>
                      <a:fillRect/>
                    </a:stretch>
                  </pic:blipFill>
                  <pic:spPr>
                    <a:xfrm>
                      <a:off x="0" y="0"/>
                      <a:ext cx="111251" cy="115823"/>
                    </a:xfrm>
                    <a:prstGeom prst="rect">
                      <a:avLst/>
                    </a:prstGeom>
                  </pic:spPr>
                </pic:pic>
              </a:graphicData>
            </a:graphic>
          </wp:anchor>
        </w:drawing>
      </w:r>
      <w:bookmarkStart w:name="b. For milestones and measure targets at" w:id="275"/>
      <w:bookmarkEnd w:id="275"/>
      <w:r>
        <w:rPr/>
      </w:r>
      <w:r>
        <w:rPr/>
        <w:t>For</w:t>
      </w:r>
      <w:r>
        <w:rPr>
          <w:spacing w:val="-3"/>
        </w:rPr>
        <w:t> </w:t>
      </w:r>
      <w:r>
        <w:rPr/>
        <w:t>milestones</w:t>
      </w:r>
      <w:r>
        <w:rPr>
          <w:spacing w:val="-2"/>
        </w:rPr>
        <w:t> </w:t>
      </w:r>
      <w:r>
        <w:rPr/>
        <w:t>and</w:t>
      </w:r>
      <w:r>
        <w:rPr>
          <w:spacing w:val="-2"/>
        </w:rPr>
        <w:t> </w:t>
      </w:r>
      <w:r>
        <w:rPr/>
        <w:t>measure</w:t>
      </w:r>
      <w:r>
        <w:rPr>
          <w:spacing w:val="-3"/>
        </w:rPr>
        <w:t> </w:t>
      </w:r>
      <w:r>
        <w:rPr/>
        <w:t>targets</w:t>
      </w:r>
      <w:r>
        <w:rPr>
          <w:spacing w:val="-2"/>
        </w:rPr>
        <w:t> </w:t>
      </w:r>
      <w:r>
        <w:rPr/>
        <w:t>at</w:t>
      </w:r>
      <w:r>
        <w:rPr>
          <w:spacing w:val="-2"/>
        </w:rPr>
        <w:t> </w:t>
      </w:r>
      <w:r>
        <w:rPr/>
        <w:t>medium</w:t>
      </w:r>
      <w:r>
        <w:rPr>
          <w:spacing w:val="-2"/>
        </w:rPr>
        <w:t> </w:t>
      </w:r>
      <w:r>
        <w:rPr/>
        <w:t>to</w:t>
      </w:r>
      <w:r>
        <w:rPr>
          <w:spacing w:val="-2"/>
        </w:rPr>
        <w:t> </w:t>
      </w:r>
      <w:r>
        <w:rPr/>
        <w:t>high</w:t>
      </w:r>
      <w:r>
        <w:rPr>
          <w:spacing w:val="-2"/>
        </w:rPr>
        <w:t> </w:t>
      </w:r>
      <w:r>
        <w:rPr/>
        <w:t>risk</w:t>
      </w:r>
      <w:r>
        <w:rPr>
          <w:spacing w:val="-2"/>
        </w:rPr>
        <w:t> </w:t>
      </w:r>
      <w:r>
        <w:rPr/>
        <w:t>of</w:t>
      </w:r>
      <w:r>
        <w:rPr>
          <w:spacing w:val="-3"/>
        </w:rPr>
        <w:t> </w:t>
      </w:r>
      <w:r>
        <w:rPr/>
        <w:t>not</w:t>
      </w:r>
      <w:r>
        <w:rPr>
          <w:spacing w:val="-2"/>
        </w:rPr>
        <w:t> </w:t>
      </w:r>
      <w:r>
        <w:rPr/>
        <w:t>being</w:t>
      </w:r>
      <w:r>
        <w:rPr>
          <w:spacing w:val="-5"/>
        </w:rPr>
        <w:t> </w:t>
      </w:r>
      <w:r>
        <w:rPr/>
        <w:t>achieved,</w:t>
      </w:r>
      <w:r>
        <w:rPr>
          <w:spacing w:val="-2"/>
        </w:rPr>
        <w:t> </w:t>
      </w:r>
      <w:r>
        <w:rPr/>
        <w:t>the Commonwealth must submit to CMS proposed modifications to the SUD</w:t>
      </w:r>
      <w:r>
        <w:rPr>
          <w:spacing w:val="40"/>
        </w:rPr>
        <w:t> </w:t>
      </w:r>
      <w:r>
        <w:rPr/>
        <w:t>Monitoring</w:t>
      </w:r>
      <w:r>
        <w:rPr>
          <w:spacing w:val="-6"/>
        </w:rPr>
        <w:t> </w:t>
      </w:r>
      <w:r>
        <w:rPr/>
        <w:t>Protocol,</w:t>
      </w:r>
      <w:r>
        <w:rPr>
          <w:spacing w:val="-3"/>
        </w:rPr>
        <w:t> </w:t>
      </w:r>
      <w:r>
        <w:rPr/>
        <w:t>as</w:t>
      </w:r>
      <w:r>
        <w:rPr>
          <w:spacing w:val="-3"/>
        </w:rPr>
        <w:t> </w:t>
      </w:r>
      <w:r>
        <w:rPr/>
        <w:t>appropriate,</w:t>
      </w:r>
      <w:r>
        <w:rPr>
          <w:spacing w:val="-3"/>
        </w:rPr>
        <w:t> </w:t>
      </w:r>
      <w:r>
        <w:rPr/>
        <w:t>for</w:t>
      </w:r>
      <w:r>
        <w:rPr>
          <w:spacing w:val="-4"/>
        </w:rPr>
        <w:t> </w:t>
      </w:r>
      <w:r>
        <w:rPr/>
        <w:t>mitigating</w:t>
      </w:r>
      <w:r>
        <w:rPr>
          <w:spacing w:val="-3"/>
        </w:rPr>
        <w:t> </w:t>
      </w:r>
      <w:r>
        <w:rPr/>
        <w:t>these</w:t>
      </w:r>
      <w:r>
        <w:rPr>
          <w:spacing w:val="-4"/>
        </w:rPr>
        <w:t> </w:t>
      </w:r>
      <w:r>
        <w:rPr/>
        <w:t>risks.</w:t>
      </w:r>
      <w:r>
        <w:rPr>
          <w:spacing w:val="40"/>
        </w:rPr>
        <w:t> </w:t>
      </w:r>
      <w:r>
        <w:rPr/>
        <w:t>Any</w:t>
      </w:r>
      <w:r>
        <w:rPr>
          <w:spacing w:val="-8"/>
        </w:rPr>
        <w:t> </w:t>
      </w:r>
      <w:r>
        <w:rPr/>
        <w:t>modifications</w:t>
      </w:r>
      <w:r>
        <w:rPr>
          <w:spacing w:val="-3"/>
        </w:rPr>
        <w:t> </w:t>
      </w:r>
      <w:r>
        <w:rPr/>
        <w:t>to the Monitoring Protocol are subject to CMS approval.</w:t>
      </w:r>
    </w:p>
    <w:p>
      <w:pPr>
        <w:pStyle w:val="BodyText"/>
        <w:spacing w:before="10"/>
        <w:rPr>
          <w:sz w:val="20"/>
        </w:rPr>
      </w:pPr>
    </w:p>
    <w:p>
      <w:pPr>
        <w:pStyle w:val="BodyText"/>
        <w:ind w:left="1411"/>
      </w:pPr>
      <w:r>
        <w:rPr/>
        <w:drawing>
          <wp:anchor distT="0" distB="0" distL="0" distR="0" allowOverlap="1" layoutInCell="1" locked="0" behindDoc="0" simplePos="0" relativeHeight="15798272">
            <wp:simplePos x="0" y="0"/>
            <wp:positionH relativeFrom="page">
              <wp:posOffset>1431036</wp:posOffset>
            </wp:positionH>
            <wp:positionV relativeFrom="paragraph">
              <wp:posOffset>67616</wp:posOffset>
            </wp:positionV>
            <wp:extent cx="96011" cy="80759"/>
            <wp:effectExtent l="0" t="0" r="0" b="0"/>
            <wp:wrapNone/>
            <wp:docPr id="147" name="Image 147"/>
            <wp:cNvGraphicFramePr>
              <a:graphicFrameLocks/>
            </wp:cNvGraphicFramePr>
            <a:graphic>
              <a:graphicData uri="http://schemas.openxmlformats.org/drawingml/2006/picture">
                <pic:pic>
                  <pic:nvPicPr>
                    <pic:cNvPr id="147" name="Image 147"/>
                    <pic:cNvPicPr/>
                  </pic:nvPicPr>
                  <pic:blipFill>
                    <a:blip r:embed="rId41" cstate="print"/>
                    <a:stretch>
                      <a:fillRect/>
                    </a:stretch>
                  </pic:blipFill>
                  <pic:spPr>
                    <a:xfrm>
                      <a:off x="0" y="0"/>
                      <a:ext cx="96011" cy="80759"/>
                    </a:xfrm>
                    <a:prstGeom prst="rect">
                      <a:avLst/>
                    </a:prstGeom>
                  </pic:spPr>
                </pic:pic>
              </a:graphicData>
            </a:graphic>
          </wp:anchor>
        </w:drawing>
      </w:r>
      <w:bookmarkStart w:name="c. Elements of the Mid-Point Assessment " w:id="276"/>
      <w:bookmarkEnd w:id="276"/>
      <w:r>
        <w:rPr/>
      </w:r>
      <w:r>
        <w:rPr/>
        <w:t>Elements</w:t>
      </w:r>
      <w:r>
        <w:rPr>
          <w:spacing w:val="-4"/>
        </w:rPr>
        <w:t> </w:t>
      </w:r>
      <w:r>
        <w:rPr/>
        <w:t>of</w:t>
      </w:r>
      <w:r>
        <w:rPr>
          <w:spacing w:val="-2"/>
        </w:rPr>
        <w:t> </w:t>
      </w:r>
      <w:r>
        <w:rPr/>
        <w:t>the</w:t>
      </w:r>
      <w:r>
        <w:rPr>
          <w:spacing w:val="-2"/>
        </w:rPr>
        <w:t> </w:t>
      </w:r>
      <w:r>
        <w:rPr/>
        <w:t>Mid-Point</w:t>
      </w:r>
      <w:r>
        <w:rPr>
          <w:spacing w:val="-1"/>
        </w:rPr>
        <w:t> </w:t>
      </w:r>
      <w:r>
        <w:rPr/>
        <w:t>Assessment</w:t>
      </w:r>
      <w:r>
        <w:rPr>
          <w:spacing w:val="-1"/>
        </w:rPr>
        <w:t> </w:t>
      </w:r>
      <w:r>
        <w:rPr/>
        <w:t>must</w:t>
      </w:r>
      <w:r>
        <w:rPr>
          <w:spacing w:val="-1"/>
        </w:rPr>
        <w:t> </w:t>
      </w:r>
      <w:r>
        <w:rPr/>
        <w:t>include</w:t>
      </w:r>
      <w:r>
        <w:rPr>
          <w:spacing w:val="-2"/>
        </w:rPr>
        <w:t> </w:t>
      </w:r>
      <w:r>
        <w:rPr/>
        <w:t>at</w:t>
      </w:r>
      <w:r>
        <w:rPr>
          <w:spacing w:val="-1"/>
        </w:rPr>
        <w:t> </w:t>
      </w:r>
      <w:r>
        <w:rPr>
          <w:spacing w:val="-2"/>
        </w:rPr>
        <w:t>least:</w:t>
      </w:r>
    </w:p>
    <w:p>
      <w:pPr>
        <w:pStyle w:val="BodyText"/>
        <w:spacing w:before="10"/>
        <w:rPr>
          <w:sz w:val="20"/>
        </w:rPr>
      </w:pPr>
    </w:p>
    <w:p>
      <w:pPr>
        <w:pStyle w:val="BodyText"/>
        <w:ind w:left="2040" w:right="1059"/>
      </w:pPr>
      <w:r>
        <w:rPr/>
        <w:drawing>
          <wp:anchor distT="0" distB="0" distL="0" distR="0" allowOverlap="1" layoutInCell="1" locked="0" behindDoc="0" simplePos="0" relativeHeight="15798784">
            <wp:simplePos x="0" y="0"/>
            <wp:positionH relativeFrom="page">
              <wp:posOffset>1862327</wp:posOffset>
            </wp:positionH>
            <wp:positionV relativeFrom="paragraph">
              <wp:posOffset>32551</wp:posOffset>
            </wp:positionV>
            <wp:extent cx="73151" cy="115823"/>
            <wp:effectExtent l="0" t="0" r="0" b="0"/>
            <wp:wrapNone/>
            <wp:docPr id="148" name="Image 148"/>
            <wp:cNvGraphicFramePr>
              <a:graphicFrameLocks/>
            </wp:cNvGraphicFramePr>
            <a:graphic>
              <a:graphicData uri="http://schemas.openxmlformats.org/drawingml/2006/picture">
                <pic:pic>
                  <pic:nvPicPr>
                    <pic:cNvPr id="148" name="Image 148"/>
                    <pic:cNvPicPr/>
                  </pic:nvPicPr>
                  <pic:blipFill>
                    <a:blip r:embed="rId61" cstate="print"/>
                    <a:stretch>
                      <a:fillRect/>
                    </a:stretch>
                  </pic:blipFill>
                  <pic:spPr>
                    <a:xfrm>
                      <a:off x="0" y="0"/>
                      <a:ext cx="73151" cy="115823"/>
                    </a:xfrm>
                    <a:prstGeom prst="rect">
                      <a:avLst/>
                    </a:prstGeom>
                  </pic:spPr>
                </pic:pic>
              </a:graphicData>
            </a:graphic>
          </wp:anchor>
        </w:drawing>
      </w:r>
      <w:bookmarkStart w:name="i. An examination of progress toward mee" w:id="277"/>
      <w:bookmarkEnd w:id="277"/>
      <w:r>
        <w:rPr/>
      </w:r>
      <w:r>
        <w:rPr/>
        <w:t>An examination of progress toward meeting each milestone and timeframe, and</w:t>
      </w:r>
      <w:r>
        <w:rPr>
          <w:spacing w:val="-4"/>
        </w:rPr>
        <w:t> </w:t>
      </w:r>
      <w:r>
        <w:rPr/>
        <w:t>toward</w:t>
      </w:r>
      <w:r>
        <w:rPr>
          <w:spacing w:val="-4"/>
        </w:rPr>
        <w:t> </w:t>
      </w:r>
      <w:r>
        <w:rPr/>
        <w:t>meeting</w:t>
      </w:r>
      <w:r>
        <w:rPr>
          <w:spacing w:val="-7"/>
        </w:rPr>
        <w:t> </w:t>
      </w:r>
      <w:r>
        <w:rPr/>
        <w:t>the</w:t>
      </w:r>
      <w:r>
        <w:rPr>
          <w:spacing w:val="-5"/>
        </w:rPr>
        <w:t> </w:t>
      </w:r>
      <w:r>
        <w:rPr/>
        <w:t>targets</w:t>
      </w:r>
      <w:r>
        <w:rPr>
          <w:spacing w:val="-4"/>
        </w:rPr>
        <w:t> </w:t>
      </w:r>
      <w:r>
        <w:rPr/>
        <w:t>for</w:t>
      </w:r>
      <w:r>
        <w:rPr>
          <w:spacing w:val="-5"/>
        </w:rPr>
        <w:t> </w:t>
      </w:r>
      <w:r>
        <w:rPr/>
        <w:t>performance</w:t>
      </w:r>
      <w:r>
        <w:rPr>
          <w:spacing w:val="-5"/>
        </w:rPr>
        <w:t> </w:t>
      </w:r>
      <w:r>
        <w:rPr/>
        <w:t>measures</w:t>
      </w:r>
      <w:r>
        <w:rPr>
          <w:spacing w:val="-2"/>
        </w:rPr>
        <w:t> </w:t>
      </w:r>
      <w:r>
        <w:rPr/>
        <w:t>as</w:t>
      </w:r>
      <w:r>
        <w:rPr>
          <w:spacing w:val="-4"/>
        </w:rPr>
        <w:t> </w:t>
      </w:r>
      <w:r>
        <w:rPr/>
        <w:t>approved</w:t>
      </w:r>
      <w:r>
        <w:rPr>
          <w:spacing w:val="-4"/>
        </w:rPr>
        <w:t> </w:t>
      </w:r>
      <w:r>
        <w:rPr/>
        <w:t>in</w:t>
      </w:r>
      <w:r>
        <w:rPr>
          <w:spacing w:val="-4"/>
        </w:rPr>
        <w:t> </w:t>
      </w:r>
      <w:r>
        <w:rPr/>
        <w:t>the SUD Monitoring Protocol;</w:t>
      </w:r>
    </w:p>
    <w:p>
      <w:pPr>
        <w:pStyle w:val="BodyText"/>
        <w:spacing w:before="159"/>
        <w:ind w:left="2040" w:right="1059"/>
      </w:pPr>
      <w:r>
        <w:rPr/>
        <w:drawing>
          <wp:anchor distT="0" distB="0" distL="0" distR="0" allowOverlap="1" layoutInCell="1" locked="0" behindDoc="0" simplePos="0" relativeHeight="15799296">
            <wp:simplePos x="0" y="0"/>
            <wp:positionH relativeFrom="page">
              <wp:posOffset>1819655</wp:posOffset>
            </wp:positionH>
            <wp:positionV relativeFrom="paragraph">
              <wp:posOffset>133516</wp:posOffset>
            </wp:positionV>
            <wp:extent cx="115823" cy="115823"/>
            <wp:effectExtent l="0" t="0" r="0" b="0"/>
            <wp:wrapNone/>
            <wp:docPr id="149" name="Image 149"/>
            <wp:cNvGraphicFramePr>
              <a:graphicFrameLocks/>
            </wp:cNvGraphicFramePr>
            <a:graphic>
              <a:graphicData uri="http://schemas.openxmlformats.org/drawingml/2006/picture">
                <pic:pic>
                  <pic:nvPicPr>
                    <pic:cNvPr id="149" name="Image 149"/>
                    <pic:cNvPicPr/>
                  </pic:nvPicPr>
                  <pic:blipFill>
                    <a:blip r:embed="rId62" cstate="print"/>
                    <a:stretch>
                      <a:fillRect/>
                    </a:stretch>
                  </pic:blipFill>
                  <pic:spPr>
                    <a:xfrm>
                      <a:off x="0" y="0"/>
                      <a:ext cx="115823" cy="115823"/>
                    </a:xfrm>
                    <a:prstGeom prst="rect">
                      <a:avLst/>
                    </a:prstGeom>
                  </pic:spPr>
                </pic:pic>
              </a:graphicData>
            </a:graphic>
          </wp:anchor>
        </w:drawing>
      </w:r>
      <w:bookmarkStart w:name="ii. A determination of factors that affe" w:id="278"/>
      <w:bookmarkEnd w:id="278"/>
      <w:r>
        <w:rPr/>
      </w:r>
      <w:r>
        <w:rPr/>
        <w:t>A</w:t>
      </w:r>
      <w:r>
        <w:rPr>
          <w:spacing w:val="-5"/>
        </w:rPr>
        <w:t> </w:t>
      </w:r>
      <w:r>
        <w:rPr/>
        <w:t>determination</w:t>
      </w:r>
      <w:r>
        <w:rPr>
          <w:spacing w:val="-4"/>
        </w:rPr>
        <w:t> </w:t>
      </w:r>
      <w:r>
        <w:rPr/>
        <w:t>of</w:t>
      </w:r>
      <w:r>
        <w:rPr>
          <w:spacing w:val="-5"/>
        </w:rPr>
        <w:t> </w:t>
      </w:r>
      <w:r>
        <w:rPr/>
        <w:t>factors</w:t>
      </w:r>
      <w:r>
        <w:rPr>
          <w:spacing w:val="-4"/>
        </w:rPr>
        <w:t> </w:t>
      </w:r>
      <w:r>
        <w:rPr/>
        <w:t>that</w:t>
      </w:r>
      <w:r>
        <w:rPr>
          <w:spacing w:val="-4"/>
        </w:rPr>
        <w:t> </w:t>
      </w:r>
      <w:r>
        <w:rPr/>
        <w:t>affected</w:t>
      </w:r>
      <w:r>
        <w:rPr>
          <w:spacing w:val="-4"/>
        </w:rPr>
        <w:t> </w:t>
      </w:r>
      <w:r>
        <w:rPr/>
        <w:t>achievement</w:t>
      </w:r>
      <w:r>
        <w:rPr>
          <w:spacing w:val="-4"/>
        </w:rPr>
        <w:t> </w:t>
      </w:r>
      <w:r>
        <w:rPr/>
        <w:t>on</w:t>
      </w:r>
      <w:r>
        <w:rPr>
          <w:spacing w:val="-4"/>
        </w:rPr>
        <w:t> </w:t>
      </w:r>
      <w:r>
        <w:rPr/>
        <w:t>the</w:t>
      </w:r>
      <w:r>
        <w:rPr>
          <w:spacing w:val="-5"/>
        </w:rPr>
        <w:t> </w:t>
      </w:r>
      <w:r>
        <w:rPr/>
        <w:t>milestones</w:t>
      </w:r>
      <w:r>
        <w:rPr>
          <w:spacing w:val="-4"/>
        </w:rPr>
        <w:t> </w:t>
      </w:r>
      <w:r>
        <w:rPr/>
        <w:t>and performance measure gap closure percentage points to date;</w:t>
      </w:r>
    </w:p>
    <w:p>
      <w:pPr>
        <w:pStyle w:val="BodyText"/>
        <w:spacing w:before="161"/>
        <w:ind w:left="2040" w:right="1059"/>
      </w:pPr>
      <w:r>
        <w:rPr/>
        <w:drawing>
          <wp:anchor distT="0" distB="0" distL="0" distR="0" allowOverlap="1" layoutInCell="1" locked="0" behindDoc="0" simplePos="0" relativeHeight="15799808">
            <wp:simplePos x="0" y="0"/>
            <wp:positionH relativeFrom="page">
              <wp:posOffset>1778507</wp:posOffset>
            </wp:positionH>
            <wp:positionV relativeFrom="paragraph">
              <wp:posOffset>134786</wp:posOffset>
            </wp:positionV>
            <wp:extent cx="158495" cy="115823"/>
            <wp:effectExtent l="0" t="0" r="0" b="0"/>
            <wp:wrapNone/>
            <wp:docPr id="150" name="Image 150"/>
            <wp:cNvGraphicFramePr>
              <a:graphicFrameLocks/>
            </wp:cNvGraphicFramePr>
            <a:graphic>
              <a:graphicData uri="http://schemas.openxmlformats.org/drawingml/2006/picture">
                <pic:pic>
                  <pic:nvPicPr>
                    <pic:cNvPr id="150" name="Image 150"/>
                    <pic:cNvPicPr/>
                  </pic:nvPicPr>
                  <pic:blipFill>
                    <a:blip r:embed="rId65" cstate="print"/>
                    <a:stretch>
                      <a:fillRect/>
                    </a:stretch>
                  </pic:blipFill>
                  <pic:spPr>
                    <a:xfrm>
                      <a:off x="0" y="0"/>
                      <a:ext cx="158495" cy="115823"/>
                    </a:xfrm>
                    <a:prstGeom prst="rect">
                      <a:avLst/>
                    </a:prstGeom>
                  </pic:spPr>
                </pic:pic>
              </a:graphicData>
            </a:graphic>
          </wp:anchor>
        </w:drawing>
      </w:r>
      <w:bookmarkStart w:name="iii. A determination of selected factors" w:id="279"/>
      <w:bookmarkEnd w:id="279"/>
      <w:r>
        <w:rPr/>
      </w:r>
      <w:r>
        <w:rPr/>
        <w:t>A determination of selected factors likely to affect future performance in meeting</w:t>
      </w:r>
      <w:r>
        <w:rPr>
          <w:spacing w:val="-7"/>
        </w:rPr>
        <w:t> </w:t>
      </w:r>
      <w:r>
        <w:rPr/>
        <w:t>milestones</w:t>
      </w:r>
      <w:r>
        <w:rPr>
          <w:spacing w:val="-4"/>
        </w:rPr>
        <w:t> </w:t>
      </w:r>
      <w:r>
        <w:rPr/>
        <w:t>and</w:t>
      </w:r>
      <w:r>
        <w:rPr>
          <w:spacing w:val="-4"/>
        </w:rPr>
        <w:t> </w:t>
      </w:r>
      <w:r>
        <w:rPr/>
        <w:t>targets</w:t>
      </w:r>
      <w:r>
        <w:rPr>
          <w:spacing w:val="-4"/>
        </w:rPr>
        <w:t> </w:t>
      </w:r>
      <w:r>
        <w:rPr/>
        <w:t>not yet</w:t>
      </w:r>
      <w:r>
        <w:rPr>
          <w:spacing w:val="-4"/>
        </w:rPr>
        <w:t> </w:t>
      </w:r>
      <w:r>
        <w:rPr/>
        <w:t>met</w:t>
      </w:r>
      <w:r>
        <w:rPr>
          <w:spacing w:val="-4"/>
        </w:rPr>
        <w:t> </w:t>
      </w:r>
      <w:r>
        <w:rPr/>
        <w:t>and</w:t>
      </w:r>
      <w:r>
        <w:rPr>
          <w:spacing w:val="-4"/>
        </w:rPr>
        <w:t> </w:t>
      </w:r>
      <w:r>
        <w:rPr/>
        <w:t>information</w:t>
      </w:r>
      <w:r>
        <w:rPr>
          <w:spacing w:val="-4"/>
        </w:rPr>
        <w:t> </w:t>
      </w:r>
      <w:r>
        <w:rPr/>
        <w:t>about</w:t>
      </w:r>
      <w:r>
        <w:rPr>
          <w:spacing w:val="-4"/>
        </w:rPr>
        <w:t> </w:t>
      </w:r>
      <w:r>
        <w:rPr/>
        <w:t>the</w:t>
      </w:r>
      <w:r>
        <w:rPr>
          <w:spacing w:val="-5"/>
        </w:rPr>
        <w:t> </w:t>
      </w:r>
      <w:r>
        <w:rPr/>
        <w:t>risk</w:t>
      </w:r>
      <w:r>
        <w:rPr>
          <w:spacing w:val="-4"/>
        </w:rPr>
        <w:t> </w:t>
      </w:r>
      <w:r>
        <w:rPr/>
        <w:t>of possibly missing those milestones and performance targets;</w:t>
      </w:r>
    </w:p>
    <w:p>
      <w:pPr>
        <w:pStyle w:val="BodyText"/>
        <w:spacing w:before="161"/>
        <w:ind w:left="2039" w:right="1059"/>
      </w:pPr>
      <w:r>
        <w:rPr/>
        <w:drawing>
          <wp:anchor distT="0" distB="0" distL="0" distR="0" allowOverlap="1" layoutInCell="1" locked="0" behindDoc="0" simplePos="0" relativeHeight="15800320">
            <wp:simplePos x="0" y="0"/>
            <wp:positionH relativeFrom="page">
              <wp:posOffset>1786127</wp:posOffset>
            </wp:positionH>
            <wp:positionV relativeFrom="paragraph">
              <wp:posOffset>134786</wp:posOffset>
            </wp:positionV>
            <wp:extent cx="149339" cy="115823"/>
            <wp:effectExtent l="0" t="0" r="0" b="0"/>
            <wp:wrapNone/>
            <wp:docPr id="151" name="Image 151"/>
            <wp:cNvGraphicFramePr>
              <a:graphicFrameLocks/>
            </wp:cNvGraphicFramePr>
            <a:graphic>
              <a:graphicData uri="http://schemas.openxmlformats.org/drawingml/2006/picture">
                <pic:pic>
                  <pic:nvPicPr>
                    <pic:cNvPr id="151" name="Image 151"/>
                    <pic:cNvPicPr/>
                  </pic:nvPicPr>
                  <pic:blipFill>
                    <a:blip r:embed="rId96" cstate="print"/>
                    <a:stretch>
                      <a:fillRect/>
                    </a:stretch>
                  </pic:blipFill>
                  <pic:spPr>
                    <a:xfrm>
                      <a:off x="0" y="0"/>
                      <a:ext cx="149339" cy="115823"/>
                    </a:xfrm>
                    <a:prstGeom prst="rect">
                      <a:avLst/>
                    </a:prstGeom>
                  </pic:spPr>
                </pic:pic>
              </a:graphicData>
            </a:graphic>
          </wp:anchor>
        </w:drawing>
      </w:r>
      <w:bookmarkStart w:name="iv. For milestones or targets identified" w:id="280"/>
      <w:bookmarkEnd w:id="280"/>
      <w:r>
        <w:rPr/>
      </w:r>
      <w:r>
        <w:rPr/>
        <w:t>For</w:t>
      </w:r>
      <w:r>
        <w:rPr>
          <w:spacing w:val="-4"/>
        </w:rPr>
        <w:t> </w:t>
      </w:r>
      <w:r>
        <w:rPr/>
        <w:t>milestones</w:t>
      </w:r>
      <w:r>
        <w:rPr>
          <w:spacing w:val="-3"/>
        </w:rPr>
        <w:t> </w:t>
      </w:r>
      <w:r>
        <w:rPr/>
        <w:t>or</w:t>
      </w:r>
      <w:r>
        <w:rPr>
          <w:spacing w:val="-4"/>
        </w:rPr>
        <w:t> </w:t>
      </w:r>
      <w:r>
        <w:rPr/>
        <w:t>targets</w:t>
      </w:r>
      <w:r>
        <w:rPr>
          <w:spacing w:val="-2"/>
        </w:rPr>
        <w:t> </w:t>
      </w:r>
      <w:r>
        <w:rPr/>
        <w:t>identified</w:t>
      </w:r>
      <w:r>
        <w:rPr>
          <w:spacing w:val="-3"/>
        </w:rPr>
        <w:t> </w:t>
      </w:r>
      <w:r>
        <w:rPr/>
        <w:t>by</w:t>
      </w:r>
      <w:r>
        <w:rPr>
          <w:spacing w:val="-8"/>
        </w:rPr>
        <w:t> </w:t>
      </w:r>
      <w:r>
        <w:rPr/>
        <w:t>the</w:t>
      </w:r>
      <w:r>
        <w:rPr>
          <w:spacing w:val="-4"/>
        </w:rPr>
        <w:t> </w:t>
      </w:r>
      <w:r>
        <w:rPr/>
        <w:t>independent</w:t>
      </w:r>
      <w:r>
        <w:rPr>
          <w:spacing w:val="-3"/>
        </w:rPr>
        <w:t> </w:t>
      </w:r>
      <w:r>
        <w:rPr/>
        <w:t>assessor</w:t>
      </w:r>
      <w:r>
        <w:rPr>
          <w:spacing w:val="-4"/>
        </w:rPr>
        <w:t> </w:t>
      </w:r>
      <w:r>
        <w:rPr/>
        <w:t>as</w:t>
      </w:r>
      <w:r>
        <w:rPr>
          <w:spacing w:val="-2"/>
        </w:rPr>
        <w:t> </w:t>
      </w:r>
      <w:r>
        <w:rPr/>
        <w:t>at</w:t>
      </w:r>
      <w:r>
        <w:rPr>
          <w:spacing w:val="-3"/>
        </w:rPr>
        <w:t> </w:t>
      </w:r>
      <w:r>
        <w:rPr/>
        <w:t>medium to high risk of not being met, recommendations for adjustments, or to other pertinent factors that the Commonwealth can influence that will support improvement; and</w:t>
      </w:r>
    </w:p>
    <w:p>
      <w:pPr>
        <w:pStyle w:val="BodyText"/>
        <w:spacing w:before="158"/>
        <w:ind w:left="2040" w:right="1059"/>
      </w:pPr>
      <w:r>
        <w:rPr/>
        <w:drawing>
          <wp:anchor distT="0" distB="0" distL="0" distR="0" allowOverlap="1" layoutInCell="1" locked="0" behindDoc="0" simplePos="0" relativeHeight="15800832">
            <wp:simplePos x="0" y="0"/>
            <wp:positionH relativeFrom="page">
              <wp:posOffset>1825751</wp:posOffset>
            </wp:positionH>
            <wp:positionV relativeFrom="paragraph">
              <wp:posOffset>170981</wp:posOffset>
            </wp:positionV>
            <wp:extent cx="109727" cy="77723"/>
            <wp:effectExtent l="0" t="0" r="0" b="0"/>
            <wp:wrapNone/>
            <wp:docPr id="152" name="Image 152"/>
            <wp:cNvGraphicFramePr>
              <a:graphicFrameLocks/>
            </wp:cNvGraphicFramePr>
            <a:graphic>
              <a:graphicData uri="http://schemas.openxmlformats.org/drawingml/2006/picture">
                <pic:pic>
                  <pic:nvPicPr>
                    <pic:cNvPr id="152" name="Image 152"/>
                    <pic:cNvPicPr/>
                  </pic:nvPicPr>
                  <pic:blipFill>
                    <a:blip r:embed="rId67" cstate="print"/>
                    <a:stretch>
                      <a:fillRect/>
                    </a:stretch>
                  </pic:blipFill>
                  <pic:spPr>
                    <a:xfrm>
                      <a:off x="0" y="0"/>
                      <a:ext cx="109727" cy="77723"/>
                    </a:xfrm>
                    <a:prstGeom prst="rect">
                      <a:avLst/>
                    </a:prstGeom>
                  </pic:spPr>
                </pic:pic>
              </a:graphicData>
            </a:graphic>
          </wp:anchor>
        </w:drawing>
      </w:r>
      <w:bookmarkStart w:name="v. An assessment of whether the Commonwe" w:id="281"/>
      <w:bookmarkEnd w:id="281"/>
      <w:r>
        <w:rPr/>
      </w:r>
      <w:r>
        <w:rPr/>
        <w:t>An</w:t>
      </w:r>
      <w:r>
        <w:rPr>
          <w:spacing w:val="-3"/>
        </w:rPr>
        <w:t> </w:t>
      </w:r>
      <w:r>
        <w:rPr/>
        <w:t>assessment</w:t>
      </w:r>
      <w:r>
        <w:rPr>
          <w:spacing w:val="-3"/>
        </w:rPr>
        <w:t> </w:t>
      </w:r>
      <w:r>
        <w:rPr/>
        <w:t>of</w:t>
      </w:r>
      <w:r>
        <w:rPr>
          <w:spacing w:val="-4"/>
        </w:rPr>
        <w:t> </w:t>
      </w:r>
      <w:r>
        <w:rPr/>
        <w:t>whether</w:t>
      </w:r>
      <w:r>
        <w:rPr>
          <w:spacing w:val="-4"/>
        </w:rPr>
        <w:t> </w:t>
      </w:r>
      <w:r>
        <w:rPr/>
        <w:t>the</w:t>
      </w:r>
      <w:r>
        <w:rPr>
          <w:spacing w:val="-4"/>
        </w:rPr>
        <w:t> </w:t>
      </w:r>
      <w:r>
        <w:rPr/>
        <w:t>Commonwealth</w:t>
      </w:r>
      <w:r>
        <w:rPr>
          <w:spacing w:val="-3"/>
        </w:rPr>
        <w:t> </w:t>
      </w:r>
      <w:r>
        <w:rPr/>
        <w:t>is</w:t>
      </w:r>
      <w:r>
        <w:rPr>
          <w:spacing w:val="-3"/>
        </w:rPr>
        <w:t> </w:t>
      </w:r>
      <w:r>
        <w:rPr/>
        <w:t>on</w:t>
      </w:r>
      <w:r>
        <w:rPr>
          <w:spacing w:val="-3"/>
        </w:rPr>
        <w:t> </w:t>
      </w:r>
      <w:r>
        <w:rPr/>
        <w:t>track</w:t>
      </w:r>
      <w:r>
        <w:rPr>
          <w:spacing w:val="-3"/>
        </w:rPr>
        <w:t> </w:t>
      </w:r>
      <w:r>
        <w:rPr/>
        <w:t>to</w:t>
      </w:r>
      <w:r>
        <w:rPr>
          <w:spacing w:val="-3"/>
        </w:rPr>
        <w:t> </w:t>
      </w:r>
      <w:r>
        <w:rPr/>
        <w:t>meet</w:t>
      </w:r>
      <w:r>
        <w:rPr>
          <w:spacing w:val="-3"/>
        </w:rPr>
        <w:t> </w:t>
      </w:r>
      <w:r>
        <w:rPr/>
        <w:t>the</w:t>
      </w:r>
      <w:r>
        <w:rPr>
          <w:spacing w:val="-4"/>
        </w:rPr>
        <w:t> </w:t>
      </w:r>
      <w:r>
        <w:rPr/>
        <w:t>SUD budget neutrality requirements in these STCs.</w:t>
      </w:r>
    </w:p>
    <w:p>
      <w:pPr>
        <w:pStyle w:val="BodyText"/>
        <w:spacing w:before="10"/>
        <w:rPr>
          <w:sz w:val="20"/>
        </w:rPr>
      </w:pPr>
    </w:p>
    <w:p>
      <w:pPr>
        <w:spacing w:before="0"/>
        <w:ind w:left="871" w:right="1059" w:firstLine="0"/>
        <w:jc w:val="left"/>
        <w:rPr>
          <w:sz w:val="24"/>
        </w:rPr>
      </w:pPr>
      <w:r>
        <w:rPr/>
        <w:drawing>
          <wp:anchor distT="0" distB="0" distL="0" distR="0" allowOverlap="1" layoutInCell="1" locked="0" behindDoc="0" simplePos="0" relativeHeight="15801344">
            <wp:simplePos x="0" y="0"/>
            <wp:positionH relativeFrom="page">
              <wp:posOffset>975359</wp:posOffset>
            </wp:positionH>
            <wp:positionV relativeFrom="paragraph">
              <wp:posOffset>35599</wp:posOffset>
            </wp:positionV>
            <wp:extent cx="217931" cy="112775"/>
            <wp:effectExtent l="0" t="0" r="0" b="0"/>
            <wp:wrapNone/>
            <wp:docPr id="153" name="Image 153"/>
            <wp:cNvGraphicFramePr>
              <a:graphicFrameLocks/>
            </wp:cNvGraphicFramePr>
            <a:graphic>
              <a:graphicData uri="http://schemas.openxmlformats.org/drawingml/2006/picture">
                <pic:pic>
                  <pic:nvPicPr>
                    <pic:cNvPr id="153" name="Image 153"/>
                    <pic:cNvPicPr/>
                  </pic:nvPicPr>
                  <pic:blipFill>
                    <a:blip r:embed="rId106" cstate="print"/>
                    <a:stretch>
                      <a:fillRect/>
                    </a:stretch>
                  </pic:blipFill>
                  <pic:spPr>
                    <a:xfrm>
                      <a:off x="0" y="0"/>
                      <a:ext cx="217931" cy="112775"/>
                    </a:xfrm>
                    <a:prstGeom prst="rect">
                      <a:avLst/>
                    </a:prstGeom>
                  </pic:spPr>
                </pic:pic>
              </a:graphicData>
            </a:graphic>
          </wp:anchor>
        </w:drawing>
      </w:r>
      <w:bookmarkStart w:name="6.7. Unallowable Expenditures Under the " w:id="282"/>
      <w:bookmarkEnd w:id="282"/>
      <w:r>
        <w:rPr/>
      </w:r>
      <w:r>
        <w:rPr>
          <w:b/>
          <w:sz w:val="24"/>
        </w:rPr>
        <w:t>Unallowable</w:t>
      </w:r>
      <w:r>
        <w:rPr>
          <w:b/>
          <w:spacing w:val="-4"/>
          <w:sz w:val="24"/>
        </w:rPr>
        <w:t> </w:t>
      </w:r>
      <w:r>
        <w:rPr>
          <w:b/>
          <w:sz w:val="24"/>
        </w:rPr>
        <w:t>Expenditures</w:t>
      </w:r>
      <w:r>
        <w:rPr>
          <w:b/>
          <w:spacing w:val="-4"/>
          <w:sz w:val="24"/>
        </w:rPr>
        <w:t> </w:t>
      </w:r>
      <w:r>
        <w:rPr>
          <w:b/>
          <w:sz w:val="24"/>
        </w:rPr>
        <w:t>Under</w:t>
      </w:r>
      <w:r>
        <w:rPr>
          <w:b/>
          <w:spacing w:val="-4"/>
          <w:sz w:val="24"/>
        </w:rPr>
        <w:t> </w:t>
      </w:r>
      <w:r>
        <w:rPr>
          <w:b/>
          <w:sz w:val="24"/>
        </w:rPr>
        <w:t>the</w:t>
      </w:r>
      <w:r>
        <w:rPr>
          <w:b/>
          <w:spacing w:val="-4"/>
          <w:sz w:val="24"/>
        </w:rPr>
        <w:t> </w:t>
      </w:r>
      <w:r>
        <w:rPr>
          <w:b/>
          <w:sz w:val="24"/>
        </w:rPr>
        <w:t>SUD</w:t>
      </w:r>
      <w:r>
        <w:rPr>
          <w:b/>
          <w:spacing w:val="-4"/>
          <w:sz w:val="24"/>
        </w:rPr>
        <w:t> </w:t>
      </w:r>
      <w:r>
        <w:rPr>
          <w:b/>
          <w:sz w:val="24"/>
        </w:rPr>
        <w:t>Expenditure</w:t>
      </w:r>
      <w:r>
        <w:rPr>
          <w:b/>
          <w:spacing w:val="-4"/>
          <w:sz w:val="24"/>
        </w:rPr>
        <w:t> </w:t>
      </w:r>
      <w:r>
        <w:rPr>
          <w:b/>
          <w:sz w:val="24"/>
        </w:rPr>
        <w:t>Authority.</w:t>
      </w:r>
      <w:r>
        <w:rPr>
          <w:b/>
          <w:spacing w:val="40"/>
          <w:sz w:val="24"/>
        </w:rPr>
        <w:t> </w:t>
      </w:r>
      <w:r>
        <w:rPr>
          <w:sz w:val="24"/>
        </w:rPr>
        <w:t>In</w:t>
      </w:r>
      <w:r>
        <w:rPr>
          <w:spacing w:val="-2"/>
          <w:sz w:val="24"/>
        </w:rPr>
        <w:t> </w:t>
      </w:r>
      <w:r>
        <w:rPr>
          <w:sz w:val="24"/>
        </w:rPr>
        <w:t>addition</w:t>
      </w:r>
      <w:r>
        <w:rPr>
          <w:spacing w:val="-4"/>
          <w:sz w:val="24"/>
        </w:rPr>
        <w:t> </w:t>
      </w:r>
      <w:r>
        <w:rPr>
          <w:sz w:val="24"/>
        </w:rPr>
        <w:t>to</w:t>
      </w:r>
      <w:r>
        <w:rPr>
          <w:spacing w:val="-4"/>
          <w:sz w:val="24"/>
        </w:rPr>
        <w:t> </w:t>
      </w:r>
      <w:r>
        <w:rPr>
          <w:sz w:val="24"/>
        </w:rPr>
        <w:t>the other unallowable costs and caveats already outlined in these STCs, the Commonwealth</w:t>
      </w:r>
    </w:p>
    <w:p>
      <w:pPr>
        <w:spacing w:after="0"/>
        <w:jc w:val="left"/>
        <w:rPr>
          <w:sz w:val="24"/>
        </w:rPr>
        <w:sectPr>
          <w:pgSz w:w="12240" w:h="15840"/>
          <w:pgMar w:header="0" w:footer="1201" w:top="1360" w:bottom="1400" w:left="1200" w:right="400"/>
        </w:sectPr>
      </w:pPr>
    </w:p>
    <w:p>
      <w:pPr>
        <w:pStyle w:val="BodyText"/>
        <w:spacing w:before="79"/>
        <w:ind w:left="871" w:right="1141"/>
      </w:pPr>
      <w:r>
        <w:rPr/>
        <w:t>may</w:t>
      </w:r>
      <w:r>
        <w:rPr>
          <w:spacing w:val="-7"/>
        </w:rPr>
        <w:t> </w:t>
      </w:r>
      <w:r>
        <w:rPr/>
        <w:t>not</w:t>
      </w:r>
      <w:r>
        <w:rPr>
          <w:spacing w:val="-3"/>
        </w:rPr>
        <w:t> </w:t>
      </w:r>
      <w:r>
        <w:rPr/>
        <w:t>receive</w:t>
      </w:r>
      <w:r>
        <w:rPr>
          <w:spacing w:val="-4"/>
        </w:rPr>
        <w:t> </w:t>
      </w:r>
      <w:r>
        <w:rPr/>
        <w:t>FFP</w:t>
      </w:r>
      <w:r>
        <w:rPr>
          <w:spacing w:val="-3"/>
        </w:rPr>
        <w:t> </w:t>
      </w:r>
      <w:r>
        <w:rPr/>
        <w:t>under</w:t>
      </w:r>
      <w:r>
        <w:rPr>
          <w:spacing w:val="-4"/>
        </w:rPr>
        <w:t> </w:t>
      </w:r>
      <w:r>
        <w:rPr/>
        <w:t>any</w:t>
      </w:r>
      <w:r>
        <w:rPr>
          <w:spacing w:val="-7"/>
        </w:rPr>
        <w:t> </w:t>
      </w:r>
      <w:r>
        <w:rPr/>
        <w:t>expenditure</w:t>
      </w:r>
      <w:r>
        <w:rPr>
          <w:spacing w:val="-2"/>
        </w:rPr>
        <w:t> </w:t>
      </w:r>
      <w:r>
        <w:rPr/>
        <w:t>authority</w:t>
      </w:r>
      <w:r>
        <w:rPr>
          <w:spacing w:val="-7"/>
        </w:rPr>
        <w:t> </w:t>
      </w:r>
      <w:r>
        <w:rPr/>
        <w:t>approved</w:t>
      </w:r>
      <w:r>
        <w:rPr>
          <w:spacing w:val="-3"/>
        </w:rPr>
        <w:t> </w:t>
      </w:r>
      <w:r>
        <w:rPr/>
        <w:t>under</w:t>
      </w:r>
      <w:r>
        <w:rPr>
          <w:spacing w:val="-4"/>
        </w:rPr>
        <w:t> </w:t>
      </w:r>
      <w:r>
        <w:rPr/>
        <w:t>the</w:t>
      </w:r>
      <w:r>
        <w:rPr>
          <w:spacing w:val="-4"/>
        </w:rPr>
        <w:t> </w:t>
      </w:r>
      <w:r>
        <w:rPr/>
        <w:t>SUD expenditure authority for any of the following:</w:t>
      </w:r>
    </w:p>
    <w:p>
      <w:pPr>
        <w:pStyle w:val="BodyText"/>
        <w:spacing w:before="10"/>
        <w:rPr>
          <w:sz w:val="20"/>
        </w:rPr>
      </w:pPr>
    </w:p>
    <w:p>
      <w:pPr>
        <w:pStyle w:val="BodyText"/>
        <w:ind w:left="1411" w:right="1059"/>
      </w:pPr>
      <w:r>
        <w:rPr/>
        <w:drawing>
          <wp:anchor distT="0" distB="0" distL="0" distR="0" allowOverlap="1" layoutInCell="1" locked="0" behindDoc="0" simplePos="0" relativeHeight="15801856">
            <wp:simplePos x="0" y="0"/>
            <wp:positionH relativeFrom="page">
              <wp:posOffset>1431036</wp:posOffset>
            </wp:positionH>
            <wp:positionV relativeFrom="paragraph">
              <wp:posOffset>67616</wp:posOffset>
            </wp:positionV>
            <wp:extent cx="96011" cy="80759"/>
            <wp:effectExtent l="0" t="0" r="0" b="0"/>
            <wp:wrapNone/>
            <wp:docPr id="154" name="Image 154"/>
            <wp:cNvGraphicFramePr>
              <a:graphicFrameLocks/>
            </wp:cNvGraphicFramePr>
            <a:graphic>
              <a:graphicData uri="http://schemas.openxmlformats.org/drawingml/2006/picture">
                <pic:pic>
                  <pic:nvPicPr>
                    <pic:cNvPr id="154" name="Image 154"/>
                    <pic:cNvPicPr/>
                  </pic:nvPicPr>
                  <pic:blipFill>
                    <a:blip r:embed="rId29" cstate="print"/>
                    <a:stretch>
                      <a:fillRect/>
                    </a:stretch>
                  </pic:blipFill>
                  <pic:spPr>
                    <a:xfrm>
                      <a:off x="0" y="0"/>
                      <a:ext cx="96011" cy="80759"/>
                    </a:xfrm>
                    <a:prstGeom prst="rect">
                      <a:avLst/>
                    </a:prstGeom>
                  </pic:spPr>
                </pic:pic>
              </a:graphicData>
            </a:graphic>
          </wp:anchor>
        </w:drawing>
      </w:r>
      <w:bookmarkStart w:name="a. Room and board costs for residential " w:id="283"/>
      <w:bookmarkEnd w:id="283"/>
      <w:r>
        <w:rPr/>
      </w:r>
      <w:r>
        <w:rPr/>
        <w:t>Room</w:t>
      </w:r>
      <w:r>
        <w:rPr>
          <w:spacing w:val="-3"/>
        </w:rPr>
        <w:t> </w:t>
      </w:r>
      <w:r>
        <w:rPr/>
        <w:t>and</w:t>
      </w:r>
      <w:r>
        <w:rPr>
          <w:spacing w:val="-3"/>
        </w:rPr>
        <w:t> </w:t>
      </w:r>
      <w:r>
        <w:rPr/>
        <w:t>board</w:t>
      </w:r>
      <w:r>
        <w:rPr>
          <w:spacing w:val="-3"/>
        </w:rPr>
        <w:t> </w:t>
      </w:r>
      <w:r>
        <w:rPr/>
        <w:t>costs</w:t>
      </w:r>
      <w:r>
        <w:rPr>
          <w:spacing w:val="-3"/>
        </w:rPr>
        <w:t> </w:t>
      </w:r>
      <w:r>
        <w:rPr/>
        <w:t>for</w:t>
      </w:r>
      <w:r>
        <w:rPr>
          <w:spacing w:val="-4"/>
        </w:rPr>
        <w:t> </w:t>
      </w:r>
      <w:r>
        <w:rPr/>
        <w:t>residential</w:t>
      </w:r>
      <w:r>
        <w:rPr>
          <w:spacing w:val="-3"/>
        </w:rPr>
        <w:t> </w:t>
      </w:r>
      <w:r>
        <w:rPr/>
        <w:t>treatment</w:t>
      </w:r>
      <w:r>
        <w:rPr>
          <w:spacing w:val="-3"/>
        </w:rPr>
        <w:t> </w:t>
      </w:r>
      <w:r>
        <w:rPr/>
        <w:t>service</w:t>
      </w:r>
      <w:r>
        <w:rPr>
          <w:spacing w:val="-4"/>
        </w:rPr>
        <w:t> </w:t>
      </w:r>
      <w:r>
        <w:rPr/>
        <w:t>providers</w:t>
      </w:r>
      <w:r>
        <w:rPr>
          <w:spacing w:val="-3"/>
        </w:rPr>
        <w:t> </w:t>
      </w:r>
      <w:r>
        <w:rPr/>
        <w:t>unless</w:t>
      </w:r>
      <w:r>
        <w:rPr>
          <w:spacing w:val="-3"/>
        </w:rPr>
        <w:t> </w:t>
      </w:r>
      <w:r>
        <w:rPr/>
        <w:t>they</w:t>
      </w:r>
      <w:r>
        <w:rPr>
          <w:spacing w:val="-6"/>
        </w:rPr>
        <w:t> </w:t>
      </w:r>
      <w:r>
        <w:rPr/>
        <w:t>qualify as inpatient facilities under section 1905(a) of the Act.</w:t>
      </w:r>
    </w:p>
    <w:p>
      <w:pPr>
        <w:pStyle w:val="BodyText"/>
        <w:spacing w:before="10"/>
        <w:rPr>
          <w:sz w:val="20"/>
        </w:rPr>
      </w:pPr>
    </w:p>
    <w:p>
      <w:pPr>
        <w:pStyle w:val="Heading4"/>
        <w:numPr>
          <w:ilvl w:val="0"/>
          <w:numId w:val="3"/>
        </w:numPr>
        <w:tabs>
          <w:tab w:pos="600" w:val="left" w:leader="none"/>
        </w:tabs>
        <w:spacing w:line="240" w:lineRule="auto" w:before="0" w:after="0"/>
        <w:ind w:left="600" w:right="1043" w:hanging="360"/>
        <w:jc w:val="left"/>
      </w:pPr>
      <w:bookmarkStart w:name="7. SERIOUS MENTAL ILLNESS (SMI) AND SERI" w:id="284"/>
      <w:bookmarkEnd w:id="284"/>
      <w:r>
        <w:rPr>
          <w:b w:val="0"/>
        </w:rPr>
      </w:r>
      <w:r>
        <w:rPr/>
        <w:t>SERIOUS</w:t>
      </w:r>
      <w:r>
        <w:rPr>
          <w:spacing w:val="-6"/>
        </w:rPr>
        <w:t> </w:t>
      </w:r>
      <w:r>
        <w:rPr/>
        <w:t>MENTAL</w:t>
      </w:r>
      <w:r>
        <w:rPr>
          <w:spacing w:val="-6"/>
        </w:rPr>
        <w:t> </w:t>
      </w:r>
      <w:r>
        <w:rPr/>
        <w:t>ILLNESS</w:t>
      </w:r>
      <w:r>
        <w:rPr>
          <w:spacing w:val="-6"/>
        </w:rPr>
        <w:t> </w:t>
      </w:r>
      <w:r>
        <w:rPr/>
        <w:t>(SMI)</w:t>
      </w:r>
      <w:r>
        <w:rPr>
          <w:spacing w:val="-7"/>
        </w:rPr>
        <w:t> </w:t>
      </w:r>
      <w:r>
        <w:rPr/>
        <w:t>AND</w:t>
      </w:r>
      <w:r>
        <w:rPr>
          <w:spacing w:val="-7"/>
        </w:rPr>
        <w:t> </w:t>
      </w:r>
      <w:r>
        <w:rPr/>
        <w:t>SERIOUS</w:t>
      </w:r>
      <w:r>
        <w:rPr>
          <w:spacing w:val="-6"/>
        </w:rPr>
        <w:t> </w:t>
      </w:r>
      <w:r>
        <w:rPr/>
        <w:t>EMOTIONAL</w:t>
      </w:r>
      <w:r>
        <w:rPr>
          <w:spacing w:val="-6"/>
        </w:rPr>
        <w:t> </w:t>
      </w:r>
      <w:r>
        <w:rPr/>
        <w:t>DISTURBANCE </w:t>
      </w:r>
      <w:r>
        <w:rPr>
          <w:spacing w:val="-2"/>
        </w:rPr>
        <w:t>(SED)</w:t>
      </w:r>
    </w:p>
    <w:p>
      <w:pPr>
        <w:pStyle w:val="BodyText"/>
        <w:spacing w:before="10"/>
        <w:rPr>
          <w:b/>
          <w:sz w:val="20"/>
        </w:rPr>
      </w:pPr>
    </w:p>
    <w:p>
      <w:pPr>
        <w:pStyle w:val="BodyText"/>
        <w:ind w:left="871" w:right="1141"/>
      </w:pPr>
      <w:r>
        <w:rPr/>
        <w:drawing>
          <wp:anchor distT="0" distB="0" distL="0" distR="0" allowOverlap="1" layoutInCell="1" locked="0" behindDoc="0" simplePos="0" relativeHeight="15802368">
            <wp:simplePos x="0" y="0"/>
            <wp:positionH relativeFrom="page">
              <wp:posOffset>973836</wp:posOffset>
            </wp:positionH>
            <wp:positionV relativeFrom="paragraph">
              <wp:posOffset>35612</wp:posOffset>
            </wp:positionV>
            <wp:extent cx="219455" cy="112763"/>
            <wp:effectExtent l="0" t="0" r="0" b="0"/>
            <wp:wrapNone/>
            <wp:docPr id="155" name="Image 155"/>
            <wp:cNvGraphicFramePr>
              <a:graphicFrameLocks/>
            </wp:cNvGraphicFramePr>
            <a:graphic>
              <a:graphicData uri="http://schemas.openxmlformats.org/drawingml/2006/picture">
                <pic:pic>
                  <pic:nvPicPr>
                    <pic:cNvPr id="155" name="Image 155"/>
                    <pic:cNvPicPr/>
                  </pic:nvPicPr>
                  <pic:blipFill>
                    <a:blip r:embed="rId107" cstate="print"/>
                    <a:stretch>
                      <a:fillRect/>
                    </a:stretch>
                  </pic:blipFill>
                  <pic:spPr>
                    <a:xfrm>
                      <a:off x="0" y="0"/>
                      <a:ext cx="219455" cy="112763"/>
                    </a:xfrm>
                    <a:prstGeom prst="rect">
                      <a:avLst/>
                    </a:prstGeom>
                  </pic:spPr>
                </pic:pic>
              </a:graphicData>
            </a:graphic>
          </wp:anchor>
        </w:drawing>
      </w:r>
      <w:bookmarkStart w:name="7.1. SMI/SED Program Benefits.  FFP is a" w:id="285"/>
      <w:bookmarkEnd w:id="285"/>
      <w:r>
        <w:rPr/>
      </w:r>
      <w:r>
        <w:rPr>
          <w:b/>
        </w:rPr>
        <w:t>SMI/SED</w:t>
      </w:r>
      <w:r>
        <w:rPr>
          <w:b/>
          <w:spacing w:val="-4"/>
        </w:rPr>
        <w:t> </w:t>
      </w:r>
      <w:r>
        <w:rPr>
          <w:b/>
        </w:rPr>
        <w:t>Program</w:t>
      </w:r>
      <w:r>
        <w:rPr>
          <w:b/>
          <w:spacing w:val="-7"/>
        </w:rPr>
        <w:t> </w:t>
      </w:r>
      <w:r>
        <w:rPr>
          <w:b/>
        </w:rPr>
        <w:t>Benefits.</w:t>
      </w:r>
      <w:r>
        <w:rPr>
          <w:b/>
          <w:spacing w:val="40"/>
        </w:rPr>
        <w:t> </w:t>
      </w:r>
      <w:r>
        <w:rPr/>
        <w:t>FFP</w:t>
      </w:r>
      <w:r>
        <w:rPr>
          <w:spacing w:val="-3"/>
        </w:rPr>
        <w:t> </w:t>
      </w:r>
      <w:r>
        <w:rPr/>
        <w:t>is</w:t>
      </w:r>
      <w:r>
        <w:rPr>
          <w:spacing w:val="-3"/>
        </w:rPr>
        <w:t> </w:t>
      </w:r>
      <w:r>
        <w:rPr/>
        <w:t>available</w:t>
      </w:r>
      <w:r>
        <w:rPr>
          <w:spacing w:val="-4"/>
        </w:rPr>
        <w:t> </w:t>
      </w:r>
      <w:r>
        <w:rPr/>
        <w:t>for</w:t>
      </w:r>
      <w:r>
        <w:rPr>
          <w:spacing w:val="-4"/>
        </w:rPr>
        <w:t> </w:t>
      </w:r>
      <w:r>
        <w:rPr/>
        <w:t>otherwise</w:t>
      </w:r>
      <w:r>
        <w:rPr>
          <w:spacing w:val="-4"/>
        </w:rPr>
        <w:t> </w:t>
      </w:r>
      <w:r>
        <w:rPr/>
        <w:t>covered</w:t>
      </w:r>
      <w:r>
        <w:rPr>
          <w:spacing w:val="-3"/>
        </w:rPr>
        <w:t> </w:t>
      </w:r>
      <w:r>
        <w:rPr/>
        <w:t>Medicaid</w:t>
      </w:r>
      <w:r>
        <w:rPr>
          <w:spacing w:val="-3"/>
        </w:rPr>
        <w:t> </w:t>
      </w:r>
      <w:r>
        <w:rPr/>
        <w:t>services, including inpatient psychiatric hospital services, and services authorized under this demonstration, including community crisis stabilization (CCS) services and community based acute treatment for children and adolescents (CBAT), furnished to otherwise eligible individuals who are primarily receiving treatment for a serious mental illness (SMI) or serious emotional disturbance (SED) who are short-term residents in facilities that meet the definition of an IMD. MassHealth beneficiaries will have access to the full range of otherwise covered Medicaid services, including SMI/SED treatment services.</w:t>
      </w:r>
    </w:p>
    <w:p>
      <w:pPr>
        <w:pStyle w:val="BodyText"/>
        <w:ind w:left="871" w:right="1078"/>
      </w:pPr>
      <w:r>
        <w:rPr/>
        <w:t>These SMI and SED services will range in intensity from short-term acute care in</w:t>
      </w:r>
      <w:r>
        <w:rPr>
          <w:spacing w:val="40"/>
        </w:rPr>
        <w:t> </w:t>
      </w:r>
      <w:r>
        <w:rPr/>
        <w:t>inpatient settings for SMI and SED, to ongoing chronic care for these conditions in cost effective community-based settings.</w:t>
      </w:r>
      <w:r>
        <w:rPr>
          <w:spacing w:val="40"/>
        </w:rPr>
        <w:t> </w:t>
      </w:r>
      <w:r>
        <w:rPr/>
        <w:t>CCS will be available to all MassHealth members, except those in MassHealth Limited.</w:t>
      </w:r>
      <w:r>
        <w:rPr>
          <w:spacing w:val="40"/>
        </w:rPr>
        <w:t> </w:t>
      </w:r>
      <w:r>
        <w:rPr/>
        <w:t>CBAT will be available to children and adolescents enrolled in managed care.</w:t>
      </w:r>
      <w:r>
        <w:rPr>
          <w:spacing w:val="40"/>
        </w:rPr>
        <w:t> </w:t>
      </w:r>
      <w:r>
        <w:rPr/>
        <w:t>The Commonwealth will work to improve care coordination and care for co-occurring physical and behavioral health conditions.</w:t>
      </w:r>
      <w:r>
        <w:rPr>
          <w:spacing w:val="40"/>
        </w:rPr>
        <w:t> </w:t>
      </w:r>
      <w:r>
        <w:rPr/>
        <w:t>The Commonwealth must</w:t>
      </w:r>
      <w:r>
        <w:rPr>
          <w:spacing w:val="-2"/>
        </w:rPr>
        <w:t> </w:t>
      </w:r>
      <w:r>
        <w:rPr/>
        <w:t>achieve</w:t>
      </w:r>
      <w:r>
        <w:rPr>
          <w:spacing w:val="-3"/>
        </w:rPr>
        <w:t> </w:t>
      </w:r>
      <w:r>
        <w:rPr/>
        <w:t>a</w:t>
      </w:r>
      <w:r>
        <w:rPr>
          <w:spacing w:val="-3"/>
        </w:rPr>
        <w:t> </w:t>
      </w:r>
      <w:r>
        <w:rPr/>
        <w:t>statewide</w:t>
      </w:r>
      <w:r>
        <w:rPr>
          <w:spacing w:val="-1"/>
        </w:rPr>
        <w:t> </w:t>
      </w:r>
      <w:r>
        <w:rPr/>
        <w:t>average</w:t>
      </w:r>
      <w:r>
        <w:rPr>
          <w:spacing w:val="-3"/>
        </w:rPr>
        <w:t> </w:t>
      </w:r>
      <w:r>
        <w:rPr/>
        <w:t>length</w:t>
      </w:r>
      <w:r>
        <w:rPr>
          <w:spacing w:val="-2"/>
        </w:rPr>
        <w:t> </w:t>
      </w:r>
      <w:r>
        <w:rPr/>
        <w:t>of</w:t>
      </w:r>
      <w:r>
        <w:rPr>
          <w:spacing w:val="-3"/>
        </w:rPr>
        <w:t> </w:t>
      </w:r>
      <w:r>
        <w:rPr/>
        <w:t>stay</w:t>
      </w:r>
      <w:r>
        <w:rPr>
          <w:spacing w:val="-7"/>
        </w:rPr>
        <w:t> </w:t>
      </w:r>
      <w:r>
        <w:rPr/>
        <w:t>of</w:t>
      </w:r>
      <w:r>
        <w:rPr>
          <w:spacing w:val="-1"/>
        </w:rPr>
        <w:t> </w:t>
      </w:r>
      <w:r>
        <w:rPr/>
        <w:t>no</w:t>
      </w:r>
      <w:r>
        <w:rPr>
          <w:spacing w:val="-2"/>
        </w:rPr>
        <w:t> </w:t>
      </w:r>
      <w:r>
        <w:rPr/>
        <w:t>more</w:t>
      </w:r>
      <w:r>
        <w:rPr>
          <w:spacing w:val="-3"/>
        </w:rPr>
        <w:t> </w:t>
      </w:r>
      <w:r>
        <w:rPr/>
        <w:t>than</w:t>
      </w:r>
      <w:r>
        <w:rPr>
          <w:spacing w:val="-2"/>
        </w:rPr>
        <w:t> </w:t>
      </w:r>
      <w:r>
        <w:rPr/>
        <w:t>30</w:t>
      </w:r>
      <w:r>
        <w:rPr>
          <w:spacing w:val="-2"/>
        </w:rPr>
        <w:t> </w:t>
      </w:r>
      <w:r>
        <w:rPr/>
        <w:t>days</w:t>
      </w:r>
      <w:r>
        <w:rPr>
          <w:spacing w:val="-2"/>
        </w:rPr>
        <w:t> </w:t>
      </w:r>
      <w:r>
        <w:rPr/>
        <w:t>in IMD</w:t>
      </w:r>
      <w:r>
        <w:rPr>
          <w:spacing w:val="-3"/>
        </w:rPr>
        <w:t> </w:t>
      </w:r>
      <w:r>
        <w:rPr/>
        <w:t>treatment settings for beneficiaries receiving coverage through this demonstration’s SMI/SED programs, to be monitored pursuant to the SMI/SED Implementation Plan as outlined in STC 7.2 and STC 7.5 below.</w:t>
      </w:r>
    </w:p>
    <w:p>
      <w:pPr>
        <w:pStyle w:val="BodyText"/>
        <w:spacing w:before="10"/>
        <w:rPr>
          <w:sz w:val="20"/>
        </w:rPr>
      </w:pPr>
    </w:p>
    <w:p>
      <w:pPr>
        <w:pStyle w:val="Heading5"/>
        <w:ind w:left="871"/>
      </w:pPr>
      <w:r>
        <w:rPr/>
        <w:drawing>
          <wp:anchor distT="0" distB="0" distL="0" distR="0" allowOverlap="1" layoutInCell="1" locked="0" behindDoc="0" simplePos="0" relativeHeight="15802880">
            <wp:simplePos x="0" y="0"/>
            <wp:positionH relativeFrom="page">
              <wp:posOffset>973836</wp:posOffset>
            </wp:positionH>
            <wp:positionV relativeFrom="paragraph">
              <wp:posOffset>35599</wp:posOffset>
            </wp:positionV>
            <wp:extent cx="219455" cy="112775"/>
            <wp:effectExtent l="0" t="0" r="0" b="0"/>
            <wp:wrapNone/>
            <wp:docPr id="156" name="Image 156"/>
            <wp:cNvGraphicFramePr>
              <a:graphicFrameLocks/>
            </wp:cNvGraphicFramePr>
            <a:graphic>
              <a:graphicData uri="http://schemas.openxmlformats.org/drawingml/2006/picture">
                <pic:pic>
                  <pic:nvPicPr>
                    <pic:cNvPr id="156" name="Image 156"/>
                    <pic:cNvPicPr/>
                  </pic:nvPicPr>
                  <pic:blipFill>
                    <a:blip r:embed="rId108" cstate="print"/>
                    <a:stretch>
                      <a:fillRect/>
                    </a:stretch>
                  </pic:blipFill>
                  <pic:spPr>
                    <a:xfrm>
                      <a:off x="0" y="0"/>
                      <a:ext cx="219455" cy="112775"/>
                    </a:xfrm>
                    <a:prstGeom prst="rect">
                      <a:avLst/>
                    </a:prstGeom>
                  </pic:spPr>
                </pic:pic>
              </a:graphicData>
            </a:graphic>
          </wp:anchor>
        </w:drawing>
      </w:r>
      <w:bookmarkStart w:name="7.2. SMI/SED Implementation Plan." w:id="286"/>
      <w:bookmarkEnd w:id="286"/>
      <w:r>
        <w:rPr>
          <w:b w:val="0"/>
        </w:rPr>
      </w:r>
      <w:r>
        <w:rPr/>
        <w:t>SMI/SED</w:t>
      </w:r>
      <w:r>
        <w:rPr>
          <w:spacing w:val="-5"/>
        </w:rPr>
        <w:t> </w:t>
      </w:r>
      <w:r>
        <w:rPr/>
        <w:t>Implementation</w:t>
      </w:r>
      <w:r>
        <w:rPr>
          <w:spacing w:val="-3"/>
        </w:rPr>
        <w:t> </w:t>
      </w:r>
      <w:r>
        <w:rPr>
          <w:spacing w:val="-2"/>
        </w:rPr>
        <w:t>Plan.</w:t>
      </w:r>
    </w:p>
    <w:p>
      <w:pPr>
        <w:pStyle w:val="BodyText"/>
        <w:spacing w:before="10"/>
        <w:rPr>
          <w:b/>
          <w:sz w:val="20"/>
        </w:rPr>
      </w:pPr>
    </w:p>
    <w:p>
      <w:pPr>
        <w:pStyle w:val="BodyText"/>
        <w:spacing w:before="1"/>
        <w:ind w:left="1411" w:right="1066"/>
      </w:pPr>
      <w:r>
        <w:rPr/>
        <w:drawing>
          <wp:anchor distT="0" distB="0" distL="0" distR="0" allowOverlap="1" layoutInCell="1" locked="0" behindDoc="0" simplePos="0" relativeHeight="15803392">
            <wp:simplePos x="0" y="0"/>
            <wp:positionH relativeFrom="page">
              <wp:posOffset>1431036</wp:posOffset>
            </wp:positionH>
            <wp:positionV relativeFrom="paragraph">
              <wp:posOffset>68251</wp:posOffset>
            </wp:positionV>
            <wp:extent cx="96011" cy="80759"/>
            <wp:effectExtent l="0" t="0" r="0" b="0"/>
            <wp:wrapNone/>
            <wp:docPr id="157" name="Image 157"/>
            <wp:cNvGraphicFramePr>
              <a:graphicFrameLocks/>
            </wp:cNvGraphicFramePr>
            <a:graphic>
              <a:graphicData uri="http://schemas.openxmlformats.org/drawingml/2006/picture">
                <pic:pic>
                  <pic:nvPicPr>
                    <pic:cNvPr id="157" name="Image 157"/>
                    <pic:cNvPicPr/>
                  </pic:nvPicPr>
                  <pic:blipFill>
                    <a:blip r:embed="rId40" cstate="print"/>
                    <a:stretch>
                      <a:fillRect/>
                    </a:stretch>
                  </pic:blipFill>
                  <pic:spPr>
                    <a:xfrm>
                      <a:off x="0" y="0"/>
                      <a:ext cx="96011" cy="80759"/>
                    </a:xfrm>
                    <a:prstGeom prst="rect">
                      <a:avLst/>
                    </a:prstGeom>
                  </pic:spPr>
                </pic:pic>
              </a:graphicData>
            </a:graphic>
          </wp:anchor>
        </w:drawing>
      </w:r>
      <w:bookmarkStart w:name="a. The Commonwealth must submit the SMI/" w:id="287"/>
      <w:bookmarkEnd w:id="287"/>
      <w:r>
        <w:rPr/>
      </w:r>
      <w:r>
        <w:rPr/>
        <w:t>The Commonwealth must submit the SMI/SED Implementation Plan within 90 calendar days after approval of the SMI/SED amendment to this demonstration.</w:t>
      </w:r>
      <w:r>
        <w:rPr>
          <w:spacing w:val="40"/>
        </w:rPr>
        <w:t> </w:t>
      </w:r>
      <w:r>
        <w:rPr/>
        <w:t>If applicable, the Commonwealth must submit a revised SMI/SED Implementation Plan</w:t>
      </w:r>
      <w:r>
        <w:rPr>
          <w:spacing w:val="-4"/>
        </w:rPr>
        <w:t> </w:t>
      </w:r>
      <w:r>
        <w:rPr/>
        <w:t>within</w:t>
      </w:r>
      <w:r>
        <w:rPr>
          <w:spacing w:val="-4"/>
        </w:rPr>
        <w:t> </w:t>
      </w:r>
      <w:r>
        <w:rPr/>
        <w:t>60</w:t>
      </w:r>
      <w:r>
        <w:rPr>
          <w:spacing w:val="-4"/>
        </w:rPr>
        <w:t> </w:t>
      </w:r>
      <w:r>
        <w:rPr/>
        <w:t>calendar</w:t>
      </w:r>
      <w:r>
        <w:rPr>
          <w:spacing w:val="-5"/>
        </w:rPr>
        <w:t> </w:t>
      </w:r>
      <w:r>
        <w:rPr/>
        <w:t>days</w:t>
      </w:r>
      <w:r>
        <w:rPr>
          <w:spacing w:val="-2"/>
        </w:rPr>
        <w:t> </w:t>
      </w:r>
      <w:r>
        <w:rPr/>
        <w:t>after</w:t>
      </w:r>
      <w:r>
        <w:rPr>
          <w:spacing w:val="-3"/>
        </w:rPr>
        <w:t> </w:t>
      </w:r>
      <w:r>
        <w:rPr/>
        <w:t>receipt</w:t>
      </w:r>
      <w:r>
        <w:rPr>
          <w:spacing w:val="-4"/>
        </w:rPr>
        <w:t> </w:t>
      </w:r>
      <w:r>
        <w:rPr/>
        <w:t>of</w:t>
      </w:r>
      <w:r>
        <w:rPr>
          <w:spacing w:val="-5"/>
        </w:rPr>
        <w:t> </w:t>
      </w:r>
      <w:r>
        <w:rPr/>
        <w:t>CMS’s</w:t>
      </w:r>
      <w:r>
        <w:rPr>
          <w:spacing w:val="-4"/>
        </w:rPr>
        <w:t> </w:t>
      </w:r>
      <w:r>
        <w:rPr/>
        <w:t>comments.</w:t>
      </w:r>
      <w:r>
        <w:rPr>
          <w:spacing w:val="40"/>
        </w:rPr>
        <w:t> </w:t>
      </w:r>
      <w:r>
        <w:rPr/>
        <w:t>The</w:t>
      </w:r>
      <w:r>
        <w:rPr>
          <w:spacing w:val="-5"/>
        </w:rPr>
        <w:t> </w:t>
      </w:r>
      <w:r>
        <w:rPr/>
        <w:t>Commonwealth may not claim FFP for services provided in IMDs to beneficiaries residing in IMDs primarily to receive treatment for SMI/SED under expenditure authority #15 until CMS has approved the SMI/SED Implementation Plan and the SMI/SED Financing Plan described in STC 7.2(d).</w:t>
      </w:r>
      <w:r>
        <w:rPr>
          <w:spacing w:val="40"/>
        </w:rPr>
        <w:t> </w:t>
      </w:r>
      <w:r>
        <w:rPr/>
        <w:t>After approval of the required implementation and financing plan, FFP will be available prospectively, but not retrospectively.</w:t>
      </w:r>
    </w:p>
    <w:p>
      <w:pPr>
        <w:pStyle w:val="BodyText"/>
        <w:spacing w:before="10"/>
        <w:rPr>
          <w:sz w:val="20"/>
        </w:rPr>
      </w:pPr>
    </w:p>
    <w:p>
      <w:pPr>
        <w:pStyle w:val="BodyText"/>
        <w:ind w:left="1411" w:right="1117"/>
      </w:pPr>
      <w:r>
        <w:rPr/>
        <w:drawing>
          <wp:anchor distT="0" distB="0" distL="0" distR="0" allowOverlap="1" layoutInCell="1" locked="0" behindDoc="0" simplePos="0" relativeHeight="15803904">
            <wp:simplePos x="0" y="0"/>
            <wp:positionH relativeFrom="page">
              <wp:posOffset>1424939</wp:posOffset>
            </wp:positionH>
            <wp:positionV relativeFrom="paragraph">
              <wp:posOffset>32551</wp:posOffset>
            </wp:positionV>
            <wp:extent cx="111251" cy="115823"/>
            <wp:effectExtent l="0" t="0" r="0" b="0"/>
            <wp:wrapNone/>
            <wp:docPr id="158" name="Image 158"/>
            <wp:cNvGraphicFramePr>
              <a:graphicFrameLocks/>
            </wp:cNvGraphicFramePr>
            <a:graphic>
              <a:graphicData uri="http://schemas.openxmlformats.org/drawingml/2006/picture">
                <pic:pic>
                  <pic:nvPicPr>
                    <pic:cNvPr id="158" name="Image 158"/>
                    <pic:cNvPicPr/>
                  </pic:nvPicPr>
                  <pic:blipFill>
                    <a:blip r:embed="rId34" cstate="print"/>
                    <a:stretch>
                      <a:fillRect/>
                    </a:stretch>
                  </pic:blipFill>
                  <pic:spPr>
                    <a:xfrm>
                      <a:off x="0" y="0"/>
                      <a:ext cx="111251" cy="115823"/>
                    </a:xfrm>
                    <a:prstGeom prst="rect">
                      <a:avLst/>
                    </a:prstGeom>
                  </pic:spPr>
                </pic:pic>
              </a:graphicData>
            </a:graphic>
          </wp:anchor>
        </w:drawing>
      </w:r>
      <w:bookmarkStart w:name="b. Once approved, the SMI/SED Implementa" w:id="288"/>
      <w:bookmarkEnd w:id="288"/>
      <w:r>
        <w:rPr/>
      </w:r>
      <w:r>
        <w:rPr/>
        <w:t>Once approved, the SMI/SED Implementation Plan will be incorporated into the STCs as Attachment F, and once incorporated, may be altered only with CMS approval.</w:t>
      </w:r>
      <w:r>
        <w:rPr>
          <w:spacing w:val="40"/>
        </w:rPr>
        <w:t> </w:t>
      </w:r>
      <w:r>
        <w:rPr/>
        <w:t>Failure to submit an SMI/SED Implementation Plan, within 90 calendar days after approval of the SMI/SED amendment to this Demonstration, will be considered a material failure to comply with the terms of the demonstration project as described in 42 CFR 431.420(d) and, as such, would be grounds for termination or</w:t>
      </w:r>
      <w:r>
        <w:rPr>
          <w:spacing w:val="-4"/>
        </w:rPr>
        <w:t> </w:t>
      </w:r>
      <w:r>
        <w:rPr/>
        <w:t>suspension</w:t>
      </w:r>
      <w:r>
        <w:rPr>
          <w:spacing w:val="-3"/>
        </w:rPr>
        <w:t> </w:t>
      </w:r>
      <w:r>
        <w:rPr/>
        <w:t>of</w:t>
      </w:r>
      <w:r>
        <w:rPr>
          <w:spacing w:val="-4"/>
        </w:rPr>
        <w:t> </w:t>
      </w:r>
      <w:r>
        <w:rPr/>
        <w:t>the</w:t>
      </w:r>
      <w:r>
        <w:rPr>
          <w:spacing w:val="-4"/>
        </w:rPr>
        <w:t> </w:t>
      </w:r>
      <w:r>
        <w:rPr/>
        <w:t>SMI/SED</w:t>
      </w:r>
      <w:r>
        <w:rPr>
          <w:spacing w:val="-4"/>
        </w:rPr>
        <w:t> </w:t>
      </w:r>
      <w:r>
        <w:rPr/>
        <w:t>program</w:t>
      </w:r>
      <w:r>
        <w:rPr>
          <w:spacing w:val="-3"/>
        </w:rPr>
        <w:t> </w:t>
      </w:r>
      <w:r>
        <w:rPr/>
        <w:t>under</w:t>
      </w:r>
      <w:r>
        <w:rPr>
          <w:spacing w:val="-4"/>
        </w:rPr>
        <w:t> </w:t>
      </w:r>
      <w:r>
        <w:rPr/>
        <w:t>this</w:t>
      </w:r>
      <w:r>
        <w:rPr>
          <w:spacing w:val="-1"/>
        </w:rPr>
        <w:t> </w:t>
      </w:r>
      <w:r>
        <w:rPr/>
        <w:t>amendment</w:t>
      </w:r>
      <w:r>
        <w:rPr>
          <w:spacing w:val="-3"/>
        </w:rPr>
        <w:t> </w:t>
      </w:r>
      <w:r>
        <w:rPr/>
        <w:t>to</w:t>
      </w:r>
      <w:r>
        <w:rPr>
          <w:spacing w:val="-3"/>
        </w:rPr>
        <w:t> </w:t>
      </w:r>
      <w:r>
        <w:rPr/>
        <w:t>the</w:t>
      </w:r>
      <w:r>
        <w:rPr>
          <w:spacing w:val="-4"/>
        </w:rPr>
        <w:t> </w:t>
      </w:r>
      <w:r>
        <w:rPr/>
        <w:t>demonstration.</w:t>
      </w:r>
    </w:p>
    <w:p>
      <w:pPr>
        <w:spacing w:after="0"/>
        <w:sectPr>
          <w:pgSz w:w="12240" w:h="15840"/>
          <w:pgMar w:header="0" w:footer="1201" w:top="1360" w:bottom="1400" w:left="1200" w:right="400"/>
        </w:sectPr>
      </w:pPr>
    </w:p>
    <w:p>
      <w:pPr>
        <w:pStyle w:val="BodyText"/>
        <w:spacing w:before="79"/>
        <w:ind w:left="1411" w:right="1326"/>
        <w:jc w:val="both"/>
      </w:pPr>
      <w:r>
        <w:rPr/>
        <w:t>Once</w:t>
      </w:r>
      <w:r>
        <w:rPr>
          <w:spacing w:val="-1"/>
        </w:rPr>
        <w:t> </w:t>
      </w:r>
      <w:r>
        <w:rPr/>
        <w:t>approved, failure</w:t>
      </w:r>
      <w:r>
        <w:rPr>
          <w:spacing w:val="-1"/>
        </w:rPr>
        <w:t> </w:t>
      </w:r>
      <w:r>
        <w:rPr/>
        <w:t>to progress in meeting</w:t>
      </w:r>
      <w:r>
        <w:rPr>
          <w:spacing w:val="-3"/>
        </w:rPr>
        <w:t> </w:t>
      </w:r>
      <w:r>
        <w:rPr/>
        <w:t>the milestone</w:t>
      </w:r>
      <w:r>
        <w:rPr>
          <w:spacing w:val="-1"/>
        </w:rPr>
        <w:t> </w:t>
      </w:r>
      <w:r>
        <w:rPr/>
        <w:t>goals agreed upon by the</w:t>
      </w:r>
      <w:r>
        <w:rPr>
          <w:spacing w:val="-4"/>
        </w:rPr>
        <w:t> </w:t>
      </w:r>
      <w:r>
        <w:rPr/>
        <w:t>Commonwealth</w:t>
      </w:r>
      <w:r>
        <w:rPr>
          <w:spacing w:val="-3"/>
        </w:rPr>
        <w:t> </w:t>
      </w:r>
      <w:r>
        <w:rPr/>
        <w:t>and</w:t>
      </w:r>
      <w:r>
        <w:rPr>
          <w:spacing w:val="-3"/>
        </w:rPr>
        <w:t> </w:t>
      </w:r>
      <w:r>
        <w:rPr/>
        <w:t>CMS</w:t>
      </w:r>
      <w:r>
        <w:rPr>
          <w:spacing w:val="-3"/>
        </w:rPr>
        <w:t> </w:t>
      </w:r>
      <w:r>
        <w:rPr/>
        <w:t>will</w:t>
      </w:r>
      <w:r>
        <w:rPr>
          <w:spacing w:val="-3"/>
        </w:rPr>
        <w:t> </w:t>
      </w:r>
      <w:r>
        <w:rPr/>
        <w:t>result</w:t>
      </w:r>
      <w:r>
        <w:rPr>
          <w:spacing w:val="-3"/>
        </w:rPr>
        <w:t> </w:t>
      </w:r>
      <w:r>
        <w:rPr/>
        <w:t>in</w:t>
      </w:r>
      <w:r>
        <w:rPr>
          <w:spacing w:val="-3"/>
        </w:rPr>
        <w:t> </w:t>
      </w:r>
      <w:r>
        <w:rPr/>
        <w:t>a</w:t>
      </w:r>
      <w:r>
        <w:rPr>
          <w:spacing w:val="-4"/>
        </w:rPr>
        <w:t> </w:t>
      </w:r>
      <w:r>
        <w:rPr/>
        <w:t>funding</w:t>
      </w:r>
      <w:r>
        <w:rPr>
          <w:spacing w:val="-6"/>
        </w:rPr>
        <w:t> </w:t>
      </w:r>
      <w:r>
        <w:rPr/>
        <w:t>deferral</w:t>
      </w:r>
      <w:r>
        <w:rPr>
          <w:spacing w:val="-3"/>
        </w:rPr>
        <w:t> </w:t>
      </w:r>
      <w:r>
        <w:rPr/>
        <w:t>as</w:t>
      </w:r>
      <w:r>
        <w:rPr>
          <w:spacing w:val="-3"/>
        </w:rPr>
        <w:t> </w:t>
      </w:r>
      <w:r>
        <w:rPr/>
        <w:t>described</w:t>
      </w:r>
      <w:r>
        <w:rPr>
          <w:spacing w:val="-1"/>
        </w:rPr>
        <w:t> </w:t>
      </w:r>
      <w:r>
        <w:rPr/>
        <w:t>in</w:t>
      </w:r>
      <w:r>
        <w:rPr>
          <w:spacing w:val="-3"/>
        </w:rPr>
        <w:t> </w:t>
      </w:r>
      <w:r>
        <w:rPr/>
        <w:t>STC </w:t>
      </w:r>
      <w:r>
        <w:rPr>
          <w:spacing w:val="-4"/>
        </w:rPr>
        <w:t>7.7.</w:t>
      </w:r>
    </w:p>
    <w:p>
      <w:pPr>
        <w:pStyle w:val="BodyText"/>
        <w:spacing w:before="10"/>
        <w:rPr>
          <w:sz w:val="20"/>
        </w:rPr>
      </w:pPr>
    </w:p>
    <w:p>
      <w:pPr>
        <w:pStyle w:val="BodyText"/>
        <w:ind w:left="1411" w:right="1059"/>
      </w:pPr>
      <w:r>
        <w:rPr/>
        <w:drawing>
          <wp:anchor distT="0" distB="0" distL="0" distR="0" allowOverlap="1" layoutInCell="1" locked="0" behindDoc="0" simplePos="0" relativeHeight="15804928">
            <wp:simplePos x="0" y="0"/>
            <wp:positionH relativeFrom="page">
              <wp:posOffset>1431036</wp:posOffset>
            </wp:positionH>
            <wp:positionV relativeFrom="paragraph">
              <wp:posOffset>67603</wp:posOffset>
            </wp:positionV>
            <wp:extent cx="96011" cy="80771"/>
            <wp:effectExtent l="0" t="0" r="0" b="0"/>
            <wp:wrapNone/>
            <wp:docPr id="159" name="Image 159"/>
            <wp:cNvGraphicFramePr>
              <a:graphicFrameLocks/>
            </wp:cNvGraphicFramePr>
            <a:graphic>
              <a:graphicData uri="http://schemas.openxmlformats.org/drawingml/2006/picture">
                <pic:pic>
                  <pic:nvPicPr>
                    <pic:cNvPr id="159" name="Image 159"/>
                    <pic:cNvPicPr/>
                  </pic:nvPicPr>
                  <pic:blipFill>
                    <a:blip r:embed="rId35" cstate="print"/>
                    <a:stretch>
                      <a:fillRect/>
                    </a:stretch>
                  </pic:blipFill>
                  <pic:spPr>
                    <a:xfrm>
                      <a:off x="0" y="0"/>
                      <a:ext cx="96011" cy="80771"/>
                    </a:xfrm>
                    <a:prstGeom prst="rect">
                      <a:avLst/>
                    </a:prstGeom>
                  </pic:spPr>
                </pic:pic>
              </a:graphicData>
            </a:graphic>
          </wp:anchor>
        </w:drawing>
      </w:r>
      <w:bookmarkStart w:name="c. At a minimum, the SMI/SED Implementat" w:id="289"/>
      <w:bookmarkEnd w:id="289"/>
      <w:r>
        <w:rPr/>
      </w:r>
      <w:r>
        <w:rPr/>
        <w:t>At a minimum, the SMI/SED Implementation Plan must describe the strategic approach, including timetables and programmatic content where applicable, for meeting</w:t>
      </w:r>
      <w:r>
        <w:rPr>
          <w:spacing w:val="-6"/>
        </w:rPr>
        <w:t> </w:t>
      </w:r>
      <w:r>
        <w:rPr/>
        <w:t>the</w:t>
      </w:r>
      <w:r>
        <w:rPr>
          <w:spacing w:val="-2"/>
        </w:rPr>
        <w:t> </w:t>
      </w:r>
      <w:r>
        <w:rPr/>
        <w:t>following</w:t>
      </w:r>
      <w:r>
        <w:rPr>
          <w:spacing w:val="-6"/>
        </w:rPr>
        <w:t> </w:t>
      </w:r>
      <w:r>
        <w:rPr/>
        <w:t>milestones</w:t>
      </w:r>
      <w:r>
        <w:rPr>
          <w:spacing w:val="-3"/>
        </w:rPr>
        <w:t> </w:t>
      </w:r>
      <w:r>
        <w:rPr/>
        <w:t>which</w:t>
      </w:r>
      <w:r>
        <w:rPr>
          <w:spacing w:val="-3"/>
        </w:rPr>
        <w:t> </w:t>
      </w:r>
      <w:r>
        <w:rPr/>
        <w:t>reflect</w:t>
      </w:r>
      <w:r>
        <w:rPr>
          <w:spacing w:val="-3"/>
        </w:rPr>
        <w:t> </w:t>
      </w:r>
      <w:r>
        <w:rPr/>
        <w:t>the</w:t>
      </w:r>
      <w:r>
        <w:rPr>
          <w:spacing w:val="-2"/>
        </w:rPr>
        <w:t> </w:t>
      </w:r>
      <w:r>
        <w:rPr/>
        <w:t>key</w:t>
      </w:r>
      <w:r>
        <w:rPr>
          <w:spacing w:val="-6"/>
        </w:rPr>
        <w:t> </w:t>
      </w:r>
      <w:r>
        <w:rPr/>
        <w:t>goals</w:t>
      </w:r>
      <w:r>
        <w:rPr>
          <w:spacing w:val="-3"/>
        </w:rPr>
        <w:t> </w:t>
      </w:r>
      <w:r>
        <w:rPr/>
        <w:t>and</w:t>
      </w:r>
      <w:r>
        <w:rPr>
          <w:spacing w:val="-3"/>
        </w:rPr>
        <w:t> </w:t>
      </w:r>
      <w:r>
        <w:rPr/>
        <w:t>objectives</w:t>
      </w:r>
      <w:r>
        <w:rPr>
          <w:spacing w:val="-1"/>
        </w:rPr>
        <w:t> </w:t>
      </w:r>
      <w:r>
        <w:rPr/>
        <w:t>for</w:t>
      </w:r>
      <w:r>
        <w:rPr>
          <w:spacing w:val="-4"/>
        </w:rPr>
        <w:t> </w:t>
      </w:r>
      <w:r>
        <w:rPr/>
        <w:t>the </w:t>
      </w:r>
      <w:r>
        <w:rPr>
          <w:spacing w:val="-2"/>
        </w:rPr>
        <w:t>program:</w:t>
      </w:r>
    </w:p>
    <w:p>
      <w:pPr>
        <w:pStyle w:val="BodyText"/>
        <w:spacing w:before="10"/>
        <w:rPr>
          <w:sz w:val="20"/>
        </w:rPr>
      </w:pPr>
    </w:p>
    <w:p>
      <w:pPr>
        <w:pStyle w:val="BodyText"/>
        <w:ind w:left="2040"/>
      </w:pPr>
      <w:r>
        <w:rPr/>
        <w:drawing>
          <wp:anchor distT="0" distB="0" distL="0" distR="0" allowOverlap="1" layoutInCell="1" locked="0" behindDoc="0" simplePos="0" relativeHeight="15805440">
            <wp:simplePos x="0" y="0"/>
            <wp:positionH relativeFrom="page">
              <wp:posOffset>1862327</wp:posOffset>
            </wp:positionH>
            <wp:positionV relativeFrom="paragraph">
              <wp:posOffset>32551</wp:posOffset>
            </wp:positionV>
            <wp:extent cx="73151" cy="115823"/>
            <wp:effectExtent l="0" t="0" r="0" b="0"/>
            <wp:wrapNone/>
            <wp:docPr id="160" name="Image 160"/>
            <wp:cNvGraphicFramePr>
              <a:graphicFrameLocks/>
            </wp:cNvGraphicFramePr>
            <a:graphic>
              <a:graphicData uri="http://schemas.openxmlformats.org/drawingml/2006/picture">
                <pic:pic>
                  <pic:nvPicPr>
                    <pic:cNvPr id="160" name="Image 160"/>
                    <pic:cNvPicPr/>
                  </pic:nvPicPr>
                  <pic:blipFill>
                    <a:blip r:embed="rId61" cstate="print"/>
                    <a:stretch>
                      <a:fillRect/>
                    </a:stretch>
                  </pic:blipFill>
                  <pic:spPr>
                    <a:xfrm>
                      <a:off x="0" y="0"/>
                      <a:ext cx="73151" cy="115823"/>
                    </a:xfrm>
                    <a:prstGeom prst="rect">
                      <a:avLst/>
                    </a:prstGeom>
                  </pic:spPr>
                </pic:pic>
              </a:graphicData>
            </a:graphic>
          </wp:anchor>
        </w:drawing>
      </w:r>
      <w:bookmarkStart w:name="i. Ensuring Quality of Care in Psychiatr" w:id="290"/>
      <w:bookmarkEnd w:id="290"/>
      <w:r>
        <w:rPr/>
      </w:r>
      <w:r>
        <w:rPr/>
        <w:t>Ensuring</w:t>
      </w:r>
      <w:r>
        <w:rPr>
          <w:spacing w:val="-7"/>
        </w:rPr>
        <w:t> </w:t>
      </w:r>
      <w:r>
        <w:rPr/>
        <w:t>Quality</w:t>
      </w:r>
      <w:r>
        <w:rPr>
          <w:spacing w:val="-6"/>
        </w:rPr>
        <w:t> </w:t>
      </w:r>
      <w:r>
        <w:rPr/>
        <w:t>of</w:t>
      </w:r>
      <w:r>
        <w:rPr>
          <w:spacing w:val="-2"/>
        </w:rPr>
        <w:t> </w:t>
      </w:r>
      <w:r>
        <w:rPr/>
        <w:t>Care</w:t>
      </w:r>
      <w:r>
        <w:rPr>
          <w:spacing w:val="-1"/>
        </w:rPr>
        <w:t> </w:t>
      </w:r>
      <w:r>
        <w:rPr/>
        <w:t>in</w:t>
      </w:r>
      <w:r>
        <w:rPr>
          <w:spacing w:val="-1"/>
        </w:rPr>
        <w:t> </w:t>
      </w:r>
      <w:r>
        <w:rPr/>
        <w:t>Psychiatric</w:t>
      </w:r>
      <w:r>
        <w:rPr>
          <w:spacing w:val="-2"/>
        </w:rPr>
        <w:t> </w:t>
      </w:r>
      <w:r>
        <w:rPr/>
        <w:t>Hospitals and</w:t>
      </w:r>
      <w:r>
        <w:rPr>
          <w:spacing w:val="-1"/>
        </w:rPr>
        <w:t> </w:t>
      </w:r>
      <w:r>
        <w:rPr/>
        <w:t>Residential</w:t>
      </w:r>
      <w:r>
        <w:rPr>
          <w:spacing w:val="-1"/>
        </w:rPr>
        <w:t> </w:t>
      </w:r>
      <w:r>
        <w:rPr>
          <w:spacing w:val="-2"/>
        </w:rPr>
        <w:t>Settings.</w:t>
      </w:r>
    </w:p>
    <w:p>
      <w:pPr>
        <w:pStyle w:val="ListParagraph"/>
        <w:numPr>
          <w:ilvl w:val="1"/>
          <w:numId w:val="3"/>
        </w:numPr>
        <w:tabs>
          <w:tab w:pos="2851" w:val="left" w:leader="none"/>
        </w:tabs>
        <w:spacing w:line="240" w:lineRule="auto" w:before="161" w:after="0"/>
        <w:ind w:left="2851" w:right="1055" w:hanging="360"/>
        <w:jc w:val="left"/>
        <w:rPr>
          <w:sz w:val="24"/>
        </w:rPr>
      </w:pPr>
      <w:bookmarkStart w:name="1. Hospitals that meet the definition of" w:id="291"/>
      <w:bookmarkEnd w:id="291"/>
      <w:r>
        <w:rPr/>
      </w:r>
      <w:r>
        <w:rPr>
          <w:sz w:val="24"/>
        </w:rPr>
        <w:t>Hospitals that meet the definition of an IMD in which beneficiaries receiving demonstration services under the SMI and SED program</w:t>
      </w:r>
      <w:r>
        <w:rPr>
          <w:spacing w:val="40"/>
          <w:sz w:val="24"/>
        </w:rPr>
        <w:t> </w:t>
      </w:r>
      <w:r>
        <w:rPr>
          <w:sz w:val="24"/>
        </w:rPr>
        <w:t>are residing must be licensed or approved as meeting standards for licensing</w:t>
      </w:r>
      <w:r>
        <w:rPr>
          <w:spacing w:val="-1"/>
          <w:sz w:val="24"/>
        </w:rPr>
        <w:t> </w:t>
      </w:r>
      <w:r>
        <w:rPr>
          <w:sz w:val="24"/>
        </w:rPr>
        <w:t>established by</w:t>
      </w:r>
      <w:r>
        <w:rPr>
          <w:spacing w:val="-3"/>
          <w:sz w:val="24"/>
        </w:rPr>
        <w:t> </w:t>
      </w:r>
      <w:r>
        <w:rPr>
          <w:sz w:val="24"/>
        </w:rPr>
        <w:t>the agency</w:t>
      </w:r>
      <w:r>
        <w:rPr>
          <w:spacing w:val="-3"/>
          <w:sz w:val="24"/>
        </w:rPr>
        <w:t> </w:t>
      </w:r>
      <w:r>
        <w:rPr>
          <w:sz w:val="24"/>
        </w:rPr>
        <w:t>of the state or locality</w:t>
      </w:r>
      <w:r>
        <w:rPr>
          <w:spacing w:val="-3"/>
          <w:sz w:val="24"/>
        </w:rPr>
        <w:t> </w:t>
      </w:r>
      <w:r>
        <w:rPr>
          <w:sz w:val="24"/>
        </w:rPr>
        <w:t>responsible for licensing hospitals prior to the state claiming FFP for services provided to beneficiaries residing in a hospital that meets the definition of an IMD. In addition, hospitals must be in compliance with the conditions of participation set forth in 42 CFR Part 482 and either: a) be certified by</w:t>
      </w:r>
      <w:r>
        <w:rPr>
          <w:spacing w:val="-1"/>
          <w:sz w:val="24"/>
        </w:rPr>
        <w:t> </w:t>
      </w:r>
      <w:r>
        <w:rPr>
          <w:sz w:val="24"/>
        </w:rPr>
        <w:t>the state agency</w:t>
      </w:r>
      <w:r>
        <w:rPr>
          <w:spacing w:val="-1"/>
          <w:sz w:val="24"/>
        </w:rPr>
        <w:t> </w:t>
      </w:r>
      <w:r>
        <w:rPr>
          <w:sz w:val="24"/>
        </w:rPr>
        <w:t>as being in compliance with those conditions through a state agency survey, or b) have deemed status</w:t>
      </w:r>
      <w:r>
        <w:rPr>
          <w:spacing w:val="-4"/>
          <w:sz w:val="24"/>
        </w:rPr>
        <w:t> </w:t>
      </w:r>
      <w:r>
        <w:rPr>
          <w:sz w:val="24"/>
        </w:rPr>
        <w:t>to</w:t>
      </w:r>
      <w:r>
        <w:rPr>
          <w:spacing w:val="-4"/>
          <w:sz w:val="24"/>
        </w:rPr>
        <w:t> </w:t>
      </w:r>
      <w:r>
        <w:rPr>
          <w:sz w:val="24"/>
        </w:rPr>
        <w:t>participate</w:t>
      </w:r>
      <w:r>
        <w:rPr>
          <w:spacing w:val="-5"/>
          <w:sz w:val="24"/>
        </w:rPr>
        <w:t> </w:t>
      </w:r>
      <w:r>
        <w:rPr>
          <w:sz w:val="24"/>
        </w:rPr>
        <w:t>in</w:t>
      </w:r>
      <w:r>
        <w:rPr>
          <w:spacing w:val="-4"/>
          <w:sz w:val="24"/>
        </w:rPr>
        <w:t> </w:t>
      </w:r>
      <w:r>
        <w:rPr>
          <w:sz w:val="24"/>
        </w:rPr>
        <w:t>Medicare</w:t>
      </w:r>
      <w:r>
        <w:rPr>
          <w:spacing w:val="-5"/>
          <w:sz w:val="24"/>
        </w:rPr>
        <w:t> </w:t>
      </w:r>
      <w:r>
        <w:rPr>
          <w:sz w:val="24"/>
        </w:rPr>
        <w:t>as</w:t>
      </w:r>
      <w:r>
        <w:rPr>
          <w:spacing w:val="-4"/>
          <w:sz w:val="24"/>
        </w:rPr>
        <w:t> </w:t>
      </w:r>
      <w:r>
        <w:rPr>
          <w:sz w:val="24"/>
        </w:rPr>
        <w:t>a</w:t>
      </w:r>
      <w:r>
        <w:rPr>
          <w:spacing w:val="-5"/>
          <w:sz w:val="24"/>
        </w:rPr>
        <w:t> </w:t>
      </w:r>
      <w:r>
        <w:rPr>
          <w:sz w:val="24"/>
        </w:rPr>
        <w:t>hospital</w:t>
      </w:r>
      <w:r>
        <w:rPr>
          <w:spacing w:val="-4"/>
          <w:sz w:val="24"/>
        </w:rPr>
        <w:t> </w:t>
      </w:r>
      <w:r>
        <w:rPr>
          <w:sz w:val="24"/>
        </w:rPr>
        <w:t>through</w:t>
      </w:r>
      <w:r>
        <w:rPr>
          <w:spacing w:val="-5"/>
          <w:sz w:val="24"/>
        </w:rPr>
        <w:t> </w:t>
      </w:r>
      <w:r>
        <w:rPr>
          <w:sz w:val="24"/>
        </w:rPr>
        <w:t>accreditation</w:t>
      </w:r>
      <w:r>
        <w:rPr>
          <w:spacing w:val="-4"/>
          <w:sz w:val="24"/>
        </w:rPr>
        <w:t> </w:t>
      </w:r>
      <w:r>
        <w:rPr>
          <w:sz w:val="24"/>
        </w:rPr>
        <w:t>by a national accrediting organization whose psychiatric hospital accreditation program or acute hospital accreditation program has been approved by CMS.</w:t>
      </w:r>
    </w:p>
    <w:p>
      <w:pPr>
        <w:pStyle w:val="ListParagraph"/>
        <w:numPr>
          <w:ilvl w:val="1"/>
          <w:numId w:val="3"/>
        </w:numPr>
        <w:tabs>
          <w:tab w:pos="2851" w:val="left" w:leader="none"/>
        </w:tabs>
        <w:spacing w:line="240" w:lineRule="auto" w:before="118" w:after="0"/>
        <w:ind w:left="2851" w:right="1129" w:hanging="360"/>
        <w:jc w:val="left"/>
        <w:rPr>
          <w:sz w:val="24"/>
        </w:rPr>
      </w:pPr>
      <w:bookmarkStart w:name="2. Residential treatment providers that " w:id="292"/>
      <w:bookmarkEnd w:id="292"/>
      <w:r>
        <w:rPr/>
      </w:r>
      <w:r>
        <w:rPr>
          <w:sz w:val="24"/>
        </w:rPr>
        <w:t>Residential</w:t>
      </w:r>
      <w:r>
        <w:rPr>
          <w:spacing w:val="-1"/>
          <w:sz w:val="24"/>
        </w:rPr>
        <w:t> </w:t>
      </w:r>
      <w:r>
        <w:rPr>
          <w:sz w:val="24"/>
        </w:rPr>
        <w:t>treatment</w:t>
      </w:r>
      <w:r>
        <w:rPr>
          <w:spacing w:val="-1"/>
          <w:sz w:val="24"/>
        </w:rPr>
        <w:t> </w:t>
      </w:r>
      <w:r>
        <w:rPr>
          <w:sz w:val="24"/>
        </w:rPr>
        <w:t>providers</w:t>
      </w:r>
      <w:r>
        <w:rPr>
          <w:spacing w:val="-1"/>
          <w:sz w:val="24"/>
        </w:rPr>
        <w:t> </w:t>
      </w:r>
      <w:r>
        <w:rPr>
          <w:sz w:val="24"/>
        </w:rPr>
        <w:t>that</w:t>
      </w:r>
      <w:r>
        <w:rPr>
          <w:spacing w:val="-1"/>
          <w:sz w:val="24"/>
        </w:rPr>
        <w:t> </w:t>
      </w:r>
      <w:r>
        <w:rPr>
          <w:sz w:val="24"/>
        </w:rPr>
        <w:t>meet</w:t>
      </w:r>
      <w:r>
        <w:rPr>
          <w:spacing w:val="-1"/>
          <w:sz w:val="24"/>
        </w:rPr>
        <w:t> </w:t>
      </w:r>
      <w:r>
        <w:rPr>
          <w:sz w:val="24"/>
        </w:rPr>
        <w:t>the</w:t>
      </w:r>
      <w:r>
        <w:rPr>
          <w:spacing w:val="-2"/>
          <w:sz w:val="24"/>
        </w:rPr>
        <w:t> </w:t>
      </w:r>
      <w:r>
        <w:rPr>
          <w:sz w:val="24"/>
        </w:rPr>
        <w:t>definition</w:t>
      </w:r>
      <w:r>
        <w:rPr>
          <w:spacing w:val="-1"/>
          <w:sz w:val="24"/>
        </w:rPr>
        <w:t> </w:t>
      </w:r>
      <w:r>
        <w:rPr>
          <w:sz w:val="24"/>
        </w:rPr>
        <w:t>of</w:t>
      </w:r>
      <w:r>
        <w:rPr>
          <w:spacing w:val="-2"/>
          <w:sz w:val="24"/>
        </w:rPr>
        <w:t> </w:t>
      </w:r>
      <w:r>
        <w:rPr>
          <w:sz w:val="24"/>
        </w:rPr>
        <w:t>an IMD</w:t>
      </w:r>
      <w:r>
        <w:rPr>
          <w:spacing w:val="-2"/>
          <w:sz w:val="24"/>
        </w:rPr>
        <w:t> </w:t>
      </w:r>
      <w:r>
        <w:rPr>
          <w:sz w:val="24"/>
        </w:rPr>
        <w:t>in which beneficiaries receiving demonstration services under the SMI program are residing must be licensed, or otherwise authorized, by the state to primarily provide treatment for mental illnesses. They must also be accredited by a nationally recognized accreditation entity prior to the state claiming FFP for services provided to beneficiaries</w:t>
      </w:r>
      <w:r>
        <w:rPr>
          <w:spacing w:val="-4"/>
          <w:sz w:val="24"/>
        </w:rPr>
        <w:t> </w:t>
      </w:r>
      <w:r>
        <w:rPr>
          <w:sz w:val="24"/>
        </w:rPr>
        <w:t>residing</w:t>
      </w:r>
      <w:r>
        <w:rPr>
          <w:spacing w:val="-7"/>
          <w:sz w:val="24"/>
        </w:rPr>
        <w:t> </w:t>
      </w:r>
      <w:r>
        <w:rPr>
          <w:sz w:val="24"/>
        </w:rPr>
        <w:t>in</w:t>
      </w:r>
      <w:r>
        <w:rPr>
          <w:spacing w:val="-2"/>
          <w:sz w:val="24"/>
        </w:rPr>
        <w:t> </w:t>
      </w:r>
      <w:r>
        <w:rPr>
          <w:sz w:val="24"/>
        </w:rPr>
        <w:t>a</w:t>
      </w:r>
      <w:r>
        <w:rPr>
          <w:spacing w:val="-5"/>
          <w:sz w:val="24"/>
        </w:rPr>
        <w:t> </w:t>
      </w:r>
      <w:r>
        <w:rPr>
          <w:sz w:val="24"/>
        </w:rPr>
        <w:t>residential</w:t>
      </w:r>
      <w:r>
        <w:rPr>
          <w:spacing w:val="-4"/>
          <w:sz w:val="24"/>
        </w:rPr>
        <w:t> </w:t>
      </w:r>
      <w:r>
        <w:rPr>
          <w:sz w:val="24"/>
        </w:rPr>
        <w:t>facility</w:t>
      </w:r>
      <w:r>
        <w:rPr>
          <w:spacing w:val="-9"/>
          <w:sz w:val="24"/>
        </w:rPr>
        <w:t> </w:t>
      </w:r>
      <w:r>
        <w:rPr>
          <w:sz w:val="24"/>
        </w:rPr>
        <w:t>that</w:t>
      </w:r>
      <w:r>
        <w:rPr>
          <w:spacing w:val="-2"/>
          <w:sz w:val="24"/>
        </w:rPr>
        <w:t> </w:t>
      </w:r>
      <w:r>
        <w:rPr>
          <w:sz w:val="24"/>
        </w:rPr>
        <w:t>meets</w:t>
      </w:r>
      <w:r>
        <w:rPr>
          <w:spacing w:val="-4"/>
          <w:sz w:val="24"/>
        </w:rPr>
        <w:t> </w:t>
      </w:r>
      <w:r>
        <w:rPr>
          <w:sz w:val="24"/>
        </w:rPr>
        <w:t>the</w:t>
      </w:r>
      <w:r>
        <w:rPr>
          <w:spacing w:val="-5"/>
          <w:sz w:val="24"/>
        </w:rPr>
        <w:t> </w:t>
      </w:r>
      <w:r>
        <w:rPr>
          <w:sz w:val="24"/>
        </w:rPr>
        <w:t>definition of an IMD.</w:t>
      </w:r>
      <w:r>
        <w:rPr>
          <w:spacing w:val="40"/>
          <w:sz w:val="24"/>
        </w:rPr>
        <w:t> </w:t>
      </w:r>
      <w:r>
        <w:rPr>
          <w:sz w:val="24"/>
        </w:rPr>
        <w:t>Facilities providing Youth Community Crisis Stabilization and Community Based Acute Treatment for Children and</w:t>
      </w:r>
      <w:r>
        <w:rPr>
          <w:spacing w:val="-1"/>
          <w:sz w:val="24"/>
        </w:rPr>
        <w:t> </w:t>
      </w:r>
      <w:r>
        <w:rPr>
          <w:sz w:val="24"/>
        </w:rPr>
        <w:t>Adolescents</w:t>
      </w:r>
      <w:r>
        <w:rPr>
          <w:spacing w:val="-1"/>
          <w:sz w:val="24"/>
        </w:rPr>
        <w:t> </w:t>
      </w:r>
      <w:r>
        <w:rPr>
          <w:sz w:val="24"/>
        </w:rPr>
        <w:t>(CBAT) services</w:t>
      </w:r>
      <w:r>
        <w:rPr>
          <w:spacing w:val="-1"/>
          <w:sz w:val="24"/>
        </w:rPr>
        <w:t> </w:t>
      </w:r>
      <w:r>
        <w:rPr>
          <w:sz w:val="24"/>
        </w:rPr>
        <w:t>must</w:t>
      </w:r>
      <w:r>
        <w:rPr>
          <w:spacing w:val="-1"/>
          <w:sz w:val="24"/>
        </w:rPr>
        <w:t> </w:t>
      </w:r>
      <w:r>
        <w:rPr>
          <w:sz w:val="24"/>
        </w:rPr>
        <w:t>meet</w:t>
      </w:r>
      <w:r>
        <w:rPr>
          <w:spacing w:val="-1"/>
          <w:sz w:val="24"/>
        </w:rPr>
        <w:t> </w:t>
      </w:r>
      <w:r>
        <w:rPr>
          <w:sz w:val="24"/>
        </w:rPr>
        <w:t>these requirements.</w:t>
      </w:r>
      <w:hyperlink w:history="true" w:anchor="_bookmark4">
        <w:r>
          <w:rPr>
            <w:sz w:val="24"/>
            <w:vertAlign w:val="superscript"/>
          </w:rPr>
          <w:t>5</w:t>
        </w:r>
      </w:hyperlink>
      <w:r>
        <w:rPr>
          <w:spacing w:val="40"/>
          <w:sz w:val="24"/>
          <w:vertAlign w:val="baseline"/>
        </w:rPr>
        <w:t> </w:t>
      </w:r>
      <w:r>
        <w:rPr>
          <w:sz w:val="24"/>
          <w:vertAlign w:val="baseline"/>
        </w:rPr>
        <w:t>A transition period to comply with rules is permitted and described in STC 7.9.</w:t>
      </w:r>
    </w:p>
    <w:p>
      <w:pPr>
        <w:pStyle w:val="ListParagraph"/>
        <w:numPr>
          <w:ilvl w:val="1"/>
          <w:numId w:val="3"/>
        </w:numPr>
        <w:tabs>
          <w:tab w:pos="2851" w:val="left" w:leader="none"/>
        </w:tabs>
        <w:spacing w:line="240" w:lineRule="auto" w:before="120" w:after="0"/>
        <w:ind w:left="2851" w:right="1189" w:hanging="360"/>
        <w:jc w:val="left"/>
        <w:rPr>
          <w:sz w:val="24"/>
        </w:rPr>
      </w:pPr>
      <w:bookmarkStart w:name="3. Establishment of an oversight and aud" w:id="293"/>
      <w:bookmarkEnd w:id="293"/>
      <w:r>
        <w:rPr/>
      </w:r>
      <w:r>
        <w:rPr>
          <w:sz w:val="24"/>
        </w:rPr>
        <w:t>Establishment of an oversight and auditing process that includes unannounced visits for ensuring participating psychiatric hospitals and</w:t>
      </w:r>
      <w:r>
        <w:rPr>
          <w:spacing w:val="-5"/>
          <w:sz w:val="24"/>
        </w:rPr>
        <w:t> </w:t>
      </w:r>
      <w:r>
        <w:rPr>
          <w:sz w:val="24"/>
        </w:rPr>
        <w:t>residential</w:t>
      </w:r>
      <w:r>
        <w:rPr>
          <w:spacing w:val="-5"/>
          <w:sz w:val="24"/>
        </w:rPr>
        <w:t> </w:t>
      </w:r>
      <w:r>
        <w:rPr>
          <w:sz w:val="24"/>
        </w:rPr>
        <w:t>treatment</w:t>
      </w:r>
      <w:r>
        <w:rPr>
          <w:spacing w:val="-3"/>
          <w:sz w:val="24"/>
        </w:rPr>
        <w:t> </w:t>
      </w:r>
      <w:r>
        <w:rPr>
          <w:sz w:val="24"/>
        </w:rPr>
        <w:t>settings</w:t>
      </w:r>
      <w:r>
        <w:rPr>
          <w:spacing w:val="-5"/>
          <w:sz w:val="24"/>
        </w:rPr>
        <w:t> </w:t>
      </w:r>
      <w:r>
        <w:rPr>
          <w:sz w:val="24"/>
        </w:rPr>
        <w:t>meet</w:t>
      </w:r>
      <w:r>
        <w:rPr>
          <w:spacing w:val="-5"/>
          <w:sz w:val="24"/>
        </w:rPr>
        <w:t> </w:t>
      </w:r>
      <w:r>
        <w:rPr>
          <w:sz w:val="24"/>
        </w:rPr>
        <w:t>state</w:t>
      </w:r>
      <w:r>
        <w:rPr>
          <w:spacing w:val="-6"/>
          <w:sz w:val="24"/>
        </w:rPr>
        <w:t> </w:t>
      </w:r>
      <w:r>
        <w:rPr>
          <w:sz w:val="24"/>
        </w:rPr>
        <w:t>licensure</w:t>
      </w:r>
      <w:r>
        <w:rPr>
          <w:spacing w:val="-6"/>
          <w:sz w:val="24"/>
        </w:rPr>
        <w:t> </w:t>
      </w:r>
      <w:r>
        <w:rPr>
          <w:sz w:val="24"/>
        </w:rPr>
        <w:t>or</w:t>
      </w:r>
      <w:r>
        <w:rPr>
          <w:spacing w:val="-6"/>
          <w:sz w:val="24"/>
        </w:rPr>
        <w:t> </w:t>
      </w:r>
      <w:r>
        <w:rPr>
          <w:sz w:val="24"/>
        </w:rPr>
        <w:t>certification</w:t>
      </w:r>
    </w:p>
    <w:p>
      <w:pPr>
        <w:pStyle w:val="BodyText"/>
        <w:rPr>
          <w:sz w:val="20"/>
        </w:rPr>
      </w:pPr>
    </w:p>
    <w:p>
      <w:pPr>
        <w:pStyle w:val="BodyText"/>
        <w:spacing w:before="4"/>
        <w:rPr>
          <w:sz w:val="19"/>
        </w:rPr>
      </w:pPr>
      <w:r>
        <w:rPr/>
        <mc:AlternateContent>
          <mc:Choice Requires="wps">
            <w:drawing>
              <wp:anchor distT="0" distB="0" distL="0" distR="0" allowOverlap="1" layoutInCell="1" locked="0" behindDoc="1" simplePos="0" relativeHeight="487663616">
                <wp:simplePos x="0" y="0"/>
                <wp:positionH relativeFrom="page">
                  <wp:posOffset>914400</wp:posOffset>
                </wp:positionH>
                <wp:positionV relativeFrom="paragraph">
                  <wp:posOffset>156543</wp:posOffset>
                </wp:positionV>
                <wp:extent cx="1828800" cy="7620"/>
                <wp:effectExtent l="0" t="0" r="0" b="0"/>
                <wp:wrapTopAndBottom/>
                <wp:docPr id="161" name="Graphic 161"/>
                <wp:cNvGraphicFramePr>
                  <a:graphicFrameLocks/>
                </wp:cNvGraphicFramePr>
                <a:graphic>
                  <a:graphicData uri="http://schemas.microsoft.com/office/word/2010/wordprocessingShape">
                    <wps:wsp>
                      <wps:cNvPr id="161" name="Graphic 161"/>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2.326289pt;width:144pt;height:.6pt;mso-position-horizontal-relative:page;mso-position-vertical-relative:paragraph;z-index:-15652864;mso-wrap-distance-left:0;mso-wrap-distance-right:0" id="docshape20" filled="true" fillcolor="#000000" stroked="false">
                <v:fill type="solid"/>
                <w10:wrap type="topAndBottom"/>
              </v:rect>
            </w:pict>
          </mc:Fallback>
        </mc:AlternateContent>
      </w:r>
    </w:p>
    <w:p>
      <w:pPr>
        <w:pStyle w:val="BodyText"/>
        <w:spacing w:before="2"/>
        <w:rPr>
          <w:sz w:val="14"/>
        </w:rPr>
      </w:pPr>
    </w:p>
    <w:p>
      <w:pPr>
        <w:spacing w:before="99"/>
        <w:ind w:left="240" w:right="1141" w:hanging="1"/>
        <w:jc w:val="left"/>
        <w:rPr>
          <w:sz w:val="20"/>
        </w:rPr>
      </w:pPr>
      <w:bookmarkStart w:name="_bookmark4" w:id="294"/>
      <w:bookmarkEnd w:id="294"/>
      <w:r>
        <w:rPr/>
      </w:r>
      <w:r>
        <w:rPr>
          <w:sz w:val="20"/>
          <w:vertAlign w:val="superscript"/>
        </w:rPr>
        <w:t>5</w:t>
      </w:r>
      <w:r>
        <w:rPr>
          <w:spacing w:val="-1"/>
          <w:sz w:val="20"/>
          <w:vertAlign w:val="baseline"/>
        </w:rPr>
        <w:t> </w:t>
      </w:r>
      <w:r>
        <w:rPr>
          <w:sz w:val="20"/>
          <w:vertAlign w:val="baseline"/>
        </w:rPr>
        <w:t>Section</w:t>
      </w:r>
      <w:r>
        <w:rPr>
          <w:spacing w:val="-2"/>
          <w:sz w:val="20"/>
          <w:vertAlign w:val="baseline"/>
        </w:rPr>
        <w:t> </w:t>
      </w:r>
      <w:r>
        <w:rPr>
          <w:sz w:val="20"/>
          <w:vertAlign w:val="baseline"/>
        </w:rPr>
        <w:t>2110(b)(2)(A) of</w:t>
      </w:r>
      <w:r>
        <w:rPr>
          <w:spacing w:val="-3"/>
          <w:sz w:val="20"/>
          <w:vertAlign w:val="baseline"/>
        </w:rPr>
        <w:t> </w:t>
      </w:r>
      <w:r>
        <w:rPr>
          <w:sz w:val="20"/>
          <w:vertAlign w:val="baseline"/>
        </w:rPr>
        <w:t>the Social</w:t>
      </w:r>
      <w:r>
        <w:rPr>
          <w:spacing w:val="-1"/>
          <w:sz w:val="20"/>
          <w:vertAlign w:val="baseline"/>
        </w:rPr>
        <w:t> </w:t>
      </w:r>
      <w:r>
        <w:rPr>
          <w:sz w:val="20"/>
          <w:vertAlign w:val="baseline"/>
        </w:rPr>
        <w:t>Security Act</w:t>
      </w:r>
      <w:r>
        <w:rPr>
          <w:spacing w:val="-1"/>
          <w:sz w:val="20"/>
          <w:vertAlign w:val="baseline"/>
        </w:rPr>
        <w:t> </w:t>
      </w:r>
      <w:r>
        <w:rPr>
          <w:sz w:val="20"/>
          <w:vertAlign w:val="baseline"/>
        </w:rPr>
        <w:t>(the Act) excludes</w:t>
      </w:r>
      <w:r>
        <w:rPr>
          <w:spacing w:val="-2"/>
          <w:sz w:val="20"/>
          <w:vertAlign w:val="baseline"/>
        </w:rPr>
        <w:t> </w:t>
      </w:r>
      <w:r>
        <w:rPr>
          <w:sz w:val="20"/>
          <w:vertAlign w:val="baseline"/>
        </w:rPr>
        <w:t>children</w:t>
      </w:r>
      <w:r>
        <w:rPr>
          <w:spacing w:val="-2"/>
          <w:sz w:val="20"/>
          <w:vertAlign w:val="baseline"/>
        </w:rPr>
        <w:t> </w:t>
      </w:r>
      <w:r>
        <w:rPr>
          <w:sz w:val="20"/>
          <w:vertAlign w:val="baseline"/>
        </w:rPr>
        <w:t>residing</w:t>
      </w:r>
      <w:r>
        <w:rPr>
          <w:spacing w:val="-2"/>
          <w:sz w:val="20"/>
          <w:vertAlign w:val="baseline"/>
        </w:rPr>
        <w:t> </w:t>
      </w:r>
      <w:r>
        <w:rPr>
          <w:sz w:val="20"/>
          <w:vertAlign w:val="baseline"/>
        </w:rPr>
        <w:t>in</w:t>
      </w:r>
      <w:r>
        <w:rPr>
          <w:spacing w:val="-2"/>
          <w:sz w:val="20"/>
          <w:vertAlign w:val="baseline"/>
        </w:rPr>
        <w:t> </w:t>
      </w:r>
      <w:r>
        <w:rPr>
          <w:sz w:val="20"/>
          <w:vertAlign w:val="baseline"/>
        </w:rPr>
        <w:t>an</w:t>
      </w:r>
      <w:r>
        <w:rPr>
          <w:spacing w:val="-2"/>
          <w:sz w:val="20"/>
          <w:vertAlign w:val="baseline"/>
        </w:rPr>
        <w:t> </w:t>
      </w:r>
      <w:r>
        <w:rPr>
          <w:sz w:val="20"/>
          <w:vertAlign w:val="baseline"/>
        </w:rPr>
        <w:t>IMD</w:t>
      </w:r>
      <w:r>
        <w:rPr>
          <w:spacing w:val="-1"/>
          <w:sz w:val="20"/>
          <w:vertAlign w:val="baseline"/>
        </w:rPr>
        <w:t> </w:t>
      </w:r>
      <w:r>
        <w:rPr>
          <w:sz w:val="20"/>
          <w:vertAlign w:val="baseline"/>
        </w:rPr>
        <w:t>from</w:t>
      </w:r>
      <w:r>
        <w:rPr>
          <w:spacing w:val="-5"/>
          <w:sz w:val="20"/>
          <w:vertAlign w:val="baseline"/>
        </w:rPr>
        <w:t> </w:t>
      </w:r>
      <w:r>
        <w:rPr>
          <w:sz w:val="20"/>
          <w:vertAlign w:val="baseline"/>
        </w:rPr>
        <w:t>being eligible for a separate CHIP at application or renewal, but as long as a child is not applying for, or renewing coverage, while</w:t>
      </w:r>
      <w:r>
        <w:rPr>
          <w:spacing w:val="-3"/>
          <w:sz w:val="20"/>
          <w:vertAlign w:val="baseline"/>
        </w:rPr>
        <w:t> </w:t>
      </w:r>
      <w:r>
        <w:rPr>
          <w:sz w:val="20"/>
          <w:vertAlign w:val="baseline"/>
        </w:rPr>
        <w:t>a</w:t>
      </w:r>
      <w:r>
        <w:rPr>
          <w:spacing w:val="-3"/>
          <w:sz w:val="20"/>
          <w:vertAlign w:val="baseline"/>
        </w:rPr>
        <w:t> </w:t>
      </w:r>
      <w:r>
        <w:rPr>
          <w:sz w:val="20"/>
          <w:vertAlign w:val="baseline"/>
        </w:rPr>
        <w:t>resident</w:t>
      </w:r>
      <w:r>
        <w:rPr>
          <w:spacing w:val="-3"/>
          <w:sz w:val="20"/>
          <w:vertAlign w:val="baseline"/>
        </w:rPr>
        <w:t> </w:t>
      </w:r>
      <w:r>
        <w:rPr>
          <w:sz w:val="20"/>
          <w:vertAlign w:val="baseline"/>
        </w:rPr>
        <w:t>of</w:t>
      </w:r>
      <w:r>
        <w:rPr>
          <w:spacing w:val="-5"/>
          <w:sz w:val="20"/>
          <w:vertAlign w:val="baseline"/>
        </w:rPr>
        <w:t> </w:t>
      </w:r>
      <w:r>
        <w:rPr>
          <w:sz w:val="20"/>
          <w:vertAlign w:val="baseline"/>
        </w:rPr>
        <w:t>an</w:t>
      </w:r>
      <w:r>
        <w:rPr>
          <w:spacing w:val="-4"/>
          <w:sz w:val="20"/>
          <w:vertAlign w:val="baseline"/>
        </w:rPr>
        <w:t> </w:t>
      </w:r>
      <w:r>
        <w:rPr>
          <w:sz w:val="20"/>
          <w:vertAlign w:val="baseline"/>
        </w:rPr>
        <w:t>IMD,</w:t>
      </w:r>
      <w:r>
        <w:rPr>
          <w:spacing w:val="-2"/>
          <w:sz w:val="20"/>
          <w:vertAlign w:val="baseline"/>
        </w:rPr>
        <w:t> </w:t>
      </w:r>
      <w:r>
        <w:rPr>
          <w:sz w:val="20"/>
          <w:vertAlign w:val="baseline"/>
        </w:rPr>
        <w:t>the</w:t>
      </w:r>
      <w:r>
        <w:rPr>
          <w:spacing w:val="-3"/>
          <w:sz w:val="20"/>
          <w:vertAlign w:val="baseline"/>
        </w:rPr>
        <w:t> </w:t>
      </w:r>
      <w:r>
        <w:rPr>
          <w:sz w:val="20"/>
          <w:vertAlign w:val="baseline"/>
        </w:rPr>
        <w:t>child</w:t>
      </w:r>
      <w:r>
        <w:rPr>
          <w:spacing w:val="-2"/>
          <w:sz w:val="20"/>
          <w:vertAlign w:val="baseline"/>
        </w:rPr>
        <w:t> </w:t>
      </w:r>
      <w:r>
        <w:rPr>
          <w:sz w:val="20"/>
          <w:vertAlign w:val="baseline"/>
        </w:rPr>
        <w:t>remains</w:t>
      </w:r>
      <w:r>
        <w:rPr>
          <w:spacing w:val="-4"/>
          <w:sz w:val="20"/>
          <w:vertAlign w:val="baseline"/>
        </w:rPr>
        <w:t> </w:t>
      </w:r>
      <w:r>
        <w:rPr>
          <w:sz w:val="20"/>
          <w:vertAlign w:val="baseline"/>
        </w:rPr>
        <w:t>eligible</w:t>
      </w:r>
      <w:r>
        <w:rPr>
          <w:spacing w:val="-3"/>
          <w:sz w:val="20"/>
          <w:vertAlign w:val="baseline"/>
        </w:rPr>
        <w:t> </w:t>
      </w:r>
      <w:r>
        <w:rPr>
          <w:sz w:val="20"/>
          <w:vertAlign w:val="baseline"/>
        </w:rPr>
        <w:t>for</w:t>
      </w:r>
      <w:r>
        <w:rPr>
          <w:spacing w:val="-2"/>
          <w:sz w:val="20"/>
          <w:vertAlign w:val="baseline"/>
        </w:rPr>
        <w:t> </w:t>
      </w:r>
      <w:r>
        <w:rPr>
          <w:sz w:val="20"/>
          <w:vertAlign w:val="baseline"/>
        </w:rPr>
        <w:t>CHIP</w:t>
      </w:r>
      <w:r>
        <w:rPr>
          <w:spacing w:val="-1"/>
          <w:sz w:val="20"/>
          <w:vertAlign w:val="baseline"/>
        </w:rPr>
        <w:t> </w:t>
      </w:r>
      <w:r>
        <w:rPr>
          <w:sz w:val="20"/>
          <w:vertAlign w:val="baseline"/>
        </w:rPr>
        <w:t>state</w:t>
      </w:r>
      <w:r>
        <w:rPr>
          <w:spacing w:val="-3"/>
          <w:sz w:val="20"/>
          <w:vertAlign w:val="baseline"/>
        </w:rPr>
        <w:t> </w:t>
      </w:r>
      <w:r>
        <w:rPr>
          <w:sz w:val="20"/>
          <w:vertAlign w:val="baseline"/>
        </w:rPr>
        <w:t>plan</w:t>
      </w:r>
      <w:r>
        <w:rPr>
          <w:spacing w:val="-4"/>
          <w:sz w:val="20"/>
          <w:vertAlign w:val="baseline"/>
        </w:rPr>
        <w:t> </w:t>
      </w:r>
      <w:r>
        <w:rPr>
          <w:sz w:val="20"/>
          <w:vertAlign w:val="baseline"/>
        </w:rPr>
        <w:t>services</w:t>
      </w:r>
      <w:r>
        <w:rPr>
          <w:spacing w:val="-1"/>
          <w:sz w:val="20"/>
          <w:vertAlign w:val="baseline"/>
        </w:rPr>
        <w:t> </w:t>
      </w:r>
      <w:r>
        <w:rPr>
          <w:sz w:val="20"/>
          <w:vertAlign w:val="baseline"/>
        </w:rPr>
        <w:t>while</w:t>
      </w:r>
      <w:r>
        <w:rPr>
          <w:spacing w:val="-3"/>
          <w:sz w:val="20"/>
          <w:vertAlign w:val="baseline"/>
        </w:rPr>
        <w:t> </w:t>
      </w:r>
      <w:r>
        <w:rPr>
          <w:sz w:val="20"/>
          <w:vertAlign w:val="baseline"/>
        </w:rPr>
        <w:t>in</w:t>
      </w:r>
      <w:r>
        <w:rPr>
          <w:spacing w:val="-4"/>
          <w:sz w:val="20"/>
          <w:vertAlign w:val="baseline"/>
        </w:rPr>
        <w:t> </w:t>
      </w:r>
      <w:r>
        <w:rPr>
          <w:sz w:val="20"/>
          <w:vertAlign w:val="baseline"/>
        </w:rPr>
        <w:t>an</w:t>
      </w:r>
      <w:r>
        <w:rPr>
          <w:spacing w:val="-4"/>
          <w:sz w:val="20"/>
          <w:vertAlign w:val="baseline"/>
        </w:rPr>
        <w:t> </w:t>
      </w:r>
      <w:r>
        <w:rPr>
          <w:sz w:val="20"/>
          <w:vertAlign w:val="baseline"/>
        </w:rPr>
        <w:t>IMD consistent with the requirements of 42 CFR 457.310(b)(2).</w:t>
      </w:r>
    </w:p>
    <w:p>
      <w:pPr>
        <w:spacing w:after="0"/>
        <w:jc w:val="left"/>
        <w:rPr>
          <w:sz w:val="20"/>
        </w:rPr>
        <w:sectPr>
          <w:pgSz w:w="12240" w:h="15840"/>
          <w:pgMar w:header="0" w:footer="1201" w:top="1360" w:bottom="1400" w:left="1200" w:right="400"/>
        </w:sectPr>
      </w:pPr>
    </w:p>
    <w:p>
      <w:pPr>
        <w:pStyle w:val="BodyText"/>
        <w:spacing w:before="79"/>
        <w:ind w:left="2851" w:right="1059"/>
      </w:pPr>
      <w:r>
        <w:rPr/>
        <w:t>requirements</w:t>
      </w:r>
      <w:r>
        <w:rPr>
          <w:spacing w:val="-6"/>
        </w:rPr>
        <w:t> </w:t>
      </w:r>
      <w:r>
        <w:rPr/>
        <w:t>as</w:t>
      </w:r>
      <w:r>
        <w:rPr>
          <w:spacing w:val="-4"/>
        </w:rPr>
        <w:t> </w:t>
      </w:r>
      <w:r>
        <w:rPr/>
        <w:t>well</w:t>
      </w:r>
      <w:r>
        <w:rPr>
          <w:spacing w:val="-6"/>
        </w:rPr>
        <w:t> </w:t>
      </w:r>
      <w:r>
        <w:rPr/>
        <w:t>as</w:t>
      </w:r>
      <w:r>
        <w:rPr>
          <w:spacing w:val="-6"/>
        </w:rPr>
        <w:t> </w:t>
      </w:r>
      <w:r>
        <w:rPr/>
        <w:t>a</w:t>
      </w:r>
      <w:r>
        <w:rPr>
          <w:spacing w:val="-5"/>
        </w:rPr>
        <w:t> </w:t>
      </w:r>
      <w:r>
        <w:rPr/>
        <w:t>national</w:t>
      </w:r>
      <w:r>
        <w:rPr>
          <w:spacing w:val="-6"/>
        </w:rPr>
        <w:t> </w:t>
      </w:r>
      <w:r>
        <w:rPr/>
        <w:t>accrediting</w:t>
      </w:r>
      <w:r>
        <w:rPr>
          <w:spacing w:val="-6"/>
        </w:rPr>
        <w:t> </w:t>
      </w:r>
      <w:r>
        <w:rPr/>
        <w:t>entity’s</w:t>
      </w:r>
      <w:r>
        <w:rPr>
          <w:spacing w:val="-4"/>
        </w:rPr>
        <w:t> </w:t>
      </w:r>
      <w:r>
        <w:rPr/>
        <w:t>accreditation </w:t>
      </w:r>
      <w:r>
        <w:rPr>
          <w:spacing w:val="-2"/>
        </w:rPr>
        <w:t>requirements.</w:t>
      </w:r>
    </w:p>
    <w:p>
      <w:pPr>
        <w:pStyle w:val="ListParagraph"/>
        <w:numPr>
          <w:ilvl w:val="1"/>
          <w:numId w:val="3"/>
        </w:numPr>
        <w:tabs>
          <w:tab w:pos="2851" w:val="left" w:leader="none"/>
        </w:tabs>
        <w:spacing w:line="240" w:lineRule="auto" w:before="120" w:after="0"/>
        <w:ind w:left="2851" w:right="1258" w:hanging="360"/>
        <w:jc w:val="left"/>
        <w:rPr>
          <w:sz w:val="24"/>
        </w:rPr>
      </w:pPr>
      <w:bookmarkStart w:name="4. Use of a utilization review entity (f" w:id="295"/>
      <w:bookmarkEnd w:id="295"/>
      <w:r>
        <w:rPr/>
      </w:r>
      <w:r>
        <w:rPr>
          <w:sz w:val="24"/>
        </w:rPr>
        <w:t>Use of a utilization review entity (for example, a MCO or administrative service organization) to ensure beneficiaries have access</w:t>
      </w:r>
      <w:r>
        <w:rPr>
          <w:spacing w:val="-4"/>
          <w:sz w:val="24"/>
        </w:rPr>
        <w:t> </w:t>
      </w:r>
      <w:r>
        <w:rPr>
          <w:sz w:val="24"/>
        </w:rPr>
        <w:t>to</w:t>
      </w:r>
      <w:r>
        <w:rPr>
          <w:spacing w:val="-4"/>
          <w:sz w:val="24"/>
        </w:rPr>
        <w:t> </w:t>
      </w:r>
      <w:r>
        <w:rPr>
          <w:sz w:val="24"/>
        </w:rPr>
        <w:t>the</w:t>
      </w:r>
      <w:r>
        <w:rPr>
          <w:spacing w:val="-5"/>
          <w:sz w:val="24"/>
        </w:rPr>
        <w:t> </w:t>
      </w:r>
      <w:r>
        <w:rPr>
          <w:sz w:val="24"/>
        </w:rPr>
        <w:t>appropriate</w:t>
      </w:r>
      <w:r>
        <w:rPr>
          <w:spacing w:val="-3"/>
          <w:sz w:val="24"/>
        </w:rPr>
        <w:t> </w:t>
      </w:r>
      <w:r>
        <w:rPr>
          <w:sz w:val="24"/>
        </w:rPr>
        <w:t>levels</w:t>
      </w:r>
      <w:r>
        <w:rPr>
          <w:spacing w:val="-4"/>
          <w:sz w:val="24"/>
        </w:rPr>
        <w:t> </w:t>
      </w:r>
      <w:r>
        <w:rPr>
          <w:sz w:val="24"/>
        </w:rPr>
        <w:t>and</w:t>
      </w:r>
      <w:r>
        <w:rPr>
          <w:spacing w:val="-4"/>
          <w:sz w:val="24"/>
        </w:rPr>
        <w:t> </w:t>
      </w:r>
      <w:r>
        <w:rPr>
          <w:sz w:val="24"/>
        </w:rPr>
        <w:t>types</w:t>
      </w:r>
      <w:r>
        <w:rPr>
          <w:spacing w:val="-4"/>
          <w:sz w:val="24"/>
        </w:rPr>
        <w:t> </w:t>
      </w:r>
      <w:r>
        <w:rPr>
          <w:sz w:val="24"/>
        </w:rPr>
        <w:t>of</w:t>
      </w:r>
      <w:r>
        <w:rPr>
          <w:spacing w:val="-5"/>
          <w:sz w:val="24"/>
        </w:rPr>
        <w:t> </w:t>
      </w:r>
      <w:r>
        <w:rPr>
          <w:sz w:val="24"/>
        </w:rPr>
        <w:t>care</w:t>
      </w:r>
      <w:r>
        <w:rPr>
          <w:spacing w:val="-5"/>
          <w:sz w:val="24"/>
        </w:rPr>
        <w:t> </w:t>
      </w:r>
      <w:r>
        <w:rPr>
          <w:sz w:val="24"/>
        </w:rPr>
        <w:t>and,</w:t>
      </w:r>
      <w:r>
        <w:rPr>
          <w:spacing w:val="-4"/>
          <w:sz w:val="24"/>
        </w:rPr>
        <w:t> </w:t>
      </w:r>
      <w:r>
        <w:rPr>
          <w:sz w:val="24"/>
        </w:rPr>
        <w:t>in</w:t>
      </w:r>
      <w:r>
        <w:rPr>
          <w:spacing w:val="-4"/>
          <w:sz w:val="24"/>
        </w:rPr>
        <w:t> </w:t>
      </w:r>
      <w:r>
        <w:rPr>
          <w:sz w:val="24"/>
        </w:rPr>
        <w:t>accordance with state law, to provide oversight to ensure lengths of stay are limited to what is medically necessary and only those who have a clinical need to receive treatment in psychiatric hospitals and residential treatment settings are receiving treatment in those </w:t>
      </w:r>
      <w:r>
        <w:rPr>
          <w:spacing w:val="-2"/>
          <w:sz w:val="24"/>
        </w:rPr>
        <w:t>facilities.</w:t>
      </w:r>
    </w:p>
    <w:p>
      <w:pPr>
        <w:pStyle w:val="ListParagraph"/>
        <w:numPr>
          <w:ilvl w:val="1"/>
          <w:numId w:val="3"/>
        </w:numPr>
        <w:tabs>
          <w:tab w:pos="2851" w:val="left" w:leader="none"/>
        </w:tabs>
        <w:spacing w:line="240" w:lineRule="auto" w:before="120" w:after="0"/>
        <w:ind w:left="2851" w:right="1049" w:hanging="360"/>
        <w:jc w:val="left"/>
        <w:rPr>
          <w:sz w:val="24"/>
        </w:rPr>
      </w:pPr>
      <w:bookmarkStart w:name="5. Establishment of a process for ensuri" w:id="296"/>
      <w:bookmarkEnd w:id="296"/>
      <w:r>
        <w:rPr/>
      </w:r>
      <w:r>
        <w:rPr>
          <w:sz w:val="24"/>
        </w:rPr>
        <w:t>Establishment of a process for ensuring that participating psychiatric hospitals and residential treatment settings meet applicable federal program</w:t>
      </w:r>
      <w:r>
        <w:rPr>
          <w:spacing w:val="-4"/>
          <w:sz w:val="24"/>
        </w:rPr>
        <w:t> </w:t>
      </w:r>
      <w:r>
        <w:rPr>
          <w:sz w:val="24"/>
        </w:rPr>
        <w:t>integrity</w:t>
      </w:r>
      <w:r>
        <w:rPr>
          <w:spacing w:val="-9"/>
          <w:sz w:val="24"/>
        </w:rPr>
        <w:t> </w:t>
      </w:r>
      <w:r>
        <w:rPr>
          <w:sz w:val="24"/>
        </w:rPr>
        <w:t>requirements</w:t>
      </w:r>
      <w:r>
        <w:rPr>
          <w:spacing w:val="-4"/>
          <w:sz w:val="24"/>
        </w:rPr>
        <w:t> </w:t>
      </w:r>
      <w:r>
        <w:rPr>
          <w:sz w:val="24"/>
        </w:rPr>
        <w:t>and</w:t>
      </w:r>
      <w:r>
        <w:rPr>
          <w:spacing w:val="-4"/>
          <w:sz w:val="24"/>
        </w:rPr>
        <w:t> </w:t>
      </w:r>
      <w:r>
        <w:rPr>
          <w:sz w:val="24"/>
        </w:rPr>
        <w:t>establishment</w:t>
      </w:r>
      <w:r>
        <w:rPr>
          <w:spacing w:val="-4"/>
          <w:sz w:val="24"/>
        </w:rPr>
        <w:t> </w:t>
      </w:r>
      <w:r>
        <w:rPr>
          <w:sz w:val="24"/>
        </w:rPr>
        <w:t>of</w:t>
      </w:r>
      <w:r>
        <w:rPr>
          <w:spacing w:val="-5"/>
          <w:sz w:val="24"/>
        </w:rPr>
        <w:t> </w:t>
      </w:r>
      <w:r>
        <w:rPr>
          <w:sz w:val="24"/>
        </w:rPr>
        <w:t>a</w:t>
      </w:r>
      <w:r>
        <w:rPr>
          <w:spacing w:val="-5"/>
          <w:sz w:val="24"/>
        </w:rPr>
        <w:t> </w:t>
      </w:r>
      <w:r>
        <w:rPr>
          <w:sz w:val="24"/>
        </w:rPr>
        <w:t>state</w:t>
      </w:r>
      <w:r>
        <w:rPr>
          <w:spacing w:val="-5"/>
          <w:sz w:val="24"/>
        </w:rPr>
        <w:t> </w:t>
      </w:r>
      <w:r>
        <w:rPr>
          <w:sz w:val="24"/>
        </w:rPr>
        <w:t>process</w:t>
      </w:r>
      <w:r>
        <w:rPr>
          <w:spacing w:val="-4"/>
          <w:sz w:val="24"/>
        </w:rPr>
        <w:t> </w:t>
      </w:r>
      <w:r>
        <w:rPr>
          <w:sz w:val="24"/>
        </w:rPr>
        <w:t>to conduct risk-based screening of all newly enrolling providers, as well as revalidation of existing providers (specifically, under existing regulations, the state must screen all newly enrolling providers and reevaluate</w:t>
      </w:r>
      <w:r>
        <w:rPr>
          <w:spacing w:val="-2"/>
          <w:sz w:val="24"/>
        </w:rPr>
        <w:t> </w:t>
      </w:r>
      <w:r>
        <w:rPr>
          <w:sz w:val="24"/>
        </w:rPr>
        <w:t>existing</w:t>
      </w:r>
      <w:r>
        <w:rPr>
          <w:spacing w:val="-4"/>
          <w:sz w:val="24"/>
        </w:rPr>
        <w:t> </w:t>
      </w:r>
      <w:r>
        <w:rPr>
          <w:sz w:val="24"/>
        </w:rPr>
        <w:t>providers</w:t>
      </w:r>
      <w:r>
        <w:rPr>
          <w:spacing w:val="-1"/>
          <w:sz w:val="24"/>
        </w:rPr>
        <w:t> </w:t>
      </w:r>
      <w:r>
        <w:rPr>
          <w:sz w:val="24"/>
        </w:rPr>
        <w:t>pursuant</w:t>
      </w:r>
      <w:r>
        <w:rPr>
          <w:spacing w:val="-1"/>
          <w:sz w:val="24"/>
        </w:rPr>
        <w:t> </w:t>
      </w:r>
      <w:r>
        <w:rPr>
          <w:sz w:val="24"/>
        </w:rPr>
        <w:t>to</w:t>
      </w:r>
      <w:r>
        <w:rPr>
          <w:spacing w:val="-1"/>
          <w:sz w:val="24"/>
        </w:rPr>
        <w:t> </w:t>
      </w:r>
      <w:r>
        <w:rPr>
          <w:sz w:val="24"/>
        </w:rPr>
        <w:t>the</w:t>
      </w:r>
      <w:r>
        <w:rPr>
          <w:spacing w:val="-2"/>
          <w:sz w:val="24"/>
        </w:rPr>
        <w:t> </w:t>
      </w:r>
      <w:r>
        <w:rPr>
          <w:sz w:val="24"/>
        </w:rPr>
        <w:t>rules in</w:t>
      </w:r>
      <w:r>
        <w:rPr>
          <w:spacing w:val="-1"/>
          <w:sz w:val="24"/>
        </w:rPr>
        <w:t> </w:t>
      </w:r>
      <w:r>
        <w:rPr>
          <w:sz w:val="24"/>
        </w:rPr>
        <w:t>42</w:t>
      </w:r>
      <w:r>
        <w:rPr>
          <w:spacing w:val="-1"/>
          <w:sz w:val="24"/>
        </w:rPr>
        <w:t> </w:t>
      </w:r>
      <w:r>
        <w:rPr>
          <w:sz w:val="24"/>
        </w:rPr>
        <w:t>CFR</w:t>
      </w:r>
      <w:r>
        <w:rPr>
          <w:spacing w:val="-1"/>
          <w:sz w:val="24"/>
        </w:rPr>
        <w:t> </w:t>
      </w:r>
      <w:r>
        <w:rPr>
          <w:sz w:val="24"/>
        </w:rPr>
        <w:t>Part</w:t>
      </w:r>
      <w:r>
        <w:rPr>
          <w:spacing w:val="-1"/>
          <w:sz w:val="24"/>
        </w:rPr>
        <w:t> </w:t>
      </w:r>
      <w:r>
        <w:rPr>
          <w:sz w:val="24"/>
        </w:rPr>
        <w:t>455 Subparts B and E, ensure treatment providers have entered into Medicaid provider agreements pursuant to 42 CFR 431.107, and establish rigorous program integrity protocols to safeguard against fraudulent billing and other compliance issues).</w:t>
      </w:r>
    </w:p>
    <w:p>
      <w:pPr>
        <w:pStyle w:val="ListParagraph"/>
        <w:numPr>
          <w:ilvl w:val="1"/>
          <w:numId w:val="3"/>
        </w:numPr>
        <w:tabs>
          <w:tab w:pos="2851" w:val="left" w:leader="none"/>
        </w:tabs>
        <w:spacing w:line="240" w:lineRule="auto" w:before="120" w:after="0"/>
        <w:ind w:left="2851" w:right="1044" w:hanging="360"/>
        <w:jc w:val="left"/>
        <w:rPr>
          <w:sz w:val="24"/>
        </w:rPr>
      </w:pPr>
      <w:bookmarkStart w:name="6. Implementation of a state requirement" w:id="297"/>
      <w:bookmarkEnd w:id="297"/>
      <w:r>
        <w:rPr/>
      </w:r>
      <w:r>
        <w:rPr>
          <w:sz w:val="24"/>
        </w:rPr>
        <w:t>Implementation of a state requirement that participating psychiatric hospitals</w:t>
      </w:r>
      <w:r>
        <w:rPr>
          <w:spacing w:val="-6"/>
          <w:sz w:val="24"/>
        </w:rPr>
        <w:t> </w:t>
      </w:r>
      <w:r>
        <w:rPr>
          <w:sz w:val="24"/>
        </w:rPr>
        <w:t>and</w:t>
      </w:r>
      <w:r>
        <w:rPr>
          <w:spacing w:val="-6"/>
          <w:sz w:val="24"/>
        </w:rPr>
        <w:t> </w:t>
      </w:r>
      <w:r>
        <w:rPr>
          <w:sz w:val="24"/>
        </w:rPr>
        <w:t>residential</w:t>
      </w:r>
      <w:r>
        <w:rPr>
          <w:spacing w:val="-6"/>
          <w:sz w:val="24"/>
        </w:rPr>
        <w:t> </w:t>
      </w:r>
      <w:r>
        <w:rPr>
          <w:sz w:val="24"/>
        </w:rPr>
        <w:t>treatment</w:t>
      </w:r>
      <w:r>
        <w:rPr>
          <w:spacing w:val="-6"/>
          <w:sz w:val="24"/>
        </w:rPr>
        <w:t> </w:t>
      </w:r>
      <w:r>
        <w:rPr>
          <w:sz w:val="24"/>
        </w:rPr>
        <w:t>settings</w:t>
      </w:r>
      <w:r>
        <w:rPr>
          <w:spacing w:val="-6"/>
          <w:sz w:val="24"/>
        </w:rPr>
        <w:t> </w:t>
      </w:r>
      <w:r>
        <w:rPr>
          <w:sz w:val="24"/>
        </w:rPr>
        <w:t>screen</w:t>
      </w:r>
      <w:r>
        <w:rPr>
          <w:spacing w:val="-4"/>
          <w:sz w:val="24"/>
        </w:rPr>
        <w:t> </w:t>
      </w:r>
      <w:r>
        <w:rPr>
          <w:sz w:val="24"/>
        </w:rPr>
        <w:t>beneficiaries</w:t>
      </w:r>
      <w:r>
        <w:rPr>
          <w:spacing w:val="-6"/>
          <w:sz w:val="24"/>
        </w:rPr>
        <w:t> </w:t>
      </w:r>
      <w:r>
        <w:rPr>
          <w:sz w:val="24"/>
        </w:rPr>
        <w:t>for</w:t>
      </w:r>
      <w:r>
        <w:rPr>
          <w:spacing w:val="-5"/>
          <w:sz w:val="24"/>
        </w:rPr>
        <w:t> </w:t>
      </w:r>
      <w:r>
        <w:rPr>
          <w:sz w:val="24"/>
        </w:rPr>
        <w:t>co- morbid physical health conditions and substance use disorders</w:t>
      </w:r>
      <w:r>
        <w:rPr>
          <w:spacing w:val="40"/>
          <w:sz w:val="24"/>
        </w:rPr>
        <w:t> </w:t>
      </w:r>
      <w:r>
        <w:rPr>
          <w:sz w:val="24"/>
        </w:rPr>
        <w:t>(SUDs) and demonstrate the capacity to address co-morbid physical health conditions during short-term stays in residential or inpatient treatment settings (e.g., with on-site staff, telemedicine, and/or partnerships with local physical health providers).</w:t>
      </w:r>
    </w:p>
    <w:p>
      <w:pPr>
        <w:pStyle w:val="BodyText"/>
        <w:spacing w:before="161"/>
        <w:ind w:left="2040"/>
      </w:pPr>
      <w:r>
        <w:rPr/>
        <w:drawing>
          <wp:anchor distT="0" distB="0" distL="0" distR="0" allowOverlap="1" layoutInCell="1" locked="0" behindDoc="0" simplePos="0" relativeHeight="15805952">
            <wp:simplePos x="0" y="0"/>
            <wp:positionH relativeFrom="page">
              <wp:posOffset>1819655</wp:posOffset>
            </wp:positionH>
            <wp:positionV relativeFrom="paragraph">
              <wp:posOffset>134786</wp:posOffset>
            </wp:positionV>
            <wp:extent cx="115823" cy="115823"/>
            <wp:effectExtent l="0" t="0" r="0" b="0"/>
            <wp:wrapNone/>
            <wp:docPr id="162" name="Image 162"/>
            <wp:cNvGraphicFramePr>
              <a:graphicFrameLocks/>
            </wp:cNvGraphicFramePr>
            <a:graphic>
              <a:graphicData uri="http://schemas.openxmlformats.org/drawingml/2006/picture">
                <pic:pic>
                  <pic:nvPicPr>
                    <pic:cNvPr id="162" name="Image 162"/>
                    <pic:cNvPicPr/>
                  </pic:nvPicPr>
                  <pic:blipFill>
                    <a:blip r:embed="rId62" cstate="print"/>
                    <a:stretch>
                      <a:fillRect/>
                    </a:stretch>
                  </pic:blipFill>
                  <pic:spPr>
                    <a:xfrm>
                      <a:off x="0" y="0"/>
                      <a:ext cx="115823" cy="115823"/>
                    </a:xfrm>
                    <a:prstGeom prst="rect">
                      <a:avLst/>
                    </a:prstGeom>
                  </pic:spPr>
                </pic:pic>
              </a:graphicData>
            </a:graphic>
          </wp:anchor>
        </w:drawing>
      </w:r>
      <w:bookmarkStart w:name="ii. Improving Care Coordination and Tran" w:id="298"/>
      <w:bookmarkEnd w:id="298"/>
      <w:r>
        <w:rPr/>
      </w:r>
      <w:r>
        <w:rPr/>
        <w:t>Improving</w:t>
      </w:r>
      <w:r>
        <w:rPr>
          <w:spacing w:val="-5"/>
        </w:rPr>
        <w:t> </w:t>
      </w:r>
      <w:r>
        <w:rPr/>
        <w:t>Care</w:t>
      </w:r>
      <w:r>
        <w:rPr>
          <w:spacing w:val="-3"/>
        </w:rPr>
        <w:t> </w:t>
      </w:r>
      <w:r>
        <w:rPr/>
        <w:t>Coordination</w:t>
      </w:r>
      <w:r>
        <w:rPr>
          <w:spacing w:val="-2"/>
        </w:rPr>
        <w:t> </w:t>
      </w:r>
      <w:r>
        <w:rPr/>
        <w:t>and</w:t>
      </w:r>
      <w:r>
        <w:rPr>
          <w:spacing w:val="-2"/>
        </w:rPr>
        <w:t> </w:t>
      </w:r>
      <w:r>
        <w:rPr/>
        <w:t>Transitioning</w:t>
      </w:r>
      <w:r>
        <w:rPr>
          <w:spacing w:val="-5"/>
        </w:rPr>
        <w:t> </w:t>
      </w:r>
      <w:r>
        <w:rPr/>
        <w:t>to</w:t>
      </w:r>
      <w:r>
        <w:rPr>
          <w:spacing w:val="-2"/>
        </w:rPr>
        <w:t> </w:t>
      </w:r>
      <w:r>
        <w:rPr/>
        <w:t>Community-Based</w:t>
      </w:r>
      <w:r>
        <w:rPr>
          <w:spacing w:val="-1"/>
        </w:rPr>
        <w:t> </w:t>
      </w:r>
      <w:r>
        <w:rPr>
          <w:spacing w:val="-2"/>
        </w:rPr>
        <w:t>Care.</w:t>
      </w:r>
    </w:p>
    <w:p>
      <w:pPr>
        <w:pStyle w:val="ListParagraph"/>
        <w:numPr>
          <w:ilvl w:val="0"/>
          <w:numId w:val="24"/>
        </w:numPr>
        <w:tabs>
          <w:tab w:pos="2851" w:val="left" w:leader="none"/>
        </w:tabs>
        <w:spacing w:line="240" w:lineRule="auto" w:before="159" w:after="0"/>
        <w:ind w:left="2851" w:right="1095" w:hanging="360"/>
        <w:jc w:val="left"/>
        <w:rPr>
          <w:sz w:val="24"/>
        </w:rPr>
      </w:pPr>
      <w:bookmarkStart w:name="1. Implementation of a process to ensure" w:id="299"/>
      <w:bookmarkEnd w:id="299"/>
      <w:r>
        <w:rPr/>
      </w:r>
      <w:r>
        <w:rPr>
          <w:sz w:val="24"/>
        </w:rPr>
        <w:t>Implementation of a process to ensure that psychiatric hospitals and residential treatment settings provide intensive pre-discharge, care coordination services to help beneficiaries transition out of those settings into appropriate community-based outpatient services, including requirements that facilitate participation of community- based</w:t>
      </w:r>
      <w:r>
        <w:rPr>
          <w:spacing w:val="-4"/>
          <w:sz w:val="24"/>
        </w:rPr>
        <w:t> </w:t>
      </w:r>
      <w:r>
        <w:rPr>
          <w:sz w:val="24"/>
        </w:rPr>
        <w:t>providers</w:t>
      </w:r>
      <w:r>
        <w:rPr>
          <w:spacing w:val="-4"/>
          <w:sz w:val="24"/>
        </w:rPr>
        <w:t> </w:t>
      </w:r>
      <w:r>
        <w:rPr>
          <w:sz w:val="24"/>
        </w:rPr>
        <w:t>in</w:t>
      </w:r>
      <w:r>
        <w:rPr>
          <w:spacing w:val="-4"/>
          <w:sz w:val="24"/>
        </w:rPr>
        <w:t> </w:t>
      </w:r>
      <w:r>
        <w:rPr>
          <w:sz w:val="24"/>
        </w:rPr>
        <w:t>transition</w:t>
      </w:r>
      <w:r>
        <w:rPr>
          <w:spacing w:val="-4"/>
          <w:sz w:val="24"/>
        </w:rPr>
        <w:t> </w:t>
      </w:r>
      <w:r>
        <w:rPr>
          <w:sz w:val="24"/>
        </w:rPr>
        <w:t>efforts</w:t>
      </w:r>
      <w:r>
        <w:rPr>
          <w:spacing w:val="-4"/>
          <w:sz w:val="24"/>
        </w:rPr>
        <w:t> </w:t>
      </w:r>
      <w:r>
        <w:rPr>
          <w:sz w:val="24"/>
        </w:rPr>
        <w:t>(e.g.,</w:t>
      </w:r>
      <w:r>
        <w:rPr>
          <w:spacing w:val="-4"/>
          <w:sz w:val="24"/>
        </w:rPr>
        <w:t> </w:t>
      </w:r>
      <w:r>
        <w:rPr>
          <w:sz w:val="24"/>
        </w:rPr>
        <w:t>by</w:t>
      </w:r>
      <w:r>
        <w:rPr>
          <w:spacing w:val="-9"/>
          <w:sz w:val="24"/>
        </w:rPr>
        <w:t> </w:t>
      </w:r>
      <w:r>
        <w:rPr>
          <w:sz w:val="24"/>
        </w:rPr>
        <w:t>allowing</w:t>
      </w:r>
      <w:r>
        <w:rPr>
          <w:spacing w:val="-7"/>
          <w:sz w:val="24"/>
        </w:rPr>
        <w:t> </w:t>
      </w:r>
      <w:r>
        <w:rPr>
          <w:sz w:val="24"/>
        </w:rPr>
        <w:t>beneficiaries</w:t>
      </w:r>
      <w:r>
        <w:rPr>
          <w:spacing w:val="-4"/>
          <w:sz w:val="24"/>
        </w:rPr>
        <w:t> </w:t>
      </w:r>
      <w:r>
        <w:rPr>
          <w:sz w:val="24"/>
        </w:rPr>
        <w:t>to receive initial services from a community-based provider while the beneficiary is still residing in these settings and/or by engaging peer support specialists to help beneficiaries make connections with available community-based providers and, where applicable, make plans for employment).</w:t>
      </w:r>
    </w:p>
    <w:p>
      <w:pPr>
        <w:pStyle w:val="ListParagraph"/>
        <w:numPr>
          <w:ilvl w:val="0"/>
          <w:numId w:val="24"/>
        </w:numPr>
        <w:tabs>
          <w:tab w:pos="2851" w:val="left" w:leader="none"/>
        </w:tabs>
        <w:spacing w:line="240" w:lineRule="auto" w:before="120" w:after="0"/>
        <w:ind w:left="2851" w:right="1129" w:hanging="360"/>
        <w:jc w:val="left"/>
        <w:rPr>
          <w:sz w:val="24"/>
        </w:rPr>
      </w:pPr>
      <w:bookmarkStart w:name="2. Implementation of a process to assess" w:id="300"/>
      <w:bookmarkEnd w:id="300"/>
      <w:r>
        <w:rPr/>
      </w:r>
      <w:r>
        <w:rPr>
          <w:sz w:val="24"/>
        </w:rPr>
        <w:t>Implementation of a process to assess the housing situation of a beneficiary</w:t>
      </w:r>
      <w:r>
        <w:rPr>
          <w:spacing w:val="-9"/>
          <w:sz w:val="24"/>
        </w:rPr>
        <w:t> </w:t>
      </w:r>
      <w:r>
        <w:rPr>
          <w:sz w:val="24"/>
        </w:rPr>
        <w:t>transitioning</w:t>
      </w:r>
      <w:r>
        <w:rPr>
          <w:spacing w:val="-4"/>
          <w:sz w:val="24"/>
        </w:rPr>
        <w:t> </w:t>
      </w:r>
      <w:r>
        <w:rPr>
          <w:sz w:val="24"/>
        </w:rPr>
        <w:t>to</w:t>
      </w:r>
      <w:r>
        <w:rPr>
          <w:spacing w:val="-4"/>
          <w:sz w:val="24"/>
        </w:rPr>
        <w:t> </w:t>
      </w:r>
      <w:r>
        <w:rPr>
          <w:sz w:val="24"/>
        </w:rPr>
        <w:t>the</w:t>
      </w:r>
      <w:r>
        <w:rPr>
          <w:spacing w:val="-5"/>
          <w:sz w:val="24"/>
        </w:rPr>
        <w:t> </w:t>
      </w:r>
      <w:r>
        <w:rPr>
          <w:sz w:val="24"/>
        </w:rPr>
        <w:t>community</w:t>
      </w:r>
      <w:r>
        <w:rPr>
          <w:spacing w:val="-9"/>
          <w:sz w:val="24"/>
        </w:rPr>
        <w:t> </w:t>
      </w:r>
      <w:r>
        <w:rPr>
          <w:sz w:val="24"/>
        </w:rPr>
        <w:t>from</w:t>
      </w:r>
      <w:r>
        <w:rPr>
          <w:spacing w:val="-4"/>
          <w:sz w:val="24"/>
        </w:rPr>
        <w:t> </w:t>
      </w:r>
      <w:r>
        <w:rPr>
          <w:sz w:val="24"/>
        </w:rPr>
        <w:t>psychiatric</w:t>
      </w:r>
      <w:r>
        <w:rPr>
          <w:spacing w:val="-5"/>
          <w:sz w:val="24"/>
        </w:rPr>
        <w:t> </w:t>
      </w:r>
      <w:r>
        <w:rPr>
          <w:sz w:val="24"/>
        </w:rPr>
        <w:t>hospitals and residential treatment settings and to connect beneficiaries who</w:t>
      </w:r>
    </w:p>
    <w:p>
      <w:pPr>
        <w:spacing w:after="0" w:line="240" w:lineRule="auto"/>
        <w:jc w:val="left"/>
        <w:rPr>
          <w:sz w:val="24"/>
        </w:rPr>
        <w:sectPr>
          <w:pgSz w:w="12240" w:h="15840"/>
          <w:pgMar w:header="0" w:footer="1201" w:top="1360" w:bottom="1400" w:left="1200" w:right="400"/>
        </w:sectPr>
      </w:pPr>
    </w:p>
    <w:p>
      <w:pPr>
        <w:pStyle w:val="BodyText"/>
        <w:spacing w:before="79"/>
        <w:ind w:left="2851" w:right="1059"/>
      </w:pPr>
      <w:r>
        <w:rPr/>
        <w:t>may</w:t>
      </w:r>
      <w:r>
        <w:rPr>
          <w:spacing w:val="-7"/>
        </w:rPr>
        <w:t> </w:t>
      </w:r>
      <w:r>
        <w:rPr/>
        <w:t>experience</w:t>
      </w:r>
      <w:r>
        <w:rPr>
          <w:spacing w:val="-5"/>
        </w:rPr>
        <w:t> </w:t>
      </w:r>
      <w:r>
        <w:rPr/>
        <w:t>homelessness</w:t>
      </w:r>
      <w:r>
        <w:rPr>
          <w:spacing w:val="-4"/>
        </w:rPr>
        <w:t> </w:t>
      </w:r>
      <w:r>
        <w:rPr/>
        <w:t>upon</w:t>
      </w:r>
      <w:r>
        <w:rPr>
          <w:spacing w:val="-4"/>
        </w:rPr>
        <w:t> </w:t>
      </w:r>
      <w:r>
        <w:rPr/>
        <w:t>discharge</w:t>
      </w:r>
      <w:r>
        <w:rPr>
          <w:spacing w:val="-5"/>
        </w:rPr>
        <w:t> </w:t>
      </w:r>
      <w:r>
        <w:rPr/>
        <w:t>or</w:t>
      </w:r>
      <w:r>
        <w:rPr>
          <w:spacing w:val="-4"/>
        </w:rPr>
        <w:t> </w:t>
      </w:r>
      <w:r>
        <w:rPr/>
        <w:t>who</w:t>
      </w:r>
      <w:r>
        <w:rPr>
          <w:spacing w:val="-4"/>
        </w:rPr>
        <w:t> </w:t>
      </w:r>
      <w:r>
        <w:rPr/>
        <w:t>would</w:t>
      </w:r>
      <w:r>
        <w:rPr>
          <w:spacing w:val="-4"/>
        </w:rPr>
        <w:t> </w:t>
      </w:r>
      <w:r>
        <w:rPr/>
        <w:t>be discharged to unsuitable or unstable housing with community providers that coordinate housing services, where available.</w:t>
      </w:r>
    </w:p>
    <w:p>
      <w:pPr>
        <w:pStyle w:val="ListParagraph"/>
        <w:numPr>
          <w:ilvl w:val="0"/>
          <w:numId w:val="24"/>
        </w:numPr>
        <w:tabs>
          <w:tab w:pos="2851" w:val="left" w:leader="none"/>
        </w:tabs>
        <w:spacing w:line="240" w:lineRule="auto" w:before="120" w:after="0"/>
        <w:ind w:left="2851" w:right="1044" w:hanging="360"/>
        <w:jc w:val="left"/>
        <w:rPr>
          <w:sz w:val="24"/>
        </w:rPr>
      </w:pPr>
      <w:bookmarkStart w:name="3. Implementation of a requirement that " w:id="301"/>
      <w:bookmarkEnd w:id="301"/>
      <w:r>
        <w:rPr/>
      </w:r>
      <w:r>
        <w:rPr>
          <w:sz w:val="24"/>
        </w:rPr>
        <w:t>Implementation of a requirement that psychiatric hospitals and residential</w:t>
      </w:r>
      <w:r>
        <w:rPr>
          <w:spacing w:val="-2"/>
          <w:sz w:val="24"/>
        </w:rPr>
        <w:t> </w:t>
      </w:r>
      <w:r>
        <w:rPr>
          <w:sz w:val="24"/>
        </w:rPr>
        <w:t>treatment</w:t>
      </w:r>
      <w:r>
        <w:rPr>
          <w:spacing w:val="-2"/>
          <w:sz w:val="24"/>
        </w:rPr>
        <w:t> </w:t>
      </w:r>
      <w:r>
        <w:rPr>
          <w:sz w:val="24"/>
        </w:rPr>
        <w:t>settings</w:t>
      </w:r>
      <w:r>
        <w:rPr>
          <w:spacing w:val="-2"/>
          <w:sz w:val="24"/>
        </w:rPr>
        <w:t> </w:t>
      </w:r>
      <w:r>
        <w:rPr>
          <w:sz w:val="24"/>
        </w:rPr>
        <w:t>have</w:t>
      </w:r>
      <w:r>
        <w:rPr>
          <w:spacing w:val="-3"/>
          <w:sz w:val="24"/>
        </w:rPr>
        <w:t> </w:t>
      </w:r>
      <w:r>
        <w:rPr>
          <w:sz w:val="24"/>
        </w:rPr>
        <w:t>protocols</w:t>
      </w:r>
      <w:r>
        <w:rPr>
          <w:spacing w:val="-2"/>
          <w:sz w:val="24"/>
        </w:rPr>
        <w:t> </w:t>
      </w:r>
      <w:r>
        <w:rPr>
          <w:sz w:val="24"/>
        </w:rPr>
        <w:t>in</w:t>
      </w:r>
      <w:r>
        <w:rPr>
          <w:spacing w:val="-2"/>
          <w:sz w:val="24"/>
        </w:rPr>
        <w:t> </w:t>
      </w:r>
      <w:r>
        <w:rPr>
          <w:sz w:val="24"/>
        </w:rPr>
        <w:t>place</w:t>
      </w:r>
      <w:r>
        <w:rPr>
          <w:spacing w:val="-3"/>
          <w:sz w:val="24"/>
        </w:rPr>
        <w:t> </w:t>
      </w:r>
      <w:r>
        <w:rPr>
          <w:sz w:val="24"/>
        </w:rPr>
        <w:t>to</w:t>
      </w:r>
      <w:r>
        <w:rPr>
          <w:spacing w:val="-2"/>
          <w:sz w:val="24"/>
        </w:rPr>
        <w:t> </w:t>
      </w:r>
      <w:r>
        <w:rPr>
          <w:sz w:val="24"/>
        </w:rPr>
        <w:t>ensure</w:t>
      </w:r>
      <w:r>
        <w:rPr>
          <w:spacing w:val="-3"/>
          <w:sz w:val="24"/>
        </w:rPr>
        <w:t> </w:t>
      </w:r>
      <w:r>
        <w:rPr>
          <w:sz w:val="24"/>
        </w:rPr>
        <w:t>contact is made by the treatment setting with each discharged beneficiary within 72 hours of discharge and to help ensure follow-up care is accessed by</w:t>
      </w:r>
      <w:r>
        <w:rPr>
          <w:spacing w:val="-3"/>
          <w:sz w:val="24"/>
        </w:rPr>
        <w:t> </w:t>
      </w:r>
      <w:r>
        <w:rPr>
          <w:sz w:val="24"/>
        </w:rPr>
        <w:t>individuals after leaving</w:t>
      </w:r>
      <w:r>
        <w:rPr>
          <w:spacing w:val="-1"/>
          <w:sz w:val="24"/>
        </w:rPr>
        <w:t> </w:t>
      </w:r>
      <w:r>
        <w:rPr>
          <w:sz w:val="24"/>
        </w:rPr>
        <w:t>those facilities by</w:t>
      </w:r>
      <w:r>
        <w:rPr>
          <w:spacing w:val="-1"/>
          <w:sz w:val="24"/>
        </w:rPr>
        <w:t> </w:t>
      </w:r>
      <w:r>
        <w:rPr>
          <w:sz w:val="24"/>
        </w:rPr>
        <w:t>contacting</w:t>
      </w:r>
      <w:r>
        <w:rPr>
          <w:spacing w:val="-1"/>
          <w:sz w:val="24"/>
        </w:rPr>
        <w:t> </w:t>
      </w:r>
      <w:r>
        <w:rPr>
          <w:sz w:val="24"/>
        </w:rPr>
        <w:t>the individuals</w:t>
      </w:r>
      <w:r>
        <w:rPr>
          <w:spacing w:val="-4"/>
          <w:sz w:val="24"/>
        </w:rPr>
        <w:t> </w:t>
      </w:r>
      <w:r>
        <w:rPr>
          <w:sz w:val="24"/>
        </w:rPr>
        <w:t>directly</w:t>
      </w:r>
      <w:r>
        <w:rPr>
          <w:spacing w:val="-9"/>
          <w:sz w:val="24"/>
        </w:rPr>
        <w:t> </w:t>
      </w:r>
      <w:r>
        <w:rPr>
          <w:sz w:val="24"/>
        </w:rPr>
        <w:t>and,</w:t>
      </w:r>
      <w:r>
        <w:rPr>
          <w:spacing w:val="-2"/>
          <w:sz w:val="24"/>
        </w:rPr>
        <w:t> </w:t>
      </w:r>
      <w:r>
        <w:rPr>
          <w:sz w:val="24"/>
        </w:rPr>
        <w:t>as</w:t>
      </w:r>
      <w:r>
        <w:rPr>
          <w:spacing w:val="-4"/>
          <w:sz w:val="24"/>
        </w:rPr>
        <w:t> </w:t>
      </w:r>
      <w:r>
        <w:rPr>
          <w:sz w:val="24"/>
        </w:rPr>
        <w:t>appropriate,</w:t>
      </w:r>
      <w:r>
        <w:rPr>
          <w:spacing w:val="-4"/>
          <w:sz w:val="24"/>
        </w:rPr>
        <w:t> </w:t>
      </w:r>
      <w:r>
        <w:rPr>
          <w:sz w:val="24"/>
        </w:rPr>
        <w:t>by</w:t>
      </w:r>
      <w:r>
        <w:rPr>
          <w:spacing w:val="-9"/>
          <w:sz w:val="24"/>
        </w:rPr>
        <w:t> </w:t>
      </w:r>
      <w:r>
        <w:rPr>
          <w:sz w:val="24"/>
        </w:rPr>
        <w:t>contacting</w:t>
      </w:r>
      <w:r>
        <w:rPr>
          <w:spacing w:val="-7"/>
          <w:sz w:val="24"/>
        </w:rPr>
        <w:t> </w:t>
      </w:r>
      <w:r>
        <w:rPr>
          <w:sz w:val="24"/>
        </w:rPr>
        <w:t>the</w:t>
      </w:r>
      <w:r>
        <w:rPr>
          <w:spacing w:val="-5"/>
          <w:sz w:val="24"/>
        </w:rPr>
        <w:t> </w:t>
      </w:r>
      <w:r>
        <w:rPr>
          <w:sz w:val="24"/>
        </w:rPr>
        <w:t>community- based provider they were referred to.</w:t>
      </w:r>
    </w:p>
    <w:p>
      <w:pPr>
        <w:pStyle w:val="ListParagraph"/>
        <w:numPr>
          <w:ilvl w:val="0"/>
          <w:numId w:val="24"/>
        </w:numPr>
        <w:tabs>
          <w:tab w:pos="2851" w:val="left" w:leader="none"/>
        </w:tabs>
        <w:spacing w:line="240" w:lineRule="auto" w:before="120" w:after="0"/>
        <w:ind w:left="2851" w:right="1146" w:hanging="360"/>
        <w:jc w:val="left"/>
        <w:rPr>
          <w:sz w:val="24"/>
        </w:rPr>
      </w:pPr>
      <w:bookmarkStart w:name="4. Implementation of strategies to preve" w:id="302"/>
      <w:bookmarkEnd w:id="302"/>
      <w:r>
        <w:rPr/>
      </w:r>
      <w:r>
        <w:rPr>
          <w:sz w:val="24"/>
        </w:rPr>
        <w:t>Implementation</w:t>
      </w:r>
      <w:r>
        <w:rPr>
          <w:spacing w:val="-3"/>
          <w:sz w:val="24"/>
        </w:rPr>
        <w:t> </w:t>
      </w:r>
      <w:r>
        <w:rPr>
          <w:sz w:val="24"/>
        </w:rPr>
        <w:t>of</w:t>
      </w:r>
      <w:r>
        <w:rPr>
          <w:spacing w:val="-4"/>
          <w:sz w:val="24"/>
        </w:rPr>
        <w:t> </w:t>
      </w:r>
      <w:r>
        <w:rPr>
          <w:sz w:val="24"/>
        </w:rPr>
        <w:t>strategies</w:t>
      </w:r>
      <w:r>
        <w:rPr>
          <w:spacing w:val="-3"/>
          <w:sz w:val="24"/>
        </w:rPr>
        <w:t> </w:t>
      </w:r>
      <w:r>
        <w:rPr>
          <w:sz w:val="24"/>
        </w:rPr>
        <w:t>to</w:t>
      </w:r>
      <w:r>
        <w:rPr>
          <w:spacing w:val="-4"/>
          <w:sz w:val="24"/>
        </w:rPr>
        <w:t> </w:t>
      </w:r>
      <w:r>
        <w:rPr>
          <w:sz w:val="24"/>
        </w:rPr>
        <w:t>prevent</w:t>
      </w:r>
      <w:r>
        <w:rPr>
          <w:spacing w:val="-3"/>
          <w:sz w:val="24"/>
        </w:rPr>
        <w:t> </w:t>
      </w:r>
      <w:r>
        <w:rPr>
          <w:sz w:val="24"/>
        </w:rPr>
        <w:t>or</w:t>
      </w:r>
      <w:r>
        <w:rPr>
          <w:spacing w:val="-4"/>
          <w:sz w:val="24"/>
        </w:rPr>
        <w:t> </w:t>
      </w:r>
      <w:r>
        <w:rPr>
          <w:sz w:val="24"/>
        </w:rPr>
        <w:t>decrease</w:t>
      </w:r>
      <w:r>
        <w:rPr>
          <w:spacing w:val="-4"/>
          <w:sz w:val="24"/>
        </w:rPr>
        <w:t> </w:t>
      </w:r>
      <w:r>
        <w:rPr>
          <w:sz w:val="24"/>
        </w:rPr>
        <w:t>the</w:t>
      </w:r>
      <w:r>
        <w:rPr>
          <w:spacing w:val="-4"/>
          <w:sz w:val="24"/>
        </w:rPr>
        <w:t> </w:t>
      </w:r>
      <w:r>
        <w:rPr>
          <w:sz w:val="24"/>
        </w:rPr>
        <w:t>length</w:t>
      </w:r>
      <w:r>
        <w:rPr>
          <w:spacing w:val="-3"/>
          <w:sz w:val="24"/>
        </w:rPr>
        <w:t> </w:t>
      </w:r>
      <w:r>
        <w:rPr>
          <w:sz w:val="24"/>
        </w:rPr>
        <w:t>of</w:t>
      </w:r>
      <w:r>
        <w:rPr>
          <w:spacing w:val="-4"/>
          <w:sz w:val="24"/>
        </w:rPr>
        <w:t> </w:t>
      </w:r>
      <w:r>
        <w:rPr>
          <w:sz w:val="24"/>
        </w:rPr>
        <w:t>stay in emergency departments among beneficiaries with SMI or SED (e.g., through the use of peer support specialists and psychiatric consultants in EDs to help with discharge and referral to treatment </w:t>
      </w:r>
      <w:r>
        <w:rPr>
          <w:spacing w:val="-2"/>
          <w:sz w:val="24"/>
        </w:rPr>
        <w:t>providers).</w:t>
      </w:r>
    </w:p>
    <w:p>
      <w:pPr>
        <w:pStyle w:val="ListParagraph"/>
        <w:numPr>
          <w:ilvl w:val="0"/>
          <w:numId w:val="24"/>
        </w:numPr>
        <w:tabs>
          <w:tab w:pos="2851" w:val="left" w:leader="none"/>
        </w:tabs>
        <w:spacing w:line="240" w:lineRule="auto" w:before="120" w:after="0"/>
        <w:ind w:left="2851" w:right="1177" w:hanging="360"/>
        <w:jc w:val="left"/>
        <w:rPr>
          <w:sz w:val="24"/>
        </w:rPr>
      </w:pPr>
      <w:bookmarkStart w:name="5. Implementation of strategies to devel" w:id="303"/>
      <w:bookmarkEnd w:id="303"/>
      <w:r>
        <w:rPr/>
      </w:r>
      <w:r>
        <w:rPr>
          <w:sz w:val="24"/>
        </w:rPr>
        <w:t>Implementation of strategies to develop and/or enhance interoperability</w:t>
      </w:r>
      <w:r>
        <w:rPr>
          <w:spacing w:val="-9"/>
          <w:sz w:val="24"/>
        </w:rPr>
        <w:t> </w:t>
      </w:r>
      <w:r>
        <w:rPr>
          <w:sz w:val="24"/>
        </w:rPr>
        <w:t>and</w:t>
      </w:r>
      <w:r>
        <w:rPr>
          <w:spacing w:val="-5"/>
          <w:sz w:val="24"/>
        </w:rPr>
        <w:t> </w:t>
      </w:r>
      <w:r>
        <w:rPr>
          <w:sz w:val="24"/>
        </w:rPr>
        <w:t>data</w:t>
      </w:r>
      <w:r>
        <w:rPr>
          <w:spacing w:val="-4"/>
          <w:sz w:val="24"/>
        </w:rPr>
        <w:t> </w:t>
      </w:r>
      <w:r>
        <w:rPr>
          <w:sz w:val="24"/>
        </w:rPr>
        <w:t>sharing</w:t>
      </w:r>
      <w:r>
        <w:rPr>
          <w:spacing w:val="-7"/>
          <w:sz w:val="24"/>
        </w:rPr>
        <w:t> </w:t>
      </w:r>
      <w:r>
        <w:rPr>
          <w:sz w:val="24"/>
        </w:rPr>
        <w:t>between</w:t>
      </w:r>
      <w:r>
        <w:rPr>
          <w:spacing w:val="-5"/>
          <w:sz w:val="24"/>
        </w:rPr>
        <w:t> </w:t>
      </w:r>
      <w:r>
        <w:rPr>
          <w:sz w:val="24"/>
        </w:rPr>
        <w:t>physical,</w:t>
      </w:r>
      <w:r>
        <w:rPr>
          <w:spacing w:val="-5"/>
          <w:sz w:val="24"/>
        </w:rPr>
        <w:t> </w:t>
      </w:r>
      <w:r>
        <w:rPr>
          <w:sz w:val="24"/>
        </w:rPr>
        <w:t>SUD,</w:t>
      </w:r>
      <w:r>
        <w:rPr>
          <w:spacing w:val="-5"/>
          <w:sz w:val="24"/>
        </w:rPr>
        <w:t> </w:t>
      </w:r>
      <w:r>
        <w:rPr>
          <w:sz w:val="24"/>
        </w:rPr>
        <w:t>and</w:t>
      </w:r>
      <w:r>
        <w:rPr>
          <w:spacing w:val="-5"/>
          <w:sz w:val="24"/>
        </w:rPr>
        <w:t> </w:t>
      </w:r>
      <w:r>
        <w:rPr>
          <w:sz w:val="24"/>
        </w:rPr>
        <w:t>mental health providers, with the goal of enhancing coordination so that disparate providers may better share clinical information to improve health outcomes for beneficiaries with SMI or SED.</w:t>
      </w:r>
    </w:p>
    <w:p>
      <w:pPr>
        <w:pStyle w:val="BodyText"/>
        <w:spacing w:before="159"/>
        <w:ind w:left="2040" w:right="1059"/>
      </w:pPr>
      <w:r>
        <w:rPr/>
        <w:drawing>
          <wp:anchor distT="0" distB="0" distL="0" distR="0" allowOverlap="1" layoutInCell="1" locked="0" behindDoc="0" simplePos="0" relativeHeight="15806464">
            <wp:simplePos x="0" y="0"/>
            <wp:positionH relativeFrom="page">
              <wp:posOffset>1778507</wp:posOffset>
            </wp:positionH>
            <wp:positionV relativeFrom="paragraph">
              <wp:posOffset>133516</wp:posOffset>
            </wp:positionV>
            <wp:extent cx="158495" cy="115823"/>
            <wp:effectExtent l="0" t="0" r="0" b="0"/>
            <wp:wrapNone/>
            <wp:docPr id="163" name="Image 163"/>
            <wp:cNvGraphicFramePr>
              <a:graphicFrameLocks/>
            </wp:cNvGraphicFramePr>
            <a:graphic>
              <a:graphicData uri="http://schemas.openxmlformats.org/drawingml/2006/picture">
                <pic:pic>
                  <pic:nvPicPr>
                    <pic:cNvPr id="163" name="Image 163"/>
                    <pic:cNvPicPr/>
                  </pic:nvPicPr>
                  <pic:blipFill>
                    <a:blip r:embed="rId65" cstate="print"/>
                    <a:stretch>
                      <a:fillRect/>
                    </a:stretch>
                  </pic:blipFill>
                  <pic:spPr>
                    <a:xfrm>
                      <a:off x="0" y="0"/>
                      <a:ext cx="158495" cy="115823"/>
                    </a:xfrm>
                    <a:prstGeom prst="rect">
                      <a:avLst/>
                    </a:prstGeom>
                  </pic:spPr>
                </pic:pic>
              </a:graphicData>
            </a:graphic>
          </wp:anchor>
        </w:drawing>
      </w:r>
      <w:bookmarkStart w:name="iii. Increasing Access to Continuum of C" w:id="304"/>
      <w:bookmarkEnd w:id="304"/>
      <w:r>
        <w:rPr/>
      </w:r>
      <w:r>
        <w:rPr/>
        <w:t>Increasing</w:t>
      </w:r>
      <w:r>
        <w:rPr>
          <w:spacing w:val="-5"/>
        </w:rPr>
        <w:t> </w:t>
      </w:r>
      <w:r>
        <w:rPr/>
        <w:t>Access</w:t>
      </w:r>
      <w:r>
        <w:rPr>
          <w:spacing w:val="-5"/>
        </w:rPr>
        <w:t> </w:t>
      </w:r>
      <w:r>
        <w:rPr/>
        <w:t>to</w:t>
      </w:r>
      <w:r>
        <w:rPr>
          <w:spacing w:val="-5"/>
        </w:rPr>
        <w:t> </w:t>
      </w:r>
      <w:r>
        <w:rPr/>
        <w:t>Continuum</w:t>
      </w:r>
      <w:r>
        <w:rPr>
          <w:spacing w:val="-5"/>
        </w:rPr>
        <w:t> </w:t>
      </w:r>
      <w:r>
        <w:rPr/>
        <w:t>of</w:t>
      </w:r>
      <w:r>
        <w:rPr>
          <w:spacing w:val="-6"/>
        </w:rPr>
        <w:t> </w:t>
      </w:r>
      <w:r>
        <w:rPr/>
        <w:t>Care</w:t>
      </w:r>
      <w:r>
        <w:rPr>
          <w:spacing w:val="-4"/>
        </w:rPr>
        <w:t> </w:t>
      </w:r>
      <w:r>
        <w:rPr/>
        <w:t>Including</w:t>
      </w:r>
      <w:r>
        <w:rPr>
          <w:spacing w:val="-5"/>
        </w:rPr>
        <w:t> </w:t>
      </w:r>
      <w:r>
        <w:rPr/>
        <w:t>Crisis</w:t>
      </w:r>
      <w:r>
        <w:rPr>
          <w:spacing w:val="-5"/>
        </w:rPr>
        <w:t> </w:t>
      </w:r>
      <w:r>
        <w:rPr/>
        <w:t>Stabilization </w:t>
      </w:r>
      <w:r>
        <w:rPr>
          <w:spacing w:val="-2"/>
        </w:rPr>
        <w:t>Services.</w:t>
      </w:r>
    </w:p>
    <w:p>
      <w:pPr>
        <w:pStyle w:val="ListParagraph"/>
        <w:numPr>
          <w:ilvl w:val="0"/>
          <w:numId w:val="25"/>
        </w:numPr>
        <w:tabs>
          <w:tab w:pos="2851" w:val="left" w:leader="none"/>
        </w:tabs>
        <w:spacing w:line="240" w:lineRule="auto" w:before="161" w:after="0"/>
        <w:ind w:left="2851" w:right="1366" w:hanging="360"/>
        <w:jc w:val="left"/>
        <w:rPr>
          <w:sz w:val="24"/>
        </w:rPr>
      </w:pPr>
      <w:bookmarkStart w:name="1. Establishment of a process to annuall" w:id="305"/>
      <w:bookmarkEnd w:id="305"/>
      <w:r>
        <w:rPr/>
      </w:r>
      <w:r>
        <w:rPr>
          <w:sz w:val="24"/>
        </w:rPr>
        <w:t>Establishment of a process to annually assess the availability of mental</w:t>
      </w:r>
      <w:r>
        <w:rPr>
          <w:spacing w:val="-6"/>
          <w:sz w:val="24"/>
        </w:rPr>
        <w:t> </w:t>
      </w:r>
      <w:r>
        <w:rPr>
          <w:sz w:val="24"/>
        </w:rPr>
        <w:t>health</w:t>
      </w:r>
      <w:r>
        <w:rPr>
          <w:spacing w:val="-6"/>
          <w:sz w:val="24"/>
        </w:rPr>
        <w:t> </w:t>
      </w:r>
      <w:r>
        <w:rPr>
          <w:sz w:val="24"/>
        </w:rPr>
        <w:t>services</w:t>
      </w:r>
      <w:r>
        <w:rPr>
          <w:spacing w:val="-6"/>
          <w:sz w:val="24"/>
        </w:rPr>
        <w:t> </w:t>
      </w:r>
      <w:r>
        <w:rPr>
          <w:sz w:val="24"/>
        </w:rPr>
        <w:t>throughout</w:t>
      </w:r>
      <w:r>
        <w:rPr>
          <w:spacing w:val="-6"/>
          <w:sz w:val="24"/>
        </w:rPr>
        <w:t> </w:t>
      </w:r>
      <w:r>
        <w:rPr>
          <w:sz w:val="24"/>
        </w:rPr>
        <w:t>the</w:t>
      </w:r>
      <w:r>
        <w:rPr>
          <w:spacing w:val="-7"/>
          <w:sz w:val="24"/>
        </w:rPr>
        <w:t> </w:t>
      </w:r>
      <w:r>
        <w:rPr>
          <w:sz w:val="24"/>
        </w:rPr>
        <w:t>Commonwealth,</w:t>
      </w:r>
      <w:r>
        <w:rPr>
          <w:spacing w:val="-6"/>
          <w:sz w:val="24"/>
        </w:rPr>
        <w:t> </w:t>
      </w:r>
      <w:r>
        <w:rPr>
          <w:sz w:val="24"/>
        </w:rPr>
        <w:t>particularly crisis stabilization services, and updates on steps taken to increase </w:t>
      </w:r>
      <w:r>
        <w:rPr>
          <w:spacing w:val="-2"/>
          <w:sz w:val="24"/>
        </w:rPr>
        <w:t>availability.</w:t>
      </w:r>
    </w:p>
    <w:p>
      <w:pPr>
        <w:pStyle w:val="ListParagraph"/>
        <w:numPr>
          <w:ilvl w:val="0"/>
          <w:numId w:val="25"/>
        </w:numPr>
        <w:tabs>
          <w:tab w:pos="2851" w:val="left" w:leader="none"/>
        </w:tabs>
        <w:spacing w:line="240" w:lineRule="auto" w:before="120" w:after="0"/>
        <w:ind w:left="2851" w:right="1429" w:hanging="360"/>
        <w:jc w:val="left"/>
        <w:rPr>
          <w:sz w:val="24"/>
        </w:rPr>
      </w:pPr>
      <w:bookmarkStart w:name="2. Commitment to implementation of the f" w:id="306"/>
      <w:bookmarkEnd w:id="306"/>
      <w:r>
        <w:rPr/>
      </w:r>
      <w:r>
        <w:rPr>
          <w:sz w:val="24"/>
        </w:rPr>
        <w:t>Commitment</w:t>
      </w:r>
      <w:r>
        <w:rPr>
          <w:spacing w:val="-4"/>
          <w:sz w:val="24"/>
        </w:rPr>
        <w:t> </w:t>
      </w:r>
      <w:r>
        <w:rPr>
          <w:sz w:val="24"/>
        </w:rPr>
        <w:t>to</w:t>
      </w:r>
      <w:r>
        <w:rPr>
          <w:spacing w:val="-7"/>
          <w:sz w:val="24"/>
        </w:rPr>
        <w:t> </w:t>
      </w:r>
      <w:r>
        <w:rPr>
          <w:sz w:val="24"/>
        </w:rPr>
        <w:t>implementation</w:t>
      </w:r>
      <w:r>
        <w:rPr>
          <w:spacing w:val="-4"/>
          <w:sz w:val="24"/>
        </w:rPr>
        <w:t> </w:t>
      </w:r>
      <w:r>
        <w:rPr>
          <w:sz w:val="24"/>
        </w:rPr>
        <w:t>of</w:t>
      </w:r>
      <w:r>
        <w:rPr>
          <w:spacing w:val="-5"/>
          <w:sz w:val="24"/>
        </w:rPr>
        <w:t> </w:t>
      </w:r>
      <w:r>
        <w:rPr>
          <w:sz w:val="24"/>
        </w:rPr>
        <w:t>the</w:t>
      </w:r>
      <w:r>
        <w:rPr>
          <w:spacing w:val="-5"/>
          <w:sz w:val="24"/>
        </w:rPr>
        <w:t> </w:t>
      </w:r>
      <w:r>
        <w:rPr>
          <w:sz w:val="24"/>
        </w:rPr>
        <w:t>financing</w:t>
      </w:r>
      <w:r>
        <w:rPr>
          <w:spacing w:val="-7"/>
          <w:sz w:val="24"/>
        </w:rPr>
        <w:t> </w:t>
      </w:r>
      <w:r>
        <w:rPr>
          <w:sz w:val="24"/>
        </w:rPr>
        <w:t>plan</w:t>
      </w:r>
      <w:r>
        <w:rPr>
          <w:spacing w:val="-5"/>
          <w:sz w:val="24"/>
        </w:rPr>
        <w:t> </w:t>
      </w:r>
      <w:r>
        <w:rPr>
          <w:sz w:val="24"/>
        </w:rPr>
        <w:t>described</w:t>
      </w:r>
      <w:r>
        <w:rPr>
          <w:spacing w:val="-4"/>
          <w:sz w:val="24"/>
        </w:rPr>
        <w:t> </w:t>
      </w:r>
      <w:r>
        <w:rPr>
          <w:sz w:val="24"/>
        </w:rPr>
        <w:t>in STC 7.2(d).</w:t>
      </w:r>
    </w:p>
    <w:p>
      <w:pPr>
        <w:pStyle w:val="ListParagraph"/>
        <w:numPr>
          <w:ilvl w:val="0"/>
          <w:numId w:val="25"/>
        </w:numPr>
        <w:tabs>
          <w:tab w:pos="2851" w:val="left" w:leader="none"/>
        </w:tabs>
        <w:spacing w:line="240" w:lineRule="auto" w:before="120" w:after="0"/>
        <w:ind w:left="2851" w:right="1063" w:hanging="360"/>
        <w:jc w:val="left"/>
        <w:rPr>
          <w:sz w:val="24"/>
        </w:rPr>
      </w:pPr>
      <w:bookmarkStart w:name="3. Implementation of strategies to impro" w:id="307"/>
      <w:bookmarkEnd w:id="307"/>
      <w:r>
        <w:rPr/>
      </w:r>
      <w:r>
        <w:rPr>
          <w:sz w:val="24"/>
        </w:rPr>
        <w:t>Implementation of strategies to improve the state’s capacity to track the availability of inpatient and crisis stabilization beds to help connect</w:t>
      </w:r>
      <w:r>
        <w:rPr>
          <w:spacing w:val="-4"/>
          <w:sz w:val="24"/>
        </w:rPr>
        <w:t> </w:t>
      </w:r>
      <w:r>
        <w:rPr>
          <w:sz w:val="24"/>
        </w:rPr>
        <w:t>individuals</w:t>
      </w:r>
      <w:r>
        <w:rPr>
          <w:spacing w:val="-4"/>
          <w:sz w:val="24"/>
        </w:rPr>
        <w:t> </w:t>
      </w:r>
      <w:r>
        <w:rPr>
          <w:sz w:val="24"/>
        </w:rPr>
        <w:t>in</w:t>
      </w:r>
      <w:r>
        <w:rPr>
          <w:spacing w:val="-4"/>
          <w:sz w:val="24"/>
        </w:rPr>
        <w:t> </w:t>
      </w:r>
      <w:r>
        <w:rPr>
          <w:sz w:val="24"/>
        </w:rPr>
        <w:t>need</w:t>
      </w:r>
      <w:r>
        <w:rPr>
          <w:spacing w:val="-4"/>
          <w:sz w:val="24"/>
        </w:rPr>
        <w:t> </w:t>
      </w:r>
      <w:r>
        <w:rPr>
          <w:sz w:val="24"/>
        </w:rPr>
        <w:t>with</w:t>
      </w:r>
      <w:r>
        <w:rPr>
          <w:spacing w:val="-4"/>
          <w:sz w:val="24"/>
        </w:rPr>
        <w:t> </w:t>
      </w:r>
      <w:r>
        <w:rPr>
          <w:sz w:val="24"/>
        </w:rPr>
        <w:t>that</w:t>
      </w:r>
      <w:r>
        <w:rPr>
          <w:spacing w:val="-4"/>
          <w:sz w:val="24"/>
        </w:rPr>
        <w:t> </w:t>
      </w:r>
      <w:r>
        <w:rPr>
          <w:sz w:val="24"/>
        </w:rPr>
        <w:t>level</w:t>
      </w:r>
      <w:r>
        <w:rPr>
          <w:spacing w:val="-4"/>
          <w:sz w:val="24"/>
        </w:rPr>
        <w:t> </w:t>
      </w:r>
      <w:r>
        <w:rPr>
          <w:sz w:val="24"/>
        </w:rPr>
        <w:t>of</w:t>
      </w:r>
      <w:r>
        <w:rPr>
          <w:spacing w:val="-5"/>
          <w:sz w:val="24"/>
        </w:rPr>
        <w:t> </w:t>
      </w:r>
      <w:r>
        <w:rPr>
          <w:sz w:val="24"/>
        </w:rPr>
        <w:t>care</w:t>
      </w:r>
      <w:r>
        <w:rPr>
          <w:spacing w:val="-3"/>
          <w:sz w:val="24"/>
        </w:rPr>
        <w:t> </w:t>
      </w:r>
      <w:r>
        <w:rPr>
          <w:sz w:val="24"/>
        </w:rPr>
        <w:t>as</w:t>
      </w:r>
      <w:r>
        <w:rPr>
          <w:spacing w:val="-4"/>
          <w:sz w:val="24"/>
        </w:rPr>
        <w:t> </w:t>
      </w:r>
      <w:r>
        <w:rPr>
          <w:sz w:val="24"/>
        </w:rPr>
        <w:t>soon</w:t>
      </w:r>
      <w:r>
        <w:rPr>
          <w:spacing w:val="-4"/>
          <w:sz w:val="24"/>
        </w:rPr>
        <w:t> </w:t>
      </w:r>
      <w:r>
        <w:rPr>
          <w:sz w:val="24"/>
        </w:rPr>
        <w:t>as</w:t>
      </w:r>
      <w:r>
        <w:rPr>
          <w:spacing w:val="-4"/>
          <w:sz w:val="24"/>
        </w:rPr>
        <w:t> </w:t>
      </w:r>
      <w:r>
        <w:rPr>
          <w:sz w:val="24"/>
        </w:rPr>
        <w:t>possible.</w:t>
      </w:r>
    </w:p>
    <w:p>
      <w:pPr>
        <w:pStyle w:val="ListParagraph"/>
        <w:numPr>
          <w:ilvl w:val="0"/>
          <w:numId w:val="25"/>
        </w:numPr>
        <w:tabs>
          <w:tab w:pos="2851" w:val="left" w:leader="none"/>
        </w:tabs>
        <w:spacing w:line="240" w:lineRule="auto" w:before="120" w:after="0"/>
        <w:ind w:left="2851" w:right="1097" w:hanging="360"/>
        <w:jc w:val="left"/>
        <w:rPr>
          <w:sz w:val="24"/>
        </w:rPr>
      </w:pPr>
      <w:bookmarkStart w:name="4. Implementation of a requirement that " w:id="308"/>
      <w:bookmarkEnd w:id="308"/>
      <w:r>
        <w:rPr/>
      </w:r>
      <w:r>
        <w:rPr>
          <w:sz w:val="24"/>
        </w:rPr>
        <w:t>Implementation</w:t>
      </w:r>
      <w:r>
        <w:rPr>
          <w:spacing w:val="-4"/>
          <w:sz w:val="24"/>
        </w:rPr>
        <w:t> </w:t>
      </w:r>
      <w:r>
        <w:rPr>
          <w:sz w:val="24"/>
        </w:rPr>
        <w:t>of</w:t>
      </w:r>
      <w:r>
        <w:rPr>
          <w:spacing w:val="-4"/>
          <w:sz w:val="24"/>
        </w:rPr>
        <w:t> </w:t>
      </w:r>
      <w:r>
        <w:rPr>
          <w:sz w:val="24"/>
        </w:rPr>
        <w:t>a</w:t>
      </w:r>
      <w:r>
        <w:rPr>
          <w:spacing w:val="-4"/>
          <w:sz w:val="24"/>
        </w:rPr>
        <w:t> </w:t>
      </w:r>
      <w:r>
        <w:rPr>
          <w:sz w:val="24"/>
        </w:rPr>
        <w:t>requirement</w:t>
      </w:r>
      <w:r>
        <w:rPr>
          <w:spacing w:val="-4"/>
          <w:sz w:val="24"/>
        </w:rPr>
        <w:t> </w:t>
      </w:r>
      <w:r>
        <w:rPr>
          <w:sz w:val="24"/>
        </w:rPr>
        <w:t>that</w:t>
      </w:r>
      <w:r>
        <w:rPr>
          <w:spacing w:val="-4"/>
          <w:sz w:val="24"/>
        </w:rPr>
        <w:t> </w:t>
      </w:r>
      <w:r>
        <w:rPr>
          <w:sz w:val="24"/>
        </w:rPr>
        <w:t>providers,</w:t>
      </w:r>
      <w:r>
        <w:rPr>
          <w:spacing w:val="-4"/>
          <w:sz w:val="24"/>
        </w:rPr>
        <w:t> </w:t>
      </w:r>
      <w:r>
        <w:rPr>
          <w:sz w:val="24"/>
        </w:rPr>
        <w:t>plans,</w:t>
      </w:r>
      <w:r>
        <w:rPr>
          <w:spacing w:val="-4"/>
          <w:sz w:val="24"/>
        </w:rPr>
        <w:t> </w:t>
      </w:r>
      <w:r>
        <w:rPr>
          <w:sz w:val="24"/>
        </w:rPr>
        <w:t>and</w:t>
      </w:r>
      <w:r>
        <w:rPr>
          <w:spacing w:val="-4"/>
          <w:sz w:val="24"/>
        </w:rPr>
        <w:t> </w:t>
      </w:r>
      <w:r>
        <w:rPr>
          <w:sz w:val="24"/>
        </w:rPr>
        <w:t>utilization review entities use an evidence-based, publicly available patient assessment tool, preferably endorsed by a mental health provider association</w:t>
      </w:r>
      <w:r>
        <w:rPr>
          <w:spacing w:val="-5"/>
          <w:sz w:val="24"/>
        </w:rPr>
        <w:t> </w:t>
      </w:r>
      <w:r>
        <w:rPr>
          <w:sz w:val="24"/>
        </w:rPr>
        <w:t>(e.g.,</w:t>
      </w:r>
      <w:r>
        <w:rPr>
          <w:spacing w:val="-3"/>
          <w:sz w:val="24"/>
        </w:rPr>
        <w:t> </w:t>
      </w:r>
      <w:r>
        <w:rPr>
          <w:sz w:val="24"/>
        </w:rPr>
        <w:t>LOCUS</w:t>
      </w:r>
      <w:r>
        <w:rPr>
          <w:spacing w:val="-5"/>
          <w:sz w:val="24"/>
        </w:rPr>
        <w:t> </w:t>
      </w:r>
      <w:r>
        <w:rPr>
          <w:sz w:val="24"/>
        </w:rPr>
        <w:t>or</w:t>
      </w:r>
      <w:r>
        <w:rPr>
          <w:spacing w:val="-6"/>
          <w:sz w:val="24"/>
        </w:rPr>
        <w:t> </w:t>
      </w:r>
      <w:r>
        <w:rPr>
          <w:sz w:val="24"/>
        </w:rPr>
        <w:t>CASII)</w:t>
      </w:r>
      <w:r>
        <w:rPr>
          <w:spacing w:val="-6"/>
          <w:sz w:val="24"/>
        </w:rPr>
        <w:t> </w:t>
      </w:r>
      <w:r>
        <w:rPr>
          <w:sz w:val="24"/>
        </w:rPr>
        <w:t>to</w:t>
      </w:r>
      <w:r>
        <w:rPr>
          <w:spacing w:val="-5"/>
          <w:sz w:val="24"/>
        </w:rPr>
        <w:t> </w:t>
      </w:r>
      <w:r>
        <w:rPr>
          <w:sz w:val="24"/>
        </w:rPr>
        <w:t>determine</w:t>
      </w:r>
      <w:r>
        <w:rPr>
          <w:spacing w:val="-4"/>
          <w:sz w:val="24"/>
        </w:rPr>
        <w:t> </w:t>
      </w:r>
      <w:r>
        <w:rPr>
          <w:sz w:val="24"/>
        </w:rPr>
        <w:t>appropriate</w:t>
      </w:r>
      <w:r>
        <w:rPr>
          <w:spacing w:val="-6"/>
          <w:sz w:val="24"/>
        </w:rPr>
        <w:t> </w:t>
      </w:r>
      <w:r>
        <w:rPr>
          <w:sz w:val="24"/>
        </w:rPr>
        <w:t>level</w:t>
      </w:r>
      <w:r>
        <w:rPr>
          <w:spacing w:val="-5"/>
          <w:sz w:val="24"/>
        </w:rPr>
        <w:t> </w:t>
      </w:r>
      <w:r>
        <w:rPr>
          <w:sz w:val="24"/>
        </w:rPr>
        <w:t>of care and length of stay.</w:t>
      </w:r>
    </w:p>
    <w:p>
      <w:pPr>
        <w:pStyle w:val="BodyText"/>
        <w:spacing w:before="161"/>
        <w:ind w:left="2040" w:right="1059"/>
      </w:pPr>
      <w:r>
        <w:rPr/>
        <w:drawing>
          <wp:anchor distT="0" distB="0" distL="0" distR="0" allowOverlap="1" layoutInCell="1" locked="0" behindDoc="0" simplePos="0" relativeHeight="15806976">
            <wp:simplePos x="0" y="0"/>
            <wp:positionH relativeFrom="page">
              <wp:posOffset>1786127</wp:posOffset>
            </wp:positionH>
            <wp:positionV relativeFrom="paragraph">
              <wp:posOffset>134786</wp:posOffset>
            </wp:positionV>
            <wp:extent cx="149339" cy="115823"/>
            <wp:effectExtent l="0" t="0" r="0" b="0"/>
            <wp:wrapNone/>
            <wp:docPr id="164" name="Image 164"/>
            <wp:cNvGraphicFramePr>
              <a:graphicFrameLocks/>
            </wp:cNvGraphicFramePr>
            <a:graphic>
              <a:graphicData uri="http://schemas.openxmlformats.org/drawingml/2006/picture">
                <pic:pic>
                  <pic:nvPicPr>
                    <pic:cNvPr id="164" name="Image 164"/>
                    <pic:cNvPicPr/>
                  </pic:nvPicPr>
                  <pic:blipFill>
                    <a:blip r:embed="rId96" cstate="print"/>
                    <a:stretch>
                      <a:fillRect/>
                    </a:stretch>
                  </pic:blipFill>
                  <pic:spPr>
                    <a:xfrm>
                      <a:off x="0" y="0"/>
                      <a:ext cx="149339" cy="115823"/>
                    </a:xfrm>
                    <a:prstGeom prst="rect">
                      <a:avLst/>
                    </a:prstGeom>
                  </pic:spPr>
                </pic:pic>
              </a:graphicData>
            </a:graphic>
          </wp:anchor>
        </w:drawing>
      </w:r>
      <w:bookmarkStart w:name="iv. Earlier Identification and Engagemen" w:id="309"/>
      <w:bookmarkEnd w:id="309"/>
      <w:r>
        <w:rPr/>
      </w:r>
      <w:r>
        <w:rPr/>
        <w:t>Earlier</w:t>
      </w:r>
      <w:r>
        <w:rPr>
          <w:spacing w:val="-6"/>
        </w:rPr>
        <w:t> </w:t>
      </w:r>
      <w:r>
        <w:rPr/>
        <w:t>Identification</w:t>
      </w:r>
      <w:r>
        <w:rPr>
          <w:spacing w:val="-6"/>
        </w:rPr>
        <w:t> </w:t>
      </w:r>
      <w:r>
        <w:rPr/>
        <w:t>and</w:t>
      </w:r>
      <w:r>
        <w:rPr>
          <w:spacing w:val="-5"/>
        </w:rPr>
        <w:t> </w:t>
      </w:r>
      <w:r>
        <w:rPr/>
        <w:t>Engagement</w:t>
      </w:r>
      <w:r>
        <w:rPr>
          <w:spacing w:val="-6"/>
        </w:rPr>
        <w:t> </w:t>
      </w:r>
      <w:r>
        <w:rPr/>
        <w:t>in</w:t>
      </w:r>
      <w:r>
        <w:rPr>
          <w:spacing w:val="-6"/>
        </w:rPr>
        <w:t> </w:t>
      </w:r>
      <w:r>
        <w:rPr/>
        <w:t>Treatment,</w:t>
      </w:r>
      <w:r>
        <w:rPr>
          <w:spacing w:val="-5"/>
        </w:rPr>
        <w:t> </w:t>
      </w:r>
      <w:r>
        <w:rPr/>
        <w:t>Including</w:t>
      </w:r>
      <w:r>
        <w:rPr>
          <w:spacing w:val="-9"/>
        </w:rPr>
        <w:t> </w:t>
      </w:r>
      <w:r>
        <w:rPr/>
        <w:t>Through Increased Integration.</w:t>
      </w:r>
    </w:p>
    <w:p>
      <w:pPr>
        <w:pStyle w:val="ListParagraph"/>
        <w:numPr>
          <w:ilvl w:val="0"/>
          <w:numId w:val="26"/>
        </w:numPr>
        <w:tabs>
          <w:tab w:pos="2851" w:val="left" w:leader="none"/>
        </w:tabs>
        <w:spacing w:line="240" w:lineRule="auto" w:before="158" w:after="0"/>
        <w:ind w:left="2851" w:right="1050" w:hanging="360"/>
        <w:jc w:val="left"/>
        <w:rPr>
          <w:sz w:val="24"/>
        </w:rPr>
      </w:pPr>
      <w:bookmarkStart w:name="1. Implementation of strategies for iden" w:id="310"/>
      <w:bookmarkEnd w:id="310"/>
      <w:r>
        <w:rPr/>
      </w:r>
      <w:r>
        <w:rPr>
          <w:sz w:val="24"/>
        </w:rPr>
        <w:t>Implementation</w:t>
      </w:r>
      <w:r>
        <w:rPr>
          <w:spacing w:val="-4"/>
          <w:sz w:val="24"/>
        </w:rPr>
        <w:t> </w:t>
      </w:r>
      <w:r>
        <w:rPr>
          <w:sz w:val="24"/>
        </w:rPr>
        <w:t>of</w:t>
      </w:r>
      <w:r>
        <w:rPr>
          <w:spacing w:val="-5"/>
          <w:sz w:val="24"/>
        </w:rPr>
        <w:t> </w:t>
      </w:r>
      <w:r>
        <w:rPr>
          <w:sz w:val="24"/>
        </w:rPr>
        <w:t>strategies</w:t>
      </w:r>
      <w:r>
        <w:rPr>
          <w:spacing w:val="-4"/>
          <w:sz w:val="24"/>
        </w:rPr>
        <w:t> </w:t>
      </w:r>
      <w:r>
        <w:rPr>
          <w:sz w:val="24"/>
        </w:rPr>
        <w:t>for</w:t>
      </w:r>
      <w:r>
        <w:rPr>
          <w:spacing w:val="-5"/>
          <w:sz w:val="24"/>
        </w:rPr>
        <w:t> </w:t>
      </w:r>
      <w:r>
        <w:rPr>
          <w:sz w:val="24"/>
        </w:rPr>
        <w:t>identifying</w:t>
      </w:r>
      <w:r>
        <w:rPr>
          <w:spacing w:val="-7"/>
          <w:sz w:val="24"/>
        </w:rPr>
        <w:t> </w:t>
      </w:r>
      <w:r>
        <w:rPr>
          <w:sz w:val="24"/>
        </w:rPr>
        <w:t>and</w:t>
      </w:r>
      <w:r>
        <w:rPr>
          <w:spacing w:val="-4"/>
          <w:sz w:val="24"/>
        </w:rPr>
        <w:t> </w:t>
      </w:r>
      <w:r>
        <w:rPr>
          <w:sz w:val="24"/>
        </w:rPr>
        <w:t>engaging</w:t>
      </w:r>
      <w:r>
        <w:rPr>
          <w:spacing w:val="-7"/>
          <w:sz w:val="24"/>
        </w:rPr>
        <w:t> </w:t>
      </w:r>
      <w:r>
        <w:rPr>
          <w:sz w:val="24"/>
        </w:rPr>
        <w:t>individuals, particularly</w:t>
      </w:r>
      <w:r>
        <w:rPr>
          <w:spacing w:val="-9"/>
          <w:sz w:val="24"/>
        </w:rPr>
        <w:t> </w:t>
      </w:r>
      <w:r>
        <w:rPr>
          <w:sz w:val="24"/>
        </w:rPr>
        <w:t>adolescents</w:t>
      </w:r>
      <w:r>
        <w:rPr>
          <w:spacing w:val="-5"/>
          <w:sz w:val="24"/>
        </w:rPr>
        <w:t> </w:t>
      </w:r>
      <w:r>
        <w:rPr>
          <w:sz w:val="24"/>
        </w:rPr>
        <w:t>and</w:t>
      </w:r>
      <w:r>
        <w:rPr>
          <w:spacing w:val="-3"/>
          <w:sz w:val="24"/>
        </w:rPr>
        <w:t> </w:t>
      </w:r>
      <w:r>
        <w:rPr>
          <w:sz w:val="24"/>
        </w:rPr>
        <w:t>young</w:t>
      </w:r>
      <w:r>
        <w:rPr>
          <w:spacing w:val="-7"/>
          <w:sz w:val="24"/>
        </w:rPr>
        <w:t> </w:t>
      </w:r>
      <w:r>
        <w:rPr>
          <w:sz w:val="24"/>
        </w:rPr>
        <w:t>adults,</w:t>
      </w:r>
      <w:r>
        <w:rPr>
          <w:spacing w:val="-5"/>
          <w:sz w:val="24"/>
        </w:rPr>
        <w:t> </w:t>
      </w:r>
      <w:r>
        <w:rPr>
          <w:sz w:val="24"/>
        </w:rPr>
        <w:t>with</w:t>
      </w:r>
      <w:r>
        <w:rPr>
          <w:spacing w:val="-5"/>
          <w:sz w:val="24"/>
        </w:rPr>
        <w:t> </w:t>
      </w:r>
      <w:r>
        <w:rPr>
          <w:sz w:val="24"/>
        </w:rPr>
        <w:t>SMI/SED</w:t>
      </w:r>
      <w:r>
        <w:rPr>
          <w:spacing w:val="-6"/>
          <w:sz w:val="24"/>
        </w:rPr>
        <w:t> </w:t>
      </w:r>
      <w:r>
        <w:rPr>
          <w:sz w:val="24"/>
        </w:rPr>
        <w:t>in</w:t>
      </w:r>
      <w:r>
        <w:rPr>
          <w:spacing w:val="-5"/>
          <w:sz w:val="24"/>
        </w:rPr>
        <w:t> </w:t>
      </w:r>
      <w:r>
        <w:rPr>
          <w:sz w:val="24"/>
        </w:rPr>
        <w:t>treatment</w:t>
      </w:r>
    </w:p>
    <w:p>
      <w:pPr>
        <w:spacing w:after="0" w:line="240" w:lineRule="auto"/>
        <w:jc w:val="left"/>
        <w:rPr>
          <w:sz w:val="24"/>
        </w:rPr>
        <w:sectPr>
          <w:pgSz w:w="12240" w:h="15840"/>
          <w:pgMar w:header="0" w:footer="1201" w:top="1360" w:bottom="1400" w:left="1200" w:right="400"/>
        </w:sectPr>
      </w:pPr>
    </w:p>
    <w:p>
      <w:pPr>
        <w:pStyle w:val="BodyText"/>
        <w:spacing w:before="79"/>
        <w:ind w:left="2851" w:right="1059"/>
      </w:pPr>
      <w:r>
        <w:rPr/>
        <w:t>sooner,</w:t>
      </w:r>
      <w:r>
        <w:rPr>
          <w:spacing w:val="-7"/>
        </w:rPr>
        <w:t> </w:t>
      </w:r>
      <w:r>
        <w:rPr/>
        <w:t>including</w:t>
      </w:r>
      <w:r>
        <w:rPr>
          <w:spacing w:val="-9"/>
        </w:rPr>
        <w:t> </w:t>
      </w:r>
      <w:r>
        <w:rPr/>
        <w:t>through</w:t>
      </w:r>
      <w:r>
        <w:rPr>
          <w:spacing w:val="-7"/>
        </w:rPr>
        <w:t> </w:t>
      </w:r>
      <w:r>
        <w:rPr/>
        <w:t>supported</w:t>
      </w:r>
      <w:r>
        <w:rPr>
          <w:spacing w:val="-7"/>
        </w:rPr>
        <w:t> </w:t>
      </w:r>
      <w:r>
        <w:rPr/>
        <w:t>employment</w:t>
      </w:r>
      <w:r>
        <w:rPr>
          <w:spacing w:val="-7"/>
        </w:rPr>
        <w:t> </w:t>
      </w:r>
      <w:r>
        <w:rPr/>
        <w:t>and</w:t>
      </w:r>
      <w:r>
        <w:rPr>
          <w:spacing w:val="-7"/>
        </w:rPr>
        <w:t> </w:t>
      </w:r>
      <w:r>
        <w:rPr/>
        <w:t>supported education programs.</w:t>
      </w:r>
    </w:p>
    <w:p>
      <w:pPr>
        <w:pStyle w:val="ListParagraph"/>
        <w:numPr>
          <w:ilvl w:val="0"/>
          <w:numId w:val="26"/>
        </w:numPr>
        <w:tabs>
          <w:tab w:pos="2851" w:val="left" w:leader="none"/>
        </w:tabs>
        <w:spacing w:line="240" w:lineRule="auto" w:before="120" w:after="0"/>
        <w:ind w:left="2851" w:right="1169" w:hanging="360"/>
        <w:jc w:val="left"/>
        <w:rPr>
          <w:sz w:val="24"/>
        </w:rPr>
      </w:pPr>
      <w:bookmarkStart w:name="2. Increasing integration of behavioral " w:id="311"/>
      <w:bookmarkEnd w:id="311"/>
      <w:r>
        <w:rPr/>
      </w:r>
      <w:r>
        <w:rPr>
          <w:sz w:val="24"/>
        </w:rPr>
        <w:t>Increasing</w:t>
      </w:r>
      <w:r>
        <w:rPr>
          <w:spacing w:val="-5"/>
          <w:sz w:val="24"/>
        </w:rPr>
        <w:t> </w:t>
      </w:r>
      <w:r>
        <w:rPr>
          <w:sz w:val="24"/>
        </w:rPr>
        <w:t>integration</w:t>
      </w:r>
      <w:r>
        <w:rPr>
          <w:spacing w:val="-2"/>
          <w:sz w:val="24"/>
        </w:rPr>
        <w:t> </w:t>
      </w:r>
      <w:r>
        <w:rPr>
          <w:sz w:val="24"/>
        </w:rPr>
        <w:t>of</w:t>
      </w:r>
      <w:r>
        <w:rPr>
          <w:spacing w:val="-1"/>
          <w:sz w:val="24"/>
        </w:rPr>
        <w:t> </w:t>
      </w:r>
      <w:r>
        <w:rPr>
          <w:sz w:val="24"/>
        </w:rPr>
        <w:t>behavioral</w:t>
      </w:r>
      <w:r>
        <w:rPr>
          <w:spacing w:val="-2"/>
          <w:sz w:val="24"/>
        </w:rPr>
        <w:t> </w:t>
      </w:r>
      <w:r>
        <w:rPr>
          <w:sz w:val="24"/>
        </w:rPr>
        <w:t>health</w:t>
      </w:r>
      <w:r>
        <w:rPr>
          <w:spacing w:val="-2"/>
          <w:sz w:val="24"/>
        </w:rPr>
        <w:t> </w:t>
      </w:r>
      <w:r>
        <w:rPr>
          <w:sz w:val="24"/>
        </w:rPr>
        <w:t>care</w:t>
      </w:r>
      <w:r>
        <w:rPr>
          <w:spacing w:val="-3"/>
          <w:sz w:val="24"/>
        </w:rPr>
        <w:t> </w:t>
      </w:r>
      <w:r>
        <w:rPr>
          <w:sz w:val="24"/>
        </w:rPr>
        <w:t>in non-specialty</w:t>
      </w:r>
      <w:r>
        <w:rPr>
          <w:spacing w:val="-7"/>
          <w:sz w:val="24"/>
        </w:rPr>
        <w:t> </w:t>
      </w:r>
      <w:r>
        <w:rPr>
          <w:sz w:val="24"/>
        </w:rPr>
        <w:t>care settings, including schools and primary care practices, to improve identification</w:t>
      </w:r>
      <w:r>
        <w:rPr>
          <w:spacing w:val="-6"/>
          <w:sz w:val="24"/>
        </w:rPr>
        <w:t> </w:t>
      </w:r>
      <w:r>
        <w:rPr>
          <w:sz w:val="24"/>
        </w:rPr>
        <w:t>of</w:t>
      </w:r>
      <w:r>
        <w:rPr>
          <w:spacing w:val="-7"/>
          <w:sz w:val="24"/>
        </w:rPr>
        <w:t> </w:t>
      </w:r>
      <w:r>
        <w:rPr>
          <w:sz w:val="24"/>
        </w:rPr>
        <w:t>SMI/SED</w:t>
      </w:r>
      <w:r>
        <w:rPr>
          <w:spacing w:val="-7"/>
          <w:sz w:val="24"/>
        </w:rPr>
        <w:t> </w:t>
      </w:r>
      <w:r>
        <w:rPr>
          <w:sz w:val="24"/>
        </w:rPr>
        <w:t>conditions</w:t>
      </w:r>
      <w:r>
        <w:rPr>
          <w:spacing w:val="-6"/>
          <w:sz w:val="24"/>
        </w:rPr>
        <w:t> </w:t>
      </w:r>
      <w:r>
        <w:rPr>
          <w:sz w:val="24"/>
        </w:rPr>
        <w:t>sooner</w:t>
      </w:r>
      <w:r>
        <w:rPr>
          <w:spacing w:val="-7"/>
          <w:sz w:val="24"/>
        </w:rPr>
        <w:t> </w:t>
      </w:r>
      <w:r>
        <w:rPr>
          <w:sz w:val="24"/>
        </w:rPr>
        <w:t>and</w:t>
      </w:r>
      <w:r>
        <w:rPr>
          <w:spacing w:val="-4"/>
          <w:sz w:val="24"/>
        </w:rPr>
        <w:t> </w:t>
      </w:r>
      <w:r>
        <w:rPr>
          <w:sz w:val="24"/>
        </w:rPr>
        <w:t>improve</w:t>
      </w:r>
      <w:r>
        <w:rPr>
          <w:spacing w:val="-7"/>
          <w:sz w:val="24"/>
        </w:rPr>
        <w:t> </w:t>
      </w:r>
      <w:r>
        <w:rPr>
          <w:sz w:val="24"/>
        </w:rPr>
        <w:t>awareness of and linkages to specialty treatment providers.</w:t>
      </w:r>
    </w:p>
    <w:p>
      <w:pPr>
        <w:pStyle w:val="ListParagraph"/>
        <w:numPr>
          <w:ilvl w:val="0"/>
          <w:numId w:val="26"/>
        </w:numPr>
        <w:tabs>
          <w:tab w:pos="2851" w:val="left" w:leader="none"/>
        </w:tabs>
        <w:spacing w:line="240" w:lineRule="auto" w:before="120" w:after="0"/>
        <w:ind w:left="2851" w:right="1417" w:hanging="360"/>
        <w:jc w:val="left"/>
        <w:rPr>
          <w:sz w:val="24"/>
        </w:rPr>
      </w:pPr>
      <w:bookmarkStart w:name="3. Establishment of specialized settings" w:id="312"/>
      <w:bookmarkEnd w:id="312"/>
      <w:r>
        <w:rPr/>
      </w:r>
      <w:r>
        <w:rPr>
          <w:sz w:val="24"/>
        </w:rPr>
        <w:t>Establishment</w:t>
      </w:r>
      <w:r>
        <w:rPr>
          <w:spacing w:val="-6"/>
          <w:sz w:val="24"/>
        </w:rPr>
        <w:t> </w:t>
      </w:r>
      <w:r>
        <w:rPr>
          <w:sz w:val="24"/>
        </w:rPr>
        <w:t>of</w:t>
      </w:r>
      <w:r>
        <w:rPr>
          <w:spacing w:val="-7"/>
          <w:sz w:val="24"/>
        </w:rPr>
        <w:t> </w:t>
      </w:r>
      <w:r>
        <w:rPr>
          <w:sz w:val="24"/>
        </w:rPr>
        <w:t>specialized</w:t>
      </w:r>
      <w:r>
        <w:rPr>
          <w:spacing w:val="-6"/>
          <w:sz w:val="24"/>
        </w:rPr>
        <w:t> </w:t>
      </w:r>
      <w:r>
        <w:rPr>
          <w:sz w:val="24"/>
        </w:rPr>
        <w:t>settings</w:t>
      </w:r>
      <w:r>
        <w:rPr>
          <w:spacing w:val="-6"/>
          <w:sz w:val="24"/>
        </w:rPr>
        <w:t> </w:t>
      </w:r>
      <w:r>
        <w:rPr>
          <w:sz w:val="24"/>
        </w:rPr>
        <w:t>and</w:t>
      </w:r>
      <w:r>
        <w:rPr>
          <w:spacing w:val="-6"/>
          <w:sz w:val="24"/>
        </w:rPr>
        <w:t> </w:t>
      </w:r>
      <w:r>
        <w:rPr>
          <w:sz w:val="24"/>
        </w:rPr>
        <w:t>services,</w:t>
      </w:r>
      <w:r>
        <w:rPr>
          <w:spacing w:val="-4"/>
          <w:sz w:val="24"/>
        </w:rPr>
        <w:t> </w:t>
      </w:r>
      <w:r>
        <w:rPr>
          <w:sz w:val="24"/>
        </w:rPr>
        <w:t>including</w:t>
      </w:r>
      <w:r>
        <w:rPr>
          <w:spacing w:val="-9"/>
          <w:sz w:val="24"/>
        </w:rPr>
        <w:t> </w:t>
      </w:r>
      <w:r>
        <w:rPr>
          <w:sz w:val="24"/>
        </w:rPr>
        <w:t>crisis stabilization services, focused on the needs of young people experiencing SMI or SED.</w:t>
      </w:r>
    </w:p>
    <w:p>
      <w:pPr>
        <w:pStyle w:val="BodyText"/>
        <w:spacing w:before="161"/>
        <w:ind w:left="2040" w:right="1059"/>
      </w:pPr>
      <w:r>
        <w:rPr/>
        <w:drawing>
          <wp:anchor distT="0" distB="0" distL="0" distR="0" allowOverlap="1" layoutInCell="1" locked="0" behindDoc="0" simplePos="0" relativeHeight="15807488">
            <wp:simplePos x="0" y="0"/>
            <wp:positionH relativeFrom="page">
              <wp:posOffset>1825751</wp:posOffset>
            </wp:positionH>
            <wp:positionV relativeFrom="paragraph">
              <wp:posOffset>172886</wp:posOffset>
            </wp:positionV>
            <wp:extent cx="109727" cy="77723"/>
            <wp:effectExtent l="0" t="0" r="0" b="0"/>
            <wp:wrapNone/>
            <wp:docPr id="165" name="Image 165"/>
            <wp:cNvGraphicFramePr>
              <a:graphicFrameLocks/>
            </wp:cNvGraphicFramePr>
            <a:graphic>
              <a:graphicData uri="http://schemas.openxmlformats.org/drawingml/2006/picture">
                <pic:pic>
                  <pic:nvPicPr>
                    <pic:cNvPr id="165" name="Image 165"/>
                    <pic:cNvPicPr/>
                  </pic:nvPicPr>
                  <pic:blipFill>
                    <a:blip r:embed="rId97" cstate="print"/>
                    <a:stretch>
                      <a:fillRect/>
                    </a:stretch>
                  </pic:blipFill>
                  <pic:spPr>
                    <a:xfrm>
                      <a:off x="0" y="0"/>
                      <a:ext cx="109727" cy="77723"/>
                    </a:xfrm>
                    <a:prstGeom prst="rect">
                      <a:avLst/>
                    </a:prstGeom>
                  </pic:spPr>
                </pic:pic>
              </a:graphicData>
            </a:graphic>
          </wp:anchor>
        </w:drawing>
      </w:r>
      <w:bookmarkStart w:name="v. Health IT Plan. Implementation of the" w:id="313"/>
      <w:bookmarkEnd w:id="313"/>
      <w:r>
        <w:rPr/>
      </w:r>
      <w:r>
        <w:rPr>
          <w:b/>
        </w:rPr>
        <w:t>Health</w:t>
      </w:r>
      <w:r>
        <w:rPr>
          <w:b/>
          <w:spacing w:val="-4"/>
        </w:rPr>
        <w:t> </w:t>
      </w:r>
      <w:r>
        <w:rPr>
          <w:b/>
        </w:rPr>
        <w:t>IT</w:t>
      </w:r>
      <w:r>
        <w:rPr>
          <w:b/>
          <w:spacing w:val="-4"/>
        </w:rPr>
        <w:t> </w:t>
      </w:r>
      <w:r>
        <w:rPr>
          <w:b/>
        </w:rPr>
        <w:t>Plan.</w:t>
      </w:r>
      <w:r>
        <w:rPr>
          <w:b/>
          <w:spacing w:val="-2"/>
        </w:rPr>
        <w:t> </w:t>
      </w:r>
      <w:r>
        <w:rPr/>
        <w:t>Implementation</w:t>
      </w:r>
      <w:r>
        <w:rPr>
          <w:spacing w:val="-4"/>
        </w:rPr>
        <w:t> </w:t>
      </w:r>
      <w:r>
        <w:rPr/>
        <w:t>of</w:t>
      </w:r>
      <w:r>
        <w:rPr>
          <w:spacing w:val="-5"/>
        </w:rPr>
        <w:t> </w:t>
      </w:r>
      <w:r>
        <w:rPr/>
        <w:t>the</w:t>
      </w:r>
      <w:r>
        <w:rPr>
          <w:spacing w:val="-5"/>
        </w:rPr>
        <w:t> </w:t>
      </w:r>
      <w:r>
        <w:rPr/>
        <w:t>milestones</w:t>
      </w:r>
      <w:r>
        <w:rPr>
          <w:spacing w:val="-4"/>
        </w:rPr>
        <w:t> </w:t>
      </w:r>
      <w:r>
        <w:rPr/>
        <w:t>and</w:t>
      </w:r>
      <w:r>
        <w:rPr>
          <w:spacing w:val="-4"/>
        </w:rPr>
        <w:t> </w:t>
      </w:r>
      <w:r>
        <w:rPr/>
        <w:t>metrics</w:t>
      </w:r>
      <w:r>
        <w:rPr>
          <w:spacing w:val="-4"/>
        </w:rPr>
        <w:t> </w:t>
      </w:r>
      <w:r>
        <w:rPr/>
        <w:t>as</w:t>
      </w:r>
      <w:r>
        <w:rPr>
          <w:spacing w:val="-4"/>
        </w:rPr>
        <w:t> </w:t>
      </w:r>
      <w:r>
        <w:rPr/>
        <w:t>detailed</w:t>
      </w:r>
      <w:r>
        <w:rPr>
          <w:spacing w:val="-2"/>
        </w:rPr>
        <w:t> </w:t>
      </w:r>
      <w:r>
        <w:rPr/>
        <w:t>in STC 7.4.</w:t>
      </w:r>
    </w:p>
    <w:p>
      <w:pPr>
        <w:pStyle w:val="BodyText"/>
        <w:spacing w:before="199"/>
        <w:ind w:left="1411" w:right="1086"/>
      </w:pPr>
      <w:r>
        <w:rPr/>
        <w:drawing>
          <wp:anchor distT="0" distB="0" distL="0" distR="0" allowOverlap="1" layoutInCell="1" locked="0" behindDoc="0" simplePos="0" relativeHeight="15808000">
            <wp:simplePos x="0" y="0"/>
            <wp:positionH relativeFrom="page">
              <wp:posOffset>1431036</wp:posOffset>
            </wp:positionH>
            <wp:positionV relativeFrom="paragraph">
              <wp:posOffset>158916</wp:posOffset>
            </wp:positionV>
            <wp:extent cx="105155" cy="115823"/>
            <wp:effectExtent l="0" t="0" r="0" b="0"/>
            <wp:wrapNone/>
            <wp:docPr id="166" name="Image 166"/>
            <wp:cNvGraphicFramePr>
              <a:graphicFrameLocks/>
            </wp:cNvGraphicFramePr>
            <a:graphic>
              <a:graphicData uri="http://schemas.openxmlformats.org/drawingml/2006/picture">
                <pic:pic>
                  <pic:nvPicPr>
                    <pic:cNvPr id="166" name="Image 166"/>
                    <pic:cNvPicPr/>
                  </pic:nvPicPr>
                  <pic:blipFill>
                    <a:blip r:embed="rId109" cstate="print"/>
                    <a:stretch>
                      <a:fillRect/>
                    </a:stretch>
                  </pic:blipFill>
                  <pic:spPr>
                    <a:xfrm>
                      <a:off x="0" y="0"/>
                      <a:ext cx="105155" cy="115823"/>
                    </a:xfrm>
                    <a:prstGeom prst="rect">
                      <a:avLst/>
                    </a:prstGeom>
                  </pic:spPr>
                </pic:pic>
              </a:graphicData>
            </a:graphic>
          </wp:anchor>
        </w:drawing>
      </w:r>
      <w:bookmarkStart w:name="d. SMI/SED Financing Plan. As part of th" w:id="314"/>
      <w:bookmarkEnd w:id="314"/>
      <w:r>
        <w:rPr/>
      </w:r>
      <w:r>
        <w:rPr>
          <w:b/>
        </w:rPr>
        <w:t>SMI/SED Financing Plan. </w:t>
      </w:r>
      <w:r>
        <w:rPr/>
        <w:t>As part of the SMI/SED implementation plan required by STC 7.2(a), the Commonwealth must submit, within 90 calendar days after approval of the SMI/SED amendment to this Demonstration, a financing plan for approval</w:t>
      </w:r>
      <w:r>
        <w:rPr>
          <w:spacing w:val="-1"/>
        </w:rPr>
        <w:t> </w:t>
      </w:r>
      <w:r>
        <w:rPr/>
        <w:t>by</w:t>
      </w:r>
      <w:r>
        <w:rPr>
          <w:spacing w:val="-6"/>
        </w:rPr>
        <w:t> </w:t>
      </w:r>
      <w:r>
        <w:rPr/>
        <w:t>CMS.</w:t>
      </w:r>
      <w:r>
        <w:rPr>
          <w:spacing w:val="-1"/>
        </w:rPr>
        <w:t> </w:t>
      </w:r>
      <w:r>
        <w:rPr/>
        <w:t>Once approved,</w:t>
      </w:r>
      <w:r>
        <w:rPr>
          <w:spacing w:val="-1"/>
        </w:rPr>
        <w:t> </w:t>
      </w:r>
      <w:r>
        <w:rPr/>
        <w:t>the Financing</w:t>
      </w:r>
      <w:r>
        <w:rPr>
          <w:spacing w:val="-1"/>
        </w:rPr>
        <w:t> </w:t>
      </w:r>
      <w:r>
        <w:rPr/>
        <w:t>Plan</w:t>
      </w:r>
      <w:r>
        <w:rPr>
          <w:spacing w:val="-1"/>
        </w:rPr>
        <w:t> </w:t>
      </w:r>
      <w:r>
        <w:rPr/>
        <w:t>will</w:t>
      </w:r>
      <w:r>
        <w:rPr>
          <w:spacing w:val="-1"/>
        </w:rPr>
        <w:t> </w:t>
      </w:r>
      <w:r>
        <w:rPr/>
        <w:t>be</w:t>
      </w:r>
      <w:r>
        <w:rPr>
          <w:spacing w:val="-2"/>
        </w:rPr>
        <w:t> </w:t>
      </w:r>
      <w:r>
        <w:rPr/>
        <w:t>incorporated into</w:t>
      </w:r>
      <w:r>
        <w:rPr>
          <w:spacing w:val="-1"/>
        </w:rPr>
        <w:t> </w:t>
      </w:r>
      <w:r>
        <w:rPr/>
        <w:t>the STCs as part of the implementation plan in Attachment F and, once incorporated, may</w:t>
      </w:r>
      <w:r>
        <w:rPr>
          <w:spacing w:val="-1"/>
        </w:rPr>
        <w:t> </w:t>
      </w:r>
      <w:r>
        <w:rPr/>
        <w:t>only</w:t>
      </w:r>
      <w:r>
        <w:rPr>
          <w:spacing w:val="-1"/>
        </w:rPr>
        <w:t> </w:t>
      </w:r>
      <w:r>
        <w:rPr/>
        <w:t>be altered with CMS approval. Failure to submit an SMI/SED Financing Plan within 90 days of the approval of the SMI/SED amendment to this Demonstration</w:t>
      </w:r>
      <w:r>
        <w:rPr>
          <w:spacing w:val="-3"/>
        </w:rPr>
        <w:t> </w:t>
      </w:r>
      <w:r>
        <w:rPr/>
        <w:t>will</w:t>
      </w:r>
      <w:r>
        <w:rPr>
          <w:spacing w:val="-3"/>
        </w:rPr>
        <w:t> </w:t>
      </w:r>
      <w:r>
        <w:rPr/>
        <w:t>be</w:t>
      </w:r>
      <w:r>
        <w:rPr>
          <w:spacing w:val="-3"/>
        </w:rPr>
        <w:t> </w:t>
      </w:r>
      <w:r>
        <w:rPr/>
        <w:t>considered</w:t>
      </w:r>
      <w:r>
        <w:rPr>
          <w:spacing w:val="-3"/>
        </w:rPr>
        <w:t> </w:t>
      </w:r>
      <w:r>
        <w:rPr/>
        <w:t>a</w:t>
      </w:r>
      <w:r>
        <w:rPr>
          <w:spacing w:val="-3"/>
        </w:rPr>
        <w:t> </w:t>
      </w:r>
      <w:r>
        <w:rPr/>
        <w:t>material</w:t>
      </w:r>
      <w:r>
        <w:rPr>
          <w:spacing w:val="-3"/>
        </w:rPr>
        <w:t> </w:t>
      </w:r>
      <w:r>
        <w:rPr/>
        <w:t>failure</w:t>
      </w:r>
      <w:r>
        <w:rPr>
          <w:spacing w:val="-3"/>
        </w:rPr>
        <w:t> </w:t>
      </w:r>
      <w:r>
        <w:rPr/>
        <w:t>to</w:t>
      </w:r>
      <w:r>
        <w:rPr>
          <w:spacing w:val="-3"/>
        </w:rPr>
        <w:t> </w:t>
      </w:r>
      <w:r>
        <w:rPr/>
        <w:t>comply</w:t>
      </w:r>
      <w:r>
        <w:rPr>
          <w:spacing w:val="-7"/>
        </w:rPr>
        <w:t> </w:t>
      </w:r>
      <w:r>
        <w:rPr/>
        <w:t>with</w:t>
      </w:r>
      <w:r>
        <w:rPr>
          <w:spacing w:val="-3"/>
        </w:rPr>
        <w:t> </w:t>
      </w:r>
      <w:r>
        <w:rPr/>
        <w:t>the</w:t>
      </w:r>
      <w:r>
        <w:rPr>
          <w:spacing w:val="-3"/>
        </w:rPr>
        <w:t> </w:t>
      </w:r>
      <w:r>
        <w:rPr/>
        <w:t>terms</w:t>
      </w:r>
      <w:r>
        <w:rPr>
          <w:spacing w:val="-3"/>
        </w:rPr>
        <w:t> </w:t>
      </w:r>
      <w:r>
        <w:rPr/>
        <w:t>of</w:t>
      </w:r>
      <w:r>
        <w:rPr>
          <w:spacing w:val="-3"/>
        </w:rPr>
        <w:t> </w:t>
      </w:r>
      <w:r>
        <w:rPr/>
        <w:t>the demonstration project as described in 42 CFR 431.420(d) and, as such, would be grounds for termination or suspension of the SMI/SED program under this demonstration. Components of the financing plan must include:</w:t>
      </w:r>
    </w:p>
    <w:p>
      <w:pPr>
        <w:pStyle w:val="BodyText"/>
        <w:spacing w:before="10"/>
        <w:rPr>
          <w:sz w:val="20"/>
        </w:rPr>
      </w:pPr>
    </w:p>
    <w:p>
      <w:pPr>
        <w:pStyle w:val="BodyText"/>
        <w:ind w:left="2040" w:right="1141"/>
      </w:pPr>
      <w:r>
        <w:rPr/>
        <w:drawing>
          <wp:anchor distT="0" distB="0" distL="0" distR="0" allowOverlap="1" layoutInCell="1" locked="0" behindDoc="0" simplePos="0" relativeHeight="15808512">
            <wp:simplePos x="0" y="0"/>
            <wp:positionH relativeFrom="page">
              <wp:posOffset>1862327</wp:posOffset>
            </wp:positionH>
            <wp:positionV relativeFrom="paragraph">
              <wp:posOffset>32551</wp:posOffset>
            </wp:positionV>
            <wp:extent cx="73151" cy="115823"/>
            <wp:effectExtent l="0" t="0" r="0" b="0"/>
            <wp:wrapNone/>
            <wp:docPr id="167" name="Image 167"/>
            <wp:cNvGraphicFramePr>
              <a:graphicFrameLocks/>
            </wp:cNvGraphicFramePr>
            <a:graphic>
              <a:graphicData uri="http://schemas.openxmlformats.org/drawingml/2006/picture">
                <pic:pic>
                  <pic:nvPicPr>
                    <pic:cNvPr id="167" name="Image 167"/>
                    <pic:cNvPicPr/>
                  </pic:nvPicPr>
                  <pic:blipFill>
                    <a:blip r:embed="rId61" cstate="print"/>
                    <a:stretch>
                      <a:fillRect/>
                    </a:stretch>
                  </pic:blipFill>
                  <pic:spPr>
                    <a:xfrm>
                      <a:off x="0" y="0"/>
                      <a:ext cx="73151" cy="115823"/>
                    </a:xfrm>
                    <a:prstGeom prst="rect">
                      <a:avLst/>
                    </a:prstGeom>
                  </pic:spPr>
                </pic:pic>
              </a:graphicData>
            </a:graphic>
          </wp:anchor>
        </w:drawing>
      </w:r>
      <w:bookmarkStart w:name="i. A plan to increase the availability o" w:id="315"/>
      <w:bookmarkEnd w:id="315"/>
      <w:r>
        <w:rPr/>
      </w:r>
      <w:r>
        <w:rPr/>
        <w:t>A plan to increase the availability of non-hospital, non-residential crisis stabilization services, including but not limited to the following: services made available through crisis call centers, mobile crisis units, coordinated community</w:t>
      </w:r>
      <w:r>
        <w:rPr>
          <w:spacing w:val="-9"/>
        </w:rPr>
        <w:t> </w:t>
      </w:r>
      <w:r>
        <w:rPr/>
        <w:t>response</w:t>
      </w:r>
      <w:r>
        <w:rPr>
          <w:spacing w:val="-5"/>
        </w:rPr>
        <w:t> </w:t>
      </w:r>
      <w:r>
        <w:rPr/>
        <w:t>services</w:t>
      </w:r>
      <w:r>
        <w:rPr>
          <w:spacing w:val="-4"/>
        </w:rPr>
        <w:t> </w:t>
      </w:r>
      <w:r>
        <w:rPr/>
        <w:t>that</w:t>
      </w:r>
      <w:r>
        <w:rPr>
          <w:spacing w:val="-4"/>
        </w:rPr>
        <w:t> </w:t>
      </w:r>
      <w:r>
        <w:rPr/>
        <w:t>includes</w:t>
      </w:r>
      <w:r>
        <w:rPr>
          <w:spacing w:val="-4"/>
        </w:rPr>
        <w:t> </w:t>
      </w:r>
      <w:r>
        <w:rPr/>
        <w:t>law</w:t>
      </w:r>
      <w:r>
        <w:rPr>
          <w:spacing w:val="-3"/>
        </w:rPr>
        <w:t> </w:t>
      </w:r>
      <w:r>
        <w:rPr/>
        <w:t>enforcement</w:t>
      </w:r>
      <w:r>
        <w:rPr>
          <w:spacing w:val="-4"/>
        </w:rPr>
        <w:t> </w:t>
      </w:r>
      <w:r>
        <w:rPr/>
        <w:t>and</w:t>
      </w:r>
      <w:r>
        <w:rPr>
          <w:spacing w:val="-4"/>
        </w:rPr>
        <w:t> </w:t>
      </w:r>
      <w:r>
        <w:rPr/>
        <w:t>other</w:t>
      </w:r>
      <w:r>
        <w:rPr>
          <w:spacing w:val="-5"/>
        </w:rPr>
        <w:t> </w:t>
      </w:r>
      <w:r>
        <w:rPr/>
        <w:t>first responders, and observation/assessment centers; and</w:t>
      </w:r>
    </w:p>
    <w:p>
      <w:pPr>
        <w:pStyle w:val="BodyText"/>
        <w:spacing w:before="159"/>
        <w:ind w:left="2040" w:right="1059"/>
      </w:pPr>
      <w:r>
        <w:rPr/>
        <w:drawing>
          <wp:anchor distT="0" distB="0" distL="0" distR="0" allowOverlap="1" layoutInCell="1" locked="0" behindDoc="0" simplePos="0" relativeHeight="15809024">
            <wp:simplePos x="0" y="0"/>
            <wp:positionH relativeFrom="page">
              <wp:posOffset>1819655</wp:posOffset>
            </wp:positionH>
            <wp:positionV relativeFrom="paragraph">
              <wp:posOffset>133516</wp:posOffset>
            </wp:positionV>
            <wp:extent cx="115823" cy="115823"/>
            <wp:effectExtent l="0" t="0" r="0" b="0"/>
            <wp:wrapNone/>
            <wp:docPr id="168" name="Image 168"/>
            <wp:cNvGraphicFramePr>
              <a:graphicFrameLocks/>
            </wp:cNvGraphicFramePr>
            <a:graphic>
              <a:graphicData uri="http://schemas.openxmlformats.org/drawingml/2006/picture">
                <pic:pic>
                  <pic:nvPicPr>
                    <pic:cNvPr id="168" name="Image 168"/>
                    <pic:cNvPicPr/>
                  </pic:nvPicPr>
                  <pic:blipFill>
                    <a:blip r:embed="rId62" cstate="print"/>
                    <a:stretch>
                      <a:fillRect/>
                    </a:stretch>
                  </pic:blipFill>
                  <pic:spPr>
                    <a:xfrm>
                      <a:off x="0" y="0"/>
                      <a:ext cx="115823" cy="115823"/>
                    </a:xfrm>
                    <a:prstGeom prst="rect">
                      <a:avLst/>
                    </a:prstGeom>
                  </pic:spPr>
                </pic:pic>
              </a:graphicData>
            </a:graphic>
          </wp:anchor>
        </w:drawing>
      </w:r>
      <w:bookmarkStart w:name="ii. A plan to increase availability of o" w:id="316"/>
      <w:bookmarkEnd w:id="316"/>
      <w:r>
        <w:rPr/>
      </w:r>
      <w:r>
        <w:rPr/>
        <w:t>A</w:t>
      </w:r>
      <w:r>
        <w:rPr>
          <w:spacing w:val="-5"/>
        </w:rPr>
        <w:t> </w:t>
      </w:r>
      <w:r>
        <w:rPr/>
        <w:t>plan</w:t>
      </w:r>
      <w:r>
        <w:rPr>
          <w:spacing w:val="-4"/>
        </w:rPr>
        <w:t> </w:t>
      </w:r>
      <w:r>
        <w:rPr/>
        <w:t>to</w:t>
      </w:r>
      <w:r>
        <w:rPr>
          <w:spacing w:val="-4"/>
        </w:rPr>
        <w:t> </w:t>
      </w:r>
      <w:r>
        <w:rPr/>
        <w:t>increase</w:t>
      </w:r>
      <w:r>
        <w:rPr>
          <w:spacing w:val="-5"/>
        </w:rPr>
        <w:t> </w:t>
      </w:r>
      <w:r>
        <w:rPr/>
        <w:t>availability</w:t>
      </w:r>
      <w:r>
        <w:rPr>
          <w:spacing w:val="-11"/>
        </w:rPr>
        <w:t> </w:t>
      </w:r>
      <w:r>
        <w:rPr/>
        <w:t>of</w:t>
      </w:r>
      <w:r>
        <w:rPr>
          <w:spacing w:val="-5"/>
        </w:rPr>
        <w:t> </w:t>
      </w:r>
      <w:r>
        <w:rPr/>
        <w:t>ongoing</w:t>
      </w:r>
      <w:r>
        <w:rPr>
          <w:spacing w:val="-4"/>
        </w:rPr>
        <w:t> </w:t>
      </w:r>
      <w:r>
        <w:rPr/>
        <w:t>community-based</w:t>
      </w:r>
      <w:r>
        <w:rPr>
          <w:spacing w:val="-4"/>
        </w:rPr>
        <w:t> </w:t>
      </w:r>
      <w:r>
        <w:rPr/>
        <w:t>services</w:t>
      </w:r>
      <w:r>
        <w:rPr>
          <w:spacing w:val="-4"/>
        </w:rPr>
        <w:t> </w:t>
      </w:r>
      <w:r>
        <w:rPr/>
        <w:t>such</w:t>
      </w:r>
      <w:r>
        <w:rPr>
          <w:spacing w:val="-2"/>
        </w:rPr>
        <w:t> </w:t>
      </w:r>
      <w:r>
        <w:rPr/>
        <w:t>as intensive outpatient services, assertive community treatment, and services delivered in integrated care settings.</w:t>
      </w:r>
    </w:p>
    <w:p>
      <w:pPr>
        <w:pStyle w:val="BodyText"/>
        <w:spacing w:before="10"/>
        <w:rPr>
          <w:sz w:val="20"/>
        </w:rPr>
      </w:pPr>
    </w:p>
    <w:p>
      <w:pPr>
        <w:pStyle w:val="BodyText"/>
        <w:ind w:left="871" w:right="1086"/>
      </w:pPr>
      <w:r>
        <w:rPr/>
        <w:drawing>
          <wp:anchor distT="0" distB="0" distL="0" distR="0" allowOverlap="1" layoutInCell="1" locked="0" behindDoc="0" simplePos="0" relativeHeight="15809536">
            <wp:simplePos x="0" y="0"/>
            <wp:positionH relativeFrom="page">
              <wp:posOffset>973836</wp:posOffset>
            </wp:positionH>
            <wp:positionV relativeFrom="paragraph">
              <wp:posOffset>35612</wp:posOffset>
            </wp:positionV>
            <wp:extent cx="219455" cy="112763"/>
            <wp:effectExtent l="0" t="0" r="0" b="0"/>
            <wp:wrapNone/>
            <wp:docPr id="169" name="Image 169"/>
            <wp:cNvGraphicFramePr>
              <a:graphicFrameLocks/>
            </wp:cNvGraphicFramePr>
            <a:graphic>
              <a:graphicData uri="http://schemas.openxmlformats.org/drawingml/2006/picture">
                <pic:pic>
                  <pic:nvPicPr>
                    <pic:cNvPr id="169" name="Image 169"/>
                    <pic:cNvPicPr/>
                  </pic:nvPicPr>
                  <pic:blipFill>
                    <a:blip r:embed="rId110" cstate="print"/>
                    <a:stretch>
                      <a:fillRect/>
                    </a:stretch>
                  </pic:blipFill>
                  <pic:spPr>
                    <a:xfrm>
                      <a:off x="0" y="0"/>
                      <a:ext cx="219455" cy="112763"/>
                    </a:xfrm>
                    <a:prstGeom prst="rect">
                      <a:avLst/>
                    </a:prstGeom>
                  </pic:spPr>
                </pic:pic>
              </a:graphicData>
            </a:graphic>
          </wp:anchor>
        </w:drawing>
      </w:r>
      <w:bookmarkStart w:name="7.3. Maintenance of effort (MOE). The st" w:id="317"/>
      <w:bookmarkEnd w:id="317"/>
      <w:r>
        <w:rPr/>
      </w:r>
      <w:r>
        <w:rPr>
          <w:b/>
        </w:rPr>
        <w:t>Maintenance</w:t>
      </w:r>
      <w:r>
        <w:rPr>
          <w:b/>
          <w:spacing w:val="-3"/>
        </w:rPr>
        <w:t> </w:t>
      </w:r>
      <w:r>
        <w:rPr>
          <w:b/>
        </w:rPr>
        <w:t>of</w:t>
      </w:r>
      <w:r>
        <w:rPr>
          <w:b/>
          <w:spacing w:val="-1"/>
        </w:rPr>
        <w:t> </w:t>
      </w:r>
      <w:r>
        <w:rPr>
          <w:b/>
        </w:rPr>
        <w:t>effort</w:t>
      </w:r>
      <w:r>
        <w:rPr>
          <w:b/>
          <w:spacing w:val="-3"/>
        </w:rPr>
        <w:t> </w:t>
      </w:r>
      <w:r>
        <w:rPr>
          <w:b/>
        </w:rPr>
        <w:t>(MOE).</w:t>
      </w:r>
      <w:r>
        <w:rPr>
          <w:b/>
          <w:spacing w:val="-2"/>
        </w:rPr>
        <w:t> </w:t>
      </w:r>
      <w:r>
        <w:rPr/>
        <w:t>The</w:t>
      </w:r>
      <w:r>
        <w:rPr>
          <w:spacing w:val="-3"/>
        </w:rPr>
        <w:t> </w:t>
      </w:r>
      <w:r>
        <w:rPr/>
        <w:t>state</w:t>
      </w:r>
      <w:r>
        <w:rPr>
          <w:spacing w:val="-3"/>
        </w:rPr>
        <w:t> </w:t>
      </w:r>
      <w:r>
        <w:rPr/>
        <w:t>must</w:t>
      </w:r>
      <w:r>
        <w:rPr>
          <w:spacing w:val="-2"/>
        </w:rPr>
        <w:t> </w:t>
      </w:r>
      <w:r>
        <w:rPr/>
        <w:t>maintain</w:t>
      </w:r>
      <w:r>
        <w:rPr>
          <w:spacing w:val="-2"/>
        </w:rPr>
        <w:t> </w:t>
      </w:r>
      <w:r>
        <w:rPr/>
        <w:t>a</w:t>
      </w:r>
      <w:r>
        <w:rPr>
          <w:spacing w:val="-3"/>
        </w:rPr>
        <w:t> </w:t>
      </w:r>
      <w:r>
        <w:rPr/>
        <w:t>level</w:t>
      </w:r>
      <w:r>
        <w:rPr>
          <w:spacing w:val="-2"/>
        </w:rPr>
        <w:t> </w:t>
      </w:r>
      <w:r>
        <w:rPr/>
        <w:t>of</w:t>
      </w:r>
      <w:r>
        <w:rPr>
          <w:spacing w:val="-3"/>
        </w:rPr>
        <w:t> </w:t>
      </w:r>
      <w:r>
        <w:rPr/>
        <w:t>state</w:t>
      </w:r>
      <w:r>
        <w:rPr>
          <w:spacing w:val="-1"/>
        </w:rPr>
        <w:t> </w:t>
      </w:r>
      <w:r>
        <w:rPr/>
        <w:t>and</w:t>
      </w:r>
      <w:r>
        <w:rPr>
          <w:spacing w:val="-2"/>
        </w:rPr>
        <w:t> </w:t>
      </w:r>
      <w:r>
        <w:rPr/>
        <w:t>local</w:t>
      </w:r>
      <w:r>
        <w:rPr>
          <w:spacing w:val="-2"/>
        </w:rPr>
        <w:t> </w:t>
      </w:r>
      <w:r>
        <w:rPr/>
        <w:t>funding for outpatient community-based mental health services for Medicaid beneficiaries for the duration</w:t>
      </w:r>
      <w:r>
        <w:rPr>
          <w:spacing w:val="-3"/>
        </w:rPr>
        <w:t> </w:t>
      </w:r>
      <w:r>
        <w:rPr/>
        <w:t>of</w:t>
      </w:r>
      <w:r>
        <w:rPr>
          <w:spacing w:val="-4"/>
        </w:rPr>
        <w:t> </w:t>
      </w:r>
      <w:r>
        <w:rPr/>
        <w:t>the</w:t>
      </w:r>
      <w:r>
        <w:rPr>
          <w:spacing w:val="-4"/>
        </w:rPr>
        <w:t> </w:t>
      </w:r>
      <w:r>
        <w:rPr/>
        <w:t>SMI/SED</w:t>
      </w:r>
      <w:r>
        <w:rPr>
          <w:spacing w:val="-2"/>
        </w:rPr>
        <w:t> </w:t>
      </w:r>
      <w:r>
        <w:rPr/>
        <w:t>program</w:t>
      </w:r>
      <w:r>
        <w:rPr>
          <w:spacing w:val="-3"/>
        </w:rPr>
        <w:t> </w:t>
      </w:r>
      <w:r>
        <w:rPr/>
        <w:t>under</w:t>
      </w:r>
      <w:r>
        <w:rPr>
          <w:spacing w:val="-4"/>
        </w:rPr>
        <w:t> </w:t>
      </w:r>
      <w:r>
        <w:rPr/>
        <w:t>the</w:t>
      </w:r>
      <w:r>
        <w:rPr>
          <w:spacing w:val="-4"/>
        </w:rPr>
        <w:t> </w:t>
      </w:r>
      <w:r>
        <w:rPr/>
        <w:t>demonstration</w:t>
      </w:r>
      <w:r>
        <w:rPr>
          <w:spacing w:val="-3"/>
        </w:rPr>
        <w:t> </w:t>
      </w:r>
      <w:r>
        <w:rPr/>
        <w:t>that</w:t>
      </w:r>
      <w:r>
        <w:rPr>
          <w:spacing w:val="-3"/>
        </w:rPr>
        <w:t> </w:t>
      </w:r>
      <w:r>
        <w:rPr/>
        <w:t>is</w:t>
      </w:r>
      <w:r>
        <w:rPr>
          <w:spacing w:val="-3"/>
        </w:rPr>
        <w:t> </w:t>
      </w:r>
      <w:r>
        <w:rPr/>
        <w:t>no</w:t>
      </w:r>
      <w:r>
        <w:rPr>
          <w:spacing w:val="-3"/>
        </w:rPr>
        <w:t> </w:t>
      </w:r>
      <w:r>
        <w:rPr/>
        <w:t>less</w:t>
      </w:r>
      <w:r>
        <w:rPr>
          <w:spacing w:val="-3"/>
        </w:rPr>
        <w:t> </w:t>
      </w:r>
      <w:r>
        <w:rPr/>
        <w:t>than</w:t>
      </w:r>
      <w:r>
        <w:rPr>
          <w:spacing w:val="-3"/>
        </w:rPr>
        <w:t> </w:t>
      </w:r>
      <w:r>
        <w:rPr/>
        <w:t>the</w:t>
      </w:r>
      <w:r>
        <w:rPr>
          <w:spacing w:val="-4"/>
        </w:rPr>
        <w:t> </w:t>
      </w:r>
      <w:r>
        <w:rPr/>
        <w:t>amount of funding according to the baseline figures provided by the state at the time of application. The annual MOE will be reported and monitored as part of the annual monitoring report described in STC 16.5.</w:t>
      </w:r>
    </w:p>
    <w:p>
      <w:pPr>
        <w:pStyle w:val="BodyText"/>
        <w:spacing w:before="10"/>
        <w:rPr>
          <w:sz w:val="20"/>
        </w:rPr>
      </w:pPr>
    </w:p>
    <w:p>
      <w:pPr>
        <w:spacing w:before="0"/>
        <w:ind w:left="871" w:right="1059" w:firstLine="0"/>
        <w:jc w:val="left"/>
        <w:rPr>
          <w:sz w:val="24"/>
        </w:rPr>
      </w:pPr>
      <w:r>
        <w:rPr/>
        <w:drawing>
          <wp:anchor distT="0" distB="0" distL="0" distR="0" allowOverlap="1" layoutInCell="1" locked="0" behindDoc="0" simplePos="0" relativeHeight="15810048">
            <wp:simplePos x="0" y="0"/>
            <wp:positionH relativeFrom="page">
              <wp:posOffset>973836</wp:posOffset>
            </wp:positionH>
            <wp:positionV relativeFrom="paragraph">
              <wp:posOffset>35599</wp:posOffset>
            </wp:positionV>
            <wp:extent cx="219455" cy="112775"/>
            <wp:effectExtent l="0" t="0" r="0" b="0"/>
            <wp:wrapNone/>
            <wp:docPr id="170" name="Image 170"/>
            <wp:cNvGraphicFramePr>
              <a:graphicFrameLocks/>
            </wp:cNvGraphicFramePr>
            <a:graphic>
              <a:graphicData uri="http://schemas.openxmlformats.org/drawingml/2006/picture">
                <pic:pic>
                  <pic:nvPicPr>
                    <pic:cNvPr id="170" name="Image 170"/>
                    <pic:cNvPicPr/>
                  </pic:nvPicPr>
                  <pic:blipFill>
                    <a:blip r:embed="rId111" cstate="print"/>
                    <a:stretch>
                      <a:fillRect/>
                    </a:stretch>
                  </pic:blipFill>
                  <pic:spPr>
                    <a:xfrm>
                      <a:off x="0" y="0"/>
                      <a:ext cx="219455" cy="112775"/>
                    </a:xfrm>
                    <a:prstGeom prst="rect">
                      <a:avLst/>
                    </a:prstGeom>
                  </pic:spPr>
                </pic:pic>
              </a:graphicData>
            </a:graphic>
          </wp:anchor>
        </w:drawing>
      </w:r>
      <w:bookmarkStart w:name="7.4. SMI/SED Health Information Technolo" w:id="318"/>
      <w:bookmarkEnd w:id="318"/>
      <w:r>
        <w:rPr/>
      </w:r>
      <w:r>
        <w:rPr>
          <w:b/>
          <w:sz w:val="24"/>
        </w:rPr>
        <w:t>SMI/SED Health Information Technology Plan (“SMI/SED Health IT Plan”). </w:t>
      </w:r>
      <w:r>
        <w:rPr>
          <w:sz w:val="24"/>
        </w:rPr>
        <w:t>The SMI/SED Health IT plan applies to all states where the health IT functionalities are expected</w:t>
      </w:r>
      <w:r>
        <w:rPr>
          <w:spacing w:val="-4"/>
          <w:sz w:val="24"/>
        </w:rPr>
        <w:t> </w:t>
      </w:r>
      <w:r>
        <w:rPr>
          <w:sz w:val="24"/>
        </w:rPr>
        <w:t>to</w:t>
      </w:r>
      <w:r>
        <w:rPr>
          <w:spacing w:val="-4"/>
          <w:sz w:val="24"/>
        </w:rPr>
        <w:t> </w:t>
      </w:r>
      <w:r>
        <w:rPr>
          <w:sz w:val="24"/>
        </w:rPr>
        <w:t>impact</w:t>
      </w:r>
      <w:r>
        <w:rPr>
          <w:spacing w:val="-4"/>
          <w:sz w:val="24"/>
        </w:rPr>
        <w:t> </w:t>
      </w:r>
      <w:r>
        <w:rPr>
          <w:sz w:val="24"/>
        </w:rPr>
        <w:t>beneficiaries</w:t>
      </w:r>
      <w:r>
        <w:rPr>
          <w:spacing w:val="-4"/>
          <w:sz w:val="24"/>
        </w:rPr>
        <w:t> </w:t>
      </w:r>
      <w:r>
        <w:rPr>
          <w:sz w:val="24"/>
        </w:rPr>
        <w:t>within</w:t>
      </w:r>
      <w:r>
        <w:rPr>
          <w:spacing w:val="-4"/>
          <w:sz w:val="24"/>
        </w:rPr>
        <w:t> </w:t>
      </w:r>
      <w:r>
        <w:rPr>
          <w:sz w:val="24"/>
        </w:rPr>
        <w:t>the</w:t>
      </w:r>
      <w:r>
        <w:rPr>
          <w:spacing w:val="-4"/>
          <w:sz w:val="24"/>
        </w:rPr>
        <w:t> </w:t>
      </w:r>
      <w:r>
        <w:rPr>
          <w:sz w:val="24"/>
        </w:rPr>
        <w:t>demonstration.</w:t>
      </w:r>
      <w:r>
        <w:rPr>
          <w:spacing w:val="-4"/>
          <w:sz w:val="24"/>
        </w:rPr>
        <w:t> </w:t>
      </w:r>
      <w:r>
        <w:rPr>
          <w:sz w:val="24"/>
        </w:rPr>
        <w:t>As</w:t>
      </w:r>
      <w:r>
        <w:rPr>
          <w:spacing w:val="-4"/>
          <w:sz w:val="24"/>
        </w:rPr>
        <w:t> </w:t>
      </w:r>
      <w:r>
        <w:rPr>
          <w:sz w:val="24"/>
        </w:rPr>
        <w:t>outlined</w:t>
      </w:r>
      <w:r>
        <w:rPr>
          <w:spacing w:val="-4"/>
          <w:sz w:val="24"/>
        </w:rPr>
        <w:t> </w:t>
      </w:r>
      <w:r>
        <w:rPr>
          <w:sz w:val="24"/>
        </w:rPr>
        <w:t>in</w:t>
      </w:r>
      <w:r>
        <w:rPr>
          <w:spacing w:val="-4"/>
          <w:sz w:val="24"/>
        </w:rPr>
        <w:t> </w:t>
      </w:r>
      <w:r>
        <w:rPr>
          <w:sz w:val="24"/>
        </w:rPr>
        <w:t>SMDL</w:t>
      </w:r>
      <w:r>
        <w:rPr>
          <w:spacing w:val="-8"/>
          <w:sz w:val="24"/>
        </w:rPr>
        <w:t> </w:t>
      </w:r>
      <w:r>
        <w:rPr>
          <w:sz w:val="24"/>
        </w:rPr>
        <w:t>#18-011, states must submit to CMS the applicable SMI/SED Health IT Plans, to be included as</w:t>
      </w:r>
    </w:p>
    <w:p>
      <w:pPr>
        <w:spacing w:after="0"/>
        <w:jc w:val="left"/>
        <w:rPr>
          <w:sz w:val="24"/>
        </w:rPr>
        <w:sectPr>
          <w:pgSz w:w="12240" w:h="15840"/>
          <w:pgMar w:header="0" w:footer="1201" w:top="1360" w:bottom="1400" w:left="1200" w:right="400"/>
        </w:sectPr>
      </w:pPr>
    </w:p>
    <w:p>
      <w:pPr>
        <w:pStyle w:val="BodyText"/>
        <w:spacing w:before="79"/>
        <w:ind w:left="871" w:right="1059"/>
      </w:pPr>
      <w:r>
        <w:rPr/>
        <w:t>sections</w:t>
      </w:r>
      <w:r>
        <w:rPr>
          <w:spacing w:val="-4"/>
        </w:rPr>
        <w:t> </w:t>
      </w:r>
      <w:r>
        <w:rPr/>
        <w:t>of</w:t>
      </w:r>
      <w:r>
        <w:rPr>
          <w:spacing w:val="-5"/>
        </w:rPr>
        <w:t> </w:t>
      </w:r>
      <w:r>
        <w:rPr/>
        <w:t>the</w:t>
      </w:r>
      <w:r>
        <w:rPr>
          <w:spacing w:val="-5"/>
        </w:rPr>
        <w:t> </w:t>
      </w:r>
      <w:r>
        <w:rPr/>
        <w:t>associated Implementation</w:t>
      </w:r>
      <w:r>
        <w:rPr>
          <w:spacing w:val="-4"/>
        </w:rPr>
        <w:t> </w:t>
      </w:r>
      <w:r>
        <w:rPr/>
        <w:t>Plans</w:t>
      </w:r>
      <w:r>
        <w:rPr>
          <w:spacing w:val="-4"/>
        </w:rPr>
        <w:t> </w:t>
      </w:r>
      <w:r>
        <w:rPr/>
        <w:t>(see</w:t>
      </w:r>
      <w:r>
        <w:rPr>
          <w:spacing w:val="-5"/>
        </w:rPr>
        <w:t> </w:t>
      </w:r>
      <w:r>
        <w:rPr/>
        <w:t>STC</w:t>
      </w:r>
      <w:r>
        <w:rPr>
          <w:spacing w:val="-4"/>
        </w:rPr>
        <w:t> </w:t>
      </w:r>
      <w:r>
        <w:rPr/>
        <w:t>7.2(c),</w:t>
      </w:r>
      <w:r>
        <w:rPr>
          <w:spacing w:val="-4"/>
        </w:rPr>
        <w:t> </w:t>
      </w:r>
      <w:r>
        <w:rPr/>
        <w:t>to</w:t>
      </w:r>
      <w:r>
        <w:rPr>
          <w:spacing w:val="-4"/>
        </w:rPr>
        <w:t> </w:t>
      </w:r>
      <w:r>
        <w:rPr/>
        <w:t>develop</w:t>
      </w:r>
      <w:r>
        <w:rPr>
          <w:spacing w:val="-4"/>
        </w:rPr>
        <w:t> </w:t>
      </w:r>
      <w:r>
        <w:rPr/>
        <w:t>infrastructure and capabilities consistent with the requirements outlined in the SMI/SED demonstration </w:t>
      </w:r>
      <w:r>
        <w:rPr>
          <w:spacing w:val="-2"/>
        </w:rPr>
        <w:t>opportunity).</w:t>
      </w:r>
    </w:p>
    <w:p>
      <w:pPr>
        <w:pStyle w:val="BodyText"/>
        <w:spacing w:before="10"/>
        <w:rPr>
          <w:sz w:val="20"/>
        </w:rPr>
      </w:pPr>
    </w:p>
    <w:p>
      <w:pPr>
        <w:pStyle w:val="BodyText"/>
        <w:ind w:left="1411" w:right="1141"/>
      </w:pPr>
      <w:r>
        <w:rPr/>
        <w:drawing>
          <wp:anchor distT="0" distB="0" distL="0" distR="0" allowOverlap="1" layoutInCell="1" locked="0" behindDoc="0" simplePos="0" relativeHeight="15810560">
            <wp:simplePos x="0" y="0"/>
            <wp:positionH relativeFrom="page">
              <wp:posOffset>1431036</wp:posOffset>
            </wp:positionH>
            <wp:positionV relativeFrom="paragraph">
              <wp:posOffset>67603</wp:posOffset>
            </wp:positionV>
            <wp:extent cx="96011" cy="80771"/>
            <wp:effectExtent l="0" t="0" r="0" b="0"/>
            <wp:wrapNone/>
            <wp:docPr id="171" name="Image 171"/>
            <wp:cNvGraphicFramePr>
              <a:graphicFrameLocks/>
            </wp:cNvGraphicFramePr>
            <a:graphic>
              <a:graphicData uri="http://schemas.openxmlformats.org/drawingml/2006/picture">
                <pic:pic>
                  <pic:nvPicPr>
                    <pic:cNvPr id="171" name="Image 171"/>
                    <pic:cNvPicPr/>
                  </pic:nvPicPr>
                  <pic:blipFill>
                    <a:blip r:embed="rId29" cstate="print"/>
                    <a:stretch>
                      <a:fillRect/>
                    </a:stretch>
                  </pic:blipFill>
                  <pic:spPr>
                    <a:xfrm>
                      <a:off x="0" y="0"/>
                      <a:ext cx="96011" cy="80771"/>
                    </a:xfrm>
                    <a:prstGeom prst="rect">
                      <a:avLst/>
                    </a:prstGeom>
                  </pic:spPr>
                </pic:pic>
              </a:graphicData>
            </a:graphic>
          </wp:anchor>
        </w:drawing>
      </w:r>
      <w:bookmarkStart w:name="a. The SMI/SED Health IT Plan must detai" w:id="319"/>
      <w:bookmarkEnd w:id="319"/>
      <w:r>
        <w:rPr/>
      </w:r>
      <w:r>
        <w:rPr/>
        <w:t>The SMI/SED Health IT Plan must detail the necessary health IT capabilities in place to support beneficiary health outcomes to address the SMI/SED goals of the demonstration. The plans will also be used to identify</w:t>
      </w:r>
      <w:r>
        <w:rPr>
          <w:spacing w:val="-4"/>
        </w:rPr>
        <w:t> </w:t>
      </w:r>
      <w:r>
        <w:rPr/>
        <w:t>areas of health IT ecosystem improvement. The SMI/SED Health IT Plan must include implementation milestones</w:t>
      </w:r>
      <w:r>
        <w:rPr>
          <w:spacing w:val="-4"/>
        </w:rPr>
        <w:t> </w:t>
      </w:r>
      <w:r>
        <w:rPr/>
        <w:t>and</w:t>
      </w:r>
      <w:r>
        <w:rPr>
          <w:spacing w:val="-4"/>
        </w:rPr>
        <w:t> </w:t>
      </w:r>
      <w:r>
        <w:rPr/>
        <w:t>projected</w:t>
      </w:r>
      <w:r>
        <w:rPr>
          <w:spacing w:val="-2"/>
        </w:rPr>
        <w:t> </w:t>
      </w:r>
      <w:r>
        <w:rPr/>
        <w:t>dates</w:t>
      </w:r>
      <w:r>
        <w:rPr>
          <w:spacing w:val="-4"/>
        </w:rPr>
        <w:t> </w:t>
      </w:r>
      <w:r>
        <w:rPr/>
        <w:t>for</w:t>
      </w:r>
      <w:r>
        <w:rPr>
          <w:spacing w:val="-5"/>
        </w:rPr>
        <w:t> </w:t>
      </w:r>
      <w:r>
        <w:rPr/>
        <w:t>achieving</w:t>
      </w:r>
      <w:r>
        <w:rPr>
          <w:spacing w:val="-6"/>
        </w:rPr>
        <w:t> </w:t>
      </w:r>
      <w:r>
        <w:rPr/>
        <w:t>them</w:t>
      </w:r>
      <w:r>
        <w:rPr>
          <w:spacing w:val="-2"/>
        </w:rPr>
        <w:t> </w:t>
      </w:r>
      <w:r>
        <w:rPr/>
        <w:t>(see</w:t>
      </w:r>
      <w:r>
        <w:rPr>
          <w:spacing w:val="-5"/>
        </w:rPr>
        <w:t> </w:t>
      </w:r>
      <w:r>
        <w:rPr/>
        <w:t>Attachment</w:t>
      </w:r>
      <w:r>
        <w:rPr>
          <w:spacing w:val="-4"/>
        </w:rPr>
        <w:t> </w:t>
      </w:r>
      <w:r>
        <w:rPr/>
        <w:t>T),</w:t>
      </w:r>
      <w:r>
        <w:rPr>
          <w:spacing w:val="-4"/>
        </w:rPr>
        <w:t> </w:t>
      </w:r>
      <w:r>
        <w:rPr/>
        <w:t>and</w:t>
      </w:r>
      <w:r>
        <w:rPr>
          <w:spacing w:val="-2"/>
        </w:rPr>
        <w:t> </w:t>
      </w:r>
      <w:r>
        <w:rPr/>
        <w:t>must</w:t>
      </w:r>
      <w:r>
        <w:rPr>
          <w:spacing w:val="-4"/>
        </w:rPr>
        <w:t> </w:t>
      </w:r>
      <w:r>
        <w:rPr/>
        <w:t>be aligned with the</w:t>
      </w:r>
      <w:r>
        <w:rPr>
          <w:spacing w:val="-1"/>
        </w:rPr>
        <w:t> </w:t>
      </w:r>
      <w:r>
        <w:rPr/>
        <w:t>Commonwealth’s broader</w:t>
      </w:r>
      <w:r>
        <w:rPr>
          <w:spacing w:val="-1"/>
        </w:rPr>
        <w:t> </w:t>
      </w:r>
      <w:r>
        <w:rPr/>
        <w:t>State Medicaid Health IT</w:t>
      </w:r>
      <w:r>
        <w:rPr>
          <w:spacing w:val="-1"/>
        </w:rPr>
        <w:t> </w:t>
      </w:r>
      <w:r>
        <w:rPr/>
        <w:t>Plan (SMHP) and, if applicable, the Commonwealth’s Behavioral Health (BH) IT Health Plan.</w:t>
      </w:r>
    </w:p>
    <w:p>
      <w:pPr>
        <w:pStyle w:val="BodyText"/>
        <w:spacing w:before="10"/>
        <w:rPr>
          <w:sz w:val="20"/>
        </w:rPr>
      </w:pPr>
    </w:p>
    <w:p>
      <w:pPr>
        <w:pStyle w:val="BodyText"/>
        <w:ind w:left="1411" w:right="1059"/>
      </w:pPr>
      <w:r>
        <w:rPr/>
        <w:drawing>
          <wp:anchor distT="0" distB="0" distL="0" distR="0" allowOverlap="1" layoutInCell="1" locked="0" behindDoc="0" simplePos="0" relativeHeight="15811072">
            <wp:simplePos x="0" y="0"/>
            <wp:positionH relativeFrom="page">
              <wp:posOffset>1424939</wp:posOffset>
            </wp:positionH>
            <wp:positionV relativeFrom="paragraph">
              <wp:posOffset>32552</wp:posOffset>
            </wp:positionV>
            <wp:extent cx="111251" cy="115823"/>
            <wp:effectExtent l="0" t="0" r="0" b="0"/>
            <wp:wrapNone/>
            <wp:docPr id="172" name="Image 172"/>
            <wp:cNvGraphicFramePr>
              <a:graphicFrameLocks/>
            </wp:cNvGraphicFramePr>
            <a:graphic>
              <a:graphicData uri="http://schemas.openxmlformats.org/drawingml/2006/picture">
                <pic:pic>
                  <pic:nvPicPr>
                    <pic:cNvPr id="172" name="Image 172"/>
                    <pic:cNvPicPr/>
                  </pic:nvPicPr>
                  <pic:blipFill>
                    <a:blip r:embed="rId30" cstate="print"/>
                    <a:stretch>
                      <a:fillRect/>
                    </a:stretch>
                  </pic:blipFill>
                  <pic:spPr>
                    <a:xfrm>
                      <a:off x="0" y="0"/>
                      <a:ext cx="111251" cy="115823"/>
                    </a:xfrm>
                    <a:prstGeom prst="rect">
                      <a:avLst/>
                    </a:prstGeom>
                  </pic:spPr>
                </pic:pic>
              </a:graphicData>
            </a:graphic>
          </wp:anchor>
        </w:drawing>
      </w:r>
      <w:bookmarkStart w:name="b. The Commonwealth must include in its " w:id="320"/>
      <w:bookmarkEnd w:id="320"/>
      <w:r>
        <w:rPr/>
      </w:r>
      <w:r>
        <w:rPr/>
        <w:t>The Commonwealth must include in its Monitoring Protocol (see STC 7.5) an approach</w:t>
      </w:r>
      <w:r>
        <w:rPr>
          <w:spacing w:val="-4"/>
        </w:rPr>
        <w:t> </w:t>
      </w:r>
      <w:r>
        <w:rPr/>
        <w:t>to</w:t>
      </w:r>
      <w:r>
        <w:rPr>
          <w:spacing w:val="-4"/>
        </w:rPr>
        <w:t> </w:t>
      </w:r>
      <w:r>
        <w:rPr/>
        <w:t>monitoring</w:t>
      </w:r>
      <w:r>
        <w:rPr>
          <w:spacing w:val="-7"/>
        </w:rPr>
        <w:t> </w:t>
      </w:r>
      <w:r>
        <w:rPr/>
        <w:t>its</w:t>
      </w:r>
      <w:r>
        <w:rPr>
          <w:spacing w:val="-4"/>
        </w:rPr>
        <w:t> </w:t>
      </w:r>
      <w:r>
        <w:rPr/>
        <w:t>SMI/SED</w:t>
      </w:r>
      <w:r>
        <w:rPr>
          <w:spacing w:val="-5"/>
        </w:rPr>
        <w:t> </w:t>
      </w:r>
      <w:r>
        <w:rPr/>
        <w:t>Health</w:t>
      </w:r>
      <w:r>
        <w:rPr>
          <w:spacing w:val="-2"/>
        </w:rPr>
        <w:t> </w:t>
      </w:r>
      <w:r>
        <w:rPr/>
        <w:t>IT</w:t>
      </w:r>
      <w:r>
        <w:rPr>
          <w:spacing w:val="-5"/>
        </w:rPr>
        <w:t> </w:t>
      </w:r>
      <w:r>
        <w:rPr/>
        <w:t>Plan</w:t>
      </w:r>
      <w:r>
        <w:rPr>
          <w:spacing w:val="-4"/>
        </w:rPr>
        <w:t> </w:t>
      </w:r>
      <w:r>
        <w:rPr/>
        <w:t>which</w:t>
      </w:r>
      <w:r>
        <w:rPr>
          <w:spacing w:val="-4"/>
        </w:rPr>
        <w:t> </w:t>
      </w:r>
      <w:r>
        <w:rPr/>
        <w:t>will</w:t>
      </w:r>
      <w:r>
        <w:rPr>
          <w:spacing w:val="-4"/>
        </w:rPr>
        <w:t> </w:t>
      </w:r>
      <w:r>
        <w:rPr/>
        <w:t>include</w:t>
      </w:r>
      <w:r>
        <w:rPr>
          <w:spacing w:val="-5"/>
        </w:rPr>
        <w:t> </w:t>
      </w:r>
      <w:r>
        <w:rPr/>
        <w:t>performance metrics to be approved in advance by CMS.</w:t>
      </w:r>
    </w:p>
    <w:p>
      <w:pPr>
        <w:pStyle w:val="BodyText"/>
        <w:spacing w:before="10"/>
        <w:rPr>
          <w:sz w:val="20"/>
        </w:rPr>
      </w:pPr>
    </w:p>
    <w:p>
      <w:pPr>
        <w:pStyle w:val="BodyText"/>
        <w:ind w:left="1411" w:right="1182"/>
        <w:jc w:val="both"/>
      </w:pPr>
      <w:r>
        <w:rPr/>
        <w:drawing>
          <wp:anchor distT="0" distB="0" distL="0" distR="0" allowOverlap="1" layoutInCell="1" locked="0" behindDoc="0" simplePos="0" relativeHeight="15811584">
            <wp:simplePos x="0" y="0"/>
            <wp:positionH relativeFrom="page">
              <wp:posOffset>1431036</wp:posOffset>
            </wp:positionH>
            <wp:positionV relativeFrom="paragraph">
              <wp:posOffset>67603</wp:posOffset>
            </wp:positionV>
            <wp:extent cx="96011" cy="80771"/>
            <wp:effectExtent l="0" t="0" r="0" b="0"/>
            <wp:wrapNone/>
            <wp:docPr id="173" name="Image 173"/>
            <wp:cNvGraphicFramePr>
              <a:graphicFrameLocks/>
            </wp:cNvGraphicFramePr>
            <a:graphic>
              <a:graphicData uri="http://schemas.openxmlformats.org/drawingml/2006/picture">
                <pic:pic>
                  <pic:nvPicPr>
                    <pic:cNvPr id="173" name="Image 173"/>
                    <pic:cNvPicPr/>
                  </pic:nvPicPr>
                  <pic:blipFill>
                    <a:blip r:embed="rId35" cstate="print"/>
                    <a:stretch>
                      <a:fillRect/>
                    </a:stretch>
                  </pic:blipFill>
                  <pic:spPr>
                    <a:xfrm>
                      <a:off x="0" y="0"/>
                      <a:ext cx="96011" cy="80771"/>
                    </a:xfrm>
                    <a:prstGeom prst="rect">
                      <a:avLst/>
                    </a:prstGeom>
                  </pic:spPr>
                </pic:pic>
              </a:graphicData>
            </a:graphic>
          </wp:anchor>
        </w:drawing>
      </w:r>
      <w:bookmarkStart w:name="c. The Commonwealth must monitor progres" w:id="321"/>
      <w:bookmarkEnd w:id="321"/>
      <w:r>
        <w:rPr/>
      </w:r>
      <w:r>
        <w:rPr/>
        <w:t>The Commonwealth must monitor progress, each DY, on the implementation of its SMI/SED</w:t>
      </w:r>
      <w:r>
        <w:rPr>
          <w:spacing w:val="-5"/>
        </w:rPr>
        <w:t> </w:t>
      </w:r>
      <w:r>
        <w:rPr/>
        <w:t>Health</w:t>
      </w:r>
      <w:r>
        <w:rPr>
          <w:spacing w:val="-2"/>
        </w:rPr>
        <w:t> </w:t>
      </w:r>
      <w:r>
        <w:rPr/>
        <w:t>IT</w:t>
      </w:r>
      <w:r>
        <w:rPr>
          <w:spacing w:val="-5"/>
        </w:rPr>
        <w:t> </w:t>
      </w:r>
      <w:r>
        <w:rPr/>
        <w:t>Plan</w:t>
      </w:r>
      <w:r>
        <w:rPr>
          <w:spacing w:val="-4"/>
        </w:rPr>
        <w:t> </w:t>
      </w:r>
      <w:r>
        <w:rPr/>
        <w:t>in</w:t>
      </w:r>
      <w:r>
        <w:rPr>
          <w:spacing w:val="-4"/>
        </w:rPr>
        <w:t> </w:t>
      </w:r>
      <w:r>
        <w:rPr/>
        <w:t>relationship</w:t>
      </w:r>
      <w:r>
        <w:rPr>
          <w:spacing w:val="-4"/>
        </w:rPr>
        <w:t> </w:t>
      </w:r>
      <w:r>
        <w:rPr/>
        <w:t>to</w:t>
      </w:r>
      <w:r>
        <w:rPr>
          <w:spacing w:val="-4"/>
        </w:rPr>
        <w:t> </w:t>
      </w:r>
      <w:r>
        <w:rPr/>
        <w:t>its</w:t>
      </w:r>
      <w:r>
        <w:rPr>
          <w:spacing w:val="-4"/>
        </w:rPr>
        <w:t> </w:t>
      </w:r>
      <w:r>
        <w:rPr/>
        <w:t>milestones</w:t>
      </w:r>
      <w:r>
        <w:rPr>
          <w:spacing w:val="-4"/>
        </w:rPr>
        <w:t> </w:t>
      </w:r>
      <w:r>
        <w:rPr/>
        <w:t>and</w:t>
      </w:r>
      <w:r>
        <w:rPr>
          <w:spacing w:val="-4"/>
        </w:rPr>
        <w:t> </w:t>
      </w:r>
      <w:r>
        <w:rPr/>
        <w:t>timelines—and</w:t>
      </w:r>
      <w:r>
        <w:rPr>
          <w:spacing w:val="-4"/>
        </w:rPr>
        <w:t> </w:t>
      </w:r>
      <w:r>
        <w:rPr/>
        <w:t>report on its progress to CMS in an addendum to its Annual Report (see STC 16.5).</w:t>
      </w:r>
    </w:p>
    <w:p>
      <w:pPr>
        <w:pStyle w:val="BodyText"/>
        <w:spacing w:before="10"/>
        <w:rPr>
          <w:sz w:val="20"/>
        </w:rPr>
      </w:pPr>
    </w:p>
    <w:p>
      <w:pPr>
        <w:pStyle w:val="BodyText"/>
        <w:ind w:left="1411" w:right="1063"/>
      </w:pPr>
      <w:r>
        <w:rPr/>
        <w:drawing>
          <wp:anchor distT="0" distB="0" distL="0" distR="0" allowOverlap="1" layoutInCell="1" locked="0" behindDoc="0" simplePos="0" relativeHeight="15812096">
            <wp:simplePos x="0" y="0"/>
            <wp:positionH relativeFrom="page">
              <wp:posOffset>1431036</wp:posOffset>
            </wp:positionH>
            <wp:positionV relativeFrom="paragraph">
              <wp:posOffset>32551</wp:posOffset>
            </wp:positionV>
            <wp:extent cx="105155" cy="115823"/>
            <wp:effectExtent l="0" t="0" r="0" b="0"/>
            <wp:wrapNone/>
            <wp:docPr id="174" name="Image 174"/>
            <wp:cNvGraphicFramePr>
              <a:graphicFrameLocks/>
            </wp:cNvGraphicFramePr>
            <a:graphic>
              <a:graphicData uri="http://schemas.openxmlformats.org/drawingml/2006/picture">
                <pic:pic>
                  <pic:nvPicPr>
                    <pic:cNvPr id="174" name="Image 174"/>
                    <pic:cNvPicPr/>
                  </pic:nvPicPr>
                  <pic:blipFill>
                    <a:blip r:embed="rId36" cstate="print"/>
                    <a:stretch>
                      <a:fillRect/>
                    </a:stretch>
                  </pic:blipFill>
                  <pic:spPr>
                    <a:xfrm>
                      <a:off x="0" y="0"/>
                      <a:ext cx="105155" cy="115823"/>
                    </a:xfrm>
                    <a:prstGeom prst="rect">
                      <a:avLst/>
                    </a:prstGeom>
                  </pic:spPr>
                </pic:pic>
              </a:graphicData>
            </a:graphic>
          </wp:anchor>
        </w:drawing>
      </w:r>
      <w:bookmarkStart w:name="d. As applicable, the Commonwealth shoul" w:id="322"/>
      <w:bookmarkEnd w:id="322"/>
      <w:r>
        <w:rPr/>
      </w:r>
      <w:r>
        <w:rPr/>
        <w:t>As applicable, the Commonwealth should advance the standards identified in the ‘Interoperability</w:t>
      </w:r>
      <w:r>
        <w:rPr>
          <w:spacing w:val="-11"/>
        </w:rPr>
        <w:t> </w:t>
      </w:r>
      <w:r>
        <w:rPr/>
        <w:t>Standards</w:t>
      </w:r>
      <w:r>
        <w:rPr>
          <w:spacing w:val="-6"/>
        </w:rPr>
        <w:t> </w:t>
      </w:r>
      <w:r>
        <w:rPr/>
        <w:t>Advisory—Best</w:t>
      </w:r>
      <w:r>
        <w:rPr>
          <w:spacing w:val="-6"/>
        </w:rPr>
        <w:t> </w:t>
      </w:r>
      <w:r>
        <w:rPr/>
        <w:t>Available</w:t>
      </w:r>
      <w:r>
        <w:rPr>
          <w:spacing w:val="-7"/>
        </w:rPr>
        <w:t> </w:t>
      </w:r>
      <w:r>
        <w:rPr/>
        <w:t>Standards</w:t>
      </w:r>
      <w:r>
        <w:rPr>
          <w:spacing w:val="-6"/>
        </w:rPr>
        <w:t> </w:t>
      </w:r>
      <w:r>
        <w:rPr/>
        <w:t>and</w:t>
      </w:r>
      <w:r>
        <w:rPr>
          <w:spacing w:val="-3"/>
        </w:rPr>
        <w:t> </w:t>
      </w:r>
      <w:r>
        <w:rPr/>
        <w:t>Implementation Specifications’ (ISA) in developing and implementing the Commonwealth’s SMI/SED Health IT policies and in all related applicable State procurements (e.g., including managed care contracts) that are associated with this SMI/SED</w:t>
      </w:r>
      <w:r>
        <w:rPr>
          <w:spacing w:val="40"/>
        </w:rPr>
        <w:t> </w:t>
      </w:r>
      <w:r>
        <w:rPr/>
        <w:t>amendment to this Demonstration.</w:t>
      </w:r>
    </w:p>
    <w:p>
      <w:pPr>
        <w:pStyle w:val="BodyText"/>
        <w:spacing w:before="10"/>
        <w:rPr>
          <w:sz w:val="20"/>
        </w:rPr>
      </w:pPr>
    </w:p>
    <w:p>
      <w:pPr>
        <w:pStyle w:val="BodyText"/>
        <w:ind w:left="1411" w:right="1117"/>
      </w:pPr>
      <w:r>
        <w:rPr/>
        <w:drawing>
          <wp:anchor distT="0" distB="0" distL="0" distR="0" allowOverlap="1" layoutInCell="1" locked="0" behindDoc="0" simplePos="0" relativeHeight="15812608">
            <wp:simplePos x="0" y="0"/>
            <wp:positionH relativeFrom="page">
              <wp:posOffset>1431036</wp:posOffset>
            </wp:positionH>
            <wp:positionV relativeFrom="paragraph">
              <wp:posOffset>67616</wp:posOffset>
            </wp:positionV>
            <wp:extent cx="96011" cy="80759"/>
            <wp:effectExtent l="0" t="0" r="0" b="0"/>
            <wp:wrapNone/>
            <wp:docPr id="175" name="Image 175"/>
            <wp:cNvGraphicFramePr>
              <a:graphicFrameLocks/>
            </wp:cNvGraphicFramePr>
            <a:graphic>
              <a:graphicData uri="http://schemas.openxmlformats.org/drawingml/2006/picture">
                <pic:pic>
                  <pic:nvPicPr>
                    <pic:cNvPr id="175" name="Image 175"/>
                    <pic:cNvPicPr/>
                  </pic:nvPicPr>
                  <pic:blipFill>
                    <a:blip r:embed="rId37" cstate="print"/>
                    <a:stretch>
                      <a:fillRect/>
                    </a:stretch>
                  </pic:blipFill>
                  <pic:spPr>
                    <a:xfrm>
                      <a:off x="0" y="0"/>
                      <a:ext cx="96011" cy="80759"/>
                    </a:xfrm>
                    <a:prstGeom prst="rect">
                      <a:avLst/>
                    </a:prstGeom>
                  </pic:spPr>
                </pic:pic>
              </a:graphicData>
            </a:graphic>
          </wp:anchor>
        </w:drawing>
      </w:r>
      <w:bookmarkStart w:name="e. Where there are opportunities at the " w:id="323"/>
      <w:bookmarkEnd w:id="323"/>
      <w:r>
        <w:rPr/>
      </w:r>
      <w:r>
        <w:rPr/>
        <w:t>Where there are opportunities at the state- and provider-level (up to and including usage in MCO or ACO participation agreements) to leverage federal funds associated</w:t>
      </w:r>
      <w:r>
        <w:rPr>
          <w:spacing w:val="-3"/>
        </w:rPr>
        <w:t> </w:t>
      </w:r>
      <w:r>
        <w:rPr/>
        <w:t>with</w:t>
      </w:r>
      <w:r>
        <w:rPr>
          <w:spacing w:val="-3"/>
        </w:rPr>
        <w:t> </w:t>
      </w:r>
      <w:r>
        <w:rPr/>
        <w:t>a</w:t>
      </w:r>
      <w:r>
        <w:rPr>
          <w:spacing w:val="-4"/>
        </w:rPr>
        <w:t> </w:t>
      </w:r>
      <w:r>
        <w:rPr/>
        <w:t>standard</w:t>
      </w:r>
      <w:r>
        <w:rPr>
          <w:spacing w:val="-3"/>
        </w:rPr>
        <w:t> </w:t>
      </w:r>
      <w:r>
        <w:rPr/>
        <w:t>referenced</w:t>
      </w:r>
      <w:r>
        <w:rPr>
          <w:spacing w:val="-3"/>
        </w:rPr>
        <w:t> </w:t>
      </w:r>
      <w:r>
        <w:rPr/>
        <w:t>in</w:t>
      </w:r>
      <w:r>
        <w:rPr>
          <w:spacing w:val="-3"/>
        </w:rPr>
        <w:t> </w:t>
      </w:r>
      <w:r>
        <w:rPr/>
        <w:t>45</w:t>
      </w:r>
      <w:r>
        <w:rPr>
          <w:spacing w:val="-3"/>
        </w:rPr>
        <w:t> </w:t>
      </w:r>
      <w:r>
        <w:rPr/>
        <w:t>CFR</w:t>
      </w:r>
      <w:r>
        <w:rPr>
          <w:spacing w:val="-3"/>
        </w:rPr>
        <w:t> </w:t>
      </w:r>
      <w:r>
        <w:rPr/>
        <w:t>170</w:t>
      </w:r>
      <w:r>
        <w:rPr>
          <w:spacing w:val="-3"/>
        </w:rPr>
        <w:t> </w:t>
      </w:r>
      <w:r>
        <w:rPr/>
        <w:t>Subpart</w:t>
      </w:r>
      <w:r>
        <w:rPr>
          <w:spacing w:val="-3"/>
        </w:rPr>
        <w:t> </w:t>
      </w:r>
      <w:r>
        <w:rPr/>
        <w:t>B,</w:t>
      </w:r>
      <w:r>
        <w:rPr>
          <w:spacing w:val="-3"/>
        </w:rPr>
        <w:t> </w:t>
      </w:r>
      <w:r>
        <w:rPr/>
        <w:t>the</w:t>
      </w:r>
      <w:r>
        <w:rPr>
          <w:spacing w:val="-4"/>
        </w:rPr>
        <w:t> </w:t>
      </w:r>
      <w:r>
        <w:rPr/>
        <w:t>Commonwealth should use the federally-recognized standards, barring another compelling state </w:t>
      </w:r>
      <w:r>
        <w:rPr>
          <w:spacing w:val="-2"/>
        </w:rPr>
        <w:t>interest.</w:t>
      </w:r>
    </w:p>
    <w:p>
      <w:pPr>
        <w:pStyle w:val="BodyText"/>
        <w:spacing w:before="10"/>
        <w:rPr>
          <w:sz w:val="20"/>
        </w:rPr>
      </w:pPr>
    </w:p>
    <w:p>
      <w:pPr>
        <w:pStyle w:val="BodyText"/>
        <w:spacing w:before="1"/>
        <w:ind w:left="1411" w:right="1086"/>
      </w:pPr>
      <w:r>
        <w:rPr/>
        <w:drawing>
          <wp:anchor distT="0" distB="0" distL="0" distR="0" allowOverlap="1" layoutInCell="1" locked="0" behindDoc="0" simplePos="0" relativeHeight="15813120">
            <wp:simplePos x="0" y="0"/>
            <wp:positionH relativeFrom="page">
              <wp:posOffset>1431036</wp:posOffset>
            </wp:positionH>
            <wp:positionV relativeFrom="paragraph">
              <wp:posOffset>33186</wp:posOffset>
            </wp:positionV>
            <wp:extent cx="79247" cy="115823"/>
            <wp:effectExtent l="0" t="0" r="0" b="0"/>
            <wp:wrapNone/>
            <wp:docPr id="176" name="Image 176"/>
            <wp:cNvGraphicFramePr>
              <a:graphicFrameLocks/>
            </wp:cNvGraphicFramePr>
            <a:graphic>
              <a:graphicData uri="http://schemas.openxmlformats.org/drawingml/2006/picture">
                <pic:pic>
                  <pic:nvPicPr>
                    <pic:cNvPr id="176" name="Image 176"/>
                    <pic:cNvPicPr/>
                  </pic:nvPicPr>
                  <pic:blipFill>
                    <a:blip r:embed="rId42" cstate="print"/>
                    <a:stretch>
                      <a:fillRect/>
                    </a:stretch>
                  </pic:blipFill>
                  <pic:spPr>
                    <a:xfrm>
                      <a:off x="0" y="0"/>
                      <a:ext cx="79247" cy="115823"/>
                    </a:xfrm>
                    <a:prstGeom prst="rect">
                      <a:avLst/>
                    </a:prstGeom>
                  </pic:spPr>
                </pic:pic>
              </a:graphicData>
            </a:graphic>
          </wp:anchor>
        </w:drawing>
      </w:r>
      <w:bookmarkStart w:name="f. Where there are opportunities at the " w:id="324"/>
      <w:bookmarkEnd w:id="324"/>
      <w:r>
        <w:rPr/>
      </w:r>
      <w:r>
        <w:rPr/>
        <w:t>Where there are opportunities at the state- and provider-level to leverage federal funds</w:t>
      </w:r>
      <w:r>
        <w:rPr>
          <w:spacing w:val="-3"/>
        </w:rPr>
        <w:t> </w:t>
      </w:r>
      <w:r>
        <w:rPr/>
        <w:t>associated</w:t>
      </w:r>
      <w:r>
        <w:rPr>
          <w:spacing w:val="-3"/>
        </w:rPr>
        <w:t> </w:t>
      </w:r>
      <w:r>
        <w:rPr/>
        <w:t>with</w:t>
      </w:r>
      <w:r>
        <w:rPr>
          <w:spacing w:val="-3"/>
        </w:rPr>
        <w:t> </w:t>
      </w:r>
      <w:r>
        <w:rPr/>
        <w:t>a</w:t>
      </w:r>
      <w:r>
        <w:rPr>
          <w:spacing w:val="-4"/>
        </w:rPr>
        <w:t> </w:t>
      </w:r>
      <w:r>
        <w:rPr/>
        <w:t>standard</w:t>
      </w:r>
      <w:r>
        <w:rPr>
          <w:spacing w:val="-3"/>
        </w:rPr>
        <w:t> </w:t>
      </w:r>
      <w:r>
        <w:rPr/>
        <w:t>not</w:t>
      </w:r>
      <w:r>
        <w:rPr>
          <w:spacing w:val="-3"/>
        </w:rPr>
        <w:t> </w:t>
      </w:r>
      <w:r>
        <w:rPr/>
        <w:t>already</w:t>
      </w:r>
      <w:r>
        <w:rPr>
          <w:spacing w:val="-8"/>
        </w:rPr>
        <w:t> </w:t>
      </w:r>
      <w:r>
        <w:rPr/>
        <w:t>referenced</w:t>
      </w:r>
      <w:r>
        <w:rPr>
          <w:spacing w:val="-3"/>
        </w:rPr>
        <w:t> </w:t>
      </w:r>
      <w:r>
        <w:rPr/>
        <w:t>in</w:t>
      </w:r>
      <w:r>
        <w:rPr>
          <w:spacing w:val="-3"/>
        </w:rPr>
        <w:t> </w:t>
      </w:r>
      <w:r>
        <w:rPr/>
        <w:t>45</w:t>
      </w:r>
      <w:r>
        <w:rPr>
          <w:spacing w:val="-3"/>
        </w:rPr>
        <w:t> </w:t>
      </w:r>
      <w:r>
        <w:rPr/>
        <w:t>CFR</w:t>
      </w:r>
      <w:r>
        <w:rPr>
          <w:spacing w:val="-3"/>
        </w:rPr>
        <w:t> </w:t>
      </w:r>
      <w:r>
        <w:rPr/>
        <w:t>170</w:t>
      </w:r>
      <w:r>
        <w:rPr>
          <w:spacing w:val="-3"/>
        </w:rPr>
        <w:t> </w:t>
      </w:r>
      <w:r>
        <w:rPr/>
        <w:t>but</w:t>
      </w:r>
      <w:r>
        <w:rPr>
          <w:spacing w:val="-3"/>
        </w:rPr>
        <w:t> </w:t>
      </w:r>
      <w:r>
        <w:rPr/>
        <w:t>included in the ISA, the Commonwealth should use the federally-recognized ISA standards, barring no other compelling state interest.</w:t>
      </w:r>
    </w:p>
    <w:p>
      <w:pPr>
        <w:pStyle w:val="BodyText"/>
        <w:spacing w:before="10"/>
        <w:rPr>
          <w:sz w:val="20"/>
        </w:rPr>
      </w:pPr>
    </w:p>
    <w:p>
      <w:pPr>
        <w:pStyle w:val="BodyText"/>
        <w:ind w:left="1411"/>
        <w:jc w:val="both"/>
      </w:pPr>
      <w:r>
        <w:rPr/>
        <w:drawing>
          <wp:anchor distT="0" distB="0" distL="0" distR="0" allowOverlap="1" layoutInCell="1" locked="0" behindDoc="0" simplePos="0" relativeHeight="15813632">
            <wp:simplePos x="0" y="0"/>
            <wp:positionH relativeFrom="page">
              <wp:posOffset>1429511</wp:posOffset>
            </wp:positionH>
            <wp:positionV relativeFrom="paragraph">
              <wp:posOffset>67603</wp:posOffset>
            </wp:positionV>
            <wp:extent cx="105155" cy="111251"/>
            <wp:effectExtent l="0" t="0" r="0" b="0"/>
            <wp:wrapNone/>
            <wp:docPr id="177" name="Image 177"/>
            <wp:cNvGraphicFramePr>
              <a:graphicFrameLocks/>
            </wp:cNvGraphicFramePr>
            <a:graphic>
              <a:graphicData uri="http://schemas.openxmlformats.org/drawingml/2006/picture">
                <pic:pic>
                  <pic:nvPicPr>
                    <pic:cNvPr id="177" name="Image 177"/>
                    <pic:cNvPicPr/>
                  </pic:nvPicPr>
                  <pic:blipFill>
                    <a:blip r:embed="rId89" cstate="print"/>
                    <a:stretch>
                      <a:fillRect/>
                    </a:stretch>
                  </pic:blipFill>
                  <pic:spPr>
                    <a:xfrm>
                      <a:off x="0" y="0"/>
                      <a:ext cx="105155" cy="111251"/>
                    </a:xfrm>
                    <a:prstGeom prst="rect">
                      <a:avLst/>
                    </a:prstGeom>
                  </pic:spPr>
                </pic:pic>
              </a:graphicData>
            </a:graphic>
          </wp:anchor>
        </w:drawing>
      </w:r>
      <w:bookmarkStart w:name="g. Components of the SMI/SED Health IT P" w:id="325"/>
      <w:bookmarkEnd w:id="325"/>
      <w:r>
        <w:rPr/>
      </w:r>
      <w:r>
        <w:rPr/>
        <w:t>Components</w:t>
      </w:r>
      <w:r>
        <w:rPr>
          <w:spacing w:val="-2"/>
        </w:rPr>
        <w:t> </w:t>
      </w:r>
      <w:r>
        <w:rPr/>
        <w:t>of</w:t>
      </w:r>
      <w:r>
        <w:rPr>
          <w:spacing w:val="-3"/>
        </w:rPr>
        <w:t> </w:t>
      </w:r>
      <w:r>
        <w:rPr/>
        <w:t>the</w:t>
      </w:r>
      <w:r>
        <w:rPr>
          <w:spacing w:val="-2"/>
        </w:rPr>
        <w:t> </w:t>
      </w:r>
      <w:r>
        <w:rPr/>
        <w:t>SMI/SED</w:t>
      </w:r>
      <w:r>
        <w:rPr>
          <w:spacing w:val="-3"/>
        </w:rPr>
        <w:t> </w:t>
      </w:r>
      <w:r>
        <w:rPr/>
        <w:t>Health</w:t>
      </w:r>
      <w:r>
        <w:rPr>
          <w:spacing w:val="1"/>
        </w:rPr>
        <w:t> </w:t>
      </w:r>
      <w:r>
        <w:rPr/>
        <w:t>IT</w:t>
      </w:r>
      <w:r>
        <w:rPr>
          <w:spacing w:val="-3"/>
        </w:rPr>
        <w:t> </w:t>
      </w:r>
      <w:r>
        <w:rPr/>
        <w:t>Plan</w:t>
      </w:r>
      <w:r>
        <w:rPr>
          <w:spacing w:val="-1"/>
        </w:rPr>
        <w:t> </w:t>
      </w:r>
      <w:r>
        <w:rPr>
          <w:spacing w:val="-2"/>
        </w:rPr>
        <w:t>include:</w:t>
      </w:r>
    </w:p>
    <w:p>
      <w:pPr>
        <w:pStyle w:val="BodyText"/>
        <w:spacing w:before="10"/>
        <w:rPr>
          <w:sz w:val="20"/>
        </w:rPr>
      </w:pPr>
    </w:p>
    <w:p>
      <w:pPr>
        <w:pStyle w:val="BodyText"/>
        <w:ind w:left="2040" w:right="1059"/>
      </w:pPr>
      <w:r>
        <w:rPr/>
        <w:drawing>
          <wp:anchor distT="0" distB="0" distL="0" distR="0" allowOverlap="1" layoutInCell="1" locked="0" behindDoc="0" simplePos="0" relativeHeight="15814144">
            <wp:simplePos x="0" y="0"/>
            <wp:positionH relativeFrom="page">
              <wp:posOffset>1862327</wp:posOffset>
            </wp:positionH>
            <wp:positionV relativeFrom="paragraph">
              <wp:posOffset>32551</wp:posOffset>
            </wp:positionV>
            <wp:extent cx="73151" cy="115823"/>
            <wp:effectExtent l="0" t="0" r="0" b="0"/>
            <wp:wrapNone/>
            <wp:docPr id="178" name="Image 178"/>
            <wp:cNvGraphicFramePr>
              <a:graphicFrameLocks/>
            </wp:cNvGraphicFramePr>
            <a:graphic>
              <a:graphicData uri="http://schemas.openxmlformats.org/drawingml/2006/picture">
                <pic:pic>
                  <pic:nvPicPr>
                    <pic:cNvPr id="178" name="Image 178"/>
                    <pic:cNvPicPr/>
                  </pic:nvPicPr>
                  <pic:blipFill>
                    <a:blip r:embed="rId112" cstate="print"/>
                    <a:stretch>
                      <a:fillRect/>
                    </a:stretch>
                  </pic:blipFill>
                  <pic:spPr>
                    <a:xfrm>
                      <a:off x="0" y="0"/>
                      <a:ext cx="73151" cy="115823"/>
                    </a:xfrm>
                    <a:prstGeom prst="rect">
                      <a:avLst/>
                    </a:prstGeom>
                  </pic:spPr>
                </pic:pic>
              </a:graphicData>
            </a:graphic>
          </wp:anchor>
        </w:drawing>
      </w:r>
      <w:bookmarkStart w:name="i. The SMI/SED Health IT Plan will descr" w:id="326"/>
      <w:bookmarkEnd w:id="326"/>
      <w:r>
        <w:rPr/>
      </w:r>
      <w:r>
        <w:rPr/>
        <w:t>The</w:t>
      </w:r>
      <w:r>
        <w:rPr>
          <w:spacing w:val="-3"/>
        </w:rPr>
        <w:t> </w:t>
      </w:r>
      <w:r>
        <w:rPr/>
        <w:t>SMI/SED</w:t>
      </w:r>
      <w:r>
        <w:rPr>
          <w:spacing w:val="-3"/>
        </w:rPr>
        <w:t> </w:t>
      </w:r>
      <w:r>
        <w:rPr/>
        <w:t>Health IT Plan</w:t>
      </w:r>
      <w:r>
        <w:rPr>
          <w:spacing w:val="-2"/>
        </w:rPr>
        <w:t> </w:t>
      </w:r>
      <w:r>
        <w:rPr/>
        <w:t>will</w:t>
      </w:r>
      <w:r>
        <w:rPr>
          <w:spacing w:val="-2"/>
        </w:rPr>
        <w:t> </w:t>
      </w:r>
      <w:r>
        <w:rPr/>
        <w:t>describe</w:t>
      </w:r>
      <w:r>
        <w:rPr>
          <w:spacing w:val="-3"/>
        </w:rPr>
        <w:t> </w:t>
      </w:r>
      <w:r>
        <w:rPr/>
        <w:t>the</w:t>
      </w:r>
      <w:r>
        <w:rPr>
          <w:spacing w:val="-3"/>
        </w:rPr>
        <w:t> </w:t>
      </w:r>
      <w:r>
        <w:rPr/>
        <w:t>Commonwealth’s</w:t>
      </w:r>
      <w:r>
        <w:rPr>
          <w:spacing w:val="-2"/>
        </w:rPr>
        <w:t> </w:t>
      </w:r>
      <w:r>
        <w:rPr/>
        <w:t>current</w:t>
      </w:r>
      <w:r>
        <w:rPr>
          <w:spacing w:val="-2"/>
        </w:rPr>
        <w:t> </w:t>
      </w:r>
      <w:r>
        <w:rPr/>
        <w:t>and future capabilities to support providers implementing or expanding health IT functionality</w:t>
      </w:r>
      <w:r>
        <w:rPr>
          <w:spacing w:val="-8"/>
        </w:rPr>
        <w:t> </w:t>
      </w:r>
      <w:r>
        <w:rPr/>
        <w:t>in</w:t>
      </w:r>
      <w:r>
        <w:rPr>
          <w:spacing w:val="-3"/>
        </w:rPr>
        <w:t> </w:t>
      </w:r>
      <w:r>
        <w:rPr/>
        <w:t>the</w:t>
      </w:r>
      <w:r>
        <w:rPr>
          <w:spacing w:val="-4"/>
        </w:rPr>
        <w:t> </w:t>
      </w:r>
      <w:r>
        <w:rPr/>
        <w:t>following</w:t>
      </w:r>
      <w:r>
        <w:rPr>
          <w:spacing w:val="-6"/>
        </w:rPr>
        <w:t> </w:t>
      </w:r>
      <w:r>
        <w:rPr/>
        <w:t>areas:</w:t>
      </w:r>
      <w:r>
        <w:rPr>
          <w:spacing w:val="-3"/>
        </w:rPr>
        <w:t> </w:t>
      </w:r>
      <w:r>
        <w:rPr/>
        <w:t>1)</w:t>
      </w:r>
      <w:r>
        <w:rPr>
          <w:spacing w:val="-2"/>
        </w:rPr>
        <w:t> </w:t>
      </w:r>
      <w:r>
        <w:rPr/>
        <w:t>Referrals,</w:t>
      </w:r>
      <w:r>
        <w:rPr>
          <w:spacing w:val="-1"/>
        </w:rPr>
        <w:t> </w:t>
      </w:r>
      <w:r>
        <w:rPr/>
        <w:t>2)</w:t>
      </w:r>
      <w:r>
        <w:rPr>
          <w:spacing w:val="-4"/>
        </w:rPr>
        <w:t> </w:t>
      </w:r>
      <w:r>
        <w:rPr/>
        <w:t>Electronic</w:t>
      </w:r>
      <w:r>
        <w:rPr>
          <w:spacing w:val="-2"/>
        </w:rPr>
        <w:t> </w:t>
      </w:r>
      <w:r>
        <w:rPr/>
        <w:t>care</w:t>
      </w:r>
      <w:r>
        <w:rPr>
          <w:spacing w:val="-4"/>
        </w:rPr>
        <w:t> </w:t>
      </w:r>
      <w:r>
        <w:rPr/>
        <w:t>plans</w:t>
      </w:r>
      <w:r>
        <w:rPr>
          <w:spacing w:val="-3"/>
        </w:rPr>
        <w:t> </w:t>
      </w:r>
      <w:r>
        <w:rPr/>
        <w:t>and medical records, 3) Consent, 4) Interoperability, 5) Telehealth, 6) Alerting/analytics, and 7) Identity management.</w:t>
      </w:r>
    </w:p>
    <w:p>
      <w:pPr>
        <w:spacing w:after="0"/>
        <w:sectPr>
          <w:pgSz w:w="12240" w:h="15840"/>
          <w:pgMar w:header="0" w:footer="1201" w:top="1360" w:bottom="1400" w:left="1200" w:right="400"/>
        </w:sectPr>
      </w:pPr>
    </w:p>
    <w:p>
      <w:pPr>
        <w:pStyle w:val="BodyText"/>
        <w:spacing w:before="79"/>
        <w:ind w:left="2040" w:right="1059"/>
      </w:pPr>
      <w:r>
        <w:rPr/>
        <w:drawing>
          <wp:anchor distT="0" distB="0" distL="0" distR="0" allowOverlap="1" layoutInCell="1" locked="0" behindDoc="0" simplePos="0" relativeHeight="15814656">
            <wp:simplePos x="0" y="0"/>
            <wp:positionH relativeFrom="page">
              <wp:posOffset>1819655</wp:posOffset>
            </wp:positionH>
            <wp:positionV relativeFrom="paragraph">
              <wp:posOffset>82717</wp:posOffset>
            </wp:positionV>
            <wp:extent cx="115823" cy="115823"/>
            <wp:effectExtent l="0" t="0" r="0" b="0"/>
            <wp:wrapNone/>
            <wp:docPr id="179" name="Image 179"/>
            <wp:cNvGraphicFramePr>
              <a:graphicFrameLocks/>
            </wp:cNvGraphicFramePr>
            <a:graphic>
              <a:graphicData uri="http://schemas.openxmlformats.org/drawingml/2006/picture">
                <pic:pic>
                  <pic:nvPicPr>
                    <pic:cNvPr id="179" name="Image 179"/>
                    <pic:cNvPicPr/>
                  </pic:nvPicPr>
                  <pic:blipFill>
                    <a:blip r:embed="rId62" cstate="print"/>
                    <a:stretch>
                      <a:fillRect/>
                    </a:stretch>
                  </pic:blipFill>
                  <pic:spPr>
                    <a:xfrm>
                      <a:off x="0" y="0"/>
                      <a:ext cx="115823" cy="115823"/>
                    </a:xfrm>
                    <a:prstGeom prst="rect">
                      <a:avLst/>
                    </a:prstGeom>
                  </pic:spPr>
                </pic:pic>
              </a:graphicData>
            </a:graphic>
          </wp:anchor>
        </w:drawing>
      </w:r>
      <w:bookmarkStart w:name="ii. In developing the SMI/SED Health IT " w:id="327"/>
      <w:bookmarkEnd w:id="327"/>
      <w:r>
        <w:rPr/>
      </w:r>
      <w:r>
        <w:rPr/>
        <w:t>In</w:t>
      </w:r>
      <w:r>
        <w:rPr>
          <w:spacing w:val="-4"/>
        </w:rPr>
        <w:t> </w:t>
      </w:r>
      <w:r>
        <w:rPr/>
        <w:t>developing</w:t>
      </w:r>
      <w:r>
        <w:rPr>
          <w:spacing w:val="-6"/>
        </w:rPr>
        <w:t> </w:t>
      </w:r>
      <w:r>
        <w:rPr/>
        <w:t>the</w:t>
      </w:r>
      <w:r>
        <w:rPr>
          <w:spacing w:val="-5"/>
        </w:rPr>
        <w:t> </w:t>
      </w:r>
      <w:r>
        <w:rPr/>
        <w:t>SMI/SED</w:t>
      </w:r>
      <w:r>
        <w:rPr>
          <w:spacing w:val="-5"/>
        </w:rPr>
        <w:t> </w:t>
      </w:r>
      <w:r>
        <w:rPr/>
        <w:t>Health</w:t>
      </w:r>
      <w:r>
        <w:rPr>
          <w:spacing w:val="-2"/>
        </w:rPr>
        <w:t> </w:t>
      </w:r>
      <w:r>
        <w:rPr/>
        <w:t>IT</w:t>
      </w:r>
      <w:r>
        <w:rPr>
          <w:spacing w:val="-5"/>
        </w:rPr>
        <w:t> </w:t>
      </w:r>
      <w:r>
        <w:rPr/>
        <w:t>Plan,</w:t>
      </w:r>
      <w:r>
        <w:rPr>
          <w:spacing w:val="-4"/>
        </w:rPr>
        <w:t> </w:t>
      </w:r>
      <w:r>
        <w:rPr/>
        <w:t>states</w:t>
      </w:r>
      <w:r>
        <w:rPr>
          <w:spacing w:val="-2"/>
        </w:rPr>
        <w:t> </w:t>
      </w:r>
      <w:r>
        <w:rPr/>
        <w:t>should</w:t>
      </w:r>
      <w:r>
        <w:rPr>
          <w:spacing w:val="-4"/>
        </w:rPr>
        <w:t> </w:t>
      </w:r>
      <w:r>
        <w:rPr/>
        <w:t>use</w:t>
      </w:r>
      <w:r>
        <w:rPr>
          <w:spacing w:val="-5"/>
        </w:rPr>
        <w:t> </w:t>
      </w:r>
      <w:r>
        <w:rPr/>
        <w:t>the</w:t>
      </w:r>
      <w:r>
        <w:rPr>
          <w:spacing w:val="-5"/>
        </w:rPr>
        <w:t> </w:t>
      </w:r>
      <w:r>
        <w:rPr/>
        <w:t>following </w:t>
      </w:r>
      <w:r>
        <w:rPr>
          <w:spacing w:val="-2"/>
        </w:rPr>
        <w:t>resources:</w:t>
      </w:r>
    </w:p>
    <w:p>
      <w:pPr>
        <w:pStyle w:val="ListParagraph"/>
        <w:numPr>
          <w:ilvl w:val="0"/>
          <w:numId w:val="27"/>
        </w:numPr>
        <w:tabs>
          <w:tab w:pos="2851" w:val="left" w:leader="none"/>
        </w:tabs>
        <w:spacing w:line="240" w:lineRule="auto" w:before="161" w:after="0"/>
        <w:ind w:left="2851" w:right="1249" w:hanging="360"/>
        <w:jc w:val="left"/>
        <w:rPr>
          <w:sz w:val="24"/>
        </w:rPr>
      </w:pPr>
      <w:bookmarkStart w:name="1. States may use federal resources avai" w:id="328"/>
      <w:bookmarkEnd w:id="328"/>
      <w:r>
        <w:rPr/>
      </w:r>
      <w:r>
        <w:rPr>
          <w:sz w:val="24"/>
        </w:rPr>
        <w:t>States may use federal resources available on Health IT.Gov (</w:t>
      </w:r>
      <w:hyperlink r:id="rId99">
        <w:r>
          <w:rPr>
            <w:sz w:val="24"/>
            <w:u w:val="single"/>
          </w:rPr>
          <w:t>https://www.healthit.gov/topic/behavioral-health</w:t>
        </w:r>
      </w:hyperlink>
      <w:r>
        <w:rPr>
          <w:sz w:val="24"/>
        </w:rPr>
        <w:t>)</w:t>
      </w:r>
      <w:r>
        <w:rPr>
          <w:spacing w:val="-13"/>
          <w:sz w:val="24"/>
        </w:rPr>
        <w:t> </w:t>
      </w:r>
      <w:r>
        <w:rPr>
          <w:sz w:val="24"/>
        </w:rPr>
        <w:t>including</w:t>
      </w:r>
      <w:r>
        <w:rPr>
          <w:spacing w:val="-15"/>
          <w:sz w:val="24"/>
        </w:rPr>
        <w:t> </w:t>
      </w:r>
      <w:r>
        <w:rPr>
          <w:sz w:val="24"/>
        </w:rPr>
        <w:t>but</w:t>
      </w:r>
      <w:r>
        <w:rPr>
          <w:spacing w:val="-12"/>
          <w:sz w:val="24"/>
        </w:rPr>
        <w:t> </w:t>
      </w:r>
      <w:r>
        <w:rPr>
          <w:sz w:val="24"/>
        </w:rPr>
        <w:t>not limited to “Behavioral Health and Physical Health Integration” and “Section 34: Opioid Epidemic and Health IT” </w:t>
      </w:r>
      <w:r>
        <w:rPr>
          <w:spacing w:val="-2"/>
          <w:sz w:val="24"/>
        </w:rPr>
        <w:t>(</w:t>
      </w:r>
      <w:r>
        <w:rPr>
          <w:spacing w:val="-2"/>
          <w:sz w:val="24"/>
          <w:u w:val="single"/>
        </w:rPr>
        <w:t>https</w:t>
      </w:r>
      <w:hyperlink r:id="rId100">
        <w:r>
          <w:rPr>
            <w:spacing w:val="-2"/>
            <w:sz w:val="24"/>
            <w:u w:val="single"/>
          </w:rPr>
          <w:t>://w</w:t>
        </w:r>
      </w:hyperlink>
      <w:r>
        <w:rPr>
          <w:spacing w:val="-2"/>
          <w:sz w:val="24"/>
          <w:u w:val="single"/>
        </w:rPr>
        <w:t>ww.</w:t>
      </w:r>
      <w:hyperlink r:id="rId100">
        <w:r>
          <w:rPr>
            <w:spacing w:val="-2"/>
            <w:sz w:val="24"/>
            <w:u w:val="single"/>
          </w:rPr>
          <w:t>healthit.gov/playbook/health-information-exchange/).</w:t>
        </w:r>
      </w:hyperlink>
    </w:p>
    <w:p>
      <w:pPr>
        <w:pStyle w:val="ListParagraph"/>
        <w:numPr>
          <w:ilvl w:val="0"/>
          <w:numId w:val="27"/>
        </w:numPr>
        <w:tabs>
          <w:tab w:pos="2851" w:val="left" w:leader="none"/>
        </w:tabs>
        <w:spacing w:line="240" w:lineRule="auto" w:before="120" w:after="0"/>
        <w:ind w:left="2851" w:right="1237" w:hanging="360"/>
        <w:jc w:val="left"/>
        <w:rPr>
          <w:sz w:val="24"/>
        </w:rPr>
      </w:pPr>
      <w:bookmarkStart w:name="2. States may also use the CMS 1115 Heal" w:id="329"/>
      <w:bookmarkEnd w:id="329"/>
      <w:r>
        <w:rPr/>
      </w:r>
      <w:r>
        <w:rPr>
          <w:sz w:val="24"/>
        </w:rPr>
        <w:t>States may</w:t>
      </w:r>
      <w:r>
        <w:rPr>
          <w:spacing w:val="-5"/>
          <w:sz w:val="24"/>
        </w:rPr>
        <w:t> </w:t>
      </w:r>
      <w:r>
        <w:rPr>
          <w:sz w:val="24"/>
        </w:rPr>
        <w:t>also use</w:t>
      </w:r>
      <w:r>
        <w:rPr>
          <w:spacing w:val="-1"/>
          <w:sz w:val="24"/>
        </w:rPr>
        <w:t> </w:t>
      </w:r>
      <w:r>
        <w:rPr>
          <w:sz w:val="24"/>
        </w:rPr>
        <w:t>the</w:t>
      </w:r>
      <w:r>
        <w:rPr>
          <w:spacing w:val="-1"/>
          <w:sz w:val="24"/>
        </w:rPr>
        <w:t> </w:t>
      </w:r>
      <w:r>
        <w:rPr>
          <w:sz w:val="24"/>
        </w:rPr>
        <w:t>CMS 1115</w:t>
      </w:r>
      <w:r>
        <w:rPr>
          <w:spacing w:val="-1"/>
          <w:sz w:val="24"/>
        </w:rPr>
        <w:t> </w:t>
      </w:r>
      <w:r>
        <w:rPr>
          <w:sz w:val="24"/>
        </w:rPr>
        <w:t>Health IT</w:t>
      </w:r>
      <w:r>
        <w:rPr>
          <w:spacing w:val="-1"/>
          <w:sz w:val="24"/>
        </w:rPr>
        <w:t> </w:t>
      </w:r>
      <w:r>
        <w:rPr>
          <w:sz w:val="24"/>
        </w:rPr>
        <w:t>resources available</w:t>
      </w:r>
      <w:r>
        <w:rPr>
          <w:spacing w:val="-1"/>
          <w:sz w:val="24"/>
        </w:rPr>
        <w:t> </w:t>
      </w:r>
      <w:r>
        <w:rPr>
          <w:sz w:val="24"/>
        </w:rPr>
        <w:t>on “Medicaid</w:t>
      </w:r>
      <w:r>
        <w:rPr>
          <w:spacing w:val="-5"/>
          <w:sz w:val="24"/>
        </w:rPr>
        <w:t> </w:t>
      </w:r>
      <w:r>
        <w:rPr>
          <w:sz w:val="24"/>
        </w:rPr>
        <w:t>Program</w:t>
      </w:r>
      <w:r>
        <w:rPr>
          <w:spacing w:val="-5"/>
          <w:sz w:val="24"/>
        </w:rPr>
        <w:t> </w:t>
      </w:r>
      <w:r>
        <w:rPr>
          <w:sz w:val="24"/>
        </w:rPr>
        <w:t>Alignment</w:t>
      </w:r>
      <w:r>
        <w:rPr>
          <w:spacing w:val="-5"/>
          <w:sz w:val="24"/>
        </w:rPr>
        <w:t> </w:t>
      </w:r>
      <w:r>
        <w:rPr>
          <w:sz w:val="24"/>
        </w:rPr>
        <w:t>with</w:t>
      </w:r>
      <w:r>
        <w:rPr>
          <w:spacing w:val="-5"/>
          <w:sz w:val="24"/>
        </w:rPr>
        <w:t> </w:t>
      </w:r>
      <w:r>
        <w:rPr>
          <w:sz w:val="24"/>
        </w:rPr>
        <w:t>State</w:t>
      </w:r>
      <w:r>
        <w:rPr>
          <w:spacing w:val="-6"/>
          <w:sz w:val="24"/>
        </w:rPr>
        <w:t> </w:t>
      </w:r>
      <w:r>
        <w:rPr>
          <w:sz w:val="24"/>
        </w:rPr>
        <w:t>Systems</w:t>
      </w:r>
      <w:r>
        <w:rPr>
          <w:spacing w:val="-5"/>
          <w:sz w:val="24"/>
        </w:rPr>
        <w:t> </w:t>
      </w:r>
      <w:r>
        <w:rPr>
          <w:sz w:val="24"/>
        </w:rPr>
        <w:t>to</w:t>
      </w:r>
      <w:r>
        <w:rPr>
          <w:spacing w:val="-5"/>
          <w:sz w:val="24"/>
        </w:rPr>
        <w:t> </w:t>
      </w:r>
      <w:r>
        <w:rPr>
          <w:sz w:val="24"/>
        </w:rPr>
        <w:t>Advance</w:t>
      </w:r>
      <w:r>
        <w:rPr>
          <w:spacing w:val="-6"/>
          <w:sz w:val="24"/>
        </w:rPr>
        <w:t> </w:t>
      </w:r>
      <w:r>
        <w:rPr>
          <w:sz w:val="24"/>
        </w:rPr>
        <w:t>HIT,</w:t>
      </w:r>
    </w:p>
    <w:p>
      <w:pPr>
        <w:pStyle w:val="BodyText"/>
        <w:ind w:left="2851"/>
      </w:pPr>
      <w:r>
        <w:rPr/>
        <w:t>HIE</w:t>
      </w:r>
      <w:r>
        <w:rPr>
          <w:spacing w:val="-5"/>
        </w:rPr>
        <w:t> </w:t>
      </w:r>
      <w:r>
        <w:rPr/>
        <w:t>and</w:t>
      </w:r>
      <w:r>
        <w:rPr>
          <w:spacing w:val="-1"/>
        </w:rPr>
        <w:t> </w:t>
      </w:r>
      <w:r>
        <w:rPr/>
        <w:t>Interoperability”</w:t>
      </w:r>
      <w:r>
        <w:rPr>
          <w:spacing w:val="-4"/>
        </w:rPr>
        <w:t> </w:t>
      </w:r>
      <w:r>
        <w:rPr>
          <w:spacing w:val="-5"/>
        </w:rPr>
        <w:t>at</w:t>
      </w:r>
    </w:p>
    <w:p>
      <w:pPr>
        <w:pStyle w:val="BodyText"/>
        <w:ind w:left="2851" w:right="1059"/>
      </w:pPr>
      <w:r>
        <w:rPr>
          <w:spacing w:val="-2"/>
          <w:u w:val="single"/>
        </w:rPr>
        <w:t>https</w:t>
      </w:r>
      <w:hyperlink r:id="rId101">
        <w:r>
          <w:rPr>
            <w:spacing w:val="-2"/>
            <w:u w:val="single"/>
          </w:rPr>
          <w:t>://w</w:t>
        </w:r>
      </w:hyperlink>
      <w:r>
        <w:rPr>
          <w:spacing w:val="-2"/>
          <w:u w:val="single"/>
        </w:rPr>
        <w:t>ww.</w:t>
      </w:r>
      <w:hyperlink r:id="rId101">
        <w:r>
          <w:rPr>
            <w:spacing w:val="-2"/>
            <w:u w:val="single"/>
          </w:rPr>
          <w:t>medicaid.gov/medicaid/data-and-systems/hie/index.html</w:t>
        </w:r>
        <w:r>
          <w:rPr>
            <w:spacing w:val="-2"/>
          </w:rPr>
          <w:t>.</w:t>
        </w:r>
      </w:hyperlink>
      <w:r>
        <w:rPr>
          <w:spacing w:val="-2"/>
        </w:rPr>
        <w:t> </w:t>
      </w:r>
      <w:r>
        <w:rPr/>
        <w:t>States should review the “1115 Health IT Toolkit” for health IT considerations in conducting an assessment and developing their Health IT Plans.</w:t>
      </w:r>
    </w:p>
    <w:p>
      <w:pPr>
        <w:pStyle w:val="ListParagraph"/>
        <w:numPr>
          <w:ilvl w:val="0"/>
          <w:numId w:val="27"/>
        </w:numPr>
        <w:tabs>
          <w:tab w:pos="2851" w:val="left" w:leader="none"/>
        </w:tabs>
        <w:spacing w:line="240" w:lineRule="auto" w:before="120" w:after="0"/>
        <w:ind w:left="2851" w:right="1203" w:hanging="360"/>
        <w:jc w:val="left"/>
        <w:rPr>
          <w:sz w:val="24"/>
        </w:rPr>
      </w:pPr>
      <w:bookmarkStart w:name="3. States may request from CMS technical" w:id="330"/>
      <w:bookmarkEnd w:id="330"/>
      <w:r>
        <w:rPr/>
      </w:r>
      <w:r>
        <w:rPr>
          <w:sz w:val="24"/>
        </w:rPr>
        <w:t>States may request from CMS technical assistance to conduct an assessment</w:t>
      </w:r>
      <w:r>
        <w:rPr>
          <w:spacing w:val="-4"/>
          <w:sz w:val="24"/>
        </w:rPr>
        <w:t> </w:t>
      </w:r>
      <w:r>
        <w:rPr>
          <w:sz w:val="24"/>
        </w:rPr>
        <w:t>and</w:t>
      </w:r>
      <w:r>
        <w:rPr>
          <w:spacing w:val="-4"/>
          <w:sz w:val="24"/>
        </w:rPr>
        <w:t> </w:t>
      </w:r>
      <w:r>
        <w:rPr>
          <w:sz w:val="24"/>
        </w:rPr>
        <w:t>develop</w:t>
      </w:r>
      <w:r>
        <w:rPr>
          <w:spacing w:val="-4"/>
          <w:sz w:val="24"/>
        </w:rPr>
        <w:t> </w:t>
      </w:r>
      <w:r>
        <w:rPr>
          <w:sz w:val="24"/>
        </w:rPr>
        <w:t>plans</w:t>
      </w:r>
      <w:r>
        <w:rPr>
          <w:spacing w:val="-4"/>
          <w:sz w:val="24"/>
        </w:rPr>
        <w:t> </w:t>
      </w:r>
      <w:r>
        <w:rPr>
          <w:sz w:val="24"/>
        </w:rPr>
        <w:t>to</w:t>
      </w:r>
      <w:r>
        <w:rPr>
          <w:spacing w:val="-4"/>
          <w:sz w:val="24"/>
        </w:rPr>
        <w:t> </w:t>
      </w:r>
      <w:r>
        <w:rPr>
          <w:sz w:val="24"/>
        </w:rPr>
        <w:t>ensure</w:t>
      </w:r>
      <w:r>
        <w:rPr>
          <w:spacing w:val="-5"/>
          <w:sz w:val="24"/>
        </w:rPr>
        <w:t> </w:t>
      </w:r>
      <w:r>
        <w:rPr>
          <w:sz w:val="24"/>
        </w:rPr>
        <w:t>they</w:t>
      </w:r>
      <w:r>
        <w:rPr>
          <w:spacing w:val="-8"/>
          <w:sz w:val="24"/>
        </w:rPr>
        <w:t> </w:t>
      </w:r>
      <w:r>
        <w:rPr>
          <w:sz w:val="24"/>
        </w:rPr>
        <w:t>have</w:t>
      </w:r>
      <w:r>
        <w:rPr>
          <w:spacing w:val="-3"/>
          <w:sz w:val="24"/>
        </w:rPr>
        <w:t> </w:t>
      </w:r>
      <w:r>
        <w:rPr>
          <w:sz w:val="24"/>
        </w:rPr>
        <w:t>the</w:t>
      </w:r>
      <w:r>
        <w:rPr>
          <w:spacing w:val="-5"/>
          <w:sz w:val="24"/>
        </w:rPr>
        <w:t> </w:t>
      </w:r>
      <w:r>
        <w:rPr>
          <w:sz w:val="24"/>
        </w:rPr>
        <w:t>specific</w:t>
      </w:r>
      <w:r>
        <w:rPr>
          <w:spacing w:val="-5"/>
          <w:sz w:val="24"/>
        </w:rPr>
        <w:t> </w:t>
      </w:r>
      <w:r>
        <w:rPr>
          <w:sz w:val="24"/>
        </w:rPr>
        <w:t>health IT infrastructure with regards to electronic care plan sharing, care coordination, and behavioral health-physical health integration, to meet the goals of the demonstration.</w:t>
      </w:r>
    </w:p>
    <w:p>
      <w:pPr>
        <w:pStyle w:val="BodyText"/>
        <w:spacing w:before="8"/>
        <w:rPr>
          <w:sz w:val="20"/>
        </w:rPr>
      </w:pPr>
    </w:p>
    <w:p>
      <w:pPr>
        <w:pStyle w:val="BodyText"/>
        <w:ind w:left="871" w:right="1059"/>
      </w:pPr>
      <w:r>
        <w:rPr/>
        <w:drawing>
          <wp:anchor distT="0" distB="0" distL="0" distR="0" allowOverlap="1" layoutInCell="1" locked="0" behindDoc="0" simplePos="0" relativeHeight="15815168">
            <wp:simplePos x="0" y="0"/>
            <wp:positionH relativeFrom="page">
              <wp:posOffset>973836</wp:posOffset>
            </wp:positionH>
            <wp:positionV relativeFrom="paragraph">
              <wp:posOffset>37123</wp:posOffset>
            </wp:positionV>
            <wp:extent cx="219455" cy="111251"/>
            <wp:effectExtent l="0" t="0" r="0" b="0"/>
            <wp:wrapNone/>
            <wp:docPr id="180" name="Image 180"/>
            <wp:cNvGraphicFramePr>
              <a:graphicFrameLocks/>
            </wp:cNvGraphicFramePr>
            <a:graphic>
              <a:graphicData uri="http://schemas.openxmlformats.org/drawingml/2006/picture">
                <pic:pic>
                  <pic:nvPicPr>
                    <pic:cNvPr id="180" name="Image 180"/>
                    <pic:cNvPicPr/>
                  </pic:nvPicPr>
                  <pic:blipFill>
                    <a:blip r:embed="rId113" cstate="print"/>
                    <a:stretch>
                      <a:fillRect/>
                    </a:stretch>
                  </pic:blipFill>
                  <pic:spPr>
                    <a:xfrm>
                      <a:off x="0" y="0"/>
                      <a:ext cx="219455" cy="111251"/>
                    </a:xfrm>
                    <a:prstGeom prst="rect">
                      <a:avLst/>
                    </a:prstGeom>
                  </pic:spPr>
                </pic:pic>
              </a:graphicData>
            </a:graphic>
          </wp:anchor>
        </w:drawing>
      </w:r>
      <w:bookmarkStart w:name="7.5. SMI/SED Monitoring Protocol. The Co" w:id="331"/>
      <w:bookmarkEnd w:id="331"/>
      <w:r>
        <w:rPr/>
      </w:r>
      <w:r>
        <w:rPr>
          <w:b/>
        </w:rPr>
        <w:t>SMI/SED Monitoring Protocol. </w:t>
      </w:r>
      <w:r>
        <w:rPr/>
        <w:t>The Commonwealth must submit a Monitoring</w:t>
      </w:r>
      <w:r>
        <w:rPr>
          <w:spacing w:val="-1"/>
        </w:rPr>
        <w:t> </w:t>
      </w:r>
      <w:r>
        <w:rPr/>
        <w:t>Protocol for the SMI/SED programs authorized by this demonstration within 150 calendar days after approval of the SMI/SED component (SMI amendment approved August 11, 2022). The Monitoring Protocol Template must be developed in cooperation with CMS and is subject</w:t>
      </w:r>
      <w:r>
        <w:rPr>
          <w:spacing w:val="-3"/>
        </w:rPr>
        <w:t> </w:t>
      </w:r>
      <w:r>
        <w:rPr/>
        <w:t>to</w:t>
      </w:r>
      <w:r>
        <w:rPr>
          <w:spacing w:val="-3"/>
        </w:rPr>
        <w:t> </w:t>
      </w:r>
      <w:r>
        <w:rPr/>
        <w:t>CMS</w:t>
      </w:r>
      <w:r>
        <w:rPr>
          <w:spacing w:val="-3"/>
        </w:rPr>
        <w:t> </w:t>
      </w:r>
      <w:r>
        <w:rPr/>
        <w:t>approval.</w:t>
      </w:r>
      <w:r>
        <w:rPr>
          <w:spacing w:val="40"/>
        </w:rPr>
        <w:t> </w:t>
      </w:r>
      <w:r>
        <w:rPr/>
        <w:t>The</w:t>
      </w:r>
      <w:r>
        <w:rPr>
          <w:spacing w:val="-4"/>
        </w:rPr>
        <w:t> </w:t>
      </w:r>
      <w:r>
        <w:rPr/>
        <w:t>Commonwealth</w:t>
      </w:r>
      <w:r>
        <w:rPr>
          <w:spacing w:val="-4"/>
        </w:rPr>
        <w:t> </w:t>
      </w:r>
      <w:r>
        <w:rPr/>
        <w:t>must</w:t>
      </w:r>
      <w:r>
        <w:rPr>
          <w:spacing w:val="-3"/>
        </w:rPr>
        <w:t> </w:t>
      </w:r>
      <w:r>
        <w:rPr/>
        <w:t>submit</w:t>
      </w:r>
      <w:r>
        <w:rPr>
          <w:spacing w:val="-3"/>
        </w:rPr>
        <w:t> </w:t>
      </w:r>
      <w:r>
        <w:rPr/>
        <w:t>a</w:t>
      </w:r>
      <w:r>
        <w:rPr>
          <w:spacing w:val="-4"/>
        </w:rPr>
        <w:t> </w:t>
      </w:r>
      <w:r>
        <w:rPr/>
        <w:t>revised</w:t>
      </w:r>
      <w:r>
        <w:rPr>
          <w:spacing w:val="-3"/>
        </w:rPr>
        <w:t> </w:t>
      </w:r>
      <w:r>
        <w:rPr/>
        <w:t>Monitoring</w:t>
      </w:r>
      <w:r>
        <w:rPr>
          <w:spacing w:val="-6"/>
        </w:rPr>
        <w:t> </w:t>
      </w:r>
      <w:r>
        <w:rPr/>
        <w:t>Protocol within 60 calendar days after receipt of CMS’s comments.</w:t>
      </w:r>
      <w:r>
        <w:rPr>
          <w:spacing w:val="40"/>
        </w:rPr>
        <w:t> </w:t>
      </w:r>
      <w:r>
        <w:rPr/>
        <w:t>Once approved, the SMI/SED Monitoring</w:t>
      </w:r>
      <w:r>
        <w:rPr>
          <w:spacing w:val="-2"/>
        </w:rPr>
        <w:t> </w:t>
      </w:r>
      <w:r>
        <w:rPr/>
        <w:t>Protocol will be incorporated into the STCs as Attachment K.</w:t>
      </w:r>
      <w:r>
        <w:rPr>
          <w:spacing w:val="40"/>
        </w:rPr>
        <w:t> </w:t>
      </w:r>
      <w:r>
        <w:rPr/>
        <w:t>Progress on the performance measures identified in the Monitoring Protocol must be reported via the Quarterly and Annual Monitoring Reports (as required by STC 16.5). Components of the Monitoring Protocol must include:</w:t>
      </w:r>
    </w:p>
    <w:p>
      <w:pPr>
        <w:pStyle w:val="BodyText"/>
        <w:spacing w:before="10"/>
        <w:rPr>
          <w:sz w:val="20"/>
        </w:rPr>
      </w:pPr>
    </w:p>
    <w:p>
      <w:pPr>
        <w:pStyle w:val="BodyText"/>
        <w:ind w:left="1411" w:right="1141"/>
      </w:pPr>
      <w:r>
        <w:rPr/>
        <w:drawing>
          <wp:anchor distT="0" distB="0" distL="0" distR="0" allowOverlap="1" layoutInCell="1" locked="0" behindDoc="0" simplePos="0" relativeHeight="15815680">
            <wp:simplePos x="0" y="0"/>
            <wp:positionH relativeFrom="page">
              <wp:posOffset>1431036</wp:posOffset>
            </wp:positionH>
            <wp:positionV relativeFrom="paragraph">
              <wp:posOffset>67603</wp:posOffset>
            </wp:positionV>
            <wp:extent cx="96011" cy="80771"/>
            <wp:effectExtent l="0" t="0" r="0" b="0"/>
            <wp:wrapNone/>
            <wp:docPr id="181" name="Image 181"/>
            <wp:cNvGraphicFramePr>
              <a:graphicFrameLocks/>
            </wp:cNvGraphicFramePr>
            <a:graphic>
              <a:graphicData uri="http://schemas.openxmlformats.org/drawingml/2006/picture">
                <pic:pic>
                  <pic:nvPicPr>
                    <pic:cNvPr id="181" name="Image 181"/>
                    <pic:cNvPicPr/>
                  </pic:nvPicPr>
                  <pic:blipFill>
                    <a:blip r:embed="rId40" cstate="print"/>
                    <a:stretch>
                      <a:fillRect/>
                    </a:stretch>
                  </pic:blipFill>
                  <pic:spPr>
                    <a:xfrm>
                      <a:off x="0" y="0"/>
                      <a:ext cx="96011" cy="80771"/>
                    </a:xfrm>
                    <a:prstGeom prst="rect">
                      <a:avLst/>
                    </a:prstGeom>
                  </pic:spPr>
                </pic:pic>
              </a:graphicData>
            </a:graphic>
          </wp:anchor>
        </w:drawing>
      </w:r>
      <w:bookmarkStart w:name="a. An assurance of the Commonwealth’s co" w:id="332"/>
      <w:bookmarkEnd w:id="332"/>
      <w:r>
        <w:rPr/>
      </w:r>
      <w:r>
        <w:rPr/>
        <w:t>An</w:t>
      </w:r>
      <w:r>
        <w:rPr>
          <w:spacing w:val="-4"/>
        </w:rPr>
        <w:t> </w:t>
      </w:r>
      <w:r>
        <w:rPr/>
        <w:t>assurance</w:t>
      </w:r>
      <w:r>
        <w:rPr>
          <w:spacing w:val="-5"/>
        </w:rPr>
        <w:t> </w:t>
      </w:r>
      <w:r>
        <w:rPr/>
        <w:t>of</w:t>
      </w:r>
      <w:r>
        <w:rPr>
          <w:spacing w:val="-5"/>
        </w:rPr>
        <w:t> </w:t>
      </w:r>
      <w:r>
        <w:rPr/>
        <w:t>the</w:t>
      </w:r>
      <w:r>
        <w:rPr>
          <w:spacing w:val="-5"/>
        </w:rPr>
        <w:t> </w:t>
      </w:r>
      <w:r>
        <w:rPr/>
        <w:t>Commonwealth’s</w:t>
      </w:r>
      <w:r>
        <w:rPr>
          <w:spacing w:val="-4"/>
        </w:rPr>
        <w:t> </w:t>
      </w:r>
      <w:r>
        <w:rPr/>
        <w:t>commitment</w:t>
      </w:r>
      <w:r>
        <w:rPr>
          <w:spacing w:val="-4"/>
        </w:rPr>
        <w:t> </w:t>
      </w:r>
      <w:r>
        <w:rPr/>
        <w:t>and</w:t>
      </w:r>
      <w:r>
        <w:rPr>
          <w:spacing w:val="-4"/>
        </w:rPr>
        <w:t> </w:t>
      </w:r>
      <w:r>
        <w:rPr/>
        <w:t>ability</w:t>
      </w:r>
      <w:r>
        <w:rPr>
          <w:spacing w:val="-8"/>
        </w:rPr>
        <w:t> </w:t>
      </w:r>
      <w:r>
        <w:rPr/>
        <w:t>to</w:t>
      </w:r>
      <w:r>
        <w:rPr>
          <w:spacing w:val="-4"/>
        </w:rPr>
        <w:t> </w:t>
      </w:r>
      <w:r>
        <w:rPr/>
        <w:t>report</w:t>
      </w:r>
      <w:r>
        <w:rPr>
          <w:spacing w:val="-4"/>
        </w:rPr>
        <w:t> </w:t>
      </w:r>
      <w:r>
        <w:rPr/>
        <w:t>information relevant to each of the program implementation areas listed in STC 7.2(c), information relevant to the Commonwealth’s financing plan described in STC 7.2(d), and information relevant to the Commonwealth’s SMI/SED Health IT plan described in STC 7.4;</w:t>
      </w:r>
    </w:p>
    <w:p>
      <w:pPr>
        <w:pStyle w:val="BodyText"/>
        <w:spacing w:before="10"/>
        <w:rPr>
          <w:sz w:val="20"/>
        </w:rPr>
      </w:pPr>
    </w:p>
    <w:p>
      <w:pPr>
        <w:pStyle w:val="BodyText"/>
        <w:ind w:left="1411" w:right="1059"/>
      </w:pPr>
      <w:r>
        <w:rPr/>
        <w:drawing>
          <wp:anchor distT="0" distB="0" distL="0" distR="0" allowOverlap="1" layoutInCell="1" locked="0" behindDoc="0" simplePos="0" relativeHeight="15816192">
            <wp:simplePos x="0" y="0"/>
            <wp:positionH relativeFrom="page">
              <wp:posOffset>1424939</wp:posOffset>
            </wp:positionH>
            <wp:positionV relativeFrom="paragraph">
              <wp:posOffset>32551</wp:posOffset>
            </wp:positionV>
            <wp:extent cx="111251" cy="115823"/>
            <wp:effectExtent l="0" t="0" r="0" b="0"/>
            <wp:wrapNone/>
            <wp:docPr id="182" name="Image 182"/>
            <wp:cNvGraphicFramePr>
              <a:graphicFrameLocks/>
            </wp:cNvGraphicFramePr>
            <a:graphic>
              <a:graphicData uri="http://schemas.openxmlformats.org/drawingml/2006/picture">
                <pic:pic>
                  <pic:nvPicPr>
                    <pic:cNvPr id="182" name="Image 182"/>
                    <pic:cNvPicPr/>
                  </pic:nvPicPr>
                  <pic:blipFill>
                    <a:blip r:embed="rId63" cstate="print"/>
                    <a:stretch>
                      <a:fillRect/>
                    </a:stretch>
                  </pic:blipFill>
                  <pic:spPr>
                    <a:xfrm>
                      <a:off x="0" y="0"/>
                      <a:ext cx="111251" cy="115823"/>
                    </a:xfrm>
                    <a:prstGeom prst="rect">
                      <a:avLst/>
                    </a:prstGeom>
                  </pic:spPr>
                </pic:pic>
              </a:graphicData>
            </a:graphic>
          </wp:anchor>
        </w:drawing>
      </w:r>
      <w:bookmarkStart w:name="b. A description of the methods of data " w:id="333"/>
      <w:bookmarkEnd w:id="333"/>
      <w:r>
        <w:rPr/>
      </w:r>
      <w:r>
        <w:rPr/>
        <w:t>A</w:t>
      </w:r>
      <w:r>
        <w:rPr>
          <w:spacing w:val="-4"/>
        </w:rPr>
        <w:t> </w:t>
      </w:r>
      <w:r>
        <w:rPr/>
        <w:t>description</w:t>
      </w:r>
      <w:r>
        <w:rPr>
          <w:spacing w:val="-3"/>
        </w:rPr>
        <w:t> </w:t>
      </w:r>
      <w:r>
        <w:rPr/>
        <w:t>of</w:t>
      </w:r>
      <w:r>
        <w:rPr>
          <w:spacing w:val="-4"/>
        </w:rPr>
        <w:t> </w:t>
      </w:r>
      <w:r>
        <w:rPr/>
        <w:t>the</w:t>
      </w:r>
      <w:r>
        <w:rPr>
          <w:spacing w:val="-4"/>
        </w:rPr>
        <w:t> </w:t>
      </w:r>
      <w:r>
        <w:rPr/>
        <w:t>methods</w:t>
      </w:r>
      <w:r>
        <w:rPr>
          <w:spacing w:val="-3"/>
        </w:rPr>
        <w:t> </w:t>
      </w:r>
      <w:r>
        <w:rPr/>
        <w:t>of</w:t>
      </w:r>
      <w:r>
        <w:rPr>
          <w:spacing w:val="-4"/>
        </w:rPr>
        <w:t> </w:t>
      </w:r>
      <w:r>
        <w:rPr/>
        <w:t>data</w:t>
      </w:r>
      <w:r>
        <w:rPr>
          <w:spacing w:val="-4"/>
        </w:rPr>
        <w:t> </w:t>
      </w:r>
      <w:r>
        <w:rPr/>
        <w:t>collection</w:t>
      </w:r>
      <w:r>
        <w:rPr>
          <w:spacing w:val="-3"/>
        </w:rPr>
        <w:t> </w:t>
      </w:r>
      <w:r>
        <w:rPr/>
        <w:t>and</w:t>
      </w:r>
      <w:r>
        <w:rPr>
          <w:spacing w:val="-3"/>
        </w:rPr>
        <w:t> </w:t>
      </w:r>
      <w:r>
        <w:rPr/>
        <w:t>timeframes</w:t>
      </w:r>
      <w:r>
        <w:rPr>
          <w:spacing w:val="-3"/>
        </w:rPr>
        <w:t> </w:t>
      </w:r>
      <w:r>
        <w:rPr/>
        <w:t>for</w:t>
      </w:r>
      <w:r>
        <w:rPr>
          <w:spacing w:val="-2"/>
        </w:rPr>
        <w:t> </w:t>
      </w:r>
      <w:r>
        <w:rPr/>
        <w:t>reporting</w:t>
      </w:r>
      <w:r>
        <w:rPr>
          <w:spacing w:val="-6"/>
        </w:rPr>
        <w:t> </w:t>
      </w:r>
      <w:r>
        <w:rPr/>
        <w:t>on</w:t>
      </w:r>
      <w:r>
        <w:rPr>
          <w:spacing w:val="-3"/>
        </w:rPr>
        <w:t> </w:t>
      </w:r>
      <w:r>
        <w:rPr/>
        <w:t>the Commonwealth’s progress on required measures as part of the monitoring and reporting requirements described in Section 16 of the demonstration; and</w:t>
      </w:r>
    </w:p>
    <w:p>
      <w:pPr>
        <w:pStyle w:val="BodyText"/>
        <w:spacing w:before="10"/>
        <w:rPr>
          <w:sz w:val="20"/>
        </w:rPr>
      </w:pPr>
    </w:p>
    <w:p>
      <w:pPr>
        <w:pStyle w:val="BodyText"/>
        <w:ind w:left="1411" w:right="1059"/>
      </w:pPr>
      <w:r>
        <w:rPr/>
        <w:drawing>
          <wp:anchor distT="0" distB="0" distL="0" distR="0" allowOverlap="1" layoutInCell="1" locked="0" behindDoc="0" simplePos="0" relativeHeight="15816704">
            <wp:simplePos x="0" y="0"/>
            <wp:positionH relativeFrom="page">
              <wp:posOffset>1431036</wp:posOffset>
            </wp:positionH>
            <wp:positionV relativeFrom="paragraph">
              <wp:posOffset>67616</wp:posOffset>
            </wp:positionV>
            <wp:extent cx="96011" cy="80759"/>
            <wp:effectExtent l="0" t="0" r="0" b="0"/>
            <wp:wrapNone/>
            <wp:docPr id="183" name="Image 183"/>
            <wp:cNvGraphicFramePr>
              <a:graphicFrameLocks/>
            </wp:cNvGraphicFramePr>
            <a:graphic>
              <a:graphicData uri="http://schemas.openxmlformats.org/drawingml/2006/picture">
                <pic:pic>
                  <pic:nvPicPr>
                    <pic:cNvPr id="183" name="Image 183"/>
                    <pic:cNvPicPr/>
                  </pic:nvPicPr>
                  <pic:blipFill>
                    <a:blip r:embed="rId41" cstate="print"/>
                    <a:stretch>
                      <a:fillRect/>
                    </a:stretch>
                  </pic:blipFill>
                  <pic:spPr>
                    <a:xfrm>
                      <a:off x="0" y="0"/>
                      <a:ext cx="96011" cy="80759"/>
                    </a:xfrm>
                    <a:prstGeom prst="rect">
                      <a:avLst/>
                    </a:prstGeom>
                  </pic:spPr>
                </pic:pic>
              </a:graphicData>
            </a:graphic>
          </wp:anchor>
        </w:drawing>
      </w:r>
      <w:bookmarkStart w:name="c. A description of baselines and target" w:id="334"/>
      <w:bookmarkEnd w:id="334"/>
      <w:r>
        <w:rPr/>
      </w:r>
      <w:r>
        <w:rPr/>
        <w:t>A description of baselines and targets to be achieved by the end of the SMI/SED amendment to this demonstration.</w:t>
      </w:r>
      <w:r>
        <w:rPr>
          <w:spacing w:val="40"/>
        </w:rPr>
        <w:t> </w:t>
      </w:r>
      <w:r>
        <w:rPr/>
        <w:t>Where possible, baselines will be informed by Commonwealth</w:t>
      </w:r>
      <w:r>
        <w:rPr>
          <w:spacing w:val="-4"/>
        </w:rPr>
        <w:t> </w:t>
      </w:r>
      <w:r>
        <w:rPr/>
        <w:t>data,</w:t>
      </w:r>
      <w:r>
        <w:rPr>
          <w:spacing w:val="-4"/>
        </w:rPr>
        <w:t> </w:t>
      </w:r>
      <w:r>
        <w:rPr/>
        <w:t>and</w:t>
      </w:r>
      <w:r>
        <w:rPr>
          <w:spacing w:val="-4"/>
        </w:rPr>
        <w:t> </w:t>
      </w:r>
      <w:r>
        <w:rPr/>
        <w:t>targets</w:t>
      </w:r>
      <w:r>
        <w:rPr>
          <w:spacing w:val="-4"/>
        </w:rPr>
        <w:t> </w:t>
      </w:r>
      <w:r>
        <w:rPr/>
        <w:t>will</w:t>
      </w:r>
      <w:r>
        <w:rPr>
          <w:spacing w:val="-4"/>
        </w:rPr>
        <w:t> </w:t>
      </w:r>
      <w:r>
        <w:rPr/>
        <w:t>be</w:t>
      </w:r>
      <w:r>
        <w:rPr>
          <w:spacing w:val="-5"/>
        </w:rPr>
        <w:t> </w:t>
      </w:r>
      <w:r>
        <w:rPr/>
        <w:t>benchmarked</w:t>
      </w:r>
      <w:r>
        <w:rPr>
          <w:spacing w:val="-4"/>
        </w:rPr>
        <w:t> </w:t>
      </w:r>
      <w:r>
        <w:rPr/>
        <w:t>against</w:t>
      </w:r>
      <w:r>
        <w:rPr>
          <w:spacing w:val="-4"/>
        </w:rPr>
        <w:t> </w:t>
      </w:r>
      <w:r>
        <w:rPr/>
        <w:t>performance</w:t>
      </w:r>
      <w:r>
        <w:rPr>
          <w:spacing w:val="-5"/>
        </w:rPr>
        <w:t> </w:t>
      </w:r>
      <w:r>
        <w:rPr/>
        <w:t>in</w:t>
      </w:r>
      <w:r>
        <w:rPr>
          <w:spacing w:val="-4"/>
        </w:rPr>
        <w:t> </w:t>
      </w:r>
      <w:r>
        <w:rPr/>
        <w:t>best practice settings.</w:t>
      </w:r>
    </w:p>
    <w:p>
      <w:pPr>
        <w:spacing w:after="0"/>
        <w:sectPr>
          <w:pgSz w:w="12240" w:h="15840"/>
          <w:pgMar w:header="0" w:footer="1201" w:top="1360" w:bottom="1400" w:left="1200" w:right="400"/>
        </w:sectPr>
      </w:pPr>
    </w:p>
    <w:p>
      <w:pPr>
        <w:pStyle w:val="BodyText"/>
        <w:spacing w:before="79"/>
        <w:ind w:left="871" w:right="1059"/>
      </w:pPr>
      <w:r>
        <w:rPr/>
        <w:drawing>
          <wp:anchor distT="0" distB="0" distL="0" distR="0" allowOverlap="1" layoutInCell="1" locked="0" behindDoc="0" simplePos="0" relativeHeight="15817216">
            <wp:simplePos x="0" y="0"/>
            <wp:positionH relativeFrom="page">
              <wp:posOffset>973836</wp:posOffset>
            </wp:positionH>
            <wp:positionV relativeFrom="paragraph">
              <wp:posOffset>85777</wp:posOffset>
            </wp:positionV>
            <wp:extent cx="219455" cy="112763"/>
            <wp:effectExtent l="0" t="0" r="0" b="0"/>
            <wp:wrapNone/>
            <wp:docPr id="184" name="Image 184"/>
            <wp:cNvGraphicFramePr>
              <a:graphicFrameLocks/>
            </wp:cNvGraphicFramePr>
            <a:graphic>
              <a:graphicData uri="http://schemas.openxmlformats.org/drawingml/2006/picture">
                <pic:pic>
                  <pic:nvPicPr>
                    <pic:cNvPr id="184" name="Image 184"/>
                    <pic:cNvPicPr/>
                  </pic:nvPicPr>
                  <pic:blipFill>
                    <a:blip r:embed="rId114" cstate="print"/>
                    <a:stretch>
                      <a:fillRect/>
                    </a:stretch>
                  </pic:blipFill>
                  <pic:spPr>
                    <a:xfrm>
                      <a:off x="0" y="0"/>
                      <a:ext cx="219455" cy="112763"/>
                    </a:xfrm>
                    <a:prstGeom prst="rect">
                      <a:avLst/>
                    </a:prstGeom>
                  </pic:spPr>
                </pic:pic>
              </a:graphicData>
            </a:graphic>
          </wp:anchor>
        </w:drawing>
      </w:r>
      <w:bookmarkStart w:name="7.6. Availability of FFP for the SMI/SED" w:id="335"/>
      <w:bookmarkEnd w:id="335"/>
      <w:r>
        <w:rPr/>
      </w:r>
      <w:r>
        <w:rPr>
          <w:b/>
        </w:rPr>
        <w:t>Availability of FFP for the SMI/SED Services Under the SMI/SED Expenditure Authority #15. </w:t>
      </w:r>
      <w:r>
        <w:rPr/>
        <w:t>Federal Financial Participation is only available for services provided to beneficiaries during short term stays for acute care in IMDs, including psychiatric hospitals,</w:t>
      </w:r>
      <w:r>
        <w:rPr>
          <w:spacing w:val="-3"/>
        </w:rPr>
        <w:t> </w:t>
      </w:r>
      <w:r>
        <w:rPr/>
        <w:t>and</w:t>
      </w:r>
      <w:r>
        <w:rPr>
          <w:spacing w:val="-3"/>
        </w:rPr>
        <w:t> </w:t>
      </w:r>
      <w:r>
        <w:rPr/>
        <w:t>CCS,</w:t>
      </w:r>
      <w:r>
        <w:rPr>
          <w:spacing w:val="-3"/>
        </w:rPr>
        <w:t> </w:t>
      </w:r>
      <w:r>
        <w:rPr/>
        <w:t>and</w:t>
      </w:r>
      <w:r>
        <w:rPr>
          <w:spacing w:val="-6"/>
        </w:rPr>
        <w:t> </w:t>
      </w:r>
      <w:r>
        <w:rPr/>
        <w:t>CBAT</w:t>
      </w:r>
      <w:r>
        <w:rPr>
          <w:spacing w:val="-4"/>
        </w:rPr>
        <w:t> </w:t>
      </w:r>
      <w:r>
        <w:rPr/>
        <w:t>facilities.</w:t>
      </w:r>
      <w:r>
        <w:rPr>
          <w:spacing w:val="-3"/>
        </w:rPr>
        <w:t> </w:t>
      </w:r>
      <w:r>
        <w:rPr/>
        <w:t>The</w:t>
      </w:r>
      <w:r>
        <w:rPr>
          <w:spacing w:val="-4"/>
        </w:rPr>
        <w:t> </w:t>
      </w:r>
      <w:r>
        <w:rPr/>
        <w:t>Commonwealth</w:t>
      </w:r>
      <w:r>
        <w:rPr>
          <w:spacing w:val="-3"/>
        </w:rPr>
        <w:t> </w:t>
      </w:r>
      <w:r>
        <w:rPr/>
        <w:t>may</w:t>
      </w:r>
      <w:r>
        <w:rPr>
          <w:spacing w:val="-6"/>
        </w:rPr>
        <w:t> </w:t>
      </w:r>
      <w:r>
        <w:rPr/>
        <w:t>claim</w:t>
      </w:r>
      <w:r>
        <w:rPr>
          <w:spacing w:val="-3"/>
        </w:rPr>
        <w:t> </w:t>
      </w:r>
      <w:r>
        <w:rPr/>
        <w:t>FFP</w:t>
      </w:r>
      <w:r>
        <w:rPr>
          <w:spacing w:val="-3"/>
        </w:rPr>
        <w:t> </w:t>
      </w:r>
      <w:r>
        <w:rPr/>
        <w:t>for</w:t>
      </w:r>
      <w:r>
        <w:rPr>
          <w:spacing w:val="-4"/>
        </w:rPr>
        <w:t> </w:t>
      </w:r>
      <w:r>
        <w:rPr/>
        <w:t>services furnished to beneficiaries during IMD stays of up to and including</w:t>
      </w:r>
      <w:r>
        <w:rPr>
          <w:spacing w:val="-1"/>
        </w:rPr>
        <w:t> </w:t>
      </w:r>
      <w:r>
        <w:rPr/>
        <w:t>60 days, as long</w:t>
      </w:r>
      <w:r>
        <w:rPr>
          <w:spacing w:val="-1"/>
        </w:rPr>
        <w:t> </w:t>
      </w:r>
      <w:r>
        <w:rPr/>
        <w:t>as the Commonwealth shows at its SMI/SED midpoint assessment that it is meeting the requirement of a 30 day or less average length of stay (ALOS). Demonstration services furnished to beneficiaries whose stays in IMD exceed 60 days are not eligible for FFP under this demonstration. If the Commonwealth cannot show that it is meeting</w:t>
      </w:r>
      <w:r>
        <w:rPr>
          <w:spacing w:val="-1"/>
        </w:rPr>
        <w:t> </w:t>
      </w:r>
      <w:r>
        <w:rPr/>
        <w:t>the 30 day ALOS requirement within one standard deviation at the SMI/SED mid-point assessment, the Commonwealth may only claim FFP for stays up to and including 45 days until such time that the Commonwealth can demonstrate that it is meeting the 30 day ALOS requirement. The Commonwealth will ensure that medically necessary services are provided to beneficiaries that have stays in excess of 60 days – or 45 days, as relevant.</w:t>
      </w:r>
    </w:p>
    <w:p>
      <w:pPr>
        <w:pStyle w:val="BodyText"/>
        <w:spacing w:before="10"/>
        <w:rPr>
          <w:sz w:val="20"/>
        </w:rPr>
      </w:pPr>
    </w:p>
    <w:p>
      <w:pPr>
        <w:pStyle w:val="BodyText"/>
        <w:ind w:left="871" w:right="1062"/>
      </w:pPr>
      <w:r>
        <w:rPr/>
        <w:drawing>
          <wp:anchor distT="0" distB="0" distL="0" distR="0" allowOverlap="1" layoutInCell="1" locked="0" behindDoc="0" simplePos="0" relativeHeight="15817728">
            <wp:simplePos x="0" y="0"/>
            <wp:positionH relativeFrom="page">
              <wp:posOffset>973836</wp:posOffset>
            </wp:positionH>
            <wp:positionV relativeFrom="paragraph">
              <wp:posOffset>37123</wp:posOffset>
            </wp:positionV>
            <wp:extent cx="219455" cy="111251"/>
            <wp:effectExtent l="0" t="0" r="0" b="0"/>
            <wp:wrapNone/>
            <wp:docPr id="185" name="Image 185"/>
            <wp:cNvGraphicFramePr>
              <a:graphicFrameLocks/>
            </wp:cNvGraphicFramePr>
            <a:graphic>
              <a:graphicData uri="http://schemas.openxmlformats.org/drawingml/2006/picture">
                <pic:pic>
                  <pic:nvPicPr>
                    <pic:cNvPr id="185" name="Image 185"/>
                    <pic:cNvPicPr/>
                  </pic:nvPicPr>
                  <pic:blipFill>
                    <a:blip r:embed="rId115" cstate="print"/>
                    <a:stretch>
                      <a:fillRect/>
                    </a:stretch>
                  </pic:blipFill>
                  <pic:spPr>
                    <a:xfrm>
                      <a:off x="0" y="0"/>
                      <a:ext cx="219455" cy="111251"/>
                    </a:xfrm>
                    <a:prstGeom prst="rect">
                      <a:avLst/>
                    </a:prstGeom>
                  </pic:spPr>
                </pic:pic>
              </a:graphicData>
            </a:graphic>
          </wp:anchor>
        </w:drawing>
      </w:r>
      <w:bookmarkStart w:name="7.7. Deferral of Federal Financial Parti" w:id="336"/>
      <w:bookmarkEnd w:id="336"/>
      <w:r>
        <w:rPr/>
      </w:r>
      <w:r>
        <w:rPr>
          <w:b/>
        </w:rPr>
        <w:t>Deferral of Federal Financial Participation (FFP) from IMD Claiming for Insufficient Progress Toward Milestones. </w:t>
      </w:r>
      <w:r>
        <w:rPr/>
        <w:t>Up to $5,000,000 in FFP for SMI/SED services in IMDs may be deferred if the Commonwealth is not making adequate progress on meeting the milestones and goals as evidenced by reporting on the milestones in the SMI/SED</w:t>
      </w:r>
      <w:r>
        <w:rPr>
          <w:spacing w:val="-3"/>
        </w:rPr>
        <w:t> </w:t>
      </w:r>
      <w:r>
        <w:rPr/>
        <w:t>Implementation</w:t>
      </w:r>
      <w:r>
        <w:rPr>
          <w:spacing w:val="-4"/>
        </w:rPr>
        <w:t> </w:t>
      </w:r>
      <w:r>
        <w:rPr/>
        <w:t>Plans</w:t>
      </w:r>
      <w:r>
        <w:rPr>
          <w:spacing w:val="-4"/>
        </w:rPr>
        <w:t> </w:t>
      </w:r>
      <w:r>
        <w:rPr/>
        <w:t>and</w:t>
      </w:r>
      <w:r>
        <w:rPr>
          <w:spacing w:val="-4"/>
        </w:rPr>
        <w:t> </w:t>
      </w:r>
      <w:r>
        <w:rPr/>
        <w:t>the</w:t>
      </w:r>
      <w:r>
        <w:rPr>
          <w:spacing w:val="-5"/>
        </w:rPr>
        <w:t> </w:t>
      </w:r>
      <w:r>
        <w:rPr/>
        <w:t>required</w:t>
      </w:r>
      <w:r>
        <w:rPr>
          <w:spacing w:val="-2"/>
        </w:rPr>
        <w:t> </w:t>
      </w:r>
      <w:r>
        <w:rPr/>
        <w:t>performance</w:t>
      </w:r>
      <w:r>
        <w:rPr>
          <w:spacing w:val="-5"/>
        </w:rPr>
        <w:t> </w:t>
      </w:r>
      <w:r>
        <w:rPr/>
        <w:t>measures</w:t>
      </w:r>
      <w:r>
        <w:rPr>
          <w:spacing w:val="-4"/>
        </w:rPr>
        <w:t> </w:t>
      </w:r>
      <w:r>
        <w:rPr/>
        <w:t>in</w:t>
      </w:r>
      <w:r>
        <w:rPr>
          <w:spacing w:val="-2"/>
        </w:rPr>
        <w:t> </w:t>
      </w:r>
      <w:r>
        <w:rPr/>
        <w:t>the</w:t>
      </w:r>
      <w:r>
        <w:rPr>
          <w:spacing w:val="-5"/>
        </w:rPr>
        <w:t> </w:t>
      </w:r>
      <w:r>
        <w:rPr/>
        <w:t>Monitoring Plan agreed upon by the Commonwealth and CMS.</w:t>
      </w:r>
      <w:r>
        <w:rPr>
          <w:spacing w:val="40"/>
        </w:rPr>
        <w:t> </w:t>
      </w:r>
      <w:r>
        <w:rPr/>
        <w:t>Once CMS determines the Commonwealth has not made adequate progress, up to $5,000,000 will be deferred in the next calendar quarter and each calendar quarter thereafter until CMS has determined sufficient progress has been made.</w:t>
      </w:r>
      <w:r>
        <w:rPr>
          <w:spacing w:val="40"/>
        </w:rPr>
        <w:t> </w:t>
      </w:r>
      <w:r>
        <w:rPr/>
        <w:t>The deferral process is not considered a final agency action, and may be appealed by the Commonwealth following the process specified in 42 CFR 430.30-48.</w:t>
      </w:r>
      <w:r>
        <w:rPr>
          <w:spacing w:val="40"/>
        </w:rPr>
        <w:t> </w:t>
      </w:r>
      <w:r>
        <w:rPr/>
        <w:t>The Commonwealth is expected to meet the milestones by</w:t>
      </w:r>
      <w:r>
        <w:rPr>
          <w:spacing w:val="-2"/>
        </w:rPr>
        <w:t> </w:t>
      </w:r>
      <w:r>
        <w:rPr/>
        <w:t>the end of the first two years of the SMI/SED amendment to the demonstration.</w:t>
      </w:r>
    </w:p>
    <w:p>
      <w:pPr>
        <w:pStyle w:val="BodyText"/>
        <w:spacing w:before="10"/>
        <w:rPr>
          <w:sz w:val="20"/>
        </w:rPr>
      </w:pPr>
    </w:p>
    <w:p>
      <w:pPr>
        <w:pStyle w:val="BodyText"/>
        <w:ind w:left="871" w:right="1086"/>
      </w:pPr>
      <w:r>
        <w:rPr/>
        <w:drawing>
          <wp:anchor distT="0" distB="0" distL="0" distR="0" allowOverlap="1" layoutInCell="1" locked="0" behindDoc="0" simplePos="0" relativeHeight="15818240">
            <wp:simplePos x="0" y="0"/>
            <wp:positionH relativeFrom="page">
              <wp:posOffset>973836</wp:posOffset>
            </wp:positionH>
            <wp:positionV relativeFrom="paragraph">
              <wp:posOffset>35599</wp:posOffset>
            </wp:positionV>
            <wp:extent cx="219455" cy="112775"/>
            <wp:effectExtent l="0" t="0" r="0" b="0"/>
            <wp:wrapNone/>
            <wp:docPr id="186" name="Image 186"/>
            <wp:cNvGraphicFramePr>
              <a:graphicFrameLocks/>
            </wp:cNvGraphicFramePr>
            <a:graphic>
              <a:graphicData uri="http://schemas.openxmlformats.org/drawingml/2006/picture">
                <pic:pic>
                  <pic:nvPicPr>
                    <pic:cNvPr id="186" name="Image 186"/>
                    <pic:cNvPicPr/>
                  </pic:nvPicPr>
                  <pic:blipFill>
                    <a:blip r:embed="rId116" cstate="print"/>
                    <a:stretch>
                      <a:fillRect/>
                    </a:stretch>
                  </pic:blipFill>
                  <pic:spPr>
                    <a:xfrm>
                      <a:off x="0" y="0"/>
                      <a:ext cx="219455" cy="112775"/>
                    </a:xfrm>
                    <a:prstGeom prst="rect">
                      <a:avLst/>
                    </a:prstGeom>
                  </pic:spPr>
                </pic:pic>
              </a:graphicData>
            </a:graphic>
          </wp:anchor>
        </w:drawing>
      </w:r>
      <w:bookmarkStart w:name="7.8. SMI/SED Mid-Point Assessment. The C" w:id="337"/>
      <w:bookmarkEnd w:id="337"/>
      <w:r>
        <w:rPr/>
      </w:r>
      <w:r>
        <w:rPr>
          <w:b/>
        </w:rPr>
        <w:t>SMI/SED Mid-Point Assessment. </w:t>
      </w:r>
      <w:r>
        <w:rPr/>
        <w:t>The Commonwealth must contract with an independent entity to conduct an independent Mid-Point Assessment by September 30, 2025; this takes the place of the SMI/SED Mid-Point Assessment originally due August 11,</w:t>
      </w:r>
      <w:r>
        <w:rPr>
          <w:spacing w:val="-1"/>
        </w:rPr>
        <w:t> </w:t>
      </w:r>
      <w:r>
        <w:rPr/>
        <w:t>2025</w:t>
      </w:r>
      <w:r>
        <w:rPr>
          <w:spacing w:val="-1"/>
        </w:rPr>
        <w:t> </w:t>
      </w:r>
      <w:r>
        <w:rPr/>
        <w:t>(established</w:t>
      </w:r>
      <w:r>
        <w:rPr>
          <w:spacing w:val="-1"/>
        </w:rPr>
        <w:t> </w:t>
      </w:r>
      <w:r>
        <w:rPr/>
        <w:t>in</w:t>
      </w:r>
      <w:r>
        <w:rPr>
          <w:spacing w:val="-1"/>
        </w:rPr>
        <w:t> </w:t>
      </w:r>
      <w:r>
        <w:rPr/>
        <w:t>the</w:t>
      </w:r>
      <w:r>
        <w:rPr>
          <w:spacing w:val="-2"/>
        </w:rPr>
        <w:t> </w:t>
      </w:r>
      <w:r>
        <w:rPr/>
        <w:t>August</w:t>
      </w:r>
      <w:r>
        <w:rPr>
          <w:spacing w:val="-1"/>
        </w:rPr>
        <w:t> </w:t>
      </w:r>
      <w:r>
        <w:rPr/>
        <w:t>11,</w:t>
      </w:r>
      <w:r>
        <w:rPr>
          <w:spacing w:val="-1"/>
        </w:rPr>
        <w:t> </w:t>
      </w:r>
      <w:r>
        <w:rPr/>
        <w:t>2022</w:t>
      </w:r>
      <w:r>
        <w:rPr>
          <w:spacing w:val="-1"/>
        </w:rPr>
        <w:t> </w:t>
      </w:r>
      <w:r>
        <w:rPr/>
        <w:t>approval</w:t>
      </w:r>
      <w:r>
        <w:rPr>
          <w:spacing w:val="-1"/>
        </w:rPr>
        <w:t> </w:t>
      </w:r>
      <w:r>
        <w:rPr/>
        <w:t>of</w:t>
      </w:r>
      <w:r>
        <w:rPr>
          <w:spacing w:val="-2"/>
        </w:rPr>
        <w:t> </w:t>
      </w:r>
      <w:r>
        <w:rPr/>
        <w:t>the</w:t>
      </w:r>
      <w:r>
        <w:rPr>
          <w:spacing w:val="-2"/>
        </w:rPr>
        <w:t> </w:t>
      </w:r>
      <w:r>
        <w:rPr/>
        <w:t>SMI</w:t>
      </w:r>
      <w:r>
        <w:rPr>
          <w:spacing w:val="-5"/>
        </w:rPr>
        <w:t> </w:t>
      </w:r>
      <w:r>
        <w:rPr/>
        <w:t>component),</w:t>
      </w:r>
      <w:r>
        <w:rPr>
          <w:spacing w:val="-1"/>
        </w:rPr>
        <w:t> </w:t>
      </w:r>
      <w:r>
        <w:rPr/>
        <w:t>whether</w:t>
      </w:r>
      <w:r>
        <w:rPr>
          <w:spacing w:val="-2"/>
        </w:rPr>
        <w:t> </w:t>
      </w:r>
      <w:r>
        <w:rPr/>
        <w:t>or not</w:t>
      </w:r>
      <w:r>
        <w:rPr>
          <w:spacing w:val="-3"/>
        </w:rPr>
        <w:t> </w:t>
      </w:r>
      <w:r>
        <w:rPr/>
        <w:t>the</w:t>
      </w:r>
      <w:r>
        <w:rPr>
          <w:spacing w:val="-4"/>
        </w:rPr>
        <w:t> </w:t>
      </w:r>
      <w:r>
        <w:rPr/>
        <w:t>demonstration</w:t>
      </w:r>
      <w:r>
        <w:rPr>
          <w:spacing w:val="-3"/>
        </w:rPr>
        <w:t> </w:t>
      </w:r>
      <w:r>
        <w:rPr/>
        <w:t>is</w:t>
      </w:r>
      <w:r>
        <w:rPr>
          <w:spacing w:val="-3"/>
        </w:rPr>
        <w:t> </w:t>
      </w:r>
      <w:r>
        <w:rPr/>
        <w:t>renewed. If</w:t>
      </w:r>
      <w:r>
        <w:rPr>
          <w:spacing w:val="-4"/>
        </w:rPr>
        <w:t> </w:t>
      </w:r>
      <w:r>
        <w:rPr/>
        <w:t>the</w:t>
      </w:r>
      <w:r>
        <w:rPr>
          <w:spacing w:val="-4"/>
        </w:rPr>
        <w:t> </w:t>
      </w:r>
      <w:r>
        <w:rPr/>
        <w:t>demonstration</w:t>
      </w:r>
      <w:r>
        <w:rPr>
          <w:spacing w:val="-3"/>
        </w:rPr>
        <w:t> </w:t>
      </w:r>
      <w:r>
        <w:rPr/>
        <w:t>is</w:t>
      </w:r>
      <w:r>
        <w:rPr>
          <w:spacing w:val="-3"/>
        </w:rPr>
        <w:t> </w:t>
      </w:r>
      <w:r>
        <w:rPr/>
        <w:t>not</w:t>
      </w:r>
      <w:r>
        <w:rPr>
          <w:spacing w:val="-3"/>
        </w:rPr>
        <w:t> </w:t>
      </w:r>
      <w:r>
        <w:rPr/>
        <w:t>extended</w:t>
      </w:r>
      <w:r>
        <w:rPr>
          <w:spacing w:val="-3"/>
        </w:rPr>
        <w:t> </w:t>
      </w:r>
      <w:r>
        <w:rPr/>
        <w:t>or</w:t>
      </w:r>
      <w:r>
        <w:rPr>
          <w:spacing w:val="-4"/>
        </w:rPr>
        <w:t> </w:t>
      </w:r>
      <w:r>
        <w:rPr/>
        <w:t>is</w:t>
      </w:r>
      <w:r>
        <w:rPr>
          <w:spacing w:val="-3"/>
        </w:rPr>
        <w:t> </w:t>
      </w:r>
      <w:r>
        <w:rPr/>
        <w:t>extended</w:t>
      </w:r>
      <w:r>
        <w:rPr>
          <w:spacing w:val="-3"/>
        </w:rPr>
        <w:t> </w:t>
      </w:r>
      <w:r>
        <w:rPr/>
        <w:t>for</w:t>
      </w:r>
      <w:r>
        <w:rPr>
          <w:spacing w:val="-4"/>
        </w:rPr>
        <w:t> </w:t>
      </w:r>
      <w:r>
        <w:rPr/>
        <w:t>a term that ends on or before this date, then this mid-point assessment must address the entire term for which the SMI/SED Program under this demonstration was authorized.</w:t>
      </w:r>
    </w:p>
    <w:p>
      <w:pPr>
        <w:pStyle w:val="BodyText"/>
        <w:spacing w:before="1"/>
        <w:ind w:left="871" w:right="1104"/>
      </w:pPr>
      <w:r>
        <w:rPr/>
        <w:t>This timeline will allow for the Mid-Point Assessment Report to capture approximately the first two-and-a-half years of demonstration program data, accounting for data run-out and</w:t>
      </w:r>
      <w:r>
        <w:rPr>
          <w:spacing w:val="-3"/>
        </w:rPr>
        <w:t> </w:t>
      </w:r>
      <w:r>
        <w:rPr/>
        <w:t>data</w:t>
      </w:r>
      <w:r>
        <w:rPr>
          <w:spacing w:val="-4"/>
        </w:rPr>
        <w:t> </w:t>
      </w:r>
      <w:r>
        <w:rPr/>
        <w:t>completeness.</w:t>
      </w:r>
      <w:r>
        <w:rPr>
          <w:spacing w:val="40"/>
        </w:rPr>
        <w:t> </w:t>
      </w:r>
      <w:r>
        <w:rPr/>
        <w:t>In</w:t>
      </w:r>
      <w:r>
        <w:rPr>
          <w:spacing w:val="-3"/>
        </w:rPr>
        <w:t> </w:t>
      </w:r>
      <w:r>
        <w:rPr/>
        <w:t>addition,</w:t>
      </w:r>
      <w:r>
        <w:rPr>
          <w:spacing w:val="-3"/>
        </w:rPr>
        <w:t> </w:t>
      </w:r>
      <w:r>
        <w:rPr/>
        <w:t>if</w:t>
      </w:r>
      <w:r>
        <w:rPr>
          <w:spacing w:val="-4"/>
        </w:rPr>
        <w:t> </w:t>
      </w:r>
      <w:r>
        <w:rPr/>
        <w:t>applicable,</w:t>
      </w:r>
      <w:r>
        <w:rPr>
          <w:spacing w:val="-1"/>
        </w:rPr>
        <w:t> </w:t>
      </w:r>
      <w:r>
        <w:rPr/>
        <w:t>the</w:t>
      </w:r>
      <w:r>
        <w:rPr>
          <w:spacing w:val="-4"/>
        </w:rPr>
        <w:t> </w:t>
      </w:r>
      <w:r>
        <w:rPr/>
        <w:t>Commonwealth</w:t>
      </w:r>
      <w:r>
        <w:rPr>
          <w:spacing w:val="-4"/>
        </w:rPr>
        <w:t> </w:t>
      </w:r>
      <w:r>
        <w:rPr/>
        <w:t>should</w:t>
      </w:r>
      <w:r>
        <w:rPr>
          <w:spacing w:val="-3"/>
        </w:rPr>
        <w:t> </w:t>
      </w:r>
      <w:r>
        <w:rPr/>
        <w:t>use</w:t>
      </w:r>
      <w:r>
        <w:rPr>
          <w:spacing w:val="-4"/>
        </w:rPr>
        <w:t> </w:t>
      </w:r>
      <w:r>
        <w:rPr/>
        <w:t>the</w:t>
      </w:r>
      <w:r>
        <w:rPr>
          <w:spacing w:val="-4"/>
        </w:rPr>
        <w:t> </w:t>
      </w:r>
      <w:r>
        <w:rPr/>
        <w:t>prior approval period experiences as context, and conduct the</w:t>
      </w:r>
      <w:r>
        <w:rPr>
          <w:spacing w:val="-1"/>
        </w:rPr>
        <w:t> </w:t>
      </w:r>
      <w:r>
        <w:rPr/>
        <w:t>Mid-Point Assessment in light of the data from any such prior approval period(s).</w:t>
      </w:r>
      <w:r>
        <w:rPr>
          <w:spacing w:val="80"/>
        </w:rPr>
        <w:t> </w:t>
      </w:r>
      <w:r>
        <w:rPr/>
        <w:t>In the design, planning and conduct of the</w:t>
      </w:r>
      <w:r>
        <w:rPr>
          <w:spacing w:val="-4"/>
        </w:rPr>
        <w:t> </w:t>
      </w:r>
      <w:r>
        <w:rPr/>
        <w:t>Mid-Point</w:t>
      </w:r>
      <w:r>
        <w:rPr>
          <w:spacing w:val="-3"/>
        </w:rPr>
        <w:t> </w:t>
      </w:r>
      <w:r>
        <w:rPr/>
        <w:t>Assessment,</w:t>
      </w:r>
      <w:r>
        <w:rPr>
          <w:spacing w:val="-3"/>
        </w:rPr>
        <w:t> </w:t>
      </w:r>
      <w:r>
        <w:rPr/>
        <w:t>the</w:t>
      </w:r>
      <w:r>
        <w:rPr>
          <w:spacing w:val="-4"/>
        </w:rPr>
        <w:t> </w:t>
      </w:r>
      <w:r>
        <w:rPr/>
        <w:t>Commonwealth</w:t>
      </w:r>
      <w:r>
        <w:rPr>
          <w:spacing w:val="-3"/>
        </w:rPr>
        <w:t> </w:t>
      </w:r>
      <w:r>
        <w:rPr/>
        <w:t>must</w:t>
      </w:r>
      <w:r>
        <w:rPr>
          <w:spacing w:val="-3"/>
        </w:rPr>
        <w:t> </w:t>
      </w:r>
      <w:r>
        <w:rPr/>
        <w:t>require</w:t>
      </w:r>
      <w:r>
        <w:rPr>
          <w:spacing w:val="-4"/>
        </w:rPr>
        <w:t> </w:t>
      </w:r>
      <w:r>
        <w:rPr/>
        <w:t>that</w:t>
      </w:r>
      <w:r>
        <w:rPr>
          <w:spacing w:val="-3"/>
        </w:rPr>
        <w:t> </w:t>
      </w:r>
      <w:r>
        <w:rPr/>
        <w:t>the</w:t>
      </w:r>
      <w:r>
        <w:rPr>
          <w:spacing w:val="-4"/>
        </w:rPr>
        <w:t> </w:t>
      </w:r>
      <w:r>
        <w:rPr/>
        <w:t>independent</w:t>
      </w:r>
      <w:r>
        <w:rPr>
          <w:spacing w:val="-3"/>
        </w:rPr>
        <w:t> </w:t>
      </w:r>
      <w:r>
        <w:rPr/>
        <w:t>assessor consult with key stakeholders including, but not limited to: representatives of MCOs, health care providers (including SMI/SED treatment providers), and beneficiaries, community groups, and other key partners.</w:t>
      </w:r>
    </w:p>
    <w:p>
      <w:pPr>
        <w:spacing w:after="0"/>
        <w:sectPr>
          <w:pgSz w:w="12240" w:h="15840"/>
          <w:pgMar w:header="0" w:footer="1201" w:top="1360" w:bottom="1400" w:left="1200" w:right="400"/>
        </w:sectPr>
      </w:pPr>
    </w:p>
    <w:p>
      <w:pPr>
        <w:pStyle w:val="BodyText"/>
        <w:spacing w:before="79"/>
        <w:ind w:left="1411" w:right="1074"/>
      </w:pPr>
      <w:r>
        <w:rPr/>
        <w:drawing>
          <wp:anchor distT="0" distB="0" distL="0" distR="0" allowOverlap="1" layoutInCell="1" locked="0" behindDoc="0" simplePos="0" relativeHeight="15818752">
            <wp:simplePos x="0" y="0"/>
            <wp:positionH relativeFrom="page">
              <wp:posOffset>1431036</wp:posOffset>
            </wp:positionH>
            <wp:positionV relativeFrom="paragraph">
              <wp:posOffset>117781</wp:posOffset>
            </wp:positionV>
            <wp:extent cx="96011" cy="80759"/>
            <wp:effectExtent l="0" t="0" r="0" b="0"/>
            <wp:wrapNone/>
            <wp:docPr id="187" name="Image 187"/>
            <wp:cNvGraphicFramePr>
              <a:graphicFrameLocks/>
            </wp:cNvGraphicFramePr>
            <a:graphic>
              <a:graphicData uri="http://schemas.openxmlformats.org/drawingml/2006/picture">
                <pic:pic>
                  <pic:nvPicPr>
                    <pic:cNvPr id="187" name="Image 187"/>
                    <pic:cNvPicPr/>
                  </pic:nvPicPr>
                  <pic:blipFill>
                    <a:blip r:embed="rId29" cstate="print"/>
                    <a:stretch>
                      <a:fillRect/>
                    </a:stretch>
                  </pic:blipFill>
                  <pic:spPr>
                    <a:xfrm>
                      <a:off x="0" y="0"/>
                      <a:ext cx="96011" cy="80759"/>
                    </a:xfrm>
                    <a:prstGeom prst="rect">
                      <a:avLst/>
                    </a:prstGeom>
                  </pic:spPr>
                </pic:pic>
              </a:graphicData>
            </a:graphic>
          </wp:anchor>
        </w:drawing>
      </w:r>
      <w:bookmarkStart w:name="a. The Commonwealth must require that th" w:id="338"/>
      <w:bookmarkEnd w:id="338"/>
      <w:r>
        <w:rPr/>
      </w:r>
      <w:r>
        <w:rPr/>
        <w:t>The Commonwealth must require that the assessor provide a Mid-Point Assessment Report to the Commonwealth that includes the methodologies used for examining progress and assessing risk, the limitations of the methodologies, its determinations and</w:t>
      </w:r>
      <w:r>
        <w:rPr>
          <w:spacing w:val="-2"/>
        </w:rPr>
        <w:t> </w:t>
      </w:r>
      <w:r>
        <w:rPr/>
        <w:t>any</w:t>
      </w:r>
      <w:r>
        <w:rPr>
          <w:spacing w:val="-7"/>
        </w:rPr>
        <w:t> </w:t>
      </w:r>
      <w:r>
        <w:rPr/>
        <w:t>recommendations.</w:t>
      </w:r>
      <w:r>
        <w:rPr>
          <w:spacing w:val="40"/>
        </w:rPr>
        <w:t> </w:t>
      </w:r>
      <w:r>
        <w:rPr/>
        <w:t>The</w:t>
      </w:r>
      <w:r>
        <w:rPr>
          <w:spacing w:val="-3"/>
        </w:rPr>
        <w:t> </w:t>
      </w:r>
      <w:r>
        <w:rPr/>
        <w:t>Commonwealth</w:t>
      </w:r>
      <w:r>
        <w:rPr>
          <w:spacing w:val="-2"/>
        </w:rPr>
        <w:t> </w:t>
      </w:r>
      <w:r>
        <w:rPr/>
        <w:t>must</w:t>
      </w:r>
      <w:r>
        <w:rPr>
          <w:spacing w:val="-2"/>
        </w:rPr>
        <w:t> </w:t>
      </w:r>
      <w:r>
        <w:rPr/>
        <w:t>provide</w:t>
      </w:r>
      <w:r>
        <w:rPr>
          <w:spacing w:val="-3"/>
        </w:rPr>
        <w:t> </w:t>
      </w:r>
      <w:r>
        <w:rPr/>
        <w:t>a</w:t>
      </w:r>
      <w:r>
        <w:rPr>
          <w:spacing w:val="-3"/>
        </w:rPr>
        <w:t> </w:t>
      </w:r>
      <w:r>
        <w:rPr/>
        <w:t>copy</w:t>
      </w:r>
      <w:r>
        <w:rPr>
          <w:spacing w:val="-7"/>
        </w:rPr>
        <w:t> </w:t>
      </w:r>
      <w:r>
        <w:rPr/>
        <w:t>of</w:t>
      </w:r>
      <w:r>
        <w:rPr>
          <w:spacing w:val="-3"/>
        </w:rPr>
        <w:t> </w:t>
      </w:r>
      <w:r>
        <w:rPr/>
        <w:t>the</w:t>
      </w:r>
      <w:r>
        <w:rPr>
          <w:spacing w:val="-3"/>
        </w:rPr>
        <w:t> </w:t>
      </w:r>
      <w:r>
        <w:rPr/>
        <w:t>report</w:t>
      </w:r>
      <w:r>
        <w:rPr>
          <w:spacing w:val="-2"/>
        </w:rPr>
        <w:t> </w:t>
      </w:r>
      <w:r>
        <w:rPr/>
        <w:t>to CMS no later than 60 calendar days after September 30, 2025 and the Commonwealth must brief CMS on the report.</w:t>
      </w:r>
      <w:r>
        <w:rPr>
          <w:spacing w:val="40"/>
        </w:rPr>
        <w:t> </w:t>
      </w:r>
      <w:r>
        <w:rPr/>
        <w:t>The Commonwealth must submit a revised Mid-Point Assessment Report within 60 calendar days after receipt of</w:t>
      </w:r>
      <w:r>
        <w:rPr>
          <w:spacing w:val="40"/>
        </w:rPr>
        <w:t> </w:t>
      </w:r>
      <w:r>
        <w:rPr/>
        <w:t>CMS’s comments, if any.</w:t>
      </w:r>
    </w:p>
    <w:p>
      <w:pPr>
        <w:pStyle w:val="BodyText"/>
        <w:spacing w:before="10"/>
        <w:rPr>
          <w:sz w:val="20"/>
        </w:rPr>
      </w:pPr>
    </w:p>
    <w:p>
      <w:pPr>
        <w:pStyle w:val="BodyText"/>
        <w:ind w:left="1411" w:right="1072"/>
      </w:pPr>
      <w:r>
        <w:rPr/>
        <w:drawing>
          <wp:anchor distT="0" distB="0" distL="0" distR="0" allowOverlap="1" layoutInCell="1" locked="0" behindDoc="0" simplePos="0" relativeHeight="15819264">
            <wp:simplePos x="0" y="0"/>
            <wp:positionH relativeFrom="page">
              <wp:posOffset>1424939</wp:posOffset>
            </wp:positionH>
            <wp:positionV relativeFrom="paragraph">
              <wp:posOffset>32551</wp:posOffset>
            </wp:positionV>
            <wp:extent cx="111251" cy="115823"/>
            <wp:effectExtent l="0" t="0" r="0" b="0"/>
            <wp:wrapNone/>
            <wp:docPr id="188" name="Image 188"/>
            <wp:cNvGraphicFramePr>
              <a:graphicFrameLocks/>
            </wp:cNvGraphicFramePr>
            <a:graphic>
              <a:graphicData uri="http://schemas.openxmlformats.org/drawingml/2006/picture">
                <pic:pic>
                  <pic:nvPicPr>
                    <pic:cNvPr id="188" name="Image 188"/>
                    <pic:cNvPicPr/>
                  </pic:nvPicPr>
                  <pic:blipFill>
                    <a:blip r:embed="rId34" cstate="print"/>
                    <a:stretch>
                      <a:fillRect/>
                    </a:stretch>
                  </pic:blipFill>
                  <pic:spPr>
                    <a:xfrm>
                      <a:off x="0" y="0"/>
                      <a:ext cx="111251" cy="115823"/>
                    </a:xfrm>
                    <a:prstGeom prst="rect">
                      <a:avLst/>
                    </a:prstGeom>
                  </pic:spPr>
                </pic:pic>
              </a:graphicData>
            </a:graphic>
          </wp:anchor>
        </w:drawing>
      </w:r>
      <w:bookmarkStart w:name="b. For milestones and measure targets at" w:id="339"/>
      <w:bookmarkEnd w:id="339"/>
      <w:r>
        <w:rPr/>
      </w:r>
      <w:r>
        <w:rPr/>
        <w:t>For</w:t>
      </w:r>
      <w:r>
        <w:rPr>
          <w:spacing w:val="-4"/>
        </w:rPr>
        <w:t> </w:t>
      </w:r>
      <w:r>
        <w:rPr/>
        <w:t>milestones</w:t>
      </w:r>
      <w:r>
        <w:rPr>
          <w:spacing w:val="-3"/>
        </w:rPr>
        <w:t> </w:t>
      </w:r>
      <w:r>
        <w:rPr/>
        <w:t>and</w:t>
      </w:r>
      <w:r>
        <w:rPr>
          <w:spacing w:val="-3"/>
        </w:rPr>
        <w:t> </w:t>
      </w:r>
      <w:r>
        <w:rPr/>
        <w:t>measure</w:t>
      </w:r>
      <w:r>
        <w:rPr>
          <w:spacing w:val="-4"/>
        </w:rPr>
        <w:t> </w:t>
      </w:r>
      <w:r>
        <w:rPr/>
        <w:t>targets</w:t>
      </w:r>
      <w:r>
        <w:rPr>
          <w:spacing w:val="-3"/>
        </w:rPr>
        <w:t> </w:t>
      </w:r>
      <w:r>
        <w:rPr/>
        <w:t>at</w:t>
      </w:r>
      <w:r>
        <w:rPr>
          <w:spacing w:val="-3"/>
        </w:rPr>
        <w:t> </w:t>
      </w:r>
      <w:r>
        <w:rPr/>
        <w:t>medium</w:t>
      </w:r>
      <w:r>
        <w:rPr>
          <w:spacing w:val="-3"/>
        </w:rPr>
        <w:t> </w:t>
      </w:r>
      <w:r>
        <w:rPr/>
        <w:t>to</w:t>
      </w:r>
      <w:r>
        <w:rPr>
          <w:spacing w:val="-3"/>
        </w:rPr>
        <w:t> </w:t>
      </w:r>
      <w:r>
        <w:rPr/>
        <w:t>high</w:t>
      </w:r>
      <w:r>
        <w:rPr>
          <w:spacing w:val="-3"/>
        </w:rPr>
        <w:t> </w:t>
      </w:r>
      <w:r>
        <w:rPr/>
        <w:t>risk</w:t>
      </w:r>
      <w:r>
        <w:rPr>
          <w:spacing w:val="-3"/>
        </w:rPr>
        <w:t> </w:t>
      </w:r>
      <w:r>
        <w:rPr/>
        <w:t>of</w:t>
      </w:r>
      <w:r>
        <w:rPr>
          <w:spacing w:val="-4"/>
        </w:rPr>
        <w:t> </w:t>
      </w:r>
      <w:r>
        <w:rPr/>
        <w:t>not</w:t>
      </w:r>
      <w:r>
        <w:rPr>
          <w:spacing w:val="-3"/>
        </w:rPr>
        <w:t> </w:t>
      </w:r>
      <w:r>
        <w:rPr/>
        <w:t>being</w:t>
      </w:r>
      <w:r>
        <w:rPr>
          <w:spacing w:val="-6"/>
        </w:rPr>
        <w:t> </w:t>
      </w:r>
      <w:r>
        <w:rPr/>
        <w:t>achieved,</w:t>
      </w:r>
      <w:r>
        <w:rPr>
          <w:spacing w:val="-3"/>
        </w:rPr>
        <w:t> </w:t>
      </w:r>
      <w:r>
        <w:rPr/>
        <w:t>the Commonwealth must submit to CMS proposed modifications to the SMI/SED Implementation Plan, the SMI/SED Financing Plan, and the SMI/SED Monitoring Protocol, as appropriate, for mitigating these risks.</w:t>
      </w:r>
      <w:r>
        <w:rPr>
          <w:spacing w:val="40"/>
        </w:rPr>
        <w:t> </w:t>
      </w:r>
      <w:r>
        <w:rPr/>
        <w:t>Modifications to the applicable Implementation Plan, Financing Plan, and/or Monitoring Protocol are subject to CMS approval.</w:t>
      </w:r>
    </w:p>
    <w:p>
      <w:pPr>
        <w:pStyle w:val="BodyText"/>
        <w:spacing w:before="10"/>
        <w:rPr>
          <w:sz w:val="20"/>
        </w:rPr>
      </w:pPr>
    </w:p>
    <w:p>
      <w:pPr>
        <w:pStyle w:val="BodyText"/>
        <w:ind w:left="1411"/>
      </w:pPr>
      <w:r>
        <w:rPr/>
        <w:drawing>
          <wp:anchor distT="0" distB="0" distL="0" distR="0" allowOverlap="1" layoutInCell="1" locked="0" behindDoc="0" simplePos="0" relativeHeight="15819776">
            <wp:simplePos x="0" y="0"/>
            <wp:positionH relativeFrom="page">
              <wp:posOffset>1431036</wp:posOffset>
            </wp:positionH>
            <wp:positionV relativeFrom="paragraph">
              <wp:posOffset>67603</wp:posOffset>
            </wp:positionV>
            <wp:extent cx="96011" cy="80771"/>
            <wp:effectExtent l="0" t="0" r="0" b="0"/>
            <wp:wrapNone/>
            <wp:docPr id="189" name="Image 189"/>
            <wp:cNvGraphicFramePr>
              <a:graphicFrameLocks/>
            </wp:cNvGraphicFramePr>
            <a:graphic>
              <a:graphicData uri="http://schemas.openxmlformats.org/drawingml/2006/picture">
                <pic:pic>
                  <pic:nvPicPr>
                    <pic:cNvPr id="189" name="Image 189"/>
                    <pic:cNvPicPr/>
                  </pic:nvPicPr>
                  <pic:blipFill>
                    <a:blip r:embed="rId35" cstate="print"/>
                    <a:stretch>
                      <a:fillRect/>
                    </a:stretch>
                  </pic:blipFill>
                  <pic:spPr>
                    <a:xfrm>
                      <a:off x="0" y="0"/>
                      <a:ext cx="96011" cy="80771"/>
                    </a:xfrm>
                    <a:prstGeom prst="rect">
                      <a:avLst/>
                    </a:prstGeom>
                  </pic:spPr>
                </pic:pic>
              </a:graphicData>
            </a:graphic>
          </wp:anchor>
        </w:drawing>
      </w:r>
      <w:bookmarkStart w:name="c. Elements of the Mid-Point Assessment " w:id="340"/>
      <w:bookmarkEnd w:id="340"/>
      <w:r>
        <w:rPr/>
      </w:r>
      <w:r>
        <w:rPr/>
        <w:t>Elements</w:t>
      </w:r>
      <w:r>
        <w:rPr>
          <w:spacing w:val="-4"/>
        </w:rPr>
        <w:t> </w:t>
      </w:r>
      <w:r>
        <w:rPr/>
        <w:t>of</w:t>
      </w:r>
      <w:r>
        <w:rPr>
          <w:spacing w:val="-2"/>
        </w:rPr>
        <w:t> </w:t>
      </w:r>
      <w:r>
        <w:rPr/>
        <w:t>the</w:t>
      </w:r>
      <w:r>
        <w:rPr>
          <w:spacing w:val="-2"/>
        </w:rPr>
        <w:t> </w:t>
      </w:r>
      <w:r>
        <w:rPr/>
        <w:t>Mid-Point</w:t>
      </w:r>
      <w:r>
        <w:rPr>
          <w:spacing w:val="-1"/>
        </w:rPr>
        <w:t> </w:t>
      </w:r>
      <w:r>
        <w:rPr/>
        <w:t>Assessment</w:t>
      </w:r>
      <w:r>
        <w:rPr>
          <w:spacing w:val="-1"/>
        </w:rPr>
        <w:t> </w:t>
      </w:r>
      <w:r>
        <w:rPr/>
        <w:t>must</w:t>
      </w:r>
      <w:r>
        <w:rPr>
          <w:spacing w:val="-1"/>
        </w:rPr>
        <w:t> </w:t>
      </w:r>
      <w:r>
        <w:rPr/>
        <w:t>include</w:t>
      </w:r>
      <w:r>
        <w:rPr>
          <w:spacing w:val="-2"/>
        </w:rPr>
        <w:t> </w:t>
      </w:r>
      <w:r>
        <w:rPr/>
        <w:t>at</w:t>
      </w:r>
      <w:r>
        <w:rPr>
          <w:spacing w:val="-1"/>
        </w:rPr>
        <w:t> </w:t>
      </w:r>
      <w:r>
        <w:rPr>
          <w:spacing w:val="-2"/>
        </w:rPr>
        <w:t>least:</w:t>
      </w:r>
    </w:p>
    <w:p>
      <w:pPr>
        <w:pStyle w:val="BodyText"/>
        <w:spacing w:before="10"/>
        <w:rPr>
          <w:sz w:val="20"/>
        </w:rPr>
      </w:pPr>
    </w:p>
    <w:p>
      <w:pPr>
        <w:pStyle w:val="BodyText"/>
        <w:ind w:left="2040" w:right="1041"/>
      </w:pPr>
      <w:r>
        <w:rPr/>
        <w:drawing>
          <wp:anchor distT="0" distB="0" distL="0" distR="0" allowOverlap="1" layoutInCell="1" locked="0" behindDoc="0" simplePos="0" relativeHeight="15820288">
            <wp:simplePos x="0" y="0"/>
            <wp:positionH relativeFrom="page">
              <wp:posOffset>1862327</wp:posOffset>
            </wp:positionH>
            <wp:positionV relativeFrom="paragraph">
              <wp:posOffset>32551</wp:posOffset>
            </wp:positionV>
            <wp:extent cx="73151" cy="115823"/>
            <wp:effectExtent l="0" t="0" r="0" b="0"/>
            <wp:wrapNone/>
            <wp:docPr id="190" name="Image 190"/>
            <wp:cNvGraphicFramePr>
              <a:graphicFrameLocks/>
            </wp:cNvGraphicFramePr>
            <a:graphic>
              <a:graphicData uri="http://schemas.openxmlformats.org/drawingml/2006/picture">
                <pic:pic>
                  <pic:nvPicPr>
                    <pic:cNvPr id="190" name="Image 190"/>
                    <pic:cNvPicPr/>
                  </pic:nvPicPr>
                  <pic:blipFill>
                    <a:blip r:embed="rId61" cstate="print"/>
                    <a:stretch>
                      <a:fillRect/>
                    </a:stretch>
                  </pic:blipFill>
                  <pic:spPr>
                    <a:xfrm>
                      <a:off x="0" y="0"/>
                      <a:ext cx="73151" cy="115823"/>
                    </a:xfrm>
                    <a:prstGeom prst="rect">
                      <a:avLst/>
                    </a:prstGeom>
                  </pic:spPr>
                </pic:pic>
              </a:graphicData>
            </a:graphic>
          </wp:anchor>
        </w:drawing>
      </w:r>
      <w:bookmarkStart w:name="i. An examination of progress toward mee" w:id="341"/>
      <w:bookmarkEnd w:id="341"/>
      <w:r>
        <w:rPr/>
      </w:r>
      <w:r>
        <w:rPr/>
        <w:t>An examination of progress toward meeting each milestone and timeframe approved</w:t>
      </w:r>
      <w:r>
        <w:rPr>
          <w:spacing w:val="-4"/>
        </w:rPr>
        <w:t> </w:t>
      </w:r>
      <w:r>
        <w:rPr/>
        <w:t>in</w:t>
      </w:r>
      <w:r>
        <w:rPr>
          <w:spacing w:val="-4"/>
        </w:rPr>
        <w:t> </w:t>
      </w:r>
      <w:r>
        <w:rPr/>
        <w:t>the</w:t>
      </w:r>
      <w:r>
        <w:rPr>
          <w:spacing w:val="-5"/>
        </w:rPr>
        <w:t> </w:t>
      </w:r>
      <w:r>
        <w:rPr/>
        <w:t>SMI/SED</w:t>
      </w:r>
      <w:r>
        <w:rPr>
          <w:spacing w:val="-3"/>
        </w:rPr>
        <w:t> </w:t>
      </w:r>
      <w:r>
        <w:rPr/>
        <w:t>Implementation</w:t>
      </w:r>
      <w:r>
        <w:rPr>
          <w:spacing w:val="-4"/>
        </w:rPr>
        <w:t> </w:t>
      </w:r>
      <w:r>
        <w:rPr/>
        <w:t>Plan,</w:t>
      </w:r>
      <w:r>
        <w:rPr>
          <w:spacing w:val="-4"/>
        </w:rPr>
        <w:t> </w:t>
      </w:r>
      <w:r>
        <w:rPr/>
        <w:t>the</w:t>
      </w:r>
      <w:r>
        <w:rPr>
          <w:spacing w:val="-5"/>
        </w:rPr>
        <w:t> </w:t>
      </w:r>
      <w:r>
        <w:rPr/>
        <w:t>SMI/SED</w:t>
      </w:r>
      <w:r>
        <w:rPr>
          <w:spacing w:val="-3"/>
        </w:rPr>
        <w:t> </w:t>
      </w:r>
      <w:r>
        <w:rPr/>
        <w:t>Financing</w:t>
      </w:r>
      <w:r>
        <w:rPr>
          <w:spacing w:val="-7"/>
        </w:rPr>
        <w:t> </w:t>
      </w:r>
      <w:r>
        <w:rPr/>
        <w:t>Plan, if applicable, and toward meeting the targets for performance measures as approved in the SMI/SED Monitoring Protocol;</w:t>
      </w:r>
    </w:p>
    <w:p>
      <w:pPr>
        <w:pStyle w:val="BodyText"/>
        <w:spacing w:before="159"/>
        <w:ind w:left="2040" w:right="1059"/>
      </w:pPr>
      <w:r>
        <w:rPr/>
        <w:drawing>
          <wp:anchor distT="0" distB="0" distL="0" distR="0" allowOverlap="1" layoutInCell="1" locked="0" behindDoc="0" simplePos="0" relativeHeight="15820800">
            <wp:simplePos x="0" y="0"/>
            <wp:positionH relativeFrom="page">
              <wp:posOffset>1819655</wp:posOffset>
            </wp:positionH>
            <wp:positionV relativeFrom="paragraph">
              <wp:posOffset>133516</wp:posOffset>
            </wp:positionV>
            <wp:extent cx="115823" cy="115823"/>
            <wp:effectExtent l="0" t="0" r="0" b="0"/>
            <wp:wrapNone/>
            <wp:docPr id="191" name="Image 191"/>
            <wp:cNvGraphicFramePr>
              <a:graphicFrameLocks/>
            </wp:cNvGraphicFramePr>
            <a:graphic>
              <a:graphicData uri="http://schemas.openxmlformats.org/drawingml/2006/picture">
                <pic:pic>
                  <pic:nvPicPr>
                    <pic:cNvPr id="191" name="Image 191"/>
                    <pic:cNvPicPr/>
                  </pic:nvPicPr>
                  <pic:blipFill>
                    <a:blip r:embed="rId117" cstate="print"/>
                    <a:stretch>
                      <a:fillRect/>
                    </a:stretch>
                  </pic:blipFill>
                  <pic:spPr>
                    <a:xfrm>
                      <a:off x="0" y="0"/>
                      <a:ext cx="115823" cy="115823"/>
                    </a:xfrm>
                    <a:prstGeom prst="rect">
                      <a:avLst/>
                    </a:prstGeom>
                  </pic:spPr>
                </pic:pic>
              </a:graphicData>
            </a:graphic>
          </wp:anchor>
        </w:drawing>
      </w:r>
      <w:bookmarkStart w:name="ii. A determination of factors that affe" w:id="342"/>
      <w:bookmarkEnd w:id="342"/>
      <w:r>
        <w:rPr/>
      </w:r>
      <w:r>
        <w:rPr/>
        <w:t>A</w:t>
      </w:r>
      <w:r>
        <w:rPr>
          <w:spacing w:val="-5"/>
        </w:rPr>
        <w:t> </w:t>
      </w:r>
      <w:r>
        <w:rPr/>
        <w:t>determination</w:t>
      </w:r>
      <w:r>
        <w:rPr>
          <w:spacing w:val="-4"/>
        </w:rPr>
        <w:t> </w:t>
      </w:r>
      <w:r>
        <w:rPr/>
        <w:t>of</w:t>
      </w:r>
      <w:r>
        <w:rPr>
          <w:spacing w:val="-5"/>
        </w:rPr>
        <w:t> </w:t>
      </w:r>
      <w:r>
        <w:rPr/>
        <w:t>factors</w:t>
      </w:r>
      <w:r>
        <w:rPr>
          <w:spacing w:val="-4"/>
        </w:rPr>
        <w:t> </w:t>
      </w:r>
      <w:r>
        <w:rPr/>
        <w:t>that</w:t>
      </w:r>
      <w:r>
        <w:rPr>
          <w:spacing w:val="-4"/>
        </w:rPr>
        <w:t> </w:t>
      </w:r>
      <w:r>
        <w:rPr/>
        <w:t>affected</w:t>
      </w:r>
      <w:r>
        <w:rPr>
          <w:spacing w:val="-4"/>
        </w:rPr>
        <w:t> </w:t>
      </w:r>
      <w:r>
        <w:rPr/>
        <w:t>achievement</w:t>
      </w:r>
      <w:r>
        <w:rPr>
          <w:spacing w:val="-4"/>
        </w:rPr>
        <w:t> </w:t>
      </w:r>
      <w:r>
        <w:rPr/>
        <w:t>on</w:t>
      </w:r>
      <w:r>
        <w:rPr>
          <w:spacing w:val="-4"/>
        </w:rPr>
        <w:t> </w:t>
      </w:r>
      <w:r>
        <w:rPr/>
        <w:t>the</w:t>
      </w:r>
      <w:r>
        <w:rPr>
          <w:spacing w:val="-5"/>
        </w:rPr>
        <w:t> </w:t>
      </w:r>
      <w:r>
        <w:rPr/>
        <w:t>milestones</w:t>
      </w:r>
      <w:r>
        <w:rPr>
          <w:spacing w:val="-4"/>
        </w:rPr>
        <w:t> </w:t>
      </w:r>
      <w:r>
        <w:rPr/>
        <w:t>and performance measure gap closure percentage points to date;</w:t>
      </w:r>
    </w:p>
    <w:p>
      <w:pPr>
        <w:pStyle w:val="BodyText"/>
        <w:spacing w:before="161"/>
        <w:ind w:left="2040" w:right="1059"/>
      </w:pPr>
      <w:r>
        <w:rPr/>
        <w:drawing>
          <wp:anchor distT="0" distB="0" distL="0" distR="0" allowOverlap="1" layoutInCell="1" locked="0" behindDoc="0" simplePos="0" relativeHeight="15821312">
            <wp:simplePos x="0" y="0"/>
            <wp:positionH relativeFrom="page">
              <wp:posOffset>1778507</wp:posOffset>
            </wp:positionH>
            <wp:positionV relativeFrom="paragraph">
              <wp:posOffset>134786</wp:posOffset>
            </wp:positionV>
            <wp:extent cx="158495" cy="115823"/>
            <wp:effectExtent l="0" t="0" r="0" b="0"/>
            <wp:wrapNone/>
            <wp:docPr id="192" name="Image 192"/>
            <wp:cNvGraphicFramePr>
              <a:graphicFrameLocks/>
            </wp:cNvGraphicFramePr>
            <a:graphic>
              <a:graphicData uri="http://schemas.openxmlformats.org/drawingml/2006/picture">
                <pic:pic>
                  <pic:nvPicPr>
                    <pic:cNvPr id="192" name="Image 192"/>
                    <pic:cNvPicPr/>
                  </pic:nvPicPr>
                  <pic:blipFill>
                    <a:blip r:embed="rId65" cstate="print"/>
                    <a:stretch>
                      <a:fillRect/>
                    </a:stretch>
                  </pic:blipFill>
                  <pic:spPr>
                    <a:xfrm>
                      <a:off x="0" y="0"/>
                      <a:ext cx="158495" cy="115823"/>
                    </a:xfrm>
                    <a:prstGeom prst="rect">
                      <a:avLst/>
                    </a:prstGeom>
                  </pic:spPr>
                </pic:pic>
              </a:graphicData>
            </a:graphic>
          </wp:anchor>
        </w:drawing>
      </w:r>
      <w:bookmarkStart w:name="iii. A determination of selected factors" w:id="343"/>
      <w:bookmarkEnd w:id="343"/>
      <w:r>
        <w:rPr/>
      </w:r>
      <w:r>
        <w:rPr/>
        <w:t>A determination of selected factors likely to affect future performance in meeting</w:t>
      </w:r>
      <w:r>
        <w:rPr>
          <w:spacing w:val="-7"/>
        </w:rPr>
        <w:t> </w:t>
      </w:r>
      <w:r>
        <w:rPr/>
        <w:t>milestones</w:t>
      </w:r>
      <w:r>
        <w:rPr>
          <w:spacing w:val="-4"/>
        </w:rPr>
        <w:t> </w:t>
      </w:r>
      <w:r>
        <w:rPr/>
        <w:t>and</w:t>
      </w:r>
      <w:r>
        <w:rPr>
          <w:spacing w:val="-4"/>
        </w:rPr>
        <w:t> </w:t>
      </w:r>
      <w:r>
        <w:rPr/>
        <w:t>targets</w:t>
      </w:r>
      <w:r>
        <w:rPr>
          <w:spacing w:val="-4"/>
        </w:rPr>
        <w:t> </w:t>
      </w:r>
      <w:r>
        <w:rPr/>
        <w:t>not yet</w:t>
      </w:r>
      <w:r>
        <w:rPr>
          <w:spacing w:val="-4"/>
        </w:rPr>
        <w:t> </w:t>
      </w:r>
      <w:r>
        <w:rPr/>
        <w:t>met</w:t>
      </w:r>
      <w:r>
        <w:rPr>
          <w:spacing w:val="-4"/>
        </w:rPr>
        <w:t> </w:t>
      </w:r>
      <w:r>
        <w:rPr/>
        <w:t>and</w:t>
      </w:r>
      <w:r>
        <w:rPr>
          <w:spacing w:val="-4"/>
        </w:rPr>
        <w:t> </w:t>
      </w:r>
      <w:r>
        <w:rPr/>
        <w:t>information</w:t>
      </w:r>
      <w:r>
        <w:rPr>
          <w:spacing w:val="-4"/>
        </w:rPr>
        <w:t> </w:t>
      </w:r>
      <w:r>
        <w:rPr/>
        <w:t>about</w:t>
      </w:r>
      <w:r>
        <w:rPr>
          <w:spacing w:val="-4"/>
        </w:rPr>
        <w:t> </w:t>
      </w:r>
      <w:r>
        <w:rPr/>
        <w:t>the</w:t>
      </w:r>
      <w:r>
        <w:rPr>
          <w:spacing w:val="-5"/>
        </w:rPr>
        <w:t> </w:t>
      </w:r>
      <w:r>
        <w:rPr/>
        <w:t>risk</w:t>
      </w:r>
      <w:r>
        <w:rPr>
          <w:spacing w:val="-4"/>
        </w:rPr>
        <w:t> </w:t>
      </w:r>
      <w:r>
        <w:rPr/>
        <w:t>of possibly missing those milestones and performance targets;</w:t>
      </w:r>
    </w:p>
    <w:p>
      <w:pPr>
        <w:pStyle w:val="BodyText"/>
        <w:spacing w:before="160"/>
        <w:ind w:left="2040" w:right="1141"/>
      </w:pPr>
      <w:r>
        <w:rPr/>
        <w:drawing>
          <wp:anchor distT="0" distB="0" distL="0" distR="0" allowOverlap="1" layoutInCell="1" locked="0" behindDoc="0" simplePos="0" relativeHeight="15821824">
            <wp:simplePos x="0" y="0"/>
            <wp:positionH relativeFrom="page">
              <wp:posOffset>1786127</wp:posOffset>
            </wp:positionH>
            <wp:positionV relativeFrom="paragraph">
              <wp:posOffset>134151</wp:posOffset>
            </wp:positionV>
            <wp:extent cx="149339" cy="115823"/>
            <wp:effectExtent l="0" t="0" r="0" b="0"/>
            <wp:wrapNone/>
            <wp:docPr id="193" name="Image 193"/>
            <wp:cNvGraphicFramePr>
              <a:graphicFrameLocks/>
            </wp:cNvGraphicFramePr>
            <a:graphic>
              <a:graphicData uri="http://schemas.openxmlformats.org/drawingml/2006/picture">
                <pic:pic>
                  <pic:nvPicPr>
                    <pic:cNvPr id="193" name="Image 193"/>
                    <pic:cNvPicPr/>
                  </pic:nvPicPr>
                  <pic:blipFill>
                    <a:blip r:embed="rId118" cstate="print"/>
                    <a:stretch>
                      <a:fillRect/>
                    </a:stretch>
                  </pic:blipFill>
                  <pic:spPr>
                    <a:xfrm>
                      <a:off x="0" y="0"/>
                      <a:ext cx="149339" cy="115823"/>
                    </a:xfrm>
                    <a:prstGeom prst="rect">
                      <a:avLst/>
                    </a:prstGeom>
                  </pic:spPr>
                </pic:pic>
              </a:graphicData>
            </a:graphic>
          </wp:anchor>
        </w:drawing>
      </w:r>
      <w:bookmarkStart w:name="iv. For milestones or targets identified" w:id="344"/>
      <w:bookmarkEnd w:id="344"/>
      <w:r>
        <w:rPr/>
      </w:r>
      <w:r>
        <w:rPr/>
        <w:t>For</w:t>
      </w:r>
      <w:r>
        <w:rPr>
          <w:spacing w:val="-4"/>
        </w:rPr>
        <w:t> </w:t>
      </w:r>
      <w:r>
        <w:rPr/>
        <w:t>milestones</w:t>
      </w:r>
      <w:r>
        <w:rPr>
          <w:spacing w:val="-4"/>
        </w:rPr>
        <w:t> </w:t>
      </w:r>
      <w:r>
        <w:rPr/>
        <w:t>or</w:t>
      </w:r>
      <w:r>
        <w:rPr>
          <w:spacing w:val="-4"/>
        </w:rPr>
        <w:t> </w:t>
      </w:r>
      <w:r>
        <w:rPr/>
        <w:t>targets</w:t>
      </w:r>
      <w:r>
        <w:rPr>
          <w:spacing w:val="-2"/>
        </w:rPr>
        <w:t> </w:t>
      </w:r>
      <w:r>
        <w:rPr/>
        <w:t>identified</w:t>
      </w:r>
      <w:r>
        <w:rPr>
          <w:spacing w:val="-4"/>
        </w:rPr>
        <w:t> </w:t>
      </w:r>
      <w:r>
        <w:rPr/>
        <w:t>by</w:t>
      </w:r>
      <w:r>
        <w:rPr>
          <w:spacing w:val="-8"/>
        </w:rPr>
        <w:t> </w:t>
      </w:r>
      <w:r>
        <w:rPr/>
        <w:t>the</w:t>
      </w:r>
      <w:r>
        <w:rPr>
          <w:spacing w:val="-4"/>
        </w:rPr>
        <w:t> </w:t>
      </w:r>
      <w:r>
        <w:rPr/>
        <w:t>independent</w:t>
      </w:r>
      <w:r>
        <w:rPr>
          <w:spacing w:val="-4"/>
        </w:rPr>
        <w:t> </w:t>
      </w:r>
      <w:r>
        <w:rPr/>
        <w:t>assessor</w:t>
      </w:r>
      <w:r>
        <w:rPr>
          <w:spacing w:val="-4"/>
        </w:rPr>
        <w:t> </w:t>
      </w:r>
      <w:r>
        <w:rPr/>
        <w:t>as</w:t>
      </w:r>
      <w:r>
        <w:rPr>
          <w:spacing w:val="-2"/>
        </w:rPr>
        <w:t> </w:t>
      </w:r>
      <w:r>
        <w:rPr/>
        <w:t>at</w:t>
      </w:r>
      <w:r>
        <w:rPr>
          <w:spacing w:val="-4"/>
        </w:rPr>
        <w:t> </w:t>
      </w:r>
      <w:r>
        <w:rPr/>
        <w:t>medium to high risk of not being met, recommendations for adjustments in the Commonwealth’s SMI/SED Implementation Plans and/or SMI/SED Financing Plan or to other pertinent factors that the Commonwealth can influence that will support improvement; and</w:t>
      </w:r>
    </w:p>
    <w:p>
      <w:pPr>
        <w:pStyle w:val="BodyText"/>
        <w:spacing w:before="159"/>
        <w:ind w:left="2040" w:right="1086"/>
      </w:pPr>
      <w:r>
        <w:rPr/>
        <w:drawing>
          <wp:anchor distT="0" distB="0" distL="0" distR="0" allowOverlap="1" layoutInCell="1" locked="0" behindDoc="0" simplePos="0" relativeHeight="15822336">
            <wp:simplePos x="0" y="0"/>
            <wp:positionH relativeFrom="page">
              <wp:posOffset>1825751</wp:posOffset>
            </wp:positionH>
            <wp:positionV relativeFrom="paragraph">
              <wp:posOffset>171616</wp:posOffset>
            </wp:positionV>
            <wp:extent cx="109727" cy="77723"/>
            <wp:effectExtent l="0" t="0" r="0" b="0"/>
            <wp:wrapNone/>
            <wp:docPr id="194" name="Image 194"/>
            <wp:cNvGraphicFramePr>
              <a:graphicFrameLocks/>
            </wp:cNvGraphicFramePr>
            <a:graphic>
              <a:graphicData uri="http://schemas.openxmlformats.org/drawingml/2006/picture">
                <pic:pic>
                  <pic:nvPicPr>
                    <pic:cNvPr id="194" name="Image 194"/>
                    <pic:cNvPicPr/>
                  </pic:nvPicPr>
                  <pic:blipFill>
                    <a:blip r:embed="rId97" cstate="print"/>
                    <a:stretch>
                      <a:fillRect/>
                    </a:stretch>
                  </pic:blipFill>
                  <pic:spPr>
                    <a:xfrm>
                      <a:off x="0" y="0"/>
                      <a:ext cx="109727" cy="77723"/>
                    </a:xfrm>
                    <a:prstGeom prst="rect">
                      <a:avLst/>
                    </a:prstGeom>
                  </pic:spPr>
                </pic:pic>
              </a:graphicData>
            </a:graphic>
          </wp:anchor>
        </w:drawing>
      </w:r>
      <w:bookmarkStart w:name="v. An assessment of whether the Commonwe" w:id="345"/>
      <w:bookmarkEnd w:id="345"/>
      <w:r>
        <w:rPr/>
      </w:r>
      <w:r>
        <w:rPr/>
        <w:t>An</w:t>
      </w:r>
      <w:r>
        <w:rPr>
          <w:spacing w:val="-4"/>
        </w:rPr>
        <w:t> </w:t>
      </w:r>
      <w:r>
        <w:rPr/>
        <w:t>assessment</w:t>
      </w:r>
      <w:r>
        <w:rPr>
          <w:spacing w:val="-4"/>
        </w:rPr>
        <w:t> </w:t>
      </w:r>
      <w:r>
        <w:rPr/>
        <w:t>of</w:t>
      </w:r>
      <w:r>
        <w:rPr>
          <w:spacing w:val="-5"/>
        </w:rPr>
        <w:t> </w:t>
      </w:r>
      <w:r>
        <w:rPr/>
        <w:t>whether</w:t>
      </w:r>
      <w:r>
        <w:rPr>
          <w:spacing w:val="-5"/>
        </w:rPr>
        <w:t> </w:t>
      </w:r>
      <w:r>
        <w:rPr/>
        <w:t>the</w:t>
      </w:r>
      <w:r>
        <w:rPr>
          <w:spacing w:val="-5"/>
        </w:rPr>
        <w:t> </w:t>
      </w:r>
      <w:r>
        <w:rPr/>
        <w:t>Commonwealth</w:t>
      </w:r>
      <w:r>
        <w:rPr>
          <w:spacing w:val="-4"/>
        </w:rPr>
        <w:t> </w:t>
      </w:r>
      <w:r>
        <w:rPr/>
        <w:t>is</w:t>
      </w:r>
      <w:r>
        <w:rPr>
          <w:spacing w:val="-4"/>
        </w:rPr>
        <w:t> </w:t>
      </w:r>
      <w:r>
        <w:rPr/>
        <w:t>on</w:t>
      </w:r>
      <w:r>
        <w:rPr>
          <w:spacing w:val="-4"/>
        </w:rPr>
        <w:t> </w:t>
      </w:r>
      <w:r>
        <w:rPr/>
        <w:t>track</w:t>
      </w:r>
      <w:r>
        <w:rPr>
          <w:spacing w:val="-4"/>
        </w:rPr>
        <w:t> </w:t>
      </w:r>
      <w:r>
        <w:rPr/>
        <w:t>to</w:t>
      </w:r>
      <w:r>
        <w:rPr>
          <w:spacing w:val="-4"/>
        </w:rPr>
        <w:t> </w:t>
      </w:r>
      <w:r>
        <w:rPr/>
        <w:t>meet</w:t>
      </w:r>
      <w:r>
        <w:rPr>
          <w:spacing w:val="-4"/>
        </w:rPr>
        <w:t> </w:t>
      </w:r>
      <w:r>
        <w:rPr/>
        <w:t>the SMI/SED budget neutrality requirements in these STCs.</w:t>
      </w:r>
    </w:p>
    <w:p>
      <w:pPr>
        <w:pStyle w:val="BodyText"/>
        <w:spacing w:before="10"/>
        <w:rPr>
          <w:sz w:val="20"/>
        </w:rPr>
      </w:pPr>
    </w:p>
    <w:p>
      <w:pPr>
        <w:pStyle w:val="BodyText"/>
        <w:ind w:left="871" w:right="1059"/>
      </w:pPr>
      <w:r>
        <w:rPr/>
        <w:drawing>
          <wp:anchor distT="0" distB="0" distL="0" distR="0" allowOverlap="1" layoutInCell="1" locked="0" behindDoc="0" simplePos="0" relativeHeight="15822848">
            <wp:simplePos x="0" y="0"/>
            <wp:positionH relativeFrom="page">
              <wp:posOffset>973836</wp:posOffset>
            </wp:positionH>
            <wp:positionV relativeFrom="paragraph">
              <wp:posOffset>35599</wp:posOffset>
            </wp:positionV>
            <wp:extent cx="219455" cy="112775"/>
            <wp:effectExtent l="0" t="0" r="0" b="0"/>
            <wp:wrapNone/>
            <wp:docPr id="195" name="Image 195"/>
            <wp:cNvGraphicFramePr>
              <a:graphicFrameLocks/>
            </wp:cNvGraphicFramePr>
            <a:graphic>
              <a:graphicData uri="http://schemas.openxmlformats.org/drawingml/2006/picture">
                <pic:pic>
                  <pic:nvPicPr>
                    <pic:cNvPr id="195" name="Image 195"/>
                    <pic:cNvPicPr/>
                  </pic:nvPicPr>
                  <pic:blipFill>
                    <a:blip r:embed="rId119" cstate="print"/>
                    <a:stretch>
                      <a:fillRect/>
                    </a:stretch>
                  </pic:blipFill>
                  <pic:spPr>
                    <a:xfrm>
                      <a:off x="0" y="0"/>
                      <a:ext cx="219455" cy="112775"/>
                    </a:xfrm>
                    <a:prstGeom prst="rect">
                      <a:avLst/>
                    </a:prstGeom>
                  </pic:spPr>
                </pic:pic>
              </a:graphicData>
            </a:graphic>
          </wp:anchor>
        </w:drawing>
      </w:r>
      <w:bookmarkStart w:name="7.9. Transition Period.  To avoid servic" w:id="346"/>
      <w:bookmarkEnd w:id="346"/>
      <w:r>
        <w:rPr/>
      </w:r>
      <w:r>
        <w:rPr>
          <w:b/>
        </w:rPr>
        <w:t>Transition Period.</w:t>
      </w:r>
      <w:r>
        <w:rPr>
          <w:b/>
          <w:spacing w:val="40"/>
        </w:rPr>
        <w:t> </w:t>
      </w:r>
      <w:r>
        <w:rPr/>
        <w:t>To avoid service disruption for beneficiaries receiving Community Crisis Stabilization (CCS) and Community Based Acute Treatment for Children and Adolescents (CBAT) in facilities that meet the definition of an IMD, as the Commonwealth aligns with expectations in SMDL #18-011, CMS is authorizing a transition period until December 31, 2023 for the state to come into alignment with the requirements and expectations as discussed in that guidance.</w:t>
      </w:r>
      <w:r>
        <w:rPr>
          <w:spacing w:val="40"/>
        </w:rPr>
        <w:t> </w:t>
      </w:r>
      <w:r>
        <w:rPr/>
        <w:t>During this period, the Commonwealth can continue to claim FFP for CCS and CBAT services authorized under the</w:t>
      </w:r>
      <w:r>
        <w:rPr>
          <w:spacing w:val="-4"/>
        </w:rPr>
        <w:t> </w:t>
      </w:r>
      <w:r>
        <w:rPr/>
        <w:t>demonstration</w:t>
      </w:r>
      <w:r>
        <w:rPr>
          <w:spacing w:val="-3"/>
        </w:rPr>
        <w:t> </w:t>
      </w:r>
      <w:r>
        <w:rPr/>
        <w:t>,</w:t>
      </w:r>
      <w:r>
        <w:rPr>
          <w:spacing w:val="-3"/>
        </w:rPr>
        <w:t> </w:t>
      </w:r>
      <w:r>
        <w:rPr/>
        <w:t>but</w:t>
      </w:r>
      <w:r>
        <w:rPr>
          <w:spacing w:val="-3"/>
        </w:rPr>
        <w:t> </w:t>
      </w:r>
      <w:r>
        <w:rPr/>
        <w:t>must</w:t>
      </w:r>
      <w:r>
        <w:rPr>
          <w:spacing w:val="-3"/>
        </w:rPr>
        <w:t> </w:t>
      </w:r>
      <w:r>
        <w:rPr/>
        <w:t>ensure</w:t>
      </w:r>
      <w:r>
        <w:rPr>
          <w:spacing w:val="-4"/>
        </w:rPr>
        <w:t> </w:t>
      </w:r>
      <w:r>
        <w:rPr/>
        <w:t>that</w:t>
      </w:r>
      <w:r>
        <w:rPr>
          <w:spacing w:val="-3"/>
        </w:rPr>
        <w:t> </w:t>
      </w:r>
      <w:r>
        <w:rPr/>
        <w:t>facilities</w:t>
      </w:r>
      <w:r>
        <w:rPr>
          <w:spacing w:val="-3"/>
        </w:rPr>
        <w:t> </w:t>
      </w:r>
      <w:r>
        <w:rPr/>
        <w:t>that</w:t>
      </w:r>
      <w:r>
        <w:rPr>
          <w:spacing w:val="-3"/>
        </w:rPr>
        <w:t> </w:t>
      </w:r>
      <w:r>
        <w:rPr/>
        <w:t>meet</w:t>
      </w:r>
      <w:r>
        <w:rPr>
          <w:spacing w:val="-3"/>
        </w:rPr>
        <w:t> </w:t>
      </w:r>
      <w:r>
        <w:rPr/>
        <w:t>the</w:t>
      </w:r>
      <w:r>
        <w:rPr>
          <w:spacing w:val="-4"/>
        </w:rPr>
        <w:t> </w:t>
      </w:r>
      <w:r>
        <w:rPr/>
        <w:t>definition</w:t>
      </w:r>
      <w:r>
        <w:rPr>
          <w:spacing w:val="-3"/>
        </w:rPr>
        <w:t> </w:t>
      </w:r>
      <w:r>
        <w:rPr/>
        <w:t>of</w:t>
      </w:r>
      <w:r>
        <w:rPr>
          <w:spacing w:val="-4"/>
        </w:rPr>
        <w:t> </w:t>
      </w:r>
      <w:r>
        <w:rPr/>
        <w:t>an</w:t>
      </w:r>
      <w:r>
        <w:rPr>
          <w:spacing w:val="-1"/>
        </w:rPr>
        <w:t> </w:t>
      </w:r>
      <w:r>
        <w:rPr/>
        <w:t>IMD</w:t>
      </w:r>
      <w:r>
        <w:rPr>
          <w:spacing w:val="-4"/>
        </w:rPr>
        <w:t> </w:t>
      </w:r>
      <w:r>
        <w:rPr/>
        <w:t>work</w:t>
      </w:r>
    </w:p>
    <w:p>
      <w:pPr>
        <w:spacing w:after="0"/>
        <w:sectPr>
          <w:pgSz w:w="12240" w:h="15840"/>
          <w:pgMar w:header="0" w:footer="1201" w:top="1360" w:bottom="1400" w:left="1200" w:right="400"/>
        </w:sectPr>
      </w:pPr>
    </w:p>
    <w:p>
      <w:pPr>
        <w:pStyle w:val="BodyText"/>
        <w:spacing w:before="79"/>
        <w:ind w:left="871" w:right="1059"/>
      </w:pPr>
      <w:r>
        <w:rPr/>
        <w:t>to</w:t>
      </w:r>
      <w:r>
        <w:rPr>
          <w:spacing w:val="-4"/>
        </w:rPr>
        <w:t> </w:t>
      </w:r>
      <w:r>
        <w:rPr/>
        <w:t>meet</w:t>
      </w:r>
      <w:r>
        <w:rPr>
          <w:spacing w:val="-4"/>
        </w:rPr>
        <w:t> </w:t>
      </w:r>
      <w:r>
        <w:rPr/>
        <w:t>applicable</w:t>
      </w:r>
      <w:r>
        <w:rPr>
          <w:spacing w:val="-5"/>
        </w:rPr>
        <w:t> </w:t>
      </w:r>
      <w:r>
        <w:rPr/>
        <w:t>requirements,</w:t>
      </w:r>
      <w:r>
        <w:rPr>
          <w:spacing w:val="-4"/>
        </w:rPr>
        <w:t> </w:t>
      </w:r>
      <w:r>
        <w:rPr/>
        <w:t>including</w:t>
      </w:r>
      <w:r>
        <w:rPr>
          <w:spacing w:val="-7"/>
        </w:rPr>
        <w:t> </w:t>
      </w:r>
      <w:r>
        <w:rPr/>
        <w:t>accreditation,</w:t>
      </w:r>
      <w:r>
        <w:rPr>
          <w:spacing w:val="-4"/>
        </w:rPr>
        <w:t> </w:t>
      </w:r>
      <w:r>
        <w:rPr/>
        <w:t>under</w:t>
      </w:r>
      <w:r>
        <w:rPr>
          <w:spacing w:val="-5"/>
        </w:rPr>
        <w:t> </w:t>
      </w:r>
      <w:r>
        <w:rPr/>
        <w:t>federal</w:t>
      </w:r>
      <w:r>
        <w:rPr>
          <w:spacing w:val="-4"/>
        </w:rPr>
        <w:t> </w:t>
      </w:r>
      <w:r>
        <w:rPr/>
        <w:t>requirements</w:t>
      </w:r>
      <w:r>
        <w:rPr>
          <w:spacing w:val="-4"/>
        </w:rPr>
        <w:t> </w:t>
      </w:r>
      <w:r>
        <w:rPr/>
        <w:t>to qualify</w:t>
      </w:r>
      <w:r>
        <w:rPr>
          <w:spacing w:val="-9"/>
        </w:rPr>
        <w:t> </w:t>
      </w:r>
      <w:r>
        <w:rPr/>
        <w:t>to</w:t>
      </w:r>
      <w:r>
        <w:rPr>
          <w:spacing w:val="-1"/>
        </w:rPr>
        <w:t> </w:t>
      </w:r>
      <w:r>
        <w:rPr/>
        <w:t>furnish Inpatient</w:t>
      </w:r>
      <w:r>
        <w:rPr>
          <w:spacing w:val="-1"/>
        </w:rPr>
        <w:t> </w:t>
      </w:r>
      <w:r>
        <w:rPr/>
        <w:t>Psychiatric</w:t>
      </w:r>
      <w:r>
        <w:rPr>
          <w:spacing w:val="-3"/>
        </w:rPr>
        <w:t> </w:t>
      </w:r>
      <w:r>
        <w:rPr/>
        <w:t>Services</w:t>
      </w:r>
      <w:r>
        <w:rPr>
          <w:spacing w:val="-1"/>
        </w:rPr>
        <w:t> </w:t>
      </w:r>
      <w:r>
        <w:rPr/>
        <w:t>for</w:t>
      </w:r>
      <w:r>
        <w:rPr>
          <w:spacing w:val="-1"/>
        </w:rPr>
        <w:t> </w:t>
      </w:r>
      <w:r>
        <w:rPr/>
        <w:t>Individuals</w:t>
      </w:r>
      <w:r>
        <w:rPr>
          <w:spacing w:val="-1"/>
        </w:rPr>
        <w:t> </w:t>
      </w:r>
      <w:r>
        <w:rPr/>
        <w:t>under</w:t>
      </w:r>
      <w:r>
        <w:rPr>
          <w:spacing w:val="-3"/>
        </w:rPr>
        <w:t> </w:t>
      </w:r>
      <w:r>
        <w:rPr/>
        <w:t>Age 21</w:t>
      </w:r>
      <w:r>
        <w:rPr>
          <w:spacing w:val="-1"/>
        </w:rPr>
        <w:t> </w:t>
      </w:r>
      <w:r>
        <w:rPr>
          <w:spacing w:val="-2"/>
        </w:rPr>
        <w:t>services.</w:t>
      </w:r>
    </w:p>
    <w:p>
      <w:pPr>
        <w:pStyle w:val="BodyText"/>
        <w:spacing w:before="10"/>
        <w:rPr>
          <w:sz w:val="20"/>
        </w:rPr>
      </w:pPr>
    </w:p>
    <w:p>
      <w:pPr>
        <w:spacing w:before="0"/>
        <w:ind w:left="871" w:right="1059" w:firstLine="0"/>
        <w:jc w:val="left"/>
        <w:rPr>
          <w:sz w:val="24"/>
        </w:rPr>
      </w:pPr>
      <w:r>
        <w:rPr/>
        <w:drawing>
          <wp:anchor distT="0" distB="0" distL="0" distR="0" allowOverlap="1" layoutInCell="1" locked="0" behindDoc="0" simplePos="0" relativeHeight="15823360">
            <wp:simplePos x="0" y="0"/>
            <wp:positionH relativeFrom="page">
              <wp:posOffset>896111</wp:posOffset>
            </wp:positionH>
            <wp:positionV relativeFrom="paragraph">
              <wp:posOffset>35612</wp:posOffset>
            </wp:positionV>
            <wp:extent cx="295655" cy="112763"/>
            <wp:effectExtent l="0" t="0" r="0" b="0"/>
            <wp:wrapNone/>
            <wp:docPr id="196" name="Image 196"/>
            <wp:cNvGraphicFramePr>
              <a:graphicFrameLocks/>
            </wp:cNvGraphicFramePr>
            <a:graphic>
              <a:graphicData uri="http://schemas.openxmlformats.org/drawingml/2006/picture">
                <pic:pic>
                  <pic:nvPicPr>
                    <pic:cNvPr id="196" name="Image 196"/>
                    <pic:cNvPicPr/>
                  </pic:nvPicPr>
                  <pic:blipFill>
                    <a:blip r:embed="rId120" cstate="print"/>
                    <a:stretch>
                      <a:fillRect/>
                    </a:stretch>
                  </pic:blipFill>
                  <pic:spPr>
                    <a:xfrm>
                      <a:off x="0" y="0"/>
                      <a:ext cx="295655" cy="112763"/>
                    </a:xfrm>
                    <a:prstGeom prst="rect">
                      <a:avLst/>
                    </a:prstGeom>
                  </pic:spPr>
                </pic:pic>
              </a:graphicData>
            </a:graphic>
          </wp:anchor>
        </w:drawing>
      </w:r>
      <w:bookmarkStart w:name="7.10. Unallowable Expenditures Under the" w:id="347"/>
      <w:bookmarkEnd w:id="347"/>
      <w:r>
        <w:rPr/>
      </w:r>
      <w:r>
        <w:rPr>
          <w:b/>
          <w:sz w:val="24"/>
        </w:rPr>
        <w:t>Unallowable Expenditures Under the SMI/SED Expenditure Authority #15</w:t>
      </w:r>
      <w:r>
        <w:rPr>
          <w:sz w:val="24"/>
        </w:rPr>
        <w:t>. In addition to the other unallowable costs and caveats already outlined in these STCs, the Commonwealth</w:t>
      </w:r>
      <w:r>
        <w:rPr>
          <w:spacing w:val="-3"/>
          <w:sz w:val="24"/>
        </w:rPr>
        <w:t> </w:t>
      </w:r>
      <w:r>
        <w:rPr>
          <w:sz w:val="24"/>
        </w:rPr>
        <w:t>may</w:t>
      </w:r>
      <w:r>
        <w:rPr>
          <w:spacing w:val="-8"/>
          <w:sz w:val="24"/>
        </w:rPr>
        <w:t> </w:t>
      </w:r>
      <w:r>
        <w:rPr>
          <w:sz w:val="24"/>
        </w:rPr>
        <w:t>not</w:t>
      </w:r>
      <w:r>
        <w:rPr>
          <w:spacing w:val="-1"/>
          <w:sz w:val="24"/>
        </w:rPr>
        <w:t> </w:t>
      </w:r>
      <w:r>
        <w:rPr>
          <w:sz w:val="24"/>
        </w:rPr>
        <w:t>receive</w:t>
      </w:r>
      <w:r>
        <w:rPr>
          <w:spacing w:val="-4"/>
          <w:sz w:val="24"/>
        </w:rPr>
        <w:t> </w:t>
      </w:r>
      <w:r>
        <w:rPr>
          <w:sz w:val="24"/>
        </w:rPr>
        <w:t>FFP</w:t>
      </w:r>
      <w:r>
        <w:rPr>
          <w:spacing w:val="-3"/>
          <w:sz w:val="24"/>
        </w:rPr>
        <w:t> </w:t>
      </w:r>
      <w:r>
        <w:rPr>
          <w:sz w:val="24"/>
        </w:rPr>
        <w:t>under</w:t>
      </w:r>
      <w:r>
        <w:rPr>
          <w:spacing w:val="-2"/>
          <w:sz w:val="24"/>
        </w:rPr>
        <w:t> </w:t>
      </w:r>
      <w:r>
        <w:rPr>
          <w:sz w:val="24"/>
        </w:rPr>
        <w:t>expenditure</w:t>
      </w:r>
      <w:r>
        <w:rPr>
          <w:spacing w:val="-4"/>
          <w:sz w:val="24"/>
        </w:rPr>
        <w:t> </w:t>
      </w:r>
      <w:r>
        <w:rPr>
          <w:sz w:val="24"/>
        </w:rPr>
        <w:t>authority</w:t>
      </w:r>
      <w:r>
        <w:rPr>
          <w:spacing w:val="-8"/>
          <w:sz w:val="24"/>
        </w:rPr>
        <w:t> </w:t>
      </w:r>
      <w:r>
        <w:rPr>
          <w:sz w:val="24"/>
        </w:rPr>
        <w:t>#15</w:t>
      </w:r>
      <w:r>
        <w:rPr>
          <w:spacing w:val="-1"/>
          <w:sz w:val="24"/>
        </w:rPr>
        <w:t> </w:t>
      </w:r>
      <w:r>
        <w:rPr>
          <w:sz w:val="24"/>
        </w:rPr>
        <w:t>approved</w:t>
      </w:r>
      <w:r>
        <w:rPr>
          <w:spacing w:val="-3"/>
          <w:sz w:val="24"/>
        </w:rPr>
        <w:t> </w:t>
      </w:r>
      <w:r>
        <w:rPr>
          <w:sz w:val="24"/>
        </w:rPr>
        <w:t>under</w:t>
      </w:r>
      <w:r>
        <w:rPr>
          <w:spacing w:val="-4"/>
          <w:sz w:val="24"/>
        </w:rPr>
        <w:t> </w:t>
      </w:r>
      <w:r>
        <w:rPr>
          <w:sz w:val="24"/>
        </w:rPr>
        <w:t>this demonstration for any of the following:</w:t>
      </w:r>
    </w:p>
    <w:p>
      <w:pPr>
        <w:pStyle w:val="BodyText"/>
        <w:spacing w:before="10"/>
        <w:rPr>
          <w:sz w:val="20"/>
        </w:rPr>
      </w:pPr>
    </w:p>
    <w:p>
      <w:pPr>
        <w:pStyle w:val="BodyText"/>
        <w:ind w:left="1411" w:right="1059"/>
      </w:pPr>
      <w:r>
        <w:rPr/>
        <w:drawing>
          <wp:anchor distT="0" distB="0" distL="0" distR="0" allowOverlap="1" layoutInCell="1" locked="0" behindDoc="0" simplePos="0" relativeHeight="15823872">
            <wp:simplePos x="0" y="0"/>
            <wp:positionH relativeFrom="page">
              <wp:posOffset>1431036</wp:posOffset>
            </wp:positionH>
            <wp:positionV relativeFrom="paragraph">
              <wp:posOffset>67603</wp:posOffset>
            </wp:positionV>
            <wp:extent cx="96011" cy="80771"/>
            <wp:effectExtent l="0" t="0" r="0" b="0"/>
            <wp:wrapNone/>
            <wp:docPr id="197" name="Image 197"/>
            <wp:cNvGraphicFramePr>
              <a:graphicFrameLocks/>
            </wp:cNvGraphicFramePr>
            <a:graphic>
              <a:graphicData uri="http://schemas.openxmlformats.org/drawingml/2006/picture">
                <pic:pic>
                  <pic:nvPicPr>
                    <pic:cNvPr id="197" name="Image 197"/>
                    <pic:cNvPicPr/>
                  </pic:nvPicPr>
                  <pic:blipFill>
                    <a:blip r:embed="rId29" cstate="print"/>
                    <a:stretch>
                      <a:fillRect/>
                    </a:stretch>
                  </pic:blipFill>
                  <pic:spPr>
                    <a:xfrm>
                      <a:off x="0" y="0"/>
                      <a:ext cx="96011" cy="80771"/>
                    </a:xfrm>
                    <a:prstGeom prst="rect">
                      <a:avLst/>
                    </a:prstGeom>
                  </pic:spPr>
                </pic:pic>
              </a:graphicData>
            </a:graphic>
          </wp:anchor>
        </w:drawing>
      </w:r>
      <w:bookmarkStart w:name="a. Room and board costs for residential " w:id="348"/>
      <w:bookmarkEnd w:id="348"/>
      <w:r>
        <w:rPr/>
      </w:r>
      <w:r>
        <w:rPr/>
        <w:t>Room</w:t>
      </w:r>
      <w:r>
        <w:rPr>
          <w:spacing w:val="-3"/>
        </w:rPr>
        <w:t> </w:t>
      </w:r>
      <w:r>
        <w:rPr/>
        <w:t>and</w:t>
      </w:r>
      <w:r>
        <w:rPr>
          <w:spacing w:val="-3"/>
        </w:rPr>
        <w:t> </w:t>
      </w:r>
      <w:r>
        <w:rPr/>
        <w:t>board</w:t>
      </w:r>
      <w:r>
        <w:rPr>
          <w:spacing w:val="-3"/>
        </w:rPr>
        <w:t> </w:t>
      </w:r>
      <w:r>
        <w:rPr/>
        <w:t>costs</w:t>
      </w:r>
      <w:r>
        <w:rPr>
          <w:spacing w:val="-3"/>
        </w:rPr>
        <w:t> </w:t>
      </w:r>
      <w:r>
        <w:rPr/>
        <w:t>for</w:t>
      </w:r>
      <w:r>
        <w:rPr>
          <w:spacing w:val="-4"/>
        </w:rPr>
        <w:t> </w:t>
      </w:r>
      <w:r>
        <w:rPr/>
        <w:t>residential</w:t>
      </w:r>
      <w:r>
        <w:rPr>
          <w:spacing w:val="-3"/>
        </w:rPr>
        <w:t> </w:t>
      </w:r>
      <w:r>
        <w:rPr/>
        <w:t>treatment</w:t>
      </w:r>
      <w:r>
        <w:rPr>
          <w:spacing w:val="-3"/>
        </w:rPr>
        <w:t> </w:t>
      </w:r>
      <w:r>
        <w:rPr/>
        <w:t>service</w:t>
      </w:r>
      <w:r>
        <w:rPr>
          <w:spacing w:val="-4"/>
        </w:rPr>
        <w:t> </w:t>
      </w:r>
      <w:r>
        <w:rPr/>
        <w:t>providers</w:t>
      </w:r>
      <w:r>
        <w:rPr>
          <w:spacing w:val="-3"/>
        </w:rPr>
        <w:t> </w:t>
      </w:r>
      <w:r>
        <w:rPr/>
        <w:t>unless</w:t>
      </w:r>
      <w:r>
        <w:rPr>
          <w:spacing w:val="-3"/>
        </w:rPr>
        <w:t> </w:t>
      </w:r>
      <w:r>
        <w:rPr/>
        <w:t>they</w:t>
      </w:r>
      <w:r>
        <w:rPr>
          <w:spacing w:val="-6"/>
        </w:rPr>
        <w:t> </w:t>
      </w:r>
      <w:r>
        <w:rPr/>
        <w:t>qualify as inpatient facilities under section 1905(a) of the Act.</w:t>
      </w:r>
    </w:p>
    <w:p>
      <w:pPr>
        <w:pStyle w:val="BodyText"/>
        <w:spacing w:before="10"/>
        <w:rPr>
          <w:sz w:val="20"/>
        </w:rPr>
      </w:pPr>
    </w:p>
    <w:p>
      <w:pPr>
        <w:pStyle w:val="BodyText"/>
        <w:ind w:left="1411" w:right="1059"/>
      </w:pPr>
      <w:r>
        <w:rPr/>
        <w:drawing>
          <wp:anchor distT="0" distB="0" distL="0" distR="0" allowOverlap="1" layoutInCell="1" locked="0" behindDoc="0" simplePos="0" relativeHeight="15824384">
            <wp:simplePos x="0" y="0"/>
            <wp:positionH relativeFrom="page">
              <wp:posOffset>1424939</wp:posOffset>
            </wp:positionH>
            <wp:positionV relativeFrom="paragraph">
              <wp:posOffset>32551</wp:posOffset>
            </wp:positionV>
            <wp:extent cx="111251" cy="115823"/>
            <wp:effectExtent l="0" t="0" r="0" b="0"/>
            <wp:wrapNone/>
            <wp:docPr id="198" name="Image 198"/>
            <wp:cNvGraphicFramePr>
              <a:graphicFrameLocks/>
            </wp:cNvGraphicFramePr>
            <a:graphic>
              <a:graphicData uri="http://schemas.openxmlformats.org/drawingml/2006/picture">
                <pic:pic>
                  <pic:nvPicPr>
                    <pic:cNvPr id="198" name="Image 198"/>
                    <pic:cNvPicPr/>
                  </pic:nvPicPr>
                  <pic:blipFill>
                    <a:blip r:embed="rId30" cstate="print"/>
                    <a:stretch>
                      <a:fillRect/>
                    </a:stretch>
                  </pic:blipFill>
                  <pic:spPr>
                    <a:xfrm>
                      <a:off x="0" y="0"/>
                      <a:ext cx="111251" cy="115823"/>
                    </a:xfrm>
                    <a:prstGeom prst="rect">
                      <a:avLst/>
                    </a:prstGeom>
                  </pic:spPr>
                </pic:pic>
              </a:graphicData>
            </a:graphic>
          </wp:anchor>
        </w:drawing>
      </w:r>
      <w:bookmarkStart w:name="b. Costs for services furnished to benef" w:id="349"/>
      <w:bookmarkEnd w:id="349"/>
      <w:r>
        <w:rPr/>
      </w:r>
      <w:r>
        <w:rPr/>
        <w:t>Costs</w:t>
      </w:r>
      <w:r>
        <w:rPr>
          <w:spacing w:val="-3"/>
        </w:rPr>
        <w:t> </w:t>
      </w:r>
      <w:r>
        <w:rPr/>
        <w:t>for</w:t>
      </w:r>
      <w:r>
        <w:rPr>
          <w:spacing w:val="-4"/>
        </w:rPr>
        <w:t> </w:t>
      </w:r>
      <w:r>
        <w:rPr/>
        <w:t>services</w:t>
      </w:r>
      <w:r>
        <w:rPr>
          <w:spacing w:val="-3"/>
        </w:rPr>
        <w:t> </w:t>
      </w:r>
      <w:r>
        <w:rPr/>
        <w:t>furnished</w:t>
      </w:r>
      <w:r>
        <w:rPr>
          <w:spacing w:val="-3"/>
        </w:rPr>
        <w:t> </w:t>
      </w:r>
      <w:r>
        <w:rPr/>
        <w:t>to</w:t>
      </w:r>
      <w:r>
        <w:rPr>
          <w:spacing w:val="-3"/>
        </w:rPr>
        <w:t> </w:t>
      </w:r>
      <w:r>
        <w:rPr/>
        <w:t>beneficiaries</w:t>
      </w:r>
      <w:r>
        <w:rPr>
          <w:spacing w:val="-3"/>
        </w:rPr>
        <w:t> </w:t>
      </w:r>
      <w:r>
        <w:rPr/>
        <w:t>who</w:t>
      </w:r>
      <w:r>
        <w:rPr>
          <w:spacing w:val="-1"/>
        </w:rPr>
        <w:t> </w:t>
      </w:r>
      <w:r>
        <w:rPr/>
        <w:t>are</w:t>
      </w:r>
      <w:r>
        <w:rPr>
          <w:spacing w:val="-4"/>
        </w:rPr>
        <w:t> </w:t>
      </w:r>
      <w:r>
        <w:rPr/>
        <w:t>residents</w:t>
      </w:r>
      <w:r>
        <w:rPr>
          <w:spacing w:val="-3"/>
        </w:rPr>
        <w:t> </w:t>
      </w:r>
      <w:r>
        <w:rPr/>
        <w:t>in</w:t>
      </w:r>
      <w:r>
        <w:rPr>
          <w:spacing w:val="-3"/>
        </w:rPr>
        <w:t> </w:t>
      </w:r>
      <w:r>
        <w:rPr/>
        <w:t>a</w:t>
      </w:r>
      <w:r>
        <w:rPr>
          <w:spacing w:val="-4"/>
        </w:rPr>
        <w:t> </w:t>
      </w:r>
      <w:r>
        <w:rPr/>
        <w:t>nursing</w:t>
      </w:r>
      <w:r>
        <w:rPr>
          <w:spacing w:val="-3"/>
        </w:rPr>
        <w:t> </w:t>
      </w:r>
      <w:r>
        <w:rPr/>
        <w:t>facility</w:t>
      </w:r>
      <w:r>
        <w:rPr>
          <w:spacing w:val="-8"/>
        </w:rPr>
        <w:t> </w:t>
      </w:r>
      <w:r>
        <w:rPr/>
        <w:t>as defined in section 1919 of the Act that qualifies as an IMD.</w:t>
      </w:r>
    </w:p>
    <w:p>
      <w:pPr>
        <w:pStyle w:val="BodyText"/>
        <w:spacing w:before="10"/>
        <w:rPr>
          <w:sz w:val="20"/>
        </w:rPr>
      </w:pPr>
    </w:p>
    <w:p>
      <w:pPr>
        <w:pStyle w:val="BodyText"/>
        <w:ind w:left="1411" w:right="1059"/>
      </w:pPr>
      <w:r>
        <w:rPr/>
        <w:drawing>
          <wp:anchor distT="0" distB="0" distL="0" distR="0" allowOverlap="1" layoutInCell="1" locked="0" behindDoc="0" simplePos="0" relativeHeight="15824896">
            <wp:simplePos x="0" y="0"/>
            <wp:positionH relativeFrom="page">
              <wp:posOffset>1431036</wp:posOffset>
            </wp:positionH>
            <wp:positionV relativeFrom="paragraph">
              <wp:posOffset>67604</wp:posOffset>
            </wp:positionV>
            <wp:extent cx="96011" cy="80771"/>
            <wp:effectExtent l="0" t="0" r="0" b="0"/>
            <wp:wrapNone/>
            <wp:docPr id="199" name="Image 199"/>
            <wp:cNvGraphicFramePr>
              <a:graphicFrameLocks/>
            </wp:cNvGraphicFramePr>
            <a:graphic>
              <a:graphicData uri="http://schemas.openxmlformats.org/drawingml/2006/picture">
                <pic:pic>
                  <pic:nvPicPr>
                    <pic:cNvPr id="199" name="Image 199"/>
                    <pic:cNvPicPr/>
                  </pic:nvPicPr>
                  <pic:blipFill>
                    <a:blip r:embed="rId35" cstate="print"/>
                    <a:stretch>
                      <a:fillRect/>
                    </a:stretch>
                  </pic:blipFill>
                  <pic:spPr>
                    <a:xfrm>
                      <a:off x="0" y="0"/>
                      <a:ext cx="96011" cy="80771"/>
                    </a:xfrm>
                    <a:prstGeom prst="rect">
                      <a:avLst/>
                    </a:prstGeom>
                  </pic:spPr>
                </pic:pic>
              </a:graphicData>
            </a:graphic>
          </wp:anchor>
        </w:drawing>
      </w:r>
      <w:bookmarkStart w:name="c. Costs for services furnished to benef" w:id="350"/>
      <w:bookmarkEnd w:id="350"/>
      <w:r>
        <w:rPr/>
      </w:r>
      <w:r>
        <w:rPr/>
        <w:t>Costs for services furnished to beneficiaries who are involuntarily residing in a psychiatric</w:t>
      </w:r>
      <w:r>
        <w:rPr>
          <w:spacing w:val="-4"/>
        </w:rPr>
        <w:t> </w:t>
      </w:r>
      <w:r>
        <w:rPr/>
        <w:t>hospital</w:t>
      </w:r>
      <w:r>
        <w:rPr>
          <w:spacing w:val="-3"/>
        </w:rPr>
        <w:t> </w:t>
      </w:r>
      <w:r>
        <w:rPr/>
        <w:t>or</w:t>
      </w:r>
      <w:r>
        <w:rPr>
          <w:spacing w:val="-4"/>
        </w:rPr>
        <w:t> </w:t>
      </w:r>
      <w:r>
        <w:rPr/>
        <w:t>residential</w:t>
      </w:r>
      <w:r>
        <w:rPr>
          <w:spacing w:val="-3"/>
        </w:rPr>
        <w:t> </w:t>
      </w:r>
      <w:r>
        <w:rPr/>
        <w:t>treatment</w:t>
      </w:r>
      <w:r>
        <w:rPr>
          <w:spacing w:val="-3"/>
        </w:rPr>
        <w:t> </w:t>
      </w:r>
      <w:r>
        <w:rPr/>
        <w:t>facility</w:t>
      </w:r>
      <w:r>
        <w:rPr>
          <w:spacing w:val="-6"/>
        </w:rPr>
        <w:t> </w:t>
      </w:r>
      <w:r>
        <w:rPr/>
        <w:t>by</w:t>
      </w:r>
      <w:r>
        <w:rPr>
          <w:spacing w:val="-8"/>
        </w:rPr>
        <w:t> </w:t>
      </w:r>
      <w:r>
        <w:rPr/>
        <w:t>operation</w:t>
      </w:r>
      <w:r>
        <w:rPr>
          <w:spacing w:val="-3"/>
        </w:rPr>
        <w:t> </w:t>
      </w:r>
      <w:r>
        <w:rPr/>
        <w:t>of</w:t>
      </w:r>
      <w:r>
        <w:rPr>
          <w:spacing w:val="-4"/>
        </w:rPr>
        <w:t> </w:t>
      </w:r>
      <w:r>
        <w:rPr/>
        <w:t>criminal</w:t>
      </w:r>
      <w:r>
        <w:rPr>
          <w:spacing w:val="-3"/>
        </w:rPr>
        <w:t> </w:t>
      </w:r>
      <w:r>
        <w:rPr/>
        <w:t>law.</w:t>
      </w:r>
    </w:p>
    <w:p>
      <w:pPr>
        <w:pStyle w:val="BodyText"/>
        <w:spacing w:before="10"/>
        <w:rPr>
          <w:sz w:val="20"/>
        </w:rPr>
      </w:pPr>
    </w:p>
    <w:p>
      <w:pPr>
        <w:pStyle w:val="BodyText"/>
        <w:ind w:left="1411" w:right="1141"/>
      </w:pPr>
      <w:r>
        <w:rPr/>
        <w:drawing>
          <wp:anchor distT="0" distB="0" distL="0" distR="0" allowOverlap="1" layoutInCell="1" locked="0" behindDoc="0" simplePos="0" relativeHeight="15825408">
            <wp:simplePos x="0" y="0"/>
            <wp:positionH relativeFrom="page">
              <wp:posOffset>1431036</wp:posOffset>
            </wp:positionH>
            <wp:positionV relativeFrom="paragraph">
              <wp:posOffset>32551</wp:posOffset>
            </wp:positionV>
            <wp:extent cx="105155" cy="115823"/>
            <wp:effectExtent l="0" t="0" r="0" b="0"/>
            <wp:wrapNone/>
            <wp:docPr id="200" name="Image 200"/>
            <wp:cNvGraphicFramePr>
              <a:graphicFrameLocks/>
            </wp:cNvGraphicFramePr>
            <a:graphic>
              <a:graphicData uri="http://schemas.openxmlformats.org/drawingml/2006/picture">
                <pic:pic>
                  <pic:nvPicPr>
                    <pic:cNvPr id="200" name="Image 200"/>
                    <pic:cNvPicPr/>
                  </pic:nvPicPr>
                  <pic:blipFill>
                    <a:blip r:embed="rId36" cstate="print"/>
                    <a:stretch>
                      <a:fillRect/>
                    </a:stretch>
                  </pic:blipFill>
                  <pic:spPr>
                    <a:xfrm>
                      <a:off x="0" y="0"/>
                      <a:ext cx="105155" cy="115823"/>
                    </a:xfrm>
                    <a:prstGeom prst="rect">
                      <a:avLst/>
                    </a:prstGeom>
                  </pic:spPr>
                </pic:pic>
              </a:graphicData>
            </a:graphic>
          </wp:anchor>
        </w:drawing>
      </w:r>
      <w:bookmarkStart w:name="d. Costs for services provided to benefi" w:id="351"/>
      <w:bookmarkEnd w:id="351"/>
      <w:r>
        <w:rPr/>
      </w:r>
      <w:r>
        <w:rPr/>
        <w:t>Costs</w:t>
      </w:r>
      <w:r>
        <w:rPr>
          <w:spacing w:val="-3"/>
        </w:rPr>
        <w:t> </w:t>
      </w:r>
      <w:r>
        <w:rPr/>
        <w:t>for</w:t>
      </w:r>
      <w:r>
        <w:rPr>
          <w:spacing w:val="-4"/>
        </w:rPr>
        <w:t> </w:t>
      </w:r>
      <w:r>
        <w:rPr/>
        <w:t>services</w:t>
      </w:r>
      <w:r>
        <w:rPr>
          <w:spacing w:val="-3"/>
        </w:rPr>
        <w:t> </w:t>
      </w:r>
      <w:r>
        <w:rPr/>
        <w:t>provided</w:t>
      </w:r>
      <w:r>
        <w:rPr>
          <w:spacing w:val="-3"/>
        </w:rPr>
        <w:t> </w:t>
      </w:r>
      <w:r>
        <w:rPr/>
        <w:t>to</w:t>
      </w:r>
      <w:r>
        <w:rPr>
          <w:spacing w:val="-3"/>
        </w:rPr>
        <w:t> </w:t>
      </w:r>
      <w:r>
        <w:rPr/>
        <w:t>beneficiaries</w:t>
      </w:r>
      <w:r>
        <w:rPr>
          <w:spacing w:val="-3"/>
        </w:rPr>
        <w:t> </w:t>
      </w:r>
      <w:r>
        <w:rPr/>
        <w:t>under</w:t>
      </w:r>
      <w:r>
        <w:rPr>
          <w:spacing w:val="-2"/>
        </w:rPr>
        <w:t> </w:t>
      </w:r>
      <w:r>
        <w:rPr/>
        <w:t>age</w:t>
      </w:r>
      <w:r>
        <w:rPr>
          <w:spacing w:val="-4"/>
        </w:rPr>
        <w:t> </w:t>
      </w:r>
      <w:r>
        <w:rPr/>
        <w:t>21</w:t>
      </w:r>
      <w:r>
        <w:rPr>
          <w:spacing w:val="-3"/>
        </w:rPr>
        <w:t> </w:t>
      </w:r>
      <w:r>
        <w:rPr/>
        <w:t>residing</w:t>
      </w:r>
      <w:r>
        <w:rPr>
          <w:spacing w:val="-6"/>
        </w:rPr>
        <w:t> </w:t>
      </w:r>
      <w:r>
        <w:rPr/>
        <w:t>in</w:t>
      </w:r>
      <w:r>
        <w:rPr>
          <w:spacing w:val="-3"/>
        </w:rPr>
        <w:t> </w:t>
      </w:r>
      <w:r>
        <w:rPr/>
        <w:t>an</w:t>
      </w:r>
      <w:r>
        <w:rPr>
          <w:spacing w:val="-1"/>
        </w:rPr>
        <w:t> </w:t>
      </w:r>
      <w:r>
        <w:rPr/>
        <w:t>IMD</w:t>
      </w:r>
      <w:r>
        <w:rPr>
          <w:spacing w:val="-4"/>
        </w:rPr>
        <w:t> </w:t>
      </w:r>
      <w:r>
        <w:rPr/>
        <w:t>unless the IMD meets the requirements for the “inpatient psychiatric services for individuals under age 21” benefit under 42 CFR 440.160, 441 Subpart D, and 483 Subpart G, except as temporarily provided for in STC 7.9.</w:t>
      </w:r>
    </w:p>
    <w:p>
      <w:pPr>
        <w:pStyle w:val="BodyText"/>
        <w:spacing w:before="10"/>
        <w:rPr>
          <w:sz w:val="20"/>
        </w:rPr>
      </w:pPr>
    </w:p>
    <w:p>
      <w:pPr>
        <w:pStyle w:val="Heading4"/>
        <w:numPr>
          <w:ilvl w:val="0"/>
          <w:numId w:val="3"/>
        </w:numPr>
        <w:tabs>
          <w:tab w:pos="600" w:val="left" w:leader="none"/>
        </w:tabs>
        <w:spacing w:line="240" w:lineRule="auto" w:before="0" w:after="0"/>
        <w:ind w:left="600" w:right="0" w:hanging="360"/>
        <w:jc w:val="left"/>
      </w:pPr>
      <w:bookmarkStart w:name="8. DELIVERY SYSTEM" w:id="352"/>
      <w:bookmarkEnd w:id="352"/>
      <w:r>
        <w:rPr>
          <w:b w:val="0"/>
        </w:rPr>
      </w:r>
      <w:r>
        <w:rPr/>
        <w:t>DELIVERY</w:t>
      </w:r>
      <w:r>
        <w:rPr>
          <w:spacing w:val="-4"/>
        </w:rPr>
        <w:t> </w:t>
      </w:r>
      <w:r>
        <w:rPr>
          <w:spacing w:val="-2"/>
        </w:rPr>
        <w:t>SYSTEM</w:t>
      </w:r>
    </w:p>
    <w:p>
      <w:pPr>
        <w:pStyle w:val="BodyText"/>
        <w:spacing w:before="10"/>
        <w:rPr>
          <w:b/>
          <w:sz w:val="20"/>
        </w:rPr>
      </w:pPr>
    </w:p>
    <w:p>
      <w:pPr>
        <w:pStyle w:val="BodyText"/>
        <w:ind w:left="240" w:right="1059"/>
      </w:pPr>
      <w:r>
        <w:rPr/>
        <w:t>The</w:t>
      </w:r>
      <w:r>
        <w:rPr>
          <w:spacing w:val="-5"/>
        </w:rPr>
        <w:t> </w:t>
      </w:r>
      <w:r>
        <w:rPr/>
        <w:t>MassHealth</w:t>
      </w:r>
      <w:r>
        <w:rPr>
          <w:spacing w:val="-4"/>
        </w:rPr>
        <w:t> </w:t>
      </w:r>
      <w:r>
        <w:rPr/>
        <w:t>section</w:t>
      </w:r>
      <w:r>
        <w:rPr>
          <w:spacing w:val="-4"/>
        </w:rPr>
        <w:t> </w:t>
      </w:r>
      <w:r>
        <w:rPr/>
        <w:t>1115</w:t>
      </w:r>
      <w:r>
        <w:rPr>
          <w:spacing w:val="-4"/>
        </w:rPr>
        <w:t> </w:t>
      </w:r>
      <w:r>
        <w:rPr/>
        <w:t>demonstration</w:t>
      </w:r>
      <w:r>
        <w:rPr>
          <w:spacing w:val="-4"/>
        </w:rPr>
        <w:t> </w:t>
      </w:r>
      <w:r>
        <w:rPr/>
        <w:t>provides</w:t>
      </w:r>
      <w:r>
        <w:rPr>
          <w:spacing w:val="-4"/>
        </w:rPr>
        <w:t> </w:t>
      </w:r>
      <w:r>
        <w:rPr/>
        <w:t>benefits</w:t>
      </w:r>
      <w:r>
        <w:rPr>
          <w:spacing w:val="-4"/>
        </w:rPr>
        <w:t> </w:t>
      </w:r>
      <w:r>
        <w:rPr/>
        <w:t>through</w:t>
      </w:r>
      <w:r>
        <w:rPr>
          <w:spacing w:val="-4"/>
        </w:rPr>
        <w:t> </w:t>
      </w:r>
      <w:r>
        <w:rPr/>
        <w:t>multiple</w:t>
      </w:r>
      <w:r>
        <w:rPr>
          <w:spacing w:val="-5"/>
        </w:rPr>
        <w:t> </w:t>
      </w:r>
      <w:r>
        <w:rPr/>
        <w:t>delivery</w:t>
      </w:r>
      <w:r>
        <w:rPr>
          <w:spacing w:val="-9"/>
        </w:rPr>
        <w:t> </w:t>
      </w:r>
      <w:r>
        <w:rPr/>
        <w:t>systems and programs. A fundamental philosophy of MassHealth is that the Commonwealth will enable beneficiaries to take advantage of available and qualified employer-sponsored insurance (ESI) if cost effective. These circumstances include the availability of ESI, the employer’s contribution level meeting a state-specified minimum, and its cost-effectiveness.</w:t>
      </w:r>
    </w:p>
    <w:p>
      <w:pPr>
        <w:pStyle w:val="BodyText"/>
        <w:spacing w:before="9"/>
        <w:rPr>
          <w:sz w:val="37"/>
        </w:rPr>
      </w:pPr>
    </w:p>
    <w:p>
      <w:pPr>
        <w:pStyle w:val="BodyText"/>
        <w:ind w:left="239" w:right="1059"/>
      </w:pPr>
      <w:r>
        <w:rPr/>
        <w:t>MassHealth pays for medical benefits directly (direct coverage) only if no other source of payment is available and cost-effective. Beneficiaries are required, as a condition of eligibility under some coverage types, to obtain or maintain private health insurance if MassHealth determines it is cost effective to do so, with the premium assistance necessary to make it affordable</w:t>
      </w:r>
      <w:r>
        <w:rPr>
          <w:spacing w:val="-5"/>
        </w:rPr>
        <w:t> </w:t>
      </w:r>
      <w:r>
        <w:rPr/>
        <w:t>for</w:t>
      </w:r>
      <w:r>
        <w:rPr>
          <w:spacing w:val="-5"/>
        </w:rPr>
        <w:t> </w:t>
      </w:r>
      <w:r>
        <w:rPr/>
        <w:t>the</w:t>
      </w:r>
      <w:r>
        <w:rPr>
          <w:spacing w:val="-5"/>
        </w:rPr>
        <w:t> </w:t>
      </w:r>
      <w:r>
        <w:rPr/>
        <w:t>beneficiary.</w:t>
      </w:r>
      <w:r>
        <w:rPr>
          <w:spacing w:val="40"/>
        </w:rPr>
        <w:t> </w:t>
      </w:r>
      <w:r>
        <w:rPr/>
        <w:t>All</w:t>
      </w:r>
      <w:r>
        <w:rPr>
          <w:spacing w:val="-4"/>
        </w:rPr>
        <w:t> </w:t>
      </w:r>
      <w:r>
        <w:rPr/>
        <w:t>demonstration</w:t>
      </w:r>
      <w:r>
        <w:rPr>
          <w:spacing w:val="-4"/>
        </w:rPr>
        <w:t> </w:t>
      </w:r>
      <w:r>
        <w:rPr/>
        <w:t>programs,</w:t>
      </w:r>
      <w:r>
        <w:rPr>
          <w:spacing w:val="-4"/>
        </w:rPr>
        <w:t> </w:t>
      </w:r>
      <w:r>
        <w:rPr/>
        <w:t>except</w:t>
      </w:r>
      <w:r>
        <w:rPr>
          <w:spacing w:val="-4"/>
        </w:rPr>
        <w:t> </w:t>
      </w:r>
      <w:r>
        <w:rPr/>
        <w:t>MassHealth</w:t>
      </w:r>
      <w:r>
        <w:rPr>
          <w:spacing w:val="-2"/>
        </w:rPr>
        <w:t> </w:t>
      </w:r>
      <w:r>
        <w:rPr/>
        <w:t>Limited,</w:t>
      </w:r>
      <w:r>
        <w:rPr>
          <w:spacing w:val="-4"/>
        </w:rPr>
        <w:t> </w:t>
      </w:r>
      <w:r>
        <w:rPr/>
        <w:t>have</w:t>
      </w:r>
      <w:r>
        <w:rPr>
          <w:spacing w:val="-5"/>
        </w:rPr>
        <w:t> </w:t>
      </w:r>
      <w:r>
        <w:rPr/>
        <w:t>a premium assistance component.</w:t>
      </w:r>
    </w:p>
    <w:p>
      <w:pPr>
        <w:pStyle w:val="BodyText"/>
        <w:spacing w:before="10"/>
        <w:rPr>
          <w:sz w:val="20"/>
        </w:rPr>
      </w:pPr>
    </w:p>
    <w:p>
      <w:pPr>
        <w:spacing w:before="1"/>
        <w:ind w:left="871" w:right="1059" w:firstLine="0"/>
        <w:jc w:val="left"/>
        <w:rPr>
          <w:sz w:val="24"/>
        </w:rPr>
      </w:pPr>
      <w:r>
        <w:rPr/>
        <w:drawing>
          <wp:anchor distT="0" distB="0" distL="0" distR="0" allowOverlap="1" layoutInCell="1" locked="0" behindDoc="0" simplePos="0" relativeHeight="15825920">
            <wp:simplePos x="0" y="0"/>
            <wp:positionH relativeFrom="page">
              <wp:posOffset>978408</wp:posOffset>
            </wp:positionH>
            <wp:positionV relativeFrom="paragraph">
              <wp:posOffset>36234</wp:posOffset>
            </wp:positionV>
            <wp:extent cx="214883" cy="112775"/>
            <wp:effectExtent l="0" t="0" r="0" b="0"/>
            <wp:wrapNone/>
            <wp:docPr id="201" name="Image 201"/>
            <wp:cNvGraphicFramePr>
              <a:graphicFrameLocks/>
            </wp:cNvGraphicFramePr>
            <a:graphic>
              <a:graphicData uri="http://schemas.openxmlformats.org/drawingml/2006/picture">
                <pic:pic>
                  <pic:nvPicPr>
                    <pic:cNvPr id="201" name="Image 201"/>
                    <pic:cNvPicPr/>
                  </pic:nvPicPr>
                  <pic:blipFill>
                    <a:blip r:embed="rId121" cstate="print"/>
                    <a:stretch>
                      <a:fillRect/>
                    </a:stretch>
                  </pic:blipFill>
                  <pic:spPr>
                    <a:xfrm>
                      <a:off x="0" y="0"/>
                      <a:ext cx="214883" cy="112775"/>
                    </a:xfrm>
                    <a:prstGeom prst="rect">
                      <a:avLst/>
                    </a:prstGeom>
                  </pic:spPr>
                </pic:pic>
              </a:graphicData>
            </a:graphic>
          </wp:anchor>
        </w:drawing>
      </w:r>
      <w:bookmarkStart w:name="8.1. Direct Coverage and Eligibility for" w:id="353"/>
      <w:bookmarkEnd w:id="353"/>
      <w:r>
        <w:rPr/>
      </w:r>
      <w:r>
        <w:rPr>
          <w:b/>
          <w:sz w:val="24"/>
        </w:rPr>
        <w:t>Direct Coverage and Eligibility for Managed Care. </w:t>
      </w:r>
      <w:r>
        <w:rPr>
          <w:sz w:val="24"/>
        </w:rPr>
        <w:t>MassHealth benefits provided through</w:t>
      </w:r>
      <w:r>
        <w:rPr>
          <w:spacing w:val="-3"/>
          <w:sz w:val="24"/>
        </w:rPr>
        <w:t> </w:t>
      </w:r>
      <w:r>
        <w:rPr>
          <w:sz w:val="24"/>
        </w:rPr>
        <w:t>direct</w:t>
      </w:r>
      <w:r>
        <w:rPr>
          <w:spacing w:val="-3"/>
          <w:sz w:val="24"/>
        </w:rPr>
        <w:t> </w:t>
      </w:r>
      <w:r>
        <w:rPr>
          <w:sz w:val="24"/>
        </w:rPr>
        <w:t>coverage</w:t>
      </w:r>
      <w:r>
        <w:rPr>
          <w:spacing w:val="-4"/>
          <w:sz w:val="24"/>
        </w:rPr>
        <w:t> </w:t>
      </w:r>
      <w:r>
        <w:rPr>
          <w:sz w:val="24"/>
        </w:rPr>
        <w:t>are</w:t>
      </w:r>
      <w:r>
        <w:rPr>
          <w:spacing w:val="-4"/>
          <w:sz w:val="24"/>
        </w:rPr>
        <w:t> </w:t>
      </w:r>
      <w:r>
        <w:rPr>
          <w:sz w:val="24"/>
        </w:rPr>
        <w:t>delivered</w:t>
      </w:r>
      <w:r>
        <w:rPr>
          <w:spacing w:val="-3"/>
          <w:sz w:val="24"/>
        </w:rPr>
        <w:t> </w:t>
      </w:r>
      <w:r>
        <w:rPr>
          <w:sz w:val="24"/>
        </w:rPr>
        <w:t>through</w:t>
      </w:r>
      <w:r>
        <w:rPr>
          <w:spacing w:val="-3"/>
          <w:sz w:val="24"/>
        </w:rPr>
        <w:t> </w:t>
      </w:r>
      <w:r>
        <w:rPr>
          <w:sz w:val="24"/>
        </w:rPr>
        <w:t>the</w:t>
      </w:r>
      <w:r>
        <w:rPr>
          <w:spacing w:val="-4"/>
          <w:sz w:val="24"/>
        </w:rPr>
        <w:t> </w:t>
      </w:r>
      <w:r>
        <w:rPr>
          <w:sz w:val="24"/>
        </w:rPr>
        <w:t>following</w:t>
      </w:r>
      <w:r>
        <w:rPr>
          <w:spacing w:val="-6"/>
          <w:sz w:val="24"/>
        </w:rPr>
        <w:t> </w:t>
      </w:r>
      <w:r>
        <w:rPr>
          <w:sz w:val="24"/>
        </w:rPr>
        <w:t>delivery</w:t>
      </w:r>
      <w:r>
        <w:rPr>
          <w:spacing w:val="-8"/>
          <w:sz w:val="24"/>
        </w:rPr>
        <w:t> </w:t>
      </w:r>
      <w:r>
        <w:rPr>
          <w:sz w:val="24"/>
        </w:rPr>
        <w:t>systems</w:t>
      </w:r>
      <w:r>
        <w:rPr>
          <w:spacing w:val="-3"/>
          <w:sz w:val="24"/>
        </w:rPr>
        <w:t> </w:t>
      </w:r>
      <w:r>
        <w:rPr>
          <w:sz w:val="24"/>
        </w:rPr>
        <w:t>under</w:t>
      </w:r>
      <w:r>
        <w:rPr>
          <w:spacing w:val="-4"/>
          <w:sz w:val="24"/>
        </w:rPr>
        <w:t> </w:t>
      </w:r>
      <w:r>
        <w:rPr>
          <w:sz w:val="24"/>
        </w:rPr>
        <w:t>the demonstration, grouped into four categories:</w:t>
      </w:r>
    </w:p>
    <w:p>
      <w:pPr>
        <w:pStyle w:val="BodyText"/>
        <w:spacing w:before="9"/>
        <w:rPr>
          <w:sz w:val="20"/>
        </w:rPr>
      </w:pPr>
    </w:p>
    <w:p>
      <w:pPr>
        <w:pStyle w:val="BodyText"/>
        <w:spacing w:before="1"/>
        <w:ind w:left="1411"/>
      </w:pPr>
      <w:r>
        <w:rPr/>
        <w:drawing>
          <wp:anchor distT="0" distB="0" distL="0" distR="0" allowOverlap="1" layoutInCell="1" locked="0" behindDoc="0" simplePos="0" relativeHeight="15826432">
            <wp:simplePos x="0" y="0"/>
            <wp:positionH relativeFrom="page">
              <wp:posOffset>1431036</wp:posOffset>
            </wp:positionH>
            <wp:positionV relativeFrom="paragraph">
              <wp:posOffset>68238</wp:posOffset>
            </wp:positionV>
            <wp:extent cx="96011" cy="80771"/>
            <wp:effectExtent l="0" t="0" r="0" b="0"/>
            <wp:wrapNone/>
            <wp:docPr id="202" name="Image 202"/>
            <wp:cNvGraphicFramePr>
              <a:graphicFrameLocks/>
            </wp:cNvGraphicFramePr>
            <a:graphic>
              <a:graphicData uri="http://schemas.openxmlformats.org/drawingml/2006/picture">
                <pic:pic>
                  <pic:nvPicPr>
                    <pic:cNvPr id="202" name="Image 202"/>
                    <pic:cNvPicPr/>
                  </pic:nvPicPr>
                  <pic:blipFill>
                    <a:blip r:embed="rId40" cstate="print"/>
                    <a:stretch>
                      <a:fillRect/>
                    </a:stretch>
                  </pic:blipFill>
                  <pic:spPr>
                    <a:xfrm>
                      <a:off x="0" y="0"/>
                      <a:ext cx="96011" cy="80771"/>
                    </a:xfrm>
                    <a:prstGeom prst="rect">
                      <a:avLst/>
                    </a:prstGeom>
                  </pic:spPr>
                </pic:pic>
              </a:graphicData>
            </a:graphic>
          </wp:anchor>
        </w:drawing>
      </w:r>
      <w:bookmarkStart w:name="a. Fee for service (FFS);" w:id="354"/>
      <w:bookmarkEnd w:id="354"/>
      <w:r>
        <w:rPr/>
      </w:r>
      <w:r>
        <w:rPr/>
        <w:t>Fee</w:t>
      </w:r>
      <w:r>
        <w:rPr>
          <w:spacing w:val="-1"/>
        </w:rPr>
        <w:t> </w:t>
      </w:r>
      <w:r>
        <w:rPr/>
        <w:t>for</w:t>
      </w:r>
      <w:r>
        <w:rPr>
          <w:spacing w:val="-3"/>
        </w:rPr>
        <w:t> </w:t>
      </w:r>
      <w:r>
        <w:rPr/>
        <w:t>service</w:t>
      </w:r>
      <w:r>
        <w:rPr>
          <w:spacing w:val="-2"/>
        </w:rPr>
        <w:t> (FFS);</w:t>
      </w:r>
    </w:p>
    <w:p>
      <w:pPr>
        <w:pStyle w:val="BodyText"/>
        <w:spacing w:before="10"/>
        <w:rPr>
          <w:sz w:val="20"/>
        </w:rPr>
      </w:pPr>
    </w:p>
    <w:p>
      <w:pPr>
        <w:pStyle w:val="BodyText"/>
        <w:ind w:left="1411"/>
      </w:pPr>
      <w:r>
        <w:rPr/>
        <w:drawing>
          <wp:anchor distT="0" distB="0" distL="0" distR="0" allowOverlap="1" layoutInCell="1" locked="0" behindDoc="0" simplePos="0" relativeHeight="15826944">
            <wp:simplePos x="0" y="0"/>
            <wp:positionH relativeFrom="page">
              <wp:posOffset>1424939</wp:posOffset>
            </wp:positionH>
            <wp:positionV relativeFrom="paragraph">
              <wp:posOffset>32551</wp:posOffset>
            </wp:positionV>
            <wp:extent cx="111251" cy="115823"/>
            <wp:effectExtent l="0" t="0" r="0" b="0"/>
            <wp:wrapNone/>
            <wp:docPr id="203" name="Image 203"/>
            <wp:cNvGraphicFramePr>
              <a:graphicFrameLocks/>
            </wp:cNvGraphicFramePr>
            <a:graphic>
              <a:graphicData uri="http://schemas.openxmlformats.org/drawingml/2006/picture">
                <pic:pic>
                  <pic:nvPicPr>
                    <pic:cNvPr id="203" name="Image 203"/>
                    <pic:cNvPicPr/>
                  </pic:nvPicPr>
                  <pic:blipFill>
                    <a:blip r:embed="rId34" cstate="print"/>
                    <a:stretch>
                      <a:fillRect/>
                    </a:stretch>
                  </pic:blipFill>
                  <pic:spPr>
                    <a:xfrm>
                      <a:off x="0" y="0"/>
                      <a:ext cx="111251" cy="115823"/>
                    </a:xfrm>
                    <a:prstGeom prst="rect">
                      <a:avLst/>
                    </a:prstGeom>
                  </pic:spPr>
                </pic:pic>
              </a:graphicData>
            </a:graphic>
          </wp:anchor>
        </w:drawing>
      </w:r>
      <w:bookmarkStart w:name="b. A behavioral health contractor (which" w:id="355"/>
      <w:bookmarkEnd w:id="355"/>
      <w:r>
        <w:rPr/>
      </w:r>
      <w:r>
        <w:rPr/>
        <w:t>A</w:t>
      </w:r>
      <w:r>
        <w:rPr>
          <w:spacing w:val="-3"/>
        </w:rPr>
        <w:t> </w:t>
      </w:r>
      <w:r>
        <w:rPr/>
        <w:t>behavioral</w:t>
      </w:r>
      <w:r>
        <w:rPr>
          <w:spacing w:val="-1"/>
        </w:rPr>
        <w:t> </w:t>
      </w:r>
      <w:r>
        <w:rPr/>
        <w:t>health</w:t>
      </w:r>
      <w:r>
        <w:rPr>
          <w:spacing w:val="-1"/>
        </w:rPr>
        <w:t> </w:t>
      </w:r>
      <w:r>
        <w:rPr/>
        <w:t>contractor</w:t>
      </w:r>
      <w:r>
        <w:rPr>
          <w:spacing w:val="-2"/>
        </w:rPr>
        <w:t> </w:t>
      </w:r>
      <w:r>
        <w:rPr/>
        <w:t>(which</w:t>
      </w:r>
      <w:r>
        <w:rPr>
          <w:spacing w:val="-1"/>
        </w:rPr>
        <w:t> </w:t>
      </w:r>
      <w:r>
        <w:rPr/>
        <w:t>is</w:t>
      </w:r>
      <w:r>
        <w:rPr>
          <w:spacing w:val="-1"/>
        </w:rPr>
        <w:t> </w:t>
      </w:r>
      <w:r>
        <w:rPr/>
        <w:t>a</w:t>
      </w:r>
      <w:r>
        <w:rPr>
          <w:spacing w:val="-2"/>
        </w:rPr>
        <w:t> PIHP);</w:t>
      </w:r>
    </w:p>
    <w:p>
      <w:pPr>
        <w:pStyle w:val="BodyText"/>
        <w:spacing w:before="10"/>
        <w:rPr>
          <w:sz w:val="20"/>
        </w:rPr>
      </w:pPr>
    </w:p>
    <w:p>
      <w:pPr>
        <w:pStyle w:val="BodyText"/>
        <w:ind w:left="1411" w:right="1059"/>
      </w:pPr>
      <w:r>
        <w:rPr/>
        <w:drawing>
          <wp:anchor distT="0" distB="0" distL="0" distR="0" allowOverlap="1" layoutInCell="1" locked="0" behindDoc="0" simplePos="0" relativeHeight="15827456">
            <wp:simplePos x="0" y="0"/>
            <wp:positionH relativeFrom="page">
              <wp:posOffset>1431036</wp:posOffset>
            </wp:positionH>
            <wp:positionV relativeFrom="paragraph">
              <wp:posOffset>67616</wp:posOffset>
            </wp:positionV>
            <wp:extent cx="96011" cy="80758"/>
            <wp:effectExtent l="0" t="0" r="0" b="0"/>
            <wp:wrapNone/>
            <wp:docPr id="204" name="Image 204"/>
            <wp:cNvGraphicFramePr>
              <a:graphicFrameLocks/>
            </wp:cNvGraphicFramePr>
            <a:graphic>
              <a:graphicData uri="http://schemas.openxmlformats.org/drawingml/2006/picture">
                <pic:pic>
                  <pic:nvPicPr>
                    <pic:cNvPr id="204" name="Image 204"/>
                    <pic:cNvPicPr/>
                  </pic:nvPicPr>
                  <pic:blipFill>
                    <a:blip r:embed="rId122" cstate="print"/>
                    <a:stretch>
                      <a:fillRect/>
                    </a:stretch>
                  </pic:blipFill>
                  <pic:spPr>
                    <a:xfrm>
                      <a:off x="0" y="0"/>
                      <a:ext cx="96011" cy="80758"/>
                    </a:xfrm>
                    <a:prstGeom prst="rect">
                      <a:avLst/>
                    </a:prstGeom>
                  </pic:spPr>
                </pic:pic>
              </a:graphicData>
            </a:graphic>
          </wp:anchor>
        </w:drawing>
      </w:r>
      <w:bookmarkStart w:name="c. Two primary care case management (PCC" w:id="356"/>
      <w:bookmarkEnd w:id="356"/>
      <w:r>
        <w:rPr/>
      </w:r>
      <w:r>
        <w:rPr/>
        <w:t>Two</w:t>
      </w:r>
      <w:r>
        <w:rPr>
          <w:spacing w:val="-3"/>
        </w:rPr>
        <w:t> </w:t>
      </w:r>
      <w:r>
        <w:rPr/>
        <w:t>primary</w:t>
      </w:r>
      <w:r>
        <w:rPr>
          <w:spacing w:val="-8"/>
        </w:rPr>
        <w:t> </w:t>
      </w:r>
      <w:r>
        <w:rPr/>
        <w:t>care</w:t>
      </w:r>
      <w:r>
        <w:rPr>
          <w:spacing w:val="-2"/>
        </w:rPr>
        <w:t> </w:t>
      </w:r>
      <w:r>
        <w:rPr/>
        <w:t>case</w:t>
      </w:r>
      <w:r>
        <w:rPr>
          <w:spacing w:val="-4"/>
        </w:rPr>
        <w:t> </w:t>
      </w:r>
      <w:r>
        <w:rPr/>
        <w:t>management</w:t>
      </w:r>
      <w:r>
        <w:rPr>
          <w:spacing w:val="-3"/>
        </w:rPr>
        <w:t> </w:t>
      </w:r>
      <w:r>
        <w:rPr/>
        <w:t>(PCCM)</w:t>
      </w:r>
      <w:r>
        <w:rPr>
          <w:spacing w:val="-4"/>
        </w:rPr>
        <w:t> </w:t>
      </w:r>
      <w:r>
        <w:rPr/>
        <w:t>delivery</w:t>
      </w:r>
      <w:r>
        <w:rPr>
          <w:spacing w:val="-8"/>
        </w:rPr>
        <w:t> </w:t>
      </w:r>
      <w:r>
        <w:rPr/>
        <w:t>systems:</w:t>
      </w:r>
      <w:r>
        <w:rPr>
          <w:spacing w:val="-3"/>
        </w:rPr>
        <w:t> </w:t>
      </w:r>
      <w:r>
        <w:rPr/>
        <w:t>the</w:t>
      </w:r>
      <w:r>
        <w:rPr>
          <w:spacing w:val="-4"/>
        </w:rPr>
        <w:t> </w:t>
      </w:r>
      <w:r>
        <w:rPr/>
        <w:t>PCC</w:t>
      </w:r>
      <w:r>
        <w:rPr>
          <w:spacing w:val="-3"/>
        </w:rPr>
        <w:t> </w:t>
      </w:r>
      <w:r>
        <w:rPr/>
        <w:t>Plan;</w:t>
      </w:r>
      <w:r>
        <w:rPr>
          <w:spacing w:val="-3"/>
        </w:rPr>
        <w:t> </w:t>
      </w:r>
      <w:r>
        <w:rPr/>
        <w:t>and Primary Care ACOs (which are PCCM entities); and</w:t>
      </w:r>
    </w:p>
    <w:p>
      <w:pPr>
        <w:spacing w:after="0"/>
        <w:sectPr>
          <w:pgSz w:w="12240" w:h="15840"/>
          <w:pgMar w:header="0" w:footer="1201" w:top="1360" w:bottom="1400" w:left="1200" w:right="400"/>
        </w:sectPr>
      </w:pPr>
    </w:p>
    <w:p>
      <w:pPr>
        <w:pStyle w:val="BodyText"/>
        <w:spacing w:before="79"/>
        <w:ind w:left="1411" w:right="1059"/>
      </w:pPr>
      <w:r>
        <w:rPr/>
        <w:drawing>
          <wp:anchor distT="0" distB="0" distL="0" distR="0" allowOverlap="1" layoutInCell="1" locked="0" behindDoc="0" simplePos="0" relativeHeight="15827968">
            <wp:simplePos x="0" y="0"/>
            <wp:positionH relativeFrom="page">
              <wp:posOffset>1431036</wp:posOffset>
            </wp:positionH>
            <wp:positionV relativeFrom="paragraph">
              <wp:posOffset>82717</wp:posOffset>
            </wp:positionV>
            <wp:extent cx="105155" cy="115823"/>
            <wp:effectExtent l="0" t="0" r="0" b="0"/>
            <wp:wrapNone/>
            <wp:docPr id="205" name="Image 205"/>
            <wp:cNvGraphicFramePr>
              <a:graphicFrameLocks/>
            </wp:cNvGraphicFramePr>
            <a:graphic>
              <a:graphicData uri="http://schemas.openxmlformats.org/drawingml/2006/picture">
                <pic:pic>
                  <pic:nvPicPr>
                    <pic:cNvPr id="205" name="Image 205"/>
                    <pic:cNvPicPr/>
                  </pic:nvPicPr>
                  <pic:blipFill>
                    <a:blip r:embed="rId36" cstate="print"/>
                    <a:stretch>
                      <a:fillRect/>
                    </a:stretch>
                  </pic:blipFill>
                  <pic:spPr>
                    <a:xfrm>
                      <a:off x="0" y="0"/>
                      <a:ext cx="105155" cy="115823"/>
                    </a:xfrm>
                    <a:prstGeom prst="rect">
                      <a:avLst/>
                    </a:prstGeom>
                  </pic:spPr>
                </pic:pic>
              </a:graphicData>
            </a:graphic>
          </wp:anchor>
        </w:drawing>
      </w:r>
      <w:bookmarkStart w:name="d. Two MCO-based delivery systems: the M" w:id="357"/>
      <w:bookmarkEnd w:id="357"/>
      <w:r>
        <w:rPr/>
      </w:r>
      <w:r>
        <w:rPr/>
        <w:t>Two</w:t>
      </w:r>
      <w:r>
        <w:rPr>
          <w:spacing w:val="-4"/>
        </w:rPr>
        <w:t> </w:t>
      </w:r>
      <w:r>
        <w:rPr/>
        <w:t>MCO-based</w:t>
      </w:r>
      <w:r>
        <w:rPr>
          <w:spacing w:val="-4"/>
        </w:rPr>
        <w:t> </w:t>
      </w:r>
      <w:r>
        <w:rPr/>
        <w:t>delivery</w:t>
      </w:r>
      <w:r>
        <w:rPr>
          <w:spacing w:val="-7"/>
        </w:rPr>
        <w:t> </w:t>
      </w:r>
      <w:r>
        <w:rPr/>
        <w:t>systems:</w:t>
      </w:r>
      <w:r>
        <w:rPr>
          <w:spacing w:val="-4"/>
        </w:rPr>
        <w:t> </w:t>
      </w:r>
      <w:r>
        <w:rPr/>
        <w:t>the</w:t>
      </w:r>
      <w:r>
        <w:rPr>
          <w:spacing w:val="-5"/>
        </w:rPr>
        <w:t> </w:t>
      </w:r>
      <w:r>
        <w:rPr/>
        <w:t>MassHealth</w:t>
      </w:r>
      <w:r>
        <w:rPr>
          <w:spacing w:val="-4"/>
        </w:rPr>
        <w:t> </w:t>
      </w:r>
      <w:r>
        <w:rPr/>
        <w:t>MCOs;</w:t>
      </w:r>
      <w:r>
        <w:rPr>
          <w:spacing w:val="-4"/>
        </w:rPr>
        <w:t> </w:t>
      </w:r>
      <w:r>
        <w:rPr/>
        <w:t>and</w:t>
      </w:r>
      <w:r>
        <w:rPr>
          <w:spacing w:val="-4"/>
        </w:rPr>
        <w:t> </w:t>
      </w:r>
      <w:r>
        <w:rPr/>
        <w:t>Accountable</w:t>
      </w:r>
      <w:r>
        <w:rPr>
          <w:spacing w:val="-5"/>
        </w:rPr>
        <w:t> </w:t>
      </w:r>
      <w:r>
        <w:rPr/>
        <w:t>Care Partnership Plans</w:t>
      </w:r>
    </w:p>
    <w:p>
      <w:pPr>
        <w:pStyle w:val="BodyText"/>
        <w:spacing w:before="10"/>
        <w:rPr>
          <w:sz w:val="20"/>
        </w:rPr>
      </w:pPr>
    </w:p>
    <w:p>
      <w:pPr>
        <w:pStyle w:val="BodyText"/>
        <w:ind w:left="871" w:right="1088"/>
      </w:pPr>
      <w:bookmarkStart w:name="Together, all of these delivery systems," w:id="358"/>
      <w:bookmarkEnd w:id="358"/>
      <w:r>
        <w:rPr/>
      </w:r>
      <w:r>
        <w:rPr/>
        <w:t>Together,</w:t>
      </w:r>
      <w:r>
        <w:rPr>
          <w:spacing w:val="-3"/>
        </w:rPr>
        <w:t> </w:t>
      </w:r>
      <w:r>
        <w:rPr/>
        <w:t>all</w:t>
      </w:r>
      <w:r>
        <w:rPr>
          <w:spacing w:val="-3"/>
        </w:rPr>
        <w:t> </w:t>
      </w:r>
      <w:r>
        <w:rPr/>
        <w:t>of</w:t>
      </w:r>
      <w:r>
        <w:rPr>
          <w:spacing w:val="-4"/>
        </w:rPr>
        <w:t> </w:t>
      </w:r>
      <w:r>
        <w:rPr/>
        <w:t>these</w:t>
      </w:r>
      <w:r>
        <w:rPr>
          <w:spacing w:val="-4"/>
        </w:rPr>
        <w:t> </w:t>
      </w:r>
      <w:r>
        <w:rPr/>
        <w:t>delivery</w:t>
      </w:r>
      <w:r>
        <w:rPr>
          <w:spacing w:val="-7"/>
        </w:rPr>
        <w:t> </w:t>
      </w:r>
      <w:r>
        <w:rPr/>
        <w:t>systems,</w:t>
      </w:r>
      <w:r>
        <w:rPr>
          <w:spacing w:val="-3"/>
        </w:rPr>
        <w:t> </w:t>
      </w:r>
      <w:r>
        <w:rPr/>
        <w:t>except</w:t>
      </w:r>
      <w:r>
        <w:rPr>
          <w:spacing w:val="-3"/>
        </w:rPr>
        <w:t> </w:t>
      </w:r>
      <w:r>
        <w:rPr/>
        <w:t>for</w:t>
      </w:r>
      <w:r>
        <w:rPr>
          <w:spacing w:val="-2"/>
        </w:rPr>
        <w:t> </w:t>
      </w:r>
      <w:r>
        <w:rPr/>
        <w:t>FFS,</w:t>
      </w:r>
      <w:r>
        <w:rPr>
          <w:spacing w:val="-3"/>
        </w:rPr>
        <w:t> </w:t>
      </w:r>
      <w:r>
        <w:rPr/>
        <w:t>(i.e.,</w:t>
      </w:r>
      <w:r>
        <w:rPr>
          <w:spacing w:val="-3"/>
        </w:rPr>
        <w:t> </w:t>
      </w:r>
      <w:r>
        <w:rPr/>
        <w:t>the</w:t>
      </w:r>
      <w:r>
        <w:rPr>
          <w:spacing w:val="-4"/>
        </w:rPr>
        <w:t> </w:t>
      </w:r>
      <w:r>
        <w:rPr/>
        <w:t>PCC</w:t>
      </w:r>
      <w:r>
        <w:rPr>
          <w:spacing w:val="-3"/>
        </w:rPr>
        <w:t> </w:t>
      </w:r>
      <w:r>
        <w:rPr/>
        <w:t>Plan,</w:t>
      </w:r>
      <w:r>
        <w:rPr>
          <w:spacing w:val="-6"/>
        </w:rPr>
        <w:t> </w:t>
      </w:r>
      <w:r>
        <w:rPr/>
        <w:t>the</w:t>
      </w:r>
      <w:r>
        <w:rPr>
          <w:spacing w:val="-4"/>
        </w:rPr>
        <w:t> </w:t>
      </w:r>
      <w:r>
        <w:rPr/>
        <w:t>Behavioral Health</w:t>
      </w:r>
      <w:r>
        <w:rPr>
          <w:spacing w:val="-1"/>
        </w:rPr>
        <w:t> </w:t>
      </w:r>
      <w:r>
        <w:rPr/>
        <w:t>PIHP,</w:t>
      </w:r>
      <w:r>
        <w:rPr>
          <w:spacing w:val="-1"/>
        </w:rPr>
        <w:t> </w:t>
      </w:r>
      <w:r>
        <w:rPr/>
        <w:t>Primary</w:t>
      </w:r>
      <w:r>
        <w:rPr>
          <w:spacing w:val="-6"/>
        </w:rPr>
        <w:t> </w:t>
      </w:r>
      <w:r>
        <w:rPr/>
        <w:t>Care</w:t>
      </w:r>
      <w:r>
        <w:rPr>
          <w:spacing w:val="-2"/>
        </w:rPr>
        <w:t> </w:t>
      </w:r>
      <w:r>
        <w:rPr/>
        <w:t>ACOs,</w:t>
      </w:r>
      <w:r>
        <w:rPr>
          <w:spacing w:val="-1"/>
        </w:rPr>
        <w:t> </w:t>
      </w:r>
      <w:r>
        <w:rPr/>
        <w:t>MassHealth</w:t>
      </w:r>
      <w:r>
        <w:rPr>
          <w:spacing w:val="-1"/>
        </w:rPr>
        <w:t> </w:t>
      </w:r>
      <w:r>
        <w:rPr/>
        <w:t>MCOs,</w:t>
      </w:r>
      <w:r>
        <w:rPr>
          <w:spacing w:val="-1"/>
        </w:rPr>
        <w:t> </w:t>
      </w:r>
      <w:r>
        <w:rPr/>
        <w:t>and</w:t>
      </w:r>
      <w:r>
        <w:rPr>
          <w:spacing w:val="-1"/>
        </w:rPr>
        <w:t> </w:t>
      </w:r>
      <w:r>
        <w:rPr/>
        <w:t>Accountable</w:t>
      </w:r>
      <w:r>
        <w:rPr>
          <w:spacing w:val="-2"/>
        </w:rPr>
        <w:t> </w:t>
      </w:r>
      <w:r>
        <w:rPr/>
        <w:t>Care</w:t>
      </w:r>
      <w:r>
        <w:rPr>
          <w:spacing w:val="-2"/>
        </w:rPr>
        <w:t> </w:t>
      </w:r>
      <w:r>
        <w:rPr/>
        <w:t>Partnership Plans) are referred to as “Managed Care.” Additional detail on these Managed Care delivery systems is provided in STC 8.3-8.6.</w:t>
      </w:r>
      <w:r>
        <w:rPr>
          <w:spacing w:val="40"/>
        </w:rPr>
        <w:t> </w:t>
      </w:r>
      <w:r>
        <w:rPr/>
        <w:t>Both Medicaid and CHIP beneficiaries enroll in the managed care programs described in this demonstration.</w:t>
      </w:r>
      <w:r>
        <w:rPr>
          <w:spacing w:val="40"/>
        </w:rPr>
        <w:t> </w:t>
      </w:r>
      <w:r>
        <w:rPr/>
        <w:t>MassHealth may require Medicaid or CHIP beneficiaries eligible for direct coverage under any of the following categories to enroll in one of the Managed Care options described above: Standard, Standard ABP, Family Assistance, CarePlus, or CommonHealth members with no third party liability.</w:t>
      </w:r>
    </w:p>
    <w:p>
      <w:pPr>
        <w:pStyle w:val="BodyText"/>
        <w:spacing w:before="10"/>
        <w:rPr>
          <w:sz w:val="20"/>
        </w:rPr>
      </w:pPr>
    </w:p>
    <w:p>
      <w:pPr>
        <w:pStyle w:val="BodyText"/>
        <w:ind w:left="871" w:right="1141"/>
      </w:pPr>
      <w:bookmarkStart w:name="In addition, children who are clients of" w:id="359"/>
      <w:bookmarkEnd w:id="359"/>
      <w:r>
        <w:rPr/>
      </w:r>
      <w:r>
        <w:rPr/>
        <w:t>In addition,</w:t>
      </w:r>
      <w:r>
        <w:rPr>
          <w:spacing w:val="-2"/>
        </w:rPr>
        <w:t> </w:t>
      </w:r>
      <w:r>
        <w:rPr/>
        <w:t>children</w:t>
      </w:r>
      <w:r>
        <w:rPr>
          <w:spacing w:val="-2"/>
        </w:rPr>
        <w:t> </w:t>
      </w:r>
      <w:r>
        <w:rPr/>
        <w:t>who are</w:t>
      </w:r>
      <w:r>
        <w:rPr>
          <w:spacing w:val="-3"/>
        </w:rPr>
        <w:t> </w:t>
      </w:r>
      <w:r>
        <w:rPr/>
        <w:t>clients</w:t>
      </w:r>
      <w:r>
        <w:rPr>
          <w:spacing w:val="-2"/>
        </w:rPr>
        <w:t> </w:t>
      </w:r>
      <w:r>
        <w:rPr/>
        <w:t>of</w:t>
      </w:r>
      <w:r>
        <w:rPr>
          <w:spacing w:val="-3"/>
        </w:rPr>
        <w:t> </w:t>
      </w:r>
      <w:r>
        <w:rPr/>
        <w:t>the</w:t>
      </w:r>
      <w:r>
        <w:rPr>
          <w:spacing w:val="-3"/>
        </w:rPr>
        <w:t> </w:t>
      </w:r>
      <w:r>
        <w:rPr/>
        <w:t>Departments</w:t>
      </w:r>
      <w:r>
        <w:rPr>
          <w:spacing w:val="-2"/>
        </w:rPr>
        <w:t> </w:t>
      </w:r>
      <w:r>
        <w:rPr/>
        <w:t>of</w:t>
      </w:r>
      <w:r>
        <w:rPr>
          <w:spacing w:val="-3"/>
        </w:rPr>
        <w:t> </w:t>
      </w:r>
      <w:r>
        <w:rPr/>
        <w:t>Children</w:t>
      </w:r>
      <w:r>
        <w:rPr>
          <w:spacing w:val="-2"/>
        </w:rPr>
        <w:t> </w:t>
      </w:r>
      <w:r>
        <w:rPr/>
        <w:t>and</w:t>
      </w:r>
      <w:r>
        <w:rPr>
          <w:spacing w:val="-2"/>
        </w:rPr>
        <w:t> </w:t>
      </w:r>
      <w:r>
        <w:rPr/>
        <w:t>Families</w:t>
      </w:r>
      <w:r>
        <w:rPr>
          <w:spacing w:val="-2"/>
        </w:rPr>
        <w:t> </w:t>
      </w:r>
      <w:r>
        <w:rPr/>
        <w:t>(DCF) or</w:t>
      </w:r>
      <w:r>
        <w:rPr>
          <w:spacing w:val="-4"/>
        </w:rPr>
        <w:t> </w:t>
      </w:r>
      <w:r>
        <w:rPr/>
        <w:t>Youth</w:t>
      </w:r>
      <w:r>
        <w:rPr>
          <w:spacing w:val="-3"/>
        </w:rPr>
        <w:t> </w:t>
      </w:r>
      <w:r>
        <w:rPr/>
        <w:t>Services</w:t>
      </w:r>
      <w:r>
        <w:rPr>
          <w:spacing w:val="-3"/>
        </w:rPr>
        <w:t> </w:t>
      </w:r>
      <w:r>
        <w:rPr/>
        <w:t>(DYS)</w:t>
      </w:r>
      <w:r>
        <w:rPr>
          <w:spacing w:val="-2"/>
        </w:rPr>
        <w:t> </w:t>
      </w:r>
      <w:r>
        <w:rPr/>
        <w:t>who</w:t>
      </w:r>
      <w:r>
        <w:rPr>
          <w:spacing w:val="-3"/>
        </w:rPr>
        <w:t> </w:t>
      </w:r>
      <w:r>
        <w:rPr/>
        <w:t>choose</w:t>
      </w:r>
      <w:r>
        <w:rPr>
          <w:spacing w:val="-4"/>
        </w:rPr>
        <w:t> </w:t>
      </w:r>
      <w:r>
        <w:rPr/>
        <w:t>not</w:t>
      </w:r>
      <w:r>
        <w:rPr>
          <w:spacing w:val="-3"/>
        </w:rPr>
        <w:t> </w:t>
      </w:r>
      <w:r>
        <w:rPr/>
        <w:t>to</w:t>
      </w:r>
      <w:r>
        <w:rPr>
          <w:spacing w:val="-3"/>
        </w:rPr>
        <w:t> </w:t>
      </w:r>
      <w:r>
        <w:rPr/>
        <w:t>enroll</w:t>
      </w:r>
      <w:r>
        <w:rPr>
          <w:spacing w:val="-1"/>
        </w:rPr>
        <w:t> </w:t>
      </w:r>
      <w:r>
        <w:rPr/>
        <w:t>in</w:t>
      </w:r>
      <w:r>
        <w:rPr>
          <w:spacing w:val="-3"/>
        </w:rPr>
        <w:t> </w:t>
      </w:r>
      <w:r>
        <w:rPr/>
        <w:t>Managed</w:t>
      </w:r>
      <w:r>
        <w:rPr>
          <w:spacing w:val="-3"/>
        </w:rPr>
        <w:t> </w:t>
      </w:r>
      <w:r>
        <w:rPr/>
        <w:t>Care</w:t>
      </w:r>
      <w:r>
        <w:rPr>
          <w:spacing w:val="-4"/>
        </w:rPr>
        <w:t> </w:t>
      </w:r>
      <w:r>
        <w:rPr/>
        <w:t>may</w:t>
      </w:r>
      <w:r>
        <w:rPr>
          <w:spacing w:val="-8"/>
        </w:rPr>
        <w:t> </w:t>
      </w:r>
      <w:r>
        <w:rPr/>
        <w:t>instead</w:t>
      </w:r>
      <w:r>
        <w:rPr>
          <w:spacing w:val="-3"/>
        </w:rPr>
        <w:t> </w:t>
      </w:r>
      <w:r>
        <w:rPr/>
        <w:t>choose to receive medical services through FFS, but are nonetheless required to enroll with the behavioral health contractor for behavioral health services.</w:t>
      </w:r>
    </w:p>
    <w:p>
      <w:pPr>
        <w:pStyle w:val="BodyText"/>
        <w:spacing w:before="10"/>
        <w:rPr>
          <w:sz w:val="20"/>
        </w:rPr>
      </w:pPr>
    </w:p>
    <w:p>
      <w:pPr>
        <w:pStyle w:val="BodyText"/>
        <w:ind w:left="871" w:right="1059"/>
      </w:pPr>
      <w:bookmarkStart w:name="However, Former Foster Care Youth (inclu" w:id="360"/>
      <w:bookmarkEnd w:id="360"/>
      <w:r>
        <w:rPr/>
      </w:r>
      <w:r>
        <w:rPr/>
        <w:t>However,</w:t>
      </w:r>
      <w:r>
        <w:rPr>
          <w:spacing w:val="-3"/>
        </w:rPr>
        <w:t> </w:t>
      </w:r>
      <w:r>
        <w:rPr/>
        <w:t>Former</w:t>
      </w:r>
      <w:r>
        <w:rPr>
          <w:spacing w:val="-2"/>
        </w:rPr>
        <w:t> </w:t>
      </w:r>
      <w:r>
        <w:rPr/>
        <w:t>Foster</w:t>
      </w:r>
      <w:r>
        <w:rPr>
          <w:spacing w:val="-2"/>
        </w:rPr>
        <w:t> </w:t>
      </w:r>
      <w:r>
        <w:rPr/>
        <w:t>Care</w:t>
      </w:r>
      <w:r>
        <w:rPr>
          <w:spacing w:val="-4"/>
        </w:rPr>
        <w:t> </w:t>
      </w:r>
      <w:r>
        <w:rPr/>
        <w:t>Youth</w:t>
      </w:r>
      <w:r>
        <w:rPr>
          <w:spacing w:val="-3"/>
        </w:rPr>
        <w:t> </w:t>
      </w:r>
      <w:r>
        <w:rPr/>
        <w:t>(including</w:t>
      </w:r>
      <w:r>
        <w:rPr>
          <w:spacing w:val="-6"/>
        </w:rPr>
        <w:t> </w:t>
      </w:r>
      <w:r>
        <w:rPr/>
        <w:t>Out</w:t>
      </w:r>
      <w:r>
        <w:rPr>
          <w:spacing w:val="-3"/>
        </w:rPr>
        <w:t> </w:t>
      </w:r>
      <w:r>
        <w:rPr/>
        <w:t>of</w:t>
      </w:r>
      <w:r>
        <w:rPr>
          <w:spacing w:val="-4"/>
        </w:rPr>
        <w:t> </w:t>
      </w:r>
      <w:r>
        <w:rPr/>
        <w:t>State</w:t>
      </w:r>
      <w:r>
        <w:rPr>
          <w:spacing w:val="-4"/>
        </w:rPr>
        <w:t> </w:t>
      </w:r>
      <w:r>
        <w:rPr/>
        <w:t>Former</w:t>
      </w:r>
      <w:r>
        <w:rPr>
          <w:spacing w:val="-2"/>
        </w:rPr>
        <w:t> </w:t>
      </w:r>
      <w:r>
        <w:rPr/>
        <w:t>Foster</w:t>
      </w:r>
      <w:r>
        <w:rPr>
          <w:spacing w:val="-2"/>
        </w:rPr>
        <w:t> </w:t>
      </w:r>
      <w:r>
        <w:rPr/>
        <w:t>Care</w:t>
      </w:r>
      <w:r>
        <w:rPr>
          <w:spacing w:val="-4"/>
        </w:rPr>
        <w:t> </w:t>
      </w:r>
      <w:r>
        <w:rPr/>
        <w:t>Youth</w:t>
      </w:r>
      <w:r>
        <w:rPr>
          <w:spacing w:val="-3"/>
        </w:rPr>
        <w:t> </w:t>
      </w:r>
      <w:r>
        <w:rPr/>
        <w:t>as described above in Table 3) are required to enroll in Managed Care, subject to all other applicable provisions of Section 8: Delivery System.</w:t>
      </w:r>
    </w:p>
    <w:p>
      <w:pPr>
        <w:pStyle w:val="BodyText"/>
        <w:spacing w:before="10"/>
        <w:rPr>
          <w:sz w:val="20"/>
        </w:rPr>
      </w:pPr>
    </w:p>
    <w:p>
      <w:pPr>
        <w:pStyle w:val="BodyText"/>
        <w:ind w:left="871" w:right="1059"/>
      </w:pPr>
      <w:bookmarkStart w:name="Children eligible under TEFRA section 13" w:id="361"/>
      <w:bookmarkEnd w:id="361"/>
      <w:r>
        <w:rPr/>
      </w:r>
      <w:r>
        <w:rPr/>
        <w:t>Children eligible under TEFRA section 134 (Kaileigh Mulligan) and children receiving title IV- E adoption assistance may</w:t>
      </w:r>
      <w:r>
        <w:rPr>
          <w:spacing w:val="-3"/>
        </w:rPr>
        <w:t> </w:t>
      </w:r>
      <w:r>
        <w:rPr/>
        <w:t>opt to enroll in Managed Care, or may choose instead to receive health services through FFS. Children who choose fee-for-service will be passively</w:t>
      </w:r>
      <w:r>
        <w:rPr>
          <w:spacing w:val="-6"/>
        </w:rPr>
        <w:t> </w:t>
      </w:r>
      <w:r>
        <w:rPr/>
        <w:t>enrolled</w:t>
      </w:r>
      <w:r>
        <w:rPr>
          <w:spacing w:val="-4"/>
        </w:rPr>
        <w:t> </w:t>
      </w:r>
      <w:r>
        <w:rPr/>
        <w:t>with</w:t>
      </w:r>
      <w:r>
        <w:rPr>
          <w:spacing w:val="-4"/>
        </w:rPr>
        <w:t> </w:t>
      </w:r>
      <w:r>
        <w:rPr/>
        <w:t>the</w:t>
      </w:r>
      <w:r>
        <w:rPr>
          <w:spacing w:val="-5"/>
        </w:rPr>
        <w:t> </w:t>
      </w:r>
      <w:r>
        <w:rPr/>
        <w:t>behavioral</w:t>
      </w:r>
      <w:r>
        <w:rPr>
          <w:spacing w:val="-4"/>
        </w:rPr>
        <w:t> </w:t>
      </w:r>
      <w:r>
        <w:rPr/>
        <w:t>health</w:t>
      </w:r>
      <w:r>
        <w:rPr>
          <w:spacing w:val="-4"/>
        </w:rPr>
        <w:t> </w:t>
      </w:r>
      <w:r>
        <w:rPr/>
        <w:t>contractor</w:t>
      </w:r>
      <w:r>
        <w:rPr>
          <w:spacing w:val="-5"/>
        </w:rPr>
        <w:t> </w:t>
      </w:r>
      <w:r>
        <w:rPr/>
        <w:t>for</w:t>
      </w:r>
      <w:r>
        <w:rPr>
          <w:spacing w:val="-5"/>
        </w:rPr>
        <w:t> </w:t>
      </w:r>
      <w:r>
        <w:rPr/>
        <w:t>behavioral</w:t>
      </w:r>
      <w:r>
        <w:rPr>
          <w:spacing w:val="-4"/>
        </w:rPr>
        <w:t> </w:t>
      </w:r>
      <w:r>
        <w:rPr/>
        <w:t>health</w:t>
      </w:r>
      <w:r>
        <w:rPr>
          <w:spacing w:val="-4"/>
        </w:rPr>
        <w:t> </w:t>
      </w:r>
      <w:r>
        <w:rPr/>
        <w:t>services,</w:t>
      </w:r>
      <w:r>
        <w:rPr>
          <w:spacing w:val="-4"/>
        </w:rPr>
        <w:t> </w:t>
      </w:r>
      <w:r>
        <w:rPr/>
        <w:t>but have the ability to opt- out and receive behavioral health services through the fee-for- service provider network.</w:t>
      </w:r>
    </w:p>
    <w:p>
      <w:pPr>
        <w:pStyle w:val="BodyText"/>
        <w:spacing w:before="10"/>
        <w:rPr>
          <w:sz w:val="20"/>
        </w:rPr>
      </w:pPr>
    </w:p>
    <w:p>
      <w:pPr>
        <w:pStyle w:val="BodyText"/>
        <w:ind w:left="871"/>
      </w:pPr>
      <w:bookmarkStart w:name="See Table 9 below for additional details" w:id="362"/>
      <w:bookmarkEnd w:id="362"/>
      <w:r>
        <w:rPr/>
      </w:r>
      <w:r>
        <w:rPr/>
        <w:t>See</w:t>
      </w:r>
      <w:r>
        <w:rPr>
          <w:spacing w:val="-3"/>
        </w:rPr>
        <w:t> </w:t>
      </w:r>
      <w:r>
        <w:rPr/>
        <w:t>Table</w:t>
      </w:r>
      <w:r>
        <w:rPr>
          <w:spacing w:val="-2"/>
        </w:rPr>
        <w:t> </w:t>
      </w:r>
      <w:r>
        <w:rPr/>
        <w:t>9</w:t>
      </w:r>
      <w:r>
        <w:rPr>
          <w:spacing w:val="-2"/>
        </w:rPr>
        <w:t> </w:t>
      </w:r>
      <w:r>
        <w:rPr/>
        <w:t>below for</w:t>
      </w:r>
      <w:r>
        <w:rPr>
          <w:spacing w:val="-2"/>
        </w:rPr>
        <w:t> </w:t>
      </w:r>
      <w:r>
        <w:rPr/>
        <w:t>additional</w:t>
      </w:r>
      <w:r>
        <w:rPr>
          <w:spacing w:val="-2"/>
        </w:rPr>
        <w:t> </w:t>
      </w:r>
      <w:r>
        <w:rPr/>
        <w:t>details</w:t>
      </w:r>
      <w:r>
        <w:rPr>
          <w:spacing w:val="-1"/>
        </w:rPr>
        <w:t> </w:t>
      </w:r>
      <w:r>
        <w:rPr/>
        <w:t>on</w:t>
      </w:r>
      <w:r>
        <w:rPr>
          <w:spacing w:val="-2"/>
        </w:rPr>
        <w:t> </w:t>
      </w:r>
      <w:r>
        <w:rPr/>
        <w:t>Managed</w:t>
      </w:r>
      <w:r>
        <w:rPr>
          <w:spacing w:val="-1"/>
        </w:rPr>
        <w:t> </w:t>
      </w:r>
      <w:r>
        <w:rPr/>
        <w:t>Care eligibility</w:t>
      </w:r>
      <w:r>
        <w:rPr>
          <w:spacing w:val="-7"/>
        </w:rPr>
        <w:t> </w:t>
      </w:r>
      <w:r>
        <w:rPr/>
        <w:t>and</w:t>
      </w:r>
      <w:r>
        <w:rPr>
          <w:spacing w:val="1"/>
        </w:rPr>
        <w:t> </w:t>
      </w:r>
      <w:r>
        <w:rPr/>
        <w:t>enrollment</w:t>
      </w:r>
      <w:r>
        <w:rPr>
          <w:spacing w:val="-1"/>
        </w:rPr>
        <w:t> </w:t>
      </w:r>
      <w:r>
        <w:rPr>
          <w:spacing w:val="-2"/>
        </w:rPr>
        <w:t>rules.</w:t>
      </w:r>
    </w:p>
    <w:p>
      <w:pPr>
        <w:pStyle w:val="BodyText"/>
        <w:spacing w:before="10"/>
        <w:rPr>
          <w:sz w:val="20"/>
        </w:rPr>
      </w:pPr>
    </w:p>
    <w:p>
      <w:pPr>
        <w:spacing w:before="1"/>
        <w:ind w:left="871" w:right="1141" w:firstLine="0"/>
        <w:jc w:val="left"/>
        <w:rPr>
          <w:sz w:val="24"/>
        </w:rPr>
      </w:pPr>
      <w:r>
        <w:rPr/>
        <w:drawing>
          <wp:anchor distT="0" distB="0" distL="0" distR="0" allowOverlap="1" layoutInCell="1" locked="0" behindDoc="0" simplePos="0" relativeHeight="15828480">
            <wp:simplePos x="0" y="0"/>
            <wp:positionH relativeFrom="page">
              <wp:posOffset>978408</wp:posOffset>
            </wp:positionH>
            <wp:positionV relativeFrom="paragraph">
              <wp:posOffset>36234</wp:posOffset>
            </wp:positionV>
            <wp:extent cx="214883" cy="112775"/>
            <wp:effectExtent l="0" t="0" r="0" b="0"/>
            <wp:wrapNone/>
            <wp:docPr id="206" name="Image 206"/>
            <wp:cNvGraphicFramePr>
              <a:graphicFrameLocks/>
            </wp:cNvGraphicFramePr>
            <a:graphic>
              <a:graphicData uri="http://schemas.openxmlformats.org/drawingml/2006/picture">
                <pic:pic>
                  <pic:nvPicPr>
                    <pic:cNvPr id="206" name="Image 206"/>
                    <pic:cNvPicPr/>
                  </pic:nvPicPr>
                  <pic:blipFill>
                    <a:blip r:embed="rId123" cstate="print"/>
                    <a:stretch>
                      <a:fillRect/>
                    </a:stretch>
                  </pic:blipFill>
                  <pic:spPr>
                    <a:xfrm>
                      <a:off x="0" y="0"/>
                      <a:ext cx="214883" cy="112775"/>
                    </a:xfrm>
                    <a:prstGeom prst="rect">
                      <a:avLst/>
                    </a:prstGeom>
                  </pic:spPr>
                </pic:pic>
              </a:graphicData>
            </a:graphic>
          </wp:anchor>
        </w:drawing>
      </w:r>
      <w:bookmarkStart w:name="8.2. Exclusions from Managed Care Enroll" w:id="363"/>
      <w:bookmarkEnd w:id="363"/>
      <w:r>
        <w:rPr/>
      </w:r>
      <w:r>
        <w:rPr>
          <w:b/>
          <w:sz w:val="24"/>
        </w:rPr>
        <w:t>Exclusions</w:t>
      </w:r>
      <w:r>
        <w:rPr>
          <w:b/>
          <w:spacing w:val="-6"/>
          <w:sz w:val="24"/>
        </w:rPr>
        <w:t> </w:t>
      </w:r>
      <w:r>
        <w:rPr>
          <w:b/>
          <w:sz w:val="24"/>
        </w:rPr>
        <w:t>from</w:t>
      </w:r>
      <w:r>
        <w:rPr>
          <w:b/>
          <w:spacing w:val="-7"/>
          <w:sz w:val="24"/>
        </w:rPr>
        <w:t> </w:t>
      </w:r>
      <w:r>
        <w:rPr>
          <w:b/>
          <w:sz w:val="24"/>
        </w:rPr>
        <w:t>Managed</w:t>
      </w:r>
      <w:r>
        <w:rPr>
          <w:b/>
          <w:spacing w:val="-3"/>
          <w:sz w:val="24"/>
        </w:rPr>
        <w:t> </w:t>
      </w:r>
      <w:r>
        <w:rPr>
          <w:b/>
          <w:sz w:val="24"/>
        </w:rPr>
        <w:t>Care</w:t>
      </w:r>
      <w:r>
        <w:rPr>
          <w:b/>
          <w:spacing w:val="-4"/>
          <w:sz w:val="24"/>
        </w:rPr>
        <w:t> </w:t>
      </w:r>
      <w:r>
        <w:rPr>
          <w:b/>
          <w:sz w:val="24"/>
        </w:rPr>
        <w:t>Enrollment.</w:t>
      </w:r>
      <w:r>
        <w:rPr>
          <w:b/>
          <w:spacing w:val="-3"/>
          <w:sz w:val="24"/>
        </w:rPr>
        <w:t> </w:t>
      </w:r>
      <w:r>
        <w:rPr>
          <w:sz w:val="24"/>
        </w:rPr>
        <w:t>The</w:t>
      </w:r>
      <w:r>
        <w:rPr>
          <w:spacing w:val="-4"/>
          <w:sz w:val="24"/>
        </w:rPr>
        <w:t> </w:t>
      </w:r>
      <w:r>
        <w:rPr>
          <w:sz w:val="24"/>
        </w:rPr>
        <w:t>following</w:t>
      </w:r>
      <w:r>
        <w:rPr>
          <w:spacing w:val="-6"/>
          <w:sz w:val="24"/>
        </w:rPr>
        <w:t> </w:t>
      </w:r>
      <w:r>
        <w:rPr>
          <w:sz w:val="24"/>
        </w:rPr>
        <w:t>individuals</w:t>
      </w:r>
      <w:r>
        <w:rPr>
          <w:spacing w:val="-1"/>
          <w:sz w:val="24"/>
        </w:rPr>
        <w:t> </w:t>
      </w:r>
      <w:r>
        <w:rPr>
          <w:sz w:val="24"/>
        </w:rPr>
        <w:t>may</w:t>
      </w:r>
      <w:r>
        <w:rPr>
          <w:spacing w:val="-8"/>
          <w:sz w:val="24"/>
        </w:rPr>
        <w:t> </w:t>
      </w:r>
      <w:r>
        <w:rPr>
          <w:sz w:val="24"/>
        </w:rPr>
        <w:t>be excluded from enrollment in Managed Care:</w:t>
      </w:r>
    </w:p>
    <w:p>
      <w:pPr>
        <w:pStyle w:val="BodyText"/>
        <w:spacing w:before="9"/>
        <w:rPr>
          <w:sz w:val="20"/>
        </w:rPr>
      </w:pPr>
    </w:p>
    <w:p>
      <w:pPr>
        <w:pStyle w:val="BodyText"/>
        <w:spacing w:before="1"/>
        <w:ind w:left="1411" w:right="1070"/>
      </w:pPr>
      <w:r>
        <w:rPr/>
        <w:drawing>
          <wp:anchor distT="0" distB="0" distL="0" distR="0" allowOverlap="1" layoutInCell="1" locked="0" behindDoc="0" simplePos="0" relativeHeight="15828992">
            <wp:simplePos x="0" y="0"/>
            <wp:positionH relativeFrom="page">
              <wp:posOffset>1431036</wp:posOffset>
            </wp:positionH>
            <wp:positionV relativeFrom="paragraph">
              <wp:posOffset>68238</wp:posOffset>
            </wp:positionV>
            <wp:extent cx="96011" cy="80771"/>
            <wp:effectExtent l="0" t="0" r="0" b="0"/>
            <wp:wrapNone/>
            <wp:docPr id="207" name="Image 207"/>
            <wp:cNvGraphicFramePr>
              <a:graphicFrameLocks/>
            </wp:cNvGraphicFramePr>
            <a:graphic>
              <a:graphicData uri="http://schemas.openxmlformats.org/drawingml/2006/picture">
                <pic:pic>
                  <pic:nvPicPr>
                    <pic:cNvPr id="207" name="Image 207"/>
                    <pic:cNvPicPr/>
                  </pic:nvPicPr>
                  <pic:blipFill>
                    <a:blip r:embed="rId40" cstate="print"/>
                    <a:stretch>
                      <a:fillRect/>
                    </a:stretch>
                  </pic:blipFill>
                  <pic:spPr>
                    <a:xfrm>
                      <a:off x="0" y="0"/>
                      <a:ext cx="96011" cy="80771"/>
                    </a:xfrm>
                    <a:prstGeom prst="rect">
                      <a:avLst/>
                    </a:prstGeom>
                  </pic:spPr>
                </pic:pic>
              </a:graphicData>
            </a:graphic>
          </wp:anchor>
        </w:drawing>
      </w:r>
      <w:bookmarkStart w:name="a. Any individual for whom MassHealth is" w:id="364"/>
      <w:bookmarkEnd w:id="364"/>
      <w:r>
        <w:rPr/>
      </w:r>
      <w:r>
        <w:rPr/>
        <w:t>Any individual for whom MassHealth is a secondary payer (i.e., a member with other</w:t>
      </w:r>
      <w:r>
        <w:rPr>
          <w:spacing w:val="-5"/>
        </w:rPr>
        <w:t> </w:t>
      </w:r>
      <w:r>
        <w:rPr/>
        <w:t>health</w:t>
      </w:r>
      <w:r>
        <w:rPr>
          <w:spacing w:val="-4"/>
        </w:rPr>
        <w:t> </w:t>
      </w:r>
      <w:r>
        <w:rPr/>
        <w:t>insurance).</w:t>
      </w:r>
      <w:r>
        <w:rPr>
          <w:spacing w:val="-2"/>
        </w:rPr>
        <w:t> </w:t>
      </w:r>
      <w:r>
        <w:rPr/>
        <w:t>For</w:t>
      </w:r>
      <w:r>
        <w:rPr>
          <w:spacing w:val="-5"/>
        </w:rPr>
        <w:t> </w:t>
      </w:r>
      <w:r>
        <w:rPr/>
        <w:t>purposes</w:t>
      </w:r>
      <w:r>
        <w:rPr>
          <w:spacing w:val="-4"/>
        </w:rPr>
        <w:t> </w:t>
      </w:r>
      <w:r>
        <w:rPr/>
        <w:t>of</w:t>
      </w:r>
      <w:r>
        <w:rPr>
          <w:spacing w:val="-3"/>
        </w:rPr>
        <w:t> </w:t>
      </w:r>
      <w:r>
        <w:rPr/>
        <w:t>exclusion</w:t>
      </w:r>
      <w:r>
        <w:rPr>
          <w:spacing w:val="-7"/>
        </w:rPr>
        <w:t> </w:t>
      </w:r>
      <w:r>
        <w:rPr/>
        <w:t>from</w:t>
      </w:r>
      <w:r>
        <w:rPr>
          <w:spacing w:val="-4"/>
        </w:rPr>
        <w:t> </w:t>
      </w:r>
      <w:r>
        <w:rPr/>
        <w:t>Managed</w:t>
      </w:r>
      <w:r>
        <w:rPr>
          <w:spacing w:val="-4"/>
        </w:rPr>
        <w:t> </w:t>
      </w:r>
      <w:r>
        <w:rPr/>
        <w:t>Care,</w:t>
      </w:r>
      <w:r>
        <w:rPr>
          <w:spacing w:val="-2"/>
        </w:rPr>
        <w:t> </w:t>
      </w:r>
      <w:r>
        <w:rPr/>
        <w:t>“other</w:t>
      </w:r>
      <w:r>
        <w:rPr>
          <w:spacing w:val="-5"/>
        </w:rPr>
        <w:t> </w:t>
      </w:r>
      <w:r>
        <w:rPr/>
        <w:t>health insurance” is defined as any medical coverage plan available to the member, including, but not limited to Medicare, CHAMPUS, or a private health plan.</w:t>
      </w:r>
    </w:p>
    <w:p>
      <w:pPr>
        <w:pStyle w:val="BodyText"/>
        <w:ind w:left="1411" w:right="1059"/>
      </w:pPr>
      <w:r>
        <w:rPr/>
        <w:t>However, MassHealth requires children eligible for MassHealth Standard/Standard ABP</w:t>
      </w:r>
      <w:r>
        <w:rPr>
          <w:spacing w:val="-3"/>
        </w:rPr>
        <w:t> </w:t>
      </w:r>
      <w:r>
        <w:rPr/>
        <w:t>and</w:t>
      </w:r>
      <w:r>
        <w:rPr>
          <w:spacing w:val="-3"/>
        </w:rPr>
        <w:t> </w:t>
      </w:r>
      <w:r>
        <w:rPr/>
        <w:t>CommonHealth,</w:t>
      </w:r>
      <w:r>
        <w:rPr>
          <w:spacing w:val="-3"/>
        </w:rPr>
        <w:t> </w:t>
      </w:r>
      <w:r>
        <w:rPr/>
        <w:t>for</w:t>
      </w:r>
      <w:r>
        <w:rPr>
          <w:spacing w:val="-4"/>
        </w:rPr>
        <w:t> </w:t>
      </w:r>
      <w:r>
        <w:rPr/>
        <w:t>whom</w:t>
      </w:r>
      <w:r>
        <w:rPr>
          <w:spacing w:val="-3"/>
        </w:rPr>
        <w:t> </w:t>
      </w:r>
      <w:r>
        <w:rPr/>
        <w:t>MassHealth</w:t>
      </w:r>
      <w:r>
        <w:rPr>
          <w:spacing w:val="-3"/>
        </w:rPr>
        <w:t> </w:t>
      </w:r>
      <w:r>
        <w:rPr/>
        <w:t>is</w:t>
      </w:r>
      <w:r>
        <w:rPr>
          <w:spacing w:val="-3"/>
        </w:rPr>
        <w:t> </w:t>
      </w:r>
      <w:r>
        <w:rPr/>
        <w:t>a</w:t>
      </w:r>
      <w:r>
        <w:rPr>
          <w:spacing w:val="-4"/>
        </w:rPr>
        <w:t> </w:t>
      </w:r>
      <w:r>
        <w:rPr/>
        <w:t>secondary</w:t>
      </w:r>
      <w:r>
        <w:rPr>
          <w:spacing w:val="-6"/>
        </w:rPr>
        <w:t> </w:t>
      </w:r>
      <w:r>
        <w:rPr/>
        <w:t>payer,</w:t>
      </w:r>
      <w:r>
        <w:rPr>
          <w:spacing w:val="-3"/>
        </w:rPr>
        <w:t> </w:t>
      </w:r>
      <w:r>
        <w:rPr/>
        <w:t>to</w:t>
      </w:r>
      <w:r>
        <w:rPr>
          <w:spacing w:val="-3"/>
        </w:rPr>
        <w:t> </w:t>
      </w:r>
      <w:r>
        <w:rPr/>
        <w:t>enroll</w:t>
      </w:r>
      <w:r>
        <w:rPr>
          <w:spacing w:val="-3"/>
        </w:rPr>
        <w:t> </w:t>
      </w:r>
      <w:r>
        <w:rPr/>
        <w:t>with the Behavioral Health PIHP for behavioral health services;</w:t>
      </w:r>
    </w:p>
    <w:p>
      <w:pPr>
        <w:pStyle w:val="BodyText"/>
        <w:spacing w:before="10"/>
        <w:rPr>
          <w:sz w:val="20"/>
        </w:rPr>
      </w:pPr>
    </w:p>
    <w:p>
      <w:pPr>
        <w:pStyle w:val="BodyText"/>
        <w:ind w:left="1411" w:right="1059"/>
      </w:pPr>
      <w:r>
        <w:rPr/>
        <w:drawing>
          <wp:anchor distT="0" distB="0" distL="0" distR="0" allowOverlap="1" layoutInCell="1" locked="0" behindDoc="0" simplePos="0" relativeHeight="15829504">
            <wp:simplePos x="0" y="0"/>
            <wp:positionH relativeFrom="page">
              <wp:posOffset>1424939</wp:posOffset>
            </wp:positionH>
            <wp:positionV relativeFrom="paragraph">
              <wp:posOffset>32551</wp:posOffset>
            </wp:positionV>
            <wp:extent cx="111251" cy="115823"/>
            <wp:effectExtent l="0" t="0" r="0" b="0"/>
            <wp:wrapNone/>
            <wp:docPr id="208" name="Image 208"/>
            <wp:cNvGraphicFramePr>
              <a:graphicFrameLocks/>
            </wp:cNvGraphicFramePr>
            <a:graphic>
              <a:graphicData uri="http://schemas.openxmlformats.org/drawingml/2006/picture">
                <pic:pic>
                  <pic:nvPicPr>
                    <pic:cNvPr id="208" name="Image 208"/>
                    <pic:cNvPicPr/>
                  </pic:nvPicPr>
                  <pic:blipFill>
                    <a:blip r:embed="rId34" cstate="print"/>
                    <a:stretch>
                      <a:fillRect/>
                    </a:stretch>
                  </pic:blipFill>
                  <pic:spPr>
                    <a:xfrm>
                      <a:off x="0" y="0"/>
                      <a:ext cx="111251" cy="115823"/>
                    </a:xfrm>
                    <a:prstGeom prst="rect">
                      <a:avLst/>
                    </a:prstGeom>
                  </pic:spPr>
                </pic:pic>
              </a:graphicData>
            </a:graphic>
          </wp:anchor>
        </w:drawing>
      </w:r>
      <w:bookmarkStart w:name="b. Any individual receiving benefits dur" w:id="365"/>
      <w:bookmarkEnd w:id="365"/>
      <w:r>
        <w:rPr/>
      </w:r>
      <w:r>
        <w:rPr/>
        <w:t>Any individual receiving benefits during the hospital-determined presumptive eligibility period or the time-limited period while MassHealth investigates and verifies</w:t>
      </w:r>
      <w:r>
        <w:rPr>
          <w:spacing w:val="-3"/>
        </w:rPr>
        <w:t> </w:t>
      </w:r>
      <w:r>
        <w:rPr/>
        <w:t>access</w:t>
      </w:r>
      <w:r>
        <w:rPr>
          <w:spacing w:val="-3"/>
        </w:rPr>
        <w:t> </w:t>
      </w:r>
      <w:r>
        <w:rPr/>
        <w:t>to</w:t>
      </w:r>
      <w:r>
        <w:rPr>
          <w:spacing w:val="-3"/>
        </w:rPr>
        <w:t> </w:t>
      </w:r>
      <w:r>
        <w:rPr/>
        <w:t>qualified</w:t>
      </w:r>
      <w:r>
        <w:rPr>
          <w:spacing w:val="-3"/>
        </w:rPr>
        <w:t> </w:t>
      </w:r>
      <w:r>
        <w:rPr/>
        <w:t>and</w:t>
      </w:r>
      <w:r>
        <w:rPr>
          <w:spacing w:val="-3"/>
        </w:rPr>
        <w:t> </w:t>
      </w:r>
      <w:r>
        <w:rPr/>
        <w:t>cost-effective</w:t>
      </w:r>
      <w:r>
        <w:rPr>
          <w:spacing w:val="-4"/>
        </w:rPr>
        <w:t> </w:t>
      </w:r>
      <w:r>
        <w:rPr/>
        <w:t>private</w:t>
      </w:r>
      <w:r>
        <w:rPr>
          <w:spacing w:val="-4"/>
        </w:rPr>
        <w:t> </w:t>
      </w:r>
      <w:r>
        <w:rPr/>
        <w:t>health</w:t>
      </w:r>
      <w:r>
        <w:rPr>
          <w:spacing w:val="-3"/>
        </w:rPr>
        <w:t> </w:t>
      </w:r>
      <w:r>
        <w:rPr/>
        <w:t>insurance</w:t>
      </w:r>
      <w:r>
        <w:rPr>
          <w:spacing w:val="-4"/>
        </w:rPr>
        <w:t> </w:t>
      </w:r>
      <w:r>
        <w:rPr/>
        <w:t>or</w:t>
      </w:r>
      <w:r>
        <w:rPr>
          <w:spacing w:val="-4"/>
        </w:rPr>
        <w:t> </w:t>
      </w:r>
      <w:r>
        <w:rPr/>
        <w:t>the</w:t>
      </w:r>
      <w:r>
        <w:rPr>
          <w:spacing w:val="-3"/>
        </w:rPr>
        <w:t> </w:t>
      </w:r>
      <w:r>
        <w:rPr/>
        <w:t>time- limited period while the member is enrolling in such insurance;</w:t>
      </w:r>
    </w:p>
    <w:p>
      <w:pPr>
        <w:spacing w:after="0"/>
        <w:sectPr>
          <w:pgSz w:w="12240" w:h="15840"/>
          <w:pgMar w:header="0" w:footer="1201" w:top="1360" w:bottom="1400" w:left="1200" w:right="400"/>
        </w:sectPr>
      </w:pPr>
    </w:p>
    <w:p>
      <w:pPr>
        <w:pStyle w:val="BodyText"/>
        <w:spacing w:before="79"/>
        <w:ind w:left="1411"/>
      </w:pPr>
      <w:r>
        <w:rPr/>
        <w:drawing>
          <wp:anchor distT="0" distB="0" distL="0" distR="0" allowOverlap="1" layoutInCell="1" locked="0" behindDoc="0" simplePos="0" relativeHeight="15830016">
            <wp:simplePos x="0" y="0"/>
            <wp:positionH relativeFrom="page">
              <wp:posOffset>1431036</wp:posOffset>
            </wp:positionH>
            <wp:positionV relativeFrom="paragraph">
              <wp:posOffset>117781</wp:posOffset>
            </wp:positionV>
            <wp:extent cx="96011" cy="80759"/>
            <wp:effectExtent l="0" t="0" r="0" b="0"/>
            <wp:wrapNone/>
            <wp:docPr id="209" name="Image 209"/>
            <wp:cNvGraphicFramePr>
              <a:graphicFrameLocks/>
            </wp:cNvGraphicFramePr>
            <a:graphic>
              <a:graphicData uri="http://schemas.openxmlformats.org/drawingml/2006/picture">
                <pic:pic>
                  <pic:nvPicPr>
                    <pic:cNvPr id="209" name="Image 209"/>
                    <pic:cNvPicPr/>
                  </pic:nvPicPr>
                  <pic:blipFill>
                    <a:blip r:embed="rId35" cstate="print"/>
                    <a:stretch>
                      <a:fillRect/>
                    </a:stretch>
                  </pic:blipFill>
                  <pic:spPr>
                    <a:xfrm>
                      <a:off x="0" y="0"/>
                      <a:ext cx="96011" cy="80759"/>
                    </a:xfrm>
                    <a:prstGeom prst="rect">
                      <a:avLst/>
                    </a:prstGeom>
                  </pic:spPr>
                </pic:pic>
              </a:graphicData>
            </a:graphic>
          </wp:anchor>
        </w:drawing>
      </w:r>
      <w:bookmarkStart w:name="c. Any individual receiving Limited cove" w:id="366"/>
      <w:bookmarkEnd w:id="366"/>
      <w:r>
        <w:rPr/>
      </w:r>
      <w:r>
        <w:rPr/>
        <w:t>Any</w:t>
      </w:r>
      <w:r>
        <w:rPr>
          <w:spacing w:val="-7"/>
        </w:rPr>
        <w:t> </w:t>
      </w:r>
      <w:r>
        <w:rPr/>
        <w:t>individual</w:t>
      </w:r>
      <w:r>
        <w:rPr>
          <w:spacing w:val="-1"/>
        </w:rPr>
        <w:t> </w:t>
      </w:r>
      <w:r>
        <w:rPr/>
        <w:t>receiving Limited</w:t>
      </w:r>
      <w:r>
        <w:rPr>
          <w:spacing w:val="-1"/>
        </w:rPr>
        <w:t> </w:t>
      </w:r>
      <w:r>
        <w:rPr>
          <w:spacing w:val="-2"/>
        </w:rPr>
        <w:t>coverage;</w:t>
      </w:r>
    </w:p>
    <w:p>
      <w:pPr>
        <w:pStyle w:val="BodyText"/>
        <w:spacing w:before="10"/>
        <w:rPr>
          <w:sz w:val="20"/>
        </w:rPr>
      </w:pPr>
    </w:p>
    <w:p>
      <w:pPr>
        <w:pStyle w:val="BodyText"/>
        <w:ind w:left="1411" w:right="1059"/>
      </w:pPr>
      <w:r>
        <w:rPr/>
        <w:drawing>
          <wp:anchor distT="0" distB="0" distL="0" distR="0" allowOverlap="1" layoutInCell="1" locked="0" behindDoc="0" simplePos="0" relativeHeight="15830528">
            <wp:simplePos x="0" y="0"/>
            <wp:positionH relativeFrom="page">
              <wp:posOffset>1431036</wp:posOffset>
            </wp:positionH>
            <wp:positionV relativeFrom="paragraph">
              <wp:posOffset>32551</wp:posOffset>
            </wp:positionV>
            <wp:extent cx="105155" cy="115823"/>
            <wp:effectExtent l="0" t="0" r="0" b="0"/>
            <wp:wrapNone/>
            <wp:docPr id="210" name="Image 210"/>
            <wp:cNvGraphicFramePr>
              <a:graphicFrameLocks/>
            </wp:cNvGraphicFramePr>
            <a:graphic>
              <a:graphicData uri="http://schemas.openxmlformats.org/drawingml/2006/picture">
                <pic:pic>
                  <pic:nvPicPr>
                    <pic:cNvPr id="210" name="Image 210"/>
                    <pic:cNvPicPr/>
                  </pic:nvPicPr>
                  <pic:blipFill>
                    <a:blip r:embed="rId36" cstate="print"/>
                    <a:stretch>
                      <a:fillRect/>
                    </a:stretch>
                  </pic:blipFill>
                  <pic:spPr>
                    <a:xfrm>
                      <a:off x="0" y="0"/>
                      <a:ext cx="105155" cy="115823"/>
                    </a:xfrm>
                    <a:prstGeom prst="rect">
                      <a:avLst/>
                    </a:prstGeom>
                  </pic:spPr>
                </pic:pic>
              </a:graphicData>
            </a:graphic>
          </wp:anchor>
        </w:drawing>
      </w:r>
      <w:bookmarkStart w:name="d. Any individual receiving hospice care" w:id="367"/>
      <w:bookmarkEnd w:id="367"/>
      <w:r>
        <w:rPr/>
      </w:r>
      <w:r>
        <w:rPr/>
        <w:t>Any</w:t>
      </w:r>
      <w:r>
        <w:rPr>
          <w:spacing w:val="-7"/>
        </w:rPr>
        <w:t> </w:t>
      </w:r>
      <w:r>
        <w:rPr/>
        <w:t>individual</w:t>
      </w:r>
      <w:r>
        <w:rPr>
          <w:spacing w:val="-3"/>
        </w:rPr>
        <w:t> </w:t>
      </w:r>
      <w:r>
        <w:rPr/>
        <w:t>receiving</w:t>
      </w:r>
      <w:r>
        <w:rPr>
          <w:spacing w:val="-3"/>
        </w:rPr>
        <w:t> </w:t>
      </w:r>
      <w:r>
        <w:rPr/>
        <w:t>hospice</w:t>
      </w:r>
      <w:r>
        <w:rPr>
          <w:spacing w:val="-4"/>
        </w:rPr>
        <w:t> </w:t>
      </w:r>
      <w:r>
        <w:rPr/>
        <w:t>care,</w:t>
      </w:r>
      <w:r>
        <w:rPr>
          <w:spacing w:val="-3"/>
        </w:rPr>
        <w:t> </w:t>
      </w:r>
      <w:r>
        <w:rPr/>
        <w:t>or</w:t>
      </w:r>
      <w:r>
        <w:rPr>
          <w:spacing w:val="-2"/>
        </w:rPr>
        <w:t> </w:t>
      </w:r>
      <w:r>
        <w:rPr/>
        <w:t>who</w:t>
      </w:r>
      <w:r>
        <w:rPr>
          <w:spacing w:val="-3"/>
        </w:rPr>
        <w:t> </w:t>
      </w:r>
      <w:r>
        <w:rPr/>
        <w:t>is</w:t>
      </w:r>
      <w:r>
        <w:rPr>
          <w:spacing w:val="-3"/>
        </w:rPr>
        <w:t> </w:t>
      </w:r>
      <w:r>
        <w:rPr/>
        <w:t>terminally</w:t>
      </w:r>
      <w:r>
        <w:rPr>
          <w:spacing w:val="-7"/>
        </w:rPr>
        <w:t> </w:t>
      </w:r>
      <w:r>
        <w:rPr/>
        <w:t>ill</w:t>
      </w:r>
      <w:r>
        <w:rPr>
          <w:spacing w:val="-3"/>
        </w:rPr>
        <w:t> </w:t>
      </w:r>
      <w:r>
        <w:rPr/>
        <w:t>as</w:t>
      </w:r>
      <w:r>
        <w:rPr>
          <w:spacing w:val="-3"/>
        </w:rPr>
        <w:t> </w:t>
      </w:r>
      <w:r>
        <w:rPr/>
        <w:t>documented</w:t>
      </w:r>
      <w:r>
        <w:rPr>
          <w:spacing w:val="-3"/>
        </w:rPr>
        <w:t> </w:t>
      </w:r>
      <w:r>
        <w:rPr/>
        <w:t>with</w:t>
      </w:r>
      <w:r>
        <w:rPr>
          <w:spacing w:val="-3"/>
        </w:rPr>
        <w:t> </w:t>
      </w:r>
      <w:r>
        <w:rPr/>
        <w:t>a medical prognosis of a life expectancy of 6 months or less; and</w:t>
      </w:r>
    </w:p>
    <w:p>
      <w:pPr>
        <w:pStyle w:val="BodyText"/>
        <w:spacing w:before="10"/>
        <w:rPr>
          <w:sz w:val="20"/>
        </w:rPr>
      </w:pPr>
    </w:p>
    <w:p>
      <w:pPr>
        <w:pStyle w:val="BodyText"/>
        <w:ind w:left="1411" w:right="1059"/>
      </w:pPr>
      <w:r>
        <w:rPr/>
        <w:drawing>
          <wp:anchor distT="0" distB="0" distL="0" distR="0" allowOverlap="1" layoutInCell="1" locked="0" behindDoc="0" simplePos="0" relativeHeight="15831040">
            <wp:simplePos x="0" y="0"/>
            <wp:positionH relativeFrom="page">
              <wp:posOffset>1431036</wp:posOffset>
            </wp:positionH>
            <wp:positionV relativeFrom="paragraph">
              <wp:posOffset>67603</wp:posOffset>
            </wp:positionV>
            <wp:extent cx="96011" cy="80771"/>
            <wp:effectExtent l="0" t="0" r="0" b="0"/>
            <wp:wrapNone/>
            <wp:docPr id="211" name="Image 211"/>
            <wp:cNvGraphicFramePr>
              <a:graphicFrameLocks/>
            </wp:cNvGraphicFramePr>
            <a:graphic>
              <a:graphicData uri="http://schemas.openxmlformats.org/drawingml/2006/picture">
                <pic:pic>
                  <pic:nvPicPr>
                    <pic:cNvPr id="211" name="Image 211"/>
                    <pic:cNvPicPr/>
                  </pic:nvPicPr>
                  <pic:blipFill>
                    <a:blip r:embed="rId37" cstate="print"/>
                    <a:stretch>
                      <a:fillRect/>
                    </a:stretch>
                  </pic:blipFill>
                  <pic:spPr>
                    <a:xfrm>
                      <a:off x="0" y="0"/>
                      <a:ext cx="96011" cy="80771"/>
                    </a:xfrm>
                    <a:prstGeom prst="rect">
                      <a:avLst/>
                    </a:prstGeom>
                  </pic:spPr>
                </pic:pic>
              </a:graphicData>
            </a:graphic>
          </wp:anchor>
        </w:drawing>
      </w:r>
      <w:bookmarkStart w:name="e. Any participant in a Home and Communi" w:id="368"/>
      <w:bookmarkEnd w:id="368"/>
      <w:r>
        <w:rPr/>
      </w:r>
      <w:r>
        <w:rPr/>
        <w:t>Any</w:t>
      </w:r>
      <w:r>
        <w:rPr>
          <w:spacing w:val="-8"/>
        </w:rPr>
        <w:t> </w:t>
      </w:r>
      <w:r>
        <w:rPr/>
        <w:t>participant</w:t>
      </w:r>
      <w:r>
        <w:rPr>
          <w:spacing w:val="-3"/>
        </w:rPr>
        <w:t> </w:t>
      </w:r>
      <w:r>
        <w:rPr/>
        <w:t>in</w:t>
      </w:r>
      <w:r>
        <w:rPr>
          <w:spacing w:val="-3"/>
        </w:rPr>
        <w:t> </w:t>
      </w:r>
      <w:r>
        <w:rPr/>
        <w:t>a</w:t>
      </w:r>
      <w:r>
        <w:rPr>
          <w:spacing w:val="-4"/>
        </w:rPr>
        <w:t> </w:t>
      </w:r>
      <w:r>
        <w:rPr/>
        <w:t>Home</w:t>
      </w:r>
      <w:r>
        <w:rPr>
          <w:spacing w:val="-4"/>
        </w:rPr>
        <w:t> </w:t>
      </w:r>
      <w:r>
        <w:rPr/>
        <w:t>and</w:t>
      </w:r>
      <w:r>
        <w:rPr>
          <w:spacing w:val="-3"/>
        </w:rPr>
        <w:t> </w:t>
      </w:r>
      <w:r>
        <w:rPr/>
        <w:t>Community-Based</w:t>
      </w:r>
      <w:r>
        <w:rPr>
          <w:spacing w:val="-2"/>
        </w:rPr>
        <w:t> </w:t>
      </w:r>
      <w:r>
        <w:rPr/>
        <w:t>Services</w:t>
      </w:r>
      <w:r>
        <w:rPr>
          <w:spacing w:val="-3"/>
        </w:rPr>
        <w:t> </w:t>
      </w:r>
      <w:r>
        <w:rPr/>
        <w:t>Waiver</w:t>
      </w:r>
      <w:r>
        <w:rPr>
          <w:spacing w:val="-4"/>
        </w:rPr>
        <w:t> </w:t>
      </w:r>
      <w:r>
        <w:rPr/>
        <w:t>who</w:t>
      </w:r>
      <w:r>
        <w:rPr>
          <w:spacing w:val="-3"/>
        </w:rPr>
        <w:t> </w:t>
      </w:r>
      <w:r>
        <w:rPr/>
        <w:t>is</w:t>
      </w:r>
      <w:r>
        <w:rPr>
          <w:spacing w:val="-3"/>
        </w:rPr>
        <w:t> </w:t>
      </w:r>
      <w:r>
        <w:rPr/>
        <w:t>not eligible for SSI and for whom MassHealth is not a secondary payer.</w:t>
      </w:r>
    </w:p>
    <w:p>
      <w:pPr>
        <w:pStyle w:val="BodyText"/>
        <w:spacing w:before="10"/>
        <w:rPr>
          <w:sz w:val="20"/>
        </w:rPr>
      </w:pPr>
    </w:p>
    <w:p>
      <w:pPr>
        <w:pStyle w:val="BodyText"/>
        <w:ind w:left="871" w:right="1086"/>
      </w:pPr>
      <w:bookmarkStart w:name="MassHealth may permit such individuals t" w:id="369"/>
      <w:bookmarkEnd w:id="369"/>
      <w:r>
        <w:rPr/>
      </w:r>
      <w:r>
        <w:rPr/>
        <w:t>MassHealth</w:t>
      </w:r>
      <w:r>
        <w:rPr>
          <w:spacing w:val="-3"/>
        </w:rPr>
        <w:t> </w:t>
      </w:r>
      <w:r>
        <w:rPr/>
        <w:t>may</w:t>
      </w:r>
      <w:r>
        <w:rPr>
          <w:spacing w:val="-8"/>
        </w:rPr>
        <w:t> </w:t>
      </w:r>
      <w:r>
        <w:rPr/>
        <w:t>permit</w:t>
      </w:r>
      <w:r>
        <w:rPr>
          <w:spacing w:val="-3"/>
        </w:rPr>
        <w:t> </w:t>
      </w:r>
      <w:r>
        <w:rPr/>
        <w:t>such</w:t>
      </w:r>
      <w:r>
        <w:rPr>
          <w:spacing w:val="-3"/>
        </w:rPr>
        <w:t> </w:t>
      </w:r>
      <w:r>
        <w:rPr/>
        <w:t>individuals</w:t>
      </w:r>
      <w:r>
        <w:rPr>
          <w:spacing w:val="-3"/>
        </w:rPr>
        <w:t> </w:t>
      </w:r>
      <w:r>
        <w:rPr/>
        <w:t>to</w:t>
      </w:r>
      <w:r>
        <w:rPr>
          <w:spacing w:val="-3"/>
        </w:rPr>
        <w:t> </w:t>
      </w:r>
      <w:r>
        <w:rPr/>
        <w:t>enroll</w:t>
      </w:r>
      <w:r>
        <w:rPr>
          <w:spacing w:val="-3"/>
        </w:rPr>
        <w:t> </w:t>
      </w:r>
      <w:r>
        <w:rPr/>
        <w:t>in</w:t>
      </w:r>
      <w:r>
        <w:rPr>
          <w:spacing w:val="-3"/>
        </w:rPr>
        <w:t> </w:t>
      </w:r>
      <w:r>
        <w:rPr/>
        <w:t>Managed</w:t>
      </w:r>
      <w:r>
        <w:rPr>
          <w:spacing w:val="-3"/>
        </w:rPr>
        <w:t> </w:t>
      </w:r>
      <w:r>
        <w:rPr/>
        <w:t>Care,</w:t>
      </w:r>
      <w:r>
        <w:rPr>
          <w:spacing w:val="-3"/>
        </w:rPr>
        <w:t> </w:t>
      </w:r>
      <w:r>
        <w:rPr/>
        <w:t>including</w:t>
      </w:r>
      <w:r>
        <w:rPr>
          <w:spacing w:val="-6"/>
        </w:rPr>
        <w:t> </w:t>
      </w:r>
      <w:r>
        <w:rPr/>
        <w:t>the</w:t>
      </w:r>
      <w:r>
        <w:rPr>
          <w:spacing w:val="-4"/>
        </w:rPr>
        <w:t> </w:t>
      </w:r>
      <w:r>
        <w:rPr/>
        <w:t>option to enroll with the behavioral health contractor for behavioral health services and receive their medical services through FFS.</w:t>
      </w:r>
    </w:p>
    <w:p>
      <w:pPr>
        <w:pStyle w:val="BodyText"/>
        <w:spacing w:before="10"/>
        <w:rPr>
          <w:sz w:val="20"/>
        </w:rPr>
      </w:pPr>
    </w:p>
    <w:p>
      <w:pPr>
        <w:pStyle w:val="BodyText"/>
        <w:ind w:left="871" w:right="1059"/>
      </w:pPr>
      <w:r>
        <w:rPr/>
        <w:drawing>
          <wp:anchor distT="0" distB="0" distL="0" distR="0" allowOverlap="1" layoutInCell="1" locked="0" behindDoc="0" simplePos="0" relativeHeight="15831552">
            <wp:simplePos x="0" y="0"/>
            <wp:positionH relativeFrom="page">
              <wp:posOffset>978408</wp:posOffset>
            </wp:positionH>
            <wp:positionV relativeFrom="paragraph">
              <wp:posOffset>35612</wp:posOffset>
            </wp:positionV>
            <wp:extent cx="214883" cy="112762"/>
            <wp:effectExtent l="0" t="0" r="0" b="0"/>
            <wp:wrapNone/>
            <wp:docPr id="212" name="Image 212"/>
            <wp:cNvGraphicFramePr>
              <a:graphicFrameLocks/>
            </wp:cNvGraphicFramePr>
            <a:graphic>
              <a:graphicData uri="http://schemas.openxmlformats.org/drawingml/2006/picture">
                <pic:pic>
                  <pic:nvPicPr>
                    <pic:cNvPr id="212" name="Image 212"/>
                    <pic:cNvPicPr/>
                  </pic:nvPicPr>
                  <pic:blipFill>
                    <a:blip r:embed="rId124" cstate="print"/>
                    <a:stretch>
                      <a:fillRect/>
                    </a:stretch>
                  </pic:blipFill>
                  <pic:spPr>
                    <a:xfrm>
                      <a:off x="0" y="0"/>
                      <a:ext cx="214883" cy="112762"/>
                    </a:xfrm>
                    <a:prstGeom prst="rect">
                      <a:avLst/>
                    </a:prstGeom>
                  </pic:spPr>
                </pic:pic>
              </a:graphicData>
            </a:graphic>
          </wp:anchor>
        </w:drawing>
      </w:r>
      <w:bookmarkStart w:name="8.3. Managed Care Delivery Systems. Mass" w:id="370"/>
      <w:bookmarkEnd w:id="370"/>
      <w:r>
        <w:rPr/>
      </w:r>
      <w:r>
        <w:rPr>
          <w:b/>
        </w:rPr>
        <w:t>Managed</w:t>
      </w:r>
      <w:r>
        <w:rPr>
          <w:b/>
          <w:spacing w:val="-5"/>
        </w:rPr>
        <w:t> </w:t>
      </w:r>
      <w:r>
        <w:rPr>
          <w:b/>
        </w:rPr>
        <w:t>Care</w:t>
      </w:r>
      <w:r>
        <w:rPr>
          <w:b/>
          <w:spacing w:val="-5"/>
        </w:rPr>
        <w:t> </w:t>
      </w:r>
      <w:r>
        <w:rPr>
          <w:b/>
        </w:rPr>
        <w:t>Delivery</w:t>
      </w:r>
      <w:r>
        <w:rPr>
          <w:b/>
          <w:spacing w:val="-3"/>
        </w:rPr>
        <w:t> </w:t>
      </w:r>
      <w:r>
        <w:rPr>
          <w:b/>
        </w:rPr>
        <w:t>Systems.</w:t>
      </w:r>
      <w:r>
        <w:rPr>
          <w:b/>
          <w:spacing w:val="-5"/>
        </w:rPr>
        <w:t> </w:t>
      </w:r>
      <w:r>
        <w:rPr/>
        <w:t>MassHealth’s</w:t>
      </w:r>
      <w:r>
        <w:rPr>
          <w:spacing w:val="-5"/>
        </w:rPr>
        <w:t> </w:t>
      </w:r>
      <w:r>
        <w:rPr/>
        <w:t>Managed</w:t>
      </w:r>
      <w:r>
        <w:rPr>
          <w:spacing w:val="-5"/>
        </w:rPr>
        <w:t> </w:t>
      </w:r>
      <w:r>
        <w:rPr/>
        <w:t>Care</w:t>
      </w:r>
      <w:r>
        <w:rPr>
          <w:spacing w:val="-5"/>
        </w:rPr>
        <w:t> </w:t>
      </w:r>
      <w:r>
        <w:rPr/>
        <w:t>delivery</w:t>
      </w:r>
      <w:r>
        <w:rPr>
          <w:spacing w:val="-9"/>
        </w:rPr>
        <w:t> </w:t>
      </w:r>
      <w:r>
        <w:rPr/>
        <w:t>systems</w:t>
      </w:r>
      <w:r>
        <w:rPr>
          <w:spacing w:val="-5"/>
        </w:rPr>
        <w:t> </w:t>
      </w:r>
      <w:r>
        <w:rPr/>
        <w:t>include two categories as described above: (1) PCCM and PCCM entity delivery systems (which includes the PCC Plan (PCCM) and Primary Care ACOs (PCCM entitites)); and (2)</w:t>
      </w:r>
    </w:p>
    <w:p>
      <w:pPr>
        <w:pStyle w:val="BodyText"/>
        <w:ind w:left="871" w:right="1059"/>
      </w:pPr>
      <w:r>
        <w:rPr/>
        <w:t>MCO-based</w:t>
      </w:r>
      <w:r>
        <w:rPr>
          <w:spacing w:val="-4"/>
        </w:rPr>
        <w:t> </w:t>
      </w:r>
      <w:r>
        <w:rPr/>
        <w:t>delivery</w:t>
      </w:r>
      <w:r>
        <w:rPr>
          <w:spacing w:val="-9"/>
        </w:rPr>
        <w:t> </w:t>
      </w:r>
      <w:r>
        <w:rPr/>
        <w:t>systems</w:t>
      </w:r>
      <w:r>
        <w:rPr>
          <w:spacing w:val="-4"/>
        </w:rPr>
        <w:t> </w:t>
      </w:r>
      <w:r>
        <w:rPr/>
        <w:t>(which</w:t>
      </w:r>
      <w:r>
        <w:rPr>
          <w:spacing w:val="-4"/>
        </w:rPr>
        <w:t> </w:t>
      </w:r>
      <w:r>
        <w:rPr/>
        <w:t>includes</w:t>
      </w:r>
      <w:r>
        <w:rPr>
          <w:spacing w:val="-4"/>
        </w:rPr>
        <w:t> </w:t>
      </w:r>
      <w:r>
        <w:rPr/>
        <w:t>the</w:t>
      </w:r>
      <w:r>
        <w:rPr>
          <w:spacing w:val="-3"/>
        </w:rPr>
        <w:t> </w:t>
      </w:r>
      <w:r>
        <w:rPr/>
        <w:t>MassHealth</w:t>
      </w:r>
      <w:r>
        <w:rPr>
          <w:spacing w:val="-4"/>
        </w:rPr>
        <w:t> </w:t>
      </w:r>
      <w:r>
        <w:rPr/>
        <w:t>MCOs</w:t>
      </w:r>
      <w:r>
        <w:rPr>
          <w:spacing w:val="-4"/>
        </w:rPr>
        <w:t> </w:t>
      </w:r>
      <w:r>
        <w:rPr/>
        <w:t>and</w:t>
      </w:r>
      <w:r>
        <w:rPr>
          <w:spacing w:val="-4"/>
        </w:rPr>
        <w:t> </w:t>
      </w:r>
      <w:r>
        <w:rPr/>
        <w:t>Partnership Plans). Table 7 below provides an overview of these delivery systems.</w:t>
      </w:r>
    </w:p>
    <w:p>
      <w:pPr>
        <w:pStyle w:val="BodyText"/>
        <w:spacing w:before="11"/>
        <w:rPr>
          <w:sz w:val="20"/>
        </w:rPr>
      </w:pPr>
    </w:p>
    <w:tbl>
      <w:tblPr>
        <w:tblW w:w="0" w:type="auto"/>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5"/>
        <w:gridCol w:w="2700"/>
        <w:gridCol w:w="2071"/>
        <w:gridCol w:w="2604"/>
      </w:tblGrid>
      <w:tr>
        <w:trPr>
          <w:trHeight w:val="251" w:hRule="atLeast"/>
        </w:trPr>
        <w:tc>
          <w:tcPr>
            <w:tcW w:w="9350" w:type="dxa"/>
            <w:gridSpan w:val="4"/>
            <w:shd w:val="clear" w:color="auto" w:fill="DBE6F1"/>
          </w:tcPr>
          <w:p>
            <w:pPr>
              <w:pStyle w:val="TableParagraph"/>
              <w:spacing w:line="232" w:lineRule="exact"/>
              <w:ind w:left="1457" w:right="1448"/>
              <w:jc w:val="center"/>
              <w:rPr>
                <w:b/>
                <w:sz w:val="22"/>
              </w:rPr>
            </w:pPr>
            <w:r>
              <w:rPr>
                <w:b/>
                <w:sz w:val="22"/>
              </w:rPr>
              <w:t>Table</w:t>
            </w:r>
            <w:r>
              <w:rPr>
                <w:b/>
                <w:spacing w:val="-4"/>
                <w:sz w:val="22"/>
              </w:rPr>
              <w:t> </w:t>
            </w:r>
            <w:r>
              <w:rPr>
                <w:b/>
                <w:sz w:val="22"/>
              </w:rPr>
              <w:t>7:</w:t>
            </w:r>
            <w:r>
              <w:rPr>
                <w:b/>
                <w:spacing w:val="-3"/>
                <w:sz w:val="22"/>
              </w:rPr>
              <w:t> </w:t>
            </w:r>
            <w:r>
              <w:rPr>
                <w:b/>
                <w:sz w:val="22"/>
              </w:rPr>
              <w:t>Overview</w:t>
            </w:r>
            <w:r>
              <w:rPr>
                <w:b/>
                <w:spacing w:val="-3"/>
                <w:sz w:val="22"/>
              </w:rPr>
              <w:t> </w:t>
            </w:r>
            <w:r>
              <w:rPr>
                <w:b/>
                <w:sz w:val="22"/>
              </w:rPr>
              <w:t>of</w:t>
            </w:r>
            <w:r>
              <w:rPr>
                <w:b/>
                <w:spacing w:val="-2"/>
                <w:sz w:val="22"/>
              </w:rPr>
              <w:t> </w:t>
            </w:r>
            <w:r>
              <w:rPr>
                <w:b/>
                <w:sz w:val="22"/>
              </w:rPr>
              <w:t>Managed</w:t>
            </w:r>
            <w:r>
              <w:rPr>
                <w:b/>
                <w:spacing w:val="-5"/>
                <w:sz w:val="22"/>
              </w:rPr>
              <w:t> </w:t>
            </w:r>
            <w:r>
              <w:rPr>
                <w:b/>
                <w:sz w:val="22"/>
              </w:rPr>
              <w:t>Care</w:t>
            </w:r>
            <w:r>
              <w:rPr>
                <w:b/>
                <w:spacing w:val="-4"/>
                <w:sz w:val="22"/>
              </w:rPr>
              <w:t> </w:t>
            </w:r>
            <w:r>
              <w:rPr>
                <w:b/>
                <w:sz w:val="22"/>
              </w:rPr>
              <w:t>Delivery</w:t>
            </w:r>
            <w:r>
              <w:rPr>
                <w:b/>
                <w:spacing w:val="-3"/>
                <w:sz w:val="22"/>
              </w:rPr>
              <w:t> </w:t>
            </w:r>
            <w:r>
              <w:rPr>
                <w:b/>
                <w:spacing w:val="-2"/>
                <w:sz w:val="22"/>
              </w:rPr>
              <w:t>Systems</w:t>
            </w:r>
          </w:p>
        </w:tc>
      </w:tr>
      <w:tr>
        <w:trPr>
          <w:trHeight w:val="254" w:hRule="atLeast"/>
        </w:trPr>
        <w:tc>
          <w:tcPr>
            <w:tcW w:w="4675" w:type="dxa"/>
            <w:gridSpan w:val="2"/>
            <w:shd w:val="clear" w:color="auto" w:fill="DBE6F1"/>
          </w:tcPr>
          <w:p>
            <w:pPr>
              <w:pStyle w:val="TableParagraph"/>
              <w:spacing w:line="233" w:lineRule="exact" w:before="1"/>
              <w:ind w:left="355"/>
              <w:rPr>
                <w:b/>
                <w:sz w:val="22"/>
              </w:rPr>
            </w:pPr>
            <w:r>
              <w:rPr>
                <w:b/>
                <w:sz w:val="22"/>
              </w:rPr>
              <w:t>PCCM</w:t>
            </w:r>
            <w:r>
              <w:rPr>
                <w:b/>
                <w:spacing w:val="-3"/>
                <w:sz w:val="22"/>
              </w:rPr>
              <w:t> </w:t>
            </w:r>
            <w:r>
              <w:rPr>
                <w:b/>
                <w:sz w:val="22"/>
              </w:rPr>
              <w:t>and</w:t>
            </w:r>
            <w:r>
              <w:rPr>
                <w:b/>
                <w:spacing w:val="-6"/>
                <w:sz w:val="22"/>
              </w:rPr>
              <w:t> </w:t>
            </w:r>
            <w:r>
              <w:rPr>
                <w:b/>
                <w:sz w:val="22"/>
              </w:rPr>
              <w:t>PCCM</w:t>
            </w:r>
            <w:r>
              <w:rPr>
                <w:b/>
                <w:spacing w:val="-4"/>
                <w:sz w:val="22"/>
              </w:rPr>
              <w:t> </w:t>
            </w:r>
            <w:r>
              <w:rPr>
                <w:b/>
                <w:sz w:val="22"/>
              </w:rPr>
              <w:t>entity</w:t>
            </w:r>
            <w:r>
              <w:rPr>
                <w:b/>
                <w:spacing w:val="-5"/>
                <w:sz w:val="22"/>
              </w:rPr>
              <w:t> </w:t>
            </w:r>
            <w:r>
              <w:rPr>
                <w:b/>
                <w:sz w:val="22"/>
              </w:rPr>
              <w:t>delivery</w:t>
            </w:r>
            <w:r>
              <w:rPr>
                <w:b/>
                <w:spacing w:val="-5"/>
                <w:sz w:val="22"/>
              </w:rPr>
              <w:t> </w:t>
            </w:r>
            <w:r>
              <w:rPr>
                <w:b/>
                <w:spacing w:val="-2"/>
                <w:sz w:val="22"/>
              </w:rPr>
              <w:t>systems</w:t>
            </w:r>
          </w:p>
        </w:tc>
        <w:tc>
          <w:tcPr>
            <w:tcW w:w="4675" w:type="dxa"/>
            <w:gridSpan w:val="2"/>
            <w:shd w:val="clear" w:color="auto" w:fill="DBE6F1"/>
          </w:tcPr>
          <w:p>
            <w:pPr>
              <w:pStyle w:val="TableParagraph"/>
              <w:spacing w:line="233" w:lineRule="exact" w:before="1"/>
              <w:ind w:left="967"/>
              <w:rPr>
                <w:b/>
                <w:sz w:val="22"/>
              </w:rPr>
            </w:pPr>
            <w:r>
              <w:rPr>
                <w:b/>
                <w:sz w:val="22"/>
              </w:rPr>
              <w:t>MCO-based</w:t>
            </w:r>
            <w:r>
              <w:rPr>
                <w:b/>
                <w:spacing w:val="-9"/>
                <w:sz w:val="22"/>
              </w:rPr>
              <w:t> </w:t>
            </w:r>
            <w:r>
              <w:rPr>
                <w:b/>
                <w:sz w:val="22"/>
              </w:rPr>
              <w:t>delivery</w:t>
            </w:r>
            <w:r>
              <w:rPr>
                <w:b/>
                <w:spacing w:val="-5"/>
                <w:sz w:val="22"/>
              </w:rPr>
              <w:t> </w:t>
            </w:r>
            <w:r>
              <w:rPr>
                <w:b/>
                <w:spacing w:val="-2"/>
                <w:sz w:val="22"/>
              </w:rPr>
              <w:t>systems</w:t>
            </w:r>
          </w:p>
        </w:tc>
      </w:tr>
      <w:tr>
        <w:trPr>
          <w:trHeight w:val="760" w:hRule="atLeast"/>
        </w:trPr>
        <w:tc>
          <w:tcPr>
            <w:tcW w:w="1975" w:type="dxa"/>
          </w:tcPr>
          <w:p>
            <w:pPr>
              <w:pStyle w:val="TableParagraph"/>
              <w:spacing w:before="11"/>
              <w:rPr>
                <w:sz w:val="21"/>
              </w:rPr>
            </w:pPr>
          </w:p>
          <w:p>
            <w:pPr>
              <w:pStyle w:val="TableParagraph"/>
              <w:ind w:left="107"/>
              <w:rPr>
                <w:sz w:val="22"/>
              </w:rPr>
            </w:pPr>
            <w:r>
              <w:rPr>
                <w:sz w:val="22"/>
              </w:rPr>
              <w:t>PCC</w:t>
            </w:r>
            <w:r>
              <w:rPr>
                <w:spacing w:val="-2"/>
                <w:sz w:val="22"/>
              </w:rPr>
              <w:t> </w:t>
            </w:r>
            <w:r>
              <w:rPr>
                <w:sz w:val="22"/>
              </w:rPr>
              <w:t>Plan</w:t>
            </w:r>
            <w:r>
              <w:rPr>
                <w:spacing w:val="-1"/>
                <w:sz w:val="22"/>
              </w:rPr>
              <w:t> </w:t>
            </w:r>
            <w:r>
              <w:rPr>
                <w:spacing w:val="-2"/>
                <w:sz w:val="22"/>
              </w:rPr>
              <w:t>(PCCM)</w:t>
            </w:r>
          </w:p>
        </w:tc>
        <w:tc>
          <w:tcPr>
            <w:tcW w:w="2700" w:type="dxa"/>
          </w:tcPr>
          <w:p>
            <w:pPr>
              <w:pStyle w:val="TableParagraph"/>
              <w:ind w:left="108" w:right="161"/>
              <w:rPr>
                <w:sz w:val="22"/>
              </w:rPr>
            </w:pPr>
            <w:r>
              <w:rPr>
                <w:sz w:val="22"/>
              </w:rPr>
              <w:t>Primary</w:t>
            </w:r>
            <w:r>
              <w:rPr>
                <w:spacing w:val="-14"/>
                <w:sz w:val="22"/>
              </w:rPr>
              <w:t> </w:t>
            </w:r>
            <w:r>
              <w:rPr>
                <w:sz w:val="22"/>
              </w:rPr>
              <w:t>Care</w:t>
            </w:r>
            <w:r>
              <w:rPr>
                <w:spacing w:val="-14"/>
                <w:sz w:val="22"/>
              </w:rPr>
              <w:t> </w:t>
            </w:r>
            <w:r>
              <w:rPr>
                <w:sz w:val="22"/>
              </w:rPr>
              <w:t>ACOs (PCCM Entities)</w:t>
            </w:r>
          </w:p>
          <w:p>
            <w:pPr>
              <w:pStyle w:val="TableParagraph"/>
              <w:spacing w:line="236" w:lineRule="exact"/>
              <w:ind w:left="108"/>
              <w:rPr>
                <w:sz w:val="22"/>
              </w:rPr>
            </w:pPr>
            <w:r>
              <w:rPr>
                <w:sz w:val="22"/>
              </w:rPr>
              <w:t>(a.k.a.</w:t>
            </w:r>
            <w:r>
              <w:rPr>
                <w:spacing w:val="-3"/>
                <w:sz w:val="22"/>
              </w:rPr>
              <w:t> </w:t>
            </w:r>
            <w:r>
              <w:rPr>
                <w:sz w:val="22"/>
              </w:rPr>
              <w:t>“Model</w:t>
            </w:r>
            <w:r>
              <w:rPr>
                <w:spacing w:val="-1"/>
                <w:sz w:val="22"/>
              </w:rPr>
              <w:t> </w:t>
            </w:r>
            <w:r>
              <w:rPr>
                <w:sz w:val="22"/>
              </w:rPr>
              <w:t>B</w:t>
            </w:r>
            <w:r>
              <w:rPr>
                <w:spacing w:val="-3"/>
                <w:sz w:val="22"/>
              </w:rPr>
              <w:t> </w:t>
            </w:r>
            <w:r>
              <w:rPr>
                <w:spacing w:val="-2"/>
                <w:sz w:val="22"/>
              </w:rPr>
              <w:t>ACOs”)</w:t>
            </w:r>
          </w:p>
        </w:tc>
        <w:tc>
          <w:tcPr>
            <w:tcW w:w="2071" w:type="dxa"/>
          </w:tcPr>
          <w:p>
            <w:pPr>
              <w:pStyle w:val="TableParagraph"/>
              <w:spacing w:before="11"/>
              <w:rPr>
                <w:sz w:val="21"/>
              </w:rPr>
            </w:pPr>
          </w:p>
          <w:p>
            <w:pPr>
              <w:pStyle w:val="TableParagraph"/>
              <w:ind w:left="107"/>
              <w:rPr>
                <w:sz w:val="22"/>
              </w:rPr>
            </w:pPr>
            <w:r>
              <w:rPr>
                <w:sz w:val="22"/>
              </w:rPr>
              <w:t>MassHealth</w:t>
            </w:r>
            <w:r>
              <w:rPr>
                <w:spacing w:val="-10"/>
                <w:sz w:val="22"/>
              </w:rPr>
              <w:t> </w:t>
            </w:r>
            <w:r>
              <w:rPr>
                <w:spacing w:val="-4"/>
                <w:sz w:val="22"/>
              </w:rPr>
              <w:t>MCOs</w:t>
            </w:r>
          </w:p>
        </w:tc>
        <w:tc>
          <w:tcPr>
            <w:tcW w:w="2604" w:type="dxa"/>
          </w:tcPr>
          <w:p>
            <w:pPr>
              <w:pStyle w:val="TableParagraph"/>
              <w:spacing w:line="252" w:lineRule="exact" w:before="125"/>
              <w:ind w:left="105"/>
              <w:rPr>
                <w:sz w:val="22"/>
              </w:rPr>
            </w:pPr>
            <w:r>
              <w:rPr>
                <w:sz w:val="22"/>
              </w:rPr>
              <w:t>Partnership</w:t>
            </w:r>
            <w:r>
              <w:rPr>
                <w:spacing w:val="-7"/>
                <w:sz w:val="22"/>
              </w:rPr>
              <w:t> </w:t>
            </w:r>
            <w:r>
              <w:rPr>
                <w:spacing w:val="-2"/>
                <w:sz w:val="22"/>
              </w:rPr>
              <w:t>Plans</w:t>
            </w:r>
          </w:p>
          <w:p>
            <w:pPr>
              <w:pStyle w:val="TableParagraph"/>
              <w:spacing w:line="252" w:lineRule="exact"/>
              <w:ind w:left="105"/>
              <w:rPr>
                <w:sz w:val="22"/>
              </w:rPr>
            </w:pPr>
            <w:r>
              <w:rPr>
                <w:sz w:val="22"/>
              </w:rPr>
              <w:t>(a.k.a.</w:t>
            </w:r>
            <w:r>
              <w:rPr>
                <w:spacing w:val="-3"/>
                <w:sz w:val="22"/>
              </w:rPr>
              <w:t> </w:t>
            </w:r>
            <w:r>
              <w:rPr>
                <w:sz w:val="22"/>
              </w:rPr>
              <w:t>“Model</w:t>
            </w:r>
            <w:r>
              <w:rPr>
                <w:spacing w:val="-1"/>
                <w:sz w:val="22"/>
              </w:rPr>
              <w:t> </w:t>
            </w:r>
            <w:r>
              <w:rPr>
                <w:sz w:val="22"/>
              </w:rPr>
              <w:t>A</w:t>
            </w:r>
            <w:r>
              <w:rPr>
                <w:spacing w:val="-3"/>
                <w:sz w:val="22"/>
              </w:rPr>
              <w:t> </w:t>
            </w:r>
            <w:r>
              <w:rPr>
                <w:spacing w:val="-2"/>
                <w:sz w:val="22"/>
              </w:rPr>
              <w:t>ACOs”)</w:t>
            </w:r>
          </w:p>
        </w:tc>
      </w:tr>
    </w:tbl>
    <w:p>
      <w:pPr>
        <w:pStyle w:val="BodyText"/>
        <w:rPr>
          <w:sz w:val="20"/>
        </w:rPr>
      </w:pPr>
    </w:p>
    <w:p>
      <w:pPr>
        <w:pStyle w:val="BodyText"/>
        <w:spacing w:before="9"/>
        <w:rPr>
          <w:sz w:val="16"/>
        </w:rPr>
      </w:pPr>
    </w:p>
    <w:p>
      <w:pPr>
        <w:pStyle w:val="Heading5"/>
        <w:spacing w:before="90"/>
        <w:ind w:left="871"/>
      </w:pPr>
      <w:r>
        <w:rPr/>
        <w:drawing>
          <wp:anchor distT="0" distB="0" distL="0" distR="0" allowOverlap="1" layoutInCell="1" locked="0" behindDoc="0" simplePos="0" relativeHeight="15832064">
            <wp:simplePos x="0" y="0"/>
            <wp:positionH relativeFrom="page">
              <wp:posOffset>978408</wp:posOffset>
            </wp:positionH>
            <wp:positionV relativeFrom="paragraph">
              <wp:posOffset>92749</wp:posOffset>
            </wp:positionV>
            <wp:extent cx="214883" cy="112775"/>
            <wp:effectExtent l="0" t="0" r="0" b="0"/>
            <wp:wrapNone/>
            <wp:docPr id="213" name="Image 213"/>
            <wp:cNvGraphicFramePr>
              <a:graphicFrameLocks/>
            </wp:cNvGraphicFramePr>
            <a:graphic>
              <a:graphicData uri="http://schemas.openxmlformats.org/drawingml/2006/picture">
                <pic:pic>
                  <pic:nvPicPr>
                    <pic:cNvPr id="213" name="Image 213"/>
                    <pic:cNvPicPr/>
                  </pic:nvPicPr>
                  <pic:blipFill>
                    <a:blip r:embed="rId125" cstate="print"/>
                    <a:stretch>
                      <a:fillRect/>
                    </a:stretch>
                  </pic:blipFill>
                  <pic:spPr>
                    <a:xfrm>
                      <a:off x="0" y="0"/>
                      <a:ext cx="214883" cy="112775"/>
                    </a:xfrm>
                    <a:prstGeom prst="rect">
                      <a:avLst/>
                    </a:prstGeom>
                  </pic:spPr>
                </pic:pic>
              </a:graphicData>
            </a:graphic>
          </wp:anchor>
        </w:drawing>
      </w:r>
      <w:bookmarkStart w:name="8.4. PCCM and PCCM entity delivery syste" w:id="371"/>
      <w:bookmarkEnd w:id="371"/>
      <w:r>
        <w:rPr>
          <w:b w:val="0"/>
        </w:rPr>
      </w:r>
      <w:r>
        <w:rPr/>
        <w:t>PCCM</w:t>
      </w:r>
      <w:r>
        <w:rPr>
          <w:spacing w:val="-3"/>
        </w:rPr>
        <w:t> </w:t>
      </w:r>
      <w:r>
        <w:rPr/>
        <w:t>and</w:t>
      </w:r>
      <w:r>
        <w:rPr>
          <w:spacing w:val="-2"/>
        </w:rPr>
        <w:t> </w:t>
      </w:r>
      <w:r>
        <w:rPr/>
        <w:t>PCCM</w:t>
      </w:r>
      <w:r>
        <w:rPr>
          <w:spacing w:val="-3"/>
        </w:rPr>
        <w:t> </w:t>
      </w:r>
      <w:r>
        <w:rPr/>
        <w:t>entity</w:t>
      </w:r>
      <w:r>
        <w:rPr>
          <w:spacing w:val="-2"/>
        </w:rPr>
        <w:t> </w:t>
      </w:r>
      <w:r>
        <w:rPr/>
        <w:t>delivery</w:t>
      </w:r>
      <w:r>
        <w:rPr>
          <w:spacing w:val="-2"/>
        </w:rPr>
        <w:t> systems:</w:t>
      </w:r>
    </w:p>
    <w:p>
      <w:pPr>
        <w:pStyle w:val="BodyText"/>
        <w:spacing w:before="1"/>
        <w:rPr>
          <w:b/>
          <w:sz w:val="21"/>
        </w:rPr>
      </w:pPr>
    </w:p>
    <w:p>
      <w:pPr>
        <w:pStyle w:val="BodyText"/>
        <w:ind w:left="1411" w:right="1086"/>
      </w:pPr>
      <w:r>
        <w:rPr/>
        <w:drawing>
          <wp:anchor distT="0" distB="0" distL="0" distR="0" allowOverlap="1" layoutInCell="1" locked="0" behindDoc="0" simplePos="0" relativeHeight="15832576">
            <wp:simplePos x="0" y="0"/>
            <wp:positionH relativeFrom="page">
              <wp:posOffset>1431036</wp:posOffset>
            </wp:positionH>
            <wp:positionV relativeFrom="paragraph">
              <wp:posOffset>67603</wp:posOffset>
            </wp:positionV>
            <wp:extent cx="96011" cy="80771"/>
            <wp:effectExtent l="0" t="0" r="0" b="0"/>
            <wp:wrapNone/>
            <wp:docPr id="214" name="Image 214"/>
            <wp:cNvGraphicFramePr>
              <a:graphicFrameLocks/>
            </wp:cNvGraphicFramePr>
            <a:graphic>
              <a:graphicData uri="http://schemas.openxmlformats.org/drawingml/2006/picture">
                <pic:pic>
                  <pic:nvPicPr>
                    <pic:cNvPr id="214" name="Image 214"/>
                    <pic:cNvPicPr/>
                  </pic:nvPicPr>
                  <pic:blipFill>
                    <a:blip r:embed="rId29" cstate="print"/>
                    <a:stretch>
                      <a:fillRect/>
                    </a:stretch>
                  </pic:blipFill>
                  <pic:spPr>
                    <a:xfrm>
                      <a:off x="0" y="0"/>
                      <a:ext cx="96011" cy="80771"/>
                    </a:xfrm>
                    <a:prstGeom prst="rect">
                      <a:avLst/>
                    </a:prstGeom>
                  </pic:spPr>
                </pic:pic>
              </a:graphicData>
            </a:graphic>
          </wp:anchor>
        </w:drawing>
      </w:r>
      <w:bookmarkStart w:name="a. The PCC Plan. The PCC Plan is a PCCM " w:id="372"/>
      <w:bookmarkEnd w:id="372"/>
      <w:r>
        <w:rPr/>
      </w:r>
      <w:r>
        <w:rPr>
          <w:b/>
        </w:rPr>
        <w:t>The PCC Plan. </w:t>
      </w:r>
      <w:r>
        <w:rPr/>
        <w:t>The PCC Plan is a PCCM operated by MassHealth. Members enrolled in the PCC Plan are also enrolled in a single Behavioral Health Program (BHP) contractor, which is a Prepaid Inpatient Health Plan (PIHP), for behavioral health coverage. Members enrolled in the PCC Plan access other services from MassHealth’s FFS network, subject to PCC referral and other utilization management requirements. Each member enrolled in the PCC Plan is assigned to a designated primary care provider (a “Primary Care Clinician,” or “PCC”) from among the PCC Plan’s available PCCs, who provides primary care case management. A member’s PCC provides most primary and preventive care and is responsible for providing referrals for most specialty services and for otherwise coordinating the member’s services. PCC Plan members may receive family planning</w:t>
      </w:r>
      <w:r>
        <w:rPr>
          <w:spacing w:val="-5"/>
        </w:rPr>
        <w:t> </w:t>
      </w:r>
      <w:r>
        <w:rPr/>
        <w:t>services</w:t>
      </w:r>
      <w:r>
        <w:rPr>
          <w:spacing w:val="-2"/>
        </w:rPr>
        <w:t> </w:t>
      </w:r>
      <w:r>
        <w:rPr/>
        <w:t>from</w:t>
      </w:r>
      <w:r>
        <w:rPr>
          <w:spacing w:val="-2"/>
        </w:rPr>
        <w:t> </w:t>
      </w:r>
      <w:r>
        <w:rPr/>
        <w:t>any</w:t>
      </w:r>
      <w:r>
        <w:rPr>
          <w:spacing w:val="-7"/>
        </w:rPr>
        <w:t> </w:t>
      </w:r>
      <w:r>
        <w:rPr/>
        <w:t>provider</w:t>
      </w:r>
      <w:r>
        <w:rPr>
          <w:spacing w:val="-3"/>
        </w:rPr>
        <w:t> </w:t>
      </w:r>
      <w:r>
        <w:rPr/>
        <w:t>without</w:t>
      </w:r>
      <w:r>
        <w:rPr>
          <w:spacing w:val="-2"/>
        </w:rPr>
        <w:t> </w:t>
      </w:r>
      <w:r>
        <w:rPr/>
        <w:t>consulting</w:t>
      </w:r>
      <w:r>
        <w:rPr>
          <w:spacing w:val="-5"/>
        </w:rPr>
        <w:t> </w:t>
      </w:r>
      <w:r>
        <w:rPr/>
        <w:t>their</w:t>
      </w:r>
      <w:r>
        <w:rPr>
          <w:spacing w:val="-3"/>
        </w:rPr>
        <w:t> </w:t>
      </w:r>
      <w:r>
        <w:rPr/>
        <w:t>PCC</w:t>
      </w:r>
      <w:r>
        <w:rPr>
          <w:spacing w:val="-2"/>
        </w:rPr>
        <w:t> </w:t>
      </w:r>
      <w:r>
        <w:rPr/>
        <w:t>or</w:t>
      </w:r>
      <w:r>
        <w:rPr>
          <w:spacing w:val="-3"/>
        </w:rPr>
        <w:t> </w:t>
      </w:r>
      <w:r>
        <w:rPr/>
        <w:t>obtaining</w:t>
      </w:r>
      <w:r>
        <w:rPr>
          <w:spacing w:val="-5"/>
        </w:rPr>
        <w:t> </w:t>
      </w:r>
      <w:r>
        <w:rPr/>
        <w:t>prior approval from MassHealth. Members enrolled in the PCC Plan do not experience fixed enrollment, and may enroll in another Managed Care delivery system (i.e., a Primary Care ACO, a MassHealth MCO, or a Partnership Plan) at any time.</w:t>
      </w:r>
    </w:p>
    <w:p>
      <w:pPr>
        <w:pStyle w:val="BodyText"/>
        <w:spacing w:before="8"/>
        <w:rPr>
          <w:sz w:val="20"/>
        </w:rPr>
      </w:pPr>
    </w:p>
    <w:p>
      <w:pPr>
        <w:pStyle w:val="BodyText"/>
        <w:ind w:left="2040" w:right="1041"/>
      </w:pPr>
      <w:r>
        <w:rPr/>
        <w:drawing>
          <wp:anchor distT="0" distB="0" distL="0" distR="0" allowOverlap="1" layoutInCell="1" locked="0" behindDoc="0" simplePos="0" relativeHeight="15833088">
            <wp:simplePos x="0" y="0"/>
            <wp:positionH relativeFrom="page">
              <wp:posOffset>1862327</wp:posOffset>
            </wp:positionH>
            <wp:positionV relativeFrom="paragraph">
              <wp:posOffset>32551</wp:posOffset>
            </wp:positionV>
            <wp:extent cx="73151" cy="115823"/>
            <wp:effectExtent l="0" t="0" r="0" b="0"/>
            <wp:wrapNone/>
            <wp:docPr id="215" name="Image 215"/>
            <wp:cNvGraphicFramePr>
              <a:graphicFrameLocks/>
            </wp:cNvGraphicFramePr>
            <a:graphic>
              <a:graphicData uri="http://schemas.openxmlformats.org/drawingml/2006/picture">
                <pic:pic>
                  <pic:nvPicPr>
                    <pic:cNvPr id="215" name="Image 215"/>
                    <pic:cNvPicPr/>
                  </pic:nvPicPr>
                  <pic:blipFill>
                    <a:blip r:embed="rId61" cstate="print"/>
                    <a:stretch>
                      <a:fillRect/>
                    </a:stretch>
                  </pic:blipFill>
                  <pic:spPr>
                    <a:xfrm>
                      <a:off x="0" y="0"/>
                      <a:ext cx="73151" cy="115823"/>
                    </a:xfrm>
                    <a:prstGeom prst="rect">
                      <a:avLst/>
                    </a:prstGeom>
                  </pic:spPr>
                </pic:pic>
              </a:graphicData>
            </a:graphic>
          </wp:anchor>
        </w:drawing>
      </w:r>
      <w:bookmarkStart w:name="i. Primary Care Clinician Payments. Mass" w:id="373"/>
      <w:bookmarkEnd w:id="373"/>
      <w:r>
        <w:rPr/>
      </w:r>
      <w:r>
        <w:rPr>
          <w:b/>
        </w:rPr>
        <w:t>Primary Care Clinician Payments. </w:t>
      </w:r>
      <w:r>
        <w:rPr/>
        <w:t>MassHealth may establish payments to Primary</w:t>
      </w:r>
      <w:r>
        <w:rPr>
          <w:spacing w:val="-8"/>
        </w:rPr>
        <w:t> </w:t>
      </w:r>
      <w:r>
        <w:rPr/>
        <w:t>Care</w:t>
      </w:r>
      <w:r>
        <w:rPr>
          <w:spacing w:val="-4"/>
        </w:rPr>
        <w:t> </w:t>
      </w:r>
      <w:r>
        <w:rPr/>
        <w:t>Clinicians</w:t>
      </w:r>
      <w:r>
        <w:rPr>
          <w:spacing w:val="-1"/>
        </w:rPr>
        <w:t> </w:t>
      </w:r>
      <w:r>
        <w:rPr/>
        <w:t>for</w:t>
      </w:r>
      <w:r>
        <w:rPr>
          <w:spacing w:val="-4"/>
        </w:rPr>
        <w:t> </w:t>
      </w:r>
      <w:r>
        <w:rPr/>
        <w:t>coordination</w:t>
      </w:r>
      <w:r>
        <w:rPr>
          <w:spacing w:val="-3"/>
        </w:rPr>
        <w:t> </w:t>
      </w:r>
      <w:r>
        <w:rPr/>
        <w:t>of</w:t>
      </w:r>
      <w:r>
        <w:rPr>
          <w:spacing w:val="-4"/>
        </w:rPr>
        <w:t> </w:t>
      </w:r>
      <w:r>
        <w:rPr/>
        <w:t>the</w:t>
      </w:r>
      <w:r>
        <w:rPr>
          <w:spacing w:val="-4"/>
        </w:rPr>
        <w:t> </w:t>
      </w:r>
      <w:r>
        <w:rPr/>
        <w:t>care</w:t>
      </w:r>
      <w:r>
        <w:rPr>
          <w:spacing w:val="-4"/>
        </w:rPr>
        <w:t> </w:t>
      </w:r>
      <w:r>
        <w:rPr/>
        <w:t>delivered</w:t>
      </w:r>
      <w:r>
        <w:rPr>
          <w:spacing w:val="-3"/>
        </w:rPr>
        <w:t> </w:t>
      </w:r>
      <w:r>
        <w:rPr/>
        <w:t>to</w:t>
      </w:r>
      <w:r>
        <w:rPr>
          <w:spacing w:val="-3"/>
        </w:rPr>
        <w:t> </w:t>
      </w:r>
      <w:r>
        <w:rPr/>
        <w:t>their</w:t>
      </w:r>
      <w:r>
        <w:rPr>
          <w:spacing w:val="-4"/>
        </w:rPr>
        <w:t> </w:t>
      </w:r>
      <w:r>
        <w:rPr/>
        <w:t>enrolled PCC plan members. MassHealth may also establish pay-for-performance incentives using payment arrangements for achieving certain quality of care</w:t>
      </w:r>
    </w:p>
    <w:p>
      <w:pPr>
        <w:spacing w:after="0"/>
        <w:sectPr>
          <w:pgSz w:w="12240" w:h="15840"/>
          <w:pgMar w:header="0" w:footer="1201" w:top="1360" w:bottom="1400" w:left="1200" w:right="400"/>
        </w:sectPr>
      </w:pPr>
    </w:p>
    <w:p>
      <w:pPr>
        <w:pStyle w:val="BodyText"/>
        <w:spacing w:before="79"/>
        <w:ind w:left="2040" w:right="1086"/>
      </w:pPr>
      <w:r>
        <w:rPr/>
        <w:t>benchmarks, for demonstrating certain levels of improvement for selected Healthcare</w:t>
      </w:r>
      <w:r>
        <w:rPr>
          <w:spacing w:val="-5"/>
        </w:rPr>
        <w:t> </w:t>
      </w:r>
      <w:r>
        <w:rPr/>
        <w:t>Effectiveness</w:t>
      </w:r>
      <w:r>
        <w:rPr>
          <w:spacing w:val="-3"/>
        </w:rPr>
        <w:t> </w:t>
      </w:r>
      <w:r>
        <w:rPr/>
        <w:t>Data</w:t>
      </w:r>
      <w:r>
        <w:rPr>
          <w:spacing w:val="-5"/>
        </w:rPr>
        <w:t> </w:t>
      </w:r>
      <w:r>
        <w:rPr/>
        <w:t>and</w:t>
      </w:r>
      <w:r>
        <w:rPr>
          <w:spacing w:val="-3"/>
        </w:rPr>
        <w:t> </w:t>
      </w:r>
      <w:r>
        <w:rPr/>
        <w:t>Information</w:t>
      </w:r>
      <w:r>
        <w:rPr>
          <w:spacing w:val="-4"/>
        </w:rPr>
        <w:t> </w:t>
      </w:r>
      <w:r>
        <w:rPr/>
        <w:t>Set</w:t>
      </w:r>
      <w:r>
        <w:rPr>
          <w:spacing w:val="-3"/>
        </w:rPr>
        <w:t> </w:t>
      </w:r>
      <w:r>
        <w:rPr/>
        <w:t>(HEDIS)</w:t>
      </w:r>
      <w:r>
        <w:rPr>
          <w:spacing w:val="-5"/>
        </w:rPr>
        <w:t> </w:t>
      </w:r>
      <w:r>
        <w:rPr/>
        <w:t>or</w:t>
      </w:r>
      <w:r>
        <w:rPr>
          <w:spacing w:val="-5"/>
        </w:rPr>
        <w:t> </w:t>
      </w:r>
      <w:r>
        <w:rPr/>
        <w:t>other</w:t>
      </w:r>
      <w:r>
        <w:rPr>
          <w:spacing w:val="-5"/>
        </w:rPr>
        <w:t> </w:t>
      </w:r>
      <w:r>
        <w:rPr/>
        <w:t>quality indicators, and for implementing practice infrastructure designed to support the delivery of high-quality health care services to enrolled members.</w:t>
      </w:r>
    </w:p>
    <w:p>
      <w:pPr>
        <w:pStyle w:val="BodyText"/>
        <w:ind w:left="2039"/>
      </w:pPr>
      <w:r>
        <w:rPr/>
        <w:t>Monitoring</w:t>
      </w:r>
      <w:r>
        <w:rPr>
          <w:spacing w:val="-6"/>
        </w:rPr>
        <w:t> </w:t>
      </w:r>
      <w:r>
        <w:rPr/>
        <w:t>of</w:t>
      </w:r>
      <w:r>
        <w:rPr>
          <w:spacing w:val="-2"/>
        </w:rPr>
        <w:t> </w:t>
      </w:r>
      <w:r>
        <w:rPr/>
        <w:t>these</w:t>
      </w:r>
      <w:r>
        <w:rPr>
          <w:spacing w:val="-2"/>
        </w:rPr>
        <w:t> </w:t>
      </w:r>
      <w:r>
        <w:rPr/>
        <w:t>benchmarks</w:t>
      </w:r>
      <w:r>
        <w:rPr>
          <w:spacing w:val="-1"/>
        </w:rPr>
        <w:t> </w:t>
      </w:r>
      <w:r>
        <w:rPr/>
        <w:t>is</w:t>
      </w:r>
      <w:r>
        <w:rPr>
          <w:spacing w:val="-1"/>
        </w:rPr>
        <w:t> </w:t>
      </w:r>
      <w:r>
        <w:rPr/>
        <w:t>subject to</w:t>
      </w:r>
      <w:r>
        <w:rPr>
          <w:spacing w:val="-1"/>
        </w:rPr>
        <w:t> </w:t>
      </w:r>
      <w:r>
        <w:rPr/>
        <w:t>the</w:t>
      </w:r>
      <w:r>
        <w:rPr>
          <w:spacing w:val="-2"/>
        </w:rPr>
        <w:t> </w:t>
      </w:r>
      <w:r>
        <w:rPr/>
        <w:t>requirements</w:t>
      </w:r>
      <w:r>
        <w:rPr>
          <w:spacing w:val="-1"/>
        </w:rPr>
        <w:t> </w:t>
      </w:r>
      <w:r>
        <w:rPr/>
        <w:t>in</w:t>
      </w:r>
      <w:r>
        <w:rPr>
          <w:spacing w:val="-1"/>
        </w:rPr>
        <w:t> </w:t>
      </w:r>
      <w:r>
        <w:rPr/>
        <w:t>STC </w:t>
      </w:r>
      <w:r>
        <w:rPr>
          <w:spacing w:val="-2"/>
        </w:rPr>
        <w:t>16.5.</w:t>
      </w:r>
    </w:p>
    <w:p>
      <w:pPr>
        <w:pStyle w:val="BodyText"/>
        <w:spacing w:before="199"/>
        <w:ind w:left="1411" w:right="1041"/>
      </w:pPr>
      <w:r>
        <w:rPr/>
        <w:drawing>
          <wp:anchor distT="0" distB="0" distL="0" distR="0" allowOverlap="1" layoutInCell="1" locked="0" behindDoc="0" simplePos="0" relativeHeight="15833600">
            <wp:simplePos x="0" y="0"/>
            <wp:positionH relativeFrom="page">
              <wp:posOffset>1424939</wp:posOffset>
            </wp:positionH>
            <wp:positionV relativeFrom="paragraph">
              <wp:posOffset>158916</wp:posOffset>
            </wp:positionV>
            <wp:extent cx="111251" cy="115823"/>
            <wp:effectExtent l="0" t="0" r="0" b="0"/>
            <wp:wrapNone/>
            <wp:docPr id="216" name="Image 216"/>
            <wp:cNvGraphicFramePr>
              <a:graphicFrameLocks/>
            </wp:cNvGraphicFramePr>
            <a:graphic>
              <a:graphicData uri="http://schemas.openxmlformats.org/drawingml/2006/picture">
                <pic:pic>
                  <pic:nvPicPr>
                    <pic:cNvPr id="216" name="Image 216"/>
                    <pic:cNvPicPr/>
                  </pic:nvPicPr>
                  <pic:blipFill>
                    <a:blip r:embed="rId34" cstate="print"/>
                    <a:stretch>
                      <a:fillRect/>
                    </a:stretch>
                  </pic:blipFill>
                  <pic:spPr>
                    <a:xfrm>
                      <a:off x="0" y="0"/>
                      <a:ext cx="111251" cy="115823"/>
                    </a:xfrm>
                    <a:prstGeom prst="rect">
                      <a:avLst/>
                    </a:prstGeom>
                  </pic:spPr>
                </pic:pic>
              </a:graphicData>
            </a:graphic>
          </wp:anchor>
        </w:drawing>
      </w:r>
      <w:bookmarkStart w:name="b. Primary Care ACOs. MassHealth contrac" w:id="374"/>
      <w:bookmarkEnd w:id="374"/>
      <w:r>
        <w:rPr/>
      </w:r>
      <w:r>
        <w:rPr>
          <w:b/>
        </w:rPr>
        <w:t>Primary Care ACOs. </w:t>
      </w:r>
      <w:r>
        <w:rPr/>
        <w:t>MassHealth contracts with Primary Care ACOs to serve as PCCM entities.</w:t>
      </w:r>
      <w:r>
        <w:rPr>
          <w:spacing w:val="40"/>
        </w:rPr>
        <w:t> </w:t>
      </w:r>
      <w:r>
        <w:rPr/>
        <w:t>Members enrolled in Primary Care ACOs are also enrolled in MassHealth’s Behavioral Health PIHP for behavioral health coverage and access other services from MassHealth’s FFS network, subject to primary care referral and other</w:t>
      </w:r>
      <w:r>
        <w:rPr>
          <w:spacing w:val="-5"/>
        </w:rPr>
        <w:t> </w:t>
      </w:r>
      <w:r>
        <w:rPr/>
        <w:t>utilization</w:t>
      </w:r>
      <w:r>
        <w:rPr>
          <w:spacing w:val="-4"/>
        </w:rPr>
        <w:t> </w:t>
      </w:r>
      <w:r>
        <w:rPr/>
        <w:t>management</w:t>
      </w:r>
      <w:r>
        <w:rPr>
          <w:spacing w:val="-4"/>
        </w:rPr>
        <w:t> </w:t>
      </w:r>
      <w:r>
        <w:rPr/>
        <w:t>requirements.</w:t>
      </w:r>
      <w:r>
        <w:rPr>
          <w:spacing w:val="-4"/>
        </w:rPr>
        <w:t> </w:t>
      </w:r>
      <w:r>
        <w:rPr/>
        <w:t>Each</w:t>
      </w:r>
      <w:r>
        <w:rPr>
          <w:spacing w:val="-2"/>
        </w:rPr>
        <w:t> </w:t>
      </w:r>
      <w:r>
        <w:rPr/>
        <w:t>member</w:t>
      </w:r>
      <w:r>
        <w:rPr>
          <w:spacing w:val="-5"/>
        </w:rPr>
        <w:t> </w:t>
      </w:r>
      <w:r>
        <w:rPr/>
        <w:t>enrolled</w:t>
      </w:r>
      <w:r>
        <w:rPr>
          <w:spacing w:val="-4"/>
        </w:rPr>
        <w:t> </w:t>
      </w:r>
      <w:r>
        <w:rPr/>
        <w:t>in</w:t>
      </w:r>
      <w:r>
        <w:rPr>
          <w:spacing w:val="-2"/>
        </w:rPr>
        <w:t> </w:t>
      </w:r>
      <w:r>
        <w:rPr/>
        <w:t>a</w:t>
      </w:r>
      <w:r>
        <w:rPr>
          <w:spacing w:val="-5"/>
        </w:rPr>
        <w:t> </w:t>
      </w:r>
      <w:r>
        <w:rPr/>
        <w:t>Primary</w:t>
      </w:r>
      <w:r>
        <w:rPr>
          <w:spacing w:val="-9"/>
        </w:rPr>
        <w:t> </w:t>
      </w:r>
      <w:r>
        <w:rPr/>
        <w:t>Care ACO is assigned to a primary care provider from among the Primary Care ACO’s participating primary care providers. Primary Care ACO enrollees may receive family planning services from any provider without consulting their primary care provider or their Primary Care ACO, or obtaining prior approval from MassHealth.</w:t>
      </w:r>
    </w:p>
    <w:p>
      <w:pPr>
        <w:pStyle w:val="BodyText"/>
        <w:spacing w:before="10"/>
        <w:rPr>
          <w:sz w:val="20"/>
        </w:rPr>
      </w:pPr>
    </w:p>
    <w:p>
      <w:pPr>
        <w:pStyle w:val="BodyText"/>
        <w:ind w:left="2040" w:right="1059"/>
      </w:pPr>
      <w:r>
        <w:rPr/>
        <w:drawing>
          <wp:anchor distT="0" distB="0" distL="0" distR="0" allowOverlap="1" layoutInCell="1" locked="0" behindDoc="0" simplePos="0" relativeHeight="15834112">
            <wp:simplePos x="0" y="0"/>
            <wp:positionH relativeFrom="page">
              <wp:posOffset>1862327</wp:posOffset>
            </wp:positionH>
            <wp:positionV relativeFrom="paragraph">
              <wp:posOffset>32551</wp:posOffset>
            </wp:positionV>
            <wp:extent cx="73151" cy="115823"/>
            <wp:effectExtent l="0" t="0" r="0" b="0"/>
            <wp:wrapNone/>
            <wp:docPr id="217" name="Image 217"/>
            <wp:cNvGraphicFramePr>
              <a:graphicFrameLocks/>
            </wp:cNvGraphicFramePr>
            <a:graphic>
              <a:graphicData uri="http://schemas.openxmlformats.org/drawingml/2006/picture">
                <pic:pic>
                  <pic:nvPicPr>
                    <pic:cNvPr id="217" name="Image 217"/>
                    <pic:cNvPicPr/>
                  </pic:nvPicPr>
                  <pic:blipFill>
                    <a:blip r:embed="rId126" cstate="print"/>
                    <a:stretch>
                      <a:fillRect/>
                    </a:stretch>
                  </pic:blipFill>
                  <pic:spPr>
                    <a:xfrm>
                      <a:off x="0" y="0"/>
                      <a:ext cx="73151" cy="115823"/>
                    </a:xfrm>
                    <a:prstGeom prst="rect">
                      <a:avLst/>
                    </a:prstGeom>
                  </pic:spPr>
                </pic:pic>
              </a:graphicData>
            </a:graphic>
          </wp:anchor>
        </w:drawing>
      </w:r>
      <w:bookmarkStart w:name="i. The State may limit disenrollment for" w:id="375"/>
      <w:bookmarkEnd w:id="375"/>
      <w:r>
        <w:rPr/>
      </w:r>
      <w:r>
        <w:rPr/>
        <w:t>The</w:t>
      </w:r>
      <w:r>
        <w:rPr>
          <w:spacing w:val="-3"/>
        </w:rPr>
        <w:t> </w:t>
      </w:r>
      <w:r>
        <w:rPr/>
        <w:t>State</w:t>
      </w:r>
      <w:r>
        <w:rPr>
          <w:spacing w:val="-3"/>
        </w:rPr>
        <w:t> </w:t>
      </w:r>
      <w:r>
        <w:rPr/>
        <w:t>may</w:t>
      </w:r>
      <w:r>
        <w:rPr>
          <w:spacing w:val="-7"/>
        </w:rPr>
        <w:t> </w:t>
      </w:r>
      <w:r>
        <w:rPr/>
        <w:t>limit</w:t>
      </w:r>
      <w:r>
        <w:rPr>
          <w:spacing w:val="-2"/>
        </w:rPr>
        <w:t> </w:t>
      </w:r>
      <w:r>
        <w:rPr/>
        <w:t>disenrollment</w:t>
      </w:r>
      <w:r>
        <w:rPr>
          <w:spacing w:val="-2"/>
        </w:rPr>
        <w:t> </w:t>
      </w:r>
      <w:r>
        <w:rPr/>
        <w:t>for</w:t>
      </w:r>
      <w:r>
        <w:rPr>
          <w:spacing w:val="-3"/>
        </w:rPr>
        <w:t> </w:t>
      </w:r>
      <w:r>
        <w:rPr/>
        <w:t>Primary</w:t>
      </w:r>
      <w:r>
        <w:rPr>
          <w:spacing w:val="-7"/>
        </w:rPr>
        <w:t> </w:t>
      </w:r>
      <w:r>
        <w:rPr/>
        <w:t>Care</w:t>
      </w:r>
      <w:r>
        <w:rPr>
          <w:spacing w:val="-3"/>
        </w:rPr>
        <w:t> </w:t>
      </w:r>
      <w:r>
        <w:rPr/>
        <w:t>ACO</w:t>
      </w:r>
      <w:r>
        <w:rPr>
          <w:spacing w:val="-3"/>
        </w:rPr>
        <w:t> </w:t>
      </w:r>
      <w:r>
        <w:rPr/>
        <w:t>enrollees.</w:t>
      </w:r>
      <w:r>
        <w:rPr>
          <w:spacing w:val="-2"/>
        </w:rPr>
        <w:t> </w:t>
      </w:r>
      <w:r>
        <w:rPr/>
        <w:t>Any</w:t>
      </w:r>
      <w:r>
        <w:rPr>
          <w:spacing w:val="-7"/>
        </w:rPr>
        <w:t> </w:t>
      </w:r>
      <w:r>
        <w:rPr/>
        <w:t>such limitation will be consistent with 42 CFR 438.56(c).</w:t>
      </w:r>
    </w:p>
    <w:p>
      <w:pPr>
        <w:pStyle w:val="BodyText"/>
        <w:spacing w:before="161"/>
        <w:ind w:left="2039" w:right="1059"/>
      </w:pPr>
      <w:r>
        <w:rPr/>
        <w:drawing>
          <wp:anchor distT="0" distB="0" distL="0" distR="0" allowOverlap="1" layoutInCell="1" locked="0" behindDoc="0" simplePos="0" relativeHeight="15834624">
            <wp:simplePos x="0" y="0"/>
            <wp:positionH relativeFrom="page">
              <wp:posOffset>1819655</wp:posOffset>
            </wp:positionH>
            <wp:positionV relativeFrom="paragraph">
              <wp:posOffset>134786</wp:posOffset>
            </wp:positionV>
            <wp:extent cx="115823" cy="115823"/>
            <wp:effectExtent l="0" t="0" r="0" b="0"/>
            <wp:wrapNone/>
            <wp:docPr id="218" name="Image 218"/>
            <wp:cNvGraphicFramePr>
              <a:graphicFrameLocks/>
            </wp:cNvGraphicFramePr>
            <a:graphic>
              <a:graphicData uri="http://schemas.openxmlformats.org/drawingml/2006/picture">
                <pic:pic>
                  <pic:nvPicPr>
                    <pic:cNvPr id="218" name="Image 218"/>
                    <pic:cNvPicPr/>
                  </pic:nvPicPr>
                  <pic:blipFill>
                    <a:blip r:embed="rId62" cstate="print"/>
                    <a:stretch>
                      <a:fillRect/>
                    </a:stretch>
                  </pic:blipFill>
                  <pic:spPr>
                    <a:xfrm>
                      <a:off x="0" y="0"/>
                      <a:ext cx="115823" cy="115823"/>
                    </a:xfrm>
                    <a:prstGeom prst="rect">
                      <a:avLst/>
                    </a:prstGeom>
                  </pic:spPr>
                </pic:pic>
              </a:graphicData>
            </a:graphic>
          </wp:anchor>
        </w:drawing>
      </w:r>
      <w:bookmarkStart w:name="ii. MassHealth may establish Referral Ci" w:id="376"/>
      <w:bookmarkEnd w:id="376"/>
      <w:r>
        <w:rPr/>
      </w:r>
      <w:r>
        <w:rPr/>
        <w:t>MassHealth</w:t>
      </w:r>
      <w:r>
        <w:rPr>
          <w:spacing w:val="-2"/>
        </w:rPr>
        <w:t> </w:t>
      </w:r>
      <w:r>
        <w:rPr/>
        <w:t>may</w:t>
      </w:r>
      <w:r>
        <w:rPr>
          <w:spacing w:val="-7"/>
        </w:rPr>
        <w:t> </w:t>
      </w:r>
      <w:r>
        <w:rPr/>
        <w:t>establish</w:t>
      </w:r>
      <w:r>
        <w:rPr>
          <w:spacing w:val="-3"/>
        </w:rPr>
        <w:t> </w:t>
      </w:r>
      <w:r>
        <w:rPr/>
        <w:t>Referral</w:t>
      </w:r>
      <w:r>
        <w:rPr>
          <w:spacing w:val="-2"/>
        </w:rPr>
        <w:t> </w:t>
      </w:r>
      <w:r>
        <w:rPr/>
        <w:t>Circles</w:t>
      </w:r>
      <w:r>
        <w:rPr>
          <w:spacing w:val="-2"/>
        </w:rPr>
        <w:t> </w:t>
      </w:r>
      <w:r>
        <w:rPr/>
        <w:t>for</w:t>
      </w:r>
      <w:r>
        <w:rPr>
          <w:spacing w:val="-3"/>
        </w:rPr>
        <w:t> </w:t>
      </w:r>
      <w:r>
        <w:rPr/>
        <w:t>Primary</w:t>
      </w:r>
      <w:r>
        <w:rPr>
          <w:spacing w:val="-7"/>
        </w:rPr>
        <w:t> </w:t>
      </w:r>
      <w:r>
        <w:rPr/>
        <w:t>Care</w:t>
      </w:r>
      <w:r>
        <w:rPr>
          <w:spacing w:val="-3"/>
        </w:rPr>
        <w:t> </w:t>
      </w:r>
      <w:r>
        <w:rPr/>
        <w:t>ACOs;</w:t>
      </w:r>
      <w:r>
        <w:rPr>
          <w:spacing w:val="-2"/>
        </w:rPr>
        <w:t> </w:t>
      </w:r>
      <w:r>
        <w:rPr/>
        <w:t>Referral Circles</w:t>
      </w:r>
      <w:r>
        <w:rPr>
          <w:spacing w:val="-4"/>
        </w:rPr>
        <w:t> </w:t>
      </w:r>
      <w:r>
        <w:rPr/>
        <w:t>are</w:t>
      </w:r>
      <w:r>
        <w:rPr>
          <w:spacing w:val="-3"/>
        </w:rPr>
        <w:t> </w:t>
      </w:r>
      <w:r>
        <w:rPr/>
        <w:t>groups</w:t>
      </w:r>
      <w:r>
        <w:rPr>
          <w:spacing w:val="-4"/>
        </w:rPr>
        <w:t> </w:t>
      </w:r>
      <w:r>
        <w:rPr/>
        <w:t>of</w:t>
      </w:r>
      <w:r>
        <w:rPr>
          <w:spacing w:val="-5"/>
        </w:rPr>
        <w:t> </w:t>
      </w:r>
      <w:r>
        <w:rPr/>
        <w:t>providers</w:t>
      </w:r>
      <w:r>
        <w:rPr>
          <w:spacing w:val="-4"/>
        </w:rPr>
        <w:t> </w:t>
      </w:r>
      <w:r>
        <w:rPr/>
        <w:t>within</w:t>
      </w:r>
      <w:r>
        <w:rPr>
          <w:spacing w:val="-4"/>
        </w:rPr>
        <w:t> </w:t>
      </w:r>
      <w:r>
        <w:rPr/>
        <w:t>MassHealth’s</w:t>
      </w:r>
      <w:r>
        <w:rPr>
          <w:spacing w:val="-4"/>
        </w:rPr>
        <w:t> </w:t>
      </w:r>
      <w:r>
        <w:rPr/>
        <w:t>FFS</w:t>
      </w:r>
      <w:r>
        <w:rPr>
          <w:spacing w:val="-4"/>
        </w:rPr>
        <w:t> </w:t>
      </w:r>
      <w:r>
        <w:rPr/>
        <w:t>network,</w:t>
      </w:r>
      <w:r>
        <w:rPr>
          <w:spacing w:val="-4"/>
        </w:rPr>
        <w:t> </w:t>
      </w:r>
      <w:r>
        <w:rPr/>
        <w:t>for</w:t>
      </w:r>
      <w:r>
        <w:rPr>
          <w:spacing w:val="-3"/>
        </w:rPr>
        <w:t> </w:t>
      </w:r>
      <w:r>
        <w:rPr/>
        <w:t>which MassHealth will eliminate the need for otherwise-required primary care referrals for Primary Care ACO enrollees, in order to facilitate increased access and coordinated care.</w:t>
      </w:r>
    </w:p>
    <w:p>
      <w:pPr>
        <w:pStyle w:val="BodyText"/>
        <w:spacing w:before="159"/>
        <w:ind w:left="2040" w:right="1054"/>
      </w:pPr>
      <w:r>
        <w:rPr/>
        <w:drawing>
          <wp:anchor distT="0" distB="0" distL="0" distR="0" allowOverlap="1" layoutInCell="1" locked="0" behindDoc="0" simplePos="0" relativeHeight="15835136">
            <wp:simplePos x="0" y="0"/>
            <wp:positionH relativeFrom="page">
              <wp:posOffset>1778507</wp:posOffset>
            </wp:positionH>
            <wp:positionV relativeFrom="paragraph">
              <wp:posOffset>133516</wp:posOffset>
            </wp:positionV>
            <wp:extent cx="158495" cy="115823"/>
            <wp:effectExtent l="0" t="0" r="0" b="0"/>
            <wp:wrapNone/>
            <wp:docPr id="219" name="Image 219"/>
            <wp:cNvGraphicFramePr>
              <a:graphicFrameLocks/>
            </wp:cNvGraphicFramePr>
            <a:graphic>
              <a:graphicData uri="http://schemas.openxmlformats.org/drawingml/2006/picture">
                <pic:pic>
                  <pic:nvPicPr>
                    <pic:cNvPr id="219" name="Image 219"/>
                    <pic:cNvPicPr/>
                  </pic:nvPicPr>
                  <pic:blipFill>
                    <a:blip r:embed="rId65" cstate="print"/>
                    <a:stretch>
                      <a:fillRect/>
                    </a:stretch>
                  </pic:blipFill>
                  <pic:spPr>
                    <a:xfrm>
                      <a:off x="0" y="0"/>
                      <a:ext cx="158495" cy="115823"/>
                    </a:xfrm>
                    <a:prstGeom prst="rect">
                      <a:avLst/>
                    </a:prstGeom>
                  </pic:spPr>
                </pic:pic>
              </a:graphicData>
            </a:graphic>
          </wp:anchor>
        </w:drawing>
      </w:r>
      <w:bookmarkStart w:name="iii. MassHealth will hold Primary Care A" w:id="377"/>
      <w:bookmarkEnd w:id="377"/>
      <w:r>
        <w:rPr/>
      </w:r>
      <w:r>
        <w:rPr/>
        <w:t>MassHealth</w:t>
      </w:r>
      <w:r>
        <w:rPr>
          <w:spacing w:val="-4"/>
        </w:rPr>
        <w:t> </w:t>
      </w:r>
      <w:r>
        <w:rPr/>
        <w:t>will</w:t>
      </w:r>
      <w:r>
        <w:rPr>
          <w:spacing w:val="-4"/>
        </w:rPr>
        <w:t> </w:t>
      </w:r>
      <w:r>
        <w:rPr/>
        <w:t>hold</w:t>
      </w:r>
      <w:r>
        <w:rPr>
          <w:spacing w:val="-4"/>
        </w:rPr>
        <w:t> </w:t>
      </w:r>
      <w:r>
        <w:rPr/>
        <w:t>Primary</w:t>
      </w:r>
      <w:r>
        <w:rPr>
          <w:spacing w:val="-8"/>
        </w:rPr>
        <w:t> </w:t>
      </w:r>
      <w:r>
        <w:rPr/>
        <w:t>Care</w:t>
      </w:r>
      <w:r>
        <w:rPr>
          <w:spacing w:val="-5"/>
        </w:rPr>
        <w:t> </w:t>
      </w:r>
      <w:r>
        <w:rPr/>
        <w:t>ACOs</w:t>
      </w:r>
      <w:r>
        <w:rPr>
          <w:spacing w:val="-2"/>
        </w:rPr>
        <w:t> </w:t>
      </w:r>
      <w:r>
        <w:rPr/>
        <w:t>financially</w:t>
      </w:r>
      <w:r>
        <w:rPr>
          <w:spacing w:val="-8"/>
        </w:rPr>
        <w:t> </w:t>
      </w:r>
      <w:r>
        <w:rPr/>
        <w:t>accountable</w:t>
      </w:r>
      <w:r>
        <w:rPr>
          <w:spacing w:val="-3"/>
        </w:rPr>
        <w:t> </w:t>
      </w:r>
      <w:r>
        <w:rPr/>
        <w:t>for</w:t>
      </w:r>
      <w:r>
        <w:rPr>
          <w:spacing w:val="-5"/>
        </w:rPr>
        <w:t> </w:t>
      </w:r>
      <w:r>
        <w:rPr/>
        <w:t>cost</w:t>
      </w:r>
      <w:r>
        <w:rPr>
          <w:spacing w:val="-2"/>
        </w:rPr>
        <w:t> </w:t>
      </w:r>
      <w:r>
        <w:rPr/>
        <w:t>and quality of care through shared savings and shared losses (i.e., downside risk), including potentially asymmetric risk (i.e., potential shared savings may exceed potential shared losses).</w:t>
      </w:r>
      <w:r>
        <w:rPr>
          <w:spacing w:val="40"/>
        </w:rPr>
        <w:t> </w:t>
      </w:r>
      <w:r>
        <w:rPr/>
        <w:t>Additionally, MassHealth may pay Primary Care ACOs an administrative rate for functions, consistent with 42 CFR</w:t>
      </w:r>
      <w:r>
        <w:rPr>
          <w:spacing w:val="40"/>
        </w:rPr>
        <w:t> </w:t>
      </w:r>
      <w:r>
        <w:rPr/>
        <w:t>438.2, that will be set forth in the Primary Care ACO contracts that are submitted to CMS.</w:t>
      </w:r>
    </w:p>
    <w:p>
      <w:pPr>
        <w:pStyle w:val="BodyText"/>
        <w:spacing w:before="161"/>
        <w:ind w:left="2039" w:right="1059"/>
      </w:pPr>
      <w:r>
        <w:rPr/>
        <w:drawing>
          <wp:anchor distT="0" distB="0" distL="0" distR="0" allowOverlap="1" layoutInCell="1" locked="0" behindDoc="0" simplePos="0" relativeHeight="15835648">
            <wp:simplePos x="0" y="0"/>
            <wp:positionH relativeFrom="page">
              <wp:posOffset>1786127</wp:posOffset>
            </wp:positionH>
            <wp:positionV relativeFrom="paragraph">
              <wp:posOffset>134786</wp:posOffset>
            </wp:positionV>
            <wp:extent cx="149339" cy="115823"/>
            <wp:effectExtent l="0" t="0" r="0" b="0"/>
            <wp:wrapNone/>
            <wp:docPr id="220" name="Image 220"/>
            <wp:cNvGraphicFramePr>
              <a:graphicFrameLocks/>
            </wp:cNvGraphicFramePr>
            <a:graphic>
              <a:graphicData uri="http://schemas.openxmlformats.org/drawingml/2006/picture">
                <pic:pic>
                  <pic:nvPicPr>
                    <pic:cNvPr id="220" name="Image 220"/>
                    <pic:cNvPicPr/>
                  </pic:nvPicPr>
                  <pic:blipFill>
                    <a:blip r:embed="rId66" cstate="print"/>
                    <a:stretch>
                      <a:fillRect/>
                    </a:stretch>
                  </pic:blipFill>
                  <pic:spPr>
                    <a:xfrm>
                      <a:off x="0" y="0"/>
                      <a:ext cx="149339" cy="115823"/>
                    </a:xfrm>
                    <a:prstGeom prst="rect">
                      <a:avLst/>
                    </a:prstGeom>
                  </pic:spPr>
                </pic:pic>
              </a:graphicData>
            </a:graphic>
          </wp:anchor>
        </w:drawing>
      </w:r>
      <w:bookmarkStart w:name="iv. MassHealth may make quality improvem" w:id="378"/>
      <w:bookmarkEnd w:id="378"/>
      <w:r>
        <w:rPr/>
      </w:r>
      <w:r>
        <w:rPr/>
        <w:t>MassHealth</w:t>
      </w:r>
      <w:r>
        <w:rPr>
          <w:spacing w:val="-3"/>
        </w:rPr>
        <w:t> </w:t>
      </w:r>
      <w:r>
        <w:rPr/>
        <w:t>may</w:t>
      </w:r>
      <w:r>
        <w:rPr>
          <w:spacing w:val="-8"/>
        </w:rPr>
        <w:t> </w:t>
      </w:r>
      <w:r>
        <w:rPr/>
        <w:t>make</w:t>
      </w:r>
      <w:r>
        <w:rPr>
          <w:spacing w:val="-4"/>
        </w:rPr>
        <w:t> </w:t>
      </w:r>
      <w:r>
        <w:rPr/>
        <w:t>quality</w:t>
      </w:r>
      <w:r>
        <w:rPr>
          <w:spacing w:val="-8"/>
        </w:rPr>
        <w:t> </w:t>
      </w:r>
      <w:r>
        <w:rPr/>
        <w:t>improvement</w:t>
      </w:r>
      <w:r>
        <w:rPr>
          <w:spacing w:val="-3"/>
        </w:rPr>
        <w:t> </w:t>
      </w:r>
      <w:r>
        <w:rPr/>
        <w:t>payments</w:t>
      </w:r>
      <w:r>
        <w:rPr>
          <w:spacing w:val="-3"/>
        </w:rPr>
        <w:t> </w:t>
      </w:r>
      <w:r>
        <w:rPr/>
        <w:t>to</w:t>
      </w:r>
      <w:r>
        <w:rPr>
          <w:spacing w:val="-3"/>
        </w:rPr>
        <w:t> </w:t>
      </w:r>
      <w:r>
        <w:rPr/>
        <w:t>pay</w:t>
      </w:r>
      <w:r>
        <w:rPr>
          <w:spacing w:val="-8"/>
        </w:rPr>
        <w:t> </w:t>
      </w:r>
      <w:r>
        <w:rPr/>
        <w:t>Primary</w:t>
      </w:r>
      <w:r>
        <w:rPr>
          <w:spacing w:val="-8"/>
        </w:rPr>
        <w:t> </w:t>
      </w:r>
      <w:r>
        <w:rPr/>
        <w:t>Care ACOs in relation to quality performance.</w:t>
      </w:r>
      <w:r>
        <w:rPr>
          <w:spacing w:val="40"/>
        </w:rPr>
        <w:t> </w:t>
      </w:r>
      <w:r>
        <w:rPr/>
        <w:t>Quality performance payments would be federally</w:t>
      </w:r>
      <w:r>
        <w:rPr>
          <w:spacing w:val="-3"/>
        </w:rPr>
        <w:t> </w:t>
      </w:r>
      <w:r>
        <w:rPr/>
        <w:t>matched at the 50 percent administrative matching rate.</w:t>
      </w:r>
    </w:p>
    <w:p>
      <w:pPr>
        <w:pStyle w:val="BodyText"/>
        <w:spacing w:before="161"/>
        <w:ind w:left="2040" w:right="1059"/>
      </w:pPr>
      <w:r>
        <w:rPr/>
        <w:drawing>
          <wp:anchor distT="0" distB="0" distL="0" distR="0" allowOverlap="1" layoutInCell="1" locked="0" behindDoc="0" simplePos="0" relativeHeight="15836160">
            <wp:simplePos x="0" y="0"/>
            <wp:positionH relativeFrom="page">
              <wp:posOffset>1825751</wp:posOffset>
            </wp:positionH>
            <wp:positionV relativeFrom="paragraph">
              <wp:posOffset>172886</wp:posOffset>
            </wp:positionV>
            <wp:extent cx="109727" cy="77723"/>
            <wp:effectExtent l="0" t="0" r="0" b="0"/>
            <wp:wrapNone/>
            <wp:docPr id="221" name="Image 221"/>
            <wp:cNvGraphicFramePr>
              <a:graphicFrameLocks/>
            </wp:cNvGraphicFramePr>
            <a:graphic>
              <a:graphicData uri="http://schemas.openxmlformats.org/drawingml/2006/picture">
                <pic:pic>
                  <pic:nvPicPr>
                    <pic:cNvPr id="221" name="Image 221"/>
                    <pic:cNvPicPr/>
                  </pic:nvPicPr>
                  <pic:blipFill>
                    <a:blip r:embed="rId67" cstate="print"/>
                    <a:stretch>
                      <a:fillRect/>
                    </a:stretch>
                  </pic:blipFill>
                  <pic:spPr>
                    <a:xfrm>
                      <a:off x="0" y="0"/>
                      <a:ext cx="109727" cy="77723"/>
                    </a:xfrm>
                    <a:prstGeom prst="rect">
                      <a:avLst/>
                    </a:prstGeom>
                  </pic:spPr>
                </pic:pic>
              </a:graphicData>
            </a:graphic>
          </wp:anchor>
        </w:drawing>
      </w:r>
      <w:bookmarkStart w:name="v. MassHealth may also pay an enhanced c" w:id="379"/>
      <w:bookmarkEnd w:id="379"/>
      <w:r>
        <w:rPr/>
      </w:r>
      <w:r>
        <w:rPr/>
        <w:t>MassHealth</w:t>
      </w:r>
      <w:r>
        <w:rPr>
          <w:spacing w:val="-3"/>
        </w:rPr>
        <w:t> </w:t>
      </w:r>
      <w:r>
        <w:rPr/>
        <w:t>may</w:t>
      </w:r>
      <w:r>
        <w:rPr>
          <w:spacing w:val="-8"/>
        </w:rPr>
        <w:t> </w:t>
      </w:r>
      <w:r>
        <w:rPr/>
        <w:t>also</w:t>
      </w:r>
      <w:r>
        <w:rPr>
          <w:spacing w:val="-3"/>
        </w:rPr>
        <w:t> </w:t>
      </w:r>
      <w:r>
        <w:rPr/>
        <w:t>pay</w:t>
      </w:r>
      <w:r>
        <w:rPr>
          <w:spacing w:val="-6"/>
        </w:rPr>
        <w:t> </w:t>
      </w:r>
      <w:r>
        <w:rPr/>
        <w:t>an</w:t>
      </w:r>
      <w:r>
        <w:rPr>
          <w:spacing w:val="-1"/>
        </w:rPr>
        <w:t> </w:t>
      </w:r>
      <w:r>
        <w:rPr/>
        <w:t>enhanced</w:t>
      </w:r>
      <w:r>
        <w:rPr>
          <w:spacing w:val="-3"/>
        </w:rPr>
        <w:t> </w:t>
      </w:r>
      <w:r>
        <w:rPr/>
        <w:t>case</w:t>
      </w:r>
      <w:r>
        <w:rPr>
          <w:spacing w:val="-4"/>
        </w:rPr>
        <w:t> </w:t>
      </w:r>
      <w:r>
        <w:rPr/>
        <w:t>management</w:t>
      </w:r>
      <w:r>
        <w:rPr>
          <w:spacing w:val="-3"/>
        </w:rPr>
        <w:t> </w:t>
      </w:r>
      <w:r>
        <w:rPr/>
        <w:t>fee,</w:t>
      </w:r>
      <w:r>
        <w:rPr>
          <w:spacing w:val="-3"/>
        </w:rPr>
        <w:t> </w:t>
      </w:r>
      <w:r>
        <w:rPr/>
        <w:t>directly</w:t>
      </w:r>
      <w:r>
        <w:rPr>
          <w:spacing w:val="-8"/>
        </w:rPr>
        <w:t> </w:t>
      </w:r>
      <w:r>
        <w:rPr/>
        <w:t>to providers in Primary Care ACO, per terms in Attachment O.</w:t>
      </w:r>
      <w:r>
        <w:rPr>
          <w:spacing w:val="40"/>
        </w:rPr>
        <w:t> </w:t>
      </w:r>
      <w:r>
        <w:rPr/>
        <w:t>The Commonwealth will ensure there is no duplication in payment for this enhanced case management fee.</w:t>
      </w:r>
    </w:p>
    <w:p>
      <w:pPr>
        <w:pStyle w:val="BodyText"/>
        <w:spacing w:before="158"/>
        <w:ind w:left="2040" w:right="1059"/>
      </w:pPr>
      <w:r>
        <w:rPr/>
        <w:drawing>
          <wp:anchor distT="0" distB="0" distL="0" distR="0" allowOverlap="1" layoutInCell="1" locked="0" behindDoc="0" simplePos="0" relativeHeight="15836672">
            <wp:simplePos x="0" y="0"/>
            <wp:positionH relativeFrom="page">
              <wp:posOffset>1783079</wp:posOffset>
            </wp:positionH>
            <wp:positionV relativeFrom="paragraph">
              <wp:posOffset>132881</wp:posOffset>
            </wp:positionV>
            <wp:extent cx="152399" cy="115823"/>
            <wp:effectExtent l="0" t="0" r="0" b="0"/>
            <wp:wrapNone/>
            <wp:docPr id="222" name="Image 222"/>
            <wp:cNvGraphicFramePr>
              <a:graphicFrameLocks/>
            </wp:cNvGraphicFramePr>
            <a:graphic>
              <a:graphicData uri="http://schemas.openxmlformats.org/drawingml/2006/picture">
                <pic:pic>
                  <pic:nvPicPr>
                    <pic:cNvPr id="222" name="Image 222"/>
                    <pic:cNvPicPr/>
                  </pic:nvPicPr>
                  <pic:blipFill>
                    <a:blip r:embed="rId127" cstate="print"/>
                    <a:stretch>
                      <a:fillRect/>
                    </a:stretch>
                  </pic:blipFill>
                  <pic:spPr>
                    <a:xfrm>
                      <a:off x="0" y="0"/>
                      <a:ext cx="152399" cy="115823"/>
                    </a:xfrm>
                    <a:prstGeom prst="rect">
                      <a:avLst/>
                    </a:prstGeom>
                  </pic:spPr>
                </pic:pic>
              </a:graphicData>
            </a:graphic>
          </wp:anchor>
        </w:drawing>
      </w:r>
      <w:bookmarkStart w:name="vi. Primary Care ACOs may be paid for th" w:id="380"/>
      <w:bookmarkEnd w:id="380"/>
      <w:r>
        <w:rPr/>
      </w:r>
      <w:r>
        <w:rPr/>
        <w:t>Primary</w:t>
      </w:r>
      <w:r>
        <w:rPr>
          <w:spacing w:val="-8"/>
        </w:rPr>
        <w:t> </w:t>
      </w:r>
      <w:r>
        <w:rPr/>
        <w:t>Care</w:t>
      </w:r>
      <w:r>
        <w:rPr>
          <w:spacing w:val="-4"/>
        </w:rPr>
        <w:t> </w:t>
      </w:r>
      <w:r>
        <w:rPr/>
        <w:t>ACOs</w:t>
      </w:r>
      <w:r>
        <w:rPr>
          <w:spacing w:val="-3"/>
        </w:rPr>
        <w:t> </w:t>
      </w:r>
      <w:r>
        <w:rPr/>
        <w:t>may</w:t>
      </w:r>
      <w:r>
        <w:rPr>
          <w:spacing w:val="-6"/>
        </w:rPr>
        <w:t> </w:t>
      </w:r>
      <w:r>
        <w:rPr/>
        <w:t>be</w:t>
      </w:r>
      <w:r>
        <w:rPr>
          <w:spacing w:val="-4"/>
        </w:rPr>
        <w:t> </w:t>
      </w:r>
      <w:r>
        <w:rPr/>
        <w:t>paid</w:t>
      </w:r>
      <w:r>
        <w:rPr>
          <w:spacing w:val="-3"/>
        </w:rPr>
        <w:t> </w:t>
      </w:r>
      <w:r>
        <w:rPr/>
        <w:t>for</w:t>
      </w:r>
      <w:r>
        <w:rPr>
          <w:spacing w:val="-4"/>
        </w:rPr>
        <w:t> </w:t>
      </w:r>
      <w:r>
        <w:rPr/>
        <w:t>the</w:t>
      </w:r>
      <w:r>
        <w:rPr>
          <w:spacing w:val="-4"/>
        </w:rPr>
        <w:t> </w:t>
      </w:r>
      <w:r>
        <w:rPr/>
        <w:t>provision</w:t>
      </w:r>
      <w:r>
        <w:rPr>
          <w:spacing w:val="-3"/>
        </w:rPr>
        <w:t> </w:t>
      </w:r>
      <w:r>
        <w:rPr/>
        <w:t>of</w:t>
      </w:r>
      <w:r>
        <w:rPr>
          <w:spacing w:val="-4"/>
        </w:rPr>
        <w:t> </w:t>
      </w:r>
      <w:r>
        <w:rPr/>
        <w:t>payments</w:t>
      </w:r>
      <w:r>
        <w:rPr>
          <w:spacing w:val="-3"/>
        </w:rPr>
        <w:t> </w:t>
      </w:r>
      <w:r>
        <w:rPr/>
        <w:t>to</w:t>
      </w:r>
      <w:r>
        <w:rPr>
          <w:spacing w:val="-3"/>
        </w:rPr>
        <w:t> </w:t>
      </w:r>
      <w:r>
        <w:rPr/>
        <w:t>certain primary care providers on behalf of the state as described in STC 8.7.</w:t>
      </w:r>
    </w:p>
    <w:p>
      <w:pPr>
        <w:pStyle w:val="BodyText"/>
        <w:spacing w:before="161"/>
        <w:ind w:left="2040" w:right="1059"/>
      </w:pPr>
      <w:r>
        <w:rPr/>
        <w:drawing>
          <wp:anchor distT="0" distB="0" distL="0" distR="0" allowOverlap="1" layoutInCell="1" locked="0" behindDoc="0" simplePos="0" relativeHeight="15837184">
            <wp:simplePos x="0" y="0"/>
            <wp:positionH relativeFrom="page">
              <wp:posOffset>1740407</wp:posOffset>
            </wp:positionH>
            <wp:positionV relativeFrom="paragraph">
              <wp:posOffset>134786</wp:posOffset>
            </wp:positionV>
            <wp:extent cx="195059" cy="115823"/>
            <wp:effectExtent l="0" t="0" r="0" b="0"/>
            <wp:wrapNone/>
            <wp:docPr id="223" name="Image 223"/>
            <wp:cNvGraphicFramePr>
              <a:graphicFrameLocks/>
            </wp:cNvGraphicFramePr>
            <a:graphic>
              <a:graphicData uri="http://schemas.openxmlformats.org/drawingml/2006/picture">
                <pic:pic>
                  <pic:nvPicPr>
                    <pic:cNvPr id="223" name="Image 223"/>
                    <pic:cNvPicPr/>
                  </pic:nvPicPr>
                  <pic:blipFill>
                    <a:blip r:embed="rId128" cstate="print"/>
                    <a:stretch>
                      <a:fillRect/>
                    </a:stretch>
                  </pic:blipFill>
                  <pic:spPr>
                    <a:xfrm>
                      <a:off x="0" y="0"/>
                      <a:ext cx="195059" cy="115823"/>
                    </a:xfrm>
                    <a:prstGeom prst="rect">
                      <a:avLst/>
                    </a:prstGeom>
                  </pic:spPr>
                </pic:pic>
              </a:graphicData>
            </a:graphic>
          </wp:anchor>
        </w:drawing>
      </w:r>
      <w:bookmarkStart w:name="vii. As of April 1, 2023, Primary Care A" w:id="381"/>
      <w:bookmarkEnd w:id="381"/>
      <w:r>
        <w:rPr/>
      </w:r>
      <w:r>
        <w:rPr/>
        <w:t>As of April 1, 2023, Primary</w:t>
      </w:r>
      <w:r>
        <w:rPr>
          <w:spacing w:val="-1"/>
        </w:rPr>
        <w:t> </w:t>
      </w:r>
      <w:r>
        <w:rPr/>
        <w:t>Care ACOs may</w:t>
      </w:r>
      <w:r>
        <w:rPr>
          <w:spacing w:val="-1"/>
        </w:rPr>
        <w:t> </w:t>
      </w:r>
      <w:r>
        <w:rPr/>
        <w:t>be required to contract with Community</w:t>
      </w:r>
      <w:r>
        <w:rPr>
          <w:spacing w:val="-11"/>
        </w:rPr>
        <w:t> </w:t>
      </w:r>
      <w:r>
        <w:rPr/>
        <w:t>Partners</w:t>
      </w:r>
      <w:r>
        <w:rPr>
          <w:spacing w:val="-3"/>
        </w:rPr>
        <w:t> </w:t>
      </w:r>
      <w:r>
        <w:rPr/>
        <w:t>(CPs)</w:t>
      </w:r>
      <w:r>
        <w:rPr>
          <w:spacing w:val="-4"/>
        </w:rPr>
        <w:t> </w:t>
      </w:r>
      <w:r>
        <w:rPr/>
        <w:t>for</w:t>
      </w:r>
      <w:r>
        <w:rPr>
          <w:spacing w:val="-4"/>
        </w:rPr>
        <w:t> </w:t>
      </w:r>
      <w:r>
        <w:rPr/>
        <w:t>the</w:t>
      </w:r>
      <w:r>
        <w:rPr>
          <w:spacing w:val="-4"/>
        </w:rPr>
        <w:t> </w:t>
      </w:r>
      <w:r>
        <w:rPr/>
        <w:t>provision</w:t>
      </w:r>
      <w:r>
        <w:rPr>
          <w:spacing w:val="-3"/>
        </w:rPr>
        <w:t> </w:t>
      </w:r>
      <w:r>
        <w:rPr/>
        <w:t>of</w:t>
      </w:r>
      <w:r>
        <w:rPr>
          <w:spacing w:val="-2"/>
        </w:rPr>
        <w:t> </w:t>
      </w:r>
      <w:r>
        <w:rPr/>
        <w:t>care</w:t>
      </w:r>
      <w:r>
        <w:rPr>
          <w:spacing w:val="-4"/>
        </w:rPr>
        <w:t> </w:t>
      </w:r>
      <w:r>
        <w:rPr/>
        <w:t>coordination</w:t>
      </w:r>
      <w:r>
        <w:rPr>
          <w:spacing w:val="-3"/>
        </w:rPr>
        <w:t> </w:t>
      </w:r>
      <w:r>
        <w:rPr/>
        <w:t>to</w:t>
      </w:r>
      <w:r>
        <w:rPr>
          <w:spacing w:val="-3"/>
        </w:rPr>
        <w:t> </w:t>
      </w:r>
      <w:r>
        <w:rPr/>
        <w:t>certain enrollees with behavioral health or LTSS needs.</w:t>
      </w:r>
      <w:r>
        <w:rPr>
          <w:spacing w:val="40"/>
        </w:rPr>
        <w:t> </w:t>
      </w:r>
      <w:r>
        <w:rPr/>
        <w:t>P</w:t>
      </w:r>
      <w:r>
        <w:rPr>
          <w:color w:val="1D1C1D"/>
        </w:rPr>
        <w:t>ayments to CPs are permissible as an administrative cost</w:t>
      </w:r>
      <w:r>
        <w:rPr>
          <w:rFonts w:ascii="Arial"/>
          <w:color w:val="1D1C1D"/>
          <w:sz w:val="23"/>
        </w:rPr>
        <w:t>.</w:t>
      </w:r>
      <w:r>
        <w:rPr>
          <w:rFonts w:ascii="Arial"/>
          <w:color w:val="1D1C1D"/>
          <w:spacing w:val="40"/>
          <w:sz w:val="23"/>
        </w:rPr>
        <w:t> </w:t>
      </w:r>
      <w:r>
        <w:rPr>
          <w:color w:val="1D1C1D"/>
        </w:rPr>
        <w:t>See STC 8.11 for further details.</w:t>
      </w:r>
    </w:p>
    <w:p>
      <w:pPr>
        <w:spacing w:after="0"/>
        <w:sectPr>
          <w:pgSz w:w="12240" w:h="15840"/>
          <w:pgMar w:header="0" w:footer="1201" w:top="1360" w:bottom="1400" w:left="1200" w:right="400"/>
        </w:sectPr>
      </w:pPr>
    </w:p>
    <w:p>
      <w:pPr>
        <w:pStyle w:val="BodyText"/>
        <w:spacing w:before="79"/>
        <w:ind w:left="2040" w:right="1059"/>
      </w:pPr>
      <w:r>
        <w:rPr/>
        <w:t>MassHealth</w:t>
      </w:r>
      <w:r>
        <w:rPr>
          <w:spacing w:val="-4"/>
        </w:rPr>
        <w:t> </w:t>
      </w:r>
      <w:r>
        <w:rPr/>
        <w:t>may</w:t>
      </w:r>
      <w:r>
        <w:rPr>
          <w:spacing w:val="-9"/>
        </w:rPr>
        <w:t> </w:t>
      </w:r>
      <w:r>
        <w:rPr/>
        <w:t>specify</w:t>
      </w:r>
      <w:r>
        <w:rPr>
          <w:spacing w:val="-7"/>
        </w:rPr>
        <w:t> </w:t>
      </w:r>
      <w:r>
        <w:rPr/>
        <w:t>the</w:t>
      </w:r>
      <w:r>
        <w:rPr>
          <w:spacing w:val="-5"/>
        </w:rPr>
        <w:t> </w:t>
      </w:r>
      <w:r>
        <w:rPr/>
        <w:t>administrative</w:t>
      </w:r>
      <w:r>
        <w:rPr>
          <w:spacing w:val="-5"/>
        </w:rPr>
        <w:t> </w:t>
      </w:r>
      <w:r>
        <w:rPr/>
        <w:t>rates</w:t>
      </w:r>
      <w:r>
        <w:rPr>
          <w:spacing w:val="-4"/>
        </w:rPr>
        <w:t> </w:t>
      </w:r>
      <w:r>
        <w:rPr/>
        <w:t>and</w:t>
      </w:r>
      <w:r>
        <w:rPr>
          <w:spacing w:val="-4"/>
        </w:rPr>
        <w:t> </w:t>
      </w:r>
      <w:r>
        <w:rPr/>
        <w:t>payment</w:t>
      </w:r>
      <w:r>
        <w:rPr>
          <w:spacing w:val="-4"/>
        </w:rPr>
        <w:t> </w:t>
      </w:r>
      <w:r>
        <w:rPr/>
        <w:t>methodologies through which Primary Care ACOs pay CPs.</w:t>
      </w:r>
    </w:p>
    <w:p>
      <w:pPr>
        <w:pStyle w:val="BodyText"/>
        <w:spacing w:before="161"/>
        <w:ind w:left="2040" w:right="1059"/>
      </w:pPr>
      <w:r>
        <w:rPr/>
        <w:drawing>
          <wp:anchor distT="0" distB="0" distL="0" distR="0" allowOverlap="1" layoutInCell="1" locked="0" behindDoc="0" simplePos="0" relativeHeight="15838208">
            <wp:simplePos x="0" y="0"/>
            <wp:positionH relativeFrom="page">
              <wp:posOffset>1699260</wp:posOffset>
            </wp:positionH>
            <wp:positionV relativeFrom="paragraph">
              <wp:posOffset>134786</wp:posOffset>
            </wp:positionV>
            <wp:extent cx="237743" cy="115823"/>
            <wp:effectExtent l="0" t="0" r="0" b="0"/>
            <wp:wrapNone/>
            <wp:docPr id="224" name="Image 224"/>
            <wp:cNvGraphicFramePr>
              <a:graphicFrameLocks/>
            </wp:cNvGraphicFramePr>
            <a:graphic>
              <a:graphicData uri="http://schemas.openxmlformats.org/drawingml/2006/picture">
                <pic:pic>
                  <pic:nvPicPr>
                    <pic:cNvPr id="224" name="Image 224"/>
                    <pic:cNvPicPr/>
                  </pic:nvPicPr>
                  <pic:blipFill>
                    <a:blip r:embed="rId129" cstate="print"/>
                    <a:stretch>
                      <a:fillRect/>
                    </a:stretch>
                  </pic:blipFill>
                  <pic:spPr>
                    <a:xfrm>
                      <a:off x="0" y="0"/>
                      <a:ext cx="237743" cy="115823"/>
                    </a:xfrm>
                    <a:prstGeom prst="rect">
                      <a:avLst/>
                    </a:prstGeom>
                  </pic:spPr>
                </pic:pic>
              </a:graphicData>
            </a:graphic>
          </wp:anchor>
        </w:drawing>
      </w:r>
      <w:bookmarkStart w:name="viii. Primary Care ACOs may be required " w:id="382"/>
      <w:bookmarkEnd w:id="382"/>
      <w:r>
        <w:rPr/>
      </w:r>
      <w:r>
        <w:rPr/>
        <w:t>Primary Care ACOs may be required to implement payment arrangements in their</w:t>
      </w:r>
      <w:r>
        <w:rPr>
          <w:spacing w:val="-4"/>
        </w:rPr>
        <w:t> </w:t>
      </w:r>
      <w:r>
        <w:rPr/>
        <w:t>contracts</w:t>
      </w:r>
      <w:r>
        <w:rPr>
          <w:spacing w:val="-3"/>
        </w:rPr>
        <w:t> </w:t>
      </w:r>
      <w:r>
        <w:rPr/>
        <w:t>with</w:t>
      </w:r>
      <w:r>
        <w:rPr>
          <w:spacing w:val="-3"/>
        </w:rPr>
        <w:t> </w:t>
      </w:r>
      <w:r>
        <w:rPr/>
        <w:t>their</w:t>
      </w:r>
      <w:r>
        <w:rPr>
          <w:spacing w:val="-4"/>
        </w:rPr>
        <w:t> </w:t>
      </w:r>
      <w:r>
        <w:rPr/>
        <w:t>participating</w:t>
      </w:r>
      <w:r>
        <w:rPr>
          <w:spacing w:val="-6"/>
        </w:rPr>
        <w:t> </w:t>
      </w:r>
      <w:r>
        <w:rPr/>
        <w:t>primary</w:t>
      </w:r>
      <w:r>
        <w:rPr>
          <w:spacing w:val="-8"/>
        </w:rPr>
        <w:t> </w:t>
      </w:r>
      <w:r>
        <w:rPr/>
        <w:t>care</w:t>
      </w:r>
      <w:r>
        <w:rPr>
          <w:spacing w:val="-4"/>
        </w:rPr>
        <w:t> </w:t>
      </w:r>
      <w:r>
        <w:rPr/>
        <w:t>providers</w:t>
      </w:r>
      <w:r>
        <w:rPr>
          <w:spacing w:val="-3"/>
        </w:rPr>
        <w:t> </w:t>
      </w:r>
      <w:r>
        <w:rPr/>
        <w:t>that</w:t>
      </w:r>
      <w:r>
        <w:rPr>
          <w:spacing w:val="-3"/>
        </w:rPr>
        <w:t> </w:t>
      </w:r>
      <w:r>
        <w:rPr/>
        <w:t>may</w:t>
      </w:r>
      <w:r>
        <w:rPr>
          <w:spacing w:val="-8"/>
        </w:rPr>
        <w:t> </w:t>
      </w:r>
      <w:r>
        <w:rPr/>
        <w:t>include minimum</w:t>
      </w:r>
      <w:r>
        <w:rPr>
          <w:spacing w:val="-2"/>
        </w:rPr>
        <w:t> </w:t>
      </w:r>
      <w:r>
        <w:rPr/>
        <w:t>levels</w:t>
      </w:r>
      <w:r>
        <w:rPr>
          <w:spacing w:val="-2"/>
        </w:rPr>
        <w:t> </w:t>
      </w:r>
      <w:r>
        <w:rPr/>
        <w:t>and/or</w:t>
      </w:r>
      <w:r>
        <w:rPr>
          <w:spacing w:val="-3"/>
        </w:rPr>
        <w:t> </w:t>
      </w:r>
      <w:r>
        <w:rPr/>
        <w:t>frequency</w:t>
      </w:r>
      <w:r>
        <w:rPr>
          <w:spacing w:val="-7"/>
        </w:rPr>
        <w:t> </w:t>
      </w:r>
      <w:r>
        <w:rPr/>
        <w:t>of</w:t>
      </w:r>
      <w:r>
        <w:rPr>
          <w:spacing w:val="-1"/>
        </w:rPr>
        <w:t> </w:t>
      </w:r>
      <w:r>
        <w:rPr/>
        <w:t>risk</w:t>
      </w:r>
      <w:r>
        <w:rPr>
          <w:spacing w:val="-2"/>
        </w:rPr>
        <w:t> </w:t>
      </w:r>
      <w:r>
        <w:rPr/>
        <w:t>sharing, as</w:t>
      </w:r>
      <w:r>
        <w:rPr>
          <w:spacing w:val="-2"/>
        </w:rPr>
        <w:t> </w:t>
      </w:r>
      <w:r>
        <w:rPr/>
        <w:t>set</w:t>
      </w:r>
      <w:r>
        <w:rPr>
          <w:spacing w:val="-2"/>
        </w:rPr>
        <w:t> </w:t>
      </w:r>
      <w:r>
        <w:rPr/>
        <w:t>forth</w:t>
      </w:r>
      <w:r>
        <w:rPr>
          <w:spacing w:val="-2"/>
        </w:rPr>
        <w:t> </w:t>
      </w:r>
      <w:r>
        <w:rPr/>
        <w:t>in</w:t>
      </w:r>
      <w:r>
        <w:rPr>
          <w:spacing w:val="-2"/>
        </w:rPr>
        <w:t> </w:t>
      </w:r>
      <w:r>
        <w:rPr/>
        <w:t>the</w:t>
      </w:r>
      <w:r>
        <w:rPr>
          <w:spacing w:val="-3"/>
        </w:rPr>
        <w:t> </w:t>
      </w:r>
      <w:r>
        <w:rPr/>
        <w:t>applicable </w:t>
      </w:r>
      <w:r>
        <w:rPr>
          <w:spacing w:val="-2"/>
        </w:rPr>
        <w:t>contracts.</w:t>
      </w:r>
    </w:p>
    <w:p>
      <w:pPr>
        <w:pStyle w:val="BodyText"/>
        <w:spacing w:before="158"/>
        <w:ind w:left="2039" w:right="1059"/>
      </w:pPr>
      <w:r>
        <w:rPr/>
        <w:drawing>
          <wp:anchor distT="0" distB="0" distL="0" distR="0" allowOverlap="1" layoutInCell="1" locked="0" behindDoc="0" simplePos="0" relativeHeight="15838720">
            <wp:simplePos x="0" y="0"/>
            <wp:positionH relativeFrom="page">
              <wp:posOffset>1786127</wp:posOffset>
            </wp:positionH>
            <wp:positionV relativeFrom="paragraph">
              <wp:posOffset>132882</wp:posOffset>
            </wp:positionV>
            <wp:extent cx="150875" cy="115823"/>
            <wp:effectExtent l="0" t="0" r="0" b="0"/>
            <wp:wrapNone/>
            <wp:docPr id="225" name="Image 225"/>
            <wp:cNvGraphicFramePr>
              <a:graphicFrameLocks/>
            </wp:cNvGraphicFramePr>
            <a:graphic>
              <a:graphicData uri="http://schemas.openxmlformats.org/drawingml/2006/picture">
                <pic:pic>
                  <pic:nvPicPr>
                    <pic:cNvPr id="225" name="Image 225"/>
                    <pic:cNvPicPr/>
                  </pic:nvPicPr>
                  <pic:blipFill>
                    <a:blip r:embed="rId130" cstate="print"/>
                    <a:stretch>
                      <a:fillRect/>
                    </a:stretch>
                  </pic:blipFill>
                  <pic:spPr>
                    <a:xfrm>
                      <a:off x="0" y="0"/>
                      <a:ext cx="150875" cy="115823"/>
                    </a:xfrm>
                    <a:prstGeom prst="rect">
                      <a:avLst/>
                    </a:prstGeom>
                  </pic:spPr>
                </pic:pic>
              </a:graphicData>
            </a:graphic>
          </wp:anchor>
        </w:drawing>
      </w:r>
      <w:bookmarkStart w:name="ix. MassHealth competitively procures Pr" w:id="383"/>
      <w:bookmarkEnd w:id="383"/>
      <w:r>
        <w:rPr/>
      </w:r>
      <w:r>
        <w:rPr/>
        <w:t>MassHealth</w:t>
      </w:r>
      <w:r>
        <w:rPr>
          <w:spacing w:val="-3"/>
        </w:rPr>
        <w:t> </w:t>
      </w:r>
      <w:r>
        <w:rPr/>
        <w:t>competitively</w:t>
      </w:r>
      <w:r>
        <w:rPr>
          <w:spacing w:val="-6"/>
        </w:rPr>
        <w:t> </w:t>
      </w:r>
      <w:r>
        <w:rPr/>
        <w:t>procures</w:t>
      </w:r>
      <w:r>
        <w:rPr>
          <w:spacing w:val="-3"/>
        </w:rPr>
        <w:t> </w:t>
      </w:r>
      <w:r>
        <w:rPr/>
        <w:t>Primary</w:t>
      </w:r>
      <w:r>
        <w:rPr>
          <w:spacing w:val="-8"/>
        </w:rPr>
        <w:t> </w:t>
      </w:r>
      <w:r>
        <w:rPr/>
        <w:t>Care</w:t>
      </w:r>
      <w:r>
        <w:rPr>
          <w:spacing w:val="-3"/>
        </w:rPr>
        <w:t> </w:t>
      </w:r>
      <w:r>
        <w:rPr/>
        <w:t>ACOs.</w:t>
      </w:r>
      <w:r>
        <w:rPr>
          <w:spacing w:val="-3"/>
        </w:rPr>
        <w:t> </w:t>
      </w:r>
      <w:r>
        <w:rPr/>
        <w:t>Primary</w:t>
      </w:r>
      <w:r>
        <w:rPr>
          <w:spacing w:val="-8"/>
        </w:rPr>
        <w:t> </w:t>
      </w:r>
      <w:r>
        <w:rPr/>
        <w:t>Care</w:t>
      </w:r>
      <w:r>
        <w:rPr>
          <w:spacing w:val="-4"/>
        </w:rPr>
        <w:t> </w:t>
      </w:r>
      <w:r>
        <w:rPr/>
        <w:t>ACOs are PCCM entities under 42 CFR 438.</w:t>
      </w:r>
    </w:p>
    <w:p>
      <w:pPr>
        <w:spacing w:before="202"/>
        <w:ind w:left="1411" w:right="1059" w:firstLine="0"/>
        <w:jc w:val="left"/>
        <w:rPr>
          <w:sz w:val="24"/>
        </w:rPr>
      </w:pPr>
      <w:r>
        <w:rPr/>
        <w:drawing>
          <wp:anchor distT="0" distB="0" distL="0" distR="0" allowOverlap="1" layoutInCell="1" locked="0" behindDoc="0" simplePos="0" relativeHeight="15839232">
            <wp:simplePos x="0" y="0"/>
            <wp:positionH relativeFrom="page">
              <wp:posOffset>1431036</wp:posOffset>
            </wp:positionH>
            <wp:positionV relativeFrom="paragraph">
              <wp:posOffset>195886</wp:posOffset>
            </wp:positionV>
            <wp:extent cx="96011" cy="80758"/>
            <wp:effectExtent l="0" t="0" r="0" b="0"/>
            <wp:wrapNone/>
            <wp:docPr id="226" name="Image 226"/>
            <wp:cNvGraphicFramePr>
              <a:graphicFrameLocks/>
            </wp:cNvGraphicFramePr>
            <a:graphic>
              <a:graphicData uri="http://schemas.openxmlformats.org/drawingml/2006/picture">
                <pic:pic>
                  <pic:nvPicPr>
                    <pic:cNvPr id="226" name="Image 226"/>
                    <pic:cNvPicPr/>
                  </pic:nvPicPr>
                  <pic:blipFill>
                    <a:blip r:embed="rId35" cstate="print"/>
                    <a:stretch>
                      <a:fillRect/>
                    </a:stretch>
                  </pic:blipFill>
                  <pic:spPr>
                    <a:xfrm>
                      <a:off x="0" y="0"/>
                      <a:ext cx="96011" cy="80758"/>
                    </a:xfrm>
                    <a:prstGeom prst="rect">
                      <a:avLst/>
                    </a:prstGeom>
                  </pic:spPr>
                </pic:pic>
              </a:graphicData>
            </a:graphic>
          </wp:anchor>
        </w:drawing>
      </w:r>
      <w:bookmarkStart w:name="c. Other features of MassHealth’s PCCM a" w:id="384"/>
      <w:bookmarkEnd w:id="384"/>
      <w:r>
        <w:rPr/>
      </w:r>
      <w:r>
        <w:rPr>
          <w:b/>
          <w:sz w:val="24"/>
        </w:rPr>
        <w:t>Other features of MassHealth’s PCCM and PCCM entity delivery systems. </w:t>
      </w:r>
      <w:r>
        <w:rPr>
          <w:sz w:val="24"/>
        </w:rPr>
        <w:t>MassHealth</w:t>
      </w:r>
      <w:r>
        <w:rPr>
          <w:spacing w:val="-3"/>
          <w:sz w:val="24"/>
        </w:rPr>
        <w:t> </w:t>
      </w:r>
      <w:r>
        <w:rPr>
          <w:sz w:val="24"/>
        </w:rPr>
        <w:t>will</w:t>
      </w:r>
      <w:r>
        <w:rPr>
          <w:spacing w:val="-3"/>
          <w:sz w:val="24"/>
        </w:rPr>
        <w:t> </w:t>
      </w:r>
      <w:r>
        <w:rPr>
          <w:sz w:val="24"/>
        </w:rPr>
        <w:t>maintain</w:t>
      </w:r>
      <w:r>
        <w:rPr>
          <w:spacing w:val="-3"/>
          <w:sz w:val="24"/>
        </w:rPr>
        <w:t> </w:t>
      </w:r>
      <w:r>
        <w:rPr>
          <w:sz w:val="24"/>
        </w:rPr>
        <w:t>responsibility</w:t>
      </w:r>
      <w:r>
        <w:rPr>
          <w:spacing w:val="-8"/>
          <w:sz w:val="24"/>
        </w:rPr>
        <w:t> </w:t>
      </w:r>
      <w:r>
        <w:rPr>
          <w:sz w:val="24"/>
        </w:rPr>
        <w:t>for</w:t>
      </w:r>
      <w:r>
        <w:rPr>
          <w:spacing w:val="-4"/>
          <w:sz w:val="24"/>
        </w:rPr>
        <w:t> </w:t>
      </w:r>
      <w:r>
        <w:rPr>
          <w:sz w:val="24"/>
        </w:rPr>
        <w:t>requirements</w:t>
      </w:r>
      <w:r>
        <w:rPr>
          <w:spacing w:val="-3"/>
          <w:sz w:val="24"/>
        </w:rPr>
        <w:t> </w:t>
      </w:r>
      <w:r>
        <w:rPr>
          <w:sz w:val="24"/>
        </w:rPr>
        <w:t>of</w:t>
      </w:r>
      <w:r>
        <w:rPr>
          <w:spacing w:val="-4"/>
          <w:sz w:val="24"/>
        </w:rPr>
        <w:t> </w:t>
      </w:r>
      <w:r>
        <w:rPr>
          <w:sz w:val="24"/>
        </w:rPr>
        <w:t>the</w:t>
      </w:r>
      <w:r>
        <w:rPr>
          <w:spacing w:val="-4"/>
          <w:sz w:val="24"/>
        </w:rPr>
        <w:t> </w:t>
      </w:r>
      <w:r>
        <w:rPr>
          <w:sz w:val="24"/>
        </w:rPr>
        <w:t>delivery</w:t>
      </w:r>
      <w:r>
        <w:rPr>
          <w:spacing w:val="-8"/>
          <w:sz w:val="24"/>
        </w:rPr>
        <w:t> </w:t>
      </w:r>
      <w:r>
        <w:rPr>
          <w:sz w:val="24"/>
        </w:rPr>
        <w:t>systems</w:t>
      </w:r>
      <w:r>
        <w:rPr>
          <w:spacing w:val="-3"/>
          <w:sz w:val="24"/>
        </w:rPr>
        <w:t> </w:t>
      </w:r>
      <w:r>
        <w:rPr>
          <w:sz w:val="24"/>
        </w:rPr>
        <w:t>not specifically delegated to the PCCMs or PCCM entities (e.g., member communications about the delivery system).</w:t>
      </w:r>
    </w:p>
    <w:p>
      <w:pPr>
        <w:pStyle w:val="BodyText"/>
        <w:spacing w:before="10"/>
        <w:rPr>
          <w:sz w:val="20"/>
        </w:rPr>
      </w:pPr>
    </w:p>
    <w:p>
      <w:pPr>
        <w:pStyle w:val="BodyText"/>
        <w:ind w:left="871" w:right="1059"/>
      </w:pPr>
      <w:r>
        <w:rPr/>
        <w:drawing>
          <wp:anchor distT="0" distB="0" distL="0" distR="0" allowOverlap="1" layoutInCell="1" locked="0" behindDoc="0" simplePos="0" relativeHeight="15839744">
            <wp:simplePos x="0" y="0"/>
            <wp:positionH relativeFrom="page">
              <wp:posOffset>978408</wp:posOffset>
            </wp:positionH>
            <wp:positionV relativeFrom="paragraph">
              <wp:posOffset>35600</wp:posOffset>
            </wp:positionV>
            <wp:extent cx="214883" cy="112775"/>
            <wp:effectExtent l="0" t="0" r="0" b="0"/>
            <wp:wrapNone/>
            <wp:docPr id="227" name="Image 227"/>
            <wp:cNvGraphicFramePr>
              <a:graphicFrameLocks/>
            </wp:cNvGraphicFramePr>
            <a:graphic>
              <a:graphicData uri="http://schemas.openxmlformats.org/drawingml/2006/picture">
                <pic:pic>
                  <pic:nvPicPr>
                    <pic:cNvPr id="227" name="Image 227"/>
                    <pic:cNvPicPr/>
                  </pic:nvPicPr>
                  <pic:blipFill>
                    <a:blip r:embed="rId131" cstate="print"/>
                    <a:stretch>
                      <a:fillRect/>
                    </a:stretch>
                  </pic:blipFill>
                  <pic:spPr>
                    <a:xfrm>
                      <a:off x="0" y="0"/>
                      <a:ext cx="214883" cy="112775"/>
                    </a:xfrm>
                    <a:prstGeom prst="rect">
                      <a:avLst/>
                    </a:prstGeom>
                  </pic:spPr>
                </pic:pic>
              </a:graphicData>
            </a:graphic>
          </wp:anchor>
        </w:drawing>
      </w:r>
      <w:bookmarkStart w:name="8.5. Primary Care Payment Through the Pr" w:id="385"/>
      <w:bookmarkEnd w:id="385"/>
      <w:r>
        <w:rPr/>
      </w:r>
      <w:r>
        <w:rPr>
          <w:b/>
        </w:rPr>
        <w:t>Primary Care Payment Through the Primary Care ACOs. </w:t>
      </w:r>
      <w:r>
        <w:rPr/>
        <w:t>The Commonwealth may prospectively</w:t>
      </w:r>
      <w:r>
        <w:rPr>
          <w:spacing w:val="-1"/>
        </w:rPr>
        <w:t> </w:t>
      </w:r>
      <w:r>
        <w:rPr/>
        <w:t>pay</w:t>
      </w:r>
      <w:r>
        <w:rPr>
          <w:spacing w:val="-1"/>
        </w:rPr>
        <w:t> </w:t>
      </w:r>
      <w:r>
        <w:rPr/>
        <w:t>Primary Care ACOs for certain primary</w:t>
      </w:r>
      <w:r>
        <w:rPr>
          <w:spacing w:val="-1"/>
        </w:rPr>
        <w:t> </w:t>
      </w:r>
      <w:r>
        <w:rPr/>
        <w:t>care services and may</w:t>
      </w:r>
      <w:r>
        <w:rPr>
          <w:spacing w:val="-1"/>
        </w:rPr>
        <w:t> </w:t>
      </w:r>
      <w:r>
        <w:rPr/>
        <w:t>require Primary</w:t>
      </w:r>
      <w:r>
        <w:rPr>
          <w:spacing w:val="-8"/>
        </w:rPr>
        <w:t> </w:t>
      </w:r>
      <w:r>
        <w:rPr/>
        <w:t>Care</w:t>
      </w:r>
      <w:r>
        <w:rPr>
          <w:spacing w:val="-4"/>
        </w:rPr>
        <w:t> </w:t>
      </w:r>
      <w:r>
        <w:rPr/>
        <w:t>ACOs</w:t>
      </w:r>
      <w:r>
        <w:rPr>
          <w:spacing w:val="-3"/>
        </w:rPr>
        <w:t> </w:t>
      </w:r>
      <w:r>
        <w:rPr/>
        <w:t>to</w:t>
      </w:r>
      <w:r>
        <w:rPr>
          <w:spacing w:val="-3"/>
        </w:rPr>
        <w:t> </w:t>
      </w:r>
      <w:r>
        <w:rPr/>
        <w:t>make</w:t>
      </w:r>
      <w:r>
        <w:rPr>
          <w:spacing w:val="-4"/>
        </w:rPr>
        <w:t> </w:t>
      </w:r>
      <w:r>
        <w:rPr/>
        <w:t>prospective,</w:t>
      </w:r>
      <w:r>
        <w:rPr>
          <w:spacing w:val="-3"/>
        </w:rPr>
        <w:t> </w:t>
      </w:r>
      <w:r>
        <w:rPr/>
        <w:t>per</w:t>
      </w:r>
      <w:r>
        <w:rPr>
          <w:spacing w:val="-4"/>
        </w:rPr>
        <w:t> </w:t>
      </w:r>
      <w:r>
        <w:rPr/>
        <w:t>member</w:t>
      </w:r>
      <w:r>
        <w:rPr>
          <w:spacing w:val="-4"/>
        </w:rPr>
        <w:t> </w:t>
      </w:r>
      <w:r>
        <w:rPr/>
        <w:t>per</w:t>
      </w:r>
      <w:r>
        <w:rPr>
          <w:spacing w:val="-4"/>
        </w:rPr>
        <w:t> </w:t>
      </w:r>
      <w:r>
        <w:rPr/>
        <w:t>month</w:t>
      </w:r>
      <w:r>
        <w:rPr>
          <w:spacing w:val="-3"/>
        </w:rPr>
        <w:t> </w:t>
      </w:r>
      <w:r>
        <w:rPr/>
        <w:t>(PMPM)</w:t>
      </w:r>
      <w:r>
        <w:rPr>
          <w:spacing w:val="-4"/>
        </w:rPr>
        <w:t> </w:t>
      </w:r>
      <w:r>
        <w:rPr/>
        <w:t>payments</w:t>
      </w:r>
      <w:r>
        <w:rPr>
          <w:spacing w:val="-3"/>
        </w:rPr>
        <w:t> </w:t>
      </w:r>
      <w:r>
        <w:rPr/>
        <w:t>that vary from state plan rates to participating primary care providers on behalf of the state.</w:t>
      </w:r>
    </w:p>
    <w:p>
      <w:pPr>
        <w:pStyle w:val="BodyText"/>
        <w:ind w:left="871" w:right="1244"/>
      </w:pPr>
      <w:r>
        <w:rPr/>
        <w:t>Such payments will be in lieu of fee-for-service state plan payments to participating primary care providers for certain primary care services in order to focus providers on improving</w:t>
      </w:r>
      <w:r>
        <w:rPr>
          <w:spacing w:val="-6"/>
        </w:rPr>
        <w:t> </w:t>
      </w:r>
      <w:r>
        <w:rPr/>
        <w:t>clinical</w:t>
      </w:r>
      <w:r>
        <w:rPr>
          <w:spacing w:val="-3"/>
        </w:rPr>
        <w:t> </w:t>
      </w:r>
      <w:r>
        <w:rPr/>
        <w:t>outcomes</w:t>
      </w:r>
      <w:r>
        <w:rPr>
          <w:spacing w:val="-3"/>
        </w:rPr>
        <w:t> </w:t>
      </w:r>
      <w:r>
        <w:rPr/>
        <w:t>and</w:t>
      </w:r>
      <w:r>
        <w:rPr>
          <w:spacing w:val="-3"/>
        </w:rPr>
        <w:t> </w:t>
      </w:r>
      <w:r>
        <w:rPr/>
        <w:t>reducing</w:t>
      </w:r>
      <w:r>
        <w:rPr>
          <w:spacing w:val="-6"/>
        </w:rPr>
        <w:t> </w:t>
      </w:r>
      <w:r>
        <w:rPr/>
        <w:t>total</w:t>
      </w:r>
      <w:r>
        <w:rPr>
          <w:spacing w:val="-2"/>
        </w:rPr>
        <w:t> </w:t>
      </w:r>
      <w:r>
        <w:rPr/>
        <w:t>cost</w:t>
      </w:r>
      <w:r>
        <w:rPr>
          <w:spacing w:val="-3"/>
        </w:rPr>
        <w:t> </w:t>
      </w:r>
      <w:r>
        <w:rPr/>
        <w:t>of</w:t>
      </w:r>
      <w:r>
        <w:rPr>
          <w:spacing w:val="-4"/>
        </w:rPr>
        <w:t> </w:t>
      </w:r>
      <w:r>
        <w:rPr/>
        <w:t>care</w:t>
      </w:r>
      <w:r>
        <w:rPr>
          <w:spacing w:val="-2"/>
        </w:rPr>
        <w:t> </w:t>
      </w:r>
      <w:r>
        <w:rPr/>
        <w:t>for</w:t>
      </w:r>
      <w:r>
        <w:rPr>
          <w:spacing w:val="-4"/>
        </w:rPr>
        <w:t> </w:t>
      </w:r>
      <w:r>
        <w:rPr/>
        <w:t>their</w:t>
      </w:r>
      <w:r>
        <w:rPr>
          <w:spacing w:val="-2"/>
        </w:rPr>
        <w:t> </w:t>
      </w:r>
      <w:r>
        <w:rPr/>
        <w:t>attributed</w:t>
      </w:r>
      <w:r>
        <w:rPr>
          <w:spacing w:val="-3"/>
        </w:rPr>
        <w:t> </w:t>
      </w:r>
      <w:r>
        <w:rPr/>
        <w:t>members, and to shift provider incentives away from volume.</w:t>
      </w:r>
      <w:r>
        <w:rPr>
          <w:spacing w:val="40"/>
        </w:rPr>
        <w:t> </w:t>
      </w:r>
      <w:r>
        <w:rPr/>
        <w:t>This payment meets Category 4 Population-Based Payment as described in the Alternative Payment Model (APM) </w:t>
      </w:r>
      <w:r>
        <w:rPr>
          <w:spacing w:val="-2"/>
        </w:rPr>
        <w:t>Framework.</w:t>
      </w:r>
      <w:hyperlink w:history="true" w:anchor="_bookmark5">
        <w:r>
          <w:rPr>
            <w:spacing w:val="-2"/>
            <w:vertAlign w:val="superscript"/>
          </w:rPr>
          <w:t>6</w:t>
        </w:r>
      </w:hyperlink>
    </w:p>
    <w:p>
      <w:pPr>
        <w:pStyle w:val="BodyText"/>
        <w:spacing w:before="238"/>
        <w:ind w:left="1411" w:right="1086"/>
      </w:pPr>
      <w:r>
        <w:rPr/>
        <w:drawing>
          <wp:anchor distT="0" distB="0" distL="0" distR="0" allowOverlap="1" layoutInCell="1" locked="0" behindDoc="0" simplePos="0" relativeHeight="15840256">
            <wp:simplePos x="0" y="0"/>
            <wp:positionH relativeFrom="page">
              <wp:posOffset>1431036</wp:posOffset>
            </wp:positionH>
            <wp:positionV relativeFrom="paragraph">
              <wp:posOffset>218746</wp:posOffset>
            </wp:positionV>
            <wp:extent cx="96011" cy="80759"/>
            <wp:effectExtent l="0" t="0" r="0" b="0"/>
            <wp:wrapNone/>
            <wp:docPr id="228" name="Image 228"/>
            <wp:cNvGraphicFramePr>
              <a:graphicFrameLocks/>
            </wp:cNvGraphicFramePr>
            <a:graphic>
              <a:graphicData uri="http://schemas.openxmlformats.org/drawingml/2006/picture">
                <pic:pic>
                  <pic:nvPicPr>
                    <pic:cNvPr id="228" name="Image 228"/>
                    <pic:cNvPicPr/>
                  </pic:nvPicPr>
                  <pic:blipFill>
                    <a:blip r:embed="rId40" cstate="print"/>
                    <a:stretch>
                      <a:fillRect/>
                    </a:stretch>
                  </pic:blipFill>
                  <pic:spPr>
                    <a:xfrm>
                      <a:off x="0" y="0"/>
                      <a:ext cx="96011" cy="80759"/>
                    </a:xfrm>
                    <a:prstGeom prst="rect">
                      <a:avLst/>
                    </a:prstGeom>
                  </pic:spPr>
                </pic:pic>
              </a:graphicData>
            </a:graphic>
          </wp:anchor>
        </w:drawing>
      </w:r>
      <w:bookmarkStart w:name="a. Payments by Primary Care ACOs to thei" w:id="386"/>
      <w:bookmarkEnd w:id="386"/>
      <w:r>
        <w:rPr/>
      </w:r>
      <w:r>
        <w:rPr/>
        <w:t>Payments by Primary Care ACOs to their participating primary care providers will be</w:t>
      </w:r>
      <w:r>
        <w:rPr>
          <w:spacing w:val="-4"/>
        </w:rPr>
        <w:t> </w:t>
      </w:r>
      <w:r>
        <w:rPr/>
        <w:t>developed</w:t>
      </w:r>
      <w:r>
        <w:rPr>
          <w:spacing w:val="-2"/>
        </w:rPr>
        <w:t> </w:t>
      </w:r>
      <w:r>
        <w:rPr/>
        <w:t>and</w:t>
      </w:r>
      <w:r>
        <w:rPr>
          <w:spacing w:val="-3"/>
        </w:rPr>
        <w:t> </w:t>
      </w:r>
      <w:r>
        <w:rPr/>
        <w:t>calculated</w:t>
      </w:r>
      <w:r>
        <w:rPr>
          <w:spacing w:val="-3"/>
        </w:rPr>
        <w:t> </w:t>
      </w:r>
      <w:r>
        <w:rPr/>
        <w:t>on</w:t>
      </w:r>
      <w:r>
        <w:rPr>
          <w:spacing w:val="-3"/>
        </w:rPr>
        <w:t> </w:t>
      </w:r>
      <w:r>
        <w:rPr/>
        <w:t>a</w:t>
      </w:r>
      <w:r>
        <w:rPr>
          <w:spacing w:val="-4"/>
        </w:rPr>
        <w:t> </w:t>
      </w:r>
      <w:r>
        <w:rPr/>
        <w:t>prospective</w:t>
      </w:r>
      <w:r>
        <w:rPr>
          <w:spacing w:val="-4"/>
        </w:rPr>
        <w:t> </w:t>
      </w:r>
      <w:r>
        <w:rPr/>
        <w:t>per</w:t>
      </w:r>
      <w:r>
        <w:rPr>
          <w:spacing w:val="-2"/>
        </w:rPr>
        <w:t> </w:t>
      </w:r>
      <w:r>
        <w:rPr/>
        <w:t>member</w:t>
      </w:r>
      <w:r>
        <w:rPr>
          <w:spacing w:val="-4"/>
        </w:rPr>
        <w:t> </w:t>
      </w:r>
      <w:r>
        <w:rPr/>
        <w:t>per</w:t>
      </w:r>
      <w:r>
        <w:rPr>
          <w:spacing w:val="-4"/>
        </w:rPr>
        <w:t> </w:t>
      </w:r>
      <w:r>
        <w:rPr/>
        <w:t>month</w:t>
      </w:r>
      <w:r>
        <w:rPr>
          <w:spacing w:val="-3"/>
        </w:rPr>
        <w:t> </w:t>
      </w:r>
      <w:r>
        <w:rPr/>
        <w:t>(PMPM)</w:t>
      </w:r>
      <w:r>
        <w:rPr>
          <w:spacing w:val="-4"/>
        </w:rPr>
        <w:t> </w:t>
      </w:r>
      <w:r>
        <w:rPr/>
        <w:t>basis, and will be based on the utilization of services of the primary care provider’s attributed population.</w:t>
      </w:r>
      <w:r>
        <w:rPr>
          <w:spacing w:val="40"/>
        </w:rPr>
        <w:t> </w:t>
      </w:r>
      <w:r>
        <w:rPr/>
        <w:t>These payments may be developed based on clinical tiers specifying service delivery expectations and other factors defined by the Commonwealth.</w:t>
      </w:r>
      <w:r>
        <w:rPr>
          <w:spacing w:val="40"/>
        </w:rPr>
        <w:t> </w:t>
      </w:r>
      <w:r>
        <w:rPr/>
        <w:t>Primary Care ACO-participating primary care providers will continue to submit claims to MassHealth for primary</w:t>
      </w:r>
      <w:r>
        <w:rPr>
          <w:spacing w:val="-2"/>
        </w:rPr>
        <w:t> </w:t>
      </w:r>
      <w:r>
        <w:rPr/>
        <w:t>care services that are included within the prospective PMPM payment for data collection purposes; all claims for services covered under the payment model will be adjudicated and zero-paid. The payments to Primary Care ACOs or to providers do not need to be reconciled to actual utilization during applicable periods.</w:t>
      </w:r>
    </w:p>
    <w:p>
      <w:pPr>
        <w:pStyle w:val="BodyText"/>
        <w:spacing w:before="10"/>
        <w:rPr>
          <w:sz w:val="20"/>
        </w:rPr>
      </w:pPr>
    </w:p>
    <w:p>
      <w:pPr>
        <w:pStyle w:val="BodyText"/>
        <w:ind w:left="1411" w:right="1141"/>
      </w:pPr>
      <w:r>
        <w:rPr/>
        <w:drawing>
          <wp:anchor distT="0" distB="0" distL="0" distR="0" allowOverlap="1" layoutInCell="1" locked="0" behindDoc="0" simplePos="0" relativeHeight="15840768">
            <wp:simplePos x="0" y="0"/>
            <wp:positionH relativeFrom="page">
              <wp:posOffset>1424939</wp:posOffset>
            </wp:positionH>
            <wp:positionV relativeFrom="paragraph">
              <wp:posOffset>32551</wp:posOffset>
            </wp:positionV>
            <wp:extent cx="111251" cy="115823"/>
            <wp:effectExtent l="0" t="0" r="0" b="0"/>
            <wp:wrapNone/>
            <wp:docPr id="229" name="Image 229"/>
            <wp:cNvGraphicFramePr>
              <a:graphicFrameLocks/>
            </wp:cNvGraphicFramePr>
            <a:graphic>
              <a:graphicData uri="http://schemas.openxmlformats.org/drawingml/2006/picture">
                <pic:pic>
                  <pic:nvPicPr>
                    <pic:cNvPr id="229" name="Image 229"/>
                    <pic:cNvPicPr/>
                  </pic:nvPicPr>
                  <pic:blipFill>
                    <a:blip r:embed="rId30" cstate="print"/>
                    <a:stretch>
                      <a:fillRect/>
                    </a:stretch>
                  </pic:blipFill>
                  <pic:spPr>
                    <a:xfrm>
                      <a:off x="0" y="0"/>
                      <a:ext cx="111251" cy="115823"/>
                    </a:xfrm>
                    <a:prstGeom prst="rect">
                      <a:avLst/>
                    </a:prstGeom>
                  </pic:spPr>
                </pic:pic>
              </a:graphicData>
            </a:graphic>
          </wp:anchor>
        </w:drawing>
      </w:r>
      <w:bookmarkStart w:name="b. The source of the non-federal share f" w:id="387"/>
      <w:bookmarkEnd w:id="387"/>
      <w:r>
        <w:rPr/>
      </w:r>
      <w:r>
        <w:rPr/>
        <w:t>The</w:t>
      </w:r>
      <w:r>
        <w:rPr>
          <w:spacing w:val="-4"/>
        </w:rPr>
        <w:t> </w:t>
      </w:r>
      <w:r>
        <w:rPr/>
        <w:t>source</w:t>
      </w:r>
      <w:r>
        <w:rPr>
          <w:spacing w:val="-4"/>
        </w:rPr>
        <w:t> </w:t>
      </w:r>
      <w:r>
        <w:rPr/>
        <w:t>of</w:t>
      </w:r>
      <w:r>
        <w:rPr>
          <w:spacing w:val="-4"/>
        </w:rPr>
        <w:t> </w:t>
      </w:r>
      <w:r>
        <w:rPr/>
        <w:t>the</w:t>
      </w:r>
      <w:r>
        <w:rPr>
          <w:spacing w:val="-4"/>
        </w:rPr>
        <w:t> </w:t>
      </w:r>
      <w:r>
        <w:rPr/>
        <w:t>non-federal</w:t>
      </w:r>
      <w:r>
        <w:rPr>
          <w:spacing w:val="-3"/>
        </w:rPr>
        <w:t> </w:t>
      </w:r>
      <w:r>
        <w:rPr/>
        <w:t>share</w:t>
      </w:r>
      <w:r>
        <w:rPr>
          <w:spacing w:val="-4"/>
        </w:rPr>
        <w:t> </w:t>
      </w:r>
      <w:r>
        <w:rPr/>
        <w:t>for</w:t>
      </w:r>
      <w:r>
        <w:rPr>
          <w:spacing w:val="-4"/>
        </w:rPr>
        <w:t> </w:t>
      </w:r>
      <w:r>
        <w:rPr/>
        <w:t>these</w:t>
      </w:r>
      <w:r>
        <w:rPr>
          <w:spacing w:val="-4"/>
        </w:rPr>
        <w:t> </w:t>
      </w:r>
      <w:r>
        <w:rPr/>
        <w:t>payments</w:t>
      </w:r>
      <w:r>
        <w:rPr>
          <w:spacing w:val="-3"/>
        </w:rPr>
        <w:t> </w:t>
      </w:r>
      <w:r>
        <w:rPr/>
        <w:t>must</w:t>
      </w:r>
      <w:r>
        <w:rPr>
          <w:spacing w:val="-3"/>
        </w:rPr>
        <w:t> </w:t>
      </w:r>
      <w:r>
        <w:rPr/>
        <w:t>be</w:t>
      </w:r>
      <w:r>
        <w:rPr>
          <w:spacing w:val="-4"/>
        </w:rPr>
        <w:t> </w:t>
      </w:r>
      <w:r>
        <w:rPr/>
        <w:t>the Commonwealth’s general fund.</w:t>
      </w:r>
    </w:p>
    <w:p>
      <w:pPr>
        <w:pStyle w:val="BodyText"/>
        <w:spacing w:before="10"/>
        <w:rPr>
          <w:sz w:val="20"/>
        </w:rPr>
      </w:pPr>
    </w:p>
    <w:p>
      <w:pPr>
        <w:pStyle w:val="BodyText"/>
        <w:ind w:left="1411" w:right="1404"/>
        <w:jc w:val="both"/>
      </w:pPr>
      <w:r>
        <w:rPr/>
        <w:drawing>
          <wp:anchor distT="0" distB="0" distL="0" distR="0" allowOverlap="1" layoutInCell="1" locked="0" behindDoc="0" simplePos="0" relativeHeight="15841280">
            <wp:simplePos x="0" y="0"/>
            <wp:positionH relativeFrom="page">
              <wp:posOffset>1431036</wp:posOffset>
            </wp:positionH>
            <wp:positionV relativeFrom="paragraph">
              <wp:posOffset>67616</wp:posOffset>
            </wp:positionV>
            <wp:extent cx="96011" cy="80759"/>
            <wp:effectExtent l="0" t="0" r="0" b="0"/>
            <wp:wrapNone/>
            <wp:docPr id="230" name="Image 230"/>
            <wp:cNvGraphicFramePr>
              <a:graphicFrameLocks/>
            </wp:cNvGraphicFramePr>
            <a:graphic>
              <a:graphicData uri="http://schemas.openxmlformats.org/drawingml/2006/picture">
                <pic:pic>
                  <pic:nvPicPr>
                    <pic:cNvPr id="230" name="Image 230"/>
                    <pic:cNvPicPr/>
                  </pic:nvPicPr>
                  <pic:blipFill>
                    <a:blip r:embed="rId35" cstate="print"/>
                    <a:stretch>
                      <a:fillRect/>
                    </a:stretch>
                  </pic:blipFill>
                  <pic:spPr>
                    <a:xfrm>
                      <a:off x="0" y="0"/>
                      <a:ext cx="96011" cy="80759"/>
                    </a:xfrm>
                    <a:prstGeom prst="rect">
                      <a:avLst/>
                    </a:prstGeom>
                  </pic:spPr>
                </pic:pic>
              </a:graphicData>
            </a:graphic>
          </wp:anchor>
        </w:drawing>
      </w:r>
      <w:bookmarkStart w:name="c. The primary care payment rates and me" w:id="388"/>
      <w:bookmarkEnd w:id="388"/>
      <w:r>
        <w:rPr/>
      </w:r>
      <w:r>
        <w:rPr/>
        <w:t>The primary</w:t>
      </w:r>
      <w:r>
        <w:rPr>
          <w:spacing w:val="-1"/>
        </w:rPr>
        <w:t> </w:t>
      </w:r>
      <w:r>
        <w:rPr/>
        <w:t>care payment rates and methodology paid to primary</w:t>
      </w:r>
      <w:r>
        <w:rPr>
          <w:spacing w:val="-1"/>
        </w:rPr>
        <w:t> </w:t>
      </w:r>
      <w:r>
        <w:rPr/>
        <w:t>care providers participating in the Primary</w:t>
      </w:r>
      <w:r>
        <w:rPr>
          <w:spacing w:val="-1"/>
        </w:rPr>
        <w:t> </w:t>
      </w:r>
      <w:r>
        <w:rPr/>
        <w:t>Care ACOs and Accountable Care Partnership Plans must</w:t>
      </w:r>
      <w:r>
        <w:rPr>
          <w:spacing w:val="-2"/>
        </w:rPr>
        <w:t> </w:t>
      </w:r>
      <w:r>
        <w:rPr/>
        <w:t>be</w:t>
      </w:r>
      <w:r>
        <w:rPr>
          <w:spacing w:val="-2"/>
        </w:rPr>
        <w:t> </w:t>
      </w:r>
      <w:r>
        <w:rPr/>
        <w:t>equitable.</w:t>
      </w:r>
      <w:r>
        <w:rPr>
          <w:spacing w:val="57"/>
        </w:rPr>
        <w:t> </w:t>
      </w:r>
      <w:r>
        <w:rPr/>
        <w:t>Any</w:t>
      </w:r>
      <w:r>
        <w:rPr>
          <w:spacing w:val="-4"/>
        </w:rPr>
        <w:t> </w:t>
      </w:r>
      <w:r>
        <w:rPr/>
        <w:t>differences</w:t>
      </w:r>
      <w:r>
        <w:rPr>
          <w:spacing w:val="-1"/>
        </w:rPr>
        <w:t> </w:t>
      </w:r>
      <w:r>
        <w:rPr/>
        <w:t>in</w:t>
      </w:r>
      <w:r>
        <w:rPr>
          <w:spacing w:val="-1"/>
        </w:rPr>
        <w:t> </w:t>
      </w:r>
      <w:r>
        <w:rPr/>
        <w:t>the</w:t>
      </w:r>
      <w:r>
        <w:rPr>
          <w:spacing w:val="-1"/>
        </w:rPr>
        <w:t> </w:t>
      </w:r>
      <w:r>
        <w:rPr/>
        <w:t>assumptions,</w:t>
      </w:r>
      <w:r>
        <w:rPr>
          <w:spacing w:val="-1"/>
        </w:rPr>
        <w:t> </w:t>
      </w:r>
      <w:r>
        <w:rPr/>
        <w:t>methodologies,</w:t>
      </w:r>
      <w:r>
        <w:rPr>
          <w:spacing w:val="-1"/>
        </w:rPr>
        <w:t> </w:t>
      </w:r>
      <w:r>
        <w:rPr/>
        <w:t>or </w:t>
      </w:r>
      <w:r>
        <w:rPr>
          <w:spacing w:val="-2"/>
        </w:rPr>
        <w:t>factors</w:t>
      </w:r>
    </w:p>
    <w:p>
      <w:pPr>
        <w:pStyle w:val="BodyText"/>
        <w:rPr>
          <w:sz w:val="23"/>
        </w:rPr>
      </w:pPr>
      <w:r>
        <w:rPr/>
        <mc:AlternateContent>
          <mc:Choice Requires="wps">
            <w:drawing>
              <wp:anchor distT="0" distB="0" distL="0" distR="0" allowOverlap="1" layoutInCell="1" locked="0" behindDoc="1" simplePos="0" relativeHeight="487696896">
                <wp:simplePos x="0" y="0"/>
                <wp:positionH relativeFrom="page">
                  <wp:posOffset>914400</wp:posOffset>
                </wp:positionH>
                <wp:positionV relativeFrom="paragraph">
                  <wp:posOffset>183736</wp:posOffset>
                </wp:positionV>
                <wp:extent cx="1828800" cy="7620"/>
                <wp:effectExtent l="0" t="0" r="0" b="0"/>
                <wp:wrapTopAndBottom/>
                <wp:docPr id="231" name="Graphic 231"/>
                <wp:cNvGraphicFramePr>
                  <a:graphicFrameLocks/>
                </wp:cNvGraphicFramePr>
                <a:graphic>
                  <a:graphicData uri="http://schemas.microsoft.com/office/word/2010/wordprocessingShape">
                    <wps:wsp>
                      <wps:cNvPr id="231" name="Graphic 231"/>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4.467461pt;width:144pt;height:.6pt;mso-position-horizontal-relative:page;mso-position-vertical-relative:paragraph;z-index:-15619584;mso-wrap-distance-left:0;mso-wrap-distance-right:0" id="docshape21" filled="true" fillcolor="#000000" stroked="false">
                <v:fill type="solid"/>
                <w10:wrap type="topAndBottom"/>
              </v:rect>
            </w:pict>
          </mc:Fallback>
        </mc:AlternateContent>
      </w:r>
    </w:p>
    <w:p>
      <w:pPr>
        <w:pStyle w:val="BodyText"/>
        <w:spacing w:before="5"/>
        <w:rPr>
          <w:sz w:val="14"/>
        </w:rPr>
      </w:pPr>
    </w:p>
    <w:p>
      <w:pPr>
        <w:spacing w:before="98"/>
        <w:ind w:left="240" w:right="0" w:firstLine="0"/>
        <w:jc w:val="left"/>
        <w:rPr>
          <w:sz w:val="20"/>
        </w:rPr>
      </w:pPr>
      <w:bookmarkStart w:name="_bookmark5" w:id="389"/>
      <w:bookmarkEnd w:id="389"/>
      <w:r>
        <w:rPr/>
      </w:r>
      <w:r>
        <w:rPr>
          <w:spacing w:val="-2"/>
          <w:sz w:val="20"/>
          <w:vertAlign w:val="superscript"/>
        </w:rPr>
        <w:t>6</w:t>
      </w:r>
      <w:r>
        <w:rPr>
          <w:spacing w:val="20"/>
          <w:sz w:val="20"/>
          <w:vertAlign w:val="baseline"/>
        </w:rPr>
        <w:t> </w:t>
      </w:r>
      <w:r>
        <w:rPr>
          <w:spacing w:val="-2"/>
          <w:sz w:val="20"/>
          <w:vertAlign w:val="baseline"/>
        </w:rPr>
        <w:t>APM</w:t>
      </w:r>
      <w:r>
        <w:rPr>
          <w:spacing w:val="21"/>
          <w:sz w:val="20"/>
          <w:vertAlign w:val="baseline"/>
        </w:rPr>
        <w:t> </w:t>
      </w:r>
      <w:r>
        <w:rPr>
          <w:spacing w:val="-2"/>
          <w:sz w:val="20"/>
          <w:vertAlign w:val="baseline"/>
        </w:rPr>
        <w:t>Framework:</w:t>
      </w:r>
      <w:r>
        <w:rPr>
          <w:spacing w:val="20"/>
          <w:sz w:val="20"/>
          <w:vertAlign w:val="baseline"/>
        </w:rPr>
        <w:t> </w:t>
      </w:r>
      <w:hyperlink r:id="rId15">
        <w:r>
          <w:rPr>
            <w:color w:val="0000FF"/>
            <w:spacing w:val="-2"/>
            <w:sz w:val="20"/>
            <w:u w:val="single" w:color="0000FF"/>
            <w:vertAlign w:val="baseline"/>
          </w:rPr>
          <w:t>https://hcp-lan.org/workproducts/apm-refresh-whitepaper-final.pdf</w:t>
        </w:r>
        <w:r>
          <w:rPr>
            <w:spacing w:val="-2"/>
            <w:sz w:val="20"/>
            <w:vertAlign w:val="baseline"/>
          </w:rPr>
          <w:t>.</w:t>
        </w:r>
      </w:hyperlink>
    </w:p>
    <w:p>
      <w:pPr>
        <w:spacing w:after="0"/>
        <w:jc w:val="left"/>
        <w:rPr>
          <w:sz w:val="20"/>
        </w:rPr>
        <w:sectPr>
          <w:pgSz w:w="12240" w:h="15840"/>
          <w:pgMar w:header="0" w:footer="1201" w:top="1360" w:bottom="1400" w:left="1200" w:right="400"/>
        </w:sectPr>
      </w:pPr>
    </w:p>
    <w:p>
      <w:pPr>
        <w:pStyle w:val="BodyText"/>
        <w:spacing w:before="79"/>
        <w:ind w:left="1411" w:right="1059"/>
      </w:pPr>
      <w:r>
        <w:rPr/>
        <w:t>used</w:t>
      </w:r>
      <w:r>
        <w:rPr>
          <w:spacing w:val="-3"/>
        </w:rPr>
        <w:t> </w:t>
      </w:r>
      <w:r>
        <w:rPr/>
        <w:t>to</w:t>
      </w:r>
      <w:r>
        <w:rPr>
          <w:spacing w:val="-3"/>
        </w:rPr>
        <w:t> </w:t>
      </w:r>
      <w:r>
        <w:rPr/>
        <w:t>develop</w:t>
      </w:r>
      <w:r>
        <w:rPr>
          <w:spacing w:val="-3"/>
        </w:rPr>
        <w:t> </w:t>
      </w:r>
      <w:r>
        <w:rPr/>
        <w:t>the</w:t>
      </w:r>
      <w:r>
        <w:rPr>
          <w:spacing w:val="-4"/>
        </w:rPr>
        <w:t> </w:t>
      </w:r>
      <w:r>
        <w:rPr/>
        <w:t>payment</w:t>
      </w:r>
      <w:r>
        <w:rPr>
          <w:spacing w:val="-3"/>
        </w:rPr>
        <w:t> </w:t>
      </w:r>
      <w:r>
        <w:rPr/>
        <w:t>rates</w:t>
      </w:r>
      <w:r>
        <w:rPr>
          <w:spacing w:val="-3"/>
        </w:rPr>
        <w:t> </w:t>
      </w:r>
      <w:r>
        <w:rPr/>
        <w:t>for</w:t>
      </w:r>
      <w:r>
        <w:rPr>
          <w:spacing w:val="-4"/>
        </w:rPr>
        <w:t> </w:t>
      </w:r>
      <w:r>
        <w:rPr/>
        <w:t>the</w:t>
      </w:r>
      <w:r>
        <w:rPr>
          <w:spacing w:val="-4"/>
        </w:rPr>
        <w:t> </w:t>
      </w:r>
      <w:r>
        <w:rPr/>
        <w:t>covered</w:t>
      </w:r>
      <w:r>
        <w:rPr>
          <w:spacing w:val="-1"/>
        </w:rPr>
        <w:t> </w:t>
      </w:r>
      <w:r>
        <w:rPr/>
        <w:t>populations</w:t>
      </w:r>
      <w:r>
        <w:rPr>
          <w:spacing w:val="-3"/>
        </w:rPr>
        <w:t> </w:t>
      </w:r>
      <w:r>
        <w:rPr/>
        <w:t>included</w:t>
      </w:r>
      <w:r>
        <w:rPr>
          <w:spacing w:val="-3"/>
        </w:rPr>
        <w:t> </w:t>
      </w:r>
      <w:r>
        <w:rPr/>
        <w:t>in</w:t>
      </w:r>
      <w:r>
        <w:rPr>
          <w:spacing w:val="-3"/>
        </w:rPr>
        <w:t> </w:t>
      </w:r>
      <w:r>
        <w:rPr/>
        <w:t>these</w:t>
      </w:r>
      <w:r>
        <w:rPr>
          <w:spacing w:val="-4"/>
        </w:rPr>
        <w:t> </w:t>
      </w:r>
      <w:r>
        <w:rPr/>
        <w:t>two programs must also be based on valid payment standards that represent actual cost differences in providing the primary care services.</w:t>
      </w:r>
    </w:p>
    <w:p>
      <w:pPr>
        <w:pStyle w:val="BodyText"/>
        <w:spacing w:before="10"/>
        <w:rPr>
          <w:sz w:val="20"/>
        </w:rPr>
      </w:pPr>
    </w:p>
    <w:p>
      <w:pPr>
        <w:pStyle w:val="BodyText"/>
        <w:ind w:left="1411" w:right="1059"/>
      </w:pPr>
      <w:r>
        <w:rPr/>
        <w:drawing>
          <wp:anchor distT="0" distB="0" distL="0" distR="0" allowOverlap="1" layoutInCell="1" locked="0" behindDoc="0" simplePos="0" relativeHeight="15841792">
            <wp:simplePos x="0" y="0"/>
            <wp:positionH relativeFrom="page">
              <wp:posOffset>1431036</wp:posOffset>
            </wp:positionH>
            <wp:positionV relativeFrom="paragraph">
              <wp:posOffset>32551</wp:posOffset>
            </wp:positionV>
            <wp:extent cx="105155" cy="115823"/>
            <wp:effectExtent l="0" t="0" r="0" b="0"/>
            <wp:wrapNone/>
            <wp:docPr id="232" name="Image 232"/>
            <wp:cNvGraphicFramePr>
              <a:graphicFrameLocks/>
            </wp:cNvGraphicFramePr>
            <a:graphic>
              <a:graphicData uri="http://schemas.openxmlformats.org/drawingml/2006/picture">
                <pic:pic>
                  <pic:nvPicPr>
                    <pic:cNvPr id="232" name="Image 232"/>
                    <pic:cNvPicPr/>
                  </pic:nvPicPr>
                  <pic:blipFill>
                    <a:blip r:embed="rId36" cstate="print"/>
                    <a:stretch>
                      <a:fillRect/>
                    </a:stretch>
                  </pic:blipFill>
                  <pic:spPr>
                    <a:xfrm>
                      <a:off x="0" y="0"/>
                      <a:ext cx="105155" cy="115823"/>
                    </a:xfrm>
                    <a:prstGeom prst="rect">
                      <a:avLst/>
                    </a:prstGeom>
                  </pic:spPr>
                </pic:pic>
              </a:graphicData>
            </a:graphic>
          </wp:anchor>
        </w:drawing>
      </w:r>
      <w:bookmarkStart w:name="d. No less than annually, the Commonweal" w:id="390"/>
      <w:bookmarkEnd w:id="390"/>
      <w:r>
        <w:rPr/>
      </w:r>
      <w:r>
        <w:rPr/>
        <w:t>No less than annually, the Commonwealth must submit the primary care payment rates and methodology to CMS for approval via PMDA as Attachment U, Primary Care</w:t>
      </w:r>
      <w:r>
        <w:rPr>
          <w:spacing w:val="-4"/>
        </w:rPr>
        <w:t> </w:t>
      </w:r>
      <w:r>
        <w:rPr/>
        <w:t>Payment</w:t>
      </w:r>
      <w:r>
        <w:rPr>
          <w:spacing w:val="-3"/>
        </w:rPr>
        <w:t> </w:t>
      </w:r>
      <w:r>
        <w:rPr/>
        <w:t>Protocol,</w:t>
      </w:r>
      <w:r>
        <w:rPr>
          <w:spacing w:val="-3"/>
        </w:rPr>
        <w:t> </w:t>
      </w:r>
      <w:r>
        <w:rPr/>
        <w:t>at</w:t>
      </w:r>
      <w:r>
        <w:rPr>
          <w:spacing w:val="-3"/>
        </w:rPr>
        <w:t> </w:t>
      </w:r>
      <w:r>
        <w:rPr/>
        <w:t>least</w:t>
      </w:r>
      <w:r>
        <w:rPr>
          <w:spacing w:val="-3"/>
        </w:rPr>
        <w:t> </w:t>
      </w:r>
      <w:r>
        <w:rPr/>
        <w:t>90</w:t>
      </w:r>
      <w:r>
        <w:rPr>
          <w:spacing w:val="-3"/>
        </w:rPr>
        <w:t> </w:t>
      </w:r>
      <w:r>
        <w:rPr/>
        <w:t>days</w:t>
      </w:r>
      <w:r>
        <w:rPr>
          <w:spacing w:val="-3"/>
        </w:rPr>
        <w:t> </w:t>
      </w:r>
      <w:r>
        <w:rPr/>
        <w:t>prior</w:t>
      </w:r>
      <w:r>
        <w:rPr>
          <w:spacing w:val="-4"/>
        </w:rPr>
        <w:t> </w:t>
      </w:r>
      <w:r>
        <w:rPr/>
        <w:t>to</w:t>
      </w:r>
      <w:r>
        <w:rPr>
          <w:spacing w:val="-3"/>
        </w:rPr>
        <w:t> </w:t>
      </w:r>
      <w:r>
        <w:rPr/>
        <w:t>implementation,</w:t>
      </w:r>
      <w:r>
        <w:rPr>
          <w:spacing w:val="-3"/>
        </w:rPr>
        <w:t> </w:t>
      </w:r>
      <w:r>
        <w:rPr/>
        <w:t>concurrent</w:t>
      </w:r>
      <w:r>
        <w:rPr>
          <w:spacing w:val="-2"/>
        </w:rPr>
        <w:t> </w:t>
      </w:r>
      <w:r>
        <w:rPr/>
        <w:t>with</w:t>
      </w:r>
      <w:r>
        <w:rPr>
          <w:spacing w:val="-3"/>
        </w:rPr>
        <w:t> </w:t>
      </w:r>
      <w:r>
        <w:rPr/>
        <w:t>the managed care contract submissions for the Primary Care ACOs that include the associated payment rates and methodology.</w:t>
      </w:r>
      <w:r>
        <w:rPr>
          <w:spacing w:val="40"/>
        </w:rPr>
        <w:t> </w:t>
      </w:r>
      <w:r>
        <w:rPr/>
        <w:t>The Commonwealth may be subject to deferrals or disallowances if it makes payments in excess of the payments approved by CMS.</w:t>
      </w:r>
    </w:p>
    <w:p>
      <w:pPr>
        <w:pStyle w:val="BodyText"/>
        <w:spacing w:before="10"/>
        <w:rPr>
          <w:sz w:val="20"/>
        </w:rPr>
      </w:pPr>
    </w:p>
    <w:p>
      <w:pPr>
        <w:pStyle w:val="BodyText"/>
        <w:ind w:left="1411" w:right="1117"/>
      </w:pPr>
      <w:r>
        <w:rPr/>
        <w:drawing>
          <wp:anchor distT="0" distB="0" distL="0" distR="0" allowOverlap="1" layoutInCell="1" locked="0" behindDoc="0" simplePos="0" relativeHeight="15842304">
            <wp:simplePos x="0" y="0"/>
            <wp:positionH relativeFrom="page">
              <wp:posOffset>1431036</wp:posOffset>
            </wp:positionH>
            <wp:positionV relativeFrom="paragraph">
              <wp:posOffset>67616</wp:posOffset>
            </wp:positionV>
            <wp:extent cx="96011" cy="80759"/>
            <wp:effectExtent l="0" t="0" r="0" b="0"/>
            <wp:wrapNone/>
            <wp:docPr id="233" name="Image 233"/>
            <wp:cNvGraphicFramePr>
              <a:graphicFrameLocks/>
            </wp:cNvGraphicFramePr>
            <a:graphic>
              <a:graphicData uri="http://schemas.openxmlformats.org/drawingml/2006/picture">
                <pic:pic>
                  <pic:nvPicPr>
                    <pic:cNvPr id="233" name="Image 233"/>
                    <pic:cNvPicPr/>
                  </pic:nvPicPr>
                  <pic:blipFill>
                    <a:blip r:embed="rId37" cstate="print"/>
                    <a:stretch>
                      <a:fillRect/>
                    </a:stretch>
                  </pic:blipFill>
                  <pic:spPr>
                    <a:xfrm>
                      <a:off x="0" y="0"/>
                      <a:ext cx="96011" cy="80759"/>
                    </a:xfrm>
                    <a:prstGeom prst="rect">
                      <a:avLst/>
                    </a:prstGeom>
                  </pic:spPr>
                </pic:pic>
              </a:graphicData>
            </a:graphic>
          </wp:anchor>
        </w:drawing>
      </w:r>
      <w:bookmarkStart w:name="e. The primary care payment rates and me" w:id="391"/>
      <w:bookmarkEnd w:id="391"/>
      <w:r>
        <w:rPr/>
      </w:r>
      <w:r>
        <w:rPr/>
        <w:t>The primary care payment rates and methodology, submitted to CMS at least 90 days</w:t>
      </w:r>
      <w:r>
        <w:rPr>
          <w:spacing w:val="-3"/>
        </w:rPr>
        <w:t> </w:t>
      </w:r>
      <w:r>
        <w:rPr/>
        <w:t>prior</w:t>
      </w:r>
      <w:r>
        <w:rPr>
          <w:spacing w:val="-4"/>
        </w:rPr>
        <w:t> </w:t>
      </w:r>
      <w:r>
        <w:rPr/>
        <w:t>to</w:t>
      </w:r>
      <w:r>
        <w:rPr>
          <w:spacing w:val="-3"/>
        </w:rPr>
        <w:t> </w:t>
      </w:r>
      <w:r>
        <w:rPr/>
        <w:t>implementation</w:t>
      </w:r>
      <w:r>
        <w:rPr>
          <w:spacing w:val="-3"/>
        </w:rPr>
        <w:t> </w:t>
      </w:r>
      <w:r>
        <w:rPr/>
        <w:t>for</w:t>
      </w:r>
      <w:r>
        <w:rPr>
          <w:spacing w:val="-4"/>
        </w:rPr>
        <w:t> </w:t>
      </w:r>
      <w:r>
        <w:rPr/>
        <w:t>review</w:t>
      </w:r>
      <w:r>
        <w:rPr>
          <w:spacing w:val="-2"/>
        </w:rPr>
        <w:t> </w:t>
      </w:r>
      <w:r>
        <w:rPr/>
        <w:t>and</w:t>
      </w:r>
      <w:r>
        <w:rPr>
          <w:spacing w:val="-3"/>
        </w:rPr>
        <w:t> </w:t>
      </w:r>
      <w:r>
        <w:rPr/>
        <w:t>prior</w:t>
      </w:r>
      <w:r>
        <w:rPr>
          <w:spacing w:val="-2"/>
        </w:rPr>
        <w:t> </w:t>
      </w:r>
      <w:r>
        <w:rPr/>
        <w:t>approval,</w:t>
      </w:r>
      <w:r>
        <w:rPr>
          <w:spacing w:val="-3"/>
        </w:rPr>
        <w:t> </w:t>
      </w:r>
      <w:r>
        <w:rPr/>
        <w:t>must</w:t>
      </w:r>
      <w:r>
        <w:rPr>
          <w:spacing w:val="-3"/>
        </w:rPr>
        <w:t> </w:t>
      </w:r>
      <w:r>
        <w:rPr/>
        <w:t>include</w:t>
      </w:r>
      <w:r>
        <w:rPr>
          <w:spacing w:val="-4"/>
        </w:rPr>
        <w:t> </w:t>
      </w:r>
      <w:r>
        <w:rPr/>
        <w:t>at</w:t>
      </w:r>
      <w:r>
        <w:rPr>
          <w:spacing w:val="-1"/>
        </w:rPr>
        <w:t> </w:t>
      </w:r>
      <w:r>
        <w:rPr/>
        <w:t>least</w:t>
      </w:r>
      <w:r>
        <w:rPr>
          <w:spacing w:val="-3"/>
        </w:rPr>
        <w:t> </w:t>
      </w:r>
      <w:r>
        <w:rPr/>
        <w:t>the following detail:</w:t>
      </w:r>
    </w:p>
    <w:p>
      <w:pPr>
        <w:pStyle w:val="BodyText"/>
        <w:spacing w:before="10"/>
        <w:rPr>
          <w:sz w:val="20"/>
        </w:rPr>
      </w:pPr>
    </w:p>
    <w:p>
      <w:pPr>
        <w:pStyle w:val="BodyText"/>
        <w:ind w:left="2040" w:right="1059"/>
      </w:pPr>
      <w:r>
        <w:rPr/>
        <w:drawing>
          <wp:anchor distT="0" distB="0" distL="0" distR="0" allowOverlap="1" layoutInCell="1" locked="0" behindDoc="0" simplePos="0" relativeHeight="15842816">
            <wp:simplePos x="0" y="0"/>
            <wp:positionH relativeFrom="page">
              <wp:posOffset>1862327</wp:posOffset>
            </wp:positionH>
            <wp:positionV relativeFrom="paragraph">
              <wp:posOffset>32551</wp:posOffset>
            </wp:positionV>
            <wp:extent cx="73151" cy="115823"/>
            <wp:effectExtent l="0" t="0" r="0" b="0"/>
            <wp:wrapNone/>
            <wp:docPr id="234" name="Image 234"/>
            <wp:cNvGraphicFramePr>
              <a:graphicFrameLocks/>
            </wp:cNvGraphicFramePr>
            <a:graphic>
              <a:graphicData uri="http://schemas.openxmlformats.org/drawingml/2006/picture">
                <pic:pic>
                  <pic:nvPicPr>
                    <pic:cNvPr id="234" name="Image 234"/>
                    <pic:cNvPicPr/>
                  </pic:nvPicPr>
                  <pic:blipFill>
                    <a:blip r:embed="rId126" cstate="print"/>
                    <a:stretch>
                      <a:fillRect/>
                    </a:stretch>
                  </pic:blipFill>
                  <pic:spPr>
                    <a:xfrm>
                      <a:off x="0" y="0"/>
                      <a:ext cx="73151" cy="115823"/>
                    </a:xfrm>
                    <a:prstGeom prst="rect">
                      <a:avLst/>
                    </a:prstGeom>
                  </pic:spPr>
                </pic:pic>
              </a:graphicData>
            </a:graphic>
          </wp:anchor>
        </w:drawing>
      </w:r>
      <w:bookmarkStart w:name="i. A description of the data and methodo" w:id="392"/>
      <w:bookmarkEnd w:id="392"/>
      <w:r>
        <w:rPr/>
      </w:r>
      <w:r>
        <w:rPr/>
        <w:t>A description of the data and methodology the Commonwealth utilized to develop the primary care payment rates for Primary Care ACO-participating primary care providers, including the Commonwealth’s approach to accounting</w:t>
      </w:r>
      <w:r>
        <w:rPr>
          <w:spacing w:val="-7"/>
        </w:rPr>
        <w:t> </w:t>
      </w:r>
      <w:r>
        <w:rPr/>
        <w:t>for</w:t>
      </w:r>
      <w:r>
        <w:rPr>
          <w:spacing w:val="-5"/>
        </w:rPr>
        <w:t> </w:t>
      </w:r>
      <w:r>
        <w:rPr/>
        <w:t>variations</w:t>
      </w:r>
      <w:r>
        <w:rPr>
          <w:spacing w:val="-2"/>
        </w:rPr>
        <w:t> </w:t>
      </w:r>
      <w:r>
        <w:rPr/>
        <w:t>in</w:t>
      </w:r>
      <w:r>
        <w:rPr>
          <w:spacing w:val="-4"/>
        </w:rPr>
        <w:t> </w:t>
      </w:r>
      <w:r>
        <w:rPr/>
        <w:t>factors</w:t>
      </w:r>
      <w:r>
        <w:rPr>
          <w:spacing w:val="-4"/>
        </w:rPr>
        <w:t> </w:t>
      </w:r>
      <w:r>
        <w:rPr/>
        <w:t>such</w:t>
      </w:r>
      <w:r>
        <w:rPr>
          <w:spacing w:val="-2"/>
        </w:rPr>
        <w:t> </w:t>
      </w:r>
      <w:r>
        <w:rPr/>
        <w:t>as,</w:t>
      </w:r>
      <w:r>
        <w:rPr>
          <w:spacing w:val="-4"/>
        </w:rPr>
        <w:t> </w:t>
      </w:r>
      <w:r>
        <w:rPr/>
        <w:t>historical</w:t>
      </w:r>
      <w:r>
        <w:rPr>
          <w:spacing w:val="-4"/>
        </w:rPr>
        <w:t> </w:t>
      </w:r>
      <w:r>
        <w:rPr/>
        <w:t>fee</w:t>
      </w:r>
      <w:r>
        <w:rPr>
          <w:spacing w:val="-5"/>
        </w:rPr>
        <w:t> </w:t>
      </w:r>
      <w:r>
        <w:rPr/>
        <w:t>schedules,</w:t>
      </w:r>
      <w:r>
        <w:rPr>
          <w:spacing w:val="-4"/>
        </w:rPr>
        <w:t> </w:t>
      </w:r>
      <w:r>
        <w:rPr/>
        <w:t>provider types, attributed members and populations, clinical care delivery tiers, and service delivery expectations.</w:t>
      </w:r>
    </w:p>
    <w:p>
      <w:pPr>
        <w:pStyle w:val="BodyText"/>
        <w:spacing w:before="159"/>
        <w:ind w:left="2040" w:right="1059"/>
      </w:pPr>
      <w:r>
        <w:rPr/>
        <w:drawing>
          <wp:anchor distT="0" distB="0" distL="0" distR="0" allowOverlap="1" layoutInCell="1" locked="0" behindDoc="0" simplePos="0" relativeHeight="15843328">
            <wp:simplePos x="0" y="0"/>
            <wp:positionH relativeFrom="page">
              <wp:posOffset>1819655</wp:posOffset>
            </wp:positionH>
            <wp:positionV relativeFrom="paragraph">
              <wp:posOffset>133516</wp:posOffset>
            </wp:positionV>
            <wp:extent cx="115823" cy="115823"/>
            <wp:effectExtent l="0" t="0" r="0" b="0"/>
            <wp:wrapNone/>
            <wp:docPr id="235" name="Image 235"/>
            <wp:cNvGraphicFramePr>
              <a:graphicFrameLocks/>
            </wp:cNvGraphicFramePr>
            <a:graphic>
              <a:graphicData uri="http://schemas.openxmlformats.org/drawingml/2006/picture">
                <pic:pic>
                  <pic:nvPicPr>
                    <pic:cNvPr id="235" name="Image 235"/>
                    <pic:cNvPicPr/>
                  </pic:nvPicPr>
                  <pic:blipFill>
                    <a:blip r:embed="rId117" cstate="print"/>
                    <a:stretch>
                      <a:fillRect/>
                    </a:stretch>
                  </pic:blipFill>
                  <pic:spPr>
                    <a:xfrm>
                      <a:off x="0" y="0"/>
                      <a:ext cx="115823" cy="115823"/>
                    </a:xfrm>
                    <a:prstGeom prst="rect">
                      <a:avLst/>
                    </a:prstGeom>
                  </pic:spPr>
                </pic:pic>
              </a:graphicData>
            </a:graphic>
          </wp:anchor>
        </w:drawing>
      </w:r>
      <w:bookmarkStart w:name="ii. A description of any payment require" w:id="393"/>
      <w:bookmarkEnd w:id="393"/>
      <w:r>
        <w:rPr/>
      </w:r>
      <w:r>
        <w:rPr/>
        <w:t>A</w:t>
      </w:r>
      <w:r>
        <w:rPr>
          <w:spacing w:val="-4"/>
        </w:rPr>
        <w:t> </w:t>
      </w:r>
      <w:r>
        <w:rPr/>
        <w:t>description</w:t>
      </w:r>
      <w:r>
        <w:rPr>
          <w:spacing w:val="-3"/>
        </w:rPr>
        <w:t> </w:t>
      </w:r>
      <w:r>
        <w:rPr/>
        <w:t>of</w:t>
      </w:r>
      <w:r>
        <w:rPr>
          <w:spacing w:val="-4"/>
        </w:rPr>
        <w:t> </w:t>
      </w:r>
      <w:r>
        <w:rPr/>
        <w:t>any</w:t>
      </w:r>
      <w:r>
        <w:rPr>
          <w:spacing w:val="-8"/>
        </w:rPr>
        <w:t> </w:t>
      </w:r>
      <w:r>
        <w:rPr/>
        <w:t>payment</w:t>
      </w:r>
      <w:r>
        <w:rPr>
          <w:spacing w:val="-3"/>
        </w:rPr>
        <w:t> </w:t>
      </w:r>
      <w:r>
        <w:rPr/>
        <w:t>requirements</w:t>
      </w:r>
      <w:r>
        <w:rPr>
          <w:spacing w:val="-3"/>
        </w:rPr>
        <w:t> </w:t>
      </w:r>
      <w:r>
        <w:rPr/>
        <w:t>or</w:t>
      </w:r>
      <w:r>
        <w:rPr>
          <w:spacing w:val="-2"/>
        </w:rPr>
        <w:t> </w:t>
      </w:r>
      <w:r>
        <w:rPr/>
        <w:t>flexibilities</w:t>
      </w:r>
      <w:r>
        <w:rPr>
          <w:spacing w:val="-3"/>
        </w:rPr>
        <w:t> </w:t>
      </w:r>
      <w:r>
        <w:rPr/>
        <w:t>the</w:t>
      </w:r>
      <w:r>
        <w:rPr>
          <w:spacing w:val="-4"/>
        </w:rPr>
        <w:t> </w:t>
      </w:r>
      <w:r>
        <w:rPr/>
        <w:t>Commonwealth may</w:t>
      </w:r>
      <w:r>
        <w:rPr>
          <w:spacing w:val="-7"/>
        </w:rPr>
        <w:t> </w:t>
      </w:r>
      <w:r>
        <w:rPr/>
        <w:t>place</w:t>
      </w:r>
      <w:r>
        <w:rPr>
          <w:spacing w:val="-3"/>
        </w:rPr>
        <w:t> </w:t>
      </w:r>
      <w:r>
        <w:rPr/>
        <w:t>on</w:t>
      </w:r>
      <w:r>
        <w:rPr>
          <w:spacing w:val="-2"/>
        </w:rPr>
        <w:t> </w:t>
      </w:r>
      <w:r>
        <w:rPr/>
        <w:t>Primary</w:t>
      </w:r>
      <w:r>
        <w:rPr>
          <w:spacing w:val="-7"/>
        </w:rPr>
        <w:t> </w:t>
      </w:r>
      <w:r>
        <w:rPr/>
        <w:t>Care</w:t>
      </w:r>
      <w:r>
        <w:rPr>
          <w:spacing w:val="-3"/>
        </w:rPr>
        <w:t> </w:t>
      </w:r>
      <w:r>
        <w:rPr/>
        <w:t>ACOs</w:t>
      </w:r>
      <w:r>
        <w:rPr>
          <w:spacing w:val="-2"/>
        </w:rPr>
        <w:t> </w:t>
      </w:r>
      <w:r>
        <w:rPr/>
        <w:t>related</w:t>
      </w:r>
      <w:r>
        <w:rPr>
          <w:spacing w:val="-2"/>
        </w:rPr>
        <w:t> </w:t>
      </w:r>
      <w:r>
        <w:rPr/>
        <w:t>to</w:t>
      </w:r>
      <w:r>
        <w:rPr>
          <w:spacing w:val="-2"/>
        </w:rPr>
        <w:t> </w:t>
      </w:r>
      <w:r>
        <w:rPr/>
        <w:t>primary</w:t>
      </w:r>
      <w:r>
        <w:rPr>
          <w:spacing w:val="-5"/>
        </w:rPr>
        <w:t> </w:t>
      </w:r>
      <w:r>
        <w:rPr/>
        <w:t>care</w:t>
      </w:r>
      <w:r>
        <w:rPr>
          <w:spacing w:val="-3"/>
        </w:rPr>
        <w:t> </w:t>
      </w:r>
      <w:r>
        <w:rPr/>
        <w:t>payments,</w:t>
      </w:r>
      <w:r>
        <w:rPr>
          <w:spacing w:val="-2"/>
        </w:rPr>
        <w:t> </w:t>
      </w:r>
      <w:r>
        <w:rPr/>
        <w:t>including any specific requirements related to payments to participating FQHCs and </w:t>
      </w:r>
      <w:r>
        <w:rPr>
          <w:spacing w:val="-2"/>
        </w:rPr>
        <w:t>RHCs.</w:t>
      </w:r>
    </w:p>
    <w:p>
      <w:pPr>
        <w:pStyle w:val="BodyText"/>
        <w:spacing w:before="161"/>
        <w:ind w:left="2040" w:right="1059"/>
      </w:pPr>
      <w:r>
        <w:rPr/>
        <w:drawing>
          <wp:anchor distT="0" distB="0" distL="0" distR="0" allowOverlap="1" layoutInCell="1" locked="0" behindDoc="0" simplePos="0" relativeHeight="15843840">
            <wp:simplePos x="0" y="0"/>
            <wp:positionH relativeFrom="page">
              <wp:posOffset>1778507</wp:posOffset>
            </wp:positionH>
            <wp:positionV relativeFrom="paragraph">
              <wp:posOffset>134786</wp:posOffset>
            </wp:positionV>
            <wp:extent cx="158495" cy="115823"/>
            <wp:effectExtent l="0" t="0" r="0" b="0"/>
            <wp:wrapNone/>
            <wp:docPr id="236" name="Image 236"/>
            <wp:cNvGraphicFramePr>
              <a:graphicFrameLocks/>
            </wp:cNvGraphicFramePr>
            <a:graphic>
              <a:graphicData uri="http://schemas.openxmlformats.org/drawingml/2006/picture">
                <pic:pic>
                  <pic:nvPicPr>
                    <pic:cNvPr id="236" name="Image 236"/>
                    <pic:cNvPicPr/>
                  </pic:nvPicPr>
                  <pic:blipFill>
                    <a:blip r:embed="rId132" cstate="print"/>
                    <a:stretch>
                      <a:fillRect/>
                    </a:stretch>
                  </pic:blipFill>
                  <pic:spPr>
                    <a:xfrm>
                      <a:off x="0" y="0"/>
                      <a:ext cx="158495" cy="115823"/>
                    </a:xfrm>
                    <a:prstGeom prst="rect">
                      <a:avLst/>
                    </a:prstGeom>
                  </pic:spPr>
                </pic:pic>
              </a:graphicData>
            </a:graphic>
          </wp:anchor>
        </w:drawing>
      </w:r>
      <w:bookmarkStart w:name="iii. Confirmation that the source of the" w:id="394"/>
      <w:bookmarkEnd w:id="394"/>
      <w:r>
        <w:rPr/>
      </w:r>
      <w:r>
        <w:rPr/>
        <w:t>Confirmation</w:t>
      </w:r>
      <w:r>
        <w:rPr>
          <w:spacing w:val="-3"/>
        </w:rPr>
        <w:t> </w:t>
      </w:r>
      <w:r>
        <w:rPr/>
        <w:t>that</w:t>
      </w:r>
      <w:r>
        <w:rPr>
          <w:spacing w:val="-3"/>
        </w:rPr>
        <w:t> </w:t>
      </w:r>
      <w:r>
        <w:rPr/>
        <w:t>the</w:t>
      </w:r>
      <w:r>
        <w:rPr>
          <w:spacing w:val="-4"/>
        </w:rPr>
        <w:t> </w:t>
      </w:r>
      <w:r>
        <w:rPr/>
        <w:t>source</w:t>
      </w:r>
      <w:r>
        <w:rPr>
          <w:spacing w:val="-4"/>
        </w:rPr>
        <w:t> </w:t>
      </w:r>
      <w:r>
        <w:rPr/>
        <w:t>of</w:t>
      </w:r>
      <w:r>
        <w:rPr>
          <w:spacing w:val="-4"/>
        </w:rPr>
        <w:t> </w:t>
      </w:r>
      <w:r>
        <w:rPr/>
        <w:t>the</w:t>
      </w:r>
      <w:r>
        <w:rPr>
          <w:spacing w:val="-4"/>
        </w:rPr>
        <w:t> </w:t>
      </w:r>
      <w:r>
        <w:rPr/>
        <w:t>non-federal</w:t>
      </w:r>
      <w:r>
        <w:rPr>
          <w:spacing w:val="-3"/>
        </w:rPr>
        <w:t> </w:t>
      </w:r>
      <w:r>
        <w:rPr/>
        <w:t>share</w:t>
      </w:r>
      <w:r>
        <w:rPr>
          <w:spacing w:val="-4"/>
        </w:rPr>
        <w:t> </w:t>
      </w:r>
      <w:r>
        <w:rPr/>
        <w:t>for</w:t>
      </w:r>
      <w:r>
        <w:rPr>
          <w:spacing w:val="-4"/>
        </w:rPr>
        <w:t> </w:t>
      </w:r>
      <w:r>
        <w:rPr/>
        <w:t>such</w:t>
      </w:r>
      <w:r>
        <w:rPr>
          <w:spacing w:val="-3"/>
        </w:rPr>
        <w:t> </w:t>
      </w:r>
      <w:r>
        <w:rPr/>
        <w:t>payments</w:t>
      </w:r>
      <w:r>
        <w:rPr>
          <w:spacing w:val="-3"/>
        </w:rPr>
        <w:t> </w:t>
      </w:r>
      <w:r>
        <w:rPr/>
        <w:t>is</w:t>
      </w:r>
      <w:r>
        <w:rPr>
          <w:spacing w:val="-3"/>
        </w:rPr>
        <w:t> </w:t>
      </w:r>
      <w:r>
        <w:rPr/>
        <w:t>the Commonwealth’s general fund.</w:t>
      </w:r>
    </w:p>
    <w:p>
      <w:pPr>
        <w:pStyle w:val="BodyText"/>
        <w:spacing w:before="160"/>
        <w:ind w:left="2040" w:right="1059"/>
      </w:pPr>
      <w:r>
        <w:rPr/>
        <w:drawing>
          <wp:anchor distT="0" distB="0" distL="0" distR="0" allowOverlap="1" layoutInCell="1" locked="0" behindDoc="0" simplePos="0" relativeHeight="15844352">
            <wp:simplePos x="0" y="0"/>
            <wp:positionH relativeFrom="page">
              <wp:posOffset>1786127</wp:posOffset>
            </wp:positionH>
            <wp:positionV relativeFrom="paragraph">
              <wp:posOffset>134151</wp:posOffset>
            </wp:positionV>
            <wp:extent cx="149339" cy="115823"/>
            <wp:effectExtent l="0" t="0" r="0" b="0"/>
            <wp:wrapNone/>
            <wp:docPr id="237" name="Image 237"/>
            <wp:cNvGraphicFramePr>
              <a:graphicFrameLocks/>
            </wp:cNvGraphicFramePr>
            <a:graphic>
              <a:graphicData uri="http://schemas.openxmlformats.org/drawingml/2006/picture">
                <pic:pic>
                  <pic:nvPicPr>
                    <pic:cNvPr id="237" name="Image 237"/>
                    <pic:cNvPicPr/>
                  </pic:nvPicPr>
                  <pic:blipFill>
                    <a:blip r:embed="rId66" cstate="print"/>
                    <a:stretch>
                      <a:fillRect/>
                    </a:stretch>
                  </pic:blipFill>
                  <pic:spPr>
                    <a:xfrm>
                      <a:off x="0" y="0"/>
                      <a:ext cx="149339" cy="115823"/>
                    </a:xfrm>
                    <a:prstGeom prst="rect">
                      <a:avLst/>
                    </a:prstGeom>
                  </pic:spPr>
                </pic:pic>
              </a:graphicData>
            </a:graphic>
          </wp:anchor>
        </w:drawing>
      </w:r>
      <w:bookmarkStart w:name="iv. Documentation, certified by the Comm" w:id="395"/>
      <w:bookmarkEnd w:id="395"/>
      <w:r>
        <w:rPr/>
      </w:r>
      <w:r>
        <w:rPr/>
        <w:t>Documentation,</w:t>
      </w:r>
      <w:r>
        <w:rPr>
          <w:spacing w:val="-5"/>
        </w:rPr>
        <w:t> </w:t>
      </w:r>
      <w:r>
        <w:rPr/>
        <w:t>certified</w:t>
      </w:r>
      <w:r>
        <w:rPr>
          <w:spacing w:val="-3"/>
        </w:rPr>
        <w:t> </w:t>
      </w:r>
      <w:r>
        <w:rPr/>
        <w:t>by</w:t>
      </w:r>
      <w:r>
        <w:rPr>
          <w:spacing w:val="-9"/>
        </w:rPr>
        <w:t> </w:t>
      </w:r>
      <w:r>
        <w:rPr/>
        <w:t>the</w:t>
      </w:r>
      <w:r>
        <w:rPr>
          <w:spacing w:val="-5"/>
        </w:rPr>
        <w:t> </w:t>
      </w:r>
      <w:r>
        <w:rPr/>
        <w:t>Commonwealth’s</w:t>
      </w:r>
      <w:r>
        <w:rPr>
          <w:spacing w:val="-3"/>
        </w:rPr>
        <w:t> </w:t>
      </w:r>
      <w:r>
        <w:rPr/>
        <w:t>actuary,</w:t>
      </w:r>
      <w:r>
        <w:rPr>
          <w:spacing w:val="-5"/>
        </w:rPr>
        <w:t> </w:t>
      </w:r>
      <w:r>
        <w:rPr/>
        <w:t>that</w:t>
      </w:r>
      <w:r>
        <w:rPr>
          <w:spacing w:val="-5"/>
        </w:rPr>
        <w:t> </w:t>
      </w:r>
      <w:r>
        <w:rPr/>
        <w:t>the</w:t>
      </w:r>
      <w:r>
        <w:rPr>
          <w:spacing w:val="-5"/>
        </w:rPr>
        <w:t> </w:t>
      </w:r>
      <w:r>
        <w:rPr/>
        <w:t>primary care payment rates in the Primary Care ACOs and Accountable Care Partnership Plans are equitable.</w:t>
      </w:r>
    </w:p>
    <w:p>
      <w:pPr>
        <w:pStyle w:val="BodyText"/>
        <w:spacing w:before="159"/>
        <w:ind w:left="2040" w:right="1059"/>
      </w:pPr>
      <w:r>
        <w:rPr/>
        <w:drawing>
          <wp:anchor distT="0" distB="0" distL="0" distR="0" allowOverlap="1" layoutInCell="1" locked="0" behindDoc="0" simplePos="0" relativeHeight="15844864">
            <wp:simplePos x="0" y="0"/>
            <wp:positionH relativeFrom="page">
              <wp:posOffset>1825751</wp:posOffset>
            </wp:positionH>
            <wp:positionV relativeFrom="paragraph">
              <wp:posOffset>171616</wp:posOffset>
            </wp:positionV>
            <wp:extent cx="109727" cy="77723"/>
            <wp:effectExtent l="0" t="0" r="0" b="0"/>
            <wp:wrapNone/>
            <wp:docPr id="238" name="Image 238"/>
            <wp:cNvGraphicFramePr>
              <a:graphicFrameLocks/>
            </wp:cNvGraphicFramePr>
            <a:graphic>
              <a:graphicData uri="http://schemas.openxmlformats.org/drawingml/2006/picture">
                <pic:pic>
                  <pic:nvPicPr>
                    <pic:cNvPr id="238" name="Image 238"/>
                    <pic:cNvPicPr/>
                  </pic:nvPicPr>
                  <pic:blipFill>
                    <a:blip r:embed="rId67" cstate="print"/>
                    <a:stretch>
                      <a:fillRect/>
                    </a:stretch>
                  </pic:blipFill>
                  <pic:spPr>
                    <a:xfrm>
                      <a:off x="0" y="0"/>
                      <a:ext cx="109727" cy="77723"/>
                    </a:xfrm>
                    <a:prstGeom prst="rect">
                      <a:avLst/>
                    </a:prstGeom>
                  </pic:spPr>
                </pic:pic>
              </a:graphicData>
            </a:graphic>
          </wp:anchor>
        </w:drawing>
      </w:r>
      <w:bookmarkStart w:name="v. A plan for monitoring, oversight, and" w:id="396"/>
      <w:bookmarkEnd w:id="396"/>
      <w:r>
        <w:rPr/>
      </w:r>
      <w:r>
        <w:rPr/>
        <w:t>A plan for monitoring, oversight, and program integrity</w:t>
      </w:r>
      <w:r>
        <w:rPr>
          <w:spacing w:val="-2"/>
        </w:rPr>
        <w:t> </w:t>
      </w:r>
      <w:r>
        <w:rPr/>
        <w:t>efforts of the primary care payment program, including the Commonwealth’s annual program integrity</w:t>
      </w:r>
      <w:r>
        <w:rPr>
          <w:spacing w:val="-6"/>
        </w:rPr>
        <w:t> </w:t>
      </w:r>
      <w:r>
        <w:rPr/>
        <w:t>and</w:t>
      </w:r>
      <w:r>
        <w:rPr>
          <w:spacing w:val="-1"/>
        </w:rPr>
        <w:t> </w:t>
      </w:r>
      <w:r>
        <w:rPr/>
        <w:t>oversight</w:t>
      </w:r>
      <w:r>
        <w:rPr>
          <w:spacing w:val="-1"/>
        </w:rPr>
        <w:t> </w:t>
      </w:r>
      <w:r>
        <w:rPr/>
        <w:t>findings</w:t>
      </w:r>
      <w:r>
        <w:rPr>
          <w:spacing w:val="-1"/>
        </w:rPr>
        <w:t> </w:t>
      </w:r>
      <w:r>
        <w:rPr/>
        <w:t>and any</w:t>
      </w:r>
      <w:r>
        <w:rPr>
          <w:spacing w:val="-6"/>
        </w:rPr>
        <w:t> </w:t>
      </w:r>
      <w:r>
        <w:rPr/>
        <w:t>actions</w:t>
      </w:r>
      <w:r>
        <w:rPr>
          <w:spacing w:val="-1"/>
        </w:rPr>
        <w:t> </w:t>
      </w:r>
      <w:r>
        <w:rPr/>
        <w:t>the</w:t>
      </w:r>
      <w:r>
        <w:rPr>
          <w:spacing w:val="-2"/>
        </w:rPr>
        <w:t> </w:t>
      </w:r>
      <w:r>
        <w:rPr/>
        <w:t>Commonwealth</w:t>
      </w:r>
      <w:r>
        <w:rPr>
          <w:spacing w:val="-1"/>
        </w:rPr>
        <w:t> </w:t>
      </w:r>
      <w:r>
        <w:rPr/>
        <w:t>has</w:t>
      </w:r>
      <w:r>
        <w:rPr>
          <w:spacing w:val="-1"/>
        </w:rPr>
        <w:t> </w:t>
      </w:r>
      <w:r>
        <w:rPr/>
        <w:t>taken due</w:t>
      </w:r>
      <w:r>
        <w:rPr>
          <w:spacing w:val="-5"/>
        </w:rPr>
        <w:t> </w:t>
      </w:r>
      <w:r>
        <w:rPr/>
        <w:t>to</w:t>
      </w:r>
      <w:r>
        <w:rPr>
          <w:spacing w:val="-4"/>
        </w:rPr>
        <w:t> </w:t>
      </w:r>
      <w:r>
        <w:rPr/>
        <w:t>noncompliance</w:t>
      </w:r>
      <w:r>
        <w:rPr>
          <w:spacing w:val="-6"/>
        </w:rPr>
        <w:t> </w:t>
      </w:r>
      <w:r>
        <w:rPr/>
        <w:t>with</w:t>
      </w:r>
      <w:r>
        <w:rPr>
          <w:spacing w:val="-4"/>
        </w:rPr>
        <w:t> </w:t>
      </w:r>
      <w:r>
        <w:rPr/>
        <w:t>service</w:t>
      </w:r>
      <w:r>
        <w:rPr>
          <w:spacing w:val="-5"/>
        </w:rPr>
        <w:t> </w:t>
      </w:r>
      <w:r>
        <w:rPr/>
        <w:t>or</w:t>
      </w:r>
      <w:r>
        <w:rPr>
          <w:spacing w:val="-5"/>
        </w:rPr>
        <w:t> </w:t>
      </w:r>
      <w:r>
        <w:rPr/>
        <w:t>payment</w:t>
      </w:r>
      <w:r>
        <w:rPr>
          <w:spacing w:val="-4"/>
        </w:rPr>
        <w:t> </w:t>
      </w:r>
      <w:r>
        <w:rPr/>
        <w:t>requirements</w:t>
      </w:r>
      <w:r>
        <w:rPr>
          <w:spacing w:val="-4"/>
        </w:rPr>
        <w:t> </w:t>
      </w:r>
      <w:r>
        <w:rPr/>
        <w:t>must</w:t>
      </w:r>
      <w:r>
        <w:rPr>
          <w:spacing w:val="-4"/>
        </w:rPr>
        <w:t> </w:t>
      </w:r>
      <w:r>
        <w:rPr/>
        <w:t>be</w:t>
      </w:r>
      <w:r>
        <w:rPr>
          <w:spacing w:val="-5"/>
        </w:rPr>
        <w:t> </w:t>
      </w:r>
      <w:r>
        <w:rPr/>
        <w:t>included in the Annual Monitoring Report.</w:t>
      </w:r>
    </w:p>
    <w:p>
      <w:pPr>
        <w:pStyle w:val="BodyText"/>
        <w:spacing w:before="161"/>
        <w:ind w:left="2040" w:right="1059"/>
      </w:pPr>
      <w:r>
        <w:rPr/>
        <w:drawing>
          <wp:anchor distT="0" distB="0" distL="0" distR="0" allowOverlap="1" layoutInCell="1" locked="0" behindDoc="0" simplePos="0" relativeHeight="15845376">
            <wp:simplePos x="0" y="0"/>
            <wp:positionH relativeFrom="page">
              <wp:posOffset>1783079</wp:posOffset>
            </wp:positionH>
            <wp:positionV relativeFrom="paragraph">
              <wp:posOffset>134786</wp:posOffset>
            </wp:positionV>
            <wp:extent cx="152399" cy="115823"/>
            <wp:effectExtent l="0" t="0" r="0" b="0"/>
            <wp:wrapNone/>
            <wp:docPr id="239" name="Image 239"/>
            <wp:cNvGraphicFramePr>
              <a:graphicFrameLocks/>
            </wp:cNvGraphicFramePr>
            <a:graphic>
              <a:graphicData uri="http://schemas.openxmlformats.org/drawingml/2006/picture">
                <pic:pic>
                  <pic:nvPicPr>
                    <pic:cNvPr id="239" name="Image 239"/>
                    <pic:cNvPicPr/>
                  </pic:nvPicPr>
                  <pic:blipFill>
                    <a:blip r:embed="rId98" cstate="print"/>
                    <a:stretch>
                      <a:fillRect/>
                    </a:stretch>
                  </pic:blipFill>
                  <pic:spPr>
                    <a:xfrm>
                      <a:off x="0" y="0"/>
                      <a:ext cx="152399" cy="115823"/>
                    </a:xfrm>
                    <a:prstGeom prst="rect">
                      <a:avLst/>
                    </a:prstGeom>
                  </pic:spPr>
                </pic:pic>
              </a:graphicData>
            </a:graphic>
          </wp:anchor>
        </w:drawing>
      </w:r>
      <w:bookmarkStart w:name="vi. Any additional information CMS deems" w:id="397"/>
      <w:bookmarkEnd w:id="397"/>
      <w:r>
        <w:rPr/>
      </w:r>
      <w:r>
        <w:rPr/>
        <w:t>Any</w:t>
      </w:r>
      <w:r>
        <w:rPr>
          <w:spacing w:val="-6"/>
        </w:rPr>
        <w:t> </w:t>
      </w:r>
      <w:r>
        <w:rPr/>
        <w:t>additional</w:t>
      </w:r>
      <w:r>
        <w:rPr>
          <w:spacing w:val="-4"/>
        </w:rPr>
        <w:t> </w:t>
      </w:r>
      <w:r>
        <w:rPr/>
        <w:t>information</w:t>
      </w:r>
      <w:r>
        <w:rPr>
          <w:spacing w:val="-4"/>
        </w:rPr>
        <w:t> </w:t>
      </w:r>
      <w:r>
        <w:rPr/>
        <w:t>CMS</w:t>
      </w:r>
      <w:r>
        <w:rPr>
          <w:spacing w:val="-4"/>
        </w:rPr>
        <w:t> </w:t>
      </w:r>
      <w:r>
        <w:rPr/>
        <w:t>deems</w:t>
      </w:r>
      <w:r>
        <w:rPr>
          <w:spacing w:val="-4"/>
        </w:rPr>
        <w:t> </w:t>
      </w:r>
      <w:r>
        <w:rPr/>
        <w:t>necessary</w:t>
      </w:r>
      <w:r>
        <w:rPr>
          <w:spacing w:val="-6"/>
        </w:rPr>
        <w:t> </w:t>
      </w:r>
      <w:r>
        <w:rPr/>
        <w:t>to</w:t>
      </w:r>
      <w:r>
        <w:rPr>
          <w:spacing w:val="-4"/>
        </w:rPr>
        <w:t> </w:t>
      </w:r>
      <w:r>
        <w:rPr/>
        <w:t>determine</w:t>
      </w:r>
      <w:r>
        <w:rPr>
          <w:spacing w:val="-5"/>
        </w:rPr>
        <w:t> </w:t>
      </w:r>
      <w:r>
        <w:rPr/>
        <w:t>these</w:t>
      </w:r>
      <w:r>
        <w:rPr>
          <w:spacing w:val="-5"/>
        </w:rPr>
        <w:t> </w:t>
      </w:r>
      <w:r>
        <w:rPr/>
        <w:t>primary care payment rates and methodology are economic and efficient.</w:t>
      </w:r>
    </w:p>
    <w:p>
      <w:pPr>
        <w:pStyle w:val="BodyText"/>
        <w:spacing w:before="199"/>
        <w:ind w:left="1411" w:right="1059"/>
      </w:pPr>
      <w:r>
        <w:rPr/>
        <w:drawing>
          <wp:anchor distT="0" distB="0" distL="0" distR="0" allowOverlap="1" layoutInCell="1" locked="0" behindDoc="0" simplePos="0" relativeHeight="15845888">
            <wp:simplePos x="0" y="0"/>
            <wp:positionH relativeFrom="page">
              <wp:posOffset>1431036</wp:posOffset>
            </wp:positionH>
            <wp:positionV relativeFrom="paragraph">
              <wp:posOffset>158916</wp:posOffset>
            </wp:positionV>
            <wp:extent cx="79247" cy="115823"/>
            <wp:effectExtent l="0" t="0" r="0" b="0"/>
            <wp:wrapNone/>
            <wp:docPr id="240" name="Image 240"/>
            <wp:cNvGraphicFramePr>
              <a:graphicFrameLocks/>
            </wp:cNvGraphicFramePr>
            <a:graphic>
              <a:graphicData uri="http://schemas.openxmlformats.org/drawingml/2006/picture">
                <pic:pic>
                  <pic:nvPicPr>
                    <pic:cNvPr id="240" name="Image 240"/>
                    <pic:cNvPicPr/>
                  </pic:nvPicPr>
                  <pic:blipFill>
                    <a:blip r:embed="rId94" cstate="print"/>
                    <a:stretch>
                      <a:fillRect/>
                    </a:stretch>
                  </pic:blipFill>
                  <pic:spPr>
                    <a:xfrm>
                      <a:off x="0" y="0"/>
                      <a:ext cx="79247" cy="115823"/>
                    </a:xfrm>
                    <a:prstGeom prst="rect">
                      <a:avLst/>
                    </a:prstGeom>
                  </pic:spPr>
                </pic:pic>
              </a:graphicData>
            </a:graphic>
          </wp:anchor>
        </w:drawing>
      </w:r>
      <w:bookmarkStart w:name="f. MassHealth will ensure that there is " w:id="398"/>
      <w:bookmarkEnd w:id="398"/>
      <w:r>
        <w:rPr/>
      </w:r>
      <w:r>
        <w:rPr/>
        <w:t>MassHealth will ensure that there is no duplication of payment to primary care providers.</w:t>
      </w:r>
      <w:r>
        <w:rPr>
          <w:spacing w:val="40"/>
        </w:rPr>
        <w:t> </w:t>
      </w:r>
      <w:r>
        <w:rPr/>
        <w:t>Specifically and without limitation, MassHealth will ensure that FFS payments are not made to providers that duplicate payments, defined in this STC, made</w:t>
      </w:r>
      <w:r>
        <w:rPr>
          <w:spacing w:val="-4"/>
        </w:rPr>
        <w:t> </w:t>
      </w:r>
      <w:r>
        <w:rPr/>
        <w:t>to</w:t>
      </w:r>
      <w:r>
        <w:rPr>
          <w:spacing w:val="-3"/>
        </w:rPr>
        <w:t> </w:t>
      </w:r>
      <w:r>
        <w:rPr/>
        <w:t>the</w:t>
      </w:r>
      <w:r>
        <w:rPr>
          <w:spacing w:val="-4"/>
        </w:rPr>
        <w:t> </w:t>
      </w:r>
      <w:r>
        <w:rPr/>
        <w:t>provider</w:t>
      </w:r>
      <w:r>
        <w:rPr>
          <w:spacing w:val="-2"/>
        </w:rPr>
        <w:t> </w:t>
      </w:r>
      <w:r>
        <w:rPr/>
        <w:t>for</w:t>
      </w:r>
      <w:r>
        <w:rPr>
          <w:spacing w:val="-2"/>
        </w:rPr>
        <w:t> </w:t>
      </w:r>
      <w:r>
        <w:rPr/>
        <w:t>furnishing</w:t>
      </w:r>
      <w:r>
        <w:rPr>
          <w:spacing w:val="-6"/>
        </w:rPr>
        <w:t> </w:t>
      </w:r>
      <w:r>
        <w:rPr/>
        <w:t>primary</w:t>
      </w:r>
      <w:r>
        <w:rPr>
          <w:spacing w:val="-8"/>
        </w:rPr>
        <w:t> </w:t>
      </w:r>
      <w:r>
        <w:rPr/>
        <w:t>care</w:t>
      </w:r>
      <w:r>
        <w:rPr>
          <w:spacing w:val="-4"/>
        </w:rPr>
        <w:t> </w:t>
      </w:r>
      <w:r>
        <w:rPr/>
        <w:t>services</w:t>
      </w:r>
      <w:r>
        <w:rPr>
          <w:spacing w:val="-3"/>
        </w:rPr>
        <w:t> </w:t>
      </w:r>
      <w:r>
        <w:rPr/>
        <w:t>to</w:t>
      </w:r>
      <w:r>
        <w:rPr>
          <w:spacing w:val="-3"/>
        </w:rPr>
        <w:t> </w:t>
      </w:r>
      <w:r>
        <w:rPr/>
        <w:t>attributed</w:t>
      </w:r>
      <w:r>
        <w:rPr>
          <w:spacing w:val="-4"/>
        </w:rPr>
        <w:t> </w:t>
      </w:r>
      <w:r>
        <w:rPr/>
        <w:t>beneficiaries.</w:t>
      </w:r>
    </w:p>
    <w:p>
      <w:pPr>
        <w:spacing w:after="0"/>
        <w:sectPr>
          <w:pgSz w:w="12240" w:h="15840"/>
          <w:pgMar w:header="0" w:footer="1201" w:top="1360" w:bottom="1400" w:left="1200" w:right="400"/>
        </w:sectPr>
      </w:pPr>
    </w:p>
    <w:p>
      <w:pPr>
        <w:pStyle w:val="Heading5"/>
        <w:spacing w:before="79"/>
        <w:ind w:left="871"/>
      </w:pPr>
      <w:r>
        <w:rPr/>
        <w:drawing>
          <wp:anchor distT="0" distB="0" distL="0" distR="0" allowOverlap="1" layoutInCell="1" locked="0" behindDoc="0" simplePos="0" relativeHeight="15846912">
            <wp:simplePos x="0" y="0"/>
            <wp:positionH relativeFrom="page">
              <wp:posOffset>978408</wp:posOffset>
            </wp:positionH>
            <wp:positionV relativeFrom="paragraph">
              <wp:posOffset>85777</wp:posOffset>
            </wp:positionV>
            <wp:extent cx="214883" cy="112763"/>
            <wp:effectExtent l="0" t="0" r="0" b="0"/>
            <wp:wrapNone/>
            <wp:docPr id="241" name="Image 241"/>
            <wp:cNvGraphicFramePr>
              <a:graphicFrameLocks/>
            </wp:cNvGraphicFramePr>
            <a:graphic>
              <a:graphicData uri="http://schemas.openxmlformats.org/drawingml/2006/picture">
                <pic:pic>
                  <pic:nvPicPr>
                    <pic:cNvPr id="241" name="Image 241"/>
                    <pic:cNvPicPr/>
                  </pic:nvPicPr>
                  <pic:blipFill>
                    <a:blip r:embed="rId133" cstate="print"/>
                    <a:stretch>
                      <a:fillRect/>
                    </a:stretch>
                  </pic:blipFill>
                  <pic:spPr>
                    <a:xfrm>
                      <a:off x="0" y="0"/>
                      <a:ext cx="214883" cy="112763"/>
                    </a:xfrm>
                    <a:prstGeom prst="rect">
                      <a:avLst/>
                    </a:prstGeom>
                  </pic:spPr>
                </pic:pic>
              </a:graphicData>
            </a:graphic>
          </wp:anchor>
        </w:drawing>
      </w:r>
      <w:bookmarkStart w:name="8.6. MCO-based delivery systems:" w:id="399"/>
      <w:bookmarkEnd w:id="399"/>
      <w:r>
        <w:rPr>
          <w:b w:val="0"/>
        </w:rPr>
      </w:r>
      <w:r>
        <w:rPr/>
        <w:t>MCO-based</w:t>
      </w:r>
      <w:r>
        <w:rPr>
          <w:spacing w:val="-4"/>
        </w:rPr>
        <w:t> </w:t>
      </w:r>
      <w:r>
        <w:rPr/>
        <w:t>delivery</w:t>
      </w:r>
      <w:r>
        <w:rPr>
          <w:spacing w:val="-3"/>
        </w:rPr>
        <w:t> </w:t>
      </w:r>
      <w:r>
        <w:rPr>
          <w:spacing w:val="-2"/>
        </w:rPr>
        <w:t>systems:</w:t>
      </w:r>
    </w:p>
    <w:p>
      <w:pPr>
        <w:pStyle w:val="BodyText"/>
        <w:spacing w:before="10"/>
        <w:rPr>
          <w:b/>
          <w:sz w:val="20"/>
        </w:rPr>
      </w:pPr>
    </w:p>
    <w:p>
      <w:pPr>
        <w:pStyle w:val="BodyText"/>
        <w:ind w:left="1411" w:right="1059"/>
      </w:pPr>
      <w:r>
        <w:rPr/>
        <w:drawing>
          <wp:anchor distT="0" distB="0" distL="0" distR="0" allowOverlap="1" layoutInCell="1" locked="0" behindDoc="0" simplePos="0" relativeHeight="15847424">
            <wp:simplePos x="0" y="0"/>
            <wp:positionH relativeFrom="page">
              <wp:posOffset>1431036</wp:posOffset>
            </wp:positionH>
            <wp:positionV relativeFrom="paragraph">
              <wp:posOffset>67603</wp:posOffset>
            </wp:positionV>
            <wp:extent cx="96011" cy="80771"/>
            <wp:effectExtent l="0" t="0" r="0" b="0"/>
            <wp:wrapNone/>
            <wp:docPr id="242" name="Image 242"/>
            <wp:cNvGraphicFramePr>
              <a:graphicFrameLocks/>
            </wp:cNvGraphicFramePr>
            <a:graphic>
              <a:graphicData uri="http://schemas.openxmlformats.org/drawingml/2006/picture">
                <pic:pic>
                  <pic:nvPicPr>
                    <pic:cNvPr id="242" name="Image 242"/>
                    <pic:cNvPicPr/>
                  </pic:nvPicPr>
                  <pic:blipFill>
                    <a:blip r:embed="rId29" cstate="print"/>
                    <a:stretch>
                      <a:fillRect/>
                    </a:stretch>
                  </pic:blipFill>
                  <pic:spPr>
                    <a:xfrm>
                      <a:off x="0" y="0"/>
                      <a:ext cx="96011" cy="80771"/>
                    </a:xfrm>
                    <a:prstGeom prst="rect">
                      <a:avLst/>
                    </a:prstGeom>
                  </pic:spPr>
                </pic:pic>
              </a:graphicData>
            </a:graphic>
          </wp:anchor>
        </w:drawing>
      </w:r>
      <w:bookmarkStart w:name="a. MassHealth MCOs. MCOs provide compreh" w:id="400"/>
      <w:bookmarkEnd w:id="400"/>
      <w:r>
        <w:rPr/>
      </w:r>
      <w:r>
        <w:rPr>
          <w:b/>
        </w:rPr>
        <w:t>MassHealth MCOs. </w:t>
      </w:r>
      <w:r>
        <w:rPr/>
        <w:t>MCOs provide comprehensive health coverage, including behavioral health services, to enrollees. Some Direct Coverage services are not provided by</w:t>
      </w:r>
      <w:r>
        <w:rPr>
          <w:spacing w:val="-3"/>
        </w:rPr>
        <w:t> </w:t>
      </w:r>
      <w:r>
        <w:rPr/>
        <w:t>the MCOs but are instead covered directly</w:t>
      </w:r>
      <w:r>
        <w:rPr>
          <w:spacing w:val="-3"/>
        </w:rPr>
        <w:t> </w:t>
      </w:r>
      <w:r>
        <w:rPr/>
        <w:t>by</w:t>
      </w:r>
      <w:r>
        <w:rPr>
          <w:spacing w:val="-3"/>
        </w:rPr>
        <w:t> </w:t>
      </w:r>
      <w:r>
        <w:rPr/>
        <w:t>MassHealth for members enrolled in MCOs</w:t>
      </w:r>
      <w:hyperlink w:history="true" w:anchor="_bookmark6">
        <w:r>
          <w:rPr>
            <w:vertAlign w:val="superscript"/>
          </w:rPr>
          <w:t>7</w:t>
        </w:r>
      </w:hyperlink>
      <w:r>
        <w:rPr>
          <w:vertAlign w:val="baseline"/>
        </w:rPr>
        <w:t>. Members enrolled in MCOs may receive family planning services from any provider without consulting their PCP or MCO and are not required to obtain prior approval from MassHealth. For family planning services provided by MassHealth providers not participating in a member’s MCO network, MassHealth</w:t>
      </w:r>
      <w:r>
        <w:rPr>
          <w:spacing w:val="-4"/>
          <w:vertAlign w:val="baseline"/>
        </w:rPr>
        <w:t> </w:t>
      </w:r>
      <w:r>
        <w:rPr>
          <w:vertAlign w:val="baseline"/>
        </w:rPr>
        <w:t>reimburses</w:t>
      </w:r>
      <w:r>
        <w:rPr>
          <w:spacing w:val="-4"/>
          <w:vertAlign w:val="baseline"/>
        </w:rPr>
        <w:t> </w:t>
      </w:r>
      <w:r>
        <w:rPr>
          <w:vertAlign w:val="baseline"/>
        </w:rPr>
        <w:t>the</w:t>
      </w:r>
      <w:r>
        <w:rPr>
          <w:spacing w:val="-5"/>
          <w:vertAlign w:val="baseline"/>
        </w:rPr>
        <w:t> </w:t>
      </w:r>
      <w:r>
        <w:rPr>
          <w:vertAlign w:val="baseline"/>
        </w:rPr>
        <w:t>provider</w:t>
      </w:r>
      <w:r>
        <w:rPr>
          <w:spacing w:val="-5"/>
          <w:vertAlign w:val="baseline"/>
        </w:rPr>
        <w:t> </w:t>
      </w:r>
      <w:r>
        <w:rPr>
          <w:vertAlign w:val="baseline"/>
        </w:rPr>
        <w:t>on</w:t>
      </w:r>
      <w:r>
        <w:rPr>
          <w:spacing w:val="-2"/>
          <w:vertAlign w:val="baseline"/>
        </w:rPr>
        <w:t> </w:t>
      </w:r>
      <w:r>
        <w:rPr>
          <w:vertAlign w:val="baseline"/>
        </w:rPr>
        <w:t>a</w:t>
      </w:r>
      <w:r>
        <w:rPr>
          <w:spacing w:val="-5"/>
          <w:vertAlign w:val="baseline"/>
        </w:rPr>
        <w:t> </w:t>
      </w:r>
      <w:r>
        <w:rPr>
          <w:vertAlign w:val="baseline"/>
        </w:rPr>
        <w:t>fee-for-service</w:t>
      </w:r>
      <w:r>
        <w:rPr>
          <w:spacing w:val="-5"/>
          <w:vertAlign w:val="baseline"/>
        </w:rPr>
        <w:t> </w:t>
      </w:r>
      <w:r>
        <w:rPr>
          <w:vertAlign w:val="baseline"/>
        </w:rPr>
        <w:t>basis</w:t>
      </w:r>
      <w:r>
        <w:rPr>
          <w:spacing w:val="-4"/>
          <w:vertAlign w:val="baseline"/>
        </w:rPr>
        <w:t> </w:t>
      </w:r>
      <w:r>
        <w:rPr>
          <w:vertAlign w:val="baseline"/>
        </w:rPr>
        <w:t>and</w:t>
      </w:r>
      <w:r>
        <w:rPr>
          <w:spacing w:val="-4"/>
          <w:vertAlign w:val="baseline"/>
        </w:rPr>
        <w:t> </w:t>
      </w:r>
      <w:r>
        <w:rPr>
          <w:vertAlign w:val="baseline"/>
        </w:rPr>
        <w:t>recoups</w:t>
      </w:r>
      <w:r>
        <w:rPr>
          <w:spacing w:val="-2"/>
          <w:vertAlign w:val="baseline"/>
        </w:rPr>
        <w:t> </w:t>
      </w:r>
      <w:r>
        <w:rPr>
          <w:vertAlign w:val="baseline"/>
        </w:rPr>
        <w:t>the</w:t>
      </w:r>
      <w:r>
        <w:rPr>
          <w:spacing w:val="-5"/>
          <w:vertAlign w:val="baseline"/>
        </w:rPr>
        <w:t> </w:t>
      </w:r>
      <w:r>
        <w:rPr>
          <w:vertAlign w:val="baseline"/>
        </w:rPr>
        <w:t>funds from the MCO.</w:t>
      </w:r>
    </w:p>
    <w:p>
      <w:pPr>
        <w:pStyle w:val="BodyText"/>
        <w:spacing w:before="10"/>
        <w:rPr>
          <w:sz w:val="20"/>
        </w:rPr>
      </w:pPr>
    </w:p>
    <w:p>
      <w:pPr>
        <w:pStyle w:val="BodyText"/>
        <w:ind w:left="2040" w:right="1141"/>
      </w:pPr>
      <w:r>
        <w:rPr/>
        <w:drawing>
          <wp:anchor distT="0" distB="0" distL="0" distR="0" allowOverlap="1" layoutInCell="1" locked="0" behindDoc="0" simplePos="0" relativeHeight="15847936">
            <wp:simplePos x="0" y="0"/>
            <wp:positionH relativeFrom="page">
              <wp:posOffset>1862327</wp:posOffset>
            </wp:positionH>
            <wp:positionV relativeFrom="paragraph">
              <wp:posOffset>32552</wp:posOffset>
            </wp:positionV>
            <wp:extent cx="73151" cy="115823"/>
            <wp:effectExtent l="0" t="0" r="0" b="0"/>
            <wp:wrapNone/>
            <wp:docPr id="243" name="Image 243"/>
            <wp:cNvGraphicFramePr>
              <a:graphicFrameLocks/>
            </wp:cNvGraphicFramePr>
            <a:graphic>
              <a:graphicData uri="http://schemas.openxmlformats.org/drawingml/2006/picture">
                <pic:pic>
                  <pic:nvPicPr>
                    <pic:cNvPr id="243" name="Image 243"/>
                    <pic:cNvPicPr/>
                  </pic:nvPicPr>
                  <pic:blipFill>
                    <a:blip r:embed="rId64" cstate="print"/>
                    <a:stretch>
                      <a:fillRect/>
                    </a:stretch>
                  </pic:blipFill>
                  <pic:spPr>
                    <a:xfrm>
                      <a:off x="0" y="0"/>
                      <a:ext cx="73151" cy="115823"/>
                    </a:xfrm>
                    <a:prstGeom prst="rect">
                      <a:avLst/>
                    </a:prstGeom>
                  </pic:spPr>
                </pic:pic>
              </a:graphicData>
            </a:graphic>
          </wp:anchor>
        </w:drawing>
      </w:r>
      <w:bookmarkStart w:name="i. The State may limit disenrollment for" w:id="401"/>
      <w:bookmarkEnd w:id="401"/>
      <w:r>
        <w:rPr/>
      </w:r>
      <w:r>
        <w:rPr/>
        <w:t>The</w:t>
      </w:r>
      <w:r>
        <w:rPr>
          <w:spacing w:val="-4"/>
        </w:rPr>
        <w:t> </w:t>
      </w:r>
      <w:r>
        <w:rPr/>
        <w:t>State</w:t>
      </w:r>
      <w:r>
        <w:rPr>
          <w:spacing w:val="-4"/>
        </w:rPr>
        <w:t> </w:t>
      </w:r>
      <w:r>
        <w:rPr/>
        <w:t>may</w:t>
      </w:r>
      <w:r>
        <w:rPr>
          <w:spacing w:val="-7"/>
        </w:rPr>
        <w:t> </w:t>
      </w:r>
      <w:r>
        <w:rPr/>
        <w:t>limit</w:t>
      </w:r>
      <w:r>
        <w:rPr>
          <w:spacing w:val="-3"/>
        </w:rPr>
        <w:t> </w:t>
      </w:r>
      <w:r>
        <w:rPr/>
        <w:t>disenrollment</w:t>
      </w:r>
      <w:r>
        <w:rPr>
          <w:spacing w:val="-3"/>
        </w:rPr>
        <w:t> </w:t>
      </w:r>
      <w:r>
        <w:rPr/>
        <w:t>for</w:t>
      </w:r>
      <w:r>
        <w:rPr>
          <w:spacing w:val="-4"/>
        </w:rPr>
        <w:t> </w:t>
      </w:r>
      <w:r>
        <w:rPr/>
        <w:t>MCO</w:t>
      </w:r>
      <w:r>
        <w:rPr>
          <w:spacing w:val="-4"/>
        </w:rPr>
        <w:t> </w:t>
      </w:r>
      <w:r>
        <w:rPr/>
        <w:t>enrollees.</w:t>
      </w:r>
      <w:r>
        <w:rPr>
          <w:spacing w:val="-4"/>
        </w:rPr>
        <w:t> </w:t>
      </w:r>
      <w:r>
        <w:rPr/>
        <w:t>Any</w:t>
      </w:r>
      <w:r>
        <w:rPr>
          <w:spacing w:val="-7"/>
        </w:rPr>
        <w:t> </w:t>
      </w:r>
      <w:r>
        <w:rPr/>
        <w:t>such</w:t>
      </w:r>
      <w:r>
        <w:rPr>
          <w:spacing w:val="-3"/>
        </w:rPr>
        <w:t> </w:t>
      </w:r>
      <w:r>
        <w:rPr/>
        <w:t>limitation will be consistent with 42 CFR 438.56(c).</w:t>
      </w:r>
    </w:p>
    <w:p>
      <w:pPr>
        <w:pStyle w:val="BodyText"/>
        <w:spacing w:before="161"/>
        <w:ind w:left="2040" w:right="1059"/>
      </w:pPr>
      <w:r>
        <w:rPr/>
        <w:drawing>
          <wp:anchor distT="0" distB="0" distL="0" distR="0" allowOverlap="1" layoutInCell="1" locked="0" behindDoc="0" simplePos="0" relativeHeight="15848448">
            <wp:simplePos x="0" y="0"/>
            <wp:positionH relativeFrom="page">
              <wp:posOffset>1819655</wp:posOffset>
            </wp:positionH>
            <wp:positionV relativeFrom="paragraph">
              <wp:posOffset>134787</wp:posOffset>
            </wp:positionV>
            <wp:extent cx="115823" cy="115823"/>
            <wp:effectExtent l="0" t="0" r="0" b="0"/>
            <wp:wrapNone/>
            <wp:docPr id="244" name="Image 244"/>
            <wp:cNvGraphicFramePr>
              <a:graphicFrameLocks/>
            </wp:cNvGraphicFramePr>
            <a:graphic>
              <a:graphicData uri="http://schemas.openxmlformats.org/drawingml/2006/picture">
                <pic:pic>
                  <pic:nvPicPr>
                    <pic:cNvPr id="244" name="Image 244"/>
                    <pic:cNvPicPr/>
                  </pic:nvPicPr>
                  <pic:blipFill>
                    <a:blip r:embed="rId62" cstate="print"/>
                    <a:stretch>
                      <a:fillRect/>
                    </a:stretch>
                  </pic:blipFill>
                  <pic:spPr>
                    <a:xfrm>
                      <a:off x="0" y="0"/>
                      <a:ext cx="115823" cy="115823"/>
                    </a:xfrm>
                    <a:prstGeom prst="rect">
                      <a:avLst/>
                    </a:prstGeom>
                  </pic:spPr>
                </pic:pic>
              </a:graphicData>
            </a:graphic>
          </wp:anchor>
        </w:drawing>
      </w:r>
      <w:bookmarkStart w:name="ii. MCO contracts will include requireme" w:id="402"/>
      <w:bookmarkEnd w:id="402"/>
      <w:r>
        <w:rPr/>
      </w:r>
      <w:r>
        <w:rPr/>
        <w:t>MCO contracts will include requirements to use alternative payment methodologies</w:t>
      </w:r>
      <w:r>
        <w:rPr>
          <w:spacing w:val="-5"/>
        </w:rPr>
        <w:t> </w:t>
      </w:r>
      <w:r>
        <w:rPr/>
        <w:t>and</w:t>
      </w:r>
      <w:r>
        <w:rPr>
          <w:spacing w:val="-5"/>
        </w:rPr>
        <w:t> </w:t>
      </w:r>
      <w:r>
        <w:rPr/>
        <w:t>other</w:t>
      </w:r>
      <w:r>
        <w:rPr>
          <w:spacing w:val="-4"/>
        </w:rPr>
        <w:t> </w:t>
      </w:r>
      <w:r>
        <w:rPr/>
        <w:t>arrangements</w:t>
      </w:r>
      <w:r>
        <w:rPr>
          <w:spacing w:val="-5"/>
        </w:rPr>
        <w:t> </w:t>
      </w:r>
      <w:r>
        <w:rPr/>
        <w:t>described</w:t>
      </w:r>
      <w:r>
        <w:rPr>
          <w:spacing w:val="-5"/>
        </w:rPr>
        <w:t> </w:t>
      </w:r>
      <w:r>
        <w:rPr/>
        <w:t>in</w:t>
      </w:r>
      <w:r>
        <w:rPr>
          <w:spacing w:val="-5"/>
        </w:rPr>
        <w:t> </w:t>
      </w:r>
      <w:r>
        <w:rPr/>
        <w:t>Attachment</w:t>
      </w:r>
      <w:r>
        <w:rPr>
          <w:spacing w:val="-5"/>
        </w:rPr>
        <w:t> </w:t>
      </w:r>
      <w:r>
        <w:rPr/>
        <w:t>Q,</w:t>
      </w:r>
      <w:r>
        <w:rPr>
          <w:spacing w:val="-5"/>
        </w:rPr>
        <w:t> </w:t>
      </w:r>
      <w:r>
        <w:rPr/>
        <w:t>to</w:t>
      </w:r>
      <w:r>
        <w:rPr>
          <w:spacing w:val="-5"/>
        </w:rPr>
        <w:t> </w:t>
      </w:r>
      <w:r>
        <w:rPr/>
        <w:t>increase accountability for cost and quality of care</w:t>
      </w:r>
    </w:p>
    <w:p>
      <w:pPr>
        <w:pStyle w:val="BodyText"/>
        <w:spacing w:before="158"/>
        <w:ind w:left="2039" w:right="1059"/>
      </w:pPr>
      <w:r>
        <w:rPr/>
        <w:drawing>
          <wp:anchor distT="0" distB="0" distL="0" distR="0" allowOverlap="1" layoutInCell="1" locked="0" behindDoc="0" simplePos="0" relativeHeight="15848960">
            <wp:simplePos x="0" y="0"/>
            <wp:positionH relativeFrom="page">
              <wp:posOffset>1778507</wp:posOffset>
            </wp:positionH>
            <wp:positionV relativeFrom="paragraph">
              <wp:posOffset>132881</wp:posOffset>
            </wp:positionV>
            <wp:extent cx="158495" cy="115823"/>
            <wp:effectExtent l="0" t="0" r="0" b="0"/>
            <wp:wrapNone/>
            <wp:docPr id="245" name="Image 245"/>
            <wp:cNvGraphicFramePr>
              <a:graphicFrameLocks/>
            </wp:cNvGraphicFramePr>
            <a:graphic>
              <a:graphicData uri="http://schemas.openxmlformats.org/drawingml/2006/picture">
                <pic:pic>
                  <pic:nvPicPr>
                    <pic:cNvPr id="245" name="Image 245"/>
                    <pic:cNvPicPr/>
                  </pic:nvPicPr>
                  <pic:blipFill>
                    <a:blip r:embed="rId134" cstate="print"/>
                    <a:stretch>
                      <a:fillRect/>
                    </a:stretch>
                  </pic:blipFill>
                  <pic:spPr>
                    <a:xfrm>
                      <a:off x="0" y="0"/>
                      <a:ext cx="158495" cy="115823"/>
                    </a:xfrm>
                    <a:prstGeom prst="rect">
                      <a:avLst/>
                    </a:prstGeom>
                  </pic:spPr>
                </pic:pic>
              </a:graphicData>
            </a:graphic>
          </wp:anchor>
        </w:drawing>
      </w:r>
      <w:bookmarkStart w:name="iii. As of April 1, 2023, MCOs may be re" w:id="403"/>
      <w:bookmarkEnd w:id="403"/>
      <w:r>
        <w:rPr/>
      </w:r>
      <w:r>
        <w:rPr/>
        <w:t>As of April 1, 2023, MCOs may be required to contract with Community Partners (CPs) for the provision of care coordination to certain enrollees with behavioral health or LTSS needs. MassHealth may specify the administrative rates</w:t>
      </w:r>
      <w:r>
        <w:rPr>
          <w:spacing w:val="-4"/>
        </w:rPr>
        <w:t> </w:t>
      </w:r>
      <w:r>
        <w:rPr/>
        <w:t>and</w:t>
      </w:r>
      <w:r>
        <w:rPr>
          <w:spacing w:val="-4"/>
        </w:rPr>
        <w:t> </w:t>
      </w:r>
      <w:r>
        <w:rPr/>
        <w:t>payment</w:t>
      </w:r>
      <w:r>
        <w:rPr>
          <w:spacing w:val="-4"/>
        </w:rPr>
        <w:t> </w:t>
      </w:r>
      <w:r>
        <w:rPr/>
        <w:t>methodologies</w:t>
      </w:r>
      <w:r>
        <w:rPr>
          <w:spacing w:val="-4"/>
        </w:rPr>
        <w:t> </w:t>
      </w:r>
      <w:r>
        <w:rPr/>
        <w:t>through</w:t>
      </w:r>
      <w:r>
        <w:rPr>
          <w:spacing w:val="-4"/>
        </w:rPr>
        <w:t> </w:t>
      </w:r>
      <w:r>
        <w:rPr/>
        <w:t>which</w:t>
      </w:r>
      <w:r>
        <w:rPr>
          <w:spacing w:val="-2"/>
        </w:rPr>
        <w:t> </w:t>
      </w:r>
      <w:r>
        <w:rPr/>
        <w:t>MCOs</w:t>
      </w:r>
      <w:r>
        <w:rPr>
          <w:spacing w:val="-4"/>
        </w:rPr>
        <w:t> </w:t>
      </w:r>
      <w:r>
        <w:rPr/>
        <w:t>pay</w:t>
      </w:r>
      <w:r>
        <w:rPr>
          <w:spacing w:val="-8"/>
        </w:rPr>
        <w:t> </w:t>
      </w:r>
      <w:r>
        <w:rPr/>
        <w:t>CPs.</w:t>
      </w:r>
      <w:r>
        <w:rPr>
          <w:spacing w:val="-5"/>
        </w:rPr>
        <w:t> </w:t>
      </w:r>
      <w:r>
        <w:rPr/>
        <w:t>Payments</w:t>
      </w:r>
      <w:r>
        <w:rPr>
          <w:spacing w:val="-4"/>
        </w:rPr>
        <w:t> </w:t>
      </w:r>
      <w:r>
        <w:rPr/>
        <w:t>to CPs are permissible as an administrative cost within the risk-based capitiation rates paid to the MCOs.</w:t>
      </w:r>
      <w:r>
        <w:rPr>
          <w:spacing w:val="40"/>
        </w:rPr>
        <w:t> </w:t>
      </w:r>
      <w:r>
        <w:rPr>
          <w:color w:val="1D1C1D"/>
        </w:rPr>
        <w:t>See STC 8.11 for further details.</w:t>
      </w:r>
    </w:p>
    <w:p>
      <w:pPr>
        <w:pStyle w:val="BodyText"/>
        <w:spacing w:before="161"/>
        <w:ind w:left="2040"/>
      </w:pPr>
      <w:r>
        <w:rPr/>
        <w:drawing>
          <wp:anchor distT="0" distB="0" distL="0" distR="0" allowOverlap="1" layoutInCell="1" locked="0" behindDoc="0" simplePos="0" relativeHeight="15849472">
            <wp:simplePos x="0" y="0"/>
            <wp:positionH relativeFrom="page">
              <wp:posOffset>1786127</wp:posOffset>
            </wp:positionH>
            <wp:positionV relativeFrom="paragraph">
              <wp:posOffset>134786</wp:posOffset>
            </wp:positionV>
            <wp:extent cx="149339" cy="115823"/>
            <wp:effectExtent l="0" t="0" r="0" b="0"/>
            <wp:wrapNone/>
            <wp:docPr id="246" name="Image 246"/>
            <wp:cNvGraphicFramePr>
              <a:graphicFrameLocks/>
            </wp:cNvGraphicFramePr>
            <a:graphic>
              <a:graphicData uri="http://schemas.openxmlformats.org/drawingml/2006/picture">
                <pic:pic>
                  <pic:nvPicPr>
                    <pic:cNvPr id="246" name="Image 246"/>
                    <pic:cNvPicPr/>
                  </pic:nvPicPr>
                  <pic:blipFill>
                    <a:blip r:embed="rId96" cstate="print"/>
                    <a:stretch>
                      <a:fillRect/>
                    </a:stretch>
                  </pic:blipFill>
                  <pic:spPr>
                    <a:xfrm>
                      <a:off x="0" y="0"/>
                      <a:ext cx="149339" cy="115823"/>
                    </a:xfrm>
                    <a:prstGeom prst="rect">
                      <a:avLst/>
                    </a:prstGeom>
                  </pic:spPr>
                </pic:pic>
              </a:graphicData>
            </a:graphic>
          </wp:anchor>
        </w:drawing>
      </w:r>
      <w:bookmarkStart w:name="iv. MassHealth MCOs are defined as MCOs " w:id="404"/>
      <w:bookmarkEnd w:id="404"/>
      <w:r>
        <w:rPr/>
      </w:r>
      <w:r>
        <w:rPr/>
        <w:t>MassHealth</w:t>
      </w:r>
      <w:r>
        <w:rPr>
          <w:spacing w:val="-3"/>
        </w:rPr>
        <w:t> </w:t>
      </w:r>
      <w:r>
        <w:rPr/>
        <w:t>MCOs</w:t>
      </w:r>
      <w:r>
        <w:rPr>
          <w:spacing w:val="-1"/>
        </w:rPr>
        <w:t> </w:t>
      </w:r>
      <w:r>
        <w:rPr/>
        <w:t>are</w:t>
      </w:r>
      <w:r>
        <w:rPr>
          <w:spacing w:val="-2"/>
        </w:rPr>
        <w:t> </w:t>
      </w:r>
      <w:r>
        <w:rPr/>
        <w:t>defined</w:t>
      </w:r>
      <w:r>
        <w:rPr>
          <w:spacing w:val="-2"/>
        </w:rPr>
        <w:t> </w:t>
      </w:r>
      <w:r>
        <w:rPr/>
        <w:t>as</w:t>
      </w:r>
      <w:r>
        <w:rPr>
          <w:spacing w:val="-1"/>
        </w:rPr>
        <w:t> </w:t>
      </w:r>
      <w:r>
        <w:rPr/>
        <w:t>MCOs</w:t>
      </w:r>
      <w:r>
        <w:rPr>
          <w:spacing w:val="-1"/>
        </w:rPr>
        <w:t> </w:t>
      </w:r>
      <w:r>
        <w:rPr/>
        <w:t>under</w:t>
      </w:r>
      <w:r>
        <w:rPr>
          <w:spacing w:val="-2"/>
        </w:rPr>
        <w:t> </w:t>
      </w:r>
      <w:r>
        <w:rPr/>
        <w:t>42</w:t>
      </w:r>
      <w:r>
        <w:rPr>
          <w:spacing w:val="-1"/>
        </w:rPr>
        <w:t> </w:t>
      </w:r>
      <w:r>
        <w:rPr/>
        <w:t>CFR</w:t>
      </w:r>
      <w:r>
        <w:rPr>
          <w:spacing w:val="-1"/>
        </w:rPr>
        <w:t> </w:t>
      </w:r>
      <w:r>
        <w:rPr/>
        <w:t>part </w:t>
      </w:r>
      <w:r>
        <w:rPr>
          <w:spacing w:val="-4"/>
        </w:rPr>
        <w:t>438.</w:t>
      </w:r>
    </w:p>
    <w:p>
      <w:pPr>
        <w:pStyle w:val="BodyText"/>
        <w:spacing w:before="200"/>
        <w:ind w:left="1411" w:right="1104"/>
      </w:pPr>
      <w:r>
        <w:rPr/>
        <w:drawing>
          <wp:anchor distT="0" distB="0" distL="0" distR="0" allowOverlap="1" layoutInCell="1" locked="0" behindDoc="0" simplePos="0" relativeHeight="15849984">
            <wp:simplePos x="0" y="0"/>
            <wp:positionH relativeFrom="page">
              <wp:posOffset>1424939</wp:posOffset>
            </wp:positionH>
            <wp:positionV relativeFrom="paragraph">
              <wp:posOffset>159551</wp:posOffset>
            </wp:positionV>
            <wp:extent cx="111251" cy="115823"/>
            <wp:effectExtent l="0" t="0" r="0" b="0"/>
            <wp:wrapNone/>
            <wp:docPr id="247" name="Image 247"/>
            <wp:cNvGraphicFramePr>
              <a:graphicFrameLocks/>
            </wp:cNvGraphicFramePr>
            <a:graphic>
              <a:graphicData uri="http://schemas.openxmlformats.org/drawingml/2006/picture">
                <pic:pic>
                  <pic:nvPicPr>
                    <pic:cNvPr id="247" name="Image 247"/>
                    <pic:cNvPicPr/>
                  </pic:nvPicPr>
                  <pic:blipFill>
                    <a:blip r:embed="rId105" cstate="print"/>
                    <a:stretch>
                      <a:fillRect/>
                    </a:stretch>
                  </pic:blipFill>
                  <pic:spPr>
                    <a:xfrm>
                      <a:off x="0" y="0"/>
                      <a:ext cx="111251" cy="115823"/>
                    </a:xfrm>
                    <a:prstGeom prst="rect">
                      <a:avLst/>
                    </a:prstGeom>
                  </pic:spPr>
                </pic:pic>
              </a:graphicData>
            </a:graphic>
          </wp:anchor>
        </w:drawing>
      </w:r>
      <w:bookmarkStart w:name="b. Accountable Care Partnership Plans (“" w:id="405"/>
      <w:bookmarkEnd w:id="405"/>
      <w:r>
        <w:rPr/>
      </w:r>
      <w:r>
        <w:rPr>
          <w:b/>
        </w:rPr>
        <w:t>Accountable Care Partnership Plans (“Partnership Plans”). </w:t>
      </w:r>
      <w:r>
        <w:rPr/>
        <w:t>Partnership Plans are MCOs that provide comprehensive health coverage, including behavioral health services, to enrollees. Some Direct Coverage services are not provided by the Partnership Plans but are instead paid on a fee for service basis in accordance with the State plan by MassHealth for members enrolled in Partnership Plans.</w:t>
      </w:r>
      <w:r>
        <w:rPr>
          <w:spacing w:val="40"/>
        </w:rPr>
        <w:t> </w:t>
      </w:r>
      <w:r>
        <w:rPr/>
        <w:t>Members enrolled in Partnership Plans may receive family planning services from any provider without consulting their PCP or Partnership Plan and are not required to obtain prior approval from MassHealth.</w:t>
      </w:r>
      <w:r>
        <w:rPr>
          <w:spacing w:val="40"/>
        </w:rPr>
        <w:t> </w:t>
      </w:r>
      <w:r>
        <w:rPr/>
        <w:t>For family planning services provided by MassHealth providers not participating in a member’s Partnership Plan network, MassHealth</w:t>
      </w:r>
      <w:r>
        <w:rPr>
          <w:spacing w:val="-4"/>
        </w:rPr>
        <w:t> </w:t>
      </w:r>
      <w:r>
        <w:rPr/>
        <w:t>reimburses</w:t>
      </w:r>
      <w:r>
        <w:rPr>
          <w:spacing w:val="-4"/>
        </w:rPr>
        <w:t> </w:t>
      </w:r>
      <w:r>
        <w:rPr/>
        <w:t>the</w:t>
      </w:r>
      <w:r>
        <w:rPr>
          <w:spacing w:val="-5"/>
        </w:rPr>
        <w:t> </w:t>
      </w:r>
      <w:r>
        <w:rPr/>
        <w:t>provider</w:t>
      </w:r>
      <w:r>
        <w:rPr>
          <w:spacing w:val="-5"/>
        </w:rPr>
        <w:t> </w:t>
      </w:r>
      <w:r>
        <w:rPr/>
        <w:t>on</w:t>
      </w:r>
      <w:r>
        <w:rPr>
          <w:spacing w:val="-2"/>
        </w:rPr>
        <w:t> </w:t>
      </w:r>
      <w:r>
        <w:rPr/>
        <w:t>a</w:t>
      </w:r>
      <w:r>
        <w:rPr>
          <w:spacing w:val="-5"/>
        </w:rPr>
        <w:t> </w:t>
      </w:r>
      <w:r>
        <w:rPr/>
        <w:t>fee-for-service</w:t>
      </w:r>
      <w:r>
        <w:rPr>
          <w:spacing w:val="-5"/>
        </w:rPr>
        <w:t> </w:t>
      </w:r>
      <w:r>
        <w:rPr/>
        <w:t>basis</w:t>
      </w:r>
      <w:r>
        <w:rPr>
          <w:spacing w:val="-4"/>
        </w:rPr>
        <w:t> </w:t>
      </w:r>
      <w:r>
        <w:rPr/>
        <w:t>and</w:t>
      </w:r>
      <w:r>
        <w:rPr>
          <w:spacing w:val="-4"/>
        </w:rPr>
        <w:t> </w:t>
      </w:r>
      <w:r>
        <w:rPr/>
        <w:t>recoups</w:t>
      </w:r>
      <w:r>
        <w:rPr>
          <w:spacing w:val="-2"/>
        </w:rPr>
        <w:t> </w:t>
      </w:r>
      <w:r>
        <w:rPr/>
        <w:t>the</w:t>
      </w:r>
      <w:r>
        <w:rPr>
          <w:spacing w:val="-5"/>
        </w:rPr>
        <w:t> </w:t>
      </w:r>
      <w:r>
        <w:rPr/>
        <w:t>funds from the Partnership Plan.</w:t>
      </w:r>
    </w:p>
    <w:p>
      <w:pPr>
        <w:pStyle w:val="BodyText"/>
        <w:spacing w:before="10"/>
        <w:rPr>
          <w:sz w:val="20"/>
        </w:rPr>
      </w:pPr>
    </w:p>
    <w:p>
      <w:pPr>
        <w:pStyle w:val="BodyText"/>
        <w:ind w:left="2040" w:right="1059"/>
      </w:pPr>
      <w:r>
        <w:rPr/>
        <w:drawing>
          <wp:anchor distT="0" distB="0" distL="0" distR="0" allowOverlap="1" layoutInCell="1" locked="0" behindDoc="0" simplePos="0" relativeHeight="15850496">
            <wp:simplePos x="0" y="0"/>
            <wp:positionH relativeFrom="page">
              <wp:posOffset>1862327</wp:posOffset>
            </wp:positionH>
            <wp:positionV relativeFrom="paragraph">
              <wp:posOffset>32551</wp:posOffset>
            </wp:positionV>
            <wp:extent cx="73151" cy="115823"/>
            <wp:effectExtent l="0" t="0" r="0" b="0"/>
            <wp:wrapNone/>
            <wp:docPr id="248" name="Image 248"/>
            <wp:cNvGraphicFramePr>
              <a:graphicFrameLocks/>
            </wp:cNvGraphicFramePr>
            <a:graphic>
              <a:graphicData uri="http://schemas.openxmlformats.org/drawingml/2006/picture">
                <pic:pic>
                  <pic:nvPicPr>
                    <pic:cNvPr id="248" name="Image 248"/>
                    <pic:cNvPicPr/>
                  </pic:nvPicPr>
                  <pic:blipFill>
                    <a:blip r:embed="rId61" cstate="print"/>
                    <a:stretch>
                      <a:fillRect/>
                    </a:stretch>
                  </pic:blipFill>
                  <pic:spPr>
                    <a:xfrm>
                      <a:off x="0" y="0"/>
                      <a:ext cx="73151" cy="115823"/>
                    </a:xfrm>
                    <a:prstGeom prst="rect">
                      <a:avLst/>
                    </a:prstGeom>
                  </pic:spPr>
                </pic:pic>
              </a:graphicData>
            </a:graphic>
          </wp:anchor>
        </w:drawing>
      </w:r>
      <w:bookmarkStart w:name="i. The state may limit disenrollment for" w:id="406"/>
      <w:bookmarkEnd w:id="406"/>
      <w:r>
        <w:rPr/>
      </w:r>
      <w:r>
        <w:rPr/>
        <w:t>The</w:t>
      </w:r>
      <w:r>
        <w:rPr>
          <w:spacing w:val="-4"/>
        </w:rPr>
        <w:t> </w:t>
      </w:r>
      <w:r>
        <w:rPr/>
        <w:t>state</w:t>
      </w:r>
      <w:r>
        <w:rPr>
          <w:spacing w:val="-4"/>
        </w:rPr>
        <w:t> </w:t>
      </w:r>
      <w:r>
        <w:rPr/>
        <w:t>may</w:t>
      </w:r>
      <w:r>
        <w:rPr>
          <w:spacing w:val="-8"/>
        </w:rPr>
        <w:t> </w:t>
      </w:r>
      <w:r>
        <w:rPr/>
        <w:t>limit</w:t>
      </w:r>
      <w:r>
        <w:rPr>
          <w:spacing w:val="-3"/>
        </w:rPr>
        <w:t> </w:t>
      </w:r>
      <w:r>
        <w:rPr/>
        <w:t>disenrollment</w:t>
      </w:r>
      <w:r>
        <w:rPr>
          <w:spacing w:val="-3"/>
        </w:rPr>
        <w:t> </w:t>
      </w:r>
      <w:r>
        <w:rPr/>
        <w:t>for</w:t>
      </w:r>
      <w:r>
        <w:rPr>
          <w:spacing w:val="-4"/>
        </w:rPr>
        <w:t> </w:t>
      </w:r>
      <w:r>
        <w:rPr/>
        <w:t>Partnership</w:t>
      </w:r>
      <w:r>
        <w:rPr>
          <w:spacing w:val="-2"/>
        </w:rPr>
        <w:t> </w:t>
      </w:r>
      <w:r>
        <w:rPr/>
        <w:t>Plan</w:t>
      </w:r>
      <w:r>
        <w:rPr>
          <w:spacing w:val="-4"/>
        </w:rPr>
        <w:t> </w:t>
      </w:r>
      <w:r>
        <w:rPr/>
        <w:t>enrollees.</w:t>
      </w:r>
      <w:r>
        <w:rPr>
          <w:spacing w:val="-3"/>
        </w:rPr>
        <w:t> </w:t>
      </w:r>
      <w:r>
        <w:rPr/>
        <w:t>Any</w:t>
      </w:r>
      <w:r>
        <w:rPr>
          <w:spacing w:val="-8"/>
        </w:rPr>
        <w:t> </w:t>
      </w:r>
      <w:r>
        <w:rPr/>
        <w:t>such limitation will be consistent with 42 CFR 438.56(c).</w:t>
      </w:r>
    </w:p>
    <w:p>
      <w:pPr>
        <w:pStyle w:val="BodyText"/>
        <w:spacing w:before="161"/>
        <w:ind w:left="2040" w:right="1059"/>
      </w:pPr>
      <w:r>
        <w:rPr/>
        <w:drawing>
          <wp:anchor distT="0" distB="0" distL="0" distR="0" allowOverlap="1" layoutInCell="1" locked="0" behindDoc="0" simplePos="0" relativeHeight="15851008">
            <wp:simplePos x="0" y="0"/>
            <wp:positionH relativeFrom="page">
              <wp:posOffset>1819655</wp:posOffset>
            </wp:positionH>
            <wp:positionV relativeFrom="paragraph">
              <wp:posOffset>134786</wp:posOffset>
            </wp:positionV>
            <wp:extent cx="115823" cy="115823"/>
            <wp:effectExtent l="0" t="0" r="0" b="0"/>
            <wp:wrapNone/>
            <wp:docPr id="249" name="Image 249"/>
            <wp:cNvGraphicFramePr>
              <a:graphicFrameLocks/>
            </wp:cNvGraphicFramePr>
            <a:graphic>
              <a:graphicData uri="http://schemas.openxmlformats.org/drawingml/2006/picture">
                <pic:pic>
                  <pic:nvPicPr>
                    <pic:cNvPr id="249" name="Image 249"/>
                    <pic:cNvPicPr/>
                  </pic:nvPicPr>
                  <pic:blipFill>
                    <a:blip r:embed="rId62" cstate="print"/>
                    <a:stretch>
                      <a:fillRect/>
                    </a:stretch>
                  </pic:blipFill>
                  <pic:spPr>
                    <a:xfrm>
                      <a:off x="0" y="0"/>
                      <a:ext cx="115823" cy="115823"/>
                    </a:xfrm>
                    <a:prstGeom prst="rect">
                      <a:avLst/>
                    </a:prstGeom>
                  </pic:spPr>
                </pic:pic>
              </a:graphicData>
            </a:graphic>
          </wp:anchor>
        </w:drawing>
      </w:r>
      <w:bookmarkStart w:name="ii. Partnership Plans may have certain a" w:id="407"/>
      <w:bookmarkEnd w:id="407"/>
      <w:r>
        <w:rPr/>
      </w:r>
      <w:r>
        <w:rPr/>
        <w:t>Partnership Plans may have certain additional requirements such as requirements</w:t>
      </w:r>
      <w:r>
        <w:rPr>
          <w:spacing w:val="-5"/>
        </w:rPr>
        <w:t> </w:t>
      </w:r>
      <w:r>
        <w:rPr/>
        <w:t>to</w:t>
      </w:r>
      <w:r>
        <w:rPr>
          <w:spacing w:val="-5"/>
        </w:rPr>
        <w:t> </w:t>
      </w:r>
      <w:r>
        <w:rPr/>
        <w:t>partner</w:t>
      </w:r>
      <w:r>
        <w:rPr>
          <w:spacing w:val="-4"/>
        </w:rPr>
        <w:t> </w:t>
      </w:r>
      <w:r>
        <w:rPr/>
        <w:t>with</w:t>
      </w:r>
      <w:r>
        <w:rPr>
          <w:spacing w:val="-5"/>
        </w:rPr>
        <w:t> </w:t>
      </w:r>
      <w:r>
        <w:rPr/>
        <w:t>an</w:t>
      </w:r>
      <w:r>
        <w:rPr>
          <w:spacing w:val="-5"/>
        </w:rPr>
        <w:t> </w:t>
      </w:r>
      <w:r>
        <w:rPr/>
        <w:t>ACO-based</w:t>
      </w:r>
      <w:r>
        <w:rPr>
          <w:spacing w:val="-5"/>
        </w:rPr>
        <w:t> </w:t>
      </w:r>
      <w:r>
        <w:rPr/>
        <w:t>provider</w:t>
      </w:r>
      <w:r>
        <w:rPr>
          <w:spacing w:val="-6"/>
        </w:rPr>
        <w:t> </w:t>
      </w:r>
      <w:r>
        <w:rPr/>
        <w:t>network</w:t>
      </w:r>
      <w:r>
        <w:rPr>
          <w:spacing w:val="-5"/>
        </w:rPr>
        <w:t> </w:t>
      </w:r>
      <w:r>
        <w:rPr/>
        <w:t>to</w:t>
      </w:r>
      <w:r>
        <w:rPr>
          <w:spacing w:val="-5"/>
        </w:rPr>
        <w:t> </w:t>
      </w:r>
      <w:r>
        <w:rPr/>
        <w:t>deliver services and coordinate care for enrollees, and to hold such ACO and</w:t>
      </w:r>
    </w:p>
    <w:p>
      <w:pPr>
        <w:pStyle w:val="BodyText"/>
        <w:spacing w:before="10"/>
        <w:rPr>
          <w:sz w:val="15"/>
        </w:rPr>
      </w:pPr>
      <w:r>
        <w:rPr/>
        <mc:AlternateContent>
          <mc:Choice Requires="wps">
            <w:drawing>
              <wp:anchor distT="0" distB="0" distL="0" distR="0" allowOverlap="1" layoutInCell="1" locked="0" behindDoc="1" simplePos="0" relativeHeight="487705600">
                <wp:simplePos x="0" y="0"/>
                <wp:positionH relativeFrom="page">
                  <wp:posOffset>914400</wp:posOffset>
                </wp:positionH>
                <wp:positionV relativeFrom="paragraph">
                  <wp:posOffset>131666</wp:posOffset>
                </wp:positionV>
                <wp:extent cx="1828800" cy="7620"/>
                <wp:effectExtent l="0" t="0" r="0" b="0"/>
                <wp:wrapTopAndBottom/>
                <wp:docPr id="250" name="Graphic 250"/>
                <wp:cNvGraphicFramePr>
                  <a:graphicFrameLocks/>
                </wp:cNvGraphicFramePr>
                <a:graphic>
                  <a:graphicData uri="http://schemas.microsoft.com/office/word/2010/wordprocessingShape">
                    <wps:wsp>
                      <wps:cNvPr id="250" name="Graphic 250"/>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0.367461pt;width:144pt;height:.6pt;mso-position-horizontal-relative:page;mso-position-vertical-relative:paragraph;z-index:-15610880;mso-wrap-distance-left:0;mso-wrap-distance-right:0" id="docshape22" filled="true" fillcolor="#000000" stroked="false">
                <v:fill type="solid"/>
                <w10:wrap type="topAndBottom"/>
              </v:rect>
            </w:pict>
          </mc:Fallback>
        </mc:AlternateContent>
      </w:r>
    </w:p>
    <w:p>
      <w:pPr>
        <w:pStyle w:val="BodyText"/>
        <w:spacing w:before="5"/>
        <w:rPr>
          <w:sz w:val="14"/>
        </w:rPr>
      </w:pPr>
    </w:p>
    <w:p>
      <w:pPr>
        <w:spacing w:before="98"/>
        <w:ind w:left="240" w:right="0" w:firstLine="0"/>
        <w:jc w:val="left"/>
        <w:rPr>
          <w:sz w:val="20"/>
        </w:rPr>
      </w:pPr>
      <w:bookmarkStart w:name="_bookmark6" w:id="408"/>
      <w:bookmarkEnd w:id="408"/>
      <w:r>
        <w:rPr/>
      </w:r>
      <w:r>
        <w:rPr>
          <w:sz w:val="20"/>
          <w:vertAlign w:val="superscript"/>
        </w:rPr>
        <w:t>7</w:t>
      </w:r>
      <w:r>
        <w:rPr>
          <w:spacing w:val="-5"/>
          <w:sz w:val="20"/>
          <w:vertAlign w:val="baseline"/>
        </w:rPr>
        <w:t> </w:t>
      </w:r>
      <w:r>
        <w:rPr>
          <w:sz w:val="20"/>
          <w:vertAlign w:val="baseline"/>
        </w:rPr>
        <w:t>See</w:t>
      </w:r>
      <w:r>
        <w:rPr>
          <w:spacing w:val="-5"/>
          <w:sz w:val="20"/>
          <w:vertAlign w:val="baseline"/>
        </w:rPr>
        <w:t> </w:t>
      </w:r>
      <w:r>
        <w:rPr>
          <w:sz w:val="20"/>
          <w:vertAlign w:val="baseline"/>
        </w:rPr>
        <w:t>Appendix</w:t>
      </w:r>
      <w:r>
        <w:rPr>
          <w:spacing w:val="-6"/>
          <w:sz w:val="20"/>
          <w:vertAlign w:val="baseline"/>
        </w:rPr>
        <w:t> </w:t>
      </w:r>
      <w:r>
        <w:rPr>
          <w:sz w:val="20"/>
          <w:vertAlign w:val="baseline"/>
        </w:rPr>
        <w:t>C</w:t>
      </w:r>
      <w:r>
        <w:rPr>
          <w:spacing w:val="-5"/>
          <w:sz w:val="20"/>
          <w:vertAlign w:val="baseline"/>
        </w:rPr>
        <w:t> </w:t>
      </w:r>
      <w:r>
        <w:rPr>
          <w:sz w:val="20"/>
          <w:vertAlign w:val="baseline"/>
        </w:rPr>
        <w:t>of</w:t>
      </w:r>
      <w:r>
        <w:rPr>
          <w:spacing w:val="-7"/>
          <w:sz w:val="20"/>
          <w:vertAlign w:val="baseline"/>
        </w:rPr>
        <w:t> </w:t>
      </w:r>
      <w:r>
        <w:rPr>
          <w:sz w:val="20"/>
          <w:vertAlign w:val="baseline"/>
        </w:rPr>
        <w:t>MassHealth</w:t>
      </w:r>
      <w:r>
        <w:rPr>
          <w:spacing w:val="-5"/>
          <w:sz w:val="20"/>
          <w:vertAlign w:val="baseline"/>
        </w:rPr>
        <w:t> </w:t>
      </w:r>
      <w:r>
        <w:rPr>
          <w:sz w:val="20"/>
          <w:vertAlign w:val="baseline"/>
        </w:rPr>
        <w:t>MCO</w:t>
      </w:r>
      <w:r>
        <w:rPr>
          <w:spacing w:val="-5"/>
          <w:sz w:val="20"/>
          <w:vertAlign w:val="baseline"/>
        </w:rPr>
        <w:t> </w:t>
      </w:r>
      <w:r>
        <w:rPr>
          <w:sz w:val="20"/>
          <w:vertAlign w:val="baseline"/>
        </w:rPr>
        <w:t>and</w:t>
      </w:r>
      <w:r>
        <w:rPr>
          <w:spacing w:val="-1"/>
          <w:sz w:val="20"/>
          <w:vertAlign w:val="baseline"/>
        </w:rPr>
        <w:t> </w:t>
      </w:r>
      <w:r>
        <w:rPr>
          <w:sz w:val="20"/>
          <w:vertAlign w:val="baseline"/>
        </w:rPr>
        <w:t>ACPP</w:t>
      </w:r>
      <w:r>
        <w:rPr>
          <w:spacing w:val="-3"/>
          <w:sz w:val="20"/>
          <w:vertAlign w:val="baseline"/>
        </w:rPr>
        <w:t> </w:t>
      </w:r>
      <w:r>
        <w:rPr>
          <w:sz w:val="20"/>
          <w:vertAlign w:val="baseline"/>
        </w:rPr>
        <w:t>contracts</w:t>
      </w:r>
      <w:r>
        <w:rPr>
          <w:spacing w:val="-6"/>
          <w:sz w:val="20"/>
          <w:vertAlign w:val="baseline"/>
        </w:rPr>
        <w:t> </w:t>
      </w:r>
      <w:r>
        <w:rPr>
          <w:sz w:val="20"/>
          <w:vertAlign w:val="baseline"/>
        </w:rPr>
        <w:t>for</w:t>
      </w:r>
      <w:r>
        <w:rPr>
          <w:spacing w:val="-4"/>
          <w:sz w:val="20"/>
          <w:vertAlign w:val="baseline"/>
        </w:rPr>
        <w:t> </w:t>
      </w:r>
      <w:r>
        <w:rPr>
          <w:sz w:val="20"/>
          <w:vertAlign w:val="baseline"/>
        </w:rPr>
        <w:t>a</w:t>
      </w:r>
      <w:r>
        <w:rPr>
          <w:spacing w:val="-4"/>
          <w:sz w:val="20"/>
          <w:vertAlign w:val="baseline"/>
        </w:rPr>
        <w:t> </w:t>
      </w:r>
      <w:r>
        <w:rPr>
          <w:sz w:val="20"/>
          <w:vertAlign w:val="baseline"/>
        </w:rPr>
        <w:t>discussion</w:t>
      </w:r>
      <w:r>
        <w:rPr>
          <w:spacing w:val="-6"/>
          <w:sz w:val="20"/>
          <w:vertAlign w:val="baseline"/>
        </w:rPr>
        <w:t> </w:t>
      </w:r>
      <w:r>
        <w:rPr>
          <w:sz w:val="20"/>
          <w:vertAlign w:val="baseline"/>
        </w:rPr>
        <w:t>of</w:t>
      </w:r>
      <w:r>
        <w:rPr>
          <w:spacing w:val="-7"/>
          <w:sz w:val="20"/>
          <w:vertAlign w:val="baseline"/>
        </w:rPr>
        <w:t> </w:t>
      </w:r>
      <w:r>
        <w:rPr>
          <w:sz w:val="20"/>
          <w:vertAlign w:val="baseline"/>
        </w:rPr>
        <w:t>services</w:t>
      </w:r>
      <w:r>
        <w:rPr>
          <w:spacing w:val="-5"/>
          <w:sz w:val="20"/>
          <w:vertAlign w:val="baseline"/>
        </w:rPr>
        <w:t> </w:t>
      </w:r>
      <w:r>
        <w:rPr>
          <w:sz w:val="20"/>
          <w:vertAlign w:val="baseline"/>
        </w:rPr>
        <w:t>and</w:t>
      </w:r>
      <w:r>
        <w:rPr>
          <w:spacing w:val="-2"/>
          <w:sz w:val="20"/>
          <w:vertAlign w:val="baseline"/>
        </w:rPr>
        <w:t> </w:t>
      </w:r>
      <w:r>
        <w:rPr>
          <w:sz w:val="20"/>
          <w:vertAlign w:val="baseline"/>
        </w:rPr>
        <w:t>the</w:t>
      </w:r>
      <w:r>
        <w:rPr>
          <w:spacing w:val="-5"/>
          <w:sz w:val="20"/>
          <w:vertAlign w:val="baseline"/>
        </w:rPr>
        <w:t> </w:t>
      </w:r>
      <w:r>
        <w:rPr>
          <w:sz w:val="20"/>
          <w:vertAlign w:val="baseline"/>
        </w:rPr>
        <w:t>rate</w:t>
      </w:r>
      <w:r>
        <w:rPr>
          <w:spacing w:val="-2"/>
          <w:sz w:val="20"/>
          <w:vertAlign w:val="baseline"/>
        </w:rPr>
        <w:t> methodology.</w:t>
      </w:r>
    </w:p>
    <w:p>
      <w:pPr>
        <w:spacing w:after="0"/>
        <w:jc w:val="left"/>
        <w:rPr>
          <w:sz w:val="20"/>
        </w:rPr>
        <w:sectPr>
          <w:pgSz w:w="12240" w:h="15840"/>
          <w:pgMar w:header="0" w:footer="1201" w:top="1360" w:bottom="1400" w:left="1200" w:right="400"/>
        </w:sectPr>
      </w:pPr>
    </w:p>
    <w:p>
      <w:pPr>
        <w:pStyle w:val="BodyText"/>
        <w:spacing w:before="79"/>
        <w:ind w:left="2040" w:right="1418"/>
      </w:pPr>
      <w:r>
        <w:rPr/>
        <w:t>providers financially accountable for the cost and quality of care under a MassHealth-approved</w:t>
      </w:r>
      <w:r>
        <w:rPr>
          <w:spacing w:val="-5"/>
        </w:rPr>
        <w:t> </w:t>
      </w:r>
      <w:r>
        <w:rPr/>
        <w:t>framework</w:t>
      </w:r>
      <w:r>
        <w:rPr>
          <w:spacing w:val="-5"/>
        </w:rPr>
        <w:t> </w:t>
      </w:r>
      <w:r>
        <w:rPr/>
        <w:t>that</w:t>
      </w:r>
      <w:r>
        <w:rPr>
          <w:spacing w:val="-5"/>
        </w:rPr>
        <w:t> </w:t>
      </w:r>
      <w:r>
        <w:rPr/>
        <w:t>may</w:t>
      </w:r>
      <w:r>
        <w:rPr>
          <w:spacing w:val="-10"/>
        </w:rPr>
        <w:t> </w:t>
      </w:r>
      <w:r>
        <w:rPr/>
        <w:t>include</w:t>
      </w:r>
      <w:r>
        <w:rPr>
          <w:spacing w:val="-4"/>
        </w:rPr>
        <w:t> </w:t>
      </w:r>
      <w:r>
        <w:rPr/>
        <w:t>minimum</w:t>
      </w:r>
      <w:r>
        <w:rPr>
          <w:spacing w:val="-5"/>
        </w:rPr>
        <w:t> </w:t>
      </w:r>
      <w:r>
        <w:rPr/>
        <w:t>levels</w:t>
      </w:r>
      <w:r>
        <w:rPr>
          <w:spacing w:val="-5"/>
        </w:rPr>
        <w:t> </w:t>
      </w:r>
      <w:r>
        <w:rPr/>
        <w:t>and/or frequency of risk sharing.</w:t>
      </w:r>
    </w:p>
    <w:p>
      <w:pPr>
        <w:pStyle w:val="BodyText"/>
        <w:spacing w:before="161"/>
        <w:ind w:left="2040" w:right="1059"/>
      </w:pPr>
      <w:r>
        <w:rPr/>
        <w:drawing>
          <wp:anchor distT="0" distB="0" distL="0" distR="0" allowOverlap="1" layoutInCell="1" locked="0" behindDoc="0" simplePos="0" relativeHeight="15851520">
            <wp:simplePos x="0" y="0"/>
            <wp:positionH relativeFrom="page">
              <wp:posOffset>1778507</wp:posOffset>
            </wp:positionH>
            <wp:positionV relativeFrom="paragraph">
              <wp:posOffset>134787</wp:posOffset>
            </wp:positionV>
            <wp:extent cx="158495" cy="115823"/>
            <wp:effectExtent l="0" t="0" r="0" b="0"/>
            <wp:wrapNone/>
            <wp:docPr id="251" name="Image 251"/>
            <wp:cNvGraphicFramePr>
              <a:graphicFrameLocks/>
            </wp:cNvGraphicFramePr>
            <a:graphic>
              <a:graphicData uri="http://schemas.openxmlformats.org/drawingml/2006/picture">
                <pic:pic>
                  <pic:nvPicPr>
                    <pic:cNvPr id="251" name="Image 251"/>
                    <pic:cNvPicPr/>
                  </pic:nvPicPr>
                  <pic:blipFill>
                    <a:blip r:embed="rId65" cstate="print"/>
                    <a:stretch>
                      <a:fillRect/>
                    </a:stretch>
                  </pic:blipFill>
                  <pic:spPr>
                    <a:xfrm>
                      <a:off x="0" y="0"/>
                      <a:ext cx="158495" cy="115823"/>
                    </a:xfrm>
                    <a:prstGeom prst="rect">
                      <a:avLst/>
                    </a:prstGeom>
                  </pic:spPr>
                </pic:pic>
              </a:graphicData>
            </a:graphic>
          </wp:anchor>
        </w:drawing>
      </w:r>
      <w:bookmarkStart w:name="iii. As of April 1, 2023, Partnership Pl" w:id="409"/>
      <w:bookmarkEnd w:id="409"/>
      <w:r>
        <w:rPr/>
      </w:r>
      <w:r>
        <w:rPr/>
        <w:t>As of April 1, 2023, Partnership Plans may be required to contract with Community</w:t>
      </w:r>
      <w:r>
        <w:rPr>
          <w:spacing w:val="-11"/>
        </w:rPr>
        <w:t> </w:t>
      </w:r>
      <w:r>
        <w:rPr/>
        <w:t>Partners</w:t>
      </w:r>
      <w:r>
        <w:rPr>
          <w:spacing w:val="-4"/>
        </w:rPr>
        <w:t> </w:t>
      </w:r>
      <w:r>
        <w:rPr/>
        <w:t>for</w:t>
      </w:r>
      <w:r>
        <w:rPr>
          <w:spacing w:val="-3"/>
        </w:rPr>
        <w:t> </w:t>
      </w:r>
      <w:r>
        <w:rPr/>
        <w:t>the</w:t>
      </w:r>
      <w:r>
        <w:rPr>
          <w:spacing w:val="-5"/>
        </w:rPr>
        <w:t> </w:t>
      </w:r>
      <w:r>
        <w:rPr/>
        <w:t>provision</w:t>
      </w:r>
      <w:r>
        <w:rPr>
          <w:spacing w:val="-4"/>
        </w:rPr>
        <w:t> </w:t>
      </w:r>
      <w:r>
        <w:rPr/>
        <w:t>of</w:t>
      </w:r>
      <w:r>
        <w:rPr>
          <w:spacing w:val="-5"/>
        </w:rPr>
        <w:t> </w:t>
      </w:r>
      <w:r>
        <w:rPr/>
        <w:t>care</w:t>
      </w:r>
      <w:r>
        <w:rPr>
          <w:spacing w:val="-5"/>
        </w:rPr>
        <w:t> </w:t>
      </w:r>
      <w:r>
        <w:rPr/>
        <w:t>coordination</w:t>
      </w:r>
      <w:r>
        <w:rPr>
          <w:spacing w:val="-4"/>
        </w:rPr>
        <w:t> </w:t>
      </w:r>
      <w:r>
        <w:rPr/>
        <w:t>to</w:t>
      </w:r>
      <w:r>
        <w:rPr>
          <w:spacing w:val="-4"/>
        </w:rPr>
        <w:t> </w:t>
      </w:r>
      <w:r>
        <w:rPr/>
        <w:t>certain</w:t>
      </w:r>
      <w:r>
        <w:rPr>
          <w:spacing w:val="-4"/>
        </w:rPr>
        <w:t> </w:t>
      </w:r>
      <w:r>
        <w:rPr/>
        <w:t>enrollees with behavioral health or LTSS needs.</w:t>
      </w:r>
      <w:r>
        <w:rPr>
          <w:spacing w:val="40"/>
        </w:rPr>
        <w:t> </w:t>
      </w:r>
      <w:r>
        <w:rPr/>
        <w:t>MassHealth may specify the administrative rates and payment methodologies through which Partnership Plans pay CPs.</w:t>
      </w:r>
      <w:r>
        <w:rPr>
          <w:spacing w:val="40"/>
        </w:rPr>
        <w:t> </w:t>
      </w:r>
      <w:r>
        <w:rPr/>
        <w:t>Payments to CPs are permissible as an administrative cost within the risk-based capitiation rates paid to the Partnership Plans.</w:t>
      </w:r>
      <w:r>
        <w:rPr>
          <w:spacing w:val="40"/>
        </w:rPr>
        <w:t> </w:t>
      </w:r>
      <w:r>
        <w:rPr>
          <w:color w:val="1D1C1D"/>
        </w:rPr>
        <w:t>See STC</w:t>
      </w:r>
    </w:p>
    <w:p>
      <w:pPr>
        <w:pStyle w:val="BodyText"/>
        <w:ind w:left="2039"/>
      </w:pPr>
      <w:r>
        <w:rPr>
          <w:color w:val="1D1C1D"/>
        </w:rPr>
        <w:t>8.11</w:t>
      </w:r>
      <w:r>
        <w:rPr>
          <w:color w:val="1D1C1D"/>
          <w:spacing w:val="-1"/>
        </w:rPr>
        <w:t> </w:t>
      </w:r>
      <w:r>
        <w:rPr>
          <w:color w:val="1D1C1D"/>
        </w:rPr>
        <w:t>for</w:t>
      </w:r>
      <w:r>
        <w:rPr>
          <w:color w:val="1D1C1D"/>
          <w:spacing w:val="-2"/>
        </w:rPr>
        <w:t> </w:t>
      </w:r>
      <w:r>
        <w:rPr>
          <w:color w:val="1D1C1D"/>
        </w:rPr>
        <w:t>further</w:t>
      </w:r>
      <w:r>
        <w:rPr>
          <w:color w:val="1D1C1D"/>
          <w:spacing w:val="-1"/>
        </w:rPr>
        <w:t> </w:t>
      </w:r>
      <w:r>
        <w:rPr>
          <w:color w:val="1D1C1D"/>
          <w:spacing w:val="-2"/>
        </w:rPr>
        <w:t>details.</w:t>
      </w:r>
    </w:p>
    <w:p>
      <w:pPr>
        <w:pStyle w:val="BodyText"/>
        <w:spacing w:before="158"/>
        <w:ind w:left="2040" w:right="1059"/>
      </w:pPr>
      <w:r>
        <w:rPr/>
        <w:drawing>
          <wp:anchor distT="0" distB="0" distL="0" distR="0" allowOverlap="1" layoutInCell="1" locked="0" behindDoc="0" simplePos="0" relativeHeight="15852032">
            <wp:simplePos x="0" y="0"/>
            <wp:positionH relativeFrom="page">
              <wp:posOffset>1786127</wp:posOffset>
            </wp:positionH>
            <wp:positionV relativeFrom="paragraph">
              <wp:posOffset>132881</wp:posOffset>
            </wp:positionV>
            <wp:extent cx="149339" cy="115823"/>
            <wp:effectExtent l="0" t="0" r="0" b="0"/>
            <wp:wrapNone/>
            <wp:docPr id="252" name="Image 252"/>
            <wp:cNvGraphicFramePr>
              <a:graphicFrameLocks/>
            </wp:cNvGraphicFramePr>
            <a:graphic>
              <a:graphicData uri="http://schemas.openxmlformats.org/drawingml/2006/picture">
                <pic:pic>
                  <pic:nvPicPr>
                    <pic:cNvPr id="252" name="Image 252"/>
                    <pic:cNvPicPr/>
                  </pic:nvPicPr>
                  <pic:blipFill>
                    <a:blip r:embed="rId118" cstate="print"/>
                    <a:stretch>
                      <a:fillRect/>
                    </a:stretch>
                  </pic:blipFill>
                  <pic:spPr>
                    <a:xfrm>
                      <a:off x="0" y="0"/>
                      <a:ext cx="149339" cy="115823"/>
                    </a:xfrm>
                    <a:prstGeom prst="rect">
                      <a:avLst/>
                    </a:prstGeom>
                  </pic:spPr>
                </pic:pic>
              </a:graphicData>
            </a:graphic>
          </wp:anchor>
        </w:drawing>
      </w:r>
      <w:bookmarkStart w:name="iv. MassHealth will contract with Partne" w:id="410"/>
      <w:bookmarkEnd w:id="410"/>
      <w:r>
        <w:rPr/>
      </w:r>
      <w:r>
        <w:rPr/>
        <w:t>MassHealth</w:t>
      </w:r>
      <w:r>
        <w:rPr>
          <w:spacing w:val="-5"/>
        </w:rPr>
        <w:t> </w:t>
      </w:r>
      <w:r>
        <w:rPr/>
        <w:t>will</w:t>
      </w:r>
      <w:r>
        <w:rPr>
          <w:spacing w:val="-5"/>
        </w:rPr>
        <w:t> </w:t>
      </w:r>
      <w:r>
        <w:rPr/>
        <w:t>contract</w:t>
      </w:r>
      <w:r>
        <w:rPr>
          <w:spacing w:val="-5"/>
        </w:rPr>
        <w:t> </w:t>
      </w:r>
      <w:r>
        <w:rPr/>
        <w:t>with</w:t>
      </w:r>
      <w:r>
        <w:rPr>
          <w:spacing w:val="-5"/>
        </w:rPr>
        <w:t> </w:t>
      </w:r>
      <w:r>
        <w:rPr/>
        <w:t>Partnership</w:t>
      </w:r>
      <w:r>
        <w:rPr>
          <w:spacing w:val="-5"/>
        </w:rPr>
        <w:t> </w:t>
      </w:r>
      <w:r>
        <w:rPr/>
        <w:t>Plans</w:t>
      </w:r>
      <w:r>
        <w:rPr>
          <w:spacing w:val="-5"/>
        </w:rPr>
        <w:t> </w:t>
      </w:r>
      <w:r>
        <w:rPr/>
        <w:t>selectively.</w:t>
      </w:r>
      <w:r>
        <w:rPr>
          <w:spacing w:val="-5"/>
        </w:rPr>
        <w:t> </w:t>
      </w:r>
      <w:r>
        <w:rPr/>
        <w:t>Partnership</w:t>
      </w:r>
      <w:r>
        <w:rPr>
          <w:spacing w:val="-5"/>
        </w:rPr>
        <w:t> </w:t>
      </w:r>
      <w:r>
        <w:rPr/>
        <w:t>Plans are MCOs under 42 CFR Part 438.</w:t>
      </w:r>
    </w:p>
    <w:p>
      <w:pPr>
        <w:pStyle w:val="BodyText"/>
        <w:spacing w:before="202"/>
        <w:ind w:left="1411" w:right="1059"/>
      </w:pPr>
      <w:r>
        <w:rPr/>
        <w:drawing>
          <wp:anchor distT="0" distB="0" distL="0" distR="0" allowOverlap="1" layoutInCell="1" locked="0" behindDoc="0" simplePos="0" relativeHeight="15852544">
            <wp:simplePos x="0" y="0"/>
            <wp:positionH relativeFrom="page">
              <wp:posOffset>1431036</wp:posOffset>
            </wp:positionH>
            <wp:positionV relativeFrom="paragraph">
              <wp:posOffset>195873</wp:posOffset>
            </wp:positionV>
            <wp:extent cx="96011" cy="80771"/>
            <wp:effectExtent l="0" t="0" r="0" b="0"/>
            <wp:wrapNone/>
            <wp:docPr id="253" name="Image 253"/>
            <wp:cNvGraphicFramePr>
              <a:graphicFrameLocks/>
            </wp:cNvGraphicFramePr>
            <a:graphic>
              <a:graphicData uri="http://schemas.openxmlformats.org/drawingml/2006/picture">
                <pic:pic>
                  <pic:nvPicPr>
                    <pic:cNvPr id="253" name="Image 253"/>
                    <pic:cNvPicPr/>
                  </pic:nvPicPr>
                  <pic:blipFill>
                    <a:blip r:embed="rId35" cstate="print"/>
                    <a:stretch>
                      <a:fillRect/>
                    </a:stretch>
                  </pic:blipFill>
                  <pic:spPr>
                    <a:xfrm>
                      <a:off x="0" y="0"/>
                      <a:ext cx="96011" cy="80771"/>
                    </a:xfrm>
                    <a:prstGeom prst="rect">
                      <a:avLst/>
                    </a:prstGeom>
                  </pic:spPr>
                </pic:pic>
              </a:graphicData>
            </a:graphic>
          </wp:anchor>
        </w:drawing>
      </w:r>
      <w:bookmarkStart w:name="c. State Oversight of Medical Loss Ratio" w:id="411"/>
      <w:bookmarkEnd w:id="411"/>
      <w:r>
        <w:rPr/>
      </w:r>
      <w:r>
        <w:rPr>
          <w:b/>
        </w:rPr>
        <w:t>State Oversight of Medical Loss Ratio (MLR): </w:t>
      </w:r>
      <w:r>
        <w:rPr/>
        <w:t>For risk-based plans under the demonstration</w:t>
      </w:r>
      <w:r>
        <w:rPr>
          <w:spacing w:val="-3"/>
        </w:rPr>
        <w:t> </w:t>
      </w:r>
      <w:r>
        <w:rPr/>
        <w:t>(i.e.,</w:t>
      </w:r>
      <w:r>
        <w:rPr>
          <w:spacing w:val="-3"/>
        </w:rPr>
        <w:t> </w:t>
      </w:r>
      <w:r>
        <w:rPr/>
        <w:t>MCOs,</w:t>
      </w:r>
      <w:r>
        <w:rPr>
          <w:spacing w:val="-3"/>
        </w:rPr>
        <w:t> </w:t>
      </w:r>
      <w:r>
        <w:rPr/>
        <w:t>and</w:t>
      </w:r>
      <w:r>
        <w:rPr>
          <w:spacing w:val="-3"/>
        </w:rPr>
        <w:t> </w:t>
      </w:r>
      <w:r>
        <w:rPr/>
        <w:t>the</w:t>
      </w:r>
      <w:r>
        <w:rPr>
          <w:spacing w:val="-4"/>
        </w:rPr>
        <w:t> </w:t>
      </w:r>
      <w:r>
        <w:rPr/>
        <w:t>PIHP),</w:t>
      </w:r>
      <w:r>
        <w:rPr>
          <w:spacing w:val="-3"/>
        </w:rPr>
        <w:t> </w:t>
      </w:r>
      <w:r>
        <w:rPr/>
        <w:t>the</w:t>
      </w:r>
      <w:r>
        <w:rPr>
          <w:spacing w:val="-4"/>
        </w:rPr>
        <w:t> </w:t>
      </w:r>
      <w:r>
        <w:rPr/>
        <w:t>Commonwealth</w:t>
      </w:r>
      <w:r>
        <w:rPr>
          <w:spacing w:val="-3"/>
        </w:rPr>
        <w:t> </w:t>
      </w:r>
      <w:r>
        <w:rPr/>
        <w:t>must</w:t>
      </w:r>
      <w:r>
        <w:rPr>
          <w:spacing w:val="-3"/>
        </w:rPr>
        <w:t> </w:t>
      </w:r>
      <w:r>
        <w:rPr/>
        <w:t>submit</w:t>
      </w:r>
      <w:r>
        <w:rPr>
          <w:spacing w:val="-3"/>
        </w:rPr>
        <w:t> </w:t>
      </w:r>
      <w:r>
        <w:rPr/>
        <w:t>the</w:t>
      </w:r>
      <w:r>
        <w:rPr>
          <w:spacing w:val="-4"/>
        </w:rPr>
        <w:t> </w:t>
      </w:r>
      <w:r>
        <w:rPr/>
        <w:t>plan generated MLR reports detailed in 42 CFR 438.8(k) as well as any other documentation used to determine compliance with 42 CFR 438.8(k) to CMS at </w:t>
      </w:r>
      <w:hyperlink r:id="rId135">
        <w:r>
          <w:rPr>
            <w:color w:val="0000FF"/>
            <w:spacing w:val="-2"/>
            <w:u w:val="single" w:color="0000FF"/>
          </w:rPr>
          <w:t>DMCPMLR@cms.hhs.gov</w:t>
        </w:r>
      </w:hyperlink>
      <w:r>
        <w:rPr>
          <w:spacing w:val="-2"/>
        </w:rPr>
        <w:t>.</w:t>
      </w:r>
    </w:p>
    <w:p>
      <w:pPr>
        <w:pStyle w:val="BodyText"/>
        <w:spacing w:before="7"/>
        <w:rPr>
          <w:sz w:val="20"/>
        </w:rPr>
      </w:pPr>
    </w:p>
    <w:p>
      <w:pPr>
        <w:pStyle w:val="BodyText"/>
        <w:spacing w:before="1"/>
        <w:ind w:left="2039" w:right="1066"/>
      </w:pPr>
      <w:r>
        <w:rPr/>
        <w:drawing>
          <wp:anchor distT="0" distB="0" distL="0" distR="0" allowOverlap="1" layoutInCell="1" locked="0" behindDoc="0" simplePos="0" relativeHeight="15853056">
            <wp:simplePos x="0" y="0"/>
            <wp:positionH relativeFrom="page">
              <wp:posOffset>1862327</wp:posOffset>
            </wp:positionH>
            <wp:positionV relativeFrom="paragraph">
              <wp:posOffset>33186</wp:posOffset>
            </wp:positionV>
            <wp:extent cx="73151" cy="115823"/>
            <wp:effectExtent l="0" t="0" r="0" b="0"/>
            <wp:wrapNone/>
            <wp:docPr id="254" name="Image 254"/>
            <wp:cNvGraphicFramePr>
              <a:graphicFrameLocks/>
            </wp:cNvGraphicFramePr>
            <a:graphic>
              <a:graphicData uri="http://schemas.openxmlformats.org/drawingml/2006/picture">
                <pic:pic>
                  <pic:nvPicPr>
                    <pic:cNvPr id="254" name="Image 254"/>
                    <pic:cNvPicPr/>
                  </pic:nvPicPr>
                  <pic:blipFill>
                    <a:blip r:embed="rId126" cstate="print"/>
                    <a:stretch>
                      <a:fillRect/>
                    </a:stretch>
                  </pic:blipFill>
                  <pic:spPr>
                    <a:xfrm>
                      <a:off x="0" y="0"/>
                      <a:ext cx="73151" cy="115823"/>
                    </a:xfrm>
                    <a:prstGeom prst="rect">
                      <a:avLst/>
                    </a:prstGeom>
                  </pic:spPr>
                </pic:pic>
              </a:graphicData>
            </a:graphic>
          </wp:anchor>
        </w:drawing>
      </w:r>
      <w:bookmarkStart w:name="i. For managed care plans that delegate " w:id="412"/>
      <w:bookmarkEnd w:id="412"/>
      <w:r>
        <w:rPr/>
      </w:r>
      <w:r>
        <w:rPr/>
        <w:t>For managed care plans that delegate risk to subcontractors, the Commonwealth’s review of compliance with 42 CFR 438.8(k) must consider MLR requirements related to third-party vendors; see </w:t>
      </w:r>
      <w:hyperlink r:id="rId136">
        <w:r>
          <w:rPr>
            <w:color w:val="0000FF"/>
            <w:spacing w:val="-2"/>
            <w:u w:val="single" w:color="0000FF"/>
          </w:rPr>
          <w:t>https://www.medicaid.gov/federal-policy-guidance/downloads/cib051919.pdf</w:t>
        </w:r>
        <w:r>
          <w:rPr>
            <w:spacing w:val="-2"/>
          </w:rPr>
          <w:t>.</w:t>
        </w:r>
      </w:hyperlink>
      <w:r>
        <w:rPr>
          <w:spacing w:val="-2"/>
        </w:rPr>
        <w:t> </w:t>
      </w:r>
      <w:r>
        <w:rPr/>
        <w:t>The Commonwealth must submit its plan to operationalize STC 8.6(b) to CMS for review and approval, at </w:t>
      </w:r>
      <w:hyperlink r:id="rId135">
        <w:r>
          <w:rPr>
            <w:color w:val="0000FF"/>
            <w:u w:val="single" w:color="0000FF"/>
          </w:rPr>
          <w:t>DMCPMLR@cms.hhs.gov</w:t>
        </w:r>
        <w:r>
          <w:rPr/>
          <w:t>,</w:t>
        </w:r>
      </w:hyperlink>
      <w:r>
        <w:rPr/>
        <w:t> no later than April 1, 2023. The workplan must outline key deliverables and timelines to meet the requirements of STC 8.6(b).</w:t>
      </w:r>
    </w:p>
    <w:p>
      <w:pPr>
        <w:pStyle w:val="BodyText"/>
        <w:spacing w:before="161"/>
        <w:ind w:left="2040" w:right="1059"/>
      </w:pPr>
      <w:r>
        <w:rPr/>
        <w:drawing>
          <wp:anchor distT="0" distB="0" distL="0" distR="0" allowOverlap="1" layoutInCell="1" locked="0" behindDoc="0" simplePos="0" relativeHeight="15853568">
            <wp:simplePos x="0" y="0"/>
            <wp:positionH relativeFrom="page">
              <wp:posOffset>1819655</wp:posOffset>
            </wp:positionH>
            <wp:positionV relativeFrom="paragraph">
              <wp:posOffset>134786</wp:posOffset>
            </wp:positionV>
            <wp:extent cx="115823" cy="115823"/>
            <wp:effectExtent l="0" t="0" r="0" b="0"/>
            <wp:wrapNone/>
            <wp:docPr id="255" name="Image 255"/>
            <wp:cNvGraphicFramePr>
              <a:graphicFrameLocks/>
            </wp:cNvGraphicFramePr>
            <a:graphic>
              <a:graphicData uri="http://schemas.openxmlformats.org/drawingml/2006/picture">
                <pic:pic>
                  <pic:nvPicPr>
                    <pic:cNvPr id="255" name="Image 255"/>
                    <pic:cNvPicPr/>
                  </pic:nvPicPr>
                  <pic:blipFill>
                    <a:blip r:embed="rId62" cstate="print"/>
                    <a:stretch>
                      <a:fillRect/>
                    </a:stretch>
                  </pic:blipFill>
                  <pic:spPr>
                    <a:xfrm>
                      <a:off x="0" y="0"/>
                      <a:ext cx="115823" cy="115823"/>
                    </a:xfrm>
                    <a:prstGeom prst="rect">
                      <a:avLst/>
                    </a:prstGeom>
                  </pic:spPr>
                </pic:pic>
              </a:graphicData>
            </a:graphic>
          </wp:anchor>
        </w:drawing>
      </w:r>
      <w:bookmarkStart w:name="ii. Effective January 1, 2024, the Commo" w:id="413"/>
      <w:bookmarkEnd w:id="413"/>
      <w:r>
        <w:rPr/>
      </w:r>
      <w:r>
        <w:rPr/>
        <w:t>Effective</w:t>
      </w:r>
      <w:r>
        <w:rPr>
          <w:spacing w:val="-5"/>
        </w:rPr>
        <w:t> </w:t>
      </w:r>
      <w:r>
        <w:rPr/>
        <w:t>January</w:t>
      </w:r>
      <w:r>
        <w:rPr>
          <w:spacing w:val="-9"/>
        </w:rPr>
        <w:t> </w:t>
      </w:r>
      <w:r>
        <w:rPr/>
        <w:t>1,</w:t>
      </w:r>
      <w:r>
        <w:rPr>
          <w:spacing w:val="-4"/>
        </w:rPr>
        <w:t> </w:t>
      </w:r>
      <w:r>
        <w:rPr/>
        <w:t>2024,</w:t>
      </w:r>
      <w:r>
        <w:rPr>
          <w:spacing w:val="-4"/>
        </w:rPr>
        <w:t> </w:t>
      </w:r>
      <w:r>
        <w:rPr/>
        <w:t>the</w:t>
      </w:r>
      <w:r>
        <w:rPr>
          <w:spacing w:val="-5"/>
        </w:rPr>
        <w:t> </w:t>
      </w:r>
      <w:r>
        <w:rPr/>
        <w:t>Commonwealth</w:t>
      </w:r>
      <w:r>
        <w:rPr>
          <w:spacing w:val="-4"/>
        </w:rPr>
        <w:t> </w:t>
      </w:r>
      <w:r>
        <w:rPr/>
        <w:t>must</w:t>
      </w:r>
      <w:r>
        <w:rPr>
          <w:spacing w:val="-4"/>
        </w:rPr>
        <w:t> </w:t>
      </w:r>
      <w:r>
        <w:rPr/>
        <w:t>require</w:t>
      </w:r>
      <w:r>
        <w:rPr>
          <w:spacing w:val="-5"/>
        </w:rPr>
        <w:t> </w:t>
      </w:r>
      <w:r>
        <w:rPr/>
        <w:t>risk-based</w:t>
      </w:r>
      <w:r>
        <w:rPr>
          <w:spacing w:val="-4"/>
        </w:rPr>
        <w:t> </w:t>
      </w:r>
      <w:r>
        <w:rPr/>
        <w:t>plans contracted with the Commonwealth to impose reporting requirements equivalent to the information required in 42 CFR 438.8(k) on their subcontractor plans or entities.</w:t>
      </w:r>
    </w:p>
    <w:p>
      <w:pPr>
        <w:pStyle w:val="BodyText"/>
        <w:spacing w:before="161"/>
        <w:ind w:left="2040" w:right="1059"/>
      </w:pPr>
      <w:r>
        <w:rPr/>
        <w:drawing>
          <wp:anchor distT="0" distB="0" distL="0" distR="0" allowOverlap="1" layoutInCell="1" locked="0" behindDoc="0" simplePos="0" relativeHeight="15854080">
            <wp:simplePos x="0" y="0"/>
            <wp:positionH relativeFrom="page">
              <wp:posOffset>1778507</wp:posOffset>
            </wp:positionH>
            <wp:positionV relativeFrom="paragraph">
              <wp:posOffset>134786</wp:posOffset>
            </wp:positionV>
            <wp:extent cx="158495" cy="115823"/>
            <wp:effectExtent l="0" t="0" r="0" b="0"/>
            <wp:wrapNone/>
            <wp:docPr id="256" name="Image 256"/>
            <wp:cNvGraphicFramePr>
              <a:graphicFrameLocks/>
            </wp:cNvGraphicFramePr>
            <a:graphic>
              <a:graphicData uri="http://schemas.openxmlformats.org/drawingml/2006/picture">
                <pic:pic>
                  <pic:nvPicPr>
                    <pic:cNvPr id="256" name="Image 256"/>
                    <pic:cNvPicPr/>
                  </pic:nvPicPr>
                  <pic:blipFill>
                    <a:blip r:embed="rId65" cstate="print"/>
                    <a:stretch>
                      <a:fillRect/>
                    </a:stretch>
                  </pic:blipFill>
                  <pic:spPr>
                    <a:xfrm>
                      <a:off x="0" y="0"/>
                      <a:ext cx="158495" cy="115823"/>
                    </a:xfrm>
                    <a:prstGeom prst="rect">
                      <a:avLst/>
                    </a:prstGeom>
                  </pic:spPr>
                </pic:pic>
              </a:graphicData>
            </a:graphic>
          </wp:anchor>
        </w:drawing>
      </w:r>
      <w:bookmarkStart w:name="iii. No later than January 1, 2025, the " w:id="414"/>
      <w:bookmarkEnd w:id="414"/>
      <w:r>
        <w:rPr/>
      </w:r>
      <w:r>
        <w:rPr/>
        <w:t>No later than January 1, 2025, the Commonwealth must require risk-based plans</w:t>
      </w:r>
      <w:r>
        <w:rPr>
          <w:spacing w:val="-5"/>
        </w:rPr>
        <w:t> </w:t>
      </w:r>
      <w:r>
        <w:rPr/>
        <w:t>contracted</w:t>
      </w:r>
      <w:r>
        <w:rPr>
          <w:spacing w:val="-5"/>
        </w:rPr>
        <w:t> </w:t>
      </w:r>
      <w:r>
        <w:rPr/>
        <w:t>with</w:t>
      </w:r>
      <w:r>
        <w:rPr>
          <w:spacing w:val="-5"/>
        </w:rPr>
        <w:t> </w:t>
      </w:r>
      <w:r>
        <w:rPr/>
        <w:t>the</w:t>
      </w:r>
      <w:r>
        <w:rPr>
          <w:spacing w:val="-4"/>
        </w:rPr>
        <w:t> </w:t>
      </w:r>
      <w:r>
        <w:rPr/>
        <w:t>Commonwealth</w:t>
      </w:r>
      <w:r>
        <w:rPr>
          <w:spacing w:val="-5"/>
        </w:rPr>
        <w:t> </w:t>
      </w:r>
      <w:r>
        <w:rPr/>
        <w:t>to</w:t>
      </w:r>
      <w:r>
        <w:rPr>
          <w:spacing w:val="-5"/>
        </w:rPr>
        <w:t> </w:t>
      </w:r>
      <w:r>
        <w:rPr/>
        <w:t>impose</w:t>
      </w:r>
      <w:r>
        <w:rPr>
          <w:spacing w:val="-6"/>
        </w:rPr>
        <w:t> </w:t>
      </w:r>
      <w:r>
        <w:rPr/>
        <w:t>remittance</w:t>
      </w:r>
      <w:r>
        <w:rPr>
          <w:spacing w:val="-4"/>
        </w:rPr>
        <w:t> </w:t>
      </w:r>
      <w:r>
        <w:rPr/>
        <w:t>requirements equivalent to 42 CFR 438.8(j) on their subcontractor plans or entities.</w:t>
      </w:r>
    </w:p>
    <w:p>
      <w:pPr>
        <w:pStyle w:val="BodyText"/>
        <w:ind w:left="2040"/>
      </w:pPr>
      <w:r>
        <w:rPr>
          <w:spacing w:val="-2"/>
        </w:rPr>
        <w:t>Commonwealth.</w:t>
      </w:r>
    </w:p>
    <w:p>
      <w:pPr>
        <w:pStyle w:val="BodyText"/>
        <w:spacing w:before="158"/>
        <w:ind w:left="2040" w:right="1059"/>
      </w:pPr>
      <w:r>
        <w:rPr/>
        <w:drawing>
          <wp:anchor distT="0" distB="0" distL="0" distR="0" allowOverlap="1" layoutInCell="1" locked="0" behindDoc="0" simplePos="0" relativeHeight="15854592">
            <wp:simplePos x="0" y="0"/>
            <wp:positionH relativeFrom="page">
              <wp:posOffset>1786127</wp:posOffset>
            </wp:positionH>
            <wp:positionV relativeFrom="paragraph">
              <wp:posOffset>132881</wp:posOffset>
            </wp:positionV>
            <wp:extent cx="149339" cy="115823"/>
            <wp:effectExtent l="0" t="0" r="0" b="0"/>
            <wp:wrapNone/>
            <wp:docPr id="257" name="Image 257"/>
            <wp:cNvGraphicFramePr>
              <a:graphicFrameLocks/>
            </wp:cNvGraphicFramePr>
            <a:graphic>
              <a:graphicData uri="http://schemas.openxmlformats.org/drawingml/2006/picture">
                <pic:pic>
                  <pic:nvPicPr>
                    <pic:cNvPr id="257" name="Image 257"/>
                    <pic:cNvPicPr/>
                  </pic:nvPicPr>
                  <pic:blipFill>
                    <a:blip r:embed="rId137" cstate="print"/>
                    <a:stretch>
                      <a:fillRect/>
                    </a:stretch>
                  </pic:blipFill>
                  <pic:spPr>
                    <a:xfrm>
                      <a:off x="0" y="0"/>
                      <a:ext cx="149339" cy="115823"/>
                    </a:xfrm>
                    <a:prstGeom prst="rect">
                      <a:avLst/>
                    </a:prstGeom>
                  </pic:spPr>
                </pic:pic>
              </a:graphicData>
            </a:graphic>
          </wp:anchor>
        </w:drawing>
      </w:r>
      <w:bookmarkStart w:name="iv. STC 8.6(b)(i), 8.6(b)(ii), and 8.6(b" w:id="415"/>
      <w:bookmarkEnd w:id="415"/>
      <w:r>
        <w:rPr/>
      </w:r>
      <w:r>
        <w:rPr/>
        <w:t>STC</w:t>
      </w:r>
      <w:r>
        <w:rPr>
          <w:spacing w:val="-3"/>
        </w:rPr>
        <w:t> </w:t>
      </w:r>
      <w:r>
        <w:rPr/>
        <w:t>8.6(b)(i),</w:t>
      </w:r>
      <w:r>
        <w:rPr>
          <w:spacing w:val="-3"/>
        </w:rPr>
        <w:t> </w:t>
      </w:r>
      <w:r>
        <w:rPr/>
        <w:t>8.6(b)(ii),</w:t>
      </w:r>
      <w:r>
        <w:rPr>
          <w:spacing w:val="-2"/>
        </w:rPr>
        <w:t> </w:t>
      </w:r>
      <w:r>
        <w:rPr/>
        <w:t>and</w:t>
      </w:r>
      <w:r>
        <w:rPr>
          <w:spacing w:val="-3"/>
        </w:rPr>
        <w:t> </w:t>
      </w:r>
      <w:r>
        <w:rPr/>
        <w:t>8.6(b)(iii)</w:t>
      </w:r>
      <w:r>
        <w:rPr>
          <w:spacing w:val="-4"/>
        </w:rPr>
        <w:t> </w:t>
      </w:r>
      <w:r>
        <w:rPr/>
        <w:t>must</w:t>
      </w:r>
      <w:r>
        <w:rPr>
          <w:spacing w:val="-3"/>
        </w:rPr>
        <w:t> </w:t>
      </w:r>
      <w:r>
        <w:rPr/>
        <w:t>apply</w:t>
      </w:r>
      <w:r>
        <w:rPr>
          <w:spacing w:val="-6"/>
        </w:rPr>
        <w:t> </w:t>
      </w:r>
      <w:r>
        <w:rPr/>
        <w:t>for</w:t>
      </w:r>
      <w:r>
        <w:rPr>
          <w:spacing w:val="-4"/>
        </w:rPr>
        <w:t> </w:t>
      </w:r>
      <w:r>
        <w:rPr/>
        <w:t>all</w:t>
      </w:r>
      <w:r>
        <w:rPr>
          <w:spacing w:val="-3"/>
        </w:rPr>
        <w:t> </w:t>
      </w:r>
      <w:r>
        <w:rPr/>
        <w:t>of</w:t>
      </w:r>
      <w:r>
        <w:rPr>
          <w:spacing w:val="-4"/>
        </w:rPr>
        <w:t> </w:t>
      </w:r>
      <w:r>
        <w:rPr/>
        <w:t>the</w:t>
      </w:r>
      <w:r>
        <w:rPr>
          <w:spacing w:val="-4"/>
        </w:rPr>
        <w:t> </w:t>
      </w:r>
      <w:r>
        <w:rPr/>
        <w:t>following </w:t>
      </w:r>
      <w:r>
        <w:rPr>
          <w:spacing w:val="-2"/>
        </w:rPr>
        <w:t>entities:</w:t>
      </w:r>
    </w:p>
    <w:p>
      <w:pPr>
        <w:pStyle w:val="ListParagraph"/>
        <w:numPr>
          <w:ilvl w:val="0"/>
          <w:numId w:val="28"/>
        </w:numPr>
        <w:tabs>
          <w:tab w:pos="2851" w:val="left" w:leader="none"/>
        </w:tabs>
        <w:spacing w:line="240" w:lineRule="auto" w:before="161" w:after="0"/>
        <w:ind w:left="2851" w:right="1651" w:hanging="360"/>
        <w:jc w:val="left"/>
        <w:rPr>
          <w:sz w:val="24"/>
        </w:rPr>
      </w:pPr>
      <w:bookmarkStart w:name="1. Risk-based plans for which the Common" w:id="416"/>
      <w:bookmarkEnd w:id="416"/>
      <w:r>
        <w:rPr/>
      </w:r>
      <w:r>
        <w:rPr>
          <w:sz w:val="24"/>
        </w:rPr>
        <w:t>Risk-based</w:t>
      </w:r>
      <w:r>
        <w:rPr>
          <w:spacing w:val="-6"/>
          <w:sz w:val="24"/>
        </w:rPr>
        <w:t> </w:t>
      </w:r>
      <w:r>
        <w:rPr>
          <w:sz w:val="24"/>
        </w:rPr>
        <w:t>plans</w:t>
      </w:r>
      <w:r>
        <w:rPr>
          <w:spacing w:val="-6"/>
          <w:sz w:val="24"/>
        </w:rPr>
        <w:t> </w:t>
      </w:r>
      <w:r>
        <w:rPr>
          <w:sz w:val="24"/>
        </w:rPr>
        <w:t>for</w:t>
      </w:r>
      <w:r>
        <w:rPr>
          <w:spacing w:val="-7"/>
          <w:sz w:val="24"/>
        </w:rPr>
        <w:t> </w:t>
      </w:r>
      <w:r>
        <w:rPr>
          <w:sz w:val="24"/>
        </w:rPr>
        <w:t>which</w:t>
      </w:r>
      <w:r>
        <w:rPr>
          <w:spacing w:val="-6"/>
          <w:sz w:val="24"/>
        </w:rPr>
        <w:t> </w:t>
      </w:r>
      <w:r>
        <w:rPr>
          <w:sz w:val="24"/>
        </w:rPr>
        <w:t>the</w:t>
      </w:r>
      <w:r>
        <w:rPr>
          <w:spacing w:val="-7"/>
          <w:sz w:val="24"/>
        </w:rPr>
        <w:t> </w:t>
      </w:r>
      <w:r>
        <w:rPr>
          <w:sz w:val="24"/>
        </w:rPr>
        <w:t>Commonwealth</w:t>
      </w:r>
      <w:r>
        <w:rPr>
          <w:spacing w:val="-6"/>
          <w:sz w:val="24"/>
        </w:rPr>
        <w:t> </w:t>
      </w:r>
      <w:r>
        <w:rPr>
          <w:sz w:val="24"/>
        </w:rPr>
        <w:t>receives</w:t>
      </w:r>
      <w:r>
        <w:rPr>
          <w:spacing w:val="-6"/>
          <w:sz w:val="24"/>
        </w:rPr>
        <w:t> </w:t>
      </w:r>
      <w:r>
        <w:rPr>
          <w:sz w:val="24"/>
        </w:rPr>
        <w:t>federal financial participation for associated expenditures;</w:t>
      </w:r>
    </w:p>
    <w:p>
      <w:pPr>
        <w:pStyle w:val="ListParagraph"/>
        <w:numPr>
          <w:ilvl w:val="0"/>
          <w:numId w:val="28"/>
        </w:numPr>
        <w:tabs>
          <w:tab w:pos="2851" w:val="left" w:leader="none"/>
        </w:tabs>
        <w:spacing w:line="240" w:lineRule="auto" w:before="120" w:after="0"/>
        <w:ind w:left="2851" w:right="0" w:hanging="360"/>
        <w:jc w:val="left"/>
        <w:rPr>
          <w:sz w:val="24"/>
        </w:rPr>
      </w:pPr>
      <w:bookmarkStart w:name="2. Full and partially delegated plans;" w:id="417"/>
      <w:bookmarkEnd w:id="417"/>
      <w:r>
        <w:rPr/>
      </w:r>
      <w:r>
        <w:rPr>
          <w:sz w:val="24"/>
        </w:rPr>
        <w:t>Full</w:t>
      </w:r>
      <w:r>
        <w:rPr>
          <w:spacing w:val="-1"/>
          <w:sz w:val="24"/>
        </w:rPr>
        <w:t> </w:t>
      </w:r>
      <w:r>
        <w:rPr>
          <w:sz w:val="24"/>
        </w:rPr>
        <w:t>and partially</w:t>
      </w:r>
      <w:r>
        <w:rPr>
          <w:spacing w:val="-5"/>
          <w:sz w:val="24"/>
        </w:rPr>
        <w:t> </w:t>
      </w:r>
      <w:r>
        <w:rPr>
          <w:sz w:val="24"/>
        </w:rPr>
        <w:t>delegated </w:t>
      </w:r>
      <w:r>
        <w:rPr>
          <w:spacing w:val="-2"/>
          <w:sz w:val="24"/>
        </w:rPr>
        <w:t>plans;</w:t>
      </w:r>
    </w:p>
    <w:p>
      <w:pPr>
        <w:spacing w:after="0" w:line="240" w:lineRule="auto"/>
        <w:jc w:val="left"/>
        <w:rPr>
          <w:sz w:val="24"/>
        </w:rPr>
        <w:sectPr>
          <w:pgSz w:w="12240" w:h="15840"/>
          <w:pgMar w:header="0" w:footer="1201" w:top="1360" w:bottom="1400" w:left="1200" w:right="400"/>
        </w:sectPr>
      </w:pPr>
    </w:p>
    <w:p>
      <w:pPr>
        <w:pStyle w:val="ListParagraph"/>
        <w:numPr>
          <w:ilvl w:val="0"/>
          <w:numId w:val="28"/>
        </w:numPr>
        <w:tabs>
          <w:tab w:pos="2851" w:val="left" w:leader="none"/>
        </w:tabs>
        <w:spacing w:line="240" w:lineRule="auto" w:before="79" w:after="0"/>
        <w:ind w:left="2851" w:right="1245" w:hanging="360"/>
        <w:jc w:val="left"/>
        <w:rPr>
          <w:sz w:val="24"/>
        </w:rPr>
      </w:pPr>
      <w:bookmarkStart w:name="3. Other subcontractors, as applicable, " w:id="418"/>
      <w:bookmarkEnd w:id="418"/>
      <w:r>
        <w:rPr/>
      </w:r>
      <w:r>
        <w:rPr>
          <w:sz w:val="24"/>
        </w:rPr>
        <w:t>Other</w:t>
      </w:r>
      <w:r>
        <w:rPr>
          <w:spacing w:val="-6"/>
          <w:sz w:val="24"/>
        </w:rPr>
        <w:t> </w:t>
      </w:r>
      <w:r>
        <w:rPr>
          <w:sz w:val="24"/>
        </w:rPr>
        <w:t>subcontractors,</w:t>
      </w:r>
      <w:r>
        <w:rPr>
          <w:spacing w:val="-6"/>
          <w:sz w:val="24"/>
        </w:rPr>
        <w:t> </w:t>
      </w:r>
      <w:r>
        <w:rPr>
          <w:sz w:val="24"/>
        </w:rPr>
        <w:t>as</w:t>
      </w:r>
      <w:r>
        <w:rPr>
          <w:spacing w:val="-4"/>
          <w:sz w:val="24"/>
        </w:rPr>
        <w:t> </w:t>
      </w:r>
      <w:r>
        <w:rPr>
          <w:sz w:val="24"/>
        </w:rPr>
        <w:t>applicable,</w:t>
      </w:r>
      <w:r>
        <w:rPr>
          <w:spacing w:val="-6"/>
          <w:sz w:val="24"/>
        </w:rPr>
        <w:t> </w:t>
      </w:r>
      <w:r>
        <w:rPr>
          <w:sz w:val="24"/>
        </w:rPr>
        <w:t>that</w:t>
      </w:r>
      <w:r>
        <w:rPr>
          <w:spacing w:val="-6"/>
          <w:sz w:val="24"/>
        </w:rPr>
        <w:t> </w:t>
      </w:r>
      <w:r>
        <w:rPr>
          <w:sz w:val="24"/>
        </w:rPr>
        <w:t>assume</w:t>
      </w:r>
      <w:r>
        <w:rPr>
          <w:spacing w:val="-6"/>
          <w:sz w:val="24"/>
        </w:rPr>
        <w:t> </w:t>
      </w:r>
      <w:r>
        <w:rPr>
          <w:sz w:val="24"/>
        </w:rPr>
        <w:t>delegated</w:t>
      </w:r>
      <w:r>
        <w:rPr>
          <w:spacing w:val="-6"/>
          <w:sz w:val="24"/>
        </w:rPr>
        <w:t> </w:t>
      </w:r>
      <w:r>
        <w:rPr>
          <w:sz w:val="24"/>
        </w:rPr>
        <w:t>risk</w:t>
      </w:r>
      <w:r>
        <w:rPr>
          <w:spacing w:val="-6"/>
          <w:sz w:val="24"/>
        </w:rPr>
        <w:t> </w:t>
      </w:r>
      <w:r>
        <w:rPr>
          <w:sz w:val="24"/>
        </w:rPr>
        <w:t>from either the prime managed care plan contracted with the Commonwealth, or plans referenced in STC 8.6(b)(iv)(2); and</w:t>
      </w:r>
    </w:p>
    <w:p>
      <w:pPr>
        <w:pStyle w:val="ListParagraph"/>
        <w:numPr>
          <w:ilvl w:val="0"/>
          <w:numId w:val="28"/>
        </w:numPr>
        <w:tabs>
          <w:tab w:pos="2851" w:val="left" w:leader="none"/>
        </w:tabs>
        <w:spacing w:line="240" w:lineRule="auto" w:before="120" w:after="0"/>
        <w:ind w:left="2851" w:right="1244" w:hanging="360"/>
        <w:jc w:val="left"/>
        <w:rPr>
          <w:sz w:val="24"/>
        </w:rPr>
      </w:pPr>
      <w:bookmarkStart w:name="4. Other subcontractors, as applicable, " w:id="419"/>
      <w:bookmarkEnd w:id="419"/>
      <w:r>
        <w:rPr/>
      </w:r>
      <w:r>
        <w:rPr>
          <w:sz w:val="24"/>
        </w:rPr>
        <w:t>Other</w:t>
      </w:r>
      <w:r>
        <w:rPr>
          <w:spacing w:val="-6"/>
          <w:sz w:val="24"/>
        </w:rPr>
        <w:t> </w:t>
      </w:r>
      <w:r>
        <w:rPr>
          <w:sz w:val="24"/>
        </w:rPr>
        <w:t>subcontractors,</w:t>
      </w:r>
      <w:r>
        <w:rPr>
          <w:spacing w:val="-5"/>
          <w:sz w:val="24"/>
        </w:rPr>
        <w:t> </w:t>
      </w:r>
      <w:r>
        <w:rPr>
          <w:sz w:val="24"/>
        </w:rPr>
        <w:t>as</w:t>
      </w:r>
      <w:r>
        <w:rPr>
          <w:spacing w:val="-4"/>
          <w:sz w:val="24"/>
        </w:rPr>
        <w:t> </w:t>
      </w:r>
      <w:r>
        <w:rPr>
          <w:sz w:val="24"/>
        </w:rPr>
        <w:t>applicable,</w:t>
      </w:r>
      <w:r>
        <w:rPr>
          <w:spacing w:val="-5"/>
          <w:sz w:val="24"/>
        </w:rPr>
        <w:t> </w:t>
      </w:r>
      <w:r>
        <w:rPr>
          <w:sz w:val="24"/>
        </w:rPr>
        <w:t>that</w:t>
      </w:r>
      <w:r>
        <w:rPr>
          <w:spacing w:val="-5"/>
          <w:sz w:val="24"/>
        </w:rPr>
        <w:t> </w:t>
      </w:r>
      <w:r>
        <w:rPr>
          <w:sz w:val="24"/>
        </w:rPr>
        <w:t>assume</w:t>
      </w:r>
      <w:r>
        <w:rPr>
          <w:spacing w:val="-6"/>
          <w:sz w:val="24"/>
        </w:rPr>
        <w:t> </w:t>
      </w:r>
      <w:r>
        <w:rPr>
          <w:sz w:val="24"/>
        </w:rPr>
        <w:t>delegated</w:t>
      </w:r>
      <w:r>
        <w:rPr>
          <w:spacing w:val="-5"/>
          <w:sz w:val="24"/>
        </w:rPr>
        <w:t> </w:t>
      </w:r>
      <w:r>
        <w:rPr>
          <w:sz w:val="24"/>
        </w:rPr>
        <w:t>risk</w:t>
      </w:r>
      <w:r>
        <w:rPr>
          <w:spacing w:val="-5"/>
          <w:sz w:val="24"/>
        </w:rPr>
        <w:t> </w:t>
      </w:r>
      <w:r>
        <w:rPr>
          <w:sz w:val="24"/>
        </w:rPr>
        <w:t>from entities, referenced in STC 8.6(b)(iv)(3).</w:t>
      </w:r>
    </w:p>
    <w:p>
      <w:pPr>
        <w:pStyle w:val="BodyText"/>
        <w:spacing w:before="161"/>
        <w:ind w:left="2039" w:right="1059"/>
      </w:pPr>
      <w:r>
        <w:rPr/>
        <w:drawing>
          <wp:anchor distT="0" distB="0" distL="0" distR="0" allowOverlap="1" layoutInCell="1" locked="0" behindDoc="0" simplePos="0" relativeHeight="15855104">
            <wp:simplePos x="0" y="0"/>
            <wp:positionH relativeFrom="page">
              <wp:posOffset>1825751</wp:posOffset>
            </wp:positionH>
            <wp:positionV relativeFrom="paragraph">
              <wp:posOffset>172886</wp:posOffset>
            </wp:positionV>
            <wp:extent cx="109727" cy="77723"/>
            <wp:effectExtent l="0" t="0" r="0" b="0"/>
            <wp:wrapNone/>
            <wp:docPr id="258" name="Image 258"/>
            <wp:cNvGraphicFramePr>
              <a:graphicFrameLocks/>
            </wp:cNvGraphicFramePr>
            <a:graphic>
              <a:graphicData uri="http://schemas.openxmlformats.org/drawingml/2006/picture">
                <pic:pic>
                  <pic:nvPicPr>
                    <pic:cNvPr id="258" name="Image 258"/>
                    <pic:cNvPicPr/>
                  </pic:nvPicPr>
                  <pic:blipFill>
                    <a:blip r:embed="rId67" cstate="print"/>
                    <a:stretch>
                      <a:fillRect/>
                    </a:stretch>
                  </pic:blipFill>
                  <pic:spPr>
                    <a:xfrm>
                      <a:off x="0" y="0"/>
                      <a:ext cx="109727" cy="77723"/>
                    </a:xfrm>
                    <a:prstGeom prst="rect">
                      <a:avLst/>
                    </a:prstGeom>
                  </pic:spPr>
                </pic:pic>
              </a:graphicData>
            </a:graphic>
          </wp:anchor>
        </w:drawing>
      </w:r>
      <w:bookmarkStart w:name="v. The Commonwealth must work with CMS t" w:id="420"/>
      <w:bookmarkEnd w:id="420"/>
      <w:r>
        <w:rPr/>
      </w:r>
      <w:r>
        <w:rPr/>
        <w:t>The Commonwealth must work with CMS to effectuate an audit of the MLR data</w:t>
      </w:r>
      <w:r>
        <w:rPr>
          <w:spacing w:val="-3"/>
        </w:rPr>
        <w:t> </w:t>
      </w:r>
      <w:r>
        <w:rPr/>
        <w:t>covering</w:t>
      </w:r>
      <w:r>
        <w:rPr>
          <w:spacing w:val="-2"/>
        </w:rPr>
        <w:t> </w:t>
      </w:r>
      <w:r>
        <w:rPr/>
        <w:t>all years</w:t>
      </w:r>
      <w:r>
        <w:rPr>
          <w:spacing w:val="-2"/>
        </w:rPr>
        <w:t> </w:t>
      </w:r>
      <w:r>
        <w:rPr/>
        <w:t>of</w:t>
      </w:r>
      <w:r>
        <w:rPr>
          <w:spacing w:val="-1"/>
        </w:rPr>
        <w:t> </w:t>
      </w:r>
      <w:r>
        <w:rPr/>
        <w:t>this</w:t>
      </w:r>
      <w:r>
        <w:rPr>
          <w:spacing w:val="-2"/>
        </w:rPr>
        <w:t> </w:t>
      </w:r>
      <w:r>
        <w:rPr/>
        <w:t>1115</w:t>
      </w:r>
      <w:r>
        <w:rPr>
          <w:spacing w:val="-2"/>
        </w:rPr>
        <w:t> </w:t>
      </w:r>
      <w:r>
        <w:rPr/>
        <w:t>demonstration</w:t>
      </w:r>
      <w:r>
        <w:rPr>
          <w:spacing w:val="-2"/>
        </w:rPr>
        <w:t> </w:t>
      </w:r>
      <w:r>
        <w:rPr/>
        <w:t>renewal</w:t>
      </w:r>
      <w:r>
        <w:rPr>
          <w:spacing w:val="-2"/>
        </w:rPr>
        <w:t> </w:t>
      </w:r>
      <w:r>
        <w:rPr/>
        <w:t>package.</w:t>
      </w:r>
      <w:r>
        <w:rPr>
          <w:spacing w:val="-2"/>
        </w:rPr>
        <w:t> </w:t>
      </w:r>
      <w:r>
        <w:rPr/>
        <w:t>The</w:t>
      </w:r>
      <w:r>
        <w:rPr>
          <w:spacing w:val="-3"/>
        </w:rPr>
        <w:t> </w:t>
      </w:r>
      <w:r>
        <w:rPr/>
        <w:t>audit must</w:t>
      </w:r>
      <w:r>
        <w:rPr>
          <w:spacing w:val="-3"/>
        </w:rPr>
        <w:t> </w:t>
      </w:r>
      <w:r>
        <w:rPr/>
        <w:t>occur</w:t>
      </w:r>
      <w:r>
        <w:rPr>
          <w:spacing w:val="-3"/>
        </w:rPr>
        <w:t> </w:t>
      </w:r>
      <w:r>
        <w:rPr/>
        <w:t>no</w:t>
      </w:r>
      <w:r>
        <w:rPr>
          <w:spacing w:val="-3"/>
        </w:rPr>
        <w:t> </w:t>
      </w:r>
      <w:r>
        <w:rPr/>
        <w:t>sooner</w:t>
      </w:r>
      <w:r>
        <w:rPr>
          <w:spacing w:val="-3"/>
        </w:rPr>
        <w:t> </w:t>
      </w:r>
      <w:r>
        <w:rPr/>
        <w:t>than</w:t>
      </w:r>
      <w:r>
        <w:rPr>
          <w:spacing w:val="-3"/>
        </w:rPr>
        <w:t> </w:t>
      </w:r>
      <w:r>
        <w:rPr/>
        <w:t>April</w:t>
      </w:r>
      <w:r>
        <w:rPr>
          <w:spacing w:val="-3"/>
        </w:rPr>
        <w:t> </w:t>
      </w:r>
      <w:r>
        <w:rPr/>
        <w:t>1,</w:t>
      </w:r>
      <w:r>
        <w:rPr>
          <w:spacing w:val="-3"/>
        </w:rPr>
        <w:t> </w:t>
      </w:r>
      <w:r>
        <w:rPr/>
        <w:t>2026,</w:t>
      </w:r>
      <w:r>
        <w:rPr>
          <w:spacing w:val="-3"/>
        </w:rPr>
        <w:t> </w:t>
      </w:r>
      <w:r>
        <w:rPr/>
        <w:t>and</w:t>
      </w:r>
      <w:r>
        <w:rPr>
          <w:spacing w:val="-3"/>
        </w:rPr>
        <w:t> </w:t>
      </w:r>
      <w:r>
        <w:rPr/>
        <w:t>ideally</w:t>
      </w:r>
      <w:r>
        <w:rPr>
          <w:spacing w:val="-7"/>
        </w:rPr>
        <w:t> </w:t>
      </w:r>
      <w:r>
        <w:rPr/>
        <w:t>later</w:t>
      </w:r>
      <w:r>
        <w:rPr>
          <w:spacing w:val="-3"/>
        </w:rPr>
        <w:t> </w:t>
      </w:r>
      <w:r>
        <w:rPr/>
        <w:t>in</w:t>
      </w:r>
      <w:r>
        <w:rPr>
          <w:spacing w:val="-3"/>
        </w:rPr>
        <w:t> </w:t>
      </w:r>
      <w:r>
        <w:rPr/>
        <w:t>2027</w:t>
      </w:r>
      <w:r>
        <w:rPr>
          <w:spacing w:val="-3"/>
        </w:rPr>
        <w:t> </w:t>
      </w:r>
      <w:r>
        <w:rPr/>
        <w:t>to</w:t>
      </w:r>
      <w:r>
        <w:rPr>
          <w:spacing w:val="-3"/>
        </w:rPr>
        <w:t> </w:t>
      </w:r>
      <w:r>
        <w:rPr/>
        <w:t>allow</w:t>
      </w:r>
      <w:r>
        <w:rPr>
          <w:spacing w:val="-2"/>
        </w:rPr>
        <w:t> </w:t>
      </w:r>
      <w:r>
        <w:rPr/>
        <w:t>the Commonwealth time to review and finalize the calendar year 2026 MLRs.</w:t>
      </w:r>
    </w:p>
    <w:p>
      <w:pPr>
        <w:pStyle w:val="BodyText"/>
        <w:spacing w:before="7"/>
        <w:rPr>
          <w:sz w:val="20"/>
        </w:rPr>
      </w:pPr>
    </w:p>
    <w:p>
      <w:pPr>
        <w:pStyle w:val="BodyText"/>
        <w:ind w:left="871" w:right="1073"/>
      </w:pPr>
      <w:r>
        <w:rPr/>
        <w:drawing>
          <wp:anchor distT="0" distB="0" distL="0" distR="0" allowOverlap="1" layoutInCell="1" locked="0" behindDoc="0" simplePos="0" relativeHeight="15855616">
            <wp:simplePos x="0" y="0"/>
            <wp:positionH relativeFrom="page">
              <wp:posOffset>978408</wp:posOffset>
            </wp:positionH>
            <wp:positionV relativeFrom="paragraph">
              <wp:posOffset>35612</wp:posOffset>
            </wp:positionV>
            <wp:extent cx="214883" cy="112763"/>
            <wp:effectExtent l="0" t="0" r="0" b="0"/>
            <wp:wrapNone/>
            <wp:docPr id="259" name="Image 259"/>
            <wp:cNvGraphicFramePr>
              <a:graphicFrameLocks/>
            </wp:cNvGraphicFramePr>
            <a:graphic>
              <a:graphicData uri="http://schemas.openxmlformats.org/drawingml/2006/picture">
                <pic:pic>
                  <pic:nvPicPr>
                    <pic:cNvPr id="259" name="Image 259"/>
                    <pic:cNvPicPr/>
                  </pic:nvPicPr>
                  <pic:blipFill>
                    <a:blip r:embed="rId138" cstate="print"/>
                    <a:stretch>
                      <a:fillRect/>
                    </a:stretch>
                  </pic:blipFill>
                  <pic:spPr>
                    <a:xfrm>
                      <a:off x="0" y="0"/>
                      <a:ext cx="214883" cy="112763"/>
                    </a:xfrm>
                    <a:prstGeom prst="rect">
                      <a:avLst/>
                    </a:prstGeom>
                  </pic:spPr>
                </pic:pic>
              </a:graphicData>
            </a:graphic>
          </wp:anchor>
        </w:drawing>
      </w:r>
      <w:bookmarkStart w:name="8.7. Primary Care Exclusivity. MassHealt" w:id="421"/>
      <w:bookmarkEnd w:id="421"/>
      <w:r>
        <w:rPr/>
      </w:r>
      <w:r>
        <w:rPr>
          <w:b/>
        </w:rPr>
        <w:t>Primary Care Exclusivity. </w:t>
      </w:r>
      <w:r>
        <w:rPr/>
        <w:t>MassHealth will establish rules to require the exclusivity of primary care providers for certain Managed Care delivery systems, in order to ensure that accountability for cost and quality can accurately be assigned, and to facilitate members’ choice among delivery systems options if members wish to choose based on their preferred primary care provider. Specifically, MassHealth will require, except in limited circumstances with MassHealth approval (e.g. Special Kids Special Care program members,</w:t>
      </w:r>
      <w:r>
        <w:rPr>
          <w:spacing w:val="-2"/>
        </w:rPr>
        <w:t> </w:t>
      </w:r>
      <w:r>
        <w:rPr/>
        <w:t>geographically</w:t>
      </w:r>
      <w:r>
        <w:rPr>
          <w:spacing w:val="-6"/>
        </w:rPr>
        <w:t> </w:t>
      </w:r>
      <w:r>
        <w:rPr/>
        <w:t>isolated</w:t>
      </w:r>
      <w:r>
        <w:rPr>
          <w:spacing w:val="-4"/>
        </w:rPr>
        <w:t> </w:t>
      </w:r>
      <w:r>
        <w:rPr/>
        <w:t>areas),</w:t>
      </w:r>
      <w:r>
        <w:rPr>
          <w:spacing w:val="-4"/>
        </w:rPr>
        <w:t> </w:t>
      </w:r>
      <w:r>
        <w:rPr/>
        <w:t>Primary</w:t>
      </w:r>
      <w:r>
        <w:rPr>
          <w:spacing w:val="-6"/>
        </w:rPr>
        <w:t> </w:t>
      </w:r>
      <w:r>
        <w:rPr/>
        <w:t>Care</w:t>
      </w:r>
      <w:r>
        <w:rPr>
          <w:spacing w:val="-4"/>
        </w:rPr>
        <w:t> </w:t>
      </w:r>
      <w:r>
        <w:rPr/>
        <w:t>ACOs,</w:t>
      </w:r>
      <w:r>
        <w:rPr>
          <w:spacing w:val="-4"/>
        </w:rPr>
        <w:t> </w:t>
      </w:r>
      <w:r>
        <w:rPr/>
        <w:t>and</w:t>
      </w:r>
      <w:r>
        <w:rPr>
          <w:spacing w:val="-4"/>
        </w:rPr>
        <w:t> </w:t>
      </w:r>
      <w:r>
        <w:rPr/>
        <w:t>Partnership</w:t>
      </w:r>
      <w:r>
        <w:rPr>
          <w:spacing w:val="-4"/>
        </w:rPr>
        <w:t> </w:t>
      </w:r>
      <w:r>
        <w:rPr/>
        <w:t>Plans</w:t>
      </w:r>
      <w:r>
        <w:rPr>
          <w:spacing w:val="-4"/>
        </w:rPr>
        <w:t> </w:t>
      </w:r>
      <w:r>
        <w:rPr/>
        <w:t>(both of which are financially accountable for the cost and quality of attributed members) to each ensure that their participating primary care providers do not simultaneously participate in any other delivery system option, as follows:</w:t>
      </w:r>
    </w:p>
    <w:p>
      <w:pPr>
        <w:pStyle w:val="BodyText"/>
        <w:spacing w:before="11"/>
        <w:rPr>
          <w:sz w:val="20"/>
        </w:rPr>
      </w:pPr>
    </w:p>
    <w:p>
      <w:pPr>
        <w:pStyle w:val="BodyText"/>
        <w:ind w:left="1411" w:right="1059"/>
      </w:pPr>
      <w:r>
        <w:rPr/>
        <w:drawing>
          <wp:anchor distT="0" distB="0" distL="0" distR="0" allowOverlap="1" layoutInCell="1" locked="0" behindDoc="0" simplePos="0" relativeHeight="15856128">
            <wp:simplePos x="0" y="0"/>
            <wp:positionH relativeFrom="page">
              <wp:posOffset>1431036</wp:posOffset>
            </wp:positionH>
            <wp:positionV relativeFrom="paragraph">
              <wp:posOffset>67603</wp:posOffset>
            </wp:positionV>
            <wp:extent cx="96011" cy="80771"/>
            <wp:effectExtent l="0" t="0" r="0" b="0"/>
            <wp:wrapNone/>
            <wp:docPr id="260" name="Image 260"/>
            <wp:cNvGraphicFramePr>
              <a:graphicFrameLocks/>
            </wp:cNvGraphicFramePr>
            <a:graphic>
              <a:graphicData uri="http://schemas.openxmlformats.org/drawingml/2006/picture">
                <pic:pic>
                  <pic:nvPicPr>
                    <pic:cNvPr id="260" name="Image 260"/>
                    <pic:cNvPicPr/>
                  </pic:nvPicPr>
                  <pic:blipFill>
                    <a:blip r:embed="rId29" cstate="print"/>
                    <a:stretch>
                      <a:fillRect/>
                    </a:stretch>
                  </pic:blipFill>
                  <pic:spPr>
                    <a:xfrm>
                      <a:off x="0" y="0"/>
                      <a:ext cx="96011" cy="80771"/>
                    </a:xfrm>
                    <a:prstGeom prst="rect">
                      <a:avLst/>
                    </a:prstGeom>
                  </pic:spPr>
                </pic:pic>
              </a:graphicData>
            </a:graphic>
          </wp:anchor>
        </w:drawing>
      </w:r>
      <w:bookmarkStart w:name="a. A primary care provider participating" w:id="422"/>
      <w:bookmarkEnd w:id="422"/>
      <w:r>
        <w:rPr/>
      </w:r>
      <w:r>
        <w:rPr/>
        <w:t>A primary care provider participating with a Primary Care ACO may not simultaneously participate with another Primary Care ACO, or with a Partnership Plan. This primary care provider also may not serve as a PCC in the PCC Plan or a network</w:t>
      </w:r>
      <w:r>
        <w:rPr>
          <w:spacing w:val="-3"/>
        </w:rPr>
        <w:t> </w:t>
      </w:r>
      <w:r>
        <w:rPr/>
        <w:t>PCP</w:t>
      </w:r>
      <w:r>
        <w:rPr>
          <w:spacing w:val="-3"/>
        </w:rPr>
        <w:t> </w:t>
      </w:r>
      <w:r>
        <w:rPr/>
        <w:t>in</w:t>
      </w:r>
      <w:r>
        <w:rPr>
          <w:spacing w:val="-3"/>
        </w:rPr>
        <w:t> </w:t>
      </w:r>
      <w:r>
        <w:rPr/>
        <w:t>the</w:t>
      </w:r>
      <w:r>
        <w:rPr>
          <w:spacing w:val="-4"/>
        </w:rPr>
        <w:t> </w:t>
      </w:r>
      <w:r>
        <w:rPr/>
        <w:t>network</w:t>
      </w:r>
      <w:r>
        <w:rPr>
          <w:spacing w:val="-3"/>
        </w:rPr>
        <w:t> </w:t>
      </w:r>
      <w:r>
        <w:rPr/>
        <w:t>of</w:t>
      </w:r>
      <w:r>
        <w:rPr>
          <w:spacing w:val="-4"/>
        </w:rPr>
        <w:t> </w:t>
      </w:r>
      <w:r>
        <w:rPr/>
        <w:t>a</w:t>
      </w:r>
      <w:r>
        <w:rPr>
          <w:spacing w:val="-4"/>
        </w:rPr>
        <w:t> </w:t>
      </w:r>
      <w:r>
        <w:rPr/>
        <w:t>MassHealth</w:t>
      </w:r>
      <w:r>
        <w:rPr>
          <w:spacing w:val="-3"/>
        </w:rPr>
        <w:t> </w:t>
      </w:r>
      <w:r>
        <w:rPr/>
        <w:t>MCO.</w:t>
      </w:r>
      <w:r>
        <w:rPr>
          <w:spacing w:val="-3"/>
        </w:rPr>
        <w:t> </w:t>
      </w:r>
      <w:r>
        <w:rPr/>
        <w:t>This</w:t>
      </w:r>
      <w:r>
        <w:rPr>
          <w:spacing w:val="-3"/>
        </w:rPr>
        <w:t> </w:t>
      </w:r>
      <w:r>
        <w:rPr/>
        <w:t>primary</w:t>
      </w:r>
      <w:r>
        <w:rPr>
          <w:spacing w:val="-8"/>
        </w:rPr>
        <w:t> </w:t>
      </w:r>
      <w:r>
        <w:rPr/>
        <w:t>care</w:t>
      </w:r>
      <w:r>
        <w:rPr>
          <w:spacing w:val="-4"/>
        </w:rPr>
        <w:t> </w:t>
      </w:r>
      <w:r>
        <w:rPr/>
        <w:t>provider</w:t>
      </w:r>
      <w:r>
        <w:rPr>
          <w:spacing w:val="-4"/>
        </w:rPr>
        <w:t> </w:t>
      </w:r>
      <w:r>
        <w:rPr/>
        <w:t>will exclusively</w:t>
      </w:r>
      <w:r>
        <w:rPr>
          <w:spacing w:val="-11"/>
        </w:rPr>
        <w:t> </w:t>
      </w:r>
      <w:r>
        <w:rPr/>
        <w:t>serve</w:t>
      </w:r>
      <w:r>
        <w:rPr>
          <w:spacing w:val="1"/>
        </w:rPr>
        <w:t> </w:t>
      </w:r>
      <w:r>
        <w:rPr/>
        <w:t>as a</w:t>
      </w:r>
      <w:r>
        <w:rPr>
          <w:spacing w:val="-1"/>
        </w:rPr>
        <w:t> </w:t>
      </w:r>
      <w:r>
        <w:rPr/>
        <w:t>primary</w:t>
      </w:r>
      <w:r>
        <w:rPr>
          <w:spacing w:val="-3"/>
        </w:rPr>
        <w:t> </w:t>
      </w:r>
      <w:r>
        <w:rPr/>
        <w:t>care</w:t>
      </w:r>
      <w:r>
        <w:rPr>
          <w:spacing w:val="-1"/>
        </w:rPr>
        <w:t> </w:t>
      </w:r>
      <w:r>
        <w:rPr/>
        <w:t>provider</w:t>
      </w:r>
      <w:r>
        <w:rPr>
          <w:spacing w:val="-1"/>
        </w:rPr>
        <w:t> </w:t>
      </w:r>
      <w:r>
        <w:rPr/>
        <w:t>for</w:t>
      </w:r>
      <w:r>
        <w:rPr>
          <w:spacing w:val="1"/>
        </w:rPr>
        <w:t> </w:t>
      </w:r>
      <w:r>
        <w:rPr/>
        <w:t>enrollees in the</w:t>
      </w:r>
      <w:r>
        <w:rPr>
          <w:spacing w:val="-1"/>
        </w:rPr>
        <w:t> </w:t>
      </w:r>
      <w:r>
        <w:rPr/>
        <w:t>Primary</w:t>
      </w:r>
      <w:r>
        <w:rPr>
          <w:spacing w:val="-5"/>
        </w:rPr>
        <w:t> </w:t>
      </w:r>
      <w:r>
        <w:rPr/>
        <w:t>Care</w:t>
      </w:r>
      <w:r>
        <w:rPr>
          <w:spacing w:val="-1"/>
        </w:rPr>
        <w:t> </w:t>
      </w:r>
      <w:r>
        <w:rPr>
          <w:spacing w:val="-4"/>
        </w:rPr>
        <w:t>ACO.</w:t>
      </w:r>
    </w:p>
    <w:p>
      <w:pPr>
        <w:pStyle w:val="BodyText"/>
        <w:spacing w:before="10"/>
        <w:rPr>
          <w:sz w:val="20"/>
        </w:rPr>
      </w:pPr>
    </w:p>
    <w:p>
      <w:pPr>
        <w:pStyle w:val="BodyText"/>
        <w:ind w:left="1411" w:right="1086"/>
      </w:pPr>
      <w:r>
        <w:rPr/>
        <w:drawing>
          <wp:anchor distT="0" distB="0" distL="0" distR="0" allowOverlap="1" layoutInCell="1" locked="0" behindDoc="0" simplePos="0" relativeHeight="15856640">
            <wp:simplePos x="0" y="0"/>
            <wp:positionH relativeFrom="page">
              <wp:posOffset>1424939</wp:posOffset>
            </wp:positionH>
            <wp:positionV relativeFrom="paragraph">
              <wp:posOffset>32551</wp:posOffset>
            </wp:positionV>
            <wp:extent cx="111251" cy="115823"/>
            <wp:effectExtent l="0" t="0" r="0" b="0"/>
            <wp:wrapNone/>
            <wp:docPr id="261" name="Image 261"/>
            <wp:cNvGraphicFramePr>
              <a:graphicFrameLocks/>
            </wp:cNvGraphicFramePr>
            <a:graphic>
              <a:graphicData uri="http://schemas.openxmlformats.org/drawingml/2006/picture">
                <pic:pic>
                  <pic:nvPicPr>
                    <pic:cNvPr id="261" name="Image 261"/>
                    <pic:cNvPicPr/>
                  </pic:nvPicPr>
                  <pic:blipFill>
                    <a:blip r:embed="rId34" cstate="print"/>
                    <a:stretch>
                      <a:fillRect/>
                    </a:stretch>
                  </pic:blipFill>
                  <pic:spPr>
                    <a:xfrm>
                      <a:off x="0" y="0"/>
                      <a:ext cx="111251" cy="115823"/>
                    </a:xfrm>
                    <a:prstGeom prst="rect">
                      <a:avLst/>
                    </a:prstGeom>
                  </pic:spPr>
                </pic:pic>
              </a:graphicData>
            </a:graphic>
          </wp:anchor>
        </w:drawing>
      </w:r>
      <w:bookmarkStart w:name="b. A primary care provider participating" w:id="423"/>
      <w:bookmarkEnd w:id="423"/>
      <w:r>
        <w:rPr/>
      </w:r>
      <w:r>
        <w:rPr/>
        <w:t>A primary care provider participating with a Partnership Plan may not simultaneously participate with a Primary Care ACO, or with another Partnership Plan. This primary care provider also may not serve as a PCC in the PCC Plan or a network</w:t>
      </w:r>
      <w:r>
        <w:rPr>
          <w:spacing w:val="-3"/>
        </w:rPr>
        <w:t> </w:t>
      </w:r>
      <w:r>
        <w:rPr/>
        <w:t>PCP</w:t>
      </w:r>
      <w:r>
        <w:rPr>
          <w:spacing w:val="-3"/>
        </w:rPr>
        <w:t> </w:t>
      </w:r>
      <w:r>
        <w:rPr/>
        <w:t>in</w:t>
      </w:r>
      <w:r>
        <w:rPr>
          <w:spacing w:val="-3"/>
        </w:rPr>
        <w:t> </w:t>
      </w:r>
      <w:r>
        <w:rPr/>
        <w:t>the</w:t>
      </w:r>
      <w:r>
        <w:rPr>
          <w:spacing w:val="-4"/>
        </w:rPr>
        <w:t> </w:t>
      </w:r>
      <w:r>
        <w:rPr/>
        <w:t>network</w:t>
      </w:r>
      <w:r>
        <w:rPr>
          <w:spacing w:val="-3"/>
        </w:rPr>
        <w:t> </w:t>
      </w:r>
      <w:r>
        <w:rPr/>
        <w:t>of</w:t>
      </w:r>
      <w:r>
        <w:rPr>
          <w:spacing w:val="-4"/>
        </w:rPr>
        <w:t> </w:t>
      </w:r>
      <w:r>
        <w:rPr/>
        <w:t>a</w:t>
      </w:r>
      <w:r>
        <w:rPr>
          <w:spacing w:val="-4"/>
        </w:rPr>
        <w:t> </w:t>
      </w:r>
      <w:r>
        <w:rPr/>
        <w:t>MassHealth</w:t>
      </w:r>
      <w:r>
        <w:rPr>
          <w:spacing w:val="-3"/>
        </w:rPr>
        <w:t> </w:t>
      </w:r>
      <w:r>
        <w:rPr/>
        <w:t>MCO.</w:t>
      </w:r>
      <w:r>
        <w:rPr>
          <w:spacing w:val="-3"/>
        </w:rPr>
        <w:t> </w:t>
      </w:r>
      <w:r>
        <w:rPr/>
        <w:t>This</w:t>
      </w:r>
      <w:r>
        <w:rPr>
          <w:spacing w:val="-3"/>
        </w:rPr>
        <w:t> </w:t>
      </w:r>
      <w:r>
        <w:rPr/>
        <w:t>primary</w:t>
      </w:r>
      <w:r>
        <w:rPr>
          <w:spacing w:val="-8"/>
        </w:rPr>
        <w:t> </w:t>
      </w:r>
      <w:r>
        <w:rPr/>
        <w:t>care</w:t>
      </w:r>
      <w:r>
        <w:rPr>
          <w:spacing w:val="-4"/>
        </w:rPr>
        <w:t> </w:t>
      </w:r>
      <w:r>
        <w:rPr/>
        <w:t>provider</w:t>
      </w:r>
      <w:r>
        <w:rPr>
          <w:spacing w:val="-4"/>
        </w:rPr>
        <w:t> </w:t>
      </w:r>
      <w:r>
        <w:rPr/>
        <w:t>will exclusively serve as a primary care provider for enrollees in the Partnership Plan.</w:t>
      </w:r>
    </w:p>
    <w:p>
      <w:pPr>
        <w:pStyle w:val="BodyText"/>
        <w:spacing w:before="10"/>
        <w:rPr>
          <w:sz w:val="20"/>
        </w:rPr>
      </w:pPr>
    </w:p>
    <w:p>
      <w:pPr>
        <w:pStyle w:val="BodyText"/>
        <w:ind w:left="871" w:right="1059"/>
      </w:pPr>
      <w:bookmarkStart w:name="Where primary care provider exclusivity " w:id="424"/>
      <w:bookmarkEnd w:id="424"/>
      <w:r>
        <w:rPr/>
      </w:r>
      <w:r>
        <w:rPr/>
        <w:t>Where</w:t>
      </w:r>
      <w:r>
        <w:rPr>
          <w:spacing w:val="-3"/>
        </w:rPr>
        <w:t> </w:t>
      </w:r>
      <w:r>
        <w:rPr/>
        <w:t>primary</w:t>
      </w:r>
      <w:r>
        <w:rPr>
          <w:spacing w:val="-7"/>
        </w:rPr>
        <w:t> </w:t>
      </w:r>
      <w:r>
        <w:rPr/>
        <w:t>care</w:t>
      </w:r>
      <w:r>
        <w:rPr>
          <w:spacing w:val="-3"/>
        </w:rPr>
        <w:t> </w:t>
      </w:r>
      <w:r>
        <w:rPr/>
        <w:t>provider</w:t>
      </w:r>
      <w:r>
        <w:rPr>
          <w:spacing w:val="-3"/>
        </w:rPr>
        <w:t> </w:t>
      </w:r>
      <w:r>
        <w:rPr/>
        <w:t>exclusivity</w:t>
      </w:r>
      <w:r>
        <w:rPr>
          <w:spacing w:val="-7"/>
        </w:rPr>
        <w:t> </w:t>
      </w:r>
      <w:r>
        <w:rPr/>
        <w:t>applies,</w:t>
      </w:r>
      <w:r>
        <w:rPr>
          <w:spacing w:val="-2"/>
        </w:rPr>
        <w:t> </w:t>
      </w:r>
      <w:r>
        <w:rPr/>
        <w:t>it</w:t>
      </w:r>
      <w:r>
        <w:rPr>
          <w:spacing w:val="-2"/>
        </w:rPr>
        <w:t> </w:t>
      </w:r>
      <w:r>
        <w:rPr/>
        <w:t>applies</w:t>
      </w:r>
      <w:r>
        <w:rPr>
          <w:spacing w:val="-2"/>
        </w:rPr>
        <w:t> </w:t>
      </w:r>
      <w:r>
        <w:rPr/>
        <w:t>only</w:t>
      </w:r>
      <w:r>
        <w:rPr>
          <w:spacing w:val="-7"/>
        </w:rPr>
        <w:t> </w:t>
      </w:r>
      <w:r>
        <w:rPr/>
        <w:t>for</w:t>
      </w:r>
      <w:r>
        <w:rPr>
          <w:spacing w:val="-3"/>
        </w:rPr>
        <w:t> </w:t>
      </w:r>
      <w:r>
        <w:rPr/>
        <w:t>MassHealth</w:t>
      </w:r>
      <w:r>
        <w:rPr>
          <w:spacing w:val="-2"/>
        </w:rPr>
        <w:t> </w:t>
      </w:r>
      <w:r>
        <w:rPr/>
        <w:t>members eligible for Managed Care. Primary</w:t>
      </w:r>
      <w:r>
        <w:rPr>
          <w:spacing w:val="-2"/>
        </w:rPr>
        <w:t> </w:t>
      </w:r>
      <w:r>
        <w:rPr/>
        <w:t>care providers may</w:t>
      </w:r>
      <w:r>
        <w:rPr>
          <w:spacing w:val="-2"/>
        </w:rPr>
        <w:t> </w:t>
      </w:r>
      <w:r>
        <w:rPr/>
        <w:t>be in MassHealth’s FFS network and provide services to non-Managed Care enrolled MassHealth members (e.g., dually- eligible FFS members).</w:t>
      </w:r>
    </w:p>
    <w:p>
      <w:pPr>
        <w:pStyle w:val="BodyText"/>
        <w:spacing w:before="10"/>
        <w:rPr>
          <w:sz w:val="20"/>
        </w:rPr>
      </w:pPr>
    </w:p>
    <w:p>
      <w:pPr>
        <w:pStyle w:val="BodyText"/>
        <w:ind w:left="871" w:right="1100"/>
      </w:pPr>
      <w:r>
        <w:rPr/>
        <w:drawing>
          <wp:anchor distT="0" distB="0" distL="0" distR="0" allowOverlap="1" layoutInCell="1" locked="0" behindDoc="0" simplePos="0" relativeHeight="15857152">
            <wp:simplePos x="0" y="0"/>
            <wp:positionH relativeFrom="page">
              <wp:posOffset>978408</wp:posOffset>
            </wp:positionH>
            <wp:positionV relativeFrom="paragraph">
              <wp:posOffset>35599</wp:posOffset>
            </wp:positionV>
            <wp:extent cx="214883" cy="112775"/>
            <wp:effectExtent l="0" t="0" r="0" b="0"/>
            <wp:wrapNone/>
            <wp:docPr id="262" name="Image 262"/>
            <wp:cNvGraphicFramePr>
              <a:graphicFrameLocks/>
            </wp:cNvGraphicFramePr>
            <a:graphic>
              <a:graphicData uri="http://schemas.openxmlformats.org/drawingml/2006/picture">
                <pic:pic>
                  <pic:nvPicPr>
                    <pic:cNvPr id="262" name="Image 262"/>
                    <pic:cNvPicPr/>
                  </pic:nvPicPr>
                  <pic:blipFill>
                    <a:blip r:embed="rId139" cstate="print"/>
                    <a:stretch>
                      <a:fillRect/>
                    </a:stretch>
                  </pic:blipFill>
                  <pic:spPr>
                    <a:xfrm>
                      <a:off x="0" y="0"/>
                      <a:ext cx="214883" cy="112775"/>
                    </a:xfrm>
                    <a:prstGeom prst="rect">
                      <a:avLst/>
                    </a:prstGeom>
                  </pic:spPr>
                </pic:pic>
              </a:graphicData>
            </a:graphic>
          </wp:anchor>
        </w:drawing>
      </w:r>
      <w:bookmarkStart w:name="8.8. Community Partners Program. Communi" w:id="425"/>
      <w:bookmarkEnd w:id="425"/>
      <w:r>
        <w:rPr/>
      </w:r>
      <w:r>
        <w:rPr>
          <w:b/>
        </w:rPr>
        <w:t>Community Partners Program. </w:t>
      </w:r>
      <w:r>
        <w:rPr/>
        <w:t>Community Partners (CPs) are community-based organizations that provide care coordination and offer members linkages and support to community</w:t>
      </w:r>
      <w:r>
        <w:rPr>
          <w:spacing w:val="-1"/>
        </w:rPr>
        <w:t> </w:t>
      </w:r>
      <w:r>
        <w:rPr/>
        <w:t>resources that facilitate a coordinated, holistic approach to care.</w:t>
      </w:r>
      <w:r>
        <w:rPr>
          <w:spacing w:val="40"/>
        </w:rPr>
        <w:t> </w:t>
      </w:r>
      <w:r>
        <w:rPr/>
        <w:t>CPs provide supports such as person-centered care coordination, assessments, care planning, navigation</w:t>
      </w:r>
      <w:r>
        <w:rPr>
          <w:spacing w:val="-3"/>
        </w:rPr>
        <w:t> </w:t>
      </w:r>
      <w:r>
        <w:rPr/>
        <w:t>to</w:t>
      </w:r>
      <w:r>
        <w:rPr>
          <w:spacing w:val="-3"/>
        </w:rPr>
        <w:t> </w:t>
      </w:r>
      <w:r>
        <w:rPr/>
        <w:t>social</w:t>
      </w:r>
      <w:r>
        <w:rPr>
          <w:spacing w:val="-3"/>
        </w:rPr>
        <w:t> </w:t>
      </w:r>
      <w:r>
        <w:rPr/>
        <w:t>and</w:t>
      </w:r>
      <w:r>
        <w:rPr>
          <w:spacing w:val="-3"/>
        </w:rPr>
        <w:t> </w:t>
      </w:r>
      <w:r>
        <w:rPr/>
        <w:t>community</w:t>
      </w:r>
      <w:r>
        <w:rPr>
          <w:spacing w:val="-11"/>
        </w:rPr>
        <w:t> </w:t>
      </w:r>
      <w:r>
        <w:rPr/>
        <w:t>services,</w:t>
      </w:r>
      <w:r>
        <w:rPr>
          <w:spacing w:val="-1"/>
        </w:rPr>
        <w:t> </w:t>
      </w:r>
      <w:r>
        <w:rPr/>
        <w:t>and</w:t>
      </w:r>
      <w:r>
        <w:rPr>
          <w:spacing w:val="-2"/>
        </w:rPr>
        <w:t> </w:t>
      </w:r>
      <w:r>
        <w:rPr/>
        <w:t>health</w:t>
      </w:r>
      <w:r>
        <w:rPr>
          <w:spacing w:val="-3"/>
        </w:rPr>
        <w:t> </w:t>
      </w:r>
      <w:r>
        <w:rPr/>
        <w:t>promotion</w:t>
      </w:r>
      <w:r>
        <w:rPr>
          <w:spacing w:val="-3"/>
        </w:rPr>
        <w:t> </w:t>
      </w:r>
      <w:r>
        <w:rPr/>
        <w:t>and</w:t>
      </w:r>
      <w:r>
        <w:rPr>
          <w:spacing w:val="-3"/>
        </w:rPr>
        <w:t> </w:t>
      </w:r>
      <w:r>
        <w:rPr/>
        <w:t>wellness</w:t>
      </w:r>
      <w:r>
        <w:rPr>
          <w:spacing w:val="-3"/>
        </w:rPr>
        <w:t> </w:t>
      </w:r>
      <w:r>
        <w:rPr/>
        <w:t>activities to their enrolled members.</w:t>
      </w:r>
      <w:r>
        <w:rPr>
          <w:spacing w:val="40"/>
        </w:rPr>
        <w:t> </w:t>
      </w:r>
      <w:r>
        <w:rPr/>
        <w:t>Behavioral Health (BH) CPs are responsible for providing supports to certain managed care enrolled members with serious mental illness (SMI),</w:t>
      </w:r>
    </w:p>
    <w:p>
      <w:pPr>
        <w:spacing w:after="0"/>
        <w:sectPr>
          <w:pgSz w:w="12240" w:h="15840"/>
          <w:pgMar w:header="0" w:footer="1201" w:top="1360" w:bottom="1400" w:left="1200" w:right="400"/>
        </w:sectPr>
      </w:pPr>
    </w:p>
    <w:p>
      <w:pPr>
        <w:pStyle w:val="BodyText"/>
        <w:spacing w:before="79"/>
        <w:ind w:left="871" w:right="1141"/>
      </w:pPr>
      <w:r>
        <w:rPr/>
        <w:t>serious emotional disturbance (SED), and/or substance use disorder (SUD).</w:t>
      </w:r>
      <w:r>
        <w:rPr>
          <w:spacing w:val="40"/>
        </w:rPr>
        <w:t> </w:t>
      </w:r>
      <w:r>
        <w:rPr/>
        <w:t>Long Term Services and Supports (LTSS) CPs are responsible for providing supports to certain managed care enrolled members with LTSS needs including physical disabilities, members with acquired or traumatic brain injury, members with intellectual or developmental disabilities (ID/DD).</w:t>
      </w:r>
      <w:r>
        <w:rPr>
          <w:spacing w:val="40"/>
        </w:rPr>
        <w:t> </w:t>
      </w:r>
      <w:r>
        <w:rPr/>
        <w:t>ACOs and MCOs identify</w:t>
      </w:r>
      <w:r>
        <w:rPr>
          <w:spacing w:val="-1"/>
        </w:rPr>
        <w:t> </w:t>
      </w:r>
      <w:r>
        <w:rPr/>
        <w:t>members for enrollment with CPs. MassHealth may also identify members to ACOs and MCOs for enrollment with</w:t>
      </w:r>
      <w:r>
        <w:rPr>
          <w:spacing w:val="-3"/>
        </w:rPr>
        <w:t> </w:t>
      </w:r>
      <w:r>
        <w:rPr/>
        <w:t>CPs.</w:t>
      </w:r>
      <w:r>
        <w:rPr>
          <w:spacing w:val="-3"/>
        </w:rPr>
        <w:t> </w:t>
      </w:r>
      <w:r>
        <w:rPr/>
        <w:t>As</w:t>
      </w:r>
      <w:r>
        <w:rPr>
          <w:spacing w:val="-3"/>
        </w:rPr>
        <w:t> </w:t>
      </w:r>
      <w:r>
        <w:rPr/>
        <w:t>of</w:t>
      </w:r>
      <w:r>
        <w:rPr>
          <w:spacing w:val="-4"/>
        </w:rPr>
        <w:t> </w:t>
      </w:r>
      <w:r>
        <w:rPr/>
        <w:t>April</w:t>
      </w:r>
      <w:r>
        <w:rPr>
          <w:spacing w:val="-3"/>
        </w:rPr>
        <w:t> </w:t>
      </w:r>
      <w:r>
        <w:rPr/>
        <w:t>1,</w:t>
      </w:r>
      <w:r>
        <w:rPr>
          <w:spacing w:val="-3"/>
        </w:rPr>
        <w:t> </w:t>
      </w:r>
      <w:r>
        <w:rPr/>
        <w:t>2023,</w:t>
      </w:r>
      <w:r>
        <w:rPr>
          <w:spacing w:val="-3"/>
        </w:rPr>
        <w:t> </w:t>
      </w:r>
      <w:r>
        <w:rPr/>
        <w:t>ACOs</w:t>
      </w:r>
      <w:r>
        <w:rPr>
          <w:spacing w:val="-3"/>
        </w:rPr>
        <w:t> </w:t>
      </w:r>
      <w:r>
        <w:rPr/>
        <w:t>and</w:t>
      </w:r>
      <w:r>
        <w:rPr>
          <w:spacing w:val="-3"/>
        </w:rPr>
        <w:t> </w:t>
      </w:r>
      <w:r>
        <w:rPr/>
        <w:t>MassHealth</w:t>
      </w:r>
      <w:r>
        <w:rPr>
          <w:spacing w:val="-3"/>
        </w:rPr>
        <w:t> </w:t>
      </w:r>
      <w:r>
        <w:rPr/>
        <w:t>MCOs</w:t>
      </w:r>
      <w:r>
        <w:rPr>
          <w:spacing w:val="-3"/>
        </w:rPr>
        <w:t> </w:t>
      </w:r>
      <w:r>
        <w:rPr/>
        <w:t>will</w:t>
      </w:r>
      <w:r>
        <w:rPr>
          <w:spacing w:val="-3"/>
        </w:rPr>
        <w:t> </w:t>
      </w:r>
      <w:r>
        <w:rPr/>
        <w:t>be</w:t>
      </w:r>
      <w:r>
        <w:rPr>
          <w:spacing w:val="-4"/>
        </w:rPr>
        <w:t> </w:t>
      </w:r>
      <w:r>
        <w:rPr/>
        <w:t>required</w:t>
      </w:r>
      <w:r>
        <w:rPr>
          <w:spacing w:val="-3"/>
        </w:rPr>
        <w:t> </w:t>
      </w:r>
      <w:r>
        <w:rPr/>
        <w:t>to</w:t>
      </w:r>
      <w:r>
        <w:rPr>
          <w:spacing w:val="-3"/>
        </w:rPr>
        <w:t> </w:t>
      </w:r>
      <w:r>
        <w:rPr/>
        <w:t>contract with CPs for the provision of CP supports and will pay</w:t>
      </w:r>
      <w:r>
        <w:rPr>
          <w:spacing w:val="-4"/>
        </w:rPr>
        <w:t> </w:t>
      </w:r>
      <w:r>
        <w:rPr/>
        <w:t>CPs directly</w:t>
      </w:r>
      <w:r>
        <w:rPr>
          <w:spacing w:val="-4"/>
        </w:rPr>
        <w:t> </w:t>
      </w:r>
      <w:r>
        <w:rPr/>
        <w:t>based on enrollment and quality performance.MassHealth may specify the rates and payment methodologies through which ACOs and MCOs pay CPs.</w:t>
      </w:r>
    </w:p>
    <w:p>
      <w:pPr>
        <w:pStyle w:val="BodyText"/>
        <w:spacing w:before="10"/>
        <w:rPr>
          <w:sz w:val="20"/>
        </w:rPr>
      </w:pPr>
    </w:p>
    <w:p>
      <w:pPr>
        <w:pStyle w:val="BodyText"/>
        <w:ind w:left="1411" w:right="1059"/>
      </w:pPr>
      <w:r>
        <w:rPr/>
        <w:drawing>
          <wp:anchor distT="0" distB="0" distL="0" distR="0" allowOverlap="1" layoutInCell="1" locked="0" behindDoc="0" simplePos="0" relativeHeight="15857664">
            <wp:simplePos x="0" y="0"/>
            <wp:positionH relativeFrom="page">
              <wp:posOffset>1431036</wp:posOffset>
            </wp:positionH>
            <wp:positionV relativeFrom="paragraph">
              <wp:posOffset>67604</wp:posOffset>
            </wp:positionV>
            <wp:extent cx="96011" cy="80771"/>
            <wp:effectExtent l="0" t="0" r="0" b="0"/>
            <wp:wrapNone/>
            <wp:docPr id="263" name="Image 263"/>
            <wp:cNvGraphicFramePr>
              <a:graphicFrameLocks/>
            </wp:cNvGraphicFramePr>
            <a:graphic>
              <a:graphicData uri="http://schemas.openxmlformats.org/drawingml/2006/picture">
                <pic:pic>
                  <pic:nvPicPr>
                    <pic:cNvPr id="263" name="Image 263"/>
                    <pic:cNvPicPr/>
                  </pic:nvPicPr>
                  <pic:blipFill>
                    <a:blip r:embed="rId40" cstate="print"/>
                    <a:stretch>
                      <a:fillRect/>
                    </a:stretch>
                  </pic:blipFill>
                  <pic:spPr>
                    <a:xfrm>
                      <a:off x="0" y="0"/>
                      <a:ext cx="96011" cy="80771"/>
                    </a:xfrm>
                    <a:prstGeom prst="rect">
                      <a:avLst/>
                    </a:prstGeom>
                  </pic:spPr>
                </pic:pic>
              </a:graphicData>
            </a:graphic>
          </wp:anchor>
        </w:drawing>
      </w:r>
      <w:bookmarkStart w:name="a. Pursuant to expenditure authority, Ma" w:id="426"/>
      <w:bookmarkEnd w:id="426"/>
      <w:r>
        <w:rPr/>
      </w:r>
      <w:r>
        <w:rPr/>
        <w:t>Pursuant</w:t>
      </w:r>
      <w:r>
        <w:rPr>
          <w:spacing w:val="-3"/>
        </w:rPr>
        <w:t> </w:t>
      </w:r>
      <w:r>
        <w:rPr/>
        <w:t>to</w:t>
      </w:r>
      <w:r>
        <w:rPr>
          <w:spacing w:val="-3"/>
        </w:rPr>
        <w:t> </w:t>
      </w:r>
      <w:r>
        <w:rPr/>
        <w:t>expenditure</w:t>
      </w:r>
      <w:r>
        <w:rPr>
          <w:spacing w:val="-4"/>
        </w:rPr>
        <w:t> </w:t>
      </w:r>
      <w:r>
        <w:rPr/>
        <w:t>authority,</w:t>
      </w:r>
      <w:r>
        <w:rPr>
          <w:spacing w:val="-3"/>
        </w:rPr>
        <w:t> </w:t>
      </w:r>
      <w:r>
        <w:rPr/>
        <w:t>MassHealth</w:t>
      </w:r>
      <w:r>
        <w:rPr>
          <w:spacing w:val="-3"/>
        </w:rPr>
        <w:t> </w:t>
      </w:r>
      <w:r>
        <w:rPr/>
        <w:t>may</w:t>
      </w:r>
      <w:r>
        <w:rPr>
          <w:spacing w:val="-6"/>
        </w:rPr>
        <w:t> </w:t>
      </w:r>
      <w:r>
        <w:rPr/>
        <w:t>also</w:t>
      </w:r>
      <w:r>
        <w:rPr>
          <w:spacing w:val="-3"/>
        </w:rPr>
        <w:t> </w:t>
      </w:r>
      <w:r>
        <w:rPr/>
        <w:t>provide</w:t>
      </w:r>
      <w:r>
        <w:rPr>
          <w:spacing w:val="-4"/>
        </w:rPr>
        <w:t> </w:t>
      </w:r>
      <w:r>
        <w:rPr/>
        <w:t>up</w:t>
      </w:r>
      <w:r>
        <w:rPr>
          <w:spacing w:val="-3"/>
        </w:rPr>
        <w:t> </w:t>
      </w:r>
      <w:r>
        <w:rPr/>
        <w:t>to</w:t>
      </w:r>
      <w:r>
        <w:rPr>
          <w:spacing w:val="-3"/>
        </w:rPr>
        <w:t> </w:t>
      </w:r>
      <w:r>
        <w:rPr/>
        <w:t>$20</w:t>
      </w:r>
      <w:r>
        <w:rPr>
          <w:spacing w:val="-3"/>
        </w:rPr>
        <w:t> </w:t>
      </w:r>
      <w:r>
        <w:rPr/>
        <w:t>million</w:t>
      </w:r>
      <w:r>
        <w:rPr>
          <w:spacing w:val="-3"/>
        </w:rPr>
        <w:t> </w:t>
      </w:r>
      <w:r>
        <w:rPr/>
        <w:t>in additional payments to LTSS CPs (paid directly through the Commonwealth) to support LTSS CPs enhanced care coordination responsibilities including</w:t>
      </w:r>
    </w:p>
    <w:p>
      <w:pPr>
        <w:pStyle w:val="BodyText"/>
        <w:ind w:left="1411" w:right="1086"/>
      </w:pPr>
      <w:r>
        <w:rPr/>
        <w:t>technology, workforce, ramp up, and operations. LTSS CPs will have substantially higher expectations than in the current demonstration increasing their scope of responsibilities</w:t>
      </w:r>
      <w:r>
        <w:rPr>
          <w:spacing w:val="-3"/>
        </w:rPr>
        <w:t> </w:t>
      </w:r>
      <w:r>
        <w:rPr/>
        <w:t>to</w:t>
      </w:r>
      <w:r>
        <w:rPr>
          <w:spacing w:val="-3"/>
        </w:rPr>
        <w:t> </w:t>
      </w:r>
      <w:r>
        <w:rPr/>
        <w:t>align</w:t>
      </w:r>
      <w:r>
        <w:rPr>
          <w:spacing w:val="-3"/>
        </w:rPr>
        <w:t> </w:t>
      </w:r>
      <w:r>
        <w:rPr/>
        <w:t>with</w:t>
      </w:r>
      <w:r>
        <w:rPr>
          <w:spacing w:val="-3"/>
        </w:rPr>
        <w:t> </w:t>
      </w:r>
      <w:r>
        <w:rPr/>
        <w:t>the</w:t>
      </w:r>
      <w:r>
        <w:rPr>
          <w:spacing w:val="-4"/>
        </w:rPr>
        <w:t> </w:t>
      </w:r>
      <w:r>
        <w:rPr/>
        <w:t>current expecations</w:t>
      </w:r>
      <w:r>
        <w:rPr>
          <w:spacing w:val="-3"/>
        </w:rPr>
        <w:t> </w:t>
      </w:r>
      <w:r>
        <w:rPr/>
        <w:t>of</w:t>
      </w:r>
      <w:r>
        <w:rPr>
          <w:spacing w:val="-4"/>
        </w:rPr>
        <w:t> </w:t>
      </w:r>
      <w:r>
        <w:rPr/>
        <w:t>the</w:t>
      </w:r>
      <w:r>
        <w:rPr>
          <w:spacing w:val="-4"/>
        </w:rPr>
        <w:t> </w:t>
      </w:r>
      <w:r>
        <w:rPr/>
        <w:t>BH</w:t>
      </w:r>
      <w:r>
        <w:rPr>
          <w:spacing w:val="-4"/>
        </w:rPr>
        <w:t> </w:t>
      </w:r>
      <w:r>
        <w:rPr/>
        <w:t>CP</w:t>
      </w:r>
      <w:r>
        <w:rPr>
          <w:spacing w:val="-3"/>
        </w:rPr>
        <w:t> </w:t>
      </w:r>
      <w:r>
        <w:rPr/>
        <w:t>model.</w:t>
      </w:r>
      <w:r>
        <w:rPr>
          <w:spacing w:val="40"/>
        </w:rPr>
        <w:t> </w:t>
      </w:r>
      <w:r>
        <w:rPr/>
        <w:t>These</w:t>
      </w:r>
      <w:r>
        <w:rPr>
          <w:spacing w:val="-4"/>
        </w:rPr>
        <w:t> </w:t>
      </w:r>
      <w:r>
        <w:rPr/>
        <w:t>net new activities will include support of members with complex BH needs, technological integration with BH systems including psychiatric Emergency Notification Systems (ENS) and new organizational partnerships with Independent Living Centers (ILCs) and Aging Services Access Points (ASAPs), Electronic Health Record (EHR) enhancements to allow for clinical assessment, hiring and training</w:t>
      </w:r>
      <w:r>
        <w:rPr>
          <w:spacing w:val="-6"/>
        </w:rPr>
        <w:t> </w:t>
      </w:r>
      <w:r>
        <w:rPr/>
        <w:t>staff</w:t>
      </w:r>
      <w:r>
        <w:rPr>
          <w:spacing w:val="-5"/>
        </w:rPr>
        <w:t> </w:t>
      </w:r>
      <w:r>
        <w:rPr/>
        <w:t>for</w:t>
      </w:r>
      <w:r>
        <w:rPr>
          <w:spacing w:val="-3"/>
        </w:rPr>
        <w:t> </w:t>
      </w:r>
      <w:r>
        <w:rPr/>
        <w:t>clinical</w:t>
      </w:r>
      <w:r>
        <w:rPr>
          <w:spacing w:val="-2"/>
        </w:rPr>
        <w:t> </w:t>
      </w:r>
      <w:r>
        <w:rPr/>
        <w:t>assessment,</w:t>
      </w:r>
      <w:r>
        <w:rPr>
          <w:spacing w:val="-4"/>
        </w:rPr>
        <w:t> </w:t>
      </w:r>
      <w:r>
        <w:rPr/>
        <w:t>clinical</w:t>
      </w:r>
      <w:r>
        <w:rPr>
          <w:spacing w:val="-4"/>
        </w:rPr>
        <w:t> </w:t>
      </w:r>
      <w:r>
        <w:rPr/>
        <w:t>staffing</w:t>
      </w:r>
      <w:r>
        <w:rPr>
          <w:spacing w:val="-6"/>
        </w:rPr>
        <w:t> </w:t>
      </w:r>
      <w:r>
        <w:rPr/>
        <w:t>with</w:t>
      </w:r>
      <w:r>
        <w:rPr>
          <w:spacing w:val="-4"/>
        </w:rPr>
        <w:t> </w:t>
      </w:r>
      <w:r>
        <w:rPr/>
        <w:t>minimum</w:t>
      </w:r>
      <w:r>
        <w:rPr>
          <w:spacing w:val="-4"/>
        </w:rPr>
        <w:t> </w:t>
      </w:r>
      <w:r>
        <w:rPr/>
        <w:t>staff</w:t>
      </w:r>
      <w:r>
        <w:rPr>
          <w:spacing w:val="-5"/>
        </w:rPr>
        <w:t> </w:t>
      </w:r>
      <w:r>
        <w:rPr/>
        <w:t>to</w:t>
      </w:r>
      <w:r>
        <w:rPr>
          <w:spacing w:val="-4"/>
        </w:rPr>
        <w:t> </w:t>
      </w:r>
      <w:r>
        <w:rPr/>
        <w:t>member rations, and new expectations for hiring, training and supervision of staff with BH expertise. This funding is separate and distinct from the payment the state makes to the applicable managed care plans for CPs.</w:t>
      </w:r>
      <w:r>
        <w:rPr>
          <w:spacing w:val="80"/>
        </w:rPr>
        <w:t> </w:t>
      </w:r>
      <w:r>
        <w:rPr/>
        <w:t>The Commonwealth must ensure there is no duplication of CP funds.</w:t>
      </w:r>
      <w:r>
        <w:rPr>
          <w:spacing w:val="40"/>
        </w:rPr>
        <w:t> </w:t>
      </w:r>
      <w:r>
        <w:rPr/>
        <w:t>This funding must be claimed at the administrative match rate.</w:t>
      </w:r>
    </w:p>
    <w:p>
      <w:pPr>
        <w:pStyle w:val="BodyText"/>
        <w:spacing w:before="10"/>
        <w:rPr>
          <w:sz w:val="20"/>
        </w:rPr>
      </w:pPr>
    </w:p>
    <w:p>
      <w:pPr>
        <w:pStyle w:val="BodyText"/>
        <w:spacing w:before="1"/>
        <w:ind w:left="871" w:right="1059"/>
      </w:pPr>
      <w:r>
        <w:rPr/>
        <w:drawing>
          <wp:anchor distT="0" distB="0" distL="0" distR="0" allowOverlap="1" layoutInCell="1" locked="0" behindDoc="0" simplePos="0" relativeHeight="15858176">
            <wp:simplePos x="0" y="0"/>
            <wp:positionH relativeFrom="page">
              <wp:posOffset>978408</wp:posOffset>
            </wp:positionH>
            <wp:positionV relativeFrom="paragraph">
              <wp:posOffset>36234</wp:posOffset>
            </wp:positionV>
            <wp:extent cx="214883" cy="112775"/>
            <wp:effectExtent l="0" t="0" r="0" b="0"/>
            <wp:wrapNone/>
            <wp:docPr id="264" name="Image 264"/>
            <wp:cNvGraphicFramePr>
              <a:graphicFrameLocks/>
            </wp:cNvGraphicFramePr>
            <a:graphic>
              <a:graphicData uri="http://schemas.openxmlformats.org/drawingml/2006/picture">
                <pic:pic>
                  <pic:nvPicPr>
                    <pic:cNvPr id="264" name="Image 264"/>
                    <pic:cNvPicPr/>
                  </pic:nvPicPr>
                  <pic:blipFill>
                    <a:blip r:embed="rId140" cstate="print"/>
                    <a:stretch>
                      <a:fillRect/>
                    </a:stretch>
                  </pic:blipFill>
                  <pic:spPr>
                    <a:xfrm>
                      <a:off x="0" y="0"/>
                      <a:ext cx="214883" cy="112775"/>
                    </a:xfrm>
                    <a:prstGeom prst="rect">
                      <a:avLst/>
                    </a:prstGeom>
                  </pic:spPr>
                </pic:pic>
              </a:graphicData>
            </a:graphic>
          </wp:anchor>
        </w:drawing>
      </w:r>
      <w:bookmarkStart w:name="8.9. State Directed Payments. MassHealth" w:id="427"/>
      <w:bookmarkEnd w:id="427"/>
      <w:r>
        <w:rPr/>
      </w:r>
      <w:r>
        <w:rPr>
          <w:b/>
        </w:rPr>
        <w:t>State Directed Payments. </w:t>
      </w:r>
      <w:r>
        <w:rPr/>
        <w:t>MassHealth may make periodic payments of the types described</w:t>
      </w:r>
      <w:r>
        <w:rPr>
          <w:spacing w:val="-3"/>
        </w:rPr>
        <w:t> </w:t>
      </w:r>
      <w:r>
        <w:rPr/>
        <w:t>in</w:t>
      </w:r>
      <w:r>
        <w:rPr>
          <w:spacing w:val="-3"/>
        </w:rPr>
        <w:t> </w:t>
      </w:r>
      <w:r>
        <w:rPr/>
        <w:t>Attachment</w:t>
      </w:r>
      <w:r>
        <w:rPr>
          <w:spacing w:val="-1"/>
        </w:rPr>
        <w:t> </w:t>
      </w:r>
      <w:r>
        <w:rPr/>
        <w:t>Q</w:t>
      </w:r>
      <w:r>
        <w:rPr>
          <w:spacing w:val="-4"/>
        </w:rPr>
        <w:t> </w:t>
      </w:r>
      <w:r>
        <w:rPr/>
        <w:t>to</w:t>
      </w:r>
      <w:r>
        <w:rPr>
          <w:spacing w:val="-3"/>
        </w:rPr>
        <w:t> </w:t>
      </w:r>
      <w:r>
        <w:rPr/>
        <w:t>managed</w:t>
      </w:r>
      <w:r>
        <w:rPr>
          <w:spacing w:val="-3"/>
        </w:rPr>
        <w:t> </w:t>
      </w:r>
      <w:r>
        <w:rPr/>
        <w:t>care</w:t>
      </w:r>
      <w:r>
        <w:rPr>
          <w:spacing w:val="-4"/>
        </w:rPr>
        <w:t> </w:t>
      </w:r>
      <w:r>
        <w:rPr/>
        <w:t>plans,</w:t>
      </w:r>
      <w:r>
        <w:rPr>
          <w:spacing w:val="-1"/>
        </w:rPr>
        <w:t> </w:t>
      </w:r>
      <w:r>
        <w:rPr/>
        <w:t>including</w:t>
      </w:r>
      <w:r>
        <w:rPr>
          <w:spacing w:val="-6"/>
        </w:rPr>
        <w:t> </w:t>
      </w:r>
      <w:r>
        <w:rPr/>
        <w:t>MCOs,</w:t>
      </w:r>
      <w:r>
        <w:rPr>
          <w:spacing w:val="-3"/>
        </w:rPr>
        <w:t> </w:t>
      </w:r>
      <w:r>
        <w:rPr/>
        <w:t>Partnership</w:t>
      </w:r>
      <w:r>
        <w:rPr>
          <w:spacing w:val="-3"/>
        </w:rPr>
        <w:t> </w:t>
      </w:r>
      <w:r>
        <w:rPr/>
        <w:t>Plans</w:t>
      </w:r>
      <w:r>
        <w:rPr>
          <w:spacing w:val="-3"/>
        </w:rPr>
        <w:t> </w:t>
      </w:r>
      <w:r>
        <w:rPr/>
        <w:t>and the Behavioral Health PIHP, and direct that these payments be made to providers in the plans’ networks.</w:t>
      </w:r>
      <w:r>
        <w:rPr>
          <w:spacing w:val="40"/>
        </w:rPr>
        <w:t> </w:t>
      </w:r>
      <w:r>
        <w:rPr/>
        <w:t>Such payments will be consistent with 42 CFR 438.6(c).</w:t>
      </w:r>
      <w:r>
        <w:rPr>
          <w:spacing w:val="40"/>
        </w:rPr>
        <w:t> </w:t>
      </w:r>
      <w:r>
        <w:rPr/>
        <w:t>These STC do not constitute any direct approval of any state directed payment arrangement.</w:t>
      </w:r>
    </w:p>
    <w:p>
      <w:pPr>
        <w:pStyle w:val="BodyText"/>
        <w:spacing w:before="9"/>
        <w:rPr>
          <w:sz w:val="20"/>
        </w:rPr>
      </w:pPr>
    </w:p>
    <w:p>
      <w:pPr>
        <w:pStyle w:val="BodyText"/>
        <w:spacing w:before="1"/>
        <w:ind w:left="871" w:right="1059"/>
      </w:pPr>
      <w:r>
        <w:rPr/>
        <w:drawing>
          <wp:anchor distT="0" distB="0" distL="0" distR="0" allowOverlap="1" layoutInCell="1" locked="0" behindDoc="0" simplePos="0" relativeHeight="15858688">
            <wp:simplePos x="0" y="0"/>
            <wp:positionH relativeFrom="page">
              <wp:posOffset>900683</wp:posOffset>
            </wp:positionH>
            <wp:positionV relativeFrom="paragraph">
              <wp:posOffset>36234</wp:posOffset>
            </wp:positionV>
            <wp:extent cx="291083" cy="112775"/>
            <wp:effectExtent l="0" t="0" r="0" b="0"/>
            <wp:wrapNone/>
            <wp:docPr id="265" name="Image 265"/>
            <wp:cNvGraphicFramePr>
              <a:graphicFrameLocks/>
            </wp:cNvGraphicFramePr>
            <a:graphic>
              <a:graphicData uri="http://schemas.openxmlformats.org/drawingml/2006/picture">
                <pic:pic>
                  <pic:nvPicPr>
                    <pic:cNvPr id="265" name="Image 265"/>
                    <pic:cNvPicPr/>
                  </pic:nvPicPr>
                  <pic:blipFill>
                    <a:blip r:embed="rId141" cstate="print"/>
                    <a:stretch>
                      <a:fillRect/>
                    </a:stretch>
                  </pic:blipFill>
                  <pic:spPr>
                    <a:xfrm>
                      <a:off x="0" y="0"/>
                      <a:ext cx="291083" cy="112775"/>
                    </a:xfrm>
                    <a:prstGeom prst="rect">
                      <a:avLst/>
                    </a:prstGeom>
                  </pic:spPr>
                </pic:pic>
              </a:graphicData>
            </a:graphic>
          </wp:anchor>
        </w:drawing>
      </w:r>
      <w:bookmarkStart w:name="8.10. Data Collection and Reporting. The" w:id="428"/>
      <w:bookmarkEnd w:id="428"/>
      <w:r>
        <w:rPr/>
      </w:r>
      <w:r>
        <w:rPr>
          <w:b/>
        </w:rPr>
        <w:t>Data Collection and Reporting. </w:t>
      </w:r>
      <w:r>
        <w:rPr/>
        <w:t>The Beneficiary Support System shall track the volume and nature of beneficiary contacts and the resolution of such contacts on a schedule and manner determined by the state, but no less frequently than quarterly.</w:t>
      </w:r>
      <w:r>
        <w:rPr>
          <w:spacing w:val="40"/>
        </w:rPr>
        <w:t> </w:t>
      </w:r>
      <w:r>
        <w:rPr/>
        <w:t>The state must include</w:t>
      </w:r>
      <w:r>
        <w:rPr>
          <w:spacing w:val="-4"/>
        </w:rPr>
        <w:t> </w:t>
      </w:r>
      <w:r>
        <w:rPr/>
        <w:t>relevant</w:t>
      </w:r>
      <w:r>
        <w:rPr>
          <w:spacing w:val="-4"/>
        </w:rPr>
        <w:t> </w:t>
      </w:r>
      <w:r>
        <w:rPr/>
        <w:t>information</w:t>
      </w:r>
      <w:r>
        <w:rPr>
          <w:spacing w:val="-4"/>
        </w:rPr>
        <w:t> </w:t>
      </w:r>
      <w:r>
        <w:rPr/>
        <w:t>in</w:t>
      </w:r>
      <w:r>
        <w:rPr>
          <w:spacing w:val="-4"/>
        </w:rPr>
        <w:t> </w:t>
      </w:r>
      <w:r>
        <w:rPr/>
        <w:t>its</w:t>
      </w:r>
      <w:r>
        <w:rPr>
          <w:spacing w:val="-4"/>
        </w:rPr>
        <w:t> </w:t>
      </w:r>
      <w:r>
        <w:rPr/>
        <w:t>Quarterly</w:t>
      </w:r>
      <w:r>
        <w:rPr>
          <w:spacing w:val="-6"/>
        </w:rPr>
        <w:t> </w:t>
      </w:r>
      <w:r>
        <w:rPr/>
        <w:t>and</w:t>
      </w:r>
      <w:r>
        <w:rPr>
          <w:spacing w:val="-2"/>
        </w:rPr>
        <w:t> </w:t>
      </w:r>
      <w:r>
        <w:rPr/>
        <w:t>Annual</w:t>
      </w:r>
      <w:r>
        <w:rPr>
          <w:spacing w:val="-4"/>
        </w:rPr>
        <w:t> </w:t>
      </w:r>
      <w:r>
        <w:rPr/>
        <w:t>Monitoring</w:t>
      </w:r>
      <w:r>
        <w:rPr>
          <w:spacing w:val="-6"/>
        </w:rPr>
        <w:t> </w:t>
      </w:r>
      <w:r>
        <w:rPr/>
        <w:t>Reports,</w:t>
      </w:r>
      <w:r>
        <w:rPr>
          <w:spacing w:val="-4"/>
        </w:rPr>
        <w:t> </w:t>
      </w:r>
      <w:r>
        <w:rPr/>
        <w:t>as</w:t>
      </w:r>
      <w:r>
        <w:rPr>
          <w:spacing w:val="-4"/>
        </w:rPr>
        <w:t> </w:t>
      </w:r>
      <w:r>
        <w:rPr/>
        <w:t>described further in STC 16.6.</w:t>
      </w:r>
    </w:p>
    <w:p>
      <w:pPr>
        <w:pStyle w:val="BodyText"/>
        <w:spacing w:before="10"/>
        <w:rPr>
          <w:sz w:val="20"/>
        </w:rPr>
      </w:pPr>
    </w:p>
    <w:p>
      <w:pPr>
        <w:pStyle w:val="Heading5"/>
        <w:ind w:left="871"/>
      </w:pPr>
      <w:r>
        <w:rPr/>
        <w:drawing>
          <wp:anchor distT="0" distB="0" distL="0" distR="0" allowOverlap="1" layoutInCell="1" locked="0" behindDoc="0" simplePos="0" relativeHeight="15859200">
            <wp:simplePos x="0" y="0"/>
            <wp:positionH relativeFrom="page">
              <wp:posOffset>900683</wp:posOffset>
            </wp:positionH>
            <wp:positionV relativeFrom="paragraph">
              <wp:posOffset>35599</wp:posOffset>
            </wp:positionV>
            <wp:extent cx="291083" cy="112775"/>
            <wp:effectExtent l="0" t="0" r="0" b="0"/>
            <wp:wrapNone/>
            <wp:docPr id="266" name="Image 266"/>
            <wp:cNvGraphicFramePr>
              <a:graphicFrameLocks/>
            </wp:cNvGraphicFramePr>
            <a:graphic>
              <a:graphicData uri="http://schemas.openxmlformats.org/drawingml/2006/picture">
                <pic:pic>
                  <pic:nvPicPr>
                    <pic:cNvPr id="266" name="Image 266"/>
                    <pic:cNvPicPr/>
                  </pic:nvPicPr>
                  <pic:blipFill>
                    <a:blip r:embed="rId142" cstate="print"/>
                    <a:stretch>
                      <a:fillRect/>
                    </a:stretch>
                  </pic:blipFill>
                  <pic:spPr>
                    <a:xfrm>
                      <a:off x="0" y="0"/>
                      <a:ext cx="291083" cy="112775"/>
                    </a:xfrm>
                    <a:prstGeom prst="rect">
                      <a:avLst/>
                    </a:prstGeom>
                  </pic:spPr>
                </pic:pic>
              </a:graphicData>
            </a:graphic>
          </wp:anchor>
        </w:drawing>
      </w:r>
      <w:bookmarkStart w:name="8.11. Contracts." w:id="429"/>
      <w:bookmarkEnd w:id="429"/>
      <w:r>
        <w:rPr>
          <w:b w:val="0"/>
        </w:rPr>
      </w:r>
      <w:r>
        <w:rPr>
          <w:spacing w:val="-2"/>
        </w:rPr>
        <w:t>Contracts.</w:t>
      </w:r>
    </w:p>
    <w:p>
      <w:pPr>
        <w:pStyle w:val="BodyText"/>
        <w:spacing w:before="10"/>
        <w:rPr>
          <w:b/>
          <w:sz w:val="20"/>
        </w:rPr>
      </w:pPr>
    </w:p>
    <w:p>
      <w:pPr>
        <w:pStyle w:val="BodyText"/>
        <w:ind w:left="1411" w:right="1059"/>
      </w:pPr>
      <w:r>
        <w:rPr/>
        <w:drawing>
          <wp:anchor distT="0" distB="0" distL="0" distR="0" allowOverlap="1" layoutInCell="1" locked="0" behindDoc="0" simplePos="0" relativeHeight="15859712">
            <wp:simplePos x="0" y="0"/>
            <wp:positionH relativeFrom="page">
              <wp:posOffset>1431036</wp:posOffset>
            </wp:positionH>
            <wp:positionV relativeFrom="paragraph">
              <wp:posOffset>67603</wp:posOffset>
            </wp:positionV>
            <wp:extent cx="96011" cy="80771"/>
            <wp:effectExtent l="0" t="0" r="0" b="0"/>
            <wp:wrapNone/>
            <wp:docPr id="267" name="Image 267"/>
            <wp:cNvGraphicFramePr>
              <a:graphicFrameLocks/>
            </wp:cNvGraphicFramePr>
            <a:graphic>
              <a:graphicData uri="http://schemas.openxmlformats.org/drawingml/2006/picture">
                <pic:pic>
                  <pic:nvPicPr>
                    <pic:cNvPr id="267" name="Image 267"/>
                    <pic:cNvPicPr/>
                  </pic:nvPicPr>
                  <pic:blipFill>
                    <a:blip r:embed="rId40" cstate="print"/>
                    <a:stretch>
                      <a:fillRect/>
                    </a:stretch>
                  </pic:blipFill>
                  <pic:spPr>
                    <a:xfrm>
                      <a:off x="0" y="0"/>
                      <a:ext cx="96011" cy="80771"/>
                    </a:xfrm>
                    <a:prstGeom prst="rect">
                      <a:avLst/>
                    </a:prstGeom>
                  </pic:spPr>
                </pic:pic>
              </a:graphicData>
            </a:graphic>
          </wp:anchor>
        </w:drawing>
      </w:r>
      <w:bookmarkStart w:name="a. Managed Care Contracts. Managed care " w:id="430"/>
      <w:bookmarkEnd w:id="430"/>
      <w:r>
        <w:rPr/>
      </w:r>
      <w:r>
        <w:rPr/>
        <w:t>Managed Care Contracts. Managed care programs outlined in these STCs (e.g., MCOs,</w:t>
      </w:r>
      <w:r>
        <w:rPr>
          <w:spacing w:val="-3"/>
        </w:rPr>
        <w:t> </w:t>
      </w:r>
      <w:r>
        <w:rPr/>
        <w:t>PIHPs,</w:t>
      </w:r>
      <w:r>
        <w:rPr>
          <w:spacing w:val="-3"/>
        </w:rPr>
        <w:t> </w:t>
      </w:r>
      <w:r>
        <w:rPr/>
        <w:t>PCCMs</w:t>
      </w:r>
      <w:r>
        <w:rPr>
          <w:spacing w:val="-3"/>
        </w:rPr>
        <w:t> </w:t>
      </w:r>
      <w:r>
        <w:rPr/>
        <w:t>and</w:t>
      </w:r>
      <w:r>
        <w:rPr>
          <w:spacing w:val="-3"/>
        </w:rPr>
        <w:t> </w:t>
      </w:r>
      <w:r>
        <w:rPr/>
        <w:t>PCCM</w:t>
      </w:r>
      <w:r>
        <w:rPr>
          <w:spacing w:val="-3"/>
        </w:rPr>
        <w:t> </w:t>
      </w:r>
      <w:r>
        <w:rPr/>
        <w:t>entities)</w:t>
      </w:r>
      <w:r>
        <w:rPr>
          <w:spacing w:val="-4"/>
        </w:rPr>
        <w:t> </w:t>
      </w:r>
      <w:r>
        <w:rPr/>
        <w:t>must</w:t>
      </w:r>
      <w:r>
        <w:rPr>
          <w:spacing w:val="-3"/>
        </w:rPr>
        <w:t> </w:t>
      </w:r>
      <w:r>
        <w:rPr/>
        <w:t>comply</w:t>
      </w:r>
      <w:r>
        <w:rPr>
          <w:spacing w:val="-8"/>
        </w:rPr>
        <w:t> </w:t>
      </w:r>
      <w:r>
        <w:rPr/>
        <w:t>with</w:t>
      </w:r>
      <w:r>
        <w:rPr>
          <w:spacing w:val="-3"/>
        </w:rPr>
        <w:t> </w:t>
      </w:r>
      <w:r>
        <w:rPr/>
        <w:t>42</w:t>
      </w:r>
      <w:r>
        <w:rPr>
          <w:spacing w:val="-3"/>
        </w:rPr>
        <w:t> </w:t>
      </w:r>
      <w:r>
        <w:rPr/>
        <w:t>CFR</w:t>
      </w:r>
      <w:r>
        <w:rPr>
          <w:spacing w:val="-3"/>
        </w:rPr>
        <w:t> </w:t>
      </w:r>
      <w:r>
        <w:rPr/>
        <w:t>Part</w:t>
      </w:r>
      <w:r>
        <w:rPr>
          <w:spacing w:val="-3"/>
        </w:rPr>
        <w:t> </w:t>
      </w:r>
      <w:r>
        <w:rPr/>
        <w:t>438 unless expressly granted expenditure or waiver authority.</w:t>
      </w:r>
    </w:p>
    <w:p>
      <w:pPr>
        <w:spacing w:after="0"/>
        <w:sectPr>
          <w:pgSz w:w="12240" w:h="15840"/>
          <w:pgMar w:header="0" w:footer="1201" w:top="1360" w:bottom="1400" w:left="1200" w:right="400"/>
        </w:sectPr>
      </w:pPr>
    </w:p>
    <w:p>
      <w:pPr>
        <w:pStyle w:val="BodyText"/>
        <w:spacing w:before="79"/>
        <w:ind w:left="1411" w:right="1059"/>
      </w:pPr>
      <w:r>
        <w:rPr/>
        <w:drawing>
          <wp:anchor distT="0" distB="0" distL="0" distR="0" allowOverlap="1" layoutInCell="1" locked="0" behindDoc="0" simplePos="0" relativeHeight="15860224">
            <wp:simplePos x="0" y="0"/>
            <wp:positionH relativeFrom="page">
              <wp:posOffset>1424939</wp:posOffset>
            </wp:positionH>
            <wp:positionV relativeFrom="paragraph">
              <wp:posOffset>82717</wp:posOffset>
            </wp:positionV>
            <wp:extent cx="111251" cy="115823"/>
            <wp:effectExtent l="0" t="0" r="0" b="0"/>
            <wp:wrapNone/>
            <wp:docPr id="268" name="Image 268"/>
            <wp:cNvGraphicFramePr>
              <a:graphicFrameLocks/>
            </wp:cNvGraphicFramePr>
            <a:graphic>
              <a:graphicData uri="http://schemas.openxmlformats.org/drawingml/2006/picture">
                <pic:pic>
                  <pic:nvPicPr>
                    <pic:cNvPr id="268" name="Image 268"/>
                    <pic:cNvPicPr/>
                  </pic:nvPicPr>
                  <pic:blipFill>
                    <a:blip r:embed="rId34" cstate="print"/>
                    <a:stretch>
                      <a:fillRect/>
                    </a:stretch>
                  </pic:blipFill>
                  <pic:spPr>
                    <a:xfrm>
                      <a:off x="0" y="0"/>
                      <a:ext cx="111251" cy="115823"/>
                    </a:xfrm>
                    <a:prstGeom prst="rect">
                      <a:avLst/>
                    </a:prstGeom>
                  </pic:spPr>
                </pic:pic>
              </a:graphicData>
            </a:graphic>
          </wp:anchor>
        </w:drawing>
      </w:r>
      <w:bookmarkStart w:name="b. Capitation Rate Development. Capitati" w:id="431"/>
      <w:bookmarkEnd w:id="431"/>
      <w:r>
        <w:rPr/>
      </w:r>
      <w:r>
        <w:rPr/>
        <w:t>Capitation Rate Development. Capitation rates for risk-based managed care plans (i.e., MCOs and PIHPs) must comply with the rate development and certification standards</w:t>
      </w:r>
      <w:r>
        <w:rPr>
          <w:spacing w:val="-3"/>
        </w:rPr>
        <w:t> </w:t>
      </w:r>
      <w:r>
        <w:rPr/>
        <w:t>in</w:t>
      </w:r>
      <w:r>
        <w:rPr>
          <w:spacing w:val="-3"/>
        </w:rPr>
        <w:t> </w:t>
      </w:r>
      <w:r>
        <w:rPr/>
        <w:t>42</w:t>
      </w:r>
      <w:r>
        <w:rPr>
          <w:spacing w:val="-3"/>
        </w:rPr>
        <w:t> </w:t>
      </w:r>
      <w:r>
        <w:rPr/>
        <w:t>CFR</w:t>
      </w:r>
      <w:r>
        <w:rPr>
          <w:spacing w:val="-3"/>
        </w:rPr>
        <w:t> </w:t>
      </w:r>
      <w:r>
        <w:rPr/>
        <w:t>§</w:t>
      </w:r>
      <w:r>
        <w:rPr>
          <w:spacing w:val="-3"/>
        </w:rPr>
        <w:t> </w:t>
      </w:r>
      <w:r>
        <w:rPr/>
        <w:t>438,</w:t>
      </w:r>
      <w:r>
        <w:rPr>
          <w:spacing w:val="-3"/>
        </w:rPr>
        <w:t> </w:t>
      </w:r>
      <w:r>
        <w:rPr/>
        <w:t>including</w:t>
      </w:r>
      <w:r>
        <w:rPr>
          <w:spacing w:val="-6"/>
        </w:rPr>
        <w:t> </w:t>
      </w:r>
      <w:r>
        <w:rPr/>
        <w:t>but</w:t>
      </w:r>
      <w:r>
        <w:rPr>
          <w:spacing w:val="-3"/>
        </w:rPr>
        <w:t> </w:t>
      </w:r>
      <w:r>
        <w:rPr/>
        <w:t>not</w:t>
      </w:r>
      <w:r>
        <w:rPr>
          <w:spacing w:val="-3"/>
        </w:rPr>
        <w:t> </w:t>
      </w:r>
      <w:r>
        <w:rPr/>
        <w:t>limited</w:t>
      </w:r>
      <w:r>
        <w:rPr>
          <w:spacing w:val="-3"/>
        </w:rPr>
        <w:t> </w:t>
      </w:r>
      <w:r>
        <w:rPr/>
        <w:t>to</w:t>
      </w:r>
      <w:r>
        <w:rPr>
          <w:spacing w:val="-3"/>
        </w:rPr>
        <w:t> </w:t>
      </w:r>
      <w:r>
        <w:rPr/>
        <w:t>42</w:t>
      </w:r>
      <w:r>
        <w:rPr>
          <w:spacing w:val="-3"/>
        </w:rPr>
        <w:t> </w:t>
      </w:r>
      <w:r>
        <w:rPr/>
        <w:t>CFR</w:t>
      </w:r>
      <w:r>
        <w:rPr>
          <w:spacing w:val="-3"/>
        </w:rPr>
        <w:t> </w:t>
      </w:r>
      <w:r>
        <w:rPr/>
        <w:t>§§</w:t>
      </w:r>
      <w:r>
        <w:rPr>
          <w:spacing w:val="-3"/>
        </w:rPr>
        <w:t> </w:t>
      </w:r>
      <w:r>
        <w:rPr/>
        <w:t>438.4,</w:t>
      </w:r>
      <w:r>
        <w:rPr>
          <w:spacing w:val="-3"/>
        </w:rPr>
        <w:t> </w:t>
      </w:r>
      <w:r>
        <w:rPr/>
        <w:t>438.5,</w:t>
      </w:r>
      <w:r>
        <w:rPr>
          <w:spacing w:val="-3"/>
        </w:rPr>
        <w:t> </w:t>
      </w:r>
      <w:r>
        <w:rPr/>
        <w:t>and </w:t>
      </w:r>
      <w:r>
        <w:rPr>
          <w:spacing w:val="-2"/>
        </w:rPr>
        <w:t>438.7.</w:t>
      </w:r>
    </w:p>
    <w:p>
      <w:pPr>
        <w:pStyle w:val="BodyText"/>
        <w:spacing w:before="10"/>
        <w:rPr>
          <w:sz w:val="20"/>
        </w:rPr>
      </w:pPr>
    </w:p>
    <w:p>
      <w:pPr>
        <w:pStyle w:val="BodyText"/>
        <w:ind w:left="871" w:right="1062"/>
      </w:pPr>
      <w:r>
        <w:rPr/>
        <w:drawing>
          <wp:anchor distT="0" distB="0" distL="0" distR="0" allowOverlap="1" layoutInCell="1" locked="0" behindDoc="0" simplePos="0" relativeHeight="15860736">
            <wp:simplePos x="0" y="0"/>
            <wp:positionH relativeFrom="page">
              <wp:posOffset>900683</wp:posOffset>
            </wp:positionH>
            <wp:positionV relativeFrom="paragraph">
              <wp:posOffset>35599</wp:posOffset>
            </wp:positionV>
            <wp:extent cx="291083" cy="112775"/>
            <wp:effectExtent l="0" t="0" r="0" b="0"/>
            <wp:wrapNone/>
            <wp:docPr id="269" name="Image 269"/>
            <wp:cNvGraphicFramePr>
              <a:graphicFrameLocks/>
            </wp:cNvGraphicFramePr>
            <a:graphic>
              <a:graphicData uri="http://schemas.openxmlformats.org/drawingml/2006/picture">
                <pic:pic>
                  <pic:nvPicPr>
                    <pic:cNvPr id="269" name="Image 269"/>
                    <pic:cNvPicPr/>
                  </pic:nvPicPr>
                  <pic:blipFill>
                    <a:blip r:embed="rId143" cstate="print"/>
                    <a:stretch>
                      <a:fillRect/>
                    </a:stretch>
                  </pic:blipFill>
                  <pic:spPr>
                    <a:xfrm>
                      <a:off x="0" y="0"/>
                      <a:ext cx="291083" cy="112775"/>
                    </a:xfrm>
                    <a:prstGeom prst="rect">
                      <a:avLst/>
                    </a:prstGeom>
                  </pic:spPr>
                </pic:pic>
              </a:graphicData>
            </a:graphic>
          </wp:anchor>
        </w:drawing>
      </w:r>
      <w:bookmarkStart w:name="8.12. MassHealth Premium Assistance. For" w:id="432"/>
      <w:bookmarkEnd w:id="432"/>
      <w:r>
        <w:rPr/>
      </w:r>
      <w:r>
        <w:rPr>
          <w:b/>
        </w:rPr>
        <w:t>MassHealth Premium Assistance. </w:t>
      </w:r>
      <w:r>
        <w:rPr/>
        <w:t>For most individuals eligible for MassHealth, the Commonwealth may require as a condition of receiving benefits, enrollment in available insurance coverage. In that case (and in cases when members voluntarily enroll in qualifying ESI), Massachusetts may provide a contribution through reimbursement or direct payment to the beneficiary, employer, or insurance plan administrator toward an individual’s share of the premium for an employer sponsored health insurance plan which meets a basic benefit level (BBL).</w:t>
      </w:r>
      <w:r>
        <w:rPr>
          <w:spacing w:val="40"/>
        </w:rPr>
        <w:t> </w:t>
      </w:r>
      <w:r>
        <w:rPr/>
        <w:t>The Commonwealth has identified the features of a qualified health insurance product, including covered benefits, deductibles and co- payments, which constitute the BBL.</w:t>
      </w:r>
      <w:r>
        <w:rPr>
          <w:spacing w:val="40"/>
        </w:rPr>
        <w:t> </w:t>
      </w:r>
      <w:r>
        <w:rPr/>
        <w:t>Each private health insurance plan is measured against the BBL, and a determination is then made regarding the cost-effectiveness of providing premium assistance.</w:t>
      </w:r>
      <w:r>
        <w:rPr>
          <w:spacing w:val="40"/>
        </w:rPr>
        <w:t> </w:t>
      </w:r>
      <w:r>
        <w:rPr/>
        <w:t>If available and cost effective, the Commonwealth will provide premium assistance on behalf of individuals eligible for Standard (including ABP 1), CarePlus, Family Assistance, or CommonHealth coverage, to assist them in the purchase of private health insurance coverage.</w:t>
      </w:r>
      <w:r>
        <w:rPr>
          <w:spacing w:val="40"/>
        </w:rPr>
        <w:t> </w:t>
      </w:r>
      <w:r>
        <w:rPr/>
        <w:t>The Commonwealth will also provide coverage for additional services required to ensure that such individuals are receiving no less</w:t>
      </w:r>
      <w:r>
        <w:rPr>
          <w:spacing w:val="-3"/>
        </w:rPr>
        <w:t> </w:t>
      </w:r>
      <w:r>
        <w:rPr/>
        <w:t>than</w:t>
      </w:r>
      <w:r>
        <w:rPr>
          <w:spacing w:val="-3"/>
        </w:rPr>
        <w:t> </w:t>
      </w:r>
      <w:r>
        <w:rPr/>
        <w:t>the</w:t>
      </w:r>
      <w:r>
        <w:rPr>
          <w:spacing w:val="-4"/>
        </w:rPr>
        <w:t> </w:t>
      </w:r>
      <w:r>
        <w:rPr/>
        <w:t>benefits</w:t>
      </w:r>
      <w:r>
        <w:rPr>
          <w:spacing w:val="-3"/>
        </w:rPr>
        <w:t> </w:t>
      </w:r>
      <w:r>
        <w:rPr/>
        <w:t>they</w:t>
      </w:r>
      <w:r>
        <w:rPr>
          <w:spacing w:val="-6"/>
        </w:rPr>
        <w:t> </w:t>
      </w:r>
      <w:r>
        <w:rPr/>
        <w:t>would</w:t>
      </w:r>
      <w:r>
        <w:rPr>
          <w:spacing w:val="-3"/>
        </w:rPr>
        <w:t> </w:t>
      </w:r>
      <w:r>
        <w:rPr/>
        <w:t>receive</w:t>
      </w:r>
      <w:r>
        <w:rPr>
          <w:spacing w:val="-4"/>
        </w:rPr>
        <w:t> </w:t>
      </w:r>
      <w:r>
        <w:rPr/>
        <w:t>through</w:t>
      </w:r>
      <w:r>
        <w:rPr>
          <w:spacing w:val="-1"/>
        </w:rPr>
        <w:t> </w:t>
      </w:r>
      <w:r>
        <w:rPr/>
        <w:t>direct</w:t>
      </w:r>
      <w:r>
        <w:rPr>
          <w:spacing w:val="-3"/>
        </w:rPr>
        <w:t> </w:t>
      </w:r>
      <w:r>
        <w:rPr/>
        <w:t>coverage</w:t>
      </w:r>
      <w:r>
        <w:rPr>
          <w:spacing w:val="-4"/>
        </w:rPr>
        <w:t> </w:t>
      </w:r>
      <w:r>
        <w:rPr/>
        <w:t>under</w:t>
      </w:r>
      <w:r>
        <w:rPr>
          <w:spacing w:val="-4"/>
        </w:rPr>
        <w:t> </w:t>
      </w:r>
      <w:r>
        <w:rPr/>
        <w:t>the</w:t>
      </w:r>
      <w:r>
        <w:rPr>
          <w:spacing w:val="-2"/>
        </w:rPr>
        <w:t> </w:t>
      </w:r>
      <w:r>
        <w:rPr/>
        <w:t>state</w:t>
      </w:r>
      <w:r>
        <w:rPr>
          <w:spacing w:val="-4"/>
        </w:rPr>
        <w:t> </w:t>
      </w:r>
      <w:r>
        <w:rPr/>
        <w:t>plan.</w:t>
      </w:r>
      <w:r>
        <w:rPr>
          <w:spacing w:val="-3"/>
        </w:rPr>
        <w:t> </w:t>
      </w:r>
      <w:r>
        <w:rPr/>
        <w:t>This coverage will be furnished, at the Commonwealth’s option, on either a FFS basis or through managed care arrangements.</w:t>
      </w:r>
      <w:r>
        <w:rPr>
          <w:spacing w:val="40"/>
        </w:rPr>
        <w:t> </w:t>
      </w:r>
      <w:r>
        <w:rPr/>
        <w:t>These individuals are not required to contribute more towards the cost of their private health insurance than they would otherwise pay for MassHealth</w:t>
      </w:r>
      <w:r>
        <w:rPr>
          <w:spacing w:val="-1"/>
        </w:rPr>
        <w:t> </w:t>
      </w:r>
      <w:r>
        <w:rPr/>
        <w:t>Standard (including</w:t>
      </w:r>
      <w:r>
        <w:rPr>
          <w:spacing w:val="-4"/>
        </w:rPr>
        <w:t> </w:t>
      </w:r>
      <w:r>
        <w:rPr/>
        <w:t>ABP</w:t>
      </w:r>
      <w:r>
        <w:rPr>
          <w:spacing w:val="-1"/>
        </w:rPr>
        <w:t> </w:t>
      </w:r>
      <w:r>
        <w:rPr/>
        <w:t>1),</w:t>
      </w:r>
      <w:r>
        <w:rPr>
          <w:spacing w:val="-1"/>
        </w:rPr>
        <w:t> </w:t>
      </w:r>
      <w:r>
        <w:rPr/>
        <w:t>CarePlus,</w:t>
      </w:r>
      <w:r>
        <w:rPr>
          <w:spacing w:val="-1"/>
        </w:rPr>
        <w:t> </w:t>
      </w:r>
      <w:r>
        <w:rPr/>
        <w:t>Family</w:t>
      </w:r>
      <w:r>
        <w:rPr>
          <w:spacing w:val="-4"/>
        </w:rPr>
        <w:t> </w:t>
      </w:r>
      <w:r>
        <w:rPr/>
        <w:t>Assistance,</w:t>
      </w:r>
      <w:r>
        <w:rPr>
          <w:spacing w:val="-1"/>
        </w:rPr>
        <w:t> </w:t>
      </w:r>
      <w:r>
        <w:rPr/>
        <w:t>or CommonHealth coverage.</w:t>
      </w:r>
      <w:r>
        <w:rPr>
          <w:spacing w:val="40"/>
        </w:rPr>
        <w:t> </w:t>
      </w:r>
      <w:r>
        <w:rPr/>
        <w:t>Cooperation with the Commonwealth to obtain or maintain available health insurance will be treated as a condition of eligibility for all of those in the family group, except those who are eligible for MassHealth Standard or CommonHealth and under the age of 21 or pregnant.</w:t>
      </w:r>
    </w:p>
    <w:p>
      <w:pPr>
        <w:pStyle w:val="BodyText"/>
        <w:spacing w:before="10"/>
        <w:rPr>
          <w:sz w:val="20"/>
        </w:rPr>
      </w:pPr>
    </w:p>
    <w:p>
      <w:pPr>
        <w:spacing w:before="1"/>
        <w:ind w:left="871" w:right="1059" w:firstLine="0"/>
        <w:jc w:val="left"/>
        <w:rPr>
          <w:sz w:val="24"/>
        </w:rPr>
      </w:pPr>
      <w:r>
        <w:rPr/>
        <w:drawing>
          <wp:anchor distT="0" distB="0" distL="0" distR="0" allowOverlap="1" layoutInCell="1" locked="0" behindDoc="0" simplePos="0" relativeHeight="15861248">
            <wp:simplePos x="0" y="0"/>
            <wp:positionH relativeFrom="page">
              <wp:posOffset>900683</wp:posOffset>
            </wp:positionH>
            <wp:positionV relativeFrom="paragraph">
              <wp:posOffset>36247</wp:posOffset>
            </wp:positionV>
            <wp:extent cx="291083" cy="112763"/>
            <wp:effectExtent l="0" t="0" r="0" b="0"/>
            <wp:wrapNone/>
            <wp:docPr id="270" name="Image 270"/>
            <wp:cNvGraphicFramePr>
              <a:graphicFrameLocks/>
            </wp:cNvGraphicFramePr>
            <a:graphic>
              <a:graphicData uri="http://schemas.openxmlformats.org/drawingml/2006/picture">
                <pic:pic>
                  <pic:nvPicPr>
                    <pic:cNvPr id="270" name="Image 270"/>
                    <pic:cNvPicPr/>
                  </pic:nvPicPr>
                  <pic:blipFill>
                    <a:blip r:embed="rId144" cstate="print"/>
                    <a:stretch>
                      <a:fillRect/>
                    </a:stretch>
                  </pic:blipFill>
                  <pic:spPr>
                    <a:xfrm>
                      <a:off x="0" y="0"/>
                      <a:ext cx="291083" cy="112763"/>
                    </a:xfrm>
                    <a:prstGeom prst="rect">
                      <a:avLst/>
                    </a:prstGeom>
                  </pic:spPr>
                </pic:pic>
              </a:graphicData>
            </a:graphic>
          </wp:anchor>
        </w:drawing>
      </w:r>
      <w:bookmarkStart w:name="8.13. Overview of Delivery System and Co" w:id="433"/>
      <w:bookmarkEnd w:id="433"/>
      <w:r>
        <w:rPr/>
      </w:r>
      <w:r>
        <w:rPr>
          <w:b/>
          <w:sz w:val="24"/>
        </w:rPr>
        <w:t>Overview</w:t>
      </w:r>
      <w:r>
        <w:rPr>
          <w:b/>
          <w:spacing w:val="-4"/>
          <w:sz w:val="24"/>
        </w:rPr>
        <w:t> </w:t>
      </w:r>
      <w:r>
        <w:rPr>
          <w:b/>
          <w:sz w:val="24"/>
        </w:rPr>
        <w:t>of</w:t>
      </w:r>
      <w:r>
        <w:rPr>
          <w:b/>
          <w:spacing w:val="-4"/>
          <w:sz w:val="24"/>
        </w:rPr>
        <w:t> </w:t>
      </w:r>
      <w:r>
        <w:rPr>
          <w:b/>
          <w:sz w:val="24"/>
        </w:rPr>
        <w:t>Delivery</w:t>
      </w:r>
      <w:r>
        <w:rPr>
          <w:b/>
          <w:spacing w:val="-4"/>
          <w:sz w:val="24"/>
        </w:rPr>
        <w:t> </w:t>
      </w:r>
      <w:r>
        <w:rPr>
          <w:b/>
          <w:sz w:val="24"/>
        </w:rPr>
        <w:t>System</w:t>
      </w:r>
      <w:r>
        <w:rPr>
          <w:b/>
          <w:spacing w:val="-8"/>
          <w:sz w:val="24"/>
        </w:rPr>
        <w:t> </w:t>
      </w:r>
      <w:r>
        <w:rPr>
          <w:b/>
          <w:sz w:val="24"/>
        </w:rPr>
        <w:t>and</w:t>
      </w:r>
      <w:r>
        <w:rPr>
          <w:b/>
          <w:spacing w:val="-4"/>
          <w:sz w:val="24"/>
        </w:rPr>
        <w:t> </w:t>
      </w:r>
      <w:r>
        <w:rPr>
          <w:b/>
          <w:sz w:val="24"/>
        </w:rPr>
        <w:t>Coverage</w:t>
      </w:r>
      <w:r>
        <w:rPr>
          <w:b/>
          <w:spacing w:val="-5"/>
          <w:sz w:val="24"/>
        </w:rPr>
        <w:t> </w:t>
      </w:r>
      <w:r>
        <w:rPr>
          <w:b/>
          <w:sz w:val="24"/>
        </w:rPr>
        <w:t>for</w:t>
      </w:r>
      <w:r>
        <w:rPr>
          <w:b/>
          <w:spacing w:val="-5"/>
          <w:sz w:val="24"/>
        </w:rPr>
        <w:t> </w:t>
      </w:r>
      <w:r>
        <w:rPr>
          <w:b/>
          <w:sz w:val="24"/>
        </w:rPr>
        <w:t>MassHealth</w:t>
      </w:r>
      <w:r>
        <w:rPr>
          <w:b/>
          <w:spacing w:val="-4"/>
          <w:sz w:val="24"/>
        </w:rPr>
        <w:t> </w:t>
      </w:r>
      <w:r>
        <w:rPr>
          <w:b/>
          <w:sz w:val="24"/>
        </w:rPr>
        <w:t>Administered</w:t>
      </w:r>
      <w:r>
        <w:rPr>
          <w:b/>
          <w:spacing w:val="-4"/>
          <w:sz w:val="24"/>
        </w:rPr>
        <w:t> </w:t>
      </w:r>
      <w:r>
        <w:rPr>
          <w:b/>
          <w:sz w:val="24"/>
        </w:rPr>
        <w:t>Programs. </w:t>
      </w:r>
      <w:r>
        <w:rPr>
          <w:sz w:val="24"/>
        </w:rPr>
        <w:t>The following chart provides further detail on the delivery system utilized for the MassHealth administered programs and the related start date for coverage:</w:t>
      </w:r>
    </w:p>
    <w:p>
      <w:pPr>
        <w:pStyle w:val="BodyText"/>
        <w:spacing w:before="10"/>
        <w:rPr>
          <w:sz w:val="20"/>
        </w:rPr>
      </w:pPr>
    </w:p>
    <w:tbl>
      <w:tblPr>
        <w:tblW w:w="0" w:type="auto"/>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9"/>
        <w:gridCol w:w="1572"/>
        <w:gridCol w:w="490"/>
        <w:gridCol w:w="485"/>
        <w:gridCol w:w="483"/>
        <w:gridCol w:w="3893"/>
      </w:tblGrid>
      <w:tr>
        <w:trPr>
          <w:trHeight w:val="798" w:hRule="atLeast"/>
        </w:trPr>
        <w:tc>
          <w:tcPr>
            <w:tcW w:w="9352" w:type="dxa"/>
            <w:gridSpan w:val="6"/>
            <w:shd w:val="clear" w:color="auto" w:fill="DBE6F1"/>
          </w:tcPr>
          <w:p>
            <w:pPr>
              <w:pStyle w:val="TableParagraph"/>
              <w:spacing w:line="244" w:lineRule="auto" w:before="145"/>
              <w:ind w:left="4209" w:hanging="4004"/>
              <w:rPr>
                <w:b/>
                <w:sz w:val="22"/>
              </w:rPr>
            </w:pPr>
            <w:r>
              <w:rPr>
                <w:b/>
                <w:sz w:val="22"/>
              </w:rPr>
              <w:t>Table</w:t>
            </w:r>
            <w:r>
              <w:rPr>
                <w:b/>
                <w:spacing w:val="-2"/>
                <w:sz w:val="22"/>
              </w:rPr>
              <w:t> </w:t>
            </w:r>
            <w:r>
              <w:rPr>
                <w:b/>
                <w:sz w:val="22"/>
              </w:rPr>
              <w:t>9:</w:t>
            </w:r>
            <w:r>
              <w:rPr>
                <w:b/>
                <w:spacing w:val="-1"/>
                <w:sz w:val="22"/>
              </w:rPr>
              <w:t> </w:t>
            </w:r>
            <w:r>
              <w:rPr>
                <w:b/>
                <w:sz w:val="22"/>
              </w:rPr>
              <w:t>Delivery</w:t>
            </w:r>
            <w:r>
              <w:rPr>
                <w:b/>
                <w:spacing w:val="-2"/>
                <w:sz w:val="22"/>
              </w:rPr>
              <w:t> </w:t>
            </w:r>
            <w:r>
              <w:rPr>
                <w:b/>
                <w:sz w:val="22"/>
              </w:rPr>
              <w:t>System</w:t>
            </w:r>
            <w:r>
              <w:rPr>
                <w:b/>
                <w:spacing w:val="-4"/>
                <w:sz w:val="22"/>
              </w:rPr>
              <w:t> </w:t>
            </w:r>
            <w:r>
              <w:rPr>
                <w:b/>
                <w:sz w:val="22"/>
              </w:rPr>
              <w:t>and</w:t>
            </w:r>
            <w:r>
              <w:rPr>
                <w:b/>
                <w:spacing w:val="-3"/>
                <w:sz w:val="22"/>
              </w:rPr>
              <w:t> </w:t>
            </w:r>
            <w:r>
              <w:rPr>
                <w:b/>
                <w:sz w:val="22"/>
              </w:rPr>
              <w:t>Coverage</w:t>
            </w:r>
            <w:r>
              <w:rPr>
                <w:b/>
                <w:spacing w:val="-4"/>
                <w:sz w:val="22"/>
              </w:rPr>
              <w:t> </w:t>
            </w:r>
            <w:r>
              <w:rPr>
                <w:b/>
                <w:sz w:val="22"/>
              </w:rPr>
              <w:t>for</w:t>
            </w:r>
            <w:r>
              <w:rPr>
                <w:b/>
                <w:spacing w:val="-2"/>
                <w:sz w:val="22"/>
              </w:rPr>
              <w:t> </w:t>
            </w:r>
            <w:r>
              <w:rPr>
                <w:b/>
                <w:sz w:val="22"/>
              </w:rPr>
              <w:t>Individuals</w:t>
            </w:r>
            <w:r>
              <w:rPr>
                <w:b/>
                <w:spacing w:val="-2"/>
                <w:sz w:val="22"/>
              </w:rPr>
              <w:t> </w:t>
            </w:r>
            <w:r>
              <w:rPr>
                <w:b/>
                <w:sz w:val="22"/>
              </w:rPr>
              <w:t>under</w:t>
            </w:r>
            <w:r>
              <w:rPr>
                <w:b/>
                <w:spacing w:val="-2"/>
                <w:sz w:val="22"/>
              </w:rPr>
              <w:t> </w:t>
            </w:r>
            <w:r>
              <w:rPr>
                <w:b/>
                <w:sz w:val="22"/>
              </w:rPr>
              <w:t>65</w:t>
            </w:r>
            <w:r>
              <w:rPr>
                <w:b/>
                <w:spacing w:val="-5"/>
                <w:sz w:val="22"/>
              </w:rPr>
              <w:t> </w:t>
            </w:r>
            <w:r>
              <w:rPr>
                <w:b/>
                <w:sz w:val="22"/>
              </w:rPr>
              <w:t>in</w:t>
            </w:r>
            <w:r>
              <w:rPr>
                <w:b/>
                <w:spacing w:val="-3"/>
                <w:sz w:val="22"/>
              </w:rPr>
              <w:t> </w:t>
            </w:r>
            <w:r>
              <w:rPr>
                <w:b/>
                <w:sz w:val="22"/>
              </w:rPr>
              <w:t>MassHealth</w:t>
            </w:r>
            <w:r>
              <w:rPr>
                <w:b/>
                <w:spacing w:val="-3"/>
                <w:sz w:val="22"/>
              </w:rPr>
              <w:t> </w:t>
            </w:r>
            <w:r>
              <w:rPr>
                <w:b/>
                <w:sz w:val="22"/>
              </w:rPr>
              <w:t>Demonstration </w:t>
            </w:r>
            <w:r>
              <w:rPr>
                <w:b/>
                <w:spacing w:val="-2"/>
                <w:sz w:val="22"/>
              </w:rPr>
              <w:t>Programs</w:t>
            </w:r>
          </w:p>
        </w:tc>
      </w:tr>
      <w:tr>
        <w:trPr>
          <w:trHeight w:val="1501" w:hRule="atLeast"/>
        </w:trPr>
        <w:tc>
          <w:tcPr>
            <w:tcW w:w="2429" w:type="dxa"/>
            <w:shd w:val="clear" w:color="auto" w:fill="DBE6F1"/>
          </w:tcPr>
          <w:p>
            <w:pPr>
              <w:pStyle w:val="TableParagraph"/>
              <w:rPr>
                <w:sz w:val="24"/>
              </w:rPr>
            </w:pPr>
          </w:p>
          <w:p>
            <w:pPr>
              <w:pStyle w:val="TableParagraph"/>
              <w:spacing w:before="3"/>
              <w:rPr>
                <w:sz w:val="30"/>
              </w:rPr>
            </w:pPr>
          </w:p>
          <w:p>
            <w:pPr>
              <w:pStyle w:val="TableParagraph"/>
              <w:spacing w:before="1"/>
              <w:ind w:left="501"/>
              <w:rPr>
                <w:b/>
                <w:sz w:val="22"/>
              </w:rPr>
            </w:pPr>
            <w:r>
              <w:rPr>
                <w:b/>
                <w:sz w:val="22"/>
              </w:rPr>
              <w:t>Coverage</w:t>
            </w:r>
            <w:r>
              <w:rPr>
                <w:b/>
                <w:spacing w:val="-2"/>
                <w:sz w:val="22"/>
              </w:rPr>
              <w:t> </w:t>
            </w:r>
            <w:r>
              <w:rPr>
                <w:b/>
                <w:spacing w:val="-4"/>
                <w:sz w:val="22"/>
              </w:rPr>
              <w:t>Type</w:t>
            </w:r>
          </w:p>
        </w:tc>
        <w:tc>
          <w:tcPr>
            <w:tcW w:w="1572" w:type="dxa"/>
            <w:shd w:val="clear" w:color="auto" w:fill="DBE6F1"/>
          </w:tcPr>
          <w:p>
            <w:pPr>
              <w:pStyle w:val="TableParagraph"/>
              <w:rPr>
                <w:sz w:val="24"/>
              </w:rPr>
            </w:pPr>
          </w:p>
          <w:p>
            <w:pPr>
              <w:pStyle w:val="TableParagraph"/>
              <w:spacing w:before="3"/>
              <w:rPr>
                <w:sz w:val="19"/>
              </w:rPr>
            </w:pPr>
          </w:p>
          <w:p>
            <w:pPr>
              <w:pStyle w:val="TableParagraph"/>
              <w:ind w:left="182" w:right="170" w:firstLine="204"/>
              <w:rPr>
                <w:b/>
                <w:sz w:val="22"/>
              </w:rPr>
            </w:pPr>
            <w:r>
              <w:rPr>
                <w:b/>
                <w:spacing w:val="-2"/>
                <w:sz w:val="22"/>
              </w:rPr>
              <w:t>Delivery </w:t>
            </w:r>
            <w:r>
              <w:rPr>
                <w:b/>
                <w:sz w:val="22"/>
              </w:rPr>
              <w:t>System</w:t>
            </w:r>
            <w:r>
              <w:rPr>
                <w:b/>
                <w:spacing w:val="-14"/>
                <w:sz w:val="22"/>
              </w:rPr>
              <w:t> </w:t>
            </w:r>
            <w:r>
              <w:rPr>
                <w:b/>
                <w:sz w:val="22"/>
              </w:rPr>
              <w:t>Type</w:t>
            </w:r>
          </w:p>
        </w:tc>
        <w:tc>
          <w:tcPr>
            <w:tcW w:w="490" w:type="dxa"/>
            <w:shd w:val="clear" w:color="auto" w:fill="DBE6F1"/>
            <w:textDirection w:val="tbRl"/>
          </w:tcPr>
          <w:p>
            <w:pPr>
              <w:pStyle w:val="TableParagraph"/>
              <w:spacing w:before="109"/>
              <w:ind w:left="218"/>
              <w:rPr>
                <w:b/>
                <w:sz w:val="22"/>
              </w:rPr>
            </w:pPr>
            <w:r>
              <w:rPr>
                <w:b/>
                <w:spacing w:val="-2"/>
                <w:sz w:val="22"/>
              </w:rPr>
              <w:t>Mandatory</w:t>
            </w:r>
          </w:p>
        </w:tc>
        <w:tc>
          <w:tcPr>
            <w:tcW w:w="485" w:type="dxa"/>
            <w:shd w:val="clear" w:color="auto" w:fill="DBE6F1"/>
            <w:textDirection w:val="tbRl"/>
          </w:tcPr>
          <w:p>
            <w:pPr>
              <w:pStyle w:val="TableParagraph"/>
              <w:spacing w:before="107"/>
              <w:ind w:left="268"/>
              <w:rPr>
                <w:b/>
                <w:sz w:val="22"/>
              </w:rPr>
            </w:pPr>
            <w:r>
              <w:rPr>
                <w:b/>
                <w:spacing w:val="-2"/>
                <w:sz w:val="22"/>
              </w:rPr>
              <w:t>Voluntary</w:t>
            </w:r>
          </w:p>
        </w:tc>
        <w:tc>
          <w:tcPr>
            <w:tcW w:w="483" w:type="dxa"/>
            <w:shd w:val="clear" w:color="auto" w:fill="DBE6F1"/>
            <w:textDirection w:val="tbRl"/>
          </w:tcPr>
          <w:p>
            <w:pPr>
              <w:pStyle w:val="TableParagraph"/>
              <w:spacing w:before="108"/>
              <w:ind w:left="295"/>
              <w:rPr>
                <w:b/>
                <w:sz w:val="22"/>
              </w:rPr>
            </w:pPr>
            <w:r>
              <w:rPr>
                <w:b/>
                <w:sz w:val="22"/>
              </w:rPr>
              <w:t>FFS</w:t>
            </w:r>
            <w:r>
              <w:rPr>
                <w:b/>
                <w:spacing w:val="-5"/>
                <w:sz w:val="22"/>
              </w:rPr>
              <w:t> </w:t>
            </w:r>
            <w:r>
              <w:rPr>
                <w:b/>
                <w:spacing w:val="-4"/>
                <w:sz w:val="22"/>
              </w:rPr>
              <w:t>Only</w:t>
            </w:r>
          </w:p>
        </w:tc>
        <w:tc>
          <w:tcPr>
            <w:tcW w:w="3893" w:type="dxa"/>
            <w:shd w:val="clear" w:color="auto" w:fill="DBE6F1"/>
          </w:tcPr>
          <w:p>
            <w:pPr>
              <w:pStyle w:val="TableParagraph"/>
              <w:rPr>
                <w:sz w:val="24"/>
              </w:rPr>
            </w:pPr>
          </w:p>
          <w:p>
            <w:pPr>
              <w:pStyle w:val="TableParagraph"/>
              <w:spacing w:before="3"/>
              <w:rPr>
                <w:sz w:val="30"/>
              </w:rPr>
            </w:pPr>
          </w:p>
          <w:p>
            <w:pPr>
              <w:pStyle w:val="TableParagraph"/>
              <w:spacing w:before="1"/>
              <w:ind w:left="701"/>
              <w:rPr>
                <w:b/>
                <w:sz w:val="22"/>
              </w:rPr>
            </w:pPr>
            <w:r>
              <w:rPr>
                <w:b/>
                <w:sz w:val="22"/>
              </w:rPr>
              <w:t>Start</w:t>
            </w:r>
            <w:r>
              <w:rPr>
                <w:b/>
                <w:spacing w:val="-4"/>
                <w:sz w:val="22"/>
              </w:rPr>
              <w:t> </w:t>
            </w:r>
            <w:r>
              <w:rPr>
                <w:b/>
                <w:sz w:val="22"/>
              </w:rPr>
              <w:t>Date</w:t>
            </w:r>
            <w:r>
              <w:rPr>
                <w:b/>
                <w:spacing w:val="-4"/>
                <w:sz w:val="22"/>
              </w:rPr>
              <w:t> </w:t>
            </w:r>
            <w:r>
              <w:rPr>
                <w:b/>
                <w:sz w:val="22"/>
              </w:rPr>
              <w:t>of</w:t>
            </w:r>
            <w:r>
              <w:rPr>
                <w:b/>
                <w:spacing w:val="1"/>
                <w:sz w:val="22"/>
              </w:rPr>
              <w:t> </w:t>
            </w:r>
            <w:r>
              <w:rPr>
                <w:b/>
                <w:spacing w:val="-2"/>
                <w:sz w:val="22"/>
              </w:rPr>
              <w:t>Coverage***</w:t>
            </w:r>
          </w:p>
        </w:tc>
      </w:tr>
      <w:tr>
        <w:trPr>
          <w:trHeight w:val="253" w:hRule="atLeast"/>
        </w:trPr>
        <w:tc>
          <w:tcPr>
            <w:tcW w:w="9352" w:type="dxa"/>
            <w:gridSpan w:val="6"/>
          </w:tcPr>
          <w:p>
            <w:pPr>
              <w:pStyle w:val="TableParagraph"/>
              <w:spacing w:line="234" w:lineRule="exact"/>
              <w:ind w:left="1888" w:right="1880"/>
              <w:jc w:val="center"/>
              <w:rPr>
                <w:i/>
                <w:sz w:val="22"/>
              </w:rPr>
            </w:pPr>
            <w:r>
              <w:rPr>
                <w:i/>
                <w:sz w:val="22"/>
              </w:rPr>
              <w:t>Standard/Standard</w:t>
            </w:r>
            <w:r>
              <w:rPr>
                <w:i/>
                <w:spacing w:val="-8"/>
                <w:sz w:val="22"/>
              </w:rPr>
              <w:t> </w:t>
            </w:r>
            <w:r>
              <w:rPr>
                <w:i/>
                <w:spacing w:val="-4"/>
                <w:sz w:val="22"/>
              </w:rPr>
              <w:t>ABP*</w:t>
            </w:r>
          </w:p>
        </w:tc>
      </w:tr>
      <w:tr>
        <w:trPr>
          <w:trHeight w:val="758" w:hRule="atLeast"/>
        </w:trPr>
        <w:tc>
          <w:tcPr>
            <w:tcW w:w="2429" w:type="dxa"/>
          </w:tcPr>
          <w:p>
            <w:pPr>
              <w:pStyle w:val="TableParagraph"/>
              <w:spacing w:before="125"/>
              <w:ind w:left="107"/>
              <w:rPr>
                <w:sz w:val="22"/>
              </w:rPr>
            </w:pPr>
            <w:r>
              <w:rPr>
                <w:sz w:val="22"/>
              </w:rPr>
              <w:t>Individuals</w:t>
            </w:r>
            <w:r>
              <w:rPr>
                <w:spacing w:val="-11"/>
                <w:sz w:val="22"/>
              </w:rPr>
              <w:t> </w:t>
            </w:r>
            <w:r>
              <w:rPr>
                <w:sz w:val="22"/>
              </w:rPr>
              <w:t>with</w:t>
            </w:r>
            <w:r>
              <w:rPr>
                <w:spacing w:val="-11"/>
                <w:sz w:val="22"/>
              </w:rPr>
              <w:t> </w:t>
            </w:r>
            <w:r>
              <w:rPr>
                <w:sz w:val="22"/>
              </w:rPr>
              <w:t>no</w:t>
            </w:r>
            <w:r>
              <w:rPr>
                <w:spacing w:val="-14"/>
                <w:sz w:val="22"/>
              </w:rPr>
              <w:t> </w:t>
            </w:r>
            <w:r>
              <w:rPr>
                <w:sz w:val="22"/>
              </w:rPr>
              <w:t>third party liability (TPL)</w:t>
            </w:r>
          </w:p>
        </w:tc>
        <w:tc>
          <w:tcPr>
            <w:tcW w:w="1572" w:type="dxa"/>
          </w:tcPr>
          <w:p>
            <w:pPr>
              <w:pStyle w:val="TableParagraph"/>
              <w:ind w:left="107" w:right="160"/>
              <w:rPr>
                <w:sz w:val="22"/>
              </w:rPr>
            </w:pPr>
            <w:r>
              <w:rPr>
                <w:sz w:val="22"/>
              </w:rPr>
              <w:t>Managed</w:t>
            </w:r>
            <w:r>
              <w:rPr>
                <w:spacing w:val="-14"/>
                <w:sz w:val="22"/>
              </w:rPr>
              <w:t> </w:t>
            </w:r>
            <w:r>
              <w:rPr>
                <w:sz w:val="22"/>
              </w:rPr>
              <w:t>Care (PCC Plan,</w:t>
            </w:r>
          </w:p>
          <w:p>
            <w:pPr>
              <w:pStyle w:val="TableParagraph"/>
              <w:spacing w:line="233" w:lineRule="exact"/>
              <w:ind w:left="107"/>
              <w:rPr>
                <w:sz w:val="22"/>
              </w:rPr>
            </w:pPr>
            <w:r>
              <w:rPr>
                <w:sz w:val="22"/>
              </w:rPr>
              <w:t>MCO,</w:t>
            </w:r>
            <w:r>
              <w:rPr>
                <w:spacing w:val="-3"/>
                <w:sz w:val="22"/>
              </w:rPr>
              <w:t> </w:t>
            </w:r>
            <w:r>
              <w:rPr>
                <w:spacing w:val="-2"/>
                <w:sz w:val="22"/>
              </w:rPr>
              <w:t>Primary</w:t>
            </w:r>
          </w:p>
        </w:tc>
        <w:tc>
          <w:tcPr>
            <w:tcW w:w="490" w:type="dxa"/>
          </w:tcPr>
          <w:p>
            <w:pPr>
              <w:pStyle w:val="TableParagraph"/>
              <w:spacing w:before="8"/>
              <w:rPr>
                <w:sz w:val="21"/>
              </w:rPr>
            </w:pPr>
          </w:p>
          <w:p>
            <w:pPr>
              <w:pStyle w:val="TableParagraph"/>
              <w:spacing w:before="1"/>
              <w:ind w:left="165"/>
              <w:rPr>
                <w:sz w:val="22"/>
              </w:rPr>
            </w:pPr>
            <w:r>
              <w:rPr>
                <w:w w:val="100"/>
                <w:sz w:val="22"/>
              </w:rPr>
              <w:t>X</w:t>
            </w:r>
          </w:p>
        </w:tc>
        <w:tc>
          <w:tcPr>
            <w:tcW w:w="485" w:type="dxa"/>
          </w:tcPr>
          <w:p>
            <w:pPr>
              <w:pStyle w:val="TableParagraph"/>
              <w:rPr>
                <w:sz w:val="22"/>
              </w:rPr>
            </w:pPr>
          </w:p>
        </w:tc>
        <w:tc>
          <w:tcPr>
            <w:tcW w:w="483" w:type="dxa"/>
          </w:tcPr>
          <w:p>
            <w:pPr>
              <w:pStyle w:val="TableParagraph"/>
              <w:spacing w:before="8"/>
              <w:rPr>
                <w:sz w:val="21"/>
              </w:rPr>
            </w:pPr>
          </w:p>
          <w:p>
            <w:pPr>
              <w:pStyle w:val="TableParagraph"/>
              <w:spacing w:before="1"/>
              <w:ind w:left="159"/>
              <w:rPr>
                <w:sz w:val="22"/>
              </w:rPr>
            </w:pPr>
            <w:r>
              <w:rPr>
                <w:w w:val="100"/>
                <w:sz w:val="22"/>
              </w:rPr>
              <w:t>X</w:t>
            </w:r>
          </w:p>
        </w:tc>
        <w:tc>
          <w:tcPr>
            <w:tcW w:w="3893" w:type="dxa"/>
          </w:tcPr>
          <w:p>
            <w:pPr>
              <w:pStyle w:val="TableParagraph"/>
              <w:ind w:left="106" w:right="136"/>
              <w:rPr>
                <w:sz w:val="22"/>
              </w:rPr>
            </w:pPr>
            <w:r>
              <w:rPr>
                <w:sz w:val="22"/>
              </w:rPr>
              <w:t>10 days prior to date of application (except</w:t>
            </w:r>
            <w:r>
              <w:rPr>
                <w:spacing w:val="-8"/>
                <w:sz w:val="22"/>
              </w:rPr>
              <w:t> </w:t>
            </w:r>
            <w:r>
              <w:rPr>
                <w:sz w:val="22"/>
              </w:rPr>
              <w:t>for</w:t>
            </w:r>
            <w:r>
              <w:rPr>
                <w:spacing w:val="-8"/>
                <w:sz w:val="22"/>
              </w:rPr>
              <w:t> </w:t>
            </w:r>
            <w:r>
              <w:rPr>
                <w:sz w:val="22"/>
              </w:rPr>
              <w:t>populations</w:t>
            </w:r>
            <w:r>
              <w:rPr>
                <w:spacing w:val="-6"/>
                <w:sz w:val="22"/>
              </w:rPr>
              <w:t> </w:t>
            </w:r>
            <w:r>
              <w:rPr>
                <w:sz w:val="22"/>
              </w:rPr>
              <w:t>listed</w:t>
            </w:r>
            <w:r>
              <w:rPr>
                <w:spacing w:val="-6"/>
                <w:sz w:val="22"/>
              </w:rPr>
              <w:t> </w:t>
            </w:r>
            <w:r>
              <w:rPr>
                <w:sz w:val="22"/>
              </w:rPr>
              <w:t>in</w:t>
            </w:r>
            <w:r>
              <w:rPr>
                <w:spacing w:val="-6"/>
                <w:sz w:val="22"/>
              </w:rPr>
              <w:t> </w:t>
            </w:r>
            <w:r>
              <w:rPr>
                <w:sz w:val="22"/>
              </w:rPr>
              <w:t>STC</w:t>
            </w:r>
            <w:r>
              <w:rPr>
                <w:spacing w:val="-7"/>
                <w:sz w:val="22"/>
              </w:rPr>
              <w:t> </w:t>
            </w:r>
            <w:r>
              <w:rPr>
                <w:sz w:val="22"/>
              </w:rPr>
              <w:t>4.2</w:t>
            </w:r>
          </w:p>
          <w:p>
            <w:pPr>
              <w:pStyle w:val="TableParagraph"/>
              <w:spacing w:line="233" w:lineRule="exact"/>
              <w:ind w:left="106"/>
              <w:rPr>
                <w:sz w:val="22"/>
              </w:rPr>
            </w:pPr>
            <w:r>
              <w:rPr>
                <w:sz w:val="22"/>
              </w:rPr>
              <w:t>whose</w:t>
            </w:r>
            <w:r>
              <w:rPr>
                <w:spacing w:val="-3"/>
                <w:sz w:val="22"/>
              </w:rPr>
              <w:t> </w:t>
            </w:r>
            <w:r>
              <w:rPr>
                <w:sz w:val="22"/>
              </w:rPr>
              <w:t>start</w:t>
            </w:r>
            <w:r>
              <w:rPr>
                <w:spacing w:val="-1"/>
                <w:sz w:val="22"/>
              </w:rPr>
              <w:t> </w:t>
            </w:r>
            <w:r>
              <w:rPr>
                <w:sz w:val="22"/>
              </w:rPr>
              <w:t>date</w:t>
            </w:r>
            <w:r>
              <w:rPr>
                <w:spacing w:val="-5"/>
                <w:sz w:val="22"/>
              </w:rPr>
              <w:t> </w:t>
            </w:r>
            <w:r>
              <w:rPr>
                <w:sz w:val="22"/>
              </w:rPr>
              <w:t>of</w:t>
            </w:r>
            <w:r>
              <w:rPr>
                <w:spacing w:val="-4"/>
                <w:sz w:val="22"/>
              </w:rPr>
              <w:t> </w:t>
            </w:r>
            <w:r>
              <w:rPr>
                <w:sz w:val="22"/>
              </w:rPr>
              <w:t>coverage</w:t>
            </w:r>
            <w:r>
              <w:rPr>
                <w:spacing w:val="-3"/>
                <w:sz w:val="22"/>
              </w:rPr>
              <w:t> </w:t>
            </w:r>
            <w:r>
              <w:rPr>
                <w:sz w:val="22"/>
              </w:rPr>
              <w:t>may</w:t>
            </w:r>
            <w:r>
              <w:rPr>
                <w:spacing w:val="-5"/>
                <w:sz w:val="22"/>
              </w:rPr>
              <w:t> </w:t>
            </w:r>
            <w:r>
              <w:rPr>
                <w:sz w:val="22"/>
              </w:rPr>
              <w:t>be</w:t>
            </w:r>
            <w:r>
              <w:rPr>
                <w:spacing w:val="-2"/>
                <w:sz w:val="22"/>
              </w:rPr>
              <w:t> </w:t>
            </w:r>
            <w:r>
              <w:rPr>
                <w:spacing w:val="-5"/>
                <w:sz w:val="22"/>
              </w:rPr>
              <w:t>up</w:t>
            </w:r>
          </w:p>
        </w:tc>
      </w:tr>
    </w:tbl>
    <w:p>
      <w:pPr>
        <w:spacing w:after="0" w:line="233" w:lineRule="exact"/>
        <w:rPr>
          <w:sz w:val="22"/>
        </w:rPr>
        <w:sectPr>
          <w:pgSz w:w="12240" w:h="15840"/>
          <w:pgMar w:header="0" w:footer="1201" w:top="1360" w:bottom="1400" w:left="1200" w:right="400"/>
        </w:sectPr>
      </w:pPr>
    </w:p>
    <w:tbl>
      <w:tblPr>
        <w:tblW w:w="0" w:type="auto"/>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9"/>
        <w:gridCol w:w="1572"/>
        <w:gridCol w:w="490"/>
        <w:gridCol w:w="485"/>
        <w:gridCol w:w="483"/>
        <w:gridCol w:w="3893"/>
      </w:tblGrid>
      <w:tr>
        <w:trPr>
          <w:trHeight w:val="801" w:hRule="atLeast"/>
        </w:trPr>
        <w:tc>
          <w:tcPr>
            <w:tcW w:w="9352" w:type="dxa"/>
            <w:gridSpan w:val="6"/>
            <w:shd w:val="clear" w:color="auto" w:fill="DBE6F1"/>
          </w:tcPr>
          <w:p>
            <w:pPr>
              <w:pStyle w:val="TableParagraph"/>
              <w:spacing w:line="244" w:lineRule="auto" w:before="145"/>
              <w:ind w:left="4209" w:hanging="4004"/>
              <w:rPr>
                <w:b/>
                <w:sz w:val="22"/>
              </w:rPr>
            </w:pPr>
            <w:r>
              <w:rPr>
                <w:b/>
                <w:sz w:val="22"/>
              </w:rPr>
              <w:t>Table</w:t>
            </w:r>
            <w:r>
              <w:rPr>
                <w:b/>
                <w:spacing w:val="-2"/>
                <w:sz w:val="22"/>
              </w:rPr>
              <w:t> </w:t>
            </w:r>
            <w:r>
              <w:rPr>
                <w:b/>
                <w:sz w:val="22"/>
              </w:rPr>
              <w:t>9:</w:t>
            </w:r>
            <w:r>
              <w:rPr>
                <w:b/>
                <w:spacing w:val="-1"/>
                <w:sz w:val="22"/>
              </w:rPr>
              <w:t> </w:t>
            </w:r>
            <w:r>
              <w:rPr>
                <w:b/>
                <w:sz w:val="22"/>
              </w:rPr>
              <w:t>Delivery</w:t>
            </w:r>
            <w:r>
              <w:rPr>
                <w:b/>
                <w:spacing w:val="-2"/>
                <w:sz w:val="22"/>
              </w:rPr>
              <w:t> </w:t>
            </w:r>
            <w:r>
              <w:rPr>
                <w:b/>
                <w:sz w:val="22"/>
              </w:rPr>
              <w:t>System</w:t>
            </w:r>
            <w:r>
              <w:rPr>
                <w:b/>
                <w:spacing w:val="-4"/>
                <w:sz w:val="22"/>
              </w:rPr>
              <w:t> </w:t>
            </w:r>
            <w:r>
              <w:rPr>
                <w:b/>
                <w:sz w:val="22"/>
              </w:rPr>
              <w:t>and</w:t>
            </w:r>
            <w:r>
              <w:rPr>
                <w:b/>
                <w:spacing w:val="-3"/>
                <w:sz w:val="22"/>
              </w:rPr>
              <w:t> </w:t>
            </w:r>
            <w:r>
              <w:rPr>
                <w:b/>
                <w:sz w:val="22"/>
              </w:rPr>
              <w:t>Coverage</w:t>
            </w:r>
            <w:r>
              <w:rPr>
                <w:b/>
                <w:spacing w:val="-4"/>
                <w:sz w:val="22"/>
              </w:rPr>
              <w:t> </w:t>
            </w:r>
            <w:r>
              <w:rPr>
                <w:b/>
                <w:sz w:val="22"/>
              </w:rPr>
              <w:t>for</w:t>
            </w:r>
            <w:r>
              <w:rPr>
                <w:b/>
                <w:spacing w:val="-2"/>
                <w:sz w:val="22"/>
              </w:rPr>
              <w:t> </w:t>
            </w:r>
            <w:r>
              <w:rPr>
                <w:b/>
                <w:sz w:val="22"/>
              </w:rPr>
              <w:t>Individuals</w:t>
            </w:r>
            <w:r>
              <w:rPr>
                <w:b/>
                <w:spacing w:val="-2"/>
                <w:sz w:val="22"/>
              </w:rPr>
              <w:t> </w:t>
            </w:r>
            <w:r>
              <w:rPr>
                <w:b/>
                <w:sz w:val="22"/>
              </w:rPr>
              <w:t>under</w:t>
            </w:r>
            <w:r>
              <w:rPr>
                <w:b/>
                <w:spacing w:val="-2"/>
                <w:sz w:val="22"/>
              </w:rPr>
              <w:t> </w:t>
            </w:r>
            <w:r>
              <w:rPr>
                <w:b/>
                <w:sz w:val="22"/>
              </w:rPr>
              <w:t>65</w:t>
            </w:r>
            <w:r>
              <w:rPr>
                <w:b/>
                <w:spacing w:val="-5"/>
                <w:sz w:val="22"/>
              </w:rPr>
              <w:t> </w:t>
            </w:r>
            <w:r>
              <w:rPr>
                <w:b/>
                <w:sz w:val="22"/>
              </w:rPr>
              <w:t>in</w:t>
            </w:r>
            <w:r>
              <w:rPr>
                <w:b/>
                <w:spacing w:val="-3"/>
                <w:sz w:val="22"/>
              </w:rPr>
              <w:t> </w:t>
            </w:r>
            <w:r>
              <w:rPr>
                <w:b/>
                <w:sz w:val="22"/>
              </w:rPr>
              <w:t>MassHealth</w:t>
            </w:r>
            <w:r>
              <w:rPr>
                <w:b/>
                <w:spacing w:val="-3"/>
                <w:sz w:val="22"/>
              </w:rPr>
              <w:t> </w:t>
            </w:r>
            <w:r>
              <w:rPr>
                <w:b/>
                <w:sz w:val="22"/>
              </w:rPr>
              <w:t>Demonstration </w:t>
            </w:r>
            <w:r>
              <w:rPr>
                <w:b/>
                <w:spacing w:val="-2"/>
                <w:sz w:val="22"/>
              </w:rPr>
              <w:t>Programs</w:t>
            </w:r>
          </w:p>
        </w:tc>
      </w:tr>
      <w:tr>
        <w:trPr>
          <w:trHeight w:val="1502" w:hRule="atLeast"/>
        </w:trPr>
        <w:tc>
          <w:tcPr>
            <w:tcW w:w="2429" w:type="dxa"/>
            <w:shd w:val="clear" w:color="auto" w:fill="DBE6F1"/>
          </w:tcPr>
          <w:p>
            <w:pPr>
              <w:pStyle w:val="TableParagraph"/>
              <w:rPr>
                <w:sz w:val="24"/>
              </w:rPr>
            </w:pPr>
          </w:p>
          <w:p>
            <w:pPr>
              <w:pStyle w:val="TableParagraph"/>
              <w:spacing w:before="1"/>
              <w:rPr>
                <w:sz w:val="30"/>
              </w:rPr>
            </w:pPr>
          </w:p>
          <w:p>
            <w:pPr>
              <w:pStyle w:val="TableParagraph"/>
              <w:ind w:left="501"/>
              <w:rPr>
                <w:b/>
                <w:sz w:val="22"/>
              </w:rPr>
            </w:pPr>
            <w:r>
              <w:rPr>
                <w:b/>
                <w:sz w:val="22"/>
              </w:rPr>
              <w:t>Coverage</w:t>
            </w:r>
            <w:r>
              <w:rPr>
                <w:b/>
                <w:spacing w:val="-2"/>
                <w:sz w:val="22"/>
              </w:rPr>
              <w:t> </w:t>
            </w:r>
            <w:r>
              <w:rPr>
                <w:b/>
                <w:spacing w:val="-4"/>
                <w:sz w:val="22"/>
              </w:rPr>
              <w:t>Type</w:t>
            </w:r>
          </w:p>
        </w:tc>
        <w:tc>
          <w:tcPr>
            <w:tcW w:w="1572" w:type="dxa"/>
            <w:shd w:val="clear" w:color="auto" w:fill="DBE6F1"/>
          </w:tcPr>
          <w:p>
            <w:pPr>
              <w:pStyle w:val="TableParagraph"/>
              <w:rPr>
                <w:sz w:val="24"/>
              </w:rPr>
            </w:pPr>
          </w:p>
          <w:p>
            <w:pPr>
              <w:pStyle w:val="TableParagraph"/>
              <w:rPr>
                <w:sz w:val="19"/>
              </w:rPr>
            </w:pPr>
          </w:p>
          <w:p>
            <w:pPr>
              <w:pStyle w:val="TableParagraph"/>
              <w:ind w:left="182" w:right="170" w:firstLine="204"/>
              <w:rPr>
                <w:b/>
                <w:sz w:val="22"/>
              </w:rPr>
            </w:pPr>
            <w:r>
              <w:rPr>
                <w:b/>
                <w:spacing w:val="-2"/>
                <w:sz w:val="22"/>
              </w:rPr>
              <w:t>Delivery </w:t>
            </w:r>
            <w:r>
              <w:rPr>
                <w:b/>
                <w:sz w:val="22"/>
              </w:rPr>
              <w:t>System</w:t>
            </w:r>
            <w:r>
              <w:rPr>
                <w:b/>
                <w:spacing w:val="-14"/>
                <w:sz w:val="22"/>
              </w:rPr>
              <w:t> </w:t>
            </w:r>
            <w:r>
              <w:rPr>
                <w:b/>
                <w:sz w:val="22"/>
              </w:rPr>
              <w:t>Type</w:t>
            </w:r>
          </w:p>
        </w:tc>
        <w:tc>
          <w:tcPr>
            <w:tcW w:w="490" w:type="dxa"/>
            <w:shd w:val="clear" w:color="auto" w:fill="DBE6F1"/>
            <w:textDirection w:val="tbRl"/>
          </w:tcPr>
          <w:p>
            <w:pPr>
              <w:pStyle w:val="TableParagraph"/>
              <w:spacing w:before="109"/>
              <w:ind w:left="218"/>
              <w:rPr>
                <w:b/>
                <w:sz w:val="22"/>
              </w:rPr>
            </w:pPr>
            <w:r>
              <w:rPr>
                <w:b/>
                <w:spacing w:val="-2"/>
                <w:sz w:val="22"/>
              </w:rPr>
              <w:t>Mandatory</w:t>
            </w:r>
          </w:p>
        </w:tc>
        <w:tc>
          <w:tcPr>
            <w:tcW w:w="485" w:type="dxa"/>
            <w:shd w:val="clear" w:color="auto" w:fill="DBE6F1"/>
            <w:textDirection w:val="tbRl"/>
          </w:tcPr>
          <w:p>
            <w:pPr>
              <w:pStyle w:val="TableParagraph"/>
              <w:spacing w:before="107"/>
              <w:ind w:left="268"/>
              <w:rPr>
                <w:b/>
                <w:sz w:val="22"/>
              </w:rPr>
            </w:pPr>
            <w:r>
              <w:rPr>
                <w:b/>
                <w:spacing w:val="-2"/>
                <w:sz w:val="22"/>
              </w:rPr>
              <w:t>Voluntary</w:t>
            </w:r>
          </w:p>
        </w:tc>
        <w:tc>
          <w:tcPr>
            <w:tcW w:w="483" w:type="dxa"/>
            <w:shd w:val="clear" w:color="auto" w:fill="DBE6F1"/>
            <w:textDirection w:val="tbRl"/>
          </w:tcPr>
          <w:p>
            <w:pPr>
              <w:pStyle w:val="TableParagraph"/>
              <w:spacing w:before="108"/>
              <w:ind w:left="295"/>
              <w:rPr>
                <w:b/>
                <w:sz w:val="22"/>
              </w:rPr>
            </w:pPr>
            <w:r>
              <w:rPr>
                <w:b/>
                <w:sz w:val="22"/>
              </w:rPr>
              <w:t>FFS</w:t>
            </w:r>
            <w:r>
              <w:rPr>
                <w:b/>
                <w:spacing w:val="-5"/>
                <w:sz w:val="22"/>
              </w:rPr>
              <w:t> </w:t>
            </w:r>
            <w:r>
              <w:rPr>
                <w:b/>
                <w:spacing w:val="-4"/>
                <w:sz w:val="22"/>
              </w:rPr>
              <w:t>Only</w:t>
            </w:r>
          </w:p>
        </w:tc>
        <w:tc>
          <w:tcPr>
            <w:tcW w:w="3893" w:type="dxa"/>
            <w:shd w:val="clear" w:color="auto" w:fill="DBE6F1"/>
          </w:tcPr>
          <w:p>
            <w:pPr>
              <w:pStyle w:val="TableParagraph"/>
              <w:rPr>
                <w:sz w:val="24"/>
              </w:rPr>
            </w:pPr>
          </w:p>
          <w:p>
            <w:pPr>
              <w:pStyle w:val="TableParagraph"/>
              <w:spacing w:before="1"/>
              <w:rPr>
                <w:sz w:val="30"/>
              </w:rPr>
            </w:pPr>
          </w:p>
          <w:p>
            <w:pPr>
              <w:pStyle w:val="TableParagraph"/>
              <w:ind w:left="701"/>
              <w:rPr>
                <w:b/>
                <w:sz w:val="22"/>
              </w:rPr>
            </w:pPr>
            <w:r>
              <w:rPr>
                <w:b/>
                <w:sz w:val="22"/>
              </w:rPr>
              <w:t>Start</w:t>
            </w:r>
            <w:r>
              <w:rPr>
                <w:b/>
                <w:spacing w:val="-4"/>
                <w:sz w:val="22"/>
              </w:rPr>
              <w:t> </w:t>
            </w:r>
            <w:r>
              <w:rPr>
                <w:b/>
                <w:sz w:val="22"/>
              </w:rPr>
              <w:t>Date</w:t>
            </w:r>
            <w:r>
              <w:rPr>
                <w:b/>
                <w:spacing w:val="-4"/>
                <w:sz w:val="22"/>
              </w:rPr>
              <w:t> </w:t>
            </w:r>
            <w:r>
              <w:rPr>
                <w:b/>
                <w:sz w:val="22"/>
              </w:rPr>
              <w:t>of</w:t>
            </w:r>
            <w:r>
              <w:rPr>
                <w:b/>
                <w:spacing w:val="1"/>
                <w:sz w:val="22"/>
              </w:rPr>
              <w:t> </w:t>
            </w:r>
            <w:r>
              <w:rPr>
                <w:b/>
                <w:spacing w:val="-2"/>
                <w:sz w:val="22"/>
              </w:rPr>
              <w:t>Coverage***</w:t>
            </w:r>
          </w:p>
        </w:tc>
      </w:tr>
      <w:tr>
        <w:trPr>
          <w:trHeight w:val="3035" w:hRule="atLeast"/>
        </w:trPr>
        <w:tc>
          <w:tcPr>
            <w:tcW w:w="2429" w:type="dxa"/>
          </w:tcPr>
          <w:p>
            <w:pPr>
              <w:pStyle w:val="TableParagraph"/>
              <w:rPr>
                <w:sz w:val="20"/>
              </w:rPr>
            </w:pPr>
          </w:p>
        </w:tc>
        <w:tc>
          <w:tcPr>
            <w:tcW w:w="1572" w:type="dxa"/>
          </w:tcPr>
          <w:p>
            <w:pPr>
              <w:pStyle w:val="TableParagraph"/>
              <w:ind w:left="107" w:right="170"/>
              <w:rPr>
                <w:sz w:val="22"/>
              </w:rPr>
            </w:pPr>
            <w:r>
              <w:rPr>
                <w:sz w:val="22"/>
              </w:rPr>
              <w:t>Care ACO (PCACO)</w:t>
            </w:r>
            <w:r>
              <w:rPr>
                <w:spacing w:val="-8"/>
                <w:sz w:val="22"/>
              </w:rPr>
              <w:t> </w:t>
            </w:r>
            <w:r>
              <w:rPr>
                <w:spacing w:val="-5"/>
                <w:sz w:val="22"/>
              </w:rPr>
              <w:t>or</w:t>
            </w:r>
          </w:p>
          <w:p>
            <w:pPr>
              <w:pStyle w:val="TableParagraph"/>
              <w:ind w:left="107" w:right="170"/>
              <w:rPr>
                <w:sz w:val="22"/>
              </w:rPr>
            </w:pPr>
            <w:r>
              <w:rPr>
                <w:spacing w:val="-2"/>
                <w:sz w:val="22"/>
              </w:rPr>
              <w:t>Accountable </w:t>
            </w:r>
            <w:r>
              <w:rPr>
                <w:spacing w:val="-4"/>
                <w:sz w:val="22"/>
              </w:rPr>
              <w:t>Care </w:t>
            </w:r>
            <w:r>
              <w:rPr>
                <w:spacing w:val="-2"/>
                <w:sz w:val="22"/>
              </w:rPr>
              <w:t>Partnership </w:t>
            </w:r>
            <w:r>
              <w:rPr>
                <w:spacing w:val="-4"/>
                <w:sz w:val="22"/>
              </w:rPr>
              <w:t>Plan </w:t>
            </w:r>
            <w:r>
              <w:rPr>
                <w:spacing w:val="-2"/>
                <w:sz w:val="22"/>
              </w:rPr>
              <w:t>(ACPP))**</w:t>
            </w:r>
          </w:p>
          <w:p>
            <w:pPr>
              <w:pStyle w:val="TableParagraph"/>
              <w:spacing w:before="9"/>
              <w:rPr>
                <w:sz w:val="21"/>
              </w:rPr>
            </w:pPr>
          </w:p>
          <w:p>
            <w:pPr>
              <w:pStyle w:val="TableParagraph"/>
              <w:ind w:left="107" w:right="170"/>
              <w:rPr>
                <w:sz w:val="22"/>
              </w:rPr>
            </w:pPr>
            <w:r>
              <w:rPr>
                <w:spacing w:val="-2"/>
                <w:sz w:val="22"/>
              </w:rPr>
              <w:t>Certain services </w:t>
            </w:r>
            <w:r>
              <w:rPr>
                <w:sz w:val="22"/>
              </w:rPr>
              <w:t>provided</w:t>
            </w:r>
            <w:r>
              <w:rPr>
                <w:spacing w:val="-14"/>
                <w:sz w:val="22"/>
              </w:rPr>
              <w:t> </w:t>
            </w:r>
            <w:r>
              <w:rPr>
                <w:sz w:val="22"/>
              </w:rPr>
              <w:t>via</w:t>
            </w:r>
          </w:p>
          <w:p>
            <w:pPr>
              <w:pStyle w:val="TableParagraph"/>
              <w:spacing w:line="235" w:lineRule="exact"/>
              <w:ind w:left="107"/>
              <w:rPr>
                <w:sz w:val="22"/>
              </w:rPr>
            </w:pPr>
            <w:r>
              <w:rPr>
                <w:spacing w:val="-5"/>
                <w:sz w:val="22"/>
              </w:rPr>
              <w:t>FFS</w:t>
            </w:r>
          </w:p>
        </w:tc>
        <w:tc>
          <w:tcPr>
            <w:tcW w:w="490" w:type="dxa"/>
          </w:tcPr>
          <w:p>
            <w:pPr>
              <w:pStyle w:val="TableParagraph"/>
              <w:rPr>
                <w:sz w:val="20"/>
              </w:rPr>
            </w:pPr>
          </w:p>
        </w:tc>
        <w:tc>
          <w:tcPr>
            <w:tcW w:w="485" w:type="dxa"/>
          </w:tcPr>
          <w:p>
            <w:pPr>
              <w:pStyle w:val="TableParagraph"/>
              <w:rPr>
                <w:sz w:val="20"/>
              </w:rPr>
            </w:pPr>
          </w:p>
        </w:tc>
        <w:tc>
          <w:tcPr>
            <w:tcW w:w="483" w:type="dxa"/>
          </w:tcPr>
          <w:p>
            <w:pPr>
              <w:pStyle w:val="TableParagraph"/>
              <w:rPr>
                <w:sz w:val="20"/>
              </w:rPr>
            </w:pPr>
          </w:p>
        </w:tc>
        <w:tc>
          <w:tcPr>
            <w:tcW w:w="3893" w:type="dxa"/>
          </w:tcPr>
          <w:p>
            <w:pPr>
              <w:pStyle w:val="TableParagraph"/>
              <w:ind w:left="106"/>
              <w:rPr>
                <w:sz w:val="22"/>
              </w:rPr>
            </w:pPr>
            <w:r>
              <w:rPr>
                <w:sz w:val="22"/>
              </w:rPr>
              <w:t>to</w:t>
            </w:r>
            <w:r>
              <w:rPr>
                <w:spacing w:val="-4"/>
                <w:sz w:val="22"/>
              </w:rPr>
              <w:t> </w:t>
            </w:r>
            <w:r>
              <w:rPr>
                <w:sz w:val="22"/>
              </w:rPr>
              <w:t>the</w:t>
            </w:r>
            <w:r>
              <w:rPr>
                <w:spacing w:val="-4"/>
                <w:sz w:val="22"/>
              </w:rPr>
              <w:t> </w:t>
            </w:r>
            <w:r>
              <w:rPr>
                <w:sz w:val="22"/>
              </w:rPr>
              <w:t>first</w:t>
            </w:r>
            <w:r>
              <w:rPr>
                <w:spacing w:val="-3"/>
                <w:sz w:val="22"/>
              </w:rPr>
              <w:t> </w:t>
            </w:r>
            <w:r>
              <w:rPr>
                <w:sz w:val="22"/>
              </w:rPr>
              <w:t>day</w:t>
            </w:r>
            <w:r>
              <w:rPr>
                <w:spacing w:val="-7"/>
                <w:sz w:val="22"/>
              </w:rPr>
              <w:t> </w:t>
            </w:r>
            <w:r>
              <w:rPr>
                <w:sz w:val="22"/>
              </w:rPr>
              <w:t>of</w:t>
            </w:r>
            <w:r>
              <w:rPr>
                <w:spacing w:val="-4"/>
                <w:sz w:val="22"/>
              </w:rPr>
              <w:t> </w:t>
            </w:r>
            <w:r>
              <w:rPr>
                <w:sz w:val="22"/>
              </w:rPr>
              <w:t>the</w:t>
            </w:r>
            <w:r>
              <w:rPr>
                <w:spacing w:val="-4"/>
                <w:sz w:val="22"/>
              </w:rPr>
              <w:t> </w:t>
            </w:r>
            <w:r>
              <w:rPr>
                <w:sz w:val="22"/>
              </w:rPr>
              <w:t>third</w:t>
            </w:r>
            <w:r>
              <w:rPr>
                <w:spacing w:val="-7"/>
                <w:sz w:val="22"/>
              </w:rPr>
              <w:t> </w:t>
            </w:r>
            <w:r>
              <w:rPr>
                <w:sz w:val="22"/>
              </w:rPr>
              <w:t>month</w:t>
            </w:r>
            <w:r>
              <w:rPr>
                <w:spacing w:val="-4"/>
                <w:sz w:val="22"/>
              </w:rPr>
              <w:t> </w:t>
            </w:r>
            <w:r>
              <w:rPr>
                <w:sz w:val="22"/>
              </w:rPr>
              <w:t>prior</w:t>
            </w:r>
            <w:r>
              <w:rPr>
                <w:spacing w:val="-3"/>
                <w:sz w:val="22"/>
              </w:rPr>
              <w:t> </w:t>
            </w:r>
            <w:r>
              <w:rPr>
                <w:sz w:val="22"/>
              </w:rPr>
              <w:t>to the date of application.)</w:t>
            </w:r>
          </w:p>
        </w:tc>
      </w:tr>
      <w:tr>
        <w:trPr>
          <w:trHeight w:val="1264" w:hRule="atLeast"/>
        </w:trPr>
        <w:tc>
          <w:tcPr>
            <w:tcW w:w="2429" w:type="dxa"/>
          </w:tcPr>
          <w:p>
            <w:pPr>
              <w:pStyle w:val="TableParagraph"/>
              <w:rPr>
                <w:sz w:val="24"/>
              </w:rPr>
            </w:pPr>
          </w:p>
          <w:p>
            <w:pPr>
              <w:pStyle w:val="TableParagraph"/>
              <w:spacing w:before="8"/>
              <w:rPr>
                <w:sz w:val="30"/>
              </w:rPr>
            </w:pPr>
          </w:p>
          <w:p>
            <w:pPr>
              <w:pStyle w:val="TableParagraph"/>
              <w:ind w:left="107"/>
              <w:rPr>
                <w:sz w:val="22"/>
              </w:rPr>
            </w:pPr>
            <w:r>
              <w:rPr>
                <w:sz w:val="22"/>
              </w:rPr>
              <w:t>Adults</w:t>
            </w:r>
            <w:r>
              <w:rPr>
                <w:spacing w:val="-4"/>
                <w:sz w:val="22"/>
              </w:rPr>
              <w:t> </w:t>
            </w:r>
            <w:r>
              <w:rPr>
                <w:sz w:val="22"/>
              </w:rPr>
              <w:t>with</w:t>
            </w:r>
            <w:r>
              <w:rPr>
                <w:spacing w:val="-5"/>
                <w:sz w:val="22"/>
              </w:rPr>
              <w:t> TPL</w:t>
            </w:r>
          </w:p>
        </w:tc>
        <w:tc>
          <w:tcPr>
            <w:tcW w:w="1572" w:type="dxa"/>
          </w:tcPr>
          <w:p>
            <w:pPr>
              <w:pStyle w:val="TableParagraph"/>
              <w:spacing w:before="8"/>
              <w:rPr>
                <w:sz w:val="21"/>
              </w:rPr>
            </w:pPr>
          </w:p>
          <w:p>
            <w:pPr>
              <w:pStyle w:val="TableParagraph"/>
              <w:spacing w:before="1"/>
              <w:ind w:left="107" w:right="245"/>
              <w:rPr>
                <w:sz w:val="22"/>
              </w:rPr>
            </w:pPr>
            <w:r>
              <w:rPr>
                <w:sz w:val="22"/>
              </w:rPr>
              <w:t>Receive</w:t>
            </w:r>
            <w:r>
              <w:rPr>
                <w:spacing w:val="-14"/>
                <w:sz w:val="22"/>
              </w:rPr>
              <w:t> </w:t>
            </w:r>
            <w:r>
              <w:rPr>
                <w:sz w:val="22"/>
              </w:rPr>
              <w:t>wrap benefits via </w:t>
            </w:r>
            <w:r>
              <w:rPr>
                <w:spacing w:val="-4"/>
                <w:sz w:val="22"/>
              </w:rPr>
              <w:t>FFS</w:t>
            </w:r>
          </w:p>
        </w:tc>
        <w:tc>
          <w:tcPr>
            <w:tcW w:w="490" w:type="dxa"/>
          </w:tcPr>
          <w:p>
            <w:pPr>
              <w:pStyle w:val="TableParagraph"/>
              <w:rPr>
                <w:sz w:val="20"/>
              </w:rPr>
            </w:pPr>
          </w:p>
        </w:tc>
        <w:tc>
          <w:tcPr>
            <w:tcW w:w="485" w:type="dxa"/>
          </w:tcPr>
          <w:p>
            <w:pPr>
              <w:pStyle w:val="TableParagraph"/>
              <w:rPr>
                <w:sz w:val="20"/>
              </w:rPr>
            </w:pPr>
          </w:p>
        </w:tc>
        <w:tc>
          <w:tcPr>
            <w:tcW w:w="483" w:type="dxa"/>
          </w:tcPr>
          <w:p>
            <w:pPr>
              <w:pStyle w:val="TableParagraph"/>
              <w:rPr>
                <w:sz w:val="24"/>
              </w:rPr>
            </w:pPr>
          </w:p>
          <w:p>
            <w:pPr>
              <w:pStyle w:val="TableParagraph"/>
              <w:spacing w:before="10"/>
              <w:rPr>
                <w:sz w:val="19"/>
              </w:rPr>
            </w:pPr>
          </w:p>
          <w:p>
            <w:pPr>
              <w:pStyle w:val="TableParagraph"/>
              <w:ind w:left="6"/>
              <w:jc w:val="center"/>
              <w:rPr>
                <w:sz w:val="22"/>
              </w:rPr>
            </w:pPr>
            <w:r>
              <w:rPr>
                <w:w w:val="100"/>
                <w:sz w:val="22"/>
              </w:rPr>
              <w:t>X</w:t>
            </w:r>
          </w:p>
        </w:tc>
        <w:tc>
          <w:tcPr>
            <w:tcW w:w="3893" w:type="dxa"/>
          </w:tcPr>
          <w:p>
            <w:pPr>
              <w:pStyle w:val="TableParagraph"/>
              <w:ind w:left="106" w:right="136"/>
              <w:rPr>
                <w:sz w:val="22"/>
              </w:rPr>
            </w:pPr>
            <w:r>
              <w:rPr>
                <w:sz w:val="22"/>
              </w:rPr>
              <w:t>10 days prior to date of application (except for populations listed in STC 4.2 whose start date of coverage may be up to</w:t>
            </w:r>
            <w:r>
              <w:rPr>
                <w:spacing w:val="-4"/>
                <w:sz w:val="22"/>
              </w:rPr>
              <w:t> </w:t>
            </w:r>
            <w:r>
              <w:rPr>
                <w:sz w:val="22"/>
              </w:rPr>
              <w:t>the</w:t>
            </w:r>
            <w:r>
              <w:rPr>
                <w:spacing w:val="-4"/>
                <w:sz w:val="22"/>
              </w:rPr>
              <w:t> </w:t>
            </w:r>
            <w:r>
              <w:rPr>
                <w:sz w:val="22"/>
              </w:rPr>
              <w:t>first</w:t>
            </w:r>
            <w:r>
              <w:rPr>
                <w:spacing w:val="-3"/>
                <w:sz w:val="22"/>
              </w:rPr>
              <w:t> </w:t>
            </w:r>
            <w:r>
              <w:rPr>
                <w:sz w:val="22"/>
              </w:rPr>
              <w:t>day</w:t>
            </w:r>
            <w:r>
              <w:rPr>
                <w:spacing w:val="-7"/>
                <w:sz w:val="22"/>
              </w:rPr>
              <w:t> </w:t>
            </w:r>
            <w:r>
              <w:rPr>
                <w:sz w:val="22"/>
              </w:rPr>
              <w:t>of</w:t>
            </w:r>
            <w:r>
              <w:rPr>
                <w:spacing w:val="-3"/>
                <w:sz w:val="22"/>
              </w:rPr>
              <w:t> </w:t>
            </w:r>
            <w:r>
              <w:rPr>
                <w:sz w:val="22"/>
              </w:rPr>
              <w:t>the</w:t>
            </w:r>
            <w:r>
              <w:rPr>
                <w:spacing w:val="-4"/>
                <w:sz w:val="22"/>
              </w:rPr>
              <w:t> </w:t>
            </w:r>
            <w:r>
              <w:rPr>
                <w:sz w:val="22"/>
              </w:rPr>
              <w:t>third</w:t>
            </w:r>
            <w:r>
              <w:rPr>
                <w:spacing w:val="-7"/>
                <w:sz w:val="22"/>
              </w:rPr>
              <w:t> </w:t>
            </w:r>
            <w:r>
              <w:rPr>
                <w:sz w:val="22"/>
              </w:rPr>
              <w:t>month</w:t>
            </w:r>
            <w:r>
              <w:rPr>
                <w:spacing w:val="-5"/>
                <w:sz w:val="22"/>
              </w:rPr>
              <w:t> </w:t>
            </w:r>
            <w:r>
              <w:rPr>
                <w:sz w:val="22"/>
              </w:rPr>
              <w:t>prior</w:t>
            </w:r>
            <w:r>
              <w:rPr>
                <w:spacing w:val="-3"/>
                <w:sz w:val="22"/>
              </w:rPr>
              <w:t> </w:t>
            </w:r>
            <w:r>
              <w:rPr>
                <w:sz w:val="22"/>
              </w:rPr>
              <w:t>to</w:t>
            </w:r>
          </w:p>
          <w:p>
            <w:pPr>
              <w:pStyle w:val="TableParagraph"/>
              <w:spacing w:line="234" w:lineRule="exact"/>
              <w:ind w:left="106"/>
              <w:rPr>
                <w:sz w:val="22"/>
              </w:rPr>
            </w:pPr>
            <w:r>
              <w:rPr>
                <w:sz w:val="22"/>
              </w:rPr>
              <w:t>the</w:t>
            </w:r>
            <w:r>
              <w:rPr>
                <w:spacing w:val="-1"/>
                <w:sz w:val="22"/>
              </w:rPr>
              <w:t> </w:t>
            </w:r>
            <w:r>
              <w:rPr>
                <w:sz w:val="22"/>
              </w:rPr>
              <w:t>date</w:t>
            </w:r>
            <w:r>
              <w:rPr>
                <w:spacing w:val="-2"/>
                <w:sz w:val="22"/>
              </w:rPr>
              <w:t> </w:t>
            </w:r>
            <w:r>
              <w:rPr>
                <w:sz w:val="22"/>
              </w:rPr>
              <w:t>of</w:t>
            </w:r>
            <w:r>
              <w:rPr>
                <w:spacing w:val="-2"/>
                <w:sz w:val="22"/>
              </w:rPr>
              <w:t> application.)</w:t>
            </w:r>
          </w:p>
        </w:tc>
      </w:tr>
      <w:tr>
        <w:trPr>
          <w:trHeight w:val="2022" w:hRule="atLeast"/>
        </w:trPr>
        <w:tc>
          <w:tcPr>
            <w:tcW w:w="2429" w:type="dxa"/>
          </w:tcPr>
          <w:p>
            <w:pPr>
              <w:pStyle w:val="TableParagraph"/>
              <w:rPr>
                <w:sz w:val="24"/>
              </w:rPr>
            </w:pPr>
          </w:p>
          <w:p>
            <w:pPr>
              <w:pStyle w:val="TableParagraph"/>
              <w:rPr>
                <w:sz w:val="24"/>
              </w:rPr>
            </w:pPr>
          </w:p>
          <w:p>
            <w:pPr>
              <w:pStyle w:val="TableParagraph"/>
              <w:spacing w:before="10"/>
              <w:rPr>
                <w:sz w:val="28"/>
              </w:rPr>
            </w:pPr>
          </w:p>
          <w:p>
            <w:pPr>
              <w:pStyle w:val="TableParagraph"/>
              <w:ind w:left="107"/>
              <w:rPr>
                <w:sz w:val="22"/>
              </w:rPr>
            </w:pPr>
            <w:r>
              <w:rPr>
                <w:sz w:val="22"/>
              </w:rPr>
              <w:t>Children</w:t>
            </w:r>
            <w:r>
              <w:rPr>
                <w:spacing w:val="-3"/>
                <w:sz w:val="22"/>
              </w:rPr>
              <w:t> </w:t>
            </w:r>
            <w:r>
              <w:rPr>
                <w:sz w:val="22"/>
              </w:rPr>
              <w:t>with</w:t>
            </w:r>
            <w:r>
              <w:rPr>
                <w:spacing w:val="-4"/>
                <w:sz w:val="22"/>
              </w:rPr>
              <w:t> </w:t>
            </w:r>
            <w:r>
              <w:rPr>
                <w:spacing w:val="-5"/>
                <w:sz w:val="22"/>
              </w:rPr>
              <w:t>TPL</w:t>
            </w:r>
          </w:p>
        </w:tc>
        <w:tc>
          <w:tcPr>
            <w:tcW w:w="1572" w:type="dxa"/>
          </w:tcPr>
          <w:p>
            <w:pPr>
              <w:pStyle w:val="TableParagraph"/>
              <w:ind w:left="107" w:right="245"/>
              <w:rPr>
                <w:sz w:val="22"/>
              </w:rPr>
            </w:pPr>
            <w:r>
              <w:rPr>
                <w:sz w:val="22"/>
              </w:rPr>
              <w:t>Receive</w:t>
            </w:r>
            <w:r>
              <w:rPr>
                <w:spacing w:val="-14"/>
                <w:sz w:val="22"/>
              </w:rPr>
              <w:t> </w:t>
            </w:r>
            <w:r>
              <w:rPr>
                <w:sz w:val="22"/>
              </w:rPr>
              <w:t>wrap benefits FFS except for </w:t>
            </w:r>
            <w:r>
              <w:rPr>
                <w:spacing w:val="-2"/>
                <w:sz w:val="22"/>
              </w:rPr>
              <w:t>behavioral </w:t>
            </w:r>
            <w:r>
              <w:rPr>
                <w:sz w:val="22"/>
              </w:rPr>
              <w:t>health via </w:t>
            </w:r>
            <w:r>
              <w:rPr>
                <w:spacing w:val="-2"/>
                <w:sz w:val="22"/>
              </w:rPr>
              <w:t>mandatory </w:t>
            </w:r>
            <w:r>
              <w:rPr>
                <w:sz w:val="22"/>
              </w:rPr>
              <w:t>enrollment</w:t>
            </w:r>
            <w:r>
              <w:rPr>
                <w:spacing w:val="-14"/>
                <w:sz w:val="22"/>
              </w:rPr>
              <w:t> </w:t>
            </w:r>
            <w:r>
              <w:rPr>
                <w:sz w:val="22"/>
              </w:rPr>
              <w:t>in</w:t>
            </w:r>
          </w:p>
          <w:p>
            <w:pPr>
              <w:pStyle w:val="TableParagraph"/>
              <w:spacing w:line="233" w:lineRule="exact"/>
              <w:ind w:left="107"/>
              <w:rPr>
                <w:sz w:val="22"/>
              </w:rPr>
            </w:pPr>
            <w:r>
              <w:rPr>
                <w:sz w:val="22"/>
              </w:rPr>
              <w:t>BHP</w:t>
            </w:r>
            <w:r>
              <w:rPr>
                <w:spacing w:val="-4"/>
                <w:sz w:val="22"/>
              </w:rPr>
              <w:t> PIHP</w:t>
            </w:r>
          </w:p>
        </w:tc>
        <w:tc>
          <w:tcPr>
            <w:tcW w:w="490" w:type="dxa"/>
          </w:tcPr>
          <w:p>
            <w:pPr>
              <w:pStyle w:val="TableParagraph"/>
              <w:rPr>
                <w:sz w:val="24"/>
              </w:rPr>
            </w:pPr>
          </w:p>
          <w:p>
            <w:pPr>
              <w:pStyle w:val="TableParagraph"/>
              <w:rPr>
                <w:sz w:val="24"/>
              </w:rPr>
            </w:pPr>
          </w:p>
          <w:p>
            <w:pPr>
              <w:pStyle w:val="TableParagraph"/>
              <w:spacing w:before="10"/>
              <w:rPr>
                <w:sz w:val="28"/>
              </w:rPr>
            </w:pPr>
          </w:p>
          <w:p>
            <w:pPr>
              <w:pStyle w:val="TableParagraph"/>
              <w:ind w:left="165"/>
              <w:rPr>
                <w:sz w:val="22"/>
              </w:rPr>
            </w:pPr>
            <w:r>
              <w:rPr>
                <w:w w:val="100"/>
                <w:sz w:val="22"/>
              </w:rPr>
              <w:t>X</w:t>
            </w:r>
          </w:p>
        </w:tc>
        <w:tc>
          <w:tcPr>
            <w:tcW w:w="485" w:type="dxa"/>
          </w:tcPr>
          <w:p>
            <w:pPr>
              <w:pStyle w:val="TableParagraph"/>
              <w:rPr>
                <w:sz w:val="20"/>
              </w:rPr>
            </w:pPr>
          </w:p>
        </w:tc>
        <w:tc>
          <w:tcPr>
            <w:tcW w:w="483" w:type="dxa"/>
          </w:tcPr>
          <w:p>
            <w:pPr>
              <w:pStyle w:val="TableParagraph"/>
              <w:rPr>
                <w:sz w:val="24"/>
              </w:rPr>
            </w:pPr>
          </w:p>
          <w:p>
            <w:pPr>
              <w:pStyle w:val="TableParagraph"/>
              <w:rPr>
                <w:sz w:val="24"/>
              </w:rPr>
            </w:pPr>
          </w:p>
          <w:p>
            <w:pPr>
              <w:pStyle w:val="TableParagraph"/>
              <w:spacing w:before="10"/>
              <w:rPr>
                <w:sz w:val="28"/>
              </w:rPr>
            </w:pPr>
          </w:p>
          <w:p>
            <w:pPr>
              <w:pStyle w:val="TableParagraph"/>
              <w:ind w:left="5"/>
              <w:jc w:val="center"/>
              <w:rPr>
                <w:sz w:val="22"/>
              </w:rPr>
            </w:pPr>
            <w:r>
              <w:rPr>
                <w:w w:val="100"/>
                <w:sz w:val="22"/>
              </w:rPr>
              <w:t>X</w:t>
            </w:r>
          </w:p>
        </w:tc>
        <w:tc>
          <w:tcPr>
            <w:tcW w:w="3893" w:type="dxa"/>
          </w:tcPr>
          <w:p>
            <w:pPr>
              <w:pStyle w:val="TableParagraph"/>
              <w:spacing w:before="9"/>
              <w:rPr>
                <w:sz w:val="32"/>
              </w:rPr>
            </w:pPr>
          </w:p>
          <w:p>
            <w:pPr>
              <w:pStyle w:val="TableParagraph"/>
              <w:ind w:left="106" w:right="136"/>
              <w:rPr>
                <w:sz w:val="22"/>
              </w:rPr>
            </w:pPr>
            <w:r>
              <w:rPr>
                <w:sz w:val="22"/>
              </w:rPr>
              <w:t>10 days prior to date of application (except for populations listed in STC 4.2 whose start date of coverage may be up to</w:t>
            </w:r>
            <w:r>
              <w:rPr>
                <w:spacing w:val="-4"/>
                <w:sz w:val="22"/>
              </w:rPr>
              <w:t> </w:t>
            </w:r>
            <w:r>
              <w:rPr>
                <w:sz w:val="22"/>
              </w:rPr>
              <w:t>the</w:t>
            </w:r>
            <w:r>
              <w:rPr>
                <w:spacing w:val="-4"/>
                <w:sz w:val="22"/>
              </w:rPr>
              <w:t> </w:t>
            </w:r>
            <w:r>
              <w:rPr>
                <w:sz w:val="22"/>
              </w:rPr>
              <w:t>first</w:t>
            </w:r>
            <w:r>
              <w:rPr>
                <w:spacing w:val="-3"/>
                <w:sz w:val="22"/>
              </w:rPr>
              <w:t> </w:t>
            </w:r>
            <w:r>
              <w:rPr>
                <w:sz w:val="22"/>
              </w:rPr>
              <w:t>day</w:t>
            </w:r>
            <w:r>
              <w:rPr>
                <w:spacing w:val="-7"/>
                <w:sz w:val="22"/>
              </w:rPr>
              <w:t> </w:t>
            </w:r>
            <w:r>
              <w:rPr>
                <w:sz w:val="22"/>
              </w:rPr>
              <w:t>of</w:t>
            </w:r>
            <w:r>
              <w:rPr>
                <w:spacing w:val="-3"/>
                <w:sz w:val="22"/>
              </w:rPr>
              <w:t> </w:t>
            </w:r>
            <w:r>
              <w:rPr>
                <w:sz w:val="22"/>
              </w:rPr>
              <w:t>the</w:t>
            </w:r>
            <w:r>
              <w:rPr>
                <w:spacing w:val="-4"/>
                <w:sz w:val="22"/>
              </w:rPr>
              <w:t> </w:t>
            </w:r>
            <w:r>
              <w:rPr>
                <w:sz w:val="22"/>
              </w:rPr>
              <w:t>third</w:t>
            </w:r>
            <w:r>
              <w:rPr>
                <w:spacing w:val="-7"/>
                <w:sz w:val="22"/>
              </w:rPr>
              <w:t> </w:t>
            </w:r>
            <w:r>
              <w:rPr>
                <w:sz w:val="22"/>
              </w:rPr>
              <w:t>month</w:t>
            </w:r>
            <w:r>
              <w:rPr>
                <w:spacing w:val="-4"/>
                <w:sz w:val="22"/>
              </w:rPr>
              <w:t> </w:t>
            </w:r>
            <w:r>
              <w:rPr>
                <w:sz w:val="22"/>
              </w:rPr>
              <w:t>prior</w:t>
            </w:r>
            <w:r>
              <w:rPr>
                <w:spacing w:val="-3"/>
                <w:sz w:val="22"/>
              </w:rPr>
              <w:t> </w:t>
            </w:r>
            <w:r>
              <w:rPr>
                <w:sz w:val="22"/>
              </w:rPr>
              <w:t>to the date of application.)</w:t>
            </w:r>
          </w:p>
        </w:tc>
      </w:tr>
      <w:tr>
        <w:trPr>
          <w:trHeight w:val="1936" w:hRule="atLeast"/>
        </w:trPr>
        <w:tc>
          <w:tcPr>
            <w:tcW w:w="2429" w:type="dxa"/>
          </w:tcPr>
          <w:p>
            <w:pPr>
              <w:pStyle w:val="TableParagraph"/>
              <w:rPr>
                <w:sz w:val="24"/>
              </w:rPr>
            </w:pPr>
          </w:p>
          <w:p>
            <w:pPr>
              <w:pStyle w:val="TableParagraph"/>
              <w:rPr>
                <w:sz w:val="24"/>
              </w:rPr>
            </w:pPr>
          </w:p>
          <w:p>
            <w:pPr>
              <w:pStyle w:val="TableParagraph"/>
              <w:spacing w:before="161"/>
              <w:ind w:left="107" w:right="869"/>
              <w:rPr>
                <w:sz w:val="22"/>
              </w:rPr>
            </w:pPr>
            <w:r>
              <w:rPr>
                <w:sz w:val="22"/>
              </w:rPr>
              <w:t>Individuals</w:t>
            </w:r>
            <w:r>
              <w:rPr>
                <w:spacing w:val="-14"/>
                <w:sz w:val="22"/>
              </w:rPr>
              <w:t> </w:t>
            </w:r>
            <w:r>
              <w:rPr>
                <w:sz w:val="22"/>
              </w:rPr>
              <w:t>with qualifying ESI</w:t>
            </w:r>
          </w:p>
        </w:tc>
        <w:tc>
          <w:tcPr>
            <w:tcW w:w="1572" w:type="dxa"/>
          </w:tcPr>
          <w:p>
            <w:pPr>
              <w:pStyle w:val="TableParagraph"/>
              <w:rPr>
                <w:sz w:val="26"/>
              </w:rPr>
            </w:pPr>
          </w:p>
          <w:p>
            <w:pPr>
              <w:pStyle w:val="TableParagraph"/>
              <w:spacing w:before="150"/>
              <w:ind w:left="107" w:right="123"/>
              <w:rPr>
                <w:sz w:val="24"/>
              </w:rPr>
            </w:pPr>
            <w:r>
              <w:rPr>
                <w:spacing w:val="-2"/>
                <w:sz w:val="22"/>
              </w:rPr>
              <w:t>Premium </w:t>
            </w:r>
            <w:r>
              <w:rPr>
                <w:sz w:val="22"/>
              </w:rPr>
              <w:t>assistance</w:t>
            </w:r>
            <w:r>
              <w:rPr>
                <w:spacing w:val="-14"/>
                <w:sz w:val="22"/>
              </w:rPr>
              <w:t> </w:t>
            </w:r>
            <w:r>
              <w:rPr>
                <w:sz w:val="22"/>
              </w:rPr>
              <w:t>with FFS wrap </w:t>
            </w:r>
            <w:r>
              <w:rPr>
                <w:spacing w:val="-2"/>
                <w:sz w:val="24"/>
              </w:rPr>
              <w:t>benefits</w:t>
            </w:r>
          </w:p>
        </w:tc>
        <w:tc>
          <w:tcPr>
            <w:tcW w:w="490" w:type="dxa"/>
          </w:tcPr>
          <w:p>
            <w:pPr>
              <w:pStyle w:val="TableParagraph"/>
              <w:rPr>
                <w:sz w:val="20"/>
              </w:rPr>
            </w:pPr>
          </w:p>
        </w:tc>
        <w:tc>
          <w:tcPr>
            <w:tcW w:w="485" w:type="dxa"/>
          </w:tcPr>
          <w:p>
            <w:pPr>
              <w:pStyle w:val="TableParagraph"/>
              <w:rPr>
                <w:sz w:val="20"/>
              </w:rPr>
            </w:pPr>
          </w:p>
        </w:tc>
        <w:tc>
          <w:tcPr>
            <w:tcW w:w="483" w:type="dxa"/>
          </w:tcPr>
          <w:p>
            <w:pPr>
              <w:pStyle w:val="TableParagraph"/>
              <w:rPr>
                <w:sz w:val="24"/>
              </w:rPr>
            </w:pPr>
          </w:p>
          <w:p>
            <w:pPr>
              <w:pStyle w:val="TableParagraph"/>
              <w:rPr>
                <w:sz w:val="24"/>
              </w:rPr>
            </w:pPr>
          </w:p>
          <w:p>
            <w:pPr>
              <w:pStyle w:val="TableParagraph"/>
              <w:spacing w:before="1"/>
              <w:rPr>
                <w:sz w:val="25"/>
              </w:rPr>
            </w:pPr>
          </w:p>
          <w:p>
            <w:pPr>
              <w:pStyle w:val="TableParagraph"/>
              <w:ind w:left="6"/>
              <w:jc w:val="center"/>
              <w:rPr>
                <w:sz w:val="22"/>
              </w:rPr>
            </w:pPr>
            <w:r>
              <w:rPr>
                <w:w w:val="100"/>
                <w:sz w:val="22"/>
              </w:rPr>
              <w:t>X</w:t>
            </w:r>
          </w:p>
        </w:tc>
        <w:tc>
          <w:tcPr>
            <w:tcW w:w="3893" w:type="dxa"/>
          </w:tcPr>
          <w:p>
            <w:pPr>
              <w:pStyle w:val="TableParagraph"/>
              <w:spacing w:before="1"/>
              <w:rPr>
                <w:sz w:val="29"/>
              </w:rPr>
            </w:pPr>
          </w:p>
          <w:p>
            <w:pPr>
              <w:pStyle w:val="TableParagraph"/>
              <w:ind w:left="106" w:right="136"/>
              <w:rPr>
                <w:sz w:val="22"/>
              </w:rPr>
            </w:pPr>
            <w:r>
              <w:rPr>
                <w:sz w:val="22"/>
              </w:rPr>
              <w:t>10 days prior to date of application (except for populations listed in STC 4.2 whose start date of coverage may be up to</w:t>
            </w:r>
            <w:r>
              <w:rPr>
                <w:spacing w:val="-4"/>
                <w:sz w:val="22"/>
              </w:rPr>
              <w:t> </w:t>
            </w:r>
            <w:r>
              <w:rPr>
                <w:sz w:val="22"/>
              </w:rPr>
              <w:t>the</w:t>
            </w:r>
            <w:r>
              <w:rPr>
                <w:spacing w:val="-4"/>
                <w:sz w:val="22"/>
              </w:rPr>
              <w:t> </w:t>
            </w:r>
            <w:r>
              <w:rPr>
                <w:sz w:val="22"/>
              </w:rPr>
              <w:t>first</w:t>
            </w:r>
            <w:r>
              <w:rPr>
                <w:spacing w:val="-3"/>
                <w:sz w:val="22"/>
              </w:rPr>
              <w:t> </w:t>
            </w:r>
            <w:r>
              <w:rPr>
                <w:sz w:val="22"/>
              </w:rPr>
              <w:t>day</w:t>
            </w:r>
            <w:r>
              <w:rPr>
                <w:spacing w:val="-7"/>
                <w:sz w:val="22"/>
              </w:rPr>
              <w:t> </w:t>
            </w:r>
            <w:r>
              <w:rPr>
                <w:sz w:val="22"/>
              </w:rPr>
              <w:t>of</w:t>
            </w:r>
            <w:r>
              <w:rPr>
                <w:spacing w:val="-3"/>
                <w:sz w:val="22"/>
              </w:rPr>
              <w:t> </w:t>
            </w:r>
            <w:r>
              <w:rPr>
                <w:sz w:val="22"/>
              </w:rPr>
              <w:t>the</w:t>
            </w:r>
            <w:r>
              <w:rPr>
                <w:spacing w:val="-4"/>
                <w:sz w:val="22"/>
              </w:rPr>
              <w:t> </w:t>
            </w:r>
            <w:r>
              <w:rPr>
                <w:sz w:val="22"/>
              </w:rPr>
              <w:t>third</w:t>
            </w:r>
            <w:r>
              <w:rPr>
                <w:spacing w:val="-7"/>
                <w:sz w:val="22"/>
              </w:rPr>
              <w:t> </w:t>
            </w:r>
            <w:r>
              <w:rPr>
                <w:sz w:val="22"/>
              </w:rPr>
              <w:t>month</w:t>
            </w:r>
            <w:r>
              <w:rPr>
                <w:spacing w:val="-4"/>
                <w:sz w:val="22"/>
              </w:rPr>
              <w:t> </w:t>
            </w:r>
            <w:r>
              <w:rPr>
                <w:sz w:val="22"/>
              </w:rPr>
              <w:t>prior</w:t>
            </w:r>
            <w:r>
              <w:rPr>
                <w:spacing w:val="-3"/>
                <w:sz w:val="22"/>
              </w:rPr>
              <w:t> </w:t>
            </w:r>
            <w:r>
              <w:rPr>
                <w:sz w:val="22"/>
              </w:rPr>
              <w:t>to the date of application.)</w:t>
            </w:r>
          </w:p>
        </w:tc>
      </w:tr>
      <w:tr>
        <w:trPr>
          <w:trHeight w:val="2022" w:hRule="atLeast"/>
        </w:trPr>
        <w:tc>
          <w:tcPr>
            <w:tcW w:w="2429" w:type="dxa"/>
          </w:tcPr>
          <w:p>
            <w:pPr>
              <w:pStyle w:val="TableParagraph"/>
              <w:rPr>
                <w:sz w:val="24"/>
              </w:rPr>
            </w:pPr>
          </w:p>
          <w:p>
            <w:pPr>
              <w:pStyle w:val="TableParagraph"/>
              <w:rPr>
                <w:sz w:val="24"/>
              </w:rPr>
            </w:pPr>
          </w:p>
          <w:p>
            <w:pPr>
              <w:pStyle w:val="TableParagraph"/>
              <w:rPr>
                <w:sz w:val="24"/>
              </w:rPr>
            </w:pPr>
          </w:p>
          <w:p>
            <w:pPr>
              <w:pStyle w:val="TableParagraph"/>
              <w:spacing w:before="181"/>
              <w:ind w:left="107" w:right="53"/>
              <w:rPr>
                <w:sz w:val="22"/>
              </w:rPr>
            </w:pPr>
            <w:r>
              <w:rPr>
                <w:sz w:val="22"/>
              </w:rPr>
              <w:t>Kaileigh Mulligan eligible children and children</w:t>
            </w:r>
            <w:r>
              <w:rPr>
                <w:spacing w:val="-14"/>
                <w:sz w:val="22"/>
              </w:rPr>
              <w:t> </w:t>
            </w:r>
            <w:r>
              <w:rPr>
                <w:sz w:val="22"/>
              </w:rPr>
              <w:t>receiving</w:t>
            </w:r>
            <w:r>
              <w:rPr>
                <w:spacing w:val="-14"/>
                <w:sz w:val="22"/>
              </w:rPr>
              <w:t> </w:t>
            </w:r>
            <w:r>
              <w:rPr>
                <w:sz w:val="22"/>
              </w:rPr>
              <w:t>title</w:t>
            </w:r>
          </w:p>
          <w:p>
            <w:pPr>
              <w:pStyle w:val="TableParagraph"/>
              <w:spacing w:line="233" w:lineRule="exact" w:before="1"/>
              <w:ind w:left="107"/>
              <w:rPr>
                <w:sz w:val="22"/>
              </w:rPr>
            </w:pPr>
            <w:r>
              <w:rPr>
                <w:sz w:val="22"/>
              </w:rPr>
              <w:t>IV-E</w:t>
            </w:r>
            <w:r>
              <w:rPr>
                <w:spacing w:val="-3"/>
                <w:sz w:val="22"/>
              </w:rPr>
              <w:t> </w:t>
            </w:r>
            <w:r>
              <w:rPr>
                <w:sz w:val="22"/>
              </w:rPr>
              <w:t>adoption</w:t>
            </w:r>
            <w:r>
              <w:rPr>
                <w:spacing w:val="-2"/>
                <w:sz w:val="22"/>
              </w:rPr>
              <w:t> assistance</w:t>
            </w:r>
          </w:p>
        </w:tc>
        <w:tc>
          <w:tcPr>
            <w:tcW w:w="1572" w:type="dxa"/>
          </w:tcPr>
          <w:p>
            <w:pPr>
              <w:pStyle w:val="TableParagraph"/>
              <w:ind w:left="107" w:right="170"/>
              <w:rPr>
                <w:sz w:val="22"/>
              </w:rPr>
            </w:pPr>
            <w:r>
              <w:rPr>
                <w:spacing w:val="-2"/>
                <w:sz w:val="22"/>
              </w:rPr>
              <w:t>Behavioral </w:t>
            </w:r>
            <w:r>
              <w:rPr>
                <w:sz w:val="22"/>
              </w:rPr>
              <w:t>health is </w:t>
            </w:r>
            <w:r>
              <w:rPr>
                <w:spacing w:val="-2"/>
                <w:sz w:val="22"/>
              </w:rPr>
              <w:t>typically </w:t>
            </w:r>
            <w:r>
              <w:rPr>
                <w:sz w:val="22"/>
              </w:rPr>
              <w:t>provided</w:t>
            </w:r>
            <w:r>
              <w:rPr>
                <w:spacing w:val="-14"/>
                <w:sz w:val="22"/>
              </w:rPr>
              <w:t> </w:t>
            </w:r>
            <w:r>
              <w:rPr>
                <w:sz w:val="22"/>
              </w:rPr>
              <w:t>via BHP PIHP,</w:t>
            </w:r>
          </w:p>
          <w:p>
            <w:pPr>
              <w:pStyle w:val="TableParagraph"/>
              <w:ind w:left="107"/>
              <w:rPr>
                <w:sz w:val="22"/>
              </w:rPr>
            </w:pPr>
            <w:r>
              <w:rPr>
                <w:sz w:val="22"/>
              </w:rPr>
              <w:t>although</w:t>
            </w:r>
            <w:r>
              <w:rPr>
                <w:spacing w:val="-14"/>
                <w:sz w:val="22"/>
              </w:rPr>
              <w:t> </w:t>
            </w:r>
            <w:r>
              <w:rPr>
                <w:sz w:val="22"/>
              </w:rPr>
              <w:t>a</w:t>
            </w:r>
            <w:r>
              <w:rPr>
                <w:spacing w:val="-14"/>
                <w:sz w:val="22"/>
              </w:rPr>
              <w:t> </w:t>
            </w:r>
            <w:r>
              <w:rPr>
                <w:sz w:val="22"/>
              </w:rPr>
              <w:t>FFS </w:t>
            </w:r>
            <w:r>
              <w:rPr>
                <w:spacing w:val="-2"/>
                <w:sz w:val="22"/>
              </w:rPr>
              <w:t>alternative</w:t>
            </w:r>
          </w:p>
          <w:p>
            <w:pPr>
              <w:pStyle w:val="TableParagraph"/>
              <w:spacing w:line="233" w:lineRule="exact"/>
              <w:ind w:left="107"/>
              <w:rPr>
                <w:sz w:val="22"/>
              </w:rPr>
            </w:pPr>
            <w:r>
              <w:rPr>
                <w:sz w:val="22"/>
              </w:rPr>
              <w:t>must</w:t>
            </w:r>
            <w:r>
              <w:rPr>
                <w:spacing w:val="-4"/>
                <w:sz w:val="22"/>
              </w:rPr>
              <w:t> </w:t>
            </w:r>
            <w:r>
              <w:rPr>
                <w:spacing w:val="-5"/>
                <w:sz w:val="22"/>
              </w:rPr>
              <w:t>be</w:t>
            </w:r>
          </w:p>
        </w:tc>
        <w:tc>
          <w:tcPr>
            <w:tcW w:w="490" w:type="dxa"/>
          </w:tcPr>
          <w:p>
            <w:pPr>
              <w:pStyle w:val="TableParagraph"/>
              <w:rPr>
                <w:sz w:val="20"/>
              </w:rPr>
            </w:pPr>
          </w:p>
        </w:tc>
        <w:tc>
          <w:tcPr>
            <w:tcW w:w="485" w:type="dxa"/>
          </w:tcPr>
          <w:p>
            <w:pPr>
              <w:pStyle w:val="TableParagraph"/>
              <w:rPr>
                <w:sz w:val="24"/>
              </w:rPr>
            </w:pPr>
          </w:p>
          <w:p>
            <w:pPr>
              <w:pStyle w:val="TableParagraph"/>
              <w:rPr>
                <w:sz w:val="24"/>
              </w:rPr>
            </w:pPr>
          </w:p>
          <w:p>
            <w:pPr>
              <w:pStyle w:val="TableParagraph"/>
              <w:spacing w:before="10"/>
              <w:rPr>
                <w:sz w:val="28"/>
              </w:rPr>
            </w:pPr>
          </w:p>
          <w:p>
            <w:pPr>
              <w:pStyle w:val="TableParagraph"/>
              <w:ind w:left="162"/>
              <w:rPr>
                <w:sz w:val="22"/>
              </w:rPr>
            </w:pPr>
            <w:r>
              <w:rPr>
                <w:w w:val="100"/>
                <w:sz w:val="22"/>
              </w:rPr>
              <w:t>X</w:t>
            </w:r>
          </w:p>
        </w:tc>
        <w:tc>
          <w:tcPr>
            <w:tcW w:w="483" w:type="dxa"/>
          </w:tcPr>
          <w:p>
            <w:pPr>
              <w:pStyle w:val="TableParagraph"/>
              <w:rPr>
                <w:sz w:val="20"/>
              </w:rPr>
            </w:pPr>
          </w:p>
        </w:tc>
        <w:tc>
          <w:tcPr>
            <w:tcW w:w="3893" w:type="dxa"/>
          </w:tcPr>
          <w:p>
            <w:pPr>
              <w:pStyle w:val="TableParagraph"/>
              <w:spacing w:before="123"/>
              <w:ind w:left="106" w:right="128"/>
              <w:rPr>
                <w:sz w:val="22"/>
              </w:rPr>
            </w:pPr>
            <w:r>
              <w:rPr>
                <w:sz w:val="22"/>
              </w:rPr>
              <w:t>Kaileigh</w:t>
            </w:r>
            <w:r>
              <w:rPr>
                <w:spacing w:val="-6"/>
                <w:sz w:val="22"/>
              </w:rPr>
              <w:t> </w:t>
            </w:r>
            <w:r>
              <w:rPr>
                <w:sz w:val="22"/>
              </w:rPr>
              <w:t>Mulligan</w:t>
            </w:r>
            <w:r>
              <w:rPr>
                <w:spacing w:val="-6"/>
                <w:sz w:val="22"/>
              </w:rPr>
              <w:t> </w:t>
            </w:r>
            <w:r>
              <w:rPr>
                <w:sz w:val="22"/>
              </w:rPr>
              <w:t>-</w:t>
            </w:r>
            <w:r>
              <w:rPr>
                <w:spacing w:val="-7"/>
                <w:sz w:val="22"/>
              </w:rPr>
              <w:t> </w:t>
            </w:r>
            <w:r>
              <w:rPr>
                <w:sz w:val="22"/>
              </w:rPr>
              <w:t>may</w:t>
            </w:r>
            <w:r>
              <w:rPr>
                <w:spacing w:val="-8"/>
                <w:sz w:val="22"/>
              </w:rPr>
              <w:t> </w:t>
            </w:r>
            <w:r>
              <w:rPr>
                <w:sz w:val="22"/>
              </w:rPr>
              <w:t>be</w:t>
            </w:r>
            <w:r>
              <w:rPr>
                <w:spacing w:val="-6"/>
                <w:sz w:val="22"/>
              </w:rPr>
              <w:t> </w:t>
            </w:r>
            <w:r>
              <w:rPr>
                <w:sz w:val="22"/>
              </w:rPr>
              <w:t>retroactive</w:t>
            </w:r>
            <w:r>
              <w:rPr>
                <w:spacing w:val="-6"/>
                <w:sz w:val="22"/>
              </w:rPr>
              <w:t> </w:t>
            </w:r>
            <w:r>
              <w:rPr>
                <w:sz w:val="22"/>
              </w:rPr>
              <w:t>to first day of third month before month of application, if covered medical services were received during such period, and</w:t>
            </w:r>
            <w:r>
              <w:rPr>
                <w:spacing w:val="40"/>
                <w:sz w:val="22"/>
              </w:rPr>
              <w:t> </w:t>
            </w:r>
            <w:r>
              <w:rPr>
                <w:sz w:val="22"/>
              </w:rPr>
              <w:t>the applicant would have been eligible at the time services were provided.”</w:t>
            </w:r>
          </w:p>
        </w:tc>
      </w:tr>
    </w:tbl>
    <w:p>
      <w:pPr>
        <w:spacing w:after="0"/>
        <w:rPr>
          <w:sz w:val="22"/>
        </w:rPr>
        <w:sectPr>
          <w:type w:val="continuous"/>
          <w:pgSz w:w="12240" w:h="15840"/>
          <w:pgMar w:header="0" w:footer="1201" w:top="1420" w:bottom="1400" w:left="1200" w:right="400"/>
        </w:sectPr>
      </w:pPr>
    </w:p>
    <w:tbl>
      <w:tblPr>
        <w:tblW w:w="0" w:type="auto"/>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9"/>
        <w:gridCol w:w="1572"/>
        <w:gridCol w:w="490"/>
        <w:gridCol w:w="485"/>
        <w:gridCol w:w="483"/>
        <w:gridCol w:w="3893"/>
      </w:tblGrid>
      <w:tr>
        <w:trPr>
          <w:trHeight w:val="801" w:hRule="atLeast"/>
        </w:trPr>
        <w:tc>
          <w:tcPr>
            <w:tcW w:w="9352" w:type="dxa"/>
            <w:gridSpan w:val="6"/>
            <w:shd w:val="clear" w:color="auto" w:fill="DBE6F1"/>
          </w:tcPr>
          <w:p>
            <w:pPr>
              <w:pStyle w:val="TableParagraph"/>
              <w:spacing w:line="244" w:lineRule="auto" w:before="145"/>
              <w:ind w:left="4209" w:hanging="4004"/>
              <w:rPr>
                <w:b/>
                <w:sz w:val="22"/>
              </w:rPr>
            </w:pPr>
            <w:r>
              <w:rPr>
                <w:b/>
                <w:sz w:val="22"/>
              </w:rPr>
              <w:t>Table</w:t>
            </w:r>
            <w:r>
              <w:rPr>
                <w:b/>
                <w:spacing w:val="-2"/>
                <w:sz w:val="22"/>
              </w:rPr>
              <w:t> </w:t>
            </w:r>
            <w:r>
              <w:rPr>
                <w:b/>
                <w:sz w:val="22"/>
              </w:rPr>
              <w:t>9:</w:t>
            </w:r>
            <w:r>
              <w:rPr>
                <w:b/>
                <w:spacing w:val="-1"/>
                <w:sz w:val="22"/>
              </w:rPr>
              <w:t> </w:t>
            </w:r>
            <w:r>
              <w:rPr>
                <w:b/>
                <w:sz w:val="22"/>
              </w:rPr>
              <w:t>Delivery</w:t>
            </w:r>
            <w:r>
              <w:rPr>
                <w:b/>
                <w:spacing w:val="-2"/>
                <w:sz w:val="22"/>
              </w:rPr>
              <w:t> </w:t>
            </w:r>
            <w:r>
              <w:rPr>
                <w:b/>
                <w:sz w:val="22"/>
              </w:rPr>
              <w:t>System</w:t>
            </w:r>
            <w:r>
              <w:rPr>
                <w:b/>
                <w:spacing w:val="-4"/>
                <w:sz w:val="22"/>
              </w:rPr>
              <w:t> </w:t>
            </w:r>
            <w:r>
              <w:rPr>
                <w:b/>
                <w:sz w:val="22"/>
              </w:rPr>
              <w:t>and</w:t>
            </w:r>
            <w:r>
              <w:rPr>
                <w:b/>
                <w:spacing w:val="-3"/>
                <w:sz w:val="22"/>
              </w:rPr>
              <w:t> </w:t>
            </w:r>
            <w:r>
              <w:rPr>
                <w:b/>
                <w:sz w:val="22"/>
              </w:rPr>
              <w:t>Coverage</w:t>
            </w:r>
            <w:r>
              <w:rPr>
                <w:b/>
                <w:spacing w:val="-4"/>
                <w:sz w:val="22"/>
              </w:rPr>
              <w:t> </w:t>
            </w:r>
            <w:r>
              <w:rPr>
                <w:b/>
                <w:sz w:val="22"/>
              </w:rPr>
              <w:t>for</w:t>
            </w:r>
            <w:r>
              <w:rPr>
                <w:b/>
                <w:spacing w:val="-2"/>
                <w:sz w:val="22"/>
              </w:rPr>
              <w:t> </w:t>
            </w:r>
            <w:r>
              <w:rPr>
                <w:b/>
                <w:sz w:val="22"/>
              </w:rPr>
              <w:t>Individuals</w:t>
            </w:r>
            <w:r>
              <w:rPr>
                <w:b/>
                <w:spacing w:val="-2"/>
                <w:sz w:val="22"/>
              </w:rPr>
              <w:t> </w:t>
            </w:r>
            <w:r>
              <w:rPr>
                <w:b/>
                <w:sz w:val="22"/>
              </w:rPr>
              <w:t>under</w:t>
            </w:r>
            <w:r>
              <w:rPr>
                <w:b/>
                <w:spacing w:val="-2"/>
                <w:sz w:val="22"/>
              </w:rPr>
              <w:t> </w:t>
            </w:r>
            <w:r>
              <w:rPr>
                <w:b/>
                <w:sz w:val="22"/>
              </w:rPr>
              <w:t>65</w:t>
            </w:r>
            <w:r>
              <w:rPr>
                <w:b/>
                <w:spacing w:val="-5"/>
                <w:sz w:val="22"/>
              </w:rPr>
              <w:t> </w:t>
            </w:r>
            <w:r>
              <w:rPr>
                <w:b/>
                <w:sz w:val="22"/>
              </w:rPr>
              <w:t>in</w:t>
            </w:r>
            <w:r>
              <w:rPr>
                <w:b/>
                <w:spacing w:val="-3"/>
                <w:sz w:val="22"/>
              </w:rPr>
              <w:t> </w:t>
            </w:r>
            <w:r>
              <w:rPr>
                <w:b/>
                <w:sz w:val="22"/>
              </w:rPr>
              <w:t>MassHealth</w:t>
            </w:r>
            <w:r>
              <w:rPr>
                <w:b/>
                <w:spacing w:val="-3"/>
                <w:sz w:val="22"/>
              </w:rPr>
              <w:t> </w:t>
            </w:r>
            <w:r>
              <w:rPr>
                <w:b/>
                <w:sz w:val="22"/>
              </w:rPr>
              <w:t>Demonstration </w:t>
            </w:r>
            <w:r>
              <w:rPr>
                <w:b/>
                <w:spacing w:val="-2"/>
                <w:sz w:val="22"/>
              </w:rPr>
              <w:t>Programs</w:t>
            </w:r>
          </w:p>
        </w:tc>
      </w:tr>
      <w:tr>
        <w:trPr>
          <w:trHeight w:val="1502" w:hRule="atLeast"/>
        </w:trPr>
        <w:tc>
          <w:tcPr>
            <w:tcW w:w="2429" w:type="dxa"/>
            <w:shd w:val="clear" w:color="auto" w:fill="DBE6F1"/>
          </w:tcPr>
          <w:p>
            <w:pPr>
              <w:pStyle w:val="TableParagraph"/>
              <w:rPr>
                <w:sz w:val="24"/>
              </w:rPr>
            </w:pPr>
          </w:p>
          <w:p>
            <w:pPr>
              <w:pStyle w:val="TableParagraph"/>
              <w:spacing w:before="1"/>
              <w:rPr>
                <w:sz w:val="30"/>
              </w:rPr>
            </w:pPr>
          </w:p>
          <w:p>
            <w:pPr>
              <w:pStyle w:val="TableParagraph"/>
              <w:ind w:left="501"/>
              <w:rPr>
                <w:b/>
                <w:sz w:val="22"/>
              </w:rPr>
            </w:pPr>
            <w:r>
              <w:rPr>
                <w:b/>
                <w:sz w:val="22"/>
              </w:rPr>
              <w:t>Coverage</w:t>
            </w:r>
            <w:r>
              <w:rPr>
                <w:b/>
                <w:spacing w:val="-2"/>
                <w:sz w:val="22"/>
              </w:rPr>
              <w:t> </w:t>
            </w:r>
            <w:r>
              <w:rPr>
                <w:b/>
                <w:spacing w:val="-4"/>
                <w:sz w:val="22"/>
              </w:rPr>
              <w:t>Type</w:t>
            </w:r>
          </w:p>
        </w:tc>
        <w:tc>
          <w:tcPr>
            <w:tcW w:w="1572" w:type="dxa"/>
            <w:shd w:val="clear" w:color="auto" w:fill="DBE6F1"/>
          </w:tcPr>
          <w:p>
            <w:pPr>
              <w:pStyle w:val="TableParagraph"/>
              <w:rPr>
                <w:sz w:val="24"/>
              </w:rPr>
            </w:pPr>
          </w:p>
          <w:p>
            <w:pPr>
              <w:pStyle w:val="TableParagraph"/>
              <w:rPr>
                <w:sz w:val="19"/>
              </w:rPr>
            </w:pPr>
          </w:p>
          <w:p>
            <w:pPr>
              <w:pStyle w:val="TableParagraph"/>
              <w:ind w:left="182" w:right="170" w:firstLine="204"/>
              <w:rPr>
                <w:b/>
                <w:sz w:val="22"/>
              </w:rPr>
            </w:pPr>
            <w:r>
              <w:rPr>
                <w:b/>
                <w:spacing w:val="-2"/>
                <w:sz w:val="22"/>
              </w:rPr>
              <w:t>Delivery </w:t>
            </w:r>
            <w:r>
              <w:rPr>
                <w:b/>
                <w:sz w:val="22"/>
              </w:rPr>
              <w:t>System</w:t>
            </w:r>
            <w:r>
              <w:rPr>
                <w:b/>
                <w:spacing w:val="-14"/>
                <w:sz w:val="22"/>
              </w:rPr>
              <w:t> </w:t>
            </w:r>
            <w:r>
              <w:rPr>
                <w:b/>
                <w:sz w:val="22"/>
              </w:rPr>
              <w:t>Type</w:t>
            </w:r>
          </w:p>
        </w:tc>
        <w:tc>
          <w:tcPr>
            <w:tcW w:w="490" w:type="dxa"/>
            <w:shd w:val="clear" w:color="auto" w:fill="DBE6F1"/>
            <w:textDirection w:val="tbRl"/>
          </w:tcPr>
          <w:p>
            <w:pPr>
              <w:pStyle w:val="TableParagraph"/>
              <w:spacing w:before="109"/>
              <w:ind w:left="218"/>
              <w:rPr>
                <w:b/>
                <w:sz w:val="22"/>
              </w:rPr>
            </w:pPr>
            <w:r>
              <w:rPr>
                <w:b/>
                <w:spacing w:val="-2"/>
                <w:sz w:val="22"/>
              </w:rPr>
              <w:t>Mandatory</w:t>
            </w:r>
          </w:p>
        </w:tc>
        <w:tc>
          <w:tcPr>
            <w:tcW w:w="485" w:type="dxa"/>
            <w:shd w:val="clear" w:color="auto" w:fill="DBE6F1"/>
            <w:textDirection w:val="tbRl"/>
          </w:tcPr>
          <w:p>
            <w:pPr>
              <w:pStyle w:val="TableParagraph"/>
              <w:spacing w:before="107"/>
              <w:ind w:left="268"/>
              <w:rPr>
                <w:b/>
                <w:sz w:val="22"/>
              </w:rPr>
            </w:pPr>
            <w:r>
              <w:rPr>
                <w:b/>
                <w:spacing w:val="-2"/>
                <w:sz w:val="22"/>
              </w:rPr>
              <w:t>Voluntary</w:t>
            </w:r>
          </w:p>
        </w:tc>
        <w:tc>
          <w:tcPr>
            <w:tcW w:w="483" w:type="dxa"/>
            <w:shd w:val="clear" w:color="auto" w:fill="DBE6F1"/>
            <w:textDirection w:val="tbRl"/>
          </w:tcPr>
          <w:p>
            <w:pPr>
              <w:pStyle w:val="TableParagraph"/>
              <w:spacing w:before="108"/>
              <w:ind w:left="295"/>
              <w:rPr>
                <w:b/>
                <w:sz w:val="22"/>
              </w:rPr>
            </w:pPr>
            <w:r>
              <w:rPr>
                <w:b/>
                <w:sz w:val="22"/>
              </w:rPr>
              <w:t>FFS</w:t>
            </w:r>
            <w:r>
              <w:rPr>
                <w:b/>
                <w:spacing w:val="-5"/>
                <w:sz w:val="22"/>
              </w:rPr>
              <w:t> </w:t>
            </w:r>
            <w:r>
              <w:rPr>
                <w:b/>
                <w:spacing w:val="-4"/>
                <w:sz w:val="22"/>
              </w:rPr>
              <w:t>Only</w:t>
            </w:r>
          </w:p>
        </w:tc>
        <w:tc>
          <w:tcPr>
            <w:tcW w:w="3893" w:type="dxa"/>
            <w:shd w:val="clear" w:color="auto" w:fill="DBE6F1"/>
          </w:tcPr>
          <w:p>
            <w:pPr>
              <w:pStyle w:val="TableParagraph"/>
              <w:rPr>
                <w:sz w:val="24"/>
              </w:rPr>
            </w:pPr>
          </w:p>
          <w:p>
            <w:pPr>
              <w:pStyle w:val="TableParagraph"/>
              <w:spacing w:before="1"/>
              <w:rPr>
                <w:sz w:val="30"/>
              </w:rPr>
            </w:pPr>
          </w:p>
          <w:p>
            <w:pPr>
              <w:pStyle w:val="TableParagraph"/>
              <w:ind w:left="701"/>
              <w:rPr>
                <w:b/>
                <w:sz w:val="22"/>
              </w:rPr>
            </w:pPr>
            <w:r>
              <w:rPr>
                <w:b/>
                <w:sz w:val="22"/>
              </w:rPr>
              <w:t>Start</w:t>
            </w:r>
            <w:r>
              <w:rPr>
                <w:b/>
                <w:spacing w:val="-4"/>
                <w:sz w:val="22"/>
              </w:rPr>
              <w:t> </w:t>
            </w:r>
            <w:r>
              <w:rPr>
                <w:b/>
                <w:sz w:val="22"/>
              </w:rPr>
              <w:t>Date</w:t>
            </w:r>
            <w:r>
              <w:rPr>
                <w:b/>
                <w:spacing w:val="-4"/>
                <w:sz w:val="22"/>
              </w:rPr>
              <w:t> </w:t>
            </w:r>
            <w:r>
              <w:rPr>
                <w:b/>
                <w:sz w:val="22"/>
              </w:rPr>
              <w:t>of</w:t>
            </w:r>
            <w:r>
              <w:rPr>
                <w:b/>
                <w:spacing w:val="1"/>
                <w:sz w:val="22"/>
              </w:rPr>
              <w:t> </w:t>
            </w:r>
            <w:r>
              <w:rPr>
                <w:b/>
                <w:spacing w:val="-2"/>
                <w:sz w:val="22"/>
              </w:rPr>
              <w:t>Coverage***</w:t>
            </w:r>
          </w:p>
        </w:tc>
      </w:tr>
      <w:tr>
        <w:trPr>
          <w:trHeight w:val="1264" w:hRule="atLeast"/>
        </w:trPr>
        <w:tc>
          <w:tcPr>
            <w:tcW w:w="2429" w:type="dxa"/>
          </w:tcPr>
          <w:p>
            <w:pPr>
              <w:pStyle w:val="TableParagraph"/>
              <w:rPr>
                <w:sz w:val="20"/>
              </w:rPr>
            </w:pPr>
          </w:p>
        </w:tc>
        <w:tc>
          <w:tcPr>
            <w:tcW w:w="1572" w:type="dxa"/>
          </w:tcPr>
          <w:p>
            <w:pPr>
              <w:pStyle w:val="TableParagraph"/>
              <w:ind w:left="107" w:right="160"/>
              <w:rPr>
                <w:sz w:val="22"/>
              </w:rPr>
            </w:pPr>
            <w:r>
              <w:rPr>
                <w:sz w:val="22"/>
              </w:rPr>
              <w:t>available; all other services are</w:t>
            </w:r>
            <w:r>
              <w:rPr>
                <w:spacing w:val="-14"/>
                <w:sz w:val="22"/>
              </w:rPr>
              <w:t> </w:t>
            </w:r>
            <w:r>
              <w:rPr>
                <w:sz w:val="22"/>
              </w:rPr>
              <w:t>offered</w:t>
            </w:r>
            <w:r>
              <w:rPr>
                <w:spacing w:val="-14"/>
                <w:sz w:val="22"/>
              </w:rPr>
              <w:t> </w:t>
            </w:r>
            <w:r>
              <w:rPr>
                <w:sz w:val="22"/>
              </w:rPr>
              <w:t>via Managed</w:t>
            </w:r>
            <w:r>
              <w:rPr>
                <w:spacing w:val="-5"/>
                <w:sz w:val="22"/>
              </w:rPr>
              <w:t> </w:t>
            </w:r>
            <w:r>
              <w:rPr>
                <w:spacing w:val="-4"/>
                <w:sz w:val="22"/>
              </w:rPr>
              <w:t>Care</w:t>
            </w:r>
          </w:p>
          <w:p>
            <w:pPr>
              <w:pStyle w:val="TableParagraph"/>
              <w:spacing w:line="234" w:lineRule="exact"/>
              <w:ind w:left="107"/>
              <w:rPr>
                <w:sz w:val="22"/>
              </w:rPr>
            </w:pPr>
            <w:r>
              <w:rPr>
                <w:sz w:val="22"/>
              </w:rPr>
              <w:t>or</w:t>
            </w:r>
            <w:r>
              <w:rPr>
                <w:spacing w:val="1"/>
                <w:sz w:val="22"/>
              </w:rPr>
              <w:t> </w:t>
            </w:r>
            <w:r>
              <w:rPr>
                <w:spacing w:val="-4"/>
                <w:sz w:val="22"/>
              </w:rPr>
              <w:t>FFS.</w:t>
            </w:r>
          </w:p>
        </w:tc>
        <w:tc>
          <w:tcPr>
            <w:tcW w:w="490" w:type="dxa"/>
          </w:tcPr>
          <w:p>
            <w:pPr>
              <w:pStyle w:val="TableParagraph"/>
              <w:rPr>
                <w:sz w:val="20"/>
              </w:rPr>
            </w:pPr>
          </w:p>
        </w:tc>
        <w:tc>
          <w:tcPr>
            <w:tcW w:w="485" w:type="dxa"/>
          </w:tcPr>
          <w:p>
            <w:pPr>
              <w:pStyle w:val="TableParagraph"/>
              <w:rPr>
                <w:sz w:val="20"/>
              </w:rPr>
            </w:pPr>
          </w:p>
        </w:tc>
        <w:tc>
          <w:tcPr>
            <w:tcW w:w="483" w:type="dxa"/>
          </w:tcPr>
          <w:p>
            <w:pPr>
              <w:pStyle w:val="TableParagraph"/>
              <w:rPr>
                <w:sz w:val="20"/>
              </w:rPr>
            </w:pPr>
          </w:p>
        </w:tc>
        <w:tc>
          <w:tcPr>
            <w:tcW w:w="3893" w:type="dxa"/>
          </w:tcPr>
          <w:p>
            <w:pPr>
              <w:pStyle w:val="TableParagraph"/>
              <w:ind w:left="106"/>
              <w:rPr>
                <w:sz w:val="22"/>
              </w:rPr>
            </w:pPr>
            <w:r>
              <w:rPr>
                <w:sz w:val="22"/>
              </w:rPr>
              <w:t>Title</w:t>
            </w:r>
            <w:r>
              <w:rPr>
                <w:spacing w:val="-6"/>
                <w:sz w:val="22"/>
              </w:rPr>
              <w:t> </w:t>
            </w:r>
            <w:r>
              <w:rPr>
                <w:sz w:val="22"/>
              </w:rPr>
              <w:t>IV-E</w:t>
            </w:r>
            <w:r>
              <w:rPr>
                <w:spacing w:val="-7"/>
                <w:sz w:val="22"/>
              </w:rPr>
              <w:t> </w:t>
            </w:r>
            <w:r>
              <w:rPr>
                <w:sz w:val="22"/>
              </w:rPr>
              <w:t>adoption</w:t>
            </w:r>
            <w:r>
              <w:rPr>
                <w:spacing w:val="-6"/>
                <w:sz w:val="22"/>
              </w:rPr>
              <w:t> </w:t>
            </w:r>
            <w:r>
              <w:rPr>
                <w:sz w:val="22"/>
              </w:rPr>
              <w:t>assistance</w:t>
            </w:r>
            <w:r>
              <w:rPr>
                <w:spacing w:val="-6"/>
                <w:sz w:val="22"/>
              </w:rPr>
              <w:t> </w:t>
            </w:r>
            <w:r>
              <w:rPr>
                <w:sz w:val="22"/>
              </w:rPr>
              <w:t>-</w:t>
            </w:r>
            <w:r>
              <w:rPr>
                <w:spacing w:val="-9"/>
                <w:sz w:val="22"/>
              </w:rPr>
              <w:t> </w:t>
            </w:r>
            <w:r>
              <w:rPr>
                <w:sz w:val="22"/>
              </w:rPr>
              <w:t>start</w:t>
            </w:r>
            <w:r>
              <w:rPr>
                <w:spacing w:val="-5"/>
                <w:sz w:val="22"/>
              </w:rPr>
              <w:t> </w:t>
            </w:r>
            <w:r>
              <w:rPr>
                <w:sz w:val="22"/>
              </w:rPr>
              <w:t>date of adoption</w:t>
            </w:r>
          </w:p>
        </w:tc>
      </w:tr>
      <w:tr>
        <w:trPr>
          <w:trHeight w:val="9107" w:hRule="atLeast"/>
        </w:trPr>
        <w:tc>
          <w:tcPr>
            <w:tcW w:w="2429"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05"/>
              <w:ind w:left="107" w:right="53"/>
              <w:rPr>
                <w:sz w:val="22"/>
              </w:rPr>
            </w:pPr>
            <w:r>
              <w:rPr>
                <w:sz w:val="22"/>
              </w:rPr>
              <w:t>Children in the care/custody</w:t>
            </w:r>
            <w:r>
              <w:rPr>
                <w:spacing w:val="-14"/>
                <w:sz w:val="22"/>
              </w:rPr>
              <w:t> </w:t>
            </w:r>
            <w:r>
              <w:rPr>
                <w:sz w:val="22"/>
              </w:rPr>
              <w:t>of</w:t>
            </w:r>
            <w:r>
              <w:rPr>
                <w:spacing w:val="-11"/>
                <w:sz w:val="22"/>
              </w:rPr>
              <w:t> </w:t>
            </w:r>
            <w:r>
              <w:rPr>
                <w:sz w:val="22"/>
              </w:rPr>
              <w:t>the</w:t>
            </w:r>
            <w:r>
              <w:rPr>
                <w:spacing w:val="-12"/>
                <w:sz w:val="22"/>
              </w:rPr>
              <w:t> </w:t>
            </w:r>
            <w:r>
              <w:rPr>
                <w:sz w:val="22"/>
              </w:rPr>
              <w:t>DCF or DYS, including medically complex children in the care/custody</w:t>
            </w:r>
            <w:r>
              <w:rPr>
                <w:spacing w:val="-14"/>
                <w:sz w:val="22"/>
              </w:rPr>
              <w:t> </w:t>
            </w:r>
            <w:r>
              <w:rPr>
                <w:sz w:val="22"/>
              </w:rPr>
              <w:t>of</w:t>
            </w:r>
            <w:r>
              <w:rPr>
                <w:spacing w:val="-11"/>
                <w:sz w:val="22"/>
              </w:rPr>
              <w:t> </w:t>
            </w:r>
            <w:r>
              <w:rPr>
                <w:sz w:val="22"/>
              </w:rPr>
              <w:t>the</w:t>
            </w:r>
            <w:r>
              <w:rPr>
                <w:spacing w:val="-12"/>
                <w:sz w:val="22"/>
              </w:rPr>
              <w:t> </w:t>
            </w:r>
            <w:r>
              <w:rPr>
                <w:sz w:val="22"/>
              </w:rPr>
              <w:t>DCF</w:t>
            </w:r>
          </w:p>
        </w:tc>
        <w:tc>
          <w:tcPr>
            <w:tcW w:w="1572" w:type="dxa"/>
          </w:tcPr>
          <w:p>
            <w:pPr>
              <w:pStyle w:val="TableParagraph"/>
              <w:ind w:left="107" w:right="112"/>
              <w:rPr>
                <w:sz w:val="22"/>
              </w:rPr>
            </w:pPr>
            <w:r>
              <w:rPr>
                <w:sz w:val="22"/>
              </w:rPr>
              <w:t>Services are offered via Managed Care or FFS, with the exception of behavioral health</w:t>
            </w:r>
            <w:r>
              <w:rPr>
                <w:spacing w:val="-14"/>
                <w:sz w:val="22"/>
              </w:rPr>
              <w:t> </w:t>
            </w:r>
            <w:r>
              <w:rPr>
                <w:sz w:val="22"/>
              </w:rPr>
              <w:t>which</w:t>
            </w:r>
            <w:r>
              <w:rPr>
                <w:spacing w:val="-14"/>
                <w:sz w:val="22"/>
              </w:rPr>
              <w:t> </w:t>
            </w:r>
            <w:r>
              <w:rPr>
                <w:sz w:val="22"/>
              </w:rPr>
              <w:t>is provided via </w:t>
            </w:r>
            <w:r>
              <w:rPr>
                <w:spacing w:val="-2"/>
                <w:sz w:val="22"/>
              </w:rPr>
              <w:t>mandatory </w:t>
            </w:r>
            <w:r>
              <w:rPr>
                <w:sz w:val="22"/>
              </w:rPr>
              <w:t>enrollment in BHP PIHP</w:t>
            </w:r>
          </w:p>
          <w:p>
            <w:pPr>
              <w:pStyle w:val="TableParagraph"/>
              <w:ind w:left="107" w:right="102"/>
              <w:rPr>
                <w:sz w:val="22"/>
              </w:rPr>
            </w:pPr>
            <w:r>
              <w:rPr>
                <w:sz w:val="22"/>
              </w:rPr>
              <w:t>unless the</w:t>
            </w:r>
            <w:r>
              <w:rPr>
                <w:spacing w:val="40"/>
                <w:sz w:val="22"/>
              </w:rPr>
              <w:t> </w:t>
            </w:r>
            <w:r>
              <w:rPr>
                <w:sz w:val="22"/>
              </w:rPr>
              <w:t>child</w:t>
            </w:r>
            <w:r>
              <w:rPr>
                <w:spacing w:val="-3"/>
                <w:sz w:val="22"/>
              </w:rPr>
              <w:t> </w:t>
            </w:r>
            <w:r>
              <w:rPr>
                <w:sz w:val="22"/>
              </w:rPr>
              <w:t>enrolls</w:t>
            </w:r>
            <w:r>
              <w:rPr>
                <w:spacing w:val="-5"/>
                <w:sz w:val="22"/>
              </w:rPr>
              <w:t> </w:t>
            </w:r>
            <w:r>
              <w:rPr>
                <w:sz w:val="22"/>
              </w:rPr>
              <w:t>in an MCO </w:t>
            </w:r>
            <w:r>
              <w:rPr>
                <w:spacing w:val="-2"/>
                <w:sz w:val="22"/>
              </w:rPr>
              <w:t>(including </w:t>
            </w:r>
            <w:r>
              <w:rPr>
                <w:sz w:val="22"/>
              </w:rPr>
              <w:t>Special Kids Special Care program if </w:t>
            </w:r>
            <w:r>
              <w:rPr>
                <w:spacing w:val="-2"/>
                <w:sz w:val="22"/>
              </w:rPr>
              <w:t>medically </w:t>
            </w:r>
            <w:r>
              <w:rPr>
                <w:sz w:val="22"/>
              </w:rPr>
              <w:t>complex in the care/custody</w:t>
            </w:r>
            <w:r>
              <w:rPr>
                <w:spacing w:val="-14"/>
                <w:sz w:val="22"/>
              </w:rPr>
              <w:t> </w:t>
            </w:r>
            <w:r>
              <w:rPr>
                <w:sz w:val="22"/>
              </w:rPr>
              <w:t>of DCF) or </w:t>
            </w:r>
            <w:r>
              <w:rPr>
                <w:spacing w:val="-2"/>
                <w:sz w:val="22"/>
              </w:rPr>
              <w:t>Accountable </w:t>
            </w:r>
            <w:r>
              <w:rPr>
                <w:spacing w:val="-4"/>
                <w:sz w:val="22"/>
              </w:rPr>
              <w:t>Care </w:t>
            </w:r>
            <w:r>
              <w:rPr>
                <w:spacing w:val="-2"/>
                <w:sz w:val="22"/>
              </w:rPr>
              <w:t>Partnership </w:t>
            </w:r>
            <w:r>
              <w:rPr>
                <w:sz w:val="22"/>
              </w:rPr>
              <w:t>Plan in which </w:t>
            </w:r>
            <w:r>
              <w:rPr>
                <w:spacing w:val="-2"/>
                <w:sz w:val="22"/>
              </w:rPr>
              <w:t>case,</w:t>
            </w:r>
            <w:r>
              <w:rPr>
                <w:spacing w:val="40"/>
                <w:sz w:val="22"/>
              </w:rPr>
              <w:t> </w:t>
            </w:r>
            <w:r>
              <w:rPr>
                <w:spacing w:val="-2"/>
                <w:sz w:val="22"/>
              </w:rPr>
              <w:t>behavioral </w:t>
            </w:r>
            <w:r>
              <w:rPr>
                <w:sz w:val="22"/>
              </w:rPr>
              <w:t>health is </w:t>
            </w:r>
            <w:r>
              <w:rPr>
                <w:spacing w:val="-2"/>
                <w:sz w:val="22"/>
              </w:rPr>
              <w:t>provided </w:t>
            </w:r>
            <w:r>
              <w:rPr>
                <w:sz w:val="22"/>
              </w:rPr>
              <w:t>through the MCO or </w:t>
            </w:r>
            <w:r>
              <w:rPr>
                <w:spacing w:val="-2"/>
                <w:sz w:val="22"/>
              </w:rPr>
              <w:t>Accountable </w:t>
            </w:r>
            <w:r>
              <w:rPr>
                <w:spacing w:val="-4"/>
                <w:sz w:val="22"/>
              </w:rPr>
              <w:t>Care</w:t>
            </w:r>
          </w:p>
          <w:p>
            <w:pPr>
              <w:pStyle w:val="TableParagraph"/>
              <w:spacing w:line="250" w:lineRule="atLeast"/>
              <w:ind w:left="107" w:right="170"/>
              <w:rPr>
                <w:sz w:val="22"/>
              </w:rPr>
            </w:pPr>
            <w:r>
              <w:rPr>
                <w:spacing w:val="-2"/>
                <w:sz w:val="22"/>
              </w:rPr>
              <w:t>Partnership </w:t>
            </w:r>
            <w:r>
              <w:rPr>
                <w:spacing w:val="-4"/>
                <w:sz w:val="22"/>
              </w:rPr>
              <w:t>Plan</w:t>
            </w:r>
          </w:p>
        </w:tc>
        <w:tc>
          <w:tcPr>
            <w:tcW w:w="490"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0"/>
              <w:rPr>
                <w:sz w:val="24"/>
              </w:rPr>
            </w:pPr>
          </w:p>
          <w:p>
            <w:pPr>
              <w:pStyle w:val="TableParagraph"/>
              <w:ind w:left="165"/>
              <w:rPr>
                <w:sz w:val="22"/>
              </w:rPr>
            </w:pPr>
            <w:r>
              <w:rPr>
                <w:w w:val="100"/>
                <w:sz w:val="22"/>
              </w:rPr>
              <w:t>X</w:t>
            </w:r>
          </w:p>
        </w:tc>
        <w:tc>
          <w:tcPr>
            <w:tcW w:w="485"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0"/>
              <w:rPr>
                <w:sz w:val="24"/>
              </w:rPr>
            </w:pPr>
          </w:p>
          <w:p>
            <w:pPr>
              <w:pStyle w:val="TableParagraph"/>
              <w:ind w:left="162"/>
              <w:rPr>
                <w:sz w:val="22"/>
              </w:rPr>
            </w:pPr>
            <w:r>
              <w:rPr>
                <w:w w:val="100"/>
                <w:sz w:val="22"/>
              </w:rPr>
              <w:t>X</w:t>
            </w:r>
          </w:p>
        </w:tc>
        <w:tc>
          <w:tcPr>
            <w:tcW w:w="483"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0"/>
              <w:rPr>
                <w:sz w:val="24"/>
              </w:rPr>
            </w:pPr>
          </w:p>
          <w:p>
            <w:pPr>
              <w:pStyle w:val="TableParagraph"/>
              <w:ind w:left="159"/>
              <w:rPr>
                <w:sz w:val="22"/>
              </w:rPr>
            </w:pPr>
            <w:r>
              <w:rPr>
                <w:w w:val="100"/>
                <w:sz w:val="22"/>
              </w:rPr>
              <w:t>X</w:t>
            </w:r>
          </w:p>
        </w:tc>
        <w:tc>
          <w:tcPr>
            <w:tcW w:w="3893"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0"/>
              <w:rPr>
                <w:sz w:val="24"/>
              </w:rPr>
            </w:pPr>
          </w:p>
          <w:p>
            <w:pPr>
              <w:pStyle w:val="TableParagraph"/>
              <w:ind w:left="105"/>
              <w:rPr>
                <w:sz w:val="22"/>
              </w:rPr>
            </w:pPr>
            <w:r>
              <w:rPr>
                <w:sz w:val="22"/>
              </w:rPr>
              <w:t>Start</w:t>
            </w:r>
            <w:r>
              <w:rPr>
                <w:spacing w:val="-2"/>
                <w:sz w:val="22"/>
              </w:rPr>
              <w:t> </w:t>
            </w:r>
            <w:r>
              <w:rPr>
                <w:sz w:val="22"/>
              </w:rPr>
              <w:t>date</w:t>
            </w:r>
            <w:r>
              <w:rPr>
                <w:spacing w:val="-1"/>
                <w:sz w:val="22"/>
              </w:rPr>
              <w:t> </w:t>
            </w:r>
            <w:r>
              <w:rPr>
                <w:sz w:val="22"/>
              </w:rPr>
              <w:t>of</w:t>
            </w:r>
            <w:r>
              <w:rPr>
                <w:spacing w:val="-2"/>
                <w:sz w:val="22"/>
              </w:rPr>
              <w:t> </w:t>
            </w:r>
            <w:r>
              <w:rPr>
                <w:sz w:val="22"/>
              </w:rPr>
              <w:t>state</w:t>
            </w:r>
            <w:r>
              <w:rPr>
                <w:spacing w:val="-1"/>
                <w:sz w:val="22"/>
              </w:rPr>
              <w:t> </w:t>
            </w:r>
            <w:r>
              <w:rPr>
                <w:spacing w:val="-2"/>
                <w:sz w:val="22"/>
              </w:rPr>
              <w:t>care/custody</w:t>
            </w:r>
          </w:p>
        </w:tc>
      </w:tr>
    </w:tbl>
    <w:p>
      <w:pPr>
        <w:spacing w:after="0"/>
        <w:rPr>
          <w:sz w:val="22"/>
        </w:rPr>
        <w:sectPr>
          <w:type w:val="continuous"/>
          <w:pgSz w:w="12240" w:h="15840"/>
          <w:pgMar w:header="0" w:footer="1201" w:top="1420" w:bottom="1400" w:left="1200" w:right="400"/>
        </w:sectPr>
      </w:pPr>
    </w:p>
    <w:tbl>
      <w:tblPr>
        <w:tblW w:w="0" w:type="auto"/>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9"/>
        <w:gridCol w:w="1572"/>
        <w:gridCol w:w="490"/>
        <w:gridCol w:w="485"/>
        <w:gridCol w:w="483"/>
        <w:gridCol w:w="3893"/>
      </w:tblGrid>
      <w:tr>
        <w:trPr>
          <w:trHeight w:val="801" w:hRule="atLeast"/>
        </w:trPr>
        <w:tc>
          <w:tcPr>
            <w:tcW w:w="9352" w:type="dxa"/>
            <w:gridSpan w:val="6"/>
            <w:shd w:val="clear" w:color="auto" w:fill="DBE6F1"/>
          </w:tcPr>
          <w:p>
            <w:pPr>
              <w:pStyle w:val="TableParagraph"/>
              <w:spacing w:line="244" w:lineRule="auto" w:before="145"/>
              <w:ind w:left="4209" w:hanging="4004"/>
              <w:rPr>
                <w:b/>
                <w:sz w:val="22"/>
              </w:rPr>
            </w:pPr>
            <w:r>
              <w:rPr>
                <w:b/>
                <w:sz w:val="22"/>
              </w:rPr>
              <w:t>Table</w:t>
            </w:r>
            <w:r>
              <w:rPr>
                <w:b/>
                <w:spacing w:val="-2"/>
                <w:sz w:val="22"/>
              </w:rPr>
              <w:t> </w:t>
            </w:r>
            <w:r>
              <w:rPr>
                <w:b/>
                <w:sz w:val="22"/>
              </w:rPr>
              <w:t>9:</w:t>
            </w:r>
            <w:r>
              <w:rPr>
                <w:b/>
                <w:spacing w:val="-1"/>
                <w:sz w:val="22"/>
              </w:rPr>
              <w:t> </w:t>
            </w:r>
            <w:r>
              <w:rPr>
                <w:b/>
                <w:sz w:val="22"/>
              </w:rPr>
              <w:t>Delivery</w:t>
            </w:r>
            <w:r>
              <w:rPr>
                <w:b/>
                <w:spacing w:val="-2"/>
                <w:sz w:val="22"/>
              </w:rPr>
              <w:t> </w:t>
            </w:r>
            <w:r>
              <w:rPr>
                <w:b/>
                <w:sz w:val="22"/>
              </w:rPr>
              <w:t>System</w:t>
            </w:r>
            <w:r>
              <w:rPr>
                <w:b/>
                <w:spacing w:val="-4"/>
                <w:sz w:val="22"/>
              </w:rPr>
              <w:t> </w:t>
            </w:r>
            <w:r>
              <w:rPr>
                <w:b/>
                <w:sz w:val="22"/>
              </w:rPr>
              <w:t>and</w:t>
            </w:r>
            <w:r>
              <w:rPr>
                <w:b/>
                <w:spacing w:val="-3"/>
                <w:sz w:val="22"/>
              </w:rPr>
              <w:t> </w:t>
            </w:r>
            <w:r>
              <w:rPr>
                <w:b/>
                <w:sz w:val="22"/>
              </w:rPr>
              <w:t>Coverage</w:t>
            </w:r>
            <w:r>
              <w:rPr>
                <w:b/>
                <w:spacing w:val="-4"/>
                <w:sz w:val="22"/>
              </w:rPr>
              <w:t> </w:t>
            </w:r>
            <w:r>
              <w:rPr>
                <w:b/>
                <w:sz w:val="22"/>
              </w:rPr>
              <w:t>for</w:t>
            </w:r>
            <w:r>
              <w:rPr>
                <w:b/>
                <w:spacing w:val="-2"/>
                <w:sz w:val="22"/>
              </w:rPr>
              <w:t> </w:t>
            </w:r>
            <w:r>
              <w:rPr>
                <w:b/>
                <w:sz w:val="22"/>
              </w:rPr>
              <w:t>Individuals</w:t>
            </w:r>
            <w:r>
              <w:rPr>
                <w:b/>
                <w:spacing w:val="-2"/>
                <w:sz w:val="22"/>
              </w:rPr>
              <w:t> </w:t>
            </w:r>
            <w:r>
              <w:rPr>
                <w:b/>
                <w:sz w:val="22"/>
              </w:rPr>
              <w:t>under</w:t>
            </w:r>
            <w:r>
              <w:rPr>
                <w:b/>
                <w:spacing w:val="-2"/>
                <w:sz w:val="22"/>
              </w:rPr>
              <w:t> </w:t>
            </w:r>
            <w:r>
              <w:rPr>
                <w:b/>
                <w:sz w:val="22"/>
              </w:rPr>
              <w:t>65</w:t>
            </w:r>
            <w:r>
              <w:rPr>
                <w:b/>
                <w:spacing w:val="-5"/>
                <w:sz w:val="22"/>
              </w:rPr>
              <w:t> </w:t>
            </w:r>
            <w:r>
              <w:rPr>
                <w:b/>
                <w:sz w:val="22"/>
              </w:rPr>
              <w:t>in</w:t>
            </w:r>
            <w:r>
              <w:rPr>
                <w:b/>
                <w:spacing w:val="-3"/>
                <w:sz w:val="22"/>
              </w:rPr>
              <w:t> </w:t>
            </w:r>
            <w:r>
              <w:rPr>
                <w:b/>
                <w:sz w:val="22"/>
              </w:rPr>
              <w:t>MassHealth</w:t>
            </w:r>
            <w:r>
              <w:rPr>
                <w:b/>
                <w:spacing w:val="-3"/>
                <w:sz w:val="22"/>
              </w:rPr>
              <w:t> </w:t>
            </w:r>
            <w:r>
              <w:rPr>
                <w:b/>
                <w:sz w:val="22"/>
              </w:rPr>
              <w:t>Demonstration </w:t>
            </w:r>
            <w:r>
              <w:rPr>
                <w:b/>
                <w:spacing w:val="-2"/>
                <w:sz w:val="22"/>
              </w:rPr>
              <w:t>Programs</w:t>
            </w:r>
          </w:p>
        </w:tc>
      </w:tr>
      <w:tr>
        <w:trPr>
          <w:trHeight w:val="1502" w:hRule="atLeast"/>
        </w:trPr>
        <w:tc>
          <w:tcPr>
            <w:tcW w:w="2429" w:type="dxa"/>
            <w:shd w:val="clear" w:color="auto" w:fill="DBE6F1"/>
          </w:tcPr>
          <w:p>
            <w:pPr>
              <w:pStyle w:val="TableParagraph"/>
              <w:rPr>
                <w:sz w:val="24"/>
              </w:rPr>
            </w:pPr>
          </w:p>
          <w:p>
            <w:pPr>
              <w:pStyle w:val="TableParagraph"/>
              <w:spacing w:before="1"/>
              <w:rPr>
                <w:sz w:val="30"/>
              </w:rPr>
            </w:pPr>
          </w:p>
          <w:p>
            <w:pPr>
              <w:pStyle w:val="TableParagraph"/>
              <w:ind w:left="501"/>
              <w:rPr>
                <w:b/>
                <w:sz w:val="22"/>
              </w:rPr>
            </w:pPr>
            <w:r>
              <w:rPr>
                <w:b/>
                <w:sz w:val="22"/>
              </w:rPr>
              <w:t>Coverage</w:t>
            </w:r>
            <w:r>
              <w:rPr>
                <w:b/>
                <w:spacing w:val="-2"/>
                <w:sz w:val="22"/>
              </w:rPr>
              <w:t> </w:t>
            </w:r>
            <w:r>
              <w:rPr>
                <w:b/>
                <w:spacing w:val="-4"/>
                <w:sz w:val="22"/>
              </w:rPr>
              <w:t>Type</w:t>
            </w:r>
          </w:p>
        </w:tc>
        <w:tc>
          <w:tcPr>
            <w:tcW w:w="1572" w:type="dxa"/>
            <w:shd w:val="clear" w:color="auto" w:fill="DBE6F1"/>
          </w:tcPr>
          <w:p>
            <w:pPr>
              <w:pStyle w:val="TableParagraph"/>
              <w:rPr>
                <w:sz w:val="24"/>
              </w:rPr>
            </w:pPr>
          </w:p>
          <w:p>
            <w:pPr>
              <w:pStyle w:val="TableParagraph"/>
              <w:rPr>
                <w:sz w:val="19"/>
              </w:rPr>
            </w:pPr>
          </w:p>
          <w:p>
            <w:pPr>
              <w:pStyle w:val="TableParagraph"/>
              <w:ind w:left="182" w:right="170" w:firstLine="204"/>
              <w:rPr>
                <w:b/>
                <w:sz w:val="22"/>
              </w:rPr>
            </w:pPr>
            <w:r>
              <w:rPr>
                <w:b/>
                <w:spacing w:val="-2"/>
                <w:sz w:val="22"/>
              </w:rPr>
              <w:t>Delivery </w:t>
            </w:r>
            <w:r>
              <w:rPr>
                <w:b/>
                <w:sz w:val="22"/>
              </w:rPr>
              <w:t>System</w:t>
            </w:r>
            <w:r>
              <w:rPr>
                <w:b/>
                <w:spacing w:val="-14"/>
                <w:sz w:val="22"/>
              </w:rPr>
              <w:t> </w:t>
            </w:r>
            <w:r>
              <w:rPr>
                <w:b/>
                <w:sz w:val="22"/>
              </w:rPr>
              <w:t>Type</w:t>
            </w:r>
          </w:p>
        </w:tc>
        <w:tc>
          <w:tcPr>
            <w:tcW w:w="490" w:type="dxa"/>
            <w:shd w:val="clear" w:color="auto" w:fill="DBE6F1"/>
            <w:textDirection w:val="tbRl"/>
          </w:tcPr>
          <w:p>
            <w:pPr>
              <w:pStyle w:val="TableParagraph"/>
              <w:spacing w:before="109"/>
              <w:ind w:left="218"/>
              <w:rPr>
                <w:b/>
                <w:sz w:val="22"/>
              </w:rPr>
            </w:pPr>
            <w:r>
              <w:rPr>
                <w:b/>
                <w:spacing w:val="-2"/>
                <w:sz w:val="22"/>
              </w:rPr>
              <w:t>Mandatory</w:t>
            </w:r>
          </w:p>
        </w:tc>
        <w:tc>
          <w:tcPr>
            <w:tcW w:w="485" w:type="dxa"/>
            <w:shd w:val="clear" w:color="auto" w:fill="DBE6F1"/>
            <w:textDirection w:val="tbRl"/>
          </w:tcPr>
          <w:p>
            <w:pPr>
              <w:pStyle w:val="TableParagraph"/>
              <w:spacing w:before="107"/>
              <w:ind w:left="268"/>
              <w:rPr>
                <w:b/>
                <w:sz w:val="22"/>
              </w:rPr>
            </w:pPr>
            <w:r>
              <w:rPr>
                <w:b/>
                <w:spacing w:val="-2"/>
                <w:sz w:val="22"/>
              </w:rPr>
              <w:t>Voluntary</w:t>
            </w:r>
          </w:p>
        </w:tc>
        <w:tc>
          <w:tcPr>
            <w:tcW w:w="483" w:type="dxa"/>
            <w:shd w:val="clear" w:color="auto" w:fill="DBE6F1"/>
            <w:textDirection w:val="tbRl"/>
          </w:tcPr>
          <w:p>
            <w:pPr>
              <w:pStyle w:val="TableParagraph"/>
              <w:spacing w:before="108"/>
              <w:ind w:left="295"/>
              <w:rPr>
                <w:b/>
                <w:sz w:val="22"/>
              </w:rPr>
            </w:pPr>
            <w:r>
              <w:rPr>
                <w:b/>
                <w:sz w:val="22"/>
              </w:rPr>
              <w:t>FFS</w:t>
            </w:r>
            <w:r>
              <w:rPr>
                <w:b/>
                <w:spacing w:val="-5"/>
                <w:sz w:val="22"/>
              </w:rPr>
              <w:t> </w:t>
            </w:r>
            <w:r>
              <w:rPr>
                <w:b/>
                <w:spacing w:val="-4"/>
                <w:sz w:val="22"/>
              </w:rPr>
              <w:t>Only</w:t>
            </w:r>
          </w:p>
        </w:tc>
        <w:tc>
          <w:tcPr>
            <w:tcW w:w="3893" w:type="dxa"/>
            <w:shd w:val="clear" w:color="auto" w:fill="DBE6F1"/>
          </w:tcPr>
          <w:p>
            <w:pPr>
              <w:pStyle w:val="TableParagraph"/>
              <w:rPr>
                <w:sz w:val="24"/>
              </w:rPr>
            </w:pPr>
          </w:p>
          <w:p>
            <w:pPr>
              <w:pStyle w:val="TableParagraph"/>
              <w:spacing w:before="1"/>
              <w:rPr>
                <w:sz w:val="30"/>
              </w:rPr>
            </w:pPr>
          </w:p>
          <w:p>
            <w:pPr>
              <w:pStyle w:val="TableParagraph"/>
              <w:ind w:left="701"/>
              <w:rPr>
                <w:b/>
                <w:sz w:val="22"/>
              </w:rPr>
            </w:pPr>
            <w:r>
              <w:rPr>
                <w:b/>
                <w:sz w:val="22"/>
              </w:rPr>
              <w:t>Start</w:t>
            </w:r>
            <w:r>
              <w:rPr>
                <w:b/>
                <w:spacing w:val="-4"/>
                <w:sz w:val="22"/>
              </w:rPr>
              <w:t> </w:t>
            </w:r>
            <w:r>
              <w:rPr>
                <w:b/>
                <w:sz w:val="22"/>
              </w:rPr>
              <w:t>Date</w:t>
            </w:r>
            <w:r>
              <w:rPr>
                <w:b/>
                <w:spacing w:val="-4"/>
                <w:sz w:val="22"/>
              </w:rPr>
              <w:t> </w:t>
            </w:r>
            <w:r>
              <w:rPr>
                <w:b/>
                <w:sz w:val="22"/>
              </w:rPr>
              <w:t>of</w:t>
            </w:r>
            <w:r>
              <w:rPr>
                <w:b/>
                <w:spacing w:val="1"/>
                <w:sz w:val="22"/>
              </w:rPr>
              <w:t> </w:t>
            </w:r>
            <w:r>
              <w:rPr>
                <w:b/>
                <w:spacing w:val="-2"/>
                <w:sz w:val="22"/>
              </w:rPr>
              <w:t>Coverage***</w:t>
            </w:r>
          </w:p>
        </w:tc>
      </w:tr>
      <w:tr>
        <w:trPr>
          <w:trHeight w:val="1264" w:hRule="atLeast"/>
        </w:trPr>
        <w:tc>
          <w:tcPr>
            <w:tcW w:w="2429" w:type="dxa"/>
          </w:tcPr>
          <w:p>
            <w:pPr>
              <w:pStyle w:val="TableParagraph"/>
              <w:rPr>
                <w:sz w:val="20"/>
              </w:rPr>
            </w:pPr>
          </w:p>
        </w:tc>
        <w:tc>
          <w:tcPr>
            <w:tcW w:w="1572" w:type="dxa"/>
          </w:tcPr>
          <w:p>
            <w:pPr>
              <w:pStyle w:val="TableParagraph"/>
              <w:spacing w:before="8"/>
              <w:rPr>
                <w:sz w:val="21"/>
              </w:rPr>
            </w:pPr>
          </w:p>
          <w:p>
            <w:pPr>
              <w:pStyle w:val="TableParagraph"/>
              <w:spacing w:before="1"/>
              <w:ind w:left="107" w:right="170"/>
              <w:rPr>
                <w:sz w:val="22"/>
              </w:rPr>
            </w:pPr>
            <w:r>
              <w:rPr>
                <w:spacing w:val="-2"/>
                <w:sz w:val="22"/>
              </w:rPr>
              <w:t>Certain services </w:t>
            </w:r>
            <w:r>
              <w:rPr>
                <w:sz w:val="22"/>
              </w:rPr>
              <w:t>provided</w:t>
            </w:r>
            <w:r>
              <w:rPr>
                <w:spacing w:val="-14"/>
                <w:sz w:val="22"/>
              </w:rPr>
              <w:t> </w:t>
            </w:r>
            <w:r>
              <w:rPr>
                <w:sz w:val="22"/>
              </w:rPr>
              <w:t>by</w:t>
            </w:r>
          </w:p>
          <w:p>
            <w:pPr>
              <w:pStyle w:val="TableParagraph"/>
              <w:spacing w:line="235" w:lineRule="exact"/>
              <w:ind w:left="107"/>
              <w:rPr>
                <w:sz w:val="22"/>
              </w:rPr>
            </w:pPr>
            <w:r>
              <w:rPr>
                <w:spacing w:val="-5"/>
                <w:sz w:val="22"/>
              </w:rPr>
              <w:t>FFS</w:t>
            </w:r>
          </w:p>
        </w:tc>
        <w:tc>
          <w:tcPr>
            <w:tcW w:w="490" w:type="dxa"/>
          </w:tcPr>
          <w:p>
            <w:pPr>
              <w:pStyle w:val="TableParagraph"/>
              <w:rPr>
                <w:sz w:val="20"/>
              </w:rPr>
            </w:pPr>
          </w:p>
        </w:tc>
        <w:tc>
          <w:tcPr>
            <w:tcW w:w="485" w:type="dxa"/>
          </w:tcPr>
          <w:p>
            <w:pPr>
              <w:pStyle w:val="TableParagraph"/>
              <w:rPr>
                <w:sz w:val="20"/>
              </w:rPr>
            </w:pPr>
          </w:p>
        </w:tc>
        <w:tc>
          <w:tcPr>
            <w:tcW w:w="483" w:type="dxa"/>
          </w:tcPr>
          <w:p>
            <w:pPr>
              <w:pStyle w:val="TableParagraph"/>
              <w:rPr>
                <w:sz w:val="20"/>
              </w:rPr>
            </w:pPr>
          </w:p>
        </w:tc>
        <w:tc>
          <w:tcPr>
            <w:tcW w:w="3893" w:type="dxa"/>
          </w:tcPr>
          <w:p>
            <w:pPr>
              <w:pStyle w:val="TableParagraph"/>
              <w:rPr>
                <w:sz w:val="20"/>
              </w:rPr>
            </w:pPr>
          </w:p>
        </w:tc>
      </w:tr>
      <w:tr>
        <w:trPr>
          <w:trHeight w:val="1516" w:hRule="atLeast"/>
        </w:trPr>
        <w:tc>
          <w:tcPr>
            <w:tcW w:w="2429" w:type="dxa"/>
          </w:tcPr>
          <w:p>
            <w:pPr>
              <w:pStyle w:val="TableParagraph"/>
              <w:ind w:left="107"/>
              <w:rPr>
                <w:sz w:val="22"/>
              </w:rPr>
            </w:pPr>
            <w:r>
              <w:rPr>
                <w:sz w:val="22"/>
              </w:rPr>
              <w:t>Provisionally eligible pregnant</w:t>
            </w:r>
            <w:r>
              <w:rPr>
                <w:spacing w:val="-4"/>
                <w:sz w:val="22"/>
              </w:rPr>
              <w:t> </w:t>
            </w:r>
            <w:r>
              <w:rPr>
                <w:sz w:val="22"/>
              </w:rPr>
              <w:t>individuals</w:t>
            </w:r>
            <w:r>
              <w:rPr>
                <w:spacing w:val="-2"/>
                <w:sz w:val="22"/>
              </w:rPr>
              <w:t> </w:t>
            </w:r>
            <w:r>
              <w:rPr>
                <w:sz w:val="22"/>
              </w:rPr>
              <w:t>and children,</w:t>
            </w:r>
            <w:r>
              <w:rPr>
                <w:spacing w:val="-6"/>
                <w:sz w:val="22"/>
              </w:rPr>
              <w:t> </w:t>
            </w:r>
            <w:r>
              <w:rPr>
                <w:sz w:val="22"/>
              </w:rPr>
              <w:t>for</w:t>
            </w:r>
            <w:r>
              <w:rPr>
                <w:spacing w:val="-5"/>
                <w:sz w:val="22"/>
              </w:rPr>
              <w:t> </w:t>
            </w:r>
            <w:r>
              <w:rPr>
                <w:sz w:val="22"/>
              </w:rPr>
              <w:t>an</w:t>
            </w:r>
            <w:r>
              <w:rPr>
                <w:spacing w:val="-9"/>
                <w:sz w:val="22"/>
              </w:rPr>
              <w:t> </w:t>
            </w:r>
            <w:r>
              <w:rPr>
                <w:sz w:val="22"/>
              </w:rPr>
              <w:t>up</w:t>
            </w:r>
            <w:r>
              <w:rPr>
                <w:spacing w:val="-6"/>
                <w:sz w:val="22"/>
              </w:rPr>
              <w:t> </w:t>
            </w:r>
            <w:r>
              <w:rPr>
                <w:sz w:val="22"/>
              </w:rPr>
              <w:t>to</w:t>
            </w:r>
            <w:r>
              <w:rPr>
                <w:spacing w:val="-6"/>
                <w:sz w:val="22"/>
              </w:rPr>
              <w:t> </w:t>
            </w:r>
            <w:r>
              <w:rPr>
                <w:sz w:val="22"/>
              </w:rPr>
              <w:t>90- day period, before self- attested</w:t>
            </w:r>
            <w:r>
              <w:rPr>
                <w:spacing w:val="-13"/>
                <w:sz w:val="22"/>
              </w:rPr>
              <w:t> </w:t>
            </w:r>
            <w:r>
              <w:rPr>
                <w:sz w:val="22"/>
              </w:rPr>
              <w:t>family</w:t>
            </w:r>
            <w:r>
              <w:rPr>
                <w:spacing w:val="-13"/>
                <w:sz w:val="22"/>
              </w:rPr>
              <w:t> </w:t>
            </w:r>
            <w:r>
              <w:rPr>
                <w:sz w:val="22"/>
              </w:rPr>
              <w:t>income</w:t>
            </w:r>
            <w:r>
              <w:rPr>
                <w:spacing w:val="-10"/>
                <w:sz w:val="22"/>
              </w:rPr>
              <w:t> </w:t>
            </w:r>
            <w:r>
              <w:rPr>
                <w:sz w:val="22"/>
              </w:rPr>
              <w:t>is</w:t>
            </w:r>
          </w:p>
          <w:p>
            <w:pPr>
              <w:pStyle w:val="TableParagraph"/>
              <w:spacing w:line="233" w:lineRule="exact"/>
              <w:ind w:left="107"/>
              <w:rPr>
                <w:sz w:val="22"/>
              </w:rPr>
            </w:pPr>
            <w:r>
              <w:rPr>
                <w:spacing w:val="-2"/>
                <w:sz w:val="22"/>
              </w:rPr>
              <w:t>verified</w:t>
            </w:r>
          </w:p>
        </w:tc>
        <w:tc>
          <w:tcPr>
            <w:tcW w:w="1572" w:type="dxa"/>
          </w:tcPr>
          <w:p>
            <w:pPr>
              <w:pStyle w:val="TableParagraph"/>
              <w:rPr>
                <w:sz w:val="24"/>
              </w:rPr>
            </w:pPr>
          </w:p>
          <w:p>
            <w:pPr>
              <w:pStyle w:val="TableParagraph"/>
              <w:spacing w:before="8"/>
              <w:rPr>
                <w:sz w:val="30"/>
              </w:rPr>
            </w:pPr>
          </w:p>
          <w:p>
            <w:pPr>
              <w:pStyle w:val="TableParagraph"/>
              <w:ind w:left="107"/>
              <w:rPr>
                <w:sz w:val="22"/>
              </w:rPr>
            </w:pPr>
            <w:r>
              <w:rPr>
                <w:spacing w:val="-5"/>
                <w:sz w:val="22"/>
              </w:rPr>
              <w:t>FFS</w:t>
            </w:r>
          </w:p>
        </w:tc>
        <w:tc>
          <w:tcPr>
            <w:tcW w:w="490" w:type="dxa"/>
          </w:tcPr>
          <w:p>
            <w:pPr>
              <w:pStyle w:val="TableParagraph"/>
              <w:rPr>
                <w:sz w:val="20"/>
              </w:rPr>
            </w:pPr>
          </w:p>
        </w:tc>
        <w:tc>
          <w:tcPr>
            <w:tcW w:w="485" w:type="dxa"/>
          </w:tcPr>
          <w:p>
            <w:pPr>
              <w:pStyle w:val="TableParagraph"/>
              <w:rPr>
                <w:sz w:val="20"/>
              </w:rPr>
            </w:pPr>
          </w:p>
        </w:tc>
        <w:tc>
          <w:tcPr>
            <w:tcW w:w="483" w:type="dxa"/>
          </w:tcPr>
          <w:p>
            <w:pPr>
              <w:pStyle w:val="TableParagraph"/>
              <w:rPr>
                <w:sz w:val="24"/>
              </w:rPr>
            </w:pPr>
          </w:p>
          <w:p>
            <w:pPr>
              <w:pStyle w:val="TableParagraph"/>
              <w:spacing w:before="8"/>
              <w:rPr>
                <w:sz w:val="30"/>
              </w:rPr>
            </w:pPr>
          </w:p>
          <w:p>
            <w:pPr>
              <w:pStyle w:val="TableParagraph"/>
              <w:ind w:left="6"/>
              <w:jc w:val="center"/>
              <w:rPr>
                <w:sz w:val="22"/>
              </w:rPr>
            </w:pPr>
            <w:r>
              <w:rPr>
                <w:w w:val="100"/>
                <w:sz w:val="22"/>
              </w:rPr>
              <w:t>X</w:t>
            </w:r>
          </w:p>
        </w:tc>
        <w:tc>
          <w:tcPr>
            <w:tcW w:w="3893" w:type="dxa"/>
          </w:tcPr>
          <w:p>
            <w:pPr>
              <w:pStyle w:val="TableParagraph"/>
              <w:rPr>
                <w:sz w:val="24"/>
              </w:rPr>
            </w:pPr>
          </w:p>
          <w:p>
            <w:pPr>
              <w:pStyle w:val="TableParagraph"/>
              <w:spacing w:before="10"/>
              <w:rPr>
                <w:sz w:val="19"/>
              </w:rPr>
            </w:pPr>
          </w:p>
          <w:p>
            <w:pPr>
              <w:pStyle w:val="TableParagraph"/>
              <w:ind w:left="106"/>
              <w:rPr>
                <w:sz w:val="22"/>
              </w:rPr>
            </w:pPr>
            <w:r>
              <w:rPr>
                <w:sz w:val="22"/>
              </w:rPr>
              <w:t>10 days prior to date of application if citizenship/immigration</w:t>
            </w:r>
            <w:r>
              <w:rPr>
                <w:spacing w:val="-13"/>
                <w:sz w:val="22"/>
              </w:rPr>
              <w:t> </w:t>
            </w:r>
            <w:r>
              <w:rPr>
                <w:sz w:val="22"/>
              </w:rPr>
              <w:t>status</w:t>
            </w:r>
            <w:r>
              <w:rPr>
                <w:spacing w:val="-12"/>
                <w:sz w:val="22"/>
              </w:rPr>
              <w:t> </w:t>
            </w:r>
            <w:r>
              <w:rPr>
                <w:sz w:val="22"/>
              </w:rPr>
              <w:t>is</w:t>
            </w:r>
            <w:r>
              <w:rPr>
                <w:spacing w:val="-10"/>
                <w:sz w:val="22"/>
              </w:rPr>
              <w:t> </w:t>
            </w:r>
            <w:r>
              <w:rPr>
                <w:sz w:val="22"/>
              </w:rPr>
              <w:t>verified</w:t>
            </w:r>
          </w:p>
        </w:tc>
      </w:tr>
      <w:tr>
        <w:trPr>
          <w:trHeight w:val="1266" w:hRule="atLeast"/>
        </w:trPr>
        <w:tc>
          <w:tcPr>
            <w:tcW w:w="2429" w:type="dxa"/>
          </w:tcPr>
          <w:p>
            <w:pPr>
              <w:pStyle w:val="TableParagraph"/>
              <w:spacing w:before="125"/>
              <w:ind w:left="107"/>
              <w:rPr>
                <w:sz w:val="22"/>
              </w:rPr>
            </w:pPr>
            <w:r>
              <w:rPr>
                <w:sz w:val="22"/>
              </w:rPr>
              <w:t>Individuals</w:t>
            </w:r>
            <w:r>
              <w:rPr>
                <w:spacing w:val="-11"/>
                <w:sz w:val="22"/>
              </w:rPr>
              <w:t> </w:t>
            </w:r>
            <w:r>
              <w:rPr>
                <w:sz w:val="22"/>
              </w:rPr>
              <w:t>in</w:t>
            </w:r>
            <w:r>
              <w:rPr>
                <w:spacing w:val="-14"/>
                <w:sz w:val="22"/>
              </w:rPr>
              <w:t> </w:t>
            </w:r>
            <w:r>
              <w:rPr>
                <w:sz w:val="22"/>
              </w:rPr>
              <w:t>the</w:t>
            </w:r>
            <w:r>
              <w:rPr>
                <w:spacing w:val="-11"/>
                <w:sz w:val="22"/>
              </w:rPr>
              <w:t> </w:t>
            </w:r>
            <w:r>
              <w:rPr>
                <w:sz w:val="22"/>
              </w:rPr>
              <w:t>Breast and Cervical Cancer Demonstration Program without TPL</w:t>
            </w:r>
          </w:p>
        </w:tc>
        <w:tc>
          <w:tcPr>
            <w:tcW w:w="1572" w:type="dxa"/>
          </w:tcPr>
          <w:p>
            <w:pPr>
              <w:pStyle w:val="TableParagraph"/>
              <w:rPr>
                <w:sz w:val="24"/>
              </w:rPr>
            </w:pPr>
          </w:p>
          <w:p>
            <w:pPr>
              <w:pStyle w:val="TableParagraph"/>
              <w:spacing w:before="10"/>
              <w:rPr>
                <w:sz w:val="19"/>
              </w:rPr>
            </w:pPr>
          </w:p>
          <w:p>
            <w:pPr>
              <w:pStyle w:val="TableParagraph"/>
              <w:ind w:left="107"/>
              <w:rPr>
                <w:sz w:val="22"/>
              </w:rPr>
            </w:pPr>
            <w:r>
              <w:rPr>
                <w:sz w:val="22"/>
              </w:rPr>
              <w:t>Managed</w:t>
            </w:r>
            <w:r>
              <w:rPr>
                <w:spacing w:val="-3"/>
                <w:sz w:val="22"/>
              </w:rPr>
              <w:t> </w:t>
            </w:r>
            <w:r>
              <w:rPr>
                <w:spacing w:val="-4"/>
                <w:sz w:val="22"/>
              </w:rPr>
              <w:t>Care</w:t>
            </w:r>
          </w:p>
        </w:tc>
        <w:tc>
          <w:tcPr>
            <w:tcW w:w="490" w:type="dxa"/>
          </w:tcPr>
          <w:p>
            <w:pPr>
              <w:pStyle w:val="TableParagraph"/>
              <w:rPr>
                <w:sz w:val="24"/>
              </w:rPr>
            </w:pPr>
          </w:p>
          <w:p>
            <w:pPr>
              <w:pStyle w:val="TableParagraph"/>
              <w:spacing w:before="10"/>
              <w:rPr>
                <w:sz w:val="30"/>
              </w:rPr>
            </w:pPr>
          </w:p>
          <w:p>
            <w:pPr>
              <w:pStyle w:val="TableParagraph"/>
              <w:spacing w:before="1"/>
              <w:ind w:left="9"/>
              <w:jc w:val="center"/>
              <w:rPr>
                <w:sz w:val="22"/>
              </w:rPr>
            </w:pPr>
            <w:r>
              <w:rPr>
                <w:w w:val="100"/>
                <w:sz w:val="22"/>
              </w:rPr>
              <w:t>X</w:t>
            </w:r>
          </w:p>
        </w:tc>
        <w:tc>
          <w:tcPr>
            <w:tcW w:w="485" w:type="dxa"/>
          </w:tcPr>
          <w:p>
            <w:pPr>
              <w:pStyle w:val="TableParagraph"/>
              <w:rPr>
                <w:sz w:val="20"/>
              </w:rPr>
            </w:pPr>
          </w:p>
        </w:tc>
        <w:tc>
          <w:tcPr>
            <w:tcW w:w="483" w:type="dxa"/>
          </w:tcPr>
          <w:p>
            <w:pPr>
              <w:pStyle w:val="TableParagraph"/>
              <w:rPr>
                <w:sz w:val="20"/>
              </w:rPr>
            </w:pPr>
          </w:p>
        </w:tc>
        <w:tc>
          <w:tcPr>
            <w:tcW w:w="3893" w:type="dxa"/>
          </w:tcPr>
          <w:p>
            <w:pPr>
              <w:pStyle w:val="TableParagraph"/>
              <w:ind w:left="106" w:right="136"/>
              <w:rPr>
                <w:sz w:val="22"/>
              </w:rPr>
            </w:pPr>
            <w:r>
              <w:rPr>
                <w:sz w:val="22"/>
              </w:rPr>
              <w:t>10 days prior to date of application (except for populations listed in STC 4.2 whose start date of coverage may be up</w:t>
            </w:r>
          </w:p>
          <w:p>
            <w:pPr>
              <w:pStyle w:val="TableParagraph"/>
              <w:spacing w:line="252" w:lineRule="exact"/>
              <w:ind w:left="106"/>
              <w:rPr>
                <w:sz w:val="22"/>
              </w:rPr>
            </w:pPr>
            <w:r>
              <w:rPr>
                <w:sz w:val="22"/>
              </w:rPr>
              <w:t>to</w:t>
            </w:r>
            <w:r>
              <w:rPr>
                <w:spacing w:val="-4"/>
                <w:sz w:val="22"/>
              </w:rPr>
              <w:t> </w:t>
            </w:r>
            <w:r>
              <w:rPr>
                <w:sz w:val="22"/>
              </w:rPr>
              <w:t>the</w:t>
            </w:r>
            <w:r>
              <w:rPr>
                <w:spacing w:val="-4"/>
                <w:sz w:val="22"/>
              </w:rPr>
              <w:t> </w:t>
            </w:r>
            <w:r>
              <w:rPr>
                <w:sz w:val="22"/>
              </w:rPr>
              <w:t>first</w:t>
            </w:r>
            <w:r>
              <w:rPr>
                <w:spacing w:val="-3"/>
                <w:sz w:val="22"/>
              </w:rPr>
              <w:t> </w:t>
            </w:r>
            <w:r>
              <w:rPr>
                <w:sz w:val="22"/>
              </w:rPr>
              <w:t>day</w:t>
            </w:r>
            <w:r>
              <w:rPr>
                <w:spacing w:val="-7"/>
                <w:sz w:val="22"/>
              </w:rPr>
              <w:t> </w:t>
            </w:r>
            <w:r>
              <w:rPr>
                <w:sz w:val="22"/>
              </w:rPr>
              <w:t>of</w:t>
            </w:r>
            <w:r>
              <w:rPr>
                <w:spacing w:val="-3"/>
                <w:sz w:val="22"/>
              </w:rPr>
              <w:t> </w:t>
            </w:r>
            <w:r>
              <w:rPr>
                <w:sz w:val="22"/>
              </w:rPr>
              <w:t>the</w:t>
            </w:r>
            <w:r>
              <w:rPr>
                <w:spacing w:val="-4"/>
                <w:sz w:val="22"/>
              </w:rPr>
              <w:t> </w:t>
            </w:r>
            <w:r>
              <w:rPr>
                <w:sz w:val="22"/>
              </w:rPr>
              <w:t>third</w:t>
            </w:r>
            <w:r>
              <w:rPr>
                <w:spacing w:val="-7"/>
                <w:sz w:val="22"/>
              </w:rPr>
              <w:t> </w:t>
            </w:r>
            <w:r>
              <w:rPr>
                <w:sz w:val="22"/>
              </w:rPr>
              <w:t>month</w:t>
            </w:r>
            <w:r>
              <w:rPr>
                <w:spacing w:val="-4"/>
                <w:sz w:val="22"/>
              </w:rPr>
              <w:t> </w:t>
            </w:r>
            <w:r>
              <w:rPr>
                <w:sz w:val="22"/>
              </w:rPr>
              <w:t>prior</w:t>
            </w:r>
            <w:r>
              <w:rPr>
                <w:spacing w:val="-3"/>
                <w:sz w:val="22"/>
              </w:rPr>
              <w:t> </w:t>
            </w:r>
            <w:r>
              <w:rPr>
                <w:sz w:val="22"/>
              </w:rPr>
              <w:t>to the date of application.)</w:t>
            </w:r>
          </w:p>
        </w:tc>
      </w:tr>
      <w:tr>
        <w:trPr>
          <w:trHeight w:val="1516" w:hRule="atLeast"/>
        </w:trPr>
        <w:tc>
          <w:tcPr>
            <w:tcW w:w="2429" w:type="dxa"/>
          </w:tcPr>
          <w:p>
            <w:pPr>
              <w:pStyle w:val="TableParagraph"/>
              <w:spacing w:before="9"/>
              <w:rPr>
                <w:sz w:val="32"/>
              </w:rPr>
            </w:pPr>
          </w:p>
          <w:p>
            <w:pPr>
              <w:pStyle w:val="TableParagraph"/>
              <w:ind w:left="107"/>
              <w:rPr>
                <w:sz w:val="22"/>
              </w:rPr>
            </w:pPr>
            <w:r>
              <w:rPr>
                <w:sz w:val="22"/>
              </w:rPr>
              <w:t>Home and Community- Based</w:t>
            </w:r>
            <w:r>
              <w:rPr>
                <w:spacing w:val="-13"/>
                <w:sz w:val="22"/>
              </w:rPr>
              <w:t> </w:t>
            </w:r>
            <w:r>
              <w:rPr>
                <w:sz w:val="22"/>
              </w:rPr>
              <w:t>Waiver,</w:t>
            </w:r>
            <w:r>
              <w:rPr>
                <w:spacing w:val="-13"/>
                <w:sz w:val="22"/>
              </w:rPr>
              <w:t> </w:t>
            </w:r>
            <w:r>
              <w:rPr>
                <w:sz w:val="22"/>
              </w:rPr>
              <w:t>under</w:t>
            </w:r>
            <w:r>
              <w:rPr>
                <w:spacing w:val="-10"/>
                <w:sz w:val="22"/>
              </w:rPr>
              <w:t> </w:t>
            </w:r>
            <w:r>
              <w:rPr>
                <w:sz w:val="22"/>
              </w:rPr>
              <w:t>age </w:t>
            </w:r>
            <w:r>
              <w:rPr>
                <w:spacing w:val="-6"/>
                <w:sz w:val="22"/>
              </w:rPr>
              <w:t>65</w:t>
            </w:r>
          </w:p>
        </w:tc>
        <w:tc>
          <w:tcPr>
            <w:tcW w:w="1572" w:type="dxa"/>
          </w:tcPr>
          <w:p>
            <w:pPr>
              <w:pStyle w:val="TableParagraph"/>
              <w:ind w:left="107" w:right="104"/>
              <w:rPr>
                <w:sz w:val="22"/>
              </w:rPr>
            </w:pPr>
            <w:r>
              <w:rPr>
                <w:sz w:val="22"/>
              </w:rPr>
              <w:t>Generally</w:t>
            </w:r>
            <w:r>
              <w:rPr>
                <w:spacing w:val="-14"/>
                <w:sz w:val="22"/>
              </w:rPr>
              <w:t> </w:t>
            </w:r>
            <w:r>
              <w:rPr>
                <w:sz w:val="22"/>
              </w:rPr>
              <w:t>FFS, but also </w:t>
            </w:r>
            <w:r>
              <w:rPr>
                <w:spacing w:val="-2"/>
                <w:sz w:val="22"/>
              </w:rPr>
              <w:t>available through voluntary</w:t>
            </w:r>
          </w:p>
          <w:p>
            <w:pPr>
              <w:pStyle w:val="TableParagraph"/>
              <w:spacing w:line="233" w:lineRule="exact"/>
              <w:ind w:left="107"/>
              <w:rPr>
                <w:sz w:val="22"/>
              </w:rPr>
            </w:pPr>
            <w:r>
              <w:rPr>
                <w:sz w:val="22"/>
              </w:rPr>
              <w:t>Managed</w:t>
            </w:r>
            <w:r>
              <w:rPr>
                <w:spacing w:val="-3"/>
                <w:sz w:val="22"/>
              </w:rPr>
              <w:t> </w:t>
            </w:r>
            <w:r>
              <w:rPr>
                <w:spacing w:val="-4"/>
                <w:sz w:val="22"/>
              </w:rPr>
              <w:t>Care</w:t>
            </w:r>
          </w:p>
        </w:tc>
        <w:tc>
          <w:tcPr>
            <w:tcW w:w="490" w:type="dxa"/>
          </w:tcPr>
          <w:p>
            <w:pPr>
              <w:pStyle w:val="TableParagraph"/>
              <w:rPr>
                <w:sz w:val="20"/>
              </w:rPr>
            </w:pPr>
          </w:p>
        </w:tc>
        <w:tc>
          <w:tcPr>
            <w:tcW w:w="485" w:type="dxa"/>
          </w:tcPr>
          <w:p>
            <w:pPr>
              <w:pStyle w:val="TableParagraph"/>
              <w:rPr>
                <w:sz w:val="24"/>
              </w:rPr>
            </w:pPr>
          </w:p>
          <w:p>
            <w:pPr>
              <w:pStyle w:val="TableParagraph"/>
              <w:spacing w:before="8"/>
              <w:rPr>
                <w:sz w:val="30"/>
              </w:rPr>
            </w:pPr>
          </w:p>
          <w:p>
            <w:pPr>
              <w:pStyle w:val="TableParagraph"/>
              <w:ind w:left="162"/>
              <w:rPr>
                <w:sz w:val="22"/>
              </w:rPr>
            </w:pPr>
            <w:r>
              <w:rPr>
                <w:w w:val="100"/>
                <w:sz w:val="22"/>
              </w:rPr>
              <w:t>X</w:t>
            </w:r>
          </w:p>
        </w:tc>
        <w:tc>
          <w:tcPr>
            <w:tcW w:w="483" w:type="dxa"/>
          </w:tcPr>
          <w:p>
            <w:pPr>
              <w:pStyle w:val="TableParagraph"/>
              <w:rPr>
                <w:sz w:val="20"/>
              </w:rPr>
            </w:pPr>
          </w:p>
        </w:tc>
        <w:tc>
          <w:tcPr>
            <w:tcW w:w="3893" w:type="dxa"/>
          </w:tcPr>
          <w:p>
            <w:pPr>
              <w:pStyle w:val="TableParagraph"/>
              <w:ind w:left="106"/>
              <w:rPr>
                <w:sz w:val="22"/>
              </w:rPr>
            </w:pPr>
            <w:r>
              <w:rPr>
                <w:sz w:val="22"/>
              </w:rPr>
              <w:t>May be retroactive to first day of third month before month of application, if covered</w:t>
            </w:r>
            <w:r>
              <w:rPr>
                <w:spacing w:val="-9"/>
                <w:sz w:val="22"/>
              </w:rPr>
              <w:t> </w:t>
            </w:r>
            <w:r>
              <w:rPr>
                <w:sz w:val="22"/>
              </w:rPr>
              <w:t>medical</w:t>
            </w:r>
            <w:r>
              <w:rPr>
                <w:spacing w:val="-8"/>
                <w:sz w:val="22"/>
              </w:rPr>
              <w:t> </w:t>
            </w:r>
            <w:r>
              <w:rPr>
                <w:sz w:val="22"/>
              </w:rPr>
              <w:t>services</w:t>
            </w:r>
            <w:r>
              <w:rPr>
                <w:spacing w:val="-9"/>
                <w:sz w:val="22"/>
              </w:rPr>
              <w:t> </w:t>
            </w:r>
            <w:r>
              <w:rPr>
                <w:sz w:val="22"/>
              </w:rPr>
              <w:t>were</w:t>
            </w:r>
            <w:r>
              <w:rPr>
                <w:spacing w:val="-11"/>
                <w:sz w:val="22"/>
              </w:rPr>
              <w:t> </w:t>
            </w:r>
            <w:r>
              <w:rPr>
                <w:sz w:val="22"/>
              </w:rPr>
              <w:t>received during such period, and the applicant would have been eligible at the time</w:t>
            </w:r>
          </w:p>
          <w:p>
            <w:pPr>
              <w:pStyle w:val="TableParagraph"/>
              <w:spacing w:line="233" w:lineRule="exact"/>
              <w:ind w:left="106"/>
              <w:rPr>
                <w:sz w:val="22"/>
              </w:rPr>
            </w:pPr>
            <w:r>
              <w:rPr>
                <w:sz w:val="22"/>
              </w:rPr>
              <w:t>services</w:t>
            </w:r>
            <w:r>
              <w:rPr>
                <w:spacing w:val="-4"/>
                <w:sz w:val="22"/>
              </w:rPr>
              <w:t> </w:t>
            </w:r>
            <w:r>
              <w:rPr>
                <w:sz w:val="22"/>
              </w:rPr>
              <w:t>were</w:t>
            </w:r>
            <w:r>
              <w:rPr>
                <w:spacing w:val="-4"/>
                <w:sz w:val="22"/>
              </w:rPr>
              <w:t> </w:t>
            </w:r>
            <w:r>
              <w:rPr>
                <w:spacing w:val="-2"/>
                <w:sz w:val="22"/>
              </w:rPr>
              <w:t>provided.</w:t>
            </w:r>
          </w:p>
        </w:tc>
      </w:tr>
      <w:tr>
        <w:trPr>
          <w:trHeight w:val="254" w:hRule="atLeast"/>
        </w:trPr>
        <w:tc>
          <w:tcPr>
            <w:tcW w:w="9352" w:type="dxa"/>
            <w:gridSpan w:val="6"/>
          </w:tcPr>
          <w:p>
            <w:pPr>
              <w:pStyle w:val="TableParagraph"/>
              <w:spacing w:line="234" w:lineRule="exact"/>
              <w:ind w:left="1888" w:right="1878"/>
              <w:jc w:val="center"/>
              <w:rPr>
                <w:i/>
                <w:sz w:val="22"/>
              </w:rPr>
            </w:pPr>
            <w:r>
              <w:rPr>
                <w:i/>
                <w:spacing w:val="-2"/>
                <w:sz w:val="22"/>
              </w:rPr>
              <w:t>CommonHealth*</w:t>
            </w:r>
          </w:p>
        </w:tc>
      </w:tr>
      <w:tr>
        <w:trPr>
          <w:trHeight w:val="2781" w:hRule="atLeast"/>
        </w:trPr>
        <w:tc>
          <w:tcPr>
            <w:tcW w:w="2429"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59"/>
              <w:ind w:left="107"/>
              <w:rPr>
                <w:sz w:val="22"/>
              </w:rPr>
            </w:pPr>
            <w:r>
              <w:rPr>
                <w:sz w:val="22"/>
              </w:rPr>
              <w:t>Individuals</w:t>
            </w:r>
            <w:r>
              <w:rPr>
                <w:spacing w:val="-3"/>
                <w:sz w:val="22"/>
              </w:rPr>
              <w:t> </w:t>
            </w:r>
            <w:r>
              <w:rPr>
                <w:sz w:val="22"/>
              </w:rPr>
              <w:t>with</w:t>
            </w:r>
            <w:r>
              <w:rPr>
                <w:spacing w:val="-3"/>
                <w:sz w:val="22"/>
              </w:rPr>
              <w:t> </w:t>
            </w:r>
            <w:r>
              <w:rPr>
                <w:sz w:val="22"/>
              </w:rPr>
              <w:t>no</w:t>
            </w:r>
            <w:r>
              <w:rPr>
                <w:spacing w:val="-5"/>
                <w:sz w:val="22"/>
              </w:rPr>
              <w:t> TPL</w:t>
            </w:r>
          </w:p>
        </w:tc>
        <w:tc>
          <w:tcPr>
            <w:tcW w:w="1572" w:type="dxa"/>
          </w:tcPr>
          <w:p>
            <w:pPr>
              <w:pStyle w:val="TableParagraph"/>
              <w:spacing w:line="251" w:lineRule="exact"/>
              <w:ind w:left="107"/>
              <w:rPr>
                <w:sz w:val="22"/>
              </w:rPr>
            </w:pPr>
            <w:r>
              <w:rPr>
                <w:sz w:val="22"/>
              </w:rPr>
              <w:t>Managed</w:t>
            </w:r>
            <w:r>
              <w:rPr>
                <w:spacing w:val="-3"/>
                <w:sz w:val="22"/>
              </w:rPr>
              <w:t> </w:t>
            </w:r>
            <w:r>
              <w:rPr>
                <w:spacing w:val="-4"/>
                <w:sz w:val="22"/>
              </w:rPr>
              <w:t>Care</w:t>
            </w:r>
          </w:p>
          <w:p>
            <w:pPr>
              <w:pStyle w:val="TableParagraph"/>
              <w:spacing w:line="252" w:lineRule="exact"/>
              <w:ind w:left="107"/>
              <w:rPr>
                <w:sz w:val="22"/>
              </w:rPr>
            </w:pPr>
            <w:r>
              <w:rPr>
                <w:spacing w:val="-5"/>
                <w:sz w:val="22"/>
              </w:rPr>
              <w:t>**</w:t>
            </w:r>
          </w:p>
          <w:p>
            <w:pPr>
              <w:pStyle w:val="TableParagraph"/>
              <w:spacing w:before="1"/>
              <w:ind w:left="107" w:right="422"/>
              <w:rPr>
                <w:sz w:val="22"/>
              </w:rPr>
            </w:pPr>
            <w:r>
              <w:rPr>
                <w:sz w:val="22"/>
              </w:rPr>
              <w:t>(PCC</w:t>
            </w:r>
            <w:r>
              <w:rPr>
                <w:spacing w:val="-2"/>
                <w:sz w:val="22"/>
              </w:rPr>
              <w:t> </w:t>
            </w:r>
            <w:r>
              <w:rPr>
                <w:sz w:val="22"/>
              </w:rPr>
              <w:t>Plan, </w:t>
            </w:r>
            <w:r>
              <w:rPr>
                <w:spacing w:val="-4"/>
                <w:sz w:val="22"/>
              </w:rPr>
              <w:t>MCO, </w:t>
            </w:r>
            <w:r>
              <w:rPr>
                <w:sz w:val="22"/>
              </w:rPr>
              <w:t>PCACO,</w:t>
            </w:r>
            <w:r>
              <w:rPr>
                <w:spacing w:val="-14"/>
                <w:sz w:val="22"/>
              </w:rPr>
              <w:t> </w:t>
            </w:r>
            <w:r>
              <w:rPr>
                <w:sz w:val="22"/>
              </w:rPr>
              <w:t>or </w:t>
            </w:r>
            <w:r>
              <w:rPr>
                <w:spacing w:val="-2"/>
                <w:sz w:val="22"/>
              </w:rPr>
              <w:t>ACPP)**</w:t>
            </w:r>
          </w:p>
          <w:p>
            <w:pPr>
              <w:pStyle w:val="TableParagraph"/>
              <w:rPr>
                <w:sz w:val="22"/>
              </w:rPr>
            </w:pPr>
          </w:p>
          <w:p>
            <w:pPr>
              <w:pStyle w:val="TableParagraph"/>
              <w:ind w:left="107" w:right="170"/>
              <w:rPr>
                <w:sz w:val="22"/>
              </w:rPr>
            </w:pPr>
            <w:r>
              <w:rPr>
                <w:spacing w:val="-2"/>
                <w:sz w:val="22"/>
              </w:rPr>
              <w:t>Certain services </w:t>
            </w:r>
            <w:r>
              <w:rPr>
                <w:sz w:val="22"/>
              </w:rPr>
              <w:t>provided</w:t>
            </w:r>
            <w:r>
              <w:rPr>
                <w:spacing w:val="-14"/>
                <w:sz w:val="22"/>
              </w:rPr>
              <w:t> </w:t>
            </w:r>
            <w:r>
              <w:rPr>
                <w:sz w:val="22"/>
              </w:rPr>
              <w:t>via</w:t>
            </w:r>
          </w:p>
          <w:p>
            <w:pPr>
              <w:pStyle w:val="TableParagraph"/>
              <w:spacing w:line="233" w:lineRule="exact"/>
              <w:ind w:left="107"/>
              <w:rPr>
                <w:sz w:val="22"/>
              </w:rPr>
            </w:pPr>
            <w:r>
              <w:rPr>
                <w:spacing w:val="-5"/>
                <w:sz w:val="22"/>
              </w:rPr>
              <w:t>FFS</w:t>
            </w:r>
          </w:p>
        </w:tc>
        <w:tc>
          <w:tcPr>
            <w:tcW w:w="490"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59"/>
              <w:ind w:left="9"/>
              <w:jc w:val="center"/>
              <w:rPr>
                <w:sz w:val="22"/>
              </w:rPr>
            </w:pPr>
            <w:r>
              <w:rPr>
                <w:w w:val="100"/>
                <w:sz w:val="22"/>
              </w:rPr>
              <w:t>X</w:t>
            </w:r>
          </w:p>
        </w:tc>
        <w:tc>
          <w:tcPr>
            <w:tcW w:w="485" w:type="dxa"/>
          </w:tcPr>
          <w:p>
            <w:pPr>
              <w:pStyle w:val="TableParagraph"/>
              <w:rPr>
                <w:sz w:val="20"/>
              </w:rPr>
            </w:pPr>
          </w:p>
        </w:tc>
        <w:tc>
          <w:tcPr>
            <w:tcW w:w="483"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59"/>
              <w:ind w:left="5"/>
              <w:jc w:val="center"/>
              <w:rPr>
                <w:sz w:val="22"/>
              </w:rPr>
            </w:pPr>
            <w:r>
              <w:rPr>
                <w:w w:val="100"/>
                <w:sz w:val="22"/>
              </w:rPr>
              <w:t>X</w:t>
            </w:r>
          </w:p>
        </w:tc>
        <w:tc>
          <w:tcPr>
            <w:tcW w:w="3893" w:type="dxa"/>
          </w:tcPr>
          <w:p>
            <w:pPr>
              <w:pStyle w:val="TableParagraph"/>
              <w:rPr>
                <w:sz w:val="24"/>
              </w:rPr>
            </w:pPr>
          </w:p>
          <w:p>
            <w:pPr>
              <w:pStyle w:val="TableParagraph"/>
              <w:rPr>
                <w:sz w:val="24"/>
              </w:rPr>
            </w:pPr>
          </w:p>
          <w:p>
            <w:pPr>
              <w:pStyle w:val="TableParagraph"/>
              <w:spacing w:before="205"/>
              <w:ind w:left="106" w:right="136"/>
              <w:rPr>
                <w:sz w:val="22"/>
              </w:rPr>
            </w:pPr>
            <w:r>
              <w:rPr>
                <w:sz w:val="22"/>
              </w:rPr>
              <w:t>10 days prior to date of application (except for populations listed in STC 4.2 whose start date of coverage may be up to</w:t>
            </w:r>
            <w:r>
              <w:rPr>
                <w:spacing w:val="-4"/>
                <w:sz w:val="22"/>
              </w:rPr>
              <w:t> </w:t>
            </w:r>
            <w:r>
              <w:rPr>
                <w:sz w:val="22"/>
              </w:rPr>
              <w:t>the</w:t>
            </w:r>
            <w:r>
              <w:rPr>
                <w:spacing w:val="-4"/>
                <w:sz w:val="22"/>
              </w:rPr>
              <w:t> </w:t>
            </w:r>
            <w:r>
              <w:rPr>
                <w:sz w:val="22"/>
              </w:rPr>
              <w:t>first</w:t>
            </w:r>
            <w:r>
              <w:rPr>
                <w:spacing w:val="-3"/>
                <w:sz w:val="22"/>
              </w:rPr>
              <w:t> </w:t>
            </w:r>
            <w:r>
              <w:rPr>
                <w:sz w:val="22"/>
              </w:rPr>
              <w:t>day</w:t>
            </w:r>
            <w:r>
              <w:rPr>
                <w:spacing w:val="-7"/>
                <w:sz w:val="22"/>
              </w:rPr>
              <w:t> </w:t>
            </w:r>
            <w:r>
              <w:rPr>
                <w:sz w:val="22"/>
              </w:rPr>
              <w:t>of</w:t>
            </w:r>
            <w:r>
              <w:rPr>
                <w:spacing w:val="-3"/>
                <w:sz w:val="22"/>
              </w:rPr>
              <w:t> </w:t>
            </w:r>
            <w:r>
              <w:rPr>
                <w:sz w:val="22"/>
              </w:rPr>
              <w:t>the</w:t>
            </w:r>
            <w:r>
              <w:rPr>
                <w:spacing w:val="-4"/>
                <w:sz w:val="22"/>
              </w:rPr>
              <w:t> </w:t>
            </w:r>
            <w:r>
              <w:rPr>
                <w:sz w:val="22"/>
              </w:rPr>
              <w:t>third</w:t>
            </w:r>
            <w:r>
              <w:rPr>
                <w:spacing w:val="-7"/>
                <w:sz w:val="22"/>
              </w:rPr>
              <w:t> </w:t>
            </w:r>
            <w:r>
              <w:rPr>
                <w:sz w:val="22"/>
              </w:rPr>
              <w:t>month</w:t>
            </w:r>
            <w:r>
              <w:rPr>
                <w:spacing w:val="-4"/>
                <w:sz w:val="22"/>
              </w:rPr>
              <w:t> </w:t>
            </w:r>
            <w:r>
              <w:rPr>
                <w:sz w:val="22"/>
              </w:rPr>
              <w:t>prior</w:t>
            </w:r>
            <w:r>
              <w:rPr>
                <w:spacing w:val="-3"/>
                <w:sz w:val="22"/>
              </w:rPr>
              <w:t> </w:t>
            </w:r>
            <w:r>
              <w:rPr>
                <w:sz w:val="22"/>
              </w:rPr>
              <w:t>to the date of application.)</w:t>
            </w:r>
          </w:p>
        </w:tc>
      </w:tr>
      <w:tr>
        <w:trPr>
          <w:trHeight w:val="1266" w:hRule="atLeast"/>
        </w:trPr>
        <w:tc>
          <w:tcPr>
            <w:tcW w:w="2429" w:type="dxa"/>
          </w:tcPr>
          <w:p>
            <w:pPr>
              <w:pStyle w:val="TableParagraph"/>
              <w:rPr>
                <w:sz w:val="24"/>
              </w:rPr>
            </w:pPr>
          </w:p>
          <w:p>
            <w:pPr>
              <w:pStyle w:val="TableParagraph"/>
              <w:spacing w:before="10"/>
              <w:rPr>
                <w:sz w:val="19"/>
              </w:rPr>
            </w:pPr>
          </w:p>
          <w:p>
            <w:pPr>
              <w:pStyle w:val="TableParagraph"/>
              <w:ind w:left="107"/>
              <w:rPr>
                <w:sz w:val="22"/>
              </w:rPr>
            </w:pPr>
            <w:r>
              <w:rPr>
                <w:sz w:val="22"/>
              </w:rPr>
              <w:t>Adults</w:t>
            </w:r>
            <w:r>
              <w:rPr>
                <w:spacing w:val="-4"/>
                <w:sz w:val="22"/>
              </w:rPr>
              <w:t> </w:t>
            </w:r>
            <w:r>
              <w:rPr>
                <w:sz w:val="22"/>
              </w:rPr>
              <w:t>with</w:t>
            </w:r>
            <w:r>
              <w:rPr>
                <w:spacing w:val="-5"/>
                <w:sz w:val="22"/>
              </w:rPr>
              <w:t> TPL</w:t>
            </w:r>
          </w:p>
        </w:tc>
        <w:tc>
          <w:tcPr>
            <w:tcW w:w="1572" w:type="dxa"/>
          </w:tcPr>
          <w:p>
            <w:pPr>
              <w:pStyle w:val="TableParagraph"/>
              <w:spacing w:before="11"/>
              <w:rPr>
                <w:sz w:val="21"/>
              </w:rPr>
            </w:pPr>
          </w:p>
          <w:p>
            <w:pPr>
              <w:pStyle w:val="TableParagraph"/>
              <w:ind w:left="107" w:right="245"/>
              <w:rPr>
                <w:sz w:val="22"/>
              </w:rPr>
            </w:pPr>
            <w:r>
              <w:rPr>
                <w:sz w:val="22"/>
              </w:rPr>
              <w:t>Receive</w:t>
            </w:r>
            <w:r>
              <w:rPr>
                <w:spacing w:val="-14"/>
                <w:sz w:val="22"/>
              </w:rPr>
              <w:t> </w:t>
            </w:r>
            <w:r>
              <w:rPr>
                <w:sz w:val="22"/>
              </w:rPr>
              <w:t>wrap benefits via </w:t>
            </w:r>
            <w:r>
              <w:rPr>
                <w:spacing w:val="-4"/>
                <w:sz w:val="22"/>
              </w:rPr>
              <w:t>FFS</w:t>
            </w:r>
          </w:p>
        </w:tc>
        <w:tc>
          <w:tcPr>
            <w:tcW w:w="490" w:type="dxa"/>
          </w:tcPr>
          <w:p>
            <w:pPr>
              <w:pStyle w:val="TableParagraph"/>
              <w:rPr>
                <w:sz w:val="20"/>
              </w:rPr>
            </w:pPr>
          </w:p>
        </w:tc>
        <w:tc>
          <w:tcPr>
            <w:tcW w:w="485" w:type="dxa"/>
          </w:tcPr>
          <w:p>
            <w:pPr>
              <w:pStyle w:val="TableParagraph"/>
              <w:rPr>
                <w:sz w:val="20"/>
              </w:rPr>
            </w:pPr>
          </w:p>
        </w:tc>
        <w:tc>
          <w:tcPr>
            <w:tcW w:w="483" w:type="dxa"/>
          </w:tcPr>
          <w:p>
            <w:pPr>
              <w:pStyle w:val="TableParagraph"/>
              <w:rPr>
                <w:sz w:val="24"/>
              </w:rPr>
            </w:pPr>
          </w:p>
          <w:p>
            <w:pPr>
              <w:pStyle w:val="TableParagraph"/>
              <w:spacing w:before="10"/>
              <w:rPr>
                <w:sz w:val="19"/>
              </w:rPr>
            </w:pPr>
          </w:p>
          <w:p>
            <w:pPr>
              <w:pStyle w:val="TableParagraph"/>
              <w:ind w:left="6"/>
              <w:jc w:val="center"/>
              <w:rPr>
                <w:sz w:val="22"/>
              </w:rPr>
            </w:pPr>
            <w:r>
              <w:rPr>
                <w:w w:val="100"/>
                <w:sz w:val="22"/>
              </w:rPr>
              <w:t>X</w:t>
            </w:r>
          </w:p>
        </w:tc>
        <w:tc>
          <w:tcPr>
            <w:tcW w:w="3893" w:type="dxa"/>
          </w:tcPr>
          <w:p>
            <w:pPr>
              <w:pStyle w:val="TableParagraph"/>
              <w:spacing w:before="1"/>
              <w:ind w:left="106" w:right="136"/>
              <w:rPr>
                <w:sz w:val="22"/>
              </w:rPr>
            </w:pPr>
            <w:r>
              <w:rPr>
                <w:sz w:val="22"/>
              </w:rPr>
              <w:t>10 days prior to date of application (except for populations listed in STC 4.2 whose start date of coverage may be up to</w:t>
            </w:r>
            <w:r>
              <w:rPr>
                <w:spacing w:val="-4"/>
                <w:sz w:val="22"/>
              </w:rPr>
              <w:t> </w:t>
            </w:r>
            <w:r>
              <w:rPr>
                <w:sz w:val="22"/>
              </w:rPr>
              <w:t>the</w:t>
            </w:r>
            <w:r>
              <w:rPr>
                <w:spacing w:val="-4"/>
                <w:sz w:val="22"/>
              </w:rPr>
              <w:t> </w:t>
            </w:r>
            <w:r>
              <w:rPr>
                <w:sz w:val="22"/>
              </w:rPr>
              <w:t>first</w:t>
            </w:r>
            <w:r>
              <w:rPr>
                <w:spacing w:val="-3"/>
                <w:sz w:val="22"/>
              </w:rPr>
              <w:t> </w:t>
            </w:r>
            <w:r>
              <w:rPr>
                <w:sz w:val="22"/>
              </w:rPr>
              <w:t>day</w:t>
            </w:r>
            <w:r>
              <w:rPr>
                <w:spacing w:val="-7"/>
                <w:sz w:val="22"/>
              </w:rPr>
              <w:t> </w:t>
            </w:r>
            <w:r>
              <w:rPr>
                <w:sz w:val="22"/>
              </w:rPr>
              <w:t>of</w:t>
            </w:r>
            <w:r>
              <w:rPr>
                <w:spacing w:val="-3"/>
                <w:sz w:val="22"/>
              </w:rPr>
              <w:t> </w:t>
            </w:r>
            <w:r>
              <w:rPr>
                <w:sz w:val="22"/>
              </w:rPr>
              <w:t>the</w:t>
            </w:r>
            <w:r>
              <w:rPr>
                <w:spacing w:val="-4"/>
                <w:sz w:val="22"/>
              </w:rPr>
              <w:t> </w:t>
            </w:r>
            <w:r>
              <w:rPr>
                <w:sz w:val="22"/>
              </w:rPr>
              <w:t>third</w:t>
            </w:r>
            <w:r>
              <w:rPr>
                <w:spacing w:val="-7"/>
                <w:sz w:val="22"/>
              </w:rPr>
              <w:t> </w:t>
            </w:r>
            <w:r>
              <w:rPr>
                <w:sz w:val="22"/>
              </w:rPr>
              <w:t>month</w:t>
            </w:r>
            <w:r>
              <w:rPr>
                <w:spacing w:val="-4"/>
                <w:sz w:val="22"/>
              </w:rPr>
              <w:t> </w:t>
            </w:r>
            <w:r>
              <w:rPr>
                <w:sz w:val="22"/>
              </w:rPr>
              <w:t>prior</w:t>
            </w:r>
            <w:r>
              <w:rPr>
                <w:spacing w:val="-3"/>
                <w:sz w:val="22"/>
              </w:rPr>
              <w:t> </w:t>
            </w:r>
            <w:r>
              <w:rPr>
                <w:sz w:val="22"/>
              </w:rPr>
              <w:t>to</w:t>
            </w:r>
          </w:p>
          <w:p>
            <w:pPr>
              <w:pStyle w:val="TableParagraph"/>
              <w:spacing w:line="234" w:lineRule="exact"/>
              <w:ind w:left="106"/>
              <w:rPr>
                <w:sz w:val="22"/>
              </w:rPr>
            </w:pPr>
            <w:r>
              <w:rPr>
                <w:sz w:val="22"/>
              </w:rPr>
              <w:t>the</w:t>
            </w:r>
            <w:r>
              <w:rPr>
                <w:spacing w:val="-1"/>
                <w:sz w:val="22"/>
              </w:rPr>
              <w:t> </w:t>
            </w:r>
            <w:r>
              <w:rPr>
                <w:sz w:val="22"/>
              </w:rPr>
              <w:t>date</w:t>
            </w:r>
            <w:r>
              <w:rPr>
                <w:spacing w:val="-2"/>
                <w:sz w:val="22"/>
              </w:rPr>
              <w:t> </w:t>
            </w:r>
            <w:r>
              <w:rPr>
                <w:sz w:val="22"/>
              </w:rPr>
              <w:t>of</w:t>
            </w:r>
            <w:r>
              <w:rPr>
                <w:spacing w:val="-2"/>
                <w:sz w:val="22"/>
              </w:rPr>
              <w:t> application.)</w:t>
            </w:r>
          </w:p>
        </w:tc>
      </w:tr>
    </w:tbl>
    <w:p>
      <w:pPr>
        <w:spacing w:after="0" w:line="234" w:lineRule="exact"/>
        <w:rPr>
          <w:sz w:val="22"/>
        </w:rPr>
        <w:sectPr>
          <w:type w:val="continuous"/>
          <w:pgSz w:w="12240" w:h="15840"/>
          <w:pgMar w:header="0" w:footer="1201" w:top="1420" w:bottom="1753" w:left="1200" w:right="400"/>
        </w:sectPr>
      </w:pPr>
    </w:p>
    <w:tbl>
      <w:tblPr>
        <w:tblW w:w="0" w:type="auto"/>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9"/>
        <w:gridCol w:w="1572"/>
        <w:gridCol w:w="490"/>
        <w:gridCol w:w="485"/>
        <w:gridCol w:w="483"/>
        <w:gridCol w:w="3893"/>
      </w:tblGrid>
      <w:tr>
        <w:trPr>
          <w:trHeight w:val="801" w:hRule="atLeast"/>
        </w:trPr>
        <w:tc>
          <w:tcPr>
            <w:tcW w:w="9352" w:type="dxa"/>
            <w:gridSpan w:val="6"/>
            <w:shd w:val="clear" w:color="auto" w:fill="DBE6F1"/>
          </w:tcPr>
          <w:p>
            <w:pPr>
              <w:pStyle w:val="TableParagraph"/>
              <w:spacing w:line="244" w:lineRule="auto" w:before="145"/>
              <w:ind w:left="4209" w:hanging="4004"/>
              <w:rPr>
                <w:b/>
                <w:sz w:val="22"/>
              </w:rPr>
            </w:pPr>
            <w:r>
              <w:rPr>
                <w:b/>
                <w:sz w:val="22"/>
              </w:rPr>
              <w:t>Table</w:t>
            </w:r>
            <w:r>
              <w:rPr>
                <w:b/>
                <w:spacing w:val="-2"/>
                <w:sz w:val="22"/>
              </w:rPr>
              <w:t> </w:t>
            </w:r>
            <w:r>
              <w:rPr>
                <w:b/>
                <w:sz w:val="22"/>
              </w:rPr>
              <w:t>9:</w:t>
            </w:r>
            <w:r>
              <w:rPr>
                <w:b/>
                <w:spacing w:val="-1"/>
                <w:sz w:val="22"/>
              </w:rPr>
              <w:t> </w:t>
            </w:r>
            <w:r>
              <w:rPr>
                <w:b/>
                <w:sz w:val="22"/>
              </w:rPr>
              <w:t>Delivery</w:t>
            </w:r>
            <w:r>
              <w:rPr>
                <w:b/>
                <w:spacing w:val="-2"/>
                <w:sz w:val="22"/>
              </w:rPr>
              <w:t> </w:t>
            </w:r>
            <w:r>
              <w:rPr>
                <w:b/>
                <w:sz w:val="22"/>
              </w:rPr>
              <w:t>System</w:t>
            </w:r>
            <w:r>
              <w:rPr>
                <w:b/>
                <w:spacing w:val="-4"/>
                <w:sz w:val="22"/>
              </w:rPr>
              <w:t> </w:t>
            </w:r>
            <w:r>
              <w:rPr>
                <w:b/>
                <w:sz w:val="22"/>
              </w:rPr>
              <w:t>and</w:t>
            </w:r>
            <w:r>
              <w:rPr>
                <w:b/>
                <w:spacing w:val="-3"/>
                <w:sz w:val="22"/>
              </w:rPr>
              <w:t> </w:t>
            </w:r>
            <w:r>
              <w:rPr>
                <w:b/>
                <w:sz w:val="22"/>
              </w:rPr>
              <w:t>Coverage</w:t>
            </w:r>
            <w:r>
              <w:rPr>
                <w:b/>
                <w:spacing w:val="-4"/>
                <w:sz w:val="22"/>
              </w:rPr>
              <w:t> </w:t>
            </w:r>
            <w:r>
              <w:rPr>
                <w:b/>
                <w:sz w:val="22"/>
              </w:rPr>
              <w:t>for</w:t>
            </w:r>
            <w:r>
              <w:rPr>
                <w:b/>
                <w:spacing w:val="-2"/>
                <w:sz w:val="22"/>
              </w:rPr>
              <w:t> </w:t>
            </w:r>
            <w:r>
              <w:rPr>
                <w:b/>
                <w:sz w:val="22"/>
              </w:rPr>
              <w:t>Individuals</w:t>
            </w:r>
            <w:r>
              <w:rPr>
                <w:b/>
                <w:spacing w:val="-2"/>
                <w:sz w:val="22"/>
              </w:rPr>
              <w:t> </w:t>
            </w:r>
            <w:r>
              <w:rPr>
                <w:b/>
                <w:sz w:val="22"/>
              </w:rPr>
              <w:t>under</w:t>
            </w:r>
            <w:r>
              <w:rPr>
                <w:b/>
                <w:spacing w:val="-2"/>
                <w:sz w:val="22"/>
              </w:rPr>
              <w:t> </w:t>
            </w:r>
            <w:r>
              <w:rPr>
                <w:b/>
                <w:sz w:val="22"/>
              </w:rPr>
              <w:t>65</w:t>
            </w:r>
            <w:r>
              <w:rPr>
                <w:b/>
                <w:spacing w:val="-5"/>
                <w:sz w:val="22"/>
              </w:rPr>
              <w:t> </w:t>
            </w:r>
            <w:r>
              <w:rPr>
                <w:b/>
                <w:sz w:val="22"/>
              </w:rPr>
              <w:t>in</w:t>
            </w:r>
            <w:r>
              <w:rPr>
                <w:b/>
                <w:spacing w:val="-3"/>
                <w:sz w:val="22"/>
              </w:rPr>
              <w:t> </w:t>
            </w:r>
            <w:r>
              <w:rPr>
                <w:b/>
                <w:sz w:val="22"/>
              </w:rPr>
              <w:t>MassHealth</w:t>
            </w:r>
            <w:r>
              <w:rPr>
                <w:b/>
                <w:spacing w:val="-3"/>
                <w:sz w:val="22"/>
              </w:rPr>
              <w:t> </w:t>
            </w:r>
            <w:r>
              <w:rPr>
                <w:b/>
                <w:sz w:val="22"/>
              </w:rPr>
              <w:t>Demonstration </w:t>
            </w:r>
            <w:r>
              <w:rPr>
                <w:b/>
                <w:spacing w:val="-2"/>
                <w:sz w:val="22"/>
              </w:rPr>
              <w:t>Programs</w:t>
            </w:r>
          </w:p>
        </w:tc>
      </w:tr>
      <w:tr>
        <w:trPr>
          <w:trHeight w:val="1502" w:hRule="atLeast"/>
        </w:trPr>
        <w:tc>
          <w:tcPr>
            <w:tcW w:w="2429" w:type="dxa"/>
            <w:shd w:val="clear" w:color="auto" w:fill="DBE6F1"/>
          </w:tcPr>
          <w:p>
            <w:pPr>
              <w:pStyle w:val="TableParagraph"/>
              <w:rPr>
                <w:sz w:val="24"/>
              </w:rPr>
            </w:pPr>
          </w:p>
          <w:p>
            <w:pPr>
              <w:pStyle w:val="TableParagraph"/>
              <w:spacing w:before="1"/>
              <w:rPr>
                <w:sz w:val="30"/>
              </w:rPr>
            </w:pPr>
          </w:p>
          <w:p>
            <w:pPr>
              <w:pStyle w:val="TableParagraph"/>
              <w:ind w:left="501"/>
              <w:rPr>
                <w:b/>
                <w:sz w:val="22"/>
              </w:rPr>
            </w:pPr>
            <w:r>
              <w:rPr>
                <w:b/>
                <w:sz w:val="22"/>
              </w:rPr>
              <w:t>Coverage</w:t>
            </w:r>
            <w:r>
              <w:rPr>
                <w:b/>
                <w:spacing w:val="-2"/>
                <w:sz w:val="22"/>
              </w:rPr>
              <w:t> </w:t>
            </w:r>
            <w:r>
              <w:rPr>
                <w:b/>
                <w:spacing w:val="-4"/>
                <w:sz w:val="22"/>
              </w:rPr>
              <w:t>Type</w:t>
            </w:r>
          </w:p>
        </w:tc>
        <w:tc>
          <w:tcPr>
            <w:tcW w:w="1572" w:type="dxa"/>
            <w:shd w:val="clear" w:color="auto" w:fill="DBE6F1"/>
          </w:tcPr>
          <w:p>
            <w:pPr>
              <w:pStyle w:val="TableParagraph"/>
              <w:rPr>
                <w:sz w:val="24"/>
              </w:rPr>
            </w:pPr>
          </w:p>
          <w:p>
            <w:pPr>
              <w:pStyle w:val="TableParagraph"/>
              <w:rPr>
                <w:sz w:val="19"/>
              </w:rPr>
            </w:pPr>
          </w:p>
          <w:p>
            <w:pPr>
              <w:pStyle w:val="TableParagraph"/>
              <w:ind w:left="182" w:right="170" w:firstLine="204"/>
              <w:rPr>
                <w:b/>
                <w:sz w:val="22"/>
              </w:rPr>
            </w:pPr>
            <w:r>
              <w:rPr>
                <w:b/>
                <w:spacing w:val="-2"/>
                <w:sz w:val="22"/>
              </w:rPr>
              <w:t>Delivery </w:t>
            </w:r>
            <w:r>
              <w:rPr>
                <w:b/>
                <w:sz w:val="22"/>
              </w:rPr>
              <w:t>System</w:t>
            </w:r>
            <w:r>
              <w:rPr>
                <w:b/>
                <w:spacing w:val="-14"/>
                <w:sz w:val="22"/>
              </w:rPr>
              <w:t> </w:t>
            </w:r>
            <w:r>
              <w:rPr>
                <w:b/>
                <w:sz w:val="22"/>
              </w:rPr>
              <w:t>Type</w:t>
            </w:r>
          </w:p>
        </w:tc>
        <w:tc>
          <w:tcPr>
            <w:tcW w:w="490" w:type="dxa"/>
            <w:shd w:val="clear" w:color="auto" w:fill="DBE6F1"/>
            <w:textDirection w:val="tbRl"/>
          </w:tcPr>
          <w:p>
            <w:pPr>
              <w:pStyle w:val="TableParagraph"/>
              <w:spacing w:before="109"/>
              <w:ind w:left="218"/>
              <w:rPr>
                <w:b/>
                <w:sz w:val="22"/>
              </w:rPr>
            </w:pPr>
            <w:r>
              <w:rPr>
                <w:b/>
                <w:spacing w:val="-2"/>
                <w:sz w:val="22"/>
              </w:rPr>
              <w:t>Mandatory</w:t>
            </w:r>
          </w:p>
        </w:tc>
        <w:tc>
          <w:tcPr>
            <w:tcW w:w="485" w:type="dxa"/>
            <w:shd w:val="clear" w:color="auto" w:fill="DBE6F1"/>
            <w:textDirection w:val="tbRl"/>
          </w:tcPr>
          <w:p>
            <w:pPr>
              <w:pStyle w:val="TableParagraph"/>
              <w:spacing w:before="107"/>
              <w:ind w:left="268"/>
              <w:rPr>
                <w:b/>
                <w:sz w:val="22"/>
              </w:rPr>
            </w:pPr>
            <w:r>
              <w:rPr>
                <w:b/>
                <w:spacing w:val="-2"/>
                <w:sz w:val="22"/>
              </w:rPr>
              <w:t>Voluntary</w:t>
            </w:r>
          </w:p>
        </w:tc>
        <w:tc>
          <w:tcPr>
            <w:tcW w:w="483" w:type="dxa"/>
            <w:shd w:val="clear" w:color="auto" w:fill="DBE6F1"/>
            <w:textDirection w:val="tbRl"/>
          </w:tcPr>
          <w:p>
            <w:pPr>
              <w:pStyle w:val="TableParagraph"/>
              <w:spacing w:before="108"/>
              <w:ind w:left="295"/>
              <w:rPr>
                <w:b/>
                <w:sz w:val="22"/>
              </w:rPr>
            </w:pPr>
            <w:r>
              <w:rPr>
                <w:b/>
                <w:sz w:val="22"/>
              </w:rPr>
              <w:t>FFS</w:t>
            </w:r>
            <w:r>
              <w:rPr>
                <w:b/>
                <w:spacing w:val="-5"/>
                <w:sz w:val="22"/>
              </w:rPr>
              <w:t> </w:t>
            </w:r>
            <w:r>
              <w:rPr>
                <w:b/>
                <w:spacing w:val="-4"/>
                <w:sz w:val="22"/>
              </w:rPr>
              <w:t>Only</w:t>
            </w:r>
          </w:p>
        </w:tc>
        <w:tc>
          <w:tcPr>
            <w:tcW w:w="3893" w:type="dxa"/>
            <w:shd w:val="clear" w:color="auto" w:fill="DBE6F1"/>
          </w:tcPr>
          <w:p>
            <w:pPr>
              <w:pStyle w:val="TableParagraph"/>
              <w:rPr>
                <w:sz w:val="24"/>
              </w:rPr>
            </w:pPr>
          </w:p>
          <w:p>
            <w:pPr>
              <w:pStyle w:val="TableParagraph"/>
              <w:spacing w:before="1"/>
              <w:rPr>
                <w:sz w:val="30"/>
              </w:rPr>
            </w:pPr>
          </w:p>
          <w:p>
            <w:pPr>
              <w:pStyle w:val="TableParagraph"/>
              <w:ind w:left="701"/>
              <w:rPr>
                <w:b/>
                <w:sz w:val="22"/>
              </w:rPr>
            </w:pPr>
            <w:r>
              <w:rPr>
                <w:b/>
                <w:sz w:val="22"/>
              </w:rPr>
              <w:t>Start</w:t>
            </w:r>
            <w:r>
              <w:rPr>
                <w:b/>
                <w:spacing w:val="-4"/>
                <w:sz w:val="22"/>
              </w:rPr>
              <w:t> </w:t>
            </w:r>
            <w:r>
              <w:rPr>
                <w:b/>
                <w:sz w:val="22"/>
              </w:rPr>
              <w:t>Date</w:t>
            </w:r>
            <w:r>
              <w:rPr>
                <w:b/>
                <w:spacing w:val="-4"/>
                <w:sz w:val="22"/>
              </w:rPr>
              <w:t> </w:t>
            </w:r>
            <w:r>
              <w:rPr>
                <w:b/>
                <w:sz w:val="22"/>
              </w:rPr>
              <w:t>of</w:t>
            </w:r>
            <w:r>
              <w:rPr>
                <w:b/>
                <w:spacing w:val="1"/>
                <w:sz w:val="22"/>
              </w:rPr>
              <w:t> </w:t>
            </w:r>
            <w:r>
              <w:rPr>
                <w:b/>
                <w:spacing w:val="-2"/>
                <w:sz w:val="22"/>
              </w:rPr>
              <w:t>Coverage***</w:t>
            </w:r>
          </w:p>
        </w:tc>
      </w:tr>
      <w:tr>
        <w:trPr>
          <w:trHeight w:val="2022" w:hRule="atLeast"/>
        </w:trPr>
        <w:tc>
          <w:tcPr>
            <w:tcW w:w="2429" w:type="dxa"/>
          </w:tcPr>
          <w:p>
            <w:pPr>
              <w:pStyle w:val="TableParagraph"/>
              <w:rPr>
                <w:sz w:val="24"/>
              </w:rPr>
            </w:pPr>
          </w:p>
          <w:p>
            <w:pPr>
              <w:pStyle w:val="TableParagraph"/>
              <w:rPr>
                <w:sz w:val="24"/>
              </w:rPr>
            </w:pPr>
          </w:p>
          <w:p>
            <w:pPr>
              <w:pStyle w:val="TableParagraph"/>
              <w:spacing w:before="10"/>
              <w:rPr>
                <w:sz w:val="28"/>
              </w:rPr>
            </w:pPr>
          </w:p>
          <w:p>
            <w:pPr>
              <w:pStyle w:val="TableParagraph"/>
              <w:ind w:left="107"/>
              <w:rPr>
                <w:sz w:val="22"/>
              </w:rPr>
            </w:pPr>
            <w:r>
              <w:rPr>
                <w:sz w:val="22"/>
              </w:rPr>
              <w:t>Children</w:t>
            </w:r>
            <w:r>
              <w:rPr>
                <w:spacing w:val="-3"/>
                <w:sz w:val="22"/>
              </w:rPr>
              <w:t> </w:t>
            </w:r>
            <w:r>
              <w:rPr>
                <w:sz w:val="22"/>
              </w:rPr>
              <w:t>with</w:t>
            </w:r>
            <w:r>
              <w:rPr>
                <w:spacing w:val="-4"/>
                <w:sz w:val="22"/>
              </w:rPr>
              <w:t> </w:t>
            </w:r>
            <w:r>
              <w:rPr>
                <w:spacing w:val="-5"/>
                <w:sz w:val="22"/>
              </w:rPr>
              <w:t>TPL</w:t>
            </w:r>
          </w:p>
        </w:tc>
        <w:tc>
          <w:tcPr>
            <w:tcW w:w="1572" w:type="dxa"/>
          </w:tcPr>
          <w:p>
            <w:pPr>
              <w:pStyle w:val="TableParagraph"/>
              <w:ind w:left="107" w:right="269"/>
              <w:rPr>
                <w:sz w:val="22"/>
              </w:rPr>
            </w:pPr>
            <w:r>
              <w:rPr>
                <w:spacing w:val="-2"/>
                <w:sz w:val="22"/>
              </w:rPr>
              <w:t>Receive </w:t>
            </w:r>
            <w:r>
              <w:rPr>
                <w:sz w:val="22"/>
              </w:rPr>
              <w:t>benefits FFS except for </w:t>
            </w:r>
            <w:r>
              <w:rPr>
                <w:spacing w:val="-2"/>
                <w:sz w:val="22"/>
              </w:rPr>
              <w:t>behavioral </w:t>
            </w:r>
            <w:r>
              <w:rPr>
                <w:sz w:val="22"/>
              </w:rPr>
              <w:t>health via </w:t>
            </w:r>
            <w:r>
              <w:rPr>
                <w:spacing w:val="-2"/>
                <w:sz w:val="22"/>
              </w:rPr>
              <w:t>mandatory </w:t>
            </w:r>
            <w:r>
              <w:rPr>
                <w:sz w:val="22"/>
              </w:rPr>
              <w:t>enrollment</w:t>
            </w:r>
            <w:r>
              <w:rPr>
                <w:spacing w:val="-14"/>
                <w:sz w:val="22"/>
              </w:rPr>
              <w:t> </w:t>
            </w:r>
            <w:r>
              <w:rPr>
                <w:sz w:val="22"/>
              </w:rPr>
              <w:t>in</w:t>
            </w:r>
          </w:p>
          <w:p>
            <w:pPr>
              <w:pStyle w:val="TableParagraph"/>
              <w:spacing w:line="233" w:lineRule="exact"/>
              <w:ind w:left="107"/>
              <w:rPr>
                <w:sz w:val="22"/>
              </w:rPr>
            </w:pPr>
            <w:r>
              <w:rPr>
                <w:sz w:val="22"/>
              </w:rPr>
              <w:t>BHP</w:t>
            </w:r>
            <w:r>
              <w:rPr>
                <w:spacing w:val="-4"/>
                <w:sz w:val="22"/>
              </w:rPr>
              <w:t> PIHP</w:t>
            </w:r>
          </w:p>
        </w:tc>
        <w:tc>
          <w:tcPr>
            <w:tcW w:w="490" w:type="dxa"/>
          </w:tcPr>
          <w:p>
            <w:pPr>
              <w:pStyle w:val="TableParagraph"/>
              <w:rPr>
                <w:sz w:val="24"/>
              </w:rPr>
            </w:pPr>
          </w:p>
          <w:p>
            <w:pPr>
              <w:pStyle w:val="TableParagraph"/>
              <w:rPr>
                <w:sz w:val="24"/>
              </w:rPr>
            </w:pPr>
          </w:p>
          <w:p>
            <w:pPr>
              <w:pStyle w:val="TableParagraph"/>
              <w:spacing w:before="10"/>
              <w:rPr>
                <w:sz w:val="28"/>
              </w:rPr>
            </w:pPr>
          </w:p>
          <w:p>
            <w:pPr>
              <w:pStyle w:val="TableParagraph"/>
              <w:ind w:left="9"/>
              <w:jc w:val="center"/>
              <w:rPr>
                <w:sz w:val="22"/>
              </w:rPr>
            </w:pPr>
            <w:r>
              <w:rPr>
                <w:w w:val="100"/>
                <w:sz w:val="22"/>
              </w:rPr>
              <w:t>X</w:t>
            </w:r>
          </w:p>
        </w:tc>
        <w:tc>
          <w:tcPr>
            <w:tcW w:w="485" w:type="dxa"/>
          </w:tcPr>
          <w:p>
            <w:pPr>
              <w:pStyle w:val="TableParagraph"/>
              <w:rPr>
                <w:sz w:val="20"/>
              </w:rPr>
            </w:pPr>
          </w:p>
        </w:tc>
        <w:tc>
          <w:tcPr>
            <w:tcW w:w="483" w:type="dxa"/>
          </w:tcPr>
          <w:p>
            <w:pPr>
              <w:pStyle w:val="TableParagraph"/>
              <w:rPr>
                <w:sz w:val="24"/>
              </w:rPr>
            </w:pPr>
          </w:p>
          <w:p>
            <w:pPr>
              <w:pStyle w:val="TableParagraph"/>
              <w:rPr>
                <w:sz w:val="24"/>
              </w:rPr>
            </w:pPr>
          </w:p>
          <w:p>
            <w:pPr>
              <w:pStyle w:val="TableParagraph"/>
              <w:spacing w:before="10"/>
              <w:rPr>
                <w:sz w:val="28"/>
              </w:rPr>
            </w:pPr>
          </w:p>
          <w:p>
            <w:pPr>
              <w:pStyle w:val="TableParagraph"/>
              <w:ind w:left="5"/>
              <w:jc w:val="center"/>
              <w:rPr>
                <w:sz w:val="22"/>
              </w:rPr>
            </w:pPr>
            <w:r>
              <w:rPr>
                <w:w w:val="100"/>
                <w:sz w:val="22"/>
              </w:rPr>
              <w:t>X</w:t>
            </w:r>
          </w:p>
        </w:tc>
        <w:tc>
          <w:tcPr>
            <w:tcW w:w="3893" w:type="dxa"/>
          </w:tcPr>
          <w:p>
            <w:pPr>
              <w:pStyle w:val="TableParagraph"/>
              <w:spacing w:before="9"/>
              <w:rPr>
                <w:sz w:val="32"/>
              </w:rPr>
            </w:pPr>
          </w:p>
          <w:p>
            <w:pPr>
              <w:pStyle w:val="TableParagraph"/>
              <w:ind w:left="106" w:right="136"/>
              <w:rPr>
                <w:sz w:val="22"/>
              </w:rPr>
            </w:pPr>
            <w:r>
              <w:rPr>
                <w:sz w:val="22"/>
              </w:rPr>
              <w:t>10 days prior to date of application (except for populations listed in STC 4.2 whose start date of coverage may be up to</w:t>
            </w:r>
            <w:r>
              <w:rPr>
                <w:spacing w:val="-4"/>
                <w:sz w:val="22"/>
              </w:rPr>
              <w:t> </w:t>
            </w:r>
            <w:r>
              <w:rPr>
                <w:sz w:val="22"/>
              </w:rPr>
              <w:t>the</w:t>
            </w:r>
            <w:r>
              <w:rPr>
                <w:spacing w:val="-4"/>
                <w:sz w:val="22"/>
              </w:rPr>
              <w:t> </w:t>
            </w:r>
            <w:r>
              <w:rPr>
                <w:sz w:val="22"/>
              </w:rPr>
              <w:t>first</w:t>
            </w:r>
            <w:r>
              <w:rPr>
                <w:spacing w:val="-3"/>
                <w:sz w:val="22"/>
              </w:rPr>
              <w:t> </w:t>
            </w:r>
            <w:r>
              <w:rPr>
                <w:sz w:val="22"/>
              </w:rPr>
              <w:t>day</w:t>
            </w:r>
            <w:r>
              <w:rPr>
                <w:spacing w:val="-7"/>
                <w:sz w:val="22"/>
              </w:rPr>
              <w:t> </w:t>
            </w:r>
            <w:r>
              <w:rPr>
                <w:sz w:val="22"/>
              </w:rPr>
              <w:t>of</w:t>
            </w:r>
            <w:r>
              <w:rPr>
                <w:spacing w:val="-3"/>
                <w:sz w:val="22"/>
              </w:rPr>
              <w:t> </w:t>
            </w:r>
            <w:r>
              <w:rPr>
                <w:sz w:val="22"/>
              </w:rPr>
              <w:t>the</w:t>
            </w:r>
            <w:r>
              <w:rPr>
                <w:spacing w:val="-4"/>
                <w:sz w:val="22"/>
              </w:rPr>
              <w:t> </w:t>
            </w:r>
            <w:r>
              <w:rPr>
                <w:sz w:val="22"/>
              </w:rPr>
              <w:t>third</w:t>
            </w:r>
            <w:r>
              <w:rPr>
                <w:spacing w:val="-7"/>
                <w:sz w:val="22"/>
              </w:rPr>
              <w:t> </w:t>
            </w:r>
            <w:r>
              <w:rPr>
                <w:sz w:val="22"/>
              </w:rPr>
              <w:t>month</w:t>
            </w:r>
            <w:r>
              <w:rPr>
                <w:spacing w:val="-4"/>
                <w:sz w:val="22"/>
              </w:rPr>
              <w:t> </w:t>
            </w:r>
            <w:r>
              <w:rPr>
                <w:sz w:val="22"/>
              </w:rPr>
              <w:t>prior</w:t>
            </w:r>
            <w:r>
              <w:rPr>
                <w:spacing w:val="-3"/>
                <w:sz w:val="22"/>
              </w:rPr>
              <w:t> </w:t>
            </w:r>
            <w:r>
              <w:rPr>
                <w:sz w:val="22"/>
              </w:rPr>
              <w:t>to the date of application.)</w:t>
            </w:r>
          </w:p>
        </w:tc>
      </w:tr>
      <w:tr>
        <w:trPr>
          <w:trHeight w:val="1264" w:hRule="atLeast"/>
        </w:trPr>
        <w:tc>
          <w:tcPr>
            <w:tcW w:w="2429" w:type="dxa"/>
          </w:tcPr>
          <w:p>
            <w:pPr>
              <w:pStyle w:val="TableParagraph"/>
              <w:spacing w:before="9"/>
              <w:rPr>
                <w:sz w:val="32"/>
              </w:rPr>
            </w:pPr>
          </w:p>
          <w:p>
            <w:pPr>
              <w:pStyle w:val="TableParagraph"/>
              <w:ind w:left="107" w:right="869"/>
              <w:rPr>
                <w:sz w:val="22"/>
              </w:rPr>
            </w:pPr>
            <w:r>
              <w:rPr>
                <w:sz w:val="22"/>
              </w:rPr>
              <w:t>Individuals</w:t>
            </w:r>
            <w:r>
              <w:rPr>
                <w:spacing w:val="-14"/>
                <w:sz w:val="22"/>
              </w:rPr>
              <w:t> </w:t>
            </w:r>
            <w:r>
              <w:rPr>
                <w:sz w:val="22"/>
              </w:rPr>
              <w:t>with qualifying ESI</w:t>
            </w:r>
          </w:p>
        </w:tc>
        <w:tc>
          <w:tcPr>
            <w:tcW w:w="1572" w:type="dxa"/>
          </w:tcPr>
          <w:p>
            <w:pPr>
              <w:pStyle w:val="TableParagraph"/>
              <w:spacing w:before="113"/>
              <w:ind w:left="107" w:right="123"/>
              <w:rPr>
                <w:sz w:val="22"/>
              </w:rPr>
            </w:pPr>
            <w:r>
              <w:rPr>
                <w:spacing w:val="-2"/>
                <w:sz w:val="22"/>
              </w:rPr>
              <w:t>Premium </w:t>
            </w:r>
            <w:r>
              <w:rPr>
                <w:sz w:val="22"/>
              </w:rPr>
              <w:t>assistance</w:t>
            </w:r>
            <w:r>
              <w:rPr>
                <w:spacing w:val="-14"/>
                <w:sz w:val="22"/>
              </w:rPr>
              <w:t> </w:t>
            </w:r>
            <w:r>
              <w:rPr>
                <w:sz w:val="22"/>
              </w:rPr>
              <w:t>with FFS </w:t>
            </w:r>
            <w:r>
              <w:rPr>
                <w:sz w:val="24"/>
              </w:rPr>
              <w:t>benefits </w:t>
            </w:r>
            <w:r>
              <w:rPr>
                <w:spacing w:val="-4"/>
                <w:sz w:val="22"/>
              </w:rPr>
              <w:t>wrap</w:t>
            </w:r>
          </w:p>
        </w:tc>
        <w:tc>
          <w:tcPr>
            <w:tcW w:w="490" w:type="dxa"/>
          </w:tcPr>
          <w:p>
            <w:pPr>
              <w:pStyle w:val="TableParagraph"/>
              <w:rPr>
                <w:sz w:val="20"/>
              </w:rPr>
            </w:pPr>
          </w:p>
        </w:tc>
        <w:tc>
          <w:tcPr>
            <w:tcW w:w="485" w:type="dxa"/>
          </w:tcPr>
          <w:p>
            <w:pPr>
              <w:pStyle w:val="TableParagraph"/>
              <w:rPr>
                <w:sz w:val="20"/>
              </w:rPr>
            </w:pPr>
          </w:p>
        </w:tc>
        <w:tc>
          <w:tcPr>
            <w:tcW w:w="483" w:type="dxa"/>
          </w:tcPr>
          <w:p>
            <w:pPr>
              <w:pStyle w:val="TableParagraph"/>
              <w:rPr>
                <w:sz w:val="24"/>
              </w:rPr>
            </w:pPr>
          </w:p>
          <w:p>
            <w:pPr>
              <w:pStyle w:val="TableParagraph"/>
              <w:spacing w:before="10"/>
              <w:rPr>
                <w:sz w:val="19"/>
              </w:rPr>
            </w:pPr>
          </w:p>
          <w:p>
            <w:pPr>
              <w:pStyle w:val="TableParagraph"/>
              <w:ind w:left="5"/>
              <w:jc w:val="center"/>
              <w:rPr>
                <w:sz w:val="22"/>
              </w:rPr>
            </w:pPr>
            <w:r>
              <w:rPr>
                <w:w w:val="100"/>
                <w:sz w:val="22"/>
              </w:rPr>
              <w:t>X</w:t>
            </w:r>
          </w:p>
        </w:tc>
        <w:tc>
          <w:tcPr>
            <w:tcW w:w="3893" w:type="dxa"/>
          </w:tcPr>
          <w:p>
            <w:pPr>
              <w:pStyle w:val="TableParagraph"/>
              <w:ind w:left="106" w:right="136"/>
              <w:rPr>
                <w:sz w:val="22"/>
              </w:rPr>
            </w:pPr>
            <w:r>
              <w:rPr>
                <w:sz w:val="22"/>
              </w:rPr>
              <w:t>10 days prior to date of application (except for populations listed in STC 4.2 whose start date of coverage may be up to</w:t>
            </w:r>
            <w:r>
              <w:rPr>
                <w:spacing w:val="-4"/>
                <w:sz w:val="22"/>
              </w:rPr>
              <w:t> </w:t>
            </w:r>
            <w:r>
              <w:rPr>
                <w:sz w:val="22"/>
              </w:rPr>
              <w:t>the</w:t>
            </w:r>
            <w:r>
              <w:rPr>
                <w:spacing w:val="-4"/>
                <w:sz w:val="22"/>
              </w:rPr>
              <w:t> </w:t>
            </w:r>
            <w:r>
              <w:rPr>
                <w:sz w:val="22"/>
              </w:rPr>
              <w:t>first</w:t>
            </w:r>
            <w:r>
              <w:rPr>
                <w:spacing w:val="-3"/>
                <w:sz w:val="22"/>
              </w:rPr>
              <w:t> </w:t>
            </w:r>
            <w:r>
              <w:rPr>
                <w:sz w:val="22"/>
              </w:rPr>
              <w:t>day</w:t>
            </w:r>
            <w:r>
              <w:rPr>
                <w:spacing w:val="-7"/>
                <w:sz w:val="22"/>
              </w:rPr>
              <w:t> </w:t>
            </w:r>
            <w:r>
              <w:rPr>
                <w:sz w:val="22"/>
              </w:rPr>
              <w:t>of</w:t>
            </w:r>
            <w:r>
              <w:rPr>
                <w:spacing w:val="-3"/>
                <w:sz w:val="22"/>
              </w:rPr>
              <w:t> </w:t>
            </w:r>
            <w:r>
              <w:rPr>
                <w:sz w:val="22"/>
              </w:rPr>
              <w:t>the</w:t>
            </w:r>
            <w:r>
              <w:rPr>
                <w:spacing w:val="-4"/>
                <w:sz w:val="22"/>
              </w:rPr>
              <w:t> </w:t>
            </w:r>
            <w:r>
              <w:rPr>
                <w:sz w:val="22"/>
              </w:rPr>
              <w:t>third</w:t>
            </w:r>
            <w:r>
              <w:rPr>
                <w:spacing w:val="-7"/>
                <w:sz w:val="22"/>
              </w:rPr>
              <w:t> </w:t>
            </w:r>
            <w:r>
              <w:rPr>
                <w:sz w:val="22"/>
              </w:rPr>
              <w:t>month</w:t>
            </w:r>
            <w:r>
              <w:rPr>
                <w:spacing w:val="-4"/>
                <w:sz w:val="22"/>
              </w:rPr>
              <w:t> </w:t>
            </w:r>
            <w:r>
              <w:rPr>
                <w:sz w:val="22"/>
              </w:rPr>
              <w:t>prior</w:t>
            </w:r>
            <w:r>
              <w:rPr>
                <w:spacing w:val="-3"/>
                <w:sz w:val="22"/>
              </w:rPr>
              <w:t> </w:t>
            </w:r>
            <w:r>
              <w:rPr>
                <w:sz w:val="22"/>
              </w:rPr>
              <w:t>to</w:t>
            </w:r>
          </w:p>
          <w:p>
            <w:pPr>
              <w:pStyle w:val="TableParagraph"/>
              <w:spacing w:line="233" w:lineRule="exact"/>
              <w:ind w:left="106"/>
              <w:rPr>
                <w:sz w:val="22"/>
              </w:rPr>
            </w:pPr>
            <w:r>
              <w:rPr>
                <w:sz w:val="22"/>
              </w:rPr>
              <w:t>the</w:t>
            </w:r>
            <w:r>
              <w:rPr>
                <w:spacing w:val="-1"/>
                <w:sz w:val="22"/>
              </w:rPr>
              <w:t> </w:t>
            </w:r>
            <w:r>
              <w:rPr>
                <w:sz w:val="22"/>
              </w:rPr>
              <w:t>date</w:t>
            </w:r>
            <w:r>
              <w:rPr>
                <w:spacing w:val="-2"/>
                <w:sz w:val="22"/>
              </w:rPr>
              <w:t> </w:t>
            </w:r>
            <w:r>
              <w:rPr>
                <w:sz w:val="22"/>
              </w:rPr>
              <w:t>of</w:t>
            </w:r>
            <w:r>
              <w:rPr>
                <w:spacing w:val="-2"/>
                <w:sz w:val="22"/>
              </w:rPr>
              <w:t> application.)</w:t>
            </w:r>
          </w:p>
        </w:tc>
      </w:tr>
      <w:tr>
        <w:trPr>
          <w:trHeight w:val="313" w:hRule="atLeast"/>
        </w:trPr>
        <w:tc>
          <w:tcPr>
            <w:tcW w:w="9352" w:type="dxa"/>
            <w:gridSpan w:val="6"/>
          </w:tcPr>
          <w:p>
            <w:pPr>
              <w:pStyle w:val="TableParagraph"/>
              <w:spacing w:before="29"/>
              <w:ind w:left="1888" w:right="1881"/>
              <w:jc w:val="center"/>
              <w:rPr>
                <w:i/>
                <w:sz w:val="22"/>
              </w:rPr>
            </w:pPr>
            <w:r>
              <w:rPr>
                <w:i/>
                <w:sz w:val="22"/>
              </w:rPr>
              <w:t>Family</w:t>
            </w:r>
            <w:r>
              <w:rPr>
                <w:i/>
                <w:spacing w:val="-3"/>
                <w:sz w:val="22"/>
              </w:rPr>
              <w:t> </w:t>
            </w:r>
            <w:r>
              <w:rPr>
                <w:i/>
                <w:sz w:val="22"/>
              </w:rPr>
              <w:t>Assistance</w:t>
            </w:r>
            <w:r>
              <w:rPr>
                <w:i/>
                <w:spacing w:val="-5"/>
                <w:sz w:val="22"/>
              </w:rPr>
              <w:t> </w:t>
            </w:r>
            <w:r>
              <w:rPr>
                <w:i/>
                <w:sz w:val="22"/>
              </w:rPr>
              <w:t>for</w:t>
            </w:r>
            <w:r>
              <w:rPr>
                <w:i/>
                <w:spacing w:val="-4"/>
                <w:sz w:val="22"/>
              </w:rPr>
              <w:t> </w:t>
            </w:r>
            <w:r>
              <w:rPr>
                <w:i/>
                <w:spacing w:val="-2"/>
                <w:sz w:val="22"/>
              </w:rPr>
              <w:t>HIV/AIDS*</w:t>
            </w:r>
          </w:p>
        </w:tc>
      </w:tr>
      <w:tr>
        <w:trPr>
          <w:trHeight w:val="3541" w:hRule="atLeast"/>
        </w:trPr>
        <w:tc>
          <w:tcPr>
            <w:tcW w:w="2429"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22"/>
              </w:rPr>
            </w:pPr>
          </w:p>
          <w:p>
            <w:pPr>
              <w:pStyle w:val="TableParagraph"/>
              <w:ind w:left="107"/>
              <w:rPr>
                <w:sz w:val="22"/>
              </w:rPr>
            </w:pPr>
            <w:r>
              <w:rPr>
                <w:sz w:val="22"/>
              </w:rPr>
              <w:t>Individuals</w:t>
            </w:r>
            <w:r>
              <w:rPr>
                <w:spacing w:val="-3"/>
                <w:sz w:val="22"/>
              </w:rPr>
              <w:t> </w:t>
            </w:r>
            <w:r>
              <w:rPr>
                <w:sz w:val="22"/>
              </w:rPr>
              <w:t>with</w:t>
            </w:r>
            <w:r>
              <w:rPr>
                <w:spacing w:val="-3"/>
                <w:sz w:val="22"/>
              </w:rPr>
              <w:t> </w:t>
            </w:r>
            <w:r>
              <w:rPr>
                <w:sz w:val="22"/>
              </w:rPr>
              <w:t>no</w:t>
            </w:r>
            <w:r>
              <w:rPr>
                <w:spacing w:val="-5"/>
                <w:sz w:val="22"/>
              </w:rPr>
              <w:t> TPL</w:t>
            </w:r>
          </w:p>
        </w:tc>
        <w:tc>
          <w:tcPr>
            <w:tcW w:w="1572" w:type="dxa"/>
          </w:tcPr>
          <w:p>
            <w:pPr>
              <w:pStyle w:val="TableParagraph"/>
              <w:ind w:left="210" w:right="499"/>
              <w:rPr>
                <w:sz w:val="22"/>
              </w:rPr>
            </w:pPr>
            <w:r>
              <w:rPr>
                <w:spacing w:val="-2"/>
                <w:sz w:val="22"/>
              </w:rPr>
              <w:t>Managed </w:t>
            </w:r>
            <w:r>
              <w:rPr>
                <w:spacing w:val="-4"/>
                <w:sz w:val="22"/>
              </w:rPr>
              <w:t>Care (PCC</w:t>
            </w:r>
          </w:p>
          <w:p>
            <w:pPr>
              <w:pStyle w:val="TableParagraph"/>
              <w:ind w:left="210" w:right="484"/>
              <w:rPr>
                <w:sz w:val="22"/>
              </w:rPr>
            </w:pPr>
            <w:r>
              <w:rPr>
                <w:spacing w:val="-2"/>
                <w:sz w:val="22"/>
              </w:rPr>
              <w:t>Plan, </w:t>
            </w:r>
            <w:r>
              <w:rPr>
                <w:spacing w:val="-4"/>
                <w:sz w:val="22"/>
              </w:rPr>
              <w:t>MCO, </w:t>
            </w:r>
            <w:r>
              <w:rPr>
                <w:spacing w:val="-2"/>
                <w:sz w:val="22"/>
              </w:rPr>
              <w:t>PCACO </w:t>
            </w:r>
            <w:r>
              <w:rPr>
                <w:sz w:val="22"/>
              </w:rPr>
              <w:t>or</w:t>
            </w:r>
            <w:r>
              <w:rPr>
                <w:spacing w:val="-14"/>
                <w:sz w:val="22"/>
              </w:rPr>
              <w:t> </w:t>
            </w:r>
            <w:r>
              <w:rPr>
                <w:sz w:val="22"/>
              </w:rPr>
              <w:t>ACPP)</w:t>
            </w:r>
          </w:p>
          <w:p>
            <w:pPr>
              <w:pStyle w:val="TableParagraph"/>
              <w:rPr>
                <w:sz w:val="22"/>
              </w:rPr>
            </w:pPr>
          </w:p>
          <w:p>
            <w:pPr>
              <w:pStyle w:val="TableParagraph"/>
              <w:ind w:left="210"/>
              <w:rPr>
                <w:sz w:val="22"/>
              </w:rPr>
            </w:pPr>
            <w:r>
              <w:rPr>
                <w:spacing w:val="-5"/>
                <w:sz w:val="22"/>
              </w:rPr>
              <w:t>**</w:t>
            </w:r>
          </w:p>
          <w:p>
            <w:pPr>
              <w:pStyle w:val="TableParagraph"/>
              <w:spacing w:before="9"/>
              <w:rPr>
                <w:sz w:val="21"/>
              </w:rPr>
            </w:pPr>
          </w:p>
          <w:p>
            <w:pPr>
              <w:pStyle w:val="TableParagraph"/>
              <w:ind w:left="107" w:right="170"/>
              <w:rPr>
                <w:sz w:val="22"/>
              </w:rPr>
            </w:pPr>
            <w:r>
              <w:rPr>
                <w:spacing w:val="-2"/>
                <w:sz w:val="22"/>
              </w:rPr>
              <w:t>Certain services </w:t>
            </w:r>
            <w:r>
              <w:rPr>
                <w:sz w:val="22"/>
              </w:rPr>
              <w:t>provided</w:t>
            </w:r>
            <w:r>
              <w:rPr>
                <w:spacing w:val="-14"/>
                <w:sz w:val="22"/>
              </w:rPr>
              <w:t> </w:t>
            </w:r>
            <w:r>
              <w:rPr>
                <w:sz w:val="22"/>
              </w:rPr>
              <w:t>via</w:t>
            </w:r>
          </w:p>
          <w:p>
            <w:pPr>
              <w:pStyle w:val="TableParagraph"/>
              <w:spacing w:line="233" w:lineRule="exact" w:before="2"/>
              <w:ind w:left="107"/>
              <w:rPr>
                <w:sz w:val="22"/>
              </w:rPr>
            </w:pPr>
            <w:r>
              <w:rPr>
                <w:spacing w:val="-5"/>
                <w:sz w:val="22"/>
              </w:rPr>
              <w:t>FFS</w:t>
            </w:r>
          </w:p>
        </w:tc>
        <w:tc>
          <w:tcPr>
            <w:tcW w:w="490"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22"/>
              </w:rPr>
            </w:pPr>
          </w:p>
          <w:p>
            <w:pPr>
              <w:pStyle w:val="TableParagraph"/>
              <w:ind w:left="9"/>
              <w:jc w:val="center"/>
              <w:rPr>
                <w:sz w:val="22"/>
              </w:rPr>
            </w:pPr>
            <w:r>
              <w:rPr>
                <w:w w:val="100"/>
                <w:sz w:val="22"/>
              </w:rPr>
              <w:t>X</w:t>
            </w:r>
          </w:p>
        </w:tc>
        <w:tc>
          <w:tcPr>
            <w:tcW w:w="485" w:type="dxa"/>
          </w:tcPr>
          <w:p>
            <w:pPr>
              <w:pStyle w:val="TableParagraph"/>
              <w:rPr>
                <w:sz w:val="20"/>
              </w:rPr>
            </w:pPr>
          </w:p>
        </w:tc>
        <w:tc>
          <w:tcPr>
            <w:tcW w:w="483"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22"/>
              </w:rPr>
            </w:pPr>
          </w:p>
          <w:p>
            <w:pPr>
              <w:pStyle w:val="TableParagraph"/>
              <w:ind w:left="5"/>
              <w:jc w:val="center"/>
              <w:rPr>
                <w:sz w:val="22"/>
              </w:rPr>
            </w:pPr>
            <w:r>
              <w:rPr>
                <w:w w:val="100"/>
                <w:sz w:val="22"/>
              </w:rPr>
              <w:t>X</w:t>
            </w:r>
          </w:p>
        </w:tc>
        <w:tc>
          <w:tcPr>
            <w:tcW w:w="3893" w:type="dxa"/>
          </w:tcPr>
          <w:p>
            <w:pPr>
              <w:pStyle w:val="TableParagraph"/>
              <w:rPr>
                <w:sz w:val="24"/>
              </w:rPr>
            </w:pPr>
          </w:p>
          <w:p>
            <w:pPr>
              <w:pStyle w:val="TableParagraph"/>
              <w:rPr>
                <w:sz w:val="24"/>
              </w:rPr>
            </w:pPr>
          </w:p>
          <w:p>
            <w:pPr>
              <w:pStyle w:val="TableParagraph"/>
              <w:rPr>
                <w:sz w:val="24"/>
              </w:rPr>
            </w:pPr>
          </w:p>
          <w:p>
            <w:pPr>
              <w:pStyle w:val="TableParagraph"/>
              <w:spacing w:before="11"/>
              <w:rPr>
                <w:sz w:val="26"/>
              </w:rPr>
            </w:pPr>
          </w:p>
          <w:p>
            <w:pPr>
              <w:pStyle w:val="TableParagraph"/>
              <w:ind w:left="106" w:right="136"/>
              <w:rPr>
                <w:sz w:val="22"/>
              </w:rPr>
            </w:pPr>
            <w:r>
              <w:rPr>
                <w:sz w:val="22"/>
              </w:rPr>
              <w:t>10 days prior to date of application (except for populations listed in STC 4.2 whose start date of coverage may be up to</w:t>
            </w:r>
            <w:r>
              <w:rPr>
                <w:spacing w:val="-4"/>
                <w:sz w:val="22"/>
              </w:rPr>
              <w:t> </w:t>
            </w:r>
            <w:r>
              <w:rPr>
                <w:sz w:val="22"/>
              </w:rPr>
              <w:t>the</w:t>
            </w:r>
            <w:r>
              <w:rPr>
                <w:spacing w:val="-4"/>
                <w:sz w:val="22"/>
              </w:rPr>
              <w:t> </w:t>
            </w:r>
            <w:r>
              <w:rPr>
                <w:sz w:val="22"/>
              </w:rPr>
              <w:t>first</w:t>
            </w:r>
            <w:r>
              <w:rPr>
                <w:spacing w:val="-3"/>
                <w:sz w:val="22"/>
              </w:rPr>
              <w:t> </w:t>
            </w:r>
            <w:r>
              <w:rPr>
                <w:sz w:val="22"/>
              </w:rPr>
              <w:t>day</w:t>
            </w:r>
            <w:r>
              <w:rPr>
                <w:spacing w:val="-7"/>
                <w:sz w:val="22"/>
              </w:rPr>
              <w:t> </w:t>
            </w:r>
            <w:r>
              <w:rPr>
                <w:sz w:val="22"/>
              </w:rPr>
              <w:t>of</w:t>
            </w:r>
            <w:r>
              <w:rPr>
                <w:spacing w:val="-3"/>
                <w:sz w:val="22"/>
              </w:rPr>
              <w:t> </w:t>
            </w:r>
            <w:r>
              <w:rPr>
                <w:sz w:val="22"/>
              </w:rPr>
              <w:t>the</w:t>
            </w:r>
            <w:r>
              <w:rPr>
                <w:spacing w:val="-4"/>
                <w:sz w:val="22"/>
              </w:rPr>
              <w:t> </w:t>
            </w:r>
            <w:r>
              <w:rPr>
                <w:sz w:val="22"/>
              </w:rPr>
              <w:t>third</w:t>
            </w:r>
            <w:r>
              <w:rPr>
                <w:spacing w:val="-7"/>
                <w:sz w:val="22"/>
              </w:rPr>
              <w:t> </w:t>
            </w:r>
            <w:r>
              <w:rPr>
                <w:sz w:val="22"/>
              </w:rPr>
              <w:t>month</w:t>
            </w:r>
            <w:r>
              <w:rPr>
                <w:spacing w:val="-4"/>
                <w:sz w:val="22"/>
              </w:rPr>
              <w:t> </w:t>
            </w:r>
            <w:r>
              <w:rPr>
                <w:sz w:val="22"/>
              </w:rPr>
              <w:t>prior</w:t>
            </w:r>
            <w:r>
              <w:rPr>
                <w:spacing w:val="-3"/>
                <w:sz w:val="22"/>
              </w:rPr>
              <w:t> </w:t>
            </w:r>
            <w:r>
              <w:rPr>
                <w:sz w:val="22"/>
              </w:rPr>
              <w:t>to the date of application.)</w:t>
            </w:r>
          </w:p>
        </w:tc>
      </w:tr>
      <w:tr>
        <w:trPr>
          <w:trHeight w:val="1264" w:hRule="atLeast"/>
        </w:trPr>
        <w:tc>
          <w:tcPr>
            <w:tcW w:w="2429" w:type="dxa"/>
          </w:tcPr>
          <w:p>
            <w:pPr>
              <w:pStyle w:val="TableParagraph"/>
              <w:rPr>
                <w:sz w:val="24"/>
              </w:rPr>
            </w:pPr>
          </w:p>
          <w:p>
            <w:pPr>
              <w:pStyle w:val="TableParagraph"/>
              <w:spacing w:before="10"/>
              <w:rPr>
                <w:sz w:val="19"/>
              </w:rPr>
            </w:pPr>
          </w:p>
          <w:p>
            <w:pPr>
              <w:pStyle w:val="TableParagraph"/>
              <w:ind w:left="107"/>
              <w:rPr>
                <w:sz w:val="22"/>
              </w:rPr>
            </w:pPr>
            <w:r>
              <w:rPr>
                <w:sz w:val="22"/>
              </w:rPr>
              <w:t>Individuals</w:t>
            </w:r>
            <w:r>
              <w:rPr>
                <w:spacing w:val="-7"/>
                <w:sz w:val="22"/>
              </w:rPr>
              <w:t> </w:t>
            </w:r>
            <w:r>
              <w:rPr>
                <w:sz w:val="22"/>
              </w:rPr>
              <w:t>with</w:t>
            </w:r>
            <w:r>
              <w:rPr>
                <w:spacing w:val="-6"/>
                <w:sz w:val="22"/>
              </w:rPr>
              <w:t> </w:t>
            </w:r>
            <w:r>
              <w:rPr>
                <w:spacing w:val="-5"/>
                <w:sz w:val="22"/>
              </w:rPr>
              <w:t>TPL</w:t>
            </w:r>
          </w:p>
        </w:tc>
        <w:tc>
          <w:tcPr>
            <w:tcW w:w="1572" w:type="dxa"/>
          </w:tcPr>
          <w:p>
            <w:pPr>
              <w:pStyle w:val="TableParagraph"/>
              <w:spacing w:before="11"/>
              <w:rPr>
                <w:sz w:val="21"/>
              </w:rPr>
            </w:pPr>
          </w:p>
          <w:p>
            <w:pPr>
              <w:pStyle w:val="TableParagraph"/>
              <w:ind w:left="107" w:right="245"/>
              <w:rPr>
                <w:sz w:val="22"/>
              </w:rPr>
            </w:pPr>
            <w:r>
              <w:rPr>
                <w:sz w:val="22"/>
              </w:rPr>
              <w:t>Receive</w:t>
            </w:r>
            <w:r>
              <w:rPr>
                <w:spacing w:val="-14"/>
                <w:sz w:val="22"/>
              </w:rPr>
              <w:t> </w:t>
            </w:r>
            <w:r>
              <w:rPr>
                <w:sz w:val="22"/>
              </w:rPr>
              <w:t>wrap benefits via </w:t>
            </w:r>
            <w:r>
              <w:rPr>
                <w:spacing w:val="-4"/>
                <w:sz w:val="22"/>
              </w:rPr>
              <w:t>FFS</w:t>
            </w:r>
          </w:p>
        </w:tc>
        <w:tc>
          <w:tcPr>
            <w:tcW w:w="490" w:type="dxa"/>
          </w:tcPr>
          <w:p>
            <w:pPr>
              <w:pStyle w:val="TableParagraph"/>
              <w:rPr>
                <w:sz w:val="20"/>
              </w:rPr>
            </w:pPr>
          </w:p>
        </w:tc>
        <w:tc>
          <w:tcPr>
            <w:tcW w:w="485" w:type="dxa"/>
          </w:tcPr>
          <w:p>
            <w:pPr>
              <w:pStyle w:val="TableParagraph"/>
              <w:rPr>
                <w:sz w:val="20"/>
              </w:rPr>
            </w:pPr>
          </w:p>
        </w:tc>
        <w:tc>
          <w:tcPr>
            <w:tcW w:w="483" w:type="dxa"/>
          </w:tcPr>
          <w:p>
            <w:pPr>
              <w:pStyle w:val="TableParagraph"/>
              <w:rPr>
                <w:sz w:val="24"/>
              </w:rPr>
            </w:pPr>
          </w:p>
          <w:p>
            <w:pPr>
              <w:pStyle w:val="TableParagraph"/>
              <w:spacing w:before="10"/>
              <w:rPr>
                <w:sz w:val="19"/>
              </w:rPr>
            </w:pPr>
          </w:p>
          <w:p>
            <w:pPr>
              <w:pStyle w:val="TableParagraph"/>
              <w:ind w:left="6"/>
              <w:jc w:val="center"/>
              <w:rPr>
                <w:sz w:val="22"/>
              </w:rPr>
            </w:pPr>
            <w:r>
              <w:rPr>
                <w:w w:val="100"/>
                <w:sz w:val="22"/>
              </w:rPr>
              <w:t>X</w:t>
            </w:r>
          </w:p>
        </w:tc>
        <w:tc>
          <w:tcPr>
            <w:tcW w:w="3893" w:type="dxa"/>
          </w:tcPr>
          <w:p>
            <w:pPr>
              <w:pStyle w:val="TableParagraph"/>
              <w:ind w:left="106" w:right="136"/>
              <w:rPr>
                <w:sz w:val="22"/>
              </w:rPr>
            </w:pPr>
            <w:r>
              <w:rPr>
                <w:sz w:val="22"/>
              </w:rPr>
              <w:t>10 days prior to date of application (except for populations listed in STC 4.2 whose start date of coverage may be up to</w:t>
            </w:r>
            <w:r>
              <w:rPr>
                <w:spacing w:val="-4"/>
                <w:sz w:val="22"/>
              </w:rPr>
              <w:t> </w:t>
            </w:r>
            <w:r>
              <w:rPr>
                <w:sz w:val="22"/>
              </w:rPr>
              <w:t>the</w:t>
            </w:r>
            <w:r>
              <w:rPr>
                <w:spacing w:val="-4"/>
                <w:sz w:val="22"/>
              </w:rPr>
              <w:t> </w:t>
            </w:r>
            <w:r>
              <w:rPr>
                <w:sz w:val="22"/>
              </w:rPr>
              <w:t>first</w:t>
            </w:r>
            <w:r>
              <w:rPr>
                <w:spacing w:val="-3"/>
                <w:sz w:val="22"/>
              </w:rPr>
              <w:t> </w:t>
            </w:r>
            <w:r>
              <w:rPr>
                <w:sz w:val="22"/>
              </w:rPr>
              <w:t>day</w:t>
            </w:r>
            <w:r>
              <w:rPr>
                <w:spacing w:val="-7"/>
                <w:sz w:val="22"/>
              </w:rPr>
              <w:t> </w:t>
            </w:r>
            <w:r>
              <w:rPr>
                <w:sz w:val="22"/>
              </w:rPr>
              <w:t>of</w:t>
            </w:r>
            <w:r>
              <w:rPr>
                <w:spacing w:val="-3"/>
                <w:sz w:val="22"/>
              </w:rPr>
              <w:t> </w:t>
            </w:r>
            <w:r>
              <w:rPr>
                <w:sz w:val="22"/>
              </w:rPr>
              <w:t>the</w:t>
            </w:r>
            <w:r>
              <w:rPr>
                <w:spacing w:val="-4"/>
                <w:sz w:val="22"/>
              </w:rPr>
              <w:t> </w:t>
            </w:r>
            <w:r>
              <w:rPr>
                <w:sz w:val="22"/>
              </w:rPr>
              <w:t>third</w:t>
            </w:r>
            <w:r>
              <w:rPr>
                <w:spacing w:val="-7"/>
                <w:sz w:val="22"/>
              </w:rPr>
              <w:t> </w:t>
            </w:r>
            <w:r>
              <w:rPr>
                <w:sz w:val="22"/>
              </w:rPr>
              <w:t>month</w:t>
            </w:r>
            <w:r>
              <w:rPr>
                <w:spacing w:val="-4"/>
                <w:sz w:val="22"/>
              </w:rPr>
              <w:t> </w:t>
            </w:r>
            <w:r>
              <w:rPr>
                <w:sz w:val="22"/>
              </w:rPr>
              <w:t>prior</w:t>
            </w:r>
            <w:r>
              <w:rPr>
                <w:spacing w:val="-3"/>
                <w:sz w:val="22"/>
              </w:rPr>
              <w:t> </w:t>
            </w:r>
            <w:r>
              <w:rPr>
                <w:sz w:val="22"/>
              </w:rPr>
              <w:t>to</w:t>
            </w:r>
          </w:p>
          <w:p>
            <w:pPr>
              <w:pStyle w:val="TableParagraph"/>
              <w:spacing w:line="233" w:lineRule="exact"/>
              <w:ind w:left="106"/>
              <w:rPr>
                <w:sz w:val="22"/>
              </w:rPr>
            </w:pPr>
            <w:r>
              <w:rPr>
                <w:sz w:val="22"/>
              </w:rPr>
              <w:t>the</w:t>
            </w:r>
            <w:r>
              <w:rPr>
                <w:spacing w:val="-1"/>
                <w:sz w:val="22"/>
              </w:rPr>
              <w:t> </w:t>
            </w:r>
            <w:r>
              <w:rPr>
                <w:sz w:val="22"/>
              </w:rPr>
              <w:t>date</w:t>
            </w:r>
            <w:r>
              <w:rPr>
                <w:spacing w:val="-2"/>
                <w:sz w:val="22"/>
              </w:rPr>
              <w:t> </w:t>
            </w:r>
            <w:r>
              <w:rPr>
                <w:sz w:val="22"/>
              </w:rPr>
              <w:t>of</w:t>
            </w:r>
            <w:r>
              <w:rPr>
                <w:spacing w:val="-2"/>
                <w:sz w:val="22"/>
              </w:rPr>
              <w:t> application.)</w:t>
            </w:r>
          </w:p>
        </w:tc>
      </w:tr>
      <w:tr>
        <w:trPr>
          <w:trHeight w:val="1264" w:hRule="atLeast"/>
        </w:trPr>
        <w:tc>
          <w:tcPr>
            <w:tcW w:w="2429" w:type="dxa"/>
          </w:tcPr>
          <w:p>
            <w:pPr>
              <w:pStyle w:val="TableParagraph"/>
              <w:spacing w:before="9"/>
              <w:rPr>
                <w:sz w:val="32"/>
              </w:rPr>
            </w:pPr>
          </w:p>
          <w:p>
            <w:pPr>
              <w:pStyle w:val="TableParagraph"/>
              <w:ind w:left="107" w:right="869"/>
              <w:rPr>
                <w:sz w:val="22"/>
              </w:rPr>
            </w:pPr>
            <w:r>
              <w:rPr>
                <w:sz w:val="22"/>
              </w:rPr>
              <w:t>Individuals</w:t>
            </w:r>
            <w:r>
              <w:rPr>
                <w:spacing w:val="-14"/>
                <w:sz w:val="22"/>
              </w:rPr>
              <w:t> </w:t>
            </w:r>
            <w:r>
              <w:rPr>
                <w:sz w:val="22"/>
              </w:rPr>
              <w:t>with qualifying ESI</w:t>
            </w:r>
          </w:p>
        </w:tc>
        <w:tc>
          <w:tcPr>
            <w:tcW w:w="1572" w:type="dxa"/>
          </w:tcPr>
          <w:p>
            <w:pPr>
              <w:pStyle w:val="TableParagraph"/>
              <w:spacing w:before="10"/>
              <w:rPr>
                <w:sz w:val="20"/>
              </w:rPr>
            </w:pPr>
          </w:p>
          <w:p>
            <w:pPr>
              <w:pStyle w:val="TableParagraph"/>
              <w:ind w:left="107" w:right="123"/>
              <w:rPr>
                <w:sz w:val="22"/>
              </w:rPr>
            </w:pPr>
            <w:r>
              <w:rPr>
                <w:spacing w:val="-2"/>
                <w:sz w:val="22"/>
              </w:rPr>
              <w:t>Premium </w:t>
            </w:r>
            <w:r>
              <w:rPr>
                <w:sz w:val="22"/>
              </w:rPr>
              <w:t>assistance</w:t>
            </w:r>
            <w:r>
              <w:rPr>
                <w:spacing w:val="-14"/>
                <w:sz w:val="22"/>
              </w:rPr>
              <w:t> </w:t>
            </w:r>
            <w:r>
              <w:rPr>
                <w:sz w:val="22"/>
              </w:rPr>
              <w:t>with </w:t>
            </w:r>
            <w:r>
              <w:rPr>
                <w:sz w:val="24"/>
              </w:rPr>
              <w:t>benefits </w:t>
            </w:r>
            <w:r>
              <w:rPr>
                <w:sz w:val="22"/>
              </w:rPr>
              <w:t>wrap</w:t>
            </w:r>
          </w:p>
        </w:tc>
        <w:tc>
          <w:tcPr>
            <w:tcW w:w="490" w:type="dxa"/>
          </w:tcPr>
          <w:p>
            <w:pPr>
              <w:pStyle w:val="TableParagraph"/>
              <w:rPr>
                <w:sz w:val="20"/>
              </w:rPr>
            </w:pPr>
          </w:p>
        </w:tc>
        <w:tc>
          <w:tcPr>
            <w:tcW w:w="485" w:type="dxa"/>
          </w:tcPr>
          <w:p>
            <w:pPr>
              <w:pStyle w:val="TableParagraph"/>
              <w:rPr>
                <w:sz w:val="20"/>
              </w:rPr>
            </w:pPr>
          </w:p>
        </w:tc>
        <w:tc>
          <w:tcPr>
            <w:tcW w:w="483" w:type="dxa"/>
          </w:tcPr>
          <w:p>
            <w:pPr>
              <w:pStyle w:val="TableParagraph"/>
              <w:rPr>
                <w:sz w:val="24"/>
              </w:rPr>
            </w:pPr>
          </w:p>
          <w:p>
            <w:pPr>
              <w:pStyle w:val="TableParagraph"/>
              <w:spacing w:before="10"/>
              <w:rPr>
                <w:sz w:val="19"/>
              </w:rPr>
            </w:pPr>
          </w:p>
          <w:p>
            <w:pPr>
              <w:pStyle w:val="TableParagraph"/>
              <w:ind w:left="5"/>
              <w:jc w:val="center"/>
              <w:rPr>
                <w:sz w:val="22"/>
              </w:rPr>
            </w:pPr>
            <w:r>
              <w:rPr>
                <w:w w:val="100"/>
                <w:sz w:val="22"/>
              </w:rPr>
              <w:t>X</w:t>
            </w:r>
          </w:p>
        </w:tc>
        <w:tc>
          <w:tcPr>
            <w:tcW w:w="3893" w:type="dxa"/>
          </w:tcPr>
          <w:p>
            <w:pPr>
              <w:pStyle w:val="TableParagraph"/>
              <w:ind w:left="106" w:right="136"/>
              <w:rPr>
                <w:sz w:val="22"/>
              </w:rPr>
            </w:pPr>
            <w:r>
              <w:rPr>
                <w:sz w:val="22"/>
              </w:rPr>
              <w:t>10 days prior to date of application (except for populations listed in STC 4.2 whose start date of coverage may be up</w:t>
            </w:r>
          </w:p>
          <w:p>
            <w:pPr>
              <w:pStyle w:val="TableParagraph"/>
              <w:spacing w:line="252" w:lineRule="exact"/>
              <w:ind w:left="106"/>
              <w:rPr>
                <w:sz w:val="22"/>
              </w:rPr>
            </w:pPr>
            <w:r>
              <w:rPr>
                <w:sz w:val="22"/>
              </w:rPr>
              <w:t>to</w:t>
            </w:r>
            <w:r>
              <w:rPr>
                <w:spacing w:val="-4"/>
                <w:sz w:val="22"/>
              </w:rPr>
              <w:t> </w:t>
            </w:r>
            <w:r>
              <w:rPr>
                <w:sz w:val="22"/>
              </w:rPr>
              <w:t>the</w:t>
            </w:r>
            <w:r>
              <w:rPr>
                <w:spacing w:val="-4"/>
                <w:sz w:val="22"/>
              </w:rPr>
              <w:t> </w:t>
            </w:r>
            <w:r>
              <w:rPr>
                <w:sz w:val="22"/>
              </w:rPr>
              <w:t>first</w:t>
            </w:r>
            <w:r>
              <w:rPr>
                <w:spacing w:val="-3"/>
                <w:sz w:val="22"/>
              </w:rPr>
              <w:t> </w:t>
            </w:r>
            <w:r>
              <w:rPr>
                <w:sz w:val="22"/>
              </w:rPr>
              <w:t>day</w:t>
            </w:r>
            <w:r>
              <w:rPr>
                <w:spacing w:val="-7"/>
                <w:sz w:val="22"/>
              </w:rPr>
              <w:t> </w:t>
            </w:r>
            <w:r>
              <w:rPr>
                <w:sz w:val="22"/>
              </w:rPr>
              <w:t>of</w:t>
            </w:r>
            <w:r>
              <w:rPr>
                <w:spacing w:val="-3"/>
                <w:sz w:val="22"/>
              </w:rPr>
              <w:t> </w:t>
            </w:r>
            <w:r>
              <w:rPr>
                <w:sz w:val="22"/>
              </w:rPr>
              <w:t>the</w:t>
            </w:r>
            <w:r>
              <w:rPr>
                <w:spacing w:val="-4"/>
                <w:sz w:val="22"/>
              </w:rPr>
              <w:t> </w:t>
            </w:r>
            <w:r>
              <w:rPr>
                <w:sz w:val="22"/>
              </w:rPr>
              <w:t>third</w:t>
            </w:r>
            <w:r>
              <w:rPr>
                <w:spacing w:val="-7"/>
                <w:sz w:val="22"/>
              </w:rPr>
              <w:t> </w:t>
            </w:r>
            <w:r>
              <w:rPr>
                <w:sz w:val="22"/>
              </w:rPr>
              <w:t>month</w:t>
            </w:r>
            <w:r>
              <w:rPr>
                <w:spacing w:val="-4"/>
                <w:sz w:val="22"/>
              </w:rPr>
              <w:t> </w:t>
            </w:r>
            <w:r>
              <w:rPr>
                <w:sz w:val="22"/>
              </w:rPr>
              <w:t>prior</w:t>
            </w:r>
            <w:r>
              <w:rPr>
                <w:spacing w:val="-3"/>
                <w:sz w:val="22"/>
              </w:rPr>
              <w:t> </w:t>
            </w:r>
            <w:r>
              <w:rPr>
                <w:sz w:val="22"/>
              </w:rPr>
              <w:t>to the date of application.)</w:t>
            </w:r>
          </w:p>
        </w:tc>
      </w:tr>
      <w:tr>
        <w:trPr>
          <w:trHeight w:val="254" w:hRule="atLeast"/>
        </w:trPr>
        <w:tc>
          <w:tcPr>
            <w:tcW w:w="9352" w:type="dxa"/>
            <w:gridSpan w:val="6"/>
          </w:tcPr>
          <w:p>
            <w:pPr>
              <w:pStyle w:val="TableParagraph"/>
              <w:spacing w:line="233" w:lineRule="exact" w:before="1"/>
              <w:ind w:left="1888" w:right="1878"/>
              <w:jc w:val="center"/>
              <w:rPr>
                <w:i/>
                <w:sz w:val="22"/>
              </w:rPr>
            </w:pPr>
            <w:r>
              <w:rPr>
                <w:i/>
                <w:sz w:val="22"/>
              </w:rPr>
              <w:t>Family</w:t>
            </w:r>
            <w:r>
              <w:rPr>
                <w:i/>
                <w:spacing w:val="-3"/>
                <w:sz w:val="22"/>
              </w:rPr>
              <w:t> </w:t>
            </w:r>
            <w:r>
              <w:rPr>
                <w:i/>
                <w:sz w:val="22"/>
              </w:rPr>
              <w:t>Assistance</w:t>
            </w:r>
            <w:r>
              <w:rPr>
                <w:i/>
                <w:spacing w:val="-4"/>
                <w:sz w:val="22"/>
              </w:rPr>
              <w:t> </w:t>
            </w:r>
            <w:r>
              <w:rPr>
                <w:i/>
                <w:sz w:val="22"/>
              </w:rPr>
              <w:t>for</w:t>
            </w:r>
            <w:r>
              <w:rPr>
                <w:i/>
                <w:spacing w:val="-3"/>
                <w:sz w:val="22"/>
              </w:rPr>
              <w:t> </w:t>
            </w:r>
            <w:r>
              <w:rPr>
                <w:i/>
                <w:spacing w:val="-2"/>
                <w:sz w:val="22"/>
              </w:rPr>
              <w:t>Children*</w:t>
            </w:r>
          </w:p>
        </w:tc>
      </w:tr>
    </w:tbl>
    <w:p>
      <w:pPr>
        <w:spacing w:after="0" w:line="233" w:lineRule="exact"/>
        <w:jc w:val="center"/>
        <w:rPr>
          <w:sz w:val="22"/>
        </w:rPr>
        <w:sectPr>
          <w:type w:val="continuous"/>
          <w:pgSz w:w="12240" w:h="15840"/>
          <w:pgMar w:header="0" w:footer="1201" w:top="1420" w:bottom="1694" w:left="1200" w:right="400"/>
        </w:sectPr>
      </w:pPr>
    </w:p>
    <w:tbl>
      <w:tblPr>
        <w:tblW w:w="0" w:type="auto"/>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9"/>
        <w:gridCol w:w="1572"/>
        <w:gridCol w:w="490"/>
        <w:gridCol w:w="485"/>
        <w:gridCol w:w="483"/>
        <w:gridCol w:w="3893"/>
      </w:tblGrid>
      <w:tr>
        <w:trPr>
          <w:trHeight w:val="801" w:hRule="atLeast"/>
        </w:trPr>
        <w:tc>
          <w:tcPr>
            <w:tcW w:w="9352" w:type="dxa"/>
            <w:gridSpan w:val="6"/>
            <w:shd w:val="clear" w:color="auto" w:fill="DBE6F1"/>
          </w:tcPr>
          <w:p>
            <w:pPr>
              <w:pStyle w:val="TableParagraph"/>
              <w:spacing w:line="244" w:lineRule="auto" w:before="145"/>
              <w:ind w:left="4209" w:hanging="4004"/>
              <w:rPr>
                <w:b/>
                <w:sz w:val="22"/>
              </w:rPr>
            </w:pPr>
            <w:r>
              <w:rPr>
                <w:b/>
                <w:sz w:val="22"/>
              </w:rPr>
              <w:t>Table</w:t>
            </w:r>
            <w:r>
              <w:rPr>
                <w:b/>
                <w:spacing w:val="-2"/>
                <w:sz w:val="22"/>
              </w:rPr>
              <w:t> </w:t>
            </w:r>
            <w:r>
              <w:rPr>
                <w:b/>
                <w:sz w:val="22"/>
              </w:rPr>
              <w:t>9:</w:t>
            </w:r>
            <w:r>
              <w:rPr>
                <w:b/>
                <w:spacing w:val="-1"/>
                <w:sz w:val="22"/>
              </w:rPr>
              <w:t> </w:t>
            </w:r>
            <w:r>
              <w:rPr>
                <w:b/>
                <w:sz w:val="22"/>
              </w:rPr>
              <w:t>Delivery</w:t>
            </w:r>
            <w:r>
              <w:rPr>
                <w:b/>
                <w:spacing w:val="-2"/>
                <w:sz w:val="22"/>
              </w:rPr>
              <w:t> </w:t>
            </w:r>
            <w:r>
              <w:rPr>
                <w:b/>
                <w:sz w:val="22"/>
              </w:rPr>
              <w:t>System</w:t>
            </w:r>
            <w:r>
              <w:rPr>
                <w:b/>
                <w:spacing w:val="-4"/>
                <w:sz w:val="22"/>
              </w:rPr>
              <w:t> </w:t>
            </w:r>
            <w:r>
              <w:rPr>
                <w:b/>
                <w:sz w:val="22"/>
              </w:rPr>
              <w:t>and</w:t>
            </w:r>
            <w:r>
              <w:rPr>
                <w:b/>
                <w:spacing w:val="-3"/>
                <w:sz w:val="22"/>
              </w:rPr>
              <w:t> </w:t>
            </w:r>
            <w:r>
              <w:rPr>
                <w:b/>
                <w:sz w:val="22"/>
              </w:rPr>
              <w:t>Coverage</w:t>
            </w:r>
            <w:r>
              <w:rPr>
                <w:b/>
                <w:spacing w:val="-4"/>
                <w:sz w:val="22"/>
              </w:rPr>
              <w:t> </w:t>
            </w:r>
            <w:r>
              <w:rPr>
                <w:b/>
                <w:sz w:val="22"/>
              </w:rPr>
              <w:t>for</w:t>
            </w:r>
            <w:r>
              <w:rPr>
                <w:b/>
                <w:spacing w:val="-2"/>
                <w:sz w:val="22"/>
              </w:rPr>
              <w:t> </w:t>
            </w:r>
            <w:r>
              <w:rPr>
                <w:b/>
                <w:sz w:val="22"/>
              </w:rPr>
              <w:t>Individuals</w:t>
            </w:r>
            <w:r>
              <w:rPr>
                <w:b/>
                <w:spacing w:val="-2"/>
                <w:sz w:val="22"/>
              </w:rPr>
              <w:t> </w:t>
            </w:r>
            <w:r>
              <w:rPr>
                <w:b/>
                <w:sz w:val="22"/>
              </w:rPr>
              <w:t>under</w:t>
            </w:r>
            <w:r>
              <w:rPr>
                <w:b/>
                <w:spacing w:val="-2"/>
                <w:sz w:val="22"/>
              </w:rPr>
              <w:t> </w:t>
            </w:r>
            <w:r>
              <w:rPr>
                <w:b/>
                <w:sz w:val="22"/>
              </w:rPr>
              <w:t>65</w:t>
            </w:r>
            <w:r>
              <w:rPr>
                <w:b/>
                <w:spacing w:val="-5"/>
                <w:sz w:val="22"/>
              </w:rPr>
              <w:t> </w:t>
            </w:r>
            <w:r>
              <w:rPr>
                <w:b/>
                <w:sz w:val="22"/>
              </w:rPr>
              <w:t>in</w:t>
            </w:r>
            <w:r>
              <w:rPr>
                <w:b/>
                <w:spacing w:val="-3"/>
                <w:sz w:val="22"/>
              </w:rPr>
              <w:t> </w:t>
            </w:r>
            <w:r>
              <w:rPr>
                <w:b/>
                <w:sz w:val="22"/>
              </w:rPr>
              <w:t>MassHealth</w:t>
            </w:r>
            <w:r>
              <w:rPr>
                <w:b/>
                <w:spacing w:val="-3"/>
                <w:sz w:val="22"/>
              </w:rPr>
              <w:t> </w:t>
            </w:r>
            <w:r>
              <w:rPr>
                <w:b/>
                <w:sz w:val="22"/>
              </w:rPr>
              <w:t>Demonstration </w:t>
            </w:r>
            <w:r>
              <w:rPr>
                <w:b/>
                <w:spacing w:val="-2"/>
                <w:sz w:val="22"/>
              </w:rPr>
              <w:t>Programs</w:t>
            </w:r>
          </w:p>
        </w:tc>
      </w:tr>
      <w:tr>
        <w:trPr>
          <w:trHeight w:val="1502" w:hRule="atLeast"/>
        </w:trPr>
        <w:tc>
          <w:tcPr>
            <w:tcW w:w="2429" w:type="dxa"/>
            <w:shd w:val="clear" w:color="auto" w:fill="DBE6F1"/>
          </w:tcPr>
          <w:p>
            <w:pPr>
              <w:pStyle w:val="TableParagraph"/>
              <w:rPr>
                <w:sz w:val="24"/>
              </w:rPr>
            </w:pPr>
          </w:p>
          <w:p>
            <w:pPr>
              <w:pStyle w:val="TableParagraph"/>
              <w:spacing w:before="1"/>
              <w:rPr>
                <w:sz w:val="30"/>
              </w:rPr>
            </w:pPr>
          </w:p>
          <w:p>
            <w:pPr>
              <w:pStyle w:val="TableParagraph"/>
              <w:ind w:left="501"/>
              <w:rPr>
                <w:b/>
                <w:sz w:val="22"/>
              </w:rPr>
            </w:pPr>
            <w:r>
              <w:rPr>
                <w:b/>
                <w:sz w:val="22"/>
              </w:rPr>
              <w:t>Coverage</w:t>
            </w:r>
            <w:r>
              <w:rPr>
                <w:b/>
                <w:spacing w:val="-2"/>
                <w:sz w:val="22"/>
              </w:rPr>
              <w:t> </w:t>
            </w:r>
            <w:r>
              <w:rPr>
                <w:b/>
                <w:spacing w:val="-4"/>
                <w:sz w:val="22"/>
              </w:rPr>
              <w:t>Type</w:t>
            </w:r>
          </w:p>
        </w:tc>
        <w:tc>
          <w:tcPr>
            <w:tcW w:w="1572" w:type="dxa"/>
            <w:shd w:val="clear" w:color="auto" w:fill="DBE6F1"/>
          </w:tcPr>
          <w:p>
            <w:pPr>
              <w:pStyle w:val="TableParagraph"/>
              <w:rPr>
                <w:sz w:val="24"/>
              </w:rPr>
            </w:pPr>
          </w:p>
          <w:p>
            <w:pPr>
              <w:pStyle w:val="TableParagraph"/>
              <w:rPr>
                <w:sz w:val="19"/>
              </w:rPr>
            </w:pPr>
          </w:p>
          <w:p>
            <w:pPr>
              <w:pStyle w:val="TableParagraph"/>
              <w:ind w:left="182" w:right="170" w:firstLine="204"/>
              <w:rPr>
                <w:b/>
                <w:sz w:val="22"/>
              </w:rPr>
            </w:pPr>
            <w:r>
              <w:rPr>
                <w:b/>
                <w:spacing w:val="-2"/>
                <w:sz w:val="22"/>
              </w:rPr>
              <w:t>Delivery </w:t>
            </w:r>
            <w:r>
              <w:rPr>
                <w:b/>
                <w:sz w:val="22"/>
              </w:rPr>
              <w:t>System</w:t>
            </w:r>
            <w:r>
              <w:rPr>
                <w:b/>
                <w:spacing w:val="-14"/>
                <w:sz w:val="22"/>
              </w:rPr>
              <w:t> </w:t>
            </w:r>
            <w:r>
              <w:rPr>
                <w:b/>
                <w:sz w:val="22"/>
              </w:rPr>
              <w:t>Type</w:t>
            </w:r>
          </w:p>
        </w:tc>
        <w:tc>
          <w:tcPr>
            <w:tcW w:w="490" w:type="dxa"/>
            <w:shd w:val="clear" w:color="auto" w:fill="DBE6F1"/>
            <w:textDirection w:val="tbRl"/>
          </w:tcPr>
          <w:p>
            <w:pPr>
              <w:pStyle w:val="TableParagraph"/>
              <w:spacing w:before="109"/>
              <w:ind w:left="218"/>
              <w:rPr>
                <w:b/>
                <w:sz w:val="22"/>
              </w:rPr>
            </w:pPr>
            <w:r>
              <w:rPr>
                <w:b/>
                <w:spacing w:val="-2"/>
                <w:sz w:val="22"/>
              </w:rPr>
              <w:t>Mandatory</w:t>
            </w:r>
          </w:p>
        </w:tc>
        <w:tc>
          <w:tcPr>
            <w:tcW w:w="485" w:type="dxa"/>
            <w:shd w:val="clear" w:color="auto" w:fill="DBE6F1"/>
            <w:textDirection w:val="tbRl"/>
          </w:tcPr>
          <w:p>
            <w:pPr>
              <w:pStyle w:val="TableParagraph"/>
              <w:spacing w:before="107"/>
              <w:ind w:left="268"/>
              <w:rPr>
                <w:b/>
                <w:sz w:val="22"/>
              </w:rPr>
            </w:pPr>
            <w:r>
              <w:rPr>
                <w:b/>
                <w:spacing w:val="-2"/>
                <w:sz w:val="22"/>
              </w:rPr>
              <w:t>Voluntary</w:t>
            </w:r>
          </w:p>
        </w:tc>
        <w:tc>
          <w:tcPr>
            <w:tcW w:w="483" w:type="dxa"/>
            <w:shd w:val="clear" w:color="auto" w:fill="DBE6F1"/>
            <w:textDirection w:val="tbRl"/>
          </w:tcPr>
          <w:p>
            <w:pPr>
              <w:pStyle w:val="TableParagraph"/>
              <w:spacing w:before="108"/>
              <w:ind w:left="295"/>
              <w:rPr>
                <w:b/>
                <w:sz w:val="22"/>
              </w:rPr>
            </w:pPr>
            <w:r>
              <w:rPr>
                <w:b/>
                <w:sz w:val="22"/>
              </w:rPr>
              <w:t>FFS</w:t>
            </w:r>
            <w:r>
              <w:rPr>
                <w:b/>
                <w:spacing w:val="-5"/>
                <w:sz w:val="22"/>
              </w:rPr>
              <w:t> </w:t>
            </w:r>
            <w:r>
              <w:rPr>
                <w:b/>
                <w:spacing w:val="-4"/>
                <w:sz w:val="22"/>
              </w:rPr>
              <w:t>Only</w:t>
            </w:r>
          </w:p>
        </w:tc>
        <w:tc>
          <w:tcPr>
            <w:tcW w:w="3893" w:type="dxa"/>
            <w:shd w:val="clear" w:color="auto" w:fill="DBE6F1"/>
          </w:tcPr>
          <w:p>
            <w:pPr>
              <w:pStyle w:val="TableParagraph"/>
              <w:rPr>
                <w:sz w:val="24"/>
              </w:rPr>
            </w:pPr>
          </w:p>
          <w:p>
            <w:pPr>
              <w:pStyle w:val="TableParagraph"/>
              <w:spacing w:before="1"/>
              <w:rPr>
                <w:sz w:val="30"/>
              </w:rPr>
            </w:pPr>
          </w:p>
          <w:p>
            <w:pPr>
              <w:pStyle w:val="TableParagraph"/>
              <w:ind w:left="701"/>
              <w:rPr>
                <w:b/>
                <w:sz w:val="22"/>
              </w:rPr>
            </w:pPr>
            <w:r>
              <w:rPr>
                <w:b/>
                <w:sz w:val="22"/>
              </w:rPr>
              <w:t>Start</w:t>
            </w:r>
            <w:r>
              <w:rPr>
                <w:b/>
                <w:spacing w:val="-4"/>
                <w:sz w:val="22"/>
              </w:rPr>
              <w:t> </w:t>
            </w:r>
            <w:r>
              <w:rPr>
                <w:b/>
                <w:sz w:val="22"/>
              </w:rPr>
              <w:t>Date</w:t>
            </w:r>
            <w:r>
              <w:rPr>
                <w:b/>
                <w:spacing w:val="-4"/>
                <w:sz w:val="22"/>
              </w:rPr>
              <w:t> </w:t>
            </w:r>
            <w:r>
              <w:rPr>
                <w:b/>
                <w:sz w:val="22"/>
              </w:rPr>
              <w:t>of</w:t>
            </w:r>
            <w:r>
              <w:rPr>
                <w:b/>
                <w:spacing w:val="1"/>
                <w:sz w:val="22"/>
              </w:rPr>
              <w:t> </w:t>
            </w:r>
            <w:r>
              <w:rPr>
                <w:b/>
                <w:spacing w:val="-2"/>
                <w:sz w:val="22"/>
              </w:rPr>
              <w:t>Coverage***</w:t>
            </w:r>
          </w:p>
        </w:tc>
      </w:tr>
      <w:tr>
        <w:trPr>
          <w:trHeight w:val="3311" w:hRule="atLeast"/>
        </w:trPr>
        <w:tc>
          <w:tcPr>
            <w:tcW w:w="2429"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47"/>
              <w:ind w:left="107"/>
              <w:rPr>
                <w:sz w:val="22"/>
              </w:rPr>
            </w:pPr>
            <w:r>
              <w:rPr>
                <w:sz w:val="22"/>
              </w:rPr>
              <w:t>Individuals</w:t>
            </w:r>
            <w:r>
              <w:rPr>
                <w:spacing w:val="-3"/>
                <w:sz w:val="22"/>
              </w:rPr>
              <w:t> </w:t>
            </w:r>
            <w:r>
              <w:rPr>
                <w:sz w:val="22"/>
              </w:rPr>
              <w:t>with</w:t>
            </w:r>
            <w:r>
              <w:rPr>
                <w:spacing w:val="-3"/>
                <w:sz w:val="22"/>
              </w:rPr>
              <w:t> </w:t>
            </w:r>
            <w:r>
              <w:rPr>
                <w:sz w:val="22"/>
              </w:rPr>
              <w:t>no</w:t>
            </w:r>
            <w:r>
              <w:rPr>
                <w:spacing w:val="-5"/>
                <w:sz w:val="22"/>
              </w:rPr>
              <w:t> TPL</w:t>
            </w:r>
          </w:p>
        </w:tc>
        <w:tc>
          <w:tcPr>
            <w:tcW w:w="1572" w:type="dxa"/>
          </w:tcPr>
          <w:p>
            <w:pPr>
              <w:pStyle w:val="TableParagraph"/>
              <w:ind w:left="107" w:right="478"/>
              <w:rPr>
                <w:sz w:val="22"/>
              </w:rPr>
            </w:pPr>
            <w:r>
              <w:rPr>
                <w:spacing w:val="-2"/>
                <w:sz w:val="22"/>
              </w:rPr>
              <w:t>Managed </w:t>
            </w:r>
            <w:r>
              <w:rPr>
                <w:sz w:val="22"/>
              </w:rPr>
              <w:t>Care</w:t>
            </w:r>
            <w:r>
              <w:rPr>
                <w:spacing w:val="-14"/>
                <w:sz w:val="22"/>
              </w:rPr>
              <w:t> </w:t>
            </w:r>
            <w:r>
              <w:rPr>
                <w:sz w:val="22"/>
              </w:rPr>
              <w:t>(PCC </w:t>
            </w:r>
            <w:r>
              <w:rPr>
                <w:spacing w:val="-2"/>
                <w:sz w:val="22"/>
              </w:rPr>
              <w:t>Plan, </w:t>
            </w:r>
            <w:r>
              <w:rPr>
                <w:spacing w:val="-4"/>
                <w:sz w:val="22"/>
              </w:rPr>
              <w:t>MCO, </w:t>
            </w:r>
            <w:r>
              <w:rPr>
                <w:sz w:val="22"/>
              </w:rPr>
              <w:t>PCACO</w:t>
            </w:r>
            <w:r>
              <w:rPr>
                <w:spacing w:val="-14"/>
                <w:sz w:val="22"/>
              </w:rPr>
              <w:t> </w:t>
            </w:r>
            <w:r>
              <w:rPr>
                <w:sz w:val="22"/>
              </w:rPr>
              <w:t>or </w:t>
            </w:r>
            <w:r>
              <w:rPr>
                <w:spacing w:val="-2"/>
                <w:sz w:val="22"/>
              </w:rPr>
              <w:t>ACPP)</w:t>
            </w:r>
          </w:p>
          <w:p>
            <w:pPr>
              <w:pStyle w:val="TableParagraph"/>
              <w:spacing w:line="252" w:lineRule="exact"/>
              <w:ind w:left="107"/>
              <w:rPr>
                <w:sz w:val="22"/>
              </w:rPr>
            </w:pPr>
            <w:r>
              <w:rPr>
                <w:spacing w:val="-5"/>
                <w:sz w:val="22"/>
              </w:rPr>
              <w:t>**</w:t>
            </w:r>
          </w:p>
          <w:p>
            <w:pPr>
              <w:pStyle w:val="TableParagraph"/>
              <w:ind w:left="107"/>
              <w:rPr>
                <w:sz w:val="22"/>
              </w:rPr>
            </w:pPr>
            <w:r>
              <w:rPr>
                <w:spacing w:val="-5"/>
                <w:sz w:val="22"/>
              </w:rPr>
              <w:t>**</w:t>
            </w:r>
          </w:p>
          <w:p>
            <w:pPr>
              <w:pStyle w:val="TableParagraph"/>
              <w:spacing w:before="10"/>
              <w:rPr>
                <w:sz w:val="23"/>
              </w:rPr>
            </w:pPr>
          </w:p>
          <w:p>
            <w:pPr>
              <w:pStyle w:val="TableParagraph"/>
              <w:ind w:left="107" w:right="170"/>
              <w:rPr>
                <w:sz w:val="22"/>
              </w:rPr>
            </w:pPr>
            <w:r>
              <w:rPr>
                <w:spacing w:val="-2"/>
                <w:sz w:val="22"/>
              </w:rPr>
              <w:t>Certain services </w:t>
            </w:r>
            <w:r>
              <w:rPr>
                <w:sz w:val="22"/>
              </w:rPr>
              <w:t>provided</w:t>
            </w:r>
            <w:r>
              <w:rPr>
                <w:spacing w:val="-14"/>
                <w:sz w:val="22"/>
              </w:rPr>
              <w:t> </w:t>
            </w:r>
            <w:r>
              <w:rPr>
                <w:sz w:val="22"/>
              </w:rPr>
              <w:t>via</w:t>
            </w:r>
          </w:p>
          <w:p>
            <w:pPr>
              <w:pStyle w:val="TableParagraph"/>
              <w:spacing w:line="235" w:lineRule="exact"/>
              <w:ind w:left="107"/>
              <w:rPr>
                <w:sz w:val="22"/>
              </w:rPr>
            </w:pPr>
            <w:r>
              <w:rPr>
                <w:spacing w:val="-5"/>
                <w:sz w:val="22"/>
              </w:rPr>
              <w:t>FFS</w:t>
            </w:r>
          </w:p>
        </w:tc>
        <w:tc>
          <w:tcPr>
            <w:tcW w:w="490"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47"/>
              <w:ind w:left="107"/>
              <w:rPr>
                <w:sz w:val="22"/>
              </w:rPr>
            </w:pPr>
            <w:r>
              <w:rPr>
                <w:w w:val="100"/>
                <w:sz w:val="22"/>
              </w:rPr>
              <w:t>X</w:t>
            </w:r>
          </w:p>
        </w:tc>
        <w:tc>
          <w:tcPr>
            <w:tcW w:w="485" w:type="dxa"/>
          </w:tcPr>
          <w:p>
            <w:pPr>
              <w:pStyle w:val="TableParagraph"/>
              <w:rPr>
                <w:sz w:val="20"/>
              </w:rPr>
            </w:pPr>
          </w:p>
        </w:tc>
        <w:tc>
          <w:tcPr>
            <w:tcW w:w="483"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47"/>
              <w:ind w:right="97"/>
              <w:jc w:val="center"/>
              <w:rPr>
                <w:sz w:val="22"/>
              </w:rPr>
            </w:pPr>
            <w:r>
              <w:rPr>
                <w:w w:val="100"/>
                <w:sz w:val="22"/>
              </w:rPr>
              <w:t>X</w:t>
            </w:r>
          </w:p>
        </w:tc>
        <w:tc>
          <w:tcPr>
            <w:tcW w:w="3893" w:type="dxa"/>
          </w:tcPr>
          <w:p>
            <w:pPr>
              <w:pStyle w:val="TableParagraph"/>
              <w:rPr>
                <w:sz w:val="24"/>
              </w:rPr>
            </w:pPr>
          </w:p>
          <w:p>
            <w:pPr>
              <w:pStyle w:val="TableParagraph"/>
              <w:rPr>
                <w:sz w:val="24"/>
              </w:rPr>
            </w:pPr>
          </w:p>
          <w:p>
            <w:pPr>
              <w:pStyle w:val="TableParagraph"/>
              <w:rPr>
                <w:sz w:val="24"/>
              </w:rPr>
            </w:pPr>
          </w:p>
          <w:p>
            <w:pPr>
              <w:pStyle w:val="TableParagraph"/>
              <w:spacing w:before="193"/>
              <w:ind w:left="106" w:right="136"/>
              <w:rPr>
                <w:sz w:val="22"/>
              </w:rPr>
            </w:pPr>
            <w:r>
              <w:rPr>
                <w:sz w:val="22"/>
              </w:rPr>
              <w:t>10 days prior to date of application (except for populations listed in STC 4.2 whose start date of coverage may be up to</w:t>
            </w:r>
            <w:r>
              <w:rPr>
                <w:spacing w:val="-4"/>
                <w:sz w:val="22"/>
              </w:rPr>
              <w:t> </w:t>
            </w:r>
            <w:r>
              <w:rPr>
                <w:sz w:val="22"/>
              </w:rPr>
              <w:t>the</w:t>
            </w:r>
            <w:r>
              <w:rPr>
                <w:spacing w:val="-4"/>
                <w:sz w:val="22"/>
              </w:rPr>
              <w:t> </w:t>
            </w:r>
            <w:r>
              <w:rPr>
                <w:sz w:val="22"/>
              </w:rPr>
              <w:t>first</w:t>
            </w:r>
            <w:r>
              <w:rPr>
                <w:spacing w:val="-3"/>
                <w:sz w:val="22"/>
              </w:rPr>
              <w:t> </w:t>
            </w:r>
            <w:r>
              <w:rPr>
                <w:sz w:val="22"/>
              </w:rPr>
              <w:t>day</w:t>
            </w:r>
            <w:r>
              <w:rPr>
                <w:spacing w:val="-7"/>
                <w:sz w:val="22"/>
              </w:rPr>
              <w:t> </w:t>
            </w:r>
            <w:r>
              <w:rPr>
                <w:sz w:val="22"/>
              </w:rPr>
              <w:t>of</w:t>
            </w:r>
            <w:r>
              <w:rPr>
                <w:spacing w:val="-3"/>
                <w:sz w:val="22"/>
              </w:rPr>
              <w:t> </w:t>
            </w:r>
            <w:r>
              <w:rPr>
                <w:sz w:val="22"/>
              </w:rPr>
              <w:t>the</w:t>
            </w:r>
            <w:r>
              <w:rPr>
                <w:spacing w:val="-4"/>
                <w:sz w:val="22"/>
              </w:rPr>
              <w:t> </w:t>
            </w:r>
            <w:r>
              <w:rPr>
                <w:sz w:val="22"/>
              </w:rPr>
              <w:t>third</w:t>
            </w:r>
            <w:r>
              <w:rPr>
                <w:spacing w:val="-7"/>
                <w:sz w:val="22"/>
              </w:rPr>
              <w:t> </w:t>
            </w:r>
            <w:r>
              <w:rPr>
                <w:sz w:val="22"/>
              </w:rPr>
              <w:t>month</w:t>
            </w:r>
            <w:r>
              <w:rPr>
                <w:spacing w:val="-4"/>
                <w:sz w:val="22"/>
              </w:rPr>
              <w:t> </w:t>
            </w:r>
            <w:r>
              <w:rPr>
                <w:sz w:val="22"/>
              </w:rPr>
              <w:t>prior</w:t>
            </w:r>
            <w:r>
              <w:rPr>
                <w:spacing w:val="-3"/>
                <w:sz w:val="22"/>
              </w:rPr>
              <w:t> </w:t>
            </w:r>
            <w:r>
              <w:rPr>
                <w:sz w:val="22"/>
              </w:rPr>
              <w:t>to the date of application</w:t>
            </w:r>
          </w:p>
        </w:tc>
      </w:tr>
      <w:tr>
        <w:trPr>
          <w:trHeight w:val="1264" w:hRule="atLeast"/>
        </w:trPr>
        <w:tc>
          <w:tcPr>
            <w:tcW w:w="2429" w:type="dxa"/>
          </w:tcPr>
          <w:p>
            <w:pPr>
              <w:pStyle w:val="TableParagraph"/>
              <w:rPr>
                <w:sz w:val="24"/>
              </w:rPr>
            </w:pPr>
          </w:p>
          <w:p>
            <w:pPr>
              <w:pStyle w:val="TableParagraph"/>
              <w:spacing w:before="10"/>
              <w:rPr>
                <w:sz w:val="19"/>
              </w:rPr>
            </w:pPr>
          </w:p>
          <w:p>
            <w:pPr>
              <w:pStyle w:val="TableParagraph"/>
              <w:ind w:left="107"/>
              <w:rPr>
                <w:sz w:val="22"/>
              </w:rPr>
            </w:pPr>
            <w:r>
              <w:rPr>
                <w:sz w:val="22"/>
              </w:rPr>
              <w:t>Individuals</w:t>
            </w:r>
            <w:r>
              <w:rPr>
                <w:spacing w:val="-7"/>
                <w:sz w:val="22"/>
              </w:rPr>
              <w:t> </w:t>
            </w:r>
            <w:r>
              <w:rPr>
                <w:sz w:val="22"/>
              </w:rPr>
              <w:t>with</w:t>
            </w:r>
            <w:r>
              <w:rPr>
                <w:spacing w:val="-6"/>
                <w:sz w:val="22"/>
              </w:rPr>
              <w:t> </w:t>
            </w:r>
            <w:r>
              <w:rPr>
                <w:spacing w:val="-5"/>
                <w:sz w:val="22"/>
              </w:rPr>
              <w:t>TPL</w:t>
            </w:r>
          </w:p>
        </w:tc>
        <w:tc>
          <w:tcPr>
            <w:tcW w:w="1572" w:type="dxa"/>
          </w:tcPr>
          <w:p>
            <w:pPr>
              <w:pStyle w:val="TableParagraph"/>
              <w:spacing w:before="123"/>
              <w:ind w:left="107" w:right="428"/>
              <w:rPr>
                <w:sz w:val="22"/>
              </w:rPr>
            </w:pPr>
            <w:r>
              <w:rPr>
                <w:spacing w:val="-2"/>
                <w:sz w:val="22"/>
              </w:rPr>
              <w:t>Receive </w:t>
            </w:r>
            <w:r>
              <w:rPr>
                <w:spacing w:val="-4"/>
                <w:sz w:val="22"/>
              </w:rPr>
              <w:t>wrap </w:t>
            </w:r>
            <w:r>
              <w:rPr>
                <w:sz w:val="22"/>
              </w:rPr>
              <w:t>benefits</w:t>
            </w:r>
            <w:r>
              <w:rPr>
                <w:spacing w:val="-14"/>
                <w:sz w:val="22"/>
              </w:rPr>
              <w:t> </w:t>
            </w:r>
            <w:r>
              <w:rPr>
                <w:sz w:val="22"/>
              </w:rPr>
              <w:t>via </w:t>
            </w:r>
            <w:r>
              <w:rPr>
                <w:spacing w:val="-4"/>
                <w:sz w:val="22"/>
              </w:rPr>
              <w:t>FFS</w:t>
            </w:r>
          </w:p>
        </w:tc>
        <w:tc>
          <w:tcPr>
            <w:tcW w:w="490" w:type="dxa"/>
          </w:tcPr>
          <w:p>
            <w:pPr>
              <w:pStyle w:val="TableParagraph"/>
              <w:rPr>
                <w:sz w:val="20"/>
              </w:rPr>
            </w:pPr>
          </w:p>
        </w:tc>
        <w:tc>
          <w:tcPr>
            <w:tcW w:w="485" w:type="dxa"/>
          </w:tcPr>
          <w:p>
            <w:pPr>
              <w:pStyle w:val="TableParagraph"/>
              <w:rPr>
                <w:sz w:val="20"/>
              </w:rPr>
            </w:pPr>
          </w:p>
        </w:tc>
        <w:tc>
          <w:tcPr>
            <w:tcW w:w="483" w:type="dxa"/>
          </w:tcPr>
          <w:p>
            <w:pPr>
              <w:pStyle w:val="TableParagraph"/>
              <w:rPr>
                <w:sz w:val="24"/>
              </w:rPr>
            </w:pPr>
          </w:p>
          <w:p>
            <w:pPr>
              <w:pStyle w:val="TableParagraph"/>
              <w:spacing w:before="10"/>
              <w:rPr>
                <w:sz w:val="19"/>
              </w:rPr>
            </w:pPr>
          </w:p>
          <w:p>
            <w:pPr>
              <w:pStyle w:val="TableParagraph"/>
              <w:ind w:right="97"/>
              <w:jc w:val="center"/>
              <w:rPr>
                <w:sz w:val="22"/>
              </w:rPr>
            </w:pPr>
            <w:r>
              <w:rPr>
                <w:w w:val="100"/>
                <w:sz w:val="22"/>
              </w:rPr>
              <w:t>X</w:t>
            </w:r>
          </w:p>
        </w:tc>
        <w:tc>
          <w:tcPr>
            <w:tcW w:w="3893" w:type="dxa"/>
          </w:tcPr>
          <w:p>
            <w:pPr>
              <w:pStyle w:val="TableParagraph"/>
              <w:ind w:left="106" w:right="136"/>
              <w:rPr>
                <w:sz w:val="22"/>
              </w:rPr>
            </w:pPr>
            <w:r>
              <w:rPr>
                <w:sz w:val="22"/>
              </w:rPr>
              <w:t>10 days prior to date of application (except for populations listed in STC 4.2 whose start date of coverage may be up to</w:t>
            </w:r>
            <w:r>
              <w:rPr>
                <w:spacing w:val="-4"/>
                <w:sz w:val="22"/>
              </w:rPr>
              <w:t> </w:t>
            </w:r>
            <w:r>
              <w:rPr>
                <w:sz w:val="22"/>
              </w:rPr>
              <w:t>the</w:t>
            </w:r>
            <w:r>
              <w:rPr>
                <w:spacing w:val="-4"/>
                <w:sz w:val="22"/>
              </w:rPr>
              <w:t> </w:t>
            </w:r>
            <w:r>
              <w:rPr>
                <w:sz w:val="22"/>
              </w:rPr>
              <w:t>first</w:t>
            </w:r>
            <w:r>
              <w:rPr>
                <w:spacing w:val="-3"/>
                <w:sz w:val="22"/>
              </w:rPr>
              <w:t> </w:t>
            </w:r>
            <w:r>
              <w:rPr>
                <w:sz w:val="22"/>
              </w:rPr>
              <w:t>day</w:t>
            </w:r>
            <w:r>
              <w:rPr>
                <w:spacing w:val="-7"/>
                <w:sz w:val="22"/>
              </w:rPr>
              <w:t> </w:t>
            </w:r>
            <w:r>
              <w:rPr>
                <w:sz w:val="22"/>
              </w:rPr>
              <w:t>of</w:t>
            </w:r>
            <w:r>
              <w:rPr>
                <w:spacing w:val="-3"/>
                <w:sz w:val="22"/>
              </w:rPr>
              <w:t> </w:t>
            </w:r>
            <w:r>
              <w:rPr>
                <w:sz w:val="22"/>
              </w:rPr>
              <w:t>the</w:t>
            </w:r>
            <w:r>
              <w:rPr>
                <w:spacing w:val="-4"/>
                <w:sz w:val="22"/>
              </w:rPr>
              <w:t> </w:t>
            </w:r>
            <w:r>
              <w:rPr>
                <w:sz w:val="22"/>
              </w:rPr>
              <w:t>third</w:t>
            </w:r>
            <w:r>
              <w:rPr>
                <w:spacing w:val="-7"/>
                <w:sz w:val="22"/>
              </w:rPr>
              <w:t> </w:t>
            </w:r>
            <w:r>
              <w:rPr>
                <w:sz w:val="22"/>
              </w:rPr>
              <w:t>month</w:t>
            </w:r>
            <w:r>
              <w:rPr>
                <w:spacing w:val="-4"/>
                <w:sz w:val="22"/>
              </w:rPr>
              <w:t> </w:t>
            </w:r>
            <w:r>
              <w:rPr>
                <w:sz w:val="22"/>
              </w:rPr>
              <w:t>prior</w:t>
            </w:r>
            <w:r>
              <w:rPr>
                <w:spacing w:val="-3"/>
                <w:sz w:val="22"/>
              </w:rPr>
              <w:t> </w:t>
            </w:r>
            <w:r>
              <w:rPr>
                <w:sz w:val="22"/>
              </w:rPr>
              <w:t>to</w:t>
            </w:r>
          </w:p>
          <w:p>
            <w:pPr>
              <w:pStyle w:val="TableParagraph"/>
              <w:spacing w:line="234" w:lineRule="exact"/>
              <w:ind w:left="106"/>
              <w:rPr>
                <w:sz w:val="22"/>
              </w:rPr>
            </w:pPr>
            <w:r>
              <w:rPr>
                <w:sz w:val="22"/>
              </w:rPr>
              <w:t>the</w:t>
            </w:r>
            <w:r>
              <w:rPr>
                <w:spacing w:val="-1"/>
                <w:sz w:val="22"/>
              </w:rPr>
              <w:t> </w:t>
            </w:r>
            <w:r>
              <w:rPr>
                <w:sz w:val="22"/>
              </w:rPr>
              <w:t>date</w:t>
            </w:r>
            <w:r>
              <w:rPr>
                <w:spacing w:val="-2"/>
                <w:sz w:val="22"/>
              </w:rPr>
              <w:t> </w:t>
            </w:r>
            <w:r>
              <w:rPr>
                <w:sz w:val="22"/>
              </w:rPr>
              <w:t>of</w:t>
            </w:r>
            <w:r>
              <w:rPr>
                <w:spacing w:val="-2"/>
                <w:sz w:val="22"/>
              </w:rPr>
              <w:t> application.)</w:t>
            </w:r>
          </w:p>
        </w:tc>
      </w:tr>
      <w:tr>
        <w:trPr>
          <w:trHeight w:val="1012" w:hRule="atLeast"/>
        </w:trPr>
        <w:tc>
          <w:tcPr>
            <w:tcW w:w="2429" w:type="dxa"/>
          </w:tcPr>
          <w:p>
            <w:pPr>
              <w:pStyle w:val="TableParagraph"/>
              <w:spacing w:before="9"/>
              <w:rPr>
                <w:sz w:val="32"/>
              </w:rPr>
            </w:pPr>
          </w:p>
          <w:p>
            <w:pPr>
              <w:pStyle w:val="TableParagraph"/>
              <w:ind w:left="107" w:right="869"/>
              <w:rPr>
                <w:sz w:val="22"/>
              </w:rPr>
            </w:pPr>
            <w:r>
              <w:rPr>
                <w:sz w:val="22"/>
              </w:rPr>
              <w:t>Individuals</w:t>
            </w:r>
            <w:r>
              <w:rPr>
                <w:spacing w:val="-14"/>
                <w:sz w:val="22"/>
              </w:rPr>
              <w:t> </w:t>
            </w:r>
            <w:r>
              <w:rPr>
                <w:sz w:val="22"/>
              </w:rPr>
              <w:t>with qualifying ESI</w:t>
            </w:r>
          </w:p>
        </w:tc>
        <w:tc>
          <w:tcPr>
            <w:tcW w:w="1572" w:type="dxa"/>
          </w:tcPr>
          <w:p>
            <w:pPr>
              <w:pStyle w:val="TableParagraph"/>
              <w:spacing w:before="125"/>
              <w:ind w:left="107" w:right="123"/>
              <w:rPr>
                <w:sz w:val="22"/>
              </w:rPr>
            </w:pPr>
            <w:r>
              <w:rPr>
                <w:spacing w:val="-2"/>
                <w:sz w:val="22"/>
              </w:rPr>
              <w:t>Premium </w:t>
            </w:r>
            <w:r>
              <w:rPr>
                <w:sz w:val="22"/>
              </w:rPr>
              <w:t>assistance</w:t>
            </w:r>
            <w:r>
              <w:rPr>
                <w:spacing w:val="-14"/>
                <w:sz w:val="22"/>
              </w:rPr>
              <w:t> </w:t>
            </w:r>
            <w:r>
              <w:rPr>
                <w:sz w:val="22"/>
              </w:rPr>
              <w:t>with benefits wrap</w:t>
            </w:r>
          </w:p>
        </w:tc>
        <w:tc>
          <w:tcPr>
            <w:tcW w:w="490" w:type="dxa"/>
          </w:tcPr>
          <w:p>
            <w:pPr>
              <w:pStyle w:val="TableParagraph"/>
              <w:rPr>
                <w:sz w:val="20"/>
              </w:rPr>
            </w:pPr>
          </w:p>
        </w:tc>
        <w:tc>
          <w:tcPr>
            <w:tcW w:w="485" w:type="dxa"/>
          </w:tcPr>
          <w:p>
            <w:pPr>
              <w:pStyle w:val="TableParagraph"/>
              <w:rPr>
                <w:sz w:val="20"/>
              </w:rPr>
            </w:pPr>
          </w:p>
        </w:tc>
        <w:tc>
          <w:tcPr>
            <w:tcW w:w="483" w:type="dxa"/>
          </w:tcPr>
          <w:p>
            <w:pPr>
              <w:pStyle w:val="TableParagraph"/>
              <w:rPr>
                <w:sz w:val="20"/>
              </w:rPr>
            </w:pPr>
          </w:p>
        </w:tc>
        <w:tc>
          <w:tcPr>
            <w:tcW w:w="3893" w:type="dxa"/>
          </w:tcPr>
          <w:p>
            <w:pPr>
              <w:pStyle w:val="TableParagraph"/>
              <w:ind w:left="106" w:right="136" w:firstLine="55"/>
              <w:rPr>
                <w:sz w:val="22"/>
              </w:rPr>
            </w:pPr>
            <w:r>
              <w:rPr>
                <w:sz w:val="22"/>
              </w:rPr>
              <w:t>10 days prior to date of application (except</w:t>
            </w:r>
            <w:r>
              <w:rPr>
                <w:spacing w:val="-8"/>
                <w:sz w:val="22"/>
              </w:rPr>
              <w:t> </w:t>
            </w:r>
            <w:r>
              <w:rPr>
                <w:sz w:val="22"/>
              </w:rPr>
              <w:t>for</w:t>
            </w:r>
            <w:r>
              <w:rPr>
                <w:spacing w:val="-8"/>
                <w:sz w:val="22"/>
              </w:rPr>
              <w:t> </w:t>
            </w:r>
            <w:r>
              <w:rPr>
                <w:sz w:val="22"/>
              </w:rPr>
              <w:t>populations</w:t>
            </w:r>
            <w:r>
              <w:rPr>
                <w:spacing w:val="-6"/>
                <w:sz w:val="22"/>
              </w:rPr>
              <w:t> </w:t>
            </w:r>
            <w:r>
              <w:rPr>
                <w:sz w:val="22"/>
              </w:rPr>
              <w:t>listed</w:t>
            </w:r>
            <w:r>
              <w:rPr>
                <w:spacing w:val="-6"/>
                <w:sz w:val="22"/>
              </w:rPr>
              <w:t> </w:t>
            </w:r>
            <w:r>
              <w:rPr>
                <w:sz w:val="22"/>
              </w:rPr>
              <w:t>in</w:t>
            </w:r>
            <w:r>
              <w:rPr>
                <w:spacing w:val="-6"/>
                <w:sz w:val="22"/>
              </w:rPr>
              <w:t> </w:t>
            </w:r>
            <w:r>
              <w:rPr>
                <w:sz w:val="22"/>
              </w:rPr>
              <w:t>STC</w:t>
            </w:r>
            <w:r>
              <w:rPr>
                <w:spacing w:val="-7"/>
                <w:sz w:val="22"/>
              </w:rPr>
              <w:t> </w:t>
            </w:r>
            <w:r>
              <w:rPr>
                <w:sz w:val="22"/>
              </w:rPr>
              <w:t>4.2 whose start date of coverage may be up</w:t>
            </w:r>
          </w:p>
          <w:p>
            <w:pPr>
              <w:pStyle w:val="TableParagraph"/>
              <w:spacing w:line="235" w:lineRule="exact"/>
              <w:ind w:left="106"/>
              <w:rPr>
                <w:sz w:val="22"/>
              </w:rPr>
            </w:pPr>
            <w:r>
              <w:rPr>
                <w:sz w:val="22"/>
              </w:rPr>
              <w:t>to</w:t>
            </w:r>
            <w:r>
              <w:rPr>
                <w:spacing w:val="-4"/>
                <w:sz w:val="22"/>
              </w:rPr>
              <w:t> </w:t>
            </w:r>
            <w:r>
              <w:rPr>
                <w:sz w:val="22"/>
              </w:rPr>
              <w:t>the</w:t>
            </w:r>
            <w:r>
              <w:rPr>
                <w:spacing w:val="-2"/>
                <w:sz w:val="22"/>
              </w:rPr>
              <w:t> </w:t>
            </w:r>
            <w:r>
              <w:rPr>
                <w:sz w:val="22"/>
              </w:rPr>
              <w:t>first</w:t>
            </w:r>
            <w:r>
              <w:rPr>
                <w:spacing w:val="-1"/>
                <w:sz w:val="22"/>
              </w:rPr>
              <w:t> </w:t>
            </w:r>
            <w:r>
              <w:rPr>
                <w:sz w:val="22"/>
              </w:rPr>
              <w:t>day</w:t>
            </w:r>
            <w:r>
              <w:rPr>
                <w:spacing w:val="-5"/>
                <w:sz w:val="22"/>
              </w:rPr>
              <w:t> </w:t>
            </w:r>
            <w:r>
              <w:rPr>
                <w:sz w:val="22"/>
              </w:rPr>
              <w:t>of</w:t>
            </w:r>
            <w:r>
              <w:rPr>
                <w:spacing w:val="-1"/>
                <w:sz w:val="22"/>
              </w:rPr>
              <w:t> </w:t>
            </w:r>
            <w:r>
              <w:rPr>
                <w:sz w:val="22"/>
              </w:rPr>
              <w:t>the</w:t>
            </w:r>
            <w:r>
              <w:rPr>
                <w:spacing w:val="-2"/>
                <w:sz w:val="22"/>
              </w:rPr>
              <w:t> </w:t>
            </w:r>
            <w:r>
              <w:rPr>
                <w:sz w:val="22"/>
              </w:rPr>
              <w:t>third</w:t>
            </w:r>
            <w:r>
              <w:rPr>
                <w:spacing w:val="-5"/>
                <w:sz w:val="22"/>
              </w:rPr>
              <w:t> </w:t>
            </w:r>
            <w:r>
              <w:rPr>
                <w:sz w:val="22"/>
              </w:rPr>
              <w:t>month</w:t>
            </w:r>
            <w:r>
              <w:rPr>
                <w:spacing w:val="-2"/>
                <w:sz w:val="22"/>
              </w:rPr>
              <w:t> </w:t>
            </w:r>
            <w:r>
              <w:rPr>
                <w:sz w:val="22"/>
              </w:rPr>
              <w:t>prior </w:t>
            </w:r>
            <w:r>
              <w:rPr>
                <w:spacing w:val="-10"/>
                <w:sz w:val="22"/>
              </w:rPr>
              <w:t>t</w:t>
            </w:r>
          </w:p>
        </w:tc>
      </w:tr>
      <w:tr>
        <w:trPr>
          <w:trHeight w:val="251" w:hRule="atLeast"/>
        </w:trPr>
        <w:tc>
          <w:tcPr>
            <w:tcW w:w="9352" w:type="dxa"/>
            <w:gridSpan w:val="6"/>
          </w:tcPr>
          <w:p>
            <w:pPr>
              <w:pStyle w:val="TableParagraph"/>
              <w:spacing w:line="232" w:lineRule="exact"/>
              <w:ind w:left="1888" w:right="1878"/>
              <w:jc w:val="center"/>
              <w:rPr>
                <w:i/>
                <w:sz w:val="22"/>
              </w:rPr>
            </w:pPr>
            <w:r>
              <w:rPr>
                <w:i/>
                <w:spacing w:val="-2"/>
                <w:sz w:val="22"/>
              </w:rPr>
              <w:t>CarePlus*</w:t>
            </w:r>
          </w:p>
        </w:tc>
      </w:tr>
      <w:tr>
        <w:trPr>
          <w:trHeight w:val="2783" w:hRule="atLeast"/>
        </w:trPr>
        <w:tc>
          <w:tcPr>
            <w:tcW w:w="2429"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59"/>
              <w:ind w:left="107"/>
              <w:rPr>
                <w:sz w:val="22"/>
              </w:rPr>
            </w:pPr>
            <w:r>
              <w:rPr>
                <w:sz w:val="22"/>
              </w:rPr>
              <w:t>Individuals</w:t>
            </w:r>
            <w:r>
              <w:rPr>
                <w:spacing w:val="-3"/>
                <w:sz w:val="22"/>
              </w:rPr>
              <w:t> </w:t>
            </w:r>
            <w:r>
              <w:rPr>
                <w:sz w:val="22"/>
              </w:rPr>
              <w:t>with</w:t>
            </w:r>
            <w:r>
              <w:rPr>
                <w:spacing w:val="-3"/>
                <w:sz w:val="22"/>
              </w:rPr>
              <w:t> </w:t>
            </w:r>
            <w:r>
              <w:rPr>
                <w:sz w:val="22"/>
              </w:rPr>
              <w:t>no</w:t>
            </w:r>
            <w:r>
              <w:rPr>
                <w:spacing w:val="-5"/>
                <w:sz w:val="22"/>
              </w:rPr>
              <w:t> TPL</w:t>
            </w:r>
          </w:p>
        </w:tc>
        <w:tc>
          <w:tcPr>
            <w:tcW w:w="1572" w:type="dxa"/>
          </w:tcPr>
          <w:p>
            <w:pPr>
              <w:pStyle w:val="TableParagraph"/>
              <w:ind w:left="107" w:right="161"/>
              <w:rPr>
                <w:sz w:val="22"/>
              </w:rPr>
            </w:pPr>
            <w:r>
              <w:rPr>
                <w:sz w:val="22"/>
              </w:rPr>
              <w:t>Managed</w:t>
            </w:r>
            <w:r>
              <w:rPr>
                <w:spacing w:val="-14"/>
                <w:sz w:val="22"/>
              </w:rPr>
              <w:t> </w:t>
            </w:r>
            <w:r>
              <w:rPr>
                <w:sz w:val="22"/>
              </w:rPr>
              <w:t>Care (PCC Plan, </w:t>
            </w:r>
            <w:r>
              <w:rPr>
                <w:spacing w:val="-4"/>
                <w:sz w:val="22"/>
              </w:rPr>
              <w:t>MCO,</w:t>
            </w:r>
            <w:r>
              <w:rPr>
                <w:spacing w:val="40"/>
                <w:sz w:val="22"/>
              </w:rPr>
              <w:t> </w:t>
            </w:r>
            <w:r>
              <w:rPr>
                <w:sz w:val="22"/>
              </w:rPr>
              <w:t>PCACO or </w:t>
            </w:r>
            <w:r>
              <w:rPr>
                <w:spacing w:val="-2"/>
                <w:sz w:val="22"/>
              </w:rPr>
              <w:t>ACPP)</w:t>
            </w:r>
          </w:p>
          <w:p>
            <w:pPr>
              <w:pStyle w:val="TableParagraph"/>
              <w:spacing w:line="253" w:lineRule="exact"/>
              <w:ind w:left="210"/>
              <w:rPr>
                <w:sz w:val="22"/>
              </w:rPr>
            </w:pPr>
            <w:r>
              <w:rPr>
                <w:spacing w:val="-5"/>
                <w:sz w:val="22"/>
              </w:rPr>
              <w:t>**</w:t>
            </w:r>
          </w:p>
          <w:p>
            <w:pPr>
              <w:pStyle w:val="TableParagraph"/>
              <w:spacing w:before="10"/>
              <w:rPr>
                <w:sz w:val="21"/>
              </w:rPr>
            </w:pPr>
          </w:p>
          <w:p>
            <w:pPr>
              <w:pStyle w:val="TableParagraph"/>
              <w:ind w:left="107" w:right="170"/>
              <w:rPr>
                <w:sz w:val="22"/>
              </w:rPr>
            </w:pPr>
            <w:r>
              <w:rPr>
                <w:spacing w:val="-2"/>
                <w:sz w:val="22"/>
              </w:rPr>
              <w:t>Certain services</w:t>
            </w:r>
          </w:p>
          <w:p>
            <w:pPr>
              <w:pStyle w:val="TableParagraph"/>
              <w:spacing w:line="252" w:lineRule="exact"/>
              <w:ind w:left="107" w:right="170"/>
              <w:rPr>
                <w:sz w:val="22"/>
              </w:rPr>
            </w:pPr>
            <w:r>
              <w:rPr>
                <w:sz w:val="22"/>
              </w:rPr>
              <w:t>provided</w:t>
            </w:r>
            <w:r>
              <w:rPr>
                <w:spacing w:val="-14"/>
                <w:sz w:val="22"/>
              </w:rPr>
              <w:t> </w:t>
            </w:r>
            <w:r>
              <w:rPr>
                <w:sz w:val="22"/>
              </w:rPr>
              <w:t>via </w:t>
            </w:r>
            <w:r>
              <w:rPr>
                <w:spacing w:val="-4"/>
                <w:sz w:val="22"/>
              </w:rPr>
              <w:t>FFS</w:t>
            </w:r>
          </w:p>
        </w:tc>
        <w:tc>
          <w:tcPr>
            <w:tcW w:w="490"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59"/>
              <w:ind w:left="165"/>
              <w:rPr>
                <w:sz w:val="22"/>
              </w:rPr>
            </w:pPr>
            <w:r>
              <w:rPr>
                <w:w w:val="100"/>
                <w:sz w:val="22"/>
              </w:rPr>
              <w:t>X</w:t>
            </w:r>
          </w:p>
        </w:tc>
        <w:tc>
          <w:tcPr>
            <w:tcW w:w="485" w:type="dxa"/>
          </w:tcPr>
          <w:p>
            <w:pPr>
              <w:pStyle w:val="TableParagraph"/>
              <w:rPr>
                <w:sz w:val="20"/>
              </w:rPr>
            </w:pPr>
          </w:p>
        </w:tc>
        <w:tc>
          <w:tcPr>
            <w:tcW w:w="483"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59"/>
              <w:ind w:right="97"/>
              <w:jc w:val="center"/>
              <w:rPr>
                <w:sz w:val="22"/>
              </w:rPr>
            </w:pPr>
            <w:r>
              <w:rPr>
                <w:w w:val="100"/>
                <w:sz w:val="22"/>
              </w:rPr>
              <w:t>X</w:t>
            </w:r>
          </w:p>
        </w:tc>
        <w:tc>
          <w:tcPr>
            <w:tcW w:w="3893" w:type="dxa"/>
          </w:tcPr>
          <w:p>
            <w:pPr>
              <w:pStyle w:val="TableParagraph"/>
              <w:rPr>
                <w:sz w:val="24"/>
              </w:rPr>
            </w:pPr>
          </w:p>
          <w:p>
            <w:pPr>
              <w:pStyle w:val="TableParagraph"/>
              <w:rPr>
                <w:sz w:val="24"/>
              </w:rPr>
            </w:pPr>
          </w:p>
          <w:p>
            <w:pPr>
              <w:pStyle w:val="TableParagraph"/>
              <w:spacing w:before="207"/>
              <w:ind w:left="106" w:right="136"/>
              <w:rPr>
                <w:sz w:val="22"/>
              </w:rPr>
            </w:pPr>
            <w:r>
              <w:rPr>
                <w:sz w:val="22"/>
              </w:rPr>
              <w:t>10 days prior to date of application (except for populations listed in STC 4.2 whose start date of coverage may be up to</w:t>
            </w:r>
            <w:r>
              <w:rPr>
                <w:spacing w:val="-4"/>
                <w:sz w:val="22"/>
              </w:rPr>
              <w:t> </w:t>
            </w:r>
            <w:r>
              <w:rPr>
                <w:sz w:val="22"/>
              </w:rPr>
              <w:t>the</w:t>
            </w:r>
            <w:r>
              <w:rPr>
                <w:spacing w:val="-4"/>
                <w:sz w:val="22"/>
              </w:rPr>
              <w:t> </w:t>
            </w:r>
            <w:r>
              <w:rPr>
                <w:sz w:val="22"/>
              </w:rPr>
              <w:t>first</w:t>
            </w:r>
            <w:r>
              <w:rPr>
                <w:spacing w:val="-3"/>
                <w:sz w:val="22"/>
              </w:rPr>
              <w:t> </w:t>
            </w:r>
            <w:r>
              <w:rPr>
                <w:sz w:val="22"/>
              </w:rPr>
              <w:t>day</w:t>
            </w:r>
            <w:r>
              <w:rPr>
                <w:spacing w:val="-7"/>
                <w:sz w:val="22"/>
              </w:rPr>
              <w:t> </w:t>
            </w:r>
            <w:r>
              <w:rPr>
                <w:sz w:val="22"/>
              </w:rPr>
              <w:t>of</w:t>
            </w:r>
            <w:r>
              <w:rPr>
                <w:spacing w:val="-3"/>
                <w:sz w:val="22"/>
              </w:rPr>
              <w:t> </w:t>
            </w:r>
            <w:r>
              <w:rPr>
                <w:sz w:val="22"/>
              </w:rPr>
              <w:t>the</w:t>
            </w:r>
            <w:r>
              <w:rPr>
                <w:spacing w:val="-4"/>
                <w:sz w:val="22"/>
              </w:rPr>
              <w:t> </w:t>
            </w:r>
            <w:r>
              <w:rPr>
                <w:sz w:val="22"/>
              </w:rPr>
              <w:t>third</w:t>
            </w:r>
            <w:r>
              <w:rPr>
                <w:spacing w:val="-7"/>
                <w:sz w:val="22"/>
              </w:rPr>
              <w:t> </w:t>
            </w:r>
            <w:r>
              <w:rPr>
                <w:sz w:val="22"/>
              </w:rPr>
              <w:t>month</w:t>
            </w:r>
            <w:r>
              <w:rPr>
                <w:spacing w:val="-4"/>
                <w:sz w:val="22"/>
              </w:rPr>
              <w:t> </w:t>
            </w:r>
            <w:r>
              <w:rPr>
                <w:sz w:val="22"/>
              </w:rPr>
              <w:t>prior</w:t>
            </w:r>
            <w:r>
              <w:rPr>
                <w:spacing w:val="-3"/>
                <w:sz w:val="22"/>
              </w:rPr>
              <w:t> </w:t>
            </w:r>
            <w:r>
              <w:rPr>
                <w:sz w:val="22"/>
              </w:rPr>
              <w:t>to the date of application.)</w:t>
            </w:r>
          </w:p>
        </w:tc>
      </w:tr>
      <w:tr>
        <w:trPr>
          <w:trHeight w:val="1264" w:hRule="atLeast"/>
        </w:trPr>
        <w:tc>
          <w:tcPr>
            <w:tcW w:w="2429" w:type="dxa"/>
          </w:tcPr>
          <w:p>
            <w:pPr>
              <w:pStyle w:val="TableParagraph"/>
              <w:rPr>
                <w:sz w:val="24"/>
              </w:rPr>
            </w:pPr>
          </w:p>
          <w:p>
            <w:pPr>
              <w:pStyle w:val="TableParagraph"/>
              <w:spacing w:before="10"/>
              <w:rPr>
                <w:sz w:val="19"/>
              </w:rPr>
            </w:pPr>
          </w:p>
          <w:p>
            <w:pPr>
              <w:pStyle w:val="TableParagraph"/>
              <w:ind w:left="107"/>
              <w:rPr>
                <w:sz w:val="22"/>
              </w:rPr>
            </w:pPr>
            <w:r>
              <w:rPr>
                <w:sz w:val="22"/>
              </w:rPr>
              <w:t>Individuals</w:t>
            </w:r>
            <w:r>
              <w:rPr>
                <w:spacing w:val="-7"/>
                <w:sz w:val="22"/>
              </w:rPr>
              <w:t> </w:t>
            </w:r>
            <w:r>
              <w:rPr>
                <w:sz w:val="22"/>
              </w:rPr>
              <w:t>with</w:t>
            </w:r>
            <w:r>
              <w:rPr>
                <w:spacing w:val="-6"/>
                <w:sz w:val="22"/>
              </w:rPr>
              <w:t> </w:t>
            </w:r>
            <w:r>
              <w:rPr>
                <w:spacing w:val="-5"/>
                <w:sz w:val="22"/>
              </w:rPr>
              <w:t>TPL</w:t>
            </w:r>
          </w:p>
        </w:tc>
        <w:tc>
          <w:tcPr>
            <w:tcW w:w="1572" w:type="dxa"/>
          </w:tcPr>
          <w:p>
            <w:pPr>
              <w:pStyle w:val="TableParagraph"/>
              <w:spacing w:before="8"/>
              <w:rPr>
                <w:sz w:val="21"/>
              </w:rPr>
            </w:pPr>
          </w:p>
          <w:p>
            <w:pPr>
              <w:pStyle w:val="TableParagraph"/>
              <w:spacing w:before="1"/>
              <w:ind w:left="107" w:right="245"/>
              <w:rPr>
                <w:sz w:val="22"/>
              </w:rPr>
            </w:pPr>
            <w:r>
              <w:rPr>
                <w:sz w:val="22"/>
              </w:rPr>
              <w:t>Receive</w:t>
            </w:r>
            <w:r>
              <w:rPr>
                <w:spacing w:val="-14"/>
                <w:sz w:val="22"/>
              </w:rPr>
              <w:t> </w:t>
            </w:r>
            <w:r>
              <w:rPr>
                <w:sz w:val="22"/>
              </w:rPr>
              <w:t>wrap benefits via </w:t>
            </w:r>
            <w:r>
              <w:rPr>
                <w:spacing w:val="-4"/>
                <w:sz w:val="22"/>
              </w:rPr>
              <w:t>FFS</w:t>
            </w:r>
          </w:p>
        </w:tc>
        <w:tc>
          <w:tcPr>
            <w:tcW w:w="490" w:type="dxa"/>
          </w:tcPr>
          <w:p>
            <w:pPr>
              <w:pStyle w:val="TableParagraph"/>
              <w:rPr>
                <w:sz w:val="20"/>
              </w:rPr>
            </w:pPr>
          </w:p>
        </w:tc>
        <w:tc>
          <w:tcPr>
            <w:tcW w:w="485" w:type="dxa"/>
          </w:tcPr>
          <w:p>
            <w:pPr>
              <w:pStyle w:val="TableParagraph"/>
              <w:rPr>
                <w:sz w:val="20"/>
              </w:rPr>
            </w:pPr>
          </w:p>
        </w:tc>
        <w:tc>
          <w:tcPr>
            <w:tcW w:w="483" w:type="dxa"/>
          </w:tcPr>
          <w:p>
            <w:pPr>
              <w:pStyle w:val="TableParagraph"/>
              <w:rPr>
                <w:sz w:val="24"/>
              </w:rPr>
            </w:pPr>
          </w:p>
          <w:p>
            <w:pPr>
              <w:pStyle w:val="TableParagraph"/>
              <w:spacing w:before="10"/>
              <w:rPr>
                <w:sz w:val="19"/>
              </w:rPr>
            </w:pPr>
          </w:p>
          <w:p>
            <w:pPr>
              <w:pStyle w:val="TableParagraph"/>
              <w:ind w:left="6"/>
              <w:jc w:val="center"/>
              <w:rPr>
                <w:sz w:val="22"/>
              </w:rPr>
            </w:pPr>
            <w:r>
              <w:rPr>
                <w:w w:val="100"/>
                <w:sz w:val="22"/>
              </w:rPr>
              <w:t>X</w:t>
            </w:r>
          </w:p>
        </w:tc>
        <w:tc>
          <w:tcPr>
            <w:tcW w:w="3893" w:type="dxa"/>
          </w:tcPr>
          <w:p>
            <w:pPr>
              <w:pStyle w:val="TableParagraph"/>
              <w:ind w:left="106" w:right="136"/>
              <w:rPr>
                <w:sz w:val="22"/>
              </w:rPr>
            </w:pPr>
            <w:r>
              <w:rPr>
                <w:sz w:val="22"/>
              </w:rPr>
              <w:t>10 days prior to date of application (except for populations listed in STC 4.2 whose start date of coverage may be up to</w:t>
            </w:r>
            <w:r>
              <w:rPr>
                <w:spacing w:val="-4"/>
                <w:sz w:val="22"/>
              </w:rPr>
              <w:t> </w:t>
            </w:r>
            <w:r>
              <w:rPr>
                <w:sz w:val="22"/>
              </w:rPr>
              <w:t>the</w:t>
            </w:r>
            <w:r>
              <w:rPr>
                <w:spacing w:val="-4"/>
                <w:sz w:val="22"/>
              </w:rPr>
              <w:t> </w:t>
            </w:r>
            <w:r>
              <w:rPr>
                <w:sz w:val="22"/>
              </w:rPr>
              <w:t>first</w:t>
            </w:r>
            <w:r>
              <w:rPr>
                <w:spacing w:val="-3"/>
                <w:sz w:val="22"/>
              </w:rPr>
              <w:t> </w:t>
            </w:r>
            <w:r>
              <w:rPr>
                <w:sz w:val="22"/>
              </w:rPr>
              <w:t>day</w:t>
            </w:r>
            <w:r>
              <w:rPr>
                <w:spacing w:val="-7"/>
                <w:sz w:val="22"/>
              </w:rPr>
              <w:t> </w:t>
            </w:r>
            <w:r>
              <w:rPr>
                <w:sz w:val="22"/>
              </w:rPr>
              <w:t>of</w:t>
            </w:r>
            <w:r>
              <w:rPr>
                <w:spacing w:val="-3"/>
                <w:sz w:val="22"/>
              </w:rPr>
              <w:t> </w:t>
            </w:r>
            <w:r>
              <w:rPr>
                <w:sz w:val="22"/>
              </w:rPr>
              <w:t>the</w:t>
            </w:r>
            <w:r>
              <w:rPr>
                <w:spacing w:val="-4"/>
                <w:sz w:val="22"/>
              </w:rPr>
              <w:t> </w:t>
            </w:r>
            <w:r>
              <w:rPr>
                <w:sz w:val="22"/>
              </w:rPr>
              <w:t>third</w:t>
            </w:r>
            <w:r>
              <w:rPr>
                <w:spacing w:val="-7"/>
                <w:sz w:val="22"/>
              </w:rPr>
              <w:t> </w:t>
            </w:r>
            <w:r>
              <w:rPr>
                <w:sz w:val="22"/>
              </w:rPr>
              <w:t>month</w:t>
            </w:r>
            <w:r>
              <w:rPr>
                <w:spacing w:val="-4"/>
                <w:sz w:val="22"/>
              </w:rPr>
              <w:t> </w:t>
            </w:r>
            <w:r>
              <w:rPr>
                <w:sz w:val="22"/>
              </w:rPr>
              <w:t>prior</w:t>
            </w:r>
            <w:r>
              <w:rPr>
                <w:spacing w:val="-3"/>
                <w:sz w:val="22"/>
              </w:rPr>
              <w:t> </w:t>
            </w:r>
            <w:r>
              <w:rPr>
                <w:sz w:val="22"/>
              </w:rPr>
              <w:t>to</w:t>
            </w:r>
          </w:p>
          <w:p>
            <w:pPr>
              <w:pStyle w:val="TableParagraph"/>
              <w:spacing w:line="233" w:lineRule="exact"/>
              <w:ind w:left="106"/>
              <w:rPr>
                <w:sz w:val="22"/>
              </w:rPr>
            </w:pPr>
            <w:r>
              <w:rPr>
                <w:sz w:val="22"/>
              </w:rPr>
              <w:t>the</w:t>
            </w:r>
            <w:r>
              <w:rPr>
                <w:spacing w:val="-1"/>
                <w:sz w:val="22"/>
              </w:rPr>
              <w:t> </w:t>
            </w:r>
            <w:r>
              <w:rPr>
                <w:sz w:val="22"/>
              </w:rPr>
              <w:t>date</w:t>
            </w:r>
            <w:r>
              <w:rPr>
                <w:spacing w:val="-2"/>
                <w:sz w:val="22"/>
              </w:rPr>
              <w:t> </w:t>
            </w:r>
            <w:r>
              <w:rPr>
                <w:sz w:val="22"/>
              </w:rPr>
              <w:t>of</w:t>
            </w:r>
            <w:r>
              <w:rPr>
                <w:spacing w:val="-2"/>
                <w:sz w:val="22"/>
              </w:rPr>
              <w:t> application.)</w:t>
            </w:r>
          </w:p>
        </w:tc>
      </w:tr>
    </w:tbl>
    <w:p>
      <w:pPr>
        <w:spacing w:after="0" w:line="233" w:lineRule="exact"/>
        <w:rPr>
          <w:sz w:val="22"/>
        </w:rPr>
        <w:sectPr>
          <w:type w:val="continuous"/>
          <w:pgSz w:w="12240" w:h="15840"/>
          <w:pgMar w:header="0" w:footer="1201" w:top="1420" w:bottom="1741" w:left="1200" w:right="400"/>
        </w:sectPr>
      </w:pPr>
    </w:p>
    <w:tbl>
      <w:tblPr>
        <w:tblW w:w="0" w:type="auto"/>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9"/>
        <w:gridCol w:w="1572"/>
        <w:gridCol w:w="490"/>
        <w:gridCol w:w="485"/>
        <w:gridCol w:w="483"/>
        <w:gridCol w:w="3893"/>
      </w:tblGrid>
      <w:tr>
        <w:trPr>
          <w:trHeight w:val="801" w:hRule="atLeast"/>
        </w:trPr>
        <w:tc>
          <w:tcPr>
            <w:tcW w:w="9352" w:type="dxa"/>
            <w:gridSpan w:val="6"/>
            <w:shd w:val="clear" w:color="auto" w:fill="DBE6F1"/>
          </w:tcPr>
          <w:p>
            <w:pPr>
              <w:pStyle w:val="TableParagraph"/>
              <w:spacing w:line="244" w:lineRule="auto" w:before="145"/>
              <w:ind w:left="4209" w:hanging="4004"/>
              <w:rPr>
                <w:b/>
                <w:sz w:val="22"/>
              </w:rPr>
            </w:pPr>
            <w:r>
              <w:rPr>
                <w:b/>
                <w:sz w:val="22"/>
              </w:rPr>
              <w:t>Table</w:t>
            </w:r>
            <w:r>
              <w:rPr>
                <w:b/>
                <w:spacing w:val="-2"/>
                <w:sz w:val="22"/>
              </w:rPr>
              <w:t> </w:t>
            </w:r>
            <w:r>
              <w:rPr>
                <w:b/>
                <w:sz w:val="22"/>
              </w:rPr>
              <w:t>9:</w:t>
            </w:r>
            <w:r>
              <w:rPr>
                <w:b/>
                <w:spacing w:val="-1"/>
                <w:sz w:val="22"/>
              </w:rPr>
              <w:t> </w:t>
            </w:r>
            <w:r>
              <w:rPr>
                <w:b/>
                <w:sz w:val="22"/>
              </w:rPr>
              <w:t>Delivery</w:t>
            </w:r>
            <w:r>
              <w:rPr>
                <w:b/>
                <w:spacing w:val="-2"/>
                <w:sz w:val="22"/>
              </w:rPr>
              <w:t> </w:t>
            </w:r>
            <w:r>
              <w:rPr>
                <w:b/>
                <w:sz w:val="22"/>
              </w:rPr>
              <w:t>System</w:t>
            </w:r>
            <w:r>
              <w:rPr>
                <w:b/>
                <w:spacing w:val="-4"/>
                <w:sz w:val="22"/>
              </w:rPr>
              <w:t> </w:t>
            </w:r>
            <w:r>
              <w:rPr>
                <w:b/>
                <w:sz w:val="22"/>
              </w:rPr>
              <w:t>and</w:t>
            </w:r>
            <w:r>
              <w:rPr>
                <w:b/>
                <w:spacing w:val="-3"/>
                <w:sz w:val="22"/>
              </w:rPr>
              <w:t> </w:t>
            </w:r>
            <w:r>
              <w:rPr>
                <w:b/>
                <w:sz w:val="22"/>
              </w:rPr>
              <w:t>Coverage</w:t>
            </w:r>
            <w:r>
              <w:rPr>
                <w:b/>
                <w:spacing w:val="-4"/>
                <w:sz w:val="22"/>
              </w:rPr>
              <w:t> </w:t>
            </w:r>
            <w:r>
              <w:rPr>
                <w:b/>
                <w:sz w:val="22"/>
              </w:rPr>
              <w:t>for</w:t>
            </w:r>
            <w:r>
              <w:rPr>
                <w:b/>
                <w:spacing w:val="-2"/>
                <w:sz w:val="22"/>
              </w:rPr>
              <w:t> </w:t>
            </w:r>
            <w:r>
              <w:rPr>
                <w:b/>
                <w:sz w:val="22"/>
              </w:rPr>
              <w:t>Individuals</w:t>
            </w:r>
            <w:r>
              <w:rPr>
                <w:b/>
                <w:spacing w:val="-2"/>
                <w:sz w:val="22"/>
              </w:rPr>
              <w:t> </w:t>
            </w:r>
            <w:r>
              <w:rPr>
                <w:b/>
                <w:sz w:val="22"/>
              </w:rPr>
              <w:t>under</w:t>
            </w:r>
            <w:r>
              <w:rPr>
                <w:b/>
                <w:spacing w:val="-2"/>
                <w:sz w:val="22"/>
              </w:rPr>
              <w:t> </w:t>
            </w:r>
            <w:r>
              <w:rPr>
                <w:b/>
                <w:sz w:val="22"/>
              </w:rPr>
              <w:t>65</w:t>
            </w:r>
            <w:r>
              <w:rPr>
                <w:b/>
                <w:spacing w:val="-5"/>
                <w:sz w:val="22"/>
              </w:rPr>
              <w:t> </w:t>
            </w:r>
            <w:r>
              <w:rPr>
                <w:b/>
                <w:sz w:val="22"/>
              </w:rPr>
              <w:t>in</w:t>
            </w:r>
            <w:r>
              <w:rPr>
                <w:b/>
                <w:spacing w:val="-3"/>
                <w:sz w:val="22"/>
              </w:rPr>
              <w:t> </w:t>
            </w:r>
            <w:r>
              <w:rPr>
                <w:b/>
                <w:sz w:val="22"/>
              </w:rPr>
              <w:t>MassHealth</w:t>
            </w:r>
            <w:r>
              <w:rPr>
                <w:b/>
                <w:spacing w:val="-3"/>
                <w:sz w:val="22"/>
              </w:rPr>
              <w:t> </w:t>
            </w:r>
            <w:r>
              <w:rPr>
                <w:b/>
                <w:sz w:val="22"/>
              </w:rPr>
              <w:t>Demonstration </w:t>
            </w:r>
            <w:r>
              <w:rPr>
                <w:b/>
                <w:spacing w:val="-2"/>
                <w:sz w:val="22"/>
              </w:rPr>
              <w:t>Programs</w:t>
            </w:r>
          </w:p>
        </w:tc>
      </w:tr>
      <w:tr>
        <w:trPr>
          <w:trHeight w:val="1502" w:hRule="atLeast"/>
        </w:trPr>
        <w:tc>
          <w:tcPr>
            <w:tcW w:w="2429" w:type="dxa"/>
            <w:shd w:val="clear" w:color="auto" w:fill="DBE6F1"/>
          </w:tcPr>
          <w:p>
            <w:pPr>
              <w:pStyle w:val="TableParagraph"/>
              <w:rPr>
                <w:sz w:val="24"/>
              </w:rPr>
            </w:pPr>
          </w:p>
          <w:p>
            <w:pPr>
              <w:pStyle w:val="TableParagraph"/>
              <w:spacing w:before="1"/>
              <w:rPr>
                <w:sz w:val="30"/>
              </w:rPr>
            </w:pPr>
          </w:p>
          <w:p>
            <w:pPr>
              <w:pStyle w:val="TableParagraph"/>
              <w:ind w:left="501"/>
              <w:rPr>
                <w:b/>
                <w:sz w:val="22"/>
              </w:rPr>
            </w:pPr>
            <w:r>
              <w:rPr>
                <w:b/>
                <w:sz w:val="22"/>
              </w:rPr>
              <w:t>Coverage</w:t>
            </w:r>
            <w:r>
              <w:rPr>
                <w:b/>
                <w:spacing w:val="-2"/>
                <w:sz w:val="22"/>
              </w:rPr>
              <w:t> </w:t>
            </w:r>
            <w:r>
              <w:rPr>
                <w:b/>
                <w:spacing w:val="-4"/>
                <w:sz w:val="22"/>
              </w:rPr>
              <w:t>Type</w:t>
            </w:r>
          </w:p>
        </w:tc>
        <w:tc>
          <w:tcPr>
            <w:tcW w:w="1572" w:type="dxa"/>
            <w:shd w:val="clear" w:color="auto" w:fill="DBE6F1"/>
          </w:tcPr>
          <w:p>
            <w:pPr>
              <w:pStyle w:val="TableParagraph"/>
              <w:rPr>
                <w:sz w:val="24"/>
              </w:rPr>
            </w:pPr>
          </w:p>
          <w:p>
            <w:pPr>
              <w:pStyle w:val="TableParagraph"/>
              <w:rPr>
                <w:sz w:val="19"/>
              </w:rPr>
            </w:pPr>
          </w:p>
          <w:p>
            <w:pPr>
              <w:pStyle w:val="TableParagraph"/>
              <w:ind w:left="182" w:right="170" w:firstLine="204"/>
              <w:rPr>
                <w:b/>
                <w:sz w:val="22"/>
              </w:rPr>
            </w:pPr>
            <w:r>
              <w:rPr>
                <w:b/>
                <w:spacing w:val="-2"/>
                <w:sz w:val="22"/>
              </w:rPr>
              <w:t>Delivery </w:t>
            </w:r>
            <w:r>
              <w:rPr>
                <w:b/>
                <w:sz w:val="22"/>
              </w:rPr>
              <w:t>System</w:t>
            </w:r>
            <w:r>
              <w:rPr>
                <w:b/>
                <w:spacing w:val="-14"/>
                <w:sz w:val="22"/>
              </w:rPr>
              <w:t> </w:t>
            </w:r>
            <w:r>
              <w:rPr>
                <w:b/>
                <w:sz w:val="22"/>
              </w:rPr>
              <w:t>Type</w:t>
            </w:r>
          </w:p>
        </w:tc>
        <w:tc>
          <w:tcPr>
            <w:tcW w:w="490" w:type="dxa"/>
            <w:shd w:val="clear" w:color="auto" w:fill="DBE6F1"/>
            <w:textDirection w:val="tbRl"/>
          </w:tcPr>
          <w:p>
            <w:pPr>
              <w:pStyle w:val="TableParagraph"/>
              <w:spacing w:before="109"/>
              <w:ind w:left="218"/>
              <w:rPr>
                <w:b/>
                <w:sz w:val="22"/>
              </w:rPr>
            </w:pPr>
            <w:bookmarkStart w:name="9. COST SHARING" w:id="434"/>
            <w:bookmarkEnd w:id="434"/>
            <w:r>
              <w:rPr/>
            </w:r>
            <w:bookmarkStart w:name="9.1. Cost sharing. Cost sharing and prem" w:id="435"/>
            <w:bookmarkEnd w:id="435"/>
            <w:r>
              <w:rPr/>
            </w:r>
            <w:r>
              <w:rPr>
                <w:b/>
                <w:spacing w:val="-2"/>
                <w:sz w:val="22"/>
              </w:rPr>
              <w:t>Mandatory</w:t>
            </w:r>
          </w:p>
        </w:tc>
        <w:tc>
          <w:tcPr>
            <w:tcW w:w="485" w:type="dxa"/>
            <w:shd w:val="clear" w:color="auto" w:fill="DBE6F1"/>
            <w:textDirection w:val="tbRl"/>
          </w:tcPr>
          <w:p>
            <w:pPr>
              <w:pStyle w:val="TableParagraph"/>
              <w:spacing w:before="107"/>
              <w:ind w:left="268"/>
              <w:rPr>
                <w:b/>
                <w:sz w:val="22"/>
              </w:rPr>
            </w:pPr>
            <w:r>
              <w:rPr>
                <w:b/>
                <w:spacing w:val="-2"/>
                <w:sz w:val="22"/>
              </w:rPr>
              <w:t>Voluntary</w:t>
            </w:r>
          </w:p>
        </w:tc>
        <w:tc>
          <w:tcPr>
            <w:tcW w:w="483" w:type="dxa"/>
            <w:shd w:val="clear" w:color="auto" w:fill="DBE6F1"/>
            <w:textDirection w:val="tbRl"/>
          </w:tcPr>
          <w:p>
            <w:pPr>
              <w:pStyle w:val="TableParagraph"/>
              <w:spacing w:before="108"/>
              <w:ind w:left="295"/>
              <w:rPr>
                <w:b/>
                <w:sz w:val="22"/>
              </w:rPr>
            </w:pPr>
            <w:r>
              <w:rPr>
                <w:b/>
                <w:sz w:val="22"/>
              </w:rPr>
              <w:t>FFS</w:t>
            </w:r>
            <w:r>
              <w:rPr>
                <w:b/>
                <w:spacing w:val="-5"/>
                <w:sz w:val="22"/>
              </w:rPr>
              <w:t> </w:t>
            </w:r>
            <w:r>
              <w:rPr>
                <w:b/>
                <w:spacing w:val="-4"/>
                <w:sz w:val="22"/>
              </w:rPr>
              <w:t>Only</w:t>
            </w:r>
          </w:p>
        </w:tc>
        <w:tc>
          <w:tcPr>
            <w:tcW w:w="3893" w:type="dxa"/>
            <w:shd w:val="clear" w:color="auto" w:fill="DBE6F1"/>
          </w:tcPr>
          <w:p>
            <w:pPr>
              <w:pStyle w:val="TableParagraph"/>
              <w:rPr>
                <w:sz w:val="24"/>
              </w:rPr>
            </w:pPr>
          </w:p>
          <w:p>
            <w:pPr>
              <w:pStyle w:val="TableParagraph"/>
              <w:spacing w:before="1"/>
              <w:rPr>
                <w:sz w:val="30"/>
              </w:rPr>
            </w:pPr>
          </w:p>
          <w:p>
            <w:pPr>
              <w:pStyle w:val="TableParagraph"/>
              <w:ind w:left="701"/>
              <w:rPr>
                <w:b/>
                <w:sz w:val="22"/>
              </w:rPr>
            </w:pPr>
            <w:r>
              <w:rPr>
                <w:b/>
                <w:sz w:val="22"/>
              </w:rPr>
              <w:t>Start</w:t>
            </w:r>
            <w:r>
              <w:rPr>
                <w:b/>
                <w:spacing w:val="-4"/>
                <w:sz w:val="22"/>
              </w:rPr>
              <w:t> </w:t>
            </w:r>
            <w:r>
              <w:rPr>
                <w:b/>
                <w:sz w:val="22"/>
              </w:rPr>
              <w:t>Date</w:t>
            </w:r>
            <w:r>
              <w:rPr>
                <w:b/>
                <w:spacing w:val="-4"/>
                <w:sz w:val="22"/>
              </w:rPr>
              <w:t> </w:t>
            </w:r>
            <w:r>
              <w:rPr>
                <w:b/>
                <w:sz w:val="22"/>
              </w:rPr>
              <w:t>of</w:t>
            </w:r>
            <w:r>
              <w:rPr>
                <w:b/>
                <w:spacing w:val="1"/>
                <w:sz w:val="22"/>
              </w:rPr>
              <w:t> </w:t>
            </w:r>
            <w:r>
              <w:rPr>
                <w:b/>
                <w:spacing w:val="-2"/>
                <w:sz w:val="22"/>
              </w:rPr>
              <w:t>Coverage***</w:t>
            </w:r>
          </w:p>
        </w:tc>
      </w:tr>
      <w:tr>
        <w:trPr>
          <w:trHeight w:val="1264" w:hRule="atLeast"/>
        </w:trPr>
        <w:tc>
          <w:tcPr>
            <w:tcW w:w="2429" w:type="dxa"/>
          </w:tcPr>
          <w:p>
            <w:pPr>
              <w:pStyle w:val="TableParagraph"/>
              <w:spacing w:before="9"/>
              <w:rPr>
                <w:sz w:val="32"/>
              </w:rPr>
            </w:pPr>
          </w:p>
          <w:p>
            <w:pPr>
              <w:pStyle w:val="TableParagraph"/>
              <w:ind w:left="107" w:right="869"/>
              <w:rPr>
                <w:sz w:val="22"/>
              </w:rPr>
            </w:pPr>
            <w:r>
              <w:rPr>
                <w:sz w:val="22"/>
              </w:rPr>
              <w:t>Individuals</w:t>
            </w:r>
            <w:r>
              <w:rPr>
                <w:spacing w:val="-14"/>
                <w:sz w:val="22"/>
              </w:rPr>
              <w:t> </w:t>
            </w:r>
            <w:r>
              <w:rPr>
                <w:sz w:val="22"/>
              </w:rPr>
              <w:t>with qualifying ESI</w:t>
            </w:r>
          </w:p>
        </w:tc>
        <w:tc>
          <w:tcPr>
            <w:tcW w:w="1572" w:type="dxa"/>
          </w:tcPr>
          <w:p>
            <w:pPr>
              <w:pStyle w:val="TableParagraph"/>
              <w:spacing w:before="8"/>
              <w:rPr>
                <w:sz w:val="20"/>
              </w:rPr>
            </w:pPr>
          </w:p>
          <w:p>
            <w:pPr>
              <w:pStyle w:val="TableParagraph"/>
              <w:ind w:left="107" w:right="123"/>
              <w:rPr>
                <w:sz w:val="22"/>
              </w:rPr>
            </w:pPr>
            <w:r>
              <w:rPr>
                <w:spacing w:val="-2"/>
                <w:sz w:val="22"/>
              </w:rPr>
              <w:t>Premium </w:t>
            </w:r>
            <w:r>
              <w:rPr>
                <w:sz w:val="22"/>
              </w:rPr>
              <w:t>assistance</w:t>
            </w:r>
            <w:r>
              <w:rPr>
                <w:spacing w:val="-14"/>
                <w:sz w:val="22"/>
              </w:rPr>
              <w:t> </w:t>
            </w:r>
            <w:r>
              <w:rPr>
                <w:sz w:val="22"/>
              </w:rPr>
              <w:t>with </w:t>
            </w:r>
            <w:r>
              <w:rPr>
                <w:sz w:val="24"/>
              </w:rPr>
              <w:t>benefits </w:t>
            </w:r>
            <w:r>
              <w:rPr>
                <w:sz w:val="22"/>
              </w:rPr>
              <w:t>wrap</w:t>
            </w:r>
          </w:p>
        </w:tc>
        <w:tc>
          <w:tcPr>
            <w:tcW w:w="490" w:type="dxa"/>
          </w:tcPr>
          <w:p>
            <w:pPr>
              <w:pStyle w:val="TableParagraph"/>
              <w:rPr>
                <w:sz w:val="22"/>
              </w:rPr>
            </w:pPr>
          </w:p>
        </w:tc>
        <w:tc>
          <w:tcPr>
            <w:tcW w:w="485" w:type="dxa"/>
          </w:tcPr>
          <w:p>
            <w:pPr>
              <w:pStyle w:val="TableParagraph"/>
              <w:rPr>
                <w:sz w:val="22"/>
              </w:rPr>
            </w:pPr>
          </w:p>
        </w:tc>
        <w:tc>
          <w:tcPr>
            <w:tcW w:w="483" w:type="dxa"/>
          </w:tcPr>
          <w:p>
            <w:pPr>
              <w:pStyle w:val="TableParagraph"/>
              <w:rPr>
                <w:sz w:val="24"/>
              </w:rPr>
            </w:pPr>
          </w:p>
          <w:p>
            <w:pPr>
              <w:pStyle w:val="TableParagraph"/>
              <w:spacing w:before="7"/>
              <w:rPr>
                <w:sz w:val="19"/>
              </w:rPr>
            </w:pPr>
          </w:p>
          <w:p>
            <w:pPr>
              <w:pStyle w:val="TableParagraph"/>
              <w:spacing w:before="1"/>
              <w:ind w:left="5"/>
              <w:jc w:val="center"/>
              <w:rPr>
                <w:sz w:val="22"/>
              </w:rPr>
            </w:pPr>
            <w:r>
              <w:rPr>
                <w:w w:val="100"/>
                <w:sz w:val="22"/>
              </w:rPr>
              <w:t>X</w:t>
            </w:r>
          </w:p>
        </w:tc>
        <w:tc>
          <w:tcPr>
            <w:tcW w:w="3893" w:type="dxa"/>
          </w:tcPr>
          <w:p>
            <w:pPr>
              <w:pStyle w:val="TableParagraph"/>
              <w:ind w:left="106" w:right="136"/>
              <w:rPr>
                <w:sz w:val="22"/>
              </w:rPr>
            </w:pPr>
            <w:r>
              <w:rPr>
                <w:sz w:val="22"/>
              </w:rPr>
              <w:t>10 days prior to date of application (except for populations listed in STC 4.2 whose start date of coverage may be up to</w:t>
            </w:r>
            <w:r>
              <w:rPr>
                <w:spacing w:val="-4"/>
                <w:sz w:val="22"/>
              </w:rPr>
              <w:t> </w:t>
            </w:r>
            <w:r>
              <w:rPr>
                <w:sz w:val="22"/>
              </w:rPr>
              <w:t>the</w:t>
            </w:r>
            <w:r>
              <w:rPr>
                <w:spacing w:val="-4"/>
                <w:sz w:val="22"/>
              </w:rPr>
              <w:t> </w:t>
            </w:r>
            <w:r>
              <w:rPr>
                <w:sz w:val="22"/>
              </w:rPr>
              <w:t>first</w:t>
            </w:r>
            <w:r>
              <w:rPr>
                <w:spacing w:val="-3"/>
                <w:sz w:val="22"/>
              </w:rPr>
              <w:t> </w:t>
            </w:r>
            <w:r>
              <w:rPr>
                <w:sz w:val="22"/>
              </w:rPr>
              <w:t>day</w:t>
            </w:r>
            <w:r>
              <w:rPr>
                <w:spacing w:val="-7"/>
                <w:sz w:val="22"/>
              </w:rPr>
              <w:t> </w:t>
            </w:r>
            <w:r>
              <w:rPr>
                <w:sz w:val="22"/>
              </w:rPr>
              <w:t>of</w:t>
            </w:r>
            <w:r>
              <w:rPr>
                <w:spacing w:val="-3"/>
                <w:sz w:val="22"/>
              </w:rPr>
              <w:t> </w:t>
            </w:r>
            <w:r>
              <w:rPr>
                <w:sz w:val="22"/>
              </w:rPr>
              <w:t>the</w:t>
            </w:r>
            <w:r>
              <w:rPr>
                <w:spacing w:val="-4"/>
                <w:sz w:val="22"/>
              </w:rPr>
              <w:t> </w:t>
            </w:r>
            <w:r>
              <w:rPr>
                <w:sz w:val="22"/>
              </w:rPr>
              <w:t>third</w:t>
            </w:r>
            <w:r>
              <w:rPr>
                <w:spacing w:val="-7"/>
                <w:sz w:val="22"/>
              </w:rPr>
              <w:t> </w:t>
            </w:r>
            <w:r>
              <w:rPr>
                <w:sz w:val="22"/>
              </w:rPr>
              <w:t>month</w:t>
            </w:r>
            <w:r>
              <w:rPr>
                <w:spacing w:val="-4"/>
                <w:sz w:val="22"/>
              </w:rPr>
              <w:t> </w:t>
            </w:r>
            <w:r>
              <w:rPr>
                <w:sz w:val="22"/>
              </w:rPr>
              <w:t>prior</w:t>
            </w:r>
            <w:r>
              <w:rPr>
                <w:spacing w:val="-3"/>
                <w:sz w:val="22"/>
              </w:rPr>
              <w:t> </w:t>
            </w:r>
            <w:r>
              <w:rPr>
                <w:sz w:val="22"/>
              </w:rPr>
              <w:t>to</w:t>
            </w:r>
          </w:p>
          <w:p>
            <w:pPr>
              <w:pStyle w:val="TableParagraph"/>
              <w:spacing w:line="234" w:lineRule="exact"/>
              <w:ind w:left="106"/>
              <w:rPr>
                <w:sz w:val="22"/>
              </w:rPr>
            </w:pPr>
            <w:r>
              <w:rPr>
                <w:sz w:val="22"/>
              </w:rPr>
              <w:t>the</w:t>
            </w:r>
            <w:r>
              <w:rPr>
                <w:spacing w:val="-1"/>
                <w:sz w:val="22"/>
              </w:rPr>
              <w:t> </w:t>
            </w:r>
            <w:r>
              <w:rPr>
                <w:sz w:val="22"/>
              </w:rPr>
              <w:t>date</w:t>
            </w:r>
            <w:r>
              <w:rPr>
                <w:spacing w:val="-2"/>
                <w:sz w:val="22"/>
              </w:rPr>
              <w:t> </w:t>
            </w:r>
            <w:r>
              <w:rPr>
                <w:sz w:val="22"/>
              </w:rPr>
              <w:t>of</w:t>
            </w:r>
            <w:r>
              <w:rPr>
                <w:spacing w:val="-2"/>
                <w:sz w:val="22"/>
              </w:rPr>
              <w:t> application.)</w:t>
            </w:r>
          </w:p>
        </w:tc>
      </w:tr>
      <w:tr>
        <w:trPr>
          <w:trHeight w:val="251" w:hRule="atLeast"/>
        </w:trPr>
        <w:tc>
          <w:tcPr>
            <w:tcW w:w="9352" w:type="dxa"/>
            <w:gridSpan w:val="6"/>
          </w:tcPr>
          <w:p>
            <w:pPr>
              <w:pStyle w:val="TableParagraph"/>
              <w:spacing w:line="232" w:lineRule="exact"/>
              <w:ind w:left="1888" w:right="1878"/>
              <w:jc w:val="center"/>
              <w:rPr>
                <w:i/>
                <w:sz w:val="22"/>
              </w:rPr>
            </w:pPr>
            <w:r>
              <w:rPr>
                <w:i/>
                <w:spacing w:val="-2"/>
                <w:sz w:val="22"/>
              </w:rPr>
              <w:t>Limited</w:t>
            </w:r>
          </w:p>
        </w:tc>
      </w:tr>
      <w:tr>
        <w:trPr>
          <w:trHeight w:val="1264" w:hRule="atLeast"/>
        </w:trPr>
        <w:tc>
          <w:tcPr>
            <w:tcW w:w="2429" w:type="dxa"/>
          </w:tcPr>
          <w:p>
            <w:pPr>
              <w:pStyle w:val="TableParagraph"/>
              <w:rPr>
                <w:sz w:val="33"/>
              </w:rPr>
            </w:pPr>
          </w:p>
          <w:p>
            <w:pPr>
              <w:pStyle w:val="TableParagraph"/>
              <w:ind w:left="107"/>
              <w:rPr>
                <w:sz w:val="22"/>
              </w:rPr>
            </w:pPr>
            <w:r>
              <w:rPr>
                <w:sz w:val="22"/>
              </w:rPr>
              <w:t>Individuals receiving emergency</w:t>
            </w:r>
            <w:r>
              <w:rPr>
                <w:spacing w:val="-14"/>
                <w:sz w:val="22"/>
              </w:rPr>
              <w:t> </w:t>
            </w:r>
            <w:r>
              <w:rPr>
                <w:sz w:val="22"/>
              </w:rPr>
              <w:t>services</w:t>
            </w:r>
            <w:r>
              <w:rPr>
                <w:spacing w:val="-14"/>
                <w:sz w:val="22"/>
              </w:rPr>
              <w:t> </w:t>
            </w:r>
            <w:r>
              <w:rPr>
                <w:sz w:val="22"/>
              </w:rPr>
              <w:t>only</w:t>
            </w:r>
          </w:p>
        </w:tc>
        <w:tc>
          <w:tcPr>
            <w:tcW w:w="1572" w:type="dxa"/>
          </w:tcPr>
          <w:p>
            <w:pPr>
              <w:pStyle w:val="TableParagraph"/>
              <w:rPr>
                <w:sz w:val="24"/>
              </w:rPr>
            </w:pPr>
          </w:p>
          <w:p>
            <w:pPr>
              <w:pStyle w:val="TableParagraph"/>
              <w:spacing w:before="10"/>
              <w:rPr>
                <w:sz w:val="19"/>
              </w:rPr>
            </w:pPr>
          </w:p>
          <w:p>
            <w:pPr>
              <w:pStyle w:val="TableParagraph"/>
              <w:ind w:left="107"/>
              <w:rPr>
                <w:sz w:val="22"/>
              </w:rPr>
            </w:pPr>
            <w:r>
              <w:rPr>
                <w:spacing w:val="-5"/>
                <w:sz w:val="22"/>
              </w:rPr>
              <w:t>FFS</w:t>
            </w:r>
          </w:p>
        </w:tc>
        <w:tc>
          <w:tcPr>
            <w:tcW w:w="490" w:type="dxa"/>
          </w:tcPr>
          <w:p>
            <w:pPr>
              <w:pStyle w:val="TableParagraph"/>
              <w:rPr>
                <w:sz w:val="22"/>
              </w:rPr>
            </w:pPr>
          </w:p>
        </w:tc>
        <w:tc>
          <w:tcPr>
            <w:tcW w:w="485" w:type="dxa"/>
          </w:tcPr>
          <w:p>
            <w:pPr>
              <w:pStyle w:val="TableParagraph"/>
              <w:rPr>
                <w:sz w:val="22"/>
              </w:rPr>
            </w:pPr>
          </w:p>
        </w:tc>
        <w:tc>
          <w:tcPr>
            <w:tcW w:w="483" w:type="dxa"/>
          </w:tcPr>
          <w:p>
            <w:pPr>
              <w:pStyle w:val="TableParagraph"/>
              <w:rPr>
                <w:sz w:val="24"/>
              </w:rPr>
            </w:pPr>
          </w:p>
          <w:p>
            <w:pPr>
              <w:pStyle w:val="TableParagraph"/>
              <w:spacing w:before="10"/>
              <w:rPr>
                <w:sz w:val="19"/>
              </w:rPr>
            </w:pPr>
          </w:p>
          <w:p>
            <w:pPr>
              <w:pStyle w:val="TableParagraph"/>
              <w:ind w:right="97"/>
              <w:jc w:val="center"/>
              <w:rPr>
                <w:sz w:val="22"/>
              </w:rPr>
            </w:pPr>
            <w:r>
              <w:rPr>
                <w:w w:val="100"/>
                <w:sz w:val="22"/>
              </w:rPr>
              <w:t>X</w:t>
            </w:r>
          </w:p>
        </w:tc>
        <w:tc>
          <w:tcPr>
            <w:tcW w:w="3893" w:type="dxa"/>
          </w:tcPr>
          <w:p>
            <w:pPr>
              <w:pStyle w:val="TableParagraph"/>
              <w:ind w:left="106" w:right="136"/>
              <w:rPr>
                <w:sz w:val="22"/>
              </w:rPr>
            </w:pPr>
            <w:r>
              <w:rPr>
                <w:sz w:val="22"/>
              </w:rPr>
              <w:t>10 days prior to date of application (except for populations listed in STC 4.2 whose start date of coverage may be up</w:t>
            </w:r>
          </w:p>
          <w:p>
            <w:pPr>
              <w:pStyle w:val="TableParagraph"/>
              <w:spacing w:line="252" w:lineRule="exact"/>
              <w:ind w:left="106"/>
              <w:rPr>
                <w:sz w:val="22"/>
              </w:rPr>
            </w:pPr>
            <w:r>
              <w:rPr>
                <w:sz w:val="22"/>
              </w:rPr>
              <w:t>to</w:t>
            </w:r>
            <w:r>
              <w:rPr>
                <w:spacing w:val="-4"/>
                <w:sz w:val="22"/>
              </w:rPr>
              <w:t> </w:t>
            </w:r>
            <w:r>
              <w:rPr>
                <w:sz w:val="22"/>
              </w:rPr>
              <w:t>the</w:t>
            </w:r>
            <w:r>
              <w:rPr>
                <w:spacing w:val="-4"/>
                <w:sz w:val="22"/>
              </w:rPr>
              <w:t> </w:t>
            </w:r>
            <w:r>
              <w:rPr>
                <w:sz w:val="22"/>
              </w:rPr>
              <w:t>first</w:t>
            </w:r>
            <w:r>
              <w:rPr>
                <w:spacing w:val="-3"/>
                <w:sz w:val="22"/>
              </w:rPr>
              <w:t> </w:t>
            </w:r>
            <w:r>
              <w:rPr>
                <w:sz w:val="22"/>
              </w:rPr>
              <w:t>day</w:t>
            </w:r>
            <w:r>
              <w:rPr>
                <w:spacing w:val="-7"/>
                <w:sz w:val="22"/>
              </w:rPr>
              <w:t> </w:t>
            </w:r>
            <w:r>
              <w:rPr>
                <w:sz w:val="22"/>
              </w:rPr>
              <w:t>of</w:t>
            </w:r>
            <w:r>
              <w:rPr>
                <w:spacing w:val="-3"/>
                <w:sz w:val="22"/>
              </w:rPr>
              <w:t> </w:t>
            </w:r>
            <w:r>
              <w:rPr>
                <w:sz w:val="22"/>
              </w:rPr>
              <w:t>the</w:t>
            </w:r>
            <w:r>
              <w:rPr>
                <w:spacing w:val="-4"/>
                <w:sz w:val="22"/>
              </w:rPr>
              <w:t> </w:t>
            </w:r>
            <w:r>
              <w:rPr>
                <w:sz w:val="22"/>
              </w:rPr>
              <w:t>third</w:t>
            </w:r>
            <w:r>
              <w:rPr>
                <w:spacing w:val="-7"/>
                <w:sz w:val="22"/>
              </w:rPr>
              <w:t> </w:t>
            </w:r>
            <w:r>
              <w:rPr>
                <w:sz w:val="22"/>
              </w:rPr>
              <w:t>month</w:t>
            </w:r>
            <w:r>
              <w:rPr>
                <w:spacing w:val="-4"/>
                <w:sz w:val="22"/>
              </w:rPr>
              <w:t> </w:t>
            </w:r>
            <w:r>
              <w:rPr>
                <w:sz w:val="22"/>
              </w:rPr>
              <w:t>prior</w:t>
            </w:r>
            <w:r>
              <w:rPr>
                <w:spacing w:val="-3"/>
                <w:sz w:val="22"/>
              </w:rPr>
              <w:t> </w:t>
            </w:r>
            <w:r>
              <w:rPr>
                <w:sz w:val="22"/>
              </w:rPr>
              <w:t>to the date of application.)</w:t>
            </w:r>
          </w:p>
        </w:tc>
      </w:tr>
      <w:tr>
        <w:trPr>
          <w:trHeight w:val="760" w:hRule="atLeast"/>
        </w:trPr>
        <w:tc>
          <w:tcPr>
            <w:tcW w:w="2429" w:type="dxa"/>
          </w:tcPr>
          <w:p>
            <w:pPr>
              <w:pStyle w:val="TableParagraph"/>
              <w:spacing w:before="125"/>
              <w:ind w:left="107" w:right="748"/>
              <w:rPr>
                <w:sz w:val="22"/>
              </w:rPr>
            </w:pPr>
            <w:r>
              <w:rPr>
                <w:sz w:val="22"/>
              </w:rPr>
              <w:t>Health</w:t>
            </w:r>
            <w:r>
              <w:rPr>
                <w:spacing w:val="-14"/>
                <w:sz w:val="22"/>
              </w:rPr>
              <w:t> </w:t>
            </w:r>
            <w:r>
              <w:rPr>
                <w:sz w:val="22"/>
              </w:rPr>
              <w:t>Connector </w:t>
            </w:r>
            <w:r>
              <w:rPr>
                <w:spacing w:val="-2"/>
                <w:sz w:val="22"/>
              </w:rPr>
              <w:t>Subsidies</w:t>
            </w:r>
          </w:p>
        </w:tc>
        <w:tc>
          <w:tcPr>
            <w:tcW w:w="1572" w:type="dxa"/>
          </w:tcPr>
          <w:p>
            <w:pPr>
              <w:pStyle w:val="TableParagraph"/>
              <w:spacing w:line="252" w:lineRule="exact"/>
              <w:ind w:left="107" w:right="269"/>
              <w:rPr>
                <w:sz w:val="22"/>
              </w:rPr>
            </w:pPr>
            <w:r>
              <w:rPr>
                <w:sz w:val="22"/>
              </w:rPr>
              <w:t>Premium</w:t>
            </w:r>
            <w:r>
              <w:rPr>
                <w:spacing w:val="-14"/>
                <w:sz w:val="22"/>
              </w:rPr>
              <w:t> </w:t>
            </w:r>
            <w:r>
              <w:rPr>
                <w:sz w:val="22"/>
              </w:rPr>
              <w:t>and cost sharing </w:t>
            </w:r>
            <w:r>
              <w:rPr>
                <w:spacing w:val="-2"/>
                <w:sz w:val="22"/>
              </w:rPr>
              <w:t>assistance</w:t>
            </w:r>
          </w:p>
        </w:tc>
        <w:tc>
          <w:tcPr>
            <w:tcW w:w="490" w:type="dxa"/>
          </w:tcPr>
          <w:p>
            <w:pPr>
              <w:pStyle w:val="TableParagraph"/>
              <w:spacing w:before="11"/>
              <w:rPr>
                <w:sz w:val="21"/>
              </w:rPr>
            </w:pPr>
          </w:p>
          <w:p>
            <w:pPr>
              <w:pStyle w:val="TableParagraph"/>
              <w:ind w:left="107"/>
              <w:rPr>
                <w:sz w:val="22"/>
              </w:rPr>
            </w:pPr>
            <w:r>
              <w:rPr>
                <w:w w:val="100"/>
                <w:sz w:val="22"/>
              </w:rPr>
              <w:t>X</w:t>
            </w:r>
          </w:p>
        </w:tc>
        <w:tc>
          <w:tcPr>
            <w:tcW w:w="485" w:type="dxa"/>
          </w:tcPr>
          <w:p>
            <w:pPr>
              <w:pStyle w:val="TableParagraph"/>
              <w:rPr>
                <w:sz w:val="22"/>
              </w:rPr>
            </w:pPr>
          </w:p>
        </w:tc>
        <w:tc>
          <w:tcPr>
            <w:tcW w:w="483" w:type="dxa"/>
          </w:tcPr>
          <w:p>
            <w:pPr>
              <w:pStyle w:val="TableParagraph"/>
              <w:rPr>
                <w:sz w:val="22"/>
              </w:rPr>
            </w:pPr>
          </w:p>
        </w:tc>
        <w:tc>
          <w:tcPr>
            <w:tcW w:w="3893" w:type="dxa"/>
          </w:tcPr>
          <w:p>
            <w:pPr>
              <w:pStyle w:val="TableParagraph"/>
              <w:spacing w:before="11"/>
              <w:rPr>
                <w:sz w:val="21"/>
              </w:rPr>
            </w:pPr>
          </w:p>
          <w:p>
            <w:pPr>
              <w:pStyle w:val="TableParagraph"/>
              <w:ind w:left="106"/>
              <w:rPr>
                <w:sz w:val="22"/>
              </w:rPr>
            </w:pPr>
            <w:r>
              <w:rPr>
                <w:sz w:val="22"/>
              </w:rPr>
              <w:t>Start</w:t>
            </w:r>
            <w:r>
              <w:rPr>
                <w:spacing w:val="-3"/>
                <w:sz w:val="22"/>
              </w:rPr>
              <w:t> </w:t>
            </w:r>
            <w:r>
              <w:rPr>
                <w:sz w:val="22"/>
              </w:rPr>
              <w:t>date</w:t>
            </w:r>
            <w:r>
              <w:rPr>
                <w:spacing w:val="-3"/>
                <w:sz w:val="22"/>
              </w:rPr>
              <w:t> </w:t>
            </w:r>
            <w:r>
              <w:rPr>
                <w:sz w:val="22"/>
              </w:rPr>
              <w:t>of</w:t>
            </w:r>
            <w:r>
              <w:rPr>
                <w:spacing w:val="-2"/>
                <w:sz w:val="22"/>
              </w:rPr>
              <w:t> </w:t>
            </w:r>
            <w:r>
              <w:rPr>
                <w:sz w:val="22"/>
              </w:rPr>
              <w:t>Health</w:t>
            </w:r>
            <w:r>
              <w:rPr>
                <w:spacing w:val="-3"/>
                <w:sz w:val="22"/>
              </w:rPr>
              <w:t> </w:t>
            </w:r>
            <w:r>
              <w:rPr>
                <w:sz w:val="22"/>
              </w:rPr>
              <w:t>Connector</w:t>
            </w:r>
            <w:r>
              <w:rPr>
                <w:spacing w:val="-2"/>
                <w:sz w:val="22"/>
              </w:rPr>
              <w:t> benefits</w:t>
            </w:r>
          </w:p>
        </w:tc>
      </w:tr>
      <w:tr>
        <w:trPr>
          <w:trHeight w:val="251" w:hRule="atLeast"/>
        </w:trPr>
        <w:tc>
          <w:tcPr>
            <w:tcW w:w="9352" w:type="dxa"/>
            <w:gridSpan w:val="6"/>
          </w:tcPr>
          <w:p>
            <w:pPr>
              <w:pStyle w:val="TableParagraph"/>
              <w:spacing w:line="232" w:lineRule="exact"/>
              <w:ind w:left="107"/>
              <w:rPr>
                <w:i/>
                <w:sz w:val="22"/>
              </w:rPr>
            </w:pPr>
            <w:r>
              <w:rPr>
                <w:i/>
                <w:sz w:val="22"/>
              </w:rPr>
              <w:t>Chart </w:t>
            </w:r>
            <w:r>
              <w:rPr>
                <w:i/>
                <w:spacing w:val="-2"/>
                <w:sz w:val="22"/>
              </w:rPr>
              <w:t>Notes</w:t>
            </w:r>
          </w:p>
        </w:tc>
      </w:tr>
      <w:tr>
        <w:trPr>
          <w:trHeight w:val="254" w:hRule="atLeast"/>
        </w:trPr>
        <w:tc>
          <w:tcPr>
            <w:tcW w:w="9352" w:type="dxa"/>
            <w:gridSpan w:val="6"/>
          </w:tcPr>
          <w:p>
            <w:pPr>
              <w:pStyle w:val="TableParagraph"/>
              <w:spacing w:line="233" w:lineRule="exact" w:before="1"/>
              <w:ind w:left="107"/>
              <w:rPr>
                <w:sz w:val="22"/>
              </w:rPr>
            </w:pPr>
            <w:r>
              <w:rPr>
                <w:sz w:val="22"/>
              </w:rPr>
              <w:t>*TPL</w:t>
            </w:r>
            <w:r>
              <w:rPr>
                <w:spacing w:val="-5"/>
                <w:sz w:val="22"/>
              </w:rPr>
              <w:t> </w:t>
            </w:r>
            <w:r>
              <w:rPr>
                <w:sz w:val="22"/>
              </w:rPr>
              <w:t>wrap</w:t>
            </w:r>
            <w:r>
              <w:rPr>
                <w:spacing w:val="-3"/>
                <w:sz w:val="22"/>
              </w:rPr>
              <w:t> </w:t>
            </w:r>
            <w:r>
              <w:rPr>
                <w:sz w:val="22"/>
              </w:rPr>
              <w:t>could</w:t>
            </w:r>
            <w:r>
              <w:rPr>
                <w:spacing w:val="-6"/>
                <w:sz w:val="22"/>
              </w:rPr>
              <w:t> </w:t>
            </w:r>
            <w:r>
              <w:rPr>
                <w:sz w:val="22"/>
              </w:rPr>
              <w:t>include</w:t>
            </w:r>
            <w:r>
              <w:rPr>
                <w:spacing w:val="-3"/>
                <w:sz w:val="22"/>
              </w:rPr>
              <w:t> </w:t>
            </w:r>
            <w:r>
              <w:rPr>
                <w:sz w:val="22"/>
              </w:rPr>
              <w:t>premium</w:t>
            </w:r>
            <w:r>
              <w:rPr>
                <w:spacing w:val="-6"/>
                <w:sz w:val="22"/>
              </w:rPr>
              <w:t> </w:t>
            </w:r>
            <w:r>
              <w:rPr>
                <w:spacing w:val="-2"/>
                <w:sz w:val="22"/>
              </w:rPr>
              <w:t>payments</w:t>
            </w:r>
          </w:p>
        </w:tc>
      </w:tr>
      <w:tr>
        <w:trPr>
          <w:trHeight w:val="254" w:hRule="atLeast"/>
        </w:trPr>
        <w:tc>
          <w:tcPr>
            <w:tcW w:w="9352" w:type="dxa"/>
            <w:gridSpan w:val="6"/>
          </w:tcPr>
          <w:p>
            <w:pPr>
              <w:pStyle w:val="TableParagraph"/>
              <w:spacing w:line="234" w:lineRule="exact"/>
              <w:ind w:left="107"/>
              <w:rPr>
                <w:sz w:val="22"/>
              </w:rPr>
            </w:pPr>
            <w:r>
              <w:rPr>
                <w:sz w:val="22"/>
              </w:rPr>
              <w:t>**</w:t>
            </w:r>
            <w:r>
              <w:rPr>
                <w:spacing w:val="-3"/>
                <w:sz w:val="22"/>
              </w:rPr>
              <w:t> </w:t>
            </w:r>
            <w:r>
              <w:rPr>
                <w:sz w:val="22"/>
              </w:rPr>
              <w:t>FFS</w:t>
            </w:r>
            <w:r>
              <w:rPr>
                <w:spacing w:val="-3"/>
                <w:sz w:val="22"/>
              </w:rPr>
              <w:t> </w:t>
            </w:r>
            <w:r>
              <w:rPr>
                <w:sz w:val="22"/>
              </w:rPr>
              <w:t>until</w:t>
            </w:r>
            <w:r>
              <w:rPr>
                <w:spacing w:val="-5"/>
                <w:sz w:val="22"/>
              </w:rPr>
              <w:t> </w:t>
            </w:r>
            <w:r>
              <w:rPr>
                <w:sz w:val="22"/>
              </w:rPr>
              <w:t>member</w:t>
            </w:r>
            <w:r>
              <w:rPr>
                <w:spacing w:val="-1"/>
                <w:sz w:val="22"/>
              </w:rPr>
              <w:t> </w:t>
            </w:r>
            <w:r>
              <w:rPr>
                <w:sz w:val="22"/>
              </w:rPr>
              <w:t>selects</w:t>
            </w:r>
            <w:r>
              <w:rPr>
                <w:spacing w:val="-3"/>
                <w:sz w:val="22"/>
              </w:rPr>
              <w:t> </w:t>
            </w:r>
            <w:r>
              <w:rPr>
                <w:sz w:val="22"/>
              </w:rPr>
              <w:t>or</w:t>
            </w:r>
            <w:r>
              <w:rPr>
                <w:spacing w:val="-4"/>
                <w:sz w:val="22"/>
              </w:rPr>
              <w:t> </w:t>
            </w:r>
            <w:r>
              <w:rPr>
                <w:sz w:val="22"/>
              </w:rPr>
              <w:t>is</w:t>
            </w:r>
            <w:r>
              <w:rPr>
                <w:spacing w:val="-3"/>
                <w:sz w:val="22"/>
              </w:rPr>
              <w:t> </w:t>
            </w:r>
            <w:r>
              <w:rPr>
                <w:sz w:val="22"/>
              </w:rPr>
              <w:t>auto-assigned</w:t>
            </w:r>
            <w:r>
              <w:rPr>
                <w:spacing w:val="-5"/>
                <w:sz w:val="22"/>
              </w:rPr>
              <w:t> </w:t>
            </w:r>
            <w:r>
              <w:rPr>
                <w:sz w:val="22"/>
              </w:rPr>
              <w:t>to</w:t>
            </w:r>
            <w:r>
              <w:rPr>
                <w:spacing w:val="-3"/>
                <w:sz w:val="22"/>
              </w:rPr>
              <w:t> </w:t>
            </w:r>
            <w:r>
              <w:rPr>
                <w:sz w:val="22"/>
              </w:rPr>
              <w:t>MCO,</w:t>
            </w:r>
            <w:r>
              <w:rPr>
                <w:spacing w:val="-2"/>
                <w:sz w:val="22"/>
              </w:rPr>
              <w:t> </w:t>
            </w:r>
            <w:r>
              <w:rPr>
                <w:sz w:val="22"/>
              </w:rPr>
              <w:t>ACO</w:t>
            </w:r>
            <w:r>
              <w:rPr>
                <w:spacing w:val="-4"/>
                <w:sz w:val="22"/>
              </w:rPr>
              <w:t> </w:t>
            </w:r>
            <w:r>
              <w:rPr>
                <w:sz w:val="22"/>
              </w:rPr>
              <w:t>or</w:t>
            </w:r>
            <w:r>
              <w:rPr>
                <w:spacing w:val="-1"/>
                <w:sz w:val="22"/>
              </w:rPr>
              <w:t> </w:t>
            </w:r>
            <w:r>
              <w:rPr>
                <w:sz w:val="22"/>
              </w:rPr>
              <w:t>PCC</w:t>
            </w:r>
            <w:r>
              <w:rPr>
                <w:spacing w:val="-3"/>
                <w:sz w:val="22"/>
              </w:rPr>
              <w:t> </w:t>
            </w:r>
            <w:r>
              <w:rPr>
                <w:spacing w:val="-4"/>
                <w:sz w:val="22"/>
              </w:rPr>
              <w:t>Plan</w:t>
            </w:r>
          </w:p>
        </w:tc>
      </w:tr>
      <w:tr>
        <w:trPr>
          <w:trHeight w:val="251" w:hRule="atLeast"/>
        </w:trPr>
        <w:tc>
          <w:tcPr>
            <w:tcW w:w="9352" w:type="dxa"/>
            <w:gridSpan w:val="6"/>
          </w:tcPr>
          <w:p>
            <w:pPr>
              <w:pStyle w:val="TableParagraph"/>
              <w:spacing w:line="232" w:lineRule="exact"/>
              <w:ind w:left="107"/>
              <w:rPr>
                <w:sz w:val="22"/>
              </w:rPr>
            </w:pPr>
            <w:r>
              <w:rPr>
                <w:sz w:val="22"/>
              </w:rPr>
              <w:t>***</w:t>
            </w:r>
            <w:r>
              <w:rPr>
                <w:spacing w:val="-3"/>
                <w:sz w:val="22"/>
              </w:rPr>
              <w:t> </w:t>
            </w:r>
            <w:r>
              <w:rPr>
                <w:sz w:val="22"/>
              </w:rPr>
              <w:t>All</w:t>
            </w:r>
            <w:r>
              <w:rPr>
                <w:spacing w:val="-4"/>
                <w:sz w:val="22"/>
              </w:rPr>
              <w:t> </w:t>
            </w:r>
            <w:r>
              <w:rPr>
                <w:sz w:val="22"/>
              </w:rPr>
              <w:t>retroactive</w:t>
            </w:r>
            <w:r>
              <w:rPr>
                <w:spacing w:val="-2"/>
                <w:sz w:val="22"/>
              </w:rPr>
              <w:t> </w:t>
            </w:r>
            <w:r>
              <w:rPr>
                <w:sz w:val="22"/>
              </w:rPr>
              <w:t>eligibility</w:t>
            </w:r>
            <w:r>
              <w:rPr>
                <w:spacing w:val="-6"/>
                <w:sz w:val="22"/>
              </w:rPr>
              <w:t> </w:t>
            </w:r>
            <w:r>
              <w:rPr>
                <w:sz w:val="22"/>
              </w:rPr>
              <w:t>is</w:t>
            </w:r>
            <w:r>
              <w:rPr>
                <w:spacing w:val="-2"/>
                <w:sz w:val="22"/>
              </w:rPr>
              <w:t> </w:t>
            </w:r>
            <w:r>
              <w:rPr>
                <w:sz w:val="22"/>
              </w:rPr>
              <w:t>made</w:t>
            </w:r>
            <w:r>
              <w:rPr>
                <w:spacing w:val="-2"/>
                <w:sz w:val="22"/>
              </w:rPr>
              <w:t> </w:t>
            </w:r>
            <w:r>
              <w:rPr>
                <w:sz w:val="22"/>
              </w:rPr>
              <w:t>on</w:t>
            </w:r>
            <w:r>
              <w:rPr>
                <w:spacing w:val="-3"/>
                <w:sz w:val="22"/>
              </w:rPr>
              <w:t> </w:t>
            </w:r>
            <w:r>
              <w:rPr>
                <w:sz w:val="22"/>
              </w:rPr>
              <w:t>a</w:t>
            </w:r>
            <w:r>
              <w:rPr>
                <w:spacing w:val="-2"/>
                <w:sz w:val="22"/>
              </w:rPr>
              <w:t> </w:t>
            </w:r>
            <w:r>
              <w:rPr>
                <w:sz w:val="22"/>
              </w:rPr>
              <w:t>FFS</w:t>
            </w:r>
            <w:r>
              <w:rPr>
                <w:spacing w:val="-3"/>
                <w:sz w:val="22"/>
              </w:rPr>
              <w:t> </w:t>
            </w:r>
            <w:r>
              <w:rPr>
                <w:spacing w:val="-2"/>
                <w:sz w:val="22"/>
              </w:rPr>
              <w:t>basis.</w:t>
            </w:r>
          </w:p>
        </w:tc>
      </w:tr>
    </w:tbl>
    <w:p>
      <w:pPr>
        <w:pStyle w:val="BodyText"/>
        <w:rPr>
          <w:sz w:val="20"/>
        </w:rPr>
      </w:pPr>
    </w:p>
    <w:p>
      <w:pPr>
        <w:pStyle w:val="BodyText"/>
        <w:spacing w:before="11"/>
        <w:rPr>
          <w:sz w:val="18"/>
        </w:rPr>
      </w:pPr>
    </w:p>
    <w:p>
      <w:pPr>
        <w:pStyle w:val="Heading4"/>
        <w:numPr>
          <w:ilvl w:val="0"/>
          <w:numId w:val="3"/>
        </w:numPr>
        <w:tabs>
          <w:tab w:pos="600" w:val="left" w:leader="none"/>
        </w:tabs>
        <w:spacing w:line="240" w:lineRule="auto" w:before="90" w:after="0"/>
        <w:ind w:left="600" w:right="0" w:hanging="360"/>
        <w:jc w:val="left"/>
      </w:pPr>
      <w:r>
        <w:rPr/>
        <w:t>COST</w:t>
      </w:r>
      <w:r>
        <w:rPr>
          <w:spacing w:val="-1"/>
        </w:rPr>
        <w:t> </w:t>
      </w:r>
      <w:r>
        <w:rPr>
          <w:spacing w:val="-2"/>
        </w:rPr>
        <w:t>SHARING</w:t>
      </w:r>
    </w:p>
    <w:p>
      <w:pPr>
        <w:pStyle w:val="BodyText"/>
        <w:spacing w:before="10"/>
        <w:rPr>
          <w:b/>
          <w:sz w:val="20"/>
        </w:rPr>
      </w:pPr>
    </w:p>
    <w:p>
      <w:pPr>
        <w:pStyle w:val="BodyText"/>
        <w:ind w:left="871" w:right="1064"/>
      </w:pPr>
      <w:r>
        <w:rPr/>
        <w:drawing>
          <wp:anchor distT="0" distB="0" distL="0" distR="0" allowOverlap="1" layoutInCell="1" locked="0" behindDoc="0" simplePos="0" relativeHeight="15861760">
            <wp:simplePos x="0" y="0"/>
            <wp:positionH relativeFrom="page">
              <wp:posOffset>973836</wp:posOffset>
            </wp:positionH>
            <wp:positionV relativeFrom="paragraph">
              <wp:posOffset>35599</wp:posOffset>
            </wp:positionV>
            <wp:extent cx="219455" cy="112775"/>
            <wp:effectExtent l="0" t="0" r="0" b="0"/>
            <wp:wrapNone/>
            <wp:docPr id="271" name="Image 271"/>
            <wp:cNvGraphicFramePr>
              <a:graphicFrameLocks/>
            </wp:cNvGraphicFramePr>
            <a:graphic>
              <a:graphicData uri="http://schemas.openxmlformats.org/drawingml/2006/picture">
                <pic:pic>
                  <pic:nvPicPr>
                    <pic:cNvPr id="271" name="Image 271"/>
                    <pic:cNvPicPr/>
                  </pic:nvPicPr>
                  <pic:blipFill>
                    <a:blip r:embed="rId145" cstate="print"/>
                    <a:stretch>
                      <a:fillRect/>
                    </a:stretch>
                  </pic:blipFill>
                  <pic:spPr>
                    <a:xfrm>
                      <a:off x="0" y="0"/>
                      <a:ext cx="219455" cy="112775"/>
                    </a:xfrm>
                    <a:prstGeom prst="rect">
                      <a:avLst/>
                    </a:prstGeom>
                  </pic:spPr>
                </pic:pic>
              </a:graphicData>
            </a:graphic>
          </wp:anchor>
        </w:drawing>
      </w:r>
      <w:r>
        <w:rPr>
          <w:b/>
        </w:rPr>
        <w:t>Cost sharing. </w:t>
      </w:r>
      <w:r>
        <w:rPr/>
        <w:t>Cost sharing and premiums imposed upon individuals enrolled in the demonstration and eligible under the state plan or in a “hypothetical” eligibility group is consistent with the provisions of the approved state plan except where expressly</w:t>
      </w:r>
      <w:r>
        <w:rPr>
          <w:spacing w:val="-2"/>
        </w:rPr>
        <w:t> </w:t>
      </w:r>
      <w:r>
        <w:rPr/>
        <w:t>made not applicable in the demonstration expenditure authorities. Cost sharing for individuals eligible only through the demonstration may vary across delivery systems, demonstration programs</w:t>
      </w:r>
      <w:r>
        <w:rPr>
          <w:spacing w:val="-3"/>
        </w:rPr>
        <w:t> </w:t>
      </w:r>
      <w:r>
        <w:rPr/>
        <w:t>and</w:t>
      </w:r>
      <w:r>
        <w:rPr>
          <w:spacing w:val="-3"/>
        </w:rPr>
        <w:t> </w:t>
      </w:r>
      <w:r>
        <w:rPr/>
        <w:t>by</w:t>
      </w:r>
      <w:r>
        <w:rPr>
          <w:spacing w:val="-6"/>
        </w:rPr>
        <w:t> </w:t>
      </w:r>
      <w:r>
        <w:rPr/>
        <w:t>FPL,</w:t>
      </w:r>
      <w:r>
        <w:rPr>
          <w:spacing w:val="-1"/>
        </w:rPr>
        <w:t> </w:t>
      </w:r>
      <w:r>
        <w:rPr/>
        <w:t>except</w:t>
      </w:r>
      <w:r>
        <w:rPr>
          <w:spacing w:val="-3"/>
        </w:rPr>
        <w:t> </w:t>
      </w:r>
      <w:r>
        <w:rPr/>
        <w:t>that</w:t>
      </w:r>
      <w:r>
        <w:rPr>
          <w:spacing w:val="-3"/>
        </w:rPr>
        <w:t> </w:t>
      </w:r>
      <w:r>
        <w:rPr/>
        <w:t>no</w:t>
      </w:r>
      <w:r>
        <w:rPr>
          <w:spacing w:val="-3"/>
        </w:rPr>
        <w:t> </w:t>
      </w:r>
      <w:r>
        <w:rPr/>
        <w:t>co-payments</w:t>
      </w:r>
      <w:r>
        <w:rPr>
          <w:spacing w:val="-1"/>
        </w:rPr>
        <w:t> </w:t>
      </w:r>
      <w:r>
        <w:rPr/>
        <w:t>are</w:t>
      </w:r>
      <w:r>
        <w:rPr>
          <w:spacing w:val="-4"/>
        </w:rPr>
        <w:t> </w:t>
      </w:r>
      <w:r>
        <w:rPr/>
        <w:t>charged</w:t>
      </w:r>
      <w:r>
        <w:rPr>
          <w:spacing w:val="-3"/>
        </w:rPr>
        <w:t> </w:t>
      </w:r>
      <w:r>
        <w:rPr/>
        <w:t>for</w:t>
      </w:r>
      <w:r>
        <w:rPr>
          <w:spacing w:val="-2"/>
        </w:rPr>
        <w:t> </w:t>
      </w:r>
      <w:r>
        <w:rPr/>
        <w:t>any</w:t>
      </w:r>
      <w:r>
        <w:rPr>
          <w:spacing w:val="-8"/>
        </w:rPr>
        <w:t> </w:t>
      </w:r>
      <w:r>
        <w:rPr/>
        <w:t>benefits</w:t>
      </w:r>
      <w:r>
        <w:rPr>
          <w:spacing w:val="-3"/>
        </w:rPr>
        <w:t> </w:t>
      </w:r>
      <w:r>
        <w:rPr/>
        <w:t>rendered</w:t>
      </w:r>
      <w:r>
        <w:rPr>
          <w:spacing w:val="-3"/>
        </w:rPr>
        <w:t> </w:t>
      </w:r>
      <w:r>
        <w:rPr/>
        <w:t>to children under age 21 or pregnant individuals. Additionally, no premium payments are required for any individual enrolled in the demonstration whose gross income is less than 150 percent of the FPL.</w:t>
      </w:r>
      <w:r>
        <w:rPr>
          <w:spacing w:val="40"/>
        </w:rPr>
        <w:t> </w:t>
      </w:r>
      <w:r>
        <w:rPr/>
        <w:t>The Commonwealth will ensure that cost sharing and premiums abide all regulatory and statutory restrictions for all state-plan eligible populations, including</w:t>
      </w:r>
      <w:r>
        <w:rPr>
          <w:spacing w:val="-5"/>
        </w:rPr>
        <w:t> </w:t>
      </w:r>
      <w:r>
        <w:rPr/>
        <w:t>those</w:t>
      </w:r>
      <w:r>
        <w:rPr>
          <w:spacing w:val="-3"/>
        </w:rPr>
        <w:t> </w:t>
      </w:r>
      <w:r>
        <w:rPr/>
        <w:t>receiving</w:t>
      </w:r>
      <w:r>
        <w:rPr>
          <w:spacing w:val="-2"/>
        </w:rPr>
        <w:t> </w:t>
      </w:r>
      <w:r>
        <w:rPr/>
        <w:t>premium</w:t>
      </w:r>
      <w:r>
        <w:rPr>
          <w:spacing w:val="-2"/>
        </w:rPr>
        <w:t> </w:t>
      </w:r>
      <w:r>
        <w:rPr/>
        <w:t>assistance</w:t>
      </w:r>
      <w:r>
        <w:rPr>
          <w:spacing w:val="-3"/>
        </w:rPr>
        <w:t> </w:t>
      </w:r>
      <w:r>
        <w:rPr/>
        <w:t>for</w:t>
      </w:r>
      <w:r>
        <w:rPr>
          <w:spacing w:val="-3"/>
        </w:rPr>
        <w:t> </w:t>
      </w:r>
      <w:r>
        <w:rPr/>
        <w:t>cost-effective</w:t>
      </w:r>
      <w:r>
        <w:rPr>
          <w:spacing w:val="-3"/>
        </w:rPr>
        <w:t> </w:t>
      </w:r>
      <w:r>
        <w:rPr/>
        <w:t>private</w:t>
      </w:r>
      <w:r>
        <w:rPr>
          <w:spacing w:val="-3"/>
        </w:rPr>
        <w:t> </w:t>
      </w:r>
      <w:r>
        <w:rPr/>
        <w:t>insurance</w:t>
      </w:r>
      <w:r>
        <w:rPr>
          <w:spacing w:val="-1"/>
        </w:rPr>
        <w:t> </w:t>
      </w:r>
      <w:r>
        <w:rPr/>
        <w:t>available to beneficiaries.</w:t>
      </w:r>
      <w:r>
        <w:rPr>
          <w:spacing w:val="40"/>
        </w:rPr>
        <w:t> </w:t>
      </w:r>
      <w:r>
        <w:rPr/>
        <w:t>Please see Attachment C for a full description of cost sharing and premiums under the demonstration for MassHealth- administered programs.</w:t>
      </w:r>
      <w:r>
        <w:rPr>
          <w:spacing w:val="40"/>
        </w:rPr>
        <w:t> </w:t>
      </w:r>
      <w:r>
        <w:rPr/>
        <w:t>Attachment</w:t>
      </w:r>
      <w:r>
        <w:rPr>
          <w:spacing w:val="40"/>
        </w:rPr>
        <w:t> </w:t>
      </w:r>
      <w:r>
        <w:rPr/>
        <w:t>C will be updated to match cost sharing and premiums imposed by approved state plan amendments, as applicable.</w:t>
      </w:r>
    </w:p>
    <w:p>
      <w:pPr>
        <w:spacing w:after="0"/>
        <w:sectPr>
          <w:type w:val="continuous"/>
          <w:pgSz w:w="12240" w:h="15840"/>
          <w:pgMar w:header="0" w:footer="1201" w:top="1420" w:bottom="1400" w:left="1200" w:right="400"/>
        </w:sectPr>
      </w:pPr>
    </w:p>
    <w:p>
      <w:pPr>
        <w:pStyle w:val="Heading4"/>
        <w:numPr>
          <w:ilvl w:val="0"/>
          <w:numId w:val="3"/>
        </w:numPr>
        <w:tabs>
          <w:tab w:pos="600" w:val="left" w:leader="none"/>
        </w:tabs>
        <w:spacing w:line="240" w:lineRule="auto" w:before="79" w:after="0"/>
        <w:ind w:left="600" w:right="0" w:hanging="480"/>
        <w:jc w:val="left"/>
      </w:pPr>
      <w:bookmarkStart w:name="10. MARKETPLACE SUBSIDIES." w:id="436"/>
      <w:bookmarkEnd w:id="436"/>
      <w:r>
        <w:rPr>
          <w:b w:val="0"/>
        </w:rPr>
      </w:r>
      <w:r>
        <w:rPr/>
        <w:t>MARKETPLACE</w:t>
      </w:r>
      <w:r>
        <w:rPr>
          <w:spacing w:val="-8"/>
        </w:rPr>
        <w:t> </w:t>
      </w:r>
      <w:r>
        <w:rPr>
          <w:spacing w:val="-2"/>
        </w:rPr>
        <w:t>SUBSIDIES.</w:t>
      </w:r>
    </w:p>
    <w:p>
      <w:pPr>
        <w:pStyle w:val="BodyText"/>
        <w:spacing w:before="10"/>
        <w:rPr>
          <w:b/>
          <w:sz w:val="20"/>
        </w:rPr>
      </w:pPr>
    </w:p>
    <w:p>
      <w:pPr>
        <w:pStyle w:val="BodyText"/>
        <w:ind w:left="871" w:right="1059"/>
      </w:pPr>
      <w:r>
        <w:rPr/>
        <w:drawing>
          <wp:anchor distT="0" distB="0" distL="0" distR="0" allowOverlap="1" layoutInCell="1" locked="0" behindDoc="0" simplePos="0" relativeHeight="15862272">
            <wp:simplePos x="0" y="0"/>
            <wp:positionH relativeFrom="page">
              <wp:posOffset>908303</wp:posOffset>
            </wp:positionH>
            <wp:positionV relativeFrom="paragraph">
              <wp:posOffset>35599</wp:posOffset>
            </wp:positionV>
            <wp:extent cx="283463" cy="112775"/>
            <wp:effectExtent l="0" t="0" r="0" b="0"/>
            <wp:wrapNone/>
            <wp:docPr id="272" name="Image 272"/>
            <wp:cNvGraphicFramePr>
              <a:graphicFrameLocks/>
            </wp:cNvGraphicFramePr>
            <a:graphic>
              <a:graphicData uri="http://schemas.openxmlformats.org/drawingml/2006/picture">
                <pic:pic>
                  <pic:nvPicPr>
                    <pic:cNvPr id="272" name="Image 272"/>
                    <pic:cNvPicPr/>
                  </pic:nvPicPr>
                  <pic:blipFill>
                    <a:blip r:embed="rId146" cstate="print"/>
                    <a:stretch>
                      <a:fillRect/>
                    </a:stretch>
                  </pic:blipFill>
                  <pic:spPr>
                    <a:xfrm>
                      <a:off x="0" y="0"/>
                      <a:ext cx="283463" cy="112775"/>
                    </a:xfrm>
                    <a:prstGeom prst="rect">
                      <a:avLst/>
                    </a:prstGeom>
                  </pic:spPr>
                </pic:pic>
              </a:graphicData>
            </a:graphic>
          </wp:anchor>
        </w:drawing>
      </w:r>
      <w:bookmarkStart w:name="10.1. The Commonwealth may claim as allo" w:id="437"/>
      <w:bookmarkEnd w:id="437"/>
      <w:r>
        <w:rPr/>
      </w:r>
      <w:r>
        <w:rPr/>
        <w:t>The Commonwealth may claim as allowable expenditures under the demonstration ConnectorCare subsidies as described below. The state may claim as allowable expenditures under the demonstration the payments made through its state-operated program</w:t>
      </w:r>
      <w:r>
        <w:rPr>
          <w:spacing w:val="-3"/>
        </w:rPr>
        <w:t> </w:t>
      </w:r>
      <w:r>
        <w:rPr/>
        <w:t>to</w:t>
      </w:r>
      <w:r>
        <w:rPr>
          <w:spacing w:val="-3"/>
        </w:rPr>
        <w:t> </w:t>
      </w:r>
      <w:r>
        <w:rPr/>
        <w:t>provide</w:t>
      </w:r>
      <w:r>
        <w:rPr>
          <w:spacing w:val="-4"/>
        </w:rPr>
        <w:t> </w:t>
      </w:r>
      <w:r>
        <w:rPr/>
        <w:t>premium</w:t>
      </w:r>
      <w:r>
        <w:rPr>
          <w:spacing w:val="-3"/>
        </w:rPr>
        <w:t> </w:t>
      </w:r>
      <w:r>
        <w:rPr/>
        <w:t>and</w:t>
      </w:r>
      <w:r>
        <w:rPr>
          <w:spacing w:val="-3"/>
        </w:rPr>
        <w:t> </w:t>
      </w:r>
      <w:r>
        <w:rPr/>
        <w:t>cost</w:t>
      </w:r>
      <w:r>
        <w:rPr>
          <w:spacing w:val="-3"/>
        </w:rPr>
        <w:t> </w:t>
      </w:r>
      <w:r>
        <w:rPr/>
        <w:t>sharing</w:t>
      </w:r>
      <w:r>
        <w:rPr>
          <w:spacing w:val="-6"/>
        </w:rPr>
        <w:t> </w:t>
      </w:r>
      <w:r>
        <w:rPr/>
        <w:t>subsidies</w:t>
      </w:r>
      <w:r>
        <w:rPr>
          <w:spacing w:val="-3"/>
        </w:rPr>
        <w:t> </w:t>
      </w:r>
      <w:r>
        <w:rPr/>
        <w:t>for</w:t>
      </w:r>
      <w:r>
        <w:rPr>
          <w:spacing w:val="-4"/>
        </w:rPr>
        <w:t> </w:t>
      </w:r>
      <w:r>
        <w:rPr/>
        <w:t>individuals</w:t>
      </w:r>
      <w:r>
        <w:rPr>
          <w:spacing w:val="-3"/>
        </w:rPr>
        <w:t> </w:t>
      </w:r>
      <w:r>
        <w:rPr/>
        <w:t>with</w:t>
      </w:r>
      <w:r>
        <w:rPr>
          <w:spacing w:val="-3"/>
        </w:rPr>
        <w:t> </w:t>
      </w:r>
      <w:r>
        <w:rPr/>
        <w:t>incomes</w:t>
      </w:r>
      <w:r>
        <w:rPr>
          <w:spacing w:val="-3"/>
        </w:rPr>
        <w:t> </w:t>
      </w:r>
      <w:r>
        <w:rPr/>
        <w:t>at</w:t>
      </w:r>
      <w:r>
        <w:rPr>
          <w:spacing w:val="-3"/>
        </w:rPr>
        <w:t> </w:t>
      </w:r>
      <w:r>
        <w:rPr/>
        <w:t>or below 300 percent of the FPL who purchase health insurance through the Health Connector. Subsidies will be provided on behalf of individuals who: (1) are not Medicaid or CHIP eligible; and (2) whose income is at or below 300 percent of the FPL ; and (3) who are eligible for coverage with APTC.</w:t>
      </w:r>
    </w:p>
    <w:p>
      <w:pPr>
        <w:pStyle w:val="BodyText"/>
        <w:spacing w:before="10"/>
        <w:rPr>
          <w:sz w:val="20"/>
        </w:rPr>
      </w:pPr>
    </w:p>
    <w:p>
      <w:pPr>
        <w:pStyle w:val="BodyText"/>
        <w:ind w:left="1411" w:right="1089"/>
      </w:pPr>
      <w:r>
        <w:rPr/>
        <w:drawing>
          <wp:anchor distT="0" distB="0" distL="0" distR="0" allowOverlap="1" layoutInCell="1" locked="0" behindDoc="0" simplePos="0" relativeHeight="15862784">
            <wp:simplePos x="0" y="0"/>
            <wp:positionH relativeFrom="page">
              <wp:posOffset>1431036</wp:posOffset>
            </wp:positionH>
            <wp:positionV relativeFrom="paragraph">
              <wp:posOffset>67603</wp:posOffset>
            </wp:positionV>
            <wp:extent cx="96011" cy="80771"/>
            <wp:effectExtent l="0" t="0" r="0" b="0"/>
            <wp:wrapNone/>
            <wp:docPr id="273" name="Image 273"/>
            <wp:cNvGraphicFramePr>
              <a:graphicFrameLocks/>
            </wp:cNvGraphicFramePr>
            <a:graphic>
              <a:graphicData uri="http://schemas.openxmlformats.org/drawingml/2006/picture">
                <pic:pic>
                  <pic:nvPicPr>
                    <pic:cNvPr id="273" name="Image 273"/>
                    <pic:cNvPicPr/>
                  </pic:nvPicPr>
                  <pic:blipFill>
                    <a:blip r:embed="rId29" cstate="print"/>
                    <a:stretch>
                      <a:fillRect/>
                    </a:stretch>
                  </pic:blipFill>
                  <pic:spPr>
                    <a:xfrm>
                      <a:off x="0" y="0"/>
                      <a:ext cx="96011" cy="80771"/>
                    </a:xfrm>
                    <a:prstGeom prst="rect">
                      <a:avLst/>
                    </a:prstGeom>
                  </pic:spPr>
                </pic:pic>
              </a:graphicData>
            </a:graphic>
          </wp:anchor>
        </w:drawing>
      </w:r>
      <w:bookmarkStart w:name="a. The state may also claim as allowable" w:id="438"/>
      <w:bookmarkEnd w:id="438"/>
      <w:r>
        <w:rPr/>
      </w:r>
      <w:r>
        <w:rPr/>
        <w:t>The state may also claim as allowable expenditures under the demonstration the payments made through its state-operated Health Safety Net (HSN) program to provide gap coverage for individuals eligible for coverage through the Health Connector</w:t>
      </w:r>
      <w:r>
        <w:rPr>
          <w:spacing w:val="-4"/>
        </w:rPr>
        <w:t> </w:t>
      </w:r>
      <w:r>
        <w:rPr/>
        <w:t>with</w:t>
      </w:r>
      <w:r>
        <w:rPr>
          <w:spacing w:val="-3"/>
        </w:rPr>
        <w:t> </w:t>
      </w:r>
      <w:r>
        <w:rPr/>
        <w:t>incomes</w:t>
      </w:r>
      <w:r>
        <w:rPr>
          <w:spacing w:val="-2"/>
        </w:rPr>
        <w:t> </w:t>
      </w:r>
      <w:r>
        <w:rPr/>
        <w:t>at</w:t>
      </w:r>
      <w:r>
        <w:rPr>
          <w:spacing w:val="-3"/>
        </w:rPr>
        <w:t> </w:t>
      </w:r>
      <w:r>
        <w:rPr/>
        <w:t>or</w:t>
      </w:r>
      <w:r>
        <w:rPr>
          <w:spacing w:val="-4"/>
        </w:rPr>
        <w:t> </w:t>
      </w:r>
      <w:r>
        <w:rPr/>
        <w:t>below</w:t>
      </w:r>
      <w:r>
        <w:rPr>
          <w:spacing w:val="-4"/>
        </w:rPr>
        <w:t> </w:t>
      </w:r>
      <w:r>
        <w:rPr/>
        <w:t>300</w:t>
      </w:r>
      <w:r>
        <w:rPr>
          <w:spacing w:val="-3"/>
        </w:rPr>
        <w:t> </w:t>
      </w:r>
      <w:r>
        <w:rPr/>
        <w:t>percent</w:t>
      </w:r>
      <w:r>
        <w:rPr>
          <w:spacing w:val="-3"/>
        </w:rPr>
        <w:t> </w:t>
      </w:r>
      <w:r>
        <w:rPr/>
        <w:t>of</w:t>
      </w:r>
      <w:r>
        <w:rPr>
          <w:spacing w:val="-4"/>
        </w:rPr>
        <w:t> </w:t>
      </w:r>
      <w:r>
        <w:rPr/>
        <w:t>the</w:t>
      </w:r>
      <w:r>
        <w:rPr>
          <w:spacing w:val="-4"/>
        </w:rPr>
        <w:t> </w:t>
      </w:r>
      <w:r>
        <w:rPr/>
        <w:t>FPL.</w:t>
      </w:r>
      <w:r>
        <w:rPr>
          <w:spacing w:val="-3"/>
        </w:rPr>
        <w:t> </w:t>
      </w:r>
      <w:r>
        <w:rPr/>
        <w:t>HSN-Health</w:t>
      </w:r>
      <w:r>
        <w:rPr>
          <w:spacing w:val="-3"/>
        </w:rPr>
        <w:t> </w:t>
      </w:r>
      <w:r>
        <w:rPr/>
        <w:t>Connector gap coverage is provided to eligible individuals during the time designated to select and enroll in a plan through the Health Connector.</w:t>
      </w:r>
      <w:r>
        <w:rPr>
          <w:spacing w:val="80"/>
        </w:rPr>
        <w:t> </w:t>
      </w:r>
      <w:r>
        <w:rPr/>
        <w:t>Connector gap coverage takes the form of fee-for-service payment to providers for services rendered to an individual during this Health Connector gap period.</w:t>
      </w:r>
    </w:p>
    <w:p>
      <w:pPr>
        <w:pStyle w:val="BodyText"/>
        <w:spacing w:before="10"/>
        <w:rPr>
          <w:sz w:val="20"/>
        </w:rPr>
      </w:pPr>
    </w:p>
    <w:p>
      <w:pPr>
        <w:pStyle w:val="BodyText"/>
        <w:ind w:left="1411" w:right="1059"/>
      </w:pPr>
      <w:r>
        <w:rPr/>
        <w:drawing>
          <wp:anchor distT="0" distB="0" distL="0" distR="0" allowOverlap="1" layoutInCell="1" locked="0" behindDoc="0" simplePos="0" relativeHeight="15863296">
            <wp:simplePos x="0" y="0"/>
            <wp:positionH relativeFrom="page">
              <wp:posOffset>1424939</wp:posOffset>
            </wp:positionH>
            <wp:positionV relativeFrom="paragraph">
              <wp:posOffset>32551</wp:posOffset>
            </wp:positionV>
            <wp:extent cx="111251" cy="115823"/>
            <wp:effectExtent l="0" t="0" r="0" b="0"/>
            <wp:wrapNone/>
            <wp:docPr id="274" name="Image 274"/>
            <wp:cNvGraphicFramePr>
              <a:graphicFrameLocks/>
            </wp:cNvGraphicFramePr>
            <a:graphic>
              <a:graphicData uri="http://schemas.openxmlformats.org/drawingml/2006/picture">
                <pic:pic>
                  <pic:nvPicPr>
                    <pic:cNvPr id="274" name="Image 274"/>
                    <pic:cNvPicPr/>
                  </pic:nvPicPr>
                  <pic:blipFill>
                    <a:blip r:embed="rId105" cstate="print"/>
                    <a:stretch>
                      <a:fillRect/>
                    </a:stretch>
                  </pic:blipFill>
                  <pic:spPr>
                    <a:xfrm>
                      <a:off x="0" y="0"/>
                      <a:ext cx="111251" cy="115823"/>
                    </a:xfrm>
                    <a:prstGeom prst="rect">
                      <a:avLst/>
                    </a:prstGeom>
                  </pic:spPr>
                </pic:pic>
              </a:graphicData>
            </a:graphic>
          </wp:anchor>
        </w:drawing>
      </w:r>
      <w:bookmarkStart w:name="b. Federal financial participation for t" w:id="439"/>
      <w:bookmarkEnd w:id="439"/>
      <w:r>
        <w:rPr/>
      </w:r>
      <w:r>
        <w:rPr/>
        <w:t>Federal financial participation for the premium assistance, gap coverage, and cost- sharing</w:t>
      </w:r>
      <w:r>
        <w:rPr>
          <w:spacing w:val="-6"/>
        </w:rPr>
        <w:t> </w:t>
      </w:r>
      <w:r>
        <w:rPr/>
        <w:t>portions</w:t>
      </w:r>
      <w:r>
        <w:rPr>
          <w:spacing w:val="-4"/>
        </w:rPr>
        <w:t> </w:t>
      </w:r>
      <w:r>
        <w:rPr/>
        <w:t>of</w:t>
      </w:r>
      <w:r>
        <w:rPr>
          <w:spacing w:val="-5"/>
        </w:rPr>
        <w:t> </w:t>
      </w:r>
      <w:r>
        <w:rPr/>
        <w:t>ConnectorCare</w:t>
      </w:r>
      <w:r>
        <w:rPr>
          <w:spacing w:val="-5"/>
        </w:rPr>
        <w:t> </w:t>
      </w:r>
      <w:r>
        <w:rPr/>
        <w:t>subsidies</w:t>
      </w:r>
      <w:r>
        <w:rPr>
          <w:spacing w:val="-4"/>
        </w:rPr>
        <w:t> </w:t>
      </w:r>
      <w:r>
        <w:rPr/>
        <w:t>for</w:t>
      </w:r>
      <w:r>
        <w:rPr>
          <w:spacing w:val="-5"/>
        </w:rPr>
        <w:t> </w:t>
      </w:r>
      <w:r>
        <w:rPr/>
        <w:t>citizens</w:t>
      </w:r>
      <w:r>
        <w:rPr>
          <w:spacing w:val="-4"/>
        </w:rPr>
        <w:t> </w:t>
      </w:r>
      <w:r>
        <w:rPr/>
        <w:t>and</w:t>
      </w:r>
      <w:r>
        <w:rPr>
          <w:spacing w:val="-4"/>
        </w:rPr>
        <w:t> </w:t>
      </w:r>
      <w:r>
        <w:rPr/>
        <w:t>eligible</w:t>
      </w:r>
      <w:r>
        <w:rPr>
          <w:spacing w:val="-5"/>
        </w:rPr>
        <w:t> </w:t>
      </w:r>
      <w:r>
        <w:rPr/>
        <w:t>qualified</w:t>
      </w:r>
      <w:r>
        <w:rPr>
          <w:spacing w:val="-4"/>
        </w:rPr>
        <w:t> </w:t>
      </w:r>
      <w:r>
        <w:rPr/>
        <w:t>non- citizens will be provided through the expenditure authority corresponding to this STC.</w:t>
      </w:r>
      <w:r>
        <w:rPr>
          <w:spacing w:val="40"/>
        </w:rPr>
        <w:t> </w:t>
      </w:r>
      <w:r>
        <w:rPr/>
        <w:t>Federal financial participation is only</w:t>
      </w:r>
      <w:r>
        <w:rPr>
          <w:spacing w:val="-3"/>
        </w:rPr>
        <w:t> </w:t>
      </w:r>
      <w:r>
        <w:rPr/>
        <w:t>available with respect to payments for eligible citizens or qualified non-citizens.</w:t>
      </w:r>
    </w:p>
    <w:p>
      <w:pPr>
        <w:pStyle w:val="BodyText"/>
        <w:spacing w:before="10"/>
        <w:rPr>
          <w:sz w:val="20"/>
        </w:rPr>
      </w:pPr>
    </w:p>
    <w:p>
      <w:pPr>
        <w:pStyle w:val="BodyText"/>
        <w:ind w:left="1411" w:right="1041"/>
      </w:pPr>
      <w:r>
        <w:rPr/>
        <w:drawing>
          <wp:anchor distT="0" distB="0" distL="0" distR="0" allowOverlap="1" layoutInCell="1" locked="0" behindDoc="0" simplePos="0" relativeHeight="15863808">
            <wp:simplePos x="0" y="0"/>
            <wp:positionH relativeFrom="page">
              <wp:posOffset>1431036</wp:posOffset>
            </wp:positionH>
            <wp:positionV relativeFrom="paragraph">
              <wp:posOffset>67603</wp:posOffset>
            </wp:positionV>
            <wp:extent cx="96011" cy="80771"/>
            <wp:effectExtent l="0" t="0" r="0" b="0"/>
            <wp:wrapNone/>
            <wp:docPr id="275" name="Image 275"/>
            <wp:cNvGraphicFramePr>
              <a:graphicFrameLocks/>
            </wp:cNvGraphicFramePr>
            <a:graphic>
              <a:graphicData uri="http://schemas.openxmlformats.org/drawingml/2006/picture">
                <pic:pic>
                  <pic:nvPicPr>
                    <pic:cNvPr id="275" name="Image 275"/>
                    <pic:cNvPicPr/>
                  </pic:nvPicPr>
                  <pic:blipFill>
                    <a:blip r:embed="rId41" cstate="print"/>
                    <a:stretch>
                      <a:fillRect/>
                    </a:stretch>
                  </pic:blipFill>
                  <pic:spPr>
                    <a:xfrm>
                      <a:off x="0" y="0"/>
                      <a:ext cx="96011" cy="80771"/>
                    </a:xfrm>
                    <a:prstGeom prst="rect">
                      <a:avLst/>
                    </a:prstGeom>
                  </pic:spPr>
                </pic:pic>
              </a:graphicData>
            </a:graphic>
          </wp:anchor>
        </w:drawing>
      </w:r>
      <w:bookmarkStart w:name="c. Reporting for Connector Care. The sta" w:id="440"/>
      <w:bookmarkEnd w:id="440"/>
      <w:r>
        <w:rPr/>
      </w:r>
      <w:r>
        <w:rPr>
          <w:b/>
        </w:rPr>
        <w:t>Reporting</w:t>
      </w:r>
      <w:r>
        <w:rPr>
          <w:b/>
          <w:spacing w:val="-3"/>
        </w:rPr>
        <w:t> </w:t>
      </w:r>
      <w:r>
        <w:rPr>
          <w:b/>
        </w:rPr>
        <w:t>for</w:t>
      </w:r>
      <w:r>
        <w:rPr>
          <w:b/>
          <w:spacing w:val="-4"/>
        </w:rPr>
        <w:t> </w:t>
      </w:r>
      <w:r>
        <w:rPr>
          <w:b/>
        </w:rPr>
        <w:t>Connector</w:t>
      </w:r>
      <w:r>
        <w:rPr>
          <w:b/>
          <w:spacing w:val="-4"/>
        </w:rPr>
        <w:t> </w:t>
      </w:r>
      <w:r>
        <w:rPr>
          <w:b/>
        </w:rPr>
        <w:t>Care.</w:t>
      </w:r>
      <w:r>
        <w:rPr>
          <w:b/>
          <w:spacing w:val="-3"/>
        </w:rPr>
        <w:t> </w:t>
      </w:r>
      <w:r>
        <w:rPr/>
        <w:t>The</w:t>
      </w:r>
      <w:r>
        <w:rPr>
          <w:spacing w:val="-4"/>
        </w:rPr>
        <w:t> </w:t>
      </w:r>
      <w:r>
        <w:rPr/>
        <w:t>state</w:t>
      </w:r>
      <w:r>
        <w:rPr>
          <w:spacing w:val="-4"/>
        </w:rPr>
        <w:t> </w:t>
      </w:r>
      <w:r>
        <w:rPr/>
        <w:t>must</w:t>
      </w:r>
      <w:r>
        <w:rPr>
          <w:spacing w:val="-3"/>
        </w:rPr>
        <w:t> </w:t>
      </w:r>
      <w:r>
        <w:rPr/>
        <w:t>provide</w:t>
      </w:r>
      <w:r>
        <w:rPr>
          <w:spacing w:val="-4"/>
        </w:rPr>
        <w:t> </w:t>
      </w:r>
      <w:r>
        <w:rPr/>
        <w:t>data</w:t>
      </w:r>
      <w:r>
        <w:rPr>
          <w:spacing w:val="-4"/>
        </w:rPr>
        <w:t> </w:t>
      </w:r>
      <w:r>
        <w:rPr/>
        <w:t>regarding</w:t>
      </w:r>
      <w:r>
        <w:rPr>
          <w:spacing w:val="-6"/>
        </w:rPr>
        <w:t> </w:t>
      </w:r>
      <w:r>
        <w:rPr/>
        <w:t>the</w:t>
      </w:r>
      <w:r>
        <w:rPr>
          <w:spacing w:val="-2"/>
        </w:rPr>
        <w:t> </w:t>
      </w:r>
      <w:r>
        <w:rPr/>
        <w:t>operation of this subsidy program in the Annual Monitoring Report required per STC 16.5.</w:t>
      </w:r>
    </w:p>
    <w:p>
      <w:pPr>
        <w:pStyle w:val="BodyText"/>
        <w:ind w:left="1411"/>
      </w:pPr>
      <w:r>
        <w:rPr/>
        <w:t>This</w:t>
      </w:r>
      <w:r>
        <w:rPr>
          <w:spacing w:val="-1"/>
        </w:rPr>
        <w:t> </w:t>
      </w:r>
      <w:r>
        <w:rPr/>
        <w:t>data</w:t>
      </w:r>
      <w:r>
        <w:rPr>
          <w:spacing w:val="-1"/>
        </w:rPr>
        <w:t> </w:t>
      </w:r>
      <w:r>
        <w:rPr/>
        <w:t>must,</w:t>
      </w:r>
      <w:r>
        <w:rPr>
          <w:spacing w:val="-1"/>
        </w:rPr>
        <w:t> </w:t>
      </w:r>
      <w:r>
        <w:rPr/>
        <w:t>at a</w:t>
      </w:r>
      <w:r>
        <w:rPr>
          <w:spacing w:val="-2"/>
        </w:rPr>
        <w:t> </w:t>
      </w:r>
      <w:r>
        <w:rPr/>
        <w:t>minimum, </w:t>
      </w:r>
      <w:r>
        <w:rPr>
          <w:spacing w:val="-2"/>
        </w:rPr>
        <w:t>include:</w:t>
      </w:r>
    </w:p>
    <w:p>
      <w:pPr>
        <w:pStyle w:val="BodyText"/>
        <w:spacing w:before="10"/>
        <w:rPr>
          <w:sz w:val="20"/>
        </w:rPr>
      </w:pPr>
    </w:p>
    <w:p>
      <w:pPr>
        <w:pStyle w:val="BodyText"/>
        <w:spacing w:line="376" w:lineRule="auto" w:before="1"/>
        <w:ind w:left="2040" w:right="3457"/>
      </w:pPr>
      <w:r>
        <w:rPr/>
        <w:drawing>
          <wp:anchor distT="0" distB="0" distL="0" distR="0" allowOverlap="1" layoutInCell="1" locked="0" behindDoc="0" simplePos="0" relativeHeight="15864320">
            <wp:simplePos x="0" y="0"/>
            <wp:positionH relativeFrom="page">
              <wp:posOffset>1862327</wp:posOffset>
            </wp:positionH>
            <wp:positionV relativeFrom="paragraph">
              <wp:posOffset>33186</wp:posOffset>
            </wp:positionV>
            <wp:extent cx="73151" cy="115823"/>
            <wp:effectExtent l="0" t="0" r="0" b="0"/>
            <wp:wrapNone/>
            <wp:docPr id="276" name="Image 276"/>
            <wp:cNvGraphicFramePr>
              <a:graphicFrameLocks/>
            </wp:cNvGraphicFramePr>
            <a:graphic>
              <a:graphicData uri="http://schemas.openxmlformats.org/drawingml/2006/picture">
                <pic:pic>
                  <pic:nvPicPr>
                    <pic:cNvPr id="276" name="Image 276"/>
                    <pic:cNvPicPr/>
                  </pic:nvPicPr>
                  <pic:blipFill>
                    <a:blip r:embed="rId112" cstate="print"/>
                    <a:stretch>
                      <a:fillRect/>
                    </a:stretch>
                  </pic:blipFill>
                  <pic:spPr>
                    <a:xfrm>
                      <a:off x="0" y="0"/>
                      <a:ext cx="73151" cy="115823"/>
                    </a:xfrm>
                    <a:prstGeom prst="rect">
                      <a:avLst/>
                    </a:prstGeom>
                  </pic:spPr>
                </pic:pic>
              </a:graphicData>
            </a:graphic>
          </wp:anchor>
        </w:drawing>
      </w:r>
      <w:r>
        <w:rPr/>
        <w:drawing>
          <wp:anchor distT="0" distB="0" distL="0" distR="0" allowOverlap="1" layoutInCell="1" locked="0" behindDoc="0" simplePos="0" relativeHeight="15864832">
            <wp:simplePos x="0" y="0"/>
            <wp:positionH relativeFrom="page">
              <wp:posOffset>1819655</wp:posOffset>
            </wp:positionH>
            <wp:positionV relativeFrom="paragraph">
              <wp:posOffset>309030</wp:posOffset>
            </wp:positionV>
            <wp:extent cx="115823" cy="115823"/>
            <wp:effectExtent l="0" t="0" r="0" b="0"/>
            <wp:wrapNone/>
            <wp:docPr id="277" name="Image 277"/>
            <wp:cNvGraphicFramePr>
              <a:graphicFrameLocks/>
            </wp:cNvGraphicFramePr>
            <a:graphic>
              <a:graphicData uri="http://schemas.openxmlformats.org/drawingml/2006/picture">
                <pic:pic>
                  <pic:nvPicPr>
                    <pic:cNvPr id="277" name="Image 277"/>
                    <pic:cNvPicPr/>
                  </pic:nvPicPr>
                  <pic:blipFill>
                    <a:blip r:embed="rId62" cstate="print"/>
                    <a:stretch>
                      <a:fillRect/>
                    </a:stretch>
                  </pic:blipFill>
                  <pic:spPr>
                    <a:xfrm>
                      <a:off x="0" y="0"/>
                      <a:ext cx="115823" cy="115823"/>
                    </a:xfrm>
                    <a:prstGeom prst="rect">
                      <a:avLst/>
                    </a:prstGeom>
                  </pic:spPr>
                </pic:pic>
              </a:graphicData>
            </a:graphic>
          </wp:anchor>
        </w:drawing>
      </w:r>
      <w:bookmarkStart w:name="i. The number of individuals served by t" w:id="441"/>
      <w:bookmarkEnd w:id="441"/>
      <w:r>
        <w:rPr/>
      </w:r>
      <w:r>
        <w:rPr/>
        <w:t>The</w:t>
      </w:r>
      <w:r>
        <w:rPr>
          <w:spacing w:val="-6"/>
        </w:rPr>
        <w:t> </w:t>
      </w:r>
      <w:r>
        <w:rPr/>
        <w:t>number</w:t>
      </w:r>
      <w:r>
        <w:rPr>
          <w:spacing w:val="-6"/>
        </w:rPr>
        <w:t> </w:t>
      </w:r>
      <w:r>
        <w:rPr/>
        <w:t>of</w:t>
      </w:r>
      <w:r>
        <w:rPr>
          <w:spacing w:val="-6"/>
        </w:rPr>
        <w:t> </w:t>
      </w:r>
      <w:r>
        <w:rPr/>
        <w:t>individuals</w:t>
      </w:r>
      <w:r>
        <w:rPr>
          <w:spacing w:val="-5"/>
        </w:rPr>
        <w:t> </w:t>
      </w:r>
      <w:r>
        <w:rPr/>
        <w:t>served</w:t>
      </w:r>
      <w:r>
        <w:rPr>
          <w:spacing w:val="-5"/>
        </w:rPr>
        <w:t> </w:t>
      </w:r>
      <w:r>
        <w:rPr/>
        <w:t>by</w:t>
      </w:r>
      <w:r>
        <w:rPr>
          <w:spacing w:val="-9"/>
        </w:rPr>
        <w:t> </w:t>
      </w:r>
      <w:r>
        <w:rPr/>
        <w:t>the</w:t>
      </w:r>
      <w:r>
        <w:rPr>
          <w:spacing w:val="-6"/>
        </w:rPr>
        <w:t> </w:t>
      </w:r>
      <w:r>
        <w:rPr/>
        <w:t>program; </w:t>
      </w:r>
      <w:bookmarkStart w:name="ii. The size of the subsidies; and" w:id="442"/>
      <w:bookmarkEnd w:id="442"/>
      <w:r>
        <w:rPr/>
        <w:t>T</w:t>
      </w:r>
      <w:r>
        <w:rPr/>
        <w:t>he size of the subsidies; and</w:t>
      </w:r>
    </w:p>
    <w:p>
      <w:pPr>
        <w:pStyle w:val="BodyText"/>
        <w:spacing w:before="4"/>
        <w:ind w:left="2040"/>
      </w:pPr>
      <w:r>
        <w:rPr/>
        <w:drawing>
          <wp:anchor distT="0" distB="0" distL="0" distR="0" allowOverlap="1" layoutInCell="1" locked="0" behindDoc="0" simplePos="0" relativeHeight="15865344">
            <wp:simplePos x="0" y="0"/>
            <wp:positionH relativeFrom="page">
              <wp:posOffset>1778507</wp:posOffset>
            </wp:positionH>
            <wp:positionV relativeFrom="paragraph">
              <wp:posOffset>35091</wp:posOffset>
            </wp:positionV>
            <wp:extent cx="158495" cy="115823"/>
            <wp:effectExtent l="0" t="0" r="0" b="0"/>
            <wp:wrapNone/>
            <wp:docPr id="278" name="Image 278"/>
            <wp:cNvGraphicFramePr>
              <a:graphicFrameLocks/>
            </wp:cNvGraphicFramePr>
            <a:graphic>
              <a:graphicData uri="http://schemas.openxmlformats.org/drawingml/2006/picture">
                <pic:pic>
                  <pic:nvPicPr>
                    <pic:cNvPr id="278" name="Image 278"/>
                    <pic:cNvPicPr/>
                  </pic:nvPicPr>
                  <pic:blipFill>
                    <a:blip r:embed="rId65" cstate="print"/>
                    <a:stretch>
                      <a:fillRect/>
                    </a:stretch>
                  </pic:blipFill>
                  <pic:spPr>
                    <a:xfrm>
                      <a:off x="0" y="0"/>
                      <a:ext cx="158495" cy="115823"/>
                    </a:xfrm>
                    <a:prstGeom prst="rect">
                      <a:avLst/>
                    </a:prstGeom>
                  </pic:spPr>
                </pic:pic>
              </a:graphicData>
            </a:graphic>
          </wp:anchor>
        </w:drawing>
      </w:r>
      <w:bookmarkStart w:name="iii. A comparison of projected costs wit" w:id="443"/>
      <w:bookmarkEnd w:id="443"/>
      <w:r>
        <w:rPr/>
      </w:r>
      <w:r>
        <w:rPr/>
        <w:t>A</w:t>
      </w:r>
      <w:r>
        <w:rPr>
          <w:spacing w:val="-3"/>
        </w:rPr>
        <w:t> </w:t>
      </w:r>
      <w:r>
        <w:rPr/>
        <w:t>comparison</w:t>
      </w:r>
      <w:r>
        <w:rPr>
          <w:spacing w:val="-1"/>
        </w:rPr>
        <w:t> </w:t>
      </w:r>
      <w:r>
        <w:rPr/>
        <w:t>of</w:t>
      </w:r>
      <w:r>
        <w:rPr>
          <w:spacing w:val="-2"/>
        </w:rPr>
        <w:t> </w:t>
      </w:r>
      <w:r>
        <w:rPr/>
        <w:t>projected</w:t>
      </w:r>
      <w:r>
        <w:rPr>
          <w:spacing w:val="-2"/>
        </w:rPr>
        <w:t> </w:t>
      </w:r>
      <w:r>
        <w:rPr/>
        <w:t>costs</w:t>
      </w:r>
      <w:r>
        <w:rPr>
          <w:spacing w:val="-1"/>
        </w:rPr>
        <w:t> </w:t>
      </w:r>
      <w:r>
        <w:rPr/>
        <w:t>with</w:t>
      </w:r>
      <w:r>
        <w:rPr>
          <w:spacing w:val="-1"/>
        </w:rPr>
        <w:t> </w:t>
      </w:r>
      <w:r>
        <w:rPr/>
        <w:t>actual</w:t>
      </w:r>
      <w:r>
        <w:rPr>
          <w:spacing w:val="-1"/>
        </w:rPr>
        <w:t> </w:t>
      </w:r>
      <w:r>
        <w:rPr>
          <w:spacing w:val="-2"/>
        </w:rPr>
        <w:t>costs.</w:t>
      </w:r>
    </w:p>
    <w:p>
      <w:pPr>
        <w:pStyle w:val="BodyText"/>
        <w:spacing w:before="10"/>
        <w:rPr>
          <w:sz w:val="20"/>
        </w:rPr>
      </w:pPr>
    </w:p>
    <w:p>
      <w:pPr>
        <w:pStyle w:val="Heading4"/>
        <w:numPr>
          <w:ilvl w:val="0"/>
          <w:numId w:val="3"/>
        </w:numPr>
        <w:tabs>
          <w:tab w:pos="600" w:val="left" w:leader="none"/>
        </w:tabs>
        <w:spacing w:line="240" w:lineRule="auto" w:before="0" w:after="0"/>
        <w:ind w:left="600" w:right="0" w:hanging="480"/>
        <w:jc w:val="left"/>
      </w:pPr>
      <w:bookmarkStart w:name="11. THE SAFETY NET CARE POOL (SNCP)" w:id="444"/>
      <w:bookmarkEnd w:id="444"/>
      <w:r>
        <w:rPr>
          <w:b w:val="0"/>
        </w:rPr>
      </w:r>
      <w:r>
        <w:rPr/>
        <w:t>THE</w:t>
      </w:r>
      <w:r>
        <w:rPr>
          <w:spacing w:val="-3"/>
        </w:rPr>
        <w:t> </w:t>
      </w:r>
      <w:r>
        <w:rPr/>
        <w:t>SAFETY</w:t>
      </w:r>
      <w:r>
        <w:rPr>
          <w:spacing w:val="-3"/>
        </w:rPr>
        <w:t> </w:t>
      </w:r>
      <w:r>
        <w:rPr/>
        <w:t>NET</w:t>
      </w:r>
      <w:r>
        <w:rPr>
          <w:spacing w:val="-2"/>
        </w:rPr>
        <w:t> </w:t>
      </w:r>
      <w:r>
        <w:rPr/>
        <w:t>CARE</w:t>
      </w:r>
      <w:r>
        <w:rPr>
          <w:spacing w:val="-2"/>
        </w:rPr>
        <w:t> </w:t>
      </w:r>
      <w:r>
        <w:rPr/>
        <w:t>POOL</w:t>
      </w:r>
      <w:r>
        <w:rPr>
          <w:spacing w:val="-2"/>
        </w:rPr>
        <w:t> (SNCP)</w:t>
      </w:r>
    </w:p>
    <w:p>
      <w:pPr>
        <w:pStyle w:val="BodyText"/>
        <w:spacing w:before="10"/>
        <w:rPr>
          <w:b/>
          <w:sz w:val="20"/>
        </w:rPr>
      </w:pPr>
    </w:p>
    <w:p>
      <w:pPr>
        <w:pStyle w:val="BodyText"/>
        <w:ind w:left="871" w:right="1086"/>
      </w:pPr>
      <w:r>
        <w:rPr/>
        <w:drawing>
          <wp:anchor distT="0" distB="0" distL="0" distR="0" allowOverlap="1" layoutInCell="1" locked="0" behindDoc="0" simplePos="0" relativeHeight="15865856">
            <wp:simplePos x="0" y="0"/>
            <wp:positionH relativeFrom="page">
              <wp:posOffset>908303</wp:posOffset>
            </wp:positionH>
            <wp:positionV relativeFrom="paragraph">
              <wp:posOffset>35599</wp:posOffset>
            </wp:positionV>
            <wp:extent cx="283463" cy="112775"/>
            <wp:effectExtent l="0" t="0" r="0" b="0"/>
            <wp:wrapNone/>
            <wp:docPr id="279" name="Image 279"/>
            <wp:cNvGraphicFramePr>
              <a:graphicFrameLocks/>
            </wp:cNvGraphicFramePr>
            <a:graphic>
              <a:graphicData uri="http://schemas.openxmlformats.org/drawingml/2006/picture">
                <pic:pic>
                  <pic:nvPicPr>
                    <pic:cNvPr id="279" name="Image 279"/>
                    <pic:cNvPicPr/>
                  </pic:nvPicPr>
                  <pic:blipFill>
                    <a:blip r:embed="rId147" cstate="print"/>
                    <a:stretch>
                      <a:fillRect/>
                    </a:stretch>
                  </pic:blipFill>
                  <pic:spPr>
                    <a:xfrm>
                      <a:off x="0" y="0"/>
                      <a:ext cx="283463" cy="112775"/>
                    </a:xfrm>
                    <a:prstGeom prst="rect">
                      <a:avLst/>
                    </a:prstGeom>
                  </pic:spPr>
                </pic:pic>
              </a:graphicData>
            </a:graphic>
          </wp:anchor>
        </w:drawing>
      </w:r>
      <w:bookmarkStart w:name="11.1. Description. The Safety Net Care P" w:id="445"/>
      <w:bookmarkEnd w:id="445"/>
      <w:r>
        <w:rPr/>
      </w:r>
      <w:r>
        <w:rPr>
          <w:b/>
        </w:rPr>
        <w:t>Description.</w:t>
      </w:r>
      <w:r>
        <w:rPr>
          <w:b/>
          <w:spacing w:val="-3"/>
        </w:rPr>
        <w:t> </w:t>
      </w:r>
      <w:r>
        <w:rPr/>
        <w:t>The</w:t>
      </w:r>
      <w:r>
        <w:rPr>
          <w:spacing w:val="-4"/>
        </w:rPr>
        <w:t> </w:t>
      </w:r>
      <w:r>
        <w:rPr/>
        <w:t>Safety</w:t>
      </w:r>
      <w:r>
        <w:rPr>
          <w:spacing w:val="-6"/>
        </w:rPr>
        <w:t> </w:t>
      </w:r>
      <w:r>
        <w:rPr/>
        <w:t>Net</w:t>
      </w:r>
      <w:r>
        <w:rPr>
          <w:spacing w:val="-3"/>
        </w:rPr>
        <w:t> </w:t>
      </w:r>
      <w:r>
        <w:rPr/>
        <w:t>Care</w:t>
      </w:r>
      <w:r>
        <w:rPr>
          <w:spacing w:val="-4"/>
        </w:rPr>
        <w:t> </w:t>
      </w:r>
      <w:r>
        <w:rPr/>
        <w:t>Pool</w:t>
      </w:r>
      <w:r>
        <w:rPr>
          <w:spacing w:val="-3"/>
        </w:rPr>
        <w:t> </w:t>
      </w:r>
      <w:r>
        <w:rPr/>
        <w:t>(SNCP)</w:t>
      </w:r>
      <w:r>
        <w:rPr>
          <w:spacing w:val="-4"/>
        </w:rPr>
        <w:t> </w:t>
      </w:r>
      <w:r>
        <w:rPr/>
        <w:t>was</w:t>
      </w:r>
      <w:r>
        <w:rPr>
          <w:spacing w:val="-3"/>
        </w:rPr>
        <w:t> </w:t>
      </w:r>
      <w:r>
        <w:rPr/>
        <w:t>established</w:t>
      </w:r>
      <w:r>
        <w:rPr>
          <w:spacing w:val="-3"/>
        </w:rPr>
        <w:t> </w:t>
      </w:r>
      <w:r>
        <w:rPr/>
        <w:t>effective</w:t>
      </w:r>
      <w:r>
        <w:rPr>
          <w:spacing w:val="-4"/>
        </w:rPr>
        <w:t> </w:t>
      </w:r>
      <w:r>
        <w:rPr/>
        <w:t>July</w:t>
      </w:r>
      <w:r>
        <w:rPr>
          <w:spacing w:val="-7"/>
        </w:rPr>
        <w:t> </w:t>
      </w:r>
      <w:r>
        <w:rPr/>
        <w:t>1,</w:t>
      </w:r>
      <w:r>
        <w:rPr>
          <w:spacing w:val="-3"/>
        </w:rPr>
        <w:t> </w:t>
      </w:r>
      <w:r>
        <w:rPr/>
        <w:t>2005</w:t>
      </w:r>
      <w:r>
        <w:rPr>
          <w:spacing w:val="-3"/>
        </w:rPr>
        <w:t> </w:t>
      </w:r>
      <w:r>
        <w:rPr/>
        <w:t>for the purpose of reducing the rate of uninsurance in the Commonwealth while providing residual provider funding for uncompensated care, and care for Medicaid FFS, Medicaid managed care, Commonwealth Care and low-income uninsured individuals, as well as infrastructure expenditures and access to certain state health programs related to vulnerable individuals, including low-income populations as described in Attachment E. As the Commonwealth has achieved significant progress in increasing access to health coverage, the SNCP has evolved to support delivery system transformation and infrastructure expenditures, both aimed at improving health care delivery systems and</w:t>
      </w:r>
    </w:p>
    <w:p>
      <w:pPr>
        <w:spacing w:after="0"/>
        <w:sectPr>
          <w:pgSz w:w="12240" w:h="15840"/>
          <w:pgMar w:header="0" w:footer="1201" w:top="1360" w:bottom="1400" w:left="1200" w:right="400"/>
        </w:sectPr>
      </w:pPr>
    </w:p>
    <w:p>
      <w:pPr>
        <w:pStyle w:val="BodyText"/>
        <w:spacing w:before="79"/>
        <w:ind w:left="871" w:right="1141"/>
      </w:pPr>
      <w:r>
        <w:rPr/>
        <w:t>thereby</w:t>
      </w:r>
      <w:r>
        <w:rPr>
          <w:spacing w:val="-8"/>
        </w:rPr>
        <w:t> </w:t>
      </w:r>
      <w:r>
        <w:rPr/>
        <w:t>improving</w:t>
      </w:r>
      <w:r>
        <w:rPr>
          <w:spacing w:val="-6"/>
        </w:rPr>
        <w:t> </w:t>
      </w:r>
      <w:r>
        <w:rPr/>
        <w:t>access</w:t>
      </w:r>
      <w:r>
        <w:rPr>
          <w:spacing w:val="-1"/>
        </w:rPr>
        <w:t> </w:t>
      </w:r>
      <w:r>
        <w:rPr/>
        <w:t>to</w:t>
      </w:r>
      <w:r>
        <w:rPr>
          <w:spacing w:val="-3"/>
        </w:rPr>
        <w:t> </w:t>
      </w:r>
      <w:r>
        <w:rPr/>
        <w:t>effective,</w:t>
      </w:r>
      <w:r>
        <w:rPr>
          <w:spacing w:val="-3"/>
        </w:rPr>
        <w:t> </w:t>
      </w:r>
      <w:r>
        <w:rPr/>
        <w:t>quality</w:t>
      </w:r>
      <w:r>
        <w:rPr>
          <w:spacing w:val="-6"/>
        </w:rPr>
        <w:t> </w:t>
      </w:r>
      <w:r>
        <w:rPr/>
        <w:t>care.</w:t>
      </w:r>
      <w:r>
        <w:rPr>
          <w:spacing w:val="-1"/>
        </w:rPr>
        <w:t> </w:t>
      </w:r>
      <w:r>
        <w:rPr/>
        <w:t>During</w:t>
      </w:r>
      <w:r>
        <w:rPr>
          <w:spacing w:val="-6"/>
        </w:rPr>
        <w:t> </w:t>
      </w:r>
      <w:r>
        <w:rPr/>
        <w:t>the</w:t>
      </w:r>
      <w:r>
        <w:rPr>
          <w:spacing w:val="-4"/>
        </w:rPr>
        <w:t> </w:t>
      </w:r>
      <w:r>
        <w:rPr/>
        <w:t>current</w:t>
      </w:r>
      <w:r>
        <w:rPr>
          <w:spacing w:val="-3"/>
        </w:rPr>
        <w:t> </w:t>
      </w:r>
      <w:r>
        <w:rPr/>
        <w:t>extension</w:t>
      </w:r>
      <w:r>
        <w:rPr>
          <w:spacing w:val="-3"/>
        </w:rPr>
        <w:t> </w:t>
      </w:r>
      <w:r>
        <w:rPr/>
        <w:t>period, the SNCP now includes the following expenditure categories:</w:t>
      </w:r>
    </w:p>
    <w:p>
      <w:pPr>
        <w:pStyle w:val="BodyText"/>
        <w:spacing w:before="10"/>
        <w:rPr>
          <w:sz w:val="20"/>
        </w:rPr>
      </w:pPr>
    </w:p>
    <w:p>
      <w:pPr>
        <w:pStyle w:val="BodyText"/>
        <w:ind w:left="1411" w:right="1059"/>
      </w:pPr>
      <w:r>
        <w:rPr/>
        <w:drawing>
          <wp:anchor distT="0" distB="0" distL="0" distR="0" allowOverlap="1" layoutInCell="1" locked="0" behindDoc="0" simplePos="0" relativeHeight="15866368">
            <wp:simplePos x="0" y="0"/>
            <wp:positionH relativeFrom="page">
              <wp:posOffset>1431036</wp:posOffset>
            </wp:positionH>
            <wp:positionV relativeFrom="paragraph">
              <wp:posOffset>67616</wp:posOffset>
            </wp:positionV>
            <wp:extent cx="96011" cy="80759"/>
            <wp:effectExtent l="0" t="0" r="0" b="0"/>
            <wp:wrapNone/>
            <wp:docPr id="280" name="Image 280"/>
            <wp:cNvGraphicFramePr>
              <a:graphicFrameLocks/>
            </wp:cNvGraphicFramePr>
            <a:graphic>
              <a:graphicData uri="http://schemas.openxmlformats.org/drawingml/2006/picture">
                <pic:pic>
                  <pic:nvPicPr>
                    <pic:cNvPr id="280" name="Image 280"/>
                    <pic:cNvPicPr/>
                  </pic:nvPicPr>
                  <pic:blipFill>
                    <a:blip r:embed="rId29" cstate="print"/>
                    <a:stretch>
                      <a:fillRect/>
                    </a:stretch>
                  </pic:blipFill>
                  <pic:spPr>
                    <a:xfrm>
                      <a:off x="0" y="0"/>
                      <a:ext cx="96011" cy="80759"/>
                    </a:xfrm>
                    <a:prstGeom prst="rect">
                      <a:avLst/>
                    </a:prstGeom>
                  </pic:spPr>
                </pic:pic>
              </a:graphicData>
            </a:graphic>
          </wp:anchor>
        </w:drawing>
      </w:r>
      <w:bookmarkStart w:name="a. DSH-like Pool.  Payments that offset " w:id="446"/>
      <w:bookmarkEnd w:id="446"/>
      <w:r>
        <w:rPr/>
      </w:r>
      <w:r>
        <w:rPr>
          <w:b/>
        </w:rPr>
        <w:t>DSH-like Pool</w:t>
      </w:r>
      <w:r>
        <w:rPr/>
        <w:t>.</w:t>
      </w:r>
      <w:r>
        <w:rPr>
          <w:spacing w:val="40"/>
        </w:rPr>
        <w:t> </w:t>
      </w:r>
      <w:r>
        <w:rPr/>
        <w:t>Payments that offset Medicaid FFS and managed care underpayment,</w:t>
      </w:r>
      <w:r>
        <w:rPr>
          <w:spacing w:val="-4"/>
        </w:rPr>
        <w:t> </w:t>
      </w:r>
      <w:r>
        <w:rPr/>
        <w:t>and</w:t>
      </w:r>
      <w:r>
        <w:rPr>
          <w:spacing w:val="-4"/>
        </w:rPr>
        <w:t> </w:t>
      </w:r>
      <w:r>
        <w:rPr/>
        <w:t>uncompensated</w:t>
      </w:r>
      <w:r>
        <w:rPr>
          <w:spacing w:val="-4"/>
        </w:rPr>
        <w:t> </w:t>
      </w:r>
      <w:r>
        <w:rPr/>
        <w:t>care</w:t>
      </w:r>
      <w:r>
        <w:rPr>
          <w:spacing w:val="-5"/>
        </w:rPr>
        <w:t> </w:t>
      </w:r>
      <w:r>
        <w:rPr/>
        <w:t>for</w:t>
      </w:r>
      <w:r>
        <w:rPr>
          <w:spacing w:val="-5"/>
        </w:rPr>
        <w:t> </w:t>
      </w:r>
      <w:r>
        <w:rPr/>
        <w:t>uninsured</w:t>
      </w:r>
      <w:r>
        <w:rPr>
          <w:spacing w:val="-4"/>
        </w:rPr>
        <w:t> </w:t>
      </w:r>
      <w:r>
        <w:rPr/>
        <w:t>and</w:t>
      </w:r>
      <w:r>
        <w:rPr>
          <w:spacing w:val="-4"/>
        </w:rPr>
        <w:t> </w:t>
      </w:r>
      <w:r>
        <w:rPr/>
        <w:t>underinsured</w:t>
      </w:r>
      <w:r>
        <w:rPr>
          <w:spacing w:val="-3"/>
        </w:rPr>
        <w:t> </w:t>
      </w:r>
      <w:r>
        <w:rPr/>
        <w:t>(DSH</w:t>
      </w:r>
      <w:r>
        <w:rPr>
          <w:spacing w:val="-5"/>
        </w:rPr>
        <w:t> </w:t>
      </w:r>
      <w:r>
        <w:rPr/>
        <w:t>– shortfall and uninsured).</w:t>
      </w:r>
    </w:p>
    <w:p>
      <w:pPr>
        <w:pStyle w:val="BodyText"/>
        <w:spacing w:before="10"/>
        <w:rPr>
          <w:sz w:val="20"/>
        </w:rPr>
      </w:pPr>
    </w:p>
    <w:p>
      <w:pPr>
        <w:pStyle w:val="BodyText"/>
        <w:ind w:left="1411" w:right="1059"/>
      </w:pPr>
      <w:r>
        <w:rPr/>
        <w:drawing>
          <wp:anchor distT="0" distB="0" distL="0" distR="0" allowOverlap="1" layoutInCell="1" locked="0" behindDoc="0" simplePos="0" relativeHeight="15866880">
            <wp:simplePos x="0" y="0"/>
            <wp:positionH relativeFrom="page">
              <wp:posOffset>1424939</wp:posOffset>
            </wp:positionH>
            <wp:positionV relativeFrom="paragraph">
              <wp:posOffset>32552</wp:posOffset>
            </wp:positionV>
            <wp:extent cx="111251" cy="115823"/>
            <wp:effectExtent l="0" t="0" r="0" b="0"/>
            <wp:wrapNone/>
            <wp:docPr id="281" name="Image 281"/>
            <wp:cNvGraphicFramePr>
              <a:graphicFrameLocks/>
            </wp:cNvGraphicFramePr>
            <a:graphic>
              <a:graphicData uri="http://schemas.openxmlformats.org/drawingml/2006/picture">
                <pic:pic>
                  <pic:nvPicPr>
                    <pic:cNvPr id="281" name="Image 281"/>
                    <pic:cNvPicPr/>
                  </pic:nvPicPr>
                  <pic:blipFill>
                    <a:blip r:embed="rId34" cstate="print"/>
                    <a:stretch>
                      <a:fillRect/>
                    </a:stretch>
                  </pic:blipFill>
                  <pic:spPr>
                    <a:xfrm>
                      <a:off x="0" y="0"/>
                      <a:ext cx="111251" cy="115823"/>
                    </a:xfrm>
                    <a:prstGeom prst="rect">
                      <a:avLst/>
                    </a:prstGeom>
                  </pic:spPr>
                </pic:pic>
              </a:graphicData>
            </a:graphic>
          </wp:anchor>
        </w:drawing>
      </w:r>
      <w:bookmarkStart w:name="b. UC Pool.  Uncompensated care pool res" w:id="447"/>
      <w:bookmarkEnd w:id="447"/>
      <w:r>
        <w:rPr/>
      </w:r>
      <w:r>
        <w:rPr>
          <w:b/>
        </w:rPr>
        <w:t>UC Pool.</w:t>
      </w:r>
      <w:r>
        <w:rPr>
          <w:b/>
          <w:spacing w:val="40"/>
        </w:rPr>
        <w:t> </w:t>
      </w:r>
      <w:r>
        <w:rPr/>
        <w:t>Uncompensated care pool restricted to charity care for uninsured and underinsured,</w:t>
      </w:r>
      <w:r>
        <w:rPr>
          <w:spacing w:val="-2"/>
        </w:rPr>
        <w:t> </w:t>
      </w:r>
      <w:r>
        <w:rPr/>
        <w:t>aligned</w:t>
      </w:r>
      <w:r>
        <w:rPr>
          <w:spacing w:val="-2"/>
        </w:rPr>
        <w:t> </w:t>
      </w:r>
      <w:r>
        <w:rPr/>
        <w:t>with</w:t>
      </w:r>
      <w:r>
        <w:rPr>
          <w:spacing w:val="-4"/>
        </w:rPr>
        <w:t> </w:t>
      </w:r>
      <w:r>
        <w:rPr/>
        <w:t>CMS</w:t>
      </w:r>
      <w:r>
        <w:rPr>
          <w:spacing w:val="-4"/>
        </w:rPr>
        <w:t> </w:t>
      </w:r>
      <w:r>
        <w:rPr/>
        <w:t>uncompensated</w:t>
      </w:r>
      <w:r>
        <w:rPr>
          <w:spacing w:val="-4"/>
        </w:rPr>
        <w:t> </w:t>
      </w:r>
      <w:r>
        <w:rPr/>
        <w:t>care</w:t>
      </w:r>
      <w:r>
        <w:rPr>
          <w:spacing w:val="-5"/>
        </w:rPr>
        <w:t> </w:t>
      </w:r>
      <w:r>
        <w:rPr/>
        <w:t>pool</w:t>
      </w:r>
      <w:r>
        <w:rPr>
          <w:spacing w:val="-4"/>
        </w:rPr>
        <w:t> </w:t>
      </w:r>
      <w:r>
        <w:rPr/>
        <w:t>policy</w:t>
      </w:r>
      <w:r>
        <w:rPr>
          <w:spacing w:val="-9"/>
        </w:rPr>
        <w:t> </w:t>
      </w:r>
      <w:r>
        <w:rPr/>
        <w:t>as</w:t>
      </w:r>
      <w:r>
        <w:rPr>
          <w:spacing w:val="-2"/>
        </w:rPr>
        <w:t> </w:t>
      </w:r>
      <w:r>
        <w:rPr/>
        <w:t>applied</w:t>
      </w:r>
      <w:r>
        <w:rPr>
          <w:spacing w:val="-4"/>
        </w:rPr>
        <w:t> </w:t>
      </w:r>
      <w:r>
        <w:rPr/>
        <w:t>in</w:t>
      </w:r>
      <w:r>
        <w:rPr>
          <w:spacing w:val="-4"/>
        </w:rPr>
        <w:t> </w:t>
      </w:r>
      <w:r>
        <w:rPr/>
        <w:t>other states (UCC – uninsured care). CMS will only make changes to the base methodology during the negotiation of another demonstration extension with the Commonwealth; and</w:t>
      </w:r>
    </w:p>
    <w:p>
      <w:pPr>
        <w:pStyle w:val="BodyText"/>
        <w:spacing w:before="10"/>
        <w:rPr>
          <w:sz w:val="20"/>
        </w:rPr>
      </w:pPr>
    </w:p>
    <w:p>
      <w:pPr>
        <w:pStyle w:val="BodyText"/>
        <w:ind w:left="1411" w:right="1059"/>
      </w:pPr>
      <w:r>
        <w:rPr/>
        <w:drawing>
          <wp:anchor distT="0" distB="0" distL="0" distR="0" allowOverlap="1" layoutInCell="1" locked="0" behindDoc="0" simplePos="0" relativeHeight="15867392">
            <wp:simplePos x="0" y="0"/>
            <wp:positionH relativeFrom="page">
              <wp:posOffset>1431036</wp:posOffset>
            </wp:positionH>
            <wp:positionV relativeFrom="paragraph">
              <wp:posOffset>67604</wp:posOffset>
            </wp:positionV>
            <wp:extent cx="96011" cy="80771"/>
            <wp:effectExtent l="0" t="0" r="0" b="0"/>
            <wp:wrapNone/>
            <wp:docPr id="282" name="Image 282"/>
            <wp:cNvGraphicFramePr>
              <a:graphicFrameLocks/>
            </wp:cNvGraphicFramePr>
            <a:graphic>
              <a:graphicData uri="http://schemas.openxmlformats.org/drawingml/2006/picture">
                <pic:pic>
                  <pic:nvPicPr>
                    <pic:cNvPr id="282" name="Image 282"/>
                    <pic:cNvPicPr/>
                  </pic:nvPicPr>
                  <pic:blipFill>
                    <a:blip r:embed="rId35" cstate="print"/>
                    <a:stretch>
                      <a:fillRect/>
                    </a:stretch>
                  </pic:blipFill>
                  <pic:spPr>
                    <a:xfrm>
                      <a:off x="0" y="0"/>
                      <a:ext cx="96011" cy="80771"/>
                    </a:xfrm>
                    <a:prstGeom prst="rect">
                      <a:avLst/>
                    </a:prstGeom>
                  </pic:spPr>
                </pic:pic>
              </a:graphicData>
            </a:graphic>
          </wp:anchor>
        </w:drawing>
      </w:r>
      <w:bookmarkStart w:name="c. DSRIP.  Final performance period of t" w:id="448"/>
      <w:bookmarkEnd w:id="448"/>
      <w:r>
        <w:rPr/>
      </w:r>
      <w:r>
        <w:rPr>
          <w:b/>
        </w:rPr>
        <w:t>DSRIP</w:t>
      </w:r>
      <w:r>
        <w:rPr/>
        <w:t>.</w:t>
      </w:r>
      <w:r>
        <w:rPr>
          <w:spacing w:val="40"/>
        </w:rPr>
        <w:t> </w:t>
      </w:r>
      <w:r>
        <w:rPr/>
        <w:t>Final performance period of the DSRIP program, ending March 31, 2023, and</w:t>
      </w:r>
      <w:r>
        <w:rPr>
          <w:spacing w:val="-3"/>
        </w:rPr>
        <w:t> </w:t>
      </w:r>
      <w:r>
        <w:rPr/>
        <w:t>close-out</w:t>
      </w:r>
      <w:r>
        <w:rPr>
          <w:spacing w:val="-3"/>
        </w:rPr>
        <w:t> </w:t>
      </w:r>
      <w:r>
        <w:rPr/>
        <w:t>activities</w:t>
      </w:r>
      <w:r>
        <w:rPr>
          <w:spacing w:val="-3"/>
        </w:rPr>
        <w:t> </w:t>
      </w:r>
      <w:r>
        <w:rPr/>
        <w:t>that</w:t>
      </w:r>
      <w:r>
        <w:rPr>
          <w:spacing w:val="-3"/>
        </w:rPr>
        <w:t> </w:t>
      </w:r>
      <w:r>
        <w:rPr/>
        <w:t>phase</w:t>
      </w:r>
      <w:r>
        <w:rPr>
          <w:spacing w:val="-4"/>
        </w:rPr>
        <w:t> </w:t>
      </w:r>
      <w:r>
        <w:rPr/>
        <w:t>down</w:t>
      </w:r>
      <w:r>
        <w:rPr>
          <w:spacing w:val="-3"/>
        </w:rPr>
        <w:t> </w:t>
      </w:r>
      <w:r>
        <w:rPr/>
        <w:t>over</w:t>
      </w:r>
      <w:r>
        <w:rPr>
          <w:spacing w:val="-4"/>
        </w:rPr>
        <w:t> </w:t>
      </w:r>
      <w:r>
        <w:rPr/>
        <w:t>the</w:t>
      </w:r>
      <w:r>
        <w:rPr>
          <w:spacing w:val="-2"/>
        </w:rPr>
        <w:t> </w:t>
      </w:r>
      <w:r>
        <w:rPr/>
        <w:t>course</w:t>
      </w:r>
      <w:r>
        <w:rPr>
          <w:spacing w:val="-4"/>
        </w:rPr>
        <w:t> </w:t>
      </w:r>
      <w:r>
        <w:rPr/>
        <w:t>of</w:t>
      </w:r>
      <w:r>
        <w:rPr>
          <w:spacing w:val="-4"/>
        </w:rPr>
        <w:t> </w:t>
      </w:r>
      <w:r>
        <w:rPr/>
        <w:t>the</w:t>
      </w:r>
      <w:r>
        <w:rPr>
          <w:spacing w:val="-2"/>
        </w:rPr>
        <w:t> </w:t>
      </w:r>
      <w:r>
        <w:rPr/>
        <w:t>demonstration</w:t>
      </w:r>
      <w:r>
        <w:rPr>
          <w:spacing w:val="-3"/>
        </w:rPr>
        <w:t> </w:t>
      </w:r>
      <w:r>
        <w:rPr/>
        <w:t>period.</w:t>
      </w:r>
    </w:p>
    <w:p>
      <w:pPr>
        <w:pStyle w:val="BodyText"/>
        <w:spacing w:before="10"/>
        <w:rPr>
          <w:sz w:val="20"/>
        </w:rPr>
      </w:pPr>
    </w:p>
    <w:p>
      <w:pPr>
        <w:pStyle w:val="BodyText"/>
        <w:ind w:left="1411" w:right="1059"/>
      </w:pPr>
      <w:r>
        <w:rPr/>
        <w:drawing>
          <wp:anchor distT="0" distB="0" distL="0" distR="0" allowOverlap="1" layoutInCell="1" locked="0" behindDoc="0" simplePos="0" relativeHeight="15867904">
            <wp:simplePos x="0" y="0"/>
            <wp:positionH relativeFrom="page">
              <wp:posOffset>1431036</wp:posOffset>
            </wp:positionH>
            <wp:positionV relativeFrom="paragraph">
              <wp:posOffset>32551</wp:posOffset>
            </wp:positionV>
            <wp:extent cx="105155" cy="115823"/>
            <wp:effectExtent l="0" t="0" r="0" b="0"/>
            <wp:wrapNone/>
            <wp:docPr id="283" name="Image 283"/>
            <wp:cNvGraphicFramePr>
              <a:graphicFrameLocks/>
            </wp:cNvGraphicFramePr>
            <a:graphic>
              <a:graphicData uri="http://schemas.openxmlformats.org/drawingml/2006/picture">
                <pic:pic>
                  <pic:nvPicPr>
                    <pic:cNvPr id="283" name="Image 283"/>
                    <pic:cNvPicPr/>
                  </pic:nvPicPr>
                  <pic:blipFill>
                    <a:blip r:embed="rId36" cstate="print"/>
                    <a:stretch>
                      <a:fillRect/>
                    </a:stretch>
                  </pic:blipFill>
                  <pic:spPr>
                    <a:xfrm>
                      <a:off x="0" y="0"/>
                      <a:ext cx="105155" cy="115823"/>
                    </a:xfrm>
                    <a:prstGeom prst="rect">
                      <a:avLst/>
                    </a:prstGeom>
                  </pic:spPr>
                </pic:pic>
              </a:graphicData>
            </a:graphic>
          </wp:anchor>
        </w:drawing>
      </w:r>
      <w:bookmarkStart w:name="d. Safety Net Provider Payments (SNPP). " w:id="449"/>
      <w:bookmarkEnd w:id="449"/>
      <w:r>
        <w:rPr/>
      </w:r>
      <w:r>
        <w:rPr>
          <w:b/>
        </w:rPr>
        <w:t>Safety Net Provider Payments (SNPP). </w:t>
      </w:r>
      <w:r>
        <w:rPr/>
        <w:t>Close-out payments associated with the prior</w:t>
      </w:r>
      <w:r>
        <w:rPr>
          <w:spacing w:val="-4"/>
        </w:rPr>
        <w:t> </w:t>
      </w:r>
      <w:r>
        <w:rPr/>
        <w:t>demonstration</w:t>
      </w:r>
      <w:r>
        <w:rPr>
          <w:spacing w:val="-3"/>
        </w:rPr>
        <w:t> </w:t>
      </w:r>
      <w:r>
        <w:rPr/>
        <w:t>period</w:t>
      </w:r>
      <w:r>
        <w:rPr>
          <w:spacing w:val="-3"/>
        </w:rPr>
        <w:t> </w:t>
      </w:r>
      <w:r>
        <w:rPr/>
        <w:t>and</w:t>
      </w:r>
      <w:r>
        <w:rPr>
          <w:spacing w:val="-3"/>
        </w:rPr>
        <w:t> </w:t>
      </w:r>
      <w:r>
        <w:rPr/>
        <w:t>tied</w:t>
      </w:r>
      <w:r>
        <w:rPr>
          <w:spacing w:val="-3"/>
        </w:rPr>
        <w:t> </w:t>
      </w:r>
      <w:r>
        <w:rPr/>
        <w:t>to</w:t>
      </w:r>
      <w:r>
        <w:rPr>
          <w:spacing w:val="-3"/>
        </w:rPr>
        <w:t> </w:t>
      </w:r>
      <w:r>
        <w:rPr/>
        <w:t>DSRIP</w:t>
      </w:r>
      <w:r>
        <w:rPr>
          <w:spacing w:val="-3"/>
        </w:rPr>
        <w:t> </w:t>
      </w:r>
      <w:r>
        <w:rPr/>
        <w:t>accountability</w:t>
      </w:r>
      <w:r>
        <w:rPr>
          <w:spacing w:val="-10"/>
        </w:rPr>
        <w:t> </w:t>
      </w:r>
      <w:r>
        <w:rPr/>
        <w:t>to</w:t>
      </w:r>
      <w:r>
        <w:rPr>
          <w:spacing w:val="-3"/>
        </w:rPr>
        <w:t> </w:t>
      </w:r>
      <w:r>
        <w:rPr/>
        <w:t>be</w:t>
      </w:r>
      <w:r>
        <w:rPr>
          <w:spacing w:val="-4"/>
        </w:rPr>
        <w:t> </w:t>
      </w:r>
      <w:r>
        <w:rPr/>
        <w:t>paid</w:t>
      </w:r>
      <w:r>
        <w:rPr>
          <w:spacing w:val="-3"/>
        </w:rPr>
        <w:t> </w:t>
      </w:r>
      <w:r>
        <w:rPr/>
        <w:t>to</w:t>
      </w:r>
      <w:r>
        <w:rPr>
          <w:spacing w:val="-3"/>
        </w:rPr>
        <w:t> </w:t>
      </w:r>
      <w:r>
        <w:rPr/>
        <w:t>hospitals eligible during the prior demonstration period.</w:t>
      </w:r>
    </w:p>
    <w:p>
      <w:pPr>
        <w:pStyle w:val="BodyText"/>
        <w:spacing w:before="10"/>
        <w:rPr>
          <w:sz w:val="20"/>
        </w:rPr>
      </w:pPr>
    </w:p>
    <w:p>
      <w:pPr>
        <w:spacing w:before="0"/>
        <w:ind w:left="1411" w:right="1059" w:firstLine="0"/>
        <w:jc w:val="left"/>
        <w:rPr>
          <w:sz w:val="24"/>
        </w:rPr>
      </w:pPr>
      <w:r>
        <w:rPr/>
        <w:drawing>
          <wp:anchor distT="0" distB="0" distL="0" distR="0" allowOverlap="1" layoutInCell="1" locked="0" behindDoc="0" simplePos="0" relativeHeight="15868416">
            <wp:simplePos x="0" y="0"/>
            <wp:positionH relativeFrom="page">
              <wp:posOffset>1431036</wp:posOffset>
            </wp:positionH>
            <wp:positionV relativeFrom="paragraph">
              <wp:posOffset>67603</wp:posOffset>
            </wp:positionV>
            <wp:extent cx="96011" cy="80771"/>
            <wp:effectExtent l="0" t="0" r="0" b="0"/>
            <wp:wrapNone/>
            <wp:docPr id="284" name="Image 284"/>
            <wp:cNvGraphicFramePr>
              <a:graphicFrameLocks/>
            </wp:cNvGraphicFramePr>
            <a:graphic>
              <a:graphicData uri="http://schemas.openxmlformats.org/drawingml/2006/picture">
                <pic:pic>
                  <pic:nvPicPr>
                    <pic:cNvPr id="284" name="Image 284"/>
                    <pic:cNvPicPr/>
                  </pic:nvPicPr>
                  <pic:blipFill>
                    <a:blip r:embed="rId148" cstate="print"/>
                    <a:stretch>
                      <a:fillRect/>
                    </a:stretch>
                  </pic:blipFill>
                  <pic:spPr>
                    <a:xfrm>
                      <a:off x="0" y="0"/>
                      <a:ext cx="96011" cy="80771"/>
                    </a:xfrm>
                    <a:prstGeom prst="rect">
                      <a:avLst/>
                    </a:prstGeom>
                  </pic:spPr>
                </pic:pic>
              </a:graphicData>
            </a:graphic>
          </wp:anchor>
        </w:drawing>
      </w:r>
      <w:bookmarkStart w:name="e. Public Hospital Transformation and In" w:id="450"/>
      <w:bookmarkEnd w:id="450"/>
      <w:r>
        <w:rPr/>
      </w:r>
      <w:r>
        <w:rPr>
          <w:b/>
          <w:sz w:val="24"/>
        </w:rPr>
        <w:t>Public Hospital Transformation and Incentive Initiatives (PHTII). </w:t>
      </w:r>
      <w:r>
        <w:rPr>
          <w:sz w:val="24"/>
        </w:rPr>
        <w:t>Close-out payments associated with the prior demonstration period and tied to DSRIP accountability</w:t>
      </w:r>
      <w:r>
        <w:rPr>
          <w:spacing w:val="-6"/>
          <w:sz w:val="24"/>
        </w:rPr>
        <w:t> </w:t>
      </w:r>
      <w:r>
        <w:rPr>
          <w:sz w:val="24"/>
        </w:rPr>
        <w:t>during</w:t>
      </w:r>
      <w:r>
        <w:rPr>
          <w:spacing w:val="-6"/>
          <w:sz w:val="24"/>
        </w:rPr>
        <w:t> </w:t>
      </w:r>
      <w:r>
        <w:rPr>
          <w:sz w:val="24"/>
        </w:rPr>
        <w:t>the</w:t>
      </w:r>
      <w:r>
        <w:rPr>
          <w:spacing w:val="-3"/>
          <w:sz w:val="24"/>
        </w:rPr>
        <w:t> </w:t>
      </w:r>
      <w:r>
        <w:rPr>
          <w:sz w:val="24"/>
        </w:rPr>
        <w:t>prior</w:t>
      </w:r>
      <w:r>
        <w:rPr>
          <w:spacing w:val="-5"/>
          <w:sz w:val="24"/>
        </w:rPr>
        <w:t> </w:t>
      </w:r>
      <w:r>
        <w:rPr>
          <w:sz w:val="24"/>
        </w:rPr>
        <w:t>demonstration</w:t>
      </w:r>
      <w:r>
        <w:rPr>
          <w:spacing w:val="-4"/>
          <w:sz w:val="24"/>
        </w:rPr>
        <w:t> </w:t>
      </w:r>
      <w:r>
        <w:rPr>
          <w:sz w:val="24"/>
        </w:rPr>
        <w:t>period</w:t>
      </w:r>
      <w:r>
        <w:rPr>
          <w:spacing w:val="-4"/>
          <w:sz w:val="24"/>
        </w:rPr>
        <w:t> </w:t>
      </w:r>
      <w:r>
        <w:rPr>
          <w:sz w:val="24"/>
        </w:rPr>
        <w:t>to</w:t>
      </w:r>
      <w:r>
        <w:rPr>
          <w:spacing w:val="-4"/>
          <w:sz w:val="24"/>
        </w:rPr>
        <w:t> </w:t>
      </w:r>
      <w:r>
        <w:rPr>
          <w:sz w:val="24"/>
        </w:rPr>
        <w:t>be</w:t>
      </w:r>
      <w:r>
        <w:rPr>
          <w:spacing w:val="-5"/>
          <w:sz w:val="24"/>
        </w:rPr>
        <w:t> </w:t>
      </w:r>
      <w:r>
        <w:rPr>
          <w:sz w:val="24"/>
        </w:rPr>
        <w:t>paid</w:t>
      </w:r>
      <w:r>
        <w:rPr>
          <w:spacing w:val="-4"/>
          <w:sz w:val="24"/>
        </w:rPr>
        <w:t> </w:t>
      </w:r>
      <w:r>
        <w:rPr>
          <w:sz w:val="24"/>
        </w:rPr>
        <w:t>to</w:t>
      </w:r>
      <w:r>
        <w:rPr>
          <w:spacing w:val="-4"/>
          <w:sz w:val="24"/>
        </w:rPr>
        <w:t> </w:t>
      </w:r>
      <w:r>
        <w:rPr>
          <w:sz w:val="24"/>
        </w:rPr>
        <w:t>Cambridge</w:t>
      </w:r>
      <w:r>
        <w:rPr>
          <w:spacing w:val="-3"/>
          <w:sz w:val="24"/>
        </w:rPr>
        <w:t> </w:t>
      </w:r>
      <w:r>
        <w:rPr>
          <w:sz w:val="24"/>
        </w:rPr>
        <w:t>Health </w:t>
      </w:r>
      <w:r>
        <w:rPr>
          <w:spacing w:val="-2"/>
          <w:sz w:val="24"/>
        </w:rPr>
        <w:t>Alliance.</w:t>
      </w:r>
    </w:p>
    <w:p>
      <w:pPr>
        <w:pStyle w:val="BodyText"/>
        <w:spacing w:before="10"/>
        <w:rPr>
          <w:sz w:val="20"/>
        </w:rPr>
      </w:pPr>
    </w:p>
    <w:p>
      <w:pPr>
        <w:pStyle w:val="BodyText"/>
        <w:ind w:left="871" w:right="1141"/>
      </w:pPr>
      <w:r>
        <w:rPr/>
        <w:drawing>
          <wp:anchor distT="0" distB="0" distL="0" distR="0" allowOverlap="1" layoutInCell="1" locked="0" behindDoc="0" simplePos="0" relativeHeight="15868928">
            <wp:simplePos x="0" y="0"/>
            <wp:positionH relativeFrom="page">
              <wp:posOffset>908303</wp:posOffset>
            </wp:positionH>
            <wp:positionV relativeFrom="paragraph">
              <wp:posOffset>35599</wp:posOffset>
            </wp:positionV>
            <wp:extent cx="283463" cy="112775"/>
            <wp:effectExtent l="0" t="0" r="0" b="0"/>
            <wp:wrapNone/>
            <wp:docPr id="285" name="Image 285"/>
            <wp:cNvGraphicFramePr>
              <a:graphicFrameLocks/>
            </wp:cNvGraphicFramePr>
            <a:graphic>
              <a:graphicData uri="http://schemas.openxmlformats.org/drawingml/2006/picture">
                <pic:pic>
                  <pic:nvPicPr>
                    <pic:cNvPr id="285" name="Image 285"/>
                    <pic:cNvPicPr/>
                  </pic:nvPicPr>
                  <pic:blipFill>
                    <a:blip r:embed="rId149" cstate="print"/>
                    <a:stretch>
                      <a:fillRect/>
                    </a:stretch>
                  </pic:blipFill>
                  <pic:spPr>
                    <a:xfrm>
                      <a:off x="0" y="0"/>
                      <a:ext cx="283463" cy="112775"/>
                    </a:xfrm>
                    <a:prstGeom prst="rect">
                      <a:avLst/>
                    </a:prstGeom>
                  </pic:spPr>
                </pic:pic>
              </a:graphicData>
            </a:graphic>
          </wp:anchor>
        </w:drawing>
      </w:r>
      <w:bookmarkStart w:name="11.2. Expenditures Authorized under the " w:id="451"/>
      <w:bookmarkEnd w:id="451"/>
      <w:r>
        <w:rPr/>
      </w:r>
      <w:r>
        <w:rPr>
          <w:b/>
        </w:rPr>
        <w:t>Expenditures</w:t>
      </w:r>
      <w:r>
        <w:rPr>
          <w:b/>
          <w:spacing w:val="-4"/>
        </w:rPr>
        <w:t> </w:t>
      </w:r>
      <w:r>
        <w:rPr>
          <w:b/>
        </w:rPr>
        <w:t>Authorized</w:t>
      </w:r>
      <w:r>
        <w:rPr>
          <w:b/>
          <w:spacing w:val="-4"/>
        </w:rPr>
        <w:t> </w:t>
      </w:r>
      <w:r>
        <w:rPr>
          <w:b/>
        </w:rPr>
        <w:t>under</w:t>
      </w:r>
      <w:r>
        <w:rPr>
          <w:b/>
          <w:spacing w:val="-5"/>
        </w:rPr>
        <w:t> </w:t>
      </w:r>
      <w:r>
        <w:rPr>
          <w:b/>
        </w:rPr>
        <w:t>the</w:t>
      </w:r>
      <w:r>
        <w:rPr>
          <w:b/>
          <w:spacing w:val="-5"/>
        </w:rPr>
        <w:t> </w:t>
      </w:r>
      <w:r>
        <w:rPr>
          <w:b/>
        </w:rPr>
        <w:t>SNCP.</w:t>
      </w:r>
      <w:r>
        <w:rPr>
          <w:b/>
          <w:spacing w:val="-5"/>
        </w:rPr>
        <w:t> </w:t>
      </w:r>
      <w:r>
        <w:rPr/>
        <w:t>The</w:t>
      </w:r>
      <w:r>
        <w:rPr>
          <w:spacing w:val="-5"/>
        </w:rPr>
        <w:t> </w:t>
      </w:r>
      <w:r>
        <w:rPr/>
        <w:t>Commonwealth</w:t>
      </w:r>
      <w:r>
        <w:rPr>
          <w:spacing w:val="-4"/>
        </w:rPr>
        <w:t> </w:t>
      </w:r>
      <w:r>
        <w:rPr/>
        <w:t>is</w:t>
      </w:r>
      <w:r>
        <w:rPr>
          <w:spacing w:val="-4"/>
        </w:rPr>
        <w:t> </w:t>
      </w:r>
      <w:r>
        <w:rPr/>
        <w:t>authorized</w:t>
      </w:r>
      <w:r>
        <w:rPr>
          <w:spacing w:val="-4"/>
        </w:rPr>
        <w:t> </w:t>
      </w:r>
      <w:r>
        <w:rPr/>
        <w:t>to</w:t>
      </w:r>
      <w:r>
        <w:rPr>
          <w:spacing w:val="-4"/>
        </w:rPr>
        <w:t> </w:t>
      </w:r>
      <w:r>
        <w:rPr/>
        <w:t>claim as allowable expenditures under the demonstration, to the extent permitted under the SNCP limits under STC 8.3, for the following categories of payments and expenditures. The Commonwealth must identify the provider and the source of non-federal share for each component of the SNCP. Federally-approved payments and expenditures within these categories are specified in Attachment E. The Commonwealth must only claim expenditures at the regular FMAP for these programs.</w:t>
      </w:r>
    </w:p>
    <w:p>
      <w:pPr>
        <w:pStyle w:val="BodyText"/>
        <w:spacing w:before="10"/>
        <w:rPr>
          <w:sz w:val="20"/>
        </w:rPr>
      </w:pPr>
    </w:p>
    <w:p>
      <w:pPr>
        <w:pStyle w:val="BodyText"/>
        <w:spacing w:before="1"/>
        <w:ind w:left="1411" w:right="1059"/>
      </w:pPr>
      <w:r>
        <w:rPr/>
        <w:drawing>
          <wp:anchor distT="0" distB="0" distL="0" distR="0" allowOverlap="1" layoutInCell="1" locked="0" behindDoc="0" simplePos="0" relativeHeight="15869440">
            <wp:simplePos x="0" y="0"/>
            <wp:positionH relativeFrom="page">
              <wp:posOffset>1431036</wp:posOffset>
            </wp:positionH>
            <wp:positionV relativeFrom="paragraph">
              <wp:posOffset>68251</wp:posOffset>
            </wp:positionV>
            <wp:extent cx="96011" cy="80759"/>
            <wp:effectExtent l="0" t="0" r="0" b="0"/>
            <wp:wrapNone/>
            <wp:docPr id="286" name="Image 286"/>
            <wp:cNvGraphicFramePr>
              <a:graphicFrameLocks/>
            </wp:cNvGraphicFramePr>
            <a:graphic>
              <a:graphicData uri="http://schemas.openxmlformats.org/drawingml/2006/picture">
                <pic:pic>
                  <pic:nvPicPr>
                    <pic:cNvPr id="286" name="Image 286"/>
                    <pic:cNvPicPr/>
                  </pic:nvPicPr>
                  <pic:blipFill>
                    <a:blip r:embed="rId40" cstate="print"/>
                    <a:stretch>
                      <a:fillRect/>
                    </a:stretch>
                  </pic:blipFill>
                  <pic:spPr>
                    <a:xfrm>
                      <a:off x="0" y="0"/>
                      <a:ext cx="96011" cy="80759"/>
                    </a:xfrm>
                    <a:prstGeom prst="rect">
                      <a:avLst/>
                    </a:prstGeom>
                  </pic:spPr>
                </pic:pic>
              </a:graphicData>
            </a:graphic>
          </wp:anchor>
        </w:drawing>
      </w:r>
      <w:bookmarkStart w:name="a. Disproportionate Share Hospital-like " w:id="452"/>
      <w:bookmarkEnd w:id="452"/>
      <w:r>
        <w:rPr/>
      </w:r>
      <w:r>
        <w:rPr>
          <w:b/>
        </w:rPr>
        <w:t>Disproportionate Share Hospital-like (DSH-like) Pool. </w:t>
      </w:r>
      <w:r>
        <w:rPr/>
        <w:t>As described in Attachment E, the Commonwealth may</w:t>
      </w:r>
      <w:r>
        <w:rPr>
          <w:spacing w:val="-3"/>
        </w:rPr>
        <w:t> </w:t>
      </w:r>
      <w:r>
        <w:rPr/>
        <w:t>claim as an allowable expenditure under the demonstration, payments to providers, including but not limited to, acute hospitals and health systems, non-acute hospitals, and other providers of medical services to support uncompensated care for Medicaid FFS, and low-income uninsured individuals</w:t>
      </w:r>
      <w:r>
        <w:rPr>
          <w:spacing w:val="-4"/>
        </w:rPr>
        <w:t> </w:t>
      </w:r>
      <w:r>
        <w:rPr/>
        <w:t>consistent</w:t>
      </w:r>
      <w:r>
        <w:rPr>
          <w:spacing w:val="-4"/>
        </w:rPr>
        <w:t> </w:t>
      </w:r>
      <w:r>
        <w:rPr/>
        <w:t>with</w:t>
      </w:r>
      <w:r>
        <w:rPr>
          <w:spacing w:val="-4"/>
        </w:rPr>
        <w:t> </w:t>
      </w:r>
      <w:r>
        <w:rPr/>
        <w:t>the</w:t>
      </w:r>
      <w:r>
        <w:rPr>
          <w:spacing w:val="-5"/>
        </w:rPr>
        <w:t> </w:t>
      </w:r>
      <w:r>
        <w:rPr/>
        <w:t>definition</w:t>
      </w:r>
      <w:r>
        <w:rPr>
          <w:spacing w:val="-4"/>
        </w:rPr>
        <w:t> </w:t>
      </w:r>
      <w:r>
        <w:rPr/>
        <w:t>of</w:t>
      </w:r>
      <w:r>
        <w:rPr>
          <w:spacing w:val="-5"/>
        </w:rPr>
        <w:t> </w:t>
      </w:r>
      <w:r>
        <w:rPr/>
        <w:t>uncompensated</w:t>
      </w:r>
      <w:r>
        <w:rPr>
          <w:spacing w:val="-4"/>
        </w:rPr>
        <w:t> </w:t>
      </w:r>
      <w:r>
        <w:rPr/>
        <w:t>care</w:t>
      </w:r>
      <w:r>
        <w:rPr>
          <w:spacing w:val="-5"/>
        </w:rPr>
        <w:t> </w:t>
      </w:r>
      <w:r>
        <w:rPr/>
        <w:t>in</w:t>
      </w:r>
      <w:r>
        <w:rPr>
          <w:spacing w:val="-4"/>
        </w:rPr>
        <w:t> </w:t>
      </w:r>
      <w:r>
        <w:rPr/>
        <w:t>42</w:t>
      </w:r>
      <w:r>
        <w:rPr>
          <w:spacing w:val="-4"/>
        </w:rPr>
        <w:t> </w:t>
      </w:r>
      <w:r>
        <w:rPr/>
        <w:t>CFR</w:t>
      </w:r>
      <w:r>
        <w:rPr>
          <w:spacing w:val="-1"/>
        </w:rPr>
        <w:t> </w:t>
      </w:r>
      <w:r>
        <w:rPr/>
        <w:t>447.299, except</w:t>
      </w:r>
      <w:r>
        <w:rPr>
          <w:spacing w:val="-4"/>
        </w:rPr>
        <w:t> </w:t>
      </w:r>
      <w:r>
        <w:rPr/>
        <w:t>that</w:t>
      </w:r>
      <w:r>
        <w:rPr>
          <w:spacing w:val="-4"/>
        </w:rPr>
        <w:t> </w:t>
      </w:r>
      <w:r>
        <w:rPr/>
        <w:t>provider</w:t>
      </w:r>
      <w:r>
        <w:rPr>
          <w:spacing w:val="-5"/>
        </w:rPr>
        <w:t> </w:t>
      </w:r>
      <w:r>
        <w:rPr/>
        <w:t>incentive</w:t>
      </w:r>
      <w:r>
        <w:rPr>
          <w:spacing w:val="-5"/>
        </w:rPr>
        <w:t> </w:t>
      </w:r>
      <w:r>
        <w:rPr/>
        <w:t>payments</w:t>
      </w:r>
      <w:r>
        <w:rPr>
          <w:spacing w:val="-4"/>
        </w:rPr>
        <w:t> </w:t>
      </w:r>
      <w:r>
        <w:rPr/>
        <w:t>will</w:t>
      </w:r>
      <w:r>
        <w:rPr>
          <w:spacing w:val="-4"/>
        </w:rPr>
        <w:t> </w:t>
      </w:r>
      <w:r>
        <w:rPr/>
        <w:t>not</w:t>
      </w:r>
      <w:r>
        <w:rPr>
          <w:spacing w:val="-4"/>
        </w:rPr>
        <w:t> </w:t>
      </w:r>
      <w:r>
        <w:rPr/>
        <w:t>be</w:t>
      </w:r>
      <w:r>
        <w:rPr>
          <w:spacing w:val="-5"/>
        </w:rPr>
        <w:t> </w:t>
      </w:r>
      <w:r>
        <w:rPr/>
        <w:t>included</w:t>
      </w:r>
      <w:r>
        <w:rPr>
          <w:spacing w:val="-4"/>
        </w:rPr>
        <w:t> </w:t>
      </w:r>
      <w:r>
        <w:rPr/>
        <w:t>as</w:t>
      </w:r>
      <w:r>
        <w:rPr>
          <w:spacing w:val="-4"/>
        </w:rPr>
        <w:t> </w:t>
      </w:r>
      <w:r>
        <w:rPr/>
        <w:t>patient</w:t>
      </w:r>
      <w:r>
        <w:rPr>
          <w:spacing w:val="-2"/>
        </w:rPr>
        <w:t> </w:t>
      </w:r>
      <w:r>
        <w:rPr/>
        <w:t>care</w:t>
      </w:r>
      <w:r>
        <w:rPr>
          <w:spacing w:val="-3"/>
        </w:rPr>
        <w:t> </w:t>
      </w:r>
      <w:r>
        <w:rPr/>
        <w:t>revenues for this purpose. The Commonwealth may also claim as allowable expenditures payments not otherwise eligible for FFP that are for otherwise covered services furnished to individuals who are inpatients in an Institution for Mental Disease.</w:t>
      </w:r>
    </w:p>
    <w:p>
      <w:pPr>
        <w:pStyle w:val="BodyText"/>
        <w:ind w:left="1411" w:right="1059"/>
      </w:pPr>
      <w:r>
        <w:rPr/>
        <w:t>Payments to providers other than community health centers are limited to uncompensated</w:t>
      </w:r>
      <w:r>
        <w:rPr>
          <w:spacing w:val="-3"/>
        </w:rPr>
        <w:t> </w:t>
      </w:r>
      <w:r>
        <w:rPr/>
        <w:t>care</w:t>
      </w:r>
      <w:r>
        <w:rPr>
          <w:spacing w:val="-4"/>
        </w:rPr>
        <w:t> </w:t>
      </w:r>
      <w:r>
        <w:rPr/>
        <w:t>costs</w:t>
      </w:r>
      <w:r>
        <w:rPr>
          <w:spacing w:val="-3"/>
        </w:rPr>
        <w:t> </w:t>
      </w:r>
      <w:r>
        <w:rPr/>
        <w:t>incurred</w:t>
      </w:r>
      <w:r>
        <w:rPr>
          <w:spacing w:val="-3"/>
        </w:rPr>
        <w:t> </w:t>
      </w:r>
      <w:r>
        <w:rPr/>
        <w:t>by</w:t>
      </w:r>
      <w:r>
        <w:rPr>
          <w:spacing w:val="-8"/>
        </w:rPr>
        <w:t> </w:t>
      </w:r>
      <w:r>
        <w:rPr/>
        <w:t>providers</w:t>
      </w:r>
      <w:r>
        <w:rPr>
          <w:spacing w:val="-3"/>
        </w:rPr>
        <w:t> </w:t>
      </w:r>
      <w:r>
        <w:rPr/>
        <w:t>and</w:t>
      </w:r>
      <w:r>
        <w:rPr>
          <w:spacing w:val="-3"/>
        </w:rPr>
        <w:t> </w:t>
      </w:r>
      <w:r>
        <w:rPr/>
        <w:t>verified</w:t>
      </w:r>
      <w:r>
        <w:rPr>
          <w:spacing w:val="-3"/>
        </w:rPr>
        <w:t> </w:t>
      </w:r>
      <w:r>
        <w:rPr/>
        <w:t>in</w:t>
      </w:r>
      <w:r>
        <w:rPr>
          <w:spacing w:val="-3"/>
        </w:rPr>
        <w:t> </w:t>
      </w:r>
      <w:r>
        <w:rPr/>
        <w:t>cost</w:t>
      </w:r>
      <w:r>
        <w:rPr>
          <w:spacing w:val="-3"/>
        </w:rPr>
        <w:t> </w:t>
      </w:r>
      <w:r>
        <w:rPr/>
        <w:t>reports</w:t>
      </w:r>
      <w:r>
        <w:rPr>
          <w:spacing w:val="-3"/>
        </w:rPr>
        <w:t> </w:t>
      </w:r>
      <w:r>
        <w:rPr/>
        <w:t>or</w:t>
      </w:r>
      <w:r>
        <w:rPr>
          <w:spacing w:val="-4"/>
        </w:rPr>
        <w:t> </w:t>
      </w:r>
      <w:r>
        <w:rPr/>
        <w:t>other cost</w:t>
      </w:r>
      <w:r>
        <w:rPr>
          <w:spacing w:val="-3"/>
        </w:rPr>
        <w:t> </w:t>
      </w:r>
      <w:r>
        <w:rPr/>
        <w:t>records,</w:t>
      </w:r>
      <w:r>
        <w:rPr>
          <w:spacing w:val="-1"/>
        </w:rPr>
        <w:t> </w:t>
      </w:r>
      <w:r>
        <w:rPr/>
        <w:t>in serving</w:t>
      </w:r>
      <w:r>
        <w:rPr>
          <w:spacing w:val="-4"/>
        </w:rPr>
        <w:t> </w:t>
      </w:r>
      <w:r>
        <w:rPr/>
        <w:t>individuals</w:t>
      </w:r>
      <w:r>
        <w:rPr>
          <w:spacing w:val="-1"/>
        </w:rPr>
        <w:t> </w:t>
      </w:r>
      <w:r>
        <w:rPr/>
        <w:t>who are</w:t>
      </w:r>
      <w:r>
        <w:rPr>
          <w:spacing w:val="-2"/>
        </w:rPr>
        <w:t> </w:t>
      </w:r>
      <w:r>
        <w:rPr/>
        <w:t>eligible</w:t>
      </w:r>
      <w:r>
        <w:rPr>
          <w:spacing w:val="-1"/>
        </w:rPr>
        <w:t> </w:t>
      </w:r>
      <w:r>
        <w:rPr/>
        <w:t>for</w:t>
      </w:r>
      <w:r>
        <w:rPr>
          <w:spacing w:val="-2"/>
        </w:rPr>
        <w:t> </w:t>
      </w:r>
      <w:r>
        <w:rPr/>
        <w:t>Medicaid,</w:t>
      </w:r>
      <w:r>
        <w:rPr>
          <w:spacing w:val="-1"/>
        </w:rPr>
        <w:t> </w:t>
      </w:r>
      <w:r>
        <w:rPr/>
        <w:t>or</w:t>
      </w:r>
      <w:r>
        <w:rPr>
          <w:spacing w:val="-1"/>
        </w:rPr>
        <w:t> </w:t>
      </w:r>
      <w:r>
        <w:rPr/>
        <w:t>have no </w:t>
      </w:r>
      <w:r>
        <w:rPr>
          <w:spacing w:val="-2"/>
        </w:rPr>
        <w:t>health</w:t>
      </w:r>
    </w:p>
    <w:p>
      <w:pPr>
        <w:spacing w:after="0"/>
        <w:sectPr>
          <w:pgSz w:w="12240" w:h="15840"/>
          <w:pgMar w:header="0" w:footer="1201" w:top="1360" w:bottom="1400" w:left="1200" w:right="400"/>
        </w:sectPr>
      </w:pPr>
    </w:p>
    <w:p>
      <w:pPr>
        <w:pStyle w:val="BodyText"/>
        <w:spacing w:before="79"/>
        <w:ind w:left="1411" w:right="1059"/>
      </w:pPr>
      <w:r>
        <w:rPr/>
        <w:t>care</w:t>
      </w:r>
      <w:r>
        <w:rPr>
          <w:spacing w:val="-4"/>
        </w:rPr>
        <w:t> </w:t>
      </w:r>
      <w:r>
        <w:rPr/>
        <w:t>insurance</w:t>
      </w:r>
      <w:r>
        <w:rPr>
          <w:spacing w:val="-4"/>
        </w:rPr>
        <w:t> </w:t>
      </w:r>
      <w:r>
        <w:rPr/>
        <w:t>for</w:t>
      </w:r>
      <w:r>
        <w:rPr>
          <w:spacing w:val="-4"/>
        </w:rPr>
        <w:t> </w:t>
      </w:r>
      <w:r>
        <w:rPr/>
        <w:t>the</w:t>
      </w:r>
      <w:r>
        <w:rPr>
          <w:spacing w:val="-4"/>
        </w:rPr>
        <w:t> </w:t>
      </w:r>
      <w:r>
        <w:rPr/>
        <w:t>service.</w:t>
      </w:r>
      <w:r>
        <w:rPr>
          <w:spacing w:val="-3"/>
        </w:rPr>
        <w:t> </w:t>
      </w:r>
      <w:r>
        <w:rPr/>
        <w:t>These</w:t>
      </w:r>
      <w:r>
        <w:rPr>
          <w:spacing w:val="-4"/>
        </w:rPr>
        <w:t> </w:t>
      </w:r>
      <w:r>
        <w:rPr/>
        <w:t>payments</w:t>
      </w:r>
      <w:r>
        <w:rPr>
          <w:spacing w:val="-3"/>
        </w:rPr>
        <w:t> </w:t>
      </w:r>
      <w:r>
        <w:rPr/>
        <w:t>are</w:t>
      </w:r>
      <w:r>
        <w:rPr>
          <w:spacing w:val="-2"/>
        </w:rPr>
        <w:t> </w:t>
      </w:r>
      <w:r>
        <w:rPr/>
        <w:t>subject</w:t>
      </w:r>
      <w:r>
        <w:rPr>
          <w:spacing w:val="-3"/>
        </w:rPr>
        <w:t> </w:t>
      </w:r>
      <w:r>
        <w:rPr/>
        <w:t>to</w:t>
      </w:r>
      <w:r>
        <w:rPr>
          <w:spacing w:val="-3"/>
        </w:rPr>
        <w:t> </w:t>
      </w:r>
      <w:r>
        <w:rPr/>
        <w:t>the</w:t>
      </w:r>
      <w:r>
        <w:rPr>
          <w:spacing w:val="-4"/>
        </w:rPr>
        <w:t> </w:t>
      </w:r>
      <w:r>
        <w:rPr/>
        <w:t>SNCP</w:t>
      </w:r>
      <w:r>
        <w:rPr>
          <w:spacing w:val="-3"/>
        </w:rPr>
        <w:t> </w:t>
      </w:r>
      <w:r>
        <w:rPr/>
        <w:t>limits</w:t>
      </w:r>
      <w:r>
        <w:rPr>
          <w:spacing w:val="-3"/>
        </w:rPr>
        <w:t> </w:t>
      </w:r>
      <w:r>
        <w:rPr/>
        <w:t>under STC 11.7. The DSH Pool may include expenditures for:</w:t>
      </w:r>
    </w:p>
    <w:p>
      <w:pPr>
        <w:pStyle w:val="BodyText"/>
        <w:spacing w:before="10"/>
        <w:rPr>
          <w:sz w:val="20"/>
        </w:rPr>
      </w:pPr>
    </w:p>
    <w:p>
      <w:pPr>
        <w:pStyle w:val="BodyText"/>
        <w:ind w:left="2040" w:right="1059"/>
      </w:pPr>
      <w:r>
        <w:rPr/>
        <w:drawing>
          <wp:anchor distT="0" distB="0" distL="0" distR="0" allowOverlap="1" layoutInCell="1" locked="0" behindDoc="0" simplePos="0" relativeHeight="15869952">
            <wp:simplePos x="0" y="0"/>
            <wp:positionH relativeFrom="page">
              <wp:posOffset>1862327</wp:posOffset>
            </wp:positionH>
            <wp:positionV relativeFrom="paragraph">
              <wp:posOffset>32551</wp:posOffset>
            </wp:positionV>
            <wp:extent cx="73151" cy="115823"/>
            <wp:effectExtent l="0" t="0" r="0" b="0"/>
            <wp:wrapNone/>
            <wp:docPr id="287" name="Image 287"/>
            <wp:cNvGraphicFramePr>
              <a:graphicFrameLocks/>
            </wp:cNvGraphicFramePr>
            <a:graphic>
              <a:graphicData uri="http://schemas.openxmlformats.org/drawingml/2006/picture">
                <pic:pic>
                  <pic:nvPicPr>
                    <pic:cNvPr id="287" name="Image 287"/>
                    <pic:cNvPicPr/>
                  </pic:nvPicPr>
                  <pic:blipFill>
                    <a:blip r:embed="rId61" cstate="print"/>
                    <a:stretch>
                      <a:fillRect/>
                    </a:stretch>
                  </pic:blipFill>
                  <pic:spPr>
                    <a:xfrm>
                      <a:off x="0" y="0"/>
                      <a:ext cx="73151" cy="115823"/>
                    </a:xfrm>
                    <a:prstGeom prst="rect">
                      <a:avLst/>
                    </a:prstGeom>
                  </pic:spPr>
                </pic:pic>
              </a:graphicData>
            </a:graphic>
          </wp:anchor>
        </w:drawing>
      </w:r>
      <w:bookmarkStart w:name="i. Public Service Hospital Safety Net Ca" w:id="453"/>
      <w:bookmarkEnd w:id="453"/>
      <w:r>
        <w:rPr/>
      </w:r>
      <w:r>
        <w:rPr/>
        <w:t>Public</w:t>
      </w:r>
      <w:r>
        <w:rPr>
          <w:spacing w:val="-5"/>
        </w:rPr>
        <w:t> </w:t>
      </w:r>
      <w:r>
        <w:rPr/>
        <w:t>Service</w:t>
      </w:r>
      <w:r>
        <w:rPr>
          <w:spacing w:val="-5"/>
        </w:rPr>
        <w:t> </w:t>
      </w:r>
      <w:r>
        <w:rPr/>
        <w:t>Hospital</w:t>
      </w:r>
      <w:r>
        <w:rPr>
          <w:spacing w:val="-4"/>
        </w:rPr>
        <w:t> </w:t>
      </w:r>
      <w:r>
        <w:rPr/>
        <w:t>Safety</w:t>
      </w:r>
      <w:r>
        <w:rPr>
          <w:spacing w:val="-7"/>
        </w:rPr>
        <w:t> </w:t>
      </w:r>
      <w:r>
        <w:rPr/>
        <w:t>Net</w:t>
      </w:r>
      <w:r>
        <w:rPr>
          <w:spacing w:val="-4"/>
        </w:rPr>
        <w:t> </w:t>
      </w:r>
      <w:r>
        <w:rPr/>
        <w:t>Care</w:t>
      </w:r>
      <w:r>
        <w:rPr>
          <w:spacing w:val="-5"/>
        </w:rPr>
        <w:t> </w:t>
      </w:r>
      <w:r>
        <w:rPr/>
        <w:t>payments</w:t>
      </w:r>
      <w:r>
        <w:rPr>
          <w:spacing w:val="-4"/>
        </w:rPr>
        <w:t> </w:t>
      </w:r>
      <w:r>
        <w:rPr/>
        <w:t>to</w:t>
      </w:r>
      <w:r>
        <w:rPr>
          <w:spacing w:val="-4"/>
        </w:rPr>
        <w:t> </w:t>
      </w:r>
      <w:r>
        <w:rPr/>
        <w:t>hospitals</w:t>
      </w:r>
      <w:r>
        <w:rPr>
          <w:spacing w:val="-4"/>
        </w:rPr>
        <w:t> </w:t>
      </w:r>
      <w:r>
        <w:rPr/>
        <w:t>for</w:t>
      </w:r>
      <w:r>
        <w:rPr>
          <w:spacing w:val="-5"/>
        </w:rPr>
        <w:t> </w:t>
      </w:r>
      <w:r>
        <w:rPr/>
        <w:t>care provided to eligible low income uninsured and underinsured patients;</w:t>
      </w:r>
    </w:p>
    <w:p>
      <w:pPr>
        <w:pStyle w:val="BodyText"/>
        <w:spacing w:before="161"/>
        <w:ind w:left="2040" w:right="1059"/>
      </w:pPr>
      <w:r>
        <w:rPr/>
        <w:drawing>
          <wp:anchor distT="0" distB="0" distL="0" distR="0" allowOverlap="1" layoutInCell="1" locked="0" behindDoc="0" simplePos="0" relativeHeight="15870464">
            <wp:simplePos x="0" y="0"/>
            <wp:positionH relativeFrom="page">
              <wp:posOffset>1819655</wp:posOffset>
            </wp:positionH>
            <wp:positionV relativeFrom="paragraph">
              <wp:posOffset>134786</wp:posOffset>
            </wp:positionV>
            <wp:extent cx="115823" cy="115823"/>
            <wp:effectExtent l="0" t="0" r="0" b="0"/>
            <wp:wrapNone/>
            <wp:docPr id="288" name="Image 288"/>
            <wp:cNvGraphicFramePr>
              <a:graphicFrameLocks/>
            </wp:cNvGraphicFramePr>
            <a:graphic>
              <a:graphicData uri="http://schemas.openxmlformats.org/drawingml/2006/picture">
                <pic:pic>
                  <pic:nvPicPr>
                    <pic:cNvPr id="288" name="Image 288"/>
                    <pic:cNvPicPr/>
                  </pic:nvPicPr>
                  <pic:blipFill>
                    <a:blip r:embed="rId62" cstate="print"/>
                    <a:stretch>
                      <a:fillRect/>
                    </a:stretch>
                  </pic:blipFill>
                  <pic:spPr>
                    <a:xfrm>
                      <a:off x="0" y="0"/>
                      <a:ext cx="115823" cy="115823"/>
                    </a:xfrm>
                    <a:prstGeom prst="rect">
                      <a:avLst/>
                    </a:prstGeom>
                  </pic:spPr>
                </pic:pic>
              </a:graphicData>
            </a:graphic>
          </wp:anchor>
        </w:drawing>
      </w:r>
      <w:bookmarkStart w:name="ii. Health Safety Net Trust Fund payment" w:id="454"/>
      <w:bookmarkEnd w:id="454"/>
      <w:r>
        <w:rPr/>
      </w:r>
      <w:r>
        <w:rPr/>
        <w:t>Health Safety Net Trust Fund payments to hospitals and community health centers</w:t>
      </w:r>
      <w:r>
        <w:rPr>
          <w:spacing w:val="-4"/>
        </w:rPr>
        <w:t> </w:t>
      </w:r>
      <w:r>
        <w:rPr/>
        <w:t>for</w:t>
      </w:r>
      <w:r>
        <w:rPr>
          <w:spacing w:val="-5"/>
        </w:rPr>
        <w:t> </w:t>
      </w:r>
      <w:r>
        <w:rPr/>
        <w:t>care</w:t>
      </w:r>
      <w:r>
        <w:rPr>
          <w:spacing w:val="-5"/>
        </w:rPr>
        <w:t> </w:t>
      </w:r>
      <w:r>
        <w:rPr/>
        <w:t>provided</w:t>
      </w:r>
      <w:r>
        <w:rPr>
          <w:spacing w:val="-2"/>
        </w:rPr>
        <w:t> </w:t>
      </w:r>
      <w:r>
        <w:rPr/>
        <w:t>to</w:t>
      </w:r>
      <w:r>
        <w:rPr>
          <w:spacing w:val="-4"/>
        </w:rPr>
        <w:t> </w:t>
      </w:r>
      <w:r>
        <w:rPr/>
        <w:t>eligible</w:t>
      </w:r>
      <w:r>
        <w:rPr>
          <w:spacing w:val="-5"/>
        </w:rPr>
        <w:t> </w:t>
      </w:r>
      <w:r>
        <w:rPr/>
        <w:t>low</w:t>
      </w:r>
      <w:r>
        <w:rPr>
          <w:spacing w:val="-5"/>
        </w:rPr>
        <w:t> </w:t>
      </w:r>
      <w:r>
        <w:rPr/>
        <w:t>income</w:t>
      </w:r>
      <w:r>
        <w:rPr>
          <w:spacing w:val="-5"/>
        </w:rPr>
        <w:t> </w:t>
      </w:r>
      <w:r>
        <w:rPr/>
        <w:t>uninsured</w:t>
      </w:r>
      <w:r>
        <w:rPr>
          <w:spacing w:val="-4"/>
        </w:rPr>
        <w:t> </w:t>
      </w:r>
      <w:r>
        <w:rPr/>
        <w:t>and</w:t>
      </w:r>
      <w:r>
        <w:rPr>
          <w:spacing w:val="-4"/>
        </w:rPr>
        <w:t> </w:t>
      </w:r>
      <w:r>
        <w:rPr/>
        <w:t>underinsured </w:t>
      </w:r>
      <w:r>
        <w:rPr>
          <w:spacing w:val="-2"/>
        </w:rPr>
        <w:t>patients;</w:t>
      </w:r>
    </w:p>
    <w:p>
      <w:pPr>
        <w:pStyle w:val="BodyText"/>
        <w:spacing w:before="158"/>
        <w:ind w:left="2040" w:right="1059"/>
      </w:pPr>
      <w:r>
        <w:rPr/>
        <w:drawing>
          <wp:anchor distT="0" distB="0" distL="0" distR="0" allowOverlap="1" layoutInCell="1" locked="0" behindDoc="0" simplePos="0" relativeHeight="15870976">
            <wp:simplePos x="0" y="0"/>
            <wp:positionH relativeFrom="page">
              <wp:posOffset>1778507</wp:posOffset>
            </wp:positionH>
            <wp:positionV relativeFrom="paragraph">
              <wp:posOffset>132882</wp:posOffset>
            </wp:positionV>
            <wp:extent cx="158495" cy="115823"/>
            <wp:effectExtent l="0" t="0" r="0" b="0"/>
            <wp:wrapNone/>
            <wp:docPr id="289" name="Image 289"/>
            <wp:cNvGraphicFramePr>
              <a:graphicFrameLocks/>
            </wp:cNvGraphicFramePr>
            <a:graphic>
              <a:graphicData uri="http://schemas.openxmlformats.org/drawingml/2006/picture">
                <pic:pic>
                  <pic:nvPicPr>
                    <pic:cNvPr id="289" name="Image 289"/>
                    <pic:cNvPicPr/>
                  </pic:nvPicPr>
                  <pic:blipFill>
                    <a:blip r:embed="rId65" cstate="print"/>
                    <a:stretch>
                      <a:fillRect/>
                    </a:stretch>
                  </pic:blipFill>
                  <pic:spPr>
                    <a:xfrm>
                      <a:off x="0" y="0"/>
                      <a:ext cx="158495" cy="115823"/>
                    </a:xfrm>
                    <a:prstGeom prst="rect">
                      <a:avLst/>
                    </a:prstGeom>
                  </pic:spPr>
                </pic:pic>
              </a:graphicData>
            </a:graphic>
          </wp:anchor>
        </w:drawing>
      </w:r>
      <w:bookmarkStart w:name="iii. Payments to Institutions for Mental" w:id="455"/>
      <w:bookmarkEnd w:id="455"/>
      <w:r>
        <w:rPr/>
      </w:r>
      <w:r>
        <w:rPr/>
        <w:t>Payments to Institutions for Mental Disease (IMDs) for care provided to MassHealth Members, to the extent these expenditures are not claimed under the</w:t>
      </w:r>
      <w:r>
        <w:rPr>
          <w:spacing w:val="-4"/>
        </w:rPr>
        <w:t> </w:t>
      </w:r>
      <w:r>
        <w:rPr/>
        <w:t>Diversionary</w:t>
      </w:r>
      <w:r>
        <w:rPr>
          <w:spacing w:val="-6"/>
        </w:rPr>
        <w:t> </w:t>
      </w:r>
      <w:r>
        <w:rPr/>
        <w:t>Behavioral</w:t>
      </w:r>
      <w:r>
        <w:rPr>
          <w:spacing w:val="-3"/>
        </w:rPr>
        <w:t> </w:t>
      </w:r>
      <w:r>
        <w:rPr/>
        <w:t>Health</w:t>
      </w:r>
      <w:r>
        <w:rPr>
          <w:spacing w:val="-3"/>
        </w:rPr>
        <w:t> </w:t>
      </w:r>
      <w:r>
        <w:rPr/>
        <w:t>authority</w:t>
      </w:r>
      <w:r>
        <w:rPr>
          <w:spacing w:val="-8"/>
        </w:rPr>
        <w:t> </w:t>
      </w:r>
      <w:r>
        <w:rPr/>
        <w:t>described</w:t>
      </w:r>
      <w:r>
        <w:rPr>
          <w:spacing w:val="-3"/>
        </w:rPr>
        <w:t> </w:t>
      </w:r>
      <w:r>
        <w:rPr/>
        <w:t>in</w:t>
      </w:r>
      <w:r>
        <w:rPr>
          <w:spacing w:val="-3"/>
        </w:rPr>
        <w:t> </w:t>
      </w:r>
      <w:r>
        <w:rPr/>
        <w:t>STC</w:t>
      </w:r>
      <w:r>
        <w:rPr>
          <w:spacing w:val="-3"/>
        </w:rPr>
        <w:t> </w:t>
      </w:r>
      <w:r>
        <w:rPr/>
        <w:t>5.11,</w:t>
      </w:r>
      <w:r>
        <w:rPr>
          <w:spacing w:val="-3"/>
        </w:rPr>
        <w:t> </w:t>
      </w:r>
      <w:r>
        <w:rPr/>
        <w:t>the</w:t>
      </w:r>
      <w:r>
        <w:rPr>
          <w:spacing w:val="-4"/>
        </w:rPr>
        <w:t> </w:t>
      </w:r>
      <w:r>
        <w:rPr/>
        <w:t>SUD authority described in Section 6 or the SMI authority described in Section 7;</w:t>
      </w:r>
    </w:p>
    <w:p>
      <w:pPr>
        <w:pStyle w:val="BodyText"/>
        <w:spacing w:before="161"/>
        <w:ind w:left="2040" w:right="1041"/>
      </w:pPr>
      <w:r>
        <w:rPr/>
        <w:drawing>
          <wp:anchor distT="0" distB="0" distL="0" distR="0" allowOverlap="1" layoutInCell="1" locked="0" behindDoc="0" simplePos="0" relativeHeight="15871488">
            <wp:simplePos x="0" y="0"/>
            <wp:positionH relativeFrom="page">
              <wp:posOffset>1786127</wp:posOffset>
            </wp:positionH>
            <wp:positionV relativeFrom="paragraph">
              <wp:posOffset>134786</wp:posOffset>
            </wp:positionV>
            <wp:extent cx="149339" cy="115823"/>
            <wp:effectExtent l="0" t="0" r="0" b="0"/>
            <wp:wrapNone/>
            <wp:docPr id="290" name="Image 290"/>
            <wp:cNvGraphicFramePr>
              <a:graphicFrameLocks/>
            </wp:cNvGraphicFramePr>
            <a:graphic>
              <a:graphicData uri="http://schemas.openxmlformats.org/drawingml/2006/picture">
                <pic:pic>
                  <pic:nvPicPr>
                    <pic:cNvPr id="290" name="Image 290"/>
                    <pic:cNvPicPr/>
                  </pic:nvPicPr>
                  <pic:blipFill>
                    <a:blip r:embed="rId118" cstate="print"/>
                    <a:stretch>
                      <a:fillRect/>
                    </a:stretch>
                  </pic:blipFill>
                  <pic:spPr>
                    <a:xfrm>
                      <a:off x="0" y="0"/>
                      <a:ext cx="149339" cy="115823"/>
                    </a:xfrm>
                    <a:prstGeom prst="rect">
                      <a:avLst/>
                    </a:prstGeom>
                  </pic:spPr>
                </pic:pic>
              </a:graphicData>
            </a:graphic>
          </wp:anchor>
        </w:drawing>
      </w:r>
      <w:bookmarkStart w:name="iv. Certified public expenditures for un" w:id="456"/>
      <w:bookmarkEnd w:id="456"/>
      <w:r>
        <w:rPr/>
      </w:r>
      <w:r>
        <w:rPr/>
        <w:t>Certified</w:t>
      </w:r>
      <w:r>
        <w:rPr>
          <w:spacing w:val="-4"/>
        </w:rPr>
        <w:t> </w:t>
      </w:r>
      <w:r>
        <w:rPr/>
        <w:t>public</w:t>
      </w:r>
      <w:r>
        <w:rPr>
          <w:spacing w:val="-5"/>
        </w:rPr>
        <w:t> </w:t>
      </w:r>
      <w:r>
        <w:rPr/>
        <w:t>expenditures</w:t>
      </w:r>
      <w:r>
        <w:rPr>
          <w:spacing w:val="-4"/>
        </w:rPr>
        <w:t> </w:t>
      </w:r>
      <w:r>
        <w:rPr/>
        <w:t>for</w:t>
      </w:r>
      <w:r>
        <w:rPr>
          <w:spacing w:val="-5"/>
        </w:rPr>
        <w:t> </w:t>
      </w:r>
      <w:r>
        <w:rPr/>
        <w:t>uncompensated</w:t>
      </w:r>
      <w:r>
        <w:rPr>
          <w:spacing w:val="-3"/>
        </w:rPr>
        <w:t> </w:t>
      </w:r>
      <w:r>
        <w:rPr/>
        <w:t>care</w:t>
      </w:r>
      <w:r>
        <w:rPr>
          <w:spacing w:val="-5"/>
        </w:rPr>
        <w:t> </w:t>
      </w:r>
      <w:r>
        <w:rPr/>
        <w:t>provided</w:t>
      </w:r>
      <w:r>
        <w:rPr>
          <w:spacing w:val="-4"/>
        </w:rPr>
        <w:t> </w:t>
      </w:r>
      <w:r>
        <w:rPr/>
        <w:t>by</w:t>
      </w:r>
      <w:r>
        <w:rPr>
          <w:spacing w:val="-9"/>
        </w:rPr>
        <w:t> </w:t>
      </w:r>
      <w:r>
        <w:rPr/>
        <w:t>Department of Public Health (DPH) and Department of Mental Health (DMH) hospitals; </w:t>
      </w:r>
      <w:r>
        <w:rPr>
          <w:spacing w:val="-4"/>
        </w:rPr>
        <w:t>and</w:t>
      </w:r>
    </w:p>
    <w:p>
      <w:pPr>
        <w:pStyle w:val="BodyText"/>
        <w:spacing w:before="161"/>
        <w:ind w:left="2040" w:right="1059"/>
      </w:pPr>
      <w:r>
        <w:rPr/>
        <w:drawing>
          <wp:anchor distT="0" distB="0" distL="0" distR="0" allowOverlap="1" layoutInCell="1" locked="0" behindDoc="0" simplePos="0" relativeHeight="15872000">
            <wp:simplePos x="0" y="0"/>
            <wp:positionH relativeFrom="page">
              <wp:posOffset>1825751</wp:posOffset>
            </wp:positionH>
            <wp:positionV relativeFrom="paragraph">
              <wp:posOffset>172886</wp:posOffset>
            </wp:positionV>
            <wp:extent cx="109727" cy="77723"/>
            <wp:effectExtent l="0" t="0" r="0" b="0"/>
            <wp:wrapNone/>
            <wp:docPr id="291" name="Image 291"/>
            <wp:cNvGraphicFramePr>
              <a:graphicFrameLocks/>
            </wp:cNvGraphicFramePr>
            <a:graphic>
              <a:graphicData uri="http://schemas.openxmlformats.org/drawingml/2006/picture">
                <pic:pic>
                  <pic:nvPicPr>
                    <pic:cNvPr id="291" name="Image 291"/>
                    <pic:cNvPicPr/>
                  </pic:nvPicPr>
                  <pic:blipFill>
                    <a:blip r:embed="rId67" cstate="print"/>
                    <a:stretch>
                      <a:fillRect/>
                    </a:stretch>
                  </pic:blipFill>
                  <pic:spPr>
                    <a:xfrm>
                      <a:off x="0" y="0"/>
                      <a:ext cx="109727" cy="77723"/>
                    </a:xfrm>
                    <a:prstGeom prst="rect">
                      <a:avLst/>
                    </a:prstGeom>
                  </pic:spPr>
                </pic:pic>
              </a:graphicData>
            </a:graphic>
          </wp:anchor>
        </w:drawing>
      </w:r>
      <w:bookmarkStart w:name="v. Safety Net Provider Payments to quali" w:id="457"/>
      <w:bookmarkEnd w:id="457"/>
      <w:r>
        <w:rPr/>
      </w:r>
      <w:r>
        <w:rPr/>
        <w:t>Safety</w:t>
      </w:r>
      <w:r>
        <w:rPr>
          <w:spacing w:val="-7"/>
        </w:rPr>
        <w:t> </w:t>
      </w:r>
      <w:r>
        <w:rPr/>
        <w:t>Net</w:t>
      </w:r>
      <w:r>
        <w:rPr>
          <w:spacing w:val="-4"/>
        </w:rPr>
        <w:t> </w:t>
      </w:r>
      <w:r>
        <w:rPr/>
        <w:t>Provider</w:t>
      </w:r>
      <w:r>
        <w:rPr>
          <w:spacing w:val="-5"/>
        </w:rPr>
        <w:t> </w:t>
      </w:r>
      <w:r>
        <w:rPr/>
        <w:t>Payments</w:t>
      </w:r>
      <w:r>
        <w:rPr>
          <w:spacing w:val="-4"/>
        </w:rPr>
        <w:t> </w:t>
      </w:r>
      <w:r>
        <w:rPr/>
        <w:t>to</w:t>
      </w:r>
      <w:r>
        <w:rPr>
          <w:spacing w:val="-4"/>
        </w:rPr>
        <w:t> </w:t>
      </w:r>
      <w:r>
        <w:rPr/>
        <w:t>qualifying</w:t>
      </w:r>
      <w:r>
        <w:rPr>
          <w:spacing w:val="-7"/>
        </w:rPr>
        <w:t> </w:t>
      </w:r>
      <w:r>
        <w:rPr/>
        <w:t>hospitals,</w:t>
      </w:r>
      <w:r>
        <w:rPr>
          <w:spacing w:val="-4"/>
        </w:rPr>
        <w:t> </w:t>
      </w:r>
      <w:r>
        <w:rPr/>
        <w:t>as</w:t>
      </w:r>
      <w:r>
        <w:rPr>
          <w:spacing w:val="-4"/>
        </w:rPr>
        <w:t> </w:t>
      </w:r>
      <w:r>
        <w:rPr/>
        <w:t>described</w:t>
      </w:r>
      <w:r>
        <w:rPr>
          <w:spacing w:val="-4"/>
        </w:rPr>
        <w:t> </w:t>
      </w:r>
      <w:r>
        <w:rPr/>
        <w:t>in</w:t>
      </w:r>
      <w:r>
        <w:rPr>
          <w:spacing w:val="-4"/>
        </w:rPr>
        <w:t> </w:t>
      </w:r>
      <w:r>
        <w:rPr/>
        <w:t>(2) below, and close-out Safety Net Provider Payments</w:t>
      </w:r>
    </w:p>
    <w:p>
      <w:pPr>
        <w:pStyle w:val="BodyText"/>
        <w:spacing w:before="199"/>
        <w:ind w:left="1411" w:right="1087"/>
      </w:pPr>
      <w:r>
        <w:rPr/>
        <w:drawing>
          <wp:anchor distT="0" distB="0" distL="0" distR="0" allowOverlap="1" layoutInCell="1" locked="0" behindDoc="0" simplePos="0" relativeHeight="15872512">
            <wp:simplePos x="0" y="0"/>
            <wp:positionH relativeFrom="page">
              <wp:posOffset>1424939</wp:posOffset>
            </wp:positionH>
            <wp:positionV relativeFrom="paragraph">
              <wp:posOffset>158916</wp:posOffset>
            </wp:positionV>
            <wp:extent cx="111251" cy="115823"/>
            <wp:effectExtent l="0" t="0" r="0" b="0"/>
            <wp:wrapNone/>
            <wp:docPr id="292" name="Image 292"/>
            <wp:cNvGraphicFramePr>
              <a:graphicFrameLocks/>
            </wp:cNvGraphicFramePr>
            <a:graphic>
              <a:graphicData uri="http://schemas.openxmlformats.org/drawingml/2006/picture">
                <pic:pic>
                  <pic:nvPicPr>
                    <pic:cNvPr id="292" name="Image 292"/>
                    <pic:cNvPicPr/>
                  </pic:nvPicPr>
                  <pic:blipFill>
                    <a:blip r:embed="rId34" cstate="print"/>
                    <a:stretch>
                      <a:fillRect/>
                    </a:stretch>
                  </pic:blipFill>
                  <pic:spPr>
                    <a:xfrm>
                      <a:off x="0" y="0"/>
                      <a:ext cx="111251" cy="115823"/>
                    </a:xfrm>
                    <a:prstGeom prst="rect">
                      <a:avLst/>
                    </a:prstGeom>
                  </pic:spPr>
                </pic:pic>
              </a:graphicData>
            </a:graphic>
          </wp:anchor>
        </w:drawing>
      </w:r>
      <w:bookmarkStart w:name="b. Safety Net Provider Payments. The Com" w:id="458"/>
      <w:bookmarkEnd w:id="458"/>
      <w:r>
        <w:rPr/>
      </w:r>
      <w:r>
        <w:rPr>
          <w:b/>
        </w:rPr>
        <w:t>Safety Net Provider Payments. </w:t>
      </w:r>
      <w:r>
        <w:rPr/>
        <w:t>The Commonwealth may make Safety Net Provider Payments to eligible hospitals, in recognition of safety net providers in the Commonwealth that serve a large proportion of Medicaid and uninsured individuals and have a demonstrated need for support to address uncompensated care costs consistent with the definition of 42 CFR 447.299. These payments are intended to provide</w:t>
      </w:r>
      <w:r>
        <w:rPr>
          <w:spacing w:val="-4"/>
        </w:rPr>
        <w:t> </w:t>
      </w:r>
      <w:r>
        <w:rPr/>
        <w:t>ongoing</w:t>
      </w:r>
      <w:r>
        <w:rPr>
          <w:spacing w:val="-3"/>
        </w:rPr>
        <w:t> </w:t>
      </w:r>
      <w:r>
        <w:rPr/>
        <w:t>and</w:t>
      </w:r>
      <w:r>
        <w:rPr>
          <w:spacing w:val="-3"/>
        </w:rPr>
        <w:t> </w:t>
      </w:r>
      <w:r>
        <w:rPr/>
        <w:t>necessary</w:t>
      </w:r>
      <w:r>
        <w:rPr>
          <w:spacing w:val="-8"/>
        </w:rPr>
        <w:t> </w:t>
      </w:r>
      <w:r>
        <w:rPr/>
        <w:t>operational</w:t>
      </w:r>
      <w:r>
        <w:rPr>
          <w:spacing w:val="-3"/>
        </w:rPr>
        <w:t> </w:t>
      </w:r>
      <w:r>
        <w:rPr/>
        <w:t>support;</w:t>
      </w:r>
      <w:r>
        <w:rPr>
          <w:spacing w:val="-3"/>
        </w:rPr>
        <w:t> </w:t>
      </w:r>
      <w:r>
        <w:rPr/>
        <w:t>as</w:t>
      </w:r>
      <w:r>
        <w:rPr>
          <w:spacing w:val="-3"/>
        </w:rPr>
        <w:t> </w:t>
      </w:r>
      <w:r>
        <w:rPr/>
        <w:t>such,</w:t>
      </w:r>
      <w:r>
        <w:rPr>
          <w:spacing w:val="-3"/>
        </w:rPr>
        <w:t> </w:t>
      </w:r>
      <w:r>
        <w:rPr/>
        <w:t>they</w:t>
      </w:r>
      <w:r>
        <w:rPr>
          <w:spacing w:val="-6"/>
        </w:rPr>
        <w:t> </w:t>
      </w:r>
      <w:r>
        <w:rPr/>
        <w:t>are</w:t>
      </w:r>
      <w:r>
        <w:rPr>
          <w:spacing w:val="-4"/>
        </w:rPr>
        <w:t> </w:t>
      </w:r>
      <w:r>
        <w:rPr/>
        <w:t>not</w:t>
      </w:r>
      <w:r>
        <w:rPr>
          <w:spacing w:val="-3"/>
        </w:rPr>
        <w:t> </w:t>
      </w:r>
      <w:r>
        <w:rPr/>
        <w:t>specifically for the purposes of delivery system reform and are not time limited.</w:t>
      </w:r>
    </w:p>
    <w:p>
      <w:pPr>
        <w:pStyle w:val="BodyText"/>
        <w:spacing w:before="10"/>
        <w:rPr>
          <w:sz w:val="20"/>
        </w:rPr>
      </w:pPr>
    </w:p>
    <w:p>
      <w:pPr>
        <w:pStyle w:val="BodyText"/>
        <w:ind w:left="2040" w:right="1059"/>
      </w:pPr>
      <w:r>
        <w:rPr/>
        <w:drawing>
          <wp:anchor distT="0" distB="0" distL="0" distR="0" allowOverlap="1" layoutInCell="1" locked="0" behindDoc="0" simplePos="0" relativeHeight="15873024">
            <wp:simplePos x="0" y="0"/>
            <wp:positionH relativeFrom="page">
              <wp:posOffset>1862327</wp:posOffset>
            </wp:positionH>
            <wp:positionV relativeFrom="paragraph">
              <wp:posOffset>32551</wp:posOffset>
            </wp:positionV>
            <wp:extent cx="73151" cy="115823"/>
            <wp:effectExtent l="0" t="0" r="0" b="0"/>
            <wp:wrapNone/>
            <wp:docPr id="293" name="Image 293"/>
            <wp:cNvGraphicFramePr>
              <a:graphicFrameLocks/>
            </wp:cNvGraphicFramePr>
            <a:graphic>
              <a:graphicData uri="http://schemas.openxmlformats.org/drawingml/2006/picture">
                <pic:pic>
                  <pic:nvPicPr>
                    <pic:cNvPr id="293" name="Image 293"/>
                    <pic:cNvPicPr/>
                  </pic:nvPicPr>
                  <pic:blipFill>
                    <a:blip r:embed="rId61" cstate="print"/>
                    <a:stretch>
                      <a:fillRect/>
                    </a:stretch>
                  </pic:blipFill>
                  <pic:spPr>
                    <a:xfrm>
                      <a:off x="0" y="0"/>
                      <a:ext cx="73151" cy="115823"/>
                    </a:xfrm>
                    <a:prstGeom prst="rect">
                      <a:avLst/>
                    </a:prstGeom>
                  </pic:spPr>
                </pic:pic>
              </a:graphicData>
            </a:graphic>
          </wp:anchor>
        </w:drawing>
      </w:r>
      <w:bookmarkStart w:name="i. The Commonwealth will determine, base" w:id="459"/>
      <w:bookmarkEnd w:id="459"/>
      <w:r>
        <w:rPr/>
      </w:r>
      <w:r>
        <w:rPr/>
        <w:t>The Commonwealth will determine, based on the eligibility criteria listed below, the hospitals that are eligible to receive the Safety Net Provider Payments.</w:t>
      </w:r>
      <w:r>
        <w:rPr>
          <w:spacing w:val="-4"/>
        </w:rPr>
        <w:t> </w:t>
      </w:r>
      <w:r>
        <w:rPr/>
        <w:t>The</w:t>
      </w:r>
      <w:r>
        <w:rPr>
          <w:spacing w:val="-3"/>
        </w:rPr>
        <w:t> </w:t>
      </w:r>
      <w:r>
        <w:rPr/>
        <w:t>eligibility</w:t>
      </w:r>
      <w:r>
        <w:rPr>
          <w:spacing w:val="-7"/>
        </w:rPr>
        <w:t> </w:t>
      </w:r>
      <w:r>
        <w:rPr/>
        <w:t>criteria</w:t>
      </w:r>
      <w:r>
        <w:rPr>
          <w:spacing w:val="-5"/>
        </w:rPr>
        <w:t> </w:t>
      </w:r>
      <w:r>
        <w:rPr/>
        <w:t>below</w:t>
      </w:r>
      <w:r>
        <w:rPr>
          <w:spacing w:val="-5"/>
        </w:rPr>
        <w:t> </w:t>
      </w:r>
      <w:r>
        <w:rPr/>
        <w:t>use</w:t>
      </w:r>
      <w:r>
        <w:rPr>
          <w:spacing w:val="-5"/>
        </w:rPr>
        <w:t> </w:t>
      </w:r>
      <w:r>
        <w:rPr/>
        <w:t>hospitals’</w:t>
      </w:r>
      <w:r>
        <w:rPr>
          <w:spacing w:val="-5"/>
        </w:rPr>
        <w:t> </w:t>
      </w:r>
      <w:r>
        <w:rPr/>
        <w:t>fiscal year</w:t>
      </w:r>
      <w:r>
        <w:rPr>
          <w:spacing w:val="-5"/>
        </w:rPr>
        <w:t> </w:t>
      </w:r>
      <w:r>
        <w:rPr/>
        <w:t>2019</w:t>
      </w:r>
      <w:r>
        <w:rPr>
          <w:spacing w:val="-4"/>
        </w:rPr>
        <w:t> </w:t>
      </w:r>
      <w:r>
        <w:rPr/>
        <w:t>Center for Health Information and Analysis (CHIA) hospital cost reports.</w:t>
      </w:r>
    </w:p>
    <w:p>
      <w:pPr>
        <w:pStyle w:val="BodyText"/>
        <w:spacing w:before="159"/>
        <w:ind w:left="2040"/>
      </w:pPr>
      <w:r>
        <w:rPr/>
        <w:drawing>
          <wp:anchor distT="0" distB="0" distL="0" distR="0" allowOverlap="1" layoutInCell="1" locked="0" behindDoc="0" simplePos="0" relativeHeight="15873536">
            <wp:simplePos x="0" y="0"/>
            <wp:positionH relativeFrom="page">
              <wp:posOffset>1819655</wp:posOffset>
            </wp:positionH>
            <wp:positionV relativeFrom="paragraph">
              <wp:posOffset>133516</wp:posOffset>
            </wp:positionV>
            <wp:extent cx="115823" cy="115823"/>
            <wp:effectExtent l="0" t="0" r="0" b="0"/>
            <wp:wrapNone/>
            <wp:docPr id="294" name="Image 294"/>
            <wp:cNvGraphicFramePr>
              <a:graphicFrameLocks/>
            </wp:cNvGraphicFramePr>
            <a:graphic>
              <a:graphicData uri="http://schemas.openxmlformats.org/drawingml/2006/picture">
                <pic:pic>
                  <pic:nvPicPr>
                    <pic:cNvPr id="294" name="Image 294"/>
                    <pic:cNvPicPr/>
                  </pic:nvPicPr>
                  <pic:blipFill>
                    <a:blip r:embed="rId117" cstate="print"/>
                    <a:stretch>
                      <a:fillRect/>
                    </a:stretch>
                  </pic:blipFill>
                  <pic:spPr>
                    <a:xfrm>
                      <a:off x="0" y="0"/>
                      <a:ext cx="115823" cy="115823"/>
                    </a:xfrm>
                    <a:prstGeom prst="rect">
                      <a:avLst/>
                    </a:prstGeom>
                  </pic:spPr>
                </pic:pic>
              </a:graphicData>
            </a:graphic>
          </wp:anchor>
        </w:drawing>
      </w:r>
      <w:bookmarkStart w:name="ii. To be eligible, the hospital must me" w:id="460"/>
      <w:bookmarkEnd w:id="460"/>
      <w:r>
        <w:rPr/>
      </w:r>
      <w:r>
        <w:rPr/>
        <w:t>To</w:t>
      </w:r>
      <w:r>
        <w:rPr>
          <w:spacing w:val="-3"/>
        </w:rPr>
        <w:t> </w:t>
      </w:r>
      <w:r>
        <w:rPr/>
        <w:t>be</w:t>
      </w:r>
      <w:r>
        <w:rPr>
          <w:spacing w:val="-2"/>
        </w:rPr>
        <w:t> </w:t>
      </w:r>
      <w:r>
        <w:rPr/>
        <w:t>eligible,</w:t>
      </w:r>
      <w:r>
        <w:rPr>
          <w:spacing w:val="-1"/>
        </w:rPr>
        <w:t> </w:t>
      </w:r>
      <w:r>
        <w:rPr/>
        <w:t>the</w:t>
      </w:r>
      <w:r>
        <w:rPr>
          <w:spacing w:val="-2"/>
        </w:rPr>
        <w:t> </w:t>
      </w:r>
      <w:r>
        <w:rPr/>
        <w:t>hospital</w:t>
      </w:r>
      <w:r>
        <w:rPr>
          <w:spacing w:val="-1"/>
        </w:rPr>
        <w:t> </w:t>
      </w:r>
      <w:r>
        <w:rPr/>
        <w:t>must meet</w:t>
      </w:r>
      <w:r>
        <w:rPr>
          <w:spacing w:val="-1"/>
        </w:rPr>
        <w:t> </w:t>
      </w:r>
      <w:r>
        <w:rPr/>
        <w:t>the</w:t>
      </w:r>
      <w:r>
        <w:rPr>
          <w:spacing w:val="-2"/>
        </w:rPr>
        <w:t> </w:t>
      </w:r>
      <w:r>
        <w:rPr/>
        <w:t>following</w:t>
      </w:r>
      <w:r>
        <w:rPr>
          <w:spacing w:val="-4"/>
        </w:rPr>
        <w:t> </w:t>
      </w:r>
      <w:r>
        <w:rPr/>
        <w:t>four</w:t>
      </w:r>
      <w:r>
        <w:rPr>
          <w:spacing w:val="-1"/>
        </w:rPr>
        <w:t> </w:t>
      </w:r>
      <w:r>
        <w:rPr>
          <w:spacing w:val="-2"/>
        </w:rPr>
        <w:t>criteria:</w:t>
      </w:r>
    </w:p>
    <w:p>
      <w:pPr>
        <w:pStyle w:val="ListParagraph"/>
        <w:numPr>
          <w:ilvl w:val="1"/>
          <w:numId w:val="3"/>
        </w:numPr>
        <w:tabs>
          <w:tab w:pos="2851" w:val="left" w:leader="none"/>
        </w:tabs>
        <w:spacing w:line="240" w:lineRule="auto" w:before="161" w:after="0"/>
        <w:ind w:left="2851" w:right="0" w:hanging="360"/>
        <w:jc w:val="left"/>
        <w:rPr>
          <w:sz w:val="24"/>
        </w:rPr>
      </w:pPr>
      <w:bookmarkStart w:name="1. Medicaid and Uninsured payer mix by c" w:id="461"/>
      <w:bookmarkEnd w:id="461"/>
      <w:r>
        <w:rPr/>
      </w:r>
      <w:r>
        <w:rPr>
          <w:sz w:val="24"/>
        </w:rPr>
        <w:t>Medicaid</w:t>
      </w:r>
      <w:r>
        <w:rPr>
          <w:spacing w:val="-4"/>
          <w:sz w:val="24"/>
        </w:rPr>
        <w:t> </w:t>
      </w:r>
      <w:r>
        <w:rPr>
          <w:sz w:val="24"/>
        </w:rPr>
        <w:t>and</w:t>
      </w:r>
      <w:r>
        <w:rPr>
          <w:spacing w:val="-1"/>
          <w:sz w:val="24"/>
        </w:rPr>
        <w:t> </w:t>
      </w:r>
      <w:r>
        <w:rPr>
          <w:sz w:val="24"/>
        </w:rPr>
        <w:t>Uninsured payer</w:t>
      </w:r>
      <w:r>
        <w:rPr>
          <w:spacing w:val="-2"/>
          <w:sz w:val="24"/>
        </w:rPr>
        <w:t> </w:t>
      </w:r>
      <w:r>
        <w:rPr>
          <w:sz w:val="24"/>
        </w:rPr>
        <w:t>mix by</w:t>
      </w:r>
      <w:r>
        <w:rPr>
          <w:spacing w:val="-6"/>
          <w:sz w:val="24"/>
        </w:rPr>
        <w:t> </w:t>
      </w:r>
      <w:r>
        <w:rPr>
          <w:sz w:val="24"/>
        </w:rPr>
        <w:t>charges</w:t>
      </w:r>
      <w:r>
        <w:rPr>
          <w:spacing w:val="-1"/>
          <w:sz w:val="24"/>
        </w:rPr>
        <w:t> </w:t>
      </w:r>
      <w:r>
        <w:rPr>
          <w:sz w:val="24"/>
        </w:rPr>
        <w:t>of</w:t>
      </w:r>
      <w:r>
        <w:rPr>
          <w:spacing w:val="-1"/>
          <w:sz w:val="24"/>
        </w:rPr>
        <w:t> </w:t>
      </w:r>
      <w:r>
        <w:rPr>
          <w:sz w:val="24"/>
        </w:rPr>
        <w:t>at</w:t>
      </w:r>
      <w:r>
        <w:rPr>
          <w:spacing w:val="-1"/>
          <w:sz w:val="24"/>
        </w:rPr>
        <w:t> </w:t>
      </w:r>
      <w:r>
        <w:rPr>
          <w:sz w:val="24"/>
        </w:rPr>
        <w:t>least</w:t>
      </w:r>
      <w:r>
        <w:rPr>
          <w:spacing w:val="-1"/>
          <w:sz w:val="24"/>
        </w:rPr>
        <w:t> </w:t>
      </w:r>
      <w:r>
        <w:rPr>
          <w:spacing w:val="-2"/>
          <w:sz w:val="24"/>
        </w:rPr>
        <w:t>20.00%;</w:t>
      </w:r>
    </w:p>
    <w:p>
      <w:pPr>
        <w:pStyle w:val="ListParagraph"/>
        <w:numPr>
          <w:ilvl w:val="1"/>
          <w:numId w:val="3"/>
        </w:numPr>
        <w:tabs>
          <w:tab w:pos="2851" w:val="left" w:leader="none"/>
        </w:tabs>
        <w:spacing w:line="240" w:lineRule="auto" w:before="120" w:after="0"/>
        <w:ind w:left="2851" w:right="0" w:hanging="360"/>
        <w:jc w:val="left"/>
        <w:rPr>
          <w:sz w:val="24"/>
        </w:rPr>
      </w:pPr>
      <w:bookmarkStart w:name="2. Commercial payer mix by charges of le" w:id="462"/>
      <w:bookmarkEnd w:id="462"/>
      <w:r>
        <w:rPr/>
      </w:r>
      <w:r>
        <w:rPr>
          <w:sz w:val="24"/>
        </w:rPr>
        <w:t>Commercial</w:t>
      </w:r>
      <w:r>
        <w:rPr>
          <w:spacing w:val="-2"/>
          <w:sz w:val="24"/>
        </w:rPr>
        <w:t> </w:t>
      </w:r>
      <w:r>
        <w:rPr>
          <w:sz w:val="24"/>
        </w:rPr>
        <w:t>payer</w:t>
      </w:r>
      <w:r>
        <w:rPr>
          <w:spacing w:val="-2"/>
          <w:sz w:val="24"/>
        </w:rPr>
        <w:t> </w:t>
      </w:r>
      <w:r>
        <w:rPr>
          <w:sz w:val="24"/>
        </w:rPr>
        <w:t>mix</w:t>
      </w:r>
      <w:r>
        <w:rPr>
          <w:spacing w:val="1"/>
          <w:sz w:val="24"/>
        </w:rPr>
        <w:t> </w:t>
      </w:r>
      <w:r>
        <w:rPr>
          <w:sz w:val="24"/>
        </w:rPr>
        <w:t>by</w:t>
      </w:r>
      <w:r>
        <w:rPr>
          <w:spacing w:val="-4"/>
          <w:sz w:val="24"/>
        </w:rPr>
        <w:t> </w:t>
      </w:r>
      <w:r>
        <w:rPr>
          <w:sz w:val="24"/>
        </w:rPr>
        <w:t>charges</w:t>
      </w:r>
      <w:r>
        <w:rPr>
          <w:spacing w:val="-2"/>
          <w:sz w:val="24"/>
        </w:rPr>
        <w:t> </w:t>
      </w:r>
      <w:r>
        <w:rPr>
          <w:sz w:val="24"/>
        </w:rPr>
        <w:t>of</w:t>
      </w:r>
      <w:r>
        <w:rPr>
          <w:spacing w:val="-2"/>
          <w:sz w:val="24"/>
        </w:rPr>
        <w:t> </w:t>
      </w:r>
      <w:r>
        <w:rPr>
          <w:sz w:val="24"/>
        </w:rPr>
        <w:t>less</w:t>
      </w:r>
      <w:r>
        <w:rPr>
          <w:spacing w:val="-1"/>
          <w:sz w:val="24"/>
        </w:rPr>
        <w:t> </w:t>
      </w:r>
      <w:r>
        <w:rPr>
          <w:sz w:val="24"/>
        </w:rPr>
        <w:t>than</w:t>
      </w:r>
      <w:r>
        <w:rPr>
          <w:spacing w:val="-1"/>
          <w:sz w:val="24"/>
        </w:rPr>
        <w:t> </w:t>
      </w:r>
      <w:r>
        <w:rPr>
          <w:spacing w:val="-2"/>
          <w:sz w:val="24"/>
        </w:rPr>
        <w:t>50.00%;</w:t>
      </w:r>
    </w:p>
    <w:p>
      <w:pPr>
        <w:pStyle w:val="ListParagraph"/>
        <w:numPr>
          <w:ilvl w:val="1"/>
          <w:numId w:val="3"/>
        </w:numPr>
        <w:tabs>
          <w:tab w:pos="2851" w:val="left" w:leader="none"/>
        </w:tabs>
        <w:spacing w:line="240" w:lineRule="auto" w:before="120" w:after="0"/>
        <w:ind w:left="2851" w:right="1318" w:hanging="360"/>
        <w:jc w:val="left"/>
        <w:rPr>
          <w:sz w:val="24"/>
        </w:rPr>
      </w:pPr>
      <w:bookmarkStart w:name="3. Is not a MassHealth Essential hospita" w:id="463"/>
      <w:bookmarkEnd w:id="463"/>
      <w:r>
        <w:rPr/>
      </w:r>
      <w:r>
        <w:rPr>
          <w:sz w:val="24"/>
        </w:rPr>
        <w:t>Is</w:t>
      </w:r>
      <w:r>
        <w:rPr>
          <w:spacing w:val="-5"/>
          <w:sz w:val="24"/>
        </w:rPr>
        <w:t> </w:t>
      </w:r>
      <w:r>
        <w:rPr>
          <w:sz w:val="24"/>
        </w:rPr>
        <w:t>not</w:t>
      </w:r>
      <w:r>
        <w:rPr>
          <w:spacing w:val="-5"/>
          <w:sz w:val="24"/>
        </w:rPr>
        <w:t> </w:t>
      </w:r>
      <w:r>
        <w:rPr>
          <w:sz w:val="24"/>
        </w:rPr>
        <w:t>a</w:t>
      </w:r>
      <w:r>
        <w:rPr>
          <w:spacing w:val="-6"/>
          <w:sz w:val="24"/>
        </w:rPr>
        <w:t> </w:t>
      </w:r>
      <w:r>
        <w:rPr>
          <w:sz w:val="24"/>
        </w:rPr>
        <w:t>MassHealth</w:t>
      </w:r>
      <w:r>
        <w:rPr>
          <w:spacing w:val="-5"/>
          <w:sz w:val="24"/>
        </w:rPr>
        <w:t> </w:t>
      </w:r>
      <w:r>
        <w:rPr>
          <w:sz w:val="24"/>
        </w:rPr>
        <w:t>Essential</w:t>
      </w:r>
      <w:r>
        <w:rPr>
          <w:spacing w:val="-5"/>
          <w:sz w:val="24"/>
        </w:rPr>
        <w:t> </w:t>
      </w:r>
      <w:r>
        <w:rPr>
          <w:sz w:val="24"/>
        </w:rPr>
        <w:t>hospital</w:t>
      </w:r>
      <w:r>
        <w:rPr>
          <w:spacing w:val="-5"/>
          <w:sz w:val="24"/>
        </w:rPr>
        <w:t> </w:t>
      </w:r>
      <w:r>
        <w:rPr>
          <w:sz w:val="24"/>
        </w:rPr>
        <w:t>as</w:t>
      </w:r>
      <w:r>
        <w:rPr>
          <w:spacing w:val="-5"/>
          <w:sz w:val="24"/>
        </w:rPr>
        <w:t> </w:t>
      </w:r>
      <w:r>
        <w:rPr>
          <w:sz w:val="24"/>
        </w:rPr>
        <w:t>defined</w:t>
      </w:r>
      <w:r>
        <w:rPr>
          <w:spacing w:val="-5"/>
          <w:sz w:val="24"/>
        </w:rPr>
        <w:t> </w:t>
      </w:r>
      <w:r>
        <w:rPr>
          <w:sz w:val="24"/>
        </w:rPr>
        <w:t>in</w:t>
      </w:r>
      <w:r>
        <w:rPr>
          <w:spacing w:val="-5"/>
          <w:sz w:val="24"/>
        </w:rPr>
        <w:t> </w:t>
      </w:r>
      <w:r>
        <w:rPr>
          <w:sz w:val="24"/>
        </w:rPr>
        <w:t>Massachusetts’ approved State Plan; and</w:t>
      </w:r>
    </w:p>
    <w:p>
      <w:pPr>
        <w:pStyle w:val="ListParagraph"/>
        <w:numPr>
          <w:ilvl w:val="1"/>
          <w:numId w:val="3"/>
        </w:numPr>
        <w:tabs>
          <w:tab w:pos="2851" w:val="left" w:leader="none"/>
        </w:tabs>
        <w:spacing w:line="230" w:lineRule="auto" w:before="129" w:after="0"/>
        <w:ind w:left="2851" w:right="1086" w:hanging="360"/>
        <w:jc w:val="left"/>
        <w:rPr>
          <w:rFonts w:ascii="Calibri"/>
          <w:sz w:val="24"/>
        </w:rPr>
      </w:pPr>
      <w:bookmarkStart w:name="4. Is not a critical access hospital wit" w:id="464"/>
      <w:bookmarkEnd w:id="464"/>
      <w:r>
        <w:rPr/>
      </w:r>
      <w:r>
        <w:rPr>
          <w:sz w:val="24"/>
        </w:rPr>
        <w:t>Is</w:t>
      </w:r>
      <w:r>
        <w:rPr>
          <w:spacing w:val="-4"/>
          <w:sz w:val="24"/>
        </w:rPr>
        <w:t> </w:t>
      </w:r>
      <w:r>
        <w:rPr>
          <w:sz w:val="24"/>
        </w:rPr>
        <w:t>not</w:t>
      </w:r>
      <w:r>
        <w:rPr>
          <w:spacing w:val="-4"/>
          <w:sz w:val="24"/>
        </w:rPr>
        <w:t> </w:t>
      </w:r>
      <w:r>
        <w:rPr>
          <w:sz w:val="24"/>
        </w:rPr>
        <w:t>a</w:t>
      </w:r>
      <w:r>
        <w:rPr>
          <w:spacing w:val="-3"/>
          <w:sz w:val="24"/>
        </w:rPr>
        <w:t> </w:t>
      </w:r>
      <w:r>
        <w:rPr>
          <w:sz w:val="24"/>
        </w:rPr>
        <w:t>critical</w:t>
      </w:r>
      <w:r>
        <w:rPr>
          <w:spacing w:val="-4"/>
          <w:sz w:val="24"/>
        </w:rPr>
        <w:t> </w:t>
      </w:r>
      <w:r>
        <w:rPr>
          <w:sz w:val="24"/>
        </w:rPr>
        <w:t>access</w:t>
      </w:r>
      <w:r>
        <w:rPr>
          <w:spacing w:val="-4"/>
          <w:sz w:val="24"/>
        </w:rPr>
        <w:t> </w:t>
      </w:r>
      <w:r>
        <w:rPr>
          <w:sz w:val="24"/>
        </w:rPr>
        <w:t>hospital</w:t>
      </w:r>
      <w:r>
        <w:rPr>
          <w:spacing w:val="-4"/>
          <w:sz w:val="24"/>
        </w:rPr>
        <w:t> </w:t>
      </w:r>
      <w:r>
        <w:rPr>
          <w:sz w:val="24"/>
        </w:rPr>
        <w:t>with</w:t>
      </w:r>
      <w:r>
        <w:rPr>
          <w:spacing w:val="-4"/>
          <w:sz w:val="24"/>
        </w:rPr>
        <w:t> </w:t>
      </w:r>
      <w:r>
        <w:rPr>
          <w:sz w:val="24"/>
        </w:rPr>
        <w:t>fewer</w:t>
      </w:r>
      <w:r>
        <w:rPr>
          <w:spacing w:val="-5"/>
          <w:sz w:val="24"/>
        </w:rPr>
        <w:t> </w:t>
      </w:r>
      <w:r>
        <w:rPr>
          <w:sz w:val="24"/>
        </w:rPr>
        <w:t>than</w:t>
      </w:r>
      <w:r>
        <w:rPr>
          <w:spacing w:val="-4"/>
          <w:sz w:val="24"/>
        </w:rPr>
        <w:t> </w:t>
      </w:r>
      <w:r>
        <w:rPr>
          <w:sz w:val="24"/>
        </w:rPr>
        <w:t>30</w:t>
      </w:r>
      <w:r>
        <w:rPr>
          <w:spacing w:val="-2"/>
          <w:sz w:val="24"/>
        </w:rPr>
        <w:t> </w:t>
      </w:r>
      <w:r>
        <w:rPr>
          <w:sz w:val="24"/>
        </w:rPr>
        <w:t>beds</w:t>
      </w:r>
      <w:r>
        <w:rPr>
          <w:spacing w:val="-4"/>
          <w:sz w:val="24"/>
        </w:rPr>
        <w:t> </w:t>
      </w:r>
      <w:r>
        <w:rPr>
          <w:sz w:val="24"/>
        </w:rPr>
        <w:t>upon</w:t>
      </w:r>
      <w:r>
        <w:rPr>
          <w:spacing w:val="-4"/>
          <w:sz w:val="24"/>
        </w:rPr>
        <w:t> </w:t>
      </w:r>
      <w:r>
        <w:rPr>
          <w:sz w:val="24"/>
        </w:rPr>
        <w:t>issuance of the 2019 CHIA hospital cost report.</w:t>
      </w:r>
    </w:p>
    <w:p>
      <w:pPr>
        <w:pStyle w:val="BodyText"/>
        <w:spacing w:before="162"/>
        <w:ind w:left="2040" w:right="1059" w:firstLine="60"/>
      </w:pPr>
      <w:r>
        <w:rPr/>
        <w:drawing>
          <wp:anchor distT="0" distB="0" distL="0" distR="0" allowOverlap="1" layoutInCell="1" locked="0" behindDoc="0" simplePos="0" relativeHeight="15874048">
            <wp:simplePos x="0" y="0"/>
            <wp:positionH relativeFrom="page">
              <wp:posOffset>1778507</wp:posOffset>
            </wp:positionH>
            <wp:positionV relativeFrom="paragraph">
              <wp:posOffset>135421</wp:posOffset>
            </wp:positionV>
            <wp:extent cx="158495" cy="115823"/>
            <wp:effectExtent l="0" t="0" r="0" b="0"/>
            <wp:wrapNone/>
            <wp:docPr id="295" name="Image 295"/>
            <wp:cNvGraphicFramePr>
              <a:graphicFrameLocks/>
            </wp:cNvGraphicFramePr>
            <a:graphic>
              <a:graphicData uri="http://schemas.openxmlformats.org/drawingml/2006/picture">
                <pic:pic>
                  <pic:nvPicPr>
                    <pic:cNvPr id="295" name="Image 295"/>
                    <pic:cNvPicPr/>
                  </pic:nvPicPr>
                  <pic:blipFill>
                    <a:blip r:embed="rId65" cstate="print"/>
                    <a:stretch>
                      <a:fillRect/>
                    </a:stretch>
                  </pic:blipFill>
                  <pic:spPr>
                    <a:xfrm>
                      <a:off x="0" y="0"/>
                      <a:ext cx="158495" cy="115823"/>
                    </a:xfrm>
                    <a:prstGeom prst="rect">
                      <a:avLst/>
                    </a:prstGeom>
                  </pic:spPr>
                </pic:pic>
              </a:graphicData>
            </a:graphic>
          </wp:anchor>
        </w:drawing>
      </w:r>
      <w:bookmarkStart w:name="iii.  Hospitals that qualify for Safety " w:id="465"/>
      <w:bookmarkEnd w:id="465"/>
      <w:r>
        <w:rPr/>
      </w:r>
      <w:r>
        <w:rPr/>
        <w:t>Hospitals</w:t>
      </w:r>
      <w:r>
        <w:rPr>
          <w:spacing w:val="-3"/>
        </w:rPr>
        <w:t> </w:t>
      </w:r>
      <w:r>
        <w:rPr/>
        <w:t>that</w:t>
      </w:r>
      <w:r>
        <w:rPr>
          <w:spacing w:val="-3"/>
        </w:rPr>
        <w:t> </w:t>
      </w:r>
      <w:r>
        <w:rPr/>
        <w:t>qualify</w:t>
      </w:r>
      <w:r>
        <w:rPr>
          <w:spacing w:val="-8"/>
        </w:rPr>
        <w:t> </w:t>
      </w:r>
      <w:r>
        <w:rPr/>
        <w:t>for</w:t>
      </w:r>
      <w:r>
        <w:rPr>
          <w:spacing w:val="-4"/>
        </w:rPr>
        <w:t> </w:t>
      </w:r>
      <w:r>
        <w:rPr/>
        <w:t>Safety</w:t>
      </w:r>
      <w:r>
        <w:rPr>
          <w:spacing w:val="-8"/>
        </w:rPr>
        <w:t> </w:t>
      </w:r>
      <w:r>
        <w:rPr/>
        <w:t>Net</w:t>
      </w:r>
      <w:r>
        <w:rPr>
          <w:spacing w:val="-3"/>
        </w:rPr>
        <w:t> </w:t>
      </w:r>
      <w:r>
        <w:rPr/>
        <w:t>Provider</w:t>
      </w:r>
      <w:r>
        <w:rPr>
          <w:spacing w:val="-4"/>
        </w:rPr>
        <w:t> </w:t>
      </w:r>
      <w:r>
        <w:rPr/>
        <w:t>payments</w:t>
      </w:r>
      <w:r>
        <w:rPr>
          <w:spacing w:val="-3"/>
        </w:rPr>
        <w:t> </w:t>
      </w:r>
      <w:r>
        <w:rPr/>
        <w:t>because</w:t>
      </w:r>
      <w:r>
        <w:rPr>
          <w:spacing w:val="-4"/>
        </w:rPr>
        <w:t> </w:t>
      </w:r>
      <w:r>
        <w:rPr/>
        <w:t>they</w:t>
      </w:r>
      <w:r>
        <w:rPr>
          <w:spacing w:val="-8"/>
        </w:rPr>
        <w:t> </w:t>
      </w:r>
      <w:r>
        <w:rPr/>
        <w:t>meet these eligibility criteria and have a demonstrated Medicaid and Uninsured shortfall are listed in Attachment N. Safety Net Provider Payments to any</w:t>
      </w:r>
    </w:p>
    <w:p>
      <w:pPr>
        <w:spacing w:after="0"/>
        <w:sectPr>
          <w:pgSz w:w="12240" w:h="15840"/>
          <w:pgMar w:header="0" w:footer="1201" w:top="1360" w:bottom="1400" w:left="1200" w:right="400"/>
        </w:sectPr>
      </w:pPr>
    </w:p>
    <w:p>
      <w:pPr>
        <w:pStyle w:val="BodyText"/>
        <w:spacing w:before="79"/>
        <w:ind w:left="2040" w:right="1059"/>
      </w:pPr>
      <w:r>
        <w:rPr/>
        <w:t>provider</w:t>
      </w:r>
      <w:r>
        <w:rPr>
          <w:spacing w:val="-5"/>
        </w:rPr>
        <w:t> </w:t>
      </w:r>
      <w:r>
        <w:rPr/>
        <w:t>may</w:t>
      </w:r>
      <w:r>
        <w:rPr>
          <w:spacing w:val="-9"/>
        </w:rPr>
        <w:t> </w:t>
      </w:r>
      <w:r>
        <w:rPr/>
        <w:t>not</w:t>
      </w:r>
      <w:r>
        <w:rPr>
          <w:spacing w:val="-4"/>
        </w:rPr>
        <w:t> </w:t>
      </w:r>
      <w:r>
        <w:rPr/>
        <w:t>exceed</w:t>
      </w:r>
      <w:r>
        <w:rPr>
          <w:spacing w:val="-2"/>
        </w:rPr>
        <w:t> </w:t>
      </w:r>
      <w:r>
        <w:rPr/>
        <w:t>the</w:t>
      </w:r>
      <w:r>
        <w:rPr>
          <w:spacing w:val="-5"/>
        </w:rPr>
        <w:t> </w:t>
      </w:r>
      <w:r>
        <w:rPr/>
        <w:t>amount</w:t>
      </w:r>
      <w:r>
        <w:rPr>
          <w:spacing w:val="-4"/>
        </w:rPr>
        <w:t> </w:t>
      </w:r>
      <w:r>
        <w:rPr/>
        <w:t>of</w:t>
      </w:r>
      <w:r>
        <w:rPr>
          <w:spacing w:val="-5"/>
        </w:rPr>
        <w:t> </w:t>
      </w:r>
      <w:r>
        <w:rPr/>
        <w:t>documented</w:t>
      </w:r>
      <w:r>
        <w:rPr>
          <w:spacing w:val="-4"/>
        </w:rPr>
        <w:t> </w:t>
      </w:r>
      <w:r>
        <w:rPr/>
        <w:t>uncompensated</w:t>
      </w:r>
      <w:r>
        <w:rPr>
          <w:spacing w:val="-4"/>
        </w:rPr>
        <w:t> </w:t>
      </w:r>
      <w:r>
        <w:rPr/>
        <w:t>care indicated on these reports.</w:t>
      </w:r>
    </w:p>
    <w:p>
      <w:pPr>
        <w:pStyle w:val="BodyText"/>
        <w:spacing w:before="161"/>
        <w:ind w:left="2040" w:right="1106"/>
      </w:pPr>
      <w:r>
        <w:rPr/>
        <w:drawing>
          <wp:anchor distT="0" distB="0" distL="0" distR="0" allowOverlap="1" layoutInCell="1" locked="0" behindDoc="0" simplePos="0" relativeHeight="15874560">
            <wp:simplePos x="0" y="0"/>
            <wp:positionH relativeFrom="page">
              <wp:posOffset>1786127</wp:posOffset>
            </wp:positionH>
            <wp:positionV relativeFrom="paragraph">
              <wp:posOffset>134786</wp:posOffset>
            </wp:positionV>
            <wp:extent cx="149339" cy="115823"/>
            <wp:effectExtent l="0" t="0" r="0" b="0"/>
            <wp:wrapNone/>
            <wp:docPr id="296" name="Image 296"/>
            <wp:cNvGraphicFramePr>
              <a:graphicFrameLocks/>
            </wp:cNvGraphicFramePr>
            <a:graphic>
              <a:graphicData uri="http://schemas.openxmlformats.org/drawingml/2006/picture">
                <pic:pic>
                  <pic:nvPicPr>
                    <pic:cNvPr id="296" name="Image 296"/>
                    <pic:cNvPicPr/>
                  </pic:nvPicPr>
                  <pic:blipFill>
                    <a:blip r:embed="rId96" cstate="print"/>
                    <a:stretch>
                      <a:fillRect/>
                    </a:stretch>
                  </pic:blipFill>
                  <pic:spPr>
                    <a:xfrm>
                      <a:off x="0" y="0"/>
                      <a:ext cx="149339" cy="115823"/>
                    </a:xfrm>
                    <a:prstGeom prst="rect">
                      <a:avLst/>
                    </a:prstGeom>
                  </pic:spPr>
                </pic:pic>
              </a:graphicData>
            </a:graphic>
          </wp:anchor>
        </w:drawing>
      </w:r>
      <w:bookmarkStart w:name="iv. Safety Net Provider Payments will ha" w:id="466"/>
      <w:bookmarkEnd w:id="466"/>
      <w:r>
        <w:rPr/>
      </w:r>
      <w:r>
        <w:rPr/>
        <w:t>Safety Net Provider Payments will have accountability</w:t>
      </w:r>
      <w:r>
        <w:rPr>
          <w:spacing w:val="-2"/>
        </w:rPr>
        <w:t> </w:t>
      </w:r>
      <w:r>
        <w:rPr/>
        <w:t>requirements, aligned with</w:t>
      </w:r>
      <w:r>
        <w:rPr>
          <w:spacing w:val="-3"/>
        </w:rPr>
        <w:t> </w:t>
      </w:r>
      <w:r>
        <w:rPr/>
        <w:t>the</w:t>
      </w:r>
      <w:r>
        <w:rPr>
          <w:spacing w:val="-4"/>
        </w:rPr>
        <w:t> </w:t>
      </w:r>
      <w:r>
        <w:rPr/>
        <w:t>Commonwealth’s</w:t>
      </w:r>
      <w:r>
        <w:rPr>
          <w:spacing w:val="-3"/>
        </w:rPr>
        <w:t> </w:t>
      </w:r>
      <w:r>
        <w:rPr/>
        <w:t>overall</w:t>
      </w:r>
      <w:r>
        <w:rPr>
          <w:spacing w:val="-3"/>
        </w:rPr>
        <w:t> </w:t>
      </w:r>
      <w:r>
        <w:rPr/>
        <w:t>delivery</w:t>
      </w:r>
      <w:r>
        <w:rPr>
          <w:spacing w:val="-8"/>
        </w:rPr>
        <w:t> </w:t>
      </w:r>
      <w:r>
        <w:rPr/>
        <w:t>system</w:t>
      </w:r>
      <w:r>
        <w:rPr>
          <w:spacing w:val="-1"/>
        </w:rPr>
        <w:t> </w:t>
      </w:r>
      <w:r>
        <w:rPr/>
        <w:t>and</w:t>
      </w:r>
      <w:r>
        <w:rPr>
          <w:spacing w:val="-3"/>
        </w:rPr>
        <w:t> </w:t>
      </w:r>
      <w:r>
        <w:rPr/>
        <w:t>payment</w:t>
      </w:r>
      <w:r>
        <w:rPr>
          <w:spacing w:val="-3"/>
        </w:rPr>
        <w:t> </w:t>
      </w:r>
      <w:r>
        <w:rPr/>
        <w:t>reform</w:t>
      </w:r>
      <w:r>
        <w:rPr>
          <w:spacing w:val="-1"/>
        </w:rPr>
        <w:t> </w:t>
      </w:r>
      <w:r>
        <w:rPr/>
        <w:t>goals. In each year of the demonstration extension period, hospitals that receive Safety Net Provider Payments must participate in one of MassHealth’s ACO models.</w:t>
      </w:r>
      <w:r>
        <w:rPr>
          <w:spacing w:val="40"/>
        </w:rPr>
        <w:t> </w:t>
      </w:r>
      <w:r>
        <w:rPr/>
        <w:t>In addition, a portion of Safety Net Provider Payments each year of the demonstration extension period will be tied to ACO performance measures.</w:t>
      </w:r>
      <w:r>
        <w:rPr>
          <w:spacing w:val="40"/>
        </w:rPr>
        <w:t> </w:t>
      </w:r>
      <w:r>
        <w:rPr/>
        <w:t>Twenty</w:t>
      </w:r>
      <w:r>
        <w:rPr>
          <w:spacing w:val="-8"/>
        </w:rPr>
        <w:t> </w:t>
      </w:r>
      <w:r>
        <w:rPr/>
        <w:t>percent</w:t>
      </w:r>
      <w:r>
        <w:rPr>
          <w:spacing w:val="-3"/>
        </w:rPr>
        <w:t> </w:t>
      </w:r>
      <w:r>
        <w:rPr/>
        <w:t>(20%)</w:t>
      </w:r>
      <w:r>
        <w:rPr>
          <w:spacing w:val="-4"/>
        </w:rPr>
        <w:t> </w:t>
      </w:r>
      <w:r>
        <w:rPr/>
        <w:t>of</w:t>
      </w:r>
      <w:r>
        <w:rPr>
          <w:spacing w:val="-4"/>
        </w:rPr>
        <w:t> </w:t>
      </w:r>
      <w:r>
        <w:rPr/>
        <w:t>each</w:t>
      </w:r>
      <w:r>
        <w:rPr>
          <w:spacing w:val="-3"/>
        </w:rPr>
        <w:t> </w:t>
      </w:r>
      <w:r>
        <w:rPr/>
        <w:t>provider’s</w:t>
      </w:r>
      <w:r>
        <w:rPr>
          <w:spacing w:val="-3"/>
        </w:rPr>
        <w:t> </w:t>
      </w:r>
      <w:r>
        <w:rPr/>
        <w:t>total</w:t>
      </w:r>
      <w:r>
        <w:rPr>
          <w:spacing w:val="-3"/>
        </w:rPr>
        <w:t> </w:t>
      </w:r>
      <w:r>
        <w:rPr/>
        <w:t>Safety</w:t>
      </w:r>
      <w:r>
        <w:rPr>
          <w:spacing w:val="-8"/>
        </w:rPr>
        <w:t> </w:t>
      </w:r>
      <w:r>
        <w:rPr/>
        <w:t>Net</w:t>
      </w:r>
      <w:r>
        <w:rPr>
          <w:spacing w:val="-3"/>
        </w:rPr>
        <w:t> </w:t>
      </w:r>
      <w:r>
        <w:rPr/>
        <w:t>Provider Payments will be at risk per demonstration year.</w:t>
      </w:r>
      <w:r>
        <w:rPr>
          <w:spacing w:val="40"/>
        </w:rPr>
        <w:t> </w:t>
      </w:r>
      <w:r>
        <w:rPr/>
        <w:t>The benchmarks for ACO performance and methodology for calculating the ACO Accountability Score and associated payment are described in Attachment N. For ACO performance that may rely on claims and/or other lagged sources of data, EOHHS may make estimated payment to participating hospitals, which will be subject to final reconciliation outlined in Attachment N.</w:t>
      </w:r>
    </w:p>
    <w:p>
      <w:pPr>
        <w:pStyle w:val="BodyText"/>
        <w:spacing w:before="7"/>
        <w:rPr>
          <w:sz w:val="20"/>
        </w:rPr>
      </w:pPr>
    </w:p>
    <w:p>
      <w:pPr>
        <w:pStyle w:val="BodyText"/>
        <w:spacing w:before="1"/>
        <w:ind w:left="871" w:right="1089" w:firstLine="60"/>
      </w:pPr>
      <w:r>
        <w:rPr/>
        <w:drawing>
          <wp:anchor distT="0" distB="0" distL="0" distR="0" allowOverlap="1" layoutInCell="1" locked="0" behindDoc="0" simplePos="0" relativeHeight="15875072">
            <wp:simplePos x="0" y="0"/>
            <wp:positionH relativeFrom="page">
              <wp:posOffset>908303</wp:posOffset>
            </wp:positionH>
            <wp:positionV relativeFrom="paragraph">
              <wp:posOffset>36234</wp:posOffset>
            </wp:positionV>
            <wp:extent cx="283463" cy="112775"/>
            <wp:effectExtent l="0" t="0" r="0" b="0"/>
            <wp:wrapNone/>
            <wp:docPr id="297" name="Image 297"/>
            <wp:cNvGraphicFramePr>
              <a:graphicFrameLocks/>
            </wp:cNvGraphicFramePr>
            <a:graphic>
              <a:graphicData uri="http://schemas.openxmlformats.org/drawingml/2006/picture">
                <pic:pic>
                  <pic:nvPicPr>
                    <pic:cNvPr id="297" name="Image 297"/>
                    <pic:cNvPicPr/>
                  </pic:nvPicPr>
                  <pic:blipFill>
                    <a:blip r:embed="rId150" cstate="print"/>
                    <a:stretch>
                      <a:fillRect/>
                    </a:stretch>
                  </pic:blipFill>
                  <pic:spPr>
                    <a:xfrm>
                      <a:off x="0" y="0"/>
                      <a:ext cx="283463" cy="112775"/>
                    </a:xfrm>
                    <a:prstGeom prst="rect">
                      <a:avLst/>
                    </a:prstGeom>
                  </pic:spPr>
                </pic:pic>
              </a:graphicData>
            </a:graphic>
          </wp:anchor>
        </w:drawing>
      </w:r>
      <w:bookmarkStart w:name="11.3.  Uncompensated Care (UC) Pool. Pay" w:id="467"/>
      <w:bookmarkEnd w:id="467"/>
      <w:r>
        <w:rPr/>
      </w:r>
      <w:r>
        <w:rPr>
          <w:b/>
        </w:rPr>
        <w:t>Uncompensated Care (UC) Pool. </w:t>
      </w:r>
      <w:r>
        <w:rPr/>
        <w:t>Payments from this pool may be used to defray the actual uncompensated cost of medical services that meet the definition of “medical assistance” contained in section 1905(a) of the Act, that are provided to uninsured individuals as charity care by hospitals, clinics, or by other provider types, as specified at subparagraph (c) below, including uninsured full or partial discounts, that provide all or a portion of services free of charge to patients who meet the provider’s charity care policy and that adhere to the charity care principles of the Healthcare Financial Management Association.</w:t>
      </w:r>
      <w:r>
        <w:rPr>
          <w:spacing w:val="40"/>
        </w:rPr>
        <w:t> </w:t>
      </w:r>
      <w:r>
        <w:rPr/>
        <w:t>Annual UC Pool payments are limited to $100 million per demonstration year (total computable), as specified in STC 19.4. Expenditures for UC payments must be claimed in accordance with CMS-approved claiming</w:t>
      </w:r>
      <w:r>
        <w:rPr>
          <w:spacing w:val="-1"/>
        </w:rPr>
        <w:t> </w:t>
      </w:r>
      <w:r>
        <w:rPr/>
        <w:t>protocols for each provider type and application form in Attachment I. The methodology used by the state to determine UC payments will ensure that payments to hospitals, clinics, and other providers are distributed based on uncompensated cost, without any relationship to source of non- federal share, as specified in Attachment I.</w:t>
      </w:r>
      <w:r>
        <w:rPr>
          <w:spacing w:val="40"/>
        </w:rPr>
        <w:t> </w:t>
      </w:r>
      <w:r>
        <w:rPr/>
        <w:t>UC payments are not associated with particular</w:t>
      </w:r>
      <w:r>
        <w:rPr>
          <w:spacing w:val="-1"/>
        </w:rPr>
        <w:t> </w:t>
      </w:r>
      <w:r>
        <w:rPr/>
        <w:t>individuals and are</w:t>
      </w:r>
      <w:r>
        <w:rPr>
          <w:spacing w:val="-1"/>
        </w:rPr>
        <w:t> </w:t>
      </w:r>
      <w:r>
        <w:rPr/>
        <w:t>not a form of</w:t>
      </w:r>
      <w:r>
        <w:rPr>
          <w:spacing w:val="-1"/>
        </w:rPr>
        <w:t> </w:t>
      </w:r>
      <w:r>
        <w:rPr/>
        <w:t>health coverage</w:t>
      </w:r>
      <w:r>
        <w:rPr>
          <w:spacing w:val="-1"/>
        </w:rPr>
        <w:t> </w:t>
      </w:r>
      <w:r>
        <w:rPr/>
        <w:t>or any</w:t>
      </w:r>
      <w:r>
        <w:rPr>
          <w:spacing w:val="-5"/>
        </w:rPr>
        <w:t> </w:t>
      </w:r>
      <w:r>
        <w:rPr/>
        <w:t>other</w:t>
      </w:r>
      <w:r>
        <w:rPr>
          <w:spacing w:val="-1"/>
        </w:rPr>
        <w:t> </w:t>
      </w:r>
      <w:r>
        <w:rPr/>
        <w:t>benefit inuring</w:t>
      </w:r>
      <w:r>
        <w:rPr>
          <w:spacing w:val="-3"/>
        </w:rPr>
        <w:t> </w:t>
      </w:r>
      <w:r>
        <w:rPr/>
        <w:t>to individuals.</w:t>
      </w:r>
      <w:r>
        <w:rPr>
          <w:spacing w:val="-3"/>
        </w:rPr>
        <w:t> </w:t>
      </w:r>
      <w:r>
        <w:rPr/>
        <w:t>UC</w:t>
      </w:r>
      <w:r>
        <w:rPr>
          <w:spacing w:val="-3"/>
        </w:rPr>
        <w:t> </w:t>
      </w:r>
      <w:r>
        <w:rPr/>
        <w:t>payments</w:t>
      </w:r>
      <w:r>
        <w:rPr>
          <w:spacing w:val="-3"/>
        </w:rPr>
        <w:t> </w:t>
      </w:r>
      <w:r>
        <w:rPr/>
        <w:t>may</w:t>
      </w:r>
      <w:r>
        <w:rPr>
          <w:spacing w:val="-8"/>
        </w:rPr>
        <w:t> </w:t>
      </w:r>
      <w:r>
        <w:rPr/>
        <w:t>employ</w:t>
      </w:r>
      <w:r>
        <w:rPr>
          <w:spacing w:val="-8"/>
        </w:rPr>
        <w:t> </w:t>
      </w:r>
      <w:r>
        <w:rPr/>
        <w:t>substantively</w:t>
      </w:r>
      <w:r>
        <w:rPr>
          <w:spacing w:val="-8"/>
        </w:rPr>
        <w:t> </w:t>
      </w:r>
      <w:r>
        <w:rPr/>
        <w:t>identical</w:t>
      </w:r>
      <w:r>
        <w:rPr>
          <w:spacing w:val="-3"/>
        </w:rPr>
        <w:t> </w:t>
      </w:r>
      <w:r>
        <w:rPr/>
        <w:t>methodologies</w:t>
      </w:r>
      <w:r>
        <w:rPr>
          <w:spacing w:val="-3"/>
        </w:rPr>
        <w:t> </w:t>
      </w:r>
      <w:r>
        <w:rPr/>
        <w:t>as</w:t>
      </w:r>
      <w:r>
        <w:rPr>
          <w:spacing w:val="-3"/>
        </w:rPr>
        <w:t> </w:t>
      </w:r>
      <w:r>
        <w:rPr/>
        <w:t>payments authorized under the DSH-like Pool as further described in Attachment E, and subject to any additional limitations set forth in Attachment I.</w:t>
      </w:r>
    </w:p>
    <w:p>
      <w:pPr>
        <w:pStyle w:val="BodyText"/>
        <w:spacing w:before="10"/>
        <w:rPr>
          <w:sz w:val="20"/>
        </w:rPr>
      </w:pPr>
    </w:p>
    <w:p>
      <w:pPr>
        <w:pStyle w:val="BodyText"/>
        <w:ind w:left="1411" w:right="1072"/>
      </w:pPr>
      <w:r>
        <w:rPr/>
        <w:drawing>
          <wp:anchor distT="0" distB="0" distL="0" distR="0" allowOverlap="1" layoutInCell="1" locked="0" behindDoc="0" simplePos="0" relativeHeight="15875584">
            <wp:simplePos x="0" y="0"/>
            <wp:positionH relativeFrom="page">
              <wp:posOffset>1431036</wp:posOffset>
            </wp:positionH>
            <wp:positionV relativeFrom="paragraph">
              <wp:posOffset>67603</wp:posOffset>
            </wp:positionV>
            <wp:extent cx="96011" cy="80771"/>
            <wp:effectExtent l="0" t="0" r="0" b="0"/>
            <wp:wrapNone/>
            <wp:docPr id="298" name="Image 298"/>
            <wp:cNvGraphicFramePr>
              <a:graphicFrameLocks/>
            </wp:cNvGraphicFramePr>
            <a:graphic>
              <a:graphicData uri="http://schemas.openxmlformats.org/drawingml/2006/picture">
                <pic:pic>
                  <pic:nvPicPr>
                    <pic:cNvPr id="298" name="Image 298"/>
                    <pic:cNvPicPr/>
                  </pic:nvPicPr>
                  <pic:blipFill>
                    <a:blip r:embed="rId29" cstate="print"/>
                    <a:stretch>
                      <a:fillRect/>
                    </a:stretch>
                  </pic:blipFill>
                  <pic:spPr>
                    <a:xfrm>
                      <a:off x="0" y="0"/>
                      <a:ext cx="96011" cy="80771"/>
                    </a:xfrm>
                    <a:prstGeom prst="rect">
                      <a:avLst/>
                    </a:prstGeom>
                  </pic:spPr>
                </pic:pic>
              </a:graphicData>
            </a:graphic>
          </wp:anchor>
        </w:drawing>
      </w:r>
      <w:bookmarkStart w:name="a. UC Application. To qualify for a UC P" w:id="468"/>
      <w:bookmarkEnd w:id="468"/>
      <w:r>
        <w:rPr/>
      </w:r>
      <w:r>
        <w:rPr>
          <w:b/>
        </w:rPr>
        <w:t>UC Application. </w:t>
      </w:r>
      <w:r>
        <w:rPr/>
        <w:t>To qualify for a UC Payment, a provider must submit to the Commonwealth a UC Application (or substantively equivalent report) that will collect cost and payment data on services eligible for reimbursement under the UC Pool.</w:t>
      </w:r>
      <w:r>
        <w:rPr>
          <w:spacing w:val="40"/>
        </w:rPr>
        <w:t> </w:t>
      </w:r>
      <w:r>
        <w:rPr/>
        <w:t>Data</w:t>
      </w:r>
      <w:r>
        <w:rPr>
          <w:spacing w:val="-4"/>
        </w:rPr>
        <w:t> </w:t>
      </w:r>
      <w:r>
        <w:rPr/>
        <w:t>collected</w:t>
      </w:r>
      <w:r>
        <w:rPr>
          <w:spacing w:val="-3"/>
        </w:rPr>
        <w:t> </w:t>
      </w:r>
      <w:r>
        <w:rPr/>
        <w:t>from</w:t>
      </w:r>
      <w:r>
        <w:rPr>
          <w:spacing w:val="-3"/>
        </w:rPr>
        <w:t> </w:t>
      </w:r>
      <w:r>
        <w:rPr/>
        <w:t>the</w:t>
      </w:r>
      <w:r>
        <w:rPr>
          <w:spacing w:val="-4"/>
        </w:rPr>
        <w:t> </w:t>
      </w:r>
      <w:r>
        <w:rPr/>
        <w:t>application</w:t>
      </w:r>
      <w:r>
        <w:rPr>
          <w:spacing w:val="-3"/>
        </w:rPr>
        <w:t> </w:t>
      </w:r>
      <w:r>
        <w:rPr/>
        <w:t>will</w:t>
      </w:r>
      <w:r>
        <w:rPr>
          <w:spacing w:val="-3"/>
        </w:rPr>
        <w:t> </w:t>
      </w:r>
      <w:r>
        <w:rPr/>
        <w:t>form</w:t>
      </w:r>
      <w:r>
        <w:rPr>
          <w:spacing w:val="-3"/>
        </w:rPr>
        <w:t> </w:t>
      </w:r>
      <w:r>
        <w:rPr/>
        <w:t>the</w:t>
      </w:r>
      <w:r>
        <w:rPr>
          <w:spacing w:val="-4"/>
        </w:rPr>
        <w:t> </w:t>
      </w:r>
      <w:r>
        <w:rPr/>
        <w:t>basis</w:t>
      </w:r>
      <w:r>
        <w:rPr>
          <w:spacing w:val="-3"/>
        </w:rPr>
        <w:t> </w:t>
      </w:r>
      <w:r>
        <w:rPr/>
        <w:t>for</w:t>
      </w:r>
      <w:r>
        <w:rPr>
          <w:spacing w:val="-4"/>
        </w:rPr>
        <w:t> </w:t>
      </w:r>
      <w:r>
        <w:rPr/>
        <w:t>UC</w:t>
      </w:r>
      <w:r>
        <w:rPr>
          <w:spacing w:val="-3"/>
        </w:rPr>
        <w:t> </w:t>
      </w:r>
      <w:r>
        <w:rPr/>
        <w:t>Payments</w:t>
      </w:r>
      <w:r>
        <w:rPr>
          <w:spacing w:val="-3"/>
        </w:rPr>
        <w:t> </w:t>
      </w:r>
      <w:r>
        <w:rPr/>
        <w:t>made to individual hospitals and non-hospital providers.</w:t>
      </w:r>
      <w:r>
        <w:rPr>
          <w:spacing w:val="40"/>
        </w:rPr>
        <w:t> </w:t>
      </w:r>
      <w:r>
        <w:rPr/>
        <w:t>The state must require hospitals to report data in a manner that is consistent with the Medicare Form 2552-10 cost report, or for non-hospital providers, a CMS-approved cost report consistent with Medicare cost reporting principles.</w:t>
      </w:r>
    </w:p>
    <w:p>
      <w:pPr>
        <w:pStyle w:val="BodyText"/>
        <w:spacing w:before="10"/>
        <w:rPr>
          <w:sz w:val="20"/>
        </w:rPr>
      </w:pPr>
    </w:p>
    <w:p>
      <w:pPr>
        <w:pStyle w:val="BodyText"/>
        <w:ind w:left="1411" w:right="1329"/>
      </w:pPr>
      <w:bookmarkStart w:name="Cost and payment data included on the ap" w:id="469"/>
      <w:bookmarkEnd w:id="469"/>
      <w:r>
        <w:rPr/>
      </w:r>
      <w:r>
        <w:rPr/>
        <w:t>Cost</w:t>
      </w:r>
      <w:r>
        <w:rPr>
          <w:spacing w:val="-3"/>
        </w:rPr>
        <w:t> </w:t>
      </w:r>
      <w:r>
        <w:rPr/>
        <w:t>and</w:t>
      </w:r>
      <w:r>
        <w:rPr>
          <w:spacing w:val="-3"/>
        </w:rPr>
        <w:t> </w:t>
      </w:r>
      <w:r>
        <w:rPr/>
        <w:t>payment</w:t>
      </w:r>
      <w:r>
        <w:rPr>
          <w:spacing w:val="-3"/>
        </w:rPr>
        <w:t> </w:t>
      </w:r>
      <w:r>
        <w:rPr/>
        <w:t>data</w:t>
      </w:r>
      <w:r>
        <w:rPr>
          <w:spacing w:val="-4"/>
        </w:rPr>
        <w:t> </w:t>
      </w:r>
      <w:r>
        <w:rPr/>
        <w:t>included</w:t>
      </w:r>
      <w:r>
        <w:rPr>
          <w:spacing w:val="-3"/>
        </w:rPr>
        <w:t> </w:t>
      </w:r>
      <w:r>
        <w:rPr/>
        <w:t>on</w:t>
      </w:r>
      <w:r>
        <w:rPr>
          <w:spacing w:val="-3"/>
        </w:rPr>
        <w:t> </w:t>
      </w:r>
      <w:r>
        <w:rPr/>
        <w:t>the</w:t>
      </w:r>
      <w:r>
        <w:rPr>
          <w:spacing w:val="-4"/>
        </w:rPr>
        <w:t> </w:t>
      </w:r>
      <w:r>
        <w:rPr/>
        <w:t>application</w:t>
      </w:r>
      <w:r>
        <w:rPr>
          <w:spacing w:val="-3"/>
        </w:rPr>
        <w:t> </w:t>
      </w:r>
      <w:r>
        <w:rPr/>
        <w:t>must</w:t>
      </w:r>
      <w:r>
        <w:rPr>
          <w:spacing w:val="-3"/>
        </w:rPr>
        <w:t> </w:t>
      </w:r>
      <w:r>
        <w:rPr/>
        <w:t>be</w:t>
      </w:r>
      <w:r>
        <w:rPr>
          <w:spacing w:val="-4"/>
        </w:rPr>
        <w:t> </w:t>
      </w:r>
      <w:r>
        <w:rPr/>
        <w:t>based</w:t>
      </w:r>
      <w:r>
        <w:rPr>
          <w:spacing w:val="-3"/>
        </w:rPr>
        <w:t> </w:t>
      </w:r>
      <w:r>
        <w:rPr/>
        <w:t>on</w:t>
      </w:r>
      <w:r>
        <w:rPr>
          <w:spacing w:val="-3"/>
        </w:rPr>
        <w:t> </w:t>
      </w:r>
      <w:r>
        <w:rPr/>
        <w:t>the</w:t>
      </w:r>
      <w:r>
        <w:rPr>
          <w:spacing w:val="-4"/>
        </w:rPr>
        <w:t> </w:t>
      </w:r>
      <w:r>
        <w:rPr/>
        <w:t>Medicare 2552-10 cost report, or for non-hospital providers, a CMS-approved cost report</w:t>
      </w:r>
    </w:p>
    <w:p>
      <w:pPr>
        <w:spacing w:after="0"/>
        <w:sectPr>
          <w:pgSz w:w="12240" w:h="15840"/>
          <w:pgMar w:header="0" w:footer="1201" w:top="1360" w:bottom="1400" w:left="1200" w:right="400"/>
        </w:sectPr>
      </w:pPr>
    </w:p>
    <w:p>
      <w:pPr>
        <w:pStyle w:val="BodyText"/>
        <w:spacing w:before="79"/>
        <w:ind w:left="1411" w:right="1082"/>
      </w:pPr>
      <w:r>
        <w:rPr/>
        <w:t>consistent with Medicare cost reporting principles.</w:t>
      </w:r>
      <w:r>
        <w:rPr>
          <w:spacing w:val="40"/>
        </w:rPr>
        <w:t> </w:t>
      </w:r>
      <w:r>
        <w:rPr/>
        <w:t>For hospitals not required to report charity care uncompensated costs on their cost reports, the hospital must report the required data in the tool approved by CMS and included in Attachment I. Any overpayments identified in the reconciliation process that occurred in a prior year</w:t>
      </w:r>
      <w:r>
        <w:rPr>
          <w:spacing w:val="-2"/>
        </w:rPr>
        <w:t> </w:t>
      </w:r>
      <w:r>
        <w:rPr/>
        <w:t>must</w:t>
      </w:r>
      <w:r>
        <w:rPr>
          <w:spacing w:val="-1"/>
        </w:rPr>
        <w:t> </w:t>
      </w:r>
      <w:r>
        <w:rPr/>
        <w:t>be</w:t>
      </w:r>
      <w:r>
        <w:rPr>
          <w:spacing w:val="-2"/>
        </w:rPr>
        <w:t> </w:t>
      </w:r>
      <w:r>
        <w:rPr/>
        <w:t>recouped from</w:t>
      </w:r>
      <w:r>
        <w:rPr>
          <w:spacing w:val="-1"/>
        </w:rPr>
        <w:t> </w:t>
      </w:r>
      <w:r>
        <w:rPr/>
        <w:t>the</w:t>
      </w:r>
      <w:r>
        <w:rPr>
          <w:spacing w:val="-2"/>
        </w:rPr>
        <w:t> </w:t>
      </w:r>
      <w:r>
        <w:rPr/>
        <w:t>provider,</w:t>
      </w:r>
      <w:r>
        <w:rPr>
          <w:spacing w:val="-1"/>
        </w:rPr>
        <w:t> </w:t>
      </w:r>
      <w:r>
        <w:rPr/>
        <w:t>with</w:t>
      </w:r>
      <w:r>
        <w:rPr>
          <w:spacing w:val="-1"/>
        </w:rPr>
        <w:t> </w:t>
      </w:r>
      <w:r>
        <w:rPr/>
        <w:t>the FFP</w:t>
      </w:r>
      <w:r>
        <w:rPr>
          <w:spacing w:val="-1"/>
        </w:rPr>
        <w:t> </w:t>
      </w:r>
      <w:r>
        <w:rPr/>
        <w:t>returned</w:t>
      </w:r>
      <w:r>
        <w:rPr>
          <w:spacing w:val="-1"/>
        </w:rPr>
        <w:t> </w:t>
      </w:r>
      <w:r>
        <w:rPr/>
        <w:t>to</w:t>
      </w:r>
      <w:r>
        <w:rPr>
          <w:spacing w:val="-1"/>
        </w:rPr>
        <w:t> </w:t>
      </w:r>
      <w:r>
        <w:rPr/>
        <w:t>CMS,</w:t>
      </w:r>
      <w:r>
        <w:rPr>
          <w:spacing w:val="-1"/>
        </w:rPr>
        <w:t> </w:t>
      </w:r>
      <w:r>
        <w:rPr/>
        <w:t>except</w:t>
      </w:r>
      <w:r>
        <w:rPr>
          <w:spacing w:val="-1"/>
        </w:rPr>
        <w:t> </w:t>
      </w:r>
      <w:r>
        <w:rPr/>
        <w:t>that during the reconciliation process, if a provider demonstrates that it has allowable uncompensated costs consistent with the protocol that were not reimbursed through the</w:t>
      </w:r>
      <w:r>
        <w:rPr>
          <w:spacing w:val="-4"/>
        </w:rPr>
        <w:t> </w:t>
      </w:r>
      <w:r>
        <w:rPr/>
        <w:t>initial</w:t>
      </w:r>
      <w:r>
        <w:rPr>
          <w:spacing w:val="-3"/>
        </w:rPr>
        <w:t> </w:t>
      </w:r>
      <w:r>
        <w:rPr/>
        <w:t>UC</w:t>
      </w:r>
      <w:r>
        <w:rPr>
          <w:spacing w:val="-3"/>
        </w:rPr>
        <w:t> </w:t>
      </w:r>
      <w:r>
        <w:rPr/>
        <w:t>Payment</w:t>
      </w:r>
      <w:r>
        <w:rPr>
          <w:spacing w:val="-3"/>
        </w:rPr>
        <w:t> </w:t>
      </w:r>
      <w:r>
        <w:rPr/>
        <w:t>(based</w:t>
      </w:r>
      <w:r>
        <w:rPr>
          <w:spacing w:val="-3"/>
        </w:rPr>
        <w:t> </w:t>
      </w:r>
      <w:r>
        <w:rPr/>
        <w:t>on</w:t>
      </w:r>
      <w:r>
        <w:rPr>
          <w:spacing w:val="-3"/>
        </w:rPr>
        <w:t> </w:t>
      </w:r>
      <w:r>
        <w:rPr/>
        <w:t>application</w:t>
      </w:r>
      <w:r>
        <w:rPr>
          <w:spacing w:val="-3"/>
        </w:rPr>
        <w:t> </w:t>
      </w:r>
      <w:r>
        <w:rPr/>
        <w:t>figures),</w:t>
      </w:r>
      <w:r>
        <w:rPr>
          <w:spacing w:val="-3"/>
        </w:rPr>
        <w:t> </w:t>
      </w:r>
      <w:r>
        <w:rPr/>
        <w:t>and</w:t>
      </w:r>
      <w:r>
        <w:rPr>
          <w:spacing w:val="-3"/>
        </w:rPr>
        <w:t> </w:t>
      </w:r>
      <w:r>
        <w:rPr/>
        <w:t>the</w:t>
      </w:r>
      <w:r>
        <w:rPr>
          <w:spacing w:val="-4"/>
        </w:rPr>
        <w:t> </w:t>
      </w:r>
      <w:r>
        <w:rPr/>
        <w:t>state</w:t>
      </w:r>
      <w:r>
        <w:rPr>
          <w:spacing w:val="-4"/>
        </w:rPr>
        <w:t> </w:t>
      </w:r>
      <w:r>
        <w:rPr/>
        <w:t>has</w:t>
      </w:r>
      <w:r>
        <w:rPr>
          <w:spacing w:val="-3"/>
        </w:rPr>
        <w:t> </w:t>
      </w:r>
      <w:r>
        <w:rPr/>
        <w:t>available</w:t>
      </w:r>
      <w:r>
        <w:rPr>
          <w:spacing w:val="-4"/>
        </w:rPr>
        <w:t> </w:t>
      </w:r>
      <w:r>
        <w:rPr/>
        <w:t>UC Pool funding for the year in which the costs accrued, the state may provide reimbursement for those actual documented unreimbursed UC costs through a prior period of adjustment.</w:t>
      </w:r>
    </w:p>
    <w:p>
      <w:pPr>
        <w:pStyle w:val="BodyText"/>
        <w:spacing w:before="161"/>
        <w:ind w:left="2040" w:right="1086"/>
      </w:pPr>
      <w:r>
        <w:rPr/>
        <w:drawing>
          <wp:anchor distT="0" distB="0" distL="0" distR="0" allowOverlap="1" layoutInCell="1" locked="0" behindDoc="0" simplePos="0" relativeHeight="15876096">
            <wp:simplePos x="0" y="0"/>
            <wp:positionH relativeFrom="page">
              <wp:posOffset>1862327</wp:posOffset>
            </wp:positionH>
            <wp:positionV relativeFrom="paragraph">
              <wp:posOffset>134786</wp:posOffset>
            </wp:positionV>
            <wp:extent cx="73151" cy="115823"/>
            <wp:effectExtent l="0" t="0" r="0" b="0"/>
            <wp:wrapNone/>
            <wp:docPr id="299" name="Image 299"/>
            <wp:cNvGraphicFramePr>
              <a:graphicFrameLocks/>
            </wp:cNvGraphicFramePr>
            <a:graphic>
              <a:graphicData uri="http://schemas.openxmlformats.org/drawingml/2006/picture">
                <pic:pic>
                  <pic:nvPicPr>
                    <pic:cNvPr id="299" name="Image 299"/>
                    <pic:cNvPicPr/>
                  </pic:nvPicPr>
                  <pic:blipFill>
                    <a:blip r:embed="rId112" cstate="print"/>
                    <a:stretch>
                      <a:fillRect/>
                    </a:stretch>
                  </pic:blipFill>
                  <pic:spPr>
                    <a:xfrm>
                      <a:off x="0" y="0"/>
                      <a:ext cx="73151" cy="115823"/>
                    </a:xfrm>
                    <a:prstGeom prst="rect">
                      <a:avLst/>
                    </a:prstGeom>
                  </pic:spPr>
                </pic:pic>
              </a:graphicData>
            </a:graphic>
          </wp:anchor>
        </w:drawing>
      </w:r>
      <w:bookmarkStart w:name="i. Any provider that meets the criteria " w:id="470"/>
      <w:bookmarkEnd w:id="470"/>
      <w:r>
        <w:rPr/>
      </w:r>
      <w:r>
        <w:rPr/>
        <w:t>Any</w:t>
      </w:r>
      <w:r>
        <w:rPr>
          <w:spacing w:val="-8"/>
        </w:rPr>
        <w:t> </w:t>
      </w:r>
      <w:r>
        <w:rPr/>
        <w:t>provider</w:t>
      </w:r>
      <w:r>
        <w:rPr>
          <w:spacing w:val="-4"/>
        </w:rPr>
        <w:t> </w:t>
      </w:r>
      <w:r>
        <w:rPr/>
        <w:t>that</w:t>
      </w:r>
      <w:r>
        <w:rPr>
          <w:spacing w:val="-3"/>
        </w:rPr>
        <w:t> </w:t>
      </w:r>
      <w:r>
        <w:rPr/>
        <w:t>meets</w:t>
      </w:r>
      <w:r>
        <w:rPr>
          <w:spacing w:val="-3"/>
        </w:rPr>
        <w:t> </w:t>
      </w:r>
      <w:r>
        <w:rPr/>
        <w:t>the</w:t>
      </w:r>
      <w:r>
        <w:rPr>
          <w:spacing w:val="-4"/>
        </w:rPr>
        <w:t> </w:t>
      </w:r>
      <w:r>
        <w:rPr/>
        <w:t>criteria</w:t>
      </w:r>
      <w:r>
        <w:rPr>
          <w:spacing w:val="-4"/>
        </w:rPr>
        <w:t> </w:t>
      </w:r>
      <w:r>
        <w:rPr/>
        <w:t>specified</w:t>
      </w:r>
      <w:r>
        <w:rPr>
          <w:spacing w:val="-3"/>
        </w:rPr>
        <w:t> </w:t>
      </w:r>
      <w:r>
        <w:rPr/>
        <w:t>in</w:t>
      </w:r>
      <w:r>
        <w:rPr>
          <w:spacing w:val="-1"/>
        </w:rPr>
        <w:t> </w:t>
      </w:r>
      <w:r>
        <w:rPr/>
        <w:t>Attachment</w:t>
      </w:r>
      <w:r>
        <w:rPr>
          <w:spacing w:val="-1"/>
        </w:rPr>
        <w:t> </w:t>
      </w:r>
      <w:r>
        <w:rPr/>
        <w:t>I</w:t>
      </w:r>
      <w:r>
        <w:rPr>
          <w:spacing w:val="-6"/>
        </w:rPr>
        <w:t> </w:t>
      </w:r>
      <w:r>
        <w:rPr/>
        <w:t>may</w:t>
      </w:r>
      <w:r>
        <w:rPr>
          <w:spacing w:val="-8"/>
        </w:rPr>
        <w:t> </w:t>
      </w:r>
      <w:r>
        <w:rPr/>
        <w:t>submit</w:t>
      </w:r>
      <w:r>
        <w:rPr>
          <w:spacing w:val="-3"/>
        </w:rPr>
        <w:t> </w:t>
      </w:r>
      <w:r>
        <w:rPr/>
        <w:t>a UC Application.</w:t>
      </w:r>
    </w:p>
    <w:p>
      <w:pPr>
        <w:pStyle w:val="ListParagraph"/>
        <w:numPr>
          <w:ilvl w:val="0"/>
          <w:numId w:val="29"/>
        </w:numPr>
        <w:tabs>
          <w:tab w:pos="2851" w:val="left" w:leader="none"/>
        </w:tabs>
        <w:spacing w:line="240" w:lineRule="auto" w:before="158" w:after="0"/>
        <w:ind w:left="2851" w:right="1670" w:hanging="360"/>
        <w:jc w:val="left"/>
        <w:rPr>
          <w:sz w:val="24"/>
        </w:rPr>
      </w:pPr>
      <w:bookmarkStart w:name="1. All providers must have an executed i" w:id="471"/>
      <w:bookmarkEnd w:id="471"/>
      <w:r>
        <w:rPr/>
      </w:r>
      <w:r>
        <w:rPr>
          <w:sz w:val="24"/>
        </w:rPr>
        <w:t>All providers must have an executed indigent care affiliation agreement on file with the state, or be subject to a substantially similar</w:t>
      </w:r>
      <w:r>
        <w:rPr>
          <w:spacing w:val="-7"/>
          <w:sz w:val="24"/>
        </w:rPr>
        <w:t> </w:t>
      </w:r>
      <w:r>
        <w:rPr>
          <w:sz w:val="24"/>
        </w:rPr>
        <w:t>requirement</w:t>
      </w:r>
      <w:r>
        <w:rPr>
          <w:spacing w:val="-6"/>
          <w:sz w:val="24"/>
        </w:rPr>
        <w:t> </w:t>
      </w:r>
      <w:r>
        <w:rPr>
          <w:sz w:val="24"/>
        </w:rPr>
        <w:t>through</w:t>
      </w:r>
      <w:r>
        <w:rPr>
          <w:spacing w:val="-6"/>
          <w:sz w:val="24"/>
        </w:rPr>
        <w:t> </w:t>
      </w:r>
      <w:r>
        <w:rPr>
          <w:sz w:val="24"/>
        </w:rPr>
        <w:t>other</w:t>
      </w:r>
      <w:r>
        <w:rPr>
          <w:spacing w:val="-5"/>
          <w:sz w:val="24"/>
        </w:rPr>
        <w:t> </w:t>
      </w:r>
      <w:r>
        <w:rPr>
          <w:sz w:val="24"/>
        </w:rPr>
        <w:t>appropriate</w:t>
      </w:r>
      <w:r>
        <w:rPr>
          <w:spacing w:val="-7"/>
          <w:sz w:val="24"/>
        </w:rPr>
        <w:t> </w:t>
      </w:r>
      <w:r>
        <w:rPr>
          <w:sz w:val="24"/>
        </w:rPr>
        <w:t>means</w:t>
      </w:r>
      <w:r>
        <w:rPr>
          <w:spacing w:val="-6"/>
          <w:sz w:val="24"/>
        </w:rPr>
        <w:t> </w:t>
      </w:r>
      <w:r>
        <w:rPr>
          <w:sz w:val="24"/>
        </w:rPr>
        <w:t>(e.g.,</w:t>
      </w:r>
      <w:r>
        <w:rPr>
          <w:spacing w:val="-6"/>
          <w:sz w:val="24"/>
        </w:rPr>
        <w:t> </w:t>
      </w:r>
      <w:r>
        <w:rPr>
          <w:sz w:val="24"/>
        </w:rPr>
        <w:t>state </w:t>
      </w:r>
      <w:r>
        <w:rPr>
          <w:spacing w:val="-2"/>
          <w:sz w:val="24"/>
        </w:rPr>
        <w:t>regulation).</w:t>
      </w:r>
    </w:p>
    <w:p>
      <w:pPr>
        <w:pStyle w:val="BodyText"/>
        <w:spacing w:before="161"/>
        <w:ind w:left="2040" w:right="1141"/>
      </w:pPr>
      <w:r>
        <w:rPr/>
        <w:drawing>
          <wp:anchor distT="0" distB="0" distL="0" distR="0" allowOverlap="1" layoutInCell="1" locked="0" behindDoc="0" simplePos="0" relativeHeight="15876608">
            <wp:simplePos x="0" y="0"/>
            <wp:positionH relativeFrom="page">
              <wp:posOffset>1819655</wp:posOffset>
            </wp:positionH>
            <wp:positionV relativeFrom="paragraph">
              <wp:posOffset>134786</wp:posOffset>
            </wp:positionV>
            <wp:extent cx="115823" cy="115823"/>
            <wp:effectExtent l="0" t="0" r="0" b="0"/>
            <wp:wrapNone/>
            <wp:docPr id="300" name="Image 300"/>
            <wp:cNvGraphicFramePr>
              <a:graphicFrameLocks/>
            </wp:cNvGraphicFramePr>
            <a:graphic>
              <a:graphicData uri="http://schemas.openxmlformats.org/drawingml/2006/picture">
                <pic:pic>
                  <pic:nvPicPr>
                    <pic:cNvPr id="300" name="Image 300"/>
                    <pic:cNvPicPr/>
                  </pic:nvPicPr>
                  <pic:blipFill>
                    <a:blip r:embed="rId117" cstate="print"/>
                    <a:stretch>
                      <a:fillRect/>
                    </a:stretch>
                  </pic:blipFill>
                  <pic:spPr>
                    <a:xfrm>
                      <a:off x="0" y="0"/>
                      <a:ext cx="115823" cy="115823"/>
                    </a:xfrm>
                    <a:prstGeom prst="rect">
                      <a:avLst/>
                    </a:prstGeom>
                  </pic:spPr>
                </pic:pic>
              </a:graphicData>
            </a:graphic>
          </wp:anchor>
        </w:drawing>
      </w:r>
      <w:bookmarkStart w:name="ii. When submitting the UC Application, " w:id="472"/>
      <w:bookmarkEnd w:id="472"/>
      <w:r>
        <w:rPr/>
      </w:r>
      <w:r>
        <w:rPr/>
        <w:t>When submitting the UC Application, providers may request that cost and payment</w:t>
      </w:r>
      <w:r>
        <w:rPr>
          <w:spacing w:val="-3"/>
        </w:rPr>
        <w:t> </w:t>
      </w:r>
      <w:r>
        <w:rPr/>
        <w:t>data</w:t>
      </w:r>
      <w:r>
        <w:rPr>
          <w:spacing w:val="-4"/>
        </w:rPr>
        <w:t> </w:t>
      </w:r>
      <w:r>
        <w:rPr/>
        <w:t>from</w:t>
      </w:r>
      <w:r>
        <w:rPr>
          <w:spacing w:val="-3"/>
        </w:rPr>
        <w:t> </w:t>
      </w:r>
      <w:r>
        <w:rPr/>
        <w:t>the</w:t>
      </w:r>
      <w:r>
        <w:rPr>
          <w:spacing w:val="-4"/>
        </w:rPr>
        <w:t> </w:t>
      </w:r>
      <w:r>
        <w:rPr/>
        <w:t>data</w:t>
      </w:r>
      <w:r>
        <w:rPr>
          <w:spacing w:val="-2"/>
        </w:rPr>
        <w:t> </w:t>
      </w:r>
      <w:r>
        <w:rPr/>
        <w:t>year</w:t>
      </w:r>
      <w:r>
        <w:rPr>
          <w:spacing w:val="-4"/>
        </w:rPr>
        <w:t> </w:t>
      </w:r>
      <w:r>
        <w:rPr/>
        <w:t>be</w:t>
      </w:r>
      <w:r>
        <w:rPr>
          <w:spacing w:val="-4"/>
        </w:rPr>
        <w:t> </w:t>
      </w:r>
      <w:r>
        <w:rPr/>
        <w:t>adjusted</w:t>
      </w:r>
      <w:r>
        <w:rPr>
          <w:spacing w:val="-3"/>
        </w:rPr>
        <w:t> </w:t>
      </w:r>
      <w:r>
        <w:rPr/>
        <w:t>to</w:t>
      </w:r>
      <w:r>
        <w:rPr>
          <w:spacing w:val="-3"/>
        </w:rPr>
        <w:t> </w:t>
      </w:r>
      <w:r>
        <w:rPr/>
        <w:t>reflect</w:t>
      </w:r>
      <w:r>
        <w:rPr>
          <w:spacing w:val="-3"/>
        </w:rPr>
        <w:t> </w:t>
      </w:r>
      <w:r>
        <w:rPr/>
        <w:t>increases</w:t>
      </w:r>
      <w:r>
        <w:rPr>
          <w:spacing w:val="-3"/>
        </w:rPr>
        <w:t> </w:t>
      </w:r>
      <w:r>
        <w:rPr/>
        <w:t>or</w:t>
      </w:r>
      <w:r>
        <w:rPr>
          <w:spacing w:val="-4"/>
        </w:rPr>
        <w:t> </w:t>
      </w:r>
      <w:r>
        <w:rPr/>
        <w:t>decreases in costs, resulting from changes in operations or circumstances. A provider may request that:</w:t>
      </w:r>
    </w:p>
    <w:p>
      <w:pPr>
        <w:pStyle w:val="ListParagraph"/>
        <w:numPr>
          <w:ilvl w:val="0"/>
          <w:numId w:val="30"/>
        </w:numPr>
        <w:tabs>
          <w:tab w:pos="2851" w:val="left" w:leader="none"/>
        </w:tabs>
        <w:spacing w:line="240" w:lineRule="auto" w:before="159" w:after="0"/>
        <w:ind w:left="2851" w:right="1076" w:hanging="360"/>
        <w:jc w:val="left"/>
        <w:rPr>
          <w:sz w:val="24"/>
        </w:rPr>
      </w:pPr>
      <w:bookmarkStart w:name="1. Costs and revenue not reflected on th" w:id="473"/>
      <w:bookmarkEnd w:id="473"/>
      <w:r>
        <w:rPr/>
      </w:r>
      <w:r>
        <w:rPr>
          <w:sz w:val="24"/>
        </w:rPr>
        <w:t>Costs and revenue not reflected on the filed cost report, but which would</w:t>
      </w:r>
      <w:r>
        <w:rPr>
          <w:spacing w:val="-5"/>
          <w:sz w:val="24"/>
        </w:rPr>
        <w:t> </w:t>
      </w:r>
      <w:r>
        <w:rPr>
          <w:sz w:val="24"/>
        </w:rPr>
        <w:t>be</w:t>
      </w:r>
      <w:r>
        <w:rPr>
          <w:spacing w:val="-5"/>
          <w:sz w:val="24"/>
        </w:rPr>
        <w:t> </w:t>
      </w:r>
      <w:r>
        <w:rPr>
          <w:sz w:val="24"/>
        </w:rPr>
        <w:t>incurred</w:t>
      </w:r>
      <w:r>
        <w:rPr>
          <w:spacing w:val="-5"/>
          <w:sz w:val="24"/>
        </w:rPr>
        <w:t> </w:t>
      </w:r>
      <w:r>
        <w:rPr>
          <w:sz w:val="24"/>
        </w:rPr>
        <w:t>for</w:t>
      </w:r>
      <w:r>
        <w:rPr>
          <w:spacing w:val="-5"/>
          <w:sz w:val="24"/>
        </w:rPr>
        <w:t> </w:t>
      </w:r>
      <w:r>
        <w:rPr>
          <w:sz w:val="24"/>
        </w:rPr>
        <w:t>the</w:t>
      </w:r>
      <w:r>
        <w:rPr>
          <w:spacing w:val="-4"/>
          <w:sz w:val="24"/>
        </w:rPr>
        <w:t> </w:t>
      </w:r>
      <w:r>
        <w:rPr>
          <w:sz w:val="24"/>
        </w:rPr>
        <w:t>program year,</w:t>
      </w:r>
      <w:r>
        <w:rPr>
          <w:spacing w:val="-5"/>
          <w:sz w:val="24"/>
        </w:rPr>
        <w:t> </w:t>
      </w:r>
      <w:r>
        <w:rPr>
          <w:sz w:val="24"/>
        </w:rPr>
        <w:t>be</w:t>
      </w:r>
      <w:r>
        <w:rPr>
          <w:spacing w:val="-5"/>
          <w:sz w:val="24"/>
        </w:rPr>
        <w:t> </w:t>
      </w:r>
      <w:r>
        <w:rPr>
          <w:sz w:val="24"/>
        </w:rPr>
        <w:t>included</w:t>
      </w:r>
      <w:r>
        <w:rPr>
          <w:spacing w:val="-5"/>
          <w:sz w:val="24"/>
        </w:rPr>
        <w:t> </w:t>
      </w:r>
      <w:r>
        <w:rPr>
          <w:sz w:val="24"/>
        </w:rPr>
        <w:t>when</w:t>
      </w:r>
      <w:r>
        <w:rPr>
          <w:spacing w:val="-5"/>
          <w:sz w:val="24"/>
        </w:rPr>
        <w:t> </w:t>
      </w:r>
      <w:r>
        <w:rPr>
          <w:sz w:val="24"/>
        </w:rPr>
        <w:t>calculating payment amounts; or</w:t>
      </w:r>
    </w:p>
    <w:p>
      <w:pPr>
        <w:pStyle w:val="ListParagraph"/>
        <w:numPr>
          <w:ilvl w:val="0"/>
          <w:numId w:val="30"/>
        </w:numPr>
        <w:tabs>
          <w:tab w:pos="2851" w:val="left" w:leader="none"/>
        </w:tabs>
        <w:spacing w:line="240" w:lineRule="auto" w:before="120" w:after="0"/>
        <w:ind w:left="2851" w:right="1160" w:hanging="360"/>
        <w:jc w:val="left"/>
        <w:rPr>
          <w:sz w:val="24"/>
        </w:rPr>
      </w:pPr>
      <w:bookmarkStart w:name="2. Costs and revenue reflected on the fi" w:id="474"/>
      <w:bookmarkEnd w:id="474"/>
      <w:r>
        <w:rPr/>
      </w:r>
      <w:r>
        <w:rPr>
          <w:sz w:val="24"/>
        </w:rPr>
        <w:t>Costs</w:t>
      </w:r>
      <w:r>
        <w:rPr>
          <w:spacing w:val="-4"/>
          <w:sz w:val="24"/>
        </w:rPr>
        <w:t> </w:t>
      </w:r>
      <w:r>
        <w:rPr>
          <w:sz w:val="24"/>
        </w:rPr>
        <w:t>and</w:t>
      </w:r>
      <w:r>
        <w:rPr>
          <w:spacing w:val="-4"/>
          <w:sz w:val="24"/>
        </w:rPr>
        <w:t> </w:t>
      </w:r>
      <w:r>
        <w:rPr>
          <w:sz w:val="24"/>
        </w:rPr>
        <w:t>revenue</w:t>
      </w:r>
      <w:r>
        <w:rPr>
          <w:spacing w:val="-3"/>
          <w:sz w:val="24"/>
        </w:rPr>
        <w:t> </w:t>
      </w:r>
      <w:r>
        <w:rPr>
          <w:sz w:val="24"/>
        </w:rPr>
        <w:t>reflected</w:t>
      </w:r>
      <w:r>
        <w:rPr>
          <w:spacing w:val="-4"/>
          <w:sz w:val="24"/>
        </w:rPr>
        <w:t> </w:t>
      </w:r>
      <w:r>
        <w:rPr>
          <w:sz w:val="24"/>
        </w:rPr>
        <w:t>on</w:t>
      </w:r>
      <w:r>
        <w:rPr>
          <w:spacing w:val="-4"/>
          <w:sz w:val="24"/>
        </w:rPr>
        <w:t> </w:t>
      </w:r>
      <w:r>
        <w:rPr>
          <w:sz w:val="24"/>
        </w:rPr>
        <w:t>the</w:t>
      </w:r>
      <w:r>
        <w:rPr>
          <w:spacing w:val="-5"/>
          <w:sz w:val="24"/>
        </w:rPr>
        <w:t> </w:t>
      </w:r>
      <w:r>
        <w:rPr>
          <w:sz w:val="24"/>
        </w:rPr>
        <w:t>filed</w:t>
      </w:r>
      <w:r>
        <w:rPr>
          <w:spacing w:val="-4"/>
          <w:sz w:val="24"/>
        </w:rPr>
        <w:t> </w:t>
      </w:r>
      <w:r>
        <w:rPr>
          <w:sz w:val="24"/>
        </w:rPr>
        <w:t>cost</w:t>
      </w:r>
      <w:r>
        <w:rPr>
          <w:spacing w:val="-4"/>
          <w:sz w:val="24"/>
        </w:rPr>
        <w:t> </w:t>
      </w:r>
      <w:r>
        <w:rPr>
          <w:sz w:val="24"/>
        </w:rPr>
        <w:t>report,</w:t>
      </w:r>
      <w:r>
        <w:rPr>
          <w:spacing w:val="-4"/>
          <w:sz w:val="24"/>
        </w:rPr>
        <w:t> </w:t>
      </w:r>
      <w:r>
        <w:rPr>
          <w:sz w:val="24"/>
        </w:rPr>
        <w:t>but</w:t>
      </w:r>
      <w:r>
        <w:rPr>
          <w:spacing w:val="-4"/>
          <w:sz w:val="24"/>
        </w:rPr>
        <w:t> </w:t>
      </w:r>
      <w:r>
        <w:rPr>
          <w:sz w:val="24"/>
        </w:rPr>
        <w:t>which</w:t>
      </w:r>
      <w:r>
        <w:rPr>
          <w:spacing w:val="-4"/>
          <w:sz w:val="24"/>
        </w:rPr>
        <w:t> </w:t>
      </w:r>
      <w:r>
        <w:rPr>
          <w:sz w:val="24"/>
        </w:rPr>
        <w:t>would not be incurred for the program year, be excluded when calculating payment amounts.</w:t>
      </w:r>
    </w:p>
    <w:p>
      <w:pPr>
        <w:pStyle w:val="ListParagraph"/>
        <w:numPr>
          <w:ilvl w:val="0"/>
          <w:numId w:val="30"/>
        </w:numPr>
        <w:tabs>
          <w:tab w:pos="2851" w:val="left" w:leader="none"/>
        </w:tabs>
        <w:spacing w:line="240" w:lineRule="auto" w:before="120" w:after="0"/>
        <w:ind w:left="2851" w:right="1054" w:hanging="360"/>
        <w:jc w:val="left"/>
        <w:rPr>
          <w:sz w:val="24"/>
        </w:rPr>
      </w:pPr>
      <w:bookmarkStart w:name="3. Adjustments described in subparagraph" w:id="475"/>
      <w:bookmarkEnd w:id="475"/>
      <w:r>
        <w:rPr/>
      </w:r>
      <w:r>
        <w:rPr>
          <w:sz w:val="24"/>
        </w:rPr>
        <w:t>Adjustments described in subparagraphs (1) and (2) above cannot be considered as part of the reconciliation of a prior year payment. Such costs</w:t>
      </w:r>
      <w:r>
        <w:rPr>
          <w:spacing w:val="-3"/>
          <w:sz w:val="24"/>
        </w:rPr>
        <w:t> </w:t>
      </w:r>
      <w:r>
        <w:rPr>
          <w:sz w:val="24"/>
        </w:rPr>
        <w:t>must</w:t>
      </w:r>
      <w:r>
        <w:rPr>
          <w:spacing w:val="-3"/>
          <w:sz w:val="24"/>
        </w:rPr>
        <w:t> </w:t>
      </w:r>
      <w:r>
        <w:rPr>
          <w:sz w:val="24"/>
        </w:rPr>
        <w:t>be</w:t>
      </w:r>
      <w:r>
        <w:rPr>
          <w:spacing w:val="-4"/>
          <w:sz w:val="24"/>
        </w:rPr>
        <w:t> </w:t>
      </w:r>
      <w:r>
        <w:rPr>
          <w:sz w:val="24"/>
        </w:rPr>
        <w:t>properly</w:t>
      </w:r>
      <w:r>
        <w:rPr>
          <w:spacing w:val="-8"/>
          <w:sz w:val="24"/>
        </w:rPr>
        <w:t> </w:t>
      </w:r>
      <w:r>
        <w:rPr>
          <w:sz w:val="24"/>
        </w:rPr>
        <w:t>documented</w:t>
      </w:r>
      <w:r>
        <w:rPr>
          <w:spacing w:val="-3"/>
          <w:sz w:val="24"/>
        </w:rPr>
        <w:t> </w:t>
      </w:r>
      <w:r>
        <w:rPr>
          <w:sz w:val="24"/>
        </w:rPr>
        <w:t>by</w:t>
      </w:r>
      <w:r>
        <w:rPr>
          <w:spacing w:val="-8"/>
          <w:sz w:val="24"/>
        </w:rPr>
        <w:t> </w:t>
      </w:r>
      <w:r>
        <w:rPr>
          <w:sz w:val="24"/>
        </w:rPr>
        <w:t>the</w:t>
      </w:r>
      <w:r>
        <w:rPr>
          <w:spacing w:val="-4"/>
          <w:sz w:val="24"/>
        </w:rPr>
        <w:t> </w:t>
      </w:r>
      <w:r>
        <w:rPr>
          <w:sz w:val="24"/>
        </w:rPr>
        <w:t>provider,</w:t>
      </w:r>
      <w:r>
        <w:rPr>
          <w:spacing w:val="-3"/>
          <w:sz w:val="24"/>
        </w:rPr>
        <w:t> </w:t>
      </w:r>
      <w:r>
        <w:rPr>
          <w:sz w:val="24"/>
        </w:rPr>
        <w:t>and</w:t>
      </w:r>
      <w:r>
        <w:rPr>
          <w:spacing w:val="-3"/>
          <w:sz w:val="24"/>
        </w:rPr>
        <w:t> </w:t>
      </w:r>
      <w:r>
        <w:rPr>
          <w:sz w:val="24"/>
        </w:rPr>
        <w:t>are</w:t>
      </w:r>
      <w:r>
        <w:rPr>
          <w:spacing w:val="-4"/>
          <w:sz w:val="24"/>
        </w:rPr>
        <w:t> </w:t>
      </w:r>
      <w:r>
        <w:rPr>
          <w:sz w:val="24"/>
        </w:rPr>
        <w:t>subject</w:t>
      </w:r>
      <w:r>
        <w:rPr>
          <w:spacing w:val="-3"/>
          <w:sz w:val="24"/>
        </w:rPr>
        <w:t> </w:t>
      </w:r>
      <w:r>
        <w:rPr>
          <w:sz w:val="24"/>
        </w:rPr>
        <w:t>to review by the State. Such costs are subject to reconciliation to ensure that providers actually incurred such eligible uncompensated costs.</w:t>
      </w:r>
    </w:p>
    <w:p>
      <w:pPr>
        <w:pStyle w:val="BodyText"/>
        <w:spacing w:before="161"/>
        <w:ind w:left="2040" w:right="1059"/>
      </w:pPr>
      <w:r>
        <w:rPr/>
        <w:drawing>
          <wp:anchor distT="0" distB="0" distL="0" distR="0" allowOverlap="1" layoutInCell="1" locked="0" behindDoc="0" simplePos="0" relativeHeight="15877120">
            <wp:simplePos x="0" y="0"/>
            <wp:positionH relativeFrom="page">
              <wp:posOffset>1778507</wp:posOffset>
            </wp:positionH>
            <wp:positionV relativeFrom="paragraph">
              <wp:posOffset>134786</wp:posOffset>
            </wp:positionV>
            <wp:extent cx="158495" cy="115823"/>
            <wp:effectExtent l="0" t="0" r="0" b="0"/>
            <wp:wrapNone/>
            <wp:docPr id="301" name="Image 301"/>
            <wp:cNvGraphicFramePr>
              <a:graphicFrameLocks/>
            </wp:cNvGraphicFramePr>
            <a:graphic>
              <a:graphicData uri="http://schemas.openxmlformats.org/drawingml/2006/picture">
                <pic:pic>
                  <pic:nvPicPr>
                    <pic:cNvPr id="301" name="Image 301"/>
                    <pic:cNvPicPr/>
                  </pic:nvPicPr>
                  <pic:blipFill>
                    <a:blip r:embed="rId65" cstate="print"/>
                    <a:stretch>
                      <a:fillRect/>
                    </a:stretch>
                  </pic:blipFill>
                  <pic:spPr>
                    <a:xfrm>
                      <a:off x="0" y="0"/>
                      <a:ext cx="158495" cy="115823"/>
                    </a:xfrm>
                    <a:prstGeom prst="rect">
                      <a:avLst/>
                    </a:prstGeom>
                  </pic:spPr>
                </pic:pic>
              </a:graphicData>
            </a:graphic>
          </wp:anchor>
        </w:drawing>
      </w:r>
      <w:bookmarkStart w:name="iii. All applicable inpatient and outpat" w:id="476"/>
      <w:bookmarkEnd w:id="476"/>
      <w:r>
        <w:rPr/>
      </w:r>
      <w:r>
        <w:rPr/>
        <w:t>All applicable inpatient and outpatient hospital UC payments received by a hospital provider count as title XIX revenue, and must be included as offsetting revenue. Hospitals receiving both Safety Net Care Pool and UC Payments cannot receive total payments under the Safety Net Care Pool and the</w:t>
      </w:r>
      <w:r>
        <w:rPr>
          <w:spacing w:val="-4"/>
        </w:rPr>
        <w:t> </w:t>
      </w:r>
      <w:r>
        <w:rPr/>
        <w:t>UC</w:t>
      </w:r>
      <w:r>
        <w:rPr>
          <w:spacing w:val="-3"/>
        </w:rPr>
        <w:t> </w:t>
      </w:r>
      <w:r>
        <w:rPr/>
        <w:t>Pool</w:t>
      </w:r>
      <w:r>
        <w:rPr>
          <w:spacing w:val="-3"/>
        </w:rPr>
        <w:t> </w:t>
      </w:r>
      <w:r>
        <w:rPr/>
        <w:t>(related</w:t>
      </w:r>
      <w:r>
        <w:rPr>
          <w:spacing w:val="-3"/>
        </w:rPr>
        <w:t> </w:t>
      </w:r>
      <w:r>
        <w:rPr/>
        <w:t>to</w:t>
      </w:r>
      <w:r>
        <w:rPr>
          <w:spacing w:val="-3"/>
        </w:rPr>
        <w:t> </w:t>
      </w:r>
      <w:r>
        <w:rPr/>
        <w:t>inpatient</w:t>
      </w:r>
      <w:r>
        <w:rPr>
          <w:spacing w:val="-3"/>
        </w:rPr>
        <w:t> </w:t>
      </w:r>
      <w:r>
        <w:rPr/>
        <w:t>and</w:t>
      </w:r>
      <w:r>
        <w:rPr>
          <w:spacing w:val="-3"/>
        </w:rPr>
        <w:t> </w:t>
      </w:r>
      <w:r>
        <w:rPr/>
        <w:t>outpatient</w:t>
      </w:r>
      <w:r>
        <w:rPr>
          <w:spacing w:val="-3"/>
        </w:rPr>
        <w:t> </w:t>
      </w:r>
      <w:r>
        <w:rPr/>
        <w:t>hospital</w:t>
      </w:r>
      <w:r>
        <w:rPr>
          <w:spacing w:val="-3"/>
        </w:rPr>
        <w:t> </w:t>
      </w:r>
      <w:r>
        <w:rPr/>
        <w:t>services)</w:t>
      </w:r>
      <w:r>
        <w:rPr>
          <w:spacing w:val="-4"/>
        </w:rPr>
        <w:t> </w:t>
      </w:r>
      <w:r>
        <w:rPr/>
        <w:t>that</w:t>
      </w:r>
      <w:r>
        <w:rPr>
          <w:spacing w:val="-3"/>
        </w:rPr>
        <w:t> </w:t>
      </w:r>
      <w:r>
        <w:rPr/>
        <w:t>exceed the hospital’s total eligible uncompensated costs for those services.</w:t>
      </w:r>
      <w:r>
        <w:rPr>
          <w:spacing w:val="40"/>
        </w:rPr>
        <w:t> </w:t>
      </w:r>
      <w:r>
        <w:rPr/>
        <w:t>UC Payments for physicians, non-physician professionals, pharmacy, and clinic costs are not considered inpatient or outpatient Medicaid payments. All reimbursements</w:t>
      </w:r>
      <w:r>
        <w:rPr>
          <w:spacing w:val="-4"/>
        </w:rPr>
        <w:t> </w:t>
      </w:r>
      <w:r>
        <w:rPr/>
        <w:t>must</w:t>
      </w:r>
      <w:r>
        <w:rPr>
          <w:spacing w:val="-4"/>
        </w:rPr>
        <w:t> </w:t>
      </w:r>
      <w:r>
        <w:rPr/>
        <w:t>be</w:t>
      </w:r>
      <w:r>
        <w:rPr>
          <w:spacing w:val="-3"/>
        </w:rPr>
        <w:t> </w:t>
      </w:r>
      <w:r>
        <w:rPr/>
        <w:t>made</w:t>
      </w:r>
      <w:r>
        <w:rPr>
          <w:spacing w:val="-5"/>
        </w:rPr>
        <w:t> </w:t>
      </w:r>
      <w:r>
        <w:rPr/>
        <w:t>in</w:t>
      </w:r>
      <w:r>
        <w:rPr>
          <w:spacing w:val="-4"/>
        </w:rPr>
        <w:t> </w:t>
      </w:r>
      <w:r>
        <w:rPr/>
        <w:t>accordance</w:t>
      </w:r>
      <w:r>
        <w:rPr>
          <w:spacing w:val="-5"/>
        </w:rPr>
        <w:t> </w:t>
      </w:r>
      <w:r>
        <w:rPr/>
        <w:t>with</w:t>
      </w:r>
      <w:r>
        <w:rPr>
          <w:spacing w:val="-2"/>
        </w:rPr>
        <w:t> </w:t>
      </w:r>
      <w:r>
        <w:rPr/>
        <w:t>CMS</w:t>
      </w:r>
      <w:r>
        <w:rPr>
          <w:spacing w:val="-4"/>
        </w:rPr>
        <w:t> </w:t>
      </w:r>
      <w:r>
        <w:rPr/>
        <w:t>approved</w:t>
      </w:r>
      <w:r>
        <w:rPr>
          <w:spacing w:val="-4"/>
        </w:rPr>
        <w:t> </w:t>
      </w:r>
      <w:r>
        <w:rPr/>
        <w:t>Cost-Limit </w:t>
      </w:r>
      <w:r>
        <w:rPr>
          <w:spacing w:val="-2"/>
        </w:rPr>
        <w:t>Protocol.</w:t>
      </w:r>
    </w:p>
    <w:p>
      <w:pPr>
        <w:spacing w:after="0"/>
        <w:sectPr>
          <w:pgSz w:w="12240" w:h="15840"/>
          <w:pgMar w:header="0" w:footer="1201" w:top="1360" w:bottom="1400" w:left="1200" w:right="400"/>
        </w:sectPr>
      </w:pPr>
    </w:p>
    <w:p>
      <w:pPr>
        <w:pStyle w:val="BodyText"/>
        <w:spacing w:before="79"/>
        <w:ind w:left="1411" w:right="1057"/>
      </w:pPr>
      <w:r>
        <w:rPr/>
        <w:drawing>
          <wp:anchor distT="0" distB="0" distL="0" distR="0" allowOverlap="1" layoutInCell="1" locked="0" behindDoc="0" simplePos="0" relativeHeight="15877632">
            <wp:simplePos x="0" y="0"/>
            <wp:positionH relativeFrom="page">
              <wp:posOffset>1424939</wp:posOffset>
            </wp:positionH>
            <wp:positionV relativeFrom="paragraph">
              <wp:posOffset>82717</wp:posOffset>
            </wp:positionV>
            <wp:extent cx="111251" cy="115823"/>
            <wp:effectExtent l="0" t="0" r="0" b="0"/>
            <wp:wrapNone/>
            <wp:docPr id="302" name="Image 302"/>
            <wp:cNvGraphicFramePr>
              <a:graphicFrameLocks/>
            </wp:cNvGraphicFramePr>
            <a:graphic>
              <a:graphicData uri="http://schemas.openxmlformats.org/drawingml/2006/picture">
                <pic:pic>
                  <pic:nvPicPr>
                    <pic:cNvPr id="302" name="Image 302"/>
                    <pic:cNvPicPr/>
                  </pic:nvPicPr>
                  <pic:blipFill>
                    <a:blip r:embed="rId34" cstate="print"/>
                    <a:stretch>
                      <a:fillRect/>
                    </a:stretch>
                  </pic:blipFill>
                  <pic:spPr>
                    <a:xfrm>
                      <a:off x="0" y="0"/>
                      <a:ext cx="111251" cy="115823"/>
                    </a:xfrm>
                    <a:prstGeom prst="rect">
                      <a:avLst/>
                    </a:prstGeom>
                  </pic:spPr>
                </pic:pic>
              </a:graphicData>
            </a:graphic>
          </wp:anchor>
        </w:drawing>
      </w:r>
      <w:bookmarkStart w:name="b. UC Payment Protocol.  The UC Payment " w:id="477"/>
      <w:bookmarkEnd w:id="477"/>
      <w:r>
        <w:rPr/>
      </w:r>
      <w:r>
        <w:rPr>
          <w:b/>
        </w:rPr>
        <w:t>UC Payment Protocol.</w:t>
      </w:r>
      <w:r>
        <w:rPr>
          <w:b/>
          <w:spacing w:val="40"/>
        </w:rPr>
        <w:t> </w:t>
      </w:r>
      <w:r>
        <w:rPr/>
        <w:t>The UC Payment Protocol establishes rules and guidelines for the State to claim FFP for UC Payments. The UC Payment Protocol will be appended into these STCs as Attachment I, which will be approved subsequent to this extension award.</w:t>
      </w:r>
      <w:r>
        <w:rPr>
          <w:spacing w:val="40"/>
        </w:rPr>
        <w:t> </w:t>
      </w:r>
      <w:r>
        <w:rPr/>
        <w:t>Prior to claiming FFP for the UC pool, the state must submit for</w:t>
      </w:r>
      <w:r>
        <w:rPr>
          <w:spacing w:val="-4"/>
        </w:rPr>
        <w:t> </w:t>
      </w:r>
      <w:r>
        <w:rPr/>
        <w:t>CMS</w:t>
      </w:r>
      <w:r>
        <w:rPr>
          <w:spacing w:val="-3"/>
        </w:rPr>
        <w:t> </w:t>
      </w:r>
      <w:r>
        <w:rPr/>
        <w:t>approval</w:t>
      </w:r>
      <w:r>
        <w:rPr>
          <w:spacing w:val="-3"/>
        </w:rPr>
        <w:t> </w:t>
      </w:r>
      <w:r>
        <w:rPr/>
        <w:t>a</w:t>
      </w:r>
      <w:r>
        <w:rPr>
          <w:spacing w:val="-4"/>
        </w:rPr>
        <w:t> </w:t>
      </w:r>
      <w:r>
        <w:rPr/>
        <w:t>funding</w:t>
      </w:r>
      <w:r>
        <w:rPr>
          <w:spacing w:val="-6"/>
        </w:rPr>
        <w:t> </w:t>
      </w:r>
      <w:r>
        <w:rPr/>
        <w:t>and</w:t>
      </w:r>
      <w:r>
        <w:rPr>
          <w:spacing w:val="-3"/>
        </w:rPr>
        <w:t> </w:t>
      </w:r>
      <w:r>
        <w:rPr/>
        <w:t>reimbursement</w:t>
      </w:r>
      <w:r>
        <w:rPr>
          <w:spacing w:val="-3"/>
        </w:rPr>
        <w:t> </w:t>
      </w:r>
      <w:r>
        <w:rPr/>
        <w:t>protocol</w:t>
      </w:r>
      <w:r>
        <w:rPr>
          <w:spacing w:val="-3"/>
        </w:rPr>
        <w:t> </w:t>
      </w:r>
      <w:r>
        <w:rPr/>
        <w:t>that</w:t>
      </w:r>
      <w:r>
        <w:rPr>
          <w:spacing w:val="-3"/>
        </w:rPr>
        <w:t> </w:t>
      </w:r>
      <w:r>
        <w:rPr/>
        <w:t>will</w:t>
      </w:r>
      <w:r>
        <w:rPr>
          <w:spacing w:val="-3"/>
        </w:rPr>
        <w:t> </w:t>
      </w:r>
      <w:r>
        <w:rPr/>
        <w:t>establish</w:t>
      </w:r>
      <w:r>
        <w:rPr>
          <w:spacing w:val="-3"/>
        </w:rPr>
        <w:t> </w:t>
      </w:r>
      <w:r>
        <w:rPr/>
        <w:t>rules</w:t>
      </w:r>
      <w:r>
        <w:rPr>
          <w:spacing w:val="-3"/>
        </w:rPr>
        <w:t> </w:t>
      </w:r>
      <w:r>
        <w:rPr/>
        <w:t>and guidelines for the State to claim FFP for UC Payments.</w:t>
      </w:r>
      <w:r>
        <w:rPr>
          <w:spacing w:val="40"/>
        </w:rPr>
        <w:t> </w:t>
      </w:r>
      <w:r>
        <w:rPr/>
        <w:t>The state cannot claim FFP for any UC Payments until the UC Protocol is approved by CMS. The UC Payment Protocol must include precise definitions of eligible uncompensated provider</w:t>
      </w:r>
      <w:r>
        <w:rPr>
          <w:spacing w:val="-1"/>
        </w:rPr>
        <w:t> </w:t>
      </w:r>
      <w:r>
        <w:rPr/>
        <w:t>charity care costs (consistent with the Medicare cost reporting principles and revenues that must be included in the calculation of uncompensated charity care cost for the purpose of reconciling UC payments to unreimbursed charity care cost).</w:t>
      </w:r>
      <w:r>
        <w:rPr>
          <w:spacing w:val="40"/>
        </w:rPr>
        <w:t> </w:t>
      </w:r>
      <w:r>
        <w:rPr/>
        <w:t>The Protocol will also identify the allowable source documents to support costs; it will include detailed instructions regarding the calculation and documentation of eligible costs, the tool used by the State and providers to apply for UC Payments, and a timetable and reconciliation of payments against actual charity care cost documentation. This process will align the application process to the reconciliation process, as further described in Attachment I. The Protocol will contain not only allowable costs and revenues, it will also indicate the twelve (12) month period for which the costs will apply.</w:t>
      </w:r>
    </w:p>
    <w:p>
      <w:pPr>
        <w:pStyle w:val="BodyText"/>
        <w:spacing w:before="10"/>
        <w:rPr>
          <w:sz w:val="20"/>
        </w:rPr>
      </w:pPr>
    </w:p>
    <w:p>
      <w:pPr>
        <w:pStyle w:val="BodyText"/>
        <w:ind w:left="1411" w:right="1095"/>
      </w:pPr>
      <w:r>
        <w:rPr/>
        <w:drawing>
          <wp:anchor distT="0" distB="0" distL="0" distR="0" allowOverlap="1" layoutInCell="1" locked="0" behindDoc="0" simplePos="0" relativeHeight="15878144">
            <wp:simplePos x="0" y="0"/>
            <wp:positionH relativeFrom="page">
              <wp:posOffset>1431036</wp:posOffset>
            </wp:positionH>
            <wp:positionV relativeFrom="paragraph">
              <wp:posOffset>67603</wp:posOffset>
            </wp:positionV>
            <wp:extent cx="96011" cy="80771"/>
            <wp:effectExtent l="0" t="0" r="0" b="0"/>
            <wp:wrapNone/>
            <wp:docPr id="303" name="Image 303"/>
            <wp:cNvGraphicFramePr>
              <a:graphicFrameLocks/>
            </wp:cNvGraphicFramePr>
            <a:graphic>
              <a:graphicData uri="http://schemas.openxmlformats.org/drawingml/2006/picture">
                <pic:pic>
                  <pic:nvPicPr>
                    <pic:cNvPr id="303" name="Image 303"/>
                    <pic:cNvPicPr/>
                  </pic:nvPicPr>
                  <pic:blipFill>
                    <a:blip r:embed="rId35" cstate="print"/>
                    <a:stretch>
                      <a:fillRect/>
                    </a:stretch>
                  </pic:blipFill>
                  <pic:spPr>
                    <a:xfrm>
                      <a:off x="0" y="0"/>
                      <a:ext cx="96011" cy="80771"/>
                    </a:xfrm>
                    <a:prstGeom prst="rect">
                      <a:avLst/>
                    </a:prstGeom>
                  </pic:spPr>
                </pic:pic>
              </a:graphicData>
            </a:graphic>
          </wp:anchor>
        </w:drawing>
      </w:r>
      <w:bookmarkStart w:name="c. UC Payment Treatment.  UC Payments ar" w:id="478"/>
      <w:bookmarkEnd w:id="478"/>
      <w:r>
        <w:rPr/>
      </w:r>
      <w:r>
        <w:rPr>
          <w:b/>
        </w:rPr>
        <w:t>UC</w:t>
      </w:r>
      <w:r>
        <w:rPr>
          <w:b/>
          <w:spacing w:val="-3"/>
        </w:rPr>
        <w:t> </w:t>
      </w:r>
      <w:r>
        <w:rPr>
          <w:b/>
        </w:rPr>
        <w:t>Payment</w:t>
      </w:r>
      <w:r>
        <w:rPr>
          <w:b/>
          <w:spacing w:val="-5"/>
        </w:rPr>
        <w:t> </w:t>
      </w:r>
      <w:r>
        <w:rPr>
          <w:b/>
        </w:rPr>
        <w:t>Treatment.</w:t>
      </w:r>
      <w:r>
        <w:rPr>
          <w:b/>
          <w:spacing w:val="40"/>
        </w:rPr>
        <w:t> </w:t>
      </w:r>
      <w:r>
        <w:rPr/>
        <w:t>UC</w:t>
      </w:r>
      <w:r>
        <w:rPr>
          <w:spacing w:val="-4"/>
        </w:rPr>
        <w:t> </w:t>
      </w:r>
      <w:r>
        <w:rPr/>
        <w:t>Payments</w:t>
      </w:r>
      <w:r>
        <w:rPr>
          <w:spacing w:val="-2"/>
        </w:rPr>
        <w:t> </w:t>
      </w:r>
      <w:r>
        <w:rPr/>
        <w:t>are</w:t>
      </w:r>
      <w:r>
        <w:rPr>
          <w:spacing w:val="-3"/>
        </w:rPr>
        <w:t> </w:t>
      </w:r>
      <w:r>
        <w:rPr/>
        <w:t>considered</w:t>
      </w:r>
      <w:r>
        <w:rPr>
          <w:spacing w:val="-4"/>
        </w:rPr>
        <w:t> </w:t>
      </w:r>
      <w:r>
        <w:rPr/>
        <w:t>to</w:t>
      </w:r>
      <w:r>
        <w:rPr>
          <w:spacing w:val="-4"/>
        </w:rPr>
        <w:t> </w:t>
      </w:r>
      <w:r>
        <w:rPr/>
        <w:t>be</w:t>
      </w:r>
      <w:r>
        <w:rPr>
          <w:spacing w:val="-5"/>
        </w:rPr>
        <w:t> </w:t>
      </w:r>
      <w:r>
        <w:rPr/>
        <w:t>Medicaid</w:t>
      </w:r>
      <w:r>
        <w:rPr>
          <w:spacing w:val="-4"/>
        </w:rPr>
        <w:t> </w:t>
      </w:r>
      <w:r>
        <w:rPr/>
        <w:t>payments</w:t>
      </w:r>
      <w:r>
        <w:rPr>
          <w:spacing w:val="-4"/>
        </w:rPr>
        <w:t> </w:t>
      </w:r>
      <w:r>
        <w:rPr/>
        <w:t>to providers and must be treated as Medicaid revenue when determining</w:t>
      </w:r>
      <w:r>
        <w:rPr>
          <w:spacing w:val="-1"/>
        </w:rPr>
        <w:t> </w:t>
      </w:r>
      <w:r>
        <w:rPr/>
        <w:t>total title XIX funding received, in particular for any provider utilizing certified public</w:t>
      </w:r>
      <w:r>
        <w:rPr>
          <w:spacing w:val="40"/>
        </w:rPr>
        <w:t> </w:t>
      </w:r>
      <w:r>
        <w:rPr/>
        <w:t>expenditures as the non-Federal share of a Medicaid payment.</w:t>
      </w:r>
    </w:p>
    <w:p>
      <w:pPr>
        <w:pStyle w:val="BodyText"/>
        <w:spacing w:before="10"/>
        <w:rPr>
          <w:sz w:val="20"/>
        </w:rPr>
      </w:pPr>
    </w:p>
    <w:p>
      <w:pPr>
        <w:spacing w:before="0"/>
        <w:ind w:left="1411" w:right="1059" w:firstLine="0"/>
        <w:jc w:val="left"/>
        <w:rPr>
          <w:sz w:val="24"/>
        </w:rPr>
      </w:pPr>
      <w:r>
        <w:rPr/>
        <w:drawing>
          <wp:anchor distT="0" distB="0" distL="0" distR="0" allowOverlap="1" layoutInCell="1" locked="0" behindDoc="0" simplePos="0" relativeHeight="15878656">
            <wp:simplePos x="0" y="0"/>
            <wp:positionH relativeFrom="page">
              <wp:posOffset>1431036</wp:posOffset>
            </wp:positionH>
            <wp:positionV relativeFrom="paragraph">
              <wp:posOffset>32551</wp:posOffset>
            </wp:positionV>
            <wp:extent cx="105155" cy="115823"/>
            <wp:effectExtent l="0" t="0" r="0" b="0"/>
            <wp:wrapNone/>
            <wp:docPr id="304" name="Image 304"/>
            <wp:cNvGraphicFramePr>
              <a:graphicFrameLocks/>
            </wp:cNvGraphicFramePr>
            <a:graphic>
              <a:graphicData uri="http://schemas.openxmlformats.org/drawingml/2006/picture">
                <pic:pic>
                  <pic:nvPicPr>
                    <pic:cNvPr id="304" name="Image 304"/>
                    <pic:cNvPicPr/>
                  </pic:nvPicPr>
                  <pic:blipFill>
                    <a:blip r:embed="rId86" cstate="print"/>
                    <a:stretch>
                      <a:fillRect/>
                    </a:stretch>
                  </pic:blipFill>
                  <pic:spPr>
                    <a:xfrm>
                      <a:off x="0" y="0"/>
                      <a:ext cx="105155" cy="115823"/>
                    </a:xfrm>
                    <a:prstGeom prst="rect">
                      <a:avLst/>
                    </a:prstGeom>
                  </pic:spPr>
                </pic:pic>
              </a:graphicData>
            </a:graphic>
          </wp:anchor>
        </w:drawing>
      </w:r>
      <w:bookmarkStart w:name="d. Reporting Requirements for UC Payment" w:id="479"/>
      <w:bookmarkEnd w:id="479"/>
      <w:r>
        <w:rPr/>
      </w:r>
      <w:r>
        <w:rPr>
          <w:b/>
          <w:sz w:val="24"/>
        </w:rPr>
        <w:t>Reporting</w:t>
      </w:r>
      <w:r>
        <w:rPr>
          <w:b/>
          <w:spacing w:val="-4"/>
          <w:sz w:val="24"/>
        </w:rPr>
        <w:t> </w:t>
      </w:r>
      <w:r>
        <w:rPr>
          <w:b/>
          <w:sz w:val="24"/>
        </w:rPr>
        <w:t>Requirements</w:t>
      </w:r>
      <w:r>
        <w:rPr>
          <w:b/>
          <w:spacing w:val="-4"/>
          <w:sz w:val="24"/>
        </w:rPr>
        <w:t> </w:t>
      </w:r>
      <w:r>
        <w:rPr>
          <w:b/>
          <w:sz w:val="24"/>
        </w:rPr>
        <w:t>for</w:t>
      </w:r>
      <w:r>
        <w:rPr>
          <w:b/>
          <w:spacing w:val="-4"/>
          <w:sz w:val="24"/>
        </w:rPr>
        <w:t> </w:t>
      </w:r>
      <w:r>
        <w:rPr>
          <w:b/>
          <w:sz w:val="24"/>
        </w:rPr>
        <w:t>UC</w:t>
      </w:r>
      <w:r>
        <w:rPr>
          <w:b/>
          <w:spacing w:val="-5"/>
          <w:sz w:val="24"/>
        </w:rPr>
        <w:t> </w:t>
      </w:r>
      <w:r>
        <w:rPr>
          <w:b/>
          <w:sz w:val="24"/>
        </w:rPr>
        <w:t>Payments</w:t>
      </w:r>
      <w:r>
        <w:rPr>
          <w:sz w:val="24"/>
        </w:rPr>
        <w:t>.</w:t>
      </w:r>
      <w:r>
        <w:rPr>
          <w:spacing w:val="-4"/>
          <w:sz w:val="24"/>
        </w:rPr>
        <w:t> </w:t>
      </w:r>
      <w:r>
        <w:rPr>
          <w:sz w:val="24"/>
        </w:rPr>
        <w:t>The</w:t>
      </w:r>
      <w:r>
        <w:rPr>
          <w:spacing w:val="-3"/>
          <w:sz w:val="24"/>
        </w:rPr>
        <w:t> </w:t>
      </w:r>
      <w:r>
        <w:rPr>
          <w:sz w:val="24"/>
        </w:rPr>
        <w:t>state</w:t>
      </w:r>
      <w:r>
        <w:rPr>
          <w:spacing w:val="-4"/>
          <w:sz w:val="24"/>
        </w:rPr>
        <w:t> </w:t>
      </w:r>
      <w:r>
        <w:rPr>
          <w:sz w:val="24"/>
        </w:rPr>
        <w:t>will</w:t>
      </w:r>
      <w:r>
        <w:rPr>
          <w:spacing w:val="-4"/>
          <w:sz w:val="24"/>
        </w:rPr>
        <w:t> </w:t>
      </w:r>
      <w:r>
        <w:rPr>
          <w:sz w:val="24"/>
        </w:rPr>
        <w:t>submit</w:t>
      </w:r>
      <w:r>
        <w:rPr>
          <w:spacing w:val="-4"/>
          <w:sz w:val="24"/>
        </w:rPr>
        <w:t> </w:t>
      </w:r>
      <w:r>
        <w:rPr>
          <w:sz w:val="24"/>
        </w:rPr>
        <w:t>to</w:t>
      </w:r>
      <w:r>
        <w:rPr>
          <w:spacing w:val="-4"/>
          <w:sz w:val="24"/>
        </w:rPr>
        <w:t> </w:t>
      </w:r>
      <w:r>
        <w:rPr>
          <w:sz w:val="24"/>
        </w:rPr>
        <w:t>CMS,</w:t>
      </w:r>
      <w:r>
        <w:rPr>
          <w:spacing w:val="-4"/>
          <w:sz w:val="24"/>
        </w:rPr>
        <w:t> </w:t>
      </w:r>
      <w:r>
        <w:rPr>
          <w:sz w:val="24"/>
        </w:rPr>
        <w:t>within ninety (90) days after the end of each Demonstration year:</w:t>
      </w:r>
    </w:p>
    <w:p>
      <w:pPr>
        <w:pStyle w:val="BodyText"/>
        <w:spacing w:before="10"/>
        <w:rPr>
          <w:sz w:val="20"/>
        </w:rPr>
      </w:pPr>
    </w:p>
    <w:p>
      <w:pPr>
        <w:pStyle w:val="ListParagraph"/>
        <w:numPr>
          <w:ilvl w:val="0"/>
          <w:numId w:val="31"/>
        </w:numPr>
        <w:tabs>
          <w:tab w:pos="2851" w:val="left" w:leader="none"/>
        </w:tabs>
        <w:spacing w:line="240" w:lineRule="auto" w:before="0" w:after="0"/>
        <w:ind w:left="2851" w:right="0" w:hanging="360"/>
        <w:jc w:val="left"/>
        <w:rPr>
          <w:sz w:val="24"/>
        </w:rPr>
      </w:pPr>
      <w:bookmarkStart w:name="1. Any UC Payment applications submitted" w:id="480"/>
      <w:bookmarkEnd w:id="480"/>
      <w:r>
        <w:rPr/>
      </w:r>
      <w:r>
        <w:rPr>
          <w:sz w:val="24"/>
        </w:rPr>
        <w:t>Any</w:t>
      </w:r>
      <w:r>
        <w:rPr>
          <w:spacing w:val="-7"/>
          <w:sz w:val="24"/>
        </w:rPr>
        <w:t> </w:t>
      </w:r>
      <w:r>
        <w:rPr>
          <w:sz w:val="24"/>
        </w:rPr>
        <w:t>UC</w:t>
      </w:r>
      <w:r>
        <w:rPr>
          <w:spacing w:val="-1"/>
          <w:sz w:val="24"/>
        </w:rPr>
        <w:t> </w:t>
      </w:r>
      <w:r>
        <w:rPr>
          <w:sz w:val="24"/>
        </w:rPr>
        <w:t>Payment applications</w:t>
      </w:r>
      <w:r>
        <w:rPr>
          <w:spacing w:val="-1"/>
          <w:sz w:val="24"/>
        </w:rPr>
        <w:t> </w:t>
      </w:r>
      <w:r>
        <w:rPr>
          <w:sz w:val="24"/>
        </w:rPr>
        <w:t>submitted</w:t>
      </w:r>
      <w:r>
        <w:rPr>
          <w:spacing w:val="-1"/>
          <w:sz w:val="24"/>
        </w:rPr>
        <w:t> </w:t>
      </w:r>
      <w:r>
        <w:rPr>
          <w:sz w:val="24"/>
        </w:rPr>
        <w:t>by</w:t>
      </w:r>
      <w:r>
        <w:rPr>
          <w:spacing w:val="-7"/>
          <w:sz w:val="24"/>
        </w:rPr>
        <w:t> </w:t>
      </w:r>
      <w:r>
        <w:rPr>
          <w:sz w:val="24"/>
        </w:rPr>
        <w:t>eligible</w:t>
      </w:r>
      <w:r>
        <w:rPr>
          <w:spacing w:val="-2"/>
          <w:sz w:val="24"/>
        </w:rPr>
        <w:t> </w:t>
      </w:r>
      <w:r>
        <w:rPr>
          <w:sz w:val="24"/>
        </w:rPr>
        <w:t>providers;</w:t>
      </w:r>
      <w:r>
        <w:rPr>
          <w:spacing w:val="-1"/>
          <w:sz w:val="24"/>
        </w:rPr>
        <w:t> </w:t>
      </w:r>
      <w:r>
        <w:rPr>
          <w:spacing w:val="-5"/>
          <w:sz w:val="24"/>
        </w:rPr>
        <w:t>and</w:t>
      </w:r>
    </w:p>
    <w:p>
      <w:pPr>
        <w:pStyle w:val="ListParagraph"/>
        <w:numPr>
          <w:ilvl w:val="0"/>
          <w:numId w:val="31"/>
        </w:numPr>
        <w:tabs>
          <w:tab w:pos="2851" w:val="left" w:leader="none"/>
        </w:tabs>
        <w:spacing w:line="240" w:lineRule="auto" w:before="121" w:after="0"/>
        <w:ind w:left="2851" w:right="0" w:hanging="360"/>
        <w:jc w:val="left"/>
        <w:rPr>
          <w:sz w:val="24"/>
        </w:rPr>
      </w:pPr>
      <w:bookmarkStart w:name="2. A chart of actual UC payments to each" w:id="481"/>
      <w:bookmarkEnd w:id="481"/>
      <w:r>
        <w:rPr/>
      </w:r>
      <w:r>
        <w:rPr>
          <w:sz w:val="24"/>
        </w:rPr>
        <w:t>A</w:t>
      </w:r>
      <w:r>
        <w:rPr>
          <w:spacing w:val="-5"/>
          <w:sz w:val="24"/>
        </w:rPr>
        <w:t> </w:t>
      </w:r>
      <w:r>
        <w:rPr>
          <w:sz w:val="24"/>
        </w:rPr>
        <w:t>chart</w:t>
      </w:r>
      <w:r>
        <w:rPr>
          <w:spacing w:val="-1"/>
          <w:sz w:val="24"/>
        </w:rPr>
        <w:t> </w:t>
      </w:r>
      <w:r>
        <w:rPr>
          <w:sz w:val="24"/>
        </w:rPr>
        <w:t>of actual</w:t>
      </w:r>
      <w:r>
        <w:rPr>
          <w:spacing w:val="-1"/>
          <w:sz w:val="24"/>
        </w:rPr>
        <w:t> </w:t>
      </w:r>
      <w:r>
        <w:rPr>
          <w:sz w:val="24"/>
        </w:rPr>
        <w:t>UC</w:t>
      </w:r>
      <w:r>
        <w:rPr>
          <w:spacing w:val="-1"/>
          <w:sz w:val="24"/>
        </w:rPr>
        <w:t> </w:t>
      </w:r>
      <w:r>
        <w:rPr>
          <w:sz w:val="24"/>
        </w:rPr>
        <w:t>payments</w:t>
      </w:r>
      <w:r>
        <w:rPr>
          <w:spacing w:val="-2"/>
          <w:sz w:val="24"/>
        </w:rPr>
        <w:t> </w:t>
      </w:r>
      <w:r>
        <w:rPr>
          <w:sz w:val="24"/>
        </w:rPr>
        <w:t>to</w:t>
      </w:r>
      <w:r>
        <w:rPr>
          <w:spacing w:val="-1"/>
          <w:sz w:val="24"/>
        </w:rPr>
        <w:t> </w:t>
      </w:r>
      <w:r>
        <w:rPr>
          <w:sz w:val="24"/>
        </w:rPr>
        <w:t>each</w:t>
      </w:r>
      <w:r>
        <w:rPr>
          <w:spacing w:val="-1"/>
          <w:sz w:val="24"/>
        </w:rPr>
        <w:t> </w:t>
      </w:r>
      <w:r>
        <w:rPr>
          <w:sz w:val="24"/>
        </w:rPr>
        <w:t>provider</w:t>
      </w:r>
      <w:r>
        <w:rPr>
          <w:spacing w:val="-2"/>
          <w:sz w:val="24"/>
        </w:rPr>
        <w:t> </w:t>
      </w:r>
      <w:r>
        <w:rPr>
          <w:sz w:val="24"/>
        </w:rPr>
        <w:t>for</w:t>
      </w:r>
      <w:r>
        <w:rPr>
          <w:spacing w:val="-2"/>
          <w:sz w:val="24"/>
        </w:rPr>
        <w:t> </w:t>
      </w:r>
      <w:r>
        <w:rPr>
          <w:sz w:val="24"/>
        </w:rPr>
        <w:t>the</w:t>
      </w:r>
      <w:r>
        <w:rPr>
          <w:spacing w:val="-2"/>
          <w:sz w:val="24"/>
        </w:rPr>
        <w:t> </w:t>
      </w:r>
      <w:r>
        <w:rPr>
          <w:sz w:val="24"/>
        </w:rPr>
        <w:t>previous</w:t>
      </w:r>
      <w:r>
        <w:rPr>
          <w:spacing w:val="-1"/>
          <w:sz w:val="24"/>
        </w:rPr>
        <w:t> </w:t>
      </w:r>
      <w:r>
        <w:rPr>
          <w:spacing w:val="-5"/>
          <w:sz w:val="24"/>
        </w:rPr>
        <w:t>DY.</w:t>
      </w:r>
    </w:p>
    <w:p>
      <w:pPr>
        <w:pStyle w:val="BodyText"/>
        <w:spacing w:before="9"/>
        <w:rPr>
          <w:sz w:val="20"/>
        </w:rPr>
      </w:pPr>
    </w:p>
    <w:p>
      <w:pPr>
        <w:pStyle w:val="Heading5"/>
        <w:spacing w:before="1"/>
        <w:ind w:left="871"/>
      </w:pPr>
      <w:r>
        <w:rPr/>
        <w:drawing>
          <wp:anchor distT="0" distB="0" distL="0" distR="0" allowOverlap="1" layoutInCell="1" locked="0" behindDoc="0" simplePos="0" relativeHeight="15879168">
            <wp:simplePos x="0" y="0"/>
            <wp:positionH relativeFrom="page">
              <wp:posOffset>908303</wp:posOffset>
            </wp:positionH>
            <wp:positionV relativeFrom="paragraph">
              <wp:posOffset>36247</wp:posOffset>
            </wp:positionV>
            <wp:extent cx="283463" cy="112763"/>
            <wp:effectExtent l="0" t="0" r="0" b="0"/>
            <wp:wrapNone/>
            <wp:docPr id="305" name="Image 305"/>
            <wp:cNvGraphicFramePr>
              <a:graphicFrameLocks/>
            </wp:cNvGraphicFramePr>
            <a:graphic>
              <a:graphicData uri="http://schemas.openxmlformats.org/drawingml/2006/picture">
                <pic:pic>
                  <pic:nvPicPr>
                    <pic:cNvPr id="305" name="Image 305"/>
                    <pic:cNvPicPr/>
                  </pic:nvPicPr>
                  <pic:blipFill>
                    <a:blip r:embed="rId151" cstate="print"/>
                    <a:stretch>
                      <a:fillRect/>
                    </a:stretch>
                  </pic:blipFill>
                  <pic:spPr>
                    <a:xfrm>
                      <a:off x="0" y="0"/>
                      <a:ext cx="283463" cy="112763"/>
                    </a:xfrm>
                    <a:prstGeom prst="rect">
                      <a:avLst/>
                    </a:prstGeom>
                  </pic:spPr>
                </pic:pic>
              </a:graphicData>
            </a:graphic>
          </wp:anchor>
        </w:drawing>
      </w:r>
      <w:bookmarkStart w:name="11.4. Expenditure Limits under the SNCP." w:id="482"/>
      <w:bookmarkEnd w:id="482"/>
      <w:r>
        <w:rPr>
          <w:b w:val="0"/>
        </w:rPr>
      </w:r>
      <w:r>
        <w:rPr/>
        <w:t>Expenditure</w:t>
      </w:r>
      <w:r>
        <w:rPr>
          <w:spacing w:val="-3"/>
        </w:rPr>
        <w:t> </w:t>
      </w:r>
      <w:r>
        <w:rPr/>
        <w:t>Limits</w:t>
      </w:r>
      <w:r>
        <w:rPr>
          <w:spacing w:val="-2"/>
        </w:rPr>
        <w:t> </w:t>
      </w:r>
      <w:r>
        <w:rPr/>
        <w:t>under</w:t>
      </w:r>
      <w:r>
        <w:rPr>
          <w:spacing w:val="-2"/>
        </w:rPr>
        <w:t> </w:t>
      </w:r>
      <w:r>
        <w:rPr/>
        <w:t>the</w:t>
      </w:r>
      <w:r>
        <w:rPr>
          <w:spacing w:val="-2"/>
        </w:rPr>
        <w:t> </w:t>
      </w:r>
      <w:r>
        <w:rPr>
          <w:spacing w:val="-4"/>
        </w:rPr>
        <w:t>SNCP.</w:t>
      </w:r>
    </w:p>
    <w:p>
      <w:pPr>
        <w:pStyle w:val="BodyText"/>
        <w:spacing w:before="9"/>
        <w:rPr>
          <w:b/>
          <w:sz w:val="20"/>
        </w:rPr>
      </w:pPr>
    </w:p>
    <w:p>
      <w:pPr>
        <w:pStyle w:val="BodyText"/>
        <w:spacing w:before="1"/>
        <w:ind w:left="1411" w:right="1059"/>
      </w:pPr>
      <w:r>
        <w:rPr/>
        <w:drawing>
          <wp:anchor distT="0" distB="0" distL="0" distR="0" allowOverlap="1" layoutInCell="1" locked="0" behindDoc="0" simplePos="0" relativeHeight="15879680">
            <wp:simplePos x="0" y="0"/>
            <wp:positionH relativeFrom="page">
              <wp:posOffset>1431036</wp:posOffset>
            </wp:positionH>
            <wp:positionV relativeFrom="paragraph">
              <wp:posOffset>68238</wp:posOffset>
            </wp:positionV>
            <wp:extent cx="96011" cy="80771"/>
            <wp:effectExtent l="0" t="0" r="0" b="0"/>
            <wp:wrapNone/>
            <wp:docPr id="306" name="Image 306"/>
            <wp:cNvGraphicFramePr>
              <a:graphicFrameLocks/>
            </wp:cNvGraphicFramePr>
            <a:graphic>
              <a:graphicData uri="http://schemas.openxmlformats.org/drawingml/2006/picture">
                <pic:pic>
                  <pic:nvPicPr>
                    <pic:cNvPr id="306" name="Image 306"/>
                    <pic:cNvPicPr/>
                  </pic:nvPicPr>
                  <pic:blipFill>
                    <a:blip r:embed="rId40" cstate="print"/>
                    <a:stretch>
                      <a:fillRect/>
                    </a:stretch>
                  </pic:blipFill>
                  <pic:spPr>
                    <a:xfrm>
                      <a:off x="0" y="0"/>
                      <a:ext cx="96011" cy="80771"/>
                    </a:xfrm>
                    <a:prstGeom prst="rect">
                      <a:avLst/>
                    </a:prstGeom>
                  </pic:spPr>
                </pic:pic>
              </a:graphicData>
            </a:graphic>
          </wp:anchor>
        </w:drawing>
      </w:r>
      <w:bookmarkStart w:name="a. Aggregate SNCP Cap. For October 1, 20" w:id="483"/>
      <w:bookmarkEnd w:id="483"/>
      <w:r>
        <w:rPr/>
      </w:r>
      <w:r>
        <w:rPr>
          <w:b/>
        </w:rPr>
        <w:t>Aggregate</w:t>
      </w:r>
      <w:r>
        <w:rPr>
          <w:b/>
          <w:spacing w:val="-4"/>
        </w:rPr>
        <w:t> </w:t>
      </w:r>
      <w:r>
        <w:rPr>
          <w:b/>
        </w:rPr>
        <w:t>SNCP</w:t>
      </w:r>
      <w:r>
        <w:rPr>
          <w:b/>
          <w:spacing w:val="-6"/>
        </w:rPr>
        <w:t> </w:t>
      </w:r>
      <w:r>
        <w:rPr>
          <w:b/>
        </w:rPr>
        <w:t>Cap.</w:t>
      </w:r>
      <w:r>
        <w:rPr>
          <w:b/>
          <w:spacing w:val="-1"/>
        </w:rPr>
        <w:t> </w:t>
      </w:r>
      <w:r>
        <w:rPr/>
        <w:t>For</w:t>
      </w:r>
      <w:r>
        <w:rPr>
          <w:spacing w:val="-4"/>
        </w:rPr>
        <w:t> </w:t>
      </w:r>
      <w:r>
        <w:rPr/>
        <w:t>October</w:t>
      </w:r>
      <w:r>
        <w:rPr>
          <w:spacing w:val="-4"/>
        </w:rPr>
        <w:t> </w:t>
      </w:r>
      <w:r>
        <w:rPr/>
        <w:t>1,</w:t>
      </w:r>
      <w:r>
        <w:rPr>
          <w:spacing w:val="-3"/>
        </w:rPr>
        <w:t> </w:t>
      </w:r>
      <w:r>
        <w:rPr/>
        <w:t>2022</w:t>
      </w:r>
      <w:r>
        <w:rPr>
          <w:spacing w:val="-3"/>
        </w:rPr>
        <w:t> </w:t>
      </w:r>
      <w:r>
        <w:rPr/>
        <w:t>through</w:t>
      </w:r>
      <w:r>
        <w:rPr>
          <w:spacing w:val="-3"/>
        </w:rPr>
        <w:t> </w:t>
      </w:r>
      <w:r>
        <w:rPr/>
        <w:t>December</w:t>
      </w:r>
      <w:r>
        <w:rPr>
          <w:spacing w:val="-4"/>
        </w:rPr>
        <w:t> </w:t>
      </w:r>
      <w:r>
        <w:rPr/>
        <w:t>31,</w:t>
      </w:r>
      <w:r>
        <w:rPr>
          <w:spacing w:val="-3"/>
        </w:rPr>
        <w:t> </w:t>
      </w:r>
      <w:r>
        <w:rPr/>
        <w:t>2027</w:t>
      </w:r>
      <w:r>
        <w:rPr>
          <w:spacing w:val="-3"/>
        </w:rPr>
        <w:t> </w:t>
      </w:r>
      <w:r>
        <w:rPr/>
        <w:t>(SNCP extension period), the SNCP will be subject to an aggregate cap of up to</w:t>
      </w:r>
    </w:p>
    <w:p>
      <w:pPr>
        <w:pStyle w:val="BodyText"/>
        <w:ind w:left="1411" w:right="1086"/>
      </w:pPr>
      <w:r>
        <w:rPr/>
        <w:t>$759.6million (total computable) added to the provider cap for the DSH-like pool described in STC 11.4(b) below, as well as the overall budget neutrality limit established</w:t>
      </w:r>
      <w:r>
        <w:rPr>
          <w:spacing w:val="-3"/>
        </w:rPr>
        <w:t> </w:t>
      </w:r>
      <w:r>
        <w:rPr/>
        <w:t>in</w:t>
      </w:r>
      <w:r>
        <w:rPr>
          <w:spacing w:val="-3"/>
        </w:rPr>
        <w:t> </w:t>
      </w:r>
      <w:r>
        <w:rPr/>
        <w:t>section</w:t>
      </w:r>
      <w:r>
        <w:rPr>
          <w:spacing w:val="-3"/>
        </w:rPr>
        <w:t> </w:t>
      </w:r>
      <w:r>
        <w:rPr/>
        <w:t>19</w:t>
      </w:r>
      <w:r>
        <w:rPr>
          <w:spacing w:val="-3"/>
        </w:rPr>
        <w:t> </w:t>
      </w:r>
      <w:r>
        <w:rPr/>
        <w:t>of</w:t>
      </w:r>
      <w:r>
        <w:rPr>
          <w:spacing w:val="-4"/>
        </w:rPr>
        <w:t> </w:t>
      </w:r>
      <w:r>
        <w:rPr/>
        <w:t>the</w:t>
      </w:r>
      <w:r>
        <w:rPr>
          <w:spacing w:val="-4"/>
        </w:rPr>
        <w:t> </w:t>
      </w:r>
      <w:r>
        <w:rPr/>
        <w:t>STCs.</w:t>
      </w:r>
      <w:r>
        <w:rPr>
          <w:spacing w:val="40"/>
        </w:rPr>
        <w:t> </w:t>
      </w:r>
      <w:r>
        <w:rPr/>
        <w:t>Because</w:t>
      </w:r>
      <w:r>
        <w:rPr>
          <w:spacing w:val="-4"/>
        </w:rPr>
        <w:t> </w:t>
      </w:r>
      <w:r>
        <w:rPr/>
        <w:t>the</w:t>
      </w:r>
      <w:r>
        <w:rPr>
          <w:spacing w:val="-4"/>
        </w:rPr>
        <w:t> </w:t>
      </w:r>
      <w:r>
        <w:rPr/>
        <w:t>aggregate</w:t>
      </w:r>
      <w:r>
        <w:rPr>
          <w:spacing w:val="-4"/>
        </w:rPr>
        <w:t> </w:t>
      </w:r>
      <w:r>
        <w:rPr/>
        <w:t>SNCP</w:t>
      </w:r>
      <w:r>
        <w:rPr>
          <w:spacing w:val="-3"/>
        </w:rPr>
        <w:t> </w:t>
      </w:r>
      <w:r>
        <w:rPr/>
        <w:t>cap</w:t>
      </w:r>
      <w:r>
        <w:rPr>
          <w:spacing w:val="-3"/>
        </w:rPr>
        <w:t> </w:t>
      </w:r>
      <w:r>
        <w:rPr/>
        <w:t>is</w:t>
      </w:r>
      <w:r>
        <w:rPr>
          <w:spacing w:val="-1"/>
        </w:rPr>
        <w:t> </w:t>
      </w:r>
      <w:r>
        <w:rPr/>
        <w:t>based,</w:t>
      </w:r>
      <w:r>
        <w:rPr>
          <w:spacing w:val="-3"/>
        </w:rPr>
        <w:t> </w:t>
      </w:r>
      <w:r>
        <w:rPr/>
        <w:t>in part, on an amount equal to the Commonwealth’s annual disproportionate share hospital (DSH) allotment any change in the Commonwealth’s Federal DSH allotment that would have applied for the SNCP extension period absent the demonstration shall result in an equal change to the aggregate SNCP cap, and a corresponding change to the provider cap as described in subparagraph (b). Such a change shall be reflected in STC 11.2(b), and shall not require a demonstration </w:t>
      </w:r>
      <w:r>
        <w:rPr>
          <w:spacing w:val="-2"/>
        </w:rPr>
        <w:t>amendment.</w:t>
      </w:r>
    </w:p>
    <w:p>
      <w:pPr>
        <w:spacing w:after="0"/>
        <w:sectPr>
          <w:pgSz w:w="12240" w:h="15840"/>
          <w:pgMar w:header="0" w:footer="1201" w:top="1360" w:bottom="1400" w:left="1200" w:right="400"/>
        </w:sectPr>
      </w:pPr>
    </w:p>
    <w:p>
      <w:pPr>
        <w:pStyle w:val="BodyText"/>
        <w:spacing w:before="79"/>
        <w:ind w:left="1411" w:right="1063"/>
      </w:pPr>
      <w:r>
        <w:rPr/>
        <w:drawing>
          <wp:anchor distT="0" distB="0" distL="0" distR="0" allowOverlap="1" layoutInCell="1" locked="0" behindDoc="0" simplePos="0" relativeHeight="15880192">
            <wp:simplePos x="0" y="0"/>
            <wp:positionH relativeFrom="page">
              <wp:posOffset>1424939</wp:posOffset>
            </wp:positionH>
            <wp:positionV relativeFrom="paragraph">
              <wp:posOffset>82717</wp:posOffset>
            </wp:positionV>
            <wp:extent cx="111251" cy="115823"/>
            <wp:effectExtent l="0" t="0" r="0" b="0"/>
            <wp:wrapNone/>
            <wp:docPr id="307" name="Image 307"/>
            <wp:cNvGraphicFramePr>
              <a:graphicFrameLocks/>
            </wp:cNvGraphicFramePr>
            <a:graphic>
              <a:graphicData uri="http://schemas.openxmlformats.org/drawingml/2006/picture">
                <pic:pic>
                  <pic:nvPicPr>
                    <pic:cNvPr id="307" name="Image 307"/>
                    <pic:cNvPicPr/>
                  </pic:nvPicPr>
                  <pic:blipFill>
                    <a:blip r:embed="rId34" cstate="print"/>
                    <a:stretch>
                      <a:fillRect/>
                    </a:stretch>
                  </pic:blipFill>
                  <pic:spPr>
                    <a:xfrm>
                      <a:off x="0" y="0"/>
                      <a:ext cx="111251" cy="115823"/>
                    </a:xfrm>
                    <a:prstGeom prst="rect">
                      <a:avLst/>
                    </a:prstGeom>
                  </pic:spPr>
                </pic:pic>
              </a:graphicData>
            </a:graphic>
          </wp:anchor>
        </w:drawing>
      </w:r>
      <w:bookmarkStart w:name="b. Provider Cap for the DSH-like Pool. T" w:id="484"/>
      <w:bookmarkEnd w:id="484"/>
      <w:r>
        <w:rPr/>
      </w:r>
      <w:r>
        <w:rPr>
          <w:b/>
        </w:rPr>
        <w:t>Provider Cap for the DSH-like Pool. </w:t>
      </w:r>
      <w:r>
        <w:rPr/>
        <w:t>The Commonwealth may expend an amount for purposes specified in STC 11.2(a) equal to no more than the cumulative amount of</w:t>
      </w:r>
      <w:r>
        <w:rPr>
          <w:spacing w:val="-2"/>
        </w:rPr>
        <w:t> </w:t>
      </w:r>
      <w:r>
        <w:rPr/>
        <w:t>the</w:t>
      </w:r>
      <w:r>
        <w:rPr>
          <w:spacing w:val="-2"/>
        </w:rPr>
        <w:t> </w:t>
      </w:r>
      <w:r>
        <w:rPr/>
        <w:t>Commonwealth’s annual</w:t>
      </w:r>
      <w:r>
        <w:rPr>
          <w:spacing w:val="-1"/>
        </w:rPr>
        <w:t> </w:t>
      </w:r>
      <w:r>
        <w:rPr/>
        <w:t>DSH</w:t>
      </w:r>
      <w:r>
        <w:rPr>
          <w:spacing w:val="-2"/>
        </w:rPr>
        <w:t> </w:t>
      </w:r>
      <w:r>
        <w:rPr/>
        <w:t>allotments</w:t>
      </w:r>
      <w:r>
        <w:rPr>
          <w:spacing w:val="-1"/>
        </w:rPr>
        <w:t> </w:t>
      </w:r>
      <w:r>
        <w:rPr/>
        <w:t>for</w:t>
      </w:r>
      <w:r>
        <w:rPr>
          <w:spacing w:val="-2"/>
        </w:rPr>
        <w:t> </w:t>
      </w:r>
      <w:r>
        <w:rPr/>
        <w:t>the</w:t>
      </w:r>
      <w:r>
        <w:rPr>
          <w:spacing w:val="-2"/>
        </w:rPr>
        <w:t> </w:t>
      </w:r>
      <w:r>
        <w:rPr/>
        <w:t>SNCP</w:t>
      </w:r>
      <w:r>
        <w:rPr>
          <w:spacing w:val="-1"/>
        </w:rPr>
        <w:t> </w:t>
      </w:r>
      <w:r>
        <w:rPr/>
        <w:t>extension</w:t>
      </w:r>
      <w:r>
        <w:rPr>
          <w:spacing w:val="-1"/>
        </w:rPr>
        <w:t> </w:t>
      </w:r>
      <w:r>
        <w:rPr/>
        <w:t>period.</w:t>
      </w:r>
      <w:r>
        <w:rPr>
          <w:spacing w:val="-1"/>
        </w:rPr>
        <w:t> </w:t>
      </w:r>
      <w:r>
        <w:rPr/>
        <w:t>Any change in the Commonwealth’s federal DSH allotment that would have applied for the SNCP extension period absent the demonstration shall result in an equal change to the aggregate amount available for the DSH-like pool. Such change shall not require a demonstration amendment. The DSH-like Pool funding is based on the amount</w:t>
      </w:r>
      <w:r>
        <w:rPr>
          <w:spacing w:val="-2"/>
        </w:rPr>
        <w:t> </w:t>
      </w:r>
      <w:r>
        <w:rPr/>
        <w:t>equal</w:t>
      </w:r>
      <w:r>
        <w:rPr>
          <w:spacing w:val="-2"/>
        </w:rPr>
        <w:t> </w:t>
      </w:r>
      <w:r>
        <w:rPr/>
        <w:t>to</w:t>
      </w:r>
      <w:r>
        <w:rPr>
          <w:spacing w:val="-2"/>
        </w:rPr>
        <w:t> </w:t>
      </w:r>
      <w:r>
        <w:rPr/>
        <w:t>the</w:t>
      </w:r>
      <w:r>
        <w:rPr>
          <w:spacing w:val="-3"/>
        </w:rPr>
        <w:t> </w:t>
      </w:r>
      <w:r>
        <w:rPr/>
        <w:t>state’s</w:t>
      </w:r>
      <w:r>
        <w:rPr>
          <w:spacing w:val="-2"/>
        </w:rPr>
        <w:t> </w:t>
      </w:r>
      <w:r>
        <w:rPr/>
        <w:t>entire</w:t>
      </w:r>
      <w:r>
        <w:rPr>
          <w:spacing w:val="-3"/>
        </w:rPr>
        <w:t> </w:t>
      </w:r>
      <w:r>
        <w:rPr/>
        <w:t>DSH</w:t>
      </w:r>
      <w:r>
        <w:rPr>
          <w:spacing w:val="-3"/>
        </w:rPr>
        <w:t> </w:t>
      </w:r>
      <w:r>
        <w:rPr/>
        <w:t>allotment</w:t>
      </w:r>
      <w:r>
        <w:rPr>
          <w:spacing w:val="-2"/>
        </w:rPr>
        <w:t> </w:t>
      </w:r>
      <w:r>
        <w:rPr/>
        <w:t>as</w:t>
      </w:r>
      <w:r>
        <w:rPr>
          <w:spacing w:val="-2"/>
        </w:rPr>
        <w:t> </w:t>
      </w:r>
      <w:r>
        <w:rPr/>
        <w:t>set</w:t>
      </w:r>
      <w:r>
        <w:rPr>
          <w:spacing w:val="-2"/>
        </w:rPr>
        <w:t> </w:t>
      </w:r>
      <w:r>
        <w:rPr/>
        <w:t>forth</w:t>
      </w:r>
      <w:r>
        <w:rPr>
          <w:spacing w:val="-2"/>
        </w:rPr>
        <w:t> </w:t>
      </w:r>
      <w:r>
        <w:rPr/>
        <w:t>in</w:t>
      </w:r>
      <w:r>
        <w:rPr>
          <w:spacing w:val="-2"/>
        </w:rPr>
        <w:t> </w:t>
      </w:r>
      <w:r>
        <w:rPr/>
        <w:t>section</w:t>
      </w:r>
      <w:r>
        <w:rPr>
          <w:spacing w:val="-2"/>
        </w:rPr>
        <w:t> </w:t>
      </w:r>
      <w:r>
        <w:rPr/>
        <w:t>1923(f)</w:t>
      </w:r>
      <w:r>
        <w:rPr>
          <w:spacing w:val="-3"/>
        </w:rPr>
        <w:t> </w:t>
      </w:r>
      <w:r>
        <w:rPr/>
        <w:t>of</w:t>
      </w:r>
      <w:r>
        <w:rPr>
          <w:spacing w:val="-3"/>
        </w:rPr>
        <w:t> </w:t>
      </w:r>
      <w:r>
        <w:rPr/>
        <w:t>the Act, (“DSH”).</w:t>
      </w:r>
      <w:r>
        <w:rPr>
          <w:spacing w:val="40"/>
        </w:rPr>
        <w:t> </w:t>
      </w:r>
      <w:r>
        <w:rPr/>
        <w:t>In order to align DSH amounts with each SFY, the state’s DSH allotment</w:t>
      </w:r>
      <w:r>
        <w:rPr>
          <w:spacing w:val="-4"/>
        </w:rPr>
        <w:t> </w:t>
      </w:r>
      <w:r>
        <w:rPr/>
        <w:t>for</w:t>
      </w:r>
      <w:r>
        <w:rPr>
          <w:spacing w:val="-5"/>
        </w:rPr>
        <w:t> </w:t>
      </w:r>
      <w:r>
        <w:rPr/>
        <w:t>the</w:t>
      </w:r>
      <w:r>
        <w:rPr>
          <w:spacing w:val="-5"/>
        </w:rPr>
        <w:t> </w:t>
      </w:r>
      <w:r>
        <w:rPr/>
        <w:t>federal</w:t>
      </w:r>
      <w:r>
        <w:rPr>
          <w:spacing w:val="-2"/>
        </w:rPr>
        <w:t> </w:t>
      </w:r>
      <w:r>
        <w:rPr/>
        <w:t>fiscal year</w:t>
      </w:r>
      <w:r>
        <w:rPr>
          <w:spacing w:val="-5"/>
        </w:rPr>
        <w:t> </w:t>
      </w:r>
      <w:r>
        <w:rPr/>
        <w:t>will</w:t>
      </w:r>
      <w:r>
        <w:rPr>
          <w:spacing w:val="-4"/>
        </w:rPr>
        <w:t> </w:t>
      </w:r>
      <w:r>
        <w:rPr/>
        <w:t>be</w:t>
      </w:r>
      <w:r>
        <w:rPr>
          <w:spacing w:val="-5"/>
        </w:rPr>
        <w:t> </w:t>
      </w:r>
      <w:r>
        <w:rPr/>
        <w:t>pro-rated.</w:t>
      </w:r>
      <w:r>
        <w:rPr>
          <w:spacing w:val="-2"/>
        </w:rPr>
        <w:t> </w:t>
      </w:r>
      <w:r>
        <w:rPr/>
        <w:t>In</w:t>
      </w:r>
      <w:r>
        <w:rPr>
          <w:spacing w:val="-4"/>
        </w:rPr>
        <w:t> </w:t>
      </w:r>
      <w:r>
        <w:rPr/>
        <w:t>any</w:t>
      </w:r>
      <w:r>
        <w:rPr>
          <w:spacing w:val="-4"/>
        </w:rPr>
        <w:t> </w:t>
      </w:r>
      <w:r>
        <w:rPr/>
        <w:t>year</w:t>
      </w:r>
      <w:r>
        <w:rPr>
          <w:spacing w:val="-5"/>
        </w:rPr>
        <w:t> </w:t>
      </w:r>
      <w:r>
        <w:rPr/>
        <w:t>to</w:t>
      </w:r>
      <w:r>
        <w:rPr>
          <w:spacing w:val="-4"/>
        </w:rPr>
        <w:t> </w:t>
      </w:r>
      <w:r>
        <w:rPr/>
        <w:t>which</w:t>
      </w:r>
      <w:r>
        <w:rPr>
          <w:spacing w:val="-2"/>
        </w:rPr>
        <w:t> </w:t>
      </w:r>
      <w:r>
        <w:rPr/>
        <w:t>reductions to Massachusetts’ DSH allotment are required by section 1923(f)(7) of the Social Security Act, the amount of the DSH allotment attributable to the SNCP in a given DY shall be reduced consistent with CMS guidelines. The funding limit does not apply to expenditures under the UC Pool, though the Commonwealth may only</w:t>
      </w:r>
      <w:r>
        <w:rPr>
          <w:spacing w:val="40"/>
        </w:rPr>
        <w:t> </w:t>
      </w:r>
      <w:r>
        <w:rPr/>
        <w:t>claim expenditures under the UC Pool to the extent that the DSH-like Pool has been fully expended.</w:t>
      </w:r>
    </w:p>
    <w:p>
      <w:pPr>
        <w:pStyle w:val="BodyText"/>
        <w:spacing w:before="10"/>
        <w:rPr>
          <w:sz w:val="20"/>
        </w:rPr>
      </w:pPr>
    </w:p>
    <w:p>
      <w:pPr>
        <w:pStyle w:val="BodyText"/>
        <w:ind w:left="1411" w:right="1095"/>
      </w:pPr>
      <w:r>
        <w:rPr/>
        <w:drawing>
          <wp:anchor distT="0" distB="0" distL="0" distR="0" allowOverlap="1" layoutInCell="1" locked="0" behindDoc="0" simplePos="0" relativeHeight="15880704">
            <wp:simplePos x="0" y="0"/>
            <wp:positionH relativeFrom="page">
              <wp:posOffset>1431036</wp:posOffset>
            </wp:positionH>
            <wp:positionV relativeFrom="paragraph">
              <wp:posOffset>67603</wp:posOffset>
            </wp:positionV>
            <wp:extent cx="96011" cy="80771"/>
            <wp:effectExtent l="0" t="0" r="0" b="0"/>
            <wp:wrapNone/>
            <wp:docPr id="308" name="Image 308"/>
            <wp:cNvGraphicFramePr>
              <a:graphicFrameLocks/>
            </wp:cNvGraphicFramePr>
            <a:graphic>
              <a:graphicData uri="http://schemas.openxmlformats.org/drawingml/2006/picture">
                <pic:pic>
                  <pic:nvPicPr>
                    <pic:cNvPr id="308" name="Image 308"/>
                    <pic:cNvPicPr/>
                  </pic:nvPicPr>
                  <pic:blipFill>
                    <a:blip r:embed="rId35" cstate="print"/>
                    <a:stretch>
                      <a:fillRect/>
                    </a:stretch>
                  </pic:blipFill>
                  <pic:spPr>
                    <a:xfrm>
                      <a:off x="0" y="0"/>
                      <a:ext cx="96011" cy="80771"/>
                    </a:xfrm>
                    <a:prstGeom prst="rect">
                      <a:avLst/>
                    </a:prstGeom>
                  </pic:spPr>
                </pic:pic>
              </a:graphicData>
            </a:graphic>
          </wp:anchor>
        </w:drawing>
      </w:r>
      <w:bookmarkStart w:name="c. Budget Neutrality Reconciliation. The" w:id="485"/>
      <w:bookmarkEnd w:id="485"/>
      <w:r>
        <w:rPr/>
      </w:r>
      <w:r>
        <w:rPr>
          <w:b/>
        </w:rPr>
        <w:t>Budget Neutrality Reconciliation. </w:t>
      </w:r>
      <w:r>
        <w:rPr/>
        <w:t>The Commonwealth is bound by the budget neutrality agreement described in section 19 of the STCs. The Commonwealth agrees</w:t>
      </w:r>
      <w:r>
        <w:rPr>
          <w:spacing w:val="-2"/>
        </w:rPr>
        <w:t> </w:t>
      </w:r>
      <w:r>
        <w:rPr/>
        <w:t>to</w:t>
      </w:r>
      <w:r>
        <w:rPr>
          <w:spacing w:val="-2"/>
        </w:rPr>
        <w:t> </w:t>
      </w:r>
      <w:r>
        <w:rPr/>
        <w:t>reduce</w:t>
      </w:r>
      <w:r>
        <w:rPr>
          <w:spacing w:val="-3"/>
        </w:rPr>
        <w:t> </w:t>
      </w:r>
      <w:r>
        <w:rPr/>
        <w:t>spending</w:t>
      </w:r>
      <w:r>
        <w:rPr>
          <w:spacing w:val="-5"/>
        </w:rPr>
        <w:t> </w:t>
      </w:r>
      <w:r>
        <w:rPr/>
        <w:t>in</w:t>
      </w:r>
      <w:r>
        <w:rPr>
          <w:spacing w:val="-2"/>
        </w:rPr>
        <w:t> </w:t>
      </w:r>
      <w:r>
        <w:rPr/>
        <w:t>the</w:t>
      </w:r>
      <w:r>
        <w:rPr>
          <w:spacing w:val="-3"/>
        </w:rPr>
        <w:t> </w:t>
      </w:r>
      <w:r>
        <w:rPr/>
        <w:t>SNCP</w:t>
      </w:r>
      <w:r>
        <w:rPr>
          <w:spacing w:val="-2"/>
        </w:rPr>
        <w:t> </w:t>
      </w:r>
      <w:r>
        <w:rPr/>
        <w:t>to</w:t>
      </w:r>
      <w:r>
        <w:rPr>
          <w:spacing w:val="-2"/>
        </w:rPr>
        <w:t> </w:t>
      </w:r>
      <w:r>
        <w:rPr/>
        <w:t>comply</w:t>
      </w:r>
      <w:r>
        <w:rPr>
          <w:spacing w:val="-5"/>
        </w:rPr>
        <w:t> </w:t>
      </w:r>
      <w:r>
        <w:rPr/>
        <w:t>with</w:t>
      </w:r>
      <w:r>
        <w:rPr>
          <w:spacing w:val="-2"/>
        </w:rPr>
        <w:t> </w:t>
      </w:r>
      <w:r>
        <w:rPr/>
        <w:t>budget</w:t>
      </w:r>
      <w:r>
        <w:rPr>
          <w:spacing w:val="-2"/>
        </w:rPr>
        <w:t> </w:t>
      </w:r>
      <w:r>
        <w:rPr/>
        <w:t>neutrality</w:t>
      </w:r>
      <w:r>
        <w:rPr>
          <w:spacing w:val="-7"/>
        </w:rPr>
        <w:t> </w:t>
      </w:r>
      <w:r>
        <w:rPr/>
        <w:t>in the</w:t>
      </w:r>
      <w:r>
        <w:rPr>
          <w:spacing w:val="-3"/>
        </w:rPr>
        <w:t> </w:t>
      </w:r>
      <w:r>
        <w:rPr/>
        <w:t>event that expenditures under the demonstration exceed the budget neutrality ceiling outlined in section 19, STC 19.1.</w:t>
      </w:r>
    </w:p>
    <w:p>
      <w:pPr>
        <w:pStyle w:val="BodyText"/>
        <w:spacing w:before="10"/>
        <w:rPr>
          <w:sz w:val="20"/>
        </w:rPr>
      </w:pPr>
    </w:p>
    <w:p>
      <w:pPr>
        <w:pStyle w:val="BodyText"/>
        <w:ind w:left="871" w:right="1052"/>
      </w:pPr>
      <w:r>
        <w:rPr/>
        <w:drawing>
          <wp:anchor distT="0" distB="0" distL="0" distR="0" allowOverlap="1" layoutInCell="1" locked="0" behindDoc="0" simplePos="0" relativeHeight="15881216">
            <wp:simplePos x="0" y="0"/>
            <wp:positionH relativeFrom="page">
              <wp:posOffset>908303</wp:posOffset>
            </wp:positionH>
            <wp:positionV relativeFrom="paragraph">
              <wp:posOffset>35599</wp:posOffset>
            </wp:positionV>
            <wp:extent cx="283463" cy="112775"/>
            <wp:effectExtent l="0" t="0" r="0" b="0"/>
            <wp:wrapNone/>
            <wp:docPr id="309" name="Image 309"/>
            <wp:cNvGraphicFramePr>
              <a:graphicFrameLocks/>
            </wp:cNvGraphicFramePr>
            <a:graphic>
              <a:graphicData uri="http://schemas.openxmlformats.org/drawingml/2006/picture">
                <pic:pic>
                  <pic:nvPicPr>
                    <pic:cNvPr id="309" name="Image 309"/>
                    <pic:cNvPicPr/>
                  </pic:nvPicPr>
                  <pic:blipFill>
                    <a:blip r:embed="rId152" cstate="print"/>
                    <a:stretch>
                      <a:fillRect/>
                    </a:stretch>
                  </pic:blipFill>
                  <pic:spPr>
                    <a:xfrm>
                      <a:off x="0" y="0"/>
                      <a:ext cx="283463" cy="112775"/>
                    </a:xfrm>
                    <a:prstGeom prst="rect">
                      <a:avLst/>
                    </a:prstGeom>
                  </pic:spPr>
                </pic:pic>
              </a:graphicData>
            </a:graphic>
          </wp:anchor>
        </w:drawing>
      </w:r>
      <w:bookmarkStart w:name="11.5. Cost for Uncompensated Care follow" w:id="486"/>
      <w:bookmarkEnd w:id="486"/>
      <w:r>
        <w:rPr/>
      </w:r>
      <w:r>
        <w:rPr>
          <w:b/>
        </w:rPr>
        <w:t>Cost for Uncompensated Care following Cost Limit Protocol. </w:t>
      </w:r>
      <w:r>
        <w:rPr/>
        <w:t>The DSH-Like pool payments support providers for furnishing uncompensated care, using definitions that generally parallel those used in traditional Disproportionate Share Hospital (DSH) funding.</w:t>
      </w:r>
      <w:r>
        <w:rPr>
          <w:spacing w:val="-4"/>
        </w:rPr>
        <w:t> </w:t>
      </w:r>
      <w:r>
        <w:rPr/>
        <w:t>Massachusetts’</w:t>
      </w:r>
      <w:r>
        <w:rPr>
          <w:spacing w:val="-3"/>
        </w:rPr>
        <w:t> </w:t>
      </w:r>
      <w:r>
        <w:rPr/>
        <w:t>Cost</w:t>
      </w:r>
      <w:r>
        <w:rPr>
          <w:spacing w:val="-2"/>
        </w:rPr>
        <w:t> </w:t>
      </w:r>
      <w:r>
        <w:rPr/>
        <w:t>Limit</w:t>
      </w:r>
      <w:r>
        <w:rPr>
          <w:spacing w:val="-4"/>
        </w:rPr>
        <w:t> </w:t>
      </w:r>
      <w:r>
        <w:rPr/>
        <w:t>Protocol</w:t>
      </w:r>
      <w:r>
        <w:rPr>
          <w:spacing w:val="-4"/>
        </w:rPr>
        <w:t> </w:t>
      </w:r>
      <w:r>
        <w:rPr/>
        <w:t>ensures</w:t>
      </w:r>
      <w:r>
        <w:rPr>
          <w:spacing w:val="-4"/>
        </w:rPr>
        <w:t> </w:t>
      </w:r>
      <w:r>
        <w:rPr/>
        <w:t>that</w:t>
      </w:r>
      <w:r>
        <w:rPr>
          <w:spacing w:val="-4"/>
        </w:rPr>
        <w:t> </w:t>
      </w:r>
      <w:r>
        <w:rPr/>
        <w:t>payments</w:t>
      </w:r>
      <w:r>
        <w:rPr>
          <w:spacing w:val="-4"/>
        </w:rPr>
        <w:t> </w:t>
      </w:r>
      <w:r>
        <w:rPr/>
        <w:t>to</w:t>
      </w:r>
      <w:r>
        <w:rPr>
          <w:spacing w:val="-4"/>
        </w:rPr>
        <w:t> </w:t>
      </w:r>
      <w:r>
        <w:rPr/>
        <w:t>providers</w:t>
      </w:r>
      <w:r>
        <w:rPr>
          <w:spacing w:val="-4"/>
        </w:rPr>
        <w:t> </w:t>
      </w:r>
      <w:r>
        <w:rPr/>
        <w:t>other</w:t>
      </w:r>
      <w:r>
        <w:rPr>
          <w:spacing w:val="-5"/>
        </w:rPr>
        <w:t> </w:t>
      </w:r>
      <w:r>
        <w:rPr/>
        <w:t>than community health centers for uncompensated care will be limited on a provider-specific basis to the cost of providing Medicaid state plan services and any other additional allowable uncompensated costs of care provided to Medicaid eligible individuals and uninsured individuals, less payment received by or on behalf of such individuals for such services.</w:t>
      </w:r>
      <w:r>
        <w:rPr>
          <w:spacing w:val="40"/>
        </w:rPr>
        <w:t> </w:t>
      </w:r>
      <w:r>
        <w:rPr/>
        <w:t>Provider incentive payments authorized through this demonstration will not be considered to be patient care revenues for this purpose along with other revenues as described in Massachusetts’ Cost Limit Protocol approved by CMS in December 2013.</w:t>
      </w:r>
    </w:p>
    <w:p>
      <w:pPr>
        <w:pStyle w:val="BodyText"/>
        <w:spacing w:before="1"/>
        <w:ind w:left="871" w:right="1066"/>
      </w:pPr>
      <w:r>
        <w:rPr/>
        <w:t>Notwithstanding the generality of the foregoing, Critical Access Hospitals may receive 101</w:t>
      </w:r>
      <w:r>
        <w:rPr>
          <w:spacing w:val="-3"/>
        </w:rPr>
        <w:t> </w:t>
      </w:r>
      <w:r>
        <w:rPr/>
        <w:t>percent</w:t>
      </w:r>
      <w:r>
        <w:rPr>
          <w:spacing w:val="-3"/>
        </w:rPr>
        <w:t> </w:t>
      </w:r>
      <w:r>
        <w:rPr/>
        <w:t>of</w:t>
      </w:r>
      <w:r>
        <w:rPr>
          <w:spacing w:val="-4"/>
        </w:rPr>
        <w:t> </w:t>
      </w:r>
      <w:r>
        <w:rPr/>
        <w:t>the</w:t>
      </w:r>
      <w:r>
        <w:rPr>
          <w:spacing w:val="-4"/>
        </w:rPr>
        <w:t> </w:t>
      </w:r>
      <w:r>
        <w:rPr/>
        <w:t>cost</w:t>
      </w:r>
      <w:r>
        <w:rPr>
          <w:spacing w:val="-3"/>
        </w:rPr>
        <w:t> </w:t>
      </w:r>
      <w:r>
        <w:rPr/>
        <w:t>of</w:t>
      </w:r>
      <w:r>
        <w:rPr>
          <w:spacing w:val="-2"/>
        </w:rPr>
        <w:t> </w:t>
      </w:r>
      <w:r>
        <w:rPr/>
        <w:t>providing</w:t>
      </w:r>
      <w:r>
        <w:rPr>
          <w:spacing w:val="-6"/>
        </w:rPr>
        <w:t> </w:t>
      </w:r>
      <w:r>
        <w:rPr/>
        <w:t>Medicaid</w:t>
      </w:r>
      <w:r>
        <w:rPr>
          <w:spacing w:val="-3"/>
        </w:rPr>
        <w:t> </w:t>
      </w:r>
      <w:r>
        <w:rPr/>
        <w:t>services,</w:t>
      </w:r>
      <w:r>
        <w:rPr>
          <w:spacing w:val="-3"/>
        </w:rPr>
        <w:t> </w:t>
      </w:r>
      <w:r>
        <w:rPr/>
        <w:t>and</w:t>
      </w:r>
      <w:r>
        <w:rPr>
          <w:spacing w:val="-3"/>
        </w:rPr>
        <w:t> </w:t>
      </w:r>
      <w:r>
        <w:rPr/>
        <w:t>100</w:t>
      </w:r>
      <w:r>
        <w:rPr>
          <w:spacing w:val="-3"/>
        </w:rPr>
        <w:t> </w:t>
      </w:r>
      <w:r>
        <w:rPr/>
        <w:t>percent</w:t>
      </w:r>
      <w:r>
        <w:rPr>
          <w:spacing w:val="-3"/>
        </w:rPr>
        <w:t> </w:t>
      </w:r>
      <w:r>
        <w:rPr/>
        <w:t>of</w:t>
      </w:r>
      <w:r>
        <w:rPr>
          <w:spacing w:val="-2"/>
        </w:rPr>
        <w:t> </w:t>
      </w:r>
      <w:r>
        <w:rPr/>
        <w:t>uncompensated care costs as specified by the provisions of Section 1923(g) of the Act as implemented by </w:t>
      </w:r>
      <w:r>
        <w:rPr>
          <w:spacing w:val="-2"/>
        </w:rPr>
        <w:t>447.295(d).</w:t>
      </w:r>
    </w:p>
    <w:p>
      <w:pPr>
        <w:pStyle w:val="BodyText"/>
        <w:spacing w:before="10"/>
        <w:rPr>
          <w:sz w:val="20"/>
        </w:rPr>
      </w:pPr>
    </w:p>
    <w:p>
      <w:pPr>
        <w:pStyle w:val="BodyText"/>
        <w:ind w:left="871" w:right="1081"/>
        <w:jc w:val="both"/>
      </w:pPr>
      <w:r>
        <w:rPr/>
        <w:drawing>
          <wp:anchor distT="0" distB="0" distL="0" distR="0" allowOverlap="1" layoutInCell="1" locked="0" behindDoc="0" simplePos="0" relativeHeight="15881728">
            <wp:simplePos x="0" y="0"/>
            <wp:positionH relativeFrom="page">
              <wp:posOffset>908303</wp:posOffset>
            </wp:positionH>
            <wp:positionV relativeFrom="paragraph">
              <wp:posOffset>35612</wp:posOffset>
            </wp:positionV>
            <wp:extent cx="283463" cy="112763"/>
            <wp:effectExtent l="0" t="0" r="0" b="0"/>
            <wp:wrapNone/>
            <wp:docPr id="310" name="Image 310"/>
            <wp:cNvGraphicFramePr>
              <a:graphicFrameLocks/>
            </wp:cNvGraphicFramePr>
            <a:graphic>
              <a:graphicData uri="http://schemas.openxmlformats.org/drawingml/2006/picture">
                <pic:pic>
                  <pic:nvPicPr>
                    <pic:cNvPr id="310" name="Image 310"/>
                    <pic:cNvPicPr/>
                  </pic:nvPicPr>
                  <pic:blipFill>
                    <a:blip r:embed="rId153" cstate="print"/>
                    <a:stretch>
                      <a:fillRect/>
                    </a:stretch>
                  </pic:blipFill>
                  <pic:spPr>
                    <a:xfrm>
                      <a:off x="0" y="0"/>
                      <a:ext cx="283463" cy="112763"/>
                    </a:xfrm>
                    <a:prstGeom prst="rect">
                      <a:avLst/>
                    </a:prstGeom>
                  </pic:spPr>
                </pic:pic>
              </a:graphicData>
            </a:graphic>
          </wp:anchor>
        </w:drawing>
      </w:r>
      <w:bookmarkStart w:name="11.6. SNCP Additional Reporting Requirem" w:id="487"/>
      <w:bookmarkEnd w:id="487"/>
      <w:r>
        <w:rPr/>
      </w:r>
      <w:r>
        <w:rPr>
          <w:b/>
        </w:rPr>
        <w:t>SNCP</w:t>
      </w:r>
      <w:r>
        <w:rPr>
          <w:b/>
          <w:spacing w:val="-7"/>
        </w:rPr>
        <w:t> </w:t>
      </w:r>
      <w:r>
        <w:rPr>
          <w:b/>
        </w:rPr>
        <w:t>Additional</w:t>
      </w:r>
      <w:r>
        <w:rPr>
          <w:b/>
          <w:spacing w:val="-4"/>
        </w:rPr>
        <w:t> </w:t>
      </w:r>
      <w:r>
        <w:rPr>
          <w:b/>
        </w:rPr>
        <w:t>Reporting</w:t>
      </w:r>
      <w:r>
        <w:rPr>
          <w:b/>
          <w:spacing w:val="-4"/>
        </w:rPr>
        <w:t> </w:t>
      </w:r>
      <w:r>
        <w:rPr>
          <w:b/>
        </w:rPr>
        <w:t>Requirements.</w:t>
      </w:r>
      <w:r>
        <w:rPr>
          <w:b/>
          <w:spacing w:val="-5"/>
        </w:rPr>
        <w:t> </w:t>
      </w:r>
      <w:r>
        <w:rPr/>
        <w:t>All</w:t>
      </w:r>
      <w:r>
        <w:rPr>
          <w:spacing w:val="-2"/>
        </w:rPr>
        <w:t> </w:t>
      </w:r>
      <w:r>
        <w:rPr/>
        <w:t>SNCP</w:t>
      </w:r>
      <w:r>
        <w:rPr>
          <w:spacing w:val="-4"/>
        </w:rPr>
        <w:t> </w:t>
      </w:r>
      <w:r>
        <w:rPr/>
        <w:t>expenditures</w:t>
      </w:r>
      <w:r>
        <w:rPr>
          <w:spacing w:val="-4"/>
        </w:rPr>
        <w:t> </w:t>
      </w:r>
      <w:r>
        <w:rPr/>
        <w:t>must</w:t>
      </w:r>
      <w:r>
        <w:rPr>
          <w:spacing w:val="-4"/>
        </w:rPr>
        <w:t> </w:t>
      </w:r>
      <w:r>
        <w:rPr/>
        <w:t>be</w:t>
      </w:r>
      <w:r>
        <w:rPr>
          <w:spacing w:val="-5"/>
        </w:rPr>
        <w:t> </w:t>
      </w:r>
      <w:r>
        <w:rPr/>
        <w:t>reported</w:t>
      </w:r>
      <w:r>
        <w:rPr>
          <w:spacing w:val="-2"/>
        </w:rPr>
        <w:t> </w:t>
      </w:r>
      <w:r>
        <w:rPr/>
        <w:t>as specified</w:t>
      </w:r>
      <w:r>
        <w:rPr>
          <w:spacing w:val="-1"/>
        </w:rPr>
        <w:t> </w:t>
      </w:r>
      <w:r>
        <w:rPr/>
        <w:t>in</w:t>
      </w:r>
      <w:r>
        <w:rPr>
          <w:spacing w:val="-1"/>
        </w:rPr>
        <w:t> </w:t>
      </w:r>
      <w:r>
        <w:rPr/>
        <w:t>section</w:t>
      </w:r>
      <w:r>
        <w:rPr>
          <w:spacing w:val="-1"/>
        </w:rPr>
        <w:t> </w:t>
      </w:r>
      <w:r>
        <w:rPr/>
        <w:t>11,</w:t>
      </w:r>
      <w:r>
        <w:rPr>
          <w:spacing w:val="-1"/>
        </w:rPr>
        <w:t> </w:t>
      </w:r>
      <w:r>
        <w:rPr/>
        <w:t>STC</w:t>
      </w:r>
      <w:r>
        <w:rPr>
          <w:spacing w:val="-1"/>
        </w:rPr>
        <w:t> </w:t>
      </w:r>
      <w:r>
        <w:rPr/>
        <w:t>11.2. In addition,</w:t>
      </w:r>
      <w:r>
        <w:rPr>
          <w:spacing w:val="-1"/>
        </w:rPr>
        <w:t> </w:t>
      </w:r>
      <w:r>
        <w:rPr/>
        <w:t>the</w:t>
      </w:r>
      <w:r>
        <w:rPr>
          <w:spacing w:val="-2"/>
        </w:rPr>
        <w:t> </w:t>
      </w:r>
      <w:r>
        <w:rPr/>
        <w:t>Commonwealth</w:t>
      </w:r>
      <w:r>
        <w:rPr>
          <w:spacing w:val="-1"/>
        </w:rPr>
        <w:t> </w:t>
      </w:r>
      <w:r>
        <w:rPr/>
        <w:t>must</w:t>
      </w:r>
      <w:r>
        <w:rPr>
          <w:spacing w:val="-1"/>
        </w:rPr>
        <w:t> </w:t>
      </w:r>
      <w:r>
        <w:rPr/>
        <w:t>submit</w:t>
      </w:r>
      <w:r>
        <w:rPr>
          <w:spacing w:val="-1"/>
        </w:rPr>
        <w:t> </w:t>
      </w:r>
      <w:r>
        <w:rPr/>
        <w:t>updates</w:t>
      </w:r>
      <w:r>
        <w:rPr>
          <w:spacing w:val="-1"/>
        </w:rPr>
        <w:t> </w:t>
      </w:r>
      <w:r>
        <w:rPr/>
        <w:t>to Attachment E as set forth below to CMS for approval.</w:t>
      </w:r>
    </w:p>
    <w:p>
      <w:pPr>
        <w:pStyle w:val="BodyText"/>
        <w:spacing w:before="10"/>
        <w:rPr>
          <w:sz w:val="20"/>
        </w:rPr>
      </w:pPr>
    </w:p>
    <w:p>
      <w:pPr>
        <w:pStyle w:val="BodyText"/>
        <w:ind w:left="1411" w:right="1059"/>
      </w:pPr>
      <w:r>
        <w:rPr/>
        <w:drawing>
          <wp:anchor distT="0" distB="0" distL="0" distR="0" allowOverlap="1" layoutInCell="1" locked="0" behindDoc="0" simplePos="0" relativeHeight="15882240">
            <wp:simplePos x="0" y="0"/>
            <wp:positionH relativeFrom="page">
              <wp:posOffset>1431036</wp:posOffset>
            </wp:positionH>
            <wp:positionV relativeFrom="paragraph">
              <wp:posOffset>67603</wp:posOffset>
            </wp:positionV>
            <wp:extent cx="96011" cy="80771"/>
            <wp:effectExtent l="0" t="0" r="0" b="0"/>
            <wp:wrapNone/>
            <wp:docPr id="311" name="Image 311"/>
            <wp:cNvGraphicFramePr>
              <a:graphicFrameLocks/>
            </wp:cNvGraphicFramePr>
            <a:graphic>
              <a:graphicData uri="http://schemas.openxmlformats.org/drawingml/2006/picture">
                <pic:pic>
                  <pic:nvPicPr>
                    <pic:cNvPr id="311" name="Image 311"/>
                    <pic:cNvPicPr/>
                  </pic:nvPicPr>
                  <pic:blipFill>
                    <a:blip r:embed="rId40" cstate="print"/>
                    <a:stretch>
                      <a:fillRect/>
                    </a:stretch>
                  </pic:blipFill>
                  <pic:spPr>
                    <a:xfrm>
                      <a:off x="0" y="0"/>
                      <a:ext cx="96011" cy="80771"/>
                    </a:xfrm>
                    <a:prstGeom prst="rect">
                      <a:avLst/>
                    </a:prstGeom>
                  </pic:spPr>
                </pic:pic>
              </a:graphicData>
            </a:graphic>
          </wp:anchor>
        </w:drawing>
      </w:r>
      <w:bookmarkStart w:name="a. Charts A – C of Attachment E. The Com" w:id="488"/>
      <w:bookmarkEnd w:id="488"/>
      <w:r>
        <w:rPr/>
      </w:r>
      <w:r>
        <w:rPr>
          <w:b/>
        </w:rPr>
        <w:t>Charts A – C of Attachment E. </w:t>
      </w:r>
      <w:r>
        <w:rPr/>
        <w:t>The Commonwealth must submit to CMS for approval, updates to Charts A – C of Attachment E that reflect projected SNCP payments</w:t>
      </w:r>
      <w:r>
        <w:rPr>
          <w:spacing w:val="-4"/>
        </w:rPr>
        <w:t> </w:t>
      </w:r>
      <w:r>
        <w:rPr/>
        <w:t>and</w:t>
      </w:r>
      <w:r>
        <w:rPr>
          <w:spacing w:val="-4"/>
        </w:rPr>
        <w:t> </w:t>
      </w:r>
      <w:r>
        <w:rPr/>
        <w:t>expenditures</w:t>
      </w:r>
      <w:r>
        <w:rPr>
          <w:spacing w:val="-4"/>
        </w:rPr>
        <w:t> </w:t>
      </w:r>
      <w:r>
        <w:rPr/>
        <w:t>for</w:t>
      </w:r>
      <w:r>
        <w:rPr>
          <w:spacing w:val="-5"/>
        </w:rPr>
        <w:t> </w:t>
      </w:r>
      <w:r>
        <w:rPr/>
        <w:t>State</w:t>
      </w:r>
      <w:r>
        <w:rPr>
          <w:spacing w:val="-3"/>
        </w:rPr>
        <w:t> </w:t>
      </w:r>
      <w:r>
        <w:rPr/>
        <w:t>Fiscal</w:t>
      </w:r>
      <w:r>
        <w:rPr>
          <w:spacing w:val="-4"/>
        </w:rPr>
        <w:t> </w:t>
      </w:r>
      <w:r>
        <w:rPr/>
        <w:t>Years</w:t>
      </w:r>
      <w:r>
        <w:rPr>
          <w:spacing w:val="-2"/>
        </w:rPr>
        <w:t> </w:t>
      </w:r>
      <w:r>
        <w:rPr/>
        <w:t>(SFYs)</w:t>
      </w:r>
      <w:r>
        <w:rPr>
          <w:spacing w:val="-5"/>
        </w:rPr>
        <w:t> </w:t>
      </w:r>
      <w:r>
        <w:rPr/>
        <w:t>2023-2028,</w:t>
      </w:r>
      <w:r>
        <w:rPr>
          <w:spacing w:val="-2"/>
        </w:rPr>
        <w:t> </w:t>
      </w:r>
      <w:r>
        <w:rPr/>
        <w:t>and</w:t>
      </w:r>
      <w:r>
        <w:rPr>
          <w:spacing w:val="-4"/>
        </w:rPr>
        <w:t> </w:t>
      </w:r>
      <w:r>
        <w:rPr/>
        <w:t>identify</w:t>
      </w:r>
    </w:p>
    <w:p>
      <w:pPr>
        <w:spacing w:after="0"/>
        <w:sectPr>
          <w:pgSz w:w="12240" w:h="15840"/>
          <w:pgMar w:header="0" w:footer="1201" w:top="1360" w:bottom="1400" w:left="1200" w:right="400"/>
        </w:sectPr>
      </w:pPr>
    </w:p>
    <w:p>
      <w:pPr>
        <w:pStyle w:val="BodyText"/>
        <w:spacing w:before="79"/>
        <w:ind w:left="1411" w:right="1059"/>
      </w:pPr>
      <w:r>
        <w:rPr/>
        <w:t>the non-federal share for each line item, no later than 45 business days after enactment of the State budget for each SFY. CMS shall approve the Commonwealth’s projected SNCP payments and expenditures within 30 business days</w:t>
      </w:r>
      <w:r>
        <w:rPr>
          <w:spacing w:val="-4"/>
        </w:rPr>
        <w:t> </w:t>
      </w:r>
      <w:r>
        <w:rPr/>
        <w:t>of</w:t>
      </w:r>
      <w:r>
        <w:rPr>
          <w:spacing w:val="-5"/>
        </w:rPr>
        <w:t> </w:t>
      </w:r>
      <w:r>
        <w:rPr/>
        <w:t>the</w:t>
      </w:r>
      <w:r>
        <w:rPr>
          <w:spacing w:val="-5"/>
        </w:rPr>
        <w:t> </w:t>
      </w:r>
      <w:r>
        <w:rPr/>
        <w:t>Commonwealth’s</w:t>
      </w:r>
      <w:r>
        <w:rPr>
          <w:spacing w:val="-4"/>
        </w:rPr>
        <w:t> </w:t>
      </w:r>
      <w:r>
        <w:rPr/>
        <w:t>submission</w:t>
      </w:r>
      <w:r>
        <w:rPr>
          <w:spacing w:val="-4"/>
        </w:rPr>
        <w:t> </w:t>
      </w:r>
      <w:r>
        <w:rPr/>
        <w:t>of</w:t>
      </w:r>
      <w:r>
        <w:rPr>
          <w:spacing w:val="-5"/>
        </w:rPr>
        <w:t> </w:t>
      </w:r>
      <w:r>
        <w:rPr/>
        <w:t>the</w:t>
      </w:r>
      <w:r>
        <w:rPr>
          <w:spacing w:val="-5"/>
        </w:rPr>
        <w:t> </w:t>
      </w:r>
      <w:r>
        <w:rPr/>
        <w:t>update,</w:t>
      </w:r>
      <w:r>
        <w:rPr>
          <w:spacing w:val="-4"/>
        </w:rPr>
        <w:t> </w:t>
      </w:r>
      <w:r>
        <w:rPr/>
        <w:t>provided</w:t>
      </w:r>
      <w:r>
        <w:rPr>
          <w:spacing w:val="-4"/>
        </w:rPr>
        <w:t> </w:t>
      </w:r>
      <w:r>
        <w:rPr/>
        <w:t>that</w:t>
      </w:r>
      <w:r>
        <w:rPr>
          <w:spacing w:val="-4"/>
        </w:rPr>
        <w:t> </w:t>
      </w:r>
      <w:r>
        <w:rPr/>
        <w:t>all</w:t>
      </w:r>
      <w:r>
        <w:rPr>
          <w:spacing w:val="-4"/>
        </w:rPr>
        <w:t> </w:t>
      </w:r>
      <w:r>
        <w:rPr/>
        <w:t>projections are within the applicable SNCP limits specified in STC 11.4.</w:t>
      </w:r>
    </w:p>
    <w:p>
      <w:pPr>
        <w:pStyle w:val="BodyText"/>
        <w:spacing w:before="10"/>
        <w:rPr>
          <w:sz w:val="20"/>
        </w:rPr>
      </w:pPr>
    </w:p>
    <w:p>
      <w:pPr>
        <w:pStyle w:val="BodyText"/>
        <w:ind w:left="1411" w:right="1059"/>
      </w:pPr>
      <w:r>
        <w:rPr/>
        <w:drawing>
          <wp:anchor distT="0" distB="0" distL="0" distR="0" allowOverlap="1" layoutInCell="1" locked="0" behindDoc="0" simplePos="0" relativeHeight="15882752">
            <wp:simplePos x="0" y="0"/>
            <wp:positionH relativeFrom="page">
              <wp:posOffset>1424939</wp:posOffset>
            </wp:positionH>
            <wp:positionV relativeFrom="paragraph">
              <wp:posOffset>32552</wp:posOffset>
            </wp:positionV>
            <wp:extent cx="111251" cy="115823"/>
            <wp:effectExtent l="0" t="0" r="0" b="0"/>
            <wp:wrapNone/>
            <wp:docPr id="312" name="Image 312"/>
            <wp:cNvGraphicFramePr>
              <a:graphicFrameLocks/>
            </wp:cNvGraphicFramePr>
            <a:graphic>
              <a:graphicData uri="http://schemas.openxmlformats.org/drawingml/2006/picture">
                <pic:pic>
                  <pic:nvPicPr>
                    <pic:cNvPr id="312" name="Image 312"/>
                    <pic:cNvPicPr/>
                  </pic:nvPicPr>
                  <pic:blipFill>
                    <a:blip r:embed="rId34" cstate="print"/>
                    <a:stretch>
                      <a:fillRect/>
                    </a:stretch>
                  </pic:blipFill>
                  <pic:spPr>
                    <a:xfrm>
                      <a:off x="0" y="0"/>
                      <a:ext cx="111251" cy="115823"/>
                    </a:xfrm>
                    <a:prstGeom prst="rect">
                      <a:avLst/>
                    </a:prstGeom>
                  </pic:spPr>
                </pic:pic>
              </a:graphicData>
            </a:graphic>
          </wp:anchor>
        </w:drawing>
      </w:r>
      <w:bookmarkStart w:name="b. Before it can claim FFP, the Commonwe" w:id="489"/>
      <w:bookmarkEnd w:id="489"/>
      <w:r>
        <w:rPr/>
      </w:r>
      <w:r>
        <w:rPr/>
        <w:t>Before it can claim FFP, the Commonwealth must notify CMS and receive CMS approval, for any SNCP payments and expenditures outlined in Charts A-C of Attachment E that are in excess of the approved projected SNCP payments and expenditures</w:t>
      </w:r>
      <w:r>
        <w:rPr>
          <w:spacing w:val="-3"/>
        </w:rPr>
        <w:t> </w:t>
      </w:r>
      <w:r>
        <w:rPr/>
        <w:t>by</w:t>
      </w:r>
      <w:r>
        <w:rPr>
          <w:spacing w:val="-8"/>
        </w:rPr>
        <w:t> </w:t>
      </w:r>
      <w:r>
        <w:rPr/>
        <w:t>a</w:t>
      </w:r>
      <w:r>
        <w:rPr>
          <w:spacing w:val="-4"/>
        </w:rPr>
        <w:t> </w:t>
      </w:r>
      <w:r>
        <w:rPr/>
        <w:t>variance</w:t>
      </w:r>
      <w:r>
        <w:rPr>
          <w:spacing w:val="-2"/>
        </w:rPr>
        <w:t> </w:t>
      </w:r>
      <w:r>
        <w:rPr/>
        <w:t>greater</w:t>
      </w:r>
      <w:r>
        <w:rPr>
          <w:spacing w:val="-4"/>
        </w:rPr>
        <w:t> </w:t>
      </w:r>
      <w:r>
        <w:rPr/>
        <w:t>than</w:t>
      </w:r>
      <w:r>
        <w:rPr>
          <w:spacing w:val="-3"/>
        </w:rPr>
        <w:t> </w:t>
      </w:r>
      <w:r>
        <w:rPr/>
        <w:t>10</w:t>
      </w:r>
      <w:r>
        <w:rPr>
          <w:spacing w:val="-3"/>
        </w:rPr>
        <w:t> </w:t>
      </w:r>
      <w:r>
        <w:rPr/>
        <w:t>percent.</w:t>
      </w:r>
      <w:r>
        <w:rPr>
          <w:spacing w:val="-3"/>
        </w:rPr>
        <w:t> </w:t>
      </w:r>
      <w:r>
        <w:rPr/>
        <w:t>Any</w:t>
      </w:r>
      <w:r>
        <w:rPr>
          <w:spacing w:val="-8"/>
        </w:rPr>
        <w:t> </w:t>
      </w:r>
      <w:r>
        <w:rPr/>
        <w:t>variance</w:t>
      </w:r>
      <w:r>
        <w:rPr>
          <w:spacing w:val="-4"/>
        </w:rPr>
        <w:t> </w:t>
      </w:r>
      <w:r>
        <w:rPr/>
        <w:t>in</w:t>
      </w:r>
      <w:r>
        <w:rPr>
          <w:spacing w:val="-3"/>
        </w:rPr>
        <w:t> </w:t>
      </w:r>
      <w:r>
        <w:rPr/>
        <w:t>SNCP</w:t>
      </w:r>
      <w:r>
        <w:rPr>
          <w:spacing w:val="-3"/>
        </w:rPr>
        <w:t> </w:t>
      </w:r>
      <w:r>
        <w:rPr/>
        <w:t>payments and expenditures must adhere to the SNCP expenditure limits pursuant to STC 11.4 The Commonwealth must submit to CMS for approval updates to Charts A – C that include these variations in projected SNCP payments and expenditures. CMS shall approve the Commonwealth’s revised projected SNCP payments and expenditures within</w:t>
      </w:r>
      <w:r>
        <w:rPr>
          <w:spacing w:val="-1"/>
        </w:rPr>
        <w:t> </w:t>
      </w:r>
      <w:r>
        <w:rPr/>
        <w:t>30</w:t>
      </w:r>
      <w:r>
        <w:rPr>
          <w:spacing w:val="-1"/>
        </w:rPr>
        <w:t> </w:t>
      </w:r>
      <w:r>
        <w:rPr/>
        <w:t>business</w:t>
      </w:r>
      <w:r>
        <w:rPr>
          <w:spacing w:val="-1"/>
        </w:rPr>
        <w:t> </w:t>
      </w:r>
      <w:r>
        <w:rPr/>
        <w:t>days of</w:t>
      </w:r>
      <w:r>
        <w:rPr>
          <w:spacing w:val="-2"/>
        </w:rPr>
        <w:t> </w:t>
      </w:r>
      <w:r>
        <w:rPr/>
        <w:t>the</w:t>
      </w:r>
      <w:r>
        <w:rPr>
          <w:spacing w:val="-2"/>
        </w:rPr>
        <w:t> </w:t>
      </w:r>
      <w:r>
        <w:rPr/>
        <w:t>Commonwealth’s submission</w:t>
      </w:r>
      <w:r>
        <w:rPr>
          <w:spacing w:val="-1"/>
        </w:rPr>
        <w:t> </w:t>
      </w:r>
      <w:r>
        <w:rPr/>
        <w:t>of</w:t>
      </w:r>
      <w:r>
        <w:rPr>
          <w:spacing w:val="-2"/>
        </w:rPr>
        <w:t> </w:t>
      </w:r>
      <w:r>
        <w:rPr/>
        <w:t>the</w:t>
      </w:r>
      <w:r>
        <w:rPr>
          <w:spacing w:val="-2"/>
        </w:rPr>
        <w:t> </w:t>
      </w:r>
      <w:r>
        <w:rPr/>
        <w:t>update,</w:t>
      </w:r>
      <w:r>
        <w:rPr>
          <w:spacing w:val="-1"/>
        </w:rPr>
        <w:t> </w:t>
      </w:r>
      <w:r>
        <w:rPr/>
        <w:t>provided that all projections are within the applicable SNCP limits specified in STC 11.4.</w:t>
      </w:r>
    </w:p>
    <w:p>
      <w:pPr>
        <w:pStyle w:val="BodyText"/>
        <w:spacing w:before="10"/>
        <w:rPr>
          <w:sz w:val="20"/>
        </w:rPr>
      </w:pPr>
    </w:p>
    <w:p>
      <w:pPr>
        <w:pStyle w:val="BodyText"/>
        <w:ind w:left="1411" w:right="1141"/>
      </w:pPr>
      <w:r>
        <w:rPr/>
        <w:drawing>
          <wp:anchor distT="0" distB="0" distL="0" distR="0" allowOverlap="1" layoutInCell="1" locked="0" behindDoc="0" simplePos="0" relativeHeight="15883264">
            <wp:simplePos x="0" y="0"/>
            <wp:positionH relativeFrom="page">
              <wp:posOffset>1431036</wp:posOffset>
            </wp:positionH>
            <wp:positionV relativeFrom="paragraph">
              <wp:posOffset>67603</wp:posOffset>
            </wp:positionV>
            <wp:extent cx="96011" cy="80771"/>
            <wp:effectExtent l="0" t="0" r="0" b="0"/>
            <wp:wrapNone/>
            <wp:docPr id="313" name="Image 313"/>
            <wp:cNvGraphicFramePr>
              <a:graphicFrameLocks/>
            </wp:cNvGraphicFramePr>
            <a:graphic>
              <a:graphicData uri="http://schemas.openxmlformats.org/drawingml/2006/picture">
                <pic:pic>
                  <pic:nvPicPr>
                    <pic:cNvPr id="313" name="Image 313"/>
                    <pic:cNvPicPr/>
                  </pic:nvPicPr>
                  <pic:blipFill>
                    <a:blip r:embed="rId35" cstate="print"/>
                    <a:stretch>
                      <a:fillRect/>
                    </a:stretch>
                  </pic:blipFill>
                  <pic:spPr>
                    <a:xfrm>
                      <a:off x="0" y="0"/>
                      <a:ext cx="96011" cy="80771"/>
                    </a:xfrm>
                    <a:prstGeom prst="rect">
                      <a:avLst/>
                    </a:prstGeom>
                  </pic:spPr>
                </pic:pic>
              </a:graphicData>
            </a:graphic>
          </wp:anchor>
        </w:drawing>
      </w:r>
      <w:bookmarkStart w:name="c. The Commonwealth must submit to CMS f" w:id="490"/>
      <w:bookmarkEnd w:id="490"/>
      <w:r>
        <w:rPr/>
      </w:r>
      <w:r>
        <w:rPr/>
        <w:t>The</w:t>
      </w:r>
      <w:r>
        <w:rPr>
          <w:spacing w:val="-3"/>
        </w:rPr>
        <w:t> </w:t>
      </w:r>
      <w:r>
        <w:rPr/>
        <w:t>Commonwealth</w:t>
      </w:r>
      <w:r>
        <w:rPr>
          <w:spacing w:val="-2"/>
        </w:rPr>
        <w:t> </w:t>
      </w:r>
      <w:r>
        <w:rPr/>
        <w:t>must</w:t>
      </w:r>
      <w:r>
        <w:rPr>
          <w:spacing w:val="-2"/>
        </w:rPr>
        <w:t> </w:t>
      </w:r>
      <w:r>
        <w:rPr/>
        <w:t>submit</w:t>
      </w:r>
      <w:r>
        <w:rPr>
          <w:spacing w:val="-2"/>
        </w:rPr>
        <w:t> </w:t>
      </w:r>
      <w:r>
        <w:rPr/>
        <w:t>to</w:t>
      </w:r>
      <w:r>
        <w:rPr>
          <w:spacing w:val="-2"/>
        </w:rPr>
        <w:t> </w:t>
      </w:r>
      <w:r>
        <w:rPr/>
        <w:t>CMS</w:t>
      </w:r>
      <w:r>
        <w:rPr>
          <w:spacing w:val="-2"/>
        </w:rPr>
        <w:t> </w:t>
      </w:r>
      <w:r>
        <w:rPr/>
        <w:t>for</w:t>
      </w:r>
      <w:r>
        <w:rPr>
          <w:spacing w:val="-3"/>
        </w:rPr>
        <w:t> </w:t>
      </w:r>
      <w:r>
        <w:rPr/>
        <w:t>approval</w:t>
      </w:r>
      <w:r>
        <w:rPr>
          <w:spacing w:val="-2"/>
        </w:rPr>
        <w:t> </w:t>
      </w:r>
      <w:r>
        <w:rPr/>
        <w:t>updates</w:t>
      </w:r>
      <w:r>
        <w:rPr>
          <w:spacing w:val="-2"/>
        </w:rPr>
        <w:t> </w:t>
      </w:r>
      <w:r>
        <w:rPr/>
        <w:t>to</w:t>
      </w:r>
      <w:r>
        <w:rPr>
          <w:spacing w:val="-2"/>
        </w:rPr>
        <w:t> </w:t>
      </w:r>
      <w:r>
        <w:rPr/>
        <w:t>Charts</w:t>
      </w:r>
      <w:r>
        <w:rPr>
          <w:spacing w:val="-2"/>
        </w:rPr>
        <w:t> </w:t>
      </w:r>
      <w:r>
        <w:rPr/>
        <w:t>A</w:t>
      </w:r>
      <w:r>
        <w:rPr>
          <w:spacing w:val="-1"/>
        </w:rPr>
        <w:t> </w:t>
      </w:r>
      <w:r>
        <w:rPr/>
        <w:t>–</w:t>
      </w:r>
      <w:r>
        <w:rPr>
          <w:spacing w:val="-2"/>
        </w:rPr>
        <w:t> </w:t>
      </w:r>
      <w:r>
        <w:rPr/>
        <w:t>C</w:t>
      </w:r>
      <w:r>
        <w:rPr>
          <w:spacing w:val="-2"/>
        </w:rPr>
        <w:t> </w:t>
      </w:r>
      <w:r>
        <w:rPr/>
        <w:t>of Attachment E that reflect actual payments and expenditures for each SFY, within 180 calendar days after the close of the SFY. CMS shall approve the Commonwealth’s actual SNCP expenditures within 45 business days of the Commonwealth’s</w:t>
      </w:r>
      <w:r>
        <w:rPr>
          <w:spacing w:val="-4"/>
        </w:rPr>
        <w:t> </w:t>
      </w:r>
      <w:r>
        <w:rPr/>
        <w:t>submission</w:t>
      </w:r>
      <w:r>
        <w:rPr>
          <w:spacing w:val="-4"/>
        </w:rPr>
        <w:t> </w:t>
      </w:r>
      <w:r>
        <w:rPr/>
        <w:t>of</w:t>
      </w:r>
      <w:r>
        <w:rPr>
          <w:spacing w:val="-5"/>
        </w:rPr>
        <w:t> </w:t>
      </w:r>
      <w:r>
        <w:rPr/>
        <w:t>the</w:t>
      </w:r>
      <w:r>
        <w:rPr>
          <w:spacing w:val="-5"/>
        </w:rPr>
        <w:t> </w:t>
      </w:r>
      <w:r>
        <w:rPr/>
        <w:t>update,</w:t>
      </w:r>
      <w:r>
        <w:rPr>
          <w:spacing w:val="-4"/>
        </w:rPr>
        <w:t> </w:t>
      </w:r>
      <w:r>
        <w:rPr/>
        <w:t>provided</w:t>
      </w:r>
      <w:r>
        <w:rPr>
          <w:spacing w:val="-4"/>
        </w:rPr>
        <w:t> </w:t>
      </w:r>
      <w:r>
        <w:rPr/>
        <w:t>that</w:t>
      </w:r>
      <w:r>
        <w:rPr>
          <w:spacing w:val="-4"/>
        </w:rPr>
        <w:t> </w:t>
      </w:r>
      <w:r>
        <w:rPr/>
        <w:t>all</w:t>
      </w:r>
      <w:r>
        <w:rPr>
          <w:spacing w:val="-4"/>
        </w:rPr>
        <w:t> </w:t>
      </w:r>
      <w:r>
        <w:rPr/>
        <w:t>SNCP</w:t>
      </w:r>
      <w:r>
        <w:rPr>
          <w:spacing w:val="-4"/>
        </w:rPr>
        <w:t> </w:t>
      </w:r>
      <w:r>
        <w:rPr/>
        <w:t>payments</w:t>
      </w:r>
      <w:r>
        <w:rPr>
          <w:spacing w:val="-4"/>
        </w:rPr>
        <w:t> </w:t>
      </w:r>
      <w:r>
        <w:rPr/>
        <w:t>and expenditures are within the applicable SNCP limits specified in STC 11.4.</w:t>
      </w:r>
    </w:p>
    <w:p>
      <w:pPr>
        <w:pStyle w:val="BodyText"/>
        <w:spacing w:before="10"/>
        <w:rPr>
          <w:sz w:val="20"/>
        </w:rPr>
      </w:pPr>
    </w:p>
    <w:p>
      <w:pPr>
        <w:pStyle w:val="BodyText"/>
        <w:ind w:left="1411" w:right="1141"/>
      </w:pPr>
      <w:r>
        <w:rPr/>
        <w:drawing>
          <wp:anchor distT="0" distB="0" distL="0" distR="0" allowOverlap="1" layoutInCell="1" locked="0" behindDoc="0" simplePos="0" relativeHeight="15883776">
            <wp:simplePos x="0" y="0"/>
            <wp:positionH relativeFrom="page">
              <wp:posOffset>1431036</wp:posOffset>
            </wp:positionH>
            <wp:positionV relativeFrom="paragraph">
              <wp:posOffset>32551</wp:posOffset>
            </wp:positionV>
            <wp:extent cx="105155" cy="115823"/>
            <wp:effectExtent l="0" t="0" r="0" b="0"/>
            <wp:wrapNone/>
            <wp:docPr id="314" name="Image 314"/>
            <wp:cNvGraphicFramePr>
              <a:graphicFrameLocks/>
            </wp:cNvGraphicFramePr>
            <a:graphic>
              <a:graphicData uri="http://schemas.openxmlformats.org/drawingml/2006/picture">
                <pic:pic>
                  <pic:nvPicPr>
                    <pic:cNvPr id="314" name="Image 314"/>
                    <pic:cNvPicPr/>
                  </pic:nvPicPr>
                  <pic:blipFill>
                    <a:blip r:embed="rId36" cstate="print"/>
                    <a:stretch>
                      <a:fillRect/>
                    </a:stretch>
                  </pic:blipFill>
                  <pic:spPr>
                    <a:xfrm>
                      <a:off x="0" y="0"/>
                      <a:ext cx="105155" cy="115823"/>
                    </a:xfrm>
                    <a:prstGeom prst="rect">
                      <a:avLst/>
                    </a:prstGeom>
                  </pic:spPr>
                </pic:pic>
              </a:graphicData>
            </a:graphic>
          </wp:anchor>
        </w:drawing>
      </w:r>
      <w:bookmarkStart w:name="d. The Commonwealth must submit to CMS f" w:id="491"/>
      <w:bookmarkEnd w:id="491"/>
      <w:r>
        <w:rPr/>
      </w:r>
      <w:r>
        <w:rPr/>
        <w:t>The</w:t>
      </w:r>
      <w:r>
        <w:rPr>
          <w:spacing w:val="-4"/>
        </w:rPr>
        <w:t> </w:t>
      </w:r>
      <w:r>
        <w:rPr/>
        <w:t>Commonwealth</w:t>
      </w:r>
      <w:r>
        <w:rPr>
          <w:spacing w:val="-3"/>
        </w:rPr>
        <w:t> </w:t>
      </w:r>
      <w:r>
        <w:rPr/>
        <w:t>must</w:t>
      </w:r>
      <w:r>
        <w:rPr>
          <w:spacing w:val="-3"/>
        </w:rPr>
        <w:t> </w:t>
      </w:r>
      <w:r>
        <w:rPr/>
        <w:t>submit</w:t>
      </w:r>
      <w:r>
        <w:rPr>
          <w:spacing w:val="-3"/>
        </w:rPr>
        <w:t> </w:t>
      </w:r>
      <w:r>
        <w:rPr/>
        <w:t>to</w:t>
      </w:r>
      <w:r>
        <w:rPr>
          <w:spacing w:val="-3"/>
        </w:rPr>
        <w:t> </w:t>
      </w:r>
      <w:r>
        <w:rPr/>
        <w:t>CMS</w:t>
      </w:r>
      <w:r>
        <w:rPr>
          <w:spacing w:val="-3"/>
        </w:rPr>
        <w:t> </w:t>
      </w:r>
      <w:r>
        <w:rPr/>
        <w:t>for</w:t>
      </w:r>
      <w:r>
        <w:rPr>
          <w:spacing w:val="-4"/>
        </w:rPr>
        <w:t> </w:t>
      </w:r>
      <w:r>
        <w:rPr/>
        <w:t>approval</w:t>
      </w:r>
      <w:r>
        <w:rPr>
          <w:spacing w:val="-3"/>
        </w:rPr>
        <w:t> </w:t>
      </w:r>
      <w:r>
        <w:rPr/>
        <w:t>further</w:t>
      </w:r>
      <w:r>
        <w:rPr>
          <w:spacing w:val="-4"/>
        </w:rPr>
        <w:t> </w:t>
      </w:r>
      <w:r>
        <w:rPr/>
        <w:t>updates</w:t>
      </w:r>
      <w:r>
        <w:rPr>
          <w:spacing w:val="-3"/>
        </w:rPr>
        <w:t> </w:t>
      </w:r>
      <w:r>
        <w:rPr/>
        <w:t>to</w:t>
      </w:r>
      <w:r>
        <w:rPr>
          <w:spacing w:val="-3"/>
        </w:rPr>
        <w:t> </w:t>
      </w:r>
      <w:r>
        <w:rPr/>
        <w:t>any</w:t>
      </w:r>
      <w:r>
        <w:rPr>
          <w:spacing w:val="-6"/>
        </w:rPr>
        <w:t> </w:t>
      </w:r>
      <w:r>
        <w:rPr/>
        <w:t>or</w:t>
      </w:r>
      <w:r>
        <w:rPr>
          <w:spacing w:val="-2"/>
        </w:rPr>
        <w:t> </w:t>
      </w:r>
      <w:r>
        <w:rPr/>
        <w:t>all of these charts as part of the quarterly</w:t>
      </w:r>
      <w:r>
        <w:rPr>
          <w:spacing w:val="-4"/>
        </w:rPr>
        <w:t> </w:t>
      </w:r>
      <w:r>
        <w:rPr/>
        <w:t>operational report and at such other times as may be required to reflect projected or actual changes in SNCP payments and </w:t>
      </w:r>
      <w:r>
        <w:rPr>
          <w:spacing w:val="-2"/>
        </w:rPr>
        <w:t>expenditures.</w:t>
      </w:r>
    </w:p>
    <w:p>
      <w:pPr>
        <w:pStyle w:val="BodyText"/>
        <w:spacing w:before="10"/>
        <w:rPr>
          <w:sz w:val="20"/>
        </w:rPr>
      </w:pPr>
    </w:p>
    <w:p>
      <w:pPr>
        <w:pStyle w:val="BodyText"/>
        <w:spacing w:before="1"/>
        <w:ind w:left="1411" w:right="1059"/>
      </w:pPr>
      <w:r>
        <w:rPr/>
        <w:drawing>
          <wp:anchor distT="0" distB="0" distL="0" distR="0" allowOverlap="1" layoutInCell="1" locked="0" behindDoc="0" simplePos="0" relativeHeight="15884288">
            <wp:simplePos x="0" y="0"/>
            <wp:positionH relativeFrom="page">
              <wp:posOffset>1431036</wp:posOffset>
            </wp:positionH>
            <wp:positionV relativeFrom="paragraph">
              <wp:posOffset>68238</wp:posOffset>
            </wp:positionV>
            <wp:extent cx="96011" cy="80771"/>
            <wp:effectExtent l="0" t="0" r="0" b="0"/>
            <wp:wrapNone/>
            <wp:docPr id="315" name="Image 315"/>
            <wp:cNvGraphicFramePr>
              <a:graphicFrameLocks/>
            </wp:cNvGraphicFramePr>
            <a:graphic>
              <a:graphicData uri="http://schemas.openxmlformats.org/drawingml/2006/picture">
                <pic:pic>
                  <pic:nvPicPr>
                    <pic:cNvPr id="315" name="Image 315"/>
                    <pic:cNvPicPr/>
                  </pic:nvPicPr>
                  <pic:blipFill>
                    <a:blip r:embed="rId37" cstate="print"/>
                    <a:stretch>
                      <a:fillRect/>
                    </a:stretch>
                  </pic:blipFill>
                  <pic:spPr>
                    <a:xfrm>
                      <a:off x="0" y="0"/>
                      <a:ext cx="96011" cy="80771"/>
                    </a:xfrm>
                    <a:prstGeom prst="rect">
                      <a:avLst/>
                    </a:prstGeom>
                  </pic:spPr>
                </pic:pic>
              </a:graphicData>
            </a:graphic>
          </wp:anchor>
        </w:drawing>
      </w:r>
      <w:bookmarkStart w:name="e. CMS must approve the Commonwealth’s u" w:id="492"/>
      <w:bookmarkEnd w:id="492"/>
      <w:r>
        <w:rPr/>
      </w:r>
      <w:r>
        <w:rPr/>
        <w:t>CMS</w:t>
      </w:r>
      <w:r>
        <w:rPr>
          <w:spacing w:val="-4"/>
        </w:rPr>
        <w:t> </w:t>
      </w:r>
      <w:r>
        <w:rPr/>
        <w:t>must</w:t>
      </w:r>
      <w:r>
        <w:rPr>
          <w:spacing w:val="-4"/>
        </w:rPr>
        <w:t> </w:t>
      </w:r>
      <w:r>
        <w:rPr/>
        <w:t>approve</w:t>
      </w:r>
      <w:r>
        <w:rPr>
          <w:spacing w:val="-5"/>
        </w:rPr>
        <w:t> </w:t>
      </w:r>
      <w:r>
        <w:rPr/>
        <w:t>the</w:t>
      </w:r>
      <w:r>
        <w:rPr>
          <w:spacing w:val="-5"/>
        </w:rPr>
        <w:t> </w:t>
      </w:r>
      <w:r>
        <w:rPr/>
        <w:t>Commonwealth’s</w:t>
      </w:r>
      <w:r>
        <w:rPr>
          <w:spacing w:val="-4"/>
        </w:rPr>
        <w:t> </w:t>
      </w:r>
      <w:r>
        <w:rPr/>
        <w:t>updated</w:t>
      </w:r>
      <w:r>
        <w:rPr>
          <w:spacing w:val="-2"/>
        </w:rPr>
        <w:t> </w:t>
      </w:r>
      <w:r>
        <w:rPr/>
        <w:t>charts</w:t>
      </w:r>
      <w:r>
        <w:rPr>
          <w:spacing w:val="-4"/>
        </w:rPr>
        <w:t> </w:t>
      </w:r>
      <w:r>
        <w:rPr/>
        <w:t>within</w:t>
      </w:r>
      <w:r>
        <w:rPr>
          <w:spacing w:val="-4"/>
        </w:rPr>
        <w:t> </w:t>
      </w:r>
      <w:r>
        <w:rPr/>
        <w:t>45</w:t>
      </w:r>
      <w:r>
        <w:rPr>
          <w:spacing w:val="-4"/>
        </w:rPr>
        <w:t> </w:t>
      </w:r>
      <w:r>
        <w:rPr/>
        <w:t>business</w:t>
      </w:r>
      <w:r>
        <w:rPr>
          <w:spacing w:val="-4"/>
        </w:rPr>
        <w:t> </w:t>
      </w:r>
      <w:r>
        <w:rPr/>
        <w:t>days</w:t>
      </w:r>
      <w:r>
        <w:rPr>
          <w:spacing w:val="-4"/>
        </w:rPr>
        <w:t> </w:t>
      </w:r>
      <w:r>
        <w:rPr/>
        <w:t>of the Commonwealth’s submission of the update, provided that all SNCP payments and expenditures are within the applicable limits specified in STC 11.4.</w:t>
      </w:r>
    </w:p>
    <w:p>
      <w:pPr>
        <w:pStyle w:val="BodyText"/>
        <w:spacing w:before="9"/>
        <w:rPr>
          <w:sz w:val="20"/>
        </w:rPr>
      </w:pPr>
    </w:p>
    <w:p>
      <w:pPr>
        <w:pStyle w:val="BodyText"/>
        <w:spacing w:before="1"/>
        <w:ind w:left="1411" w:right="1059"/>
      </w:pPr>
      <w:r>
        <w:rPr/>
        <w:drawing>
          <wp:anchor distT="0" distB="0" distL="0" distR="0" allowOverlap="1" layoutInCell="1" locked="0" behindDoc="0" simplePos="0" relativeHeight="15884800">
            <wp:simplePos x="0" y="0"/>
            <wp:positionH relativeFrom="page">
              <wp:posOffset>1431036</wp:posOffset>
            </wp:positionH>
            <wp:positionV relativeFrom="paragraph">
              <wp:posOffset>33186</wp:posOffset>
            </wp:positionV>
            <wp:extent cx="79247" cy="115823"/>
            <wp:effectExtent l="0" t="0" r="0" b="0"/>
            <wp:wrapNone/>
            <wp:docPr id="316" name="Image 316"/>
            <wp:cNvGraphicFramePr>
              <a:graphicFrameLocks/>
            </wp:cNvGraphicFramePr>
            <a:graphic>
              <a:graphicData uri="http://schemas.openxmlformats.org/drawingml/2006/picture">
                <pic:pic>
                  <pic:nvPicPr>
                    <pic:cNvPr id="316" name="Image 316"/>
                    <pic:cNvPicPr/>
                  </pic:nvPicPr>
                  <pic:blipFill>
                    <a:blip r:embed="rId42" cstate="print"/>
                    <a:stretch>
                      <a:fillRect/>
                    </a:stretch>
                  </pic:blipFill>
                  <pic:spPr>
                    <a:xfrm>
                      <a:off x="0" y="0"/>
                      <a:ext cx="79247" cy="115823"/>
                    </a:xfrm>
                    <a:prstGeom prst="rect">
                      <a:avLst/>
                    </a:prstGeom>
                  </pic:spPr>
                </pic:pic>
              </a:graphicData>
            </a:graphic>
          </wp:anchor>
        </w:drawing>
      </w:r>
      <w:bookmarkStart w:name="f. No demonstration amendment is require" w:id="493"/>
      <w:bookmarkEnd w:id="493"/>
      <w:r>
        <w:rPr/>
      </w:r>
      <w:r>
        <w:rPr/>
        <w:t>No demonstration amendment is required to update Charts A-C in Attachment E, with</w:t>
      </w:r>
      <w:r>
        <w:rPr>
          <w:spacing w:val="-3"/>
        </w:rPr>
        <w:t> </w:t>
      </w:r>
      <w:r>
        <w:rPr/>
        <w:t>the</w:t>
      </w:r>
      <w:r>
        <w:rPr>
          <w:spacing w:val="-4"/>
        </w:rPr>
        <w:t> </w:t>
      </w:r>
      <w:r>
        <w:rPr/>
        <w:t>exception</w:t>
      </w:r>
      <w:r>
        <w:rPr>
          <w:spacing w:val="-3"/>
        </w:rPr>
        <w:t> </w:t>
      </w:r>
      <w:r>
        <w:rPr/>
        <w:t>of</w:t>
      </w:r>
      <w:r>
        <w:rPr>
          <w:spacing w:val="-4"/>
        </w:rPr>
        <w:t> </w:t>
      </w:r>
      <w:r>
        <w:rPr/>
        <w:t>any</w:t>
      </w:r>
      <w:r>
        <w:rPr>
          <w:spacing w:val="-6"/>
        </w:rPr>
        <w:t> </w:t>
      </w:r>
      <w:r>
        <w:rPr/>
        <w:t>new</w:t>
      </w:r>
      <w:r>
        <w:rPr>
          <w:spacing w:val="-4"/>
        </w:rPr>
        <w:t> </w:t>
      </w:r>
      <w:r>
        <w:rPr/>
        <w:t>types</w:t>
      </w:r>
      <w:r>
        <w:rPr>
          <w:spacing w:val="-3"/>
        </w:rPr>
        <w:t> </w:t>
      </w:r>
      <w:r>
        <w:rPr/>
        <w:t>of</w:t>
      </w:r>
      <w:r>
        <w:rPr>
          <w:spacing w:val="-4"/>
        </w:rPr>
        <w:t> </w:t>
      </w:r>
      <w:r>
        <w:rPr/>
        <w:t>payments</w:t>
      </w:r>
      <w:r>
        <w:rPr>
          <w:spacing w:val="-3"/>
        </w:rPr>
        <w:t> </w:t>
      </w:r>
      <w:r>
        <w:rPr/>
        <w:t>or</w:t>
      </w:r>
      <w:r>
        <w:rPr>
          <w:spacing w:val="-4"/>
        </w:rPr>
        <w:t> </w:t>
      </w:r>
      <w:r>
        <w:rPr/>
        <w:t>expenditures</w:t>
      </w:r>
      <w:r>
        <w:rPr>
          <w:spacing w:val="-3"/>
        </w:rPr>
        <w:t> </w:t>
      </w:r>
      <w:r>
        <w:rPr/>
        <w:t>in</w:t>
      </w:r>
      <w:r>
        <w:rPr>
          <w:spacing w:val="-3"/>
        </w:rPr>
        <w:t> </w:t>
      </w:r>
      <w:r>
        <w:rPr/>
        <w:t>Charts</w:t>
      </w:r>
      <w:r>
        <w:rPr>
          <w:spacing w:val="-3"/>
        </w:rPr>
        <w:t> </w:t>
      </w:r>
      <w:r>
        <w:rPr/>
        <w:t>A-C,</w:t>
      </w:r>
      <w:r>
        <w:rPr>
          <w:spacing w:val="-3"/>
        </w:rPr>
        <w:t> </w:t>
      </w:r>
      <w:r>
        <w:rPr/>
        <w:t>or for any increase to the Public Service Hospital Safety Net Care payments.</w:t>
      </w:r>
    </w:p>
    <w:p>
      <w:pPr>
        <w:pStyle w:val="BodyText"/>
        <w:spacing w:before="9"/>
        <w:rPr>
          <w:sz w:val="20"/>
        </w:rPr>
      </w:pPr>
    </w:p>
    <w:p>
      <w:pPr>
        <w:pStyle w:val="BodyText"/>
        <w:spacing w:before="1"/>
        <w:ind w:left="1411" w:right="1059"/>
      </w:pPr>
      <w:r>
        <w:rPr/>
        <w:drawing>
          <wp:anchor distT="0" distB="0" distL="0" distR="0" allowOverlap="1" layoutInCell="1" locked="0" behindDoc="0" simplePos="0" relativeHeight="15885312">
            <wp:simplePos x="0" y="0"/>
            <wp:positionH relativeFrom="page">
              <wp:posOffset>1429511</wp:posOffset>
            </wp:positionH>
            <wp:positionV relativeFrom="paragraph">
              <wp:posOffset>68238</wp:posOffset>
            </wp:positionV>
            <wp:extent cx="105155" cy="111251"/>
            <wp:effectExtent l="0" t="0" r="0" b="0"/>
            <wp:wrapNone/>
            <wp:docPr id="317" name="Image 317"/>
            <wp:cNvGraphicFramePr>
              <a:graphicFrameLocks/>
            </wp:cNvGraphicFramePr>
            <a:graphic>
              <a:graphicData uri="http://schemas.openxmlformats.org/drawingml/2006/picture">
                <pic:pic>
                  <pic:nvPicPr>
                    <pic:cNvPr id="317" name="Image 317"/>
                    <pic:cNvPicPr/>
                  </pic:nvPicPr>
                  <pic:blipFill>
                    <a:blip r:embed="rId95" cstate="print"/>
                    <a:stretch>
                      <a:fillRect/>
                    </a:stretch>
                  </pic:blipFill>
                  <pic:spPr>
                    <a:xfrm>
                      <a:off x="0" y="0"/>
                      <a:ext cx="105155" cy="111251"/>
                    </a:xfrm>
                    <a:prstGeom prst="rect">
                      <a:avLst/>
                    </a:prstGeom>
                  </pic:spPr>
                </pic:pic>
              </a:graphicData>
            </a:graphic>
          </wp:anchor>
        </w:drawing>
      </w:r>
      <w:bookmarkStart w:name="g. DSRIP Protocol. DSRIP reporting is re" w:id="494"/>
      <w:bookmarkEnd w:id="494"/>
      <w:r>
        <w:rPr/>
      </w:r>
      <w:r>
        <w:rPr>
          <w:b/>
        </w:rPr>
        <w:t>DSRIP</w:t>
      </w:r>
      <w:r>
        <w:rPr>
          <w:b/>
          <w:spacing w:val="-4"/>
        </w:rPr>
        <w:t> </w:t>
      </w:r>
      <w:r>
        <w:rPr>
          <w:b/>
        </w:rPr>
        <w:t>Protocol.</w:t>
      </w:r>
      <w:r>
        <w:rPr>
          <w:b/>
          <w:spacing w:val="-3"/>
        </w:rPr>
        <w:t> </w:t>
      </w:r>
      <w:r>
        <w:rPr/>
        <w:t>DSRIP</w:t>
      </w:r>
      <w:r>
        <w:rPr>
          <w:spacing w:val="-1"/>
        </w:rPr>
        <w:t> </w:t>
      </w:r>
      <w:r>
        <w:rPr/>
        <w:t>reporting</w:t>
      </w:r>
      <w:r>
        <w:rPr>
          <w:spacing w:val="-6"/>
        </w:rPr>
        <w:t> </w:t>
      </w:r>
      <w:r>
        <w:rPr/>
        <w:t>is</w:t>
      </w:r>
      <w:r>
        <w:rPr>
          <w:spacing w:val="-3"/>
        </w:rPr>
        <w:t> </w:t>
      </w:r>
      <w:r>
        <w:rPr/>
        <w:t>required</w:t>
      </w:r>
      <w:r>
        <w:rPr>
          <w:spacing w:val="-2"/>
        </w:rPr>
        <w:t> </w:t>
      </w:r>
      <w:r>
        <w:rPr/>
        <w:t>as</w:t>
      </w:r>
      <w:r>
        <w:rPr>
          <w:spacing w:val="-3"/>
        </w:rPr>
        <w:t> </w:t>
      </w:r>
      <w:r>
        <w:rPr/>
        <w:t>specified</w:t>
      </w:r>
      <w:r>
        <w:rPr>
          <w:spacing w:val="-3"/>
        </w:rPr>
        <w:t> </w:t>
      </w:r>
      <w:r>
        <w:rPr/>
        <w:t>in</w:t>
      </w:r>
      <w:r>
        <w:rPr>
          <w:spacing w:val="-3"/>
        </w:rPr>
        <w:t> </w:t>
      </w:r>
      <w:r>
        <w:rPr/>
        <w:t>Section</w:t>
      </w:r>
      <w:r>
        <w:rPr>
          <w:spacing w:val="-3"/>
        </w:rPr>
        <w:t> </w:t>
      </w:r>
      <w:r>
        <w:rPr/>
        <w:t>12</w:t>
      </w:r>
      <w:r>
        <w:rPr>
          <w:spacing w:val="-3"/>
        </w:rPr>
        <w:t> </w:t>
      </w:r>
      <w:r>
        <w:rPr/>
        <w:t>and</w:t>
      </w:r>
      <w:r>
        <w:rPr>
          <w:spacing w:val="-3"/>
        </w:rPr>
        <w:t> </w:t>
      </w:r>
      <w:r>
        <w:rPr/>
        <w:t>the approved Protocol.</w:t>
      </w:r>
    </w:p>
    <w:p>
      <w:pPr>
        <w:pStyle w:val="BodyText"/>
        <w:spacing w:before="10"/>
        <w:rPr>
          <w:sz w:val="20"/>
        </w:rPr>
      </w:pPr>
    </w:p>
    <w:p>
      <w:pPr>
        <w:pStyle w:val="BodyText"/>
        <w:ind w:left="1411"/>
      </w:pPr>
      <w:r>
        <w:rPr/>
        <w:drawing>
          <wp:anchor distT="0" distB="0" distL="0" distR="0" allowOverlap="1" layoutInCell="1" locked="0" behindDoc="0" simplePos="0" relativeHeight="15885824">
            <wp:simplePos x="0" y="0"/>
            <wp:positionH relativeFrom="page">
              <wp:posOffset>1426463</wp:posOffset>
            </wp:positionH>
            <wp:positionV relativeFrom="paragraph">
              <wp:posOffset>32551</wp:posOffset>
            </wp:positionV>
            <wp:extent cx="109727" cy="115823"/>
            <wp:effectExtent l="0" t="0" r="0" b="0"/>
            <wp:wrapNone/>
            <wp:docPr id="318" name="Image 318"/>
            <wp:cNvGraphicFramePr>
              <a:graphicFrameLocks/>
            </wp:cNvGraphicFramePr>
            <a:graphic>
              <a:graphicData uri="http://schemas.openxmlformats.org/drawingml/2006/picture">
                <pic:pic>
                  <pic:nvPicPr>
                    <pic:cNvPr id="318" name="Image 318"/>
                    <pic:cNvPicPr/>
                  </pic:nvPicPr>
                  <pic:blipFill>
                    <a:blip r:embed="rId154" cstate="print"/>
                    <a:stretch>
                      <a:fillRect/>
                    </a:stretch>
                  </pic:blipFill>
                  <pic:spPr>
                    <a:xfrm>
                      <a:off x="0" y="0"/>
                      <a:ext cx="109727" cy="115823"/>
                    </a:xfrm>
                    <a:prstGeom prst="rect">
                      <a:avLst/>
                    </a:prstGeom>
                  </pic:spPr>
                </pic:pic>
              </a:graphicData>
            </a:graphic>
          </wp:anchor>
        </w:drawing>
      </w:r>
      <w:bookmarkStart w:name="h. UC Payments.  UC payment reporting is" w:id="495"/>
      <w:bookmarkEnd w:id="495"/>
      <w:r>
        <w:rPr/>
      </w:r>
      <w:r>
        <w:rPr>
          <w:b/>
        </w:rPr>
        <w:t>UC</w:t>
      </w:r>
      <w:r>
        <w:rPr>
          <w:b/>
          <w:spacing w:val="-3"/>
        </w:rPr>
        <w:t> </w:t>
      </w:r>
      <w:r>
        <w:rPr>
          <w:b/>
        </w:rPr>
        <w:t>Payments.</w:t>
      </w:r>
      <w:r>
        <w:rPr>
          <w:b/>
          <w:spacing w:val="57"/>
        </w:rPr>
        <w:t> </w:t>
      </w:r>
      <w:r>
        <w:rPr/>
        <w:t>UC</w:t>
      </w:r>
      <w:r>
        <w:rPr>
          <w:spacing w:val="-2"/>
        </w:rPr>
        <w:t> </w:t>
      </w:r>
      <w:r>
        <w:rPr/>
        <w:t>payment</w:t>
      </w:r>
      <w:r>
        <w:rPr>
          <w:spacing w:val="-1"/>
        </w:rPr>
        <w:t> </w:t>
      </w:r>
      <w:r>
        <w:rPr/>
        <w:t>reporting</w:t>
      </w:r>
      <w:r>
        <w:rPr>
          <w:spacing w:val="-5"/>
        </w:rPr>
        <w:t> </w:t>
      </w:r>
      <w:r>
        <w:rPr/>
        <w:t>is</w:t>
      </w:r>
      <w:r>
        <w:rPr>
          <w:spacing w:val="-2"/>
        </w:rPr>
        <w:t> </w:t>
      </w:r>
      <w:r>
        <w:rPr/>
        <w:t>required</w:t>
      </w:r>
      <w:r>
        <w:rPr>
          <w:spacing w:val="-1"/>
        </w:rPr>
        <w:t> </w:t>
      </w:r>
      <w:r>
        <w:rPr/>
        <w:t>as</w:t>
      </w:r>
      <w:r>
        <w:rPr>
          <w:spacing w:val="-2"/>
        </w:rPr>
        <w:t> </w:t>
      </w:r>
      <w:r>
        <w:rPr/>
        <w:t>specified</w:t>
      </w:r>
      <w:r>
        <w:rPr>
          <w:spacing w:val="-1"/>
        </w:rPr>
        <w:t> </w:t>
      </w:r>
      <w:r>
        <w:rPr/>
        <w:t>in</w:t>
      </w:r>
      <w:r>
        <w:rPr>
          <w:spacing w:val="-2"/>
        </w:rPr>
        <w:t> </w:t>
      </w:r>
      <w:r>
        <w:rPr/>
        <w:t>STC</w:t>
      </w:r>
      <w:r>
        <w:rPr>
          <w:spacing w:val="-1"/>
        </w:rPr>
        <w:t> </w:t>
      </w:r>
      <w:r>
        <w:rPr>
          <w:spacing w:val="-2"/>
        </w:rPr>
        <w:t>11.3(d).</w:t>
      </w:r>
    </w:p>
    <w:p>
      <w:pPr>
        <w:pStyle w:val="BodyText"/>
        <w:spacing w:before="10"/>
        <w:rPr>
          <w:sz w:val="20"/>
        </w:rPr>
      </w:pPr>
    </w:p>
    <w:p>
      <w:pPr>
        <w:pStyle w:val="Heading4"/>
        <w:numPr>
          <w:ilvl w:val="0"/>
          <w:numId w:val="3"/>
        </w:numPr>
        <w:tabs>
          <w:tab w:pos="600" w:val="left" w:leader="none"/>
        </w:tabs>
        <w:spacing w:line="240" w:lineRule="auto" w:before="0" w:after="0"/>
        <w:ind w:left="600" w:right="0" w:hanging="480"/>
        <w:jc w:val="left"/>
      </w:pPr>
      <w:bookmarkStart w:name="12. DELIVERY SYSTEM REFORM INCENTIVE PRO" w:id="496"/>
      <w:bookmarkEnd w:id="496"/>
      <w:r>
        <w:rPr>
          <w:b w:val="0"/>
        </w:rPr>
      </w:r>
      <w:r>
        <w:rPr/>
        <w:t>DELIVERY</w:t>
      </w:r>
      <w:r>
        <w:rPr>
          <w:spacing w:val="-7"/>
        </w:rPr>
        <w:t> </w:t>
      </w:r>
      <w:r>
        <w:rPr/>
        <w:t>SYSTEM</w:t>
      </w:r>
      <w:r>
        <w:rPr>
          <w:spacing w:val="-6"/>
        </w:rPr>
        <w:t> </w:t>
      </w:r>
      <w:r>
        <w:rPr/>
        <w:t>REFORM</w:t>
      </w:r>
      <w:r>
        <w:rPr>
          <w:spacing w:val="-4"/>
        </w:rPr>
        <w:t> </w:t>
      </w:r>
      <w:r>
        <w:rPr/>
        <w:t>INCENTIVE</w:t>
      </w:r>
      <w:r>
        <w:rPr>
          <w:spacing w:val="-3"/>
        </w:rPr>
        <w:t> </w:t>
      </w:r>
      <w:r>
        <w:rPr/>
        <w:t>PROGRAM</w:t>
      </w:r>
      <w:r>
        <w:rPr>
          <w:spacing w:val="-3"/>
        </w:rPr>
        <w:t> </w:t>
      </w:r>
      <w:r>
        <w:rPr>
          <w:spacing w:val="-2"/>
        </w:rPr>
        <w:t>(DSRIP)</w:t>
      </w:r>
    </w:p>
    <w:p>
      <w:pPr>
        <w:pStyle w:val="BodyText"/>
        <w:spacing w:before="10"/>
        <w:rPr>
          <w:b/>
          <w:sz w:val="20"/>
        </w:rPr>
      </w:pPr>
    </w:p>
    <w:p>
      <w:pPr>
        <w:spacing w:before="0"/>
        <w:ind w:left="871" w:right="1059" w:firstLine="0"/>
        <w:jc w:val="left"/>
        <w:rPr>
          <w:sz w:val="24"/>
        </w:rPr>
      </w:pPr>
      <w:r>
        <w:rPr/>
        <w:drawing>
          <wp:anchor distT="0" distB="0" distL="0" distR="0" allowOverlap="1" layoutInCell="1" locked="0" behindDoc="0" simplePos="0" relativeHeight="15886336">
            <wp:simplePos x="0" y="0"/>
            <wp:positionH relativeFrom="page">
              <wp:posOffset>908303</wp:posOffset>
            </wp:positionH>
            <wp:positionV relativeFrom="paragraph">
              <wp:posOffset>35599</wp:posOffset>
            </wp:positionV>
            <wp:extent cx="283463" cy="112775"/>
            <wp:effectExtent l="0" t="0" r="0" b="0"/>
            <wp:wrapNone/>
            <wp:docPr id="319" name="Image 319"/>
            <wp:cNvGraphicFramePr>
              <a:graphicFrameLocks/>
            </wp:cNvGraphicFramePr>
            <a:graphic>
              <a:graphicData uri="http://schemas.openxmlformats.org/drawingml/2006/picture">
                <pic:pic>
                  <pic:nvPicPr>
                    <pic:cNvPr id="319" name="Image 319"/>
                    <pic:cNvPicPr/>
                  </pic:nvPicPr>
                  <pic:blipFill>
                    <a:blip r:embed="rId155" cstate="print"/>
                    <a:stretch>
                      <a:fillRect/>
                    </a:stretch>
                  </pic:blipFill>
                  <pic:spPr>
                    <a:xfrm>
                      <a:off x="0" y="0"/>
                      <a:ext cx="283463" cy="112775"/>
                    </a:xfrm>
                    <a:prstGeom prst="rect">
                      <a:avLst/>
                    </a:prstGeom>
                  </pic:spPr>
                </pic:pic>
              </a:graphicData>
            </a:graphic>
          </wp:anchor>
        </w:drawing>
      </w:r>
      <w:bookmarkStart w:name="12.1. Delivery System Reform Incentive P" w:id="497"/>
      <w:bookmarkEnd w:id="497"/>
      <w:r>
        <w:rPr/>
      </w:r>
      <w:r>
        <w:rPr>
          <w:b/>
          <w:sz w:val="24"/>
        </w:rPr>
        <w:t>Delivery System Reform Incentive Program (DSRIP). </w:t>
      </w:r>
      <w:r>
        <w:rPr>
          <w:sz w:val="24"/>
        </w:rPr>
        <w:t>The expenditure authority authorized</w:t>
      </w:r>
      <w:r>
        <w:rPr>
          <w:spacing w:val="-3"/>
          <w:sz w:val="24"/>
        </w:rPr>
        <w:t> </w:t>
      </w:r>
      <w:r>
        <w:rPr>
          <w:sz w:val="24"/>
        </w:rPr>
        <w:t>under</w:t>
      </w:r>
      <w:r>
        <w:rPr>
          <w:spacing w:val="-4"/>
          <w:sz w:val="24"/>
        </w:rPr>
        <w:t> </w:t>
      </w:r>
      <w:r>
        <w:rPr>
          <w:sz w:val="24"/>
        </w:rPr>
        <w:t>this</w:t>
      </w:r>
      <w:r>
        <w:rPr>
          <w:spacing w:val="-3"/>
          <w:sz w:val="24"/>
        </w:rPr>
        <w:t> </w:t>
      </w:r>
      <w:r>
        <w:rPr>
          <w:sz w:val="24"/>
        </w:rPr>
        <w:t>extension</w:t>
      </w:r>
      <w:r>
        <w:rPr>
          <w:spacing w:val="-3"/>
          <w:sz w:val="24"/>
        </w:rPr>
        <w:t> </w:t>
      </w:r>
      <w:r>
        <w:rPr>
          <w:sz w:val="24"/>
        </w:rPr>
        <w:t>permits</w:t>
      </w:r>
      <w:r>
        <w:rPr>
          <w:spacing w:val="-3"/>
          <w:sz w:val="24"/>
        </w:rPr>
        <w:t> </w:t>
      </w:r>
      <w:r>
        <w:rPr>
          <w:sz w:val="24"/>
        </w:rPr>
        <w:t>the</w:t>
      </w:r>
      <w:r>
        <w:rPr>
          <w:spacing w:val="-4"/>
          <w:sz w:val="24"/>
        </w:rPr>
        <w:t> </w:t>
      </w:r>
      <w:r>
        <w:rPr>
          <w:sz w:val="24"/>
        </w:rPr>
        <w:t>state</w:t>
      </w:r>
      <w:r>
        <w:rPr>
          <w:spacing w:val="-4"/>
          <w:sz w:val="24"/>
        </w:rPr>
        <w:t> </w:t>
      </w:r>
      <w:r>
        <w:rPr>
          <w:sz w:val="24"/>
        </w:rPr>
        <w:t>to</w:t>
      </w:r>
      <w:r>
        <w:rPr>
          <w:spacing w:val="-3"/>
          <w:sz w:val="24"/>
        </w:rPr>
        <w:t> </w:t>
      </w:r>
      <w:r>
        <w:rPr>
          <w:sz w:val="24"/>
        </w:rPr>
        <w:t>use</w:t>
      </w:r>
      <w:r>
        <w:rPr>
          <w:spacing w:val="-4"/>
          <w:sz w:val="24"/>
        </w:rPr>
        <w:t> </w:t>
      </w:r>
      <w:r>
        <w:rPr>
          <w:sz w:val="24"/>
        </w:rPr>
        <w:t>DSRIP</w:t>
      </w:r>
      <w:r>
        <w:rPr>
          <w:spacing w:val="-3"/>
          <w:sz w:val="24"/>
        </w:rPr>
        <w:t> </w:t>
      </w:r>
      <w:r>
        <w:rPr>
          <w:sz w:val="24"/>
        </w:rPr>
        <w:t>funds</w:t>
      </w:r>
      <w:r>
        <w:rPr>
          <w:spacing w:val="-3"/>
          <w:sz w:val="24"/>
        </w:rPr>
        <w:t> </w:t>
      </w:r>
      <w:r>
        <w:rPr>
          <w:sz w:val="24"/>
        </w:rPr>
        <w:t>remaining</w:t>
      </w:r>
      <w:r>
        <w:rPr>
          <w:spacing w:val="-6"/>
          <w:sz w:val="24"/>
        </w:rPr>
        <w:t> </w:t>
      </w:r>
      <w:r>
        <w:rPr>
          <w:sz w:val="24"/>
        </w:rPr>
        <w:t>from</w:t>
      </w:r>
      <w:r>
        <w:rPr>
          <w:spacing w:val="-3"/>
          <w:sz w:val="24"/>
        </w:rPr>
        <w:t> </w:t>
      </w:r>
      <w:r>
        <w:rPr>
          <w:sz w:val="24"/>
        </w:rPr>
        <w:t>the previous demonstration period.</w:t>
      </w:r>
      <w:r>
        <w:rPr>
          <w:spacing w:val="40"/>
          <w:sz w:val="24"/>
        </w:rPr>
        <w:t> </w:t>
      </w:r>
      <w:r>
        <w:rPr>
          <w:sz w:val="24"/>
        </w:rPr>
        <w:t>It does not increase the Commonwealth’s total</w:t>
      </w:r>
    </w:p>
    <w:p>
      <w:pPr>
        <w:spacing w:after="0"/>
        <w:jc w:val="left"/>
        <w:rPr>
          <w:sz w:val="24"/>
        </w:rPr>
        <w:sectPr>
          <w:pgSz w:w="12240" w:h="15840"/>
          <w:pgMar w:header="0" w:footer="1201" w:top="1360" w:bottom="1400" w:left="1200" w:right="400"/>
        </w:sectPr>
      </w:pPr>
    </w:p>
    <w:p>
      <w:pPr>
        <w:pStyle w:val="BodyText"/>
        <w:spacing w:before="79"/>
        <w:ind w:left="871" w:right="1086"/>
      </w:pPr>
      <w:r>
        <w:rPr/>
        <w:t>expenditure authority as previously authorized.</w:t>
      </w:r>
      <w:r>
        <w:rPr>
          <w:spacing w:val="40"/>
        </w:rPr>
        <w:t> </w:t>
      </w:r>
      <w:r>
        <w:rPr/>
        <w:t>The state may claim, as authorized expenditures under the demonstration, up to $253.2 million (total computable) over the demonstration period, for the completion of DSRIP incentive payments (including ACO Startup/Ongoing, ACO Flexible Services, CP Infrastructure and Capacity Building, and CP</w:t>
      </w:r>
      <w:r>
        <w:rPr>
          <w:spacing w:val="-3"/>
        </w:rPr>
        <w:t> </w:t>
      </w:r>
      <w:r>
        <w:rPr/>
        <w:t>Care</w:t>
      </w:r>
      <w:r>
        <w:rPr>
          <w:spacing w:val="-4"/>
        </w:rPr>
        <w:t> </w:t>
      </w:r>
      <w:r>
        <w:rPr/>
        <w:t>Coordination)</w:t>
      </w:r>
      <w:r>
        <w:rPr>
          <w:spacing w:val="-4"/>
        </w:rPr>
        <w:t> </w:t>
      </w:r>
      <w:r>
        <w:rPr/>
        <w:t>and</w:t>
      </w:r>
      <w:r>
        <w:rPr>
          <w:spacing w:val="-3"/>
        </w:rPr>
        <w:t> </w:t>
      </w:r>
      <w:r>
        <w:rPr/>
        <w:t>associated</w:t>
      </w:r>
      <w:r>
        <w:rPr>
          <w:spacing w:val="-3"/>
        </w:rPr>
        <w:t> </w:t>
      </w:r>
      <w:r>
        <w:rPr/>
        <w:t>close</w:t>
      </w:r>
      <w:r>
        <w:rPr>
          <w:spacing w:val="-4"/>
        </w:rPr>
        <w:t> </w:t>
      </w:r>
      <w:r>
        <w:rPr/>
        <w:t>out</w:t>
      </w:r>
      <w:r>
        <w:rPr>
          <w:spacing w:val="-1"/>
        </w:rPr>
        <w:t> </w:t>
      </w:r>
      <w:r>
        <w:rPr/>
        <w:t>costs.</w:t>
      </w:r>
      <w:r>
        <w:rPr>
          <w:spacing w:val="40"/>
        </w:rPr>
        <w:t> </w:t>
      </w:r>
      <w:r>
        <w:rPr/>
        <w:t>DSRIP</w:t>
      </w:r>
      <w:r>
        <w:rPr>
          <w:spacing w:val="-3"/>
        </w:rPr>
        <w:t> </w:t>
      </w:r>
      <w:r>
        <w:rPr/>
        <w:t>payments</w:t>
      </w:r>
      <w:r>
        <w:rPr>
          <w:spacing w:val="-3"/>
        </w:rPr>
        <w:t> </w:t>
      </w:r>
      <w:r>
        <w:rPr/>
        <w:t>are</w:t>
      </w:r>
      <w:r>
        <w:rPr>
          <w:spacing w:val="-4"/>
        </w:rPr>
        <w:t> </w:t>
      </w:r>
      <w:r>
        <w:rPr/>
        <w:t>an</w:t>
      </w:r>
      <w:r>
        <w:rPr>
          <w:spacing w:val="-3"/>
        </w:rPr>
        <w:t> </w:t>
      </w:r>
      <w:r>
        <w:rPr/>
        <w:t>incentive for successfully</w:t>
      </w:r>
      <w:r>
        <w:rPr>
          <w:spacing w:val="-2"/>
        </w:rPr>
        <w:t> </w:t>
      </w:r>
      <w:r>
        <w:rPr/>
        <w:t>meeting associated metrics and outcomes rather than payment of claims for the provision of medical care.</w:t>
      </w:r>
      <w:r>
        <w:rPr>
          <w:spacing w:val="40"/>
        </w:rPr>
        <w:t> </w:t>
      </w:r>
      <w:r>
        <w:rPr/>
        <w:t>For this reason, DSRIP payments shall not be considered</w:t>
      </w:r>
      <w:r>
        <w:rPr>
          <w:spacing w:val="-2"/>
        </w:rPr>
        <w:t> </w:t>
      </w:r>
      <w:r>
        <w:rPr/>
        <w:t>patient</w:t>
      </w:r>
      <w:r>
        <w:rPr>
          <w:spacing w:val="-2"/>
        </w:rPr>
        <w:t> </w:t>
      </w:r>
      <w:r>
        <w:rPr/>
        <w:t>care</w:t>
      </w:r>
      <w:r>
        <w:rPr>
          <w:spacing w:val="-3"/>
        </w:rPr>
        <w:t> </w:t>
      </w:r>
      <w:r>
        <w:rPr/>
        <w:t>revenue</w:t>
      </w:r>
      <w:r>
        <w:rPr>
          <w:spacing w:val="-3"/>
        </w:rPr>
        <w:t> </w:t>
      </w:r>
      <w:r>
        <w:rPr/>
        <w:t>for</w:t>
      </w:r>
      <w:r>
        <w:rPr>
          <w:spacing w:val="-3"/>
        </w:rPr>
        <w:t> </w:t>
      </w:r>
      <w:r>
        <w:rPr/>
        <w:t>purposes</w:t>
      </w:r>
      <w:r>
        <w:rPr>
          <w:spacing w:val="-2"/>
        </w:rPr>
        <w:t> </w:t>
      </w:r>
      <w:r>
        <w:rPr/>
        <w:t>of</w:t>
      </w:r>
      <w:r>
        <w:rPr>
          <w:spacing w:val="-3"/>
        </w:rPr>
        <w:t> </w:t>
      </w:r>
      <w:r>
        <w:rPr/>
        <w:t>offsetting</w:t>
      </w:r>
      <w:r>
        <w:rPr>
          <w:spacing w:val="-5"/>
        </w:rPr>
        <w:t> </w:t>
      </w:r>
      <w:r>
        <w:rPr/>
        <w:t>allowable</w:t>
      </w:r>
      <w:r>
        <w:rPr>
          <w:spacing w:val="-3"/>
        </w:rPr>
        <w:t> </w:t>
      </w:r>
      <w:r>
        <w:rPr/>
        <w:t>uncompensated</w:t>
      </w:r>
      <w:r>
        <w:rPr>
          <w:spacing w:val="-2"/>
        </w:rPr>
        <w:t> </w:t>
      </w:r>
      <w:r>
        <w:rPr/>
        <w:t>care costs under the Safety Net Care Pool Uncompensated Care Cost Limit Protocol under demonstration authority. DSRIP will be a time limited program, and Massachusetts’ efforts undertaken through DSRIP will be sustainable after the demonstration period </w:t>
      </w:r>
      <w:r>
        <w:rPr>
          <w:spacing w:val="-2"/>
        </w:rPr>
        <w:t>concludes.</w:t>
      </w:r>
    </w:p>
    <w:p>
      <w:pPr>
        <w:pStyle w:val="BodyText"/>
        <w:spacing w:before="10"/>
        <w:rPr>
          <w:sz w:val="20"/>
        </w:rPr>
      </w:pPr>
    </w:p>
    <w:p>
      <w:pPr>
        <w:pStyle w:val="BodyText"/>
        <w:ind w:left="871" w:right="1095"/>
      </w:pPr>
      <w:bookmarkStart w:name="Specifically, the Commonwealth may claim" w:id="498"/>
      <w:bookmarkEnd w:id="498"/>
      <w:r>
        <w:rPr/>
      </w:r>
      <w:r>
        <w:rPr/>
        <w:t>Specifically, the Commonwealth may claim as allowable expenditures under the demonstration, payments to Accountable Care Organizations (ACOs), certified Community Partners (CPs), social service organizations, providers, sister agencies, full- time staff, and contracted vendors for activities that will likely</w:t>
      </w:r>
      <w:r>
        <w:rPr>
          <w:spacing w:val="-4"/>
        </w:rPr>
        <w:t> </w:t>
      </w:r>
      <w:r>
        <w:rPr/>
        <w:t>increase the success of the payment and care delivery reform efforts and the overall goals as outlined above and in the</w:t>
      </w:r>
      <w:r>
        <w:rPr>
          <w:spacing w:val="-4"/>
        </w:rPr>
        <w:t> </w:t>
      </w:r>
      <w:r>
        <w:rPr/>
        <w:t>1115</w:t>
      </w:r>
      <w:r>
        <w:rPr>
          <w:spacing w:val="-3"/>
        </w:rPr>
        <w:t> </w:t>
      </w:r>
      <w:r>
        <w:rPr/>
        <w:t>demonstration.</w:t>
      </w:r>
      <w:r>
        <w:rPr>
          <w:spacing w:val="-3"/>
        </w:rPr>
        <w:t> </w:t>
      </w:r>
      <w:r>
        <w:rPr/>
        <w:t>Such</w:t>
      </w:r>
      <w:r>
        <w:rPr>
          <w:spacing w:val="-3"/>
        </w:rPr>
        <w:t> </w:t>
      </w:r>
      <w:r>
        <w:rPr/>
        <w:t>activities</w:t>
      </w:r>
      <w:r>
        <w:rPr>
          <w:spacing w:val="-3"/>
        </w:rPr>
        <w:t> </w:t>
      </w:r>
      <w:r>
        <w:rPr/>
        <w:t>include:</w:t>
      </w:r>
      <w:r>
        <w:rPr>
          <w:spacing w:val="-3"/>
        </w:rPr>
        <w:t> </w:t>
      </w:r>
      <w:r>
        <w:rPr/>
        <w:t>(1)</w:t>
      </w:r>
      <w:r>
        <w:rPr>
          <w:spacing w:val="-4"/>
        </w:rPr>
        <w:t> </w:t>
      </w:r>
      <w:r>
        <w:rPr/>
        <w:t>start</w:t>
      </w:r>
      <w:r>
        <w:rPr>
          <w:spacing w:val="-3"/>
        </w:rPr>
        <w:t> </w:t>
      </w:r>
      <w:r>
        <w:rPr/>
        <w:t>up</w:t>
      </w:r>
      <w:r>
        <w:rPr>
          <w:spacing w:val="-3"/>
        </w:rPr>
        <w:t> </w:t>
      </w:r>
      <w:r>
        <w:rPr/>
        <w:t>and</w:t>
      </w:r>
      <w:r>
        <w:rPr>
          <w:spacing w:val="-3"/>
        </w:rPr>
        <w:t> </w:t>
      </w:r>
      <w:r>
        <w:rPr/>
        <w:t>ongoing</w:t>
      </w:r>
      <w:r>
        <w:rPr>
          <w:spacing w:val="-6"/>
        </w:rPr>
        <w:t> </w:t>
      </w:r>
      <w:r>
        <w:rPr/>
        <w:t>support</w:t>
      </w:r>
      <w:r>
        <w:rPr>
          <w:spacing w:val="-3"/>
        </w:rPr>
        <w:t> </w:t>
      </w:r>
      <w:r>
        <w:rPr/>
        <w:t>for</w:t>
      </w:r>
      <w:r>
        <w:rPr>
          <w:spacing w:val="-4"/>
        </w:rPr>
        <w:t> </w:t>
      </w:r>
      <w:r>
        <w:rPr/>
        <w:t>ACO development, infrastructure, and new care delivery models; (2) support for ACOs to pay for traditionally non-reimbursed flexible services to address health-related social needs;</w:t>
      </w:r>
    </w:p>
    <w:p>
      <w:pPr>
        <w:pStyle w:val="BodyText"/>
        <w:ind w:left="871" w:right="1059"/>
      </w:pPr>
      <w:r>
        <w:rPr/>
        <w:t>(3) transitional funding for certain safety net hospitals to support the transition to ACO models</w:t>
      </w:r>
      <w:r>
        <w:rPr>
          <w:spacing w:val="-2"/>
        </w:rPr>
        <w:t> </w:t>
      </w:r>
      <w:r>
        <w:rPr/>
        <w:t>and</w:t>
      </w:r>
      <w:r>
        <w:rPr>
          <w:spacing w:val="-2"/>
        </w:rPr>
        <w:t> </w:t>
      </w:r>
      <w:r>
        <w:rPr/>
        <w:t>to</w:t>
      </w:r>
      <w:r>
        <w:rPr>
          <w:spacing w:val="-2"/>
        </w:rPr>
        <w:t> </w:t>
      </w:r>
      <w:r>
        <w:rPr/>
        <w:t>smooth</w:t>
      </w:r>
      <w:r>
        <w:rPr>
          <w:spacing w:val="-2"/>
        </w:rPr>
        <w:t> </w:t>
      </w:r>
      <w:r>
        <w:rPr/>
        <w:t>the</w:t>
      </w:r>
      <w:r>
        <w:rPr>
          <w:spacing w:val="-3"/>
        </w:rPr>
        <w:t> </w:t>
      </w:r>
      <w:r>
        <w:rPr/>
        <w:t>shift</w:t>
      </w:r>
      <w:r>
        <w:rPr>
          <w:spacing w:val="-2"/>
        </w:rPr>
        <w:t> </w:t>
      </w:r>
      <w:r>
        <w:rPr/>
        <w:t>to</w:t>
      </w:r>
      <w:r>
        <w:rPr>
          <w:spacing w:val="-2"/>
        </w:rPr>
        <w:t> </w:t>
      </w:r>
      <w:r>
        <w:rPr/>
        <w:t>a</w:t>
      </w:r>
      <w:r>
        <w:rPr>
          <w:spacing w:val="-3"/>
        </w:rPr>
        <w:t> </w:t>
      </w:r>
      <w:r>
        <w:rPr/>
        <w:t>lower</w:t>
      </w:r>
      <w:r>
        <w:rPr>
          <w:spacing w:val="-3"/>
        </w:rPr>
        <w:t> </w:t>
      </w:r>
      <w:r>
        <w:rPr/>
        <w:t>level</w:t>
      </w:r>
      <w:r>
        <w:rPr>
          <w:spacing w:val="-2"/>
        </w:rPr>
        <w:t> </w:t>
      </w:r>
      <w:r>
        <w:rPr/>
        <w:t>of</w:t>
      </w:r>
      <w:r>
        <w:rPr>
          <w:spacing w:val="-1"/>
        </w:rPr>
        <w:t> </w:t>
      </w:r>
      <w:r>
        <w:rPr/>
        <w:t>ongoing</w:t>
      </w:r>
      <w:r>
        <w:rPr>
          <w:spacing w:val="-5"/>
        </w:rPr>
        <w:t> </w:t>
      </w:r>
      <w:r>
        <w:rPr/>
        <w:t>Safety</w:t>
      </w:r>
      <w:r>
        <w:rPr>
          <w:spacing w:val="-5"/>
        </w:rPr>
        <w:t> </w:t>
      </w:r>
      <w:r>
        <w:rPr/>
        <w:t>Net</w:t>
      </w:r>
      <w:r>
        <w:rPr>
          <w:spacing w:val="-2"/>
        </w:rPr>
        <w:t> </w:t>
      </w:r>
      <w:r>
        <w:rPr/>
        <w:t>Provider</w:t>
      </w:r>
      <w:r>
        <w:rPr>
          <w:spacing w:val="-3"/>
        </w:rPr>
        <w:t> </w:t>
      </w:r>
      <w:r>
        <w:rPr/>
        <w:t>funding;</w:t>
      </w:r>
    </w:p>
    <w:p>
      <w:pPr>
        <w:pStyle w:val="BodyText"/>
        <w:ind w:left="871" w:right="1086"/>
      </w:pPr>
      <w:r>
        <w:rPr/>
        <w:t>(4) support to Community</w:t>
      </w:r>
      <w:r>
        <w:rPr>
          <w:spacing w:val="-1"/>
        </w:rPr>
        <w:t> </w:t>
      </w:r>
      <w:r>
        <w:rPr/>
        <w:t>Partners for care management, care coordination, assessments, counseling, and navigational services; (5) support to Community Partners for infrastructure</w:t>
      </w:r>
      <w:r>
        <w:rPr>
          <w:spacing w:val="-5"/>
        </w:rPr>
        <w:t> </w:t>
      </w:r>
      <w:r>
        <w:rPr/>
        <w:t>and</w:t>
      </w:r>
      <w:r>
        <w:rPr>
          <w:spacing w:val="-4"/>
        </w:rPr>
        <w:t> </w:t>
      </w:r>
      <w:r>
        <w:rPr/>
        <w:t>capacity</w:t>
      </w:r>
      <w:r>
        <w:rPr>
          <w:spacing w:val="-7"/>
        </w:rPr>
        <w:t> </w:t>
      </w:r>
      <w:r>
        <w:rPr/>
        <w:t>building;</w:t>
      </w:r>
      <w:r>
        <w:rPr>
          <w:spacing w:val="-2"/>
        </w:rPr>
        <w:t> </w:t>
      </w:r>
      <w:r>
        <w:rPr/>
        <w:t>and</w:t>
      </w:r>
      <w:r>
        <w:rPr>
          <w:spacing w:val="-4"/>
        </w:rPr>
        <w:t> </w:t>
      </w:r>
      <w:r>
        <w:rPr/>
        <w:t>(6)</w:t>
      </w:r>
      <w:r>
        <w:rPr>
          <w:spacing w:val="-5"/>
        </w:rPr>
        <w:t> </w:t>
      </w:r>
      <w:r>
        <w:rPr/>
        <w:t>initiatives</w:t>
      </w:r>
      <w:r>
        <w:rPr>
          <w:spacing w:val="-4"/>
        </w:rPr>
        <w:t> </w:t>
      </w:r>
      <w:r>
        <w:rPr/>
        <w:t>to</w:t>
      </w:r>
      <w:r>
        <w:rPr>
          <w:spacing w:val="-4"/>
        </w:rPr>
        <w:t> </w:t>
      </w:r>
      <w:r>
        <w:rPr/>
        <w:t>scale</w:t>
      </w:r>
      <w:r>
        <w:rPr>
          <w:spacing w:val="-5"/>
        </w:rPr>
        <w:t> </w:t>
      </w:r>
      <w:r>
        <w:rPr/>
        <w:t>up</w:t>
      </w:r>
      <w:r>
        <w:rPr>
          <w:spacing w:val="-4"/>
        </w:rPr>
        <w:t> </w:t>
      </w:r>
      <w:r>
        <w:rPr/>
        <w:t>statewide</w:t>
      </w:r>
      <w:r>
        <w:rPr>
          <w:spacing w:val="-3"/>
        </w:rPr>
        <w:t> </w:t>
      </w:r>
      <w:r>
        <w:rPr/>
        <w:t>infrastructure and workforce capacity to support successful reform implementation. DSRIP funds must be subject to limitations that prevent their use as the non-federal share of claimed Medicaid expenditures.</w:t>
      </w:r>
    </w:p>
    <w:p>
      <w:pPr>
        <w:pStyle w:val="BodyText"/>
        <w:spacing w:before="10"/>
        <w:rPr>
          <w:sz w:val="20"/>
        </w:rPr>
      </w:pPr>
    </w:p>
    <w:p>
      <w:pPr>
        <w:pStyle w:val="BodyText"/>
        <w:spacing w:before="1"/>
        <w:ind w:left="871" w:right="1936"/>
        <w:jc w:val="both"/>
      </w:pPr>
      <w:bookmarkStart w:name="Massachusetts may also claim as allowabl" w:id="499"/>
      <w:bookmarkEnd w:id="499"/>
      <w:r>
        <w:rPr/>
      </w:r>
      <w:r>
        <w:rPr/>
        <w:t>Massachusetts</w:t>
      </w:r>
      <w:r>
        <w:rPr>
          <w:spacing w:val="-4"/>
        </w:rPr>
        <w:t> </w:t>
      </w:r>
      <w:r>
        <w:rPr/>
        <w:t>may</w:t>
      </w:r>
      <w:r>
        <w:rPr>
          <w:spacing w:val="-9"/>
        </w:rPr>
        <w:t> </w:t>
      </w:r>
      <w:r>
        <w:rPr/>
        <w:t>also</w:t>
      </w:r>
      <w:r>
        <w:rPr>
          <w:spacing w:val="-2"/>
        </w:rPr>
        <w:t> </w:t>
      </w:r>
      <w:r>
        <w:rPr/>
        <w:t>claim</w:t>
      </w:r>
      <w:r>
        <w:rPr>
          <w:spacing w:val="-4"/>
        </w:rPr>
        <w:t> </w:t>
      </w:r>
      <w:r>
        <w:rPr/>
        <w:t>as</w:t>
      </w:r>
      <w:r>
        <w:rPr>
          <w:spacing w:val="-4"/>
        </w:rPr>
        <w:t> </w:t>
      </w:r>
      <w:r>
        <w:rPr/>
        <w:t>allowable</w:t>
      </w:r>
      <w:r>
        <w:rPr>
          <w:spacing w:val="-3"/>
        </w:rPr>
        <w:t> </w:t>
      </w:r>
      <w:r>
        <w:rPr/>
        <w:t>expenditures</w:t>
      </w:r>
      <w:r>
        <w:rPr>
          <w:spacing w:val="-4"/>
        </w:rPr>
        <w:t> </w:t>
      </w:r>
      <w:r>
        <w:rPr/>
        <w:t>under</w:t>
      </w:r>
      <w:r>
        <w:rPr>
          <w:spacing w:val="-5"/>
        </w:rPr>
        <w:t> </w:t>
      </w:r>
      <w:r>
        <w:rPr/>
        <w:t>the</w:t>
      </w:r>
      <w:r>
        <w:rPr>
          <w:spacing w:val="-5"/>
        </w:rPr>
        <w:t> </w:t>
      </w:r>
      <w:r>
        <w:rPr/>
        <w:t>demonstration payments</w:t>
      </w:r>
      <w:r>
        <w:rPr>
          <w:spacing w:val="-4"/>
        </w:rPr>
        <w:t> </w:t>
      </w:r>
      <w:r>
        <w:rPr/>
        <w:t>for</w:t>
      </w:r>
      <w:r>
        <w:rPr>
          <w:spacing w:val="-5"/>
        </w:rPr>
        <w:t> </w:t>
      </w:r>
      <w:r>
        <w:rPr/>
        <w:t>state</w:t>
      </w:r>
      <w:r>
        <w:rPr>
          <w:spacing w:val="-5"/>
        </w:rPr>
        <w:t> </w:t>
      </w:r>
      <w:r>
        <w:rPr/>
        <w:t>implementation</w:t>
      </w:r>
      <w:r>
        <w:rPr>
          <w:spacing w:val="-4"/>
        </w:rPr>
        <w:t> </w:t>
      </w:r>
      <w:r>
        <w:rPr/>
        <w:t>and</w:t>
      </w:r>
      <w:r>
        <w:rPr>
          <w:spacing w:val="-4"/>
        </w:rPr>
        <w:t> </w:t>
      </w:r>
      <w:r>
        <w:rPr/>
        <w:t>robust</w:t>
      </w:r>
      <w:r>
        <w:rPr>
          <w:spacing w:val="-4"/>
        </w:rPr>
        <w:t> </w:t>
      </w:r>
      <w:r>
        <w:rPr/>
        <w:t>oversight</w:t>
      </w:r>
      <w:r>
        <w:rPr>
          <w:spacing w:val="-4"/>
        </w:rPr>
        <w:t> </w:t>
      </w:r>
      <w:r>
        <w:rPr/>
        <w:t>of</w:t>
      </w:r>
      <w:r>
        <w:rPr>
          <w:spacing w:val="-5"/>
        </w:rPr>
        <w:t> </w:t>
      </w:r>
      <w:r>
        <w:rPr/>
        <w:t>the</w:t>
      </w:r>
      <w:r>
        <w:rPr>
          <w:spacing w:val="-3"/>
        </w:rPr>
        <w:t> </w:t>
      </w:r>
      <w:r>
        <w:rPr/>
        <w:t>DSRIP</w:t>
      </w:r>
      <w:r>
        <w:rPr>
          <w:spacing w:val="-4"/>
        </w:rPr>
        <w:t> </w:t>
      </w:r>
      <w:r>
        <w:rPr/>
        <w:t>program</w:t>
      </w:r>
      <w:r>
        <w:rPr>
          <w:spacing w:val="-4"/>
        </w:rPr>
        <w:t> </w:t>
      </w:r>
      <w:r>
        <w:rPr/>
        <w:t>as described below in STC 8.8(b).</w:t>
      </w:r>
    </w:p>
    <w:p>
      <w:pPr>
        <w:pStyle w:val="BodyText"/>
        <w:spacing w:before="9"/>
        <w:rPr>
          <w:sz w:val="20"/>
        </w:rPr>
      </w:pPr>
    </w:p>
    <w:p>
      <w:pPr>
        <w:pStyle w:val="BodyText"/>
        <w:spacing w:before="1"/>
        <w:ind w:left="871" w:right="1059"/>
      </w:pPr>
      <w:bookmarkStart w:name="DSRIP payments are incentive payments an" w:id="500"/>
      <w:bookmarkEnd w:id="500"/>
      <w:r>
        <w:rPr/>
      </w:r>
      <w:r>
        <w:rPr/>
        <w:t>DSRIP</w:t>
      </w:r>
      <w:r>
        <w:rPr>
          <w:spacing w:val="-3"/>
        </w:rPr>
        <w:t> </w:t>
      </w:r>
      <w:r>
        <w:rPr/>
        <w:t>payments</w:t>
      </w:r>
      <w:r>
        <w:rPr>
          <w:spacing w:val="-3"/>
        </w:rPr>
        <w:t> </w:t>
      </w:r>
      <w:r>
        <w:rPr/>
        <w:t>are</w:t>
      </w:r>
      <w:r>
        <w:rPr>
          <w:spacing w:val="-4"/>
        </w:rPr>
        <w:t> </w:t>
      </w:r>
      <w:r>
        <w:rPr/>
        <w:t>incentive</w:t>
      </w:r>
      <w:r>
        <w:rPr>
          <w:spacing w:val="-4"/>
        </w:rPr>
        <w:t> </w:t>
      </w:r>
      <w:r>
        <w:rPr/>
        <w:t>payments</w:t>
      </w:r>
      <w:r>
        <w:rPr>
          <w:spacing w:val="-3"/>
        </w:rPr>
        <w:t> </w:t>
      </w:r>
      <w:r>
        <w:rPr/>
        <w:t>and</w:t>
      </w:r>
      <w:r>
        <w:rPr>
          <w:spacing w:val="-3"/>
        </w:rPr>
        <w:t> </w:t>
      </w:r>
      <w:r>
        <w:rPr/>
        <w:t>are</w:t>
      </w:r>
      <w:r>
        <w:rPr>
          <w:spacing w:val="-4"/>
        </w:rPr>
        <w:t> </w:t>
      </w:r>
      <w:r>
        <w:rPr/>
        <w:t>therefore</w:t>
      </w:r>
      <w:r>
        <w:rPr>
          <w:spacing w:val="-4"/>
        </w:rPr>
        <w:t> </w:t>
      </w:r>
      <w:r>
        <w:rPr/>
        <w:t>not</w:t>
      </w:r>
      <w:r>
        <w:rPr>
          <w:spacing w:val="-3"/>
        </w:rPr>
        <w:t> </w:t>
      </w:r>
      <w:r>
        <w:rPr/>
        <w:t>subject</w:t>
      </w:r>
      <w:r>
        <w:rPr>
          <w:spacing w:val="-3"/>
        </w:rPr>
        <w:t> </w:t>
      </w:r>
      <w:r>
        <w:rPr/>
        <w:t>to</w:t>
      </w:r>
      <w:r>
        <w:rPr>
          <w:spacing w:val="-3"/>
        </w:rPr>
        <w:t> </w:t>
      </w:r>
      <w:r>
        <w:rPr/>
        <w:t>the</w:t>
      </w:r>
      <w:r>
        <w:rPr>
          <w:spacing w:val="-4"/>
        </w:rPr>
        <w:t> </w:t>
      </w:r>
      <w:r>
        <w:rPr/>
        <w:t>Safety</w:t>
      </w:r>
      <w:r>
        <w:rPr>
          <w:spacing w:val="-8"/>
        </w:rPr>
        <w:t> </w:t>
      </w:r>
      <w:r>
        <w:rPr/>
        <w:t>Net Care Pool Uncompensated Care Cost Limit Protocol.</w:t>
      </w:r>
    </w:p>
    <w:p>
      <w:pPr>
        <w:pStyle w:val="BodyText"/>
        <w:spacing w:before="9"/>
        <w:rPr>
          <w:sz w:val="20"/>
        </w:rPr>
      </w:pPr>
    </w:p>
    <w:p>
      <w:pPr>
        <w:pStyle w:val="BodyText"/>
        <w:spacing w:before="1"/>
        <w:ind w:left="871" w:right="1059"/>
      </w:pPr>
      <w:r>
        <w:rPr/>
        <w:drawing>
          <wp:anchor distT="0" distB="0" distL="0" distR="0" allowOverlap="1" layoutInCell="1" locked="0" behindDoc="0" simplePos="0" relativeHeight="15886848">
            <wp:simplePos x="0" y="0"/>
            <wp:positionH relativeFrom="page">
              <wp:posOffset>908303</wp:posOffset>
            </wp:positionH>
            <wp:positionV relativeFrom="paragraph">
              <wp:posOffset>36234</wp:posOffset>
            </wp:positionV>
            <wp:extent cx="283463" cy="112775"/>
            <wp:effectExtent l="0" t="0" r="0" b="0"/>
            <wp:wrapNone/>
            <wp:docPr id="320" name="Image 320"/>
            <wp:cNvGraphicFramePr>
              <a:graphicFrameLocks/>
            </wp:cNvGraphicFramePr>
            <a:graphic>
              <a:graphicData uri="http://schemas.openxmlformats.org/drawingml/2006/picture">
                <pic:pic>
                  <pic:nvPicPr>
                    <pic:cNvPr id="320" name="Image 320"/>
                    <pic:cNvPicPr/>
                  </pic:nvPicPr>
                  <pic:blipFill>
                    <a:blip r:embed="rId156" cstate="print"/>
                    <a:stretch>
                      <a:fillRect/>
                    </a:stretch>
                  </pic:blipFill>
                  <pic:spPr>
                    <a:xfrm>
                      <a:off x="0" y="0"/>
                      <a:ext cx="283463" cy="112775"/>
                    </a:xfrm>
                    <a:prstGeom prst="rect">
                      <a:avLst/>
                    </a:prstGeom>
                  </pic:spPr>
                </pic:pic>
              </a:graphicData>
            </a:graphic>
          </wp:anchor>
        </w:drawing>
      </w:r>
      <w:bookmarkStart w:name="12.2. Funding Sources. MassHealth must u" w:id="501"/>
      <w:bookmarkEnd w:id="501"/>
      <w:r>
        <w:rPr/>
      </w:r>
      <w:r>
        <w:rPr>
          <w:b/>
        </w:rPr>
        <w:t>Funding Sources. </w:t>
      </w:r>
      <w:r>
        <w:rPr/>
        <w:t>MassHealth must use a permissible source of non-federal share to support the DSRIP program. FFP is only available for DSRIP payments to Participant ACOs and CPs that comply with the DSRIP Protocol and Participation Plans; or to other entities that receive funding through the DSRIP statewide investments or DSRIP- supported</w:t>
      </w:r>
      <w:r>
        <w:rPr>
          <w:spacing w:val="-3"/>
        </w:rPr>
        <w:t> </w:t>
      </w:r>
      <w:r>
        <w:rPr/>
        <w:t>state</w:t>
      </w:r>
      <w:r>
        <w:rPr>
          <w:spacing w:val="-4"/>
        </w:rPr>
        <w:t> </w:t>
      </w:r>
      <w:r>
        <w:rPr/>
        <w:t>operations</w:t>
      </w:r>
      <w:r>
        <w:rPr>
          <w:spacing w:val="-3"/>
        </w:rPr>
        <w:t> </w:t>
      </w:r>
      <w:r>
        <w:rPr/>
        <w:t>and</w:t>
      </w:r>
      <w:r>
        <w:rPr>
          <w:spacing w:val="-3"/>
        </w:rPr>
        <w:t> </w:t>
      </w:r>
      <w:r>
        <w:rPr/>
        <w:t>implementation</w:t>
      </w:r>
      <w:r>
        <w:rPr>
          <w:spacing w:val="-3"/>
        </w:rPr>
        <w:t> </w:t>
      </w:r>
      <w:r>
        <w:rPr/>
        <w:t>funding</w:t>
      </w:r>
      <w:r>
        <w:rPr>
          <w:spacing w:val="-6"/>
        </w:rPr>
        <w:t> </w:t>
      </w:r>
      <w:r>
        <w:rPr/>
        <w:t>streams.</w:t>
      </w:r>
      <w:r>
        <w:rPr>
          <w:spacing w:val="-3"/>
        </w:rPr>
        <w:t> </w:t>
      </w:r>
      <w:r>
        <w:rPr/>
        <w:t>The</w:t>
      </w:r>
      <w:r>
        <w:rPr>
          <w:spacing w:val="-4"/>
        </w:rPr>
        <w:t> </w:t>
      </w:r>
      <w:r>
        <w:rPr/>
        <w:t>Commonwealth</w:t>
      </w:r>
      <w:r>
        <w:rPr>
          <w:spacing w:val="-3"/>
        </w:rPr>
        <w:t> </w:t>
      </w:r>
      <w:r>
        <w:rPr/>
        <w:t>may claim FFP for up to two years after the calendar quarter in which the State made DSRIP payments</w:t>
      </w:r>
      <w:r>
        <w:rPr>
          <w:spacing w:val="-4"/>
        </w:rPr>
        <w:t> </w:t>
      </w:r>
      <w:r>
        <w:rPr/>
        <w:t>to</w:t>
      </w:r>
      <w:r>
        <w:rPr>
          <w:spacing w:val="-4"/>
        </w:rPr>
        <w:t> </w:t>
      </w:r>
      <w:r>
        <w:rPr/>
        <w:t>eligible</w:t>
      </w:r>
      <w:r>
        <w:rPr>
          <w:spacing w:val="-5"/>
        </w:rPr>
        <w:t> </w:t>
      </w:r>
      <w:r>
        <w:rPr/>
        <w:t>entities.</w:t>
      </w:r>
      <w:r>
        <w:rPr>
          <w:spacing w:val="-4"/>
        </w:rPr>
        <w:t> </w:t>
      </w:r>
      <w:r>
        <w:rPr/>
        <w:t>MassHealth’s</w:t>
      </w:r>
      <w:r>
        <w:rPr>
          <w:spacing w:val="-4"/>
        </w:rPr>
        <w:t> </w:t>
      </w:r>
      <w:r>
        <w:rPr/>
        <w:t>DSRIP</w:t>
      </w:r>
      <w:r>
        <w:rPr>
          <w:spacing w:val="-1"/>
        </w:rPr>
        <w:t> </w:t>
      </w:r>
      <w:r>
        <w:rPr/>
        <w:t>expenditures</w:t>
      </w:r>
      <w:r>
        <w:rPr>
          <w:spacing w:val="-4"/>
        </w:rPr>
        <w:t> </w:t>
      </w:r>
      <w:r>
        <w:rPr/>
        <w:t>are</w:t>
      </w:r>
      <w:r>
        <w:rPr>
          <w:spacing w:val="-5"/>
        </w:rPr>
        <w:t> </w:t>
      </w:r>
      <w:r>
        <w:rPr/>
        <w:t>subject</w:t>
      </w:r>
      <w:r>
        <w:rPr>
          <w:spacing w:val="-4"/>
        </w:rPr>
        <w:t> </w:t>
      </w:r>
      <w:r>
        <w:rPr/>
        <w:t>to</w:t>
      </w:r>
      <w:r>
        <w:rPr>
          <w:spacing w:val="-4"/>
        </w:rPr>
        <w:t> </w:t>
      </w:r>
      <w:r>
        <w:rPr/>
        <w:t>availability of funds.</w:t>
      </w:r>
    </w:p>
    <w:p>
      <w:pPr>
        <w:spacing w:after="0"/>
        <w:sectPr>
          <w:pgSz w:w="12240" w:h="15840"/>
          <w:pgMar w:header="0" w:footer="1201" w:top="1360" w:bottom="1400" w:left="1200" w:right="400"/>
        </w:sectPr>
      </w:pPr>
    </w:p>
    <w:p>
      <w:pPr>
        <w:spacing w:before="79"/>
        <w:ind w:left="871" w:right="1059" w:firstLine="0"/>
        <w:jc w:val="left"/>
        <w:rPr>
          <w:sz w:val="24"/>
        </w:rPr>
      </w:pPr>
      <w:r>
        <w:rPr/>
        <w:drawing>
          <wp:anchor distT="0" distB="0" distL="0" distR="0" allowOverlap="1" layoutInCell="1" locked="0" behindDoc="0" simplePos="0" relativeHeight="15887360">
            <wp:simplePos x="0" y="0"/>
            <wp:positionH relativeFrom="page">
              <wp:posOffset>908303</wp:posOffset>
            </wp:positionH>
            <wp:positionV relativeFrom="paragraph">
              <wp:posOffset>85777</wp:posOffset>
            </wp:positionV>
            <wp:extent cx="283463" cy="112763"/>
            <wp:effectExtent l="0" t="0" r="0" b="0"/>
            <wp:wrapNone/>
            <wp:docPr id="321" name="Image 321"/>
            <wp:cNvGraphicFramePr>
              <a:graphicFrameLocks/>
            </wp:cNvGraphicFramePr>
            <a:graphic>
              <a:graphicData uri="http://schemas.openxmlformats.org/drawingml/2006/picture">
                <pic:pic>
                  <pic:nvPicPr>
                    <pic:cNvPr id="321" name="Image 321"/>
                    <pic:cNvPicPr/>
                  </pic:nvPicPr>
                  <pic:blipFill>
                    <a:blip r:embed="rId157" cstate="print"/>
                    <a:stretch>
                      <a:fillRect/>
                    </a:stretch>
                  </pic:blipFill>
                  <pic:spPr>
                    <a:xfrm>
                      <a:off x="0" y="0"/>
                      <a:ext cx="283463" cy="112763"/>
                    </a:xfrm>
                    <a:prstGeom prst="rect">
                      <a:avLst/>
                    </a:prstGeom>
                  </pic:spPr>
                </pic:pic>
              </a:graphicData>
            </a:graphic>
          </wp:anchor>
        </w:drawing>
      </w:r>
      <w:bookmarkStart w:name="12.3. Expenditure Limits. The Commonweal" w:id="502"/>
      <w:bookmarkEnd w:id="502"/>
      <w:r>
        <w:rPr/>
      </w:r>
      <w:r>
        <w:rPr>
          <w:b/>
          <w:sz w:val="24"/>
        </w:rPr>
        <w:t>Expenditure</w:t>
      </w:r>
      <w:r>
        <w:rPr>
          <w:b/>
          <w:spacing w:val="-4"/>
          <w:sz w:val="24"/>
        </w:rPr>
        <w:t> </w:t>
      </w:r>
      <w:r>
        <w:rPr>
          <w:b/>
          <w:sz w:val="24"/>
        </w:rPr>
        <w:t>Limits.</w:t>
      </w:r>
      <w:r>
        <w:rPr>
          <w:b/>
          <w:spacing w:val="-4"/>
          <w:sz w:val="24"/>
        </w:rPr>
        <w:t> </w:t>
      </w:r>
      <w:r>
        <w:rPr>
          <w:sz w:val="24"/>
        </w:rPr>
        <w:t>The</w:t>
      </w:r>
      <w:r>
        <w:rPr>
          <w:spacing w:val="-4"/>
          <w:sz w:val="24"/>
        </w:rPr>
        <w:t> </w:t>
      </w:r>
      <w:r>
        <w:rPr>
          <w:sz w:val="24"/>
        </w:rPr>
        <w:t>Commonwealth</w:t>
      </w:r>
      <w:r>
        <w:rPr>
          <w:spacing w:val="-3"/>
          <w:sz w:val="24"/>
        </w:rPr>
        <w:t> </w:t>
      </w:r>
      <w:r>
        <w:rPr>
          <w:sz w:val="24"/>
        </w:rPr>
        <w:t>may</w:t>
      </w:r>
      <w:r>
        <w:rPr>
          <w:spacing w:val="-6"/>
          <w:sz w:val="24"/>
        </w:rPr>
        <w:t> </w:t>
      </w:r>
      <w:r>
        <w:rPr>
          <w:sz w:val="24"/>
        </w:rPr>
        <w:t>claim</w:t>
      </w:r>
      <w:r>
        <w:rPr>
          <w:spacing w:val="-3"/>
          <w:sz w:val="24"/>
        </w:rPr>
        <w:t> </w:t>
      </w:r>
      <w:r>
        <w:rPr>
          <w:sz w:val="24"/>
        </w:rPr>
        <w:t>FFP</w:t>
      </w:r>
      <w:r>
        <w:rPr>
          <w:spacing w:val="-3"/>
          <w:sz w:val="24"/>
        </w:rPr>
        <w:t> </w:t>
      </w:r>
      <w:r>
        <w:rPr>
          <w:sz w:val="24"/>
        </w:rPr>
        <w:t>for</w:t>
      </w:r>
      <w:r>
        <w:rPr>
          <w:spacing w:val="-4"/>
          <w:sz w:val="24"/>
        </w:rPr>
        <w:t> </w:t>
      </w:r>
      <w:r>
        <w:rPr>
          <w:sz w:val="24"/>
        </w:rPr>
        <w:t>up</w:t>
      </w:r>
      <w:r>
        <w:rPr>
          <w:spacing w:val="-3"/>
          <w:sz w:val="24"/>
        </w:rPr>
        <w:t> </w:t>
      </w:r>
      <w:r>
        <w:rPr>
          <w:sz w:val="24"/>
        </w:rPr>
        <w:t>to</w:t>
      </w:r>
      <w:r>
        <w:rPr>
          <w:spacing w:val="-3"/>
          <w:sz w:val="24"/>
        </w:rPr>
        <w:t> </w:t>
      </w:r>
      <w:r>
        <w:rPr>
          <w:sz w:val="24"/>
        </w:rPr>
        <w:t>$253.2</w:t>
      </w:r>
      <w:r>
        <w:rPr>
          <w:spacing w:val="-1"/>
          <w:sz w:val="24"/>
        </w:rPr>
        <w:t> </w:t>
      </w:r>
      <w:r>
        <w:rPr>
          <w:sz w:val="24"/>
        </w:rPr>
        <w:t>million</w:t>
      </w:r>
      <w:r>
        <w:rPr>
          <w:spacing w:val="-3"/>
          <w:sz w:val="24"/>
        </w:rPr>
        <w:t> </w:t>
      </w:r>
      <w:r>
        <w:rPr>
          <w:sz w:val="24"/>
        </w:rPr>
        <w:t>in DSRIP expenditures.</w:t>
      </w:r>
    </w:p>
    <w:p>
      <w:pPr>
        <w:pStyle w:val="BodyText"/>
        <w:spacing w:before="10"/>
        <w:rPr>
          <w:sz w:val="20"/>
        </w:rPr>
      </w:pPr>
    </w:p>
    <w:p>
      <w:pPr>
        <w:pStyle w:val="BodyText"/>
        <w:ind w:left="1411" w:right="1059"/>
      </w:pPr>
      <w:r>
        <w:rPr/>
        <w:drawing>
          <wp:anchor distT="0" distB="0" distL="0" distR="0" allowOverlap="1" layoutInCell="1" locked="0" behindDoc="0" simplePos="0" relativeHeight="15887872">
            <wp:simplePos x="0" y="0"/>
            <wp:positionH relativeFrom="page">
              <wp:posOffset>1431036</wp:posOffset>
            </wp:positionH>
            <wp:positionV relativeFrom="paragraph">
              <wp:posOffset>67616</wp:posOffset>
            </wp:positionV>
            <wp:extent cx="96011" cy="80759"/>
            <wp:effectExtent l="0" t="0" r="0" b="0"/>
            <wp:wrapNone/>
            <wp:docPr id="322" name="Image 322"/>
            <wp:cNvGraphicFramePr>
              <a:graphicFrameLocks/>
            </wp:cNvGraphicFramePr>
            <a:graphic>
              <a:graphicData uri="http://schemas.openxmlformats.org/drawingml/2006/picture">
                <pic:pic>
                  <pic:nvPicPr>
                    <pic:cNvPr id="322" name="Image 322"/>
                    <pic:cNvPicPr/>
                  </pic:nvPicPr>
                  <pic:blipFill>
                    <a:blip r:embed="rId29" cstate="print"/>
                    <a:stretch>
                      <a:fillRect/>
                    </a:stretch>
                  </pic:blipFill>
                  <pic:spPr>
                    <a:xfrm>
                      <a:off x="0" y="0"/>
                      <a:ext cx="96011" cy="80759"/>
                    </a:xfrm>
                    <a:prstGeom prst="rect">
                      <a:avLst/>
                    </a:prstGeom>
                  </pic:spPr>
                </pic:pic>
              </a:graphicData>
            </a:graphic>
          </wp:anchor>
        </w:drawing>
      </w:r>
      <w:bookmarkStart w:name="a. The State’s expenditure authority wil" w:id="503"/>
      <w:bookmarkEnd w:id="503"/>
      <w:r>
        <w:rPr/>
      </w:r>
      <w:r>
        <w:rPr/>
        <w:t>The State’s expenditure authority will be reduced based on the State’s DSRIP Accountability</w:t>
      </w:r>
      <w:r>
        <w:rPr>
          <w:spacing w:val="-8"/>
        </w:rPr>
        <w:t> </w:t>
      </w:r>
      <w:r>
        <w:rPr/>
        <w:t>Score</w:t>
      </w:r>
      <w:r>
        <w:rPr>
          <w:spacing w:val="-4"/>
        </w:rPr>
        <w:t> </w:t>
      </w:r>
      <w:r>
        <w:rPr/>
        <w:t>(See</w:t>
      </w:r>
      <w:r>
        <w:rPr>
          <w:spacing w:val="-4"/>
        </w:rPr>
        <w:t> </w:t>
      </w:r>
      <w:r>
        <w:rPr/>
        <w:t>STC</w:t>
      </w:r>
      <w:r>
        <w:rPr>
          <w:spacing w:val="-3"/>
        </w:rPr>
        <w:t> </w:t>
      </w:r>
      <w:r>
        <w:rPr/>
        <w:t>12.16).</w:t>
      </w:r>
      <w:r>
        <w:rPr>
          <w:spacing w:val="-3"/>
        </w:rPr>
        <w:t> </w:t>
      </w:r>
      <w:r>
        <w:rPr/>
        <w:t>MassHealth</w:t>
      </w:r>
      <w:r>
        <w:rPr>
          <w:spacing w:val="-3"/>
        </w:rPr>
        <w:t> </w:t>
      </w:r>
      <w:r>
        <w:rPr/>
        <w:t>will</w:t>
      </w:r>
      <w:r>
        <w:rPr>
          <w:spacing w:val="-3"/>
        </w:rPr>
        <w:t> </w:t>
      </w:r>
      <w:r>
        <w:rPr/>
        <w:t>reduce</w:t>
      </w:r>
      <w:r>
        <w:rPr>
          <w:spacing w:val="-4"/>
        </w:rPr>
        <w:t> </w:t>
      </w:r>
      <w:r>
        <w:rPr/>
        <w:t>DSRIP</w:t>
      </w:r>
      <w:r>
        <w:rPr>
          <w:spacing w:val="-3"/>
        </w:rPr>
        <w:t> </w:t>
      </w:r>
      <w:r>
        <w:rPr/>
        <w:t>payments</w:t>
      </w:r>
      <w:r>
        <w:rPr>
          <w:spacing w:val="-3"/>
        </w:rPr>
        <w:t> </w:t>
      </w:r>
      <w:r>
        <w:rPr/>
        <w:t>in proportion to the reduced expenditure authority.</w:t>
      </w:r>
    </w:p>
    <w:p>
      <w:pPr>
        <w:pStyle w:val="BodyText"/>
        <w:spacing w:before="10"/>
        <w:rPr>
          <w:sz w:val="20"/>
        </w:rPr>
      </w:pPr>
    </w:p>
    <w:p>
      <w:pPr>
        <w:pStyle w:val="BodyText"/>
        <w:ind w:left="871" w:right="1059"/>
      </w:pPr>
      <w:r>
        <w:rPr/>
        <w:drawing>
          <wp:anchor distT="0" distB="0" distL="0" distR="0" allowOverlap="1" layoutInCell="1" locked="0" behindDoc="0" simplePos="0" relativeHeight="15888384">
            <wp:simplePos x="0" y="0"/>
            <wp:positionH relativeFrom="page">
              <wp:posOffset>908303</wp:posOffset>
            </wp:positionH>
            <wp:positionV relativeFrom="paragraph">
              <wp:posOffset>35600</wp:posOffset>
            </wp:positionV>
            <wp:extent cx="283463" cy="112775"/>
            <wp:effectExtent l="0" t="0" r="0" b="0"/>
            <wp:wrapNone/>
            <wp:docPr id="323" name="Image 323"/>
            <wp:cNvGraphicFramePr>
              <a:graphicFrameLocks/>
            </wp:cNvGraphicFramePr>
            <a:graphic>
              <a:graphicData uri="http://schemas.openxmlformats.org/drawingml/2006/picture">
                <pic:pic>
                  <pic:nvPicPr>
                    <pic:cNvPr id="323" name="Image 323"/>
                    <pic:cNvPicPr/>
                  </pic:nvPicPr>
                  <pic:blipFill>
                    <a:blip r:embed="rId158" cstate="print"/>
                    <a:stretch>
                      <a:fillRect/>
                    </a:stretch>
                  </pic:blipFill>
                  <pic:spPr>
                    <a:xfrm>
                      <a:off x="0" y="0"/>
                      <a:ext cx="283463" cy="112775"/>
                    </a:xfrm>
                    <a:prstGeom prst="rect">
                      <a:avLst/>
                    </a:prstGeom>
                  </pic:spPr>
                </pic:pic>
              </a:graphicData>
            </a:graphic>
          </wp:anchor>
        </w:drawing>
      </w:r>
      <w:bookmarkStart w:name="12.4. Funding Allocation and Methodologi" w:id="504"/>
      <w:bookmarkEnd w:id="504"/>
      <w:r>
        <w:rPr/>
      </w:r>
      <w:r>
        <w:rPr>
          <w:b/>
        </w:rPr>
        <w:t>Funding Allocation and Methodologies. </w:t>
      </w:r>
      <w:r>
        <w:rPr/>
        <w:t>The funding table below shows anticipated amounts of funding per DSRIP funding stream by waiver demonstration year. The State and CMS recognize that these funding amounts may vary due to a variety of reasons, including fluctuations in the number of members who require BH and LTSS CP services and the timing of the final calculations required for DSRIP Accountability scoring.</w:t>
      </w:r>
      <w:r>
        <w:rPr>
          <w:spacing w:val="40"/>
        </w:rPr>
        <w:t> </w:t>
      </w:r>
      <w:r>
        <w:rPr/>
        <w:t>As such, the state may reallocate funding amounts between funding streams and Demonstration Years at its discretion. If the actual funding amounts per DSRIP funding stream</w:t>
      </w:r>
      <w:r>
        <w:rPr>
          <w:spacing w:val="-2"/>
        </w:rPr>
        <w:t> </w:t>
      </w:r>
      <w:r>
        <w:rPr/>
        <w:t>and</w:t>
      </w:r>
      <w:r>
        <w:rPr>
          <w:spacing w:val="-2"/>
        </w:rPr>
        <w:t> </w:t>
      </w:r>
      <w:r>
        <w:rPr/>
        <w:t>per</w:t>
      </w:r>
      <w:r>
        <w:rPr>
          <w:spacing w:val="-3"/>
        </w:rPr>
        <w:t> </w:t>
      </w:r>
      <w:r>
        <w:rPr/>
        <w:t>Demonstration</w:t>
      </w:r>
      <w:r>
        <w:rPr>
          <w:spacing w:val="-2"/>
        </w:rPr>
        <w:t> </w:t>
      </w:r>
      <w:r>
        <w:rPr/>
        <w:t>Year</w:t>
      </w:r>
      <w:r>
        <w:rPr>
          <w:spacing w:val="-3"/>
        </w:rPr>
        <w:t> </w:t>
      </w:r>
      <w:r>
        <w:rPr/>
        <w:t>vary</w:t>
      </w:r>
      <w:r>
        <w:rPr>
          <w:spacing w:val="-7"/>
        </w:rPr>
        <w:t> </w:t>
      </w:r>
      <w:r>
        <w:rPr/>
        <w:t>by</w:t>
      </w:r>
      <w:r>
        <w:rPr>
          <w:spacing w:val="-7"/>
        </w:rPr>
        <w:t> </w:t>
      </w:r>
      <w:r>
        <w:rPr/>
        <w:t>more</w:t>
      </w:r>
      <w:r>
        <w:rPr>
          <w:spacing w:val="-1"/>
        </w:rPr>
        <w:t> </w:t>
      </w:r>
      <w:r>
        <w:rPr/>
        <w:t>than</w:t>
      </w:r>
      <w:r>
        <w:rPr>
          <w:spacing w:val="-2"/>
        </w:rPr>
        <w:t> </w:t>
      </w:r>
      <w:r>
        <w:rPr/>
        <w:t>15%</w:t>
      </w:r>
      <w:r>
        <w:rPr>
          <w:spacing w:val="-3"/>
        </w:rPr>
        <w:t> </w:t>
      </w:r>
      <w:r>
        <w:rPr/>
        <w:t>from</w:t>
      </w:r>
      <w:r>
        <w:rPr>
          <w:spacing w:val="-2"/>
        </w:rPr>
        <w:t> </w:t>
      </w:r>
      <w:r>
        <w:rPr/>
        <w:t>the</w:t>
      </w:r>
      <w:r>
        <w:rPr>
          <w:spacing w:val="-3"/>
        </w:rPr>
        <w:t> </w:t>
      </w:r>
      <w:r>
        <w:rPr/>
        <w:t>amounts</w:t>
      </w:r>
      <w:r>
        <w:rPr>
          <w:spacing w:val="-2"/>
        </w:rPr>
        <w:t> </w:t>
      </w:r>
      <w:r>
        <w:rPr/>
        <w:t>provided</w:t>
      </w:r>
      <w:r>
        <w:rPr>
          <w:spacing w:val="-2"/>
        </w:rPr>
        <w:t> </w:t>
      </w:r>
      <w:r>
        <w:rPr/>
        <w:t>in the table below, the state must notify CMS 60 calendar days prior to the effective reallocation of funds. CMS reserves the right to disapprove any such reallocations.</w:t>
      </w:r>
    </w:p>
    <w:p>
      <w:pPr>
        <w:pStyle w:val="BodyText"/>
        <w:spacing w:before="11"/>
        <w:rPr>
          <w:sz w:val="20"/>
        </w:rPr>
      </w:pPr>
    </w:p>
    <w:tbl>
      <w:tblPr>
        <w:tblW w:w="0" w:type="auto"/>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46"/>
        <w:gridCol w:w="1351"/>
        <w:gridCol w:w="1265"/>
        <w:gridCol w:w="987"/>
        <w:gridCol w:w="1169"/>
        <w:gridCol w:w="1059"/>
        <w:gridCol w:w="831"/>
        <w:gridCol w:w="1345"/>
      </w:tblGrid>
      <w:tr>
        <w:trPr>
          <w:trHeight w:val="275" w:hRule="atLeast"/>
        </w:trPr>
        <w:tc>
          <w:tcPr>
            <w:tcW w:w="9353" w:type="dxa"/>
            <w:gridSpan w:val="8"/>
            <w:shd w:val="clear" w:color="auto" w:fill="DBE6F1"/>
          </w:tcPr>
          <w:p>
            <w:pPr>
              <w:pStyle w:val="TableParagraph"/>
              <w:spacing w:line="256" w:lineRule="exact"/>
              <w:ind w:left="1139" w:right="1131"/>
              <w:jc w:val="center"/>
              <w:rPr>
                <w:b/>
                <w:sz w:val="24"/>
              </w:rPr>
            </w:pPr>
            <w:r>
              <w:rPr>
                <w:b/>
                <w:sz w:val="24"/>
              </w:rPr>
              <w:t>Table</w:t>
            </w:r>
            <w:r>
              <w:rPr>
                <w:b/>
                <w:spacing w:val="-5"/>
                <w:sz w:val="24"/>
              </w:rPr>
              <w:t> </w:t>
            </w:r>
            <w:r>
              <w:rPr>
                <w:b/>
                <w:sz w:val="24"/>
              </w:rPr>
              <w:t>10:</w:t>
            </w:r>
            <w:r>
              <w:rPr>
                <w:b/>
                <w:spacing w:val="-2"/>
                <w:sz w:val="24"/>
              </w:rPr>
              <w:t> </w:t>
            </w:r>
            <w:r>
              <w:rPr>
                <w:b/>
                <w:sz w:val="24"/>
              </w:rPr>
              <w:t>DSRIP</w:t>
            </w:r>
            <w:r>
              <w:rPr>
                <w:b/>
                <w:spacing w:val="-3"/>
                <w:sz w:val="24"/>
              </w:rPr>
              <w:t> </w:t>
            </w:r>
            <w:r>
              <w:rPr>
                <w:b/>
                <w:sz w:val="24"/>
              </w:rPr>
              <w:t>Funding</w:t>
            </w:r>
            <w:r>
              <w:rPr>
                <w:b/>
                <w:spacing w:val="-1"/>
                <w:sz w:val="24"/>
              </w:rPr>
              <w:t> </w:t>
            </w:r>
            <w:r>
              <w:rPr>
                <w:b/>
                <w:sz w:val="24"/>
              </w:rPr>
              <w:t>Allocation</w:t>
            </w:r>
            <w:r>
              <w:rPr>
                <w:b/>
                <w:spacing w:val="-2"/>
                <w:sz w:val="24"/>
              </w:rPr>
              <w:t> </w:t>
            </w:r>
            <w:r>
              <w:rPr>
                <w:b/>
                <w:sz w:val="24"/>
              </w:rPr>
              <w:t>Total</w:t>
            </w:r>
            <w:r>
              <w:rPr>
                <w:b/>
                <w:spacing w:val="-1"/>
                <w:sz w:val="24"/>
              </w:rPr>
              <w:t> </w:t>
            </w:r>
            <w:r>
              <w:rPr>
                <w:b/>
                <w:sz w:val="24"/>
              </w:rPr>
              <w:t>Computable</w:t>
            </w:r>
            <w:r>
              <w:rPr>
                <w:b/>
                <w:spacing w:val="-3"/>
                <w:sz w:val="24"/>
              </w:rPr>
              <w:t> </w:t>
            </w:r>
            <w:r>
              <w:rPr>
                <w:b/>
                <w:sz w:val="24"/>
              </w:rPr>
              <w:t>(In</w:t>
            </w:r>
            <w:r>
              <w:rPr>
                <w:b/>
                <w:spacing w:val="-1"/>
                <w:sz w:val="24"/>
              </w:rPr>
              <w:t> </w:t>
            </w:r>
            <w:r>
              <w:rPr>
                <w:b/>
                <w:spacing w:val="-2"/>
                <w:sz w:val="24"/>
              </w:rPr>
              <w:t>Millions)</w:t>
            </w:r>
          </w:p>
        </w:tc>
      </w:tr>
      <w:tr>
        <w:trPr>
          <w:trHeight w:val="275" w:hRule="atLeast"/>
        </w:trPr>
        <w:tc>
          <w:tcPr>
            <w:tcW w:w="1346" w:type="dxa"/>
            <w:shd w:val="clear" w:color="auto" w:fill="DBE6F1"/>
          </w:tcPr>
          <w:p>
            <w:pPr>
              <w:pStyle w:val="TableParagraph"/>
              <w:rPr>
                <w:sz w:val="20"/>
              </w:rPr>
            </w:pPr>
          </w:p>
        </w:tc>
        <w:tc>
          <w:tcPr>
            <w:tcW w:w="1351" w:type="dxa"/>
            <w:shd w:val="clear" w:color="auto" w:fill="DBE6F1"/>
          </w:tcPr>
          <w:p>
            <w:pPr>
              <w:pStyle w:val="TableParagraph"/>
              <w:spacing w:line="256" w:lineRule="exact"/>
              <w:ind w:left="281" w:right="276"/>
              <w:jc w:val="center"/>
              <w:rPr>
                <w:b/>
                <w:sz w:val="24"/>
              </w:rPr>
            </w:pPr>
            <w:r>
              <w:rPr>
                <w:b/>
                <w:sz w:val="24"/>
              </w:rPr>
              <w:t>DY</w:t>
            </w:r>
            <w:r>
              <w:rPr>
                <w:b/>
                <w:spacing w:val="-2"/>
                <w:sz w:val="24"/>
              </w:rPr>
              <w:t> </w:t>
            </w:r>
            <w:r>
              <w:rPr>
                <w:b/>
                <w:spacing w:val="-5"/>
                <w:sz w:val="24"/>
              </w:rPr>
              <w:t>27</w:t>
            </w:r>
          </w:p>
        </w:tc>
        <w:tc>
          <w:tcPr>
            <w:tcW w:w="1265" w:type="dxa"/>
            <w:shd w:val="clear" w:color="auto" w:fill="DBE6F1"/>
          </w:tcPr>
          <w:p>
            <w:pPr>
              <w:pStyle w:val="TableParagraph"/>
              <w:spacing w:line="256" w:lineRule="exact"/>
              <w:ind w:right="297"/>
              <w:jc w:val="right"/>
              <w:rPr>
                <w:b/>
                <w:sz w:val="24"/>
              </w:rPr>
            </w:pPr>
            <w:r>
              <w:rPr>
                <w:b/>
                <w:sz w:val="24"/>
              </w:rPr>
              <w:t>DY</w:t>
            </w:r>
            <w:r>
              <w:rPr>
                <w:b/>
                <w:spacing w:val="-2"/>
                <w:sz w:val="24"/>
              </w:rPr>
              <w:t> </w:t>
            </w:r>
            <w:r>
              <w:rPr>
                <w:b/>
                <w:spacing w:val="-5"/>
                <w:sz w:val="24"/>
              </w:rPr>
              <w:t>28</w:t>
            </w:r>
          </w:p>
        </w:tc>
        <w:tc>
          <w:tcPr>
            <w:tcW w:w="987" w:type="dxa"/>
            <w:shd w:val="clear" w:color="auto" w:fill="DBE6F1"/>
          </w:tcPr>
          <w:p>
            <w:pPr>
              <w:pStyle w:val="TableParagraph"/>
              <w:spacing w:line="256" w:lineRule="exact"/>
              <w:ind w:left="168"/>
              <w:rPr>
                <w:b/>
                <w:sz w:val="24"/>
              </w:rPr>
            </w:pPr>
            <w:r>
              <w:rPr>
                <w:b/>
                <w:sz w:val="24"/>
              </w:rPr>
              <w:t>DY</w:t>
            </w:r>
            <w:r>
              <w:rPr>
                <w:b/>
                <w:spacing w:val="-2"/>
                <w:sz w:val="24"/>
              </w:rPr>
              <w:t> </w:t>
            </w:r>
            <w:r>
              <w:rPr>
                <w:b/>
                <w:spacing w:val="-5"/>
                <w:sz w:val="24"/>
              </w:rPr>
              <w:t>29</w:t>
            </w:r>
          </w:p>
        </w:tc>
        <w:tc>
          <w:tcPr>
            <w:tcW w:w="1169" w:type="dxa"/>
            <w:shd w:val="clear" w:color="auto" w:fill="DBE6F1"/>
          </w:tcPr>
          <w:p>
            <w:pPr>
              <w:pStyle w:val="TableParagraph"/>
              <w:spacing w:line="256" w:lineRule="exact"/>
              <w:ind w:left="261"/>
              <w:rPr>
                <w:b/>
                <w:sz w:val="24"/>
              </w:rPr>
            </w:pPr>
            <w:r>
              <w:rPr>
                <w:b/>
                <w:sz w:val="24"/>
              </w:rPr>
              <w:t>DY</w:t>
            </w:r>
            <w:r>
              <w:rPr>
                <w:b/>
                <w:spacing w:val="-2"/>
                <w:sz w:val="24"/>
              </w:rPr>
              <w:t> </w:t>
            </w:r>
            <w:r>
              <w:rPr>
                <w:b/>
                <w:spacing w:val="-5"/>
                <w:sz w:val="24"/>
              </w:rPr>
              <w:t>30</w:t>
            </w:r>
          </w:p>
        </w:tc>
        <w:tc>
          <w:tcPr>
            <w:tcW w:w="1059" w:type="dxa"/>
            <w:shd w:val="clear" w:color="auto" w:fill="DBE6F1"/>
          </w:tcPr>
          <w:p>
            <w:pPr>
              <w:pStyle w:val="TableParagraph"/>
              <w:spacing w:line="256" w:lineRule="exact"/>
              <w:ind w:left="234"/>
              <w:rPr>
                <w:b/>
                <w:sz w:val="24"/>
              </w:rPr>
            </w:pPr>
            <w:r>
              <w:rPr>
                <w:b/>
                <w:spacing w:val="-4"/>
                <w:sz w:val="24"/>
              </w:rPr>
              <w:t>DY31</w:t>
            </w:r>
          </w:p>
        </w:tc>
        <w:tc>
          <w:tcPr>
            <w:tcW w:w="831" w:type="dxa"/>
            <w:shd w:val="clear" w:color="auto" w:fill="DBE6F1"/>
          </w:tcPr>
          <w:p>
            <w:pPr>
              <w:pStyle w:val="TableParagraph"/>
              <w:spacing w:line="256" w:lineRule="exact"/>
              <w:ind w:left="108" w:right="101"/>
              <w:jc w:val="center"/>
              <w:rPr>
                <w:b/>
                <w:sz w:val="24"/>
              </w:rPr>
            </w:pPr>
            <w:r>
              <w:rPr>
                <w:b/>
                <w:spacing w:val="-4"/>
                <w:sz w:val="24"/>
              </w:rPr>
              <w:t>DY32</w:t>
            </w:r>
          </w:p>
        </w:tc>
        <w:tc>
          <w:tcPr>
            <w:tcW w:w="1345" w:type="dxa"/>
            <w:shd w:val="clear" w:color="auto" w:fill="DBE6F1"/>
          </w:tcPr>
          <w:p>
            <w:pPr>
              <w:pStyle w:val="TableParagraph"/>
              <w:spacing w:line="256" w:lineRule="exact"/>
              <w:ind w:left="217" w:right="217"/>
              <w:jc w:val="center"/>
              <w:rPr>
                <w:b/>
                <w:sz w:val="24"/>
              </w:rPr>
            </w:pPr>
            <w:r>
              <w:rPr>
                <w:b/>
                <w:spacing w:val="-2"/>
                <w:sz w:val="24"/>
              </w:rPr>
              <w:t>Total</w:t>
            </w:r>
          </w:p>
        </w:tc>
      </w:tr>
      <w:tr>
        <w:trPr>
          <w:trHeight w:val="275" w:hRule="atLeast"/>
        </w:trPr>
        <w:tc>
          <w:tcPr>
            <w:tcW w:w="1346" w:type="dxa"/>
          </w:tcPr>
          <w:p>
            <w:pPr>
              <w:pStyle w:val="TableParagraph"/>
              <w:spacing w:line="256" w:lineRule="exact"/>
              <w:ind w:left="398"/>
              <w:rPr>
                <w:b/>
                <w:sz w:val="24"/>
              </w:rPr>
            </w:pPr>
            <w:r>
              <w:rPr>
                <w:b/>
                <w:spacing w:val="-2"/>
                <w:sz w:val="24"/>
              </w:rPr>
              <w:t>Total</w:t>
            </w:r>
          </w:p>
        </w:tc>
        <w:tc>
          <w:tcPr>
            <w:tcW w:w="1351" w:type="dxa"/>
          </w:tcPr>
          <w:p>
            <w:pPr>
              <w:pStyle w:val="TableParagraph"/>
              <w:spacing w:line="256" w:lineRule="exact"/>
              <w:ind w:left="283" w:right="276"/>
              <w:jc w:val="center"/>
              <w:rPr>
                <w:sz w:val="24"/>
              </w:rPr>
            </w:pPr>
            <w:r>
              <w:rPr>
                <w:spacing w:val="-2"/>
                <w:sz w:val="24"/>
              </w:rPr>
              <w:t>$45.7M</w:t>
            </w:r>
          </w:p>
        </w:tc>
        <w:tc>
          <w:tcPr>
            <w:tcW w:w="1265" w:type="dxa"/>
          </w:tcPr>
          <w:p>
            <w:pPr>
              <w:pStyle w:val="TableParagraph"/>
              <w:spacing w:line="256" w:lineRule="exact"/>
              <w:ind w:right="244"/>
              <w:jc w:val="right"/>
              <w:rPr>
                <w:sz w:val="24"/>
              </w:rPr>
            </w:pPr>
            <w:r>
              <w:rPr>
                <w:spacing w:val="-2"/>
                <w:sz w:val="24"/>
              </w:rPr>
              <w:t>$98.6M</w:t>
            </w:r>
          </w:p>
        </w:tc>
        <w:tc>
          <w:tcPr>
            <w:tcW w:w="987" w:type="dxa"/>
          </w:tcPr>
          <w:p>
            <w:pPr>
              <w:pStyle w:val="TableParagraph"/>
              <w:spacing w:line="256" w:lineRule="exact"/>
              <w:ind w:left="112"/>
              <w:rPr>
                <w:sz w:val="24"/>
              </w:rPr>
            </w:pPr>
            <w:r>
              <w:rPr>
                <w:spacing w:val="-2"/>
                <w:sz w:val="24"/>
              </w:rPr>
              <w:t>$56.1M</w:t>
            </w:r>
          </w:p>
        </w:tc>
        <w:tc>
          <w:tcPr>
            <w:tcW w:w="1169" w:type="dxa"/>
          </w:tcPr>
          <w:p>
            <w:pPr>
              <w:pStyle w:val="TableParagraph"/>
              <w:spacing w:line="256" w:lineRule="exact"/>
              <w:ind w:left="205"/>
              <w:rPr>
                <w:sz w:val="24"/>
              </w:rPr>
            </w:pPr>
            <w:r>
              <w:rPr>
                <w:spacing w:val="-2"/>
                <w:sz w:val="24"/>
              </w:rPr>
              <w:t>$52.4M</w:t>
            </w:r>
          </w:p>
        </w:tc>
        <w:tc>
          <w:tcPr>
            <w:tcW w:w="1059" w:type="dxa"/>
          </w:tcPr>
          <w:p>
            <w:pPr>
              <w:pStyle w:val="TableParagraph"/>
              <w:spacing w:line="256" w:lineRule="exact"/>
              <w:ind w:left="210"/>
              <w:rPr>
                <w:sz w:val="24"/>
              </w:rPr>
            </w:pPr>
            <w:r>
              <w:rPr>
                <w:spacing w:val="-2"/>
                <w:sz w:val="24"/>
              </w:rPr>
              <w:t>$0.5M</w:t>
            </w:r>
          </w:p>
        </w:tc>
        <w:tc>
          <w:tcPr>
            <w:tcW w:w="831" w:type="dxa"/>
          </w:tcPr>
          <w:p>
            <w:pPr>
              <w:pStyle w:val="TableParagraph"/>
              <w:spacing w:line="256" w:lineRule="exact"/>
              <w:ind w:left="108" w:right="101"/>
              <w:jc w:val="center"/>
              <w:rPr>
                <w:sz w:val="24"/>
              </w:rPr>
            </w:pPr>
            <w:r>
              <w:rPr>
                <w:spacing w:val="-5"/>
                <w:sz w:val="24"/>
              </w:rPr>
              <w:t>$0</w:t>
            </w:r>
          </w:p>
        </w:tc>
        <w:tc>
          <w:tcPr>
            <w:tcW w:w="1345" w:type="dxa"/>
          </w:tcPr>
          <w:p>
            <w:pPr>
              <w:pStyle w:val="TableParagraph"/>
              <w:spacing w:line="256" w:lineRule="exact"/>
              <w:ind w:left="217" w:right="217"/>
              <w:jc w:val="center"/>
              <w:rPr>
                <w:sz w:val="24"/>
              </w:rPr>
            </w:pPr>
            <w:r>
              <w:rPr>
                <w:spacing w:val="-2"/>
                <w:sz w:val="24"/>
              </w:rPr>
              <w:t>$253.2M</w:t>
            </w:r>
          </w:p>
        </w:tc>
      </w:tr>
    </w:tbl>
    <w:p>
      <w:pPr>
        <w:pStyle w:val="BodyText"/>
        <w:rPr>
          <w:sz w:val="20"/>
        </w:rPr>
      </w:pPr>
    </w:p>
    <w:p>
      <w:pPr>
        <w:pStyle w:val="BodyText"/>
        <w:spacing w:before="1"/>
        <w:rPr>
          <w:sz w:val="17"/>
        </w:rPr>
      </w:pPr>
    </w:p>
    <w:p>
      <w:pPr>
        <w:pStyle w:val="BodyText"/>
        <w:spacing w:before="90"/>
        <w:ind w:left="871" w:right="1041"/>
      </w:pPr>
      <w:r>
        <w:rPr/>
        <w:drawing>
          <wp:anchor distT="0" distB="0" distL="0" distR="0" allowOverlap="1" layoutInCell="1" locked="0" behindDoc="0" simplePos="0" relativeHeight="15888896">
            <wp:simplePos x="0" y="0"/>
            <wp:positionH relativeFrom="page">
              <wp:posOffset>908303</wp:posOffset>
            </wp:positionH>
            <wp:positionV relativeFrom="paragraph">
              <wp:posOffset>92762</wp:posOffset>
            </wp:positionV>
            <wp:extent cx="283463" cy="112763"/>
            <wp:effectExtent l="0" t="0" r="0" b="0"/>
            <wp:wrapNone/>
            <wp:docPr id="324" name="Image 324"/>
            <wp:cNvGraphicFramePr>
              <a:graphicFrameLocks/>
            </wp:cNvGraphicFramePr>
            <a:graphic>
              <a:graphicData uri="http://schemas.openxmlformats.org/drawingml/2006/picture">
                <pic:pic>
                  <pic:nvPicPr>
                    <pic:cNvPr id="324" name="Image 324"/>
                    <pic:cNvPicPr/>
                  </pic:nvPicPr>
                  <pic:blipFill>
                    <a:blip r:embed="rId159" cstate="print"/>
                    <a:stretch>
                      <a:fillRect/>
                    </a:stretch>
                  </pic:blipFill>
                  <pic:spPr>
                    <a:xfrm>
                      <a:off x="0" y="0"/>
                      <a:ext cx="283463" cy="112763"/>
                    </a:xfrm>
                    <a:prstGeom prst="rect">
                      <a:avLst/>
                    </a:prstGeom>
                  </pic:spPr>
                </pic:pic>
              </a:graphicData>
            </a:graphic>
          </wp:anchor>
        </w:drawing>
      </w:r>
      <w:bookmarkStart w:name="12.5. DSRIP Protocol. The DSRIP protocol" w:id="505"/>
      <w:bookmarkEnd w:id="505"/>
      <w:r>
        <w:rPr/>
      </w:r>
      <w:r>
        <w:rPr>
          <w:b/>
        </w:rPr>
        <w:t>DSRIP Protocol. </w:t>
      </w:r>
      <w:r>
        <w:rPr/>
        <w:t>The DSRIP protocol is incorporated as Attachment M of these STCs, and may be altered only with CMS approval, and only to the extent consistent with the approved</w:t>
      </w:r>
      <w:r>
        <w:rPr>
          <w:spacing w:val="-4"/>
        </w:rPr>
        <w:t> </w:t>
      </w:r>
      <w:r>
        <w:rPr/>
        <w:t>waivers,</w:t>
      </w:r>
      <w:r>
        <w:rPr>
          <w:spacing w:val="-2"/>
        </w:rPr>
        <w:t> </w:t>
      </w:r>
      <w:r>
        <w:rPr/>
        <w:t>expenditure</w:t>
      </w:r>
      <w:r>
        <w:rPr>
          <w:spacing w:val="-5"/>
        </w:rPr>
        <w:t> </w:t>
      </w:r>
      <w:r>
        <w:rPr/>
        <w:t>authorities</w:t>
      </w:r>
      <w:r>
        <w:rPr>
          <w:spacing w:val="-4"/>
        </w:rPr>
        <w:t> </w:t>
      </w:r>
      <w:r>
        <w:rPr/>
        <w:t>and</w:t>
      </w:r>
      <w:r>
        <w:rPr>
          <w:spacing w:val="-4"/>
        </w:rPr>
        <w:t> </w:t>
      </w:r>
      <w:r>
        <w:rPr/>
        <w:t>STCs.</w:t>
      </w:r>
      <w:r>
        <w:rPr>
          <w:spacing w:val="-4"/>
        </w:rPr>
        <w:t> </w:t>
      </w:r>
      <w:r>
        <w:rPr/>
        <w:t>The</w:t>
      </w:r>
      <w:r>
        <w:rPr>
          <w:spacing w:val="-5"/>
        </w:rPr>
        <w:t> </w:t>
      </w:r>
      <w:r>
        <w:rPr/>
        <w:t>Protocol</w:t>
      </w:r>
      <w:r>
        <w:rPr>
          <w:spacing w:val="-4"/>
        </w:rPr>
        <w:t> </w:t>
      </w:r>
      <w:r>
        <w:rPr/>
        <w:t>lays</w:t>
      </w:r>
      <w:r>
        <w:rPr>
          <w:spacing w:val="-4"/>
        </w:rPr>
        <w:t> </w:t>
      </w:r>
      <w:r>
        <w:rPr/>
        <w:t>out</w:t>
      </w:r>
      <w:r>
        <w:rPr>
          <w:spacing w:val="-2"/>
        </w:rPr>
        <w:t> </w:t>
      </w:r>
      <w:r>
        <w:rPr/>
        <w:t>the</w:t>
      </w:r>
      <w:r>
        <w:rPr>
          <w:spacing w:val="-5"/>
        </w:rPr>
        <w:t> </w:t>
      </w:r>
      <w:r>
        <w:rPr/>
        <w:t>permissible uses of DSRIP specific funding for ACO, CP, and statewide investments, as well as state implementation and oversight of the DSRIP program. Changes to the Protocol will apply prospectively, unless otherwise indicated in the Protocols. DSRIP payments for each participating entity or organization are contingent on fully meeting requirements as specified in the DSRIP Protocol. In order to receive incentive funding the entity must submit all required reporting, as outlined in the DSRIP Protocol.</w:t>
      </w:r>
    </w:p>
    <w:p>
      <w:pPr>
        <w:pStyle w:val="BodyText"/>
        <w:spacing w:before="10"/>
        <w:rPr>
          <w:sz w:val="20"/>
        </w:rPr>
      </w:pPr>
    </w:p>
    <w:p>
      <w:pPr>
        <w:pStyle w:val="BodyText"/>
        <w:ind w:left="1411" w:right="1086"/>
      </w:pPr>
      <w:r>
        <w:rPr/>
        <w:drawing>
          <wp:anchor distT="0" distB="0" distL="0" distR="0" allowOverlap="1" layoutInCell="1" locked="0" behindDoc="0" simplePos="0" relativeHeight="15889408">
            <wp:simplePos x="0" y="0"/>
            <wp:positionH relativeFrom="page">
              <wp:posOffset>1431036</wp:posOffset>
            </wp:positionH>
            <wp:positionV relativeFrom="paragraph">
              <wp:posOffset>67603</wp:posOffset>
            </wp:positionV>
            <wp:extent cx="96011" cy="80771"/>
            <wp:effectExtent l="0" t="0" r="0" b="0"/>
            <wp:wrapNone/>
            <wp:docPr id="325" name="Image 325"/>
            <wp:cNvGraphicFramePr>
              <a:graphicFrameLocks/>
            </wp:cNvGraphicFramePr>
            <a:graphic>
              <a:graphicData uri="http://schemas.openxmlformats.org/drawingml/2006/picture">
                <pic:pic>
                  <pic:nvPicPr>
                    <pic:cNvPr id="325" name="Image 325"/>
                    <pic:cNvPicPr/>
                  </pic:nvPicPr>
                  <pic:blipFill>
                    <a:blip r:embed="rId29" cstate="print"/>
                    <a:stretch>
                      <a:fillRect/>
                    </a:stretch>
                  </pic:blipFill>
                  <pic:spPr>
                    <a:xfrm>
                      <a:off x="0" y="0"/>
                      <a:ext cx="96011" cy="80771"/>
                    </a:xfrm>
                    <a:prstGeom prst="rect">
                      <a:avLst/>
                    </a:prstGeom>
                  </pic:spPr>
                </pic:pic>
              </a:graphicData>
            </a:graphic>
          </wp:anchor>
        </w:drawing>
      </w:r>
      <w:bookmarkStart w:name="a. Protocol Purpose. The Commonwealth ma" w:id="506"/>
      <w:bookmarkEnd w:id="506"/>
      <w:r>
        <w:rPr/>
      </w:r>
      <w:r>
        <w:rPr>
          <w:b/>
        </w:rPr>
        <w:t>Protocol Purpose. </w:t>
      </w:r>
      <w:r>
        <w:rPr/>
        <w:t>The Commonwealth may only claim FFP for DSRIP expenditures</w:t>
      </w:r>
      <w:r>
        <w:rPr>
          <w:spacing w:val="-4"/>
        </w:rPr>
        <w:t> </w:t>
      </w:r>
      <w:r>
        <w:rPr/>
        <w:t>in</w:t>
      </w:r>
      <w:r>
        <w:rPr>
          <w:spacing w:val="-4"/>
        </w:rPr>
        <w:t> </w:t>
      </w:r>
      <w:r>
        <w:rPr/>
        <w:t>accordance</w:t>
      </w:r>
      <w:r>
        <w:rPr>
          <w:spacing w:val="-5"/>
        </w:rPr>
        <w:t> </w:t>
      </w:r>
      <w:r>
        <w:rPr/>
        <w:t>with</w:t>
      </w:r>
      <w:r>
        <w:rPr>
          <w:spacing w:val="-4"/>
        </w:rPr>
        <w:t> </w:t>
      </w:r>
      <w:r>
        <w:rPr/>
        <w:t>the</w:t>
      </w:r>
      <w:r>
        <w:rPr>
          <w:spacing w:val="-5"/>
        </w:rPr>
        <w:t> </w:t>
      </w:r>
      <w:r>
        <w:rPr/>
        <w:t>DSRIP</w:t>
      </w:r>
      <w:r>
        <w:rPr>
          <w:spacing w:val="-4"/>
        </w:rPr>
        <w:t> </w:t>
      </w:r>
      <w:r>
        <w:rPr/>
        <w:t>Protocol.</w:t>
      </w:r>
      <w:r>
        <w:rPr>
          <w:spacing w:val="-4"/>
        </w:rPr>
        <w:t> </w:t>
      </w:r>
      <w:r>
        <w:rPr/>
        <w:t>The</w:t>
      </w:r>
      <w:r>
        <w:rPr>
          <w:spacing w:val="-5"/>
        </w:rPr>
        <w:t> </w:t>
      </w:r>
      <w:r>
        <w:rPr/>
        <w:t>DSRIP</w:t>
      </w:r>
      <w:r>
        <w:rPr>
          <w:spacing w:val="-4"/>
        </w:rPr>
        <w:t> </w:t>
      </w:r>
      <w:r>
        <w:rPr/>
        <w:t>Protocol:</w:t>
      </w:r>
    </w:p>
    <w:p>
      <w:pPr>
        <w:pStyle w:val="BodyText"/>
        <w:spacing w:before="10"/>
        <w:rPr>
          <w:sz w:val="20"/>
        </w:rPr>
      </w:pPr>
    </w:p>
    <w:p>
      <w:pPr>
        <w:pStyle w:val="BodyText"/>
        <w:ind w:left="2040" w:right="1059"/>
      </w:pPr>
      <w:r>
        <w:rPr/>
        <w:drawing>
          <wp:anchor distT="0" distB="0" distL="0" distR="0" allowOverlap="1" layoutInCell="1" locked="0" behindDoc="0" simplePos="0" relativeHeight="15889920">
            <wp:simplePos x="0" y="0"/>
            <wp:positionH relativeFrom="page">
              <wp:posOffset>1862327</wp:posOffset>
            </wp:positionH>
            <wp:positionV relativeFrom="paragraph">
              <wp:posOffset>32551</wp:posOffset>
            </wp:positionV>
            <wp:extent cx="73151" cy="115823"/>
            <wp:effectExtent l="0" t="0" r="0" b="0"/>
            <wp:wrapNone/>
            <wp:docPr id="326" name="Image 326"/>
            <wp:cNvGraphicFramePr>
              <a:graphicFrameLocks/>
            </wp:cNvGraphicFramePr>
            <a:graphic>
              <a:graphicData uri="http://schemas.openxmlformats.org/drawingml/2006/picture">
                <pic:pic>
                  <pic:nvPicPr>
                    <pic:cNvPr id="326" name="Image 326"/>
                    <pic:cNvPicPr/>
                  </pic:nvPicPr>
                  <pic:blipFill>
                    <a:blip r:embed="rId61" cstate="print"/>
                    <a:stretch>
                      <a:fillRect/>
                    </a:stretch>
                  </pic:blipFill>
                  <pic:spPr>
                    <a:xfrm>
                      <a:off x="0" y="0"/>
                      <a:ext cx="73151" cy="115823"/>
                    </a:xfrm>
                    <a:prstGeom prst="rect">
                      <a:avLst/>
                    </a:prstGeom>
                  </pic:spPr>
                </pic:pic>
              </a:graphicData>
            </a:graphic>
          </wp:anchor>
        </w:drawing>
      </w:r>
      <w:bookmarkStart w:name="i. Outlines the context, goals, and outc" w:id="507"/>
      <w:bookmarkEnd w:id="507"/>
      <w:r>
        <w:rPr/>
      </w:r>
      <w:r>
        <w:rPr/>
        <w:t>Outlines</w:t>
      </w:r>
      <w:r>
        <w:rPr>
          <w:spacing w:val="-4"/>
        </w:rPr>
        <w:t> </w:t>
      </w:r>
      <w:r>
        <w:rPr/>
        <w:t>the</w:t>
      </w:r>
      <w:r>
        <w:rPr>
          <w:spacing w:val="-5"/>
        </w:rPr>
        <w:t> </w:t>
      </w:r>
      <w:r>
        <w:rPr/>
        <w:t>context,</w:t>
      </w:r>
      <w:r>
        <w:rPr>
          <w:spacing w:val="-4"/>
        </w:rPr>
        <w:t> </w:t>
      </w:r>
      <w:r>
        <w:rPr/>
        <w:t>goals,</w:t>
      </w:r>
      <w:r>
        <w:rPr>
          <w:spacing w:val="-4"/>
        </w:rPr>
        <w:t> </w:t>
      </w:r>
      <w:r>
        <w:rPr/>
        <w:t>and</w:t>
      </w:r>
      <w:r>
        <w:rPr>
          <w:spacing w:val="-4"/>
        </w:rPr>
        <w:t> </w:t>
      </w:r>
      <w:r>
        <w:rPr/>
        <w:t>outcomes</w:t>
      </w:r>
      <w:r>
        <w:rPr>
          <w:spacing w:val="-4"/>
        </w:rPr>
        <w:t> </w:t>
      </w:r>
      <w:r>
        <w:rPr/>
        <w:t>that</w:t>
      </w:r>
      <w:r>
        <w:rPr>
          <w:spacing w:val="-4"/>
        </w:rPr>
        <w:t> </w:t>
      </w:r>
      <w:r>
        <w:rPr/>
        <w:t>the</w:t>
      </w:r>
      <w:r>
        <w:rPr>
          <w:spacing w:val="-3"/>
        </w:rPr>
        <w:t> </w:t>
      </w:r>
      <w:r>
        <w:rPr/>
        <w:t>Commonwealth</w:t>
      </w:r>
      <w:r>
        <w:rPr>
          <w:spacing w:val="-4"/>
        </w:rPr>
        <w:t> </w:t>
      </w:r>
      <w:r>
        <w:rPr/>
        <w:t>seeks</w:t>
      </w:r>
      <w:r>
        <w:rPr>
          <w:spacing w:val="-4"/>
        </w:rPr>
        <w:t> </w:t>
      </w:r>
      <w:r>
        <w:rPr/>
        <w:t>to achieve through payment reform;</w:t>
      </w:r>
    </w:p>
    <w:p>
      <w:pPr>
        <w:pStyle w:val="BodyText"/>
        <w:spacing w:before="161"/>
        <w:ind w:left="2040" w:right="1079"/>
        <w:jc w:val="both"/>
      </w:pPr>
      <w:r>
        <w:rPr/>
        <w:drawing>
          <wp:anchor distT="0" distB="0" distL="0" distR="0" allowOverlap="1" layoutInCell="1" locked="0" behindDoc="0" simplePos="0" relativeHeight="15890432">
            <wp:simplePos x="0" y="0"/>
            <wp:positionH relativeFrom="page">
              <wp:posOffset>1819655</wp:posOffset>
            </wp:positionH>
            <wp:positionV relativeFrom="paragraph">
              <wp:posOffset>134786</wp:posOffset>
            </wp:positionV>
            <wp:extent cx="115823" cy="115823"/>
            <wp:effectExtent l="0" t="0" r="0" b="0"/>
            <wp:wrapNone/>
            <wp:docPr id="327" name="Image 327"/>
            <wp:cNvGraphicFramePr>
              <a:graphicFrameLocks/>
            </wp:cNvGraphicFramePr>
            <a:graphic>
              <a:graphicData uri="http://schemas.openxmlformats.org/drawingml/2006/picture">
                <pic:pic>
                  <pic:nvPicPr>
                    <pic:cNvPr id="327" name="Image 327"/>
                    <pic:cNvPicPr/>
                  </pic:nvPicPr>
                  <pic:blipFill>
                    <a:blip r:embed="rId62" cstate="print"/>
                    <a:stretch>
                      <a:fillRect/>
                    </a:stretch>
                  </pic:blipFill>
                  <pic:spPr>
                    <a:xfrm>
                      <a:off x="0" y="0"/>
                      <a:ext cx="115823" cy="115823"/>
                    </a:xfrm>
                    <a:prstGeom prst="rect">
                      <a:avLst/>
                    </a:prstGeom>
                  </pic:spPr>
                </pic:pic>
              </a:graphicData>
            </a:graphic>
          </wp:anchor>
        </w:drawing>
      </w:r>
      <w:bookmarkStart w:name="ii. Specifies the allowed uses for DSRIP" w:id="508"/>
      <w:bookmarkEnd w:id="508"/>
      <w:r>
        <w:rPr/>
      </w:r>
      <w:r>
        <w:rPr/>
        <w:t>Specifies</w:t>
      </w:r>
      <w:r>
        <w:rPr>
          <w:spacing w:val="-2"/>
        </w:rPr>
        <w:t> </w:t>
      </w:r>
      <w:r>
        <w:rPr/>
        <w:t>the</w:t>
      </w:r>
      <w:r>
        <w:rPr>
          <w:spacing w:val="-3"/>
        </w:rPr>
        <w:t> </w:t>
      </w:r>
      <w:r>
        <w:rPr/>
        <w:t>allowed</w:t>
      </w:r>
      <w:r>
        <w:rPr>
          <w:spacing w:val="-2"/>
        </w:rPr>
        <w:t> </w:t>
      </w:r>
      <w:r>
        <w:rPr/>
        <w:t>uses</w:t>
      </w:r>
      <w:r>
        <w:rPr>
          <w:spacing w:val="-2"/>
        </w:rPr>
        <w:t> </w:t>
      </w:r>
      <w:r>
        <w:rPr/>
        <w:t>for</w:t>
      </w:r>
      <w:r>
        <w:rPr>
          <w:spacing w:val="-3"/>
        </w:rPr>
        <w:t> </w:t>
      </w:r>
      <w:r>
        <w:rPr/>
        <w:t>DSRIP</w:t>
      </w:r>
      <w:r>
        <w:rPr>
          <w:spacing w:val="-2"/>
        </w:rPr>
        <w:t> </w:t>
      </w:r>
      <w:r>
        <w:rPr/>
        <w:t>funding, and the</w:t>
      </w:r>
      <w:r>
        <w:rPr>
          <w:spacing w:val="-3"/>
        </w:rPr>
        <w:t> </w:t>
      </w:r>
      <w:r>
        <w:rPr/>
        <w:t>methodologies/process by</w:t>
      </w:r>
      <w:r>
        <w:rPr>
          <w:spacing w:val="-8"/>
        </w:rPr>
        <w:t> </w:t>
      </w:r>
      <w:r>
        <w:rPr/>
        <w:t>which</w:t>
      </w:r>
      <w:r>
        <w:rPr>
          <w:spacing w:val="-4"/>
        </w:rPr>
        <w:t> </w:t>
      </w:r>
      <w:r>
        <w:rPr/>
        <w:t>the</w:t>
      </w:r>
      <w:r>
        <w:rPr>
          <w:spacing w:val="-5"/>
        </w:rPr>
        <w:t> </w:t>
      </w:r>
      <w:r>
        <w:rPr/>
        <w:t>Commonwealth</w:t>
      </w:r>
      <w:r>
        <w:rPr>
          <w:spacing w:val="-4"/>
        </w:rPr>
        <w:t> </w:t>
      </w:r>
      <w:r>
        <w:rPr/>
        <w:t>will</w:t>
      </w:r>
      <w:r>
        <w:rPr>
          <w:spacing w:val="-4"/>
        </w:rPr>
        <w:t> </w:t>
      </w:r>
      <w:r>
        <w:rPr/>
        <w:t>determine</w:t>
      </w:r>
      <w:r>
        <w:rPr>
          <w:spacing w:val="-5"/>
        </w:rPr>
        <w:t> </w:t>
      </w:r>
      <w:r>
        <w:rPr/>
        <w:t>how</w:t>
      </w:r>
      <w:r>
        <w:rPr>
          <w:spacing w:val="-3"/>
        </w:rPr>
        <w:t> </w:t>
      </w:r>
      <w:r>
        <w:rPr/>
        <w:t>to</w:t>
      </w:r>
      <w:r>
        <w:rPr>
          <w:spacing w:val="-4"/>
        </w:rPr>
        <w:t> </w:t>
      </w:r>
      <w:r>
        <w:rPr/>
        <w:t>distribute</w:t>
      </w:r>
      <w:r>
        <w:rPr>
          <w:spacing w:val="-5"/>
        </w:rPr>
        <w:t> </w:t>
      </w:r>
      <w:r>
        <w:rPr/>
        <w:t>DSRIP</w:t>
      </w:r>
      <w:r>
        <w:rPr>
          <w:spacing w:val="-4"/>
        </w:rPr>
        <w:t> </w:t>
      </w:r>
      <w:r>
        <w:rPr/>
        <w:t>funding and ensure robust oversight of said funds;</w:t>
      </w:r>
    </w:p>
    <w:p>
      <w:pPr>
        <w:pStyle w:val="BodyText"/>
        <w:spacing w:before="161"/>
        <w:ind w:left="2040" w:right="1059"/>
      </w:pPr>
      <w:r>
        <w:rPr/>
        <w:drawing>
          <wp:anchor distT="0" distB="0" distL="0" distR="0" allowOverlap="1" layoutInCell="1" locked="0" behindDoc="0" simplePos="0" relativeHeight="15890944">
            <wp:simplePos x="0" y="0"/>
            <wp:positionH relativeFrom="page">
              <wp:posOffset>1778507</wp:posOffset>
            </wp:positionH>
            <wp:positionV relativeFrom="paragraph">
              <wp:posOffset>134786</wp:posOffset>
            </wp:positionV>
            <wp:extent cx="158495" cy="115823"/>
            <wp:effectExtent l="0" t="0" r="0" b="0"/>
            <wp:wrapNone/>
            <wp:docPr id="328" name="Image 328"/>
            <wp:cNvGraphicFramePr>
              <a:graphicFrameLocks/>
            </wp:cNvGraphicFramePr>
            <a:graphic>
              <a:graphicData uri="http://schemas.openxmlformats.org/drawingml/2006/picture">
                <pic:pic>
                  <pic:nvPicPr>
                    <pic:cNvPr id="328" name="Image 328"/>
                    <pic:cNvPicPr/>
                  </pic:nvPicPr>
                  <pic:blipFill>
                    <a:blip r:embed="rId65" cstate="print"/>
                    <a:stretch>
                      <a:fillRect/>
                    </a:stretch>
                  </pic:blipFill>
                  <pic:spPr>
                    <a:xfrm>
                      <a:off x="0" y="0"/>
                      <a:ext cx="158495" cy="115823"/>
                    </a:xfrm>
                    <a:prstGeom prst="rect">
                      <a:avLst/>
                    </a:prstGeom>
                  </pic:spPr>
                </pic:pic>
              </a:graphicData>
            </a:graphic>
          </wp:anchor>
        </w:drawing>
      </w:r>
      <w:bookmarkStart w:name="iii. Specifies requirements for the DSRI" w:id="509"/>
      <w:bookmarkEnd w:id="509"/>
      <w:r>
        <w:rPr/>
      </w:r>
      <w:r>
        <w:rPr/>
        <w:t>Specifies</w:t>
      </w:r>
      <w:r>
        <w:rPr>
          <w:spacing w:val="-5"/>
        </w:rPr>
        <w:t> </w:t>
      </w:r>
      <w:r>
        <w:rPr/>
        <w:t>requirements</w:t>
      </w:r>
      <w:r>
        <w:rPr>
          <w:spacing w:val="-5"/>
        </w:rPr>
        <w:t> </w:t>
      </w:r>
      <w:r>
        <w:rPr/>
        <w:t>for</w:t>
      </w:r>
      <w:r>
        <w:rPr>
          <w:spacing w:val="-6"/>
        </w:rPr>
        <w:t> </w:t>
      </w:r>
      <w:r>
        <w:rPr/>
        <w:t>the</w:t>
      </w:r>
      <w:r>
        <w:rPr>
          <w:spacing w:val="-6"/>
        </w:rPr>
        <w:t> </w:t>
      </w:r>
      <w:r>
        <w:rPr/>
        <w:t>DSRIP</w:t>
      </w:r>
      <w:r>
        <w:rPr>
          <w:spacing w:val="-5"/>
        </w:rPr>
        <w:t> </w:t>
      </w:r>
      <w:r>
        <w:rPr/>
        <w:t>Participation</w:t>
      </w:r>
      <w:r>
        <w:rPr>
          <w:spacing w:val="-5"/>
        </w:rPr>
        <w:t> </w:t>
      </w:r>
      <w:r>
        <w:rPr/>
        <w:t>Plans</w:t>
      </w:r>
      <w:r>
        <w:rPr>
          <w:spacing w:val="-5"/>
        </w:rPr>
        <w:t> </w:t>
      </w:r>
      <w:r>
        <w:rPr/>
        <w:t>and</w:t>
      </w:r>
      <w:r>
        <w:rPr>
          <w:spacing w:val="-5"/>
        </w:rPr>
        <w:t> </w:t>
      </w:r>
      <w:r>
        <w:rPr/>
        <w:t>Budgets</w:t>
      </w:r>
      <w:r>
        <w:rPr>
          <w:spacing w:val="-5"/>
        </w:rPr>
        <w:t> </w:t>
      </w:r>
      <w:r>
        <w:rPr/>
        <w:t>that ACOs and CPs are required to submit and have approved by the </w:t>
      </w:r>
      <w:r>
        <w:rPr>
          <w:spacing w:val="-2"/>
        </w:rPr>
        <w:t>Commonwealth;</w:t>
      </w:r>
    </w:p>
    <w:p>
      <w:pPr>
        <w:spacing w:after="0"/>
        <w:sectPr>
          <w:pgSz w:w="12240" w:h="15840"/>
          <w:pgMar w:header="0" w:footer="1201" w:top="1360" w:bottom="1400" w:left="1200" w:right="400"/>
        </w:sectPr>
      </w:pPr>
    </w:p>
    <w:p>
      <w:pPr>
        <w:pStyle w:val="BodyText"/>
        <w:spacing w:before="79"/>
        <w:ind w:left="2040" w:right="1059"/>
      </w:pPr>
      <w:r>
        <w:rPr/>
        <w:drawing>
          <wp:anchor distT="0" distB="0" distL="0" distR="0" allowOverlap="1" layoutInCell="1" locked="0" behindDoc="0" simplePos="0" relativeHeight="15891456">
            <wp:simplePos x="0" y="0"/>
            <wp:positionH relativeFrom="page">
              <wp:posOffset>1786127</wp:posOffset>
            </wp:positionH>
            <wp:positionV relativeFrom="paragraph">
              <wp:posOffset>82717</wp:posOffset>
            </wp:positionV>
            <wp:extent cx="149339" cy="115823"/>
            <wp:effectExtent l="0" t="0" r="0" b="0"/>
            <wp:wrapNone/>
            <wp:docPr id="329" name="Image 329"/>
            <wp:cNvGraphicFramePr>
              <a:graphicFrameLocks/>
            </wp:cNvGraphicFramePr>
            <a:graphic>
              <a:graphicData uri="http://schemas.openxmlformats.org/drawingml/2006/picture">
                <pic:pic>
                  <pic:nvPicPr>
                    <pic:cNvPr id="329" name="Image 329"/>
                    <pic:cNvPicPr/>
                  </pic:nvPicPr>
                  <pic:blipFill>
                    <a:blip r:embed="rId96" cstate="print"/>
                    <a:stretch>
                      <a:fillRect/>
                    </a:stretch>
                  </pic:blipFill>
                  <pic:spPr>
                    <a:xfrm>
                      <a:off x="0" y="0"/>
                      <a:ext cx="149339" cy="115823"/>
                    </a:xfrm>
                    <a:prstGeom prst="rect">
                      <a:avLst/>
                    </a:prstGeom>
                  </pic:spPr>
                </pic:pic>
              </a:graphicData>
            </a:graphic>
          </wp:anchor>
        </w:drawing>
      </w:r>
      <w:bookmarkStart w:name="iv. Specifies requirements for how the C" w:id="510"/>
      <w:bookmarkEnd w:id="510"/>
      <w:r>
        <w:rPr/>
      </w:r>
      <w:r>
        <w:rPr/>
        <w:t>Specifies</w:t>
      </w:r>
      <w:r>
        <w:rPr>
          <w:spacing w:val="-4"/>
        </w:rPr>
        <w:t> </w:t>
      </w:r>
      <w:r>
        <w:rPr/>
        <w:t>requirements</w:t>
      </w:r>
      <w:r>
        <w:rPr>
          <w:spacing w:val="-4"/>
        </w:rPr>
        <w:t> </w:t>
      </w:r>
      <w:r>
        <w:rPr/>
        <w:t>for</w:t>
      </w:r>
      <w:r>
        <w:rPr>
          <w:spacing w:val="-5"/>
        </w:rPr>
        <w:t> </w:t>
      </w:r>
      <w:r>
        <w:rPr/>
        <w:t>how</w:t>
      </w:r>
      <w:r>
        <w:rPr>
          <w:spacing w:val="-5"/>
        </w:rPr>
        <w:t> </w:t>
      </w:r>
      <w:r>
        <w:rPr/>
        <w:t>the</w:t>
      </w:r>
      <w:r>
        <w:rPr>
          <w:spacing w:val="-5"/>
        </w:rPr>
        <w:t> </w:t>
      </w:r>
      <w:r>
        <w:rPr/>
        <w:t>Commonwealth</w:t>
      </w:r>
      <w:r>
        <w:rPr>
          <w:spacing w:val="-4"/>
        </w:rPr>
        <w:t> </w:t>
      </w:r>
      <w:r>
        <w:rPr/>
        <w:t>will</w:t>
      </w:r>
      <w:r>
        <w:rPr>
          <w:spacing w:val="-4"/>
        </w:rPr>
        <w:t> </w:t>
      </w:r>
      <w:r>
        <w:rPr/>
        <w:t>procure</w:t>
      </w:r>
      <w:r>
        <w:rPr>
          <w:spacing w:val="-5"/>
        </w:rPr>
        <w:t> </w:t>
      </w:r>
      <w:r>
        <w:rPr/>
        <w:t>and</w:t>
      </w:r>
      <w:r>
        <w:rPr>
          <w:spacing w:val="-4"/>
        </w:rPr>
        <w:t> </w:t>
      </w:r>
      <w:r>
        <w:rPr/>
        <w:t>oversee any statewide investments in support of the key goals of the demonstration.</w:t>
      </w:r>
    </w:p>
    <w:p>
      <w:pPr>
        <w:spacing w:before="199"/>
        <w:ind w:left="1411" w:right="1059" w:firstLine="0"/>
        <w:jc w:val="left"/>
        <w:rPr>
          <w:sz w:val="24"/>
        </w:rPr>
      </w:pPr>
      <w:r>
        <w:rPr/>
        <w:drawing>
          <wp:anchor distT="0" distB="0" distL="0" distR="0" allowOverlap="1" layoutInCell="1" locked="0" behindDoc="0" simplePos="0" relativeHeight="15891968">
            <wp:simplePos x="0" y="0"/>
            <wp:positionH relativeFrom="page">
              <wp:posOffset>1424939</wp:posOffset>
            </wp:positionH>
            <wp:positionV relativeFrom="paragraph">
              <wp:posOffset>158917</wp:posOffset>
            </wp:positionV>
            <wp:extent cx="111251" cy="115823"/>
            <wp:effectExtent l="0" t="0" r="0" b="0"/>
            <wp:wrapNone/>
            <wp:docPr id="330" name="Image 330"/>
            <wp:cNvGraphicFramePr>
              <a:graphicFrameLocks/>
            </wp:cNvGraphicFramePr>
            <a:graphic>
              <a:graphicData uri="http://schemas.openxmlformats.org/drawingml/2006/picture">
                <pic:pic>
                  <pic:nvPicPr>
                    <pic:cNvPr id="330" name="Image 330"/>
                    <pic:cNvPicPr/>
                  </pic:nvPicPr>
                  <pic:blipFill>
                    <a:blip r:embed="rId34" cstate="print"/>
                    <a:stretch>
                      <a:fillRect/>
                    </a:stretch>
                  </pic:blipFill>
                  <pic:spPr>
                    <a:xfrm>
                      <a:off x="0" y="0"/>
                      <a:ext cx="111251" cy="115823"/>
                    </a:xfrm>
                    <a:prstGeom prst="rect">
                      <a:avLst/>
                    </a:prstGeom>
                  </pic:spPr>
                </pic:pic>
              </a:graphicData>
            </a:graphic>
          </wp:anchor>
        </w:drawing>
      </w:r>
      <w:bookmarkStart w:name="b. Review and Approval of Modifications " w:id="511"/>
      <w:bookmarkEnd w:id="511"/>
      <w:r>
        <w:rPr/>
      </w:r>
      <w:r>
        <w:rPr>
          <w:b/>
          <w:sz w:val="24"/>
        </w:rPr>
        <w:t>Review</w:t>
      </w:r>
      <w:r>
        <w:rPr>
          <w:b/>
          <w:spacing w:val="-3"/>
          <w:sz w:val="24"/>
        </w:rPr>
        <w:t> </w:t>
      </w:r>
      <w:r>
        <w:rPr>
          <w:b/>
          <w:sz w:val="24"/>
        </w:rPr>
        <w:t>and</w:t>
      </w:r>
      <w:r>
        <w:rPr>
          <w:b/>
          <w:spacing w:val="-4"/>
          <w:sz w:val="24"/>
        </w:rPr>
        <w:t> </w:t>
      </w:r>
      <w:r>
        <w:rPr>
          <w:b/>
          <w:sz w:val="24"/>
        </w:rPr>
        <w:t>Approval</w:t>
      </w:r>
      <w:r>
        <w:rPr>
          <w:b/>
          <w:spacing w:val="-4"/>
          <w:sz w:val="24"/>
        </w:rPr>
        <w:t> </w:t>
      </w:r>
      <w:r>
        <w:rPr>
          <w:b/>
          <w:sz w:val="24"/>
        </w:rPr>
        <w:t>of</w:t>
      </w:r>
      <w:r>
        <w:rPr>
          <w:b/>
          <w:spacing w:val="-3"/>
          <w:sz w:val="24"/>
        </w:rPr>
        <w:t> </w:t>
      </w:r>
      <w:r>
        <w:rPr>
          <w:b/>
          <w:sz w:val="24"/>
        </w:rPr>
        <w:t>Modifications</w:t>
      </w:r>
      <w:r>
        <w:rPr>
          <w:b/>
          <w:spacing w:val="-4"/>
          <w:sz w:val="24"/>
        </w:rPr>
        <w:t> </w:t>
      </w:r>
      <w:r>
        <w:rPr>
          <w:b/>
          <w:sz w:val="24"/>
        </w:rPr>
        <w:t>to</w:t>
      </w:r>
      <w:r>
        <w:rPr>
          <w:b/>
          <w:spacing w:val="-4"/>
          <w:sz w:val="24"/>
        </w:rPr>
        <w:t> </w:t>
      </w:r>
      <w:r>
        <w:rPr>
          <w:b/>
          <w:sz w:val="24"/>
        </w:rPr>
        <w:t>DSRIP</w:t>
      </w:r>
      <w:r>
        <w:rPr>
          <w:b/>
          <w:spacing w:val="-5"/>
          <w:sz w:val="24"/>
        </w:rPr>
        <w:t> </w:t>
      </w:r>
      <w:r>
        <w:rPr>
          <w:b/>
          <w:sz w:val="24"/>
        </w:rPr>
        <w:t>Protocol.</w:t>
      </w:r>
      <w:r>
        <w:rPr>
          <w:b/>
          <w:spacing w:val="-4"/>
          <w:sz w:val="24"/>
        </w:rPr>
        <w:t> </w:t>
      </w:r>
      <w:r>
        <w:rPr>
          <w:sz w:val="24"/>
        </w:rPr>
        <w:t>Massachusetts</w:t>
      </w:r>
      <w:r>
        <w:rPr>
          <w:spacing w:val="-4"/>
          <w:sz w:val="24"/>
        </w:rPr>
        <w:t> </w:t>
      </w:r>
      <w:r>
        <w:rPr>
          <w:sz w:val="24"/>
        </w:rPr>
        <w:t>has</w:t>
      </w:r>
      <w:r>
        <w:rPr>
          <w:spacing w:val="-4"/>
          <w:sz w:val="24"/>
        </w:rPr>
        <w:t> </w:t>
      </w:r>
      <w:r>
        <w:rPr>
          <w:sz w:val="24"/>
        </w:rPr>
        <w:t>the right to modify the DSRIP Protocol over time with CMS approval, taking into account evidence and learnings from experience; unforeseen circumstances; or other good cause.</w:t>
      </w:r>
    </w:p>
    <w:p>
      <w:pPr>
        <w:pStyle w:val="BodyText"/>
        <w:spacing w:before="10"/>
        <w:rPr>
          <w:sz w:val="20"/>
        </w:rPr>
      </w:pPr>
    </w:p>
    <w:p>
      <w:pPr>
        <w:pStyle w:val="BodyText"/>
        <w:ind w:left="2040" w:right="1059"/>
      </w:pPr>
      <w:r>
        <w:rPr/>
        <w:drawing>
          <wp:anchor distT="0" distB="0" distL="0" distR="0" allowOverlap="1" layoutInCell="1" locked="0" behindDoc="0" simplePos="0" relativeHeight="15892480">
            <wp:simplePos x="0" y="0"/>
            <wp:positionH relativeFrom="page">
              <wp:posOffset>1862327</wp:posOffset>
            </wp:positionH>
            <wp:positionV relativeFrom="paragraph">
              <wp:posOffset>32552</wp:posOffset>
            </wp:positionV>
            <wp:extent cx="73151" cy="115823"/>
            <wp:effectExtent l="0" t="0" r="0" b="0"/>
            <wp:wrapNone/>
            <wp:docPr id="331" name="Image 331"/>
            <wp:cNvGraphicFramePr>
              <a:graphicFrameLocks/>
            </wp:cNvGraphicFramePr>
            <a:graphic>
              <a:graphicData uri="http://schemas.openxmlformats.org/drawingml/2006/picture">
                <pic:pic>
                  <pic:nvPicPr>
                    <pic:cNvPr id="331" name="Image 331"/>
                    <pic:cNvPicPr/>
                  </pic:nvPicPr>
                  <pic:blipFill>
                    <a:blip r:embed="rId61" cstate="print"/>
                    <a:stretch>
                      <a:fillRect/>
                    </a:stretch>
                  </pic:blipFill>
                  <pic:spPr>
                    <a:xfrm>
                      <a:off x="0" y="0"/>
                      <a:ext cx="73151" cy="115823"/>
                    </a:xfrm>
                    <a:prstGeom prst="rect">
                      <a:avLst/>
                    </a:prstGeom>
                  </pic:spPr>
                </pic:pic>
              </a:graphicData>
            </a:graphic>
          </wp:anchor>
        </w:drawing>
      </w:r>
      <w:bookmarkStart w:name="i. CMS and Massachusetts agree to a targ" w:id="512"/>
      <w:bookmarkEnd w:id="512"/>
      <w:r>
        <w:rPr/>
      </w:r>
      <w:r>
        <w:rPr/>
        <w:t>CMS</w:t>
      </w:r>
      <w:r>
        <w:rPr>
          <w:spacing w:val="-4"/>
        </w:rPr>
        <w:t> </w:t>
      </w:r>
      <w:r>
        <w:rPr/>
        <w:t>and</w:t>
      </w:r>
      <w:r>
        <w:rPr>
          <w:spacing w:val="-4"/>
        </w:rPr>
        <w:t> </w:t>
      </w:r>
      <w:r>
        <w:rPr/>
        <w:t>Massachusetts</w:t>
      </w:r>
      <w:r>
        <w:rPr>
          <w:spacing w:val="-4"/>
        </w:rPr>
        <w:t> </w:t>
      </w:r>
      <w:r>
        <w:rPr/>
        <w:t>agree</w:t>
      </w:r>
      <w:r>
        <w:rPr>
          <w:spacing w:val="-5"/>
        </w:rPr>
        <w:t> </w:t>
      </w:r>
      <w:r>
        <w:rPr/>
        <w:t>to</w:t>
      </w:r>
      <w:r>
        <w:rPr>
          <w:spacing w:val="-2"/>
        </w:rPr>
        <w:t> </w:t>
      </w:r>
      <w:r>
        <w:rPr/>
        <w:t>a</w:t>
      </w:r>
      <w:r>
        <w:rPr>
          <w:spacing w:val="-5"/>
        </w:rPr>
        <w:t> </w:t>
      </w:r>
      <w:r>
        <w:rPr/>
        <w:t>targeted</w:t>
      </w:r>
      <w:r>
        <w:rPr>
          <w:spacing w:val="-4"/>
        </w:rPr>
        <w:t> </w:t>
      </w:r>
      <w:r>
        <w:rPr/>
        <w:t>approval</w:t>
      </w:r>
      <w:r>
        <w:rPr>
          <w:spacing w:val="-4"/>
        </w:rPr>
        <w:t> </w:t>
      </w:r>
      <w:r>
        <w:rPr/>
        <w:t>date</w:t>
      </w:r>
      <w:r>
        <w:rPr>
          <w:spacing w:val="-5"/>
        </w:rPr>
        <w:t> </w:t>
      </w:r>
      <w:r>
        <w:rPr/>
        <w:t>of</w:t>
      </w:r>
      <w:r>
        <w:rPr>
          <w:spacing w:val="-5"/>
        </w:rPr>
        <w:t> </w:t>
      </w:r>
      <w:r>
        <w:rPr/>
        <w:t>60</w:t>
      </w:r>
      <w:r>
        <w:rPr>
          <w:spacing w:val="-4"/>
        </w:rPr>
        <w:t> </w:t>
      </w:r>
      <w:r>
        <w:rPr/>
        <w:t>business</w:t>
      </w:r>
      <w:r>
        <w:rPr>
          <w:spacing w:val="-4"/>
        </w:rPr>
        <w:t> </w:t>
      </w:r>
      <w:r>
        <w:rPr/>
        <w:t>days after submission of the DSRIP Protocol modification.</w:t>
      </w:r>
    </w:p>
    <w:p>
      <w:pPr>
        <w:pStyle w:val="BodyText"/>
        <w:spacing w:before="161"/>
        <w:ind w:left="2040" w:right="1059"/>
      </w:pPr>
      <w:r>
        <w:rPr/>
        <w:drawing>
          <wp:anchor distT="0" distB="0" distL="0" distR="0" allowOverlap="1" layoutInCell="1" locked="0" behindDoc="0" simplePos="0" relativeHeight="15892992">
            <wp:simplePos x="0" y="0"/>
            <wp:positionH relativeFrom="page">
              <wp:posOffset>1819655</wp:posOffset>
            </wp:positionH>
            <wp:positionV relativeFrom="paragraph">
              <wp:posOffset>134786</wp:posOffset>
            </wp:positionV>
            <wp:extent cx="115823" cy="115823"/>
            <wp:effectExtent l="0" t="0" r="0" b="0"/>
            <wp:wrapNone/>
            <wp:docPr id="332" name="Image 332"/>
            <wp:cNvGraphicFramePr>
              <a:graphicFrameLocks/>
            </wp:cNvGraphicFramePr>
            <a:graphic>
              <a:graphicData uri="http://schemas.openxmlformats.org/drawingml/2006/picture">
                <pic:pic>
                  <pic:nvPicPr>
                    <pic:cNvPr id="332" name="Image 332"/>
                    <pic:cNvPicPr/>
                  </pic:nvPicPr>
                  <pic:blipFill>
                    <a:blip r:embed="rId160" cstate="print"/>
                    <a:stretch>
                      <a:fillRect/>
                    </a:stretch>
                  </pic:blipFill>
                  <pic:spPr>
                    <a:xfrm>
                      <a:off x="0" y="0"/>
                      <a:ext cx="115823" cy="115823"/>
                    </a:xfrm>
                    <a:prstGeom prst="rect">
                      <a:avLst/>
                    </a:prstGeom>
                  </pic:spPr>
                </pic:pic>
              </a:graphicData>
            </a:graphic>
          </wp:anchor>
        </w:drawing>
      </w:r>
      <w:bookmarkStart w:name="ii. If CMS determines that the DSRIP Pro" w:id="513"/>
      <w:bookmarkEnd w:id="513"/>
      <w:r>
        <w:rPr/>
      </w:r>
      <w:r>
        <w:rPr/>
        <w:t>If</w:t>
      </w:r>
      <w:r>
        <w:rPr>
          <w:spacing w:val="-3"/>
        </w:rPr>
        <w:t> </w:t>
      </w:r>
      <w:r>
        <w:rPr/>
        <w:t>CMS</w:t>
      </w:r>
      <w:r>
        <w:rPr>
          <w:spacing w:val="-4"/>
        </w:rPr>
        <w:t> </w:t>
      </w:r>
      <w:r>
        <w:rPr/>
        <w:t>determines</w:t>
      </w:r>
      <w:r>
        <w:rPr>
          <w:spacing w:val="-4"/>
        </w:rPr>
        <w:t> </w:t>
      </w:r>
      <w:r>
        <w:rPr/>
        <w:t>that</w:t>
      </w:r>
      <w:r>
        <w:rPr>
          <w:spacing w:val="-4"/>
        </w:rPr>
        <w:t> </w:t>
      </w:r>
      <w:r>
        <w:rPr/>
        <w:t>the</w:t>
      </w:r>
      <w:r>
        <w:rPr>
          <w:spacing w:val="-5"/>
        </w:rPr>
        <w:t> </w:t>
      </w:r>
      <w:r>
        <w:rPr/>
        <w:t>DSRIP</w:t>
      </w:r>
      <w:r>
        <w:rPr>
          <w:spacing w:val="-4"/>
        </w:rPr>
        <w:t> </w:t>
      </w:r>
      <w:r>
        <w:rPr/>
        <w:t>Protocol</w:t>
      </w:r>
      <w:r>
        <w:rPr>
          <w:spacing w:val="-4"/>
        </w:rPr>
        <w:t> </w:t>
      </w:r>
      <w:r>
        <w:rPr/>
        <w:t>modifications</w:t>
      </w:r>
      <w:r>
        <w:rPr>
          <w:spacing w:val="-4"/>
        </w:rPr>
        <w:t> </w:t>
      </w:r>
      <w:r>
        <w:rPr/>
        <w:t>are</w:t>
      </w:r>
      <w:r>
        <w:rPr>
          <w:spacing w:val="-5"/>
        </w:rPr>
        <w:t> </w:t>
      </w:r>
      <w:r>
        <w:rPr/>
        <w:t>not</w:t>
      </w:r>
      <w:r>
        <w:rPr>
          <w:spacing w:val="-2"/>
        </w:rPr>
        <w:t> </w:t>
      </w:r>
      <w:r>
        <w:rPr/>
        <w:t>ready</w:t>
      </w:r>
      <w:r>
        <w:rPr>
          <w:spacing w:val="-7"/>
        </w:rPr>
        <w:t> </w:t>
      </w:r>
      <w:r>
        <w:rPr/>
        <w:t>for approval by the target date, CMS will notify Massachusetts of its determination, and CMS and Massachusetts will then work collaboratively together</w:t>
      </w:r>
      <w:r>
        <w:rPr>
          <w:spacing w:val="-4"/>
        </w:rPr>
        <w:t> </w:t>
      </w:r>
      <w:r>
        <w:rPr/>
        <w:t>to</w:t>
      </w:r>
      <w:r>
        <w:rPr>
          <w:spacing w:val="-3"/>
        </w:rPr>
        <w:t> </w:t>
      </w:r>
      <w:r>
        <w:rPr/>
        <w:t>address</w:t>
      </w:r>
      <w:r>
        <w:rPr>
          <w:spacing w:val="-3"/>
        </w:rPr>
        <w:t> </w:t>
      </w:r>
      <w:r>
        <w:rPr/>
        <w:t>the</w:t>
      </w:r>
      <w:r>
        <w:rPr>
          <w:spacing w:val="-4"/>
        </w:rPr>
        <w:t> </w:t>
      </w:r>
      <w:r>
        <w:rPr/>
        <w:t>reasons</w:t>
      </w:r>
      <w:r>
        <w:rPr>
          <w:spacing w:val="-3"/>
        </w:rPr>
        <w:t> </w:t>
      </w:r>
      <w:r>
        <w:rPr/>
        <w:t>provided</w:t>
      </w:r>
      <w:r>
        <w:rPr>
          <w:spacing w:val="-3"/>
        </w:rPr>
        <w:t> </w:t>
      </w:r>
      <w:r>
        <w:rPr/>
        <w:t>by</w:t>
      </w:r>
      <w:r>
        <w:rPr>
          <w:spacing w:val="-8"/>
        </w:rPr>
        <w:t> </w:t>
      </w:r>
      <w:r>
        <w:rPr/>
        <w:t>CMS</w:t>
      </w:r>
      <w:r>
        <w:rPr>
          <w:spacing w:val="-3"/>
        </w:rPr>
        <w:t> </w:t>
      </w:r>
      <w:r>
        <w:rPr/>
        <w:t>for</w:t>
      </w:r>
      <w:r>
        <w:rPr>
          <w:spacing w:val="-4"/>
        </w:rPr>
        <w:t> </w:t>
      </w:r>
      <w:r>
        <w:rPr/>
        <w:t>not</w:t>
      </w:r>
      <w:r>
        <w:rPr>
          <w:spacing w:val="-3"/>
        </w:rPr>
        <w:t> </w:t>
      </w:r>
      <w:r>
        <w:rPr/>
        <w:t>granting</w:t>
      </w:r>
      <w:r>
        <w:rPr>
          <w:spacing w:val="-3"/>
        </w:rPr>
        <w:t> </w:t>
      </w:r>
      <w:r>
        <w:rPr/>
        <w:t>approval.</w:t>
      </w:r>
    </w:p>
    <w:p>
      <w:pPr>
        <w:pStyle w:val="BodyText"/>
        <w:spacing w:before="10"/>
        <w:rPr>
          <w:sz w:val="20"/>
        </w:rPr>
      </w:pPr>
    </w:p>
    <w:p>
      <w:pPr>
        <w:pStyle w:val="BodyText"/>
        <w:ind w:left="871" w:right="1070"/>
      </w:pPr>
      <w:r>
        <w:rPr/>
        <w:drawing>
          <wp:anchor distT="0" distB="0" distL="0" distR="0" allowOverlap="1" layoutInCell="1" locked="0" behindDoc="0" simplePos="0" relativeHeight="15893504">
            <wp:simplePos x="0" y="0"/>
            <wp:positionH relativeFrom="page">
              <wp:posOffset>908303</wp:posOffset>
            </wp:positionH>
            <wp:positionV relativeFrom="paragraph">
              <wp:posOffset>35599</wp:posOffset>
            </wp:positionV>
            <wp:extent cx="283463" cy="112775"/>
            <wp:effectExtent l="0" t="0" r="0" b="0"/>
            <wp:wrapNone/>
            <wp:docPr id="333" name="Image 333"/>
            <wp:cNvGraphicFramePr>
              <a:graphicFrameLocks/>
            </wp:cNvGraphicFramePr>
            <a:graphic>
              <a:graphicData uri="http://schemas.openxmlformats.org/drawingml/2006/picture">
                <pic:pic>
                  <pic:nvPicPr>
                    <pic:cNvPr id="333" name="Image 333"/>
                    <pic:cNvPicPr/>
                  </pic:nvPicPr>
                  <pic:blipFill>
                    <a:blip r:embed="rId161" cstate="print"/>
                    <a:stretch>
                      <a:fillRect/>
                    </a:stretch>
                  </pic:blipFill>
                  <pic:spPr>
                    <a:xfrm>
                      <a:off x="0" y="0"/>
                      <a:ext cx="283463" cy="112775"/>
                    </a:xfrm>
                    <a:prstGeom prst="rect">
                      <a:avLst/>
                    </a:prstGeom>
                  </pic:spPr>
                </pic:pic>
              </a:graphicData>
            </a:graphic>
          </wp:anchor>
        </w:drawing>
      </w:r>
      <w:bookmarkStart w:name="12.6. ACO &amp; CP DSRIP Participation Plans" w:id="514"/>
      <w:bookmarkEnd w:id="514"/>
      <w:r>
        <w:rPr/>
      </w:r>
      <w:r>
        <w:rPr>
          <w:b/>
        </w:rPr>
        <w:t>ACO</w:t>
      </w:r>
      <w:r>
        <w:rPr>
          <w:b/>
          <w:spacing w:val="-3"/>
        </w:rPr>
        <w:t> </w:t>
      </w:r>
      <w:r>
        <w:rPr>
          <w:b/>
        </w:rPr>
        <w:t>&amp;</w:t>
      </w:r>
      <w:r>
        <w:rPr>
          <w:b/>
          <w:spacing w:val="-4"/>
        </w:rPr>
        <w:t> </w:t>
      </w:r>
      <w:r>
        <w:rPr>
          <w:b/>
        </w:rPr>
        <w:t>CP</w:t>
      </w:r>
      <w:r>
        <w:rPr>
          <w:b/>
          <w:spacing w:val="-6"/>
        </w:rPr>
        <w:t> </w:t>
      </w:r>
      <w:r>
        <w:rPr>
          <w:b/>
        </w:rPr>
        <w:t>DSRIP</w:t>
      </w:r>
      <w:r>
        <w:rPr>
          <w:b/>
          <w:spacing w:val="-4"/>
        </w:rPr>
        <w:t> </w:t>
      </w:r>
      <w:r>
        <w:rPr>
          <w:b/>
        </w:rPr>
        <w:t>Participation</w:t>
      </w:r>
      <w:r>
        <w:rPr>
          <w:b/>
          <w:spacing w:val="-3"/>
        </w:rPr>
        <w:t> </w:t>
      </w:r>
      <w:r>
        <w:rPr>
          <w:b/>
        </w:rPr>
        <w:t>Plans.</w:t>
      </w:r>
      <w:r>
        <w:rPr>
          <w:b/>
          <w:spacing w:val="40"/>
        </w:rPr>
        <w:t> </w:t>
      </w:r>
      <w:r>
        <w:rPr/>
        <w:t>In</w:t>
      </w:r>
      <w:r>
        <w:rPr>
          <w:spacing w:val="-3"/>
        </w:rPr>
        <w:t> </w:t>
      </w:r>
      <w:r>
        <w:rPr/>
        <w:t>order</w:t>
      </w:r>
      <w:r>
        <w:rPr>
          <w:spacing w:val="-4"/>
        </w:rPr>
        <w:t> </w:t>
      </w:r>
      <w:r>
        <w:rPr/>
        <w:t>to</w:t>
      </w:r>
      <w:r>
        <w:rPr>
          <w:spacing w:val="-3"/>
        </w:rPr>
        <w:t> </w:t>
      </w:r>
      <w:r>
        <w:rPr/>
        <w:t>receive</w:t>
      </w:r>
      <w:r>
        <w:rPr>
          <w:spacing w:val="-4"/>
        </w:rPr>
        <w:t> </w:t>
      </w:r>
      <w:r>
        <w:rPr/>
        <w:t>DSRIP</w:t>
      </w:r>
      <w:r>
        <w:rPr>
          <w:spacing w:val="-3"/>
        </w:rPr>
        <w:t> </w:t>
      </w:r>
      <w:r>
        <w:rPr/>
        <w:t>funding,</w:t>
      </w:r>
      <w:r>
        <w:rPr>
          <w:spacing w:val="-3"/>
        </w:rPr>
        <w:t> </w:t>
      </w:r>
      <w:r>
        <w:rPr/>
        <w:t>ACOs</w:t>
      </w:r>
      <w:r>
        <w:rPr>
          <w:spacing w:val="-3"/>
        </w:rPr>
        <w:t> </w:t>
      </w:r>
      <w:r>
        <w:rPr/>
        <w:t>must submit</w:t>
      </w:r>
      <w:r>
        <w:rPr>
          <w:spacing w:val="-2"/>
        </w:rPr>
        <w:t> </w:t>
      </w:r>
      <w:r>
        <w:rPr/>
        <w:t>their</w:t>
      </w:r>
      <w:r>
        <w:rPr>
          <w:spacing w:val="-3"/>
        </w:rPr>
        <w:t> </w:t>
      </w:r>
      <w:r>
        <w:rPr/>
        <w:t>Participation</w:t>
      </w:r>
      <w:r>
        <w:rPr>
          <w:spacing w:val="-2"/>
        </w:rPr>
        <w:t> </w:t>
      </w:r>
      <w:r>
        <w:rPr/>
        <w:t>Plan,</w:t>
      </w:r>
      <w:r>
        <w:rPr>
          <w:spacing w:val="-2"/>
        </w:rPr>
        <w:t> </w:t>
      </w:r>
      <w:r>
        <w:rPr/>
        <w:t>Budget,</w:t>
      </w:r>
      <w:r>
        <w:rPr>
          <w:spacing w:val="-2"/>
        </w:rPr>
        <w:t> </w:t>
      </w:r>
      <w:r>
        <w:rPr/>
        <w:t>and Budget</w:t>
      </w:r>
      <w:r>
        <w:rPr>
          <w:spacing w:val="-2"/>
        </w:rPr>
        <w:t> </w:t>
      </w:r>
      <w:r>
        <w:rPr/>
        <w:t>Narratives</w:t>
      </w:r>
      <w:r>
        <w:rPr>
          <w:spacing w:val="-2"/>
        </w:rPr>
        <w:t> </w:t>
      </w:r>
      <w:r>
        <w:rPr/>
        <w:t>to</w:t>
      </w:r>
      <w:r>
        <w:rPr>
          <w:spacing w:val="-2"/>
        </w:rPr>
        <w:t> </w:t>
      </w:r>
      <w:r>
        <w:rPr/>
        <w:t>MassHealth,</w:t>
      </w:r>
      <w:r>
        <w:rPr>
          <w:spacing w:val="-2"/>
        </w:rPr>
        <w:t> </w:t>
      </w:r>
      <w:r>
        <w:rPr/>
        <w:t>and</w:t>
      </w:r>
      <w:r>
        <w:rPr>
          <w:spacing w:val="-2"/>
        </w:rPr>
        <w:t> </w:t>
      </w:r>
      <w:r>
        <w:rPr/>
        <w:t>receive MassHealth approval. The Participation Plans must describe how the ACO will use</w:t>
      </w:r>
      <w:r>
        <w:rPr>
          <w:spacing w:val="40"/>
        </w:rPr>
        <w:t> </w:t>
      </w:r>
      <w:r>
        <w:rPr/>
        <w:t>DSRIP funding to support the transition to the new MassHealth ACO models.</w:t>
      </w:r>
    </w:p>
    <w:p>
      <w:pPr>
        <w:pStyle w:val="BodyText"/>
        <w:spacing w:before="10"/>
        <w:rPr>
          <w:sz w:val="20"/>
        </w:rPr>
      </w:pPr>
    </w:p>
    <w:p>
      <w:pPr>
        <w:pStyle w:val="BodyText"/>
        <w:ind w:left="1411" w:right="1141"/>
      </w:pPr>
      <w:r>
        <w:rPr/>
        <w:drawing>
          <wp:anchor distT="0" distB="0" distL="0" distR="0" allowOverlap="1" layoutInCell="1" locked="0" behindDoc="0" simplePos="0" relativeHeight="15894016">
            <wp:simplePos x="0" y="0"/>
            <wp:positionH relativeFrom="page">
              <wp:posOffset>1431036</wp:posOffset>
            </wp:positionH>
            <wp:positionV relativeFrom="paragraph">
              <wp:posOffset>67603</wp:posOffset>
            </wp:positionV>
            <wp:extent cx="96011" cy="80771"/>
            <wp:effectExtent l="0" t="0" r="0" b="0"/>
            <wp:wrapNone/>
            <wp:docPr id="334" name="Image 334"/>
            <wp:cNvGraphicFramePr>
              <a:graphicFrameLocks/>
            </wp:cNvGraphicFramePr>
            <a:graphic>
              <a:graphicData uri="http://schemas.openxmlformats.org/drawingml/2006/picture">
                <pic:pic>
                  <pic:nvPicPr>
                    <pic:cNvPr id="334" name="Image 334"/>
                    <pic:cNvPicPr/>
                  </pic:nvPicPr>
                  <pic:blipFill>
                    <a:blip r:embed="rId40" cstate="print"/>
                    <a:stretch>
                      <a:fillRect/>
                    </a:stretch>
                  </pic:blipFill>
                  <pic:spPr>
                    <a:xfrm>
                      <a:off x="0" y="0"/>
                      <a:ext cx="96011" cy="80771"/>
                    </a:xfrm>
                    <a:prstGeom prst="rect">
                      <a:avLst/>
                    </a:prstGeom>
                  </pic:spPr>
                </pic:pic>
              </a:graphicData>
            </a:graphic>
          </wp:anchor>
        </w:drawing>
      </w:r>
      <w:bookmarkStart w:name="a. At a minimum, the Participation Plans" w:id="515"/>
      <w:bookmarkEnd w:id="515"/>
      <w:r>
        <w:rPr/>
      </w:r>
      <w:r>
        <w:rPr/>
        <w:t>At a minimum, the Participation Plans must include the following sections: executive</w:t>
      </w:r>
      <w:r>
        <w:rPr>
          <w:spacing w:val="-6"/>
        </w:rPr>
        <w:t> </w:t>
      </w:r>
      <w:r>
        <w:rPr/>
        <w:t>summary,</w:t>
      </w:r>
      <w:r>
        <w:rPr>
          <w:spacing w:val="-5"/>
        </w:rPr>
        <w:t> </w:t>
      </w:r>
      <w:r>
        <w:rPr/>
        <w:t>patient</w:t>
      </w:r>
      <w:r>
        <w:rPr>
          <w:spacing w:val="-5"/>
        </w:rPr>
        <w:t> </w:t>
      </w:r>
      <w:r>
        <w:rPr/>
        <w:t>and</w:t>
      </w:r>
      <w:r>
        <w:rPr>
          <w:spacing w:val="-5"/>
        </w:rPr>
        <w:t> </w:t>
      </w:r>
      <w:r>
        <w:rPr/>
        <w:t>community</w:t>
      </w:r>
      <w:r>
        <w:rPr>
          <w:spacing w:val="-10"/>
        </w:rPr>
        <w:t> </w:t>
      </w:r>
      <w:r>
        <w:rPr/>
        <w:t>population,</w:t>
      </w:r>
      <w:r>
        <w:rPr>
          <w:spacing w:val="-5"/>
        </w:rPr>
        <w:t> </w:t>
      </w:r>
      <w:r>
        <w:rPr/>
        <w:t>partnerships,</w:t>
      </w:r>
      <w:r>
        <w:rPr>
          <w:spacing w:val="-5"/>
        </w:rPr>
        <w:t> </w:t>
      </w:r>
      <w:r>
        <w:rPr/>
        <w:t>narrative, timeline, milestones and metrics, and sustainability.</w:t>
      </w:r>
    </w:p>
    <w:p>
      <w:pPr>
        <w:pStyle w:val="BodyText"/>
        <w:spacing w:before="10"/>
        <w:rPr>
          <w:sz w:val="20"/>
        </w:rPr>
      </w:pPr>
    </w:p>
    <w:p>
      <w:pPr>
        <w:pStyle w:val="BodyText"/>
        <w:ind w:left="1411" w:right="1141"/>
      </w:pPr>
      <w:r>
        <w:rPr/>
        <w:drawing>
          <wp:anchor distT="0" distB="0" distL="0" distR="0" allowOverlap="1" layoutInCell="1" locked="0" behindDoc="0" simplePos="0" relativeHeight="15894528">
            <wp:simplePos x="0" y="0"/>
            <wp:positionH relativeFrom="page">
              <wp:posOffset>1424939</wp:posOffset>
            </wp:positionH>
            <wp:positionV relativeFrom="paragraph">
              <wp:posOffset>32551</wp:posOffset>
            </wp:positionV>
            <wp:extent cx="111251" cy="115823"/>
            <wp:effectExtent l="0" t="0" r="0" b="0"/>
            <wp:wrapNone/>
            <wp:docPr id="335" name="Image 335"/>
            <wp:cNvGraphicFramePr>
              <a:graphicFrameLocks/>
            </wp:cNvGraphicFramePr>
            <a:graphic>
              <a:graphicData uri="http://schemas.openxmlformats.org/drawingml/2006/picture">
                <pic:pic>
                  <pic:nvPicPr>
                    <pic:cNvPr id="335" name="Image 335"/>
                    <pic:cNvPicPr/>
                  </pic:nvPicPr>
                  <pic:blipFill>
                    <a:blip r:embed="rId34" cstate="print"/>
                    <a:stretch>
                      <a:fillRect/>
                    </a:stretch>
                  </pic:blipFill>
                  <pic:spPr>
                    <a:xfrm>
                      <a:off x="0" y="0"/>
                      <a:ext cx="111251" cy="115823"/>
                    </a:xfrm>
                    <a:prstGeom prst="rect">
                      <a:avLst/>
                    </a:prstGeom>
                  </pic:spPr>
                </pic:pic>
              </a:graphicData>
            </a:graphic>
          </wp:anchor>
        </w:drawing>
      </w:r>
      <w:bookmarkStart w:name="b. The Budget is a line item budget for " w:id="516"/>
      <w:bookmarkEnd w:id="516"/>
      <w:r>
        <w:rPr/>
      </w:r>
      <w:r>
        <w:rPr/>
        <w:t>The Budget is a line item budget for the ACO’s proposed DSRIP-funded investments</w:t>
      </w:r>
      <w:r>
        <w:rPr>
          <w:spacing w:val="-4"/>
        </w:rPr>
        <w:t> </w:t>
      </w:r>
      <w:r>
        <w:rPr/>
        <w:t>and</w:t>
      </w:r>
      <w:r>
        <w:rPr>
          <w:spacing w:val="-4"/>
        </w:rPr>
        <w:t> </w:t>
      </w:r>
      <w:r>
        <w:rPr/>
        <w:t>programs;</w:t>
      </w:r>
      <w:r>
        <w:rPr>
          <w:spacing w:val="-4"/>
        </w:rPr>
        <w:t> </w:t>
      </w:r>
      <w:r>
        <w:rPr/>
        <w:t>the</w:t>
      </w:r>
      <w:r>
        <w:rPr>
          <w:spacing w:val="-5"/>
        </w:rPr>
        <w:t> </w:t>
      </w:r>
      <w:r>
        <w:rPr/>
        <w:t>accompanying</w:t>
      </w:r>
      <w:r>
        <w:rPr>
          <w:spacing w:val="-4"/>
        </w:rPr>
        <w:t> </w:t>
      </w:r>
      <w:r>
        <w:rPr/>
        <w:t>Budget</w:t>
      </w:r>
      <w:r>
        <w:rPr>
          <w:spacing w:val="-4"/>
        </w:rPr>
        <w:t> </w:t>
      </w:r>
      <w:r>
        <w:rPr/>
        <w:t>Narrative</w:t>
      </w:r>
      <w:r>
        <w:rPr>
          <w:spacing w:val="-5"/>
        </w:rPr>
        <w:t> </w:t>
      </w:r>
      <w:r>
        <w:rPr/>
        <w:t>explains</w:t>
      </w:r>
      <w:r>
        <w:rPr>
          <w:spacing w:val="-4"/>
        </w:rPr>
        <w:t> </w:t>
      </w:r>
      <w:r>
        <w:rPr/>
        <w:t>uses</w:t>
      </w:r>
      <w:r>
        <w:rPr>
          <w:spacing w:val="-4"/>
        </w:rPr>
        <w:t> </w:t>
      </w:r>
      <w:r>
        <w:rPr/>
        <w:t>of</w:t>
      </w:r>
      <w:r>
        <w:rPr>
          <w:spacing w:val="-5"/>
        </w:rPr>
        <w:t> </w:t>
      </w:r>
      <w:r>
        <w:rPr/>
        <w:t>the funds. See DSRIP Protocol for more details about the Participation Plans and </w:t>
      </w:r>
      <w:r>
        <w:rPr>
          <w:spacing w:val="-2"/>
        </w:rPr>
        <w:t>Budgets.</w:t>
      </w:r>
    </w:p>
    <w:p>
      <w:pPr>
        <w:pStyle w:val="BodyText"/>
        <w:spacing w:before="10"/>
        <w:rPr>
          <w:sz w:val="20"/>
        </w:rPr>
      </w:pPr>
    </w:p>
    <w:p>
      <w:pPr>
        <w:spacing w:before="0"/>
        <w:ind w:left="1411" w:right="1059" w:firstLine="0"/>
        <w:jc w:val="left"/>
        <w:rPr>
          <w:sz w:val="24"/>
        </w:rPr>
      </w:pPr>
      <w:r>
        <w:rPr/>
        <w:drawing>
          <wp:anchor distT="0" distB="0" distL="0" distR="0" allowOverlap="1" layoutInCell="1" locked="0" behindDoc="0" simplePos="0" relativeHeight="15895040">
            <wp:simplePos x="0" y="0"/>
            <wp:positionH relativeFrom="page">
              <wp:posOffset>1431036</wp:posOffset>
            </wp:positionH>
            <wp:positionV relativeFrom="paragraph">
              <wp:posOffset>67603</wp:posOffset>
            </wp:positionV>
            <wp:extent cx="96011" cy="80771"/>
            <wp:effectExtent l="0" t="0" r="0" b="0"/>
            <wp:wrapNone/>
            <wp:docPr id="336" name="Image 336"/>
            <wp:cNvGraphicFramePr>
              <a:graphicFrameLocks/>
            </wp:cNvGraphicFramePr>
            <a:graphic>
              <a:graphicData uri="http://schemas.openxmlformats.org/drawingml/2006/picture">
                <pic:pic>
                  <pic:nvPicPr>
                    <pic:cNvPr id="336" name="Image 336"/>
                    <pic:cNvPicPr/>
                  </pic:nvPicPr>
                  <pic:blipFill>
                    <a:blip r:embed="rId41" cstate="print"/>
                    <a:stretch>
                      <a:fillRect/>
                    </a:stretch>
                  </pic:blipFill>
                  <pic:spPr>
                    <a:xfrm>
                      <a:off x="0" y="0"/>
                      <a:ext cx="96011" cy="80771"/>
                    </a:xfrm>
                    <a:prstGeom prst="rect">
                      <a:avLst/>
                    </a:prstGeom>
                  </pic:spPr>
                </pic:pic>
              </a:graphicData>
            </a:graphic>
          </wp:anchor>
        </w:drawing>
      </w:r>
      <w:bookmarkStart w:name="c. MassHealth Review and Approval.  Mass" w:id="517"/>
      <w:bookmarkEnd w:id="517"/>
      <w:r>
        <w:rPr/>
      </w:r>
      <w:r>
        <w:rPr>
          <w:b/>
          <w:sz w:val="24"/>
        </w:rPr>
        <w:t>MassHealth Review and Approval.</w:t>
      </w:r>
      <w:r>
        <w:rPr>
          <w:b/>
          <w:spacing w:val="40"/>
          <w:sz w:val="24"/>
        </w:rPr>
        <w:t> </w:t>
      </w:r>
      <w:r>
        <w:rPr>
          <w:sz w:val="24"/>
        </w:rPr>
        <w:t>MassHealth must review the ACO Participation</w:t>
      </w:r>
      <w:r>
        <w:rPr>
          <w:spacing w:val="-4"/>
          <w:sz w:val="24"/>
        </w:rPr>
        <w:t> </w:t>
      </w:r>
      <w:r>
        <w:rPr>
          <w:sz w:val="24"/>
        </w:rPr>
        <w:t>Plans,</w:t>
      </w:r>
      <w:r>
        <w:rPr>
          <w:spacing w:val="-4"/>
          <w:sz w:val="24"/>
        </w:rPr>
        <w:t> </w:t>
      </w:r>
      <w:r>
        <w:rPr>
          <w:sz w:val="24"/>
        </w:rPr>
        <w:t>Budgets,</w:t>
      </w:r>
      <w:r>
        <w:rPr>
          <w:spacing w:val="-4"/>
          <w:sz w:val="24"/>
        </w:rPr>
        <w:t> </w:t>
      </w:r>
      <w:r>
        <w:rPr>
          <w:sz w:val="24"/>
        </w:rPr>
        <w:t>and</w:t>
      </w:r>
      <w:r>
        <w:rPr>
          <w:spacing w:val="-4"/>
          <w:sz w:val="24"/>
        </w:rPr>
        <w:t> </w:t>
      </w:r>
      <w:r>
        <w:rPr>
          <w:sz w:val="24"/>
        </w:rPr>
        <w:t>Budget</w:t>
      </w:r>
      <w:r>
        <w:rPr>
          <w:spacing w:val="-4"/>
          <w:sz w:val="24"/>
        </w:rPr>
        <w:t> </w:t>
      </w:r>
      <w:r>
        <w:rPr>
          <w:sz w:val="24"/>
        </w:rPr>
        <w:t>Narratives</w:t>
      </w:r>
      <w:r>
        <w:rPr>
          <w:spacing w:val="-4"/>
          <w:sz w:val="24"/>
        </w:rPr>
        <w:t> </w:t>
      </w:r>
      <w:r>
        <w:rPr>
          <w:sz w:val="24"/>
        </w:rPr>
        <w:t>and</w:t>
      </w:r>
      <w:r>
        <w:rPr>
          <w:spacing w:val="-4"/>
          <w:sz w:val="24"/>
        </w:rPr>
        <w:t> </w:t>
      </w:r>
      <w:r>
        <w:rPr>
          <w:sz w:val="24"/>
        </w:rPr>
        <w:t>notify</w:t>
      </w:r>
      <w:r>
        <w:rPr>
          <w:spacing w:val="-9"/>
          <w:sz w:val="24"/>
        </w:rPr>
        <w:t> </w:t>
      </w:r>
      <w:r>
        <w:rPr>
          <w:sz w:val="24"/>
        </w:rPr>
        <w:t>ACOs</w:t>
      </w:r>
      <w:r>
        <w:rPr>
          <w:spacing w:val="-4"/>
          <w:sz w:val="24"/>
        </w:rPr>
        <w:t> </w:t>
      </w:r>
      <w:r>
        <w:rPr>
          <w:sz w:val="24"/>
        </w:rPr>
        <w:t>of</w:t>
      </w:r>
      <w:r>
        <w:rPr>
          <w:spacing w:val="-5"/>
          <w:sz w:val="24"/>
        </w:rPr>
        <w:t> </w:t>
      </w:r>
      <w:r>
        <w:rPr>
          <w:sz w:val="24"/>
        </w:rPr>
        <w:t>approval.</w:t>
      </w:r>
    </w:p>
    <w:p>
      <w:pPr>
        <w:pStyle w:val="BodyText"/>
        <w:spacing w:before="10"/>
        <w:rPr>
          <w:sz w:val="20"/>
        </w:rPr>
      </w:pPr>
    </w:p>
    <w:p>
      <w:pPr>
        <w:spacing w:before="1"/>
        <w:ind w:left="1411" w:right="1059" w:firstLine="0"/>
        <w:jc w:val="left"/>
        <w:rPr>
          <w:sz w:val="24"/>
        </w:rPr>
      </w:pPr>
      <w:r>
        <w:rPr/>
        <w:drawing>
          <wp:anchor distT="0" distB="0" distL="0" distR="0" allowOverlap="1" layoutInCell="1" locked="0" behindDoc="0" simplePos="0" relativeHeight="15895552">
            <wp:simplePos x="0" y="0"/>
            <wp:positionH relativeFrom="page">
              <wp:posOffset>1431036</wp:posOffset>
            </wp:positionH>
            <wp:positionV relativeFrom="paragraph">
              <wp:posOffset>33186</wp:posOffset>
            </wp:positionV>
            <wp:extent cx="105155" cy="115823"/>
            <wp:effectExtent l="0" t="0" r="0" b="0"/>
            <wp:wrapNone/>
            <wp:docPr id="337" name="Image 337"/>
            <wp:cNvGraphicFramePr>
              <a:graphicFrameLocks/>
            </wp:cNvGraphicFramePr>
            <a:graphic>
              <a:graphicData uri="http://schemas.openxmlformats.org/drawingml/2006/picture">
                <pic:pic>
                  <pic:nvPicPr>
                    <pic:cNvPr id="337" name="Image 337"/>
                    <pic:cNvPicPr/>
                  </pic:nvPicPr>
                  <pic:blipFill>
                    <a:blip r:embed="rId36" cstate="print"/>
                    <a:stretch>
                      <a:fillRect/>
                    </a:stretch>
                  </pic:blipFill>
                  <pic:spPr>
                    <a:xfrm>
                      <a:off x="0" y="0"/>
                      <a:ext cx="105155" cy="115823"/>
                    </a:xfrm>
                    <a:prstGeom prst="rect">
                      <a:avLst/>
                    </a:prstGeom>
                  </pic:spPr>
                </pic:pic>
              </a:graphicData>
            </a:graphic>
          </wp:anchor>
        </w:drawing>
      </w:r>
      <w:bookmarkStart w:name="d. Participation Plan, Budget, and Budge" w:id="518"/>
      <w:bookmarkEnd w:id="518"/>
      <w:r>
        <w:rPr/>
      </w:r>
      <w:r>
        <w:rPr>
          <w:b/>
          <w:sz w:val="24"/>
        </w:rPr>
        <w:t>Participation Plan, Budget, and Budget Narrative Modification Process.</w:t>
      </w:r>
      <w:r>
        <w:rPr>
          <w:b/>
          <w:spacing w:val="40"/>
          <w:sz w:val="24"/>
        </w:rPr>
        <w:t> </w:t>
      </w:r>
      <w:r>
        <w:rPr>
          <w:sz w:val="24"/>
        </w:rPr>
        <w:t>An ACO</w:t>
      </w:r>
      <w:r>
        <w:rPr>
          <w:spacing w:val="-4"/>
          <w:sz w:val="24"/>
        </w:rPr>
        <w:t> </w:t>
      </w:r>
      <w:r>
        <w:rPr>
          <w:sz w:val="24"/>
        </w:rPr>
        <w:t>or</w:t>
      </w:r>
      <w:r>
        <w:rPr>
          <w:spacing w:val="-4"/>
          <w:sz w:val="24"/>
        </w:rPr>
        <w:t> </w:t>
      </w:r>
      <w:r>
        <w:rPr>
          <w:sz w:val="24"/>
        </w:rPr>
        <w:t>CP</w:t>
      </w:r>
      <w:r>
        <w:rPr>
          <w:spacing w:val="-3"/>
          <w:sz w:val="24"/>
        </w:rPr>
        <w:t> </w:t>
      </w:r>
      <w:r>
        <w:rPr>
          <w:sz w:val="24"/>
        </w:rPr>
        <w:t>may</w:t>
      </w:r>
      <w:r>
        <w:rPr>
          <w:spacing w:val="-8"/>
          <w:sz w:val="24"/>
        </w:rPr>
        <w:t> </w:t>
      </w:r>
      <w:r>
        <w:rPr>
          <w:sz w:val="24"/>
        </w:rPr>
        <w:t>request</w:t>
      </w:r>
      <w:r>
        <w:rPr>
          <w:spacing w:val="-2"/>
          <w:sz w:val="24"/>
        </w:rPr>
        <w:t> </w:t>
      </w:r>
      <w:r>
        <w:rPr>
          <w:sz w:val="24"/>
        </w:rPr>
        <w:t>modifications</w:t>
      </w:r>
      <w:r>
        <w:rPr>
          <w:spacing w:val="-3"/>
          <w:sz w:val="24"/>
        </w:rPr>
        <w:t> </w:t>
      </w:r>
      <w:r>
        <w:rPr>
          <w:sz w:val="24"/>
        </w:rPr>
        <w:t>to</w:t>
      </w:r>
      <w:r>
        <w:rPr>
          <w:spacing w:val="-3"/>
          <w:sz w:val="24"/>
        </w:rPr>
        <w:t> </w:t>
      </w:r>
      <w:r>
        <w:rPr>
          <w:sz w:val="24"/>
        </w:rPr>
        <w:t>its</w:t>
      </w:r>
      <w:r>
        <w:rPr>
          <w:spacing w:val="-3"/>
          <w:sz w:val="24"/>
        </w:rPr>
        <w:t> </w:t>
      </w:r>
      <w:r>
        <w:rPr>
          <w:sz w:val="24"/>
        </w:rPr>
        <w:t>Participation</w:t>
      </w:r>
      <w:r>
        <w:rPr>
          <w:spacing w:val="-3"/>
          <w:sz w:val="24"/>
        </w:rPr>
        <w:t> </w:t>
      </w:r>
      <w:r>
        <w:rPr>
          <w:sz w:val="24"/>
        </w:rPr>
        <w:t>Plan,</w:t>
      </w:r>
      <w:r>
        <w:rPr>
          <w:spacing w:val="-3"/>
          <w:sz w:val="24"/>
        </w:rPr>
        <w:t> </w:t>
      </w:r>
      <w:r>
        <w:rPr>
          <w:sz w:val="24"/>
        </w:rPr>
        <w:t>Budget,</w:t>
      </w:r>
      <w:r>
        <w:rPr>
          <w:spacing w:val="-3"/>
          <w:sz w:val="24"/>
        </w:rPr>
        <w:t> </w:t>
      </w:r>
      <w:r>
        <w:rPr>
          <w:sz w:val="24"/>
        </w:rPr>
        <w:t>and</w:t>
      </w:r>
      <w:r>
        <w:rPr>
          <w:spacing w:val="-3"/>
          <w:sz w:val="24"/>
        </w:rPr>
        <w:t> </w:t>
      </w:r>
      <w:r>
        <w:rPr>
          <w:sz w:val="24"/>
        </w:rPr>
        <w:t>Budget Narrative by submitting a request for modification to MassHealth in writing.</w:t>
      </w:r>
    </w:p>
    <w:p>
      <w:pPr>
        <w:pStyle w:val="BodyText"/>
        <w:spacing w:before="9"/>
        <w:rPr>
          <w:sz w:val="20"/>
        </w:rPr>
      </w:pPr>
    </w:p>
    <w:p>
      <w:pPr>
        <w:pStyle w:val="BodyText"/>
        <w:spacing w:before="1"/>
        <w:ind w:left="1411"/>
      </w:pPr>
      <w:r>
        <w:rPr/>
        <w:drawing>
          <wp:anchor distT="0" distB="0" distL="0" distR="0" allowOverlap="1" layoutInCell="1" locked="0" behindDoc="0" simplePos="0" relativeHeight="15896064">
            <wp:simplePos x="0" y="0"/>
            <wp:positionH relativeFrom="page">
              <wp:posOffset>1431036</wp:posOffset>
            </wp:positionH>
            <wp:positionV relativeFrom="paragraph">
              <wp:posOffset>68238</wp:posOffset>
            </wp:positionV>
            <wp:extent cx="96011" cy="80771"/>
            <wp:effectExtent l="0" t="0" r="0" b="0"/>
            <wp:wrapNone/>
            <wp:docPr id="338" name="Image 338"/>
            <wp:cNvGraphicFramePr>
              <a:graphicFrameLocks/>
            </wp:cNvGraphicFramePr>
            <a:graphic>
              <a:graphicData uri="http://schemas.openxmlformats.org/drawingml/2006/picture">
                <pic:pic>
                  <pic:nvPicPr>
                    <pic:cNvPr id="338" name="Image 338"/>
                    <pic:cNvPicPr/>
                  </pic:nvPicPr>
                  <pic:blipFill>
                    <a:blip r:embed="rId37" cstate="print"/>
                    <a:stretch>
                      <a:fillRect/>
                    </a:stretch>
                  </pic:blipFill>
                  <pic:spPr>
                    <a:xfrm>
                      <a:off x="0" y="0"/>
                      <a:ext cx="96011" cy="80771"/>
                    </a:xfrm>
                    <a:prstGeom prst="rect">
                      <a:avLst/>
                    </a:prstGeom>
                  </pic:spPr>
                </pic:pic>
              </a:graphicData>
            </a:graphic>
          </wp:anchor>
        </w:drawing>
      </w:r>
      <w:bookmarkStart w:name="e. MassHealth will provide CMS with appr" w:id="519"/>
      <w:bookmarkEnd w:id="519"/>
      <w:r>
        <w:rPr/>
      </w:r>
      <w:r>
        <w:rPr/>
        <w:t>MassHealth</w:t>
      </w:r>
      <w:r>
        <w:rPr>
          <w:spacing w:val="-2"/>
        </w:rPr>
        <w:t> </w:t>
      </w:r>
      <w:r>
        <w:rPr/>
        <w:t>will</w:t>
      </w:r>
      <w:r>
        <w:rPr>
          <w:spacing w:val="-2"/>
        </w:rPr>
        <w:t> </w:t>
      </w:r>
      <w:r>
        <w:rPr/>
        <w:t>provide</w:t>
      </w:r>
      <w:r>
        <w:rPr>
          <w:spacing w:val="-1"/>
        </w:rPr>
        <w:t> </w:t>
      </w:r>
      <w:r>
        <w:rPr/>
        <w:t>CMS</w:t>
      </w:r>
      <w:r>
        <w:rPr>
          <w:spacing w:val="-2"/>
        </w:rPr>
        <w:t> </w:t>
      </w:r>
      <w:r>
        <w:rPr/>
        <w:t>with</w:t>
      </w:r>
      <w:r>
        <w:rPr>
          <w:spacing w:val="-1"/>
        </w:rPr>
        <w:t> </w:t>
      </w:r>
      <w:r>
        <w:rPr/>
        <w:t>approved</w:t>
      </w:r>
      <w:r>
        <w:rPr>
          <w:spacing w:val="-2"/>
        </w:rPr>
        <w:t> </w:t>
      </w:r>
      <w:r>
        <w:rPr/>
        <w:t>Participation</w:t>
      </w:r>
      <w:r>
        <w:rPr>
          <w:spacing w:val="-2"/>
        </w:rPr>
        <w:t> </w:t>
      </w:r>
      <w:r>
        <w:rPr/>
        <w:t>Plans</w:t>
      </w:r>
      <w:r>
        <w:rPr>
          <w:spacing w:val="-2"/>
        </w:rPr>
        <w:t> </w:t>
      </w:r>
      <w:r>
        <w:rPr/>
        <w:t>upon</w:t>
      </w:r>
      <w:r>
        <w:rPr>
          <w:spacing w:val="-1"/>
        </w:rPr>
        <w:t> </w:t>
      </w:r>
      <w:r>
        <w:rPr>
          <w:spacing w:val="-2"/>
        </w:rPr>
        <w:t>request.</w:t>
      </w:r>
    </w:p>
    <w:p>
      <w:pPr>
        <w:pStyle w:val="BodyText"/>
        <w:spacing w:before="9"/>
        <w:rPr>
          <w:sz w:val="20"/>
        </w:rPr>
      </w:pPr>
    </w:p>
    <w:p>
      <w:pPr>
        <w:pStyle w:val="BodyText"/>
        <w:spacing w:before="1"/>
        <w:ind w:left="871" w:right="1059"/>
      </w:pPr>
      <w:r>
        <w:rPr/>
        <w:drawing>
          <wp:anchor distT="0" distB="0" distL="0" distR="0" allowOverlap="1" layoutInCell="1" locked="0" behindDoc="0" simplePos="0" relativeHeight="15896576">
            <wp:simplePos x="0" y="0"/>
            <wp:positionH relativeFrom="page">
              <wp:posOffset>908303</wp:posOffset>
            </wp:positionH>
            <wp:positionV relativeFrom="paragraph">
              <wp:posOffset>36234</wp:posOffset>
            </wp:positionV>
            <wp:extent cx="283463" cy="112775"/>
            <wp:effectExtent l="0" t="0" r="0" b="0"/>
            <wp:wrapNone/>
            <wp:docPr id="339" name="Image 339"/>
            <wp:cNvGraphicFramePr>
              <a:graphicFrameLocks/>
            </wp:cNvGraphicFramePr>
            <a:graphic>
              <a:graphicData uri="http://schemas.openxmlformats.org/drawingml/2006/picture">
                <pic:pic>
                  <pic:nvPicPr>
                    <pic:cNvPr id="339" name="Image 339"/>
                    <pic:cNvPicPr/>
                  </pic:nvPicPr>
                  <pic:blipFill>
                    <a:blip r:embed="rId162" cstate="print"/>
                    <a:stretch>
                      <a:fillRect/>
                    </a:stretch>
                  </pic:blipFill>
                  <pic:spPr>
                    <a:xfrm>
                      <a:off x="0" y="0"/>
                      <a:ext cx="283463" cy="112775"/>
                    </a:xfrm>
                    <a:prstGeom prst="rect">
                      <a:avLst/>
                    </a:prstGeom>
                  </pic:spPr>
                </pic:pic>
              </a:graphicData>
            </a:graphic>
          </wp:anchor>
        </w:drawing>
      </w:r>
      <w:bookmarkStart w:name="12.7. Accountable Care Organizations. Th" w:id="520"/>
      <w:bookmarkEnd w:id="520"/>
      <w:r>
        <w:rPr/>
      </w:r>
      <w:r>
        <w:rPr>
          <w:b/>
        </w:rPr>
        <w:t>Accountable Care Organizations. </w:t>
      </w:r>
      <w:r>
        <w:rPr/>
        <w:t>The Commonwealth will provide DSRIP investment funds to its contracted ACOs, which are generally provider-led health systems or organizations that focus on integration of physical health, Behavioral Health, Long Term Services</w:t>
      </w:r>
      <w:r>
        <w:rPr>
          <w:spacing w:val="-3"/>
        </w:rPr>
        <w:t> </w:t>
      </w:r>
      <w:r>
        <w:rPr/>
        <w:t>and</w:t>
      </w:r>
      <w:r>
        <w:rPr>
          <w:spacing w:val="-3"/>
        </w:rPr>
        <w:t> </w:t>
      </w:r>
      <w:r>
        <w:rPr/>
        <w:t>Supports,</w:t>
      </w:r>
      <w:r>
        <w:rPr>
          <w:spacing w:val="-3"/>
        </w:rPr>
        <w:t> </w:t>
      </w:r>
      <w:r>
        <w:rPr/>
        <w:t>and</w:t>
      </w:r>
      <w:r>
        <w:rPr>
          <w:spacing w:val="-3"/>
        </w:rPr>
        <w:t> </w:t>
      </w:r>
      <w:r>
        <w:rPr/>
        <w:t>social</w:t>
      </w:r>
      <w:r>
        <w:rPr>
          <w:spacing w:val="-3"/>
        </w:rPr>
        <w:t> </w:t>
      </w:r>
      <w:r>
        <w:rPr/>
        <w:t>service</w:t>
      </w:r>
      <w:r>
        <w:rPr>
          <w:spacing w:val="-4"/>
        </w:rPr>
        <w:t> </w:t>
      </w:r>
      <w:r>
        <w:rPr/>
        <w:t>needs;</w:t>
      </w:r>
      <w:r>
        <w:rPr>
          <w:spacing w:val="-1"/>
        </w:rPr>
        <w:t> </w:t>
      </w:r>
      <w:r>
        <w:rPr/>
        <w:t>ACOs</w:t>
      </w:r>
      <w:r>
        <w:rPr>
          <w:spacing w:val="-3"/>
        </w:rPr>
        <w:t> </w:t>
      </w:r>
      <w:r>
        <w:rPr/>
        <w:t>will</w:t>
      </w:r>
      <w:r>
        <w:rPr>
          <w:spacing w:val="-3"/>
        </w:rPr>
        <w:t> </w:t>
      </w:r>
      <w:r>
        <w:rPr/>
        <w:t>be</w:t>
      </w:r>
      <w:r>
        <w:rPr>
          <w:spacing w:val="-4"/>
        </w:rPr>
        <w:t> </w:t>
      </w:r>
      <w:r>
        <w:rPr/>
        <w:t>financially</w:t>
      </w:r>
      <w:r>
        <w:rPr>
          <w:spacing w:val="-6"/>
        </w:rPr>
        <w:t> </w:t>
      </w:r>
      <w:r>
        <w:rPr/>
        <w:t>accountable</w:t>
      </w:r>
      <w:r>
        <w:rPr>
          <w:spacing w:val="-4"/>
        </w:rPr>
        <w:t> </w:t>
      </w:r>
      <w:r>
        <w:rPr/>
        <w:t>for the cost and quality of their members’ care. MassHealth’s ACO models are described in STC 12.5-12.7 above.</w:t>
      </w:r>
    </w:p>
    <w:p>
      <w:pPr>
        <w:pStyle w:val="BodyText"/>
        <w:spacing w:before="10"/>
        <w:rPr>
          <w:sz w:val="20"/>
        </w:rPr>
      </w:pPr>
    </w:p>
    <w:p>
      <w:pPr>
        <w:pStyle w:val="BodyText"/>
        <w:ind w:left="1411" w:right="1059"/>
      </w:pPr>
      <w:r>
        <w:rPr/>
        <w:drawing>
          <wp:anchor distT="0" distB="0" distL="0" distR="0" allowOverlap="1" layoutInCell="1" locked="0" behindDoc="0" simplePos="0" relativeHeight="15897088">
            <wp:simplePos x="0" y="0"/>
            <wp:positionH relativeFrom="page">
              <wp:posOffset>1431036</wp:posOffset>
            </wp:positionH>
            <wp:positionV relativeFrom="paragraph">
              <wp:posOffset>67603</wp:posOffset>
            </wp:positionV>
            <wp:extent cx="96011" cy="80771"/>
            <wp:effectExtent l="0" t="0" r="0" b="0"/>
            <wp:wrapNone/>
            <wp:docPr id="340" name="Image 340"/>
            <wp:cNvGraphicFramePr>
              <a:graphicFrameLocks/>
            </wp:cNvGraphicFramePr>
            <a:graphic>
              <a:graphicData uri="http://schemas.openxmlformats.org/drawingml/2006/picture">
                <pic:pic>
                  <pic:nvPicPr>
                    <pic:cNvPr id="340" name="Image 340"/>
                    <pic:cNvPicPr/>
                  </pic:nvPicPr>
                  <pic:blipFill>
                    <a:blip r:embed="rId40" cstate="print"/>
                    <a:stretch>
                      <a:fillRect/>
                    </a:stretch>
                  </pic:blipFill>
                  <pic:spPr>
                    <a:xfrm>
                      <a:off x="0" y="0"/>
                      <a:ext cx="96011" cy="80771"/>
                    </a:xfrm>
                    <a:prstGeom prst="rect">
                      <a:avLst/>
                    </a:prstGeom>
                  </pic:spPr>
                </pic:pic>
              </a:graphicData>
            </a:graphic>
          </wp:anchor>
        </w:drawing>
      </w:r>
      <w:bookmarkStart w:name="a. Eligibility. ACO entities that are el" w:id="521"/>
      <w:bookmarkEnd w:id="521"/>
      <w:r>
        <w:rPr/>
      </w:r>
      <w:r>
        <w:rPr>
          <w:b/>
        </w:rPr>
        <w:t>Eligibility. </w:t>
      </w:r>
      <w:r>
        <w:rPr/>
        <w:t>ACO entities that are eligible to receive DSRIP payments from MassHealth</w:t>
      </w:r>
      <w:r>
        <w:rPr>
          <w:spacing w:val="-4"/>
        </w:rPr>
        <w:t> </w:t>
      </w:r>
      <w:r>
        <w:rPr/>
        <w:t>are</w:t>
      </w:r>
      <w:r>
        <w:rPr>
          <w:spacing w:val="-5"/>
        </w:rPr>
        <w:t> </w:t>
      </w:r>
      <w:r>
        <w:rPr/>
        <w:t>entities</w:t>
      </w:r>
      <w:r>
        <w:rPr>
          <w:spacing w:val="-4"/>
        </w:rPr>
        <w:t> </w:t>
      </w:r>
      <w:r>
        <w:rPr/>
        <w:t>that</w:t>
      </w:r>
      <w:r>
        <w:rPr>
          <w:spacing w:val="-4"/>
        </w:rPr>
        <w:t> </w:t>
      </w:r>
      <w:r>
        <w:rPr/>
        <w:t>have</w:t>
      </w:r>
      <w:r>
        <w:rPr>
          <w:spacing w:val="-5"/>
        </w:rPr>
        <w:t> </w:t>
      </w:r>
      <w:r>
        <w:rPr/>
        <w:t>signed</w:t>
      </w:r>
      <w:r>
        <w:rPr>
          <w:spacing w:val="-4"/>
        </w:rPr>
        <w:t> </w:t>
      </w:r>
      <w:r>
        <w:rPr/>
        <w:t>contracts</w:t>
      </w:r>
      <w:r>
        <w:rPr>
          <w:spacing w:val="-2"/>
        </w:rPr>
        <w:t> </w:t>
      </w:r>
      <w:r>
        <w:rPr/>
        <w:t>to</w:t>
      </w:r>
      <w:r>
        <w:rPr>
          <w:spacing w:val="-4"/>
        </w:rPr>
        <w:t> </w:t>
      </w:r>
      <w:r>
        <w:rPr/>
        <w:t>be</w:t>
      </w:r>
      <w:r>
        <w:rPr>
          <w:spacing w:val="-5"/>
        </w:rPr>
        <w:t> </w:t>
      </w:r>
      <w:r>
        <w:rPr/>
        <w:t>MassHealth</w:t>
      </w:r>
      <w:r>
        <w:rPr>
          <w:spacing w:val="-4"/>
        </w:rPr>
        <w:t> </w:t>
      </w:r>
      <w:r>
        <w:rPr/>
        <w:t>ACOs</w:t>
      </w:r>
      <w:r>
        <w:rPr>
          <w:spacing w:val="-2"/>
        </w:rPr>
        <w:t> </w:t>
      </w:r>
      <w:r>
        <w:rPr/>
        <w:t>(i.e.,</w:t>
      </w:r>
    </w:p>
    <w:p>
      <w:pPr>
        <w:spacing w:after="0"/>
        <w:sectPr>
          <w:pgSz w:w="12240" w:h="15840"/>
          <w:pgMar w:header="0" w:footer="1201" w:top="1360" w:bottom="1400" w:left="1200" w:right="400"/>
        </w:sectPr>
      </w:pPr>
    </w:p>
    <w:p>
      <w:pPr>
        <w:pStyle w:val="BodyText"/>
        <w:spacing w:before="79"/>
        <w:ind w:left="1411" w:right="1059"/>
      </w:pPr>
      <w:r>
        <w:rPr/>
        <w:t>Accountable</w:t>
      </w:r>
      <w:r>
        <w:rPr>
          <w:spacing w:val="-5"/>
        </w:rPr>
        <w:t> </w:t>
      </w:r>
      <w:r>
        <w:rPr/>
        <w:t>Care</w:t>
      </w:r>
      <w:r>
        <w:rPr>
          <w:spacing w:val="-5"/>
        </w:rPr>
        <w:t> </w:t>
      </w:r>
      <w:r>
        <w:rPr/>
        <w:t>Partnership</w:t>
      </w:r>
      <w:r>
        <w:rPr>
          <w:spacing w:val="-5"/>
        </w:rPr>
        <w:t> </w:t>
      </w:r>
      <w:r>
        <w:rPr/>
        <w:t>Plans,</w:t>
      </w:r>
      <w:r>
        <w:rPr>
          <w:spacing w:val="-4"/>
        </w:rPr>
        <w:t> </w:t>
      </w:r>
      <w:r>
        <w:rPr/>
        <w:t>Primary</w:t>
      </w:r>
      <w:r>
        <w:rPr>
          <w:spacing w:val="-9"/>
        </w:rPr>
        <w:t> </w:t>
      </w:r>
      <w:r>
        <w:rPr/>
        <w:t>Care</w:t>
      </w:r>
      <w:r>
        <w:rPr>
          <w:spacing w:val="-5"/>
        </w:rPr>
        <w:t> </w:t>
      </w:r>
      <w:r>
        <w:rPr/>
        <w:t>ACOs,</w:t>
      </w:r>
      <w:r>
        <w:rPr>
          <w:spacing w:val="-4"/>
        </w:rPr>
        <w:t> </w:t>
      </w:r>
      <w:r>
        <w:rPr/>
        <w:t>and</w:t>
      </w:r>
      <w:r>
        <w:rPr>
          <w:spacing w:val="-4"/>
        </w:rPr>
        <w:t> </w:t>
      </w:r>
      <w:r>
        <w:rPr/>
        <w:t>MCO-Contracted </w:t>
      </w:r>
      <w:r>
        <w:rPr>
          <w:spacing w:val="-2"/>
        </w:rPr>
        <w:t>ACOs).</w:t>
      </w:r>
    </w:p>
    <w:p>
      <w:pPr>
        <w:pStyle w:val="BodyText"/>
        <w:spacing w:before="10"/>
        <w:rPr>
          <w:sz w:val="20"/>
        </w:rPr>
      </w:pPr>
    </w:p>
    <w:p>
      <w:pPr>
        <w:pStyle w:val="BodyText"/>
        <w:ind w:left="1411" w:right="1086"/>
      </w:pPr>
      <w:r>
        <w:rPr/>
        <w:drawing>
          <wp:anchor distT="0" distB="0" distL="0" distR="0" allowOverlap="1" layoutInCell="1" locked="0" behindDoc="0" simplePos="0" relativeHeight="15897600">
            <wp:simplePos x="0" y="0"/>
            <wp:positionH relativeFrom="page">
              <wp:posOffset>1424939</wp:posOffset>
            </wp:positionH>
            <wp:positionV relativeFrom="paragraph">
              <wp:posOffset>32551</wp:posOffset>
            </wp:positionV>
            <wp:extent cx="111251" cy="115823"/>
            <wp:effectExtent l="0" t="0" r="0" b="0"/>
            <wp:wrapNone/>
            <wp:docPr id="341" name="Image 341"/>
            <wp:cNvGraphicFramePr>
              <a:graphicFrameLocks/>
            </wp:cNvGraphicFramePr>
            <a:graphic>
              <a:graphicData uri="http://schemas.openxmlformats.org/drawingml/2006/picture">
                <pic:pic>
                  <pic:nvPicPr>
                    <pic:cNvPr id="341" name="Image 341"/>
                    <pic:cNvPicPr/>
                  </pic:nvPicPr>
                  <pic:blipFill>
                    <a:blip r:embed="rId34" cstate="print"/>
                    <a:stretch>
                      <a:fillRect/>
                    </a:stretch>
                  </pic:blipFill>
                  <pic:spPr>
                    <a:xfrm>
                      <a:off x="0" y="0"/>
                      <a:ext cx="111251" cy="115823"/>
                    </a:xfrm>
                    <a:prstGeom prst="rect">
                      <a:avLst/>
                    </a:prstGeom>
                  </pic:spPr>
                </pic:pic>
              </a:graphicData>
            </a:graphic>
          </wp:anchor>
        </w:drawing>
      </w:r>
      <w:bookmarkStart w:name="b. Funding Use. MassHealth may pay ACOs " w:id="522"/>
      <w:bookmarkEnd w:id="522"/>
      <w:r>
        <w:rPr/>
      </w:r>
      <w:r>
        <w:rPr>
          <w:b/>
        </w:rPr>
        <w:t>Funding</w:t>
      </w:r>
      <w:r>
        <w:rPr>
          <w:b/>
          <w:spacing w:val="-3"/>
        </w:rPr>
        <w:t> </w:t>
      </w:r>
      <w:r>
        <w:rPr>
          <w:b/>
        </w:rPr>
        <w:t>Use.</w:t>
      </w:r>
      <w:r>
        <w:rPr>
          <w:b/>
          <w:spacing w:val="-3"/>
        </w:rPr>
        <w:t> </w:t>
      </w:r>
      <w:r>
        <w:rPr/>
        <w:t>MassHealth</w:t>
      </w:r>
      <w:r>
        <w:rPr>
          <w:spacing w:val="-3"/>
        </w:rPr>
        <w:t> </w:t>
      </w:r>
      <w:r>
        <w:rPr/>
        <w:t>may</w:t>
      </w:r>
      <w:r>
        <w:rPr>
          <w:spacing w:val="-7"/>
        </w:rPr>
        <w:t> </w:t>
      </w:r>
      <w:r>
        <w:rPr/>
        <w:t>pay</w:t>
      </w:r>
      <w:r>
        <w:rPr>
          <w:spacing w:val="-7"/>
        </w:rPr>
        <w:t> </w:t>
      </w:r>
      <w:r>
        <w:rPr/>
        <w:t>ACOs</w:t>
      </w:r>
      <w:r>
        <w:rPr>
          <w:spacing w:val="-3"/>
        </w:rPr>
        <w:t> </w:t>
      </w:r>
      <w:r>
        <w:rPr/>
        <w:t>under</w:t>
      </w:r>
      <w:r>
        <w:rPr>
          <w:spacing w:val="-4"/>
        </w:rPr>
        <w:t> </w:t>
      </w:r>
      <w:r>
        <w:rPr/>
        <w:t>the</w:t>
      </w:r>
      <w:r>
        <w:rPr>
          <w:spacing w:val="-4"/>
        </w:rPr>
        <w:t> </w:t>
      </w:r>
      <w:r>
        <w:rPr/>
        <w:t>DSRIP</w:t>
      </w:r>
      <w:r>
        <w:rPr>
          <w:spacing w:val="-3"/>
        </w:rPr>
        <w:t> </w:t>
      </w:r>
      <w:r>
        <w:rPr/>
        <w:t>expenditure</w:t>
      </w:r>
      <w:r>
        <w:rPr>
          <w:spacing w:val="-4"/>
        </w:rPr>
        <w:t> </w:t>
      </w:r>
      <w:r>
        <w:rPr/>
        <w:t>authority for</w:t>
      </w:r>
      <w:r>
        <w:rPr>
          <w:spacing w:val="-5"/>
        </w:rPr>
        <w:t> </w:t>
      </w:r>
      <w:r>
        <w:rPr/>
        <w:t>the following:</w:t>
      </w:r>
    </w:p>
    <w:p>
      <w:pPr>
        <w:pStyle w:val="BodyText"/>
        <w:spacing w:before="10"/>
        <w:rPr>
          <w:sz w:val="20"/>
        </w:rPr>
      </w:pPr>
    </w:p>
    <w:p>
      <w:pPr>
        <w:pStyle w:val="BodyText"/>
        <w:ind w:left="2040"/>
      </w:pPr>
      <w:r>
        <w:rPr/>
        <w:drawing>
          <wp:anchor distT="0" distB="0" distL="0" distR="0" allowOverlap="1" layoutInCell="1" locked="0" behindDoc="0" simplePos="0" relativeHeight="15898112">
            <wp:simplePos x="0" y="0"/>
            <wp:positionH relativeFrom="page">
              <wp:posOffset>1862327</wp:posOffset>
            </wp:positionH>
            <wp:positionV relativeFrom="paragraph">
              <wp:posOffset>32551</wp:posOffset>
            </wp:positionV>
            <wp:extent cx="73151" cy="115823"/>
            <wp:effectExtent l="0" t="0" r="0" b="0"/>
            <wp:wrapNone/>
            <wp:docPr id="342" name="Image 342"/>
            <wp:cNvGraphicFramePr>
              <a:graphicFrameLocks/>
            </wp:cNvGraphicFramePr>
            <a:graphic>
              <a:graphicData uri="http://schemas.openxmlformats.org/drawingml/2006/picture">
                <pic:pic>
                  <pic:nvPicPr>
                    <pic:cNvPr id="342" name="Image 342"/>
                    <pic:cNvPicPr/>
                  </pic:nvPicPr>
                  <pic:blipFill>
                    <a:blip r:embed="rId61" cstate="print"/>
                    <a:stretch>
                      <a:fillRect/>
                    </a:stretch>
                  </pic:blipFill>
                  <pic:spPr>
                    <a:xfrm>
                      <a:off x="0" y="0"/>
                      <a:ext cx="73151" cy="115823"/>
                    </a:xfrm>
                    <a:prstGeom prst="rect">
                      <a:avLst/>
                    </a:prstGeom>
                  </pic:spPr>
                </pic:pic>
              </a:graphicData>
            </a:graphic>
          </wp:anchor>
        </w:drawing>
      </w:r>
      <w:bookmarkStart w:name="i. ACO startup/ongoing support" w:id="523"/>
      <w:bookmarkEnd w:id="523"/>
      <w:r>
        <w:rPr/>
      </w:r>
      <w:r>
        <w:rPr/>
        <w:t>ACO</w:t>
      </w:r>
      <w:r>
        <w:rPr>
          <w:spacing w:val="-4"/>
        </w:rPr>
        <w:t> </w:t>
      </w:r>
      <w:r>
        <w:rPr/>
        <w:t>startup/ongoing</w:t>
      </w:r>
      <w:r>
        <w:rPr>
          <w:spacing w:val="-11"/>
        </w:rPr>
        <w:t> </w:t>
      </w:r>
      <w:r>
        <w:rPr>
          <w:spacing w:val="-2"/>
        </w:rPr>
        <w:t>support</w:t>
      </w:r>
    </w:p>
    <w:p>
      <w:pPr>
        <w:pStyle w:val="BodyText"/>
        <w:spacing w:before="161"/>
        <w:ind w:left="2040" w:right="1057"/>
      </w:pPr>
      <w:r>
        <w:rPr/>
        <w:drawing>
          <wp:anchor distT="0" distB="0" distL="0" distR="0" allowOverlap="1" layoutInCell="1" locked="0" behindDoc="0" simplePos="0" relativeHeight="15898624">
            <wp:simplePos x="0" y="0"/>
            <wp:positionH relativeFrom="page">
              <wp:posOffset>1819655</wp:posOffset>
            </wp:positionH>
            <wp:positionV relativeFrom="paragraph">
              <wp:posOffset>134786</wp:posOffset>
            </wp:positionV>
            <wp:extent cx="115823" cy="115823"/>
            <wp:effectExtent l="0" t="0" r="0" b="0"/>
            <wp:wrapNone/>
            <wp:docPr id="343" name="Image 343"/>
            <wp:cNvGraphicFramePr>
              <a:graphicFrameLocks/>
            </wp:cNvGraphicFramePr>
            <a:graphic>
              <a:graphicData uri="http://schemas.openxmlformats.org/drawingml/2006/picture">
                <pic:pic>
                  <pic:nvPicPr>
                    <pic:cNvPr id="343" name="Image 343"/>
                    <pic:cNvPicPr/>
                  </pic:nvPicPr>
                  <pic:blipFill>
                    <a:blip r:embed="rId62" cstate="print"/>
                    <a:stretch>
                      <a:fillRect/>
                    </a:stretch>
                  </pic:blipFill>
                  <pic:spPr>
                    <a:xfrm>
                      <a:off x="0" y="0"/>
                      <a:ext cx="115823" cy="115823"/>
                    </a:xfrm>
                    <a:prstGeom prst="rect">
                      <a:avLst/>
                    </a:prstGeom>
                  </pic:spPr>
                </pic:pic>
              </a:graphicData>
            </a:graphic>
          </wp:anchor>
        </w:drawing>
      </w:r>
      <w:bookmarkStart w:name="ii. Support for DSRIP flexible services." w:id="524"/>
      <w:bookmarkEnd w:id="524"/>
      <w:r>
        <w:rPr/>
      </w:r>
      <w:r>
        <w:rPr/>
        <w:t>Support for DSRIP flexible services. These services are delineated in the DSRIP Flexible Services Protocol. The protocol includes eligibility criteria and service definitions, payment methodologies, specific interventions, a description of the methodology used to identify the target population(s) including data analyses and a needs assessment of the target population, the nature of the individualized determination that would need to be made to determine</w:t>
      </w:r>
      <w:r>
        <w:rPr>
          <w:spacing w:val="-1"/>
        </w:rPr>
        <w:t> </w:t>
      </w:r>
      <w:r>
        <w:rPr/>
        <w:t>potential for</w:t>
      </w:r>
      <w:r>
        <w:rPr>
          <w:spacing w:val="-1"/>
        </w:rPr>
        <w:t> </w:t>
      </w:r>
      <w:r>
        <w:rPr/>
        <w:t>institutional placement and description of</w:t>
      </w:r>
      <w:r>
        <w:rPr>
          <w:spacing w:val="-1"/>
        </w:rPr>
        <w:t> </w:t>
      </w:r>
      <w:r>
        <w:rPr/>
        <w:t>services that will be made available to beneficiaries including medical, behavioral, social and</w:t>
      </w:r>
      <w:r>
        <w:rPr>
          <w:spacing w:val="-3"/>
        </w:rPr>
        <w:t> </w:t>
      </w:r>
      <w:r>
        <w:rPr/>
        <w:t>non-medical</w:t>
      </w:r>
      <w:r>
        <w:rPr>
          <w:spacing w:val="-3"/>
        </w:rPr>
        <w:t> </w:t>
      </w:r>
      <w:r>
        <w:rPr/>
        <w:t>services.</w:t>
      </w:r>
      <w:r>
        <w:rPr>
          <w:spacing w:val="-3"/>
        </w:rPr>
        <w:t> </w:t>
      </w:r>
      <w:r>
        <w:rPr/>
        <w:t>The</w:t>
      </w:r>
      <w:r>
        <w:rPr>
          <w:spacing w:val="-4"/>
        </w:rPr>
        <w:t> </w:t>
      </w:r>
      <w:r>
        <w:rPr/>
        <w:t>State</w:t>
      </w:r>
      <w:r>
        <w:rPr>
          <w:spacing w:val="-4"/>
        </w:rPr>
        <w:t> </w:t>
      </w:r>
      <w:r>
        <w:rPr/>
        <w:t>may</w:t>
      </w:r>
      <w:r>
        <w:rPr>
          <w:spacing w:val="-8"/>
        </w:rPr>
        <w:t> </w:t>
      </w:r>
      <w:r>
        <w:rPr/>
        <w:t>provide</w:t>
      </w:r>
      <w:r>
        <w:rPr>
          <w:spacing w:val="-3"/>
        </w:rPr>
        <w:t> </w:t>
      </w:r>
      <w:r>
        <w:rPr/>
        <w:t>a</w:t>
      </w:r>
      <w:r>
        <w:rPr>
          <w:spacing w:val="-4"/>
        </w:rPr>
        <w:t> </w:t>
      </w:r>
      <w:r>
        <w:rPr/>
        <w:t>portion</w:t>
      </w:r>
      <w:r>
        <w:rPr>
          <w:spacing w:val="-3"/>
        </w:rPr>
        <w:t> </w:t>
      </w:r>
      <w:r>
        <w:rPr/>
        <w:t>of</w:t>
      </w:r>
      <w:r>
        <w:rPr>
          <w:spacing w:val="-4"/>
        </w:rPr>
        <w:t> </w:t>
      </w:r>
      <w:r>
        <w:rPr/>
        <w:t>flexible</w:t>
      </w:r>
      <w:r>
        <w:rPr>
          <w:spacing w:val="-4"/>
        </w:rPr>
        <w:t> </w:t>
      </w:r>
      <w:r>
        <w:rPr/>
        <w:t>services funding directly to social service organizations to help them build infrastructure and capacity to better support ACOs in delivering flexible services, subject to expenditure limits set forth in the Flexible Services Protocol. Flexible services include:</w:t>
      </w:r>
    </w:p>
    <w:p>
      <w:pPr>
        <w:pStyle w:val="ListParagraph"/>
        <w:numPr>
          <w:ilvl w:val="0"/>
          <w:numId w:val="32"/>
        </w:numPr>
        <w:tabs>
          <w:tab w:pos="2851" w:val="left" w:leader="none"/>
        </w:tabs>
        <w:spacing w:line="240" w:lineRule="auto" w:before="158" w:after="0"/>
        <w:ind w:left="2851" w:right="1492" w:hanging="360"/>
        <w:jc w:val="left"/>
        <w:rPr>
          <w:sz w:val="24"/>
        </w:rPr>
      </w:pPr>
      <w:bookmarkStart w:name="1. Transition services for individuals t" w:id="525"/>
      <w:bookmarkEnd w:id="525"/>
      <w:r>
        <w:rPr/>
      </w:r>
      <w:r>
        <w:rPr>
          <w:sz w:val="24"/>
        </w:rPr>
        <w:t>Transition</w:t>
      </w:r>
      <w:r>
        <w:rPr>
          <w:spacing w:val="-6"/>
          <w:sz w:val="24"/>
        </w:rPr>
        <w:t> </w:t>
      </w:r>
      <w:r>
        <w:rPr>
          <w:sz w:val="24"/>
        </w:rPr>
        <w:t>services</w:t>
      </w:r>
      <w:r>
        <w:rPr>
          <w:spacing w:val="-6"/>
          <w:sz w:val="24"/>
        </w:rPr>
        <w:t> </w:t>
      </w:r>
      <w:r>
        <w:rPr>
          <w:sz w:val="24"/>
        </w:rPr>
        <w:t>for</w:t>
      </w:r>
      <w:r>
        <w:rPr>
          <w:spacing w:val="-7"/>
          <w:sz w:val="24"/>
        </w:rPr>
        <w:t> </w:t>
      </w:r>
      <w:r>
        <w:rPr>
          <w:sz w:val="24"/>
        </w:rPr>
        <w:t>individuals</w:t>
      </w:r>
      <w:r>
        <w:rPr>
          <w:spacing w:val="-6"/>
          <w:sz w:val="24"/>
        </w:rPr>
        <w:t> </w:t>
      </w:r>
      <w:r>
        <w:rPr>
          <w:sz w:val="24"/>
        </w:rPr>
        <w:t>transitioning</w:t>
      </w:r>
      <w:r>
        <w:rPr>
          <w:spacing w:val="-9"/>
          <w:sz w:val="24"/>
        </w:rPr>
        <w:t> </w:t>
      </w:r>
      <w:r>
        <w:rPr>
          <w:sz w:val="24"/>
        </w:rPr>
        <w:t>from</w:t>
      </w:r>
      <w:r>
        <w:rPr>
          <w:spacing w:val="-6"/>
          <w:sz w:val="24"/>
        </w:rPr>
        <w:t> </w:t>
      </w:r>
      <w:r>
        <w:rPr>
          <w:sz w:val="24"/>
        </w:rPr>
        <w:t>institutional settings into community settings consistent with the guidance provided on the provision of transition services as a home and community based service.</w:t>
      </w:r>
    </w:p>
    <w:p>
      <w:pPr>
        <w:pStyle w:val="ListParagraph"/>
        <w:numPr>
          <w:ilvl w:val="0"/>
          <w:numId w:val="32"/>
        </w:numPr>
        <w:tabs>
          <w:tab w:pos="2851" w:val="left" w:leader="none"/>
        </w:tabs>
        <w:spacing w:line="240" w:lineRule="auto" w:before="121" w:after="0"/>
        <w:ind w:left="2851" w:right="1527" w:hanging="360"/>
        <w:jc w:val="left"/>
        <w:rPr>
          <w:sz w:val="24"/>
        </w:rPr>
      </w:pPr>
      <w:bookmarkStart w:name="2. Home and Community-Based Services to " w:id="526"/>
      <w:bookmarkEnd w:id="526"/>
      <w:r>
        <w:rPr/>
      </w:r>
      <w:r>
        <w:rPr>
          <w:sz w:val="24"/>
        </w:rPr>
        <w:t>Home</w:t>
      </w:r>
      <w:r>
        <w:rPr>
          <w:spacing w:val="-7"/>
          <w:sz w:val="24"/>
        </w:rPr>
        <w:t> </w:t>
      </w:r>
      <w:r>
        <w:rPr>
          <w:sz w:val="24"/>
        </w:rPr>
        <w:t>and</w:t>
      </w:r>
      <w:r>
        <w:rPr>
          <w:spacing w:val="-6"/>
          <w:sz w:val="24"/>
        </w:rPr>
        <w:t> </w:t>
      </w:r>
      <w:r>
        <w:rPr>
          <w:sz w:val="24"/>
        </w:rPr>
        <w:t>Community-Based</w:t>
      </w:r>
      <w:r>
        <w:rPr>
          <w:spacing w:val="-6"/>
          <w:sz w:val="24"/>
        </w:rPr>
        <w:t> </w:t>
      </w:r>
      <w:r>
        <w:rPr>
          <w:sz w:val="24"/>
        </w:rPr>
        <w:t>Services</w:t>
      </w:r>
      <w:r>
        <w:rPr>
          <w:spacing w:val="-6"/>
          <w:sz w:val="24"/>
        </w:rPr>
        <w:t> </w:t>
      </w:r>
      <w:r>
        <w:rPr>
          <w:sz w:val="24"/>
        </w:rPr>
        <w:t>to</w:t>
      </w:r>
      <w:r>
        <w:rPr>
          <w:spacing w:val="-6"/>
          <w:sz w:val="24"/>
        </w:rPr>
        <w:t> </w:t>
      </w:r>
      <w:r>
        <w:rPr>
          <w:sz w:val="24"/>
        </w:rPr>
        <w:t>divert</w:t>
      </w:r>
      <w:r>
        <w:rPr>
          <w:spacing w:val="-6"/>
          <w:sz w:val="24"/>
        </w:rPr>
        <w:t> </w:t>
      </w:r>
      <w:r>
        <w:rPr>
          <w:sz w:val="24"/>
        </w:rPr>
        <w:t>individuals</w:t>
      </w:r>
      <w:r>
        <w:rPr>
          <w:spacing w:val="-6"/>
          <w:sz w:val="24"/>
        </w:rPr>
        <w:t> </w:t>
      </w:r>
      <w:r>
        <w:rPr>
          <w:sz w:val="24"/>
        </w:rPr>
        <w:t>from institutional placements.</w:t>
      </w:r>
    </w:p>
    <w:p>
      <w:pPr>
        <w:pStyle w:val="ListParagraph"/>
        <w:numPr>
          <w:ilvl w:val="0"/>
          <w:numId w:val="32"/>
        </w:numPr>
        <w:tabs>
          <w:tab w:pos="2851" w:val="left" w:leader="none"/>
        </w:tabs>
        <w:spacing w:line="240" w:lineRule="auto" w:before="120" w:after="0"/>
        <w:ind w:left="2851" w:right="0" w:hanging="360"/>
        <w:jc w:val="left"/>
        <w:rPr>
          <w:sz w:val="24"/>
        </w:rPr>
      </w:pPr>
      <w:bookmarkStart w:name="3. Services to maintain a safe and healt" w:id="527"/>
      <w:bookmarkEnd w:id="527"/>
      <w:r>
        <w:rPr/>
      </w:r>
      <w:r>
        <w:rPr>
          <w:sz w:val="24"/>
        </w:rPr>
        <w:t>Services</w:t>
      </w:r>
      <w:r>
        <w:rPr>
          <w:spacing w:val="-1"/>
          <w:sz w:val="24"/>
        </w:rPr>
        <w:t> </w:t>
      </w:r>
      <w:r>
        <w:rPr>
          <w:sz w:val="24"/>
        </w:rPr>
        <w:t>to maintain</w:t>
      </w:r>
      <w:r>
        <w:rPr>
          <w:spacing w:val="-1"/>
          <w:sz w:val="24"/>
        </w:rPr>
        <w:t> </w:t>
      </w:r>
      <w:r>
        <w:rPr>
          <w:sz w:val="24"/>
        </w:rPr>
        <w:t>a</w:t>
      </w:r>
      <w:r>
        <w:rPr>
          <w:spacing w:val="-1"/>
          <w:sz w:val="24"/>
        </w:rPr>
        <w:t> </w:t>
      </w:r>
      <w:r>
        <w:rPr>
          <w:sz w:val="24"/>
        </w:rPr>
        <w:t>safe</w:t>
      </w:r>
      <w:r>
        <w:rPr>
          <w:spacing w:val="-1"/>
          <w:sz w:val="24"/>
        </w:rPr>
        <w:t> </w:t>
      </w:r>
      <w:r>
        <w:rPr>
          <w:sz w:val="24"/>
        </w:rPr>
        <w:t>and</w:t>
      </w:r>
      <w:r>
        <w:rPr>
          <w:spacing w:val="-1"/>
          <w:sz w:val="24"/>
        </w:rPr>
        <w:t> </w:t>
      </w:r>
      <w:r>
        <w:rPr>
          <w:sz w:val="24"/>
        </w:rPr>
        <w:t>healthy</w:t>
      </w:r>
      <w:r>
        <w:rPr>
          <w:spacing w:val="-5"/>
          <w:sz w:val="24"/>
        </w:rPr>
        <w:t> </w:t>
      </w:r>
      <w:r>
        <w:rPr>
          <w:sz w:val="24"/>
        </w:rPr>
        <w:t>living</w:t>
      </w:r>
      <w:r>
        <w:rPr>
          <w:spacing w:val="-3"/>
          <w:sz w:val="24"/>
        </w:rPr>
        <w:t> </w:t>
      </w:r>
      <w:r>
        <w:rPr>
          <w:spacing w:val="-2"/>
          <w:sz w:val="24"/>
        </w:rPr>
        <w:t>environment.</w:t>
      </w:r>
    </w:p>
    <w:p>
      <w:pPr>
        <w:pStyle w:val="ListParagraph"/>
        <w:numPr>
          <w:ilvl w:val="0"/>
          <w:numId w:val="32"/>
        </w:numPr>
        <w:tabs>
          <w:tab w:pos="2851" w:val="left" w:leader="none"/>
        </w:tabs>
        <w:spacing w:line="240" w:lineRule="auto" w:before="120" w:after="0"/>
        <w:ind w:left="2851" w:right="0" w:hanging="360"/>
        <w:jc w:val="left"/>
        <w:rPr>
          <w:sz w:val="24"/>
        </w:rPr>
      </w:pPr>
      <w:bookmarkStart w:name="4. Physical activity and nutrition." w:id="528"/>
      <w:bookmarkEnd w:id="528"/>
      <w:r>
        <w:rPr/>
      </w:r>
      <w:r>
        <w:rPr>
          <w:sz w:val="24"/>
        </w:rPr>
        <w:t>Physical</w:t>
      </w:r>
      <w:r>
        <w:rPr>
          <w:spacing w:val="-2"/>
          <w:sz w:val="24"/>
        </w:rPr>
        <w:t> </w:t>
      </w:r>
      <w:r>
        <w:rPr>
          <w:sz w:val="24"/>
        </w:rPr>
        <w:t>activity</w:t>
      </w:r>
      <w:r>
        <w:rPr>
          <w:spacing w:val="-6"/>
          <w:sz w:val="24"/>
        </w:rPr>
        <w:t> </w:t>
      </w:r>
      <w:r>
        <w:rPr>
          <w:sz w:val="24"/>
        </w:rPr>
        <w:t>and</w:t>
      </w:r>
      <w:r>
        <w:rPr>
          <w:spacing w:val="-1"/>
          <w:sz w:val="24"/>
        </w:rPr>
        <w:t> </w:t>
      </w:r>
      <w:r>
        <w:rPr>
          <w:spacing w:val="-2"/>
          <w:sz w:val="24"/>
        </w:rPr>
        <w:t>nutrition.</w:t>
      </w:r>
    </w:p>
    <w:p>
      <w:pPr>
        <w:pStyle w:val="ListParagraph"/>
        <w:numPr>
          <w:ilvl w:val="0"/>
          <w:numId w:val="32"/>
        </w:numPr>
        <w:tabs>
          <w:tab w:pos="2851" w:val="left" w:leader="none"/>
        </w:tabs>
        <w:spacing w:line="240" w:lineRule="auto" w:before="120" w:after="0"/>
        <w:ind w:left="2851" w:right="0" w:hanging="360"/>
        <w:jc w:val="left"/>
        <w:rPr>
          <w:sz w:val="24"/>
        </w:rPr>
      </w:pPr>
      <w:bookmarkStart w:name="5. Experience of violence support." w:id="529"/>
      <w:bookmarkEnd w:id="529"/>
      <w:r>
        <w:rPr/>
      </w:r>
      <w:r>
        <w:rPr>
          <w:sz w:val="24"/>
        </w:rPr>
        <w:t>Experience</w:t>
      </w:r>
      <w:r>
        <w:rPr>
          <w:spacing w:val="-2"/>
          <w:sz w:val="24"/>
        </w:rPr>
        <w:t> </w:t>
      </w:r>
      <w:r>
        <w:rPr>
          <w:sz w:val="24"/>
        </w:rPr>
        <w:t>of</w:t>
      </w:r>
      <w:r>
        <w:rPr>
          <w:spacing w:val="-2"/>
          <w:sz w:val="24"/>
        </w:rPr>
        <w:t> </w:t>
      </w:r>
      <w:r>
        <w:rPr>
          <w:sz w:val="24"/>
        </w:rPr>
        <w:t>violence</w:t>
      </w:r>
      <w:r>
        <w:rPr>
          <w:spacing w:val="-2"/>
          <w:sz w:val="24"/>
        </w:rPr>
        <w:t> support.</w:t>
      </w:r>
    </w:p>
    <w:p>
      <w:pPr>
        <w:pStyle w:val="ListParagraph"/>
        <w:numPr>
          <w:ilvl w:val="0"/>
          <w:numId w:val="32"/>
        </w:numPr>
        <w:tabs>
          <w:tab w:pos="2851" w:val="left" w:leader="none"/>
        </w:tabs>
        <w:spacing w:line="240" w:lineRule="auto" w:before="120" w:after="0"/>
        <w:ind w:left="2851" w:right="0" w:hanging="360"/>
        <w:jc w:val="left"/>
        <w:rPr>
          <w:sz w:val="24"/>
        </w:rPr>
      </w:pPr>
      <w:bookmarkStart w:name="6. Other individual goods and services." w:id="530"/>
      <w:bookmarkEnd w:id="530"/>
      <w:r>
        <w:rPr/>
      </w:r>
      <w:r>
        <w:rPr>
          <w:sz w:val="24"/>
        </w:rPr>
        <w:t>Other</w:t>
      </w:r>
      <w:r>
        <w:rPr>
          <w:spacing w:val="-3"/>
          <w:sz w:val="24"/>
        </w:rPr>
        <w:t> </w:t>
      </w:r>
      <w:r>
        <w:rPr>
          <w:sz w:val="24"/>
        </w:rPr>
        <w:t>individual</w:t>
      </w:r>
      <w:r>
        <w:rPr>
          <w:spacing w:val="-2"/>
          <w:sz w:val="24"/>
        </w:rPr>
        <w:t> </w:t>
      </w:r>
      <w:r>
        <w:rPr>
          <w:sz w:val="24"/>
        </w:rPr>
        <w:t>goods and</w:t>
      </w:r>
      <w:r>
        <w:rPr>
          <w:spacing w:val="-2"/>
          <w:sz w:val="24"/>
        </w:rPr>
        <w:t> services.</w:t>
      </w:r>
    </w:p>
    <w:p>
      <w:pPr>
        <w:pStyle w:val="ListParagraph"/>
        <w:numPr>
          <w:ilvl w:val="0"/>
          <w:numId w:val="32"/>
        </w:numPr>
        <w:tabs>
          <w:tab w:pos="2851" w:val="left" w:leader="none"/>
        </w:tabs>
        <w:spacing w:line="240" w:lineRule="auto" w:before="120" w:after="0"/>
        <w:ind w:left="2851" w:right="1051" w:hanging="360"/>
        <w:jc w:val="both"/>
        <w:rPr>
          <w:sz w:val="24"/>
        </w:rPr>
      </w:pPr>
      <w:bookmarkStart w:name="7. Address medical needs and provide dir" w:id="531"/>
      <w:bookmarkEnd w:id="531"/>
      <w:r>
        <w:rPr/>
      </w:r>
      <w:r>
        <w:rPr>
          <w:sz w:val="24"/>
        </w:rPr>
        <w:t>Address</w:t>
      </w:r>
      <w:r>
        <w:rPr>
          <w:spacing w:val="-5"/>
          <w:sz w:val="24"/>
        </w:rPr>
        <w:t> </w:t>
      </w:r>
      <w:r>
        <w:rPr>
          <w:sz w:val="24"/>
        </w:rPr>
        <w:t>medical</w:t>
      </w:r>
      <w:r>
        <w:rPr>
          <w:spacing w:val="-5"/>
          <w:sz w:val="24"/>
        </w:rPr>
        <w:t> </w:t>
      </w:r>
      <w:r>
        <w:rPr>
          <w:sz w:val="24"/>
        </w:rPr>
        <w:t>needs</w:t>
      </w:r>
      <w:r>
        <w:rPr>
          <w:spacing w:val="-5"/>
          <w:sz w:val="24"/>
        </w:rPr>
        <w:t> </w:t>
      </w:r>
      <w:r>
        <w:rPr>
          <w:sz w:val="24"/>
        </w:rPr>
        <w:t>and</w:t>
      </w:r>
      <w:r>
        <w:rPr>
          <w:spacing w:val="-5"/>
          <w:sz w:val="24"/>
        </w:rPr>
        <w:t> </w:t>
      </w:r>
      <w:r>
        <w:rPr>
          <w:sz w:val="24"/>
        </w:rPr>
        <w:t>provide</w:t>
      </w:r>
      <w:r>
        <w:rPr>
          <w:spacing w:val="-6"/>
          <w:sz w:val="24"/>
        </w:rPr>
        <w:t> </w:t>
      </w:r>
      <w:r>
        <w:rPr>
          <w:sz w:val="24"/>
        </w:rPr>
        <w:t>direct</w:t>
      </w:r>
      <w:r>
        <w:rPr>
          <w:spacing w:val="-5"/>
          <w:sz w:val="24"/>
        </w:rPr>
        <w:t> </w:t>
      </w:r>
      <w:r>
        <w:rPr>
          <w:sz w:val="24"/>
        </w:rPr>
        <w:t>benefit</w:t>
      </w:r>
      <w:r>
        <w:rPr>
          <w:spacing w:val="-3"/>
          <w:sz w:val="24"/>
        </w:rPr>
        <w:t> </w:t>
      </w:r>
      <w:r>
        <w:rPr>
          <w:sz w:val="24"/>
        </w:rPr>
        <w:t>and</w:t>
      </w:r>
      <w:r>
        <w:rPr>
          <w:spacing w:val="-5"/>
          <w:sz w:val="24"/>
        </w:rPr>
        <w:t> </w:t>
      </w:r>
      <w:r>
        <w:rPr>
          <w:sz w:val="24"/>
        </w:rPr>
        <w:t>support</w:t>
      </w:r>
      <w:r>
        <w:rPr>
          <w:spacing w:val="-5"/>
          <w:sz w:val="24"/>
        </w:rPr>
        <w:t> </w:t>
      </w:r>
      <w:r>
        <w:rPr>
          <w:sz w:val="24"/>
        </w:rPr>
        <w:t>specific outcomes</w:t>
      </w:r>
      <w:r>
        <w:rPr>
          <w:spacing w:val="-5"/>
          <w:sz w:val="24"/>
        </w:rPr>
        <w:t> </w:t>
      </w:r>
      <w:r>
        <w:rPr>
          <w:sz w:val="24"/>
        </w:rPr>
        <w:t>that</w:t>
      </w:r>
      <w:r>
        <w:rPr>
          <w:spacing w:val="-5"/>
          <w:sz w:val="24"/>
        </w:rPr>
        <w:t> </w:t>
      </w:r>
      <w:r>
        <w:rPr>
          <w:sz w:val="24"/>
        </w:rPr>
        <w:t>are</w:t>
      </w:r>
      <w:r>
        <w:rPr>
          <w:spacing w:val="-6"/>
          <w:sz w:val="24"/>
        </w:rPr>
        <w:t> </w:t>
      </w:r>
      <w:r>
        <w:rPr>
          <w:sz w:val="24"/>
        </w:rPr>
        <w:t>identified</w:t>
      </w:r>
      <w:r>
        <w:rPr>
          <w:spacing w:val="-5"/>
          <w:sz w:val="24"/>
        </w:rPr>
        <w:t> </w:t>
      </w:r>
      <w:r>
        <w:rPr>
          <w:sz w:val="24"/>
        </w:rPr>
        <w:t>in</w:t>
      </w:r>
      <w:r>
        <w:rPr>
          <w:spacing w:val="-5"/>
          <w:sz w:val="24"/>
        </w:rPr>
        <w:t> </w:t>
      </w:r>
      <w:r>
        <w:rPr>
          <w:sz w:val="24"/>
        </w:rPr>
        <w:t>the</w:t>
      </w:r>
      <w:r>
        <w:rPr>
          <w:spacing w:val="-6"/>
          <w:sz w:val="24"/>
        </w:rPr>
        <w:t> </w:t>
      </w:r>
      <w:r>
        <w:rPr>
          <w:sz w:val="24"/>
        </w:rPr>
        <w:t>individual</w:t>
      </w:r>
      <w:r>
        <w:rPr>
          <w:spacing w:val="-5"/>
          <w:sz w:val="24"/>
        </w:rPr>
        <w:t> </w:t>
      </w:r>
      <w:r>
        <w:rPr>
          <w:sz w:val="24"/>
        </w:rPr>
        <w:t>waiver</w:t>
      </w:r>
      <w:r>
        <w:rPr>
          <w:spacing w:val="-6"/>
          <w:sz w:val="24"/>
        </w:rPr>
        <w:t> </w:t>
      </w:r>
      <w:r>
        <w:rPr>
          <w:sz w:val="24"/>
        </w:rPr>
        <w:t>participant’s</w:t>
      </w:r>
      <w:r>
        <w:rPr>
          <w:spacing w:val="-5"/>
          <w:sz w:val="24"/>
        </w:rPr>
        <w:t> </w:t>
      </w:r>
      <w:r>
        <w:rPr>
          <w:sz w:val="24"/>
        </w:rPr>
        <w:t>care plan; and</w:t>
      </w:r>
    </w:p>
    <w:p>
      <w:pPr>
        <w:pStyle w:val="ListParagraph"/>
        <w:numPr>
          <w:ilvl w:val="0"/>
          <w:numId w:val="32"/>
        </w:numPr>
        <w:tabs>
          <w:tab w:pos="2851" w:val="left" w:leader="none"/>
        </w:tabs>
        <w:spacing w:line="240" w:lineRule="auto" w:before="120" w:after="0"/>
        <w:ind w:left="2851" w:right="0" w:hanging="360"/>
        <w:jc w:val="both"/>
        <w:rPr>
          <w:sz w:val="24"/>
        </w:rPr>
      </w:pPr>
      <w:bookmarkStart w:name="8. Promote the delivery of covered servi" w:id="532"/>
      <w:bookmarkEnd w:id="532"/>
      <w:r>
        <w:rPr/>
      </w:r>
      <w:r>
        <w:rPr>
          <w:sz w:val="24"/>
        </w:rPr>
        <w:t>Promote</w:t>
      </w:r>
      <w:r>
        <w:rPr>
          <w:spacing w:val="-3"/>
          <w:sz w:val="24"/>
        </w:rPr>
        <w:t> </w:t>
      </w:r>
      <w:r>
        <w:rPr>
          <w:sz w:val="24"/>
        </w:rPr>
        <w:t>the</w:t>
      </w:r>
      <w:r>
        <w:rPr>
          <w:spacing w:val="-1"/>
          <w:sz w:val="24"/>
        </w:rPr>
        <w:t> </w:t>
      </w:r>
      <w:r>
        <w:rPr>
          <w:sz w:val="24"/>
        </w:rPr>
        <w:t>delivery</w:t>
      </w:r>
      <w:r>
        <w:rPr>
          <w:spacing w:val="-5"/>
          <w:sz w:val="24"/>
        </w:rPr>
        <w:t> </w:t>
      </w:r>
      <w:r>
        <w:rPr>
          <w:sz w:val="24"/>
        </w:rPr>
        <w:t>of</w:t>
      </w:r>
      <w:r>
        <w:rPr>
          <w:spacing w:val="-1"/>
          <w:sz w:val="24"/>
        </w:rPr>
        <w:t> </w:t>
      </w:r>
      <w:r>
        <w:rPr>
          <w:sz w:val="24"/>
        </w:rPr>
        <w:t>covered services in community</w:t>
      </w:r>
      <w:r>
        <w:rPr>
          <w:spacing w:val="-5"/>
          <w:sz w:val="24"/>
        </w:rPr>
        <w:t> </w:t>
      </w:r>
      <w:r>
        <w:rPr>
          <w:spacing w:val="-2"/>
          <w:sz w:val="24"/>
        </w:rPr>
        <w:t>settings;</w:t>
      </w:r>
    </w:p>
    <w:p>
      <w:pPr>
        <w:pStyle w:val="ListParagraph"/>
        <w:numPr>
          <w:ilvl w:val="0"/>
          <w:numId w:val="32"/>
        </w:numPr>
        <w:tabs>
          <w:tab w:pos="2851" w:val="left" w:leader="none"/>
        </w:tabs>
        <w:spacing w:line="240" w:lineRule="auto" w:before="120" w:after="0"/>
        <w:ind w:left="2851" w:right="0" w:hanging="360"/>
        <w:jc w:val="both"/>
        <w:rPr>
          <w:sz w:val="24"/>
        </w:rPr>
      </w:pPr>
      <w:bookmarkStart w:name="9. Decrease the need for other Medicaid " w:id="533"/>
      <w:bookmarkEnd w:id="533"/>
      <w:r>
        <w:rPr/>
      </w:r>
      <w:r>
        <w:rPr>
          <w:sz w:val="24"/>
        </w:rPr>
        <w:t>Decrease</w:t>
      </w:r>
      <w:r>
        <w:rPr>
          <w:spacing w:val="-2"/>
          <w:sz w:val="24"/>
        </w:rPr>
        <w:t> </w:t>
      </w:r>
      <w:r>
        <w:rPr>
          <w:sz w:val="24"/>
        </w:rPr>
        <w:t>the</w:t>
      </w:r>
      <w:r>
        <w:rPr>
          <w:spacing w:val="-2"/>
          <w:sz w:val="24"/>
        </w:rPr>
        <w:t> </w:t>
      </w:r>
      <w:r>
        <w:rPr>
          <w:sz w:val="24"/>
        </w:rPr>
        <w:t>need for</w:t>
      </w:r>
      <w:r>
        <w:rPr>
          <w:spacing w:val="-1"/>
          <w:sz w:val="24"/>
        </w:rPr>
        <w:t> </w:t>
      </w:r>
      <w:r>
        <w:rPr>
          <w:sz w:val="24"/>
        </w:rPr>
        <w:t>other</w:t>
      </w:r>
      <w:r>
        <w:rPr>
          <w:spacing w:val="-2"/>
          <w:sz w:val="24"/>
        </w:rPr>
        <w:t> </w:t>
      </w:r>
      <w:r>
        <w:rPr>
          <w:sz w:val="24"/>
        </w:rPr>
        <w:t>Medicaid</w:t>
      </w:r>
      <w:r>
        <w:rPr>
          <w:spacing w:val="-1"/>
          <w:sz w:val="24"/>
        </w:rPr>
        <w:t> </w:t>
      </w:r>
      <w:r>
        <w:rPr>
          <w:spacing w:val="-2"/>
          <w:sz w:val="24"/>
        </w:rPr>
        <w:t>services;</w:t>
      </w:r>
    </w:p>
    <w:p>
      <w:pPr>
        <w:pStyle w:val="ListParagraph"/>
        <w:numPr>
          <w:ilvl w:val="0"/>
          <w:numId w:val="32"/>
        </w:numPr>
        <w:tabs>
          <w:tab w:pos="2851" w:val="left" w:leader="none"/>
        </w:tabs>
        <w:spacing w:line="240" w:lineRule="auto" w:before="120" w:after="0"/>
        <w:ind w:left="2851" w:right="0" w:hanging="360"/>
        <w:jc w:val="both"/>
        <w:rPr>
          <w:sz w:val="24"/>
        </w:rPr>
      </w:pPr>
      <w:bookmarkStart w:name="10. Reduce the reliance on paid support;" w:id="534"/>
      <w:bookmarkEnd w:id="534"/>
      <w:r>
        <w:rPr/>
      </w:r>
      <w:r>
        <w:rPr>
          <w:sz w:val="24"/>
        </w:rPr>
        <w:t>Reduce</w:t>
      </w:r>
      <w:r>
        <w:rPr>
          <w:spacing w:val="-2"/>
          <w:sz w:val="24"/>
        </w:rPr>
        <w:t> </w:t>
      </w:r>
      <w:r>
        <w:rPr>
          <w:sz w:val="24"/>
        </w:rPr>
        <w:t>the</w:t>
      </w:r>
      <w:r>
        <w:rPr>
          <w:spacing w:val="-2"/>
          <w:sz w:val="24"/>
        </w:rPr>
        <w:t> </w:t>
      </w:r>
      <w:r>
        <w:rPr>
          <w:sz w:val="24"/>
        </w:rPr>
        <w:t>reliance</w:t>
      </w:r>
      <w:r>
        <w:rPr>
          <w:spacing w:val="-1"/>
          <w:sz w:val="24"/>
        </w:rPr>
        <w:t> </w:t>
      </w:r>
      <w:r>
        <w:rPr>
          <w:sz w:val="24"/>
        </w:rPr>
        <w:t>on</w:t>
      </w:r>
      <w:r>
        <w:rPr>
          <w:spacing w:val="1"/>
          <w:sz w:val="24"/>
        </w:rPr>
        <w:t> </w:t>
      </w:r>
      <w:r>
        <w:rPr>
          <w:sz w:val="24"/>
        </w:rPr>
        <w:t>paid</w:t>
      </w:r>
      <w:r>
        <w:rPr>
          <w:spacing w:val="-1"/>
          <w:sz w:val="24"/>
        </w:rPr>
        <w:t> </w:t>
      </w:r>
      <w:r>
        <w:rPr>
          <w:sz w:val="24"/>
        </w:rPr>
        <w:t>support; </w:t>
      </w:r>
      <w:r>
        <w:rPr>
          <w:spacing w:val="-5"/>
          <w:sz w:val="24"/>
        </w:rPr>
        <w:t>or</w:t>
      </w:r>
    </w:p>
    <w:p>
      <w:pPr>
        <w:pStyle w:val="ListParagraph"/>
        <w:numPr>
          <w:ilvl w:val="0"/>
          <w:numId w:val="32"/>
        </w:numPr>
        <w:tabs>
          <w:tab w:pos="2851" w:val="left" w:leader="none"/>
        </w:tabs>
        <w:spacing w:line="240" w:lineRule="auto" w:before="120" w:after="0"/>
        <w:ind w:left="2851" w:right="1930" w:hanging="360"/>
        <w:jc w:val="both"/>
        <w:rPr>
          <w:sz w:val="24"/>
        </w:rPr>
      </w:pPr>
      <w:bookmarkStart w:name="11. Are directly related to the health a" w:id="535"/>
      <w:bookmarkEnd w:id="535"/>
      <w:r>
        <w:rPr/>
      </w:r>
      <w:r>
        <w:rPr>
          <w:sz w:val="24"/>
        </w:rPr>
        <w:t>Are</w:t>
      </w:r>
      <w:r>
        <w:rPr>
          <w:spacing w:val="-4"/>
          <w:sz w:val="24"/>
        </w:rPr>
        <w:t> </w:t>
      </w:r>
      <w:r>
        <w:rPr>
          <w:sz w:val="24"/>
        </w:rPr>
        <w:t>directly</w:t>
      </w:r>
      <w:r>
        <w:rPr>
          <w:spacing w:val="-6"/>
          <w:sz w:val="24"/>
        </w:rPr>
        <w:t> </w:t>
      </w:r>
      <w:r>
        <w:rPr>
          <w:sz w:val="24"/>
        </w:rPr>
        <w:t>related</w:t>
      </w:r>
      <w:r>
        <w:rPr>
          <w:spacing w:val="-3"/>
          <w:sz w:val="24"/>
        </w:rPr>
        <w:t> </w:t>
      </w:r>
      <w:r>
        <w:rPr>
          <w:sz w:val="24"/>
        </w:rPr>
        <w:t>to</w:t>
      </w:r>
      <w:r>
        <w:rPr>
          <w:spacing w:val="-3"/>
          <w:sz w:val="24"/>
        </w:rPr>
        <w:t> </w:t>
      </w:r>
      <w:r>
        <w:rPr>
          <w:sz w:val="24"/>
        </w:rPr>
        <w:t>the</w:t>
      </w:r>
      <w:r>
        <w:rPr>
          <w:spacing w:val="-4"/>
          <w:sz w:val="24"/>
        </w:rPr>
        <w:t> </w:t>
      </w:r>
      <w:r>
        <w:rPr>
          <w:sz w:val="24"/>
        </w:rPr>
        <w:t>health</w:t>
      </w:r>
      <w:r>
        <w:rPr>
          <w:spacing w:val="-3"/>
          <w:sz w:val="24"/>
        </w:rPr>
        <w:t> </w:t>
      </w:r>
      <w:r>
        <w:rPr>
          <w:sz w:val="24"/>
        </w:rPr>
        <w:t>and</w:t>
      </w:r>
      <w:r>
        <w:rPr>
          <w:spacing w:val="-3"/>
          <w:sz w:val="24"/>
        </w:rPr>
        <w:t> </w:t>
      </w:r>
      <w:r>
        <w:rPr>
          <w:sz w:val="24"/>
        </w:rPr>
        <w:t>safety</w:t>
      </w:r>
      <w:r>
        <w:rPr>
          <w:spacing w:val="-8"/>
          <w:sz w:val="24"/>
        </w:rPr>
        <w:t> </w:t>
      </w:r>
      <w:r>
        <w:rPr>
          <w:sz w:val="24"/>
        </w:rPr>
        <w:t>of</w:t>
      </w:r>
      <w:r>
        <w:rPr>
          <w:spacing w:val="-4"/>
          <w:sz w:val="24"/>
        </w:rPr>
        <w:t> </w:t>
      </w:r>
      <w:r>
        <w:rPr>
          <w:sz w:val="24"/>
        </w:rPr>
        <w:t>the</w:t>
      </w:r>
      <w:r>
        <w:rPr>
          <w:spacing w:val="-2"/>
          <w:sz w:val="24"/>
        </w:rPr>
        <w:t> </w:t>
      </w:r>
      <w:r>
        <w:rPr>
          <w:sz w:val="24"/>
        </w:rPr>
        <w:t>member</w:t>
      </w:r>
      <w:r>
        <w:rPr>
          <w:spacing w:val="-4"/>
          <w:sz w:val="24"/>
        </w:rPr>
        <w:t> </w:t>
      </w:r>
      <w:r>
        <w:rPr>
          <w:sz w:val="24"/>
        </w:rPr>
        <w:t>in his/her/their home or community; or</w:t>
      </w:r>
    </w:p>
    <w:p>
      <w:pPr>
        <w:pStyle w:val="ListParagraph"/>
        <w:numPr>
          <w:ilvl w:val="0"/>
          <w:numId w:val="32"/>
        </w:numPr>
        <w:tabs>
          <w:tab w:pos="2851" w:val="left" w:leader="none"/>
        </w:tabs>
        <w:spacing w:line="240" w:lineRule="auto" w:before="120" w:after="0"/>
        <w:ind w:left="2851" w:right="0" w:hanging="360"/>
        <w:jc w:val="both"/>
        <w:rPr>
          <w:sz w:val="24"/>
        </w:rPr>
      </w:pPr>
      <w:bookmarkStart w:name="12. Satisfy the other criteria listed be" w:id="536"/>
      <w:bookmarkEnd w:id="536"/>
      <w:r>
        <w:rPr/>
      </w:r>
      <w:r>
        <w:rPr>
          <w:sz w:val="24"/>
        </w:rPr>
        <w:t>Satisfy</w:t>
      </w:r>
      <w:r>
        <w:rPr>
          <w:spacing w:val="-6"/>
          <w:sz w:val="24"/>
        </w:rPr>
        <w:t> </w:t>
      </w:r>
      <w:r>
        <w:rPr>
          <w:sz w:val="24"/>
        </w:rPr>
        <w:t>the</w:t>
      </w:r>
      <w:r>
        <w:rPr>
          <w:spacing w:val="-2"/>
          <w:sz w:val="24"/>
        </w:rPr>
        <w:t> </w:t>
      </w:r>
      <w:r>
        <w:rPr>
          <w:sz w:val="24"/>
        </w:rPr>
        <w:t>other criteria</w:t>
      </w:r>
      <w:r>
        <w:rPr>
          <w:spacing w:val="-2"/>
          <w:sz w:val="24"/>
        </w:rPr>
        <w:t> </w:t>
      </w:r>
      <w:r>
        <w:rPr>
          <w:sz w:val="24"/>
        </w:rPr>
        <w:t>listed </w:t>
      </w:r>
      <w:r>
        <w:rPr>
          <w:spacing w:val="-2"/>
          <w:sz w:val="24"/>
        </w:rPr>
        <w:t>below</w:t>
      </w:r>
    </w:p>
    <w:p>
      <w:pPr>
        <w:spacing w:after="0" w:line="240" w:lineRule="auto"/>
        <w:jc w:val="both"/>
        <w:rPr>
          <w:sz w:val="24"/>
        </w:rPr>
        <w:sectPr>
          <w:pgSz w:w="12240" w:h="15840"/>
          <w:pgMar w:header="0" w:footer="1201" w:top="1360" w:bottom="1400" w:left="1200" w:right="400"/>
        </w:sectPr>
      </w:pPr>
    </w:p>
    <w:p>
      <w:pPr>
        <w:pStyle w:val="BodyText"/>
        <w:spacing w:before="79"/>
        <w:ind w:left="2040"/>
      </w:pPr>
      <w:r>
        <w:rPr/>
        <w:drawing>
          <wp:anchor distT="0" distB="0" distL="0" distR="0" allowOverlap="1" layoutInCell="1" locked="0" behindDoc="0" simplePos="0" relativeHeight="15899136">
            <wp:simplePos x="0" y="0"/>
            <wp:positionH relativeFrom="page">
              <wp:posOffset>1778507</wp:posOffset>
            </wp:positionH>
            <wp:positionV relativeFrom="paragraph">
              <wp:posOffset>82717</wp:posOffset>
            </wp:positionV>
            <wp:extent cx="158495" cy="115823"/>
            <wp:effectExtent l="0" t="0" r="0" b="0"/>
            <wp:wrapNone/>
            <wp:docPr id="344" name="Image 344"/>
            <wp:cNvGraphicFramePr>
              <a:graphicFrameLocks/>
            </wp:cNvGraphicFramePr>
            <a:graphic>
              <a:graphicData uri="http://schemas.openxmlformats.org/drawingml/2006/picture">
                <pic:pic>
                  <pic:nvPicPr>
                    <pic:cNvPr id="344" name="Image 344"/>
                    <pic:cNvPicPr/>
                  </pic:nvPicPr>
                  <pic:blipFill>
                    <a:blip r:embed="rId65" cstate="print"/>
                    <a:stretch>
                      <a:fillRect/>
                    </a:stretch>
                  </pic:blipFill>
                  <pic:spPr>
                    <a:xfrm>
                      <a:off x="0" y="0"/>
                      <a:ext cx="158495" cy="115823"/>
                    </a:xfrm>
                    <a:prstGeom prst="rect">
                      <a:avLst/>
                    </a:prstGeom>
                  </pic:spPr>
                </pic:pic>
              </a:graphicData>
            </a:graphic>
          </wp:anchor>
        </w:drawing>
      </w:r>
      <w:bookmarkStart w:name="iii. These flexible services must satisf" w:id="537"/>
      <w:bookmarkEnd w:id="537"/>
      <w:r>
        <w:rPr/>
      </w:r>
      <w:r>
        <w:rPr/>
        <w:t>These</w:t>
      </w:r>
      <w:r>
        <w:rPr>
          <w:spacing w:val="-5"/>
        </w:rPr>
        <w:t> </w:t>
      </w:r>
      <w:r>
        <w:rPr/>
        <w:t>flexible</w:t>
      </w:r>
      <w:r>
        <w:rPr>
          <w:spacing w:val="-1"/>
        </w:rPr>
        <w:t> </w:t>
      </w:r>
      <w:r>
        <w:rPr/>
        <w:t>services</w:t>
      </w:r>
      <w:r>
        <w:rPr>
          <w:spacing w:val="-1"/>
        </w:rPr>
        <w:t> </w:t>
      </w:r>
      <w:r>
        <w:rPr/>
        <w:t>must satisfy</w:t>
      </w:r>
      <w:r>
        <w:rPr>
          <w:spacing w:val="-6"/>
        </w:rPr>
        <w:t> </w:t>
      </w:r>
      <w:r>
        <w:rPr/>
        <w:t>the</w:t>
      </w:r>
      <w:r>
        <w:rPr>
          <w:spacing w:val="-1"/>
        </w:rPr>
        <w:t> </w:t>
      </w:r>
      <w:r>
        <w:rPr/>
        <w:t>following</w:t>
      </w:r>
      <w:r>
        <w:rPr>
          <w:spacing w:val="-19"/>
        </w:rPr>
        <w:t> </w:t>
      </w:r>
      <w:r>
        <w:rPr>
          <w:spacing w:val="-2"/>
        </w:rPr>
        <w:t>criteria:</w:t>
      </w:r>
    </w:p>
    <w:p>
      <w:pPr>
        <w:pStyle w:val="ListParagraph"/>
        <w:numPr>
          <w:ilvl w:val="0"/>
          <w:numId w:val="33"/>
        </w:numPr>
        <w:tabs>
          <w:tab w:pos="2851" w:val="left" w:leader="none"/>
        </w:tabs>
        <w:spacing w:line="240" w:lineRule="auto" w:before="161" w:after="0"/>
        <w:ind w:left="2851" w:right="0" w:hanging="360"/>
        <w:jc w:val="left"/>
        <w:rPr>
          <w:sz w:val="24"/>
        </w:rPr>
      </w:pPr>
      <w:bookmarkStart w:name="1. Must be health-related" w:id="538"/>
      <w:bookmarkEnd w:id="538"/>
      <w:r>
        <w:rPr/>
      </w:r>
      <w:r>
        <w:rPr>
          <w:sz w:val="24"/>
        </w:rPr>
        <w:t>Must</w:t>
      </w:r>
      <w:r>
        <w:rPr>
          <w:spacing w:val="-2"/>
          <w:sz w:val="24"/>
        </w:rPr>
        <w:t> </w:t>
      </w:r>
      <w:r>
        <w:rPr>
          <w:sz w:val="24"/>
        </w:rPr>
        <w:t>be</w:t>
      </w:r>
      <w:r>
        <w:rPr>
          <w:spacing w:val="-2"/>
          <w:sz w:val="24"/>
        </w:rPr>
        <w:t> </w:t>
      </w:r>
      <w:r>
        <w:rPr>
          <w:sz w:val="24"/>
        </w:rPr>
        <w:t>health-</w:t>
      </w:r>
      <w:r>
        <w:rPr>
          <w:spacing w:val="-2"/>
          <w:sz w:val="24"/>
        </w:rPr>
        <w:t>related</w:t>
      </w:r>
    </w:p>
    <w:p>
      <w:pPr>
        <w:pStyle w:val="ListParagraph"/>
        <w:numPr>
          <w:ilvl w:val="0"/>
          <w:numId w:val="33"/>
        </w:numPr>
        <w:tabs>
          <w:tab w:pos="2851" w:val="left" w:leader="none"/>
        </w:tabs>
        <w:spacing w:line="240" w:lineRule="auto" w:before="120" w:after="0"/>
        <w:ind w:left="2851" w:right="1544" w:hanging="360"/>
        <w:jc w:val="left"/>
        <w:rPr>
          <w:sz w:val="24"/>
        </w:rPr>
      </w:pPr>
      <w:bookmarkStart w:name="2. Not covered benefits under the MassHe" w:id="539"/>
      <w:bookmarkEnd w:id="539"/>
      <w:r>
        <w:rPr/>
      </w:r>
      <w:r>
        <w:rPr>
          <w:sz w:val="24"/>
        </w:rPr>
        <w:t>Not covered benefits under the MassHealth State Plan, the 1115 demonstration</w:t>
      </w:r>
      <w:r>
        <w:rPr>
          <w:spacing w:val="-5"/>
          <w:sz w:val="24"/>
        </w:rPr>
        <w:t> </w:t>
      </w:r>
      <w:r>
        <w:rPr>
          <w:sz w:val="24"/>
        </w:rPr>
        <w:t>Expenditure</w:t>
      </w:r>
      <w:r>
        <w:rPr>
          <w:spacing w:val="-6"/>
          <w:sz w:val="24"/>
        </w:rPr>
        <w:t> </w:t>
      </w:r>
      <w:r>
        <w:rPr>
          <w:sz w:val="24"/>
        </w:rPr>
        <w:t>Authority,</w:t>
      </w:r>
      <w:r>
        <w:rPr>
          <w:spacing w:val="-5"/>
          <w:sz w:val="24"/>
        </w:rPr>
        <w:t> </w:t>
      </w:r>
      <w:r>
        <w:rPr>
          <w:sz w:val="24"/>
        </w:rPr>
        <w:t>or</w:t>
      </w:r>
      <w:r>
        <w:rPr>
          <w:spacing w:val="-6"/>
          <w:sz w:val="24"/>
        </w:rPr>
        <w:t> </w:t>
      </w:r>
      <w:r>
        <w:rPr>
          <w:sz w:val="24"/>
        </w:rPr>
        <w:t>a</w:t>
      </w:r>
      <w:r>
        <w:rPr>
          <w:spacing w:val="-6"/>
          <w:sz w:val="24"/>
        </w:rPr>
        <w:t> </w:t>
      </w:r>
      <w:r>
        <w:rPr>
          <w:sz w:val="24"/>
        </w:rPr>
        <w:t>home</w:t>
      </w:r>
      <w:r>
        <w:rPr>
          <w:spacing w:val="-4"/>
          <w:sz w:val="24"/>
        </w:rPr>
        <w:t> </w:t>
      </w:r>
      <w:r>
        <w:rPr>
          <w:sz w:val="24"/>
        </w:rPr>
        <w:t>and</w:t>
      </w:r>
      <w:r>
        <w:rPr>
          <w:spacing w:val="-5"/>
          <w:sz w:val="24"/>
        </w:rPr>
        <w:t> </w:t>
      </w:r>
      <w:r>
        <w:rPr>
          <w:sz w:val="24"/>
        </w:rPr>
        <w:t>community based waiver the member is enrolled in.</w:t>
      </w:r>
    </w:p>
    <w:p>
      <w:pPr>
        <w:pStyle w:val="ListParagraph"/>
        <w:numPr>
          <w:ilvl w:val="0"/>
          <w:numId w:val="33"/>
        </w:numPr>
        <w:tabs>
          <w:tab w:pos="2851" w:val="left" w:leader="none"/>
        </w:tabs>
        <w:spacing w:line="240" w:lineRule="auto" w:before="120" w:after="0"/>
        <w:ind w:left="2851" w:right="0" w:hanging="360"/>
        <w:jc w:val="left"/>
        <w:rPr>
          <w:sz w:val="24"/>
        </w:rPr>
      </w:pPr>
      <w:bookmarkStart w:name="3. Must be consistent with and documente" w:id="540"/>
      <w:bookmarkEnd w:id="540"/>
      <w:r>
        <w:rPr/>
      </w:r>
      <w:r>
        <w:rPr>
          <w:sz w:val="24"/>
        </w:rPr>
        <w:t>Must</w:t>
      </w:r>
      <w:r>
        <w:rPr>
          <w:spacing w:val="-2"/>
          <w:sz w:val="24"/>
        </w:rPr>
        <w:t> </w:t>
      </w:r>
      <w:r>
        <w:rPr>
          <w:sz w:val="24"/>
        </w:rPr>
        <w:t>be</w:t>
      </w:r>
      <w:r>
        <w:rPr>
          <w:spacing w:val="-2"/>
          <w:sz w:val="24"/>
        </w:rPr>
        <w:t> </w:t>
      </w:r>
      <w:r>
        <w:rPr>
          <w:sz w:val="24"/>
        </w:rPr>
        <w:t>consistent</w:t>
      </w:r>
      <w:r>
        <w:rPr>
          <w:spacing w:val="-2"/>
          <w:sz w:val="24"/>
        </w:rPr>
        <w:t> </w:t>
      </w:r>
      <w:r>
        <w:rPr>
          <w:sz w:val="24"/>
        </w:rPr>
        <w:t>with</w:t>
      </w:r>
      <w:r>
        <w:rPr>
          <w:spacing w:val="-1"/>
          <w:sz w:val="24"/>
        </w:rPr>
        <w:t> </w:t>
      </w:r>
      <w:r>
        <w:rPr>
          <w:sz w:val="24"/>
        </w:rPr>
        <w:t>and</w:t>
      </w:r>
      <w:r>
        <w:rPr>
          <w:spacing w:val="-2"/>
          <w:sz w:val="24"/>
        </w:rPr>
        <w:t> </w:t>
      </w:r>
      <w:r>
        <w:rPr>
          <w:sz w:val="24"/>
        </w:rPr>
        <w:t>documented</w:t>
      </w:r>
      <w:r>
        <w:rPr>
          <w:spacing w:val="-1"/>
          <w:sz w:val="24"/>
        </w:rPr>
        <w:t> </w:t>
      </w:r>
      <w:r>
        <w:rPr>
          <w:sz w:val="24"/>
        </w:rPr>
        <w:t>in</w:t>
      </w:r>
      <w:r>
        <w:rPr>
          <w:spacing w:val="-2"/>
          <w:sz w:val="24"/>
        </w:rPr>
        <w:t> </w:t>
      </w:r>
      <w:r>
        <w:rPr>
          <w:sz w:val="24"/>
        </w:rPr>
        <w:t>member’s</w:t>
      </w:r>
      <w:r>
        <w:rPr>
          <w:spacing w:val="-1"/>
          <w:sz w:val="24"/>
        </w:rPr>
        <w:t> </w:t>
      </w:r>
      <w:r>
        <w:rPr>
          <w:sz w:val="24"/>
        </w:rPr>
        <w:t>care</w:t>
      </w:r>
      <w:r>
        <w:rPr>
          <w:spacing w:val="-2"/>
          <w:sz w:val="24"/>
        </w:rPr>
        <w:t> </w:t>
      </w:r>
      <w:r>
        <w:rPr>
          <w:spacing w:val="-4"/>
          <w:sz w:val="24"/>
        </w:rPr>
        <w:t>plan</w:t>
      </w:r>
    </w:p>
    <w:p>
      <w:pPr>
        <w:pStyle w:val="ListParagraph"/>
        <w:numPr>
          <w:ilvl w:val="0"/>
          <w:numId w:val="33"/>
        </w:numPr>
        <w:tabs>
          <w:tab w:pos="2851" w:val="left" w:leader="none"/>
        </w:tabs>
        <w:spacing w:line="240" w:lineRule="auto" w:before="120" w:after="0"/>
        <w:ind w:left="2851" w:right="1926" w:hanging="360"/>
        <w:jc w:val="left"/>
        <w:rPr>
          <w:sz w:val="24"/>
        </w:rPr>
      </w:pPr>
      <w:bookmarkStart w:name="4. Determined to be cost effective servi" w:id="541"/>
      <w:bookmarkEnd w:id="541"/>
      <w:r>
        <w:rPr/>
      </w:r>
      <w:r>
        <w:rPr>
          <w:sz w:val="24"/>
        </w:rPr>
        <w:t>Determined</w:t>
      </w:r>
      <w:r>
        <w:rPr>
          <w:spacing w:val="-4"/>
          <w:sz w:val="24"/>
        </w:rPr>
        <w:t> </w:t>
      </w:r>
      <w:r>
        <w:rPr>
          <w:sz w:val="24"/>
        </w:rPr>
        <w:t>to</w:t>
      </w:r>
      <w:r>
        <w:rPr>
          <w:spacing w:val="-4"/>
          <w:sz w:val="24"/>
        </w:rPr>
        <w:t> </w:t>
      </w:r>
      <w:r>
        <w:rPr>
          <w:sz w:val="24"/>
        </w:rPr>
        <w:t>be</w:t>
      </w:r>
      <w:r>
        <w:rPr>
          <w:spacing w:val="-3"/>
          <w:sz w:val="24"/>
        </w:rPr>
        <w:t> </w:t>
      </w:r>
      <w:r>
        <w:rPr>
          <w:sz w:val="24"/>
        </w:rPr>
        <w:t>cost</w:t>
      </w:r>
      <w:r>
        <w:rPr>
          <w:spacing w:val="-4"/>
          <w:sz w:val="24"/>
        </w:rPr>
        <w:t> </w:t>
      </w:r>
      <w:r>
        <w:rPr>
          <w:sz w:val="24"/>
        </w:rPr>
        <w:t>effective</w:t>
      </w:r>
      <w:r>
        <w:rPr>
          <w:spacing w:val="-5"/>
          <w:sz w:val="24"/>
        </w:rPr>
        <w:t> </w:t>
      </w:r>
      <w:r>
        <w:rPr>
          <w:sz w:val="24"/>
        </w:rPr>
        <w:t>services</w:t>
      </w:r>
      <w:r>
        <w:rPr>
          <w:spacing w:val="-4"/>
          <w:sz w:val="24"/>
        </w:rPr>
        <w:t> </w:t>
      </w:r>
      <w:r>
        <w:rPr>
          <w:sz w:val="24"/>
        </w:rPr>
        <w:t>that</w:t>
      </w:r>
      <w:r>
        <w:rPr>
          <w:spacing w:val="-4"/>
          <w:sz w:val="24"/>
        </w:rPr>
        <w:t> </w:t>
      </w:r>
      <w:r>
        <w:rPr>
          <w:sz w:val="24"/>
        </w:rPr>
        <w:t>are</w:t>
      </w:r>
      <w:r>
        <w:rPr>
          <w:spacing w:val="-5"/>
          <w:sz w:val="24"/>
        </w:rPr>
        <w:t> </w:t>
      </w:r>
      <w:r>
        <w:rPr>
          <w:sz w:val="24"/>
        </w:rPr>
        <w:t>informed</w:t>
      </w:r>
      <w:r>
        <w:rPr>
          <w:spacing w:val="-4"/>
          <w:sz w:val="24"/>
        </w:rPr>
        <w:t> </w:t>
      </w:r>
      <w:r>
        <w:rPr>
          <w:sz w:val="24"/>
        </w:rPr>
        <w:t>by evidence that the service is related to health outcomes.</w:t>
      </w:r>
    </w:p>
    <w:p>
      <w:pPr>
        <w:pStyle w:val="ListParagraph"/>
        <w:numPr>
          <w:ilvl w:val="0"/>
          <w:numId w:val="33"/>
        </w:numPr>
        <w:tabs>
          <w:tab w:pos="2851" w:val="left" w:leader="none"/>
        </w:tabs>
        <w:spacing w:line="240" w:lineRule="auto" w:before="120" w:after="0"/>
        <w:ind w:left="2851" w:right="1409" w:hanging="360"/>
        <w:jc w:val="both"/>
        <w:rPr>
          <w:sz w:val="24"/>
        </w:rPr>
      </w:pPr>
      <w:bookmarkStart w:name="5. May include, but are not limited to, " w:id="542"/>
      <w:bookmarkEnd w:id="542"/>
      <w:r>
        <w:rPr/>
      </w:r>
      <w:r>
        <w:rPr>
          <w:sz w:val="24"/>
        </w:rPr>
        <w:t>May</w:t>
      </w:r>
      <w:r>
        <w:rPr>
          <w:spacing w:val="-5"/>
          <w:sz w:val="24"/>
        </w:rPr>
        <w:t> </w:t>
      </w:r>
      <w:r>
        <w:rPr>
          <w:sz w:val="24"/>
        </w:rPr>
        <w:t>include, but are</w:t>
      </w:r>
      <w:r>
        <w:rPr>
          <w:spacing w:val="-1"/>
          <w:sz w:val="24"/>
        </w:rPr>
        <w:t> </w:t>
      </w:r>
      <w:r>
        <w:rPr>
          <w:sz w:val="24"/>
        </w:rPr>
        <w:t>not limited to, classes, programs, equipment, appliances</w:t>
      </w:r>
      <w:r>
        <w:rPr>
          <w:spacing w:val="-4"/>
          <w:sz w:val="24"/>
        </w:rPr>
        <w:t> </w:t>
      </w:r>
      <w:r>
        <w:rPr>
          <w:sz w:val="24"/>
        </w:rPr>
        <w:t>or</w:t>
      </w:r>
      <w:r>
        <w:rPr>
          <w:spacing w:val="-5"/>
          <w:sz w:val="24"/>
        </w:rPr>
        <w:t> </w:t>
      </w:r>
      <w:r>
        <w:rPr>
          <w:sz w:val="24"/>
        </w:rPr>
        <w:t>special</w:t>
      </w:r>
      <w:r>
        <w:rPr>
          <w:spacing w:val="-4"/>
          <w:sz w:val="24"/>
        </w:rPr>
        <w:t> </w:t>
      </w:r>
      <w:r>
        <w:rPr>
          <w:sz w:val="24"/>
        </w:rPr>
        <w:t>clothing</w:t>
      </w:r>
      <w:r>
        <w:rPr>
          <w:spacing w:val="-7"/>
          <w:sz w:val="24"/>
        </w:rPr>
        <w:t> </w:t>
      </w:r>
      <w:r>
        <w:rPr>
          <w:sz w:val="24"/>
        </w:rPr>
        <w:t>or</w:t>
      </w:r>
      <w:r>
        <w:rPr>
          <w:spacing w:val="-5"/>
          <w:sz w:val="24"/>
        </w:rPr>
        <w:t> </w:t>
      </w:r>
      <w:r>
        <w:rPr>
          <w:sz w:val="24"/>
        </w:rPr>
        <w:t>footwear</w:t>
      </w:r>
      <w:r>
        <w:rPr>
          <w:spacing w:val="-5"/>
          <w:sz w:val="24"/>
        </w:rPr>
        <w:t> </w:t>
      </w:r>
      <w:r>
        <w:rPr>
          <w:sz w:val="24"/>
        </w:rPr>
        <w:t>likely</w:t>
      </w:r>
      <w:r>
        <w:rPr>
          <w:spacing w:val="-8"/>
          <w:sz w:val="24"/>
        </w:rPr>
        <w:t> </w:t>
      </w:r>
      <w:r>
        <w:rPr>
          <w:sz w:val="24"/>
        </w:rPr>
        <w:t>to</w:t>
      </w:r>
      <w:r>
        <w:rPr>
          <w:spacing w:val="-2"/>
          <w:sz w:val="24"/>
        </w:rPr>
        <w:t> </w:t>
      </w:r>
      <w:r>
        <w:rPr>
          <w:sz w:val="24"/>
        </w:rPr>
        <w:t>improve</w:t>
      </w:r>
      <w:r>
        <w:rPr>
          <w:spacing w:val="-5"/>
          <w:sz w:val="24"/>
        </w:rPr>
        <w:t> </w:t>
      </w:r>
      <w:r>
        <w:rPr>
          <w:sz w:val="24"/>
        </w:rPr>
        <w:t>health outcomes, prevent or delay health deterioration.</w:t>
      </w:r>
    </w:p>
    <w:p>
      <w:pPr>
        <w:pStyle w:val="ListParagraph"/>
        <w:numPr>
          <w:ilvl w:val="0"/>
          <w:numId w:val="33"/>
        </w:numPr>
        <w:tabs>
          <w:tab w:pos="2851" w:val="left" w:leader="none"/>
        </w:tabs>
        <w:spacing w:line="240" w:lineRule="auto" w:before="120" w:after="0"/>
        <w:ind w:left="2851" w:right="0" w:hanging="360"/>
        <w:jc w:val="both"/>
        <w:rPr>
          <w:sz w:val="24"/>
        </w:rPr>
      </w:pPr>
      <w:bookmarkStart w:name="6. Other criteria established by MassHea" w:id="543"/>
      <w:bookmarkEnd w:id="543"/>
      <w:r>
        <w:rPr/>
      </w:r>
      <w:r>
        <w:rPr>
          <w:sz w:val="24"/>
        </w:rPr>
        <w:t>Other</w:t>
      </w:r>
      <w:r>
        <w:rPr>
          <w:spacing w:val="-2"/>
          <w:sz w:val="24"/>
        </w:rPr>
        <w:t> </w:t>
      </w:r>
      <w:r>
        <w:rPr>
          <w:sz w:val="24"/>
        </w:rPr>
        <w:t>criteria</w:t>
      </w:r>
      <w:r>
        <w:rPr>
          <w:spacing w:val="-2"/>
          <w:sz w:val="24"/>
        </w:rPr>
        <w:t> </w:t>
      </w:r>
      <w:r>
        <w:rPr>
          <w:sz w:val="24"/>
        </w:rPr>
        <w:t>established</w:t>
      </w:r>
      <w:r>
        <w:rPr>
          <w:spacing w:val="1"/>
          <w:sz w:val="24"/>
        </w:rPr>
        <w:t> </w:t>
      </w:r>
      <w:r>
        <w:rPr>
          <w:sz w:val="24"/>
        </w:rPr>
        <w:t>by</w:t>
      </w:r>
      <w:r>
        <w:rPr>
          <w:spacing w:val="-6"/>
          <w:sz w:val="24"/>
        </w:rPr>
        <w:t> </w:t>
      </w:r>
      <w:r>
        <w:rPr>
          <w:sz w:val="24"/>
        </w:rPr>
        <w:t>MassHealth</w:t>
      </w:r>
      <w:r>
        <w:rPr>
          <w:spacing w:val="-1"/>
          <w:sz w:val="24"/>
        </w:rPr>
        <w:t> </w:t>
      </w:r>
      <w:r>
        <w:rPr>
          <w:sz w:val="24"/>
        </w:rPr>
        <w:t>and</w:t>
      </w:r>
      <w:r>
        <w:rPr>
          <w:spacing w:val="1"/>
          <w:sz w:val="24"/>
        </w:rPr>
        <w:t> </w:t>
      </w:r>
      <w:r>
        <w:rPr>
          <w:sz w:val="24"/>
        </w:rPr>
        <w:t>approved</w:t>
      </w:r>
      <w:r>
        <w:rPr>
          <w:spacing w:val="-1"/>
          <w:sz w:val="24"/>
        </w:rPr>
        <w:t> </w:t>
      </w:r>
      <w:r>
        <w:rPr>
          <w:sz w:val="24"/>
        </w:rPr>
        <w:t>by</w:t>
      </w:r>
      <w:r>
        <w:rPr>
          <w:spacing w:val="-5"/>
          <w:sz w:val="24"/>
        </w:rPr>
        <w:t> </w:t>
      </w:r>
      <w:r>
        <w:rPr>
          <w:spacing w:val="-4"/>
          <w:sz w:val="24"/>
        </w:rPr>
        <w:t>CMS.</w:t>
      </w:r>
    </w:p>
    <w:p>
      <w:pPr>
        <w:pStyle w:val="BodyText"/>
        <w:spacing w:before="199"/>
        <w:ind w:left="1411" w:right="1059"/>
      </w:pPr>
      <w:r>
        <w:rPr/>
        <w:drawing>
          <wp:anchor distT="0" distB="0" distL="0" distR="0" allowOverlap="1" layoutInCell="1" locked="0" behindDoc="0" simplePos="0" relativeHeight="15899648">
            <wp:simplePos x="0" y="0"/>
            <wp:positionH relativeFrom="page">
              <wp:posOffset>1431036</wp:posOffset>
            </wp:positionH>
            <wp:positionV relativeFrom="paragraph">
              <wp:posOffset>193968</wp:posOffset>
            </wp:positionV>
            <wp:extent cx="96011" cy="80771"/>
            <wp:effectExtent l="0" t="0" r="0" b="0"/>
            <wp:wrapNone/>
            <wp:docPr id="345" name="Image 345"/>
            <wp:cNvGraphicFramePr>
              <a:graphicFrameLocks/>
            </wp:cNvGraphicFramePr>
            <a:graphic>
              <a:graphicData uri="http://schemas.openxmlformats.org/drawingml/2006/picture">
                <pic:pic>
                  <pic:nvPicPr>
                    <pic:cNvPr id="345" name="Image 345"/>
                    <pic:cNvPicPr/>
                  </pic:nvPicPr>
                  <pic:blipFill>
                    <a:blip r:embed="rId163" cstate="print"/>
                    <a:stretch>
                      <a:fillRect/>
                    </a:stretch>
                  </pic:blipFill>
                  <pic:spPr>
                    <a:xfrm>
                      <a:off x="0" y="0"/>
                      <a:ext cx="96011" cy="80771"/>
                    </a:xfrm>
                    <a:prstGeom prst="rect">
                      <a:avLst/>
                    </a:prstGeom>
                  </pic:spPr>
                </pic:pic>
              </a:graphicData>
            </a:graphic>
          </wp:anchor>
        </w:drawing>
      </w:r>
      <w:bookmarkStart w:name="c. Limitations on FFP for DSRIP Flexible" w:id="544"/>
      <w:bookmarkEnd w:id="544"/>
      <w:r>
        <w:rPr/>
      </w:r>
      <w:r>
        <w:rPr>
          <w:b/>
        </w:rPr>
        <w:t>Limitations on FFP for DSRIP Flexible Services. </w:t>
      </w:r>
      <w:r>
        <w:rPr/>
        <w:t>The state must provide detailed information, as part of</w:t>
      </w:r>
      <w:r>
        <w:rPr>
          <w:spacing w:val="-25"/>
        </w:rPr>
        <w:t> </w:t>
      </w:r>
      <w:r>
        <w:rPr/>
        <w:t>its quarterly report, on the exact flexible service, number and dollar</w:t>
      </w:r>
      <w:r>
        <w:rPr>
          <w:spacing w:val="-2"/>
        </w:rPr>
        <w:t> </w:t>
      </w:r>
      <w:r>
        <w:rPr/>
        <w:t>amounts</w:t>
      </w:r>
      <w:r>
        <w:rPr>
          <w:spacing w:val="-1"/>
        </w:rPr>
        <w:t> </w:t>
      </w:r>
      <w:r>
        <w:rPr/>
        <w:t>provided by</w:t>
      </w:r>
      <w:r>
        <w:rPr>
          <w:spacing w:val="-6"/>
        </w:rPr>
        <w:t> </w:t>
      </w:r>
      <w:r>
        <w:rPr/>
        <w:t>each</w:t>
      </w:r>
      <w:r>
        <w:rPr>
          <w:spacing w:val="-1"/>
        </w:rPr>
        <w:t> </w:t>
      </w:r>
      <w:r>
        <w:rPr/>
        <w:t>ACO</w:t>
      </w:r>
      <w:r>
        <w:rPr>
          <w:spacing w:val="-2"/>
        </w:rPr>
        <w:t> </w:t>
      </w:r>
      <w:r>
        <w:rPr/>
        <w:t>during</w:t>
      </w:r>
      <w:r>
        <w:rPr>
          <w:spacing w:val="-4"/>
        </w:rPr>
        <w:t> </w:t>
      </w:r>
      <w:r>
        <w:rPr/>
        <w:t>the quarter. If during</w:t>
      </w:r>
      <w:r>
        <w:rPr>
          <w:spacing w:val="-4"/>
        </w:rPr>
        <w:t> </w:t>
      </w:r>
      <w:r>
        <w:rPr/>
        <w:t>the</w:t>
      </w:r>
      <w:r>
        <w:rPr>
          <w:spacing w:val="-2"/>
        </w:rPr>
        <w:t> </w:t>
      </w:r>
      <w:r>
        <w:rPr/>
        <w:t>course</w:t>
      </w:r>
      <w:r>
        <w:rPr>
          <w:spacing w:val="-2"/>
        </w:rPr>
        <w:t> </w:t>
      </w:r>
      <w:r>
        <w:rPr/>
        <w:t>of</w:t>
      </w:r>
      <w:r>
        <w:rPr>
          <w:spacing w:val="-2"/>
        </w:rPr>
        <w:t> </w:t>
      </w:r>
      <w:r>
        <w:rPr/>
        <w:t>the demonstration CMS finds that flexible services provided by an ACO are outside of the</w:t>
      </w:r>
      <w:r>
        <w:rPr>
          <w:spacing w:val="-4"/>
        </w:rPr>
        <w:t> </w:t>
      </w:r>
      <w:r>
        <w:rPr/>
        <w:t>scope</w:t>
      </w:r>
      <w:r>
        <w:rPr>
          <w:spacing w:val="-4"/>
        </w:rPr>
        <w:t> </w:t>
      </w:r>
      <w:r>
        <w:rPr/>
        <w:t>of</w:t>
      </w:r>
      <w:r>
        <w:rPr>
          <w:spacing w:val="-4"/>
        </w:rPr>
        <w:t> </w:t>
      </w:r>
      <w:r>
        <w:rPr/>
        <w:t>the</w:t>
      </w:r>
      <w:r>
        <w:rPr>
          <w:spacing w:val="-4"/>
        </w:rPr>
        <w:t> </w:t>
      </w:r>
      <w:r>
        <w:rPr/>
        <w:t>STCs</w:t>
      </w:r>
      <w:r>
        <w:rPr>
          <w:spacing w:val="-3"/>
        </w:rPr>
        <w:t> </w:t>
      </w:r>
      <w:r>
        <w:rPr/>
        <w:t>or</w:t>
      </w:r>
      <w:r>
        <w:rPr>
          <w:spacing w:val="-2"/>
        </w:rPr>
        <w:t> </w:t>
      </w:r>
      <w:r>
        <w:rPr/>
        <w:t>other</w:t>
      </w:r>
      <w:r>
        <w:rPr>
          <w:spacing w:val="-4"/>
        </w:rPr>
        <w:t> </w:t>
      </w:r>
      <w:r>
        <w:rPr/>
        <w:t>CMS</w:t>
      </w:r>
      <w:r>
        <w:rPr>
          <w:spacing w:val="-3"/>
        </w:rPr>
        <w:t> </w:t>
      </w:r>
      <w:r>
        <w:rPr/>
        <w:t>federal</w:t>
      </w:r>
      <w:r>
        <w:rPr>
          <w:spacing w:val="-3"/>
        </w:rPr>
        <w:t> </w:t>
      </w:r>
      <w:r>
        <w:rPr/>
        <w:t>policy</w:t>
      </w:r>
      <w:r>
        <w:rPr>
          <w:spacing w:val="-6"/>
        </w:rPr>
        <w:t> </w:t>
      </w:r>
      <w:r>
        <w:rPr/>
        <w:t>guidance,</w:t>
      </w:r>
      <w:r>
        <w:rPr>
          <w:spacing w:val="-3"/>
        </w:rPr>
        <w:t> </w:t>
      </w:r>
      <w:r>
        <w:rPr/>
        <w:t>CMS</w:t>
      </w:r>
      <w:r>
        <w:rPr>
          <w:spacing w:val="-3"/>
        </w:rPr>
        <w:t> </w:t>
      </w:r>
      <w:r>
        <w:rPr/>
        <w:t>reserves</w:t>
      </w:r>
      <w:r>
        <w:rPr>
          <w:spacing w:val="-1"/>
        </w:rPr>
        <w:t> </w:t>
      </w:r>
      <w:r>
        <w:rPr/>
        <w:t>the</w:t>
      </w:r>
      <w:r>
        <w:rPr>
          <w:spacing w:val="-4"/>
        </w:rPr>
        <w:t> </w:t>
      </w:r>
      <w:r>
        <w:rPr/>
        <w:t>right to modify and/or terminate the expenditure authority for flexible services only.</w:t>
      </w:r>
    </w:p>
    <w:p>
      <w:pPr>
        <w:pStyle w:val="BodyText"/>
        <w:spacing w:before="10"/>
        <w:rPr>
          <w:sz w:val="20"/>
        </w:rPr>
      </w:pPr>
    </w:p>
    <w:p>
      <w:pPr>
        <w:spacing w:before="0"/>
        <w:ind w:left="1411" w:right="1059" w:firstLine="0"/>
        <w:jc w:val="left"/>
        <w:rPr>
          <w:sz w:val="24"/>
        </w:rPr>
      </w:pPr>
      <w:r>
        <w:rPr/>
        <w:drawing>
          <wp:anchor distT="0" distB="0" distL="0" distR="0" allowOverlap="1" layoutInCell="1" locked="0" behindDoc="0" simplePos="0" relativeHeight="15900160">
            <wp:simplePos x="0" y="0"/>
            <wp:positionH relativeFrom="page">
              <wp:posOffset>1431036</wp:posOffset>
            </wp:positionH>
            <wp:positionV relativeFrom="paragraph">
              <wp:posOffset>32551</wp:posOffset>
            </wp:positionV>
            <wp:extent cx="105155" cy="115823"/>
            <wp:effectExtent l="0" t="0" r="0" b="0"/>
            <wp:wrapNone/>
            <wp:docPr id="346" name="Image 346"/>
            <wp:cNvGraphicFramePr>
              <a:graphicFrameLocks/>
            </wp:cNvGraphicFramePr>
            <a:graphic>
              <a:graphicData uri="http://schemas.openxmlformats.org/drawingml/2006/picture">
                <pic:pic>
                  <pic:nvPicPr>
                    <pic:cNvPr id="346" name="Image 346"/>
                    <pic:cNvPicPr/>
                  </pic:nvPicPr>
                  <pic:blipFill>
                    <a:blip r:embed="rId36" cstate="print"/>
                    <a:stretch>
                      <a:fillRect/>
                    </a:stretch>
                  </pic:blipFill>
                  <pic:spPr>
                    <a:xfrm>
                      <a:off x="0" y="0"/>
                      <a:ext cx="105155" cy="115823"/>
                    </a:xfrm>
                    <a:prstGeom prst="rect">
                      <a:avLst/>
                    </a:prstGeom>
                  </pic:spPr>
                </pic:pic>
              </a:graphicData>
            </a:graphic>
          </wp:anchor>
        </w:drawing>
      </w:r>
      <w:bookmarkStart w:name="d. Additional Limitations on DSRIP Flexi" w:id="545"/>
      <w:bookmarkEnd w:id="545"/>
      <w:r>
        <w:rPr/>
      </w:r>
      <w:r>
        <w:rPr>
          <w:b/>
          <w:sz w:val="24"/>
        </w:rPr>
        <w:t>Additional</w:t>
      </w:r>
      <w:r>
        <w:rPr>
          <w:b/>
          <w:spacing w:val="-6"/>
          <w:sz w:val="24"/>
        </w:rPr>
        <w:t> </w:t>
      </w:r>
      <w:r>
        <w:rPr>
          <w:b/>
          <w:sz w:val="24"/>
        </w:rPr>
        <w:t>Limitations</w:t>
      </w:r>
      <w:r>
        <w:rPr>
          <w:b/>
          <w:spacing w:val="-4"/>
          <w:sz w:val="24"/>
        </w:rPr>
        <w:t> </w:t>
      </w:r>
      <w:r>
        <w:rPr>
          <w:b/>
          <w:sz w:val="24"/>
        </w:rPr>
        <w:t>on</w:t>
      </w:r>
      <w:r>
        <w:rPr>
          <w:b/>
          <w:spacing w:val="-3"/>
          <w:sz w:val="24"/>
        </w:rPr>
        <w:t> </w:t>
      </w:r>
      <w:r>
        <w:rPr>
          <w:b/>
          <w:sz w:val="24"/>
        </w:rPr>
        <w:t>DSRIP</w:t>
      </w:r>
      <w:r>
        <w:rPr>
          <w:b/>
          <w:spacing w:val="-5"/>
          <w:sz w:val="24"/>
        </w:rPr>
        <w:t> </w:t>
      </w:r>
      <w:r>
        <w:rPr>
          <w:b/>
          <w:sz w:val="24"/>
        </w:rPr>
        <w:t>Flexible</w:t>
      </w:r>
      <w:r>
        <w:rPr>
          <w:b/>
          <w:spacing w:val="-5"/>
          <w:sz w:val="24"/>
        </w:rPr>
        <w:t> </w:t>
      </w:r>
      <w:r>
        <w:rPr>
          <w:b/>
          <w:sz w:val="24"/>
        </w:rPr>
        <w:t>Services.</w:t>
      </w:r>
      <w:r>
        <w:rPr>
          <w:b/>
          <w:spacing w:val="-4"/>
          <w:sz w:val="24"/>
        </w:rPr>
        <w:t> </w:t>
      </w:r>
      <w:r>
        <w:rPr>
          <w:sz w:val="24"/>
        </w:rPr>
        <w:t>Flexible</w:t>
      </w:r>
      <w:r>
        <w:rPr>
          <w:spacing w:val="-5"/>
          <w:sz w:val="24"/>
        </w:rPr>
        <w:t> </w:t>
      </w:r>
      <w:r>
        <w:rPr>
          <w:sz w:val="24"/>
        </w:rPr>
        <w:t>service</w:t>
      </w:r>
      <w:r>
        <w:rPr>
          <w:spacing w:val="-5"/>
          <w:sz w:val="24"/>
        </w:rPr>
        <w:t> </w:t>
      </w:r>
      <w:r>
        <w:rPr>
          <w:sz w:val="24"/>
        </w:rPr>
        <w:t>dollars</w:t>
      </w:r>
      <w:r>
        <w:rPr>
          <w:spacing w:val="-4"/>
          <w:sz w:val="24"/>
        </w:rPr>
        <w:t> </w:t>
      </w:r>
      <w:r>
        <w:rPr>
          <w:sz w:val="24"/>
        </w:rPr>
        <w:t>may not be used to fund or pay for the following:</w:t>
      </w:r>
    </w:p>
    <w:p>
      <w:pPr>
        <w:pStyle w:val="BodyText"/>
        <w:spacing w:before="10"/>
        <w:rPr>
          <w:sz w:val="20"/>
        </w:rPr>
      </w:pPr>
    </w:p>
    <w:p>
      <w:pPr>
        <w:pStyle w:val="BodyText"/>
        <w:ind w:left="2040" w:right="1059"/>
      </w:pPr>
      <w:r>
        <w:rPr/>
        <w:drawing>
          <wp:anchor distT="0" distB="0" distL="0" distR="0" allowOverlap="1" layoutInCell="1" locked="0" behindDoc="0" simplePos="0" relativeHeight="15900672">
            <wp:simplePos x="0" y="0"/>
            <wp:positionH relativeFrom="page">
              <wp:posOffset>1862327</wp:posOffset>
            </wp:positionH>
            <wp:positionV relativeFrom="paragraph">
              <wp:posOffset>32551</wp:posOffset>
            </wp:positionV>
            <wp:extent cx="73151" cy="115823"/>
            <wp:effectExtent l="0" t="0" r="0" b="0"/>
            <wp:wrapNone/>
            <wp:docPr id="347" name="Image 347"/>
            <wp:cNvGraphicFramePr>
              <a:graphicFrameLocks/>
            </wp:cNvGraphicFramePr>
            <a:graphic>
              <a:graphicData uri="http://schemas.openxmlformats.org/drawingml/2006/picture">
                <pic:pic>
                  <pic:nvPicPr>
                    <pic:cNvPr id="347" name="Image 347"/>
                    <pic:cNvPicPr/>
                  </pic:nvPicPr>
                  <pic:blipFill>
                    <a:blip r:embed="rId126" cstate="print"/>
                    <a:stretch>
                      <a:fillRect/>
                    </a:stretch>
                  </pic:blipFill>
                  <pic:spPr>
                    <a:xfrm>
                      <a:off x="0" y="0"/>
                      <a:ext cx="73151" cy="115823"/>
                    </a:xfrm>
                    <a:prstGeom prst="rect">
                      <a:avLst/>
                    </a:prstGeom>
                  </pic:spPr>
                </pic:pic>
              </a:graphicData>
            </a:graphic>
          </wp:anchor>
        </w:drawing>
      </w:r>
      <w:bookmarkStart w:name="i. State Plan, 1115 demonstration servic" w:id="546"/>
      <w:bookmarkEnd w:id="546"/>
      <w:r>
        <w:rPr/>
      </w:r>
      <w:r>
        <w:rPr/>
        <w:t>State</w:t>
      </w:r>
      <w:r>
        <w:rPr>
          <w:spacing w:val="-5"/>
        </w:rPr>
        <w:t> </w:t>
      </w:r>
      <w:r>
        <w:rPr/>
        <w:t>Plan,</w:t>
      </w:r>
      <w:r>
        <w:rPr>
          <w:spacing w:val="-4"/>
        </w:rPr>
        <w:t> </w:t>
      </w:r>
      <w:r>
        <w:rPr/>
        <w:t>1115</w:t>
      </w:r>
      <w:r>
        <w:rPr>
          <w:spacing w:val="-4"/>
        </w:rPr>
        <w:t> </w:t>
      </w:r>
      <w:r>
        <w:rPr/>
        <w:t>demonstration</w:t>
      </w:r>
      <w:r>
        <w:rPr>
          <w:spacing w:val="-4"/>
        </w:rPr>
        <w:t> </w:t>
      </w:r>
      <w:r>
        <w:rPr/>
        <w:t>services,</w:t>
      </w:r>
      <w:r>
        <w:rPr>
          <w:spacing w:val="-4"/>
        </w:rPr>
        <w:t> </w:t>
      </w:r>
      <w:r>
        <w:rPr/>
        <w:t>or</w:t>
      </w:r>
      <w:r>
        <w:rPr>
          <w:spacing w:val="-5"/>
        </w:rPr>
        <w:t> </w:t>
      </w:r>
      <w:r>
        <w:rPr/>
        <w:t>services</w:t>
      </w:r>
      <w:r>
        <w:rPr>
          <w:spacing w:val="-4"/>
        </w:rPr>
        <w:t> </w:t>
      </w:r>
      <w:r>
        <w:rPr/>
        <w:t>available</w:t>
      </w:r>
      <w:r>
        <w:rPr>
          <w:spacing w:val="-5"/>
        </w:rPr>
        <w:t> </w:t>
      </w:r>
      <w:r>
        <w:rPr/>
        <w:t>through</w:t>
      </w:r>
      <w:r>
        <w:rPr>
          <w:spacing w:val="-4"/>
        </w:rPr>
        <w:t> </w:t>
      </w:r>
      <w:r>
        <w:rPr/>
        <w:t>a</w:t>
      </w:r>
      <w:r>
        <w:rPr>
          <w:spacing w:val="-3"/>
        </w:rPr>
        <w:t> </w:t>
      </w:r>
      <w:r>
        <w:rPr/>
        <w:t>Home and Community Based waiver in which the member is enrolled</w:t>
      </w:r>
    </w:p>
    <w:p>
      <w:pPr>
        <w:pStyle w:val="BodyText"/>
        <w:spacing w:before="159"/>
        <w:ind w:left="2040"/>
      </w:pPr>
      <w:r>
        <w:rPr/>
        <w:drawing>
          <wp:anchor distT="0" distB="0" distL="0" distR="0" allowOverlap="1" layoutInCell="1" locked="0" behindDoc="0" simplePos="0" relativeHeight="15901184">
            <wp:simplePos x="0" y="0"/>
            <wp:positionH relativeFrom="page">
              <wp:posOffset>1819655</wp:posOffset>
            </wp:positionH>
            <wp:positionV relativeFrom="paragraph">
              <wp:posOffset>133516</wp:posOffset>
            </wp:positionV>
            <wp:extent cx="115823" cy="115823"/>
            <wp:effectExtent l="0" t="0" r="0" b="0"/>
            <wp:wrapNone/>
            <wp:docPr id="348" name="Image 348"/>
            <wp:cNvGraphicFramePr>
              <a:graphicFrameLocks/>
            </wp:cNvGraphicFramePr>
            <a:graphic>
              <a:graphicData uri="http://schemas.openxmlformats.org/drawingml/2006/picture">
                <pic:pic>
                  <pic:nvPicPr>
                    <pic:cNvPr id="348" name="Image 348"/>
                    <pic:cNvPicPr/>
                  </pic:nvPicPr>
                  <pic:blipFill>
                    <a:blip r:embed="rId164" cstate="print"/>
                    <a:stretch>
                      <a:fillRect/>
                    </a:stretch>
                  </pic:blipFill>
                  <pic:spPr>
                    <a:xfrm>
                      <a:off x="0" y="0"/>
                      <a:ext cx="115823" cy="115823"/>
                    </a:xfrm>
                    <a:prstGeom prst="rect">
                      <a:avLst/>
                    </a:prstGeom>
                  </pic:spPr>
                </pic:pic>
              </a:graphicData>
            </a:graphic>
          </wp:anchor>
        </w:drawing>
      </w:r>
      <w:bookmarkStart w:name="ii. Services that a member is eligible t" w:id="547"/>
      <w:bookmarkEnd w:id="547"/>
      <w:r>
        <w:rPr/>
      </w:r>
      <w:r>
        <w:rPr/>
        <w:t>Services</w:t>
      </w:r>
      <w:r>
        <w:rPr>
          <w:spacing w:val="-4"/>
        </w:rPr>
        <w:t> </w:t>
      </w:r>
      <w:r>
        <w:rPr/>
        <w:t>that</w:t>
      </w:r>
      <w:r>
        <w:rPr>
          <w:spacing w:val="-1"/>
        </w:rPr>
        <w:t> </w:t>
      </w:r>
      <w:r>
        <w:rPr/>
        <w:t>a</w:t>
      </w:r>
      <w:r>
        <w:rPr>
          <w:spacing w:val="-2"/>
        </w:rPr>
        <w:t> </w:t>
      </w:r>
      <w:r>
        <w:rPr/>
        <w:t>member</w:t>
      </w:r>
      <w:r>
        <w:rPr>
          <w:spacing w:val="-3"/>
        </w:rPr>
        <w:t> </w:t>
      </w:r>
      <w:r>
        <w:rPr/>
        <w:t>is</w:t>
      </w:r>
      <w:r>
        <w:rPr>
          <w:spacing w:val="-1"/>
        </w:rPr>
        <w:t> </w:t>
      </w:r>
      <w:r>
        <w:rPr/>
        <w:t>eligible</w:t>
      </w:r>
      <w:r>
        <w:rPr>
          <w:spacing w:val="-2"/>
        </w:rPr>
        <w:t> </w:t>
      </w:r>
      <w:r>
        <w:rPr/>
        <w:t>to</w:t>
      </w:r>
      <w:r>
        <w:rPr>
          <w:spacing w:val="-1"/>
        </w:rPr>
        <w:t> </w:t>
      </w:r>
      <w:r>
        <w:rPr/>
        <w:t>receive</w:t>
      </w:r>
      <w:r>
        <w:rPr>
          <w:spacing w:val="-1"/>
        </w:rPr>
        <w:t> </w:t>
      </w:r>
      <w:r>
        <w:rPr/>
        <w:t>from</w:t>
      </w:r>
      <w:r>
        <w:rPr>
          <w:spacing w:val="1"/>
        </w:rPr>
        <w:t> </w:t>
      </w:r>
      <w:r>
        <w:rPr/>
        <w:t>another</w:t>
      </w:r>
      <w:r>
        <w:rPr>
          <w:spacing w:val="-2"/>
        </w:rPr>
        <w:t> </w:t>
      </w:r>
      <w:r>
        <w:rPr/>
        <w:t>state </w:t>
      </w:r>
      <w:r>
        <w:rPr>
          <w:spacing w:val="-2"/>
        </w:rPr>
        <w:t>agency</w:t>
      </w:r>
    </w:p>
    <w:p>
      <w:pPr>
        <w:pStyle w:val="BodyText"/>
        <w:spacing w:before="161"/>
        <w:ind w:left="2039" w:right="1141"/>
      </w:pPr>
      <w:r>
        <w:rPr/>
        <w:drawing>
          <wp:anchor distT="0" distB="0" distL="0" distR="0" allowOverlap="1" layoutInCell="1" locked="0" behindDoc="0" simplePos="0" relativeHeight="15901696">
            <wp:simplePos x="0" y="0"/>
            <wp:positionH relativeFrom="page">
              <wp:posOffset>1778507</wp:posOffset>
            </wp:positionH>
            <wp:positionV relativeFrom="paragraph">
              <wp:posOffset>134786</wp:posOffset>
            </wp:positionV>
            <wp:extent cx="158495" cy="115823"/>
            <wp:effectExtent l="0" t="0" r="0" b="0"/>
            <wp:wrapNone/>
            <wp:docPr id="349" name="Image 349"/>
            <wp:cNvGraphicFramePr>
              <a:graphicFrameLocks/>
            </wp:cNvGraphicFramePr>
            <a:graphic>
              <a:graphicData uri="http://schemas.openxmlformats.org/drawingml/2006/picture">
                <pic:pic>
                  <pic:nvPicPr>
                    <pic:cNvPr id="349" name="Image 349"/>
                    <pic:cNvPicPr/>
                  </pic:nvPicPr>
                  <pic:blipFill>
                    <a:blip r:embed="rId132" cstate="print"/>
                    <a:stretch>
                      <a:fillRect/>
                    </a:stretch>
                  </pic:blipFill>
                  <pic:spPr>
                    <a:xfrm>
                      <a:off x="0" y="0"/>
                      <a:ext cx="158495" cy="115823"/>
                    </a:xfrm>
                    <a:prstGeom prst="rect">
                      <a:avLst/>
                    </a:prstGeom>
                  </pic:spPr>
                </pic:pic>
              </a:graphicData>
            </a:graphic>
          </wp:anchor>
        </w:drawing>
      </w:r>
      <w:bookmarkStart w:name="iii. Services that a member is eligible " w:id="548"/>
      <w:bookmarkEnd w:id="548"/>
      <w:r>
        <w:rPr/>
      </w:r>
      <w:r>
        <w:rPr/>
        <w:t>Services that a member is eligible for, and able to, receive from a publicly funded</w:t>
      </w:r>
      <w:r>
        <w:rPr>
          <w:spacing w:val="-4"/>
        </w:rPr>
        <w:t> </w:t>
      </w:r>
      <w:r>
        <w:rPr/>
        <w:t>program</w:t>
      </w:r>
      <w:r>
        <w:rPr>
          <w:spacing w:val="-4"/>
        </w:rPr>
        <w:t> </w:t>
      </w:r>
      <w:r>
        <w:rPr/>
        <w:t>(recognizing</w:t>
      </w:r>
      <w:r>
        <w:rPr>
          <w:spacing w:val="-7"/>
        </w:rPr>
        <w:t> </w:t>
      </w:r>
      <w:r>
        <w:rPr/>
        <w:t>that</w:t>
      </w:r>
      <w:r>
        <w:rPr>
          <w:spacing w:val="-4"/>
        </w:rPr>
        <w:t> </w:t>
      </w:r>
      <w:r>
        <w:rPr/>
        <w:t>certain</w:t>
      </w:r>
      <w:r>
        <w:rPr>
          <w:spacing w:val="-4"/>
        </w:rPr>
        <w:t> </w:t>
      </w:r>
      <w:r>
        <w:rPr/>
        <w:t>public</w:t>
      </w:r>
      <w:r>
        <w:rPr>
          <w:spacing w:val="-5"/>
        </w:rPr>
        <w:t> </w:t>
      </w:r>
      <w:r>
        <w:rPr/>
        <w:t>programs,</w:t>
      </w:r>
      <w:r>
        <w:rPr>
          <w:spacing w:val="-4"/>
        </w:rPr>
        <w:t> </w:t>
      </w:r>
      <w:r>
        <w:rPr/>
        <w:t>periodically</w:t>
      </w:r>
      <w:r>
        <w:rPr>
          <w:spacing w:val="-7"/>
        </w:rPr>
        <w:t> </w:t>
      </w:r>
      <w:r>
        <w:rPr/>
        <w:t>run out of funds)</w:t>
      </w:r>
    </w:p>
    <w:p>
      <w:pPr>
        <w:pStyle w:val="BodyText"/>
        <w:spacing w:line="376" w:lineRule="auto" w:before="160"/>
        <w:ind w:left="2040" w:right="1141"/>
      </w:pPr>
      <w:r>
        <w:rPr/>
        <w:drawing>
          <wp:anchor distT="0" distB="0" distL="0" distR="0" allowOverlap="1" layoutInCell="1" locked="0" behindDoc="0" simplePos="0" relativeHeight="15902208">
            <wp:simplePos x="0" y="0"/>
            <wp:positionH relativeFrom="page">
              <wp:posOffset>1786127</wp:posOffset>
            </wp:positionH>
            <wp:positionV relativeFrom="paragraph">
              <wp:posOffset>134151</wp:posOffset>
            </wp:positionV>
            <wp:extent cx="149339" cy="115823"/>
            <wp:effectExtent l="0" t="0" r="0" b="0"/>
            <wp:wrapNone/>
            <wp:docPr id="350" name="Image 350"/>
            <wp:cNvGraphicFramePr>
              <a:graphicFrameLocks/>
            </wp:cNvGraphicFramePr>
            <a:graphic>
              <a:graphicData uri="http://schemas.openxmlformats.org/drawingml/2006/picture">
                <pic:pic>
                  <pic:nvPicPr>
                    <pic:cNvPr id="350" name="Image 350"/>
                    <pic:cNvPicPr/>
                  </pic:nvPicPr>
                  <pic:blipFill>
                    <a:blip r:embed="rId96" cstate="print"/>
                    <a:stretch>
                      <a:fillRect/>
                    </a:stretch>
                  </pic:blipFill>
                  <pic:spPr>
                    <a:xfrm>
                      <a:off x="0" y="0"/>
                      <a:ext cx="149339" cy="115823"/>
                    </a:xfrm>
                    <a:prstGeom prst="rect">
                      <a:avLst/>
                    </a:prstGeom>
                  </pic:spPr>
                </pic:pic>
              </a:graphicData>
            </a:graphic>
          </wp:anchor>
        </w:drawing>
      </w:r>
      <w:r>
        <w:rPr/>
        <w:drawing>
          <wp:anchor distT="0" distB="0" distL="0" distR="0" allowOverlap="1" layoutInCell="1" locked="0" behindDoc="0" simplePos="0" relativeHeight="15902720">
            <wp:simplePos x="0" y="0"/>
            <wp:positionH relativeFrom="page">
              <wp:posOffset>1825751</wp:posOffset>
            </wp:positionH>
            <wp:positionV relativeFrom="paragraph">
              <wp:posOffset>448095</wp:posOffset>
            </wp:positionV>
            <wp:extent cx="109727" cy="77723"/>
            <wp:effectExtent l="0" t="0" r="0" b="0"/>
            <wp:wrapNone/>
            <wp:docPr id="351" name="Image 351"/>
            <wp:cNvGraphicFramePr>
              <a:graphicFrameLocks/>
            </wp:cNvGraphicFramePr>
            <a:graphic>
              <a:graphicData uri="http://schemas.openxmlformats.org/drawingml/2006/picture">
                <pic:pic>
                  <pic:nvPicPr>
                    <pic:cNvPr id="351" name="Image 351"/>
                    <pic:cNvPicPr/>
                  </pic:nvPicPr>
                  <pic:blipFill>
                    <a:blip r:embed="rId97" cstate="print"/>
                    <a:stretch>
                      <a:fillRect/>
                    </a:stretch>
                  </pic:blipFill>
                  <pic:spPr>
                    <a:xfrm>
                      <a:off x="0" y="0"/>
                      <a:ext cx="109727" cy="77723"/>
                    </a:xfrm>
                    <a:prstGeom prst="rect">
                      <a:avLst/>
                    </a:prstGeom>
                  </pic:spPr>
                </pic:pic>
              </a:graphicData>
            </a:graphic>
          </wp:anchor>
        </w:drawing>
      </w:r>
      <w:bookmarkStart w:name="iv. Services that are duplicative of ser" w:id="549"/>
      <w:bookmarkEnd w:id="549"/>
      <w:r>
        <w:rPr/>
      </w:r>
      <w:r>
        <w:rPr/>
        <w:t>Services</w:t>
      </w:r>
      <w:r>
        <w:rPr>
          <w:spacing w:val="-3"/>
        </w:rPr>
        <w:t> </w:t>
      </w:r>
      <w:r>
        <w:rPr/>
        <w:t>that</w:t>
      </w:r>
      <w:r>
        <w:rPr>
          <w:spacing w:val="-3"/>
        </w:rPr>
        <w:t> </w:t>
      </w:r>
      <w:r>
        <w:rPr/>
        <w:t>are</w:t>
      </w:r>
      <w:r>
        <w:rPr>
          <w:spacing w:val="-4"/>
        </w:rPr>
        <w:t> </w:t>
      </w:r>
      <w:r>
        <w:rPr/>
        <w:t>duplicative</w:t>
      </w:r>
      <w:r>
        <w:rPr>
          <w:spacing w:val="-4"/>
        </w:rPr>
        <w:t> </w:t>
      </w:r>
      <w:r>
        <w:rPr/>
        <w:t>of</w:t>
      </w:r>
      <w:r>
        <w:rPr>
          <w:spacing w:val="-4"/>
        </w:rPr>
        <w:t> </w:t>
      </w:r>
      <w:r>
        <w:rPr/>
        <w:t>services</w:t>
      </w:r>
      <w:r>
        <w:rPr>
          <w:spacing w:val="-3"/>
        </w:rPr>
        <w:t> </w:t>
      </w:r>
      <w:r>
        <w:rPr/>
        <w:t>a</w:t>
      </w:r>
      <w:r>
        <w:rPr>
          <w:spacing w:val="-4"/>
        </w:rPr>
        <w:t> </w:t>
      </w:r>
      <w:r>
        <w:rPr/>
        <w:t>member</w:t>
      </w:r>
      <w:r>
        <w:rPr>
          <w:spacing w:val="-2"/>
        </w:rPr>
        <w:t> </w:t>
      </w:r>
      <w:r>
        <w:rPr/>
        <w:t>is</w:t>
      </w:r>
      <w:r>
        <w:rPr>
          <w:spacing w:val="-3"/>
        </w:rPr>
        <w:t> </w:t>
      </w:r>
      <w:r>
        <w:rPr/>
        <w:t>already</w:t>
      </w:r>
      <w:r>
        <w:rPr>
          <w:spacing w:val="-8"/>
        </w:rPr>
        <w:t> </w:t>
      </w:r>
      <w:r>
        <w:rPr/>
        <w:t>receiving </w:t>
      </w:r>
      <w:bookmarkStart w:name="v. Services where other funding sources " w:id="550"/>
      <w:bookmarkEnd w:id="550"/>
      <w:r>
        <w:rPr/>
        <w:t>S</w:t>
      </w:r>
      <w:r>
        <w:rPr/>
        <w:t>ervices where other funding sources are available.</w:t>
      </w:r>
    </w:p>
    <w:p>
      <w:pPr>
        <w:pStyle w:val="BodyText"/>
        <w:spacing w:line="379" w:lineRule="auto" w:before="5"/>
        <w:ind w:left="2040" w:right="4607"/>
      </w:pPr>
      <w:r>
        <w:rPr/>
        <w:drawing>
          <wp:anchor distT="0" distB="0" distL="0" distR="0" allowOverlap="1" layoutInCell="1" locked="0" behindDoc="0" simplePos="0" relativeHeight="15903232">
            <wp:simplePos x="0" y="0"/>
            <wp:positionH relativeFrom="page">
              <wp:posOffset>1783079</wp:posOffset>
            </wp:positionH>
            <wp:positionV relativeFrom="paragraph">
              <wp:posOffset>35726</wp:posOffset>
            </wp:positionV>
            <wp:extent cx="152399" cy="115823"/>
            <wp:effectExtent l="0" t="0" r="0" b="0"/>
            <wp:wrapNone/>
            <wp:docPr id="352" name="Image 352"/>
            <wp:cNvGraphicFramePr>
              <a:graphicFrameLocks/>
            </wp:cNvGraphicFramePr>
            <a:graphic>
              <a:graphicData uri="http://schemas.openxmlformats.org/drawingml/2006/picture">
                <pic:pic>
                  <pic:nvPicPr>
                    <pic:cNvPr id="352" name="Image 352"/>
                    <pic:cNvPicPr/>
                  </pic:nvPicPr>
                  <pic:blipFill>
                    <a:blip r:embed="rId98" cstate="print"/>
                    <a:stretch>
                      <a:fillRect/>
                    </a:stretch>
                  </pic:blipFill>
                  <pic:spPr>
                    <a:xfrm>
                      <a:off x="0" y="0"/>
                      <a:ext cx="152399" cy="115823"/>
                    </a:xfrm>
                    <a:prstGeom prst="rect">
                      <a:avLst/>
                    </a:prstGeom>
                  </pic:spPr>
                </pic:pic>
              </a:graphicData>
            </a:graphic>
          </wp:anchor>
        </w:drawing>
      </w:r>
      <w:r>
        <w:rPr/>
        <w:drawing>
          <wp:anchor distT="0" distB="0" distL="0" distR="0" allowOverlap="1" layoutInCell="1" locked="0" behindDoc="0" simplePos="0" relativeHeight="15903744">
            <wp:simplePos x="0" y="0"/>
            <wp:positionH relativeFrom="page">
              <wp:posOffset>1740407</wp:posOffset>
            </wp:positionH>
            <wp:positionV relativeFrom="paragraph">
              <wp:posOffset>313094</wp:posOffset>
            </wp:positionV>
            <wp:extent cx="195059" cy="115823"/>
            <wp:effectExtent l="0" t="0" r="0" b="0"/>
            <wp:wrapNone/>
            <wp:docPr id="353" name="Image 353"/>
            <wp:cNvGraphicFramePr>
              <a:graphicFrameLocks/>
            </wp:cNvGraphicFramePr>
            <a:graphic>
              <a:graphicData uri="http://schemas.openxmlformats.org/drawingml/2006/picture">
                <pic:pic>
                  <pic:nvPicPr>
                    <pic:cNvPr id="353" name="Image 353"/>
                    <pic:cNvPicPr/>
                  </pic:nvPicPr>
                  <pic:blipFill>
                    <a:blip r:embed="rId128" cstate="print"/>
                    <a:stretch>
                      <a:fillRect/>
                    </a:stretch>
                  </pic:blipFill>
                  <pic:spPr>
                    <a:xfrm>
                      <a:off x="0" y="0"/>
                      <a:ext cx="195059" cy="115823"/>
                    </a:xfrm>
                    <a:prstGeom prst="rect">
                      <a:avLst/>
                    </a:prstGeom>
                  </pic:spPr>
                </pic:pic>
              </a:graphicData>
            </a:graphic>
          </wp:anchor>
        </w:drawing>
      </w:r>
      <w:bookmarkStart w:name="vi. Alternative medicine services (e.g.," w:id="551"/>
      <w:bookmarkEnd w:id="551"/>
      <w:r>
        <w:rPr/>
      </w:r>
      <w:r>
        <w:rPr/>
        <w:t>Alternative</w:t>
      </w:r>
      <w:r>
        <w:rPr>
          <w:spacing w:val="-11"/>
        </w:rPr>
        <w:t> </w:t>
      </w:r>
      <w:r>
        <w:rPr/>
        <w:t>medicine</w:t>
      </w:r>
      <w:r>
        <w:rPr>
          <w:spacing w:val="-11"/>
        </w:rPr>
        <w:t> </w:t>
      </w:r>
      <w:r>
        <w:rPr/>
        <w:t>services</w:t>
      </w:r>
      <w:r>
        <w:rPr>
          <w:spacing w:val="-10"/>
        </w:rPr>
        <w:t> </w:t>
      </w:r>
      <w:r>
        <w:rPr/>
        <w:t>(e.g.,</w:t>
      </w:r>
      <w:r>
        <w:rPr>
          <w:spacing w:val="-10"/>
        </w:rPr>
        <w:t> </w:t>
      </w:r>
      <w:r>
        <w:rPr/>
        <w:t>reiki) </w:t>
      </w:r>
      <w:bookmarkStart w:name="vii. Medical marijuana" w:id="552"/>
      <w:bookmarkEnd w:id="552"/>
      <w:r>
        <w:rPr/>
        <w:t>M</w:t>
      </w:r>
      <w:r>
        <w:rPr/>
        <w:t>edical marijuana</w:t>
      </w:r>
    </w:p>
    <w:p>
      <w:pPr>
        <w:pStyle w:val="BodyText"/>
        <w:spacing w:line="379" w:lineRule="auto"/>
        <w:ind w:left="2040" w:right="6482"/>
      </w:pPr>
      <w:r>
        <w:rPr/>
        <w:drawing>
          <wp:anchor distT="0" distB="0" distL="0" distR="0" allowOverlap="1" layoutInCell="1" locked="0" behindDoc="0" simplePos="0" relativeHeight="15904256">
            <wp:simplePos x="0" y="0"/>
            <wp:positionH relativeFrom="page">
              <wp:posOffset>1699260</wp:posOffset>
            </wp:positionH>
            <wp:positionV relativeFrom="paragraph">
              <wp:posOffset>32551</wp:posOffset>
            </wp:positionV>
            <wp:extent cx="237743" cy="115823"/>
            <wp:effectExtent l="0" t="0" r="0" b="0"/>
            <wp:wrapNone/>
            <wp:docPr id="354" name="Image 354"/>
            <wp:cNvGraphicFramePr>
              <a:graphicFrameLocks/>
            </wp:cNvGraphicFramePr>
            <a:graphic>
              <a:graphicData uri="http://schemas.openxmlformats.org/drawingml/2006/picture">
                <pic:pic>
                  <pic:nvPicPr>
                    <pic:cNvPr id="354" name="Image 354"/>
                    <pic:cNvPicPr/>
                  </pic:nvPicPr>
                  <pic:blipFill>
                    <a:blip r:embed="rId165" cstate="print"/>
                    <a:stretch>
                      <a:fillRect/>
                    </a:stretch>
                  </pic:blipFill>
                  <pic:spPr>
                    <a:xfrm>
                      <a:off x="0" y="0"/>
                      <a:ext cx="237743" cy="115823"/>
                    </a:xfrm>
                    <a:prstGeom prst="rect">
                      <a:avLst/>
                    </a:prstGeom>
                  </pic:spPr>
                </pic:pic>
              </a:graphicData>
            </a:graphic>
          </wp:anchor>
        </w:drawing>
      </w:r>
      <w:r>
        <w:rPr/>
        <w:drawing>
          <wp:anchor distT="0" distB="0" distL="0" distR="0" allowOverlap="1" layoutInCell="1" locked="0" behindDoc="0" simplePos="0" relativeHeight="15904768">
            <wp:simplePos x="0" y="0"/>
            <wp:positionH relativeFrom="page">
              <wp:posOffset>1786127</wp:posOffset>
            </wp:positionH>
            <wp:positionV relativeFrom="paragraph">
              <wp:posOffset>309919</wp:posOffset>
            </wp:positionV>
            <wp:extent cx="150875" cy="115823"/>
            <wp:effectExtent l="0" t="0" r="0" b="0"/>
            <wp:wrapNone/>
            <wp:docPr id="355" name="Image 355"/>
            <wp:cNvGraphicFramePr>
              <a:graphicFrameLocks/>
            </wp:cNvGraphicFramePr>
            <a:graphic>
              <a:graphicData uri="http://schemas.openxmlformats.org/drawingml/2006/picture">
                <pic:pic>
                  <pic:nvPicPr>
                    <pic:cNvPr id="355" name="Image 355"/>
                    <pic:cNvPicPr/>
                  </pic:nvPicPr>
                  <pic:blipFill>
                    <a:blip r:embed="rId130" cstate="print"/>
                    <a:stretch>
                      <a:fillRect/>
                    </a:stretch>
                  </pic:blipFill>
                  <pic:spPr>
                    <a:xfrm>
                      <a:off x="0" y="0"/>
                      <a:ext cx="150875" cy="115823"/>
                    </a:xfrm>
                    <a:prstGeom prst="rect">
                      <a:avLst/>
                    </a:prstGeom>
                  </pic:spPr>
                </pic:pic>
              </a:graphicData>
            </a:graphic>
          </wp:anchor>
        </w:drawing>
      </w:r>
      <w:bookmarkStart w:name="viii. Copayments" w:id="553"/>
      <w:bookmarkEnd w:id="553"/>
      <w:r>
        <w:rPr/>
      </w:r>
      <w:r>
        <w:rPr>
          <w:spacing w:val="-2"/>
        </w:rPr>
        <w:t>Copayments </w:t>
      </w:r>
      <w:bookmarkStart w:name="ix. Premiums" w:id="554"/>
      <w:bookmarkEnd w:id="554"/>
      <w:r>
        <w:rPr>
          <w:spacing w:val="-2"/>
        </w:rPr>
        <w:t>P</w:t>
      </w:r>
      <w:r>
        <w:rPr>
          <w:spacing w:val="-2"/>
        </w:rPr>
        <w:t>remiums</w:t>
      </w:r>
    </w:p>
    <w:p>
      <w:pPr>
        <w:pStyle w:val="BodyText"/>
        <w:spacing w:before="1"/>
        <w:ind w:left="2040"/>
      </w:pPr>
      <w:r>
        <w:rPr/>
        <w:drawing>
          <wp:anchor distT="0" distB="0" distL="0" distR="0" allowOverlap="1" layoutInCell="1" locked="0" behindDoc="0" simplePos="0" relativeHeight="15905280">
            <wp:simplePos x="0" y="0"/>
            <wp:positionH relativeFrom="page">
              <wp:posOffset>1827275</wp:posOffset>
            </wp:positionH>
            <wp:positionV relativeFrom="paragraph">
              <wp:posOffset>71286</wp:posOffset>
            </wp:positionV>
            <wp:extent cx="109727" cy="77723"/>
            <wp:effectExtent l="0" t="0" r="0" b="0"/>
            <wp:wrapNone/>
            <wp:docPr id="356" name="Image 356"/>
            <wp:cNvGraphicFramePr>
              <a:graphicFrameLocks/>
            </wp:cNvGraphicFramePr>
            <a:graphic>
              <a:graphicData uri="http://schemas.openxmlformats.org/drawingml/2006/picture">
                <pic:pic>
                  <pic:nvPicPr>
                    <pic:cNvPr id="356" name="Image 356"/>
                    <pic:cNvPicPr/>
                  </pic:nvPicPr>
                  <pic:blipFill>
                    <a:blip r:embed="rId166" cstate="print"/>
                    <a:stretch>
                      <a:fillRect/>
                    </a:stretch>
                  </pic:blipFill>
                  <pic:spPr>
                    <a:xfrm>
                      <a:off x="0" y="0"/>
                      <a:ext cx="109727" cy="77723"/>
                    </a:xfrm>
                    <a:prstGeom prst="rect">
                      <a:avLst/>
                    </a:prstGeom>
                  </pic:spPr>
                </pic:pic>
              </a:graphicData>
            </a:graphic>
          </wp:anchor>
        </w:drawing>
      </w:r>
      <w:bookmarkStart w:name="x. Ongoing rent or mortgage payments" w:id="555"/>
      <w:bookmarkEnd w:id="555"/>
      <w:r>
        <w:rPr/>
      </w:r>
      <w:r>
        <w:rPr/>
        <w:t>Ongoing</w:t>
      </w:r>
      <w:r>
        <w:rPr>
          <w:spacing w:val="-4"/>
        </w:rPr>
        <w:t> </w:t>
      </w:r>
      <w:r>
        <w:rPr/>
        <w:t>rent</w:t>
      </w:r>
      <w:r>
        <w:rPr>
          <w:spacing w:val="-1"/>
        </w:rPr>
        <w:t> </w:t>
      </w:r>
      <w:r>
        <w:rPr/>
        <w:t>or</w:t>
      </w:r>
      <w:r>
        <w:rPr>
          <w:spacing w:val="-2"/>
        </w:rPr>
        <w:t> </w:t>
      </w:r>
      <w:r>
        <w:rPr/>
        <w:t>mortgage</w:t>
      </w:r>
      <w:r>
        <w:rPr>
          <w:spacing w:val="-1"/>
        </w:rPr>
        <w:t> </w:t>
      </w:r>
      <w:r>
        <w:rPr>
          <w:spacing w:val="-2"/>
        </w:rPr>
        <w:t>payments</w:t>
      </w:r>
    </w:p>
    <w:p>
      <w:pPr>
        <w:pStyle w:val="BodyText"/>
        <w:spacing w:before="158"/>
        <w:ind w:left="2040"/>
      </w:pPr>
      <w:r>
        <w:rPr/>
        <w:drawing>
          <wp:anchor distT="0" distB="0" distL="0" distR="0" allowOverlap="1" layoutInCell="1" locked="0" behindDoc="0" simplePos="0" relativeHeight="15905792">
            <wp:simplePos x="0" y="0"/>
            <wp:positionH relativeFrom="page">
              <wp:posOffset>1784604</wp:posOffset>
            </wp:positionH>
            <wp:positionV relativeFrom="paragraph">
              <wp:posOffset>132881</wp:posOffset>
            </wp:positionV>
            <wp:extent cx="152399" cy="115823"/>
            <wp:effectExtent l="0" t="0" r="0" b="0"/>
            <wp:wrapNone/>
            <wp:docPr id="357" name="Image 357"/>
            <wp:cNvGraphicFramePr>
              <a:graphicFrameLocks/>
            </wp:cNvGraphicFramePr>
            <a:graphic>
              <a:graphicData uri="http://schemas.openxmlformats.org/drawingml/2006/picture">
                <pic:pic>
                  <pic:nvPicPr>
                    <pic:cNvPr id="357" name="Image 357"/>
                    <pic:cNvPicPr/>
                  </pic:nvPicPr>
                  <pic:blipFill>
                    <a:blip r:embed="rId167" cstate="print"/>
                    <a:stretch>
                      <a:fillRect/>
                    </a:stretch>
                  </pic:blipFill>
                  <pic:spPr>
                    <a:xfrm>
                      <a:off x="0" y="0"/>
                      <a:ext cx="152399" cy="115823"/>
                    </a:xfrm>
                    <a:prstGeom prst="rect">
                      <a:avLst/>
                    </a:prstGeom>
                  </pic:spPr>
                </pic:pic>
              </a:graphicData>
            </a:graphic>
          </wp:anchor>
        </w:drawing>
      </w:r>
      <w:bookmarkStart w:name="xi. Room and board, including capital an" w:id="556"/>
      <w:bookmarkEnd w:id="556"/>
      <w:r>
        <w:rPr/>
      </w:r>
      <w:r>
        <w:rPr/>
        <w:t>Room</w:t>
      </w:r>
      <w:r>
        <w:rPr>
          <w:spacing w:val="-1"/>
        </w:rPr>
        <w:t> </w:t>
      </w:r>
      <w:r>
        <w:rPr/>
        <w:t>and</w:t>
      </w:r>
      <w:r>
        <w:rPr>
          <w:spacing w:val="-1"/>
        </w:rPr>
        <w:t> </w:t>
      </w:r>
      <w:r>
        <w:rPr/>
        <w:t>board,</w:t>
      </w:r>
      <w:r>
        <w:rPr>
          <w:spacing w:val="-1"/>
        </w:rPr>
        <w:t> </w:t>
      </w:r>
      <w:r>
        <w:rPr/>
        <w:t>including</w:t>
      </w:r>
      <w:r>
        <w:rPr>
          <w:spacing w:val="-4"/>
        </w:rPr>
        <w:t> </w:t>
      </w:r>
      <w:r>
        <w:rPr/>
        <w:t>capital</w:t>
      </w:r>
      <w:r>
        <w:rPr>
          <w:spacing w:val="-1"/>
        </w:rPr>
        <w:t> </w:t>
      </w:r>
      <w:r>
        <w:rPr/>
        <w:t>and</w:t>
      </w:r>
      <w:r>
        <w:rPr>
          <w:spacing w:val="-1"/>
        </w:rPr>
        <w:t> </w:t>
      </w:r>
      <w:r>
        <w:rPr/>
        <w:t>operational</w:t>
      </w:r>
      <w:r>
        <w:rPr>
          <w:spacing w:val="-1"/>
        </w:rPr>
        <w:t> </w:t>
      </w:r>
      <w:r>
        <w:rPr/>
        <w:t>expenses</w:t>
      </w:r>
      <w:r>
        <w:rPr>
          <w:spacing w:val="-1"/>
        </w:rPr>
        <w:t> </w:t>
      </w:r>
      <w:r>
        <w:rPr/>
        <w:t>of</w:t>
      </w:r>
      <w:r>
        <w:rPr>
          <w:spacing w:val="-1"/>
        </w:rPr>
        <w:t> </w:t>
      </w:r>
      <w:r>
        <w:rPr>
          <w:spacing w:val="-2"/>
        </w:rPr>
        <w:t>housing</w:t>
      </w:r>
    </w:p>
    <w:p>
      <w:pPr>
        <w:spacing w:after="0"/>
        <w:sectPr>
          <w:pgSz w:w="12240" w:h="15840"/>
          <w:pgMar w:header="0" w:footer="1201" w:top="1360" w:bottom="1400" w:left="1200" w:right="400"/>
        </w:sectPr>
      </w:pPr>
    </w:p>
    <w:p>
      <w:pPr>
        <w:pStyle w:val="BodyText"/>
        <w:spacing w:line="379" w:lineRule="auto" w:before="79"/>
        <w:ind w:left="2040" w:right="4607"/>
      </w:pPr>
      <w:r>
        <w:rPr/>
        <w:drawing>
          <wp:anchor distT="0" distB="0" distL="0" distR="0" allowOverlap="1" layoutInCell="1" locked="0" behindDoc="0" simplePos="0" relativeHeight="15906304">
            <wp:simplePos x="0" y="0"/>
            <wp:positionH relativeFrom="page">
              <wp:posOffset>1741932</wp:posOffset>
            </wp:positionH>
            <wp:positionV relativeFrom="paragraph">
              <wp:posOffset>82717</wp:posOffset>
            </wp:positionV>
            <wp:extent cx="195071" cy="115823"/>
            <wp:effectExtent l="0" t="0" r="0" b="0"/>
            <wp:wrapNone/>
            <wp:docPr id="358" name="Image 358"/>
            <wp:cNvGraphicFramePr>
              <a:graphicFrameLocks/>
            </wp:cNvGraphicFramePr>
            <a:graphic>
              <a:graphicData uri="http://schemas.openxmlformats.org/drawingml/2006/picture">
                <pic:pic>
                  <pic:nvPicPr>
                    <pic:cNvPr id="358" name="Image 358"/>
                    <pic:cNvPicPr/>
                  </pic:nvPicPr>
                  <pic:blipFill>
                    <a:blip r:embed="rId168" cstate="print"/>
                    <a:stretch>
                      <a:fillRect/>
                    </a:stretch>
                  </pic:blipFill>
                  <pic:spPr>
                    <a:xfrm>
                      <a:off x="0" y="0"/>
                      <a:ext cx="195071" cy="115823"/>
                    </a:xfrm>
                    <a:prstGeom prst="rect">
                      <a:avLst/>
                    </a:prstGeom>
                  </pic:spPr>
                </pic:pic>
              </a:graphicData>
            </a:graphic>
          </wp:anchor>
        </w:drawing>
      </w:r>
      <w:r>
        <w:rPr/>
        <w:drawing>
          <wp:anchor distT="0" distB="0" distL="0" distR="0" allowOverlap="1" layoutInCell="1" locked="0" behindDoc="0" simplePos="0" relativeHeight="15906816">
            <wp:simplePos x="0" y="0"/>
            <wp:positionH relativeFrom="page">
              <wp:posOffset>1700783</wp:posOffset>
            </wp:positionH>
            <wp:positionV relativeFrom="paragraph">
              <wp:posOffset>360084</wp:posOffset>
            </wp:positionV>
            <wp:extent cx="236219" cy="115823"/>
            <wp:effectExtent l="0" t="0" r="0" b="0"/>
            <wp:wrapNone/>
            <wp:docPr id="359" name="Image 359"/>
            <wp:cNvGraphicFramePr>
              <a:graphicFrameLocks/>
            </wp:cNvGraphicFramePr>
            <a:graphic>
              <a:graphicData uri="http://schemas.openxmlformats.org/drawingml/2006/picture">
                <pic:pic>
                  <pic:nvPicPr>
                    <pic:cNvPr id="359" name="Image 359"/>
                    <pic:cNvPicPr/>
                  </pic:nvPicPr>
                  <pic:blipFill>
                    <a:blip r:embed="rId169" cstate="print"/>
                    <a:stretch>
                      <a:fillRect/>
                    </a:stretch>
                  </pic:blipFill>
                  <pic:spPr>
                    <a:xfrm>
                      <a:off x="0" y="0"/>
                      <a:ext cx="236219" cy="115823"/>
                    </a:xfrm>
                    <a:prstGeom prst="rect">
                      <a:avLst/>
                    </a:prstGeom>
                  </pic:spPr>
                </pic:pic>
              </a:graphicData>
            </a:graphic>
          </wp:anchor>
        </w:drawing>
      </w:r>
      <w:bookmarkStart w:name="xii. Ongoing utility payments" w:id="557"/>
      <w:bookmarkEnd w:id="557"/>
      <w:r>
        <w:rPr/>
      </w:r>
      <w:r>
        <w:rPr/>
        <w:t>Ongoing utility payments </w:t>
      </w:r>
      <w:bookmarkStart w:name="xiii. Cable/television bill payments" w:id="558"/>
      <w:bookmarkEnd w:id="558"/>
      <w:r>
        <w:rPr/>
        <w:t>C</w:t>
      </w:r>
      <w:r>
        <w:rPr/>
        <w:t>able/television</w:t>
      </w:r>
      <w:r>
        <w:rPr>
          <w:spacing w:val="-15"/>
        </w:rPr>
        <w:t> </w:t>
      </w:r>
      <w:r>
        <w:rPr/>
        <w:t>bill</w:t>
      </w:r>
      <w:r>
        <w:rPr>
          <w:spacing w:val="-15"/>
        </w:rPr>
        <w:t> </w:t>
      </w:r>
      <w:r>
        <w:rPr/>
        <w:t>payments</w:t>
      </w:r>
    </w:p>
    <w:p>
      <w:pPr>
        <w:pStyle w:val="BodyText"/>
        <w:ind w:left="2040" w:right="1059"/>
      </w:pPr>
      <w:r>
        <w:rPr/>
        <w:drawing>
          <wp:anchor distT="0" distB="0" distL="0" distR="0" allowOverlap="1" layoutInCell="1" locked="0" behindDoc="0" simplePos="0" relativeHeight="15907328">
            <wp:simplePos x="0" y="0"/>
            <wp:positionH relativeFrom="page">
              <wp:posOffset>1708404</wp:posOffset>
            </wp:positionH>
            <wp:positionV relativeFrom="paragraph">
              <wp:posOffset>32552</wp:posOffset>
            </wp:positionV>
            <wp:extent cx="228599" cy="115823"/>
            <wp:effectExtent l="0" t="0" r="0" b="0"/>
            <wp:wrapNone/>
            <wp:docPr id="360" name="Image 360"/>
            <wp:cNvGraphicFramePr>
              <a:graphicFrameLocks/>
            </wp:cNvGraphicFramePr>
            <a:graphic>
              <a:graphicData uri="http://schemas.openxmlformats.org/drawingml/2006/picture">
                <pic:pic>
                  <pic:nvPicPr>
                    <pic:cNvPr id="360" name="Image 360"/>
                    <pic:cNvPicPr/>
                  </pic:nvPicPr>
                  <pic:blipFill>
                    <a:blip r:embed="rId170" cstate="print"/>
                    <a:stretch>
                      <a:fillRect/>
                    </a:stretch>
                  </pic:blipFill>
                  <pic:spPr>
                    <a:xfrm>
                      <a:off x="0" y="0"/>
                      <a:ext cx="228599" cy="115823"/>
                    </a:xfrm>
                    <a:prstGeom prst="rect">
                      <a:avLst/>
                    </a:prstGeom>
                  </pic:spPr>
                </pic:pic>
              </a:graphicData>
            </a:graphic>
          </wp:anchor>
        </w:drawing>
      </w:r>
      <w:bookmarkStart w:name="xiv. Gift cards or other cash equivalent" w:id="559"/>
      <w:bookmarkEnd w:id="559"/>
      <w:r>
        <w:rPr/>
      </w:r>
      <w:r>
        <w:rPr/>
        <w:t>Gift</w:t>
      </w:r>
      <w:r>
        <w:rPr>
          <w:spacing w:val="-4"/>
        </w:rPr>
        <w:t> </w:t>
      </w:r>
      <w:r>
        <w:rPr/>
        <w:t>cards</w:t>
      </w:r>
      <w:r>
        <w:rPr>
          <w:spacing w:val="-4"/>
        </w:rPr>
        <w:t> </w:t>
      </w:r>
      <w:r>
        <w:rPr/>
        <w:t>or</w:t>
      </w:r>
      <w:r>
        <w:rPr>
          <w:spacing w:val="-5"/>
        </w:rPr>
        <w:t> </w:t>
      </w:r>
      <w:r>
        <w:rPr/>
        <w:t>other</w:t>
      </w:r>
      <w:r>
        <w:rPr>
          <w:spacing w:val="-5"/>
        </w:rPr>
        <w:t> </w:t>
      </w:r>
      <w:r>
        <w:rPr/>
        <w:t>cash</w:t>
      </w:r>
      <w:r>
        <w:rPr>
          <w:spacing w:val="-4"/>
        </w:rPr>
        <w:t> </w:t>
      </w:r>
      <w:r>
        <w:rPr/>
        <w:t>equivalents</w:t>
      </w:r>
      <w:r>
        <w:rPr>
          <w:spacing w:val="-4"/>
        </w:rPr>
        <w:t> </w:t>
      </w:r>
      <w:r>
        <w:rPr/>
        <w:t>with</w:t>
      </w:r>
      <w:r>
        <w:rPr>
          <w:spacing w:val="-4"/>
        </w:rPr>
        <w:t> </w:t>
      </w:r>
      <w:r>
        <w:rPr/>
        <w:t>the</w:t>
      </w:r>
      <w:r>
        <w:rPr>
          <w:spacing w:val="-5"/>
        </w:rPr>
        <w:t> </w:t>
      </w:r>
      <w:r>
        <w:rPr/>
        <w:t>exception</w:t>
      </w:r>
      <w:r>
        <w:rPr>
          <w:spacing w:val="-4"/>
        </w:rPr>
        <w:t> </w:t>
      </w:r>
      <w:r>
        <w:rPr/>
        <w:t>of</w:t>
      </w:r>
      <w:r>
        <w:rPr>
          <w:spacing w:val="-5"/>
        </w:rPr>
        <w:t> </w:t>
      </w:r>
      <w:r>
        <w:rPr/>
        <w:t>nutrition</w:t>
      </w:r>
      <w:r>
        <w:rPr>
          <w:spacing w:val="-4"/>
        </w:rPr>
        <w:t> </w:t>
      </w:r>
      <w:r>
        <w:rPr/>
        <w:t>related vouchers or nutrition prescriptions</w:t>
      </w:r>
    </w:p>
    <w:p>
      <w:pPr>
        <w:pStyle w:val="BodyText"/>
        <w:spacing w:line="379" w:lineRule="auto" w:before="160"/>
        <w:ind w:left="2040" w:right="5863"/>
      </w:pPr>
      <w:r>
        <w:rPr/>
        <w:drawing>
          <wp:anchor distT="0" distB="0" distL="0" distR="0" allowOverlap="1" layoutInCell="1" locked="0" behindDoc="0" simplePos="0" relativeHeight="15907840">
            <wp:simplePos x="0" y="0"/>
            <wp:positionH relativeFrom="page">
              <wp:posOffset>1751075</wp:posOffset>
            </wp:positionH>
            <wp:positionV relativeFrom="paragraph">
              <wp:posOffset>172251</wp:posOffset>
            </wp:positionV>
            <wp:extent cx="185927" cy="77723"/>
            <wp:effectExtent l="0" t="0" r="0" b="0"/>
            <wp:wrapNone/>
            <wp:docPr id="361" name="Image 361"/>
            <wp:cNvGraphicFramePr>
              <a:graphicFrameLocks/>
            </wp:cNvGraphicFramePr>
            <a:graphic>
              <a:graphicData uri="http://schemas.openxmlformats.org/drawingml/2006/picture">
                <pic:pic>
                  <pic:nvPicPr>
                    <pic:cNvPr id="361" name="Image 361"/>
                    <pic:cNvPicPr/>
                  </pic:nvPicPr>
                  <pic:blipFill>
                    <a:blip r:embed="rId171" cstate="print"/>
                    <a:stretch>
                      <a:fillRect/>
                    </a:stretch>
                  </pic:blipFill>
                  <pic:spPr>
                    <a:xfrm>
                      <a:off x="0" y="0"/>
                      <a:ext cx="185927" cy="77723"/>
                    </a:xfrm>
                    <a:prstGeom prst="rect">
                      <a:avLst/>
                    </a:prstGeom>
                  </pic:spPr>
                </pic:pic>
              </a:graphicData>
            </a:graphic>
          </wp:anchor>
        </w:drawing>
      </w:r>
      <w:r>
        <w:rPr/>
        <w:drawing>
          <wp:anchor distT="0" distB="0" distL="0" distR="0" allowOverlap="1" layoutInCell="1" locked="0" behindDoc="0" simplePos="0" relativeHeight="15908352">
            <wp:simplePos x="0" y="0"/>
            <wp:positionH relativeFrom="page">
              <wp:posOffset>1708404</wp:posOffset>
            </wp:positionH>
            <wp:positionV relativeFrom="paragraph">
              <wp:posOffset>411519</wp:posOffset>
            </wp:positionV>
            <wp:extent cx="228599" cy="115823"/>
            <wp:effectExtent l="0" t="0" r="0" b="0"/>
            <wp:wrapNone/>
            <wp:docPr id="362" name="Image 362"/>
            <wp:cNvGraphicFramePr>
              <a:graphicFrameLocks/>
            </wp:cNvGraphicFramePr>
            <a:graphic>
              <a:graphicData uri="http://schemas.openxmlformats.org/drawingml/2006/picture">
                <pic:pic>
                  <pic:nvPicPr>
                    <pic:cNvPr id="362" name="Image 362"/>
                    <pic:cNvPicPr/>
                  </pic:nvPicPr>
                  <pic:blipFill>
                    <a:blip r:embed="rId172" cstate="print"/>
                    <a:stretch>
                      <a:fillRect/>
                    </a:stretch>
                  </pic:blipFill>
                  <pic:spPr>
                    <a:xfrm>
                      <a:off x="0" y="0"/>
                      <a:ext cx="228599" cy="115823"/>
                    </a:xfrm>
                    <a:prstGeom prst="rect">
                      <a:avLst/>
                    </a:prstGeom>
                  </pic:spPr>
                </pic:pic>
              </a:graphicData>
            </a:graphic>
          </wp:anchor>
        </w:drawing>
      </w:r>
      <w:bookmarkStart w:name="xv. Student loan payments" w:id="560"/>
      <w:bookmarkEnd w:id="560"/>
      <w:r>
        <w:rPr/>
      </w:r>
      <w:r>
        <w:rPr/>
        <w:t>Student</w:t>
      </w:r>
      <w:r>
        <w:rPr>
          <w:spacing w:val="-15"/>
        </w:rPr>
        <w:t> </w:t>
      </w:r>
      <w:r>
        <w:rPr/>
        <w:t>loan</w:t>
      </w:r>
      <w:r>
        <w:rPr>
          <w:spacing w:val="-15"/>
        </w:rPr>
        <w:t> </w:t>
      </w:r>
      <w:r>
        <w:rPr/>
        <w:t>payments </w:t>
      </w:r>
      <w:bookmarkStart w:name="xvi. Credit card payments" w:id="561"/>
      <w:bookmarkEnd w:id="561"/>
      <w:r>
        <w:rPr/>
        <w:t>C</w:t>
      </w:r>
      <w:r>
        <w:rPr/>
        <w:t>redit card payments</w:t>
      </w:r>
    </w:p>
    <w:p>
      <w:pPr>
        <w:pStyle w:val="BodyText"/>
        <w:spacing w:line="379" w:lineRule="auto"/>
        <w:ind w:left="2040" w:right="2435"/>
      </w:pPr>
      <w:r>
        <w:rPr/>
        <w:drawing>
          <wp:anchor distT="0" distB="0" distL="0" distR="0" allowOverlap="1" layoutInCell="1" locked="0" behindDoc="0" simplePos="0" relativeHeight="15908864">
            <wp:simplePos x="0" y="0"/>
            <wp:positionH relativeFrom="page">
              <wp:posOffset>1665732</wp:posOffset>
            </wp:positionH>
            <wp:positionV relativeFrom="paragraph">
              <wp:posOffset>32552</wp:posOffset>
            </wp:positionV>
            <wp:extent cx="271271" cy="115823"/>
            <wp:effectExtent l="0" t="0" r="0" b="0"/>
            <wp:wrapNone/>
            <wp:docPr id="363" name="Image 363"/>
            <wp:cNvGraphicFramePr>
              <a:graphicFrameLocks/>
            </wp:cNvGraphicFramePr>
            <a:graphic>
              <a:graphicData uri="http://schemas.openxmlformats.org/drawingml/2006/picture">
                <pic:pic>
                  <pic:nvPicPr>
                    <pic:cNvPr id="363" name="Image 363"/>
                    <pic:cNvPicPr/>
                  </pic:nvPicPr>
                  <pic:blipFill>
                    <a:blip r:embed="rId173" cstate="print"/>
                    <a:stretch>
                      <a:fillRect/>
                    </a:stretch>
                  </pic:blipFill>
                  <pic:spPr>
                    <a:xfrm>
                      <a:off x="0" y="0"/>
                      <a:ext cx="271271" cy="115823"/>
                    </a:xfrm>
                    <a:prstGeom prst="rect">
                      <a:avLst/>
                    </a:prstGeom>
                  </pic:spPr>
                </pic:pic>
              </a:graphicData>
            </a:graphic>
          </wp:anchor>
        </w:drawing>
      </w:r>
      <w:r>
        <w:rPr/>
        <w:drawing>
          <wp:anchor distT="0" distB="0" distL="0" distR="0" allowOverlap="1" layoutInCell="1" locked="0" behindDoc="0" simplePos="0" relativeHeight="15909376">
            <wp:simplePos x="0" y="0"/>
            <wp:positionH relativeFrom="page">
              <wp:posOffset>1624583</wp:posOffset>
            </wp:positionH>
            <wp:positionV relativeFrom="paragraph">
              <wp:posOffset>309919</wp:posOffset>
            </wp:positionV>
            <wp:extent cx="312419" cy="115823"/>
            <wp:effectExtent l="0" t="0" r="0" b="0"/>
            <wp:wrapNone/>
            <wp:docPr id="364" name="Image 364"/>
            <wp:cNvGraphicFramePr>
              <a:graphicFrameLocks/>
            </wp:cNvGraphicFramePr>
            <a:graphic>
              <a:graphicData uri="http://schemas.openxmlformats.org/drawingml/2006/picture">
                <pic:pic>
                  <pic:nvPicPr>
                    <pic:cNvPr id="364" name="Image 364"/>
                    <pic:cNvPicPr/>
                  </pic:nvPicPr>
                  <pic:blipFill>
                    <a:blip r:embed="rId174" cstate="print"/>
                    <a:stretch>
                      <a:fillRect/>
                    </a:stretch>
                  </pic:blipFill>
                  <pic:spPr>
                    <a:xfrm>
                      <a:off x="0" y="0"/>
                      <a:ext cx="312419" cy="115823"/>
                    </a:xfrm>
                    <a:prstGeom prst="rect">
                      <a:avLst/>
                    </a:prstGeom>
                  </pic:spPr>
                </pic:pic>
              </a:graphicData>
            </a:graphic>
          </wp:anchor>
        </w:drawing>
      </w:r>
      <w:bookmarkStart w:name="xvii. Memberships not associated with on" w:id="562"/>
      <w:bookmarkEnd w:id="562"/>
      <w:r>
        <w:rPr/>
      </w:r>
      <w:r>
        <w:rPr/>
        <w:t>Memberships</w:t>
      </w:r>
      <w:r>
        <w:rPr>
          <w:spacing w:val="-5"/>
        </w:rPr>
        <w:t> </w:t>
      </w:r>
      <w:r>
        <w:rPr/>
        <w:t>not</w:t>
      </w:r>
      <w:r>
        <w:rPr>
          <w:spacing w:val="-5"/>
        </w:rPr>
        <w:t> </w:t>
      </w:r>
      <w:r>
        <w:rPr/>
        <w:t>associated</w:t>
      </w:r>
      <w:r>
        <w:rPr>
          <w:spacing w:val="-5"/>
        </w:rPr>
        <w:t> </w:t>
      </w:r>
      <w:r>
        <w:rPr/>
        <w:t>with</w:t>
      </w:r>
      <w:r>
        <w:rPr>
          <w:spacing w:val="-5"/>
        </w:rPr>
        <w:t> </w:t>
      </w:r>
      <w:r>
        <w:rPr/>
        <w:t>one</w:t>
      </w:r>
      <w:r>
        <w:rPr>
          <w:spacing w:val="-6"/>
        </w:rPr>
        <w:t> </w:t>
      </w:r>
      <w:r>
        <w:rPr/>
        <w:t>of</w:t>
      </w:r>
      <w:r>
        <w:rPr>
          <w:spacing w:val="-6"/>
        </w:rPr>
        <w:t> </w:t>
      </w:r>
      <w:r>
        <w:rPr/>
        <w:t>the</w:t>
      </w:r>
      <w:r>
        <w:rPr>
          <w:spacing w:val="-6"/>
        </w:rPr>
        <w:t> </w:t>
      </w:r>
      <w:r>
        <w:rPr/>
        <w:t>allowable</w:t>
      </w:r>
      <w:r>
        <w:rPr>
          <w:spacing w:val="-6"/>
        </w:rPr>
        <w:t> </w:t>
      </w:r>
      <w:r>
        <w:rPr/>
        <w:t>domains </w:t>
      </w:r>
      <w:bookmarkStart w:name="xviii. Licenses (drivers, professional, " w:id="563"/>
      <w:bookmarkEnd w:id="563"/>
      <w:r>
        <w:rPr/>
        <w:t>L</w:t>
      </w:r>
      <w:r>
        <w:rPr/>
        <w:t>icenses (drivers, professional, or vocational)</w:t>
      </w:r>
    </w:p>
    <w:p>
      <w:pPr>
        <w:pStyle w:val="BodyText"/>
        <w:spacing w:line="376" w:lineRule="auto"/>
        <w:ind w:left="2040" w:right="2435"/>
      </w:pPr>
      <w:r>
        <w:rPr/>
        <w:drawing>
          <wp:anchor distT="0" distB="0" distL="0" distR="0" allowOverlap="1" layoutInCell="1" locked="0" behindDoc="0" simplePos="0" relativeHeight="15909888">
            <wp:simplePos x="0" y="0"/>
            <wp:positionH relativeFrom="page">
              <wp:posOffset>1708404</wp:posOffset>
            </wp:positionH>
            <wp:positionV relativeFrom="paragraph">
              <wp:posOffset>32551</wp:posOffset>
            </wp:positionV>
            <wp:extent cx="228599" cy="115823"/>
            <wp:effectExtent l="0" t="0" r="0" b="0"/>
            <wp:wrapNone/>
            <wp:docPr id="365" name="Image 365"/>
            <wp:cNvGraphicFramePr>
              <a:graphicFrameLocks/>
            </wp:cNvGraphicFramePr>
            <a:graphic>
              <a:graphicData uri="http://schemas.openxmlformats.org/drawingml/2006/picture">
                <pic:pic>
                  <pic:nvPicPr>
                    <pic:cNvPr id="365" name="Image 365"/>
                    <pic:cNvPicPr/>
                  </pic:nvPicPr>
                  <pic:blipFill>
                    <a:blip r:embed="rId175" cstate="print"/>
                    <a:stretch>
                      <a:fillRect/>
                    </a:stretch>
                  </pic:blipFill>
                  <pic:spPr>
                    <a:xfrm>
                      <a:off x="0" y="0"/>
                      <a:ext cx="228599" cy="115823"/>
                    </a:xfrm>
                    <a:prstGeom prst="rect">
                      <a:avLst/>
                    </a:prstGeom>
                  </pic:spPr>
                </pic:pic>
              </a:graphicData>
            </a:graphic>
          </wp:anchor>
        </w:drawing>
      </w:r>
      <w:r>
        <w:rPr/>
        <w:drawing>
          <wp:anchor distT="0" distB="0" distL="0" distR="0" allowOverlap="1" layoutInCell="1" locked="0" behindDoc="0" simplePos="0" relativeHeight="15910400">
            <wp:simplePos x="0" y="0"/>
            <wp:positionH relativeFrom="page">
              <wp:posOffset>1751075</wp:posOffset>
            </wp:positionH>
            <wp:positionV relativeFrom="paragraph">
              <wp:posOffset>346495</wp:posOffset>
            </wp:positionV>
            <wp:extent cx="185927" cy="77723"/>
            <wp:effectExtent l="0" t="0" r="0" b="0"/>
            <wp:wrapNone/>
            <wp:docPr id="366" name="Image 366"/>
            <wp:cNvGraphicFramePr>
              <a:graphicFrameLocks/>
            </wp:cNvGraphicFramePr>
            <a:graphic>
              <a:graphicData uri="http://schemas.openxmlformats.org/drawingml/2006/picture">
                <pic:pic>
                  <pic:nvPicPr>
                    <pic:cNvPr id="366" name="Image 366"/>
                    <pic:cNvPicPr/>
                  </pic:nvPicPr>
                  <pic:blipFill>
                    <a:blip r:embed="rId176" cstate="print"/>
                    <a:stretch>
                      <a:fillRect/>
                    </a:stretch>
                  </pic:blipFill>
                  <pic:spPr>
                    <a:xfrm>
                      <a:off x="0" y="0"/>
                      <a:ext cx="185927" cy="77723"/>
                    </a:xfrm>
                    <a:prstGeom prst="rect">
                      <a:avLst/>
                    </a:prstGeom>
                  </pic:spPr>
                </pic:pic>
              </a:graphicData>
            </a:graphic>
          </wp:anchor>
        </w:drawing>
      </w:r>
      <w:bookmarkStart w:name="xix. Services outside of the allowable d" w:id="564"/>
      <w:bookmarkEnd w:id="564"/>
      <w:r>
        <w:rPr/>
      </w:r>
      <w:r>
        <w:rPr/>
        <w:t>Services</w:t>
      </w:r>
      <w:r>
        <w:rPr>
          <w:spacing w:val="-6"/>
        </w:rPr>
        <w:t> </w:t>
      </w:r>
      <w:r>
        <w:rPr/>
        <w:t>outside</w:t>
      </w:r>
      <w:r>
        <w:rPr>
          <w:spacing w:val="-7"/>
        </w:rPr>
        <w:t> </w:t>
      </w:r>
      <w:r>
        <w:rPr/>
        <w:t>of</w:t>
      </w:r>
      <w:r>
        <w:rPr>
          <w:spacing w:val="-7"/>
        </w:rPr>
        <w:t> </w:t>
      </w:r>
      <w:r>
        <w:rPr/>
        <w:t>the</w:t>
      </w:r>
      <w:r>
        <w:rPr>
          <w:spacing w:val="-5"/>
        </w:rPr>
        <w:t> </w:t>
      </w:r>
      <w:r>
        <w:rPr/>
        <w:t>allowable</w:t>
      </w:r>
      <w:r>
        <w:rPr>
          <w:spacing w:val="-7"/>
        </w:rPr>
        <w:t> </w:t>
      </w:r>
      <w:r>
        <w:rPr/>
        <w:t>domains.</w:t>
      </w:r>
      <w:r>
        <w:rPr>
          <w:spacing w:val="-6"/>
        </w:rPr>
        <w:t> </w:t>
      </w:r>
      <w:r>
        <w:rPr/>
        <w:t>For</w:t>
      </w:r>
      <w:r>
        <w:rPr>
          <w:spacing w:val="-5"/>
        </w:rPr>
        <w:t> </w:t>
      </w:r>
      <w:r>
        <w:rPr/>
        <w:t>example: </w:t>
      </w:r>
      <w:bookmarkStart w:name="xx. Educational supports" w:id="565"/>
      <w:bookmarkEnd w:id="565"/>
      <w:r>
        <w:rPr/>
        <w:t>E</w:t>
      </w:r>
      <w:r>
        <w:rPr/>
        <w:t>ducational supports</w:t>
      </w:r>
    </w:p>
    <w:p>
      <w:pPr>
        <w:pStyle w:val="BodyText"/>
        <w:spacing w:before="5"/>
        <w:ind w:left="2040"/>
      </w:pPr>
      <w:r>
        <w:rPr/>
        <w:drawing>
          <wp:anchor distT="0" distB="0" distL="0" distR="0" allowOverlap="1" layoutInCell="1" locked="0" behindDoc="0" simplePos="0" relativeHeight="15910912">
            <wp:simplePos x="0" y="0"/>
            <wp:positionH relativeFrom="page">
              <wp:posOffset>1708404</wp:posOffset>
            </wp:positionH>
            <wp:positionV relativeFrom="paragraph">
              <wp:posOffset>35726</wp:posOffset>
            </wp:positionV>
            <wp:extent cx="228599" cy="115823"/>
            <wp:effectExtent l="0" t="0" r="0" b="0"/>
            <wp:wrapNone/>
            <wp:docPr id="367" name="Image 367"/>
            <wp:cNvGraphicFramePr>
              <a:graphicFrameLocks/>
            </wp:cNvGraphicFramePr>
            <a:graphic>
              <a:graphicData uri="http://schemas.openxmlformats.org/drawingml/2006/picture">
                <pic:pic>
                  <pic:nvPicPr>
                    <pic:cNvPr id="367" name="Image 367"/>
                    <pic:cNvPicPr/>
                  </pic:nvPicPr>
                  <pic:blipFill>
                    <a:blip r:embed="rId177" cstate="print"/>
                    <a:stretch>
                      <a:fillRect/>
                    </a:stretch>
                  </pic:blipFill>
                  <pic:spPr>
                    <a:xfrm>
                      <a:off x="0" y="0"/>
                      <a:ext cx="228599" cy="115823"/>
                    </a:xfrm>
                    <a:prstGeom prst="rect">
                      <a:avLst/>
                    </a:prstGeom>
                  </pic:spPr>
                </pic:pic>
              </a:graphicData>
            </a:graphic>
          </wp:anchor>
        </w:drawing>
      </w:r>
      <w:bookmarkStart w:name="xxi. Vocational training" w:id="566"/>
      <w:bookmarkEnd w:id="566"/>
      <w:r>
        <w:rPr/>
      </w:r>
      <w:r>
        <w:rPr/>
        <w:t>Vocational</w:t>
      </w:r>
      <w:r>
        <w:rPr>
          <w:spacing w:val="-4"/>
        </w:rPr>
        <w:t> </w:t>
      </w:r>
      <w:r>
        <w:rPr>
          <w:spacing w:val="-2"/>
        </w:rPr>
        <w:t>training</w:t>
      </w:r>
    </w:p>
    <w:p>
      <w:pPr>
        <w:pStyle w:val="BodyText"/>
        <w:spacing w:before="161"/>
        <w:ind w:left="2040" w:right="1059"/>
      </w:pPr>
      <w:r>
        <w:rPr/>
        <w:drawing>
          <wp:anchor distT="0" distB="0" distL="0" distR="0" allowOverlap="1" layoutInCell="1" locked="0" behindDoc="0" simplePos="0" relativeHeight="15911424">
            <wp:simplePos x="0" y="0"/>
            <wp:positionH relativeFrom="page">
              <wp:posOffset>1665732</wp:posOffset>
            </wp:positionH>
            <wp:positionV relativeFrom="paragraph">
              <wp:posOffset>134786</wp:posOffset>
            </wp:positionV>
            <wp:extent cx="271271" cy="115823"/>
            <wp:effectExtent l="0" t="0" r="0" b="0"/>
            <wp:wrapNone/>
            <wp:docPr id="368" name="Image 368"/>
            <wp:cNvGraphicFramePr>
              <a:graphicFrameLocks/>
            </wp:cNvGraphicFramePr>
            <a:graphic>
              <a:graphicData uri="http://schemas.openxmlformats.org/drawingml/2006/picture">
                <pic:pic>
                  <pic:nvPicPr>
                    <pic:cNvPr id="368" name="Image 368"/>
                    <pic:cNvPicPr/>
                  </pic:nvPicPr>
                  <pic:blipFill>
                    <a:blip r:embed="rId178" cstate="print"/>
                    <a:stretch>
                      <a:fillRect/>
                    </a:stretch>
                  </pic:blipFill>
                  <pic:spPr>
                    <a:xfrm>
                      <a:off x="0" y="0"/>
                      <a:ext cx="271271" cy="115823"/>
                    </a:xfrm>
                    <a:prstGeom prst="rect">
                      <a:avLst/>
                    </a:prstGeom>
                  </pic:spPr>
                </pic:pic>
              </a:graphicData>
            </a:graphic>
          </wp:anchor>
        </w:drawing>
      </w:r>
      <w:bookmarkStart w:name="xxii. Child care not used to support att" w:id="567"/>
      <w:bookmarkEnd w:id="567"/>
      <w:r>
        <w:rPr/>
      </w:r>
      <w:r>
        <w:rPr/>
        <w:t>Child</w:t>
      </w:r>
      <w:r>
        <w:rPr>
          <w:spacing w:val="-3"/>
        </w:rPr>
        <w:t> </w:t>
      </w:r>
      <w:r>
        <w:rPr/>
        <w:t>care</w:t>
      </w:r>
      <w:r>
        <w:rPr>
          <w:spacing w:val="-4"/>
        </w:rPr>
        <w:t> </w:t>
      </w:r>
      <w:r>
        <w:rPr/>
        <w:t>not</w:t>
      </w:r>
      <w:r>
        <w:rPr>
          <w:spacing w:val="-3"/>
        </w:rPr>
        <w:t> </w:t>
      </w:r>
      <w:r>
        <w:rPr/>
        <w:t>used</w:t>
      </w:r>
      <w:r>
        <w:rPr>
          <w:spacing w:val="-3"/>
        </w:rPr>
        <w:t> </w:t>
      </w:r>
      <w:r>
        <w:rPr/>
        <w:t>to</w:t>
      </w:r>
      <w:r>
        <w:rPr>
          <w:spacing w:val="-3"/>
        </w:rPr>
        <w:t> </w:t>
      </w:r>
      <w:r>
        <w:rPr/>
        <w:t>support</w:t>
      </w:r>
      <w:r>
        <w:rPr>
          <w:spacing w:val="-3"/>
        </w:rPr>
        <w:t> </w:t>
      </w:r>
      <w:r>
        <w:rPr/>
        <w:t>attendance</w:t>
      </w:r>
      <w:r>
        <w:rPr>
          <w:spacing w:val="-4"/>
        </w:rPr>
        <w:t> </w:t>
      </w:r>
      <w:r>
        <w:rPr/>
        <w:t>of</w:t>
      </w:r>
      <w:r>
        <w:rPr>
          <w:spacing w:val="-4"/>
        </w:rPr>
        <w:t> </w:t>
      </w:r>
      <w:r>
        <w:rPr/>
        <w:t>medical</w:t>
      </w:r>
      <w:r>
        <w:rPr>
          <w:spacing w:val="-3"/>
        </w:rPr>
        <w:t> </w:t>
      </w:r>
      <w:r>
        <w:rPr/>
        <w:t>or</w:t>
      </w:r>
      <w:r>
        <w:rPr>
          <w:spacing w:val="-4"/>
        </w:rPr>
        <w:t> </w:t>
      </w:r>
      <w:r>
        <w:rPr/>
        <w:t>other</w:t>
      </w:r>
      <w:r>
        <w:rPr>
          <w:spacing w:val="-4"/>
        </w:rPr>
        <w:t> </w:t>
      </w:r>
      <w:r>
        <w:rPr/>
        <w:t>health-related </w:t>
      </w:r>
      <w:r>
        <w:rPr>
          <w:spacing w:val="-2"/>
        </w:rPr>
        <w:t>appointments</w:t>
      </w:r>
    </w:p>
    <w:p>
      <w:pPr>
        <w:pStyle w:val="BodyText"/>
        <w:spacing w:line="379" w:lineRule="auto" w:before="158"/>
        <w:ind w:left="2040" w:right="2435"/>
      </w:pPr>
      <w:r>
        <w:rPr/>
        <w:drawing>
          <wp:anchor distT="0" distB="0" distL="0" distR="0" allowOverlap="1" layoutInCell="1" locked="0" behindDoc="0" simplePos="0" relativeHeight="15911936">
            <wp:simplePos x="0" y="0"/>
            <wp:positionH relativeFrom="page">
              <wp:posOffset>1624583</wp:posOffset>
            </wp:positionH>
            <wp:positionV relativeFrom="paragraph">
              <wp:posOffset>132881</wp:posOffset>
            </wp:positionV>
            <wp:extent cx="312419" cy="115823"/>
            <wp:effectExtent l="0" t="0" r="0" b="0"/>
            <wp:wrapNone/>
            <wp:docPr id="369" name="Image 369"/>
            <wp:cNvGraphicFramePr>
              <a:graphicFrameLocks/>
            </wp:cNvGraphicFramePr>
            <a:graphic>
              <a:graphicData uri="http://schemas.openxmlformats.org/drawingml/2006/picture">
                <pic:pic>
                  <pic:nvPicPr>
                    <pic:cNvPr id="369" name="Image 369"/>
                    <pic:cNvPicPr/>
                  </pic:nvPicPr>
                  <pic:blipFill>
                    <a:blip r:embed="rId179" cstate="print"/>
                    <a:stretch>
                      <a:fillRect/>
                    </a:stretch>
                  </pic:blipFill>
                  <pic:spPr>
                    <a:xfrm>
                      <a:off x="0" y="0"/>
                      <a:ext cx="312419" cy="115823"/>
                    </a:xfrm>
                    <a:prstGeom prst="rect">
                      <a:avLst/>
                    </a:prstGeom>
                  </pic:spPr>
                </pic:pic>
              </a:graphicData>
            </a:graphic>
          </wp:anchor>
        </w:drawing>
      </w:r>
      <w:r>
        <w:rPr/>
        <w:drawing>
          <wp:anchor distT="0" distB="0" distL="0" distR="0" allowOverlap="1" layoutInCell="1" locked="0" behindDoc="0" simplePos="0" relativeHeight="15912448">
            <wp:simplePos x="0" y="0"/>
            <wp:positionH relativeFrom="page">
              <wp:posOffset>1632204</wp:posOffset>
            </wp:positionH>
            <wp:positionV relativeFrom="paragraph">
              <wp:posOffset>410249</wp:posOffset>
            </wp:positionV>
            <wp:extent cx="304799" cy="115823"/>
            <wp:effectExtent l="0" t="0" r="0" b="0"/>
            <wp:wrapNone/>
            <wp:docPr id="370" name="Image 370"/>
            <wp:cNvGraphicFramePr>
              <a:graphicFrameLocks/>
            </wp:cNvGraphicFramePr>
            <a:graphic>
              <a:graphicData uri="http://schemas.openxmlformats.org/drawingml/2006/picture">
                <pic:pic>
                  <pic:nvPicPr>
                    <pic:cNvPr id="370" name="Image 370"/>
                    <pic:cNvPicPr/>
                  </pic:nvPicPr>
                  <pic:blipFill>
                    <a:blip r:embed="rId180" cstate="print"/>
                    <a:stretch>
                      <a:fillRect/>
                    </a:stretch>
                  </pic:blipFill>
                  <pic:spPr>
                    <a:xfrm>
                      <a:off x="0" y="0"/>
                      <a:ext cx="304799" cy="115823"/>
                    </a:xfrm>
                    <a:prstGeom prst="rect">
                      <a:avLst/>
                    </a:prstGeom>
                  </pic:spPr>
                </pic:pic>
              </a:graphicData>
            </a:graphic>
          </wp:anchor>
        </w:drawing>
      </w:r>
      <w:bookmarkStart w:name="xxiii. Social activities not related to " w:id="568"/>
      <w:bookmarkEnd w:id="568"/>
      <w:r>
        <w:rPr/>
      </w:r>
      <w:r>
        <w:rPr/>
        <w:t>Social</w:t>
      </w:r>
      <w:r>
        <w:rPr>
          <w:spacing w:val="-5"/>
        </w:rPr>
        <w:t> </w:t>
      </w:r>
      <w:r>
        <w:rPr/>
        <w:t>activities</w:t>
      </w:r>
      <w:r>
        <w:rPr>
          <w:spacing w:val="-5"/>
        </w:rPr>
        <w:t> </w:t>
      </w:r>
      <w:r>
        <w:rPr/>
        <w:t>not</w:t>
      </w:r>
      <w:r>
        <w:rPr>
          <w:spacing w:val="-5"/>
        </w:rPr>
        <w:t> </w:t>
      </w:r>
      <w:r>
        <w:rPr/>
        <w:t>related</w:t>
      </w:r>
      <w:r>
        <w:rPr>
          <w:spacing w:val="-5"/>
        </w:rPr>
        <w:t> </w:t>
      </w:r>
      <w:r>
        <w:rPr/>
        <w:t>to</w:t>
      </w:r>
      <w:r>
        <w:rPr>
          <w:spacing w:val="-5"/>
        </w:rPr>
        <w:t> </w:t>
      </w:r>
      <w:r>
        <w:rPr/>
        <w:t>the</w:t>
      </w:r>
      <w:r>
        <w:rPr>
          <w:spacing w:val="-6"/>
        </w:rPr>
        <w:t> </w:t>
      </w:r>
      <w:r>
        <w:rPr/>
        <w:t>health</w:t>
      </w:r>
      <w:r>
        <w:rPr>
          <w:spacing w:val="-5"/>
        </w:rPr>
        <w:t> </w:t>
      </w:r>
      <w:r>
        <w:rPr/>
        <w:t>of</w:t>
      </w:r>
      <w:r>
        <w:rPr>
          <w:spacing w:val="-6"/>
        </w:rPr>
        <w:t> </w:t>
      </w:r>
      <w:r>
        <w:rPr/>
        <w:t>an</w:t>
      </w:r>
      <w:r>
        <w:rPr>
          <w:spacing w:val="-5"/>
        </w:rPr>
        <w:t> </w:t>
      </w:r>
      <w:r>
        <w:rPr/>
        <w:t>individual </w:t>
      </w:r>
      <w:bookmarkStart w:name="xxiv. Hobbies (materials or courses)" w:id="569"/>
      <w:bookmarkEnd w:id="569"/>
      <w:r>
        <w:rPr/>
        <w:t>H</w:t>
      </w:r>
      <w:r>
        <w:rPr/>
        <w:t>obbies (materials or courses)</w:t>
      </w:r>
    </w:p>
    <w:p>
      <w:pPr>
        <w:pStyle w:val="BodyText"/>
        <w:spacing w:line="376" w:lineRule="auto" w:before="2"/>
        <w:ind w:left="2040" w:right="2435"/>
      </w:pPr>
      <w:r>
        <w:rPr/>
        <w:drawing>
          <wp:anchor distT="0" distB="0" distL="0" distR="0" allowOverlap="1" layoutInCell="1" locked="0" behindDoc="0" simplePos="0" relativeHeight="15912960">
            <wp:simplePos x="0" y="0"/>
            <wp:positionH relativeFrom="page">
              <wp:posOffset>1674875</wp:posOffset>
            </wp:positionH>
            <wp:positionV relativeFrom="paragraph">
              <wp:posOffset>71921</wp:posOffset>
            </wp:positionV>
            <wp:extent cx="262127" cy="77723"/>
            <wp:effectExtent l="0" t="0" r="0" b="0"/>
            <wp:wrapNone/>
            <wp:docPr id="371" name="Image 371"/>
            <wp:cNvGraphicFramePr>
              <a:graphicFrameLocks/>
            </wp:cNvGraphicFramePr>
            <a:graphic>
              <a:graphicData uri="http://schemas.openxmlformats.org/drawingml/2006/picture">
                <pic:pic>
                  <pic:nvPicPr>
                    <pic:cNvPr id="371" name="Image 371"/>
                    <pic:cNvPicPr/>
                  </pic:nvPicPr>
                  <pic:blipFill>
                    <a:blip r:embed="rId181" cstate="print"/>
                    <a:stretch>
                      <a:fillRect/>
                    </a:stretch>
                  </pic:blipFill>
                  <pic:spPr>
                    <a:xfrm>
                      <a:off x="0" y="0"/>
                      <a:ext cx="262127" cy="77723"/>
                    </a:xfrm>
                    <a:prstGeom prst="rect">
                      <a:avLst/>
                    </a:prstGeom>
                  </pic:spPr>
                </pic:pic>
              </a:graphicData>
            </a:graphic>
          </wp:anchor>
        </w:drawing>
      </w:r>
      <w:r>
        <w:rPr/>
        <w:drawing>
          <wp:anchor distT="0" distB="0" distL="0" distR="0" allowOverlap="1" layoutInCell="1" locked="0" behindDoc="0" simplePos="0" relativeHeight="15913472">
            <wp:simplePos x="0" y="0"/>
            <wp:positionH relativeFrom="page">
              <wp:posOffset>1632204</wp:posOffset>
            </wp:positionH>
            <wp:positionV relativeFrom="paragraph">
              <wp:posOffset>309665</wp:posOffset>
            </wp:positionV>
            <wp:extent cx="304799" cy="115823"/>
            <wp:effectExtent l="0" t="0" r="0" b="0"/>
            <wp:wrapNone/>
            <wp:docPr id="372" name="Image 372"/>
            <wp:cNvGraphicFramePr>
              <a:graphicFrameLocks/>
            </wp:cNvGraphicFramePr>
            <a:graphic>
              <a:graphicData uri="http://schemas.openxmlformats.org/drawingml/2006/picture">
                <pic:pic>
                  <pic:nvPicPr>
                    <pic:cNvPr id="372" name="Image 372"/>
                    <pic:cNvPicPr/>
                  </pic:nvPicPr>
                  <pic:blipFill>
                    <a:blip r:embed="rId182" cstate="print"/>
                    <a:stretch>
                      <a:fillRect/>
                    </a:stretch>
                  </pic:blipFill>
                  <pic:spPr>
                    <a:xfrm>
                      <a:off x="0" y="0"/>
                      <a:ext cx="304799" cy="115823"/>
                    </a:xfrm>
                    <a:prstGeom prst="rect">
                      <a:avLst/>
                    </a:prstGeom>
                  </pic:spPr>
                </pic:pic>
              </a:graphicData>
            </a:graphic>
          </wp:anchor>
        </w:drawing>
      </w:r>
      <w:bookmarkStart w:name="xxv. Clothing (beyond specialized clothi" w:id="570"/>
      <w:bookmarkEnd w:id="570"/>
      <w:r>
        <w:rPr/>
      </w:r>
      <w:r>
        <w:rPr/>
        <w:t>Clothing</w:t>
      </w:r>
      <w:r>
        <w:rPr>
          <w:spacing w:val="-8"/>
        </w:rPr>
        <w:t> </w:t>
      </w:r>
      <w:r>
        <w:rPr/>
        <w:t>(beyond</w:t>
      </w:r>
      <w:r>
        <w:rPr>
          <w:spacing w:val="-5"/>
        </w:rPr>
        <w:t> </w:t>
      </w:r>
      <w:r>
        <w:rPr/>
        <w:t>specialized</w:t>
      </w:r>
      <w:r>
        <w:rPr>
          <w:spacing w:val="-5"/>
        </w:rPr>
        <w:t> </w:t>
      </w:r>
      <w:r>
        <w:rPr/>
        <w:t>clothing</w:t>
      </w:r>
      <w:r>
        <w:rPr>
          <w:spacing w:val="-8"/>
        </w:rPr>
        <w:t> </w:t>
      </w:r>
      <w:r>
        <w:rPr/>
        <w:t>necessary</w:t>
      </w:r>
      <w:r>
        <w:rPr>
          <w:spacing w:val="-10"/>
        </w:rPr>
        <w:t> </w:t>
      </w:r>
      <w:r>
        <w:rPr/>
        <w:t>for</w:t>
      </w:r>
      <w:r>
        <w:rPr>
          <w:spacing w:val="-6"/>
        </w:rPr>
        <w:t> </w:t>
      </w:r>
      <w:r>
        <w:rPr/>
        <w:t>fitness) </w:t>
      </w:r>
      <w:bookmarkStart w:name="xxvi. Auto repairs not related to access" w:id="571"/>
      <w:bookmarkEnd w:id="571"/>
      <w:r>
        <w:rPr/>
        <w:t>A</w:t>
      </w:r>
      <w:r>
        <w:rPr/>
        <w:t>uto repairs not related to accessibility</w:t>
      </w:r>
    </w:p>
    <w:p>
      <w:pPr>
        <w:pStyle w:val="BodyText"/>
        <w:spacing w:before="43"/>
        <w:ind w:left="1411" w:right="1141"/>
      </w:pPr>
      <w:r>
        <w:rPr/>
        <w:drawing>
          <wp:anchor distT="0" distB="0" distL="0" distR="0" allowOverlap="1" layoutInCell="1" locked="0" behindDoc="0" simplePos="0" relativeHeight="15913984">
            <wp:simplePos x="0" y="0"/>
            <wp:positionH relativeFrom="page">
              <wp:posOffset>1431036</wp:posOffset>
            </wp:positionH>
            <wp:positionV relativeFrom="paragraph">
              <wp:posOffset>94908</wp:posOffset>
            </wp:positionV>
            <wp:extent cx="96011" cy="80771"/>
            <wp:effectExtent l="0" t="0" r="0" b="0"/>
            <wp:wrapNone/>
            <wp:docPr id="373" name="Image 373"/>
            <wp:cNvGraphicFramePr>
              <a:graphicFrameLocks/>
            </wp:cNvGraphicFramePr>
            <a:graphic>
              <a:graphicData uri="http://schemas.openxmlformats.org/drawingml/2006/picture">
                <pic:pic>
                  <pic:nvPicPr>
                    <pic:cNvPr id="373" name="Image 373"/>
                    <pic:cNvPicPr/>
                  </pic:nvPicPr>
                  <pic:blipFill>
                    <a:blip r:embed="rId183" cstate="print"/>
                    <a:stretch>
                      <a:fillRect/>
                    </a:stretch>
                  </pic:blipFill>
                  <pic:spPr>
                    <a:xfrm>
                      <a:off x="0" y="0"/>
                      <a:ext cx="96011" cy="80771"/>
                    </a:xfrm>
                    <a:prstGeom prst="rect">
                      <a:avLst/>
                    </a:prstGeom>
                  </pic:spPr>
                </pic:pic>
              </a:graphicData>
            </a:graphic>
          </wp:anchor>
        </w:drawing>
      </w:r>
      <w:bookmarkStart w:name="e. At-Risk DSRIP Funding. A portion of D" w:id="572"/>
      <w:bookmarkEnd w:id="572"/>
      <w:r>
        <w:rPr/>
      </w:r>
      <w:r>
        <w:rPr>
          <w:b/>
        </w:rPr>
        <w:t>At-Risk</w:t>
      </w:r>
      <w:r>
        <w:rPr>
          <w:b/>
          <w:spacing w:val="-4"/>
        </w:rPr>
        <w:t> </w:t>
      </w:r>
      <w:r>
        <w:rPr>
          <w:b/>
        </w:rPr>
        <w:t>DSRIP</w:t>
      </w:r>
      <w:r>
        <w:rPr>
          <w:b/>
          <w:spacing w:val="-5"/>
        </w:rPr>
        <w:t> </w:t>
      </w:r>
      <w:r>
        <w:rPr>
          <w:b/>
        </w:rPr>
        <w:t>Funding.</w:t>
      </w:r>
      <w:r>
        <w:rPr>
          <w:b/>
          <w:spacing w:val="-4"/>
        </w:rPr>
        <w:t> </w:t>
      </w:r>
      <w:r>
        <w:rPr/>
        <w:t>A</w:t>
      </w:r>
      <w:r>
        <w:rPr>
          <w:spacing w:val="-5"/>
        </w:rPr>
        <w:t> </w:t>
      </w:r>
      <w:r>
        <w:rPr/>
        <w:t>portion</w:t>
      </w:r>
      <w:r>
        <w:rPr>
          <w:spacing w:val="-4"/>
        </w:rPr>
        <w:t> </w:t>
      </w:r>
      <w:r>
        <w:rPr/>
        <w:t>of</w:t>
      </w:r>
      <w:r>
        <w:rPr>
          <w:spacing w:val="-5"/>
        </w:rPr>
        <w:t> </w:t>
      </w:r>
      <w:r>
        <w:rPr/>
        <w:t>DSRIP</w:t>
      </w:r>
      <w:r>
        <w:rPr>
          <w:spacing w:val="-4"/>
        </w:rPr>
        <w:t> </w:t>
      </w:r>
      <w:r>
        <w:rPr/>
        <w:t>ACO</w:t>
      </w:r>
      <w:r>
        <w:rPr>
          <w:spacing w:val="-5"/>
        </w:rPr>
        <w:t> </w:t>
      </w:r>
      <w:r>
        <w:rPr/>
        <w:t>startup/ongoing</w:t>
      </w:r>
      <w:r>
        <w:rPr>
          <w:spacing w:val="-6"/>
        </w:rPr>
        <w:t> </w:t>
      </w:r>
      <w:r>
        <w:rPr/>
        <w:t>funds</w:t>
      </w:r>
      <w:r>
        <w:rPr>
          <w:spacing w:val="-4"/>
        </w:rPr>
        <w:t> </w:t>
      </w:r>
      <w:r>
        <w:rPr/>
        <w:t>and glide path funding will be at-risk. An ACO’s DSRIP Accountability Score will determine the amount of at-risk funding that is earned (STC 8.19).</w:t>
      </w:r>
    </w:p>
    <w:p>
      <w:pPr>
        <w:pStyle w:val="BodyText"/>
        <w:spacing w:before="10"/>
        <w:rPr>
          <w:sz w:val="20"/>
        </w:rPr>
      </w:pPr>
    </w:p>
    <w:p>
      <w:pPr>
        <w:pStyle w:val="BodyText"/>
        <w:ind w:left="1411" w:right="1059"/>
      </w:pPr>
      <w:r>
        <w:rPr/>
        <w:drawing>
          <wp:anchor distT="0" distB="0" distL="0" distR="0" allowOverlap="1" layoutInCell="1" locked="0" behindDoc="0" simplePos="0" relativeHeight="15914496">
            <wp:simplePos x="0" y="0"/>
            <wp:positionH relativeFrom="page">
              <wp:posOffset>1431036</wp:posOffset>
            </wp:positionH>
            <wp:positionV relativeFrom="paragraph">
              <wp:posOffset>32551</wp:posOffset>
            </wp:positionV>
            <wp:extent cx="79247" cy="115823"/>
            <wp:effectExtent l="0" t="0" r="0" b="0"/>
            <wp:wrapNone/>
            <wp:docPr id="374" name="Image 374"/>
            <wp:cNvGraphicFramePr>
              <a:graphicFrameLocks/>
            </wp:cNvGraphicFramePr>
            <a:graphic>
              <a:graphicData uri="http://schemas.openxmlformats.org/drawingml/2006/picture">
                <pic:pic>
                  <pic:nvPicPr>
                    <pic:cNvPr id="374" name="Image 374"/>
                    <pic:cNvPicPr/>
                  </pic:nvPicPr>
                  <pic:blipFill>
                    <a:blip r:embed="rId94" cstate="print"/>
                    <a:stretch>
                      <a:fillRect/>
                    </a:stretch>
                  </pic:blipFill>
                  <pic:spPr>
                    <a:xfrm>
                      <a:off x="0" y="0"/>
                      <a:ext cx="79247" cy="115823"/>
                    </a:xfrm>
                    <a:prstGeom prst="rect">
                      <a:avLst/>
                    </a:prstGeom>
                  </pic:spPr>
                </pic:pic>
              </a:graphicData>
            </a:graphic>
          </wp:anchor>
        </w:drawing>
      </w:r>
      <w:bookmarkStart w:name="f. Startup/ongoing support. The PMPM amo" w:id="573"/>
      <w:bookmarkEnd w:id="573"/>
      <w:r>
        <w:rPr/>
      </w:r>
      <w:r>
        <w:rPr>
          <w:b/>
        </w:rPr>
        <w:t>Startup/ongoing</w:t>
      </w:r>
      <w:r>
        <w:rPr>
          <w:b/>
          <w:spacing w:val="-1"/>
        </w:rPr>
        <w:t> </w:t>
      </w:r>
      <w:r>
        <w:rPr>
          <w:b/>
        </w:rPr>
        <w:t>support.</w:t>
      </w:r>
      <w:r>
        <w:rPr>
          <w:b/>
          <w:spacing w:val="-1"/>
        </w:rPr>
        <w:t> </w:t>
      </w:r>
      <w:r>
        <w:rPr/>
        <w:t>The</w:t>
      </w:r>
      <w:r>
        <w:rPr>
          <w:spacing w:val="-2"/>
        </w:rPr>
        <w:t> </w:t>
      </w:r>
      <w:r>
        <w:rPr/>
        <w:t>PMPM</w:t>
      </w:r>
      <w:r>
        <w:rPr>
          <w:spacing w:val="-1"/>
        </w:rPr>
        <w:t> </w:t>
      </w:r>
      <w:r>
        <w:rPr/>
        <w:t>amount</w:t>
      </w:r>
      <w:r>
        <w:rPr>
          <w:spacing w:val="-1"/>
        </w:rPr>
        <w:t> </w:t>
      </w:r>
      <w:r>
        <w:rPr/>
        <w:t>for</w:t>
      </w:r>
      <w:r>
        <w:rPr>
          <w:spacing w:val="-2"/>
        </w:rPr>
        <w:t> </w:t>
      </w:r>
      <w:r>
        <w:rPr/>
        <w:t>startup/ongoing</w:t>
      </w:r>
      <w:r>
        <w:rPr>
          <w:spacing w:val="-4"/>
        </w:rPr>
        <w:t> </w:t>
      </w:r>
      <w:r>
        <w:rPr/>
        <w:t>funds</w:t>
      </w:r>
      <w:r>
        <w:rPr>
          <w:spacing w:val="-1"/>
        </w:rPr>
        <w:t> </w:t>
      </w:r>
      <w:r>
        <w:rPr/>
        <w:t>varies</w:t>
      </w:r>
      <w:r>
        <w:rPr>
          <w:spacing w:val="-1"/>
        </w:rPr>
        <w:t> </w:t>
      </w:r>
      <w:r>
        <w:rPr/>
        <w:t>for each</w:t>
      </w:r>
      <w:r>
        <w:rPr>
          <w:spacing w:val="-4"/>
        </w:rPr>
        <w:t> </w:t>
      </w:r>
      <w:r>
        <w:rPr/>
        <w:t>ACO,</w:t>
      </w:r>
      <w:r>
        <w:rPr>
          <w:spacing w:val="-4"/>
        </w:rPr>
        <w:t> </w:t>
      </w:r>
      <w:r>
        <w:rPr/>
        <w:t>depending</w:t>
      </w:r>
      <w:r>
        <w:rPr>
          <w:spacing w:val="-7"/>
        </w:rPr>
        <w:t> </w:t>
      </w:r>
      <w:r>
        <w:rPr/>
        <w:t>on</w:t>
      </w:r>
      <w:r>
        <w:rPr>
          <w:spacing w:val="-2"/>
        </w:rPr>
        <w:t> </w:t>
      </w:r>
      <w:r>
        <w:rPr/>
        <w:t>adjustments</w:t>
      </w:r>
      <w:r>
        <w:rPr>
          <w:spacing w:val="-4"/>
        </w:rPr>
        <w:t> </w:t>
      </w:r>
      <w:r>
        <w:rPr/>
        <w:t>based</w:t>
      </w:r>
      <w:r>
        <w:rPr>
          <w:spacing w:val="-4"/>
        </w:rPr>
        <w:t> </w:t>
      </w:r>
      <w:r>
        <w:rPr/>
        <w:t>on</w:t>
      </w:r>
      <w:r>
        <w:rPr>
          <w:spacing w:val="-4"/>
        </w:rPr>
        <w:t> </w:t>
      </w:r>
      <w:r>
        <w:rPr/>
        <w:t>the</w:t>
      </w:r>
      <w:r>
        <w:rPr>
          <w:spacing w:val="-5"/>
        </w:rPr>
        <w:t> </w:t>
      </w:r>
      <w:r>
        <w:rPr/>
        <w:t>following</w:t>
      </w:r>
      <w:r>
        <w:rPr>
          <w:spacing w:val="-4"/>
        </w:rPr>
        <w:t> </w:t>
      </w:r>
      <w:r>
        <w:rPr/>
        <w:t>factors,</w:t>
      </w:r>
      <w:r>
        <w:rPr>
          <w:spacing w:val="-2"/>
        </w:rPr>
        <w:t> </w:t>
      </w:r>
      <w:r>
        <w:rPr/>
        <w:t>as</w:t>
      </w:r>
      <w:r>
        <w:rPr>
          <w:spacing w:val="-4"/>
        </w:rPr>
        <w:t> </w:t>
      </w:r>
      <w:r>
        <w:rPr/>
        <w:t>determined by MassHealth: the ACO’s payer revenue mix, the ACO model and risk track selected and the number of ACO members attributed to community health centers (see DSRIP Protocol Section 4.4.1).</w:t>
      </w:r>
    </w:p>
    <w:p>
      <w:pPr>
        <w:pStyle w:val="BodyText"/>
        <w:spacing w:before="10"/>
        <w:rPr>
          <w:sz w:val="20"/>
        </w:rPr>
      </w:pPr>
    </w:p>
    <w:p>
      <w:pPr>
        <w:spacing w:before="0"/>
        <w:ind w:left="1411" w:right="1086" w:firstLine="0"/>
        <w:jc w:val="left"/>
        <w:rPr>
          <w:sz w:val="24"/>
        </w:rPr>
      </w:pPr>
      <w:r>
        <w:rPr/>
        <w:drawing>
          <wp:anchor distT="0" distB="0" distL="0" distR="0" allowOverlap="1" layoutInCell="1" locked="0" behindDoc="0" simplePos="0" relativeHeight="15915008">
            <wp:simplePos x="0" y="0"/>
            <wp:positionH relativeFrom="page">
              <wp:posOffset>1429511</wp:posOffset>
            </wp:positionH>
            <wp:positionV relativeFrom="paragraph">
              <wp:posOffset>67603</wp:posOffset>
            </wp:positionV>
            <wp:extent cx="105155" cy="111251"/>
            <wp:effectExtent l="0" t="0" r="0" b="0"/>
            <wp:wrapNone/>
            <wp:docPr id="375" name="Image 375"/>
            <wp:cNvGraphicFramePr>
              <a:graphicFrameLocks/>
            </wp:cNvGraphicFramePr>
            <a:graphic>
              <a:graphicData uri="http://schemas.openxmlformats.org/drawingml/2006/picture">
                <pic:pic>
                  <pic:nvPicPr>
                    <pic:cNvPr id="375" name="Image 375"/>
                    <pic:cNvPicPr/>
                  </pic:nvPicPr>
                  <pic:blipFill>
                    <a:blip r:embed="rId184" cstate="print"/>
                    <a:stretch>
                      <a:fillRect/>
                    </a:stretch>
                  </pic:blipFill>
                  <pic:spPr>
                    <a:xfrm>
                      <a:off x="0" y="0"/>
                      <a:ext cx="105155" cy="111251"/>
                    </a:xfrm>
                    <a:prstGeom prst="rect">
                      <a:avLst/>
                    </a:prstGeom>
                  </pic:spPr>
                </pic:pic>
              </a:graphicData>
            </a:graphic>
          </wp:anchor>
        </w:drawing>
      </w:r>
      <w:bookmarkStart w:name="g. DSRIP Flexible services support. The " w:id="574"/>
      <w:bookmarkEnd w:id="574"/>
      <w:r>
        <w:rPr/>
      </w:r>
      <w:r>
        <w:rPr>
          <w:b/>
          <w:sz w:val="24"/>
        </w:rPr>
        <w:t>DSRIP</w:t>
      </w:r>
      <w:r>
        <w:rPr>
          <w:b/>
          <w:spacing w:val="-5"/>
          <w:sz w:val="24"/>
        </w:rPr>
        <w:t> </w:t>
      </w:r>
      <w:r>
        <w:rPr>
          <w:b/>
          <w:sz w:val="24"/>
        </w:rPr>
        <w:t>Flexible</w:t>
      </w:r>
      <w:r>
        <w:rPr>
          <w:b/>
          <w:spacing w:val="-5"/>
          <w:sz w:val="24"/>
        </w:rPr>
        <w:t> </w:t>
      </w:r>
      <w:r>
        <w:rPr>
          <w:b/>
          <w:sz w:val="24"/>
        </w:rPr>
        <w:t>services</w:t>
      </w:r>
      <w:r>
        <w:rPr>
          <w:b/>
          <w:spacing w:val="-2"/>
          <w:sz w:val="24"/>
        </w:rPr>
        <w:t> </w:t>
      </w:r>
      <w:r>
        <w:rPr>
          <w:b/>
          <w:sz w:val="24"/>
        </w:rPr>
        <w:t>support.</w:t>
      </w:r>
      <w:r>
        <w:rPr>
          <w:b/>
          <w:spacing w:val="-4"/>
          <w:sz w:val="24"/>
        </w:rPr>
        <w:t> </w:t>
      </w:r>
      <w:r>
        <w:rPr>
          <w:sz w:val="24"/>
        </w:rPr>
        <w:t>The</w:t>
      </w:r>
      <w:r>
        <w:rPr>
          <w:spacing w:val="-5"/>
          <w:sz w:val="24"/>
        </w:rPr>
        <w:t> </w:t>
      </w:r>
      <w:r>
        <w:rPr>
          <w:sz w:val="24"/>
        </w:rPr>
        <w:t>PMPM</w:t>
      </w:r>
      <w:r>
        <w:rPr>
          <w:spacing w:val="-4"/>
          <w:sz w:val="24"/>
        </w:rPr>
        <w:t> </w:t>
      </w:r>
      <w:r>
        <w:rPr>
          <w:sz w:val="24"/>
        </w:rPr>
        <w:t>amount</w:t>
      </w:r>
      <w:r>
        <w:rPr>
          <w:spacing w:val="-4"/>
          <w:sz w:val="24"/>
        </w:rPr>
        <w:t> </w:t>
      </w:r>
      <w:r>
        <w:rPr>
          <w:sz w:val="24"/>
        </w:rPr>
        <w:t>for</w:t>
      </w:r>
      <w:r>
        <w:rPr>
          <w:spacing w:val="-5"/>
          <w:sz w:val="24"/>
        </w:rPr>
        <w:t> </w:t>
      </w:r>
      <w:r>
        <w:rPr>
          <w:sz w:val="24"/>
        </w:rPr>
        <w:t>DSRIP</w:t>
      </w:r>
      <w:r>
        <w:rPr>
          <w:spacing w:val="-4"/>
          <w:sz w:val="24"/>
        </w:rPr>
        <w:t> </w:t>
      </w:r>
      <w:r>
        <w:rPr>
          <w:sz w:val="24"/>
        </w:rPr>
        <w:t>flexible</w:t>
      </w:r>
      <w:r>
        <w:rPr>
          <w:spacing w:val="-5"/>
          <w:sz w:val="24"/>
        </w:rPr>
        <w:t> </w:t>
      </w:r>
      <w:r>
        <w:rPr>
          <w:sz w:val="24"/>
        </w:rPr>
        <w:t>services is the same for every ACO.</w:t>
      </w:r>
    </w:p>
    <w:p>
      <w:pPr>
        <w:pStyle w:val="BodyText"/>
        <w:spacing w:before="10"/>
        <w:rPr>
          <w:sz w:val="20"/>
        </w:rPr>
      </w:pPr>
    </w:p>
    <w:p>
      <w:pPr>
        <w:pStyle w:val="BodyText"/>
        <w:ind w:left="871" w:right="1059"/>
      </w:pPr>
      <w:r>
        <w:rPr/>
        <w:drawing>
          <wp:anchor distT="0" distB="0" distL="0" distR="0" allowOverlap="1" layoutInCell="1" locked="0" behindDoc="0" simplePos="0" relativeHeight="15915520">
            <wp:simplePos x="0" y="0"/>
            <wp:positionH relativeFrom="page">
              <wp:posOffset>908303</wp:posOffset>
            </wp:positionH>
            <wp:positionV relativeFrom="paragraph">
              <wp:posOffset>35599</wp:posOffset>
            </wp:positionV>
            <wp:extent cx="283463" cy="112775"/>
            <wp:effectExtent l="0" t="0" r="0" b="0"/>
            <wp:wrapNone/>
            <wp:docPr id="376" name="Image 376"/>
            <wp:cNvGraphicFramePr>
              <a:graphicFrameLocks/>
            </wp:cNvGraphicFramePr>
            <a:graphic>
              <a:graphicData uri="http://schemas.openxmlformats.org/drawingml/2006/picture">
                <pic:pic>
                  <pic:nvPicPr>
                    <pic:cNvPr id="376" name="Image 376"/>
                    <pic:cNvPicPr/>
                  </pic:nvPicPr>
                  <pic:blipFill>
                    <a:blip r:embed="rId185" cstate="print"/>
                    <a:stretch>
                      <a:fillRect/>
                    </a:stretch>
                  </pic:blipFill>
                  <pic:spPr>
                    <a:xfrm>
                      <a:off x="0" y="0"/>
                      <a:ext cx="283463" cy="112775"/>
                    </a:xfrm>
                    <a:prstGeom prst="rect">
                      <a:avLst/>
                    </a:prstGeom>
                  </pic:spPr>
                </pic:pic>
              </a:graphicData>
            </a:graphic>
          </wp:anchor>
        </w:drawing>
      </w:r>
      <w:bookmarkStart w:name="12.8. Community Partners. The following " w:id="575"/>
      <w:bookmarkEnd w:id="575"/>
      <w:r>
        <w:rPr/>
      </w:r>
      <w:r>
        <w:rPr>
          <w:b/>
        </w:rPr>
        <w:t>Community Partners. </w:t>
      </w:r>
      <w:r>
        <w:rPr/>
        <w:t>The following description applies to the Community Partners program under DSRIP.</w:t>
      </w:r>
      <w:r>
        <w:rPr>
          <w:spacing w:val="40"/>
        </w:rPr>
        <w:t> </w:t>
      </w:r>
      <w:r>
        <w:rPr/>
        <w:t>See STC 8.11 for information about the Community Partners program</w:t>
      </w:r>
      <w:r>
        <w:rPr>
          <w:spacing w:val="-4"/>
        </w:rPr>
        <w:t> </w:t>
      </w:r>
      <w:r>
        <w:rPr/>
        <w:t>as</w:t>
      </w:r>
      <w:r>
        <w:rPr>
          <w:spacing w:val="-4"/>
        </w:rPr>
        <w:t> </w:t>
      </w:r>
      <w:r>
        <w:rPr/>
        <w:t>of</w:t>
      </w:r>
      <w:r>
        <w:rPr>
          <w:spacing w:val="-3"/>
        </w:rPr>
        <w:t> </w:t>
      </w:r>
      <w:r>
        <w:rPr/>
        <w:t>April</w:t>
      </w:r>
      <w:r>
        <w:rPr>
          <w:spacing w:val="-4"/>
        </w:rPr>
        <w:t> </w:t>
      </w:r>
      <w:r>
        <w:rPr/>
        <w:t>1,</w:t>
      </w:r>
      <w:r>
        <w:rPr>
          <w:spacing w:val="-4"/>
        </w:rPr>
        <w:t> </w:t>
      </w:r>
      <w:r>
        <w:rPr/>
        <w:t>2023.</w:t>
      </w:r>
      <w:r>
        <w:rPr>
          <w:spacing w:val="40"/>
        </w:rPr>
        <w:t> </w:t>
      </w:r>
      <w:r>
        <w:rPr/>
        <w:t>Certified</w:t>
      </w:r>
      <w:r>
        <w:rPr>
          <w:spacing w:val="-4"/>
        </w:rPr>
        <w:t> </w:t>
      </w:r>
      <w:r>
        <w:rPr/>
        <w:t>Community</w:t>
      </w:r>
      <w:r>
        <w:rPr>
          <w:spacing w:val="-6"/>
        </w:rPr>
        <w:t> </w:t>
      </w:r>
      <w:r>
        <w:rPr/>
        <w:t>Partners</w:t>
      </w:r>
      <w:r>
        <w:rPr>
          <w:spacing w:val="-4"/>
        </w:rPr>
        <w:t> </w:t>
      </w:r>
      <w:r>
        <w:rPr/>
        <w:t>(CPs)</w:t>
      </w:r>
      <w:r>
        <w:rPr>
          <w:spacing w:val="-4"/>
        </w:rPr>
        <w:t> </w:t>
      </w:r>
      <w:r>
        <w:rPr/>
        <w:t>are</w:t>
      </w:r>
      <w:r>
        <w:rPr>
          <w:spacing w:val="-4"/>
        </w:rPr>
        <w:t> </w:t>
      </w:r>
      <w:r>
        <w:rPr/>
        <w:t>community-based organizations that offer members linkages and support to community resources that facilitate a coordinated, holistic approach to care.</w:t>
      </w:r>
    </w:p>
    <w:p>
      <w:pPr>
        <w:spacing w:after="0"/>
        <w:sectPr>
          <w:pgSz w:w="12240" w:h="15840"/>
          <w:pgMar w:header="0" w:footer="1201" w:top="1360" w:bottom="1400" w:left="1200" w:right="400"/>
        </w:sectPr>
      </w:pPr>
    </w:p>
    <w:p>
      <w:pPr>
        <w:pStyle w:val="BodyText"/>
        <w:spacing w:before="79"/>
        <w:ind w:left="871" w:right="1086"/>
      </w:pPr>
      <w:bookmarkStart w:name="Behavioral Health (BH) CPs are responsib" w:id="576"/>
      <w:bookmarkEnd w:id="576"/>
      <w:r>
        <w:rPr/>
      </w:r>
      <w:r>
        <w:rPr/>
        <w:t>Behavioral</w:t>
      </w:r>
      <w:r>
        <w:rPr>
          <w:spacing w:val="-4"/>
        </w:rPr>
        <w:t> </w:t>
      </w:r>
      <w:r>
        <w:rPr/>
        <w:t>Health</w:t>
      </w:r>
      <w:r>
        <w:rPr>
          <w:spacing w:val="-4"/>
        </w:rPr>
        <w:t> </w:t>
      </w:r>
      <w:r>
        <w:rPr/>
        <w:t>(BH)</w:t>
      </w:r>
      <w:r>
        <w:rPr>
          <w:spacing w:val="-3"/>
        </w:rPr>
        <w:t> </w:t>
      </w:r>
      <w:r>
        <w:rPr/>
        <w:t>CPs</w:t>
      </w:r>
      <w:r>
        <w:rPr>
          <w:spacing w:val="-4"/>
        </w:rPr>
        <w:t> </w:t>
      </w:r>
      <w:r>
        <w:rPr/>
        <w:t>are</w:t>
      </w:r>
      <w:r>
        <w:rPr>
          <w:spacing w:val="-5"/>
        </w:rPr>
        <w:t> </w:t>
      </w:r>
      <w:r>
        <w:rPr/>
        <w:t>responsible</w:t>
      </w:r>
      <w:r>
        <w:rPr>
          <w:spacing w:val="-5"/>
        </w:rPr>
        <w:t> </w:t>
      </w:r>
      <w:r>
        <w:rPr/>
        <w:t>for</w:t>
      </w:r>
      <w:r>
        <w:rPr>
          <w:spacing w:val="-5"/>
        </w:rPr>
        <w:t> </w:t>
      </w:r>
      <w:r>
        <w:rPr/>
        <w:t>providing</w:t>
      </w:r>
      <w:r>
        <w:rPr>
          <w:spacing w:val="-7"/>
        </w:rPr>
        <w:t> </w:t>
      </w:r>
      <w:r>
        <w:rPr/>
        <w:t>certain</w:t>
      </w:r>
      <w:r>
        <w:rPr>
          <w:spacing w:val="-4"/>
        </w:rPr>
        <w:t> </w:t>
      </w:r>
      <w:r>
        <w:rPr/>
        <w:t>supports</w:t>
      </w:r>
      <w:r>
        <w:rPr>
          <w:spacing w:val="-2"/>
        </w:rPr>
        <w:t> </w:t>
      </w:r>
      <w:r>
        <w:rPr/>
        <w:t>for</w:t>
      </w:r>
      <w:r>
        <w:rPr>
          <w:spacing w:val="-5"/>
        </w:rPr>
        <w:t> </w:t>
      </w:r>
      <w:r>
        <w:rPr/>
        <w:t>members over age 18 with serious mental illness (SMI), serious emotional disturbance (SED), and/or serious and persistent substance use disorder (SUD).</w:t>
      </w:r>
    </w:p>
    <w:p>
      <w:pPr>
        <w:pStyle w:val="BodyText"/>
        <w:spacing w:before="10"/>
        <w:rPr>
          <w:sz w:val="20"/>
        </w:rPr>
      </w:pPr>
    </w:p>
    <w:p>
      <w:pPr>
        <w:pStyle w:val="BodyText"/>
        <w:ind w:left="871" w:right="1059"/>
      </w:pPr>
      <w:bookmarkStart w:name="LTSS CPs are responsible for providing c" w:id="577"/>
      <w:bookmarkEnd w:id="577"/>
      <w:r>
        <w:rPr/>
      </w:r>
      <w:r>
        <w:rPr/>
        <w:t>LTSS CPs are responsible for providing certain supports to members with LTSS needs including</w:t>
      </w:r>
      <w:r>
        <w:rPr>
          <w:spacing w:val="-7"/>
        </w:rPr>
        <w:t> </w:t>
      </w:r>
      <w:r>
        <w:rPr/>
        <w:t>physical</w:t>
      </w:r>
      <w:r>
        <w:rPr>
          <w:spacing w:val="-4"/>
        </w:rPr>
        <w:t> </w:t>
      </w:r>
      <w:r>
        <w:rPr/>
        <w:t>disabilities,</w:t>
      </w:r>
      <w:r>
        <w:rPr>
          <w:spacing w:val="-4"/>
        </w:rPr>
        <w:t> </w:t>
      </w:r>
      <w:r>
        <w:rPr/>
        <w:t>members</w:t>
      </w:r>
      <w:r>
        <w:rPr>
          <w:spacing w:val="-4"/>
        </w:rPr>
        <w:t> </w:t>
      </w:r>
      <w:r>
        <w:rPr/>
        <w:t>with</w:t>
      </w:r>
      <w:r>
        <w:rPr>
          <w:spacing w:val="-4"/>
        </w:rPr>
        <w:t> </w:t>
      </w:r>
      <w:r>
        <w:rPr/>
        <w:t>acquired</w:t>
      </w:r>
      <w:r>
        <w:rPr>
          <w:spacing w:val="-4"/>
        </w:rPr>
        <w:t> </w:t>
      </w:r>
      <w:r>
        <w:rPr/>
        <w:t>or</w:t>
      </w:r>
      <w:r>
        <w:rPr>
          <w:spacing w:val="-5"/>
        </w:rPr>
        <w:t> </w:t>
      </w:r>
      <w:r>
        <w:rPr/>
        <w:t>traumatic</w:t>
      </w:r>
      <w:r>
        <w:rPr>
          <w:spacing w:val="-5"/>
        </w:rPr>
        <w:t> </w:t>
      </w:r>
      <w:r>
        <w:rPr/>
        <w:t>brain</w:t>
      </w:r>
      <w:r>
        <w:rPr>
          <w:spacing w:val="-4"/>
        </w:rPr>
        <w:t> </w:t>
      </w:r>
      <w:r>
        <w:rPr/>
        <w:t>injury,</w:t>
      </w:r>
      <w:r>
        <w:rPr>
          <w:spacing w:val="-4"/>
        </w:rPr>
        <w:t> </w:t>
      </w:r>
      <w:r>
        <w:rPr/>
        <w:t>members with intellectual or developmental disabilities (ID/DD).</w:t>
      </w:r>
    </w:p>
    <w:p>
      <w:pPr>
        <w:pStyle w:val="BodyText"/>
        <w:spacing w:before="10"/>
        <w:rPr>
          <w:sz w:val="20"/>
        </w:rPr>
      </w:pPr>
    </w:p>
    <w:p>
      <w:pPr>
        <w:pStyle w:val="BodyText"/>
        <w:ind w:left="1411" w:right="1141"/>
      </w:pPr>
      <w:r>
        <w:rPr/>
        <w:drawing>
          <wp:anchor distT="0" distB="0" distL="0" distR="0" allowOverlap="1" layoutInCell="1" locked="0" behindDoc="0" simplePos="0" relativeHeight="15916032">
            <wp:simplePos x="0" y="0"/>
            <wp:positionH relativeFrom="page">
              <wp:posOffset>1431036</wp:posOffset>
            </wp:positionH>
            <wp:positionV relativeFrom="paragraph">
              <wp:posOffset>67603</wp:posOffset>
            </wp:positionV>
            <wp:extent cx="96011" cy="80771"/>
            <wp:effectExtent l="0" t="0" r="0" b="0"/>
            <wp:wrapNone/>
            <wp:docPr id="377" name="Image 377"/>
            <wp:cNvGraphicFramePr>
              <a:graphicFrameLocks/>
            </wp:cNvGraphicFramePr>
            <a:graphic>
              <a:graphicData uri="http://schemas.openxmlformats.org/drawingml/2006/picture">
                <pic:pic>
                  <pic:nvPicPr>
                    <pic:cNvPr id="377" name="Image 377"/>
                    <pic:cNvPicPr/>
                  </pic:nvPicPr>
                  <pic:blipFill>
                    <a:blip r:embed="rId29" cstate="print"/>
                    <a:stretch>
                      <a:fillRect/>
                    </a:stretch>
                  </pic:blipFill>
                  <pic:spPr>
                    <a:xfrm>
                      <a:off x="0" y="0"/>
                      <a:ext cx="96011" cy="80771"/>
                    </a:xfrm>
                    <a:prstGeom prst="rect">
                      <a:avLst/>
                    </a:prstGeom>
                  </pic:spPr>
                </pic:pic>
              </a:graphicData>
            </a:graphic>
          </wp:anchor>
        </w:drawing>
      </w:r>
      <w:bookmarkStart w:name="a. Eligibility. Entities that are eligib" w:id="578"/>
      <w:bookmarkEnd w:id="578"/>
      <w:r>
        <w:rPr/>
      </w:r>
      <w:r>
        <w:rPr>
          <w:b/>
        </w:rPr>
        <w:t>Eligibility.</w:t>
      </w:r>
      <w:r>
        <w:rPr>
          <w:b/>
          <w:spacing w:val="-3"/>
        </w:rPr>
        <w:t> </w:t>
      </w:r>
      <w:r>
        <w:rPr/>
        <w:t>Entities</w:t>
      </w:r>
      <w:r>
        <w:rPr>
          <w:spacing w:val="-3"/>
        </w:rPr>
        <w:t> </w:t>
      </w:r>
      <w:r>
        <w:rPr/>
        <w:t>that</w:t>
      </w:r>
      <w:r>
        <w:rPr>
          <w:spacing w:val="-3"/>
        </w:rPr>
        <w:t> </w:t>
      </w:r>
      <w:r>
        <w:rPr/>
        <w:t>are</w:t>
      </w:r>
      <w:r>
        <w:rPr>
          <w:spacing w:val="-4"/>
        </w:rPr>
        <w:t> </w:t>
      </w:r>
      <w:r>
        <w:rPr/>
        <w:t>eligible</w:t>
      </w:r>
      <w:r>
        <w:rPr>
          <w:spacing w:val="-4"/>
        </w:rPr>
        <w:t> </w:t>
      </w:r>
      <w:r>
        <w:rPr/>
        <w:t>to</w:t>
      </w:r>
      <w:r>
        <w:rPr>
          <w:spacing w:val="-3"/>
        </w:rPr>
        <w:t> </w:t>
      </w:r>
      <w:r>
        <w:rPr/>
        <w:t>receive</w:t>
      </w:r>
      <w:r>
        <w:rPr>
          <w:spacing w:val="-4"/>
        </w:rPr>
        <w:t> </w:t>
      </w:r>
      <w:r>
        <w:rPr/>
        <w:t>DSRIP</w:t>
      </w:r>
      <w:r>
        <w:rPr>
          <w:spacing w:val="-3"/>
        </w:rPr>
        <w:t> </w:t>
      </w:r>
      <w:r>
        <w:rPr/>
        <w:t>funding</w:t>
      </w:r>
      <w:r>
        <w:rPr>
          <w:spacing w:val="-6"/>
        </w:rPr>
        <w:t> </w:t>
      </w:r>
      <w:r>
        <w:rPr/>
        <w:t>are</w:t>
      </w:r>
      <w:r>
        <w:rPr>
          <w:spacing w:val="-4"/>
        </w:rPr>
        <w:t> </w:t>
      </w:r>
      <w:r>
        <w:rPr/>
        <w:t>entities</w:t>
      </w:r>
      <w:r>
        <w:rPr>
          <w:spacing w:val="-3"/>
        </w:rPr>
        <w:t> </w:t>
      </w:r>
      <w:r>
        <w:rPr/>
        <w:t>that</w:t>
      </w:r>
      <w:r>
        <w:rPr>
          <w:spacing w:val="-3"/>
        </w:rPr>
        <w:t> </w:t>
      </w:r>
      <w:r>
        <w:rPr/>
        <w:t>have been certified by</w:t>
      </w:r>
      <w:r>
        <w:rPr>
          <w:spacing w:val="-2"/>
        </w:rPr>
        <w:t> </w:t>
      </w:r>
      <w:r>
        <w:rPr/>
        <w:t>MassHealth and have signed contracts to be MassHealth BH CPs or MassHealth LTSS CPs and have executed contracts with ACOs or MCOs.</w:t>
      </w:r>
    </w:p>
    <w:p>
      <w:pPr>
        <w:pStyle w:val="BodyText"/>
        <w:spacing w:before="10"/>
        <w:rPr>
          <w:sz w:val="20"/>
        </w:rPr>
      </w:pPr>
    </w:p>
    <w:p>
      <w:pPr>
        <w:pStyle w:val="BodyText"/>
        <w:ind w:left="1411" w:right="1059"/>
      </w:pPr>
      <w:r>
        <w:rPr/>
        <w:drawing>
          <wp:anchor distT="0" distB="0" distL="0" distR="0" allowOverlap="1" layoutInCell="1" locked="0" behindDoc="0" simplePos="0" relativeHeight="15916544">
            <wp:simplePos x="0" y="0"/>
            <wp:positionH relativeFrom="page">
              <wp:posOffset>1424939</wp:posOffset>
            </wp:positionH>
            <wp:positionV relativeFrom="paragraph">
              <wp:posOffset>32551</wp:posOffset>
            </wp:positionV>
            <wp:extent cx="111251" cy="115823"/>
            <wp:effectExtent l="0" t="0" r="0" b="0"/>
            <wp:wrapNone/>
            <wp:docPr id="378" name="Image 378"/>
            <wp:cNvGraphicFramePr>
              <a:graphicFrameLocks/>
            </wp:cNvGraphicFramePr>
            <a:graphic>
              <a:graphicData uri="http://schemas.openxmlformats.org/drawingml/2006/picture">
                <pic:pic>
                  <pic:nvPicPr>
                    <pic:cNvPr id="378" name="Image 378"/>
                    <pic:cNvPicPr/>
                  </pic:nvPicPr>
                  <pic:blipFill>
                    <a:blip r:embed="rId34" cstate="print"/>
                    <a:stretch>
                      <a:fillRect/>
                    </a:stretch>
                  </pic:blipFill>
                  <pic:spPr>
                    <a:xfrm>
                      <a:off x="0" y="0"/>
                      <a:ext cx="111251" cy="115823"/>
                    </a:xfrm>
                    <a:prstGeom prst="rect">
                      <a:avLst/>
                    </a:prstGeom>
                  </pic:spPr>
                </pic:pic>
              </a:graphicData>
            </a:graphic>
          </wp:anchor>
        </w:drawing>
      </w:r>
      <w:bookmarkStart w:name="b. Funding Use. Community Partners DSRIP" w:id="579"/>
      <w:bookmarkEnd w:id="579"/>
      <w:r>
        <w:rPr/>
      </w:r>
      <w:r>
        <w:rPr>
          <w:b/>
        </w:rPr>
        <w:t>Funding</w:t>
      </w:r>
      <w:r>
        <w:rPr>
          <w:b/>
          <w:spacing w:val="-4"/>
        </w:rPr>
        <w:t> </w:t>
      </w:r>
      <w:r>
        <w:rPr>
          <w:b/>
        </w:rPr>
        <w:t>Use.</w:t>
      </w:r>
      <w:r>
        <w:rPr>
          <w:b/>
          <w:spacing w:val="-4"/>
        </w:rPr>
        <w:t> </w:t>
      </w:r>
      <w:r>
        <w:rPr/>
        <w:t>Community</w:t>
      </w:r>
      <w:r>
        <w:rPr>
          <w:spacing w:val="-7"/>
        </w:rPr>
        <w:t> </w:t>
      </w:r>
      <w:r>
        <w:rPr/>
        <w:t>Partners</w:t>
      </w:r>
      <w:r>
        <w:rPr>
          <w:spacing w:val="-4"/>
        </w:rPr>
        <w:t> </w:t>
      </w:r>
      <w:r>
        <w:rPr/>
        <w:t>DSRIP</w:t>
      </w:r>
      <w:r>
        <w:rPr>
          <w:spacing w:val="-4"/>
        </w:rPr>
        <w:t> </w:t>
      </w:r>
      <w:r>
        <w:rPr/>
        <w:t>funding</w:t>
      </w:r>
      <w:r>
        <w:rPr>
          <w:spacing w:val="-7"/>
        </w:rPr>
        <w:t> </w:t>
      </w:r>
      <w:r>
        <w:rPr/>
        <w:t>uses</w:t>
      </w:r>
      <w:r>
        <w:rPr>
          <w:spacing w:val="-4"/>
        </w:rPr>
        <w:t> </w:t>
      </w:r>
      <w:r>
        <w:rPr/>
        <w:t>depends</w:t>
      </w:r>
      <w:r>
        <w:rPr>
          <w:spacing w:val="-4"/>
        </w:rPr>
        <w:t> </w:t>
      </w:r>
      <w:r>
        <w:rPr/>
        <w:t>on</w:t>
      </w:r>
      <w:r>
        <w:rPr>
          <w:spacing w:val="-4"/>
        </w:rPr>
        <w:t> </w:t>
      </w:r>
      <w:r>
        <w:rPr/>
        <w:t>whether</w:t>
      </w:r>
      <w:r>
        <w:rPr>
          <w:spacing w:val="-5"/>
        </w:rPr>
        <w:t> </w:t>
      </w:r>
      <w:r>
        <w:rPr/>
        <w:t>the organization is a BH CP or LTSS CP.</w:t>
      </w:r>
    </w:p>
    <w:p>
      <w:pPr>
        <w:pStyle w:val="BodyText"/>
        <w:spacing w:before="10"/>
        <w:rPr>
          <w:sz w:val="20"/>
        </w:rPr>
      </w:pPr>
    </w:p>
    <w:p>
      <w:pPr>
        <w:pStyle w:val="BodyText"/>
        <w:ind w:left="2040" w:right="1059"/>
      </w:pPr>
      <w:r>
        <w:rPr/>
        <w:drawing>
          <wp:anchor distT="0" distB="0" distL="0" distR="0" allowOverlap="1" layoutInCell="1" locked="0" behindDoc="0" simplePos="0" relativeHeight="15917056">
            <wp:simplePos x="0" y="0"/>
            <wp:positionH relativeFrom="page">
              <wp:posOffset>1862327</wp:posOffset>
            </wp:positionH>
            <wp:positionV relativeFrom="paragraph">
              <wp:posOffset>32551</wp:posOffset>
            </wp:positionV>
            <wp:extent cx="73151" cy="115823"/>
            <wp:effectExtent l="0" t="0" r="0" b="0"/>
            <wp:wrapNone/>
            <wp:docPr id="379" name="Image 379"/>
            <wp:cNvGraphicFramePr>
              <a:graphicFrameLocks/>
            </wp:cNvGraphicFramePr>
            <a:graphic>
              <a:graphicData uri="http://schemas.openxmlformats.org/drawingml/2006/picture">
                <pic:pic>
                  <pic:nvPicPr>
                    <pic:cNvPr id="379" name="Image 379"/>
                    <pic:cNvPicPr/>
                  </pic:nvPicPr>
                  <pic:blipFill>
                    <a:blip r:embed="rId61" cstate="print"/>
                    <a:stretch>
                      <a:fillRect/>
                    </a:stretch>
                  </pic:blipFill>
                  <pic:spPr>
                    <a:xfrm>
                      <a:off x="0" y="0"/>
                      <a:ext cx="73151" cy="115823"/>
                    </a:xfrm>
                    <a:prstGeom prst="rect">
                      <a:avLst/>
                    </a:prstGeom>
                  </pic:spPr>
                </pic:pic>
              </a:graphicData>
            </a:graphic>
          </wp:anchor>
        </w:drawing>
      </w:r>
      <w:bookmarkStart w:name="i. The CP may not bill MassHealth, MCOs " w:id="580"/>
      <w:bookmarkEnd w:id="580"/>
      <w:r>
        <w:rPr/>
      </w:r>
      <w:r>
        <w:rPr/>
        <w:t>The CP may</w:t>
      </w:r>
      <w:r>
        <w:rPr>
          <w:spacing w:val="-3"/>
        </w:rPr>
        <w:t> </w:t>
      </w:r>
      <w:r>
        <w:rPr/>
        <w:t>not bill MassHealth, MCOs or ACOs for activities funded through</w:t>
      </w:r>
      <w:r>
        <w:rPr>
          <w:spacing w:val="-3"/>
        </w:rPr>
        <w:t> </w:t>
      </w:r>
      <w:r>
        <w:rPr/>
        <w:t>DSRIP.</w:t>
      </w:r>
      <w:r>
        <w:rPr>
          <w:spacing w:val="-3"/>
        </w:rPr>
        <w:t> </w:t>
      </w:r>
      <w:r>
        <w:rPr/>
        <w:t>A</w:t>
      </w:r>
      <w:r>
        <w:rPr>
          <w:spacing w:val="-2"/>
        </w:rPr>
        <w:t> </w:t>
      </w:r>
      <w:r>
        <w:rPr/>
        <w:t>BH</w:t>
      </w:r>
      <w:r>
        <w:rPr>
          <w:spacing w:val="-4"/>
        </w:rPr>
        <w:t> </w:t>
      </w:r>
      <w:r>
        <w:rPr/>
        <w:t>CP</w:t>
      </w:r>
      <w:r>
        <w:rPr>
          <w:spacing w:val="-3"/>
        </w:rPr>
        <w:t> </w:t>
      </w:r>
      <w:r>
        <w:rPr/>
        <w:t>may</w:t>
      </w:r>
      <w:r>
        <w:rPr>
          <w:spacing w:val="-8"/>
        </w:rPr>
        <w:t> </w:t>
      </w:r>
      <w:r>
        <w:rPr/>
        <w:t>utilize</w:t>
      </w:r>
      <w:r>
        <w:rPr>
          <w:spacing w:val="-4"/>
        </w:rPr>
        <w:t> </w:t>
      </w:r>
      <w:r>
        <w:rPr/>
        <w:t>DSRIP</w:t>
      </w:r>
      <w:r>
        <w:rPr>
          <w:spacing w:val="-3"/>
        </w:rPr>
        <w:t> </w:t>
      </w:r>
      <w:r>
        <w:rPr/>
        <w:t>funding</w:t>
      </w:r>
      <w:r>
        <w:rPr>
          <w:spacing w:val="-6"/>
        </w:rPr>
        <w:t> </w:t>
      </w:r>
      <w:r>
        <w:rPr/>
        <w:t>for</w:t>
      </w:r>
      <w:r>
        <w:rPr>
          <w:spacing w:val="-4"/>
        </w:rPr>
        <w:t> </w:t>
      </w:r>
      <w:r>
        <w:rPr/>
        <w:t>the</w:t>
      </w:r>
      <w:r>
        <w:rPr>
          <w:spacing w:val="-4"/>
        </w:rPr>
        <w:t> </w:t>
      </w:r>
      <w:r>
        <w:rPr/>
        <w:t>following </w:t>
      </w:r>
      <w:r>
        <w:rPr>
          <w:spacing w:val="-2"/>
        </w:rPr>
        <w:t>purposes:</w:t>
      </w:r>
    </w:p>
    <w:p>
      <w:pPr>
        <w:pStyle w:val="BodyText"/>
        <w:spacing w:before="161"/>
        <w:ind w:left="2040" w:right="1141"/>
      </w:pPr>
      <w:r>
        <w:rPr/>
        <w:drawing>
          <wp:anchor distT="0" distB="0" distL="0" distR="0" allowOverlap="1" layoutInCell="1" locked="0" behindDoc="0" simplePos="0" relativeHeight="15917568">
            <wp:simplePos x="0" y="0"/>
            <wp:positionH relativeFrom="page">
              <wp:posOffset>1819655</wp:posOffset>
            </wp:positionH>
            <wp:positionV relativeFrom="paragraph">
              <wp:posOffset>134786</wp:posOffset>
            </wp:positionV>
            <wp:extent cx="115823" cy="115823"/>
            <wp:effectExtent l="0" t="0" r="0" b="0"/>
            <wp:wrapNone/>
            <wp:docPr id="380" name="Image 380"/>
            <wp:cNvGraphicFramePr>
              <a:graphicFrameLocks/>
            </wp:cNvGraphicFramePr>
            <a:graphic>
              <a:graphicData uri="http://schemas.openxmlformats.org/drawingml/2006/picture">
                <pic:pic>
                  <pic:nvPicPr>
                    <pic:cNvPr id="380" name="Image 380"/>
                    <pic:cNvPicPr/>
                  </pic:nvPicPr>
                  <pic:blipFill>
                    <a:blip r:embed="rId62" cstate="print"/>
                    <a:stretch>
                      <a:fillRect/>
                    </a:stretch>
                  </pic:blipFill>
                  <pic:spPr>
                    <a:xfrm>
                      <a:off x="0" y="0"/>
                      <a:ext cx="115823" cy="115823"/>
                    </a:xfrm>
                    <a:prstGeom prst="rect">
                      <a:avLst/>
                    </a:prstGeom>
                  </pic:spPr>
                </pic:pic>
              </a:graphicData>
            </a:graphic>
          </wp:anchor>
        </w:drawing>
      </w:r>
      <w:bookmarkStart w:name="ii. Provision of person-centered care ma" w:id="581"/>
      <w:bookmarkEnd w:id="581"/>
      <w:r>
        <w:rPr/>
      </w:r>
      <w:r>
        <w:rPr/>
        <w:t>Provision</w:t>
      </w:r>
      <w:r>
        <w:rPr>
          <w:spacing w:val="-7"/>
        </w:rPr>
        <w:t> </w:t>
      </w:r>
      <w:r>
        <w:rPr/>
        <w:t>of</w:t>
      </w:r>
      <w:r>
        <w:rPr>
          <w:spacing w:val="-8"/>
        </w:rPr>
        <w:t> </w:t>
      </w:r>
      <w:r>
        <w:rPr/>
        <w:t>person-centered</w:t>
      </w:r>
      <w:r>
        <w:rPr>
          <w:spacing w:val="-7"/>
        </w:rPr>
        <w:t> </w:t>
      </w:r>
      <w:r>
        <w:rPr/>
        <w:t>care</w:t>
      </w:r>
      <w:r>
        <w:rPr>
          <w:spacing w:val="-8"/>
        </w:rPr>
        <w:t> </w:t>
      </w:r>
      <w:r>
        <w:rPr/>
        <w:t>management,</w:t>
      </w:r>
      <w:r>
        <w:rPr>
          <w:spacing w:val="-8"/>
        </w:rPr>
        <w:t> </w:t>
      </w:r>
      <w:r>
        <w:rPr/>
        <w:t>assessments,</w:t>
      </w:r>
      <w:r>
        <w:rPr>
          <w:spacing w:val="-7"/>
        </w:rPr>
        <w:t> </w:t>
      </w:r>
      <w:r>
        <w:rPr/>
        <w:t>care coordination and care planning, including but not limited to:</w:t>
      </w:r>
    </w:p>
    <w:p>
      <w:pPr>
        <w:pStyle w:val="ListParagraph"/>
        <w:numPr>
          <w:ilvl w:val="0"/>
          <w:numId w:val="34"/>
        </w:numPr>
        <w:tabs>
          <w:tab w:pos="2851" w:val="left" w:leader="none"/>
        </w:tabs>
        <w:spacing w:line="240" w:lineRule="auto" w:before="158" w:after="0"/>
        <w:ind w:left="2851" w:right="0" w:hanging="360"/>
        <w:jc w:val="left"/>
        <w:rPr>
          <w:sz w:val="24"/>
        </w:rPr>
      </w:pPr>
      <w:bookmarkStart w:name="1. Screening to identify current or unme" w:id="582"/>
      <w:bookmarkEnd w:id="582"/>
      <w:r>
        <w:rPr/>
      </w:r>
      <w:r>
        <w:rPr>
          <w:sz w:val="24"/>
        </w:rPr>
        <w:t>Screening</w:t>
      </w:r>
      <w:r>
        <w:rPr>
          <w:spacing w:val="-4"/>
          <w:sz w:val="24"/>
        </w:rPr>
        <w:t> </w:t>
      </w:r>
      <w:r>
        <w:rPr>
          <w:sz w:val="24"/>
        </w:rPr>
        <w:t>to identify</w:t>
      </w:r>
      <w:r>
        <w:rPr>
          <w:spacing w:val="-5"/>
          <w:sz w:val="24"/>
        </w:rPr>
        <w:t> </w:t>
      </w:r>
      <w:r>
        <w:rPr>
          <w:sz w:val="24"/>
        </w:rPr>
        <w:t>current</w:t>
      </w:r>
      <w:r>
        <w:rPr>
          <w:spacing w:val="-1"/>
          <w:sz w:val="24"/>
        </w:rPr>
        <w:t> </w:t>
      </w:r>
      <w:r>
        <w:rPr>
          <w:sz w:val="24"/>
        </w:rPr>
        <w:t>or</w:t>
      </w:r>
      <w:r>
        <w:rPr>
          <w:spacing w:val="-1"/>
          <w:sz w:val="24"/>
        </w:rPr>
        <w:t> </w:t>
      </w:r>
      <w:r>
        <w:rPr>
          <w:sz w:val="24"/>
        </w:rPr>
        <w:t>unmet BH</w:t>
      </w:r>
      <w:r>
        <w:rPr>
          <w:spacing w:val="-1"/>
          <w:sz w:val="24"/>
        </w:rPr>
        <w:t> </w:t>
      </w:r>
      <w:r>
        <w:rPr>
          <w:spacing w:val="-2"/>
          <w:sz w:val="24"/>
        </w:rPr>
        <w:t>needs;</w:t>
      </w:r>
    </w:p>
    <w:p>
      <w:pPr>
        <w:pStyle w:val="ListParagraph"/>
        <w:numPr>
          <w:ilvl w:val="0"/>
          <w:numId w:val="34"/>
        </w:numPr>
        <w:tabs>
          <w:tab w:pos="2851" w:val="left" w:leader="none"/>
        </w:tabs>
        <w:spacing w:line="240" w:lineRule="auto" w:before="121" w:after="0"/>
        <w:ind w:left="2851" w:right="0" w:hanging="360"/>
        <w:jc w:val="left"/>
        <w:rPr>
          <w:sz w:val="24"/>
        </w:rPr>
      </w:pPr>
      <w:bookmarkStart w:name="2. Review of members’ existing assessmen" w:id="583"/>
      <w:bookmarkEnd w:id="583"/>
      <w:r>
        <w:rPr/>
      </w:r>
      <w:r>
        <w:rPr>
          <w:sz w:val="24"/>
        </w:rPr>
        <w:t>Review</w:t>
      </w:r>
      <w:r>
        <w:rPr>
          <w:spacing w:val="-5"/>
          <w:sz w:val="24"/>
        </w:rPr>
        <w:t> </w:t>
      </w:r>
      <w:r>
        <w:rPr>
          <w:sz w:val="24"/>
        </w:rPr>
        <w:t>of</w:t>
      </w:r>
      <w:r>
        <w:rPr>
          <w:spacing w:val="-2"/>
          <w:sz w:val="24"/>
        </w:rPr>
        <w:t> </w:t>
      </w:r>
      <w:r>
        <w:rPr>
          <w:sz w:val="24"/>
        </w:rPr>
        <w:t>members’</w:t>
      </w:r>
      <w:r>
        <w:rPr>
          <w:spacing w:val="-2"/>
          <w:sz w:val="24"/>
        </w:rPr>
        <w:t> </w:t>
      </w:r>
      <w:r>
        <w:rPr>
          <w:sz w:val="24"/>
        </w:rPr>
        <w:t>existing</w:t>
      </w:r>
      <w:r>
        <w:rPr>
          <w:spacing w:val="-4"/>
          <w:sz w:val="24"/>
        </w:rPr>
        <w:t> </w:t>
      </w:r>
      <w:r>
        <w:rPr>
          <w:sz w:val="24"/>
        </w:rPr>
        <w:t>assessments</w:t>
      </w:r>
      <w:r>
        <w:rPr>
          <w:spacing w:val="-1"/>
          <w:sz w:val="24"/>
        </w:rPr>
        <w:t> </w:t>
      </w:r>
      <w:r>
        <w:rPr>
          <w:sz w:val="24"/>
        </w:rPr>
        <w:t>and</w:t>
      </w:r>
      <w:r>
        <w:rPr>
          <w:spacing w:val="-1"/>
          <w:sz w:val="24"/>
        </w:rPr>
        <w:t> </w:t>
      </w:r>
      <w:r>
        <w:rPr>
          <w:spacing w:val="-2"/>
          <w:sz w:val="24"/>
        </w:rPr>
        <w:t>services;</w:t>
      </w:r>
    </w:p>
    <w:p>
      <w:pPr>
        <w:pStyle w:val="ListParagraph"/>
        <w:numPr>
          <w:ilvl w:val="0"/>
          <w:numId w:val="34"/>
        </w:numPr>
        <w:tabs>
          <w:tab w:pos="2851" w:val="left" w:leader="none"/>
        </w:tabs>
        <w:spacing w:line="240" w:lineRule="auto" w:before="120" w:after="0"/>
        <w:ind w:left="2851" w:right="0" w:hanging="360"/>
        <w:jc w:val="left"/>
        <w:rPr>
          <w:sz w:val="24"/>
        </w:rPr>
      </w:pPr>
      <w:bookmarkStart w:name="3. Assessment for BH related functional " w:id="584"/>
      <w:bookmarkEnd w:id="584"/>
      <w:r>
        <w:rPr/>
      </w:r>
      <w:r>
        <w:rPr>
          <w:sz w:val="24"/>
        </w:rPr>
        <w:t>Assessment</w:t>
      </w:r>
      <w:r>
        <w:rPr>
          <w:spacing w:val="-3"/>
          <w:sz w:val="24"/>
        </w:rPr>
        <w:t> </w:t>
      </w:r>
      <w:r>
        <w:rPr>
          <w:sz w:val="24"/>
        </w:rPr>
        <w:t>for</w:t>
      </w:r>
      <w:r>
        <w:rPr>
          <w:spacing w:val="-1"/>
          <w:sz w:val="24"/>
        </w:rPr>
        <w:t> </w:t>
      </w:r>
      <w:r>
        <w:rPr>
          <w:sz w:val="24"/>
        </w:rPr>
        <w:t>BH</w:t>
      </w:r>
      <w:r>
        <w:rPr>
          <w:spacing w:val="-3"/>
          <w:sz w:val="24"/>
        </w:rPr>
        <w:t> </w:t>
      </w:r>
      <w:r>
        <w:rPr>
          <w:sz w:val="24"/>
        </w:rPr>
        <w:t>related</w:t>
      </w:r>
      <w:r>
        <w:rPr>
          <w:spacing w:val="-4"/>
          <w:sz w:val="24"/>
        </w:rPr>
        <w:t> </w:t>
      </w:r>
      <w:r>
        <w:rPr>
          <w:sz w:val="24"/>
        </w:rPr>
        <w:t>functional</w:t>
      </w:r>
      <w:r>
        <w:rPr>
          <w:spacing w:val="-2"/>
          <w:sz w:val="24"/>
        </w:rPr>
        <w:t> </w:t>
      </w:r>
      <w:r>
        <w:rPr>
          <w:sz w:val="24"/>
        </w:rPr>
        <w:t>and clinical </w:t>
      </w:r>
      <w:r>
        <w:rPr>
          <w:spacing w:val="-2"/>
          <w:sz w:val="24"/>
        </w:rPr>
        <w:t>needs;</w:t>
      </w:r>
    </w:p>
    <w:p>
      <w:pPr>
        <w:pStyle w:val="ListParagraph"/>
        <w:numPr>
          <w:ilvl w:val="0"/>
          <w:numId w:val="34"/>
        </w:numPr>
        <w:tabs>
          <w:tab w:pos="2851" w:val="left" w:leader="none"/>
        </w:tabs>
        <w:spacing w:line="240" w:lineRule="auto" w:before="120" w:after="0"/>
        <w:ind w:left="2851" w:right="0" w:hanging="360"/>
        <w:jc w:val="left"/>
        <w:rPr>
          <w:sz w:val="24"/>
        </w:rPr>
      </w:pPr>
      <w:bookmarkStart w:name="4. Care planning;" w:id="585"/>
      <w:bookmarkEnd w:id="585"/>
      <w:r>
        <w:rPr/>
      </w:r>
      <w:r>
        <w:rPr>
          <w:sz w:val="24"/>
        </w:rPr>
        <w:t>Care</w:t>
      </w:r>
      <w:r>
        <w:rPr>
          <w:spacing w:val="-3"/>
          <w:sz w:val="24"/>
        </w:rPr>
        <w:t> </w:t>
      </w:r>
      <w:r>
        <w:rPr>
          <w:spacing w:val="-2"/>
          <w:sz w:val="24"/>
        </w:rPr>
        <w:t>planning;</w:t>
      </w:r>
    </w:p>
    <w:p>
      <w:pPr>
        <w:pStyle w:val="ListParagraph"/>
        <w:numPr>
          <w:ilvl w:val="0"/>
          <w:numId w:val="34"/>
        </w:numPr>
        <w:tabs>
          <w:tab w:pos="2851" w:val="left" w:leader="none"/>
        </w:tabs>
        <w:spacing w:line="240" w:lineRule="auto" w:before="120" w:after="0"/>
        <w:ind w:left="2851" w:right="0" w:hanging="360"/>
        <w:jc w:val="left"/>
        <w:rPr>
          <w:sz w:val="24"/>
        </w:rPr>
      </w:pPr>
      <w:bookmarkStart w:name="5. Care management;" w:id="586"/>
      <w:bookmarkEnd w:id="586"/>
      <w:r>
        <w:rPr/>
      </w:r>
      <w:r>
        <w:rPr>
          <w:sz w:val="24"/>
        </w:rPr>
        <w:t>Care</w:t>
      </w:r>
      <w:r>
        <w:rPr>
          <w:spacing w:val="-3"/>
          <w:sz w:val="24"/>
        </w:rPr>
        <w:t> </w:t>
      </w:r>
      <w:r>
        <w:rPr>
          <w:spacing w:val="-2"/>
          <w:sz w:val="24"/>
        </w:rPr>
        <w:t>management;</w:t>
      </w:r>
    </w:p>
    <w:p>
      <w:pPr>
        <w:pStyle w:val="ListParagraph"/>
        <w:numPr>
          <w:ilvl w:val="0"/>
          <w:numId w:val="34"/>
        </w:numPr>
        <w:tabs>
          <w:tab w:pos="2851" w:val="left" w:leader="none"/>
        </w:tabs>
        <w:spacing w:line="240" w:lineRule="auto" w:before="120" w:after="0"/>
        <w:ind w:left="2851" w:right="0" w:hanging="360"/>
        <w:jc w:val="left"/>
        <w:rPr>
          <w:sz w:val="24"/>
        </w:rPr>
      </w:pPr>
      <w:bookmarkStart w:name="6. Care coordination;" w:id="587"/>
      <w:bookmarkEnd w:id="587"/>
      <w:r>
        <w:rPr/>
      </w:r>
      <w:r>
        <w:rPr>
          <w:sz w:val="24"/>
        </w:rPr>
        <w:t>Care</w:t>
      </w:r>
      <w:r>
        <w:rPr>
          <w:spacing w:val="-5"/>
          <w:sz w:val="24"/>
        </w:rPr>
        <w:t> </w:t>
      </w:r>
      <w:r>
        <w:rPr>
          <w:spacing w:val="-2"/>
          <w:sz w:val="24"/>
        </w:rPr>
        <w:t>coordination;</w:t>
      </w:r>
    </w:p>
    <w:p>
      <w:pPr>
        <w:pStyle w:val="ListParagraph"/>
        <w:numPr>
          <w:ilvl w:val="0"/>
          <w:numId w:val="34"/>
        </w:numPr>
        <w:tabs>
          <w:tab w:pos="2851" w:val="left" w:leader="none"/>
        </w:tabs>
        <w:spacing w:line="240" w:lineRule="auto" w:before="120" w:after="0"/>
        <w:ind w:left="2851" w:right="0" w:hanging="360"/>
        <w:jc w:val="left"/>
        <w:rPr>
          <w:sz w:val="24"/>
        </w:rPr>
      </w:pPr>
      <w:bookmarkStart w:name="7. Managing transitions of care;" w:id="588"/>
      <w:bookmarkEnd w:id="588"/>
      <w:r>
        <w:rPr/>
      </w:r>
      <w:r>
        <w:rPr>
          <w:sz w:val="24"/>
        </w:rPr>
        <w:t>Managing</w:t>
      </w:r>
      <w:r>
        <w:rPr>
          <w:spacing w:val="-4"/>
          <w:sz w:val="24"/>
        </w:rPr>
        <w:t> </w:t>
      </w:r>
      <w:r>
        <w:rPr>
          <w:sz w:val="24"/>
        </w:rPr>
        <w:t>transitions</w:t>
      </w:r>
      <w:r>
        <w:rPr>
          <w:spacing w:val="-1"/>
          <w:sz w:val="24"/>
        </w:rPr>
        <w:t> </w:t>
      </w:r>
      <w:r>
        <w:rPr>
          <w:sz w:val="24"/>
        </w:rPr>
        <w:t>of</w:t>
      </w:r>
      <w:r>
        <w:rPr>
          <w:spacing w:val="-2"/>
          <w:sz w:val="24"/>
        </w:rPr>
        <w:t> care;</w:t>
      </w:r>
    </w:p>
    <w:p>
      <w:pPr>
        <w:pStyle w:val="ListParagraph"/>
        <w:numPr>
          <w:ilvl w:val="0"/>
          <w:numId w:val="34"/>
        </w:numPr>
        <w:tabs>
          <w:tab w:pos="2851" w:val="left" w:leader="none"/>
        </w:tabs>
        <w:spacing w:line="240" w:lineRule="auto" w:before="120" w:after="0"/>
        <w:ind w:left="2851" w:right="1949" w:hanging="360"/>
        <w:jc w:val="left"/>
        <w:rPr>
          <w:sz w:val="24"/>
        </w:rPr>
      </w:pPr>
      <w:bookmarkStart w:name="8. Member engagement outside of existing" w:id="589"/>
      <w:bookmarkEnd w:id="589"/>
      <w:r>
        <w:rPr/>
      </w:r>
      <w:r>
        <w:rPr>
          <w:sz w:val="24"/>
        </w:rPr>
        <w:t>Member</w:t>
      </w:r>
      <w:r>
        <w:rPr>
          <w:spacing w:val="-6"/>
          <w:sz w:val="24"/>
        </w:rPr>
        <w:t> </w:t>
      </w:r>
      <w:r>
        <w:rPr>
          <w:sz w:val="24"/>
        </w:rPr>
        <w:t>engagement</w:t>
      </w:r>
      <w:r>
        <w:rPr>
          <w:spacing w:val="-5"/>
          <w:sz w:val="24"/>
        </w:rPr>
        <w:t> </w:t>
      </w:r>
      <w:r>
        <w:rPr>
          <w:sz w:val="24"/>
        </w:rPr>
        <w:t>outside</w:t>
      </w:r>
      <w:r>
        <w:rPr>
          <w:spacing w:val="-6"/>
          <w:sz w:val="24"/>
        </w:rPr>
        <w:t> </w:t>
      </w:r>
      <w:r>
        <w:rPr>
          <w:sz w:val="24"/>
        </w:rPr>
        <w:t>of</w:t>
      </w:r>
      <w:r>
        <w:rPr>
          <w:spacing w:val="-6"/>
          <w:sz w:val="24"/>
        </w:rPr>
        <w:t> </w:t>
      </w:r>
      <w:r>
        <w:rPr>
          <w:sz w:val="24"/>
        </w:rPr>
        <w:t>existing</w:t>
      </w:r>
      <w:r>
        <w:rPr>
          <w:spacing w:val="-8"/>
          <w:sz w:val="24"/>
        </w:rPr>
        <w:t> </w:t>
      </w:r>
      <w:r>
        <w:rPr>
          <w:sz w:val="24"/>
        </w:rPr>
        <w:t>care</w:t>
      </w:r>
      <w:r>
        <w:rPr>
          <w:spacing w:val="-6"/>
          <w:sz w:val="24"/>
        </w:rPr>
        <w:t> </w:t>
      </w:r>
      <w:r>
        <w:rPr>
          <w:sz w:val="24"/>
        </w:rPr>
        <w:t>provision</w:t>
      </w:r>
      <w:r>
        <w:rPr>
          <w:spacing w:val="-5"/>
          <w:sz w:val="24"/>
        </w:rPr>
        <w:t> </w:t>
      </w:r>
      <w:r>
        <w:rPr>
          <w:sz w:val="24"/>
        </w:rPr>
        <w:t>(e.g., adherence, navigation);</w:t>
      </w:r>
    </w:p>
    <w:p>
      <w:pPr>
        <w:pStyle w:val="ListParagraph"/>
        <w:numPr>
          <w:ilvl w:val="0"/>
          <w:numId w:val="34"/>
        </w:numPr>
        <w:tabs>
          <w:tab w:pos="2851" w:val="left" w:leader="none"/>
        </w:tabs>
        <w:spacing w:line="240" w:lineRule="auto" w:before="120" w:after="0"/>
        <w:ind w:left="2851" w:right="0" w:hanging="360"/>
        <w:jc w:val="left"/>
        <w:rPr>
          <w:sz w:val="24"/>
        </w:rPr>
      </w:pPr>
      <w:bookmarkStart w:name="9. Member and family support;" w:id="590"/>
      <w:bookmarkEnd w:id="590"/>
      <w:r>
        <w:rPr/>
      </w:r>
      <w:r>
        <w:rPr>
          <w:sz w:val="24"/>
        </w:rPr>
        <w:t>Member</w:t>
      </w:r>
      <w:r>
        <w:rPr>
          <w:spacing w:val="-2"/>
          <w:sz w:val="24"/>
        </w:rPr>
        <w:t> </w:t>
      </w:r>
      <w:r>
        <w:rPr>
          <w:sz w:val="24"/>
        </w:rPr>
        <w:t>and family</w:t>
      </w:r>
      <w:r>
        <w:rPr>
          <w:spacing w:val="-5"/>
          <w:sz w:val="24"/>
        </w:rPr>
        <w:t> </w:t>
      </w:r>
      <w:r>
        <w:rPr>
          <w:spacing w:val="-2"/>
          <w:sz w:val="24"/>
        </w:rPr>
        <w:t>support;</w:t>
      </w:r>
    </w:p>
    <w:p>
      <w:pPr>
        <w:pStyle w:val="ListParagraph"/>
        <w:numPr>
          <w:ilvl w:val="0"/>
          <w:numId w:val="34"/>
        </w:numPr>
        <w:tabs>
          <w:tab w:pos="2851" w:val="left" w:leader="none"/>
        </w:tabs>
        <w:spacing w:line="240" w:lineRule="auto" w:before="120" w:after="0"/>
        <w:ind w:left="2851" w:right="0" w:hanging="360"/>
        <w:jc w:val="left"/>
        <w:rPr>
          <w:sz w:val="24"/>
        </w:rPr>
      </w:pPr>
      <w:bookmarkStart w:name="10. Health promotion;" w:id="591"/>
      <w:bookmarkEnd w:id="591"/>
      <w:r>
        <w:rPr/>
      </w:r>
      <w:r>
        <w:rPr>
          <w:sz w:val="24"/>
        </w:rPr>
        <w:t>Health</w:t>
      </w:r>
      <w:r>
        <w:rPr>
          <w:spacing w:val="-3"/>
          <w:sz w:val="24"/>
        </w:rPr>
        <w:t> </w:t>
      </w:r>
      <w:r>
        <w:rPr>
          <w:spacing w:val="-2"/>
          <w:sz w:val="24"/>
        </w:rPr>
        <w:t>promotion;</w:t>
      </w:r>
    </w:p>
    <w:p>
      <w:pPr>
        <w:pStyle w:val="ListParagraph"/>
        <w:numPr>
          <w:ilvl w:val="0"/>
          <w:numId w:val="34"/>
        </w:numPr>
        <w:tabs>
          <w:tab w:pos="2851" w:val="left" w:leader="none"/>
        </w:tabs>
        <w:spacing w:line="240" w:lineRule="auto" w:before="120" w:after="0"/>
        <w:ind w:left="2851" w:right="1218" w:hanging="360"/>
        <w:jc w:val="both"/>
        <w:rPr>
          <w:sz w:val="24"/>
        </w:rPr>
      </w:pPr>
      <w:bookmarkStart w:name="11. Navigation to and engagement with co" w:id="592"/>
      <w:bookmarkEnd w:id="592"/>
      <w:r>
        <w:rPr/>
      </w:r>
      <w:r>
        <w:rPr>
          <w:sz w:val="24"/>
        </w:rPr>
        <w:t>Navigation</w:t>
      </w:r>
      <w:r>
        <w:rPr>
          <w:spacing w:val="-5"/>
          <w:sz w:val="24"/>
        </w:rPr>
        <w:t> </w:t>
      </w:r>
      <w:r>
        <w:rPr>
          <w:sz w:val="24"/>
        </w:rPr>
        <w:t>to</w:t>
      </w:r>
      <w:r>
        <w:rPr>
          <w:spacing w:val="-5"/>
          <w:sz w:val="24"/>
        </w:rPr>
        <w:t> </w:t>
      </w:r>
      <w:r>
        <w:rPr>
          <w:sz w:val="24"/>
        </w:rPr>
        <w:t>and</w:t>
      </w:r>
      <w:r>
        <w:rPr>
          <w:spacing w:val="-5"/>
          <w:sz w:val="24"/>
        </w:rPr>
        <w:t> </w:t>
      </w:r>
      <w:r>
        <w:rPr>
          <w:sz w:val="24"/>
        </w:rPr>
        <w:t>engagement</w:t>
      </w:r>
      <w:r>
        <w:rPr>
          <w:spacing w:val="-5"/>
          <w:sz w:val="24"/>
        </w:rPr>
        <w:t> </w:t>
      </w:r>
      <w:r>
        <w:rPr>
          <w:sz w:val="24"/>
        </w:rPr>
        <w:t>with</w:t>
      </w:r>
      <w:r>
        <w:rPr>
          <w:spacing w:val="-5"/>
          <w:sz w:val="24"/>
        </w:rPr>
        <w:t> </w:t>
      </w:r>
      <w:r>
        <w:rPr>
          <w:sz w:val="24"/>
        </w:rPr>
        <w:t>community</w:t>
      </w:r>
      <w:r>
        <w:rPr>
          <w:spacing w:val="-10"/>
          <w:sz w:val="24"/>
        </w:rPr>
        <w:t> </w:t>
      </w:r>
      <w:r>
        <w:rPr>
          <w:sz w:val="24"/>
        </w:rPr>
        <w:t>resources</w:t>
      </w:r>
      <w:r>
        <w:rPr>
          <w:spacing w:val="-3"/>
          <w:sz w:val="24"/>
        </w:rPr>
        <w:t> </w:t>
      </w:r>
      <w:r>
        <w:rPr>
          <w:sz w:val="24"/>
        </w:rPr>
        <w:t>and</w:t>
      </w:r>
      <w:r>
        <w:rPr>
          <w:spacing w:val="-5"/>
          <w:sz w:val="24"/>
        </w:rPr>
        <w:t> </w:t>
      </w:r>
      <w:r>
        <w:rPr>
          <w:sz w:val="24"/>
        </w:rPr>
        <w:t>social services providers; and</w:t>
      </w:r>
    </w:p>
    <w:p>
      <w:pPr>
        <w:pStyle w:val="ListParagraph"/>
        <w:numPr>
          <w:ilvl w:val="0"/>
          <w:numId w:val="34"/>
        </w:numPr>
        <w:tabs>
          <w:tab w:pos="2851" w:val="left" w:leader="none"/>
        </w:tabs>
        <w:spacing w:line="240" w:lineRule="auto" w:before="120" w:after="0"/>
        <w:ind w:left="2851" w:right="1351" w:hanging="360"/>
        <w:jc w:val="both"/>
        <w:rPr>
          <w:sz w:val="24"/>
        </w:rPr>
      </w:pPr>
      <w:bookmarkStart w:name="12. Other activities to help promote int" w:id="593"/>
      <w:bookmarkEnd w:id="593"/>
      <w:r>
        <w:rPr/>
      </w:r>
      <w:r>
        <w:rPr>
          <w:sz w:val="24"/>
        </w:rPr>
        <w:t>Other activities to help promote integration across physical health, behavioral</w:t>
      </w:r>
      <w:r>
        <w:rPr>
          <w:spacing w:val="-5"/>
          <w:sz w:val="24"/>
        </w:rPr>
        <w:t> </w:t>
      </w:r>
      <w:r>
        <w:rPr>
          <w:sz w:val="24"/>
        </w:rPr>
        <w:t>health,</w:t>
      </w:r>
      <w:r>
        <w:rPr>
          <w:spacing w:val="-3"/>
          <w:sz w:val="24"/>
        </w:rPr>
        <w:t> </w:t>
      </w:r>
      <w:r>
        <w:rPr>
          <w:sz w:val="24"/>
        </w:rPr>
        <w:t>LTSS</w:t>
      </w:r>
      <w:r>
        <w:rPr>
          <w:spacing w:val="-5"/>
          <w:sz w:val="24"/>
        </w:rPr>
        <w:t> </w:t>
      </w:r>
      <w:r>
        <w:rPr>
          <w:sz w:val="24"/>
        </w:rPr>
        <w:t>and</w:t>
      </w:r>
      <w:r>
        <w:rPr>
          <w:spacing w:val="-5"/>
          <w:sz w:val="24"/>
        </w:rPr>
        <w:t> </w:t>
      </w:r>
      <w:r>
        <w:rPr>
          <w:sz w:val="24"/>
        </w:rPr>
        <w:t>health-related</w:t>
      </w:r>
      <w:r>
        <w:rPr>
          <w:spacing w:val="-5"/>
          <w:sz w:val="24"/>
        </w:rPr>
        <w:t> </w:t>
      </w:r>
      <w:r>
        <w:rPr>
          <w:sz w:val="24"/>
        </w:rPr>
        <w:t>social</w:t>
      </w:r>
      <w:r>
        <w:rPr>
          <w:spacing w:val="-5"/>
          <w:sz w:val="24"/>
        </w:rPr>
        <w:t> </w:t>
      </w:r>
      <w:r>
        <w:rPr>
          <w:sz w:val="24"/>
        </w:rPr>
        <w:t>needs</w:t>
      </w:r>
      <w:r>
        <w:rPr>
          <w:spacing w:val="-5"/>
          <w:sz w:val="24"/>
        </w:rPr>
        <w:t> </w:t>
      </w:r>
      <w:r>
        <w:rPr>
          <w:sz w:val="24"/>
        </w:rPr>
        <w:t>for</w:t>
      </w:r>
      <w:r>
        <w:rPr>
          <w:spacing w:val="-4"/>
          <w:sz w:val="24"/>
        </w:rPr>
        <w:t> </w:t>
      </w:r>
      <w:r>
        <w:rPr>
          <w:sz w:val="24"/>
        </w:rPr>
        <w:t>BH</w:t>
      </w:r>
      <w:r>
        <w:rPr>
          <w:spacing w:val="-6"/>
          <w:sz w:val="24"/>
        </w:rPr>
        <w:t> </w:t>
      </w:r>
      <w:r>
        <w:rPr>
          <w:sz w:val="24"/>
        </w:rPr>
        <w:t>CP members, as agreed upon by the care team.</w:t>
      </w:r>
    </w:p>
    <w:p>
      <w:pPr>
        <w:pStyle w:val="BodyText"/>
        <w:spacing w:before="161"/>
        <w:ind w:left="2040" w:right="1059"/>
      </w:pPr>
      <w:r>
        <w:rPr/>
        <w:drawing>
          <wp:anchor distT="0" distB="0" distL="0" distR="0" allowOverlap="1" layoutInCell="1" locked="0" behindDoc="0" simplePos="0" relativeHeight="15918080">
            <wp:simplePos x="0" y="0"/>
            <wp:positionH relativeFrom="page">
              <wp:posOffset>1778507</wp:posOffset>
            </wp:positionH>
            <wp:positionV relativeFrom="paragraph">
              <wp:posOffset>134786</wp:posOffset>
            </wp:positionV>
            <wp:extent cx="158495" cy="115823"/>
            <wp:effectExtent l="0" t="0" r="0" b="0"/>
            <wp:wrapNone/>
            <wp:docPr id="381" name="Image 381"/>
            <wp:cNvGraphicFramePr>
              <a:graphicFrameLocks/>
            </wp:cNvGraphicFramePr>
            <a:graphic>
              <a:graphicData uri="http://schemas.openxmlformats.org/drawingml/2006/picture">
                <pic:pic>
                  <pic:nvPicPr>
                    <pic:cNvPr id="381" name="Image 381"/>
                    <pic:cNvPicPr/>
                  </pic:nvPicPr>
                  <pic:blipFill>
                    <a:blip r:embed="rId65" cstate="print"/>
                    <a:stretch>
                      <a:fillRect/>
                    </a:stretch>
                  </pic:blipFill>
                  <pic:spPr>
                    <a:xfrm>
                      <a:off x="0" y="0"/>
                      <a:ext cx="158495" cy="115823"/>
                    </a:xfrm>
                    <a:prstGeom prst="rect">
                      <a:avLst/>
                    </a:prstGeom>
                  </pic:spPr>
                </pic:pic>
              </a:graphicData>
            </a:graphic>
          </wp:anchor>
        </w:drawing>
      </w:r>
      <w:bookmarkStart w:name="iii. The CP may not bill Mass Health, MC" w:id="594"/>
      <w:bookmarkEnd w:id="594"/>
      <w:r>
        <w:rPr/>
      </w:r>
      <w:r>
        <w:rPr/>
        <w:t>The CP may not bill Mass Health, MCOs or ACOs for activities funded through DSRIP. MassHealth will also ensure that there is no duplication of payment</w:t>
      </w:r>
      <w:r>
        <w:rPr>
          <w:spacing w:val="-3"/>
        </w:rPr>
        <w:t> </w:t>
      </w:r>
      <w:r>
        <w:rPr/>
        <w:t>to</w:t>
      </w:r>
      <w:r>
        <w:rPr>
          <w:spacing w:val="-3"/>
        </w:rPr>
        <w:t> </w:t>
      </w:r>
      <w:r>
        <w:rPr/>
        <w:t>Community</w:t>
      </w:r>
      <w:r>
        <w:rPr>
          <w:spacing w:val="-8"/>
        </w:rPr>
        <w:t> </w:t>
      </w:r>
      <w:r>
        <w:rPr/>
        <w:t>Partners.</w:t>
      </w:r>
      <w:r>
        <w:rPr>
          <w:spacing w:val="-3"/>
        </w:rPr>
        <w:t> </w:t>
      </w:r>
      <w:r>
        <w:rPr/>
        <w:t>An</w:t>
      </w:r>
      <w:r>
        <w:rPr>
          <w:spacing w:val="-1"/>
        </w:rPr>
        <w:t> </w:t>
      </w:r>
      <w:r>
        <w:rPr/>
        <w:t>LTSS</w:t>
      </w:r>
      <w:r>
        <w:rPr>
          <w:spacing w:val="-3"/>
        </w:rPr>
        <w:t> </w:t>
      </w:r>
      <w:r>
        <w:rPr/>
        <w:t>CP</w:t>
      </w:r>
      <w:r>
        <w:rPr>
          <w:spacing w:val="-3"/>
        </w:rPr>
        <w:t> </w:t>
      </w:r>
      <w:r>
        <w:rPr/>
        <w:t>may</w:t>
      </w:r>
      <w:r>
        <w:rPr>
          <w:spacing w:val="-8"/>
        </w:rPr>
        <w:t> </w:t>
      </w:r>
      <w:r>
        <w:rPr/>
        <w:t>utilize</w:t>
      </w:r>
      <w:r>
        <w:rPr>
          <w:spacing w:val="-4"/>
        </w:rPr>
        <w:t> </w:t>
      </w:r>
      <w:r>
        <w:rPr/>
        <w:t>DSRIP</w:t>
      </w:r>
      <w:r>
        <w:rPr>
          <w:spacing w:val="-3"/>
        </w:rPr>
        <w:t> </w:t>
      </w:r>
      <w:r>
        <w:rPr/>
        <w:t>funding</w:t>
      </w:r>
      <w:r>
        <w:rPr>
          <w:spacing w:val="-3"/>
        </w:rPr>
        <w:t> </w:t>
      </w:r>
      <w:r>
        <w:rPr/>
        <w:t>for the following purposes, including but not limited to:</w:t>
      </w:r>
    </w:p>
    <w:p>
      <w:pPr>
        <w:spacing w:after="0"/>
        <w:sectPr>
          <w:pgSz w:w="12240" w:h="15840"/>
          <w:pgMar w:header="0" w:footer="1201" w:top="1360" w:bottom="1400" w:left="1200" w:right="400"/>
        </w:sectPr>
      </w:pPr>
    </w:p>
    <w:p>
      <w:pPr>
        <w:pStyle w:val="ListParagraph"/>
        <w:numPr>
          <w:ilvl w:val="0"/>
          <w:numId w:val="35"/>
        </w:numPr>
        <w:tabs>
          <w:tab w:pos="2851" w:val="left" w:leader="none"/>
        </w:tabs>
        <w:spacing w:line="240" w:lineRule="auto" w:before="79" w:after="0"/>
        <w:ind w:left="2851" w:right="0" w:hanging="360"/>
        <w:jc w:val="left"/>
        <w:rPr>
          <w:sz w:val="24"/>
        </w:rPr>
      </w:pPr>
      <w:bookmarkStart w:name="1. LTSS assessments and counseling on av" w:id="595"/>
      <w:bookmarkEnd w:id="595"/>
      <w:r>
        <w:rPr/>
      </w:r>
      <w:r>
        <w:rPr>
          <w:sz w:val="24"/>
        </w:rPr>
        <w:t>LTSS</w:t>
      </w:r>
      <w:r>
        <w:rPr>
          <w:spacing w:val="-5"/>
          <w:sz w:val="24"/>
        </w:rPr>
        <w:t> </w:t>
      </w:r>
      <w:r>
        <w:rPr>
          <w:sz w:val="24"/>
        </w:rPr>
        <w:t>assessments</w:t>
      </w:r>
      <w:r>
        <w:rPr>
          <w:spacing w:val="-2"/>
          <w:sz w:val="24"/>
        </w:rPr>
        <w:t> </w:t>
      </w:r>
      <w:r>
        <w:rPr>
          <w:sz w:val="24"/>
        </w:rPr>
        <w:t>and counseling</w:t>
      </w:r>
      <w:r>
        <w:rPr>
          <w:spacing w:val="-5"/>
          <w:sz w:val="24"/>
        </w:rPr>
        <w:t> </w:t>
      </w:r>
      <w:r>
        <w:rPr>
          <w:sz w:val="24"/>
        </w:rPr>
        <w:t>on</w:t>
      </w:r>
      <w:r>
        <w:rPr>
          <w:spacing w:val="-2"/>
          <w:sz w:val="24"/>
        </w:rPr>
        <w:t> </w:t>
      </w:r>
      <w:r>
        <w:rPr>
          <w:sz w:val="24"/>
        </w:rPr>
        <w:t>available</w:t>
      </w:r>
      <w:r>
        <w:rPr>
          <w:spacing w:val="-2"/>
          <w:sz w:val="24"/>
        </w:rPr>
        <w:t> options;</w:t>
      </w:r>
    </w:p>
    <w:p>
      <w:pPr>
        <w:pStyle w:val="ListParagraph"/>
        <w:numPr>
          <w:ilvl w:val="0"/>
          <w:numId w:val="35"/>
        </w:numPr>
        <w:tabs>
          <w:tab w:pos="2851" w:val="left" w:leader="none"/>
        </w:tabs>
        <w:spacing w:line="240" w:lineRule="auto" w:before="120" w:after="0"/>
        <w:ind w:left="2851" w:right="1172" w:hanging="360"/>
        <w:jc w:val="left"/>
        <w:rPr>
          <w:sz w:val="24"/>
        </w:rPr>
      </w:pPr>
      <w:bookmarkStart w:name="2. Support for person-centered care mana" w:id="596"/>
      <w:bookmarkEnd w:id="596"/>
      <w:r>
        <w:rPr/>
      </w:r>
      <w:r>
        <w:rPr>
          <w:sz w:val="24"/>
        </w:rPr>
        <w:t>Support</w:t>
      </w:r>
      <w:r>
        <w:rPr>
          <w:spacing w:val="-5"/>
          <w:sz w:val="24"/>
        </w:rPr>
        <w:t> </w:t>
      </w:r>
      <w:r>
        <w:rPr>
          <w:sz w:val="24"/>
        </w:rPr>
        <w:t>for</w:t>
      </w:r>
      <w:r>
        <w:rPr>
          <w:spacing w:val="-6"/>
          <w:sz w:val="24"/>
        </w:rPr>
        <w:t> </w:t>
      </w:r>
      <w:r>
        <w:rPr>
          <w:sz w:val="24"/>
        </w:rPr>
        <w:t>person-centered</w:t>
      </w:r>
      <w:r>
        <w:rPr>
          <w:spacing w:val="-5"/>
          <w:sz w:val="24"/>
        </w:rPr>
        <w:t> </w:t>
      </w:r>
      <w:r>
        <w:rPr>
          <w:sz w:val="24"/>
        </w:rPr>
        <w:t>care</w:t>
      </w:r>
      <w:r>
        <w:rPr>
          <w:spacing w:val="-6"/>
          <w:sz w:val="24"/>
        </w:rPr>
        <w:t> </w:t>
      </w:r>
      <w:r>
        <w:rPr>
          <w:sz w:val="24"/>
        </w:rPr>
        <w:t>management,</w:t>
      </w:r>
      <w:r>
        <w:rPr>
          <w:spacing w:val="-5"/>
          <w:sz w:val="24"/>
        </w:rPr>
        <w:t> </w:t>
      </w:r>
      <w:r>
        <w:rPr>
          <w:sz w:val="24"/>
        </w:rPr>
        <w:t>care</w:t>
      </w:r>
      <w:r>
        <w:rPr>
          <w:spacing w:val="-6"/>
          <w:sz w:val="24"/>
        </w:rPr>
        <w:t> </w:t>
      </w:r>
      <w:r>
        <w:rPr>
          <w:sz w:val="24"/>
        </w:rPr>
        <w:t>plan</w:t>
      </w:r>
      <w:r>
        <w:rPr>
          <w:spacing w:val="-5"/>
          <w:sz w:val="24"/>
        </w:rPr>
        <w:t> </w:t>
      </w:r>
      <w:r>
        <w:rPr>
          <w:sz w:val="24"/>
        </w:rPr>
        <w:t>support</w:t>
      </w:r>
      <w:r>
        <w:rPr>
          <w:spacing w:val="-5"/>
          <w:sz w:val="24"/>
        </w:rPr>
        <w:t> </w:t>
      </w:r>
      <w:r>
        <w:rPr>
          <w:sz w:val="24"/>
        </w:rPr>
        <w:t>and care coordination activities, including but not limited to:</w:t>
      </w:r>
    </w:p>
    <w:p>
      <w:pPr>
        <w:pStyle w:val="ListParagraph"/>
        <w:numPr>
          <w:ilvl w:val="0"/>
          <w:numId w:val="35"/>
        </w:numPr>
        <w:tabs>
          <w:tab w:pos="2851" w:val="left" w:leader="none"/>
        </w:tabs>
        <w:spacing w:line="240" w:lineRule="auto" w:before="120" w:after="0"/>
        <w:ind w:left="2851" w:right="0" w:hanging="360"/>
        <w:jc w:val="left"/>
        <w:rPr>
          <w:sz w:val="24"/>
        </w:rPr>
      </w:pPr>
      <w:bookmarkStart w:name="3. Screening to identify current or unme" w:id="597"/>
      <w:bookmarkEnd w:id="597"/>
      <w:r>
        <w:rPr/>
      </w:r>
      <w:r>
        <w:rPr>
          <w:sz w:val="24"/>
        </w:rPr>
        <w:t>Screening</w:t>
      </w:r>
      <w:r>
        <w:rPr>
          <w:spacing w:val="-4"/>
          <w:sz w:val="24"/>
        </w:rPr>
        <w:t> </w:t>
      </w:r>
      <w:r>
        <w:rPr>
          <w:sz w:val="24"/>
        </w:rPr>
        <w:t>to</w:t>
      </w:r>
      <w:r>
        <w:rPr>
          <w:spacing w:val="-1"/>
          <w:sz w:val="24"/>
        </w:rPr>
        <w:t> </w:t>
      </w:r>
      <w:r>
        <w:rPr>
          <w:sz w:val="24"/>
        </w:rPr>
        <w:t>identify</w:t>
      </w:r>
      <w:r>
        <w:rPr>
          <w:spacing w:val="-6"/>
          <w:sz w:val="24"/>
        </w:rPr>
        <w:t> </w:t>
      </w:r>
      <w:r>
        <w:rPr>
          <w:sz w:val="24"/>
        </w:rPr>
        <w:t>current</w:t>
      </w:r>
      <w:r>
        <w:rPr>
          <w:spacing w:val="-1"/>
          <w:sz w:val="24"/>
        </w:rPr>
        <w:t> </w:t>
      </w:r>
      <w:r>
        <w:rPr>
          <w:sz w:val="24"/>
        </w:rPr>
        <w:t>or</w:t>
      </w:r>
      <w:r>
        <w:rPr>
          <w:spacing w:val="-2"/>
          <w:sz w:val="24"/>
        </w:rPr>
        <w:t> </w:t>
      </w:r>
      <w:r>
        <w:rPr>
          <w:sz w:val="24"/>
        </w:rPr>
        <w:t>unmet</w:t>
      </w:r>
      <w:r>
        <w:rPr>
          <w:spacing w:val="1"/>
          <w:sz w:val="24"/>
        </w:rPr>
        <w:t> </w:t>
      </w:r>
      <w:r>
        <w:rPr>
          <w:sz w:val="24"/>
        </w:rPr>
        <w:t>LTSS </w:t>
      </w:r>
      <w:r>
        <w:rPr>
          <w:spacing w:val="-2"/>
          <w:sz w:val="24"/>
        </w:rPr>
        <w:t>needs;</w:t>
      </w:r>
    </w:p>
    <w:p>
      <w:pPr>
        <w:pStyle w:val="ListParagraph"/>
        <w:numPr>
          <w:ilvl w:val="0"/>
          <w:numId w:val="35"/>
        </w:numPr>
        <w:tabs>
          <w:tab w:pos="2851" w:val="left" w:leader="none"/>
        </w:tabs>
        <w:spacing w:line="240" w:lineRule="auto" w:before="120" w:after="0"/>
        <w:ind w:left="2851" w:right="1442" w:hanging="360"/>
        <w:jc w:val="left"/>
        <w:rPr>
          <w:sz w:val="24"/>
        </w:rPr>
      </w:pPr>
      <w:bookmarkStart w:name="4. Review of members’ existing LTSS asse" w:id="598"/>
      <w:bookmarkEnd w:id="598"/>
      <w:r>
        <w:rPr/>
      </w:r>
      <w:r>
        <w:rPr>
          <w:sz w:val="24"/>
        </w:rPr>
        <w:t>Review</w:t>
      </w:r>
      <w:r>
        <w:rPr>
          <w:spacing w:val="-6"/>
          <w:sz w:val="24"/>
        </w:rPr>
        <w:t> </w:t>
      </w:r>
      <w:r>
        <w:rPr>
          <w:sz w:val="24"/>
        </w:rPr>
        <w:t>of</w:t>
      </w:r>
      <w:r>
        <w:rPr>
          <w:spacing w:val="-6"/>
          <w:sz w:val="24"/>
        </w:rPr>
        <w:t> </w:t>
      </w:r>
      <w:r>
        <w:rPr>
          <w:sz w:val="24"/>
        </w:rPr>
        <w:t>members’</w:t>
      </w:r>
      <w:r>
        <w:rPr>
          <w:spacing w:val="-6"/>
          <w:sz w:val="24"/>
        </w:rPr>
        <w:t> </w:t>
      </w:r>
      <w:r>
        <w:rPr>
          <w:sz w:val="24"/>
        </w:rPr>
        <w:t>existing</w:t>
      </w:r>
      <w:r>
        <w:rPr>
          <w:spacing w:val="-5"/>
          <w:sz w:val="24"/>
        </w:rPr>
        <w:t> </w:t>
      </w:r>
      <w:r>
        <w:rPr>
          <w:sz w:val="24"/>
        </w:rPr>
        <w:t>LTSS</w:t>
      </w:r>
      <w:r>
        <w:rPr>
          <w:spacing w:val="-5"/>
          <w:sz w:val="24"/>
        </w:rPr>
        <w:t> </w:t>
      </w:r>
      <w:r>
        <w:rPr>
          <w:sz w:val="24"/>
        </w:rPr>
        <w:t>assessment</w:t>
      </w:r>
      <w:r>
        <w:rPr>
          <w:spacing w:val="-5"/>
          <w:sz w:val="24"/>
        </w:rPr>
        <w:t> </w:t>
      </w:r>
      <w:r>
        <w:rPr>
          <w:sz w:val="24"/>
        </w:rPr>
        <w:t>and</w:t>
      </w:r>
      <w:r>
        <w:rPr>
          <w:spacing w:val="-5"/>
          <w:sz w:val="24"/>
        </w:rPr>
        <w:t> </w:t>
      </w:r>
      <w:r>
        <w:rPr>
          <w:sz w:val="24"/>
        </w:rPr>
        <w:t>current</w:t>
      </w:r>
      <w:r>
        <w:rPr>
          <w:spacing w:val="-3"/>
          <w:sz w:val="24"/>
        </w:rPr>
        <w:t> </w:t>
      </w:r>
      <w:r>
        <w:rPr>
          <w:sz w:val="24"/>
        </w:rPr>
        <w:t>LTSS </w:t>
      </w:r>
      <w:r>
        <w:rPr>
          <w:spacing w:val="-2"/>
          <w:sz w:val="24"/>
        </w:rPr>
        <w:t>services;</w:t>
      </w:r>
    </w:p>
    <w:p>
      <w:pPr>
        <w:pStyle w:val="ListParagraph"/>
        <w:numPr>
          <w:ilvl w:val="0"/>
          <w:numId w:val="35"/>
        </w:numPr>
        <w:tabs>
          <w:tab w:pos="2851" w:val="left" w:leader="none"/>
        </w:tabs>
        <w:spacing w:line="240" w:lineRule="auto" w:before="120" w:after="0"/>
        <w:ind w:left="2851" w:right="0" w:hanging="360"/>
        <w:jc w:val="left"/>
        <w:rPr>
          <w:sz w:val="24"/>
        </w:rPr>
      </w:pPr>
      <w:bookmarkStart w:name="5. Independent assessment for LTSS funct" w:id="599"/>
      <w:bookmarkEnd w:id="599"/>
      <w:r>
        <w:rPr/>
      </w:r>
      <w:r>
        <w:rPr>
          <w:sz w:val="24"/>
        </w:rPr>
        <w:t>Independent</w:t>
      </w:r>
      <w:r>
        <w:rPr>
          <w:spacing w:val="-3"/>
          <w:sz w:val="24"/>
        </w:rPr>
        <w:t> </w:t>
      </w:r>
      <w:r>
        <w:rPr>
          <w:sz w:val="24"/>
        </w:rPr>
        <w:t>assessment</w:t>
      </w:r>
      <w:r>
        <w:rPr>
          <w:spacing w:val="-3"/>
          <w:sz w:val="24"/>
        </w:rPr>
        <w:t> </w:t>
      </w:r>
      <w:r>
        <w:rPr>
          <w:sz w:val="24"/>
        </w:rPr>
        <w:t>for</w:t>
      </w:r>
      <w:r>
        <w:rPr>
          <w:spacing w:val="-1"/>
          <w:sz w:val="24"/>
        </w:rPr>
        <w:t> </w:t>
      </w:r>
      <w:r>
        <w:rPr>
          <w:sz w:val="24"/>
        </w:rPr>
        <w:t>LTSS</w:t>
      </w:r>
      <w:r>
        <w:rPr>
          <w:spacing w:val="-3"/>
          <w:sz w:val="24"/>
        </w:rPr>
        <w:t> </w:t>
      </w:r>
      <w:r>
        <w:rPr>
          <w:sz w:val="24"/>
        </w:rPr>
        <w:t>functional and</w:t>
      </w:r>
      <w:r>
        <w:rPr>
          <w:spacing w:val="-3"/>
          <w:sz w:val="24"/>
        </w:rPr>
        <w:t> </w:t>
      </w:r>
      <w:r>
        <w:rPr>
          <w:sz w:val="24"/>
        </w:rPr>
        <w:t>clinical</w:t>
      </w:r>
      <w:r>
        <w:rPr>
          <w:spacing w:val="-2"/>
          <w:sz w:val="24"/>
        </w:rPr>
        <w:t> needs;</w:t>
      </w:r>
    </w:p>
    <w:p>
      <w:pPr>
        <w:pStyle w:val="ListParagraph"/>
        <w:numPr>
          <w:ilvl w:val="0"/>
          <w:numId w:val="35"/>
        </w:numPr>
        <w:tabs>
          <w:tab w:pos="2851" w:val="left" w:leader="none"/>
        </w:tabs>
        <w:spacing w:line="240" w:lineRule="auto" w:before="120" w:after="0"/>
        <w:ind w:left="2851" w:right="1136" w:hanging="360"/>
        <w:jc w:val="left"/>
        <w:rPr>
          <w:sz w:val="24"/>
        </w:rPr>
      </w:pPr>
      <w:bookmarkStart w:name="6. Choice counseling including navigatio" w:id="600"/>
      <w:bookmarkEnd w:id="600"/>
      <w:r>
        <w:rPr/>
      </w:r>
      <w:r>
        <w:rPr>
          <w:sz w:val="24"/>
        </w:rPr>
        <w:t>Choice</w:t>
      </w:r>
      <w:r>
        <w:rPr>
          <w:spacing w:val="-6"/>
          <w:sz w:val="24"/>
        </w:rPr>
        <w:t> </w:t>
      </w:r>
      <w:r>
        <w:rPr>
          <w:sz w:val="24"/>
        </w:rPr>
        <w:t>counseling</w:t>
      </w:r>
      <w:r>
        <w:rPr>
          <w:spacing w:val="-8"/>
          <w:sz w:val="24"/>
        </w:rPr>
        <w:t> </w:t>
      </w:r>
      <w:r>
        <w:rPr>
          <w:sz w:val="24"/>
        </w:rPr>
        <w:t>including</w:t>
      </w:r>
      <w:r>
        <w:rPr>
          <w:spacing w:val="-8"/>
          <w:sz w:val="24"/>
        </w:rPr>
        <w:t> </w:t>
      </w:r>
      <w:r>
        <w:rPr>
          <w:sz w:val="24"/>
        </w:rPr>
        <w:t>navigation</w:t>
      </w:r>
      <w:r>
        <w:rPr>
          <w:spacing w:val="-5"/>
          <w:sz w:val="24"/>
        </w:rPr>
        <w:t> </w:t>
      </w:r>
      <w:r>
        <w:rPr>
          <w:sz w:val="24"/>
        </w:rPr>
        <w:t>on</w:t>
      </w:r>
      <w:r>
        <w:rPr>
          <w:spacing w:val="-3"/>
          <w:sz w:val="24"/>
        </w:rPr>
        <w:t> </w:t>
      </w:r>
      <w:r>
        <w:rPr>
          <w:sz w:val="24"/>
        </w:rPr>
        <w:t>LTSS</w:t>
      </w:r>
      <w:r>
        <w:rPr>
          <w:spacing w:val="-5"/>
          <w:sz w:val="24"/>
        </w:rPr>
        <w:t> </w:t>
      </w:r>
      <w:r>
        <w:rPr>
          <w:sz w:val="24"/>
        </w:rPr>
        <w:t>service</w:t>
      </w:r>
      <w:r>
        <w:rPr>
          <w:spacing w:val="-6"/>
          <w:sz w:val="24"/>
        </w:rPr>
        <w:t> </w:t>
      </w:r>
      <w:r>
        <w:rPr>
          <w:sz w:val="24"/>
        </w:rPr>
        <w:t>options</w:t>
      </w:r>
      <w:r>
        <w:rPr>
          <w:spacing w:val="-5"/>
          <w:sz w:val="24"/>
        </w:rPr>
        <w:t> </w:t>
      </w:r>
      <w:r>
        <w:rPr>
          <w:sz w:val="24"/>
        </w:rPr>
        <w:t>and member education on range of LTSS providers;</w:t>
      </w:r>
    </w:p>
    <w:p>
      <w:pPr>
        <w:pStyle w:val="ListParagraph"/>
        <w:numPr>
          <w:ilvl w:val="0"/>
          <w:numId w:val="35"/>
        </w:numPr>
        <w:tabs>
          <w:tab w:pos="2851" w:val="left" w:leader="none"/>
        </w:tabs>
        <w:spacing w:line="240" w:lineRule="auto" w:before="120" w:after="0"/>
        <w:ind w:left="2851" w:right="0" w:hanging="360"/>
        <w:jc w:val="left"/>
        <w:rPr>
          <w:sz w:val="24"/>
        </w:rPr>
      </w:pPr>
      <w:bookmarkStart w:name="7. Care transition assistance;" w:id="601"/>
      <w:bookmarkEnd w:id="601"/>
      <w:r>
        <w:rPr/>
      </w:r>
      <w:r>
        <w:rPr>
          <w:sz w:val="24"/>
        </w:rPr>
        <w:t>Care</w:t>
      </w:r>
      <w:r>
        <w:rPr>
          <w:spacing w:val="-3"/>
          <w:sz w:val="24"/>
        </w:rPr>
        <w:t> </w:t>
      </w:r>
      <w:r>
        <w:rPr>
          <w:sz w:val="24"/>
        </w:rPr>
        <w:t>transition</w:t>
      </w:r>
      <w:r>
        <w:rPr>
          <w:spacing w:val="-2"/>
          <w:sz w:val="24"/>
        </w:rPr>
        <w:t> assistance;</w:t>
      </w:r>
    </w:p>
    <w:p>
      <w:pPr>
        <w:pStyle w:val="ListParagraph"/>
        <w:numPr>
          <w:ilvl w:val="0"/>
          <w:numId w:val="35"/>
        </w:numPr>
        <w:tabs>
          <w:tab w:pos="2851" w:val="left" w:leader="none"/>
        </w:tabs>
        <w:spacing w:line="240" w:lineRule="auto" w:before="120" w:after="0"/>
        <w:ind w:left="2851" w:right="0" w:hanging="360"/>
        <w:jc w:val="left"/>
        <w:rPr>
          <w:sz w:val="24"/>
        </w:rPr>
      </w:pPr>
      <w:bookmarkStart w:name="8. Provide LTSS-specific input to the me" w:id="602"/>
      <w:bookmarkEnd w:id="602"/>
      <w:r>
        <w:rPr/>
      </w:r>
      <w:r>
        <w:rPr>
          <w:sz w:val="24"/>
        </w:rPr>
        <w:t>Provide</w:t>
      </w:r>
      <w:r>
        <w:rPr>
          <w:spacing w:val="-3"/>
          <w:sz w:val="24"/>
        </w:rPr>
        <w:t> </w:t>
      </w:r>
      <w:r>
        <w:rPr>
          <w:sz w:val="24"/>
        </w:rPr>
        <w:t>LTSS-specific</w:t>
      </w:r>
      <w:r>
        <w:rPr>
          <w:spacing w:val="-2"/>
          <w:sz w:val="24"/>
        </w:rPr>
        <w:t> </w:t>
      </w:r>
      <w:r>
        <w:rPr>
          <w:sz w:val="24"/>
        </w:rPr>
        <w:t>input</w:t>
      </w:r>
      <w:r>
        <w:rPr>
          <w:spacing w:val="-1"/>
          <w:sz w:val="24"/>
        </w:rPr>
        <w:t> </w:t>
      </w:r>
      <w:r>
        <w:rPr>
          <w:sz w:val="24"/>
        </w:rPr>
        <w:t>to</w:t>
      </w:r>
      <w:r>
        <w:rPr>
          <w:spacing w:val="-1"/>
          <w:sz w:val="24"/>
        </w:rPr>
        <w:t> </w:t>
      </w:r>
      <w:r>
        <w:rPr>
          <w:sz w:val="24"/>
        </w:rPr>
        <w:t>the</w:t>
      </w:r>
      <w:r>
        <w:rPr>
          <w:spacing w:val="-3"/>
          <w:sz w:val="24"/>
        </w:rPr>
        <w:t> </w:t>
      </w:r>
      <w:r>
        <w:rPr>
          <w:sz w:val="24"/>
        </w:rPr>
        <w:t>member</w:t>
      </w:r>
      <w:r>
        <w:rPr>
          <w:spacing w:val="-2"/>
          <w:sz w:val="24"/>
        </w:rPr>
        <w:t> </w:t>
      </w:r>
      <w:r>
        <w:rPr>
          <w:sz w:val="24"/>
        </w:rPr>
        <w:t>care</w:t>
      </w:r>
      <w:r>
        <w:rPr>
          <w:spacing w:val="-2"/>
          <w:sz w:val="24"/>
        </w:rPr>
        <w:t> </w:t>
      </w:r>
      <w:r>
        <w:rPr>
          <w:sz w:val="24"/>
        </w:rPr>
        <w:t>plan</w:t>
      </w:r>
      <w:r>
        <w:rPr>
          <w:spacing w:val="-1"/>
          <w:sz w:val="24"/>
        </w:rPr>
        <w:t> </w:t>
      </w:r>
      <w:r>
        <w:rPr>
          <w:sz w:val="24"/>
        </w:rPr>
        <w:t>and</w:t>
      </w:r>
      <w:r>
        <w:rPr>
          <w:spacing w:val="-1"/>
          <w:sz w:val="24"/>
        </w:rPr>
        <w:t> </w:t>
      </w:r>
      <w:r>
        <w:rPr>
          <w:sz w:val="24"/>
        </w:rPr>
        <w:t>care</w:t>
      </w:r>
      <w:r>
        <w:rPr>
          <w:spacing w:val="-2"/>
          <w:sz w:val="24"/>
        </w:rPr>
        <w:t> team;</w:t>
      </w:r>
    </w:p>
    <w:p>
      <w:pPr>
        <w:pStyle w:val="ListParagraph"/>
        <w:numPr>
          <w:ilvl w:val="0"/>
          <w:numId w:val="35"/>
        </w:numPr>
        <w:tabs>
          <w:tab w:pos="2851" w:val="left" w:leader="none"/>
        </w:tabs>
        <w:spacing w:line="240" w:lineRule="auto" w:before="120" w:after="0"/>
        <w:ind w:left="2851" w:right="1522" w:hanging="360"/>
        <w:jc w:val="left"/>
        <w:rPr>
          <w:sz w:val="24"/>
        </w:rPr>
      </w:pPr>
      <w:bookmarkStart w:name="9. Coordination (e.g., scheduling) acros" w:id="603"/>
      <w:bookmarkEnd w:id="603"/>
      <w:r>
        <w:rPr/>
      </w:r>
      <w:r>
        <w:rPr>
          <w:sz w:val="24"/>
        </w:rPr>
        <w:t>Coordination (e.g., scheduling) across multiple LTSS providers; coordination</w:t>
      </w:r>
      <w:r>
        <w:rPr>
          <w:spacing w:val="-5"/>
          <w:sz w:val="24"/>
        </w:rPr>
        <w:t> </w:t>
      </w:r>
      <w:r>
        <w:rPr>
          <w:sz w:val="24"/>
        </w:rPr>
        <w:t>of</w:t>
      </w:r>
      <w:r>
        <w:rPr>
          <w:spacing w:val="-4"/>
          <w:sz w:val="24"/>
        </w:rPr>
        <w:t> </w:t>
      </w:r>
      <w:r>
        <w:rPr>
          <w:sz w:val="24"/>
        </w:rPr>
        <w:t>LTSS</w:t>
      </w:r>
      <w:r>
        <w:rPr>
          <w:spacing w:val="-5"/>
          <w:sz w:val="24"/>
        </w:rPr>
        <w:t> </w:t>
      </w:r>
      <w:r>
        <w:rPr>
          <w:sz w:val="24"/>
        </w:rPr>
        <w:t>with</w:t>
      </w:r>
      <w:r>
        <w:rPr>
          <w:spacing w:val="-5"/>
          <w:sz w:val="24"/>
        </w:rPr>
        <w:t> </w:t>
      </w:r>
      <w:r>
        <w:rPr>
          <w:sz w:val="24"/>
        </w:rPr>
        <w:t>medical</w:t>
      </w:r>
      <w:r>
        <w:rPr>
          <w:spacing w:val="-5"/>
          <w:sz w:val="24"/>
        </w:rPr>
        <w:t> </w:t>
      </w:r>
      <w:r>
        <w:rPr>
          <w:sz w:val="24"/>
        </w:rPr>
        <w:t>and</w:t>
      </w:r>
      <w:r>
        <w:rPr>
          <w:spacing w:val="-5"/>
          <w:sz w:val="24"/>
        </w:rPr>
        <w:t> </w:t>
      </w:r>
      <w:r>
        <w:rPr>
          <w:sz w:val="24"/>
        </w:rPr>
        <w:t>BH</w:t>
      </w:r>
      <w:r>
        <w:rPr>
          <w:spacing w:val="-6"/>
          <w:sz w:val="24"/>
        </w:rPr>
        <w:t> </w:t>
      </w:r>
      <w:r>
        <w:rPr>
          <w:sz w:val="24"/>
        </w:rPr>
        <w:t>providers/services</w:t>
      </w:r>
      <w:r>
        <w:rPr>
          <w:spacing w:val="-5"/>
          <w:sz w:val="24"/>
        </w:rPr>
        <w:t> </w:t>
      </w:r>
      <w:r>
        <w:rPr>
          <w:sz w:val="24"/>
        </w:rPr>
        <w:t>as </w:t>
      </w:r>
      <w:r>
        <w:rPr>
          <w:spacing w:val="-2"/>
          <w:sz w:val="24"/>
        </w:rPr>
        <w:t>appropriate;</w:t>
      </w:r>
    </w:p>
    <w:p>
      <w:pPr>
        <w:pStyle w:val="ListParagraph"/>
        <w:numPr>
          <w:ilvl w:val="0"/>
          <w:numId w:val="35"/>
        </w:numPr>
        <w:tabs>
          <w:tab w:pos="2851" w:val="left" w:leader="none"/>
        </w:tabs>
        <w:spacing w:line="240" w:lineRule="auto" w:before="120" w:after="0"/>
        <w:ind w:left="2851" w:right="0" w:hanging="360"/>
        <w:jc w:val="left"/>
        <w:rPr>
          <w:sz w:val="24"/>
        </w:rPr>
      </w:pPr>
      <w:bookmarkStart w:name="10. Member engagement regarding LTSS;" w:id="604"/>
      <w:bookmarkEnd w:id="604"/>
      <w:r>
        <w:rPr/>
      </w:r>
      <w:r>
        <w:rPr>
          <w:sz w:val="24"/>
        </w:rPr>
        <w:t>Member</w:t>
      </w:r>
      <w:r>
        <w:rPr>
          <w:spacing w:val="-5"/>
          <w:sz w:val="24"/>
        </w:rPr>
        <w:t> </w:t>
      </w:r>
      <w:r>
        <w:rPr>
          <w:sz w:val="24"/>
        </w:rPr>
        <w:t>engagement</w:t>
      </w:r>
      <w:r>
        <w:rPr>
          <w:spacing w:val="-2"/>
          <w:sz w:val="24"/>
        </w:rPr>
        <w:t> </w:t>
      </w:r>
      <w:r>
        <w:rPr>
          <w:sz w:val="24"/>
        </w:rPr>
        <w:t>regarding</w:t>
      </w:r>
      <w:r>
        <w:rPr>
          <w:spacing w:val="1"/>
          <w:sz w:val="24"/>
        </w:rPr>
        <w:t> </w:t>
      </w:r>
      <w:r>
        <w:rPr>
          <w:spacing w:val="-2"/>
          <w:sz w:val="24"/>
        </w:rPr>
        <w:t>LTSS;</w:t>
      </w:r>
    </w:p>
    <w:p>
      <w:pPr>
        <w:pStyle w:val="ListParagraph"/>
        <w:numPr>
          <w:ilvl w:val="0"/>
          <w:numId w:val="35"/>
        </w:numPr>
        <w:tabs>
          <w:tab w:pos="2851" w:val="left" w:leader="none"/>
        </w:tabs>
        <w:spacing w:line="240" w:lineRule="auto" w:before="120" w:after="0"/>
        <w:ind w:left="2851" w:right="0" w:hanging="360"/>
        <w:jc w:val="left"/>
        <w:rPr>
          <w:sz w:val="24"/>
        </w:rPr>
      </w:pPr>
      <w:bookmarkStart w:name="11. Health promotion; and" w:id="605"/>
      <w:bookmarkEnd w:id="605"/>
      <w:r>
        <w:rPr/>
      </w:r>
      <w:r>
        <w:rPr>
          <w:sz w:val="24"/>
        </w:rPr>
        <w:t>Health</w:t>
      </w:r>
      <w:r>
        <w:rPr>
          <w:spacing w:val="-4"/>
          <w:sz w:val="24"/>
        </w:rPr>
        <w:t> </w:t>
      </w:r>
      <w:r>
        <w:rPr>
          <w:sz w:val="24"/>
        </w:rPr>
        <w:t>promotion;</w:t>
      </w:r>
      <w:r>
        <w:rPr>
          <w:spacing w:val="-2"/>
          <w:sz w:val="24"/>
        </w:rPr>
        <w:t> </w:t>
      </w:r>
      <w:r>
        <w:rPr>
          <w:spacing w:val="-5"/>
          <w:sz w:val="24"/>
        </w:rPr>
        <w:t>and</w:t>
      </w:r>
    </w:p>
    <w:p>
      <w:pPr>
        <w:pStyle w:val="ListParagraph"/>
        <w:numPr>
          <w:ilvl w:val="0"/>
          <w:numId w:val="35"/>
        </w:numPr>
        <w:tabs>
          <w:tab w:pos="2851" w:val="left" w:leader="none"/>
        </w:tabs>
        <w:spacing w:line="240" w:lineRule="auto" w:before="120" w:after="0"/>
        <w:ind w:left="2851" w:right="1123" w:hanging="360"/>
        <w:jc w:val="left"/>
        <w:rPr>
          <w:sz w:val="24"/>
        </w:rPr>
      </w:pPr>
      <w:bookmarkStart w:name="12. Other activities to help promote int" w:id="606"/>
      <w:bookmarkEnd w:id="606"/>
      <w:r>
        <w:rPr/>
      </w:r>
      <w:r>
        <w:rPr>
          <w:sz w:val="24"/>
        </w:rPr>
        <w:t>Other activities to help promote integration across physical health, behavioral</w:t>
      </w:r>
      <w:r>
        <w:rPr>
          <w:spacing w:val="-5"/>
          <w:sz w:val="24"/>
        </w:rPr>
        <w:t> </w:t>
      </w:r>
      <w:r>
        <w:rPr>
          <w:sz w:val="24"/>
        </w:rPr>
        <w:t>health,</w:t>
      </w:r>
      <w:r>
        <w:rPr>
          <w:spacing w:val="-3"/>
          <w:sz w:val="24"/>
        </w:rPr>
        <w:t> </w:t>
      </w:r>
      <w:r>
        <w:rPr>
          <w:sz w:val="24"/>
        </w:rPr>
        <w:t>LTSS</w:t>
      </w:r>
      <w:r>
        <w:rPr>
          <w:spacing w:val="-5"/>
          <w:sz w:val="24"/>
        </w:rPr>
        <w:t> </w:t>
      </w:r>
      <w:r>
        <w:rPr>
          <w:sz w:val="24"/>
        </w:rPr>
        <w:t>and</w:t>
      </w:r>
      <w:r>
        <w:rPr>
          <w:spacing w:val="-5"/>
          <w:sz w:val="24"/>
        </w:rPr>
        <w:t> </w:t>
      </w:r>
      <w:r>
        <w:rPr>
          <w:sz w:val="24"/>
        </w:rPr>
        <w:t>health-related</w:t>
      </w:r>
      <w:r>
        <w:rPr>
          <w:spacing w:val="-5"/>
          <w:sz w:val="24"/>
        </w:rPr>
        <w:t> </w:t>
      </w:r>
      <w:r>
        <w:rPr>
          <w:sz w:val="24"/>
        </w:rPr>
        <w:t>social</w:t>
      </w:r>
      <w:r>
        <w:rPr>
          <w:spacing w:val="-5"/>
          <w:sz w:val="24"/>
        </w:rPr>
        <w:t> </w:t>
      </w:r>
      <w:r>
        <w:rPr>
          <w:sz w:val="24"/>
        </w:rPr>
        <w:t>needs</w:t>
      </w:r>
      <w:r>
        <w:rPr>
          <w:spacing w:val="-5"/>
          <w:sz w:val="24"/>
        </w:rPr>
        <w:t> </w:t>
      </w:r>
      <w:r>
        <w:rPr>
          <w:sz w:val="24"/>
        </w:rPr>
        <w:t>for</w:t>
      </w:r>
      <w:r>
        <w:rPr>
          <w:spacing w:val="-4"/>
          <w:sz w:val="24"/>
        </w:rPr>
        <w:t> </w:t>
      </w:r>
      <w:r>
        <w:rPr>
          <w:sz w:val="24"/>
        </w:rPr>
        <w:t>LTSS</w:t>
      </w:r>
      <w:r>
        <w:rPr>
          <w:spacing w:val="-5"/>
          <w:sz w:val="24"/>
        </w:rPr>
        <w:t> </w:t>
      </w:r>
      <w:r>
        <w:rPr>
          <w:sz w:val="24"/>
        </w:rPr>
        <w:t>CP members, as agreed upon by the care team.</w:t>
      </w:r>
    </w:p>
    <w:p>
      <w:pPr>
        <w:pStyle w:val="BodyText"/>
        <w:spacing w:before="161"/>
        <w:ind w:left="2040"/>
      </w:pPr>
      <w:r>
        <w:rPr/>
        <w:drawing>
          <wp:anchor distT="0" distB="0" distL="0" distR="0" allowOverlap="1" layoutInCell="1" locked="0" behindDoc="0" simplePos="0" relativeHeight="15918592">
            <wp:simplePos x="0" y="0"/>
            <wp:positionH relativeFrom="page">
              <wp:posOffset>1786127</wp:posOffset>
            </wp:positionH>
            <wp:positionV relativeFrom="paragraph">
              <wp:posOffset>134786</wp:posOffset>
            </wp:positionV>
            <wp:extent cx="149339" cy="115823"/>
            <wp:effectExtent l="0" t="0" r="0" b="0"/>
            <wp:wrapNone/>
            <wp:docPr id="382" name="Image 382"/>
            <wp:cNvGraphicFramePr>
              <a:graphicFrameLocks/>
            </wp:cNvGraphicFramePr>
            <a:graphic>
              <a:graphicData uri="http://schemas.openxmlformats.org/drawingml/2006/picture">
                <pic:pic>
                  <pic:nvPicPr>
                    <pic:cNvPr id="382" name="Image 382"/>
                    <pic:cNvPicPr/>
                  </pic:nvPicPr>
                  <pic:blipFill>
                    <a:blip r:embed="rId137" cstate="print"/>
                    <a:stretch>
                      <a:fillRect/>
                    </a:stretch>
                  </pic:blipFill>
                  <pic:spPr>
                    <a:xfrm>
                      <a:off x="0" y="0"/>
                      <a:ext cx="149339" cy="115823"/>
                    </a:xfrm>
                    <a:prstGeom prst="rect">
                      <a:avLst/>
                    </a:prstGeom>
                  </pic:spPr>
                </pic:pic>
              </a:graphicData>
            </a:graphic>
          </wp:anchor>
        </w:drawing>
      </w:r>
      <w:bookmarkStart w:name="iv. Infrastructure and capacity building" w:id="607"/>
      <w:bookmarkEnd w:id="607"/>
      <w:r>
        <w:rPr/>
      </w:r>
      <w:r>
        <w:rPr/>
        <w:t>Infrastructure</w:t>
      </w:r>
      <w:r>
        <w:rPr>
          <w:spacing w:val="-2"/>
        </w:rPr>
        <w:t> </w:t>
      </w:r>
      <w:r>
        <w:rPr/>
        <w:t>and</w:t>
      </w:r>
      <w:r>
        <w:rPr>
          <w:spacing w:val="-3"/>
        </w:rPr>
        <w:t> </w:t>
      </w:r>
      <w:r>
        <w:rPr/>
        <w:t>capacity</w:t>
      </w:r>
      <w:r>
        <w:rPr>
          <w:spacing w:val="-5"/>
        </w:rPr>
        <w:t> </w:t>
      </w:r>
      <w:r>
        <w:rPr>
          <w:spacing w:val="-2"/>
        </w:rPr>
        <w:t>building</w:t>
      </w:r>
    </w:p>
    <w:p>
      <w:pPr>
        <w:pStyle w:val="BodyText"/>
        <w:spacing w:before="199"/>
        <w:ind w:left="1411" w:right="1141"/>
      </w:pPr>
      <w:r>
        <w:rPr/>
        <w:drawing>
          <wp:anchor distT="0" distB="0" distL="0" distR="0" allowOverlap="1" layoutInCell="1" locked="0" behindDoc="0" simplePos="0" relativeHeight="15919104">
            <wp:simplePos x="0" y="0"/>
            <wp:positionH relativeFrom="page">
              <wp:posOffset>1431036</wp:posOffset>
            </wp:positionH>
            <wp:positionV relativeFrom="paragraph">
              <wp:posOffset>193981</wp:posOffset>
            </wp:positionV>
            <wp:extent cx="96011" cy="80759"/>
            <wp:effectExtent l="0" t="0" r="0" b="0"/>
            <wp:wrapNone/>
            <wp:docPr id="383" name="Image 383"/>
            <wp:cNvGraphicFramePr>
              <a:graphicFrameLocks/>
            </wp:cNvGraphicFramePr>
            <a:graphic>
              <a:graphicData uri="http://schemas.openxmlformats.org/drawingml/2006/picture">
                <pic:pic>
                  <pic:nvPicPr>
                    <pic:cNvPr id="383" name="Image 383"/>
                    <pic:cNvPicPr/>
                  </pic:nvPicPr>
                  <pic:blipFill>
                    <a:blip r:embed="rId35" cstate="print"/>
                    <a:stretch>
                      <a:fillRect/>
                    </a:stretch>
                  </pic:blipFill>
                  <pic:spPr>
                    <a:xfrm>
                      <a:off x="0" y="0"/>
                      <a:ext cx="96011" cy="80759"/>
                    </a:xfrm>
                    <a:prstGeom prst="rect">
                      <a:avLst/>
                    </a:prstGeom>
                  </pic:spPr>
                </pic:pic>
              </a:graphicData>
            </a:graphic>
          </wp:anchor>
        </w:drawing>
      </w:r>
      <w:bookmarkStart w:name="c. At-Risk DSRIP Funding.  A portion of " w:id="608"/>
      <w:bookmarkEnd w:id="608"/>
      <w:r>
        <w:rPr/>
      </w:r>
      <w:r>
        <w:rPr>
          <w:b/>
        </w:rPr>
        <w:t>At-Risk DSRIP Funding.</w:t>
      </w:r>
      <w:r>
        <w:rPr>
          <w:b/>
          <w:spacing w:val="40"/>
        </w:rPr>
        <w:t> </w:t>
      </w:r>
      <w:r>
        <w:rPr/>
        <w:t>A portion of DSRIP Community Partners funding will be</w:t>
      </w:r>
      <w:r>
        <w:rPr>
          <w:spacing w:val="-4"/>
        </w:rPr>
        <w:t> </w:t>
      </w:r>
      <w:r>
        <w:rPr/>
        <w:t>at-risk.</w:t>
      </w:r>
      <w:r>
        <w:rPr>
          <w:spacing w:val="-3"/>
        </w:rPr>
        <w:t> </w:t>
      </w:r>
      <w:r>
        <w:rPr/>
        <w:t>A</w:t>
      </w:r>
      <w:r>
        <w:rPr>
          <w:spacing w:val="-4"/>
        </w:rPr>
        <w:t> </w:t>
      </w:r>
      <w:r>
        <w:rPr/>
        <w:t>CP’s</w:t>
      </w:r>
      <w:r>
        <w:rPr>
          <w:spacing w:val="-3"/>
        </w:rPr>
        <w:t> </w:t>
      </w:r>
      <w:r>
        <w:rPr/>
        <w:t>DSRIP</w:t>
      </w:r>
      <w:r>
        <w:rPr>
          <w:spacing w:val="-3"/>
        </w:rPr>
        <w:t> </w:t>
      </w:r>
      <w:r>
        <w:rPr/>
        <w:t>Accountability</w:t>
      </w:r>
      <w:r>
        <w:rPr>
          <w:spacing w:val="-8"/>
        </w:rPr>
        <w:t> </w:t>
      </w:r>
      <w:r>
        <w:rPr/>
        <w:t>Score</w:t>
      </w:r>
      <w:r>
        <w:rPr>
          <w:spacing w:val="-2"/>
        </w:rPr>
        <w:t> </w:t>
      </w:r>
      <w:r>
        <w:rPr/>
        <w:t>will</w:t>
      </w:r>
      <w:r>
        <w:rPr>
          <w:spacing w:val="-3"/>
        </w:rPr>
        <w:t> </w:t>
      </w:r>
      <w:r>
        <w:rPr/>
        <w:t>determine</w:t>
      </w:r>
      <w:r>
        <w:rPr>
          <w:spacing w:val="-4"/>
        </w:rPr>
        <w:t> </w:t>
      </w:r>
      <w:r>
        <w:rPr/>
        <w:t>the</w:t>
      </w:r>
      <w:r>
        <w:rPr>
          <w:spacing w:val="-4"/>
        </w:rPr>
        <w:t> </w:t>
      </w:r>
      <w:r>
        <w:rPr/>
        <w:t>amount</w:t>
      </w:r>
      <w:r>
        <w:rPr>
          <w:spacing w:val="-3"/>
        </w:rPr>
        <w:t> </w:t>
      </w:r>
      <w:r>
        <w:rPr/>
        <w:t>of</w:t>
      </w:r>
      <w:r>
        <w:rPr>
          <w:spacing w:val="-4"/>
        </w:rPr>
        <w:t> </w:t>
      </w:r>
      <w:r>
        <w:rPr/>
        <w:t>at-risk funding that is earned (see DSRIP Protocol Section 5.4)).</w:t>
      </w:r>
    </w:p>
    <w:p>
      <w:pPr>
        <w:pStyle w:val="BodyText"/>
        <w:spacing w:before="10"/>
        <w:rPr>
          <w:sz w:val="20"/>
        </w:rPr>
      </w:pPr>
    </w:p>
    <w:p>
      <w:pPr>
        <w:pStyle w:val="BodyText"/>
        <w:ind w:left="1411" w:right="1059"/>
      </w:pPr>
      <w:r>
        <w:rPr/>
        <w:drawing>
          <wp:anchor distT="0" distB="0" distL="0" distR="0" allowOverlap="1" layoutInCell="1" locked="0" behindDoc="0" simplePos="0" relativeHeight="15919616">
            <wp:simplePos x="0" y="0"/>
            <wp:positionH relativeFrom="page">
              <wp:posOffset>1431036</wp:posOffset>
            </wp:positionH>
            <wp:positionV relativeFrom="paragraph">
              <wp:posOffset>32551</wp:posOffset>
            </wp:positionV>
            <wp:extent cx="105155" cy="115823"/>
            <wp:effectExtent l="0" t="0" r="0" b="0"/>
            <wp:wrapNone/>
            <wp:docPr id="384" name="Image 384"/>
            <wp:cNvGraphicFramePr>
              <a:graphicFrameLocks/>
            </wp:cNvGraphicFramePr>
            <a:graphic>
              <a:graphicData uri="http://schemas.openxmlformats.org/drawingml/2006/picture">
                <pic:pic>
                  <pic:nvPicPr>
                    <pic:cNvPr id="384" name="Image 384"/>
                    <pic:cNvPicPr/>
                  </pic:nvPicPr>
                  <pic:blipFill>
                    <a:blip r:embed="rId86" cstate="print"/>
                    <a:stretch>
                      <a:fillRect/>
                    </a:stretch>
                  </pic:blipFill>
                  <pic:spPr>
                    <a:xfrm>
                      <a:off x="0" y="0"/>
                      <a:ext cx="105155" cy="115823"/>
                    </a:xfrm>
                    <a:prstGeom prst="rect">
                      <a:avLst/>
                    </a:prstGeom>
                  </pic:spPr>
                </pic:pic>
              </a:graphicData>
            </a:graphic>
          </wp:anchor>
        </w:drawing>
      </w:r>
      <w:bookmarkStart w:name="d. Funding Methodology. The amount of Ma" w:id="609"/>
      <w:bookmarkEnd w:id="609"/>
      <w:r>
        <w:rPr/>
      </w:r>
      <w:r>
        <w:rPr>
          <w:b/>
        </w:rPr>
        <w:t>Funding Methodology. </w:t>
      </w:r>
      <w:r>
        <w:rPr/>
        <w:t>The amount of MassHealth’s DSRIP payment any CP receives will be based on the total number of members that the CP serves each DSRIP year, as well as other funding methodologies, such as a needs-based grant program</w:t>
      </w:r>
      <w:r>
        <w:rPr>
          <w:spacing w:val="-3"/>
        </w:rPr>
        <w:t> </w:t>
      </w:r>
      <w:r>
        <w:rPr/>
        <w:t>for</w:t>
      </w:r>
      <w:r>
        <w:rPr>
          <w:spacing w:val="-4"/>
        </w:rPr>
        <w:t> </w:t>
      </w:r>
      <w:r>
        <w:rPr/>
        <w:t>infrastructure</w:t>
      </w:r>
      <w:r>
        <w:rPr>
          <w:spacing w:val="-4"/>
        </w:rPr>
        <w:t> </w:t>
      </w:r>
      <w:r>
        <w:rPr/>
        <w:t>and</w:t>
      </w:r>
      <w:r>
        <w:rPr>
          <w:spacing w:val="-3"/>
        </w:rPr>
        <w:t> </w:t>
      </w:r>
      <w:r>
        <w:rPr/>
        <w:t>capacity</w:t>
      </w:r>
      <w:r>
        <w:rPr>
          <w:spacing w:val="-8"/>
        </w:rPr>
        <w:t> </w:t>
      </w:r>
      <w:r>
        <w:rPr/>
        <w:t>building</w:t>
      </w:r>
      <w:r>
        <w:rPr>
          <w:spacing w:val="-6"/>
        </w:rPr>
        <w:t> </w:t>
      </w:r>
      <w:r>
        <w:rPr/>
        <w:t>support.</w:t>
      </w:r>
      <w:r>
        <w:rPr>
          <w:spacing w:val="-3"/>
        </w:rPr>
        <w:t> </w:t>
      </w:r>
      <w:r>
        <w:rPr/>
        <w:t>DSRIP</w:t>
      </w:r>
      <w:r>
        <w:rPr>
          <w:spacing w:val="-3"/>
        </w:rPr>
        <w:t> </w:t>
      </w:r>
      <w:r>
        <w:rPr/>
        <w:t>payments</w:t>
      </w:r>
      <w:r>
        <w:rPr>
          <w:spacing w:val="-1"/>
        </w:rPr>
        <w:t> </w:t>
      </w:r>
      <w:r>
        <w:rPr/>
        <w:t>will</w:t>
      </w:r>
      <w:r>
        <w:rPr>
          <w:spacing w:val="-3"/>
        </w:rPr>
        <w:t> </w:t>
      </w:r>
      <w:r>
        <w:rPr/>
        <w:t>be adjusted for at-risk performance.</w:t>
      </w:r>
    </w:p>
    <w:p>
      <w:pPr>
        <w:pStyle w:val="BodyText"/>
        <w:spacing w:before="10"/>
        <w:rPr>
          <w:sz w:val="20"/>
        </w:rPr>
      </w:pPr>
    </w:p>
    <w:p>
      <w:pPr>
        <w:pStyle w:val="BodyText"/>
        <w:spacing w:before="1"/>
        <w:ind w:left="871" w:right="1141"/>
      </w:pPr>
      <w:r>
        <w:rPr/>
        <w:drawing>
          <wp:anchor distT="0" distB="0" distL="0" distR="0" allowOverlap="1" layoutInCell="1" locked="0" behindDoc="0" simplePos="0" relativeHeight="15920128">
            <wp:simplePos x="0" y="0"/>
            <wp:positionH relativeFrom="page">
              <wp:posOffset>908303</wp:posOffset>
            </wp:positionH>
            <wp:positionV relativeFrom="paragraph">
              <wp:posOffset>36234</wp:posOffset>
            </wp:positionV>
            <wp:extent cx="283463" cy="112775"/>
            <wp:effectExtent l="0" t="0" r="0" b="0"/>
            <wp:wrapNone/>
            <wp:docPr id="385" name="Image 385"/>
            <wp:cNvGraphicFramePr>
              <a:graphicFrameLocks/>
            </wp:cNvGraphicFramePr>
            <a:graphic>
              <a:graphicData uri="http://schemas.openxmlformats.org/drawingml/2006/picture">
                <pic:pic>
                  <pic:nvPicPr>
                    <pic:cNvPr id="385" name="Image 385"/>
                    <pic:cNvPicPr/>
                  </pic:nvPicPr>
                  <pic:blipFill>
                    <a:blip r:embed="rId186" cstate="print"/>
                    <a:stretch>
                      <a:fillRect/>
                    </a:stretch>
                  </pic:blipFill>
                  <pic:spPr>
                    <a:xfrm>
                      <a:off x="0" y="0"/>
                      <a:ext cx="283463" cy="112775"/>
                    </a:xfrm>
                    <a:prstGeom prst="rect">
                      <a:avLst/>
                    </a:prstGeom>
                  </pic:spPr>
                </pic:pic>
              </a:graphicData>
            </a:graphic>
          </wp:anchor>
        </w:drawing>
      </w:r>
      <w:bookmarkStart w:name="12.9. ACO &amp; CP DSRIP Reporting Requireme" w:id="610"/>
      <w:bookmarkEnd w:id="610"/>
      <w:r>
        <w:rPr/>
      </w:r>
      <w:r>
        <w:rPr>
          <w:b/>
        </w:rPr>
        <w:t>ACO</w:t>
      </w:r>
      <w:r>
        <w:rPr>
          <w:b/>
          <w:spacing w:val="-3"/>
        </w:rPr>
        <w:t> </w:t>
      </w:r>
      <w:r>
        <w:rPr>
          <w:b/>
        </w:rPr>
        <w:t>&amp;</w:t>
      </w:r>
      <w:r>
        <w:rPr>
          <w:b/>
          <w:spacing w:val="-4"/>
        </w:rPr>
        <w:t> </w:t>
      </w:r>
      <w:r>
        <w:rPr>
          <w:b/>
        </w:rPr>
        <w:t>CP</w:t>
      </w:r>
      <w:r>
        <w:rPr>
          <w:b/>
          <w:spacing w:val="-6"/>
        </w:rPr>
        <w:t> </w:t>
      </w:r>
      <w:r>
        <w:rPr>
          <w:b/>
        </w:rPr>
        <w:t>DSRIP</w:t>
      </w:r>
      <w:r>
        <w:rPr>
          <w:b/>
          <w:spacing w:val="-6"/>
        </w:rPr>
        <w:t> </w:t>
      </w:r>
      <w:r>
        <w:rPr>
          <w:b/>
        </w:rPr>
        <w:t>Reporting</w:t>
      </w:r>
      <w:r>
        <w:rPr>
          <w:b/>
          <w:spacing w:val="-3"/>
        </w:rPr>
        <w:t> </w:t>
      </w:r>
      <w:r>
        <w:rPr>
          <w:b/>
        </w:rPr>
        <w:t>Requirements.</w:t>
      </w:r>
      <w:r>
        <w:rPr>
          <w:b/>
          <w:spacing w:val="-3"/>
        </w:rPr>
        <w:t> </w:t>
      </w:r>
      <w:r>
        <w:rPr/>
        <w:t>The</w:t>
      </w:r>
      <w:r>
        <w:rPr>
          <w:spacing w:val="-4"/>
        </w:rPr>
        <w:t> </w:t>
      </w:r>
      <w:r>
        <w:rPr/>
        <w:t>reporting</w:t>
      </w:r>
      <w:r>
        <w:rPr>
          <w:spacing w:val="-6"/>
        </w:rPr>
        <w:t> </w:t>
      </w:r>
      <w:r>
        <w:rPr/>
        <w:t>requirements</w:t>
      </w:r>
      <w:r>
        <w:rPr>
          <w:spacing w:val="-3"/>
        </w:rPr>
        <w:t> </w:t>
      </w:r>
      <w:r>
        <w:rPr/>
        <w:t>set</w:t>
      </w:r>
      <w:r>
        <w:rPr>
          <w:spacing w:val="-3"/>
        </w:rPr>
        <w:t> </w:t>
      </w:r>
      <w:r>
        <w:rPr/>
        <w:t>forth</w:t>
      </w:r>
      <w:r>
        <w:rPr>
          <w:spacing w:val="-3"/>
        </w:rPr>
        <w:t> </w:t>
      </w:r>
      <w:r>
        <w:rPr/>
        <w:t>in this STC apply to the period prior to March 31, 2023. ACOs and CPs must submit semiannual progress reports, including expenditures for the semiannual periods upon which the semiannual progress reports are based.</w:t>
      </w:r>
    </w:p>
    <w:p>
      <w:pPr>
        <w:pStyle w:val="BodyText"/>
        <w:spacing w:before="9"/>
        <w:rPr>
          <w:sz w:val="20"/>
        </w:rPr>
      </w:pPr>
    </w:p>
    <w:p>
      <w:pPr>
        <w:pStyle w:val="BodyText"/>
        <w:spacing w:before="1"/>
        <w:ind w:left="1411" w:right="1059"/>
      </w:pPr>
      <w:r>
        <w:rPr/>
        <w:drawing>
          <wp:anchor distT="0" distB="0" distL="0" distR="0" allowOverlap="1" layoutInCell="1" locked="0" behindDoc="0" simplePos="0" relativeHeight="15920640">
            <wp:simplePos x="0" y="0"/>
            <wp:positionH relativeFrom="page">
              <wp:posOffset>1431036</wp:posOffset>
            </wp:positionH>
            <wp:positionV relativeFrom="paragraph">
              <wp:posOffset>68251</wp:posOffset>
            </wp:positionV>
            <wp:extent cx="96011" cy="80759"/>
            <wp:effectExtent l="0" t="0" r="0" b="0"/>
            <wp:wrapNone/>
            <wp:docPr id="386" name="Image 386"/>
            <wp:cNvGraphicFramePr>
              <a:graphicFrameLocks/>
            </wp:cNvGraphicFramePr>
            <a:graphic>
              <a:graphicData uri="http://schemas.openxmlformats.org/drawingml/2006/picture">
                <pic:pic>
                  <pic:nvPicPr>
                    <pic:cNvPr id="386" name="Image 386"/>
                    <pic:cNvPicPr/>
                  </pic:nvPicPr>
                  <pic:blipFill>
                    <a:blip r:embed="rId40" cstate="print"/>
                    <a:stretch>
                      <a:fillRect/>
                    </a:stretch>
                  </pic:blipFill>
                  <pic:spPr>
                    <a:xfrm>
                      <a:off x="0" y="0"/>
                      <a:ext cx="96011" cy="80759"/>
                    </a:xfrm>
                    <a:prstGeom prst="rect">
                      <a:avLst/>
                    </a:prstGeom>
                  </pic:spPr>
                </pic:pic>
              </a:graphicData>
            </a:graphic>
          </wp:anchor>
        </w:drawing>
      </w:r>
      <w:bookmarkStart w:name="a. ACOs must also annually submit clinic" w:id="611"/>
      <w:bookmarkEnd w:id="611"/>
      <w:r>
        <w:rPr/>
      </w:r>
      <w:r>
        <w:rPr/>
        <w:t>ACOs</w:t>
      </w:r>
      <w:r>
        <w:rPr>
          <w:spacing w:val="-3"/>
        </w:rPr>
        <w:t> </w:t>
      </w:r>
      <w:r>
        <w:rPr/>
        <w:t>must</w:t>
      </w:r>
      <w:r>
        <w:rPr>
          <w:spacing w:val="-3"/>
        </w:rPr>
        <w:t> </w:t>
      </w:r>
      <w:r>
        <w:rPr/>
        <w:t>also</w:t>
      </w:r>
      <w:r>
        <w:rPr>
          <w:spacing w:val="-3"/>
        </w:rPr>
        <w:t> </w:t>
      </w:r>
      <w:r>
        <w:rPr/>
        <w:t>annually</w:t>
      </w:r>
      <w:r>
        <w:rPr>
          <w:spacing w:val="-6"/>
        </w:rPr>
        <w:t> </w:t>
      </w:r>
      <w:r>
        <w:rPr/>
        <w:t>submit</w:t>
      </w:r>
      <w:r>
        <w:rPr>
          <w:spacing w:val="-3"/>
        </w:rPr>
        <w:t> </w:t>
      </w:r>
      <w:r>
        <w:rPr/>
        <w:t>clinical</w:t>
      </w:r>
      <w:r>
        <w:rPr>
          <w:spacing w:val="-3"/>
        </w:rPr>
        <w:t> </w:t>
      </w:r>
      <w:r>
        <w:rPr/>
        <w:t>quality</w:t>
      </w:r>
      <w:r>
        <w:rPr>
          <w:spacing w:val="-6"/>
        </w:rPr>
        <w:t> </w:t>
      </w:r>
      <w:r>
        <w:rPr/>
        <w:t>data</w:t>
      </w:r>
      <w:r>
        <w:rPr>
          <w:spacing w:val="-4"/>
        </w:rPr>
        <w:t> </w:t>
      </w:r>
      <w:r>
        <w:rPr/>
        <w:t>to</w:t>
      </w:r>
      <w:r>
        <w:rPr>
          <w:spacing w:val="-3"/>
        </w:rPr>
        <w:t> </w:t>
      </w:r>
      <w:r>
        <w:rPr/>
        <w:t>the</w:t>
      </w:r>
      <w:r>
        <w:rPr>
          <w:spacing w:val="-4"/>
        </w:rPr>
        <w:t> </w:t>
      </w:r>
      <w:r>
        <w:rPr/>
        <w:t>Commonwealth</w:t>
      </w:r>
      <w:r>
        <w:rPr>
          <w:spacing w:val="-3"/>
        </w:rPr>
        <w:t> </w:t>
      </w:r>
      <w:r>
        <w:rPr/>
        <w:t>for quality evaluation purposes; and their ACO revenue payer mix, for safety net categorization purposes.</w:t>
      </w:r>
    </w:p>
    <w:p>
      <w:pPr>
        <w:spacing w:after="0"/>
        <w:sectPr>
          <w:pgSz w:w="12240" w:h="15840"/>
          <w:pgMar w:header="0" w:footer="1201" w:top="1360" w:bottom="1400" w:left="1200" w:right="400"/>
        </w:sectPr>
      </w:pPr>
    </w:p>
    <w:p>
      <w:pPr>
        <w:pStyle w:val="BodyText"/>
        <w:spacing w:before="79"/>
        <w:ind w:left="1411" w:right="1059"/>
      </w:pPr>
      <w:r>
        <w:rPr/>
        <w:drawing>
          <wp:anchor distT="0" distB="0" distL="0" distR="0" allowOverlap="1" layoutInCell="1" locked="0" behindDoc="0" simplePos="0" relativeHeight="15921152">
            <wp:simplePos x="0" y="0"/>
            <wp:positionH relativeFrom="page">
              <wp:posOffset>1424939</wp:posOffset>
            </wp:positionH>
            <wp:positionV relativeFrom="paragraph">
              <wp:posOffset>82717</wp:posOffset>
            </wp:positionV>
            <wp:extent cx="111251" cy="115823"/>
            <wp:effectExtent l="0" t="0" r="0" b="0"/>
            <wp:wrapNone/>
            <wp:docPr id="387" name="Image 387"/>
            <wp:cNvGraphicFramePr>
              <a:graphicFrameLocks/>
            </wp:cNvGraphicFramePr>
            <a:graphic>
              <a:graphicData uri="http://schemas.openxmlformats.org/drawingml/2006/picture">
                <pic:pic>
                  <pic:nvPicPr>
                    <pic:cNvPr id="387" name="Image 387"/>
                    <pic:cNvPicPr/>
                  </pic:nvPicPr>
                  <pic:blipFill>
                    <a:blip r:embed="rId34" cstate="print"/>
                    <a:stretch>
                      <a:fillRect/>
                    </a:stretch>
                  </pic:blipFill>
                  <pic:spPr>
                    <a:xfrm>
                      <a:off x="0" y="0"/>
                      <a:ext cx="111251" cy="115823"/>
                    </a:xfrm>
                    <a:prstGeom prst="rect">
                      <a:avLst/>
                    </a:prstGeom>
                  </pic:spPr>
                </pic:pic>
              </a:graphicData>
            </a:graphic>
          </wp:anchor>
        </w:drawing>
      </w:r>
      <w:bookmarkStart w:name="b. CPs must also annually submit clinica" w:id="612"/>
      <w:bookmarkEnd w:id="612"/>
      <w:r>
        <w:rPr/>
      </w:r>
      <w:r>
        <w:rPr/>
        <w:t>CPs</w:t>
      </w:r>
      <w:r>
        <w:rPr>
          <w:spacing w:val="-2"/>
        </w:rPr>
        <w:t> </w:t>
      </w:r>
      <w:r>
        <w:rPr/>
        <w:t>must</w:t>
      </w:r>
      <w:r>
        <w:rPr>
          <w:spacing w:val="-2"/>
        </w:rPr>
        <w:t> </w:t>
      </w:r>
      <w:r>
        <w:rPr/>
        <w:t>also</w:t>
      </w:r>
      <w:r>
        <w:rPr>
          <w:spacing w:val="-2"/>
        </w:rPr>
        <w:t> </w:t>
      </w:r>
      <w:r>
        <w:rPr/>
        <w:t>annually</w:t>
      </w:r>
      <w:r>
        <w:rPr>
          <w:spacing w:val="-10"/>
        </w:rPr>
        <w:t> </w:t>
      </w:r>
      <w:r>
        <w:rPr/>
        <w:t>submit</w:t>
      </w:r>
      <w:r>
        <w:rPr>
          <w:spacing w:val="-2"/>
        </w:rPr>
        <w:t> </w:t>
      </w:r>
      <w:r>
        <w:rPr/>
        <w:t>clinical</w:t>
      </w:r>
      <w:r>
        <w:rPr>
          <w:spacing w:val="-2"/>
        </w:rPr>
        <w:t> </w:t>
      </w:r>
      <w:r>
        <w:rPr/>
        <w:t>quality</w:t>
      </w:r>
      <w:r>
        <w:rPr>
          <w:spacing w:val="-10"/>
        </w:rPr>
        <w:t> </w:t>
      </w:r>
      <w:r>
        <w:rPr/>
        <w:t>data</w:t>
      </w:r>
      <w:r>
        <w:rPr>
          <w:spacing w:val="-3"/>
        </w:rPr>
        <w:t> </w:t>
      </w:r>
      <w:r>
        <w:rPr/>
        <w:t>to</w:t>
      </w:r>
      <w:r>
        <w:rPr>
          <w:spacing w:val="-2"/>
        </w:rPr>
        <w:t> </w:t>
      </w:r>
      <w:r>
        <w:rPr/>
        <w:t>the</w:t>
      </w:r>
      <w:r>
        <w:rPr>
          <w:spacing w:val="-3"/>
        </w:rPr>
        <w:t> </w:t>
      </w:r>
      <w:r>
        <w:rPr/>
        <w:t>Commonwealth</w:t>
      </w:r>
      <w:r>
        <w:rPr>
          <w:spacing w:val="-2"/>
        </w:rPr>
        <w:t> </w:t>
      </w:r>
      <w:r>
        <w:rPr/>
        <w:t>for</w:t>
      </w:r>
      <w:r>
        <w:rPr>
          <w:spacing w:val="-3"/>
        </w:rPr>
        <w:t> </w:t>
      </w:r>
      <w:r>
        <w:rPr/>
        <w:t>quality evaluation purposes.</w:t>
      </w:r>
    </w:p>
    <w:p>
      <w:pPr>
        <w:pStyle w:val="BodyText"/>
        <w:spacing w:before="10"/>
        <w:rPr>
          <w:sz w:val="20"/>
        </w:rPr>
      </w:pPr>
    </w:p>
    <w:p>
      <w:pPr>
        <w:pStyle w:val="BodyText"/>
        <w:ind w:left="1411" w:right="1059"/>
      </w:pPr>
      <w:r>
        <w:rPr/>
        <w:drawing>
          <wp:anchor distT="0" distB="0" distL="0" distR="0" allowOverlap="1" layoutInCell="1" locked="0" behindDoc="0" simplePos="0" relativeHeight="15921664">
            <wp:simplePos x="0" y="0"/>
            <wp:positionH relativeFrom="page">
              <wp:posOffset>1431036</wp:posOffset>
            </wp:positionH>
            <wp:positionV relativeFrom="paragraph">
              <wp:posOffset>67616</wp:posOffset>
            </wp:positionV>
            <wp:extent cx="96011" cy="80759"/>
            <wp:effectExtent l="0" t="0" r="0" b="0"/>
            <wp:wrapNone/>
            <wp:docPr id="388" name="Image 388"/>
            <wp:cNvGraphicFramePr>
              <a:graphicFrameLocks/>
            </wp:cNvGraphicFramePr>
            <a:graphic>
              <a:graphicData uri="http://schemas.openxmlformats.org/drawingml/2006/picture">
                <pic:pic>
                  <pic:nvPicPr>
                    <pic:cNvPr id="388" name="Image 388"/>
                    <pic:cNvPicPr/>
                  </pic:nvPicPr>
                  <pic:blipFill>
                    <a:blip r:embed="rId35" cstate="print"/>
                    <a:stretch>
                      <a:fillRect/>
                    </a:stretch>
                  </pic:blipFill>
                  <pic:spPr>
                    <a:xfrm>
                      <a:off x="0" y="0"/>
                      <a:ext cx="96011" cy="80759"/>
                    </a:xfrm>
                    <a:prstGeom prst="rect">
                      <a:avLst/>
                    </a:prstGeom>
                  </pic:spPr>
                </pic:pic>
              </a:graphicData>
            </a:graphic>
          </wp:anchor>
        </w:drawing>
      </w:r>
      <w:bookmarkStart w:name="c. State Reporting to CMS. The State mus" w:id="613"/>
      <w:bookmarkEnd w:id="613"/>
      <w:r>
        <w:rPr/>
      </w:r>
      <w:r>
        <w:rPr/>
        <w:t>State</w:t>
      </w:r>
      <w:r>
        <w:rPr>
          <w:spacing w:val="-4"/>
        </w:rPr>
        <w:t> </w:t>
      </w:r>
      <w:r>
        <w:rPr/>
        <w:t>Reporting</w:t>
      </w:r>
      <w:r>
        <w:rPr>
          <w:spacing w:val="-6"/>
        </w:rPr>
        <w:t> </w:t>
      </w:r>
      <w:r>
        <w:rPr/>
        <w:t>to</w:t>
      </w:r>
      <w:r>
        <w:rPr>
          <w:spacing w:val="-3"/>
        </w:rPr>
        <w:t> </w:t>
      </w:r>
      <w:r>
        <w:rPr/>
        <w:t>CMS.</w:t>
      </w:r>
      <w:r>
        <w:rPr>
          <w:spacing w:val="-3"/>
        </w:rPr>
        <w:t> </w:t>
      </w:r>
      <w:r>
        <w:rPr/>
        <w:t>The</w:t>
      </w:r>
      <w:r>
        <w:rPr>
          <w:spacing w:val="-4"/>
        </w:rPr>
        <w:t> </w:t>
      </w:r>
      <w:r>
        <w:rPr/>
        <w:t>State</w:t>
      </w:r>
      <w:r>
        <w:rPr>
          <w:spacing w:val="-4"/>
        </w:rPr>
        <w:t> </w:t>
      </w:r>
      <w:r>
        <w:rPr/>
        <w:t>must</w:t>
      </w:r>
      <w:r>
        <w:rPr>
          <w:spacing w:val="-3"/>
        </w:rPr>
        <w:t> </w:t>
      </w:r>
      <w:r>
        <w:rPr/>
        <w:t>compile</w:t>
      </w:r>
      <w:r>
        <w:rPr>
          <w:spacing w:val="-4"/>
        </w:rPr>
        <w:t> </w:t>
      </w:r>
      <w:r>
        <w:rPr/>
        <w:t>ACO</w:t>
      </w:r>
      <w:r>
        <w:rPr>
          <w:spacing w:val="-4"/>
        </w:rPr>
        <w:t> </w:t>
      </w:r>
      <w:r>
        <w:rPr/>
        <w:t>and</w:t>
      </w:r>
      <w:r>
        <w:rPr>
          <w:spacing w:val="-3"/>
        </w:rPr>
        <w:t> </w:t>
      </w:r>
      <w:r>
        <w:rPr/>
        <w:t>CP</w:t>
      </w:r>
      <w:r>
        <w:rPr>
          <w:spacing w:val="-3"/>
        </w:rPr>
        <w:t> </w:t>
      </w:r>
      <w:r>
        <w:rPr/>
        <w:t>quarterly</w:t>
      </w:r>
      <w:r>
        <w:rPr>
          <w:spacing w:val="-8"/>
        </w:rPr>
        <w:t> </w:t>
      </w:r>
      <w:r>
        <w:rPr/>
        <w:t>operational reports to submit to CMS as part of the broader 1115 demonstration Quarterly and Annual Monitoring Reports, as further described in STC 16.5.</w:t>
      </w:r>
    </w:p>
    <w:p>
      <w:pPr>
        <w:pStyle w:val="BodyText"/>
        <w:spacing w:before="10"/>
        <w:rPr>
          <w:sz w:val="20"/>
        </w:rPr>
      </w:pPr>
    </w:p>
    <w:p>
      <w:pPr>
        <w:pStyle w:val="BodyText"/>
        <w:ind w:left="1411" w:right="1059"/>
      </w:pPr>
      <w:r>
        <w:rPr/>
        <w:drawing>
          <wp:anchor distT="0" distB="0" distL="0" distR="0" allowOverlap="1" layoutInCell="1" locked="0" behindDoc="0" simplePos="0" relativeHeight="15922176">
            <wp:simplePos x="0" y="0"/>
            <wp:positionH relativeFrom="page">
              <wp:posOffset>1431036</wp:posOffset>
            </wp:positionH>
            <wp:positionV relativeFrom="paragraph">
              <wp:posOffset>32552</wp:posOffset>
            </wp:positionV>
            <wp:extent cx="105155" cy="115823"/>
            <wp:effectExtent l="0" t="0" r="0" b="0"/>
            <wp:wrapNone/>
            <wp:docPr id="389" name="Image 389"/>
            <wp:cNvGraphicFramePr>
              <a:graphicFrameLocks/>
            </wp:cNvGraphicFramePr>
            <a:graphic>
              <a:graphicData uri="http://schemas.openxmlformats.org/drawingml/2006/picture">
                <pic:pic>
                  <pic:nvPicPr>
                    <pic:cNvPr id="389" name="Image 389"/>
                    <pic:cNvPicPr/>
                  </pic:nvPicPr>
                  <pic:blipFill>
                    <a:blip r:embed="rId36" cstate="print"/>
                    <a:stretch>
                      <a:fillRect/>
                    </a:stretch>
                  </pic:blipFill>
                  <pic:spPr>
                    <a:xfrm>
                      <a:off x="0" y="0"/>
                      <a:ext cx="105155" cy="115823"/>
                    </a:xfrm>
                    <a:prstGeom prst="rect">
                      <a:avLst/>
                    </a:prstGeom>
                  </pic:spPr>
                </pic:pic>
              </a:graphicData>
            </a:graphic>
          </wp:anchor>
        </w:drawing>
      </w:r>
      <w:bookmarkStart w:name="d. State Reporting to External Stakehold" w:id="614"/>
      <w:bookmarkEnd w:id="614"/>
      <w:r>
        <w:rPr/>
      </w:r>
      <w:r>
        <w:rPr/>
        <w:t>State</w:t>
      </w:r>
      <w:r>
        <w:rPr>
          <w:spacing w:val="-5"/>
        </w:rPr>
        <w:t> </w:t>
      </w:r>
      <w:r>
        <w:rPr/>
        <w:t>Reporting</w:t>
      </w:r>
      <w:r>
        <w:rPr>
          <w:spacing w:val="-7"/>
        </w:rPr>
        <w:t> </w:t>
      </w:r>
      <w:r>
        <w:rPr/>
        <w:t>to</w:t>
      </w:r>
      <w:r>
        <w:rPr>
          <w:spacing w:val="-4"/>
        </w:rPr>
        <w:t> </w:t>
      </w:r>
      <w:r>
        <w:rPr/>
        <w:t>External</w:t>
      </w:r>
      <w:r>
        <w:rPr>
          <w:spacing w:val="-4"/>
        </w:rPr>
        <w:t> </w:t>
      </w:r>
      <w:r>
        <w:rPr/>
        <w:t>Stakeholders</w:t>
      </w:r>
      <w:r>
        <w:rPr>
          <w:spacing w:val="-4"/>
        </w:rPr>
        <w:t> </w:t>
      </w:r>
      <w:r>
        <w:rPr/>
        <w:t>and</w:t>
      </w:r>
      <w:r>
        <w:rPr>
          <w:spacing w:val="-4"/>
        </w:rPr>
        <w:t> </w:t>
      </w:r>
      <w:r>
        <w:rPr/>
        <w:t>Stakeholder</w:t>
      </w:r>
      <w:r>
        <w:rPr>
          <w:spacing w:val="-5"/>
        </w:rPr>
        <w:t> </w:t>
      </w:r>
      <w:r>
        <w:rPr/>
        <w:t>Engagement.</w:t>
      </w:r>
      <w:r>
        <w:rPr>
          <w:spacing w:val="-4"/>
        </w:rPr>
        <w:t> </w:t>
      </w:r>
      <w:r>
        <w:rPr/>
        <w:t>The</w:t>
      </w:r>
      <w:r>
        <w:rPr>
          <w:spacing w:val="-5"/>
        </w:rPr>
        <w:t> </w:t>
      </w:r>
      <w:r>
        <w:rPr/>
        <w:t>State must compile public-facing annual reports of ACO and CP performance.</w:t>
      </w:r>
    </w:p>
    <w:p>
      <w:pPr>
        <w:pStyle w:val="BodyText"/>
        <w:spacing w:before="10"/>
        <w:rPr>
          <w:sz w:val="20"/>
        </w:rPr>
      </w:pPr>
    </w:p>
    <w:p>
      <w:pPr>
        <w:pStyle w:val="BodyText"/>
        <w:ind w:left="2040" w:right="1141"/>
      </w:pPr>
      <w:r>
        <w:rPr/>
        <w:drawing>
          <wp:anchor distT="0" distB="0" distL="0" distR="0" allowOverlap="1" layoutInCell="1" locked="0" behindDoc="0" simplePos="0" relativeHeight="15922688">
            <wp:simplePos x="0" y="0"/>
            <wp:positionH relativeFrom="page">
              <wp:posOffset>1862327</wp:posOffset>
            </wp:positionH>
            <wp:positionV relativeFrom="paragraph">
              <wp:posOffset>32551</wp:posOffset>
            </wp:positionV>
            <wp:extent cx="73151" cy="115823"/>
            <wp:effectExtent l="0" t="0" r="0" b="0"/>
            <wp:wrapNone/>
            <wp:docPr id="390" name="Image 390"/>
            <wp:cNvGraphicFramePr>
              <a:graphicFrameLocks/>
            </wp:cNvGraphicFramePr>
            <a:graphic>
              <a:graphicData uri="http://schemas.openxmlformats.org/drawingml/2006/picture">
                <pic:pic>
                  <pic:nvPicPr>
                    <pic:cNvPr id="390" name="Image 390"/>
                    <pic:cNvPicPr/>
                  </pic:nvPicPr>
                  <pic:blipFill>
                    <a:blip r:embed="rId61" cstate="print"/>
                    <a:stretch>
                      <a:fillRect/>
                    </a:stretch>
                  </pic:blipFill>
                  <pic:spPr>
                    <a:xfrm>
                      <a:off x="0" y="0"/>
                      <a:ext cx="73151" cy="115823"/>
                    </a:xfrm>
                    <a:prstGeom prst="rect">
                      <a:avLst/>
                    </a:prstGeom>
                  </pic:spPr>
                </pic:pic>
              </a:graphicData>
            </a:graphic>
          </wp:anchor>
        </w:drawing>
      </w:r>
      <w:bookmarkStart w:name="i. The State must give stakeholders an o" w:id="615"/>
      <w:bookmarkEnd w:id="615"/>
      <w:r>
        <w:rPr/>
      </w:r>
      <w:r>
        <w:rPr/>
        <w:t>The</w:t>
      </w:r>
      <w:r>
        <w:rPr>
          <w:spacing w:val="-5"/>
        </w:rPr>
        <w:t> </w:t>
      </w:r>
      <w:r>
        <w:rPr/>
        <w:t>State</w:t>
      </w:r>
      <w:r>
        <w:rPr>
          <w:spacing w:val="-5"/>
        </w:rPr>
        <w:t> </w:t>
      </w:r>
      <w:r>
        <w:rPr/>
        <w:t>must</w:t>
      </w:r>
      <w:r>
        <w:rPr>
          <w:spacing w:val="-4"/>
        </w:rPr>
        <w:t> </w:t>
      </w:r>
      <w:r>
        <w:rPr/>
        <w:t>give</w:t>
      </w:r>
      <w:r>
        <w:rPr>
          <w:spacing w:val="-5"/>
        </w:rPr>
        <w:t> </w:t>
      </w:r>
      <w:r>
        <w:rPr/>
        <w:t>stakeholders</w:t>
      </w:r>
      <w:r>
        <w:rPr>
          <w:spacing w:val="-4"/>
        </w:rPr>
        <w:t> </w:t>
      </w:r>
      <w:r>
        <w:rPr/>
        <w:t>an</w:t>
      </w:r>
      <w:r>
        <w:rPr>
          <w:spacing w:val="-4"/>
        </w:rPr>
        <w:t> </w:t>
      </w:r>
      <w:r>
        <w:rPr/>
        <w:t>opportunity</w:t>
      </w:r>
      <w:r>
        <w:rPr>
          <w:spacing w:val="-8"/>
        </w:rPr>
        <w:t> </w:t>
      </w:r>
      <w:r>
        <w:rPr/>
        <w:t>to</w:t>
      </w:r>
      <w:r>
        <w:rPr>
          <w:spacing w:val="-4"/>
        </w:rPr>
        <w:t> </w:t>
      </w:r>
      <w:r>
        <w:rPr/>
        <w:t>provide</w:t>
      </w:r>
      <w:r>
        <w:rPr>
          <w:spacing w:val="-5"/>
        </w:rPr>
        <w:t> </w:t>
      </w:r>
      <w:r>
        <w:rPr/>
        <w:t>feedback</w:t>
      </w:r>
      <w:r>
        <w:rPr>
          <w:spacing w:val="-4"/>
        </w:rPr>
        <w:t> </w:t>
      </w:r>
      <w:r>
        <w:rPr/>
        <w:t>on </w:t>
      </w:r>
      <w:r>
        <w:rPr>
          <w:spacing w:val="-2"/>
        </w:rPr>
        <w:t>reports</w:t>
      </w:r>
    </w:p>
    <w:p>
      <w:pPr>
        <w:pStyle w:val="BodyText"/>
        <w:spacing w:before="10"/>
        <w:rPr>
          <w:sz w:val="20"/>
        </w:rPr>
      </w:pPr>
    </w:p>
    <w:p>
      <w:pPr>
        <w:pStyle w:val="BodyText"/>
        <w:ind w:left="871" w:right="1059"/>
      </w:pPr>
      <w:r>
        <w:rPr/>
        <w:drawing>
          <wp:anchor distT="0" distB="0" distL="0" distR="0" allowOverlap="1" layoutInCell="1" locked="0" behindDoc="0" simplePos="0" relativeHeight="15923200">
            <wp:simplePos x="0" y="0"/>
            <wp:positionH relativeFrom="page">
              <wp:posOffset>832103</wp:posOffset>
            </wp:positionH>
            <wp:positionV relativeFrom="paragraph">
              <wp:posOffset>35599</wp:posOffset>
            </wp:positionV>
            <wp:extent cx="359663" cy="112775"/>
            <wp:effectExtent l="0" t="0" r="0" b="0"/>
            <wp:wrapNone/>
            <wp:docPr id="391" name="Image 391"/>
            <wp:cNvGraphicFramePr>
              <a:graphicFrameLocks/>
            </wp:cNvGraphicFramePr>
            <a:graphic>
              <a:graphicData uri="http://schemas.openxmlformats.org/drawingml/2006/picture">
                <pic:pic>
                  <pic:nvPicPr>
                    <pic:cNvPr id="391" name="Image 391"/>
                    <pic:cNvPicPr/>
                  </pic:nvPicPr>
                  <pic:blipFill>
                    <a:blip r:embed="rId187" cstate="print"/>
                    <a:stretch>
                      <a:fillRect/>
                    </a:stretch>
                  </pic:blipFill>
                  <pic:spPr>
                    <a:xfrm>
                      <a:off x="0" y="0"/>
                      <a:ext cx="359663" cy="112775"/>
                    </a:xfrm>
                    <a:prstGeom prst="rect">
                      <a:avLst/>
                    </a:prstGeom>
                  </pic:spPr>
                </pic:pic>
              </a:graphicData>
            </a:graphic>
          </wp:anchor>
        </w:drawing>
      </w:r>
      <w:bookmarkStart w:name="12.10. Stakeholder Engagement. The State" w:id="616"/>
      <w:bookmarkEnd w:id="616"/>
      <w:r>
        <w:rPr/>
      </w:r>
      <w:r>
        <w:rPr>
          <w:b/>
        </w:rPr>
        <w:t>Stakeholder</w:t>
      </w:r>
      <w:r>
        <w:rPr>
          <w:b/>
          <w:spacing w:val="-5"/>
        </w:rPr>
        <w:t> </w:t>
      </w:r>
      <w:r>
        <w:rPr>
          <w:b/>
        </w:rPr>
        <w:t>Engagement</w:t>
      </w:r>
      <w:r>
        <w:rPr/>
        <w:t>.</w:t>
      </w:r>
      <w:r>
        <w:rPr>
          <w:spacing w:val="-4"/>
        </w:rPr>
        <w:t> </w:t>
      </w:r>
      <w:r>
        <w:rPr/>
        <w:t>The</w:t>
      </w:r>
      <w:r>
        <w:rPr>
          <w:spacing w:val="-5"/>
        </w:rPr>
        <w:t> </w:t>
      </w:r>
      <w:r>
        <w:rPr/>
        <w:t>State</w:t>
      </w:r>
      <w:r>
        <w:rPr>
          <w:spacing w:val="-5"/>
        </w:rPr>
        <w:t> </w:t>
      </w:r>
      <w:r>
        <w:rPr/>
        <w:t>must</w:t>
      </w:r>
      <w:r>
        <w:rPr>
          <w:spacing w:val="-4"/>
        </w:rPr>
        <w:t> </w:t>
      </w:r>
      <w:r>
        <w:rPr/>
        <w:t>allow</w:t>
      </w:r>
      <w:r>
        <w:rPr>
          <w:spacing w:val="-5"/>
        </w:rPr>
        <w:t> </w:t>
      </w:r>
      <w:r>
        <w:rPr/>
        <w:t>for</w:t>
      </w:r>
      <w:r>
        <w:rPr>
          <w:spacing w:val="-5"/>
        </w:rPr>
        <w:t> </w:t>
      </w:r>
      <w:r>
        <w:rPr/>
        <w:t>stakeholder</w:t>
      </w:r>
      <w:r>
        <w:rPr>
          <w:spacing w:val="-5"/>
        </w:rPr>
        <w:t> </w:t>
      </w:r>
      <w:r>
        <w:rPr/>
        <w:t>engagement</w:t>
      </w:r>
      <w:r>
        <w:rPr>
          <w:spacing w:val="-4"/>
        </w:rPr>
        <w:t> </w:t>
      </w:r>
      <w:r>
        <w:rPr/>
        <w:t>through meetings, access to web resources, and opportunities to provide feedback.</w:t>
      </w:r>
    </w:p>
    <w:p>
      <w:pPr>
        <w:pStyle w:val="BodyText"/>
        <w:spacing w:before="10"/>
        <w:rPr>
          <w:sz w:val="20"/>
        </w:rPr>
      </w:pPr>
    </w:p>
    <w:p>
      <w:pPr>
        <w:pStyle w:val="Heading5"/>
        <w:ind w:left="871"/>
      </w:pPr>
      <w:r>
        <w:rPr/>
        <w:drawing>
          <wp:anchor distT="0" distB="0" distL="0" distR="0" allowOverlap="1" layoutInCell="1" locked="0" behindDoc="0" simplePos="0" relativeHeight="15923712">
            <wp:simplePos x="0" y="0"/>
            <wp:positionH relativeFrom="page">
              <wp:posOffset>832103</wp:posOffset>
            </wp:positionH>
            <wp:positionV relativeFrom="paragraph">
              <wp:posOffset>35599</wp:posOffset>
            </wp:positionV>
            <wp:extent cx="359663" cy="112775"/>
            <wp:effectExtent l="0" t="0" r="0" b="0"/>
            <wp:wrapNone/>
            <wp:docPr id="392" name="Image 392"/>
            <wp:cNvGraphicFramePr>
              <a:graphicFrameLocks/>
            </wp:cNvGraphicFramePr>
            <a:graphic>
              <a:graphicData uri="http://schemas.openxmlformats.org/drawingml/2006/picture">
                <pic:pic>
                  <pic:nvPicPr>
                    <pic:cNvPr id="392" name="Image 392"/>
                    <pic:cNvPicPr/>
                  </pic:nvPicPr>
                  <pic:blipFill>
                    <a:blip r:embed="rId188" cstate="print"/>
                    <a:stretch>
                      <a:fillRect/>
                    </a:stretch>
                  </pic:blipFill>
                  <pic:spPr>
                    <a:xfrm>
                      <a:off x="0" y="0"/>
                      <a:ext cx="359663" cy="112775"/>
                    </a:xfrm>
                    <a:prstGeom prst="rect">
                      <a:avLst/>
                    </a:prstGeom>
                  </pic:spPr>
                </pic:pic>
              </a:graphicData>
            </a:graphic>
          </wp:anchor>
        </w:drawing>
      </w:r>
      <w:bookmarkStart w:name="12.11. DSRIP Accountability to the State" w:id="617"/>
      <w:bookmarkEnd w:id="617"/>
      <w:r>
        <w:rPr>
          <w:b w:val="0"/>
        </w:rPr>
      </w:r>
      <w:r>
        <w:rPr/>
        <w:t>DSRIP</w:t>
      </w:r>
      <w:r>
        <w:rPr>
          <w:spacing w:val="-5"/>
        </w:rPr>
        <w:t> </w:t>
      </w:r>
      <w:r>
        <w:rPr/>
        <w:t>Accountability</w:t>
      </w:r>
      <w:r>
        <w:rPr>
          <w:spacing w:val="-2"/>
        </w:rPr>
        <w:t> </w:t>
      </w:r>
      <w:r>
        <w:rPr/>
        <w:t>to</w:t>
      </w:r>
      <w:r>
        <w:rPr>
          <w:spacing w:val="-2"/>
        </w:rPr>
        <w:t> </w:t>
      </w:r>
      <w:r>
        <w:rPr/>
        <w:t>the</w:t>
      </w:r>
      <w:r>
        <w:rPr>
          <w:spacing w:val="-2"/>
        </w:rPr>
        <w:t> State.</w:t>
      </w:r>
    </w:p>
    <w:p>
      <w:pPr>
        <w:pStyle w:val="BodyText"/>
        <w:spacing w:before="10"/>
        <w:rPr>
          <w:b/>
          <w:sz w:val="20"/>
        </w:rPr>
      </w:pPr>
    </w:p>
    <w:p>
      <w:pPr>
        <w:pStyle w:val="BodyText"/>
        <w:ind w:left="1411" w:right="1141"/>
      </w:pPr>
      <w:r>
        <w:rPr/>
        <w:drawing>
          <wp:anchor distT="0" distB="0" distL="0" distR="0" allowOverlap="1" layoutInCell="1" locked="0" behindDoc="0" simplePos="0" relativeHeight="15924224">
            <wp:simplePos x="0" y="0"/>
            <wp:positionH relativeFrom="page">
              <wp:posOffset>1431036</wp:posOffset>
            </wp:positionH>
            <wp:positionV relativeFrom="paragraph">
              <wp:posOffset>67616</wp:posOffset>
            </wp:positionV>
            <wp:extent cx="96011" cy="80759"/>
            <wp:effectExtent l="0" t="0" r="0" b="0"/>
            <wp:wrapNone/>
            <wp:docPr id="393" name="Image 393"/>
            <wp:cNvGraphicFramePr>
              <a:graphicFrameLocks/>
            </wp:cNvGraphicFramePr>
            <a:graphic>
              <a:graphicData uri="http://schemas.openxmlformats.org/drawingml/2006/picture">
                <pic:pic>
                  <pic:nvPicPr>
                    <pic:cNvPr id="393" name="Image 393"/>
                    <pic:cNvPicPr/>
                  </pic:nvPicPr>
                  <pic:blipFill>
                    <a:blip r:embed="rId29" cstate="print"/>
                    <a:stretch>
                      <a:fillRect/>
                    </a:stretch>
                  </pic:blipFill>
                  <pic:spPr>
                    <a:xfrm>
                      <a:off x="0" y="0"/>
                      <a:ext cx="96011" cy="80759"/>
                    </a:xfrm>
                    <a:prstGeom prst="rect">
                      <a:avLst/>
                    </a:prstGeom>
                  </pic:spPr>
                </pic:pic>
              </a:graphicData>
            </a:graphic>
          </wp:anchor>
        </w:drawing>
      </w:r>
      <w:bookmarkStart w:name="a. ACO DSRIP Accountability Score. The a" w:id="618"/>
      <w:bookmarkEnd w:id="618"/>
      <w:r>
        <w:rPr/>
      </w:r>
      <w:r>
        <w:rPr>
          <w:b/>
        </w:rPr>
        <w:t>ACO DSRIP Accountability Score. </w:t>
      </w:r>
      <w:r>
        <w:rPr/>
        <w:t>The amount of at-risk funding earned by an ACO</w:t>
      </w:r>
      <w:r>
        <w:rPr>
          <w:spacing w:val="-4"/>
        </w:rPr>
        <w:t> </w:t>
      </w:r>
      <w:r>
        <w:rPr/>
        <w:t>will</w:t>
      </w:r>
      <w:r>
        <w:rPr>
          <w:spacing w:val="-3"/>
        </w:rPr>
        <w:t> </w:t>
      </w:r>
      <w:r>
        <w:rPr/>
        <w:t>be</w:t>
      </w:r>
      <w:r>
        <w:rPr>
          <w:spacing w:val="-4"/>
        </w:rPr>
        <w:t> </w:t>
      </w:r>
      <w:r>
        <w:rPr/>
        <w:t>determined</w:t>
      </w:r>
      <w:r>
        <w:rPr>
          <w:spacing w:val="-1"/>
        </w:rPr>
        <w:t> </w:t>
      </w:r>
      <w:r>
        <w:rPr/>
        <w:t>by</w:t>
      </w:r>
      <w:r>
        <w:rPr>
          <w:spacing w:val="-8"/>
        </w:rPr>
        <w:t> </w:t>
      </w:r>
      <w:r>
        <w:rPr/>
        <w:t>an</w:t>
      </w:r>
      <w:r>
        <w:rPr>
          <w:spacing w:val="-1"/>
        </w:rPr>
        <w:t> </w:t>
      </w:r>
      <w:r>
        <w:rPr/>
        <w:t>ACO’s</w:t>
      </w:r>
      <w:r>
        <w:rPr>
          <w:spacing w:val="-3"/>
        </w:rPr>
        <w:t> </w:t>
      </w:r>
      <w:r>
        <w:rPr/>
        <w:t>DSRIP accountability</w:t>
      </w:r>
      <w:r>
        <w:rPr>
          <w:spacing w:val="-11"/>
        </w:rPr>
        <w:t> </w:t>
      </w:r>
      <w:r>
        <w:rPr/>
        <w:t>score,</w:t>
      </w:r>
      <w:r>
        <w:rPr>
          <w:spacing w:val="-1"/>
        </w:rPr>
        <w:t> </w:t>
      </w:r>
      <w:r>
        <w:rPr/>
        <w:t>which</w:t>
      </w:r>
      <w:r>
        <w:rPr>
          <w:spacing w:val="-3"/>
        </w:rPr>
        <w:t> </w:t>
      </w:r>
      <w:r>
        <w:rPr/>
        <w:t>is</w:t>
      </w:r>
      <w:r>
        <w:rPr>
          <w:spacing w:val="-3"/>
        </w:rPr>
        <w:t> </w:t>
      </w:r>
      <w:r>
        <w:rPr/>
        <w:t>based on performance in the following two domains:</w:t>
      </w:r>
    </w:p>
    <w:p>
      <w:pPr>
        <w:pStyle w:val="BodyText"/>
        <w:spacing w:before="10"/>
        <w:rPr>
          <w:sz w:val="20"/>
        </w:rPr>
      </w:pPr>
    </w:p>
    <w:p>
      <w:pPr>
        <w:pStyle w:val="BodyText"/>
        <w:spacing w:line="379" w:lineRule="auto"/>
        <w:ind w:left="2040" w:right="3457"/>
      </w:pPr>
      <w:r>
        <w:rPr/>
        <w:drawing>
          <wp:anchor distT="0" distB="0" distL="0" distR="0" allowOverlap="1" layoutInCell="1" locked="0" behindDoc="0" simplePos="0" relativeHeight="15924736">
            <wp:simplePos x="0" y="0"/>
            <wp:positionH relativeFrom="page">
              <wp:posOffset>1862327</wp:posOffset>
            </wp:positionH>
            <wp:positionV relativeFrom="paragraph">
              <wp:posOffset>32551</wp:posOffset>
            </wp:positionV>
            <wp:extent cx="73151" cy="115823"/>
            <wp:effectExtent l="0" t="0" r="0" b="0"/>
            <wp:wrapNone/>
            <wp:docPr id="394" name="Image 394"/>
            <wp:cNvGraphicFramePr>
              <a:graphicFrameLocks/>
            </wp:cNvGraphicFramePr>
            <a:graphic>
              <a:graphicData uri="http://schemas.openxmlformats.org/drawingml/2006/picture">
                <pic:pic>
                  <pic:nvPicPr>
                    <pic:cNvPr id="394" name="Image 394"/>
                    <pic:cNvPicPr/>
                  </pic:nvPicPr>
                  <pic:blipFill>
                    <a:blip r:embed="rId61" cstate="print"/>
                    <a:stretch>
                      <a:fillRect/>
                    </a:stretch>
                  </pic:blipFill>
                  <pic:spPr>
                    <a:xfrm>
                      <a:off x="0" y="0"/>
                      <a:ext cx="73151" cy="115823"/>
                    </a:xfrm>
                    <a:prstGeom prst="rect">
                      <a:avLst/>
                    </a:prstGeom>
                  </pic:spPr>
                </pic:pic>
              </a:graphicData>
            </a:graphic>
          </wp:anchor>
        </w:drawing>
      </w:r>
      <w:r>
        <w:rPr/>
        <w:drawing>
          <wp:anchor distT="0" distB="0" distL="0" distR="0" allowOverlap="1" layoutInCell="1" locked="0" behindDoc="0" simplePos="0" relativeHeight="15925248">
            <wp:simplePos x="0" y="0"/>
            <wp:positionH relativeFrom="page">
              <wp:posOffset>1819655</wp:posOffset>
            </wp:positionH>
            <wp:positionV relativeFrom="paragraph">
              <wp:posOffset>309919</wp:posOffset>
            </wp:positionV>
            <wp:extent cx="115823" cy="115823"/>
            <wp:effectExtent l="0" t="0" r="0" b="0"/>
            <wp:wrapNone/>
            <wp:docPr id="395" name="Image 395"/>
            <wp:cNvGraphicFramePr>
              <a:graphicFrameLocks/>
            </wp:cNvGraphicFramePr>
            <a:graphic>
              <a:graphicData uri="http://schemas.openxmlformats.org/drawingml/2006/picture">
                <pic:pic>
                  <pic:nvPicPr>
                    <pic:cNvPr id="395" name="Image 395"/>
                    <pic:cNvPicPr/>
                  </pic:nvPicPr>
                  <pic:blipFill>
                    <a:blip r:embed="rId62" cstate="print"/>
                    <a:stretch>
                      <a:fillRect/>
                    </a:stretch>
                  </pic:blipFill>
                  <pic:spPr>
                    <a:xfrm>
                      <a:off x="0" y="0"/>
                      <a:ext cx="115823" cy="115823"/>
                    </a:xfrm>
                    <a:prstGeom prst="rect">
                      <a:avLst/>
                    </a:prstGeom>
                  </pic:spPr>
                </pic:pic>
              </a:graphicData>
            </a:graphic>
          </wp:anchor>
        </w:drawing>
      </w:r>
      <w:bookmarkStart w:name="i. ACO Total Cost of Care (TCOC) Perform" w:id="619"/>
      <w:bookmarkEnd w:id="619"/>
      <w:r>
        <w:rPr/>
      </w:r>
      <w:r>
        <w:rPr/>
        <w:t>ACO</w:t>
      </w:r>
      <w:r>
        <w:rPr>
          <w:spacing w:val="-7"/>
        </w:rPr>
        <w:t> </w:t>
      </w:r>
      <w:r>
        <w:rPr/>
        <w:t>Total</w:t>
      </w:r>
      <w:r>
        <w:rPr>
          <w:spacing w:val="-6"/>
        </w:rPr>
        <w:t> </w:t>
      </w:r>
      <w:r>
        <w:rPr/>
        <w:t>Cost</w:t>
      </w:r>
      <w:r>
        <w:rPr>
          <w:spacing w:val="-6"/>
        </w:rPr>
        <w:t> </w:t>
      </w:r>
      <w:r>
        <w:rPr/>
        <w:t>of</w:t>
      </w:r>
      <w:r>
        <w:rPr>
          <w:spacing w:val="-7"/>
        </w:rPr>
        <w:t> </w:t>
      </w:r>
      <w:r>
        <w:rPr/>
        <w:t>Care</w:t>
      </w:r>
      <w:r>
        <w:rPr>
          <w:spacing w:val="-5"/>
        </w:rPr>
        <w:t> </w:t>
      </w:r>
      <w:r>
        <w:rPr/>
        <w:t>(TCOC)</w:t>
      </w:r>
      <w:r>
        <w:rPr>
          <w:spacing w:val="-7"/>
        </w:rPr>
        <w:t> </w:t>
      </w:r>
      <w:r>
        <w:rPr/>
        <w:t>Performance;</w:t>
      </w:r>
      <w:r>
        <w:rPr>
          <w:spacing w:val="-6"/>
        </w:rPr>
        <w:t> </w:t>
      </w:r>
      <w:r>
        <w:rPr/>
        <w:t>and </w:t>
      </w:r>
      <w:bookmarkStart w:name="ii. ACO Quality and Utilization Performa" w:id="620"/>
      <w:bookmarkEnd w:id="620"/>
      <w:r>
        <w:rPr/>
        <w:t>A</w:t>
      </w:r>
      <w:r>
        <w:rPr/>
        <w:t>CO Quality and Utilization Performance.</w:t>
      </w:r>
    </w:p>
    <w:p>
      <w:pPr>
        <w:pStyle w:val="Heading5"/>
        <w:spacing w:before="40"/>
        <w:ind w:left="1411"/>
      </w:pPr>
      <w:r>
        <w:rPr/>
        <w:drawing>
          <wp:anchor distT="0" distB="0" distL="0" distR="0" allowOverlap="1" layoutInCell="1" locked="0" behindDoc="0" simplePos="0" relativeHeight="15925760">
            <wp:simplePos x="0" y="0"/>
            <wp:positionH relativeFrom="page">
              <wp:posOffset>1424939</wp:posOffset>
            </wp:positionH>
            <wp:positionV relativeFrom="paragraph">
              <wp:posOffset>57951</wp:posOffset>
            </wp:positionV>
            <wp:extent cx="111251" cy="115823"/>
            <wp:effectExtent l="0" t="0" r="0" b="0"/>
            <wp:wrapNone/>
            <wp:docPr id="396" name="Image 396"/>
            <wp:cNvGraphicFramePr>
              <a:graphicFrameLocks/>
            </wp:cNvGraphicFramePr>
            <a:graphic>
              <a:graphicData uri="http://schemas.openxmlformats.org/drawingml/2006/picture">
                <pic:pic>
                  <pic:nvPicPr>
                    <pic:cNvPr id="396" name="Image 396"/>
                    <pic:cNvPicPr/>
                  </pic:nvPicPr>
                  <pic:blipFill>
                    <a:blip r:embed="rId105" cstate="print"/>
                    <a:stretch>
                      <a:fillRect/>
                    </a:stretch>
                  </pic:blipFill>
                  <pic:spPr>
                    <a:xfrm>
                      <a:off x="0" y="0"/>
                      <a:ext cx="111251" cy="115823"/>
                    </a:xfrm>
                    <a:prstGeom prst="rect">
                      <a:avLst/>
                    </a:prstGeom>
                  </pic:spPr>
                </pic:pic>
              </a:graphicData>
            </a:graphic>
          </wp:anchor>
        </w:drawing>
      </w:r>
      <w:bookmarkStart w:name="b. Additional DSRIP Accountability Consi" w:id="621"/>
      <w:bookmarkEnd w:id="621"/>
      <w:r>
        <w:rPr>
          <w:b w:val="0"/>
        </w:rPr>
      </w:r>
      <w:r>
        <w:rPr/>
        <w:t>Additional</w:t>
      </w:r>
      <w:r>
        <w:rPr>
          <w:spacing w:val="-3"/>
        </w:rPr>
        <w:t> </w:t>
      </w:r>
      <w:r>
        <w:rPr/>
        <w:t>DSRIP</w:t>
      </w:r>
      <w:r>
        <w:rPr>
          <w:spacing w:val="-5"/>
        </w:rPr>
        <w:t> </w:t>
      </w:r>
      <w:r>
        <w:rPr/>
        <w:t>Accountability</w:t>
      </w:r>
      <w:r>
        <w:rPr>
          <w:spacing w:val="-2"/>
        </w:rPr>
        <w:t> Considerations.</w:t>
      </w:r>
    </w:p>
    <w:p>
      <w:pPr>
        <w:pStyle w:val="BodyText"/>
        <w:spacing w:before="10"/>
        <w:rPr>
          <w:b/>
          <w:sz w:val="20"/>
        </w:rPr>
      </w:pPr>
    </w:p>
    <w:p>
      <w:pPr>
        <w:pStyle w:val="BodyText"/>
        <w:ind w:left="2039" w:right="1059"/>
      </w:pPr>
      <w:r>
        <w:rPr/>
        <w:drawing>
          <wp:anchor distT="0" distB="0" distL="0" distR="0" allowOverlap="1" layoutInCell="1" locked="0" behindDoc="0" simplePos="0" relativeHeight="15926272">
            <wp:simplePos x="0" y="0"/>
            <wp:positionH relativeFrom="page">
              <wp:posOffset>1862327</wp:posOffset>
            </wp:positionH>
            <wp:positionV relativeFrom="paragraph">
              <wp:posOffset>32551</wp:posOffset>
            </wp:positionV>
            <wp:extent cx="73151" cy="115823"/>
            <wp:effectExtent l="0" t="0" r="0" b="0"/>
            <wp:wrapNone/>
            <wp:docPr id="397" name="Image 397"/>
            <wp:cNvGraphicFramePr>
              <a:graphicFrameLocks/>
            </wp:cNvGraphicFramePr>
            <a:graphic>
              <a:graphicData uri="http://schemas.openxmlformats.org/drawingml/2006/picture">
                <pic:pic>
                  <pic:nvPicPr>
                    <pic:cNvPr id="397" name="Image 397"/>
                    <pic:cNvPicPr/>
                  </pic:nvPicPr>
                  <pic:blipFill>
                    <a:blip r:embed="rId126" cstate="print"/>
                    <a:stretch>
                      <a:fillRect/>
                    </a:stretch>
                  </pic:blipFill>
                  <pic:spPr>
                    <a:xfrm>
                      <a:off x="0" y="0"/>
                      <a:ext cx="73151" cy="115823"/>
                    </a:xfrm>
                    <a:prstGeom prst="rect">
                      <a:avLst/>
                    </a:prstGeom>
                  </pic:spPr>
                </pic:pic>
              </a:graphicData>
            </a:graphic>
          </wp:anchor>
        </w:drawing>
      </w:r>
      <w:bookmarkStart w:name="i. If an ACO performs below a MassHealth" w:id="622"/>
      <w:bookmarkEnd w:id="622"/>
      <w:r>
        <w:rPr/>
      </w:r>
      <w:r>
        <w:rPr/>
        <w:t>If an ACO performs below a MassHealth-determined performance threshold for</w:t>
      </w:r>
      <w:r>
        <w:rPr>
          <w:spacing w:val="-5"/>
        </w:rPr>
        <w:t> </w:t>
      </w:r>
      <w:r>
        <w:rPr/>
        <w:t>two</w:t>
      </w:r>
      <w:r>
        <w:rPr>
          <w:spacing w:val="-4"/>
        </w:rPr>
        <w:t> </w:t>
      </w:r>
      <w:r>
        <w:rPr/>
        <w:t>consecutive</w:t>
      </w:r>
      <w:r>
        <w:rPr>
          <w:spacing w:val="-1"/>
        </w:rPr>
        <w:t> </w:t>
      </w:r>
      <w:r>
        <w:rPr/>
        <w:t>years,</w:t>
      </w:r>
      <w:r>
        <w:rPr>
          <w:spacing w:val="-4"/>
        </w:rPr>
        <w:t> </w:t>
      </w:r>
      <w:r>
        <w:rPr/>
        <w:t>MassHealth</w:t>
      </w:r>
      <w:r>
        <w:rPr>
          <w:spacing w:val="-4"/>
        </w:rPr>
        <w:t> </w:t>
      </w:r>
      <w:r>
        <w:rPr/>
        <w:t>may</w:t>
      </w:r>
      <w:r>
        <w:rPr>
          <w:spacing w:val="-9"/>
        </w:rPr>
        <w:t> </w:t>
      </w:r>
      <w:r>
        <w:rPr/>
        <w:t>increase</w:t>
      </w:r>
      <w:r>
        <w:rPr>
          <w:spacing w:val="-5"/>
        </w:rPr>
        <w:t> </w:t>
      </w:r>
      <w:r>
        <w:rPr/>
        <w:t>the</w:t>
      </w:r>
      <w:r>
        <w:rPr>
          <w:spacing w:val="-5"/>
        </w:rPr>
        <w:t> </w:t>
      </w:r>
      <w:r>
        <w:rPr/>
        <w:t>proportion</w:t>
      </w:r>
      <w:r>
        <w:rPr>
          <w:spacing w:val="-4"/>
        </w:rPr>
        <w:t> </w:t>
      </w:r>
      <w:r>
        <w:rPr/>
        <w:t>of</w:t>
      </w:r>
      <w:r>
        <w:rPr>
          <w:spacing w:val="-3"/>
        </w:rPr>
        <w:t> </w:t>
      </w:r>
      <w:r>
        <w:rPr/>
        <w:t>DSRIP funds at risk for that ACO in the following year.</w:t>
      </w:r>
    </w:p>
    <w:p>
      <w:pPr>
        <w:pStyle w:val="BodyText"/>
        <w:spacing w:before="200"/>
        <w:ind w:left="1411" w:right="1141"/>
      </w:pPr>
      <w:r>
        <w:rPr/>
        <w:drawing>
          <wp:anchor distT="0" distB="0" distL="0" distR="0" allowOverlap="1" layoutInCell="1" locked="0" behindDoc="0" simplePos="0" relativeHeight="15926784">
            <wp:simplePos x="0" y="0"/>
            <wp:positionH relativeFrom="page">
              <wp:posOffset>1431036</wp:posOffset>
            </wp:positionH>
            <wp:positionV relativeFrom="paragraph">
              <wp:posOffset>194603</wp:posOffset>
            </wp:positionV>
            <wp:extent cx="96011" cy="80771"/>
            <wp:effectExtent l="0" t="0" r="0" b="0"/>
            <wp:wrapNone/>
            <wp:docPr id="398" name="Image 398"/>
            <wp:cNvGraphicFramePr>
              <a:graphicFrameLocks/>
            </wp:cNvGraphicFramePr>
            <a:graphic>
              <a:graphicData uri="http://schemas.openxmlformats.org/drawingml/2006/picture">
                <pic:pic>
                  <pic:nvPicPr>
                    <pic:cNvPr id="398" name="Image 398"/>
                    <pic:cNvPicPr/>
                  </pic:nvPicPr>
                  <pic:blipFill>
                    <a:blip r:embed="rId35" cstate="print"/>
                    <a:stretch>
                      <a:fillRect/>
                    </a:stretch>
                  </pic:blipFill>
                  <pic:spPr>
                    <a:xfrm>
                      <a:off x="0" y="0"/>
                      <a:ext cx="96011" cy="80771"/>
                    </a:xfrm>
                    <a:prstGeom prst="rect">
                      <a:avLst/>
                    </a:prstGeom>
                  </pic:spPr>
                </pic:pic>
              </a:graphicData>
            </a:graphic>
          </wp:anchor>
        </w:drawing>
      </w:r>
      <w:bookmarkStart w:name="c. CP DSRIP Accountability Score. The am" w:id="623"/>
      <w:bookmarkEnd w:id="623"/>
      <w:r>
        <w:rPr/>
      </w:r>
      <w:r>
        <w:rPr>
          <w:b/>
        </w:rPr>
        <w:t>CP DSRIP Accountability Score. </w:t>
      </w:r>
      <w:r>
        <w:rPr/>
        <w:t>The amount of at-risk funding earned by a CP will be determined by a CP’s DSRIP accountability score, which will be based on performance in the following domains: CP quality and member experience measures;</w:t>
      </w:r>
      <w:r>
        <w:rPr>
          <w:spacing w:val="-5"/>
        </w:rPr>
        <w:t> </w:t>
      </w:r>
      <w:r>
        <w:rPr/>
        <w:t>progress</w:t>
      </w:r>
      <w:r>
        <w:rPr>
          <w:spacing w:val="-5"/>
        </w:rPr>
        <w:t> </w:t>
      </w:r>
      <w:r>
        <w:rPr/>
        <w:t>towards</w:t>
      </w:r>
      <w:r>
        <w:rPr>
          <w:spacing w:val="-5"/>
        </w:rPr>
        <w:t> </w:t>
      </w:r>
      <w:r>
        <w:rPr/>
        <w:t>integration</w:t>
      </w:r>
      <w:r>
        <w:rPr>
          <w:spacing w:val="-5"/>
        </w:rPr>
        <w:t> </w:t>
      </w:r>
      <w:r>
        <w:rPr/>
        <w:t>across</w:t>
      </w:r>
      <w:r>
        <w:rPr>
          <w:spacing w:val="-5"/>
        </w:rPr>
        <w:t> </w:t>
      </w:r>
      <w:r>
        <w:rPr/>
        <w:t>physical</w:t>
      </w:r>
      <w:r>
        <w:rPr>
          <w:spacing w:val="-5"/>
        </w:rPr>
        <w:t> </w:t>
      </w:r>
      <w:r>
        <w:rPr/>
        <w:t>health,</w:t>
      </w:r>
      <w:r>
        <w:rPr>
          <w:spacing w:val="-4"/>
        </w:rPr>
        <w:t> </w:t>
      </w:r>
      <w:r>
        <w:rPr/>
        <w:t>LTSS</w:t>
      </w:r>
      <w:r>
        <w:rPr>
          <w:spacing w:val="-5"/>
        </w:rPr>
        <w:t> </w:t>
      </w:r>
      <w:r>
        <w:rPr/>
        <w:t>and</w:t>
      </w:r>
      <w:r>
        <w:rPr>
          <w:spacing w:val="-5"/>
        </w:rPr>
        <w:t> </w:t>
      </w:r>
      <w:r>
        <w:rPr/>
        <w:t>behavioral health; and efficiency measures. See DSRIP Protocol for information about CP Accountability to the State</w:t>
      </w:r>
    </w:p>
    <w:p>
      <w:pPr>
        <w:pStyle w:val="BodyText"/>
        <w:spacing w:before="10"/>
        <w:rPr>
          <w:sz w:val="20"/>
        </w:rPr>
      </w:pPr>
    </w:p>
    <w:p>
      <w:pPr>
        <w:pStyle w:val="BodyText"/>
        <w:ind w:left="871" w:right="1059"/>
      </w:pPr>
      <w:r>
        <w:rPr/>
        <w:drawing>
          <wp:anchor distT="0" distB="0" distL="0" distR="0" allowOverlap="1" layoutInCell="1" locked="0" behindDoc="0" simplePos="0" relativeHeight="15927296">
            <wp:simplePos x="0" y="0"/>
            <wp:positionH relativeFrom="page">
              <wp:posOffset>832103</wp:posOffset>
            </wp:positionH>
            <wp:positionV relativeFrom="paragraph">
              <wp:posOffset>35599</wp:posOffset>
            </wp:positionV>
            <wp:extent cx="359663" cy="112775"/>
            <wp:effectExtent l="0" t="0" r="0" b="0"/>
            <wp:wrapNone/>
            <wp:docPr id="399" name="Image 399"/>
            <wp:cNvGraphicFramePr>
              <a:graphicFrameLocks/>
            </wp:cNvGraphicFramePr>
            <a:graphic>
              <a:graphicData uri="http://schemas.openxmlformats.org/drawingml/2006/picture">
                <pic:pic>
                  <pic:nvPicPr>
                    <pic:cNvPr id="399" name="Image 399"/>
                    <pic:cNvPicPr/>
                  </pic:nvPicPr>
                  <pic:blipFill>
                    <a:blip r:embed="rId189" cstate="print"/>
                    <a:stretch>
                      <a:fillRect/>
                    </a:stretch>
                  </pic:blipFill>
                  <pic:spPr>
                    <a:xfrm>
                      <a:off x="0" y="0"/>
                      <a:ext cx="359663" cy="112775"/>
                    </a:xfrm>
                    <a:prstGeom prst="rect">
                      <a:avLst/>
                    </a:prstGeom>
                  </pic:spPr>
                </pic:pic>
              </a:graphicData>
            </a:graphic>
          </wp:anchor>
        </w:drawing>
      </w:r>
      <w:bookmarkStart w:name="12.12. Statewide Investments. Statewide " w:id="624"/>
      <w:bookmarkEnd w:id="624"/>
      <w:r>
        <w:rPr/>
      </w:r>
      <w:r>
        <w:rPr>
          <w:b/>
        </w:rPr>
        <w:t>Statewide Investments. </w:t>
      </w:r>
      <w:r>
        <w:rPr/>
        <w:t>Statewide investments allow the Commonwealth to efficiently scale</w:t>
      </w:r>
      <w:r>
        <w:rPr>
          <w:spacing w:val="-5"/>
        </w:rPr>
        <w:t> </w:t>
      </w:r>
      <w:r>
        <w:rPr/>
        <w:t>up</w:t>
      </w:r>
      <w:r>
        <w:rPr>
          <w:spacing w:val="-4"/>
        </w:rPr>
        <w:t> </w:t>
      </w:r>
      <w:r>
        <w:rPr/>
        <w:t>statewide</w:t>
      </w:r>
      <w:r>
        <w:rPr>
          <w:spacing w:val="-5"/>
        </w:rPr>
        <w:t> </w:t>
      </w:r>
      <w:r>
        <w:rPr/>
        <w:t>infrastructure</w:t>
      </w:r>
      <w:r>
        <w:rPr>
          <w:spacing w:val="-3"/>
        </w:rPr>
        <w:t> </w:t>
      </w:r>
      <w:r>
        <w:rPr/>
        <w:t>and</w:t>
      </w:r>
      <w:r>
        <w:rPr>
          <w:spacing w:val="-4"/>
        </w:rPr>
        <w:t> </w:t>
      </w:r>
      <w:r>
        <w:rPr/>
        <w:t>workforce</w:t>
      </w:r>
      <w:r>
        <w:rPr>
          <w:spacing w:val="-3"/>
        </w:rPr>
        <w:t> </w:t>
      </w:r>
      <w:r>
        <w:rPr/>
        <w:t>capacity.</w:t>
      </w:r>
      <w:r>
        <w:rPr>
          <w:spacing w:val="-4"/>
        </w:rPr>
        <w:t> </w:t>
      </w:r>
      <w:r>
        <w:rPr/>
        <w:t>These</w:t>
      </w:r>
      <w:r>
        <w:rPr>
          <w:spacing w:val="-5"/>
        </w:rPr>
        <w:t> </w:t>
      </w:r>
      <w:r>
        <w:rPr/>
        <w:t>Statewide</w:t>
      </w:r>
      <w:r>
        <w:rPr>
          <w:spacing w:val="-5"/>
        </w:rPr>
        <w:t> </w:t>
      </w:r>
      <w:r>
        <w:rPr/>
        <w:t>investments</w:t>
      </w:r>
      <w:r>
        <w:rPr>
          <w:spacing w:val="-4"/>
        </w:rPr>
        <w:t> </w:t>
      </w:r>
      <w:r>
        <w:rPr/>
        <w:t>are limited to those provided for by the DSRIP funding pool, and specified in the DSRIP </w:t>
      </w:r>
      <w:r>
        <w:rPr>
          <w:spacing w:val="-2"/>
        </w:rPr>
        <w:t>protocol.</w:t>
      </w:r>
    </w:p>
    <w:p>
      <w:pPr>
        <w:pStyle w:val="BodyText"/>
        <w:spacing w:before="10"/>
        <w:rPr>
          <w:sz w:val="20"/>
        </w:rPr>
      </w:pPr>
    </w:p>
    <w:p>
      <w:pPr>
        <w:pStyle w:val="ListParagraph"/>
        <w:numPr>
          <w:ilvl w:val="0"/>
          <w:numId w:val="36"/>
        </w:numPr>
        <w:tabs>
          <w:tab w:pos="1411" w:val="left" w:leader="none"/>
        </w:tabs>
        <w:spacing w:line="240" w:lineRule="auto" w:before="0" w:after="0"/>
        <w:ind w:left="1411" w:right="1098" w:hanging="360"/>
        <w:jc w:val="left"/>
        <w:rPr>
          <w:sz w:val="24"/>
        </w:rPr>
      </w:pPr>
      <w:bookmarkStart w:name="a. Massachusetts will make eight differe" w:id="625"/>
      <w:bookmarkEnd w:id="625"/>
      <w:r>
        <w:rPr/>
      </w:r>
      <w:r>
        <w:rPr>
          <w:sz w:val="24"/>
        </w:rPr>
        <w:t>Massachusetts</w:t>
      </w:r>
      <w:r>
        <w:rPr>
          <w:spacing w:val="-4"/>
          <w:sz w:val="24"/>
        </w:rPr>
        <w:t> </w:t>
      </w:r>
      <w:r>
        <w:rPr>
          <w:sz w:val="24"/>
        </w:rPr>
        <w:t>will</w:t>
      </w:r>
      <w:r>
        <w:rPr>
          <w:spacing w:val="-4"/>
          <w:sz w:val="24"/>
        </w:rPr>
        <w:t> </w:t>
      </w:r>
      <w:r>
        <w:rPr>
          <w:sz w:val="24"/>
        </w:rPr>
        <w:t>make</w:t>
      </w:r>
      <w:r>
        <w:rPr>
          <w:spacing w:val="-3"/>
          <w:sz w:val="24"/>
        </w:rPr>
        <w:t> </w:t>
      </w:r>
      <w:r>
        <w:rPr>
          <w:sz w:val="24"/>
        </w:rPr>
        <w:t>eight</w:t>
      </w:r>
      <w:r>
        <w:rPr>
          <w:spacing w:val="-4"/>
          <w:sz w:val="24"/>
        </w:rPr>
        <w:t> </w:t>
      </w:r>
      <w:r>
        <w:rPr>
          <w:sz w:val="24"/>
        </w:rPr>
        <w:t>different</w:t>
      </w:r>
      <w:r>
        <w:rPr>
          <w:spacing w:val="-4"/>
          <w:sz w:val="24"/>
        </w:rPr>
        <w:t> </w:t>
      </w:r>
      <w:r>
        <w:rPr>
          <w:sz w:val="24"/>
        </w:rPr>
        <w:t>statewide</w:t>
      </w:r>
      <w:r>
        <w:rPr>
          <w:spacing w:val="-3"/>
          <w:sz w:val="24"/>
        </w:rPr>
        <w:t> </w:t>
      </w:r>
      <w:r>
        <w:rPr>
          <w:sz w:val="24"/>
        </w:rPr>
        <w:t>investments</w:t>
      </w:r>
      <w:r>
        <w:rPr>
          <w:spacing w:val="-4"/>
          <w:sz w:val="24"/>
        </w:rPr>
        <w:t> </w:t>
      </w:r>
      <w:r>
        <w:rPr>
          <w:sz w:val="24"/>
        </w:rPr>
        <w:t>to</w:t>
      </w:r>
      <w:r>
        <w:rPr>
          <w:spacing w:val="-4"/>
          <w:sz w:val="24"/>
        </w:rPr>
        <w:t> </w:t>
      </w:r>
      <w:r>
        <w:rPr>
          <w:sz w:val="24"/>
        </w:rPr>
        <w:t>efficiently</w:t>
      </w:r>
      <w:r>
        <w:rPr>
          <w:spacing w:val="-7"/>
          <w:sz w:val="24"/>
        </w:rPr>
        <w:t> </w:t>
      </w:r>
      <w:r>
        <w:rPr>
          <w:sz w:val="24"/>
        </w:rPr>
        <w:t>scale</w:t>
      </w:r>
      <w:r>
        <w:rPr>
          <w:spacing w:val="-5"/>
          <w:sz w:val="24"/>
        </w:rPr>
        <w:t> </w:t>
      </w:r>
      <w:r>
        <w:rPr>
          <w:sz w:val="24"/>
        </w:rPr>
        <w:t>up statewide infrastructure and workforce capacity, including the following:</w:t>
      </w:r>
    </w:p>
    <w:p>
      <w:pPr>
        <w:spacing w:after="0" w:line="240" w:lineRule="auto"/>
        <w:jc w:val="left"/>
        <w:rPr>
          <w:sz w:val="24"/>
        </w:rPr>
        <w:sectPr>
          <w:pgSz w:w="12240" w:h="15840"/>
          <w:pgMar w:header="0" w:footer="1201" w:top="1360" w:bottom="1400" w:left="1200" w:right="400"/>
        </w:sectPr>
      </w:pPr>
    </w:p>
    <w:p>
      <w:pPr>
        <w:pStyle w:val="BodyText"/>
        <w:spacing w:before="79"/>
        <w:ind w:left="2040" w:right="1041"/>
      </w:pPr>
      <w:r>
        <w:rPr/>
        <w:drawing>
          <wp:anchor distT="0" distB="0" distL="0" distR="0" allowOverlap="1" layoutInCell="1" locked="0" behindDoc="0" simplePos="0" relativeHeight="15927808">
            <wp:simplePos x="0" y="0"/>
            <wp:positionH relativeFrom="page">
              <wp:posOffset>1862327</wp:posOffset>
            </wp:positionH>
            <wp:positionV relativeFrom="paragraph">
              <wp:posOffset>82717</wp:posOffset>
            </wp:positionV>
            <wp:extent cx="73151" cy="115823"/>
            <wp:effectExtent l="0" t="0" r="0" b="0"/>
            <wp:wrapNone/>
            <wp:docPr id="400" name="Image 400"/>
            <wp:cNvGraphicFramePr>
              <a:graphicFrameLocks/>
            </wp:cNvGraphicFramePr>
            <a:graphic>
              <a:graphicData uri="http://schemas.openxmlformats.org/drawingml/2006/picture">
                <pic:pic>
                  <pic:nvPicPr>
                    <pic:cNvPr id="400" name="Image 400"/>
                    <pic:cNvPicPr/>
                  </pic:nvPicPr>
                  <pic:blipFill>
                    <a:blip r:embed="rId61" cstate="print"/>
                    <a:stretch>
                      <a:fillRect/>
                    </a:stretch>
                  </pic:blipFill>
                  <pic:spPr>
                    <a:xfrm>
                      <a:off x="0" y="0"/>
                      <a:ext cx="73151" cy="115823"/>
                    </a:xfrm>
                    <a:prstGeom prst="rect">
                      <a:avLst/>
                    </a:prstGeom>
                  </pic:spPr>
                </pic:pic>
              </a:graphicData>
            </a:graphic>
          </wp:anchor>
        </w:drawing>
      </w:r>
      <w:bookmarkStart w:name="i. Student Loan Repayment: program which" w:id="626"/>
      <w:bookmarkEnd w:id="626"/>
      <w:r>
        <w:rPr/>
      </w:r>
      <w:r>
        <w:rPr>
          <w:b/>
        </w:rPr>
        <w:t>Student Loan Repayment: </w:t>
      </w:r>
      <w:r>
        <w:rPr/>
        <w:t>program which repays a portion of a student’s loan</w:t>
      </w:r>
      <w:r>
        <w:rPr>
          <w:spacing w:val="-4"/>
        </w:rPr>
        <w:t> </w:t>
      </w:r>
      <w:r>
        <w:rPr/>
        <w:t>in</w:t>
      </w:r>
      <w:r>
        <w:rPr>
          <w:spacing w:val="-4"/>
        </w:rPr>
        <w:t> </w:t>
      </w:r>
      <w:r>
        <w:rPr/>
        <w:t>exchange</w:t>
      </w:r>
      <w:r>
        <w:rPr>
          <w:spacing w:val="-5"/>
        </w:rPr>
        <w:t> </w:t>
      </w:r>
      <w:r>
        <w:rPr/>
        <w:t>for</w:t>
      </w:r>
      <w:r>
        <w:rPr>
          <w:spacing w:val="-3"/>
        </w:rPr>
        <w:t> </w:t>
      </w:r>
      <w:r>
        <w:rPr/>
        <w:t>a</w:t>
      </w:r>
      <w:r>
        <w:rPr>
          <w:spacing w:val="-5"/>
        </w:rPr>
        <w:t> </w:t>
      </w:r>
      <w:r>
        <w:rPr/>
        <w:t>minimum</w:t>
      </w:r>
      <w:r>
        <w:rPr>
          <w:spacing w:val="-4"/>
        </w:rPr>
        <w:t> </w:t>
      </w:r>
      <w:r>
        <w:rPr/>
        <w:t>18-month</w:t>
      </w:r>
      <w:r>
        <w:rPr>
          <w:spacing w:val="-4"/>
        </w:rPr>
        <w:t> </w:t>
      </w:r>
      <w:r>
        <w:rPr/>
        <w:t>commitment</w:t>
      </w:r>
      <w:r>
        <w:rPr>
          <w:spacing w:val="-4"/>
        </w:rPr>
        <w:t> </w:t>
      </w:r>
      <w:r>
        <w:rPr/>
        <w:t>(or</w:t>
      </w:r>
      <w:r>
        <w:rPr>
          <w:spacing w:val="-5"/>
        </w:rPr>
        <w:t> </w:t>
      </w:r>
      <w:r>
        <w:rPr/>
        <w:t>equivalent</w:t>
      </w:r>
      <w:r>
        <w:rPr>
          <w:spacing w:val="-4"/>
        </w:rPr>
        <w:t> </w:t>
      </w:r>
      <w:r>
        <w:rPr/>
        <w:t>in</w:t>
      </w:r>
      <w:r>
        <w:rPr>
          <w:spacing w:val="-4"/>
        </w:rPr>
        <w:t> </w:t>
      </w:r>
      <w:r>
        <w:rPr/>
        <w:t>part- time service) as a (1) primary care provider at a community health center; or</w:t>
      </w:r>
    </w:p>
    <w:p>
      <w:pPr>
        <w:pStyle w:val="BodyText"/>
        <w:ind w:left="2040" w:right="1059"/>
      </w:pPr>
      <w:r>
        <w:rPr/>
        <w:t>(2) behavioral health professional or licensed clinical social worker at a community</w:t>
      </w:r>
      <w:r>
        <w:rPr>
          <w:spacing w:val="-9"/>
        </w:rPr>
        <w:t> </w:t>
      </w:r>
      <w:r>
        <w:rPr/>
        <w:t>health</w:t>
      </w:r>
      <w:r>
        <w:rPr>
          <w:spacing w:val="-4"/>
        </w:rPr>
        <w:t> </w:t>
      </w:r>
      <w:r>
        <w:rPr/>
        <w:t>center,</w:t>
      </w:r>
      <w:r>
        <w:rPr>
          <w:spacing w:val="-2"/>
        </w:rPr>
        <w:t> </w:t>
      </w:r>
      <w:r>
        <w:rPr/>
        <w:t>community</w:t>
      </w:r>
      <w:r>
        <w:rPr>
          <w:spacing w:val="-9"/>
        </w:rPr>
        <w:t> </w:t>
      </w:r>
      <w:r>
        <w:rPr/>
        <w:t>mental</w:t>
      </w:r>
      <w:r>
        <w:rPr>
          <w:spacing w:val="-4"/>
        </w:rPr>
        <w:t> </w:t>
      </w:r>
      <w:r>
        <w:rPr/>
        <w:t>health</w:t>
      </w:r>
      <w:r>
        <w:rPr>
          <w:spacing w:val="-4"/>
        </w:rPr>
        <w:t> </w:t>
      </w:r>
      <w:r>
        <w:rPr/>
        <w:t>center,</w:t>
      </w:r>
      <w:r>
        <w:rPr>
          <w:spacing w:val="-4"/>
        </w:rPr>
        <w:t> </w:t>
      </w:r>
      <w:r>
        <w:rPr/>
        <w:t>or</w:t>
      </w:r>
      <w:r>
        <w:rPr>
          <w:spacing w:val="-5"/>
        </w:rPr>
        <w:t> </w:t>
      </w:r>
      <w:r>
        <w:rPr/>
        <w:t>an</w:t>
      </w:r>
      <w:r>
        <w:rPr>
          <w:spacing w:val="-4"/>
        </w:rPr>
        <w:t> </w:t>
      </w:r>
      <w:r>
        <w:rPr/>
        <w:t>Emergency Service Program (ESP).</w:t>
      </w:r>
    </w:p>
    <w:p>
      <w:pPr>
        <w:pStyle w:val="BodyText"/>
        <w:spacing w:before="161"/>
        <w:ind w:left="2040" w:right="1059"/>
      </w:pPr>
      <w:r>
        <w:rPr/>
        <w:drawing>
          <wp:anchor distT="0" distB="0" distL="0" distR="0" allowOverlap="1" layoutInCell="1" locked="0" behindDoc="0" simplePos="0" relativeHeight="15928320">
            <wp:simplePos x="0" y="0"/>
            <wp:positionH relativeFrom="page">
              <wp:posOffset>1819655</wp:posOffset>
            </wp:positionH>
            <wp:positionV relativeFrom="paragraph">
              <wp:posOffset>134786</wp:posOffset>
            </wp:positionV>
            <wp:extent cx="115823" cy="115823"/>
            <wp:effectExtent l="0" t="0" r="0" b="0"/>
            <wp:wrapNone/>
            <wp:docPr id="401" name="Image 401"/>
            <wp:cNvGraphicFramePr>
              <a:graphicFrameLocks/>
            </wp:cNvGraphicFramePr>
            <a:graphic>
              <a:graphicData uri="http://schemas.openxmlformats.org/drawingml/2006/picture">
                <pic:pic>
                  <pic:nvPicPr>
                    <pic:cNvPr id="401" name="Image 401"/>
                    <pic:cNvPicPr/>
                  </pic:nvPicPr>
                  <pic:blipFill>
                    <a:blip r:embed="rId117" cstate="print"/>
                    <a:stretch>
                      <a:fillRect/>
                    </a:stretch>
                  </pic:blipFill>
                  <pic:spPr>
                    <a:xfrm>
                      <a:off x="0" y="0"/>
                      <a:ext cx="115823" cy="115823"/>
                    </a:xfrm>
                    <a:prstGeom prst="rect">
                      <a:avLst/>
                    </a:prstGeom>
                  </pic:spPr>
                </pic:pic>
              </a:graphicData>
            </a:graphic>
          </wp:anchor>
        </w:drawing>
      </w:r>
      <w:bookmarkStart w:name="ii. Primary Care Integration Models and " w:id="627"/>
      <w:bookmarkEnd w:id="627"/>
      <w:r>
        <w:rPr/>
      </w:r>
      <w:r>
        <w:rPr>
          <w:b/>
        </w:rPr>
        <w:t>Primary Care Integration Models and Retention: </w:t>
      </w:r>
      <w:r>
        <w:rPr/>
        <w:t>program that provides support</w:t>
      </w:r>
      <w:r>
        <w:rPr>
          <w:spacing w:val="-3"/>
        </w:rPr>
        <w:t> </w:t>
      </w:r>
      <w:r>
        <w:rPr/>
        <w:t>for</w:t>
      </w:r>
      <w:r>
        <w:rPr>
          <w:spacing w:val="-4"/>
        </w:rPr>
        <w:t> </w:t>
      </w:r>
      <w:r>
        <w:rPr/>
        <w:t>community</w:t>
      </w:r>
      <w:r>
        <w:rPr>
          <w:spacing w:val="-8"/>
        </w:rPr>
        <w:t> </w:t>
      </w:r>
      <w:r>
        <w:rPr/>
        <w:t>health</w:t>
      </w:r>
      <w:r>
        <w:rPr>
          <w:spacing w:val="-3"/>
        </w:rPr>
        <w:t> </w:t>
      </w:r>
      <w:r>
        <w:rPr/>
        <w:t>centers</w:t>
      </w:r>
      <w:r>
        <w:rPr>
          <w:spacing w:val="-3"/>
        </w:rPr>
        <w:t> </w:t>
      </w:r>
      <w:r>
        <w:rPr/>
        <w:t>and</w:t>
      </w:r>
      <w:r>
        <w:rPr>
          <w:spacing w:val="-3"/>
        </w:rPr>
        <w:t> </w:t>
      </w:r>
      <w:r>
        <w:rPr/>
        <w:t>community</w:t>
      </w:r>
      <w:r>
        <w:rPr>
          <w:spacing w:val="-8"/>
        </w:rPr>
        <w:t> </w:t>
      </w:r>
      <w:r>
        <w:rPr/>
        <w:t>mental</w:t>
      </w:r>
      <w:r>
        <w:rPr>
          <w:spacing w:val="-3"/>
        </w:rPr>
        <w:t> </w:t>
      </w:r>
      <w:r>
        <w:rPr/>
        <w:t>health</w:t>
      </w:r>
      <w:r>
        <w:rPr>
          <w:spacing w:val="-3"/>
        </w:rPr>
        <w:t> </w:t>
      </w:r>
      <w:r>
        <w:rPr/>
        <w:t>centers</w:t>
      </w:r>
      <w:r>
        <w:rPr>
          <w:spacing w:val="-3"/>
        </w:rPr>
        <w:t> </w:t>
      </w:r>
      <w:r>
        <w:rPr/>
        <w:t>to allow primary care and behavioral health providers to engage in one-year projects related to accountable care implementation.</w:t>
      </w:r>
    </w:p>
    <w:p>
      <w:pPr>
        <w:spacing w:before="158"/>
        <w:ind w:left="2040" w:right="1141" w:firstLine="0"/>
        <w:jc w:val="left"/>
        <w:rPr>
          <w:sz w:val="24"/>
        </w:rPr>
      </w:pPr>
      <w:r>
        <w:rPr/>
        <w:drawing>
          <wp:anchor distT="0" distB="0" distL="0" distR="0" allowOverlap="1" layoutInCell="1" locked="0" behindDoc="0" simplePos="0" relativeHeight="15928832">
            <wp:simplePos x="0" y="0"/>
            <wp:positionH relativeFrom="page">
              <wp:posOffset>1778507</wp:posOffset>
            </wp:positionH>
            <wp:positionV relativeFrom="paragraph">
              <wp:posOffset>132881</wp:posOffset>
            </wp:positionV>
            <wp:extent cx="158495" cy="115823"/>
            <wp:effectExtent l="0" t="0" r="0" b="0"/>
            <wp:wrapNone/>
            <wp:docPr id="402" name="Image 402"/>
            <wp:cNvGraphicFramePr>
              <a:graphicFrameLocks/>
            </wp:cNvGraphicFramePr>
            <a:graphic>
              <a:graphicData uri="http://schemas.openxmlformats.org/drawingml/2006/picture">
                <pic:pic>
                  <pic:nvPicPr>
                    <pic:cNvPr id="402" name="Image 402"/>
                    <pic:cNvPicPr/>
                  </pic:nvPicPr>
                  <pic:blipFill>
                    <a:blip r:embed="rId132" cstate="print"/>
                    <a:stretch>
                      <a:fillRect/>
                    </a:stretch>
                  </pic:blipFill>
                  <pic:spPr>
                    <a:xfrm>
                      <a:off x="0" y="0"/>
                      <a:ext cx="158495" cy="115823"/>
                    </a:xfrm>
                    <a:prstGeom prst="rect">
                      <a:avLst/>
                    </a:prstGeom>
                  </pic:spPr>
                </pic:pic>
              </a:graphicData>
            </a:graphic>
          </wp:anchor>
        </w:drawing>
      </w:r>
      <w:bookmarkStart w:name="iii. Investment in Primary Care Residenc" w:id="628"/>
      <w:bookmarkEnd w:id="628"/>
      <w:r>
        <w:rPr/>
      </w:r>
      <w:r>
        <w:rPr>
          <w:b/>
          <w:sz w:val="24"/>
        </w:rPr>
        <w:t>Investment</w:t>
      </w:r>
      <w:r>
        <w:rPr>
          <w:b/>
          <w:spacing w:val="-6"/>
          <w:sz w:val="24"/>
        </w:rPr>
        <w:t> </w:t>
      </w:r>
      <w:r>
        <w:rPr>
          <w:b/>
          <w:sz w:val="24"/>
        </w:rPr>
        <w:t>in</w:t>
      </w:r>
      <w:r>
        <w:rPr>
          <w:b/>
          <w:spacing w:val="-5"/>
          <w:sz w:val="24"/>
        </w:rPr>
        <w:t> </w:t>
      </w:r>
      <w:r>
        <w:rPr>
          <w:b/>
          <w:sz w:val="24"/>
        </w:rPr>
        <w:t>Primary</w:t>
      </w:r>
      <w:r>
        <w:rPr>
          <w:b/>
          <w:spacing w:val="-3"/>
          <w:sz w:val="24"/>
        </w:rPr>
        <w:t> </w:t>
      </w:r>
      <w:r>
        <w:rPr>
          <w:b/>
          <w:sz w:val="24"/>
        </w:rPr>
        <w:t>Care</w:t>
      </w:r>
      <w:r>
        <w:rPr>
          <w:b/>
          <w:spacing w:val="-6"/>
          <w:sz w:val="24"/>
        </w:rPr>
        <w:t> </w:t>
      </w:r>
      <w:r>
        <w:rPr>
          <w:b/>
          <w:sz w:val="24"/>
        </w:rPr>
        <w:t>Residency</w:t>
      </w:r>
      <w:r>
        <w:rPr>
          <w:b/>
          <w:spacing w:val="-5"/>
          <w:sz w:val="24"/>
        </w:rPr>
        <w:t> </w:t>
      </w:r>
      <w:r>
        <w:rPr>
          <w:b/>
          <w:sz w:val="24"/>
        </w:rPr>
        <w:t>Training:</w:t>
      </w:r>
      <w:r>
        <w:rPr>
          <w:b/>
          <w:spacing w:val="-6"/>
          <w:sz w:val="24"/>
        </w:rPr>
        <w:t> </w:t>
      </w:r>
      <w:r>
        <w:rPr>
          <w:sz w:val="24"/>
        </w:rPr>
        <w:t>program</w:t>
      </w:r>
      <w:r>
        <w:rPr>
          <w:spacing w:val="-5"/>
          <w:sz w:val="24"/>
        </w:rPr>
        <w:t> </w:t>
      </w:r>
      <w:r>
        <w:rPr>
          <w:sz w:val="24"/>
        </w:rPr>
        <w:t>to</w:t>
      </w:r>
      <w:r>
        <w:rPr>
          <w:spacing w:val="-5"/>
          <w:sz w:val="24"/>
        </w:rPr>
        <w:t> </w:t>
      </w:r>
      <w:r>
        <w:rPr>
          <w:sz w:val="24"/>
        </w:rPr>
        <w:t>help</w:t>
      </w:r>
      <w:r>
        <w:rPr>
          <w:spacing w:val="-5"/>
          <w:sz w:val="24"/>
        </w:rPr>
        <w:t> </w:t>
      </w:r>
      <w:r>
        <w:rPr>
          <w:sz w:val="24"/>
        </w:rPr>
        <w:t>offset the costs of community health center residency slots for both community health centers and hospitals.</w:t>
      </w:r>
    </w:p>
    <w:p>
      <w:pPr>
        <w:spacing w:before="161"/>
        <w:ind w:left="2040" w:right="1059" w:firstLine="0"/>
        <w:jc w:val="left"/>
        <w:rPr>
          <w:sz w:val="24"/>
        </w:rPr>
      </w:pPr>
      <w:r>
        <w:rPr/>
        <w:drawing>
          <wp:anchor distT="0" distB="0" distL="0" distR="0" allowOverlap="1" layoutInCell="1" locked="0" behindDoc="0" simplePos="0" relativeHeight="15929344">
            <wp:simplePos x="0" y="0"/>
            <wp:positionH relativeFrom="page">
              <wp:posOffset>1786127</wp:posOffset>
            </wp:positionH>
            <wp:positionV relativeFrom="paragraph">
              <wp:posOffset>134786</wp:posOffset>
            </wp:positionV>
            <wp:extent cx="149339" cy="115823"/>
            <wp:effectExtent l="0" t="0" r="0" b="0"/>
            <wp:wrapNone/>
            <wp:docPr id="403" name="Image 403"/>
            <wp:cNvGraphicFramePr>
              <a:graphicFrameLocks/>
            </wp:cNvGraphicFramePr>
            <a:graphic>
              <a:graphicData uri="http://schemas.openxmlformats.org/drawingml/2006/picture">
                <pic:pic>
                  <pic:nvPicPr>
                    <pic:cNvPr id="403" name="Image 403"/>
                    <pic:cNvPicPr/>
                  </pic:nvPicPr>
                  <pic:blipFill>
                    <a:blip r:embed="rId96" cstate="print"/>
                    <a:stretch>
                      <a:fillRect/>
                    </a:stretch>
                  </pic:blipFill>
                  <pic:spPr>
                    <a:xfrm>
                      <a:off x="0" y="0"/>
                      <a:ext cx="149339" cy="115823"/>
                    </a:xfrm>
                    <a:prstGeom prst="rect">
                      <a:avLst/>
                    </a:prstGeom>
                  </pic:spPr>
                </pic:pic>
              </a:graphicData>
            </a:graphic>
          </wp:anchor>
        </w:drawing>
      </w:r>
      <w:bookmarkStart w:name="iv. Workforce Development Grant Program:" w:id="629"/>
      <w:bookmarkEnd w:id="629"/>
      <w:r>
        <w:rPr/>
      </w:r>
      <w:r>
        <w:rPr>
          <w:b/>
          <w:sz w:val="24"/>
        </w:rPr>
        <w:t>Workforce</w:t>
      </w:r>
      <w:r>
        <w:rPr>
          <w:b/>
          <w:spacing w:val="-6"/>
          <w:sz w:val="24"/>
        </w:rPr>
        <w:t> </w:t>
      </w:r>
      <w:r>
        <w:rPr>
          <w:b/>
          <w:sz w:val="24"/>
        </w:rPr>
        <w:t>Development</w:t>
      </w:r>
      <w:r>
        <w:rPr>
          <w:b/>
          <w:spacing w:val="-6"/>
          <w:sz w:val="24"/>
        </w:rPr>
        <w:t> </w:t>
      </w:r>
      <w:r>
        <w:rPr>
          <w:b/>
          <w:sz w:val="24"/>
        </w:rPr>
        <w:t>Grant</w:t>
      </w:r>
      <w:r>
        <w:rPr>
          <w:b/>
          <w:spacing w:val="-4"/>
          <w:sz w:val="24"/>
        </w:rPr>
        <w:t> </w:t>
      </w:r>
      <w:r>
        <w:rPr>
          <w:b/>
          <w:sz w:val="24"/>
        </w:rPr>
        <w:t>Program:</w:t>
      </w:r>
      <w:r>
        <w:rPr>
          <w:b/>
          <w:spacing w:val="-6"/>
          <w:sz w:val="24"/>
        </w:rPr>
        <w:t> </w:t>
      </w:r>
      <w:r>
        <w:rPr>
          <w:sz w:val="24"/>
        </w:rPr>
        <w:t>program</w:t>
      </w:r>
      <w:r>
        <w:rPr>
          <w:spacing w:val="-5"/>
          <w:sz w:val="24"/>
        </w:rPr>
        <w:t> </w:t>
      </w:r>
      <w:r>
        <w:rPr>
          <w:sz w:val="24"/>
        </w:rPr>
        <w:t>to</w:t>
      </w:r>
      <w:r>
        <w:rPr>
          <w:spacing w:val="-5"/>
          <w:sz w:val="24"/>
        </w:rPr>
        <w:t> </w:t>
      </w:r>
      <w:r>
        <w:rPr>
          <w:sz w:val="24"/>
        </w:rPr>
        <w:t>support</w:t>
      </w:r>
      <w:r>
        <w:rPr>
          <w:spacing w:val="-5"/>
          <w:sz w:val="24"/>
        </w:rPr>
        <w:t> </w:t>
      </w:r>
      <w:r>
        <w:rPr>
          <w:sz w:val="24"/>
        </w:rPr>
        <w:t>health</w:t>
      </w:r>
      <w:r>
        <w:rPr>
          <w:spacing w:val="-5"/>
          <w:sz w:val="24"/>
        </w:rPr>
        <w:t> </w:t>
      </w:r>
      <w:r>
        <w:rPr>
          <w:sz w:val="24"/>
        </w:rPr>
        <w:t>care workforce development and training to more effectively operate in a new health care system</w:t>
      </w:r>
    </w:p>
    <w:p>
      <w:pPr>
        <w:pStyle w:val="BodyText"/>
        <w:spacing w:before="161"/>
        <w:ind w:left="2039" w:right="1059"/>
      </w:pPr>
      <w:r>
        <w:rPr/>
        <w:drawing>
          <wp:anchor distT="0" distB="0" distL="0" distR="0" allowOverlap="1" layoutInCell="1" locked="0" behindDoc="0" simplePos="0" relativeHeight="15929856">
            <wp:simplePos x="0" y="0"/>
            <wp:positionH relativeFrom="page">
              <wp:posOffset>1825751</wp:posOffset>
            </wp:positionH>
            <wp:positionV relativeFrom="paragraph">
              <wp:posOffset>172886</wp:posOffset>
            </wp:positionV>
            <wp:extent cx="109727" cy="77723"/>
            <wp:effectExtent l="0" t="0" r="0" b="0"/>
            <wp:wrapNone/>
            <wp:docPr id="404" name="Image 404"/>
            <wp:cNvGraphicFramePr>
              <a:graphicFrameLocks/>
            </wp:cNvGraphicFramePr>
            <a:graphic>
              <a:graphicData uri="http://schemas.openxmlformats.org/drawingml/2006/picture">
                <pic:pic>
                  <pic:nvPicPr>
                    <pic:cNvPr id="404" name="Image 404"/>
                    <pic:cNvPicPr/>
                  </pic:nvPicPr>
                  <pic:blipFill>
                    <a:blip r:embed="rId67" cstate="print"/>
                    <a:stretch>
                      <a:fillRect/>
                    </a:stretch>
                  </pic:blipFill>
                  <pic:spPr>
                    <a:xfrm>
                      <a:off x="0" y="0"/>
                      <a:ext cx="109727" cy="77723"/>
                    </a:xfrm>
                    <a:prstGeom prst="rect">
                      <a:avLst/>
                    </a:prstGeom>
                  </pic:spPr>
                </pic:pic>
              </a:graphicData>
            </a:graphic>
          </wp:anchor>
        </w:drawing>
      </w:r>
      <w:bookmarkStart w:name="v. Technical Assistance: program to prov" w:id="630"/>
      <w:bookmarkEnd w:id="630"/>
      <w:r>
        <w:rPr/>
      </w:r>
      <w:r>
        <w:rPr>
          <w:b/>
        </w:rPr>
        <w:t>Technical</w:t>
      </w:r>
      <w:r>
        <w:rPr>
          <w:b/>
          <w:spacing w:val="-5"/>
        </w:rPr>
        <w:t> </w:t>
      </w:r>
      <w:r>
        <w:rPr>
          <w:b/>
        </w:rPr>
        <w:t>Assistance:</w:t>
      </w:r>
      <w:r>
        <w:rPr>
          <w:b/>
          <w:spacing w:val="-5"/>
        </w:rPr>
        <w:t> </w:t>
      </w:r>
      <w:r>
        <w:rPr/>
        <w:t>program</w:t>
      </w:r>
      <w:r>
        <w:rPr>
          <w:spacing w:val="-5"/>
        </w:rPr>
        <w:t> </w:t>
      </w:r>
      <w:r>
        <w:rPr/>
        <w:t>to</w:t>
      </w:r>
      <w:r>
        <w:rPr>
          <w:spacing w:val="-5"/>
        </w:rPr>
        <w:t> </w:t>
      </w:r>
      <w:r>
        <w:rPr/>
        <w:t>provide</w:t>
      </w:r>
      <w:r>
        <w:rPr>
          <w:spacing w:val="-5"/>
        </w:rPr>
        <w:t> </w:t>
      </w:r>
      <w:r>
        <w:rPr/>
        <w:t>technical</w:t>
      </w:r>
      <w:r>
        <w:rPr>
          <w:spacing w:val="-5"/>
        </w:rPr>
        <w:t> </w:t>
      </w:r>
      <w:r>
        <w:rPr/>
        <w:t>assistance</w:t>
      </w:r>
      <w:r>
        <w:rPr>
          <w:spacing w:val="-5"/>
        </w:rPr>
        <w:t> </w:t>
      </w:r>
      <w:r>
        <w:rPr/>
        <w:t>to</w:t>
      </w:r>
      <w:r>
        <w:rPr>
          <w:spacing w:val="-5"/>
        </w:rPr>
        <w:t> </w:t>
      </w:r>
      <w:r>
        <w:rPr/>
        <w:t>ACOs,</w:t>
      </w:r>
      <w:r>
        <w:rPr>
          <w:spacing w:val="-3"/>
        </w:rPr>
        <w:t> </w:t>
      </w:r>
      <w:r>
        <w:rPr/>
        <w:t>CPs, or their contracted social service organizations as they participate in payment and care delivery reform.</w:t>
      </w:r>
    </w:p>
    <w:p>
      <w:pPr>
        <w:spacing w:before="158"/>
        <w:ind w:left="2040" w:right="1059" w:firstLine="0"/>
        <w:jc w:val="left"/>
        <w:rPr>
          <w:sz w:val="24"/>
        </w:rPr>
      </w:pPr>
      <w:r>
        <w:rPr/>
        <w:drawing>
          <wp:anchor distT="0" distB="0" distL="0" distR="0" allowOverlap="1" layoutInCell="1" locked="0" behindDoc="0" simplePos="0" relativeHeight="15930368">
            <wp:simplePos x="0" y="0"/>
            <wp:positionH relativeFrom="page">
              <wp:posOffset>1783079</wp:posOffset>
            </wp:positionH>
            <wp:positionV relativeFrom="paragraph">
              <wp:posOffset>132881</wp:posOffset>
            </wp:positionV>
            <wp:extent cx="152399" cy="115823"/>
            <wp:effectExtent l="0" t="0" r="0" b="0"/>
            <wp:wrapNone/>
            <wp:docPr id="405" name="Image 405"/>
            <wp:cNvGraphicFramePr>
              <a:graphicFrameLocks/>
            </wp:cNvGraphicFramePr>
            <a:graphic>
              <a:graphicData uri="http://schemas.openxmlformats.org/drawingml/2006/picture">
                <pic:pic>
                  <pic:nvPicPr>
                    <pic:cNvPr id="405" name="Image 405"/>
                    <pic:cNvPicPr/>
                  </pic:nvPicPr>
                  <pic:blipFill>
                    <a:blip r:embed="rId98" cstate="print"/>
                    <a:stretch>
                      <a:fillRect/>
                    </a:stretch>
                  </pic:blipFill>
                  <pic:spPr>
                    <a:xfrm>
                      <a:off x="0" y="0"/>
                      <a:ext cx="152399" cy="115823"/>
                    </a:xfrm>
                    <a:prstGeom prst="rect">
                      <a:avLst/>
                    </a:prstGeom>
                  </pic:spPr>
                </pic:pic>
              </a:graphicData>
            </a:graphic>
          </wp:anchor>
        </w:drawing>
      </w:r>
      <w:bookmarkStart w:name="vi. Alternative Payment Methods (APM) Pr" w:id="631"/>
      <w:bookmarkEnd w:id="631"/>
      <w:r>
        <w:rPr/>
      </w:r>
      <w:r>
        <w:rPr>
          <w:b/>
          <w:sz w:val="24"/>
        </w:rPr>
        <w:t>Alternative Payment Methods (APM) Preparation Fund: </w:t>
      </w:r>
      <w:r>
        <w:rPr>
          <w:sz w:val="24"/>
        </w:rPr>
        <w:t>program to support</w:t>
      </w:r>
      <w:r>
        <w:rPr>
          <w:spacing w:val="-3"/>
          <w:sz w:val="24"/>
        </w:rPr>
        <w:t> </w:t>
      </w:r>
      <w:r>
        <w:rPr>
          <w:sz w:val="24"/>
        </w:rPr>
        <w:t>providers</w:t>
      </w:r>
      <w:r>
        <w:rPr>
          <w:spacing w:val="-3"/>
          <w:sz w:val="24"/>
        </w:rPr>
        <w:t> </w:t>
      </w:r>
      <w:r>
        <w:rPr>
          <w:sz w:val="24"/>
        </w:rPr>
        <w:t>that</w:t>
      </w:r>
      <w:r>
        <w:rPr>
          <w:spacing w:val="-3"/>
          <w:sz w:val="24"/>
        </w:rPr>
        <w:t> </w:t>
      </w:r>
      <w:r>
        <w:rPr>
          <w:sz w:val="24"/>
        </w:rPr>
        <w:t>are</w:t>
      </w:r>
      <w:r>
        <w:rPr>
          <w:spacing w:val="-4"/>
          <w:sz w:val="24"/>
        </w:rPr>
        <w:t> </w:t>
      </w:r>
      <w:r>
        <w:rPr>
          <w:sz w:val="24"/>
        </w:rPr>
        <w:t>not</w:t>
      </w:r>
      <w:r>
        <w:rPr>
          <w:spacing w:val="-1"/>
          <w:sz w:val="24"/>
        </w:rPr>
        <w:t> </w:t>
      </w:r>
      <w:r>
        <w:rPr>
          <w:sz w:val="24"/>
        </w:rPr>
        <w:t>yet</w:t>
      </w:r>
      <w:r>
        <w:rPr>
          <w:spacing w:val="-1"/>
          <w:sz w:val="24"/>
        </w:rPr>
        <w:t> </w:t>
      </w:r>
      <w:r>
        <w:rPr>
          <w:sz w:val="24"/>
        </w:rPr>
        <w:t>ready</w:t>
      </w:r>
      <w:r>
        <w:rPr>
          <w:spacing w:val="-8"/>
          <w:sz w:val="24"/>
        </w:rPr>
        <w:t> </w:t>
      </w:r>
      <w:r>
        <w:rPr>
          <w:sz w:val="24"/>
        </w:rPr>
        <w:t>to</w:t>
      </w:r>
      <w:r>
        <w:rPr>
          <w:spacing w:val="-3"/>
          <w:sz w:val="24"/>
        </w:rPr>
        <w:t> </w:t>
      </w:r>
      <w:r>
        <w:rPr>
          <w:sz w:val="24"/>
        </w:rPr>
        <w:t>participate</w:t>
      </w:r>
      <w:r>
        <w:rPr>
          <w:spacing w:val="-4"/>
          <w:sz w:val="24"/>
        </w:rPr>
        <w:t> </w:t>
      </w:r>
      <w:r>
        <w:rPr>
          <w:sz w:val="24"/>
        </w:rPr>
        <w:t>in</w:t>
      </w:r>
      <w:r>
        <w:rPr>
          <w:spacing w:val="-3"/>
          <w:sz w:val="24"/>
        </w:rPr>
        <w:t> </w:t>
      </w:r>
      <w:r>
        <w:rPr>
          <w:sz w:val="24"/>
        </w:rPr>
        <w:t>an</w:t>
      </w:r>
      <w:r>
        <w:rPr>
          <w:spacing w:val="-3"/>
          <w:sz w:val="24"/>
        </w:rPr>
        <w:t> </w:t>
      </w:r>
      <w:r>
        <w:rPr>
          <w:sz w:val="24"/>
        </w:rPr>
        <w:t>ACO,</w:t>
      </w:r>
      <w:r>
        <w:rPr>
          <w:spacing w:val="-3"/>
          <w:sz w:val="24"/>
        </w:rPr>
        <w:t> </w:t>
      </w:r>
      <w:r>
        <w:rPr>
          <w:sz w:val="24"/>
        </w:rPr>
        <w:t>but</w:t>
      </w:r>
      <w:r>
        <w:rPr>
          <w:spacing w:val="-3"/>
          <w:sz w:val="24"/>
        </w:rPr>
        <w:t> </w:t>
      </w:r>
      <w:r>
        <w:rPr>
          <w:sz w:val="24"/>
        </w:rPr>
        <w:t>want</w:t>
      </w:r>
      <w:r>
        <w:rPr>
          <w:spacing w:val="-1"/>
          <w:sz w:val="24"/>
        </w:rPr>
        <w:t> </w:t>
      </w:r>
      <w:r>
        <w:rPr>
          <w:sz w:val="24"/>
        </w:rPr>
        <w:t>to take steps towards APM adoption.</w:t>
      </w:r>
    </w:p>
    <w:p>
      <w:pPr>
        <w:pStyle w:val="BodyText"/>
        <w:spacing w:before="161"/>
        <w:ind w:left="2040" w:right="1212"/>
        <w:jc w:val="both"/>
      </w:pPr>
      <w:r>
        <w:rPr/>
        <w:drawing>
          <wp:anchor distT="0" distB="0" distL="0" distR="0" allowOverlap="1" layoutInCell="1" locked="0" behindDoc="0" simplePos="0" relativeHeight="15930880">
            <wp:simplePos x="0" y="0"/>
            <wp:positionH relativeFrom="page">
              <wp:posOffset>1740407</wp:posOffset>
            </wp:positionH>
            <wp:positionV relativeFrom="paragraph">
              <wp:posOffset>134786</wp:posOffset>
            </wp:positionV>
            <wp:extent cx="195059" cy="115823"/>
            <wp:effectExtent l="0" t="0" r="0" b="0"/>
            <wp:wrapNone/>
            <wp:docPr id="406" name="Image 406"/>
            <wp:cNvGraphicFramePr>
              <a:graphicFrameLocks/>
            </wp:cNvGraphicFramePr>
            <a:graphic>
              <a:graphicData uri="http://schemas.openxmlformats.org/drawingml/2006/picture">
                <pic:pic>
                  <pic:nvPicPr>
                    <pic:cNvPr id="406" name="Image 406"/>
                    <pic:cNvPicPr/>
                  </pic:nvPicPr>
                  <pic:blipFill>
                    <a:blip r:embed="rId128" cstate="print"/>
                    <a:stretch>
                      <a:fillRect/>
                    </a:stretch>
                  </pic:blipFill>
                  <pic:spPr>
                    <a:xfrm>
                      <a:off x="0" y="0"/>
                      <a:ext cx="195059" cy="115823"/>
                    </a:xfrm>
                    <a:prstGeom prst="rect">
                      <a:avLst/>
                    </a:prstGeom>
                  </pic:spPr>
                </pic:pic>
              </a:graphicData>
            </a:graphic>
          </wp:anchor>
        </w:drawing>
      </w:r>
      <w:bookmarkStart w:name="vii. Enhanced Diversionary Behavioral He" w:id="632"/>
      <w:bookmarkEnd w:id="632"/>
      <w:r>
        <w:rPr/>
      </w:r>
      <w:r>
        <w:rPr>
          <w:b/>
        </w:rPr>
        <w:t>Enhanced</w:t>
      </w:r>
      <w:r>
        <w:rPr>
          <w:b/>
          <w:spacing w:val="-1"/>
        </w:rPr>
        <w:t> </w:t>
      </w:r>
      <w:r>
        <w:rPr>
          <w:b/>
        </w:rPr>
        <w:t>Diversionary</w:t>
      </w:r>
      <w:r>
        <w:rPr>
          <w:b/>
          <w:spacing w:val="-4"/>
        </w:rPr>
        <w:t> </w:t>
      </w:r>
      <w:r>
        <w:rPr>
          <w:b/>
        </w:rPr>
        <w:t>Behavioral</w:t>
      </w:r>
      <w:r>
        <w:rPr>
          <w:b/>
          <w:spacing w:val="-1"/>
        </w:rPr>
        <w:t> </w:t>
      </w:r>
      <w:r>
        <w:rPr>
          <w:b/>
        </w:rPr>
        <w:t>Health</w:t>
      </w:r>
      <w:r>
        <w:rPr>
          <w:b/>
          <w:spacing w:val="-1"/>
        </w:rPr>
        <w:t> </w:t>
      </w:r>
      <w:r>
        <w:rPr>
          <w:b/>
        </w:rPr>
        <w:t>Activities:</w:t>
      </w:r>
      <w:r>
        <w:rPr>
          <w:b/>
          <w:spacing w:val="-2"/>
        </w:rPr>
        <w:t> </w:t>
      </w:r>
      <w:r>
        <w:rPr/>
        <w:t>program</w:t>
      </w:r>
      <w:r>
        <w:rPr>
          <w:spacing w:val="-1"/>
        </w:rPr>
        <w:t> </w:t>
      </w:r>
      <w:r>
        <w:rPr/>
        <w:t>to</w:t>
      </w:r>
      <w:r>
        <w:rPr>
          <w:spacing w:val="-1"/>
        </w:rPr>
        <w:t> </w:t>
      </w:r>
      <w:r>
        <w:rPr/>
        <w:t>support investment in new or enhanced diversionary</w:t>
      </w:r>
      <w:r>
        <w:rPr>
          <w:spacing w:val="-2"/>
        </w:rPr>
        <w:t> </w:t>
      </w:r>
      <w:r>
        <w:rPr/>
        <w:t>levels of care that will meet the needs</w:t>
      </w:r>
      <w:r>
        <w:rPr>
          <w:spacing w:val="-3"/>
        </w:rPr>
        <w:t> </w:t>
      </w:r>
      <w:r>
        <w:rPr/>
        <w:t>of</w:t>
      </w:r>
      <w:r>
        <w:rPr>
          <w:spacing w:val="-4"/>
        </w:rPr>
        <w:t> </w:t>
      </w:r>
      <w:r>
        <w:rPr/>
        <w:t>patients</w:t>
      </w:r>
      <w:r>
        <w:rPr>
          <w:spacing w:val="-3"/>
        </w:rPr>
        <w:t> </w:t>
      </w:r>
      <w:r>
        <w:rPr/>
        <w:t>with</w:t>
      </w:r>
      <w:r>
        <w:rPr>
          <w:spacing w:val="-3"/>
        </w:rPr>
        <w:t> </w:t>
      </w:r>
      <w:r>
        <w:rPr/>
        <w:t>behavioral</w:t>
      </w:r>
      <w:r>
        <w:rPr>
          <w:spacing w:val="-3"/>
        </w:rPr>
        <w:t> </w:t>
      </w:r>
      <w:r>
        <w:rPr/>
        <w:t>health</w:t>
      </w:r>
      <w:r>
        <w:rPr>
          <w:spacing w:val="-3"/>
        </w:rPr>
        <w:t> </w:t>
      </w:r>
      <w:r>
        <w:rPr/>
        <w:t>needs</w:t>
      </w:r>
      <w:r>
        <w:rPr>
          <w:spacing w:val="-3"/>
        </w:rPr>
        <w:t> </w:t>
      </w:r>
      <w:r>
        <w:rPr/>
        <w:t>at</w:t>
      </w:r>
      <w:r>
        <w:rPr>
          <w:spacing w:val="-3"/>
        </w:rPr>
        <w:t> </w:t>
      </w:r>
      <w:r>
        <w:rPr/>
        <w:t>risk</w:t>
      </w:r>
      <w:r>
        <w:rPr>
          <w:spacing w:val="-3"/>
        </w:rPr>
        <w:t> </w:t>
      </w:r>
      <w:r>
        <w:rPr/>
        <w:t>for</w:t>
      </w:r>
      <w:r>
        <w:rPr>
          <w:spacing w:val="-4"/>
        </w:rPr>
        <w:t> </w:t>
      </w:r>
      <w:r>
        <w:rPr/>
        <w:t>ED</w:t>
      </w:r>
      <w:r>
        <w:rPr>
          <w:spacing w:val="-4"/>
        </w:rPr>
        <w:t> </w:t>
      </w:r>
      <w:r>
        <w:rPr/>
        <w:t>boarding</w:t>
      </w:r>
      <w:r>
        <w:rPr>
          <w:spacing w:val="-6"/>
        </w:rPr>
        <w:t> </w:t>
      </w:r>
      <w:r>
        <w:rPr/>
        <w:t>within the least restrictive, most clinically appropriate settings.</w:t>
      </w:r>
    </w:p>
    <w:p>
      <w:pPr>
        <w:spacing w:before="159"/>
        <w:ind w:left="2040" w:right="1141" w:firstLine="0"/>
        <w:jc w:val="left"/>
        <w:rPr>
          <w:sz w:val="24"/>
        </w:rPr>
      </w:pPr>
      <w:r>
        <w:rPr/>
        <w:drawing>
          <wp:anchor distT="0" distB="0" distL="0" distR="0" allowOverlap="1" layoutInCell="1" locked="0" behindDoc="0" simplePos="0" relativeHeight="15931392">
            <wp:simplePos x="0" y="0"/>
            <wp:positionH relativeFrom="page">
              <wp:posOffset>1699260</wp:posOffset>
            </wp:positionH>
            <wp:positionV relativeFrom="paragraph">
              <wp:posOffset>133516</wp:posOffset>
            </wp:positionV>
            <wp:extent cx="237743" cy="115823"/>
            <wp:effectExtent l="0" t="0" r="0" b="0"/>
            <wp:wrapNone/>
            <wp:docPr id="407" name="Image 407"/>
            <wp:cNvGraphicFramePr>
              <a:graphicFrameLocks/>
            </wp:cNvGraphicFramePr>
            <a:graphic>
              <a:graphicData uri="http://schemas.openxmlformats.org/drawingml/2006/picture">
                <pic:pic>
                  <pic:nvPicPr>
                    <pic:cNvPr id="407" name="Image 407"/>
                    <pic:cNvPicPr/>
                  </pic:nvPicPr>
                  <pic:blipFill>
                    <a:blip r:embed="rId165" cstate="print"/>
                    <a:stretch>
                      <a:fillRect/>
                    </a:stretch>
                  </pic:blipFill>
                  <pic:spPr>
                    <a:xfrm>
                      <a:off x="0" y="0"/>
                      <a:ext cx="237743" cy="115823"/>
                    </a:xfrm>
                    <a:prstGeom prst="rect">
                      <a:avLst/>
                    </a:prstGeom>
                  </pic:spPr>
                </pic:pic>
              </a:graphicData>
            </a:graphic>
          </wp:anchor>
        </w:drawing>
      </w:r>
      <w:bookmarkStart w:name="viii. Improved accessibility for people " w:id="633"/>
      <w:bookmarkEnd w:id="633"/>
      <w:r>
        <w:rPr/>
      </w:r>
      <w:r>
        <w:rPr>
          <w:b/>
          <w:sz w:val="24"/>
        </w:rPr>
        <w:t>Improved</w:t>
      </w:r>
      <w:r>
        <w:rPr>
          <w:b/>
          <w:spacing w:val="-3"/>
          <w:sz w:val="24"/>
        </w:rPr>
        <w:t> </w:t>
      </w:r>
      <w:r>
        <w:rPr>
          <w:b/>
          <w:sz w:val="24"/>
        </w:rPr>
        <w:t>accessibility</w:t>
      </w:r>
      <w:r>
        <w:rPr>
          <w:b/>
          <w:spacing w:val="-3"/>
          <w:sz w:val="24"/>
        </w:rPr>
        <w:t> </w:t>
      </w:r>
      <w:r>
        <w:rPr>
          <w:b/>
          <w:sz w:val="24"/>
        </w:rPr>
        <w:t>for</w:t>
      </w:r>
      <w:r>
        <w:rPr>
          <w:b/>
          <w:spacing w:val="-4"/>
          <w:sz w:val="24"/>
        </w:rPr>
        <w:t> </w:t>
      </w:r>
      <w:r>
        <w:rPr>
          <w:b/>
          <w:sz w:val="24"/>
        </w:rPr>
        <w:t>people</w:t>
      </w:r>
      <w:r>
        <w:rPr>
          <w:b/>
          <w:spacing w:val="-4"/>
          <w:sz w:val="24"/>
        </w:rPr>
        <w:t> </w:t>
      </w:r>
      <w:r>
        <w:rPr>
          <w:b/>
          <w:sz w:val="24"/>
        </w:rPr>
        <w:t>with</w:t>
      </w:r>
      <w:r>
        <w:rPr>
          <w:b/>
          <w:spacing w:val="-3"/>
          <w:sz w:val="24"/>
        </w:rPr>
        <w:t> </w:t>
      </w:r>
      <w:r>
        <w:rPr>
          <w:b/>
          <w:sz w:val="24"/>
        </w:rPr>
        <w:t>disabilities</w:t>
      </w:r>
      <w:r>
        <w:rPr>
          <w:b/>
          <w:spacing w:val="-3"/>
          <w:sz w:val="24"/>
        </w:rPr>
        <w:t> </w:t>
      </w:r>
      <w:r>
        <w:rPr>
          <w:b/>
          <w:sz w:val="24"/>
        </w:rPr>
        <w:t>and</w:t>
      </w:r>
      <w:r>
        <w:rPr>
          <w:b/>
          <w:spacing w:val="-3"/>
          <w:sz w:val="24"/>
        </w:rPr>
        <w:t> </w:t>
      </w:r>
      <w:r>
        <w:rPr>
          <w:b/>
          <w:sz w:val="24"/>
        </w:rPr>
        <w:t>for</w:t>
      </w:r>
      <w:r>
        <w:rPr>
          <w:b/>
          <w:spacing w:val="-7"/>
          <w:sz w:val="24"/>
        </w:rPr>
        <w:t> </w:t>
      </w:r>
      <w:r>
        <w:rPr>
          <w:b/>
          <w:sz w:val="24"/>
        </w:rPr>
        <w:t>whom</w:t>
      </w:r>
      <w:r>
        <w:rPr>
          <w:b/>
          <w:spacing w:val="-7"/>
          <w:sz w:val="24"/>
        </w:rPr>
        <w:t> </w:t>
      </w:r>
      <w:r>
        <w:rPr>
          <w:b/>
          <w:sz w:val="24"/>
        </w:rPr>
        <w:t>English is a Second Language: </w:t>
      </w:r>
      <w:r>
        <w:rPr>
          <w:sz w:val="24"/>
        </w:rPr>
        <w:t>programs to assist providers in delivering necessary equipment and expertise to meet the needs of person with disabilities and those for whom English is not their primary language.</w:t>
      </w:r>
    </w:p>
    <w:p>
      <w:pPr>
        <w:spacing w:before="161"/>
        <w:ind w:left="2040" w:right="1041" w:firstLine="0"/>
        <w:jc w:val="left"/>
        <w:rPr>
          <w:sz w:val="24"/>
        </w:rPr>
      </w:pPr>
      <w:r>
        <w:rPr/>
        <w:drawing>
          <wp:anchor distT="0" distB="0" distL="0" distR="0" allowOverlap="1" layoutInCell="1" locked="0" behindDoc="0" simplePos="0" relativeHeight="15931904">
            <wp:simplePos x="0" y="0"/>
            <wp:positionH relativeFrom="page">
              <wp:posOffset>1786127</wp:posOffset>
            </wp:positionH>
            <wp:positionV relativeFrom="paragraph">
              <wp:posOffset>134786</wp:posOffset>
            </wp:positionV>
            <wp:extent cx="150875" cy="115823"/>
            <wp:effectExtent l="0" t="0" r="0" b="0"/>
            <wp:wrapNone/>
            <wp:docPr id="408" name="Image 408"/>
            <wp:cNvGraphicFramePr>
              <a:graphicFrameLocks/>
            </wp:cNvGraphicFramePr>
            <a:graphic>
              <a:graphicData uri="http://schemas.openxmlformats.org/drawingml/2006/picture">
                <pic:pic>
                  <pic:nvPicPr>
                    <pic:cNvPr id="408" name="Image 408"/>
                    <pic:cNvPicPr/>
                  </pic:nvPicPr>
                  <pic:blipFill>
                    <a:blip r:embed="rId130" cstate="print"/>
                    <a:stretch>
                      <a:fillRect/>
                    </a:stretch>
                  </pic:blipFill>
                  <pic:spPr>
                    <a:xfrm>
                      <a:off x="0" y="0"/>
                      <a:ext cx="150875" cy="115823"/>
                    </a:xfrm>
                    <a:prstGeom prst="rect">
                      <a:avLst/>
                    </a:prstGeom>
                  </pic:spPr>
                </pic:pic>
              </a:graphicData>
            </a:graphic>
          </wp:anchor>
        </w:drawing>
      </w:r>
      <w:bookmarkStart w:name="ix. Information Domains for Each Statewi" w:id="634"/>
      <w:bookmarkEnd w:id="634"/>
      <w:r>
        <w:rPr/>
      </w:r>
      <w:r>
        <w:rPr>
          <w:b/>
          <w:sz w:val="24"/>
        </w:rPr>
        <w:t>Information</w:t>
      </w:r>
      <w:r>
        <w:rPr>
          <w:b/>
          <w:spacing w:val="-5"/>
          <w:sz w:val="24"/>
        </w:rPr>
        <w:t> </w:t>
      </w:r>
      <w:r>
        <w:rPr>
          <w:b/>
          <w:sz w:val="24"/>
        </w:rPr>
        <w:t>Domains</w:t>
      </w:r>
      <w:r>
        <w:rPr>
          <w:b/>
          <w:spacing w:val="-5"/>
          <w:sz w:val="24"/>
        </w:rPr>
        <w:t> </w:t>
      </w:r>
      <w:r>
        <w:rPr>
          <w:b/>
          <w:sz w:val="24"/>
        </w:rPr>
        <w:t>for</w:t>
      </w:r>
      <w:r>
        <w:rPr>
          <w:b/>
          <w:spacing w:val="-6"/>
          <w:sz w:val="24"/>
        </w:rPr>
        <w:t> </w:t>
      </w:r>
      <w:r>
        <w:rPr>
          <w:b/>
          <w:sz w:val="24"/>
        </w:rPr>
        <w:t>Each</w:t>
      </w:r>
      <w:r>
        <w:rPr>
          <w:b/>
          <w:spacing w:val="-5"/>
          <w:sz w:val="24"/>
        </w:rPr>
        <w:t> </w:t>
      </w:r>
      <w:r>
        <w:rPr>
          <w:b/>
          <w:sz w:val="24"/>
        </w:rPr>
        <w:t>Statewide</w:t>
      </w:r>
      <w:r>
        <w:rPr>
          <w:b/>
          <w:spacing w:val="-6"/>
          <w:sz w:val="24"/>
        </w:rPr>
        <w:t> </w:t>
      </w:r>
      <w:r>
        <w:rPr>
          <w:b/>
          <w:sz w:val="24"/>
        </w:rPr>
        <w:t>Investment:</w:t>
      </w:r>
      <w:r>
        <w:rPr>
          <w:b/>
          <w:spacing w:val="-6"/>
          <w:sz w:val="24"/>
        </w:rPr>
        <w:t> </w:t>
      </w:r>
      <w:r>
        <w:rPr>
          <w:sz w:val="24"/>
        </w:rPr>
        <w:t>The</w:t>
      </w:r>
      <w:r>
        <w:rPr>
          <w:spacing w:val="-6"/>
          <w:sz w:val="24"/>
        </w:rPr>
        <w:t> </w:t>
      </w:r>
      <w:r>
        <w:rPr>
          <w:sz w:val="24"/>
        </w:rPr>
        <w:t>DSRIP</w:t>
      </w:r>
      <w:r>
        <w:rPr>
          <w:spacing w:val="-5"/>
          <w:sz w:val="24"/>
        </w:rPr>
        <w:t> </w:t>
      </w:r>
      <w:r>
        <w:rPr>
          <w:sz w:val="24"/>
        </w:rPr>
        <w:t>Protocol will provide additional information for each statewide investment regarding the following domains (at a minimum):</w:t>
      </w:r>
    </w:p>
    <w:p>
      <w:pPr>
        <w:pStyle w:val="ListParagraph"/>
        <w:numPr>
          <w:ilvl w:val="1"/>
          <w:numId w:val="36"/>
        </w:numPr>
        <w:tabs>
          <w:tab w:pos="2760" w:val="left" w:leader="none"/>
        </w:tabs>
        <w:spacing w:line="240" w:lineRule="auto" w:before="161" w:after="0"/>
        <w:ind w:left="2760" w:right="0" w:hanging="360"/>
        <w:jc w:val="left"/>
        <w:rPr>
          <w:sz w:val="24"/>
        </w:rPr>
      </w:pPr>
      <w:bookmarkStart w:name="1. Eligibility for funding;" w:id="635"/>
      <w:bookmarkEnd w:id="635"/>
      <w:r>
        <w:rPr/>
      </w:r>
      <w:r>
        <w:rPr>
          <w:sz w:val="24"/>
        </w:rPr>
        <w:t>Eligibility</w:t>
      </w:r>
      <w:r>
        <w:rPr>
          <w:spacing w:val="-7"/>
          <w:sz w:val="24"/>
        </w:rPr>
        <w:t> </w:t>
      </w:r>
      <w:r>
        <w:rPr>
          <w:sz w:val="24"/>
        </w:rPr>
        <w:t>for </w:t>
      </w:r>
      <w:r>
        <w:rPr>
          <w:spacing w:val="-2"/>
          <w:sz w:val="24"/>
        </w:rPr>
        <w:t>funding;</w:t>
      </w:r>
    </w:p>
    <w:p>
      <w:pPr>
        <w:pStyle w:val="ListParagraph"/>
        <w:numPr>
          <w:ilvl w:val="1"/>
          <w:numId w:val="36"/>
        </w:numPr>
        <w:tabs>
          <w:tab w:pos="2760" w:val="left" w:leader="none"/>
        </w:tabs>
        <w:spacing w:line="240" w:lineRule="auto" w:before="120" w:after="0"/>
        <w:ind w:left="2760" w:right="0" w:hanging="360"/>
        <w:jc w:val="left"/>
        <w:rPr>
          <w:sz w:val="24"/>
        </w:rPr>
      </w:pPr>
      <w:bookmarkStart w:name="2. Amount of funding available;" w:id="636"/>
      <w:bookmarkEnd w:id="636"/>
      <w:r>
        <w:rPr/>
      </w:r>
      <w:r>
        <w:rPr>
          <w:sz w:val="24"/>
        </w:rPr>
        <w:t>Amount</w:t>
      </w:r>
      <w:r>
        <w:rPr>
          <w:spacing w:val="-1"/>
          <w:sz w:val="24"/>
        </w:rPr>
        <w:t> </w:t>
      </w:r>
      <w:r>
        <w:rPr>
          <w:sz w:val="24"/>
        </w:rPr>
        <w:t>of</w:t>
      </w:r>
      <w:r>
        <w:rPr>
          <w:spacing w:val="-2"/>
          <w:sz w:val="24"/>
        </w:rPr>
        <w:t> </w:t>
      </w:r>
      <w:r>
        <w:rPr>
          <w:sz w:val="24"/>
        </w:rPr>
        <w:t>funding </w:t>
      </w:r>
      <w:r>
        <w:rPr>
          <w:spacing w:val="-2"/>
          <w:sz w:val="24"/>
        </w:rPr>
        <w:t>available;</w:t>
      </w:r>
    </w:p>
    <w:p>
      <w:pPr>
        <w:pStyle w:val="ListParagraph"/>
        <w:numPr>
          <w:ilvl w:val="1"/>
          <w:numId w:val="36"/>
        </w:numPr>
        <w:tabs>
          <w:tab w:pos="2760" w:val="left" w:leader="none"/>
        </w:tabs>
        <w:spacing w:line="240" w:lineRule="auto" w:before="120" w:after="0"/>
        <w:ind w:left="2760" w:right="0" w:hanging="360"/>
        <w:jc w:val="left"/>
        <w:rPr>
          <w:sz w:val="24"/>
        </w:rPr>
      </w:pPr>
      <w:bookmarkStart w:name="3. Allowable funding uses; and" w:id="637"/>
      <w:bookmarkEnd w:id="637"/>
      <w:r>
        <w:rPr/>
      </w:r>
      <w:r>
        <w:rPr>
          <w:sz w:val="24"/>
        </w:rPr>
        <w:t>Allowable</w:t>
      </w:r>
      <w:r>
        <w:rPr>
          <w:spacing w:val="-3"/>
          <w:sz w:val="24"/>
        </w:rPr>
        <w:t> </w:t>
      </w:r>
      <w:r>
        <w:rPr>
          <w:sz w:val="24"/>
        </w:rPr>
        <w:t>funding</w:t>
      </w:r>
      <w:r>
        <w:rPr>
          <w:spacing w:val="-5"/>
          <w:sz w:val="24"/>
        </w:rPr>
        <w:t> </w:t>
      </w:r>
      <w:r>
        <w:rPr>
          <w:sz w:val="24"/>
        </w:rPr>
        <w:t>uses;</w:t>
      </w:r>
      <w:r>
        <w:rPr>
          <w:spacing w:val="1"/>
          <w:sz w:val="24"/>
        </w:rPr>
        <w:t> </w:t>
      </w:r>
      <w:r>
        <w:rPr>
          <w:spacing w:val="-5"/>
          <w:sz w:val="24"/>
        </w:rPr>
        <w:t>and</w:t>
      </w:r>
    </w:p>
    <w:p>
      <w:pPr>
        <w:pStyle w:val="ListParagraph"/>
        <w:numPr>
          <w:ilvl w:val="1"/>
          <w:numId w:val="36"/>
        </w:numPr>
        <w:tabs>
          <w:tab w:pos="2760" w:val="left" w:leader="none"/>
        </w:tabs>
        <w:spacing w:line="240" w:lineRule="auto" w:before="120" w:after="0"/>
        <w:ind w:left="2760" w:right="1968" w:hanging="360"/>
        <w:jc w:val="left"/>
        <w:rPr>
          <w:sz w:val="24"/>
        </w:rPr>
      </w:pPr>
      <w:bookmarkStart w:name="4. Obligations for entities receiving fu" w:id="638"/>
      <w:bookmarkEnd w:id="638"/>
      <w:r>
        <w:rPr/>
      </w:r>
      <w:r>
        <w:rPr>
          <w:sz w:val="24"/>
        </w:rPr>
        <w:t>Obligations</w:t>
      </w:r>
      <w:r>
        <w:rPr>
          <w:spacing w:val="-6"/>
          <w:sz w:val="24"/>
        </w:rPr>
        <w:t> </w:t>
      </w:r>
      <w:r>
        <w:rPr>
          <w:sz w:val="24"/>
        </w:rPr>
        <w:t>for</w:t>
      </w:r>
      <w:r>
        <w:rPr>
          <w:spacing w:val="-5"/>
          <w:sz w:val="24"/>
        </w:rPr>
        <w:t> </w:t>
      </w:r>
      <w:r>
        <w:rPr>
          <w:sz w:val="24"/>
        </w:rPr>
        <w:t>entities</w:t>
      </w:r>
      <w:r>
        <w:rPr>
          <w:spacing w:val="-6"/>
          <w:sz w:val="24"/>
        </w:rPr>
        <w:t> </w:t>
      </w:r>
      <w:r>
        <w:rPr>
          <w:sz w:val="24"/>
        </w:rPr>
        <w:t>receiving</w:t>
      </w:r>
      <w:r>
        <w:rPr>
          <w:spacing w:val="-9"/>
          <w:sz w:val="24"/>
        </w:rPr>
        <w:t> </w:t>
      </w:r>
      <w:r>
        <w:rPr>
          <w:sz w:val="24"/>
        </w:rPr>
        <w:t>funding</w:t>
      </w:r>
      <w:r>
        <w:rPr>
          <w:spacing w:val="-9"/>
          <w:sz w:val="24"/>
        </w:rPr>
        <w:t> </w:t>
      </w:r>
      <w:r>
        <w:rPr>
          <w:sz w:val="24"/>
        </w:rPr>
        <w:t>support</w:t>
      </w:r>
      <w:r>
        <w:rPr>
          <w:spacing w:val="-4"/>
          <w:sz w:val="24"/>
        </w:rPr>
        <w:t> </w:t>
      </w:r>
      <w:r>
        <w:rPr>
          <w:sz w:val="24"/>
        </w:rPr>
        <w:t>through</w:t>
      </w:r>
      <w:r>
        <w:rPr>
          <w:spacing w:val="-6"/>
          <w:sz w:val="24"/>
        </w:rPr>
        <w:t> </w:t>
      </w:r>
      <w:r>
        <w:rPr>
          <w:sz w:val="24"/>
        </w:rPr>
        <w:t>the statewide investments.</w:t>
      </w:r>
    </w:p>
    <w:p>
      <w:pPr>
        <w:spacing w:after="0" w:line="240" w:lineRule="auto"/>
        <w:jc w:val="left"/>
        <w:rPr>
          <w:sz w:val="24"/>
        </w:rPr>
        <w:sectPr>
          <w:pgSz w:w="12240" w:h="15840"/>
          <w:pgMar w:header="0" w:footer="1201" w:top="1360" w:bottom="1400" w:left="1200" w:right="400"/>
        </w:sectPr>
      </w:pPr>
    </w:p>
    <w:p>
      <w:pPr>
        <w:pStyle w:val="ListParagraph"/>
        <w:numPr>
          <w:ilvl w:val="0"/>
          <w:numId w:val="36"/>
        </w:numPr>
        <w:tabs>
          <w:tab w:pos="1411" w:val="left" w:leader="none"/>
        </w:tabs>
        <w:spacing w:line="240" w:lineRule="auto" w:before="79" w:after="0"/>
        <w:ind w:left="1411" w:right="1572" w:hanging="360"/>
        <w:jc w:val="left"/>
        <w:rPr>
          <w:sz w:val="24"/>
        </w:rPr>
      </w:pPr>
      <w:r>
        <w:rPr/>
        <mc:AlternateContent>
          <mc:Choice Requires="wps">
            <w:drawing>
              <wp:anchor distT="0" distB="0" distL="0" distR="0" allowOverlap="1" layoutInCell="1" locked="0" behindDoc="1" simplePos="0" relativeHeight="473729024">
                <wp:simplePos x="0" y="0"/>
                <wp:positionH relativeFrom="page">
                  <wp:posOffset>3390900</wp:posOffset>
                </wp:positionH>
                <wp:positionV relativeFrom="paragraph">
                  <wp:posOffset>339003</wp:posOffset>
                </wp:positionV>
                <wp:extent cx="38100" cy="1270"/>
                <wp:effectExtent l="0" t="0" r="0" b="0"/>
                <wp:wrapNone/>
                <wp:docPr id="409" name="Graphic 409"/>
                <wp:cNvGraphicFramePr>
                  <a:graphicFrameLocks/>
                </wp:cNvGraphicFramePr>
                <a:graphic>
                  <a:graphicData uri="http://schemas.microsoft.com/office/word/2010/wordprocessingShape">
                    <wps:wsp>
                      <wps:cNvPr id="409" name="Graphic 409"/>
                      <wps:cNvSpPr/>
                      <wps:spPr>
                        <a:xfrm>
                          <a:off x="0" y="0"/>
                          <a:ext cx="38100" cy="1270"/>
                        </a:xfrm>
                        <a:custGeom>
                          <a:avLst/>
                          <a:gdLst/>
                          <a:ahLst/>
                          <a:cxnLst/>
                          <a:rect l="l" t="t" r="r" b="b"/>
                          <a:pathLst>
                            <a:path w="38100" h="0">
                              <a:moveTo>
                                <a:pt x="0" y="0"/>
                              </a:moveTo>
                              <a:lnTo>
                                <a:pt x="381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9587456" from="267pt,26.693151pt" to="270pt,26.693151pt" stroked="true" strokeweight=".6pt" strokecolor="#000000">
                <v:stroke dashstyle="solid"/>
                <w10:wrap type="none"/>
              </v:line>
            </w:pict>
          </mc:Fallback>
        </mc:AlternateContent>
      </w:r>
      <w:bookmarkStart w:name="b. State Operations and Implementation. " w:id="639"/>
      <w:bookmarkEnd w:id="639"/>
      <w:r>
        <w:rPr>
          <w:sz w:val="24"/>
        </w:rPr>
      </w:r>
      <w:r>
        <w:rPr>
          <w:b/>
          <w:sz w:val="24"/>
        </w:rPr>
        <w:t>State</w:t>
      </w:r>
      <w:r>
        <w:rPr>
          <w:b/>
          <w:spacing w:val="-6"/>
          <w:sz w:val="24"/>
        </w:rPr>
        <w:t> </w:t>
      </w:r>
      <w:r>
        <w:rPr>
          <w:b/>
          <w:sz w:val="24"/>
        </w:rPr>
        <w:t>Operations</w:t>
      </w:r>
      <w:r>
        <w:rPr>
          <w:b/>
          <w:spacing w:val="-5"/>
          <w:sz w:val="24"/>
        </w:rPr>
        <w:t> </w:t>
      </w:r>
      <w:r>
        <w:rPr>
          <w:b/>
          <w:sz w:val="24"/>
        </w:rPr>
        <w:t>and</w:t>
      </w:r>
      <w:r>
        <w:rPr>
          <w:b/>
          <w:spacing w:val="-5"/>
          <w:sz w:val="24"/>
        </w:rPr>
        <w:t> </w:t>
      </w:r>
      <w:r>
        <w:rPr>
          <w:b/>
          <w:sz w:val="24"/>
        </w:rPr>
        <w:t>Implementation.</w:t>
      </w:r>
      <w:r>
        <w:rPr>
          <w:b/>
          <w:spacing w:val="-5"/>
          <w:sz w:val="24"/>
        </w:rPr>
        <w:t> </w:t>
      </w:r>
      <w:r>
        <w:rPr>
          <w:sz w:val="24"/>
        </w:rPr>
        <w:t>DSRIP</w:t>
      </w:r>
      <w:r>
        <w:rPr>
          <w:spacing w:val="-2"/>
          <w:sz w:val="24"/>
        </w:rPr>
        <w:t> </w:t>
      </w:r>
      <w:r>
        <w:rPr>
          <w:sz w:val="24"/>
        </w:rPr>
        <w:t>expenditure</w:t>
      </w:r>
      <w:r>
        <w:rPr>
          <w:spacing w:val="-6"/>
          <w:sz w:val="24"/>
        </w:rPr>
        <w:t> </w:t>
      </w:r>
      <w:r>
        <w:rPr>
          <w:sz w:val="24"/>
        </w:rPr>
        <w:t>authority</w:t>
      </w:r>
      <w:r>
        <w:rPr>
          <w:spacing w:val="-10"/>
          <w:sz w:val="24"/>
        </w:rPr>
        <w:t> </w:t>
      </w:r>
      <w:r>
        <w:rPr>
          <w:sz w:val="24"/>
        </w:rPr>
        <w:t>includes necessary state operations and implementation support to help administer and provide</w:t>
      </w:r>
      <w:r>
        <w:rPr>
          <w:spacing w:val="-1"/>
          <w:sz w:val="24"/>
        </w:rPr>
        <w:t> </w:t>
      </w:r>
      <w:r>
        <w:rPr>
          <w:sz w:val="24"/>
        </w:rPr>
        <w:t>robust oversight for</w:t>
      </w:r>
      <w:r>
        <w:rPr>
          <w:spacing w:val="-1"/>
          <w:sz w:val="24"/>
        </w:rPr>
        <w:t> </w:t>
      </w:r>
      <w:r>
        <w:rPr>
          <w:sz w:val="24"/>
        </w:rPr>
        <w:t>the</w:t>
      </w:r>
      <w:r>
        <w:rPr>
          <w:spacing w:val="-1"/>
          <w:sz w:val="24"/>
        </w:rPr>
        <w:t> </w:t>
      </w:r>
      <w:r>
        <w:rPr>
          <w:sz w:val="24"/>
        </w:rPr>
        <w:t>DSRIP program including</w:t>
      </w:r>
      <w:r>
        <w:rPr>
          <w:spacing w:val="-3"/>
          <w:sz w:val="24"/>
        </w:rPr>
        <w:t> </w:t>
      </w:r>
      <w:r>
        <w:rPr>
          <w:sz w:val="24"/>
        </w:rPr>
        <w:t>state employees and vendors to provide the following support:</w:t>
      </w:r>
    </w:p>
    <w:p>
      <w:pPr>
        <w:pStyle w:val="BodyText"/>
        <w:spacing w:before="10"/>
        <w:rPr>
          <w:sz w:val="20"/>
        </w:rPr>
      </w:pPr>
    </w:p>
    <w:p>
      <w:pPr>
        <w:pStyle w:val="BodyText"/>
        <w:ind w:left="2040"/>
      </w:pPr>
      <w:r>
        <w:rPr/>
        <w:drawing>
          <wp:anchor distT="0" distB="0" distL="0" distR="0" allowOverlap="1" layoutInCell="1" locked="0" behindDoc="0" simplePos="0" relativeHeight="15932928">
            <wp:simplePos x="0" y="0"/>
            <wp:positionH relativeFrom="page">
              <wp:posOffset>1862327</wp:posOffset>
            </wp:positionH>
            <wp:positionV relativeFrom="paragraph">
              <wp:posOffset>32551</wp:posOffset>
            </wp:positionV>
            <wp:extent cx="73151" cy="115823"/>
            <wp:effectExtent l="0" t="0" r="0" b="0"/>
            <wp:wrapNone/>
            <wp:docPr id="410" name="Image 410"/>
            <wp:cNvGraphicFramePr>
              <a:graphicFrameLocks/>
            </wp:cNvGraphicFramePr>
            <a:graphic>
              <a:graphicData uri="http://schemas.openxmlformats.org/drawingml/2006/picture">
                <pic:pic>
                  <pic:nvPicPr>
                    <pic:cNvPr id="410" name="Image 410"/>
                    <pic:cNvPicPr/>
                  </pic:nvPicPr>
                  <pic:blipFill>
                    <a:blip r:embed="rId61" cstate="print"/>
                    <a:stretch>
                      <a:fillRect/>
                    </a:stretch>
                  </pic:blipFill>
                  <pic:spPr>
                    <a:xfrm>
                      <a:off x="0" y="0"/>
                      <a:ext cx="73151" cy="115823"/>
                    </a:xfrm>
                    <a:prstGeom prst="rect">
                      <a:avLst/>
                    </a:prstGeom>
                  </pic:spPr>
                </pic:pic>
              </a:graphicData>
            </a:graphic>
          </wp:anchor>
        </w:drawing>
      </w:r>
      <w:bookmarkStart w:name="i. ACO and CP administration, oversight," w:id="640"/>
      <w:bookmarkEnd w:id="640"/>
      <w:r>
        <w:rPr/>
      </w:r>
      <w:r>
        <w:rPr/>
        <w:t>ACO</w:t>
      </w:r>
      <w:r>
        <w:rPr>
          <w:spacing w:val="-5"/>
        </w:rPr>
        <w:t> </w:t>
      </w:r>
      <w:r>
        <w:rPr/>
        <w:t>and</w:t>
      </w:r>
      <w:r>
        <w:rPr>
          <w:spacing w:val="-2"/>
        </w:rPr>
        <w:t> </w:t>
      </w:r>
      <w:r>
        <w:rPr/>
        <w:t>CP</w:t>
      </w:r>
      <w:r>
        <w:rPr>
          <w:spacing w:val="-1"/>
        </w:rPr>
        <w:t> </w:t>
      </w:r>
      <w:r>
        <w:rPr/>
        <w:t>administration,</w:t>
      </w:r>
      <w:r>
        <w:rPr>
          <w:spacing w:val="-2"/>
        </w:rPr>
        <w:t> </w:t>
      </w:r>
      <w:r>
        <w:rPr/>
        <w:t>oversight,</w:t>
      </w:r>
      <w:r>
        <w:rPr>
          <w:spacing w:val="-1"/>
        </w:rPr>
        <w:t> </w:t>
      </w:r>
      <w:r>
        <w:rPr/>
        <w:t>and</w:t>
      </w:r>
      <w:r>
        <w:rPr>
          <w:spacing w:val="-2"/>
        </w:rPr>
        <w:t> </w:t>
      </w:r>
      <w:r>
        <w:rPr/>
        <w:t>operational</w:t>
      </w:r>
      <w:r>
        <w:rPr>
          <w:spacing w:val="-1"/>
        </w:rPr>
        <w:t> </w:t>
      </w:r>
      <w:r>
        <w:rPr>
          <w:spacing w:val="-2"/>
        </w:rPr>
        <w:t>support.</w:t>
      </w:r>
    </w:p>
    <w:p>
      <w:pPr>
        <w:pStyle w:val="BodyText"/>
        <w:spacing w:before="161"/>
        <w:ind w:left="2040"/>
      </w:pPr>
      <w:r>
        <w:rPr/>
        <w:drawing>
          <wp:anchor distT="0" distB="0" distL="0" distR="0" allowOverlap="1" layoutInCell="1" locked="0" behindDoc="0" simplePos="0" relativeHeight="15933440">
            <wp:simplePos x="0" y="0"/>
            <wp:positionH relativeFrom="page">
              <wp:posOffset>1819655</wp:posOffset>
            </wp:positionH>
            <wp:positionV relativeFrom="paragraph">
              <wp:posOffset>134786</wp:posOffset>
            </wp:positionV>
            <wp:extent cx="115823" cy="115823"/>
            <wp:effectExtent l="0" t="0" r="0" b="0"/>
            <wp:wrapNone/>
            <wp:docPr id="411" name="Image 411"/>
            <wp:cNvGraphicFramePr>
              <a:graphicFrameLocks/>
            </wp:cNvGraphicFramePr>
            <a:graphic>
              <a:graphicData uri="http://schemas.openxmlformats.org/drawingml/2006/picture">
                <pic:pic>
                  <pic:nvPicPr>
                    <pic:cNvPr id="411" name="Image 411"/>
                    <pic:cNvPicPr/>
                  </pic:nvPicPr>
                  <pic:blipFill>
                    <a:blip r:embed="rId62" cstate="print"/>
                    <a:stretch>
                      <a:fillRect/>
                    </a:stretch>
                  </pic:blipFill>
                  <pic:spPr>
                    <a:xfrm>
                      <a:off x="0" y="0"/>
                      <a:ext cx="115823" cy="115823"/>
                    </a:xfrm>
                    <a:prstGeom prst="rect">
                      <a:avLst/>
                    </a:prstGeom>
                  </pic:spPr>
                </pic:pic>
              </a:graphicData>
            </a:graphic>
          </wp:anchor>
        </w:drawing>
      </w:r>
      <w:bookmarkStart w:name="ii. Statewide investments administration" w:id="641"/>
      <w:bookmarkEnd w:id="641"/>
      <w:r>
        <w:rPr/>
      </w:r>
      <w:r>
        <w:rPr/>
        <w:t>Statewide</w:t>
      </w:r>
      <w:r>
        <w:rPr>
          <w:spacing w:val="-4"/>
        </w:rPr>
        <w:t> </w:t>
      </w:r>
      <w:r>
        <w:rPr/>
        <w:t>investments</w:t>
      </w:r>
      <w:r>
        <w:rPr>
          <w:spacing w:val="-2"/>
        </w:rPr>
        <w:t> </w:t>
      </w:r>
      <w:r>
        <w:rPr/>
        <w:t>administration,</w:t>
      </w:r>
      <w:r>
        <w:rPr>
          <w:spacing w:val="-2"/>
        </w:rPr>
        <w:t> </w:t>
      </w:r>
      <w:r>
        <w:rPr/>
        <w:t>oversight,</w:t>
      </w:r>
      <w:r>
        <w:rPr>
          <w:spacing w:val="-3"/>
        </w:rPr>
        <w:t> </w:t>
      </w:r>
      <w:r>
        <w:rPr/>
        <w:t>and</w:t>
      </w:r>
      <w:r>
        <w:rPr>
          <w:spacing w:val="-2"/>
        </w:rPr>
        <w:t> </w:t>
      </w:r>
      <w:r>
        <w:rPr/>
        <w:t>operational</w:t>
      </w:r>
      <w:r>
        <w:rPr>
          <w:spacing w:val="-2"/>
        </w:rPr>
        <w:t> support.</w:t>
      </w:r>
    </w:p>
    <w:p>
      <w:pPr>
        <w:pStyle w:val="BodyText"/>
        <w:spacing w:before="158"/>
        <w:ind w:left="2040" w:right="1086"/>
      </w:pPr>
      <w:r>
        <w:rPr/>
        <w:drawing>
          <wp:anchor distT="0" distB="0" distL="0" distR="0" allowOverlap="1" layoutInCell="1" locked="0" behindDoc="0" simplePos="0" relativeHeight="15933952">
            <wp:simplePos x="0" y="0"/>
            <wp:positionH relativeFrom="page">
              <wp:posOffset>1778507</wp:posOffset>
            </wp:positionH>
            <wp:positionV relativeFrom="paragraph">
              <wp:posOffset>132882</wp:posOffset>
            </wp:positionV>
            <wp:extent cx="158495" cy="115823"/>
            <wp:effectExtent l="0" t="0" r="0" b="0"/>
            <wp:wrapNone/>
            <wp:docPr id="412" name="Image 412"/>
            <wp:cNvGraphicFramePr>
              <a:graphicFrameLocks/>
            </wp:cNvGraphicFramePr>
            <a:graphic>
              <a:graphicData uri="http://schemas.openxmlformats.org/drawingml/2006/picture">
                <pic:pic>
                  <pic:nvPicPr>
                    <pic:cNvPr id="412" name="Image 412"/>
                    <pic:cNvPicPr/>
                  </pic:nvPicPr>
                  <pic:blipFill>
                    <a:blip r:embed="rId65" cstate="print"/>
                    <a:stretch>
                      <a:fillRect/>
                    </a:stretch>
                  </pic:blipFill>
                  <pic:spPr>
                    <a:xfrm>
                      <a:off x="0" y="0"/>
                      <a:ext cx="158495" cy="115823"/>
                    </a:xfrm>
                    <a:prstGeom prst="rect">
                      <a:avLst/>
                    </a:prstGeom>
                  </pic:spPr>
                </pic:pic>
              </a:graphicData>
            </a:graphic>
          </wp:anchor>
        </w:drawing>
      </w:r>
      <w:bookmarkStart w:name="iii. DSRIP program support (e.g. project" w:id="642"/>
      <w:bookmarkEnd w:id="642"/>
      <w:r>
        <w:rPr/>
      </w:r>
      <w:r>
        <w:rPr/>
        <w:t>DSRIP</w:t>
      </w:r>
      <w:r>
        <w:rPr>
          <w:spacing w:val="-7"/>
        </w:rPr>
        <w:t> </w:t>
      </w:r>
      <w:r>
        <w:rPr/>
        <w:t>program</w:t>
      </w:r>
      <w:r>
        <w:rPr>
          <w:spacing w:val="-7"/>
        </w:rPr>
        <w:t> </w:t>
      </w:r>
      <w:r>
        <w:rPr/>
        <w:t>support</w:t>
      </w:r>
      <w:r>
        <w:rPr>
          <w:spacing w:val="-7"/>
        </w:rPr>
        <w:t> </w:t>
      </w:r>
      <w:r>
        <w:rPr/>
        <w:t>(e.g.</w:t>
      </w:r>
      <w:r>
        <w:rPr>
          <w:spacing w:val="-7"/>
        </w:rPr>
        <w:t> </w:t>
      </w:r>
      <w:r>
        <w:rPr/>
        <w:t>project</w:t>
      </w:r>
      <w:r>
        <w:rPr>
          <w:spacing w:val="-7"/>
        </w:rPr>
        <w:t> </w:t>
      </w:r>
      <w:r>
        <w:rPr/>
        <w:t>management,</w:t>
      </w:r>
      <w:r>
        <w:rPr>
          <w:spacing w:val="-7"/>
        </w:rPr>
        <w:t> </w:t>
      </w:r>
      <w:r>
        <w:rPr/>
        <w:t>communications, evaluation and reporting).</w:t>
      </w:r>
    </w:p>
    <w:p>
      <w:pPr>
        <w:pStyle w:val="BodyText"/>
        <w:spacing w:before="10"/>
        <w:rPr>
          <w:sz w:val="20"/>
        </w:rPr>
      </w:pPr>
    </w:p>
    <w:p>
      <w:pPr>
        <w:pStyle w:val="Heading5"/>
        <w:ind w:left="871"/>
      </w:pPr>
      <w:r>
        <w:rPr/>
        <w:drawing>
          <wp:anchor distT="0" distB="0" distL="0" distR="0" allowOverlap="1" layoutInCell="1" locked="0" behindDoc="0" simplePos="0" relativeHeight="15934464">
            <wp:simplePos x="0" y="0"/>
            <wp:positionH relativeFrom="page">
              <wp:posOffset>832103</wp:posOffset>
            </wp:positionH>
            <wp:positionV relativeFrom="paragraph">
              <wp:posOffset>35599</wp:posOffset>
            </wp:positionV>
            <wp:extent cx="359663" cy="112775"/>
            <wp:effectExtent l="0" t="0" r="0" b="0"/>
            <wp:wrapNone/>
            <wp:docPr id="413" name="Image 413"/>
            <wp:cNvGraphicFramePr>
              <a:graphicFrameLocks/>
            </wp:cNvGraphicFramePr>
            <a:graphic>
              <a:graphicData uri="http://schemas.openxmlformats.org/drawingml/2006/picture">
                <pic:pic>
                  <pic:nvPicPr>
                    <pic:cNvPr id="413" name="Image 413"/>
                    <pic:cNvPicPr/>
                  </pic:nvPicPr>
                  <pic:blipFill>
                    <a:blip r:embed="rId190" cstate="print"/>
                    <a:stretch>
                      <a:fillRect/>
                    </a:stretch>
                  </pic:blipFill>
                  <pic:spPr>
                    <a:xfrm>
                      <a:off x="0" y="0"/>
                      <a:ext cx="359663" cy="112775"/>
                    </a:xfrm>
                    <a:prstGeom prst="rect">
                      <a:avLst/>
                    </a:prstGeom>
                  </pic:spPr>
                </pic:pic>
              </a:graphicData>
            </a:graphic>
          </wp:anchor>
        </w:drawing>
      </w:r>
      <w:bookmarkStart w:name="12.13. State DSRIP Accountability to CMS" w:id="643"/>
      <w:bookmarkEnd w:id="643"/>
      <w:r>
        <w:rPr>
          <w:b w:val="0"/>
        </w:rPr>
      </w:r>
      <w:r>
        <w:rPr/>
        <w:t>State</w:t>
      </w:r>
      <w:r>
        <w:rPr>
          <w:spacing w:val="-3"/>
        </w:rPr>
        <w:t> </w:t>
      </w:r>
      <w:r>
        <w:rPr/>
        <w:t>DSRIP</w:t>
      </w:r>
      <w:r>
        <w:rPr>
          <w:spacing w:val="-5"/>
        </w:rPr>
        <w:t> </w:t>
      </w:r>
      <w:r>
        <w:rPr/>
        <w:t>Accountability</w:t>
      </w:r>
      <w:r>
        <w:rPr>
          <w:spacing w:val="-2"/>
        </w:rPr>
        <w:t> </w:t>
      </w:r>
      <w:r>
        <w:rPr/>
        <w:t>to</w:t>
      </w:r>
      <w:r>
        <w:rPr>
          <w:spacing w:val="-1"/>
        </w:rPr>
        <w:t> </w:t>
      </w:r>
      <w:r>
        <w:rPr>
          <w:spacing w:val="-5"/>
        </w:rPr>
        <w:t>CMS</w:t>
      </w:r>
    </w:p>
    <w:p>
      <w:pPr>
        <w:pStyle w:val="BodyText"/>
        <w:spacing w:before="10"/>
        <w:rPr>
          <w:b/>
          <w:sz w:val="20"/>
        </w:rPr>
      </w:pPr>
    </w:p>
    <w:p>
      <w:pPr>
        <w:pStyle w:val="BodyText"/>
        <w:ind w:left="1411" w:right="1041"/>
      </w:pPr>
      <w:r>
        <w:rPr/>
        <w:drawing>
          <wp:anchor distT="0" distB="0" distL="0" distR="0" allowOverlap="1" layoutInCell="1" locked="0" behindDoc="0" simplePos="0" relativeHeight="15934976">
            <wp:simplePos x="0" y="0"/>
            <wp:positionH relativeFrom="page">
              <wp:posOffset>1431036</wp:posOffset>
            </wp:positionH>
            <wp:positionV relativeFrom="paragraph">
              <wp:posOffset>67603</wp:posOffset>
            </wp:positionV>
            <wp:extent cx="96011" cy="80771"/>
            <wp:effectExtent l="0" t="0" r="0" b="0"/>
            <wp:wrapNone/>
            <wp:docPr id="414" name="Image 414"/>
            <wp:cNvGraphicFramePr>
              <a:graphicFrameLocks/>
            </wp:cNvGraphicFramePr>
            <a:graphic>
              <a:graphicData uri="http://schemas.openxmlformats.org/drawingml/2006/picture">
                <pic:pic>
                  <pic:nvPicPr>
                    <pic:cNvPr id="414" name="Image 414"/>
                    <pic:cNvPicPr/>
                  </pic:nvPicPr>
                  <pic:blipFill>
                    <a:blip r:embed="rId29" cstate="print"/>
                    <a:stretch>
                      <a:fillRect/>
                    </a:stretch>
                  </pic:blipFill>
                  <pic:spPr>
                    <a:xfrm>
                      <a:off x="0" y="0"/>
                      <a:ext cx="96011" cy="80771"/>
                    </a:xfrm>
                    <a:prstGeom prst="rect">
                      <a:avLst/>
                    </a:prstGeom>
                  </pic:spPr>
                </pic:pic>
              </a:graphicData>
            </a:graphic>
          </wp:anchor>
        </w:drawing>
      </w:r>
      <w:bookmarkStart w:name="a. At-Risk DSRIP Funding. A portion of t" w:id="644"/>
      <w:bookmarkEnd w:id="644"/>
      <w:r>
        <w:rPr/>
      </w:r>
      <w:r>
        <w:rPr>
          <w:b/>
        </w:rPr>
        <w:t>At-Risk</w:t>
      </w:r>
      <w:r>
        <w:rPr>
          <w:b/>
          <w:spacing w:val="-3"/>
        </w:rPr>
        <w:t> </w:t>
      </w:r>
      <w:r>
        <w:rPr>
          <w:b/>
        </w:rPr>
        <w:t>DSRIP</w:t>
      </w:r>
      <w:r>
        <w:rPr>
          <w:b/>
          <w:spacing w:val="-4"/>
        </w:rPr>
        <w:t> </w:t>
      </w:r>
      <w:r>
        <w:rPr>
          <w:b/>
        </w:rPr>
        <w:t>Funding.</w:t>
      </w:r>
      <w:r>
        <w:rPr>
          <w:b/>
          <w:spacing w:val="-3"/>
        </w:rPr>
        <w:t> </w:t>
      </w:r>
      <w:r>
        <w:rPr/>
        <w:t>A</w:t>
      </w:r>
      <w:r>
        <w:rPr>
          <w:spacing w:val="-4"/>
        </w:rPr>
        <w:t> </w:t>
      </w:r>
      <w:r>
        <w:rPr/>
        <w:t>portion</w:t>
      </w:r>
      <w:r>
        <w:rPr>
          <w:spacing w:val="-3"/>
        </w:rPr>
        <w:t> </w:t>
      </w:r>
      <w:r>
        <w:rPr/>
        <w:t>of</w:t>
      </w:r>
      <w:r>
        <w:rPr>
          <w:spacing w:val="-4"/>
        </w:rPr>
        <w:t> </w:t>
      </w:r>
      <w:r>
        <w:rPr/>
        <w:t>the</w:t>
      </w:r>
      <w:r>
        <w:rPr>
          <w:spacing w:val="-4"/>
        </w:rPr>
        <w:t> </w:t>
      </w:r>
      <w:r>
        <w:rPr/>
        <w:t>State’s</w:t>
      </w:r>
      <w:r>
        <w:rPr>
          <w:spacing w:val="-3"/>
        </w:rPr>
        <w:t> </w:t>
      </w:r>
      <w:r>
        <w:rPr/>
        <w:t>DSRIP</w:t>
      </w:r>
      <w:r>
        <w:rPr>
          <w:spacing w:val="-3"/>
        </w:rPr>
        <w:t> </w:t>
      </w:r>
      <w:r>
        <w:rPr/>
        <w:t>expenditure</w:t>
      </w:r>
      <w:r>
        <w:rPr>
          <w:spacing w:val="-4"/>
        </w:rPr>
        <w:t> </w:t>
      </w:r>
      <w:r>
        <w:rPr/>
        <w:t>authority</w:t>
      </w:r>
      <w:r>
        <w:rPr>
          <w:spacing w:val="-7"/>
        </w:rPr>
        <w:t> </w:t>
      </w:r>
      <w:r>
        <w:rPr/>
        <w:t>will be at-risk. If MassHealth’s DSRIP expenditure authority is reduced based on an Accountability Score that is less than 100%, then MassHealth will reduce DSRIP payments</w:t>
      </w:r>
      <w:r>
        <w:rPr>
          <w:spacing w:val="-3"/>
        </w:rPr>
        <w:t> </w:t>
      </w:r>
      <w:r>
        <w:rPr/>
        <w:t>in</w:t>
      </w:r>
      <w:r>
        <w:rPr>
          <w:spacing w:val="-3"/>
        </w:rPr>
        <w:t> </w:t>
      </w:r>
      <w:r>
        <w:rPr/>
        <w:t>proportion</w:t>
      </w:r>
      <w:r>
        <w:rPr>
          <w:spacing w:val="-3"/>
        </w:rPr>
        <w:t> </w:t>
      </w:r>
      <w:r>
        <w:rPr/>
        <w:t>to</w:t>
      </w:r>
      <w:r>
        <w:rPr>
          <w:spacing w:val="-3"/>
        </w:rPr>
        <w:t> </w:t>
      </w:r>
      <w:r>
        <w:rPr/>
        <w:t>the</w:t>
      </w:r>
      <w:r>
        <w:rPr>
          <w:spacing w:val="-4"/>
        </w:rPr>
        <w:t> </w:t>
      </w:r>
      <w:r>
        <w:rPr/>
        <w:t>reduced</w:t>
      </w:r>
      <w:r>
        <w:rPr>
          <w:spacing w:val="-3"/>
        </w:rPr>
        <w:t> </w:t>
      </w:r>
      <w:r>
        <w:rPr/>
        <w:t>expenditure</w:t>
      </w:r>
      <w:r>
        <w:rPr>
          <w:spacing w:val="-4"/>
        </w:rPr>
        <w:t> </w:t>
      </w:r>
      <w:r>
        <w:rPr/>
        <w:t>authority</w:t>
      </w:r>
      <w:r>
        <w:rPr>
          <w:spacing w:val="-8"/>
        </w:rPr>
        <w:t> </w:t>
      </w:r>
      <w:r>
        <w:rPr/>
        <w:t>to</w:t>
      </w:r>
      <w:r>
        <w:rPr>
          <w:spacing w:val="-1"/>
        </w:rPr>
        <w:t> </w:t>
      </w:r>
      <w:r>
        <w:rPr/>
        <w:t>ensure</w:t>
      </w:r>
      <w:r>
        <w:rPr>
          <w:spacing w:val="-4"/>
        </w:rPr>
        <w:t> </w:t>
      </w:r>
      <w:r>
        <w:rPr/>
        <w:t>sufficient</w:t>
      </w:r>
      <w:r>
        <w:rPr>
          <w:spacing w:val="-3"/>
        </w:rPr>
        <w:t> </w:t>
      </w:r>
      <w:r>
        <w:rPr/>
        <w:t>state funding to support the program. This mechanism ensures that all recipients of MassHealth DSRIP funding are accountable to the State achieving its performance </w:t>
      </w:r>
      <w:r>
        <w:rPr>
          <w:spacing w:val="-2"/>
        </w:rPr>
        <w:t>commitments.</w:t>
      </w:r>
    </w:p>
    <w:p>
      <w:pPr>
        <w:pStyle w:val="BodyText"/>
        <w:spacing w:before="10"/>
        <w:rPr>
          <w:sz w:val="20"/>
        </w:rPr>
      </w:pPr>
    </w:p>
    <w:p>
      <w:pPr>
        <w:pStyle w:val="BodyText"/>
        <w:ind w:left="1411" w:right="1126"/>
        <w:jc w:val="both"/>
      </w:pPr>
      <w:r>
        <w:rPr/>
        <w:drawing>
          <wp:anchor distT="0" distB="0" distL="0" distR="0" allowOverlap="1" layoutInCell="1" locked="0" behindDoc="0" simplePos="0" relativeHeight="15935488">
            <wp:simplePos x="0" y="0"/>
            <wp:positionH relativeFrom="page">
              <wp:posOffset>1424939</wp:posOffset>
            </wp:positionH>
            <wp:positionV relativeFrom="paragraph">
              <wp:posOffset>32551</wp:posOffset>
            </wp:positionV>
            <wp:extent cx="111251" cy="115823"/>
            <wp:effectExtent l="0" t="0" r="0" b="0"/>
            <wp:wrapNone/>
            <wp:docPr id="415" name="Image 415"/>
            <wp:cNvGraphicFramePr>
              <a:graphicFrameLocks/>
            </wp:cNvGraphicFramePr>
            <a:graphic>
              <a:graphicData uri="http://schemas.openxmlformats.org/drawingml/2006/picture">
                <pic:pic>
                  <pic:nvPicPr>
                    <pic:cNvPr id="415" name="Image 415"/>
                    <pic:cNvPicPr/>
                  </pic:nvPicPr>
                  <pic:blipFill>
                    <a:blip r:embed="rId34" cstate="print"/>
                    <a:stretch>
                      <a:fillRect/>
                    </a:stretch>
                  </pic:blipFill>
                  <pic:spPr>
                    <a:xfrm>
                      <a:off x="0" y="0"/>
                      <a:ext cx="111251" cy="115823"/>
                    </a:xfrm>
                    <a:prstGeom prst="rect">
                      <a:avLst/>
                    </a:prstGeom>
                  </pic:spPr>
                </pic:pic>
              </a:graphicData>
            </a:graphic>
          </wp:anchor>
        </w:drawing>
      </w:r>
      <w:bookmarkStart w:name="b. The portion of the State’s DSRIP expe" w:id="645"/>
      <w:bookmarkEnd w:id="645"/>
      <w:r>
        <w:rPr/>
      </w:r>
      <w:r>
        <w:rPr/>
        <w:t>The</w:t>
      </w:r>
      <w:r>
        <w:rPr>
          <w:spacing w:val="-4"/>
        </w:rPr>
        <w:t> </w:t>
      </w:r>
      <w:r>
        <w:rPr/>
        <w:t>portion</w:t>
      </w:r>
      <w:r>
        <w:rPr>
          <w:spacing w:val="-3"/>
        </w:rPr>
        <w:t> </w:t>
      </w:r>
      <w:r>
        <w:rPr/>
        <w:t>of</w:t>
      </w:r>
      <w:r>
        <w:rPr>
          <w:spacing w:val="-4"/>
        </w:rPr>
        <w:t> </w:t>
      </w:r>
      <w:r>
        <w:rPr/>
        <w:t>the</w:t>
      </w:r>
      <w:r>
        <w:rPr>
          <w:spacing w:val="-4"/>
        </w:rPr>
        <w:t> </w:t>
      </w:r>
      <w:r>
        <w:rPr/>
        <w:t>State’s</w:t>
      </w:r>
      <w:r>
        <w:rPr>
          <w:spacing w:val="-1"/>
        </w:rPr>
        <w:t> </w:t>
      </w:r>
      <w:r>
        <w:rPr/>
        <w:t>DSRIP</w:t>
      </w:r>
      <w:r>
        <w:rPr>
          <w:spacing w:val="-3"/>
        </w:rPr>
        <w:t> </w:t>
      </w:r>
      <w:r>
        <w:rPr/>
        <w:t>expenditure</w:t>
      </w:r>
      <w:r>
        <w:rPr>
          <w:spacing w:val="-4"/>
        </w:rPr>
        <w:t> </w:t>
      </w:r>
      <w:r>
        <w:rPr/>
        <w:t>authority</w:t>
      </w:r>
      <w:r>
        <w:rPr>
          <w:spacing w:val="-7"/>
        </w:rPr>
        <w:t> </w:t>
      </w:r>
      <w:r>
        <w:rPr/>
        <w:t>that</w:t>
      </w:r>
      <w:r>
        <w:rPr>
          <w:spacing w:val="-3"/>
        </w:rPr>
        <w:t> </w:t>
      </w:r>
      <w:r>
        <w:rPr/>
        <w:t>is</w:t>
      </w:r>
      <w:r>
        <w:rPr>
          <w:spacing w:val="-3"/>
        </w:rPr>
        <w:t> </w:t>
      </w:r>
      <w:r>
        <w:rPr/>
        <w:t>at-risk</w:t>
      </w:r>
      <w:r>
        <w:rPr>
          <w:spacing w:val="-3"/>
        </w:rPr>
        <w:t> </w:t>
      </w:r>
      <w:r>
        <w:rPr/>
        <w:t>will</w:t>
      </w:r>
      <w:r>
        <w:rPr>
          <w:spacing w:val="-3"/>
        </w:rPr>
        <w:t> </w:t>
      </w:r>
      <w:r>
        <w:rPr/>
        <w:t>follow</w:t>
      </w:r>
      <w:r>
        <w:rPr>
          <w:spacing w:val="-4"/>
        </w:rPr>
        <w:t> </w:t>
      </w:r>
      <w:r>
        <w:rPr/>
        <w:t>the same</w:t>
      </w:r>
      <w:r>
        <w:rPr>
          <w:spacing w:val="-3"/>
        </w:rPr>
        <w:t> </w:t>
      </w:r>
      <w:r>
        <w:rPr/>
        <w:t>at-risk Budget</w:t>
      </w:r>
      <w:r>
        <w:rPr>
          <w:spacing w:val="-2"/>
        </w:rPr>
        <w:t> </w:t>
      </w:r>
      <w:r>
        <w:rPr/>
        <w:t>Period</w:t>
      </w:r>
      <w:r>
        <w:rPr>
          <w:spacing w:val="-2"/>
        </w:rPr>
        <w:t> </w:t>
      </w:r>
      <w:r>
        <w:rPr/>
        <w:t>structure</w:t>
      </w:r>
      <w:r>
        <w:rPr>
          <w:spacing w:val="-3"/>
        </w:rPr>
        <w:t> </w:t>
      </w:r>
      <w:r>
        <w:rPr/>
        <w:t>as for</w:t>
      </w:r>
      <w:r>
        <w:rPr>
          <w:spacing w:val="-3"/>
        </w:rPr>
        <w:t> </w:t>
      </w:r>
      <w:r>
        <w:rPr/>
        <w:t>the</w:t>
      </w:r>
      <w:r>
        <w:rPr>
          <w:spacing w:val="-3"/>
        </w:rPr>
        <w:t> </w:t>
      </w:r>
      <w:r>
        <w:rPr/>
        <w:t>ACOs.</w:t>
      </w:r>
      <w:r>
        <w:rPr>
          <w:spacing w:val="-2"/>
        </w:rPr>
        <w:t> </w:t>
      </w:r>
      <w:r>
        <w:rPr/>
        <w:t>The</w:t>
      </w:r>
      <w:r>
        <w:rPr>
          <w:spacing w:val="-3"/>
        </w:rPr>
        <w:t> </w:t>
      </w:r>
      <w:r>
        <w:rPr/>
        <w:t>Budget</w:t>
      </w:r>
      <w:r>
        <w:rPr>
          <w:spacing w:val="-2"/>
        </w:rPr>
        <w:t> </w:t>
      </w:r>
      <w:r>
        <w:rPr/>
        <w:t>Period</w:t>
      </w:r>
      <w:r>
        <w:rPr>
          <w:spacing w:val="-2"/>
        </w:rPr>
        <w:t> </w:t>
      </w:r>
      <w:r>
        <w:rPr/>
        <w:t>is</w:t>
      </w:r>
      <w:r>
        <w:rPr>
          <w:spacing w:val="-2"/>
        </w:rPr>
        <w:t> </w:t>
      </w:r>
      <w:r>
        <w:rPr/>
        <w:t>January 1 through December 31, except for Budget Period 5 (January 1, 2022 - March 31,</w:t>
      </w:r>
    </w:p>
    <w:p>
      <w:pPr>
        <w:pStyle w:val="BodyText"/>
        <w:spacing w:before="1"/>
        <w:ind w:left="1411" w:right="1059"/>
      </w:pPr>
      <w:r>
        <w:rPr/>
        <w:t>2023).</w:t>
      </w:r>
      <w:r>
        <w:rPr>
          <w:spacing w:val="40"/>
        </w:rPr>
        <w:t> </w:t>
      </w:r>
      <w:r>
        <w:rPr/>
        <w:t>The</w:t>
      </w:r>
      <w:r>
        <w:rPr>
          <w:spacing w:val="-4"/>
        </w:rPr>
        <w:t> </w:t>
      </w:r>
      <w:r>
        <w:rPr/>
        <w:t>final</w:t>
      </w:r>
      <w:r>
        <w:rPr>
          <w:spacing w:val="-3"/>
        </w:rPr>
        <w:t> </w:t>
      </w:r>
      <w:r>
        <w:rPr/>
        <w:t>2</w:t>
      </w:r>
      <w:r>
        <w:rPr>
          <w:spacing w:val="-3"/>
        </w:rPr>
        <w:t> </w:t>
      </w:r>
      <w:r>
        <w:rPr/>
        <w:t>quarters</w:t>
      </w:r>
      <w:r>
        <w:rPr>
          <w:spacing w:val="-3"/>
        </w:rPr>
        <w:t> </w:t>
      </w:r>
      <w:r>
        <w:rPr/>
        <w:t>of</w:t>
      </w:r>
      <w:r>
        <w:rPr>
          <w:spacing w:val="-4"/>
        </w:rPr>
        <w:t> </w:t>
      </w:r>
      <w:r>
        <w:rPr/>
        <w:t>Budget</w:t>
      </w:r>
      <w:r>
        <w:rPr>
          <w:spacing w:val="-3"/>
        </w:rPr>
        <w:t> </w:t>
      </w:r>
      <w:r>
        <w:rPr/>
        <w:t>Period</w:t>
      </w:r>
      <w:r>
        <w:rPr>
          <w:spacing w:val="-3"/>
        </w:rPr>
        <w:t> </w:t>
      </w:r>
      <w:r>
        <w:rPr/>
        <w:t>5</w:t>
      </w:r>
      <w:r>
        <w:rPr>
          <w:spacing w:val="-3"/>
        </w:rPr>
        <w:t> </w:t>
      </w:r>
      <w:r>
        <w:rPr/>
        <w:t>(October</w:t>
      </w:r>
      <w:r>
        <w:rPr>
          <w:spacing w:val="-4"/>
        </w:rPr>
        <w:t> </w:t>
      </w:r>
      <w:r>
        <w:rPr/>
        <w:t>1,</w:t>
      </w:r>
      <w:r>
        <w:rPr>
          <w:spacing w:val="-3"/>
        </w:rPr>
        <w:t> </w:t>
      </w:r>
      <w:r>
        <w:rPr/>
        <w:t>2022-March</w:t>
      </w:r>
      <w:r>
        <w:rPr>
          <w:spacing w:val="-3"/>
        </w:rPr>
        <w:t> </w:t>
      </w:r>
      <w:r>
        <w:rPr/>
        <w:t>31,</w:t>
      </w:r>
      <w:r>
        <w:rPr>
          <w:spacing w:val="-1"/>
        </w:rPr>
        <w:t> </w:t>
      </w:r>
      <w:r>
        <w:rPr/>
        <w:t>2023) occur in this demonstration extension.</w:t>
      </w:r>
      <w:r>
        <w:rPr>
          <w:spacing w:val="40"/>
        </w:rPr>
        <w:t> </w:t>
      </w:r>
      <w:r>
        <w:rPr/>
        <w:t>Budget Period 5 funds for this extension period will be at-risk in accordance with the table below:</w:t>
      </w:r>
    </w:p>
    <w:p>
      <w:pPr>
        <w:pStyle w:val="BodyText"/>
        <w:spacing w:before="10"/>
        <w:rPr>
          <w:sz w:val="20"/>
        </w:rPr>
      </w:pPr>
    </w:p>
    <w:tbl>
      <w:tblPr>
        <w:tblW w:w="0" w:type="auto"/>
        <w:jc w:val="left"/>
        <w:tblInd w:w="1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09"/>
        <w:gridCol w:w="2520"/>
      </w:tblGrid>
      <w:tr>
        <w:trPr>
          <w:trHeight w:val="254" w:hRule="atLeast"/>
        </w:trPr>
        <w:tc>
          <w:tcPr>
            <w:tcW w:w="6929" w:type="dxa"/>
            <w:gridSpan w:val="2"/>
            <w:shd w:val="clear" w:color="auto" w:fill="DBE6F1"/>
          </w:tcPr>
          <w:p>
            <w:pPr>
              <w:pStyle w:val="TableParagraph"/>
              <w:spacing w:line="234" w:lineRule="exact"/>
              <w:ind w:left="1516"/>
              <w:rPr>
                <w:b/>
                <w:sz w:val="22"/>
              </w:rPr>
            </w:pPr>
            <w:r>
              <w:rPr>
                <w:b/>
                <w:sz w:val="22"/>
              </w:rPr>
              <w:t>Table</w:t>
            </w:r>
            <w:r>
              <w:rPr>
                <w:b/>
                <w:spacing w:val="-3"/>
                <w:sz w:val="22"/>
              </w:rPr>
              <w:t> </w:t>
            </w:r>
            <w:r>
              <w:rPr>
                <w:b/>
                <w:sz w:val="22"/>
              </w:rPr>
              <w:t>11:</w:t>
            </w:r>
            <w:r>
              <w:rPr>
                <w:b/>
                <w:spacing w:val="-4"/>
                <w:sz w:val="22"/>
              </w:rPr>
              <w:t> </w:t>
            </w:r>
            <w:r>
              <w:rPr>
                <w:b/>
                <w:sz w:val="22"/>
              </w:rPr>
              <w:t>Budget</w:t>
            </w:r>
            <w:r>
              <w:rPr>
                <w:b/>
                <w:spacing w:val="-5"/>
                <w:sz w:val="22"/>
              </w:rPr>
              <w:t> </w:t>
            </w:r>
            <w:r>
              <w:rPr>
                <w:b/>
                <w:sz w:val="22"/>
              </w:rPr>
              <w:t>Period</w:t>
            </w:r>
            <w:r>
              <w:rPr>
                <w:b/>
                <w:spacing w:val="-5"/>
                <w:sz w:val="22"/>
              </w:rPr>
              <w:t> </w:t>
            </w:r>
            <w:r>
              <w:rPr>
                <w:b/>
                <w:sz w:val="22"/>
              </w:rPr>
              <w:t>5</w:t>
            </w:r>
            <w:r>
              <w:rPr>
                <w:b/>
                <w:spacing w:val="-2"/>
                <w:sz w:val="22"/>
              </w:rPr>
              <w:t> </w:t>
            </w:r>
            <w:r>
              <w:rPr>
                <w:b/>
                <w:sz w:val="22"/>
              </w:rPr>
              <w:t>At-Risk</w:t>
            </w:r>
            <w:r>
              <w:rPr>
                <w:b/>
                <w:spacing w:val="-5"/>
                <w:sz w:val="22"/>
              </w:rPr>
              <w:t> </w:t>
            </w:r>
            <w:r>
              <w:rPr>
                <w:b/>
                <w:spacing w:val="-2"/>
                <w:sz w:val="22"/>
              </w:rPr>
              <w:t>Funds</w:t>
            </w:r>
          </w:p>
        </w:tc>
      </w:tr>
      <w:tr>
        <w:trPr>
          <w:trHeight w:val="506" w:hRule="atLeast"/>
        </w:trPr>
        <w:tc>
          <w:tcPr>
            <w:tcW w:w="4409" w:type="dxa"/>
            <w:shd w:val="clear" w:color="auto" w:fill="DBE6F1"/>
          </w:tcPr>
          <w:p>
            <w:pPr>
              <w:pStyle w:val="TableParagraph"/>
              <w:spacing w:before="125"/>
              <w:ind w:left="1168"/>
              <w:rPr>
                <w:b/>
                <w:sz w:val="22"/>
              </w:rPr>
            </w:pPr>
            <w:r>
              <w:rPr>
                <w:b/>
                <w:sz w:val="22"/>
              </w:rPr>
              <w:t>DSRIP</w:t>
            </w:r>
            <w:r>
              <w:rPr>
                <w:b/>
                <w:spacing w:val="-6"/>
                <w:sz w:val="22"/>
              </w:rPr>
              <w:t> </w:t>
            </w:r>
            <w:r>
              <w:rPr>
                <w:b/>
                <w:sz w:val="22"/>
              </w:rPr>
              <w:t>Budget</w:t>
            </w:r>
            <w:r>
              <w:rPr>
                <w:b/>
                <w:spacing w:val="-5"/>
                <w:sz w:val="22"/>
              </w:rPr>
              <w:t> </w:t>
            </w:r>
            <w:r>
              <w:rPr>
                <w:b/>
                <w:spacing w:val="-2"/>
                <w:sz w:val="22"/>
              </w:rPr>
              <w:t>Period</w:t>
            </w:r>
          </w:p>
        </w:tc>
        <w:tc>
          <w:tcPr>
            <w:tcW w:w="2520" w:type="dxa"/>
            <w:shd w:val="clear" w:color="auto" w:fill="DBE6F1"/>
          </w:tcPr>
          <w:p>
            <w:pPr>
              <w:pStyle w:val="TableParagraph"/>
              <w:spacing w:line="251" w:lineRule="exact"/>
              <w:ind w:left="137" w:right="127"/>
              <w:jc w:val="center"/>
              <w:rPr>
                <w:b/>
                <w:sz w:val="22"/>
              </w:rPr>
            </w:pPr>
            <w:r>
              <w:rPr>
                <w:b/>
                <w:sz w:val="22"/>
              </w:rPr>
              <w:t>October</w:t>
            </w:r>
            <w:r>
              <w:rPr>
                <w:b/>
                <w:spacing w:val="-4"/>
                <w:sz w:val="22"/>
              </w:rPr>
              <w:t> </w:t>
            </w:r>
            <w:r>
              <w:rPr>
                <w:b/>
                <w:sz w:val="22"/>
              </w:rPr>
              <w:t>1,</w:t>
            </w:r>
            <w:r>
              <w:rPr>
                <w:b/>
                <w:spacing w:val="-1"/>
                <w:sz w:val="22"/>
              </w:rPr>
              <w:t> </w:t>
            </w:r>
            <w:r>
              <w:rPr>
                <w:b/>
                <w:spacing w:val="-2"/>
                <w:sz w:val="22"/>
              </w:rPr>
              <w:t>2022–March</w:t>
            </w:r>
          </w:p>
          <w:p>
            <w:pPr>
              <w:pStyle w:val="TableParagraph"/>
              <w:spacing w:line="235" w:lineRule="exact"/>
              <w:ind w:left="136" w:right="127"/>
              <w:jc w:val="center"/>
              <w:rPr>
                <w:b/>
                <w:sz w:val="22"/>
              </w:rPr>
            </w:pPr>
            <w:r>
              <w:rPr>
                <w:b/>
                <w:sz w:val="22"/>
              </w:rPr>
              <w:t>31, </w:t>
            </w:r>
            <w:r>
              <w:rPr>
                <w:b/>
                <w:spacing w:val="-4"/>
                <w:sz w:val="22"/>
              </w:rPr>
              <w:t>2023</w:t>
            </w:r>
          </w:p>
        </w:tc>
      </w:tr>
      <w:tr>
        <w:trPr>
          <w:trHeight w:val="251" w:hRule="atLeast"/>
        </w:trPr>
        <w:tc>
          <w:tcPr>
            <w:tcW w:w="4409" w:type="dxa"/>
          </w:tcPr>
          <w:p>
            <w:pPr>
              <w:pStyle w:val="TableParagraph"/>
              <w:spacing w:line="232" w:lineRule="exact"/>
              <w:ind w:left="105"/>
              <w:rPr>
                <w:sz w:val="22"/>
              </w:rPr>
            </w:pPr>
            <w:r>
              <w:rPr>
                <w:sz w:val="22"/>
              </w:rPr>
              <w:t>DSRIP</w:t>
            </w:r>
            <w:r>
              <w:rPr>
                <w:spacing w:val="-5"/>
                <w:sz w:val="22"/>
              </w:rPr>
              <w:t> </w:t>
            </w:r>
            <w:r>
              <w:rPr>
                <w:sz w:val="22"/>
              </w:rPr>
              <w:t>Expenditure</w:t>
            </w:r>
            <w:r>
              <w:rPr>
                <w:spacing w:val="-4"/>
                <w:sz w:val="22"/>
              </w:rPr>
              <w:t> </w:t>
            </w:r>
            <w:r>
              <w:rPr>
                <w:spacing w:val="-2"/>
                <w:sz w:val="22"/>
              </w:rPr>
              <w:t>Authority</w:t>
            </w:r>
          </w:p>
        </w:tc>
        <w:tc>
          <w:tcPr>
            <w:tcW w:w="2520" w:type="dxa"/>
          </w:tcPr>
          <w:p>
            <w:pPr>
              <w:pStyle w:val="TableParagraph"/>
              <w:spacing w:line="232" w:lineRule="exact"/>
              <w:ind w:left="137" w:right="127"/>
              <w:jc w:val="center"/>
              <w:rPr>
                <w:sz w:val="22"/>
              </w:rPr>
            </w:pPr>
            <w:r>
              <w:rPr>
                <w:spacing w:val="-2"/>
                <w:sz w:val="22"/>
              </w:rPr>
              <w:t>$135.2M</w:t>
            </w:r>
          </w:p>
        </w:tc>
      </w:tr>
      <w:tr>
        <w:trPr>
          <w:trHeight w:val="253" w:hRule="atLeast"/>
        </w:trPr>
        <w:tc>
          <w:tcPr>
            <w:tcW w:w="4409" w:type="dxa"/>
          </w:tcPr>
          <w:p>
            <w:pPr>
              <w:pStyle w:val="TableParagraph"/>
              <w:spacing w:line="234" w:lineRule="exact"/>
              <w:ind w:left="105"/>
              <w:rPr>
                <w:sz w:val="22"/>
              </w:rPr>
            </w:pPr>
            <w:r>
              <w:rPr>
                <w:sz w:val="22"/>
              </w:rPr>
              <w:t>%</w:t>
            </w:r>
            <w:r>
              <w:rPr>
                <w:spacing w:val="-3"/>
                <w:sz w:val="22"/>
              </w:rPr>
              <w:t> </w:t>
            </w:r>
            <w:r>
              <w:rPr>
                <w:sz w:val="22"/>
              </w:rPr>
              <w:t>of</w:t>
            </w:r>
            <w:r>
              <w:rPr>
                <w:spacing w:val="-3"/>
                <w:sz w:val="22"/>
              </w:rPr>
              <w:t> </w:t>
            </w:r>
            <w:r>
              <w:rPr>
                <w:sz w:val="22"/>
              </w:rPr>
              <w:t>Expenditure</w:t>
            </w:r>
            <w:r>
              <w:rPr>
                <w:spacing w:val="-3"/>
                <w:sz w:val="22"/>
              </w:rPr>
              <w:t> </w:t>
            </w:r>
            <w:r>
              <w:rPr>
                <w:sz w:val="22"/>
              </w:rPr>
              <w:t>Authority</w:t>
            </w:r>
            <w:r>
              <w:rPr>
                <w:spacing w:val="-6"/>
                <w:sz w:val="22"/>
              </w:rPr>
              <w:t> </w:t>
            </w:r>
            <w:r>
              <w:rPr>
                <w:sz w:val="22"/>
              </w:rPr>
              <w:t>At-</w:t>
            </w:r>
            <w:r>
              <w:rPr>
                <w:spacing w:val="-7"/>
                <w:sz w:val="22"/>
              </w:rPr>
              <w:t> </w:t>
            </w:r>
            <w:r>
              <w:rPr>
                <w:spacing w:val="-4"/>
                <w:sz w:val="22"/>
              </w:rPr>
              <w:t>Risk</w:t>
            </w:r>
          </w:p>
        </w:tc>
        <w:tc>
          <w:tcPr>
            <w:tcW w:w="2520" w:type="dxa"/>
          </w:tcPr>
          <w:p>
            <w:pPr>
              <w:pStyle w:val="TableParagraph"/>
              <w:spacing w:line="234" w:lineRule="exact"/>
              <w:ind w:left="137" w:right="127"/>
              <w:jc w:val="center"/>
              <w:rPr>
                <w:sz w:val="22"/>
              </w:rPr>
            </w:pPr>
            <w:r>
              <w:rPr>
                <w:spacing w:val="-5"/>
                <w:sz w:val="22"/>
              </w:rPr>
              <w:t>20%</w:t>
            </w:r>
          </w:p>
        </w:tc>
      </w:tr>
      <w:tr>
        <w:trPr>
          <w:trHeight w:val="253" w:hRule="atLeast"/>
        </w:trPr>
        <w:tc>
          <w:tcPr>
            <w:tcW w:w="4409" w:type="dxa"/>
          </w:tcPr>
          <w:p>
            <w:pPr>
              <w:pStyle w:val="TableParagraph"/>
              <w:spacing w:line="234" w:lineRule="exact"/>
              <w:ind w:left="105"/>
              <w:rPr>
                <w:sz w:val="22"/>
              </w:rPr>
            </w:pPr>
            <w:r>
              <w:rPr>
                <w:sz w:val="22"/>
              </w:rPr>
              <w:t>Actual</w:t>
            </w:r>
            <w:r>
              <w:rPr>
                <w:spacing w:val="-4"/>
                <w:sz w:val="22"/>
              </w:rPr>
              <w:t> </w:t>
            </w:r>
            <w:r>
              <w:rPr>
                <w:sz w:val="22"/>
              </w:rPr>
              <w:t>Expenditure</w:t>
            </w:r>
            <w:r>
              <w:rPr>
                <w:spacing w:val="-5"/>
                <w:sz w:val="22"/>
              </w:rPr>
              <w:t> </w:t>
            </w:r>
            <w:r>
              <w:rPr>
                <w:sz w:val="22"/>
              </w:rPr>
              <w:t>Authority</w:t>
            </w:r>
            <w:r>
              <w:rPr>
                <w:spacing w:val="-8"/>
                <w:sz w:val="22"/>
              </w:rPr>
              <w:t> </w:t>
            </w:r>
            <w:r>
              <w:rPr>
                <w:sz w:val="22"/>
              </w:rPr>
              <w:t>At-</w:t>
            </w:r>
            <w:r>
              <w:rPr>
                <w:spacing w:val="-8"/>
                <w:sz w:val="22"/>
              </w:rPr>
              <w:t> </w:t>
            </w:r>
            <w:r>
              <w:rPr>
                <w:spacing w:val="-4"/>
                <w:sz w:val="22"/>
              </w:rPr>
              <w:t>Risk</w:t>
            </w:r>
          </w:p>
        </w:tc>
        <w:tc>
          <w:tcPr>
            <w:tcW w:w="2520" w:type="dxa"/>
          </w:tcPr>
          <w:p>
            <w:pPr>
              <w:pStyle w:val="TableParagraph"/>
              <w:spacing w:line="234" w:lineRule="exact"/>
              <w:ind w:left="137" w:right="127"/>
              <w:jc w:val="center"/>
              <w:rPr>
                <w:sz w:val="22"/>
              </w:rPr>
            </w:pPr>
            <w:r>
              <w:rPr>
                <w:spacing w:val="-2"/>
                <w:sz w:val="22"/>
              </w:rPr>
              <w:t>$27.0M</w:t>
            </w:r>
          </w:p>
        </w:tc>
      </w:tr>
    </w:tbl>
    <w:p>
      <w:pPr>
        <w:pStyle w:val="BodyText"/>
        <w:spacing w:before="200"/>
        <w:ind w:left="1411" w:right="1059"/>
      </w:pPr>
      <w:r>
        <w:rPr/>
        <w:drawing>
          <wp:anchor distT="0" distB="0" distL="0" distR="0" allowOverlap="1" layoutInCell="1" locked="0" behindDoc="0" simplePos="0" relativeHeight="15936000">
            <wp:simplePos x="0" y="0"/>
            <wp:positionH relativeFrom="page">
              <wp:posOffset>1431036</wp:posOffset>
            </wp:positionH>
            <wp:positionV relativeFrom="paragraph">
              <wp:posOffset>194603</wp:posOffset>
            </wp:positionV>
            <wp:extent cx="96011" cy="80771"/>
            <wp:effectExtent l="0" t="0" r="0" b="0"/>
            <wp:wrapNone/>
            <wp:docPr id="416" name="Image 416"/>
            <wp:cNvGraphicFramePr>
              <a:graphicFrameLocks/>
            </wp:cNvGraphicFramePr>
            <a:graphic>
              <a:graphicData uri="http://schemas.openxmlformats.org/drawingml/2006/picture">
                <pic:pic>
                  <pic:nvPicPr>
                    <pic:cNvPr id="416" name="Image 416"/>
                    <pic:cNvPicPr/>
                  </pic:nvPicPr>
                  <pic:blipFill>
                    <a:blip r:embed="rId41" cstate="print"/>
                    <a:stretch>
                      <a:fillRect/>
                    </a:stretch>
                  </pic:blipFill>
                  <pic:spPr>
                    <a:xfrm>
                      <a:off x="0" y="0"/>
                      <a:ext cx="96011" cy="80771"/>
                    </a:xfrm>
                    <a:prstGeom prst="rect">
                      <a:avLst/>
                    </a:prstGeom>
                  </pic:spPr>
                </pic:pic>
              </a:graphicData>
            </a:graphic>
          </wp:anchor>
        </w:drawing>
      </w:r>
      <w:bookmarkStart w:name="c. State DSRIP Accountability Score. The" w:id="646"/>
      <w:bookmarkEnd w:id="646"/>
      <w:r>
        <w:rPr/>
      </w:r>
      <w:r>
        <w:rPr>
          <w:b/>
        </w:rPr>
        <w:t>State</w:t>
      </w:r>
      <w:r>
        <w:rPr>
          <w:b/>
          <w:spacing w:val="-5"/>
        </w:rPr>
        <w:t> </w:t>
      </w:r>
      <w:r>
        <w:rPr>
          <w:b/>
        </w:rPr>
        <w:t>DSRIP</w:t>
      </w:r>
      <w:r>
        <w:rPr>
          <w:b/>
          <w:spacing w:val="-7"/>
        </w:rPr>
        <w:t> </w:t>
      </w:r>
      <w:r>
        <w:rPr>
          <w:b/>
        </w:rPr>
        <w:t>Accountability</w:t>
      </w:r>
      <w:r>
        <w:rPr>
          <w:b/>
          <w:spacing w:val="-4"/>
        </w:rPr>
        <w:t> </w:t>
      </w:r>
      <w:r>
        <w:rPr>
          <w:b/>
        </w:rPr>
        <w:t>Score.</w:t>
      </w:r>
      <w:r>
        <w:rPr>
          <w:b/>
          <w:spacing w:val="-4"/>
        </w:rPr>
        <w:t> </w:t>
      </w:r>
      <w:r>
        <w:rPr/>
        <w:t>The</w:t>
      </w:r>
      <w:r>
        <w:rPr>
          <w:spacing w:val="-5"/>
        </w:rPr>
        <w:t> </w:t>
      </w:r>
      <w:r>
        <w:rPr/>
        <w:t>State</w:t>
      </w:r>
      <w:r>
        <w:rPr>
          <w:spacing w:val="-5"/>
        </w:rPr>
        <w:t> </w:t>
      </w:r>
      <w:r>
        <w:rPr/>
        <w:t>will</w:t>
      </w:r>
      <w:r>
        <w:rPr>
          <w:spacing w:val="-4"/>
        </w:rPr>
        <w:t> </w:t>
      </w:r>
      <w:r>
        <w:rPr/>
        <w:t>calculate</w:t>
      </w:r>
      <w:r>
        <w:rPr>
          <w:spacing w:val="-5"/>
        </w:rPr>
        <w:t> </w:t>
      </w:r>
      <w:r>
        <w:rPr/>
        <w:t>the</w:t>
      </w:r>
      <w:r>
        <w:rPr>
          <w:spacing w:val="-5"/>
        </w:rPr>
        <w:t> </w:t>
      </w:r>
      <w:r>
        <w:rPr/>
        <w:t>State’s</w:t>
      </w:r>
      <w:r>
        <w:rPr>
          <w:spacing w:val="-4"/>
        </w:rPr>
        <w:t> </w:t>
      </w:r>
      <w:r>
        <w:rPr/>
        <w:t>DSRIP Accountability Score. See DSRIP Protocol Section 5.2. The State DSRIP Accountability will be based on performance in the following domains:</w:t>
      </w:r>
    </w:p>
    <w:p>
      <w:pPr>
        <w:pStyle w:val="BodyText"/>
        <w:spacing w:before="10"/>
        <w:rPr>
          <w:sz w:val="20"/>
        </w:rPr>
      </w:pPr>
    </w:p>
    <w:p>
      <w:pPr>
        <w:pStyle w:val="BodyText"/>
        <w:spacing w:line="379" w:lineRule="auto"/>
        <w:ind w:left="2040" w:right="4546"/>
      </w:pPr>
      <w:r>
        <w:rPr/>
        <w:drawing>
          <wp:anchor distT="0" distB="0" distL="0" distR="0" allowOverlap="1" layoutInCell="1" locked="0" behindDoc="0" simplePos="0" relativeHeight="15936512">
            <wp:simplePos x="0" y="0"/>
            <wp:positionH relativeFrom="page">
              <wp:posOffset>1862327</wp:posOffset>
            </wp:positionH>
            <wp:positionV relativeFrom="paragraph">
              <wp:posOffset>32551</wp:posOffset>
            </wp:positionV>
            <wp:extent cx="73151" cy="115823"/>
            <wp:effectExtent l="0" t="0" r="0" b="0"/>
            <wp:wrapNone/>
            <wp:docPr id="417" name="Image 417"/>
            <wp:cNvGraphicFramePr>
              <a:graphicFrameLocks/>
            </wp:cNvGraphicFramePr>
            <a:graphic>
              <a:graphicData uri="http://schemas.openxmlformats.org/drawingml/2006/picture">
                <pic:pic>
                  <pic:nvPicPr>
                    <pic:cNvPr id="417" name="Image 417"/>
                    <pic:cNvPicPr/>
                  </pic:nvPicPr>
                  <pic:blipFill>
                    <a:blip r:embed="rId61" cstate="print"/>
                    <a:stretch>
                      <a:fillRect/>
                    </a:stretch>
                  </pic:blipFill>
                  <pic:spPr>
                    <a:xfrm>
                      <a:off x="0" y="0"/>
                      <a:ext cx="73151" cy="115823"/>
                    </a:xfrm>
                    <a:prstGeom prst="rect">
                      <a:avLst/>
                    </a:prstGeom>
                  </pic:spPr>
                </pic:pic>
              </a:graphicData>
            </a:graphic>
          </wp:anchor>
        </w:drawing>
      </w:r>
      <w:r>
        <w:rPr/>
        <w:drawing>
          <wp:anchor distT="0" distB="0" distL="0" distR="0" allowOverlap="1" layoutInCell="1" locked="0" behindDoc="0" simplePos="0" relativeHeight="15937024">
            <wp:simplePos x="0" y="0"/>
            <wp:positionH relativeFrom="page">
              <wp:posOffset>1819655</wp:posOffset>
            </wp:positionH>
            <wp:positionV relativeFrom="paragraph">
              <wp:posOffset>309919</wp:posOffset>
            </wp:positionV>
            <wp:extent cx="115823" cy="115823"/>
            <wp:effectExtent l="0" t="0" r="0" b="0"/>
            <wp:wrapNone/>
            <wp:docPr id="418" name="Image 418"/>
            <wp:cNvGraphicFramePr>
              <a:graphicFrameLocks/>
            </wp:cNvGraphicFramePr>
            <a:graphic>
              <a:graphicData uri="http://schemas.openxmlformats.org/drawingml/2006/picture">
                <pic:pic>
                  <pic:nvPicPr>
                    <pic:cNvPr id="418" name="Image 418"/>
                    <pic:cNvPicPr/>
                  </pic:nvPicPr>
                  <pic:blipFill>
                    <a:blip r:embed="rId62" cstate="print"/>
                    <a:stretch>
                      <a:fillRect/>
                    </a:stretch>
                  </pic:blipFill>
                  <pic:spPr>
                    <a:xfrm>
                      <a:off x="0" y="0"/>
                      <a:ext cx="115823" cy="115823"/>
                    </a:xfrm>
                    <a:prstGeom prst="rect">
                      <a:avLst/>
                    </a:prstGeom>
                  </pic:spPr>
                </pic:pic>
              </a:graphicData>
            </a:graphic>
          </wp:anchor>
        </w:drawing>
      </w:r>
      <w:r>
        <w:rPr/>
        <w:drawing>
          <wp:anchor distT="0" distB="0" distL="0" distR="0" allowOverlap="1" layoutInCell="1" locked="0" behindDoc="0" simplePos="0" relativeHeight="15937536">
            <wp:simplePos x="0" y="0"/>
            <wp:positionH relativeFrom="page">
              <wp:posOffset>1778507</wp:posOffset>
            </wp:positionH>
            <wp:positionV relativeFrom="paragraph">
              <wp:posOffset>585763</wp:posOffset>
            </wp:positionV>
            <wp:extent cx="158495" cy="115823"/>
            <wp:effectExtent l="0" t="0" r="0" b="0"/>
            <wp:wrapNone/>
            <wp:docPr id="419" name="Image 419"/>
            <wp:cNvGraphicFramePr>
              <a:graphicFrameLocks/>
            </wp:cNvGraphicFramePr>
            <a:graphic>
              <a:graphicData uri="http://schemas.openxmlformats.org/drawingml/2006/picture">
                <pic:pic>
                  <pic:nvPicPr>
                    <pic:cNvPr id="419" name="Image 419"/>
                    <pic:cNvPicPr/>
                  </pic:nvPicPr>
                  <pic:blipFill>
                    <a:blip r:embed="rId132" cstate="print"/>
                    <a:stretch>
                      <a:fillRect/>
                    </a:stretch>
                  </pic:blipFill>
                  <pic:spPr>
                    <a:xfrm>
                      <a:off x="0" y="0"/>
                      <a:ext cx="158495" cy="115823"/>
                    </a:xfrm>
                    <a:prstGeom prst="rect">
                      <a:avLst/>
                    </a:prstGeom>
                  </pic:spPr>
                </pic:pic>
              </a:graphicData>
            </a:graphic>
          </wp:anchor>
        </w:drawing>
      </w:r>
      <w:bookmarkStart w:name="i. MassHealth ACO/APM Adoption Rate" w:id="647"/>
      <w:bookmarkEnd w:id="647"/>
      <w:r>
        <w:rPr/>
      </w:r>
      <w:r>
        <w:rPr/>
        <w:t>MassHealth ACO/APM Adoption Rate </w:t>
      </w:r>
      <w:bookmarkStart w:name="ii. Reduction in State Spending Growth" w:id="648"/>
      <w:bookmarkEnd w:id="648"/>
      <w:r>
        <w:rPr/>
        <w:t>R</w:t>
      </w:r>
      <w:r>
        <w:rPr/>
        <w:t>eduction in State Spending Growth </w:t>
      </w:r>
      <w:bookmarkStart w:name="iii. ACO Quality and Utilization Perform" w:id="649"/>
      <w:bookmarkEnd w:id="649"/>
      <w:r>
        <w:rPr/>
        <w:t>A</w:t>
      </w:r>
      <w:r>
        <w:rPr/>
        <w:t>CO</w:t>
      </w:r>
      <w:r>
        <w:rPr>
          <w:spacing w:val="-15"/>
        </w:rPr>
        <w:t> </w:t>
      </w:r>
      <w:r>
        <w:rPr/>
        <w:t>Quality</w:t>
      </w:r>
      <w:r>
        <w:rPr>
          <w:spacing w:val="-13"/>
        </w:rPr>
        <w:t> </w:t>
      </w:r>
      <w:r>
        <w:rPr/>
        <w:t>and</w:t>
      </w:r>
      <w:r>
        <w:rPr>
          <w:spacing w:val="-9"/>
        </w:rPr>
        <w:t> </w:t>
      </w:r>
      <w:r>
        <w:rPr/>
        <w:t>Utilization</w:t>
      </w:r>
      <w:r>
        <w:rPr>
          <w:spacing w:val="-15"/>
        </w:rPr>
        <w:t> </w:t>
      </w:r>
      <w:r>
        <w:rPr/>
        <w:t>Performance</w:t>
      </w:r>
    </w:p>
    <w:p>
      <w:pPr>
        <w:pStyle w:val="BodyText"/>
        <w:spacing w:before="39"/>
        <w:ind w:left="1411" w:right="1059"/>
      </w:pPr>
      <w:r>
        <w:rPr/>
        <w:drawing>
          <wp:anchor distT="0" distB="0" distL="0" distR="0" allowOverlap="1" layoutInCell="1" locked="0" behindDoc="0" simplePos="0" relativeHeight="15938048">
            <wp:simplePos x="0" y="0"/>
            <wp:positionH relativeFrom="page">
              <wp:posOffset>1431036</wp:posOffset>
            </wp:positionH>
            <wp:positionV relativeFrom="paragraph">
              <wp:posOffset>57316</wp:posOffset>
            </wp:positionV>
            <wp:extent cx="105155" cy="115823"/>
            <wp:effectExtent l="0" t="0" r="0" b="0"/>
            <wp:wrapNone/>
            <wp:docPr id="420" name="Image 420"/>
            <wp:cNvGraphicFramePr>
              <a:graphicFrameLocks/>
            </wp:cNvGraphicFramePr>
            <a:graphic>
              <a:graphicData uri="http://schemas.openxmlformats.org/drawingml/2006/picture">
                <pic:pic>
                  <pic:nvPicPr>
                    <pic:cNvPr id="420" name="Image 420"/>
                    <pic:cNvPicPr/>
                  </pic:nvPicPr>
                  <pic:blipFill>
                    <a:blip r:embed="rId36" cstate="print"/>
                    <a:stretch>
                      <a:fillRect/>
                    </a:stretch>
                  </pic:blipFill>
                  <pic:spPr>
                    <a:xfrm>
                      <a:off x="0" y="0"/>
                      <a:ext cx="105155" cy="115823"/>
                    </a:xfrm>
                    <a:prstGeom prst="rect">
                      <a:avLst/>
                    </a:prstGeom>
                  </pic:spPr>
                </pic:pic>
              </a:graphicData>
            </a:graphic>
          </wp:anchor>
        </w:drawing>
      </w:r>
      <w:bookmarkStart w:name="d. Each domain will be assigned a domain" w:id="650"/>
      <w:bookmarkEnd w:id="650"/>
      <w:r>
        <w:rPr/>
      </w:r>
      <w:r>
        <w:rPr/>
        <w:t>Each domain will be assigned a domain weight for each performance year, such that the</w:t>
      </w:r>
      <w:r>
        <w:rPr>
          <w:spacing w:val="-4"/>
        </w:rPr>
        <w:t> </w:t>
      </w:r>
      <w:r>
        <w:rPr/>
        <w:t>sum</w:t>
      </w:r>
      <w:r>
        <w:rPr>
          <w:spacing w:val="-3"/>
        </w:rPr>
        <w:t> </w:t>
      </w:r>
      <w:r>
        <w:rPr/>
        <w:t>of</w:t>
      </w:r>
      <w:r>
        <w:rPr>
          <w:spacing w:val="-4"/>
        </w:rPr>
        <w:t> </w:t>
      </w:r>
      <w:r>
        <w:rPr/>
        <w:t>the</w:t>
      </w:r>
      <w:r>
        <w:rPr>
          <w:spacing w:val="-4"/>
        </w:rPr>
        <w:t> </w:t>
      </w:r>
      <w:r>
        <w:rPr/>
        <w:t>domain</w:t>
      </w:r>
      <w:r>
        <w:rPr>
          <w:spacing w:val="-3"/>
        </w:rPr>
        <w:t> </w:t>
      </w:r>
      <w:r>
        <w:rPr/>
        <w:t>weights</w:t>
      </w:r>
      <w:r>
        <w:rPr>
          <w:spacing w:val="-3"/>
        </w:rPr>
        <w:t> </w:t>
      </w:r>
      <w:r>
        <w:rPr/>
        <w:t>is</w:t>
      </w:r>
      <w:r>
        <w:rPr>
          <w:spacing w:val="-3"/>
        </w:rPr>
        <w:t> </w:t>
      </w:r>
      <w:r>
        <w:rPr/>
        <w:t>100%</w:t>
      </w:r>
      <w:r>
        <w:rPr>
          <w:spacing w:val="-4"/>
        </w:rPr>
        <w:t> </w:t>
      </w:r>
      <w:r>
        <w:rPr/>
        <w:t>each year.</w:t>
      </w:r>
      <w:r>
        <w:rPr>
          <w:spacing w:val="-1"/>
        </w:rPr>
        <w:t> </w:t>
      </w:r>
      <w:r>
        <w:rPr/>
        <w:t>State</w:t>
      </w:r>
      <w:r>
        <w:rPr>
          <w:spacing w:val="-4"/>
        </w:rPr>
        <w:t> </w:t>
      </w:r>
      <w:r>
        <w:rPr/>
        <w:t>performance</w:t>
      </w:r>
      <w:r>
        <w:rPr>
          <w:spacing w:val="-4"/>
        </w:rPr>
        <w:t> </w:t>
      </w:r>
      <w:r>
        <w:rPr/>
        <w:t>in</w:t>
      </w:r>
      <w:r>
        <w:rPr>
          <w:spacing w:val="-3"/>
        </w:rPr>
        <w:t> </w:t>
      </w:r>
      <w:r>
        <w:rPr/>
        <w:t>each</w:t>
      </w:r>
      <w:r>
        <w:rPr>
          <w:spacing w:val="-3"/>
        </w:rPr>
        <w:t> </w:t>
      </w:r>
      <w:r>
        <w:rPr/>
        <w:t>domain will be multiplied by the associated weight, and then summed together to create an</w:t>
      </w:r>
    </w:p>
    <w:p>
      <w:pPr>
        <w:spacing w:after="0"/>
        <w:sectPr>
          <w:pgSz w:w="12240" w:h="15840"/>
          <w:pgMar w:header="0" w:footer="1201" w:top="1360" w:bottom="1400" w:left="1200" w:right="400"/>
        </w:sectPr>
      </w:pPr>
    </w:p>
    <w:p>
      <w:pPr>
        <w:pStyle w:val="BodyText"/>
        <w:spacing w:before="79"/>
        <w:ind w:left="1411" w:right="1141"/>
      </w:pPr>
      <w:r>
        <w:rPr/>
        <w:t>aggregate score, namely the State’s DSRIP Accountability Score. The State will report its Accountability Score to CMS once it is available, and the score will then be</w:t>
      </w:r>
      <w:r>
        <w:rPr>
          <w:spacing w:val="-4"/>
        </w:rPr>
        <w:t> </w:t>
      </w:r>
      <w:r>
        <w:rPr/>
        <w:t>used</w:t>
      </w:r>
      <w:r>
        <w:rPr>
          <w:spacing w:val="-3"/>
        </w:rPr>
        <w:t> </w:t>
      </w:r>
      <w:r>
        <w:rPr/>
        <w:t>by</w:t>
      </w:r>
      <w:r>
        <w:rPr>
          <w:spacing w:val="-8"/>
        </w:rPr>
        <w:t> </w:t>
      </w:r>
      <w:r>
        <w:rPr/>
        <w:t>the</w:t>
      </w:r>
      <w:r>
        <w:rPr>
          <w:spacing w:val="-4"/>
        </w:rPr>
        <w:t> </w:t>
      </w:r>
      <w:r>
        <w:rPr/>
        <w:t>State</w:t>
      </w:r>
      <w:r>
        <w:rPr>
          <w:spacing w:val="-4"/>
        </w:rPr>
        <w:t> </w:t>
      </w:r>
      <w:r>
        <w:rPr/>
        <w:t>and</w:t>
      </w:r>
      <w:r>
        <w:rPr>
          <w:spacing w:val="-1"/>
        </w:rPr>
        <w:t> </w:t>
      </w:r>
      <w:r>
        <w:rPr/>
        <w:t>CMS</w:t>
      </w:r>
      <w:r>
        <w:rPr>
          <w:spacing w:val="-3"/>
        </w:rPr>
        <w:t> </w:t>
      </w:r>
      <w:r>
        <w:rPr/>
        <w:t>to</w:t>
      </w:r>
      <w:r>
        <w:rPr>
          <w:spacing w:val="-4"/>
        </w:rPr>
        <w:t> </w:t>
      </w:r>
      <w:r>
        <w:rPr/>
        <w:t>determine</w:t>
      </w:r>
      <w:r>
        <w:rPr>
          <w:spacing w:val="-4"/>
        </w:rPr>
        <w:t> </w:t>
      </w:r>
      <w:r>
        <w:rPr/>
        <w:t>whether</w:t>
      </w:r>
      <w:r>
        <w:rPr>
          <w:spacing w:val="-4"/>
        </w:rPr>
        <w:t> </w:t>
      </w:r>
      <w:r>
        <w:rPr/>
        <w:t>the</w:t>
      </w:r>
      <w:r>
        <w:rPr>
          <w:spacing w:val="-4"/>
        </w:rPr>
        <w:t> </w:t>
      </w:r>
      <w:r>
        <w:rPr/>
        <w:t>State’s</w:t>
      </w:r>
      <w:r>
        <w:rPr>
          <w:spacing w:val="-3"/>
        </w:rPr>
        <w:t> </w:t>
      </w:r>
      <w:r>
        <w:rPr/>
        <w:t>DSRIP</w:t>
      </w:r>
      <w:r>
        <w:rPr>
          <w:spacing w:val="-3"/>
        </w:rPr>
        <w:t> </w:t>
      </w:r>
      <w:r>
        <w:rPr/>
        <w:t>expenditure authority might be reduced.</w:t>
      </w:r>
    </w:p>
    <w:p>
      <w:pPr>
        <w:pStyle w:val="BodyText"/>
        <w:spacing w:before="10"/>
        <w:rPr>
          <w:sz w:val="20"/>
        </w:rPr>
      </w:pPr>
    </w:p>
    <w:p>
      <w:pPr>
        <w:pStyle w:val="BodyText"/>
        <w:ind w:left="1411" w:right="1059"/>
      </w:pPr>
      <w:r>
        <w:rPr/>
        <w:drawing>
          <wp:anchor distT="0" distB="0" distL="0" distR="0" allowOverlap="1" layoutInCell="1" locked="0" behindDoc="0" simplePos="0" relativeHeight="15938560">
            <wp:simplePos x="0" y="0"/>
            <wp:positionH relativeFrom="page">
              <wp:posOffset>1431036</wp:posOffset>
            </wp:positionH>
            <wp:positionV relativeFrom="paragraph">
              <wp:posOffset>67603</wp:posOffset>
            </wp:positionV>
            <wp:extent cx="96011" cy="80771"/>
            <wp:effectExtent l="0" t="0" r="0" b="0"/>
            <wp:wrapNone/>
            <wp:docPr id="421" name="Image 421"/>
            <wp:cNvGraphicFramePr>
              <a:graphicFrameLocks/>
            </wp:cNvGraphicFramePr>
            <a:graphic>
              <a:graphicData uri="http://schemas.openxmlformats.org/drawingml/2006/picture">
                <pic:pic>
                  <pic:nvPicPr>
                    <pic:cNvPr id="421" name="Image 421"/>
                    <pic:cNvPicPr/>
                  </pic:nvPicPr>
                  <pic:blipFill>
                    <a:blip r:embed="rId87" cstate="print"/>
                    <a:stretch>
                      <a:fillRect/>
                    </a:stretch>
                  </pic:blipFill>
                  <pic:spPr>
                    <a:xfrm>
                      <a:off x="0" y="0"/>
                      <a:ext cx="96011" cy="80771"/>
                    </a:xfrm>
                    <a:prstGeom prst="rect">
                      <a:avLst/>
                    </a:prstGeom>
                  </pic:spPr>
                </pic:pic>
              </a:graphicData>
            </a:graphic>
          </wp:anchor>
        </w:drawing>
      </w:r>
      <w:bookmarkStart w:name="e. Corrective Action Plan for purposes o" w:id="651"/>
      <w:bookmarkEnd w:id="651"/>
      <w:r>
        <w:rPr/>
      </w:r>
      <w:r>
        <w:rPr>
          <w:b/>
        </w:rPr>
        <w:t>Corrective Action Plan for purposes of DSRIP Accountability. </w:t>
      </w:r>
      <w:r>
        <w:rPr/>
        <w:t>In the event that the State does not achieve a 100% DSRIP Accountability Score, the State will provide CMS with a Corrective Action Plan including steps the State will take to regain any</w:t>
      </w:r>
      <w:r>
        <w:rPr>
          <w:spacing w:val="-2"/>
        </w:rPr>
        <w:t> </w:t>
      </w:r>
      <w:r>
        <w:rPr/>
        <w:t>reduction to its DSRIP expenditure authority; and potential modification of</w:t>
      </w:r>
      <w:r>
        <w:rPr>
          <w:spacing w:val="-4"/>
        </w:rPr>
        <w:t> </w:t>
      </w:r>
      <w:r>
        <w:rPr/>
        <w:t>accountability</w:t>
      </w:r>
      <w:r>
        <w:rPr>
          <w:spacing w:val="-8"/>
        </w:rPr>
        <w:t> </w:t>
      </w:r>
      <w:r>
        <w:rPr/>
        <w:t>targets.</w:t>
      </w:r>
      <w:r>
        <w:rPr>
          <w:spacing w:val="-3"/>
        </w:rPr>
        <w:t> </w:t>
      </w:r>
      <w:r>
        <w:rPr/>
        <w:t>The</w:t>
      </w:r>
      <w:r>
        <w:rPr>
          <w:spacing w:val="-4"/>
        </w:rPr>
        <w:t> </w:t>
      </w:r>
      <w:r>
        <w:rPr/>
        <w:t>State’s</w:t>
      </w:r>
      <w:r>
        <w:rPr>
          <w:spacing w:val="-3"/>
        </w:rPr>
        <w:t> </w:t>
      </w:r>
      <w:r>
        <w:rPr/>
        <w:t>Corrective</w:t>
      </w:r>
      <w:r>
        <w:rPr>
          <w:spacing w:val="-4"/>
        </w:rPr>
        <w:t> </w:t>
      </w:r>
      <w:r>
        <w:rPr/>
        <w:t>Action</w:t>
      </w:r>
      <w:r>
        <w:rPr>
          <w:spacing w:val="-3"/>
        </w:rPr>
        <w:t> </w:t>
      </w:r>
      <w:r>
        <w:rPr/>
        <w:t>Plan</w:t>
      </w:r>
      <w:r>
        <w:rPr>
          <w:spacing w:val="-3"/>
        </w:rPr>
        <w:t> </w:t>
      </w:r>
      <w:r>
        <w:rPr/>
        <w:t>will</w:t>
      </w:r>
      <w:r>
        <w:rPr>
          <w:spacing w:val="-3"/>
        </w:rPr>
        <w:t> </w:t>
      </w:r>
      <w:r>
        <w:rPr/>
        <w:t>be</w:t>
      </w:r>
      <w:r>
        <w:rPr>
          <w:spacing w:val="-4"/>
        </w:rPr>
        <w:t> </w:t>
      </w:r>
      <w:r>
        <w:rPr/>
        <w:t>subject</w:t>
      </w:r>
      <w:r>
        <w:rPr>
          <w:spacing w:val="-3"/>
        </w:rPr>
        <w:t> </w:t>
      </w:r>
      <w:r>
        <w:rPr/>
        <w:t>to</w:t>
      </w:r>
      <w:r>
        <w:rPr>
          <w:spacing w:val="-3"/>
        </w:rPr>
        <w:t> </w:t>
      </w:r>
      <w:r>
        <w:rPr/>
        <w:t>CMS </w:t>
      </w:r>
      <w:r>
        <w:rPr>
          <w:spacing w:val="-2"/>
        </w:rPr>
        <w:t>approval.</w:t>
      </w:r>
    </w:p>
    <w:p>
      <w:pPr>
        <w:pStyle w:val="BodyText"/>
        <w:spacing w:before="10"/>
        <w:rPr>
          <w:sz w:val="20"/>
        </w:rPr>
      </w:pPr>
    </w:p>
    <w:p>
      <w:pPr>
        <w:pStyle w:val="BodyText"/>
        <w:ind w:left="1411" w:right="1059"/>
      </w:pPr>
      <w:r>
        <w:rPr/>
        <w:drawing>
          <wp:anchor distT="0" distB="0" distL="0" distR="0" allowOverlap="1" layoutInCell="1" locked="0" behindDoc="0" simplePos="0" relativeHeight="15939072">
            <wp:simplePos x="0" y="0"/>
            <wp:positionH relativeFrom="page">
              <wp:posOffset>1431036</wp:posOffset>
            </wp:positionH>
            <wp:positionV relativeFrom="paragraph">
              <wp:posOffset>32552</wp:posOffset>
            </wp:positionV>
            <wp:extent cx="79247" cy="115823"/>
            <wp:effectExtent l="0" t="0" r="0" b="0"/>
            <wp:wrapNone/>
            <wp:docPr id="422" name="Image 422"/>
            <wp:cNvGraphicFramePr>
              <a:graphicFrameLocks/>
            </wp:cNvGraphicFramePr>
            <a:graphic>
              <a:graphicData uri="http://schemas.openxmlformats.org/drawingml/2006/picture">
                <pic:pic>
                  <pic:nvPicPr>
                    <pic:cNvPr id="422" name="Image 422"/>
                    <pic:cNvPicPr/>
                  </pic:nvPicPr>
                  <pic:blipFill>
                    <a:blip r:embed="rId42" cstate="print"/>
                    <a:stretch>
                      <a:fillRect/>
                    </a:stretch>
                  </pic:blipFill>
                  <pic:spPr>
                    <a:xfrm>
                      <a:off x="0" y="0"/>
                      <a:ext cx="79247" cy="115823"/>
                    </a:xfrm>
                    <a:prstGeom prst="rect">
                      <a:avLst/>
                    </a:prstGeom>
                  </pic:spPr>
                </pic:pic>
              </a:graphicData>
            </a:graphic>
          </wp:anchor>
        </w:drawing>
      </w:r>
      <w:bookmarkStart w:name="f. MassHealth ACO/APM Adoption Rate for " w:id="652"/>
      <w:bookmarkEnd w:id="652"/>
      <w:r>
        <w:rPr/>
      </w:r>
      <w:r>
        <w:rPr>
          <w:b/>
        </w:rPr>
        <w:t>MassHealth ACO/APM Adoption Rate for purposes of DSRIP Accountability. </w:t>
      </w:r>
      <w:r>
        <w:rPr/>
        <w:t>The State will have target percentages for the number of MassHealth ACO-eligible lives served by</w:t>
      </w:r>
      <w:r>
        <w:rPr>
          <w:spacing w:val="-5"/>
        </w:rPr>
        <w:t> </w:t>
      </w:r>
      <w:r>
        <w:rPr/>
        <w:t>ACOs or who receive</w:t>
      </w:r>
      <w:r>
        <w:rPr>
          <w:spacing w:val="-1"/>
        </w:rPr>
        <w:t> </w:t>
      </w:r>
      <w:r>
        <w:rPr/>
        <w:t>services from providers paid</w:t>
      </w:r>
      <w:r>
        <w:rPr>
          <w:spacing w:val="-25"/>
        </w:rPr>
        <w:t> </w:t>
      </w:r>
      <w:r>
        <w:rPr/>
        <w:t>under APMs. The State will calculate the percentage of ACO-eligible lives served by ACOs or who receive</w:t>
      </w:r>
      <w:r>
        <w:rPr>
          <w:spacing w:val="-4"/>
        </w:rPr>
        <w:t> </w:t>
      </w:r>
      <w:r>
        <w:rPr/>
        <w:t>services</w:t>
      </w:r>
      <w:r>
        <w:rPr>
          <w:spacing w:val="-3"/>
        </w:rPr>
        <w:t> </w:t>
      </w:r>
      <w:r>
        <w:rPr/>
        <w:t>from</w:t>
      </w:r>
      <w:r>
        <w:rPr>
          <w:spacing w:val="-3"/>
        </w:rPr>
        <w:t> </w:t>
      </w:r>
      <w:r>
        <w:rPr/>
        <w:t>providers</w:t>
      </w:r>
      <w:r>
        <w:rPr>
          <w:spacing w:val="-3"/>
        </w:rPr>
        <w:t> </w:t>
      </w:r>
      <w:r>
        <w:rPr/>
        <w:t>paid</w:t>
      </w:r>
      <w:r>
        <w:rPr>
          <w:spacing w:val="-3"/>
        </w:rPr>
        <w:t> </w:t>
      </w:r>
      <w:r>
        <w:rPr/>
        <w:t>under</w:t>
      </w:r>
      <w:r>
        <w:rPr>
          <w:spacing w:val="-2"/>
        </w:rPr>
        <w:t> </w:t>
      </w:r>
      <w:r>
        <w:rPr/>
        <w:t>APMs.</w:t>
      </w:r>
      <w:r>
        <w:rPr>
          <w:spacing w:val="-3"/>
        </w:rPr>
        <w:t> </w:t>
      </w:r>
      <w:r>
        <w:rPr/>
        <w:t>The</w:t>
      </w:r>
      <w:r>
        <w:rPr>
          <w:spacing w:val="-4"/>
        </w:rPr>
        <w:t> </w:t>
      </w:r>
      <w:r>
        <w:rPr/>
        <w:t>State</w:t>
      </w:r>
      <w:r>
        <w:rPr>
          <w:spacing w:val="-4"/>
        </w:rPr>
        <w:t> </w:t>
      </w:r>
      <w:r>
        <w:rPr/>
        <w:t>must</w:t>
      </w:r>
      <w:r>
        <w:rPr>
          <w:spacing w:val="-3"/>
        </w:rPr>
        <w:t> </w:t>
      </w:r>
      <w:r>
        <w:rPr/>
        <w:t>meet</w:t>
      </w:r>
      <w:r>
        <w:rPr>
          <w:spacing w:val="-3"/>
        </w:rPr>
        <w:t> </w:t>
      </w:r>
      <w:r>
        <w:rPr/>
        <w:t>or</w:t>
      </w:r>
      <w:r>
        <w:rPr>
          <w:spacing w:val="-4"/>
        </w:rPr>
        <w:t> </w:t>
      </w:r>
      <w:r>
        <w:rPr/>
        <w:t>surpass</w:t>
      </w:r>
      <w:r>
        <w:rPr>
          <w:spacing w:val="-3"/>
        </w:rPr>
        <w:t> </w:t>
      </w:r>
      <w:r>
        <w:rPr/>
        <w:t>its targets in order to earn a 100% score on this domain. If the State does not meet the target, then it will earn a 0% score for that Budget Period.</w:t>
      </w:r>
    </w:p>
    <w:p>
      <w:pPr>
        <w:pStyle w:val="BodyText"/>
        <w:spacing w:before="10"/>
        <w:rPr>
          <w:sz w:val="20"/>
        </w:rPr>
      </w:pPr>
    </w:p>
    <w:p>
      <w:pPr>
        <w:pStyle w:val="BodyText"/>
        <w:ind w:left="1411" w:right="1050"/>
      </w:pPr>
      <w:r>
        <w:rPr/>
        <w:drawing>
          <wp:anchor distT="0" distB="0" distL="0" distR="0" allowOverlap="1" layoutInCell="1" locked="0" behindDoc="0" simplePos="0" relativeHeight="15939584">
            <wp:simplePos x="0" y="0"/>
            <wp:positionH relativeFrom="page">
              <wp:posOffset>1429511</wp:posOffset>
            </wp:positionH>
            <wp:positionV relativeFrom="paragraph">
              <wp:posOffset>67603</wp:posOffset>
            </wp:positionV>
            <wp:extent cx="105155" cy="111251"/>
            <wp:effectExtent l="0" t="0" r="0" b="0"/>
            <wp:wrapNone/>
            <wp:docPr id="423" name="Image 423"/>
            <wp:cNvGraphicFramePr>
              <a:graphicFrameLocks/>
            </wp:cNvGraphicFramePr>
            <a:graphic>
              <a:graphicData uri="http://schemas.openxmlformats.org/drawingml/2006/picture">
                <pic:pic>
                  <pic:nvPicPr>
                    <pic:cNvPr id="423" name="Image 423"/>
                    <pic:cNvPicPr/>
                  </pic:nvPicPr>
                  <pic:blipFill>
                    <a:blip r:embed="rId43" cstate="print"/>
                    <a:stretch>
                      <a:fillRect/>
                    </a:stretch>
                  </pic:blipFill>
                  <pic:spPr>
                    <a:xfrm>
                      <a:off x="0" y="0"/>
                      <a:ext cx="105155" cy="111251"/>
                    </a:xfrm>
                    <a:prstGeom prst="rect">
                      <a:avLst/>
                    </a:prstGeom>
                  </pic:spPr>
                </pic:pic>
              </a:graphicData>
            </a:graphic>
          </wp:anchor>
        </w:drawing>
      </w:r>
      <w:bookmarkStart w:name="g. Reduction in State Spending Growth fo" w:id="653"/>
      <w:bookmarkEnd w:id="653"/>
      <w:r>
        <w:rPr/>
      </w:r>
      <w:r>
        <w:rPr>
          <w:b/>
        </w:rPr>
        <w:t>Reduction in State Spending Growth for purposes of DSRIP Accountability. </w:t>
      </w:r>
      <w:r>
        <w:rPr/>
        <w:t>The State and CMS agree to a detailed methodology for calculating the State’s reduction in spending growth. In general, the State is, by CY2022, accountable to a 2.1% reduction in PMPMs for the ACO-enrolled population, off of “trended PMPMs” (described below). The State’s trend line over the course of the DSRIP program is 4.4% annually, which is the “without waiver” trend rate calculated by CMS based on the 2017 President’s Budget Medicaid Baseline smoothed per capita cost trend with all populations combined (2017-2022). This trend rate was applied to the base PMPM rate in CY2017 (i.e. pre-ACO). The trend is compounded over the five Budget Periods, and the percent reduction will be determined according to the following calculation: percent reduction = (trended PMPM minus actual PMPM) / (trended</w:t>
      </w:r>
      <w:r>
        <w:rPr>
          <w:spacing w:val="-3"/>
        </w:rPr>
        <w:t> </w:t>
      </w:r>
      <w:r>
        <w:rPr/>
        <w:t>PMPM).</w:t>
      </w:r>
      <w:r>
        <w:rPr>
          <w:spacing w:val="-3"/>
        </w:rPr>
        <w:t> </w:t>
      </w:r>
      <w:r>
        <w:rPr/>
        <w:t>Prior</w:t>
      </w:r>
      <w:r>
        <w:rPr>
          <w:spacing w:val="-4"/>
        </w:rPr>
        <w:t> </w:t>
      </w:r>
      <w:r>
        <w:rPr/>
        <w:t>to</w:t>
      </w:r>
      <w:r>
        <w:rPr>
          <w:spacing w:val="-3"/>
        </w:rPr>
        <w:t> </w:t>
      </w:r>
      <w:r>
        <w:rPr/>
        <w:t>CY2022,</w:t>
      </w:r>
      <w:r>
        <w:rPr>
          <w:spacing w:val="-3"/>
        </w:rPr>
        <w:t> </w:t>
      </w:r>
      <w:r>
        <w:rPr/>
        <w:t>the</w:t>
      </w:r>
      <w:r>
        <w:rPr>
          <w:spacing w:val="-4"/>
        </w:rPr>
        <w:t> </w:t>
      </w:r>
      <w:r>
        <w:rPr/>
        <w:t>State</w:t>
      </w:r>
      <w:r>
        <w:rPr>
          <w:spacing w:val="-4"/>
        </w:rPr>
        <w:t> </w:t>
      </w:r>
      <w:r>
        <w:rPr/>
        <w:t>had</w:t>
      </w:r>
      <w:r>
        <w:rPr>
          <w:spacing w:val="-4"/>
        </w:rPr>
        <w:t> </w:t>
      </w:r>
      <w:r>
        <w:rPr/>
        <w:t>target</w:t>
      </w:r>
      <w:r>
        <w:rPr>
          <w:spacing w:val="-3"/>
        </w:rPr>
        <w:t> </w:t>
      </w:r>
      <w:r>
        <w:rPr/>
        <w:t>reductions</w:t>
      </w:r>
      <w:r>
        <w:rPr>
          <w:spacing w:val="-3"/>
        </w:rPr>
        <w:t> </w:t>
      </w:r>
      <w:r>
        <w:rPr/>
        <w:t>smaller</w:t>
      </w:r>
      <w:r>
        <w:rPr>
          <w:spacing w:val="-3"/>
        </w:rPr>
        <w:t> </w:t>
      </w:r>
      <w:r>
        <w:rPr/>
        <w:t>than</w:t>
      </w:r>
      <w:r>
        <w:rPr>
          <w:spacing w:val="-3"/>
        </w:rPr>
        <w:t> </w:t>
      </w:r>
      <w:r>
        <w:rPr/>
        <w:t>2.1% off of the trended PMPM.</w:t>
      </w:r>
    </w:p>
    <w:p>
      <w:pPr>
        <w:pStyle w:val="BodyText"/>
        <w:spacing w:before="10"/>
        <w:rPr>
          <w:sz w:val="20"/>
        </w:rPr>
      </w:pPr>
    </w:p>
    <w:p>
      <w:pPr>
        <w:pStyle w:val="BodyText"/>
        <w:spacing w:before="1"/>
        <w:ind w:left="1411" w:right="1059"/>
      </w:pPr>
      <w:bookmarkStart w:name="Prior to CY2019, spending reduction targ" w:id="654"/>
      <w:bookmarkEnd w:id="654"/>
      <w:r>
        <w:rPr/>
      </w:r>
      <w:r>
        <w:rPr/>
        <w:t>Prior to CY2019, spending reduction targets were adjusted to reflect CY2017 baseline</w:t>
      </w:r>
      <w:r>
        <w:rPr>
          <w:spacing w:val="-5"/>
        </w:rPr>
        <w:t> </w:t>
      </w:r>
      <w:r>
        <w:rPr/>
        <w:t>performance.</w:t>
      </w:r>
      <w:r>
        <w:rPr>
          <w:spacing w:val="-2"/>
        </w:rPr>
        <w:t> </w:t>
      </w:r>
      <w:r>
        <w:rPr/>
        <w:t>In</w:t>
      </w:r>
      <w:r>
        <w:rPr>
          <w:spacing w:val="-2"/>
        </w:rPr>
        <w:t> </w:t>
      </w:r>
      <w:r>
        <w:rPr/>
        <w:t>the</w:t>
      </w:r>
      <w:r>
        <w:rPr>
          <w:spacing w:val="-5"/>
        </w:rPr>
        <w:t> </w:t>
      </w:r>
      <w:r>
        <w:rPr/>
        <w:t>detailed</w:t>
      </w:r>
      <w:r>
        <w:rPr>
          <w:spacing w:val="-4"/>
        </w:rPr>
        <w:t> </w:t>
      </w:r>
      <w:r>
        <w:rPr/>
        <w:t>methodology</w:t>
      </w:r>
      <w:r>
        <w:rPr>
          <w:spacing w:val="-6"/>
        </w:rPr>
        <w:t> </w:t>
      </w:r>
      <w:r>
        <w:rPr/>
        <w:t>that</w:t>
      </w:r>
      <w:r>
        <w:rPr>
          <w:spacing w:val="-4"/>
        </w:rPr>
        <w:t> </w:t>
      </w:r>
      <w:r>
        <w:rPr/>
        <w:t>CMS</w:t>
      </w:r>
      <w:r>
        <w:rPr>
          <w:spacing w:val="-4"/>
        </w:rPr>
        <w:t> </w:t>
      </w:r>
      <w:r>
        <w:rPr/>
        <w:t>and</w:t>
      </w:r>
      <w:r>
        <w:rPr>
          <w:spacing w:val="-4"/>
        </w:rPr>
        <w:t> </w:t>
      </w:r>
      <w:r>
        <w:rPr/>
        <w:t>the</w:t>
      </w:r>
      <w:r>
        <w:rPr>
          <w:spacing w:val="-5"/>
        </w:rPr>
        <w:t> </w:t>
      </w:r>
      <w:r>
        <w:rPr/>
        <w:t>State</w:t>
      </w:r>
      <w:r>
        <w:rPr>
          <w:spacing w:val="-5"/>
        </w:rPr>
        <w:t> </w:t>
      </w:r>
      <w:r>
        <w:rPr/>
        <w:t>agree</w:t>
      </w:r>
      <w:r>
        <w:rPr>
          <w:spacing w:val="-5"/>
        </w:rPr>
        <w:t> </w:t>
      </w:r>
      <w:r>
        <w:rPr/>
        <w:t>to, these measurements of PMPM spend will:</w:t>
      </w:r>
    </w:p>
    <w:p>
      <w:pPr>
        <w:pStyle w:val="BodyText"/>
        <w:spacing w:before="10"/>
        <w:rPr>
          <w:sz w:val="20"/>
        </w:rPr>
      </w:pPr>
    </w:p>
    <w:p>
      <w:pPr>
        <w:pStyle w:val="BodyText"/>
        <w:ind w:left="2040"/>
      </w:pPr>
      <w:r>
        <w:rPr/>
        <w:drawing>
          <wp:anchor distT="0" distB="0" distL="0" distR="0" allowOverlap="1" layoutInCell="1" locked="0" behindDoc="0" simplePos="0" relativeHeight="15940096">
            <wp:simplePos x="0" y="0"/>
            <wp:positionH relativeFrom="page">
              <wp:posOffset>1862327</wp:posOffset>
            </wp:positionH>
            <wp:positionV relativeFrom="paragraph">
              <wp:posOffset>32551</wp:posOffset>
            </wp:positionV>
            <wp:extent cx="73151" cy="115823"/>
            <wp:effectExtent l="0" t="0" r="0" b="0"/>
            <wp:wrapNone/>
            <wp:docPr id="424" name="Image 424"/>
            <wp:cNvGraphicFramePr>
              <a:graphicFrameLocks/>
            </wp:cNvGraphicFramePr>
            <a:graphic>
              <a:graphicData uri="http://schemas.openxmlformats.org/drawingml/2006/picture">
                <pic:pic>
                  <pic:nvPicPr>
                    <pic:cNvPr id="424" name="Image 424"/>
                    <pic:cNvPicPr/>
                  </pic:nvPicPr>
                  <pic:blipFill>
                    <a:blip r:embed="rId61" cstate="print"/>
                    <a:stretch>
                      <a:fillRect/>
                    </a:stretch>
                  </pic:blipFill>
                  <pic:spPr>
                    <a:xfrm>
                      <a:off x="0" y="0"/>
                      <a:ext cx="73151" cy="115823"/>
                    </a:xfrm>
                    <a:prstGeom prst="rect">
                      <a:avLst/>
                    </a:prstGeom>
                  </pic:spPr>
                </pic:pic>
              </a:graphicData>
            </a:graphic>
          </wp:anchor>
        </w:drawing>
      </w:r>
      <w:bookmarkStart w:name="i. Be for the ACO-enrolled population" w:id="655"/>
      <w:bookmarkEnd w:id="655"/>
      <w:r>
        <w:rPr/>
      </w:r>
      <w:r>
        <w:rPr/>
        <w:t>Be</w:t>
      </w:r>
      <w:r>
        <w:rPr>
          <w:spacing w:val="-3"/>
        </w:rPr>
        <w:t> </w:t>
      </w:r>
      <w:r>
        <w:rPr/>
        <w:t>for</w:t>
      </w:r>
      <w:r>
        <w:rPr>
          <w:spacing w:val="-2"/>
        </w:rPr>
        <w:t> </w:t>
      </w:r>
      <w:r>
        <w:rPr/>
        <w:t>the</w:t>
      </w:r>
      <w:r>
        <w:rPr>
          <w:spacing w:val="-2"/>
        </w:rPr>
        <w:t> </w:t>
      </w:r>
      <w:r>
        <w:rPr/>
        <w:t>ACO-enrolled</w:t>
      </w:r>
      <w:r>
        <w:rPr>
          <w:spacing w:val="1"/>
        </w:rPr>
        <w:t> </w:t>
      </w:r>
      <w:r>
        <w:rPr>
          <w:spacing w:val="-2"/>
        </w:rPr>
        <w:t>population</w:t>
      </w:r>
    </w:p>
    <w:p>
      <w:pPr>
        <w:pStyle w:val="BodyText"/>
        <w:spacing w:before="158"/>
        <w:ind w:left="2039" w:right="1059"/>
      </w:pPr>
      <w:r>
        <w:rPr/>
        <w:drawing>
          <wp:anchor distT="0" distB="0" distL="0" distR="0" allowOverlap="1" layoutInCell="1" locked="0" behindDoc="0" simplePos="0" relativeHeight="15940608">
            <wp:simplePos x="0" y="0"/>
            <wp:positionH relativeFrom="page">
              <wp:posOffset>1819655</wp:posOffset>
            </wp:positionH>
            <wp:positionV relativeFrom="paragraph">
              <wp:posOffset>132881</wp:posOffset>
            </wp:positionV>
            <wp:extent cx="115823" cy="115823"/>
            <wp:effectExtent l="0" t="0" r="0" b="0"/>
            <wp:wrapNone/>
            <wp:docPr id="425" name="Image 425"/>
            <wp:cNvGraphicFramePr>
              <a:graphicFrameLocks/>
            </wp:cNvGraphicFramePr>
            <a:graphic>
              <a:graphicData uri="http://schemas.openxmlformats.org/drawingml/2006/picture">
                <pic:pic>
                  <pic:nvPicPr>
                    <pic:cNvPr id="425" name="Image 425"/>
                    <pic:cNvPicPr/>
                  </pic:nvPicPr>
                  <pic:blipFill>
                    <a:blip r:embed="rId117" cstate="print"/>
                    <a:stretch>
                      <a:fillRect/>
                    </a:stretch>
                  </pic:blipFill>
                  <pic:spPr>
                    <a:xfrm>
                      <a:off x="0" y="0"/>
                      <a:ext cx="115823" cy="115823"/>
                    </a:xfrm>
                    <a:prstGeom prst="rect">
                      <a:avLst/>
                    </a:prstGeom>
                  </pic:spPr>
                </pic:pic>
              </a:graphicData>
            </a:graphic>
          </wp:anchor>
        </w:drawing>
      </w:r>
      <w:bookmarkStart w:name="ii. For the population enrolled in MCO-C" w:id="656"/>
      <w:bookmarkEnd w:id="656"/>
      <w:r>
        <w:rPr/>
      </w:r>
      <w:r>
        <w:rPr/>
        <w:t>For the population enrolled in MCO-Contracted ACOs, be based on actual MCO expenditures for services to the population attributed to the ACO (categories</w:t>
      </w:r>
      <w:r>
        <w:rPr>
          <w:spacing w:val="-3"/>
        </w:rPr>
        <w:t> </w:t>
      </w:r>
      <w:r>
        <w:rPr/>
        <w:t>to</w:t>
      </w:r>
      <w:r>
        <w:rPr>
          <w:spacing w:val="-3"/>
        </w:rPr>
        <w:t> </w:t>
      </w:r>
      <w:r>
        <w:rPr/>
        <w:t>be</w:t>
      </w:r>
      <w:r>
        <w:rPr>
          <w:spacing w:val="-4"/>
        </w:rPr>
        <w:t> </w:t>
      </w:r>
      <w:r>
        <w:rPr/>
        <w:t>agreed</w:t>
      </w:r>
      <w:r>
        <w:rPr>
          <w:spacing w:val="-1"/>
        </w:rPr>
        <w:t> </w:t>
      </w:r>
      <w:r>
        <w:rPr/>
        <w:t>upon</w:t>
      </w:r>
      <w:r>
        <w:rPr>
          <w:spacing w:val="-3"/>
        </w:rPr>
        <w:t> </w:t>
      </w:r>
      <w:r>
        <w:rPr/>
        <w:t>by</w:t>
      </w:r>
      <w:r>
        <w:rPr>
          <w:spacing w:val="-8"/>
        </w:rPr>
        <w:t> </w:t>
      </w:r>
      <w:r>
        <w:rPr/>
        <w:t>CMS</w:t>
      </w:r>
      <w:r>
        <w:rPr>
          <w:spacing w:val="-3"/>
        </w:rPr>
        <w:t> </w:t>
      </w:r>
      <w:r>
        <w:rPr/>
        <w:t>and</w:t>
      </w:r>
      <w:r>
        <w:rPr>
          <w:spacing w:val="-3"/>
        </w:rPr>
        <w:t> </w:t>
      </w:r>
      <w:r>
        <w:rPr/>
        <w:t>the</w:t>
      </w:r>
      <w:r>
        <w:rPr>
          <w:spacing w:val="-4"/>
        </w:rPr>
        <w:t> </w:t>
      </w:r>
      <w:r>
        <w:rPr/>
        <w:t>State),</w:t>
      </w:r>
      <w:r>
        <w:rPr>
          <w:spacing w:val="-3"/>
        </w:rPr>
        <w:t> </w:t>
      </w:r>
      <w:r>
        <w:rPr/>
        <w:t>and</w:t>
      </w:r>
      <w:r>
        <w:rPr>
          <w:spacing w:val="-3"/>
        </w:rPr>
        <w:t> </w:t>
      </w:r>
      <w:r>
        <w:rPr/>
        <w:t>not</w:t>
      </w:r>
      <w:r>
        <w:rPr>
          <w:spacing w:val="-3"/>
        </w:rPr>
        <w:t> </w:t>
      </w:r>
      <w:r>
        <w:rPr/>
        <w:t>on</w:t>
      </w:r>
      <w:r>
        <w:rPr>
          <w:spacing w:val="-3"/>
        </w:rPr>
        <w:t> </w:t>
      </w:r>
      <w:r>
        <w:rPr/>
        <w:t>the</w:t>
      </w:r>
      <w:r>
        <w:rPr>
          <w:spacing w:val="-4"/>
        </w:rPr>
        <w:t> </w:t>
      </w:r>
      <w:r>
        <w:rPr/>
        <w:t>State’s capitated payments to the MCO</w:t>
      </w:r>
    </w:p>
    <w:p>
      <w:pPr>
        <w:pStyle w:val="BodyText"/>
        <w:spacing w:before="161"/>
        <w:ind w:left="2040"/>
      </w:pPr>
      <w:r>
        <w:rPr/>
        <w:drawing>
          <wp:anchor distT="0" distB="0" distL="0" distR="0" allowOverlap="1" layoutInCell="1" locked="0" behindDoc="0" simplePos="0" relativeHeight="15941120">
            <wp:simplePos x="0" y="0"/>
            <wp:positionH relativeFrom="page">
              <wp:posOffset>1778507</wp:posOffset>
            </wp:positionH>
            <wp:positionV relativeFrom="paragraph">
              <wp:posOffset>134786</wp:posOffset>
            </wp:positionV>
            <wp:extent cx="158495" cy="115823"/>
            <wp:effectExtent l="0" t="0" r="0" b="0"/>
            <wp:wrapNone/>
            <wp:docPr id="426" name="Image 426"/>
            <wp:cNvGraphicFramePr>
              <a:graphicFrameLocks/>
            </wp:cNvGraphicFramePr>
            <a:graphic>
              <a:graphicData uri="http://schemas.openxmlformats.org/drawingml/2006/picture">
                <pic:pic>
                  <pic:nvPicPr>
                    <pic:cNvPr id="426" name="Image 426"/>
                    <pic:cNvPicPr/>
                  </pic:nvPicPr>
                  <pic:blipFill>
                    <a:blip r:embed="rId134" cstate="print"/>
                    <a:stretch>
                      <a:fillRect/>
                    </a:stretch>
                  </pic:blipFill>
                  <pic:spPr>
                    <a:xfrm>
                      <a:off x="0" y="0"/>
                      <a:ext cx="158495" cy="115823"/>
                    </a:xfrm>
                    <a:prstGeom prst="rect">
                      <a:avLst/>
                    </a:prstGeom>
                  </pic:spPr>
                </pic:pic>
              </a:graphicData>
            </a:graphic>
          </wp:anchor>
        </w:drawing>
      </w:r>
      <w:bookmarkStart w:name="iii. Include reductions in DSTI suppleme" w:id="657"/>
      <w:bookmarkEnd w:id="657"/>
      <w:r>
        <w:rPr/>
      </w:r>
      <w:r>
        <w:rPr/>
        <w:t>Include</w:t>
      </w:r>
      <w:r>
        <w:rPr>
          <w:spacing w:val="-2"/>
        </w:rPr>
        <w:t> </w:t>
      </w:r>
      <w:r>
        <w:rPr/>
        <w:t>reductions</w:t>
      </w:r>
      <w:r>
        <w:rPr>
          <w:spacing w:val="-1"/>
        </w:rPr>
        <w:t> </w:t>
      </w:r>
      <w:r>
        <w:rPr/>
        <w:t>in</w:t>
      </w:r>
      <w:r>
        <w:rPr>
          <w:spacing w:val="-1"/>
        </w:rPr>
        <w:t> </w:t>
      </w:r>
      <w:r>
        <w:rPr/>
        <w:t>DSTI</w:t>
      </w:r>
      <w:r>
        <w:rPr>
          <w:spacing w:val="-6"/>
        </w:rPr>
        <w:t> </w:t>
      </w:r>
      <w:r>
        <w:rPr/>
        <w:t>supplemental</w:t>
      </w:r>
      <w:r>
        <w:rPr>
          <w:spacing w:val="-1"/>
        </w:rPr>
        <w:t> </w:t>
      </w:r>
      <w:r>
        <w:rPr/>
        <w:t>payments</w:t>
      </w:r>
      <w:r>
        <w:rPr>
          <w:spacing w:val="-1"/>
        </w:rPr>
        <w:t> </w:t>
      </w:r>
      <w:r>
        <w:rPr/>
        <w:t>to safety</w:t>
      </w:r>
      <w:r>
        <w:rPr>
          <w:spacing w:val="-6"/>
        </w:rPr>
        <w:t> </w:t>
      </w:r>
      <w:r>
        <w:rPr/>
        <w:t>net </w:t>
      </w:r>
      <w:r>
        <w:rPr>
          <w:spacing w:val="-2"/>
        </w:rPr>
        <w:t>hospitals</w:t>
      </w:r>
    </w:p>
    <w:p>
      <w:pPr>
        <w:spacing w:after="0"/>
        <w:sectPr>
          <w:pgSz w:w="12240" w:h="15840"/>
          <w:pgMar w:header="0" w:footer="1201" w:top="1360" w:bottom="1400" w:left="1200" w:right="400"/>
        </w:sectPr>
      </w:pPr>
    </w:p>
    <w:p>
      <w:pPr>
        <w:pStyle w:val="BodyText"/>
        <w:spacing w:before="79"/>
        <w:ind w:left="2039" w:right="1273"/>
        <w:jc w:val="both"/>
      </w:pPr>
      <w:r>
        <w:rPr/>
        <w:drawing>
          <wp:anchor distT="0" distB="0" distL="0" distR="0" allowOverlap="1" layoutInCell="1" locked="0" behindDoc="0" simplePos="0" relativeHeight="15941632">
            <wp:simplePos x="0" y="0"/>
            <wp:positionH relativeFrom="page">
              <wp:posOffset>1786127</wp:posOffset>
            </wp:positionH>
            <wp:positionV relativeFrom="paragraph">
              <wp:posOffset>82717</wp:posOffset>
            </wp:positionV>
            <wp:extent cx="149339" cy="115823"/>
            <wp:effectExtent l="0" t="0" r="0" b="0"/>
            <wp:wrapNone/>
            <wp:docPr id="427" name="Image 427"/>
            <wp:cNvGraphicFramePr>
              <a:graphicFrameLocks/>
            </wp:cNvGraphicFramePr>
            <a:graphic>
              <a:graphicData uri="http://schemas.openxmlformats.org/drawingml/2006/picture">
                <pic:pic>
                  <pic:nvPicPr>
                    <pic:cNvPr id="427" name="Image 427"/>
                    <pic:cNvPicPr/>
                  </pic:nvPicPr>
                  <pic:blipFill>
                    <a:blip r:embed="rId96" cstate="print"/>
                    <a:stretch>
                      <a:fillRect/>
                    </a:stretch>
                  </pic:blipFill>
                  <pic:spPr>
                    <a:xfrm>
                      <a:off x="0" y="0"/>
                      <a:ext cx="149339" cy="115823"/>
                    </a:xfrm>
                    <a:prstGeom prst="rect">
                      <a:avLst/>
                    </a:prstGeom>
                  </pic:spPr>
                </pic:pic>
              </a:graphicData>
            </a:graphic>
          </wp:anchor>
        </w:drawing>
      </w:r>
      <w:bookmarkStart w:name="iv. Exclude Hepatitis C drugs, other hig" w:id="658"/>
      <w:bookmarkEnd w:id="658"/>
      <w:r>
        <w:rPr/>
      </w:r>
      <w:r>
        <w:rPr/>
        <w:t>Exclude</w:t>
      </w:r>
      <w:r>
        <w:rPr>
          <w:spacing w:val="-5"/>
        </w:rPr>
        <w:t> </w:t>
      </w:r>
      <w:r>
        <w:rPr/>
        <w:t>Hepatitis</w:t>
      </w:r>
      <w:r>
        <w:rPr>
          <w:spacing w:val="-4"/>
        </w:rPr>
        <w:t> </w:t>
      </w:r>
      <w:r>
        <w:rPr/>
        <w:t>C</w:t>
      </w:r>
      <w:r>
        <w:rPr>
          <w:spacing w:val="-4"/>
        </w:rPr>
        <w:t> </w:t>
      </w:r>
      <w:r>
        <w:rPr/>
        <w:t>drugs,</w:t>
      </w:r>
      <w:r>
        <w:rPr>
          <w:spacing w:val="-4"/>
        </w:rPr>
        <w:t> </w:t>
      </w:r>
      <w:r>
        <w:rPr/>
        <w:t>other</w:t>
      </w:r>
      <w:r>
        <w:rPr>
          <w:spacing w:val="-5"/>
        </w:rPr>
        <w:t> </w:t>
      </w:r>
      <w:r>
        <w:rPr/>
        <w:t>high-cost</w:t>
      </w:r>
      <w:r>
        <w:rPr>
          <w:spacing w:val="-4"/>
        </w:rPr>
        <w:t> </w:t>
      </w:r>
      <w:r>
        <w:rPr/>
        <w:t>emerging</w:t>
      </w:r>
      <w:r>
        <w:rPr>
          <w:spacing w:val="-6"/>
        </w:rPr>
        <w:t> </w:t>
      </w:r>
      <w:r>
        <w:rPr/>
        <w:t>drug</w:t>
      </w:r>
      <w:r>
        <w:rPr>
          <w:spacing w:val="-6"/>
        </w:rPr>
        <w:t> </w:t>
      </w:r>
      <w:r>
        <w:rPr/>
        <w:t>therapies</w:t>
      </w:r>
      <w:r>
        <w:rPr>
          <w:spacing w:val="-2"/>
        </w:rPr>
        <w:t> </w:t>
      </w:r>
      <w:r>
        <w:rPr/>
        <w:t>(such</w:t>
      </w:r>
      <w:r>
        <w:rPr>
          <w:spacing w:val="-4"/>
        </w:rPr>
        <w:t> </w:t>
      </w:r>
      <w:r>
        <w:rPr/>
        <w:t>as cystic</w:t>
      </w:r>
      <w:r>
        <w:rPr>
          <w:spacing w:val="-3"/>
        </w:rPr>
        <w:t> </w:t>
      </w:r>
      <w:r>
        <w:rPr/>
        <w:t>fibrosis</w:t>
      </w:r>
      <w:r>
        <w:rPr>
          <w:spacing w:val="-4"/>
        </w:rPr>
        <w:t> </w:t>
      </w:r>
      <w:r>
        <w:rPr/>
        <w:t>drugs</w:t>
      </w:r>
      <w:r>
        <w:rPr>
          <w:spacing w:val="-4"/>
        </w:rPr>
        <w:t> </w:t>
      </w:r>
      <w:r>
        <w:rPr/>
        <w:t>and</w:t>
      </w:r>
      <w:r>
        <w:rPr>
          <w:spacing w:val="-2"/>
        </w:rPr>
        <w:t> </w:t>
      </w:r>
      <w:r>
        <w:rPr/>
        <w:t>biologics),</w:t>
      </w:r>
      <w:r>
        <w:rPr>
          <w:spacing w:val="-4"/>
        </w:rPr>
        <w:t> </w:t>
      </w:r>
      <w:r>
        <w:rPr/>
        <w:t>long-term</w:t>
      </w:r>
      <w:r>
        <w:rPr>
          <w:spacing w:val="-4"/>
        </w:rPr>
        <w:t> </w:t>
      </w:r>
      <w:r>
        <w:rPr/>
        <w:t>services</w:t>
      </w:r>
      <w:r>
        <w:rPr>
          <w:spacing w:val="-4"/>
        </w:rPr>
        <w:t> </w:t>
      </w:r>
      <w:r>
        <w:rPr/>
        <w:t>and</w:t>
      </w:r>
      <w:r>
        <w:rPr>
          <w:spacing w:val="-4"/>
        </w:rPr>
        <w:t> </w:t>
      </w:r>
      <w:r>
        <w:rPr/>
        <w:t>supports</w:t>
      </w:r>
      <w:r>
        <w:rPr>
          <w:spacing w:val="-4"/>
        </w:rPr>
        <w:t> </w:t>
      </w:r>
      <w:r>
        <w:rPr/>
        <w:t>(LTSS) costs, and other potential categories agreed upon by CMS and the State</w:t>
      </w:r>
    </w:p>
    <w:p>
      <w:pPr>
        <w:pStyle w:val="BodyText"/>
        <w:spacing w:before="161"/>
        <w:ind w:left="2040"/>
        <w:jc w:val="both"/>
      </w:pPr>
      <w:r>
        <w:rPr/>
        <w:drawing>
          <wp:anchor distT="0" distB="0" distL="0" distR="0" allowOverlap="1" layoutInCell="1" locked="0" behindDoc="0" simplePos="0" relativeHeight="15942144">
            <wp:simplePos x="0" y="0"/>
            <wp:positionH relativeFrom="page">
              <wp:posOffset>1825751</wp:posOffset>
            </wp:positionH>
            <wp:positionV relativeFrom="paragraph">
              <wp:posOffset>172887</wp:posOffset>
            </wp:positionV>
            <wp:extent cx="109727" cy="77723"/>
            <wp:effectExtent l="0" t="0" r="0" b="0"/>
            <wp:wrapNone/>
            <wp:docPr id="428" name="Image 428"/>
            <wp:cNvGraphicFramePr>
              <a:graphicFrameLocks/>
            </wp:cNvGraphicFramePr>
            <a:graphic>
              <a:graphicData uri="http://schemas.openxmlformats.org/drawingml/2006/picture">
                <pic:pic>
                  <pic:nvPicPr>
                    <pic:cNvPr id="428" name="Image 428"/>
                    <pic:cNvPicPr/>
                  </pic:nvPicPr>
                  <pic:blipFill>
                    <a:blip r:embed="rId67" cstate="print"/>
                    <a:stretch>
                      <a:fillRect/>
                    </a:stretch>
                  </pic:blipFill>
                  <pic:spPr>
                    <a:xfrm>
                      <a:off x="0" y="0"/>
                      <a:ext cx="109727" cy="77723"/>
                    </a:xfrm>
                    <a:prstGeom prst="rect">
                      <a:avLst/>
                    </a:prstGeom>
                  </pic:spPr>
                </pic:pic>
              </a:graphicData>
            </a:graphic>
          </wp:anchor>
        </w:drawing>
      </w:r>
      <w:bookmarkStart w:name="v. Allow for adjustments based on change" w:id="659"/>
      <w:bookmarkEnd w:id="659"/>
      <w:r>
        <w:rPr/>
      </w:r>
      <w:r>
        <w:rPr/>
        <w:t>Allow</w:t>
      </w:r>
      <w:r>
        <w:rPr>
          <w:spacing w:val="-2"/>
        </w:rPr>
        <w:t> </w:t>
      </w:r>
      <w:r>
        <w:rPr/>
        <w:t>for</w:t>
      </w:r>
      <w:r>
        <w:rPr>
          <w:spacing w:val="-2"/>
        </w:rPr>
        <w:t> </w:t>
      </w:r>
      <w:r>
        <w:rPr/>
        <w:t>adjustments</w:t>
      </w:r>
      <w:r>
        <w:rPr>
          <w:spacing w:val="-1"/>
        </w:rPr>
        <w:t> </w:t>
      </w:r>
      <w:r>
        <w:rPr/>
        <w:t>based</w:t>
      </w:r>
      <w:r>
        <w:rPr>
          <w:spacing w:val="-1"/>
        </w:rPr>
        <w:t> </w:t>
      </w:r>
      <w:r>
        <w:rPr/>
        <w:t>on</w:t>
      </w:r>
      <w:r>
        <w:rPr>
          <w:spacing w:val="-1"/>
        </w:rPr>
        <w:t> </w:t>
      </w:r>
      <w:r>
        <w:rPr/>
        <w:t>changes</w:t>
      </w:r>
      <w:r>
        <w:rPr>
          <w:spacing w:val="-1"/>
        </w:rPr>
        <w:t> </w:t>
      </w:r>
      <w:r>
        <w:rPr/>
        <w:t>in</w:t>
      </w:r>
      <w:r>
        <w:rPr>
          <w:spacing w:val="-1"/>
        </w:rPr>
        <w:t> </w:t>
      </w:r>
      <w:r>
        <w:rPr/>
        <w:t>population</w:t>
      </w:r>
      <w:r>
        <w:rPr>
          <w:spacing w:val="-1"/>
        </w:rPr>
        <w:t> </w:t>
      </w:r>
      <w:r>
        <w:rPr/>
        <w:t>or</w:t>
      </w:r>
      <w:r>
        <w:rPr>
          <w:spacing w:val="-2"/>
        </w:rPr>
        <w:t> </w:t>
      </w:r>
      <w:r>
        <w:rPr/>
        <w:t>acuity</w:t>
      </w:r>
      <w:r>
        <w:rPr>
          <w:spacing w:val="-5"/>
        </w:rPr>
        <w:t> mix</w:t>
      </w:r>
    </w:p>
    <w:p>
      <w:pPr>
        <w:pStyle w:val="BodyText"/>
        <w:spacing w:before="158"/>
        <w:ind w:left="2040" w:right="1086"/>
      </w:pPr>
      <w:r>
        <w:rPr/>
        <w:drawing>
          <wp:anchor distT="0" distB="0" distL="0" distR="0" allowOverlap="1" layoutInCell="1" locked="0" behindDoc="0" simplePos="0" relativeHeight="15942656">
            <wp:simplePos x="0" y="0"/>
            <wp:positionH relativeFrom="page">
              <wp:posOffset>1783079</wp:posOffset>
            </wp:positionH>
            <wp:positionV relativeFrom="paragraph">
              <wp:posOffset>132881</wp:posOffset>
            </wp:positionV>
            <wp:extent cx="152399" cy="115823"/>
            <wp:effectExtent l="0" t="0" r="0" b="0"/>
            <wp:wrapNone/>
            <wp:docPr id="429" name="Image 429"/>
            <wp:cNvGraphicFramePr>
              <a:graphicFrameLocks/>
            </wp:cNvGraphicFramePr>
            <a:graphic>
              <a:graphicData uri="http://schemas.openxmlformats.org/drawingml/2006/picture">
                <pic:pic>
                  <pic:nvPicPr>
                    <pic:cNvPr id="429" name="Image 429"/>
                    <pic:cNvPicPr/>
                  </pic:nvPicPr>
                  <pic:blipFill>
                    <a:blip r:embed="rId98" cstate="print"/>
                    <a:stretch>
                      <a:fillRect/>
                    </a:stretch>
                  </pic:blipFill>
                  <pic:spPr>
                    <a:xfrm>
                      <a:off x="0" y="0"/>
                      <a:ext cx="152399" cy="115823"/>
                    </a:xfrm>
                    <a:prstGeom prst="rect">
                      <a:avLst/>
                    </a:prstGeom>
                  </pic:spPr>
                </pic:pic>
              </a:graphicData>
            </a:graphic>
          </wp:anchor>
        </w:drawing>
      </w:r>
      <w:bookmarkStart w:name="vi. Allow for adjustments based on highe" w:id="660"/>
      <w:bookmarkEnd w:id="660"/>
      <w:r>
        <w:rPr/>
      </w:r>
      <w:r>
        <w:rPr/>
        <w:t>Allow</w:t>
      </w:r>
      <w:r>
        <w:rPr>
          <w:spacing w:val="-5"/>
        </w:rPr>
        <w:t> </w:t>
      </w:r>
      <w:r>
        <w:rPr/>
        <w:t>for</w:t>
      </w:r>
      <w:r>
        <w:rPr>
          <w:spacing w:val="-5"/>
        </w:rPr>
        <w:t> </w:t>
      </w:r>
      <w:r>
        <w:rPr/>
        <w:t>adjustments</w:t>
      </w:r>
      <w:r>
        <w:rPr>
          <w:spacing w:val="-4"/>
        </w:rPr>
        <w:t> </w:t>
      </w:r>
      <w:r>
        <w:rPr/>
        <w:t>based</w:t>
      </w:r>
      <w:r>
        <w:rPr>
          <w:spacing w:val="-4"/>
        </w:rPr>
        <w:t> </w:t>
      </w:r>
      <w:r>
        <w:rPr/>
        <w:t>on</w:t>
      </w:r>
      <w:r>
        <w:rPr>
          <w:spacing w:val="-4"/>
        </w:rPr>
        <w:t> </w:t>
      </w:r>
      <w:r>
        <w:rPr/>
        <w:t>higher</w:t>
      </w:r>
      <w:r>
        <w:rPr>
          <w:spacing w:val="-5"/>
        </w:rPr>
        <w:t> </w:t>
      </w:r>
      <w:r>
        <w:rPr/>
        <w:t>than</w:t>
      </w:r>
      <w:r>
        <w:rPr>
          <w:spacing w:val="-4"/>
        </w:rPr>
        <w:t> </w:t>
      </w:r>
      <w:r>
        <w:rPr/>
        <w:t>anticipated</w:t>
      </w:r>
      <w:r>
        <w:rPr>
          <w:spacing w:val="-2"/>
        </w:rPr>
        <w:t> </w:t>
      </w:r>
      <w:r>
        <w:rPr/>
        <w:t>growth</w:t>
      </w:r>
      <w:r>
        <w:rPr>
          <w:spacing w:val="-4"/>
        </w:rPr>
        <w:t> </w:t>
      </w:r>
      <w:r>
        <w:rPr/>
        <w:t>in</w:t>
      </w:r>
      <w:r>
        <w:rPr>
          <w:spacing w:val="-4"/>
        </w:rPr>
        <w:t> </w:t>
      </w:r>
      <w:r>
        <w:rPr/>
        <w:t>MassHealth spending due to economic conditions in the state or nationally, or other reasons as agreed upon by CMS and the State.</w:t>
      </w:r>
    </w:p>
    <w:p>
      <w:pPr>
        <w:pStyle w:val="BodyText"/>
        <w:spacing w:before="202"/>
        <w:ind w:left="1411" w:right="1086"/>
      </w:pPr>
      <w:r>
        <w:rPr/>
        <w:drawing>
          <wp:anchor distT="0" distB="0" distL="0" distR="0" allowOverlap="1" layoutInCell="1" locked="0" behindDoc="0" simplePos="0" relativeHeight="15943168">
            <wp:simplePos x="0" y="0"/>
            <wp:positionH relativeFrom="page">
              <wp:posOffset>1426463</wp:posOffset>
            </wp:positionH>
            <wp:positionV relativeFrom="paragraph">
              <wp:posOffset>160821</wp:posOffset>
            </wp:positionV>
            <wp:extent cx="109727" cy="115823"/>
            <wp:effectExtent l="0" t="0" r="0" b="0"/>
            <wp:wrapNone/>
            <wp:docPr id="430" name="Image 430"/>
            <wp:cNvGraphicFramePr>
              <a:graphicFrameLocks/>
            </wp:cNvGraphicFramePr>
            <a:graphic>
              <a:graphicData uri="http://schemas.openxmlformats.org/drawingml/2006/picture">
                <pic:pic>
                  <pic:nvPicPr>
                    <pic:cNvPr id="430" name="Image 430"/>
                    <pic:cNvPicPr/>
                  </pic:nvPicPr>
                  <pic:blipFill>
                    <a:blip r:embed="rId191" cstate="print"/>
                    <a:stretch>
                      <a:fillRect/>
                    </a:stretch>
                  </pic:blipFill>
                  <pic:spPr>
                    <a:xfrm>
                      <a:off x="0" y="0"/>
                      <a:ext cx="109727" cy="115823"/>
                    </a:xfrm>
                    <a:prstGeom prst="rect">
                      <a:avLst/>
                    </a:prstGeom>
                  </pic:spPr>
                </pic:pic>
              </a:graphicData>
            </a:graphic>
          </wp:anchor>
        </w:drawing>
      </w:r>
      <w:bookmarkStart w:name="h. Gap to Goal Methodology for purposes " w:id="661"/>
      <w:bookmarkEnd w:id="661"/>
      <w:r>
        <w:rPr/>
      </w:r>
      <w:r>
        <w:rPr>
          <w:b/>
        </w:rPr>
        <w:t>Gap to Goal Methodology for purposes of DSRIP Accountability. </w:t>
      </w:r>
      <w:r>
        <w:rPr/>
        <w:t>CMS and the State agreed on the detailed methodology two quarters before CY2018. The State will</w:t>
      </w:r>
      <w:r>
        <w:rPr>
          <w:spacing w:val="-4"/>
        </w:rPr>
        <w:t> </w:t>
      </w:r>
      <w:r>
        <w:rPr/>
        <w:t>calculate</w:t>
      </w:r>
      <w:r>
        <w:rPr>
          <w:spacing w:val="-5"/>
        </w:rPr>
        <w:t> </w:t>
      </w:r>
      <w:r>
        <w:rPr/>
        <w:t>its</w:t>
      </w:r>
      <w:r>
        <w:rPr>
          <w:spacing w:val="-4"/>
        </w:rPr>
        <w:t> </w:t>
      </w:r>
      <w:r>
        <w:rPr/>
        <w:t>performance</w:t>
      </w:r>
      <w:r>
        <w:rPr>
          <w:spacing w:val="-3"/>
        </w:rPr>
        <w:t> </w:t>
      </w:r>
      <w:r>
        <w:rPr/>
        <w:t>compared</w:t>
      </w:r>
      <w:r>
        <w:rPr>
          <w:spacing w:val="-4"/>
        </w:rPr>
        <w:t> </w:t>
      </w:r>
      <w:r>
        <w:rPr/>
        <w:t>to</w:t>
      </w:r>
      <w:r>
        <w:rPr>
          <w:spacing w:val="-4"/>
        </w:rPr>
        <w:t> </w:t>
      </w:r>
      <w:r>
        <w:rPr/>
        <w:t>the</w:t>
      </w:r>
      <w:r>
        <w:rPr>
          <w:spacing w:val="-5"/>
        </w:rPr>
        <w:t> </w:t>
      </w:r>
      <w:r>
        <w:rPr/>
        <w:t>trended</w:t>
      </w:r>
      <w:r>
        <w:rPr>
          <w:spacing w:val="-4"/>
        </w:rPr>
        <w:t> </w:t>
      </w:r>
      <w:r>
        <w:rPr/>
        <w:t>PMPM,</w:t>
      </w:r>
      <w:r>
        <w:rPr>
          <w:spacing w:val="-4"/>
        </w:rPr>
        <w:t> </w:t>
      </w:r>
      <w:r>
        <w:rPr/>
        <w:t>and</w:t>
      </w:r>
      <w:r>
        <w:rPr>
          <w:spacing w:val="-4"/>
        </w:rPr>
        <w:t> </w:t>
      </w:r>
      <w:r>
        <w:rPr/>
        <w:t>the</w:t>
      </w:r>
      <w:r>
        <w:rPr>
          <w:spacing w:val="-5"/>
        </w:rPr>
        <w:t> </w:t>
      </w:r>
      <w:r>
        <w:rPr/>
        <w:t>domain</w:t>
      </w:r>
      <w:r>
        <w:rPr>
          <w:spacing w:val="-4"/>
        </w:rPr>
        <w:t> </w:t>
      </w:r>
      <w:r>
        <w:rPr/>
        <w:t>score will be determined according to a gap-to-goal methodology for each Budget Period, as detailed below:</w:t>
      </w:r>
    </w:p>
    <w:p>
      <w:pPr>
        <w:pStyle w:val="BodyText"/>
        <w:spacing w:before="10"/>
        <w:rPr>
          <w:sz w:val="20"/>
        </w:rPr>
      </w:pPr>
    </w:p>
    <w:p>
      <w:pPr>
        <w:pStyle w:val="BodyText"/>
        <w:ind w:left="2040"/>
      </w:pPr>
      <w:r>
        <w:rPr/>
        <w:drawing>
          <wp:anchor distT="0" distB="0" distL="0" distR="0" allowOverlap="1" layoutInCell="1" locked="0" behindDoc="0" simplePos="0" relativeHeight="15943680">
            <wp:simplePos x="0" y="0"/>
            <wp:positionH relativeFrom="page">
              <wp:posOffset>1862327</wp:posOffset>
            </wp:positionH>
            <wp:positionV relativeFrom="paragraph">
              <wp:posOffset>32552</wp:posOffset>
            </wp:positionV>
            <wp:extent cx="73151" cy="115823"/>
            <wp:effectExtent l="0" t="0" r="0" b="0"/>
            <wp:wrapNone/>
            <wp:docPr id="431" name="Image 431"/>
            <wp:cNvGraphicFramePr>
              <a:graphicFrameLocks/>
            </wp:cNvGraphicFramePr>
            <a:graphic>
              <a:graphicData uri="http://schemas.openxmlformats.org/drawingml/2006/picture">
                <pic:pic>
                  <pic:nvPicPr>
                    <pic:cNvPr id="431" name="Image 431"/>
                    <pic:cNvPicPr/>
                  </pic:nvPicPr>
                  <pic:blipFill>
                    <a:blip r:embed="rId61" cstate="print"/>
                    <a:stretch>
                      <a:fillRect/>
                    </a:stretch>
                  </pic:blipFill>
                  <pic:spPr>
                    <a:xfrm>
                      <a:off x="0" y="0"/>
                      <a:ext cx="73151" cy="115823"/>
                    </a:xfrm>
                    <a:prstGeom prst="rect">
                      <a:avLst/>
                    </a:prstGeom>
                  </pic:spPr>
                </pic:pic>
              </a:graphicData>
            </a:graphic>
          </wp:anchor>
        </w:drawing>
      </w:r>
      <w:bookmarkStart w:name="i. If Actual Reduction &lt; (50% * Reductio" w:id="662"/>
      <w:bookmarkEnd w:id="662"/>
      <w:r>
        <w:rPr/>
      </w:r>
      <w:r>
        <w:rPr/>
        <w:t>If</w:t>
      </w:r>
      <w:r>
        <w:rPr>
          <w:spacing w:val="-3"/>
        </w:rPr>
        <w:t> </w:t>
      </w:r>
      <w:r>
        <w:rPr/>
        <w:t>Actual</w:t>
      </w:r>
      <w:r>
        <w:rPr>
          <w:spacing w:val="-1"/>
        </w:rPr>
        <w:t> </w:t>
      </w:r>
      <w:r>
        <w:rPr/>
        <w:t>Reduction</w:t>
      </w:r>
      <w:r>
        <w:rPr>
          <w:spacing w:val="-1"/>
        </w:rPr>
        <w:t> </w:t>
      </w:r>
      <w:r>
        <w:rPr/>
        <w:t>&lt;</w:t>
      </w:r>
      <w:r>
        <w:rPr>
          <w:spacing w:val="-2"/>
        </w:rPr>
        <w:t> </w:t>
      </w:r>
      <w:r>
        <w:rPr/>
        <w:t>(50%</w:t>
      </w:r>
      <w:r>
        <w:rPr>
          <w:spacing w:val="-2"/>
        </w:rPr>
        <w:t> </w:t>
      </w:r>
      <w:r>
        <w:rPr/>
        <w:t>*</w:t>
      </w:r>
      <w:r>
        <w:rPr>
          <w:spacing w:val="-1"/>
        </w:rPr>
        <w:t> </w:t>
      </w:r>
      <w:r>
        <w:rPr/>
        <w:t>Reduction</w:t>
      </w:r>
      <w:r>
        <w:rPr>
          <w:spacing w:val="-2"/>
        </w:rPr>
        <w:t> </w:t>
      </w:r>
      <w:r>
        <w:rPr/>
        <w:t>Target),</w:t>
      </w:r>
      <w:r>
        <w:rPr>
          <w:spacing w:val="1"/>
        </w:rPr>
        <w:t> </w:t>
      </w:r>
      <w:r>
        <w:rPr/>
        <w:t>then</w:t>
      </w:r>
      <w:r>
        <w:rPr>
          <w:spacing w:val="-1"/>
        </w:rPr>
        <w:t> </w:t>
      </w:r>
      <w:r>
        <w:rPr/>
        <w:t>Measure</w:t>
      </w:r>
      <w:r>
        <w:rPr>
          <w:spacing w:val="-2"/>
        </w:rPr>
        <w:t> </w:t>
      </w:r>
      <w:r>
        <w:rPr/>
        <w:t>Score =</w:t>
      </w:r>
      <w:r>
        <w:rPr>
          <w:spacing w:val="-2"/>
        </w:rPr>
        <w:t> </w:t>
      </w:r>
      <w:r>
        <w:rPr>
          <w:spacing w:val="-5"/>
        </w:rPr>
        <w:t>0%</w:t>
      </w:r>
    </w:p>
    <w:p>
      <w:pPr>
        <w:pStyle w:val="BodyText"/>
        <w:spacing w:before="158"/>
        <w:ind w:left="2040"/>
      </w:pPr>
      <w:r>
        <w:rPr/>
        <w:drawing>
          <wp:anchor distT="0" distB="0" distL="0" distR="0" allowOverlap="1" layoutInCell="1" locked="0" behindDoc="0" simplePos="0" relativeHeight="15944192">
            <wp:simplePos x="0" y="0"/>
            <wp:positionH relativeFrom="page">
              <wp:posOffset>1819655</wp:posOffset>
            </wp:positionH>
            <wp:positionV relativeFrom="paragraph">
              <wp:posOffset>132881</wp:posOffset>
            </wp:positionV>
            <wp:extent cx="115823" cy="115823"/>
            <wp:effectExtent l="0" t="0" r="0" b="0"/>
            <wp:wrapNone/>
            <wp:docPr id="432" name="Image 432"/>
            <wp:cNvGraphicFramePr>
              <a:graphicFrameLocks/>
            </wp:cNvGraphicFramePr>
            <a:graphic>
              <a:graphicData uri="http://schemas.openxmlformats.org/drawingml/2006/picture">
                <pic:pic>
                  <pic:nvPicPr>
                    <pic:cNvPr id="432" name="Image 432"/>
                    <pic:cNvPicPr/>
                  </pic:nvPicPr>
                  <pic:blipFill>
                    <a:blip r:embed="rId62" cstate="print"/>
                    <a:stretch>
                      <a:fillRect/>
                    </a:stretch>
                  </pic:blipFill>
                  <pic:spPr>
                    <a:xfrm>
                      <a:off x="0" y="0"/>
                      <a:ext cx="115823" cy="115823"/>
                    </a:xfrm>
                    <a:prstGeom prst="rect">
                      <a:avLst/>
                    </a:prstGeom>
                  </pic:spPr>
                </pic:pic>
              </a:graphicData>
            </a:graphic>
          </wp:anchor>
        </w:drawing>
      </w:r>
      <w:bookmarkStart w:name="ii. If Actual Reduction ≥ (Reduction Tar" w:id="663"/>
      <w:bookmarkEnd w:id="663"/>
      <w:r>
        <w:rPr/>
      </w:r>
      <w:r>
        <w:rPr/>
        <w:t>If</w:t>
      </w:r>
      <w:r>
        <w:rPr>
          <w:spacing w:val="-1"/>
        </w:rPr>
        <w:t> </w:t>
      </w:r>
      <w:r>
        <w:rPr/>
        <w:t>Actual</w:t>
      </w:r>
      <w:r>
        <w:rPr>
          <w:spacing w:val="-2"/>
        </w:rPr>
        <w:t> </w:t>
      </w:r>
      <w:r>
        <w:rPr/>
        <w:t>Reduction</w:t>
      </w:r>
      <w:r>
        <w:rPr>
          <w:spacing w:val="-1"/>
        </w:rPr>
        <w:t> </w:t>
      </w:r>
      <w:r>
        <w:rPr/>
        <w:t>≥</w:t>
      </w:r>
      <w:r>
        <w:rPr>
          <w:spacing w:val="-2"/>
        </w:rPr>
        <w:t> </w:t>
      </w:r>
      <w:r>
        <w:rPr/>
        <w:t>(Reduction</w:t>
      </w:r>
      <w:r>
        <w:rPr>
          <w:spacing w:val="-1"/>
        </w:rPr>
        <w:t> </w:t>
      </w:r>
      <w:r>
        <w:rPr/>
        <w:t>Target),</w:t>
      </w:r>
      <w:r>
        <w:rPr>
          <w:spacing w:val="-2"/>
        </w:rPr>
        <w:t> </w:t>
      </w:r>
      <w:r>
        <w:rPr/>
        <w:t>then</w:t>
      </w:r>
      <w:r>
        <w:rPr>
          <w:spacing w:val="-1"/>
        </w:rPr>
        <w:t> </w:t>
      </w:r>
      <w:r>
        <w:rPr/>
        <w:t>Measure</w:t>
      </w:r>
      <w:r>
        <w:rPr>
          <w:spacing w:val="-2"/>
        </w:rPr>
        <w:t> </w:t>
      </w:r>
      <w:r>
        <w:rPr/>
        <w:t>Score</w:t>
      </w:r>
      <w:r>
        <w:rPr>
          <w:spacing w:val="-3"/>
        </w:rPr>
        <w:t> </w:t>
      </w:r>
      <w:r>
        <w:rPr/>
        <w:t>= </w:t>
      </w:r>
      <w:r>
        <w:rPr>
          <w:spacing w:val="-4"/>
        </w:rPr>
        <w:t>100%</w:t>
      </w:r>
    </w:p>
    <w:p>
      <w:pPr>
        <w:pStyle w:val="BodyText"/>
        <w:spacing w:before="161"/>
        <w:ind w:left="2039" w:right="1059"/>
      </w:pPr>
      <w:r>
        <w:rPr/>
        <w:drawing>
          <wp:anchor distT="0" distB="0" distL="0" distR="0" allowOverlap="1" layoutInCell="1" locked="0" behindDoc="0" simplePos="0" relativeHeight="15944704">
            <wp:simplePos x="0" y="0"/>
            <wp:positionH relativeFrom="page">
              <wp:posOffset>1778507</wp:posOffset>
            </wp:positionH>
            <wp:positionV relativeFrom="paragraph">
              <wp:posOffset>134786</wp:posOffset>
            </wp:positionV>
            <wp:extent cx="158495" cy="115823"/>
            <wp:effectExtent l="0" t="0" r="0" b="0"/>
            <wp:wrapNone/>
            <wp:docPr id="433" name="Image 433"/>
            <wp:cNvGraphicFramePr>
              <a:graphicFrameLocks/>
            </wp:cNvGraphicFramePr>
            <a:graphic>
              <a:graphicData uri="http://schemas.openxmlformats.org/drawingml/2006/picture">
                <pic:pic>
                  <pic:nvPicPr>
                    <pic:cNvPr id="433" name="Image 433"/>
                    <pic:cNvPicPr/>
                  </pic:nvPicPr>
                  <pic:blipFill>
                    <a:blip r:embed="rId134" cstate="print"/>
                    <a:stretch>
                      <a:fillRect/>
                    </a:stretch>
                  </pic:blipFill>
                  <pic:spPr>
                    <a:xfrm>
                      <a:off x="0" y="0"/>
                      <a:ext cx="158495" cy="115823"/>
                    </a:xfrm>
                    <a:prstGeom prst="rect">
                      <a:avLst/>
                    </a:prstGeom>
                  </pic:spPr>
                </pic:pic>
              </a:graphicData>
            </a:graphic>
          </wp:anchor>
        </w:drawing>
      </w:r>
      <w:bookmarkStart w:name="iii. If Actual Reduction ≥ (50% * Reduct" w:id="664"/>
      <w:bookmarkEnd w:id="664"/>
      <w:r>
        <w:rPr/>
      </w:r>
      <w:r>
        <w:rPr/>
        <w:t>If</w:t>
      </w:r>
      <w:r>
        <w:rPr>
          <w:spacing w:val="-3"/>
        </w:rPr>
        <w:t> </w:t>
      </w:r>
      <w:r>
        <w:rPr/>
        <w:t>Actual</w:t>
      </w:r>
      <w:r>
        <w:rPr>
          <w:spacing w:val="-4"/>
        </w:rPr>
        <w:t> </w:t>
      </w:r>
      <w:r>
        <w:rPr/>
        <w:t>Reduction</w:t>
      </w:r>
      <w:r>
        <w:rPr>
          <w:spacing w:val="-4"/>
        </w:rPr>
        <w:t> </w:t>
      </w:r>
      <w:r>
        <w:rPr/>
        <w:t>≥</w:t>
      </w:r>
      <w:r>
        <w:rPr>
          <w:spacing w:val="-4"/>
        </w:rPr>
        <w:t> </w:t>
      </w:r>
      <w:r>
        <w:rPr/>
        <w:t>(50%</w:t>
      </w:r>
      <w:r>
        <w:rPr>
          <w:spacing w:val="-5"/>
        </w:rPr>
        <w:t> </w:t>
      </w:r>
      <w:r>
        <w:rPr/>
        <w:t>*</w:t>
      </w:r>
      <w:r>
        <w:rPr>
          <w:spacing w:val="-4"/>
        </w:rPr>
        <w:t> </w:t>
      </w:r>
      <w:r>
        <w:rPr/>
        <w:t>Reduction</w:t>
      </w:r>
      <w:r>
        <w:rPr>
          <w:spacing w:val="-4"/>
        </w:rPr>
        <w:t> </w:t>
      </w:r>
      <w:r>
        <w:rPr/>
        <w:t>Target)</w:t>
      </w:r>
      <w:r>
        <w:rPr>
          <w:spacing w:val="-3"/>
        </w:rPr>
        <w:t> </w:t>
      </w:r>
      <w:r>
        <w:rPr/>
        <w:t>AND</w:t>
      </w:r>
      <w:r>
        <w:rPr>
          <w:spacing w:val="-5"/>
        </w:rPr>
        <w:t> </w:t>
      </w:r>
      <w:r>
        <w:rPr/>
        <w:t>&lt;</w:t>
      </w:r>
      <w:r>
        <w:rPr>
          <w:spacing w:val="-5"/>
        </w:rPr>
        <w:t> </w:t>
      </w:r>
      <w:r>
        <w:rPr/>
        <w:t>(Reduction</w:t>
      </w:r>
      <w:r>
        <w:rPr>
          <w:spacing w:val="-4"/>
        </w:rPr>
        <w:t> </w:t>
      </w:r>
      <w:r>
        <w:rPr/>
        <w:t>Target), then Measure Score is equal to: (Actual Reduction - (50% * Reduction Target)) / (Reduction Target - (50% * Reduction Target))</w:t>
      </w:r>
    </w:p>
    <w:p>
      <w:pPr>
        <w:pStyle w:val="BodyText"/>
        <w:spacing w:before="159"/>
        <w:ind w:left="2039" w:right="1075"/>
      </w:pPr>
      <w:r>
        <w:rPr/>
        <w:t>For</w:t>
      </w:r>
      <w:r>
        <w:rPr>
          <w:spacing w:val="-4"/>
        </w:rPr>
        <w:t> </w:t>
      </w:r>
      <w:r>
        <w:rPr/>
        <w:t>example,</w:t>
      </w:r>
      <w:r>
        <w:rPr>
          <w:spacing w:val="-3"/>
        </w:rPr>
        <w:t> </w:t>
      </w:r>
      <w:r>
        <w:rPr/>
        <w:t>if</w:t>
      </w:r>
      <w:r>
        <w:rPr>
          <w:spacing w:val="-4"/>
        </w:rPr>
        <w:t> </w:t>
      </w:r>
      <w:r>
        <w:rPr/>
        <w:t>the</w:t>
      </w:r>
      <w:r>
        <w:rPr>
          <w:spacing w:val="-4"/>
        </w:rPr>
        <w:t> </w:t>
      </w:r>
      <w:r>
        <w:rPr/>
        <w:t>State</w:t>
      </w:r>
      <w:r>
        <w:rPr>
          <w:spacing w:val="-2"/>
        </w:rPr>
        <w:t> </w:t>
      </w:r>
      <w:r>
        <w:rPr/>
        <w:t>achieves</w:t>
      </w:r>
      <w:r>
        <w:rPr>
          <w:spacing w:val="-3"/>
        </w:rPr>
        <w:t> </w:t>
      </w:r>
      <w:r>
        <w:rPr/>
        <w:t>less</w:t>
      </w:r>
      <w:r>
        <w:rPr>
          <w:spacing w:val="-3"/>
        </w:rPr>
        <w:t> </w:t>
      </w:r>
      <w:r>
        <w:rPr/>
        <w:t>than</w:t>
      </w:r>
      <w:r>
        <w:rPr>
          <w:spacing w:val="-3"/>
        </w:rPr>
        <w:t> </w:t>
      </w:r>
      <w:r>
        <w:rPr/>
        <w:t>50%</w:t>
      </w:r>
      <w:r>
        <w:rPr>
          <w:spacing w:val="-4"/>
        </w:rPr>
        <w:t> </w:t>
      </w:r>
      <w:r>
        <w:rPr/>
        <w:t>of</w:t>
      </w:r>
      <w:r>
        <w:rPr>
          <w:spacing w:val="-4"/>
        </w:rPr>
        <w:t> </w:t>
      </w:r>
      <w:r>
        <w:rPr/>
        <w:t>the</w:t>
      </w:r>
      <w:r>
        <w:rPr>
          <w:spacing w:val="-4"/>
        </w:rPr>
        <w:t> </w:t>
      </w:r>
      <w:r>
        <w:rPr/>
        <w:t>Reduction</w:t>
      </w:r>
      <w:r>
        <w:rPr>
          <w:spacing w:val="-3"/>
        </w:rPr>
        <w:t> </w:t>
      </w:r>
      <w:r>
        <w:rPr/>
        <w:t>Target,</w:t>
      </w:r>
      <w:r>
        <w:rPr>
          <w:spacing w:val="-3"/>
        </w:rPr>
        <w:t> </w:t>
      </w:r>
      <w:r>
        <w:rPr/>
        <w:t>then the measure score will be equal to 0%. If the State achieves 75% of the Reduction Target, then the measure score will be equal to (75%-50%) / (100%-50%) = 50%</w:t>
      </w:r>
    </w:p>
    <w:p>
      <w:pPr>
        <w:pStyle w:val="BodyText"/>
        <w:spacing w:before="201"/>
        <w:ind w:left="1411" w:right="1100"/>
      </w:pPr>
      <w:r>
        <w:rPr/>
        <w:drawing>
          <wp:anchor distT="0" distB="0" distL="0" distR="0" allowOverlap="1" layoutInCell="1" locked="0" behindDoc="0" simplePos="0" relativeHeight="15945216">
            <wp:simplePos x="0" y="0"/>
            <wp:positionH relativeFrom="page">
              <wp:posOffset>1429511</wp:posOffset>
            </wp:positionH>
            <wp:positionV relativeFrom="paragraph">
              <wp:posOffset>160186</wp:posOffset>
            </wp:positionV>
            <wp:extent cx="73151" cy="115823"/>
            <wp:effectExtent l="0" t="0" r="0" b="0"/>
            <wp:wrapNone/>
            <wp:docPr id="434" name="Image 434"/>
            <wp:cNvGraphicFramePr>
              <a:graphicFrameLocks/>
            </wp:cNvGraphicFramePr>
            <a:graphic>
              <a:graphicData uri="http://schemas.openxmlformats.org/drawingml/2006/picture">
                <pic:pic>
                  <pic:nvPicPr>
                    <pic:cNvPr id="434" name="Image 434"/>
                    <pic:cNvPicPr/>
                  </pic:nvPicPr>
                  <pic:blipFill>
                    <a:blip r:embed="rId64" cstate="print"/>
                    <a:stretch>
                      <a:fillRect/>
                    </a:stretch>
                  </pic:blipFill>
                  <pic:spPr>
                    <a:xfrm>
                      <a:off x="0" y="0"/>
                      <a:ext cx="73151" cy="115823"/>
                    </a:xfrm>
                    <a:prstGeom prst="rect">
                      <a:avLst/>
                    </a:prstGeom>
                  </pic:spPr>
                </pic:pic>
              </a:graphicData>
            </a:graphic>
          </wp:anchor>
        </w:drawing>
      </w:r>
      <w:bookmarkStart w:name="i. Overall Statewide Quality Performance" w:id="665"/>
      <w:bookmarkEnd w:id="665"/>
      <w:r>
        <w:rPr/>
      </w:r>
      <w:r>
        <w:rPr>
          <w:b/>
        </w:rPr>
        <w:t>Overall Statewide Quality Performance for purposes of DSRIP</w:t>
      </w:r>
      <w:r>
        <w:rPr>
          <w:b/>
          <w:spacing w:val="-1"/>
        </w:rPr>
        <w:t> </w:t>
      </w:r>
      <w:r>
        <w:rPr>
          <w:b/>
        </w:rPr>
        <w:t>Accountability. </w:t>
      </w:r>
      <w:r>
        <w:rPr/>
        <w:t>MassHealth will annually calculate Statewide Quality performance by aggregating quality</w:t>
      </w:r>
      <w:r>
        <w:rPr>
          <w:spacing w:val="-1"/>
        </w:rPr>
        <w:t> </w:t>
      </w:r>
      <w:r>
        <w:rPr/>
        <w:t>measure scores of all ACOs. Section 5.2.1.3 of the DSRIP protocol contains a detailed description of this calculation. ACO performance scores are based on preset</w:t>
      </w:r>
      <w:r>
        <w:rPr>
          <w:spacing w:val="-3"/>
        </w:rPr>
        <w:t> </w:t>
      </w:r>
      <w:r>
        <w:rPr/>
        <w:t>attainment</w:t>
      </w:r>
      <w:r>
        <w:rPr>
          <w:spacing w:val="-3"/>
        </w:rPr>
        <w:t> </w:t>
      </w:r>
      <w:r>
        <w:rPr/>
        <w:t>thresholds</w:t>
      </w:r>
      <w:r>
        <w:rPr>
          <w:spacing w:val="-3"/>
        </w:rPr>
        <w:t> </w:t>
      </w:r>
      <w:r>
        <w:rPr/>
        <w:t>and</w:t>
      </w:r>
      <w:r>
        <w:rPr>
          <w:spacing w:val="-3"/>
        </w:rPr>
        <w:t> </w:t>
      </w:r>
      <w:r>
        <w:rPr/>
        <w:t>goal</w:t>
      </w:r>
      <w:r>
        <w:rPr>
          <w:spacing w:val="-3"/>
        </w:rPr>
        <w:t> </w:t>
      </w:r>
      <w:r>
        <w:rPr/>
        <w:t>benchmarks</w:t>
      </w:r>
      <w:r>
        <w:rPr>
          <w:spacing w:val="-3"/>
        </w:rPr>
        <w:t> </w:t>
      </w:r>
      <w:r>
        <w:rPr/>
        <w:t>that</w:t>
      </w:r>
      <w:r>
        <w:rPr>
          <w:spacing w:val="-3"/>
        </w:rPr>
        <w:t> </w:t>
      </w:r>
      <w:r>
        <w:rPr/>
        <w:t>have</w:t>
      </w:r>
      <w:r>
        <w:rPr>
          <w:spacing w:val="-4"/>
        </w:rPr>
        <w:t> </w:t>
      </w:r>
      <w:r>
        <w:rPr/>
        <w:t>been</w:t>
      </w:r>
      <w:r>
        <w:rPr>
          <w:spacing w:val="-3"/>
        </w:rPr>
        <w:t> </w:t>
      </w:r>
      <w:r>
        <w:rPr/>
        <w:t>agreed</w:t>
      </w:r>
      <w:r>
        <w:rPr>
          <w:spacing w:val="-3"/>
        </w:rPr>
        <w:t> </w:t>
      </w:r>
      <w:r>
        <w:rPr/>
        <w:t>upon</w:t>
      </w:r>
      <w:r>
        <w:rPr>
          <w:spacing w:val="-3"/>
        </w:rPr>
        <w:t> </w:t>
      </w:r>
      <w:r>
        <w:rPr/>
        <w:t>by</w:t>
      </w:r>
      <w:r>
        <w:rPr>
          <w:spacing w:val="-8"/>
        </w:rPr>
        <w:t> </w:t>
      </w:r>
      <w:r>
        <w:rPr/>
        <w:t>the State and CMS as described in Section 5.3.1.2 of the DSRIP Protocol.</w:t>
      </w:r>
    </w:p>
    <w:p>
      <w:pPr>
        <w:pStyle w:val="BodyText"/>
        <w:spacing w:before="10"/>
        <w:rPr>
          <w:sz w:val="20"/>
        </w:rPr>
      </w:pPr>
    </w:p>
    <w:p>
      <w:pPr>
        <w:pStyle w:val="BodyText"/>
        <w:spacing w:before="1"/>
        <w:ind w:left="871" w:right="1077"/>
      </w:pPr>
      <w:r>
        <w:rPr/>
        <w:drawing>
          <wp:anchor distT="0" distB="0" distL="0" distR="0" allowOverlap="1" layoutInCell="1" locked="0" behindDoc="0" simplePos="0" relativeHeight="15945728">
            <wp:simplePos x="0" y="0"/>
            <wp:positionH relativeFrom="page">
              <wp:posOffset>832103</wp:posOffset>
            </wp:positionH>
            <wp:positionV relativeFrom="paragraph">
              <wp:posOffset>36234</wp:posOffset>
            </wp:positionV>
            <wp:extent cx="359663" cy="112775"/>
            <wp:effectExtent l="0" t="0" r="0" b="0"/>
            <wp:wrapNone/>
            <wp:docPr id="435" name="Image 435"/>
            <wp:cNvGraphicFramePr>
              <a:graphicFrameLocks/>
            </wp:cNvGraphicFramePr>
            <a:graphic>
              <a:graphicData uri="http://schemas.openxmlformats.org/drawingml/2006/picture">
                <pic:pic>
                  <pic:nvPicPr>
                    <pic:cNvPr id="435" name="Image 435"/>
                    <pic:cNvPicPr/>
                  </pic:nvPicPr>
                  <pic:blipFill>
                    <a:blip r:embed="rId192" cstate="print"/>
                    <a:stretch>
                      <a:fillRect/>
                    </a:stretch>
                  </pic:blipFill>
                  <pic:spPr>
                    <a:xfrm>
                      <a:off x="0" y="0"/>
                      <a:ext cx="359663" cy="112775"/>
                    </a:xfrm>
                    <a:prstGeom prst="rect">
                      <a:avLst/>
                    </a:prstGeom>
                  </pic:spPr>
                </pic:pic>
              </a:graphicData>
            </a:graphic>
          </wp:anchor>
        </w:drawing>
      </w:r>
      <w:bookmarkStart w:name="12.14. Independent Assessor for purposes" w:id="666"/>
      <w:bookmarkEnd w:id="666"/>
      <w:r>
        <w:rPr/>
      </w:r>
      <w:r>
        <w:rPr>
          <w:b/>
        </w:rPr>
        <w:t>Independent Assessor for purposes of DSRIP. </w:t>
      </w:r>
      <w:r>
        <w:rPr/>
        <w:t>The state has identified independent entities with expertise in delivery system improvement to assist with DSRIP administration, oversight and monitoring, including an independent assessor and/or evaluator. An independent assessor will review ACO and CP proposals, progress reports and other related documents, to ensure compliance with approved STCs and Protocols, provided that initial ACO and CP proposals are not subject to review from the</w:t>
      </w:r>
      <w:r>
        <w:rPr>
          <w:spacing w:val="40"/>
        </w:rPr>
        <w:t> </w:t>
      </w:r>
      <w:r>
        <w:rPr/>
        <w:t>independent assessor. The independent assessor shall make recommendations to the state regarding approvals, denials or recommended changes to plans to make them approvable. This entity (or another entity identified by the state) will also assist with the progress reports and any other ongoing reviews of DSRIP project plan; and assist with continuous quality improvement activities.</w:t>
      </w:r>
      <w:r>
        <w:rPr>
          <w:spacing w:val="40"/>
        </w:rPr>
        <w:t> </w:t>
      </w:r>
      <w:r>
        <w:rPr/>
        <w:t>Expenditures for the independent assessor are administrative</w:t>
      </w:r>
      <w:r>
        <w:rPr>
          <w:spacing w:val="-4"/>
        </w:rPr>
        <w:t> </w:t>
      </w:r>
      <w:r>
        <w:rPr/>
        <w:t>costs</w:t>
      </w:r>
      <w:r>
        <w:rPr>
          <w:spacing w:val="-4"/>
        </w:rPr>
        <w:t> </w:t>
      </w:r>
      <w:r>
        <w:rPr/>
        <w:t>the</w:t>
      </w:r>
      <w:r>
        <w:rPr>
          <w:spacing w:val="-4"/>
        </w:rPr>
        <w:t> </w:t>
      </w:r>
      <w:r>
        <w:rPr/>
        <w:t>state</w:t>
      </w:r>
      <w:r>
        <w:rPr>
          <w:spacing w:val="-4"/>
        </w:rPr>
        <w:t> </w:t>
      </w:r>
      <w:r>
        <w:rPr/>
        <w:t>incurs</w:t>
      </w:r>
      <w:r>
        <w:rPr>
          <w:spacing w:val="-4"/>
        </w:rPr>
        <w:t> </w:t>
      </w:r>
      <w:r>
        <w:rPr/>
        <w:t>associated</w:t>
      </w:r>
      <w:r>
        <w:rPr>
          <w:spacing w:val="-4"/>
        </w:rPr>
        <w:t> </w:t>
      </w:r>
      <w:r>
        <w:rPr/>
        <w:t>with</w:t>
      </w:r>
      <w:r>
        <w:rPr>
          <w:spacing w:val="-4"/>
        </w:rPr>
        <w:t> </w:t>
      </w:r>
      <w:r>
        <w:rPr/>
        <w:t>the</w:t>
      </w:r>
      <w:r>
        <w:rPr>
          <w:spacing w:val="-4"/>
        </w:rPr>
        <w:t> </w:t>
      </w:r>
      <w:r>
        <w:rPr/>
        <w:t>management</w:t>
      </w:r>
      <w:r>
        <w:rPr>
          <w:spacing w:val="-4"/>
        </w:rPr>
        <w:t> </w:t>
      </w:r>
      <w:r>
        <w:rPr/>
        <w:t>of</w:t>
      </w:r>
      <w:r>
        <w:rPr>
          <w:spacing w:val="-3"/>
        </w:rPr>
        <w:t> </w:t>
      </w:r>
      <w:r>
        <w:rPr/>
        <w:t>DSRIP</w:t>
      </w:r>
      <w:r>
        <w:rPr>
          <w:spacing w:val="-4"/>
        </w:rPr>
        <w:t> </w:t>
      </w:r>
      <w:r>
        <w:rPr/>
        <w:t>reports</w:t>
      </w:r>
      <w:r>
        <w:rPr>
          <w:spacing w:val="-4"/>
        </w:rPr>
        <w:t> </w:t>
      </w:r>
      <w:r>
        <w:rPr/>
        <w:t>and other data.</w:t>
      </w:r>
    </w:p>
    <w:p>
      <w:pPr>
        <w:spacing w:after="0"/>
        <w:sectPr>
          <w:pgSz w:w="12240" w:h="15840"/>
          <w:pgMar w:header="0" w:footer="1201" w:top="1360" w:bottom="1400" w:left="1200" w:right="400"/>
        </w:sectPr>
      </w:pPr>
    </w:p>
    <w:p>
      <w:pPr>
        <w:pStyle w:val="BodyText"/>
        <w:spacing w:before="79"/>
        <w:ind w:left="871" w:right="1179"/>
      </w:pPr>
      <w:bookmarkStart w:name="The state must describe the functions of" w:id="667"/>
      <w:bookmarkEnd w:id="667"/>
      <w:r>
        <w:rPr/>
      </w:r>
      <w:r>
        <w:rPr/>
        <w:t>The</w:t>
      </w:r>
      <w:r>
        <w:rPr>
          <w:spacing w:val="-4"/>
        </w:rPr>
        <w:t> </w:t>
      </w:r>
      <w:r>
        <w:rPr/>
        <w:t>state</w:t>
      </w:r>
      <w:r>
        <w:rPr>
          <w:spacing w:val="-4"/>
        </w:rPr>
        <w:t> </w:t>
      </w:r>
      <w:r>
        <w:rPr/>
        <w:t>must</w:t>
      </w:r>
      <w:r>
        <w:rPr>
          <w:spacing w:val="-3"/>
        </w:rPr>
        <w:t> </w:t>
      </w:r>
      <w:r>
        <w:rPr/>
        <w:t>describe</w:t>
      </w:r>
      <w:r>
        <w:rPr>
          <w:spacing w:val="-4"/>
        </w:rPr>
        <w:t> </w:t>
      </w:r>
      <w:r>
        <w:rPr/>
        <w:t>the</w:t>
      </w:r>
      <w:r>
        <w:rPr>
          <w:spacing w:val="-4"/>
        </w:rPr>
        <w:t> </w:t>
      </w:r>
      <w:r>
        <w:rPr/>
        <w:t>functions</w:t>
      </w:r>
      <w:r>
        <w:rPr>
          <w:spacing w:val="-3"/>
        </w:rPr>
        <w:t> </w:t>
      </w:r>
      <w:r>
        <w:rPr/>
        <w:t>of</w:t>
      </w:r>
      <w:r>
        <w:rPr>
          <w:spacing w:val="-4"/>
        </w:rPr>
        <w:t> </w:t>
      </w:r>
      <w:r>
        <w:rPr/>
        <w:t>each</w:t>
      </w:r>
      <w:r>
        <w:rPr>
          <w:spacing w:val="-3"/>
        </w:rPr>
        <w:t> </w:t>
      </w:r>
      <w:r>
        <w:rPr/>
        <w:t>independent</w:t>
      </w:r>
      <w:r>
        <w:rPr>
          <w:spacing w:val="-3"/>
        </w:rPr>
        <w:t> </w:t>
      </w:r>
      <w:r>
        <w:rPr/>
        <w:t>entity</w:t>
      </w:r>
      <w:r>
        <w:rPr>
          <w:spacing w:val="-6"/>
        </w:rPr>
        <w:t> </w:t>
      </w:r>
      <w:r>
        <w:rPr/>
        <w:t>and</w:t>
      </w:r>
      <w:r>
        <w:rPr>
          <w:spacing w:val="-3"/>
        </w:rPr>
        <w:t> </w:t>
      </w:r>
      <w:r>
        <w:rPr/>
        <w:t>their</w:t>
      </w:r>
      <w:r>
        <w:rPr>
          <w:spacing w:val="-4"/>
        </w:rPr>
        <w:t> </w:t>
      </w:r>
      <w:r>
        <w:rPr/>
        <w:t>relationship with the state as part of its Quarterly and Annual Monitoring Report requirements, outlined in STC 16.5.</w:t>
      </w:r>
    </w:p>
    <w:p>
      <w:pPr>
        <w:pStyle w:val="BodyText"/>
        <w:spacing w:before="10"/>
        <w:rPr>
          <w:sz w:val="20"/>
        </w:rPr>
      </w:pPr>
    </w:p>
    <w:p>
      <w:pPr>
        <w:pStyle w:val="BodyText"/>
        <w:ind w:left="871" w:right="1086"/>
      </w:pPr>
      <w:bookmarkStart w:name="Spending on the independent entities and" w:id="668"/>
      <w:bookmarkEnd w:id="668"/>
      <w:r>
        <w:rPr/>
      </w:r>
      <w:r>
        <w:rPr/>
        <w:t>Spending on the independent entities and other administrative cost associated with the DSRIP fund is classified as a state administrative activity of operating the state plan as affected</w:t>
      </w:r>
      <w:r>
        <w:rPr>
          <w:spacing w:val="-3"/>
        </w:rPr>
        <w:t> </w:t>
      </w:r>
      <w:r>
        <w:rPr/>
        <w:t>by</w:t>
      </w:r>
      <w:r>
        <w:rPr>
          <w:spacing w:val="-8"/>
        </w:rPr>
        <w:t> </w:t>
      </w:r>
      <w:r>
        <w:rPr/>
        <w:t>this</w:t>
      </w:r>
      <w:r>
        <w:rPr>
          <w:spacing w:val="-3"/>
        </w:rPr>
        <w:t> </w:t>
      </w:r>
      <w:r>
        <w:rPr/>
        <w:t>demonstration.</w:t>
      </w:r>
      <w:r>
        <w:rPr>
          <w:spacing w:val="-3"/>
        </w:rPr>
        <w:t> </w:t>
      </w:r>
      <w:r>
        <w:rPr/>
        <w:t>The</w:t>
      </w:r>
      <w:r>
        <w:rPr>
          <w:spacing w:val="-4"/>
        </w:rPr>
        <w:t> </w:t>
      </w:r>
      <w:r>
        <w:rPr/>
        <w:t>state</w:t>
      </w:r>
      <w:r>
        <w:rPr>
          <w:spacing w:val="-4"/>
        </w:rPr>
        <w:t> </w:t>
      </w:r>
      <w:r>
        <w:rPr/>
        <w:t>must</w:t>
      </w:r>
      <w:r>
        <w:rPr>
          <w:spacing w:val="-3"/>
        </w:rPr>
        <w:t> </w:t>
      </w:r>
      <w:r>
        <w:rPr/>
        <w:t>ensure</w:t>
      </w:r>
      <w:r>
        <w:rPr>
          <w:spacing w:val="-4"/>
        </w:rPr>
        <w:t> </w:t>
      </w:r>
      <w:r>
        <w:rPr/>
        <w:t>that</w:t>
      </w:r>
      <w:r>
        <w:rPr>
          <w:spacing w:val="-3"/>
        </w:rPr>
        <w:t> </w:t>
      </w:r>
      <w:r>
        <w:rPr/>
        <w:t>all</w:t>
      </w:r>
      <w:r>
        <w:rPr>
          <w:spacing w:val="-3"/>
        </w:rPr>
        <w:t> </w:t>
      </w:r>
      <w:r>
        <w:rPr/>
        <w:t>administrative</w:t>
      </w:r>
      <w:r>
        <w:rPr>
          <w:spacing w:val="-4"/>
        </w:rPr>
        <w:t> </w:t>
      </w:r>
      <w:r>
        <w:rPr/>
        <w:t>costs</w:t>
      </w:r>
      <w:r>
        <w:rPr>
          <w:spacing w:val="-3"/>
        </w:rPr>
        <w:t> </w:t>
      </w:r>
      <w:r>
        <w:rPr/>
        <w:t>for</w:t>
      </w:r>
      <w:r>
        <w:rPr>
          <w:spacing w:val="-4"/>
        </w:rPr>
        <w:t> </w:t>
      </w:r>
      <w:r>
        <w:rPr/>
        <w:t>the independent entities are proper and efficient for the administration of the DSRIP Fund. The State may also claim FFP for expenditures related to these administrative activities using DSRIP expenditure authority.</w:t>
      </w:r>
    </w:p>
    <w:p>
      <w:pPr>
        <w:pStyle w:val="BodyText"/>
        <w:spacing w:before="10"/>
        <w:rPr>
          <w:sz w:val="20"/>
        </w:rPr>
      </w:pPr>
    </w:p>
    <w:p>
      <w:pPr>
        <w:pStyle w:val="BodyText"/>
        <w:ind w:left="871" w:right="1089"/>
      </w:pPr>
      <w:r>
        <w:rPr/>
        <w:drawing>
          <wp:anchor distT="0" distB="0" distL="0" distR="0" allowOverlap="1" layoutInCell="1" locked="0" behindDoc="0" simplePos="0" relativeHeight="15946752">
            <wp:simplePos x="0" y="0"/>
            <wp:positionH relativeFrom="page">
              <wp:posOffset>832103</wp:posOffset>
            </wp:positionH>
            <wp:positionV relativeFrom="paragraph">
              <wp:posOffset>35599</wp:posOffset>
            </wp:positionV>
            <wp:extent cx="359663" cy="112775"/>
            <wp:effectExtent l="0" t="0" r="0" b="0"/>
            <wp:wrapNone/>
            <wp:docPr id="436" name="Image 436"/>
            <wp:cNvGraphicFramePr>
              <a:graphicFrameLocks/>
            </wp:cNvGraphicFramePr>
            <a:graphic>
              <a:graphicData uri="http://schemas.openxmlformats.org/drawingml/2006/picture">
                <pic:pic>
                  <pic:nvPicPr>
                    <pic:cNvPr id="436" name="Image 436"/>
                    <pic:cNvPicPr/>
                  </pic:nvPicPr>
                  <pic:blipFill>
                    <a:blip r:embed="rId193" cstate="print"/>
                    <a:stretch>
                      <a:fillRect/>
                    </a:stretch>
                  </pic:blipFill>
                  <pic:spPr>
                    <a:xfrm>
                      <a:off x="0" y="0"/>
                      <a:ext cx="359663" cy="112775"/>
                    </a:xfrm>
                    <a:prstGeom prst="rect">
                      <a:avLst/>
                    </a:prstGeom>
                  </pic:spPr>
                </pic:pic>
              </a:graphicData>
            </a:graphic>
          </wp:anchor>
        </w:drawing>
      </w:r>
      <w:bookmarkStart w:name="12.15. DSRIP Advisory Committee. The sta" w:id="669"/>
      <w:bookmarkEnd w:id="669"/>
      <w:r>
        <w:rPr/>
      </w:r>
      <w:r>
        <w:rPr>
          <w:b/>
        </w:rPr>
        <w:t>DSRIP</w:t>
      </w:r>
      <w:r>
        <w:rPr>
          <w:b/>
          <w:spacing w:val="-6"/>
        </w:rPr>
        <w:t> </w:t>
      </w:r>
      <w:r>
        <w:rPr>
          <w:b/>
        </w:rPr>
        <w:t>Advisory</w:t>
      </w:r>
      <w:r>
        <w:rPr>
          <w:b/>
          <w:spacing w:val="-3"/>
        </w:rPr>
        <w:t> </w:t>
      </w:r>
      <w:r>
        <w:rPr>
          <w:b/>
        </w:rPr>
        <w:t>Committee.</w:t>
      </w:r>
      <w:r>
        <w:rPr>
          <w:b/>
          <w:spacing w:val="-1"/>
        </w:rPr>
        <w:t> </w:t>
      </w:r>
      <w:r>
        <w:rPr/>
        <w:t>The</w:t>
      </w:r>
      <w:r>
        <w:rPr>
          <w:spacing w:val="-4"/>
        </w:rPr>
        <w:t> </w:t>
      </w:r>
      <w:r>
        <w:rPr/>
        <w:t>state</w:t>
      </w:r>
      <w:r>
        <w:rPr>
          <w:spacing w:val="-4"/>
        </w:rPr>
        <w:t> </w:t>
      </w:r>
      <w:r>
        <w:rPr/>
        <w:t>has</w:t>
      </w:r>
      <w:r>
        <w:rPr>
          <w:spacing w:val="-3"/>
        </w:rPr>
        <w:t> </w:t>
      </w:r>
      <w:r>
        <w:rPr/>
        <w:t>developed</w:t>
      </w:r>
      <w:r>
        <w:rPr>
          <w:spacing w:val="-3"/>
        </w:rPr>
        <w:t> </w:t>
      </w:r>
      <w:r>
        <w:rPr/>
        <w:t>and</w:t>
      </w:r>
      <w:r>
        <w:rPr>
          <w:spacing w:val="-3"/>
        </w:rPr>
        <w:t> </w:t>
      </w:r>
      <w:r>
        <w:rPr/>
        <w:t>put</w:t>
      </w:r>
      <w:r>
        <w:rPr>
          <w:spacing w:val="-3"/>
        </w:rPr>
        <w:t> </w:t>
      </w:r>
      <w:r>
        <w:rPr/>
        <w:t>into</w:t>
      </w:r>
      <w:r>
        <w:rPr>
          <w:spacing w:val="-3"/>
        </w:rPr>
        <w:t> </w:t>
      </w:r>
      <w:r>
        <w:rPr/>
        <w:t>action</w:t>
      </w:r>
      <w:r>
        <w:rPr>
          <w:spacing w:val="-3"/>
        </w:rPr>
        <w:t> </w:t>
      </w:r>
      <w:r>
        <w:rPr/>
        <w:t>a</w:t>
      </w:r>
      <w:r>
        <w:rPr>
          <w:spacing w:val="-4"/>
        </w:rPr>
        <w:t> </w:t>
      </w:r>
      <w:r>
        <w:rPr/>
        <w:t>committee</w:t>
      </w:r>
      <w:r>
        <w:rPr>
          <w:spacing w:val="-4"/>
        </w:rPr>
        <w:t> </w:t>
      </w:r>
      <w:r>
        <w:rPr/>
        <w:t>of stakeholders responsible for supporting the clinical performance improvement cycle of DSRIP activities. Until December 31, 2022, the Committee will serve as an advisory group offering expertise in health care quality measures, clinical measurement, and clinical data used in performance improvement initiatives, quality, and best practices.</w:t>
      </w:r>
    </w:p>
    <w:p>
      <w:pPr>
        <w:pStyle w:val="BodyText"/>
        <w:spacing w:before="10"/>
        <w:rPr>
          <w:sz w:val="20"/>
        </w:rPr>
      </w:pPr>
    </w:p>
    <w:p>
      <w:pPr>
        <w:pStyle w:val="BodyText"/>
        <w:ind w:left="871" w:right="1059"/>
      </w:pPr>
      <w:r>
        <w:rPr/>
        <w:t>Final</w:t>
      </w:r>
      <w:r>
        <w:rPr>
          <w:spacing w:val="-3"/>
        </w:rPr>
        <w:t> </w:t>
      </w:r>
      <w:r>
        <w:rPr/>
        <w:t>decision-making</w:t>
      </w:r>
      <w:r>
        <w:rPr>
          <w:spacing w:val="-3"/>
        </w:rPr>
        <w:t> </w:t>
      </w:r>
      <w:r>
        <w:rPr/>
        <w:t>authority</w:t>
      </w:r>
      <w:r>
        <w:rPr>
          <w:spacing w:val="-8"/>
        </w:rPr>
        <w:t> </w:t>
      </w:r>
      <w:r>
        <w:rPr/>
        <w:t>will</w:t>
      </w:r>
      <w:r>
        <w:rPr>
          <w:spacing w:val="-3"/>
        </w:rPr>
        <w:t> </w:t>
      </w:r>
      <w:r>
        <w:rPr/>
        <w:t>be</w:t>
      </w:r>
      <w:r>
        <w:rPr>
          <w:spacing w:val="-4"/>
        </w:rPr>
        <w:t> </w:t>
      </w:r>
      <w:r>
        <w:rPr/>
        <w:t>retained</w:t>
      </w:r>
      <w:r>
        <w:rPr>
          <w:spacing w:val="-3"/>
        </w:rPr>
        <w:t> </w:t>
      </w:r>
      <w:r>
        <w:rPr/>
        <w:t>by</w:t>
      </w:r>
      <w:r>
        <w:rPr>
          <w:spacing w:val="-6"/>
        </w:rPr>
        <w:t> </w:t>
      </w:r>
      <w:r>
        <w:rPr/>
        <w:t>the</w:t>
      </w:r>
      <w:r>
        <w:rPr>
          <w:spacing w:val="-4"/>
        </w:rPr>
        <w:t> </w:t>
      </w:r>
      <w:r>
        <w:rPr/>
        <w:t>state</w:t>
      </w:r>
      <w:r>
        <w:rPr>
          <w:spacing w:val="-2"/>
        </w:rPr>
        <w:t> </w:t>
      </w:r>
      <w:r>
        <w:rPr/>
        <w:t>and</w:t>
      </w:r>
      <w:r>
        <w:rPr>
          <w:spacing w:val="-3"/>
        </w:rPr>
        <w:t> </w:t>
      </w:r>
      <w:r>
        <w:rPr/>
        <w:t>CMS,</w:t>
      </w:r>
      <w:r>
        <w:rPr>
          <w:spacing w:val="-4"/>
        </w:rPr>
        <w:t> </w:t>
      </w:r>
      <w:r>
        <w:rPr/>
        <w:t>although</w:t>
      </w:r>
      <w:r>
        <w:rPr>
          <w:spacing w:val="-3"/>
        </w:rPr>
        <w:t> </w:t>
      </w:r>
      <w:r>
        <w:rPr/>
        <w:t>all recommendations of the committee will be considered by the State and CMS.</w:t>
      </w:r>
    </w:p>
    <w:p>
      <w:pPr>
        <w:pStyle w:val="BodyText"/>
        <w:spacing w:before="161"/>
        <w:ind w:left="871"/>
      </w:pPr>
      <w:r>
        <w:rPr/>
        <w:t>Specifically,</w:t>
      </w:r>
      <w:r>
        <w:rPr>
          <w:spacing w:val="-4"/>
        </w:rPr>
        <w:t> </w:t>
      </w:r>
      <w:r>
        <w:rPr/>
        <w:t>the</w:t>
      </w:r>
      <w:r>
        <w:rPr>
          <w:spacing w:val="-2"/>
        </w:rPr>
        <w:t> </w:t>
      </w:r>
      <w:r>
        <w:rPr/>
        <w:t>Committee</w:t>
      </w:r>
      <w:r>
        <w:rPr>
          <w:spacing w:val="-2"/>
        </w:rPr>
        <w:t> </w:t>
      </w:r>
      <w:r>
        <w:rPr/>
        <w:t>will</w:t>
      </w:r>
      <w:r>
        <w:rPr>
          <w:spacing w:val="-1"/>
        </w:rPr>
        <w:t> </w:t>
      </w:r>
      <w:r>
        <w:rPr/>
        <w:t>provide</w:t>
      </w:r>
      <w:r>
        <w:rPr>
          <w:spacing w:val="-3"/>
        </w:rPr>
        <w:t> </w:t>
      </w:r>
      <w:r>
        <w:rPr/>
        <w:t>feedback</w:t>
      </w:r>
      <w:r>
        <w:rPr>
          <w:spacing w:val="1"/>
        </w:rPr>
        <w:t> </w:t>
      </w:r>
      <w:r>
        <w:rPr/>
        <w:t>to</w:t>
      </w:r>
      <w:r>
        <w:rPr>
          <w:spacing w:val="-1"/>
        </w:rPr>
        <w:t> </w:t>
      </w:r>
      <w:r>
        <w:rPr/>
        <w:t>the</w:t>
      </w:r>
      <w:r>
        <w:rPr>
          <w:spacing w:val="-2"/>
        </w:rPr>
        <w:t> </w:t>
      </w:r>
      <w:r>
        <w:rPr/>
        <w:t>state</w:t>
      </w:r>
      <w:r>
        <w:rPr>
          <w:spacing w:val="-2"/>
        </w:rPr>
        <w:t> regarding:</w:t>
      </w:r>
    </w:p>
    <w:p>
      <w:pPr>
        <w:pStyle w:val="ListParagraph"/>
        <w:numPr>
          <w:ilvl w:val="0"/>
          <w:numId w:val="37"/>
        </w:numPr>
        <w:tabs>
          <w:tab w:pos="1679" w:val="left" w:leader="none"/>
        </w:tabs>
        <w:spacing w:line="240" w:lineRule="auto" w:before="158" w:after="0"/>
        <w:ind w:left="1411" w:right="2143" w:firstLine="0"/>
        <w:jc w:val="left"/>
        <w:rPr>
          <w:sz w:val="24"/>
        </w:rPr>
      </w:pPr>
      <w:r>
        <w:rPr>
          <w:sz w:val="24"/>
        </w:rPr>
        <w:t>Selection</w:t>
      </w:r>
      <w:r>
        <w:rPr>
          <w:spacing w:val="-7"/>
          <w:sz w:val="24"/>
        </w:rPr>
        <w:t> </w:t>
      </w:r>
      <w:r>
        <w:rPr>
          <w:sz w:val="24"/>
        </w:rPr>
        <w:t>of</w:t>
      </w:r>
      <w:r>
        <w:rPr>
          <w:spacing w:val="-5"/>
          <w:sz w:val="24"/>
        </w:rPr>
        <w:t> </w:t>
      </w:r>
      <w:r>
        <w:rPr>
          <w:sz w:val="24"/>
        </w:rPr>
        <w:t>additional</w:t>
      </w:r>
      <w:r>
        <w:rPr>
          <w:spacing w:val="-4"/>
          <w:sz w:val="24"/>
        </w:rPr>
        <w:t> </w:t>
      </w:r>
      <w:r>
        <w:rPr>
          <w:sz w:val="24"/>
        </w:rPr>
        <w:t>metrics</w:t>
      </w:r>
      <w:r>
        <w:rPr>
          <w:spacing w:val="-4"/>
          <w:sz w:val="24"/>
        </w:rPr>
        <w:t> </w:t>
      </w:r>
      <w:r>
        <w:rPr>
          <w:sz w:val="24"/>
        </w:rPr>
        <w:t>for</w:t>
      </w:r>
      <w:r>
        <w:rPr>
          <w:spacing w:val="-5"/>
          <w:sz w:val="24"/>
        </w:rPr>
        <w:t> </w:t>
      </w:r>
      <w:r>
        <w:rPr>
          <w:sz w:val="24"/>
        </w:rPr>
        <w:t>providers</w:t>
      </w:r>
      <w:r>
        <w:rPr>
          <w:spacing w:val="-4"/>
          <w:sz w:val="24"/>
        </w:rPr>
        <w:t> </w:t>
      </w:r>
      <w:r>
        <w:rPr>
          <w:sz w:val="24"/>
        </w:rPr>
        <w:t>that</w:t>
      </w:r>
      <w:r>
        <w:rPr>
          <w:spacing w:val="-4"/>
          <w:sz w:val="24"/>
        </w:rPr>
        <w:t> </w:t>
      </w:r>
      <w:r>
        <w:rPr>
          <w:sz w:val="24"/>
        </w:rPr>
        <w:t>have</w:t>
      </w:r>
      <w:r>
        <w:rPr>
          <w:spacing w:val="-5"/>
          <w:sz w:val="24"/>
        </w:rPr>
        <w:t> </w:t>
      </w:r>
      <w:r>
        <w:rPr>
          <w:sz w:val="24"/>
        </w:rPr>
        <w:t>reached</w:t>
      </w:r>
      <w:r>
        <w:rPr>
          <w:spacing w:val="-17"/>
          <w:sz w:val="24"/>
        </w:rPr>
        <w:t> </w:t>
      </w:r>
      <w:r>
        <w:rPr>
          <w:sz w:val="24"/>
        </w:rPr>
        <w:t>baseline performance thresholds or exceeded performance targets</w:t>
      </w:r>
    </w:p>
    <w:p>
      <w:pPr>
        <w:pStyle w:val="ListParagraph"/>
        <w:numPr>
          <w:ilvl w:val="0"/>
          <w:numId w:val="37"/>
        </w:numPr>
        <w:tabs>
          <w:tab w:pos="1679" w:val="left" w:leader="none"/>
        </w:tabs>
        <w:spacing w:line="240" w:lineRule="auto" w:before="0" w:after="0"/>
        <w:ind w:left="1411" w:right="1142" w:firstLine="0"/>
        <w:jc w:val="left"/>
        <w:rPr>
          <w:sz w:val="24"/>
        </w:rPr>
      </w:pPr>
      <w:r>
        <w:rPr/>
        <mc:AlternateContent>
          <mc:Choice Requires="wps">
            <w:drawing>
              <wp:anchor distT="0" distB="0" distL="0" distR="0" allowOverlap="1" layoutInCell="1" locked="0" behindDoc="1" simplePos="0" relativeHeight="473742848">
                <wp:simplePos x="0" y="0"/>
                <wp:positionH relativeFrom="page">
                  <wp:posOffset>4989828</wp:posOffset>
                </wp:positionH>
                <wp:positionV relativeFrom="paragraph">
                  <wp:posOffset>163238</wp:posOffset>
                </wp:positionV>
                <wp:extent cx="38100" cy="1270"/>
                <wp:effectExtent l="0" t="0" r="0" b="0"/>
                <wp:wrapNone/>
                <wp:docPr id="437" name="Graphic 437"/>
                <wp:cNvGraphicFramePr>
                  <a:graphicFrameLocks/>
                </wp:cNvGraphicFramePr>
                <a:graphic>
                  <a:graphicData uri="http://schemas.microsoft.com/office/word/2010/wordprocessingShape">
                    <wps:wsp>
                      <wps:cNvPr id="437" name="Graphic 437"/>
                      <wps:cNvSpPr/>
                      <wps:spPr>
                        <a:xfrm>
                          <a:off x="0" y="0"/>
                          <a:ext cx="38100" cy="1270"/>
                        </a:xfrm>
                        <a:custGeom>
                          <a:avLst/>
                          <a:gdLst/>
                          <a:ahLst/>
                          <a:cxnLst/>
                          <a:rect l="l" t="t" r="r" b="b"/>
                          <a:pathLst>
                            <a:path w="38100" h="0">
                              <a:moveTo>
                                <a:pt x="0" y="0"/>
                              </a:moveTo>
                              <a:lnTo>
                                <a:pt x="381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9573632" from="392.899902pt,12.853453pt" to="395.899902pt,12.853453pt" stroked="true" strokeweight=".6pt" strokecolor="#000000">
                <v:stroke dashstyle="solid"/>
                <w10:wrap type="none"/>
              </v:line>
            </w:pict>
          </mc:Fallback>
        </mc:AlternateContent>
      </w:r>
      <w:r>
        <w:rPr>
          <w:sz w:val="24"/>
        </w:rPr>
        <w:t>Assessing the effectiveness of cross-cutting measures to understand how aspects of</w:t>
      </w:r>
      <w:r>
        <w:rPr>
          <w:spacing w:val="-4"/>
          <w:sz w:val="24"/>
        </w:rPr>
        <w:t> </w:t>
      </w:r>
      <w:r>
        <w:rPr>
          <w:sz w:val="24"/>
        </w:rPr>
        <w:t>one</w:t>
      </w:r>
      <w:r>
        <w:rPr>
          <w:spacing w:val="-4"/>
          <w:sz w:val="24"/>
        </w:rPr>
        <w:t> </w:t>
      </w:r>
      <w:r>
        <w:rPr>
          <w:sz w:val="24"/>
        </w:rPr>
        <w:t>system</w:t>
      </w:r>
      <w:r>
        <w:rPr>
          <w:spacing w:val="-3"/>
          <w:sz w:val="24"/>
        </w:rPr>
        <w:t> </w:t>
      </w:r>
      <w:r>
        <w:rPr>
          <w:sz w:val="24"/>
        </w:rPr>
        <w:t>are</w:t>
      </w:r>
      <w:r>
        <w:rPr>
          <w:spacing w:val="-4"/>
          <w:sz w:val="24"/>
        </w:rPr>
        <w:t> </w:t>
      </w:r>
      <w:r>
        <w:rPr>
          <w:sz w:val="24"/>
        </w:rPr>
        <w:t>affecting</w:t>
      </w:r>
      <w:r>
        <w:rPr>
          <w:spacing w:val="-6"/>
          <w:sz w:val="24"/>
        </w:rPr>
        <w:t> </w:t>
      </w:r>
      <w:r>
        <w:rPr>
          <w:sz w:val="24"/>
        </w:rPr>
        <w:t>the</w:t>
      </w:r>
      <w:r>
        <w:rPr>
          <w:spacing w:val="-4"/>
          <w:sz w:val="24"/>
        </w:rPr>
        <w:t> </w:t>
      </w:r>
      <w:r>
        <w:rPr>
          <w:sz w:val="24"/>
        </w:rPr>
        <w:t>other.</w:t>
      </w:r>
      <w:r>
        <w:rPr>
          <w:spacing w:val="-3"/>
          <w:sz w:val="24"/>
        </w:rPr>
        <w:t> </w:t>
      </w:r>
      <w:r>
        <w:rPr>
          <w:sz w:val="24"/>
        </w:rPr>
        <w:t>For</w:t>
      </w:r>
      <w:r>
        <w:rPr>
          <w:spacing w:val="-4"/>
          <w:sz w:val="24"/>
        </w:rPr>
        <w:t> </w:t>
      </w:r>
      <w:r>
        <w:rPr>
          <w:sz w:val="24"/>
        </w:rPr>
        <w:t>example,</w:t>
      </w:r>
      <w:r>
        <w:rPr>
          <w:spacing w:val="-3"/>
          <w:sz w:val="24"/>
        </w:rPr>
        <w:t> </w:t>
      </w:r>
      <w:r>
        <w:rPr>
          <w:sz w:val="24"/>
        </w:rPr>
        <w:t>are</w:t>
      </w:r>
      <w:r>
        <w:rPr>
          <w:spacing w:val="-2"/>
          <w:sz w:val="24"/>
        </w:rPr>
        <w:t> </w:t>
      </w:r>
      <w:r>
        <w:rPr>
          <w:sz w:val="24"/>
        </w:rPr>
        <w:t>BH/SUD/LTSS</w:t>
      </w:r>
      <w:r>
        <w:rPr>
          <w:spacing w:val="-3"/>
          <w:sz w:val="24"/>
        </w:rPr>
        <w:t> </w:t>
      </w:r>
      <w:r>
        <w:rPr>
          <w:sz w:val="24"/>
        </w:rPr>
        <w:t>performance focus areas affecting physical health outcomes?</w:t>
      </w:r>
    </w:p>
    <w:p>
      <w:pPr>
        <w:pStyle w:val="ListParagraph"/>
        <w:numPr>
          <w:ilvl w:val="0"/>
          <w:numId w:val="37"/>
        </w:numPr>
        <w:tabs>
          <w:tab w:pos="1679" w:val="left" w:leader="none"/>
        </w:tabs>
        <w:spacing w:line="240" w:lineRule="auto" w:before="0" w:after="0"/>
        <w:ind w:left="1411" w:right="1640" w:firstLine="0"/>
        <w:jc w:val="left"/>
        <w:rPr>
          <w:sz w:val="24"/>
        </w:rPr>
      </w:pPr>
      <w:r>
        <w:rPr>
          <w:sz w:val="24"/>
        </w:rPr>
        <w:t>Alignment</w:t>
      </w:r>
      <w:r>
        <w:rPr>
          <w:spacing w:val="-4"/>
          <w:sz w:val="24"/>
        </w:rPr>
        <w:t> </w:t>
      </w:r>
      <w:r>
        <w:rPr>
          <w:sz w:val="24"/>
        </w:rPr>
        <w:t>of</w:t>
      </w:r>
      <w:r>
        <w:rPr>
          <w:spacing w:val="-4"/>
          <w:sz w:val="24"/>
        </w:rPr>
        <w:t> </w:t>
      </w:r>
      <w:r>
        <w:rPr>
          <w:sz w:val="24"/>
        </w:rPr>
        <w:t>measures</w:t>
      </w:r>
      <w:r>
        <w:rPr>
          <w:spacing w:val="-4"/>
          <w:sz w:val="24"/>
        </w:rPr>
        <w:t> </w:t>
      </w:r>
      <w:r>
        <w:rPr>
          <w:sz w:val="24"/>
        </w:rPr>
        <w:t>between</w:t>
      </w:r>
      <w:r>
        <w:rPr>
          <w:spacing w:val="-4"/>
          <w:sz w:val="24"/>
        </w:rPr>
        <w:t> </w:t>
      </w:r>
      <w:r>
        <w:rPr>
          <w:sz w:val="24"/>
        </w:rPr>
        <w:t>systems</w:t>
      </w:r>
      <w:r>
        <w:rPr>
          <w:spacing w:val="-4"/>
          <w:sz w:val="24"/>
        </w:rPr>
        <w:t> </w:t>
      </w:r>
      <w:r>
        <w:rPr>
          <w:sz w:val="24"/>
        </w:rPr>
        <w:t>with</w:t>
      </w:r>
      <w:r>
        <w:rPr>
          <w:spacing w:val="-4"/>
          <w:sz w:val="24"/>
        </w:rPr>
        <w:t> </w:t>
      </w:r>
      <w:r>
        <w:rPr>
          <w:sz w:val="24"/>
        </w:rPr>
        <w:t>purpose,</w:t>
      </w:r>
      <w:r>
        <w:rPr>
          <w:spacing w:val="-4"/>
          <w:sz w:val="24"/>
        </w:rPr>
        <w:t> </w:t>
      </w:r>
      <w:r>
        <w:rPr>
          <w:sz w:val="24"/>
        </w:rPr>
        <w:t>to</w:t>
      </w:r>
      <w:r>
        <w:rPr>
          <w:spacing w:val="-4"/>
          <w:sz w:val="24"/>
        </w:rPr>
        <w:t> </w:t>
      </w:r>
      <w:r>
        <w:rPr>
          <w:sz w:val="24"/>
        </w:rPr>
        <w:t>enable</w:t>
      </w:r>
      <w:r>
        <w:rPr>
          <w:spacing w:val="-4"/>
          <w:sz w:val="24"/>
        </w:rPr>
        <w:t> </w:t>
      </w:r>
      <w:r>
        <w:rPr>
          <w:sz w:val="24"/>
        </w:rPr>
        <w:t>the</w:t>
      </w:r>
      <w:r>
        <w:rPr>
          <w:spacing w:val="-5"/>
          <w:sz w:val="24"/>
        </w:rPr>
        <w:t> </w:t>
      </w:r>
      <w:r>
        <w:rPr>
          <w:sz w:val="24"/>
        </w:rPr>
        <w:t>state</w:t>
      </w:r>
      <w:r>
        <w:rPr>
          <w:spacing w:val="-4"/>
          <w:sz w:val="24"/>
        </w:rPr>
        <w:t> </w:t>
      </w:r>
      <w:r>
        <w:rPr>
          <w:sz w:val="24"/>
        </w:rPr>
        <w:t>to assess the effectiveness in their outcomes across</w:t>
      </w:r>
      <w:r>
        <w:rPr>
          <w:spacing w:val="-2"/>
          <w:sz w:val="24"/>
        </w:rPr>
        <w:t> </w:t>
      </w:r>
      <w:r>
        <w:rPr>
          <w:sz w:val="24"/>
        </w:rPr>
        <w:t>systems</w:t>
      </w:r>
    </w:p>
    <w:p>
      <w:pPr>
        <w:pStyle w:val="ListParagraph"/>
        <w:numPr>
          <w:ilvl w:val="0"/>
          <w:numId w:val="37"/>
        </w:numPr>
        <w:tabs>
          <w:tab w:pos="1679" w:val="left" w:leader="none"/>
        </w:tabs>
        <w:spacing w:line="293" w:lineRule="exact" w:before="0" w:after="0"/>
        <w:ind w:left="1679" w:right="0" w:hanging="268"/>
        <w:jc w:val="left"/>
        <w:rPr>
          <w:sz w:val="24"/>
        </w:rPr>
      </w:pPr>
      <w:r>
        <w:rPr>
          <w:sz w:val="24"/>
        </w:rPr>
        <w:t>Identify</w:t>
      </w:r>
      <w:r>
        <w:rPr>
          <w:spacing w:val="-6"/>
          <w:sz w:val="24"/>
        </w:rPr>
        <w:t> </w:t>
      </w:r>
      <w:r>
        <w:rPr>
          <w:sz w:val="24"/>
        </w:rPr>
        <w:t>actionable</w:t>
      </w:r>
      <w:r>
        <w:rPr>
          <w:spacing w:val="-2"/>
          <w:sz w:val="24"/>
        </w:rPr>
        <w:t> </w:t>
      </w:r>
      <w:r>
        <w:rPr>
          <w:sz w:val="24"/>
        </w:rPr>
        <w:t>new</w:t>
      </w:r>
      <w:r>
        <w:rPr>
          <w:spacing w:val="1"/>
          <w:sz w:val="24"/>
        </w:rPr>
        <w:t> </w:t>
      </w:r>
      <w:r>
        <w:rPr>
          <w:sz w:val="24"/>
        </w:rPr>
        <w:t>areas</w:t>
      </w:r>
      <w:r>
        <w:rPr>
          <w:spacing w:val="-1"/>
          <w:sz w:val="24"/>
        </w:rPr>
        <w:t> </w:t>
      </w:r>
      <w:r>
        <w:rPr>
          <w:sz w:val="24"/>
        </w:rPr>
        <w:t>of</w:t>
      </w:r>
      <w:r>
        <w:rPr>
          <w:spacing w:val="-1"/>
          <w:sz w:val="24"/>
        </w:rPr>
        <w:t> </w:t>
      </w:r>
      <w:r>
        <w:rPr>
          <w:spacing w:val="-2"/>
          <w:sz w:val="24"/>
        </w:rPr>
        <w:t>priority,</w:t>
      </w:r>
    </w:p>
    <w:p>
      <w:pPr>
        <w:pStyle w:val="ListParagraph"/>
        <w:numPr>
          <w:ilvl w:val="0"/>
          <w:numId w:val="37"/>
        </w:numPr>
        <w:tabs>
          <w:tab w:pos="1679" w:val="left" w:leader="none"/>
        </w:tabs>
        <w:spacing w:line="240" w:lineRule="auto" w:before="0" w:after="0"/>
        <w:ind w:left="1411" w:right="1443" w:firstLine="0"/>
        <w:jc w:val="left"/>
        <w:rPr>
          <w:sz w:val="24"/>
        </w:rPr>
      </w:pPr>
      <w:r>
        <w:rPr>
          <w:sz w:val="24"/>
        </w:rPr>
        <w:t>Make</w:t>
      </w:r>
      <w:r>
        <w:rPr>
          <w:spacing w:val="-6"/>
          <w:sz w:val="24"/>
        </w:rPr>
        <w:t> </w:t>
      </w:r>
      <w:r>
        <w:rPr>
          <w:sz w:val="24"/>
        </w:rPr>
        <w:t>systems-based</w:t>
      </w:r>
      <w:r>
        <w:rPr>
          <w:spacing w:val="-3"/>
          <w:sz w:val="24"/>
        </w:rPr>
        <w:t> </w:t>
      </w:r>
      <w:r>
        <w:rPr>
          <w:sz w:val="24"/>
        </w:rPr>
        <w:t>recommendations</w:t>
      </w:r>
      <w:r>
        <w:rPr>
          <w:spacing w:val="-5"/>
          <w:sz w:val="24"/>
        </w:rPr>
        <w:t> </w:t>
      </w:r>
      <w:r>
        <w:rPr>
          <w:sz w:val="24"/>
        </w:rPr>
        <w:t>for</w:t>
      </w:r>
      <w:r>
        <w:rPr>
          <w:spacing w:val="-6"/>
          <w:sz w:val="24"/>
        </w:rPr>
        <w:t> </w:t>
      </w:r>
      <w:r>
        <w:rPr>
          <w:sz w:val="24"/>
        </w:rPr>
        <w:t>initiatives</w:t>
      </w:r>
      <w:r>
        <w:rPr>
          <w:spacing w:val="-5"/>
          <w:sz w:val="24"/>
        </w:rPr>
        <w:t> </w:t>
      </w:r>
      <w:r>
        <w:rPr>
          <w:sz w:val="24"/>
        </w:rPr>
        <w:t>to</w:t>
      </w:r>
      <w:r>
        <w:rPr>
          <w:spacing w:val="-5"/>
          <w:sz w:val="24"/>
        </w:rPr>
        <w:t> </w:t>
      </w:r>
      <w:r>
        <w:rPr>
          <w:sz w:val="24"/>
        </w:rPr>
        <w:t>improve</w:t>
      </w:r>
      <w:r>
        <w:rPr>
          <w:spacing w:val="-6"/>
          <w:sz w:val="24"/>
        </w:rPr>
        <w:t> </w:t>
      </w:r>
      <w:r>
        <w:rPr>
          <w:sz w:val="24"/>
        </w:rPr>
        <w:t>cross-cutting </w:t>
      </w:r>
      <w:r>
        <w:rPr>
          <w:spacing w:val="-2"/>
          <w:sz w:val="24"/>
        </w:rPr>
        <w:t>performance.</w:t>
      </w:r>
    </w:p>
    <w:p>
      <w:pPr>
        <w:pStyle w:val="BodyText"/>
        <w:spacing w:before="197"/>
        <w:ind w:left="1411" w:right="1059" w:hanging="360"/>
      </w:pPr>
      <w:bookmarkStart w:name="a. Composition of the Committee. The mem" w:id="670"/>
      <w:bookmarkEnd w:id="670"/>
      <w:r>
        <w:rPr/>
      </w:r>
      <w:r>
        <w:rPr/>
        <w:t>a.</w:t>
      </w:r>
      <w:r>
        <w:rPr>
          <w:spacing w:val="80"/>
          <w:w w:val="150"/>
        </w:rPr>
        <w:t> </w:t>
      </w:r>
      <w:r>
        <w:rPr>
          <w:b/>
        </w:rPr>
        <w:t>Composition</w:t>
      </w:r>
      <w:r>
        <w:rPr>
          <w:b/>
          <w:spacing w:val="-3"/>
        </w:rPr>
        <w:t> </w:t>
      </w:r>
      <w:r>
        <w:rPr>
          <w:b/>
        </w:rPr>
        <w:t>of</w:t>
      </w:r>
      <w:r>
        <w:rPr>
          <w:b/>
          <w:spacing w:val="-2"/>
        </w:rPr>
        <w:t> </w:t>
      </w:r>
      <w:r>
        <w:rPr>
          <w:b/>
        </w:rPr>
        <w:t>the</w:t>
      </w:r>
      <w:r>
        <w:rPr>
          <w:b/>
          <w:spacing w:val="-4"/>
        </w:rPr>
        <w:t> </w:t>
      </w:r>
      <w:r>
        <w:rPr>
          <w:b/>
        </w:rPr>
        <w:t>Committee.</w:t>
      </w:r>
      <w:r>
        <w:rPr>
          <w:b/>
          <w:spacing w:val="-3"/>
        </w:rPr>
        <w:t> </w:t>
      </w:r>
      <w:r>
        <w:rPr/>
        <w:t>The</w:t>
      </w:r>
      <w:r>
        <w:rPr>
          <w:spacing w:val="-4"/>
        </w:rPr>
        <w:t> </w:t>
      </w:r>
      <w:r>
        <w:rPr/>
        <w:t>membership</w:t>
      </w:r>
      <w:r>
        <w:rPr>
          <w:spacing w:val="-3"/>
        </w:rPr>
        <w:t> </w:t>
      </w:r>
      <w:r>
        <w:rPr/>
        <w:t>of</w:t>
      </w:r>
      <w:r>
        <w:rPr>
          <w:spacing w:val="-4"/>
        </w:rPr>
        <w:t> </w:t>
      </w:r>
      <w:r>
        <w:rPr/>
        <w:t>the</w:t>
      </w:r>
      <w:r>
        <w:rPr>
          <w:spacing w:val="-4"/>
        </w:rPr>
        <w:t> </w:t>
      </w:r>
      <w:r>
        <w:rPr/>
        <w:t>committee</w:t>
      </w:r>
      <w:r>
        <w:rPr>
          <w:spacing w:val="-4"/>
        </w:rPr>
        <w:t> </w:t>
      </w:r>
      <w:r>
        <w:rPr/>
        <w:t>must</w:t>
      </w:r>
      <w:r>
        <w:rPr>
          <w:spacing w:val="-3"/>
        </w:rPr>
        <w:t> </w:t>
      </w:r>
      <w:r>
        <w:rPr/>
        <w:t>consist</w:t>
      </w:r>
      <w:r>
        <w:rPr>
          <w:spacing w:val="-3"/>
        </w:rPr>
        <w:t> </w:t>
      </w:r>
      <w:r>
        <w:rPr/>
        <w:t>of between nine to fifteen members with no more than three members employed by Massachusetts hospitals, ACOs or Community Partners. All members will be appointed by MassHealth based on the following composition criteria:</w:t>
      </w:r>
    </w:p>
    <w:p>
      <w:pPr>
        <w:pStyle w:val="BodyText"/>
        <w:spacing w:before="10"/>
        <w:rPr>
          <w:sz w:val="20"/>
        </w:rPr>
      </w:pPr>
    </w:p>
    <w:p>
      <w:pPr>
        <w:pStyle w:val="BodyText"/>
        <w:ind w:left="2040" w:right="1059"/>
      </w:pPr>
      <w:r>
        <w:rPr/>
        <w:drawing>
          <wp:anchor distT="0" distB="0" distL="0" distR="0" allowOverlap="1" layoutInCell="1" locked="0" behindDoc="0" simplePos="0" relativeHeight="15947264">
            <wp:simplePos x="0" y="0"/>
            <wp:positionH relativeFrom="page">
              <wp:posOffset>1862327</wp:posOffset>
            </wp:positionH>
            <wp:positionV relativeFrom="paragraph">
              <wp:posOffset>32551</wp:posOffset>
            </wp:positionV>
            <wp:extent cx="73151" cy="115823"/>
            <wp:effectExtent l="0" t="0" r="0" b="0"/>
            <wp:wrapNone/>
            <wp:docPr id="438" name="Image 438"/>
            <wp:cNvGraphicFramePr>
              <a:graphicFrameLocks/>
            </wp:cNvGraphicFramePr>
            <a:graphic>
              <a:graphicData uri="http://schemas.openxmlformats.org/drawingml/2006/picture">
                <pic:pic>
                  <pic:nvPicPr>
                    <pic:cNvPr id="438" name="Image 438"/>
                    <pic:cNvPicPr/>
                  </pic:nvPicPr>
                  <pic:blipFill>
                    <a:blip r:embed="rId61" cstate="print"/>
                    <a:stretch>
                      <a:fillRect/>
                    </a:stretch>
                  </pic:blipFill>
                  <pic:spPr>
                    <a:xfrm>
                      <a:off x="0" y="0"/>
                      <a:ext cx="73151" cy="115823"/>
                    </a:xfrm>
                    <a:prstGeom prst="rect">
                      <a:avLst/>
                    </a:prstGeom>
                  </pic:spPr>
                </pic:pic>
              </a:graphicData>
            </a:graphic>
          </wp:anchor>
        </w:drawing>
      </w:r>
      <w:bookmarkStart w:name="i. Representation from community health " w:id="671"/>
      <w:bookmarkEnd w:id="671"/>
      <w:r>
        <w:rPr/>
      </w:r>
      <w:r>
        <w:rPr/>
        <w:t>Representation</w:t>
      </w:r>
      <w:r>
        <w:rPr>
          <w:spacing w:val="-5"/>
        </w:rPr>
        <w:t> </w:t>
      </w:r>
      <w:r>
        <w:rPr/>
        <w:t>from</w:t>
      </w:r>
      <w:r>
        <w:rPr>
          <w:spacing w:val="-3"/>
        </w:rPr>
        <w:t> </w:t>
      </w:r>
      <w:r>
        <w:rPr/>
        <w:t>community</w:t>
      </w:r>
      <w:r>
        <w:rPr>
          <w:spacing w:val="-12"/>
        </w:rPr>
        <w:t> </w:t>
      </w:r>
      <w:r>
        <w:rPr/>
        <w:t>health</w:t>
      </w:r>
      <w:r>
        <w:rPr>
          <w:spacing w:val="-5"/>
        </w:rPr>
        <w:t> </w:t>
      </w:r>
      <w:r>
        <w:rPr/>
        <w:t>centers</w:t>
      </w:r>
      <w:r>
        <w:rPr>
          <w:spacing w:val="-5"/>
        </w:rPr>
        <w:t> </w:t>
      </w:r>
      <w:r>
        <w:rPr/>
        <w:t>serving</w:t>
      </w:r>
      <w:r>
        <w:rPr>
          <w:spacing w:val="-7"/>
        </w:rPr>
        <w:t> </w:t>
      </w:r>
      <w:r>
        <w:rPr/>
        <w:t>the</w:t>
      </w:r>
      <w:r>
        <w:rPr>
          <w:spacing w:val="-6"/>
        </w:rPr>
        <w:t> </w:t>
      </w:r>
      <w:r>
        <w:rPr/>
        <w:t>Medicaid </w:t>
      </w:r>
      <w:r>
        <w:rPr>
          <w:spacing w:val="-2"/>
        </w:rPr>
        <w:t>population.</w:t>
      </w:r>
    </w:p>
    <w:p>
      <w:pPr>
        <w:pStyle w:val="BodyText"/>
        <w:spacing w:before="161"/>
        <w:ind w:left="2039" w:right="1141"/>
      </w:pPr>
      <w:r>
        <w:rPr/>
        <w:drawing>
          <wp:anchor distT="0" distB="0" distL="0" distR="0" allowOverlap="1" layoutInCell="1" locked="0" behindDoc="0" simplePos="0" relativeHeight="15947776">
            <wp:simplePos x="0" y="0"/>
            <wp:positionH relativeFrom="page">
              <wp:posOffset>1819655</wp:posOffset>
            </wp:positionH>
            <wp:positionV relativeFrom="paragraph">
              <wp:posOffset>134786</wp:posOffset>
            </wp:positionV>
            <wp:extent cx="115823" cy="115823"/>
            <wp:effectExtent l="0" t="0" r="0" b="0"/>
            <wp:wrapNone/>
            <wp:docPr id="439" name="Image 439"/>
            <wp:cNvGraphicFramePr>
              <a:graphicFrameLocks/>
            </wp:cNvGraphicFramePr>
            <a:graphic>
              <a:graphicData uri="http://schemas.openxmlformats.org/drawingml/2006/picture">
                <pic:pic>
                  <pic:nvPicPr>
                    <pic:cNvPr id="439" name="Image 439"/>
                    <pic:cNvPicPr/>
                  </pic:nvPicPr>
                  <pic:blipFill>
                    <a:blip r:embed="rId62" cstate="print"/>
                    <a:stretch>
                      <a:fillRect/>
                    </a:stretch>
                  </pic:blipFill>
                  <pic:spPr>
                    <a:xfrm>
                      <a:off x="0" y="0"/>
                      <a:ext cx="115823" cy="115823"/>
                    </a:xfrm>
                    <a:prstGeom prst="rect">
                      <a:avLst/>
                    </a:prstGeom>
                  </pic:spPr>
                </pic:pic>
              </a:graphicData>
            </a:graphic>
          </wp:anchor>
        </w:drawing>
      </w:r>
      <w:bookmarkStart w:name="ii. Clinical experts in each of the foll" w:id="672"/>
      <w:bookmarkEnd w:id="672"/>
      <w:r>
        <w:rPr/>
      </w:r>
      <w:r>
        <w:rPr/>
        <w:t>Clinical</w:t>
      </w:r>
      <w:r>
        <w:rPr>
          <w:spacing w:val="-4"/>
        </w:rPr>
        <w:t> </w:t>
      </w:r>
      <w:r>
        <w:rPr/>
        <w:t>experts</w:t>
      </w:r>
      <w:r>
        <w:rPr>
          <w:spacing w:val="-4"/>
        </w:rPr>
        <w:t> </w:t>
      </w:r>
      <w:r>
        <w:rPr/>
        <w:t>in</w:t>
      </w:r>
      <w:r>
        <w:rPr>
          <w:spacing w:val="-4"/>
        </w:rPr>
        <w:t> </w:t>
      </w:r>
      <w:r>
        <w:rPr/>
        <w:t>each</w:t>
      </w:r>
      <w:r>
        <w:rPr>
          <w:spacing w:val="-4"/>
        </w:rPr>
        <w:t> </w:t>
      </w:r>
      <w:r>
        <w:rPr/>
        <w:t>of</w:t>
      </w:r>
      <w:r>
        <w:rPr>
          <w:spacing w:val="-5"/>
        </w:rPr>
        <w:t> </w:t>
      </w:r>
      <w:r>
        <w:rPr/>
        <w:t>the</w:t>
      </w:r>
      <w:r>
        <w:rPr>
          <w:spacing w:val="-5"/>
        </w:rPr>
        <w:t> </w:t>
      </w:r>
      <w:r>
        <w:rPr/>
        <w:t>following</w:t>
      </w:r>
      <w:r>
        <w:rPr>
          <w:spacing w:val="-7"/>
        </w:rPr>
        <w:t> </w:t>
      </w:r>
      <w:r>
        <w:rPr/>
        <w:t>specialty</w:t>
      </w:r>
      <w:r>
        <w:rPr>
          <w:spacing w:val="-7"/>
        </w:rPr>
        <w:t> </w:t>
      </w:r>
      <w:r>
        <w:rPr/>
        <w:t>care</w:t>
      </w:r>
      <w:r>
        <w:rPr>
          <w:spacing w:val="-3"/>
        </w:rPr>
        <w:t> </w:t>
      </w:r>
      <w:r>
        <w:rPr/>
        <w:t>areas:</w:t>
      </w:r>
      <w:r>
        <w:rPr>
          <w:spacing w:val="-4"/>
        </w:rPr>
        <w:t> </w:t>
      </w:r>
      <w:r>
        <w:rPr/>
        <w:t>Behavioral Health, Substance Use Disorder, and Long Term Services &amp; Supports. Clinical experts are physicians, physician assistants, nurse practitioners, licensed clinical social workers, licensed mental health counselors, psychologists, and registered nurses.</w:t>
      </w:r>
    </w:p>
    <w:p>
      <w:pPr>
        <w:spacing w:after="0"/>
        <w:sectPr>
          <w:pgSz w:w="12240" w:h="15840"/>
          <w:pgMar w:header="0" w:footer="1201" w:top="1360" w:bottom="1400" w:left="1200" w:right="400"/>
        </w:sectPr>
      </w:pPr>
    </w:p>
    <w:p>
      <w:pPr>
        <w:pStyle w:val="BodyText"/>
        <w:spacing w:before="79"/>
        <w:ind w:left="2040" w:right="1059"/>
      </w:pPr>
      <w:r>
        <w:rPr/>
        <w:drawing>
          <wp:anchor distT="0" distB="0" distL="0" distR="0" allowOverlap="1" layoutInCell="1" locked="0" behindDoc="0" simplePos="0" relativeHeight="15948288">
            <wp:simplePos x="0" y="0"/>
            <wp:positionH relativeFrom="page">
              <wp:posOffset>1778507</wp:posOffset>
            </wp:positionH>
            <wp:positionV relativeFrom="paragraph">
              <wp:posOffset>82717</wp:posOffset>
            </wp:positionV>
            <wp:extent cx="158495" cy="115823"/>
            <wp:effectExtent l="0" t="0" r="0" b="0"/>
            <wp:wrapNone/>
            <wp:docPr id="440" name="Image 440"/>
            <wp:cNvGraphicFramePr>
              <a:graphicFrameLocks/>
            </wp:cNvGraphicFramePr>
            <a:graphic>
              <a:graphicData uri="http://schemas.openxmlformats.org/drawingml/2006/picture">
                <pic:pic>
                  <pic:nvPicPr>
                    <pic:cNvPr id="440" name="Image 440"/>
                    <pic:cNvPicPr/>
                  </pic:nvPicPr>
                  <pic:blipFill>
                    <a:blip r:embed="rId65" cstate="print"/>
                    <a:stretch>
                      <a:fillRect/>
                    </a:stretch>
                  </pic:blipFill>
                  <pic:spPr>
                    <a:xfrm>
                      <a:off x="0" y="0"/>
                      <a:ext cx="158495" cy="115823"/>
                    </a:xfrm>
                    <a:prstGeom prst="rect">
                      <a:avLst/>
                    </a:prstGeom>
                  </pic:spPr>
                </pic:pic>
              </a:graphicData>
            </a:graphic>
          </wp:anchor>
        </w:drawing>
      </w:r>
      <w:bookmarkStart w:name="iii. At least 30 percent of the members " w:id="673"/>
      <w:bookmarkEnd w:id="673"/>
      <w:r>
        <w:rPr/>
      </w:r>
      <w:r>
        <w:rPr/>
        <w:t>At least 30 percent of the members must have significant expertise in clinical quality measurement of hospitals, primary care providers, community health centers,</w:t>
      </w:r>
      <w:r>
        <w:rPr>
          <w:spacing w:val="-2"/>
        </w:rPr>
        <w:t> </w:t>
      </w:r>
      <w:r>
        <w:rPr/>
        <w:t>clinics</w:t>
      </w:r>
      <w:r>
        <w:rPr>
          <w:spacing w:val="-4"/>
        </w:rPr>
        <w:t> </w:t>
      </w:r>
      <w:r>
        <w:rPr/>
        <w:t>and</w:t>
      </w:r>
      <w:r>
        <w:rPr>
          <w:spacing w:val="-4"/>
        </w:rPr>
        <w:t> </w:t>
      </w:r>
      <w:r>
        <w:rPr/>
        <w:t>managed</w:t>
      </w:r>
      <w:r>
        <w:rPr>
          <w:spacing w:val="-2"/>
        </w:rPr>
        <w:t> </w:t>
      </w:r>
      <w:r>
        <w:rPr/>
        <w:t>care</w:t>
      </w:r>
      <w:r>
        <w:rPr>
          <w:spacing w:val="-5"/>
        </w:rPr>
        <w:t> </w:t>
      </w:r>
      <w:r>
        <w:rPr/>
        <w:t>plans.</w:t>
      </w:r>
      <w:r>
        <w:rPr>
          <w:spacing w:val="-4"/>
        </w:rPr>
        <w:t> </w:t>
      </w:r>
      <w:r>
        <w:rPr/>
        <w:t>Significant</w:t>
      </w:r>
      <w:r>
        <w:rPr>
          <w:spacing w:val="-4"/>
        </w:rPr>
        <w:t> </w:t>
      </w:r>
      <w:r>
        <w:rPr/>
        <w:t>expertise</w:t>
      </w:r>
      <w:r>
        <w:rPr>
          <w:spacing w:val="-5"/>
        </w:rPr>
        <w:t> </w:t>
      </w:r>
      <w:r>
        <w:rPr/>
        <w:t>is</w:t>
      </w:r>
      <w:r>
        <w:rPr>
          <w:spacing w:val="-4"/>
        </w:rPr>
        <w:t> </w:t>
      </w:r>
      <w:r>
        <w:rPr/>
        <w:t>defined</w:t>
      </w:r>
      <w:r>
        <w:rPr>
          <w:spacing w:val="-4"/>
        </w:rPr>
        <w:t> </w:t>
      </w:r>
      <w:r>
        <w:rPr/>
        <w:t>as</w:t>
      </w:r>
      <w:r>
        <w:rPr>
          <w:spacing w:val="-2"/>
        </w:rPr>
        <w:t> </w:t>
      </w:r>
      <w:r>
        <w:rPr/>
        <w:t>not less than five years of recent full time employment in quality</w:t>
      </w:r>
      <w:r>
        <w:rPr>
          <w:spacing w:val="-3"/>
        </w:rPr>
        <w:t> </w:t>
      </w:r>
      <w:r>
        <w:rPr/>
        <w:t>measurement in government service or from companies providing quality measurement services to above listed provider types and managed care plans.</w:t>
      </w:r>
    </w:p>
    <w:p>
      <w:pPr>
        <w:pStyle w:val="BodyText"/>
        <w:spacing w:before="161"/>
        <w:ind w:left="2040" w:right="1430"/>
        <w:jc w:val="both"/>
      </w:pPr>
      <w:r>
        <w:rPr/>
        <w:drawing>
          <wp:anchor distT="0" distB="0" distL="0" distR="0" allowOverlap="1" layoutInCell="1" locked="0" behindDoc="0" simplePos="0" relativeHeight="15948800">
            <wp:simplePos x="0" y="0"/>
            <wp:positionH relativeFrom="page">
              <wp:posOffset>1786127</wp:posOffset>
            </wp:positionH>
            <wp:positionV relativeFrom="paragraph">
              <wp:posOffset>134786</wp:posOffset>
            </wp:positionV>
            <wp:extent cx="149339" cy="115823"/>
            <wp:effectExtent l="0" t="0" r="0" b="0"/>
            <wp:wrapNone/>
            <wp:docPr id="441" name="Image 441"/>
            <wp:cNvGraphicFramePr>
              <a:graphicFrameLocks/>
            </wp:cNvGraphicFramePr>
            <a:graphic>
              <a:graphicData uri="http://schemas.openxmlformats.org/drawingml/2006/picture">
                <pic:pic>
                  <pic:nvPicPr>
                    <pic:cNvPr id="441" name="Image 441"/>
                    <pic:cNvPicPr/>
                  </pic:nvPicPr>
                  <pic:blipFill>
                    <a:blip r:embed="rId118" cstate="print"/>
                    <a:stretch>
                      <a:fillRect/>
                    </a:stretch>
                  </pic:blipFill>
                  <pic:spPr>
                    <a:xfrm>
                      <a:off x="0" y="0"/>
                      <a:ext cx="149339" cy="115823"/>
                    </a:xfrm>
                    <a:prstGeom prst="rect">
                      <a:avLst/>
                    </a:prstGeom>
                  </pic:spPr>
                </pic:pic>
              </a:graphicData>
            </a:graphic>
          </wp:anchor>
        </w:drawing>
      </w:r>
      <w:bookmarkStart w:name="iv. Advocacy Members: Consumers or consu" w:id="674"/>
      <w:bookmarkEnd w:id="674"/>
      <w:r>
        <w:rPr/>
      </w:r>
      <w:r>
        <w:rPr/>
        <w:t>Advocacy</w:t>
      </w:r>
      <w:r>
        <w:rPr>
          <w:spacing w:val="-8"/>
        </w:rPr>
        <w:t> </w:t>
      </w:r>
      <w:r>
        <w:rPr/>
        <w:t>Members:</w:t>
      </w:r>
      <w:r>
        <w:rPr>
          <w:spacing w:val="-3"/>
        </w:rPr>
        <w:t> </w:t>
      </w:r>
      <w:r>
        <w:rPr/>
        <w:t>Consumers</w:t>
      </w:r>
      <w:r>
        <w:rPr>
          <w:spacing w:val="-3"/>
        </w:rPr>
        <w:t> </w:t>
      </w:r>
      <w:r>
        <w:rPr/>
        <w:t>or</w:t>
      </w:r>
      <w:r>
        <w:rPr>
          <w:spacing w:val="-4"/>
        </w:rPr>
        <w:t> </w:t>
      </w:r>
      <w:r>
        <w:rPr/>
        <w:t>consumer</w:t>
      </w:r>
      <w:r>
        <w:rPr>
          <w:spacing w:val="-2"/>
        </w:rPr>
        <w:t> </w:t>
      </w:r>
      <w:r>
        <w:rPr/>
        <w:t>representatives,</w:t>
      </w:r>
      <w:r>
        <w:rPr>
          <w:spacing w:val="-3"/>
        </w:rPr>
        <w:t> </w:t>
      </w:r>
      <w:r>
        <w:rPr/>
        <w:t>including</w:t>
      </w:r>
      <w:r>
        <w:rPr>
          <w:spacing w:val="-6"/>
        </w:rPr>
        <w:t> </w:t>
      </w:r>
      <w:r>
        <w:rPr/>
        <w:t>at least</w:t>
      </w:r>
      <w:r>
        <w:rPr>
          <w:spacing w:val="-4"/>
        </w:rPr>
        <w:t> </w:t>
      </w:r>
      <w:r>
        <w:rPr/>
        <w:t>one</w:t>
      </w:r>
      <w:r>
        <w:rPr>
          <w:spacing w:val="-5"/>
        </w:rPr>
        <w:t> </w:t>
      </w:r>
      <w:r>
        <w:rPr/>
        <w:t>representative</w:t>
      </w:r>
      <w:r>
        <w:rPr>
          <w:spacing w:val="-5"/>
        </w:rPr>
        <w:t> </w:t>
      </w:r>
      <w:r>
        <w:rPr/>
        <w:t>for</w:t>
      </w:r>
      <w:r>
        <w:rPr>
          <w:spacing w:val="-5"/>
        </w:rPr>
        <w:t> </w:t>
      </w:r>
      <w:r>
        <w:rPr/>
        <w:t>people</w:t>
      </w:r>
      <w:r>
        <w:rPr>
          <w:spacing w:val="-5"/>
        </w:rPr>
        <w:t> </w:t>
      </w:r>
      <w:r>
        <w:rPr/>
        <w:t>with</w:t>
      </w:r>
      <w:r>
        <w:rPr>
          <w:spacing w:val="-4"/>
        </w:rPr>
        <w:t> </w:t>
      </w:r>
      <w:r>
        <w:rPr/>
        <w:t>disabilities</w:t>
      </w:r>
      <w:r>
        <w:rPr>
          <w:spacing w:val="-4"/>
        </w:rPr>
        <w:t> </w:t>
      </w:r>
      <w:r>
        <w:rPr/>
        <w:t>and,</w:t>
      </w:r>
      <w:r>
        <w:rPr>
          <w:spacing w:val="-4"/>
        </w:rPr>
        <w:t> </w:t>
      </w:r>
      <w:r>
        <w:rPr/>
        <w:t>separately,</w:t>
      </w:r>
      <w:r>
        <w:rPr>
          <w:spacing w:val="-4"/>
        </w:rPr>
        <w:t> </w:t>
      </w:r>
      <w:r>
        <w:rPr/>
        <w:t>at</w:t>
      </w:r>
      <w:r>
        <w:rPr>
          <w:spacing w:val="-4"/>
        </w:rPr>
        <w:t> </w:t>
      </w:r>
      <w:r>
        <w:rPr/>
        <w:t>least one representative for people with complex medical conditions,</w:t>
      </w:r>
    </w:p>
    <w:p>
      <w:pPr>
        <w:pStyle w:val="BodyText"/>
        <w:spacing w:before="158"/>
        <w:ind w:left="2040" w:right="1059"/>
      </w:pPr>
      <w:r>
        <w:rPr/>
        <w:drawing>
          <wp:anchor distT="0" distB="0" distL="0" distR="0" allowOverlap="1" layoutInCell="1" locked="0" behindDoc="0" simplePos="0" relativeHeight="15949312">
            <wp:simplePos x="0" y="0"/>
            <wp:positionH relativeFrom="page">
              <wp:posOffset>1825751</wp:posOffset>
            </wp:positionH>
            <wp:positionV relativeFrom="paragraph">
              <wp:posOffset>170981</wp:posOffset>
            </wp:positionV>
            <wp:extent cx="109727" cy="77723"/>
            <wp:effectExtent l="0" t="0" r="0" b="0"/>
            <wp:wrapNone/>
            <wp:docPr id="442" name="Image 442"/>
            <wp:cNvGraphicFramePr>
              <a:graphicFrameLocks/>
            </wp:cNvGraphicFramePr>
            <a:graphic>
              <a:graphicData uri="http://schemas.openxmlformats.org/drawingml/2006/picture">
                <pic:pic>
                  <pic:nvPicPr>
                    <pic:cNvPr id="442" name="Image 442"/>
                    <pic:cNvPicPr/>
                  </pic:nvPicPr>
                  <pic:blipFill>
                    <a:blip r:embed="rId67" cstate="print"/>
                    <a:stretch>
                      <a:fillRect/>
                    </a:stretch>
                  </pic:blipFill>
                  <pic:spPr>
                    <a:xfrm>
                      <a:off x="0" y="0"/>
                      <a:ext cx="109727" cy="77723"/>
                    </a:xfrm>
                    <a:prstGeom prst="rect">
                      <a:avLst/>
                    </a:prstGeom>
                  </pic:spPr>
                </pic:pic>
              </a:graphicData>
            </a:graphic>
          </wp:anchor>
        </w:drawing>
      </w:r>
      <w:bookmarkStart w:name="v. Members must agree to recuse themselv" w:id="675"/>
      <w:bookmarkEnd w:id="675"/>
      <w:r>
        <w:rPr/>
      </w:r>
      <w:r>
        <w:rPr/>
        <w:t>Members</w:t>
      </w:r>
      <w:r>
        <w:rPr>
          <w:spacing w:val="-4"/>
        </w:rPr>
        <w:t> </w:t>
      </w:r>
      <w:r>
        <w:rPr/>
        <w:t>must</w:t>
      </w:r>
      <w:r>
        <w:rPr>
          <w:spacing w:val="-4"/>
        </w:rPr>
        <w:t> </w:t>
      </w:r>
      <w:r>
        <w:rPr/>
        <w:t>agree</w:t>
      </w:r>
      <w:r>
        <w:rPr>
          <w:spacing w:val="-5"/>
        </w:rPr>
        <w:t> </w:t>
      </w:r>
      <w:r>
        <w:rPr/>
        <w:t>to</w:t>
      </w:r>
      <w:r>
        <w:rPr>
          <w:spacing w:val="-4"/>
        </w:rPr>
        <w:t> </w:t>
      </w:r>
      <w:r>
        <w:rPr/>
        <w:t>recuse</w:t>
      </w:r>
      <w:r>
        <w:rPr>
          <w:spacing w:val="-5"/>
        </w:rPr>
        <w:t> </w:t>
      </w:r>
      <w:r>
        <w:rPr/>
        <w:t>themselves</w:t>
      </w:r>
      <w:r>
        <w:rPr>
          <w:spacing w:val="-4"/>
        </w:rPr>
        <w:t> </w:t>
      </w:r>
      <w:r>
        <w:rPr/>
        <w:t>from</w:t>
      </w:r>
      <w:r>
        <w:rPr>
          <w:spacing w:val="-4"/>
        </w:rPr>
        <w:t> </w:t>
      </w:r>
      <w:r>
        <w:rPr/>
        <w:t>review</w:t>
      </w:r>
      <w:r>
        <w:rPr>
          <w:spacing w:val="-5"/>
        </w:rPr>
        <w:t> </w:t>
      </w:r>
      <w:r>
        <w:rPr/>
        <w:t>of</w:t>
      </w:r>
      <w:r>
        <w:rPr>
          <w:spacing w:val="-5"/>
        </w:rPr>
        <w:t> </w:t>
      </w:r>
      <w:r>
        <w:rPr/>
        <w:t>specific</w:t>
      </w:r>
      <w:r>
        <w:rPr>
          <w:spacing w:val="-5"/>
        </w:rPr>
        <w:t> </w:t>
      </w:r>
      <w:r>
        <w:rPr/>
        <w:t>DSRIP matters when they have a conflict of interest. MassHealth shall develop conflict of interest guidelines.</w:t>
      </w:r>
    </w:p>
    <w:p>
      <w:pPr>
        <w:pStyle w:val="BodyText"/>
        <w:spacing w:before="10"/>
        <w:rPr>
          <w:sz w:val="20"/>
        </w:rPr>
      </w:pPr>
    </w:p>
    <w:p>
      <w:pPr>
        <w:pStyle w:val="Heading4"/>
        <w:numPr>
          <w:ilvl w:val="0"/>
          <w:numId w:val="3"/>
        </w:numPr>
        <w:tabs>
          <w:tab w:pos="600" w:val="left" w:leader="none"/>
        </w:tabs>
        <w:spacing w:line="240" w:lineRule="auto" w:before="0" w:after="0"/>
        <w:ind w:left="600" w:right="0" w:hanging="480"/>
        <w:jc w:val="left"/>
      </w:pPr>
      <w:bookmarkStart w:name="13. WORKFORCE INITIATIVES" w:id="676"/>
      <w:bookmarkEnd w:id="676"/>
      <w:r>
        <w:rPr>
          <w:b w:val="0"/>
        </w:rPr>
      </w:r>
      <w:r>
        <w:rPr/>
        <w:t>WORKFORCE</w:t>
      </w:r>
      <w:r>
        <w:rPr>
          <w:spacing w:val="-6"/>
        </w:rPr>
        <w:t> </w:t>
      </w:r>
      <w:r>
        <w:rPr>
          <w:spacing w:val="-2"/>
        </w:rPr>
        <w:t>INITIATIVES</w:t>
      </w:r>
    </w:p>
    <w:p>
      <w:pPr>
        <w:pStyle w:val="BodyText"/>
        <w:spacing w:before="10"/>
        <w:rPr>
          <w:b/>
          <w:sz w:val="20"/>
        </w:rPr>
      </w:pPr>
    </w:p>
    <w:p>
      <w:pPr>
        <w:pStyle w:val="BodyText"/>
        <w:ind w:left="239" w:right="1059"/>
      </w:pPr>
      <w:r>
        <w:rPr/>
        <w:t>To support workforce recruitment and retention to promote the increased availability of certain health</w:t>
      </w:r>
      <w:r>
        <w:rPr>
          <w:spacing w:val="-4"/>
        </w:rPr>
        <w:t> </w:t>
      </w:r>
      <w:r>
        <w:rPr/>
        <w:t>care</w:t>
      </w:r>
      <w:r>
        <w:rPr>
          <w:spacing w:val="-5"/>
        </w:rPr>
        <w:t> </w:t>
      </w:r>
      <w:r>
        <w:rPr/>
        <w:t>practitioners</w:t>
      </w:r>
      <w:r>
        <w:rPr>
          <w:spacing w:val="-4"/>
        </w:rPr>
        <w:t> </w:t>
      </w:r>
      <w:r>
        <w:rPr/>
        <w:t>to</w:t>
      </w:r>
      <w:r>
        <w:rPr>
          <w:spacing w:val="-4"/>
        </w:rPr>
        <w:t> </w:t>
      </w:r>
      <w:r>
        <w:rPr/>
        <w:t>serve</w:t>
      </w:r>
      <w:r>
        <w:rPr>
          <w:spacing w:val="-5"/>
        </w:rPr>
        <w:t> </w:t>
      </w:r>
      <w:r>
        <w:rPr/>
        <w:t>Medicaid</w:t>
      </w:r>
      <w:r>
        <w:rPr>
          <w:spacing w:val="-4"/>
        </w:rPr>
        <w:t> </w:t>
      </w:r>
      <w:r>
        <w:rPr/>
        <w:t>and</w:t>
      </w:r>
      <w:r>
        <w:rPr>
          <w:spacing w:val="-4"/>
        </w:rPr>
        <w:t> </w:t>
      </w:r>
      <w:r>
        <w:rPr/>
        <w:t>demonstration</w:t>
      </w:r>
      <w:r>
        <w:rPr>
          <w:spacing w:val="-4"/>
        </w:rPr>
        <w:t> </w:t>
      </w:r>
      <w:r>
        <w:rPr/>
        <w:t>beneficiaries,</w:t>
      </w:r>
      <w:r>
        <w:rPr>
          <w:spacing w:val="-4"/>
        </w:rPr>
        <w:t> </w:t>
      </w:r>
      <w:r>
        <w:rPr/>
        <w:t>the</w:t>
      </w:r>
      <w:r>
        <w:rPr>
          <w:spacing w:val="-5"/>
        </w:rPr>
        <w:t> </w:t>
      </w:r>
      <w:r>
        <w:rPr/>
        <w:t>Commonwealth shall implement student loan repayment and family</w:t>
      </w:r>
      <w:r>
        <w:rPr>
          <w:spacing w:val="-3"/>
        </w:rPr>
        <w:t> </w:t>
      </w:r>
      <w:r>
        <w:rPr/>
        <w:t>nurse</w:t>
      </w:r>
      <w:r>
        <w:rPr>
          <w:spacing w:val="-1"/>
        </w:rPr>
        <w:t> </w:t>
      </w:r>
      <w:r>
        <w:rPr/>
        <w:t>practitioner</w:t>
      </w:r>
      <w:r>
        <w:rPr>
          <w:spacing w:val="-1"/>
        </w:rPr>
        <w:t> </w:t>
      </w:r>
      <w:r>
        <w:rPr/>
        <w:t>residency</w:t>
      </w:r>
      <w:r>
        <w:rPr>
          <w:spacing w:val="-5"/>
        </w:rPr>
        <w:t> </w:t>
      </w:r>
      <w:r>
        <w:rPr/>
        <w:t>programs.</w:t>
      </w:r>
      <w:r>
        <w:rPr>
          <w:spacing w:val="40"/>
        </w:rPr>
        <w:t> </w:t>
      </w:r>
      <w:r>
        <w:rPr/>
        <w:t>The aim of these programs is to address shortages in qualified providers serving MassHealth </w:t>
      </w:r>
      <w:r>
        <w:rPr>
          <w:spacing w:val="-2"/>
        </w:rPr>
        <w:t>members.</w:t>
      </w:r>
    </w:p>
    <w:p>
      <w:pPr>
        <w:pStyle w:val="BodyText"/>
        <w:spacing w:before="10"/>
        <w:rPr>
          <w:sz w:val="20"/>
        </w:rPr>
      </w:pPr>
    </w:p>
    <w:p>
      <w:pPr>
        <w:spacing w:before="1"/>
        <w:ind w:left="871" w:right="1059" w:firstLine="0"/>
        <w:jc w:val="left"/>
        <w:rPr>
          <w:sz w:val="24"/>
        </w:rPr>
      </w:pPr>
      <w:r>
        <w:rPr/>
        <w:drawing>
          <wp:anchor distT="0" distB="0" distL="0" distR="0" allowOverlap="1" layoutInCell="1" locked="0" behindDoc="0" simplePos="0" relativeHeight="15949824">
            <wp:simplePos x="0" y="0"/>
            <wp:positionH relativeFrom="page">
              <wp:posOffset>908303</wp:posOffset>
            </wp:positionH>
            <wp:positionV relativeFrom="paragraph">
              <wp:posOffset>36234</wp:posOffset>
            </wp:positionV>
            <wp:extent cx="283463" cy="112775"/>
            <wp:effectExtent l="0" t="0" r="0" b="0"/>
            <wp:wrapNone/>
            <wp:docPr id="443" name="Image 443"/>
            <wp:cNvGraphicFramePr>
              <a:graphicFrameLocks/>
            </wp:cNvGraphicFramePr>
            <a:graphic>
              <a:graphicData uri="http://schemas.openxmlformats.org/drawingml/2006/picture">
                <pic:pic>
                  <pic:nvPicPr>
                    <pic:cNvPr id="443" name="Image 443"/>
                    <pic:cNvPicPr/>
                  </pic:nvPicPr>
                  <pic:blipFill>
                    <a:blip r:embed="rId194" cstate="print"/>
                    <a:stretch>
                      <a:fillRect/>
                    </a:stretch>
                  </pic:blipFill>
                  <pic:spPr>
                    <a:xfrm>
                      <a:off x="0" y="0"/>
                      <a:ext cx="283463" cy="112775"/>
                    </a:xfrm>
                    <a:prstGeom prst="rect">
                      <a:avLst/>
                    </a:prstGeom>
                  </pic:spPr>
                </pic:pic>
              </a:graphicData>
            </a:graphic>
          </wp:anchor>
        </w:drawing>
      </w:r>
      <w:bookmarkStart w:name="13.1. Behavioral Health Student Loan Rep" w:id="677"/>
      <w:bookmarkEnd w:id="677"/>
      <w:r>
        <w:rPr/>
      </w:r>
      <w:r>
        <w:rPr>
          <w:b/>
          <w:sz w:val="24"/>
        </w:rPr>
        <w:t>Behavioral</w:t>
      </w:r>
      <w:r>
        <w:rPr>
          <w:b/>
          <w:spacing w:val="-4"/>
          <w:sz w:val="24"/>
        </w:rPr>
        <w:t> </w:t>
      </w:r>
      <w:r>
        <w:rPr>
          <w:b/>
          <w:sz w:val="24"/>
        </w:rPr>
        <w:t>Health</w:t>
      </w:r>
      <w:r>
        <w:rPr>
          <w:b/>
          <w:spacing w:val="-4"/>
          <w:sz w:val="24"/>
        </w:rPr>
        <w:t> </w:t>
      </w:r>
      <w:r>
        <w:rPr>
          <w:b/>
          <w:sz w:val="24"/>
        </w:rPr>
        <w:t>Student</w:t>
      </w:r>
      <w:r>
        <w:rPr>
          <w:b/>
          <w:spacing w:val="-5"/>
          <w:sz w:val="24"/>
        </w:rPr>
        <w:t> </w:t>
      </w:r>
      <w:r>
        <w:rPr>
          <w:b/>
          <w:sz w:val="24"/>
        </w:rPr>
        <w:t>Loan</w:t>
      </w:r>
      <w:r>
        <w:rPr>
          <w:b/>
          <w:spacing w:val="-4"/>
          <w:sz w:val="24"/>
        </w:rPr>
        <w:t> </w:t>
      </w:r>
      <w:r>
        <w:rPr>
          <w:b/>
          <w:sz w:val="24"/>
        </w:rPr>
        <w:t>Repayment.</w:t>
      </w:r>
      <w:r>
        <w:rPr>
          <w:b/>
          <w:spacing w:val="40"/>
          <w:sz w:val="24"/>
        </w:rPr>
        <w:t> </w:t>
      </w:r>
      <w:r>
        <w:rPr>
          <w:sz w:val="24"/>
        </w:rPr>
        <w:t>The</w:t>
      </w:r>
      <w:r>
        <w:rPr>
          <w:spacing w:val="-5"/>
          <w:sz w:val="24"/>
        </w:rPr>
        <w:t> </w:t>
      </w:r>
      <w:r>
        <w:rPr>
          <w:sz w:val="24"/>
        </w:rPr>
        <w:t>Commonwealth</w:t>
      </w:r>
      <w:r>
        <w:rPr>
          <w:spacing w:val="-4"/>
          <w:sz w:val="24"/>
        </w:rPr>
        <w:t> </w:t>
      </w:r>
      <w:r>
        <w:rPr>
          <w:sz w:val="24"/>
        </w:rPr>
        <w:t>will</w:t>
      </w:r>
      <w:r>
        <w:rPr>
          <w:spacing w:val="-4"/>
          <w:sz w:val="24"/>
        </w:rPr>
        <w:t> </w:t>
      </w:r>
      <w:r>
        <w:rPr>
          <w:sz w:val="24"/>
        </w:rPr>
        <w:t>make</w:t>
      </w:r>
      <w:r>
        <w:rPr>
          <w:spacing w:val="-5"/>
          <w:sz w:val="24"/>
        </w:rPr>
        <w:t> </w:t>
      </w:r>
      <w:r>
        <w:rPr>
          <w:sz w:val="24"/>
        </w:rPr>
        <w:t>available the following student loan repayment programs:</w:t>
      </w:r>
    </w:p>
    <w:p>
      <w:pPr>
        <w:pStyle w:val="BodyText"/>
        <w:spacing w:before="9"/>
        <w:rPr>
          <w:sz w:val="20"/>
        </w:rPr>
      </w:pPr>
    </w:p>
    <w:p>
      <w:pPr>
        <w:pStyle w:val="BodyText"/>
        <w:spacing w:before="1"/>
        <w:ind w:left="1411" w:right="1059"/>
      </w:pPr>
      <w:r>
        <w:rPr/>
        <w:drawing>
          <wp:anchor distT="0" distB="0" distL="0" distR="0" allowOverlap="1" layoutInCell="1" locked="0" behindDoc="0" simplePos="0" relativeHeight="15950336">
            <wp:simplePos x="0" y="0"/>
            <wp:positionH relativeFrom="page">
              <wp:posOffset>1431036</wp:posOffset>
            </wp:positionH>
            <wp:positionV relativeFrom="paragraph">
              <wp:posOffset>68238</wp:posOffset>
            </wp:positionV>
            <wp:extent cx="96011" cy="80771"/>
            <wp:effectExtent l="0" t="0" r="0" b="0"/>
            <wp:wrapNone/>
            <wp:docPr id="444" name="Image 444"/>
            <wp:cNvGraphicFramePr>
              <a:graphicFrameLocks/>
            </wp:cNvGraphicFramePr>
            <a:graphic>
              <a:graphicData uri="http://schemas.openxmlformats.org/drawingml/2006/picture">
                <pic:pic>
                  <pic:nvPicPr>
                    <pic:cNvPr id="444" name="Image 444"/>
                    <pic:cNvPicPr/>
                  </pic:nvPicPr>
                  <pic:blipFill>
                    <a:blip r:embed="rId40" cstate="print"/>
                    <a:stretch>
                      <a:fillRect/>
                    </a:stretch>
                  </pic:blipFill>
                  <pic:spPr>
                    <a:xfrm>
                      <a:off x="0" y="0"/>
                      <a:ext cx="96011" cy="80771"/>
                    </a:xfrm>
                    <a:prstGeom prst="rect">
                      <a:avLst/>
                    </a:prstGeom>
                  </pic:spPr>
                </pic:pic>
              </a:graphicData>
            </a:graphic>
          </wp:anchor>
        </w:drawing>
      </w:r>
      <w:bookmarkStart w:name="a. Up to $300,000, per practitioner, for" w:id="678"/>
      <w:bookmarkEnd w:id="678"/>
      <w:r>
        <w:rPr/>
      </w:r>
      <w:r>
        <w:rPr/>
        <w:t>Up to $300,000, per practitioner, for psychiatrists and nurse practitioners with prescribing privileges who make a 4-year full-time commitment to maintaining a personal</w:t>
      </w:r>
      <w:r>
        <w:rPr>
          <w:spacing w:val="-3"/>
        </w:rPr>
        <w:t> </w:t>
      </w:r>
      <w:r>
        <w:rPr/>
        <w:t>practice</w:t>
      </w:r>
      <w:r>
        <w:rPr>
          <w:spacing w:val="-4"/>
        </w:rPr>
        <w:t> </w:t>
      </w:r>
      <w:r>
        <w:rPr/>
        <w:t>panel,</w:t>
      </w:r>
      <w:r>
        <w:rPr>
          <w:spacing w:val="-3"/>
        </w:rPr>
        <w:t> </w:t>
      </w:r>
      <w:r>
        <w:rPr/>
        <w:t>or</w:t>
      </w:r>
      <w:r>
        <w:rPr>
          <w:spacing w:val="-4"/>
        </w:rPr>
        <w:t> </w:t>
      </w:r>
      <w:r>
        <w:rPr/>
        <w:t>working</w:t>
      </w:r>
      <w:r>
        <w:rPr>
          <w:spacing w:val="-6"/>
        </w:rPr>
        <w:t> </w:t>
      </w:r>
      <w:r>
        <w:rPr/>
        <w:t>at</w:t>
      </w:r>
      <w:r>
        <w:rPr>
          <w:spacing w:val="-3"/>
        </w:rPr>
        <w:t> </w:t>
      </w:r>
      <w:r>
        <w:rPr/>
        <w:t>an</w:t>
      </w:r>
      <w:r>
        <w:rPr>
          <w:spacing w:val="-3"/>
        </w:rPr>
        <w:t> </w:t>
      </w:r>
      <w:r>
        <w:rPr/>
        <w:t>organization</w:t>
      </w:r>
      <w:r>
        <w:rPr>
          <w:spacing w:val="-3"/>
        </w:rPr>
        <w:t> </w:t>
      </w:r>
      <w:r>
        <w:rPr/>
        <w:t>with</w:t>
      </w:r>
      <w:r>
        <w:rPr>
          <w:spacing w:val="-3"/>
        </w:rPr>
        <w:t> </w:t>
      </w:r>
      <w:r>
        <w:rPr/>
        <w:t>a</w:t>
      </w:r>
      <w:r>
        <w:rPr>
          <w:spacing w:val="-4"/>
        </w:rPr>
        <w:t> </w:t>
      </w:r>
      <w:r>
        <w:rPr/>
        <w:t>panel,</w:t>
      </w:r>
      <w:r>
        <w:rPr>
          <w:spacing w:val="-3"/>
        </w:rPr>
        <w:t> </w:t>
      </w:r>
      <w:r>
        <w:rPr/>
        <w:t>that</w:t>
      </w:r>
      <w:r>
        <w:rPr>
          <w:spacing w:val="-3"/>
        </w:rPr>
        <w:t> </w:t>
      </w:r>
      <w:r>
        <w:rPr/>
        <w:t>includes</w:t>
      </w:r>
      <w:r>
        <w:rPr>
          <w:spacing w:val="-3"/>
        </w:rPr>
        <w:t> </w:t>
      </w:r>
      <w:r>
        <w:rPr/>
        <w:t>at least 40% MassHealth and/or uninsured members.</w:t>
      </w:r>
    </w:p>
    <w:p>
      <w:pPr>
        <w:pStyle w:val="BodyText"/>
        <w:spacing w:before="10"/>
        <w:rPr>
          <w:sz w:val="20"/>
        </w:rPr>
      </w:pPr>
    </w:p>
    <w:p>
      <w:pPr>
        <w:pStyle w:val="BodyText"/>
        <w:ind w:left="1411" w:right="1059"/>
      </w:pPr>
      <w:r>
        <w:rPr/>
        <w:drawing>
          <wp:anchor distT="0" distB="0" distL="0" distR="0" allowOverlap="1" layoutInCell="1" locked="0" behindDoc="0" simplePos="0" relativeHeight="15950848">
            <wp:simplePos x="0" y="0"/>
            <wp:positionH relativeFrom="page">
              <wp:posOffset>1424939</wp:posOffset>
            </wp:positionH>
            <wp:positionV relativeFrom="paragraph">
              <wp:posOffset>32551</wp:posOffset>
            </wp:positionV>
            <wp:extent cx="111251" cy="115823"/>
            <wp:effectExtent l="0" t="0" r="0" b="0"/>
            <wp:wrapNone/>
            <wp:docPr id="445" name="Image 445"/>
            <wp:cNvGraphicFramePr>
              <a:graphicFrameLocks/>
            </wp:cNvGraphicFramePr>
            <a:graphic>
              <a:graphicData uri="http://schemas.openxmlformats.org/drawingml/2006/picture">
                <pic:pic>
                  <pic:nvPicPr>
                    <pic:cNvPr id="445" name="Image 445"/>
                    <pic:cNvPicPr/>
                  </pic:nvPicPr>
                  <pic:blipFill>
                    <a:blip r:embed="rId105" cstate="print"/>
                    <a:stretch>
                      <a:fillRect/>
                    </a:stretch>
                  </pic:blipFill>
                  <pic:spPr>
                    <a:xfrm>
                      <a:off x="0" y="0"/>
                      <a:ext cx="111251" cy="115823"/>
                    </a:xfrm>
                    <a:prstGeom prst="rect">
                      <a:avLst/>
                    </a:prstGeom>
                  </pic:spPr>
                </pic:pic>
              </a:graphicData>
            </a:graphic>
          </wp:anchor>
        </w:drawing>
      </w:r>
      <w:bookmarkStart w:name="b. Up to $50,000, per practitioner, for " w:id="679"/>
      <w:bookmarkEnd w:id="679"/>
      <w:r>
        <w:rPr/>
      </w:r>
      <w:r>
        <w:rPr/>
        <w:t>Up to $50,000, per practitioner, for licensed behavioral health clinicians or masters- prepared</w:t>
      </w:r>
      <w:r>
        <w:rPr>
          <w:spacing w:val="-4"/>
        </w:rPr>
        <w:t> </w:t>
      </w:r>
      <w:r>
        <w:rPr/>
        <w:t>clinicians</w:t>
      </w:r>
      <w:r>
        <w:rPr>
          <w:spacing w:val="-4"/>
        </w:rPr>
        <w:t> </w:t>
      </w:r>
      <w:r>
        <w:rPr/>
        <w:t>(clinicians</w:t>
      </w:r>
      <w:r>
        <w:rPr>
          <w:spacing w:val="-4"/>
        </w:rPr>
        <w:t> </w:t>
      </w:r>
      <w:r>
        <w:rPr/>
        <w:t>who</w:t>
      </w:r>
      <w:r>
        <w:rPr>
          <w:spacing w:val="-4"/>
        </w:rPr>
        <w:t> </w:t>
      </w:r>
      <w:r>
        <w:rPr/>
        <w:t>have</w:t>
      </w:r>
      <w:r>
        <w:rPr>
          <w:spacing w:val="-5"/>
        </w:rPr>
        <w:t> </w:t>
      </w:r>
      <w:r>
        <w:rPr/>
        <w:t>completed</w:t>
      </w:r>
      <w:r>
        <w:rPr>
          <w:spacing w:val="-4"/>
        </w:rPr>
        <w:t> </w:t>
      </w:r>
      <w:r>
        <w:rPr/>
        <w:t>masters-level</w:t>
      </w:r>
      <w:r>
        <w:rPr>
          <w:spacing w:val="-4"/>
        </w:rPr>
        <w:t> </w:t>
      </w:r>
      <w:r>
        <w:rPr/>
        <w:t>training</w:t>
      </w:r>
      <w:r>
        <w:rPr>
          <w:spacing w:val="-7"/>
        </w:rPr>
        <w:t> </w:t>
      </w:r>
      <w:r>
        <w:rPr/>
        <w:t>but</w:t>
      </w:r>
      <w:r>
        <w:rPr>
          <w:spacing w:val="-4"/>
        </w:rPr>
        <w:t> </w:t>
      </w:r>
      <w:r>
        <w:rPr/>
        <w:t>do</w:t>
      </w:r>
      <w:r>
        <w:rPr>
          <w:spacing w:val="-4"/>
        </w:rPr>
        <w:t> </w:t>
      </w:r>
      <w:r>
        <w:rPr/>
        <w:t>not yet have the necessary licensure to practice independently) intending to obtain behavioral health practitioner licensure within one year of the award who make a 4- year commitment to practice full-time in a community-based setting</w:t>
      </w:r>
      <w:r>
        <w:rPr>
          <w:spacing w:val="-1"/>
        </w:rPr>
        <w:t> </w:t>
      </w:r>
      <w:r>
        <w:rPr/>
        <w:t>serving</w:t>
      </w:r>
      <w:r>
        <w:rPr>
          <w:spacing w:val="-1"/>
        </w:rPr>
        <w:t> </w:t>
      </w:r>
      <w:r>
        <w:rPr/>
        <w:t>at least 40 percent MassHealth and/or uninsured patients. If the clinicians do not receive licensure within one year of the award, they are ineligible for awards, and funding provided to them must be recouped with the federal share returned to CMS.</w:t>
      </w:r>
    </w:p>
    <w:p>
      <w:pPr>
        <w:pStyle w:val="BodyText"/>
        <w:spacing w:before="10"/>
        <w:rPr>
          <w:sz w:val="20"/>
        </w:rPr>
      </w:pPr>
    </w:p>
    <w:p>
      <w:pPr>
        <w:pStyle w:val="BodyText"/>
        <w:ind w:left="871" w:right="1263"/>
      </w:pPr>
      <w:r>
        <w:rPr/>
        <w:drawing>
          <wp:anchor distT="0" distB="0" distL="0" distR="0" allowOverlap="1" layoutInCell="1" locked="0" behindDoc="0" simplePos="0" relativeHeight="15951360">
            <wp:simplePos x="0" y="0"/>
            <wp:positionH relativeFrom="page">
              <wp:posOffset>908303</wp:posOffset>
            </wp:positionH>
            <wp:positionV relativeFrom="paragraph">
              <wp:posOffset>35612</wp:posOffset>
            </wp:positionV>
            <wp:extent cx="283463" cy="112763"/>
            <wp:effectExtent l="0" t="0" r="0" b="0"/>
            <wp:wrapNone/>
            <wp:docPr id="446" name="Image 446"/>
            <wp:cNvGraphicFramePr>
              <a:graphicFrameLocks/>
            </wp:cNvGraphicFramePr>
            <a:graphic>
              <a:graphicData uri="http://schemas.openxmlformats.org/drawingml/2006/picture">
                <pic:pic>
                  <pic:nvPicPr>
                    <pic:cNvPr id="446" name="Image 446"/>
                    <pic:cNvPicPr/>
                  </pic:nvPicPr>
                  <pic:blipFill>
                    <a:blip r:embed="rId195" cstate="print"/>
                    <a:stretch>
                      <a:fillRect/>
                    </a:stretch>
                  </pic:blipFill>
                  <pic:spPr>
                    <a:xfrm>
                      <a:off x="0" y="0"/>
                      <a:ext cx="283463" cy="112763"/>
                    </a:xfrm>
                    <a:prstGeom prst="rect">
                      <a:avLst/>
                    </a:prstGeom>
                  </pic:spPr>
                </pic:pic>
              </a:graphicData>
            </a:graphic>
          </wp:anchor>
        </w:drawing>
      </w:r>
      <w:bookmarkStart w:name="13.2. Primary Care Student Loan Repaymen" w:id="680"/>
      <w:bookmarkEnd w:id="680"/>
      <w:r>
        <w:rPr/>
      </w:r>
      <w:r>
        <w:rPr>
          <w:b/>
        </w:rPr>
        <w:t>Primary</w:t>
      </w:r>
      <w:r>
        <w:rPr>
          <w:b/>
          <w:spacing w:val="-4"/>
        </w:rPr>
        <w:t> </w:t>
      </w:r>
      <w:r>
        <w:rPr>
          <w:b/>
        </w:rPr>
        <w:t>Care</w:t>
      </w:r>
      <w:r>
        <w:rPr>
          <w:b/>
          <w:spacing w:val="-5"/>
        </w:rPr>
        <w:t> </w:t>
      </w:r>
      <w:r>
        <w:rPr>
          <w:b/>
        </w:rPr>
        <w:t>Student</w:t>
      </w:r>
      <w:r>
        <w:rPr>
          <w:b/>
          <w:spacing w:val="-5"/>
        </w:rPr>
        <w:t> </w:t>
      </w:r>
      <w:r>
        <w:rPr>
          <w:b/>
        </w:rPr>
        <w:t>Loan</w:t>
      </w:r>
      <w:r>
        <w:rPr>
          <w:b/>
          <w:spacing w:val="-4"/>
        </w:rPr>
        <w:t> </w:t>
      </w:r>
      <w:r>
        <w:rPr>
          <w:b/>
        </w:rPr>
        <w:t>Repayment.</w:t>
      </w:r>
      <w:r>
        <w:rPr>
          <w:b/>
          <w:spacing w:val="40"/>
        </w:rPr>
        <w:t> </w:t>
      </w:r>
      <w:r>
        <w:rPr/>
        <w:t>The</w:t>
      </w:r>
      <w:r>
        <w:rPr>
          <w:spacing w:val="-3"/>
        </w:rPr>
        <w:t> </w:t>
      </w:r>
      <w:r>
        <w:rPr/>
        <w:t>Commonwealth</w:t>
      </w:r>
      <w:r>
        <w:rPr>
          <w:spacing w:val="-4"/>
        </w:rPr>
        <w:t> </w:t>
      </w:r>
      <w:r>
        <w:rPr/>
        <w:t>will</w:t>
      </w:r>
      <w:r>
        <w:rPr>
          <w:spacing w:val="-4"/>
        </w:rPr>
        <w:t> </w:t>
      </w:r>
      <w:r>
        <w:rPr/>
        <w:t>make</w:t>
      </w:r>
      <w:r>
        <w:rPr>
          <w:spacing w:val="-5"/>
        </w:rPr>
        <w:t> </w:t>
      </w:r>
      <w:r>
        <w:rPr/>
        <w:t>available</w:t>
      </w:r>
      <w:r>
        <w:rPr>
          <w:spacing w:val="-5"/>
        </w:rPr>
        <w:t> </w:t>
      </w:r>
      <w:r>
        <w:rPr/>
        <w:t>up to $100,000 for primary care physicians, and up to $50,000 for advanced practice registered nurses, pediatric clinical nurse specialists, nurse practitioners, and physician assistants, per practitioner, who make a four-year full-time service commitment in a community-based setting serving at least 40 percent MassHealth and/or uninsured </w:t>
      </w:r>
      <w:r>
        <w:rPr>
          <w:spacing w:val="-2"/>
        </w:rPr>
        <w:t>patients.</w:t>
      </w:r>
    </w:p>
    <w:p>
      <w:pPr>
        <w:spacing w:after="0"/>
        <w:sectPr>
          <w:pgSz w:w="12240" w:h="15840"/>
          <w:pgMar w:header="0" w:footer="1201" w:top="1360" w:bottom="1400" w:left="1200" w:right="400"/>
        </w:sectPr>
      </w:pPr>
    </w:p>
    <w:p>
      <w:pPr>
        <w:pStyle w:val="BodyText"/>
        <w:spacing w:before="79"/>
        <w:ind w:left="871" w:right="1055"/>
      </w:pPr>
      <w:r>
        <w:rPr/>
        <w:drawing>
          <wp:anchor distT="0" distB="0" distL="0" distR="0" allowOverlap="1" layoutInCell="1" locked="0" behindDoc="0" simplePos="0" relativeHeight="15951872">
            <wp:simplePos x="0" y="0"/>
            <wp:positionH relativeFrom="page">
              <wp:posOffset>908303</wp:posOffset>
            </wp:positionH>
            <wp:positionV relativeFrom="paragraph">
              <wp:posOffset>85777</wp:posOffset>
            </wp:positionV>
            <wp:extent cx="283463" cy="112763"/>
            <wp:effectExtent l="0" t="0" r="0" b="0"/>
            <wp:wrapNone/>
            <wp:docPr id="447" name="Image 447"/>
            <wp:cNvGraphicFramePr>
              <a:graphicFrameLocks/>
            </wp:cNvGraphicFramePr>
            <a:graphic>
              <a:graphicData uri="http://schemas.openxmlformats.org/drawingml/2006/picture">
                <pic:pic>
                  <pic:nvPicPr>
                    <pic:cNvPr id="447" name="Image 447"/>
                    <pic:cNvPicPr/>
                  </pic:nvPicPr>
                  <pic:blipFill>
                    <a:blip r:embed="rId196" cstate="print"/>
                    <a:stretch>
                      <a:fillRect/>
                    </a:stretch>
                  </pic:blipFill>
                  <pic:spPr>
                    <a:xfrm>
                      <a:off x="0" y="0"/>
                      <a:ext cx="283463" cy="112763"/>
                    </a:xfrm>
                    <a:prstGeom prst="rect">
                      <a:avLst/>
                    </a:prstGeom>
                  </pic:spPr>
                </pic:pic>
              </a:graphicData>
            </a:graphic>
          </wp:anchor>
        </w:drawing>
      </w:r>
      <w:bookmarkStart w:name="13.3. Family Nurse Practitioner (FNP) Re" w:id="681"/>
      <w:bookmarkEnd w:id="681"/>
      <w:r>
        <w:rPr/>
      </w:r>
      <w:r>
        <w:rPr>
          <w:b/>
        </w:rPr>
        <w:t>Family</w:t>
      </w:r>
      <w:r>
        <w:rPr>
          <w:b/>
          <w:spacing w:val="-4"/>
        </w:rPr>
        <w:t> </w:t>
      </w:r>
      <w:r>
        <w:rPr>
          <w:b/>
        </w:rPr>
        <w:t>Nurse</w:t>
      </w:r>
      <w:r>
        <w:rPr>
          <w:b/>
          <w:spacing w:val="-3"/>
        </w:rPr>
        <w:t> </w:t>
      </w:r>
      <w:r>
        <w:rPr>
          <w:b/>
        </w:rPr>
        <w:t>Practitioner</w:t>
      </w:r>
      <w:r>
        <w:rPr>
          <w:b/>
          <w:spacing w:val="-5"/>
        </w:rPr>
        <w:t> </w:t>
      </w:r>
      <w:r>
        <w:rPr>
          <w:b/>
        </w:rPr>
        <w:t>(FNP)</w:t>
      </w:r>
      <w:r>
        <w:rPr>
          <w:b/>
          <w:spacing w:val="-3"/>
        </w:rPr>
        <w:t> </w:t>
      </w:r>
      <w:r>
        <w:rPr>
          <w:b/>
        </w:rPr>
        <w:t>Residency</w:t>
      </w:r>
      <w:r>
        <w:rPr>
          <w:b/>
          <w:spacing w:val="-2"/>
        </w:rPr>
        <w:t> </w:t>
      </w:r>
      <w:r>
        <w:rPr>
          <w:b/>
        </w:rPr>
        <w:t>Grant</w:t>
      </w:r>
      <w:r>
        <w:rPr>
          <w:b/>
          <w:spacing w:val="-5"/>
        </w:rPr>
        <w:t> </w:t>
      </w:r>
      <w:r>
        <w:rPr>
          <w:b/>
        </w:rPr>
        <w:t>Program</w:t>
      </w:r>
      <w:r>
        <w:rPr/>
        <w:t>.</w:t>
      </w:r>
      <w:r>
        <w:rPr>
          <w:spacing w:val="40"/>
        </w:rPr>
        <w:t> </w:t>
      </w:r>
      <w:r>
        <w:rPr/>
        <w:t>The</w:t>
      </w:r>
      <w:r>
        <w:rPr>
          <w:spacing w:val="-5"/>
        </w:rPr>
        <w:t> </w:t>
      </w:r>
      <w:r>
        <w:rPr/>
        <w:t>Commonwealth</w:t>
      </w:r>
      <w:r>
        <w:rPr>
          <w:spacing w:val="-4"/>
        </w:rPr>
        <w:t> </w:t>
      </w:r>
      <w:r>
        <w:rPr/>
        <w:t>will provide up to $105,000 per residency slot to allow Community Health Centers (CHCs) to support up to 10 FNP residency slots per year for four years.</w:t>
      </w:r>
      <w:r>
        <w:rPr>
          <w:spacing w:val="77"/>
        </w:rPr>
        <w:t> </w:t>
      </w:r>
      <w:r>
        <w:rPr/>
        <w:t>Awards may be made only</w:t>
      </w:r>
      <w:r>
        <w:rPr>
          <w:spacing w:val="40"/>
        </w:rPr>
        <w:t> </w:t>
      </w:r>
      <w:r>
        <w:rPr/>
        <w:t>to CHCs whose patient populations are at least 40 percent of MassHealth beneficiaries.</w:t>
      </w:r>
    </w:p>
    <w:p>
      <w:pPr>
        <w:pStyle w:val="BodyText"/>
        <w:ind w:left="871" w:right="1049"/>
      </w:pPr>
      <w:r>
        <w:rPr/>
        <w:t>Eligible recipient organizations must demonstrate significant residency training</w:t>
      </w:r>
      <w:r>
        <w:rPr>
          <w:spacing w:val="40"/>
        </w:rPr>
        <w:t> </w:t>
      </w:r>
      <w:r>
        <w:rPr/>
        <w:t>experience</w:t>
      </w:r>
      <w:r>
        <w:rPr>
          <w:spacing w:val="-5"/>
        </w:rPr>
        <w:t> </w:t>
      </w:r>
      <w:r>
        <w:rPr/>
        <w:t>and</w:t>
      </w:r>
      <w:r>
        <w:rPr>
          <w:spacing w:val="-4"/>
        </w:rPr>
        <w:t> </w:t>
      </w:r>
      <w:r>
        <w:rPr/>
        <w:t>infrastructure,</w:t>
      </w:r>
      <w:r>
        <w:rPr>
          <w:spacing w:val="-4"/>
        </w:rPr>
        <w:t> </w:t>
      </w:r>
      <w:r>
        <w:rPr/>
        <w:t>and</w:t>
      </w:r>
      <w:r>
        <w:rPr>
          <w:spacing w:val="-4"/>
        </w:rPr>
        <w:t> </w:t>
      </w:r>
      <w:r>
        <w:rPr/>
        <w:t>must</w:t>
      </w:r>
      <w:r>
        <w:rPr>
          <w:spacing w:val="-4"/>
        </w:rPr>
        <w:t> </w:t>
      </w:r>
      <w:r>
        <w:rPr/>
        <w:t>align</w:t>
      </w:r>
      <w:r>
        <w:rPr>
          <w:spacing w:val="-4"/>
        </w:rPr>
        <w:t> </w:t>
      </w:r>
      <w:r>
        <w:rPr/>
        <w:t>programs</w:t>
      </w:r>
      <w:r>
        <w:rPr>
          <w:spacing w:val="-4"/>
        </w:rPr>
        <w:t> </w:t>
      </w:r>
      <w:r>
        <w:rPr/>
        <w:t>with</w:t>
      </w:r>
      <w:r>
        <w:rPr>
          <w:spacing w:val="-4"/>
        </w:rPr>
        <w:t> </w:t>
      </w:r>
      <w:r>
        <w:rPr/>
        <w:t>established</w:t>
      </w:r>
      <w:r>
        <w:rPr>
          <w:spacing w:val="-4"/>
        </w:rPr>
        <w:t> </w:t>
      </w:r>
      <w:r>
        <w:rPr/>
        <w:t>standards</w:t>
      </w:r>
      <w:r>
        <w:rPr>
          <w:spacing w:val="-4"/>
        </w:rPr>
        <w:t> </w:t>
      </w:r>
      <w:r>
        <w:rPr/>
        <w:t>for</w:t>
      </w:r>
      <w:r>
        <w:rPr>
          <w:spacing w:val="-3"/>
        </w:rPr>
        <w:t> </w:t>
      </w:r>
      <w:r>
        <w:rPr/>
        <w:t>FNP residency training programs to meet a baseline of quality and standardization.</w:t>
      </w:r>
    </w:p>
    <w:p>
      <w:pPr>
        <w:pStyle w:val="BodyText"/>
        <w:spacing w:before="10"/>
        <w:rPr>
          <w:sz w:val="20"/>
        </w:rPr>
      </w:pPr>
    </w:p>
    <w:p>
      <w:pPr>
        <w:spacing w:before="0"/>
        <w:ind w:left="871" w:right="1059" w:firstLine="0"/>
        <w:jc w:val="left"/>
        <w:rPr>
          <w:sz w:val="24"/>
        </w:rPr>
      </w:pPr>
      <w:r>
        <w:rPr/>
        <w:drawing>
          <wp:anchor distT="0" distB="0" distL="0" distR="0" allowOverlap="1" layoutInCell="1" locked="0" behindDoc="0" simplePos="0" relativeHeight="15952384">
            <wp:simplePos x="0" y="0"/>
            <wp:positionH relativeFrom="page">
              <wp:posOffset>908303</wp:posOffset>
            </wp:positionH>
            <wp:positionV relativeFrom="paragraph">
              <wp:posOffset>35599</wp:posOffset>
            </wp:positionV>
            <wp:extent cx="283463" cy="112775"/>
            <wp:effectExtent l="0" t="0" r="0" b="0"/>
            <wp:wrapNone/>
            <wp:docPr id="448" name="Image 448"/>
            <wp:cNvGraphicFramePr>
              <a:graphicFrameLocks/>
            </wp:cNvGraphicFramePr>
            <a:graphic>
              <a:graphicData uri="http://schemas.openxmlformats.org/drawingml/2006/picture">
                <pic:pic>
                  <pic:nvPicPr>
                    <pic:cNvPr id="448" name="Image 448"/>
                    <pic:cNvPicPr/>
                  </pic:nvPicPr>
                  <pic:blipFill>
                    <a:blip r:embed="rId197" cstate="print"/>
                    <a:stretch>
                      <a:fillRect/>
                    </a:stretch>
                  </pic:blipFill>
                  <pic:spPr>
                    <a:xfrm>
                      <a:off x="0" y="0"/>
                      <a:ext cx="283463" cy="112775"/>
                    </a:xfrm>
                    <a:prstGeom prst="rect">
                      <a:avLst/>
                    </a:prstGeom>
                  </pic:spPr>
                </pic:pic>
              </a:graphicData>
            </a:graphic>
          </wp:anchor>
        </w:drawing>
      </w:r>
      <w:bookmarkStart w:name="13.4. Additional Terms and Operations of" w:id="682"/>
      <w:bookmarkEnd w:id="682"/>
      <w:r>
        <w:rPr/>
      </w:r>
      <w:r>
        <w:rPr>
          <w:b/>
          <w:sz w:val="24"/>
        </w:rPr>
        <w:t>Additional Terms and Operations of Student Loan Repayment and FNP Residency Programs.</w:t>
      </w:r>
      <w:r>
        <w:rPr>
          <w:b/>
          <w:spacing w:val="-2"/>
          <w:sz w:val="24"/>
        </w:rPr>
        <w:t> </w:t>
      </w:r>
      <w:r>
        <w:rPr>
          <w:sz w:val="24"/>
        </w:rPr>
        <w:t>For</w:t>
      </w:r>
      <w:r>
        <w:rPr>
          <w:spacing w:val="-5"/>
          <w:sz w:val="24"/>
        </w:rPr>
        <w:t> </w:t>
      </w:r>
      <w:r>
        <w:rPr>
          <w:sz w:val="24"/>
        </w:rPr>
        <w:t>the</w:t>
      </w:r>
      <w:r>
        <w:rPr>
          <w:spacing w:val="-5"/>
          <w:sz w:val="24"/>
        </w:rPr>
        <w:t> </w:t>
      </w:r>
      <w:r>
        <w:rPr>
          <w:sz w:val="24"/>
        </w:rPr>
        <w:t>demonstration</w:t>
      </w:r>
      <w:r>
        <w:rPr>
          <w:spacing w:val="-4"/>
          <w:sz w:val="24"/>
        </w:rPr>
        <w:t> </w:t>
      </w:r>
      <w:r>
        <w:rPr>
          <w:sz w:val="24"/>
        </w:rPr>
        <w:t>behavioral</w:t>
      </w:r>
      <w:r>
        <w:rPr>
          <w:spacing w:val="-4"/>
          <w:sz w:val="24"/>
        </w:rPr>
        <w:t> </w:t>
      </w:r>
      <w:r>
        <w:rPr>
          <w:sz w:val="24"/>
        </w:rPr>
        <w:t>health</w:t>
      </w:r>
      <w:r>
        <w:rPr>
          <w:spacing w:val="-4"/>
          <w:sz w:val="24"/>
        </w:rPr>
        <w:t> </w:t>
      </w:r>
      <w:r>
        <w:rPr>
          <w:sz w:val="24"/>
        </w:rPr>
        <w:t>student</w:t>
      </w:r>
      <w:r>
        <w:rPr>
          <w:spacing w:val="-4"/>
          <w:sz w:val="24"/>
        </w:rPr>
        <w:t> </w:t>
      </w:r>
      <w:r>
        <w:rPr>
          <w:sz w:val="24"/>
        </w:rPr>
        <w:t>and</w:t>
      </w:r>
      <w:r>
        <w:rPr>
          <w:spacing w:val="-4"/>
          <w:sz w:val="24"/>
        </w:rPr>
        <w:t> </w:t>
      </w:r>
      <w:r>
        <w:rPr>
          <w:sz w:val="24"/>
        </w:rPr>
        <w:t>primary</w:t>
      </w:r>
      <w:r>
        <w:rPr>
          <w:spacing w:val="-8"/>
          <w:sz w:val="24"/>
        </w:rPr>
        <w:t> </w:t>
      </w:r>
      <w:r>
        <w:rPr>
          <w:sz w:val="24"/>
        </w:rPr>
        <w:t>care</w:t>
      </w:r>
      <w:r>
        <w:rPr>
          <w:spacing w:val="-5"/>
          <w:sz w:val="24"/>
        </w:rPr>
        <w:t> </w:t>
      </w:r>
      <w:r>
        <w:rPr>
          <w:sz w:val="24"/>
        </w:rPr>
        <w:t>student</w:t>
      </w:r>
      <w:r>
        <w:rPr>
          <w:spacing w:val="-4"/>
          <w:sz w:val="24"/>
        </w:rPr>
        <w:t> </w:t>
      </w:r>
      <w:r>
        <w:rPr>
          <w:sz w:val="24"/>
        </w:rPr>
        <w:t>loan repayment programs, and the FNP residency grant program, the following shall apply:</w:t>
      </w:r>
    </w:p>
    <w:p>
      <w:pPr>
        <w:pStyle w:val="BodyText"/>
        <w:spacing w:before="10"/>
        <w:rPr>
          <w:sz w:val="20"/>
        </w:rPr>
      </w:pPr>
    </w:p>
    <w:p>
      <w:pPr>
        <w:pStyle w:val="BodyText"/>
        <w:ind w:left="1411" w:right="1059"/>
      </w:pPr>
      <w:r>
        <w:rPr/>
        <w:drawing>
          <wp:anchor distT="0" distB="0" distL="0" distR="0" allowOverlap="1" layoutInCell="1" locked="0" behindDoc="0" simplePos="0" relativeHeight="15952896">
            <wp:simplePos x="0" y="0"/>
            <wp:positionH relativeFrom="page">
              <wp:posOffset>1431036</wp:posOffset>
            </wp:positionH>
            <wp:positionV relativeFrom="paragraph">
              <wp:posOffset>67616</wp:posOffset>
            </wp:positionV>
            <wp:extent cx="96011" cy="80759"/>
            <wp:effectExtent l="0" t="0" r="0" b="0"/>
            <wp:wrapNone/>
            <wp:docPr id="449" name="Image 449"/>
            <wp:cNvGraphicFramePr>
              <a:graphicFrameLocks/>
            </wp:cNvGraphicFramePr>
            <a:graphic>
              <a:graphicData uri="http://schemas.openxmlformats.org/drawingml/2006/picture">
                <pic:pic>
                  <pic:nvPicPr>
                    <pic:cNvPr id="449" name="Image 449"/>
                    <pic:cNvPicPr/>
                  </pic:nvPicPr>
                  <pic:blipFill>
                    <a:blip r:embed="rId29" cstate="print"/>
                    <a:stretch>
                      <a:fillRect/>
                    </a:stretch>
                  </pic:blipFill>
                  <pic:spPr>
                    <a:xfrm>
                      <a:off x="0" y="0"/>
                      <a:ext cx="96011" cy="80759"/>
                    </a:xfrm>
                    <a:prstGeom prst="rect">
                      <a:avLst/>
                    </a:prstGeom>
                  </pic:spPr>
                </pic:pic>
              </a:graphicData>
            </a:graphic>
          </wp:anchor>
        </w:drawing>
      </w:r>
      <w:bookmarkStart w:name="a. Loan repayments and residency payment" w:id="683"/>
      <w:bookmarkEnd w:id="683"/>
      <w:r>
        <w:rPr/>
      </w:r>
      <w:r>
        <w:rPr/>
        <w:t>Loan repayments</w:t>
      </w:r>
      <w:r>
        <w:rPr>
          <w:spacing w:val="-2"/>
        </w:rPr>
        <w:t> </w:t>
      </w:r>
      <w:r>
        <w:rPr/>
        <w:t>and</w:t>
      </w:r>
      <w:r>
        <w:rPr>
          <w:spacing w:val="-2"/>
        </w:rPr>
        <w:t> </w:t>
      </w:r>
      <w:r>
        <w:rPr/>
        <w:t>residency</w:t>
      </w:r>
      <w:r>
        <w:rPr>
          <w:spacing w:val="-7"/>
        </w:rPr>
        <w:t> </w:t>
      </w:r>
      <w:r>
        <w:rPr/>
        <w:t>payments</w:t>
      </w:r>
      <w:r>
        <w:rPr>
          <w:spacing w:val="-2"/>
        </w:rPr>
        <w:t> </w:t>
      </w:r>
      <w:r>
        <w:rPr/>
        <w:t>may</w:t>
      </w:r>
      <w:r>
        <w:rPr>
          <w:spacing w:val="-7"/>
        </w:rPr>
        <w:t> </w:t>
      </w:r>
      <w:r>
        <w:rPr/>
        <w:t>be</w:t>
      </w:r>
      <w:r>
        <w:rPr>
          <w:spacing w:val="-1"/>
        </w:rPr>
        <w:t> </w:t>
      </w:r>
      <w:r>
        <w:rPr/>
        <w:t>made</w:t>
      </w:r>
      <w:r>
        <w:rPr>
          <w:spacing w:val="-3"/>
        </w:rPr>
        <w:t> </w:t>
      </w:r>
      <w:r>
        <w:rPr/>
        <w:t>directly</w:t>
      </w:r>
      <w:r>
        <w:rPr>
          <w:spacing w:val="-7"/>
        </w:rPr>
        <w:t> </w:t>
      </w:r>
      <w:r>
        <w:rPr/>
        <w:t>only</w:t>
      </w:r>
      <w:r>
        <w:rPr>
          <w:spacing w:val="-7"/>
        </w:rPr>
        <w:t> </w:t>
      </w:r>
      <w:r>
        <w:rPr/>
        <w:t>to</w:t>
      </w:r>
      <w:r>
        <w:rPr>
          <w:spacing w:val="-2"/>
        </w:rPr>
        <w:t> </w:t>
      </w:r>
      <w:r>
        <w:rPr/>
        <w:t>the</w:t>
      </w:r>
      <w:r>
        <w:rPr>
          <w:spacing w:val="-1"/>
        </w:rPr>
        <w:t> </w:t>
      </w:r>
      <w:r>
        <w:rPr/>
        <w:t>student loan servicer (or CHC in the case of the FNP Residency Program) by either the Commonwealth or a procured vendor.</w:t>
      </w:r>
      <w:r>
        <w:rPr>
          <w:spacing w:val="40"/>
        </w:rPr>
        <w:t> </w:t>
      </w:r>
      <w:r>
        <w:rPr/>
        <w:t>Funds will not be provided to individual practitioners.</w:t>
      </w:r>
      <w:r>
        <w:rPr>
          <w:spacing w:val="40"/>
        </w:rPr>
        <w:t> </w:t>
      </w:r>
      <w:r>
        <w:rPr/>
        <w:t>Payments will be made no less than annually.</w:t>
      </w:r>
    </w:p>
    <w:p>
      <w:pPr>
        <w:pStyle w:val="BodyText"/>
        <w:spacing w:before="10"/>
        <w:rPr>
          <w:sz w:val="20"/>
        </w:rPr>
      </w:pPr>
    </w:p>
    <w:p>
      <w:pPr>
        <w:pStyle w:val="BodyText"/>
        <w:ind w:left="2040" w:right="1059"/>
      </w:pPr>
      <w:r>
        <w:rPr/>
        <w:drawing>
          <wp:anchor distT="0" distB="0" distL="0" distR="0" allowOverlap="1" layoutInCell="1" locked="0" behindDoc="0" simplePos="0" relativeHeight="15953408">
            <wp:simplePos x="0" y="0"/>
            <wp:positionH relativeFrom="page">
              <wp:posOffset>1862327</wp:posOffset>
            </wp:positionH>
            <wp:positionV relativeFrom="paragraph">
              <wp:posOffset>32551</wp:posOffset>
            </wp:positionV>
            <wp:extent cx="73151" cy="115823"/>
            <wp:effectExtent l="0" t="0" r="0" b="0"/>
            <wp:wrapNone/>
            <wp:docPr id="450" name="Image 450"/>
            <wp:cNvGraphicFramePr>
              <a:graphicFrameLocks/>
            </wp:cNvGraphicFramePr>
            <a:graphic>
              <a:graphicData uri="http://schemas.openxmlformats.org/drawingml/2006/picture">
                <pic:pic>
                  <pic:nvPicPr>
                    <pic:cNvPr id="450" name="Image 450"/>
                    <pic:cNvPicPr/>
                  </pic:nvPicPr>
                  <pic:blipFill>
                    <a:blip r:embed="rId61" cstate="print"/>
                    <a:stretch>
                      <a:fillRect/>
                    </a:stretch>
                  </pic:blipFill>
                  <pic:spPr>
                    <a:xfrm>
                      <a:off x="0" y="0"/>
                      <a:ext cx="73151" cy="115823"/>
                    </a:xfrm>
                    <a:prstGeom prst="rect">
                      <a:avLst/>
                    </a:prstGeom>
                  </pic:spPr>
                </pic:pic>
              </a:graphicData>
            </a:graphic>
          </wp:anchor>
        </w:drawing>
      </w:r>
      <w:bookmarkStart w:name="i. For both program types, MassHealth wi" w:id="684"/>
      <w:bookmarkEnd w:id="684"/>
      <w:r>
        <w:rPr/>
      </w:r>
      <w:r>
        <w:rPr/>
        <w:t>For</w:t>
      </w:r>
      <w:r>
        <w:rPr>
          <w:spacing w:val="-4"/>
        </w:rPr>
        <w:t> </w:t>
      </w:r>
      <w:r>
        <w:rPr/>
        <w:t>both</w:t>
      </w:r>
      <w:r>
        <w:rPr>
          <w:spacing w:val="-3"/>
        </w:rPr>
        <w:t> </w:t>
      </w:r>
      <w:r>
        <w:rPr/>
        <w:t>program</w:t>
      </w:r>
      <w:r>
        <w:rPr>
          <w:spacing w:val="-3"/>
        </w:rPr>
        <w:t> </w:t>
      </w:r>
      <w:r>
        <w:rPr/>
        <w:t>types,</w:t>
      </w:r>
      <w:r>
        <w:rPr>
          <w:spacing w:val="-1"/>
        </w:rPr>
        <w:t> </w:t>
      </w:r>
      <w:r>
        <w:rPr/>
        <w:t>MassHealth</w:t>
      </w:r>
      <w:r>
        <w:rPr>
          <w:spacing w:val="-3"/>
        </w:rPr>
        <w:t> </w:t>
      </w:r>
      <w:r>
        <w:rPr/>
        <w:t>will</w:t>
      </w:r>
      <w:r>
        <w:rPr>
          <w:spacing w:val="-3"/>
        </w:rPr>
        <w:t> </w:t>
      </w:r>
      <w:r>
        <w:rPr/>
        <w:t>first</w:t>
      </w:r>
      <w:r>
        <w:rPr>
          <w:spacing w:val="-3"/>
        </w:rPr>
        <w:t> </w:t>
      </w:r>
      <w:r>
        <w:rPr/>
        <w:t>pay</w:t>
      </w:r>
      <w:r>
        <w:rPr>
          <w:spacing w:val="-6"/>
        </w:rPr>
        <w:t> </w:t>
      </w:r>
      <w:r>
        <w:rPr/>
        <w:t>the</w:t>
      </w:r>
      <w:r>
        <w:rPr>
          <w:spacing w:val="-4"/>
        </w:rPr>
        <w:t> </w:t>
      </w:r>
      <w:r>
        <w:rPr/>
        <w:t>managing</w:t>
      </w:r>
      <w:r>
        <w:rPr>
          <w:spacing w:val="-6"/>
        </w:rPr>
        <w:t> </w:t>
      </w:r>
      <w:r>
        <w:rPr/>
        <w:t>vendor(s),</w:t>
      </w:r>
      <w:r>
        <w:rPr>
          <w:spacing w:val="-1"/>
        </w:rPr>
        <w:t> </w:t>
      </w:r>
      <w:r>
        <w:rPr/>
        <w:t>if any, the funds, so that it can then in turn make payments to either the loan servicers or the CHCs sponsoring the FNP residency programs.</w:t>
      </w:r>
    </w:p>
    <w:p>
      <w:pPr>
        <w:pStyle w:val="BodyText"/>
        <w:spacing w:before="159"/>
        <w:ind w:left="2040" w:right="1059"/>
      </w:pPr>
      <w:r>
        <w:rPr/>
        <w:drawing>
          <wp:anchor distT="0" distB="0" distL="0" distR="0" allowOverlap="1" layoutInCell="1" locked="0" behindDoc="0" simplePos="0" relativeHeight="15953920">
            <wp:simplePos x="0" y="0"/>
            <wp:positionH relativeFrom="page">
              <wp:posOffset>1819655</wp:posOffset>
            </wp:positionH>
            <wp:positionV relativeFrom="paragraph">
              <wp:posOffset>133516</wp:posOffset>
            </wp:positionV>
            <wp:extent cx="115823" cy="115823"/>
            <wp:effectExtent l="0" t="0" r="0" b="0"/>
            <wp:wrapNone/>
            <wp:docPr id="451" name="Image 451"/>
            <wp:cNvGraphicFramePr>
              <a:graphicFrameLocks/>
            </wp:cNvGraphicFramePr>
            <a:graphic>
              <a:graphicData uri="http://schemas.openxmlformats.org/drawingml/2006/picture">
                <pic:pic>
                  <pic:nvPicPr>
                    <pic:cNvPr id="451" name="Image 451"/>
                    <pic:cNvPicPr/>
                  </pic:nvPicPr>
                  <pic:blipFill>
                    <a:blip r:embed="rId62" cstate="print"/>
                    <a:stretch>
                      <a:fillRect/>
                    </a:stretch>
                  </pic:blipFill>
                  <pic:spPr>
                    <a:xfrm>
                      <a:off x="0" y="0"/>
                      <a:ext cx="115823" cy="115823"/>
                    </a:xfrm>
                    <a:prstGeom prst="rect">
                      <a:avLst/>
                    </a:prstGeom>
                  </pic:spPr>
                </pic:pic>
              </a:graphicData>
            </a:graphic>
          </wp:anchor>
        </w:drawing>
      </w:r>
      <w:bookmarkStart w:name="ii. For the Student Loan Repayment Progr" w:id="685"/>
      <w:bookmarkEnd w:id="685"/>
      <w:r>
        <w:rPr/>
      </w:r>
      <w:r>
        <w:rPr/>
        <w:t>For the Student Loan Repayment Program, for each individual round of awarded</w:t>
      </w:r>
      <w:r>
        <w:rPr>
          <w:spacing w:val="-4"/>
        </w:rPr>
        <w:t> </w:t>
      </w:r>
      <w:r>
        <w:rPr/>
        <w:t>practitioners,</w:t>
      </w:r>
      <w:r>
        <w:rPr>
          <w:spacing w:val="-4"/>
        </w:rPr>
        <w:t> </w:t>
      </w:r>
      <w:r>
        <w:rPr/>
        <w:t>the</w:t>
      </w:r>
      <w:r>
        <w:rPr>
          <w:spacing w:val="-5"/>
        </w:rPr>
        <w:t> </w:t>
      </w:r>
      <w:r>
        <w:rPr/>
        <w:t>managing</w:t>
      </w:r>
      <w:r>
        <w:rPr>
          <w:spacing w:val="-7"/>
        </w:rPr>
        <w:t> </w:t>
      </w:r>
      <w:r>
        <w:rPr/>
        <w:t>vendor</w:t>
      </w:r>
      <w:r>
        <w:rPr>
          <w:spacing w:val="-3"/>
        </w:rPr>
        <w:t> </w:t>
      </w:r>
      <w:r>
        <w:rPr/>
        <w:t>will</w:t>
      </w:r>
      <w:r>
        <w:rPr>
          <w:spacing w:val="-4"/>
        </w:rPr>
        <w:t> </w:t>
      </w:r>
      <w:r>
        <w:rPr/>
        <w:t>make</w:t>
      </w:r>
      <w:r>
        <w:rPr>
          <w:spacing w:val="-5"/>
        </w:rPr>
        <w:t> </w:t>
      </w:r>
      <w:r>
        <w:rPr/>
        <w:t>payments</w:t>
      </w:r>
      <w:r>
        <w:rPr>
          <w:spacing w:val="-4"/>
        </w:rPr>
        <w:t> </w:t>
      </w:r>
      <w:r>
        <w:rPr/>
        <w:t>in</w:t>
      </w:r>
      <w:r>
        <w:rPr>
          <w:spacing w:val="-4"/>
        </w:rPr>
        <w:t> </w:t>
      </w:r>
      <w:r>
        <w:rPr/>
        <w:t>two</w:t>
      </w:r>
      <w:r>
        <w:rPr>
          <w:spacing w:val="-4"/>
        </w:rPr>
        <w:t> </w:t>
      </w:r>
      <w:r>
        <w:rPr/>
        <w:t>equal installments during the first two years of the four-year service obligations.</w:t>
      </w:r>
    </w:p>
    <w:p>
      <w:pPr>
        <w:pStyle w:val="BodyText"/>
        <w:spacing w:before="201"/>
        <w:ind w:left="1411" w:right="1141"/>
      </w:pPr>
      <w:r>
        <w:rPr/>
        <w:drawing>
          <wp:anchor distT="0" distB="0" distL="0" distR="0" allowOverlap="1" layoutInCell="1" locked="0" behindDoc="0" simplePos="0" relativeHeight="15954432">
            <wp:simplePos x="0" y="0"/>
            <wp:positionH relativeFrom="page">
              <wp:posOffset>1424939</wp:posOffset>
            </wp:positionH>
            <wp:positionV relativeFrom="paragraph">
              <wp:posOffset>160186</wp:posOffset>
            </wp:positionV>
            <wp:extent cx="111251" cy="115823"/>
            <wp:effectExtent l="0" t="0" r="0" b="0"/>
            <wp:wrapNone/>
            <wp:docPr id="452" name="Image 452"/>
            <wp:cNvGraphicFramePr>
              <a:graphicFrameLocks/>
            </wp:cNvGraphicFramePr>
            <a:graphic>
              <a:graphicData uri="http://schemas.openxmlformats.org/drawingml/2006/picture">
                <pic:pic>
                  <pic:nvPicPr>
                    <pic:cNvPr id="452" name="Image 452"/>
                    <pic:cNvPicPr/>
                  </pic:nvPicPr>
                  <pic:blipFill>
                    <a:blip r:embed="rId30" cstate="print"/>
                    <a:stretch>
                      <a:fillRect/>
                    </a:stretch>
                  </pic:blipFill>
                  <pic:spPr>
                    <a:xfrm>
                      <a:off x="0" y="0"/>
                      <a:ext cx="111251" cy="115823"/>
                    </a:xfrm>
                    <a:prstGeom prst="rect">
                      <a:avLst/>
                    </a:prstGeom>
                  </pic:spPr>
                </pic:pic>
              </a:graphicData>
            </a:graphic>
          </wp:anchor>
        </w:drawing>
      </w:r>
      <w:bookmarkStart w:name="b. For each yearly issuance of funding f" w:id="686"/>
      <w:bookmarkEnd w:id="686"/>
      <w:r>
        <w:rPr/>
      </w:r>
      <w:r>
        <w:rPr/>
        <w:t>For each yearly issuance of funding for the Family Nurse Practitioner residency grant program, the managing vendor will make a single payment to each CHC covering</w:t>
      </w:r>
      <w:r>
        <w:rPr>
          <w:spacing w:val="-6"/>
        </w:rPr>
        <w:t> </w:t>
      </w:r>
      <w:r>
        <w:rPr/>
        <w:t>one year’s</w:t>
      </w:r>
      <w:r>
        <w:rPr>
          <w:spacing w:val="-3"/>
        </w:rPr>
        <w:t> </w:t>
      </w:r>
      <w:r>
        <w:rPr/>
        <w:t>residency</w:t>
      </w:r>
      <w:r>
        <w:rPr>
          <w:spacing w:val="-8"/>
        </w:rPr>
        <w:t> </w:t>
      </w:r>
      <w:r>
        <w:rPr/>
        <w:t>slot</w:t>
      </w:r>
      <w:r>
        <w:rPr>
          <w:spacing w:val="-3"/>
        </w:rPr>
        <w:t> </w:t>
      </w:r>
      <w:r>
        <w:rPr/>
        <w:t>costs.</w:t>
      </w:r>
      <w:r>
        <w:rPr>
          <w:spacing w:val="40"/>
        </w:rPr>
        <w:t> </w:t>
      </w:r>
      <w:r>
        <w:rPr/>
        <w:t>MassHealth</w:t>
      </w:r>
      <w:r>
        <w:rPr>
          <w:spacing w:val="-3"/>
        </w:rPr>
        <w:t> </w:t>
      </w:r>
      <w:r>
        <w:rPr/>
        <w:t>will</w:t>
      </w:r>
      <w:r>
        <w:rPr>
          <w:spacing w:val="-3"/>
        </w:rPr>
        <w:t> </w:t>
      </w:r>
      <w:r>
        <w:rPr/>
        <w:t>ensure</w:t>
      </w:r>
      <w:r>
        <w:rPr>
          <w:spacing w:val="-4"/>
        </w:rPr>
        <w:t> </w:t>
      </w:r>
      <w:r>
        <w:rPr/>
        <w:t>that</w:t>
      </w:r>
      <w:r>
        <w:rPr>
          <w:spacing w:val="-3"/>
        </w:rPr>
        <w:t> </w:t>
      </w:r>
      <w:r>
        <w:rPr/>
        <w:t>the</w:t>
      </w:r>
      <w:r>
        <w:rPr>
          <w:spacing w:val="-4"/>
        </w:rPr>
        <w:t> </w:t>
      </w:r>
      <w:r>
        <w:rPr/>
        <w:t>amount</w:t>
      </w:r>
      <w:r>
        <w:rPr>
          <w:spacing w:val="-3"/>
        </w:rPr>
        <w:t> </w:t>
      </w:r>
      <w:r>
        <w:rPr/>
        <w:t>of the award does not exceed the cost of operating the slot at the CHC; if the award exceeds the cost of the residency slot, the award will be reduced so that it matches the cost of the slot.</w:t>
      </w:r>
    </w:p>
    <w:p>
      <w:pPr>
        <w:pStyle w:val="BodyText"/>
        <w:spacing w:before="10"/>
        <w:rPr>
          <w:sz w:val="20"/>
        </w:rPr>
      </w:pPr>
    </w:p>
    <w:p>
      <w:pPr>
        <w:pStyle w:val="BodyText"/>
        <w:spacing w:before="1"/>
        <w:ind w:left="1411" w:right="1086"/>
      </w:pPr>
      <w:r>
        <w:rPr/>
        <w:drawing>
          <wp:anchor distT="0" distB="0" distL="0" distR="0" allowOverlap="1" layoutInCell="1" locked="0" behindDoc="0" simplePos="0" relativeHeight="15954944">
            <wp:simplePos x="0" y="0"/>
            <wp:positionH relativeFrom="page">
              <wp:posOffset>1431036</wp:posOffset>
            </wp:positionH>
            <wp:positionV relativeFrom="paragraph">
              <wp:posOffset>68251</wp:posOffset>
            </wp:positionV>
            <wp:extent cx="96011" cy="80759"/>
            <wp:effectExtent l="0" t="0" r="0" b="0"/>
            <wp:wrapNone/>
            <wp:docPr id="453" name="Image 453"/>
            <wp:cNvGraphicFramePr>
              <a:graphicFrameLocks/>
            </wp:cNvGraphicFramePr>
            <a:graphic>
              <a:graphicData uri="http://schemas.openxmlformats.org/drawingml/2006/picture">
                <pic:pic>
                  <pic:nvPicPr>
                    <pic:cNvPr id="453" name="Image 453"/>
                    <pic:cNvPicPr/>
                  </pic:nvPicPr>
                  <pic:blipFill>
                    <a:blip r:embed="rId35" cstate="print"/>
                    <a:stretch>
                      <a:fillRect/>
                    </a:stretch>
                  </pic:blipFill>
                  <pic:spPr>
                    <a:xfrm>
                      <a:off x="0" y="0"/>
                      <a:ext cx="96011" cy="80759"/>
                    </a:xfrm>
                    <a:prstGeom prst="rect">
                      <a:avLst/>
                    </a:prstGeom>
                  </pic:spPr>
                </pic:pic>
              </a:graphicData>
            </a:graphic>
          </wp:anchor>
        </w:drawing>
      </w:r>
      <w:bookmarkStart w:name="c. The Commonwealth may have multiple ro" w:id="687"/>
      <w:bookmarkEnd w:id="687"/>
      <w:r>
        <w:rPr/>
      </w:r>
      <w:r>
        <w:rPr/>
        <w:t>The Commonwealth may have multiple rounds/cohorts of disbursements (i.e., awards</w:t>
      </w:r>
      <w:r>
        <w:rPr>
          <w:spacing w:val="-3"/>
        </w:rPr>
        <w:t> </w:t>
      </w:r>
      <w:r>
        <w:rPr/>
        <w:t>to</w:t>
      </w:r>
      <w:r>
        <w:rPr>
          <w:spacing w:val="-3"/>
        </w:rPr>
        <w:t> </w:t>
      </w:r>
      <w:r>
        <w:rPr/>
        <w:t>new</w:t>
      </w:r>
      <w:r>
        <w:rPr>
          <w:spacing w:val="-4"/>
        </w:rPr>
        <w:t> </w:t>
      </w:r>
      <w:r>
        <w:rPr/>
        <w:t>individuals</w:t>
      </w:r>
      <w:r>
        <w:rPr>
          <w:spacing w:val="-3"/>
        </w:rPr>
        <w:t> </w:t>
      </w:r>
      <w:r>
        <w:rPr/>
        <w:t>each year),</w:t>
      </w:r>
      <w:r>
        <w:rPr>
          <w:spacing w:val="-3"/>
        </w:rPr>
        <w:t> </w:t>
      </w:r>
      <w:r>
        <w:rPr/>
        <w:t>so</w:t>
      </w:r>
      <w:r>
        <w:rPr>
          <w:spacing w:val="-3"/>
        </w:rPr>
        <w:t> </w:t>
      </w:r>
      <w:r>
        <w:rPr/>
        <w:t>long</w:t>
      </w:r>
      <w:r>
        <w:rPr>
          <w:spacing w:val="-3"/>
        </w:rPr>
        <w:t> </w:t>
      </w:r>
      <w:r>
        <w:rPr/>
        <w:t>as</w:t>
      </w:r>
      <w:r>
        <w:rPr>
          <w:spacing w:val="-3"/>
        </w:rPr>
        <w:t> </w:t>
      </w:r>
      <w:r>
        <w:rPr/>
        <w:t>it</w:t>
      </w:r>
      <w:r>
        <w:rPr>
          <w:spacing w:val="-3"/>
        </w:rPr>
        <w:t> </w:t>
      </w:r>
      <w:r>
        <w:rPr/>
        <w:t>does</w:t>
      </w:r>
      <w:r>
        <w:rPr>
          <w:spacing w:val="-3"/>
        </w:rPr>
        <w:t> </w:t>
      </w:r>
      <w:r>
        <w:rPr/>
        <w:t>not</w:t>
      </w:r>
      <w:r>
        <w:rPr>
          <w:spacing w:val="-3"/>
        </w:rPr>
        <w:t> </w:t>
      </w:r>
      <w:r>
        <w:rPr/>
        <w:t>expend</w:t>
      </w:r>
      <w:r>
        <w:rPr>
          <w:spacing w:val="-3"/>
        </w:rPr>
        <w:t> </w:t>
      </w:r>
      <w:r>
        <w:rPr/>
        <w:t>beyond</w:t>
      </w:r>
      <w:r>
        <w:rPr>
          <w:spacing w:val="-2"/>
        </w:rPr>
        <w:t> </w:t>
      </w:r>
      <w:r>
        <w:rPr/>
        <w:t>the applicable authorized level of funding for each program over the course of the demonstration or demonstration year, as applicable.</w:t>
      </w:r>
    </w:p>
    <w:p>
      <w:pPr>
        <w:pStyle w:val="BodyText"/>
        <w:spacing w:before="9"/>
        <w:rPr>
          <w:sz w:val="20"/>
        </w:rPr>
      </w:pPr>
    </w:p>
    <w:p>
      <w:pPr>
        <w:pStyle w:val="BodyText"/>
        <w:spacing w:before="1"/>
        <w:ind w:left="1411" w:right="1059"/>
      </w:pPr>
      <w:r>
        <w:rPr/>
        <w:drawing>
          <wp:anchor distT="0" distB="0" distL="0" distR="0" allowOverlap="1" layoutInCell="1" locked="0" behindDoc="0" simplePos="0" relativeHeight="15955456">
            <wp:simplePos x="0" y="0"/>
            <wp:positionH relativeFrom="page">
              <wp:posOffset>1431036</wp:posOffset>
            </wp:positionH>
            <wp:positionV relativeFrom="paragraph">
              <wp:posOffset>33186</wp:posOffset>
            </wp:positionV>
            <wp:extent cx="105155" cy="115823"/>
            <wp:effectExtent l="0" t="0" r="0" b="0"/>
            <wp:wrapNone/>
            <wp:docPr id="454" name="Image 454"/>
            <wp:cNvGraphicFramePr>
              <a:graphicFrameLocks/>
            </wp:cNvGraphicFramePr>
            <a:graphic>
              <a:graphicData uri="http://schemas.openxmlformats.org/drawingml/2006/picture">
                <pic:pic>
                  <pic:nvPicPr>
                    <pic:cNvPr id="454" name="Image 454"/>
                    <pic:cNvPicPr/>
                  </pic:nvPicPr>
                  <pic:blipFill>
                    <a:blip r:embed="rId109" cstate="print"/>
                    <a:stretch>
                      <a:fillRect/>
                    </a:stretch>
                  </pic:blipFill>
                  <pic:spPr>
                    <a:xfrm>
                      <a:off x="0" y="0"/>
                      <a:ext cx="105155" cy="115823"/>
                    </a:xfrm>
                    <a:prstGeom prst="rect">
                      <a:avLst/>
                    </a:prstGeom>
                  </pic:spPr>
                </pic:pic>
              </a:graphicData>
            </a:graphic>
          </wp:anchor>
        </w:drawing>
      </w:r>
      <w:bookmarkStart w:name="d. The Commonwealth shall have a process" w:id="688"/>
      <w:bookmarkEnd w:id="688"/>
      <w:r>
        <w:rPr/>
      </w:r>
      <w:r>
        <w:rPr/>
        <w:t>The Commonwealth shall have a process for ensuring that practitioners meet the qualifying service commitment.</w:t>
      </w:r>
      <w:r>
        <w:rPr>
          <w:spacing w:val="40"/>
        </w:rPr>
        <w:t> </w:t>
      </w:r>
      <w:r>
        <w:rPr/>
        <w:t>If the service commitment is not met, except in extraordinary</w:t>
      </w:r>
      <w:r>
        <w:rPr>
          <w:spacing w:val="-8"/>
        </w:rPr>
        <w:t> </w:t>
      </w:r>
      <w:r>
        <w:rPr/>
        <w:t>circumstances</w:t>
      </w:r>
      <w:r>
        <w:rPr>
          <w:spacing w:val="-3"/>
        </w:rPr>
        <w:t> </w:t>
      </w:r>
      <w:r>
        <w:rPr/>
        <w:t>as</w:t>
      </w:r>
      <w:r>
        <w:rPr>
          <w:spacing w:val="-3"/>
        </w:rPr>
        <w:t> </w:t>
      </w:r>
      <w:r>
        <w:rPr/>
        <w:t>determined</w:t>
      </w:r>
      <w:r>
        <w:rPr>
          <w:spacing w:val="-3"/>
        </w:rPr>
        <w:t> </w:t>
      </w:r>
      <w:r>
        <w:rPr/>
        <w:t>by</w:t>
      </w:r>
      <w:r>
        <w:rPr>
          <w:spacing w:val="-8"/>
        </w:rPr>
        <w:t> </w:t>
      </w:r>
      <w:r>
        <w:rPr/>
        <w:t>the</w:t>
      </w:r>
      <w:r>
        <w:rPr>
          <w:spacing w:val="-2"/>
        </w:rPr>
        <w:t> </w:t>
      </w:r>
      <w:r>
        <w:rPr/>
        <w:t>Commonwealth</w:t>
      </w:r>
      <w:r>
        <w:rPr>
          <w:spacing w:val="-3"/>
        </w:rPr>
        <w:t> </w:t>
      </w:r>
      <w:r>
        <w:rPr/>
        <w:t>(e.g.,</w:t>
      </w:r>
      <w:r>
        <w:rPr>
          <w:spacing w:val="-3"/>
        </w:rPr>
        <w:t> </w:t>
      </w:r>
      <w:r>
        <w:rPr/>
        <w:t>disability</w:t>
      </w:r>
      <w:r>
        <w:rPr>
          <w:spacing w:val="-8"/>
        </w:rPr>
        <w:t> </w:t>
      </w:r>
      <w:r>
        <w:rPr/>
        <w:t>or death), the Commonwealth shall recoup any student loan payments made on the behalf of practitioners.</w:t>
      </w:r>
      <w:r>
        <w:rPr>
          <w:spacing w:val="40"/>
        </w:rPr>
        <w:t> </w:t>
      </w:r>
      <w:r>
        <w:rPr/>
        <w:t>In the case of recoupment, the Commonwealth shall return federal financial participation in those student loan payments to CMS.</w:t>
      </w:r>
    </w:p>
    <w:p>
      <w:pPr>
        <w:pStyle w:val="BodyText"/>
        <w:spacing w:before="10"/>
        <w:rPr>
          <w:sz w:val="20"/>
        </w:rPr>
      </w:pPr>
    </w:p>
    <w:p>
      <w:pPr>
        <w:pStyle w:val="BodyText"/>
        <w:ind w:left="1411" w:right="1059"/>
      </w:pPr>
      <w:r>
        <w:rPr/>
        <w:drawing>
          <wp:anchor distT="0" distB="0" distL="0" distR="0" allowOverlap="1" layoutInCell="1" locked="0" behindDoc="0" simplePos="0" relativeHeight="15955968">
            <wp:simplePos x="0" y="0"/>
            <wp:positionH relativeFrom="page">
              <wp:posOffset>1431036</wp:posOffset>
            </wp:positionH>
            <wp:positionV relativeFrom="paragraph">
              <wp:posOffset>67616</wp:posOffset>
            </wp:positionV>
            <wp:extent cx="96011" cy="80758"/>
            <wp:effectExtent l="0" t="0" r="0" b="0"/>
            <wp:wrapNone/>
            <wp:docPr id="455" name="Image 455"/>
            <wp:cNvGraphicFramePr>
              <a:graphicFrameLocks/>
            </wp:cNvGraphicFramePr>
            <a:graphic>
              <a:graphicData uri="http://schemas.openxmlformats.org/drawingml/2006/picture">
                <pic:pic>
                  <pic:nvPicPr>
                    <pic:cNvPr id="455" name="Image 455"/>
                    <pic:cNvPicPr/>
                  </pic:nvPicPr>
                  <pic:blipFill>
                    <a:blip r:embed="rId37" cstate="print"/>
                    <a:stretch>
                      <a:fillRect/>
                    </a:stretch>
                  </pic:blipFill>
                  <pic:spPr>
                    <a:xfrm>
                      <a:off x="0" y="0"/>
                      <a:ext cx="96011" cy="80758"/>
                    </a:xfrm>
                    <a:prstGeom prst="rect">
                      <a:avLst/>
                    </a:prstGeom>
                  </pic:spPr>
                </pic:pic>
              </a:graphicData>
            </a:graphic>
          </wp:anchor>
        </w:drawing>
      </w:r>
      <w:bookmarkStart w:name="e. Specific to student loan repayments, " w:id="689"/>
      <w:bookmarkEnd w:id="689"/>
      <w:r>
        <w:rPr/>
      </w:r>
      <w:r>
        <w:rPr/>
        <w:t>Specific to student loan repayments, the Commonwealth may only pay for each provider</w:t>
      </w:r>
      <w:r>
        <w:rPr>
          <w:spacing w:val="-4"/>
        </w:rPr>
        <w:t> </w:t>
      </w:r>
      <w:r>
        <w:rPr/>
        <w:t>an</w:t>
      </w:r>
      <w:r>
        <w:rPr>
          <w:spacing w:val="-1"/>
        </w:rPr>
        <w:t> </w:t>
      </w:r>
      <w:r>
        <w:rPr/>
        <w:t>amount</w:t>
      </w:r>
      <w:r>
        <w:rPr>
          <w:spacing w:val="-3"/>
        </w:rPr>
        <w:t> </w:t>
      </w:r>
      <w:r>
        <w:rPr/>
        <w:t>up</w:t>
      </w:r>
      <w:r>
        <w:rPr>
          <w:spacing w:val="-3"/>
        </w:rPr>
        <w:t> </w:t>
      </w:r>
      <w:r>
        <w:rPr/>
        <w:t>to</w:t>
      </w:r>
      <w:r>
        <w:rPr>
          <w:spacing w:val="-3"/>
        </w:rPr>
        <w:t> </w:t>
      </w:r>
      <w:r>
        <w:rPr/>
        <w:t>the</w:t>
      </w:r>
      <w:r>
        <w:rPr>
          <w:spacing w:val="-4"/>
        </w:rPr>
        <w:t> </w:t>
      </w:r>
      <w:r>
        <w:rPr/>
        <w:t>student</w:t>
      </w:r>
      <w:r>
        <w:rPr>
          <w:spacing w:val="-3"/>
        </w:rPr>
        <w:t> </w:t>
      </w:r>
      <w:r>
        <w:rPr/>
        <w:t>loan</w:t>
      </w:r>
      <w:r>
        <w:rPr>
          <w:spacing w:val="-3"/>
        </w:rPr>
        <w:t> </w:t>
      </w:r>
      <w:r>
        <w:rPr/>
        <w:t>amount</w:t>
      </w:r>
      <w:r>
        <w:rPr>
          <w:spacing w:val="-3"/>
        </w:rPr>
        <w:t> </w:t>
      </w:r>
      <w:r>
        <w:rPr/>
        <w:t>owed</w:t>
      </w:r>
      <w:r>
        <w:rPr>
          <w:spacing w:val="-3"/>
        </w:rPr>
        <w:t> </w:t>
      </w:r>
      <w:r>
        <w:rPr/>
        <w:t>by</w:t>
      </w:r>
      <w:r>
        <w:rPr>
          <w:spacing w:val="-7"/>
        </w:rPr>
        <w:t> </w:t>
      </w:r>
      <w:r>
        <w:rPr/>
        <w:t>the</w:t>
      </w:r>
      <w:r>
        <w:rPr>
          <w:spacing w:val="-4"/>
        </w:rPr>
        <w:t> </w:t>
      </w:r>
      <w:r>
        <w:rPr/>
        <w:t>provider.</w:t>
      </w:r>
      <w:r>
        <w:rPr>
          <w:spacing w:val="40"/>
        </w:rPr>
        <w:t> </w:t>
      </w:r>
      <w:r>
        <w:rPr/>
        <w:t>It</w:t>
      </w:r>
      <w:r>
        <w:rPr>
          <w:spacing w:val="-1"/>
        </w:rPr>
        <w:t> </w:t>
      </w:r>
      <w:r>
        <w:rPr/>
        <w:t>may</w:t>
      </w:r>
      <w:r>
        <w:rPr>
          <w:spacing w:val="-7"/>
        </w:rPr>
        <w:t> </w:t>
      </w:r>
      <w:r>
        <w:rPr/>
        <w:t>not pay an amount that exceeds an individual provider’s student loan.</w:t>
      </w:r>
      <w:r>
        <w:rPr>
          <w:spacing w:val="40"/>
        </w:rPr>
        <w:t> </w:t>
      </w:r>
      <w:r>
        <w:rPr/>
        <w:t>Provider</w:t>
      </w:r>
    </w:p>
    <w:p>
      <w:pPr>
        <w:spacing w:after="0"/>
        <w:sectPr>
          <w:pgSz w:w="12240" w:h="15840"/>
          <w:pgMar w:header="0" w:footer="1201" w:top="1360" w:bottom="1400" w:left="1200" w:right="400"/>
        </w:sectPr>
      </w:pPr>
    </w:p>
    <w:p>
      <w:pPr>
        <w:pStyle w:val="BodyText"/>
        <w:spacing w:before="79"/>
        <w:ind w:left="1411" w:right="1059"/>
      </w:pPr>
      <w:r>
        <w:rPr/>
        <w:t>applicants may be eligible for different amounts of loan repayment based on their discipline and credentialing level, as determined by the Commonwealth.</w:t>
      </w:r>
      <w:r>
        <w:rPr>
          <w:spacing w:val="40"/>
        </w:rPr>
        <w:t> </w:t>
      </w:r>
      <w:r>
        <w:rPr/>
        <w:t>Only the student</w:t>
      </w:r>
      <w:r>
        <w:rPr>
          <w:spacing w:val="-3"/>
        </w:rPr>
        <w:t> </w:t>
      </w:r>
      <w:r>
        <w:rPr/>
        <w:t>loan</w:t>
      </w:r>
      <w:r>
        <w:rPr>
          <w:spacing w:val="-3"/>
        </w:rPr>
        <w:t> </w:t>
      </w:r>
      <w:r>
        <w:rPr/>
        <w:t>for</w:t>
      </w:r>
      <w:r>
        <w:rPr>
          <w:spacing w:val="-4"/>
        </w:rPr>
        <w:t> </w:t>
      </w:r>
      <w:r>
        <w:rPr/>
        <w:t>educational</w:t>
      </w:r>
      <w:r>
        <w:rPr>
          <w:spacing w:val="-3"/>
        </w:rPr>
        <w:t> </w:t>
      </w:r>
      <w:r>
        <w:rPr/>
        <w:t>costs</w:t>
      </w:r>
      <w:r>
        <w:rPr>
          <w:spacing w:val="-3"/>
        </w:rPr>
        <w:t> </w:t>
      </w:r>
      <w:r>
        <w:rPr/>
        <w:t>associated</w:t>
      </w:r>
      <w:r>
        <w:rPr>
          <w:spacing w:val="-3"/>
        </w:rPr>
        <w:t> </w:t>
      </w:r>
      <w:r>
        <w:rPr/>
        <w:t>with</w:t>
      </w:r>
      <w:r>
        <w:rPr>
          <w:spacing w:val="-1"/>
        </w:rPr>
        <w:t> </w:t>
      </w:r>
      <w:r>
        <w:rPr/>
        <w:t>the</w:t>
      </w:r>
      <w:r>
        <w:rPr>
          <w:spacing w:val="-4"/>
        </w:rPr>
        <w:t> </w:t>
      </w:r>
      <w:r>
        <w:rPr/>
        <w:t>course</w:t>
      </w:r>
      <w:r>
        <w:rPr>
          <w:spacing w:val="-4"/>
        </w:rPr>
        <w:t> </w:t>
      </w:r>
      <w:r>
        <w:rPr/>
        <w:t>of</w:t>
      </w:r>
      <w:r>
        <w:rPr>
          <w:spacing w:val="-4"/>
        </w:rPr>
        <w:t> </w:t>
      </w:r>
      <w:r>
        <w:rPr/>
        <w:t>study</w:t>
      </w:r>
      <w:r>
        <w:rPr>
          <w:spacing w:val="-7"/>
        </w:rPr>
        <w:t> </w:t>
      </w:r>
      <w:r>
        <w:rPr/>
        <w:t>that</w:t>
      </w:r>
      <w:r>
        <w:rPr>
          <w:spacing w:val="-3"/>
        </w:rPr>
        <w:t> </w:t>
      </w:r>
      <w:r>
        <w:rPr/>
        <w:t>led</w:t>
      </w:r>
      <w:r>
        <w:rPr>
          <w:spacing w:val="-3"/>
        </w:rPr>
        <w:t> </w:t>
      </w:r>
      <w:r>
        <w:rPr/>
        <w:t>to</w:t>
      </w:r>
      <w:r>
        <w:rPr>
          <w:spacing w:val="-3"/>
        </w:rPr>
        <w:t> </w:t>
      </w:r>
      <w:r>
        <w:rPr/>
        <w:t>the highest degree earned as a prerequisite to obtaining the relevant clinical credential may</w:t>
      </w:r>
      <w:r>
        <w:rPr>
          <w:spacing w:val="-3"/>
        </w:rPr>
        <w:t> </w:t>
      </w:r>
      <w:r>
        <w:rPr/>
        <w:t>qualify</w:t>
      </w:r>
      <w:r>
        <w:rPr>
          <w:spacing w:val="-1"/>
        </w:rPr>
        <w:t> </w:t>
      </w:r>
      <w:r>
        <w:rPr/>
        <w:t>for reimbursement under one of the student loan repayment programs.</w:t>
      </w:r>
    </w:p>
    <w:p>
      <w:pPr>
        <w:pStyle w:val="BodyText"/>
        <w:spacing w:before="10"/>
        <w:rPr>
          <w:sz w:val="20"/>
        </w:rPr>
      </w:pPr>
    </w:p>
    <w:p>
      <w:pPr>
        <w:pStyle w:val="BodyText"/>
        <w:ind w:left="871" w:right="1059"/>
      </w:pPr>
      <w:r>
        <w:rPr/>
        <w:drawing>
          <wp:anchor distT="0" distB="0" distL="0" distR="0" allowOverlap="1" layoutInCell="1" locked="0" behindDoc="0" simplePos="0" relativeHeight="15956480">
            <wp:simplePos x="0" y="0"/>
            <wp:positionH relativeFrom="page">
              <wp:posOffset>908303</wp:posOffset>
            </wp:positionH>
            <wp:positionV relativeFrom="paragraph">
              <wp:posOffset>35612</wp:posOffset>
            </wp:positionV>
            <wp:extent cx="283463" cy="112763"/>
            <wp:effectExtent l="0" t="0" r="0" b="0"/>
            <wp:wrapNone/>
            <wp:docPr id="456" name="Image 456"/>
            <wp:cNvGraphicFramePr>
              <a:graphicFrameLocks/>
            </wp:cNvGraphicFramePr>
            <a:graphic>
              <a:graphicData uri="http://schemas.openxmlformats.org/drawingml/2006/picture">
                <pic:pic>
                  <pic:nvPicPr>
                    <pic:cNvPr id="456" name="Image 456"/>
                    <pic:cNvPicPr/>
                  </pic:nvPicPr>
                  <pic:blipFill>
                    <a:blip r:embed="rId198" cstate="print"/>
                    <a:stretch>
                      <a:fillRect/>
                    </a:stretch>
                  </pic:blipFill>
                  <pic:spPr>
                    <a:xfrm>
                      <a:off x="0" y="0"/>
                      <a:ext cx="283463" cy="112763"/>
                    </a:xfrm>
                    <a:prstGeom prst="rect">
                      <a:avLst/>
                    </a:prstGeom>
                  </pic:spPr>
                </pic:pic>
              </a:graphicData>
            </a:graphic>
          </wp:anchor>
        </w:drawing>
      </w:r>
      <w:bookmarkStart w:name="13.5. For Residency Programs, the Common" w:id="690"/>
      <w:bookmarkEnd w:id="690"/>
      <w:r>
        <w:rPr/>
      </w:r>
      <w:r>
        <w:rPr/>
        <w:t>For Residency Programs, the Commonwealth may only claim FFP for expenditures associated</w:t>
      </w:r>
      <w:r>
        <w:rPr>
          <w:spacing w:val="-2"/>
        </w:rPr>
        <w:t> </w:t>
      </w:r>
      <w:r>
        <w:rPr/>
        <w:t>with</w:t>
      </w:r>
      <w:r>
        <w:rPr>
          <w:spacing w:val="-2"/>
        </w:rPr>
        <w:t> </w:t>
      </w:r>
      <w:r>
        <w:rPr/>
        <w:t>residency</w:t>
      </w:r>
      <w:r>
        <w:rPr>
          <w:spacing w:val="-5"/>
        </w:rPr>
        <w:t> </w:t>
      </w:r>
      <w:r>
        <w:rPr/>
        <w:t>slots</w:t>
      </w:r>
      <w:r>
        <w:rPr>
          <w:spacing w:val="-2"/>
        </w:rPr>
        <w:t> </w:t>
      </w:r>
      <w:r>
        <w:rPr/>
        <w:t>that</w:t>
      </w:r>
      <w:r>
        <w:rPr>
          <w:spacing w:val="-2"/>
        </w:rPr>
        <w:t> </w:t>
      </w:r>
      <w:r>
        <w:rPr/>
        <w:t>are</w:t>
      </w:r>
      <w:r>
        <w:rPr>
          <w:spacing w:val="-3"/>
        </w:rPr>
        <w:t> </w:t>
      </w:r>
      <w:r>
        <w:rPr/>
        <w:t>filled</w:t>
      </w:r>
      <w:r>
        <w:rPr>
          <w:spacing w:val="-2"/>
        </w:rPr>
        <w:t> </w:t>
      </w:r>
      <w:r>
        <w:rPr/>
        <w:t>by</w:t>
      </w:r>
      <w:r>
        <w:rPr>
          <w:spacing w:val="-7"/>
        </w:rPr>
        <w:t> </w:t>
      </w:r>
      <w:r>
        <w:rPr/>
        <w:t>qualifying</w:t>
      </w:r>
      <w:r>
        <w:rPr>
          <w:spacing w:val="-5"/>
        </w:rPr>
        <w:t> </w:t>
      </w:r>
      <w:r>
        <w:rPr/>
        <w:t>providers.</w:t>
      </w:r>
      <w:r>
        <w:rPr>
          <w:spacing w:val="40"/>
        </w:rPr>
        <w:t> </w:t>
      </w:r>
      <w:r>
        <w:rPr/>
        <w:t>In</w:t>
      </w:r>
      <w:r>
        <w:rPr>
          <w:spacing w:val="-2"/>
        </w:rPr>
        <w:t> </w:t>
      </w:r>
      <w:r>
        <w:rPr/>
        <w:t>the</w:t>
      </w:r>
      <w:r>
        <w:rPr>
          <w:spacing w:val="-2"/>
        </w:rPr>
        <w:t> </w:t>
      </w:r>
      <w:r>
        <w:rPr/>
        <w:t>event</w:t>
      </w:r>
      <w:r>
        <w:rPr>
          <w:spacing w:val="-2"/>
        </w:rPr>
        <w:t> </w:t>
      </w:r>
      <w:r>
        <w:rPr/>
        <w:t>that</w:t>
      </w:r>
      <w:r>
        <w:rPr>
          <w:spacing w:val="-2"/>
        </w:rPr>
        <w:t> </w:t>
      </w:r>
      <w:r>
        <w:rPr/>
        <w:t>an individual residency slot is not filled for the entirety of a year, the slot payment is pro- rated for the portion of the year that the residency slot was occupied. If the payment is made at the start of the year and the slot becomes unfilled mid-year, MassHealth will provide for recoupment and return of FFP if the slot is not re-filled within one month.</w:t>
      </w:r>
    </w:p>
    <w:p>
      <w:pPr>
        <w:pStyle w:val="BodyText"/>
        <w:spacing w:before="10"/>
        <w:rPr>
          <w:sz w:val="20"/>
        </w:rPr>
      </w:pPr>
    </w:p>
    <w:p>
      <w:pPr>
        <w:pStyle w:val="BodyText"/>
        <w:ind w:left="871" w:right="1059"/>
      </w:pPr>
      <w:r>
        <w:rPr/>
        <w:drawing>
          <wp:anchor distT="0" distB="0" distL="0" distR="0" allowOverlap="1" layoutInCell="1" locked="0" behindDoc="0" simplePos="0" relativeHeight="15956992">
            <wp:simplePos x="0" y="0"/>
            <wp:positionH relativeFrom="page">
              <wp:posOffset>908303</wp:posOffset>
            </wp:positionH>
            <wp:positionV relativeFrom="paragraph">
              <wp:posOffset>35599</wp:posOffset>
            </wp:positionV>
            <wp:extent cx="283463" cy="112775"/>
            <wp:effectExtent l="0" t="0" r="0" b="0"/>
            <wp:wrapNone/>
            <wp:docPr id="457" name="Image 457"/>
            <wp:cNvGraphicFramePr>
              <a:graphicFrameLocks/>
            </wp:cNvGraphicFramePr>
            <a:graphic>
              <a:graphicData uri="http://schemas.openxmlformats.org/drawingml/2006/picture">
                <pic:pic>
                  <pic:nvPicPr>
                    <pic:cNvPr id="457" name="Image 457"/>
                    <pic:cNvPicPr/>
                  </pic:nvPicPr>
                  <pic:blipFill>
                    <a:blip r:embed="rId199" cstate="print"/>
                    <a:stretch>
                      <a:fillRect/>
                    </a:stretch>
                  </pic:blipFill>
                  <pic:spPr>
                    <a:xfrm>
                      <a:off x="0" y="0"/>
                      <a:ext cx="283463" cy="112775"/>
                    </a:xfrm>
                    <a:prstGeom prst="rect">
                      <a:avLst/>
                    </a:prstGeom>
                  </pic:spPr>
                </pic:pic>
              </a:graphicData>
            </a:graphic>
          </wp:anchor>
        </w:drawing>
      </w:r>
      <w:bookmarkStart w:name="13.6. MassHealth may claim expenditures " w:id="691"/>
      <w:bookmarkEnd w:id="691"/>
      <w:r>
        <w:rPr/>
      </w:r>
      <w:r>
        <w:rPr/>
        <w:t>MassHealth may</w:t>
      </w:r>
      <w:r>
        <w:rPr>
          <w:spacing w:val="-4"/>
        </w:rPr>
        <w:t> </w:t>
      </w:r>
      <w:r>
        <w:rPr/>
        <w:t>claim expenditures associated with the implementation of the Workforce Investment program, which are matchable as administrative expenditures, until no later than July 1, 2031, so long as the Commonwealth adheres with federal timely filing requirements.</w:t>
      </w:r>
      <w:r>
        <w:rPr>
          <w:spacing w:val="40"/>
        </w:rPr>
        <w:t> </w:t>
      </w:r>
      <w:r>
        <w:rPr/>
        <w:t>The expenditures will continue to be claimed on the CMS 64 on the specified waiver lines if the date where claims are made go beyond the demonstration period as part of this extension period.</w:t>
      </w:r>
      <w:r>
        <w:rPr>
          <w:spacing w:val="40"/>
        </w:rPr>
        <w:t> </w:t>
      </w:r>
      <w:r>
        <w:rPr/>
        <w:t>Allowable administrative expenditures under this authority include the specific costs of student loan repayments and residency slot payments,</w:t>
      </w:r>
      <w:r>
        <w:rPr>
          <w:spacing w:val="-3"/>
        </w:rPr>
        <w:t> </w:t>
      </w:r>
      <w:r>
        <w:rPr/>
        <w:t>as</w:t>
      </w:r>
      <w:r>
        <w:rPr>
          <w:spacing w:val="-3"/>
        </w:rPr>
        <w:t> </w:t>
      </w:r>
      <w:r>
        <w:rPr/>
        <w:t>well</w:t>
      </w:r>
      <w:r>
        <w:rPr>
          <w:spacing w:val="-3"/>
        </w:rPr>
        <w:t> </w:t>
      </w:r>
      <w:r>
        <w:rPr/>
        <w:t>as</w:t>
      </w:r>
      <w:r>
        <w:rPr>
          <w:spacing w:val="-3"/>
        </w:rPr>
        <w:t> </w:t>
      </w:r>
      <w:r>
        <w:rPr/>
        <w:t>the</w:t>
      </w:r>
      <w:r>
        <w:rPr>
          <w:spacing w:val="-2"/>
        </w:rPr>
        <w:t> </w:t>
      </w:r>
      <w:r>
        <w:rPr/>
        <w:t>costs</w:t>
      </w:r>
      <w:r>
        <w:rPr>
          <w:spacing w:val="-3"/>
        </w:rPr>
        <w:t> </w:t>
      </w:r>
      <w:r>
        <w:rPr/>
        <w:t>for</w:t>
      </w:r>
      <w:r>
        <w:rPr>
          <w:spacing w:val="-4"/>
        </w:rPr>
        <w:t> </w:t>
      </w:r>
      <w:r>
        <w:rPr/>
        <w:t>monitoring</w:t>
      </w:r>
      <w:r>
        <w:rPr>
          <w:spacing w:val="-6"/>
        </w:rPr>
        <w:t> </w:t>
      </w:r>
      <w:r>
        <w:rPr/>
        <w:t>the</w:t>
      </w:r>
      <w:r>
        <w:rPr>
          <w:spacing w:val="-4"/>
        </w:rPr>
        <w:t> </w:t>
      </w:r>
      <w:r>
        <w:rPr/>
        <w:t>service</w:t>
      </w:r>
      <w:r>
        <w:rPr>
          <w:spacing w:val="-2"/>
        </w:rPr>
        <w:t> </w:t>
      </w:r>
      <w:r>
        <w:rPr/>
        <w:t>commitments</w:t>
      </w:r>
      <w:r>
        <w:rPr>
          <w:spacing w:val="-3"/>
        </w:rPr>
        <w:t> </w:t>
      </w:r>
      <w:r>
        <w:rPr/>
        <w:t>of</w:t>
      </w:r>
      <w:r>
        <w:rPr>
          <w:spacing w:val="-4"/>
        </w:rPr>
        <w:t> </w:t>
      </w:r>
      <w:r>
        <w:rPr/>
        <w:t>providers</w:t>
      </w:r>
      <w:r>
        <w:rPr>
          <w:spacing w:val="-3"/>
        </w:rPr>
        <w:t> </w:t>
      </w:r>
      <w:r>
        <w:rPr/>
        <w:t>for</w:t>
      </w:r>
      <w:r>
        <w:rPr>
          <w:spacing w:val="-4"/>
        </w:rPr>
        <w:t> </w:t>
      </w:r>
      <w:r>
        <w:rPr/>
        <w:t>the repayment programs, as applicable.</w:t>
      </w:r>
      <w:r>
        <w:rPr>
          <w:spacing w:val="40"/>
        </w:rPr>
        <w:t> </w:t>
      </w:r>
      <w:r>
        <w:rPr/>
        <w:t>However, no payments for student loans or residency slots may be made following the demonstration period's expiration (December 31, 2027); any claimed expenditures after this date through July 1, 2031 must be only to pay close- out administrative costs of operating the program and monitoring service commitments.</w:t>
      </w:r>
    </w:p>
    <w:p>
      <w:pPr>
        <w:pStyle w:val="BodyText"/>
        <w:spacing w:before="10"/>
        <w:rPr>
          <w:sz w:val="20"/>
        </w:rPr>
      </w:pPr>
    </w:p>
    <w:p>
      <w:pPr>
        <w:pStyle w:val="BodyText"/>
        <w:ind w:left="871" w:right="1141"/>
      </w:pPr>
      <w:r>
        <w:rPr/>
        <w:drawing>
          <wp:anchor distT="0" distB="0" distL="0" distR="0" allowOverlap="1" layoutInCell="1" locked="0" behindDoc="0" simplePos="0" relativeHeight="15957504">
            <wp:simplePos x="0" y="0"/>
            <wp:positionH relativeFrom="page">
              <wp:posOffset>908303</wp:posOffset>
            </wp:positionH>
            <wp:positionV relativeFrom="paragraph">
              <wp:posOffset>35599</wp:posOffset>
            </wp:positionV>
            <wp:extent cx="283463" cy="112775"/>
            <wp:effectExtent l="0" t="0" r="0" b="0"/>
            <wp:wrapNone/>
            <wp:docPr id="458" name="Image 458"/>
            <wp:cNvGraphicFramePr>
              <a:graphicFrameLocks/>
            </wp:cNvGraphicFramePr>
            <a:graphic>
              <a:graphicData uri="http://schemas.openxmlformats.org/drawingml/2006/picture">
                <pic:pic>
                  <pic:nvPicPr>
                    <pic:cNvPr id="458" name="Image 458"/>
                    <pic:cNvPicPr/>
                  </pic:nvPicPr>
                  <pic:blipFill>
                    <a:blip r:embed="rId200" cstate="print"/>
                    <a:stretch>
                      <a:fillRect/>
                    </a:stretch>
                  </pic:blipFill>
                  <pic:spPr>
                    <a:xfrm>
                      <a:off x="0" y="0"/>
                      <a:ext cx="283463" cy="112775"/>
                    </a:xfrm>
                    <a:prstGeom prst="rect">
                      <a:avLst/>
                    </a:prstGeom>
                  </pic:spPr>
                </pic:pic>
              </a:graphicData>
            </a:graphic>
          </wp:anchor>
        </w:drawing>
      </w:r>
      <w:bookmarkStart w:name="13.7. Across all the student loan repaym" w:id="692"/>
      <w:bookmarkEnd w:id="692"/>
      <w:r>
        <w:rPr/>
      </w:r>
      <w:r>
        <w:rPr/>
        <w:t>Across all the student loan repayment and residency programs, the Commonwealth will define</w:t>
      </w:r>
      <w:r>
        <w:rPr>
          <w:spacing w:val="-1"/>
        </w:rPr>
        <w:t> </w:t>
      </w:r>
      <w:r>
        <w:rPr/>
        <w:t>application criteria</w:t>
      </w:r>
      <w:r>
        <w:rPr>
          <w:spacing w:val="-1"/>
        </w:rPr>
        <w:t> </w:t>
      </w:r>
      <w:r>
        <w:rPr/>
        <w:t>and eligibility, and then select awardees through a</w:t>
      </w:r>
      <w:r>
        <w:rPr>
          <w:spacing w:val="-1"/>
        </w:rPr>
        <w:t> </w:t>
      </w:r>
      <w:r>
        <w:rPr/>
        <w:t>competitive process that will allow the State to evaluate the applicants relative to the criteria established.</w:t>
      </w:r>
      <w:r>
        <w:rPr>
          <w:spacing w:val="-4"/>
        </w:rPr>
        <w:t> </w:t>
      </w:r>
      <w:r>
        <w:rPr/>
        <w:t>MassHealth</w:t>
      </w:r>
      <w:r>
        <w:rPr>
          <w:spacing w:val="-4"/>
        </w:rPr>
        <w:t> </w:t>
      </w:r>
      <w:r>
        <w:rPr/>
        <w:t>may</w:t>
      </w:r>
      <w:r>
        <w:rPr>
          <w:spacing w:val="-9"/>
        </w:rPr>
        <w:t> </w:t>
      </w:r>
      <w:r>
        <w:rPr/>
        <w:t>prioritize</w:t>
      </w:r>
      <w:r>
        <w:rPr>
          <w:spacing w:val="-5"/>
        </w:rPr>
        <w:t> </w:t>
      </w:r>
      <w:r>
        <w:rPr/>
        <w:t>clinicians</w:t>
      </w:r>
      <w:r>
        <w:rPr>
          <w:spacing w:val="-4"/>
        </w:rPr>
        <w:t> </w:t>
      </w:r>
      <w:r>
        <w:rPr/>
        <w:t>with</w:t>
      </w:r>
      <w:r>
        <w:rPr>
          <w:spacing w:val="-4"/>
        </w:rPr>
        <w:t> </w:t>
      </w:r>
      <w:r>
        <w:rPr/>
        <w:t>cultural</w:t>
      </w:r>
      <w:r>
        <w:rPr>
          <w:spacing w:val="-4"/>
        </w:rPr>
        <w:t> </w:t>
      </w:r>
      <w:r>
        <w:rPr/>
        <w:t>and</w:t>
      </w:r>
      <w:r>
        <w:rPr>
          <w:spacing w:val="-4"/>
        </w:rPr>
        <w:t> </w:t>
      </w:r>
      <w:r>
        <w:rPr/>
        <w:t>linguistic</w:t>
      </w:r>
      <w:r>
        <w:rPr>
          <w:spacing w:val="-5"/>
        </w:rPr>
        <w:t> </w:t>
      </w:r>
      <w:r>
        <w:rPr/>
        <w:t>competence that is likely to reflect and respond to the needs of the MassHealth population.</w:t>
      </w:r>
      <w:r>
        <w:rPr>
          <w:spacing w:val="40"/>
        </w:rPr>
        <w:t> </w:t>
      </w:r>
      <w:r>
        <w:rPr/>
        <w:t>The criteria must follow federal civil rights law and not impermissibly</w:t>
      </w:r>
      <w:r>
        <w:rPr>
          <w:spacing w:val="-4"/>
        </w:rPr>
        <w:t> </w:t>
      </w:r>
      <w:r>
        <w:rPr/>
        <w:t>discriminate based on race, ethnicity, national origin, or any</w:t>
      </w:r>
      <w:r>
        <w:rPr>
          <w:spacing w:val="-3"/>
        </w:rPr>
        <w:t> </w:t>
      </w:r>
      <w:r>
        <w:rPr/>
        <w:t>other federally</w:t>
      </w:r>
      <w:r>
        <w:rPr>
          <w:spacing w:val="-3"/>
        </w:rPr>
        <w:t> </w:t>
      </w:r>
      <w:r>
        <w:rPr/>
        <w:t>protected classes or characteristics.</w:t>
      </w:r>
    </w:p>
    <w:p>
      <w:pPr>
        <w:spacing w:after="0"/>
        <w:sectPr>
          <w:pgSz w:w="12240" w:h="15840"/>
          <w:pgMar w:header="0" w:footer="1201" w:top="1360" w:bottom="1400" w:left="1200" w:right="400"/>
        </w:sectPr>
      </w:pPr>
    </w:p>
    <w:p>
      <w:pPr>
        <w:pStyle w:val="BodyText"/>
        <w:spacing w:before="79"/>
        <w:ind w:left="871" w:right="1059"/>
      </w:pPr>
      <w:r>
        <w:rPr/>
        <w:drawing>
          <wp:anchor distT="0" distB="0" distL="0" distR="0" allowOverlap="1" layoutInCell="1" locked="0" behindDoc="0" simplePos="0" relativeHeight="15958016">
            <wp:simplePos x="0" y="0"/>
            <wp:positionH relativeFrom="page">
              <wp:posOffset>908303</wp:posOffset>
            </wp:positionH>
            <wp:positionV relativeFrom="paragraph">
              <wp:posOffset>85777</wp:posOffset>
            </wp:positionV>
            <wp:extent cx="283463" cy="112763"/>
            <wp:effectExtent l="0" t="0" r="0" b="0"/>
            <wp:wrapNone/>
            <wp:docPr id="459" name="Image 459"/>
            <wp:cNvGraphicFramePr>
              <a:graphicFrameLocks/>
            </wp:cNvGraphicFramePr>
            <a:graphic>
              <a:graphicData uri="http://schemas.openxmlformats.org/drawingml/2006/picture">
                <pic:pic>
                  <pic:nvPicPr>
                    <pic:cNvPr id="459" name="Image 459"/>
                    <pic:cNvPicPr/>
                  </pic:nvPicPr>
                  <pic:blipFill>
                    <a:blip r:embed="rId201" cstate="print"/>
                    <a:stretch>
                      <a:fillRect/>
                    </a:stretch>
                  </pic:blipFill>
                  <pic:spPr>
                    <a:xfrm>
                      <a:off x="0" y="0"/>
                      <a:ext cx="283463" cy="112763"/>
                    </a:xfrm>
                    <a:prstGeom prst="rect">
                      <a:avLst/>
                    </a:prstGeom>
                  </pic:spPr>
                </pic:pic>
              </a:graphicData>
            </a:graphic>
          </wp:anchor>
        </w:drawing>
      </w:r>
      <w:bookmarkStart w:name="13.8. The funding table below shows the " w:id="693"/>
      <w:bookmarkEnd w:id="693"/>
      <w:r>
        <w:rPr/>
      </w:r>
      <w:r>
        <w:rPr/>
        <w:t>The</w:t>
      </w:r>
      <w:r>
        <w:rPr>
          <w:spacing w:val="-4"/>
        </w:rPr>
        <w:t> </w:t>
      </w:r>
      <w:r>
        <w:rPr/>
        <w:t>funding</w:t>
      </w:r>
      <w:r>
        <w:rPr>
          <w:spacing w:val="-6"/>
        </w:rPr>
        <w:t> </w:t>
      </w:r>
      <w:r>
        <w:rPr/>
        <w:t>table</w:t>
      </w:r>
      <w:r>
        <w:rPr>
          <w:spacing w:val="-4"/>
        </w:rPr>
        <w:t> </w:t>
      </w:r>
      <w:r>
        <w:rPr/>
        <w:t>below</w:t>
      </w:r>
      <w:r>
        <w:rPr>
          <w:spacing w:val="-3"/>
        </w:rPr>
        <w:t> </w:t>
      </w:r>
      <w:r>
        <w:rPr/>
        <w:t>shows</w:t>
      </w:r>
      <w:r>
        <w:rPr>
          <w:spacing w:val="-4"/>
        </w:rPr>
        <w:t> </w:t>
      </w:r>
      <w:r>
        <w:rPr/>
        <w:t>the</w:t>
      </w:r>
      <w:r>
        <w:rPr>
          <w:spacing w:val="-4"/>
        </w:rPr>
        <w:t> </w:t>
      </w:r>
      <w:r>
        <w:rPr/>
        <w:t>maximum</w:t>
      </w:r>
      <w:r>
        <w:rPr>
          <w:spacing w:val="-4"/>
        </w:rPr>
        <w:t> </w:t>
      </w:r>
      <w:r>
        <w:rPr/>
        <w:t>amount</w:t>
      </w:r>
      <w:r>
        <w:rPr>
          <w:spacing w:val="-4"/>
        </w:rPr>
        <w:t> </w:t>
      </w:r>
      <w:r>
        <w:rPr/>
        <w:t>of</w:t>
      </w:r>
      <w:r>
        <w:rPr>
          <w:spacing w:val="-4"/>
        </w:rPr>
        <w:t> </w:t>
      </w:r>
      <w:r>
        <w:rPr/>
        <w:t>funding</w:t>
      </w:r>
      <w:r>
        <w:rPr>
          <w:spacing w:val="-4"/>
        </w:rPr>
        <w:t> </w:t>
      </w:r>
      <w:r>
        <w:rPr/>
        <w:t>for</w:t>
      </w:r>
      <w:r>
        <w:rPr>
          <w:spacing w:val="-4"/>
        </w:rPr>
        <w:t> </w:t>
      </w:r>
      <w:r>
        <w:rPr/>
        <w:t>each</w:t>
      </w:r>
      <w:r>
        <w:rPr>
          <w:spacing w:val="-2"/>
        </w:rPr>
        <w:t> </w:t>
      </w:r>
      <w:r>
        <w:rPr/>
        <w:t>workforce initiative (including 15% administrative costs) by demonstration year.</w:t>
      </w:r>
    </w:p>
    <w:p>
      <w:pPr>
        <w:pStyle w:val="BodyText"/>
        <w:spacing w:before="11"/>
        <w:rPr>
          <w:sz w:val="20"/>
        </w:rPr>
      </w:pPr>
    </w:p>
    <w:tbl>
      <w:tblPr>
        <w:tblW w:w="0" w:type="auto"/>
        <w:jc w:val="left"/>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84"/>
        <w:gridCol w:w="1200"/>
        <w:gridCol w:w="1200"/>
        <w:gridCol w:w="1200"/>
        <w:gridCol w:w="1200"/>
        <w:gridCol w:w="1200"/>
        <w:gridCol w:w="1200"/>
      </w:tblGrid>
      <w:tr>
        <w:trPr>
          <w:trHeight w:val="431" w:hRule="atLeast"/>
        </w:trPr>
        <w:tc>
          <w:tcPr>
            <w:tcW w:w="10284" w:type="dxa"/>
            <w:gridSpan w:val="7"/>
            <w:shd w:val="clear" w:color="auto" w:fill="DBE4F0"/>
          </w:tcPr>
          <w:p>
            <w:pPr>
              <w:pStyle w:val="TableParagraph"/>
              <w:spacing w:before="89"/>
              <w:ind w:left="2530" w:right="2521"/>
              <w:jc w:val="center"/>
              <w:rPr>
                <w:b/>
                <w:sz w:val="22"/>
              </w:rPr>
            </w:pPr>
            <w:r>
              <w:rPr>
                <w:b/>
                <w:sz w:val="22"/>
              </w:rPr>
              <w:t>Table</w:t>
            </w:r>
            <w:r>
              <w:rPr>
                <w:b/>
                <w:spacing w:val="-4"/>
                <w:sz w:val="22"/>
              </w:rPr>
              <w:t> </w:t>
            </w:r>
            <w:r>
              <w:rPr>
                <w:b/>
                <w:sz w:val="22"/>
              </w:rPr>
              <w:t>12:</w:t>
            </w:r>
            <w:r>
              <w:rPr>
                <w:b/>
                <w:spacing w:val="-2"/>
                <w:sz w:val="22"/>
              </w:rPr>
              <w:t> </w:t>
            </w:r>
            <w:r>
              <w:rPr>
                <w:b/>
                <w:sz w:val="22"/>
              </w:rPr>
              <w:t>Workforce</w:t>
            </w:r>
            <w:r>
              <w:rPr>
                <w:b/>
                <w:spacing w:val="-6"/>
                <w:sz w:val="22"/>
              </w:rPr>
              <w:t> </w:t>
            </w:r>
            <w:r>
              <w:rPr>
                <w:b/>
                <w:sz w:val="22"/>
              </w:rPr>
              <w:t>Funding</w:t>
            </w:r>
            <w:r>
              <w:rPr>
                <w:b/>
                <w:spacing w:val="-3"/>
                <w:sz w:val="22"/>
              </w:rPr>
              <w:t> </w:t>
            </w:r>
            <w:r>
              <w:rPr>
                <w:b/>
                <w:sz w:val="22"/>
              </w:rPr>
              <w:t>by</w:t>
            </w:r>
            <w:r>
              <w:rPr>
                <w:b/>
                <w:spacing w:val="-4"/>
                <w:sz w:val="22"/>
              </w:rPr>
              <w:t> </w:t>
            </w:r>
            <w:r>
              <w:rPr>
                <w:b/>
                <w:sz w:val="22"/>
              </w:rPr>
              <w:t>Initiative</w:t>
            </w:r>
            <w:r>
              <w:rPr>
                <w:b/>
                <w:spacing w:val="-3"/>
                <w:sz w:val="22"/>
              </w:rPr>
              <w:t> </w:t>
            </w:r>
            <w:r>
              <w:rPr>
                <w:b/>
                <w:sz w:val="22"/>
              </w:rPr>
              <w:t>(in</w:t>
            </w:r>
            <w:r>
              <w:rPr>
                <w:b/>
                <w:spacing w:val="-4"/>
                <w:sz w:val="22"/>
              </w:rPr>
              <w:t> </w:t>
            </w:r>
            <w:r>
              <w:rPr>
                <w:b/>
                <w:spacing w:val="-2"/>
                <w:sz w:val="22"/>
              </w:rPr>
              <w:t>Millions)</w:t>
            </w:r>
          </w:p>
        </w:tc>
      </w:tr>
      <w:tr>
        <w:trPr>
          <w:trHeight w:val="431" w:hRule="atLeast"/>
        </w:trPr>
        <w:tc>
          <w:tcPr>
            <w:tcW w:w="3084" w:type="dxa"/>
            <w:shd w:val="clear" w:color="auto" w:fill="DBE4F0"/>
          </w:tcPr>
          <w:p>
            <w:pPr>
              <w:pStyle w:val="TableParagraph"/>
              <w:rPr>
                <w:sz w:val="22"/>
              </w:rPr>
            </w:pPr>
          </w:p>
        </w:tc>
        <w:tc>
          <w:tcPr>
            <w:tcW w:w="1200" w:type="dxa"/>
            <w:shd w:val="clear" w:color="auto" w:fill="DBE4F0"/>
          </w:tcPr>
          <w:p>
            <w:pPr>
              <w:pStyle w:val="TableParagraph"/>
              <w:spacing w:before="92"/>
              <w:ind w:left="302"/>
              <w:rPr>
                <w:b/>
                <w:sz w:val="22"/>
              </w:rPr>
            </w:pPr>
            <w:r>
              <w:rPr>
                <w:b/>
                <w:sz w:val="22"/>
              </w:rPr>
              <w:t>DY</w:t>
            </w:r>
            <w:r>
              <w:rPr>
                <w:b/>
                <w:spacing w:val="-1"/>
                <w:sz w:val="22"/>
              </w:rPr>
              <w:t> </w:t>
            </w:r>
            <w:r>
              <w:rPr>
                <w:b/>
                <w:spacing w:val="-5"/>
                <w:sz w:val="22"/>
              </w:rPr>
              <w:t>28</w:t>
            </w:r>
          </w:p>
        </w:tc>
        <w:tc>
          <w:tcPr>
            <w:tcW w:w="1200" w:type="dxa"/>
            <w:shd w:val="clear" w:color="auto" w:fill="DBE4F0"/>
          </w:tcPr>
          <w:p>
            <w:pPr>
              <w:pStyle w:val="TableParagraph"/>
              <w:spacing w:before="92"/>
              <w:ind w:left="185" w:right="176"/>
              <w:jc w:val="center"/>
              <w:rPr>
                <w:b/>
                <w:sz w:val="22"/>
              </w:rPr>
            </w:pPr>
            <w:r>
              <w:rPr>
                <w:b/>
                <w:sz w:val="22"/>
              </w:rPr>
              <w:t>DY</w:t>
            </w:r>
            <w:r>
              <w:rPr>
                <w:b/>
                <w:spacing w:val="-1"/>
                <w:sz w:val="22"/>
              </w:rPr>
              <w:t> </w:t>
            </w:r>
            <w:r>
              <w:rPr>
                <w:b/>
                <w:spacing w:val="-5"/>
                <w:sz w:val="22"/>
              </w:rPr>
              <w:t>29</w:t>
            </w:r>
          </w:p>
        </w:tc>
        <w:tc>
          <w:tcPr>
            <w:tcW w:w="1200" w:type="dxa"/>
            <w:shd w:val="clear" w:color="auto" w:fill="DBE4F0"/>
          </w:tcPr>
          <w:p>
            <w:pPr>
              <w:pStyle w:val="TableParagraph"/>
              <w:spacing w:before="92"/>
              <w:ind w:left="185" w:right="176"/>
              <w:jc w:val="center"/>
              <w:rPr>
                <w:b/>
                <w:sz w:val="22"/>
              </w:rPr>
            </w:pPr>
            <w:r>
              <w:rPr>
                <w:b/>
                <w:sz w:val="22"/>
              </w:rPr>
              <w:t>DY</w:t>
            </w:r>
            <w:r>
              <w:rPr>
                <w:b/>
                <w:spacing w:val="-1"/>
                <w:sz w:val="22"/>
              </w:rPr>
              <w:t> </w:t>
            </w:r>
            <w:r>
              <w:rPr>
                <w:b/>
                <w:spacing w:val="-5"/>
                <w:sz w:val="22"/>
              </w:rPr>
              <w:t>30</w:t>
            </w:r>
          </w:p>
        </w:tc>
        <w:tc>
          <w:tcPr>
            <w:tcW w:w="1200" w:type="dxa"/>
            <w:shd w:val="clear" w:color="auto" w:fill="DBE4F0"/>
          </w:tcPr>
          <w:p>
            <w:pPr>
              <w:pStyle w:val="TableParagraph"/>
              <w:spacing w:before="92"/>
              <w:ind w:left="185" w:right="176"/>
              <w:jc w:val="center"/>
              <w:rPr>
                <w:b/>
                <w:sz w:val="22"/>
              </w:rPr>
            </w:pPr>
            <w:r>
              <w:rPr>
                <w:b/>
                <w:sz w:val="22"/>
              </w:rPr>
              <w:t>DY</w:t>
            </w:r>
            <w:r>
              <w:rPr>
                <w:b/>
                <w:spacing w:val="-1"/>
                <w:sz w:val="22"/>
              </w:rPr>
              <w:t> </w:t>
            </w:r>
            <w:r>
              <w:rPr>
                <w:b/>
                <w:spacing w:val="-5"/>
                <w:sz w:val="22"/>
              </w:rPr>
              <w:t>31</w:t>
            </w:r>
          </w:p>
        </w:tc>
        <w:tc>
          <w:tcPr>
            <w:tcW w:w="1200" w:type="dxa"/>
            <w:shd w:val="clear" w:color="auto" w:fill="DBE4F0"/>
          </w:tcPr>
          <w:p>
            <w:pPr>
              <w:pStyle w:val="TableParagraph"/>
              <w:spacing w:before="92"/>
              <w:ind w:left="186" w:right="175"/>
              <w:jc w:val="center"/>
              <w:rPr>
                <w:b/>
                <w:sz w:val="22"/>
              </w:rPr>
            </w:pPr>
            <w:r>
              <w:rPr>
                <w:b/>
                <w:spacing w:val="-4"/>
                <w:sz w:val="22"/>
              </w:rPr>
              <w:t>DY32</w:t>
            </w:r>
          </w:p>
        </w:tc>
        <w:tc>
          <w:tcPr>
            <w:tcW w:w="1200" w:type="dxa"/>
            <w:shd w:val="clear" w:color="auto" w:fill="DBE4F0"/>
          </w:tcPr>
          <w:p>
            <w:pPr>
              <w:pStyle w:val="TableParagraph"/>
              <w:spacing w:before="92"/>
              <w:ind w:left="347"/>
              <w:rPr>
                <w:b/>
                <w:sz w:val="22"/>
              </w:rPr>
            </w:pPr>
            <w:r>
              <w:rPr>
                <w:b/>
                <w:spacing w:val="-2"/>
                <w:sz w:val="22"/>
              </w:rPr>
              <w:t>Total</w:t>
            </w:r>
          </w:p>
        </w:tc>
      </w:tr>
      <w:tr>
        <w:trPr>
          <w:trHeight w:val="505" w:hRule="atLeast"/>
        </w:trPr>
        <w:tc>
          <w:tcPr>
            <w:tcW w:w="3084" w:type="dxa"/>
          </w:tcPr>
          <w:p>
            <w:pPr>
              <w:pStyle w:val="TableParagraph"/>
              <w:spacing w:line="254" w:lineRule="exact"/>
              <w:ind w:left="107"/>
              <w:rPr>
                <w:sz w:val="22"/>
              </w:rPr>
            </w:pPr>
            <w:r>
              <w:rPr>
                <w:sz w:val="22"/>
              </w:rPr>
              <w:t>Behavioral</w:t>
            </w:r>
            <w:r>
              <w:rPr>
                <w:spacing w:val="-12"/>
                <w:sz w:val="22"/>
              </w:rPr>
              <w:t> </w:t>
            </w:r>
            <w:r>
              <w:rPr>
                <w:sz w:val="22"/>
              </w:rPr>
              <w:t>Health</w:t>
            </w:r>
            <w:r>
              <w:rPr>
                <w:spacing w:val="-12"/>
                <w:sz w:val="22"/>
              </w:rPr>
              <w:t> </w:t>
            </w:r>
            <w:r>
              <w:rPr>
                <w:sz w:val="22"/>
              </w:rPr>
              <w:t>Student</w:t>
            </w:r>
            <w:r>
              <w:rPr>
                <w:spacing w:val="-14"/>
                <w:sz w:val="22"/>
              </w:rPr>
              <w:t> </w:t>
            </w:r>
            <w:r>
              <w:rPr>
                <w:sz w:val="22"/>
              </w:rPr>
              <w:t>Loan </w:t>
            </w:r>
            <w:r>
              <w:rPr>
                <w:spacing w:val="-2"/>
                <w:sz w:val="22"/>
              </w:rPr>
              <w:t>Repayment</w:t>
            </w:r>
          </w:p>
        </w:tc>
        <w:tc>
          <w:tcPr>
            <w:tcW w:w="1200" w:type="dxa"/>
          </w:tcPr>
          <w:p>
            <w:pPr>
              <w:pStyle w:val="TableParagraph"/>
              <w:spacing w:before="125"/>
              <w:ind w:left="254"/>
              <w:rPr>
                <w:sz w:val="22"/>
              </w:rPr>
            </w:pPr>
            <w:r>
              <w:rPr>
                <w:spacing w:val="-2"/>
                <w:sz w:val="22"/>
              </w:rPr>
              <w:t>$2.50M</w:t>
            </w:r>
          </w:p>
        </w:tc>
        <w:tc>
          <w:tcPr>
            <w:tcW w:w="1200" w:type="dxa"/>
          </w:tcPr>
          <w:p>
            <w:pPr>
              <w:pStyle w:val="TableParagraph"/>
              <w:spacing w:before="125"/>
              <w:ind w:left="186" w:right="175"/>
              <w:jc w:val="center"/>
              <w:rPr>
                <w:sz w:val="22"/>
              </w:rPr>
            </w:pPr>
            <w:r>
              <w:rPr>
                <w:spacing w:val="-2"/>
                <w:sz w:val="22"/>
              </w:rPr>
              <w:t>$5.00M</w:t>
            </w:r>
          </w:p>
        </w:tc>
        <w:tc>
          <w:tcPr>
            <w:tcW w:w="1200" w:type="dxa"/>
          </w:tcPr>
          <w:p>
            <w:pPr>
              <w:pStyle w:val="TableParagraph"/>
              <w:spacing w:before="125"/>
              <w:ind w:left="186" w:right="176"/>
              <w:jc w:val="center"/>
              <w:rPr>
                <w:sz w:val="22"/>
              </w:rPr>
            </w:pPr>
            <w:r>
              <w:rPr>
                <w:spacing w:val="-2"/>
                <w:sz w:val="22"/>
              </w:rPr>
              <w:t>$5.00M</w:t>
            </w:r>
          </w:p>
        </w:tc>
        <w:tc>
          <w:tcPr>
            <w:tcW w:w="1200" w:type="dxa"/>
          </w:tcPr>
          <w:p>
            <w:pPr>
              <w:pStyle w:val="TableParagraph"/>
              <w:spacing w:before="125"/>
              <w:ind w:left="186" w:right="176"/>
              <w:jc w:val="center"/>
              <w:rPr>
                <w:sz w:val="22"/>
              </w:rPr>
            </w:pPr>
            <w:r>
              <w:rPr>
                <w:spacing w:val="-2"/>
                <w:sz w:val="22"/>
              </w:rPr>
              <w:t>$5.00M</w:t>
            </w:r>
          </w:p>
        </w:tc>
        <w:tc>
          <w:tcPr>
            <w:tcW w:w="1200" w:type="dxa"/>
          </w:tcPr>
          <w:p>
            <w:pPr>
              <w:pStyle w:val="TableParagraph"/>
              <w:spacing w:before="125"/>
              <w:ind w:left="186" w:right="176"/>
              <w:jc w:val="center"/>
              <w:rPr>
                <w:sz w:val="22"/>
              </w:rPr>
            </w:pPr>
            <w:r>
              <w:rPr>
                <w:spacing w:val="-2"/>
                <w:sz w:val="22"/>
              </w:rPr>
              <w:t>$2.50M</w:t>
            </w:r>
          </w:p>
        </w:tc>
        <w:tc>
          <w:tcPr>
            <w:tcW w:w="1200" w:type="dxa"/>
          </w:tcPr>
          <w:p>
            <w:pPr>
              <w:pStyle w:val="TableParagraph"/>
              <w:spacing w:before="125"/>
              <w:ind w:left="198"/>
              <w:rPr>
                <w:sz w:val="22"/>
              </w:rPr>
            </w:pPr>
            <w:r>
              <w:rPr>
                <w:spacing w:val="-2"/>
                <w:sz w:val="22"/>
              </w:rPr>
              <w:t>$20.00M</w:t>
            </w:r>
          </w:p>
        </w:tc>
      </w:tr>
      <w:tr>
        <w:trPr>
          <w:trHeight w:val="504" w:hRule="atLeast"/>
        </w:trPr>
        <w:tc>
          <w:tcPr>
            <w:tcW w:w="3084" w:type="dxa"/>
          </w:tcPr>
          <w:p>
            <w:pPr>
              <w:pStyle w:val="TableParagraph"/>
              <w:spacing w:line="249" w:lineRule="exact"/>
              <w:ind w:left="107"/>
              <w:rPr>
                <w:sz w:val="22"/>
              </w:rPr>
            </w:pPr>
            <w:r>
              <w:rPr>
                <w:sz w:val="22"/>
              </w:rPr>
              <w:t>Primary</w:t>
            </w:r>
            <w:r>
              <w:rPr>
                <w:spacing w:val="-9"/>
                <w:sz w:val="22"/>
              </w:rPr>
              <w:t> </w:t>
            </w:r>
            <w:r>
              <w:rPr>
                <w:sz w:val="22"/>
              </w:rPr>
              <w:t>Care</w:t>
            </w:r>
            <w:r>
              <w:rPr>
                <w:spacing w:val="-4"/>
                <w:sz w:val="22"/>
              </w:rPr>
              <w:t> </w:t>
            </w:r>
            <w:r>
              <w:rPr>
                <w:sz w:val="22"/>
              </w:rPr>
              <w:t>Student</w:t>
            </w:r>
            <w:r>
              <w:rPr>
                <w:spacing w:val="-2"/>
                <w:sz w:val="22"/>
              </w:rPr>
              <w:t> </w:t>
            </w:r>
            <w:r>
              <w:rPr>
                <w:spacing w:val="-4"/>
                <w:sz w:val="22"/>
              </w:rPr>
              <w:t>Loan</w:t>
            </w:r>
          </w:p>
          <w:p>
            <w:pPr>
              <w:pStyle w:val="TableParagraph"/>
              <w:spacing w:line="233" w:lineRule="exact" w:before="1"/>
              <w:ind w:left="107"/>
              <w:rPr>
                <w:sz w:val="22"/>
              </w:rPr>
            </w:pPr>
            <w:r>
              <w:rPr>
                <w:spacing w:val="-2"/>
                <w:sz w:val="22"/>
              </w:rPr>
              <w:t>Repayment</w:t>
            </w:r>
          </w:p>
        </w:tc>
        <w:tc>
          <w:tcPr>
            <w:tcW w:w="1200" w:type="dxa"/>
          </w:tcPr>
          <w:p>
            <w:pPr>
              <w:pStyle w:val="TableParagraph"/>
              <w:spacing w:before="123"/>
              <w:ind w:left="254"/>
              <w:rPr>
                <w:sz w:val="22"/>
              </w:rPr>
            </w:pPr>
            <w:r>
              <w:rPr>
                <w:spacing w:val="-2"/>
                <w:sz w:val="22"/>
              </w:rPr>
              <w:t>$2.30M</w:t>
            </w:r>
          </w:p>
        </w:tc>
        <w:tc>
          <w:tcPr>
            <w:tcW w:w="1200" w:type="dxa"/>
          </w:tcPr>
          <w:p>
            <w:pPr>
              <w:pStyle w:val="TableParagraph"/>
              <w:spacing w:before="123"/>
              <w:ind w:left="186" w:right="175"/>
              <w:jc w:val="center"/>
              <w:rPr>
                <w:sz w:val="22"/>
              </w:rPr>
            </w:pPr>
            <w:r>
              <w:rPr>
                <w:spacing w:val="-2"/>
                <w:sz w:val="22"/>
              </w:rPr>
              <w:t>$4.60M</w:t>
            </w:r>
          </w:p>
        </w:tc>
        <w:tc>
          <w:tcPr>
            <w:tcW w:w="1200" w:type="dxa"/>
          </w:tcPr>
          <w:p>
            <w:pPr>
              <w:pStyle w:val="TableParagraph"/>
              <w:spacing w:before="123"/>
              <w:ind w:left="186" w:right="176"/>
              <w:jc w:val="center"/>
              <w:rPr>
                <w:sz w:val="22"/>
              </w:rPr>
            </w:pPr>
            <w:r>
              <w:rPr>
                <w:spacing w:val="-2"/>
                <w:sz w:val="22"/>
              </w:rPr>
              <w:t>$4.60M</w:t>
            </w:r>
          </w:p>
        </w:tc>
        <w:tc>
          <w:tcPr>
            <w:tcW w:w="1200" w:type="dxa"/>
          </w:tcPr>
          <w:p>
            <w:pPr>
              <w:pStyle w:val="TableParagraph"/>
              <w:spacing w:before="123"/>
              <w:ind w:left="186" w:right="176"/>
              <w:jc w:val="center"/>
              <w:rPr>
                <w:sz w:val="22"/>
              </w:rPr>
            </w:pPr>
            <w:r>
              <w:rPr>
                <w:spacing w:val="-2"/>
                <w:sz w:val="22"/>
              </w:rPr>
              <w:t>$4.60M</w:t>
            </w:r>
          </w:p>
        </w:tc>
        <w:tc>
          <w:tcPr>
            <w:tcW w:w="1200" w:type="dxa"/>
          </w:tcPr>
          <w:p>
            <w:pPr>
              <w:pStyle w:val="TableParagraph"/>
              <w:spacing w:before="123"/>
              <w:ind w:left="186" w:right="176"/>
              <w:jc w:val="center"/>
              <w:rPr>
                <w:sz w:val="22"/>
              </w:rPr>
            </w:pPr>
            <w:r>
              <w:rPr>
                <w:spacing w:val="-2"/>
                <w:sz w:val="22"/>
              </w:rPr>
              <w:t>$2.30M</w:t>
            </w:r>
          </w:p>
        </w:tc>
        <w:tc>
          <w:tcPr>
            <w:tcW w:w="1200" w:type="dxa"/>
          </w:tcPr>
          <w:p>
            <w:pPr>
              <w:pStyle w:val="TableParagraph"/>
              <w:spacing w:before="123"/>
              <w:ind w:left="198"/>
              <w:rPr>
                <w:sz w:val="22"/>
              </w:rPr>
            </w:pPr>
            <w:r>
              <w:rPr>
                <w:spacing w:val="-2"/>
                <w:sz w:val="22"/>
              </w:rPr>
              <w:t>$18.40M</w:t>
            </w:r>
          </w:p>
        </w:tc>
      </w:tr>
      <w:tr>
        <w:trPr>
          <w:trHeight w:val="431" w:hRule="atLeast"/>
        </w:trPr>
        <w:tc>
          <w:tcPr>
            <w:tcW w:w="3084" w:type="dxa"/>
          </w:tcPr>
          <w:p>
            <w:pPr>
              <w:pStyle w:val="TableParagraph"/>
              <w:spacing w:before="89"/>
              <w:ind w:left="107"/>
              <w:rPr>
                <w:sz w:val="22"/>
              </w:rPr>
            </w:pPr>
            <w:r>
              <w:rPr>
                <w:sz w:val="22"/>
              </w:rPr>
              <w:t>Nurse</w:t>
            </w:r>
            <w:r>
              <w:rPr>
                <w:spacing w:val="-5"/>
                <w:sz w:val="22"/>
              </w:rPr>
              <w:t> </w:t>
            </w:r>
            <w:r>
              <w:rPr>
                <w:sz w:val="22"/>
              </w:rPr>
              <w:t>Practitioner</w:t>
            </w:r>
            <w:r>
              <w:rPr>
                <w:spacing w:val="-6"/>
                <w:sz w:val="22"/>
              </w:rPr>
              <w:t> </w:t>
            </w:r>
            <w:r>
              <w:rPr>
                <w:spacing w:val="-2"/>
                <w:sz w:val="22"/>
              </w:rPr>
              <w:t>Residency</w:t>
            </w:r>
          </w:p>
        </w:tc>
        <w:tc>
          <w:tcPr>
            <w:tcW w:w="1200" w:type="dxa"/>
          </w:tcPr>
          <w:p>
            <w:pPr>
              <w:pStyle w:val="TableParagraph"/>
              <w:spacing w:before="89"/>
              <w:ind w:left="254"/>
              <w:rPr>
                <w:sz w:val="22"/>
              </w:rPr>
            </w:pPr>
            <w:r>
              <w:rPr>
                <w:spacing w:val="-2"/>
                <w:sz w:val="22"/>
              </w:rPr>
              <w:t>$1.21M</w:t>
            </w:r>
          </w:p>
        </w:tc>
        <w:tc>
          <w:tcPr>
            <w:tcW w:w="1200" w:type="dxa"/>
          </w:tcPr>
          <w:p>
            <w:pPr>
              <w:pStyle w:val="TableParagraph"/>
              <w:spacing w:before="89"/>
              <w:ind w:left="186" w:right="175"/>
              <w:jc w:val="center"/>
              <w:rPr>
                <w:sz w:val="22"/>
              </w:rPr>
            </w:pPr>
            <w:r>
              <w:rPr>
                <w:spacing w:val="-2"/>
                <w:sz w:val="22"/>
              </w:rPr>
              <w:t>$1.21M</w:t>
            </w:r>
          </w:p>
        </w:tc>
        <w:tc>
          <w:tcPr>
            <w:tcW w:w="1200" w:type="dxa"/>
          </w:tcPr>
          <w:p>
            <w:pPr>
              <w:pStyle w:val="TableParagraph"/>
              <w:spacing w:before="89"/>
              <w:ind w:left="186" w:right="175"/>
              <w:jc w:val="center"/>
              <w:rPr>
                <w:sz w:val="22"/>
              </w:rPr>
            </w:pPr>
            <w:r>
              <w:rPr>
                <w:spacing w:val="-2"/>
                <w:sz w:val="22"/>
              </w:rPr>
              <w:t>$1.21M</w:t>
            </w:r>
          </w:p>
        </w:tc>
        <w:tc>
          <w:tcPr>
            <w:tcW w:w="1200" w:type="dxa"/>
          </w:tcPr>
          <w:p>
            <w:pPr>
              <w:pStyle w:val="TableParagraph"/>
              <w:spacing w:before="89"/>
              <w:ind w:left="186" w:right="176"/>
              <w:jc w:val="center"/>
              <w:rPr>
                <w:sz w:val="22"/>
              </w:rPr>
            </w:pPr>
            <w:r>
              <w:rPr>
                <w:spacing w:val="-2"/>
                <w:sz w:val="22"/>
              </w:rPr>
              <w:t>$1.21M</w:t>
            </w:r>
          </w:p>
        </w:tc>
        <w:tc>
          <w:tcPr>
            <w:tcW w:w="1200" w:type="dxa"/>
          </w:tcPr>
          <w:p>
            <w:pPr>
              <w:pStyle w:val="TableParagraph"/>
              <w:spacing w:before="89"/>
              <w:ind w:left="184" w:right="176"/>
              <w:jc w:val="center"/>
              <w:rPr>
                <w:sz w:val="22"/>
              </w:rPr>
            </w:pPr>
            <w:r>
              <w:rPr>
                <w:spacing w:val="-5"/>
                <w:sz w:val="22"/>
              </w:rPr>
              <w:t>$0M</w:t>
            </w:r>
          </w:p>
        </w:tc>
        <w:tc>
          <w:tcPr>
            <w:tcW w:w="1200" w:type="dxa"/>
          </w:tcPr>
          <w:p>
            <w:pPr>
              <w:pStyle w:val="TableParagraph"/>
              <w:spacing w:before="89"/>
              <w:ind w:left="253"/>
              <w:rPr>
                <w:sz w:val="22"/>
              </w:rPr>
            </w:pPr>
            <w:r>
              <w:rPr>
                <w:spacing w:val="-2"/>
                <w:sz w:val="22"/>
              </w:rPr>
              <w:t>$4.84M</w:t>
            </w:r>
          </w:p>
        </w:tc>
      </w:tr>
      <w:tr>
        <w:trPr>
          <w:trHeight w:val="434" w:hRule="atLeast"/>
        </w:trPr>
        <w:tc>
          <w:tcPr>
            <w:tcW w:w="3084" w:type="dxa"/>
          </w:tcPr>
          <w:p>
            <w:pPr>
              <w:pStyle w:val="TableParagraph"/>
              <w:spacing w:before="89"/>
              <w:ind w:left="107"/>
              <w:rPr>
                <w:sz w:val="22"/>
              </w:rPr>
            </w:pPr>
            <w:r>
              <w:rPr>
                <w:spacing w:val="-2"/>
                <w:sz w:val="22"/>
              </w:rPr>
              <w:t>Total</w:t>
            </w:r>
          </w:p>
        </w:tc>
        <w:tc>
          <w:tcPr>
            <w:tcW w:w="1200" w:type="dxa"/>
          </w:tcPr>
          <w:p>
            <w:pPr>
              <w:pStyle w:val="TableParagraph"/>
              <w:spacing w:before="89"/>
              <w:ind w:left="254"/>
              <w:rPr>
                <w:sz w:val="22"/>
              </w:rPr>
            </w:pPr>
            <w:r>
              <w:rPr>
                <w:spacing w:val="-2"/>
                <w:sz w:val="22"/>
              </w:rPr>
              <w:t>$6.01M</w:t>
            </w:r>
          </w:p>
        </w:tc>
        <w:tc>
          <w:tcPr>
            <w:tcW w:w="1200" w:type="dxa"/>
          </w:tcPr>
          <w:p>
            <w:pPr>
              <w:pStyle w:val="TableParagraph"/>
              <w:spacing w:before="89"/>
              <w:ind w:left="186" w:right="175"/>
              <w:jc w:val="center"/>
              <w:rPr>
                <w:sz w:val="22"/>
              </w:rPr>
            </w:pPr>
            <w:r>
              <w:rPr>
                <w:spacing w:val="-2"/>
                <w:sz w:val="22"/>
              </w:rPr>
              <w:t>$10.81M</w:t>
            </w:r>
          </w:p>
        </w:tc>
        <w:tc>
          <w:tcPr>
            <w:tcW w:w="1200" w:type="dxa"/>
          </w:tcPr>
          <w:p>
            <w:pPr>
              <w:pStyle w:val="TableParagraph"/>
              <w:spacing w:before="89"/>
              <w:ind w:left="186" w:right="175"/>
              <w:jc w:val="center"/>
              <w:rPr>
                <w:sz w:val="22"/>
              </w:rPr>
            </w:pPr>
            <w:r>
              <w:rPr>
                <w:spacing w:val="-2"/>
                <w:sz w:val="22"/>
              </w:rPr>
              <w:t>$10.81M</w:t>
            </w:r>
          </w:p>
        </w:tc>
        <w:tc>
          <w:tcPr>
            <w:tcW w:w="1200" w:type="dxa"/>
          </w:tcPr>
          <w:p>
            <w:pPr>
              <w:pStyle w:val="TableParagraph"/>
              <w:spacing w:before="89"/>
              <w:ind w:left="186" w:right="176"/>
              <w:jc w:val="center"/>
              <w:rPr>
                <w:sz w:val="22"/>
              </w:rPr>
            </w:pPr>
            <w:r>
              <w:rPr>
                <w:spacing w:val="-2"/>
                <w:sz w:val="22"/>
              </w:rPr>
              <w:t>$10.81M</w:t>
            </w:r>
          </w:p>
        </w:tc>
        <w:tc>
          <w:tcPr>
            <w:tcW w:w="1200" w:type="dxa"/>
          </w:tcPr>
          <w:p>
            <w:pPr>
              <w:pStyle w:val="TableParagraph"/>
              <w:spacing w:before="89"/>
              <w:ind w:left="186" w:right="176"/>
              <w:jc w:val="center"/>
              <w:rPr>
                <w:sz w:val="22"/>
              </w:rPr>
            </w:pPr>
            <w:r>
              <w:rPr>
                <w:spacing w:val="-2"/>
                <w:sz w:val="22"/>
              </w:rPr>
              <w:t>$4.80M</w:t>
            </w:r>
          </w:p>
        </w:tc>
        <w:tc>
          <w:tcPr>
            <w:tcW w:w="1200" w:type="dxa"/>
          </w:tcPr>
          <w:p>
            <w:pPr>
              <w:pStyle w:val="TableParagraph"/>
              <w:spacing w:before="89"/>
              <w:ind w:left="198"/>
              <w:rPr>
                <w:sz w:val="22"/>
              </w:rPr>
            </w:pPr>
            <w:r>
              <w:rPr>
                <w:spacing w:val="-2"/>
                <w:sz w:val="22"/>
              </w:rPr>
              <w:t>$43.24M</w:t>
            </w:r>
          </w:p>
        </w:tc>
      </w:tr>
    </w:tbl>
    <w:p>
      <w:pPr>
        <w:pStyle w:val="BodyText"/>
        <w:rPr>
          <w:sz w:val="20"/>
        </w:rPr>
      </w:pPr>
    </w:p>
    <w:p>
      <w:pPr>
        <w:pStyle w:val="BodyText"/>
        <w:rPr>
          <w:sz w:val="20"/>
        </w:rPr>
      </w:pPr>
    </w:p>
    <w:p>
      <w:pPr>
        <w:pStyle w:val="BodyText"/>
        <w:spacing w:before="3"/>
        <w:rPr>
          <w:sz w:val="22"/>
        </w:rPr>
      </w:pPr>
    </w:p>
    <w:p>
      <w:pPr>
        <w:pStyle w:val="Heading4"/>
        <w:numPr>
          <w:ilvl w:val="0"/>
          <w:numId w:val="3"/>
        </w:numPr>
        <w:tabs>
          <w:tab w:pos="600" w:val="left" w:leader="none"/>
        </w:tabs>
        <w:spacing w:line="240" w:lineRule="auto" w:before="0" w:after="0"/>
        <w:ind w:left="600" w:right="0" w:hanging="480"/>
        <w:jc w:val="left"/>
      </w:pPr>
      <w:bookmarkStart w:name="14. HOSPITAL QUALITY AND EQUITY INITIATI" w:id="694"/>
      <w:bookmarkEnd w:id="694"/>
      <w:r>
        <w:rPr>
          <w:b w:val="0"/>
        </w:rPr>
      </w:r>
      <w:r>
        <w:rPr/>
        <w:t>HOSPITAL</w:t>
      </w:r>
      <w:r>
        <w:rPr>
          <w:spacing w:val="-3"/>
        </w:rPr>
        <w:t> </w:t>
      </w:r>
      <w:r>
        <w:rPr/>
        <w:t>QUALITY</w:t>
      </w:r>
      <w:r>
        <w:rPr>
          <w:spacing w:val="-3"/>
        </w:rPr>
        <w:t> </w:t>
      </w:r>
      <w:r>
        <w:rPr/>
        <w:t>AND</w:t>
      </w:r>
      <w:r>
        <w:rPr>
          <w:spacing w:val="-3"/>
        </w:rPr>
        <w:t> </w:t>
      </w:r>
      <w:r>
        <w:rPr/>
        <w:t>EQUITY</w:t>
      </w:r>
      <w:r>
        <w:rPr>
          <w:spacing w:val="-3"/>
        </w:rPr>
        <w:t> </w:t>
      </w:r>
      <w:r>
        <w:rPr>
          <w:spacing w:val="-2"/>
        </w:rPr>
        <w:t>INITIATIVE</w:t>
      </w:r>
    </w:p>
    <w:p>
      <w:pPr>
        <w:pStyle w:val="BodyText"/>
        <w:spacing w:before="10"/>
        <w:rPr>
          <w:b/>
          <w:sz w:val="20"/>
        </w:rPr>
      </w:pPr>
    </w:p>
    <w:p>
      <w:pPr>
        <w:pStyle w:val="BodyText"/>
        <w:spacing w:before="1"/>
        <w:ind w:left="239" w:right="1041"/>
      </w:pPr>
      <w:r>
        <w:rPr/>
        <w:t>A key goal of the Commonwealth in this extension period is to improve quality of care and advance health equity, with a focus on initiatives addressing health-related social needs and health disparities demonstrated by variation in quality performance.</w:t>
      </w:r>
      <w:r>
        <w:rPr>
          <w:spacing w:val="40"/>
        </w:rPr>
        <w:t> </w:t>
      </w:r>
      <w:r>
        <w:rPr/>
        <w:t>The MassHealth section 1115 demonstration includes expenditure</w:t>
      </w:r>
      <w:r>
        <w:rPr>
          <w:spacing w:val="-1"/>
        </w:rPr>
        <w:t> </w:t>
      </w:r>
      <w:r>
        <w:rPr/>
        <w:t>authority</w:t>
      </w:r>
      <w:r>
        <w:rPr>
          <w:spacing w:val="-3"/>
        </w:rPr>
        <w:t> </w:t>
      </w:r>
      <w:r>
        <w:rPr/>
        <w:t>for</w:t>
      </w:r>
      <w:r>
        <w:rPr>
          <w:spacing w:val="-1"/>
        </w:rPr>
        <w:t> </w:t>
      </w:r>
      <w:r>
        <w:rPr/>
        <w:t>the</w:t>
      </w:r>
      <w:r>
        <w:rPr>
          <w:spacing w:val="-1"/>
        </w:rPr>
        <w:t> </w:t>
      </w:r>
      <w:r>
        <w:rPr/>
        <w:t>Hospital Quality</w:t>
      </w:r>
      <w:r>
        <w:rPr>
          <w:spacing w:val="-3"/>
        </w:rPr>
        <w:t> </w:t>
      </w:r>
      <w:r>
        <w:rPr/>
        <w:t>and Equity</w:t>
      </w:r>
      <w:r>
        <w:rPr>
          <w:spacing w:val="-3"/>
        </w:rPr>
        <w:t> </w:t>
      </w:r>
      <w:r>
        <w:rPr/>
        <w:t>Initiative, which includes two components of the Commonwealth’s statewide strategy to advance health quality</w:t>
      </w:r>
      <w:r>
        <w:rPr>
          <w:spacing w:val="-7"/>
        </w:rPr>
        <w:t> </w:t>
      </w:r>
      <w:r>
        <w:rPr/>
        <w:t>and equity:</w:t>
      </w:r>
      <w:r>
        <w:rPr>
          <w:spacing w:val="-2"/>
        </w:rPr>
        <w:t> </w:t>
      </w:r>
      <w:r>
        <w:rPr/>
        <w:t>specifically,</w:t>
      </w:r>
      <w:r>
        <w:rPr>
          <w:spacing w:val="-2"/>
        </w:rPr>
        <w:t> </w:t>
      </w:r>
      <w:r>
        <w:rPr/>
        <w:t>the</w:t>
      </w:r>
      <w:r>
        <w:rPr>
          <w:spacing w:val="-3"/>
        </w:rPr>
        <w:t> </w:t>
      </w:r>
      <w:r>
        <w:rPr/>
        <w:t>health</w:t>
      </w:r>
      <w:r>
        <w:rPr>
          <w:spacing w:val="-2"/>
        </w:rPr>
        <w:t> </w:t>
      </w:r>
      <w:r>
        <w:rPr/>
        <w:t>quality</w:t>
      </w:r>
      <w:r>
        <w:rPr>
          <w:spacing w:val="-5"/>
        </w:rPr>
        <w:t> </w:t>
      </w:r>
      <w:r>
        <w:rPr/>
        <w:t>and</w:t>
      </w:r>
      <w:r>
        <w:rPr>
          <w:spacing w:val="-2"/>
        </w:rPr>
        <w:t> </w:t>
      </w:r>
      <w:r>
        <w:rPr/>
        <w:t>equity</w:t>
      </w:r>
      <w:r>
        <w:rPr>
          <w:spacing w:val="-7"/>
        </w:rPr>
        <w:t> </w:t>
      </w:r>
      <w:r>
        <w:rPr/>
        <w:t>incentive</w:t>
      </w:r>
      <w:r>
        <w:rPr>
          <w:spacing w:val="-3"/>
        </w:rPr>
        <w:t> </w:t>
      </w:r>
      <w:r>
        <w:rPr/>
        <w:t>programs</w:t>
      </w:r>
      <w:r>
        <w:rPr>
          <w:spacing w:val="-2"/>
        </w:rPr>
        <w:t> </w:t>
      </w:r>
      <w:r>
        <w:rPr/>
        <w:t>for</w:t>
      </w:r>
      <w:r>
        <w:rPr>
          <w:spacing w:val="-3"/>
        </w:rPr>
        <w:t> </w:t>
      </w:r>
      <w:r>
        <w:rPr/>
        <w:t>private</w:t>
      </w:r>
      <w:r>
        <w:rPr>
          <w:spacing w:val="-3"/>
        </w:rPr>
        <w:t> </w:t>
      </w:r>
      <w:r>
        <w:rPr/>
        <w:t>acute hospitals and Cambridge Health Alliance (CHA).</w:t>
      </w:r>
    </w:p>
    <w:p>
      <w:pPr>
        <w:pStyle w:val="BodyText"/>
        <w:spacing w:before="10"/>
        <w:rPr>
          <w:sz w:val="20"/>
        </w:rPr>
      </w:pPr>
    </w:p>
    <w:p>
      <w:pPr>
        <w:pStyle w:val="BodyText"/>
        <w:ind w:left="871" w:right="1054"/>
      </w:pPr>
      <w:r>
        <w:rPr/>
        <w:drawing>
          <wp:anchor distT="0" distB="0" distL="0" distR="0" allowOverlap="1" layoutInCell="1" locked="0" behindDoc="0" simplePos="0" relativeHeight="15958528">
            <wp:simplePos x="0" y="0"/>
            <wp:positionH relativeFrom="page">
              <wp:posOffset>908303</wp:posOffset>
            </wp:positionH>
            <wp:positionV relativeFrom="paragraph">
              <wp:posOffset>35612</wp:posOffset>
            </wp:positionV>
            <wp:extent cx="283463" cy="112763"/>
            <wp:effectExtent l="0" t="0" r="0" b="0"/>
            <wp:wrapNone/>
            <wp:docPr id="460" name="Image 460"/>
            <wp:cNvGraphicFramePr>
              <a:graphicFrameLocks/>
            </wp:cNvGraphicFramePr>
            <a:graphic>
              <a:graphicData uri="http://schemas.openxmlformats.org/drawingml/2006/picture">
                <pic:pic>
                  <pic:nvPicPr>
                    <pic:cNvPr id="460" name="Image 460"/>
                    <pic:cNvPicPr/>
                  </pic:nvPicPr>
                  <pic:blipFill>
                    <a:blip r:embed="rId202" cstate="print"/>
                    <a:stretch>
                      <a:fillRect/>
                    </a:stretch>
                  </pic:blipFill>
                  <pic:spPr>
                    <a:xfrm>
                      <a:off x="0" y="0"/>
                      <a:ext cx="283463" cy="112763"/>
                    </a:xfrm>
                    <a:prstGeom prst="rect">
                      <a:avLst/>
                    </a:prstGeom>
                  </pic:spPr>
                </pic:pic>
              </a:graphicData>
            </a:graphic>
          </wp:anchor>
        </w:drawing>
      </w:r>
      <w:bookmarkStart w:name="14.1. Description. As specified in Table" w:id="695"/>
      <w:bookmarkEnd w:id="695"/>
      <w:r>
        <w:rPr/>
      </w:r>
      <w:r>
        <w:rPr>
          <w:b/>
        </w:rPr>
        <w:t>Description.</w:t>
      </w:r>
      <w:r>
        <w:rPr>
          <w:b/>
          <w:spacing w:val="-3"/>
        </w:rPr>
        <w:t> </w:t>
      </w:r>
      <w:r>
        <w:rPr/>
        <w:t>As</w:t>
      </w:r>
      <w:r>
        <w:rPr>
          <w:spacing w:val="-3"/>
        </w:rPr>
        <w:t> </w:t>
      </w:r>
      <w:r>
        <w:rPr/>
        <w:t>specified</w:t>
      </w:r>
      <w:r>
        <w:rPr>
          <w:spacing w:val="-3"/>
        </w:rPr>
        <w:t> </w:t>
      </w:r>
      <w:r>
        <w:rPr/>
        <w:t>in</w:t>
      </w:r>
      <w:r>
        <w:rPr>
          <w:spacing w:val="-3"/>
        </w:rPr>
        <w:t> </w:t>
      </w:r>
      <w:r>
        <w:rPr/>
        <w:t>Table</w:t>
      </w:r>
      <w:r>
        <w:rPr>
          <w:spacing w:val="-4"/>
        </w:rPr>
        <w:t> </w:t>
      </w:r>
      <w:r>
        <w:rPr/>
        <w:t>13</w:t>
      </w:r>
      <w:r>
        <w:rPr>
          <w:spacing w:val="-3"/>
        </w:rPr>
        <w:t> </w:t>
      </w:r>
      <w:r>
        <w:rPr/>
        <w:t>below,</w:t>
      </w:r>
      <w:r>
        <w:rPr>
          <w:spacing w:val="-3"/>
        </w:rPr>
        <w:t> </w:t>
      </w:r>
      <w:r>
        <w:rPr/>
        <w:t>CMS</w:t>
      </w:r>
      <w:r>
        <w:rPr>
          <w:spacing w:val="-3"/>
        </w:rPr>
        <w:t> </w:t>
      </w:r>
      <w:r>
        <w:rPr/>
        <w:t>will</w:t>
      </w:r>
      <w:r>
        <w:rPr>
          <w:spacing w:val="-3"/>
        </w:rPr>
        <w:t> </w:t>
      </w:r>
      <w:r>
        <w:rPr/>
        <w:t>authorize</w:t>
      </w:r>
      <w:r>
        <w:rPr>
          <w:spacing w:val="-4"/>
        </w:rPr>
        <w:t> </w:t>
      </w:r>
      <w:r>
        <w:rPr/>
        <w:t>up</w:t>
      </w:r>
      <w:r>
        <w:rPr>
          <w:spacing w:val="-3"/>
        </w:rPr>
        <w:t> </w:t>
      </w:r>
      <w:r>
        <w:rPr/>
        <w:t>to</w:t>
      </w:r>
      <w:r>
        <w:rPr>
          <w:spacing w:val="-3"/>
        </w:rPr>
        <w:t> </w:t>
      </w:r>
      <w:r>
        <w:rPr/>
        <w:t>$400</w:t>
      </w:r>
      <w:r>
        <w:rPr>
          <w:spacing w:val="-3"/>
        </w:rPr>
        <w:t> </w:t>
      </w:r>
      <w:r>
        <w:rPr/>
        <w:t>million</w:t>
      </w:r>
      <w:r>
        <w:rPr>
          <w:spacing w:val="-3"/>
        </w:rPr>
        <w:t> </w:t>
      </w:r>
      <w:r>
        <w:rPr/>
        <w:t>(total computable) annually (except DY27-28) in expenditure authority for participating private acute hospitals to improve health care quality and equity within the Commonwealth, and up to $90 million (total computable) annually</w:t>
      </w:r>
      <w:r>
        <w:rPr>
          <w:spacing w:val="-1"/>
        </w:rPr>
        <w:t> </w:t>
      </w:r>
      <w:r>
        <w:rPr/>
        <w:t>(except DY 27) in expenditure authority for Cambridge Health Alliance to improve health care quality and equity and develop interventions for both its Medicaid population and the uninsured individuals it serves. As part of this initiative, participating hospitals can earn a performance-based incentive payment for meeting data collection requirements, reporting expectations, and achieving quality and equity improvement standards that demonstrate improvement in health care quality and equity.</w:t>
      </w:r>
      <w:r>
        <w:rPr>
          <w:spacing w:val="40"/>
        </w:rPr>
        <w:t> </w:t>
      </w:r>
      <w:r>
        <w:rPr/>
        <w:t>The Commonwealth and participating hospitals will use the data to assess and address areas for improvement in health care quality and equity outcomes, which may include identification of disparities in health care delivery. The</w:t>
      </w:r>
      <w:r>
        <w:rPr>
          <w:spacing w:val="40"/>
        </w:rPr>
        <w:t> </w:t>
      </w:r>
      <w:r>
        <w:rPr/>
        <w:t>Commonwealth will require participating hospitals to conducta Needs Assessment (defined in the Health Quality and Equity Initiative Implementation Plan) reflecting the healthcare needs of beneficiaries within the state.</w:t>
      </w:r>
      <w:r>
        <w:rPr>
          <w:spacing w:val="40"/>
        </w:rPr>
        <w:t> </w:t>
      </w:r>
      <w:r>
        <w:rPr/>
        <w:t>Participating</w:t>
      </w:r>
      <w:r>
        <w:rPr>
          <w:spacing w:val="-1"/>
        </w:rPr>
        <w:t> </w:t>
      </w:r>
      <w:r>
        <w:rPr/>
        <w:t>hospitals may</w:t>
      </w:r>
      <w:r>
        <w:rPr>
          <w:spacing w:val="-3"/>
        </w:rPr>
        <w:t> </w:t>
      </w:r>
      <w:r>
        <w:rPr/>
        <w:t>use existing community health needs assessments to inform this Needs Assessment.</w:t>
      </w:r>
      <w:r>
        <w:rPr>
          <w:spacing w:val="40"/>
        </w:rPr>
        <w:t> </w:t>
      </w:r>
      <w:r>
        <w:rPr/>
        <w:t>As part of this program, participating hospitals will also build organizational/workforce competence to improve quality and health outcomes and reduce disparities, and enhance their ability to provide accessible and culturally appropriate services.</w:t>
      </w:r>
    </w:p>
    <w:p>
      <w:pPr>
        <w:spacing w:after="0"/>
        <w:sectPr>
          <w:pgSz w:w="12240" w:h="15840"/>
          <w:pgMar w:header="0" w:footer="1201" w:top="1360" w:bottom="1400" w:left="1200" w:right="400"/>
        </w:sectPr>
      </w:pPr>
    </w:p>
    <w:p>
      <w:pPr>
        <w:pStyle w:val="ListParagraph"/>
        <w:numPr>
          <w:ilvl w:val="0"/>
          <w:numId w:val="38"/>
        </w:numPr>
        <w:tabs>
          <w:tab w:pos="1411" w:val="left" w:leader="none"/>
        </w:tabs>
        <w:spacing w:line="240" w:lineRule="auto" w:before="79" w:after="0"/>
        <w:ind w:left="1411" w:right="1174" w:hanging="360"/>
        <w:jc w:val="left"/>
        <w:rPr>
          <w:sz w:val="24"/>
        </w:rPr>
      </w:pPr>
      <w:bookmarkStart w:name="a. In this program, the Commonwealthwill" w:id="696"/>
      <w:bookmarkEnd w:id="696"/>
      <w:r>
        <w:rPr/>
      </w:r>
      <w:r>
        <w:rPr>
          <w:sz w:val="24"/>
        </w:rPr>
        <w:t>In this program, the Commonwealthwill pay hospitals solely based on their achievement on goals and corresponding progress as measured by performance on identified metrics as further described in STCs 14.3, 14.4, and 14.5; no direct funding</w:t>
      </w:r>
      <w:r>
        <w:rPr>
          <w:spacing w:val="-7"/>
          <w:sz w:val="24"/>
        </w:rPr>
        <w:t> </w:t>
      </w:r>
      <w:r>
        <w:rPr>
          <w:sz w:val="24"/>
        </w:rPr>
        <w:t>is</w:t>
      </w:r>
      <w:r>
        <w:rPr>
          <w:spacing w:val="-4"/>
          <w:sz w:val="24"/>
        </w:rPr>
        <w:t> </w:t>
      </w:r>
      <w:r>
        <w:rPr>
          <w:sz w:val="24"/>
        </w:rPr>
        <w:t>available</w:t>
      </w:r>
      <w:r>
        <w:rPr>
          <w:spacing w:val="-5"/>
          <w:sz w:val="24"/>
        </w:rPr>
        <w:t> </w:t>
      </w:r>
      <w:r>
        <w:rPr>
          <w:sz w:val="24"/>
        </w:rPr>
        <w:t>for</w:t>
      </w:r>
      <w:r>
        <w:rPr>
          <w:spacing w:val="-5"/>
          <w:sz w:val="24"/>
        </w:rPr>
        <w:t> </w:t>
      </w:r>
      <w:r>
        <w:rPr>
          <w:sz w:val="24"/>
        </w:rPr>
        <w:t>implementation,</w:t>
      </w:r>
      <w:r>
        <w:rPr>
          <w:spacing w:val="-4"/>
          <w:sz w:val="24"/>
        </w:rPr>
        <w:t> </w:t>
      </w:r>
      <w:r>
        <w:rPr>
          <w:sz w:val="24"/>
        </w:rPr>
        <w:t>such</w:t>
      </w:r>
      <w:r>
        <w:rPr>
          <w:spacing w:val="-4"/>
          <w:sz w:val="24"/>
        </w:rPr>
        <w:t> </w:t>
      </w:r>
      <w:r>
        <w:rPr>
          <w:sz w:val="24"/>
        </w:rPr>
        <w:t>as</w:t>
      </w:r>
      <w:r>
        <w:rPr>
          <w:spacing w:val="-4"/>
          <w:sz w:val="24"/>
        </w:rPr>
        <w:t> </w:t>
      </w:r>
      <w:r>
        <w:rPr>
          <w:sz w:val="24"/>
        </w:rPr>
        <w:t>systems</w:t>
      </w:r>
      <w:r>
        <w:rPr>
          <w:spacing w:val="-4"/>
          <w:sz w:val="24"/>
        </w:rPr>
        <w:t> </w:t>
      </w:r>
      <w:r>
        <w:rPr>
          <w:sz w:val="24"/>
        </w:rPr>
        <w:t>or</w:t>
      </w:r>
      <w:r>
        <w:rPr>
          <w:spacing w:val="-5"/>
          <w:sz w:val="24"/>
        </w:rPr>
        <w:t> </w:t>
      </w:r>
      <w:r>
        <w:rPr>
          <w:sz w:val="24"/>
        </w:rPr>
        <w:t>infrastructure</w:t>
      </w:r>
      <w:r>
        <w:rPr>
          <w:spacing w:val="-3"/>
          <w:sz w:val="24"/>
        </w:rPr>
        <w:t> </w:t>
      </w:r>
      <w:r>
        <w:rPr>
          <w:sz w:val="24"/>
        </w:rPr>
        <w:t>build-out, or for reimbursement of provider costs incurred in implementing the program.</w:t>
      </w:r>
    </w:p>
    <w:p>
      <w:pPr>
        <w:pStyle w:val="BodyText"/>
        <w:spacing w:before="10"/>
        <w:rPr>
          <w:sz w:val="20"/>
        </w:rPr>
      </w:pPr>
    </w:p>
    <w:p>
      <w:pPr>
        <w:pStyle w:val="ListParagraph"/>
        <w:numPr>
          <w:ilvl w:val="0"/>
          <w:numId w:val="38"/>
        </w:numPr>
        <w:tabs>
          <w:tab w:pos="1411" w:val="left" w:leader="none"/>
        </w:tabs>
        <w:spacing w:line="240" w:lineRule="auto" w:before="0" w:after="0"/>
        <w:ind w:left="1411" w:right="1145" w:hanging="360"/>
        <w:jc w:val="left"/>
        <w:rPr>
          <w:sz w:val="24"/>
        </w:rPr>
      </w:pPr>
      <w:bookmarkStart w:name="b. Unexpended incentive payment amounts " w:id="697"/>
      <w:bookmarkEnd w:id="697"/>
      <w:r>
        <w:rPr/>
      </w:r>
      <w:r>
        <w:rPr>
          <w:sz w:val="24"/>
        </w:rPr>
        <w:t>Unexpended incentive payment amounts are forfeited and not recoverable. Authorized expenditure amounts for one performance year cannot be combined, carried, shifted, or otherwise transferred across performance years in any circumstances; however, earned incentive payment based on one performance year may be paid in a subsequent performance year against the expenditure limit for the performance</w:t>
      </w:r>
      <w:r>
        <w:rPr>
          <w:spacing w:val="-1"/>
          <w:sz w:val="24"/>
        </w:rPr>
        <w:t> </w:t>
      </w:r>
      <w:r>
        <w:rPr>
          <w:sz w:val="24"/>
        </w:rPr>
        <w:t>year</w:t>
      </w:r>
      <w:r>
        <w:rPr>
          <w:spacing w:val="-5"/>
          <w:sz w:val="24"/>
        </w:rPr>
        <w:t> </w:t>
      </w:r>
      <w:r>
        <w:rPr>
          <w:sz w:val="24"/>
        </w:rPr>
        <w:t>on</w:t>
      </w:r>
      <w:r>
        <w:rPr>
          <w:spacing w:val="-2"/>
          <w:sz w:val="24"/>
        </w:rPr>
        <w:t> </w:t>
      </w:r>
      <w:r>
        <w:rPr>
          <w:sz w:val="24"/>
        </w:rPr>
        <w:t>which</w:t>
      </w:r>
      <w:r>
        <w:rPr>
          <w:spacing w:val="-4"/>
          <w:sz w:val="24"/>
        </w:rPr>
        <w:t> </w:t>
      </w:r>
      <w:r>
        <w:rPr>
          <w:sz w:val="24"/>
        </w:rPr>
        <w:t>the</w:t>
      </w:r>
      <w:r>
        <w:rPr>
          <w:spacing w:val="-5"/>
          <w:sz w:val="24"/>
        </w:rPr>
        <w:t> </w:t>
      </w:r>
      <w:r>
        <w:rPr>
          <w:sz w:val="24"/>
        </w:rPr>
        <w:t>incentive</w:t>
      </w:r>
      <w:r>
        <w:rPr>
          <w:spacing w:val="-5"/>
          <w:sz w:val="24"/>
        </w:rPr>
        <w:t> </w:t>
      </w:r>
      <w:r>
        <w:rPr>
          <w:sz w:val="24"/>
        </w:rPr>
        <w:t>payment</w:t>
      </w:r>
      <w:r>
        <w:rPr>
          <w:spacing w:val="-4"/>
          <w:sz w:val="24"/>
        </w:rPr>
        <w:t> </w:t>
      </w:r>
      <w:r>
        <w:rPr>
          <w:sz w:val="24"/>
        </w:rPr>
        <w:t>is</w:t>
      </w:r>
      <w:r>
        <w:rPr>
          <w:spacing w:val="-4"/>
          <w:sz w:val="24"/>
        </w:rPr>
        <w:t> </w:t>
      </w:r>
      <w:r>
        <w:rPr>
          <w:sz w:val="24"/>
        </w:rPr>
        <w:t>based,</w:t>
      </w:r>
      <w:r>
        <w:rPr>
          <w:spacing w:val="-4"/>
          <w:sz w:val="24"/>
        </w:rPr>
        <w:t> </w:t>
      </w:r>
      <w:r>
        <w:rPr>
          <w:sz w:val="24"/>
        </w:rPr>
        <w:t>as</w:t>
      </w:r>
      <w:r>
        <w:rPr>
          <w:spacing w:val="-4"/>
          <w:sz w:val="24"/>
        </w:rPr>
        <w:t> </w:t>
      </w:r>
      <w:r>
        <w:rPr>
          <w:sz w:val="24"/>
        </w:rPr>
        <w:t>necessary</w:t>
      </w:r>
      <w:r>
        <w:rPr>
          <w:spacing w:val="-8"/>
          <w:sz w:val="24"/>
        </w:rPr>
        <w:t> </w:t>
      </w:r>
      <w:r>
        <w:rPr>
          <w:sz w:val="24"/>
        </w:rPr>
        <w:t>pursuant</w:t>
      </w:r>
      <w:r>
        <w:rPr>
          <w:spacing w:val="-4"/>
          <w:sz w:val="24"/>
        </w:rPr>
        <w:t> </w:t>
      </w:r>
      <w:r>
        <w:rPr>
          <w:sz w:val="24"/>
        </w:rPr>
        <w:t>to operational processes to determine the final incentive payment amount.</w:t>
      </w:r>
    </w:p>
    <w:p>
      <w:pPr>
        <w:pStyle w:val="BodyText"/>
        <w:spacing w:before="11"/>
        <w:rPr>
          <w:sz w:val="20"/>
        </w:rPr>
      </w:pPr>
    </w:p>
    <w:tbl>
      <w:tblPr>
        <w:tblW w:w="0" w:type="auto"/>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07"/>
        <w:gridCol w:w="1428"/>
        <w:gridCol w:w="1471"/>
        <w:gridCol w:w="1387"/>
        <w:gridCol w:w="1145"/>
        <w:gridCol w:w="1143"/>
        <w:gridCol w:w="1270"/>
      </w:tblGrid>
      <w:tr>
        <w:trPr>
          <w:trHeight w:val="381" w:hRule="atLeast"/>
        </w:trPr>
        <w:tc>
          <w:tcPr>
            <w:tcW w:w="9351" w:type="dxa"/>
            <w:gridSpan w:val="7"/>
            <w:shd w:val="clear" w:color="auto" w:fill="DBE4F0"/>
          </w:tcPr>
          <w:p>
            <w:pPr>
              <w:pStyle w:val="TableParagraph"/>
              <w:spacing w:before="61"/>
              <w:ind w:left="1478" w:right="1471"/>
              <w:jc w:val="center"/>
              <w:rPr>
                <w:b/>
                <w:sz w:val="22"/>
              </w:rPr>
            </w:pPr>
            <w:r>
              <w:rPr>
                <w:b/>
                <w:sz w:val="22"/>
              </w:rPr>
              <w:t>Table</w:t>
            </w:r>
            <w:r>
              <w:rPr>
                <w:b/>
                <w:spacing w:val="-6"/>
                <w:sz w:val="22"/>
              </w:rPr>
              <w:t> </w:t>
            </w:r>
            <w:r>
              <w:rPr>
                <w:b/>
                <w:sz w:val="22"/>
              </w:rPr>
              <w:t>13:</w:t>
            </w:r>
            <w:r>
              <w:rPr>
                <w:b/>
                <w:spacing w:val="-3"/>
                <w:sz w:val="22"/>
              </w:rPr>
              <w:t> </w:t>
            </w:r>
            <w:r>
              <w:rPr>
                <w:b/>
                <w:sz w:val="22"/>
              </w:rPr>
              <w:t>Annual</w:t>
            </w:r>
            <w:r>
              <w:rPr>
                <w:b/>
                <w:spacing w:val="-3"/>
                <w:sz w:val="22"/>
              </w:rPr>
              <w:t> </w:t>
            </w:r>
            <w:r>
              <w:rPr>
                <w:b/>
                <w:sz w:val="22"/>
              </w:rPr>
              <w:t>Expenditure</w:t>
            </w:r>
            <w:r>
              <w:rPr>
                <w:b/>
                <w:spacing w:val="-4"/>
                <w:sz w:val="22"/>
              </w:rPr>
              <w:t> </w:t>
            </w:r>
            <w:r>
              <w:rPr>
                <w:b/>
                <w:sz w:val="22"/>
              </w:rPr>
              <w:t>Limits</w:t>
            </w:r>
            <w:r>
              <w:rPr>
                <w:b/>
                <w:spacing w:val="-6"/>
                <w:sz w:val="22"/>
              </w:rPr>
              <w:t> </w:t>
            </w:r>
            <w:r>
              <w:rPr>
                <w:b/>
                <w:sz w:val="22"/>
              </w:rPr>
              <w:t>(in</w:t>
            </w:r>
            <w:r>
              <w:rPr>
                <w:b/>
                <w:spacing w:val="-7"/>
                <w:sz w:val="22"/>
              </w:rPr>
              <w:t> </w:t>
            </w:r>
            <w:r>
              <w:rPr>
                <w:b/>
                <w:sz w:val="22"/>
              </w:rPr>
              <w:t>millions,</w:t>
            </w:r>
            <w:r>
              <w:rPr>
                <w:b/>
                <w:spacing w:val="-4"/>
                <w:sz w:val="22"/>
              </w:rPr>
              <w:t> </w:t>
            </w:r>
            <w:r>
              <w:rPr>
                <w:b/>
                <w:sz w:val="22"/>
              </w:rPr>
              <w:t>total</w:t>
            </w:r>
            <w:r>
              <w:rPr>
                <w:b/>
                <w:spacing w:val="-5"/>
                <w:sz w:val="22"/>
              </w:rPr>
              <w:t> </w:t>
            </w:r>
            <w:r>
              <w:rPr>
                <w:b/>
                <w:spacing w:val="-2"/>
                <w:sz w:val="22"/>
              </w:rPr>
              <w:t>computable)</w:t>
            </w:r>
          </w:p>
        </w:tc>
      </w:tr>
      <w:tr>
        <w:trPr>
          <w:trHeight w:val="503" w:hRule="atLeast"/>
        </w:trPr>
        <w:tc>
          <w:tcPr>
            <w:tcW w:w="1507" w:type="dxa"/>
            <w:shd w:val="clear" w:color="auto" w:fill="DBE4F0"/>
          </w:tcPr>
          <w:p>
            <w:pPr>
              <w:pStyle w:val="TableParagraph"/>
              <w:rPr>
                <w:sz w:val="22"/>
              </w:rPr>
            </w:pPr>
          </w:p>
        </w:tc>
        <w:tc>
          <w:tcPr>
            <w:tcW w:w="1428" w:type="dxa"/>
            <w:shd w:val="clear" w:color="auto" w:fill="DBE4F0"/>
          </w:tcPr>
          <w:p>
            <w:pPr>
              <w:pStyle w:val="TableParagraph"/>
              <w:spacing w:before="125"/>
              <w:ind w:right="403"/>
              <w:jc w:val="right"/>
              <w:rPr>
                <w:b/>
                <w:sz w:val="22"/>
              </w:rPr>
            </w:pPr>
            <w:r>
              <w:rPr>
                <w:b/>
                <w:sz w:val="22"/>
              </w:rPr>
              <w:t>DY</w:t>
            </w:r>
            <w:r>
              <w:rPr>
                <w:b/>
                <w:spacing w:val="-1"/>
                <w:sz w:val="22"/>
              </w:rPr>
              <w:t> </w:t>
            </w:r>
            <w:r>
              <w:rPr>
                <w:b/>
                <w:spacing w:val="-5"/>
                <w:sz w:val="22"/>
              </w:rPr>
              <w:t>27</w:t>
            </w:r>
          </w:p>
        </w:tc>
        <w:tc>
          <w:tcPr>
            <w:tcW w:w="1471" w:type="dxa"/>
            <w:shd w:val="clear" w:color="auto" w:fill="DBE4F0"/>
          </w:tcPr>
          <w:p>
            <w:pPr>
              <w:pStyle w:val="TableParagraph"/>
              <w:spacing w:before="125"/>
              <w:ind w:left="436"/>
              <w:rPr>
                <w:b/>
                <w:sz w:val="22"/>
              </w:rPr>
            </w:pPr>
            <w:r>
              <w:rPr>
                <w:b/>
                <w:sz w:val="22"/>
              </w:rPr>
              <w:t>DY</w:t>
            </w:r>
            <w:r>
              <w:rPr>
                <w:b/>
                <w:spacing w:val="-1"/>
                <w:sz w:val="22"/>
              </w:rPr>
              <w:t> </w:t>
            </w:r>
            <w:r>
              <w:rPr>
                <w:b/>
                <w:spacing w:val="-5"/>
                <w:sz w:val="22"/>
              </w:rPr>
              <w:t>28</w:t>
            </w:r>
          </w:p>
        </w:tc>
        <w:tc>
          <w:tcPr>
            <w:tcW w:w="1387" w:type="dxa"/>
            <w:shd w:val="clear" w:color="auto" w:fill="DBE4F0"/>
          </w:tcPr>
          <w:p>
            <w:pPr>
              <w:pStyle w:val="TableParagraph"/>
              <w:spacing w:before="125"/>
              <w:ind w:left="360" w:right="350"/>
              <w:jc w:val="center"/>
              <w:rPr>
                <w:b/>
                <w:sz w:val="22"/>
              </w:rPr>
            </w:pPr>
            <w:r>
              <w:rPr>
                <w:b/>
                <w:sz w:val="22"/>
              </w:rPr>
              <w:t>DY</w:t>
            </w:r>
            <w:r>
              <w:rPr>
                <w:b/>
                <w:spacing w:val="-1"/>
                <w:sz w:val="22"/>
              </w:rPr>
              <w:t> </w:t>
            </w:r>
            <w:r>
              <w:rPr>
                <w:b/>
                <w:spacing w:val="-5"/>
                <w:sz w:val="22"/>
              </w:rPr>
              <w:t>29</w:t>
            </w:r>
          </w:p>
        </w:tc>
        <w:tc>
          <w:tcPr>
            <w:tcW w:w="1145" w:type="dxa"/>
            <w:shd w:val="clear" w:color="auto" w:fill="DBE4F0"/>
          </w:tcPr>
          <w:p>
            <w:pPr>
              <w:pStyle w:val="TableParagraph"/>
              <w:spacing w:before="125"/>
              <w:ind w:left="238" w:right="230"/>
              <w:jc w:val="center"/>
              <w:rPr>
                <w:b/>
                <w:sz w:val="22"/>
              </w:rPr>
            </w:pPr>
            <w:r>
              <w:rPr>
                <w:b/>
                <w:sz w:val="22"/>
              </w:rPr>
              <w:t>DY</w:t>
            </w:r>
            <w:r>
              <w:rPr>
                <w:b/>
                <w:spacing w:val="-1"/>
                <w:sz w:val="22"/>
              </w:rPr>
              <w:t> </w:t>
            </w:r>
            <w:r>
              <w:rPr>
                <w:b/>
                <w:spacing w:val="-5"/>
                <w:sz w:val="22"/>
              </w:rPr>
              <w:t>30</w:t>
            </w:r>
          </w:p>
        </w:tc>
        <w:tc>
          <w:tcPr>
            <w:tcW w:w="1143" w:type="dxa"/>
            <w:shd w:val="clear" w:color="auto" w:fill="DBE4F0"/>
          </w:tcPr>
          <w:p>
            <w:pPr>
              <w:pStyle w:val="TableParagraph"/>
              <w:spacing w:before="125"/>
              <w:ind w:right="262"/>
              <w:jc w:val="right"/>
              <w:rPr>
                <w:b/>
                <w:sz w:val="22"/>
              </w:rPr>
            </w:pPr>
            <w:r>
              <w:rPr>
                <w:b/>
                <w:sz w:val="22"/>
              </w:rPr>
              <w:t>DY</w:t>
            </w:r>
            <w:r>
              <w:rPr>
                <w:b/>
                <w:spacing w:val="-1"/>
                <w:sz w:val="22"/>
              </w:rPr>
              <w:t> </w:t>
            </w:r>
            <w:r>
              <w:rPr>
                <w:b/>
                <w:spacing w:val="-5"/>
                <w:sz w:val="22"/>
              </w:rPr>
              <w:t>31</w:t>
            </w:r>
          </w:p>
        </w:tc>
        <w:tc>
          <w:tcPr>
            <w:tcW w:w="1270" w:type="dxa"/>
            <w:shd w:val="clear" w:color="auto" w:fill="DBE4F0"/>
          </w:tcPr>
          <w:p>
            <w:pPr>
              <w:pStyle w:val="TableParagraph"/>
              <w:spacing w:before="125"/>
              <w:ind w:right="324"/>
              <w:jc w:val="right"/>
              <w:rPr>
                <w:b/>
                <w:sz w:val="22"/>
              </w:rPr>
            </w:pPr>
            <w:r>
              <w:rPr>
                <w:b/>
                <w:sz w:val="22"/>
              </w:rPr>
              <w:t>DY</w:t>
            </w:r>
            <w:r>
              <w:rPr>
                <w:b/>
                <w:spacing w:val="-1"/>
                <w:sz w:val="22"/>
              </w:rPr>
              <w:t> </w:t>
            </w:r>
            <w:r>
              <w:rPr>
                <w:b/>
                <w:spacing w:val="-5"/>
                <w:sz w:val="22"/>
              </w:rPr>
              <w:t>32</w:t>
            </w:r>
          </w:p>
        </w:tc>
      </w:tr>
      <w:tr>
        <w:trPr>
          <w:trHeight w:val="522" w:hRule="atLeast"/>
        </w:trPr>
        <w:tc>
          <w:tcPr>
            <w:tcW w:w="1507" w:type="dxa"/>
          </w:tcPr>
          <w:p>
            <w:pPr>
              <w:pStyle w:val="TableParagraph"/>
              <w:spacing w:line="254" w:lineRule="exact"/>
              <w:ind w:left="107" w:right="180"/>
              <w:rPr>
                <w:sz w:val="22"/>
              </w:rPr>
            </w:pPr>
            <w:r>
              <w:rPr>
                <w:sz w:val="22"/>
              </w:rPr>
              <w:t>Private</w:t>
            </w:r>
            <w:r>
              <w:rPr>
                <w:spacing w:val="-14"/>
                <w:sz w:val="22"/>
              </w:rPr>
              <w:t> </w:t>
            </w:r>
            <w:r>
              <w:rPr>
                <w:sz w:val="22"/>
              </w:rPr>
              <w:t>Acute </w:t>
            </w:r>
            <w:r>
              <w:rPr>
                <w:spacing w:val="-2"/>
                <w:sz w:val="22"/>
              </w:rPr>
              <w:t>Hospitals</w:t>
            </w:r>
          </w:p>
        </w:tc>
        <w:tc>
          <w:tcPr>
            <w:tcW w:w="1428" w:type="dxa"/>
          </w:tcPr>
          <w:p>
            <w:pPr>
              <w:pStyle w:val="TableParagraph"/>
              <w:spacing w:before="135"/>
              <w:ind w:left="451"/>
              <w:rPr>
                <w:sz w:val="22"/>
              </w:rPr>
            </w:pPr>
            <w:r>
              <w:rPr>
                <w:spacing w:val="-4"/>
                <w:sz w:val="22"/>
              </w:rPr>
              <w:t>$80M</w:t>
            </w:r>
          </w:p>
        </w:tc>
        <w:tc>
          <w:tcPr>
            <w:tcW w:w="1471" w:type="dxa"/>
          </w:tcPr>
          <w:p>
            <w:pPr>
              <w:pStyle w:val="TableParagraph"/>
              <w:spacing w:before="135"/>
              <w:ind w:left="415"/>
              <w:rPr>
                <w:sz w:val="22"/>
              </w:rPr>
            </w:pPr>
            <w:r>
              <w:rPr>
                <w:spacing w:val="-2"/>
                <w:sz w:val="22"/>
              </w:rPr>
              <w:t>$320M</w:t>
            </w:r>
          </w:p>
        </w:tc>
        <w:tc>
          <w:tcPr>
            <w:tcW w:w="1387" w:type="dxa"/>
          </w:tcPr>
          <w:p>
            <w:pPr>
              <w:pStyle w:val="TableParagraph"/>
              <w:spacing w:before="135"/>
              <w:ind w:left="360" w:right="351"/>
              <w:jc w:val="center"/>
              <w:rPr>
                <w:sz w:val="22"/>
              </w:rPr>
            </w:pPr>
            <w:r>
              <w:rPr>
                <w:spacing w:val="-2"/>
                <w:sz w:val="22"/>
              </w:rPr>
              <w:t>$400M</w:t>
            </w:r>
          </w:p>
        </w:tc>
        <w:tc>
          <w:tcPr>
            <w:tcW w:w="1145" w:type="dxa"/>
          </w:tcPr>
          <w:p>
            <w:pPr>
              <w:pStyle w:val="TableParagraph"/>
              <w:spacing w:before="135"/>
              <w:ind w:left="238" w:right="231"/>
              <w:jc w:val="center"/>
              <w:rPr>
                <w:sz w:val="22"/>
              </w:rPr>
            </w:pPr>
            <w:r>
              <w:rPr>
                <w:spacing w:val="-2"/>
                <w:sz w:val="22"/>
              </w:rPr>
              <w:t>$400M</w:t>
            </w:r>
          </w:p>
        </w:tc>
        <w:tc>
          <w:tcPr>
            <w:tcW w:w="1143" w:type="dxa"/>
          </w:tcPr>
          <w:p>
            <w:pPr>
              <w:pStyle w:val="TableParagraph"/>
              <w:spacing w:before="135"/>
              <w:ind w:right="241"/>
              <w:jc w:val="right"/>
              <w:rPr>
                <w:sz w:val="22"/>
              </w:rPr>
            </w:pPr>
            <w:r>
              <w:rPr>
                <w:spacing w:val="-2"/>
                <w:sz w:val="22"/>
              </w:rPr>
              <w:t>$400M</w:t>
            </w:r>
          </w:p>
        </w:tc>
        <w:tc>
          <w:tcPr>
            <w:tcW w:w="1270" w:type="dxa"/>
          </w:tcPr>
          <w:p>
            <w:pPr>
              <w:pStyle w:val="TableParagraph"/>
              <w:spacing w:before="135"/>
              <w:ind w:right="304"/>
              <w:jc w:val="right"/>
              <w:rPr>
                <w:sz w:val="22"/>
              </w:rPr>
            </w:pPr>
            <w:r>
              <w:rPr>
                <w:spacing w:val="-2"/>
                <w:sz w:val="22"/>
              </w:rPr>
              <w:t>$400M</w:t>
            </w:r>
          </w:p>
        </w:tc>
      </w:tr>
      <w:tr>
        <w:trPr>
          <w:trHeight w:val="350" w:hRule="atLeast"/>
        </w:trPr>
        <w:tc>
          <w:tcPr>
            <w:tcW w:w="1507" w:type="dxa"/>
          </w:tcPr>
          <w:p>
            <w:pPr>
              <w:pStyle w:val="TableParagraph"/>
              <w:spacing w:before="49"/>
              <w:ind w:left="107"/>
              <w:rPr>
                <w:sz w:val="22"/>
              </w:rPr>
            </w:pPr>
            <w:r>
              <w:rPr>
                <w:spacing w:val="-5"/>
                <w:sz w:val="22"/>
              </w:rPr>
              <w:t>CHA</w:t>
            </w:r>
          </w:p>
        </w:tc>
        <w:tc>
          <w:tcPr>
            <w:tcW w:w="1428" w:type="dxa"/>
          </w:tcPr>
          <w:p>
            <w:pPr>
              <w:pStyle w:val="TableParagraph"/>
              <w:spacing w:before="49"/>
              <w:ind w:right="355"/>
              <w:jc w:val="right"/>
              <w:rPr>
                <w:sz w:val="22"/>
              </w:rPr>
            </w:pPr>
            <w:r>
              <w:rPr>
                <w:spacing w:val="-2"/>
                <w:sz w:val="22"/>
              </w:rPr>
              <w:t>$22.5M</w:t>
            </w:r>
          </w:p>
        </w:tc>
        <w:tc>
          <w:tcPr>
            <w:tcW w:w="1471" w:type="dxa"/>
          </w:tcPr>
          <w:p>
            <w:pPr>
              <w:pStyle w:val="TableParagraph"/>
              <w:spacing w:before="49"/>
              <w:ind w:left="470"/>
              <w:rPr>
                <w:sz w:val="22"/>
              </w:rPr>
            </w:pPr>
            <w:r>
              <w:rPr>
                <w:spacing w:val="-4"/>
                <w:sz w:val="22"/>
              </w:rPr>
              <w:t>$90M</w:t>
            </w:r>
          </w:p>
        </w:tc>
        <w:tc>
          <w:tcPr>
            <w:tcW w:w="1387" w:type="dxa"/>
          </w:tcPr>
          <w:p>
            <w:pPr>
              <w:pStyle w:val="TableParagraph"/>
              <w:spacing w:before="49"/>
              <w:ind w:left="360" w:right="351"/>
              <w:jc w:val="center"/>
              <w:rPr>
                <w:sz w:val="22"/>
              </w:rPr>
            </w:pPr>
            <w:r>
              <w:rPr>
                <w:spacing w:val="-4"/>
                <w:sz w:val="22"/>
              </w:rPr>
              <w:t>$90M</w:t>
            </w:r>
          </w:p>
        </w:tc>
        <w:tc>
          <w:tcPr>
            <w:tcW w:w="1145" w:type="dxa"/>
          </w:tcPr>
          <w:p>
            <w:pPr>
              <w:pStyle w:val="TableParagraph"/>
              <w:spacing w:before="49"/>
              <w:ind w:left="238" w:right="231"/>
              <w:jc w:val="center"/>
              <w:rPr>
                <w:sz w:val="22"/>
              </w:rPr>
            </w:pPr>
            <w:r>
              <w:rPr>
                <w:spacing w:val="-4"/>
                <w:sz w:val="22"/>
              </w:rPr>
              <w:t>$90M</w:t>
            </w:r>
          </w:p>
        </w:tc>
        <w:tc>
          <w:tcPr>
            <w:tcW w:w="1143" w:type="dxa"/>
          </w:tcPr>
          <w:p>
            <w:pPr>
              <w:pStyle w:val="TableParagraph"/>
              <w:spacing w:before="49"/>
              <w:ind w:right="296"/>
              <w:jc w:val="right"/>
              <w:rPr>
                <w:sz w:val="22"/>
              </w:rPr>
            </w:pPr>
            <w:r>
              <w:rPr>
                <w:spacing w:val="-4"/>
                <w:sz w:val="22"/>
              </w:rPr>
              <w:t>$90M</w:t>
            </w:r>
          </w:p>
        </w:tc>
        <w:tc>
          <w:tcPr>
            <w:tcW w:w="1270" w:type="dxa"/>
          </w:tcPr>
          <w:p>
            <w:pPr>
              <w:pStyle w:val="TableParagraph"/>
              <w:spacing w:before="49"/>
              <w:ind w:right="359"/>
              <w:jc w:val="right"/>
              <w:rPr>
                <w:sz w:val="22"/>
              </w:rPr>
            </w:pPr>
            <w:r>
              <w:rPr>
                <w:spacing w:val="-4"/>
                <w:sz w:val="22"/>
              </w:rPr>
              <w:t>$90M</w:t>
            </w:r>
          </w:p>
        </w:tc>
      </w:tr>
      <w:tr>
        <w:trPr>
          <w:trHeight w:val="508" w:hRule="atLeast"/>
        </w:trPr>
        <w:tc>
          <w:tcPr>
            <w:tcW w:w="1507" w:type="dxa"/>
          </w:tcPr>
          <w:p>
            <w:pPr>
              <w:pStyle w:val="TableParagraph"/>
              <w:spacing w:line="252" w:lineRule="exact"/>
              <w:ind w:left="107" w:right="180"/>
              <w:rPr>
                <w:sz w:val="22"/>
              </w:rPr>
            </w:pPr>
            <w:r>
              <w:rPr>
                <w:spacing w:val="-2"/>
                <w:sz w:val="22"/>
              </w:rPr>
              <w:t>Performance </w:t>
            </w:r>
            <w:r>
              <w:rPr>
                <w:sz w:val="22"/>
              </w:rPr>
              <w:t>Years (PY)</w:t>
            </w:r>
          </w:p>
        </w:tc>
        <w:tc>
          <w:tcPr>
            <w:tcW w:w="2899" w:type="dxa"/>
            <w:gridSpan w:val="2"/>
          </w:tcPr>
          <w:p>
            <w:pPr>
              <w:pStyle w:val="TableParagraph"/>
              <w:spacing w:before="125"/>
              <w:ind w:left="1212" w:right="1202"/>
              <w:jc w:val="center"/>
              <w:rPr>
                <w:sz w:val="22"/>
              </w:rPr>
            </w:pPr>
            <w:r>
              <w:rPr>
                <w:sz w:val="22"/>
              </w:rPr>
              <w:t>PY</w:t>
            </w:r>
            <w:r>
              <w:rPr>
                <w:spacing w:val="-2"/>
                <w:sz w:val="22"/>
              </w:rPr>
              <w:t> </w:t>
            </w:r>
            <w:r>
              <w:rPr>
                <w:spacing w:val="-10"/>
                <w:sz w:val="22"/>
              </w:rPr>
              <w:t>1</w:t>
            </w:r>
          </w:p>
        </w:tc>
        <w:tc>
          <w:tcPr>
            <w:tcW w:w="1387" w:type="dxa"/>
          </w:tcPr>
          <w:p>
            <w:pPr>
              <w:pStyle w:val="TableParagraph"/>
              <w:spacing w:before="125"/>
              <w:ind w:left="360" w:right="350"/>
              <w:jc w:val="center"/>
              <w:rPr>
                <w:sz w:val="22"/>
              </w:rPr>
            </w:pPr>
            <w:r>
              <w:rPr>
                <w:sz w:val="22"/>
              </w:rPr>
              <w:t>PY</w:t>
            </w:r>
            <w:r>
              <w:rPr>
                <w:spacing w:val="-2"/>
                <w:sz w:val="22"/>
              </w:rPr>
              <w:t> </w:t>
            </w:r>
            <w:r>
              <w:rPr>
                <w:spacing w:val="-10"/>
                <w:sz w:val="22"/>
              </w:rPr>
              <w:t>2</w:t>
            </w:r>
          </w:p>
        </w:tc>
        <w:tc>
          <w:tcPr>
            <w:tcW w:w="1145" w:type="dxa"/>
          </w:tcPr>
          <w:p>
            <w:pPr>
              <w:pStyle w:val="TableParagraph"/>
              <w:spacing w:before="125"/>
              <w:ind w:left="238" w:right="230"/>
              <w:jc w:val="center"/>
              <w:rPr>
                <w:sz w:val="22"/>
              </w:rPr>
            </w:pPr>
            <w:r>
              <w:rPr>
                <w:sz w:val="22"/>
              </w:rPr>
              <w:t>PY</w:t>
            </w:r>
            <w:r>
              <w:rPr>
                <w:spacing w:val="-2"/>
                <w:sz w:val="22"/>
              </w:rPr>
              <w:t> </w:t>
            </w:r>
            <w:r>
              <w:rPr>
                <w:spacing w:val="-10"/>
                <w:sz w:val="22"/>
              </w:rPr>
              <w:t>3</w:t>
            </w:r>
          </w:p>
        </w:tc>
        <w:tc>
          <w:tcPr>
            <w:tcW w:w="1143" w:type="dxa"/>
          </w:tcPr>
          <w:p>
            <w:pPr>
              <w:pStyle w:val="TableParagraph"/>
              <w:spacing w:before="125"/>
              <w:ind w:right="336"/>
              <w:jc w:val="right"/>
              <w:rPr>
                <w:sz w:val="22"/>
              </w:rPr>
            </w:pPr>
            <w:r>
              <w:rPr>
                <w:sz w:val="22"/>
              </w:rPr>
              <w:t>PY</w:t>
            </w:r>
            <w:r>
              <w:rPr>
                <w:spacing w:val="-2"/>
                <w:sz w:val="22"/>
              </w:rPr>
              <w:t> </w:t>
            </w:r>
            <w:r>
              <w:rPr>
                <w:spacing w:val="-10"/>
                <w:sz w:val="22"/>
              </w:rPr>
              <w:t>4</w:t>
            </w:r>
          </w:p>
        </w:tc>
        <w:tc>
          <w:tcPr>
            <w:tcW w:w="1270" w:type="dxa"/>
          </w:tcPr>
          <w:p>
            <w:pPr>
              <w:pStyle w:val="TableParagraph"/>
              <w:spacing w:before="125"/>
              <w:ind w:right="401"/>
              <w:jc w:val="right"/>
              <w:rPr>
                <w:sz w:val="22"/>
              </w:rPr>
            </w:pPr>
            <w:r>
              <w:rPr>
                <w:sz w:val="22"/>
              </w:rPr>
              <w:t>PY</w:t>
            </w:r>
            <w:r>
              <w:rPr>
                <w:spacing w:val="-2"/>
                <w:sz w:val="22"/>
              </w:rPr>
              <w:t> </w:t>
            </w:r>
            <w:r>
              <w:rPr>
                <w:spacing w:val="-10"/>
                <w:sz w:val="22"/>
              </w:rPr>
              <w:t>5</w:t>
            </w:r>
          </w:p>
        </w:tc>
      </w:tr>
    </w:tbl>
    <w:p>
      <w:pPr>
        <w:pStyle w:val="BodyText"/>
        <w:rPr>
          <w:sz w:val="26"/>
        </w:rPr>
      </w:pPr>
    </w:p>
    <w:p>
      <w:pPr>
        <w:pStyle w:val="BodyText"/>
        <w:spacing w:before="215"/>
        <w:ind w:left="871" w:right="1141"/>
      </w:pPr>
      <w:r>
        <w:rPr/>
        <w:drawing>
          <wp:anchor distT="0" distB="0" distL="0" distR="0" allowOverlap="1" layoutInCell="1" locked="0" behindDoc="0" simplePos="0" relativeHeight="15959040">
            <wp:simplePos x="0" y="0"/>
            <wp:positionH relativeFrom="page">
              <wp:posOffset>908303</wp:posOffset>
            </wp:positionH>
            <wp:positionV relativeFrom="paragraph">
              <wp:posOffset>172137</wp:posOffset>
            </wp:positionV>
            <wp:extent cx="283463" cy="112762"/>
            <wp:effectExtent l="0" t="0" r="0" b="0"/>
            <wp:wrapNone/>
            <wp:docPr id="461" name="Image 461"/>
            <wp:cNvGraphicFramePr>
              <a:graphicFrameLocks/>
            </wp:cNvGraphicFramePr>
            <a:graphic>
              <a:graphicData uri="http://schemas.openxmlformats.org/drawingml/2006/picture">
                <pic:pic>
                  <pic:nvPicPr>
                    <pic:cNvPr id="461" name="Image 461"/>
                    <pic:cNvPicPr/>
                  </pic:nvPicPr>
                  <pic:blipFill>
                    <a:blip r:embed="rId203" cstate="print"/>
                    <a:stretch>
                      <a:fillRect/>
                    </a:stretch>
                  </pic:blipFill>
                  <pic:spPr>
                    <a:xfrm>
                      <a:off x="0" y="0"/>
                      <a:ext cx="283463" cy="112762"/>
                    </a:xfrm>
                    <a:prstGeom prst="rect">
                      <a:avLst/>
                    </a:prstGeom>
                  </pic:spPr>
                </pic:pic>
              </a:graphicData>
            </a:graphic>
          </wp:anchor>
        </w:drawing>
      </w:r>
      <w:bookmarkStart w:name="14.2. Overview of Targeted Domains for I" w:id="698"/>
      <w:bookmarkEnd w:id="698"/>
      <w:r>
        <w:rPr/>
      </w:r>
      <w:r>
        <w:rPr>
          <w:b/>
        </w:rPr>
        <w:t>Overview of Targeted Domains for Improvement. </w:t>
      </w:r>
      <w:r>
        <w:rPr/>
        <w:t>The Commonwealth and participating</w:t>
      </w:r>
      <w:r>
        <w:rPr>
          <w:spacing w:val="-5"/>
        </w:rPr>
        <w:t> </w:t>
      </w:r>
      <w:r>
        <w:rPr/>
        <w:t>hospitals</w:t>
      </w:r>
      <w:r>
        <w:rPr>
          <w:spacing w:val="-2"/>
        </w:rPr>
        <w:t> </w:t>
      </w:r>
      <w:r>
        <w:rPr/>
        <w:t>will</w:t>
      </w:r>
      <w:r>
        <w:rPr>
          <w:spacing w:val="-2"/>
        </w:rPr>
        <w:t> </w:t>
      </w:r>
      <w:r>
        <w:rPr/>
        <w:t>pursue</w:t>
      </w:r>
      <w:r>
        <w:rPr>
          <w:spacing w:val="-3"/>
        </w:rPr>
        <w:t> </w:t>
      </w:r>
      <w:r>
        <w:rPr/>
        <w:t>performance</w:t>
      </w:r>
      <w:r>
        <w:rPr>
          <w:spacing w:val="-3"/>
        </w:rPr>
        <w:t> </w:t>
      </w:r>
      <w:r>
        <w:rPr/>
        <w:t>improvements</w:t>
      </w:r>
      <w:r>
        <w:rPr>
          <w:spacing w:val="-2"/>
        </w:rPr>
        <w:t> </w:t>
      </w:r>
      <w:r>
        <w:rPr/>
        <w:t>in</w:t>
      </w:r>
      <w:r>
        <w:rPr>
          <w:spacing w:val="-2"/>
        </w:rPr>
        <w:t> </w:t>
      </w:r>
      <w:r>
        <w:rPr/>
        <w:t>the</w:t>
      </w:r>
      <w:r>
        <w:rPr>
          <w:spacing w:val="-3"/>
        </w:rPr>
        <w:t> </w:t>
      </w:r>
      <w:r>
        <w:rPr/>
        <w:t>domains</w:t>
      </w:r>
      <w:r>
        <w:rPr>
          <w:spacing w:val="-2"/>
        </w:rPr>
        <w:t> </w:t>
      </w:r>
      <w:r>
        <w:rPr/>
        <w:t>specified below, as part of the Hospital Quality and Equity Initiative. Details of each domain, including performance metrics, associated interventions (including assurance of compliance</w:t>
      </w:r>
      <w:r>
        <w:rPr>
          <w:spacing w:val="-4"/>
        </w:rPr>
        <w:t> </w:t>
      </w:r>
      <w:r>
        <w:rPr/>
        <w:t>with</w:t>
      </w:r>
      <w:r>
        <w:rPr>
          <w:spacing w:val="-3"/>
        </w:rPr>
        <w:t> </w:t>
      </w:r>
      <w:r>
        <w:rPr/>
        <w:t>the</w:t>
      </w:r>
      <w:r>
        <w:rPr>
          <w:spacing w:val="-4"/>
        </w:rPr>
        <w:t> </w:t>
      </w:r>
      <w:r>
        <w:rPr/>
        <w:t>parameters</w:t>
      </w:r>
      <w:r>
        <w:rPr>
          <w:spacing w:val="-3"/>
        </w:rPr>
        <w:t> </w:t>
      </w:r>
      <w:r>
        <w:rPr/>
        <w:t>on</w:t>
      </w:r>
      <w:r>
        <w:rPr>
          <w:spacing w:val="-3"/>
        </w:rPr>
        <w:t> </w:t>
      </w:r>
      <w:r>
        <w:rPr/>
        <w:t>the</w:t>
      </w:r>
      <w:r>
        <w:rPr>
          <w:spacing w:val="-4"/>
        </w:rPr>
        <w:t> </w:t>
      </w:r>
      <w:r>
        <w:rPr/>
        <w:t>scope</w:t>
      </w:r>
      <w:r>
        <w:rPr>
          <w:spacing w:val="-4"/>
        </w:rPr>
        <w:t> </w:t>
      </w:r>
      <w:r>
        <w:rPr/>
        <w:t>of</w:t>
      </w:r>
      <w:r>
        <w:rPr>
          <w:spacing w:val="-4"/>
        </w:rPr>
        <w:t> </w:t>
      </w:r>
      <w:r>
        <w:rPr/>
        <w:t>interventions</w:t>
      </w:r>
      <w:r>
        <w:rPr>
          <w:spacing w:val="-3"/>
        </w:rPr>
        <w:t> </w:t>
      </w:r>
      <w:r>
        <w:rPr/>
        <w:t>noted</w:t>
      </w:r>
      <w:r>
        <w:rPr>
          <w:spacing w:val="-3"/>
        </w:rPr>
        <w:t> </w:t>
      </w:r>
      <w:r>
        <w:rPr/>
        <w:t>in</w:t>
      </w:r>
      <w:r>
        <w:rPr>
          <w:spacing w:val="-3"/>
        </w:rPr>
        <w:t> </w:t>
      </w:r>
      <w:r>
        <w:rPr/>
        <w:t>STC</w:t>
      </w:r>
      <w:r>
        <w:rPr>
          <w:spacing w:val="-3"/>
        </w:rPr>
        <w:t> </w:t>
      </w:r>
      <w:r>
        <w:rPr/>
        <w:t>14.12),</w:t>
      </w:r>
      <w:r>
        <w:rPr>
          <w:spacing w:val="-3"/>
        </w:rPr>
        <w:t> </w:t>
      </w:r>
      <w:r>
        <w:rPr/>
        <w:t>and reporting expectations, are described further in STCs 14.3-14.5 and will be included within the Hospital Quality and Equity Initiative Implementation Plan that will be an attachment to these STCs.</w:t>
      </w:r>
    </w:p>
    <w:p>
      <w:pPr>
        <w:pStyle w:val="BodyText"/>
        <w:spacing w:before="1"/>
        <w:rPr>
          <w:sz w:val="21"/>
        </w:rPr>
      </w:pPr>
    </w:p>
    <w:p>
      <w:pPr>
        <w:pStyle w:val="ListParagraph"/>
        <w:numPr>
          <w:ilvl w:val="0"/>
          <w:numId w:val="39"/>
        </w:numPr>
        <w:tabs>
          <w:tab w:pos="1410" w:val="left" w:leader="none"/>
        </w:tabs>
        <w:spacing w:line="240" w:lineRule="auto" w:before="0" w:after="0"/>
        <w:ind w:left="1410" w:right="0" w:hanging="359"/>
        <w:jc w:val="left"/>
        <w:rPr>
          <w:sz w:val="24"/>
        </w:rPr>
      </w:pPr>
      <w:bookmarkStart w:name="a. Domain 1: Demographic and Health-Rela" w:id="699"/>
      <w:bookmarkEnd w:id="699"/>
      <w:r>
        <w:rPr/>
      </w:r>
      <w:r>
        <w:rPr>
          <w:sz w:val="24"/>
        </w:rPr>
        <w:t>Domain</w:t>
      </w:r>
      <w:r>
        <w:rPr>
          <w:spacing w:val="-3"/>
          <w:sz w:val="24"/>
        </w:rPr>
        <w:t> </w:t>
      </w:r>
      <w:r>
        <w:rPr>
          <w:sz w:val="24"/>
        </w:rPr>
        <w:t>1:</w:t>
      </w:r>
      <w:r>
        <w:rPr>
          <w:spacing w:val="-2"/>
          <w:sz w:val="24"/>
        </w:rPr>
        <w:t> </w:t>
      </w:r>
      <w:r>
        <w:rPr>
          <w:sz w:val="24"/>
        </w:rPr>
        <w:t>Demographic</w:t>
      </w:r>
      <w:r>
        <w:rPr>
          <w:spacing w:val="-1"/>
          <w:sz w:val="24"/>
        </w:rPr>
        <w:t> </w:t>
      </w:r>
      <w:r>
        <w:rPr>
          <w:sz w:val="24"/>
        </w:rPr>
        <w:t>and</w:t>
      </w:r>
      <w:r>
        <w:rPr>
          <w:spacing w:val="-3"/>
          <w:sz w:val="24"/>
        </w:rPr>
        <w:t> </w:t>
      </w:r>
      <w:r>
        <w:rPr>
          <w:sz w:val="24"/>
        </w:rPr>
        <w:t>Health-Related</w:t>
      </w:r>
      <w:r>
        <w:rPr>
          <w:spacing w:val="-2"/>
          <w:sz w:val="24"/>
        </w:rPr>
        <w:t> </w:t>
      </w:r>
      <w:r>
        <w:rPr>
          <w:sz w:val="24"/>
        </w:rPr>
        <w:t>Social</w:t>
      </w:r>
      <w:r>
        <w:rPr>
          <w:spacing w:val="-2"/>
          <w:sz w:val="24"/>
        </w:rPr>
        <w:t> </w:t>
      </w:r>
      <w:r>
        <w:rPr>
          <w:sz w:val="24"/>
        </w:rPr>
        <w:t>Needs</w:t>
      </w:r>
      <w:r>
        <w:rPr>
          <w:spacing w:val="-2"/>
          <w:sz w:val="24"/>
        </w:rPr>
        <w:t> </w:t>
      </w:r>
      <w:r>
        <w:rPr>
          <w:spacing w:val="-4"/>
          <w:sz w:val="24"/>
        </w:rPr>
        <w:t>Data</w:t>
      </w:r>
    </w:p>
    <w:p>
      <w:pPr>
        <w:pStyle w:val="BodyText"/>
        <w:spacing w:before="10"/>
        <w:rPr>
          <w:sz w:val="20"/>
        </w:rPr>
      </w:pPr>
    </w:p>
    <w:p>
      <w:pPr>
        <w:pStyle w:val="BodyText"/>
        <w:ind w:left="1411" w:right="1057"/>
      </w:pPr>
      <w:bookmarkStart w:name="MassHealth and its participating hospita" w:id="700"/>
      <w:bookmarkEnd w:id="700"/>
      <w:r>
        <w:rPr/>
      </w:r>
      <w:r>
        <w:rPr/>
        <w:t>MassHealth and its participating hospitals will be assessed on the completeness of beneficiary-reported demographic and health-related social needs data submitted in accordance</w:t>
      </w:r>
      <w:r>
        <w:rPr>
          <w:spacing w:val="-5"/>
        </w:rPr>
        <w:t> </w:t>
      </w:r>
      <w:r>
        <w:rPr/>
        <w:t>with</w:t>
      </w:r>
      <w:r>
        <w:rPr>
          <w:spacing w:val="-4"/>
        </w:rPr>
        <w:t> </w:t>
      </w:r>
      <w:r>
        <w:rPr/>
        <w:t>the</w:t>
      </w:r>
      <w:r>
        <w:rPr>
          <w:spacing w:val="-5"/>
        </w:rPr>
        <w:t> </w:t>
      </w:r>
      <w:r>
        <w:rPr/>
        <w:t>Commonwealth’s</w:t>
      </w:r>
      <w:r>
        <w:rPr>
          <w:spacing w:val="-4"/>
        </w:rPr>
        <w:t> </w:t>
      </w:r>
      <w:r>
        <w:rPr/>
        <w:t>data</w:t>
      </w:r>
      <w:r>
        <w:rPr>
          <w:spacing w:val="-5"/>
        </w:rPr>
        <w:t> </w:t>
      </w:r>
      <w:r>
        <w:rPr/>
        <w:t>requirements</w:t>
      </w:r>
      <w:r>
        <w:rPr>
          <w:spacing w:val="-4"/>
        </w:rPr>
        <w:t> </w:t>
      </w:r>
      <w:r>
        <w:rPr/>
        <w:t>as</w:t>
      </w:r>
      <w:r>
        <w:rPr>
          <w:spacing w:val="-4"/>
        </w:rPr>
        <w:t> </w:t>
      </w:r>
      <w:r>
        <w:rPr/>
        <w:t>described</w:t>
      </w:r>
      <w:r>
        <w:rPr>
          <w:spacing w:val="-4"/>
        </w:rPr>
        <w:t> </w:t>
      </w:r>
      <w:r>
        <w:rPr/>
        <w:t>in</w:t>
      </w:r>
      <w:r>
        <w:rPr>
          <w:spacing w:val="-4"/>
        </w:rPr>
        <w:t> </w:t>
      </w:r>
      <w:r>
        <w:rPr/>
        <w:t>the</w:t>
      </w:r>
      <w:r>
        <w:rPr>
          <w:spacing w:val="-3"/>
        </w:rPr>
        <w:t> </w:t>
      </w:r>
      <w:r>
        <w:rPr/>
        <w:t>Hospital Quality</w:t>
      </w:r>
      <w:r>
        <w:rPr>
          <w:spacing w:val="-1"/>
        </w:rPr>
        <w:t> </w:t>
      </w:r>
      <w:r>
        <w:rPr/>
        <w:t>and Equity Initiative Implementation Plan.</w:t>
      </w:r>
      <w:r>
        <w:rPr>
          <w:spacing w:val="40"/>
        </w:rPr>
        <w:t> </w:t>
      </w:r>
      <w:r>
        <w:rPr/>
        <w:t>Demographic and health-related social needs data will include at least the following categories: race, ethnicity, primary language, disability status, sexual orientation, gender identity, and health- related social needs.</w:t>
      </w:r>
      <w:r>
        <w:rPr>
          <w:spacing w:val="40"/>
        </w:rPr>
        <w:t> </w:t>
      </w:r>
      <w:r>
        <w:rPr/>
        <w:t>Data completeness will be assessed separately for each data element.</w:t>
      </w:r>
      <w:r>
        <w:rPr>
          <w:spacing w:val="40"/>
        </w:rPr>
        <w:t> </w:t>
      </w:r>
      <w:r>
        <w:rPr/>
        <w:t>Details about the demographic data submission process must be described in the Hospital Quality and Equity Initiative Implementation Plan.</w:t>
      </w:r>
    </w:p>
    <w:p>
      <w:pPr>
        <w:spacing w:after="0"/>
        <w:sectPr>
          <w:pgSz w:w="12240" w:h="15840"/>
          <w:pgMar w:header="0" w:footer="1201" w:top="1360" w:bottom="1400" w:left="1200" w:right="400"/>
        </w:sectPr>
      </w:pPr>
    </w:p>
    <w:p>
      <w:pPr>
        <w:pStyle w:val="ListParagraph"/>
        <w:numPr>
          <w:ilvl w:val="0"/>
          <w:numId w:val="39"/>
        </w:numPr>
        <w:tabs>
          <w:tab w:pos="1411" w:val="left" w:leader="none"/>
        </w:tabs>
        <w:spacing w:line="240" w:lineRule="auto" w:before="79" w:after="0"/>
        <w:ind w:left="1411" w:right="0" w:hanging="360"/>
        <w:jc w:val="left"/>
        <w:rPr>
          <w:sz w:val="24"/>
        </w:rPr>
      </w:pPr>
      <w:bookmarkStart w:name="b. Domain 2: Equitable Access and Qualit" w:id="701"/>
      <w:bookmarkEnd w:id="701"/>
      <w:r>
        <w:rPr/>
      </w:r>
      <w:r>
        <w:rPr>
          <w:sz w:val="24"/>
        </w:rPr>
        <w:t>Domain</w:t>
      </w:r>
      <w:r>
        <w:rPr>
          <w:spacing w:val="-2"/>
          <w:sz w:val="24"/>
        </w:rPr>
        <w:t> </w:t>
      </w:r>
      <w:r>
        <w:rPr>
          <w:sz w:val="24"/>
        </w:rPr>
        <w:t>2:</w:t>
      </w:r>
      <w:r>
        <w:rPr>
          <w:spacing w:val="-1"/>
          <w:sz w:val="24"/>
        </w:rPr>
        <w:t> </w:t>
      </w:r>
      <w:r>
        <w:rPr>
          <w:sz w:val="24"/>
        </w:rPr>
        <w:t>Equitable</w:t>
      </w:r>
      <w:r>
        <w:rPr>
          <w:spacing w:val="-3"/>
          <w:sz w:val="24"/>
        </w:rPr>
        <w:t> </w:t>
      </w:r>
      <w:r>
        <w:rPr>
          <w:sz w:val="24"/>
        </w:rPr>
        <w:t>Access</w:t>
      </w:r>
      <w:r>
        <w:rPr>
          <w:spacing w:val="-1"/>
          <w:sz w:val="24"/>
        </w:rPr>
        <w:t> </w:t>
      </w:r>
      <w:r>
        <w:rPr>
          <w:sz w:val="24"/>
        </w:rPr>
        <w:t>and</w:t>
      </w:r>
      <w:r>
        <w:rPr>
          <w:spacing w:val="-1"/>
          <w:sz w:val="24"/>
        </w:rPr>
        <w:t> </w:t>
      </w:r>
      <w:r>
        <w:rPr>
          <w:spacing w:val="-2"/>
          <w:sz w:val="24"/>
        </w:rPr>
        <w:t>Quality</w:t>
      </w:r>
    </w:p>
    <w:p>
      <w:pPr>
        <w:pStyle w:val="BodyText"/>
        <w:spacing w:before="10"/>
        <w:rPr>
          <w:sz w:val="20"/>
        </w:rPr>
      </w:pPr>
    </w:p>
    <w:p>
      <w:pPr>
        <w:pStyle w:val="BodyText"/>
        <w:ind w:left="1411" w:right="1059"/>
      </w:pPr>
      <w:bookmarkStart w:name="MassHealth and its participating hospita" w:id="702"/>
      <w:bookmarkEnd w:id="702"/>
      <w:r>
        <w:rPr/>
      </w:r>
      <w:r>
        <w:rPr/>
        <w:t>MassHealth and its participating hospitals will be assessed on performance and demonstrated improvements on access and quality metrics, including associated reductions in disparities. Metrics willfocus on overall access; access for individuals with disabilities and/or limited English proficiency; access to preventive, perinatal, and</w:t>
      </w:r>
      <w:r>
        <w:rPr>
          <w:spacing w:val="-4"/>
        </w:rPr>
        <w:t> </w:t>
      </w:r>
      <w:r>
        <w:rPr/>
        <w:t>pediatric</w:t>
      </w:r>
      <w:r>
        <w:rPr>
          <w:spacing w:val="-3"/>
        </w:rPr>
        <w:t> </w:t>
      </w:r>
      <w:r>
        <w:rPr/>
        <w:t>care</w:t>
      </w:r>
      <w:r>
        <w:rPr>
          <w:spacing w:val="-5"/>
        </w:rPr>
        <w:t> </w:t>
      </w:r>
      <w:r>
        <w:rPr/>
        <w:t>services;</w:t>
      </w:r>
      <w:r>
        <w:rPr>
          <w:spacing w:val="-4"/>
        </w:rPr>
        <w:t> </w:t>
      </w:r>
      <w:r>
        <w:rPr/>
        <w:t>access</w:t>
      </w:r>
      <w:r>
        <w:rPr>
          <w:spacing w:val="-4"/>
        </w:rPr>
        <w:t> </w:t>
      </w:r>
      <w:r>
        <w:rPr/>
        <w:t>to</w:t>
      </w:r>
      <w:r>
        <w:rPr>
          <w:spacing w:val="-4"/>
        </w:rPr>
        <w:t> </w:t>
      </w:r>
      <w:r>
        <w:rPr/>
        <w:t>care</w:t>
      </w:r>
      <w:r>
        <w:rPr>
          <w:spacing w:val="-3"/>
        </w:rPr>
        <w:t> </w:t>
      </w:r>
      <w:r>
        <w:rPr/>
        <w:t>for</w:t>
      </w:r>
      <w:r>
        <w:rPr>
          <w:spacing w:val="-5"/>
        </w:rPr>
        <w:t> </w:t>
      </w:r>
      <w:r>
        <w:rPr/>
        <w:t>chronic</w:t>
      </w:r>
      <w:r>
        <w:rPr>
          <w:spacing w:val="-5"/>
        </w:rPr>
        <w:t> </w:t>
      </w:r>
      <w:r>
        <w:rPr/>
        <w:t>diseases</w:t>
      </w:r>
      <w:r>
        <w:rPr>
          <w:spacing w:val="-4"/>
        </w:rPr>
        <w:t> </w:t>
      </w:r>
      <w:r>
        <w:rPr/>
        <w:t>and</w:t>
      </w:r>
      <w:r>
        <w:rPr>
          <w:spacing w:val="-4"/>
        </w:rPr>
        <w:t> </w:t>
      </w:r>
      <w:r>
        <w:rPr/>
        <w:t>behavioral</w:t>
      </w:r>
      <w:r>
        <w:rPr>
          <w:spacing w:val="-4"/>
        </w:rPr>
        <w:t> </w:t>
      </w:r>
      <w:r>
        <w:rPr/>
        <w:t>health; and care coordination, as specified in the Hospital Quality and Equity Initiative Implementation Plan.</w:t>
      </w:r>
    </w:p>
    <w:p>
      <w:pPr>
        <w:pStyle w:val="BodyText"/>
        <w:spacing w:before="10"/>
        <w:rPr>
          <w:sz w:val="20"/>
        </w:rPr>
      </w:pPr>
    </w:p>
    <w:p>
      <w:pPr>
        <w:pStyle w:val="ListParagraph"/>
        <w:numPr>
          <w:ilvl w:val="0"/>
          <w:numId w:val="39"/>
        </w:numPr>
        <w:tabs>
          <w:tab w:pos="1410" w:val="left" w:leader="none"/>
        </w:tabs>
        <w:spacing w:line="240" w:lineRule="auto" w:before="0" w:after="0"/>
        <w:ind w:left="1410" w:right="0" w:hanging="359"/>
        <w:jc w:val="left"/>
        <w:rPr>
          <w:sz w:val="24"/>
        </w:rPr>
      </w:pPr>
      <w:bookmarkStart w:name="c. Domain 3: Capacity and Collaboration" w:id="703"/>
      <w:bookmarkEnd w:id="703"/>
      <w:r>
        <w:rPr/>
      </w:r>
      <w:r>
        <w:rPr>
          <w:sz w:val="24"/>
        </w:rPr>
        <w:t>Domain</w:t>
      </w:r>
      <w:r>
        <w:rPr>
          <w:spacing w:val="-1"/>
          <w:sz w:val="24"/>
        </w:rPr>
        <w:t> </w:t>
      </w:r>
      <w:r>
        <w:rPr>
          <w:sz w:val="24"/>
        </w:rPr>
        <w:t>3:</w:t>
      </w:r>
      <w:r>
        <w:rPr>
          <w:spacing w:val="-1"/>
          <w:sz w:val="24"/>
        </w:rPr>
        <w:t> </w:t>
      </w:r>
      <w:r>
        <w:rPr>
          <w:sz w:val="24"/>
        </w:rPr>
        <w:t>Capacity</w:t>
      </w:r>
      <w:r>
        <w:rPr>
          <w:spacing w:val="-4"/>
          <w:sz w:val="24"/>
        </w:rPr>
        <w:t> </w:t>
      </w:r>
      <w:r>
        <w:rPr>
          <w:sz w:val="24"/>
        </w:rPr>
        <w:t>and</w:t>
      </w:r>
      <w:r>
        <w:rPr>
          <w:spacing w:val="1"/>
          <w:sz w:val="24"/>
        </w:rPr>
        <w:t> </w:t>
      </w:r>
      <w:r>
        <w:rPr>
          <w:spacing w:val="-2"/>
          <w:sz w:val="24"/>
        </w:rPr>
        <w:t>Collaboration</w:t>
      </w:r>
    </w:p>
    <w:p>
      <w:pPr>
        <w:pStyle w:val="BodyText"/>
        <w:spacing w:before="10"/>
        <w:rPr>
          <w:sz w:val="20"/>
        </w:rPr>
      </w:pPr>
    </w:p>
    <w:p>
      <w:pPr>
        <w:pStyle w:val="BodyText"/>
        <w:ind w:left="1411" w:right="1059"/>
      </w:pPr>
      <w:bookmarkStart w:name="MassHealth and its participating hospita" w:id="704"/>
      <w:bookmarkEnd w:id="704"/>
      <w:r>
        <w:rPr/>
      </w:r>
      <w:r>
        <w:rPr/>
        <w:t>MassHealth and its participating hospitals will be assessed on improvements in metrics</w:t>
      </w:r>
      <w:r>
        <w:rPr>
          <w:spacing w:val="-4"/>
        </w:rPr>
        <w:t> </w:t>
      </w:r>
      <w:r>
        <w:rPr/>
        <w:t>such</w:t>
      </w:r>
      <w:r>
        <w:rPr>
          <w:spacing w:val="-4"/>
        </w:rPr>
        <w:t> </w:t>
      </w:r>
      <w:r>
        <w:rPr/>
        <w:t>as</w:t>
      </w:r>
      <w:r>
        <w:rPr>
          <w:spacing w:val="-4"/>
        </w:rPr>
        <w:t> </w:t>
      </w:r>
      <w:r>
        <w:rPr/>
        <w:t>provider</w:t>
      </w:r>
      <w:r>
        <w:rPr>
          <w:spacing w:val="-3"/>
        </w:rPr>
        <w:t> </w:t>
      </w:r>
      <w:r>
        <w:rPr/>
        <w:t>and</w:t>
      </w:r>
      <w:r>
        <w:rPr>
          <w:spacing w:val="-4"/>
        </w:rPr>
        <w:t> </w:t>
      </w:r>
      <w:r>
        <w:rPr/>
        <w:t>workforce</w:t>
      </w:r>
      <w:r>
        <w:rPr>
          <w:spacing w:val="-3"/>
        </w:rPr>
        <w:t> </w:t>
      </w:r>
      <w:r>
        <w:rPr/>
        <w:t>capacity</w:t>
      </w:r>
      <w:r>
        <w:rPr>
          <w:spacing w:val="-7"/>
        </w:rPr>
        <w:t> </w:t>
      </w:r>
      <w:r>
        <w:rPr/>
        <w:t>and</w:t>
      </w:r>
      <w:r>
        <w:rPr>
          <w:spacing w:val="-4"/>
        </w:rPr>
        <w:t> </w:t>
      </w:r>
      <w:r>
        <w:rPr/>
        <w:t>collaboration</w:t>
      </w:r>
      <w:r>
        <w:rPr>
          <w:spacing w:val="-4"/>
        </w:rPr>
        <w:t> </w:t>
      </w:r>
      <w:r>
        <w:rPr/>
        <w:t>between</w:t>
      </w:r>
      <w:r>
        <w:rPr>
          <w:spacing w:val="-2"/>
        </w:rPr>
        <w:t> </w:t>
      </w:r>
      <w:r>
        <w:rPr/>
        <w:t>health system partners to improve quality and reduce health care disparities.</w:t>
      </w:r>
    </w:p>
    <w:p>
      <w:pPr>
        <w:pStyle w:val="BodyText"/>
        <w:spacing w:before="10"/>
        <w:rPr>
          <w:sz w:val="20"/>
        </w:rPr>
      </w:pPr>
    </w:p>
    <w:p>
      <w:pPr>
        <w:pStyle w:val="Heading5"/>
        <w:ind w:left="931"/>
      </w:pPr>
      <w:r>
        <w:rPr/>
        <w:drawing>
          <wp:anchor distT="0" distB="0" distL="0" distR="0" allowOverlap="1" layoutInCell="1" locked="0" behindDoc="0" simplePos="0" relativeHeight="15959552">
            <wp:simplePos x="0" y="0"/>
            <wp:positionH relativeFrom="page">
              <wp:posOffset>908303</wp:posOffset>
            </wp:positionH>
            <wp:positionV relativeFrom="paragraph">
              <wp:posOffset>35599</wp:posOffset>
            </wp:positionV>
            <wp:extent cx="283463" cy="112775"/>
            <wp:effectExtent l="0" t="0" r="0" b="0"/>
            <wp:wrapNone/>
            <wp:docPr id="462" name="Image 462"/>
            <wp:cNvGraphicFramePr>
              <a:graphicFrameLocks/>
            </wp:cNvGraphicFramePr>
            <a:graphic>
              <a:graphicData uri="http://schemas.openxmlformats.org/drawingml/2006/picture">
                <pic:pic>
                  <pic:nvPicPr>
                    <pic:cNvPr id="462" name="Image 462"/>
                    <pic:cNvPicPr/>
                  </pic:nvPicPr>
                  <pic:blipFill>
                    <a:blip r:embed="rId204" cstate="print"/>
                    <a:stretch>
                      <a:fillRect/>
                    </a:stretch>
                  </pic:blipFill>
                  <pic:spPr>
                    <a:xfrm>
                      <a:off x="0" y="0"/>
                      <a:ext cx="283463" cy="112775"/>
                    </a:xfrm>
                    <a:prstGeom prst="rect">
                      <a:avLst/>
                    </a:prstGeom>
                  </pic:spPr>
                </pic:pic>
              </a:graphicData>
            </a:graphic>
          </wp:anchor>
        </w:drawing>
      </w:r>
      <w:bookmarkStart w:name="14.3.  Demographic and Health-Related So" w:id="705"/>
      <w:bookmarkEnd w:id="705"/>
      <w:r>
        <w:rPr>
          <w:b w:val="0"/>
        </w:rPr>
      </w:r>
      <w:r>
        <w:rPr/>
        <w:t>Demographic</w:t>
      </w:r>
      <w:r>
        <w:rPr>
          <w:spacing w:val="-4"/>
        </w:rPr>
        <w:t> </w:t>
      </w:r>
      <w:r>
        <w:rPr/>
        <w:t>and</w:t>
      </w:r>
      <w:r>
        <w:rPr>
          <w:spacing w:val="-3"/>
        </w:rPr>
        <w:t> </w:t>
      </w:r>
      <w:r>
        <w:rPr/>
        <w:t>Health-Related</w:t>
      </w:r>
      <w:r>
        <w:rPr>
          <w:spacing w:val="-3"/>
        </w:rPr>
        <w:t> </w:t>
      </w:r>
      <w:r>
        <w:rPr/>
        <w:t>Social</w:t>
      </w:r>
      <w:r>
        <w:rPr>
          <w:spacing w:val="-3"/>
        </w:rPr>
        <w:t> </w:t>
      </w:r>
      <w:r>
        <w:rPr/>
        <w:t>Needs</w:t>
      </w:r>
      <w:r>
        <w:rPr>
          <w:spacing w:val="-3"/>
        </w:rPr>
        <w:t> </w:t>
      </w:r>
      <w:r>
        <w:rPr/>
        <w:t>Data</w:t>
      </w:r>
      <w:r>
        <w:rPr>
          <w:spacing w:val="-3"/>
        </w:rPr>
        <w:t> </w:t>
      </w:r>
      <w:r>
        <w:rPr/>
        <w:t>Collection</w:t>
      </w:r>
      <w:r>
        <w:rPr>
          <w:spacing w:val="-2"/>
        </w:rPr>
        <w:t> </w:t>
      </w:r>
      <w:r>
        <w:rPr/>
        <w:t>Domain</w:t>
      </w:r>
      <w:r>
        <w:rPr>
          <w:spacing w:val="-3"/>
        </w:rPr>
        <w:t> </w:t>
      </w:r>
      <w:r>
        <w:rPr>
          <w:spacing w:val="-2"/>
        </w:rPr>
        <w:t>Goals</w:t>
      </w:r>
    </w:p>
    <w:p>
      <w:pPr>
        <w:pStyle w:val="BodyText"/>
        <w:spacing w:before="10"/>
        <w:rPr>
          <w:b/>
          <w:sz w:val="20"/>
        </w:rPr>
      </w:pPr>
    </w:p>
    <w:p>
      <w:pPr>
        <w:pStyle w:val="ListParagraph"/>
        <w:numPr>
          <w:ilvl w:val="0"/>
          <w:numId w:val="40"/>
        </w:numPr>
        <w:tabs>
          <w:tab w:pos="1411" w:val="left" w:leader="none"/>
        </w:tabs>
        <w:spacing w:line="240" w:lineRule="auto" w:before="0" w:after="0"/>
        <w:ind w:left="1411" w:right="1118" w:hanging="360"/>
        <w:jc w:val="left"/>
        <w:rPr>
          <w:sz w:val="24"/>
        </w:rPr>
      </w:pPr>
      <w:bookmarkStart w:name="a. MassHealth will submit to CMS an asse" w:id="706"/>
      <w:bookmarkEnd w:id="706"/>
      <w:r>
        <w:rPr/>
      </w:r>
      <w:r>
        <w:rPr>
          <w:sz w:val="24"/>
        </w:rPr>
        <w:t>MassHealth</w:t>
      </w:r>
      <w:r>
        <w:rPr>
          <w:spacing w:val="-5"/>
          <w:sz w:val="24"/>
        </w:rPr>
        <w:t> </w:t>
      </w:r>
      <w:r>
        <w:rPr>
          <w:sz w:val="24"/>
        </w:rPr>
        <w:t>will</w:t>
      </w:r>
      <w:r>
        <w:rPr>
          <w:spacing w:val="-5"/>
          <w:sz w:val="24"/>
        </w:rPr>
        <w:t> </w:t>
      </w:r>
      <w:r>
        <w:rPr>
          <w:sz w:val="24"/>
        </w:rPr>
        <w:t>submit</w:t>
      </w:r>
      <w:r>
        <w:rPr>
          <w:spacing w:val="-5"/>
          <w:sz w:val="24"/>
        </w:rPr>
        <w:t> </w:t>
      </w:r>
      <w:r>
        <w:rPr>
          <w:sz w:val="24"/>
        </w:rPr>
        <w:t>to</w:t>
      </w:r>
      <w:r>
        <w:rPr>
          <w:spacing w:val="-5"/>
          <w:sz w:val="24"/>
        </w:rPr>
        <w:t> </w:t>
      </w:r>
      <w:r>
        <w:rPr>
          <w:sz w:val="24"/>
        </w:rPr>
        <w:t>CMS</w:t>
      </w:r>
      <w:r>
        <w:rPr>
          <w:spacing w:val="-5"/>
          <w:sz w:val="24"/>
        </w:rPr>
        <w:t> </w:t>
      </w:r>
      <w:r>
        <w:rPr>
          <w:sz w:val="24"/>
        </w:rPr>
        <w:t>an</w:t>
      </w:r>
      <w:r>
        <w:rPr>
          <w:spacing w:val="-5"/>
          <w:sz w:val="24"/>
        </w:rPr>
        <w:t> </w:t>
      </w:r>
      <w:r>
        <w:rPr>
          <w:sz w:val="24"/>
        </w:rPr>
        <w:t>assessment</w:t>
      </w:r>
      <w:r>
        <w:rPr>
          <w:spacing w:val="-5"/>
          <w:sz w:val="24"/>
        </w:rPr>
        <w:t> </w:t>
      </w:r>
      <w:r>
        <w:rPr>
          <w:sz w:val="24"/>
        </w:rPr>
        <w:t>of</w:t>
      </w:r>
      <w:r>
        <w:rPr>
          <w:spacing w:val="-6"/>
          <w:sz w:val="24"/>
        </w:rPr>
        <w:t> </w:t>
      </w:r>
      <w:r>
        <w:rPr>
          <w:sz w:val="24"/>
        </w:rPr>
        <w:t>beneficiary-reported</w:t>
      </w:r>
      <w:r>
        <w:rPr>
          <w:spacing w:val="-5"/>
          <w:sz w:val="24"/>
        </w:rPr>
        <w:t> </w:t>
      </w:r>
      <w:r>
        <w:rPr>
          <w:sz w:val="24"/>
        </w:rPr>
        <w:t>demographic and health-related social needs data adequacy and completeness for purposes of the Hospital Quality and Equity Initiative by July 1, 2023.</w:t>
      </w:r>
    </w:p>
    <w:p>
      <w:pPr>
        <w:pStyle w:val="BodyText"/>
        <w:spacing w:before="10"/>
        <w:rPr>
          <w:sz w:val="20"/>
        </w:rPr>
      </w:pPr>
    </w:p>
    <w:p>
      <w:pPr>
        <w:pStyle w:val="ListParagraph"/>
        <w:numPr>
          <w:ilvl w:val="0"/>
          <w:numId w:val="40"/>
        </w:numPr>
        <w:tabs>
          <w:tab w:pos="1411" w:val="left" w:leader="none"/>
        </w:tabs>
        <w:spacing w:line="240" w:lineRule="auto" w:before="0" w:after="0"/>
        <w:ind w:left="1411" w:right="1063" w:hanging="360"/>
        <w:jc w:val="left"/>
        <w:rPr>
          <w:sz w:val="24"/>
        </w:rPr>
      </w:pPr>
      <w:bookmarkStart w:name="b. MassHealth and its participating hosp" w:id="707"/>
      <w:bookmarkEnd w:id="707"/>
      <w:r>
        <w:rPr/>
      </w:r>
      <w:r>
        <w:rPr>
          <w:sz w:val="24"/>
        </w:rPr>
        <w:t>MassHealth and its participating hospitals will be incentivized through annual milestones to meet an interim goal of 80 percent data completeness for self-reported race and ethnicity</w:t>
      </w:r>
      <w:r>
        <w:rPr>
          <w:spacing w:val="-2"/>
          <w:sz w:val="24"/>
        </w:rPr>
        <w:t> </w:t>
      </w:r>
      <w:r>
        <w:rPr>
          <w:sz w:val="24"/>
        </w:rPr>
        <w:t>data by the end of PY3 (DY30), meaning that the Commonwealth must require participating</w:t>
      </w:r>
      <w:r>
        <w:rPr>
          <w:spacing w:val="-2"/>
          <w:sz w:val="24"/>
        </w:rPr>
        <w:t> </w:t>
      </w:r>
      <w:r>
        <w:rPr>
          <w:sz w:val="24"/>
        </w:rPr>
        <w:t>hospitals to collect and submit data to the Commonwealth in a consistent format for at least 80 percent of beneficiaries who received care at participating</w:t>
      </w:r>
      <w:r>
        <w:rPr>
          <w:spacing w:val="-6"/>
          <w:sz w:val="24"/>
        </w:rPr>
        <w:t> </w:t>
      </w:r>
      <w:r>
        <w:rPr>
          <w:sz w:val="24"/>
        </w:rPr>
        <w:t>hospitals</w:t>
      </w:r>
      <w:r>
        <w:rPr>
          <w:spacing w:val="-3"/>
          <w:sz w:val="24"/>
        </w:rPr>
        <w:t> </w:t>
      </w:r>
      <w:r>
        <w:rPr>
          <w:sz w:val="24"/>
        </w:rPr>
        <w:t>as</w:t>
      </w:r>
      <w:r>
        <w:rPr>
          <w:spacing w:val="-1"/>
          <w:sz w:val="24"/>
        </w:rPr>
        <w:t> </w:t>
      </w:r>
      <w:r>
        <w:rPr>
          <w:sz w:val="24"/>
        </w:rPr>
        <w:t>further</w:t>
      </w:r>
      <w:r>
        <w:rPr>
          <w:spacing w:val="-4"/>
          <w:sz w:val="24"/>
        </w:rPr>
        <w:t> </w:t>
      </w:r>
      <w:r>
        <w:rPr>
          <w:sz w:val="24"/>
        </w:rPr>
        <w:t>defined</w:t>
      </w:r>
      <w:r>
        <w:rPr>
          <w:spacing w:val="-3"/>
          <w:sz w:val="24"/>
        </w:rPr>
        <w:t> </w:t>
      </w:r>
      <w:r>
        <w:rPr>
          <w:sz w:val="24"/>
        </w:rPr>
        <w:t>in</w:t>
      </w:r>
      <w:r>
        <w:rPr>
          <w:spacing w:val="-3"/>
          <w:sz w:val="24"/>
        </w:rPr>
        <w:t> </w:t>
      </w:r>
      <w:r>
        <w:rPr>
          <w:sz w:val="24"/>
        </w:rPr>
        <w:t>the</w:t>
      </w:r>
      <w:r>
        <w:rPr>
          <w:spacing w:val="-4"/>
          <w:sz w:val="24"/>
        </w:rPr>
        <w:t> </w:t>
      </w:r>
      <w:r>
        <w:rPr>
          <w:sz w:val="24"/>
        </w:rPr>
        <w:t>Hospital</w:t>
      </w:r>
      <w:r>
        <w:rPr>
          <w:spacing w:val="-3"/>
          <w:sz w:val="24"/>
        </w:rPr>
        <w:t> </w:t>
      </w:r>
      <w:r>
        <w:rPr>
          <w:sz w:val="24"/>
        </w:rPr>
        <w:t>Quality</w:t>
      </w:r>
      <w:r>
        <w:rPr>
          <w:spacing w:val="-8"/>
          <w:sz w:val="24"/>
        </w:rPr>
        <w:t> </w:t>
      </w:r>
      <w:r>
        <w:rPr>
          <w:sz w:val="24"/>
        </w:rPr>
        <w:t>and</w:t>
      </w:r>
      <w:r>
        <w:rPr>
          <w:spacing w:val="-3"/>
          <w:sz w:val="24"/>
        </w:rPr>
        <w:t> </w:t>
      </w:r>
      <w:r>
        <w:rPr>
          <w:sz w:val="24"/>
        </w:rPr>
        <w:t>Equity</w:t>
      </w:r>
      <w:r>
        <w:rPr>
          <w:spacing w:val="-4"/>
          <w:sz w:val="24"/>
        </w:rPr>
        <w:t> </w:t>
      </w:r>
      <w:r>
        <w:rPr>
          <w:sz w:val="24"/>
        </w:rPr>
        <w:t>Initiative Implementation Plan.</w:t>
      </w:r>
    </w:p>
    <w:p>
      <w:pPr>
        <w:pStyle w:val="BodyText"/>
        <w:spacing w:before="10"/>
        <w:rPr>
          <w:sz w:val="20"/>
        </w:rPr>
      </w:pPr>
    </w:p>
    <w:p>
      <w:pPr>
        <w:pStyle w:val="ListParagraph"/>
        <w:numPr>
          <w:ilvl w:val="0"/>
          <w:numId w:val="40"/>
        </w:numPr>
        <w:tabs>
          <w:tab w:pos="1411" w:val="left" w:leader="none"/>
        </w:tabs>
        <w:spacing w:line="240" w:lineRule="auto" w:before="1" w:after="0"/>
        <w:ind w:left="1411" w:right="1081" w:hanging="360"/>
        <w:jc w:val="left"/>
        <w:rPr>
          <w:sz w:val="24"/>
        </w:rPr>
      </w:pPr>
      <w:bookmarkStart w:name="c. MassHealth and its participating hosp" w:id="708"/>
      <w:bookmarkEnd w:id="708"/>
      <w:r>
        <w:rPr/>
      </w:r>
      <w:r>
        <w:rPr>
          <w:sz w:val="24"/>
        </w:rPr>
        <w:t>MassHealth and its participating hospitals will be incentivized through annual milestones to achieve at least 80 percent data completeness for beneficiary-reported other</w:t>
      </w:r>
      <w:r>
        <w:rPr>
          <w:spacing w:val="-4"/>
          <w:sz w:val="24"/>
        </w:rPr>
        <w:t> </w:t>
      </w:r>
      <w:r>
        <w:rPr>
          <w:sz w:val="24"/>
        </w:rPr>
        <w:t>demographic</w:t>
      </w:r>
      <w:r>
        <w:rPr>
          <w:spacing w:val="-4"/>
          <w:sz w:val="24"/>
        </w:rPr>
        <w:t> </w:t>
      </w:r>
      <w:r>
        <w:rPr>
          <w:sz w:val="24"/>
        </w:rPr>
        <w:t>data</w:t>
      </w:r>
      <w:r>
        <w:rPr>
          <w:spacing w:val="-4"/>
          <w:sz w:val="24"/>
        </w:rPr>
        <w:t> </w:t>
      </w:r>
      <w:r>
        <w:rPr>
          <w:sz w:val="24"/>
        </w:rPr>
        <w:t>(including</w:t>
      </w:r>
      <w:r>
        <w:rPr>
          <w:spacing w:val="-6"/>
          <w:sz w:val="24"/>
        </w:rPr>
        <w:t> </w:t>
      </w:r>
      <w:r>
        <w:rPr>
          <w:sz w:val="24"/>
        </w:rPr>
        <w:t>at</w:t>
      </w:r>
      <w:r>
        <w:rPr>
          <w:spacing w:val="-3"/>
          <w:sz w:val="24"/>
        </w:rPr>
        <w:t> </w:t>
      </w:r>
      <w:r>
        <w:rPr>
          <w:sz w:val="24"/>
        </w:rPr>
        <w:t>least</w:t>
      </w:r>
      <w:r>
        <w:rPr>
          <w:spacing w:val="-3"/>
          <w:sz w:val="24"/>
        </w:rPr>
        <w:t> </w:t>
      </w:r>
      <w:r>
        <w:rPr>
          <w:sz w:val="24"/>
        </w:rPr>
        <w:t>primary</w:t>
      </w:r>
      <w:r>
        <w:rPr>
          <w:spacing w:val="-6"/>
          <w:sz w:val="24"/>
        </w:rPr>
        <w:t> </w:t>
      </w:r>
      <w:r>
        <w:rPr>
          <w:sz w:val="24"/>
        </w:rPr>
        <w:t>language,</w:t>
      </w:r>
      <w:r>
        <w:rPr>
          <w:spacing w:val="-3"/>
          <w:sz w:val="24"/>
        </w:rPr>
        <w:t> </w:t>
      </w:r>
      <w:r>
        <w:rPr>
          <w:sz w:val="24"/>
        </w:rPr>
        <w:t>disability</w:t>
      </w:r>
      <w:r>
        <w:rPr>
          <w:spacing w:val="-8"/>
          <w:sz w:val="24"/>
        </w:rPr>
        <w:t> </w:t>
      </w:r>
      <w:r>
        <w:rPr>
          <w:sz w:val="24"/>
        </w:rPr>
        <w:t>status,</w:t>
      </w:r>
      <w:r>
        <w:rPr>
          <w:spacing w:val="-3"/>
          <w:sz w:val="24"/>
        </w:rPr>
        <w:t> </w:t>
      </w:r>
      <w:r>
        <w:rPr>
          <w:sz w:val="24"/>
        </w:rPr>
        <w:t>sexual orientation and gender identity) by the end of PY5 (DY32), meaning that the Commonwealth must require</w:t>
      </w:r>
      <w:r>
        <w:rPr>
          <w:spacing w:val="-1"/>
          <w:sz w:val="24"/>
        </w:rPr>
        <w:t> </w:t>
      </w:r>
      <w:r>
        <w:rPr>
          <w:sz w:val="24"/>
        </w:rPr>
        <w:t>participating</w:t>
      </w:r>
      <w:r>
        <w:rPr>
          <w:spacing w:val="-3"/>
          <w:sz w:val="24"/>
        </w:rPr>
        <w:t> </w:t>
      </w:r>
      <w:r>
        <w:rPr>
          <w:sz w:val="24"/>
        </w:rPr>
        <w:t>hospitals to collect and submit data</w:t>
      </w:r>
      <w:r>
        <w:rPr>
          <w:spacing w:val="-1"/>
          <w:sz w:val="24"/>
        </w:rPr>
        <w:t> </w:t>
      </w:r>
      <w:r>
        <w:rPr>
          <w:sz w:val="24"/>
        </w:rPr>
        <w:t>to the Commonwealth in a consistent format for at least 80 percent of beneficiaries who received care at Massachusetts participating hospitals as further defined in the Hospital Quality and Equity Initiative Implementation Plan.</w:t>
      </w:r>
    </w:p>
    <w:p>
      <w:pPr>
        <w:pStyle w:val="BodyText"/>
        <w:spacing w:before="10"/>
        <w:rPr>
          <w:sz w:val="20"/>
        </w:rPr>
      </w:pPr>
    </w:p>
    <w:p>
      <w:pPr>
        <w:pStyle w:val="ListParagraph"/>
        <w:numPr>
          <w:ilvl w:val="0"/>
          <w:numId w:val="40"/>
        </w:numPr>
        <w:tabs>
          <w:tab w:pos="1411" w:val="left" w:leader="none"/>
        </w:tabs>
        <w:spacing w:line="240" w:lineRule="auto" w:before="0" w:after="0"/>
        <w:ind w:left="1411" w:right="1141" w:hanging="360"/>
        <w:jc w:val="left"/>
        <w:rPr>
          <w:sz w:val="24"/>
        </w:rPr>
      </w:pPr>
      <w:bookmarkStart w:name="d. MassHealth and its participating hosp" w:id="709"/>
      <w:bookmarkEnd w:id="709"/>
      <w:r>
        <w:rPr/>
      </w:r>
      <w:r>
        <w:rPr>
          <w:sz w:val="24"/>
        </w:rPr>
        <w:t>MassHealth and its participating hospitals will be incentivized to meaningfully improve rates of health-related social needs screenings from the baseline period by the end of PY5 (DY 32).</w:t>
      </w:r>
      <w:r>
        <w:rPr>
          <w:spacing w:val="40"/>
          <w:sz w:val="24"/>
        </w:rPr>
        <w:t> </w:t>
      </w:r>
      <w:r>
        <w:rPr>
          <w:sz w:val="24"/>
        </w:rPr>
        <w:t>To meet this goal, hospitals must not only conduct screenings of beneficiaries, but establish the capacity to track and report on screenings and referrals.</w:t>
      </w:r>
      <w:r>
        <w:rPr>
          <w:spacing w:val="40"/>
          <w:sz w:val="24"/>
        </w:rPr>
        <w:t> </w:t>
      </w:r>
      <w:r>
        <w:rPr>
          <w:sz w:val="24"/>
        </w:rPr>
        <w:t>CMS and the Commonwealth will agree to the specific annual</w:t>
      </w:r>
      <w:r>
        <w:rPr>
          <w:spacing w:val="-2"/>
          <w:sz w:val="24"/>
        </w:rPr>
        <w:t> </w:t>
      </w:r>
      <w:r>
        <w:rPr>
          <w:sz w:val="24"/>
        </w:rPr>
        <w:t>goal</w:t>
      </w:r>
      <w:r>
        <w:rPr>
          <w:spacing w:val="-4"/>
          <w:sz w:val="24"/>
        </w:rPr>
        <w:t> </w:t>
      </w:r>
      <w:r>
        <w:rPr>
          <w:sz w:val="24"/>
        </w:rPr>
        <w:t>through</w:t>
      </w:r>
      <w:r>
        <w:rPr>
          <w:spacing w:val="-4"/>
          <w:sz w:val="24"/>
        </w:rPr>
        <w:t> </w:t>
      </w:r>
      <w:r>
        <w:rPr>
          <w:sz w:val="24"/>
        </w:rPr>
        <w:t>the</w:t>
      </w:r>
      <w:r>
        <w:rPr>
          <w:spacing w:val="-3"/>
          <w:sz w:val="24"/>
        </w:rPr>
        <w:t> </w:t>
      </w:r>
      <w:r>
        <w:rPr>
          <w:sz w:val="24"/>
        </w:rPr>
        <w:t>Hospital</w:t>
      </w:r>
      <w:r>
        <w:rPr>
          <w:spacing w:val="-4"/>
          <w:sz w:val="24"/>
        </w:rPr>
        <w:t> </w:t>
      </w:r>
      <w:r>
        <w:rPr>
          <w:sz w:val="24"/>
        </w:rPr>
        <w:t>Quality</w:t>
      </w:r>
      <w:r>
        <w:rPr>
          <w:spacing w:val="-9"/>
          <w:sz w:val="24"/>
        </w:rPr>
        <w:t> </w:t>
      </w:r>
      <w:r>
        <w:rPr>
          <w:sz w:val="24"/>
        </w:rPr>
        <w:t>and</w:t>
      </w:r>
      <w:r>
        <w:rPr>
          <w:spacing w:val="-4"/>
          <w:sz w:val="24"/>
        </w:rPr>
        <w:t> </w:t>
      </w:r>
      <w:r>
        <w:rPr>
          <w:sz w:val="24"/>
        </w:rPr>
        <w:t>Equity</w:t>
      </w:r>
      <w:r>
        <w:rPr>
          <w:spacing w:val="-7"/>
          <w:sz w:val="24"/>
        </w:rPr>
        <w:t> </w:t>
      </w:r>
      <w:r>
        <w:rPr>
          <w:sz w:val="24"/>
        </w:rPr>
        <w:t>Initiative</w:t>
      </w:r>
      <w:r>
        <w:rPr>
          <w:spacing w:val="-3"/>
          <w:sz w:val="24"/>
        </w:rPr>
        <w:t> </w:t>
      </w:r>
      <w:r>
        <w:rPr>
          <w:sz w:val="24"/>
        </w:rPr>
        <w:t>Implementation</w:t>
      </w:r>
      <w:r>
        <w:rPr>
          <w:spacing w:val="-4"/>
          <w:sz w:val="24"/>
        </w:rPr>
        <w:t> </w:t>
      </w:r>
      <w:r>
        <w:rPr>
          <w:sz w:val="24"/>
        </w:rPr>
        <w:t>Plan, based on a background assessment of current hospital capacity on these aspects, focusing on aggressive but achievable improvement.</w:t>
      </w:r>
    </w:p>
    <w:p>
      <w:pPr>
        <w:spacing w:after="0" w:line="240" w:lineRule="auto"/>
        <w:jc w:val="left"/>
        <w:rPr>
          <w:sz w:val="24"/>
        </w:rPr>
        <w:sectPr>
          <w:pgSz w:w="12240" w:h="15840"/>
          <w:pgMar w:header="0" w:footer="1201" w:top="1360" w:bottom="1400" w:left="1200" w:right="400"/>
        </w:sectPr>
      </w:pPr>
    </w:p>
    <w:p>
      <w:pPr>
        <w:pStyle w:val="ListParagraph"/>
        <w:numPr>
          <w:ilvl w:val="0"/>
          <w:numId w:val="40"/>
        </w:numPr>
        <w:tabs>
          <w:tab w:pos="1411" w:val="left" w:leader="none"/>
        </w:tabs>
        <w:spacing w:line="240" w:lineRule="auto" w:before="79" w:after="0"/>
        <w:ind w:left="1411" w:right="1111" w:hanging="360"/>
        <w:jc w:val="left"/>
        <w:rPr>
          <w:sz w:val="24"/>
        </w:rPr>
      </w:pPr>
      <w:bookmarkStart w:name="e. For the purposes of measuring benefic" w:id="710"/>
      <w:bookmarkEnd w:id="710"/>
      <w:r>
        <w:rPr/>
      </w:r>
      <w:r>
        <w:rPr>
          <w:sz w:val="24"/>
        </w:rPr>
        <w:t>For the purposes of measuring</w:t>
      </w:r>
      <w:r>
        <w:rPr>
          <w:spacing w:val="-1"/>
          <w:sz w:val="24"/>
        </w:rPr>
        <w:t> </w:t>
      </w:r>
      <w:r>
        <w:rPr>
          <w:sz w:val="24"/>
        </w:rPr>
        <w:t>beneficiary-reported data completeness demographic and health-related social needs screening data, beneficiaries who affirmatively decline</w:t>
      </w:r>
      <w:r>
        <w:rPr>
          <w:spacing w:val="-4"/>
          <w:sz w:val="24"/>
        </w:rPr>
        <w:t> </w:t>
      </w:r>
      <w:r>
        <w:rPr>
          <w:sz w:val="24"/>
        </w:rPr>
        <w:t>to</w:t>
      </w:r>
      <w:r>
        <w:rPr>
          <w:spacing w:val="-3"/>
          <w:sz w:val="24"/>
        </w:rPr>
        <w:t> </w:t>
      </w:r>
      <w:r>
        <w:rPr>
          <w:sz w:val="24"/>
        </w:rPr>
        <w:t>provide</w:t>
      </w:r>
      <w:r>
        <w:rPr>
          <w:spacing w:val="-4"/>
          <w:sz w:val="24"/>
        </w:rPr>
        <w:t> </w:t>
      </w:r>
      <w:r>
        <w:rPr>
          <w:sz w:val="24"/>
        </w:rPr>
        <w:t>a</w:t>
      </w:r>
      <w:r>
        <w:rPr>
          <w:spacing w:val="-2"/>
          <w:sz w:val="24"/>
        </w:rPr>
        <w:t> </w:t>
      </w:r>
      <w:r>
        <w:rPr>
          <w:sz w:val="24"/>
        </w:rPr>
        <w:t>response</w:t>
      </w:r>
      <w:r>
        <w:rPr>
          <w:spacing w:val="-4"/>
          <w:sz w:val="24"/>
        </w:rPr>
        <w:t> </w:t>
      </w:r>
      <w:r>
        <w:rPr>
          <w:sz w:val="24"/>
        </w:rPr>
        <w:t>(for</w:t>
      </w:r>
      <w:r>
        <w:rPr>
          <w:spacing w:val="-2"/>
          <w:sz w:val="24"/>
        </w:rPr>
        <w:t> </w:t>
      </w:r>
      <w:r>
        <w:rPr>
          <w:sz w:val="24"/>
        </w:rPr>
        <w:t>example,</w:t>
      </w:r>
      <w:r>
        <w:rPr>
          <w:spacing w:val="-3"/>
          <w:sz w:val="24"/>
        </w:rPr>
        <w:t> </w:t>
      </w:r>
      <w:r>
        <w:rPr>
          <w:sz w:val="24"/>
        </w:rPr>
        <w:t>by</w:t>
      </w:r>
      <w:r>
        <w:rPr>
          <w:spacing w:val="-8"/>
          <w:sz w:val="24"/>
        </w:rPr>
        <w:t> </w:t>
      </w:r>
      <w:r>
        <w:rPr>
          <w:sz w:val="24"/>
        </w:rPr>
        <w:t>indicating</w:t>
      </w:r>
      <w:r>
        <w:rPr>
          <w:spacing w:val="-6"/>
          <w:sz w:val="24"/>
        </w:rPr>
        <w:t> </w:t>
      </w:r>
      <w:r>
        <w:rPr>
          <w:sz w:val="24"/>
        </w:rPr>
        <w:t>in</w:t>
      </w:r>
      <w:r>
        <w:rPr>
          <w:spacing w:val="-3"/>
          <w:sz w:val="24"/>
        </w:rPr>
        <w:t> </w:t>
      </w:r>
      <w:r>
        <w:rPr>
          <w:sz w:val="24"/>
        </w:rPr>
        <w:t>their</w:t>
      </w:r>
      <w:r>
        <w:rPr>
          <w:spacing w:val="-2"/>
          <w:sz w:val="24"/>
        </w:rPr>
        <w:t> </w:t>
      </w:r>
      <w:r>
        <w:rPr>
          <w:sz w:val="24"/>
        </w:rPr>
        <w:t>response</w:t>
      </w:r>
      <w:r>
        <w:rPr>
          <w:spacing w:val="-2"/>
          <w:sz w:val="24"/>
        </w:rPr>
        <w:t> </w:t>
      </w:r>
      <w:r>
        <w:rPr>
          <w:sz w:val="24"/>
        </w:rPr>
        <w:t>“refuse</w:t>
      </w:r>
      <w:r>
        <w:rPr>
          <w:spacing w:val="-4"/>
          <w:sz w:val="24"/>
        </w:rPr>
        <w:t> </w:t>
      </w:r>
      <w:r>
        <w:rPr>
          <w:sz w:val="24"/>
        </w:rPr>
        <w:t>to respond” or “don’t know” or other applicable but consistent value) shall be considered to have reported for purpose of data completeness.</w:t>
      </w:r>
    </w:p>
    <w:p>
      <w:pPr>
        <w:pStyle w:val="BodyText"/>
        <w:spacing w:before="10"/>
        <w:rPr>
          <w:sz w:val="20"/>
        </w:rPr>
      </w:pPr>
    </w:p>
    <w:p>
      <w:pPr>
        <w:pStyle w:val="Heading5"/>
        <w:ind w:left="931"/>
      </w:pPr>
      <w:r>
        <w:rPr/>
        <w:drawing>
          <wp:anchor distT="0" distB="0" distL="0" distR="0" allowOverlap="1" layoutInCell="1" locked="0" behindDoc="0" simplePos="0" relativeHeight="15960064">
            <wp:simplePos x="0" y="0"/>
            <wp:positionH relativeFrom="page">
              <wp:posOffset>908303</wp:posOffset>
            </wp:positionH>
            <wp:positionV relativeFrom="paragraph">
              <wp:posOffset>35612</wp:posOffset>
            </wp:positionV>
            <wp:extent cx="283463" cy="112763"/>
            <wp:effectExtent l="0" t="0" r="0" b="0"/>
            <wp:wrapNone/>
            <wp:docPr id="463" name="Image 463"/>
            <wp:cNvGraphicFramePr>
              <a:graphicFrameLocks/>
            </wp:cNvGraphicFramePr>
            <a:graphic>
              <a:graphicData uri="http://schemas.openxmlformats.org/drawingml/2006/picture">
                <pic:pic>
                  <pic:nvPicPr>
                    <pic:cNvPr id="463" name="Image 463"/>
                    <pic:cNvPicPr/>
                  </pic:nvPicPr>
                  <pic:blipFill>
                    <a:blip r:embed="rId205" cstate="print"/>
                    <a:stretch>
                      <a:fillRect/>
                    </a:stretch>
                  </pic:blipFill>
                  <pic:spPr>
                    <a:xfrm>
                      <a:off x="0" y="0"/>
                      <a:ext cx="283463" cy="112763"/>
                    </a:xfrm>
                    <a:prstGeom prst="rect">
                      <a:avLst/>
                    </a:prstGeom>
                  </pic:spPr>
                </pic:pic>
              </a:graphicData>
            </a:graphic>
          </wp:anchor>
        </w:drawing>
      </w:r>
      <w:bookmarkStart w:name="14.4.  Equitable Quality and Access Doma" w:id="711"/>
      <w:bookmarkEnd w:id="711"/>
      <w:r>
        <w:rPr>
          <w:b w:val="0"/>
        </w:rPr>
      </w:r>
      <w:r>
        <w:rPr/>
        <w:t>Equitable</w:t>
      </w:r>
      <w:r>
        <w:rPr>
          <w:spacing w:val="-6"/>
        </w:rPr>
        <w:t> </w:t>
      </w:r>
      <w:r>
        <w:rPr/>
        <w:t>Quality</w:t>
      </w:r>
      <w:r>
        <w:rPr>
          <w:spacing w:val="-2"/>
        </w:rPr>
        <w:t> </w:t>
      </w:r>
      <w:r>
        <w:rPr/>
        <w:t>and</w:t>
      </w:r>
      <w:r>
        <w:rPr>
          <w:spacing w:val="-4"/>
        </w:rPr>
        <w:t> </w:t>
      </w:r>
      <w:r>
        <w:rPr/>
        <w:t>Access</w:t>
      </w:r>
      <w:r>
        <w:rPr>
          <w:spacing w:val="-2"/>
        </w:rPr>
        <w:t> </w:t>
      </w:r>
      <w:r>
        <w:rPr/>
        <w:t>Domain</w:t>
      </w:r>
      <w:r>
        <w:rPr>
          <w:spacing w:val="-2"/>
        </w:rPr>
        <w:t> Goals</w:t>
      </w:r>
    </w:p>
    <w:p>
      <w:pPr>
        <w:pStyle w:val="BodyText"/>
        <w:spacing w:before="10"/>
        <w:rPr>
          <w:b/>
          <w:sz w:val="20"/>
        </w:rPr>
      </w:pPr>
    </w:p>
    <w:p>
      <w:pPr>
        <w:pStyle w:val="ListParagraph"/>
        <w:numPr>
          <w:ilvl w:val="0"/>
          <w:numId w:val="41"/>
        </w:numPr>
        <w:tabs>
          <w:tab w:pos="1411" w:val="left" w:leader="none"/>
        </w:tabs>
        <w:spacing w:line="240" w:lineRule="auto" w:before="0" w:after="0"/>
        <w:ind w:left="1411" w:right="1112" w:hanging="360"/>
        <w:jc w:val="left"/>
        <w:rPr>
          <w:sz w:val="24"/>
        </w:rPr>
      </w:pPr>
      <w:bookmarkStart w:name="a. MassHealth and its participating hosp" w:id="712"/>
      <w:bookmarkEnd w:id="712"/>
      <w:r>
        <w:rPr/>
      </w:r>
      <w:r>
        <w:rPr>
          <w:sz w:val="24"/>
        </w:rPr>
        <w:t>MassHealth and its participating hospitals will be incentivized for performance on metrics</w:t>
      </w:r>
      <w:r>
        <w:rPr>
          <w:spacing w:val="-3"/>
          <w:sz w:val="24"/>
        </w:rPr>
        <w:t> </w:t>
      </w:r>
      <w:r>
        <w:rPr>
          <w:sz w:val="24"/>
        </w:rPr>
        <w:t>such</w:t>
      </w:r>
      <w:r>
        <w:rPr>
          <w:spacing w:val="-3"/>
          <w:sz w:val="24"/>
        </w:rPr>
        <w:t> </w:t>
      </w:r>
      <w:r>
        <w:rPr>
          <w:sz w:val="24"/>
        </w:rPr>
        <w:t>as</w:t>
      </w:r>
      <w:r>
        <w:rPr>
          <w:spacing w:val="-3"/>
          <w:sz w:val="24"/>
        </w:rPr>
        <w:t> </w:t>
      </w:r>
      <w:r>
        <w:rPr>
          <w:sz w:val="24"/>
        </w:rPr>
        <w:t>those</w:t>
      </w:r>
      <w:r>
        <w:rPr>
          <w:spacing w:val="-4"/>
          <w:sz w:val="24"/>
        </w:rPr>
        <w:t> </w:t>
      </w:r>
      <w:r>
        <w:rPr>
          <w:sz w:val="24"/>
        </w:rPr>
        <w:t>related</w:t>
      </w:r>
      <w:r>
        <w:rPr>
          <w:spacing w:val="-3"/>
          <w:sz w:val="24"/>
        </w:rPr>
        <w:t> </w:t>
      </w:r>
      <w:r>
        <w:rPr>
          <w:sz w:val="24"/>
        </w:rPr>
        <w:t>to</w:t>
      </w:r>
      <w:r>
        <w:rPr>
          <w:spacing w:val="-3"/>
          <w:sz w:val="24"/>
        </w:rPr>
        <w:t> </w:t>
      </w:r>
      <w:r>
        <w:rPr>
          <w:sz w:val="24"/>
        </w:rPr>
        <w:t>access</w:t>
      </w:r>
      <w:r>
        <w:rPr>
          <w:spacing w:val="-3"/>
          <w:sz w:val="24"/>
        </w:rPr>
        <w:t> </w:t>
      </w:r>
      <w:r>
        <w:rPr>
          <w:sz w:val="24"/>
        </w:rPr>
        <w:t>to</w:t>
      </w:r>
      <w:r>
        <w:rPr>
          <w:spacing w:val="-3"/>
          <w:sz w:val="24"/>
        </w:rPr>
        <w:t> </w:t>
      </w:r>
      <w:r>
        <w:rPr>
          <w:sz w:val="24"/>
        </w:rPr>
        <w:t>care</w:t>
      </w:r>
      <w:r>
        <w:rPr>
          <w:spacing w:val="-4"/>
          <w:sz w:val="24"/>
        </w:rPr>
        <w:t> </w:t>
      </w:r>
      <w:r>
        <w:rPr>
          <w:sz w:val="24"/>
        </w:rPr>
        <w:t>(including</w:t>
      </w:r>
      <w:r>
        <w:rPr>
          <w:spacing w:val="-6"/>
          <w:sz w:val="24"/>
        </w:rPr>
        <w:t> </w:t>
      </w:r>
      <w:r>
        <w:rPr>
          <w:sz w:val="24"/>
        </w:rPr>
        <w:t>for</w:t>
      </w:r>
      <w:r>
        <w:rPr>
          <w:spacing w:val="-4"/>
          <w:sz w:val="24"/>
        </w:rPr>
        <w:t> </w:t>
      </w:r>
      <w:r>
        <w:rPr>
          <w:sz w:val="24"/>
        </w:rPr>
        <w:t>individuals</w:t>
      </w:r>
      <w:r>
        <w:rPr>
          <w:spacing w:val="-3"/>
          <w:sz w:val="24"/>
        </w:rPr>
        <w:t> </w:t>
      </w:r>
      <w:r>
        <w:rPr>
          <w:sz w:val="24"/>
        </w:rPr>
        <w:t>with</w:t>
      </w:r>
      <w:r>
        <w:rPr>
          <w:spacing w:val="-3"/>
          <w:sz w:val="24"/>
        </w:rPr>
        <w:t> </w:t>
      </w:r>
      <w:r>
        <w:rPr>
          <w:sz w:val="24"/>
        </w:rPr>
        <w:t>limited English proficiency and/or disability), preventive, perinatal, and pediatric care, care for</w:t>
      </w:r>
      <w:r>
        <w:rPr>
          <w:spacing w:val="-2"/>
          <w:sz w:val="24"/>
        </w:rPr>
        <w:t> </w:t>
      </w:r>
      <w:r>
        <w:rPr>
          <w:sz w:val="24"/>
        </w:rPr>
        <w:t>chronic</w:t>
      </w:r>
      <w:r>
        <w:rPr>
          <w:spacing w:val="-2"/>
          <w:sz w:val="24"/>
        </w:rPr>
        <w:t> </w:t>
      </w:r>
      <w:r>
        <w:rPr>
          <w:sz w:val="24"/>
        </w:rPr>
        <w:t>diseases,</w:t>
      </w:r>
      <w:r>
        <w:rPr>
          <w:spacing w:val="-1"/>
          <w:sz w:val="24"/>
        </w:rPr>
        <w:t> </w:t>
      </w:r>
      <w:r>
        <w:rPr>
          <w:sz w:val="24"/>
        </w:rPr>
        <w:t>behavioral</w:t>
      </w:r>
      <w:r>
        <w:rPr>
          <w:spacing w:val="-1"/>
          <w:sz w:val="24"/>
        </w:rPr>
        <w:t> </w:t>
      </w:r>
      <w:r>
        <w:rPr>
          <w:sz w:val="24"/>
        </w:rPr>
        <w:t>health,</w:t>
      </w:r>
      <w:r>
        <w:rPr>
          <w:spacing w:val="-1"/>
          <w:sz w:val="24"/>
        </w:rPr>
        <w:t> </w:t>
      </w:r>
      <w:r>
        <w:rPr>
          <w:sz w:val="24"/>
        </w:rPr>
        <w:t>care coordination,</w:t>
      </w:r>
      <w:r>
        <w:rPr>
          <w:spacing w:val="-1"/>
          <w:sz w:val="24"/>
        </w:rPr>
        <w:t> </w:t>
      </w:r>
      <w:r>
        <w:rPr>
          <w:sz w:val="24"/>
        </w:rPr>
        <w:t>and/or</w:t>
      </w:r>
      <w:r>
        <w:rPr>
          <w:spacing w:val="-2"/>
          <w:sz w:val="24"/>
        </w:rPr>
        <w:t> </w:t>
      </w:r>
      <w:r>
        <w:rPr>
          <w:sz w:val="24"/>
        </w:rPr>
        <w:t>patient</w:t>
      </w:r>
      <w:r>
        <w:rPr>
          <w:spacing w:val="-1"/>
          <w:sz w:val="24"/>
        </w:rPr>
        <w:t> </w:t>
      </w:r>
      <w:r>
        <w:rPr>
          <w:sz w:val="24"/>
        </w:rPr>
        <w:t>experience. Subject to CMS approval and informed by the Needs Assessments, the Commonwealth will select a subset of measures from the following priority areas,at least three relevant measures from CMS’s Health Equity Measure Slate for hospital performance and at least seven for statewide performance:</w:t>
      </w:r>
    </w:p>
    <w:p>
      <w:pPr>
        <w:pStyle w:val="BodyText"/>
        <w:spacing w:before="10"/>
        <w:rPr>
          <w:sz w:val="20"/>
        </w:rPr>
      </w:pPr>
    </w:p>
    <w:p>
      <w:pPr>
        <w:pStyle w:val="BodyText"/>
        <w:ind w:left="2040" w:right="1179"/>
      </w:pPr>
      <w:r>
        <w:rPr/>
        <w:drawing>
          <wp:anchor distT="0" distB="0" distL="0" distR="0" allowOverlap="1" layoutInCell="1" locked="0" behindDoc="0" simplePos="0" relativeHeight="15960576">
            <wp:simplePos x="0" y="0"/>
            <wp:positionH relativeFrom="page">
              <wp:posOffset>1862327</wp:posOffset>
            </wp:positionH>
            <wp:positionV relativeFrom="paragraph">
              <wp:posOffset>32551</wp:posOffset>
            </wp:positionV>
            <wp:extent cx="73151" cy="115823"/>
            <wp:effectExtent l="0" t="0" r="0" b="0"/>
            <wp:wrapNone/>
            <wp:docPr id="464" name="Image 464"/>
            <wp:cNvGraphicFramePr>
              <a:graphicFrameLocks/>
            </wp:cNvGraphicFramePr>
            <a:graphic>
              <a:graphicData uri="http://schemas.openxmlformats.org/drawingml/2006/picture">
                <pic:pic>
                  <pic:nvPicPr>
                    <pic:cNvPr id="464" name="Image 464"/>
                    <pic:cNvPicPr/>
                  </pic:nvPicPr>
                  <pic:blipFill>
                    <a:blip r:embed="rId61" cstate="print"/>
                    <a:stretch>
                      <a:fillRect/>
                    </a:stretch>
                  </pic:blipFill>
                  <pic:spPr>
                    <a:xfrm>
                      <a:off x="0" y="0"/>
                      <a:ext cx="73151" cy="115823"/>
                    </a:xfrm>
                    <a:prstGeom prst="rect">
                      <a:avLst/>
                    </a:prstGeom>
                  </pic:spPr>
                </pic:pic>
              </a:graphicData>
            </a:graphic>
          </wp:anchor>
        </w:drawing>
      </w:r>
      <w:bookmarkStart w:name="i. maternal health (except as inapplicab" w:id="713"/>
      <w:bookmarkEnd w:id="713"/>
      <w:r>
        <w:rPr/>
      </w:r>
      <w:r>
        <w:rPr/>
        <w:t>maternal</w:t>
      </w:r>
      <w:r>
        <w:rPr>
          <w:spacing w:val="-4"/>
        </w:rPr>
        <w:t> </w:t>
      </w:r>
      <w:r>
        <w:rPr/>
        <w:t>health</w:t>
      </w:r>
      <w:r>
        <w:rPr>
          <w:spacing w:val="-4"/>
        </w:rPr>
        <w:t> </w:t>
      </w:r>
      <w:r>
        <w:rPr/>
        <w:t>(except</w:t>
      </w:r>
      <w:r>
        <w:rPr>
          <w:spacing w:val="-4"/>
        </w:rPr>
        <w:t> </w:t>
      </w:r>
      <w:r>
        <w:rPr/>
        <w:t>as</w:t>
      </w:r>
      <w:r>
        <w:rPr>
          <w:spacing w:val="-4"/>
        </w:rPr>
        <w:t> </w:t>
      </w:r>
      <w:r>
        <w:rPr/>
        <w:t>inapplicable</w:t>
      </w:r>
      <w:r>
        <w:rPr>
          <w:spacing w:val="-5"/>
        </w:rPr>
        <w:t> </w:t>
      </w:r>
      <w:r>
        <w:rPr/>
        <w:t>if</w:t>
      </w:r>
      <w:r>
        <w:rPr>
          <w:spacing w:val="-5"/>
        </w:rPr>
        <w:t> </w:t>
      </w:r>
      <w:r>
        <w:rPr/>
        <w:t>a</w:t>
      </w:r>
      <w:r>
        <w:rPr>
          <w:spacing w:val="-5"/>
        </w:rPr>
        <w:t> </w:t>
      </w:r>
      <w:r>
        <w:rPr/>
        <w:t>hospital</w:t>
      </w:r>
      <w:r>
        <w:rPr>
          <w:spacing w:val="-4"/>
        </w:rPr>
        <w:t> </w:t>
      </w:r>
      <w:r>
        <w:rPr/>
        <w:t>has</w:t>
      </w:r>
      <w:r>
        <w:rPr>
          <w:spacing w:val="-4"/>
        </w:rPr>
        <w:t> </w:t>
      </w:r>
      <w:r>
        <w:rPr/>
        <w:t>a</w:t>
      </w:r>
      <w:r>
        <w:rPr>
          <w:spacing w:val="-5"/>
        </w:rPr>
        <w:t> </w:t>
      </w:r>
      <w:r>
        <w:rPr/>
        <w:t>non-birthing hospital status);</w:t>
      </w:r>
    </w:p>
    <w:p>
      <w:pPr>
        <w:pStyle w:val="BodyText"/>
        <w:spacing w:before="161"/>
        <w:ind w:left="2040"/>
      </w:pPr>
      <w:r>
        <w:rPr/>
        <w:drawing>
          <wp:anchor distT="0" distB="0" distL="0" distR="0" allowOverlap="1" layoutInCell="1" locked="0" behindDoc="0" simplePos="0" relativeHeight="15961088">
            <wp:simplePos x="0" y="0"/>
            <wp:positionH relativeFrom="page">
              <wp:posOffset>1819655</wp:posOffset>
            </wp:positionH>
            <wp:positionV relativeFrom="paragraph">
              <wp:posOffset>134786</wp:posOffset>
            </wp:positionV>
            <wp:extent cx="115823" cy="115823"/>
            <wp:effectExtent l="0" t="0" r="0" b="0"/>
            <wp:wrapNone/>
            <wp:docPr id="465" name="Image 465"/>
            <wp:cNvGraphicFramePr>
              <a:graphicFrameLocks/>
            </wp:cNvGraphicFramePr>
            <a:graphic>
              <a:graphicData uri="http://schemas.openxmlformats.org/drawingml/2006/picture">
                <pic:pic>
                  <pic:nvPicPr>
                    <pic:cNvPr id="465" name="Image 465"/>
                    <pic:cNvPicPr/>
                  </pic:nvPicPr>
                  <pic:blipFill>
                    <a:blip r:embed="rId117" cstate="print"/>
                    <a:stretch>
                      <a:fillRect/>
                    </a:stretch>
                  </pic:blipFill>
                  <pic:spPr>
                    <a:xfrm>
                      <a:off x="0" y="0"/>
                      <a:ext cx="115823" cy="115823"/>
                    </a:xfrm>
                    <a:prstGeom prst="rect">
                      <a:avLst/>
                    </a:prstGeom>
                  </pic:spPr>
                </pic:pic>
              </a:graphicData>
            </a:graphic>
          </wp:anchor>
        </w:drawing>
      </w:r>
      <w:bookmarkStart w:name="ii. care coordination;" w:id="714"/>
      <w:bookmarkEnd w:id="714"/>
      <w:r>
        <w:rPr/>
      </w:r>
      <w:r>
        <w:rPr/>
        <w:t>care</w:t>
      </w:r>
      <w:r>
        <w:rPr>
          <w:spacing w:val="-2"/>
        </w:rPr>
        <w:t> coordination;</w:t>
      </w:r>
    </w:p>
    <w:p>
      <w:pPr>
        <w:pStyle w:val="BodyText"/>
        <w:spacing w:line="379" w:lineRule="auto" w:before="158"/>
        <w:ind w:left="2040" w:right="4081"/>
      </w:pPr>
      <w:r>
        <w:rPr/>
        <w:drawing>
          <wp:anchor distT="0" distB="0" distL="0" distR="0" allowOverlap="1" layoutInCell="1" locked="0" behindDoc="0" simplePos="0" relativeHeight="15961600">
            <wp:simplePos x="0" y="0"/>
            <wp:positionH relativeFrom="page">
              <wp:posOffset>1778507</wp:posOffset>
            </wp:positionH>
            <wp:positionV relativeFrom="paragraph">
              <wp:posOffset>132881</wp:posOffset>
            </wp:positionV>
            <wp:extent cx="158495" cy="115823"/>
            <wp:effectExtent l="0" t="0" r="0" b="0"/>
            <wp:wrapNone/>
            <wp:docPr id="466" name="Image 466"/>
            <wp:cNvGraphicFramePr>
              <a:graphicFrameLocks/>
            </wp:cNvGraphicFramePr>
            <a:graphic>
              <a:graphicData uri="http://schemas.openxmlformats.org/drawingml/2006/picture">
                <pic:pic>
                  <pic:nvPicPr>
                    <pic:cNvPr id="466" name="Image 466"/>
                    <pic:cNvPicPr/>
                  </pic:nvPicPr>
                  <pic:blipFill>
                    <a:blip r:embed="rId134" cstate="print"/>
                    <a:stretch>
                      <a:fillRect/>
                    </a:stretch>
                  </pic:blipFill>
                  <pic:spPr>
                    <a:xfrm>
                      <a:off x="0" y="0"/>
                      <a:ext cx="158495" cy="115823"/>
                    </a:xfrm>
                    <a:prstGeom prst="rect">
                      <a:avLst/>
                    </a:prstGeom>
                  </pic:spPr>
                </pic:pic>
              </a:graphicData>
            </a:graphic>
          </wp:anchor>
        </w:drawing>
      </w:r>
      <w:r>
        <w:rPr/>
        <w:drawing>
          <wp:anchor distT="0" distB="0" distL="0" distR="0" allowOverlap="1" layoutInCell="1" locked="0" behindDoc="0" simplePos="0" relativeHeight="15962112">
            <wp:simplePos x="0" y="0"/>
            <wp:positionH relativeFrom="page">
              <wp:posOffset>1786127</wp:posOffset>
            </wp:positionH>
            <wp:positionV relativeFrom="paragraph">
              <wp:posOffset>410249</wp:posOffset>
            </wp:positionV>
            <wp:extent cx="149339" cy="115823"/>
            <wp:effectExtent l="0" t="0" r="0" b="0"/>
            <wp:wrapNone/>
            <wp:docPr id="467" name="Image 467"/>
            <wp:cNvGraphicFramePr>
              <a:graphicFrameLocks/>
            </wp:cNvGraphicFramePr>
            <a:graphic>
              <a:graphicData uri="http://schemas.openxmlformats.org/drawingml/2006/picture">
                <pic:pic>
                  <pic:nvPicPr>
                    <pic:cNvPr id="467" name="Image 467"/>
                    <pic:cNvPicPr/>
                  </pic:nvPicPr>
                  <pic:blipFill>
                    <a:blip r:embed="rId96" cstate="print"/>
                    <a:stretch>
                      <a:fillRect/>
                    </a:stretch>
                  </pic:blipFill>
                  <pic:spPr>
                    <a:xfrm>
                      <a:off x="0" y="0"/>
                      <a:ext cx="149339" cy="115823"/>
                    </a:xfrm>
                    <a:prstGeom prst="rect">
                      <a:avLst/>
                    </a:prstGeom>
                  </pic:spPr>
                </pic:pic>
              </a:graphicData>
            </a:graphic>
          </wp:anchor>
        </w:drawing>
      </w:r>
      <w:bookmarkStart w:name="iii. care for acute and/or chronic condi" w:id="715"/>
      <w:bookmarkEnd w:id="715"/>
      <w:r>
        <w:rPr/>
      </w:r>
      <w:r>
        <w:rPr/>
        <w:t>care for acute and/or chronic conditions; </w:t>
      </w:r>
      <w:bookmarkStart w:name="iv. patient experience of and/or access " w:id="716"/>
      <w:bookmarkEnd w:id="716"/>
      <w:r>
        <w:rPr/>
        <w:t>p</w:t>
      </w:r>
      <w:r>
        <w:rPr/>
        <w:t>atient</w:t>
      </w:r>
      <w:r>
        <w:rPr>
          <w:spacing w:val="-7"/>
        </w:rPr>
        <w:t> </w:t>
      </w:r>
      <w:r>
        <w:rPr/>
        <w:t>experience</w:t>
      </w:r>
      <w:r>
        <w:rPr>
          <w:spacing w:val="-8"/>
        </w:rPr>
        <w:t> </w:t>
      </w:r>
      <w:r>
        <w:rPr/>
        <w:t>of</w:t>
      </w:r>
      <w:r>
        <w:rPr>
          <w:spacing w:val="-6"/>
        </w:rPr>
        <w:t> </w:t>
      </w:r>
      <w:r>
        <w:rPr/>
        <w:t>and/or</w:t>
      </w:r>
      <w:r>
        <w:rPr>
          <w:spacing w:val="-8"/>
        </w:rPr>
        <w:t> </w:t>
      </w:r>
      <w:r>
        <w:rPr/>
        <w:t>access</w:t>
      </w:r>
      <w:r>
        <w:rPr>
          <w:spacing w:val="-7"/>
        </w:rPr>
        <w:t> </w:t>
      </w:r>
      <w:r>
        <w:rPr/>
        <w:t>to</w:t>
      </w:r>
      <w:r>
        <w:rPr>
          <w:spacing w:val="-7"/>
        </w:rPr>
        <w:t> </w:t>
      </w:r>
      <w:r>
        <w:rPr/>
        <w:t>care.</w:t>
      </w:r>
    </w:p>
    <w:p>
      <w:pPr>
        <w:pStyle w:val="BodyText"/>
        <w:spacing w:before="40"/>
        <w:ind w:left="1411" w:right="1086"/>
      </w:pPr>
      <w:r>
        <w:rPr/>
        <w:drawing>
          <wp:anchor distT="0" distB="0" distL="0" distR="0" allowOverlap="1" layoutInCell="1" locked="0" behindDoc="0" simplePos="0" relativeHeight="15962624">
            <wp:simplePos x="0" y="0"/>
            <wp:positionH relativeFrom="page">
              <wp:posOffset>1424939</wp:posOffset>
            </wp:positionH>
            <wp:positionV relativeFrom="paragraph">
              <wp:posOffset>57951</wp:posOffset>
            </wp:positionV>
            <wp:extent cx="111251" cy="115823"/>
            <wp:effectExtent l="0" t="0" r="0" b="0"/>
            <wp:wrapNone/>
            <wp:docPr id="468" name="Image 468"/>
            <wp:cNvGraphicFramePr>
              <a:graphicFrameLocks/>
            </wp:cNvGraphicFramePr>
            <a:graphic>
              <a:graphicData uri="http://schemas.openxmlformats.org/drawingml/2006/picture">
                <pic:pic>
                  <pic:nvPicPr>
                    <pic:cNvPr id="468" name="Image 468"/>
                    <pic:cNvPicPr/>
                  </pic:nvPicPr>
                  <pic:blipFill>
                    <a:blip r:embed="rId63" cstate="print"/>
                    <a:stretch>
                      <a:fillRect/>
                    </a:stretch>
                  </pic:blipFill>
                  <pic:spPr>
                    <a:xfrm>
                      <a:off x="0" y="0"/>
                      <a:ext cx="111251" cy="115823"/>
                    </a:xfrm>
                    <a:prstGeom prst="rect">
                      <a:avLst/>
                    </a:prstGeom>
                  </pic:spPr>
                </pic:pic>
              </a:graphicData>
            </a:graphic>
          </wp:anchor>
        </w:drawing>
      </w:r>
      <w:bookmarkStart w:name="b. Metric performance expectations shall" w:id="717"/>
      <w:bookmarkEnd w:id="717"/>
      <w:r>
        <w:rPr/>
      </w:r>
      <w:r>
        <w:rPr/>
        <w:t>Metric</w:t>
      </w:r>
      <w:r>
        <w:rPr>
          <w:spacing w:val="-5"/>
        </w:rPr>
        <w:t> </w:t>
      </w:r>
      <w:r>
        <w:rPr/>
        <w:t>performance</w:t>
      </w:r>
      <w:r>
        <w:rPr>
          <w:spacing w:val="-5"/>
        </w:rPr>
        <w:t> </w:t>
      </w:r>
      <w:r>
        <w:rPr/>
        <w:t>expectations</w:t>
      </w:r>
      <w:r>
        <w:rPr>
          <w:spacing w:val="-4"/>
        </w:rPr>
        <w:t> </w:t>
      </w:r>
      <w:r>
        <w:rPr/>
        <w:t>shall</w:t>
      </w:r>
      <w:r>
        <w:rPr>
          <w:spacing w:val="-4"/>
        </w:rPr>
        <w:t> </w:t>
      </w:r>
      <w:r>
        <w:rPr/>
        <w:t>be</w:t>
      </w:r>
      <w:r>
        <w:rPr>
          <w:spacing w:val="-5"/>
        </w:rPr>
        <w:t> </w:t>
      </w:r>
      <w:r>
        <w:rPr/>
        <w:t>specified</w:t>
      </w:r>
      <w:r>
        <w:rPr>
          <w:spacing w:val="-4"/>
        </w:rPr>
        <w:t> </w:t>
      </w:r>
      <w:r>
        <w:rPr/>
        <w:t>further</w:t>
      </w:r>
      <w:r>
        <w:rPr>
          <w:spacing w:val="-5"/>
        </w:rPr>
        <w:t> </w:t>
      </w:r>
      <w:r>
        <w:rPr/>
        <w:t>in</w:t>
      </w:r>
      <w:r>
        <w:rPr>
          <w:spacing w:val="-4"/>
        </w:rPr>
        <w:t> </w:t>
      </w:r>
      <w:r>
        <w:rPr/>
        <w:t>the</w:t>
      </w:r>
      <w:r>
        <w:rPr>
          <w:spacing w:val="-5"/>
        </w:rPr>
        <w:t> </w:t>
      </w:r>
      <w:r>
        <w:rPr/>
        <w:t>Hospital</w:t>
      </w:r>
      <w:r>
        <w:rPr>
          <w:spacing w:val="-2"/>
        </w:rPr>
        <w:t> </w:t>
      </w:r>
      <w:r>
        <w:rPr/>
        <w:t>Quality and Equity Initiative Implementation Plan and shall include, at a minimum:</w:t>
      </w:r>
    </w:p>
    <w:p>
      <w:pPr>
        <w:pStyle w:val="BodyText"/>
        <w:spacing w:before="10"/>
        <w:rPr>
          <w:sz w:val="20"/>
        </w:rPr>
      </w:pPr>
    </w:p>
    <w:p>
      <w:pPr>
        <w:pStyle w:val="BodyText"/>
        <w:ind w:left="2039" w:right="1141"/>
      </w:pPr>
      <w:r>
        <w:rPr/>
        <w:drawing>
          <wp:anchor distT="0" distB="0" distL="0" distR="0" allowOverlap="1" layoutInCell="1" locked="0" behindDoc="0" simplePos="0" relativeHeight="15963136">
            <wp:simplePos x="0" y="0"/>
            <wp:positionH relativeFrom="page">
              <wp:posOffset>1862327</wp:posOffset>
            </wp:positionH>
            <wp:positionV relativeFrom="paragraph">
              <wp:posOffset>32551</wp:posOffset>
            </wp:positionV>
            <wp:extent cx="73151" cy="115823"/>
            <wp:effectExtent l="0" t="0" r="0" b="0"/>
            <wp:wrapNone/>
            <wp:docPr id="469" name="Image 469"/>
            <wp:cNvGraphicFramePr>
              <a:graphicFrameLocks/>
            </wp:cNvGraphicFramePr>
            <a:graphic>
              <a:graphicData uri="http://schemas.openxmlformats.org/drawingml/2006/picture">
                <pic:pic>
                  <pic:nvPicPr>
                    <pic:cNvPr id="469" name="Image 469"/>
                    <pic:cNvPicPr/>
                  </pic:nvPicPr>
                  <pic:blipFill>
                    <a:blip r:embed="rId61" cstate="print"/>
                    <a:stretch>
                      <a:fillRect/>
                    </a:stretch>
                  </pic:blipFill>
                  <pic:spPr>
                    <a:xfrm>
                      <a:off x="0" y="0"/>
                      <a:ext cx="73151" cy="115823"/>
                    </a:xfrm>
                    <a:prstGeom prst="rect">
                      <a:avLst/>
                    </a:prstGeom>
                  </pic:spPr>
                </pic:pic>
              </a:graphicData>
            </a:graphic>
          </wp:anchor>
        </w:drawing>
      </w:r>
      <w:bookmarkStart w:name="i. reporting on access and quality metri" w:id="718"/>
      <w:bookmarkEnd w:id="718"/>
      <w:r>
        <w:rPr/>
      </w:r>
      <w:r>
        <w:rPr/>
        <w:t>reporting on access and quality metric performance, including stratified by demographic factors (such as race, ethnicity, language, disability, sexual orientation,</w:t>
      </w:r>
      <w:r>
        <w:rPr>
          <w:spacing w:val="-5"/>
        </w:rPr>
        <w:t> </w:t>
      </w:r>
      <w:r>
        <w:rPr/>
        <w:t>and</w:t>
      </w:r>
      <w:r>
        <w:rPr>
          <w:spacing w:val="-3"/>
        </w:rPr>
        <w:t> </w:t>
      </w:r>
      <w:r>
        <w:rPr/>
        <w:t>gender</w:t>
      </w:r>
      <w:r>
        <w:rPr>
          <w:spacing w:val="-6"/>
        </w:rPr>
        <w:t> </w:t>
      </w:r>
      <w:r>
        <w:rPr/>
        <w:t>identity);</w:t>
      </w:r>
      <w:r>
        <w:rPr>
          <w:spacing w:val="-5"/>
        </w:rPr>
        <w:t> </w:t>
      </w:r>
      <w:r>
        <w:rPr/>
        <w:t>health-related</w:t>
      </w:r>
      <w:r>
        <w:rPr>
          <w:spacing w:val="-5"/>
        </w:rPr>
        <w:t> </w:t>
      </w:r>
      <w:r>
        <w:rPr/>
        <w:t>social</w:t>
      </w:r>
      <w:r>
        <w:rPr>
          <w:spacing w:val="-5"/>
        </w:rPr>
        <w:t> </w:t>
      </w:r>
      <w:r>
        <w:rPr/>
        <w:t>needs;</w:t>
      </w:r>
      <w:r>
        <w:rPr>
          <w:spacing w:val="-5"/>
        </w:rPr>
        <w:t> </w:t>
      </w:r>
      <w:r>
        <w:rPr/>
        <w:t>and/or</w:t>
      </w:r>
      <w:r>
        <w:rPr>
          <w:spacing w:val="-6"/>
        </w:rPr>
        <w:t> </w:t>
      </w:r>
      <w:r>
        <w:rPr/>
        <w:t>defined by other individual- or community-level markers or indices of social risk;</w:t>
      </w:r>
    </w:p>
    <w:p>
      <w:pPr>
        <w:pStyle w:val="BodyText"/>
        <w:spacing w:before="161"/>
        <w:ind w:left="2039" w:right="1075"/>
      </w:pPr>
      <w:r>
        <w:rPr/>
        <w:drawing>
          <wp:anchor distT="0" distB="0" distL="0" distR="0" allowOverlap="1" layoutInCell="1" locked="0" behindDoc="0" simplePos="0" relativeHeight="15963648">
            <wp:simplePos x="0" y="0"/>
            <wp:positionH relativeFrom="page">
              <wp:posOffset>1819655</wp:posOffset>
            </wp:positionH>
            <wp:positionV relativeFrom="paragraph">
              <wp:posOffset>134786</wp:posOffset>
            </wp:positionV>
            <wp:extent cx="115823" cy="115823"/>
            <wp:effectExtent l="0" t="0" r="0" b="0"/>
            <wp:wrapNone/>
            <wp:docPr id="470" name="Image 470"/>
            <wp:cNvGraphicFramePr>
              <a:graphicFrameLocks/>
            </wp:cNvGraphicFramePr>
            <a:graphic>
              <a:graphicData uri="http://schemas.openxmlformats.org/drawingml/2006/picture">
                <pic:pic>
                  <pic:nvPicPr>
                    <pic:cNvPr id="470" name="Image 470"/>
                    <pic:cNvPicPr/>
                  </pic:nvPicPr>
                  <pic:blipFill>
                    <a:blip r:embed="rId62" cstate="print"/>
                    <a:stretch>
                      <a:fillRect/>
                    </a:stretch>
                  </pic:blipFill>
                  <pic:spPr>
                    <a:xfrm>
                      <a:off x="0" y="0"/>
                      <a:ext cx="115823" cy="115823"/>
                    </a:xfrm>
                    <a:prstGeom prst="rect">
                      <a:avLst/>
                    </a:prstGeom>
                  </pic:spPr>
                </pic:pic>
              </a:graphicData>
            </a:graphic>
          </wp:anchor>
        </w:drawing>
      </w:r>
      <w:bookmarkStart w:name="ii. developing and implementing interven" w:id="719"/>
      <w:bookmarkEnd w:id="719"/>
      <w:r>
        <w:rPr/>
      </w:r>
      <w:r>
        <w:rPr/>
        <w:t>developing and implementing interventions aimed at improving quality and reducing observed disparities on metrics (including those identified in STC 14.2(b)(i) that account for clinical and social risk factors found through analysis</w:t>
      </w:r>
      <w:r>
        <w:rPr>
          <w:spacing w:val="-1"/>
        </w:rPr>
        <w:t> </w:t>
      </w:r>
      <w:r>
        <w:rPr/>
        <w:t>to</w:t>
      </w:r>
      <w:r>
        <w:rPr>
          <w:spacing w:val="-1"/>
        </w:rPr>
        <w:t> </w:t>
      </w:r>
      <w:r>
        <w:rPr/>
        <w:t>be associated with</w:t>
      </w:r>
      <w:r>
        <w:rPr>
          <w:spacing w:val="-2"/>
        </w:rPr>
        <w:t> </w:t>
      </w:r>
      <w:r>
        <w:rPr/>
        <w:t>lower</w:t>
      </w:r>
      <w:r>
        <w:rPr>
          <w:spacing w:val="-2"/>
        </w:rPr>
        <w:t> </w:t>
      </w:r>
      <w:r>
        <w:rPr/>
        <w:t>performance on</w:t>
      </w:r>
      <w:r>
        <w:rPr>
          <w:spacing w:val="-1"/>
        </w:rPr>
        <w:t> </w:t>
      </w:r>
      <w:r>
        <w:rPr/>
        <w:t>such</w:t>
      </w:r>
      <w:r>
        <w:rPr>
          <w:spacing w:val="-1"/>
        </w:rPr>
        <w:t> </w:t>
      </w:r>
      <w:r>
        <w:rPr/>
        <w:t>metrics</w:t>
      </w:r>
      <w:r>
        <w:rPr>
          <w:spacing w:val="-1"/>
        </w:rPr>
        <w:t> </w:t>
      </w:r>
      <w:r>
        <w:rPr/>
        <w:t>and/or</w:t>
      </w:r>
      <w:r>
        <w:rPr>
          <w:spacing w:val="-2"/>
        </w:rPr>
        <w:t> </w:t>
      </w:r>
      <w:r>
        <w:rPr/>
        <w:t>other appropriate individual- or community-level markers or indices of social vulnerability. Consistent with 42 CFR 440.262, such interventions may serve to</w:t>
      </w:r>
      <w:r>
        <w:rPr>
          <w:spacing w:val="-2"/>
        </w:rPr>
        <w:t> </w:t>
      </w:r>
      <w:r>
        <w:rPr/>
        <w:t>promote</w:t>
      </w:r>
      <w:r>
        <w:rPr>
          <w:spacing w:val="-3"/>
        </w:rPr>
        <w:t> </w:t>
      </w:r>
      <w:r>
        <w:rPr/>
        <w:t>access</w:t>
      </w:r>
      <w:r>
        <w:rPr>
          <w:spacing w:val="-2"/>
        </w:rPr>
        <w:t> </w:t>
      </w:r>
      <w:r>
        <w:rPr/>
        <w:t>and</w:t>
      </w:r>
      <w:r>
        <w:rPr>
          <w:spacing w:val="-2"/>
        </w:rPr>
        <w:t> </w:t>
      </w:r>
      <w:r>
        <w:rPr/>
        <w:t>delivery</w:t>
      </w:r>
      <w:r>
        <w:rPr>
          <w:spacing w:val="-7"/>
        </w:rPr>
        <w:t> </w:t>
      </w:r>
      <w:r>
        <w:rPr/>
        <w:t>of</w:t>
      </w:r>
      <w:r>
        <w:rPr>
          <w:spacing w:val="-3"/>
        </w:rPr>
        <w:t> </w:t>
      </w:r>
      <w:r>
        <w:rPr/>
        <w:t>services</w:t>
      </w:r>
      <w:r>
        <w:rPr>
          <w:spacing w:val="-2"/>
        </w:rPr>
        <w:t> </w:t>
      </w:r>
      <w:r>
        <w:rPr/>
        <w:t>in</w:t>
      </w:r>
      <w:r>
        <w:rPr>
          <w:spacing w:val="-2"/>
        </w:rPr>
        <w:t> </w:t>
      </w:r>
      <w:r>
        <w:rPr/>
        <w:t>a</w:t>
      </w:r>
      <w:r>
        <w:rPr>
          <w:spacing w:val="-3"/>
        </w:rPr>
        <w:t> </w:t>
      </w:r>
      <w:r>
        <w:rPr/>
        <w:t>culturally</w:t>
      </w:r>
      <w:r>
        <w:rPr>
          <w:spacing w:val="-7"/>
        </w:rPr>
        <w:t> </w:t>
      </w:r>
      <w:r>
        <w:rPr/>
        <w:t>competent</w:t>
      </w:r>
      <w:r>
        <w:rPr>
          <w:spacing w:val="-2"/>
        </w:rPr>
        <w:t> </w:t>
      </w:r>
      <w:r>
        <w:rPr/>
        <w:t>manner</w:t>
      </w:r>
      <w:r>
        <w:rPr>
          <w:spacing w:val="-3"/>
        </w:rPr>
        <w:t> </w:t>
      </w:r>
      <w:r>
        <w:rPr/>
        <w:t>to all beneficiaries, including those with limited English proficiency, diverse cultural and ethnic backgrounds, disabilities, and regardless of sex (including sexual orientation and gender identity), and ensure that all beneficiaries regardless of their demographic characteristics have access to covered</w:t>
      </w:r>
      <w:r>
        <w:rPr>
          <w:spacing w:val="40"/>
        </w:rPr>
        <w:t> </w:t>
      </w:r>
      <w:r>
        <w:rPr/>
        <w:t>services that are delivered in a manner that meets their unique needs.</w:t>
      </w:r>
      <w:r>
        <w:rPr>
          <w:spacing w:val="40"/>
        </w:rPr>
        <w:t> </w:t>
      </w:r>
      <w:r>
        <w:rPr/>
        <w:t>The interventions must also comply with the limits described in Section 14.11.</w:t>
      </w:r>
    </w:p>
    <w:p>
      <w:pPr>
        <w:spacing w:after="0"/>
        <w:sectPr>
          <w:pgSz w:w="12240" w:h="15840"/>
          <w:pgMar w:header="0" w:footer="1201" w:top="1360" w:bottom="1400" w:left="1200" w:right="400"/>
        </w:sectPr>
      </w:pPr>
    </w:p>
    <w:p>
      <w:pPr>
        <w:pStyle w:val="BodyText"/>
        <w:spacing w:before="79"/>
        <w:ind w:left="2040" w:right="1059"/>
      </w:pPr>
      <w:r>
        <w:rPr/>
        <w:drawing>
          <wp:anchor distT="0" distB="0" distL="0" distR="0" allowOverlap="1" layoutInCell="1" locked="0" behindDoc="0" simplePos="0" relativeHeight="15964160">
            <wp:simplePos x="0" y="0"/>
            <wp:positionH relativeFrom="page">
              <wp:posOffset>1778507</wp:posOffset>
            </wp:positionH>
            <wp:positionV relativeFrom="paragraph">
              <wp:posOffset>82717</wp:posOffset>
            </wp:positionV>
            <wp:extent cx="158495" cy="115823"/>
            <wp:effectExtent l="0" t="0" r="0" b="0"/>
            <wp:wrapNone/>
            <wp:docPr id="471" name="Image 471"/>
            <wp:cNvGraphicFramePr>
              <a:graphicFrameLocks/>
            </wp:cNvGraphicFramePr>
            <a:graphic>
              <a:graphicData uri="http://schemas.openxmlformats.org/drawingml/2006/picture">
                <pic:pic>
                  <pic:nvPicPr>
                    <pic:cNvPr id="471" name="Image 471"/>
                    <pic:cNvPicPr/>
                  </pic:nvPicPr>
                  <pic:blipFill>
                    <a:blip r:embed="rId65" cstate="print"/>
                    <a:stretch>
                      <a:fillRect/>
                    </a:stretch>
                  </pic:blipFill>
                  <pic:spPr>
                    <a:xfrm>
                      <a:off x="0" y="0"/>
                      <a:ext cx="158495" cy="115823"/>
                    </a:xfrm>
                    <a:prstGeom prst="rect">
                      <a:avLst/>
                    </a:prstGeom>
                  </pic:spPr>
                </pic:pic>
              </a:graphicData>
            </a:graphic>
          </wp:anchor>
        </w:drawing>
      </w:r>
      <w:bookmarkStart w:name="iii. Improving quality and/or closing di" w:id="720"/>
      <w:bookmarkEnd w:id="720"/>
      <w:r>
        <w:rPr/>
      </w:r>
      <w:r>
        <w:rPr/>
        <w:t>Improving</w:t>
      </w:r>
      <w:r>
        <w:rPr>
          <w:spacing w:val="-7"/>
        </w:rPr>
        <w:t> </w:t>
      </w:r>
      <w:r>
        <w:rPr/>
        <w:t>quality</w:t>
      </w:r>
      <w:r>
        <w:rPr>
          <w:spacing w:val="-9"/>
        </w:rPr>
        <w:t> </w:t>
      </w:r>
      <w:r>
        <w:rPr/>
        <w:t>and/or</w:t>
      </w:r>
      <w:r>
        <w:rPr>
          <w:spacing w:val="-3"/>
        </w:rPr>
        <w:t> </w:t>
      </w:r>
      <w:r>
        <w:rPr/>
        <w:t>closing</w:t>
      </w:r>
      <w:r>
        <w:rPr>
          <w:spacing w:val="-7"/>
        </w:rPr>
        <w:t> </w:t>
      </w:r>
      <w:r>
        <w:rPr/>
        <w:t>disparities</w:t>
      </w:r>
      <w:r>
        <w:rPr>
          <w:spacing w:val="-4"/>
        </w:rPr>
        <w:t> </w:t>
      </w:r>
      <w:r>
        <w:rPr/>
        <w:t>as</w:t>
      </w:r>
      <w:r>
        <w:rPr>
          <w:spacing w:val="-4"/>
        </w:rPr>
        <w:t> </w:t>
      </w:r>
      <w:r>
        <w:rPr/>
        <w:t>measured</w:t>
      </w:r>
      <w:r>
        <w:rPr>
          <w:spacing w:val="-4"/>
        </w:rPr>
        <w:t> </w:t>
      </w:r>
      <w:r>
        <w:rPr/>
        <w:t>through</w:t>
      </w:r>
      <w:r>
        <w:rPr>
          <w:spacing w:val="-4"/>
        </w:rPr>
        <w:t> </w:t>
      </w:r>
      <w:r>
        <w:rPr/>
        <w:t>performance on a subset of access and quality metrics (including but not limited to those metrics outlined in STC 14.2(b)).</w:t>
      </w:r>
    </w:p>
    <w:p>
      <w:pPr>
        <w:pStyle w:val="ListParagraph"/>
        <w:numPr>
          <w:ilvl w:val="1"/>
          <w:numId w:val="41"/>
        </w:numPr>
        <w:tabs>
          <w:tab w:pos="2851" w:val="left" w:leader="none"/>
        </w:tabs>
        <w:spacing w:line="240" w:lineRule="auto" w:before="161" w:after="0"/>
        <w:ind w:left="2851" w:right="1210" w:hanging="360"/>
        <w:jc w:val="left"/>
        <w:rPr>
          <w:sz w:val="24"/>
        </w:rPr>
      </w:pPr>
      <w:bookmarkStart w:name="1. For example, the Commonwealth may str" w:id="721"/>
      <w:bookmarkEnd w:id="721"/>
      <w:r>
        <w:rPr/>
      </w:r>
      <w:r>
        <w:rPr>
          <w:sz w:val="24"/>
        </w:rPr>
        <w:t>For example, the Commonwealth may stratify health quality metric performance</w:t>
      </w:r>
      <w:r>
        <w:rPr>
          <w:spacing w:val="-6"/>
          <w:sz w:val="24"/>
        </w:rPr>
        <w:t> </w:t>
      </w:r>
      <w:r>
        <w:rPr>
          <w:sz w:val="24"/>
        </w:rPr>
        <w:t>on</w:t>
      </w:r>
      <w:r>
        <w:rPr>
          <w:spacing w:val="-3"/>
          <w:sz w:val="24"/>
        </w:rPr>
        <w:t> </w:t>
      </w:r>
      <w:r>
        <w:rPr>
          <w:sz w:val="24"/>
        </w:rPr>
        <w:t>a</w:t>
      </w:r>
      <w:r>
        <w:rPr>
          <w:spacing w:val="-6"/>
          <w:sz w:val="24"/>
        </w:rPr>
        <w:t> </w:t>
      </w:r>
      <w:r>
        <w:rPr>
          <w:sz w:val="24"/>
        </w:rPr>
        <w:t>quantile</w:t>
      </w:r>
      <w:r>
        <w:rPr>
          <w:spacing w:val="-6"/>
          <w:sz w:val="24"/>
        </w:rPr>
        <w:t> </w:t>
      </w:r>
      <w:r>
        <w:rPr>
          <w:sz w:val="24"/>
        </w:rPr>
        <w:t>basis</w:t>
      </w:r>
      <w:r>
        <w:rPr>
          <w:spacing w:val="-5"/>
          <w:sz w:val="24"/>
        </w:rPr>
        <w:t> </w:t>
      </w:r>
      <w:r>
        <w:rPr>
          <w:sz w:val="24"/>
        </w:rPr>
        <w:t>within</w:t>
      </w:r>
      <w:r>
        <w:rPr>
          <w:spacing w:val="-5"/>
          <w:sz w:val="24"/>
        </w:rPr>
        <w:t> </w:t>
      </w:r>
      <w:r>
        <w:rPr>
          <w:sz w:val="24"/>
        </w:rPr>
        <w:t>and/or</w:t>
      </w:r>
      <w:r>
        <w:rPr>
          <w:spacing w:val="-6"/>
          <w:sz w:val="24"/>
        </w:rPr>
        <w:t> </w:t>
      </w:r>
      <w:r>
        <w:rPr>
          <w:sz w:val="24"/>
        </w:rPr>
        <w:t>between</w:t>
      </w:r>
      <w:r>
        <w:rPr>
          <w:spacing w:val="-5"/>
          <w:sz w:val="24"/>
        </w:rPr>
        <w:t> </w:t>
      </w:r>
      <w:r>
        <w:rPr>
          <w:sz w:val="24"/>
        </w:rPr>
        <w:t>hospitals</w:t>
      </w:r>
      <w:r>
        <w:rPr>
          <w:spacing w:val="-5"/>
          <w:sz w:val="24"/>
        </w:rPr>
        <w:t> </w:t>
      </w:r>
      <w:r>
        <w:rPr>
          <w:sz w:val="24"/>
        </w:rPr>
        <w:t>and provide incentive payments for improving the achievement of the lower-performing quantiles.</w:t>
      </w:r>
    </w:p>
    <w:p>
      <w:pPr>
        <w:pStyle w:val="ListParagraph"/>
        <w:numPr>
          <w:ilvl w:val="1"/>
          <w:numId w:val="41"/>
        </w:numPr>
        <w:tabs>
          <w:tab w:pos="2851" w:val="left" w:leader="none"/>
        </w:tabs>
        <w:spacing w:line="240" w:lineRule="auto" w:before="120" w:after="0"/>
        <w:ind w:left="2851" w:right="1215" w:hanging="360"/>
        <w:jc w:val="left"/>
        <w:rPr>
          <w:sz w:val="24"/>
        </w:rPr>
      </w:pPr>
      <w:bookmarkStart w:name="2. For example, the Commonwealth may str" w:id="722"/>
      <w:bookmarkEnd w:id="722"/>
      <w:r>
        <w:rPr/>
      </w:r>
      <w:r>
        <w:rPr>
          <w:sz w:val="24"/>
        </w:rPr>
        <w:t>For example, the Commonwealth may stratify health quality metric performance based on geographic or community-level markers of identified</w:t>
      </w:r>
      <w:r>
        <w:rPr>
          <w:spacing w:val="-5"/>
          <w:sz w:val="24"/>
        </w:rPr>
        <w:t> </w:t>
      </w:r>
      <w:r>
        <w:rPr>
          <w:sz w:val="24"/>
        </w:rPr>
        <w:t>social</w:t>
      </w:r>
      <w:r>
        <w:rPr>
          <w:spacing w:val="-5"/>
          <w:sz w:val="24"/>
        </w:rPr>
        <w:t> </w:t>
      </w:r>
      <w:r>
        <w:rPr>
          <w:sz w:val="24"/>
        </w:rPr>
        <w:t>risks</w:t>
      </w:r>
      <w:r>
        <w:rPr>
          <w:spacing w:val="-5"/>
          <w:sz w:val="24"/>
        </w:rPr>
        <w:t> </w:t>
      </w:r>
      <w:r>
        <w:rPr>
          <w:sz w:val="24"/>
        </w:rPr>
        <w:t>and</w:t>
      </w:r>
      <w:r>
        <w:rPr>
          <w:spacing w:val="-5"/>
          <w:sz w:val="24"/>
        </w:rPr>
        <w:t> </w:t>
      </w:r>
      <w:r>
        <w:rPr>
          <w:sz w:val="24"/>
        </w:rPr>
        <w:t>provide</w:t>
      </w:r>
      <w:r>
        <w:rPr>
          <w:spacing w:val="-6"/>
          <w:sz w:val="24"/>
        </w:rPr>
        <w:t> </w:t>
      </w:r>
      <w:r>
        <w:rPr>
          <w:sz w:val="24"/>
        </w:rPr>
        <w:t>incentive</w:t>
      </w:r>
      <w:r>
        <w:rPr>
          <w:spacing w:val="-6"/>
          <w:sz w:val="24"/>
        </w:rPr>
        <w:t> </w:t>
      </w:r>
      <w:r>
        <w:rPr>
          <w:sz w:val="24"/>
        </w:rPr>
        <w:t>payments</w:t>
      </w:r>
      <w:r>
        <w:rPr>
          <w:spacing w:val="-5"/>
          <w:sz w:val="24"/>
        </w:rPr>
        <w:t> </w:t>
      </w:r>
      <w:r>
        <w:rPr>
          <w:sz w:val="24"/>
        </w:rPr>
        <w:t>for</w:t>
      </w:r>
      <w:r>
        <w:rPr>
          <w:spacing w:val="-6"/>
          <w:sz w:val="24"/>
        </w:rPr>
        <w:t> </w:t>
      </w:r>
      <w:r>
        <w:rPr>
          <w:sz w:val="24"/>
        </w:rPr>
        <w:t>improving the achievement of metric performance among those members who reside in or are associated with these geographies/communities.</w:t>
      </w:r>
    </w:p>
    <w:p>
      <w:pPr>
        <w:pStyle w:val="ListParagraph"/>
        <w:numPr>
          <w:ilvl w:val="1"/>
          <w:numId w:val="41"/>
        </w:numPr>
        <w:tabs>
          <w:tab w:pos="2851" w:val="left" w:leader="none"/>
        </w:tabs>
        <w:spacing w:line="240" w:lineRule="auto" w:before="120" w:after="0"/>
        <w:ind w:left="2851" w:right="1048" w:hanging="360"/>
        <w:jc w:val="left"/>
        <w:rPr>
          <w:sz w:val="24"/>
        </w:rPr>
      </w:pPr>
      <w:bookmarkStart w:name="3. For example, the Commonwealth may str" w:id="723"/>
      <w:bookmarkEnd w:id="723"/>
      <w:r>
        <w:rPr/>
      </w:r>
      <w:r>
        <w:rPr>
          <w:sz w:val="24"/>
        </w:rPr>
        <w:t>For example, the Commonwealth may stratify health quality metric performance</w:t>
      </w:r>
      <w:r>
        <w:rPr>
          <w:spacing w:val="-1"/>
          <w:sz w:val="24"/>
        </w:rPr>
        <w:t> </w:t>
      </w:r>
      <w:r>
        <w:rPr>
          <w:sz w:val="24"/>
        </w:rPr>
        <w:t>by</w:t>
      </w:r>
      <w:r>
        <w:rPr>
          <w:spacing w:val="-5"/>
          <w:sz w:val="24"/>
        </w:rPr>
        <w:t> </w:t>
      </w:r>
      <w:r>
        <w:rPr>
          <w:sz w:val="24"/>
        </w:rPr>
        <w:t>demographic</w:t>
      </w:r>
      <w:r>
        <w:rPr>
          <w:spacing w:val="-1"/>
          <w:sz w:val="24"/>
        </w:rPr>
        <w:t> </w:t>
      </w:r>
      <w:r>
        <w:rPr>
          <w:sz w:val="24"/>
        </w:rPr>
        <w:t>factors. However, if it chooses to do so, the Commonwealth must do so using a combination of multiple demographic and clinical factors and provide incentive payments for reducing the disparity between achievement of low performing and high</w:t>
      </w:r>
      <w:r>
        <w:rPr>
          <w:spacing w:val="-5"/>
          <w:sz w:val="24"/>
        </w:rPr>
        <w:t> </w:t>
      </w:r>
      <w:r>
        <w:rPr>
          <w:sz w:val="24"/>
        </w:rPr>
        <w:t>performing</w:t>
      </w:r>
      <w:r>
        <w:rPr>
          <w:spacing w:val="-5"/>
          <w:sz w:val="24"/>
        </w:rPr>
        <w:t> </w:t>
      </w:r>
      <w:r>
        <w:rPr>
          <w:sz w:val="24"/>
        </w:rPr>
        <w:t>groups</w:t>
      </w:r>
      <w:r>
        <w:rPr>
          <w:spacing w:val="-5"/>
          <w:sz w:val="24"/>
        </w:rPr>
        <w:t> </w:t>
      </w:r>
      <w:r>
        <w:rPr>
          <w:sz w:val="24"/>
        </w:rPr>
        <w:t>among</w:t>
      </w:r>
      <w:r>
        <w:rPr>
          <w:spacing w:val="-8"/>
          <w:sz w:val="24"/>
        </w:rPr>
        <w:t> </w:t>
      </w:r>
      <w:r>
        <w:rPr>
          <w:sz w:val="24"/>
        </w:rPr>
        <w:t>these</w:t>
      </w:r>
      <w:r>
        <w:rPr>
          <w:spacing w:val="-6"/>
          <w:sz w:val="24"/>
        </w:rPr>
        <w:t> </w:t>
      </w:r>
      <w:r>
        <w:rPr>
          <w:sz w:val="24"/>
        </w:rPr>
        <w:t>stratifications.</w:t>
      </w:r>
      <w:r>
        <w:rPr>
          <w:spacing w:val="-5"/>
          <w:sz w:val="24"/>
        </w:rPr>
        <w:t> </w:t>
      </w:r>
      <w:r>
        <w:rPr>
          <w:sz w:val="24"/>
        </w:rPr>
        <w:t>Such</w:t>
      </w:r>
      <w:r>
        <w:rPr>
          <w:spacing w:val="-5"/>
          <w:sz w:val="24"/>
        </w:rPr>
        <w:t> </w:t>
      </w:r>
      <w:r>
        <w:rPr>
          <w:sz w:val="24"/>
        </w:rPr>
        <w:t>an</w:t>
      </w:r>
      <w:r>
        <w:rPr>
          <w:spacing w:val="-5"/>
          <w:sz w:val="24"/>
        </w:rPr>
        <w:t> </w:t>
      </w:r>
      <w:r>
        <w:rPr>
          <w:sz w:val="24"/>
        </w:rPr>
        <w:t>incentive design as detailed in the Hospital Quality and Equity Implementation Plan must be calculated to reward performance on reducing</w:t>
      </w:r>
      <w:r>
        <w:rPr>
          <w:spacing w:val="40"/>
          <w:sz w:val="24"/>
        </w:rPr>
        <w:t> </w:t>
      </w:r>
      <w:r>
        <w:rPr>
          <w:sz w:val="24"/>
        </w:rPr>
        <w:t>disparities through increasing metric performance for lower- performing groups, and not where the disparity shrinks because of lower performance for previously higher-performing groups.</w:t>
      </w:r>
    </w:p>
    <w:p>
      <w:pPr>
        <w:pStyle w:val="BodyText"/>
        <w:spacing w:before="197"/>
        <w:ind w:left="1411" w:right="1059"/>
      </w:pPr>
      <w:r>
        <w:rPr/>
        <w:drawing>
          <wp:anchor distT="0" distB="0" distL="0" distR="0" allowOverlap="1" layoutInCell="1" locked="0" behindDoc="0" simplePos="0" relativeHeight="15964672">
            <wp:simplePos x="0" y="0"/>
            <wp:positionH relativeFrom="page">
              <wp:posOffset>1431036</wp:posOffset>
            </wp:positionH>
            <wp:positionV relativeFrom="paragraph">
              <wp:posOffset>192698</wp:posOffset>
            </wp:positionV>
            <wp:extent cx="96011" cy="80771"/>
            <wp:effectExtent l="0" t="0" r="0" b="0"/>
            <wp:wrapNone/>
            <wp:docPr id="472" name="Image 472"/>
            <wp:cNvGraphicFramePr>
              <a:graphicFrameLocks/>
            </wp:cNvGraphicFramePr>
            <a:graphic>
              <a:graphicData uri="http://schemas.openxmlformats.org/drawingml/2006/picture">
                <pic:pic>
                  <pic:nvPicPr>
                    <pic:cNvPr id="472" name="Image 472"/>
                    <pic:cNvPicPr/>
                  </pic:nvPicPr>
                  <pic:blipFill>
                    <a:blip r:embed="rId41" cstate="print"/>
                    <a:stretch>
                      <a:fillRect/>
                    </a:stretch>
                  </pic:blipFill>
                  <pic:spPr>
                    <a:xfrm>
                      <a:off x="0" y="0"/>
                      <a:ext cx="96011" cy="80771"/>
                    </a:xfrm>
                    <a:prstGeom prst="rect">
                      <a:avLst/>
                    </a:prstGeom>
                  </pic:spPr>
                </pic:pic>
              </a:graphicData>
            </a:graphic>
          </wp:anchor>
        </w:drawing>
      </w:r>
      <w:bookmarkStart w:name="c. For up to the first 3 performance yea" w:id="724"/>
      <w:bookmarkEnd w:id="724"/>
      <w:r>
        <w:rPr/>
      </w:r>
      <w:r>
        <w:rPr/>
        <w:t>For up to the first 3 performance years, performance will be based on expectations described in STCs 14.4(b)(i) and 14.4(b)(ii).</w:t>
      </w:r>
      <w:r>
        <w:rPr>
          <w:spacing w:val="40"/>
        </w:rPr>
        <w:t> </w:t>
      </w:r>
      <w:r>
        <w:rPr/>
        <w:t>For at least the last two performance years,</w:t>
      </w:r>
      <w:r>
        <w:rPr>
          <w:spacing w:val="-1"/>
        </w:rPr>
        <w:t> </w:t>
      </w:r>
      <w:r>
        <w:rPr/>
        <w:t>performance</w:t>
      </w:r>
      <w:r>
        <w:rPr>
          <w:spacing w:val="-2"/>
        </w:rPr>
        <w:t> </w:t>
      </w:r>
      <w:r>
        <w:rPr/>
        <w:t>will</w:t>
      </w:r>
      <w:r>
        <w:rPr>
          <w:spacing w:val="-1"/>
        </w:rPr>
        <w:t> </w:t>
      </w:r>
      <w:r>
        <w:rPr/>
        <w:t>also</w:t>
      </w:r>
      <w:r>
        <w:rPr>
          <w:spacing w:val="-1"/>
        </w:rPr>
        <w:t> </w:t>
      </w:r>
      <w:r>
        <w:rPr/>
        <w:t>be</w:t>
      </w:r>
      <w:r>
        <w:rPr>
          <w:spacing w:val="-2"/>
        </w:rPr>
        <w:t> </w:t>
      </w:r>
      <w:r>
        <w:rPr/>
        <w:t>based</w:t>
      </w:r>
      <w:r>
        <w:rPr>
          <w:spacing w:val="-1"/>
        </w:rPr>
        <w:t> </w:t>
      </w:r>
      <w:r>
        <w:rPr/>
        <w:t>on</w:t>
      </w:r>
      <w:r>
        <w:rPr>
          <w:spacing w:val="-1"/>
        </w:rPr>
        <w:t> </w:t>
      </w:r>
      <w:r>
        <w:rPr/>
        <w:t>expectations</w:t>
      </w:r>
      <w:r>
        <w:rPr>
          <w:spacing w:val="-1"/>
        </w:rPr>
        <w:t> </w:t>
      </w:r>
      <w:r>
        <w:rPr/>
        <w:t>described</w:t>
      </w:r>
      <w:r>
        <w:rPr>
          <w:spacing w:val="-1"/>
        </w:rPr>
        <w:t> </w:t>
      </w:r>
      <w:r>
        <w:rPr/>
        <w:t>in</w:t>
      </w:r>
      <w:r>
        <w:rPr>
          <w:spacing w:val="-1"/>
        </w:rPr>
        <w:t> </w:t>
      </w:r>
      <w:r>
        <w:rPr/>
        <w:t>STC</w:t>
      </w:r>
      <w:r>
        <w:rPr>
          <w:spacing w:val="-1"/>
        </w:rPr>
        <w:t> </w:t>
      </w:r>
      <w:r>
        <w:rPr/>
        <w:t>14.4(b)(iii), thus allowing</w:t>
      </w:r>
      <w:r>
        <w:rPr>
          <w:spacing w:val="-2"/>
        </w:rPr>
        <w:t> </w:t>
      </w:r>
      <w:r>
        <w:rPr/>
        <w:t>adequate time to mitigate the lack of available and complete stratified data</w:t>
      </w:r>
      <w:r>
        <w:rPr>
          <w:spacing w:val="-5"/>
        </w:rPr>
        <w:t> </w:t>
      </w:r>
      <w:r>
        <w:rPr/>
        <w:t>within</w:t>
      </w:r>
      <w:r>
        <w:rPr>
          <w:spacing w:val="-4"/>
        </w:rPr>
        <w:t> </w:t>
      </w:r>
      <w:r>
        <w:rPr/>
        <w:t>the</w:t>
      </w:r>
      <w:r>
        <w:rPr>
          <w:spacing w:val="-5"/>
        </w:rPr>
        <w:t> </w:t>
      </w:r>
      <w:r>
        <w:rPr/>
        <w:t>Commonwealth</w:t>
      </w:r>
      <w:r>
        <w:rPr>
          <w:spacing w:val="-4"/>
        </w:rPr>
        <w:t> </w:t>
      </w:r>
      <w:r>
        <w:rPr/>
        <w:t>that</w:t>
      </w:r>
      <w:r>
        <w:rPr>
          <w:spacing w:val="-4"/>
        </w:rPr>
        <w:t> </w:t>
      </w:r>
      <w:r>
        <w:rPr/>
        <w:t>would</w:t>
      </w:r>
      <w:r>
        <w:rPr>
          <w:spacing w:val="-4"/>
        </w:rPr>
        <w:t> </w:t>
      </w:r>
      <w:r>
        <w:rPr/>
        <w:t>support</w:t>
      </w:r>
      <w:r>
        <w:rPr>
          <w:spacing w:val="-4"/>
        </w:rPr>
        <w:t> </w:t>
      </w:r>
      <w:r>
        <w:rPr/>
        <w:t>the</w:t>
      </w:r>
      <w:r>
        <w:rPr>
          <w:spacing w:val="-5"/>
        </w:rPr>
        <w:t> </w:t>
      </w:r>
      <w:r>
        <w:rPr/>
        <w:t>determination</w:t>
      </w:r>
      <w:r>
        <w:rPr>
          <w:spacing w:val="-4"/>
        </w:rPr>
        <w:t> </w:t>
      </w:r>
      <w:r>
        <w:rPr/>
        <w:t>of</w:t>
      </w:r>
      <w:r>
        <w:rPr>
          <w:spacing w:val="-5"/>
        </w:rPr>
        <w:t> </w:t>
      </w:r>
      <w:r>
        <w:rPr/>
        <w:t>benchmarks or baselines for tracking performance improvement on these dimensions at the time of initial initiative approval.</w:t>
      </w:r>
    </w:p>
    <w:p>
      <w:pPr>
        <w:pStyle w:val="BodyText"/>
        <w:spacing w:before="1"/>
        <w:rPr>
          <w:sz w:val="21"/>
        </w:rPr>
      </w:pPr>
    </w:p>
    <w:p>
      <w:pPr>
        <w:pStyle w:val="BodyText"/>
        <w:ind w:left="1411" w:right="1059"/>
      </w:pPr>
      <w:bookmarkStart w:name="The measures and additional information " w:id="725"/>
      <w:bookmarkEnd w:id="725"/>
      <w:r>
        <w:rPr/>
      </w:r>
      <w:r>
        <w:rPr/>
        <w:t>The</w:t>
      </w:r>
      <w:r>
        <w:rPr>
          <w:spacing w:val="-5"/>
        </w:rPr>
        <w:t> </w:t>
      </w:r>
      <w:r>
        <w:rPr/>
        <w:t>measures</w:t>
      </w:r>
      <w:r>
        <w:rPr>
          <w:spacing w:val="-4"/>
        </w:rPr>
        <w:t> </w:t>
      </w:r>
      <w:r>
        <w:rPr/>
        <w:t>and</w:t>
      </w:r>
      <w:r>
        <w:rPr>
          <w:spacing w:val="-4"/>
        </w:rPr>
        <w:t> </w:t>
      </w:r>
      <w:r>
        <w:rPr/>
        <w:t>additional</w:t>
      </w:r>
      <w:r>
        <w:rPr>
          <w:spacing w:val="-4"/>
        </w:rPr>
        <w:t> </w:t>
      </w:r>
      <w:r>
        <w:rPr/>
        <w:t>information</w:t>
      </w:r>
      <w:r>
        <w:rPr>
          <w:spacing w:val="-4"/>
        </w:rPr>
        <w:t> </w:t>
      </w:r>
      <w:r>
        <w:rPr/>
        <w:t>on</w:t>
      </w:r>
      <w:r>
        <w:rPr>
          <w:spacing w:val="-4"/>
        </w:rPr>
        <w:t> </w:t>
      </w:r>
      <w:r>
        <w:rPr/>
        <w:t>performance</w:t>
      </w:r>
      <w:r>
        <w:rPr>
          <w:spacing w:val="-4"/>
        </w:rPr>
        <w:t> </w:t>
      </w:r>
      <w:r>
        <w:rPr/>
        <w:t>expectations</w:t>
      </w:r>
      <w:r>
        <w:rPr>
          <w:spacing w:val="-4"/>
        </w:rPr>
        <w:t> </w:t>
      </w:r>
      <w:r>
        <w:rPr/>
        <w:t>and</w:t>
      </w:r>
      <w:r>
        <w:rPr>
          <w:spacing w:val="-4"/>
        </w:rPr>
        <w:t> </w:t>
      </w:r>
      <w:r>
        <w:rPr/>
        <w:t>incentive payments will be further specified in the Hospital Quality and Equity Initiative Implementation Plan.</w:t>
      </w:r>
    </w:p>
    <w:p>
      <w:pPr>
        <w:pStyle w:val="BodyText"/>
        <w:spacing w:before="10"/>
        <w:rPr>
          <w:sz w:val="20"/>
        </w:rPr>
      </w:pPr>
    </w:p>
    <w:p>
      <w:pPr>
        <w:pStyle w:val="Heading5"/>
        <w:ind w:left="871"/>
      </w:pPr>
      <w:r>
        <w:rPr/>
        <w:drawing>
          <wp:anchor distT="0" distB="0" distL="0" distR="0" allowOverlap="1" layoutInCell="1" locked="0" behindDoc="0" simplePos="0" relativeHeight="15965184">
            <wp:simplePos x="0" y="0"/>
            <wp:positionH relativeFrom="page">
              <wp:posOffset>908303</wp:posOffset>
            </wp:positionH>
            <wp:positionV relativeFrom="paragraph">
              <wp:posOffset>35612</wp:posOffset>
            </wp:positionV>
            <wp:extent cx="283463" cy="112762"/>
            <wp:effectExtent l="0" t="0" r="0" b="0"/>
            <wp:wrapNone/>
            <wp:docPr id="473" name="Image 473"/>
            <wp:cNvGraphicFramePr>
              <a:graphicFrameLocks/>
            </wp:cNvGraphicFramePr>
            <a:graphic>
              <a:graphicData uri="http://schemas.openxmlformats.org/drawingml/2006/picture">
                <pic:pic>
                  <pic:nvPicPr>
                    <pic:cNvPr id="473" name="Image 473"/>
                    <pic:cNvPicPr/>
                  </pic:nvPicPr>
                  <pic:blipFill>
                    <a:blip r:embed="rId206" cstate="print"/>
                    <a:stretch>
                      <a:fillRect/>
                    </a:stretch>
                  </pic:blipFill>
                  <pic:spPr>
                    <a:xfrm>
                      <a:off x="0" y="0"/>
                      <a:ext cx="283463" cy="112762"/>
                    </a:xfrm>
                    <a:prstGeom prst="rect">
                      <a:avLst/>
                    </a:prstGeom>
                  </pic:spPr>
                </pic:pic>
              </a:graphicData>
            </a:graphic>
          </wp:anchor>
        </w:drawing>
      </w:r>
      <w:bookmarkStart w:name="14.5. Capacity and Collaboration Domain " w:id="726"/>
      <w:bookmarkEnd w:id="726"/>
      <w:r>
        <w:rPr>
          <w:b w:val="0"/>
        </w:rPr>
      </w:r>
      <w:r>
        <w:rPr/>
        <w:t>Capacity</w:t>
      </w:r>
      <w:r>
        <w:rPr>
          <w:spacing w:val="-7"/>
        </w:rPr>
        <w:t> </w:t>
      </w:r>
      <w:r>
        <w:rPr/>
        <w:t>and</w:t>
      </w:r>
      <w:r>
        <w:rPr>
          <w:spacing w:val="-4"/>
        </w:rPr>
        <w:t> </w:t>
      </w:r>
      <w:r>
        <w:rPr/>
        <w:t>Collaboration</w:t>
      </w:r>
      <w:r>
        <w:rPr>
          <w:spacing w:val="-5"/>
        </w:rPr>
        <w:t> </w:t>
      </w:r>
      <w:r>
        <w:rPr/>
        <w:t>Domain</w:t>
      </w:r>
      <w:r>
        <w:rPr>
          <w:spacing w:val="-4"/>
        </w:rPr>
        <w:t> </w:t>
      </w:r>
      <w:r>
        <w:rPr>
          <w:spacing w:val="-2"/>
        </w:rPr>
        <w:t>Goals.</w:t>
      </w:r>
    </w:p>
    <w:p>
      <w:pPr>
        <w:pStyle w:val="BodyText"/>
        <w:spacing w:before="10"/>
        <w:rPr>
          <w:b/>
          <w:sz w:val="20"/>
        </w:rPr>
      </w:pPr>
    </w:p>
    <w:p>
      <w:pPr>
        <w:pStyle w:val="BodyText"/>
        <w:ind w:left="1411" w:right="1141"/>
      </w:pPr>
      <w:r>
        <w:rPr/>
        <w:drawing>
          <wp:anchor distT="0" distB="0" distL="0" distR="0" allowOverlap="1" layoutInCell="1" locked="0" behindDoc="0" simplePos="0" relativeHeight="15965696">
            <wp:simplePos x="0" y="0"/>
            <wp:positionH relativeFrom="page">
              <wp:posOffset>1431036</wp:posOffset>
            </wp:positionH>
            <wp:positionV relativeFrom="paragraph">
              <wp:posOffset>67603</wp:posOffset>
            </wp:positionV>
            <wp:extent cx="96011" cy="80771"/>
            <wp:effectExtent l="0" t="0" r="0" b="0"/>
            <wp:wrapNone/>
            <wp:docPr id="474" name="Image 474"/>
            <wp:cNvGraphicFramePr>
              <a:graphicFrameLocks/>
            </wp:cNvGraphicFramePr>
            <a:graphic>
              <a:graphicData uri="http://schemas.openxmlformats.org/drawingml/2006/picture">
                <pic:pic>
                  <pic:nvPicPr>
                    <pic:cNvPr id="474" name="Image 474"/>
                    <pic:cNvPicPr/>
                  </pic:nvPicPr>
                  <pic:blipFill>
                    <a:blip r:embed="rId29" cstate="print"/>
                    <a:stretch>
                      <a:fillRect/>
                    </a:stretch>
                  </pic:blipFill>
                  <pic:spPr>
                    <a:xfrm>
                      <a:off x="0" y="0"/>
                      <a:ext cx="96011" cy="80771"/>
                    </a:xfrm>
                    <a:prstGeom prst="rect">
                      <a:avLst/>
                    </a:prstGeom>
                  </pic:spPr>
                </pic:pic>
              </a:graphicData>
            </a:graphic>
          </wp:anchor>
        </w:drawing>
      </w:r>
      <w:bookmarkStart w:name="a. MassHealth and its participating hosp" w:id="727"/>
      <w:bookmarkEnd w:id="727"/>
      <w:r>
        <w:rPr/>
      </w:r>
      <w:r>
        <w:rPr/>
        <w:t>MassHealth and its participating hospitals will be incentivized to improve service capacity, workforce development, and health system collaboration to improve quality</w:t>
      </w:r>
      <w:r>
        <w:rPr>
          <w:spacing w:val="-2"/>
        </w:rPr>
        <w:t> </w:t>
      </w:r>
      <w:r>
        <w:rPr/>
        <w:t>and reduce disparities.</w:t>
      </w:r>
      <w:r>
        <w:rPr>
          <w:spacing w:val="40"/>
        </w:rPr>
        <w:t> </w:t>
      </w:r>
      <w:r>
        <w:rPr/>
        <w:t>The metrics that assess improvement in this domain may</w:t>
      </w:r>
      <w:r>
        <w:rPr>
          <w:spacing w:val="-5"/>
        </w:rPr>
        <w:t> </w:t>
      </w:r>
      <w:r>
        <w:rPr/>
        <w:t>relate</w:t>
      </w:r>
      <w:r>
        <w:rPr>
          <w:spacing w:val="-1"/>
        </w:rPr>
        <w:t> </w:t>
      </w:r>
      <w:r>
        <w:rPr/>
        <w:t>to provider</w:t>
      </w:r>
      <w:r>
        <w:rPr>
          <w:spacing w:val="-1"/>
        </w:rPr>
        <w:t> </w:t>
      </w:r>
      <w:r>
        <w:rPr/>
        <w:t>cultural competence</w:t>
      </w:r>
      <w:r>
        <w:rPr>
          <w:spacing w:val="-1"/>
        </w:rPr>
        <w:t> </w:t>
      </w:r>
      <w:r>
        <w:rPr/>
        <w:t>and</w:t>
      </w:r>
      <w:r>
        <w:rPr>
          <w:spacing w:val="-1"/>
        </w:rPr>
        <w:t> </w:t>
      </w:r>
      <w:r>
        <w:rPr/>
        <w:t>achievement of</w:t>
      </w:r>
      <w:r>
        <w:rPr>
          <w:spacing w:val="-1"/>
        </w:rPr>
        <w:t> </w:t>
      </w:r>
      <w:r>
        <w:rPr/>
        <w:t>externally</w:t>
      </w:r>
      <w:r>
        <w:rPr>
          <w:spacing w:val="-3"/>
        </w:rPr>
        <w:t> </w:t>
      </w:r>
      <w:r>
        <w:rPr/>
        <w:t>validated equity</w:t>
      </w:r>
      <w:r>
        <w:rPr>
          <w:spacing w:val="-7"/>
        </w:rPr>
        <w:t> </w:t>
      </w:r>
      <w:r>
        <w:rPr/>
        <w:t>standards.</w:t>
      </w:r>
      <w:r>
        <w:rPr>
          <w:spacing w:val="40"/>
        </w:rPr>
        <w:t> </w:t>
      </w:r>
      <w:r>
        <w:rPr/>
        <w:t>The</w:t>
      </w:r>
      <w:r>
        <w:rPr>
          <w:spacing w:val="-4"/>
        </w:rPr>
        <w:t> </w:t>
      </w:r>
      <w:r>
        <w:rPr/>
        <w:t>measures</w:t>
      </w:r>
      <w:r>
        <w:rPr>
          <w:spacing w:val="-1"/>
        </w:rPr>
        <w:t> </w:t>
      </w:r>
      <w:r>
        <w:rPr/>
        <w:t>will</w:t>
      </w:r>
      <w:r>
        <w:rPr>
          <w:spacing w:val="-3"/>
        </w:rPr>
        <w:t> </w:t>
      </w:r>
      <w:r>
        <w:rPr/>
        <w:t>ultimately</w:t>
      </w:r>
      <w:r>
        <w:rPr>
          <w:spacing w:val="-10"/>
        </w:rPr>
        <w:t> </w:t>
      </w:r>
      <w:r>
        <w:rPr/>
        <w:t>be</w:t>
      </w:r>
      <w:r>
        <w:rPr>
          <w:spacing w:val="-4"/>
        </w:rPr>
        <w:t> </w:t>
      </w:r>
      <w:r>
        <w:rPr/>
        <w:t>reviewed</w:t>
      </w:r>
      <w:r>
        <w:rPr>
          <w:spacing w:val="-3"/>
        </w:rPr>
        <w:t> </w:t>
      </w:r>
      <w:r>
        <w:rPr/>
        <w:t>and</w:t>
      </w:r>
      <w:r>
        <w:rPr>
          <w:spacing w:val="-1"/>
        </w:rPr>
        <w:t> </w:t>
      </w:r>
      <w:r>
        <w:rPr/>
        <w:t>approved</w:t>
      </w:r>
      <w:r>
        <w:rPr>
          <w:spacing w:val="-1"/>
        </w:rPr>
        <w:t> </w:t>
      </w:r>
      <w:r>
        <w:rPr/>
        <w:t>by</w:t>
      </w:r>
      <w:r>
        <w:rPr>
          <w:spacing w:val="-7"/>
        </w:rPr>
        <w:t> </w:t>
      </w:r>
      <w:r>
        <w:rPr/>
        <w:t>CMS, and the approved measures incorporated into the Hospital Qualtiy and Equity Initiative Implementation Plan.</w:t>
      </w:r>
    </w:p>
    <w:p>
      <w:pPr>
        <w:spacing w:after="0"/>
        <w:sectPr>
          <w:pgSz w:w="12240" w:h="15840"/>
          <w:pgMar w:header="0" w:footer="1201" w:top="1360" w:bottom="1400" w:left="1200" w:right="400"/>
        </w:sectPr>
      </w:pPr>
    </w:p>
    <w:p>
      <w:pPr>
        <w:pStyle w:val="ListParagraph"/>
        <w:numPr>
          <w:ilvl w:val="0"/>
          <w:numId w:val="41"/>
        </w:numPr>
        <w:tabs>
          <w:tab w:pos="1411" w:val="left" w:leader="none"/>
        </w:tabs>
        <w:spacing w:line="240" w:lineRule="auto" w:before="79" w:after="0"/>
        <w:ind w:left="1411" w:right="1169" w:hanging="360"/>
        <w:jc w:val="left"/>
        <w:rPr>
          <w:sz w:val="24"/>
        </w:rPr>
      </w:pPr>
      <w:bookmarkStart w:name="b. MassHealth and its participating hosp" w:id="728"/>
      <w:bookmarkEnd w:id="728"/>
      <w:r>
        <w:rPr/>
      </w:r>
      <w:r>
        <w:rPr>
          <w:sz w:val="24"/>
        </w:rPr>
        <w:t>MassHealth and its participating hospitals will be expected to meet a target of 80 percent of hospitals achieving</w:t>
      </w:r>
      <w:r>
        <w:rPr>
          <w:spacing w:val="-2"/>
          <w:sz w:val="24"/>
        </w:rPr>
        <w:t> </w:t>
      </w:r>
      <w:r>
        <w:rPr>
          <w:sz w:val="24"/>
        </w:rPr>
        <w:t>rigorous standardsregarding</w:t>
      </w:r>
      <w:r>
        <w:rPr>
          <w:spacing w:val="-2"/>
          <w:sz w:val="24"/>
        </w:rPr>
        <w:t> </w:t>
      </w:r>
      <w:r>
        <w:rPr>
          <w:sz w:val="24"/>
        </w:rPr>
        <w:t>service capacity, access, and</w:t>
      </w:r>
      <w:r>
        <w:rPr>
          <w:spacing w:val="-2"/>
          <w:sz w:val="24"/>
        </w:rPr>
        <w:t> </w:t>
      </w:r>
      <w:r>
        <w:rPr>
          <w:sz w:val="24"/>
        </w:rPr>
        <w:t>delivery</w:t>
      </w:r>
      <w:r>
        <w:rPr>
          <w:spacing w:val="-7"/>
          <w:sz w:val="24"/>
        </w:rPr>
        <w:t> </w:t>
      </w:r>
      <w:r>
        <w:rPr>
          <w:sz w:val="24"/>
        </w:rPr>
        <w:t>of</w:t>
      </w:r>
      <w:r>
        <w:rPr>
          <w:spacing w:val="-1"/>
          <w:sz w:val="24"/>
        </w:rPr>
        <w:t> </w:t>
      </w:r>
      <w:r>
        <w:rPr>
          <w:sz w:val="24"/>
        </w:rPr>
        <w:t>culturally</w:t>
      </w:r>
      <w:r>
        <w:rPr>
          <w:spacing w:val="-5"/>
          <w:sz w:val="24"/>
        </w:rPr>
        <w:t> </w:t>
      </w:r>
      <w:r>
        <w:rPr>
          <w:sz w:val="24"/>
        </w:rPr>
        <w:t>and</w:t>
      </w:r>
      <w:r>
        <w:rPr>
          <w:spacing w:val="-2"/>
          <w:sz w:val="24"/>
        </w:rPr>
        <w:t> </w:t>
      </w:r>
      <w:r>
        <w:rPr>
          <w:sz w:val="24"/>
        </w:rPr>
        <w:t>linguistically</w:t>
      </w:r>
      <w:r>
        <w:rPr>
          <w:spacing w:val="-7"/>
          <w:sz w:val="24"/>
        </w:rPr>
        <w:t> </w:t>
      </w:r>
      <w:r>
        <w:rPr>
          <w:sz w:val="24"/>
        </w:rPr>
        <w:t>appropriate</w:t>
      </w:r>
      <w:r>
        <w:rPr>
          <w:spacing w:val="-3"/>
          <w:sz w:val="24"/>
        </w:rPr>
        <w:t> </w:t>
      </w:r>
      <w:r>
        <w:rPr>
          <w:sz w:val="24"/>
        </w:rPr>
        <w:t>care</w:t>
      </w:r>
      <w:r>
        <w:rPr>
          <w:spacing w:val="-3"/>
          <w:sz w:val="24"/>
        </w:rPr>
        <w:t> </w:t>
      </w:r>
      <w:r>
        <w:rPr>
          <w:sz w:val="24"/>
        </w:rPr>
        <w:t>by</w:t>
      </w:r>
      <w:r>
        <w:rPr>
          <w:spacing w:val="-7"/>
          <w:sz w:val="24"/>
        </w:rPr>
        <w:t> </w:t>
      </w:r>
      <w:r>
        <w:rPr>
          <w:sz w:val="24"/>
        </w:rPr>
        <w:t>the</w:t>
      </w:r>
      <w:r>
        <w:rPr>
          <w:spacing w:val="-1"/>
          <w:sz w:val="24"/>
        </w:rPr>
        <w:t> </w:t>
      </w:r>
      <w:r>
        <w:rPr>
          <w:sz w:val="24"/>
        </w:rPr>
        <w:t>end</w:t>
      </w:r>
      <w:r>
        <w:rPr>
          <w:spacing w:val="-2"/>
          <w:sz w:val="24"/>
        </w:rPr>
        <w:t> </w:t>
      </w:r>
      <w:r>
        <w:rPr>
          <w:sz w:val="24"/>
        </w:rPr>
        <w:t>of</w:t>
      </w:r>
      <w:r>
        <w:rPr>
          <w:spacing w:val="-3"/>
          <w:sz w:val="24"/>
        </w:rPr>
        <w:t> </w:t>
      </w:r>
      <w:r>
        <w:rPr>
          <w:sz w:val="24"/>
        </w:rPr>
        <w:t>PY3</w:t>
      </w:r>
      <w:r>
        <w:rPr>
          <w:spacing w:val="-2"/>
          <w:sz w:val="24"/>
        </w:rPr>
        <w:t> </w:t>
      </w:r>
      <w:r>
        <w:rPr>
          <w:sz w:val="24"/>
        </w:rPr>
        <w:t>(DY 30), as established by a national quality or accreditation organization.</w:t>
      </w:r>
    </w:p>
    <w:p>
      <w:pPr>
        <w:pStyle w:val="BodyText"/>
        <w:spacing w:before="10"/>
        <w:rPr>
          <w:sz w:val="20"/>
        </w:rPr>
      </w:pPr>
    </w:p>
    <w:p>
      <w:pPr>
        <w:pStyle w:val="Heading5"/>
        <w:ind w:left="871"/>
      </w:pPr>
      <w:r>
        <w:rPr/>
        <w:drawing>
          <wp:anchor distT="0" distB="0" distL="0" distR="0" allowOverlap="1" layoutInCell="1" locked="0" behindDoc="0" simplePos="0" relativeHeight="15966208">
            <wp:simplePos x="0" y="0"/>
            <wp:positionH relativeFrom="page">
              <wp:posOffset>908303</wp:posOffset>
            </wp:positionH>
            <wp:positionV relativeFrom="paragraph">
              <wp:posOffset>35599</wp:posOffset>
            </wp:positionV>
            <wp:extent cx="283463" cy="112775"/>
            <wp:effectExtent l="0" t="0" r="0" b="0"/>
            <wp:wrapNone/>
            <wp:docPr id="475" name="Image 475"/>
            <wp:cNvGraphicFramePr>
              <a:graphicFrameLocks/>
            </wp:cNvGraphicFramePr>
            <a:graphic>
              <a:graphicData uri="http://schemas.openxmlformats.org/drawingml/2006/picture">
                <pic:pic>
                  <pic:nvPicPr>
                    <pic:cNvPr id="475" name="Image 475"/>
                    <pic:cNvPicPr/>
                  </pic:nvPicPr>
                  <pic:blipFill>
                    <a:blip r:embed="rId207" cstate="print"/>
                    <a:stretch>
                      <a:fillRect/>
                    </a:stretch>
                  </pic:blipFill>
                  <pic:spPr>
                    <a:xfrm>
                      <a:off x="0" y="0"/>
                      <a:ext cx="283463" cy="112775"/>
                    </a:xfrm>
                    <a:prstGeom prst="rect">
                      <a:avLst/>
                    </a:prstGeom>
                  </pic:spPr>
                </pic:pic>
              </a:graphicData>
            </a:graphic>
          </wp:anchor>
        </w:drawing>
      </w:r>
      <w:bookmarkStart w:name="14.6. Performance Assessment Methodology" w:id="729"/>
      <w:bookmarkEnd w:id="729"/>
      <w:r>
        <w:rPr>
          <w:b w:val="0"/>
        </w:rPr>
      </w:r>
      <w:r>
        <w:rPr/>
        <w:t>Performance</w:t>
      </w:r>
      <w:r>
        <w:rPr>
          <w:spacing w:val="-7"/>
        </w:rPr>
        <w:t> </w:t>
      </w:r>
      <w:r>
        <w:rPr/>
        <w:t>Assessment</w:t>
      </w:r>
      <w:r>
        <w:rPr>
          <w:spacing w:val="-4"/>
        </w:rPr>
        <w:t> </w:t>
      </w:r>
      <w:r>
        <w:rPr>
          <w:spacing w:val="-2"/>
        </w:rPr>
        <w:t>Methodology.</w:t>
      </w:r>
    </w:p>
    <w:p>
      <w:pPr>
        <w:pStyle w:val="BodyText"/>
        <w:spacing w:before="10"/>
        <w:rPr>
          <w:b/>
          <w:sz w:val="20"/>
        </w:rPr>
      </w:pPr>
    </w:p>
    <w:p>
      <w:pPr>
        <w:pStyle w:val="BodyText"/>
        <w:ind w:left="1411" w:right="1059"/>
      </w:pPr>
      <w:r>
        <w:rPr/>
        <w:drawing>
          <wp:anchor distT="0" distB="0" distL="0" distR="0" allowOverlap="1" layoutInCell="1" locked="0" behindDoc="0" simplePos="0" relativeHeight="15966720">
            <wp:simplePos x="0" y="0"/>
            <wp:positionH relativeFrom="page">
              <wp:posOffset>1431036</wp:posOffset>
            </wp:positionH>
            <wp:positionV relativeFrom="paragraph">
              <wp:posOffset>67604</wp:posOffset>
            </wp:positionV>
            <wp:extent cx="96011" cy="80771"/>
            <wp:effectExtent l="0" t="0" r="0" b="0"/>
            <wp:wrapNone/>
            <wp:docPr id="476" name="Image 476"/>
            <wp:cNvGraphicFramePr>
              <a:graphicFrameLocks/>
            </wp:cNvGraphicFramePr>
            <a:graphic>
              <a:graphicData uri="http://schemas.openxmlformats.org/drawingml/2006/picture">
                <pic:pic>
                  <pic:nvPicPr>
                    <pic:cNvPr id="476" name="Image 476"/>
                    <pic:cNvPicPr/>
                  </pic:nvPicPr>
                  <pic:blipFill>
                    <a:blip r:embed="rId29" cstate="print"/>
                    <a:stretch>
                      <a:fillRect/>
                    </a:stretch>
                  </pic:blipFill>
                  <pic:spPr>
                    <a:xfrm>
                      <a:off x="0" y="0"/>
                      <a:ext cx="96011" cy="80771"/>
                    </a:xfrm>
                    <a:prstGeom prst="rect">
                      <a:avLst/>
                    </a:prstGeom>
                  </pic:spPr>
                </pic:pic>
              </a:graphicData>
            </a:graphic>
          </wp:anchor>
        </w:drawing>
      </w:r>
      <w:bookmarkStart w:name="a. MassHealth will implement a performan" w:id="730"/>
      <w:bookmarkEnd w:id="730"/>
      <w:r>
        <w:rPr/>
      </w:r>
      <w:r>
        <w:rPr/>
        <w:t>MassHealth will implement a performance assessment methodology that should encourage</w:t>
      </w:r>
      <w:r>
        <w:rPr>
          <w:spacing w:val="-5"/>
        </w:rPr>
        <w:t> </w:t>
      </w:r>
      <w:r>
        <w:rPr/>
        <w:t>all</w:t>
      </w:r>
      <w:r>
        <w:rPr>
          <w:spacing w:val="-4"/>
        </w:rPr>
        <w:t> </w:t>
      </w:r>
      <w:r>
        <w:rPr/>
        <w:t>participating</w:t>
      </w:r>
      <w:r>
        <w:rPr>
          <w:spacing w:val="-7"/>
        </w:rPr>
        <w:t> </w:t>
      </w:r>
      <w:r>
        <w:rPr/>
        <w:t>hospitals</w:t>
      </w:r>
      <w:r>
        <w:rPr>
          <w:spacing w:val="-4"/>
        </w:rPr>
        <w:t> </w:t>
      </w:r>
      <w:r>
        <w:rPr/>
        <w:t>to</w:t>
      </w:r>
      <w:r>
        <w:rPr>
          <w:spacing w:val="-4"/>
        </w:rPr>
        <w:t> </w:t>
      </w:r>
      <w:r>
        <w:rPr/>
        <w:t>improve,</w:t>
      </w:r>
      <w:r>
        <w:rPr>
          <w:spacing w:val="-4"/>
        </w:rPr>
        <w:t> </w:t>
      </w:r>
      <w:r>
        <w:rPr/>
        <w:t>including</w:t>
      </w:r>
      <w:r>
        <w:rPr>
          <w:spacing w:val="-7"/>
        </w:rPr>
        <w:t> </w:t>
      </w:r>
      <w:r>
        <w:rPr/>
        <w:t>high-performing</w:t>
      </w:r>
      <w:r>
        <w:rPr>
          <w:spacing w:val="-4"/>
        </w:rPr>
        <w:t> </w:t>
      </w:r>
      <w:r>
        <w:rPr/>
        <w:t>hospitals where there may be reduced opportunity for improvement as compared to other participating hospitals.</w:t>
      </w:r>
      <w:r>
        <w:rPr>
          <w:spacing w:val="40"/>
        </w:rPr>
        <w:t> </w:t>
      </w:r>
      <w:r>
        <w:rPr/>
        <w:t>This methodology</w:t>
      </w:r>
      <w:r>
        <w:rPr>
          <w:spacing w:val="-1"/>
        </w:rPr>
        <w:t> </w:t>
      </w:r>
      <w:r>
        <w:rPr/>
        <w:t>should be consistent across measures and detailed in the Hospital Quality and Equity Initiative Implementation Plan.</w:t>
      </w:r>
    </w:p>
    <w:p>
      <w:pPr>
        <w:pStyle w:val="BodyText"/>
        <w:spacing w:before="10"/>
        <w:rPr>
          <w:sz w:val="20"/>
        </w:rPr>
      </w:pPr>
    </w:p>
    <w:p>
      <w:pPr>
        <w:pStyle w:val="BodyText"/>
        <w:ind w:left="2040" w:right="1141"/>
      </w:pPr>
      <w:r>
        <w:rPr/>
        <w:drawing>
          <wp:anchor distT="0" distB="0" distL="0" distR="0" allowOverlap="1" layoutInCell="1" locked="0" behindDoc="0" simplePos="0" relativeHeight="15967232">
            <wp:simplePos x="0" y="0"/>
            <wp:positionH relativeFrom="page">
              <wp:posOffset>1862327</wp:posOffset>
            </wp:positionH>
            <wp:positionV relativeFrom="paragraph">
              <wp:posOffset>32552</wp:posOffset>
            </wp:positionV>
            <wp:extent cx="73151" cy="115823"/>
            <wp:effectExtent l="0" t="0" r="0" b="0"/>
            <wp:wrapNone/>
            <wp:docPr id="477" name="Image 477"/>
            <wp:cNvGraphicFramePr>
              <a:graphicFrameLocks/>
            </wp:cNvGraphicFramePr>
            <a:graphic>
              <a:graphicData uri="http://schemas.openxmlformats.org/drawingml/2006/picture">
                <pic:pic>
                  <pic:nvPicPr>
                    <pic:cNvPr id="477" name="Image 477"/>
                    <pic:cNvPicPr/>
                  </pic:nvPicPr>
                  <pic:blipFill>
                    <a:blip r:embed="rId61" cstate="print"/>
                    <a:stretch>
                      <a:fillRect/>
                    </a:stretch>
                  </pic:blipFill>
                  <pic:spPr>
                    <a:xfrm>
                      <a:off x="0" y="0"/>
                      <a:ext cx="73151" cy="115823"/>
                    </a:xfrm>
                    <a:prstGeom prst="rect">
                      <a:avLst/>
                    </a:prstGeom>
                  </pic:spPr>
                </pic:pic>
              </a:graphicData>
            </a:graphic>
          </wp:anchor>
        </w:drawing>
      </w:r>
      <w:bookmarkStart w:name="i. For metrics described in STC 14.3 and" w:id="731"/>
      <w:bookmarkEnd w:id="731"/>
      <w:r>
        <w:rPr/>
      </w:r>
      <w:r>
        <w:rPr/>
        <w:t>For metrics described in STC 14.3 and 14.5, MassHealth must set performance</w:t>
      </w:r>
      <w:r>
        <w:rPr>
          <w:spacing w:val="-6"/>
        </w:rPr>
        <w:t> </w:t>
      </w:r>
      <w:r>
        <w:rPr/>
        <w:t>targets</w:t>
      </w:r>
      <w:r>
        <w:rPr>
          <w:spacing w:val="-5"/>
        </w:rPr>
        <w:t> </w:t>
      </w:r>
      <w:r>
        <w:rPr/>
        <w:t>(or</w:t>
      </w:r>
      <w:r>
        <w:rPr>
          <w:spacing w:val="-6"/>
        </w:rPr>
        <w:t> </w:t>
      </w:r>
      <w:r>
        <w:rPr/>
        <w:t>benchmarks)</w:t>
      </w:r>
      <w:r>
        <w:rPr>
          <w:spacing w:val="-4"/>
        </w:rPr>
        <w:t> </w:t>
      </w:r>
      <w:r>
        <w:rPr/>
        <w:t>and</w:t>
      </w:r>
      <w:r>
        <w:rPr>
          <w:spacing w:val="-5"/>
        </w:rPr>
        <w:t> </w:t>
      </w:r>
      <w:r>
        <w:rPr/>
        <w:t>reward</w:t>
      </w:r>
      <w:r>
        <w:rPr>
          <w:spacing w:val="-5"/>
        </w:rPr>
        <w:t> </w:t>
      </w:r>
      <w:r>
        <w:rPr/>
        <w:t>participating</w:t>
      </w:r>
      <w:r>
        <w:rPr>
          <w:spacing w:val="-8"/>
        </w:rPr>
        <w:t> </w:t>
      </w:r>
      <w:r>
        <w:rPr/>
        <w:t>hospitals</w:t>
      </w:r>
      <w:r>
        <w:rPr>
          <w:spacing w:val="-5"/>
        </w:rPr>
        <w:t> </w:t>
      </w:r>
      <w:r>
        <w:rPr/>
        <w:t>for improvement and/or achievement on the established benchmarks based on aggregate performance.</w:t>
      </w:r>
    </w:p>
    <w:p>
      <w:pPr>
        <w:pStyle w:val="BodyText"/>
        <w:spacing w:before="161"/>
        <w:ind w:left="2040" w:right="1059"/>
      </w:pPr>
      <w:r>
        <w:rPr/>
        <w:drawing>
          <wp:anchor distT="0" distB="0" distL="0" distR="0" allowOverlap="1" layoutInCell="1" locked="0" behindDoc="0" simplePos="0" relativeHeight="15967744">
            <wp:simplePos x="0" y="0"/>
            <wp:positionH relativeFrom="page">
              <wp:posOffset>1819655</wp:posOffset>
            </wp:positionH>
            <wp:positionV relativeFrom="paragraph">
              <wp:posOffset>134786</wp:posOffset>
            </wp:positionV>
            <wp:extent cx="115823" cy="115823"/>
            <wp:effectExtent l="0" t="0" r="0" b="0"/>
            <wp:wrapNone/>
            <wp:docPr id="478" name="Image 478"/>
            <wp:cNvGraphicFramePr>
              <a:graphicFrameLocks/>
            </wp:cNvGraphicFramePr>
            <a:graphic>
              <a:graphicData uri="http://schemas.openxmlformats.org/drawingml/2006/picture">
                <pic:pic>
                  <pic:nvPicPr>
                    <pic:cNvPr id="478" name="Image 478"/>
                    <pic:cNvPicPr/>
                  </pic:nvPicPr>
                  <pic:blipFill>
                    <a:blip r:embed="rId62" cstate="print"/>
                    <a:stretch>
                      <a:fillRect/>
                    </a:stretch>
                  </pic:blipFill>
                  <pic:spPr>
                    <a:xfrm>
                      <a:off x="0" y="0"/>
                      <a:ext cx="115823" cy="115823"/>
                    </a:xfrm>
                    <a:prstGeom prst="rect">
                      <a:avLst/>
                    </a:prstGeom>
                  </pic:spPr>
                </pic:pic>
              </a:graphicData>
            </a:graphic>
          </wp:anchor>
        </w:drawing>
      </w:r>
      <w:bookmarkStart w:name="ii. For metrics described in STC 14.4, M" w:id="732"/>
      <w:bookmarkEnd w:id="732"/>
      <w:r>
        <w:rPr/>
      </w:r>
      <w:r>
        <w:rPr/>
        <w:t>For metrics described in STC 14.4, MassHealth must set performance targets (or benchmarks) and reward hospitals for improvement and achievement for the established benchmarks based on aggregate performance and stratified performance</w:t>
      </w:r>
      <w:r>
        <w:rPr>
          <w:spacing w:val="-3"/>
        </w:rPr>
        <w:t> </w:t>
      </w:r>
      <w:r>
        <w:rPr/>
        <w:t>as</w:t>
      </w:r>
      <w:r>
        <w:rPr>
          <w:spacing w:val="-4"/>
        </w:rPr>
        <w:t> </w:t>
      </w:r>
      <w:r>
        <w:rPr/>
        <w:t>described</w:t>
      </w:r>
      <w:r>
        <w:rPr>
          <w:spacing w:val="-2"/>
        </w:rPr>
        <w:t> </w:t>
      </w:r>
      <w:r>
        <w:rPr/>
        <w:t>in</w:t>
      </w:r>
      <w:r>
        <w:rPr>
          <w:spacing w:val="-4"/>
        </w:rPr>
        <w:t> </w:t>
      </w:r>
      <w:r>
        <w:rPr/>
        <w:t>STC</w:t>
      </w:r>
      <w:r>
        <w:rPr>
          <w:spacing w:val="-4"/>
        </w:rPr>
        <w:t> </w:t>
      </w:r>
      <w:r>
        <w:rPr/>
        <w:t>14.4(b)(iii),</w:t>
      </w:r>
      <w:r>
        <w:rPr>
          <w:spacing w:val="-4"/>
        </w:rPr>
        <w:t> </w:t>
      </w:r>
      <w:r>
        <w:rPr/>
        <w:t>including</w:t>
      </w:r>
      <w:r>
        <w:rPr>
          <w:spacing w:val="-7"/>
        </w:rPr>
        <w:t> </w:t>
      </w:r>
      <w:r>
        <w:rPr/>
        <w:t>by</w:t>
      </w:r>
      <w:r>
        <w:rPr>
          <w:spacing w:val="-9"/>
        </w:rPr>
        <w:t> </w:t>
      </w:r>
      <w:r>
        <w:rPr/>
        <w:t>reducing</w:t>
      </w:r>
      <w:r>
        <w:rPr>
          <w:spacing w:val="-7"/>
        </w:rPr>
        <w:t> </w:t>
      </w:r>
      <w:r>
        <w:rPr/>
        <w:t>observed performance disparities through improvement (and not through reduced performance for certain groups or quantiles).</w:t>
      </w:r>
    </w:p>
    <w:p>
      <w:pPr>
        <w:pStyle w:val="BodyText"/>
        <w:spacing w:before="199"/>
        <w:ind w:left="1411" w:right="1041"/>
      </w:pPr>
      <w:r>
        <w:rPr/>
        <w:drawing>
          <wp:anchor distT="0" distB="0" distL="0" distR="0" allowOverlap="1" layoutInCell="1" locked="0" behindDoc="0" simplePos="0" relativeHeight="15968256">
            <wp:simplePos x="0" y="0"/>
            <wp:positionH relativeFrom="page">
              <wp:posOffset>1424939</wp:posOffset>
            </wp:positionH>
            <wp:positionV relativeFrom="paragraph">
              <wp:posOffset>158916</wp:posOffset>
            </wp:positionV>
            <wp:extent cx="111251" cy="115823"/>
            <wp:effectExtent l="0" t="0" r="0" b="0"/>
            <wp:wrapNone/>
            <wp:docPr id="479" name="Image 479"/>
            <wp:cNvGraphicFramePr>
              <a:graphicFrameLocks/>
            </wp:cNvGraphicFramePr>
            <a:graphic>
              <a:graphicData uri="http://schemas.openxmlformats.org/drawingml/2006/picture">
                <pic:pic>
                  <pic:nvPicPr>
                    <pic:cNvPr id="479" name="Image 479"/>
                    <pic:cNvPicPr/>
                  </pic:nvPicPr>
                  <pic:blipFill>
                    <a:blip r:embed="rId30" cstate="print"/>
                    <a:stretch>
                      <a:fillRect/>
                    </a:stretch>
                  </pic:blipFill>
                  <pic:spPr>
                    <a:xfrm>
                      <a:off x="0" y="0"/>
                      <a:ext cx="111251" cy="115823"/>
                    </a:xfrm>
                    <a:prstGeom prst="rect">
                      <a:avLst/>
                    </a:prstGeom>
                  </pic:spPr>
                </pic:pic>
              </a:graphicData>
            </a:graphic>
          </wp:anchor>
        </w:drawing>
      </w:r>
      <w:bookmarkStart w:name="b. If a measure benchmark cannot be esta" w:id="733"/>
      <w:bookmarkEnd w:id="733"/>
      <w:r>
        <w:rPr/>
      </w:r>
      <w:r>
        <w:rPr/>
        <w:t>If a measure benchmark cannot be established by July</w:t>
      </w:r>
      <w:r>
        <w:rPr>
          <w:spacing w:val="-3"/>
        </w:rPr>
        <w:t> </w:t>
      </w:r>
      <w:r>
        <w:rPr/>
        <w:t>1, 2025 using Massachusetts- derived data, the impacted measure must be replaced by the Commonwealth, choosing</w:t>
      </w:r>
      <w:r>
        <w:rPr>
          <w:spacing w:val="-3"/>
        </w:rPr>
        <w:t> </w:t>
      </w:r>
      <w:r>
        <w:rPr/>
        <w:t>a</w:t>
      </w:r>
      <w:r>
        <w:rPr>
          <w:spacing w:val="-4"/>
        </w:rPr>
        <w:t> </w:t>
      </w:r>
      <w:r>
        <w:rPr/>
        <w:t>CMS-approved</w:t>
      </w:r>
      <w:r>
        <w:rPr>
          <w:spacing w:val="-3"/>
        </w:rPr>
        <w:t> </w:t>
      </w:r>
      <w:r>
        <w:rPr/>
        <w:t>measure</w:t>
      </w:r>
      <w:r>
        <w:rPr>
          <w:spacing w:val="-4"/>
        </w:rPr>
        <w:t> </w:t>
      </w:r>
      <w:r>
        <w:rPr/>
        <w:t>that</w:t>
      </w:r>
      <w:r>
        <w:rPr>
          <w:spacing w:val="-3"/>
        </w:rPr>
        <w:t> </w:t>
      </w:r>
      <w:r>
        <w:rPr/>
        <w:t>is</w:t>
      </w:r>
      <w:r>
        <w:rPr>
          <w:spacing w:val="-3"/>
        </w:rPr>
        <w:t> </w:t>
      </w:r>
      <w:r>
        <w:rPr/>
        <w:t>already</w:t>
      </w:r>
      <w:r>
        <w:rPr>
          <w:spacing w:val="-6"/>
        </w:rPr>
        <w:t> </w:t>
      </w:r>
      <w:r>
        <w:rPr/>
        <w:t>widely</w:t>
      </w:r>
      <w:r>
        <w:rPr>
          <w:spacing w:val="-8"/>
        </w:rPr>
        <w:t> </w:t>
      </w:r>
      <w:r>
        <w:rPr/>
        <w:t>used</w:t>
      </w:r>
      <w:r>
        <w:rPr>
          <w:spacing w:val="-4"/>
        </w:rPr>
        <w:t> </w:t>
      </w:r>
      <w:r>
        <w:rPr/>
        <w:t>within</w:t>
      </w:r>
      <w:r>
        <w:rPr>
          <w:spacing w:val="-3"/>
        </w:rPr>
        <w:t> </w:t>
      </w:r>
      <w:r>
        <w:rPr/>
        <w:t>Massachusetts (or for which reliable data to establish a valid benchmark are readily</w:t>
      </w:r>
      <w:r>
        <w:rPr>
          <w:spacing w:val="-4"/>
        </w:rPr>
        <w:t> </w:t>
      </w:r>
      <w:r>
        <w:rPr/>
        <w:t>available).</w:t>
      </w:r>
      <w:r>
        <w:rPr>
          <w:spacing w:val="40"/>
        </w:rPr>
        <w:t> </w:t>
      </w:r>
      <w:r>
        <w:rPr/>
        <w:t>The Commonwealth</w:t>
      </w:r>
      <w:r>
        <w:rPr>
          <w:spacing w:val="-2"/>
        </w:rPr>
        <w:t> </w:t>
      </w:r>
      <w:r>
        <w:rPr/>
        <w:t>will</w:t>
      </w:r>
      <w:r>
        <w:rPr>
          <w:spacing w:val="-2"/>
        </w:rPr>
        <w:t> </w:t>
      </w:r>
      <w:r>
        <w:rPr/>
        <w:t>then</w:t>
      </w:r>
      <w:r>
        <w:rPr>
          <w:spacing w:val="-2"/>
        </w:rPr>
        <w:t> </w:t>
      </w:r>
      <w:r>
        <w:rPr/>
        <w:t>establish</w:t>
      </w:r>
      <w:r>
        <w:rPr>
          <w:spacing w:val="-2"/>
        </w:rPr>
        <w:t> </w:t>
      </w:r>
      <w:r>
        <w:rPr/>
        <w:t>a</w:t>
      </w:r>
      <w:r>
        <w:rPr>
          <w:spacing w:val="-3"/>
        </w:rPr>
        <w:t> </w:t>
      </w:r>
      <w:r>
        <w:rPr/>
        <w:t>benchmark,</w:t>
      </w:r>
      <w:r>
        <w:rPr>
          <w:spacing w:val="-2"/>
        </w:rPr>
        <w:t> </w:t>
      </w:r>
      <w:r>
        <w:rPr/>
        <w:t>using</w:t>
      </w:r>
      <w:r>
        <w:rPr>
          <w:spacing w:val="-5"/>
        </w:rPr>
        <w:t> </w:t>
      </w:r>
      <w:r>
        <w:rPr/>
        <w:t>the</w:t>
      </w:r>
      <w:r>
        <w:rPr>
          <w:spacing w:val="-3"/>
        </w:rPr>
        <w:t> </w:t>
      </w:r>
      <w:r>
        <w:rPr/>
        <w:t>alternative</w:t>
      </w:r>
      <w:r>
        <w:rPr>
          <w:spacing w:val="-3"/>
        </w:rPr>
        <w:t> </w:t>
      </w:r>
      <w:r>
        <w:rPr/>
        <w:t>data, using</w:t>
      </w:r>
      <w:r>
        <w:rPr>
          <w:spacing w:val="-5"/>
        </w:rPr>
        <w:t> </w:t>
      </w:r>
      <w:r>
        <w:rPr/>
        <w:t>the same methodology included in the approved Hospital Quality and Equity Initiative Implementation Plan unless modifications are required to accommodate differences between the intended data and the alternative data that will be used.</w:t>
      </w:r>
    </w:p>
    <w:p>
      <w:pPr>
        <w:pStyle w:val="BodyText"/>
        <w:spacing w:before="10"/>
        <w:rPr>
          <w:sz w:val="20"/>
        </w:rPr>
      </w:pPr>
    </w:p>
    <w:p>
      <w:pPr>
        <w:pStyle w:val="ListParagraph"/>
        <w:numPr>
          <w:ilvl w:val="0"/>
          <w:numId w:val="41"/>
        </w:numPr>
        <w:tabs>
          <w:tab w:pos="1411" w:val="left" w:leader="none"/>
        </w:tabs>
        <w:spacing w:line="240" w:lineRule="auto" w:before="1" w:after="0"/>
        <w:ind w:left="1411" w:right="1289" w:hanging="360"/>
        <w:jc w:val="left"/>
        <w:rPr>
          <w:sz w:val="24"/>
        </w:rPr>
      </w:pPr>
      <w:bookmarkStart w:name="c. The Commonwealth may use imputed data" w:id="734"/>
      <w:bookmarkEnd w:id="734"/>
      <w:r>
        <w:rPr/>
      </w:r>
      <w:r>
        <w:rPr>
          <w:sz w:val="24"/>
        </w:rPr>
        <w:t>The Commonwealth may use imputed data prior to full data collection to support disparities</w:t>
      </w:r>
      <w:r>
        <w:rPr>
          <w:spacing w:val="-5"/>
          <w:sz w:val="24"/>
        </w:rPr>
        <w:t> </w:t>
      </w:r>
      <w:r>
        <w:rPr>
          <w:sz w:val="24"/>
        </w:rPr>
        <w:t>assessment</w:t>
      </w:r>
      <w:r>
        <w:rPr>
          <w:spacing w:val="-5"/>
          <w:sz w:val="24"/>
        </w:rPr>
        <w:t> </w:t>
      </w:r>
      <w:r>
        <w:rPr>
          <w:sz w:val="24"/>
        </w:rPr>
        <w:t>only;</w:t>
      </w:r>
      <w:r>
        <w:rPr>
          <w:spacing w:val="-5"/>
          <w:sz w:val="24"/>
        </w:rPr>
        <w:t> </w:t>
      </w:r>
      <w:r>
        <w:rPr>
          <w:sz w:val="24"/>
        </w:rPr>
        <w:t>payment</w:t>
      </w:r>
      <w:r>
        <w:rPr>
          <w:spacing w:val="-5"/>
          <w:sz w:val="24"/>
        </w:rPr>
        <w:t> </w:t>
      </w:r>
      <w:r>
        <w:rPr>
          <w:sz w:val="24"/>
        </w:rPr>
        <w:t>to</w:t>
      </w:r>
      <w:r>
        <w:rPr>
          <w:spacing w:val="-5"/>
          <w:sz w:val="24"/>
        </w:rPr>
        <w:t> </w:t>
      </w:r>
      <w:r>
        <w:rPr>
          <w:sz w:val="24"/>
        </w:rPr>
        <w:t>participating</w:t>
      </w:r>
      <w:r>
        <w:rPr>
          <w:spacing w:val="-7"/>
          <w:sz w:val="24"/>
        </w:rPr>
        <w:t> </w:t>
      </w:r>
      <w:r>
        <w:rPr>
          <w:sz w:val="24"/>
        </w:rPr>
        <w:t>hospitals</w:t>
      </w:r>
      <w:r>
        <w:rPr>
          <w:spacing w:val="-5"/>
          <w:sz w:val="24"/>
        </w:rPr>
        <w:t> </w:t>
      </w:r>
      <w:r>
        <w:rPr>
          <w:sz w:val="24"/>
        </w:rPr>
        <w:t>for</w:t>
      </w:r>
      <w:r>
        <w:rPr>
          <w:spacing w:val="-4"/>
          <w:sz w:val="24"/>
        </w:rPr>
        <w:t> </w:t>
      </w:r>
      <w:r>
        <w:rPr>
          <w:sz w:val="24"/>
        </w:rPr>
        <w:t>completeness</w:t>
      </w:r>
      <w:r>
        <w:rPr>
          <w:spacing w:val="-5"/>
          <w:sz w:val="24"/>
        </w:rPr>
        <w:t> </w:t>
      </w:r>
      <w:r>
        <w:rPr>
          <w:sz w:val="24"/>
        </w:rPr>
        <w:t>of demographic</w:t>
      </w:r>
      <w:r>
        <w:rPr>
          <w:spacing w:val="-4"/>
          <w:sz w:val="24"/>
        </w:rPr>
        <w:t> </w:t>
      </w:r>
      <w:r>
        <w:rPr>
          <w:sz w:val="24"/>
        </w:rPr>
        <w:t>and</w:t>
      </w:r>
      <w:r>
        <w:rPr>
          <w:spacing w:val="-3"/>
          <w:sz w:val="24"/>
        </w:rPr>
        <w:t> </w:t>
      </w:r>
      <w:r>
        <w:rPr>
          <w:sz w:val="24"/>
        </w:rPr>
        <w:t>health-related</w:t>
      </w:r>
      <w:r>
        <w:rPr>
          <w:spacing w:val="-3"/>
          <w:sz w:val="24"/>
        </w:rPr>
        <w:t> </w:t>
      </w:r>
      <w:r>
        <w:rPr>
          <w:sz w:val="24"/>
        </w:rPr>
        <w:t>social</w:t>
      </w:r>
      <w:r>
        <w:rPr>
          <w:spacing w:val="-3"/>
          <w:sz w:val="24"/>
        </w:rPr>
        <w:t> </w:t>
      </w:r>
      <w:r>
        <w:rPr>
          <w:sz w:val="24"/>
        </w:rPr>
        <w:t>needs</w:t>
      </w:r>
      <w:r>
        <w:rPr>
          <w:spacing w:val="-3"/>
          <w:sz w:val="24"/>
        </w:rPr>
        <w:t> </w:t>
      </w:r>
      <w:r>
        <w:rPr>
          <w:sz w:val="24"/>
        </w:rPr>
        <w:t>data</w:t>
      </w:r>
      <w:r>
        <w:rPr>
          <w:spacing w:val="-2"/>
          <w:sz w:val="24"/>
        </w:rPr>
        <w:t> </w:t>
      </w:r>
      <w:r>
        <w:rPr>
          <w:sz w:val="24"/>
        </w:rPr>
        <w:t>cannot</w:t>
      </w:r>
      <w:r>
        <w:rPr>
          <w:spacing w:val="-3"/>
          <w:sz w:val="24"/>
        </w:rPr>
        <w:t> </w:t>
      </w:r>
      <w:r>
        <w:rPr>
          <w:sz w:val="24"/>
        </w:rPr>
        <w:t>be</w:t>
      </w:r>
      <w:r>
        <w:rPr>
          <w:spacing w:val="-4"/>
          <w:sz w:val="24"/>
        </w:rPr>
        <w:t> </w:t>
      </w:r>
      <w:r>
        <w:rPr>
          <w:sz w:val="24"/>
        </w:rPr>
        <w:t>based</w:t>
      </w:r>
      <w:r>
        <w:rPr>
          <w:spacing w:val="-3"/>
          <w:sz w:val="24"/>
        </w:rPr>
        <w:t> </w:t>
      </w:r>
      <w:r>
        <w:rPr>
          <w:sz w:val="24"/>
        </w:rPr>
        <w:t>on</w:t>
      </w:r>
      <w:r>
        <w:rPr>
          <w:spacing w:val="-3"/>
          <w:sz w:val="24"/>
        </w:rPr>
        <w:t> </w:t>
      </w:r>
      <w:r>
        <w:rPr>
          <w:sz w:val="24"/>
        </w:rPr>
        <w:t>imputed</w:t>
      </w:r>
      <w:r>
        <w:rPr>
          <w:spacing w:val="-3"/>
          <w:sz w:val="24"/>
        </w:rPr>
        <w:t> </w:t>
      </w:r>
      <w:r>
        <w:rPr>
          <w:sz w:val="24"/>
        </w:rPr>
        <w:t>data for either the benchmark or the performance period data, nor may</w:t>
      </w:r>
      <w:r>
        <w:rPr>
          <w:spacing w:val="-4"/>
          <w:sz w:val="24"/>
        </w:rPr>
        <w:t> </w:t>
      </w:r>
      <w:r>
        <w:rPr>
          <w:sz w:val="24"/>
        </w:rPr>
        <w:t>imputed data be used in the calculation of stratified metrics that may form the basis for incentivize </w:t>
      </w:r>
      <w:r>
        <w:rPr>
          <w:spacing w:val="-2"/>
          <w:sz w:val="24"/>
        </w:rPr>
        <w:t>payment.</w:t>
      </w:r>
    </w:p>
    <w:p>
      <w:pPr>
        <w:pStyle w:val="BodyText"/>
        <w:spacing w:before="10"/>
        <w:rPr>
          <w:sz w:val="20"/>
        </w:rPr>
      </w:pPr>
    </w:p>
    <w:p>
      <w:pPr>
        <w:pStyle w:val="Heading5"/>
        <w:ind w:left="871"/>
      </w:pPr>
      <w:r>
        <w:rPr/>
        <w:drawing>
          <wp:anchor distT="0" distB="0" distL="0" distR="0" allowOverlap="1" layoutInCell="1" locked="0" behindDoc="0" simplePos="0" relativeHeight="15968768">
            <wp:simplePos x="0" y="0"/>
            <wp:positionH relativeFrom="page">
              <wp:posOffset>908303</wp:posOffset>
            </wp:positionH>
            <wp:positionV relativeFrom="paragraph">
              <wp:posOffset>35612</wp:posOffset>
            </wp:positionV>
            <wp:extent cx="283463" cy="112762"/>
            <wp:effectExtent l="0" t="0" r="0" b="0"/>
            <wp:wrapNone/>
            <wp:docPr id="480" name="Image 480"/>
            <wp:cNvGraphicFramePr>
              <a:graphicFrameLocks/>
            </wp:cNvGraphicFramePr>
            <a:graphic>
              <a:graphicData uri="http://schemas.openxmlformats.org/drawingml/2006/picture">
                <pic:pic>
                  <pic:nvPicPr>
                    <pic:cNvPr id="480" name="Image 480"/>
                    <pic:cNvPicPr/>
                  </pic:nvPicPr>
                  <pic:blipFill>
                    <a:blip r:embed="rId208" cstate="print"/>
                    <a:stretch>
                      <a:fillRect/>
                    </a:stretch>
                  </pic:blipFill>
                  <pic:spPr>
                    <a:xfrm>
                      <a:off x="0" y="0"/>
                      <a:ext cx="283463" cy="112762"/>
                    </a:xfrm>
                    <a:prstGeom prst="rect">
                      <a:avLst/>
                    </a:prstGeom>
                  </pic:spPr>
                </pic:pic>
              </a:graphicData>
            </a:graphic>
          </wp:anchor>
        </w:drawing>
      </w:r>
      <w:bookmarkStart w:name="14.7. Expenditure Authority Allocation A" w:id="735"/>
      <w:bookmarkEnd w:id="735"/>
      <w:r>
        <w:rPr>
          <w:b w:val="0"/>
        </w:rPr>
      </w:r>
      <w:r>
        <w:rPr/>
        <w:t>Expenditure</w:t>
      </w:r>
      <w:r>
        <w:rPr>
          <w:spacing w:val="-4"/>
        </w:rPr>
        <w:t> </w:t>
      </w:r>
      <w:r>
        <w:rPr/>
        <w:t>Authority</w:t>
      </w:r>
      <w:r>
        <w:rPr>
          <w:spacing w:val="-3"/>
        </w:rPr>
        <w:t> </w:t>
      </w:r>
      <w:r>
        <w:rPr/>
        <w:t>Allocation</w:t>
      </w:r>
      <w:r>
        <w:rPr>
          <w:spacing w:val="-3"/>
        </w:rPr>
        <w:t> </w:t>
      </w:r>
      <w:r>
        <w:rPr/>
        <w:t>Across</w:t>
      </w:r>
      <w:r>
        <w:rPr>
          <w:spacing w:val="-2"/>
        </w:rPr>
        <w:t> Domains.</w:t>
      </w:r>
    </w:p>
    <w:p>
      <w:pPr>
        <w:pStyle w:val="BodyText"/>
        <w:spacing w:before="10"/>
        <w:rPr>
          <w:b/>
          <w:sz w:val="20"/>
        </w:rPr>
      </w:pPr>
    </w:p>
    <w:p>
      <w:pPr>
        <w:pStyle w:val="ListParagraph"/>
        <w:numPr>
          <w:ilvl w:val="0"/>
          <w:numId w:val="42"/>
        </w:numPr>
        <w:tabs>
          <w:tab w:pos="1411" w:val="left" w:leader="none"/>
        </w:tabs>
        <w:spacing w:line="240" w:lineRule="auto" w:before="0" w:after="0"/>
        <w:ind w:left="1411" w:right="1176" w:hanging="360"/>
        <w:jc w:val="left"/>
        <w:rPr>
          <w:sz w:val="24"/>
        </w:rPr>
      </w:pPr>
      <w:bookmarkStart w:name="a. The expenditure authority (total comp" w:id="736"/>
      <w:bookmarkEnd w:id="736"/>
      <w:r>
        <w:rPr/>
      </w:r>
      <w:r>
        <w:rPr>
          <w:sz w:val="24"/>
        </w:rPr>
        <w:t>The expenditure authority (total computable) for the private acute hospitals in the Hospital</w:t>
      </w:r>
      <w:r>
        <w:rPr>
          <w:spacing w:val="-2"/>
          <w:sz w:val="24"/>
        </w:rPr>
        <w:t> </w:t>
      </w:r>
      <w:r>
        <w:rPr>
          <w:sz w:val="24"/>
        </w:rPr>
        <w:t>Quality</w:t>
      </w:r>
      <w:r>
        <w:rPr>
          <w:spacing w:val="-7"/>
          <w:sz w:val="24"/>
        </w:rPr>
        <w:t> </w:t>
      </w:r>
      <w:r>
        <w:rPr>
          <w:sz w:val="24"/>
        </w:rPr>
        <w:t>and</w:t>
      </w:r>
      <w:r>
        <w:rPr>
          <w:spacing w:val="-2"/>
          <w:sz w:val="24"/>
        </w:rPr>
        <w:t> </w:t>
      </w:r>
      <w:r>
        <w:rPr>
          <w:sz w:val="24"/>
        </w:rPr>
        <w:t>Equity</w:t>
      </w:r>
      <w:r>
        <w:rPr>
          <w:spacing w:val="-5"/>
          <w:sz w:val="24"/>
        </w:rPr>
        <w:t> </w:t>
      </w:r>
      <w:r>
        <w:rPr>
          <w:sz w:val="24"/>
        </w:rPr>
        <w:t>Initiative</w:t>
      </w:r>
      <w:r>
        <w:rPr>
          <w:spacing w:val="-3"/>
          <w:sz w:val="24"/>
        </w:rPr>
        <w:t> </w:t>
      </w:r>
      <w:r>
        <w:rPr>
          <w:sz w:val="24"/>
        </w:rPr>
        <w:t>will</w:t>
      </w:r>
      <w:r>
        <w:rPr>
          <w:spacing w:val="-2"/>
          <w:sz w:val="24"/>
        </w:rPr>
        <w:t> </w:t>
      </w:r>
      <w:r>
        <w:rPr>
          <w:sz w:val="24"/>
        </w:rPr>
        <w:t>be</w:t>
      </w:r>
      <w:r>
        <w:rPr>
          <w:spacing w:val="-3"/>
          <w:sz w:val="24"/>
        </w:rPr>
        <w:t> </w:t>
      </w:r>
      <w:r>
        <w:rPr>
          <w:sz w:val="24"/>
        </w:rPr>
        <w:t>allocated</w:t>
      </w:r>
      <w:r>
        <w:rPr>
          <w:spacing w:val="-2"/>
          <w:sz w:val="24"/>
        </w:rPr>
        <w:t> </w:t>
      </w:r>
      <w:r>
        <w:rPr>
          <w:sz w:val="24"/>
        </w:rPr>
        <w:t>by</w:t>
      </w:r>
      <w:r>
        <w:rPr>
          <w:spacing w:val="-7"/>
          <w:sz w:val="24"/>
        </w:rPr>
        <w:t> </w:t>
      </w:r>
      <w:r>
        <w:rPr>
          <w:sz w:val="24"/>
        </w:rPr>
        <w:t>domains</w:t>
      </w:r>
      <w:r>
        <w:rPr>
          <w:spacing w:val="-2"/>
          <w:sz w:val="24"/>
        </w:rPr>
        <w:t> </w:t>
      </w:r>
      <w:r>
        <w:rPr>
          <w:sz w:val="24"/>
        </w:rPr>
        <w:t>according</w:t>
      </w:r>
      <w:r>
        <w:rPr>
          <w:spacing w:val="-5"/>
          <w:sz w:val="24"/>
        </w:rPr>
        <w:t> </w:t>
      </w:r>
      <w:r>
        <w:rPr>
          <w:sz w:val="24"/>
        </w:rPr>
        <w:t>to</w:t>
      </w:r>
      <w:r>
        <w:rPr>
          <w:spacing w:val="-2"/>
          <w:sz w:val="24"/>
        </w:rPr>
        <w:t> </w:t>
      </w:r>
      <w:r>
        <w:rPr>
          <w:sz w:val="24"/>
        </w:rPr>
        <w:t>the following, across all performance years:</w:t>
      </w:r>
    </w:p>
    <w:p>
      <w:pPr>
        <w:spacing w:after="0" w:line="240" w:lineRule="auto"/>
        <w:jc w:val="left"/>
        <w:rPr>
          <w:sz w:val="24"/>
        </w:rPr>
        <w:sectPr>
          <w:pgSz w:w="12240" w:h="15840"/>
          <w:pgMar w:header="0" w:footer="1201" w:top="1360" w:bottom="1400" w:left="1200" w:right="400"/>
        </w:sectPr>
      </w:pPr>
    </w:p>
    <w:tbl>
      <w:tblPr>
        <w:tblW w:w="0" w:type="auto"/>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0"/>
        <w:gridCol w:w="2376"/>
        <w:gridCol w:w="2429"/>
        <w:gridCol w:w="2695"/>
      </w:tblGrid>
      <w:tr>
        <w:trPr>
          <w:trHeight w:val="373" w:hRule="atLeast"/>
        </w:trPr>
        <w:tc>
          <w:tcPr>
            <w:tcW w:w="9350" w:type="dxa"/>
            <w:gridSpan w:val="4"/>
            <w:shd w:val="clear" w:color="auto" w:fill="DBE4F0"/>
          </w:tcPr>
          <w:p>
            <w:pPr>
              <w:pStyle w:val="TableParagraph"/>
              <w:spacing w:before="61"/>
              <w:ind w:left="1458" w:right="1448"/>
              <w:jc w:val="center"/>
              <w:rPr>
                <w:b/>
                <w:sz w:val="22"/>
              </w:rPr>
            </w:pPr>
            <w:r>
              <w:rPr>
                <w:b/>
                <w:sz w:val="22"/>
              </w:rPr>
              <w:t>Table</w:t>
            </w:r>
            <w:r>
              <w:rPr>
                <w:b/>
                <w:spacing w:val="-8"/>
                <w:sz w:val="22"/>
              </w:rPr>
              <w:t> </w:t>
            </w:r>
            <w:r>
              <w:rPr>
                <w:b/>
                <w:sz w:val="22"/>
              </w:rPr>
              <w:t>14:</w:t>
            </w:r>
            <w:r>
              <w:rPr>
                <w:b/>
                <w:spacing w:val="-4"/>
                <w:sz w:val="22"/>
              </w:rPr>
              <w:t> </w:t>
            </w:r>
            <w:r>
              <w:rPr>
                <w:b/>
                <w:sz w:val="22"/>
              </w:rPr>
              <w:t>Expenditure</w:t>
            </w:r>
            <w:r>
              <w:rPr>
                <w:b/>
                <w:spacing w:val="-5"/>
                <w:sz w:val="22"/>
              </w:rPr>
              <w:t> </w:t>
            </w:r>
            <w:r>
              <w:rPr>
                <w:b/>
                <w:sz w:val="22"/>
              </w:rPr>
              <w:t>Authority</w:t>
            </w:r>
            <w:r>
              <w:rPr>
                <w:b/>
                <w:spacing w:val="-5"/>
                <w:sz w:val="22"/>
              </w:rPr>
              <w:t> </w:t>
            </w:r>
            <w:r>
              <w:rPr>
                <w:b/>
                <w:sz w:val="22"/>
              </w:rPr>
              <w:t>Annual</w:t>
            </w:r>
            <w:r>
              <w:rPr>
                <w:b/>
                <w:spacing w:val="-4"/>
                <w:sz w:val="22"/>
              </w:rPr>
              <w:t> </w:t>
            </w:r>
            <w:r>
              <w:rPr>
                <w:b/>
                <w:sz w:val="22"/>
              </w:rPr>
              <w:t>Allocation</w:t>
            </w:r>
            <w:r>
              <w:rPr>
                <w:b/>
                <w:spacing w:val="-8"/>
                <w:sz w:val="22"/>
              </w:rPr>
              <w:t> </w:t>
            </w:r>
            <w:r>
              <w:rPr>
                <w:b/>
                <w:sz w:val="22"/>
              </w:rPr>
              <w:t>by</w:t>
            </w:r>
            <w:r>
              <w:rPr>
                <w:b/>
                <w:spacing w:val="-5"/>
                <w:sz w:val="22"/>
              </w:rPr>
              <w:t> </w:t>
            </w:r>
            <w:r>
              <w:rPr>
                <w:b/>
                <w:spacing w:val="-2"/>
                <w:sz w:val="22"/>
              </w:rPr>
              <w:t>Domain</w:t>
            </w:r>
          </w:p>
        </w:tc>
      </w:tr>
      <w:tr>
        <w:trPr>
          <w:trHeight w:val="1130" w:hRule="atLeast"/>
        </w:trPr>
        <w:tc>
          <w:tcPr>
            <w:tcW w:w="1850" w:type="dxa"/>
            <w:shd w:val="clear" w:color="auto" w:fill="DBE4F0"/>
          </w:tcPr>
          <w:p>
            <w:pPr>
              <w:pStyle w:val="TableParagraph"/>
              <w:rPr>
                <w:sz w:val="22"/>
              </w:rPr>
            </w:pPr>
          </w:p>
        </w:tc>
        <w:tc>
          <w:tcPr>
            <w:tcW w:w="2376" w:type="dxa"/>
            <w:shd w:val="clear" w:color="auto" w:fill="DBE4F0"/>
          </w:tcPr>
          <w:p>
            <w:pPr>
              <w:pStyle w:val="TableParagraph"/>
              <w:spacing w:before="58"/>
              <w:ind w:left="146" w:right="136" w:hanging="7"/>
              <w:jc w:val="center"/>
              <w:rPr>
                <w:b/>
                <w:sz w:val="22"/>
              </w:rPr>
            </w:pPr>
            <w:r>
              <w:rPr>
                <w:b/>
                <w:sz w:val="22"/>
              </w:rPr>
              <w:t>Domain 1: Demographic and Health-Related</w:t>
            </w:r>
            <w:r>
              <w:rPr>
                <w:b/>
                <w:spacing w:val="-4"/>
                <w:sz w:val="22"/>
              </w:rPr>
              <w:t> </w:t>
            </w:r>
            <w:r>
              <w:rPr>
                <w:b/>
                <w:sz w:val="22"/>
              </w:rPr>
              <w:t>Social Needs</w:t>
            </w:r>
            <w:r>
              <w:rPr>
                <w:b/>
                <w:spacing w:val="-3"/>
                <w:sz w:val="22"/>
              </w:rPr>
              <w:t> </w:t>
            </w:r>
            <w:r>
              <w:rPr>
                <w:b/>
                <w:sz w:val="22"/>
              </w:rPr>
              <w:t>Data</w:t>
            </w:r>
            <w:r>
              <w:rPr>
                <w:b/>
                <w:spacing w:val="-5"/>
                <w:sz w:val="22"/>
              </w:rPr>
              <w:t> </w:t>
            </w:r>
            <w:r>
              <w:rPr>
                <w:b/>
                <w:spacing w:val="-2"/>
                <w:sz w:val="22"/>
              </w:rPr>
              <w:t>Collection</w:t>
            </w:r>
          </w:p>
        </w:tc>
        <w:tc>
          <w:tcPr>
            <w:tcW w:w="2429" w:type="dxa"/>
            <w:shd w:val="clear" w:color="auto" w:fill="DBE4F0"/>
          </w:tcPr>
          <w:p>
            <w:pPr>
              <w:pStyle w:val="TableParagraph"/>
              <w:spacing w:before="11"/>
              <w:rPr>
                <w:sz w:val="26"/>
              </w:rPr>
            </w:pPr>
          </w:p>
          <w:p>
            <w:pPr>
              <w:pStyle w:val="TableParagraph"/>
              <w:spacing w:line="244" w:lineRule="auto"/>
              <w:ind w:left="314" w:hanging="80"/>
              <w:rPr>
                <w:b/>
                <w:sz w:val="22"/>
              </w:rPr>
            </w:pPr>
            <w:r>
              <w:rPr>
                <w:b/>
                <w:sz w:val="22"/>
              </w:rPr>
              <w:t>Domain</w:t>
            </w:r>
            <w:r>
              <w:rPr>
                <w:b/>
                <w:spacing w:val="-14"/>
                <w:sz w:val="22"/>
              </w:rPr>
              <w:t> </w:t>
            </w:r>
            <w:r>
              <w:rPr>
                <w:b/>
                <w:sz w:val="22"/>
              </w:rPr>
              <w:t>2:</w:t>
            </w:r>
            <w:r>
              <w:rPr>
                <w:b/>
                <w:spacing w:val="-14"/>
                <w:sz w:val="22"/>
              </w:rPr>
              <w:t> </w:t>
            </w:r>
            <w:r>
              <w:rPr>
                <w:b/>
                <w:sz w:val="22"/>
              </w:rPr>
              <w:t>Equitable Access and Quality</w:t>
            </w:r>
          </w:p>
        </w:tc>
        <w:tc>
          <w:tcPr>
            <w:tcW w:w="2695" w:type="dxa"/>
            <w:shd w:val="clear" w:color="auto" w:fill="DBE4F0"/>
          </w:tcPr>
          <w:p>
            <w:pPr>
              <w:pStyle w:val="TableParagraph"/>
              <w:spacing w:before="11"/>
              <w:rPr>
                <w:sz w:val="26"/>
              </w:rPr>
            </w:pPr>
          </w:p>
          <w:p>
            <w:pPr>
              <w:pStyle w:val="TableParagraph"/>
              <w:spacing w:line="244" w:lineRule="auto"/>
              <w:ind w:left="693" w:hanging="495"/>
              <w:rPr>
                <w:b/>
                <w:sz w:val="22"/>
              </w:rPr>
            </w:pPr>
            <w:r>
              <w:rPr>
                <w:b/>
                <w:sz w:val="22"/>
              </w:rPr>
              <w:t>Domain</w:t>
            </w:r>
            <w:r>
              <w:rPr>
                <w:b/>
                <w:spacing w:val="-13"/>
                <w:sz w:val="22"/>
              </w:rPr>
              <w:t> </w:t>
            </w:r>
            <w:r>
              <w:rPr>
                <w:b/>
                <w:sz w:val="22"/>
              </w:rPr>
              <w:t>3:</w:t>
            </w:r>
            <w:r>
              <w:rPr>
                <w:b/>
                <w:spacing w:val="-11"/>
                <w:sz w:val="22"/>
              </w:rPr>
              <w:t> </w:t>
            </w:r>
            <w:r>
              <w:rPr>
                <w:b/>
                <w:sz w:val="22"/>
              </w:rPr>
              <w:t>Capacity</w:t>
            </w:r>
            <w:r>
              <w:rPr>
                <w:b/>
                <w:spacing w:val="-11"/>
                <w:sz w:val="22"/>
              </w:rPr>
              <w:t> </w:t>
            </w:r>
            <w:r>
              <w:rPr>
                <w:b/>
                <w:sz w:val="22"/>
              </w:rPr>
              <w:t>and </w:t>
            </w:r>
            <w:r>
              <w:rPr>
                <w:b/>
                <w:spacing w:val="-2"/>
                <w:sz w:val="22"/>
              </w:rPr>
              <w:t>Collaboration</w:t>
            </w:r>
          </w:p>
        </w:tc>
      </w:tr>
      <w:tr>
        <w:trPr>
          <w:trHeight w:val="505" w:hRule="atLeast"/>
        </w:trPr>
        <w:tc>
          <w:tcPr>
            <w:tcW w:w="1850" w:type="dxa"/>
          </w:tcPr>
          <w:p>
            <w:pPr>
              <w:pStyle w:val="TableParagraph"/>
              <w:spacing w:line="252" w:lineRule="exact"/>
              <w:ind w:left="107" w:right="303"/>
              <w:rPr>
                <w:sz w:val="22"/>
              </w:rPr>
            </w:pPr>
            <w:r>
              <w:rPr>
                <w:sz w:val="22"/>
              </w:rPr>
              <w:t>%</w:t>
            </w:r>
            <w:r>
              <w:rPr>
                <w:spacing w:val="-14"/>
                <w:sz w:val="22"/>
              </w:rPr>
              <w:t> </w:t>
            </w:r>
            <w:r>
              <w:rPr>
                <w:sz w:val="22"/>
              </w:rPr>
              <w:t>of</w:t>
            </w:r>
            <w:r>
              <w:rPr>
                <w:spacing w:val="-14"/>
                <w:sz w:val="22"/>
              </w:rPr>
              <w:t> </w:t>
            </w:r>
            <w:r>
              <w:rPr>
                <w:sz w:val="22"/>
              </w:rPr>
              <w:t>Annual </w:t>
            </w:r>
            <w:r>
              <w:rPr>
                <w:spacing w:val="-4"/>
                <w:sz w:val="22"/>
              </w:rPr>
              <w:t>Limit</w:t>
            </w:r>
          </w:p>
        </w:tc>
        <w:tc>
          <w:tcPr>
            <w:tcW w:w="2376" w:type="dxa"/>
          </w:tcPr>
          <w:p>
            <w:pPr>
              <w:pStyle w:val="TableParagraph"/>
              <w:spacing w:before="125"/>
              <w:ind w:left="712" w:right="705"/>
              <w:jc w:val="center"/>
              <w:rPr>
                <w:sz w:val="22"/>
              </w:rPr>
            </w:pPr>
            <w:r>
              <w:rPr>
                <w:sz w:val="22"/>
              </w:rPr>
              <w:t>25 </w:t>
            </w:r>
            <w:r>
              <w:rPr>
                <w:spacing w:val="-2"/>
                <w:sz w:val="22"/>
              </w:rPr>
              <w:t>percent</w:t>
            </w:r>
          </w:p>
        </w:tc>
        <w:tc>
          <w:tcPr>
            <w:tcW w:w="2429" w:type="dxa"/>
          </w:tcPr>
          <w:p>
            <w:pPr>
              <w:pStyle w:val="TableParagraph"/>
              <w:spacing w:before="125"/>
              <w:ind w:left="740" w:right="729"/>
              <w:jc w:val="center"/>
              <w:rPr>
                <w:sz w:val="22"/>
              </w:rPr>
            </w:pPr>
            <w:r>
              <w:rPr>
                <w:sz w:val="22"/>
              </w:rPr>
              <w:t>50 </w:t>
            </w:r>
            <w:r>
              <w:rPr>
                <w:spacing w:val="-2"/>
                <w:sz w:val="22"/>
              </w:rPr>
              <w:t>percent</w:t>
            </w:r>
          </w:p>
        </w:tc>
        <w:tc>
          <w:tcPr>
            <w:tcW w:w="2695" w:type="dxa"/>
          </w:tcPr>
          <w:p>
            <w:pPr>
              <w:pStyle w:val="TableParagraph"/>
              <w:spacing w:before="125"/>
              <w:ind w:left="872" w:right="863"/>
              <w:jc w:val="center"/>
              <w:rPr>
                <w:sz w:val="22"/>
              </w:rPr>
            </w:pPr>
            <w:r>
              <w:rPr>
                <w:sz w:val="22"/>
              </w:rPr>
              <w:t>25 </w:t>
            </w:r>
            <w:r>
              <w:rPr>
                <w:spacing w:val="-2"/>
                <w:sz w:val="22"/>
              </w:rPr>
              <w:t>percent</w:t>
            </w:r>
          </w:p>
        </w:tc>
      </w:tr>
      <w:tr>
        <w:trPr>
          <w:trHeight w:val="508" w:hRule="atLeast"/>
        </w:trPr>
        <w:tc>
          <w:tcPr>
            <w:tcW w:w="1850" w:type="dxa"/>
          </w:tcPr>
          <w:p>
            <w:pPr>
              <w:pStyle w:val="TableParagraph"/>
              <w:spacing w:line="252" w:lineRule="exact"/>
              <w:ind w:left="107" w:right="303"/>
              <w:rPr>
                <w:sz w:val="22"/>
              </w:rPr>
            </w:pPr>
            <w:r>
              <w:rPr>
                <w:sz w:val="22"/>
              </w:rPr>
              <w:t>Annual</w:t>
            </w:r>
            <w:r>
              <w:rPr>
                <w:spacing w:val="-14"/>
                <w:sz w:val="22"/>
              </w:rPr>
              <w:t> </w:t>
            </w:r>
            <w:r>
              <w:rPr>
                <w:sz w:val="22"/>
              </w:rPr>
              <w:t>Amount </w:t>
            </w:r>
            <w:r>
              <w:rPr>
                <w:spacing w:val="-4"/>
                <w:sz w:val="22"/>
              </w:rPr>
              <w:t>($)</w:t>
            </w:r>
          </w:p>
        </w:tc>
        <w:tc>
          <w:tcPr>
            <w:tcW w:w="2376" w:type="dxa"/>
          </w:tcPr>
          <w:p>
            <w:pPr>
              <w:pStyle w:val="TableParagraph"/>
              <w:spacing w:before="125"/>
              <w:ind w:left="709" w:right="705"/>
              <w:jc w:val="center"/>
              <w:rPr>
                <w:sz w:val="22"/>
              </w:rPr>
            </w:pPr>
            <w:r>
              <w:rPr>
                <w:spacing w:val="-2"/>
                <w:sz w:val="22"/>
              </w:rPr>
              <w:t>$100M</w:t>
            </w:r>
          </w:p>
        </w:tc>
        <w:tc>
          <w:tcPr>
            <w:tcW w:w="2429" w:type="dxa"/>
          </w:tcPr>
          <w:p>
            <w:pPr>
              <w:pStyle w:val="TableParagraph"/>
              <w:spacing w:before="125"/>
              <w:ind w:left="738" w:right="729"/>
              <w:jc w:val="center"/>
              <w:rPr>
                <w:sz w:val="22"/>
              </w:rPr>
            </w:pPr>
            <w:r>
              <w:rPr>
                <w:spacing w:val="-2"/>
                <w:sz w:val="22"/>
              </w:rPr>
              <w:t>$200M</w:t>
            </w:r>
          </w:p>
        </w:tc>
        <w:tc>
          <w:tcPr>
            <w:tcW w:w="2695" w:type="dxa"/>
          </w:tcPr>
          <w:p>
            <w:pPr>
              <w:pStyle w:val="TableParagraph"/>
              <w:spacing w:before="125"/>
              <w:ind w:left="872" w:right="861"/>
              <w:jc w:val="center"/>
              <w:rPr>
                <w:sz w:val="22"/>
              </w:rPr>
            </w:pPr>
            <w:r>
              <w:rPr>
                <w:spacing w:val="-2"/>
                <w:sz w:val="22"/>
              </w:rPr>
              <w:t>$100M</w:t>
            </w:r>
          </w:p>
        </w:tc>
      </w:tr>
    </w:tbl>
    <w:p>
      <w:pPr>
        <w:pStyle w:val="BodyText"/>
        <w:rPr>
          <w:sz w:val="20"/>
        </w:rPr>
      </w:pPr>
    </w:p>
    <w:p>
      <w:pPr>
        <w:pStyle w:val="BodyText"/>
        <w:rPr>
          <w:sz w:val="20"/>
        </w:rPr>
      </w:pPr>
    </w:p>
    <w:p>
      <w:pPr>
        <w:pStyle w:val="BodyText"/>
        <w:spacing w:before="2"/>
        <w:rPr>
          <w:sz w:val="16"/>
        </w:rPr>
      </w:pPr>
    </w:p>
    <w:p>
      <w:pPr>
        <w:pStyle w:val="ListParagraph"/>
        <w:numPr>
          <w:ilvl w:val="0"/>
          <w:numId w:val="42"/>
        </w:numPr>
        <w:tabs>
          <w:tab w:pos="1411" w:val="left" w:leader="none"/>
        </w:tabs>
        <w:spacing w:line="240" w:lineRule="auto" w:before="90" w:after="0"/>
        <w:ind w:left="1411" w:right="1132" w:hanging="360"/>
        <w:jc w:val="left"/>
        <w:rPr>
          <w:sz w:val="24"/>
        </w:rPr>
      </w:pPr>
      <w:bookmarkStart w:name="b. Within each domain, individual subdom" w:id="737"/>
      <w:bookmarkEnd w:id="737"/>
      <w:r>
        <w:rPr/>
      </w:r>
      <w:r>
        <w:rPr>
          <w:sz w:val="24"/>
        </w:rPr>
        <w:t>Within each domain, individual subdomains and measures may be weighted evenly or differently, reflecting agreed upon MassHealth and CMS priorities, or the anticipated difficulty in implementing interventions that are expected to lead to improvements</w:t>
      </w:r>
      <w:r>
        <w:rPr>
          <w:spacing w:val="-3"/>
          <w:sz w:val="24"/>
        </w:rPr>
        <w:t> </w:t>
      </w:r>
      <w:r>
        <w:rPr>
          <w:sz w:val="24"/>
        </w:rPr>
        <w:t>in</w:t>
      </w:r>
      <w:r>
        <w:rPr>
          <w:spacing w:val="-3"/>
          <w:sz w:val="24"/>
        </w:rPr>
        <w:t> </w:t>
      </w:r>
      <w:r>
        <w:rPr>
          <w:sz w:val="24"/>
        </w:rPr>
        <w:t>the</w:t>
      </w:r>
      <w:r>
        <w:rPr>
          <w:spacing w:val="-4"/>
          <w:sz w:val="24"/>
        </w:rPr>
        <w:t> </w:t>
      </w:r>
      <w:r>
        <w:rPr>
          <w:sz w:val="24"/>
        </w:rPr>
        <w:t>measures.</w:t>
      </w:r>
      <w:r>
        <w:rPr>
          <w:spacing w:val="-3"/>
          <w:sz w:val="24"/>
        </w:rPr>
        <w:t> </w:t>
      </w:r>
      <w:r>
        <w:rPr>
          <w:sz w:val="24"/>
        </w:rPr>
        <w:t>Such</w:t>
      </w:r>
      <w:r>
        <w:rPr>
          <w:spacing w:val="-3"/>
          <w:sz w:val="24"/>
        </w:rPr>
        <w:t> </w:t>
      </w:r>
      <w:r>
        <w:rPr>
          <w:sz w:val="24"/>
        </w:rPr>
        <w:t>weighting</w:t>
      </w:r>
      <w:r>
        <w:rPr>
          <w:spacing w:val="-6"/>
          <w:sz w:val="24"/>
        </w:rPr>
        <w:t> </w:t>
      </w:r>
      <w:r>
        <w:rPr>
          <w:sz w:val="24"/>
        </w:rPr>
        <w:t>will</w:t>
      </w:r>
      <w:r>
        <w:rPr>
          <w:spacing w:val="-3"/>
          <w:sz w:val="24"/>
        </w:rPr>
        <w:t> </w:t>
      </w:r>
      <w:r>
        <w:rPr>
          <w:sz w:val="24"/>
        </w:rPr>
        <w:t>be</w:t>
      </w:r>
      <w:r>
        <w:rPr>
          <w:spacing w:val="-4"/>
          <w:sz w:val="24"/>
        </w:rPr>
        <w:t> </w:t>
      </w:r>
      <w:r>
        <w:rPr>
          <w:sz w:val="24"/>
        </w:rPr>
        <w:t>specified</w:t>
      </w:r>
      <w:r>
        <w:rPr>
          <w:spacing w:val="-3"/>
          <w:sz w:val="24"/>
        </w:rPr>
        <w:t> </w:t>
      </w:r>
      <w:r>
        <w:rPr>
          <w:sz w:val="24"/>
        </w:rPr>
        <w:t>within</w:t>
      </w:r>
      <w:r>
        <w:rPr>
          <w:spacing w:val="-3"/>
          <w:sz w:val="24"/>
        </w:rPr>
        <w:t> </w:t>
      </w:r>
      <w:r>
        <w:rPr>
          <w:sz w:val="24"/>
        </w:rPr>
        <w:t>the</w:t>
      </w:r>
      <w:r>
        <w:rPr>
          <w:spacing w:val="-2"/>
          <w:sz w:val="24"/>
        </w:rPr>
        <w:t> </w:t>
      </w:r>
      <w:r>
        <w:rPr>
          <w:sz w:val="24"/>
        </w:rPr>
        <w:t>Hospital Quality and Equity Initiative Implementation Plan, subject to CMS approval.</w:t>
      </w:r>
    </w:p>
    <w:p>
      <w:pPr>
        <w:pStyle w:val="BodyText"/>
        <w:spacing w:before="10"/>
        <w:rPr>
          <w:sz w:val="20"/>
        </w:rPr>
      </w:pPr>
    </w:p>
    <w:p>
      <w:pPr>
        <w:pStyle w:val="ListParagraph"/>
        <w:numPr>
          <w:ilvl w:val="0"/>
          <w:numId w:val="42"/>
        </w:numPr>
        <w:tabs>
          <w:tab w:pos="1411" w:val="left" w:leader="none"/>
        </w:tabs>
        <w:spacing w:line="240" w:lineRule="auto" w:before="0" w:after="0"/>
        <w:ind w:left="1411" w:right="1172" w:hanging="360"/>
        <w:jc w:val="left"/>
        <w:rPr>
          <w:sz w:val="24"/>
        </w:rPr>
      </w:pPr>
      <w:bookmarkStart w:name="c. The Commonwealth may vary the incenti" w:id="738"/>
      <w:bookmarkEnd w:id="738"/>
      <w:r>
        <w:rPr/>
      </w:r>
      <w:r>
        <w:rPr>
          <w:sz w:val="24"/>
        </w:rPr>
        <w:t>The Commonwealth may vary the incentive payment amount each participating hospital is eligible to earn, with safety net hospitals as identified by the Commonwealth</w:t>
      </w:r>
      <w:r>
        <w:rPr>
          <w:spacing w:val="-3"/>
          <w:sz w:val="24"/>
        </w:rPr>
        <w:t> </w:t>
      </w:r>
      <w:r>
        <w:rPr>
          <w:sz w:val="24"/>
        </w:rPr>
        <w:t>eligible</w:t>
      </w:r>
      <w:r>
        <w:rPr>
          <w:spacing w:val="-4"/>
          <w:sz w:val="24"/>
        </w:rPr>
        <w:t> </w:t>
      </w:r>
      <w:r>
        <w:rPr>
          <w:sz w:val="24"/>
        </w:rPr>
        <w:t>to</w:t>
      </w:r>
      <w:r>
        <w:rPr>
          <w:spacing w:val="-3"/>
          <w:sz w:val="24"/>
        </w:rPr>
        <w:t> </w:t>
      </w:r>
      <w:r>
        <w:rPr>
          <w:sz w:val="24"/>
        </w:rPr>
        <w:t>earn</w:t>
      </w:r>
      <w:r>
        <w:rPr>
          <w:spacing w:val="-3"/>
          <w:sz w:val="24"/>
        </w:rPr>
        <w:t> </w:t>
      </w:r>
      <w:r>
        <w:rPr>
          <w:sz w:val="24"/>
        </w:rPr>
        <w:t>a</w:t>
      </w:r>
      <w:r>
        <w:rPr>
          <w:spacing w:val="-2"/>
          <w:sz w:val="24"/>
        </w:rPr>
        <w:t> </w:t>
      </w:r>
      <w:r>
        <w:rPr>
          <w:sz w:val="24"/>
        </w:rPr>
        <w:t>relatively</w:t>
      </w:r>
      <w:r>
        <w:rPr>
          <w:spacing w:val="-8"/>
          <w:sz w:val="24"/>
        </w:rPr>
        <w:t> </w:t>
      </w:r>
      <w:r>
        <w:rPr>
          <w:sz w:val="24"/>
        </w:rPr>
        <w:t>larger</w:t>
      </w:r>
      <w:r>
        <w:rPr>
          <w:spacing w:val="-2"/>
          <w:sz w:val="24"/>
        </w:rPr>
        <w:t> </w:t>
      </w:r>
      <w:r>
        <w:rPr>
          <w:sz w:val="24"/>
        </w:rPr>
        <w:t>incentive</w:t>
      </w:r>
      <w:r>
        <w:rPr>
          <w:spacing w:val="-4"/>
          <w:sz w:val="24"/>
        </w:rPr>
        <w:t> </w:t>
      </w:r>
      <w:r>
        <w:rPr>
          <w:sz w:val="24"/>
        </w:rPr>
        <w:t>amount</w:t>
      </w:r>
      <w:r>
        <w:rPr>
          <w:spacing w:val="-3"/>
          <w:sz w:val="24"/>
        </w:rPr>
        <w:t> </w:t>
      </w:r>
      <w:r>
        <w:rPr>
          <w:sz w:val="24"/>
        </w:rPr>
        <w:t>than</w:t>
      </w:r>
      <w:r>
        <w:rPr>
          <w:spacing w:val="-3"/>
          <w:sz w:val="24"/>
        </w:rPr>
        <w:t> </w:t>
      </w:r>
      <w:r>
        <w:rPr>
          <w:sz w:val="24"/>
        </w:rPr>
        <w:t>non-safety net hospitals.</w:t>
      </w:r>
    </w:p>
    <w:p>
      <w:pPr>
        <w:pStyle w:val="BodyText"/>
        <w:spacing w:before="10"/>
        <w:rPr>
          <w:sz w:val="20"/>
        </w:rPr>
      </w:pPr>
    </w:p>
    <w:p>
      <w:pPr>
        <w:pStyle w:val="BodyText"/>
        <w:ind w:left="871" w:right="1090"/>
      </w:pPr>
      <w:r>
        <w:rPr/>
        <w:drawing>
          <wp:anchor distT="0" distB="0" distL="0" distR="0" allowOverlap="1" layoutInCell="1" locked="0" behindDoc="0" simplePos="0" relativeHeight="15969280">
            <wp:simplePos x="0" y="0"/>
            <wp:positionH relativeFrom="page">
              <wp:posOffset>908303</wp:posOffset>
            </wp:positionH>
            <wp:positionV relativeFrom="paragraph">
              <wp:posOffset>35599</wp:posOffset>
            </wp:positionV>
            <wp:extent cx="283463" cy="112775"/>
            <wp:effectExtent l="0" t="0" r="0" b="0"/>
            <wp:wrapNone/>
            <wp:docPr id="481" name="Image 481"/>
            <wp:cNvGraphicFramePr>
              <a:graphicFrameLocks/>
            </wp:cNvGraphicFramePr>
            <a:graphic>
              <a:graphicData uri="http://schemas.openxmlformats.org/drawingml/2006/picture">
                <pic:pic>
                  <pic:nvPicPr>
                    <pic:cNvPr id="481" name="Image 481"/>
                    <pic:cNvPicPr/>
                  </pic:nvPicPr>
                  <pic:blipFill>
                    <a:blip r:embed="rId209" cstate="print"/>
                    <a:stretch>
                      <a:fillRect/>
                    </a:stretch>
                  </pic:blipFill>
                  <pic:spPr>
                    <a:xfrm>
                      <a:off x="0" y="0"/>
                      <a:ext cx="283463" cy="112775"/>
                    </a:xfrm>
                    <a:prstGeom prst="rect">
                      <a:avLst/>
                    </a:prstGeom>
                  </pic:spPr>
                </pic:pic>
              </a:graphicData>
            </a:graphic>
          </wp:anchor>
        </w:drawing>
      </w:r>
      <w:bookmarkStart w:name="14.8. Hospital Quality and Equity Initia" w:id="739"/>
      <w:bookmarkEnd w:id="739"/>
      <w:r>
        <w:rPr/>
      </w:r>
      <w:r>
        <w:rPr>
          <w:b/>
        </w:rPr>
        <w:t>Hospital Quality and Equity Initiative Implementation Plan. </w:t>
      </w:r>
      <w:r>
        <w:rPr/>
        <w:t>The Commonwealth must submit a proposed Hospital Quality and Equity Initiative Implementation Plan describing</w:t>
      </w:r>
      <w:r>
        <w:rPr>
          <w:spacing w:val="-5"/>
        </w:rPr>
        <w:t> </w:t>
      </w:r>
      <w:r>
        <w:rPr/>
        <w:t>activities</w:t>
      </w:r>
      <w:r>
        <w:rPr>
          <w:spacing w:val="-3"/>
        </w:rPr>
        <w:t> </w:t>
      </w:r>
      <w:r>
        <w:rPr/>
        <w:t>to</w:t>
      </w:r>
      <w:r>
        <w:rPr>
          <w:spacing w:val="-3"/>
        </w:rPr>
        <w:t> </w:t>
      </w:r>
      <w:r>
        <w:rPr/>
        <w:t>occur</w:t>
      </w:r>
      <w:r>
        <w:rPr>
          <w:spacing w:val="-3"/>
        </w:rPr>
        <w:t> </w:t>
      </w:r>
      <w:r>
        <w:rPr/>
        <w:t>during</w:t>
      </w:r>
      <w:r>
        <w:rPr>
          <w:spacing w:val="-5"/>
        </w:rPr>
        <w:t> </w:t>
      </w:r>
      <w:r>
        <w:rPr/>
        <w:t>PY</w:t>
      </w:r>
      <w:r>
        <w:rPr>
          <w:spacing w:val="-3"/>
        </w:rPr>
        <w:t> </w:t>
      </w:r>
      <w:r>
        <w:rPr/>
        <w:t>1</w:t>
      </w:r>
      <w:r>
        <w:rPr>
          <w:spacing w:val="-3"/>
        </w:rPr>
        <w:t> </w:t>
      </w:r>
      <w:r>
        <w:rPr/>
        <w:t>(DY27</w:t>
      </w:r>
      <w:r>
        <w:rPr>
          <w:spacing w:val="-1"/>
        </w:rPr>
        <w:t> </w:t>
      </w:r>
      <w:r>
        <w:rPr/>
        <w:t>and</w:t>
      </w:r>
      <w:r>
        <w:rPr>
          <w:spacing w:val="-3"/>
        </w:rPr>
        <w:t> </w:t>
      </w:r>
      <w:r>
        <w:rPr/>
        <w:t>DY28)</w:t>
      </w:r>
      <w:r>
        <w:rPr>
          <w:spacing w:val="-3"/>
        </w:rPr>
        <w:t> </w:t>
      </w:r>
      <w:r>
        <w:rPr/>
        <w:t>for</w:t>
      </w:r>
      <w:r>
        <w:rPr>
          <w:spacing w:val="-3"/>
        </w:rPr>
        <w:t> </w:t>
      </w:r>
      <w:r>
        <w:rPr/>
        <w:t>CMS</w:t>
      </w:r>
      <w:r>
        <w:rPr>
          <w:spacing w:val="-3"/>
        </w:rPr>
        <w:t> </w:t>
      </w:r>
      <w:r>
        <w:rPr/>
        <w:t>approval.</w:t>
      </w:r>
      <w:r>
        <w:rPr>
          <w:spacing w:val="40"/>
        </w:rPr>
        <w:t> </w:t>
      </w:r>
      <w:r>
        <w:rPr/>
        <w:t>FFP</w:t>
      </w:r>
      <w:r>
        <w:rPr>
          <w:spacing w:val="-3"/>
        </w:rPr>
        <w:t> </w:t>
      </w:r>
      <w:r>
        <w:rPr/>
        <w:t>will be available retroactively to the beginning of the demonstration approval period for approved elements of the Hospital Quality and Equity Initative Implementation Plan, should the state make qualifying expenditures prior to the Plan’s approval.</w:t>
      </w:r>
      <w:r>
        <w:rPr>
          <w:spacing w:val="40"/>
        </w:rPr>
        <w:t> </w:t>
      </w:r>
      <w:r>
        <w:rPr/>
        <w:t>The Commonwealth is at risk for all expenditures until the Hospital Quality and Equity Initative Implementation</w:t>
      </w:r>
      <w:r>
        <w:rPr>
          <w:spacing w:val="-2"/>
        </w:rPr>
        <w:t> </w:t>
      </w:r>
      <w:r>
        <w:rPr/>
        <w:t>Plan</w:t>
      </w:r>
      <w:r>
        <w:rPr>
          <w:spacing w:val="-2"/>
        </w:rPr>
        <w:t> </w:t>
      </w:r>
      <w:r>
        <w:rPr/>
        <w:t>is</w:t>
      </w:r>
      <w:r>
        <w:rPr>
          <w:spacing w:val="-2"/>
        </w:rPr>
        <w:t> </w:t>
      </w:r>
      <w:r>
        <w:rPr/>
        <w:t>approved.</w:t>
      </w:r>
      <w:r>
        <w:rPr>
          <w:spacing w:val="40"/>
        </w:rPr>
        <w:t> </w:t>
      </w:r>
      <w:r>
        <w:rPr/>
        <w:t>Six</w:t>
      </w:r>
      <w:r>
        <w:rPr>
          <w:spacing w:val="-1"/>
        </w:rPr>
        <w:t> </w:t>
      </w:r>
      <w:r>
        <w:rPr/>
        <w:t>months</w:t>
      </w:r>
      <w:r>
        <w:rPr>
          <w:spacing w:val="-2"/>
        </w:rPr>
        <w:t> </w:t>
      </w:r>
      <w:r>
        <w:rPr/>
        <w:t>prior</w:t>
      </w:r>
      <w:r>
        <w:rPr>
          <w:spacing w:val="-3"/>
        </w:rPr>
        <w:t> </w:t>
      </w:r>
      <w:r>
        <w:rPr/>
        <w:t>to</w:t>
      </w:r>
      <w:r>
        <w:rPr>
          <w:spacing w:val="-2"/>
        </w:rPr>
        <w:t> </w:t>
      </w:r>
      <w:r>
        <w:rPr/>
        <w:t>the</w:t>
      </w:r>
      <w:r>
        <w:rPr>
          <w:spacing w:val="-3"/>
        </w:rPr>
        <w:t> </w:t>
      </w:r>
      <w:r>
        <w:rPr/>
        <w:t>beginning</w:t>
      </w:r>
      <w:r>
        <w:rPr>
          <w:spacing w:val="-5"/>
        </w:rPr>
        <w:t> </w:t>
      </w:r>
      <w:r>
        <w:rPr/>
        <w:t>of</w:t>
      </w:r>
      <w:r>
        <w:rPr>
          <w:spacing w:val="-3"/>
        </w:rPr>
        <w:t> </w:t>
      </w:r>
      <w:r>
        <w:rPr/>
        <w:t>PY</w:t>
      </w:r>
      <w:r>
        <w:rPr>
          <w:spacing w:val="-3"/>
        </w:rPr>
        <w:t> </w:t>
      </w:r>
      <w:r>
        <w:rPr/>
        <w:t>2,</w:t>
      </w:r>
      <w:r>
        <w:rPr>
          <w:spacing w:val="-2"/>
        </w:rPr>
        <w:t> </w:t>
      </w:r>
      <w:r>
        <w:rPr/>
        <w:t>the Commonwealth shall submit an addendum to the Implementation Plan to address the remaining performance years occurring in DY 29 through DY32 for CMS review and approval.</w:t>
      </w:r>
      <w:r>
        <w:rPr>
          <w:spacing w:val="40"/>
        </w:rPr>
        <w:t> </w:t>
      </w:r>
      <w:r>
        <w:rPr/>
        <w:t>No FFP is available starting DY 29 until the addendum is approved by CMS. The</w:t>
      </w:r>
      <w:r>
        <w:rPr>
          <w:spacing w:val="-2"/>
        </w:rPr>
        <w:t> </w:t>
      </w:r>
      <w:r>
        <w:rPr/>
        <w:t>Commonwealth</w:t>
      </w:r>
      <w:r>
        <w:rPr>
          <w:spacing w:val="-1"/>
        </w:rPr>
        <w:t> </w:t>
      </w:r>
      <w:r>
        <w:rPr/>
        <w:t>may</w:t>
      </w:r>
      <w:r>
        <w:rPr>
          <w:spacing w:val="-4"/>
        </w:rPr>
        <w:t> </w:t>
      </w:r>
      <w:r>
        <w:rPr/>
        <w:t>submit</w:t>
      </w:r>
      <w:r>
        <w:rPr>
          <w:spacing w:val="-1"/>
        </w:rPr>
        <w:t> </w:t>
      </w:r>
      <w:r>
        <w:rPr/>
        <w:t>additional</w:t>
      </w:r>
      <w:r>
        <w:rPr>
          <w:spacing w:val="-1"/>
        </w:rPr>
        <w:t> </w:t>
      </w:r>
      <w:r>
        <w:rPr/>
        <w:t>annual</w:t>
      </w:r>
      <w:r>
        <w:rPr>
          <w:spacing w:val="-1"/>
        </w:rPr>
        <w:t> </w:t>
      </w:r>
      <w:r>
        <w:rPr/>
        <w:t>addenda</w:t>
      </w:r>
      <w:r>
        <w:rPr>
          <w:spacing w:val="-3"/>
        </w:rPr>
        <w:t> </w:t>
      </w:r>
      <w:r>
        <w:rPr/>
        <w:t>for</w:t>
      </w:r>
      <w:r>
        <w:rPr>
          <w:spacing w:val="-2"/>
        </w:rPr>
        <w:t> </w:t>
      </w:r>
      <w:r>
        <w:rPr/>
        <w:t>CMS</w:t>
      </w:r>
      <w:r>
        <w:rPr>
          <w:spacing w:val="-1"/>
        </w:rPr>
        <w:t> </w:t>
      </w:r>
      <w:r>
        <w:rPr/>
        <w:t>review</w:t>
      </w:r>
      <w:r>
        <w:rPr>
          <w:spacing w:val="-2"/>
        </w:rPr>
        <w:t> </w:t>
      </w:r>
      <w:r>
        <w:rPr/>
        <w:t>and</w:t>
      </w:r>
      <w:r>
        <w:rPr>
          <w:spacing w:val="-1"/>
        </w:rPr>
        <w:t> </w:t>
      </w:r>
      <w:r>
        <w:rPr/>
        <w:t>approval in PY2, PY3, and PY4 to reflect new data collected and reported under this initiative delineating new and emerging needs and learnings identified from the data, and other programmatic changes or stakeholder input. The Hospital Quality and Equity Initative Implementation Plan will be appended to these STC as Attachment J.</w:t>
      </w:r>
      <w:r>
        <w:rPr>
          <w:spacing w:val="40"/>
        </w:rPr>
        <w:t> </w:t>
      </w:r>
      <w:r>
        <w:rPr/>
        <w:t>The Hospital Quality</w:t>
      </w:r>
      <w:r>
        <w:rPr>
          <w:spacing w:val="-5"/>
        </w:rPr>
        <w:t> </w:t>
      </w:r>
      <w:r>
        <w:rPr/>
        <w:t>and Equity</w:t>
      </w:r>
      <w:r>
        <w:rPr>
          <w:spacing w:val="-3"/>
        </w:rPr>
        <w:t> </w:t>
      </w:r>
      <w:r>
        <w:rPr/>
        <w:t>Initative Implementation Plan must include</w:t>
      </w:r>
      <w:r>
        <w:rPr>
          <w:spacing w:val="-1"/>
        </w:rPr>
        <w:t> </w:t>
      </w:r>
      <w:r>
        <w:rPr/>
        <w:t>the</w:t>
      </w:r>
      <w:r>
        <w:rPr>
          <w:spacing w:val="-1"/>
        </w:rPr>
        <w:t> </w:t>
      </w:r>
      <w:r>
        <w:rPr/>
        <w:t>following</w:t>
      </w:r>
      <w:r>
        <w:rPr>
          <w:spacing w:val="-3"/>
        </w:rPr>
        <w:t> </w:t>
      </w:r>
      <w:r>
        <w:rPr/>
        <w:t>information:</w:t>
      </w:r>
    </w:p>
    <w:p>
      <w:pPr>
        <w:pStyle w:val="BodyText"/>
        <w:spacing w:before="11"/>
        <w:rPr>
          <w:sz w:val="20"/>
        </w:rPr>
      </w:pPr>
    </w:p>
    <w:p>
      <w:pPr>
        <w:pStyle w:val="ListParagraph"/>
        <w:numPr>
          <w:ilvl w:val="0"/>
          <w:numId w:val="43"/>
        </w:numPr>
        <w:tabs>
          <w:tab w:pos="1411" w:val="left" w:leader="none"/>
        </w:tabs>
        <w:spacing w:line="240" w:lineRule="auto" w:before="0" w:after="0"/>
        <w:ind w:left="1411" w:right="1155" w:hanging="360"/>
        <w:jc w:val="left"/>
        <w:rPr>
          <w:sz w:val="24"/>
        </w:rPr>
      </w:pPr>
      <w:bookmarkStart w:name="a. Description of the statewide approach" w:id="740"/>
      <w:bookmarkEnd w:id="740"/>
      <w:r>
        <w:rPr/>
      </w:r>
      <w:r>
        <w:rPr>
          <w:sz w:val="24"/>
        </w:rPr>
        <w:t>Description of the statewide approach to advance healthcare quality and equity, including</w:t>
      </w:r>
      <w:r>
        <w:rPr>
          <w:spacing w:val="-6"/>
          <w:sz w:val="24"/>
        </w:rPr>
        <w:t> </w:t>
      </w:r>
      <w:r>
        <w:rPr>
          <w:sz w:val="24"/>
        </w:rPr>
        <w:t>the</w:t>
      </w:r>
      <w:r>
        <w:rPr>
          <w:spacing w:val="-5"/>
          <w:sz w:val="24"/>
        </w:rPr>
        <w:t> </w:t>
      </w:r>
      <w:r>
        <w:rPr>
          <w:sz w:val="24"/>
        </w:rPr>
        <w:t>relationship</w:t>
      </w:r>
      <w:r>
        <w:rPr>
          <w:spacing w:val="-3"/>
          <w:sz w:val="24"/>
        </w:rPr>
        <w:t> </w:t>
      </w:r>
      <w:r>
        <w:rPr>
          <w:sz w:val="24"/>
        </w:rPr>
        <w:t>between</w:t>
      </w:r>
      <w:r>
        <w:rPr>
          <w:spacing w:val="-3"/>
          <w:sz w:val="24"/>
        </w:rPr>
        <w:t> </w:t>
      </w:r>
      <w:r>
        <w:rPr>
          <w:sz w:val="24"/>
        </w:rPr>
        <w:t>state</w:t>
      </w:r>
      <w:r>
        <w:rPr>
          <w:spacing w:val="-2"/>
          <w:sz w:val="24"/>
        </w:rPr>
        <w:t> </w:t>
      </w:r>
      <w:r>
        <w:rPr>
          <w:sz w:val="24"/>
        </w:rPr>
        <w:t>accountability</w:t>
      </w:r>
      <w:r>
        <w:rPr>
          <w:spacing w:val="-11"/>
          <w:sz w:val="24"/>
        </w:rPr>
        <w:t> </w:t>
      </w:r>
      <w:r>
        <w:rPr>
          <w:sz w:val="24"/>
        </w:rPr>
        <w:t>metrics</w:t>
      </w:r>
      <w:r>
        <w:rPr>
          <w:spacing w:val="-3"/>
          <w:sz w:val="24"/>
        </w:rPr>
        <w:t> </w:t>
      </w:r>
      <w:r>
        <w:rPr>
          <w:sz w:val="24"/>
        </w:rPr>
        <w:t>and</w:t>
      </w:r>
      <w:r>
        <w:rPr>
          <w:spacing w:val="-3"/>
          <w:sz w:val="24"/>
        </w:rPr>
        <w:t> </w:t>
      </w:r>
      <w:r>
        <w:rPr>
          <w:sz w:val="24"/>
        </w:rPr>
        <w:t>the</w:t>
      </w:r>
      <w:r>
        <w:rPr>
          <w:spacing w:val="-4"/>
          <w:sz w:val="24"/>
        </w:rPr>
        <w:t> </w:t>
      </w:r>
      <w:r>
        <w:rPr>
          <w:sz w:val="24"/>
        </w:rPr>
        <w:t>interventions at the health system level.</w:t>
      </w:r>
      <w:r>
        <w:rPr>
          <w:spacing w:val="40"/>
          <w:sz w:val="24"/>
        </w:rPr>
        <w:t> </w:t>
      </w:r>
      <w:r>
        <w:rPr>
          <w:sz w:val="24"/>
        </w:rPr>
        <w:t>For example, how the state will use metrics and health outcomes data to inform future interventions toward improving overall quality of care, which in turn may also address equity goals.</w:t>
      </w:r>
    </w:p>
    <w:p>
      <w:pPr>
        <w:spacing w:after="0" w:line="240" w:lineRule="auto"/>
        <w:jc w:val="left"/>
        <w:rPr>
          <w:sz w:val="24"/>
        </w:rPr>
        <w:sectPr>
          <w:pgSz w:w="12240" w:h="15840"/>
          <w:pgMar w:header="0" w:footer="1201" w:top="1420" w:bottom="1400" w:left="1200" w:right="400"/>
        </w:sectPr>
      </w:pPr>
    </w:p>
    <w:p>
      <w:pPr>
        <w:pStyle w:val="ListParagraph"/>
        <w:numPr>
          <w:ilvl w:val="0"/>
          <w:numId w:val="43"/>
        </w:numPr>
        <w:tabs>
          <w:tab w:pos="1411" w:val="left" w:leader="none"/>
        </w:tabs>
        <w:spacing w:line="240" w:lineRule="auto" w:before="79" w:after="0"/>
        <w:ind w:left="1411" w:right="1234" w:hanging="360"/>
        <w:jc w:val="left"/>
        <w:rPr>
          <w:sz w:val="24"/>
        </w:rPr>
      </w:pPr>
      <w:bookmarkStart w:name="b. The Commonwealth will also discuss ho" w:id="741"/>
      <w:bookmarkEnd w:id="741"/>
      <w:r>
        <w:rPr/>
      </w:r>
      <w:r>
        <w:rPr>
          <w:sz w:val="24"/>
        </w:rPr>
        <w:t>The Commonwealth will also discuss how its analysis (including Needs Assessment),</w:t>
      </w:r>
      <w:r>
        <w:rPr>
          <w:spacing w:val="-4"/>
          <w:sz w:val="24"/>
        </w:rPr>
        <w:t> </w:t>
      </w:r>
      <w:r>
        <w:rPr>
          <w:sz w:val="24"/>
        </w:rPr>
        <w:t>which</w:t>
      </w:r>
      <w:r>
        <w:rPr>
          <w:spacing w:val="-4"/>
          <w:sz w:val="24"/>
        </w:rPr>
        <w:t> </w:t>
      </w:r>
      <w:r>
        <w:rPr>
          <w:sz w:val="24"/>
        </w:rPr>
        <w:t>will</w:t>
      </w:r>
      <w:r>
        <w:rPr>
          <w:spacing w:val="-2"/>
          <w:sz w:val="24"/>
        </w:rPr>
        <w:t> </w:t>
      </w:r>
      <w:r>
        <w:rPr>
          <w:sz w:val="24"/>
        </w:rPr>
        <w:t>identify</w:t>
      </w:r>
      <w:r>
        <w:rPr>
          <w:spacing w:val="-8"/>
          <w:sz w:val="24"/>
        </w:rPr>
        <w:t> </w:t>
      </w:r>
      <w:r>
        <w:rPr>
          <w:sz w:val="24"/>
        </w:rPr>
        <w:t>areas</w:t>
      </w:r>
      <w:r>
        <w:rPr>
          <w:spacing w:val="-4"/>
          <w:sz w:val="24"/>
        </w:rPr>
        <w:t> </w:t>
      </w:r>
      <w:r>
        <w:rPr>
          <w:sz w:val="24"/>
        </w:rPr>
        <w:t>for</w:t>
      </w:r>
      <w:r>
        <w:rPr>
          <w:spacing w:val="-5"/>
          <w:sz w:val="24"/>
        </w:rPr>
        <w:t> </w:t>
      </w:r>
      <w:r>
        <w:rPr>
          <w:sz w:val="24"/>
        </w:rPr>
        <w:t>improvement</w:t>
      </w:r>
      <w:r>
        <w:rPr>
          <w:spacing w:val="-4"/>
          <w:sz w:val="24"/>
        </w:rPr>
        <w:t> </w:t>
      </w:r>
      <w:r>
        <w:rPr>
          <w:sz w:val="24"/>
        </w:rPr>
        <w:t>across</w:t>
      </w:r>
      <w:r>
        <w:rPr>
          <w:spacing w:val="-2"/>
          <w:sz w:val="24"/>
        </w:rPr>
        <w:t> </w:t>
      </w:r>
      <w:r>
        <w:rPr>
          <w:sz w:val="24"/>
        </w:rPr>
        <w:t>Domains,</w:t>
      </w:r>
      <w:r>
        <w:rPr>
          <w:spacing w:val="-5"/>
          <w:sz w:val="24"/>
        </w:rPr>
        <w:t> </w:t>
      </w:r>
      <w:r>
        <w:rPr>
          <w:sz w:val="24"/>
        </w:rPr>
        <w:t>led</w:t>
      </w:r>
      <w:r>
        <w:rPr>
          <w:spacing w:val="-4"/>
          <w:sz w:val="24"/>
        </w:rPr>
        <w:t> </w:t>
      </w:r>
      <w:r>
        <w:rPr>
          <w:sz w:val="24"/>
        </w:rPr>
        <w:t>to</w:t>
      </w:r>
      <w:r>
        <w:rPr>
          <w:spacing w:val="-4"/>
          <w:sz w:val="24"/>
        </w:rPr>
        <w:t> </w:t>
      </w:r>
      <w:r>
        <w:rPr>
          <w:sz w:val="24"/>
        </w:rPr>
        <w:t>the selection of the measures and interventions within the Hospital Quality</w:t>
      </w:r>
      <w:r>
        <w:rPr>
          <w:spacing w:val="-3"/>
          <w:sz w:val="24"/>
        </w:rPr>
        <w:t> </w:t>
      </w:r>
      <w:r>
        <w:rPr>
          <w:sz w:val="24"/>
        </w:rPr>
        <w:t>and Equity Implementation Plan.</w:t>
      </w:r>
      <w:r>
        <w:rPr>
          <w:spacing w:val="40"/>
          <w:sz w:val="24"/>
        </w:rPr>
        <w:t> </w:t>
      </w:r>
      <w:r>
        <w:rPr>
          <w:sz w:val="24"/>
        </w:rPr>
        <w:t>The analysis and/or Needs Assessment may be updated in subsequent years through PY4 to reflect baseline health disparity data collected during the initial years of the Hospital Quality and Equity Initiative.</w:t>
      </w:r>
    </w:p>
    <w:p>
      <w:pPr>
        <w:pStyle w:val="BodyText"/>
        <w:spacing w:before="10"/>
        <w:rPr>
          <w:sz w:val="20"/>
        </w:rPr>
      </w:pPr>
    </w:p>
    <w:p>
      <w:pPr>
        <w:pStyle w:val="ListParagraph"/>
        <w:numPr>
          <w:ilvl w:val="0"/>
          <w:numId w:val="43"/>
        </w:numPr>
        <w:tabs>
          <w:tab w:pos="1411" w:val="left" w:leader="none"/>
        </w:tabs>
        <w:spacing w:line="240" w:lineRule="auto" w:before="0" w:after="0"/>
        <w:ind w:left="1411" w:right="1142" w:hanging="360"/>
        <w:jc w:val="left"/>
        <w:rPr>
          <w:sz w:val="24"/>
        </w:rPr>
      </w:pPr>
      <w:bookmarkStart w:name="c. Summarized approach of how the partic" w:id="742"/>
      <w:bookmarkEnd w:id="742"/>
      <w:r>
        <w:rPr/>
      </w:r>
      <w:r>
        <w:rPr>
          <w:sz w:val="24"/>
        </w:rPr>
        <w:t>Summarized</w:t>
      </w:r>
      <w:r>
        <w:rPr>
          <w:spacing w:val="-3"/>
          <w:sz w:val="24"/>
        </w:rPr>
        <w:t> </w:t>
      </w:r>
      <w:r>
        <w:rPr>
          <w:sz w:val="24"/>
        </w:rPr>
        <w:t>approach</w:t>
      </w:r>
      <w:r>
        <w:rPr>
          <w:spacing w:val="-3"/>
          <w:sz w:val="24"/>
        </w:rPr>
        <w:t> </w:t>
      </w:r>
      <w:r>
        <w:rPr>
          <w:sz w:val="24"/>
        </w:rPr>
        <w:t>of</w:t>
      </w:r>
      <w:r>
        <w:rPr>
          <w:spacing w:val="-2"/>
          <w:sz w:val="24"/>
        </w:rPr>
        <w:t> </w:t>
      </w:r>
      <w:r>
        <w:rPr>
          <w:sz w:val="24"/>
        </w:rPr>
        <w:t>how</w:t>
      </w:r>
      <w:r>
        <w:rPr>
          <w:spacing w:val="-4"/>
          <w:sz w:val="24"/>
        </w:rPr>
        <w:t> </w:t>
      </w:r>
      <w:r>
        <w:rPr>
          <w:sz w:val="24"/>
        </w:rPr>
        <w:t>the</w:t>
      </w:r>
      <w:r>
        <w:rPr>
          <w:spacing w:val="-4"/>
          <w:sz w:val="24"/>
        </w:rPr>
        <w:t> </w:t>
      </w:r>
      <w:r>
        <w:rPr>
          <w:sz w:val="24"/>
        </w:rPr>
        <w:t>participating</w:t>
      </w:r>
      <w:r>
        <w:rPr>
          <w:spacing w:val="-6"/>
          <w:sz w:val="24"/>
        </w:rPr>
        <w:t> </w:t>
      </w:r>
      <w:r>
        <w:rPr>
          <w:sz w:val="24"/>
        </w:rPr>
        <w:t>hospitals</w:t>
      </w:r>
      <w:r>
        <w:rPr>
          <w:spacing w:val="-3"/>
          <w:sz w:val="24"/>
        </w:rPr>
        <w:t> </w:t>
      </w:r>
      <w:r>
        <w:rPr>
          <w:sz w:val="24"/>
        </w:rPr>
        <w:t>are</w:t>
      </w:r>
      <w:r>
        <w:rPr>
          <w:spacing w:val="-4"/>
          <w:sz w:val="24"/>
        </w:rPr>
        <w:t> </w:t>
      </w:r>
      <w:r>
        <w:rPr>
          <w:sz w:val="24"/>
        </w:rPr>
        <w:t>expected</w:t>
      </w:r>
      <w:r>
        <w:rPr>
          <w:spacing w:val="-3"/>
          <w:sz w:val="24"/>
        </w:rPr>
        <w:t> </w:t>
      </w:r>
      <w:r>
        <w:rPr>
          <w:sz w:val="24"/>
        </w:rPr>
        <w:t>to</w:t>
      </w:r>
      <w:r>
        <w:rPr>
          <w:spacing w:val="-3"/>
          <w:sz w:val="24"/>
        </w:rPr>
        <w:t> </w:t>
      </w:r>
      <w:r>
        <w:rPr>
          <w:sz w:val="24"/>
        </w:rPr>
        <w:t>achieve</w:t>
      </w:r>
      <w:r>
        <w:rPr>
          <w:spacing w:val="-4"/>
          <w:sz w:val="24"/>
        </w:rPr>
        <w:t> </w:t>
      </w:r>
      <w:r>
        <w:rPr>
          <w:sz w:val="24"/>
        </w:rPr>
        <w:t>the performance goals outlined, which will have been developed in collaboration with the health systems/providers.</w:t>
      </w:r>
    </w:p>
    <w:p>
      <w:pPr>
        <w:pStyle w:val="BodyText"/>
        <w:spacing w:before="10"/>
        <w:rPr>
          <w:sz w:val="20"/>
        </w:rPr>
      </w:pPr>
    </w:p>
    <w:p>
      <w:pPr>
        <w:pStyle w:val="ListParagraph"/>
        <w:numPr>
          <w:ilvl w:val="0"/>
          <w:numId w:val="43"/>
        </w:numPr>
        <w:tabs>
          <w:tab w:pos="1411" w:val="left" w:leader="none"/>
        </w:tabs>
        <w:spacing w:line="240" w:lineRule="auto" w:before="0" w:after="0"/>
        <w:ind w:left="1411" w:right="1371" w:hanging="360"/>
        <w:jc w:val="left"/>
        <w:rPr>
          <w:sz w:val="24"/>
        </w:rPr>
      </w:pPr>
      <w:bookmarkStart w:name="d. Conceptual framework that provides an" w:id="743"/>
      <w:bookmarkEnd w:id="743"/>
      <w:r>
        <w:rPr/>
      </w:r>
      <w:r>
        <w:rPr>
          <w:sz w:val="24"/>
        </w:rPr>
        <w:t>Conceptual framework that provides an overview of the initiatives, clinical strategies, staffing/HR changes, operational changes, systems changes, and other actions</w:t>
      </w:r>
      <w:r>
        <w:rPr>
          <w:spacing w:val="-2"/>
          <w:sz w:val="24"/>
        </w:rPr>
        <w:t> </w:t>
      </w:r>
      <w:r>
        <w:rPr>
          <w:sz w:val="24"/>
        </w:rPr>
        <w:t>that</w:t>
      </w:r>
      <w:r>
        <w:rPr>
          <w:spacing w:val="-2"/>
          <w:sz w:val="24"/>
        </w:rPr>
        <w:t> </w:t>
      </w:r>
      <w:r>
        <w:rPr>
          <w:sz w:val="24"/>
        </w:rPr>
        <w:t>will</w:t>
      </w:r>
      <w:r>
        <w:rPr>
          <w:spacing w:val="-2"/>
          <w:sz w:val="24"/>
        </w:rPr>
        <w:t> </w:t>
      </w:r>
      <w:r>
        <w:rPr>
          <w:sz w:val="24"/>
        </w:rPr>
        <w:t>be</w:t>
      </w:r>
      <w:r>
        <w:rPr>
          <w:spacing w:val="-3"/>
          <w:sz w:val="24"/>
        </w:rPr>
        <w:t> </w:t>
      </w:r>
      <w:r>
        <w:rPr>
          <w:sz w:val="24"/>
        </w:rPr>
        <w:t>undertaken</w:t>
      </w:r>
      <w:r>
        <w:rPr>
          <w:spacing w:val="-2"/>
          <w:sz w:val="24"/>
        </w:rPr>
        <w:t> </w:t>
      </w:r>
      <w:r>
        <w:rPr>
          <w:sz w:val="24"/>
        </w:rPr>
        <w:t>by</w:t>
      </w:r>
      <w:r>
        <w:rPr>
          <w:spacing w:val="-7"/>
          <w:sz w:val="24"/>
        </w:rPr>
        <w:t> </w:t>
      </w:r>
      <w:r>
        <w:rPr>
          <w:sz w:val="24"/>
        </w:rPr>
        <w:t>the</w:t>
      </w:r>
      <w:r>
        <w:rPr>
          <w:spacing w:val="-3"/>
          <w:sz w:val="24"/>
        </w:rPr>
        <w:t> </w:t>
      </w:r>
      <w:r>
        <w:rPr>
          <w:sz w:val="24"/>
        </w:rPr>
        <w:t>hospitals</w:t>
      </w:r>
      <w:r>
        <w:rPr>
          <w:spacing w:val="-2"/>
          <w:sz w:val="24"/>
        </w:rPr>
        <w:t> </w:t>
      </w:r>
      <w:r>
        <w:rPr>
          <w:sz w:val="24"/>
        </w:rPr>
        <w:t>using</w:t>
      </w:r>
      <w:r>
        <w:rPr>
          <w:spacing w:val="-5"/>
          <w:sz w:val="24"/>
        </w:rPr>
        <w:t> </w:t>
      </w:r>
      <w:r>
        <w:rPr>
          <w:sz w:val="24"/>
        </w:rPr>
        <w:t>Hospital</w:t>
      </w:r>
      <w:r>
        <w:rPr>
          <w:spacing w:val="-2"/>
          <w:sz w:val="24"/>
        </w:rPr>
        <w:t> </w:t>
      </w:r>
      <w:r>
        <w:rPr>
          <w:sz w:val="24"/>
        </w:rPr>
        <w:t>Quality</w:t>
      </w:r>
      <w:r>
        <w:rPr>
          <w:spacing w:val="-7"/>
          <w:sz w:val="24"/>
        </w:rPr>
        <w:t> </w:t>
      </w:r>
      <w:r>
        <w:rPr>
          <w:sz w:val="24"/>
        </w:rPr>
        <w:t>and Equity Initiative payments.</w:t>
      </w:r>
    </w:p>
    <w:p>
      <w:pPr>
        <w:pStyle w:val="BodyText"/>
        <w:spacing w:before="10"/>
        <w:rPr>
          <w:sz w:val="20"/>
        </w:rPr>
      </w:pPr>
    </w:p>
    <w:p>
      <w:pPr>
        <w:pStyle w:val="ListParagraph"/>
        <w:numPr>
          <w:ilvl w:val="0"/>
          <w:numId w:val="43"/>
        </w:numPr>
        <w:tabs>
          <w:tab w:pos="1411" w:val="left" w:leader="none"/>
        </w:tabs>
        <w:spacing w:line="240" w:lineRule="auto" w:before="0" w:after="0"/>
        <w:ind w:left="1411" w:right="1223" w:hanging="360"/>
        <w:jc w:val="left"/>
        <w:rPr>
          <w:sz w:val="24"/>
        </w:rPr>
      </w:pPr>
      <w:bookmarkStart w:name="e. An overview of the Commonwealth’s int" w:id="744"/>
      <w:bookmarkEnd w:id="744"/>
      <w:r>
        <w:rPr/>
      </w:r>
      <w:r>
        <w:rPr>
          <w:sz w:val="24"/>
        </w:rPr>
        <w:t>An</w:t>
      </w:r>
      <w:r>
        <w:rPr>
          <w:spacing w:val="-4"/>
          <w:sz w:val="24"/>
        </w:rPr>
        <w:t> </w:t>
      </w:r>
      <w:r>
        <w:rPr>
          <w:sz w:val="24"/>
        </w:rPr>
        <w:t>overview</w:t>
      </w:r>
      <w:r>
        <w:rPr>
          <w:spacing w:val="-5"/>
          <w:sz w:val="24"/>
        </w:rPr>
        <w:t> </w:t>
      </w:r>
      <w:r>
        <w:rPr>
          <w:sz w:val="24"/>
        </w:rPr>
        <w:t>of</w:t>
      </w:r>
      <w:r>
        <w:rPr>
          <w:spacing w:val="-5"/>
          <w:sz w:val="24"/>
        </w:rPr>
        <w:t> </w:t>
      </w:r>
      <w:r>
        <w:rPr>
          <w:sz w:val="24"/>
        </w:rPr>
        <w:t>the</w:t>
      </w:r>
      <w:r>
        <w:rPr>
          <w:spacing w:val="-5"/>
          <w:sz w:val="24"/>
        </w:rPr>
        <w:t> </w:t>
      </w:r>
      <w:r>
        <w:rPr>
          <w:sz w:val="24"/>
        </w:rPr>
        <w:t>Commonwealth’s</w:t>
      </w:r>
      <w:r>
        <w:rPr>
          <w:spacing w:val="-4"/>
          <w:sz w:val="24"/>
        </w:rPr>
        <w:t> </w:t>
      </w:r>
      <w:r>
        <w:rPr>
          <w:sz w:val="24"/>
        </w:rPr>
        <w:t>intended</w:t>
      </w:r>
      <w:r>
        <w:rPr>
          <w:spacing w:val="-4"/>
          <w:sz w:val="24"/>
        </w:rPr>
        <w:t> </w:t>
      </w:r>
      <w:r>
        <w:rPr>
          <w:sz w:val="24"/>
        </w:rPr>
        <w:t>approach</w:t>
      </w:r>
      <w:r>
        <w:rPr>
          <w:spacing w:val="-4"/>
          <w:sz w:val="24"/>
        </w:rPr>
        <w:t> </w:t>
      </w:r>
      <w:r>
        <w:rPr>
          <w:sz w:val="24"/>
        </w:rPr>
        <w:t>to</w:t>
      </w:r>
      <w:r>
        <w:rPr>
          <w:spacing w:val="-4"/>
          <w:sz w:val="24"/>
        </w:rPr>
        <w:t> </w:t>
      </w:r>
      <w:r>
        <w:rPr>
          <w:sz w:val="24"/>
        </w:rPr>
        <w:t>a</w:t>
      </w:r>
      <w:r>
        <w:rPr>
          <w:spacing w:val="-3"/>
          <w:sz w:val="24"/>
        </w:rPr>
        <w:t> </w:t>
      </w:r>
      <w:r>
        <w:rPr>
          <w:sz w:val="24"/>
        </w:rPr>
        <w:t>corrective</w:t>
      </w:r>
      <w:r>
        <w:rPr>
          <w:spacing w:val="-5"/>
          <w:sz w:val="24"/>
        </w:rPr>
        <w:t> </w:t>
      </w:r>
      <w:r>
        <w:rPr>
          <w:sz w:val="24"/>
        </w:rPr>
        <w:t>action</w:t>
      </w:r>
      <w:r>
        <w:rPr>
          <w:spacing w:val="-4"/>
          <w:sz w:val="24"/>
        </w:rPr>
        <w:t> </w:t>
      </w:r>
      <w:r>
        <w:rPr>
          <w:sz w:val="24"/>
        </w:rPr>
        <w:t>plan process in the event that providers are not on track to meet the expectations or objectives of the program, such as if providers are not on track to achieve defined performance targets in relation to metrics identified in the Hospital Quality and Equity Implementation Plan.</w:t>
      </w:r>
    </w:p>
    <w:p>
      <w:pPr>
        <w:pStyle w:val="BodyText"/>
        <w:spacing w:before="10"/>
        <w:rPr>
          <w:sz w:val="20"/>
        </w:rPr>
      </w:pPr>
    </w:p>
    <w:p>
      <w:pPr>
        <w:pStyle w:val="ListParagraph"/>
        <w:numPr>
          <w:ilvl w:val="0"/>
          <w:numId w:val="43"/>
        </w:numPr>
        <w:tabs>
          <w:tab w:pos="1411" w:val="left" w:leader="none"/>
        </w:tabs>
        <w:spacing w:line="240" w:lineRule="auto" w:before="0" w:after="0"/>
        <w:ind w:left="1411" w:right="1056" w:hanging="360"/>
        <w:jc w:val="left"/>
        <w:rPr>
          <w:sz w:val="24"/>
        </w:rPr>
      </w:pPr>
      <w:bookmarkStart w:name="f. Selected measures and their technical" w:id="745"/>
      <w:bookmarkEnd w:id="745"/>
      <w:r>
        <w:rPr/>
      </w:r>
      <w:r>
        <w:rPr>
          <w:sz w:val="24"/>
        </w:rPr>
        <w:t>Selected measures and their technical specifications for the Hospital Quality and Equity Initiative . The Commonwealth must have written permission from measure stewards to use their measures, as applicable. Validated and tested measures from nationally</w:t>
      </w:r>
      <w:r>
        <w:rPr>
          <w:spacing w:val="-8"/>
          <w:sz w:val="24"/>
        </w:rPr>
        <w:t> </w:t>
      </w:r>
      <w:r>
        <w:rPr>
          <w:sz w:val="24"/>
        </w:rPr>
        <w:t>recognized</w:t>
      </w:r>
      <w:r>
        <w:rPr>
          <w:spacing w:val="-3"/>
          <w:sz w:val="24"/>
        </w:rPr>
        <w:t> </w:t>
      </w:r>
      <w:r>
        <w:rPr>
          <w:sz w:val="24"/>
        </w:rPr>
        <w:t>measure</w:t>
      </w:r>
      <w:r>
        <w:rPr>
          <w:spacing w:val="-4"/>
          <w:sz w:val="24"/>
        </w:rPr>
        <w:t> </w:t>
      </w:r>
      <w:r>
        <w:rPr>
          <w:sz w:val="24"/>
        </w:rPr>
        <w:t>stewards</w:t>
      </w:r>
      <w:r>
        <w:rPr>
          <w:spacing w:val="-3"/>
          <w:sz w:val="24"/>
        </w:rPr>
        <w:t> </w:t>
      </w:r>
      <w:r>
        <w:rPr>
          <w:sz w:val="24"/>
        </w:rPr>
        <w:t>will</w:t>
      </w:r>
      <w:r>
        <w:rPr>
          <w:spacing w:val="-3"/>
          <w:sz w:val="24"/>
        </w:rPr>
        <w:t> </w:t>
      </w:r>
      <w:r>
        <w:rPr>
          <w:sz w:val="24"/>
        </w:rPr>
        <w:t>be</w:t>
      </w:r>
      <w:r>
        <w:rPr>
          <w:spacing w:val="-4"/>
          <w:sz w:val="24"/>
        </w:rPr>
        <w:t> </w:t>
      </w:r>
      <w:r>
        <w:rPr>
          <w:sz w:val="24"/>
        </w:rPr>
        <w:t>considered</w:t>
      </w:r>
      <w:r>
        <w:rPr>
          <w:spacing w:val="-3"/>
          <w:sz w:val="24"/>
        </w:rPr>
        <w:t> </w:t>
      </w:r>
      <w:r>
        <w:rPr>
          <w:sz w:val="24"/>
        </w:rPr>
        <w:t>for</w:t>
      </w:r>
      <w:r>
        <w:rPr>
          <w:spacing w:val="-4"/>
          <w:sz w:val="24"/>
        </w:rPr>
        <w:t> </w:t>
      </w:r>
      <w:r>
        <w:rPr>
          <w:sz w:val="24"/>
        </w:rPr>
        <w:t>use</w:t>
      </w:r>
      <w:r>
        <w:rPr>
          <w:spacing w:val="-4"/>
          <w:sz w:val="24"/>
        </w:rPr>
        <w:t> </w:t>
      </w:r>
      <w:r>
        <w:rPr>
          <w:sz w:val="24"/>
        </w:rPr>
        <w:t>in</w:t>
      </w:r>
      <w:r>
        <w:rPr>
          <w:spacing w:val="-3"/>
          <w:sz w:val="24"/>
        </w:rPr>
        <w:t> </w:t>
      </w:r>
      <w:r>
        <w:rPr>
          <w:sz w:val="24"/>
        </w:rPr>
        <w:t>this</w:t>
      </w:r>
      <w:r>
        <w:rPr>
          <w:spacing w:val="-3"/>
          <w:sz w:val="24"/>
        </w:rPr>
        <w:t> </w:t>
      </w:r>
      <w:r>
        <w:rPr>
          <w:sz w:val="24"/>
        </w:rPr>
        <w:t>program;</w:t>
      </w:r>
      <w:r>
        <w:rPr>
          <w:spacing w:val="-3"/>
          <w:sz w:val="24"/>
        </w:rPr>
        <w:t> </w:t>
      </w:r>
      <w:r>
        <w:rPr>
          <w:sz w:val="24"/>
        </w:rPr>
        <w:t>if such measures are not available to address program goals, additional measures may be selected or developed, subject to CMS approval. In the event that a measure is retired by a measure steward for any reason, the Commonwealth must replace the impacted measure, choosing from a CMS-approved measure that is already widely adopted within Massachusetts (or for which reliable data to establish a valid benchmark and performance changes are readily available) and supported by the findings from analysis and/or Needs Assessment.</w:t>
      </w:r>
    </w:p>
    <w:p>
      <w:pPr>
        <w:pStyle w:val="BodyText"/>
        <w:spacing w:before="10"/>
        <w:rPr>
          <w:sz w:val="20"/>
        </w:rPr>
      </w:pPr>
    </w:p>
    <w:p>
      <w:pPr>
        <w:pStyle w:val="ListParagraph"/>
        <w:numPr>
          <w:ilvl w:val="0"/>
          <w:numId w:val="43"/>
        </w:numPr>
        <w:tabs>
          <w:tab w:pos="1411" w:val="left" w:leader="none"/>
        </w:tabs>
        <w:spacing w:line="240" w:lineRule="auto" w:before="1" w:after="0"/>
        <w:ind w:left="1411" w:right="1145" w:hanging="360"/>
        <w:jc w:val="left"/>
        <w:rPr>
          <w:sz w:val="24"/>
        </w:rPr>
      </w:pPr>
      <w:bookmarkStart w:name="g. Information about how the Commonwealt" w:id="746"/>
      <w:bookmarkEnd w:id="746"/>
      <w:r>
        <w:rPr/>
      </w:r>
      <w:r>
        <w:rPr>
          <w:sz w:val="24"/>
        </w:rPr>
        <w:t>Information about how the Commonwealth and its hospitals will identify beneficiaries with unmet HRSN needs or at risk of experiencing unmet HRSN, as well as a description of the beneficiary eligibility for HRSN services criteria, implementation</w:t>
      </w:r>
      <w:r>
        <w:rPr>
          <w:spacing w:val="-4"/>
          <w:sz w:val="24"/>
        </w:rPr>
        <w:t> </w:t>
      </w:r>
      <w:r>
        <w:rPr>
          <w:sz w:val="24"/>
        </w:rPr>
        <w:t>settings,</w:t>
      </w:r>
      <w:r>
        <w:rPr>
          <w:spacing w:val="-4"/>
          <w:sz w:val="24"/>
        </w:rPr>
        <w:t> </w:t>
      </w:r>
      <w:r>
        <w:rPr>
          <w:sz w:val="24"/>
        </w:rPr>
        <w:t>any</w:t>
      </w:r>
      <w:r>
        <w:rPr>
          <w:spacing w:val="-9"/>
          <w:sz w:val="24"/>
        </w:rPr>
        <w:t> </w:t>
      </w:r>
      <w:r>
        <w:rPr>
          <w:sz w:val="24"/>
        </w:rPr>
        <w:t>screening</w:t>
      </w:r>
      <w:r>
        <w:rPr>
          <w:spacing w:val="-7"/>
          <w:sz w:val="24"/>
        </w:rPr>
        <w:t> </w:t>
      </w:r>
      <w:r>
        <w:rPr>
          <w:sz w:val="24"/>
        </w:rPr>
        <w:t>tools</w:t>
      </w:r>
      <w:r>
        <w:rPr>
          <w:spacing w:val="-4"/>
          <w:sz w:val="24"/>
        </w:rPr>
        <w:t> </w:t>
      </w:r>
      <w:r>
        <w:rPr>
          <w:sz w:val="24"/>
        </w:rPr>
        <w:t>selected,</w:t>
      </w:r>
      <w:r>
        <w:rPr>
          <w:spacing w:val="-4"/>
          <w:sz w:val="24"/>
        </w:rPr>
        <w:t> </w:t>
      </w:r>
      <w:r>
        <w:rPr>
          <w:sz w:val="24"/>
        </w:rPr>
        <w:t>and</w:t>
      </w:r>
      <w:r>
        <w:rPr>
          <w:spacing w:val="-4"/>
          <w:sz w:val="24"/>
        </w:rPr>
        <w:t> </w:t>
      </w:r>
      <w:r>
        <w:rPr>
          <w:sz w:val="24"/>
        </w:rPr>
        <w:t>rescreening</w:t>
      </w:r>
      <w:r>
        <w:rPr>
          <w:spacing w:val="-4"/>
          <w:sz w:val="24"/>
        </w:rPr>
        <w:t> </w:t>
      </w:r>
      <w:r>
        <w:rPr>
          <w:sz w:val="24"/>
        </w:rPr>
        <w:t>approach</w:t>
      </w:r>
      <w:r>
        <w:rPr>
          <w:spacing w:val="-4"/>
          <w:sz w:val="24"/>
        </w:rPr>
        <w:t> </w:t>
      </w:r>
      <w:r>
        <w:rPr>
          <w:sz w:val="24"/>
        </w:rPr>
        <w:t>and frequency, as applicable.</w:t>
      </w:r>
    </w:p>
    <w:p>
      <w:pPr>
        <w:pStyle w:val="BodyText"/>
        <w:spacing w:before="10"/>
        <w:rPr>
          <w:sz w:val="20"/>
        </w:rPr>
      </w:pPr>
    </w:p>
    <w:p>
      <w:pPr>
        <w:pStyle w:val="ListParagraph"/>
        <w:numPr>
          <w:ilvl w:val="0"/>
          <w:numId w:val="43"/>
        </w:numPr>
        <w:tabs>
          <w:tab w:pos="1411" w:val="left" w:leader="none"/>
        </w:tabs>
        <w:spacing w:line="240" w:lineRule="auto" w:before="0" w:after="0"/>
        <w:ind w:left="1411" w:right="1170" w:hanging="360"/>
        <w:jc w:val="left"/>
        <w:rPr>
          <w:sz w:val="24"/>
        </w:rPr>
      </w:pPr>
      <w:bookmarkStart w:name="h. Information about how beneficiaries w" w:id="747"/>
      <w:bookmarkEnd w:id="747"/>
      <w:r>
        <w:rPr/>
      </w:r>
      <w:r>
        <w:rPr>
          <w:sz w:val="24"/>
        </w:rPr>
        <w:t>Information about how beneficiaries will be linked to services to address unmet health-related social needs, whether through social needs case management or alternative</w:t>
      </w:r>
      <w:r>
        <w:rPr>
          <w:spacing w:val="-5"/>
          <w:sz w:val="24"/>
        </w:rPr>
        <w:t> </w:t>
      </w:r>
      <w:r>
        <w:rPr>
          <w:sz w:val="24"/>
        </w:rPr>
        <w:t>approaches,</w:t>
      </w:r>
      <w:r>
        <w:rPr>
          <w:spacing w:val="-5"/>
          <w:sz w:val="24"/>
        </w:rPr>
        <w:t> </w:t>
      </w:r>
      <w:r>
        <w:rPr>
          <w:sz w:val="24"/>
        </w:rPr>
        <w:t>as</w:t>
      </w:r>
      <w:r>
        <w:rPr>
          <w:spacing w:val="-5"/>
          <w:sz w:val="24"/>
        </w:rPr>
        <w:t> </w:t>
      </w:r>
      <w:r>
        <w:rPr>
          <w:sz w:val="24"/>
        </w:rPr>
        <w:t>applicable.</w:t>
      </w:r>
      <w:r>
        <w:rPr>
          <w:spacing w:val="-5"/>
          <w:sz w:val="24"/>
        </w:rPr>
        <w:t> </w:t>
      </w:r>
      <w:r>
        <w:rPr>
          <w:sz w:val="24"/>
        </w:rPr>
        <w:t>The</w:t>
      </w:r>
      <w:r>
        <w:rPr>
          <w:spacing w:val="-5"/>
          <w:sz w:val="24"/>
        </w:rPr>
        <w:t> </w:t>
      </w:r>
      <w:r>
        <w:rPr>
          <w:sz w:val="24"/>
        </w:rPr>
        <w:t>implementation</w:t>
      </w:r>
      <w:r>
        <w:rPr>
          <w:spacing w:val="-5"/>
          <w:sz w:val="24"/>
        </w:rPr>
        <w:t> </w:t>
      </w:r>
      <w:r>
        <w:rPr>
          <w:sz w:val="24"/>
        </w:rPr>
        <w:t>plan</w:t>
      </w:r>
      <w:r>
        <w:rPr>
          <w:spacing w:val="-5"/>
          <w:sz w:val="24"/>
        </w:rPr>
        <w:t> </w:t>
      </w:r>
      <w:r>
        <w:rPr>
          <w:sz w:val="24"/>
        </w:rPr>
        <w:t>should</w:t>
      </w:r>
      <w:r>
        <w:rPr>
          <w:spacing w:val="-5"/>
          <w:sz w:val="24"/>
        </w:rPr>
        <w:t> </w:t>
      </w:r>
      <w:r>
        <w:rPr>
          <w:sz w:val="24"/>
        </w:rPr>
        <w:t>also</w:t>
      </w:r>
      <w:r>
        <w:rPr>
          <w:spacing w:val="-5"/>
          <w:sz w:val="24"/>
        </w:rPr>
        <w:t> </w:t>
      </w:r>
      <w:r>
        <w:rPr>
          <w:sz w:val="24"/>
        </w:rPr>
        <w:t>describe how the Commonwealth will ensure that screening and services related to the demonstration are provided to beneficiaries in ways that are culturally appropriate and/or trauma informed.</w:t>
      </w:r>
    </w:p>
    <w:p>
      <w:pPr>
        <w:spacing w:after="0" w:line="240" w:lineRule="auto"/>
        <w:jc w:val="left"/>
        <w:rPr>
          <w:sz w:val="24"/>
        </w:rPr>
        <w:sectPr>
          <w:pgSz w:w="12240" w:h="15840"/>
          <w:pgMar w:header="0" w:footer="1201" w:top="1360" w:bottom="1400" w:left="1200" w:right="400"/>
        </w:sectPr>
      </w:pPr>
    </w:p>
    <w:p>
      <w:pPr>
        <w:spacing w:before="79"/>
        <w:ind w:left="871" w:right="1059" w:firstLine="0"/>
        <w:jc w:val="left"/>
        <w:rPr>
          <w:sz w:val="24"/>
        </w:rPr>
      </w:pPr>
      <w:r>
        <w:rPr/>
        <w:drawing>
          <wp:anchor distT="0" distB="0" distL="0" distR="0" allowOverlap="1" layoutInCell="1" locked="0" behindDoc="0" simplePos="0" relativeHeight="15969792">
            <wp:simplePos x="0" y="0"/>
            <wp:positionH relativeFrom="page">
              <wp:posOffset>908303</wp:posOffset>
            </wp:positionH>
            <wp:positionV relativeFrom="paragraph">
              <wp:posOffset>85777</wp:posOffset>
            </wp:positionV>
            <wp:extent cx="283463" cy="112763"/>
            <wp:effectExtent l="0" t="0" r="0" b="0"/>
            <wp:wrapNone/>
            <wp:docPr id="482" name="Image 482"/>
            <wp:cNvGraphicFramePr>
              <a:graphicFrameLocks/>
            </wp:cNvGraphicFramePr>
            <a:graphic>
              <a:graphicData uri="http://schemas.openxmlformats.org/drawingml/2006/picture">
                <pic:pic>
                  <pic:nvPicPr>
                    <pic:cNvPr id="482" name="Image 482"/>
                    <pic:cNvPicPr/>
                  </pic:nvPicPr>
                  <pic:blipFill>
                    <a:blip r:embed="rId210" cstate="print"/>
                    <a:stretch>
                      <a:fillRect/>
                    </a:stretch>
                  </pic:blipFill>
                  <pic:spPr>
                    <a:xfrm>
                      <a:off x="0" y="0"/>
                      <a:ext cx="283463" cy="112763"/>
                    </a:xfrm>
                    <a:prstGeom prst="rect">
                      <a:avLst/>
                    </a:prstGeom>
                  </pic:spPr>
                </pic:pic>
              </a:graphicData>
            </a:graphic>
          </wp:anchor>
        </w:drawing>
      </w:r>
      <w:bookmarkStart w:name="14.9. State and Hospital Risk for Health" w:id="748"/>
      <w:bookmarkEnd w:id="748"/>
      <w:r>
        <w:rPr/>
      </w:r>
      <w:r>
        <w:rPr>
          <w:b/>
          <w:sz w:val="24"/>
        </w:rPr>
        <w:t>State and Hospital Risk for Health Quality and Equity.</w:t>
      </w:r>
      <w:r>
        <w:rPr>
          <w:b/>
          <w:spacing w:val="40"/>
          <w:sz w:val="24"/>
        </w:rPr>
        <w:t> </w:t>
      </w:r>
      <w:r>
        <w:rPr>
          <w:sz w:val="24"/>
        </w:rPr>
        <w:t>Funding for the Hospital Quality</w:t>
      </w:r>
      <w:r>
        <w:rPr>
          <w:spacing w:val="-7"/>
          <w:sz w:val="24"/>
        </w:rPr>
        <w:t> </w:t>
      </w:r>
      <w:r>
        <w:rPr>
          <w:sz w:val="24"/>
        </w:rPr>
        <w:t>and</w:t>
      </w:r>
      <w:r>
        <w:rPr>
          <w:spacing w:val="-3"/>
          <w:sz w:val="24"/>
        </w:rPr>
        <w:t> </w:t>
      </w:r>
      <w:r>
        <w:rPr>
          <w:sz w:val="24"/>
        </w:rPr>
        <w:t>Equity</w:t>
      </w:r>
      <w:r>
        <w:rPr>
          <w:spacing w:val="-5"/>
          <w:sz w:val="24"/>
        </w:rPr>
        <w:t> </w:t>
      </w:r>
      <w:r>
        <w:rPr>
          <w:sz w:val="24"/>
        </w:rPr>
        <w:t>Initiative</w:t>
      </w:r>
      <w:r>
        <w:rPr>
          <w:spacing w:val="-4"/>
          <w:sz w:val="24"/>
        </w:rPr>
        <w:t> </w:t>
      </w:r>
      <w:r>
        <w:rPr>
          <w:sz w:val="24"/>
        </w:rPr>
        <w:t>will</w:t>
      </w:r>
      <w:r>
        <w:rPr>
          <w:spacing w:val="-3"/>
          <w:sz w:val="24"/>
        </w:rPr>
        <w:t> </w:t>
      </w:r>
      <w:r>
        <w:rPr>
          <w:sz w:val="24"/>
        </w:rPr>
        <w:t>be</w:t>
      </w:r>
      <w:r>
        <w:rPr>
          <w:spacing w:val="-4"/>
          <w:sz w:val="24"/>
        </w:rPr>
        <w:t> </w:t>
      </w:r>
      <w:r>
        <w:rPr>
          <w:sz w:val="24"/>
        </w:rPr>
        <w:t>at</w:t>
      </w:r>
      <w:r>
        <w:rPr>
          <w:spacing w:val="-3"/>
          <w:sz w:val="24"/>
        </w:rPr>
        <w:t> </w:t>
      </w:r>
      <w:r>
        <w:rPr>
          <w:sz w:val="24"/>
        </w:rPr>
        <w:t>risk</w:t>
      </w:r>
      <w:r>
        <w:rPr>
          <w:spacing w:val="-3"/>
          <w:sz w:val="24"/>
        </w:rPr>
        <w:t> </w:t>
      </w:r>
      <w:r>
        <w:rPr>
          <w:sz w:val="24"/>
        </w:rPr>
        <w:t>for</w:t>
      </w:r>
      <w:r>
        <w:rPr>
          <w:spacing w:val="-4"/>
          <w:sz w:val="24"/>
        </w:rPr>
        <w:t> </w:t>
      </w:r>
      <w:r>
        <w:rPr>
          <w:sz w:val="24"/>
        </w:rPr>
        <w:t>each</w:t>
      </w:r>
      <w:r>
        <w:rPr>
          <w:spacing w:val="-3"/>
          <w:sz w:val="24"/>
        </w:rPr>
        <w:t> </w:t>
      </w:r>
      <w:r>
        <w:rPr>
          <w:sz w:val="24"/>
        </w:rPr>
        <w:t>performance year,</w:t>
      </w:r>
      <w:r>
        <w:rPr>
          <w:spacing w:val="-1"/>
          <w:sz w:val="24"/>
        </w:rPr>
        <w:t> </w:t>
      </w:r>
      <w:r>
        <w:rPr>
          <w:sz w:val="24"/>
        </w:rPr>
        <w:t>according</w:t>
      </w:r>
      <w:r>
        <w:rPr>
          <w:spacing w:val="-5"/>
          <w:sz w:val="24"/>
        </w:rPr>
        <w:t> </w:t>
      </w:r>
      <w:r>
        <w:rPr>
          <w:sz w:val="24"/>
        </w:rPr>
        <w:t>to</w:t>
      </w:r>
      <w:r>
        <w:rPr>
          <w:spacing w:val="-3"/>
          <w:sz w:val="24"/>
        </w:rPr>
        <w:t> </w:t>
      </w:r>
      <w:r>
        <w:rPr>
          <w:sz w:val="24"/>
        </w:rPr>
        <w:t>the following framework:</w:t>
      </w:r>
    </w:p>
    <w:p>
      <w:pPr>
        <w:pStyle w:val="BodyText"/>
        <w:spacing w:before="10"/>
        <w:rPr>
          <w:sz w:val="20"/>
        </w:rPr>
      </w:pPr>
    </w:p>
    <w:p>
      <w:pPr>
        <w:pStyle w:val="BodyText"/>
        <w:ind w:left="1411" w:right="1059"/>
      </w:pPr>
      <w:r>
        <w:rPr/>
        <w:drawing>
          <wp:anchor distT="0" distB="0" distL="0" distR="0" allowOverlap="1" layoutInCell="1" locked="0" behindDoc="0" simplePos="0" relativeHeight="15970304">
            <wp:simplePos x="0" y="0"/>
            <wp:positionH relativeFrom="page">
              <wp:posOffset>1431036</wp:posOffset>
            </wp:positionH>
            <wp:positionV relativeFrom="paragraph">
              <wp:posOffset>67603</wp:posOffset>
            </wp:positionV>
            <wp:extent cx="96011" cy="80771"/>
            <wp:effectExtent l="0" t="0" r="0" b="0"/>
            <wp:wrapNone/>
            <wp:docPr id="483" name="Image 483"/>
            <wp:cNvGraphicFramePr>
              <a:graphicFrameLocks/>
            </wp:cNvGraphicFramePr>
            <a:graphic>
              <a:graphicData uri="http://schemas.openxmlformats.org/drawingml/2006/picture">
                <pic:pic>
                  <pic:nvPicPr>
                    <pic:cNvPr id="483" name="Image 483"/>
                    <pic:cNvPicPr/>
                  </pic:nvPicPr>
                  <pic:blipFill>
                    <a:blip r:embed="rId29" cstate="print"/>
                    <a:stretch>
                      <a:fillRect/>
                    </a:stretch>
                  </pic:blipFill>
                  <pic:spPr>
                    <a:xfrm>
                      <a:off x="0" y="0"/>
                      <a:ext cx="96011" cy="80771"/>
                    </a:xfrm>
                    <a:prstGeom prst="rect">
                      <a:avLst/>
                    </a:prstGeom>
                  </pic:spPr>
                </pic:pic>
              </a:graphicData>
            </a:graphic>
          </wp:anchor>
        </w:drawing>
      </w:r>
      <w:bookmarkStart w:name="a. Statewide accountability is applied p" w:id="749"/>
      <w:bookmarkEnd w:id="749"/>
      <w:r>
        <w:rPr/>
      </w:r>
      <w:r>
        <w:rPr/>
        <w:t>Statewide</w:t>
      </w:r>
      <w:r>
        <w:rPr>
          <w:spacing w:val="-5"/>
        </w:rPr>
        <w:t> </w:t>
      </w:r>
      <w:r>
        <w:rPr/>
        <w:t>accountability</w:t>
      </w:r>
      <w:r>
        <w:rPr>
          <w:spacing w:val="-7"/>
        </w:rPr>
        <w:t> </w:t>
      </w:r>
      <w:r>
        <w:rPr/>
        <w:t>is</w:t>
      </w:r>
      <w:r>
        <w:rPr>
          <w:spacing w:val="-4"/>
        </w:rPr>
        <w:t> </w:t>
      </w:r>
      <w:r>
        <w:rPr/>
        <w:t>applied</w:t>
      </w:r>
      <w:r>
        <w:rPr>
          <w:spacing w:val="-4"/>
        </w:rPr>
        <w:t> </w:t>
      </w:r>
      <w:r>
        <w:rPr/>
        <w:t>prior</w:t>
      </w:r>
      <w:r>
        <w:rPr>
          <w:spacing w:val="-5"/>
        </w:rPr>
        <w:t> </w:t>
      </w:r>
      <w:r>
        <w:rPr/>
        <w:t>to</w:t>
      </w:r>
      <w:r>
        <w:rPr>
          <w:spacing w:val="-4"/>
        </w:rPr>
        <w:t> </w:t>
      </w:r>
      <w:r>
        <w:rPr/>
        <w:t>calculations</w:t>
      </w:r>
      <w:r>
        <w:rPr>
          <w:spacing w:val="-4"/>
        </w:rPr>
        <w:t> </w:t>
      </w:r>
      <w:r>
        <w:rPr/>
        <w:t>of</w:t>
      </w:r>
      <w:r>
        <w:rPr>
          <w:spacing w:val="-5"/>
        </w:rPr>
        <w:t> </w:t>
      </w:r>
      <w:r>
        <w:rPr/>
        <w:t>hospital</w:t>
      </w:r>
      <w:r>
        <w:rPr>
          <w:spacing w:val="-4"/>
        </w:rPr>
        <w:t> </w:t>
      </w:r>
      <w:r>
        <w:rPr/>
        <w:t>accountability,</w:t>
      </w:r>
      <w:r>
        <w:rPr>
          <w:spacing w:val="-4"/>
        </w:rPr>
        <w:t> </w:t>
      </w:r>
      <w:r>
        <w:rPr/>
        <w:t>so any reductions from statewide accountability apply to the global amount of funding from which hospital payments may be made, subject to the hospital accountability calculations described in STC 14.9(b) below.</w:t>
      </w:r>
    </w:p>
    <w:p>
      <w:pPr>
        <w:pStyle w:val="BodyText"/>
        <w:spacing w:before="10"/>
        <w:rPr>
          <w:sz w:val="20"/>
        </w:rPr>
      </w:pPr>
    </w:p>
    <w:p>
      <w:pPr>
        <w:pStyle w:val="BodyText"/>
        <w:ind w:left="2040" w:right="1141"/>
      </w:pPr>
      <w:r>
        <w:rPr/>
        <w:drawing>
          <wp:anchor distT="0" distB="0" distL="0" distR="0" allowOverlap="1" layoutInCell="1" locked="0" behindDoc="0" simplePos="0" relativeHeight="15970816">
            <wp:simplePos x="0" y="0"/>
            <wp:positionH relativeFrom="page">
              <wp:posOffset>1862327</wp:posOffset>
            </wp:positionH>
            <wp:positionV relativeFrom="paragraph">
              <wp:posOffset>32551</wp:posOffset>
            </wp:positionV>
            <wp:extent cx="73151" cy="115823"/>
            <wp:effectExtent l="0" t="0" r="0" b="0"/>
            <wp:wrapNone/>
            <wp:docPr id="484" name="Image 484"/>
            <wp:cNvGraphicFramePr>
              <a:graphicFrameLocks/>
            </wp:cNvGraphicFramePr>
            <a:graphic>
              <a:graphicData uri="http://schemas.openxmlformats.org/drawingml/2006/picture">
                <pic:pic>
                  <pic:nvPicPr>
                    <pic:cNvPr id="484" name="Image 484"/>
                    <pic:cNvPicPr/>
                  </pic:nvPicPr>
                  <pic:blipFill>
                    <a:blip r:embed="rId61" cstate="print"/>
                    <a:stretch>
                      <a:fillRect/>
                    </a:stretch>
                  </pic:blipFill>
                  <pic:spPr>
                    <a:xfrm>
                      <a:off x="0" y="0"/>
                      <a:ext cx="73151" cy="115823"/>
                    </a:xfrm>
                    <a:prstGeom prst="rect">
                      <a:avLst/>
                    </a:prstGeom>
                  </pic:spPr>
                </pic:pic>
              </a:graphicData>
            </a:graphic>
          </wp:anchor>
        </w:drawing>
      </w:r>
      <w:bookmarkStart w:name="i. The components of statewide accountab" w:id="750"/>
      <w:bookmarkEnd w:id="750"/>
      <w:r>
        <w:rPr/>
      </w:r>
      <w:r>
        <w:rPr/>
        <w:t>The</w:t>
      </w:r>
      <w:r>
        <w:rPr>
          <w:spacing w:val="-5"/>
        </w:rPr>
        <w:t> </w:t>
      </w:r>
      <w:r>
        <w:rPr/>
        <w:t>components</w:t>
      </w:r>
      <w:r>
        <w:rPr>
          <w:spacing w:val="-5"/>
        </w:rPr>
        <w:t> </w:t>
      </w:r>
      <w:r>
        <w:rPr/>
        <w:t>of</w:t>
      </w:r>
      <w:r>
        <w:rPr>
          <w:spacing w:val="-5"/>
        </w:rPr>
        <w:t> </w:t>
      </w:r>
      <w:r>
        <w:rPr/>
        <w:t>statewide</w:t>
      </w:r>
      <w:r>
        <w:rPr>
          <w:spacing w:val="-6"/>
        </w:rPr>
        <w:t> </w:t>
      </w:r>
      <w:r>
        <w:rPr/>
        <w:t>accountability</w:t>
      </w:r>
      <w:r>
        <w:rPr>
          <w:spacing w:val="-9"/>
        </w:rPr>
        <w:t> </w:t>
      </w:r>
      <w:r>
        <w:rPr/>
        <w:t>calculations</w:t>
      </w:r>
      <w:r>
        <w:rPr>
          <w:spacing w:val="-5"/>
        </w:rPr>
        <w:t> </w:t>
      </w:r>
      <w:r>
        <w:rPr/>
        <w:t>include</w:t>
      </w:r>
      <w:r>
        <w:rPr>
          <w:spacing w:val="-5"/>
        </w:rPr>
        <w:t> </w:t>
      </w:r>
      <w:r>
        <w:rPr/>
        <w:t>the </w:t>
      </w:r>
      <w:r>
        <w:rPr>
          <w:spacing w:val="-2"/>
        </w:rPr>
        <w:t>following:</w:t>
      </w:r>
    </w:p>
    <w:p>
      <w:pPr>
        <w:pStyle w:val="ListParagraph"/>
        <w:numPr>
          <w:ilvl w:val="1"/>
          <w:numId w:val="43"/>
        </w:numPr>
        <w:tabs>
          <w:tab w:pos="2851" w:val="left" w:leader="none"/>
        </w:tabs>
        <w:spacing w:line="240" w:lineRule="auto" w:before="161" w:after="0"/>
        <w:ind w:left="2851" w:right="1309" w:hanging="360"/>
        <w:jc w:val="left"/>
        <w:rPr>
          <w:sz w:val="24"/>
        </w:rPr>
      </w:pPr>
      <w:bookmarkStart w:name="1. Achievement of or improvement towards" w:id="751"/>
      <w:bookmarkEnd w:id="751"/>
      <w:r>
        <w:rPr/>
      </w:r>
      <w:r>
        <w:rPr>
          <w:sz w:val="24"/>
        </w:rPr>
        <w:t>Achievement</w:t>
      </w:r>
      <w:r>
        <w:rPr>
          <w:spacing w:val="-2"/>
          <w:sz w:val="24"/>
        </w:rPr>
        <w:t> </w:t>
      </w:r>
      <w:r>
        <w:rPr>
          <w:sz w:val="24"/>
        </w:rPr>
        <w:t>of</w:t>
      </w:r>
      <w:r>
        <w:rPr>
          <w:spacing w:val="-3"/>
          <w:sz w:val="24"/>
        </w:rPr>
        <w:t> </w:t>
      </w:r>
      <w:r>
        <w:rPr>
          <w:sz w:val="24"/>
        </w:rPr>
        <w:t>or</w:t>
      </w:r>
      <w:r>
        <w:rPr>
          <w:spacing w:val="-3"/>
          <w:sz w:val="24"/>
        </w:rPr>
        <w:t> </w:t>
      </w:r>
      <w:r>
        <w:rPr>
          <w:sz w:val="24"/>
        </w:rPr>
        <w:t>improvement</w:t>
      </w:r>
      <w:r>
        <w:rPr>
          <w:spacing w:val="-2"/>
          <w:sz w:val="24"/>
        </w:rPr>
        <w:t> </w:t>
      </w:r>
      <w:r>
        <w:rPr>
          <w:sz w:val="24"/>
        </w:rPr>
        <w:t>towards</w:t>
      </w:r>
      <w:r>
        <w:rPr>
          <w:spacing w:val="-2"/>
          <w:sz w:val="24"/>
        </w:rPr>
        <w:t> </w:t>
      </w:r>
      <w:r>
        <w:rPr>
          <w:sz w:val="24"/>
        </w:rPr>
        <w:t>performance</w:t>
      </w:r>
      <w:r>
        <w:rPr>
          <w:spacing w:val="-1"/>
          <w:sz w:val="24"/>
        </w:rPr>
        <w:t> </w:t>
      </w:r>
      <w:r>
        <w:rPr>
          <w:sz w:val="24"/>
        </w:rPr>
        <w:t>goals</w:t>
      </w:r>
      <w:r>
        <w:rPr>
          <w:spacing w:val="-2"/>
          <w:sz w:val="24"/>
        </w:rPr>
        <w:t> </w:t>
      </w:r>
      <w:r>
        <w:rPr>
          <w:sz w:val="24"/>
        </w:rPr>
        <w:t>on</w:t>
      </w:r>
      <w:r>
        <w:rPr>
          <w:spacing w:val="-2"/>
          <w:sz w:val="24"/>
        </w:rPr>
        <w:t> </w:t>
      </w:r>
      <w:r>
        <w:rPr>
          <w:sz w:val="24"/>
        </w:rPr>
        <w:t>the following measuresacross both Cambridge Health Alliance and participating</w:t>
      </w:r>
      <w:r>
        <w:rPr>
          <w:spacing w:val="-7"/>
          <w:sz w:val="24"/>
        </w:rPr>
        <w:t> </w:t>
      </w:r>
      <w:r>
        <w:rPr>
          <w:sz w:val="24"/>
        </w:rPr>
        <w:t>hospitals</w:t>
      </w:r>
      <w:r>
        <w:rPr>
          <w:spacing w:val="-4"/>
          <w:sz w:val="24"/>
        </w:rPr>
        <w:t> </w:t>
      </w:r>
      <w:r>
        <w:rPr>
          <w:sz w:val="24"/>
        </w:rPr>
        <w:t>in</w:t>
      </w:r>
      <w:r>
        <w:rPr>
          <w:spacing w:val="-3"/>
          <w:sz w:val="24"/>
        </w:rPr>
        <w:t> </w:t>
      </w:r>
      <w:r>
        <w:rPr>
          <w:sz w:val="24"/>
        </w:rPr>
        <w:t>the</w:t>
      </w:r>
      <w:r>
        <w:rPr>
          <w:spacing w:val="-5"/>
          <w:sz w:val="24"/>
        </w:rPr>
        <w:t> </w:t>
      </w:r>
      <w:r>
        <w:rPr>
          <w:sz w:val="24"/>
        </w:rPr>
        <w:t>Hospital</w:t>
      </w:r>
      <w:r>
        <w:rPr>
          <w:spacing w:val="-4"/>
          <w:sz w:val="24"/>
        </w:rPr>
        <w:t> </w:t>
      </w:r>
      <w:r>
        <w:rPr>
          <w:sz w:val="24"/>
        </w:rPr>
        <w:t>Quality</w:t>
      </w:r>
      <w:r>
        <w:rPr>
          <w:spacing w:val="-9"/>
          <w:sz w:val="24"/>
        </w:rPr>
        <w:t> </w:t>
      </w:r>
      <w:r>
        <w:rPr>
          <w:sz w:val="24"/>
        </w:rPr>
        <w:t>and</w:t>
      </w:r>
      <w:r>
        <w:rPr>
          <w:spacing w:val="-3"/>
          <w:sz w:val="24"/>
        </w:rPr>
        <w:t> </w:t>
      </w:r>
      <w:r>
        <w:rPr>
          <w:sz w:val="24"/>
        </w:rPr>
        <w:t>Equity</w:t>
      </w:r>
      <w:r>
        <w:rPr>
          <w:spacing w:val="-7"/>
          <w:sz w:val="24"/>
        </w:rPr>
        <w:t> </w:t>
      </w:r>
      <w:r>
        <w:rPr>
          <w:sz w:val="24"/>
        </w:rPr>
        <w:t>Initiative:</w:t>
      </w:r>
    </w:p>
    <w:p>
      <w:pPr>
        <w:pStyle w:val="BodyText"/>
        <w:spacing w:before="10"/>
        <w:rPr>
          <w:sz w:val="20"/>
        </w:rPr>
      </w:pPr>
    </w:p>
    <w:p>
      <w:pPr>
        <w:pStyle w:val="ListParagraph"/>
        <w:numPr>
          <w:ilvl w:val="2"/>
          <w:numId w:val="43"/>
        </w:numPr>
        <w:tabs>
          <w:tab w:pos="3479" w:val="left" w:leader="none"/>
        </w:tabs>
        <w:spacing w:line="240" w:lineRule="auto" w:before="0" w:after="0"/>
        <w:ind w:left="3479" w:right="1241" w:hanging="360"/>
        <w:jc w:val="left"/>
        <w:rPr>
          <w:sz w:val="24"/>
        </w:rPr>
      </w:pPr>
      <w:bookmarkStart w:name="a. A selection of measures established f" w:id="752"/>
      <w:bookmarkEnd w:id="752"/>
      <w:r>
        <w:rPr/>
      </w:r>
      <w:r>
        <w:rPr>
          <w:sz w:val="24"/>
        </w:rPr>
        <w:t>A</w:t>
      </w:r>
      <w:r>
        <w:rPr>
          <w:spacing w:val="-6"/>
          <w:sz w:val="24"/>
        </w:rPr>
        <w:t> </w:t>
      </w:r>
      <w:r>
        <w:rPr>
          <w:sz w:val="24"/>
        </w:rPr>
        <w:t>selection</w:t>
      </w:r>
      <w:r>
        <w:rPr>
          <w:spacing w:val="-5"/>
          <w:sz w:val="24"/>
        </w:rPr>
        <w:t> </w:t>
      </w:r>
      <w:r>
        <w:rPr>
          <w:sz w:val="24"/>
        </w:rPr>
        <w:t>of</w:t>
      </w:r>
      <w:r>
        <w:rPr>
          <w:spacing w:val="-6"/>
          <w:sz w:val="24"/>
        </w:rPr>
        <w:t> </w:t>
      </w:r>
      <w:r>
        <w:rPr>
          <w:sz w:val="24"/>
        </w:rPr>
        <w:t>measures</w:t>
      </w:r>
      <w:r>
        <w:rPr>
          <w:spacing w:val="-4"/>
          <w:sz w:val="24"/>
        </w:rPr>
        <w:t> </w:t>
      </w:r>
      <w:r>
        <w:rPr>
          <w:sz w:val="24"/>
        </w:rPr>
        <w:t>established</w:t>
      </w:r>
      <w:r>
        <w:rPr>
          <w:spacing w:val="-5"/>
          <w:sz w:val="24"/>
        </w:rPr>
        <w:t> </w:t>
      </w:r>
      <w:r>
        <w:rPr>
          <w:sz w:val="24"/>
        </w:rPr>
        <w:t>for</w:t>
      </w:r>
      <w:r>
        <w:rPr>
          <w:spacing w:val="-6"/>
          <w:sz w:val="24"/>
        </w:rPr>
        <w:t> </w:t>
      </w:r>
      <w:r>
        <w:rPr>
          <w:sz w:val="24"/>
        </w:rPr>
        <w:t>hospitals</w:t>
      </w:r>
      <w:r>
        <w:rPr>
          <w:spacing w:val="-4"/>
          <w:sz w:val="24"/>
        </w:rPr>
        <w:t> </w:t>
      </w:r>
      <w:r>
        <w:rPr>
          <w:sz w:val="24"/>
        </w:rPr>
        <w:t>as</w:t>
      </w:r>
      <w:r>
        <w:rPr>
          <w:spacing w:val="-5"/>
          <w:sz w:val="24"/>
        </w:rPr>
        <w:t> </w:t>
      </w:r>
      <w:r>
        <w:rPr>
          <w:sz w:val="24"/>
        </w:rPr>
        <w:t>described in STC 14.3, 14.4, and 14.5.</w:t>
      </w:r>
    </w:p>
    <w:p>
      <w:pPr>
        <w:pStyle w:val="BodyText"/>
        <w:spacing w:before="10"/>
        <w:rPr>
          <w:sz w:val="20"/>
        </w:rPr>
      </w:pPr>
    </w:p>
    <w:p>
      <w:pPr>
        <w:pStyle w:val="ListParagraph"/>
        <w:numPr>
          <w:ilvl w:val="2"/>
          <w:numId w:val="43"/>
        </w:numPr>
        <w:tabs>
          <w:tab w:pos="3479" w:val="left" w:leader="none"/>
        </w:tabs>
        <w:spacing w:line="240" w:lineRule="auto" w:before="0" w:after="0"/>
        <w:ind w:left="3479" w:right="1268" w:hanging="360"/>
        <w:jc w:val="left"/>
        <w:rPr>
          <w:sz w:val="24"/>
        </w:rPr>
      </w:pPr>
      <w:bookmarkStart w:name="b. A selection of metrics agreed upon by" w:id="753"/>
      <w:bookmarkEnd w:id="753"/>
      <w:r>
        <w:rPr/>
      </w:r>
      <w:r>
        <w:rPr>
          <w:sz w:val="24"/>
        </w:rPr>
        <w:t>A selection of metrics agreed upon by CMS and the Commonwealth from the draft CMS Health Equity Measure Slate for DY27 and DY28, and the final CMS Health Equity Measure Slate for remaining performance years, upon its release; at least three of these agreed-upon metrics may be included</w:t>
      </w:r>
      <w:r>
        <w:rPr>
          <w:spacing w:val="-6"/>
          <w:sz w:val="24"/>
        </w:rPr>
        <w:t> </w:t>
      </w:r>
      <w:r>
        <w:rPr>
          <w:sz w:val="24"/>
        </w:rPr>
        <w:t>in</w:t>
      </w:r>
      <w:r>
        <w:rPr>
          <w:spacing w:val="-6"/>
          <w:sz w:val="24"/>
        </w:rPr>
        <w:t> </w:t>
      </w:r>
      <w:r>
        <w:rPr>
          <w:sz w:val="24"/>
        </w:rPr>
        <w:t>measures</w:t>
      </w:r>
      <w:r>
        <w:rPr>
          <w:spacing w:val="-4"/>
          <w:sz w:val="24"/>
        </w:rPr>
        <w:t> </w:t>
      </w:r>
      <w:r>
        <w:rPr>
          <w:sz w:val="24"/>
        </w:rPr>
        <w:t>established</w:t>
      </w:r>
      <w:r>
        <w:rPr>
          <w:spacing w:val="-6"/>
          <w:sz w:val="24"/>
        </w:rPr>
        <w:t> </w:t>
      </w:r>
      <w:r>
        <w:rPr>
          <w:sz w:val="24"/>
        </w:rPr>
        <w:t>for</w:t>
      </w:r>
      <w:r>
        <w:rPr>
          <w:spacing w:val="-7"/>
          <w:sz w:val="24"/>
        </w:rPr>
        <w:t> </w:t>
      </w:r>
      <w:r>
        <w:rPr>
          <w:sz w:val="24"/>
        </w:rPr>
        <w:t>hospitals</w:t>
      </w:r>
      <w:r>
        <w:rPr>
          <w:spacing w:val="-6"/>
          <w:sz w:val="24"/>
        </w:rPr>
        <w:t> </w:t>
      </w:r>
      <w:r>
        <w:rPr>
          <w:sz w:val="24"/>
        </w:rPr>
        <w:t>as</w:t>
      </w:r>
      <w:r>
        <w:rPr>
          <w:spacing w:val="-4"/>
          <w:sz w:val="24"/>
        </w:rPr>
        <w:t> </w:t>
      </w:r>
      <w:r>
        <w:rPr>
          <w:sz w:val="24"/>
        </w:rPr>
        <w:t>described</w:t>
      </w:r>
      <w:r>
        <w:rPr>
          <w:spacing w:val="-6"/>
          <w:sz w:val="24"/>
        </w:rPr>
        <w:t> </w:t>
      </w:r>
      <w:r>
        <w:rPr>
          <w:sz w:val="24"/>
        </w:rPr>
        <w:t>in </w:t>
      </w:r>
      <w:r>
        <w:rPr>
          <w:spacing w:val="-2"/>
          <w:sz w:val="24"/>
        </w:rPr>
        <w:t>14.9(a)(i)(1)(a).</w:t>
      </w:r>
    </w:p>
    <w:p>
      <w:pPr>
        <w:pStyle w:val="ListParagraph"/>
        <w:numPr>
          <w:ilvl w:val="1"/>
          <w:numId w:val="43"/>
        </w:numPr>
        <w:tabs>
          <w:tab w:pos="2851" w:val="left" w:leader="none"/>
        </w:tabs>
        <w:spacing w:line="240" w:lineRule="auto" w:before="118" w:after="0"/>
        <w:ind w:left="2851" w:right="0" w:hanging="360"/>
        <w:jc w:val="left"/>
        <w:rPr>
          <w:sz w:val="24"/>
        </w:rPr>
      </w:pPr>
      <w:bookmarkStart w:name="2. Maternal Morbidity Measure (to be spe" w:id="754"/>
      <w:bookmarkEnd w:id="754"/>
      <w:r>
        <w:rPr/>
      </w:r>
      <w:r>
        <w:rPr>
          <w:sz w:val="24"/>
        </w:rPr>
        <w:t>Maternal</w:t>
      </w:r>
      <w:r>
        <w:rPr>
          <w:spacing w:val="-2"/>
          <w:sz w:val="24"/>
        </w:rPr>
        <w:t> </w:t>
      </w:r>
      <w:r>
        <w:rPr>
          <w:sz w:val="24"/>
        </w:rPr>
        <w:t>Morbidity</w:t>
      </w:r>
      <w:r>
        <w:rPr>
          <w:spacing w:val="-5"/>
          <w:sz w:val="24"/>
        </w:rPr>
        <w:t> </w:t>
      </w:r>
      <w:r>
        <w:rPr>
          <w:sz w:val="24"/>
        </w:rPr>
        <w:t>Measure</w:t>
      </w:r>
      <w:r>
        <w:rPr>
          <w:spacing w:val="-1"/>
          <w:sz w:val="24"/>
        </w:rPr>
        <w:t> </w:t>
      </w:r>
      <w:r>
        <w:rPr>
          <w:sz w:val="24"/>
        </w:rPr>
        <w:t>(to be</w:t>
      </w:r>
      <w:r>
        <w:rPr>
          <w:spacing w:val="-1"/>
          <w:sz w:val="24"/>
        </w:rPr>
        <w:t> </w:t>
      </w:r>
      <w:r>
        <w:rPr>
          <w:sz w:val="24"/>
        </w:rPr>
        <w:t>specified by</w:t>
      </w:r>
      <w:r>
        <w:rPr>
          <w:spacing w:val="-3"/>
          <w:sz w:val="24"/>
        </w:rPr>
        <w:t> </w:t>
      </w:r>
      <w:r>
        <w:rPr>
          <w:spacing w:val="-2"/>
          <w:sz w:val="24"/>
        </w:rPr>
        <w:t>CMS).</w:t>
      </w:r>
    </w:p>
    <w:p>
      <w:pPr>
        <w:pStyle w:val="BodyText"/>
        <w:spacing w:before="161"/>
        <w:ind w:left="2039" w:right="1104"/>
      </w:pPr>
      <w:r>
        <w:rPr/>
        <w:drawing>
          <wp:anchor distT="0" distB="0" distL="0" distR="0" allowOverlap="1" layoutInCell="1" locked="0" behindDoc="0" simplePos="0" relativeHeight="15971328">
            <wp:simplePos x="0" y="0"/>
            <wp:positionH relativeFrom="page">
              <wp:posOffset>1819655</wp:posOffset>
            </wp:positionH>
            <wp:positionV relativeFrom="paragraph">
              <wp:posOffset>134786</wp:posOffset>
            </wp:positionV>
            <wp:extent cx="115823" cy="115823"/>
            <wp:effectExtent l="0" t="0" r="0" b="0"/>
            <wp:wrapNone/>
            <wp:docPr id="485" name="Image 485"/>
            <wp:cNvGraphicFramePr>
              <a:graphicFrameLocks/>
            </wp:cNvGraphicFramePr>
            <a:graphic>
              <a:graphicData uri="http://schemas.openxmlformats.org/drawingml/2006/picture">
                <pic:pic>
                  <pic:nvPicPr>
                    <pic:cNvPr id="485" name="Image 485"/>
                    <pic:cNvPicPr/>
                  </pic:nvPicPr>
                  <pic:blipFill>
                    <a:blip r:embed="rId62" cstate="print"/>
                    <a:stretch>
                      <a:fillRect/>
                    </a:stretch>
                  </pic:blipFill>
                  <pic:spPr>
                    <a:xfrm>
                      <a:off x="0" y="0"/>
                      <a:ext cx="115823" cy="115823"/>
                    </a:xfrm>
                    <a:prstGeom prst="rect">
                      <a:avLst/>
                    </a:prstGeom>
                  </pic:spPr>
                </pic:pic>
              </a:graphicData>
            </a:graphic>
          </wp:anchor>
        </w:drawing>
      </w:r>
      <w:bookmarkStart w:name="ii. Each statewide accountability compon" w:id="755"/>
      <w:bookmarkEnd w:id="755"/>
      <w:r>
        <w:rPr/>
      </w:r>
      <w:r>
        <w:rPr/>
        <w:t>Each statewide accountability component will be assigned a weight for each performance year in the Implementation Plan, such that the sum of the component weights is 100 percent each year. State performance in each component will be multiplied by the associated weight, and then summed together</w:t>
      </w:r>
      <w:r>
        <w:rPr>
          <w:spacing w:val="-4"/>
        </w:rPr>
        <w:t> </w:t>
      </w:r>
      <w:r>
        <w:rPr/>
        <w:t>to</w:t>
      </w:r>
      <w:r>
        <w:rPr>
          <w:spacing w:val="-3"/>
        </w:rPr>
        <w:t> </w:t>
      </w:r>
      <w:r>
        <w:rPr/>
        <w:t>create</w:t>
      </w:r>
      <w:r>
        <w:rPr>
          <w:spacing w:val="-4"/>
        </w:rPr>
        <w:t> </w:t>
      </w:r>
      <w:r>
        <w:rPr/>
        <w:t>an</w:t>
      </w:r>
      <w:r>
        <w:rPr>
          <w:spacing w:val="-1"/>
        </w:rPr>
        <w:t> </w:t>
      </w:r>
      <w:r>
        <w:rPr/>
        <w:t>aggregate</w:t>
      </w:r>
      <w:r>
        <w:rPr>
          <w:spacing w:val="-4"/>
        </w:rPr>
        <w:t> </w:t>
      </w:r>
      <w:r>
        <w:rPr/>
        <w:t>score,</w:t>
      </w:r>
      <w:r>
        <w:rPr>
          <w:spacing w:val="-3"/>
        </w:rPr>
        <w:t> </w:t>
      </w:r>
      <w:r>
        <w:rPr/>
        <w:t>which</w:t>
      </w:r>
      <w:r>
        <w:rPr>
          <w:spacing w:val="-1"/>
        </w:rPr>
        <w:t> </w:t>
      </w:r>
      <w:r>
        <w:rPr/>
        <w:t>will</w:t>
      </w:r>
      <w:r>
        <w:rPr>
          <w:spacing w:val="-3"/>
        </w:rPr>
        <w:t> </w:t>
      </w:r>
      <w:r>
        <w:rPr/>
        <w:t>be</w:t>
      </w:r>
      <w:r>
        <w:rPr>
          <w:spacing w:val="-4"/>
        </w:rPr>
        <w:t> </w:t>
      </w:r>
      <w:r>
        <w:rPr/>
        <w:t>the</w:t>
      </w:r>
      <w:r>
        <w:rPr>
          <w:spacing w:val="-4"/>
        </w:rPr>
        <w:t> </w:t>
      </w:r>
      <w:r>
        <w:rPr/>
        <w:t>State’s</w:t>
      </w:r>
      <w:r>
        <w:rPr>
          <w:spacing w:val="-3"/>
        </w:rPr>
        <w:t> </w:t>
      </w:r>
      <w:r>
        <w:rPr/>
        <w:t>Accountability Score.</w:t>
      </w:r>
      <w:r>
        <w:rPr>
          <w:spacing w:val="40"/>
        </w:rPr>
        <w:t> </w:t>
      </w:r>
      <w:r>
        <w:rPr/>
        <w:t>The state will report its Accountability Score to CMS once it is available, with supporting documentation showing the calculation of the score, and the score will then be used by the State and CMS to determine whether the Commonwealth’s Hospital Quality and Equity Initiative expenditure authority will be reduced for the relevant demonstration year.</w:t>
      </w:r>
    </w:p>
    <w:p>
      <w:pPr>
        <w:pStyle w:val="BodyText"/>
        <w:ind w:left="2039" w:right="1141"/>
      </w:pPr>
      <w:r>
        <w:rPr/>
        <w:t>The maximum amount of funding at risk for statewide accountability is described in the table immediately below, and the actual amount of any reduction</w:t>
      </w:r>
      <w:r>
        <w:rPr>
          <w:spacing w:val="-4"/>
        </w:rPr>
        <w:t> </w:t>
      </w:r>
      <w:r>
        <w:rPr/>
        <w:t>for</w:t>
      </w:r>
      <w:r>
        <w:rPr>
          <w:spacing w:val="-3"/>
        </w:rPr>
        <w:t> </w:t>
      </w:r>
      <w:r>
        <w:rPr/>
        <w:t>a</w:t>
      </w:r>
      <w:r>
        <w:rPr>
          <w:spacing w:val="-5"/>
        </w:rPr>
        <w:t> </w:t>
      </w:r>
      <w:r>
        <w:rPr/>
        <w:t>fiscal year</w:t>
      </w:r>
      <w:r>
        <w:rPr>
          <w:spacing w:val="-5"/>
        </w:rPr>
        <w:t> </w:t>
      </w:r>
      <w:r>
        <w:rPr/>
        <w:t>will</w:t>
      </w:r>
      <w:r>
        <w:rPr>
          <w:spacing w:val="-4"/>
        </w:rPr>
        <w:t> </w:t>
      </w:r>
      <w:r>
        <w:rPr/>
        <w:t>be</w:t>
      </w:r>
      <w:r>
        <w:rPr>
          <w:spacing w:val="-5"/>
        </w:rPr>
        <w:t> </w:t>
      </w:r>
      <w:r>
        <w:rPr/>
        <w:t>determined</w:t>
      </w:r>
      <w:r>
        <w:rPr>
          <w:spacing w:val="-2"/>
        </w:rPr>
        <w:t> </w:t>
      </w:r>
      <w:r>
        <w:rPr/>
        <w:t>according</w:t>
      </w:r>
      <w:r>
        <w:rPr>
          <w:spacing w:val="-7"/>
        </w:rPr>
        <w:t> </w:t>
      </w:r>
      <w:r>
        <w:rPr/>
        <w:t>to</w:t>
      </w:r>
      <w:r>
        <w:rPr>
          <w:spacing w:val="-4"/>
        </w:rPr>
        <w:t> </w:t>
      </w:r>
      <w:r>
        <w:rPr/>
        <w:t>a</w:t>
      </w:r>
      <w:r>
        <w:rPr>
          <w:spacing w:val="-5"/>
        </w:rPr>
        <w:t> </w:t>
      </w:r>
      <w:r>
        <w:rPr/>
        <w:t>methodology agreed upon by the state and CMS in the Hospital Quality and Equity Initiative Implementation Plan.</w:t>
      </w:r>
    </w:p>
    <w:p>
      <w:pPr>
        <w:spacing w:after="0"/>
        <w:sectPr>
          <w:pgSz w:w="12240" w:h="15840"/>
          <w:pgMar w:header="0" w:footer="1201" w:top="1360" w:bottom="1400" w:left="1200" w:right="400"/>
        </w:sectPr>
      </w:pPr>
    </w:p>
    <w:tbl>
      <w:tblPr>
        <w:tblW w:w="0" w:type="auto"/>
        <w:jc w:val="lef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6"/>
        <w:gridCol w:w="1440"/>
        <w:gridCol w:w="1169"/>
        <w:gridCol w:w="1169"/>
        <w:gridCol w:w="1260"/>
        <w:gridCol w:w="1262"/>
      </w:tblGrid>
      <w:tr>
        <w:trPr>
          <w:trHeight w:val="373" w:hRule="atLeast"/>
        </w:trPr>
        <w:tc>
          <w:tcPr>
            <w:tcW w:w="8726" w:type="dxa"/>
            <w:gridSpan w:val="6"/>
            <w:shd w:val="clear" w:color="auto" w:fill="DBE4F0"/>
          </w:tcPr>
          <w:p>
            <w:pPr>
              <w:pStyle w:val="TableParagraph"/>
              <w:spacing w:before="61"/>
              <w:ind w:left="1970" w:right="1961"/>
              <w:jc w:val="center"/>
              <w:rPr>
                <w:b/>
                <w:sz w:val="22"/>
              </w:rPr>
            </w:pPr>
            <w:r>
              <w:rPr>
                <w:b/>
                <w:sz w:val="22"/>
              </w:rPr>
              <w:t>Table</w:t>
            </w:r>
            <w:r>
              <w:rPr>
                <w:b/>
                <w:spacing w:val="-5"/>
                <w:sz w:val="22"/>
              </w:rPr>
              <w:t> </w:t>
            </w:r>
            <w:r>
              <w:rPr>
                <w:b/>
                <w:sz w:val="22"/>
              </w:rPr>
              <w:t>15:</w:t>
            </w:r>
            <w:r>
              <w:rPr>
                <w:b/>
                <w:spacing w:val="-6"/>
                <w:sz w:val="22"/>
              </w:rPr>
              <w:t> </w:t>
            </w:r>
            <w:r>
              <w:rPr>
                <w:b/>
                <w:sz w:val="22"/>
              </w:rPr>
              <w:t>Funding</w:t>
            </w:r>
            <w:r>
              <w:rPr>
                <w:b/>
                <w:spacing w:val="-5"/>
                <w:sz w:val="22"/>
              </w:rPr>
              <w:t> </w:t>
            </w:r>
            <w:r>
              <w:rPr>
                <w:b/>
                <w:sz w:val="22"/>
              </w:rPr>
              <w:t>At-Risk</w:t>
            </w:r>
            <w:r>
              <w:rPr>
                <w:b/>
                <w:spacing w:val="-5"/>
                <w:sz w:val="22"/>
              </w:rPr>
              <w:t> </w:t>
            </w:r>
            <w:r>
              <w:rPr>
                <w:b/>
                <w:sz w:val="22"/>
              </w:rPr>
              <w:t>by</w:t>
            </w:r>
            <w:r>
              <w:rPr>
                <w:b/>
                <w:spacing w:val="-4"/>
                <w:sz w:val="22"/>
              </w:rPr>
              <w:t> </w:t>
            </w:r>
            <w:r>
              <w:rPr>
                <w:b/>
                <w:sz w:val="22"/>
              </w:rPr>
              <w:t>Demonstration</w:t>
            </w:r>
            <w:r>
              <w:rPr>
                <w:b/>
                <w:spacing w:val="-7"/>
                <w:sz w:val="22"/>
              </w:rPr>
              <w:t> </w:t>
            </w:r>
            <w:r>
              <w:rPr>
                <w:b/>
                <w:spacing w:val="-4"/>
                <w:sz w:val="22"/>
              </w:rPr>
              <w:t>Year</w:t>
            </w:r>
          </w:p>
        </w:tc>
      </w:tr>
      <w:tr>
        <w:trPr>
          <w:trHeight w:val="371" w:hRule="atLeast"/>
        </w:trPr>
        <w:tc>
          <w:tcPr>
            <w:tcW w:w="2426" w:type="dxa"/>
            <w:shd w:val="clear" w:color="auto" w:fill="DBE4F0"/>
          </w:tcPr>
          <w:p>
            <w:pPr>
              <w:pStyle w:val="TableParagraph"/>
              <w:rPr>
                <w:sz w:val="22"/>
              </w:rPr>
            </w:pPr>
          </w:p>
        </w:tc>
        <w:tc>
          <w:tcPr>
            <w:tcW w:w="1440" w:type="dxa"/>
            <w:shd w:val="clear" w:color="auto" w:fill="DBE4F0"/>
          </w:tcPr>
          <w:p>
            <w:pPr>
              <w:pStyle w:val="TableParagraph"/>
              <w:spacing w:before="61"/>
              <w:ind w:left="102" w:right="92"/>
              <w:jc w:val="center"/>
              <w:rPr>
                <w:b/>
                <w:sz w:val="22"/>
              </w:rPr>
            </w:pPr>
            <w:r>
              <w:rPr>
                <w:b/>
                <w:sz w:val="22"/>
              </w:rPr>
              <w:t>DY</w:t>
            </w:r>
            <w:r>
              <w:rPr>
                <w:b/>
                <w:spacing w:val="-3"/>
                <w:sz w:val="22"/>
              </w:rPr>
              <w:t> </w:t>
            </w:r>
            <w:r>
              <w:rPr>
                <w:b/>
                <w:sz w:val="22"/>
              </w:rPr>
              <w:t>27-</w:t>
            </w:r>
            <w:r>
              <w:rPr>
                <w:b/>
                <w:spacing w:val="-5"/>
                <w:sz w:val="22"/>
              </w:rPr>
              <w:t>28</w:t>
            </w:r>
          </w:p>
        </w:tc>
        <w:tc>
          <w:tcPr>
            <w:tcW w:w="1169" w:type="dxa"/>
            <w:shd w:val="clear" w:color="auto" w:fill="DBE4F0"/>
          </w:tcPr>
          <w:p>
            <w:pPr>
              <w:pStyle w:val="TableParagraph"/>
              <w:spacing w:before="61"/>
              <w:ind w:left="109" w:right="97"/>
              <w:jc w:val="center"/>
              <w:rPr>
                <w:b/>
                <w:sz w:val="22"/>
              </w:rPr>
            </w:pPr>
            <w:r>
              <w:rPr>
                <w:b/>
                <w:sz w:val="22"/>
              </w:rPr>
              <w:t>DY</w:t>
            </w:r>
            <w:r>
              <w:rPr>
                <w:b/>
                <w:spacing w:val="-1"/>
                <w:sz w:val="22"/>
              </w:rPr>
              <w:t> </w:t>
            </w:r>
            <w:r>
              <w:rPr>
                <w:b/>
                <w:spacing w:val="-5"/>
                <w:sz w:val="22"/>
              </w:rPr>
              <w:t>29</w:t>
            </w:r>
          </w:p>
        </w:tc>
        <w:tc>
          <w:tcPr>
            <w:tcW w:w="1169" w:type="dxa"/>
            <w:shd w:val="clear" w:color="auto" w:fill="DBE4F0"/>
          </w:tcPr>
          <w:p>
            <w:pPr>
              <w:pStyle w:val="TableParagraph"/>
              <w:spacing w:before="61"/>
              <w:ind w:left="109" w:right="97"/>
              <w:jc w:val="center"/>
              <w:rPr>
                <w:b/>
                <w:sz w:val="22"/>
              </w:rPr>
            </w:pPr>
            <w:r>
              <w:rPr>
                <w:b/>
                <w:sz w:val="22"/>
              </w:rPr>
              <w:t>DY</w:t>
            </w:r>
            <w:r>
              <w:rPr>
                <w:b/>
                <w:spacing w:val="-1"/>
                <w:sz w:val="22"/>
              </w:rPr>
              <w:t> </w:t>
            </w:r>
            <w:r>
              <w:rPr>
                <w:b/>
                <w:spacing w:val="-5"/>
                <w:sz w:val="22"/>
              </w:rPr>
              <w:t>30</w:t>
            </w:r>
          </w:p>
        </w:tc>
        <w:tc>
          <w:tcPr>
            <w:tcW w:w="1260" w:type="dxa"/>
            <w:shd w:val="clear" w:color="auto" w:fill="DBE4F0"/>
          </w:tcPr>
          <w:p>
            <w:pPr>
              <w:pStyle w:val="TableParagraph"/>
              <w:spacing w:before="61"/>
              <w:ind w:left="133" w:right="122"/>
              <w:jc w:val="center"/>
              <w:rPr>
                <w:b/>
                <w:sz w:val="22"/>
              </w:rPr>
            </w:pPr>
            <w:r>
              <w:rPr>
                <w:b/>
                <w:sz w:val="22"/>
              </w:rPr>
              <w:t>DY</w:t>
            </w:r>
            <w:r>
              <w:rPr>
                <w:b/>
                <w:spacing w:val="-1"/>
                <w:sz w:val="22"/>
              </w:rPr>
              <w:t> </w:t>
            </w:r>
            <w:r>
              <w:rPr>
                <w:b/>
                <w:spacing w:val="-5"/>
                <w:sz w:val="22"/>
              </w:rPr>
              <w:t>31</w:t>
            </w:r>
          </w:p>
        </w:tc>
        <w:tc>
          <w:tcPr>
            <w:tcW w:w="1262" w:type="dxa"/>
            <w:shd w:val="clear" w:color="auto" w:fill="DBE4F0"/>
          </w:tcPr>
          <w:p>
            <w:pPr>
              <w:pStyle w:val="TableParagraph"/>
              <w:spacing w:before="61"/>
              <w:ind w:left="155" w:right="146"/>
              <w:jc w:val="center"/>
              <w:rPr>
                <w:b/>
                <w:sz w:val="22"/>
              </w:rPr>
            </w:pPr>
            <w:r>
              <w:rPr>
                <w:b/>
                <w:sz w:val="22"/>
              </w:rPr>
              <w:t>DY</w:t>
            </w:r>
            <w:r>
              <w:rPr>
                <w:b/>
                <w:spacing w:val="-1"/>
                <w:sz w:val="22"/>
              </w:rPr>
              <w:t> </w:t>
            </w:r>
            <w:r>
              <w:rPr>
                <w:b/>
                <w:spacing w:val="-5"/>
                <w:sz w:val="22"/>
              </w:rPr>
              <w:t>32</w:t>
            </w:r>
          </w:p>
        </w:tc>
      </w:tr>
      <w:tr>
        <w:trPr>
          <w:trHeight w:val="506" w:hRule="atLeast"/>
        </w:trPr>
        <w:tc>
          <w:tcPr>
            <w:tcW w:w="2426" w:type="dxa"/>
          </w:tcPr>
          <w:p>
            <w:pPr>
              <w:pStyle w:val="TableParagraph"/>
              <w:spacing w:line="254" w:lineRule="exact"/>
              <w:ind w:left="107" w:right="305"/>
              <w:rPr>
                <w:sz w:val="22"/>
              </w:rPr>
            </w:pPr>
            <w:r>
              <w:rPr>
                <w:sz w:val="22"/>
              </w:rPr>
              <w:t>Funding at risk for statewide</w:t>
            </w:r>
            <w:r>
              <w:rPr>
                <w:spacing w:val="-14"/>
                <w:sz w:val="22"/>
              </w:rPr>
              <w:t> </w:t>
            </w:r>
            <w:r>
              <w:rPr>
                <w:sz w:val="22"/>
              </w:rPr>
              <w:t>achievement</w:t>
            </w:r>
          </w:p>
        </w:tc>
        <w:tc>
          <w:tcPr>
            <w:tcW w:w="1440" w:type="dxa"/>
          </w:tcPr>
          <w:p>
            <w:pPr>
              <w:pStyle w:val="TableParagraph"/>
              <w:spacing w:before="125"/>
              <w:ind w:left="103" w:right="92"/>
              <w:jc w:val="center"/>
              <w:rPr>
                <w:sz w:val="22"/>
              </w:rPr>
            </w:pPr>
            <w:r>
              <w:rPr>
                <w:sz w:val="22"/>
              </w:rPr>
              <w:t>5 </w:t>
            </w:r>
            <w:r>
              <w:rPr>
                <w:spacing w:val="-2"/>
                <w:sz w:val="22"/>
              </w:rPr>
              <w:t>percent</w:t>
            </w:r>
          </w:p>
        </w:tc>
        <w:tc>
          <w:tcPr>
            <w:tcW w:w="1169" w:type="dxa"/>
          </w:tcPr>
          <w:p>
            <w:pPr>
              <w:pStyle w:val="TableParagraph"/>
              <w:spacing w:before="125"/>
              <w:ind w:left="109" w:right="100"/>
              <w:jc w:val="center"/>
              <w:rPr>
                <w:sz w:val="22"/>
              </w:rPr>
            </w:pPr>
            <w:r>
              <w:rPr>
                <w:sz w:val="22"/>
              </w:rPr>
              <w:t>15 </w:t>
            </w:r>
            <w:r>
              <w:rPr>
                <w:spacing w:val="-2"/>
                <w:sz w:val="22"/>
              </w:rPr>
              <w:t>percent</w:t>
            </w:r>
          </w:p>
        </w:tc>
        <w:tc>
          <w:tcPr>
            <w:tcW w:w="1169" w:type="dxa"/>
          </w:tcPr>
          <w:p>
            <w:pPr>
              <w:pStyle w:val="TableParagraph"/>
              <w:spacing w:before="125"/>
              <w:ind w:left="109" w:right="100"/>
              <w:jc w:val="center"/>
              <w:rPr>
                <w:sz w:val="22"/>
              </w:rPr>
            </w:pPr>
            <w:r>
              <w:rPr>
                <w:sz w:val="22"/>
              </w:rPr>
              <w:t>20 </w:t>
            </w:r>
            <w:r>
              <w:rPr>
                <w:spacing w:val="-2"/>
                <w:sz w:val="22"/>
              </w:rPr>
              <w:t>percent</w:t>
            </w:r>
          </w:p>
        </w:tc>
        <w:tc>
          <w:tcPr>
            <w:tcW w:w="1260" w:type="dxa"/>
          </w:tcPr>
          <w:p>
            <w:pPr>
              <w:pStyle w:val="TableParagraph"/>
              <w:spacing w:before="125"/>
              <w:ind w:left="133" w:right="125"/>
              <w:jc w:val="center"/>
              <w:rPr>
                <w:sz w:val="22"/>
              </w:rPr>
            </w:pPr>
            <w:r>
              <w:rPr>
                <w:sz w:val="22"/>
              </w:rPr>
              <w:t>25 </w:t>
            </w:r>
            <w:r>
              <w:rPr>
                <w:spacing w:val="-2"/>
                <w:sz w:val="22"/>
              </w:rPr>
              <w:t>percent</w:t>
            </w:r>
          </w:p>
        </w:tc>
        <w:tc>
          <w:tcPr>
            <w:tcW w:w="1262" w:type="dxa"/>
          </w:tcPr>
          <w:p>
            <w:pPr>
              <w:pStyle w:val="TableParagraph"/>
              <w:spacing w:before="125"/>
              <w:ind w:left="157" w:right="146"/>
              <w:jc w:val="center"/>
              <w:rPr>
                <w:sz w:val="22"/>
              </w:rPr>
            </w:pPr>
            <w:r>
              <w:rPr>
                <w:sz w:val="22"/>
              </w:rPr>
              <w:t>25 </w:t>
            </w:r>
            <w:r>
              <w:rPr>
                <w:spacing w:val="-2"/>
                <w:sz w:val="22"/>
              </w:rPr>
              <w:t>percent</w:t>
            </w:r>
          </w:p>
        </w:tc>
      </w:tr>
      <w:tr>
        <w:trPr>
          <w:trHeight w:val="504" w:hRule="atLeast"/>
        </w:trPr>
        <w:tc>
          <w:tcPr>
            <w:tcW w:w="2426" w:type="dxa"/>
          </w:tcPr>
          <w:p>
            <w:pPr>
              <w:pStyle w:val="TableParagraph"/>
              <w:spacing w:line="249" w:lineRule="exact"/>
              <w:ind w:left="107"/>
              <w:rPr>
                <w:sz w:val="22"/>
              </w:rPr>
            </w:pPr>
            <w:r>
              <w:rPr>
                <w:sz w:val="22"/>
              </w:rPr>
              <w:t>At-risk</w:t>
            </w:r>
            <w:r>
              <w:rPr>
                <w:spacing w:val="-6"/>
                <w:sz w:val="22"/>
              </w:rPr>
              <w:t> </w:t>
            </w:r>
            <w:r>
              <w:rPr>
                <w:sz w:val="22"/>
              </w:rPr>
              <w:t>assigned</w:t>
            </w:r>
            <w:r>
              <w:rPr>
                <w:spacing w:val="-3"/>
                <w:sz w:val="22"/>
              </w:rPr>
              <w:t> </w:t>
            </w:r>
            <w:r>
              <w:rPr>
                <w:spacing w:val="-5"/>
                <w:sz w:val="22"/>
              </w:rPr>
              <w:t>by</w:t>
            </w:r>
          </w:p>
          <w:p>
            <w:pPr>
              <w:pStyle w:val="TableParagraph"/>
              <w:spacing w:line="233" w:lineRule="exact" w:before="1"/>
              <w:ind w:left="107"/>
              <w:rPr>
                <w:sz w:val="22"/>
              </w:rPr>
            </w:pPr>
            <w:r>
              <w:rPr>
                <w:sz w:val="22"/>
              </w:rPr>
              <w:t>Performance</w:t>
            </w:r>
            <w:r>
              <w:rPr>
                <w:spacing w:val="-8"/>
                <w:sz w:val="22"/>
              </w:rPr>
              <w:t> </w:t>
            </w:r>
            <w:r>
              <w:rPr>
                <w:spacing w:val="-2"/>
                <w:sz w:val="22"/>
              </w:rPr>
              <w:t>years</w:t>
            </w:r>
          </w:p>
        </w:tc>
        <w:tc>
          <w:tcPr>
            <w:tcW w:w="1440" w:type="dxa"/>
          </w:tcPr>
          <w:p>
            <w:pPr>
              <w:pStyle w:val="TableParagraph"/>
              <w:spacing w:before="123"/>
              <w:ind w:left="102" w:right="92"/>
              <w:jc w:val="center"/>
              <w:rPr>
                <w:sz w:val="22"/>
              </w:rPr>
            </w:pPr>
            <w:r>
              <w:rPr>
                <w:sz w:val="22"/>
              </w:rPr>
              <w:t>PY</w:t>
            </w:r>
            <w:r>
              <w:rPr>
                <w:spacing w:val="-2"/>
                <w:sz w:val="22"/>
              </w:rPr>
              <w:t> </w:t>
            </w:r>
            <w:r>
              <w:rPr>
                <w:spacing w:val="-10"/>
                <w:sz w:val="22"/>
              </w:rPr>
              <w:t>1</w:t>
            </w:r>
          </w:p>
        </w:tc>
        <w:tc>
          <w:tcPr>
            <w:tcW w:w="1169" w:type="dxa"/>
          </w:tcPr>
          <w:p>
            <w:pPr>
              <w:pStyle w:val="TableParagraph"/>
              <w:spacing w:before="123"/>
              <w:ind w:left="107" w:right="100"/>
              <w:jc w:val="center"/>
              <w:rPr>
                <w:sz w:val="22"/>
              </w:rPr>
            </w:pPr>
            <w:r>
              <w:rPr>
                <w:sz w:val="22"/>
              </w:rPr>
              <w:t>PY</w:t>
            </w:r>
            <w:r>
              <w:rPr>
                <w:spacing w:val="-2"/>
                <w:sz w:val="22"/>
              </w:rPr>
              <w:t> </w:t>
            </w:r>
            <w:r>
              <w:rPr>
                <w:spacing w:val="-10"/>
                <w:sz w:val="22"/>
              </w:rPr>
              <w:t>2</w:t>
            </w:r>
          </w:p>
        </w:tc>
        <w:tc>
          <w:tcPr>
            <w:tcW w:w="1169" w:type="dxa"/>
          </w:tcPr>
          <w:p>
            <w:pPr>
              <w:pStyle w:val="TableParagraph"/>
              <w:spacing w:before="123"/>
              <w:ind w:left="107" w:right="100"/>
              <w:jc w:val="center"/>
              <w:rPr>
                <w:sz w:val="22"/>
              </w:rPr>
            </w:pPr>
            <w:r>
              <w:rPr>
                <w:sz w:val="22"/>
              </w:rPr>
              <w:t>PY</w:t>
            </w:r>
            <w:r>
              <w:rPr>
                <w:spacing w:val="-2"/>
                <w:sz w:val="22"/>
              </w:rPr>
              <w:t> </w:t>
            </w:r>
            <w:r>
              <w:rPr>
                <w:spacing w:val="-10"/>
                <w:sz w:val="22"/>
              </w:rPr>
              <w:t>3</w:t>
            </w:r>
          </w:p>
        </w:tc>
        <w:tc>
          <w:tcPr>
            <w:tcW w:w="1260" w:type="dxa"/>
          </w:tcPr>
          <w:p>
            <w:pPr>
              <w:pStyle w:val="TableParagraph"/>
              <w:spacing w:before="123"/>
              <w:ind w:left="133" w:right="126"/>
              <w:jc w:val="center"/>
              <w:rPr>
                <w:sz w:val="22"/>
              </w:rPr>
            </w:pPr>
            <w:r>
              <w:rPr>
                <w:sz w:val="22"/>
              </w:rPr>
              <w:t>PY</w:t>
            </w:r>
            <w:r>
              <w:rPr>
                <w:spacing w:val="-2"/>
                <w:sz w:val="22"/>
              </w:rPr>
              <w:t> </w:t>
            </w:r>
            <w:r>
              <w:rPr>
                <w:spacing w:val="-10"/>
                <w:sz w:val="22"/>
              </w:rPr>
              <w:t>4</w:t>
            </w:r>
          </w:p>
        </w:tc>
        <w:tc>
          <w:tcPr>
            <w:tcW w:w="1262" w:type="dxa"/>
          </w:tcPr>
          <w:p>
            <w:pPr>
              <w:pStyle w:val="TableParagraph"/>
              <w:spacing w:before="123"/>
              <w:ind w:left="156" w:right="146"/>
              <w:jc w:val="center"/>
              <w:rPr>
                <w:sz w:val="22"/>
              </w:rPr>
            </w:pPr>
            <w:r>
              <w:rPr>
                <w:sz w:val="22"/>
              </w:rPr>
              <w:t>PY</w:t>
            </w:r>
            <w:r>
              <w:rPr>
                <w:spacing w:val="-2"/>
                <w:sz w:val="22"/>
              </w:rPr>
              <w:t> </w:t>
            </w:r>
            <w:r>
              <w:rPr>
                <w:spacing w:val="-10"/>
                <w:sz w:val="22"/>
              </w:rPr>
              <w:t>5</w:t>
            </w:r>
          </w:p>
        </w:tc>
      </w:tr>
    </w:tbl>
    <w:p>
      <w:pPr>
        <w:pStyle w:val="BodyText"/>
        <w:rPr>
          <w:sz w:val="20"/>
        </w:rPr>
      </w:pPr>
    </w:p>
    <w:p>
      <w:pPr>
        <w:pStyle w:val="BodyText"/>
        <w:spacing w:before="3"/>
        <w:rPr>
          <w:sz w:val="23"/>
        </w:rPr>
      </w:pPr>
    </w:p>
    <w:p>
      <w:pPr>
        <w:pStyle w:val="BodyText"/>
        <w:ind w:left="1411" w:right="1086"/>
      </w:pPr>
      <w:r>
        <w:rPr/>
        <w:drawing>
          <wp:anchor distT="0" distB="0" distL="0" distR="0" allowOverlap="1" layoutInCell="1" locked="0" behindDoc="0" simplePos="0" relativeHeight="15971840">
            <wp:simplePos x="0" y="0"/>
            <wp:positionH relativeFrom="page">
              <wp:posOffset>1424939</wp:posOffset>
            </wp:positionH>
            <wp:positionV relativeFrom="paragraph">
              <wp:posOffset>32551</wp:posOffset>
            </wp:positionV>
            <wp:extent cx="111251" cy="115823"/>
            <wp:effectExtent l="0" t="0" r="0" b="0"/>
            <wp:wrapNone/>
            <wp:docPr id="486" name="Image 486"/>
            <wp:cNvGraphicFramePr>
              <a:graphicFrameLocks/>
            </wp:cNvGraphicFramePr>
            <a:graphic>
              <a:graphicData uri="http://schemas.openxmlformats.org/drawingml/2006/picture">
                <pic:pic>
                  <pic:nvPicPr>
                    <pic:cNvPr id="486" name="Image 486"/>
                    <pic:cNvPicPr/>
                  </pic:nvPicPr>
                  <pic:blipFill>
                    <a:blip r:embed="rId34" cstate="print"/>
                    <a:stretch>
                      <a:fillRect/>
                    </a:stretch>
                  </pic:blipFill>
                  <pic:spPr>
                    <a:xfrm>
                      <a:off x="0" y="0"/>
                      <a:ext cx="111251" cy="115823"/>
                    </a:xfrm>
                    <a:prstGeom prst="rect">
                      <a:avLst/>
                    </a:prstGeom>
                  </pic:spPr>
                </pic:pic>
              </a:graphicData>
            </a:graphic>
          </wp:anchor>
        </w:drawing>
      </w:r>
      <w:bookmarkStart w:name="b. Participating hospital performance is" w:id="756"/>
      <w:bookmarkEnd w:id="756"/>
      <w:r>
        <w:rPr/>
      </w:r>
      <w:r>
        <w:rPr/>
        <w:t>Participating hospital performance is assessed individually by hospital and by domain and measure to determine whether the hospital has met the established targets for incentive payments.</w:t>
      </w:r>
      <w:r>
        <w:rPr>
          <w:spacing w:val="40"/>
        </w:rPr>
        <w:t> </w:t>
      </w:r>
      <w:r>
        <w:rPr/>
        <w:t>Each participating hospital must receive a domain- specific</w:t>
      </w:r>
      <w:r>
        <w:rPr>
          <w:spacing w:val="-4"/>
        </w:rPr>
        <w:t> </w:t>
      </w:r>
      <w:r>
        <w:rPr/>
        <w:t>score,</w:t>
      </w:r>
      <w:r>
        <w:rPr>
          <w:spacing w:val="-4"/>
        </w:rPr>
        <w:t> </w:t>
      </w:r>
      <w:r>
        <w:rPr/>
        <w:t>which</w:t>
      </w:r>
      <w:r>
        <w:rPr>
          <w:spacing w:val="-2"/>
        </w:rPr>
        <w:t> </w:t>
      </w:r>
      <w:r>
        <w:rPr/>
        <w:t>are</w:t>
      </w:r>
      <w:r>
        <w:rPr>
          <w:spacing w:val="-3"/>
        </w:rPr>
        <w:t> </w:t>
      </w:r>
      <w:r>
        <w:rPr/>
        <w:t>then</w:t>
      </w:r>
      <w:r>
        <w:rPr>
          <w:spacing w:val="-4"/>
        </w:rPr>
        <w:t> </w:t>
      </w:r>
      <w:r>
        <w:rPr/>
        <w:t>weighted</w:t>
      </w:r>
      <w:r>
        <w:rPr>
          <w:spacing w:val="-4"/>
        </w:rPr>
        <w:t> </w:t>
      </w:r>
      <w:r>
        <w:rPr/>
        <w:t>according</w:t>
      </w:r>
      <w:r>
        <w:rPr>
          <w:spacing w:val="-4"/>
        </w:rPr>
        <w:t> </w:t>
      </w:r>
      <w:r>
        <w:rPr/>
        <w:t>to</w:t>
      </w:r>
      <w:r>
        <w:rPr>
          <w:spacing w:val="-4"/>
        </w:rPr>
        <w:t> </w:t>
      </w:r>
      <w:r>
        <w:rPr/>
        <w:t>the</w:t>
      </w:r>
      <w:r>
        <w:rPr>
          <w:spacing w:val="-4"/>
        </w:rPr>
        <w:t> </w:t>
      </w:r>
      <w:r>
        <w:rPr/>
        <w:t>methodology</w:t>
      </w:r>
      <w:r>
        <w:rPr>
          <w:spacing w:val="-8"/>
        </w:rPr>
        <w:t> </w:t>
      </w:r>
      <w:r>
        <w:rPr/>
        <w:t>that</w:t>
      </w:r>
      <w:r>
        <w:rPr>
          <w:spacing w:val="-4"/>
        </w:rPr>
        <w:t> </w:t>
      </w:r>
      <w:r>
        <w:rPr/>
        <w:t>is</w:t>
      </w:r>
      <w:r>
        <w:rPr>
          <w:spacing w:val="-4"/>
        </w:rPr>
        <w:t> </w:t>
      </w:r>
      <w:r>
        <w:rPr/>
        <w:t>defined in the Implementation Plan. The aggregate score will be used to calculate the participating hospital’s earned incentive payment.</w:t>
      </w:r>
    </w:p>
    <w:p>
      <w:pPr>
        <w:pStyle w:val="BodyText"/>
        <w:spacing w:before="10"/>
        <w:rPr>
          <w:sz w:val="20"/>
        </w:rPr>
      </w:pPr>
    </w:p>
    <w:p>
      <w:pPr>
        <w:pStyle w:val="BodyText"/>
        <w:ind w:left="1411" w:right="1117"/>
      </w:pPr>
      <w:r>
        <w:rPr/>
        <w:drawing>
          <wp:anchor distT="0" distB="0" distL="0" distR="0" allowOverlap="1" layoutInCell="1" locked="0" behindDoc="0" simplePos="0" relativeHeight="15972352">
            <wp:simplePos x="0" y="0"/>
            <wp:positionH relativeFrom="page">
              <wp:posOffset>1431036</wp:posOffset>
            </wp:positionH>
            <wp:positionV relativeFrom="paragraph">
              <wp:posOffset>67603</wp:posOffset>
            </wp:positionV>
            <wp:extent cx="96011" cy="80771"/>
            <wp:effectExtent l="0" t="0" r="0" b="0"/>
            <wp:wrapNone/>
            <wp:docPr id="487" name="Image 487"/>
            <wp:cNvGraphicFramePr>
              <a:graphicFrameLocks/>
            </wp:cNvGraphicFramePr>
            <a:graphic>
              <a:graphicData uri="http://schemas.openxmlformats.org/drawingml/2006/picture">
                <pic:pic>
                  <pic:nvPicPr>
                    <pic:cNvPr id="487" name="Image 487"/>
                    <pic:cNvPicPr/>
                  </pic:nvPicPr>
                  <pic:blipFill>
                    <a:blip r:embed="rId35" cstate="print"/>
                    <a:stretch>
                      <a:fillRect/>
                    </a:stretch>
                  </pic:blipFill>
                  <pic:spPr>
                    <a:xfrm>
                      <a:off x="0" y="0"/>
                      <a:ext cx="96011" cy="80771"/>
                    </a:xfrm>
                    <a:prstGeom prst="rect">
                      <a:avLst/>
                    </a:prstGeom>
                  </pic:spPr>
                </pic:pic>
              </a:graphicData>
            </a:graphic>
          </wp:anchor>
        </w:drawing>
      </w:r>
      <w:bookmarkStart w:name="c. Unearned payments to participating ho" w:id="757"/>
      <w:bookmarkEnd w:id="757"/>
      <w:r>
        <w:rPr/>
      </w:r>
      <w:r>
        <w:rPr/>
        <w:t>Unearned payments to participating hospitals and expenditure limit reductions for the Commonwealth are forfeited and cannot be earned back in subsequent demonstration years. However, an earned incentive payment based on one performance year may be paid in a subsequent performance year against the expenditure</w:t>
      </w:r>
      <w:r>
        <w:rPr>
          <w:spacing w:val="-5"/>
        </w:rPr>
        <w:t> </w:t>
      </w:r>
      <w:r>
        <w:rPr/>
        <w:t>limit</w:t>
      </w:r>
      <w:r>
        <w:rPr>
          <w:spacing w:val="-4"/>
        </w:rPr>
        <w:t> </w:t>
      </w:r>
      <w:r>
        <w:rPr/>
        <w:t>for</w:t>
      </w:r>
      <w:r>
        <w:rPr>
          <w:spacing w:val="-5"/>
        </w:rPr>
        <w:t> </w:t>
      </w:r>
      <w:r>
        <w:rPr/>
        <w:t>the</w:t>
      </w:r>
      <w:r>
        <w:rPr>
          <w:spacing w:val="-5"/>
        </w:rPr>
        <w:t> </w:t>
      </w:r>
      <w:r>
        <w:rPr/>
        <w:t>performance</w:t>
      </w:r>
      <w:r>
        <w:rPr>
          <w:spacing w:val="-1"/>
        </w:rPr>
        <w:t> </w:t>
      </w:r>
      <w:r>
        <w:rPr/>
        <w:t>year</w:t>
      </w:r>
      <w:r>
        <w:rPr>
          <w:spacing w:val="-5"/>
        </w:rPr>
        <w:t> </w:t>
      </w:r>
      <w:r>
        <w:rPr/>
        <w:t>on</w:t>
      </w:r>
      <w:r>
        <w:rPr>
          <w:spacing w:val="-2"/>
        </w:rPr>
        <w:t> </w:t>
      </w:r>
      <w:r>
        <w:rPr/>
        <w:t>which</w:t>
      </w:r>
      <w:r>
        <w:rPr>
          <w:spacing w:val="-4"/>
        </w:rPr>
        <w:t> </w:t>
      </w:r>
      <w:r>
        <w:rPr/>
        <w:t>the</w:t>
      </w:r>
      <w:r>
        <w:rPr>
          <w:spacing w:val="-5"/>
        </w:rPr>
        <w:t> </w:t>
      </w:r>
      <w:r>
        <w:rPr/>
        <w:t>incentive</w:t>
      </w:r>
      <w:r>
        <w:rPr>
          <w:spacing w:val="-5"/>
        </w:rPr>
        <w:t> </w:t>
      </w:r>
      <w:r>
        <w:rPr/>
        <w:t>payment</w:t>
      </w:r>
      <w:r>
        <w:rPr>
          <w:spacing w:val="-4"/>
        </w:rPr>
        <w:t> </w:t>
      </w:r>
      <w:r>
        <w:rPr/>
        <w:t>is</w:t>
      </w:r>
      <w:r>
        <w:rPr>
          <w:spacing w:val="-4"/>
        </w:rPr>
        <w:t> </w:t>
      </w:r>
      <w:r>
        <w:rPr/>
        <w:t>based, as necessary pursuant to following operational processes to determine the final earned incentive payment amount.</w:t>
      </w:r>
    </w:p>
    <w:p>
      <w:pPr>
        <w:pStyle w:val="BodyText"/>
        <w:spacing w:before="8"/>
        <w:rPr>
          <w:sz w:val="20"/>
        </w:rPr>
      </w:pPr>
    </w:p>
    <w:p>
      <w:pPr>
        <w:pStyle w:val="BodyText"/>
        <w:ind w:left="871" w:right="1041"/>
      </w:pPr>
      <w:r>
        <w:rPr/>
        <w:drawing>
          <wp:anchor distT="0" distB="0" distL="0" distR="0" allowOverlap="1" layoutInCell="1" locked="0" behindDoc="0" simplePos="0" relativeHeight="15972864">
            <wp:simplePos x="0" y="0"/>
            <wp:positionH relativeFrom="page">
              <wp:posOffset>832103</wp:posOffset>
            </wp:positionH>
            <wp:positionV relativeFrom="paragraph">
              <wp:posOffset>35612</wp:posOffset>
            </wp:positionV>
            <wp:extent cx="359663" cy="112763"/>
            <wp:effectExtent l="0" t="0" r="0" b="0"/>
            <wp:wrapNone/>
            <wp:docPr id="488" name="Image 488"/>
            <wp:cNvGraphicFramePr>
              <a:graphicFrameLocks/>
            </wp:cNvGraphicFramePr>
            <a:graphic>
              <a:graphicData uri="http://schemas.openxmlformats.org/drawingml/2006/picture">
                <pic:pic>
                  <pic:nvPicPr>
                    <pic:cNvPr id="488" name="Image 488"/>
                    <pic:cNvPicPr/>
                  </pic:nvPicPr>
                  <pic:blipFill>
                    <a:blip r:embed="rId211" cstate="print"/>
                    <a:stretch>
                      <a:fillRect/>
                    </a:stretch>
                  </pic:blipFill>
                  <pic:spPr>
                    <a:xfrm>
                      <a:off x="0" y="0"/>
                      <a:ext cx="359663" cy="112763"/>
                    </a:xfrm>
                    <a:prstGeom prst="rect">
                      <a:avLst/>
                    </a:prstGeom>
                  </pic:spPr>
                </pic:pic>
              </a:graphicData>
            </a:graphic>
          </wp:anchor>
        </w:drawing>
      </w:r>
      <w:bookmarkStart w:name="14.10. CMS Health Equity Measure Slate a" w:id="758"/>
      <w:bookmarkEnd w:id="758"/>
      <w:r>
        <w:rPr/>
      </w:r>
      <w:r>
        <w:rPr>
          <w:b/>
        </w:rPr>
        <w:t>CMS Health Equity Measure Slate and Statewide Accountability. </w:t>
      </w:r>
      <w:r>
        <w:rPr/>
        <w:t>MassHealth will incorporate</w:t>
      </w:r>
      <w:r>
        <w:rPr>
          <w:spacing w:val="-3"/>
        </w:rPr>
        <w:t> </w:t>
      </w:r>
      <w:r>
        <w:rPr/>
        <w:t>into</w:t>
      </w:r>
      <w:r>
        <w:rPr>
          <w:spacing w:val="-2"/>
        </w:rPr>
        <w:t> </w:t>
      </w:r>
      <w:r>
        <w:rPr/>
        <w:t>demonstration</w:t>
      </w:r>
      <w:r>
        <w:rPr>
          <w:spacing w:val="-2"/>
        </w:rPr>
        <w:t> </w:t>
      </w:r>
      <w:r>
        <w:rPr/>
        <w:t>monitoring</w:t>
      </w:r>
      <w:r>
        <w:rPr>
          <w:spacing w:val="-5"/>
        </w:rPr>
        <w:t> </w:t>
      </w:r>
      <w:r>
        <w:rPr/>
        <w:t>a</w:t>
      </w:r>
      <w:r>
        <w:rPr>
          <w:spacing w:val="-3"/>
        </w:rPr>
        <w:t> </w:t>
      </w:r>
      <w:r>
        <w:rPr/>
        <w:t>selection</w:t>
      </w:r>
      <w:r>
        <w:rPr>
          <w:spacing w:val="-2"/>
        </w:rPr>
        <w:t> </w:t>
      </w:r>
      <w:r>
        <w:rPr/>
        <w:t>of</w:t>
      </w:r>
      <w:r>
        <w:rPr>
          <w:spacing w:val="-3"/>
        </w:rPr>
        <w:t> </w:t>
      </w:r>
      <w:r>
        <w:rPr/>
        <w:t>metrics</w:t>
      </w:r>
      <w:r>
        <w:rPr>
          <w:spacing w:val="-2"/>
        </w:rPr>
        <w:t> </w:t>
      </w:r>
      <w:r>
        <w:rPr/>
        <w:t>agreed</w:t>
      </w:r>
      <w:r>
        <w:rPr>
          <w:spacing w:val="-2"/>
        </w:rPr>
        <w:t> </w:t>
      </w:r>
      <w:r>
        <w:rPr/>
        <w:t>upon</w:t>
      </w:r>
      <w:r>
        <w:rPr>
          <w:spacing w:val="-2"/>
        </w:rPr>
        <w:t> </w:t>
      </w:r>
      <w:r>
        <w:rPr/>
        <w:t>by</w:t>
      </w:r>
      <w:r>
        <w:rPr>
          <w:spacing w:val="-7"/>
        </w:rPr>
        <w:t> </w:t>
      </w:r>
      <w:r>
        <w:rPr/>
        <w:t>CMS</w:t>
      </w:r>
      <w:r>
        <w:rPr>
          <w:spacing w:val="-2"/>
        </w:rPr>
        <w:t> </w:t>
      </w:r>
      <w:r>
        <w:rPr/>
        <w:t>and the</w:t>
      </w:r>
      <w:r>
        <w:rPr>
          <w:spacing w:val="-4"/>
        </w:rPr>
        <w:t> </w:t>
      </w:r>
      <w:r>
        <w:rPr/>
        <w:t>Commonwealth</w:t>
      </w:r>
      <w:r>
        <w:rPr>
          <w:spacing w:val="-3"/>
        </w:rPr>
        <w:t> </w:t>
      </w:r>
      <w:r>
        <w:rPr/>
        <w:t>from</w:t>
      </w:r>
      <w:r>
        <w:rPr>
          <w:spacing w:val="-3"/>
        </w:rPr>
        <w:t> </w:t>
      </w:r>
      <w:r>
        <w:rPr/>
        <w:t>the</w:t>
      </w:r>
      <w:r>
        <w:rPr>
          <w:spacing w:val="-4"/>
        </w:rPr>
        <w:t> </w:t>
      </w:r>
      <w:r>
        <w:rPr/>
        <w:t>draft</w:t>
      </w:r>
      <w:r>
        <w:rPr>
          <w:spacing w:val="-3"/>
        </w:rPr>
        <w:t> </w:t>
      </w:r>
      <w:r>
        <w:rPr/>
        <w:t>CMS</w:t>
      </w:r>
      <w:r>
        <w:rPr>
          <w:spacing w:val="-3"/>
        </w:rPr>
        <w:t> </w:t>
      </w:r>
      <w:r>
        <w:rPr/>
        <w:t>Health</w:t>
      </w:r>
      <w:r>
        <w:rPr>
          <w:spacing w:val="-3"/>
        </w:rPr>
        <w:t> </w:t>
      </w:r>
      <w:r>
        <w:rPr/>
        <w:t>Equity</w:t>
      </w:r>
      <w:r>
        <w:rPr>
          <w:spacing w:val="-8"/>
        </w:rPr>
        <w:t> </w:t>
      </w:r>
      <w:r>
        <w:rPr/>
        <w:t>Measure</w:t>
      </w:r>
      <w:r>
        <w:rPr>
          <w:spacing w:val="-4"/>
        </w:rPr>
        <w:t> </w:t>
      </w:r>
      <w:r>
        <w:rPr/>
        <w:t>Slate</w:t>
      </w:r>
      <w:r>
        <w:rPr>
          <w:spacing w:val="-4"/>
        </w:rPr>
        <w:t> </w:t>
      </w:r>
      <w:r>
        <w:rPr/>
        <w:t>for</w:t>
      </w:r>
      <w:r>
        <w:rPr>
          <w:spacing w:val="-2"/>
        </w:rPr>
        <w:t> </w:t>
      </w:r>
      <w:r>
        <w:rPr/>
        <w:t>DY27/DY28</w:t>
      </w:r>
      <w:r>
        <w:rPr>
          <w:spacing w:val="-3"/>
        </w:rPr>
        <w:t> </w:t>
      </w:r>
      <w:r>
        <w:rPr/>
        <w:t>and the final CMS’s Health Equity Measure Slate upon its release, anticipated within 2023.</w:t>
      </w:r>
    </w:p>
    <w:p>
      <w:pPr>
        <w:pStyle w:val="BodyText"/>
        <w:ind w:left="871" w:right="1062"/>
      </w:pPr>
      <w:r>
        <w:rPr/>
        <w:t>The Health Equity Measure Slate will reflect CMS priorities and align with other CMS initiatives.</w:t>
      </w:r>
      <w:r>
        <w:rPr>
          <w:spacing w:val="40"/>
        </w:rPr>
        <w:t> </w:t>
      </w:r>
      <w:r>
        <w:rPr/>
        <w:t>MassHealth will be required to include reporting on applicable measures included within the</w:t>
      </w:r>
      <w:r>
        <w:rPr>
          <w:spacing w:val="-1"/>
        </w:rPr>
        <w:t> </w:t>
      </w:r>
      <w:r>
        <w:rPr/>
        <w:t>CMS</w:t>
      </w:r>
      <w:r>
        <w:rPr>
          <w:spacing w:val="-2"/>
        </w:rPr>
        <w:t> </w:t>
      </w:r>
      <w:r>
        <w:rPr/>
        <w:t>Health Equity</w:t>
      </w:r>
      <w:r>
        <w:rPr>
          <w:spacing w:val="-5"/>
        </w:rPr>
        <w:t> </w:t>
      </w:r>
      <w:r>
        <w:rPr/>
        <w:t>Measure Slate, along</w:t>
      </w:r>
      <w:r>
        <w:rPr>
          <w:spacing w:val="-3"/>
        </w:rPr>
        <w:t> </w:t>
      </w:r>
      <w:r>
        <w:rPr/>
        <w:t>with the</w:t>
      </w:r>
      <w:r>
        <w:rPr>
          <w:spacing w:val="-1"/>
        </w:rPr>
        <w:t> </w:t>
      </w:r>
      <w:r>
        <w:rPr/>
        <w:t>reporting</w:t>
      </w:r>
      <w:r>
        <w:rPr>
          <w:spacing w:val="-3"/>
        </w:rPr>
        <w:t> </w:t>
      </w:r>
      <w:r>
        <w:rPr/>
        <w:t>otherwise discussed within these STCs.</w:t>
      </w:r>
      <w:r>
        <w:rPr>
          <w:spacing w:val="79"/>
        </w:rPr>
        <w:t> </w:t>
      </w:r>
      <w:r>
        <w:rPr/>
        <w:t>The Commonwealth and CMS will agree on at least seven of these measures to be introduced as part of statewide accountability calculations; the measures chosen should be chosen from across each priority area category as provided in STC 14.4(a).</w:t>
      </w:r>
      <w:r>
        <w:rPr>
          <w:spacing w:val="80"/>
        </w:rPr>
        <w:t> </w:t>
      </w:r>
      <w:r>
        <w:rPr/>
        <w:t>Measures from the CMS Health Equity Measure Slate will not be required to</w:t>
      </w:r>
      <w:r>
        <w:rPr>
          <w:spacing w:val="-3"/>
        </w:rPr>
        <w:t> </w:t>
      </w:r>
      <w:r>
        <w:rPr/>
        <w:t>be</w:t>
      </w:r>
      <w:r>
        <w:rPr>
          <w:spacing w:val="-4"/>
        </w:rPr>
        <w:t> </w:t>
      </w:r>
      <w:r>
        <w:rPr/>
        <w:t>implemented</w:t>
      </w:r>
      <w:r>
        <w:rPr>
          <w:spacing w:val="-3"/>
        </w:rPr>
        <w:t> </w:t>
      </w:r>
      <w:r>
        <w:rPr/>
        <w:t>as</w:t>
      </w:r>
      <w:r>
        <w:rPr>
          <w:spacing w:val="-3"/>
        </w:rPr>
        <w:t> </w:t>
      </w:r>
      <w:r>
        <w:rPr/>
        <w:t>part</w:t>
      </w:r>
      <w:r>
        <w:rPr>
          <w:spacing w:val="-3"/>
        </w:rPr>
        <w:t> </w:t>
      </w:r>
      <w:r>
        <w:rPr/>
        <w:t>of</w:t>
      </w:r>
      <w:r>
        <w:rPr>
          <w:spacing w:val="-4"/>
        </w:rPr>
        <w:t> </w:t>
      </w:r>
      <w:r>
        <w:rPr/>
        <w:t>hospital</w:t>
      </w:r>
      <w:r>
        <w:rPr>
          <w:spacing w:val="-3"/>
        </w:rPr>
        <w:t> </w:t>
      </w:r>
      <w:r>
        <w:rPr/>
        <w:t>accountability</w:t>
      </w:r>
      <w:r>
        <w:rPr>
          <w:spacing w:val="-6"/>
        </w:rPr>
        <w:t> </w:t>
      </w:r>
      <w:r>
        <w:rPr/>
        <w:t>(i.e.,</w:t>
      </w:r>
      <w:r>
        <w:rPr>
          <w:spacing w:val="-3"/>
        </w:rPr>
        <w:t> </w:t>
      </w:r>
      <w:r>
        <w:rPr/>
        <w:t>three</w:t>
      </w:r>
      <w:r>
        <w:rPr>
          <w:spacing w:val="-4"/>
        </w:rPr>
        <w:t> </w:t>
      </w:r>
      <w:r>
        <w:rPr/>
        <w:t>domains</w:t>
      </w:r>
      <w:r>
        <w:rPr>
          <w:spacing w:val="-3"/>
        </w:rPr>
        <w:t> </w:t>
      </w:r>
      <w:r>
        <w:rPr/>
        <w:t>described</w:t>
      </w:r>
      <w:r>
        <w:rPr>
          <w:spacing w:val="-3"/>
        </w:rPr>
        <w:t> </w:t>
      </w:r>
      <w:r>
        <w:rPr/>
        <w:t>in</w:t>
      </w:r>
      <w:r>
        <w:rPr>
          <w:spacing w:val="-3"/>
        </w:rPr>
        <w:t> </w:t>
      </w:r>
      <w:r>
        <w:rPr/>
        <w:t>STCs </w:t>
      </w:r>
      <w:r>
        <w:rPr>
          <w:spacing w:val="-2"/>
        </w:rPr>
        <w:t>14.2-14.5).</w:t>
      </w:r>
    </w:p>
    <w:p>
      <w:pPr>
        <w:pStyle w:val="BodyText"/>
        <w:spacing w:before="10"/>
        <w:rPr>
          <w:sz w:val="20"/>
        </w:rPr>
      </w:pPr>
    </w:p>
    <w:p>
      <w:pPr>
        <w:pStyle w:val="BodyText"/>
        <w:ind w:left="871" w:right="1117"/>
      </w:pPr>
      <w:r>
        <w:rPr/>
        <w:drawing>
          <wp:anchor distT="0" distB="0" distL="0" distR="0" allowOverlap="1" layoutInCell="1" locked="0" behindDoc="0" simplePos="0" relativeHeight="15973376">
            <wp:simplePos x="0" y="0"/>
            <wp:positionH relativeFrom="page">
              <wp:posOffset>832103</wp:posOffset>
            </wp:positionH>
            <wp:positionV relativeFrom="paragraph">
              <wp:posOffset>35599</wp:posOffset>
            </wp:positionV>
            <wp:extent cx="359663" cy="112775"/>
            <wp:effectExtent l="0" t="0" r="0" b="0"/>
            <wp:wrapNone/>
            <wp:docPr id="489" name="Image 489"/>
            <wp:cNvGraphicFramePr>
              <a:graphicFrameLocks/>
            </wp:cNvGraphicFramePr>
            <a:graphic>
              <a:graphicData uri="http://schemas.openxmlformats.org/drawingml/2006/picture">
                <pic:pic>
                  <pic:nvPicPr>
                    <pic:cNvPr id="489" name="Image 489"/>
                    <pic:cNvPicPr/>
                  </pic:nvPicPr>
                  <pic:blipFill>
                    <a:blip r:embed="rId212" cstate="print"/>
                    <a:stretch>
                      <a:fillRect/>
                    </a:stretch>
                  </pic:blipFill>
                  <pic:spPr>
                    <a:xfrm>
                      <a:off x="0" y="0"/>
                      <a:ext cx="359663" cy="112775"/>
                    </a:xfrm>
                    <a:prstGeom prst="rect">
                      <a:avLst/>
                    </a:prstGeom>
                  </pic:spPr>
                </pic:pic>
              </a:graphicData>
            </a:graphic>
          </wp:anchor>
        </w:drawing>
      </w:r>
      <w:bookmarkStart w:name="14.11. Limitations on Interventions. The" w:id="759"/>
      <w:bookmarkEnd w:id="759"/>
      <w:r>
        <w:rPr/>
      </w:r>
      <w:r>
        <w:rPr>
          <w:b/>
        </w:rPr>
        <w:t>Limitations on Interventions. </w:t>
      </w:r>
      <w:r>
        <w:rPr/>
        <w:t>The Commonwealth must ensure that the Commonwealth and its participating hospitals implement clinically appropriate interventions that are broadly accessible irrespective of race, ethnicity, national origin, religion, sex, or gender; and the Commonwealth shall ensure interventions are delivered in a culturally and linguistically competent manner.</w:t>
      </w:r>
      <w:r>
        <w:rPr>
          <w:spacing w:val="40"/>
        </w:rPr>
        <w:t> </w:t>
      </w:r>
      <w:r>
        <w:rPr/>
        <w:t>Interventions may be based upon health status and health needs, geography, and other factors not listed in the previous sentence only as relevant to the specific measure (e.g., current or past pregnancy</w:t>
      </w:r>
      <w:r>
        <w:rPr>
          <w:spacing w:val="-3"/>
        </w:rPr>
        <w:t> </w:t>
      </w:r>
      <w:r>
        <w:rPr/>
        <w:t>status for maternal health measures).</w:t>
      </w:r>
      <w:r>
        <w:rPr>
          <w:spacing w:val="40"/>
        </w:rPr>
        <w:t> </w:t>
      </w:r>
      <w:r>
        <w:rPr/>
        <w:t>The</w:t>
      </w:r>
      <w:r>
        <w:rPr>
          <w:spacing w:val="-5"/>
        </w:rPr>
        <w:t> </w:t>
      </w:r>
      <w:r>
        <w:rPr/>
        <w:t>Commonwealth</w:t>
      </w:r>
      <w:r>
        <w:rPr>
          <w:spacing w:val="-5"/>
        </w:rPr>
        <w:t> </w:t>
      </w:r>
      <w:r>
        <w:rPr/>
        <w:t>must</w:t>
      </w:r>
      <w:r>
        <w:rPr>
          <w:spacing w:val="-5"/>
        </w:rPr>
        <w:t> </w:t>
      </w:r>
      <w:r>
        <w:rPr/>
        <w:t>ensure</w:t>
      </w:r>
      <w:r>
        <w:rPr>
          <w:spacing w:val="-5"/>
        </w:rPr>
        <w:t> </w:t>
      </w:r>
      <w:r>
        <w:rPr/>
        <w:t>compliance</w:t>
      </w:r>
      <w:r>
        <w:rPr>
          <w:spacing w:val="-5"/>
        </w:rPr>
        <w:t> </w:t>
      </w:r>
      <w:r>
        <w:rPr/>
        <w:t>with</w:t>
      </w:r>
      <w:r>
        <w:rPr>
          <w:spacing w:val="-5"/>
        </w:rPr>
        <w:t> </w:t>
      </w:r>
      <w:r>
        <w:rPr/>
        <w:t>Federal</w:t>
      </w:r>
      <w:r>
        <w:rPr>
          <w:spacing w:val="-5"/>
        </w:rPr>
        <w:t> </w:t>
      </w:r>
      <w:r>
        <w:rPr/>
        <w:t>anti-discrimination statutes consistent with STC 3.1.</w:t>
      </w:r>
    </w:p>
    <w:p>
      <w:pPr>
        <w:spacing w:after="0"/>
        <w:sectPr>
          <w:pgSz w:w="12240" w:h="15840"/>
          <w:pgMar w:header="0" w:footer="1201" w:top="1420" w:bottom="1400" w:left="1200" w:right="400"/>
        </w:sectPr>
      </w:pPr>
    </w:p>
    <w:p>
      <w:pPr>
        <w:pStyle w:val="BodyText"/>
        <w:spacing w:before="79"/>
        <w:ind w:left="871" w:right="1059"/>
      </w:pPr>
      <w:r>
        <w:rPr/>
        <w:drawing>
          <wp:anchor distT="0" distB="0" distL="0" distR="0" allowOverlap="1" layoutInCell="1" locked="0" behindDoc="0" simplePos="0" relativeHeight="15973888">
            <wp:simplePos x="0" y="0"/>
            <wp:positionH relativeFrom="page">
              <wp:posOffset>832103</wp:posOffset>
            </wp:positionH>
            <wp:positionV relativeFrom="paragraph">
              <wp:posOffset>85777</wp:posOffset>
            </wp:positionV>
            <wp:extent cx="359663" cy="112763"/>
            <wp:effectExtent l="0" t="0" r="0" b="0"/>
            <wp:wrapNone/>
            <wp:docPr id="490" name="Image 490"/>
            <wp:cNvGraphicFramePr>
              <a:graphicFrameLocks/>
            </wp:cNvGraphicFramePr>
            <a:graphic>
              <a:graphicData uri="http://schemas.openxmlformats.org/drawingml/2006/picture">
                <pic:pic>
                  <pic:nvPicPr>
                    <pic:cNvPr id="490" name="Image 490"/>
                    <pic:cNvPicPr/>
                  </pic:nvPicPr>
                  <pic:blipFill>
                    <a:blip r:embed="rId213" cstate="print"/>
                    <a:stretch>
                      <a:fillRect/>
                    </a:stretch>
                  </pic:blipFill>
                  <pic:spPr>
                    <a:xfrm>
                      <a:off x="0" y="0"/>
                      <a:ext cx="359663" cy="112763"/>
                    </a:xfrm>
                    <a:prstGeom prst="rect">
                      <a:avLst/>
                    </a:prstGeom>
                  </pic:spPr>
                </pic:pic>
              </a:graphicData>
            </a:graphic>
          </wp:anchor>
        </w:drawing>
      </w:r>
      <w:bookmarkStart w:name="14.12. State Oversight of Programs. The " w:id="760"/>
      <w:bookmarkEnd w:id="760"/>
      <w:r>
        <w:rPr/>
      </w:r>
      <w:r>
        <w:rPr>
          <w:b/>
        </w:rPr>
        <w:t>State Oversight of Programs. </w:t>
      </w:r>
      <w:r>
        <w:rPr/>
        <w:t>The Commonwealth must demonstrate ongoing performance</w:t>
      </w:r>
      <w:r>
        <w:rPr>
          <w:spacing w:val="-5"/>
        </w:rPr>
        <w:t> </w:t>
      </w:r>
      <w:r>
        <w:rPr/>
        <w:t>oversight</w:t>
      </w:r>
      <w:r>
        <w:rPr>
          <w:spacing w:val="-4"/>
        </w:rPr>
        <w:t> </w:t>
      </w:r>
      <w:r>
        <w:rPr/>
        <w:t>of</w:t>
      </w:r>
      <w:r>
        <w:rPr>
          <w:spacing w:val="-3"/>
        </w:rPr>
        <w:t> </w:t>
      </w:r>
      <w:r>
        <w:rPr/>
        <w:t>health</w:t>
      </w:r>
      <w:r>
        <w:rPr>
          <w:spacing w:val="-4"/>
        </w:rPr>
        <w:t> </w:t>
      </w:r>
      <w:r>
        <w:rPr/>
        <w:t>systems</w:t>
      </w:r>
      <w:r>
        <w:rPr>
          <w:spacing w:val="-4"/>
        </w:rPr>
        <w:t> </w:t>
      </w:r>
      <w:r>
        <w:rPr/>
        <w:t>and</w:t>
      </w:r>
      <w:r>
        <w:rPr>
          <w:spacing w:val="-4"/>
        </w:rPr>
        <w:t> </w:t>
      </w:r>
      <w:r>
        <w:rPr/>
        <w:t>participating</w:t>
      </w:r>
      <w:r>
        <w:rPr>
          <w:spacing w:val="-7"/>
        </w:rPr>
        <w:t> </w:t>
      </w:r>
      <w:r>
        <w:rPr/>
        <w:t>hospitals</w:t>
      </w:r>
      <w:r>
        <w:rPr>
          <w:spacing w:val="-4"/>
        </w:rPr>
        <w:t> </w:t>
      </w:r>
      <w:r>
        <w:rPr/>
        <w:t>receiving</w:t>
      </w:r>
      <w:r>
        <w:rPr>
          <w:spacing w:val="-7"/>
        </w:rPr>
        <w:t> </w:t>
      </w:r>
      <w:r>
        <w:rPr/>
        <w:t>the</w:t>
      </w:r>
      <w:r>
        <w:rPr>
          <w:spacing w:val="-5"/>
        </w:rPr>
        <w:t> </w:t>
      </w:r>
      <w:r>
        <w:rPr/>
        <w:t>Hospital Quality and Equity Initiative payments, including performance monitoring, a corrective action plan process, and a process for ensuring compliance with all applicable requirements, including those specified in STC 14.11. The Commonwealth is required to report findings from its performance assessments and any</w:t>
      </w:r>
      <w:r>
        <w:rPr>
          <w:spacing w:val="-2"/>
        </w:rPr>
        <w:t> </w:t>
      </w:r>
      <w:r>
        <w:rPr/>
        <w:t>corrective action plans to CMS in its Quarterly and Annual Monitoring Reports, per STC 16.5.</w:t>
      </w:r>
    </w:p>
    <w:p>
      <w:pPr>
        <w:pStyle w:val="BodyText"/>
        <w:spacing w:before="10"/>
        <w:rPr>
          <w:sz w:val="20"/>
        </w:rPr>
      </w:pPr>
    </w:p>
    <w:p>
      <w:pPr>
        <w:spacing w:before="0"/>
        <w:ind w:left="871" w:right="1166" w:firstLine="0"/>
        <w:jc w:val="both"/>
        <w:rPr>
          <w:sz w:val="24"/>
        </w:rPr>
      </w:pPr>
      <w:r>
        <w:rPr/>
        <w:drawing>
          <wp:anchor distT="0" distB="0" distL="0" distR="0" allowOverlap="1" layoutInCell="1" locked="0" behindDoc="0" simplePos="0" relativeHeight="15974400">
            <wp:simplePos x="0" y="0"/>
            <wp:positionH relativeFrom="page">
              <wp:posOffset>832103</wp:posOffset>
            </wp:positionH>
            <wp:positionV relativeFrom="paragraph">
              <wp:posOffset>35599</wp:posOffset>
            </wp:positionV>
            <wp:extent cx="359663" cy="112775"/>
            <wp:effectExtent l="0" t="0" r="0" b="0"/>
            <wp:wrapNone/>
            <wp:docPr id="491" name="Image 491"/>
            <wp:cNvGraphicFramePr>
              <a:graphicFrameLocks/>
            </wp:cNvGraphicFramePr>
            <a:graphic>
              <a:graphicData uri="http://schemas.openxmlformats.org/drawingml/2006/picture">
                <pic:pic>
                  <pic:nvPicPr>
                    <pic:cNvPr id="491" name="Image 491"/>
                    <pic:cNvPicPr/>
                  </pic:nvPicPr>
                  <pic:blipFill>
                    <a:blip r:embed="rId214" cstate="print"/>
                    <a:stretch>
                      <a:fillRect/>
                    </a:stretch>
                  </pic:blipFill>
                  <pic:spPr>
                    <a:xfrm>
                      <a:off x="0" y="0"/>
                      <a:ext cx="359663" cy="112775"/>
                    </a:xfrm>
                    <a:prstGeom prst="rect">
                      <a:avLst/>
                    </a:prstGeom>
                  </pic:spPr>
                </pic:pic>
              </a:graphicData>
            </a:graphic>
          </wp:anchor>
        </w:drawing>
      </w:r>
      <w:bookmarkStart w:name="14.13. Claiming processes for Hospital Q" w:id="761"/>
      <w:bookmarkEnd w:id="761"/>
      <w:r>
        <w:rPr/>
      </w:r>
      <w:r>
        <w:rPr>
          <w:b/>
          <w:sz w:val="24"/>
        </w:rPr>
        <w:t>Claiming</w:t>
      </w:r>
      <w:r>
        <w:rPr>
          <w:b/>
          <w:spacing w:val="-3"/>
          <w:sz w:val="24"/>
        </w:rPr>
        <w:t> </w:t>
      </w:r>
      <w:r>
        <w:rPr>
          <w:b/>
          <w:sz w:val="24"/>
        </w:rPr>
        <w:t>processes</w:t>
      </w:r>
      <w:r>
        <w:rPr>
          <w:b/>
          <w:spacing w:val="-3"/>
          <w:sz w:val="24"/>
        </w:rPr>
        <w:t> </w:t>
      </w:r>
      <w:r>
        <w:rPr>
          <w:b/>
          <w:sz w:val="24"/>
        </w:rPr>
        <w:t>for</w:t>
      </w:r>
      <w:r>
        <w:rPr>
          <w:b/>
          <w:spacing w:val="-4"/>
          <w:sz w:val="24"/>
        </w:rPr>
        <w:t> </w:t>
      </w:r>
      <w:r>
        <w:rPr>
          <w:b/>
          <w:sz w:val="24"/>
        </w:rPr>
        <w:t>Hospital</w:t>
      </w:r>
      <w:r>
        <w:rPr>
          <w:b/>
          <w:spacing w:val="-3"/>
          <w:sz w:val="24"/>
        </w:rPr>
        <w:t> </w:t>
      </w:r>
      <w:r>
        <w:rPr>
          <w:b/>
          <w:sz w:val="24"/>
        </w:rPr>
        <w:t>Quality</w:t>
      </w:r>
      <w:r>
        <w:rPr>
          <w:b/>
          <w:spacing w:val="-3"/>
          <w:sz w:val="24"/>
        </w:rPr>
        <w:t> </w:t>
      </w:r>
      <w:r>
        <w:rPr>
          <w:b/>
          <w:sz w:val="24"/>
        </w:rPr>
        <w:t>and</w:t>
      </w:r>
      <w:r>
        <w:rPr>
          <w:b/>
          <w:spacing w:val="-5"/>
          <w:sz w:val="24"/>
        </w:rPr>
        <w:t> </w:t>
      </w:r>
      <w:r>
        <w:rPr>
          <w:b/>
          <w:sz w:val="24"/>
        </w:rPr>
        <w:t>Equity</w:t>
      </w:r>
      <w:r>
        <w:rPr>
          <w:b/>
          <w:spacing w:val="-3"/>
          <w:sz w:val="24"/>
        </w:rPr>
        <w:t> </w:t>
      </w:r>
      <w:r>
        <w:rPr>
          <w:b/>
          <w:sz w:val="24"/>
        </w:rPr>
        <w:t>Initiative.</w:t>
      </w:r>
      <w:r>
        <w:rPr>
          <w:b/>
          <w:spacing w:val="-3"/>
          <w:sz w:val="24"/>
        </w:rPr>
        <w:t> </w:t>
      </w:r>
      <w:r>
        <w:rPr>
          <w:sz w:val="24"/>
        </w:rPr>
        <w:t>The</w:t>
      </w:r>
      <w:r>
        <w:rPr>
          <w:spacing w:val="-4"/>
          <w:sz w:val="24"/>
        </w:rPr>
        <w:t> </w:t>
      </w:r>
      <w:r>
        <w:rPr>
          <w:sz w:val="24"/>
        </w:rPr>
        <w:t>Commonwealth</w:t>
      </w:r>
      <w:r>
        <w:rPr>
          <w:spacing w:val="-3"/>
          <w:sz w:val="24"/>
        </w:rPr>
        <w:t> </w:t>
      </w:r>
      <w:r>
        <w:rPr>
          <w:sz w:val="24"/>
        </w:rPr>
        <w:t>is required</w:t>
      </w:r>
      <w:r>
        <w:rPr>
          <w:spacing w:val="-3"/>
          <w:sz w:val="24"/>
        </w:rPr>
        <w:t> </w:t>
      </w:r>
      <w:r>
        <w:rPr>
          <w:sz w:val="24"/>
        </w:rPr>
        <w:t>to</w:t>
      </w:r>
      <w:r>
        <w:rPr>
          <w:spacing w:val="-3"/>
          <w:sz w:val="24"/>
        </w:rPr>
        <w:t> </w:t>
      </w:r>
      <w:r>
        <w:rPr>
          <w:sz w:val="24"/>
        </w:rPr>
        <w:t>report</w:t>
      </w:r>
      <w:r>
        <w:rPr>
          <w:spacing w:val="-3"/>
          <w:sz w:val="24"/>
        </w:rPr>
        <w:t> </w:t>
      </w:r>
      <w:r>
        <w:rPr>
          <w:sz w:val="24"/>
        </w:rPr>
        <w:t>expenditures</w:t>
      </w:r>
      <w:r>
        <w:rPr>
          <w:spacing w:val="-3"/>
          <w:sz w:val="24"/>
        </w:rPr>
        <w:t> </w:t>
      </w:r>
      <w:r>
        <w:rPr>
          <w:sz w:val="24"/>
        </w:rPr>
        <w:t>for</w:t>
      </w:r>
      <w:r>
        <w:rPr>
          <w:spacing w:val="-4"/>
          <w:sz w:val="24"/>
        </w:rPr>
        <w:t> </w:t>
      </w:r>
      <w:r>
        <w:rPr>
          <w:sz w:val="24"/>
        </w:rPr>
        <w:t>the</w:t>
      </w:r>
      <w:r>
        <w:rPr>
          <w:spacing w:val="-4"/>
          <w:sz w:val="24"/>
        </w:rPr>
        <w:t> </w:t>
      </w:r>
      <w:r>
        <w:rPr>
          <w:sz w:val="24"/>
        </w:rPr>
        <w:t>program</w:t>
      </w:r>
      <w:r>
        <w:rPr>
          <w:spacing w:val="-3"/>
          <w:sz w:val="24"/>
        </w:rPr>
        <w:t> </w:t>
      </w:r>
      <w:r>
        <w:rPr>
          <w:sz w:val="24"/>
        </w:rPr>
        <w:t>on</w:t>
      </w:r>
      <w:r>
        <w:rPr>
          <w:spacing w:val="-1"/>
          <w:sz w:val="24"/>
        </w:rPr>
        <w:t> </w:t>
      </w:r>
      <w:r>
        <w:rPr>
          <w:sz w:val="24"/>
        </w:rPr>
        <w:t>the</w:t>
      </w:r>
      <w:r>
        <w:rPr>
          <w:spacing w:val="-4"/>
          <w:sz w:val="24"/>
        </w:rPr>
        <w:t> </w:t>
      </w:r>
      <w:r>
        <w:rPr>
          <w:sz w:val="24"/>
        </w:rPr>
        <w:t>CMS</w:t>
      </w:r>
      <w:r>
        <w:rPr>
          <w:spacing w:val="-3"/>
          <w:sz w:val="24"/>
        </w:rPr>
        <w:t> </w:t>
      </w:r>
      <w:r>
        <w:rPr>
          <w:sz w:val="24"/>
        </w:rPr>
        <w:t>64</w:t>
      </w:r>
      <w:r>
        <w:rPr>
          <w:spacing w:val="-3"/>
          <w:sz w:val="24"/>
        </w:rPr>
        <w:t> </w:t>
      </w:r>
      <w:r>
        <w:rPr>
          <w:sz w:val="24"/>
        </w:rPr>
        <w:t>as</w:t>
      </w:r>
      <w:r>
        <w:rPr>
          <w:spacing w:val="-3"/>
          <w:sz w:val="24"/>
        </w:rPr>
        <w:t> </w:t>
      </w:r>
      <w:r>
        <w:rPr>
          <w:sz w:val="24"/>
        </w:rPr>
        <w:t>prescribed</w:t>
      </w:r>
      <w:r>
        <w:rPr>
          <w:spacing w:val="-3"/>
          <w:sz w:val="24"/>
        </w:rPr>
        <w:t> </w:t>
      </w:r>
      <w:r>
        <w:rPr>
          <w:sz w:val="24"/>
        </w:rPr>
        <w:t>within</w:t>
      </w:r>
      <w:r>
        <w:rPr>
          <w:spacing w:val="-3"/>
          <w:sz w:val="24"/>
        </w:rPr>
        <w:t> </w:t>
      </w:r>
      <w:r>
        <w:rPr>
          <w:sz w:val="24"/>
        </w:rPr>
        <w:t>these STCs and follow applicable timely filing rules.</w:t>
      </w:r>
    </w:p>
    <w:p>
      <w:pPr>
        <w:pStyle w:val="BodyText"/>
        <w:spacing w:before="10"/>
        <w:rPr>
          <w:sz w:val="20"/>
        </w:rPr>
      </w:pPr>
    </w:p>
    <w:p>
      <w:pPr>
        <w:pStyle w:val="BodyText"/>
        <w:ind w:left="1411" w:right="1059"/>
      </w:pPr>
      <w:r>
        <w:rPr/>
        <w:drawing>
          <wp:anchor distT="0" distB="0" distL="0" distR="0" allowOverlap="1" layoutInCell="1" locked="0" behindDoc="0" simplePos="0" relativeHeight="15974912">
            <wp:simplePos x="0" y="0"/>
            <wp:positionH relativeFrom="page">
              <wp:posOffset>1431036</wp:posOffset>
            </wp:positionH>
            <wp:positionV relativeFrom="paragraph">
              <wp:posOffset>67616</wp:posOffset>
            </wp:positionV>
            <wp:extent cx="96011" cy="80759"/>
            <wp:effectExtent l="0" t="0" r="0" b="0"/>
            <wp:wrapNone/>
            <wp:docPr id="492" name="Image 492"/>
            <wp:cNvGraphicFramePr>
              <a:graphicFrameLocks/>
            </wp:cNvGraphicFramePr>
            <a:graphic>
              <a:graphicData uri="http://schemas.openxmlformats.org/drawingml/2006/picture">
                <pic:pic>
                  <pic:nvPicPr>
                    <pic:cNvPr id="492" name="Image 492"/>
                    <pic:cNvPicPr/>
                  </pic:nvPicPr>
                  <pic:blipFill>
                    <a:blip r:embed="rId29" cstate="print"/>
                    <a:stretch>
                      <a:fillRect/>
                    </a:stretch>
                  </pic:blipFill>
                  <pic:spPr>
                    <a:xfrm>
                      <a:off x="0" y="0"/>
                      <a:ext cx="96011" cy="80759"/>
                    </a:xfrm>
                    <a:prstGeom prst="rect">
                      <a:avLst/>
                    </a:prstGeom>
                  </pic:spPr>
                </pic:pic>
              </a:graphicData>
            </a:graphic>
          </wp:anchor>
        </w:drawing>
      </w:r>
      <w:bookmarkStart w:name="a. The Commonwealth will incur administr" w:id="762"/>
      <w:bookmarkEnd w:id="762"/>
      <w:r>
        <w:rPr/>
      </w:r>
      <w:r>
        <w:rPr/>
        <w:t>The</w:t>
      </w:r>
      <w:r>
        <w:rPr>
          <w:spacing w:val="-5"/>
        </w:rPr>
        <w:t> </w:t>
      </w:r>
      <w:r>
        <w:rPr/>
        <w:t>Commonwealth</w:t>
      </w:r>
      <w:r>
        <w:rPr>
          <w:spacing w:val="-4"/>
        </w:rPr>
        <w:t> </w:t>
      </w:r>
      <w:r>
        <w:rPr/>
        <w:t>will</w:t>
      </w:r>
      <w:r>
        <w:rPr>
          <w:spacing w:val="-4"/>
        </w:rPr>
        <w:t> </w:t>
      </w:r>
      <w:r>
        <w:rPr/>
        <w:t>incur</w:t>
      </w:r>
      <w:r>
        <w:rPr>
          <w:spacing w:val="-5"/>
        </w:rPr>
        <w:t> </w:t>
      </w:r>
      <w:r>
        <w:rPr/>
        <w:t>administrative</w:t>
      </w:r>
      <w:r>
        <w:rPr>
          <w:spacing w:val="-5"/>
        </w:rPr>
        <w:t> </w:t>
      </w:r>
      <w:r>
        <w:rPr/>
        <w:t>costs</w:t>
      </w:r>
      <w:r>
        <w:rPr>
          <w:spacing w:val="-4"/>
        </w:rPr>
        <w:t> </w:t>
      </w:r>
      <w:r>
        <w:rPr/>
        <w:t>related</w:t>
      </w:r>
      <w:r>
        <w:rPr>
          <w:spacing w:val="-4"/>
        </w:rPr>
        <w:t> </w:t>
      </w:r>
      <w:r>
        <w:rPr/>
        <w:t>to</w:t>
      </w:r>
      <w:r>
        <w:rPr>
          <w:spacing w:val="-4"/>
        </w:rPr>
        <w:t> </w:t>
      </w:r>
      <w:r>
        <w:rPr/>
        <w:t>implementing</w:t>
      </w:r>
      <w:r>
        <w:rPr>
          <w:spacing w:val="-4"/>
        </w:rPr>
        <w:t> </w:t>
      </w:r>
      <w:r>
        <w:rPr/>
        <w:t>and overseeing the Hospital Quality and Equity Initiative for the entirety of the demonstration period, but also related administrative</w:t>
      </w:r>
      <w:r>
        <w:rPr>
          <w:spacing w:val="-1"/>
        </w:rPr>
        <w:t> </w:t>
      </w:r>
      <w:r>
        <w:rPr/>
        <w:t>closeout costs that may</w:t>
      </w:r>
      <w:r>
        <w:rPr>
          <w:spacing w:val="-3"/>
        </w:rPr>
        <w:t> </w:t>
      </w:r>
      <w:r>
        <w:rPr/>
        <w:t>be claimed for up to two years following the conclusion of Performance Year 5.</w:t>
      </w:r>
    </w:p>
    <w:p>
      <w:pPr>
        <w:pStyle w:val="BodyText"/>
        <w:spacing w:before="10"/>
        <w:rPr>
          <w:sz w:val="20"/>
        </w:rPr>
      </w:pPr>
    </w:p>
    <w:p>
      <w:pPr>
        <w:pStyle w:val="BodyText"/>
        <w:ind w:left="1411" w:right="1059"/>
      </w:pPr>
      <w:r>
        <w:rPr/>
        <w:drawing>
          <wp:anchor distT="0" distB="0" distL="0" distR="0" allowOverlap="1" layoutInCell="1" locked="0" behindDoc="0" simplePos="0" relativeHeight="15975424">
            <wp:simplePos x="0" y="0"/>
            <wp:positionH relativeFrom="page">
              <wp:posOffset>1424939</wp:posOffset>
            </wp:positionH>
            <wp:positionV relativeFrom="paragraph">
              <wp:posOffset>32551</wp:posOffset>
            </wp:positionV>
            <wp:extent cx="111251" cy="115823"/>
            <wp:effectExtent l="0" t="0" r="0" b="0"/>
            <wp:wrapNone/>
            <wp:docPr id="493" name="Image 493"/>
            <wp:cNvGraphicFramePr>
              <a:graphicFrameLocks/>
            </wp:cNvGraphicFramePr>
            <a:graphic>
              <a:graphicData uri="http://schemas.openxmlformats.org/drawingml/2006/picture">
                <pic:pic>
                  <pic:nvPicPr>
                    <pic:cNvPr id="493" name="Image 493"/>
                    <pic:cNvPicPr/>
                  </pic:nvPicPr>
                  <pic:blipFill>
                    <a:blip r:embed="rId34" cstate="print"/>
                    <a:stretch>
                      <a:fillRect/>
                    </a:stretch>
                  </pic:blipFill>
                  <pic:spPr>
                    <a:xfrm>
                      <a:off x="0" y="0"/>
                      <a:ext cx="111251" cy="115823"/>
                    </a:xfrm>
                    <a:prstGeom prst="rect">
                      <a:avLst/>
                    </a:prstGeom>
                  </pic:spPr>
                </pic:pic>
              </a:graphicData>
            </a:graphic>
          </wp:anchor>
        </w:drawing>
      </w:r>
      <w:bookmarkStart w:name="b. The Commonwealth may only distribute " w:id="763"/>
      <w:bookmarkEnd w:id="763"/>
      <w:r>
        <w:rPr/>
      </w:r>
      <w:r>
        <w:rPr/>
        <w:t>The</w:t>
      </w:r>
      <w:r>
        <w:rPr>
          <w:spacing w:val="-5"/>
        </w:rPr>
        <w:t> </w:t>
      </w:r>
      <w:r>
        <w:rPr/>
        <w:t>Commonwealth</w:t>
      </w:r>
      <w:r>
        <w:rPr>
          <w:spacing w:val="-4"/>
        </w:rPr>
        <w:t> </w:t>
      </w:r>
      <w:r>
        <w:rPr/>
        <w:t>may</w:t>
      </w:r>
      <w:r>
        <w:rPr>
          <w:spacing w:val="-7"/>
        </w:rPr>
        <w:t> </w:t>
      </w:r>
      <w:r>
        <w:rPr/>
        <w:t>only</w:t>
      </w:r>
      <w:r>
        <w:rPr>
          <w:spacing w:val="-9"/>
        </w:rPr>
        <w:t> </w:t>
      </w:r>
      <w:r>
        <w:rPr/>
        <w:t>distribute</w:t>
      </w:r>
      <w:r>
        <w:rPr>
          <w:spacing w:val="-5"/>
        </w:rPr>
        <w:t> </w:t>
      </w:r>
      <w:r>
        <w:rPr/>
        <w:t>incentive</w:t>
      </w:r>
      <w:r>
        <w:rPr>
          <w:spacing w:val="-3"/>
        </w:rPr>
        <w:t> </w:t>
      </w:r>
      <w:r>
        <w:rPr/>
        <w:t>payments</w:t>
      </w:r>
      <w:r>
        <w:rPr>
          <w:spacing w:val="-5"/>
        </w:rPr>
        <w:t> </w:t>
      </w:r>
      <w:r>
        <w:rPr/>
        <w:t>associated</w:t>
      </w:r>
      <w:r>
        <w:rPr>
          <w:spacing w:val="-4"/>
        </w:rPr>
        <w:t> </w:t>
      </w:r>
      <w:r>
        <w:rPr/>
        <w:t>Performance Years 1-5.</w:t>
      </w:r>
      <w:r>
        <w:rPr>
          <w:spacing w:val="40"/>
        </w:rPr>
        <w:t> </w:t>
      </w:r>
      <w:r>
        <w:rPr/>
        <w:t>Nothing in this STC restricts the Commonwealth from seeking an extension of the Hospital Quality and Equity Initiative expenditure authority.</w:t>
      </w:r>
    </w:p>
    <w:p>
      <w:pPr>
        <w:pStyle w:val="BodyText"/>
        <w:spacing w:before="10"/>
        <w:rPr>
          <w:sz w:val="20"/>
        </w:rPr>
      </w:pPr>
    </w:p>
    <w:p>
      <w:pPr>
        <w:pStyle w:val="Heading5"/>
        <w:ind w:left="871"/>
        <w:jc w:val="both"/>
      </w:pPr>
      <w:r>
        <w:rPr/>
        <w:drawing>
          <wp:anchor distT="0" distB="0" distL="0" distR="0" allowOverlap="1" layoutInCell="1" locked="0" behindDoc="0" simplePos="0" relativeHeight="15975936">
            <wp:simplePos x="0" y="0"/>
            <wp:positionH relativeFrom="page">
              <wp:posOffset>832103</wp:posOffset>
            </wp:positionH>
            <wp:positionV relativeFrom="paragraph">
              <wp:posOffset>35612</wp:posOffset>
            </wp:positionV>
            <wp:extent cx="359663" cy="112763"/>
            <wp:effectExtent l="0" t="0" r="0" b="0"/>
            <wp:wrapNone/>
            <wp:docPr id="494" name="Image 494"/>
            <wp:cNvGraphicFramePr>
              <a:graphicFrameLocks/>
            </wp:cNvGraphicFramePr>
            <a:graphic>
              <a:graphicData uri="http://schemas.openxmlformats.org/drawingml/2006/picture">
                <pic:pic>
                  <pic:nvPicPr>
                    <pic:cNvPr id="494" name="Image 494"/>
                    <pic:cNvPicPr/>
                  </pic:nvPicPr>
                  <pic:blipFill>
                    <a:blip r:embed="rId215" cstate="print"/>
                    <a:stretch>
                      <a:fillRect/>
                    </a:stretch>
                  </pic:blipFill>
                  <pic:spPr>
                    <a:xfrm>
                      <a:off x="0" y="0"/>
                      <a:ext cx="359663" cy="112763"/>
                    </a:xfrm>
                    <a:prstGeom prst="rect">
                      <a:avLst/>
                    </a:prstGeom>
                  </pic:spPr>
                </pic:pic>
              </a:graphicData>
            </a:graphic>
          </wp:anchor>
        </w:drawing>
      </w:r>
      <w:bookmarkStart w:name="14.14. Independent Assessor for the Hosp" w:id="764"/>
      <w:bookmarkEnd w:id="764"/>
      <w:r>
        <w:rPr>
          <w:b w:val="0"/>
        </w:rPr>
      </w:r>
      <w:r>
        <w:rPr/>
        <w:t>Independent</w:t>
      </w:r>
      <w:r>
        <w:rPr>
          <w:spacing w:val="-4"/>
        </w:rPr>
        <w:t> </w:t>
      </w:r>
      <w:r>
        <w:rPr/>
        <w:t>Assessor</w:t>
      </w:r>
      <w:r>
        <w:rPr>
          <w:spacing w:val="-3"/>
        </w:rPr>
        <w:t> </w:t>
      </w:r>
      <w:r>
        <w:rPr/>
        <w:t>for</w:t>
      </w:r>
      <w:r>
        <w:rPr>
          <w:spacing w:val="-2"/>
        </w:rPr>
        <w:t> </w:t>
      </w:r>
      <w:r>
        <w:rPr/>
        <w:t>the</w:t>
      </w:r>
      <w:r>
        <w:rPr>
          <w:spacing w:val="-2"/>
        </w:rPr>
        <w:t> </w:t>
      </w:r>
      <w:r>
        <w:rPr/>
        <w:t>Hospital</w:t>
      </w:r>
      <w:r>
        <w:rPr>
          <w:spacing w:val="-1"/>
        </w:rPr>
        <w:t> </w:t>
      </w:r>
      <w:r>
        <w:rPr/>
        <w:t>Quality</w:t>
      </w:r>
      <w:r>
        <w:rPr>
          <w:spacing w:val="-4"/>
        </w:rPr>
        <w:t> </w:t>
      </w:r>
      <w:r>
        <w:rPr/>
        <w:t>and</w:t>
      </w:r>
      <w:r>
        <w:rPr>
          <w:spacing w:val="-1"/>
        </w:rPr>
        <w:t> </w:t>
      </w:r>
      <w:r>
        <w:rPr/>
        <w:t>Equity</w:t>
      </w:r>
      <w:r>
        <w:rPr>
          <w:spacing w:val="-1"/>
        </w:rPr>
        <w:t> </w:t>
      </w:r>
      <w:r>
        <w:rPr>
          <w:spacing w:val="-2"/>
        </w:rPr>
        <w:t>Initiative.</w:t>
      </w:r>
    </w:p>
    <w:p>
      <w:pPr>
        <w:pStyle w:val="BodyText"/>
        <w:spacing w:before="10"/>
        <w:rPr>
          <w:b/>
          <w:sz w:val="20"/>
        </w:rPr>
      </w:pPr>
    </w:p>
    <w:p>
      <w:pPr>
        <w:pStyle w:val="BodyText"/>
        <w:ind w:left="1411" w:right="1059"/>
      </w:pPr>
      <w:r>
        <w:rPr/>
        <w:drawing>
          <wp:anchor distT="0" distB="0" distL="0" distR="0" allowOverlap="1" layoutInCell="1" locked="0" behindDoc="0" simplePos="0" relativeHeight="15976448">
            <wp:simplePos x="0" y="0"/>
            <wp:positionH relativeFrom="page">
              <wp:posOffset>1431036</wp:posOffset>
            </wp:positionH>
            <wp:positionV relativeFrom="paragraph">
              <wp:posOffset>67603</wp:posOffset>
            </wp:positionV>
            <wp:extent cx="96011" cy="80771"/>
            <wp:effectExtent l="0" t="0" r="0" b="0"/>
            <wp:wrapNone/>
            <wp:docPr id="495" name="Image 495"/>
            <wp:cNvGraphicFramePr>
              <a:graphicFrameLocks/>
            </wp:cNvGraphicFramePr>
            <a:graphic>
              <a:graphicData uri="http://schemas.openxmlformats.org/drawingml/2006/picture">
                <pic:pic>
                  <pic:nvPicPr>
                    <pic:cNvPr id="495" name="Image 495"/>
                    <pic:cNvPicPr/>
                  </pic:nvPicPr>
                  <pic:blipFill>
                    <a:blip r:embed="rId29" cstate="print"/>
                    <a:stretch>
                      <a:fillRect/>
                    </a:stretch>
                  </pic:blipFill>
                  <pic:spPr>
                    <a:xfrm>
                      <a:off x="0" y="0"/>
                      <a:ext cx="96011" cy="80771"/>
                    </a:xfrm>
                    <a:prstGeom prst="rect">
                      <a:avLst/>
                    </a:prstGeom>
                  </pic:spPr>
                </pic:pic>
              </a:graphicData>
            </a:graphic>
          </wp:anchor>
        </w:drawing>
      </w:r>
      <w:bookmarkStart w:name="a. The state will identify independent e" w:id="765"/>
      <w:bookmarkEnd w:id="765"/>
      <w:r>
        <w:rPr/>
      </w:r>
      <w:r>
        <w:rPr/>
        <w:t>The state will identify independent entities with expertise in delivery system improvement to assist with Hospital Quality and Equity Initiative administration, oversight, and monitoring as may be appropriate, including the identification and engagement of an independent assessor.</w:t>
      </w:r>
      <w:r>
        <w:rPr>
          <w:spacing w:val="40"/>
        </w:rPr>
        <w:t> </w:t>
      </w:r>
      <w:r>
        <w:rPr/>
        <w:t>The Commonwealth must ensure that the independent assessor, in collaboration with other entities identified by the state as needed, will review proposals, progress reports and other related documents, to ensure compliance with the approved STCs, the Hospital Quality and Equity Initiative</w:t>
      </w:r>
      <w:r>
        <w:rPr>
          <w:spacing w:val="-2"/>
        </w:rPr>
        <w:t> </w:t>
      </w:r>
      <w:r>
        <w:rPr/>
        <w:t>Implementation</w:t>
      </w:r>
      <w:r>
        <w:rPr>
          <w:spacing w:val="-3"/>
        </w:rPr>
        <w:t> </w:t>
      </w:r>
      <w:r>
        <w:rPr/>
        <w:t>Plan,</w:t>
      </w:r>
      <w:r>
        <w:rPr>
          <w:spacing w:val="-3"/>
        </w:rPr>
        <w:t> </w:t>
      </w:r>
      <w:r>
        <w:rPr/>
        <w:t>and</w:t>
      </w:r>
      <w:r>
        <w:rPr>
          <w:spacing w:val="-3"/>
        </w:rPr>
        <w:t> </w:t>
      </w:r>
      <w:r>
        <w:rPr/>
        <w:t>any</w:t>
      </w:r>
      <w:r>
        <w:rPr>
          <w:spacing w:val="-8"/>
        </w:rPr>
        <w:t> </w:t>
      </w:r>
      <w:r>
        <w:rPr/>
        <w:t>applicable</w:t>
      </w:r>
      <w:r>
        <w:rPr>
          <w:spacing w:val="-2"/>
        </w:rPr>
        <w:t> </w:t>
      </w:r>
      <w:r>
        <w:rPr/>
        <w:t>Protocols.</w:t>
      </w:r>
      <w:r>
        <w:rPr>
          <w:spacing w:val="40"/>
        </w:rPr>
        <w:t> </w:t>
      </w:r>
      <w:r>
        <w:rPr/>
        <w:t>The</w:t>
      </w:r>
      <w:r>
        <w:rPr>
          <w:spacing w:val="-4"/>
        </w:rPr>
        <w:t> </w:t>
      </w:r>
      <w:r>
        <w:rPr/>
        <w:t>Commonwealth must ensure that the independent assessor makes recommendations to the Commonwelath for program improvement.</w:t>
      </w:r>
      <w:r>
        <w:rPr>
          <w:spacing w:val="40"/>
        </w:rPr>
        <w:t> </w:t>
      </w:r>
      <w:r>
        <w:rPr/>
        <w:t>The independent assessor (or another independent entity identified by the Commonwealth) will also assist the Commonwealth</w:t>
      </w:r>
      <w:r>
        <w:rPr>
          <w:spacing w:val="-4"/>
        </w:rPr>
        <w:t> </w:t>
      </w:r>
      <w:r>
        <w:rPr/>
        <w:t>with</w:t>
      </w:r>
      <w:r>
        <w:rPr>
          <w:spacing w:val="-4"/>
        </w:rPr>
        <w:t> </w:t>
      </w:r>
      <w:r>
        <w:rPr/>
        <w:t>compiling</w:t>
      </w:r>
      <w:r>
        <w:rPr>
          <w:spacing w:val="-6"/>
        </w:rPr>
        <w:t> </w:t>
      </w:r>
      <w:r>
        <w:rPr/>
        <w:t>data</w:t>
      </w:r>
      <w:r>
        <w:rPr>
          <w:spacing w:val="-5"/>
        </w:rPr>
        <w:t> </w:t>
      </w:r>
      <w:r>
        <w:rPr/>
        <w:t>for</w:t>
      </w:r>
      <w:r>
        <w:rPr>
          <w:spacing w:val="-5"/>
        </w:rPr>
        <w:t> </w:t>
      </w:r>
      <w:r>
        <w:rPr/>
        <w:t>progress</w:t>
      </w:r>
      <w:r>
        <w:rPr>
          <w:spacing w:val="-2"/>
        </w:rPr>
        <w:t> </w:t>
      </w:r>
      <w:r>
        <w:rPr/>
        <w:t>reports,</w:t>
      </w:r>
      <w:r>
        <w:rPr>
          <w:spacing w:val="-4"/>
        </w:rPr>
        <w:t> </w:t>
      </w:r>
      <w:r>
        <w:rPr/>
        <w:t>other</w:t>
      </w:r>
      <w:r>
        <w:rPr>
          <w:spacing w:val="-5"/>
        </w:rPr>
        <w:t> </w:t>
      </w:r>
      <w:r>
        <w:rPr/>
        <w:t>ongoing</w:t>
      </w:r>
      <w:r>
        <w:rPr>
          <w:spacing w:val="-6"/>
        </w:rPr>
        <w:t> </w:t>
      </w:r>
      <w:r>
        <w:rPr/>
        <w:t>reviews</w:t>
      </w:r>
      <w:r>
        <w:rPr>
          <w:spacing w:val="-4"/>
        </w:rPr>
        <w:t> </w:t>
      </w:r>
      <w:r>
        <w:rPr/>
        <w:t>of the</w:t>
      </w:r>
      <w:r>
        <w:rPr>
          <w:spacing w:val="-3"/>
        </w:rPr>
        <w:t> </w:t>
      </w:r>
      <w:r>
        <w:rPr/>
        <w:t>Hospital</w:t>
      </w:r>
      <w:r>
        <w:rPr>
          <w:spacing w:val="-2"/>
        </w:rPr>
        <w:t> </w:t>
      </w:r>
      <w:r>
        <w:rPr/>
        <w:t>Quality</w:t>
      </w:r>
      <w:r>
        <w:rPr>
          <w:spacing w:val="-7"/>
        </w:rPr>
        <w:t> </w:t>
      </w:r>
      <w:r>
        <w:rPr/>
        <w:t>and Equity</w:t>
      </w:r>
      <w:r>
        <w:rPr>
          <w:spacing w:val="-5"/>
        </w:rPr>
        <w:t> </w:t>
      </w:r>
      <w:r>
        <w:rPr/>
        <w:t>Initiative</w:t>
      </w:r>
      <w:r>
        <w:rPr>
          <w:spacing w:val="-1"/>
        </w:rPr>
        <w:t> </w:t>
      </w:r>
      <w:r>
        <w:rPr/>
        <w:t>Implementation</w:t>
      </w:r>
      <w:r>
        <w:rPr>
          <w:spacing w:val="-2"/>
        </w:rPr>
        <w:t> </w:t>
      </w:r>
      <w:r>
        <w:rPr/>
        <w:t>Plan,</w:t>
      </w:r>
      <w:r>
        <w:rPr>
          <w:spacing w:val="-2"/>
        </w:rPr>
        <w:t> </w:t>
      </w:r>
      <w:r>
        <w:rPr/>
        <w:t>and</w:t>
      </w:r>
      <w:r>
        <w:rPr>
          <w:spacing w:val="-2"/>
        </w:rPr>
        <w:t> </w:t>
      </w:r>
      <w:r>
        <w:rPr/>
        <w:t>any</w:t>
      </w:r>
      <w:r>
        <w:rPr>
          <w:spacing w:val="-7"/>
        </w:rPr>
        <w:t> </w:t>
      </w:r>
      <w:r>
        <w:rPr/>
        <w:t>applicable protocols, and assist with continuous quality improvement activities.</w:t>
      </w:r>
    </w:p>
    <w:p>
      <w:pPr>
        <w:pStyle w:val="BodyText"/>
        <w:spacing w:before="11"/>
        <w:rPr>
          <w:sz w:val="20"/>
        </w:rPr>
      </w:pPr>
    </w:p>
    <w:p>
      <w:pPr>
        <w:pStyle w:val="BodyText"/>
        <w:ind w:left="1411" w:right="1059"/>
      </w:pPr>
      <w:r>
        <w:rPr/>
        <w:drawing>
          <wp:anchor distT="0" distB="0" distL="0" distR="0" allowOverlap="1" layoutInCell="1" locked="0" behindDoc="0" simplePos="0" relativeHeight="15976960">
            <wp:simplePos x="0" y="0"/>
            <wp:positionH relativeFrom="page">
              <wp:posOffset>1424939</wp:posOffset>
            </wp:positionH>
            <wp:positionV relativeFrom="paragraph">
              <wp:posOffset>32551</wp:posOffset>
            </wp:positionV>
            <wp:extent cx="111251" cy="115823"/>
            <wp:effectExtent l="0" t="0" r="0" b="0"/>
            <wp:wrapNone/>
            <wp:docPr id="496" name="Image 496"/>
            <wp:cNvGraphicFramePr>
              <a:graphicFrameLocks/>
            </wp:cNvGraphicFramePr>
            <a:graphic>
              <a:graphicData uri="http://schemas.openxmlformats.org/drawingml/2006/picture">
                <pic:pic>
                  <pic:nvPicPr>
                    <pic:cNvPr id="496" name="Image 496"/>
                    <pic:cNvPicPr/>
                  </pic:nvPicPr>
                  <pic:blipFill>
                    <a:blip r:embed="rId34" cstate="print"/>
                    <a:stretch>
                      <a:fillRect/>
                    </a:stretch>
                  </pic:blipFill>
                  <pic:spPr>
                    <a:xfrm>
                      <a:off x="0" y="0"/>
                      <a:ext cx="111251" cy="115823"/>
                    </a:xfrm>
                    <a:prstGeom prst="rect">
                      <a:avLst/>
                    </a:prstGeom>
                  </pic:spPr>
                </pic:pic>
              </a:graphicData>
            </a:graphic>
          </wp:anchor>
        </w:drawing>
      </w:r>
      <w:bookmarkStart w:name="b. Spending on the independent entities " w:id="766"/>
      <w:bookmarkEnd w:id="766"/>
      <w:r>
        <w:rPr/>
      </w:r>
      <w:r>
        <w:rPr/>
        <w:t>Spending on the independent entities and other administrative costs associated with the Hospital Quality and Equity Initiative fund is classified as a state administrative activity.</w:t>
      </w:r>
      <w:r>
        <w:rPr>
          <w:spacing w:val="-4"/>
        </w:rPr>
        <w:t> </w:t>
      </w:r>
      <w:r>
        <w:rPr/>
        <w:t>The</w:t>
      </w:r>
      <w:r>
        <w:rPr>
          <w:spacing w:val="-5"/>
        </w:rPr>
        <w:t> </w:t>
      </w:r>
      <w:r>
        <w:rPr/>
        <w:t>Commonwealth</w:t>
      </w:r>
      <w:r>
        <w:rPr>
          <w:spacing w:val="-4"/>
        </w:rPr>
        <w:t> </w:t>
      </w:r>
      <w:r>
        <w:rPr/>
        <w:t>must</w:t>
      </w:r>
      <w:r>
        <w:rPr>
          <w:spacing w:val="-4"/>
        </w:rPr>
        <w:t> </w:t>
      </w:r>
      <w:r>
        <w:rPr/>
        <w:t>ensure</w:t>
      </w:r>
      <w:r>
        <w:rPr>
          <w:spacing w:val="-5"/>
        </w:rPr>
        <w:t> </w:t>
      </w:r>
      <w:r>
        <w:rPr/>
        <w:t>that</w:t>
      </w:r>
      <w:r>
        <w:rPr>
          <w:spacing w:val="-4"/>
        </w:rPr>
        <w:t> </w:t>
      </w:r>
      <w:r>
        <w:rPr/>
        <w:t>all</w:t>
      </w:r>
      <w:r>
        <w:rPr>
          <w:spacing w:val="-4"/>
        </w:rPr>
        <w:t> </w:t>
      </w:r>
      <w:r>
        <w:rPr/>
        <w:t>administrative</w:t>
      </w:r>
      <w:r>
        <w:rPr>
          <w:spacing w:val="-5"/>
        </w:rPr>
        <w:t> </w:t>
      </w:r>
      <w:r>
        <w:rPr/>
        <w:t>expenditures</w:t>
      </w:r>
      <w:r>
        <w:rPr>
          <w:spacing w:val="-4"/>
        </w:rPr>
        <w:t> </w:t>
      </w:r>
      <w:r>
        <w:rPr/>
        <w:t>for</w:t>
      </w:r>
      <w:r>
        <w:rPr>
          <w:spacing w:val="-5"/>
        </w:rPr>
        <w:t> </w:t>
      </w:r>
      <w:r>
        <w:rPr/>
        <w:t>the independent entities are proper and efficient for the administration of the program.</w:t>
      </w:r>
    </w:p>
    <w:p>
      <w:pPr>
        <w:pStyle w:val="BodyText"/>
        <w:spacing w:before="10"/>
        <w:rPr>
          <w:sz w:val="20"/>
        </w:rPr>
      </w:pPr>
    </w:p>
    <w:p>
      <w:pPr>
        <w:pStyle w:val="BodyText"/>
        <w:ind w:left="871" w:right="1059"/>
      </w:pPr>
      <w:r>
        <w:rPr/>
        <w:drawing>
          <wp:anchor distT="0" distB="0" distL="0" distR="0" allowOverlap="1" layoutInCell="1" locked="0" behindDoc="0" simplePos="0" relativeHeight="15977472">
            <wp:simplePos x="0" y="0"/>
            <wp:positionH relativeFrom="page">
              <wp:posOffset>832103</wp:posOffset>
            </wp:positionH>
            <wp:positionV relativeFrom="paragraph">
              <wp:posOffset>35599</wp:posOffset>
            </wp:positionV>
            <wp:extent cx="359663" cy="112775"/>
            <wp:effectExtent l="0" t="0" r="0" b="0"/>
            <wp:wrapNone/>
            <wp:docPr id="497" name="Image 497"/>
            <wp:cNvGraphicFramePr>
              <a:graphicFrameLocks/>
            </wp:cNvGraphicFramePr>
            <a:graphic>
              <a:graphicData uri="http://schemas.openxmlformats.org/drawingml/2006/picture">
                <pic:pic>
                  <pic:nvPicPr>
                    <pic:cNvPr id="497" name="Image 497"/>
                    <pic:cNvPicPr/>
                  </pic:nvPicPr>
                  <pic:blipFill>
                    <a:blip r:embed="rId216" cstate="print"/>
                    <a:stretch>
                      <a:fillRect/>
                    </a:stretch>
                  </pic:blipFill>
                  <pic:spPr>
                    <a:xfrm>
                      <a:off x="0" y="0"/>
                      <a:ext cx="359663" cy="112775"/>
                    </a:xfrm>
                    <a:prstGeom prst="rect">
                      <a:avLst/>
                    </a:prstGeom>
                  </pic:spPr>
                </pic:pic>
              </a:graphicData>
            </a:graphic>
          </wp:anchor>
        </w:drawing>
      </w:r>
      <w:bookmarkStart w:name="14.15. Provider Rate Increase Expectatio" w:id="767"/>
      <w:bookmarkEnd w:id="767"/>
      <w:r>
        <w:rPr/>
      </w:r>
      <w:r>
        <w:rPr>
          <w:b/>
        </w:rPr>
        <w:t>Provider</w:t>
      </w:r>
      <w:r>
        <w:rPr>
          <w:b/>
          <w:spacing w:val="-3"/>
        </w:rPr>
        <w:t> </w:t>
      </w:r>
      <w:r>
        <w:rPr>
          <w:b/>
        </w:rPr>
        <w:t>Rate</w:t>
      </w:r>
      <w:r>
        <w:rPr>
          <w:b/>
          <w:spacing w:val="-3"/>
        </w:rPr>
        <w:t> </w:t>
      </w:r>
      <w:r>
        <w:rPr>
          <w:b/>
        </w:rPr>
        <w:t>Increase</w:t>
      </w:r>
      <w:r>
        <w:rPr>
          <w:b/>
          <w:spacing w:val="-1"/>
        </w:rPr>
        <w:t> </w:t>
      </w:r>
      <w:r>
        <w:rPr>
          <w:b/>
        </w:rPr>
        <w:t>Expectations.</w:t>
      </w:r>
      <w:r>
        <w:rPr>
          <w:b/>
          <w:spacing w:val="40"/>
        </w:rPr>
        <w:t> </w:t>
      </w:r>
      <w:r>
        <w:rPr/>
        <w:t>As</w:t>
      </w:r>
      <w:r>
        <w:rPr>
          <w:spacing w:val="-2"/>
        </w:rPr>
        <w:t> </w:t>
      </w:r>
      <w:r>
        <w:rPr/>
        <w:t>a</w:t>
      </w:r>
      <w:r>
        <w:rPr>
          <w:spacing w:val="-3"/>
        </w:rPr>
        <w:t> </w:t>
      </w:r>
      <w:r>
        <w:rPr/>
        <w:t>condition</w:t>
      </w:r>
      <w:r>
        <w:rPr>
          <w:spacing w:val="-2"/>
        </w:rPr>
        <w:t> </w:t>
      </w:r>
      <w:r>
        <w:rPr/>
        <w:t>of</w:t>
      </w:r>
      <w:r>
        <w:rPr>
          <w:spacing w:val="-3"/>
        </w:rPr>
        <w:t> </w:t>
      </w:r>
      <w:r>
        <w:rPr/>
        <w:t>the</w:t>
      </w:r>
      <w:r>
        <w:rPr>
          <w:spacing w:val="-3"/>
        </w:rPr>
        <w:t> </w:t>
      </w:r>
      <w:r>
        <w:rPr/>
        <w:t>Hospital</w:t>
      </w:r>
      <w:r>
        <w:rPr>
          <w:spacing w:val="-2"/>
        </w:rPr>
        <w:t> </w:t>
      </w:r>
      <w:r>
        <w:rPr/>
        <w:t>Quality</w:t>
      </w:r>
      <w:r>
        <w:rPr>
          <w:spacing w:val="-7"/>
        </w:rPr>
        <w:t> </w:t>
      </w:r>
      <w:r>
        <w:rPr/>
        <w:t>and</w:t>
      </w:r>
      <w:r>
        <w:rPr>
          <w:spacing w:val="-2"/>
        </w:rPr>
        <w:t> </w:t>
      </w:r>
      <w:r>
        <w:rPr/>
        <w:t>Equity Initiative expenditure authority, Massachusetts must comply with the provider rate increase requirements in Section 21 of the STCs.</w:t>
      </w:r>
    </w:p>
    <w:p>
      <w:pPr>
        <w:spacing w:after="0"/>
        <w:sectPr>
          <w:pgSz w:w="12240" w:h="15840"/>
          <w:pgMar w:header="0" w:footer="1201" w:top="1360" w:bottom="1400" w:left="1200" w:right="400"/>
        </w:sectPr>
      </w:pPr>
    </w:p>
    <w:p>
      <w:pPr>
        <w:pStyle w:val="BodyText"/>
        <w:spacing w:before="79"/>
        <w:ind w:left="871" w:right="1059"/>
      </w:pPr>
      <w:r>
        <w:rPr/>
        <w:drawing>
          <wp:anchor distT="0" distB="0" distL="0" distR="0" allowOverlap="1" layoutInCell="1" locked="0" behindDoc="0" simplePos="0" relativeHeight="15977984">
            <wp:simplePos x="0" y="0"/>
            <wp:positionH relativeFrom="page">
              <wp:posOffset>832103</wp:posOffset>
            </wp:positionH>
            <wp:positionV relativeFrom="paragraph">
              <wp:posOffset>85777</wp:posOffset>
            </wp:positionV>
            <wp:extent cx="359663" cy="112763"/>
            <wp:effectExtent l="0" t="0" r="0" b="0"/>
            <wp:wrapNone/>
            <wp:docPr id="498" name="Image 498"/>
            <wp:cNvGraphicFramePr>
              <a:graphicFrameLocks/>
            </wp:cNvGraphicFramePr>
            <a:graphic>
              <a:graphicData uri="http://schemas.openxmlformats.org/drawingml/2006/picture">
                <pic:pic>
                  <pic:nvPicPr>
                    <pic:cNvPr id="498" name="Image 498"/>
                    <pic:cNvPicPr/>
                  </pic:nvPicPr>
                  <pic:blipFill>
                    <a:blip r:embed="rId217" cstate="print"/>
                    <a:stretch>
                      <a:fillRect/>
                    </a:stretch>
                  </pic:blipFill>
                  <pic:spPr>
                    <a:xfrm>
                      <a:off x="0" y="0"/>
                      <a:ext cx="359663" cy="112763"/>
                    </a:xfrm>
                    <a:prstGeom prst="rect">
                      <a:avLst/>
                    </a:prstGeom>
                  </pic:spPr>
                </pic:pic>
              </a:graphicData>
            </a:graphic>
          </wp:anchor>
        </w:drawing>
      </w:r>
      <w:bookmarkStart w:name="14.16. Cambridge Health Alliance Hospita" w:id="768"/>
      <w:bookmarkEnd w:id="768"/>
      <w:r>
        <w:rPr/>
      </w:r>
      <w:r>
        <w:rPr>
          <w:b/>
        </w:rPr>
        <w:t>Cambridge</w:t>
      </w:r>
      <w:r>
        <w:rPr>
          <w:b/>
          <w:spacing w:val="-5"/>
        </w:rPr>
        <w:t> </w:t>
      </w:r>
      <w:r>
        <w:rPr>
          <w:b/>
        </w:rPr>
        <w:t>Health</w:t>
      </w:r>
      <w:r>
        <w:rPr>
          <w:b/>
          <w:spacing w:val="-4"/>
        </w:rPr>
        <w:t> </w:t>
      </w:r>
      <w:r>
        <w:rPr>
          <w:b/>
        </w:rPr>
        <w:t>Alliance</w:t>
      </w:r>
      <w:r>
        <w:rPr>
          <w:b/>
          <w:spacing w:val="-5"/>
        </w:rPr>
        <w:t> </w:t>
      </w:r>
      <w:r>
        <w:rPr>
          <w:b/>
        </w:rPr>
        <w:t>Hospital</w:t>
      </w:r>
      <w:r>
        <w:rPr>
          <w:b/>
          <w:spacing w:val="-4"/>
        </w:rPr>
        <w:t> </w:t>
      </w:r>
      <w:r>
        <w:rPr>
          <w:b/>
        </w:rPr>
        <w:t>Quality</w:t>
      </w:r>
      <w:r>
        <w:rPr>
          <w:b/>
          <w:spacing w:val="-4"/>
        </w:rPr>
        <w:t> </w:t>
      </w:r>
      <w:r>
        <w:rPr>
          <w:b/>
        </w:rPr>
        <w:t>and</w:t>
      </w:r>
      <w:r>
        <w:rPr>
          <w:b/>
          <w:spacing w:val="-4"/>
        </w:rPr>
        <w:t> </w:t>
      </w:r>
      <w:r>
        <w:rPr>
          <w:b/>
        </w:rPr>
        <w:t>Equity</w:t>
      </w:r>
      <w:r>
        <w:rPr>
          <w:b/>
          <w:spacing w:val="-4"/>
        </w:rPr>
        <w:t> </w:t>
      </w:r>
      <w:r>
        <w:rPr>
          <w:b/>
        </w:rPr>
        <w:t>Initiative</w:t>
      </w:r>
      <w:r>
        <w:rPr>
          <w:b/>
          <w:spacing w:val="-5"/>
        </w:rPr>
        <w:t> </w:t>
      </w:r>
      <w:r>
        <w:rPr>
          <w:b/>
        </w:rPr>
        <w:t>Design</w:t>
      </w:r>
      <w:r>
        <w:rPr>
          <w:b/>
          <w:spacing w:val="-4"/>
        </w:rPr>
        <w:t> </w:t>
      </w:r>
      <w:r>
        <w:rPr>
          <w:b/>
        </w:rPr>
        <w:t>and</w:t>
      </w:r>
      <w:r>
        <w:rPr>
          <w:b/>
          <w:spacing w:val="-4"/>
        </w:rPr>
        <w:t> </w:t>
      </w:r>
      <w:r>
        <w:rPr>
          <w:b/>
        </w:rPr>
        <w:t>Goals. </w:t>
      </w:r>
      <w:r>
        <w:rPr/>
        <w:t>CMS will authorize up to $90 million (total computable) a year (except DY 27) for Cambridge Health Alliance (CHA) to implement a program that addresses health quality and equity for its patients, subject to the limitations outlined in STC 14.11 incorporating responsibility for both Medicaid beneficiaries and the uninsured.</w:t>
      </w:r>
      <w:r>
        <w:rPr>
          <w:spacing w:val="40"/>
        </w:rPr>
        <w:t> </w:t>
      </w:r>
      <w:r>
        <w:rPr/>
        <w:t>See table 16 in STC</w:t>
      </w:r>
    </w:p>
    <w:p>
      <w:pPr>
        <w:pStyle w:val="BodyText"/>
        <w:ind w:left="871" w:right="1059"/>
      </w:pPr>
      <w:r>
        <w:rPr/>
        <w:t>14.17</w:t>
      </w:r>
      <w:r>
        <w:rPr>
          <w:spacing w:val="-3"/>
        </w:rPr>
        <w:t> </w:t>
      </w:r>
      <w:r>
        <w:rPr/>
        <w:t>for</w:t>
      </w:r>
      <w:r>
        <w:rPr>
          <w:spacing w:val="-4"/>
        </w:rPr>
        <w:t> </w:t>
      </w:r>
      <w:r>
        <w:rPr/>
        <w:t>the</w:t>
      </w:r>
      <w:r>
        <w:rPr>
          <w:spacing w:val="-4"/>
        </w:rPr>
        <w:t> </w:t>
      </w:r>
      <w:r>
        <w:rPr/>
        <w:t>annual</w:t>
      </w:r>
      <w:r>
        <w:rPr>
          <w:spacing w:val="-3"/>
        </w:rPr>
        <w:t> </w:t>
      </w:r>
      <w:r>
        <w:rPr/>
        <w:t>expenditure</w:t>
      </w:r>
      <w:r>
        <w:rPr>
          <w:spacing w:val="-4"/>
        </w:rPr>
        <w:t> </w:t>
      </w:r>
      <w:r>
        <w:rPr/>
        <w:t>authority</w:t>
      </w:r>
      <w:r>
        <w:rPr>
          <w:spacing w:val="-8"/>
        </w:rPr>
        <w:t> </w:t>
      </w:r>
      <w:r>
        <w:rPr/>
        <w:t>limits</w:t>
      </w:r>
      <w:r>
        <w:rPr>
          <w:spacing w:val="-3"/>
        </w:rPr>
        <w:t> </w:t>
      </w:r>
      <w:r>
        <w:rPr/>
        <w:t>and</w:t>
      </w:r>
      <w:r>
        <w:rPr>
          <w:spacing w:val="-3"/>
        </w:rPr>
        <w:t> </w:t>
      </w:r>
      <w:r>
        <w:rPr/>
        <w:t>allocations</w:t>
      </w:r>
      <w:r>
        <w:rPr>
          <w:spacing w:val="-3"/>
        </w:rPr>
        <w:t> </w:t>
      </w:r>
      <w:r>
        <w:rPr/>
        <w:t>for</w:t>
      </w:r>
      <w:r>
        <w:rPr>
          <w:spacing w:val="-4"/>
        </w:rPr>
        <w:t> </w:t>
      </w:r>
      <w:r>
        <w:rPr/>
        <w:t>hospital</w:t>
      </w:r>
      <w:r>
        <w:rPr>
          <w:spacing w:val="-3"/>
        </w:rPr>
        <w:t> </w:t>
      </w:r>
      <w:r>
        <w:rPr/>
        <w:t>performance (described in STC 14.18(a)) and ambulatory performance (described in STC 14.18(b)).</w:t>
      </w:r>
    </w:p>
    <w:p>
      <w:pPr>
        <w:pStyle w:val="BodyText"/>
        <w:spacing w:before="10"/>
        <w:rPr>
          <w:sz w:val="20"/>
        </w:rPr>
      </w:pPr>
    </w:p>
    <w:p>
      <w:pPr>
        <w:pStyle w:val="Heading5"/>
        <w:ind w:left="871"/>
      </w:pPr>
      <w:r>
        <w:rPr/>
        <w:drawing>
          <wp:anchor distT="0" distB="0" distL="0" distR="0" allowOverlap="1" layoutInCell="1" locked="0" behindDoc="0" simplePos="0" relativeHeight="15978496">
            <wp:simplePos x="0" y="0"/>
            <wp:positionH relativeFrom="page">
              <wp:posOffset>832103</wp:posOffset>
            </wp:positionH>
            <wp:positionV relativeFrom="paragraph">
              <wp:posOffset>35599</wp:posOffset>
            </wp:positionV>
            <wp:extent cx="359663" cy="112775"/>
            <wp:effectExtent l="0" t="0" r="0" b="0"/>
            <wp:wrapNone/>
            <wp:docPr id="499" name="Image 499"/>
            <wp:cNvGraphicFramePr>
              <a:graphicFrameLocks/>
            </wp:cNvGraphicFramePr>
            <a:graphic>
              <a:graphicData uri="http://schemas.openxmlformats.org/drawingml/2006/picture">
                <pic:pic>
                  <pic:nvPicPr>
                    <pic:cNvPr id="499" name="Image 499"/>
                    <pic:cNvPicPr/>
                  </pic:nvPicPr>
                  <pic:blipFill>
                    <a:blip r:embed="rId218" cstate="print"/>
                    <a:stretch>
                      <a:fillRect/>
                    </a:stretch>
                  </pic:blipFill>
                  <pic:spPr>
                    <a:xfrm>
                      <a:off x="0" y="0"/>
                      <a:ext cx="359663" cy="112775"/>
                    </a:xfrm>
                    <a:prstGeom prst="rect">
                      <a:avLst/>
                    </a:prstGeom>
                  </pic:spPr>
                </pic:pic>
              </a:graphicData>
            </a:graphic>
          </wp:anchor>
        </w:drawing>
      </w:r>
      <w:bookmarkStart w:name="14.17. Cambridge Health Alliance Hospita" w:id="769"/>
      <w:bookmarkEnd w:id="769"/>
      <w:r>
        <w:rPr>
          <w:b w:val="0"/>
        </w:rPr>
      </w:r>
      <w:r>
        <w:rPr/>
        <w:t>Cambridge</w:t>
      </w:r>
      <w:r>
        <w:rPr>
          <w:spacing w:val="-6"/>
        </w:rPr>
        <w:t> </w:t>
      </w:r>
      <w:r>
        <w:rPr/>
        <w:t>Health</w:t>
      </w:r>
      <w:r>
        <w:rPr>
          <w:spacing w:val="-2"/>
        </w:rPr>
        <w:t> </w:t>
      </w:r>
      <w:r>
        <w:rPr/>
        <w:t>Alliance</w:t>
      </w:r>
      <w:r>
        <w:rPr>
          <w:spacing w:val="-3"/>
        </w:rPr>
        <w:t> </w:t>
      </w:r>
      <w:r>
        <w:rPr/>
        <w:t>Hospital</w:t>
      </w:r>
      <w:r>
        <w:rPr>
          <w:spacing w:val="-2"/>
        </w:rPr>
        <w:t> </w:t>
      </w:r>
      <w:r>
        <w:rPr/>
        <w:t>Quality</w:t>
      </w:r>
      <w:r>
        <w:rPr>
          <w:spacing w:val="-2"/>
        </w:rPr>
        <w:t> </w:t>
      </w:r>
      <w:r>
        <w:rPr/>
        <w:t>and</w:t>
      </w:r>
      <w:r>
        <w:rPr>
          <w:spacing w:val="-2"/>
        </w:rPr>
        <w:t> </w:t>
      </w:r>
      <w:r>
        <w:rPr/>
        <w:t>Equity</w:t>
      </w:r>
      <w:r>
        <w:rPr>
          <w:spacing w:val="-3"/>
        </w:rPr>
        <w:t> </w:t>
      </w:r>
      <w:r>
        <w:rPr/>
        <w:t>Initiative</w:t>
      </w:r>
      <w:r>
        <w:rPr>
          <w:spacing w:val="-3"/>
        </w:rPr>
        <w:t> </w:t>
      </w:r>
      <w:r>
        <w:rPr>
          <w:spacing w:val="-2"/>
        </w:rPr>
        <w:t>Measurement.</w:t>
      </w:r>
    </w:p>
    <w:p>
      <w:pPr>
        <w:pStyle w:val="BodyText"/>
        <w:spacing w:before="10"/>
        <w:rPr>
          <w:b/>
          <w:sz w:val="20"/>
        </w:rPr>
      </w:pPr>
    </w:p>
    <w:p>
      <w:pPr>
        <w:pStyle w:val="BodyText"/>
        <w:ind w:left="1411" w:right="1041"/>
      </w:pPr>
      <w:r>
        <w:rPr/>
        <w:drawing>
          <wp:anchor distT="0" distB="0" distL="0" distR="0" allowOverlap="1" layoutInCell="1" locked="0" behindDoc="0" simplePos="0" relativeHeight="15979008">
            <wp:simplePos x="0" y="0"/>
            <wp:positionH relativeFrom="page">
              <wp:posOffset>1431036</wp:posOffset>
            </wp:positionH>
            <wp:positionV relativeFrom="paragraph">
              <wp:posOffset>67603</wp:posOffset>
            </wp:positionV>
            <wp:extent cx="96011" cy="80771"/>
            <wp:effectExtent l="0" t="0" r="0" b="0"/>
            <wp:wrapNone/>
            <wp:docPr id="500" name="Image 500"/>
            <wp:cNvGraphicFramePr>
              <a:graphicFrameLocks/>
            </wp:cNvGraphicFramePr>
            <a:graphic>
              <a:graphicData uri="http://schemas.openxmlformats.org/drawingml/2006/picture">
                <pic:pic>
                  <pic:nvPicPr>
                    <pic:cNvPr id="500" name="Image 500"/>
                    <pic:cNvPicPr/>
                  </pic:nvPicPr>
                  <pic:blipFill>
                    <a:blip r:embed="rId29" cstate="print"/>
                    <a:stretch>
                      <a:fillRect/>
                    </a:stretch>
                  </pic:blipFill>
                  <pic:spPr>
                    <a:xfrm>
                      <a:off x="0" y="0"/>
                      <a:ext cx="96011" cy="80771"/>
                    </a:xfrm>
                    <a:prstGeom prst="rect">
                      <a:avLst/>
                    </a:prstGeom>
                  </pic:spPr>
                </pic:pic>
              </a:graphicData>
            </a:graphic>
          </wp:anchor>
        </w:drawing>
      </w:r>
      <w:bookmarkStart w:name="a. 70 percent of the incentive payment f" w:id="770"/>
      <w:bookmarkEnd w:id="770"/>
      <w:r>
        <w:rPr/>
      </w:r>
      <w:r>
        <w:rPr/>
        <w:t>70 percent of the incentive payment for CHA is allocated to CHA’s performance on the Hospital Quality and Equity Initiative domains, which will be described within the Hospital Quality and Equity Initative Implementation Plan.</w:t>
      </w:r>
      <w:r>
        <w:rPr>
          <w:spacing w:val="40"/>
        </w:rPr>
        <w:t> </w:t>
      </w:r>
      <w:r>
        <w:rPr/>
        <w:t>CHA is held to an aligned improvement methodology, measure selection, and benchmarking methodology</w:t>
      </w:r>
      <w:r>
        <w:rPr>
          <w:spacing w:val="-2"/>
        </w:rPr>
        <w:t> </w:t>
      </w:r>
      <w:r>
        <w:rPr/>
        <w:t>for Medicaid beneficiaries as established in STC 14.6 for private acute hospitals. However, in addition to the Medicaid population, CHA will also be held responsible</w:t>
      </w:r>
      <w:r>
        <w:rPr>
          <w:spacing w:val="-2"/>
        </w:rPr>
        <w:t> </w:t>
      </w:r>
      <w:r>
        <w:rPr/>
        <w:t>for</w:t>
      </w:r>
      <w:r>
        <w:rPr>
          <w:spacing w:val="-2"/>
        </w:rPr>
        <w:t> </w:t>
      </w:r>
      <w:r>
        <w:rPr/>
        <w:t>the</w:t>
      </w:r>
      <w:r>
        <w:rPr>
          <w:spacing w:val="-2"/>
        </w:rPr>
        <w:t> </w:t>
      </w:r>
      <w:r>
        <w:rPr/>
        <w:t>served</w:t>
      </w:r>
      <w:r>
        <w:rPr>
          <w:spacing w:val="-1"/>
        </w:rPr>
        <w:t> </w:t>
      </w:r>
      <w:r>
        <w:rPr/>
        <w:t>uninsured</w:t>
      </w:r>
      <w:r>
        <w:rPr>
          <w:spacing w:val="-1"/>
        </w:rPr>
        <w:t> </w:t>
      </w:r>
      <w:r>
        <w:rPr/>
        <w:t>population</w:t>
      </w:r>
      <w:r>
        <w:rPr>
          <w:spacing w:val="-1"/>
        </w:rPr>
        <w:t> </w:t>
      </w:r>
      <w:r>
        <w:rPr/>
        <w:t>within</w:t>
      </w:r>
      <w:r>
        <w:rPr>
          <w:spacing w:val="-1"/>
        </w:rPr>
        <w:t> </w:t>
      </w:r>
      <w:r>
        <w:rPr/>
        <w:t>its</w:t>
      </w:r>
      <w:r>
        <w:rPr>
          <w:spacing w:val="-1"/>
        </w:rPr>
        <w:t> </w:t>
      </w:r>
      <w:r>
        <w:rPr/>
        <w:t>service</w:t>
      </w:r>
      <w:r>
        <w:rPr>
          <w:spacing w:val="-2"/>
        </w:rPr>
        <w:t> </w:t>
      </w:r>
      <w:r>
        <w:rPr/>
        <w:t>area,</w:t>
      </w:r>
      <w:r>
        <w:rPr>
          <w:spacing w:val="-1"/>
        </w:rPr>
        <w:t> </w:t>
      </w:r>
      <w:r>
        <w:rPr/>
        <w:t>which</w:t>
      </w:r>
      <w:r>
        <w:rPr>
          <w:spacing w:val="-1"/>
        </w:rPr>
        <w:t> </w:t>
      </w:r>
      <w:r>
        <w:rPr/>
        <w:t>will</w:t>
      </w:r>
      <w:r>
        <w:rPr>
          <w:spacing w:val="-1"/>
        </w:rPr>
        <w:t> </w:t>
      </w:r>
      <w:r>
        <w:rPr/>
        <w:t>be measured</w:t>
      </w:r>
      <w:r>
        <w:rPr>
          <w:spacing w:val="-4"/>
        </w:rPr>
        <w:t> </w:t>
      </w:r>
      <w:r>
        <w:rPr/>
        <w:t>separately.</w:t>
      </w:r>
      <w:r>
        <w:rPr>
          <w:spacing w:val="40"/>
        </w:rPr>
        <w:t> </w:t>
      </w:r>
      <w:r>
        <w:rPr/>
        <w:t>Recognizing</w:t>
      </w:r>
      <w:r>
        <w:rPr>
          <w:spacing w:val="-4"/>
        </w:rPr>
        <w:t> </w:t>
      </w:r>
      <w:r>
        <w:rPr/>
        <w:t>adaptation</w:t>
      </w:r>
      <w:r>
        <w:rPr>
          <w:spacing w:val="-4"/>
        </w:rPr>
        <w:t> </w:t>
      </w:r>
      <w:r>
        <w:rPr/>
        <w:t>necessary</w:t>
      </w:r>
      <w:r>
        <w:rPr>
          <w:spacing w:val="-9"/>
        </w:rPr>
        <w:t> </w:t>
      </w:r>
      <w:r>
        <w:rPr/>
        <w:t>for</w:t>
      </w:r>
      <w:r>
        <w:rPr>
          <w:spacing w:val="-5"/>
        </w:rPr>
        <w:t> </w:t>
      </w:r>
      <w:r>
        <w:rPr/>
        <w:t>an</w:t>
      </w:r>
      <w:r>
        <w:rPr>
          <w:spacing w:val="-4"/>
        </w:rPr>
        <w:t> </w:t>
      </w:r>
      <w:r>
        <w:rPr/>
        <w:t>uninsured</w:t>
      </w:r>
      <w:r>
        <w:rPr>
          <w:spacing w:val="-4"/>
        </w:rPr>
        <w:t> </w:t>
      </w:r>
      <w:r>
        <w:rPr/>
        <w:t>population, the specific applicable domain elements, weighting, measurement, and performance assessment methodology, and attribution methodology for the uninsured population will be described within the CHA-specific Hospital Quality and Equity Initiative Implementation Plan Addendum.</w:t>
      </w:r>
    </w:p>
    <w:p>
      <w:pPr>
        <w:pStyle w:val="BodyText"/>
        <w:spacing w:before="10"/>
        <w:rPr>
          <w:sz w:val="20"/>
        </w:rPr>
      </w:pPr>
    </w:p>
    <w:p>
      <w:pPr>
        <w:pStyle w:val="BodyText"/>
        <w:ind w:left="1411" w:right="1090"/>
      </w:pPr>
      <w:r>
        <w:rPr/>
        <w:drawing>
          <wp:anchor distT="0" distB="0" distL="0" distR="0" allowOverlap="1" layoutInCell="1" locked="0" behindDoc="0" simplePos="0" relativeHeight="15979520">
            <wp:simplePos x="0" y="0"/>
            <wp:positionH relativeFrom="page">
              <wp:posOffset>1424939</wp:posOffset>
            </wp:positionH>
            <wp:positionV relativeFrom="paragraph">
              <wp:posOffset>32551</wp:posOffset>
            </wp:positionV>
            <wp:extent cx="111251" cy="115823"/>
            <wp:effectExtent l="0" t="0" r="0" b="0"/>
            <wp:wrapNone/>
            <wp:docPr id="501" name="Image 501"/>
            <wp:cNvGraphicFramePr>
              <a:graphicFrameLocks/>
            </wp:cNvGraphicFramePr>
            <a:graphic>
              <a:graphicData uri="http://schemas.openxmlformats.org/drawingml/2006/picture">
                <pic:pic>
                  <pic:nvPicPr>
                    <pic:cNvPr id="501" name="Image 501"/>
                    <pic:cNvPicPr/>
                  </pic:nvPicPr>
                  <pic:blipFill>
                    <a:blip r:embed="rId34" cstate="print"/>
                    <a:stretch>
                      <a:fillRect/>
                    </a:stretch>
                  </pic:blipFill>
                  <pic:spPr>
                    <a:xfrm>
                      <a:off x="0" y="0"/>
                      <a:ext cx="111251" cy="115823"/>
                    </a:xfrm>
                    <a:prstGeom prst="rect">
                      <a:avLst/>
                    </a:prstGeom>
                  </pic:spPr>
                </pic:pic>
              </a:graphicData>
            </a:graphic>
          </wp:anchor>
        </w:drawing>
      </w:r>
      <w:bookmarkStart w:name="b. 30 percent of the incentive payment f" w:id="771"/>
      <w:bookmarkEnd w:id="771"/>
      <w:r>
        <w:rPr/>
      </w:r>
      <w:r>
        <w:rPr/>
        <w:t>30 percent of the incentive payment for CHA is allocated to CHA’s reporting</w:t>
      </w:r>
      <w:r>
        <w:rPr>
          <w:spacing w:val="-2"/>
        </w:rPr>
        <w:t> </w:t>
      </w:r>
      <w:r>
        <w:rPr/>
        <w:t>and/or performance on ambulatory quality measures for the served uninsured population (e.g.,</w:t>
      </w:r>
      <w:r>
        <w:rPr>
          <w:spacing w:val="-3"/>
        </w:rPr>
        <w:t> </w:t>
      </w:r>
      <w:r>
        <w:rPr/>
        <w:t>controlling</w:t>
      </w:r>
      <w:r>
        <w:rPr>
          <w:spacing w:val="-6"/>
        </w:rPr>
        <w:t> </w:t>
      </w:r>
      <w:r>
        <w:rPr/>
        <w:t>high</w:t>
      </w:r>
      <w:r>
        <w:rPr>
          <w:spacing w:val="-3"/>
        </w:rPr>
        <w:t> </w:t>
      </w:r>
      <w:r>
        <w:rPr/>
        <w:t>blood</w:t>
      </w:r>
      <w:r>
        <w:rPr>
          <w:spacing w:val="-3"/>
        </w:rPr>
        <w:t> </w:t>
      </w:r>
      <w:r>
        <w:rPr/>
        <w:t>pressure,</w:t>
      </w:r>
      <w:r>
        <w:rPr>
          <w:spacing w:val="-3"/>
        </w:rPr>
        <w:t> </w:t>
      </w:r>
      <w:r>
        <w:rPr/>
        <w:t>HbA1c</w:t>
      </w:r>
      <w:r>
        <w:rPr>
          <w:spacing w:val="-4"/>
        </w:rPr>
        <w:t> </w:t>
      </w:r>
      <w:r>
        <w:rPr/>
        <w:t>control)</w:t>
      </w:r>
      <w:r>
        <w:rPr>
          <w:spacing w:val="-5"/>
        </w:rPr>
        <w:t> </w:t>
      </w:r>
      <w:r>
        <w:rPr/>
        <w:t>and</w:t>
      </w:r>
      <w:r>
        <w:rPr>
          <w:spacing w:val="-3"/>
        </w:rPr>
        <w:t> </w:t>
      </w:r>
      <w:r>
        <w:rPr/>
        <w:t>payment</w:t>
      </w:r>
      <w:r>
        <w:rPr>
          <w:spacing w:val="-3"/>
        </w:rPr>
        <w:t> </w:t>
      </w:r>
      <w:r>
        <w:rPr/>
        <w:t>may</w:t>
      </w:r>
      <w:r>
        <w:rPr>
          <w:spacing w:val="-8"/>
        </w:rPr>
        <w:t> </w:t>
      </w:r>
      <w:r>
        <w:rPr/>
        <w:t>be</w:t>
      </w:r>
      <w:r>
        <w:rPr>
          <w:spacing w:val="-2"/>
        </w:rPr>
        <w:t> </w:t>
      </w:r>
      <w:r>
        <w:rPr/>
        <w:t>based</w:t>
      </w:r>
      <w:r>
        <w:rPr>
          <w:spacing w:val="-3"/>
        </w:rPr>
        <w:t> </w:t>
      </w:r>
      <w:r>
        <w:rPr/>
        <w:t>on both overall improvement and disparities reduction on those measures.</w:t>
      </w:r>
      <w:r>
        <w:rPr>
          <w:spacing w:val="40"/>
        </w:rPr>
        <w:t> </w:t>
      </w:r>
      <w:r>
        <w:rPr/>
        <w:t>Details of</w:t>
      </w:r>
      <w:r>
        <w:rPr>
          <w:spacing w:val="40"/>
        </w:rPr>
        <w:t> </w:t>
      </w:r>
      <w:r>
        <w:rPr/>
        <w:t>the methodology and measures will be described within a CHA-specific addendum to the Hospital Quality and Equity Implementation Plan.</w:t>
      </w:r>
      <w:r>
        <w:rPr>
          <w:spacing w:val="40"/>
        </w:rPr>
        <w:t> </w:t>
      </w:r>
      <w:r>
        <w:rPr/>
        <w:t>In general, Massachusetts will calculate a total performance score based on CHA’s performance on the approved measures.</w:t>
      </w:r>
      <w:r>
        <w:rPr>
          <w:spacing w:val="40"/>
        </w:rPr>
        <w:t> </w:t>
      </w:r>
      <w:r>
        <w:rPr/>
        <w:t>The total performance score will be used to determine the earned incentive payment.</w:t>
      </w:r>
    </w:p>
    <w:p>
      <w:pPr>
        <w:pStyle w:val="BodyText"/>
        <w:spacing w:before="10"/>
        <w:rPr>
          <w:sz w:val="20"/>
        </w:rPr>
      </w:pPr>
    </w:p>
    <w:p>
      <w:pPr>
        <w:pStyle w:val="BodyText"/>
        <w:spacing w:before="1"/>
        <w:ind w:left="1411" w:right="1059"/>
      </w:pPr>
      <w:r>
        <w:rPr/>
        <w:drawing>
          <wp:anchor distT="0" distB="0" distL="0" distR="0" allowOverlap="1" layoutInCell="1" locked="0" behindDoc="0" simplePos="0" relativeHeight="15980032">
            <wp:simplePos x="0" y="0"/>
            <wp:positionH relativeFrom="page">
              <wp:posOffset>1431036</wp:posOffset>
            </wp:positionH>
            <wp:positionV relativeFrom="paragraph">
              <wp:posOffset>68251</wp:posOffset>
            </wp:positionV>
            <wp:extent cx="96011" cy="80759"/>
            <wp:effectExtent l="0" t="0" r="0" b="0"/>
            <wp:wrapNone/>
            <wp:docPr id="502" name="Image 502"/>
            <wp:cNvGraphicFramePr>
              <a:graphicFrameLocks/>
            </wp:cNvGraphicFramePr>
            <a:graphic>
              <a:graphicData uri="http://schemas.openxmlformats.org/drawingml/2006/picture">
                <pic:pic>
                  <pic:nvPicPr>
                    <pic:cNvPr id="502" name="Image 502"/>
                    <pic:cNvPicPr/>
                  </pic:nvPicPr>
                  <pic:blipFill>
                    <a:blip r:embed="rId41" cstate="print"/>
                    <a:stretch>
                      <a:fillRect/>
                    </a:stretch>
                  </pic:blipFill>
                  <pic:spPr>
                    <a:xfrm>
                      <a:off x="0" y="0"/>
                      <a:ext cx="96011" cy="80759"/>
                    </a:xfrm>
                    <a:prstGeom prst="rect">
                      <a:avLst/>
                    </a:prstGeom>
                  </pic:spPr>
                </pic:pic>
              </a:graphicData>
            </a:graphic>
          </wp:anchor>
        </w:drawing>
      </w:r>
      <w:bookmarkStart w:name="c. To determine the total earned incenti" w:id="772"/>
      <w:bookmarkEnd w:id="772"/>
      <w:r>
        <w:rPr/>
      </w:r>
      <w:r>
        <w:rPr/>
        <w:t>To determine the total earned incentive payment, the Commonwealth will sum the payment</w:t>
      </w:r>
      <w:r>
        <w:rPr>
          <w:spacing w:val="-4"/>
        </w:rPr>
        <w:t> </w:t>
      </w:r>
      <w:r>
        <w:rPr/>
        <w:t>earned</w:t>
      </w:r>
      <w:r>
        <w:rPr>
          <w:spacing w:val="-4"/>
        </w:rPr>
        <w:t> </w:t>
      </w:r>
      <w:r>
        <w:rPr/>
        <w:t>from</w:t>
      </w:r>
      <w:r>
        <w:rPr>
          <w:spacing w:val="-4"/>
        </w:rPr>
        <w:t> </w:t>
      </w:r>
      <w:r>
        <w:rPr/>
        <w:t>CHA’s</w:t>
      </w:r>
      <w:r>
        <w:rPr>
          <w:spacing w:val="-4"/>
        </w:rPr>
        <w:t> </w:t>
      </w:r>
      <w:r>
        <w:rPr/>
        <w:t>performance</w:t>
      </w:r>
      <w:r>
        <w:rPr>
          <w:spacing w:val="-5"/>
        </w:rPr>
        <w:t> </w:t>
      </w:r>
      <w:r>
        <w:rPr/>
        <w:t>described</w:t>
      </w:r>
      <w:r>
        <w:rPr>
          <w:spacing w:val="-4"/>
        </w:rPr>
        <w:t> </w:t>
      </w:r>
      <w:r>
        <w:rPr/>
        <w:t>in</w:t>
      </w:r>
      <w:r>
        <w:rPr>
          <w:spacing w:val="-4"/>
        </w:rPr>
        <w:t> </w:t>
      </w:r>
      <w:r>
        <w:rPr/>
        <w:t>STC</w:t>
      </w:r>
      <w:r>
        <w:rPr>
          <w:spacing w:val="-4"/>
        </w:rPr>
        <w:t> </w:t>
      </w:r>
      <w:r>
        <w:rPr/>
        <w:t>14.17(a)</w:t>
      </w:r>
      <w:r>
        <w:rPr>
          <w:spacing w:val="-5"/>
        </w:rPr>
        <w:t> </w:t>
      </w:r>
      <w:r>
        <w:rPr/>
        <w:t>with</w:t>
      </w:r>
      <w:r>
        <w:rPr>
          <w:spacing w:val="-4"/>
        </w:rPr>
        <w:t> </w:t>
      </w:r>
      <w:r>
        <w:rPr/>
        <w:t>payment earned in STC 14.17(b).</w:t>
      </w:r>
    </w:p>
    <w:p>
      <w:pPr>
        <w:pStyle w:val="BodyText"/>
        <w:spacing w:before="10" w:after="1"/>
        <w:rPr>
          <w:sz w:val="20"/>
        </w:rPr>
      </w:pPr>
    </w:p>
    <w:tbl>
      <w:tblPr>
        <w:tblW w:w="0" w:type="auto"/>
        <w:jc w:val="left"/>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86"/>
        <w:gridCol w:w="1176"/>
        <w:gridCol w:w="1176"/>
        <w:gridCol w:w="1176"/>
        <w:gridCol w:w="1178"/>
        <w:gridCol w:w="1176"/>
        <w:gridCol w:w="1178"/>
      </w:tblGrid>
      <w:tr>
        <w:trPr>
          <w:trHeight w:val="371" w:hRule="atLeast"/>
        </w:trPr>
        <w:tc>
          <w:tcPr>
            <w:tcW w:w="8946" w:type="dxa"/>
            <w:gridSpan w:val="7"/>
            <w:shd w:val="clear" w:color="auto" w:fill="DBE4F0"/>
          </w:tcPr>
          <w:p>
            <w:pPr>
              <w:pStyle w:val="TableParagraph"/>
              <w:spacing w:before="61"/>
              <w:ind w:left="1231" w:right="1219"/>
              <w:jc w:val="center"/>
              <w:rPr>
                <w:b/>
                <w:sz w:val="22"/>
              </w:rPr>
            </w:pPr>
            <w:r>
              <w:rPr>
                <w:b/>
                <w:sz w:val="22"/>
              </w:rPr>
              <w:t>Table</w:t>
            </w:r>
            <w:r>
              <w:rPr>
                <w:b/>
                <w:spacing w:val="-8"/>
                <w:sz w:val="22"/>
              </w:rPr>
              <w:t> </w:t>
            </w:r>
            <w:r>
              <w:rPr>
                <w:b/>
                <w:sz w:val="22"/>
              </w:rPr>
              <w:t>16:</w:t>
            </w:r>
            <w:r>
              <w:rPr>
                <w:b/>
                <w:spacing w:val="-4"/>
                <w:sz w:val="22"/>
              </w:rPr>
              <w:t> </w:t>
            </w:r>
            <w:r>
              <w:rPr>
                <w:b/>
                <w:sz w:val="22"/>
              </w:rPr>
              <w:t>CHA</w:t>
            </w:r>
            <w:r>
              <w:rPr>
                <w:b/>
                <w:spacing w:val="-6"/>
                <w:sz w:val="22"/>
              </w:rPr>
              <w:t> </w:t>
            </w:r>
            <w:r>
              <w:rPr>
                <w:b/>
                <w:sz w:val="22"/>
              </w:rPr>
              <w:t>Expenditure</w:t>
            </w:r>
            <w:r>
              <w:rPr>
                <w:b/>
                <w:spacing w:val="-5"/>
                <w:sz w:val="22"/>
              </w:rPr>
              <w:t> </w:t>
            </w:r>
            <w:r>
              <w:rPr>
                <w:b/>
                <w:sz w:val="22"/>
              </w:rPr>
              <w:t>Authority</w:t>
            </w:r>
            <w:r>
              <w:rPr>
                <w:b/>
                <w:spacing w:val="-5"/>
                <w:sz w:val="22"/>
              </w:rPr>
              <w:t> </w:t>
            </w:r>
            <w:r>
              <w:rPr>
                <w:b/>
                <w:sz w:val="22"/>
              </w:rPr>
              <w:t>Allotments</w:t>
            </w:r>
            <w:r>
              <w:rPr>
                <w:b/>
                <w:spacing w:val="-7"/>
                <w:sz w:val="22"/>
              </w:rPr>
              <w:t> </w:t>
            </w:r>
            <w:r>
              <w:rPr>
                <w:b/>
                <w:sz w:val="22"/>
              </w:rPr>
              <w:t>(total</w:t>
            </w:r>
            <w:r>
              <w:rPr>
                <w:b/>
                <w:spacing w:val="-6"/>
                <w:sz w:val="22"/>
              </w:rPr>
              <w:t> </w:t>
            </w:r>
            <w:r>
              <w:rPr>
                <w:b/>
                <w:spacing w:val="-2"/>
                <w:sz w:val="22"/>
              </w:rPr>
              <w:t>computable)</w:t>
            </w:r>
          </w:p>
        </w:tc>
      </w:tr>
      <w:tr>
        <w:trPr>
          <w:trHeight w:val="374" w:hRule="atLeast"/>
        </w:trPr>
        <w:tc>
          <w:tcPr>
            <w:tcW w:w="1886" w:type="dxa"/>
            <w:shd w:val="clear" w:color="auto" w:fill="DBE4F0"/>
          </w:tcPr>
          <w:p>
            <w:pPr>
              <w:pStyle w:val="TableParagraph"/>
              <w:rPr>
                <w:sz w:val="22"/>
              </w:rPr>
            </w:pPr>
          </w:p>
        </w:tc>
        <w:tc>
          <w:tcPr>
            <w:tcW w:w="1176" w:type="dxa"/>
            <w:shd w:val="clear" w:color="auto" w:fill="DBE4F0"/>
          </w:tcPr>
          <w:p>
            <w:pPr>
              <w:pStyle w:val="TableParagraph"/>
              <w:spacing w:before="61"/>
              <w:ind w:left="290"/>
              <w:rPr>
                <w:b/>
                <w:sz w:val="22"/>
              </w:rPr>
            </w:pPr>
            <w:r>
              <w:rPr>
                <w:b/>
                <w:sz w:val="22"/>
              </w:rPr>
              <w:t>DY</w:t>
            </w:r>
            <w:r>
              <w:rPr>
                <w:b/>
                <w:spacing w:val="-1"/>
                <w:sz w:val="22"/>
              </w:rPr>
              <w:t> </w:t>
            </w:r>
            <w:r>
              <w:rPr>
                <w:b/>
                <w:spacing w:val="-5"/>
                <w:sz w:val="22"/>
              </w:rPr>
              <w:t>27</w:t>
            </w:r>
          </w:p>
        </w:tc>
        <w:tc>
          <w:tcPr>
            <w:tcW w:w="1176" w:type="dxa"/>
            <w:shd w:val="clear" w:color="auto" w:fill="DBE4F0"/>
          </w:tcPr>
          <w:p>
            <w:pPr>
              <w:pStyle w:val="TableParagraph"/>
              <w:spacing w:before="61"/>
              <w:ind w:left="290"/>
              <w:rPr>
                <w:b/>
                <w:sz w:val="22"/>
              </w:rPr>
            </w:pPr>
            <w:r>
              <w:rPr>
                <w:b/>
                <w:sz w:val="22"/>
              </w:rPr>
              <w:t>DY</w:t>
            </w:r>
            <w:r>
              <w:rPr>
                <w:b/>
                <w:spacing w:val="-1"/>
                <w:sz w:val="22"/>
              </w:rPr>
              <w:t> </w:t>
            </w:r>
            <w:r>
              <w:rPr>
                <w:b/>
                <w:spacing w:val="-5"/>
                <w:sz w:val="22"/>
              </w:rPr>
              <w:t>28</w:t>
            </w:r>
          </w:p>
        </w:tc>
        <w:tc>
          <w:tcPr>
            <w:tcW w:w="1176" w:type="dxa"/>
            <w:shd w:val="clear" w:color="auto" w:fill="DBE4F0"/>
          </w:tcPr>
          <w:p>
            <w:pPr>
              <w:pStyle w:val="TableParagraph"/>
              <w:spacing w:before="61"/>
              <w:ind w:left="290"/>
              <w:rPr>
                <w:b/>
                <w:sz w:val="22"/>
              </w:rPr>
            </w:pPr>
            <w:r>
              <w:rPr>
                <w:b/>
                <w:sz w:val="22"/>
              </w:rPr>
              <w:t>DY</w:t>
            </w:r>
            <w:r>
              <w:rPr>
                <w:b/>
                <w:spacing w:val="-1"/>
                <w:sz w:val="22"/>
              </w:rPr>
              <w:t> </w:t>
            </w:r>
            <w:r>
              <w:rPr>
                <w:b/>
                <w:spacing w:val="-5"/>
                <w:sz w:val="22"/>
              </w:rPr>
              <w:t>29</w:t>
            </w:r>
          </w:p>
        </w:tc>
        <w:tc>
          <w:tcPr>
            <w:tcW w:w="1178" w:type="dxa"/>
            <w:shd w:val="clear" w:color="auto" w:fill="DBE4F0"/>
          </w:tcPr>
          <w:p>
            <w:pPr>
              <w:pStyle w:val="TableParagraph"/>
              <w:spacing w:before="61"/>
              <w:ind w:left="319"/>
              <w:rPr>
                <w:b/>
                <w:sz w:val="22"/>
              </w:rPr>
            </w:pPr>
            <w:r>
              <w:rPr>
                <w:b/>
                <w:spacing w:val="-4"/>
                <w:sz w:val="22"/>
              </w:rPr>
              <w:t>DY30</w:t>
            </w:r>
          </w:p>
        </w:tc>
        <w:tc>
          <w:tcPr>
            <w:tcW w:w="1176" w:type="dxa"/>
            <w:shd w:val="clear" w:color="auto" w:fill="DBE4F0"/>
          </w:tcPr>
          <w:p>
            <w:pPr>
              <w:pStyle w:val="TableParagraph"/>
              <w:spacing w:before="61"/>
              <w:ind w:left="291"/>
              <w:rPr>
                <w:b/>
                <w:sz w:val="22"/>
              </w:rPr>
            </w:pPr>
            <w:r>
              <w:rPr>
                <w:b/>
                <w:sz w:val="22"/>
              </w:rPr>
              <w:t>DY</w:t>
            </w:r>
            <w:r>
              <w:rPr>
                <w:b/>
                <w:spacing w:val="-1"/>
                <w:sz w:val="22"/>
              </w:rPr>
              <w:t> </w:t>
            </w:r>
            <w:r>
              <w:rPr>
                <w:b/>
                <w:spacing w:val="-5"/>
                <w:sz w:val="22"/>
              </w:rPr>
              <w:t>31</w:t>
            </w:r>
          </w:p>
        </w:tc>
        <w:tc>
          <w:tcPr>
            <w:tcW w:w="1178" w:type="dxa"/>
            <w:shd w:val="clear" w:color="auto" w:fill="DBE4F0"/>
          </w:tcPr>
          <w:p>
            <w:pPr>
              <w:pStyle w:val="TableParagraph"/>
              <w:spacing w:before="61"/>
              <w:ind w:left="319"/>
              <w:rPr>
                <w:b/>
                <w:sz w:val="22"/>
              </w:rPr>
            </w:pPr>
            <w:r>
              <w:rPr>
                <w:b/>
                <w:spacing w:val="-4"/>
                <w:sz w:val="22"/>
              </w:rPr>
              <w:t>DY32</w:t>
            </w:r>
          </w:p>
        </w:tc>
      </w:tr>
      <w:tr>
        <w:trPr>
          <w:trHeight w:val="505" w:hRule="atLeast"/>
        </w:trPr>
        <w:tc>
          <w:tcPr>
            <w:tcW w:w="1886" w:type="dxa"/>
          </w:tcPr>
          <w:p>
            <w:pPr>
              <w:pStyle w:val="TableParagraph"/>
              <w:spacing w:line="252" w:lineRule="exact"/>
              <w:ind w:left="107" w:right="596"/>
              <w:rPr>
                <w:sz w:val="22"/>
              </w:rPr>
            </w:pPr>
            <w:r>
              <w:rPr>
                <w:spacing w:val="-2"/>
                <w:sz w:val="22"/>
              </w:rPr>
              <w:t>Hospital performance</w:t>
            </w:r>
          </w:p>
        </w:tc>
        <w:tc>
          <w:tcPr>
            <w:tcW w:w="1176" w:type="dxa"/>
          </w:tcPr>
          <w:p>
            <w:pPr>
              <w:pStyle w:val="TableParagraph"/>
              <w:spacing w:line="251" w:lineRule="exact"/>
              <w:ind w:left="108"/>
              <w:rPr>
                <w:sz w:val="22"/>
              </w:rPr>
            </w:pPr>
            <w:r>
              <w:rPr>
                <w:spacing w:val="-2"/>
                <w:sz w:val="22"/>
              </w:rPr>
              <w:t>$15.75M</w:t>
            </w:r>
          </w:p>
        </w:tc>
        <w:tc>
          <w:tcPr>
            <w:tcW w:w="1176" w:type="dxa"/>
          </w:tcPr>
          <w:p>
            <w:pPr>
              <w:pStyle w:val="TableParagraph"/>
              <w:spacing w:line="251" w:lineRule="exact"/>
              <w:ind w:left="108"/>
              <w:rPr>
                <w:sz w:val="22"/>
              </w:rPr>
            </w:pPr>
            <w:r>
              <w:rPr>
                <w:spacing w:val="-4"/>
                <w:sz w:val="22"/>
              </w:rPr>
              <w:t>$63M</w:t>
            </w:r>
          </w:p>
        </w:tc>
        <w:tc>
          <w:tcPr>
            <w:tcW w:w="1176" w:type="dxa"/>
          </w:tcPr>
          <w:p>
            <w:pPr>
              <w:pStyle w:val="TableParagraph"/>
              <w:spacing w:line="251" w:lineRule="exact"/>
              <w:ind w:left="108"/>
              <w:rPr>
                <w:sz w:val="22"/>
              </w:rPr>
            </w:pPr>
            <w:r>
              <w:rPr>
                <w:spacing w:val="-4"/>
                <w:sz w:val="22"/>
              </w:rPr>
              <w:t>$63M</w:t>
            </w:r>
          </w:p>
        </w:tc>
        <w:tc>
          <w:tcPr>
            <w:tcW w:w="1178" w:type="dxa"/>
          </w:tcPr>
          <w:p>
            <w:pPr>
              <w:pStyle w:val="TableParagraph"/>
              <w:spacing w:line="251" w:lineRule="exact"/>
              <w:ind w:left="108"/>
              <w:rPr>
                <w:sz w:val="22"/>
              </w:rPr>
            </w:pPr>
            <w:r>
              <w:rPr>
                <w:spacing w:val="-4"/>
                <w:sz w:val="22"/>
              </w:rPr>
              <w:t>$63M</w:t>
            </w:r>
          </w:p>
        </w:tc>
        <w:tc>
          <w:tcPr>
            <w:tcW w:w="1176" w:type="dxa"/>
          </w:tcPr>
          <w:p>
            <w:pPr>
              <w:pStyle w:val="TableParagraph"/>
              <w:spacing w:line="251" w:lineRule="exact"/>
              <w:ind w:left="108"/>
              <w:rPr>
                <w:sz w:val="22"/>
              </w:rPr>
            </w:pPr>
            <w:r>
              <w:rPr>
                <w:spacing w:val="-4"/>
                <w:sz w:val="22"/>
              </w:rPr>
              <w:t>$63M</w:t>
            </w:r>
          </w:p>
        </w:tc>
        <w:tc>
          <w:tcPr>
            <w:tcW w:w="1178" w:type="dxa"/>
          </w:tcPr>
          <w:p>
            <w:pPr>
              <w:pStyle w:val="TableParagraph"/>
              <w:spacing w:line="251" w:lineRule="exact"/>
              <w:ind w:left="108"/>
              <w:rPr>
                <w:sz w:val="22"/>
              </w:rPr>
            </w:pPr>
            <w:r>
              <w:rPr>
                <w:spacing w:val="-4"/>
                <w:sz w:val="22"/>
              </w:rPr>
              <w:t>$63M</w:t>
            </w:r>
          </w:p>
        </w:tc>
      </w:tr>
      <w:tr>
        <w:trPr>
          <w:trHeight w:val="506" w:hRule="atLeast"/>
        </w:trPr>
        <w:tc>
          <w:tcPr>
            <w:tcW w:w="1886" w:type="dxa"/>
          </w:tcPr>
          <w:p>
            <w:pPr>
              <w:pStyle w:val="TableParagraph"/>
              <w:spacing w:line="252" w:lineRule="exact"/>
              <w:ind w:left="107" w:right="596"/>
              <w:rPr>
                <w:sz w:val="22"/>
              </w:rPr>
            </w:pPr>
            <w:r>
              <w:rPr>
                <w:spacing w:val="-2"/>
                <w:sz w:val="22"/>
              </w:rPr>
              <w:t>Ambulatory performance</w:t>
            </w:r>
          </w:p>
        </w:tc>
        <w:tc>
          <w:tcPr>
            <w:tcW w:w="1176" w:type="dxa"/>
          </w:tcPr>
          <w:p>
            <w:pPr>
              <w:pStyle w:val="TableParagraph"/>
              <w:spacing w:line="251" w:lineRule="exact"/>
              <w:ind w:left="108"/>
              <w:rPr>
                <w:sz w:val="22"/>
              </w:rPr>
            </w:pPr>
            <w:r>
              <w:rPr>
                <w:spacing w:val="-2"/>
                <w:sz w:val="22"/>
              </w:rPr>
              <w:t>$6.75M</w:t>
            </w:r>
          </w:p>
        </w:tc>
        <w:tc>
          <w:tcPr>
            <w:tcW w:w="1176" w:type="dxa"/>
          </w:tcPr>
          <w:p>
            <w:pPr>
              <w:pStyle w:val="TableParagraph"/>
              <w:spacing w:line="251" w:lineRule="exact"/>
              <w:ind w:left="108"/>
              <w:rPr>
                <w:sz w:val="22"/>
              </w:rPr>
            </w:pPr>
            <w:r>
              <w:rPr>
                <w:spacing w:val="-4"/>
                <w:sz w:val="22"/>
              </w:rPr>
              <w:t>$27M</w:t>
            </w:r>
          </w:p>
        </w:tc>
        <w:tc>
          <w:tcPr>
            <w:tcW w:w="1176" w:type="dxa"/>
          </w:tcPr>
          <w:p>
            <w:pPr>
              <w:pStyle w:val="TableParagraph"/>
              <w:spacing w:line="251" w:lineRule="exact"/>
              <w:ind w:left="108"/>
              <w:rPr>
                <w:sz w:val="22"/>
              </w:rPr>
            </w:pPr>
            <w:r>
              <w:rPr>
                <w:spacing w:val="-4"/>
                <w:sz w:val="22"/>
              </w:rPr>
              <w:t>$27M</w:t>
            </w:r>
          </w:p>
        </w:tc>
        <w:tc>
          <w:tcPr>
            <w:tcW w:w="1178" w:type="dxa"/>
          </w:tcPr>
          <w:p>
            <w:pPr>
              <w:pStyle w:val="TableParagraph"/>
              <w:spacing w:line="251" w:lineRule="exact"/>
              <w:ind w:left="108"/>
              <w:rPr>
                <w:sz w:val="22"/>
              </w:rPr>
            </w:pPr>
            <w:r>
              <w:rPr>
                <w:spacing w:val="-4"/>
                <w:sz w:val="22"/>
              </w:rPr>
              <w:t>$27M</w:t>
            </w:r>
          </w:p>
        </w:tc>
        <w:tc>
          <w:tcPr>
            <w:tcW w:w="1176" w:type="dxa"/>
          </w:tcPr>
          <w:p>
            <w:pPr>
              <w:pStyle w:val="TableParagraph"/>
              <w:spacing w:line="251" w:lineRule="exact"/>
              <w:ind w:left="108"/>
              <w:rPr>
                <w:sz w:val="22"/>
              </w:rPr>
            </w:pPr>
            <w:r>
              <w:rPr>
                <w:spacing w:val="-4"/>
                <w:sz w:val="22"/>
              </w:rPr>
              <w:t>$27M</w:t>
            </w:r>
          </w:p>
        </w:tc>
        <w:tc>
          <w:tcPr>
            <w:tcW w:w="1178" w:type="dxa"/>
          </w:tcPr>
          <w:p>
            <w:pPr>
              <w:pStyle w:val="TableParagraph"/>
              <w:spacing w:line="251" w:lineRule="exact"/>
              <w:ind w:left="108"/>
              <w:rPr>
                <w:sz w:val="22"/>
              </w:rPr>
            </w:pPr>
            <w:r>
              <w:rPr>
                <w:spacing w:val="-4"/>
                <w:sz w:val="22"/>
              </w:rPr>
              <w:t>$27M</w:t>
            </w:r>
          </w:p>
        </w:tc>
      </w:tr>
      <w:tr>
        <w:trPr>
          <w:trHeight w:val="505" w:hRule="atLeast"/>
        </w:trPr>
        <w:tc>
          <w:tcPr>
            <w:tcW w:w="1886" w:type="dxa"/>
          </w:tcPr>
          <w:p>
            <w:pPr>
              <w:pStyle w:val="TableParagraph"/>
              <w:spacing w:line="252" w:lineRule="exact"/>
              <w:ind w:left="107" w:right="596"/>
              <w:rPr>
                <w:sz w:val="22"/>
              </w:rPr>
            </w:pPr>
            <w:r>
              <w:rPr>
                <w:sz w:val="22"/>
              </w:rPr>
              <w:t>Total</w:t>
            </w:r>
            <w:r>
              <w:rPr>
                <w:spacing w:val="-14"/>
                <w:sz w:val="22"/>
              </w:rPr>
              <w:t> </w:t>
            </w:r>
            <w:r>
              <w:rPr>
                <w:sz w:val="22"/>
              </w:rPr>
              <w:t>Annual </w:t>
            </w:r>
            <w:r>
              <w:rPr>
                <w:spacing w:val="-4"/>
                <w:sz w:val="22"/>
              </w:rPr>
              <w:t>Limit</w:t>
            </w:r>
          </w:p>
        </w:tc>
        <w:tc>
          <w:tcPr>
            <w:tcW w:w="1176" w:type="dxa"/>
          </w:tcPr>
          <w:p>
            <w:pPr>
              <w:pStyle w:val="TableParagraph"/>
              <w:spacing w:line="251" w:lineRule="exact"/>
              <w:ind w:left="108"/>
              <w:rPr>
                <w:sz w:val="22"/>
              </w:rPr>
            </w:pPr>
            <w:r>
              <w:rPr>
                <w:spacing w:val="-2"/>
                <w:sz w:val="22"/>
              </w:rPr>
              <w:t>$22.5M</w:t>
            </w:r>
          </w:p>
        </w:tc>
        <w:tc>
          <w:tcPr>
            <w:tcW w:w="1176" w:type="dxa"/>
          </w:tcPr>
          <w:p>
            <w:pPr>
              <w:pStyle w:val="TableParagraph"/>
              <w:spacing w:line="251" w:lineRule="exact"/>
              <w:ind w:left="108"/>
              <w:rPr>
                <w:sz w:val="22"/>
              </w:rPr>
            </w:pPr>
            <w:r>
              <w:rPr>
                <w:spacing w:val="-4"/>
                <w:sz w:val="22"/>
              </w:rPr>
              <w:t>$90M</w:t>
            </w:r>
          </w:p>
        </w:tc>
        <w:tc>
          <w:tcPr>
            <w:tcW w:w="1176" w:type="dxa"/>
          </w:tcPr>
          <w:p>
            <w:pPr>
              <w:pStyle w:val="TableParagraph"/>
              <w:spacing w:line="251" w:lineRule="exact"/>
              <w:ind w:left="108"/>
              <w:rPr>
                <w:sz w:val="22"/>
              </w:rPr>
            </w:pPr>
            <w:r>
              <w:rPr>
                <w:spacing w:val="-4"/>
                <w:sz w:val="22"/>
              </w:rPr>
              <w:t>$90M</w:t>
            </w:r>
          </w:p>
        </w:tc>
        <w:tc>
          <w:tcPr>
            <w:tcW w:w="1178" w:type="dxa"/>
          </w:tcPr>
          <w:p>
            <w:pPr>
              <w:pStyle w:val="TableParagraph"/>
              <w:spacing w:line="251" w:lineRule="exact"/>
              <w:ind w:left="108"/>
              <w:rPr>
                <w:sz w:val="22"/>
              </w:rPr>
            </w:pPr>
            <w:r>
              <w:rPr>
                <w:spacing w:val="-4"/>
                <w:sz w:val="22"/>
              </w:rPr>
              <w:t>$90M</w:t>
            </w:r>
          </w:p>
        </w:tc>
        <w:tc>
          <w:tcPr>
            <w:tcW w:w="1176" w:type="dxa"/>
          </w:tcPr>
          <w:p>
            <w:pPr>
              <w:pStyle w:val="TableParagraph"/>
              <w:spacing w:line="251" w:lineRule="exact"/>
              <w:ind w:left="108"/>
              <w:rPr>
                <w:sz w:val="22"/>
              </w:rPr>
            </w:pPr>
            <w:r>
              <w:rPr>
                <w:spacing w:val="-4"/>
                <w:sz w:val="22"/>
              </w:rPr>
              <w:t>$90M</w:t>
            </w:r>
          </w:p>
        </w:tc>
        <w:tc>
          <w:tcPr>
            <w:tcW w:w="1178" w:type="dxa"/>
          </w:tcPr>
          <w:p>
            <w:pPr>
              <w:pStyle w:val="TableParagraph"/>
              <w:spacing w:line="251" w:lineRule="exact"/>
              <w:ind w:left="108"/>
              <w:rPr>
                <w:sz w:val="22"/>
              </w:rPr>
            </w:pPr>
            <w:r>
              <w:rPr>
                <w:spacing w:val="-4"/>
                <w:sz w:val="22"/>
              </w:rPr>
              <w:t>$90M</w:t>
            </w:r>
          </w:p>
        </w:tc>
      </w:tr>
    </w:tbl>
    <w:p>
      <w:pPr>
        <w:spacing w:after="0" w:line="251" w:lineRule="exact"/>
        <w:rPr>
          <w:sz w:val="22"/>
        </w:rPr>
        <w:sectPr>
          <w:pgSz w:w="12240" w:h="15840"/>
          <w:pgMar w:header="0" w:footer="1201" w:top="1360" w:bottom="1400" w:left="1200" w:right="400"/>
        </w:sectPr>
      </w:pPr>
    </w:p>
    <w:p>
      <w:pPr>
        <w:pStyle w:val="BodyText"/>
        <w:spacing w:before="79"/>
        <w:ind w:left="871" w:right="1059"/>
      </w:pPr>
      <w:r>
        <w:rPr/>
        <w:drawing>
          <wp:anchor distT="0" distB="0" distL="0" distR="0" allowOverlap="1" layoutInCell="1" locked="0" behindDoc="0" simplePos="0" relativeHeight="15980544">
            <wp:simplePos x="0" y="0"/>
            <wp:positionH relativeFrom="page">
              <wp:posOffset>832103</wp:posOffset>
            </wp:positionH>
            <wp:positionV relativeFrom="paragraph">
              <wp:posOffset>85777</wp:posOffset>
            </wp:positionV>
            <wp:extent cx="359663" cy="112763"/>
            <wp:effectExtent l="0" t="0" r="0" b="0"/>
            <wp:wrapNone/>
            <wp:docPr id="503" name="Image 503"/>
            <wp:cNvGraphicFramePr>
              <a:graphicFrameLocks/>
            </wp:cNvGraphicFramePr>
            <a:graphic>
              <a:graphicData uri="http://schemas.openxmlformats.org/drawingml/2006/picture">
                <pic:pic>
                  <pic:nvPicPr>
                    <pic:cNvPr id="503" name="Image 503"/>
                    <pic:cNvPicPr/>
                  </pic:nvPicPr>
                  <pic:blipFill>
                    <a:blip r:embed="rId219" cstate="print"/>
                    <a:stretch>
                      <a:fillRect/>
                    </a:stretch>
                  </pic:blipFill>
                  <pic:spPr>
                    <a:xfrm>
                      <a:off x="0" y="0"/>
                      <a:ext cx="359663" cy="112763"/>
                    </a:xfrm>
                    <a:prstGeom prst="rect">
                      <a:avLst/>
                    </a:prstGeom>
                  </pic:spPr>
                </pic:pic>
              </a:graphicData>
            </a:graphic>
          </wp:anchor>
        </w:drawing>
      </w:r>
      <w:bookmarkStart w:name="14.18. CHA Hospital Quality and Equity I" w:id="773"/>
      <w:bookmarkEnd w:id="773"/>
      <w:r>
        <w:rPr/>
      </w:r>
      <w:r>
        <w:rPr>
          <w:b/>
        </w:rPr>
        <w:t>CHA Hospital Quality and Equity Initiative Implementation Plan. </w:t>
      </w:r>
      <w:r>
        <w:rPr/>
        <w:t>The Implementation Plan for CHA’s Hospital Quality and Equity Initiative will be an addendum to the Hospital Quality</w:t>
      </w:r>
      <w:r>
        <w:rPr>
          <w:spacing w:val="-2"/>
        </w:rPr>
        <w:t> </w:t>
      </w:r>
      <w:r>
        <w:rPr/>
        <w:t>and Equity Initiative Implementation Plan as defined in STC 14.8 (following the same timeframe for submission and revision as described in that STC), and must address the same content expectations specified in STC 14.8 related to 14.17(a) for the hospital-based Medicaid population, with adaptations necessary for the inclusion of the uninsured individuals served by CHA.</w:t>
      </w:r>
      <w:r>
        <w:rPr>
          <w:spacing w:val="80"/>
        </w:rPr>
        <w:t> </w:t>
      </w:r>
      <w:r>
        <w:rPr/>
        <w:t>The parameters for 14.17(b) will be included in the CHA-specific addendum to the Hospital Quality and Equity Initiative Implementation Plan.</w:t>
      </w:r>
      <w:r>
        <w:rPr>
          <w:spacing w:val="40"/>
        </w:rPr>
        <w:t> </w:t>
      </w:r>
      <w:r>
        <w:rPr/>
        <w:t>To the extent MassHealth intends to make any</w:t>
      </w:r>
      <w:r>
        <w:rPr>
          <w:spacing w:val="-3"/>
        </w:rPr>
        <w:t> </w:t>
      </w:r>
      <w:r>
        <w:rPr/>
        <w:t>changes to the CHA program’s operation, it must submit the proposed change to the Hospital Quality and Equity Initiative Implementation Plan to CMS and receive approval prior to implementation</w:t>
      </w:r>
      <w:r>
        <w:rPr>
          <w:spacing w:val="-3"/>
        </w:rPr>
        <w:t> </w:t>
      </w:r>
      <w:r>
        <w:rPr/>
        <w:t>of</w:t>
      </w:r>
      <w:r>
        <w:rPr>
          <w:spacing w:val="-4"/>
        </w:rPr>
        <w:t> </w:t>
      </w:r>
      <w:r>
        <w:rPr/>
        <w:t>any</w:t>
      </w:r>
      <w:r>
        <w:rPr>
          <w:spacing w:val="-6"/>
        </w:rPr>
        <w:t> </w:t>
      </w:r>
      <w:r>
        <w:rPr/>
        <w:t>changes.</w:t>
      </w:r>
      <w:r>
        <w:rPr>
          <w:spacing w:val="40"/>
        </w:rPr>
        <w:t> </w:t>
      </w:r>
      <w:r>
        <w:rPr/>
        <w:t>Updates</w:t>
      </w:r>
      <w:r>
        <w:rPr>
          <w:spacing w:val="-3"/>
        </w:rPr>
        <w:t> </w:t>
      </w:r>
      <w:r>
        <w:rPr/>
        <w:t>to</w:t>
      </w:r>
      <w:r>
        <w:rPr>
          <w:spacing w:val="-3"/>
        </w:rPr>
        <w:t> </w:t>
      </w:r>
      <w:r>
        <w:rPr/>
        <w:t>technical</w:t>
      </w:r>
      <w:r>
        <w:rPr>
          <w:spacing w:val="-3"/>
        </w:rPr>
        <w:t> </w:t>
      </w:r>
      <w:r>
        <w:rPr/>
        <w:t>specifications</w:t>
      </w:r>
      <w:r>
        <w:rPr>
          <w:spacing w:val="-3"/>
        </w:rPr>
        <w:t> </w:t>
      </w:r>
      <w:r>
        <w:rPr/>
        <w:t>shall</w:t>
      </w:r>
      <w:r>
        <w:rPr>
          <w:spacing w:val="-3"/>
        </w:rPr>
        <w:t> </w:t>
      </w:r>
      <w:r>
        <w:rPr/>
        <w:t>not</w:t>
      </w:r>
      <w:r>
        <w:rPr>
          <w:spacing w:val="-3"/>
        </w:rPr>
        <w:t> </w:t>
      </w:r>
      <w:r>
        <w:rPr/>
        <w:t>require</w:t>
      </w:r>
      <w:r>
        <w:rPr>
          <w:spacing w:val="-4"/>
        </w:rPr>
        <w:t> </w:t>
      </w:r>
      <w:r>
        <w:rPr/>
        <w:t>CMS approval insofar as the updates do not alter the intention of measure, but must be documented in Monitoring Reports and/or the Implementation Plan, as appropriate.</w:t>
      </w:r>
      <w:r>
        <w:rPr>
          <w:spacing w:val="40"/>
        </w:rPr>
        <w:t> </w:t>
      </w:r>
      <w:r>
        <w:rPr/>
        <w:t>FFP cannot be claimed until the protocol is approved by CMS, but FFP may be claimed retroactively</w:t>
      </w:r>
      <w:r>
        <w:rPr>
          <w:spacing w:val="-1"/>
        </w:rPr>
        <w:t> </w:t>
      </w:r>
      <w:r>
        <w:rPr/>
        <w:t>to the date of the initiative’s approval, for approved elements of the Hospital Quality and Equity Initiative Implementation Plan.</w:t>
      </w:r>
    </w:p>
    <w:p>
      <w:pPr>
        <w:pStyle w:val="BodyText"/>
        <w:spacing w:before="10"/>
        <w:rPr>
          <w:sz w:val="20"/>
        </w:rPr>
      </w:pPr>
    </w:p>
    <w:p>
      <w:pPr>
        <w:spacing w:before="0"/>
        <w:ind w:left="871" w:right="1059" w:firstLine="0"/>
        <w:jc w:val="left"/>
        <w:rPr>
          <w:sz w:val="24"/>
        </w:rPr>
      </w:pPr>
      <w:r>
        <w:rPr/>
        <w:drawing>
          <wp:anchor distT="0" distB="0" distL="0" distR="0" allowOverlap="1" layoutInCell="1" locked="0" behindDoc="0" simplePos="0" relativeHeight="15981056">
            <wp:simplePos x="0" y="0"/>
            <wp:positionH relativeFrom="page">
              <wp:posOffset>832103</wp:posOffset>
            </wp:positionH>
            <wp:positionV relativeFrom="paragraph">
              <wp:posOffset>35612</wp:posOffset>
            </wp:positionV>
            <wp:extent cx="359663" cy="112763"/>
            <wp:effectExtent l="0" t="0" r="0" b="0"/>
            <wp:wrapNone/>
            <wp:docPr id="504" name="Image 504"/>
            <wp:cNvGraphicFramePr>
              <a:graphicFrameLocks/>
            </wp:cNvGraphicFramePr>
            <a:graphic>
              <a:graphicData uri="http://schemas.openxmlformats.org/drawingml/2006/picture">
                <pic:pic>
                  <pic:nvPicPr>
                    <pic:cNvPr id="504" name="Image 504"/>
                    <pic:cNvPicPr/>
                  </pic:nvPicPr>
                  <pic:blipFill>
                    <a:blip r:embed="rId220" cstate="print"/>
                    <a:stretch>
                      <a:fillRect/>
                    </a:stretch>
                  </pic:blipFill>
                  <pic:spPr>
                    <a:xfrm>
                      <a:off x="0" y="0"/>
                      <a:ext cx="359663" cy="112763"/>
                    </a:xfrm>
                    <a:prstGeom prst="rect">
                      <a:avLst/>
                    </a:prstGeom>
                  </pic:spPr>
                </pic:pic>
              </a:graphicData>
            </a:graphic>
          </wp:anchor>
        </w:drawing>
      </w:r>
      <w:bookmarkStart w:name="14.19. Statewide Accountability and Camb" w:id="774"/>
      <w:bookmarkEnd w:id="774"/>
      <w:r>
        <w:rPr/>
      </w:r>
      <w:r>
        <w:rPr>
          <w:b/>
          <w:sz w:val="24"/>
        </w:rPr>
        <w:t>Statewide Accountability and Cambridge Health Alliance. </w:t>
      </w:r>
      <w:r>
        <w:rPr>
          <w:sz w:val="24"/>
        </w:rPr>
        <w:t>Cambridge Health Alliance’s performance for Medicaid beneficiaries on the Hospital Quality and Equity Initiative</w:t>
      </w:r>
      <w:r>
        <w:rPr>
          <w:spacing w:val="-4"/>
          <w:sz w:val="24"/>
        </w:rPr>
        <w:t> </w:t>
      </w:r>
      <w:r>
        <w:rPr>
          <w:sz w:val="24"/>
        </w:rPr>
        <w:t>will</w:t>
      </w:r>
      <w:r>
        <w:rPr>
          <w:spacing w:val="-3"/>
          <w:sz w:val="24"/>
        </w:rPr>
        <w:t> </w:t>
      </w:r>
      <w:r>
        <w:rPr>
          <w:sz w:val="24"/>
        </w:rPr>
        <w:t>be</w:t>
      </w:r>
      <w:r>
        <w:rPr>
          <w:spacing w:val="-4"/>
          <w:sz w:val="24"/>
        </w:rPr>
        <w:t> </w:t>
      </w:r>
      <w:r>
        <w:rPr>
          <w:sz w:val="24"/>
        </w:rPr>
        <w:t>an</w:t>
      </w:r>
      <w:r>
        <w:rPr>
          <w:spacing w:val="-3"/>
          <w:sz w:val="24"/>
        </w:rPr>
        <w:t> </w:t>
      </w:r>
      <w:r>
        <w:rPr>
          <w:sz w:val="24"/>
        </w:rPr>
        <w:t>input</w:t>
      </w:r>
      <w:r>
        <w:rPr>
          <w:spacing w:val="-1"/>
          <w:sz w:val="24"/>
        </w:rPr>
        <w:t> </w:t>
      </w:r>
      <w:r>
        <w:rPr>
          <w:sz w:val="24"/>
        </w:rPr>
        <w:t>into</w:t>
      </w:r>
      <w:r>
        <w:rPr>
          <w:spacing w:val="-3"/>
          <w:sz w:val="24"/>
        </w:rPr>
        <w:t> </w:t>
      </w:r>
      <w:r>
        <w:rPr>
          <w:sz w:val="24"/>
        </w:rPr>
        <w:t>statewide</w:t>
      </w:r>
      <w:r>
        <w:rPr>
          <w:spacing w:val="-4"/>
          <w:sz w:val="24"/>
        </w:rPr>
        <w:t> </w:t>
      </w:r>
      <w:r>
        <w:rPr>
          <w:sz w:val="24"/>
        </w:rPr>
        <w:t>accountability</w:t>
      </w:r>
      <w:r>
        <w:rPr>
          <w:spacing w:val="-8"/>
          <w:sz w:val="24"/>
        </w:rPr>
        <w:t> </w:t>
      </w:r>
      <w:r>
        <w:rPr>
          <w:sz w:val="24"/>
        </w:rPr>
        <w:t>calculation,</w:t>
      </w:r>
      <w:r>
        <w:rPr>
          <w:spacing w:val="-3"/>
          <w:sz w:val="24"/>
        </w:rPr>
        <w:t> </w:t>
      </w:r>
      <w:r>
        <w:rPr>
          <w:sz w:val="24"/>
        </w:rPr>
        <w:t>as</w:t>
      </w:r>
      <w:r>
        <w:rPr>
          <w:spacing w:val="-3"/>
          <w:sz w:val="24"/>
        </w:rPr>
        <w:t> </w:t>
      </w:r>
      <w:r>
        <w:rPr>
          <w:sz w:val="24"/>
        </w:rPr>
        <w:t>described</w:t>
      </w:r>
      <w:r>
        <w:rPr>
          <w:spacing w:val="-3"/>
          <w:sz w:val="24"/>
        </w:rPr>
        <w:t> </w:t>
      </w:r>
      <w:r>
        <w:rPr>
          <w:sz w:val="24"/>
        </w:rPr>
        <w:t>in</w:t>
      </w:r>
      <w:r>
        <w:rPr>
          <w:spacing w:val="-3"/>
          <w:sz w:val="24"/>
        </w:rPr>
        <w:t> </w:t>
      </w:r>
      <w:r>
        <w:rPr>
          <w:sz w:val="24"/>
        </w:rPr>
        <w:t>STC</w:t>
      </w:r>
    </w:p>
    <w:p>
      <w:pPr>
        <w:pStyle w:val="BodyText"/>
        <w:ind w:left="871" w:right="1059"/>
      </w:pPr>
      <w:r>
        <w:rPr/>
        <w:t>14.9.</w:t>
      </w:r>
      <w:r>
        <w:rPr>
          <w:spacing w:val="40"/>
        </w:rPr>
        <w:t> </w:t>
      </w:r>
      <w:r>
        <w:rPr/>
        <w:t>In the event that statewide accountability calculations lead to a reduction in expenditure authority for the Hospital Quality and Equity Initiative for a demonstration year,</w:t>
      </w:r>
      <w:r>
        <w:rPr>
          <w:spacing w:val="-3"/>
        </w:rPr>
        <w:t> </w:t>
      </w:r>
      <w:r>
        <w:rPr/>
        <w:t>a</w:t>
      </w:r>
      <w:r>
        <w:rPr>
          <w:spacing w:val="-4"/>
        </w:rPr>
        <w:t> </w:t>
      </w:r>
      <w:r>
        <w:rPr/>
        <w:t>proportionate</w:t>
      </w:r>
      <w:r>
        <w:rPr>
          <w:spacing w:val="-2"/>
        </w:rPr>
        <w:t> </w:t>
      </w:r>
      <w:r>
        <w:rPr/>
        <w:t>reduction</w:t>
      </w:r>
      <w:r>
        <w:rPr>
          <w:spacing w:val="-3"/>
        </w:rPr>
        <w:t> </w:t>
      </w:r>
      <w:r>
        <w:rPr/>
        <w:t>will</w:t>
      </w:r>
      <w:r>
        <w:rPr>
          <w:spacing w:val="-3"/>
        </w:rPr>
        <w:t> </w:t>
      </w:r>
      <w:r>
        <w:rPr/>
        <w:t>be</w:t>
      </w:r>
      <w:r>
        <w:rPr>
          <w:spacing w:val="-4"/>
        </w:rPr>
        <w:t> </w:t>
      </w:r>
      <w:r>
        <w:rPr/>
        <w:t>made</w:t>
      </w:r>
      <w:r>
        <w:rPr>
          <w:spacing w:val="-4"/>
        </w:rPr>
        <w:t> </w:t>
      </w:r>
      <w:r>
        <w:rPr/>
        <w:t>to</w:t>
      </w:r>
      <w:r>
        <w:rPr>
          <w:spacing w:val="-3"/>
        </w:rPr>
        <w:t> </w:t>
      </w:r>
      <w:r>
        <w:rPr/>
        <w:t>the</w:t>
      </w:r>
      <w:r>
        <w:rPr>
          <w:spacing w:val="-4"/>
        </w:rPr>
        <w:t> </w:t>
      </w:r>
      <w:r>
        <w:rPr/>
        <w:t>CHA-specific</w:t>
      </w:r>
      <w:r>
        <w:rPr>
          <w:spacing w:val="-4"/>
        </w:rPr>
        <w:t> </w:t>
      </w:r>
      <w:r>
        <w:rPr/>
        <w:t>program’s</w:t>
      </w:r>
      <w:r>
        <w:rPr>
          <w:spacing w:val="-3"/>
        </w:rPr>
        <w:t> </w:t>
      </w:r>
      <w:r>
        <w:rPr/>
        <w:t>expenditure </w:t>
      </w:r>
      <w:r>
        <w:rPr>
          <w:spacing w:val="-2"/>
        </w:rPr>
        <w:t>authority.</w:t>
      </w:r>
    </w:p>
    <w:p>
      <w:pPr>
        <w:pStyle w:val="BodyText"/>
        <w:spacing w:before="10"/>
        <w:rPr>
          <w:sz w:val="20"/>
        </w:rPr>
      </w:pPr>
    </w:p>
    <w:p>
      <w:pPr>
        <w:spacing w:before="0"/>
        <w:ind w:left="871" w:right="1059" w:firstLine="0"/>
        <w:jc w:val="left"/>
        <w:rPr>
          <w:sz w:val="24"/>
        </w:rPr>
      </w:pPr>
      <w:r>
        <w:rPr/>
        <w:drawing>
          <wp:anchor distT="0" distB="0" distL="0" distR="0" allowOverlap="1" layoutInCell="1" locked="0" behindDoc="0" simplePos="0" relativeHeight="15981568">
            <wp:simplePos x="0" y="0"/>
            <wp:positionH relativeFrom="page">
              <wp:posOffset>832103</wp:posOffset>
            </wp:positionH>
            <wp:positionV relativeFrom="paragraph">
              <wp:posOffset>35599</wp:posOffset>
            </wp:positionV>
            <wp:extent cx="359663" cy="112775"/>
            <wp:effectExtent l="0" t="0" r="0" b="0"/>
            <wp:wrapNone/>
            <wp:docPr id="505" name="Image 505"/>
            <wp:cNvGraphicFramePr>
              <a:graphicFrameLocks/>
            </wp:cNvGraphicFramePr>
            <a:graphic>
              <a:graphicData uri="http://schemas.openxmlformats.org/drawingml/2006/picture">
                <pic:pic>
                  <pic:nvPicPr>
                    <pic:cNvPr id="505" name="Image 505"/>
                    <pic:cNvPicPr/>
                  </pic:nvPicPr>
                  <pic:blipFill>
                    <a:blip r:embed="rId221" cstate="print"/>
                    <a:stretch>
                      <a:fillRect/>
                    </a:stretch>
                  </pic:blipFill>
                  <pic:spPr>
                    <a:xfrm>
                      <a:off x="0" y="0"/>
                      <a:ext cx="359663" cy="112775"/>
                    </a:xfrm>
                    <a:prstGeom prst="rect">
                      <a:avLst/>
                    </a:prstGeom>
                  </pic:spPr>
                </pic:pic>
              </a:graphicData>
            </a:graphic>
          </wp:anchor>
        </w:drawing>
      </w:r>
      <w:bookmarkStart w:name="14.20. Budget Neutrality Treatment for H" w:id="775"/>
      <w:bookmarkEnd w:id="775"/>
      <w:r>
        <w:rPr/>
      </w:r>
      <w:r>
        <w:rPr>
          <w:b/>
          <w:sz w:val="24"/>
        </w:rPr>
        <w:t>Budget Neutrality Treatment for Hospital Quality and Equity Initiative. </w:t>
      </w:r>
      <w:r>
        <w:rPr>
          <w:sz w:val="24"/>
        </w:rPr>
        <w:t>The expenditure</w:t>
      </w:r>
      <w:r>
        <w:rPr>
          <w:spacing w:val="-4"/>
          <w:sz w:val="24"/>
        </w:rPr>
        <w:t> </w:t>
      </w:r>
      <w:r>
        <w:rPr>
          <w:sz w:val="24"/>
        </w:rPr>
        <w:t>authority</w:t>
      </w:r>
      <w:r>
        <w:rPr>
          <w:spacing w:val="-7"/>
          <w:sz w:val="24"/>
        </w:rPr>
        <w:t> </w:t>
      </w:r>
      <w:r>
        <w:rPr>
          <w:sz w:val="24"/>
        </w:rPr>
        <w:t>for</w:t>
      </w:r>
      <w:r>
        <w:rPr>
          <w:spacing w:val="-2"/>
          <w:sz w:val="24"/>
        </w:rPr>
        <w:t> </w:t>
      </w:r>
      <w:r>
        <w:rPr>
          <w:sz w:val="24"/>
        </w:rPr>
        <w:t>the</w:t>
      </w:r>
      <w:r>
        <w:rPr>
          <w:spacing w:val="-4"/>
          <w:sz w:val="24"/>
        </w:rPr>
        <w:t> </w:t>
      </w:r>
      <w:r>
        <w:rPr>
          <w:sz w:val="24"/>
        </w:rPr>
        <w:t>Hospital</w:t>
      </w:r>
      <w:r>
        <w:rPr>
          <w:spacing w:val="-3"/>
          <w:sz w:val="24"/>
        </w:rPr>
        <w:t> </w:t>
      </w:r>
      <w:r>
        <w:rPr>
          <w:sz w:val="24"/>
        </w:rPr>
        <w:t>Quality</w:t>
      </w:r>
      <w:r>
        <w:rPr>
          <w:spacing w:val="-7"/>
          <w:sz w:val="24"/>
        </w:rPr>
        <w:t> </w:t>
      </w:r>
      <w:r>
        <w:rPr>
          <w:sz w:val="24"/>
        </w:rPr>
        <w:t>and</w:t>
      </w:r>
      <w:r>
        <w:rPr>
          <w:spacing w:val="-1"/>
          <w:sz w:val="24"/>
        </w:rPr>
        <w:t> </w:t>
      </w:r>
      <w:r>
        <w:rPr>
          <w:sz w:val="24"/>
        </w:rPr>
        <w:t>Equity</w:t>
      </w:r>
      <w:r>
        <w:rPr>
          <w:spacing w:val="-6"/>
          <w:sz w:val="24"/>
        </w:rPr>
        <w:t> </w:t>
      </w:r>
      <w:r>
        <w:rPr>
          <w:sz w:val="24"/>
        </w:rPr>
        <w:t>Initiative</w:t>
      </w:r>
      <w:r>
        <w:rPr>
          <w:spacing w:val="-4"/>
          <w:sz w:val="24"/>
        </w:rPr>
        <w:t> </w:t>
      </w:r>
      <w:r>
        <w:rPr>
          <w:sz w:val="24"/>
        </w:rPr>
        <w:t>must</w:t>
      </w:r>
      <w:r>
        <w:rPr>
          <w:spacing w:val="-3"/>
          <w:sz w:val="24"/>
        </w:rPr>
        <w:t> </w:t>
      </w:r>
      <w:r>
        <w:rPr>
          <w:sz w:val="24"/>
        </w:rPr>
        <w:t>be</w:t>
      </w:r>
      <w:r>
        <w:rPr>
          <w:spacing w:val="-2"/>
          <w:sz w:val="24"/>
        </w:rPr>
        <w:t> </w:t>
      </w:r>
      <w:r>
        <w:rPr>
          <w:sz w:val="24"/>
        </w:rPr>
        <w:t>supported</w:t>
      </w:r>
      <w:r>
        <w:rPr>
          <w:spacing w:val="-3"/>
          <w:sz w:val="24"/>
        </w:rPr>
        <w:t> </w:t>
      </w:r>
      <w:r>
        <w:rPr>
          <w:sz w:val="24"/>
        </w:rPr>
        <w:t>out of budget neutrality savings.</w:t>
      </w:r>
    </w:p>
    <w:p>
      <w:pPr>
        <w:pStyle w:val="BodyText"/>
        <w:spacing w:before="10"/>
        <w:rPr>
          <w:sz w:val="20"/>
        </w:rPr>
      </w:pPr>
    </w:p>
    <w:p>
      <w:pPr>
        <w:spacing w:before="1"/>
        <w:ind w:left="871" w:right="1179" w:firstLine="0"/>
        <w:jc w:val="left"/>
        <w:rPr>
          <w:sz w:val="24"/>
        </w:rPr>
      </w:pPr>
      <w:r>
        <w:rPr/>
        <w:drawing>
          <wp:anchor distT="0" distB="0" distL="0" distR="0" allowOverlap="1" layoutInCell="1" locked="0" behindDoc="0" simplePos="0" relativeHeight="15982080">
            <wp:simplePos x="0" y="0"/>
            <wp:positionH relativeFrom="page">
              <wp:posOffset>832103</wp:posOffset>
            </wp:positionH>
            <wp:positionV relativeFrom="paragraph">
              <wp:posOffset>36247</wp:posOffset>
            </wp:positionV>
            <wp:extent cx="359663" cy="112763"/>
            <wp:effectExtent l="0" t="0" r="0" b="0"/>
            <wp:wrapNone/>
            <wp:docPr id="506" name="Image 506"/>
            <wp:cNvGraphicFramePr>
              <a:graphicFrameLocks/>
            </wp:cNvGraphicFramePr>
            <a:graphic>
              <a:graphicData uri="http://schemas.openxmlformats.org/drawingml/2006/picture">
                <pic:pic>
                  <pic:nvPicPr>
                    <pic:cNvPr id="506" name="Image 506"/>
                    <pic:cNvPicPr/>
                  </pic:nvPicPr>
                  <pic:blipFill>
                    <a:blip r:embed="rId222" cstate="print"/>
                    <a:stretch>
                      <a:fillRect/>
                    </a:stretch>
                  </pic:blipFill>
                  <pic:spPr>
                    <a:xfrm>
                      <a:off x="0" y="0"/>
                      <a:ext cx="359663" cy="112763"/>
                    </a:xfrm>
                    <a:prstGeom prst="rect">
                      <a:avLst/>
                    </a:prstGeom>
                  </pic:spPr>
                </pic:pic>
              </a:graphicData>
            </a:graphic>
          </wp:anchor>
        </w:drawing>
      </w:r>
      <w:bookmarkStart w:name="14.21. Federal Matching Rate for Hospita" w:id="776"/>
      <w:bookmarkEnd w:id="776"/>
      <w:r>
        <w:rPr/>
      </w:r>
      <w:r>
        <w:rPr>
          <w:b/>
          <w:sz w:val="24"/>
        </w:rPr>
        <w:t>Federal</w:t>
      </w:r>
      <w:r>
        <w:rPr>
          <w:b/>
          <w:spacing w:val="-4"/>
          <w:sz w:val="24"/>
        </w:rPr>
        <w:t> </w:t>
      </w:r>
      <w:r>
        <w:rPr>
          <w:b/>
          <w:sz w:val="24"/>
        </w:rPr>
        <w:t>Matching</w:t>
      </w:r>
      <w:r>
        <w:rPr>
          <w:b/>
          <w:spacing w:val="-4"/>
          <w:sz w:val="24"/>
        </w:rPr>
        <w:t> </w:t>
      </w:r>
      <w:r>
        <w:rPr>
          <w:b/>
          <w:sz w:val="24"/>
        </w:rPr>
        <w:t>Rate</w:t>
      </w:r>
      <w:r>
        <w:rPr>
          <w:b/>
          <w:spacing w:val="-3"/>
          <w:sz w:val="24"/>
        </w:rPr>
        <w:t> </w:t>
      </w:r>
      <w:r>
        <w:rPr>
          <w:b/>
          <w:sz w:val="24"/>
        </w:rPr>
        <w:t>for</w:t>
      </w:r>
      <w:r>
        <w:rPr>
          <w:b/>
          <w:spacing w:val="-5"/>
          <w:sz w:val="24"/>
        </w:rPr>
        <w:t> </w:t>
      </w:r>
      <w:r>
        <w:rPr>
          <w:b/>
          <w:sz w:val="24"/>
        </w:rPr>
        <w:t>Hospital</w:t>
      </w:r>
      <w:r>
        <w:rPr>
          <w:b/>
          <w:spacing w:val="-4"/>
          <w:sz w:val="24"/>
        </w:rPr>
        <w:t> </w:t>
      </w:r>
      <w:r>
        <w:rPr>
          <w:b/>
          <w:sz w:val="24"/>
        </w:rPr>
        <w:t>Quality</w:t>
      </w:r>
      <w:r>
        <w:rPr>
          <w:b/>
          <w:spacing w:val="-4"/>
          <w:sz w:val="24"/>
        </w:rPr>
        <w:t> </w:t>
      </w:r>
      <w:r>
        <w:rPr>
          <w:b/>
          <w:sz w:val="24"/>
        </w:rPr>
        <w:t>and</w:t>
      </w:r>
      <w:r>
        <w:rPr>
          <w:b/>
          <w:spacing w:val="-4"/>
          <w:sz w:val="24"/>
        </w:rPr>
        <w:t> </w:t>
      </w:r>
      <w:r>
        <w:rPr>
          <w:b/>
          <w:sz w:val="24"/>
        </w:rPr>
        <w:t>Equity</w:t>
      </w:r>
      <w:r>
        <w:rPr>
          <w:b/>
          <w:spacing w:val="-5"/>
          <w:sz w:val="24"/>
        </w:rPr>
        <w:t> </w:t>
      </w:r>
      <w:r>
        <w:rPr>
          <w:b/>
          <w:sz w:val="24"/>
        </w:rPr>
        <w:t>Initiative.</w:t>
      </w:r>
      <w:r>
        <w:rPr>
          <w:b/>
          <w:spacing w:val="-4"/>
          <w:sz w:val="24"/>
        </w:rPr>
        <w:t> </w:t>
      </w:r>
      <w:r>
        <w:rPr>
          <w:sz w:val="24"/>
        </w:rPr>
        <w:t>All</w:t>
      </w:r>
      <w:r>
        <w:rPr>
          <w:spacing w:val="-6"/>
          <w:sz w:val="24"/>
        </w:rPr>
        <w:t> </w:t>
      </w:r>
      <w:r>
        <w:rPr>
          <w:sz w:val="24"/>
        </w:rPr>
        <w:t>expenditures for the Hospital Quality and Equity Initiative must be claimed as administrative on the applicable CMS 64.10 waiver form(s).</w:t>
      </w:r>
    </w:p>
    <w:p>
      <w:pPr>
        <w:pStyle w:val="BodyText"/>
        <w:spacing w:before="9"/>
        <w:rPr>
          <w:sz w:val="20"/>
        </w:rPr>
      </w:pPr>
    </w:p>
    <w:p>
      <w:pPr>
        <w:pStyle w:val="BodyText"/>
        <w:spacing w:before="1"/>
        <w:ind w:left="871" w:right="1059"/>
      </w:pPr>
      <w:r>
        <w:rPr/>
        <w:drawing>
          <wp:anchor distT="0" distB="0" distL="0" distR="0" allowOverlap="1" layoutInCell="1" locked="0" behindDoc="0" simplePos="0" relativeHeight="15982592">
            <wp:simplePos x="0" y="0"/>
            <wp:positionH relativeFrom="page">
              <wp:posOffset>832103</wp:posOffset>
            </wp:positionH>
            <wp:positionV relativeFrom="paragraph">
              <wp:posOffset>36234</wp:posOffset>
            </wp:positionV>
            <wp:extent cx="359663" cy="112775"/>
            <wp:effectExtent l="0" t="0" r="0" b="0"/>
            <wp:wrapNone/>
            <wp:docPr id="507" name="Image 507"/>
            <wp:cNvGraphicFramePr>
              <a:graphicFrameLocks/>
            </wp:cNvGraphicFramePr>
            <a:graphic>
              <a:graphicData uri="http://schemas.openxmlformats.org/drawingml/2006/picture">
                <pic:pic>
                  <pic:nvPicPr>
                    <pic:cNvPr id="507" name="Image 507"/>
                    <pic:cNvPicPr/>
                  </pic:nvPicPr>
                  <pic:blipFill>
                    <a:blip r:embed="rId223" cstate="print"/>
                    <a:stretch>
                      <a:fillRect/>
                    </a:stretch>
                  </pic:blipFill>
                  <pic:spPr>
                    <a:xfrm>
                      <a:off x="0" y="0"/>
                      <a:ext cx="359663" cy="112775"/>
                    </a:xfrm>
                    <a:prstGeom prst="rect">
                      <a:avLst/>
                    </a:prstGeom>
                  </pic:spPr>
                </pic:pic>
              </a:graphicData>
            </a:graphic>
          </wp:anchor>
        </w:drawing>
      </w:r>
      <w:bookmarkStart w:name="14.22. Exclusion from Uncompensated Care" w:id="777"/>
      <w:bookmarkEnd w:id="777"/>
      <w:r>
        <w:rPr/>
      </w:r>
      <w:r>
        <w:rPr>
          <w:b/>
        </w:rPr>
        <w:t>Exclusion from Uncompensated Care Calculations. </w:t>
      </w:r>
      <w:r>
        <w:rPr/>
        <w:t>Incentive payments under this authority</w:t>
      </w:r>
      <w:r>
        <w:rPr>
          <w:spacing w:val="-7"/>
        </w:rPr>
        <w:t> </w:t>
      </w:r>
      <w:r>
        <w:rPr/>
        <w:t>shall</w:t>
      </w:r>
      <w:r>
        <w:rPr>
          <w:spacing w:val="-2"/>
        </w:rPr>
        <w:t> </w:t>
      </w:r>
      <w:r>
        <w:rPr/>
        <w:t>not</w:t>
      </w:r>
      <w:r>
        <w:rPr>
          <w:spacing w:val="-2"/>
        </w:rPr>
        <w:t> </w:t>
      </w:r>
      <w:r>
        <w:rPr/>
        <w:t>be</w:t>
      </w:r>
      <w:r>
        <w:rPr>
          <w:spacing w:val="-1"/>
        </w:rPr>
        <w:t> </w:t>
      </w:r>
      <w:r>
        <w:rPr/>
        <w:t>considered</w:t>
      </w:r>
      <w:r>
        <w:rPr>
          <w:spacing w:val="-2"/>
        </w:rPr>
        <w:t> </w:t>
      </w:r>
      <w:r>
        <w:rPr/>
        <w:t>patient</w:t>
      </w:r>
      <w:r>
        <w:rPr>
          <w:spacing w:val="-2"/>
        </w:rPr>
        <w:t> </w:t>
      </w:r>
      <w:r>
        <w:rPr/>
        <w:t>care</w:t>
      </w:r>
      <w:r>
        <w:rPr>
          <w:spacing w:val="-1"/>
        </w:rPr>
        <w:t> </w:t>
      </w:r>
      <w:r>
        <w:rPr/>
        <w:t>revenue</w:t>
      </w:r>
      <w:r>
        <w:rPr>
          <w:spacing w:val="-3"/>
        </w:rPr>
        <w:t> </w:t>
      </w:r>
      <w:r>
        <w:rPr/>
        <w:t>for</w:t>
      </w:r>
      <w:r>
        <w:rPr>
          <w:spacing w:val="-3"/>
        </w:rPr>
        <w:t> </w:t>
      </w:r>
      <w:r>
        <w:rPr/>
        <w:t>purposes</w:t>
      </w:r>
      <w:r>
        <w:rPr>
          <w:spacing w:val="-2"/>
        </w:rPr>
        <w:t> </w:t>
      </w:r>
      <w:r>
        <w:rPr/>
        <w:t>of</w:t>
      </w:r>
      <w:r>
        <w:rPr>
          <w:spacing w:val="-3"/>
        </w:rPr>
        <w:t> </w:t>
      </w:r>
      <w:r>
        <w:rPr/>
        <w:t>offsetting</w:t>
      </w:r>
      <w:r>
        <w:rPr>
          <w:spacing w:val="-5"/>
        </w:rPr>
        <w:t> </w:t>
      </w:r>
      <w:r>
        <w:rPr/>
        <w:t>allowable uncompensated</w:t>
      </w:r>
      <w:r>
        <w:rPr>
          <w:spacing w:val="-3"/>
        </w:rPr>
        <w:t> </w:t>
      </w:r>
      <w:r>
        <w:rPr/>
        <w:t>care</w:t>
      </w:r>
      <w:r>
        <w:rPr>
          <w:spacing w:val="-4"/>
        </w:rPr>
        <w:t> </w:t>
      </w:r>
      <w:r>
        <w:rPr/>
        <w:t>costs</w:t>
      </w:r>
      <w:r>
        <w:rPr>
          <w:spacing w:val="-3"/>
        </w:rPr>
        <w:t> </w:t>
      </w:r>
      <w:r>
        <w:rPr/>
        <w:t>under</w:t>
      </w:r>
      <w:r>
        <w:rPr>
          <w:spacing w:val="-4"/>
        </w:rPr>
        <w:t> </w:t>
      </w:r>
      <w:r>
        <w:rPr/>
        <w:t>the</w:t>
      </w:r>
      <w:r>
        <w:rPr>
          <w:spacing w:val="-4"/>
        </w:rPr>
        <w:t> </w:t>
      </w:r>
      <w:r>
        <w:rPr/>
        <w:t>cost</w:t>
      </w:r>
      <w:r>
        <w:rPr>
          <w:spacing w:val="-3"/>
        </w:rPr>
        <w:t> </w:t>
      </w:r>
      <w:r>
        <w:rPr/>
        <w:t>limit</w:t>
      </w:r>
      <w:r>
        <w:rPr>
          <w:spacing w:val="-3"/>
        </w:rPr>
        <w:t> </w:t>
      </w:r>
      <w:r>
        <w:rPr/>
        <w:t>protocol</w:t>
      </w:r>
      <w:r>
        <w:rPr>
          <w:spacing w:val="-3"/>
        </w:rPr>
        <w:t> </w:t>
      </w:r>
      <w:r>
        <w:rPr/>
        <w:t>approved</w:t>
      </w:r>
      <w:r>
        <w:rPr>
          <w:spacing w:val="-3"/>
        </w:rPr>
        <w:t> </w:t>
      </w:r>
      <w:r>
        <w:rPr/>
        <w:t>under</w:t>
      </w:r>
      <w:r>
        <w:rPr>
          <w:spacing w:val="-4"/>
        </w:rPr>
        <w:t> </w:t>
      </w:r>
      <w:r>
        <w:rPr/>
        <w:t>the</w:t>
      </w:r>
      <w:r>
        <w:rPr>
          <w:spacing w:val="-3"/>
        </w:rPr>
        <w:t> </w:t>
      </w:r>
      <w:r>
        <w:rPr/>
        <w:t>demonstration authority, or the uncompensated care protocol.</w:t>
      </w:r>
    </w:p>
    <w:p>
      <w:pPr>
        <w:pStyle w:val="BodyText"/>
        <w:spacing w:before="10"/>
        <w:rPr>
          <w:sz w:val="20"/>
        </w:rPr>
      </w:pPr>
    </w:p>
    <w:p>
      <w:pPr>
        <w:pStyle w:val="BodyText"/>
        <w:ind w:left="871" w:right="1086"/>
      </w:pPr>
      <w:r>
        <w:rPr/>
        <w:drawing>
          <wp:anchor distT="0" distB="0" distL="0" distR="0" allowOverlap="1" layoutInCell="1" locked="0" behindDoc="0" simplePos="0" relativeHeight="15983104">
            <wp:simplePos x="0" y="0"/>
            <wp:positionH relativeFrom="page">
              <wp:posOffset>832103</wp:posOffset>
            </wp:positionH>
            <wp:positionV relativeFrom="paragraph">
              <wp:posOffset>35612</wp:posOffset>
            </wp:positionV>
            <wp:extent cx="359663" cy="112762"/>
            <wp:effectExtent l="0" t="0" r="0" b="0"/>
            <wp:wrapNone/>
            <wp:docPr id="508" name="Image 508"/>
            <wp:cNvGraphicFramePr>
              <a:graphicFrameLocks/>
            </wp:cNvGraphicFramePr>
            <a:graphic>
              <a:graphicData uri="http://schemas.openxmlformats.org/drawingml/2006/picture">
                <pic:pic>
                  <pic:nvPicPr>
                    <pic:cNvPr id="508" name="Image 508"/>
                    <pic:cNvPicPr/>
                  </pic:nvPicPr>
                  <pic:blipFill>
                    <a:blip r:embed="rId224" cstate="print"/>
                    <a:stretch>
                      <a:fillRect/>
                    </a:stretch>
                  </pic:blipFill>
                  <pic:spPr>
                    <a:xfrm>
                      <a:off x="0" y="0"/>
                      <a:ext cx="359663" cy="112762"/>
                    </a:xfrm>
                    <a:prstGeom prst="rect">
                      <a:avLst/>
                    </a:prstGeom>
                  </pic:spPr>
                </pic:pic>
              </a:graphicData>
            </a:graphic>
          </wp:anchor>
        </w:drawing>
      </w:r>
      <w:bookmarkStart w:name="14.23. Hospital Quality and Equity Initi" w:id="778"/>
      <w:bookmarkEnd w:id="778"/>
      <w:r>
        <w:rPr/>
      </w:r>
      <w:r>
        <w:rPr>
          <w:b/>
        </w:rPr>
        <w:t>Hospital Quality and Equity Initiative Advisory Committee. </w:t>
      </w:r>
      <w:r>
        <w:rPr/>
        <w:t>The Commonwealth will develop and convene a committee of stakeholders (Committee) who will be responsible for</w:t>
      </w:r>
      <w:r>
        <w:rPr>
          <w:spacing w:val="-4"/>
        </w:rPr>
        <w:t> </w:t>
      </w:r>
      <w:r>
        <w:rPr/>
        <w:t>supporting</w:t>
      </w:r>
      <w:r>
        <w:rPr>
          <w:spacing w:val="-6"/>
        </w:rPr>
        <w:t> </w:t>
      </w:r>
      <w:r>
        <w:rPr/>
        <w:t>the</w:t>
      </w:r>
      <w:r>
        <w:rPr>
          <w:spacing w:val="-4"/>
        </w:rPr>
        <w:t> </w:t>
      </w:r>
      <w:r>
        <w:rPr/>
        <w:t>clinical</w:t>
      </w:r>
      <w:r>
        <w:rPr>
          <w:spacing w:val="-3"/>
        </w:rPr>
        <w:t> </w:t>
      </w:r>
      <w:r>
        <w:rPr/>
        <w:t>performance</w:t>
      </w:r>
      <w:r>
        <w:rPr>
          <w:spacing w:val="-4"/>
        </w:rPr>
        <w:t> </w:t>
      </w:r>
      <w:r>
        <w:rPr/>
        <w:t>improvement</w:t>
      </w:r>
      <w:r>
        <w:rPr>
          <w:spacing w:val="-3"/>
        </w:rPr>
        <w:t> </w:t>
      </w:r>
      <w:r>
        <w:rPr/>
        <w:t>cycle</w:t>
      </w:r>
      <w:r>
        <w:rPr>
          <w:spacing w:val="-4"/>
        </w:rPr>
        <w:t> </w:t>
      </w:r>
      <w:r>
        <w:rPr/>
        <w:t>of</w:t>
      </w:r>
      <w:r>
        <w:rPr>
          <w:spacing w:val="-2"/>
        </w:rPr>
        <w:t> </w:t>
      </w:r>
      <w:r>
        <w:rPr/>
        <w:t>Hospital</w:t>
      </w:r>
      <w:r>
        <w:rPr>
          <w:spacing w:val="-3"/>
        </w:rPr>
        <w:t> </w:t>
      </w:r>
      <w:r>
        <w:rPr/>
        <w:t>Quality</w:t>
      </w:r>
      <w:r>
        <w:rPr>
          <w:spacing w:val="-8"/>
        </w:rPr>
        <w:t> </w:t>
      </w:r>
      <w:r>
        <w:rPr/>
        <w:t>and</w:t>
      </w:r>
      <w:r>
        <w:rPr>
          <w:spacing w:val="-4"/>
        </w:rPr>
        <w:t> </w:t>
      </w:r>
      <w:r>
        <w:rPr/>
        <w:t>Equity Initiative activities. The Committee will serve as an advisory group offering expertise in health care quality measurement, equity measurement, quality and equity improvement, and clinical, demographic, and health-related social needs data used in performance improvement initiatives, quality, and best practices. Final decision-making authority over</w:t>
      </w:r>
    </w:p>
    <w:p>
      <w:pPr>
        <w:spacing w:after="0"/>
        <w:sectPr>
          <w:pgSz w:w="12240" w:h="15840"/>
          <w:pgMar w:header="0" w:footer="1201" w:top="1360" w:bottom="1400" w:left="1200" w:right="400"/>
        </w:sectPr>
      </w:pPr>
    </w:p>
    <w:p>
      <w:pPr>
        <w:pStyle w:val="BodyText"/>
        <w:spacing w:before="79"/>
        <w:ind w:left="871" w:right="1059"/>
      </w:pPr>
      <w:r>
        <w:rPr/>
        <w:t>the</w:t>
      </w:r>
      <w:r>
        <w:rPr>
          <w:spacing w:val="-4"/>
        </w:rPr>
        <w:t> </w:t>
      </w:r>
      <w:r>
        <w:rPr/>
        <w:t>demonstration</w:t>
      </w:r>
      <w:r>
        <w:rPr>
          <w:spacing w:val="-3"/>
        </w:rPr>
        <w:t> </w:t>
      </w:r>
      <w:r>
        <w:rPr/>
        <w:t>will</w:t>
      </w:r>
      <w:r>
        <w:rPr>
          <w:spacing w:val="-3"/>
        </w:rPr>
        <w:t> </w:t>
      </w:r>
      <w:r>
        <w:rPr/>
        <w:t>be</w:t>
      </w:r>
      <w:r>
        <w:rPr>
          <w:spacing w:val="-4"/>
        </w:rPr>
        <w:t> </w:t>
      </w:r>
      <w:r>
        <w:rPr/>
        <w:t>retained</w:t>
      </w:r>
      <w:r>
        <w:rPr>
          <w:spacing w:val="-3"/>
        </w:rPr>
        <w:t> </w:t>
      </w:r>
      <w:r>
        <w:rPr/>
        <w:t>by</w:t>
      </w:r>
      <w:r>
        <w:rPr>
          <w:spacing w:val="-8"/>
        </w:rPr>
        <w:t> </w:t>
      </w:r>
      <w:r>
        <w:rPr/>
        <w:t>the</w:t>
      </w:r>
      <w:r>
        <w:rPr>
          <w:spacing w:val="-4"/>
        </w:rPr>
        <w:t> </w:t>
      </w:r>
      <w:r>
        <w:rPr/>
        <w:t>Commonwealth</w:t>
      </w:r>
      <w:r>
        <w:rPr>
          <w:spacing w:val="-3"/>
        </w:rPr>
        <w:t> </w:t>
      </w:r>
      <w:r>
        <w:rPr/>
        <w:t>(and</w:t>
      </w:r>
      <w:r>
        <w:rPr>
          <w:spacing w:val="-3"/>
        </w:rPr>
        <w:t> </w:t>
      </w:r>
      <w:r>
        <w:rPr/>
        <w:t>CMS,</w:t>
      </w:r>
      <w:r>
        <w:rPr>
          <w:spacing w:val="-3"/>
        </w:rPr>
        <w:t> </w:t>
      </w:r>
      <w:r>
        <w:rPr/>
        <w:t>as</w:t>
      </w:r>
      <w:r>
        <w:rPr>
          <w:spacing w:val="-3"/>
        </w:rPr>
        <w:t> </w:t>
      </w:r>
      <w:r>
        <w:rPr/>
        <w:t>applicable), although the Commonwealth will consider all Committee recommendations .</w:t>
      </w:r>
    </w:p>
    <w:p>
      <w:pPr>
        <w:pStyle w:val="BodyText"/>
        <w:spacing w:before="10"/>
        <w:rPr>
          <w:sz w:val="20"/>
        </w:rPr>
      </w:pPr>
    </w:p>
    <w:p>
      <w:pPr>
        <w:pStyle w:val="Heading4"/>
        <w:numPr>
          <w:ilvl w:val="0"/>
          <w:numId w:val="3"/>
        </w:numPr>
        <w:tabs>
          <w:tab w:pos="600" w:val="left" w:leader="none"/>
        </w:tabs>
        <w:spacing w:line="240" w:lineRule="auto" w:before="0" w:after="0"/>
        <w:ind w:left="600" w:right="0" w:hanging="480"/>
        <w:jc w:val="left"/>
      </w:pPr>
      <w:bookmarkStart w:name="15. HEALTH-RELATED SOCIAL NEEDS" w:id="779"/>
      <w:bookmarkEnd w:id="779"/>
      <w:r>
        <w:rPr>
          <w:b w:val="0"/>
        </w:rPr>
      </w:r>
      <w:r>
        <w:rPr/>
        <w:t>HEALTH-RELATED</w:t>
      </w:r>
      <w:r>
        <w:rPr>
          <w:spacing w:val="-5"/>
        </w:rPr>
        <w:t> </w:t>
      </w:r>
      <w:r>
        <w:rPr/>
        <w:t>SOCIAL</w:t>
      </w:r>
      <w:r>
        <w:rPr>
          <w:spacing w:val="-4"/>
        </w:rPr>
        <w:t> NEEDS</w:t>
      </w:r>
    </w:p>
    <w:p>
      <w:pPr>
        <w:pStyle w:val="BodyText"/>
        <w:spacing w:before="10"/>
        <w:rPr>
          <w:b/>
          <w:sz w:val="20"/>
        </w:rPr>
      </w:pPr>
    </w:p>
    <w:p>
      <w:pPr>
        <w:pStyle w:val="BodyText"/>
        <w:ind w:left="239" w:right="1141"/>
      </w:pPr>
      <w:r>
        <w:rPr/>
        <w:t>Over the life of the MassHealth demonstration, the Commonwealth has taken steps to offer programs and services (e.g., Flexible Services and the Community Support Program) that address health-related social needs (HRSN) for individuals meeting certain clinical and risk- based needs criteria.</w:t>
      </w:r>
      <w:r>
        <w:rPr>
          <w:spacing w:val="40"/>
        </w:rPr>
        <w:t> </w:t>
      </w:r>
      <w:r>
        <w:rPr/>
        <w:t>This section of the STCs establishes a framework for ongoing HRSN services and new services authorized through expenditure authority in order for the Commonwealth</w:t>
      </w:r>
      <w:r>
        <w:rPr>
          <w:spacing w:val="-3"/>
        </w:rPr>
        <w:t> </w:t>
      </w:r>
      <w:r>
        <w:rPr/>
        <w:t>and</w:t>
      </w:r>
      <w:r>
        <w:rPr>
          <w:spacing w:val="-3"/>
        </w:rPr>
        <w:t> </w:t>
      </w:r>
      <w:r>
        <w:rPr/>
        <w:t>CMS</w:t>
      </w:r>
      <w:r>
        <w:rPr>
          <w:spacing w:val="-3"/>
        </w:rPr>
        <w:t> </w:t>
      </w:r>
      <w:r>
        <w:rPr/>
        <w:t>to</w:t>
      </w:r>
      <w:r>
        <w:rPr>
          <w:spacing w:val="-3"/>
        </w:rPr>
        <w:t> </w:t>
      </w:r>
      <w:r>
        <w:rPr/>
        <w:t>better</w:t>
      </w:r>
      <w:r>
        <w:rPr>
          <w:spacing w:val="-4"/>
        </w:rPr>
        <w:t> </w:t>
      </w:r>
      <w:r>
        <w:rPr/>
        <w:t>evaluate</w:t>
      </w:r>
      <w:r>
        <w:rPr>
          <w:spacing w:val="-4"/>
        </w:rPr>
        <w:t> </w:t>
      </w:r>
      <w:r>
        <w:rPr/>
        <w:t>the</w:t>
      </w:r>
      <w:r>
        <w:rPr>
          <w:spacing w:val="-2"/>
        </w:rPr>
        <w:t> </w:t>
      </w:r>
      <w:r>
        <w:rPr/>
        <w:t>effects</w:t>
      </w:r>
      <w:r>
        <w:rPr>
          <w:spacing w:val="-3"/>
        </w:rPr>
        <w:t> </w:t>
      </w:r>
      <w:r>
        <w:rPr/>
        <w:t>of</w:t>
      </w:r>
      <w:r>
        <w:rPr>
          <w:spacing w:val="-4"/>
        </w:rPr>
        <w:t> </w:t>
      </w:r>
      <w:r>
        <w:rPr/>
        <w:t>HRSN</w:t>
      </w:r>
      <w:r>
        <w:rPr>
          <w:spacing w:val="-4"/>
        </w:rPr>
        <w:t> </w:t>
      </w:r>
      <w:r>
        <w:rPr/>
        <w:t>on</w:t>
      </w:r>
      <w:r>
        <w:rPr>
          <w:spacing w:val="-3"/>
        </w:rPr>
        <w:t> </w:t>
      </w:r>
      <w:r>
        <w:rPr/>
        <w:t>the</w:t>
      </w:r>
      <w:r>
        <w:rPr>
          <w:spacing w:val="-4"/>
        </w:rPr>
        <w:t> </w:t>
      </w:r>
      <w:r>
        <w:rPr/>
        <w:t>Medicaid</w:t>
      </w:r>
      <w:r>
        <w:rPr>
          <w:spacing w:val="-3"/>
        </w:rPr>
        <w:t> </w:t>
      </w:r>
      <w:r>
        <w:rPr/>
        <w:t>population.</w:t>
      </w:r>
    </w:p>
    <w:p>
      <w:pPr>
        <w:pStyle w:val="BodyText"/>
        <w:spacing w:before="10"/>
        <w:rPr>
          <w:sz w:val="20"/>
        </w:rPr>
      </w:pPr>
    </w:p>
    <w:p>
      <w:pPr>
        <w:pStyle w:val="BodyText"/>
        <w:ind w:left="871" w:right="1059"/>
      </w:pPr>
      <w:r>
        <w:rPr/>
        <w:drawing>
          <wp:anchor distT="0" distB="0" distL="0" distR="0" allowOverlap="1" layoutInCell="1" locked="0" behindDoc="0" simplePos="0" relativeHeight="15983616">
            <wp:simplePos x="0" y="0"/>
            <wp:positionH relativeFrom="page">
              <wp:posOffset>908303</wp:posOffset>
            </wp:positionH>
            <wp:positionV relativeFrom="paragraph">
              <wp:posOffset>35612</wp:posOffset>
            </wp:positionV>
            <wp:extent cx="283463" cy="112762"/>
            <wp:effectExtent l="0" t="0" r="0" b="0"/>
            <wp:wrapNone/>
            <wp:docPr id="509" name="Image 509"/>
            <wp:cNvGraphicFramePr>
              <a:graphicFrameLocks/>
            </wp:cNvGraphicFramePr>
            <a:graphic>
              <a:graphicData uri="http://schemas.openxmlformats.org/drawingml/2006/picture">
                <pic:pic>
                  <pic:nvPicPr>
                    <pic:cNvPr id="509" name="Image 509"/>
                    <pic:cNvPicPr/>
                  </pic:nvPicPr>
                  <pic:blipFill>
                    <a:blip r:embed="rId225" cstate="print"/>
                    <a:stretch>
                      <a:fillRect/>
                    </a:stretch>
                  </pic:blipFill>
                  <pic:spPr>
                    <a:xfrm>
                      <a:off x="0" y="0"/>
                      <a:ext cx="283463" cy="112762"/>
                    </a:xfrm>
                    <a:prstGeom prst="rect">
                      <a:avLst/>
                    </a:prstGeom>
                  </pic:spPr>
                </pic:pic>
              </a:graphicData>
            </a:graphic>
          </wp:anchor>
        </w:drawing>
      </w:r>
      <w:bookmarkStart w:name="15.1. HRSN Services Glide Path.  Given t" w:id="780"/>
      <w:bookmarkEnd w:id="780"/>
      <w:r>
        <w:rPr/>
      </w:r>
      <w:r>
        <w:rPr>
          <w:b/>
        </w:rPr>
        <w:t>HRSN Services Glide Path.</w:t>
      </w:r>
      <w:r>
        <w:rPr>
          <w:b/>
          <w:spacing w:val="40"/>
        </w:rPr>
        <w:t> </w:t>
      </w:r>
      <w:r>
        <w:rPr/>
        <w:t>Given that MassHealth currently operates the Flexible Services Program, which is being modified through this framework, CMS will permit the Commonwealth until the beginning of DY 30 to come into compliance with the terms of this</w:t>
      </w:r>
      <w:r>
        <w:rPr>
          <w:spacing w:val="-3"/>
        </w:rPr>
        <w:t> </w:t>
      </w:r>
      <w:r>
        <w:rPr/>
        <w:t>section</w:t>
      </w:r>
      <w:r>
        <w:rPr>
          <w:spacing w:val="-3"/>
        </w:rPr>
        <w:t> </w:t>
      </w:r>
      <w:r>
        <w:rPr/>
        <w:t>within</w:t>
      </w:r>
      <w:r>
        <w:rPr>
          <w:spacing w:val="-3"/>
        </w:rPr>
        <w:t> </w:t>
      </w:r>
      <w:r>
        <w:rPr/>
        <w:t>STC</w:t>
      </w:r>
      <w:r>
        <w:rPr>
          <w:spacing w:val="-3"/>
        </w:rPr>
        <w:t> </w:t>
      </w:r>
      <w:r>
        <w:rPr/>
        <w:t>15.7</w:t>
      </w:r>
      <w:r>
        <w:rPr>
          <w:spacing w:val="-3"/>
        </w:rPr>
        <w:t> </w:t>
      </w:r>
      <w:r>
        <w:rPr/>
        <w:t>through</w:t>
      </w:r>
      <w:r>
        <w:rPr>
          <w:spacing w:val="-3"/>
        </w:rPr>
        <w:t> </w:t>
      </w:r>
      <w:r>
        <w:rPr/>
        <w:t>STC</w:t>
      </w:r>
      <w:r>
        <w:rPr>
          <w:spacing w:val="-3"/>
        </w:rPr>
        <w:t> </w:t>
      </w:r>
      <w:r>
        <w:rPr/>
        <w:t>15.9,</w:t>
      </w:r>
      <w:r>
        <w:rPr>
          <w:spacing w:val="-3"/>
        </w:rPr>
        <w:t> </w:t>
      </w:r>
      <w:r>
        <w:rPr/>
        <w:t>and</w:t>
      </w:r>
      <w:r>
        <w:rPr>
          <w:spacing w:val="-3"/>
        </w:rPr>
        <w:t> </w:t>
      </w:r>
      <w:r>
        <w:rPr/>
        <w:t>15.13(b)</w:t>
      </w:r>
      <w:r>
        <w:rPr>
          <w:spacing w:val="-4"/>
        </w:rPr>
        <w:t> </w:t>
      </w:r>
      <w:r>
        <w:rPr/>
        <w:t>for</w:t>
      </w:r>
      <w:r>
        <w:rPr>
          <w:spacing w:val="-4"/>
        </w:rPr>
        <w:t> </w:t>
      </w:r>
      <w:r>
        <w:rPr/>
        <w:t>HRSN</w:t>
      </w:r>
      <w:r>
        <w:rPr>
          <w:spacing w:val="-2"/>
        </w:rPr>
        <w:t> </w:t>
      </w:r>
      <w:r>
        <w:rPr/>
        <w:t>Flexible</w:t>
      </w:r>
      <w:r>
        <w:rPr>
          <w:spacing w:val="-4"/>
        </w:rPr>
        <w:t> </w:t>
      </w:r>
      <w:r>
        <w:rPr/>
        <w:t>Services. Expectations for CSP-JI are addressed by STC 15.1(d) below.</w:t>
      </w:r>
      <w:r>
        <w:rPr>
          <w:spacing w:val="40"/>
        </w:rPr>
        <w:t> </w:t>
      </w:r>
      <w:r>
        <w:rPr/>
        <w:t>No other flexibility is </w:t>
      </w:r>
      <w:r>
        <w:rPr>
          <w:spacing w:val="-2"/>
        </w:rPr>
        <w:t>provided.</w:t>
      </w:r>
    </w:p>
    <w:p>
      <w:pPr>
        <w:pStyle w:val="BodyText"/>
        <w:spacing w:before="10"/>
        <w:rPr>
          <w:sz w:val="20"/>
        </w:rPr>
      </w:pPr>
    </w:p>
    <w:p>
      <w:pPr>
        <w:pStyle w:val="BodyText"/>
        <w:ind w:left="1411" w:right="1059"/>
      </w:pPr>
      <w:r>
        <w:rPr/>
        <w:drawing>
          <wp:anchor distT="0" distB="0" distL="0" distR="0" allowOverlap="1" layoutInCell="1" locked="0" behindDoc="0" simplePos="0" relativeHeight="15984128">
            <wp:simplePos x="0" y="0"/>
            <wp:positionH relativeFrom="page">
              <wp:posOffset>1431036</wp:posOffset>
            </wp:positionH>
            <wp:positionV relativeFrom="paragraph">
              <wp:posOffset>67603</wp:posOffset>
            </wp:positionV>
            <wp:extent cx="96011" cy="80771"/>
            <wp:effectExtent l="0" t="0" r="0" b="0"/>
            <wp:wrapNone/>
            <wp:docPr id="510" name="Image 510"/>
            <wp:cNvGraphicFramePr>
              <a:graphicFrameLocks/>
            </wp:cNvGraphicFramePr>
            <a:graphic>
              <a:graphicData uri="http://schemas.openxmlformats.org/drawingml/2006/picture">
                <pic:pic>
                  <pic:nvPicPr>
                    <pic:cNvPr id="510" name="Image 510"/>
                    <pic:cNvPicPr/>
                  </pic:nvPicPr>
                  <pic:blipFill>
                    <a:blip r:embed="rId29" cstate="print"/>
                    <a:stretch>
                      <a:fillRect/>
                    </a:stretch>
                  </pic:blipFill>
                  <pic:spPr>
                    <a:xfrm>
                      <a:off x="0" y="0"/>
                      <a:ext cx="96011" cy="80771"/>
                    </a:xfrm>
                    <a:prstGeom prst="rect">
                      <a:avLst/>
                    </a:prstGeom>
                  </pic:spPr>
                </pic:pic>
              </a:graphicData>
            </a:graphic>
          </wp:anchor>
        </w:drawing>
      </w:r>
      <w:bookmarkStart w:name="a. HRSN Flexible Service Transition into" w:id="781"/>
      <w:bookmarkEnd w:id="781"/>
      <w:r>
        <w:rPr/>
      </w:r>
      <w:r>
        <w:rPr>
          <w:b/>
        </w:rPr>
        <w:t>HRSN Flexible Service Transition into Managed Care Delivery Systems. </w:t>
      </w:r>
      <w:r>
        <w:rPr/>
        <w:t>By no later than January 1, 2025, Massachusetts will include coverage for HRSN Flexible Services into managed care delivery systems and comply with all Federal requirements, including those outlined in 42 CFR 438, and those outlined within Section 15 of the STCs.</w:t>
      </w:r>
      <w:r>
        <w:rPr>
          <w:spacing w:val="40"/>
        </w:rPr>
        <w:t> </w:t>
      </w:r>
      <w:r>
        <w:rPr/>
        <w:t>In order to demonstrate the Commonwealth is prepared to implement</w:t>
      </w:r>
      <w:r>
        <w:rPr>
          <w:spacing w:val="-4"/>
        </w:rPr>
        <w:t> </w:t>
      </w:r>
      <w:r>
        <w:rPr/>
        <w:t>HRSN</w:t>
      </w:r>
      <w:r>
        <w:rPr>
          <w:spacing w:val="-5"/>
        </w:rPr>
        <w:t> </w:t>
      </w:r>
      <w:r>
        <w:rPr/>
        <w:t>flexible</w:t>
      </w:r>
      <w:r>
        <w:rPr>
          <w:spacing w:val="-5"/>
        </w:rPr>
        <w:t> </w:t>
      </w:r>
      <w:r>
        <w:rPr/>
        <w:t>services</w:t>
      </w:r>
      <w:r>
        <w:rPr>
          <w:spacing w:val="-4"/>
        </w:rPr>
        <w:t> </w:t>
      </w:r>
      <w:r>
        <w:rPr/>
        <w:t>in</w:t>
      </w:r>
      <w:r>
        <w:rPr>
          <w:spacing w:val="-4"/>
        </w:rPr>
        <w:t> </w:t>
      </w:r>
      <w:r>
        <w:rPr/>
        <w:t>managed</w:t>
      </w:r>
      <w:r>
        <w:rPr>
          <w:spacing w:val="-2"/>
        </w:rPr>
        <w:t> </w:t>
      </w:r>
      <w:r>
        <w:rPr/>
        <w:t>care</w:t>
      </w:r>
      <w:r>
        <w:rPr>
          <w:spacing w:val="-5"/>
        </w:rPr>
        <w:t> </w:t>
      </w:r>
      <w:r>
        <w:rPr/>
        <w:t>delivery</w:t>
      </w:r>
      <w:r>
        <w:rPr>
          <w:spacing w:val="-9"/>
        </w:rPr>
        <w:t> </w:t>
      </w:r>
      <w:r>
        <w:rPr/>
        <w:t>systems,</w:t>
      </w:r>
      <w:r>
        <w:rPr>
          <w:spacing w:val="-4"/>
        </w:rPr>
        <w:t> </w:t>
      </w:r>
      <w:r>
        <w:rPr/>
        <w:t>Massachusetts must complete key</w:t>
      </w:r>
      <w:r>
        <w:rPr>
          <w:spacing w:val="-1"/>
        </w:rPr>
        <w:t> </w:t>
      </w:r>
      <w:r>
        <w:rPr/>
        <w:t>action steps within CMS’s required timelines outlined below.</w:t>
      </w:r>
      <w:r>
        <w:rPr>
          <w:spacing w:val="40"/>
        </w:rPr>
        <w:t> </w:t>
      </w:r>
      <w:r>
        <w:rPr/>
        <w:t>In no event, shall this time- limited expenditure authority for this glide path extend beyond December</w:t>
      </w:r>
      <w:r>
        <w:rPr>
          <w:spacing w:val="-2"/>
        </w:rPr>
        <w:t> </w:t>
      </w:r>
      <w:r>
        <w:rPr/>
        <w:t>31,</w:t>
      </w:r>
      <w:r>
        <w:rPr>
          <w:spacing w:val="-1"/>
        </w:rPr>
        <w:t> </w:t>
      </w:r>
      <w:r>
        <w:rPr/>
        <w:t>2024.</w:t>
      </w:r>
      <w:r>
        <w:rPr>
          <w:spacing w:val="40"/>
        </w:rPr>
        <w:t> </w:t>
      </w:r>
      <w:r>
        <w:rPr/>
        <w:t>CMS</w:t>
      </w:r>
      <w:r>
        <w:rPr>
          <w:spacing w:val="-1"/>
        </w:rPr>
        <w:t> </w:t>
      </w:r>
      <w:r>
        <w:rPr/>
        <w:t>reserves</w:t>
      </w:r>
      <w:r>
        <w:rPr>
          <w:spacing w:val="-1"/>
        </w:rPr>
        <w:t> </w:t>
      </w:r>
      <w:r>
        <w:rPr/>
        <w:t>the</w:t>
      </w:r>
      <w:r>
        <w:rPr>
          <w:spacing w:val="-2"/>
        </w:rPr>
        <w:t> </w:t>
      </w:r>
      <w:r>
        <w:rPr/>
        <w:t>right</w:t>
      </w:r>
      <w:r>
        <w:rPr>
          <w:spacing w:val="-1"/>
        </w:rPr>
        <w:t> </w:t>
      </w:r>
      <w:r>
        <w:rPr/>
        <w:t>to</w:t>
      </w:r>
      <w:r>
        <w:rPr>
          <w:spacing w:val="-1"/>
        </w:rPr>
        <w:t> </w:t>
      </w:r>
      <w:r>
        <w:rPr/>
        <w:t>ask</w:t>
      </w:r>
      <w:r>
        <w:rPr>
          <w:spacing w:val="-1"/>
        </w:rPr>
        <w:t> </w:t>
      </w:r>
      <w:r>
        <w:rPr/>
        <w:t>for</w:t>
      </w:r>
      <w:r>
        <w:rPr>
          <w:spacing w:val="-2"/>
        </w:rPr>
        <w:t> </w:t>
      </w:r>
      <w:r>
        <w:rPr/>
        <w:t>additional</w:t>
      </w:r>
      <w:r>
        <w:rPr>
          <w:spacing w:val="-1"/>
        </w:rPr>
        <w:t> </w:t>
      </w:r>
      <w:r>
        <w:rPr/>
        <w:t>supporting documentation related to managed care implementation.</w:t>
      </w:r>
    </w:p>
    <w:p>
      <w:pPr>
        <w:pStyle w:val="BodyText"/>
        <w:spacing w:before="10"/>
        <w:rPr>
          <w:sz w:val="20"/>
        </w:rPr>
      </w:pPr>
    </w:p>
    <w:p>
      <w:pPr>
        <w:pStyle w:val="BodyText"/>
        <w:spacing w:before="1"/>
        <w:ind w:left="2039" w:right="1141"/>
      </w:pPr>
      <w:r>
        <w:rPr/>
        <w:drawing>
          <wp:anchor distT="0" distB="0" distL="0" distR="0" allowOverlap="1" layoutInCell="1" locked="0" behindDoc="0" simplePos="0" relativeHeight="15984640">
            <wp:simplePos x="0" y="0"/>
            <wp:positionH relativeFrom="page">
              <wp:posOffset>1862327</wp:posOffset>
            </wp:positionH>
            <wp:positionV relativeFrom="paragraph">
              <wp:posOffset>33186</wp:posOffset>
            </wp:positionV>
            <wp:extent cx="73151" cy="115823"/>
            <wp:effectExtent l="0" t="0" r="0" b="0"/>
            <wp:wrapNone/>
            <wp:docPr id="511" name="Image 511"/>
            <wp:cNvGraphicFramePr>
              <a:graphicFrameLocks/>
            </wp:cNvGraphicFramePr>
            <a:graphic>
              <a:graphicData uri="http://schemas.openxmlformats.org/drawingml/2006/picture">
                <pic:pic>
                  <pic:nvPicPr>
                    <pic:cNvPr id="511" name="Image 511"/>
                    <pic:cNvPicPr/>
                  </pic:nvPicPr>
                  <pic:blipFill>
                    <a:blip r:embed="rId112" cstate="print"/>
                    <a:stretch>
                      <a:fillRect/>
                    </a:stretch>
                  </pic:blipFill>
                  <pic:spPr>
                    <a:xfrm>
                      <a:off x="0" y="0"/>
                      <a:ext cx="73151" cy="115823"/>
                    </a:xfrm>
                    <a:prstGeom prst="rect">
                      <a:avLst/>
                    </a:prstGeom>
                  </pic:spPr>
                </pic:pic>
              </a:graphicData>
            </a:graphic>
          </wp:anchor>
        </w:drawing>
      </w:r>
      <w:bookmarkStart w:name="i. If the Commonwealth faces unforeseen " w:id="782"/>
      <w:bookmarkEnd w:id="782"/>
      <w:r>
        <w:rPr/>
      </w:r>
      <w:r>
        <w:rPr/>
        <w:t>If the Commonwealth faces unforeseen circumstances in meeting a required timeline for a key action step, it may formally request an extension to one of the required timelines specified in STC 15.1(a)(ii)-(vii). below, subject to CMS review and approval.</w:t>
      </w:r>
      <w:r>
        <w:rPr>
          <w:spacing w:val="40"/>
        </w:rPr>
        <w:t> </w:t>
      </w:r>
      <w:r>
        <w:rPr/>
        <w:t>The Commonwealth’s extension request must include</w:t>
      </w:r>
      <w:r>
        <w:rPr>
          <w:spacing w:val="-4"/>
        </w:rPr>
        <w:t> </w:t>
      </w:r>
      <w:r>
        <w:rPr/>
        <w:t>the</w:t>
      </w:r>
      <w:r>
        <w:rPr>
          <w:spacing w:val="-4"/>
        </w:rPr>
        <w:t> </w:t>
      </w:r>
      <w:r>
        <w:rPr/>
        <w:t>required</w:t>
      </w:r>
      <w:r>
        <w:rPr>
          <w:spacing w:val="-3"/>
        </w:rPr>
        <w:t> </w:t>
      </w:r>
      <w:r>
        <w:rPr/>
        <w:t>components</w:t>
      </w:r>
      <w:r>
        <w:rPr>
          <w:spacing w:val="-3"/>
        </w:rPr>
        <w:t> </w:t>
      </w:r>
      <w:r>
        <w:rPr/>
        <w:t>outlined</w:t>
      </w:r>
      <w:r>
        <w:rPr>
          <w:spacing w:val="-3"/>
        </w:rPr>
        <w:t> </w:t>
      </w:r>
      <w:r>
        <w:rPr/>
        <w:t>below</w:t>
      </w:r>
      <w:r>
        <w:rPr>
          <w:spacing w:val="-4"/>
        </w:rPr>
        <w:t> </w:t>
      </w:r>
      <w:r>
        <w:rPr/>
        <w:t>and</w:t>
      </w:r>
      <w:r>
        <w:rPr>
          <w:spacing w:val="-3"/>
        </w:rPr>
        <w:t> </w:t>
      </w:r>
      <w:r>
        <w:rPr/>
        <w:t>be</w:t>
      </w:r>
      <w:r>
        <w:rPr>
          <w:spacing w:val="-4"/>
        </w:rPr>
        <w:t> </w:t>
      </w:r>
      <w:r>
        <w:rPr/>
        <w:t>submitted</w:t>
      </w:r>
      <w:r>
        <w:rPr>
          <w:spacing w:val="-3"/>
        </w:rPr>
        <w:t> </w:t>
      </w:r>
      <w:r>
        <w:rPr/>
        <w:t>to</w:t>
      </w:r>
      <w:r>
        <w:rPr>
          <w:spacing w:val="-3"/>
        </w:rPr>
        <w:t> </w:t>
      </w:r>
      <w:r>
        <w:rPr/>
        <w:t>CMS</w:t>
      </w:r>
      <w:r>
        <w:rPr>
          <w:spacing w:val="-5"/>
        </w:rPr>
        <w:t> </w:t>
      </w:r>
      <w:r>
        <w:rPr/>
        <w:t>no later than 60 days prior to the required timeline associated with a key action step. Additionally, with an extension request, the Commonwealth must: (1) provide a description of the unforeseen circumstance impacting the Commonwealth’s ability to meet a key action step within the required timeline; (2) propose a new timeline for meeting the required action step, including a description of why this requested new timeline is reasonable and appropriate; and (3) submit a Corrective Action Plan detailing the activities the Commonwealth will undertake to ensure no further delays in completing key action steps within the required timelines.</w:t>
      </w:r>
      <w:r>
        <w:rPr>
          <w:spacing w:val="40"/>
        </w:rPr>
        <w:t> </w:t>
      </w:r>
      <w:r>
        <w:rPr/>
        <w:t>In no event, shall the expenditure authority for this glidepath extend beyond December 31, 2024.</w:t>
      </w:r>
    </w:p>
    <w:p>
      <w:pPr>
        <w:pStyle w:val="BodyText"/>
        <w:ind w:left="2040"/>
      </w:pPr>
      <w:r>
        <w:rPr/>
        <w:t>CMS</w:t>
      </w:r>
      <w:r>
        <w:rPr>
          <w:spacing w:val="-3"/>
        </w:rPr>
        <w:t> </w:t>
      </w:r>
      <w:r>
        <w:rPr/>
        <w:t>reserves</w:t>
      </w:r>
      <w:r>
        <w:rPr>
          <w:spacing w:val="-1"/>
        </w:rPr>
        <w:t> </w:t>
      </w:r>
      <w:r>
        <w:rPr/>
        <w:t>the</w:t>
      </w:r>
      <w:r>
        <w:rPr>
          <w:spacing w:val="-2"/>
        </w:rPr>
        <w:t> </w:t>
      </w:r>
      <w:r>
        <w:rPr/>
        <w:t>right</w:t>
      </w:r>
      <w:r>
        <w:rPr>
          <w:spacing w:val="-1"/>
        </w:rPr>
        <w:t> </w:t>
      </w:r>
      <w:r>
        <w:rPr/>
        <w:t>to</w:t>
      </w:r>
      <w:r>
        <w:rPr>
          <w:spacing w:val="-1"/>
        </w:rPr>
        <w:t> </w:t>
      </w:r>
      <w:r>
        <w:rPr/>
        <w:t>ask</w:t>
      </w:r>
      <w:r>
        <w:rPr>
          <w:spacing w:val="-1"/>
        </w:rPr>
        <w:t> </w:t>
      </w:r>
      <w:r>
        <w:rPr/>
        <w:t>for</w:t>
      </w:r>
      <w:r>
        <w:rPr>
          <w:spacing w:val="-2"/>
        </w:rPr>
        <w:t> </w:t>
      </w:r>
      <w:r>
        <w:rPr/>
        <w:t>additional</w:t>
      </w:r>
      <w:r>
        <w:rPr>
          <w:spacing w:val="-1"/>
        </w:rPr>
        <w:t> </w:t>
      </w:r>
      <w:r>
        <w:rPr/>
        <w:t>supporting</w:t>
      </w:r>
      <w:r>
        <w:rPr>
          <w:spacing w:val="-4"/>
        </w:rPr>
        <w:t> </w:t>
      </w:r>
      <w:r>
        <w:rPr/>
        <w:t>documentation </w:t>
      </w:r>
      <w:r>
        <w:rPr>
          <w:spacing w:val="-5"/>
        </w:rPr>
        <w:t>or</w:t>
      </w:r>
    </w:p>
    <w:p>
      <w:pPr>
        <w:spacing w:after="0"/>
        <w:sectPr>
          <w:pgSz w:w="12240" w:h="15840"/>
          <w:pgMar w:header="0" w:footer="1201" w:top="1360" w:bottom="1400" w:left="1200" w:right="400"/>
        </w:sectPr>
      </w:pPr>
    </w:p>
    <w:p>
      <w:pPr>
        <w:pStyle w:val="BodyText"/>
        <w:spacing w:before="79"/>
        <w:ind w:left="2040" w:right="1059"/>
      </w:pPr>
      <w:r>
        <w:rPr/>
        <w:t>request</w:t>
      </w:r>
      <w:r>
        <w:rPr>
          <w:spacing w:val="-4"/>
        </w:rPr>
        <w:t> </w:t>
      </w:r>
      <w:r>
        <w:rPr/>
        <w:t>a</w:t>
      </w:r>
      <w:r>
        <w:rPr>
          <w:spacing w:val="-5"/>
        </w:rPr>
        <w:t> </w:t>
      </w:r>
      <w:r>
        <w:rPr/>
        <w:t>revised</w:t>
      </w:r>
      <w:r>
        <w:rPr>
          <w:spacing w:val="-4"/>
        </w:rPr>
        <w:t> </w:t>
      </w:r>
      <w:r>
        <w:rPr/>
        <w:t>timeline</w:t>
      </w:r>
      <w:r>
        <w:rPr>
          <w:spacing w:val="-5"/>
        </w:rPr>
        <w:t> </w:t>
      </w:r>
      <w:r>
        <w:rPr/>
        <w:t>related</w:t>
      </w:r>
      <w:r>
        <w:rPr>
          <w:spacing w:val="-4"/>
        </w:rPr>
        <w:t> </w:t>
      </w:r>
      <w:r>
        <w:rPr/>
        <w:t>to</w:t>
      </w:r>
      <w:r>
        <w:rPr>
          <w:spacing w:val="-4"/>
        </w:rPr>
        <w:t> </w:t>
      </w:r>
      <w:r>
        <w:rPr/>
        <w:t>the</w:t>
      </w:r>
      <w:r>
        <w:rPr>
          <w:spacing w:val="-5"/>
        </w:rPr>
        <w:t> </w:t>
      </w:r>
      <w:r>
        <w:rPr/>
        <w:t>Commonwealth’s</w:t>
      </w:r>
      <w:r>
        <w:rPr>
          <w:spacing w:val="-4"/>
        </w:rPr>
        <w:t> </w:t>
      </w:r>
      <w:r>
        <w:rPr/>
        <w:t>extension</w:t>
      </w:r>
      <w:r>
        <w:rPr>
          <w:spacing w:val="-4"/>
        </w:rPr>
        <w:t> </w:t>
      </w:r>
      <w:r>
        <w:rPr/>
        <w:t>request. An approved extension becomes a component of the 1115 and CMS will publish the extension, including all components outlined above, as an Attachment to the 1115.</w:t>
      </w:r>
    </w:p>
    <w:p>
      <w:pPr>
        <w:pStyle w:val="BodyText"/>
        <w:spacing w:before="161"/>
        <w:ind w:left="2040" w:right="1059"/>
      </w:pPr>
      <w:r>
        <w:rPr/>
        <w:drawing>
          <wp:anchor distT="0" distB="0" distL="0" distR="0" allowOverlap="1" layoutInCell="1" locked="0" behindDoc="0" simplePos="0" relativeHeight="15985152">
            <wp:simplePos x="0" y="0"/>
            <wp:positionH relativeFrom="page">
              <wp:posOffset>1819655</wp:posOffset>
            </wp:positionH>
            <wp:positionV relativeFrom="paragraph">
              <wp:posOffset>134786</wp:posOffset>
            </wp:positionV>
            <wp:extent cx="115823" cy="115823"/>
            <wp:effectExtent l="0" t="0" r="0" b="0"/>
            <wp:wrapNone/>
            <wp:docPr id="512" name="Image 512"/>
            <wp:cNvGraphicFramePr>
              <a:graphicFrameLocks/>
            </wp:cNvGraphicFramePr>
            <a:graphic>
              <a:graphicData uri="http://schemas.openxmlformats.org/drawingml/2006/picture">
                <pic:pic>
                  <pic:nvPicPr>
                    <pic:cNvPr id="512" name="Image 512"/>
                    <pic:cNvPicPr/>
                  </pic:nvPicPr>
                  <pic:blipFill>
                    <a:blip r:embed="rId62" cstate="print"/>
                    <a:stretch>
                      <a:fillRect/>
                    </a:stretch>
                  </pic:blipFill>
                  <pic:spPr>
                    <a:xfrm>
                      <a:off x="0" y="0"/>
                      <a:ext cx="115823" cy="115823"/>
                    </a:xfrm>
                    <a:prstGeom prst="rect">
                      <a:avLst/>
                    </a:prstGeom>
                  </pic:spPr>
                </pic:pic>
              </a:graphicData>
            </a:graphic>
          </wp:anchor>
        </w:drawing>
      </w:r>
      <w:bookmarkStart w:name="ii. By July 1, 2023, the Commonwealth mu" w:id="783"/>
      <w:bookmarkEnd w:id="783"/>
      <w:r>
        <w:rPr/>
      </w:r>
      <w:r>
        <w:rPr/>
        <w:t>By July 1, 2023, the Commonwealth must submit to CMS for review and approval a complete implementation plan outlining key action items and required</w:t>
      </w:r>
      <w:r>
        <w:rPr>
          <w:spacing w:val="-5"/>
        </w:rPr>
        <w:t> </w:t>
      </w:r>
      <w:r>
        <w:rPr/>
        <w:t>timelines</w:t>
      </w:r>
      <w:r>
        <w:rPr>
          <w:spacing w:val="-5"/>
        </w:rPr>
        <w:t> </w:t>
      </w:r>
      <w:r>
        <w:rPr/>
        <w:t>to</w:t>
      </w:r>
      <w:r>
        <w:rPr>
          <w:spacing w:val="-5"/>
        </w:rPr>
        <w:t> </w:t>
      </w:r>
      <w:r>
        <w:rPr/>
        <w:t>implement</w:t>
      </w:r>
      <w:r>
        <w:rPr>
          <w:spacing w:val="-5"/>
        </w:rPr>
        <w:t> </w:t>
      </w:r>
      <w:r>
        <w:rPr/>
        <w:t>HRSN</w:t>
      </w:r>
      <w:r>
        <w:rPr>
          <w:spacing w:val="-6"/>
        </w:rPr>
        <w:t> </w:t>
      </w:r>
      <w:r>
        <w:rPr/>
        <w:t>flexible</w:t>
      </w:r>
      <w:r>
        <w:rPr>
          <w:spacing w:val="-6"/>
        </w:rPr>
        <w:t> </w:t>
      </w:r>
      <w:r>
        <w:rPr/>
        <w:t>services</w:t>
      </w:r>
      <w:r>
        <w:rPr>
          <w:spacing w:val="-5"/>
        </w:rPr>
        <w:t> </w:t>
      </w:r>
      <w:r>
        <w:rPr/>
        <w:t>into</w:t>
      </w:r>
      <w:r>
        <w:rPr>
          <w:spacing w:val="-5"/>
        </w:rPr>
        <w:t> </w:t>
      </w:r>
      <w:r>
        <w:rPr/>
        <w:t>managed</w:t>
      </w:r>
      <w:r>
        <w:rPr>
          <w:spacing w:val="-3"/>
        </w:rPr>
        <w:t> </w:t>
      </w:r>
      <w:r>
        <w:rPr/>
        <w:t>care delivery</w:t>
      </w:r>
      <w:r>
        <w:rPr>
          <w:spacing w:val="-1"/>
        </w:rPr>
        <w:t> </w:t>
      </w:r>
      <w:r>
        <w:rPr/>
        <w:t>systems, including but not limited to the following key</w:t>
      </w:r>
      <w:r>
        <w:rPr>
          <w:spacing w:val="-1"/>
        </w:rPr>
        <w:t> </w:t>
      </w:r>
      <w:r>
        <w:rPr/>
        <w:t>topics: (1) beneficiary rights and protections; (2) operations, data and system management; (3) payment/capitation rate development; (4) provider enrollment, service delivery and network adequacy.</w:t>
      </w:r>
    </w:p>
    <w:p>
      <w:pPr>
        <w:pStyle w:val="BodyText"/>
        <w:spacing w:before="158"/>
        <w:ind w:left="2039" w:right="1141"/>
      </w:pPr>
      <w:r>
        <w:rPr/>
        <w:drawing>
          <wp:anchor distT="0" distB="0" distL="0" distR="0" allowOverlap="1" layoutInCell="1" locked="0" behindDoc="0" simplePos="0" relativeHeight="15985664">
            <wp:simplePos x="0" y="0"/>
            <wp:positionH relativeFrom="page">
              <wp:posOffset>1778507</wp:posOffset>
            </wp:positionH>
            <wp:positionV relativeFrom="paragraph">
              <wp:posOffset>132882</wp:posOffset>
            </wp:positionV>
            <wp:extent cx="158495" cy="115823"/>
            <wp:effectExtent l="0" t="0" r="0" b="0"/>
            <wp:wrapNone/>
            <wp:docPr id="513" name="Image 513"/>
            <wp:cNvGraphicFramePr>
              <a:graphicFrameLocks/>
            </wp:cNvGraphicFramePr>
            <a:graphic>
              <a:graphicData uri="http://schemas.openxmlformats.org/drawingml/2006/picture">
                <pic:pic>
                  <pic:nvPicPr>
                    <pic:cNvPr id="513" name="Image 513"/>
                    <pic:cNvPicPr/>
                  </pic:nvPicPr>
                  <pic:blipFill>
                    <a:blip r:embed="rId65" cstate="print"/>
                    <a:stretch>
                      <a:fillRect/>
                    </a:stretch>
                  </pic:blipFill>
                  <pic:spPr>
                    <a:xfrm>
                      <a:off x="0" y="0"/>
                      <a:ext cx="158495" cy="115823"/>
                    </a:xfrm>
                    <a:prstGeom prst="rect">
                      <a:avLst/>
                    </a:prstGeom>
                  </pic:spPr>
                </pic:pic>
              </a:graphicData>
            </a:graphic>
          </wp:anchor>
        </w:drawing>
      </w:r>
      <w:bookmarkStart w:name="iii. By April 1, 2024, the Commonwealth " w:id="784"/>
      <w:bookmarkEnd w:id="784"/>
      <w:r>
        <w:rPr/>
      </w:r>
      <w:r>
        <w:rPr/>
        <w:t>By</w:t>
      </w:r>
      <w:r>
        <w:rPr>
          <w:spacing w:val="-7"/>
        </w:rPr>
        <w:t> </w:t>
      </w:r>
      <w:r>
        <w:rPr/>
        <w:t>April</w:t>
      </w:r>
      <w:r>
        <w:rPr>
          <w:spacing w:val="-2"/>
        </w:rPr>
        <w:t> </w:t>
      </w:r>
      <w:r>
        <w:rPr/>
        <w:t>1,</w:t>
      </w:r>
      <w:r>
        <w:rPr>
          <w:spacing w:val="-2"/>
        </w:rPr>
        <w:t> </w:t>
      </w:r>
      <w:r>
        <w:rPr/>
        <w:t>2024,</w:t>
      </w:r>
      <w:r>
        <w:rPr>
          <w:spacing w:val="-2"/>
        </w:rPr>
        <w:t> </w:t>
      </w:r>
      <w:r>
        <w:rPr/>
        <w:t>the</w:t>
      </w:r>
      <w:r>
        <w:rPr>
          <w:spacing w:val="-3"/>
        </w:rPr>
        <w:t> </w:t>
      </w:r>
      <w:r>
        <w:rPr/>
        <w:t>Commonwealth</w:t>
      </w:r>
      <w:r>
        <w:rPr>
          <w:spacing w:val="-2"/>
        </w:rPr>
        <w:t> </w:t>
      </w:r>
      <w:r>
        <w:rPr/>
        <w:t>must</w:t>
      </w:r>
      <w:r>
        <w:rPr>
          <w:spacing w:val="-2"/>
        </w:rPr>
        <w:t> </w:t>
      </w:r>
      <w:r>
        <w:rPr/>
        <w:t>notify</w:t>
      </w:r>
      <w:r>
        <w:rPr>
          <w:spacing w:val="-5"/>
        </w:rPr>
        <w:t> </w:t>
      </w:r>
      <w:r>
        <w:rPr/>
        <w:t>CMS</w:t>
      </w:r>
      <w:r>
        <w:rPr>
          <w:spacing w:val="-2"/>
        </w:rPr>
        <w:t> </w:t>
      </w:r>
      <w:r>
        <w:rPr/>
        <w:t>if</w:t>
      </w:r>
      <w:r>
        <w:rPr>
          <w:spacing w:val="-3"/>
        </w:rPr>
        <w:t> </w:t>
      </w:r>
      <w:r>
        <w:rPr/>
        <w:t>it</w:t>
      </w:r>
      <w:r>
        <w:rPr>
          <w:spacing w:val="-2"/>
        </w:rPr>
        <w:t> </w:t>
      </w:r>
      <w:r>
        <w:rPr/>
        <w:t>intends</w:t>
      </w:r>
      <w:r>
        <w:rPr>
          <w:spacing w:val="-2"/>
        </w:rPr>
        <w:t> </w:t>
      </w:r>
      <w:r>
        <w:rPr/>
        <w:t>to</w:t>
      </w:r>
      <w:r>
        <w:rPr>
          <w:spacing w:val="-2"/>
        </w:rPr>
        <w:t> </w:t>
      </w:r>
      <w:r>
        <w:rPr/>
        <w:t>utilize a state directed payment(s) to direct the expenditures of its risk-based managed</w:t>
      </w:r>
      <w:r>
        <w:rPr>
          <w:spacing w:val="-1"/>
        </w:rPr>
        <w:t> </w:t>
      </w:r>
      <w:r>
        <w:rPr/>
        <w:t>care</w:t>
      </w:r>
      <w:r>
        <w:rPr>
          <w:spacing w:val="-2"/>
        </w:rPr>
        <w:t> </w:t>
      </w:r>
      <w:r>
        <w:rPr/>
        <w:t>plans</w:t>
      </w:r>
      <w:r>
        <w:rPr>
          <w:spacing w:val="-1"/>
        </w:rPr>
        <w:t> </w:t>
      </w:r>
      <w:r>
        <w:rPr/>
        <w:t>related</w:t>
      </w:r>
      <w:r>
        <w:rPr>
          <w:spacing w:val="-2"/>
        </w:rPr>
        <w:t> </w:t>
      </w:r>
      <w:r>
        <w:rPr/>
        <w:t>to</w:t>
      </w:r>
      <w:r>
        <w:rPr>
          <w:spacing w:val="-1"/>
        </w:rPr>
        <w:t> </w:t>
      </w:r>
      <w:r>
        <w:rPr/>
        <w:t>HRSN</w:t>
      </w:r>
      <w:r>
        <w:rPr>
          <w:spacing w:val="-2"/>
        </w:rPr>
        <w:t> </w:t>
      </w:r>
      <w:r>
        <w:rPr/>
        <w:t>flexible</w:t>
      </w:r>
      <w:r>
        <w:rPr>
          <w:spacing w:val="-2"/>
        </w:rPr>
        <w:t> </w:t>
      </w:r>
      <w:r>
        <w:rPr/>
        <w:t>services,</w:t>
      </w:r>
      <w:r>
        <w:rPr>
          <w:spacing w:val="-1"/>
        </w:rPr>
        <w:t> </w:t>
      </w:r>
      <w:r>
        <w:rPr/>
        <w:t>such</w:t>
      </w:r>
      <w:r>
        <w:rPr>
          <w:spacing w:val="-1"/>
        </w:rPr>
        <w:t> </w:t>
      </w:r>
      <w:r>
        <w:rPr/>
        <w:t>as</w:t>
      </w:r>
      <w:r>
        <w:rPr>
          <w:spacing w:val="-1"/>
        </w:rPr>
        <w:t> </w:t>
      </w:r>
      <w:r>
        <w:rPr/>
        <w:t>by</w:t>
      </w:r>
      <w:r>
        <w:rPr>
          <w:spacing w:val="-6"/>
        </w:rPr>
        <w:t> </w:t>
      </w:r>
      <w:r>
        <w:rPr/>
        <w:t>requiring</w:t>
      </w:r>
      <w:r>
        <w:rPr>
          <w:spacing w:val="-1"/>
        </w:rPr>
        <w:t> </w:t>
      </w:r>
      <w:r>
        <w:rPr/>
        <w:t>a minimum fee schedule or other payment arrangement, beginning January 1, </w:t>
      </w:r>
      <w:r>
        <w:rPr>
          <w:spacing w:val="-2"/>
        </w:rPr>
        <w:t>2025.</w:t>
      </w:r>
    </w:p>
    <w:p>
      <w:pPr>
        <w:pStyle w:val="BodyText"/>
        <w:spacing w:before="161"/>
        <w:ind w:left="2040" w:right="1041"/>
      </w:pPr>
      <w:r>
        <w:rPr/>
        <w:drawing>
          <wp:anchor distT="0" distB="0" distL="0" distR="0" allowOverlap="1" layoutInCell="1" locked="0" behindDoc="0" simplePos="0" relativeHeight="15986176">
            <wp:simplePos x="0" y="0"/>
            <wp:positionH relativeFrom="page">
              <wp:posOffset>1786127</wp:posOffset>
            </wp:positionH>
            <wp:positionV relativeFrom="paragraph">
              <wp:posOffset>134786</wp:posOffset>
            </wp:positionV>
            <wp:extent cx="149339" cy="115823"/>
            <wp:effectExtent l="0" t="0" r="0" b="0"/>
            <wp:wrapNone/>
            <wp:docPr id="514" name="Image 514"/>
            <wp:cNvGraphicFramePr>
              <a:graphicFrameLocks/>
            </wp:cNvGraphicFramePr>
            <a:graphic>
              <a:graphicData uri="http://schemas.openxmlformats.org/drawingml/2006/picture">
                <pic:pic>
                  <pic:nvPicPr>
                    <pic:cNvPr id="514" name="Image 514"/>
                    <pic:cNvPicPr/>
                  </pic:nvPicPr>
                  <pic:blipFill>
                    <a:blip r:embed="rId96" cstate="print"/>
                    <a:stretch>
                      <a:fillRect/>
                    </a:stretch>
                  </pic:blipFill>
                  <pic:spPr>
                    <a:xfrm>
                      <a:off x="0" y="0"/>
                      <a:ext cx="149339" cy="115823"/>
                    </a:xfrm>
                    <a:prstGeom prst="rect">
                      <a:avLst/>
                    </a:prstGeom>
                  </pic:spPr>
                </pic:pic>
              </a:graphicData>
            </a:graphic>
          </wp:anchor>
        </w:drawing>
      </w:r>
      <w:bookmarkStart w:name="iv. By July 1, 2024, the Commonwealth mu" w:id="785"/>
      <w:bookmarkEnd w:id="785"/>
      <w:r>
        <w:rPr/>
      </w:r>
      <w:r>
        <w:rPr/>
        <w:t>By July 1, 2024, the Commonwealth must submit a complete preprint(s) for the</w:t>
      </w:r>
      <w:r>
        <w:rPr>
          <w:spacing w:val="-1"/>
        </w:rPr>
        <w:t> </w:t>
      </w:r>
      <w:r>
        <w:rPr/>
        <w:t>calendar year</w:t>
      </w:r>
      <w:r>
        <w:rPr>
          <w:spacing w:val="-1"/>
        </w:rPr>
        <w:t> </w:t>
      </w:r>
      <w:r>
        <w:rPr/>
        <w:t>2025 rating</w:t>
      </w:r>
      <w:r>
        <w:rPr>
          <w:spacing w:val="-3"/>
        </w:rPr>
        <w:t> </w:t>
      </w:r>
      <w:r>
        <w:rPr/>
        <w:t>period if</w:t>
      </w:r>
      <w:r>
        <w:rPr>
          <w:spacing w:val="-1"/>
        </w:rPr>
        <w:t> </w:t>
      </w:r>
      <w:r>
        <w:rPr/>
        <w:t>CMS determines that prior</w:t>
      </w:r>
      <w:r>
        <w:rPr>
          <w:spacing w:val="-1"/>
        </w:rPr>
        <w:t> </w:t>
      </w:r>
      <w:r>
        <w:rPr/>
        <w:t>approval by CMS</w:t>
      </w:r>
      <w:r>
        <w:rPr>
          <w:spacing w:val="-3"/>
        </w:rPr>
        <w:t> </w:t>
      </w:r>
      <w:r>
        <w:rPr/>
        <w:t>is</w:t>
      </w:r>
      <w:r>
        <w:rPr>
          <w:spacing w:val="-3"/>
        </w:rPr>
        <w:t> </w:t>
      </w:r>
      <w:r>
        <w:rPr/>
        <w:t>required</w:t>
      </w:r>
      <w:r>
        <w:rPr>
          <w:spacing w:val="-3"/>
        </w:rPr>
        <w:t> </w:t>
      </w:r>
      <w:r>
        <w:rPr/>
        <w:t>for</w:t>
      </w:r>
      <w:r>
        <w:rPr>
          <w:spacing w:val="-4"/>
        </w:rPr>
        <w:t> </w:t>
      </w:r>
      <w:r>
        <w:rPr/>
        <w:t>any</w:t>
      </w:r>
      <w:r>
        <w:rPr>
          <w:spacing w:val="-6"/>
        </w:rPr>
        <w:t> </w:t>
      </w:r>
      <w:r>
        <w:rPr/>
        <w:t>state</w:t>
      </w:r>
      <w:r>
        <w:rPr>
          <w:spacing w:val="-4"/>
        </w:rPr>
        <w:t> </w:t>
      </w:r>
      <w:r>
        <w:rPr/>
        <w:t>directed</w:t>
      </w:r>
      <w:r>
        <w:rPr>
          <w:spacing w:val="-3"/>
        </w:rPr>
        <w:t> </w:t>
      </w:r>
      <w:r>
        <w:rPr/>
        <w:t>payment(s),</w:t>
      </w:r>
      <w:r>
        <w:rPr>
          <w:spacing w:val="-3"/>
        </w:rPr>
        <w:t> </w:t>
      </w:r>
      <w:r>
        <w:rPr/>
        <w:t>in</w:t>
      </w:r>
      <w:r>
        <w:rPr>
          <w:spacing w:val="-3"/>
        </w:rPr>
        <w:t> </w:t>
      </w:r>
      <w:r>
        <w:rPr/>
        <w:t>accordance</w:t>
      </w:r>
      <w:r>
        <w:rPr>
          <w:spacing w:val="-3"/>
        </w:rPr>
        <w:t> </w:t>
      </w:r>
      <w:r>
        <w:rPr/>
        <w:t>with</w:t>
      </w:r>
      <w:r>
        <w:rPr>
          <w:spacing w:val="-3"/>
        </w:rPr>
        <w:t> </w:t>
      </w:r>
      <w:r>
        <w:rPr/>
        <w:t>42</w:t>
      </w:r>
      <w:r>
        <w:rPr>
          <w:spacing w:val="-3"/>
        </w:rPr>
        <w:t> </w:t>
      </w:r>
      <w:r>
        <w:rPr/>
        <w:t>CFR </w:t>
      </w:r>
      <w:r>
        <w:rPr>
          <w:spacing w:val="-2"/>
        </w:rPr>
        <w:t>438.6(c).</w:t>
      </w:r>
    </w:p>
    <w:p>
      <w:pPr>
        <w:pStyle w:val="BodyText"/>
        <w:spacing w:before="159"/>
        <w:ind w:left="2040" w:right="1059"/>
      </w:pPr>
      <w:r>
        <w:rPr/>
        <w:drawing>
          <wp:anchor distT="0" distB="0" distL="0" distR="0" allowOverlap="1" layoutInCell="1" locked="0" behindDoc="0" simplePos="0" relativeHeight="15986688">
            <wp:simplePos x="0" y="0"/>
            <wp:positionH relativeFrom="page">
              <wp:posOffset>1825751</wp:posOffset>
            </wp:positionH>
            <wp:positionV relativeFrom="paragraph">
              <wp:posOffset>171616</wp:posOffset>
            </wp:positionV>
            <wp:extent cx="109727" cy="77723"/>
            <wp:effectExtent l="0" t="0" r="0" b="0"/>
            <wp:wrapNone/>
            <wp:docPr id="515" name="Image 515"/>
            <wp:cNvGraphicFramePr>
              <a:graphicFrameLocks/>
            </wp:cNvGraphicFramePr>
            <a:graphic>
              <a:graphicData uri="http://schemas.openxmlformats.org/drawingml/2006/picture">
                <pic:pic>
                  <pic:nvPicPr>
                    <pic:cNvPr id="515" name="Image 515"/>
                    <pic:cNvPicPr/>
                  </pic:nvPicPr>
                  <pic:blipFill>
                    <a:blip r:embed="rId67" cstate="print"/>
                    <a:stretch>
                      <a:fillRect/>
                    </a:stretch>
                  </pic:blipFill>
                  <pic:spPr>
                    <a:xfrm>
                      <a:off x="0" y="0"/>
                      <a:ext cx="109727" cy="77723"/>
                    </a:xfrm>
                    <a:prstGeom prst="rect">
                      <a:avLst/>
                    </a:prstGeom>
                  </pic:spPr>
                </pic:pic>
              </a:graphicData>
            </a:graphic>
          </wp:anchor>
        </w:drawing>
      </w:r>
      <w:bookmarkStart w:name="v. By August 1, 2024, the Commonwealth m" w:id="786"/>
      <w:bookmarkEnd w:id="786"/>
      <w:r>
        <w:rPr/>
      </w:r>
      <w:r>
        <w:rPr/>
        <w:t>By</w:t>
      </w:r>
      <w:r>
        <w:rPr>
          <w:spacing w:val="-8"/>
        </w:rPr>
        <w:t> </w:t>
      </w:r>
      <w:r>
        <w:rPr/>
        <w:t>August</w:t>
      </w:r>
      <w:r>
        <w:rPr>
          <w:spacing w:val="-3"/>
        </w:rPr>
        <w:t> </w:t>
      </w:r>
      <w:r>
        <w:rPr/>
        <w:t>1,</w:t>
      </w:r>
      <w:r>
        <w:rPr>
          <w:spacing w:val="-3"/>
        </w:rPr>
        <w:t> </w:t>
      </w:r>
      <w:r>
        <w:rPr/>
        <w:t>2024,</w:t>
      </w:r>
      <w:r>
        <w:rPr>
          <w:spacing w:val="-3"/>
        </w:rPr>
        <w:t> </w:t>
      </w:r>
      <w:r>
        <w:rPr/>
        <w:t>the</w:t>
      </w:r>
      <w:r>
        <w:rPr>
          <w:spacing w:val="-4"/>
        </w:rPr>
        <w:t> </w:t>
      </w:r>
      <w:r>
        <w:rPr/>
        <w:t>Commonwealth</w:t>
      </w:r>
      <w:r>
        <w:rPr>
          <w:spacing w:val="-3"/>
        </w:rPr>
        <w:t> </w:t>
      </w:r>
      <w:r>
        <w:rPr/>
        <w:t>must</w:t>
      </w:r>
      <w:r>
        <w:rPr>
          <w:spacing w:val="-3"/>
        </w:rPr>
        <w:t> </w:t>
      </w:r>
      <w:r>
        <w:rPr/>
        <w:t>submit</w:t>
      </w:r>
      <w:r>
        <w:rPr>
          <w:spacing w:val="-3"/>
        </w:rPr>
        <w:t> </w:t>
      </w:r>
      <w:r>
        <w:rPr/>
        <w:t>draft</w:t>
      </w:r>
      <w:r>
        <w:rPr>
          <w:spacing w:val="-3"/>
        </w:rPr>
        <w:t> </w:t>
      </w:r>
      <w:r>
        <w:rPr/>
        <w:t>managed</w:t>
      </w:r>
      <w:r>
        <w:rPr>
          <w:spacing w:val="-1"/>
        </w:rPr>
        <w:t> </w:t>
      </w:r>
      <w:r>
        <w:rPr/>
        <w:t>care</w:t>
      </w:r>
      <w:r>
        <w:rPr>
          <w:spacing w:val="-4"/>
        </w:rPr>
        <w:t> </w:t>
      </w:r>
      <w:r>
        <w:rPr/>
        <w:t>plan contract actions that incorporate HRSN flexible services in compliance with Federal requirements, including but not limited to, those outlined the framework described in the STCs and 42 CFR 438.</w:t>
      </w:r>
    </w:p>
    <w:p>
      <w:pPr>
        <w:pStyle w:val="BodyText"/>
        <w:spacing w:before="161"/>
        <w:ind w:left="2040" w:right="1059"/>
      </w:pPr>
      <w:r>
        <w:rPr/>
        <w:drawing>
          <wp:anchor distT="0" distB="0" distL="0" distR="0" allowOverlap="1" layoutInCell="1" locked="0" behindDoc="0" simplePos="0" relativeHeight="15987200">
            <wp:simplePos x="0" y="0"/>
            <wp:positionH relativeFrom="page">
              <wp:posOffset>1783079</wp:posOffset>
            </wp:positionH>
            <wp:positionV relativeFrom="paragraph">
              <wp:posOffset>134786</wp:posOffset>
            </wp:positionV>
            <wp:extent cx="152399" cy="115823"/>
            <wp:effectExtent l="0" t="0" r="0" b="0"/>
            <wp:wrapNone/>
            <wp:docPr id="516" name="Image 516"/>
            <wp:cNvGraphicFramePr>
              <a:graphicFrameLocks/>
            </wp:cNvGraphicFramePr>
            <a:graphic>
              <a:graphicData uri="http://schemas.openxmlformats.org/drawingml/2006/picture">
                <pic:pic>
                  <pic:nvPicPr>
                    <pic:cNvPr id="516" name="Image 516"/>
                    <pic:cNvPicPr/>
                  </pic:nvPicPr>
                  <pic:blipFill>
                    <a:blip r:embed="rId98" cstate="print"/>
                    <a:stretch>
                      <a:fillRect/>
                    </a:stretch>
                  </pic:blipFill>
                  <pic:spPr>
                    <a:xfrm>
                      <a:off x="0" y="0"/>
                      <a:ext cx="152399" cy="115823"/>
                    </a:xfrm>
                    <a:prstGeom prst="rect">
                      <a:avLst/>
                    </a:prstGeom>
                  </pic:spPr>
                </pic:pic>
              </a:graphicData>
            </a:graphic>
          </wp:anchor>
        </w:drawing>
      </w:r>
      <w:bookmarkStart w:name="vi. By October 1, 2024, the Commonwealth" w:id="787"/>
      <w:bookmarkEnd w:id="787"/>
      <w:r>
        <w:rPr/>
      </w:r>
      <w:r>
        <w:rPr/>
        <w:t>By</w:t>
      </w:r>
      <w:r>
        <w:rPr>
          <w:spacing w:val="-4"/>
        </w:rPr>
        <w:t> </w:t>
      </w:r>
      <w:r>
        <w:rPr/>
        <w:t>October 1, 2024, the Commonwealth must submit calendar year 2025 rate certifications</w:t>
      </w:r>
      <w:r>
        <w:rPr>
          <w:spacing w:val="-4"/>
        </w:rPr>
        <w:t> </w:t>
      </w:r>
      <w:r>
        <w:rPr/>
        <w:t>for</w:t>
      </w:r>
      <w:r>
        <w:rPr>
          <w:spacing w:val="-5"/>
        </w:rPr>
        <w:t> </w:t>
      </w:r>
      <w:r>
        <w:rPr/>
        <w:t>all</w:t>
      </w:r>
      <w:r>
        <w:rPr>
          <w:spacing w:val="-4"/>
        </w:rPr>
        <w:t> </w:t>
      </w:r>
      <w:r>
        <w:rPr/>
        <w:t>Medicaid</w:t>
      </w:r>
      <w:r>
        <w:rPr>
          <w:spacing w:val="-4"/>
        </w:rPr>
        <w:t> </w:t>
      </w:r>
      <w:r>
        <w:rPr/>
        <w:t>managed</w:t>
      </w:r>
      <w:r>
        <w:rPr>
          <w:spacing w:val="-2"/>
        </w:rPr>
        <w:t> </w:t>
      </w:r>
      <w:r>
        <w:rPr/>
        <w:t>care</w:t>
      </w:r>
      <w:r>
        <w:rPr>
          <w:spacing w:val="-5"/>
        </w:rPr>
        <w:t> </w:t>
      </w:r>
      <w:r>
        <w:rPr/>
        <w:t>programs</w:t>
      </w:r>
      <w:r>
        <w:rPr>
          <w:spacing w:val="-4"/>
        </w:rPr>
        <w:t> </w:t>
      </w:r>
      <w:r>
        <w:rPr/>
        <w:t>that</w:t>
      </w:r>
      <w:r>
        <w:rPr>
          <w:spacing w:val="-4"/>
        </w:rPr>
        <w:t> </w:t>
      </w:r>
      <w:r>
        <w:rPr/>
        <w:t>incorporate</w:t>
      </w:r>
      <w:r>
        <w:rPr>
          <w:spacing w:val="-3"/>
        </w:rPr>
        <w:t> </w:t>
      </w:r>
      <w:r>
        <w:rPr/>
        <w:t>HRSN flexible</w:t>
      </w:r>
      <w:r>
        <w:rPr>
          <w:spacing w:val="-1"/>
        </w:rPr>
        <w:t> </w:t>
      </w:r>
      <w:r>
        <w:rPr/>
        <w:t>services into the</w:t>
      </w:r>
      <w:r>
        <w:rPr>
          <w:spacing w:val="-1"/>
        </w:rPr>
        <w:t> </w:t>
      </w:r>
      <w:r>
        <w:rPr/>
        <w:t>risk-based capitation rates for</w:t>
      </w:r>
      <w:r>
        <w:rPr>
          <w:spacing w:val="-1"/>
        </w:rPr>
        <w:t> </w:t>
      </w:r>
      <w:r>
        <w:rPr/>
        <w:t>MCOs and PIHPs that provide HRSN.</w:t>
      </w:r>
      <w:r>
        <w:rPr>
          <w:spacing w:val="40"/>
        </w:rPr>
        <w:t> </w:t>
      </w:r>
      <w:r>
        <w:rPr/>
        <w:t>The rate certifications must include all necessary documentation outlined in the Medicaid Managed Care Rate Development Guide.</w:t>
      </w:r>
      <w:r>
        <w:rPr>
          <w:spacing w:val="-3"/>
        </w:rPr>
        <w:t> </w:t>
      </w:r>
      <w:r>
        <w:rPr/>
        <w:t>The</w:t>
      </w:r>
      <w:r>
        <w:rPr>
          <w:spacing w:val="-4"/>
        </w:rPr>
        <w:t> </w:t>
      </w:r>
      <w:r>
        <w:rPr/>
        <w:t>Primary</w:t>
      </w:r>
      <w:r>
        <w:rPr>
          <w:spacing w:val="-8"/>
        </w:rPr>
        <w:t> </w:t>
      </w:r>
      <w:r>
        <w:rPr/>
        <w:t>Care</w:t>
      </w:r>
      <w:r>
        <w:rPr>
          <w:spacing w:val="-2"/>
        </w:rPr>
        <w:t> </w:t>
      </w:r>
      <w:r>
        <w:rPr/>
        <w:t>ACOs</w:t>
      </w:r>
      <w:r>
        <w:rPr>
          <w:spacing w:val="-3"/>
        </w:rPr>
        <w:t> </w:t>
      </w:r>
      <w:r>
        <w:rPr/>
        <w:t>may</w:t>
      </w:r>
      <w:r>
        <w:rPr>
          <w:spacing w:val="-8"/>
        </w:rPr>
        <w:t> </w:t>
      </w:r>
      <w:r>
        <w:rPr/>
        <w:t>provide</w:t>
      </w:r>
      <w:r>
        <w:rPr>
          <w:spacing w:val="-4"/>
        </w:rPr>
        <w:t> </w:t>
      </w:r>
      <w:r>
        <w:rPr/>
        <w:t>payment</w:t>
      </w:r>
      <w:r>
        <w:rPr>
          <w:spacing w:val="-3"/>
        </w:rPr>
        <w:t> </w:t>
      </w:r>
      <w:r>
        <w:rPr/>
        <w:t>to</w:t>
      </w:r>
      <w:r>
        <w:rPr>
          <w:spacing w:val="-3"/>
        </w:rPr>
        <w:t> </w:t>
      </w:r>
      <w:r>
        <w:rPr/>
        <w:t>providers</w:t>
      </w:r>
      <w:r>
        <w:rPr>
          <w:spacing w:val="-3"/>
        </w:rPr>
        <w:t> </w:t>
      </w:r>
      <w:r>
        <w:rPr/>
        <w:t>for</w:t>
      </w:r>
      <w:r>
        <w:rPr>
          <w:spacing w:val="-4"/>
        </w:rPr>
        <w:t> </w:t>
      </w:r>
      <w:r>
        <w:rPr/>
        <w:t>HRSN services consistent with the fee-for-service rates reviewed and approved by </w:t>
      </w:r>
      <w:r>
        <w:rPr>
          <w:spacing w:val="-4"/>
        </w:rPr>
        <w:t>CMS.</w:t>
      </w:r>
    </w:p>
    <w:p>
      <w:pPr>
        <w:pStyle w:val="BodyText"/>
        <w:spacing w:before="161"/>
        <w:ind w:left="2040" w:right="1059"/>
      </w:pPr>
      <w:r>
        <w:rPr/>
        <w:drawing>
          <wp:anchor distT="0" distB="0" distL="0" distR="0" allowOverlap="1" layoutInCell="1" locked="0" behindDoc="0" simplePos="0" relativeHeight="15987712">
            <wp:simplePos x="0" y="0"/>
            <wp:positionH relativeFrom="page">
              <wp:posOffset>1740407</wp:posOffset>
            </wp:positionH>
            <wp:positionV relativeFrom="paragraph">
              <wp:posOffset>134786</wp:posOffset>
            </wp:positionV>
            <wp:extent cx="195059" cy="115823"/>
            <wp:effectExtent l="0" t="0" r="0" b="0"/>
            <wp:wrapNone/>
            <wp:docPr id="517" name="Image 517"/>
            <wp:cNvGraphicFramePr>
              <a:graphicFrameLocks/>
            </wp:cNvGraphicFramePr>
            <a:graphic>
              <a:graphicData uri="http://schemas.openxmlformats.org/drawingml/2006/picture">
                <pic:pic>
                  <pic:nvPicPr>
                    <pic:cNvPr id="517" name="Image 517"/>
                    <pic:cNvPicPr/>
                  </pic:nvPicPr>
                  <pic:blipFill>
                    <a:blip r:embed="rId128" cstate="print"/>
                    <a:stretch>
                      <a:fillRect/>
                    </a:stretch>
                  </pic:blipFill>
                  <pic:spPr>
                    <a:xfrm>
                      <a:off x="0" y="0"/>
                      <a:ext cx="195059" cy="115823"/>
                    </a:xfrm>
                    <a:prstGeom prst="rect">
                      <a:avLst/>
                    </a:prstGeom>
                  </pic:spPr>
                </pic:pic>
              </a:graphicData>
            </a:graphic>
          </wp:anchor>
        </w:drawing>
      </w:r>
      <w:bookmarkStart w:name="vii. By October 1, 2024, the Commonwealt" w:id="788"/>
      <w:bookmarkEnd w:id="788"/>
      <w:r>
        <w:rPr/>
      </w:r>
      <w:r>
        <w:rPr/>
        <w:t>By October 1, 2024, the Commonwealth must submit the related executed managed</w:t>
      </w:r>
      <w:r>
        <w:rPr>
          <w:spacing w:val="-4"/>
        </w:rPr>
        <w:t> </w:t>
      </w:r>
      <w:r>
        <w:rPr/>
        <w:t>care</w:t>
      </w:r>
      <w:r>
        <w:rPr>
          <w:spacing w:val="-5"/>
        </w:rPr>
        <w:t> </w:t>
      </w:r>
      <w:r>
        <w:rPr/>
        <w:t>plan</w:t>
      </w:r>
      <w:r>
        <w:rPr>
          <w:spacing w:val="-4"/>
        </w:rPr>
        <w:t> </w:t>
      </w:r>
      <w:r>
        <w:rPr/>
        <w:t>contract</w:t>
      </w:r>
      <w:r>
        <w:rPr>
          <w:spacing w:val="-4"/>
        </w:rPr>
        <w:t> </w:t>
      </w:r>
      <w:r>
        <w:rPr/>
        <w:t>actions</w:t>
      </w:r>
      <w:r>
        <w:rPr>
          <w:spacing w:val="-4"/>
        </w:rPr>
        <w:t> </w:t>
      </w:r>
      <w:r>
        <w:rPr/>
        <w:t>that</w:t>
      </w:r>
      <w:r>
        <w:rPr>
          <w:spacing w:val="-4"/>
        </w:rPr>
        <w:t> </w:t>
      </w:r>
      <w:r>
        <w:rPr/>
        <w:t>incorporate</w:t>
      </w:r>
      <w:r>
        <w:rPr>
          <w:spacing w:val="-5"/>
        </w:rPr>
        <w:t> </w:t>
      </w:r>
      <w:r>
        <w:rPr/>
        <w:t>HRSN</w:t>
      </w:r>
      <w:r>
        <w:rPr>
          <w:spacing w:val="-5"/>
        </w:rPr>
        <w:t> </w:t>
      </w:r>
      <w:r>
        <w:rPr/>
        <w:t>flexible</w:t>
      </w:r>
      <w:r>
        <w:rPr>
          <w:spacing w:val="-5"/>
        </w:rPr>
        <w:t> </w:t>
      </w:r>
      <w:r>
        <w:rPr/>
        <w:t>services</w:t>
      </w:r>
      <w:r>
        <w:rPr>
          <w:spacing w:val="-4"/>
        </w:rPr>
        <w:t> </w:t>
      </w:r>
      <w:r>
        <w:rPr/>
        <w:t>in compliance with Federal requirements, including but not limited to, those outlined the framework described in the STCs and 42 CFR 438.</w:t>
      </w:r>
    </w:p>
    <w:p>
      <w:pPr>
        <w:pStyle w:val="BodyText"/>
        <w:spacing w:before="158"/>
        <w:ind w:left="2040" w:right="1304"/>
        <w:jc w:val="both"/>
      </w:pPr>
      <w:r>
        <w:rPr/>
        <w:drawing>
          <wp:anchor distT="0" distB="0" distL="0" distR="0" allowOverlap="1" layoutInCell="1" locked="0" behindDoc="0" simplePos="0" relativeHeight="15988224">
            <wp:simplePos x="0" y="0"/>
            <wp:positionH relativeFrom="page">
              <wp:posOffset>1699260</wp:posOffset>
            </wp:positionH>
            <wp:positionV relativeFrom="paragraph">
              <wp:posOffset>132881</wp:posOffset>
            </wp:positionV>
            <wp:extent cx="237743" cy="115823"/>
            <wp:effectExtent l="0" t="0" r="0" b="0"/>
            <wp:wrapNone/>
            <wp:docPr id="518" name="Image 518"/>
            <wp:cNvGraphicFramePr>
              <a:graphicFrameLocks/>
            </wp:cNvGraphicFramePr>
            <a:graphic>
              <a:graphicData uri="http://schemas.openxmlformats.org/drawingml/2006/picture">
                <pic:pic>
                  <pic:nvPicPr>
                    <pic:cNvPr id="518" name="Image 518"/>
                    <pic:cNvPicPr/>
                  </pic:nvPicPr>
                  <pic:blipFill>
                    <a:blip r:embed="rId129" cstate="print"/>
                    <a:stretch>
                      <a:fillRect/>
                    </a:stretch>
                  </pic:blipFill>
                  <pic:spPr>
                    <a:xfrm>
                      <a:off x="0" y="0"/>
                      <a:ext cx="237743" cy="115823"/>
                    </a:xfrm>
                    <a:prstGeom prst="rect">
                      <a:avLst/>
                    </a:prstGeom>
                  </pic:spPr>
                </pic:pic>
              </a:graphicData>
            </a:graphic>
          </wp:anchor>
        </w:drawing>
      </w:r>
      <w:bookmarkStart w:name="viii. By October 31, 2024, the Commonwea" w:id="789"/>
      <w:bookmarkEnd w:id="789"/>
      <w:r>
        <w:rPr/>
      </w:r>
      <w:r>
        <w:rPr/>
        <w:t>By</w:t>
      </w:r>
      <w:r>
        <w:rPr>
          <w:spacing w:val="-8"/>
        </w:rPr>
        <w:t> </w:t>
      </w:r>
      <w:r>
        <w:rPr/>
        <w:t>October</w:t>
      </w:r>
      <w:r>
        <w:rPr>
          <w:spacing w:val="-5"/>
        </w:rPr>
        <w:t> </w:t>
      </w:r>
      <w:r>
        <w:rPr/>
        <w:t>31,</w:t>
      </w:r>
      <w:r>
        <w:rPr>
          <w:spacing w:val="-4"/>
        </w:rPr>
        <w:t> </w:t>
      </w:r>
      <w:r>
        <w:rPr/>
        <w:t>2024,</w:t>
      </w:r>
      <w:r>
        <w:rPr>
          <w:spacing w:val="-4"/>
        </w:rPr>
        <w:t> </w:t>
      </w:r>
      <w:r>
        <w:rPr/>
        <w:t>the</w:t>
      </w:r>
      <w:r>
        <w:rPr>
          <w:spacing w:val="-3"/>
        </w:rPr>
        <w:t> </w:t>
      </w:r>
      <w:r>
        <w:rPr/>
        <w:t>Commonwealth</w:t>
      </w:r>
      <w:r>
        <w:rPr>
          <w:spacing w:val="-4"/>
        </w:rPr>
        <w:t> </w:t>
      </w:r>
      <w:r>
        <w:rPr/>
        <w:t>must</w:t>
      </w:r>
      <w:r>
        <w:rPr>
          <w:spacing w:val="-4"/>
        </w:rPr>
        <w:t> </w:t>
      </w:r>
      <w:r>
        <w:rPr/>
        <w:t>submit</w:t>
      </w:r>
      <w:r>
        <w:rPr>
          <w:spacing w:val="-4"/>
        </w:rPr>
        <w:t> </w:t>
      </w:r>
      <w:r>
        <w:rPr/>
        <w:t>documentation</w:t>
      </w:r>
      <w:r>
        <w:rPr>
          <w:spacing w:val="-4"/>
        </w:rPr>
        <w:t> </w:t>
      </w:r>
      <w:r>
        <w:rPr/>
        <w:t>of</w:t>
      </w:r>
      <w:r>
        <w:rPr>
          <w:spacing w:val="-5"/>
        </w:rPr>
        <w:t> </w:t>
      </w:r>
      <w:r>
        <w:rPr/>
        <w:t>its completed readiness review consistent with the requirements outlined in 42 CFR 438.66(d).</w:t>
      </w:r>
    </w:p>
    <w:p>
      <w:pPr>
        <w:spacing w:before="202"/>
        <w:ind w:left="1411" w:right="1059" w:firstLine="0"/>
        <w:jc w:val="left"/>
        <w:rPr>
          <w:sz w:val="24"/>
        </w:rPr>
      </w:pPr>
      <w:r>
        <w:rPr/>
        <w:drawing>
          <wp:anchor distT="0" distB="0" distL="0" distR="0" allowOverlap="1" layoutInCell="1" locked="0" behindDoc="0" simplePos="0" relativeHeight="15988736">
            <wp:simplePos x="0" y="0"/>
            <wp:positionH relativeFrom="page">
              <wp:posOffset>1424939</wp:posOffset>
            </wp:positionH>
            <wp:positionV relativeFrom="paragraph">
              <wp:posOffset>160821</wp:posOffset>
            </wp:positionV>
            <wp:extent cx="111251" cy="115823"/>
            <wp:effectExtent l="0" t="0" r="0" b="0"/>
            <wp:wrapNone/>
            <wp:docPr id="519" name="Image 519"/>
            <wp:cNvGraphicFramePr>
              <a:graphicFrameLocks/>
            </wp:cNvGraphicFramePr>
            <a:graphic>
              <a:graphicData uri="http://schemas.openxmlformats.org/drawingml/2006/picture">
                <pic:pic>
                  <pic:nvPicPr>
                    <pic:cNvPr id="519" name="Image 519"/>
                    <pic:cNvPicPr/>
                  </pic:nvPicPr>
                  <pic:blipFill>
                    <a:blip r:embed="rId30" cstate="print"/>
                    <a:stretch>
                      <a:fillRect/>
                    </a:stretch>
                  </pic:blipFill>
                  <pic:spPr>
                    <a:xfrm>
                      <a:off x="0" y="0"/>
                      <a:ext cx="111251" cy="115823"/>
                    </a:xfrm>
                    <a:prstGeom prst="rect">
                      <a:avLst/>
                    </a:prstGeom>
                  </pic:spPr>
                </pic:pic>
              </a:graphicData>
            </a:graphic>
          </wp:anchor>
        </w:drawing>
      </w:r>
      <w:r>
        <w:rPr/>
        <mc:AlternateContent>
          <mc:Choice Requires="wps">
            <w:drawing>
              <wp:anchor distT="0" distB="0" distL="0" distR="0" allowOverlap="1" layoutInCell="1" locked="0" behindDoc="1" simplePos="0" relativeHeight="473785856">
                <wp:simplePos x="0" y="0"/>
                <wp:positionH relativeFrom="page">
                  <wp:posOffset>6021323</wp:posOffset>
                </wp:positionH>
                <wp:positionV relativeFrom="paragraph">
                  <wp:posOffset>287313</wp:posOffset>
                </wp:positionV>
                <wp:extent cx="38100" cy="15240"/>
                <wp:effectExtent l="0" t="0" r="0" b="0"/>
                <wp:wrapNone/>
                <wp:docPr id="520" name="Graphic 520"/>
                <wp:cNvGraphicFramePr>
                  <a:graphicFrameLocks/>
                </wp:cNvGraphicFramePr>
                <a:graphic>
                  <a:graphicData uri="http://schemas.microsoft.com/office/word/2010/wordprocessingShape">
                    <wps:wsp>
                      <wps:cNvPr id="520" name="Graphic 520"/>
                      <wps:cNvSpPr/>
                      <wps:spPr>
                        <a:xfrm>
                          <a:off x="0" y="0"/>
                          <a:ext cx="38100" cy="15240"/>
                        </a:xfrm>
                        <a:custGeom>
                          <a:avLst/>
                          <a:gdLst/>
                          <a:ahLst/>
                          <a:cxnLst/>
                          <a:rect l="l" t="t" r="r" b="b"/>
                          <a:pathLst>
                            <a:path w="38100" h="15240">
                              <a:moveTo>
                                <a:pt x="38100" y="0"/>
                              </a:moveTo>
                              <a:lnTo>
                                <a:pt x="0" y="0"/>
                              </a:lnTo>
                              <a:lnTo>
                                <a:pt x="0" y="15240"/>
                              </a:lnTo>
                              <a:lnTo>
                                <a:pt x="38100" y="15240"/>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74.119995pt;margin-top:22.623125pt;width:3pt;height:1.2pt;mso-position-horizontal-relative:page;mso-position-vertical-relative:paragraph;z-index:-29530624" id="docshape23" filled="true" fillcolor="#000000" stroked="false">
                <v:fill type="solid"/>
                <w10:wrap type="none"/>
              </v:rect>
            </w:pict>
          </mc:Fallback>
        </mc:AlternateContent>
      </w:r>
      <w:bookmarkStart w:name="b. Flexible Services Transition to HRSN " w:id="790"/>
      <w:bookmarkEnd w:id="790"/>
      <w:r>
        <w:rPr/>
      </w:r>
      <w:r>
        <w:rPr>
          <w:b/>
          <w:sz w:val="24"/>
        </w:rPr>
        <w:t>Flexible</w:t>
      </w:r>
      <w:r>
        <w:rPr>
          <w:b/>
          <w:spacing w:val="-6"/>
          <w:sz w:val="24"/>
        </w:rPr>
        <w:t> </w:t>
      </w:r>
      <w:r>
        <w:rPr>
          <w:b/>
          <w:sz w:val="24"/>
        </w:rPr>
        <w:t>Services</w:t>
      </w:r>
      <w:r>
        <w:rPr>
          <w:b/>
          <w:spacing w:val="-5"/>
          <w:sz w:val="24"/>
        </w:rPr>
        <w:t> </w:t>
      </w:r>
      <w:r>
        <w:rPr>
          <w:b/>
          <w:sz w:val="24"/>
        </w:rPr>
        <w:t>Transition</w:t>
      </w:r>
      <w:r>
        <w:rPr>
          <w:b/>
          <w:spacing w:val="-5"/>
          <w:sz w:val="24"/>
        </w:rPr>
        <w:t> </w:t>
      </w:r>
      <w:r>
        <w:rPr>
          <w:b/>
          <w:sz w:val="24"/>
        </w:rPr>
        <w:t>to</w:t>
      </w:r>
      <w:r>
        <w:rPr>
          <w:b/>
          <w:spacing w:val="-5"/>
          <w:sz w:val="24"/>
        </w:rPr>
        <w:t> </w:t>
      </w:r>
      <w:r>
        <w:rPr>
          <w:b/>
          <w:sz w:val="24"/>
        </w:rPr>
        <w:t>HRSN</w:t>
      </w:r>
      <w:r>
        <w:rPr>
          <w:b/>
          <w:spacing w:val="-6"/>
          <w:sz w:val="24"/>
        </w:rPr>
        <w:t> </w:t>
      </w:r>
      <w:r>
        <w:rPr>
          <w:b/>
          <w:sz w:val="24"/>
        </w:rPr>
        <w:t>Fee-For-Service</w:t>
      </w:r>
      <w:r>
        <w:rPr>
          <w:b/>
          <w:spacing w:val="-4"/>
          <w:sz w:val="24"/>
        </w:rPr>
        <w:t> </w:t>
      </w:r>
      <w:r>
        <w:rPr>
          <w:b/>
          <w:sz w:val="24"/>
        </w:rPr>
        <w:t>Framework.</w:t>
      </w:r>
      <w:r>
        <w:rPr>
          <w:b/>
          <w:spacing w:val="-5"/>
          <w:sz w:val="24"/>
        </w:rPr>
        <w:t> </w:t>
      </w:r>
      <w:r>
        <w:rPr>
          <w:sz w:val="24"/>
        </w:rPr>
        <w:t>For</w:t>
      </w:r>
      <w:r>
        <w:rPr>
          <w:spacing w:val="-6"/>
          <w:sz w:val="24"/>
        </w:rPr>
        <w:t> </w:t>
      </w:r>
      <w:r>
        <w:rPr>
          <w:sz w:val="24"/>
        </w:rPr>
        <w:t>fee-for- service delivery systems, the Commonwealth must submit HRSN Flexible Service</w:t>
      </w:r>
    </w:p>
    <w:p>
      <w:pPr>
        <w:spacing w:after="0"/>
        <w:jc w:val="left"/>
        <w:rPr>
          <w:sz w:val="24"/>
        </w:rPr>
        <w:sectPr>
          <w:pgSz w:w="12240" w:h="15840"/>
          <w:pgMar w:header="0" w:footer="1201" w:top="1360" w:bottom="1400" w:left="1200" w:right="400"/>
        </w:sectPr>
      </w:pPr>
    </w:p>
    <w:p>
      <w:pPr>
        <w:pStyle w:val="BodyText"/>
        <w:spacing w:before="79"/>
        <w:ind w:left="1411" w:right="1141"/>
      </w:pPr>
      <w:r>
        <w:rPr/>
        <w:t>rates for CMS review and approval, following the expectations described in the HRSN</w:t>
      </w:r>
      <w:r>
        <w:rPr>
          <w:spacing w:val="-2"/>
        </w:rPr>
        <w:t> </w:t>
      </w:r>
      <w:r>
        <w:rPr/>
        <w:t>Implementation</w:t>
      </w:r>
      <w:r>
        <w:rPr>
          <w:spacing w:val="-3"/>
        </w:rPr>
        <w:t> </w:t>
      </w:r>
      <w:r>
        <w:rPr/>
        <w:t>Plan</w:t>
      </w:r>
      <w:r>
        <w:rPr>
          <w:spacing w:val="-3"/>
        </w:rPr>
        <w:t> </w:t>
      </w:r>
      <w:r>
        <w:rPr/>
        <w:t>section</w:t>
      </w:r>
      <w:r>
        <w:rPr>
          <w:spacing w:val="-3"/>
        </w:rPr>
        <w:t> </w:t>
      </w:r>
      <w:r>
        <w:rPr/>
        <w:t>below,</w:t>
      </w:r>
      <w:r>
        <w:rPr>
          <w:spacing w:val="-3"/>
        </w:rPr>
        <w:t> </w:t>
      </w:r>
      <w:r>
        <w:rPr/>
        <w:t>by</w:t>
      </w:r>
      <w:r>
        <w:rPr>
          <w:spacing w:val="-7"/>
        </w:rPr>
        <w:t> </w:t>
      </w:r>
      <w:r>
        <w:rPr/>
        <w:t>July</w:t>
      </w:r>
      <w:r>
        <w:rPr>
          <w:spacing w:val="-5"/>
        </w:rPr>
        <w:t> </w:t>
      </w:r>
      <w:r>
        <w:rPr/>
        <w:t>1,</w:t>
      </w:r>
      <w:r>
        <w:rPr>
          <w:spacing w:val="-3"/>
        </w:rPr>
        <w:t> </w:t>
      </w:r>
      <w:r>
        <w:rPr/>
        <w:t>2024.</w:t>
      </w:r>
      <w:r>
        <w:rPr>
          <w:spacing w:val="40"/>
        </w:rPr>
        <w:t> </w:t>
      </w:r>
      <w:r>
        <w:rPr/>
        <w:t>Following</w:t>
      </w:r>
      <w:r>
        <w:rPr>
          <w:spacing w:val="-5"/>
        </w:rPr>
        <w:t> </w:t>
      </w:r>
      <w:r>
        <w:rPr/>
        <w:t>December 31,</w:t>
      </w:r>
      <w:r>
        <w:rPr>
          <w:spacing w:val="-3"/>
        </w:rPr>
        <w:t> </w:t>
      </w:r>
      <w:r>
        <w:rPr/>
        <w:t>2024,</w:t>
      </w:r>
      <w:r>
        <w:rPr>
          <w:spacing w:val="-3"/>
        </w:rPr>
        <w:t> </w:t>
      </w:r>
      <w:r>
        <w:rPr/>
        <w:t>the</w:t>
      </w:r>
      <w:r>
        <w:rPr>
          <w:spacing w:val="-4"/>
        </w:rPr>
        <w:t> </w:t>
      </w:r>
      <w:r>
        <w:rPr/>
        <w:t>Commonwealth</w:t>
      </w:r>
      <w:r>
        <w:rPr>
          <w:spacing w:val="-3"/>
        </w:rPr>
        <w:t> </w:t>
      </w:r>
      <w:r>
        <w:rPr/>
        <w:t>must</w:t>
      </w:r>
      <w:r>
        <w:rPr>
          <w:spacing w:val="-3"/>
        </w:rPr>
        <w:t> </w:t>
      </w:r>
      <w:r>
        <w:rPr/>
        <w:t>comply</w:t>
      </w:r>
      <w:r>
        <w:rPr>
          <w:spacing w:val="-8"/>
        </w:rPr>
        <w:t> </w:t>
      </w:r>
      <w:r>
        <w:rPr/>
        <w:t>with</w:t>
      </w:r>
      <w:r>
        <w:rPr>
          <w:spacing w:val="-3"/>
        </w:rPr>
        <w:t> </w:t>
      </w:r>
      <w:r>
        <w:rPr/>
        <w:t>all</w:t>
      </w:r>
      <w:r>
        <w:rPr>
          <w:spacing w:val="-3"/>
        </w:rPr>
        <w:t> </w:t>
      </w:r>
      <w:r>
        <w:rPr/>
        <w:t>of</w:t>
      </w:r>
      <w:r>
        <w:rPr>
          <w:spacing w:val="-4"/>
        </w:rPr>
        <w:t> </w:t>
      </w:r>
      <w:r>
        <w:rPr/>
        <w:t>the</w:t>
      </w:r>
      <w:r>
        <w:rPr>
          <w:spacing w:val="-4"/>
        </w:rPr>
        <w:t> </w:t>
      </w:r>
      <w:r>
        <w:rPr/>
        <w:t>applicable</w:t>
      </w:r>
      <w:r>
        <w:rPr>
          <w:spacing w:val="-4"/>
        </w:rPr>
        <w:t> </w:t>
      </w:r>
      <w:r>
        <w:rPr/>
        <w:t>requirements identified within Section 15 of the STCs.</w:t>
      </w:r>
    </w:p>
    <w:p>
      <w:pPr>
        <w:pStyle w:val="BodyText"/>
        <w:spacing w:before="10"/>
        <w:rPr>
          <w:sz w:val="20"/>
        </w:rPr>
      </w:pPr>
    </w:p>
    <w:p>
      <w:pPr>
        <w:pStyle w:val="BodyText"/>
        <w:ind w:left="1411" w:right="1059"/>
      </w:pPr>
      <w:r>
        <w:rPr/>
        <w:drawing>
          <wp:anchor distT="0" distB="0" distL="0" distR="0" allowOverlap="1" layoutInCell="1" locked="0" behindDoc="0" simplePos="0" relativeHeight="15989760">
            <wp:simplePos x="0" y="0"/>
            <wp:positionH relativeFrom="page">
              <wp:posOffset>1431036</wp:posOffset>
            </wp:positionH>
            <wp:positionV relativeFrom="paragraph">
              <wp:posOffset>67603</wp:posOffset>
            </wp:positionV>
            <wp:extent cx="96011" cy="80771"/>
            <wp:effectExtent l="0" t="0" r="0" b="0"/>
            <wp:wrapNone/>
            <wp:docPr id="521" name="Image 521"/>
            <wp:cNvGraphicFramePr>
              <a:graphicFrameLocks/>
            </wp:cNvGraphicFramePr>
            <a:graphic>
              <a:graphicData uri="http://schemas.openxmlformats.org/drawingml/2006/picture">
                <pic:pic>
                  <pic:nvPicPr>
                    <pic:cNvPr id="521" name="Image 521"/>
                    <pic:cNvPicPr/>
                  </pic:nvPicPr>
                  <pic:blipFill>
                    <a:blip r:embed="rId35" cstate="print"/>
                    <a:stretch>
                      <a:fillRect/>
                    </a:stretch>
                  </pic:blipFill>
                  <pic:spPr>
                    <a:xfrm>
                      <a:off x="0" y="0"/>
                      <a:ext cx="96011" cy="80771"/>
                    </a:xfrm>
                    <a:prstGeom prst="rect">
                      <a:avLst/>
                    </a:prstGeom>
                  </pic:spPr>
                </pic:pic>
              </a:graphicData>
            </a:graphic>
          </wp:anchor>
        </w:drawing>
      </w:r>
      <w:bookmarkStart w:name="c. The Commonwealth may submit an amendm" w:id="791"/>
      <w:bookmarkEnd w:id="791"/>
      <w:r>
        <w:rPr/>
      </w:r>
      <w:r>
        <w:rPr/>
        <w:t>The Commonwealth may submit an amendment at a future date in order to request any</w:t>
      </w:r>
      <w:r>
        <w:rPr>
          <w:spacing w:val="-8"/>
        </w:rPr>
        <w:t> </w:t>
      </w:r>
      <w:r>
        <w:rPr/>
        <w:t>necessary</w:t>
      </w:r>
      <w:r>
        <w:rPr>
          <w:spacing w:val="-8"/>
        </w:rPr>
        <w:t> </w:t>
      </w:r>
      <w:r>
        <w:rPr/>
        <w:t>changes</w:t>
      </w:r>
      <w:r>
        <w:rPr>
          <w:spacing w:val="-3"/>
        </w:rPr>
        <w:t> </w:t>
      </w:r>
      <w:r>
        <w:rPr/>
        <w:t>to</w:t>
      </w:r>
      <w:r>
        <w:rPr>
          <w:spacing w:val="-1"/>
        </w:rPr>
        <w:t> </w:t>
      </w:r>
      <w:r>
        <w:rPr/>
        <w:t>authorities</w:t>
      </w:r>
      <w:r>
        <w:rPr>
          <w:spacing w:val="-3"/>
        </w:rPr>
        <w:t> </w:t>
      </w:r>
      <w:r>
        <w:rPr/>
        <w:t>or</w:t>
      </w:r>
      <w:r>
        <w:rPr>
          <w:spacing w:val="-4"/>
        </w:rPr>
        <w:t> </w:t>
      </w:r>
      <w:r>
        <w:rPr/>
        <w:t>these</w:t>
      </w:r>
      <w:r>
        <w:rPr>
          <w:spacing w:val="-4"/>
        </w:rPr>
        <w:t> </w:t>
      </w:r>
      <w:r>
        <w:rPr/>
        <w:t>STC</w:t>
      </w:r>
      <w:r>
        <w:rPr>
          <w:spacing w:val="-3"/>
        </w:rPr>
        <w:t> </w:t>
      </w:r>
      <w:r>
        <w:rPr/>
        <w:t>to</w:t>
      </w:r>
      <w:r>
        <w:rPr>
          <w:spacing w:val="-3"/>
        </w:rPr>
        <w:t> </w:t>
      </w:r>
      <w:r>
        <w:rPr/>
        <w:t>reflect</w:t>
      </w:r>
      <w:r>
        <w:rPr>
          <w:spacing w:val="-3"/>
        </w:rPr>
        <w:t> </w:t>
      </w:r>
      <w:r>
        <w:rPr/>
        <w:t>its</w:t>
      </w:r>
      <w:r>
        <w:rPr>
          <w:spacing w:val="-3"/>
        </w:rPr>
        <w:t> </w:t>
      </w:r>
      <w:r>
        <w:rPr/>
        <w:t>intended</w:t>
      </w:r>
      <w:r>
        <w:rPr>
          <w:spacing w:val="-3"/>
        </w:rPr>
        <w:t> </w:t>
      </w:r>
      <w:r>
        <w:rPr/>
        <w:t>operational design for the program, but must comport with this framework and applicable regulations and statute.</w:t>
      </w:r>
    </w:p>
    <w:p>
      <w:pPr>
        <w:pStyle w:val="BodyText"/>
        <w:spacing w:before="10"/>
        <w:rPr>
          <w:sz w:val="20"/>
        </w:rPr>
      </w:pPr>
    </w:p>
    <w:p>
      <w:pPr>
        <w:pStyle w:val="BodyText"/>
        <w:ind w:left="1411" w:right="1495"/>
      </w:pPr>
      <w:r>
        <w:rPr/>
        <w:drawing>
          <wp:anchor distT="0" distB="0" distL="0" distR="0" allowOverlap="1" layoutInCell="1" locked="0" behindDoc="0" simplePos="0" relativeHeight="15990272">
            <wp:simplePos x="0" y="0"/>
            <wp:positionH relativeFrom="page">
              <wp:posOffset>1431036</wp:posOffset>
            </wp:positionH>
            <wp:positionV relativeFrom="paragraph">
              <wp:posOffset>32551</wp:posOffset>
            </wp:positionV>
            <wp:extent cx="105155" cy="115823"/>
            <wp:effectExtent l="0" t="0" r="0" b="0"/>
            <wp:wrapNone/>
            <wp:docPr id="522" name="Image 522"/>
            <wp:cNvGraphicFramePr>
              <a:graphicFrameLocks/>
            </wp:cNvGraphicFramePr>
            <a:graphic>
              <a:graphicData uri="http://schemas.openxmlformats.org/drawingml/2006/picture">
                <pic:pic>
                  <pic:nvPicPr>
                    <pic:cNvPr id="522" name="Image 522"/>
                    <pic:cNvPicPr/>
                  </pic:nvPicPr>
                  <pic:blipFill>
                    <a:blip r:embed="rId36" cstate="print"/>
                    <a:stretch>
                      <a:fillRect/>
                    </a:stretch>
                  </pic:blipFill>
                  <pic:spPr>
                    <a:xfrm>
                      <a:off x="0" y="0"/>
                      <a:ext cx="105155" cy="115823"/>
                    </a:xfrm>
                    <a:prstGeom prst="rect">
                      <a:avLst/>
                    </a:prstGeom>
                  </pic:spPr>
                </pic:pic>
              </a:graphicData>
            </a:graphic>
          </wp:anchor>
        </w:drawing>
      </w:r>
      <w:bookmarkStart w:name="d. CSP HRSN Services Transition.  CSP fo" w:id="792"/>
      <w:bookmarkEnd w:id="792"/>
      <w:r>
        <w:rPr/>
      </w:r>
      <w:r>
        <w:rPr>
          <w:b/>
          <w:color w:val="1F1F1E"/>
        </w:rPr>
        <w:t>CSP</w:t>
      </w:r>
      <w:r>
        <w:rPr>
          <w:b/>
          <w:color w:val="1F1F1E"/>
          <w:spacing w:val="-6"/>
        </w:rPr>
        <w:t> </w:t>
      </w:r>
      <w:r>
        <w:rPr>
          <w:b/>
          <w:color w:val="1F1F1E"/>
        </w:rPr>
        <w:t>HRSN</w:t>
      </w:r>
      <w:r>
        <w:rPr>
          <w:b/>
          <w:color w:val="1F1F1E"/>
          <w:spacing w:val="-4"/>
        </w:rPr>
        <w:t> </w:t>
      </w:r>
      <w:r>
        <w:rPr>
          <w:b/>
          <w:color w:val="1F1F1E"/>
        </w:rPr>
        <w:t>Services</w:t>
      </w:r>
      <w:r>
        <w:rPr>
          <w:b/>
          <w:color w:val="1F1F1E"/>
          <w:spacing w:val="-3"/>
        </w:rPr>
        <w:t> </w:t>
      </w:r>
      <w:r>
        <w:rPr>
          <w:b/>
          <w:color w:val="1F1F1E"/>
        </w:rPr>
        <w:t>Transition</w:t>
      </w:r>
      <w:r>
        <w:rPr>
          <w:color w:val="1F1F1E"/>
        </w:rPr>
        <w:t>.</w:t>
      </w:r>
      <w:r>
        <w:rPr>
          <w:color w:val="1F1F1E"/>
          <w:spacing w:val="40"/>
        </w:rPr>
        <w:t> </w:t>
      </w:r>
      <w:r>
        <w:rPr/>
        <w:t>CSP</w:t>
      </w:r>
      <w:r>
        <w:rPr>
          <w:spacing w:val="-3"/>
        </w:rPr>
        <w:t> </w:t>
      </w:r>
      <w:r>
        <w:rPr/>
        <w:t>for</w:t>
      </w:r>
      <w:r>
        <w:rPr>
          <w:spacing w:val="-4"/>
        </w:rPr>
        <w:t> </w:t>
      </w:r>
      <w:r>
        <w:rPr/>
        <w:t>individuals</w:t>
      </w:r>
      <w:r>
        <w:rPr>
          <w:spacing w:val="-3"/>
        </w:rPr>
        <w:t> </w:t>
      </w:r>
      <w:r>
        <w:rPr/>
        <w:t>with</w:t>
      </w:r>
      <w:r>
        <w:rPr>
          <w:spacing w:val="-3"/>
        </w:rPr>
        <w:t> </w:t>
      </w:r>
      <w:r>
        <w:rPr/>
        <w:t>justice</w:t>
      </w:r>
      <w:r>
        <w:rPr>
          <w:spacing w:val="-4"/>
        </w:rPr>
        <w:t> </w:t>
      </w:r>
      <w:r>
        <w:rPr/>
        <w:t>involvement (CSP-JI)</w:t>
      </w:r>
      <w:r>
        <w:rPr>
          <w:spacing w:val="-4"/>
        </w:rPr>
        <w:t> </w:t>
      </w:r>
      <w:r>
        <w:rPr/>
        <w:t>Services</w:t>
      </w:r>
      <w:r>
        <w:rPr>
          <w:spacing w:val="-3"/>
        </w:rPr>
        <w:t> </w:t>
      </w:r>
      <w:r>
        <w:rPr/>
        <w:t>will</w:t>
      </w:r>
      <w:r>
        <w:rPr>
          <w:spacing w:val="-3"/>
        </w:rPr>
        <w:t> </w:t>
      </w:r>
      <w:r>
        <w:rPr/>
        <w:t>meet</w:t>
      </w:r>
      <w:r>
        <w:rPr>
          <w:spacing w:val="-3"/>
        </w:rPr>
        <w:t> </w:t>
      </w:r>
      <w:r>
        <w:rPr/>
        <w:t>the</w:t>
      </w:r>
      <w:r>
        <w:rPr>
          <w:spacing w:val="-4"/>
        </w:rPr>
        <w:t> </w:t>
      </w:r>
      <w:r>
        <w:rPr/>
        <w:t>requirements</w:t>
      </w:r>
      <w:r>
        <w:rPr>
          <w:spacing w:val="-3"/>
        </w:rPr>
        <w:t> </w:t>
      </w:r>
      <w:r>
        <w:rPr/>
        <w:t>of</w:t>
      </w:r>
      <w:r>
        <w:rPr>
          <w:spacing w:val="-4"/>
        </w:rPr>
        <w:t> </w:t>
      </w:r>
      <w:r>
        <w:rPr/>
        <w:t>this</w:t>
      </w:r>
      <w:r>
        <w:rPr>
          <w:spacing w:val="-3"/>
        </w:rPr>
        <w:t> </w:t>
      </w:r>
      <w:r>
        <w:rPr/>
        <w:t>STC</w:t>
      </w:r>
      <w:r>
        <w:rPr>
          <w:spacing w:val="-3"/>
        </w:rPr>
        <w:t> </w:t>
      </w:r>
      <w:r>
        <w:rPr/>
        <w:t>15</w:t>
      </w:r>
      <w:r>
        <w:rPr>
          <w:spacing w:val="-3"/>
        </w:rPr>
        <w:t> </w:t>
      </w:r>
      <w:r>
        <w:rPr/>
        <w:t>as</w:t>
      </w:r>
      <w:r>
        <w:rPr>
          <w:spacing w:val="-3"/>
        </w:rPr>
        <w:t> </w:t>
      </w:r>
      <w:r>
        <w:rPr/>
        <w:t>of</w:t>
      </w:r>
      <w:r>
        <w:rPr>
          <w:spacing w:val="-4"/>
        </w:rPr>
        <w:t> </w:t>
      </w:r>
      <w:r>
        <w:rPr/>
        <w:t>April</w:t>
      </w:r>
      <w:r>
        <w:rPr>
          <w:spacing w:val="-3"/>
        </w:rPr>
        <w:t> </w:t>
      </w:r>
      <w:r>
        <w:rPr/>
        <w:t>1,</w:t>
      </w:r>
      <w:r>
        <w:rPr>
          <w:spacing w:val="-3"/>
        </w:rPr>
        <w:t> </w:t>
      </w:r>
      <w:r>
        <w:rPr/>
        <w:t>2023. Prior to April 1, 2023, CSP-JI will operate under the BH Diversionary Services construct, per STC 5.11.</w:t>
      </w:r>
    </w:p>
    <w:p>
      <w:pPr>
        <w:pStyle w:val="BodyText"/>
        <w:spacing w:before="10"/>
        <w:rPr>
          <w:sz w:val="20"/>
        </w:rPr>
      </w:pPr>
    </w:p>
    <w:p>
      <w:pPr>
        <w:pStyle w:val="BodyText"/>
        <w:ind w:left="871" w:right="1066"/>
      </w:pPr>
      <w:r>
        <w:rPr/>
        <w:drawing>
          <wp:anchor distT="0" distB="0" distL="0" distR="0" allowOverlap="1" layoutInCell="1" locked="0" behindDoc="0" simplePos="0" relativeHeight="15990784">
            <wp:simplePos x="0" y="0"/>
            <wp:positionH relativeFrom="page">
              <wp:posOffset>908303</wp:posOffset>
            </wp:positionH>
            <wp:positionV relativeFrom="paragraph">
              <wp:posOffset>35612</wp:posOffset>
            </wp:positionV>
            <wp:extent cx="283463" cy="112763"/>
            <wp:effectExtent l="0" t="0" r="0" b="0"/>
            <wp:wrapNone/>
            <wp:docPr id="523" name="Image 523"/>
            <wp:cNvGraphicFramePr>
              <a:graphicFrameLocks/>
            </wp:cNvGraphicFramePr>
            <a:graphic>
              <a:graphicData uri="http://schemas.openxmlformats.org/drawingml/2006/picture">
                <pic:pic>
                  <pic:nvPicPr>
                    <pic:cNvPr id="523" name="Image 523"/>
                    <pic:cNvPicPr/>
                  </pic:nvPicPr>
                  <pic:blipFill>
                    <a:blip r:embed="rId226" cstate="print"/>
                    <a:stretch>
                      <a:fillRect/>
                    </a:stretch>
                  </pic:blipFill>
                  <pic:spPr>
                    <a:xfrm>
                      <a:off x="0" y="0"/>
                      <a:ext cx="283463" cy="112763"/>
                    </a:xfrm>
                    <a:prstGeom prst="rect">
                      <a:avLst/>
                    </a:prstGeom>
                  </pic:spPr>
                </pic:pic>
              </a:graphicData>
            </a:graphic>
          </wp:anchor>
        </w:drawing>
      </w:r>
      <w:bookmarkStart w:name="15.2. Health- Related Social Needs (HRSN" w:id="793"/>
      <w:bookmarkEnd w:id="793"/>
      <w:r>
        <w:rPr/>
      </w:r>
      <w:r>
        <w:rPr>
          <w:b/>
        </w:rPr>
        <w:t>Health- Related Social Needs (HRSN) Services.</w:t>
      </w:r>
      <w:r>
        <w:rPr>
          <w:b/>
          <w:spacing w:val="80"/>
        </w:rPr>
        <w:t> </w:t>
      </w:r>
      <w:r>
        <w:rPr/>
        <w:t>The Commonwealth may claim FFP for expenditures for certain evidence-based andallowable HRSN services identified in Attachment P and this STC, subject to the restrictions described below, including Section 21 of these STCs.</w:t>
      </w:r>
      <w:r>
        <w:rPr>
          <w:spacing w:val="40"/>
        </w:rPr>
        <w:t> </w:t>
      </w:r>
      <w:r>
        <w:rPr/>
        <w:t>Expenditures are limited to expenditures for items and services not otherwise covered under Title XIX or Title XXI, but consistent with Medicaid demonstration objectives that enable the Commonwealth to continue to increase the efficiency</w:t>
      </w:r>
      <w:r>
        <w:rPr>
          <w:spacing w:val="-7"/>
        </w:rPr>
        <w:t> </w:t>
      </w:r>
      <w:r>
        <w:rPr/>
        <w:t>and</w:t>
      </w:r>
      <w:r>
        <w:rPr>
          <w:spacing w:val="-3"/>
        </w:rPr>
        <w:t> </w:t>
      </w:r>
      <w:r>
        <w:rPr/>
        <w:t>quality</w:t>
      </w:r>
      <w:r>
        <w:rPr>
          <w:spacing w:val="-7"/>
        </w:rPr>
        <w:t> </w:t>
      </w:r>
      <w:r>
        <w:rPr/>
        <w:t>of</w:t>
      </w:r>
      <w:r>
        <w:rPr>
          <w:spacing w:val="-2"/>
        </w:rPr>
        <w:t> </w:t>
      </w:r>
      <w:r>
        <w:rPr/>
        <w:t>care.</w:t>
      </w:r>
      <w:r>
        <w:rPr>
          <w:spacing w:val="40"/>
        </w:rPr>
        <w:t> </w:t>
      </w:r>
      <w:r>
        <w:rPr/>
        <w:t>The</w:t>
      </w:r>
      <w:r>
        <w:rPr>
          <w:spacing w:val="-4"/>
        </w:rPr>
        <w:t> </w:t>
      </w:r>
      <w:r>
        <w:rPr/>
        <w:t>Commonwealth</w:t>
      </w:r>
      <w:r>
        <w:rPr>
          <w:spacing w:val="-3"/>
        </w:rPr>
        <w:t> </w:t>
      </w:r>
      <w:r>
        <w:rPr/>
        <w:t>is</w:t>
      </w:r>
      <w:r>
        <w:rPr>
          <w:spacing w:val="-3"/>
        </w:rPr>
        <w:t> </w:t>
      </w:r>
      <w:r>
        <w:rPr/>
        <w:t>required</w:t>
      </w:r>
      <w:r>
        <w:rPr>
          <w:spacing w:val="-3"/>
        </w:rPr>
        <w:t> </w:t>
      </w:r>
      <w:r>
        <w:rPr/>
        <w:t>to</w:t>
      </w:r>
      <w:r>
        <w:rPr>
          <w:spacing w:val="-3"/>
        </w:rPr>
        <w:t> </w:t>
      </w:r>
      <w:r>
        <w:rPr/>
        <w:t>align</w:t>
      </w:r>
      <w:r>
        <w:rPr>
          <w:spacing w:val="-3"/>
        </w:rPr>
        <w:t> </w:t>
      </w:r>
      <w:r>
        <w:rPr/>
        <w:t>clinical</w:t>
      </w:r>
      <w:r>
        <w:rPr>
          <w:spacing w:val="-3"/>
        </w:rPr>
        <w:t> </w:t>
      </w:r>
      <w:r>
        <w:rPr/>
        <w:t>and</w:t>
      </w:r>
      <w:r>
        <w:rPr>
          <w:spacing w:val="-3"/>
        </w:rPr>
        <w:t> </w:t>
      </w:r>
      <w:r>
        <w:rPr/>
        <w:t>health- related social needs criteria across services and with other non-Medicaid social support agencies, to the extent possible.</w:t>
      </w:r>
      <w:r>
        <w:rPr>
          <w:spacing w:val="40"/>
        </w:rPr>
        <w:t> </w:t>
      </w:r>
      <w:r>
        <w:rPr/>
        <w:t>The HRSN services may</w:t>
      </w:r>
      <w:r>
        <w:rPr>
          <w:spacing w:val="-3"/>
        </w:rPr>
        <w:t> </w:t>
      </w:r>
      <w:r>
        <w:rPr/>
        <w:t>not supplant any</w:t>
      </w:r>
      <w:r>
        <w:rPr>
          <w:spacing w:val="-1"/>
        </w:rPr>
        <w:t> </w:t>
      </w:r>
      <w:r>
        <w:rPr/>
        <w:t>other available funding sources such as housing or nutrition supports available to the beneficiary through local,</w:t>
      </w:r>
      <w:r>
        <w:rPr>
          <w:spacing w:val="-1"/>
        </w:rPr>
        <w:t> </w:t>
      </w:r>
      <w:r>
        <w:rPr/>
        <w:t>state,</w:t>
      </w:r>
      <w:r>
        <w:rPr>
          <w:spacing w:val="-1"/>
        </w:rPr>
        <w:t> </w:t>
      </w:r>
      <w:r>
        <w:rPr/>
        <w:t>or</w:t>
      </w:r>
      <w:r>
        <w:rPr>
          <w:spacing w:val="-2"/>
        </w:rPr>
        <w:t> </w:t>
      </w:r>
      <w:r>
        <w:rPr/>
        <w:t>federal</w:t>
      </w:r>
      <w:r>
        <w:rPr>
          <w:spacing w:val="-1"/>
        </w:rPr>
        <w:t> </w:t>
      </w:r>
      <w:r>
        <w:rPr/>
        <w:t>programs.</w:t>
      </w:r>
      <w:r>
        <w:rPr>
          <w:spacing w:val="40"/>
        </w:rPr>
        <w:t> </w:t>
      </w:r>
      <w:r>
        <w:rPr/>
        <w:t>The</w:t>
      </w:r>
      <w:r>
        <w:rPr>
          <w:spacing w:val="-2"/>
        </w:rPr>
        <w:t> </w:t>
      </w:r>
      <w:r>
        <w:rPr/>
        <w:t>HRSN</w:t>
      </w:r>
      <w:r>
        <w:rPr>
          <w:spacing w:val="-2"/>
        </w:rPr>
        <w:t> </w:t>
      </w:r>
      <w:r>
        <w:rPr/>
        <w:t>services</w:t>
      </w:r>
      <w:r>
        <w:rPr>
          <w:spacing w:val="-1"/>
        </w:rPr>
        <w:t> </w:t>
      </w:r>
      <w:r>
        <w:rPr/>
        <w:t>will</w:t>
      </w:r>
      <w:r>
        <w:rPr>
          <w:spacing w:val="-1"/>
        </w:rPr>
        <w:t> </w:t>
      </w:r>
      <w:r>
        <w:rPr/>
        <w:t>be</w:t>
      </w:r>
      <w:r>
        <w:rPr>
          <w:spacing w:val="-2"/>
        </w:rPr>
        <w:t> </w:t>
      </w:r>
      <w:r>
        <w:rPr/>
        <w:t>the</w:t>
      </w:r>
      <w:r>
        <w:rPr>
          <w:spacing w:val="-2"/>
        </w:rPr>
        <w:t> </w:t>
      </w:r>
      <w:r>
        <w:rPr/>
        <w:t>choice</w:t>
      </w:r>
      <w:r>
        <w:rPr>
          <w:spacing w:val="-2"/>
        </w:rPr>
        <w:t> </w:t>
      </w:r>
      <w:r>
        <w:rPr/>
        <w:t>of</w:t>
      </w:r>
      <w:r>
        <w:rPr>
          <w:spacing w:val="-2"/>
        </w:rPr>
        <w:t> </w:t>
      </w:r>
      <w:r>
        <w:rPr/>
        <w:t>the</w:t>
      </w:r>
      <w:r>
        <w:rPr>
          <w:spacing w:val="-2"/>
        </w:rPr>
        <w:t> </w:t>
      </w:r>
      <w:r>
        <w:rPr/>
        <w:t>beneficiary; a beneficiary can opt out of HRSN services anytime; and the HRSN services do not absolve the Commonwealth or its managed care plans of their responsibilities to provide required coverage for other medically necessary services.</w:t>
      </w:r>
      <w:r>
        <w:rPr>
          <w:spacing w:val="80"/>
        </w:rPr>
        <w:t> </w:t>
      </w:r>
      <w:r>
        <w:rPr/>
        <w:t>Under no circumstances will</w:t>
      </w:r>
      <w:r>
        <w:rPr>
          <w:spacing w:val="40"/>
        </w:rPr>
        <w:t> </w:t>
      </w:r>
      <w:r>
        <w:rPr/>
        <w:t>the Commonwealth be permitted to condition Medicaid coverage, or coverage of any benefit or service, on receipt of HRSN services.</w:t>
      </w:r>
      <w:r>
        <w:rPr>
          <w:spacing w:val="40"/>
        </w:rPr>
        <w:t> </w:t>
      </w:r>
      <w:r>
        <w:rPr/>
        <w:t>Additional detail on covered services must be submitted to CMS for approval, outlining the name and description of each proposed HRSN service, the criteria for defining a medically appropriate population for each service, and the process by which that criteria will be applied, including care plan requirements or other documented processes as outlined in STC 15.6 and Attachment P.</w:t>
      </w:r>
    </w:p>
    <w:p>
      <w:pPr>
        <w:pStyle w:val="BodyText"/>
        <w:spacing w:before="10"/>
        <w:rPr>
          <w:sz w:val="20"/>
        </w:rPr>
      </w:pPr>
    </w:p>
    <w:p>
      <w:pPr>
        <w:spacing w:line="448" w:lineRule="auto" w:before="1"/>
        <w:ind w:left="1411" w:right="1059" w:hanging="540"/>
        <w:jc w:val="left"/>
        <w:rPr>
          <w:sz w:val="24"/>
        </w:rPr>
      </w:pPr>
      <w:r>
        <w:rPr/>
        <w:drawing>
          <wp:anchor distT="0" distB="0" distL="0" distR="0" allowOverlap="1" layoutInCell="1" locked="0" behindDoc="0" simplePos="0" relativeHeight="15991296">
            <wp:simplePos x="0" y="0"/>
            <wp:positionH relativeFrom="page">
              <wp:posOffset>908303</wp:posOffset>
            </wp:positionH>
            <wp:positionV relativeFrom="paragraph">
              <wp:posOffset>36247</wp:posOffset>
            </wp:positionV>
            <wp:extent cx="283463" cy="112763"/>
            <wp:effectExtent l="0" t="0" r="0" b="0"/>
            <wp:wrapNone/>
            <wp:docPr id="524" name="Image 524"/>
            <wp:cNvGraphicFramePr>
              <a:graphicFrameLocks/>
            </wp:cNvGraphicFramePr>
            <a:graphic>
              <a:graphicData uri="http://schemas.openxmlformats.org/drawingml/2006/picture">
                <pic:pic>
                  <pic:nvPicPr>
                    <pic:cNvPr id="524" name="Image 524"/>
                    <pic:cNvPicPr/>
                  </pic:nvPicPr>
                  <pic:blipFill>
                    <a:blip r:embed="rId227" cstate="print"/>
                    <a:stretch>
                      <a:fillRect/>
                    </a:stretch>
                  </pic:blipFill>
                  <pic:spPr>
                    <a:xfrm>
                      <a:off x="0" y="0"/>
                      <a:ext cx="283463" cy="112763"/>
                    </a:xfrm>
                    <a:prstGeom prst="rect">
                      <a:avLst/>
                    </a:prstGeom>
                  </pic:spPr>
                </pic:pic>
              </a:graphicData>
            </a:graphic>
          </wp:anchor>
        </w:drawing>
      </w:r>
      <w:r>
        <w:rPr/>
        <w:drawing>
          <wp:anchor distT="0" distB="0" distL="0" distR="0" allowOverlap="1" layoutInCell="1" locked="0" behindDoc="0" simplePos="0" relativeHeight="15991808">
            <wp:simplePos x="0" y="0"/>
            <wp:positionH relativeFrom="page">
              <wp:posOffset>1431036</wp:posOffset>
            </wp:positionH>
            <wp:positionV relativeFrom="paragraph">
              <wp:posOffset>395898</wp:posOffset>
            </wp:positionV>
            <wp:extent cx="96011" cy="80771"/>
            <wp:effectExtent l="0" t="0" r="0" b="0"/>
            <wp:wrapNone/>
            <wp:docPr id="525" name="Image 525"/>
            <wp:cNvGraphicFramePr>
              <a:graphicFrameLocks/>
            </wp:cNvGraphicFramePr>
            <a:graphic>
              <a:graphicData uri="http://schemas.openxmlformats.org/drawingml/2006/picture">
                <pic:pic>
                  <pic:nvPicPr>
                    <pic:cNvPr id="525" name="Image 525"/>
                    <pic:cNvPicPr/>
                  </pic:nvPicPr>
                  <pic:blipFill>
                    <a:blip r:embed="rId40" cstate="print"/>
                    <a:stretch>
                      <a:fillRect/>
                    </a:stretch>
                  </pic:blipFill>
                  <pic:spPr>
                    <a:xfrm>
                      <a:off x="0" y="0"/>
                      <a:ext cx="96011" cy="80771"/>
                    </a:xfrm>
                    <a:prstGeom prst="rect">
                      <a:avLst/>
                    </a:prstGeom>
                  </pic:spPr>
                </pic:pic>
              </a:graphicData>
            </a:graphic>
          </wp:anchor>
        </w:drawing>
      </w:r>
      <w:bookmarkStart w:name="15.3. Allowable HRSN services. The Commo" w:id="794"/>
      <w:bookmarkEnd w:id="794"/>
      <w:r>
        <w:rPr/>
      </w:r>
      <w:r>
        <w:rPr>
          <w:b/>
          <w:sz w:val="24"/>
        </w:rPr>
        <w:t>Allowable</w:t>
      </w:r>
      <w:r>
        <w:rPr>
          <w:b/>
          <w:spacing w:val="-5"/>
          <w:sz w:val="24"/>
        </w:rPr>
        <w:t> </w:t>
      </w:r>
      <w:r>
        <w:rPr>
          <w:b/>
          <w:sz w:val="24"/>
        </w:rPr>
        <w:t>HRSN</w:t>
      </w:r>
      <w:r>
        <w:rPr>
          <w:b/>
          <w:spacing w:val="-5"/>
          <w:sz w:val="24"/>
        </w:rPr>
        <w:t> </w:t>
      </w:r>
      <w:r>
        <w:rPr>
          <w:b/>
          <w:sz w:val="24"/>
        </w:rPr>
        <w:t>services.</w:t>
      </w:r>
      <w:r>
        <w:rPr>
          <w:b/>
          <w:spacing w:val="-4"/>
          <w:sz w:val="24"/>
        </w:rPr>
        <w:t> </w:t>
      </w:r>
      <w:r>
        <w:rPr>
          <w:sz w:val="24"/>
        </w:rPr>
        <w:t>The</w:t>
      </w:r>
      <w:r>
        <w:rPr>
          <w:spacing w:val="-5"/>
          <w:sz w:val="24"/>
        </w:rPr>
        <w:t> </w:t>
      </w:r>
      <w:r>
        <w:rPr>
          <w:sz w:val="24"/>
        </w:rPr>
        <w:t>Commonwealth</w:t>
      </w:r>
      <w:r>
        <w:rPr>
          <w:spacing w:val="-2"/>
          <w:sz w:val="24"/>
        </w:rPr>
        <w:t> </w:t>
      </w:r>
      <w:r>
        <w:rPr>
          <w:sz w:val="24"/>
        </w:rPr>
        <w:t>may</w:t>
      </w:r>
      <w:r>
        <w:rPr>
          <w:spacing w:val="-7"/>
          <w:sz w:val="24"/>
        </w:rPr>
        <w:t> </w:t>
      </w:r>
      <w:r>
        <w:rPr>
          <w:sz w:val="24"/>
        </w:rPr>
        <w:t>cover</w:t>
      </w:r>
      <w:r>
        <w:rPr>
          <w:spacing w:val="-5"/>
          <w:sz w:val="24"/>
        </w:rPr>
        <w:t> </w:t>
      </w:r>
      <w:r>
        <w:rPr>
          <w:sz w:val="24"/>
        </w:rPr>
        <w:t>the</w:t>
      </w:r>
      <w:r>
        <w:rPr>
          <w:spacing w:val="-3"/>
          <w:sz w:val="24"/>
        </w:rPr>
        <w:t> </w:t>
      </w:r>
      <w:r>
        <w:rPr>
          <w:sz w:val="24"/>
        </w:rPr>
        <w:t>following</w:t>
      </w:r>
      <w:r>
        <w:rPr>
          <w:spacing w:val="-4"/>
          <w:sz w:val="24"/>
        </w:rPr>
        <w:t> </w:t>
      </w:r>
      <w:r>
        <w:rPr>
          <w:sz w:val="24"/>
        </w:rPr>
        <w:t>HRSN</w:t>
      </w:r>
      <w:r>
        <w:rPr>
          <w:spacing w:val="-5"/>
          <w:sz w:val="24"/>
        </w:rPr>
        <w:t> </w:t>
      </w:r>
      <w:r>
        <w:rPr>
          <w:sz w:val="24"/>
        </w:rPr>
        <w:t>services: </w:t>
      </w:r>
      <w:bookmarkStart w:name="a. Housing supports, including:" w:id="795"/>
      <w:bookmarkEnd w:id="795"/>
      <w:r>
        <w:rPr>
          <w:sz w:val="24"/>
        </w:rPr>
        <w:t>Hou</w:t>
      </w:r>
      <w:r>
        <w:rPr>
          <w:sz w:val="24"/>
        </w:rPr>
        <w:t>sing supports, including:</w:t>
      </w:r>
    </w:p>
    <w:p>
      <w:pPr>
        <w:pStyle w:val="BodyText"/>
        <w:ind w:left="2040" w:right="1059"/>
      </w:pPr>
      <w:r>
        <w:rPr/>
        <w:drawing>
          <wp:anchor distT="0" distB="0" distL="0" distR="0" allowOverlap="1" layoutInCell="1" locked="0" behindDoc="0" simplePos="0" relativeHeight="15992320">
            <wp:simplePos x="0" y="0"/>
            <wp:positionH relativeFrom="page">
              <wp:posOffset>1862327</wp:posOffset>
            </wp:positionH>
            <wp:positionV relativeFrom="paragraph">
              <wp:posOffset>32551</wp:posOffset>
            </wp:positionV>
            <wp:extent cx="73151" cy="115823"/>
            <wp:effectExtent l="0" t="0" r="0" b="0"/>
            <wp:wrapNone/>
            <wp:docPr id="526" name="Image 526"/>
            <wp:cNvGraphicFramePr>
              <a:graphicFrameLocks/>
            </wp:cNvGraphicFramePr>
            <a:graphic>
              <a:graphicData uri="http://schemas.openxmlformats.org/drawingml/2006/picture">
                <pic:pic>
                  <pic:nvPicPr>
                    <pic:cNvPr id="526" name="Image 526"/>
                    <pic:cNvPicPr/>
                  </pic:nvPicPr>
                  <pic:blipFill>
                    <a:blip r:embed="rId61" cstate="print"/>
                    <a:stretch>
                      <a:fillRect/>
                    </a:stretch>
                  </pic:blipFill>
                  <pic:spPr>
                    <a:xfrm>
                      <a:off x="0" y="0"/>
                      <a:ext cx="73151" cy="115823"/>
                    </a:xfrm>
                    <a:prstGeom prst="rect">
                      <a:avLst/>
                    </a:prstGeom>
                  </pic:spPr>
                </pic:pic>
              </a:graphicData>
            </a:graphic>
          </wp:anchor>
        </w:drawing>
      </w:r>
      <w:bookmarkStart w:name="i. Pre-tenancy and tenancy sustaining se" w:id="796"/>
      <w:bookmarkEnd w:id="796"/>
      <w:r>
        <w:rPr/>
      </w:r>
      <w:r>
        <w:rPr/>
        <w:t>Pre-tenancy</w:t>
      </w:r>
      <w:r>
        <w:rPr>
          <w:spacing w:val="-8"/>
        </w:rPr>
        <w:t> </w:t>
      </w:r>
      <w:r>
        <w:rPr/>
        <w:t>and</w:t>
      </w:r>
      <w:r>
        <w:rPr>
          <w:spacing w:val="-3"/>
        </w:rPr>
        <w:t> </w:t>
      </w:r>
      <w:r>
        <w:rPr/>
        <w:t>tenancy</w:t>
      </w:r>
      <w:r>
        <w:rPr>
          <w:spacing w:val="-6"/>
        </w:rPr>
        <w:t> </w:t>
      </w:r>
      <w:r>
        <w:rPr/>
        <w:t>sustaining</w:t>
      </w:r>
      <w:r>
        <w:rPr>
          <w:spacing w:val="-6"/>
        </w:rPr>
        <w:t> </w:t>
      </w:r>
      <w:r>
        <w:rPr/>
        <w:t>services,</w:t>
      </w:r>
      <w:r>
        <w:rPr>
          <w:spacing w:val="-3"/>
        </w:rPr>
        <w:t> </w:t>
      </w:r>
      <w:r>
        <w:rPr/>
        <w:t>including</w:t>
      </w:r>
      <w:r>
        <w:rPr>
          <w:spacing w:val="-6"/>
        </w:rPr>
        <w:t> </w:t>
      </w:r>
      <w:r>
        <w:rPr/>
        <w:t>tenant</w:t>
      </w:r>
      <w:r>
        <w:rPr>
          <w:spacing w:val="-3"/>
        </w:rPr>
        <w:t> </w:t>
      </w:r>
      <w:r>
        <w:rPr/>
        <w:t>rights</w:t>
      </w:r>
      <w:r>
        <w:rPr>
          <w:spacing w:val="-3"/>
        </w:rPr>
        <w:t> </w:t>
      </w:r>
      <w:r>
        <w:rPr/>
        <w:t>education and eviction prevention.</w:t>
      </w:r>
    </w:p>
    <w:p>
      <w:pPr>
        <w:pStyle w:val="BodyText"/>
        <w:spacing w:before="158"/>
        <w:ind w:left="2040"/>
      </w:pPr>
      <w:r>
        <w:rPr/>
        <w:drawing>
          <wp:anchor distT="0" distB="0" distL="0" distR="0" allowOverlap="1" layoutInCell="1" locked="0" behindDoc="0" simplePos="0" relativeHeight="15992832">
            <wp:simplePos x="0" y="0"/>
            <wp:positionH relativeFrom="page">
              <wp:posOffset>1819655</wp:posOffset>
            </wp:positionH>
            <wp:positionV relativeFrom="paragraph">
              <wp:posOffset>132881</wp:posOffset>
            </wp:positionV>
            <wp:extent cx="115823" cy="115823"/>
            <wp:effectExtent l="0" t="0" r="0" b="0"/>
            <wp:wrapNone/>
            <wp:docPr id="527" name="Image 527"/>
            <wp:cNvGraphicFramePr>
              <a:graphicFrameLocks/>
            </wp:cNvGraphicFramePr>
            <a:graphic>
              <a:graphicData uri="http://schemas.openxmlformats.org/drawingml/2006/picture">
                <pic:pic>
                  <pic:nvPicPr>
                    <pic:cNvPr id="527" name="Image 527"/>
                    <pic:cNvPicPr/>
                  </pic:nvPicPr>
                  <pic:blipFill>
                    <a:blip r:embed="rId62" cstate="print"/>
                    <a:stretch>
                      <a:fillRect/>
                    </a:stretch>
                  </pic:blipFill>
                  <pic:spPr>
                    <a:xfrm>
                      <a:off x="0" y="0"/>
                      <a:ext cx="115823" cy="115823"/>
                    </a:xfrm>
                    <a:prstGeom prst="rect">
                      <a:avLst/>
                    </a:prstGeom>
                  </pic:spPr>
                </pic:pic>
              </a:graphicData>
            </a:graphic>
          </wp:anchor>
        </w:drawing>
      </w:r>
      <w:bookmarkStart w:name="ii. Housing transition navigation servic" w:id="797"/>
      <w:bookmarkEnd w:id="797"/>
      <w:r>
        <w:rPr/>
      </w:r>
      <w:r>
        <w:rPr/>
        <w:t>Housing</w:t>
      </w:r>
      <w:r>
        <w:rPr>
          <w:spacing w:val="-5"/>
        </w:rPr>
        <w:t> </w:t>
      </w:r>
      <w:r>
        <w:rPr/>
        <w:t>transition</w:t>
      </w:r>
      <w:r>
        <w:rPr>
          <w:spacing w:val="-2"/>
        </w:rPr>
        <w:t> </w:t>
      </w:r>
      <w:r>
        <w:rPr/>
        <w:t>navigation</w:t>
      </w:r>
      <w:r>
        <w:rPr>
          <w:spacing w:val="-2"/>
        </w:rPr>
        <w:t> services.</w:t>
      </w:r>
    </w:p>
    <w:p>
      <w:pPr>
        <w:pStyle w:val="BodyText"/>
        <w:spacing w:before="161"/>
        <w:ind w:left="2039" w:right="1141"/>
      </w:pPr>
      <w:r>
        <w:rPr/>
        <w:drawing>
          <wp:anchor distT="0" distB="0" distL="0" distR="0" allowOverlap="1" layoutInCell="1" locked="0" behindDoc="0" simplePos="0" relativeHeight="15993344">
            <wp:simplePos x="0" y="0"/>
            <wp:positionH relativeFrom="page">
              <wp:posOffset>1778507</wp:posOffset>
            </wp:positionH>
            <wp:positionV relativeFrom="paragraph">
              <wp:posOffset>134786</wp:posOffset>
            </wp:positionV>
            <wp:extent cx="158495" cy="115823"/>
            <wp:effectExtent l="0" t="0" r="0" b="0"/>
            <wp:wrapNone/>
            <wp:docPr id="528" name="Image 528"/>
            <wp:cNvGraphicFramePr>
              <a:graphicFrameLocks/>
            </wp:cNvGraphicFramePr>
            <a:graphic>
              <a:graphicData uri="http://schemas.openxmlformats.org/drawingml/2006/picture">
                <pic:pic>
                  <pic:nvPicPr>
                    <pic:cNvPr id="528" name="Image 528"/>
                    <pic:cNvPicPr/>
                  </pic:nvPicPr>
                  <pic:blipFill>
                    <a:blip r:embed="rId132" cstate="print"/>
                    <a:stretch>
                      <a:fillRect/>
                    </a:stretch>
                  </pic:blipFill>
                  <pic:spPr>
                    <a:xfrm>
                      <a:off x="0" y="0"/>
                      <a:ext cx="158495" cy="115823"/>
                    </a:xfrm>
                    <a:prstGeom prst="rect">
                      <a:avLst/>
                    </a:prstGeom>
                  </pic:spPr>
                </pic:pic>
              </a:graphicData>
            </a:graphic>
          </wp:anchor>
        </w:drawing>
      </w:r>
      <w:bookmarkStart w:name="iii. One-time transition and moving cost" w:id="798"/>
      <w:bookmarkEnd w:id="798"/>
      <w:r>
        <w:rPr/>
      </w:r>
      <w:r>
        <w:rPr/>
        <w:t>One-time</w:t>
      </w:r>
      <w:r>
        <w:rPr>
          <w:spacing w:val="-5"/>
        </w:rPr>
        <w:t> </w:t>
      </w:r>
      <w:r>
        <w:rPr/>
        <w:t>transition</w:t>
      </w:r>
      <w:r>
        <w:rPr>
          <w:spacing w:val="-5"/>
        </w:rPr>
        <w:t> </w:t>
      </w:r>
      <w:r>
        <w:rPr/>
        <w:t>and</w:t>
      </w:r>
      <w:r>
        <w:rPr>
          <w:spacing w:val="-3"/>
        </w:rPr>
        <w:t> </w:t>
      </w:r>
      <w:r>
        <w:rPr/>
        <w:t>moving</w:t>
      </w:r>
      <w:r>
        <w:rPr>
          <w:spacing w:val="-7"/>
        </w:rPr>
        <w:t> </w:t>
      </w:r>
      <w:r>
        <w:rPr/>
        <w:t>costs</w:t>
      </w:r>
      <w:r>
        <w:rPr>
          <w:spacing w:val="-5"/>
        </w:rPr>
        <w:t> </w:t>
      </w:r>
      <w:r>
        <w:rPr/>
        <w:t>(e.g.,</w:t>
      </w:r>
      <w:r>
        <w:rPr>
          <w:spacing w:val="-5"/>
        </w:rPr>
        <w:t> </w:t>
      </w:r>
      <w:r>
        <w:rPr/>
        <w:t>security</w:t>
      </w:r>
      <w:r>
        <w:rPr>
          <w:spacing w:val="-9"/>
        </w:rPr>
        <w:t> </w:t>
      </w:r>
      <w:r>
        <w:rPr/>
        <w:t>deposit,</w:t>
      </w:r>
      <w:r>
        <w:rPr>
          <w:spacing w:val="-5"/>
        </w:rPr>
        <w:t> </w:t>
      </w:r>
      <w:r>
        <w:rPr/>
        <w:t>first-month’s rent, utilities activation fees and payments in arrears, movers, relocation</w:t>
      </w:r>
    </w:p>
    <w:p>
      <w:pPr>
        <w:spacing w:after="0"/>
        <w:sectPr>
          <w:pgSz w:w="12240" w:h="15840"/>
          <w:pgMar w:header="0" w:footer="1201" w:top="1360" w:bottom="1400" w:left="1200" w:right="400"/>
        </w:sectPr>
      </w:pPr>
    </w:p>
    <w:p>
      <w:pPr>
        <w:pStyle w:val="BodyText"/>
        <w:spacing w:before="79"/>
        <w:ind w:left="2040" w:right="1059"/>
      </w:pPr>
      <w:r>
        <w:rPr/>
        <w:t>expenses,</w:t>
      </w:r>
      <w:r>
        <w:rPr>
          <w:spacing w:val="-4"/>
        </w:rPr>
        <w:t> </w:t>
      </w:r>
      <w:r>
        <w:rPr/>
        <w:t>pest</w:t>
      </w:r>
      <w:r>
        <w:rPr>
          <w:spacing w:val="-4"/>
        </w:rPr>
        <w:t> </w:t>
      </w:r>
      <w:r>
        <w:rPr/>
        <w:t>eradication,</w:t>
      </w:r>
      <w:r>
        <w:rPr>
          <w:spacing w:val="-4"/>
        </w:rPr>
        <w:t> </w:t>
      </w:r>
      <w:r>
        <w:rPr/>
        <w:t>pantry</w:t>
      </w:r>
      <w:r>
        <w:rPr>
          <w:spacing w:val="-9"/>
        </w:rPr>
        <w:t> </w:t>
      </w:r>
      <w:r>
        <w:rPr/>
        <w:t>stocking,</w:t>
      </w:r>
      <w:r>
        <w:rPr>
          <w:spacing w:val="-2"/>
        </w:rPr>
        <w:t> </w:t>
      </w:r>
      <w:r>
        <w:rPr/>
        <w:t>and</w:t>
      </w:r>
      <w:r>
        <w:rPr>
          <w:spacing w:val="-4"/>
        </w:rPr>
        <w:t> </w:t>
      </w:r>
      <w:r>
        <w:rPr/>
        <w:t>the</w:t>
      </w:r>
      <w:r>
        <w:rPr>
          <w:spacing w:val="-5"/>
        </w:rPr>
        <w:t> </w:t>
      </w:r>
      <w:r>
        <w:rPr/>
        <w:t>purchase</w:t>
      </w:r>
      <w:r>
        <w:rPr>
          <w:spacing w:val="-5"/>
        </w:rPr>
        <w:t> </w:t>
      </w:r>
      <w:r>
        <w:rPr/>
        <w:t>of</w:t>
      </w:r>
      <w:r>
        <w:rPr>
          <w:spacing w:val="-5"/>
        </w:rPr>
        <w:t> </w:t>
      </w:r>
      <w:r>
        <w:rPr/>
        <w:t>household goods and furniture).</w:t>
      </w:r>
    </w:p>
    <w:p>
      <w:pPr>
        <w:pStyle w:val="BodyText"/>
        <w:spacing w:before="161"/>
        <w:ind w:left="2040" w:right="1059"/>
      </w:pPr>
      <w:r>
        <w:rPr/>
        <w:drawing>
          <wp:anchor distT="0" distB="0" distL="0" distR="0" allowOverlap="1" layoutInCell="1" locked="0" behindDoc="0" simplePos="0" relativeHeight="15993856">
            <wp:simplePos x="0" y="0"/>
            <wp:positionH relativeFrom="page">
              <wp:posOffset>1786127</wp:posOffset>
            </wp:positionH>
            <wp:positionV relativeFrom="paragraph">
              <wp:posOffset>134786</wp:posOffset>
            </wp:positionV>
            <wp:extent cx="149339" cy="115823"/>
            <wp:effectExtent l="0" t="0" r="0" b="0"/>
            <wp:wrapNone/>
            <wp:docPr id="529" name="Image 529"/>
            <wp:cNvGraphicFramePr>
              <a:graphicFrameLocks/>
            </wp:cNvGraphicFramePr>
            <a:graphic>
              <a:graphicData uri="http://schemas.openxmlformats.org/drawingml/2006/picture">
                <pic:pic>
                  <pic:nvPicPr>
                    <pic:cNvPr id="529" name="Image 529"/>
                    <pic:cNvPicPr/>
                  </pic:nvPicPr>
                  <pic:blipFill>
                    <a:blip r:embed="rId96" cstate="print"/>
                    <a:stretch>
                      <a:fillRect/>
                    </a:stretch>
                  </pic:blipFill>
                  <pic:spPr>
                    <a:xfrm>
                      <a:off x="0" y="0"/>
                      <a:ext cx="149339" cy="115823"/>
                    </a:xfrm>
                    <a:prstGeom prst="rect">
                      <a:avLst/>
                    </a:prstGeom>
                  </pic:spPr>
                </pic:pic>
              </a:graphicData>
            </a:graphic>
          </wp:anchor>
        </w:drawing>
      </w:r>
      <w:bookmarkStart w:name="iv. Housing deposits to secure housing, " w:id="799"/>
      <w:bookmarkEnd w:id="799"/>
      <w:r>
        <w:rPr/>
      </w:r>
      <w:r>
        <w:rPr/>
        <w:t>Housing</w:t>
      </w:r>
      <w:r>
        <w:rPr>
          <w:spacing w:val="-7"/>
        </w:rPr>
        <w:t> </w:t>
      </w:r>
      <w:r>
        <w:rPr/>
        <w:t>deposits</w:t>
      </w:r>
      <w:r>
        <w:rPr>
          <w:spacing w:val="-4"/>
        </w:rPr>
        <w:t> </w:t>
      </w:r>
      <w:r>
        <w:rPr/>
        <w:t>to</w:t>
      </w:r>
      <w:r>
        <w:rPr>
          <w:spacing w:val="-4"/>
        </w:rPr>
        <w:t> </w:t>
      </w:r>
      <w:r>
        <w:rPr/>
        <w:t>secure</w:t>
      </w:r>
      <w:r>
        <w:rPr>
          <w:spacing w:val="-5"/>
        </w:rPr>
        <w:t> </w:t>
      </w:r>
      <w:r>
        <w:rPr/>
        <w:t>housing,</w:t>
      </w:r>
      <w:r>
        <w:rPr>
          <w:spacing w:val="-4"/>
        </w:rPr>
        <w:t> </w:t>
      </w:r>
      <w:r>
        <w:rPr/>
        <w:t>including</w:t>
      </w:r>
      <w:r>
        <w:rPr>
          <w:spacing w:val="-4"/>
        </w:rPr>
        <w:t> </w:t>
      </w:r>
      <w:r>
        <w:rPr/>
        <w:t>application</w:t>
      </w:r>
      <w:r>
        <w:rPr>
          <w:spacing w:val="-4"/>
        </w:rPr>
        <w:t> </w:t>
      </w:r>
      <w:r>
        <w:rPr/>
        <w:t>and</w:t>
      </w:r>
      <w:r>
        <w:rPr>
          <w:spacing w:val="-4"/>
        </w:rPr>
        <w:t> </w:t>
      </w:r>
      <w:r>
        <w:rPr/>
        <w:t>inspection</w:t>
      </w:r>
      <w:r>
        <w:rPr>
          <w:spacing w:val="-4"/>
        </w:rPr>
        <w:t> </w:t>
      </w:r>
      <w:r>
        <w:rPr/>
        <w:t>fees and fees to secure needed identification.</w:t>
      </w:r>
    </w:p>
    <w:p>
      <w:pPr>
        <w:pStyle w:val="BodyText"/>
        <w:spacing w:before="158"/>
        <w:ind w:left="2040" w:right="1059"/>
      </w:pPr>
      <w:r>
        <w:rPr/>
        <w:drawing>
          <wp:anchor distT="0" distB="0" distL="0" distR="0" allowOverlap="1" layoutInCell="1" locked="0" behindDoc="0" simplePos="0" relativeHeight="15994368">
            <wp:simplePos x="0" y="0"/>
            <wp:positionH relativeFrom="page">
              <wp:posOffset>1825751</wp:posOffset>
            </wp:positionH>
            <wp:positionV relativeFrom="paragraph">
              <wp:posOffset>170981</wp:posOffset>
            </wp:positionV>
            <wp:extent cx="109727" cy="77723"/>
            <wp:effectExtent l="0" t="0" r="0" b="0"/>
            <wp:wrapNone/>
            <wp:docPr id="530" name="Image 530"/>
            <wp:cNvGraphicFramePr>
              <a:graphicFrameLocks/>
            </wp:cNvGraphicFramePr>
            <a:graphic>
              <a:graphicData uri="http://schemas.openxmlformats.org/drawingml/2006/picture">
                <pic:pic>
                  <pic:nvPicPr>
                    <pic:cNvPr id="530" name="Image 530"/>
                    <pic:cNvPicPr/>
                  </pic:nvPicPr>
                  <pic:blipFill>
                    <a:blip r:embed="rId67" cstate="print"/>
                    <a:stretch>
                      <a:fillRect/>
                    </a:stretch>
                  </pic:blipFill>
                  <pic:spPr>
                    <a:xfrm>
                      <a:off x="0" y="0"/>
                      <a:ext cx="109727" cy="77723"/>
                    </a:xfrm>
                    <a:prstGeom prst="rect">
                      <a:avLst/>
                    </a:prstGeom>
                  </pic:spPr>
                </pic:pic>
              </a:graphicData>
            </a:graphic>
          </wp:anchor>
        </w:drawing>
      </w:r>
      <w:bookmarkStart w:name="v. Medically necessary air conditioners," w:id="800"/>
      <w:bookmarkEnd w:id="800"/>
      <w:r>
        <w:rPr/>
      </w:r>
      <w:r>
        <w:rPr/>
        <w:t>Medically necessary air conditioners, humidifiers, air filtration devices and asthma</w:t>
      </w:r>
      <w:r>
        <w:rPr>
          <w:spacing w:val="-6"/>
        </w:rPr>
        <w:t> </w:t>
      </w:r>
      <w:r>
        <w:rPr/>
        <w:t>remediation,</w:t>
      </w:r>
      <w:r>
        <w:rPr>
          <w:spacing w:val="-5"/>
        </w:rPr>
        <w:t> </w:t>
      </w:r>
      <w:r>
        <w:rPr/>
        <w:t>and</w:t>
      </w:r>
      <w:r>
        <w:rPr>
          <w:spacing w:val="-3"/>
        </w:rPr>
        <w:t> </w:t>
      </w:r>
      <w:r>
        <w:rPr/>
        <w:t>refrigeration</w:t>
      </w:r>
      <w:r>
        <w:rPr>
          <w:spacing w:val="-5"/>
        </w:rPr>
        <w:t> </w:t>
      </w:r>
      <w:r>
        <w:rPr/>
        <w:t>units</w:t>
      </w:r>
      <w:r>
        <w:rPr>
          <w:spacing w:val="-5"/>
        </w:rPr>
        <w:t> </w:t>
      </w:r>
      <w:r>
        <w:rPr/>
        <w:t>as</w:t>
      </w:r>
      <w:r>
        <w:rPr>
          <w:spacing w:val="-5"/>
        </w:rPr>
        <w:t> </w:t>
      </w:r>
      <w:r>
        <w:rPr/>
        <w:t>needed</w:t>
      </w:r>
      <w:r>
        <w:rPr>
          <w:spacing w:val="-5"/>
        </w:rPr>
        <w:t> </w:t>
      </w:r>
      <w:r>
        <w:rPr/>
        <w:t>for</w:t>
      </w:r>
      <w:r>
        <w:rPr>
          <w:spacing w:val="-6"/>
        </w:rPr>
        <w:t> </w:t>
      </w:r>
      <w:r>
        <w:rPr/>
        <w:t>medical</w:t>
      </w:r>
      <w:r>
        <w:rPr>
          <w:spacing w:val="-5"/>
        </w:rPr>
        <w:t> </w:t>
      </w:r>
      <w:r>
        <w:rPr/>
        <w:t>treatment.</w:t>
      </w:r>
    </w:p>
    <w:p>
      <w:pPr>
        <w:pStyle w:val="BodyText"/>
        <w:spacing w:before="161"/>
        <w:ind w:left="2040" w:right="1059"/>
      </w:pPr>
      <w:r>
        <w:rPr/>
        <w:drawing>
          <wp:anchor distT="0" distB="0" distL="0" distR="0" allowOverlap="1" layoutInCell="1" locked="0" behindDoc="0" simplePos="0" relativeHeight="15994880">
            <wp:simplePos x="0" y="0"/>
            <wp:positionH relativeFrom="page">
              <wp:posOffset>1783079</wp:posOffset>
            </wp:positionH>
            <wp:positionV relativeFrom="paragraph">
              <wp:posOffset>134786</wp:posOffset>
            </wp:positionV>
            <wp:extent cx="152399" cy="115823"/>
            <wp:effectExtent l="0" t="0" r="0" b="0"/>
            <wp:wrapNone/>
            <wp:docPr id="531" name="Image 531"/>
            <wp:cNvGraphicFramePr>
              <a:graphicFrameLocks/>
            </wp:cNvGraphicFramePr>
            <a:graphic>
              <a:graphicData uri="http://schemas.openxmlformats.org/drawingml/2006/picture">
                <pic:pic>
                  <pic:nvPicPr>
                    <pic:cNvPr id="531" name="Image 531"/>
                    <pic:cNvPicPr/>
                  </pic:nvPicPr>
                  <pic:blipFill>
                    <a:blip r:embed="rId98" cstate="print"/>
                    <a:stretch>
                      <a:fillRect/>
                    </a:stretch>
                  </pic:blipFill>
                  <pic:spPr>
                    <a:xfrm>
                      <a:off x="0" y="0"/>
                      <a:ext cx="152399" cy="115823"/>
                    </a:xfrm>
                    <a:prstGeom prst="rect">
                      <a:avLst/>
                    </a:prstGeom>
                  </pic:spPr>
                </pic:pic>
              </a:graphicData>
            </a:graphic>
          </wp:anchor>
        </w:drawing>
      </w:r>
      <w:bookmarkStart w:name="vi. Medically necessary home modificatio" w:id="801"/>
      <w:bookmarkEnd w:id="801"/>
      <w:r>
        <w:rPr/>
      </w:r>
      <w:r>
        <w:rPr/>
        <w:t>Medically necessary home modifications and remediation services such as accessibility</w:t>
      </w:r>
      <w:r>
        <w:rPr>
          <w:spacing w:val="-9"/>
        </w:rPr>
        <w:t> </w:t>
      </w:r>
      <w:r>
        <w:rPr/>
        <w:t>ramps,</w:t>
      </w:r>
      <w:r>
        <w:rPr>
          <w:spacing w:val="-4"/>
        </w:rPr>
        <w:t> </w:t>
      </w:r>
      <w:r>
        <w:rPr/>
        <w:t>handrails,</w:t>
      </w:r>
      <w:r>
        <w:rPr>
          <w:spacing w:val="-4"/>
        </w:rPr>
        <w:t> </w:t>
      </w:r>
      <w:r>
        <w:rPr/>
        <w:t>grab</w:t>
      </w:r>
      <w:r>
        <w:rPr>
          <w:spacing w:val="-4"/>
        </w:rPr>
        <w:t> </w:t>
      </w:r>
      <w:r>
        <w:rPr/>
        <w:t>bars,</w:t>
      </w:r>
      <w:r>
        <w:rPr>
          <w:spacing w:val="-4"/>
        </w:rPr>
        <w:t> </w:t>
      </w:r>
      <w:r>
        <w:rPr/>
        <w:t>repairing</w:t>
      </w:r>
      <w:r>
        <w:rPr>
          <w:spacing w:val="-4"/>
        </w:rPr>
        <w:t> </w:t>
      </w:r>
      <w:r>
        <w:rPr/>
        <w:t>or</w:t>
      </w:r>
      <w:r>
        <w:rPr>
          <w:spacing w:val="-5"/>
        </w:rPr>
        <w:t> </w:t>
      </w:r>
      <w:r>
        <w:rPr/>
        <w:t>improving</w:t>
      </w:r>
      <w:r>
        <w:rPr>
          <w:spacing w:val="-7"/>
        </w:rPr>
        <w:t> </w:t>
      </w:r>
      <w:r>
        <w:rPr/>
        <w:t>ventilation systems, and mold/pest remediation.</w:t>
      </w:r>
    </w:p>
    <w:p>
      <w:pPr>
        <w:pStyle w:val="BodyText"/>
        <w:spacing w:before="199"/>
        <w:ind w:left="1411" w:right="1086"/>
      </w:pPr>
      <w:r>
        <w:rPr/>
        <w:drawing>
          <wp:anchor distT="0" distB="0" distL="0" distR="0" allowOverlap="1" layoutInCell="1" locked="0" behindDoc="0" simplePos="0" relativeHeight="15995392">
            <wp:simplePos x="0" y="0"/>
            <wp:positionH relativeFrom="page">
              <wp:posOffset>1424939</wp:posOffset>
            </wp:positionH>
            <wp:positionV relativeFrom="paragraph">
              <wp:posOffset>158916</wp:posOffset>
            </wp:positionV>
            <wp:extent cx="111251" cy="115823"/>
            <wp:effectExtent l="0" t="0" r="0" b="0"/>
            <wp:wrapNone/>
            <wp:docPr id="532" name="Image 532"/>
            <wp:cNvGraphicFramePr>
              <a:graphicFrameLocks/>
            </wp:cNvGraphicFramePr>
            <a:graphic>
              <a:graphicData uri="http://schemas.openxmlformats.org/drawingml/2006/picture">
                <pic:pic>
                  <pic:nvPicPr>
                    <pic:cNvPr id="532" name="Image 532"/>
                    <pic:cNvPicPr/>
                  </pic:nvPicPr>
                  <pic:blipFill>
                    <a:blip r:embed="rId34" cstate="print"/>
                    <a:stretch>
                      <a:fillRect/>
                    </a:stretch>
                  </pic:blipFill>
                  <pic:spPr>
                    <a:xfrm>
                      <a:off x="0" y="0"/>
                      <a:ext cx="111251" cy="115823"/>
                    </a:xfrm>
                    <a:prstGeom prst="rect">
                      <a:avLst/>
                    </a:prstGeom>
                  </pic:spPr>
                </pic:pic>
              </a:graphicData>
            </a:graphic>
          </wp:anchor>
        </w:drawing>
      </w:r>
      <w:bookmarkStart w:name="b. Case management, outreach, and educat" w:id="802"/>
      <w:bookmarkEnd w:id="802"/>
      <w:r>
        <w:rPr/>
      </w:r>
      <w:r>
        <w:rPr/>
        <w:t>Case</w:t>
      </w:r>
      <w:r>
        <w:rPr>
          <w:spacing w:val="-5"/>
        </w:rPr>
        <w:t> </w:t>
      </w:r>
      <w:r>
        <w:rPr/>
        <w:t>management,</w:t>
      </w:r>
      <w:r>
        <w:rPr>
          <w:spacing w:val="-4"/>
        </w:rPr>
        <w:t> </w:t>
      </w:r>
      <w:r>
        <w:rPr/>
        <w:t>outreach,</w:t>
      </w:r>
      <w:r>
        <w:rPr>
          <w:spacing w:val="-4"/>
        </w:rPr>
        <w:t> </w:t>
      </w:r>
      <w:r>
        <w:rPr/>
        <w:t>and</w:t>
      </w:r>
      <w:r>
        <w:rPr>
          <w:spacing w:val="-2"/>
        </w:rPr>
        <w:t> </w:t>
      </w:r>
      <w:r>
        <w:rPr/>
        <w:t>education</w:t>
      </w:r>
      <w:r>
        <w:rPr>
          <w:spacing w:val="-4"/>
        </w:rPr>
        <w:t> </w:t>
      </w:r>
      <w:r>
        <w:rPr/>
        <w:t>including</w:t>
      </w:r>
      <w:r>
        <w:rPr>
          <w:spacing w:val="-7"/>
        </w:rPr>
        <w:t> </w:t>
      </w:r>
      <w:r>
        <w:rPr/>
        <w:t>linkages</w:t>
      </w:r>
      <w:r>
        <w:rPr>
          <w:spacing w:val="-4"/>
        </w:rPr>
        <w:t> </w:t>
      </w:r>
      <w:r>
        <w:rPr/>
        <w:t>to</w:t>
      </w:r>
      <w:r>
        <w:rPr>
          <w:spacing w:val="-4"/>
        </w:rPr>
        <w:t> </w:t>
      </w:r>
      <w:r>
        <w:rPr/>
        <w:t>other</w:t>
      </w:r>
      <w:r>
        <w:rPr>
          <w:spacing w:val="-5"/>
        </w:rPr>
        <w:t> </w:t>
      </w:r>
      <w:r>
        <w:rPr/>
        <w:t>state</w:t>
      </w:r>
      <w:r>
        <w:rPr>
          <w:spacing w:val="-5"/>
        </w:rPr>
        <w:t> </w:t>
      </w:r>
      <w:r>
        <w:rPr/>
        <w:t>and federal benefit programs, benefit program application assistance, and benefit program application fees.</w:t>
      </w:r>
      <w:r>
        <w:rPr>
          <w:spacing w:val="40"/>
        </w:rPr>
        <w:t> </w:t>
      </w:r>
      <w:r>
        <w:rPr/>
        <w:t>This category includes the services authorized in the Community Support Program for justice involved individuals.</w:t>
      </w:r>
    </w:p>
    <w:p>
      <w:pPr>
        <w:pStyle w:val="BodyText"/>
        <w:spacing w:before="10"/>
        <w:rPr>
          <w:sz w:val="20"/>
        </w:rPr>
      </w:pPr>
    </w:p>
    <w:p>
      <w:pPr>
        <w:pStyle w:val="BodyText"/>
        <w:ind w:left="1411"/>
      </w:pPr>
      <w:r>
        <w:rPr/>
        <w:drawing>
          <wp:anchor distT="0" distB="0" distL="0" distR="0" allowOverlap="1" layoutInCell="1" locked="0" behindDoc="0" simplePos="0" relativeHeight="15995904">
            <wp:simplePos x="0" y="0"/>
            <wp:positionH relativeFrom="page">
              <wp:posOffset>1431036</wp:posOffset>
            </wp:positionH>
            <wp:positionV relativeFrom="paragraph">
              <wp:posOffset>67616</wp:posOffset>
            </wp:positionV>
            <wp:extent cx="96011" cy="80759"/>
            <wp:effectExtent l="0" t="0" r="0" b="0"/>
            <wp:wrapNone/>
            <wp:docPr id="533" name="Image 533"/>
            <wp:cNvGraphicFramePr>
              <a:graphicFrameLocks/>
            </wp:cNvGraphicFramePr>
            <a:graphic>
              <a:graphicData uri="http://schemas.openxmlformats.org/drawingml/2006/picture">
                <pic:pic>
                  <pic:nvPicPr>
                    <pic:cNvPr id="533" name="Image 533"/>
                    <pic:cNvPicPr/>
                  </pic:nvPicPr>
                  <pic:blipFill>
                    <a:blip r:embed="rId163" cstate="print"/>
                    <a:stretch>
                      <a:fillRect/>
                    </a:stretch>
                  </pic:blipFill>
                  <pic:spPr>
                    <a:xfrm>
                      <a:off x="0" y="0"/>
                      <a:ext cx="96011" cy="80759"/>
                    </a:xfrm>
                    <a:prstGeom prst="rect">
                      <a:avLst/>
                    </a:prstGeom>
                  </pic:spPr>
                </pic:pic>
              </a:graphicData>
            </a:graphic>
          </wp:anchor>
        </w:drawing>
      </w:r>
      <w:bookmarkStart w:name="c. Nutrition Supports" w:id="803"/>
      <w:bookmarkEnd w:id="803"/>
      <w:r>
        <w:rPr/>
      </w:r>
      <w:r>
        <w:rPr/>
        <w:t>Nutrition</w:t>
      </w:r>
      <w:r>
        <w:rPr>
          <w:spacing w:val="-2"/>
        </w:rPr>
        <w:t> Supports</w:t>
      </w:r>
    </w:p>
    <w:p>
      <w:pPr>
        <w:pStyle w:val="BodyText"/>
        <w:spacing w:before="10"/>
        <w:rPr>
          <w:sz w:val="20"/>
        </w:rPr>
      </w:pPr>
    </w:p>
    <w:p>
      <w:pPr>
        <w:pStyle w:val="BodyText"/>
        <w:ind w:left="2040"/>
      </w:pPr>
      <w:r>
        <w:rPr/>
        <w:drawing>
          <wp:anchor distT="0" distB="0" distL="0" distR="0" allowOverlap="1" layoutInCell="1" locked="0" behindDoc="0" simplePos="0" relativeHeight="15996416">
            <wp:simplePos x="0" y="0"/>
            <wp:positionH relativeFrom="page">
              <wp:posOffset>1862327</wp:posOffset>
            </wp:positionH>
            <wp:positionV relativeFrom="paragraph">
              <wp:posOffset>32551</wp:posOffset>
            </wp:positionV>
            <wp:extent cx="73151" cy="115823"/>
            <wp:effectExtent l="0" t="0" r="0" b="0"/>
            <wp:wrapNone/>
            <wp:docPr id="534" name="Image 534"/>
            <wp:cNvGraphicFramePr>
              <a:graphicFrameLocks/>
            </wp:cNvGraphicFramePr>
            <a:graphic>
              <a:graphicData uri="http://schemas.openxmlformats.org/drawingml/2006/picture">
                <pic:pic>
                  <pic:nvPicPr>
                    <pic:cNvPr id="534" name="Image 534"/>
                    <pic:cNvPicPr/>
                  </pic:nvPicPr>
                  <pic:blipFill>
                    <a:blip r:embed="rId61" cstate="print"/>
                    <a:stretch>
                      <a:fillRect/>
                    </a:stretch>
                  </pic:blipFill>
                  <pic:spPr>
                    <a:xfrm>
                      <a:off x="0" y="0"/>
                      <a:ext cx="73151" cy="115823"/>
                    </a:xfrm>
                    <a:prstGeom prst="rect">
                      <a:avLst/>
                    </a:prstGeom>
                  </pic:spPr>
                </pic:pic>
              </a:graphicData>
            </a:graphic>
          </wp:anchor>
        </w:drawing>
      </w:r>
      <w:bookmarkStart w:name="i. Nutrition counseling and education, i" w:id="804"/>
      <w:bookmarkEnd w:id="804"/>
      <w:r>
        <w:rPr/>
      </w:r>
      <w:r>
        <w:rPr/>
        <w:t>Nutrition</w:t>
      </w:r>
      <w:r>
        <w:rPr>
          <w:spacing w:val="-2"/>
        </w:rPr>
        <w:t> </w:t>
      </w:r>
      <w:r>
        <w:rPr/>
        <w:t>counseling</w:t>
      </w:r>
      <w:r>
        <w:rPr>
          <w:spacing w:val="-4"/>
        </w:rPr>
        <w:t> </w:t>
      </w:r>
      <w:r>
        <w:rPr/>
        <w:t>and</w:t>
      </w:r>
      <w:r>
        <w:rPr>
          <w:spacing w:val="1"/>
        </w:rPr>
        <w:t> </w:t>
      </w:r>
      <w:r>
        <w:rPr/>
        <w:t>education</w:t>
      </w:r>
      <w:r>
        <w:rPr>
          <w:rFonts w:ascii="Calibri"/>
          <w:sz w:val="22"/>
        </w:rPr>
        <w:t>,</w:t>
      </w:r>
      <w:r>
        <w:rPr>
          <w:rFonts w:ascii="Calibri"/>
          <w:spacing w:val="8"/>
          <w:sz w:val="22"/>
        </w:rPr>
        <w:t> </w:t>
      </w:r>
      <w:r>
        <w:rPr/>
        <w:t>including</w:t>
      </w:r>
      <w:r>
        <w:rPr>
          <w:spacing w:val="-4"/>
        </w:rPr>
        <w:t> </w:t>
      </w:r>
      <w:r>
        <w:rPr/>
        <w:t>on</w:t>
      </w:r>
      <w:r>
        <w:rPr>
          <w:spacing w:val="-1"/>
        </w:rPr>
        <w:t> </w:t>
      </w:r>
      <w:r>
        <w:rPr/>
        <w:t>healthy</w:t>
      </w:r>
      <w:r>
        <w:rPr>
          <w:spacing w:val="-6"/>
        </w:rPr>
        <w:t> </w:t>
      </w:r>
      <w:r>
        <w:rPr/>
        <w:t>meal</w:t>
      </w:r>
      <w:r>
        <w:rPr>
          <w:spacing w:val="-1"/>
        </w:rPr>
        <w:t> </w:t>
      </w:r>
      <w:r>
        <w:rPr>
          <w:spacing w:val="-2"/>
        </w:rPr>
        <w:t>preparation.</w:t>
      </w:r>
    </w:p>
    <w:p>
      <w:pPr>
        <w:pStyle w:val="BodyText"/>
        <w:spacing w:before="161"/>
        <w:ind w:left="2039" w:right="1041"/>
      </w:pPr>
      <w:r>
        <w:rPr/>
        <w:drawing>
          <wp:anchor distT="0" distB="0" distL="0" distR="0" allowOverlap="1" layoutInCell="1" locked="0" behindDoc="0" simplePos="0" relativeHeight="15996928">
            <wp:simplePos x="0" y="0"/>
            <wp:positionH relativeFrom="page">
              <wp:posOffset>1819655</wp:posOffset>
            </wp:positionH>
            <wp:positionV relativeFrom="paragraph">
              <wp:posOffset>134786</wp:posOffset>
            </wp:positionV>
            <wp:extent cx="115823" cy="115823"/>
            <wp:effectExtent l="0" t="0" r="0" b="0"/>
            <wp:wrapNone/>
            <wp:docPr id="535" name="Image 535"/>
            <wp:cNvGraphicFramePr>
              <a:graphicFrameLocks/>
            </wp:cNvGraphicFramePr>
            <a:graphic>
              <a:graphicData uri="http://schemas.openxmlformats.org/drawingml/2006/picture">
                <pic:pic>
                  <pic:nvPicPr>
                    <pic:cNvPr id="535" name="Image 535"/>
                    <pic:cNvPicPr/>
                  </pic:nvPicPr>
                  <pic:blipFill>
                    <a:blip r:embed="rId62" cstate="print"/>
                    <a:stretch>
                      <a:fillRect/>
                    </a:stretch>
                  </pic:blipFill>
                  <pic:spPr>
                    <a:xfrm>
                      <a:off x="0" y="0"/>
                      <a:ext cx="115823" cy="115823"/>
                    </a:xfrm>
                    <a:prstGeom prst="rect">
                      <a:avLst/>
                    </a:prstGeom>
                  </pic:spPr>
                </pic:pic>
              </a:graphicData>
            </a:graphic>
          </wp:anchor>
        </w:drawing>
      </w:r>
      <w:bookmarkStart w:name="ii. Up to 3 meals a day delivered in the" w:id="805"/>
      <w:bookmarkEnd w:id="805"/>
      <w:r>
        <w:rPr/>
      </w:r>
      <w:r>
        <w:rPr/>
        <w:t>Up to 3 meals a day delivered in the home, or private residence, for up to 6 months.</w:t>
      </w:r>
      <w:r>
        <w:rPr>
          <w:spacing w:val="40"/>
        </w:rPr>
        <w:t> </w:t>
      </w:r>
      <w:r>
        <w:rPr/>
        <w:t>Additional</w:t>
      </w:r>
      <w:r>
        <w:rPr>
          <w:spacing w:val="-3"/>
        </w:rPr>
        <w:t> </w:t>
      </w:r>
      <w:r>
        <w:rPr/>
        <w:t>meal</w:t>
      </w:r>
      <w:r>
        <w:rPr>
          <w:spacing w:val="-3"/>
        </w:rPr>
        <w:t> </w:t>
      </w:r>
      <w:r>
        <w:rPr/>
        <w:t>support</w:t>
      </w:r>
      <w:r>
        <w:rPr>
          <w:spacing w:val="-3"/>
        </w:rPr>
        <w:t> </w:t>
      </w:r>
      <w:r>
        <w:rPr/>
        <w:t>is</w:t>
      </w:r>
      <w:r>
        <w:rPr>
          <w:spacing w:val="-3"/>
        </w:rPr>
        <w:t> </w:t>
      </w:r>
      <w:r>
        <w:rPr/>
        <w:t>permitted</w:t>
      </w:r>
      <w:r>
        <w:rPr>
          <w:spacing w:val="-3"/>
        </w:rPr>
        <w:t> </w:t>
      </w:r>
      <w:r>
        <w:rPr/>
        <w:t>when</w:t>
      </w:r>
      <w:r>
        <w:rPr>
          <w:spacing w:val="-3"/>
        </w:rPr>
        <w:t> </w:t>
      </w:r>
      <w:r>
        <w:rPr/>
        <w:t>provided</w:t>
      </w:r>
      <w:r>
        <w:rPr>
          <w:spacing w:val="-3"/>
        </w:rPr>
        <w:t> </w:t>
      </w:r>
      <w:r>
        <w:rPr/>
        <w:t>to</w:t>
      </w:r>
      <w:r>
        <w:rPr>
          <w:spacing w:val="-3"/>
        </w:rPr>
        <w:t> </w:t>
      </w:r>
      <w:r>
        <w:rPr/>
        <w:t>the</w:t>
      </w:r>
      <w:r>
        <w:rPr>
          <w:spacing w:val="-4"/>
        </w:rPr>
        <w:t> </w:t>
      </w:r>
      <w:r>
        <w:rPr/>
        <w:t>household of a child identified as high risk or pregnant individual, as defined in the risk and needs-based criteria, and in accordance</w:t>
      </w:r>
      <w:r>
        <w:rPr>
          <w:spacing w:val="-1"/>
        </w:rPr>
        <w:t> </w:t>
      </w:r>
      <w:r>
        <w:rPr/>
        <w:t>with the</w:t>
      </w:r>
      <w:r>
        <w:rPr>
          <w:spacing w:val="-1"/>
        </w:rPr>
        <w:t> </w:t>
      </w:r>
      <w:r>
        <w:rPr/>
        <w:t>Flexible</w:t>
      </w:r>
      <w:r>
        <w:rPr>
          <w:spacing w:val="-1"/>
        </w:rPr>
        <w:t> </w:t>
      </w:r>
      <w:r>
        <w:rPr/>
        <w:t>Service</w:t>
      </w:r>
      <w:r>
        <w:rPr>
          <w:spacing w:val="-1"/>
        </w:rPr>
        <w:t> </w:t>
      </w:r>
      <w:r>
        <w:rPr/>
        <w:t>Program </w:t>
      </w:r>
      <w:r>
        <w:rPr>
          <w:spacing w:val="-2"/>
        </w:rPr>
        <w:t>requirements.</w:t>
      </w:r>
    </w:p>
    <w:p>
      <w:pPr>
        <w:pStyle w:val="BodyText"/>
        <w:spacing w:before="159"/>
        <w:ind w:left="2040" w:right="1059"/>
      </w:pPr>
      <w:r>
        <w:rPr/>
        <w:drawing>
          <wp:anchor distT="0" distB="0" distL="0" distR="0" allowOverlap="1" layoutInCell="1" locked="0" behindDoc="0" simplePos="0" relativeHeight="15997440">
            <wp:simplePos x="0" y="0"/>
            <wp:positionH relativeFrom="page">
              <wp:posOffset>1778507</wp:posOffset>
            </wp:positionH>
            <wp:positionV relativeFrom="paragraph">
              <wp:posOffset>133516</wp:posOffset>
            </wp:positionV>
            <wp:extent cx="158495" cy="115823"/>
            <wp:effectExtent l="0" t="0" r="0" b="0"/>
            <wp:wrapNone/>
            <wp:docPr id="536" name="Image 536"/>
            <wp:cNvGraphicFramePr>
              <a:graphicFrameLocks/>
            </wp:cNvGraphicFramePr>
            <a:graphic>
              <a:graphicData uri="http://schemas.openxmlformats.org/drawingml/2006/picture">
                <pic:pic>
                  <pic:nvPicPr>
                    <pic:cNvPr id="536" name="Image 536"/>
                    <pic:cNvPicPr/>
                  </pic:nvPicPr>
                  <pic:blipFill>
                    <a:blip r:embed="rId65" cstate="print"/>
                    <a:stretch>
                      <a:fillRect/>
                    </a:stretch>
                  </pic:blipFill>
                  <pic:spPr>
                    <a:xfrm>
                      <a:off x="0" y="0"/>
                      <a:ext cx="158495" cy="115823"/>
                    </a:xfrm>
                    <a:prstGeom prst="rect">
                      <a:avLst/>
                    </a:prstGeom>
                  </pic:spPr>
                </pic:pic>
              </a:graphicData>
            </a:graphic>
          </wp:anchor>
        </w:drawing>
      </w:r>
      <w:bookmarkStart w:name="iii. Medically-tailored or nutritionally" w:id="806"/>
      <w:bookmarkEnd w:id="806"/>
      <w:r>
        <w:rPr/>
      </w:r>
      <w:r>
        <w:rPr/>
        <w:t>Medically-tailored or nutritionally-appropriate food prescriptions (e.g.,fruit and</w:t>
      </w:r>
      <w:r>
        <w:rPr>
          <w:spacing w:val="-4"/>
        </w:rPr>
        <w:t> </w:t>
      </w:r>
      <w:r>
        <w:rPr/>
        <w:t>vegetable</w:t>
      </w:r>
      <w:r>
        <w:rPr>
          <w:spacing w:val="-5"/>
        </w:rPr>
        <w:t> </w:t>
      </w:r>
      <w:r>
        <w:rPr/>
        <w:t>prescriptions,</w:t>
      </w:r>
      <w:r>
        <w:rPr>
          <w:spacing w:val="-4"/>
        </w:rPr>
        <w:t> </w:t>
      </w:r>
      <w:r>
        <w:rPr/>
        <w:t>protein</w:t>
      </w:r>
      <w:r>
        <w:rPr>
          <w:spacing w:val="-4"/>
        </w:rPr>
        <w:t> </w:t>
      </w:r>
      <w:r>
        <w:rPr/>
        <w:t>box),</w:t>
      </w:r>
      <w:r>
        <w:rPr>
          <w:spacing w:val="-4"/>
        </w:rPr>
        <w:t> </w:t>
      </w:r>
      <w:r>
        <w:rPr/>
        <w:t>delivered</w:t>
      </w:r>
      <w:r>
        <w:rPr>
          <w:spacing w:val="-4"/>
        </w:rPr>
        <w:t> </w:t>
      </w:r>
      <w:r>
        <w:rPr/>
        <w:t>in</w:t>
      </w:r>
      <w:r>
        <w:rPr>
          <w:spacing w:val="-4"/>
        </w:rPr>
        <w:t> </w:t>
      </w:r>
      <w:r>
        <w:rPr/>
        <w:t>various</w:t>
      </w:r>
      <w:r>
        <w:rPr>
          <w:spacing w:val="-4"/>
        </w:rPr>
        <w:t> </w:t>
      </w:r>
      <w:r>
        <w:rPr/>
        <w:t>forms</w:t>
      </w:r>
      <w:r>
        <w:rPr>
          <w:spacing w:val="-4"/>
        </w:rPr>
        <w:t> </w:t>
      </w:r>
      <w:r>
        <w:rPr/>
        <w:t>such</w:t>
      </w:r>
      <w:r>
        <w:rPr>
          <w:spacing w:val="-4"/>
        </w:rPr>
        <w:t> </w:t>
      </w:r>
      <w:r>
        <w:rPr/>
        <w:t>as nutrition vouchers and food boxes, for up to 6 months.</w:t>
      </w:r>
    </w:p>
    <w:p>
      <w:pPr>
        <w:pStyle w:val="BodyText"/>
        <w:spacing w:before="161"/>
        <w:ind w:left="2040" w:right="1059"/>
      </w:pPr>
      <w:r>
        <w:rPr/>
        <w:drawing>
          <wp:anchor distT="0" distB="0" distL="0" distR="0" allowOverlap="1" layoutInCell="1" locked="0" behindDoc="0" simplePos="0" relativeHeight="15997952">
            <wp:simplePos x="0" y="0"/>
            <wp:positionH relativeFrom="page">
              <wp:posOffset>1786127</wp:posOffset>
            </wp:positionH>
            <wp:positionV relativeFrom="paragraph">
              <wp:posOffset>134786</wp:posOffset>
            </wp:positionV>
            <wp:extent cx="149339" cy="115823"/>
            <wp:effectExtent l="0" t="0" r="0" b="0"/>
            <wp:wrapNone/>
            <wp:docPr id="537" name="Image 537"/>
            <wp:cNvGraphicFramePr>
              <a:graphicFrameLocks/>
            </wp:cNvGraphicFramePr>
            <a:graphic>
              <a:graphicData uri="http://schemas.openxmlformats.org/drawingml/2006/picture">
                <pic:pic>
                  <pic:nvPicPr>
                    <pic:cNvPr id="537" name="Image 537"/>
                    <pic:cNvPicPr/>
                  </pic:nvPicPr>
                  <pic:blipFill>
                    <a:blip r:embed="rId96" cstate="print"/>
                    <a:stretch>
                      <a:fillRect/>
                    </a:stretch>
                  </pic:blipFill>
                  <pic:spPr>
                    <a:xfrm>
                      <a:off x="0" y="0"/>
                      <a:ext cx="149339" cy="115823"/>
                    </a:xfrm>
                    <a:prstGeom prst="rect">
                      <a:avLst/>
                    </a:prstGeom>
                  </pic:spPr>
                </pic:pic>
              </a:graphicData>
            </a:graphic>
          </wp:anchor>
        </w:drawing>
      </w:r>
      <w:bookmarkStart w:name="iv. Cooking supplies that are necessary " w:id="807"/>
      <w:bookmarkEnd w:id="807"/>
      <w:r>
        <w:rPr/>
      </w:r>
      <w:r>
        <w:rPr/>
        <w:t>Cooking supplies that are necessary for meal preparation and nutritional welfare</w:t>
      </w:r>
      <w:r>
        <w:rPr>
          <w:spacing w:val="-5"/>
        </w:rPr>
        <w:t> </w:t>
      </w:r>
      <w:r>
        <w:rPr/>
        <w:t>of</w:t>
      </w:r>
      <w:r>
        <w:rPr>
          <w:spacing w:val="-5"/>
        </w:rPr>
        <w:t> </w:t>
      </w:r>
      <w:r>
        <w:rPr/>
        <w:t>a</w:t>
      </w:r>
      <w:r>
        <w:rPr>
          <w:spacing w:val="-5"/>
        </w:rPr>
        <w:t> </w:t>
      </w:r>
      <w:r>
        <w:rPr/>
        <w:t>beneficiary</w:t>
      </w:r>
      <w:r>
        <w:rPr>
          <w:spacing w:val="-6"/>
        </w:rPr>
        <w:t> </w:t>
      </w:r>
      <w:r>
        <w:rPr/>
        <w:t>when</w:t>
      </w:r>
      <w:r>
        <w:rPr>
          <w:spacing w:val="-4"/>
        </w:rPr>
        <w:t> </w:t>
      </w:r>
      <w:r>
        <w:rPr/>
        <w:t>not</w:t>
      </w:r>
      <w:r>
        <w:rPr>
          <w:spacing w:val="-4"/>
        </w:rPr>
        <w:t> </w:t>
      </w:r>
      <w:r>
        <w:rPr/>
        <w:t>available</w:t>
      </w:r>
      <w:r>
        <w:rPr>
          <w:spacing w:val="-5"/>
        </w:rPr>
        <w:t> </w:t>
      </w:r>
      <w:r>
        <w:rPr/>
        <w:t>through</w:t>
      </w:r>
      <w:r>
        <w:rPr>
          <w:spacing w:val="-4"/>
        </w:rPr>
        <w:t> </w:t>
      </w:r>
      <w:r>
        <w:rPr/>
        <w:t>other</w:t>
      </w:r>
      <w:r>
        <w:rPr>
          <w:spacing w:val="-3"/>
        </w:rPr>
        <w:t> </w:t>
      </w:r>
      <w:r>
        <w:rPr/>
        <w:t>programs</w:t>
      </w:r>
      <w:r>
        <w:rPr>
          <w:spacing w:val="-4"/>
        </w:rPr>
        <w:t> </w:t>
      </w:r>
      <w:r>
        <w:rPr/>
        <w:t>(e.g.,</w:t>
      </w:r>
      <w:r>
        <w:rPr>
          <w:spacing w:val="-2"/>
        </w:rPr>
        <w:t> </w:t>
      </w:r>
      <w:r>
        <w:rPr/>
        <w:t>pots and pans, utensils, refrigerator).</w:t>
      </w:r>
    </w:p>
    <w:p>
      <w:pPr>
        <w:pStyle w:val="BodyText"/>
        <w:spacing w:before="199"/>
        <w:ind w:left="1411" w:right="1059"/>
      </w:pPr>
      <w:r>
        <w:rPr/>
        <w:drawing>
          <wp:anchor distT="0" distB="0" distL="0" distR="0" allowOverlap="1" layoutInCell="1" locked="0" behindDoc="0" simplePos="0" relativeHeight="15998464">
            <wp:simplePos x="0" y="0"/>
            <wp:positionH relativeFrom="page">
              <wp:posOffset>1431036</wp:posOffset>
            </wp:positionH>
            <wp:positionV relativeFrom="paragraph">
              <wp:posOffset>158916</wp:posOffset>
            </wp:positionV>
            <wp:extent cx="105155" cy="115823"/>
            <wp:effectExtent l="0" t="0" r="0" b="0"/>
            <wp:wrapNone/>
            <wp:docPr id="538" name="Image 538"/>
            <wp:cNvGraphicFramePr>
              <a:graphicFrameLocks/>
            </wp:cNvGraphicFramePr>
            <a:graphic>
              <a:graphicData uri="http://schemas.openxmlformats.org/drawingml/2006/picture">
                <pic:pic>
                  <pic:nvPicPr>
                    <pic:cNvPr id="538" name="Image 538"/>
                    <pic:cNvPicPr/>
                  </pic:nvPicPr>
                  <pic:blipFill>
                    <a:blip r:embed="rId93" cstate="print"/>
                    <a:stretch>
                      <a:fillRect/>
                    </a:stretch>
                  </pic:blipFill>
                  <pic:spPr>
                    <a:xfrm>
                      <a:off x="0" y="0"/>
                      <a:ext cx="105155" cy="115823"/>
                    </a:xfrm>
                    <a:prstGeom prst="rect">
                      <a:avLst/>
                    </a:prstGeom>
                  </pic:spPr>
                </pic:pic>
              </a:graphicData>
            </a:graphic>
          </wp:anchor>
        </w:drawing>
      </w:r>
      <w:bookmarkStart w:name="d. Transportation to HRSN services for t" w:id="808"/>
      <w:bookmarkEnd w:id="808"/>
      <w:r>
        <w:rPr/>
      </w:r>
      <w:r>
        <w:rPr/>
        <w:t>Transportation</w:t>
      </w:r>
      <w:r>
        <w:rPr>
          <w:spacing w:val="-3"/>
        </w:rPr>
        <w:t> </w:t>
      </w:r>
      <w:r>
        <w:rPr/>
        <w:t>to</w:t>
      </w:r>
      <w:r>
        <w:rPr>
          <w:spacing w:val="-3"/>
        </w:rPr>
        <w:t> </w:t>
      </w:r>
      <w:r>
        <w:rPr/>
        <w:t>HRSN</w:t>
      </w:r>
      <w:r>
        <w:rPr>
          <w:spacing w:val="-4"/>
        </w:rPr>
        <w:t> </w:t>
      </w:r>
      <w:r>
        <w:rPr/>
        <w:t>services</w:t>
      </w:r>
      <w:r>
        <w:rPr>
          <w:spacing w:val="-3"/>
        </w:rPr>
        <w:t> </w:t>
      </w:r>
      <w:r>
        <w:rPr/>
        <w:t>for</w:t>
      </w:r>
      <w:r>
        <w:rPr>
          <w:spacing w:val="-4"/>
        </w:rPr>
        <w:t> </w:t>
      </w:r>
      <w:r>
        <w:rPr/>
        <w:t>tenancy</w:t>
      </w:r>
      <w:r>
        <w:rPr>
          <w:spacing w:val="-8"/>
        </w:rPr>
        <w:t> </w:t>
      </w:r>
      <w:r>
        <w:rPr/>
        <w:t>supports</w:t>
      </w:r>
      <w:r>
        <w:rPr>
          <w:spacing w:val="-3"/>
        </w:rPr>
        <w:t> </w:t>
      </w:r>
      <w:r>
        <w:rPr/>
        <w:t>as</w:t>
      </w:r>
      <w:r>
        <w:rPr>
          <w:spacing w:val="-3"/>
        </w:rPr>
        <w:t> </w:t>
      </w:r>
      <w:r>
        <w:rPr/>
        <w:t>described</w:t>
      </w:r>
      <w:r>
        <w:rPr>
          <w:spacing w:val="-3"/>
        </w:rPr>
        <w:t> </w:t>
      </w:r>
      <w:r>
        <w:rPr/>
        <w:t>in</w:t>
      </w:r>
      <w:r>
        <w:rPr>
          <w:spacing w:val="-3"/>
        </w:rPr>
        <w:t> </w:t>
      </w:r>
      <w:r>
        <w:rPr/>
        <w:t>15.3(a)</w:t>
      </w:r>
      <w:r>
        <w:rPr>
          <w:spacing w:val="-4"/>
        </w:rPr>
        <w:t> </w:t>
      </w:r>
      <w:r>
        <w:rPr/>
        <w:t>above and nutrition supports as described in 15.3(c) above.</w:t>
      </w:r>
    </w:p>
    <w:p>
      <w:pPr>
        <w:pStyle w:val="BodyText"/>
        <w:spacing w:before="10"/>
        <w:rPr>
          <w:sz w:val="20"/>
        </w:rPr>
      </w:pPr>
    </w:p>
    <w:p>
      <w:pPr>
        <w:pStyle w:val="BodyText"/>
        <w:ind w:left="871" w:right="1059"/>
      </w:pPr>
      <w:r>
        <w:rPr/>
        <w:drawing>
          <wp:anchor distT="0" distB="0" distL="0" distR="0" allowOverlap="1" layoutInCell="1" locked="0" behindDoc="0" simplePos="0" relativeHeight="15998976">
            <wp:simplePos x="0" y="0"/>
            <wp:positionH relativeFrom="page">
              <wp:posOffset>908303</wp:posOffset>
            </wp:positionH>
            <wp:positionV relativeFrom="paragraph">
              <wp:posOffset>35612</wp:posOffset>
            </wp:positionV>
            <wp:extent cx="283463" cy="112763"/>
            <wp:effectExtent l="0" t="0" r="0" b="0"/>
            <wp:wrapNone/>
            <wp:docPr id="539" name="Image 539"/>
            <wp:cNvGraphicFramePr>
              <a:graphicFrameLocks/>
            </wp:cNvGraphicFramePr>
            <a:graphic>
              <a:graphicData uri="http://schemas.openxmlformats.org/drawingml/2006/picture">
                <pic:pic>
                  <pic:nvPicPr>
                    <pic:cNvPr id="539" name="Image 539"/>
                    <pic:cNvPicPr/>
                  </pic:nvPicPr>
                  <pic:blipFill>
                    <a:blip r:embed="rId228" cstate="print"/>
                    <a:stretch>
                      <a:fillRect/>
                    </a:stretch>
                  </pic:blipFill>
                  <pic:spPr>
                    <a:xfrm>
                      <a:off x="0" y="0"/>
                      <a:ext cx="283463" cy="112763"/>
                    </a:xfrm>
                    <a:prstGeom prst="rect">
                      <a:avLst/>
                    </a:prstGeom>
                  </pic:spPr>
                </pic:pic>
              </a:graphicData>
            </a:graphic>
          </wp:anchor>
        </w:drawing>
      </w:r>
      <w:bookmarkStart w:name="15.4. Excluded items, services, and acti" w:id="809"/>
      <w:bookmarkEnd w:id="809"/>
      <w:r>
        <w:rPr/>
      </w:r>
      <w:r>
        <w:rPr/>
        <w:t>Excluded</w:t>
      </w:r>
      <w:r>
        <w:rPr>
          <w:spacing w:val="-4"/>
        </w:rPr>
        <w:t> </w:t>
      </w:r>
      <w:r>
        <w:rPr/>
        <w:t>items,</w:t>
      </w:r>
      <w:r>
        <w:rPr>
          <w:spacing w:val="-4"/>
        </w:rPr>
        <w:t> </w:t>
      </w:r>
      <w:r>
        <w:rPr/>
        <w:t>services,</w:t>
      </w:r>
      <w:r>
        <w:rPr>
          <w:spacing w:val="-4"/>
        </w:rPr>
        <w:t> </w:t>
      </w:r>
      <w:r>
        <w:rPr/>
        <w:t>and</w:t>
      </w:r>
      <w:r>
        <w:rPr>
          <w:spacing w:val="-4"/>
        </w:rPr>
        <w:t> </w:t>
      </w:r>
      <w:r>
        <w:rPr/>
        <w:t>activities</w:t>
      </w:r>
      <w:r>
        <w:rPr>
          <w:spacing w:val="-4"/>
        </w:rPr>
        <w:t> </w:t>
      </w:r>
      <w:r>
        <w:rPr/>
        <w:t>that</w:t>
      </w:r>
      <w:r>
        <w:rPr>
          <w:spacing w:val="-4"/>
        </w:rPr>
        <w:t> </w:t>
      </w:r>
      <w:r>
        <w:rPr/>
        <w:t>are</w:t>
      </w:r>
      <w:r>
        <w:rPr>
          <w:spacing w:val="-5"/>
        </w:rPr>
        <w:t> </w:t>
      </w:r>
      <w:r>
        <w:rPr/>
        <w:t>not</w:t>
      </w:r>
      <w:r>
        <w:rPr>
          <w:spacing w:val="-4"/>
        </w:rPr>
        <w:t> </w:t>
      </w:r>
      <w:r>
        <w:rPr/>
        <w:t>covered</w:t>
      </w:r>
      <w:r>
        <w:rPr>
          <w:spacing w:val="-2"/>
        </w:rPr>
        <w:t> </w:t>
      </w:r>
      <w:r>
        <w:rPr/>
        <w:t>as</w:t>
      </w:r>
      <w:r>
        <w:rPr>
          <w:spacing w:val="-4"/>
        </w:rPr>
        <w:t> </w:t>
      </w:r>
      <w:r>
        <w:rPr/>
        <w:t>HRSN</w:t>
      </w:r>
      <w:r>
        <w:rPr>
          <w:spacing w:val="-5"/>
        </w:rPr>
        <w:t> </w:t>
      </w:r>
      <w:r>
        <w:rPr/>
        <w:t>services</w:t>
      </w:r>
      <w:r>
        <w:rPr>
          <w:spacing w:val="-4"/>
        </w:rPr>
        <w:t> </w:t>
      </w:r>
      <w:r>
        <w:rPr/>
        <w:t>include,</w:t>
      </w:r>
      <w:r>
        <w:rPr>
          <w:spacing w:val="-4"/>
        </w:rPr>
        <w:t> </w:t>
      </w:r>
      <w:r>
        <w:rPr/>
        <w:t>but are not limited to:</w:t>
      </w:r>
    </w:p>
    <w:p>
      <w:pPr>
        <w:pStyle w:val="BodyText"/>
        <w:spacing w:before="10"/>
        <w:rPr>
          <w:sz w:val="20"/>
        </w:rPr>
      </w:pPr>
    </w:p>
    <w:p>
      <w:pPr>
        <w:pStyle w:val="BodyText"/>
        <w:ind w:left="1411"/>
      </w:pPr>
      <w:r>
        <w:rPr/>
        <w:drawing>
          <wp:anchor distT="0" distB="0" distL="0" distR="0" allowOverlap="1" layoutInCell="1" locked="0" behindDoc="0" simplePos="0" relativeHeight="15999488">
            <wp:simplePos x="0" y="0"/>
            <wp:positionH relativeFrom="page">
              <wp:posOffset>1431036</wp:posOffset>
            </wp:positionH>
            <wp:positionV relativeFrom="paragraph">
              <wp:posOffset>67616</wp:posOffset>
            </wp:positionV>
            <wp:extent cx="96011" cy="80759"/>
            <wp:effectExtent l="0" t="0" r="0" b="0"/>
            <wp:wrapNone/>
            <wp:docPr id="540" name="Image 540"/>
            <wp:cNvGraphicFramePr>
              <a:graphicFrameLocks/>
            </wp:cNvGraphicFramePr>
            <a:graphic>
              <a:graphicData uri="http://schemas.openxmlformats.org/drawingml/2006/picture">
                <pic:pic>
                  <pic:nvPicPr>
                    <pic:cNvPr id="540" name="Image 540"/>
                    <pic:cNvPicPr/>
                  </pic:nvPicPr>
                  <pic:blipFill>
                    <a:blip r:embed="rId40" cstate="print"/>
                    <a:stretch>
                      <a:fillRect/>
                    </a:stretch>
                  </pic:blipFill>
                  <pic:spPr>
                    <a:xfrm>
                      <a:off x="0" y="0"/>
                      <a:ext cx="96011" cy="80759"/>
                    </a:xfrm>
                    <a:prstGeom prst="rect">
                      <a:avLst/>
                    </a:prstGeom>
                  </pic:spPr>
                </pic:pic>
              </a:graphicData>
            </a:graphic>
          </wp:anchor>
        </w:drawing>
      </w:r>
      <w:bookmarkStart w:name="a. Construction costs (bricks and mortar" w:id="810"/>
      <w:bookmarkEnd w:id="810"/>
      <w:r>
        <w:rPr/>
      </w:r>
      <w:r>
        <w:rPr/>
        <w:t>Construction</w:t>
      </w:r>
      <w:r>
        <w:rPr>
          <w:spacing w:val="-3"/>
        </w:rPr>
        <w:t> </w:t>
      </w:r>
      <w:r>
        <w:rPr/>
        <w:t>costs</w:t>
      </w:r>
      <w:r>
        <w:rPr>
          <w:spacing w:val="-2"/>
        </w:rPr>
        <w:t> </w:t>
      </w:r>
      <w:r>
        <w:rPr/>
        <w:t>(bricks</w:t>
      </w:r>
      <w:r>
        <w:rPr>
          <w:spacing w:val="-2"/>
        </w:rPr>
        <w:t> </w:t>
      </w:r>
      <w:r>
        <w:rPr/>
        <w:t>and</w:t>
      </w:r>
      <w:r>
        <w:rPr>
          <w:spacing w:val="-2"/>
        </w:rPr>
        <w:t> </w:t>
      </w:r>
      <w:r>
        <w:rPr/>
        <w:t>mortar)</w:t>
      </w:r>
      <w:r>
        <w:rPr>
          <w:spacing w:val="-3"/>
        </w:rPr>
        <w:t> </w:t>
      </w:r>
      <w:r>
        <w:rPr/>
        <w:t>or</w:t>
      </w:r>
      <w:r>
        <w:rPr>
          <w:spacing w:val="-3"/>
        </w:rPr>
        <w:t> </w:t>
      </w:r>
      <w:r>
        <w:rPr/>
        <w:t>capital</w:t>
      </w:r>
      <w:r>
        <w:rPr>
          <w:spacing w:val="-2"/>
        </w:rPr>
        <w:t> investments.</w:t>
      </w:r>
    </w:p>
    <w:p>
      <w:pPr>
        <w:pStyle w:val="BodyText"/>
        <w:spacing w:before="10"/>
        <w:rPr>
          <w:sz w:val="20"/>
        </w:rPr>
      </w:pPr>
    </w:p>
    <w:p>
      <w:pPr>
        <w:pStyle w:val="BodyText"/>
        <w:ind w:left="1411" w:right="1059"/>
      </w:pPr>
      <w:r>
        <w:rPr/>
        <w:drawing>
          <wp:anchor distT="0" distB="0" distL="0" distR="0" allowOverlap="1" layoutInCell="1" locked="0" behindDoc="0" simplePos="0" relativeHeight="16000000">
            <wp:simplePos x="0" y="0"/>
            <wp:positionH relativeFrom="page">
              <wp:posOffset>1424939</wp:posOffset>
            </wp:positionH>
            <wp:positionV relativeFrom="paragraph">
              <wp:posOffset>32551</wp:posOffset>
            </wp:positionV>
            <wp:extent cx="111251" cy="115823"/>
            <wp:effectExtent l="0" t="0" r="0" b="0"/>
            <wp:wrapNone/>
            <wp:docPr id="541" name="Image 541"/>
            <wp:cNvGraphicFramePr>
              <a:graphicFrameLocks/>
            </wp:cNvGraphicFramePr>
            <a:graphic>
              <a:graphicData uri="http://schemas.openxmlformats.org/drawingml/2006/picture">
                <pic:pic>
                  <pic:nvPicPr>
                    <pic:cNvPr id="541" name="Image 541"/>
                    <pic:cNvPicPr/>
                  </pic:nvPicPr>
                  <pic:blipFill>
                    <a:blip r:embed="rId34" cstate="print"/>
                    <a:stretch>
                      <a:fillRect/>
                    </a:stretch>
                  </pic:blipFill>
                  <pic:spPr>
                    <a:xfrm>
                      <a:off x="0" y="0"/>
                      <a:ext cx="111251" cy="115823"/>
                    </a:xfrm>
                    <a:prstGeom prst="rect">
                      <a:avLst/>
                    </a:prstGeom>
                  </pic:spPr>
                </pic:pic>
              </a:graphicData>
            </a:graphic>
          </wp:anchor>
        </w:drawing>
      </w:r>
      <w:bookmarkStart w:name="b. Room and board outside of specificall" w:id="811"/>
      <w:bookmarkEnd w:id="811"/>
      <w:r>
        <w:rPr/>
      </w:r>
      <w:r>
        <w:rPr/>
        <w:t>Room</w:t>
      </w:r>
      <w:r>
        <w:rPr>
          <w:spacing w:val="-3"/>
        </w:rPr>
        <w:t> </w:t>
      </w:r>
      <w:r>
        <w:rPr/>
        <w:t>and</w:t>
      </w:r>
      <w:r>
        <w:rPr>
          <w:spacing w:val="-3"/>
        </w:rPr>
        <w:t> </w:t>
      </w:r>
      <w:r>
        <w:rPr/>
        <w:t>board</w:t>
      </w:r>
      <w:r>
        <w:rPr>
          <w:spacing w:val="-3"/>
        </w:rPr>
        <w:t> </w:t>
      </w:r>
      <w:r>
        <w:rPr/>
        <w:t>outside</w:t>
      </w:r>
      <w:r>
        <w:rPr>
          <w:spacing w:val="-4"/>
        </w:rPr>
        <w:t> </w:t>
      </w:r>
      <w:r>
        <w:rPr/>
        <w:t>of</w:t>
      </w:r>
      <w:r>
        <w:rPr>
          <w:spacing w:val="-4"/>
        </w:rPr>
        <w:t> </w:t>
      </w:r>
      <w:r>
        <w:rPr/>
        <w:t>specifically</w:t>
      </w:r>
      <w:r>
        <w:rPr>
          <w:spacing w:val="-6"/>
        </w:rPr>
        <w:t> </w:t>
      </w:r>
      <w:r>
        <w:rPr/>
        <w:t>enumerated</w:t>
      </w:r>
      <w:r>
        <w:rPr>
          <w:spacing w:val="-3"/>
        </w:rPr>
        <w:t> </w:t>
      </w:r>
      <w:r>
        <w:rPr/>
        <w:t>care</w:t>
      </w:r>
      <w:r>
        <w:rPr>
          <w:spacing w:val="-4"/>
        </w:rPr>
        <w:t> </w:t>
      </w:r>
      <w:r>
        <w:rPr/>
        <w:t>or</w:t>
      </w:r>
      <w:r>
        <w:rPr>
          <w:spacing w:val="-4"/>
        </w:rPr>
        <w:t> </w:t>
      </w:r>
      <w:r>
        <w:rPr/>
        <w:t>housing</w:t>
      </w:r>
      <w:r>
        <w:rPr>
          <w:spacing w:val="-6"/>
        </w:rPr>
        <w:t> </w:t>
      </w:r>
      <w:r>
        <w:rPr/>
        <w:t>transitions</w:t>
      </w:r>
      <w:r>
        <w:rPr>
          <w:spacing w:val="-3"/>
        </w:rPr>
        <w:t> </w:t>
      </w:r>
      <w:r>
        <w:rPr/>
        <w:t>or beyond 6 months.</w:t>
      </w:r>
    </w:p>
    <w:p>
      <w:pPr>
        <w:pStyle w:val="BodyText"/>
        <w:spacing w:before="10"/>
        <w:rPr>
          <w:sz w:val="20"/>
        </w:rPr>
      </w:pPr>
    </w:p>
    <w:p>
      <w:pPr>
        <w:pStyle w:val="BodyText"/>
        <w:ind w:left="1411"/>
      </w:pPr>
      <w:r>
        <w:rPr/>
        <w:drawing>
          <wp:anchor distT="0" distB="0" distL="0" distR="0" allowOverlap="1" layoutInCell="1" locked="0" behindDoc="0" simplePos="0" relativeHeight="16000512">
            <wp:simplePos x="0" y="0"/>
            <wp:positionH relativeFrom="page">
              <wp:posOffset>1431036</wp:posOffset>
            </wp:positionH>
            <wp:positionV relativeFrom="paragraph">
              <wp:posOffset>67603</wp:posOffset>
            </wp:positionV>
            <wp:extent cx="96011" cy="80771"/>
            <wp:effectExtent l="0" t="0" r="0" b="0"/>
            <wp:wrapNone/>
            <wp:docPr id="542" name="Image 542"/>
            <wp:cNvGraphicFramePr>
              <a:graphicFrameLocks/>
            </wp:cNvGraphicFramePr>
            <a:graphic>
              <a:graphicData uri="http://schemas.openxmlformats.org/drawingml/2006/picture">
                <pic:pic>
                  <pic:nvPicPr>
                    <pic:cNvPr id="542" name="Image 542"/>
                    <pic:cNvPicPr/>
                  </pic:nvPicPr>
                  <pic:blipFill>
                    <a:blip r:embed="rId35" cstate="print"/>
                    <a:stretch>
                      <a:fillRect/>
                    </a:stretch>
                  </pic:blipFill>
                  <pic:spPr>
                    <a:xfrm>
                      <a:off x="0" y="0"/>
                      <a:ext cx="96011" cy="80771"/>
                    </a:xfrm>
                    <a:prstGeom prst="rect">
                      <a:avLst/>
                    </a:prstGeom>
                  </pic:spPr>
                </pic:pic>
              </a:graphicData>
            </a:graphic>
          </wp:anchor>
        </w:drawing>
      </w:r>
      <w:bookmarkStart w:name="c. Research grants and expenditures not " w:id="812"/>
      <w:bookmarkEnd w:id="812"/>
      <w:r>
        <w:rPr/>
      </w:r>
      <w:r>
        <w:rPr/>
        <w:t>Research</w:t>
      </w:r>
      <w:r>
        <w:rPr>
          <w:spacing w:val="-2"/>
        </w:rPr>
        <w:t> </w:t>
      </w:r>
      <w:r>
        <w:rPr/>
        <w:t>grants</w:t>
      </w:r>
      <w:r>
        <w:rPr>
          <w:spacing w:val="-2"/>
        </w:rPr>
        <w:t> </w:t>
      </w:r>
      <w:r>
        <w:rPr/>
        <w:t>and</w:t>
      </w:r>
      <w:r>
        <w:rPr>
          <w:spacing w:val="1"/>
        </w:rPr>
        <w:t> </w:t>
      </w:r>
      <w:r>
        <w:rPr/>
        <w:t>expenditures</w:t>
      </w:r>
      <w:r>
        <w:rPr>
          <w:spacing w:val="-2"/>
        </w:rPr>
        <w:t> </w:t>
      </w:r>
      <w:r>
        <w:rPr/>
        <w:t>not</w:t>
      </w:r>
      <w:r>
        <w:rPr>
          <w:spacing w:val="-1"/>
        </w:rPr>
        <w:t> </w:t>
      </w:r>
      <w:r>
        <w:rPr/>
        <w:t>related</w:t>
      </w:r>
      <w:r>
        <w:rPr>
          <w:spacing w:val="-2"/>
        </w:rPr>
        <w:t> </w:t>
      </w:r>
      <w:r>
        <w:rPr/>
        <w:t>to</w:t>
      </w:r>
      <w:r>
        <w:rPr>
          <w:spacing w:val="-1"/>
        </w:rPr>
        <w:t> </w:t>
      </w:r>
      <w:r>
        <w:rPr/>
        <w:t>monitoring</w:t>
      </w:r>
      <w:r>
        <w:rPr>
          <w:spacing w:val="-5"/>
        </w:rPr>
        <w:t> </w:t>
      </w:r>
      <w:r>
        <w:rPr/>
        <w:t>and</w:t>
      </w:r>
      <w:r>
        <w:rPr>
          <w:spacing w:val="-1"/>
        </w:rPr>
        <w:t> </w:t>
      </w:r>
      <w:r>
        <w:rPr>
          <w:spacing w:val="-2"/>
        </w:rPr>
        <w:t>evaluation.</w:t>
      </w:r>
    </w:p>
    <w:p>
      <w:pPr>
        <w:spacing w:after="0"/>
        <w:sectPr>
          <w:pgSz w:w="12240" w:h="15840"/>
          <w:pgMar w:header="0" w:footer="1201" w:top="1360" w:bottom="1400" w:left="1200" w:right="400"/>
        </w:sectPr>
      </w:pPr>
    </w:p>
    <w:p>
      <w:pPr>
        <w:pStyle w:val="BodyText"/>
        <w:spacing w:before="79"/>
        <w:ind w:left="1411" w:right="1059"/>
      </w:pPr>
      <w:r>
        <w:rPr/>
        <w:drawing>
          <wp:anchor distT="0" distB="0" distL="0" distR="0" allowOverlap="1" layoutInCell="1" locked="0" behindDoc="0" simplePos="0" relativeHeight="16001024">
            <wp:simplePos x="0" y="0"/>
            <wp:positionH relativeFrom="page">
              <wp:posOffset>1431036</wp:posOffset>
            </wp:positionH>
            <wp:positionV relativeFrom="paragraph">
              <wp:posOffset>82717</wp:posOffset>
            </wp:positionV>
            <wp:extent cx="105155" cy="115823"/>
            <wp:effectExtent l="0" t="0" r="0" b="0"/>
            <wp:wrapNone/>
            <wp:docPr id="543" name="Image 543"/>
            <wp:cNvGraphicFramePr>
              <a:graphicFrameLocks/>
            </wp:cNvGraphicFramePr>
            <a:graphic>
              <a:graphicData uri="http://schemas.openxmlformats.org/drawingml/2006/picture">
                <pic:pic>
                  <pic:nvPicPr>
                    <pic:cNvPr id="543" name="Image 543"/>
                    <pic:cNvPicPr/>
                  </pic:nvPicPr>
                  <pic:blipFill>
                    <a:blip r:embed="rId36" cstate="print"/>
                    <a:stretch>
                      <a:fillRect/>
                    </a:stretch>
                  </pic:blipFill>
                  <pic:spPr>
                    <a:xfrm>
                      <a:off x="0" y="0"/>
                      <a:ext cx="105155" cy="115823"/>
                    </a:xfrm>
                    <a:prstGeom prst="rect">
                      <a:avLst/>
                    </a:prstGeom>
                  </pic:spPr>
                </pic:pic>
              </a:graphicData>
            </a:graphic>
          </wp:anchor>
        </w:drawing>
      </w:r>
      <w:bookmarkStart w:name="d. Costs for services in prisons, correc" w:id="813"/>
      <w:bookmarkEnd w:id="813"/>
      <w:r>
        <w:rPr/>
      </w:r>
      <w:r>
        <w:rPr/>
        <w:t>Costs</w:t>
      </w:r>
      <w:r>
        <w:rPr>
          <w:spacing w:val="-4"/>
        </w:rPr>
        <w:t> </w:t>
      </w:r>
      <w:r>
        <w:rPr/>
        <w:t>for</w:t>
      </w:r>
      <w:r>
        <w:rPr>
          <w:spacing w:val="-4"/>
        </w:rPr>
        <w:t> </w:t>
      </w:r>
      <w:r>
        <w:rPr/>
        <w:t>services</w:t>
      </w:r>
      <w:r>
        <w:rPr>
          <w:spacing w:val="-4"/>
        </w:rPr>
        <w:t> </w:t>
      </w:r>
      <w:r>
        <w:rPr/>
        <w:t>in</w:t>
      </w:r>
      <w:r>
        <w:rPr>
          <w:spacing w:val="-4"/>
        </w:rPr>
        <w:t> </w:t>
      </w:r>
      <w:r>
        <w:rPr/>
        <w:t>prisons,</w:t>
      </w:r>
      <w:r>
        <w:rPr>
          <w:spacing w:val="-4"/>
        </w:rPr>
        <w:t> </w:t>
      </w:r>
      <w:r>
        <w:rPr/>
        <w:t>correctional</w:t>
      </w:r>
      <w:r>
        <w:rPr>
          <w:spacing w:val="-4"/>
        </w:rPr>
        <w:t> </w:t>
      </w:r>
      <w:r>
        <w:rPr/>
        <w:t>facilities</w:t>
      </w:r>
      <w:r>
        <w:rPr>
          <w:spacing w:val="-4"/>
        </w:rPr>
        <w:t> </w:t>
      </w:r>
      <w:r>
        <w:rPr/>
        <w:t>or</w:t>
      </w:r>
      <w:r>
        <w:rPr>
          <w:spacing w:val="-4"/>
        </w:rPr>
        <w:t> </w:t>
      </w:r>
      <w:r>
        <w:rPr/>
        <w:t>services</w:t>
      </w:r>
      <w:r>
        <w:rPr>
          <w:spacing w:val="-2"/>
        </w:rPr>
        <w:t> </w:t>
      </w:r>
      <w:r>
        <w:rPr/>
        <w:t>for</w:t>
      </w:r>
      <w:r>
        <w:rPr>
          <w:spacing w:val="-4"/>
        </w:rPr>
        <w:t> </w:t>
      </w:r>
      <w:r>
        <w:rPr/>
        <w:t>people</w:t>
      </w:r>
      <w:r>
        <w:rPr>
          <w:spacing w:val="-3"/>
        </w:rPr>
        <w:t> </w:t>
      </w:r>
      <w:r>
        <w:rPr/>
        <w:t>who</w:t>
      </w:r>
      <w:r>
        <w:rPr>
          <w:spacing w:val="-4"/>
        </w:rPr>
        <w:t> </w:t>
      </w:r>
      <w:r>
        <w:rPr/>
        <w:t>are civilly committed and unable to leave an institutional setting.</w:t>
      </w:r>
    </w:p>
    <w:p>
      <w:pPr>
        <w:pStyle w:val="BodyText"/>
        <w:spacing w:before="10"/>
        <w:rPr>
          <w:sz w:val="20"/>
        </w:rPr>
      </w:pPr>
    </w:p>
    <w:p>
      <w:pPr>
        <w:pStyle w:val="BodyText"/>
        <w:ind w:left="1411" w:right="1059"/>
      </w:pPr>
      <w:r>
        <w:rPr/>
        <w:drawing>
          <wp:anchor distT="0" distB="0" distL="0" distR="0" allowOverlap="1" layoutInCell="1" locked="0" behindDoc="0" simplePos="0" relativeHeight="16001536">
            <wp:simplePos x="0" y="0"/>
            <wp:positionH relativeFrom="page">
              <wp:posOffset>1431036</wp:posOffset>
            </wp:positionH>
            <wp:positionV relativeFrom="paragraph">
              <wp:posOffset>67616</wp:posOffset>
            </wp:positionV>
            <wp:extent cx="96011" cy="80759"/>
            <wp:effectExtent l="0" t="0" r="0" b="0"/>
            <wp:wrapNone/>
            <wp:docPr id="544" name="Image 544"/>
            <wp:cNvGraphicFramePr>
              <a:graphicFrameLocks/>
            </wp:cNvGraphicFramePr>
            <a:graphic>
              <a:graphicData uri="http://schemas.openxmlformats.org/drawingml/2006/picture">
                <pic:pic>
                  <pic:nvPicPr>
                    <pic:cNvPr id="544" name="Image 544"/>
                    <pic:cNvPicPr/>
                  </pic:nvPicPr>
                  <pic:blipFill>
                    <a:blip r:embed="rId37" cstate="print"/>
                    <a:stretch>
                      <a:fillRect/>
                    </a:stretch>
                  </pic:blipFill>
                  <pic:spPr>
                    <a:xfrm>
                      <a:off x="0" y="0"/>
                      <a:ext cx="96011" cy="80759"/>
                    </a:xfrm>
                    <a:prstGeom prst="rect">
                      <a:avLst/>
                    </a:prstGeom>
                  </pic:spPr>
                </pic:pic>
              </a:graphicData>
            </a:graphic>
          </wp:anchor>
        </w:drawing>
      </w:r>
      <w:bookmarkStart w:name="e. Services provided to individuals who " w:id="814"/>
      <w:bookmarkEnd w:id="814"/>
      <w:r>
        <w:rPr/>
      </w:r>
      <w:r>
        <w:rPr/>
        <w:t>Services</w:t>
      </w:r>
      <w:r>
        <w:rPr>
          <w:spacing w:val="-3"/>
        </w:rPr>
        <w:t> </w:t>
      </w:r>
      <w:r>
        <w:rPr/>
        <w:t>provided</w:t>
      </w:r>
      <w:r>
        <w:rPr>
          <w:spacing w:val="-3"/>
        </w:rPr>
        <w:t> </w:t>
      </w:r>
      <w:r>
        <w:rPr/>
        <w:t>to</w:t>
      </w:r>
      <w:r>
        <w:rPr>
          <w:spacing w:val="-3"/>
        </w:rPr>
        <w:t> </w:t>
      </w:r>
      <w:r>
        <w:rPr/>
        <w:t>individuals</w:t>
      </w:r>
      <w:r>
        <w:rPr>
          <w:spacing w:val="-3"/>
        </w:rPr>
        <w:t> </w:t>
      </w:r>
      <w:r>
        <w:rPr/>
        <w:t>who</w:t>
      </w:r>
      <w:r>
        <w:rPr>
          <w:spacing w:val="-3"/>
        </w:rPr>
        <w:t> </w:t>
      </w:r>
      <w:r>
        <w:rPr/>
        <w:t>are</w:t>
      </w:r>
      <w:r>
        <w:rPr>
          <w:spacing w:val="-4"/>
        </w:rPr>
        <w:t> </w:t>
      </w:r>
      <w:r>
        <w:rPr/>
        <w:t>not</w:t>
      </w:r>
      <w:r>
        <w:rPr>
          <w:spacing w:val="-3"/>
        </w:rPr>
        <w:t> </w:t>
      </w:r>
      <w:r>
        <w:rPr/>
        <w:t>lawfully</w:t>
      </w:r>
      <w:r>
        <w:rPr>
          <w:spacing w:val="-8"/>
        </w:rPr>
        <w:t> </w:t>
      </w:r>
      <w:r>
        <w:rPr/>
        <w:t>present</w:t>
      </w:r>
      <w:r>
        <w:rPr>
          <w:spacing w:val="-3"/>
        </w:rPr>
        <w:t> </w:t>
      </w:r>
      <w:r>
        <w:rPr/>
        <w:t>in</w:t>
      </w:r>
      <w:r>
        <w:rPr>
          <w:spacing w:val="-3"/>
        </w:rPr>
        <w:t> </w:t>
      </w:r>
      <w:r>
        <w:rPr/>
        <w:t>the</w:t>
      </w:r>
      <w:r>
        <w:rPr>
          <w:spacing w:val="-4"/>
        </w:rPr>
        <w:t> </w:t>
      </w:r>
      <w:r>
        <w:rPr/>
        <w:t>United</w:t>
      </w:r>
      <w:r>
        <w:rPr>
          <w:spacing w:val="-1"/>
        </w:rPr>
        <w:t> </w:t>
      </w:r>
      <w:r>
        <w:rPr/>
        <w:t>States</w:t>
      </w:r>
      <w:r>
        <w:rPr>
          <w:spacing w:val="-3"/>
        </w:rPr>
        <w:t> </w:t>
      </w:r>
      <w:r>
        <w:rPr/>
        <w:t>or are undocumented.</w:t>
      </w:r>
    </w:p>
    <w:p>
      <w:pPr>
        <w:pStyle w:val="BodyText"/>
        <w:spacing w:before="10"/>
        <w:rPr>
          <w:sz w:val="20"/>
        </w:rPr>
      </w:pPr>
    </w:p>
    <w:p>
      <w:pPr>
        <w:pStyle w:val="BodyText"/>
        <w:ind w:left="1411" w:right="1059"/>
      </w:pPr>
      <w:r>
        <w:rPr/>
        <w:drawing>
          <wp:anchor distT="0" distB="0" distL="0" distR="0" allowOverlap="1" layoutInCell="1" locked="0" behindDoc="0" simplePos="0" relativeHeight="16002048">
            <wp:simplePos x="0" y="0"/>
            <wp:positionH relativeFrom="page">
              <wp:posOffset>1431036</wp:posOffset>
            </wp:positionH>
            <wp:positionV relativeFrom="paragraph">
              <wp:posOffset>32551</wp:posOffset>
            </wp:positionV>
            <wp:extent cx="79247" cy="115823"/>
            <wp:effectExtent l="0" t="0" r="0" b="0"/>
            <wp:wrapNone/>
            <wp:docPr id="545" name="Image 545"/>
            <wp:cNvGraphicFramePr>
              <a:graphicFrameLocks/>
            </wp:cNvGraphicFramePr>
            <a:graphic>
              <a:graphicData uri="http://schemas.openxmlformats.org/drawingml/2006/picture">
                <pic:pic>
                  <pic:nvPicPr>
                    <pic:cNvPr id="545" name="Image 545"/>
                    <pic:cNvPicPr/>
                  </pic:nvPicPr>
                  <pic:blipFill>
                    <a:blip r:embed="rId42" cstate="print"/>
                    <a:stretch>
                      <a:fillRect/>
                    </a:stretch>
                  </pic:blipFill>
                  <pic:spPr>
                    <a:xfrm>
                      <a:off x="0" y="0"/>
                      <a:ext cx="79247" cy="115823"/>
                    </a:xfrm>
                    <a:prstGeom prst="rect">
                      <a:avLst/>
                    </a:prstGeom>
                  </pic:spPr>
                </pic:pic>
              </a:graphicData>
            </a:graphic>
          </wp:anchor>
        </w:drawing>
      </w:r>
      <w:bookmarkStart w:name="f. Expenditures that supplant services a" w:id="815"/>
      <w:bookmarkEnd w:id="815"/>
      <w:r>
        <w:rPr/>
      </w:r>
      <w:r>
        <w:rPr/>
        <w:t>Expenditures</w:t>
      </w:r>
      <w:r>
        <w:rPr>
          <w:spacing w:val="-4"/>
        </w:rPr>
        <w:t> </w:t>
      </w:r>
      <w:r>
        <w:rPr/>
        <w:t>that</w:t>
      </w:r>
      <w:r>
        <w:rPr>
          <w:spacing w:val="-4"/>
        </w:rPr>
        <w:t> </w:t>
      </w:r>
      <w:r>
        <w:rPr/>
        <w:t>supplant</w:t>
      </w:r>
      <w:r>
        <w:rPr>
          <w:spacing w:val="-4"/>
        </w:rPr>
        <w:t> </w:t>
      </w:r>
      <w:r>
        <w:rPr/>
        <w:t>services</w:t>
      </w:r>
      <w:r>
        <w:rPr>
          <w:spacing w:val="-4"/>
        </w:rPr>
        <w:t> </w:t>
      </w:r>
      <w:r>
        <w:rPr/>
        <w:t>and</w:t>
      </w:r>
      <w:r>
        <w:rPr>
          <w:spacing w:val="-2"/>
        </w:rPr>
        <w:t> </w:t>
      </w:r>
      <w:r>
        <w:rPr/>
        <w:t>activities</w:t>
      </w:r>
      <w:r>
        <w:rPr>
          <w:spacing w:val="-4"/>
        </w:rPr>
        <w:t> </w:t>
      </w:r>
      <w:r>
        <w:rPr/>
        <w:t>funded</w:t>
      </w:r>
      <w:r>
        <w:rPr>
          <w:spacing w:val="-4"/>
        </w:rPr>
        <w:t> </w:t>
      </w:r>
      <w:r>
        <w:rPr/>
        <w:t>by</w:t>
      </w:r>
      <w:r>
        <w:rPr>
          <w:spacing w:val="-9"/>
        </w:rPr>
        <w:t> </w:t>
      </w:r>
      <w:r>
        <w:rPr/>
        <w:t>other</w:t>
      </w:r>
      <w:r>
        <w:rPr>
          <w:spacing w:val="-5"/>
        </w:rPr>
        <w:t> </w:t>
      </w:r>
      <w:r>
        <w:rPr/>
        <w:t>state</w:t>
      </w:r>
      <w:r>
        <w:rPr>
          <w:spacing w:val="-3"/>
        </w:rPr>
        <w:t> </w:t>
      </w:r>
      <w:r>
        <w:rPr/>
        <w:t>and</w:t>
      </w:r>
      <w:r>
        <w:rPr>
          <w:spacing w:val="-2"/>
        </w:rPr>
        <w:t> </w:t>
      </w:r>
      <w:r>
        <w:rPr/>
        <w:t>federal governmental entities.</w:t>
      </w:r>
    </w:p>
    <w:p>
      <w:pPr>
        <w:pStyle w:val="BodyText"/>
        <w:spacing w:before="10"/>
        <w:rPr>
          <w:sz w:val="20"/>
        </w:rPr>
      </w:pPr>
    </w:p>
    <w:p>
      <w:pPr>
        <w:pStyle w:val="BodyText"/>
        <w:ind w:left="1411" w:right="1141"/>
      </w:pPr>
      <w:r>
        <w:rPr/>
        <w:drawing>
          <wp:anchor distT="0" distB="0" distL="0" distR="0" allowOverlap="1" layoutInCell="1" locked="0" behindDoc="0" simplePos="0" relativeHeight="16002560">
            <wp:simplePos x="0" y="0"/>
            <wp:positionH relativeFrom="page">
              <wp:posOffset>1429511</wp:posOffset>
            </wp:positionH>
            <wp:positionV relativeFrom="paragraph">
              <wp:posOffset>67603</wp:posOffset>
            </wp:positionV>
            <wp:extent cx="105155" cy="111251"/>
            <wp:effectExtent l="0" t="0" r="0" b="0"/>
            <wp:wrapNone/>
            <wp:docPr id="546" name="Image 546"/>
            <wp:cNvGraphicFramePr>
              <a:graphicFrameLocks/>
            </wp:cNvGraphicFramePr>
            <a:graphic>
              <a:graphicData uri="http://schemas.openxmlformats.org/drawingml/2006/picture">
                <pic:pic>
                  <pic:nvPicPr>
                    <pic:cNvPr id="546" name="Image 546"/>
                    <pic:cNvPicPr/>
                  </pic:nvPicPr>
                  <pic:blipFill>
                    <a:blip r:embed="rId95" cstate="print"/>
                    <a:stretch>
                      <a:fillRect/>
                    </a:stretch>
                  </pic:blipFill>
                  <pic:spPr>
                    <a:xfrm>
                      <a:off x="0" y="0"/>
                      <a:ext cx="105155" cy="111251"/>
                    </a:xfrm>
                    <a:prstGeom prst="rect">
                      <a:avLst/>
                    </a:prstGeom>
                  </pic:spPr>
                </pic:pic>
              </a:graphicData>
            </a:graphic>
          </wp:anchor>
        </w:drawing>
      </w:r>
      <w:bookmarkStart w:name="g. School-based programs for children th" w:id="816"/>
      <w:bookmarkEnd w:id="816"/>
      <w:r>
        <w:rPr/>
      </w:r>
      <w:r>
        <w:rPr/>
        <w:t>School-based</w:t>
      </w:r>
      <w:r>
        <w:rPr>
          <w:spacing w:val="-4"/>
        </w:rPr>
        <w:t> </w:t>
      </w:r>
      <w:r>
        <w:rPr/>
        <w:t>programs</w:t>
      </w:r>
      <w:r>
        <w:rPr>
          <w:spacing w:val="-4"/>
        </w:rPr>
        <w:t> </w:t>
      </w:r>
      <w:r>
        <w:rPr/>
        <w:t>for</w:t>
      </w:r>
      <w:r>
        <w:rPr>
          <w:spacing w:val="-5"/>
        </w:rPr>
        <w:t> </w:t>
      </w:r>
      <w:r>
        <w:rPr/>
        <w:t>children</w:t>
      </w:r>
      <w:r>
        <w:rPr>
          <w:spacing w:val="-4"/>
        </w:rPr>
        <w:t> </w:t>
      </w:r>
      <w:r>
        <w:rPr/>
        <w:t>that</w:t>
      </w:r>
      <w:r>
        <w:rPr>
          <w:spacing w:val="-4"/>
        </w:rPr>
        <w:t> </w:t>
      </w:r>
      <w:r>
        <w:rPr/>
        <w:t>supplant</w:t>
      </w:r>
      <w:r>
        <w:rPr>
          <w:spacing w:val="-2"/>
        </w:rPr>
        <w:t> </w:t>
      </w:r>
      <w:r>
        <w:rPr/>
        <w:t>Medicaid</w:t>
      </w:r>
      <w:r>
        <w:rPr>
          <w:spacing w:val="-4"/>
        </w:rPr>
        <w:t> </w:t>
      </w:r>
      <w:r>
        <w:rPr/>
        <w:t>state</w:t>
      </w:r>
      <w:r>
        <w:rPr>
          <w:spacing w:val="-5"/>
        </w:rPr>
        <w:t> </w:t>
      </w:r>
      <w:r>
        <w:rPr/>
        <w:t>plan</w:t>
      </w:r>
      <w:r>
        <w:rPr>
          <w:spacing w:val="-4"/>
        </w:rPr>
        <w:t> </w:t>
      </w:r>
      <w:r>
        <w:rPr/>
        <w:t>programs,</w:t>
      </w:r>
      <w:r>
        <w:rPr>
          <w:spacing w:val="-4"/>
        </w:rPr>
        <w:t> </w:t>
      </w:r>
      <w:r>
        <w:rPr/>
        <w:t>or that are funded under the Department of Education and/or state or the local education agency.</w:t>
      </w:r>
    </w:p>
    <w:p>
      <w:pPr>
        <w:pStyle w:val="BodyText"/>
        <w:spacing w:before="10"/>
        <w:rPr>
          <w:sz w:val="20"/>
        </w:rPr>
      </w:pPr>
    </w:p>
    <w:p>
      <w:pPr>
        <w:pStyle w:val="BodyText"/>
        <w:ind w:left="1411" w:right="1059"/>
      </w:pPr>
      <w:r>
        <w:rPr/>
        <w:drawing>
          <wp:anchor distT="0" distB="0" distL="0" distR="0" allowOverlap="1" layoutInCell="1" locked="0" behindDoc="0" simplePos="0" relativeHeight="16003072">
            <wp:simplePos x="0" y="0"/>
            <wp:positionH relativeFrom="page">
              <wp:posOffset>1426463</wp:posOffset>
            </wp:positionH>
            <wp:positionV relativeFrom="paragraph">
              <wp:posOffset>32551</wp:posOffset>
            </wp:positionV>
            <wp:extent cx="109727" cy="115823"/>
            <wp:effectExtent l="0" t="0" r="0" b="0"/>
            <wp:wrapNone/>
            <wp:docPr id="547" name="Image 547"/>
            <wp:cNvGraphicFramePr>
              <a:graphicFrameLocks/>
            </wp:cNvGraphicFramePr>
            <a:graphic>
              <a:graphicData uri="http://schemas.openxmlformats.org/drawingml/2006/picture">
                <pic:pic>
                  <pic:nvPicPr>
                    <pic:cNvPr id="547" name="Image 547"/>
                    <pic:cNvPicPr/>
                  </pic:nvPicPr>
                  <pic:blipFill>
                    <a:blip r:embed="rId229" cstate="print"/>
                    <a:stretch>
                      <a:fillRect/>
                    </a:stretch>
                  </pic:blipFill>
                  <pic:spPr>
                    <a:xfrm>
                      <a:off x="0" y="0"/>
                      <a:ext cx="109727" cy="115823"/>
                    </a:xfrm>
                    <a:prstGeom prst="rect">
                      <a:avLst/>
                    </a:prstGeom>
                  </pic:spPr>
                </pic:pic>
              </a:graphicData>
            </a:graphic>
          </wp:anchor>
        </w:drawing>
      </w:r>
      <w:bookmarkStart w:name="h. Any other projects or activities not " w:id="817"/>
      <w:bookmarkEnd w:id="817"/>
      <w:r>
        <w:rPr/>
      </w:r>
      <w:r>
        <w:rPr/>
        <w:t>Any</w:t>
      </w:r>
      <w:r>
        <w:rPr>
          <w:spacing w:val="-7"/>
        </w:rPr>
        <w:t> </w:t>
      </w:r>
      <w:r>
        <w:rPr/>
        <w:t>other</w:t>
      </w:r>
      <w:r>
        <w:rPr>
          <w:spacing w:val="-3"/>
        </w:rPr>
        <w:t> </w:t>
      </w:r>
      <w:r>
        <w:rPr/>
        <w:t>projects</w:t>
      </w:r>
      <w:r>
        <w:rPr>
          <w:spacing w:val="-2"/>
        </w:rPr>
        <w:t> </w:t>
      </w:r>
      <w:r>
        <w:rPr/>
        <w:t>or</w:t>
      </w:r>
      <w:r>
        <w:rPr>
          <w:spacing w:val="-3"/>
        </w:rPr>
        <w:t> </w:t>
      </w:r>
      <w:r>
        <w:rPr/>
        <w:t>activities</w:t>
      </w:r>
      <w:r>
        <w:rPr>
          <w:spacing w:val="-2"/>
        </w:rPr>
        <w:t> </w:t>
      </w:r>
      <w:r>
        <w:rPr/>
        <w:t>not</w:t>
      </w:r>
      <w:r>
        <w:rPr>
          <w:spacing w:val="-2"/>
        </w:rPr>
        <w:t> </w:t>
      </w:r>
      <w:r>
        <w:rPr/>
        <w:t>specifically</w:t>
      </w:r>
      <w:r>
        <w:rPr>
          <w:spacing w:val="-5"/>
        </w:rPr>
        <w:t> </w:t>
      </w:r>
      <w:r>
        <w:rPr/>
        <w:t>approved</w:t>
      </w:r>
      <w:r>
        <w:rPr>
          <w:spacing w:val="-2"/>
        </w:rPr>
        <w:t> </w:t>
      </w:r>
      <w:r>
        <w:rPr/>
        <w:t>by</w:t>
      </w:r>
      <w:r>
        <w:rPr>
          <w:spacing w:val="-7"/>
        </w:rPr>
        <w:t> </w:t>
      </w:r>
      <w:r>
        <w:rPr/>
        <w:t>CMS</w:t>
      </w:r>
      <w:r>
        <w:rPr>
          <w:spacing w:val="-2"/>
        </w:rPr>
        <w:t> </w:t>
      </w:r>
      <w:r>
        <w:rPr/>
        <w:t>as</w:t>
      </w:r>
      <w:r>
        <w:rPr>
          <w:spacing w:val="-2"/>
        </w:rPr>
        <w:t> </w:t>
      </w:r>
      <w:r>
        <w:rPr/>
        <w:t>qualifying</w:t>
      </w:r>
      <w:r>
        <w:rPr>
          <w:spacing w:val="-5"/>
        </w:rPr>
        <w:t> </w:t>
      </w:r>
      <w:r>
        <w:rPr/>
        <w:t>for coverage as a HRSN item or service under this demonstration.</w:t>
      </w:r>
    </w:p>
    <w:p>
      <w:pPr>
        <w:pStyle w:val="BodyText"/>
        <w:spacing w:before="10"/>
        <w:rPr>
          <w:sz w:val="20"/>
        </w:rPr>
      </w:pPr>
    </w:p>
    <w:p>
      <w:pPr>
        <w:pStyle w:val="BodyText"/>
        <w:ind w:left="871" w:right="1069"/>
      </w:pPr>
      <w:r>
        <w:rPr/>
        <w:drawing>
          <wp:anchor distT="0" distB="0" distL="0" distR="0" allowOverlap="1" layoutInCell="1" locked="0" behindDoc="0" simplePos="0" relativeHeight="16003584">
            <wp:simplePos x="0" y="0"/>
            <wp:positionH relativeFrom="page">
              <wp:posOffset>908303</wp:posOffset>
            </wp:positionH>
            <wp:positionV relativeFrom="paragraph">
              <wp:posOffset>35599</wp:posOffset>
            </wp:positionV>
            <wp:extent cx="283463" cy="112775"/>
            <wp:effectExtent l="0" t="0" r="0" b="0"/>
            <wp:wrapNone/>
            <wp:docPr id="548" name="Image 548"/>
            <wp:cNvGraphicFramePr>
              <a:graphicFrameLocks/>
            </wp:cNvGraphicFramePr>
            <a:graphic>
              <a:graphicData uri="http://schemas.openxmlformats.org/drawingml/2006/picture">
                <pic:pic>
                  <pic:nvPicPr>
                    <pic:cNvPr id="548" name="Image 548"/>
                    <pic:cNvPicPr/>
                  </pic:nvPicPr>
                  <pic:blipFill>
                    <a:blip r:embed="rId230" cstate="print"/>
                    <a:stretch>
                      <a:fillRect/>
                    </a:stretch>
                  </pic:blipFill>
                  <pic:spPr>
                    <a:xfrm>
                      <a:off x="0" y="0"/>
                      <a:ext cx="283463" cy="112775"/>
                    </a:xfrm>
                    <a:prstGeom prst="rect">
                      <a:avLst/>
                    </a:prstGeom>
                  </pic:spPr>
                </pic:pic>
              </a:graphicData>
            </a:graphic>
          </wp:anchor>
        </w:drawing>
      </w:r>
      <w:bookmarkStart w:name="15.5. Covered Populations.  Expenditures" w:id="818"/>
      <w:bookmarkEnd w:id="818"/>
      <w:r>
        <w:rPr/>
      </w:r>
      <w:r>
        <w:rPr>
          <w:b/>
        </w:rPr>
        <w:t>Covered Populations.</w:t>
      </w:r>
      <w:r>
        <w:rPr>
          <w:b/>
          <w:spacing w:val="40"/>
        </w:rPr>
        <w:t> </w:t>
      </w:r>
      <w:r>
        <w:rPr/>
        <w:t>Expenditures for HRSN services may be made for the targeted populations specified below.</w:t>
      </w:r>
      <w:r>
        <w:rPr>
          <w:spacing w:val="40"/>
        </w:rPr>
        <w:t> </w:t>
      </w:r>
      <w:r>
        <w:rPr/>
        <w:t>To receive HRSN services, individuals in the target populations must have a documented medical need for the services and the services must be determined medically appropriate, as described in the HRSN Services section in STC 15.5, for the documented need.</w:t>
      </w:r>
      <w:r>
        <w:rPr>
          <w:spacing w:val="40"/>
        </w:rPr>
        <w:t> </w:t>
      </w:r>
      <w:r>
        <w:rPr/>
        <w:t>Medical appropriateness must be based on clinical and health-related social risk factors.</w:t>
      </w:r>
      <w:r>
        <w:rPr>
          <w:spacing w:val="40"/>
        </w:rPr>
        <w:t> </w:t>
      </w:r>
      <w:r>
        <w:rPr/>
        <w:t>This determination must be documented in the beneficiary’s HRSN service plan or medical record.</w:t>
      </w:r>
      <w:r>
        <w:rPr>
          <w:spacing w:val="40"/>
        </w:rPr>
        <w:t> </w:t>
      </w:r>
      <w:r>
        <w:rPr/>
        <w:t>Additional detail on targeted populations,</w:t>
      </w:r>
      <w:r>
        <w:rPr>
          <w:spacing w:val="-4"/>
        </w:rPr>
        <w:t> </w:t>
      </w:r>
      <w:r>
        <w:rPr/>
        <w:t>including</w:t>
      </w:r>
      <w:r>
        <w:rPr>
          <w:spacing w:val="-6"/>
        </w:rPr>
        <w:t> </w:t>
      </w:r>
      <w:r>
        <w:rPr/>
        <w:t>the</w:t>
      </w:r>
      <w:r>
        <w:rPr>
          <w:spacing w:val="-5"/>
        </w:rPr>
        <w:t> </w:t>
      </w:r>
      <w:r>
        <w:rPr/>
        <w:t>clinical</w:t>
      </w:r>
      <w:r>
        <w:rPr>
          <w:spacing w:val="-4"/>
        </w:rPr>
        <w:t> </w:t>
      </w:r>
      <w:r>
        <w:rPr/>
        <w:t>and</w:t>
      </w:r>
      <w:r>
        <w:rPr>
          <w:spacing w:val="-4"/>
        </w:rPr>
        <w:t> </w:t>
      </w:r>
      <w:r>
        <w:rPr/>
        <w:t>other</w:t>
      </w:r>
      <w:r>
        <w:rPr>
          <w:spacing w:val="-5"/>
        </w:rPr>
        <w:t> </w:t>
      </w:r>
      <w:r>
        <w:rPr/>
        <w:t>health-related</w:t>
      </w:r>
      <w:r>
        <w:rPr>
          <w:spacing w:val="-4"/>
        </w:rPr>
        <w:t> </w:t>
      </w:r>
      <w:r>
        <w:rPr/>
        <w:t>social</w:t>
      </w:r>
      <w:r>
        <w:rPr>
          <w:spacing w:val="-4"/>
        </w:rPr>
        <w:t> </w:t>
      </w:r>
      <w:r>
        <w:rPr/>
        <w:t>needs</w:t>
      </w:r>
      <w:r>
        <w:rPr>
          <w:spacing w:val="-2"/>
        </w:rPr>
        <w:t> </w:t>
      </w:r>
      <w:r>
        <w:rPr/>
        <w:t>criteria,</w:t>
      </w:r>
      <w:r>
        <w:rPr>
          <w:spacing w:val="-4"/>
        </w:rPr>
        <w:t> </w:t>
      </w:r>
      <w:r>
        <w:rPr/>
        <w:t>is</w:t>
      </w:r>
      <w:r>
        <w:rPr>
          <w:spacing w:val="-4"/>
        </w:rPr>
        <w:t> </w:t>
      </w:r>
      <w:r>
        <w:rPr/>
        <w:t>outlined in Attachment P.</w:t>
      </w:r>
    </w:p>
    <w:p>
      <w:pPr>
        <w:pStyle w:val="BodyText"/>
        <w:spacing w:before="10"/>
        <w:rPr>
          <w:sz w:val="20"/>
        </w:rPr>
      </w:pPr>
    </w:p>
    <w:p>
      <w:pPr>
        <w:pStyle w:val="ListParagraph"/>
        <w:numPr>
          <w:ilvl w:val="0"/>
          <w:numId w:val="44"/>
        </w:numPr>
        <w:tabs>
          <w:tab w:pos="1679" w:val="left" w:leader="none"/>
        </w:tabs>
        <w:spacing w:line="240" w:lineRule="auto" w:before="0" w:after="0"/>
        <w:ind w:left="1679" w:right="1123" w:hanging="360"/>
        <w:jc w:val="left"/>
        <w:rPr>
          <w:sz w:val="24"/>
        </w:rPr>
      </w:pPr>
      <w:bookmarkStart w:name="a. Flexible Services Program.  The Flexi" w:id="819"/>
      <w:bookmarkEnd w:id="819"/>
      <w:r>
        <w:rPr/>
      </w:r>
      <w:r>
        <w:rPr>
          <w:b/>
          <w:sz w:val="24"/>
        </w:rPr>
        <w:t>Flexible Services Program.</w:t>
      </w:r>
      <w:r>
        <w:rPr>
          <w:b/>
          <w:spacing w:val="40"/>
          <w:sz w:val="24"/>
        </w:rPr>
        <w:t> </w:t>
      </w:r>
      <w:r>
        <w:rPr>
          <w:sz w:val="24"/>
        </w:rPr>
        <w:t>The Flexible Services Program targets MassHealth ACO-enrolled</w:t>
      </w:r>
      <w:r>
        <w:rPr>
          <w:spacing w:val="-3"/>
          <w:sz w:val="24"/>
        </w:rPr>
        <w:t> </w:t>
      </w:r>
      <w:r>
        <w:rPr>
          <w:sz w:val="24"/>
        </w:rPr>
        <w:t>members</w:t>
      </w:r>
      <w:r>
        <w:rPr>
          <w:spacing w:val="-1"/>
          <w:sz w:val="24"/>
        </w:rPr>
        <w:t> </w:t>
      </w:r>
      <w:r>
        <w:rPr>
          <w:sz w:val="24"/>
        </w:rPr>
        <w:t>ages</w:t>
      </w:r>
      <w:r>
        <w:rPr>
          <w:spacing w:val="-3"/>
          <w:sz w:val="24"/>
        </w:rPr>
        <w:t> </w:t>
      </w:r>
      <w:r>
        <w:rPr>
          <w:sz w:val="24"/>
        </w:rPr>
        <w:t>0</w:t>
      </w:r>
      <w:r>
        <w:rPr>
          <w:spacing w:val="-3"/>
          <w:sz w:val="24"/>
        </w:rPr>
        <w:t> </w:t>
      </w:r>
      <w:r>
        <w:rPr>
          <w:sz w:val="24"/>
        </w:rPr>
        <w:t>to</w:t>
      </w:r>
      <w:r>
        <w:rPr>
          <w:spacing w:val="-3"/>
          <w:sz w:val="24"/>
        </w:rPr>
        <w:t> </w:t>
      </w:r>
      <w:r>
        <w:rPr>
          <w:sz w:val="24"/>
        </w:rPr>
        <w:t>64,</w:t>
      </w:r>
      <w:r>
        <w:rPr>
          <w:spacing w:val="-3"/>
          <w:sz w:val="24"/>
        </w:rPr>
        <w:t> </w:t>
      </w:r>
      <w:r>
        <w:rPr>
          <w:sz w:val="24"/>
        </w:rPr>
        <w:t>including</w:t>
      </w:r>
      <w:r>
        <w:rPr>
          <w:spacing w:val="-6"/>
          <w:sz w:val="24"/>
        </w:rPr>
        <w:t> </w:t>
      </w:r>
      <w:r>
        <w:rPr>
          <w:sz w:val="24"/>
        </w:rPr>
        <w:t>individuals</w:t>
      </w:r>
      <w:r>
        <w:rPr>
          <w:spacing w:val="-3"/>
          <w:sz w:val="24"/>
        </w:rPr>
        <w:t> </w:t>
      </w:r>
      <w:r>
        <w:rPr>
          <w:sz w:val="24"/>
        </w:rPr>
        <w:t>up</w:t>
      </w:r>
      <w:r>
        <w:rPr>
          <w:spacing w:val="-3"/>
          <w:sz w:val="24"/>
        </w:rPr>
        <w:t> </w:t>
      </w:r>
      <w:r>
        <w:rPr>
          <w:sz w:val="24"/>
        </w:rPr>
        <w:t>to</w:t>
      </w:r>
      <w:r>
        <w:rPr>
          <w:spacing w:val="-3"/>
          <w:sz w:val="24"/>
        </w:rPr>
        <w:t> </w:t>
      </w:r>
      <w:r>
        <w:rPr>
          <w:sz w:val="24"/>
        </w:rPr>
        <w:t>12</w:t>
      </w:r>
      <w:r>
        <w:rPr>
          <w:spacing w:val="-3"/>
          <w:sz w:val="24"/>
        </w:rPr>
        <w:t> </w:t>
      </w:r>
      <w:r>
        <w:rPr>
          <w:sz w:val="24"/>
        </w:rPr>
        <w:t>months</w:t>
      </w:r>
      <w:r>
        <w:rPr>
          <w:spacing w:val="-4"/>
          <w:sz w:val="24"/>
        </w:rPr>
        <w:t> </w:t>
      </w:r>
      <w:r>
        <w:rPr>
          <w:sz w:val="24"/>
        </w:rPr>
        <w:t>post- partum and their child(ren), who meet at least one of the health needs-based criteria and at least one risk factor defined by the Commonwealth in Attachment</w:t>
      </w:r>
    </w:p>
    <w:p>
      <w:pPr>
        <w:pStyle w:val="BodyText"/>
        <w:spacing w:before="1"/>
        <w:ind w:left="1679" w:right="1059"/>
      </w:pPr>
      <w:r>
        <w:rPr/>
        <w:t>P.</w:t>
      </w:r>
      <w:r>
        <w:rPr>
          <w:spacing w:val="40"/>
        </w:rPr>
        <w:t> </w:t>
      </w:r>
      <w:r>
        <w:rPr/>
        <w:t>The Flexible Services program addresses the health-related social needs of eligible</w:t>
      </w:r>
      <w:r>
        <w:rPr>
          <w:spacing w:val="-4"/>
        </w:rPr>
        <w:t> </w:t>
      </w:r>
      <w:r>
        <w:rPr/>
        <w:t>individuals</w:t>
      </w:r>
      <w:r>
        <w:rPr>
          <w:spacing w:val="-3"/>
        </w:rPr>
        <w:t> </w:t>
      </w:r>
      <w:r>
        <w:rPr/>
        <w:t>in</w:t>
      </w:r>
      <w:r>
        <w:rPr>
          <w:spacing w:val="-3"/>
        </w:rPr>
        <w:t> </w:t>
      </w:r>
      <w:r>
        <w:rPr/>
        <w:t>the</w:t>
      </w:r>
      <w:r>
        <w:rPr>
          <w:spacing w:val="-4"/>
        </w:rPr>
        <w:t> </w:t>
      </w:r>
      <w:r>
        <w:rPr/>
        <w:t>areas</w:t>
      </w:r>
      <w:r>
        <w:rPr>
          <w:spacing w:val="-3"/>
        </w:rPr>
        <w:t> </w:t>
      </w:r>
      <w:r>
        <w:rPr/>
        <w:t>of</w:t>
      </w:r>
      <w:r>
        <w:rPr>
          <w:spacing w:val="-4"/>
        </w:rPr>
        <w:t> </w:t>
      </w:r>
      <w:r>
        <w:rPr/>
        <w:t>housing</w:t>
      </w:r>
      <w:r>
        <w:rPr>
          <w:spacing w:val="-3"/>
        </w:rPr>
        <w:t> </w:t>
      </w:r>
      <w:r>
        <w:rPr/>
        <w:t>and</w:t>
      </w:r>
      <w:r>
        <w:rPr>
          <w:spacing w:val="-3"/>
        </w:rPr>
        <w:t> </w:t>
      </w:r>
      <w:r>
        <w:rPr/>
        <w:t>nutrition</w:t>
      </w:r>
      <w:r>
        <w:rPr>
          <w:spacing w:val="-3"/>
        </w:rPr>
        <w:t> </w:t>
      </w:r>
      <w:r>
        <w:rPr/>
        <w:t>by</w:t>
      </w:r>
      <w:r>
        <w:rPr>
          <w:spacing w:val="-7"/>
        </w:rPr>
        <w:t> </w:t>
      </w:r>
      <w:r>
        <w:rPr/>
        <w:t>providing</w:t>
      </w:r>
      <w:r>
        <w:rPr>
          <w:spacing w:val="-5"/>
        </w:rPr>
        <w:t> </w:t>
      </w:r>
      <w:r>
        <w:rPr/>
        <w:t>access</w:t>
      </w:r>
      <w:r>
        <w:rPr>
          <w:spacing w:val="-3"/>
        </w:rPr>
        <w:t> </w:t>
      </w:r>
      <w:r>
        <w:rPr/>
        <w:t>to tenancy preservation and nutrition sustaining supports.</w:t>
      </w:r>
    </w:p>
    <w:p>
      <w:pPr>
        <w:pStyle w:val="BodyText"/>
        <w:spacing w:before="9"/>
        <w:rPr>
          <w:sz w:val="20"/>
        </w:rPr>
      </w:pPr>
    </w:p>
    <w:p>
      <w:pPr>
        <w:pStyle w:val="ListParagraph"/>
        <w:numPr>
          <w:ilvl w:val="0"/>
          <w:numId w:val="44"/>
        </w:numPr>
        <w:tabs>
          <w:tab w:pos="1679" w:val="left" w:leader="none"/>
        </w:tabs>
        <w:spacing w:line="240" w:lineRule="auto" w:before="1" w:after="0"/>
        <w:ind w:left="1679" w:right="1142" w:hanging="360"/>
        <w:jc w:val="left"/>
        <w:rPr>
          <w:sz w:val="24"/>
        </w:rPr>
      </w:pPr>
      <w:bookmarkStart w:name="b. Specialized Community Support Program" w:id="820"/>
      <w:bookmarkEnd w:id="820"/>
      <w:r>
        <w:rPr/>
      </w:r>
      <w:r>
        <w:rPr>
          <w:b/>
          <w:sz w:val="24"/>
        </w:rPr>
        <w:t>Specialized Community Support Programs (Specialized CSPs). </w:t>
      </w:r>
      <w:r>
        <w:rPr>
          <w:sz w:val="24"/>
        </w:rPr>
        <w:t>MassHealth members,</w:t>
      </w:r>
      <w:r>
        <w:rPr>
          <w:spacing w:val="-5"/>
          <w:sz w:val="24"/>
        </w:rPr>
        <w:t> </w:t>
      </w:r>
      <w:r>
        <w:rPr>
          <w:sz w:val="24"/>
        </w:rPr>
        <w:t>except</w:t>
      </w:r>
      <w:r>
        <w:rPr>
          <w:spacing w:val="-5"/>
          <w:sz w:val="24"/>
        </w:rPr>
        <w:t> </w:t>
      </w:r>
      <w:r>
        <w:rPr>
          <w:sz w:val="24"/>
        </w:rPr>
        <w:t>MassHealth</w:t>
      </w:r>
      <w:r>
        <w:rPr>
          <w:spacing w:val="-3"/>
          <w:sz w:val="24"/>
        </w:rPr>
        <w:t> </w:t>
      </w:r>
      <w:r>
        <w:rPr>
          <w:sz w:val="24"/>
        </w:rPr>
        <w:t>Limited</w:t>
      </w:r>
      <w:r>
        <w:rPr>
          <w:spacing w:val="-5"/>
          <w:sz w:val="24"/>
        </w:rPr>
        <w:t> </w:t>
      </w:r>
      <w:r>
        <w:rPr>
          <w:sz w:val="24"/>
        </w:rPr>
        <w:t>members,</w:t>
      </w:r>
      <w:r>
        <w:rPr>
          <w:spacing w:val="-3"/>
          <w:sz w:val="24"/>
        </w:rPr>
        <w:t> </w:t>
      </w:r>
      <w:r>
        <w:rPr>
          <w:sz w:val="24"/>
        </w:rPr>
        <w:t>who</w:t>
      </w:r>
      <w:r>
        <w:rPr>
          <w:spacing w:val="-5"/>
          <w:sz w:val="24"/>
        </w:rPr>
        <w:t> </w:t>
      </w:r>
      <w:r>
        <w:rPr>
          <w:sz w:val="24"/>
        </w:rPr>
        <w:t>meet</w:t>
      </w:r>
      <w:r>
        <w:rPr>
          <w:spacing w:val="-5"/>
          <w:sz w:val="24"/>
        </w:rPr>
        <w:t> </w:t>
      </w:r>
      <w:r>
        <w:rPr>
          <w:sz w:val="24"/>
        </w:rPr>
        <w:t>certain</w:t>
      </w:r>
      <w:r>
        <w:rPr>
          <w:spacing w:val="-5"/>
          <w:sz w:val="24"/>
        </w:rPr>
        <w:t> </w:t>
      </w:r>
      <w:r>
        <w:rPr>
          <w:sz w:val="24"/>
        </w:rPr>
        <w:t>criteria</w:t>
      </w:r>
      <w:r>
        <w:rPr>
          <w:spacing w:val="-4"/>
          <w:sz w:val="24"/>
        </w:rPr>
        <w:t> </w:t>
      </w:r>
      <w:r>
        <w:rPr>
          <w:sz w:val="24"/>
        </w:rPr>
        <w:t>related to behavioral health needs</w:t>
      </w:r>
      <w:r>
        <w:rPr>
          <w:spacing w:val="40"/>
          <w:sz w:val="24"/>
        </w:rPr>
        <w:t> </w:t>
      </w:r>
      <w:r>
        <w:rPr>
          <w:sz w:val="24"/>
        </w:rPr>
        <w:t>are eligible to receive specialized CSP services. Specialized CSP services are outreach and supportive services to enable beneficiaries to use clinical treatment services and other supports, as described below.</w:t>
      </w:r>
      <w:r>
        <w:rPr>
          <w:spacing w:val="40"/>
          <w:sz w:val="24"/>
        </w:rPr>
        <w:t> </w:t>
      </w:r>
      <w:r>
        <w:rPr>
          <w:sz w:val="24"/>
        </w:rPr>
        <w:t>The CSP provider does not provide clinical treatment services. Specialized CSPs may also provide support for transition between service settings, including connecting with the member just prior to discharge from an inpatient or 24-hour diversionary setting and supporting them through the transition to accessing outpatient and community-based services and supports. Services will vary</w:t>
      </w:r>
      <w:r>
        <w:rPr>
          <w:spacing w:val="-4"/>
          <w:sz w:val="24"/>
        </w:rPr>
        <w:t> </w:t>
      </w:r>
      <w:r>
        <w:rPr>
          <w:sz w:val="24"/>
        </w:rPr>
        <w:t>with respect to hours, type and intensity</w:t>
      </w:r>
      <w:r>
        <w:rPr>
          <w:spacing w:val="-7"/>
          <w:sz w:val="24"/>
        </w:rPr>
        <w:t> </w:t>
      </w:r>
      <w:r>
        <w:rPr>
          <w:sz w:val="24"/>
        </w:rPr>
        <w:t>of services depending on the changing needs of the beneficiary.</w:t>
      </w:r>
      <w:r>
        <w:rPr>
          <w:spacing w:val="40"/>
          <w:sz w:val="24"/>
        </w:rPr>
        <w:t> </w:t>
      </w:r>
      <w:r>
        <w:rPr>
          <w:sz w:val="24"/>
        </w:rPr>
        <w:t>The following Specialized CSPs will target populations in need of specialized supports.</w:t>
      </w:r>
    </w:p>
    <w:p>
      <w:pPr>
        <w:spacing w:after="0" w:line="240" w:lineRule="auto"/>
        <w:jc w:val="left"/>
        <w:rPr>
          <w:sz w:val="24"/>
        </w:rPr>
        <w:sectPr>
          <w:pgSz w:w="12240" w:h="15840"/>
          <w:pgMar w:header="0" w:footer="1201" w:top="1360" w:bottom="1400" w:left="1200" w:right="400"/>
        </w:sectPr>
      </w:pPr>
    </w:p>
    <w:p>
      <w:pPr>
        <w:pStyle w:val="BodyText"/>
        <w:spacing w:before="79"/>
        <w:ind w:left="2040" w:right="1059"/>
      </w:pPr>
      <w:r>
        <w:rPr/>
        <w:drawing>
          <wp:anchor distT="0" distB="0" distL="0" distR="0" allowOverlap="1" layoutInCell="1" locked="0" behindDoc="0" simplePos="0" relativeHeight="16004096">
            <wp:simplePos x="0" y="0"/>
            <wp:positionH relativeFrom="page">
              <wp:posOffset>1862327</wp:posOffset>
            </wp:positionH>
            <wp:positionV relativeFrom="paragraph">
              <wp:posOffset>82717</wp:posOffset>
            </wp:positionV>
            <wp:extent cx="73151" cy="115823"/>
            <wp:effectExtent l="0" t="0" r="0" b="0"/>
            <wp:wrapNone/>
            <wp:docPr id="549" name="Image 549"/>
            <wp:cNvGraphicFramePr>
              <a:graphicFrameLocks/>
            </wp:cNvGraphicFramePr>
            <a:graphic>
              <a:graphicData uri="http://schemas.openxmlformats.org/drawingml/2006/picture">
                <pic:pic>
                  <pic:nvPicPr>
                    <pic:cNvPr id="549" name="Image 549"/>
                    <pic:cNvPicPr/>
                  </pic:nvPicPr>
                  <pic:blipFill>
                    <a:blip r:embed="rId61" cstate="print"/>
                    <a:stretch>
                      <a:fillRect/>
                    </a:stretch>
                  </pic:blipFill>
                  <pic:spPr>
                    <a:xfrm>
                      <a:off x="0" y="0"/>
                      <a:ext cx="73151" cy="115823"/>
                    </a:xfrm>
                    <a:prstGeom prst="rect">
                      <a:avLst/>
                    </a:prstGeom>
                  </pic:spPr>
                </pic:pic>
              </a:graphicData>
            </a:graphic>
          </wp:anchor>
        </w:drawing>
      </w:r>
      <w:bookmarkStart w:name="i. CSP for Homeless Individuals (HI). CS" w:id="821"/>
      <w:bookmarkEnd w:id="821"/>
      <w:r>
        <w:rPr/>
      </w:r>
      <w:r>
        <w:rPr>
          <w:b/>
        </w:rPr>
        <w:t>CSP</w:t>
      </w:r>
      <w:r>
        <w:rPr>
          <w:b/>
          <w:spacing w:val="-1"/>
        </w:rPr>
        <w:t> </w:t>
      </w:r>
      <w:r>
        <w:rPr>
          <w:b/>
        </w:rPr>
        <w:t>for Homeless Individuals (HI). </w:t>
      </w:r>
      <w:r>
        <w:rPr/>
        <w:t>CSP for Homeless Individuals (HI) is a more</w:t>
      </w:r>
      <w:r>
        <w:rPr>
          <w:spacing w:val="-4"/>
        </w:rPr>
        <w:t> </w:t>
      </w:r>
      <w:r>
        <w:rPr/>
        <w:t>intensive</w:t>
      </w:r>
      <w:r>
        <w:rPr>
          <w:spacing w:val="-4"/>
        </w:rPr>
        <w:t> </w:t>
      </w:r>
      <w:r>
        <w:rPr/>
        <w:t>form</w:t>
      </w:r>
      <w:r>
        <w:rPr>
          <w:spacing w:val="-3"/>
        </w:rPr>
        <w:t> </w:t>
      </w:r>
      <w:r>
        <w:rPr/>
        <w:t>of</w:t>
      </w:r>
      <w:r>
        <w:rPr>
          <w:spacing w:val="-4"/>
        </w:rPr>
        <w:t> </w:t>
      </w:r>
      <w:r>
        <w:rPr/>
        <w:t>CSP</w:t>
      </w:r>
      <w:r>
        <w:rPr>
          <w:spacing w:val="-3"/>
        </w:rPr>
        <w:t> </w:t>
      </w:r>
      <w:r>
        <w:rPr/>
        <w:t>for</w:t>
      </w:r>
      <w:r>
        <w:rPr>
          <w:spacing w:val="-4"/>
        </w:rPr>
        <w:t> </w:t>
      </w:r>
      <w:r>
        <w:rPr/>
        <w:t>members</w:t>
      </w:r>
      <w:r>
        <w:rPr>
          <w:spacing w:val="-3"/>
        </w:rPr>
        <w:t> </w:t>
      </w:r>
      <w:r>
        <w:rPr/>
        <w:t>who</w:t>
      </w:r>
      <w:r>
        <w:rPr>
          <w:spacing w:val="-3"/>
        </w:rPr>
        <w:t> </w:t>
      </w:r>
      <w:r>
        <w:rPr/>
        <w:t>are</w:t>
      </w:r>
      <w:r>
        <w:rPr>
          <w:spacing w:val="-2"/>
        </w:rPr>
        <w:t> </w:t>
      </w:r>
      <w:r>
        <w:rPr/>
        <w:t>experiencing</w:t>
      </w:r>
      <w:r>
        <w:rPr>
          <w:spacing w:val="-6"/>
        </w:rPr>
        <w:t> </w:t>
      </w:r>
      <w:r>
        <w:rPr/>
        <w:t>homelessness. Specialized services include assistance from specialized professionals who assist members in searching for housing opportunities, transitioning into community</w:t>
      </w:r>
      <w:r>
        <w:rPr>
          <w:spacing w:val="-8"/>
        </w:rPr>
        <w:t> </w:t>
      </w:r>
      <w:r>
        <w:rPr/>
        <w:t>based</w:t>
      </w:r>
      <w:r>
        <w:rPr>
          <w:spacing w:val="-3"/>
        </w:rPr>
        <w:t> </w:t>
      </w:r>
      <w:r>
        <w:rPr/>
        <w:t>housing,</w:t>
      </w:r>
      <w:r>
        <w:rPr>
          <w:spacing w:val="-3"/>
        </w:rPr>
        <w:t> </w:t>
      </w:r>
      <w:r>
        <w:rPr/>
        <w:t>sustaining</w:t>
      </w:r>
      <w:r>
        <w:rPr>
          <w:spacing w:val="-6"/>
        </w:rPr>
        <w:t> </w:t>
      </w:r>
      <w:r>
        <w:rPr/>
        <w:t>tenancy,</w:t>
      </w:r>
      <w:r>
        <w:rPr>
          <w:spacing w:val="-3"/>
        </w:rPr>
        <w:t> </w:t>
      </w:r>
      <w:r>
        <w:rPr/>
        <w:t>and</w:t>
      </w:r>
      <w:r>
        <w:rPr>
          <w:spacing w:val="-3"/>
        </w:rPr>
        <w:t> </w:t>
      </w:r>
      <w:r>
        <w:rPr/>
        <w:t>meeting</w:t>
      </w:r>
      <w:r>
        <w:rPr>
          <w:spacing w:val="-6"/>
        </w:rPr>
        <w:t> </w:t>
      </w:r>
      <w:r>
        <w:rPr/>
        <w:t>their</w:t>
      </w:r>
      <w:r>
        <w:rPr>
          <w:spacing w:val="-4"/>
        </w:rPr>
        <w:t> </w:t>
      </w:r>
      <w:r>
        <w:rPr/>
        <w:t>health</w:t>
      </w:r>
      <w:r>
        <w:rPr>
          <w:spacing w:val="-3"/>
        </w:rPr>
        <w:t> </w:t>
      </w:r>
      <w:r>
        <w:rPr/>
        <w:t>needs.</w:t>
      </w:r>
    </w:p>
    <w:p>
      <w:pPr>
        <w:pStyle w:val="BodyText"/>
        <w:spacing w:before="161"/>
        <w:ind w:left="2040" w:right="1059"/>
      </w:pPr>
      <w:r>
        <w:rPr/>
        <w:drawing>
          <wp:anchor distT="0" distB="0" distL="0" distR="0" allowOverlap="1" layoutInCell="1" locked="0" behindDoc="0" simplePos="0" relativeHeight="16004608">
            <wp:simplePos x="0" y="0"/>
            <wp:positionH relativeFrom="page">
              <wp:posOffset>1819655</wp:posOffset>
            </wp:positionH>
            <wp:positionV relativeFrom="paragraph">
              <wp:posOffset>134786</wp:posOffset>
            </wp:positionV>
            <wp:extent cx="115823" cy="115823"/>
            <wp:effectExtent l="0" t="0" r="0" b="0"/>
            <wp:wrapNone/>
            <wp:docPr id="550" name="Image 550"/>
            <wp:cNvGraphicFramePr>
              <a:graphicFrameLocks/>
            </wp:cNvGraphicFramePr>
            <a:graphic>
              <a:graphicData uri="http://schemas.openxmlformats.org/drawingml/2006/picture">
                <pic:pic>
                  <pic:nvPicPr>
                    <pic:cNvPr id="550" name="Image 550"/>
                    <pic:cNvPicPr/>
                  </pic:nvPicPr>
                  <pic:blipFill>
                    <a:blip r:embed="rId62" cstate="print"/>
                    <a:stretch>
                      <a:fillRect/>
                    </a:stretch>
                  </pic:blipFill>
                  <pic:spPr>
                    <a:xfrm>
                      <a:off x="0" y="0"/>
                      <a:ext cx="115823" cy="115823"/>
                    </a:xfrm>
                    <a:prstGeom prst="rect">
                      <a:avLst/>
                    </a:prstGeom>
                  </pic:spPr>
                </pic:pic>
              </a:graphicData>
            </a:graphic>
          </wp:anchor>
        </w:drawing>
      </w:r>
      <w:bookmarkStart w:name="ii. CSP for Individuals with Justice Inv" w:id="822"/>
      <w:bookmarkEnd w:id="822"/>
      <w:r>
        <w:rPr/>
      </w:r>
      <w:r>
        <w:rPr>
          <w:b/>
        </w:rPr>
        <w:t>CSP for Individuals with Justice Involvement (JI).</w:t>
      </w:r>
      <w:r>
        <w:rPr>
          <w:b/>
          <w:spacing w:val="40"/>
        </w:rPr>
        <w:t> </w:t>
      </w:r>
      <w:r>
        <w:rPr/>
        <w:t>CSP for Individuals with</w:t>
      </w:r>
      <w:r>
        <w:rPr>
          <w:spacing w:val="-6"/>
        </w:rPr>
        <w:t> </w:t>
      </w:r>
      <w:r>
        <w:rPr/>
        <w:t>Justice</w:t>
      </w:r>
      <w:r>
        <w:rPr>
          <w:spacing w:val="-5"/>
        </w:rPr>
        <w:t> </w:t>
      </w:r>
      <w:r>
        <w:rPr/>
        <w:t>Involvement</w:t>
      </w:r>
      <w:r>
        <w:rPr>
          <w:spacing w:val="-6"/>
        </w:rPr>
        <w:t> </w:t>
      </w:r>
      <w:r>
        <w:rPr/>
        <w:t>targets</w:t>
      </w:r>
      <w:r>
        <w:rPr>
          <w:spacing w:val="-6"/>
        </w:rPr>
        <w:t> </w:t>
      </w:r>
      <w:r>
        <w:rPr/>
        <w:t>beneficiaries</w:t>
      </w:r>
      <w:r>
        <w:rPr>
          <w:spacing w:val="-4"/>
        </w:rPr>
        <w:t> </w:t>
      </w:r>
      <w:r>
        <w:rPr/>
        <w:t>with</w:t>
      </w:r>
      <w:r>
        <w:rPr>
          <w:spacing w:val="-6"/>
        </w:rPr>
        <w:t> </w:t>
      </w:r>
      <w:r>
        <w:rPr/>
        <w:t>justice</w:t>
      </w:r>
      <w:r>
        <w:rPr>
          <w:spacing w:val="-7"/>
        </w:rPr>
        <w:t> </w:t>
      </w:r>
      <w:r>
        <w:rPr/>
        <w:t>involvement</w:t>
      </w:r>
      <w:r>
        <w:rPr>
          <w:spacing w:val="-6"/>
        </w:rPr>
        <w:t> </w:t>
      </w:r>
      <w:r>
        <w:rPr/>
        <w:t>living in the community in need of specialized services to improve and maintain health while transitioning back to the community and to promote successful community tenure. Individuals with justice involvement living in the community are defined as covered individuals released from a correctional institution within one year, or who are under the supervision of the Massachusetts Probation Service or the Massachusetts Parole Board.</w:t>
      </w:r>
    </w:p>
    <w:p>
      <w:pPr>
        <w:pStyle w:val="BodyText"/>
        <w:spacing w:before="158"/>
        <w:ind w:left="2040" w:right="1106"/>
      </w:pPr>
      <w:r>
        <w:rPr/>
        <w:drawing>
          <wp:anchor distT="0" distB="0" distL="0" distR="0" allowOverlap="1" layoutInCell="1" locked="0" behindDoc="0" simplePos="0" relativeHeight="16005120">
            <wp:simplePos x="0" y="0"/>
            <wp:positionH relativeFrom="page">
              <wp:posOffset>1778507</wp:posOffset>
            </wp:positionH>
            <wp:positionV relativeFrom="paragraph">
              <wp:posOffset>132881</wp:posOffset>
            </wp:positionV>
            <wp:extent cx="158495" cy="115823"/>
            <wp:effectExtent l="0" t="0" r="0" b="0"/>
            <wp:wrapNone/>
            <wp:docPr id="551" name="Image 551"/>
            <wp:cNvGraphicFramePr>
              <a:graphicFrameLocks/>
            </wp:cNvGraphicFramePr>
            <a:graphic>
              <a:graphicData uri="http://schemas.openxmlformats.org/drawingml/2006/picture">
                <pic:pic>
                  <pic:nvPicPr>
                    <pic:cNvPr id="551" name="Image 551"/>
                    <pic:cNvPicPr/>
                  </pic:nvPicPr>
                  <pic:blipFill>
                    <a:blip r:embed="rId134" cstate="print"/>
                    <a:stretch>
                      <a:fillRect/>
                    </a:stretch>
                  </pic:blipFill>
                  <pic:spPr>
                    <a:xfrm>
                      <a:off x="0" y="0"/>
                      <a:ext cx="158495" cy="115823"/>
                    </a:xfrm>
                    <a:prstGeom prst="rect">
                      <a:avLst/>
                    </a:prstGeom>
                  </pic:spPr>
                </pic:pic>
              </a:graphicData>
            </a:graphic>
          </wp:anchor>
        </w:drawing>
      </w:r>
      <w:bookmarkStart w:name="iii. CSP Tenancy Preservation Program (T" w:id="823"/>
      <w:bookmarkEnd w:id="823"/>
      <w:r>
        <w:rPr/>
      </w:r>
      <w:r>
        <w:rPr>
          <w:b/>
        </w:rPr>
        <w:t>CSP</w:t>
      </w:r>
      <w:r>
        <w:rPr>
          <w:b/>
          <w:spacing w:val="-7"/>
        </w:rPr>
        <w:t> </w:t>
      </w:r>
      <w:r>
        <w:rPr>
          <w:b/>
        </w:rPr>
        <w:t>Tenancy</w:t>
      </w:r>
      <w:r>
        <w:rPr>
          <w:b/>
          <w:spacing w:val="-2"/>
        </w:rPr>
        <w:t> </w:t>
      </w:r>
      <w:r>
        <w:rPr>
          <w:b/>
        </w:rPr>
        <w:t>Preservation</w:t>
      </w:r>
      <w:r>
        <w:rPr>
          <w:b/>
          <w:spacing w:val="-4"/>
        </w:rPr>
        <w:t> </w:t>
      </w:r>
      <w:r>
        <w:rPr>
          <w:b/>
        </w:rPr>
        <w:t>Program</w:t>
      </w:r>
      <w:r>
        <w:rPr>
          <w:b/>
          <w:spacing w:val="-5"/>
        </w:rPr>
        <w:t> </w:t>
      </w:r>
      <w:r>
        <w:rPr>
          <w:b/>
        </w:rPr>
        <w:t>(TPP).</w:t>
      </w:r>
      <w:r>
        <w:rPr>
          <w:b/>
          <w:spacing w:val="-4"/>
        </w:rPr>
        <w:t> </w:t>
      </w:r>
      <w:r>
        <w:rPr/>
        <w:t>CSP-TPP</w:t>
      </w:r>
      <w:r>
        <w:rPr>
          <w:spacing w:val="-4"/>
        </w:rPr>
        <w:t> </w:t>
      </w:r>
      <w:r>
        <w:rPr/>
        <w:t>is</w:t>
      </w:r>
      <w:r>
        <w:rPr>
          <w:spacing w:val="-4"/>
        </w:rPr>
        <w:t> </w:t>
      </w:r>
      <w:r>
        <w:rPr/>
        <w:t>a</w:t>
      </w:r>
      <w:r>
        <w:rPr>
          <w:spacing w:val="-5"/>
        </w:rPr>
        <w:t> </w:t>
      </w:r>
      <w:r>
        <w:rPr/>
        <w:t>specialized</w:t>
      </w:r>
      <w:r>
        <w:rPr>
          <w:spacing w:val="-4"/>
        </w:rPr>
        <w:t> </w:t>
      </w:r>
      <w:r>
        <w:rPr/>
        <w:t>form of CSP that works directly with members with behavioral health needs who are facing eviction as a result of behavior related to their condition (rather than strictly non-payment of rent), in order to preserve tenancy.</w:t>
      </w:r>
    </w:p>
    <w:p>
      <w:pPr>
        <w:pStyle w:val="BodyText"/>
        <w:spacing w:before="10"/>
        <w:rPr>
          <w:sz w:val="20"/>
        </w:rPr>
      </w:pPr>
    </w:p>
    <w:p>
      <w:pPr>
        <w:pStyle w:val="BodyText"/>
        <w:ind w:left="871" w:right="1059"/>
      </w:pPr>
      <w:r>
        <w:rPr/>
        <w:drawing>
          <wp:anchor distT="0" distB="0" distL="0" distR="0" allowOverlap="1" layoutInCell="1" locked="0" behindDoc="0" simplePos="0" relativeHeight="16005632">
            <wp:simplePos x="0" y="0"/>
            <wp:positionH relativeFrom="page">
              <wp:posOffset>908303</wp:posOffset>
            </wp:positionH>
            <wp:positionV relativeFrom="paragraph">
              <wp:posOffset>35599</wp:posOffset>
            </wp:positionV>
            <wp:extent cx="283463" cy="112775"/>
            <wp:effectExtent l="0" t="0" r="0" b="0"/>
            <wp:wrapNone/>
            <wp:docPr id="552" name="Image 552"/>
            <wp:cNvGraphicFramePr>
              <a:graphicFrameLocks/>
            </wp:cNvGraphicFramePr>
            <a:graphic>
              <a:graphicData uri="http://schemas.openxmlformats.org/drawingml/2006/picture">
                <pic:pic>
                  <pic:nvPicPr>
                    <pic:cNvPr id="552" name="Image 552"/>
                    <pic:cNvPicPr/>
                  </pic:nvPicPr>
                  <pic:blipFill>
                    <a:blip r:embed="rId231" cstate="print"/>
                    <a:stretch>
                      <a:fillRect/>
                    </a:stretch>
                  </pic:blipFill>
                  <pic:spPr>
                    <a:xfrm>
                      <a:off x="0" y="0"/>
                      <a:ext cx="283463" cy="112775"/>
                    </a:xfrm>
                    <a:prstGeom prst="rect">
                      <a:avLst/>
                    </a:prstGeom>
                  </pic:spPr>
                </pic:pic>
              </a:graphicData>
            </a:graphic>
          </wp:anchor>
        </w:drawing>
      </w:r>
      <w:bookmarkStart w:name="15.6. Protocol for Assessment of Benefic" w:id="824"/>
      <w:bookmarkEnd w:id="824"/>
      <w:r>
        <w:rPr/>
      </w:r>
      <w:r>
        <w:rPr>
          <w:b/>
        </w:rPr>
        <w:t>Protocol for Assessment of Beneficiary Eligibility and Needs, Infrastructure Planning,</w:t>
      </w:r>
      <w:r>
        <w:rPr>
          <w:b/>
          <w:spacing w:val="-4"/>
        </w:rPr>
        <w:t> </w:t>
      </w:r>
      <w:r>
        <w:rPr>
          <w:b/>
        </w:rPr>
        <w:t>and</w:t>
      </w:r>
      <w:r>
        <w:rPr>
          <w:b/>
          <w:spacing w:val="-4"/>
        </w:rPr>
        <w:t> </w:t>
      </w:r>
      <w:r>
        <w:rPr>
          <w:b/>
        </w:rPr>
        <w:t>Provider</w:t>
      </w:r>
      <w:r>
        <w:rPr>
          <w:b/>
          <w:spacing w:val="-5"/>
        </w:rPr>
        <w:t> </w:t>
      </w:r>
      <w:r>
        <w:rPr>
          <w:b/>
        </w:rPr>
        <w:t>Qualifications.</w:t>
      </w:r>
      <w:r>
        <w:rPr>
          <w:b/>
          <w:spacing w:val="40"/>
        </w:rPr>
        <w:t> </w:t>
      </w:r>
      <w:r>
        <w:rPr/>
        <w:t>The</w:t>
      </w:r>
      <w:r>
        <w:rPr>
          <w:spacing w:val="-5"/>
        </w:rPr>
        <w:t> </w:t>
      </w:r>
      <w:r>
        <w:rPr/>
        <w:t>Commonwealth</w:t>
      </w:r>
      <w:r>
        <w:rPr>
          <w:spacing w:val="-4"/>
        </w:rPr>
        <w:t> </w:t>
      </w:r>
      <w:r>
        <w:rPr/>
        <w:t>must</w:t>
      </w:r>
      <w:r>
        <w:rPr>
          <w:spacing w:val="-4"/>
        </w:rPr>
        <w:t> </w:t>
      </w:r>
      <w:r>
        <w:rPr/>
        <w:t>complete</w:t>
      </w:r>
      <w:r>
        <w:rPr>
          <w:spacing w:val="-5"/>
        </w:rPr>
        <w:t> </w:t>
      </w:r>
      <w:r>
        <w:rPr/>
        <w:t>and</w:t>
      </w:r>
      <w:r>
        <w:rPr>
          <w:spacing w:val="-4"/>
        </w:rPr>
        <w:t> </w:t>
      </w:r>
      <w:r>
        <w:rPr/>
        <w:t>submit to CMS for approval a Protocol for Assessment of Beneficiary Eligibility and Needs, Infrastructure Planning, and Provider Qualifications for HRSN services, in accordance with STC 15.1.</w:t>
      </w:r>
      <w:r>
        <w:rPr>
          <w:spacing w:val="40"/>
        </w:rPr>
        <w:t> </w:t>
      </w:r>
      <w:r>
        <w:rPr/>
        <w:t>This Protocol must include a list of the services and service descriptions provided through all delivery systems applicable, the criteria for defining a medically appropriate population for each service, the process by</w:t>
      </w:r>
      <w:r>
        <w:rPr>
          <w:spacing w:val="-2"/>
        </w:rPr>
        <w:t> </w:t>
      </w:r>
      <w:r>
        <w:rPr/>
        <w:t>which that criteria will be applied including</w:t>
      </w:r>
      <w:r>
        <w:rPr>
          <w:spacing w:val="-5"/>
        </w:rPr>
        <w:t> </w:t>
      </w:r>
      <w:r>
        <w:rPr/>
        <w:t>care</w:t>
      </w:r>
      <w:r>
        <w:rPr>
          <w:spacing w:val="-3"/>
        </w:rPr>
        <w:t> </w:t>
      </w:r>
      <w:r>
        <w:rPr/>
        <w:t>plan requirements</w:t>
      </w:r>
      <w:r>
        <w:rPr>
          <w:spacing w:val="-2"/>
        </w:rPr>
        <w:t> </w:t>
      </w:r>
      <w:r>
        <w:rPr/>
        <w:t>or</w:t>
      </w:r>
      <w:r>
        <w:rPr>
          <w:spacing w:val="-3"/>
        </w:rPr>
        <w:t> </w:t>
      </w:r>
      <w:r>
        <w:rPr/>
        <w:t>other</w:t>
      </w:r>
      <w:r>
        <w:rPr>
          <w:spacing w:val="-3"/>
        </w:rPr>
        <w:t> </w:t>
      </w:r>
      <w:r>
        <w:rPr/>
        <w:t>documented</w:t>
      </w:r>
      <w:r>
        <w:rPr>
          <w:spacing w:val="-2"/>
        </w:rPr>
        <w:t> </w:t>
      </w:r>
      <w:r>
        <w:rPr/>
        <w:t>processes,</w:t>
      </w:r>
      <w:r>
        <w:rPr>
          <w:spacing w:val="-3"/>
        </w:rPr>
        <w:t> </w:t>
      </w:r>
      <w:r>
        <w:rPr/>
        <w:t>proposed uses</w:t>
      </w:r>
      <w:r>
        <w:rPr>
          <w:spacing w:val="-2"/>
        </w:rPr>
        <w:t> </w:t>
      </w:r>
      <w:r>
        <w:rPr/>
        <w:t>of</w:t>
      </w:r>
      <w:r>
        <w:rPr>
          <w:spacing w:val="-3"/>
        </w:rPr>
        <w:t> </w:t>
      </w:r>
      <w:r>
        <w:rPr/>
        <w:t>HRSN infrastructure funds, and provider qualification criteria for each service.</w:t>
      </w:r>
      <w:r>
        <w:rPr>
          <w:spacing w:val="40"/>
        </w:rPr>
        <w:t> </w:t>
      </w:r>
      <w:r>
        <w:rPr/>
        <w:t>The Commonwealth must submit this Protocol for Assessment of Beneficiary Eligibility and Needs, Infrastructure Planning, and Provider Qualifications to CMS no later than 90 calendar days of the approval of the 1115 demonstration extension.</w:t>
      </w:r>
      <w:r>
        <w:rPr>
          <w:spacing w:val="40"/>
        </w:rPr>
        <w:t> </w:t>
      </w:r>
      <w:r>
        <w:rPr/>
        <w:t>The Commonwealth must resubmit an updated Protocol, as required by CMS feedback on the initial submission.</w:t>
      </w:r>
      <w:r>
        <w:rPr>
          <w:spacing w:val="40"/>
        </w:rPr>
        <w:t> </w:t>
      </w:r>
      <w:r>
        <w:rPr/>
        <w:t>The Commonwealth may not claim FFP for HRSN service provision or HRSN infrastructure expenditures until CMS approves the Protocol, except as otherwise provided herein.</w:t>
      </w:r>
      <w:r>
        <w:rPr>
          <w:spacing w:val="40"/>
        </w:rPr>
        <w:t> </w:t>
      </w:r>
      <w:r>
        <w:rPr/>
        <w:t>Once approved, the Commonwealth can claim FFP for HRSN services and HRSN infrastructure retrospectively to the beginning of the extension approval date. Once approved, the Protocol will be appended to the STCs as Attachment P.</w:t>
      </w:r>
    </w:p>
    <w:p>
      <w:pPr>
        <w:pStyle w:val="BodyText"/>
        <w:spacing w:before="11"/>
        <w:rPr>
          <w:sz w:val="20"/>
        </w:rPr>
      </w:pPr>
    </w:p>
    <w:p>
      <w:pPr>
        <w:pStyle w:val="BodyText"/>
        <w:spacing w:line="448" w:lineRule="auto"/>
        <w:ind w:left="1411" w:right="2435" w:hanging="540"/>
      </w:pPr>
      <w:r>
        <w:rPr/>
        <w:drawing>
          <wp:anchor distT="0" distB="0" distL="0" distR="0" allowOverlap="1" layoutInCell="1" locked="0" behindDoc="0" simplePos="0" relativeHeight="16006144">
            <wp:simplePos x="0" y="0"/>
            <wp:positionH relativeFrom="page">
              <wp:posOffset>908303</wp:posOffset>
            </wp:positionH>
            <wp:positionV relativeFrom="paragraph">
              <wp:posOffset>35599</wp:posOffset>
            </wp:positionV>
            <wp:extent cx="283463" cy="112775"/>
            <wp:effectExtent l="0" t="0" r="0" b="0"/>
            <wp:wrapNone/>
            <wp:docPr id="553" name="Image 553"/>
            <wp:cNvGraphicFramePr>
              <a:graphicFrameLocks/>
            </wp:cNvGraphicFramePr>
            <a:graphic>
              <a:graphicData uri="http://schemas.openxmlformats.org/drawingml/2006/picture">
                <pic:pic>
                  <pic:nvPicPr>
                    <pic:cNvPr id="553" name="Image 553"/>
                    <pic:cNvPicPr/>
                  </pic:nvPicPr>
                  <pic:blipFill>
                    <a:blip r:embed="rId232" cstate="print"/>
                    <a:stretch>
                      <a:fillRect/>
                    </a:stretch>
                  </pic:blipFill>
                  <pic:spPr>
                    <a:xfrm>
                      <a:off x="0" y="0"/>
                      <a:ext cx="283463" cy="112775"/>
                    </a:xfrm>
                    <a:prstGeom prst="rect">
                      <a:avLst/>
                    </a:prstGeom>
                  </pic:spPr>
                </pic:pic>
              </a:graphicData>
            </a:graphic>
          </wp:anchor>
        </w:drawing>
      </w:r>
      <w:r>
        <w:rPr/>
        <w:drawing>
          <wp:anchor distT="0" distB="0" distL="0" distR="0" allowOverlap="1" layoutInCell="1" locked="0" behindDoc="0" simplePos="0" relativeHeight="16006656">
            <wp:simplePos x="0" y="0"/>
            <wp:positionH relativeFrom="page">
              <wp:posOffset>1431036</wp:posOffset>
            </wp:positionH>
            <wp:positionV relativeFrom="paragraph">
              <wp:posOffset>395263</wp:posOffset>
            </wp:positionV>
            <wp:extent cx="96011" cy="80771"/>
            <wp:effectExtent l="0" t="0" r="0" b="0"/>
            <wp:wrapNone/>
            <wp:docPr id="554" name="Image 554"/>
            <wp:cNvGraphicFramePr>
              <a:graphicFrameLocks/>
            </wp:cNvGraphicFramePr>
            <a:graphic>
              <a:graphicData uri="http://schemas.openxmlformats.org/drawingml/2006/picture">
                <pic:pic>
                  <pic:nvPicPr>
                    <pic:cNvPr id="554" name="Image 554"/>
                    <pic:cNvPicPr/>
                  </pic:nvPicPr>
                  <pic:blipFill>
                    <a:blip r:embed="rId40" cstate="print"/>
                    <a:stretch>
                      <a:fillRect/>
                    </a:stretch>
                  </pic:blipFill>
                  <pic:spPr>
                    <a:xfrm>
                      <a:off x="0" y="0"/>
                      <a:ext cx="96011" cy="80771"/>
                    </a:xfrm>
                    <a:prstGeom prst="rect">
                      <a:avLst/>
                    </a:prstGeom>
                  </pic:spPr>
                </pic:pic>
              </a:graphicData>
            </a:graphic>
          </wp:anchor>
        </w:drawing>
      </w:r>
      <w:bookmarkStart w:name="15.7. Service Delivery. Consistent with " w:id="825"/>
      <w:bookmarkEnd w:id="825"/>
      <w:r>
        <w:rPr/>
      </w:r>
      <w:r>
        <w:rPr>
          <w:b/>
        </w:rPr>
        <w:t>Service</w:t>
      </w:r>
      <w:r>
        <w:rPr>
          <w:b/>
          <w:spacing w:val="-6"/>
        </w:rPr>
        <w:t> </w:t>
      </w:r>
      <w:r>
        <w:rPr>
          <w:b/>
        </w:rPr>
        <w:t>Delivery.</w:t>
      </w:r>
      <w:r>
        <w:rPr>
          <w:b/>
          <w:spacing w:val="-5"/>
        </w:rPr>
        <w:t> </w:t>
      </w:r>
      <w:r>
        <w:rPr/>
        <w:t>Consistent</w:t>
      </w:r>
      <w:r>
        <w:rPr>
          <w:spacing w:val="-5"/>
        </w:rPr>
        <w:t> </w:t>
      </w:r>
      <w:r>
        <w:rPr/>
        <w:t>with</w:t>
      </w:r>
      <w:r>
        <w:rPr>
          <w:spacing w:val="-5"/>
        </w:rPr>
        <w:t> </w:t>
      </w:r>
      <w:r>
        <w:rPr/>
        <w:t>the</w:t>
      </w:r>
      <w:r>
        <w:rPr>
          <w:spacing w:val="-6"/>
        </w:rPr>
        <w:t> </w:t>
      </w:r>
      <w:r>
        <w:rPr/>
        <w:t>managed</w:t>
      </w:r>
      <w:r>
        <w:rPr>
          <w:spacing w:val="-5"/>
        </w:rPr>
        <w:t> </w:t>
      </w:r>
      <w:r>
        <w:rPr/>
        <w:t>care</w:t>
      </w:r>
      <w:r>
        <w:rPr>
          <w:spacing w:val="-6"/>
        </w:rPr>
        <w:t> </w:t>
      </w:r>
      <w:r>
        <w:rPr/>
        <w:t>contract</w:t>
      </w:r>
      <w:r>
        <w:rPr>
          <w:spacing w:val="-5"/>
        </w:rPr>
        <w:t> </w:t>
      </w:r>
      <w:r>
        <w:rPr/>
        <w:t>and</w:t>
      </w:r>
      <w:r>
        <w:rPr>
          <w:spacing w:val="-3"/>
        </w:rPr>
        <w:t> </w:t>
      </w:r>
      <w:r>
        <w:rPr/>
        <w:t>guidance: </w:t>
      </w:r>
      <w:bookmarkStart w:name="a. Terms applicable to all HRSN Services" w:id="826"/>
      <w:bookmarkEnd w:id="826"/>
      <w:r>
        <w:rPr/>
        <w:t>Ter</w:t>
      </w:r>
      <w:r>
        <w:rPr/>
        <w:t>ms applicable to all HRSN Services.</w:t>
      </w:r>
    </w:p>
    <w:p>
      <w:pPr>
        <w:pStyle w:val="BodyText"/>
        <w:ind w:left="2040" w:right="1059"/>
      </w:pPr>
      <w:r>
        <w:rPr/>
        <w:drawing>
          <wp:anchor distT="0" distB="0" distL="0" distR="0" allowOverlap="1" layoutInCell="1" locked="0" behindDoc="0" simplePos="0" relativeHeight="16007168">
            <wp:simplePos x="0" y="0"/>
            <wp:positionH relativeFrom="page">
              <wp:posOffset>1862327</wp:posOffset>
            </wp:positionH>
            <wp:positionV relativeFrom="paragraph">
              <wp:posOffset>32551</wp:posOffset>
            </wp:positionV>
            <wp:extent cx="73151" cy="115823"/>
            <wp:effectExtent l="0" t="0" r="0" b="0"/>
            <wp:wrapNone/>
            <wp:docPr id="555" name="Image 555"/>
            <wp:cNvGraphicFramePr>
              <a:graphicFrameLocks/>
            </wp:cNvGraphicFramePr>
            <a:graphic>
              <a:graphicData uri="http://schemas.openxmlformats.org/drawingml/2006/picture">
                <pic:pic>
                  <pic:nvPicPr>
                    <pic:cNvPr id="555" name="Image 555"/>
                    <pic:cNvPicPr/>
                  </pic:nvPicPr>
                  <pic:blipFill>
                    <a:blip r:embed="rId126" cstate="print"/>
                    <a:stretch>
                      <a:fillRect/>
                    </a:stretch>
                  </pic:blipFill>
                  <pic:spPr>
                    <a:xfrm>
                      <a:off x="0" y="0"/>
                      <a:ext cx="73151" cy="115823"/>
                    </a:xfrm>
                    <a:prstGeom prst="rect">
                      <a:avLst/>
                    </a:prstGeom>
                  </pic:spPr>
                </pic:pic>
              </a:graphicData>
            </a:graphic>
          </wp:anchor>
        </w:drawing>
      </w:r>
      <w:bookmarkStart w:name="i. Any applicable HRSN 1115 services tha" w:id="827"/>
      <w:bookmarkEnd w:id="827"/>
      <w:r>
        <w:rPr/>
      </w:r>
      <w:r>
        <w:rPr/>
        <w:t>Any</w:t>
      </w:r>
      <w:r>
        <w:rPr>
          <w:spacing w:val="-6"/>
        </w:rPr>
        <w:t> </w:t>
      </w:r>
      <w:r>
        <w:rPr/>
        <w:t>applicable</w:t>
      </w:r>
      <w:r>
        <w:rPr>
          <w:spacing w:val="-4"/>
        </w:rPr>
        <w:t> </w:t>
      </w:r>
      <w:r>
        <w:rPr/>
        <w:t>HRSN</w:t>
      </w:r>
      <w:r>
        <w:rPr>
          <w:spacing w:val="-4"/>
        </w:rPr>
        <w:t> </w:t>
      </w:r>
      <w:r>
        <w:rPr/>
        <w:t>1115</w:t>
      </w:r>
      <w:r>
        <w:rPr>
          <w:spacing w:val="-4"/>
        </w:rPr>
        <w:t> </w:t>
      </w:r>
      <w:r>
        <w:rPr/>
        <w:t>services</w:t>
      </w:r>
      <w:r>
        <w:rPr>
          <w:spacing w:val="-3"/>
        </w:rPr>
        <w:t> </w:t>
      </w:r>
      <w:r>
        <w:rPr/>
        <w:t>that</w:t>
      </w:r>
      <w:r>
        <w:rPr>
          <w:spacing w:val="-3"/>
        </w:rPr>
        <w:t> </w:t>
      </w:r>
      <w:r>
        <w:rPr/>
        <w:t>are</w:t>
      </w:r>
      <w:r>
        <w:rPr>
          <w:spacing w:val="-4"/>
        </w:rPr>
        <w:t> </w:t>
      </w:r>
      <w:r>
        <w:rPr/>
        <w:t>delivered</w:t>
      </w:r>
      <w:r>
        <w:rPr>
          <w:spacing w:val="-3"/>
        </w:rPr>
        <w:t> </w:t>
      </w:r>
      <w:r>
        <w:rPr/>
        <w:t>by</w:t>
      </w:r>
      <w:r>
        <w:rPr>
          <w:spacing w:val="-8"/>
        </w:rPr>
        <w:t> </w:t>
      </w:r>
      <w:r>
        <w:rPr/>
        <w:t>managed</w:t>
      </w:r>
      <w:r>
        <w:rPr>
          <w:spacing w:val="-3"/>
        </w:rPr>
        <w:t> </w:t>
      </w:r>
      <w:r>
        <w:rPr/>
        <w:t>care</w:t>
      </w:r>
      <w:r>
        <w:rPr>
          <w:spacing w:val="-4"/>
        </w:rPr>
        <w:t> </w:t>
      </w:r>
      <w:r>
        <w:rPr/>
        <w:t>plans must be included in the managed care contracts submitted to CMS for review and approval in accordance with 42 CFR 438.3(a) and (r).</w:t>
      </w:r>
    </w:p>
    <w:p>
      <w:pPr>
        <w:spacing w:after="0"/>
        <w:sectPr>
          <w:pgSz w:w="12240" w:h="15840"/>
          <w:pgMar w:header="0" w:footer="1201" w:top="1360" w:bottom="1400" w:left="1200" w:right="400"/>
        </w:sectPr>
      </w:pPr>
    </w:p>
    <w:p>
      <w:pPr>
        <w:pStyle w:val="BodyText"/>
        <w:spacing w:before="79"/>
        <w:ind w:left="2040" w:right="1059"/>
      </w:pPr>
      <w:r>
        <w:rPr/>
        <w:drawing>
          <wp:anchor distT="0" distB="0" distL="0" distR="0" allowOverlap="1" layoutInCell="1" locked="0" behindDoc="0" simplePos="0" relativeHeight="16007680">
            <wp:simplePos x="0" y="0"/>
            <wp:positionH relativeFrom="page">
              <wp:posOffset>1819655</wp:posOffset>
            </wp:positionH>
            <wp:positionV relativeFrom="paragraph">
              <wp:posOffset>82717</wp:posOffset>
            </wp:positionV>
            <wp:extent cx="115823" cy="115823"/>
            <wp:effectExtent l="0" t="0" r="0" b="0"/>
            <wp:wrapNone/>
            <wp:docPr id="556" name="Image 556"/>
            <wp:cNvGraphicFramePr>
              <a:graphicFrameLocks/>
            </wp:cNvGraphicFramePr>
            <a:graphic>
              <a:graphicData uri="http://schemas.openxmlformats.org/drawingml/2006/picture">
                <pic:pic>
                  <pic:nvPicPr>
                    <pic:cNvPr id="556" name="Image 556"/>
                    <pic:cNvPicPr/>
                  </pic:nvPicPr>
                  <pic:blipFill>
                    <a:blip r:embed="rId62" cstate="print"/>
                    <a:stretch>
                      <a:fillRect/>
                    </a:stretch>
                  </pic:blipFill>
                  <pic:spPr>
                    <a:xfrm>
                      <a:off x="0" y="0"/>
                      <a:ext cx="115823" cy="115823"/>
                    </a:xfrm>
                    <a:prstGeom prst="rect">
                      <a:avLst/>
                    </a:prstGeom>
                  </pic:spPr>
                </pic:pic>
              </a:graphicData>
            </a:graphic>
          </wp:anchor>
        </w:drawing>
      </w:r>
      <w:bookmarkStart w:name="ii. HRSN 1115 services may be paid on a " w:id="828"/>
      <w:bookmarkEnd w:id="828"/>
      <w:r>
        <w:rPr/>
      </w:r>
      <w:r>
        <w:rPr/>
        <w:t>HRSN</w:t>
      </w:r>
      <w:r>
        <w:rPr>
          <w:spacing w:val="-4"/>
        </w:rPr>
        <w:t> </w:t>
      </w:r>
      <w:r>
        <w:rPr/>
        <w:t>1115</w:t>
      </w:r>
      <w:r>
        <w:rPr>
          <w:spacing w:val="-3"/>
        </w:rPr>
        <w:t> </w:t>
      </w:r>
      <w:r>
        <w:rPr/>
        <w:t>services</w:t>
      </w:r>
      <w:r>
        <w:rPr>
          <w:spacing w:val="-3"/>
        </w:rPr>
        <w:t> </w:t>
      </w:r>
      <w:r>
        <w:rPr/>
        <w:t>may</w:t>
      </w:r>
      <w:r>
        <w:rPr>
          <w:spacing w:val="-6"/>
        </w:rPr>
        <w:t> </w:t>
      </w:r>
      <w:r>
        <w:rPr/>
        <w:t>be</w:t>
      </w:r>
      <w:r>
        <w:rPr>
          <w:spacing w:val="-4"/>
        </w:rPr>
        <w:t> </w:t>
      </w:r>
      <w:r>
        <w:rPr/>
        <w:t>paid</w:t>
      </w:r>
      <w:r>
        <w:rPr>
          <w:spacing w:val="-3"/>
        </w:rPr>
        <w:t> </w:t>
      </w:r>
      <w:r>
        <w:rPr/>
        <w:t>on</w:t>
      </w:r>
      <w:r>
        <w:rPr>
          <w:spacing w:val="-3"/>
        </w:rPr>
        <w:t> </w:t>
      </w:r>
      <w:r>
        <w:rPr/>
        <w:t>a</w:t>
      </w:r>
      <w:r>
        <w:rPr>
          <w:spacing w:val="-4"/>
        </w:rPr>
        <w:t> </w:t>
      </w:r>
      <w:r>
        <w:rPr/>
        <w:t>fee-for-service</w:t>
      </w:r>
      <w:r>
        <w:rPr>
          <w:spacing w:val="-4"/>
        </w:rPr>
        <w:t> </w:t>
      </w:r>
      <w:r>
        <w:rPr/>
        <w:t>basis</w:t>
      </w:r>
      <w:r>
        <w:rPr>
          <w:spacing w:val="-3"/>
        </w:rPr>
        <w:t> </w:t>
      </w:r>
      <w:r>
        <w:rPr/>
        <w:t>when</w:t>
      </w:r>
      <w:r>
        <w:rPr>
          <w:spacing w:val="-3"/>
        </w:rPr>
        <w:t> </w:t>
      </w:r>
      <w:r>
        <w:rPr/>
        <w:t>provided</w:t>
      </w:r>
      <w:r>
        <w:rPr>
          <w:spacing w:val="-1"/>
        </w:rPr>
        <w:t> </w:t>
      </w:r>
      <w:r>
        <w:rPr/>
        <w:t>by the</w:t>
      </w:r>
      <w:r>
        <w:rPr>
          <w:spacing w:val="-1"/>
        </w:rPr>
        <w:t> </w:t>
      </w:r>
      <w:r>
        <w:rPr/>
        <w:t>Commonwealth.</w:t>
      </w:r>
      <w:r>
        <w:rPr>
          <w:spacing w:val="40"/>
        </w:rPr>
        <w:t> </w:t>
      </w:r>
      <w:r>
        <w:rPr/>
        <w:t>HRSN</w:t>
      </w:r>
      <w:r>
        <w:rPr>
          <w:spacing w:val="-1"/>
        </w:rPr>
        <w:t> </w:t>
      </w:r>
      <w:r>
        <w:rPr/>
        <w:t>1115 services, when provided by</w:t>
      </w:r>
      <w:r>
        <w:rPr>
          <w:spacing w:val="-5"/>
        </w:rPr>
        <w:t> </w:t>
      </w:r>
      <w:r>
        <w:rPr/>
        <w:t>a</w:t>
      </w:r>
      <w:r>
        <w:rPr>
          <w:spacing w:val="-1"/>
        </w:rPr>
        <w:t> </w:t>
      </w:r>
      <w:r>
        <w:rPr/>
        <w:t>managed care plan, must be paid as outlined below.</w:t>
      </w:r>
      <w:r>
        <w:rPr>
          <w:spacing w:val="40"/>
        </w:rPr>
        <w:t> </w:t>
      </w:r>
      <w:r>
        <w:rPr/>
        <w:t>The Commonwealth must also comply with STC 15 for all HRSN services.</w:t>
      </w:r>
    </w:p>
    <w:p>
      <w:pPr>
        <w:pStyle w:val="BodyText"/>
        <w:spacing w:before="161"/>
        <w:ind w:left="2040" w:right="1059"/>
      </w:pPr>
      <w:r>
        <w:rPr/>
        <w:drawing>
          <wp:anchor distT="0" distB="0" distL="0" distR="0" allowOverlap="1" layoutInCell="1" locked="0" behindDoc="0" simplePos="0" relativeHeight="16008192">
            <wp:simplePos x="0" y="0"/>
            <wp:positionH relativeFrom="page">
              <wp:posOffset>1778507</wp:posOffset>
            </wp:positionH>
            <wp:positionV relativeFrom="paragraph">
              <wp:posOffset>134786</wp:posOffset>
            </wp:positionV>
            <wp:extent cx="158495" cy="115823"/>
            <wp:effectExtent l="0" t="0" r="0" b="0"/>
            <wp:wrapNone/>
            <wp:docPr id="557" name="Image 557"/>
            <wp:cNvGraphicFramePr>
              <a:graphicFrameLocks/>
            </wp:cNvGraphicFramePr>
            <a:graphic>
              <a:graphicData uri="http://schemas.openxmlformats.org/drawingml/2006/picture">
                <pic:pic>
                  <pic:nvPicPr>
                    <pic:cNvPr id="557" name="Image 557"/>
                    <pic:cNvPicPr/>
                  </pic:nvPicPr>
                  <pic:blipFill>
                    <a:blip r:embed="rId65" cstate="print"/>
                    <a:stretch>
                      <a:fillRect/>
                    </a:stretch>
                  </pic:blipFill>
                  <pic:spPr>
                    <a:xfrm>
                      <a:off x="0" y="0"/>
                      <a:ext cx="158495" cy="115823"/>
                    </a:xfrm>
                    <a:prstGeom prst="rect">
                      <a:avLst/>
                    </a:prstGeom>
                  </pic:spPr>
                </pic:pic>
              </a:graphicData>
            </a:graphic>
          </wp:anchor>
        </w:drawing>
      </w:r>
      <w:bookmarkStart w:name="iii. When HRSN (i.e., HRSN services defi" w:id="829"/>
      <w:bookmarkEnd w:id="829"/>
      <w:r>
        <w:rPr/>
      </w:r>
      <w:r>
        <w:rPr/>
        <w:t>When HRSN (i.e., HRSN services defined in STC 15.3 for the covered popultions outlined in STC 15.5) is included in risk-based capitation rates, HRSN</w:t>
      </w:r>
      <w:r>
        <w:rPr>
          <w:spacing w:val="-2"/>
        </w:rPr>
        <w:t> </w:t>
      </w:r>
      <w:r>
        <w:rPr/>
        <w:t>services</w:t>
      </w:r>
      <w:r>
        <w:rPr>
          <w:spacing w:val="-1"/>
        </w:rPr>
        <w:t> </w:t>
      </w:r>
      <w:r>
        <w:rPr/>
        <w:t>should</w:t>
      </w:r>
      <w:r>
        <w:rPr>
          <w:spacing w:val="-1"/>
        </w:rPr>
        <w:t> </w:t>
      </w:r>
      <w:r>
        <w:rPr/>
        <w:t>be</w:t>
      </w:r>
      <w:r>
        <w:rPr>
          <w:spacing w:val="-2"/>
        </w:rPr>
        <w:t> </w:t>
      </w:r>
      <w:r>
        <w:rPr/>
        <w:t>reported</w:t>
      </w:r>
      <w:r>
        <w:rPr>
          <w:spacing w:val="-1"/>
        </w:rPr>
        <w:t> </w:t>
      </w:r>
      <w:r>
        <w:rPr/>
        <w:t>in</w:t>
      </w:r>
      <w:r>
        <w:rPr>
          <w:spacing w:val="-1"/>
        </w:rPr>
        <w:t> </w:t>
      </w:r>
      <w:r>
        <w:rPr/>
        <w:t>the</w:t>
      </w:r>
      <w:r>
        <w:rPr>
          <w:spacing w:val="-2"/>
        </w:rPr>
        <w:t> </w:t>
      </w:r>
      <w:r>
        <w:rPr/>
        <w:t>MLR reporting</w:t>
      </w:r>
      <w:r>
        <w:rPr>
          <w:spacing w:val="-4"/>
        </w:rPr>
        <w:t> </w:t>
      </w:r>
      <w:r>
        <w:rPr/>
        <w:t>as</w:t>
      </w:r>
      <w:r>
        <w:rPr>
          <w:spacing w:val="-2"/>
        </w:rPr>
        <w:t> </w:t>
      </w:r>
      <w:r>
        <w:rPr/>
        <w:t>incurred claims. Managed</w:t>
      </w:r>
      <w:r>
        <w:rPr>
          <w:spacing w:val="-3"/>
        </w:rPr>
        <w:t> </w:t>
      </w:r>
      <w:r>
        <w:rPr/>
        <w:t>care</w:t>
      </w:r>
      <w:r>
        <w:rPr>
          <w:spacing w:val="-4"/>
        </w:rPr>
        <w:t> </w:t>
      </w:r>
      <w:r>
        <w:rPr/>
        <w:t>plans</w:t>
      </w:r>
      <w:r>
        <w:rPr>
          <w:spacing w:val="-3"/>
        </w:rPr>
        <w:t> </w:t>
      </w:r>
      <w:r>
        <w:rPr/>
        <w:t>should</w:t>
      </w:r>
      <w:r>
        <w:rPr>
          <w:spacing w:val="-3"/>
        </w:rPr>
        <w:t> </w:t>
      </w:r>
      <w:r>
        <w:rPr/>
        <w:t>not</w:t>
      </w:r>
      <w:r>
        <w:rPr>
          <w:spacing w:val="-3"/>
        </w:rPr>
        <w:t> </w:t>
      </w:r>
      <w:r>
        <w:rPr/>
        <w:t>report</w:t>
      </w:r>
      <w:r>
        <w:rPr>
          <w:spacing w:val="-3"/>
        </w:rPr>
        <w:t> </w:t>
      </w:r>
      <w:r>
        <w:rPr/>
        <w:t>HRSN</w:t>
      </w:r>
      <w:r>
        <w:rPr>
          <w:spacing w:val="-4"/>
        </w:rPr>
        <w:t> </w:t>
      </w:r>
      <w:r>
        <w:rPr/>
        <w:t>services</w:t>
      </w:r>
      <w:r>
        <w:rPr>
          <w:spacing w:val="-3"/>
        </w:rPr>
        <w:t> </w:t>
      </w:r>
      <w:r>
        <w:rPr/>
        <w:t>in</w:t>
      </w:r>
      <w:r>
        <w:rPr>
          <w:spacing w:val="-3"/>
        </w:rPr>
        <w:t> </w:t>
      </w:r>
      <w:r>
        <w:rPr/>
        <w:t>the</w:t>
      </w:r>
      <w:r>
        <w:rPr>
          <w:spacing w:val="-4"/>
        </w:rPr>
        <w:t> </w:t>
      </w:r>
      <w:r>
        <w:rPr/>
        <w:t>MLR</w:t>
      </w:r>
      <w:r>
        <w:rPr>
          <w:spacing w:val="-3"/>
        </w:rPr>
        <w:t> </w:t>
      </w:r>
      <w:r>
        <w:rPr/>
        <w:t>until</w:t>
      </w:r>
      <w:r>
        <w:rPr>
          <w:spacing w:val="-3"/>
        </w:rPr>
        <w:t> </w:t>
      </w:r>
      <w:r>
        <w:rPr/>
        <w:t>after the transition to include HRSN services in risk-based capitation rates.</w:t>
      </w:r>
    </w:p>
    <w:p>
      <w:pPr>
        <w:pStyle w:val="BodyText"/>
        <w:spacing w:before="7"/>
        <w:rPr>
          <w:sz w:val="20"/>
        </w:rPr>
      </w:pPr>
    </w:p>
    <w:p>
      <w:pPr>
        <w:pStyle w:val="ListParagraph"/>
        <w:numPr>
          <w:ilvl w:val="1"/>
          <w:numId w:val="44"/>
        </w:numPr>
        <w:tabs>
          <w:tab w:pos="2759" w:val="left" w:leader="none"/>
        </w:tabs>
        <w:spacing w:line="240" w:lineRule="auto" w:before="0" w:after="0"/>
        <w:ind w:left="2759" w:right="1102" w:hanging="360"/>
        <w:jc w:val="left"/>
        <w:rPr>
          <w:sz w:val="24"/>
        </w:rPr>
      </w:pPr>
      <w:bookmarkStart w:name="1. The Commonwealth must develop an MLR " w:id="830"/>
      <w:bookmarkEnd w:id="830"/>
      <w:r>
        <w:rPr/>
      </w:r>
      <w:r>
        <w:rPr>
          <w:sz w:val="24"/>
        </w:rPr>
        <w:t>The Commonwealth must develop an MLR monitoring and oversight process specific to HRSN services. This process must be submitted to CMS, for review and approval, no later than 18 months prior to the implementation of HRSN services in risk-based capitation rates. The Commonwealth may submit this process to CMS at </w:t>
      </w:r>
      <w:hyperlink r:id="rId135">
        <w:r>
          <w:rPr>
            <w:color w:val="0000FF"/>
            <w:sz w:val="24"/>
            <w:u w:val="single" w:color="0000FF"/>
          </w:rPr>
          <w:t>DMCPMLR@cms.hhs.gov</w:t>
        </w:r>
        <w:r>
          <w:rPr>
            <w:sz w:val="24"/>
          </w:rPr>
          <w:t>.</w:t>
        </w:r>
      </w:hyperlink>
      <w:r>
        <w:rPr>
          <w:sz w:val="24"/>
        </w:rPr>
        <w:t> This process must specify how HRSN services</w:t>
      </w:r>
      <w:r>
        <w:rPr>
          <w:spacing w:val="-4"/>
          <w:sz w:val="24"/>
        </w:rPr>
        <w:t> </w:t>
      </w:r>
      <w:r>
        <w:rPr>
          <w:sz w:val="24"/>
        </w:rPr>
        <w:t>will</w:t>
      </w:r>
      <w:r>
        <w:rPr>
          <w:spacing w:val="-4"/>
          <w:sz w:val="24"/>
        </w:rPr>
        <w:t> </w:t>
      </w:r>
      <w:r>
        <w:rPr>
          <w:sz w:val="24"/>
        </w:rPr>
        <w:t>be</w:t>
      </w:r>
      <w:r>
        <w:rPr>
          <w:spacing w:val="-4"/>
          <w:sz w:val="24"/>
        </w:rPr>
        <w:t> </w:t>
      </w:r>
      <w:r>
        <w:rPr>
          <w:sz w:val="24"/>
        </w:rPr>
        <w:t>identified</w:t>
      </w:r>
      <w:r>
        <w:rPr>
          <w:spacing w:val="-4"/>
          <w:sz w:val="24"/>
        </w:rPr>
        <w:t> </w:t>
      </w:r>
      <w:r>
        <w:rPr>
          <w:sz w:val="24"/>
        </w:rPr>
        <w:t>for</w:t>
      </w:r>
      <w:r>
        <w:rPr>
          <w:spacing w:val="-4"/>
          <w:sz w:val="24"/>
        </w:rPr>
        <w:t> </w:t>
      </w:r>
      <w:r>
        <w:rPr>
          <w:sz w:val="24"/>
        </w:rPr>
        <w:t>inclusion</w:t>
      </w:r>
      <w:r>
        <w:rPr>
          <w:spacing w:val="-4"/>
          <w:sz w:val="24"/>
        </w:rPr>
        <w:t> </w:t>
      </w:r>
      <w:r>
        <w:rPr>
          <w:sz w:val="24"/>
        </w:rPr>
        <w:t>in</w:t>
      </w:r>
      <w:r>
        <w:rPr>
          <w:spacing w:val="-4"/>
          <w:sz w:val="24"/>
        </w:rPr>
        <w:t> </w:t>
      </w:r>
      <w:r>
        <w:rPr>
          <w:sz w:val="24"/>
        </w:rPr>
        <w:t>capitation</w:t>
      </w:r>
      <w:r>
        <w:rPr>
          <w:spacing w:val="-4"/>
          <w:sz w:val="24"/>
        </w:rPr>
        <w:t> </w:t>
      </w:r>
      <w:r>
        <w:rPr>
          <w:sz w:val="24"/>
        </w:rPr>
        <w:t>rate</w:t>
      </w:r>
      <w:r>
        <w:rPr>
          <w:spacing w:val="-4"/>
          <w:sz w:val="24"/>
        </w:rPr>
        <w:t> </w:t>
      </w:r>
      <w:r>
        <w:rPr>
          <w:sz w:val="24"/>
        </w:rPr>
        <w:t>setting</w:t>
      </w:r>
      <w:r>
        <w:rPr>
          <w:spacing w:val="-6"/>
          <w:sz w:val="24"/>
        </w:rPr>
        <w:t> </w:t>
      </w:r>
      <w:r>
        <w:rPr>
          <w:sz w:val="24"/>
        </w:rPr>
        <w:t>and</w:t>
      </w:r>
      <w:r>
        <w:rPr>
          <w:spacing w:val="-4"/>
          <w:sz w:val="24"/>
        </w:rPr>
        <w:t> </w:t>
      </w:r>
      <w:r>
        <w:rPr>
          <w:sz w:val="24"/>
        </w:rPr>
        <w:t>in the MLR numerator. The Commonwealth’s plan must indicate how expenditures for HRSN administrative costs and infrastructure will be </w:t>
      </w:r>
      <w:bookmarkStart w:name="b. Terms applicable to Specialized CSP H" w:id="831"/>
      <w:bookmarkEnd w:id="831"/>
      <w:r>
        <w:rPr>
          <w:sz w:val="24"/>
        </w:rPr>
        <w:t>id</w:t>
      </w:r>
      <w:r>
        <w:rPr>
          <w:sz w:val="24"/>
        </w:rPr>
        <w:t>entified and reported in the MLR as non-claims costs.</w:t>
      </w:r>
    </w:p>
    <w:p>
      <w:pPr>
        <w:pStyle w:val="BodyText"/>
        <w:spacing w:before="200"/>
        <w:ind w:left="1411"/>
      </w:pPr>
      <w:r>
        <w:rPr/>
        <w:drawing>
          <wp:anchor distT="0" distB="0" distL="0" distR="0" allowOverlap="1" layoutInCell="1" locked="0" behindDoc="0" simplePos="0" relativeHeight="16008704">
            <wp:simplePos x="0" y="0"/>
            <wp:positionH relativeFrom="page">
              <wp:posOffset>1424939</wp:posOffset>
            </wp:positionH>
            <wp:positionV relativeFrom="paragraph">
              <wp:posOffset>159551</wp:posOffset>
            </wp:positionV>
            <wp:extent cx="111251" cy="115823"/>
            <wp:effectExtent l="0" t="0" r="0" b="0"/>
            <wp:wrapNone/>
            <wp:docPr id="558" name="Image 558"/>
            <wp:cNvGraphicFramePr>
              <a:graphicFrameLocks/>
            </wp:cNvGraphicFramePr>
            <a:graphic>
              <a:graphicData uri="http://schemas.openxmlformats.org/drawingml/2006/picture">
                <pic:pic>
                  <pic:nvPicPr>
                    <pic:cNvPr id="558" name="Image 558"/>
                    <pic:cNvPicPr/>
                  </pic:nvPicPr>
                  <pic:blipFill>
                    <a:blip r:embed="rId34" cstate="print"/>
                    <a:stretch>
                      <a:fillRect/>
                    </a:stretch>
                  </pic:blipFill>
                  <pic:spPr>
                    <a:xfrm>
                      <a:off x="0" y="0"/>
                      <a:ext cx="111251" cy="115823"/>
                    </a:xfrm>
                    <a:prstGeom prst="rect">
                      <a:avLst/>
                    </a:prstGeom>
                  </pic:spPr>
                </pic:pic>
              </a:graphicData>
            </a:graphic>
          </wp:anchor>
        </w:drawing>
      </w:r>
      <w:r>
        <w:rPr/>
        <w:t>Terms</w:t>
      </w:r>
      <w:r>
        <w:rPr>
          <w:spacing w:val="-2"/>
        </w:rPr>
        <w:t> </w:t>
      </w:r>
      <w:r>
        <w:rPr/>
        <w:t>applicable</w:t>
      </w:r>
      <w:r>
        <w:rPr>
          <w:spacing w:val="-2"/>
        </w:rPr>
        <w:t> </w:t>
      </w:r>
      <w:r>
        <w:rPr/>
        <w:t>to</w:t>
      </w:r>
      <w:r>
        <w:rPr>
          <w:spacing w:val="-1"/>
        </w:rPr>
        <w:t> </w:t>
      </w:r>
      <w:r>
        <w:rPr/>
        <w:t>Specialized</w:t>
      </w:r>
      <w:r>
        <w:rPr>
          <w:spacing w:val="-2"/>
        </w:rPr>
        <w:t> </w:t>
      </w:r>
      <w:r>
        <w:rPr/>
        <w:t>CSP</w:t>
      </w:r>
      <w:r>
        <w:rPr>
          <w:spacing w:val="-1"/>
        </w:rPr>
        <w:t> </w:t>
      </w:r>
      <w:r>
        <w:rPr/>
        <w:t>HRSN</w:t>
      </w:r>
      <w:r>
        <w:rPr>
          <w:spacing w:val="-2"/>
        </w:rPr>
        <w:t> Services</w:t>
      </w:r>
    </w:p>
    <w:p>
      <w:pPr>
        <w:pStyle w:val="BodyText"/>
        <w:spacing w:before="1"/>
        <w:rPr>
          <w:sz w:val="21"/>
        </w:rPr>
      </w:pPr>
    </w:p>
    <w:p>
      <w:pPr>
        <w:pStyle w:val="BodyText"/>
        <w:ind w:left="2040" w:right="1059"/>
      </w:pPr>
      <w:r>
        <w:rPr/>
        <w:drawing>
          <wp:anchor distT="0" distB="0" distL="0" distR="0" allowOverlap="1" layoutInCell="1" locked="0" behindDoc="0" simplePos="0" relativeHeight="16009216">
            <wp:simplePos x="0" y="0"/>
            <wp:positionH relativeFrom="page">
              <wp:posOffset>1862327</wp:posOffset>
            </wp:positionH>
            <wp:positionV relativeFrom="paragraph">
              <wp:posOffset>32551</wp:posOffset>
            </wp:positionV>
            <wp:extent cx="73151" cy="115823"/>
            <wp:effectExtent l="0" t="0" r="0" b="0"/>
            <wp:wrapNone/>
            <wp:docPr id="559" name="Image 559"/>
            <wp:cNvGraphicFramePr>
              <a:graphicFrameLocks/>
            </wp:cNvGraphicFramePr>
            <a:graphic>
              <a:graphicData uri="http://schemas.openxmlformats.org/drawingml/2006/picture">
                <pic:pic>
                  <pic:nvPicPr>
                    <pic:cNvPr id="559" name="Image 559"/>
                    <pic:cNvPicPr/>
                  </pic:nvPicPr>
                  <pic:blipFill>
                    <a:blip r:embed="rId61" cstate="print"/>
                    <a:stretch>
                      <a:fillRect/>
                    </a:stretch>
                  </pic:blipFill>
                  <pic:spPr>
                    <a:xfrm>
                      <a:off x="0" y="0"/>
                      <a:ext cx="73151" cy="115823"/>
                    </a:xfrm>
                    <a:prstGeom prst="rect">
                      <a:avLst/>
                    </a:prstGeom>
                  </pic:spPr>
                </pic:pic>
              </a:graphicData>
            </a:graphic>
          </wp:anchor>
        </w:drawing>
      </w:r>
      <w:bookmarkStart w:name="i. Specialized CSP HRSN services will be" w:id="832"/>
      <w:bookmarkEnd w:id="832"/>
      <w:r>
        <w:rPr/>
      </w:r>
      <w:r>
        <w:rPr/>
        <w:t>Specialized</w:t>
      </w:r>
      <w:r>
        <w:rPr>
          <w:spacing w:val="-4"/>
        </w:rPr>
        <w:t> </w:t>
      </w:r>
      <w:r>
        <w:rPr/>
        <w:t>CSP</w:t>
      </w:r>
      <w:r>
        <w:rPr>
          <w:spacing w:val="-4"/>
        </w:rPr>
        <w:t> </w:t>
      </w:r>
      <w:r>
        <w:rPr/>
        <w:t>HRSN</w:t>
      </w:r>
      <w:r>
        <w:rPr>
          <w:spacing w:val="-5"/>
        </w:rPr>
        <w:t> </w:t>
      </w:r>
      <w:r>
        <w:rPr/>
        <w:t>services</w:t>
      </w:r>
      <w:r>
        <w:rPr>
          <w:spacing w:val="-4"/>
        </w:rPr>
        <w:t> </w:t>
      </w:r>
      <w:r>
        <w:rPr/>
        <w:t>will</w:t>
      </w:r>
      <w:r>
        <w:rPr>
          <w:spacing w:val="-4"/>
        </w:rPr>
        <w:t> </w:t>
      </w:r>
      <w:r>
        <w:rPr/>
        <w:t>be</w:t>
      </w:r>
      <w:r>
        <w:rPr>
          <w:spacing w:val="-3"/>
        </w:rPr>
        <w:t> </w:t>
      </w:r>
      <w:r>
        <w:rPr/>
        <w:t>available</w:t>
      </w:r>
      <w:r>
        <w:rPr>
          <w:spacing w:val="-5"/>
        </w:rPr>
        <w:t> </w:t>
      </w:r>
      <w:r>
        <w:rPr/>
        <w:t>through</w:t>
      </w:r>
      <w:r>
        <w:rPr>
          <w:spacing w:val="-4"/>
        </w:rPr>
        <w:t> </w:t>
      </w:r>
      <w:r>
        <w:rPr/>
        <w:t>the</w:t>
      </w:r>
      <w:r>
        <w:rPr>
          <w:spacing w:val="-5"/>
        </w:rPr>
        <w:t> </w:t>
      </w:r>
      <w:r>
        <w:rPr/>
        <w:t>fee-for-service and managed care delivery systems.</w:t>
      </w:r>
    </w:p>
    <w:p>
      <w:pPr>
        <w:pStyle w:val="BodyText"/>
        <w:spacing w:before="158"/>
        <w:ind w:left="2040" w:right="1059"/>
      </w:pPr>
      <w:r>
        <w:rPr/>
        <w:drawing>
          <wp:anchor distT="0" distB="0" distL="0" distR="0" allowOverlap="1" layoutInCell="1" locked="0" behindDoc="0" simplePos="0" relativeHeight="16009728">
            <wp:simplePos x="0" y="0"/>
            <wp:positionH relativeFrom="page">
              <wp:posOffset>1819655</wp:posOffset>
            </wp:positionH>
            <wp:positionV relativeFrom="paragraph">
              <wp:posOffset>132881</wp:posOffset>
            </wp:positionV>
            <wp:extent cx="115823" cy="115823"/>
            <wp:effectExtent l="0" t="0" r="0" b="0"/>
            <wp:wrapNone/>
            <wp:docPr id="560" name="Image 560"/>
            <wp:cNvGraphicFramePr>
              <a:graphicFrameLocks/>
            </wp:cNvGraphicFramePr>
            <a:graphic>
              <a:graphicData uri="http://schemas.openxmlformats.org/drawingml/2006/picture">
                <pic:pic>
                  <pic:nvPicPr>
                    <pic:cNvPr id="560" name="Image 560"/>
                    <pic:cNvPicPr/>
                  </pic:nvPicPr>
                  <pic:blipFill>
                    <a:blip r:embed="rId62" cstate="print"/>
                    <a:stretch>
                      <a:fillRect/>
                    </a:stretch>
                  </pic:blipFill>
                  <pic:spPr>
                    <a:xfrm>
                      <a:off x="0" y="0"/>
                      <a:ext cx="115823" cy="115823"/>
                    </a:xfrm>
                    <a:prstGeom prst="rect">
                      <a:avLst/>
                    </a:prstGeom>
                  </pic:spPr>
                </pic:pic>
              </a:graphicData>
            </a:graphic>
          </wp:anchor>
        </w:drawing>
      </w:r>
      <w:bookmarkStart w:name="ii. Specialized CSP HRSN services, pursu" w:id="833"/>
      <w:bookmarkEnd w:id="833"/>
      <w:r>
        <w:rPr/>
      </w:r>
      <w:r>
        <w:rPr/>
        <w:t>Specialized CSP HRSN services, pursuant to STC 15, when provided by MassHealth</w:t>
      </w:r>
      <w:r>
        <w:rPr>
          <w:spacing w:val="-5"/>
        </w:rPr>
        <w:t> </w:t>
      </w:r>
      <w:r>
        <w:rPr/>
        <w:t>MCOs,</w:t>
      </w:r>
      <w:r>
        <w:rPr>
          <w:spacing w:val="-5"/>
        </w:rPr>
        <w:t> </w:t>
      </w:r>
      <w:r>
        <w:rPr/>
        <w:t>BH</w:t>
      </w:r>
      <w:r>
        <w:rPr>
          <w:spacing w:val="-4"/>
        </w:rPr>
        <w:t> </w:t>
      </w:r>
      <w:r>
        <w:rPr/>
        <w:t>PIHP,</w:t>
      </w:r>
      <w:r>
        <w:rPr>
          <w:spacing w:val="-5"/>
        </w:rPr>
        <w:t> </w:t>
      </w:r>
      <w:r>
        <w:rPr/>
        <w:t>and</w:t>
      </w:r>
      <w:r>
        <w:rPr>
          <w:spacing w:val="-5"/>
        </w:rPr>
        <w:t> </w:t>
      </w:r>
      <w:r>
        <w:rPr/>
        <w:t>Accountable</w:t>
      </w:r>
      <w:r>
        <w:rPr>
          <w:spacing w:val="-4"/>
        </w:rPr>
        <w:t> </w:t>
      </w:r>
      <w:r>
        <w:rPr/>
        <w:t>Care</w:t>
      </w:r>
      <w:r>
        <w:rPr>
          <w:spacing w:val="-6"/>
        </w:rPr>
        <w:t> </w:t>
      </w:r>
      <w:r>
        <w:rPr/>
        <w:t>Partnership</w:t>
      </w:r>
      <w:r>
        <w:rPr>
          <w:spacing w:val="-5"/>
        </w:rPr>
        <w:t> </w:t>
      </w:r>
      <w:r>
        <w:rPr/>
        <w:t>Plans,</w:t>
      </w:r>
      <w:r>
        <w:rPr>
          <w:spacing w:val="-5"/>
        </w:rPr>
        <w:t> </w:t>
      </w:r>
      <w:r>
        <w:rPr/>
        <w:t>must be included within the risk-based capitation rates, and must be submitted to CMS for review and approval in accordance with 42 CFR 438.4(b) and </w:t>
      </w:r>
      <w:r>
        <w:rPr>
          <w:spacing w:val="-2"/>
        </w:rPr>
        <w:t>438.7(a).</w:t>
      </w:r>
    </w:p>
    <w:p>
      <w:pPr>
        <w:pStyle w:val="BodyText"/>
        <w:spacing w:before="202"/>
        <w:ind w:left="1411"/>
      </w:pPr>
      <w:r>
        <w:rPr/>
        <w:drawing>
          <wp:anchor distT="0" distB="0" distL="0" distR="0" allowOverlap="1" layoutInCell="1" locked="0" behindDoc="0" simplePos="0" relativeHeight="16010240">
            <wp:simplePos x="0" y="0"/>
            <wp:positionH relativeFrom="page">
              <wp:posOffset>1431036</wp:posOffset>
            </wp:positionH>
            <wp:positionV relativeFrom="paragraph">
              <wp:posOffset>195873</wp:posOffset>
            </wp:positionV>
            <wp:extent cx="96011" cy="80771"/>
            <wp:effectExtent l="0" t="0" r="0" b="0"/>
            <wp:wrapNone/>
            <wp:docPr id="561" name="Image 561"/>
            <wp:cNvGraphicFramePr>
              <a:graphicFrameLocks/>
            </wp:cNvGraphicFramePr>
            <a:graphic>
              <a:graphicData uri="http://schemas.openxmlformats.org/drawingml/2006/picture">
                <pic:pic>
                  <pic:nvPicPr>
                    <pic:cNvPr id="561" name="Image 561"/>
                    <pic:cNvPicPr/>
                  </pic:nvPicPr>
                  <pic:blipFill>
                    <a:blip r:embed="rId41" cstate="print"/>
                    <a:stretch>
                      <a:fillRect/>
                    </a:stretch>
                  </pic:blipFill>
                  <pic:spPr>
                    <a:xfrm>
                      <a:off x="0" y="0"/>
                      <a:ext cx="96011" cy="80771"/>
                    </a:xfrm>
                    <a:prstGeom prst="rect">
                      <a:avLst/>
                    </a:prstGeom>
                  </pic:spPr>
                </pic:pic>
              </a:graphicData>
            </a:graphic>
          </wp:anchor>
        </w:drawing>
      </w:r>
      <w:bookmarkStart w:name="c. Terms applicable to Flexible Services" w:id="834"/>
      <w:bookmarkEnd w:id="834"/>
      <w:r>
        <w:rPr/>
      </w:r>
      <w:r>
        <w:rPr/>
        <w:t>Terms</w:t>
      </w:r>
      <w:r>
        <w:rPr>
          <w:spacing w:val="-4"/>
        </w:rPr>
        <w:t> </w:t>
      </w:r>
      <w:r>
        <w:rPr/>
        <w:t>applicable</w:t>
      </w:r>
      <w:r>
        <w:rPr>
          <w:spacing w:val="-3"/>
        </w:rPr>
        <w:t> </w:t>
      </w:r>
      <w:r>
        <w:rPr/>
        <w:t>to</w:t>
      </w:r>
      <w:r>
        <w:rPr>
          <w:spacing w:val="-1"/>
        </w:rPr>
        <w:t> </w:t>
      </w:r>
      <w:r>
        <w:rPr/>
        <w:t>Flexible</w:t>
      </w:r>
      <w:r>
        <w:rPr>
          <w:spacing w:val="-3"/>
        </w:rPr>
        <w:t> </w:t>
      </w:r>
      <w:r>
        <w:rPr/>
        <w:t>Services</w:t>
      </w:r>
      <w:r>
        <w:rPr>
          <w:spacing w:val="-2"/>
        </w:rPr>
        <w:t> </w:t>
      </w:r>
      <w:r>
        <w:rPr/>
        <w:t>HRSN</w:t>
      </w:r>
      <w:r>
        <w:rPr>
          <w:spacing w:val="-2"/>
        </w:rPr>
        <w:t> Services</w:t>
      </w:r>
    </w:p>
    <w:p>
      <w:pPr>
        <w:pStyle w:val="BodyText"/>
        <w:spacing w:before="10"/>
        <w:rPr>
          <w:sz w:val="20"/>
        </w:rPr>
      </w:pPr>
    </w:p>
    <w:p>
      <w:pPr>
        <w:pStyle w:val="BodyText"/>
        <w:ind w:left="2039" w:right="1141"/>
      </w:pPr>
      <w:r>
        <w:rPr/>
        <w:drawing>
          <wp:anchor distT="0" distB="0" distL="0" distR="0" allowOverlap="1" layoutInCell="1" locked="0" behindDoc="0" simplePos="0" relativeHeight="16010752">
            <wp:simplePos x="0" y="0"/>
            <wp:positionH relativeFrom="page">
              <wp:posOffset>1862327</wp:posOffset>
            </wp:positionH>
            <wp:positionV relativeFrom="paragraph">
              <wp:posOffset>32551</wp:posOffset>
            </wp:positionV>
            <wp:extent cx="73151" cy="115823"/>
            <wp:effectExtent l="0" t="0" r="0" b="0"/>
            <wp:wrapNone/>
            <wp:docPr id="562" name="Image 562"/>
            <wp:cNvGraphicFramePr>
              <a:graphicFrameLocks/>
            </wp:cNvGraphicFramePr>
            <a:graphic>
              <a:graphicData uri="http://schemas.openxmlformats.org/drawingml/2006/picture">
                <pic:pic>
                  <pic:nvPicPr>
                    <pic:cNvPr id="562" name="Image 562"/>
                    <pic:cNvPicPr/>
                  </pic:nvPicPr>
                  <pic:blipFill>
                    <a:blip r:embed="rId112" cstate="print"/>
                    <a:stretch>
                      <a:fillRect/>
                    </a:stretch>
                  </pic:blipFill>
                  <pic:spPr>
                    <a:xfrm>
                      <a:off x="0" y="0"/>
                      <a:ext cx="73151" cy="115823"/>
                    </a:xfrm>
                    <a:prstGeom prst="rect">
                      <a:avLst/>
                    </a:prstGeom>
                  </pic:spPr>
                </pic:pic>
              </a:graphicData>
            </a:graphic>
          </wp:anchor>
        </w:drawing>
      </w:r>
      <w:bookmarkStart w:name="i. Flexible Services HRSN Services will " w:id="835"/>
      <w:bookmarkEnd w:id="835"/>
      <w:r>
        <w:rPr/>
      </w:r>
      <w:r>
        <w:rPr/>
        <w:t>Flexible</w:t>
      </w:r>
      <w:r>
        <w:rPr>
          <w:spacing w:val="-5"/>
        </w:rPr>
        <w:t> </w:t>
      </w:r>
      <w:r>
        <w:rPr/>
        <w:t>Services</w:t>
      </w:r>
      <w:r>
        <w:rPr>
          <w:spacing w:val="-4"/>
        </w:rPr>
        <w:t> </w:t>
      </w:r>
      <w:r>
        <w:rPr/>
        <w:t>HRSN</w:t>
      </w:r>
      <w:r>
        <w:rPr>
          <w:spacing w:val="-5"/>
        </w:rPr>
        <w:t> </w:t>
      </w:r>
      <w:r>
        <w:rPr/>
        <w:t>Services</w:t>
      </w:r>
      <w:r>
        <w:rPr>
          <w:spacing w:val="-4"/>
        </w:rPr>
        <w:t> </w:t>
      </w:r>
      <w:r>
        <w:rPr/>
        <w:t>will</w:t>
      </w:r>
      <w:r>
        <w:rPr>
          <w:spacing w:val="-4"/>
        </w:rPr>
        <w:t> </w:t>
      </w:r>
      <w:r>
        <w:rPr/>
        <w:t>only</w:t>
      </w:r>
      <w:r>
        <w:rPr>
          <w:spacing w:val="-8"/>
        </w:rPr>
        <w:t> </w:t>
      </w:r>
      <w:r>
        <w:rPr/>
        <w:t>be</w:t>
      </w:r>
      <w:r>
        <w:rPr>
          <w:spacing w:val="-5"/>
        </w:rPr>
        <w:t> </w:t>
      </w:r>
      <w:r>
        <w:rPr/>
        <w:t>available</w:t>
      </w:r>
      <w:r>
        <w:rPr>
          <w:spacing w:val="-5"/>
        </w:rPr>
        <w:t> </w:t>
      </w:r>
      <w:r>
        <w:rPr/>
        <w:t>to</w:t>
      </w:r>
      <w:r>
        <w:rPr>
          <w:spacing w:val="-4"/>
        </w:rPr>
        <w:t> </w:t>
      </w:r>
      <w:r>
        <w:rPr/>
        <w:t>enrollees</w:t>
      </w:r>
      <w:r>
        <w:rPr>
          <w:spacing w:val="-4"/>
        </w:rPr>
        <w:t> </w:t>
      </w:r>
      <w:r>
        <w:rPr/>
        <w:t>of Primary Care ACOs and Accountable Care Partnership Plans.</w:t>
      </w:r>
    </w:p>
    <w:p>
      <w:pPr>
        <w:pStyle w:val="BodyText"/>
        <w:spacing w:before="159"/>
        <w:ind w:left="2040" w:right="1059"/>
      </w:pPr>
      <w:r>
        <w:rPr/>
        <w:drawing>
          <wp:anchor distT="0" distB="0" distL="0" distR="0" allowOverlap="1" layoutInCell="1" locked="0" behindDoc="0" simplePos="0" relativeHeight="16011264">
            <wp:simplePos x="0" y="0"/>
            <wp:positionH relativeFrom="page">
              <wp:posOffset>1819655</wp:posOffset>
            </wp:positionH>
            <wp:positionV relativeFrom="paragraph">
              <wp:posOffset>133516</wp:posOffset>
            </wp:positionV>
            <wp:extent cx="115823" cy="115823"/>
            <wp:effectExtent l="0" t="0" r="0" b="0"/>
            <wp:wrapNone/>
            <wp:docPr id="563" name="Image 563"/>
            <wp:cNvGraphicFramePr>
              <a:graphicFrameLocks/>
            </wp:cNvGraphicFramePr>
            <a:graphic>
              <a:graphicData uri="http://schemas.openxmlformats.org/drawingml/2006/picture">
                <pic:pic>
                  <pic:nvPicPr>
                    <pic:cNvPr id="563" name="Image 563"/>
                    <pic:cNvPicPr/>
                  </pic:nvPicPr>
                  <pic:blipFill>
                    <a:blip r:embed="rId62" cstate="print"/>
                    <a:stretch>
                      <a:fillRect/>
                    </a:stretch>
                  </pic:blipFill>
                  <pic:spPr>
                    <a:xfrm>
                      <a:off x="0" y="0"/>
                      <a:ext cx="115823" cy="115823"/>
                    </a:xfrm>
                    <a:prstGeom prst="rect">
                      <a:avLst/>
                    </a:prstGeom>
                  </pic:spPr>
                </pic:pic>
              </a:graphicData>
            </a:graphic>
          </wp:anchor>
        </w:drawing>
      </w:r>
      <w:bookmarkStart w:name="ii. Primary Care ACOs, and Accountable C" w:id="836"/>
      <w:bookmarkEnd w:id="836"/>
      <w:r>
        <w:rPr/>
      </w:r>
      <w:r>
        <w:rPr/>
        <w:t>Primary</w:t>
      </w:r>
      <w:r>
        <w:rPr>
          <w:spacing w:val="-9"/>
        </w:rPr>
        <w:t> </w:t>
      </w:r>
      <w:r>
        <w:rPr/>
        <w:t>Care</w:t>
      </w:r>
      <w:r>
        <w:rPr>
          <w:spacing w:val="-5"/>
        </w:rPr>
        <w:t> </w:t>
      </w:r>
      <w:r>
        <w:rPr/>
        <w:t>ACOs,</w:t>
      </w:r>
      <w:r>
        <w:rPr>
          <w:spacing w:val="-4"/>
        </w:rPr>
        <w:t> </w:t>
      </w:r>
      <w:r>
        <w:rPr/>
        <w:t>and</w:t>
      </w:r>
      <w:r>
        <w:rPr>
          <w:spacing w:val="-2"/>
        </w:rPr>
        <w:t> </w:t>
      </w:r>
      <w:r>
        <w:rPr/>
        <w:t>Accountable</w:t>
      </w:r>
      <w:r>
        <w:rPr>
          <w:spacing w:val="-5"/>
        </w:rPr>
        <w:t> </w:t>
      </w:r>
      <w:r>
        <w:rPr/>
        <w:t>Care</w:t>
      </w:r>
      <w:r>
        <w:rPr>
          <w:spacing w:val="-5"/>
        </w:rPr>
        <w:t> </w:t>
      </w:r>
      <w:r>
        <w:rPr/>
        <w:t>Partnership</w:t>
      </w:r>
      <w:r>
        <w:rPr>
          <w:spacing w:val="-4"/>
        </w:rPr>
        <w:t> </w:t>
      </w:r>
      <w:r>
        <w:rPr/>
        <w:t>Plans</w:t>
      </w:r>
      <w:r>
        <w:rPr>
          <w:spacing w:val="-4"/>
        </w:rPr>
        <w:t> </w:t>
      </w:r>
      <w:r>
        <w:rPr/>
        <w:t>provide</w:t>
      </w:r>
      <w:r>
        <w:rPr>
          <w:spacing w:val="-5"/>
        </w:rPr>
        <w:t> </w:t>
      </w:r>
      <w:r>
        <w:rPr/>
        <w:t>HRSN Flexible Services authorized under this demonstration through contracted network providers, as further described in STC 15.7.</w:t>
      </w:r>
    </w:p>
    <w:p>
      <w:pPr>
        <w:pStyle w:val="BodyText"/>
        <w:spacing w:before="160"/>
        <w:ind w:left="2039" w:right="1059"/>
      </w:pPr>
      <w:r>
        <w:rPr/>
        <w:drawing>
          <wp:anchor distT="0" distB="0" distL="0" distR="0" allowOverlap="1" layoutInCell="1" locked="0" behindDoc="0" simplePos="0" relativeHeight="16011776">
            <wp:simplePos x="0" y="0"/>
            <wp:positionH relativeFrom="page">
              <wp:posOffset>1778507</wp:posOffset>
            </wp:positionH>
            <wp:positionV relativeFrom="paragraph">
              <wp:posOffset>134151</wp:posOffset>
            </wp:positionV>
            <wp:extent cx="158495" cy="115823"/>
            <wp:effectExtent l="0" t="0" r="0" b="0"/>
            <wp:wrapNone/>
            <wp:docPr id="564" name="Image 564"/>
            <wp:cNvGraphicFramePr>
              <a:graphicFrameLocks/>
            </wp:cNvGraphicFramePr>
            <a:graphic>
              <a:graphicData uri="http://schemas.openxmlformats.org/drawingml/2006/picture">
                <pic:pic>
                  <pic:nvPicPr>
                    <pic:cNvPr id="564" name="Image 564"/>
                    <pic:cNvPicPr/>
                  </pic:nvPicPr>
                  <pic:blipFill>
                    <a:blip r:embed="rId65" cstate="print"/>
                    <a:stretch>
                      <a:fillRect/>
                    </a:stretch>
                  </pic:blipFill>
                  <pic:spPr>
                    <a:xfrm>
                      <a:off x="0" y="0"/>
                      <a:ext cx="158495" cy="115823"/>
                    </a:xfrm>
                    <a:prstGeom prst="rect">
                      <a:avLst/>
                    </a:prstGeom>
                  </pic:spPr>
                </pic:pic>
              </a:graphicData>
            </a:graphic>
          </wp:anchor>
        </w:drawing>
      </w:r>
      <w:bookmarkStart w:name="iii. The Commonwealth may allow Primary " w:id="837"/>
      <w:bookmarkEnd w:id="837"/>
      <w:r>
        <w:rPr/>
      </w:r>
      <w:r>
        <w:rPr/>
        <w:t>The</w:t>
      </w:r>
      <w:r>
        <w:rPr>
          <w:spacing w:val="-4"/>
        </w:rPr>
        <w:t> </w:t>
      </w:r>
      <w:r>
        <w:rPr/>
        <w:t>Commonwealth</w:t>
      </w:r>
      <w:r>
        <w:rPr>
          <w:spacing w:val="-3"/>
        </w:rPr>
        <w:t> </w:t>
      </w:r>
      <w:r>
        <w:rPr/>
        <w:t>may</w:t>
      </w:r>
      <w:r>
        <w:rPr>
          <w:spacing w:val="-6"/>
        </w:rPr>
        <w:t> </w:t>
      </w:r>
      <w:r>
        <w:rPr/>
        <w:t>allow</w:t>
      </w:r>
      <w:r>
        <w:rPr>
          <w:spacing w:val="-4"/>
        </w:rPr>
        <w:t> </w:t>
      </w:r>
      <w:r>
        <w:rPr/>
        <w:t>Primary</w:t>
      </w:r>
      <w:r>
        <w:rPr>
          <w:spacing w:val="-8"/>
        </w:rPr>
        <w:t> </w:t>
      </w:r>
      <w:r>
        <w:rPr/>
        <w:t>Care</w:t>
      </w:r>
      <w:r>
        <w:rPr>
          <w:spacing w:val="-4"/>
        </w:rPr>
        <w:t> </w:t>
      </w:r>
      <w:r>
        <w:rPr/>
        <w:t>ACOs</w:t>
      </w:r>
      <w:r>
        <w:rPr>
          <w:spacing w:val="-3"/>
        </w:rPr>
        <w:t> </w:t>
      </w:r>
      <w:r>
        <w:rPr/>
        <w:t>and</w:t>
      </w:r>
      <w:r>
        <w:rPr>
          <w:spacing w:val="-3"/>
        </w:rPr>
        <w:t> </w:t>
      </w:r>
      <w:r>
        <w:rPr/>
        <w:t>Accountable</w:t>
      </w:r>
      <w:r>
        <w:rPr>
          <w:spacing w:val="-4"/>
        </w:rPr>
        <w:t> </w:t>
      </w:r>
      <w:r>
        <w:rPr/>
        <w:t>Care Partnership Plans to offer the Flexible Services HRSN services or settings statewide or in some or all geographic areas in which the plan operates.</w:t>
      </w:r>
    </w:p>
    <w:p>
      <w:pPr>
        <w:pStyle w:val="BodyText"/>
        <w:spacing w:before="161"/>
        <w:ind w:left="2039" w:right="1059"/>
      </w:pPr>
      <w:r>
        <w:rPr/>
        <w:drawing>
          <wp:anchor distT="0" distB="0" distL="0" distR="0" allowOverlap="1" layoutInCell="1" locked="0" behindDoc="0" simplePos="0" relativeHeight="16012288">
            <wp:simplePos x="0" y="0"/>
            <wp:positionH relativeFrom="page">
              <wp:posOffset>1786127</wp:posOffset>
            </wp:positionH>
            <wp:positionV relativeFrom="paragraph">
              <wp:posOffset>134786</wp:posOffset>
            </wp:positionV>
            <wp:extent cx="149339" cy="115823"/>
            <wp:effectExtent l="0" t="0" r="0" b="0"/>
            <wp:wrapNone/>
            <wp:docPr id="565" name="Image 565"/>
            <wp:cNvGraphicFramePr>
              <a:graphicFrameLocks/>
            </wp:cNvGraphicFramePr>
            <a:graphic>
              <a:graphicData uri="http://schemas.openxmlformats.org/drawingml/2006/picture">
                <pic:pic>
                  <pic:nvPicPr>
                    <pic:cNvPr id="565" name="Image 565"/>
                    <pic:cNvPicPr/>
                  </pic:nvPicPr>
                  <pic:blipFill>
                    <a:blip r:embed="rId96" cstate="print"/>
                    <a:stretch>
                      <a:fillRect/>
                    </a:stretch>
                  </pic:blipFill>
                  <pic:spPr>
                    <a:xfrm>
                      <a:off x="0" y="0"/>
                      <a:ext cx="149339" cy="115823"/>
                    </a:xfrm>
                    <a:prstGeom prst="rect">
                      <a:avLst/>
                    </a:prstGeom>
                  </pic:spPr>
                </pic:pic>
              </a:graphicData>
            </a:graphic>
          </wp:anchor>
        </w:drawing>
      </w:r>
      <w:bookmarkStart w:name="iv. The Commonwealth must require that e" w:id="838"/>
      <w:bookmarkEnd w:id="838"/>
      <w:r>
        <w:rPr/>
      </w:r>
      <w:r>
        <w:rPr/>
        <w:t>The Commonwealth must require that each Primary Care ACOs and Accountable</w:t>
      </w:r>
      <w:r>
        <w:rPr>
          <w:spacing w:val="-5"/>
        </w:rPr>
        <w:t> </w:t>
      </w:r>
      <w:r>
        <w:rPr/>
        <w:t>Care</w:t>
      </w:r>
      <w:r>
        <w:rPr>
          <w:spacing w:val="-5"/>
        </w:rPr>
        <w:t> </w:t>
      </w:r>
      <w:r>
        <w:rPr/>
        <w:t>Partnership</w:t>
      </w:r>
      <w:r>
        <w:rPr>
          <w:spacing w:val="-4"/>
        </w:rPr>
        <w:t> </w:t>
      </w:r>
      <w:r>
        <w:rPr/>
        <w:t>Plans</w:t>
      </w:r>
      <w:r>
        <w:rPr>
          <w:spacing w:val="-4"/>
        </w:rPr>
        <w:t> </w:t>
      </w:r>
      <w:r>
        <w:rPr/>
        <w:t>report</w:t>
      </w:r>
      <w:r>
        <w:rPr>
          <w:spacing w:val="-4"/>
        </w:rPr>
        <w:t> </w:t>
      </w:r>
      <w:r>
        <w:rPr/>
        <w:t>to</w:t>
      </w:r>
      <w:r>
        <w:rPr>
          <w:spacing w:val="-4"/>
        </w:rPr>
        <w:t> </w:t>
      </w:r>
      <w:r>
        <w:rPr/>
        <w:t>the</w:t>
      </w:r>
      <w:r>
        <w:rPr>
          <w:spacing w:val="-5"/>
        </w:rPr>
        <w:t> </w:t>
      </w:r>
      <w:r>
        <w:rPr/>
        <w:t>state</w:t>
      </w:r>
      <w:r>
        <w:rPr>
          <w:spacing w:val="-5"/>
        </w:rPr>
        <w:t> </w:t>
      </w:r>
      <w:r>
        <w:rPr/>
        <w:t>Medicaid</w:t>
      </w:r>
      <w:r>
        <w:rPr>
          <w:spacing w:val="-5"/>
        </w:rPr>
        <w:t> </w:t>
      </w:r>
      <w:r>
        <w:rPr/>
        <w:t>agency,</w:t>
      </w:r>
      <w:r>
        <w:rPr>
          <w:spacing w:val="-4"/>
        </w:rPr>
        <w:t> </w:t>
      </w:r>
      <w:r>
        <w:rPr/>
        <w:t>the geographic areas in which it intends to offer the Flexible services HRSN</w:t>
      </w:r>
    </w:p>
    <w:p>
      <w:pPr>
        <w:spacing w:after="0"/>
        <w:sectPr>
          <w:pgSz w:w="12240" w:h="15840"/>
          <w:pgMar w:header="0" w:footer="1201" w:top="1360" w:bottom="1400" w:left="1200" w:right="400"/>
        </w:sectPr>
      </w:pPr>
    </w:p>
    <w:p>
      <w:pPr>
        <w:pStyle w:val="BodyText"/>
        <w:spacing w:before="79"/>
        <w:ind w:left="2039" w:right="1141"/>
      </w:pPr>
      <w:r>
        <w:rPr/>
        <w:t>services and any sub-area limitations on the availability of the service. Primary</w:t>
      </w:r>
      <w:r>
        <w:rPr>
          <w:spacing w:val="-9"/>
        </w:rPr>
        <w:t> </w:t>
      </w:r>
      <w:r>
        <w:rPr/>
        <w:t>Care</w:t>
      </w:r>
      <w:r>
        <w:rPr>
          <w:spacing w:val="-5"/>
        </w:rPr>
        <w:t> </w:t>
      </w:r>
      <w:r>
        <w:rPr/>
        <w:t>ACOs</w:t>
      </w:r>
      <w:r>
        <w:rPr>
          <w:spacing w:val="-4"/>
        </w:rPr>
        <w:t> </w:t>
      </w:r>
      <w:r>
        <w:rPr/>
        <w:t>and</w:t>
      </w:r>
      <w:r>
        <w:rPr>
          <w:spacing w:val="-2"/>
        </w:rPr>
        <w:t> </w:t>
      </w:r>
      <w:r>
        <w:rPr/>
        <w:t>Accountable</w:t>
      </w:r>
      <w:r>
        <w:rPr>
          <w:spacing w:val="-5"/>
        </w:rPr>
        <w:t> </w:t>
      </w:r>
      <w:r>
        <w:rPr/>
        <w:t>Care</w:t>
      </w:r>
      <w:r>
        <w:rPr>
          <w:spacing w:val="-5"/>
        </w:rPr>
        <w:t> </w:t>
      </w:r>
      <w:r>
        <w:rPr/>
        <w:t>Partnership</w:t>
      </w:r>
      <w:r>
        <w:rPr>
          <w:spacing w:val="-4"/>
        </w:rPr>
        <w:t> </w:t>
      </w:r>
      <w:r>
        <w:rPr/>
        <w:t>Plans</w:t>
      </w:r>
      <w:r>
        <w:rPr>
          <w:spacing w:val="-4"/>
        </w:rPr>
        <w:t> </w:t>
      </w:r>
      <w:r>
        <w:rPr/>
        <w:t>must</w:t>
      </w:r>
      <w:r>
        <w:rPr>
          <w:spacing w:val="-4"/>
        </w:rPr>
        <w:t> </w:t>
      </w:r>
      <w:r>
        <w:rPr/>
        <w:t>receive state approval and provide public notice of any such limitations on each Flexible service including specifying such limitations in the enrollee </w:t>
      </w:r>
      <w:r>
        <w:rPr>
          <w:spacing w:val="-2"/>
        </w:rPr>
        <w:t>handbook.</w:t>
      </w:r>
    </w:p>
    <w:p>
      <w:pPr>
        <w:pStyle w:val="BodyText"/>
        <w:spacing w:before="161"/>
        <w:ind w:left="2040" w:right="1059"/>
      </w:pPr>
      <w:r>
        <w:rPr/>
        <w:drawing>
          <wp:anchor distT="0" distB="0" distL="0" distR="0" allowOverlap="1" layoutInCell="1" locked="0" behindDoc="0" simplePos="0" relativeHeight="16012800">
            <wp:simplePos x="0" y="0"/>
            <wp:positionH relativeFrom="page">
              <wp:posOffset>1825751</wp:posOffset>
            </wp:positionH>
            <wp:positionV relativeFrom="paragraph">
              <wp:posOffset>172886</wp:posOffset>
            </wp:positionV>
            <wp:extent cx="109727" cy="77723"/>
            <wp:effectExtent l="0" t="0" r="0" b="0"/>
            <wp:wrapNone/>
            <wp:docPr id="566" name="Image 566"/>
            <wp:cNvGraphicFramePr>
              <a:graphicFrameLocks/>
            </wp:cNvGraphicFramePr>
            <a:graphic>
              <a:graphicData uri="http://schemas.openxmlformats.org/drawingml/2006/picture">
                <pic:pic>
                  <pic:nvPicPr>
                    <pic:cNvPr id="566" name="Image 566"/>
                    <pic:cNvPicPr/>
                  </pic:nvPicPr>
                  <pic:blipFill>
                    <a:blip r:embed="rId67" cstate="print"/>
                    <a:stretch>
                      <a:fillRect/>
                    </a:stretch>
                  </pic:blipFill>
                  <pic:spPr>
                    <a:xfrm>
                      <a:off x="0" y="0"/>
                      <a:ext cx="109727" cy="77723"/>
                    </a:xfrm>
                    <a:prstGeom prst="rect">
                      <a:avLst/>
                    </a:prstGeom>
                  </pic:spPr>
                </pic:pic>
              </a:graphicData>
            </a:graphic>
          </wp:anchor>
        </w:drawing>
      </w:r>
      <w:bookmarkStart w:name="v. HRSN Flexible Services, pursuant to S" w:id="839"/>
      <w:bookmarkEnd w:id="839"/>
      <w:r>
        <w:rPr/>
      </w:r>
      <w:r>
        <w:rPr/>
        <w:t>HRSN</w:t>
      </w:r>
      <w:r>
        <w:rPr>
          <w:spacing w:val="-5"/>
        </w:rPr>
        <w:t> </w:t>
      </w:r>
      <w:r>
        <w:rPr/>
        <w:t>Flexible</w:t>
      </w:r>
      <w:r>
        <w:rPr>
          <w:spacing w:val="-5"/>
        </w:rPr>
        <w:t> </w:t>
      </w:r>
      <w:r>
        <w:rPr/>
        <w:t>Services,</w:t>
      </w:r>
      <w:r>
        <w:rPr>
          <w:spacing w:val="-4"/>
        </w:rPr>
        <w:t> </w:t>
      </w:r>
      <w:r>
        <w:rPr/>
        <w:t>pursuant</w:t>
      </w:r>
      <w:r>
        <w:rPr>
          <w:spacing w:val="-4"/>
        </w:rPr>
        <w:t> </w:t>
      </w:r>
      <w:r>
        <w:rPr/>
        <w:t>to</w:t>
      </w:r>
      <w:r>
        <w:rPr>
          <w:spacing w:val="-4"/>
        </w:rPr>
        <w:t> </w:t>
      </w:r>
      <w:r>
        <w:rPr/>
        <w:t>STC</w:t>
      </w:r>
      <w:r>
        <w:rPr>
          <w:spacing w:val="-4"/>
        </w:rPr>
        <w:t> </w:t>
      </w:r>
      <w:r>
        <w:rPr/>
        <w:t>15.4(a),</w:t>
      </w:r>
      <w:r>
        <w:rPr>
          <w:spacing w:val="-2"/>
        </w:rPr>
        <w:t> </w:t>
      </w:r>
      <w:r>
        <w:rPr/>
        <w:t>will</w:t>
      </w:r>
      <w:r>
        <w:rPr>
          <w:spacing w:val="-4"/>
        </w:rPr>
        <w:t> </w:t>
      </w:r>
      <w:r>
        <w:rPr/>
        <w:t>be</w:t>
      </w:r>
      <w:r>
        <w:rPr>
          <w:spacing w:val="-5"/>
        </w:rPr>
        <w:t> </w:t>
      </w:r>
      <w:r>
        <w:rPr/>
        <w:t>paid</w:t>
      </w:r>
      <w:r>
        <w:rPr>
          <w:spacing w:val="-4"/>
        </w:rPr>
        <w:t> </w:t>
      </w:r>
      <w:r>
        <w:rPr/>
        <w:t>as</w:t>
      </w:r>
      <w:r>
        <w:rPr>
          <w:spacing w:val="-4"/>
        </w:rPr>
        <w:t> </w:t>
      </w:r>
      <w:r>
        <w:rPr/>
        <w:t>follows,</w:t>
      </w:r>
      <w:r>
        <w:rPr>
          <w:spacing w:val="-4"/>
        </w:rPr>
        <w:t> </w:t>
      </w:r>
      <w:r>
        <w:rPr/>
        <w:t>as of 2025:</w:t>
      </w:r>
    </w:p>
    <w:p>
      <w:pPr>
        <w:pStyle w:val="ListParagraph"/>
        <w:numPr>
          <w:ilvl w:val="2"/>
          <w:numId w:val="44"/>
        </w:numPr>
        <w:tabs>
          <w:tab w:pos="2851" w:val="left" w:leader="none"/>
        </w:tabs>
        <w:spacing w:line="240" w:lineRule="auto" w:before="158" w:after="0"/>
        <w:ind w:left="2851" w:right="1366" w:hanging="360"/>
        <w:jc w:val="both"/>
        <w:rPr>
          <w:sz w:val="24"/>
        </w:rPr>
      </w:pPr>
      <w:bookmarkStart w:name="1. The Primary Care ACOs (PCCM entities)" w:id="840"/>
      <w:bookmarkEnd w:id="840"/>
      <w:r>
        <w:rPr/>
      </w:r>
      <w:r>
        <w:rPr>
          <w:sz w:val="24"/>
        </w:rPr>
        <w:t>The</w:t>
      </w:r>
      <w:r>
        <w:rPr>
          <w:spacing w:val="-4"/>
          <w:sz w:val="24"/>
        </w:rPr>
        <w:t> </w:t>
      </w:r>
      <w:r>
        <w:rPr>
          <w:sz w:val="24"/>
        </w:rPr>
        <w:t>Primary</w:t>
      </w:r>
      <w:r>
        <w:rPr>
          <w:spacing w:val="-8"/>
          <w:sz w:val="24"/>
        </w:rPr>
        <w:t> </w:t>
      </w:r>
      <w:r>
        <w:rPr>
          <w:sz w:val="24"/>
        </w:rPr>
        <w:t>Care</w:t>
      </w:r>
      <w:r>
        <w:rPr>
          <w:spacing w:val="-2"/>
          <w:sz w:val="24"/>
        </w:rPr>
        <w:t> </w:t>
      </w:r>
      <w:r>
        <w:rPr>
          <w:sz w:val="24"/>
        </w:rPr>
        <w:t>ACOs</w:t>
      </w:r>
      <w:r>
        <w:rPr>
          <w:spacing w:val="-2"/>
          <w:sz w:val="24"/>
        </w:rPr>
        <w:t> </w:t>
      </w:r>
      <w:r>
        <w:rPr>
          <w:sz w:val="24"/>
        </w:rPr>
        <w:t>(PCCM</w:t>
      </w:r>
      <w:r>
        <w:rPr>
          <w:spacing w:val="-3"/>
          <w:sz w:val="24"/>
        </w:rPr>
        <w:t> </w:t>
      </w:r>
      <w:r>
        <w:rPr>
          <w:sz w:val="24"/>
        </w:rPr>
        <w:t>entities)</w:t>
      </w:r>
      <w:r>
        <w:rPr>
          <w:spacing w:val="-4"/>
          <w:sz w:val="24"/>
        </w:rPr>
        <w:t> </w:t>
      </w:r>
      <w:r>
        <w:rPr>
          <w:sz w:val="24"/>
        </w:rPr>
        <w:t>may</w:t>
      </w:r>
      <w:r>
        <w:rPr>
          <w:spacing w:val="-8"/>
          <w:sz w:val="24"/>
        </w:rPr>
        <w:t> </w:t>
      </w:r>
      <w:r>
        <w:rPr>
          <w:sz w:val="24"/>
        </w:rPr>
        <w:t>provide</w:t>
      </w:r>
      <w:r>
        <w:rPr>
          <w:spacing w:val="-4"/>
          <w:sz w:val="24"/>
        </w:rPr>
        <w:t> </w:t>
      </w:r>
      <w:r>
        <w:rPr>
          <w:sz w:val="24"/>
        </w:rPr>
        <w:t>payment</w:t>
      </w:r>
      <w:r>
        <w:rPr>
          <w:spacing w:val="-3"/>
          <w:sz w:val="24"/>
        </w:rPr>
        <w:t> </w:t>
      </w:r>
      <w:r>
        <w:rPr>
          <w:sz w:val="24"/>
        </w:rPr>
        <w:t>to providers for Flexible Services, consistent with the fee-for-service rates reviewed and approved by CMS.</w:t>
      </w:r>
    </w:p>
    <w:p>
      <w:pPr>
        <w:pStyle w:val="ListParagraph"/>
        <w:numPr>
          <w:ilvl w:val="2"/>
          <w:numId w:val="44"/>
        </w:numPr>
        <w:tabs>
          <w:tab w:pos="2851" w:val="left" w:leader="none"/>
        </w:tabs>
        <w:spacing w:line="240" w:lineRule="auto" w:before="120" w:after="0"/>
        <w:ind w:left="2851" w:right="1052" w:hanging="360"/>
        <w:jc w:val="left"/>
        <w:rPr>
          <w:sz w:val="24"/>
        </w:rPr>
      </w:pPr>
      <w:bookmarkStart w:name="2. For Accountable Care Partnership Plan" w:id="841"/>
      <w:bookmarkEnd w:id="841"/>
      <w:r>
        <w:rPr/>
      </w:r>
      <w:r>
        <w:rPr>
          <w:sz w:val="24"/>
        </w:rPr>
        <w:t>For Accountable Care Partnership Plans, it is permissible for Flexible Services HRSN</w:t>
      </w:r>
      <w:r>
        <w:rPr>
          <w:spacing w:val="-1"/>
          <w:sz w:val="24"/>
        </w:rPr>
        <w:t> </w:t>
      </w:r>
      <w:r>
        <w:rPr>
          <w:sz w:val="24"/>
        </w:rPr>
        <w:t>Services to be</w:t>
      </w:r>
      <w:r>
        <w:rPr>
          <w:spacing w:val="-1"/>
          <w:sz w:val="24"/>
        </w:rPr>
        <w:t> </w:t>
      </w:r>
      <w:r>
        <w:rPr>
          <w:sz w:val="24"/>
        </w:rPr>
        <w:t>provided as a</w:t>
      </w:r>
      <w:r>
        <w:rPr>
          <w:spacing w:val="-1"/>
          <w:sz w:val="24"/>
        </w:rPr>
        <w:t> </w:t>
      </w:r>
      <w:r>
        <w:rPr>
          <w:sz w:val="24"/>
        </w:rPr>
        <w:t>non-risk payment.</w:t>
      </w:r>
      <w:r>
        <w:rPr>
          <w:spacing w:val="40"/>
          <w:sz w:val="24"/>
        </w:rPr>
        <w:t> </w:t>
      </w:r>
      <w:r>
        <w:rPr>
          <w:sz w:val="24"/>
        </w:rPr>
        <w:t>For</w:t>
      </w:r>
      <w:r>
        <w:rPr>
          <w:spacing w:val="-1"/>
          <w:sz w:val="24"/>
        </w:rPr>
        <w:t> </w:t>
      </w:r>
      <w:r>
        <w:rPr>
          <w:sz w:val="24"/>
        </w:rPr>
        <w:t>a non-risk payment, the MCO is not at financial risk for changes in utilization or for costs incurred under the contract that do not exceed the upper payment limits specified in 42 CFR § 447.362 and may be reimbursed</w:t>
      </w:r>
      <w:r>
        <w:rPr>
          <w:spacing w:val="-3"/>
          <w:sz w:val="24"/>
        </w:rPr>
        <w:t> </w:t>
      </w:r>
      <w:r>
        <w:rPr>
          <w:sz w:val="24"/>
        </w:rPr>
        <w:t>by</w:t>
      </w:r>
      <w:r>
        <w:rPr>
          <w:spacing w:val="-8"/>
          <w:sz w:val="24"/>
        </w:rPr>
        <w:t> </w:t>
      </w:r>
      <w:r>
        <w:rPr>
          <w:sz w:val="24"/>
        </w:rPr>
        <w:t>the</w:t>
      </w:r>
      <w:r>
        <w:rPr>
          <w:spacing w:val="-4"/>
          <w:sz w:val="24"/>
        </w:rPr>
        <w:t> </w:t>
      </w:r>
      <w:r>
        <w:rPr>
          <w:sz w:val="24"/>
        </w:rPr>
        <w:t>Commonwealth</w:t>
      </w:r>
      <w:r>
        <w:rPr>
          <w:spacing w:val="-3"/>
          <w:sz w:val="24"/>
        </w:rPr>
        <w:t> </w:t>
      </w:r>
      <w:r>
        <w:rPr>
          <w:sz w:val="24"/>
        </w:rPr>
        <w:t>at</w:t>
      </w:r>
      <w:r>
        <w:rPr>
          <w:spacing w:val="-3"/>
          <w:sz w:val="24"/>
        </w:rPr>
        <w:t> </w:t>
      </w:r>
      <w:r>
        <w:rPr>
          <w:sz w:val="24"/>
        </w:rPr>
        <w:t>the</w:t>
      </w:r>
      <w:r>
        <w:rPr>
          <w:spacing w:val="-4"/>
          <w:sz w:val="24"/>
        </w:rPr>
        <w:t> </w:t>
      </w:r>
      <w:r>
        <w:rPr>
          <w:sz w:val="24"/>
        </w:rPr>
        <w:t>end</w:t>
      </w:r>
      <w:r>
        <w:rPr>
          <w:spacing w:val="-3"/>
          <w:sz w:val="24"/>
        </w:rPr>
        <w:t> </w:t>
      </w:r>
      <w:r>
        <w:rPr>
          <w:sz w:val="24"/>
        </w:rPr>
        <w:t>of</w:t>
      </w:r>
      <w:r>
        <w:rPr>
          <w:spacing w:val="-4"/>
          <w:sz w:val="24"/>
        </w:rPr>
        <w:t> </w:t>
      </w:r>
      <w:r>
        <w:rPr>
          <w:sz w:val="24"/>
        </w:rPr>
        <w:t>the</w:t>
      </w:r>
      <w:r>
        <w:rPr>
          <w:spacing w:val="-4"/>
          <w:sz w:val="24"/>
        </w:rPr>
        <w:t> </w:t>
      </w:r>
      <w:r>
        <w:rPr>
          <w:sz w:val="24"/>
        </w:rPr>
        <w:t>contract</w:t>
      </w:r>
      <w:r>
        <w:rPr>
          <w:spacing w:val="-3"/>
          <w:sz w:val="24"/>
        </w:rPr>
        <w:t> </w:t>
      </w:r>
      <w:r>
        <w:rPr>
          <w:sz w:val="24"/>
        </w:rPr>
        <w:t>period</w:t>
      </w:r>
      <w:r>
        <w:rPr>
          <w:spacing w:val="-3"/>
          <w:sz w:val="24"/>
        </w:rPr>
        <w:t> </w:t>
      </w:r>
      <w:r>
        <w:rPr>
          <w:sz w:val="24"/>
        </w:rPr>
        <w:t>on the basis of the incurred costs, subject to the specified limits.</w:t>
      </w:r>
      <w:r>
        <w:rPr>
          <w:spacing w:val="40"/>
          <w:sz w:val="24"/>
        </w:rPr>
        <w:t> </w:t>
      </w:r>
      <w:r>
        <w:rPr>
          <w:sz w:val="24"/>
        </w:rPr>
        <w:t>For the purposes of this demonstration, fee-for-service as defined in 42 CFR</w:t>
      </w:r>
    </w:p>
    <w:p>
      <w:pPr>
        <w:pStyle w:val="BodyText"/>
        <w:ind w:left="2851" w:right="1086"/>
      </w:pPr>
      <w:r>
        <w:rPr/>
        <w:t>§</w:t>
      </w:r>
      <w:r>
        <w:rPr>
          <w:spacing w:val="-5"/>
        </w:rPr>
        <w:t> </w:t>
      </w:r>
      <w:r>
        <w:rPr/>
        <w:t>447.362</w:t>
      </w:r>
      <w:r>
        <w:rPr>
          <w:spacing w:val="-5"/>
        </w:rPr>
        <w:t> </w:t>
      </w:r>
      <w:r>
        <w:rPr/>
        <w:t>is</w:t>
      </w:r>
      <w:r>
        <w:rPr>
          <w:spacing w:val="-5"/>
        </w:rPr>
        <w:t> </w:t>
      </w:r>
      <w:r>
        <w:rPr/>
        <w:t>the</w:t>
      </w:r>
      <w:r>
        <w:rPr>
          <w:spacing w:val="-6"/>
        </w:rPr>
        <w:t> </w:t>
      </w:r>
      <w:r>
        <w:rPr/>
        <w:t>fee-for-service</w:t>
      </w:r>
      <w:r>
        <w:rPr>
          <w:spacing w:val="-4"/>
        </w:rPr>
        <w:t> </w:t>
      </w:r>
      <w:r>
        <w:rPr/>
        <w:t>authorized</w:t>
      </w:r>
      <w:r>
        <w:rPr>
          <w:spacing w:val="-5"/>
        </w:rPr>
        <w:t> </w:t>
      </w:r>
      <w:r>
        <w:rPr/>
        <w:t>in</w:t>
      </w:r>
      <w:r>
        <w:rPr>
          <w:spacing w:val="-5"/>
        </w:rPr>
        <w:t> </w:t>
      </w:r>
      <w:r>
        <w:rPr/>
        <w:t>this</w:t>
      </w:r>
      <w:r>
        <w:rPr>
          <w:spacing w:val="-5"/>
        </w:rPr>
        <w:t> </w:t>
      </w:r>
      <w:r>
        <w:rPr/>
        <w:t>demonstration</w:t>
      </w:r>
      <w:r>
        <w:rPr>
          <w:spacing w:val="-5"/>
        </w:rPr>
        <w:t> </w:t>
      </w:r>
      <w:r>
        <w:rPr/>
        <w:t>for Flexible Services paid on a fee-for-service basis by</w:t>
      </w:r>
      <w:r>
        <w:rPr>
          <w:spacing w:val="-2"/>
        </w:rPr>
        <w:t> </w:t>
      </w:r>
      <w:r>
        <w:rPr/>
        <w:t>MassHealth.</w:t>
      </w:r>
      <w:r>
        <w:rPr>
          <w:spacing w:val="40"/>
        </w:rPr>
        <w:t> </w:t>
      </w:r>
      <w:r>
        <w:rPr/>
        <w:t>If the Commonwealth chooses instead to incorporate the Flexible Services HRSN</w:t>
      </w:r>
      <w:r>
        <w:rPr>
          <w:spacing w:val="-1"/>
        </w:rPr>
        <w:t> </w:t>
      </w:r>
      <w:r>
        <w:rPr/>
        <w:t>Services into the</w:t>
      </w:r>
      <w:r>
        <w:rPr>
          <w:spacing w:val="-1"/>
        </w:rPr>
        <w:t> </w:t>
      </w:r>
      <w:r>
        <w:rPr/>
        <w:t>risk-based capitation rates it must comply with all applicable Federal requirements, including but not limited to 42 CFR §§ 438.4, 438.5 and 438.7.</w:t>
      </w:r>
    </w:p>
    <w:p>
      <w:pPr>
        <w:pStyle w:val="BodyText"/>
        <w:spacing w:before="161"/>
        <w:ind w:left="2040" w:right="1069"/>
      </w:pPr>
      <w:r>
        <w:rPr/>
        <w:drawing>
          <wp:anchor distT="0" distB="0" distL="0" distR="0" allowOverlap="1" layoutInCell="1" locked="0" behindDoc="0" simplePos="0" relativeHeight="16013312">
            <wp:simplePos x="0" y="0"/>
            <wp:positionH relativeFrom="page">
              <wp:posOffset>1783079</wp:posOffset>
            </wp:positionH>
            <wp:positionV relativeFrom="paragraph">
              <wp:posOffset>134786</wp:posOffset>
            </wp:positionV>
            <wp:extent cx="152399" cy="115823"/>
            <wp:effectExtent l="0" t="0" r="0" b="0"/>
            <wp:wrapNone/>
            <wp:docPr id="567" name="Image 567"/>
            <wp:cNvGraphicFramePr>
              <a:graphicFrameLocks/>
            </wp:cNvGraphicFramePr>
            <a:graphic>
              <a:graphicData uri="http://schemas.openxmlformats.org/drawingml/2006/picture">
                <pic:pic>
                  <pic:nvPicPr>
                    <pic:cNvPr id="567" name="Image 567"/>
                    <pic:cNvPicPr/>
                  </pic:nvPicPr>
                  <pic:blipFill>
                    <a:blip r:embed="rId98" cstate="print"/>
                    <a:stretch>
                      <a:fillRect/>
                    </a:stretch>
                  </pic:blipFill>
                  <pic:spPr>
                    <a:xfrm>
                      <a:off x="0" y="0"/>
                      <a:ext cx="152399" cy="115823"/>
                    </a:xfrm>
                    <a:prstGeom prst="rect">
                      <a:avLst/>
                    </a:prstGeom>
                  </pic:spPr>
                </pic:pic>
              </a:graphicData>
            </a:graphic>
          </wp:anchor>
        </w:drawing>
      </w:r>
      <w:bookmarkStart w:name="vi. MassHealth may offer Primary Care AC" w:id="842"/>
      <w:bookmarkEnd w:id="842"/>
      <w:r>
        <w:rPr/>
      </w:r>
      <w:r>
        <w:rPr/>
        <w:t>MassHealth may</w:t>
      </w:r>
      <w:r>
        <w:rPr>
          <w:spacing w:val="-5"/>
        </w:rPr>
        <w:t> </w:t>
      </w:r>
      <w:r>
        <w:rPr/>
        <w:t>offer</w:t>
      </w:r>
      <w:r>
        <w:rPr>
          <w:spacing w:val="-1"/>
        </w:rPr>
        <w:t> </w:t>
      </w:r>
      <w:r>
        <w:rPr/>
        <w:t>Primary</w:t>
      </w:r>
      <w:r>
        <w:rPr>
          <w:spacing w:val="-5"/>
        </w:rPr>
        <w:t> </w:t>
      </w:r>
      <w:r>
        <w:rPr/>
        <w:t>Care</w:t>
      </w:r>
      <w:r>
        <w:rPr>
          <w:spacing w:val="-1"/>
        </w:rPr>
        <w:t> </w:t>
      </w:r>
      <w:r>
        <w:rPr/>
        <w:t>ACOs and Accountable</w:t>
      </w:r>
      <w:r>
        <w:rPr>
          <w:spacing w:val="-1"/>
        </w:rPr>
        <w:t> </w:t>
      </w:r>
      <w:r>
        <w:rPr/>
        <w:t>Care</w:t>
      </w:r>
      <w:r>
        <w:rPr>
          <w:spacing w:val="-1"/>
        </w:rPr>
        <w:t> </w:t>
      </w:r>
      <w:r>
        <w:rPr/>
        <w:t>Partnership Plans the option to newly offer Flexible Services HRSN services or change their election from time to time and may make or change such election pursuant to the terms of their contract with the Commonwealth.</w:t>
      </w:r>
      <w:r>
        <w:rPr>
          <w:spacing w:val="40"/>
        </w:rPr>
        <w:t> </w:t>
      </w:r>
      <w:r>
        <w:rPr/>
        <w:t>Any change to</w:t>
      </w:r>
      <w:r>
        <w:rPr>
          <w:spacing w:val="-3"/>
        </w:rPr>
        <w:t> </w:t>
      </w:r>
      <w:r>
        <w:rPr/>
        <w:t>the</w:t>
      </w:r>
      <w:r>
        <w:rPr>
          <w:spacing w:val="-4"/>
        </w:rPr>
        <w:t> </w:t>
      </w:r>
      <w:r>
        <w:rPr/>
        <w:t>coverage</w:t>
      </w:r>
      <w:r>
        <w:rPr>
          <w:spacing w:val="-4"/>
        </w:rPr>
        <w:t> </w:t>
      </w:r>
      <w:r>
        <w:rPr/>
        <w:t>of</w:t>
      </w:r>
      <w:r>
        <w:rPr>
          <w:spacing w:val="-3"/>
        </w:rPr>
        <w:t> </w:t>
      </w:r>
      <w:r>
        <w:rPr/>
        <w:t>Flexible</w:t>
      </w:r>
      <w:r>
        <w:rPr>
          <w:spacing w:val="-4"/>
        </w:rPr>
        <w:t> </w:t>
      </w:r>
      <w:r>
        <w:rPr/>
        <w:t>Services</w:t>
      </w:r>
      <w:r>
        <w:rPr>
          <w:spacing w:val="-3"/>
        </w:rPr>
        <w:t> </w:t>
      </w:r>
      <w:r>
        <w:rPr/>
        <w:t>HRSN</w:t>
      </w:r>
      <w:r>
        <w:rPr>
          <w:spacing w:val="-4"/>
        </w:rPr>
        <w:t> </w:t>
      </w:r>
      <w:r>
        <w:rPr/>
        <w:t>services</w:t>
      </w:r>
      <w:r>
        <w:rPr>
          <w:spacing w:val="-3"/>
        </w:rPr>
        <w:t> </w:t>
      </w:r>
      <w:r>
        <w:rPr/>
        <w:t>requires</w:t>
      </w:r>
      <w:r>
        <w:rPr>
          <w:spacing w:val="-2"/>
        </w:rPr>
        <w:t> </w:t>
      </w:r>
      <w:r>
        <w:rPr/>
        <w:t>an</w:t>
      </w:r>
      <w:r>
        <w:rPr>
          <w:spacing w:val="-3"/>
        </w:rPr>
        <w:t> </w:t>
      </w:r>
      <w:r>
        <w:rPr/>
        <w:t>amendment</w:t>
      </w:r>
      <w:r>
        <w:rPr>
          <w:spacing w:val="-3"/>
        </w:rPr>
        <w:t> </w:t>
      </w:r>
      <w:r>
        <w:rPr/>
        <w:t>to the</w:t>
      </w:r>
      <w:r>
        <w:rPr>
          <w:spacing w:val="-3"/>
        </w:rPr>
        <w:t> </w:t>
      </w:r>
      <w:r>
        <w:rPr/>
        <w:t>Commonwealth’s</w:t>
      </w:r>
      <w:r>
        <w:rPr>
          <w:spacing w:val="-2"/>
        </w:rPr>
        <w:t> </w:t>
      </w:r>
      <w:r>
        <w:rPr/>
        <w:t>contracts</w:t>
      </w:r>
      <w:r>
        <w:rPr>
          <w:spacing w:val="-2"/>
        </w:rPr>
        <w:t> </w:t>
      </w:r>
      <w:r>
        <w:rPr/>
        <w:t>with</w:t>
      </w:r>
      <w:r>
        <w:rPr>
          <w:spacing w:val="-2"/>
        </w:rPr>
        <w:t> </w:t>
      </w:r>
      <w:r>
        <w:rPr/>
        <w:t>the</w:t>
      </w:r>
      <w:r>
        <w:rPr>
          <w:spacing w:val="-3"/>
        </w:rPr>
        <w:t> </w:t>
      </w:r>
      <w:r>
        <w:rPr/>
        <w:t>Primary</w:t>
      </w:r>
      <w:r>
        <w:rPr>
          <w:spacing w:val="-5"/>
        </w:rPr>
        <w:t> </w:t>
      </w:r>
      <w:r>
        <w:rPr/>
        <w:t>Care</w:t>
      </w:r>
      <w:r>
        <w:rPr>
          <w:spacing w:val="-3"/>
        </w:rPr>
        <w:t> </w:t>
      </w:r>
      <w:r>
        <w:rPr/>
        <w:t>ACOs</w:t>
      </w:r>
      <w:r>
        <w:rPr>
          <w:spacing w:val="-2"/>
        </w:rPr>
        <w:t> </w:t>
      </w:r>
      <w:r>
        <w:rPr/>
        <w:t>and</w:t>
      </w:r>
      <w:r>
        <w:rPr>
          <w:spacing w:val="-2"/>
        </w:rPr>
        <w:t> </w:t>
      </w:r>
      <w:r>
        <w:rPr/>
        <w:t>Accountable Partnership Plans that requires CMS review and approval in accordance with 42 CFR 438.3(a) and (r).</w:t>
      </w:r>
      <w:r>
        <w:rPr>
          <w:spacing w:val="40"/>
        </w:rPr>
        <w:t> </w:t>
      </w:r>
      <w:r>
        <w:rPr/>
        <w:t>Additionally, when Flexible Services HRSN services are included in risk-based capitation rates for the Accountable Care Partnership Plans, the Commonwealth’s actuary must evaluate if a rate amendment is necessary to ensure actuarially sound capitation rates in accordance with 42 CFR 438.4.</w:t>
      </w:r>
      <w:r>
        <w:rPr>
          <w:spacing w:val="40"/>
        </w:rPr>
        <w:t> </w:t>
      </w:r>
      <w:r>
        <w:rPr/>
        <w:t>The Commonwealth or managed care plan must also provide adequate notice to beneficiaries.</w:t>
      </w:r>
    </w:p>
    <w:p>
      <w:pPr>
        <w:pStyle w:val="BodyText"/>
        <w:spacing w:before="159"/>
        <w:ind w:left="2039" w:right="1059"/>
      </w:pPr>
      <w:r>
        <w:rPr/>
        <w:drawing>
          <wp:anchor distT="0" distB="0" distL="0" distR="0" allowOverlap="1" layoutInCell="1" locked="0" behindDoc="0" simplePos="0" relativeHeight="16013824">
            <wp:simplePos x="0" y="0"/>
            <wp:positionH relativeFrom="page">
              <wp:posOffset>1740407</wp:posOffset>
            </wp:positionH>
            <wp:positionV relativeFrom="paragraph">
              <wp:posOffset>133516</wp:posOffset>
            </wp:positionV>
            <wp:extent cx="195059" cy="115823"/>
            <wp:effectExtent l="0" t="0" r="0" b="0"/>
            <wp:wrapNone/>
            <wp:docPr id="568" name="Image 568"/>
            <wp:cNvGraphicFramePr>
              <a:graphicFrameLocks/>
            </wp:cNvGraphicFramePr>
            <a:graphic>
              <a:graphicData uri="http://schemas.openxmlformats.org/drawingml/2006/picture">
                <pic:pic>
                  <pic:nvPicPr>
                    <pic:cNvPr id="568" name="Image 568"/>
                    <pic:cNvPicPr/>
                  </pic:nvPicPr>
                  <pic:blipFill>
                    <a:blip r:embed="rId128" cstate="print"/>
                    <a:stretch>
                      <a:fillRect/>
                    </a:stretch>
                  </pic:blipFill>
                  <pic:spPr>
                    <a:xfrm>
                      <a:off x="0" y="0"/>
                      <a:ext cx="195059" cy="115823"/>
                    </a:xfrm>
                    <a:prstGeom prst="rect">
                      <a:avLst/>
                    </a:prstGeom>
                  </pic:spPr>
                </pic:pic>
              </a:graphicData>
            </a:graphic>
          </wp:anchor>
        </w:drawing>
      </w:r>
      <w:bookmarkStart w:name="vii. MassHealth may permit Primary Care " w:id="843"/>
      <w:bookmarkEnd w:id="843"/>
      <w:r>
        <w:rPr/>
      </w:r>
      <w:r>
        <w:rPr/>
        <w:t>MassHealth may permit Primary Care ACOs and Accountable Care Partnership</w:t>
      </w:r>
      <w:r>
        <w:rPr>
          <w:spacing w:val="-4"/>
        </w:rPr>
        <w:t> </w:t>
      </w:r>
      <w:r>
        <w:rPr/>
        <w:t>Plans</w:t>
      </w:r>
      <w:r>
        <w:rPr>
          <w:spacing w:val="-4"/>
        </w:rPr>
        <w:t> </w:t>
      </w:r>
      <w:r>
        <w:rPr/>
        <w:t>to</w:t>
      </w:r>
      <w:r>
        <w:rPr>
          <w:spacing w:val="-4"/>
        </w:rPr>
        <w:t> </w:t>
      </w:r>
      <w:r>
        <w:rPr/>
        <w:t>discontinue</w:t>
      </w:r>
      <w:r>
        <w:rPr>
          <w:spacing w:val="-5"/>
        </w:rPr>
        <w:t> </w:t>
      </w:r>
      <w:r>
        <w:rPr/>
        <w:t>offering</w:t>
      </w:r>
      <w:r>
        <w:rPr>
          <w:spacing w:val="-5"/>
        </w:rPr>
        <w:t> </w:t>
      </w:r>
      <w:r>
        <w:rPr/>
        <w:t>Flexible</w:t>
      </w:r>
      <w:r>
        <w:rPr>
          <w:spacing w:val="-5"/>
        </w:rPr>
        <w:t> </w:t>
      </w:r>
      <w:r>
        <w:rPr/>
        <w:t>Services</w:t>
      </w:r>
      <w:r>
        <w:rPr>
          <w:spacing w:val="-4"/>
        </w:rPr>
        <w:t> </w:t>
      </w:r>
      <w:r>
        <w:rPr/>
        <w:t>HRSN</w:t>
      </w:r>
      <w:r>
        <w:rPr>
          <w:spacing w:val="-5"/>
        </w:rPr>
        <w:t> </w:t>
      </w:r>
      <w:r>
        <w:rPr/>
        <w:t>services services</w:t>
      </w:r>
      <w:r>
        <w:rPr>
          <w:spacing w:val="40"/>
        </w:rPr>
        <w:t> </w:t>
      </w:r>
      <w:r>
        <w:rPr/>
        <w:t>with</w:t>
      </w:r>
      <w:r>
        <w:rPr>
          <w:spacing w:val="-3"/>
        </w:rPr>
        <w:t> </w:t>
      </w:r>
      <w:r>
        <w:rPr/>
        <w:t>notice</w:t>
      </w:r>
      <w:r>
        <w:rPr>
          <w:spacing w:val="-4"/>
        </w:rPr>
        <w:t> </w:t>
      </w:r>
      <w:r>
        <w:rPr/>
        <w:t>to</w:t>
      </w:r>
      <w:r>
        <w:rPr>
          <w:spacing w:val="-3"/>
        </w:rPr>
        <w:t> </w:t>
      </w:r>
      <w:r>
        <w:rPr/>
        <w:t>the</w:t>
      </w:r>
      <w:r>
        <w:rPr>
          <w:spacing w:val="-4"/>
        </w:rPr>
        <w:t> </w:t>
      </w:r>
      <w:r>
        <w:rPr/>
        <w:t>state</w:t>
      </w:r>
      <w:r>
        <w:rPr>
          <w:spacing w:val="-4"/>
        </w:rPr>
        <w:t> </w:t>
      </w:r>
      <w:r>
        <w:rPr/>
        <w:t>Medicaid</w:t>
      </w:r>
      <w:r>
        <w:rPr>
          <w:spacing w:val="-3"/>
        </w:rPr>
        <w:t> </w:t>
      </w:r>
      <w:r>
        <w:rPr/>
        <w:t>agency,</w:t>
      </w:r>
      <w:r>
        <w:rPr>
          <w:spacing w:val="-3"/>
        </w:rPr>
        <w:t> </w:t>
      </w:r>
      <w:r>
        <w:rPr/>
        <w:t>and</w:t>
      </w:r>
      <w:r>
        <w:rPr>
          <w:spacing w:val="-3"/>
        </w:rPr>
        <w:t> </w:t>
      </w:r>
      <w:r>
        <w:rPr/>
        <w:t>beneficiaries,</w:t>
      </w:r>
      <w:r>
        <w:rPr>
          <w:spacing w:val="-1"/>
        </w:rPr>
        <w:t> </w:t>
      </w:r>
      <w:r>
        <w:rPr/>
        <w:t>at</w:t>
      </w:r>
      <w:r>
        <w:rPr>
          <w:spacing w:val="-3"/>
        </w:rPr>
        <w:t> </w:t>
      </w:r>
      <w:r>
        <w:rPr/>
        <w:t>the Commonwealth’s discretion.</w:t>
      </w:r>
      <w:r>
        <w:rPr>
          <w:spacing w:val="40"/>
        </w:rPr>
        <w:t> </w:t>
      </w:r>
      <w:r>
        <w:rPr/>
        <w:t>When a managed care plan ceases to offer Flexible</w:t>
      </w:r>
      <w:r>
        <w:rPr>
          <w:spacing w:val="-5"/>
        </w:rPr>
        <w:t> </w:t>
      </w:r>
      <w:r>
        <w:rPr/>
        <w:t>Services</w:t>
      </w:r>
      <w:r>
        <w:rPr>
          <w:spacing w:val="-4"/>
        </w:rPr>
        <w:t> </w:t>
      </w:r>
      <w:r>
        <w:rPr/>
        <w:t>HRSN</w:t>
      </w:r>
      <w:r>
        <w:rPr>
          <w:spacing w:val="-5"/>
        </w:rPr>
        <w:t> </w:t>
      </w:r>
      <w:r>
        <w:rPr/>
        <w:t>service</w:t>
      </w:r>
      <w:r>
        <w:rPr>
          <w:spacing w:val="-5"/>
        </w:rPr>
        <w:t> </w:t>
      </w:r>
      <w:r>
        <w:rPr/>
        <w:t>to</w:t>
      </w:r>
      <w:r>
        <w:rPr>
          <w:spacing w:val="-4"/>
        </w:rPr>
        <w:t> </w:t>
      </w:r>
      <w:r>
        <w:rPr/>
        <w:t>its</w:t>
      </w:r>
      <w:r>
        <w:rPr>
          <w:spacing w:val="-4"/>
        </w:rPr>
        <w:t> </w:t>
      </w:r>
      <w:r>
        <w:rPr/>
        <w:t>enrollees,</w:t>
      </w:r>
      <w:r>
        <w:rPr>
          <w:spacing w:val="-4"/>
        </w:rPr>
        <w:t> </w:t>
      </w:r>
      <w:r>
        <w:rPr/>
        <w:t>the</w:t>
      </w:r>
      <w:r>
        <w:rPr>
          <w:spacing w:val="-5"/>
        </w:rPr>
        <w:t> </w:t>
      </w:r>
      <w:r>
        <w:rPr/>
        <w:t>Commonwealth</w:t>
      </w:r>
      <w:r>
        <w:rPr>
          <w:spacing w:val="-4"/>
        </w:rPr>
        <w:t> </w:t>
      </w:r>
      <w:r>
        <w:rPr/>
        <w:t>or</w:t>
      </w:r>
      <w:r>
        <w:rPr>
          <w:spacing w:val="-5"/>
        </w:rPr>
        <w:t> </w:t>
      </w:r>
      <w:r>
        <w:rPr/>
        <w:t>the plan, as directed by the Commonwealth, must develop a transition of care</w:t>
      </w:r>
    </w:p>
    <w:p>
      <w:pPr>
        <w:spacing w:after="0"/>
        <w:sectPr>
          <w:pgSz w:w="12240" w:h="15840"/>
          <w:pgMar w:header="0" w:footer="1201" w:top="1360" w:bottom="1400" w:left="1200" w:right="400"/>
        </w:sectPr>
      </w:pPr>
    </w:p>
    <w:p>
      <w:pPr>
        <w:pStyle w:val="BodyText"/>
        <w:spacing w:before="79"/>
        <w:ind w:left="2040" w:right="1095"/>
      </w:pPr>
      <w:r>
        <w:rPr/>
        <w:t>policy</w:t>
      </w:r>
      <w:r>
        <w:rPr>
          <w:spacing w:val="-8"/>
        </w:rPr>
        <w:t> </w:t>
      </w:r>
      <w:r>
        <w:rPr/>
        <w:t>to</w:t>
      </w:r>
      <w:r>
        <w:rPr>
          <w:spacing w:val="-3"/>
        </w:rPr>
        <w:t> </w:t>
      </w:r>
      <w:r>
        <w:rPr/>
        <w:t>ensure</w:t>
      </w:r>
      <w:r>
        <w:rPr>
          <w:spacing w:val="-4"/>
        </w:rPr>
        <w:t> </w:t>
      </w:r>
      <w:r>
        <w:rPr/>
        <w:t>enrollee</w:t>
      </w:r>
      <w:r>
        <w:rPr>
          <w:spacing w:val="-2"/>
        </w:rPr>
        <w:t> </w:t>
      </w:r>
      <w:r>
        <w:rPr/>
        <w:t>protections</w:t>
      </w:r>
      <w:r>
        <w:rPr>
          <w:spacing w:val="-3"/>
        </w:rPr>
        <w:t> </w:t>
      </w:r>
      <w:r>
        <w:rPr/>
        <w:t>as</w:t>
      </w:r>
      <w:r>
        <w:rPr>
          <w:spacing w:val="-3"/>
        </w:rPr>
        <w:t> </w:t>
      </w:r>
      <w:r>
        <w:rPr/>
        <w:t>well</w:t>
      </w:r>
      <w:r>
        <w:rPr>
          <w:spacing w:val="-3"/>
        </w:rPr>
        <w:t> </w:t>
      </w:r>
      <w:r>
        <w:rPr/>
        <w:t>as</w:t>
      </w:r>
      <w:r>
        <w:rPr>
          <w:spacing w:val="-3"/>
        </w:rPr>
        <w:t> </w:t>
      </w:r>
      <w:r>
        <w:rPr/>
        <w:t>minimal</w:t>
      </w:r>
      <w:r>
        <w:rPr>
          <w:spacing w:val="-3"/>
        </w:rPr>
        <w:t> </w:t>
      </w:r>
      <w:r>
        <w:rPr/>
        <w:t>disruption</w:t>
      </w:r>
      <w:r>
        <w:rPr>
          <w:spacing w:val="-3"/>
        </w:rPr>
        <w:t> </w:t>
      </w:r>
      <w:r>
        <w:rPr/>
        <w:t>of</w:t>
      </w:r>
      <w:r>
        <w:rPr>
          <w:spacing w:val="-4"/>
        </w:rPr>
        <w:t> </w:t>
      </w:r>
      <w:r>
        <w:rPr/>
        <w:t>care</w:t>
      </w:r>
      <w:r>
        <w:rPr>
          <w:spacing w:val="-2"/>
        </w:rPr>
        <w:t> </w:t>
      </w:r>
      <w:r>
        <w:rPr/>
        <w:t>and adequate access to state plan services and settings.</w:t>
      </w:r>
      <w:r>
        <w:rPr>
          <w:spacing w:val="40"/>
        </w:rPr>
        <w:t> </w:t>
      </w:r>
      <w:r>
        <w:rPr/>
        <w:t>The Commonwealth must also modify the corresponding managed care contracts and submit the modified contracts to CMS as required in 42 CFR 438.3(a).</w:t>
      </w:r>
      <w:r>
        <w:rPr>
          <w:spacing w:val="40"/>
        </w:rPr>
        <w:t> </w:t>
      </w:r>
      <w:r>
        <w:rPr/>
        <w:t>Additionally, the Commonwealth must adjust payment as needed to either remove the non-risk payment if the HRSN is reimbursed in that manner, or if the HRSN is included within the risk-based capitation rate it should be revised, as needed, to remove utilization and cost of the HRSN from capitation rates as required in § 438.7(a) and § 438.7(c)(2).</w:t>
      </w:r>
    </w:p>
    <w:p>
      <w:pPr>
        <w:pStyle w:val="BodyText"/>
        <w:spacing w:before="10"/>
        <w:rPr>
          <w:sz w:val="20"/>
        </w:rPr>
      </w:pPr>
    </w:p>
    <w:p>
      <w:pPr>
        <w:pStyle w:val="Heading5"/>
        <w:ind w:left="871"/>
      </w:pPr>
      <w:r>
        <w:rPr/>
        <w:drawing>
          <wp:anchor distT="0" distB="0" distL="0" distR="0" allowOverlap="1" layoutInCell="1" locked="0" behindDoc="0" simplePos="0" relativeHeight="16014336">
            <wp:simplePos x="0" y="0"/>
            <wp:positionH relativeFrom="page">
              <wp:posOffset>908303</wp:posOffset>
            </wp:positionH>
            <wp:positionV relativeFrom="paragraph">
              <wp:posOffset>35599</wp:posOffset>
            </wp:positionV>
            <wp:extent cx="283463" cy="112775"/>
            <wp:effectExtent l="0" t="0" r="0" b="0"/>
            <wp:wrapNone/>
            <wp:docPr id="569" name="Image 569"/>
            <wp:cNvGraphicFramePr>
              <a:graphicFrameLocks/>
            </wp:cNvGraphicFramePr>
            <a:graphic>
              <a:graphicData uri="http://schemas.openxmlformats.org/drawingml/2006/picture">
                <pic:pic>
                  <pic:nvPicPr>
                    <pic:cNvPr id="569" name="Image 569"/>
                    <pic:cNvPicPr/>
                  </pic:nvPicPr>
                  <pic:blipFill>
                    <a:blip r:embed="rId233" cstate="print"/>
                    <a:stretch>
                      <a:fillRect/>
                    </a:stretch>
                  </pic:blipFill>
                  <pic:spPr>
                    <a:xfrm>
                      <a:off x="0" y="0"/>
                      <a:ext cx="283463" cy="112775"/>
                    </a:xfrm>
                    <a:prstGeom prst="rect">
                      <a:avLst/>
                    </a:prstGeom>
                  </pic:spPr>
                </pic:pic>
              </a:graphicData>
            </a:graphic>
          </wp:anchor>
        </w:drawing>
      </w:r>
      <w:bookmarkStart w:name="15.8. Contracted Providers." w:id="844"/>
      <w:bookmarkEnd w:id="844"/>
      <w:r>
        <w:rPr>
          <w:b w:val="0"/>
        </w:rPr>
      </w:r>
      <w:r>
        <w:rPr/>
        <w:t>Contracted</w:t>
      </w:r>
      <w:r>
        <w:rPr>
          <w:spacing w:val="-4"/>
        </w:rPr>
        <w:t> </w:t>
      </w:r>
      <w:r>
        <w:rPr>
          <w:spacing w:val="-2"/>
        </w:rPr>
        <w:t>Providers.</w:t>
      </w:r>
    </w:p>
    <w:p>
      <w:pPr>
        <w:pStyle w:val="BodyText"/>
        <w:spacing w:before="10"/>
        <w:rPr>
          <w:b/>
          <w:sz w:val="20"/>
        </w:rPr>
      </w:pPr>
    </w:p>
    <w:p>
      <w:pPr>
        <w:pStyle w:val="BodyText"/>
        <w:ind w:left="1411"/>
      </w:pPr>
      <w:r>
        <w:rPr/>
        <w:drawing>
          <wp:anchor distT="0" distB="0" distL="0" distR="0" allowOverlap="1" layoutInCell="1" locked="0" behindDoc="0" simplePos="0" relativeHeight="16014848">
            <wp:simplePos x="0" y="0"/>
            <wp:positionH relativeFrom="page">
              <wp:posOffset>1431036</wp:posOffset>
            </wp:positionH>
            <wp:positionV relativeFrom="paragraph">
              <wp:posOffset>67616</wp:posOffset>
            </wp:positionV>
            <wp:extent cx="96011" cy="80759"/>
            <wp:effectExtent l="0" t="0" r="0" b="0"/>
            <wp:wrapNone/>
            <wp:docPr id="570" name="Image 570"/>
            <wp:cNvGraphicFramePr>
              <a:graphicFrameLocks/>
            </wp:cNvGraphicFramePr>
            <a:graphic>
              <a:graphicData uri="http://schemas.openxmlformats.org/drawingml/2006/picture">
                <pic:pic>
                  <pic:nvPicPr>
                    <pic:cNvPr id="570" name="Image 570"/>
                    <pic:cNvPicPr/>
                  </pic:nvPicPr>
                  <pic:blipFill>
                    <a:blip r:embed="rId29" cstate="print"/>
                    <a:stretch>
                      <a:fillRect/>
                    </a:stretch>
                  </pic:blipFill>
                  <pic:spPr>
                    <a:xfrm>
                      <a:off x="0" y="0"/>
                      <a:ext cx="96011" cy="80759"/>
                    </a:xfrm>
                    <a:prstGeom prst="rect">
                      <a:avLst/>
                    </a:prstGeom>
                  </pic:spPr>
                </pic:pic>
              </a:graphicData>
            </a:graphic>
          </wp:anchor>
        </w:drawing>
      </w:r>
      <w:bookmarkStart w:name="a. Specialized CSP HRSN Services, applic" w:id="845"/>
      <w:bookmarkEnd w:id="845"/>
      <w:r>
        <w:rPr/>
      </w:r>
      <w:r>
        <w:rPr/>
        <w:t>Specialized</w:t>
      </w:r>
      <w:r>
        <w:rPr>
          <w:spacing w:val="-4"/>
        </w:rPr>
        <w:t> </w:t>
      </w:r>
      <w:r>
        <w:rPr/>
        <w:t>CSP</w:t>
      </w:r>
      <w:r>
        <w:rPr>
          <w:spacing w:val="-2"/>
        </w:rPr>
        <w:t> </w:t>
      </w:r>
      <w:r>
        <w:rPr/>
        <w:t>HRSN</w:t>
      </w:r>
      <w:r>
        <w:rPr>
          <w:spacing w:val="-2"/>
        </w:rPr>
        <w:t> </w:t>
      </w:r>
      <w:r>
        <w:rPr/>
        <w:t>Services,</w:t>
      </w:r>
      <w:r>
        <w:rPr>
          <w:spacing w:val="-2"/>
        </w:rPr>
        <w:t> </w:t>
      </w:r>
      <w:r>
        <w:rPr/>
        <w:t>applicable</w:t>
      </w:r>
      <w:r>
        <w:rPr>
          <w:spacing w:val="-2"/>
        </w:rPr>
        <w:t> </w:t>
      </w:r>
      <w:r>
        <w:rPr/>
        <w:t>as</w:t>
      </w:r>
      <w:r>
        <w:rPr>
          <w:spacing w:val="-2"/>
        </w:rPr>
        <w:t> </w:t>
      </w:r>
      <w:r>
        <w:rPr/>
        <w:t>of April</w:t>
      </w:r>
      <w:r>
        <w:rPr>
          <w:spacing w:val="-2"/>
        </w:rPr>
        <w:t> </w:t>
      </w:r>
      <w:r>
        <w:rPr/>
        <w:t>1,</w:t>
      </w:r>
      <w:r>
        <w:rPr>
          <w:spacing w:val="-1"/>
        </w:rPr>
        <w:t> </w:t>
      </w:r>
      <w:r>
        <w:rPr>
          <w:spacing w:val="-4"/>
        </w:rPr>
        <w:t>2023</w:t>
      </w:r>
    </w:p>
    <w:p>
      <w:pPr>
        <w:pStyle w:val="BodyText"/>
        <w:spacing w:before="10"/>
        <w:rPr>
          <w:sz w:val="20"/>
        </w:rPr>
      </w:pPr>
    </w:p>
    <w:p>
      <w:pPr>
        <w:pStyle w:val="BodyText"/>
        <w:ind w:left="2040" w:right="1050"/>
      </w:pPr>
      <w:r>
        <w:rPr/>
        <w:drawing>
          <wp:anchor distT="0" distB="0" distL="0" distR="0" allowOverlap="1" layoutInCell="1" locked="0" behindDoc="0" simplePos="0" relativeHeight="16015360">
            <wp:simplePos x="0" y="0"/>
            <wp:positionH relativeFrom="page">
              <wp:posOffset>1862327</wp:posOffset>
            </wp:positionH>
            <wp:positionV relativeFrom="paragraph">
              <wp:posOffset>32551</wp:posOffset>
            </wp:positionV>
            <wp:extent cx="73151" cy="115823"/>
            <wp:effectExtent l="0" t="0" r="0" b="0"/>
            <wp:wrapNone/>
            <wp:docPr id="571" name="Image 571"/>
            <wp:cNvGraphicFramePr>
              <a:graphicFrameLocks/>
            </wp:cNvGraphicFramePr>
            <a:graphic>
              <a:graphicData uri="http://schemas.openxmlformats.org/drawingml/2006/picture">
                <pic:pic>
                  <pic:nvPicPr>
                    <pic:cNvPr id="571" name="Image 571"/>
                    <pic:cNvPicPr/>
                  </pic:nvPicPr>
                  <pic:blipFill>
                    <a:blip r:embed="rId126" cstate="print"/>
                    <a:stretch>
                      <a:fillRect/>
                    </a:stretch>
                  </pic:blipFill>
                  <pic:spPr>
                    <a:xfrm>
                      <a:off x="0" y="0"/>
                      <a:ext cx="73151" cy="115823"/>
                    </a:xfrm>
                    <a:prstGeom prst="rect">
                      <a:avLst/>
                    </a:prstGeom>
                  </pic:spPr>
                </pic:pic>
              </a:graphicData>
            </a:graphic>
          </wp:anchor>
        </w:drawing>
      </w:r>
      <w:bookmarkStart w:name="i. MassHealth, MassHealth MCOs, BH PIHP," w:id="846"/>
      <w:bookmarkEnd w:id="846"/>
      <w:r>
        <w:rPr/>
      </w:r>
      <w:r>
        <w:rPr/>
        <w:t>MassHealth,</w:t>
      </w:r>
      <w:r>
        <w:rPr>
          <w:spacing w:val="-5"/>
        </w:rPr>
        <w:t> </w:t>
      </w:r>
      <w:r>
        <w:rPr/>
        <w:t>MassHealth</w:t>
      </w:r>
      <w:r>
        <w:rPr>
          <w:spacing w:val="-5"/>
        </w:rPr>
        <w:t> </w:t>
      </w:r>
      <w:r>
        <w:rPr/>
        <w:t>MCOs,</w:t>
      </w:r>
      <w:r>
        <w:rPr>
          <w:spacing w:val="-5"/>
        </w:rPr>
        <w:t> </w:t>
      </w:r>
      <w:r>
        <w:rPr/>
        <w:t>BH</w:t>
      </w:r>
      <w:r>
        <w:rPr>
          <w:spacing w:val="-6"/>
        </w:rPr>
        <w:t> </w:t>
      </w:r>
      <w:r>
        <w:rPr/>
        <w:t>PIHP,</w:t>
      </w:r>
      <w:r>
        <w:rPr>
          <w:spacing w:val="-5"/>
        </w:rPr>
        <w:t> </w:t>
      </w:r>
      <w:r>
        <w:rPr/>
        <w:t>and</w:t>
      </w:r>
      <w:r>
        <w:rPr>
          <w:spacing w:val="-5"/>
        </w:rPr>
        <w:t> </w:t>
      </w:r>
      <w:r>
        <w:rPr/>
        <w:t>Accountable</w:t>
      </w:r>
      <w:r>
        <w:rPr>
          <w:spacing w:val="-6"/>
        </w:rPr>
        <w:t> </w:t>
      </w:r>
      <w:r>
        <w:rPr/>
        <w:t>Care</w:t>
      </w:r>
      <w:r>
        <w:rPr>
          <w:spacing w:val="-6"/>
        </w:rPr>
        <w:t> </w:t>
      </w:r>
      <w:r>
        <w:rPr/>
        <w:t>Partnership Plans will contract with specialized CSP service providers (“Contracted Providers”) to deliver the specialized CSP HRSN services authorized under the demonstration.</w:t>
      </w:r>
    </w:p>
    <w:p>
      <w:pPr>
        <w:pStyle w:val="BodyText"/>
        <w:spacing w:before="161"/>
        <w:ind w:left="2040" w:right="1059"/>
      </w:pPr>
      <w:r>
        <w:rPr/>
        <w:drawing>
          <wp:anchor distT="0" distB="0" distL="0" distR="0" allowOverlap="1" layoutInCell="1" locked="0" behindDoc="0" simplePos="0" relativeHeight="16015872">
            <wp:simplePos x="0" y="0"/>
            <wp:positionH relativeFrom="page">
              <wp:posOffset>1819655</wp:posOffset>
            </wp:positionH>
            <wp:positionV relativeFrom="paragraph">
              <wp:posOffset>134786</wp:posOffset>
            </wp:positionV>
            <wp:extent cx="115823" cy="115823"/>
            <wp:effectExtent l="0" t="0" r="0" b="0"/>
            <wp:wrapNone/>
            <wp:docPr id="572" name="Image 572"/>
            <wp:cNvGraphicFramePr>
              <a:graphicFrameLocks/>
            </wp:cNvGraphicFramePr>
            <a:graphic>
              <a:graphicData uri="http://schemas.openxmlformats.org/drawingml/2006/picture">
                <pic:pic>
                  <pic:nvPicPr>
                    <pic:cNvPr id="572" name="Image 572"/>
                    <pic:cNvPicPr/>
                  </pic:nvPicPr>
                  <pic:blipFill>
                    <a:blip r:embed="rId62" cstate="print"/>
                    <a:stretch>
                      <a:fillRect/>
                    </a:stretch>
                  </pic:blipFill>
                  <pic:spPr>
                    <a:xfrm>
                      <a:off x="0" y="0"/>
                      <a:ext cx="115823" cy="115823"/>
                    </a:xfrm>
                    <a:prstGeom prst="rect">
                      <a:avLst/>
                    </a:prstGeom>
                  </pic:spPr>
                </pic:pic>
              </a:graphicData>
            </a:graphic>
          </wp:anchor>
        </w:drawing>
      </w:r>
      <w:bookmarkStart w:name="ii. MassHealth, MassHealth MCOs, BH PIHP" w:id="847"/>
      <w:bookmarkEnd w:id="847"/>
      <w:r>
        <w:rPr/>
      </w:r>
      <w:r>
        <w:rPr/>
        <w:t>MassHealth, MassHealth MCOs, BH</w:t>
      </w:r>
      <w:r>
        <w:rPr>
          <w:spacing w:val="-1"/>
        </w:rPr>
        <w:t> </w:t>
      </w:r>
      <w:r>
        <w:rPr/>
        <w:t>PIHP and Accountable</w:t>
      </w:r>
      <w:r>
        <w:rPr>
          <w:spacing w:val="-1"/>
        </w:rPr>
        <w:t> </w:t>
      </w:r>
      <w:r>
        <w:rPr/>
        <w:t>Care</w:t>
      </w:r>
      <w:r>
        <w:rPr>
          <w:spacing w:val="-1"/>
        </w:rPr>
        <w:t> </w:t>
      </w:r>
      <w:r>
        <w:rPr/>
        <w:t>Partnership Plans must establish a network of providers and ensure the Contracted Providers have sufficient experience and training in the provision of the specialized CSP services being offered.</w:t>
      </w:r>
      <w:r>
        <w:rPr>
          <w:spacing w:val="40"/>
        </w:rPr>
        <w:t> </w:t>
      </w:r>
      <w:r>
        <w:rPr/>
        <w:t>Contracted Providers do not need to be licensed, however, staff offering services through Contracted Providers must</w:t>
      </w:r>
      <w:r>
        <w:rPr>
          <w:spacing w:val="-4"/>
        </w:rPr>
        <w:t> </w:t>
      </w:r>
      <w:r>
        <w:rPr/>
        <w:t>be</w:t>
      </w:r>
      <w:r>
        <w:rPr>
          <w:spacing w:val="-5"/>
        </w:rPr>
        <w:t> </w:t>
      </w:r>
      <w:r>
        <w:rPr/>
        <w:t>licensed</w:t>
      </w:r>
      <w:r>
        <w:rPr>
          <w:spacing w:val="-4"/>
        </w:rPr>
        <w:t> </w:t>
      </w:r>
      <w:r>
        <w:rPr/>
        <w:t>when</w:t>
      </w:r>
      <w:r>
        <w:rPr>
          <w:spacing w:val="-2"/>
        </w:rPr>
        <w:t> </w:t>
      </w:r>
      <w:r>
        <w:rPr/>
        <w:t>appropriate</w:t>
      </w:r>
      <w:r>
        <w:rPr>
          <w:spacing w:val="-5"/>
        </w:rPr>
        <w:t> </w:t>
      </w:r>
      <w:r>
        <w:rPr/>
        <w:t>and</w:t>
      </w:r>
      <w:r>
        <w:rPr>
          <w:spacing w:val="-2"/>
        </w:rPr>
        <w:t> </w:t>
      </w:r>
      <w:r>
        <w:rPr/>
        <w:t>applicable,</w:t>
      </w:r>
      <w:r>
        <w:rPr>
          <w:spacing w:val="-4"/>
        </w:rPr>
        <w:t> </w:t>
      </w:r>
      <w:r>
        <w:rPr/>
        <w:t>based</w:t>
      </w:r>
      <w:r>
        <w:rPr>
          <w:spacing w:val="-4"/>
        </w:rPr>
        <w:t> </w:t>
      </w:r>
      <w:r>
        <w:rPr/>
        <w:t>on</w:t>
      </w:r>
      <w:r>
        <w:rPr>
          <w:spacing w:val="-4"/>
        </w:rPr>
        <w:t> </w:t>
      </w:r>
      <w:r>
        <w:rPr/>
        <w:t>the</w:t>
      </w:r>
      <w:r>
        <w:rPr>
          <w:spacing w:val="-5"/>
        </w:rPr>
        <w:t> </w:t>
      </w:r>
      <w:r>
        <w:rPr/>
        <w:t>services</w:t>
      </w:r>
      <w:r>
        <w:rPr>
          <w:spacing w:val="-4"/>
        </w:rPr>
        <w:t> </w:t>
      </w:r>
      <w:r>
        <w:rPr/>
        <w:t>being furnished or activities being performed by the staff.</w:t>
      </w:r>
    </w:p>
    <w:p>
      <w:pPr>
        <w:pStyle w:val="BodyText"/>
        <w:spacing w:before="199"/>
        <w:ind w:left="1411"/>
      </w:pPr>
      <w:r>
        <w:rPr/>
        <w:drawing>
          <wp:anchor distT="0" distB="0" distL="0" distR="0" allowOverlap="1" layoutInCell="1" locked="0" behindDoc="0" simplePos="0" relativeHeight="16016384">
            <wp:simplePos x="0" y="0"/>
            <wp:positionH relativeFrom="page">
              <wp:posOffset>1424939</wp:posOffset>
            </wp:positionH>
            <wp:positionV relativeFrom="paragraph">
              <wp:posOffset>158916</wp:posOffset>
            </wp:positionV>
            <wp:extent cx="111251" cy="115823"/>
            <wp:effectExtent l="0" t="0" r="0" b="0"/>
            <wp:wrapNone/>
            <wp:docPr id="573" name="Image 573"/>
            <wp:cNvGraphicFramePr>
              <a:graphicFrameLocks/>
            </wp:cNvGraphicFramePr>
            <a:graphic>
              <a:graphicData uri="http://schemas.openxmlformats.org/drawingml/2006/picture">
                <pic:pic>
                  <pic:nvPicPr>
                    <pic:cNvPr id="573" name="Image 573"/>
                    <pic:cNvPicPr/>
                  </pic:nvPicPr>
                  <pic:blipFill>
                    <a:blip r:embed="rId105" cstate="print"/>
                    <a:stretch>
                      <a:fillRect/>
                    </a:stretch>
                  </pic:blipFill>
                  <pic:spPr>
                    <a:xfrm>
                      <a:off x="0" y="0"/>
                      <a:ext cx="111251" cy="115823"/>
                    </a:xfrm>
                    <a:prstGeom prst="rect">
                      <a:avLst/>
                    </a:prstGeom>
                  </pic:spPr>
                </pic:pic>
              </a:graphicData>
            </a:graphic>
          </wp:anchor>
        </w:drawing>
      </w:r>
      <w:bookmarkStart w:name="b. Flexible Services HRSN Services, appl" w:id="848"/>
      <w:bookmarkEnd w:id="848"/>
      <w:r>
        <w:rPr/>
      </w:r>
      <w:r>
        <w:rPr/>
        <w:t>Flexible</w:t>
      </w:r>
      <w:r>
        <w:rPr>
          <w:spacing w:val="-3"/>
        </w:rPr>
        <w:t> </w:t>
      </w:r>
      <w:r>
        <w:rPr/>
        <w:t>Services</w:t>
      </w:r>
      <w:r>
        <w:rPr>
          <w:spacing w:val="-1"/>
        </w:rPr>
        <w:t> </w:t>
      </w:r>
      <w:r>
        <w:rPr/>
        <w:t>HRSN</w:t>
      </w:r>
      <w:r>
        <w:rPr>
          <w:spacing w:val="-2"/>
        </w:rPr>
        <w:t> </w:t>
      </w:r>
      <w:r>
        <w:rPr/>
        <w:t>Services,</w:t>
      </w:r>
      <w:r>
        <w:rPr>
          <w:spacing w:val="-1"/>
        </w:rPr>
        <w:t> </w:t>
      </w:r>
      <w:r>
        <w:rPr/>
        <w:t>applicable</w:t>
      </w:r>
      <w:r>
        <w:rPr>
          <w:spacing w:val="-3"/>
        </w:rPr>
        <w:t> </w:t>
      </w:r>
      <w:r>
        <w:rPr/>
        <w:t>as</w:t>
      </w:r>
      <w:r>
        <w:rPr>
          <w:spacing w:val="-1"/>
        </w:rPr>
        <w:t> </w:t>
      </w:r>
      <w:r>
        <w:rPr/>
        <w:t>of January</w:t>
      </w:r>
      <w:r>
        <w:rPr>
          <w:spacing w:val="-6"/>
        </w:rPr>
        <w:t> </w:t>
      </w:r>
      <w:r>
        <w:rPr/>
        <w:t>1,</w:t>
      </w:r>
      <w:r>
        <w:rPr>
          <w:spacing w:val="-1"/>
        </w:rPr>
        <w:t> </w:t>
      </w:r>
      <w:r>
        <w:rPr>
          <w:spacing w:val="-4"/>
        </w:rPr>
        <w:t>2025</w:t>
      </w:r>
    </w:p>
    <w:p>
      <w:pPr>
        <w:pStyle w:val="BodyText"/>
        <w:spacing w:before="10"/>
        <w:rPr>
          <w:sz w:val="20"/>
        </w:rPr>
      </w:pPr>
    </w:p>
    <w:p>
      <w:pPr>
        <w:pStyle w:val="BodyText"/>
        <w:ind w:left="2040" w:right="1117"/>
      </w:pPr>
      <w:r>
        <w:rPr/>
        <w:drawing>
          <wp:anchor distT="0" distB="0" distL="0" distR="0" allowOverlap="1" layoutInCell="1" locked="0" behindDoc="0" simplePos="0" relativeHeight="16016896">
            <wp:simplePos x="0" y="0"/>
            <wp:positionH relativeFrom="page">
              <wp:posOffset>1862327</wp:posOffset>
            </wp:positionH>
            <wp:positionV relativeFrom="paragraph">
              <wp:posOffset>32551</wp:posOffset>
            </wp:positionV>
            <wp:extent cx="73151" cy="115823"/>
            <wp:effectExtent l="0" t="0" r="0" b="0"/>
            <wp:wrapNone/>
            <wp:docPr id="574" name="Image 574"/>
            <wp:cNvGraphicFramePr>
              <a:graphicFrameLocks/>
            </wp:cNvGraphicFramePr>
            <a:graphic>
              <a:graphicData uri="http://schemas.openxmlformats.org/drawingml/2006/picture">
                <pic:pic>
                  <pic:nvPicPr>
                    <pic:cNvPr id="574" name="Image 574"/>
                    <pic:cNvPicPr/>
                  </pic:nvPicPr>
                  <pic:blipFill>
                    <a:blip r:embed="rId61" cstate="print"/>
                    <a:stretch>
                      <a:fillRect/>
                    </a:stretch>
                  </pic:blipFill>
                  <pic:spPr>
                    <a:xfrm>
                      <a:off x="0" y="0"/>
                      <a:ext cx="73151" cy="115823"/>
                    </a:xfrm>
                    <a:prstGeom prst="rect">
                      <a:avLst/>
                    </a:prstGeom>
                  </pic:spPr>
                </pic:pic>
              </a:graphicData>
            </a:graphic>
          </wp:anchor>
        </w:drawing>
      </w:r>
      <w:bookmarkStart w:name="i. MassHealth, Primary Care ACOs, and/or" w:id="849"/>
      <w:bookmarkEnd w:id="849"/>
      <w:r>
        <w:rPr/>
      </w:r>
      <w:r>
        <w:rPr/>
        <w:t>MassHealth,</w:t>
      </w:r>
      <w:r>
        <w:rPr>
          <w:spacing w:val="-4"/>
        </w:rPr>
        <w:t> </w:t>
      </w:r>
      <w:r>
        <w:rPr/>
        <w:t>Primary</w:t>
      </w:r>
      <w:r>
        <w:rPr>
          <w:spacing w:val="-9"/>
        </w:rPr>
        <w:t> </w:t>
      </w:r>
      <w:r>
        <w:rPr/>
        <w:t>Care</w:t>
      </w:r>
      <w:r>
        <w:rPr>
          <w:spacing w:val="-5"/>
        </w:rPr>
        <w:t> </w:t>
      </w:r>
      <w:r>
        <w:rPr/>
        <w:t>ACOs,</w:t>
      </w:r>
      <w:r>
        <w:rPr>
          <w:spacing w:val="-4"/>
        </w:rPr>
        <w:t> </w:t>
      </w:r>
      <w:r>
        <w:rPr/>
        <w:t>and/or</w:t>
      </w:r>
      <w:r>
        <w:rPr>
          <w:spacing w:val="-5"/>
        </w:rPr>
        <w:t> </w:t>
      </w:r>
      <w:r>
        <w:rPr/>
        <w:t>Accountable</w:t>
      </w:r>
      <w:r>
        <w:rPr>
          <w:spacing w:val="-5"/>
        </w:rPr>
        <w:t> </w:t>
      </w:r>
      <w:r>
        <w:rPr/>
        <w:t>Care</w:t>
      </w:r>
      <w:r>
        <w:rPr>
          <w:spacing w:val="-5"/>
        </w:rPr>
        <w:t> </w:t>
      </w:r>
      <w:r>
        <w:rPr/>
        <w:t>Partnership</w:t>
      </w:r>
      <w:r>
        <w:rPr>
          <w:spacing w:val="-4"/>
        </w:rPr>
        <w:t> </w:t>
      </w:r>
      <w:r>
        <w:rPr/>
        <w:t>Plans may contract with HRSN service providers (“Contracted Providers”) to deliver the Flexible Services HRSN services authorized under the </w:t>
      </w:r>
      <w:r>
        <w:rPr>
          <w:spacing w:val="-2"/>
        </w:rPr>
        <w:t>demonstration.</w:t>
      </w:r>
    </w:p>
    <w:p>
      <w:pPr>
        <w:pStyle w:val="BodyText"/>
        <w:spacing w:before="159"/>
        <w:ind w:left="2040" w:right="1086"/>
      </w:pPr>
      <w:r>
        <w:rPr/>
        <w:drawing>
          <wp:anchor distT="0" distB="0" distL="0" distR="0" allowOverlap="1" layoutInCell="1" locked="0" behindDoc="0" simplePos="0" relativeHeight="16017408">
            <wp:simplePos x="0" y="0"/>
            <wp:positionH relativeFrom="page">
              <wp:posOffset>1819655</wp:posOffset>
            </wp:positionH>
            <wp:positionV relativeFrom="paragraph">
              <wp:posOffset>133516</wp:posOffset>
            </wp:positionV>
            <wp:extent cx="115823" cy="115823"/>
            <wp:effectExtent l="0" t="0" r="0" b="0"/>
            <wp:wrapNone/>
            <wp:docPr id="575" name="Image 575"/>
            <wp:cNvGraphicFramePr>
              <a:graphicFrameLocks/>
            </wp:cNvGraphicFramePr>
            <a:graphic>
              <a:graphicData uri="http://schemas.openxmlformats.org/drawingml/2006/picture">
                <pic:pic>
                  <pic:nvPicPr>
                    <pic:cNvPr id="575" name="Image 575"/>
                    <pic:cNvPicPr/>
                  </pic:nvPicPr>
                  <pic:blipFill>
                    <a:blip r:embed="rId117" cstate="print"/>
                    <a:stretch>
                      <a:fillRect/>
                    </a:stretch>
                  </pic:blipFill>
                  <pic:spPr>
                    <a:xfrm>
                      <a:off x="0" y="0"/>
                      <a:ext cx="115823" cy="115823"/>
                    </a:xfrm>
                    <a:prstGeom prst="rect">
                      <a:avLst/>
                    </a:prstGeom>
                  </pic:spPr>
                </pic:pic>
              </a:graphicData>
            </a:graphic>
          </wp:anchor>
        </w:drawing>
      </w:r>
      <w:bookmarkStart w:name="ii. MassHealth, Primary Care ACOs, and/o" w:id="850"/>
      <w:bookmarkEnd w:id="850"/>
      <w:r>
        <w:rPr/>
      </w:r>
      <w:r>
        <w:rPr/>
        <w:t>MassHealth,</w:t>
      </w:r>
      <w:r>
        <w:rPr>
          <w:spacing w:val="-4"/>
        </w:rPr>
        <w:t> </w:t>
      </w:r>
      <w:r>
        <w:rPr/>
        <w:t>Primary</w:t>
      </w:r>
      <w:r>
        <w:rPr>
          <w:spacing w:val="-9"/>
        </w:rPr>
        <w:t> </w:t>
      </w:r>
      <w:r>
        <w:rPr/>
        <w:t>Care</w:t>
      </w:r>
      <w:r>
        <w:rPr>
          <w:spacing w:val="-5"/>
        </w:rPr>
        <w:t> </w:t>
      </w:r>
      <w:r>
        <w:rPr/>
        <w:t>ACOs,</w:t>
      </w:r>
      <w:r>
        <w:rPr>
          <w:spacing w:val="-4"/>
        </w:rPr>
        <w:t> </w:t>
      </w:r>
      <w:r>
        <w:rPr/>
        <w:t>and/or</w:t>
      </w:r>
      <w:r>
        <w:rPr>
          <w:spacing w:val="-5"/>
        </w:rPr>
        <w:t> </w:t>
      </w:r>
      <w:r>
        <w:rPr/>
        <w:t>Accountable</w:t>
      </w:r>
      <w:r>
        <w:rPr>
          <w:spacing w:val="-5"/>
        </w:rPr>
        <w:t> </w:t>
      </w:r>
      <w:r>
        <w:rPr/>
        <w:t>Care</w:t>
      </w:r>
      <w:r>
        <w:rPr>
          <w:spacing w:val="-5"/>
        </w:rPr>
        <w:t> </w:t>
      </w:r>
      <w:r>
        <w:rPr/>
        <w:t>Partnership</w:t>
      </w:r>
      <w:r>
        <w:rPr>
          <w:spacing w:val="-4"/>
        </w:rPr>
        <w:t> </w:t>
      </w:r>
      <w:r>
        <w:rPr/>
        <w:t>Plans should establish a network of providers and ensure the Contracted Providers have sufficient experience and training in the provision of the Flexible Services HRSN services being offered.</w:t>
      </w:r>
      <w:r>
        <w:rPr>
          <w:spacing w:val="40"/>
        </w:rPr>
        <w:t> </w:t>
      </w:r>
      <w:r>
        <w:rPr/>
        <w:t>Contracted Providers do not need to be licensed, however, staff offering services through Contracted Providers must be licensed when appropriate and applicable, based on the services furnished or activities being performed by the staff.</w:t>
      </w:r>
    </w:p>
    <w:p>
      <w:pPr>
        <w:pStyle w:val="BodyText"/>
        <w:spacing w:before="161"/>
        <w:ind w:left="2040" w:right="1059"/>
      </w:pPr>
      <w:r>
        <w:rPr/>
        <w:drawing>
          <wp:anchor distT="0" distB="0" distL="0" distR="0" allowOverlap="1" layoutInCell="1" locked="0" behindDoc="0" simplePos="0" relativeHeight="16017920">
            <wp:simplePos x="0" y="0"/>
            <wp:positionH relativeFrom="page">
              <wp:posOffset>1778507</wp:posOffset>
            </wp:positionH>
            <wp:positionV relativeFrom="paragraph">
              <wp:posOffset>134786</wp:posOffset>
            </wp:positionV>
            <wp:extent cx="158495" cy="115823"/>
            <wp:effectExtent l="0" t="0" r="0" b="0"/>
            <wp:wrapNone/>
            <wp:docPr id="576" name="Image 576"/>
            <wp:cNvGraphicFramePr>
              <a:graphicFrameLocks/>
            </wp:cNvGraphicFramePr>
            <a:graphic>
              <a:graphicData uri="http://schemas.openxmlformats.org/drawingml/2006/picture">
                <pic:pic>
                  <pic:nvPicPr>
                    <pic:cNvPr id="576" name="Image 576"/>
                    <pic:cNvPicPr/>
                  </pic:nvPicPr>
                  <pic:blipFill>
                    <a:blip r:embed="rId65" cstate="print"/>
                    <a:stretch>
                      <a:fillRect/>
                    </a:stretch>
                  </pic:blipFill>
                  <pic:spPr>
                    <a:xfrm>
                      <a:off x="0" y="0"/>
                      <a:ext cx="158495" cy="115823"/>
                    </a:xfrm>
                    <a:prstGeom prst="rect">
                      <a:avLst/>
                    </a:prstGeom>
                  </pic:spPr>
                </pic:pic>
              </a:graphicData>
            </a:graphic>
          </wp:anchor>
        </w:drawing>
      </w:r>
      <w:bookmarkStart w:name="iii. Any state direction on the payment " w:id="851"/>
      <w:bookmarkEnd w:id="851"/>
      <w:r>
        <w:rPr/>
      </w:r>
      <w:r>
        <w:rPr/>
        <w:t>Any</w:t>
      </w:r>
      <w:r>
        <w:rPr>
          <w:spacing w:val="-8"/>
        </w:rPr>
        <w:t> </w:t>
      </w:r>
      <w:r>
        <w:rPr/>
        <w:t>state</w:t>
      </w:r>
      <w:r>
        <w:rPr>
          <w:spacing w:val="-3"/>
        </w:rPr>
        <w:t> </w:t>
      </w:r>
      <w:r>
        <w:rPr/>
        <w:t>direction</w:t>
      </w:r>
      <w:r>
        <w:rPr>
          <w:spacing w:val="-4"/>
        </w:rPr>
        <w:t> </w:t>
      </w:r>
      <w:r>
        <w:rPr/>
        <w:t>on</w:t>
      </w:r>
      <w:r>
        <w:rPr>
          <w:spacing w:val="-4"/>
        </w:rPr>
        <w:t> </w:t>
      </w:r>
      <w:r>
        <w:rPr/>
        <w:t>the</w:t>
      </w:r>
      <w:r>
        <w:rPr>
          <w:spacing w:val="-4"/>
        </w:rPr>
        <w:t> </w:t>
      </w:r>
      <w:r>
        <w:rPr/>
        <w:t>payment</w:t>
      </w:r>
      <w:r>
        <w:rPr>
          <w:spacing w:val="-4"/>
        </w:rPr>
        <w:t> </w:t>
      </w:r>
      <w:r>
        <w:rPr/>
        <w:t>arrangement</w:t>
      </w:r>
      <w:r>
        <w:rPr>
          <w:spacing w:val="-4"/>
        </w:rPr>
        <w:t> </w:t>
      </w:r>
      <w:r>
        <w:rPr/>
        <w:t>for</w:t>
      </w:r>
      <w:r>
        <w:rPr>
          <w:spacing w:val="-4"/>
        </w:rPr>
        <w:t> </w:t>
      </w:r>
      <w:r>
        <w:rPr/>
        <w:t>Flexible</w:t>
      </w:r>
      <w:r>
        <w:rPr>
          <w:spacing w:val="-4"/>
        </w:rPr>
        <w:t> </w:t>
      </w:r>
      <w:r>
        <w:rPr/>
        <w:t>Services</w:t>
      </w:r>
      <w:r>
        <w:rPr>
          <w:spacing w:val="-4"/>
        </w:rPr>
        <w:t> </w:t>
      </w:r>
      <w:r>
        <w:rPr/>
        <w:t>HRSN that constitutes a state directed payment must satisfy the requirements in 42 CFR 438.6(c).</w:t>
      </w:r>
    </w:p>
    <w:p>
      <w:pPr>
        <w:pStyle w:val="BodyText"/>
        <w:spacing w:before="10"/>
        <w:rPr>
          <w:sz w:val="20"/>
        </w:rPr>
      </w:pPr>
    </w:p>
    <w:p>
      <w:pPr>
        <w:pStyle w:val="BodyText"/>
        <w:ind w:left="871" w:right="1059"/>
      </w:pPr>
      <w:r>
        <w:rPr/>
        <w:drawing>
          <wp:anchor distT="0" distB="0" distL="0" distR="0" allowOverlap="1" layoutInCell="1" locked="0" behindDoc="0" simplePos="0" relativeHeight="16018432">
            <wp:simplePos x="0" y="0"/>
            <wp:positionH relativeFrom="page">
              <wp:posOffset>908303</wp:posOffset>
            </wp:positionH>
            <wp:positionV relativeFrom="paragraph">
              <wp:posOffset>35599</wp:posOffset>
            </wp:positionV>
            <wp:extent cx="283463" cy="112775"/>
            <wp:effectExtent l="0" t="0" r="0" b="0"/>
            <wp:wrapNone/>
            <wp:docPr id="577" name="Image 577"/>
            <wp:cNvGraphicFramePr>
              <a:graphicFrameLocks/>
            </wp:cNvGraphicFramePr>
            <a:graphic>
              <a:graphicData uri="http://schemas.openxmlformats.org/drawingml/2006/picture">
                <pic:pic>
                  <pic:nvPicPr>
                    <pic:cNvPr id="577" name="Image 577"/>
                    <pic:cNvPicPr/>
                  </pic:nvPicPr>
                  <pic:blipFill>
                    <a:blip r:embed="rId234" cstate="print"/>
                    <a:stretch>
                      <a:fillRect/>
                    </a:stretch>
                  </pic:blipFill>
                  <pic:spPr>
                    <a:xfrm>
                      <a:off x="0" y="0"/>
                      <a:ext cx="283463" cy="112775"/>
                    </a:xfrm>
                    <a:prstGeom prst="rect">
                      <a:avLst/>
                    </a:prstGeom>
                  </pic:spPr>
                </pic:pic>
              </a:graphicData>
            </a:graphic>
          </wp:anchor>
        </w:drawing>
      </w:r>
      <w:bookmarkStart w:name="15.9. Provider Network Capacity. As of A" w:id="852"/>
      <w:bookmarkEnd w:id="852"/>
      <w:r>
        <w:rPr/>
      </w:r>
      <w:r>
        <w:rPr>
          <w:b/>
        </w:rPr>
        <w:t>Provider Network Capacity. </w:t>
      </w:r>
      <w:r>
        <w:rPr/>
        <w:t>As of April 1, 2023, the Commonwealth must require MassHealth</w:t>
      </w:r>
      <w:r>
        <w:rPr>
          <w:spacing w:val="-4"/>
        </w:rPr>
        <w:t> </w:t>
      </w:r>
      <w:r>
        <w:rPr/>
        <w:t>MCOs,</w:t>
      </w:r>
      <w:r>
        <w:rPr>
          <w:spacing w:val="-4"/>
        </w:rPr>
        <w:t> </w:t>
      </w:r>
      <w:r>
        <w:rPr/>
        <w:t>BH</w:t>
      </w:r>
      <w:r>
        <w:rPr>
          <w:spacing w:val="-3"/>
        </w:rPr>
        <w:t> </w:t>
      </w:r>
      <w:r>
        <w:rPr/>
        <w:t>PIHP</w:t>
      </w:r>
      <w:r>
        <w:rPr>
          <w:spacing w:val="-4"/>
        </w:rPr>
        <w:t> </w:t>
      </w:r>
      <w:r>
        <w:rPr/>
        <w:t>and/or</w:t>
      </w:r>
      <w:r>
        <w:rPr>
          <w:spacing w:val="-5"/>
        </w:rPr>
        <w:t> </w:t>
      </w:r>
      <w:r>
        <w:rPr/>
        <w:t>Accountable</w:t>
      </w:r>
      <w:r>
        <w:rPr>
          <w:spacing w:val="-5"/>
        </w:rPr>
        <w:t> </w:t>
      </w:r>
      <w:r>
        <w:rPr/>
        <w:t>Care</w:t>
      </w:r>
      <w:r>
        <w:rPr>
          <w:spacing w:val="-5"/>
        </w:rPr>
        <w:t> </w:t>
      </w:r>
      <w:r>
        <w:rPr/>
        <w:t>Partnership</w:t>
      </w:r>
      <w:r>
        <w:rPr>
          <w:spacing w:val="-4"/>
        </w:rPr>
        <w:t> </w:t>
      </w:r>
      <w:r>
        <w:rPr/>
        <w:t>Plans</w:t>
      </w:r>
      <w:r>
        <w:rPr>
          <w:spacing w:val="-4"/>
        </w:rPr>
        <w:t> </w:t>
      </w:r>
      <w:r>
        <w:rPr/>
        <w:t>to</w:t>
      </w:r>
      <w:r>
        <w:rPr>
          <w:spacing w:val="-4"/>
        </w:rPr>
        <w:t> </w:t>
      </w:r>
      <w:r>
        <w:rPr/>
        <w:t>ensure</w:t>
      </w:r>
      <w:r>
        <w:rPr>
          <w:spacing w:val="-5"/>
        </w:rPr>
        <w:t> </w:t>
      </w:r>
      <w:r>
        <w:rPr/>
        <w:t>the</w:t>
      </w:r>
    </w:p>
    <w:p>
      <w:pPr>
        <w:spacing w:after="0"/>
        <w:sectPr>
          <w:pgSz w:w="12240" w:h="15840"/>
          <w:pgMar w:header="0" w:footer="1201" w:top="1360" w:bottom="1400" w:left="1200" w:right="400"/>
        </w:sectPr>
      </w:pPr>
    </w:p>
    <w:p>
      <w:pPr>
        <w:pStyle w:val="BodyText"/>
        <w:spacing w:before="79"/>
        <w:ind w:left="871" w:right="1059"/>
      </w:pPr>
      <w:r>
        <w:rPr/>
        <w:t>Specialized CSP HRSN services authorized under the demonstration are provided to eligible beneficiaries in a timely manner, and shall develop policies and procedures outlining</w:t>
      </w:r>
      <w:r>
        <w:rPr>
          <w:spacing w:val="-6"/>
        </w:rPr>
        <w:t> </w:t>
      </w:r>
      <w:r>
        <w:rPr/>
        <w:t>its</w:t>
      </w:r>
      <w:r>
        <w:rPr>
          <w:spacing w:val="-3"/>
        </w:rPr>
        <w:t> </w:t>
      </w:r>
      <w:r>
        <w:rPr/>
        <w:t>approach</w:t>
      </w:r>
      <w:r>
        <w:rPr>
          <w:spacing w:val="-3"/>
        </w:rPr>
        <w:t> </w:t>
      </w:r>
      <w:r>
        <w:rPr/>
        <w:t>to</w:t>
      </w:r>
      <w:r>
        <w:rPr>
          <w:spacing w:val="-1"/>
        </w:rPr>
        <w:t> </w:t>
      </w:r>
      <w:r>
        <w:rPr/>
        <w:t>managing</w:t>
      </w:r>
      <w:r>
        <w:rPr>
          <w:spacing w:val="-6"/>
        </w:rPr>
        <w:t> </w:t>
      </w:r>
      <w:r>
        <w:rPr/>
        <w:t>provider</w:t>
      </w:r>
      <w:r>
        <w:rPr>
          <w:spacing w:val="-4"/>
        </w:rPr>
        <w:t> </w:t>
      </w:r>
      <w:r>
        <w:rPr/>
        <w:t>shortages</w:t>
      </w:r>
      <w:r>
        <w:rPr>
          <w:spacing w:val="-3"/>
        </w:rPr>
        <w:t> </w:t>
      </w:r>
      <w:r>
        <w:rPr/>
        <w:t>or</w:t>
      </w:r>
      <w:r>
        <w:rPr>
          <w:spacing w:val="-4"/>
        </w:rPr>
        <w:t> </w:t>
      </w:r>
      <w:r>
        <w:rPr/>
        <w:t>other</w:t>
      </w:r>
      <w:r>
        <w:rPr>
          <w:spacing w:val="-2"/>
        </w:rPr>
        <w:t> </w:t>
      </w:r>
      <w:r>
        <w:rPr/>
        <w:t>barriers</w:t>
      </w:r>
      <w:r>
        <w:rPr>
          <w:spacing w:val="-3"/>
        </w:rPr>
        <w:t> </w:t>
      </w:r>
      <w:r>
        <w:rPr/>
        <w:t>to</w:t>
      </w:r>
      <w:r>
        <w:rPr>
          <w:spacing w:val="-3"/>
        </w:rPr>
        <w:t> </w:t>
      </w:r>
      <w:r>
        <w:rPr/>
        <w:t>timely</w:t>
      </w:r>
      <w:r>
        <w:rPr>
          <w:spacing w:val="-8"/>
        </w:rPr>
        <w:t> </w:t>
      </w:r>
      <w:r>
        <w:rPr/>
        <w:t>provision of the specialized CSP HRSN services, in accordance with the MassHealth MCOs, BH PIHP and/or Accountable Care Partnership Plans contracts and other state Medicaid agency guidance.</w:t>
      </w:r>
    </w:p>
    <w:p>
      <w:pPr>
        <w:pStyle w:val="BodyText"/>
        <w:spacing w:before="10"/>
        <w:rPr>
          <w:sz w:val="20"/>
        </w:rPr>
      </w:pPr>
    </w:p>
    <w:p>
      <w:pPr>
        <w:pStyle w:val="BodyText"/>
        <w:ind w:left="871" w:right="1059"/>
      </w:pPr>
      <w:bookmarkStart w:name="As of January 1, 2025, the Commonwealth " w:id="853"/>
      <w:bookmarkEnd w:id="853"/>
      <w:r>
        <w:rPr/>
      </w:r>
      <w:r>
        <w:rPr/>
        <w:t>As of January 1, 2025, the Commonwealth must require Primary Care ACOs and Accountable Care Partnership Plans to ensure the Flexible Services HRSN services authorized under the demonstration are provided to eligible beneficiaries in a timely manner, and shall develop policies and procedures outlining its approach to managing provider shortages or other barriers to timely provision of the Flexible Services HRSN services,</w:t>
      </w:r>
      <w:r>
        <w:rPr>
          <w:spacing w:val="-3"/>
        </w:rPr>
        <w:t> </w:t>
      </w:r>
      <w:r>
        <w:rPr/>
        <w:t>in</w:t>
      </w:r>
      <w:r>
        <w:rPr>
          <w:spacing w:val="-3"/>
        </w:rPr>
        <w:t> </w:t>
      </w:r>
      <w:r>
        <w:rPr/>
        <w:t>accordance</w:t>
      </w:r>
      <w:r>
        <w:rPr>
          <w:spacing w:val="-4"/>
        </w:rPr>
        <w:t> </w:t>
      </w:r>
      <w:r>
        <w:rPr/>
        <w:t>with</w:t>
      </w:r>
      <w:r>
        <w:rPr>
          <w:spacing w:val="-3"/>
        </w:rPr>
        <w:t> </w:t>
      </w:r>
      <w:r>
        <w:rPr/>
        <w:t>the</w:t>
      </w:r>
      <w:r>
        <w:rPr>
          <w:spacing w:val="-4"/>
        </w:rPr>
        <w:t> </w:t>
      </w:r>
      <w:r>
        <w:rPr/>
        <w:t>Primary</w:t>
      </w:r>
      <w:r>
        <w:rPr>
          <w:spacing w:val="-8"/>
        </w:rPr>
        <w:t> </w:t>
      </w:r>
      <w:r>
        <w:rPr/>
        <w:t>Care</w:t>
      </w:r>
      <w:r>
        <w:rPr>
          <w:spacing w:val="-4"/>
        </w:rPr>
        <w:t> </w:t>
      </w:r>
      <w:r>
        <w:rPr/>
        <w:t>ACOs’</w:t>
      </w:r>
      <w:r>
        <w:rPr>
          <w:spacing w:val="-4"/>
        </w:rPr>
        <w:t> </w:t>
      </w:r>
      <w:r>
        <w:rPr/>
        <w:t>and</w:t>
      </w:r>
      <w:r>
        <w:rPr>
          <w:spacing w:val="-3"/>
        </w:rPr>
        <w:t> </w:t>
      </w:r>
      <w:r>
        <w:rPr/>
        <w:t>Accountable</w:t>
      </w:r>
      <w:r>
        <w:rPr>
          <w:spacing w:val="-4"/>
        </w:rPr>
        <w:t> </w:t>
      </w:r>
      <w:r>
        <w:rPr/>
        <w:t>Care</w:t>
      </w:r>
      <w:r>
        <w:rPr>
          <w:spacing w:val="-4"/>
        </w:rPr>
        <w:t> </w:t>
      </w:r>
      <w:r>
        <w:rPr/>
        <w:t>Partnership Plans’ contracts and other state Medicaid agency guidance.</w:t>
      </w:r>
    </w:p>
    <w:p>
      <w:pPr>
        <w:pStyle w:val="BodyText"/>
        <w:spacing w:before="10"/>
        <w:rPr>
          <w:sz w:val="20"/>
        </w:rPr>
      </w:pPr>
    </w:p>
    <w:p>
      <w:pPr>
        <w:pStyle w:val="BodyText"/>
        <w:ind w:left="871" w:right="1059" w:firstLine="88"/>
      </w:pPr>
      <w:r>
        <w:rPr/>
        <w:t>The Commonwealth must provide comparable protections and network adequacy as described</w:t>
      </w:r>
      <w:r>
        <w:rPr>
          <w:spacing w:val="-4"/>
        </w:rPr>
        <w:t> </w:t>
      </w:r>
      <w:r>
        <w:rPr/>
        <w:t>within</w:t>
      </w:r>
      <w:r>
        <w:rPr>
          <w:spacing w:val="-4"/>
        </w:rPr>
        <w:t> </w:t>
      </w:r>
      <w:r>
        <w:rPr/>
        <w:t>this</w:t>
      </w:r>
      <w:r>
        <w:rPr>
          <w:spacing w:val="-4"/>
        </w:rPr>
        <w:t> </w:t>
      </w:r>
      <w:r>
        <w:rPr/>
        <w:t>STC</w:t>
      </w:r>
      <w:r>
        <w:rPr>
          <w:spacing w:val="-4"/>
        </w:rPr>
        <w:t> </w:t>
      </w:r>
      <w:r>
        <w:rPr/>
        <w:t>to</w:t>
      </w:r>
      <w:r>
        <w:rPr>
          <w:spacing w:val="-4"/>
        </w:rPr>
        <w:t> </w:t>
      </w:r>
      <w:r>
        <w:rPr/>
        <w:t>beneficiaries</w:t>
      </w:r>
      <w:r>
        <w:rPr>
          <w:spacing w:val="-4"/>
        </w:rPr>
        <w:t> </w:t>
      </w:r>
      <w:r>
        <w:rPr/>
        <w:t>provided</w:t>
      </w:r>
      <w:r>
        <w:rPr>
          <w:spacing w:val="-4"/>
        </w:rPr>
        <w:t> </w:t>
      </w:r>
      <w:r>
        <w:rPr/>
        <w:t>HRSN</w:t>
      </w:r>
      <w:r>
        <w:rPr>
          <w:spacing w:val="-5"/>
        </w:rPr>
        <w:t> </w:t>
      </w:r>
      <w:r>
        <w:rPr/>
        <w:t>within</w:t>
      </w:r>
      <w:r>
        <w:rPr>
          <w:spacing w:val="-4"/>
        </w:rPr>
        <w:t> </w:t>
      </w:r>
      <w:r>
        <w:rPr/>
        <w:t>fee-for-service</w:t>
      </w:r>
      <w:r>
        <w:rPr>
          <w:spacing w:val="-5"/>
        </w:rPr>
        <w:t> </w:t>
      </w:r>
      <w:r>
        <w:rPr/>
        <w:t>delivery systems as of January 1, 2025.</w:t>
      </w:r>
    </w:p>
    <w:p>
      <w:pPr>
        <w:pStyle w:val="BodyText"/>
        <w:spacing w:before="10"/>
        <w:rPr>
          <w:sz w:val="20"/>
        </w:rPr>
      </w:pPr>
    </w:p>
    <w:p>
      <w:pPr>
        <w:spacing w:before="0"/>
        <w:ind w:left="871" w:right="1059" w:firstLine="0"/>
        <w:jc w:val="left"/>
        <w:rPr>
          <w:sz w:val="24"/>
        </w:rPr>
      </w:pPr>
      <w:r>
        <w:rPr/>
        <w:drawing>
          <wp:anchor distT="0" distB="0" distL="0" distR="0" allowOverlap="1" layoutInCell="1" locked="0" behindDoc="0" simplePos="0" relativeHeight="16018944">
            <wp:simplePos x="0" y="0"/>
            <wp:positionH relativeFrom="page">
              <wp:posOffset>832103</wp:posOffset>
            </wp:positionH>
            <wp:positionV relativeFrom="paragraph">
              <wp:posOffset>35599</wp:posOffset>
            </wp:positionV>
            <wp:extent cx="359663" cy="112775"/>
            <wp:effectExtent l="0" t="0" r="0" b="0"/>
            <wp:wrapNone/>
            <wp:docPr id="578" name="Image 578"/>
            <wp:cNvGraphicFramePr>
              <a:graphicFrameLocks/>
            </wp:cNvGraphicFramePr>
            <a:graphic>
              <a:graphicData uri="http://schemas.openxmlformats.org/drawingml/2006/picture">
                <pic:pic>
                  <pic:nvPicPr>
                    <pic:cNvPr id="578" name="Image 578"/>
                    <pic:cNvPicPr/>
                  </pic:nvPicPr>
                  <pic:blipFill>
                    <a:blip r:embed="rId235" cstate="print"/>
                    <a:stretch>
                      <a:fillRect/>
                    </a:stretch>
                  </pic:blipFill>
                  <pic:spPr>
                    <a:xfrm>
                      <a:off x="0" y="0"/>
                      <a:ext cx="359663" cy="112775"/>
                    </a:xfrm>
                    <a:prstGeom prst="rect">
                      <a:avLst/>
                    </a:prstGeom>
                  </pic:spPr>
                </pic:pic>
              </a:graphicData>
            </a:graphic>
          </wp:anchor>
        </w:drawing>
      </w:r>
      <w:bookmarkStart w:name="15.10. Compliance with Federal Requireme" w:id="854"/>
      <w:bookmarkEnd w:id="854"/>
      <w:r>
        <w:rPr/>
      </w:r>
      <w:r>
        <w:rPr>
          <w:b/>
          <w:sz w:val="24"/>
        </w:rPr>
        <w:t>Compliance</w:t>
      </w:r>
      <w:r>
        <w:rPr>
          <w:b/>
          <w:spacing w:val="-6"/>
          <w:sz w:val="24"/>
        </w:rPr>
        <w:t> </w:t>
      </w:r>
      <w:r>
        <w:rPr>
          <w:b/>
          <w:sz w:val="24"/>
        </w:rPr>
        <w:t>with</w:t>
      </w:r>
      <w:r>
        <w:rPr>
          <w:b/>
          <w:spacing w:val="-5"/>
          <w:sz w:val="24"/>
        </w:rPr>
        <w:t> </w:t>
      </w:r>
      <w:r>
        <w:rPr>
          <w:b/>
          <w:sz w:val="24"/>
        </w:rPr>
        <w:t>Federal</w:t>
      </w:r>
      <w:r>
        <w:rPr>
          <w:b/>
          <w:spacing w:val="-5"/>
          <w:sz w:val="24"/>
        </w:rPr>
        <w:t> </w:t>
      </w:r>
      <w:r>
        <w:rPr>
          <w:b/>
          <w:sz w:val="24"/>
        </w:rPr>
        <w:t>Requirements.</w:t>
      </w:r>
      <w:r>
        <w:rPr>
          <w:b/>
          <w:spacing w:val="40"/>
          <w:sz w:val="24"/>
        </w:rPr>
        <w:t> </w:t>
      </w:r>
      <w:r>
        <w:rPr>
          <w:sz w:val="24"/>
        </w:rPr>
        <w:t>The</w:t>
      </w:r>
      <w:r>
        <w:rPr>
          <w:spacing w:val="-4"/>
          <w:sz w:val="24"/>
        </w:rPr>
        <w:t> </w:t>
      </w:r>
      <w:r>
        <w:rPr>
          <w:sz w:val="24"/>
        </w:rPr>
        <w:t>Commonwealth</w:t>
      </w:r>
      <w:r>
        <w:rPr>
          <w:spacing w:val="-5"/>
          <w:sz w:val="24"/>
        </w:rPr>
        <w:t> </w:t>
      </w:r>
      <w:r>
        <w:rPr>
          <w:sz w:val="24"/>
        </w:rPr>
        <w:t>shall</w:t>
      </w:r>
      <w:r>
        <w:rPr>
          <w:spacing w:val="-5"/>
          <w:sz w:val="24"/>
        </w:rPr>
        <w:t> </w:t>
      </w:r>
      <w:r>
        <w:rPr>
          <w:sz w:val="24"/>
        </w:rPr>
        <w:t>ensure</w:t>
      </w:r>
      <w:r>
        <w:rPr>
          <w:spacing w:val="-6"/>
          <w:sz w:val="24"/>
        </w:rPr>
        <w:t> </w:t>
      </w:r>
      <w:r>
        <w:rPr>
          <w:sz w:val="24"/>
        </w:rPr>
        <w:t>HRSN services are delivered in accordance with all applicable federal statute, regulation or </w:t>
      </w:r>
      <w:r>
        <w:rPr>
          <w:spacing w:val="-2"/>
          <w:sz w:val="24"/>
        </w:rPr>
        <w:t>guidance.</w:t>
      </w:r>
    </w:p>
    <w:p>
      <w:pPr>
        <w:pStyle w:val="BodyText"/>
        <w:spacing w:before="10"/>
        <w:rPr>
          <w:sz w:val="20"/>
        </w:rPr>
      </w:pPr>
    </w:p>
    <w:p>
      <w:pPr>
        <w:pStyle w:val="BodyText"/>
        <w:ind w:left="871" w:right="1094"/>
      </w:pPr>
      <w:r>
        <w:rPr/>
        <w:drawing>
          <wp:anchor distT="0" distB="0" distL="0" distR="0" allowOverlap="1" layoutInCell="1" locked="0" behindDoc="0" simplePos="0" relativeHeight="16019456">
            <wp:simplePos x="0" y="0"/>
            <wp:positionH relativeFrom="page">
              <wp:posOffset>832103</wp:posOffset>
            </wp:positionH>
            <wp:positionV relativeFrom="paragraph">
              <wp:posOffset>35599</wp:posOffset>
            </wp:positionV>
            <wp:extent cx="359663" cy="112775"/>
            <wp:effectExtent l="0" t="0" r="0" b="0"/>
            <wp:wrapNone/>
            <wp:docPr id="579" name="Image 579"/>
            <wp:cNvGraphicFramePr>
              <a:graphicFrameLocks/>
            </wp:cNvGraphicFramePr>
            <a:graphic>
              <a:graphicData uri="http://schemas.openxmlformats.org/drawingml/2006/picture">
                <pic:pic>
                  <pic:nvPicPr>
                    <pic:cNvPr id="579" name="Image 579"/>
                    <pic:cNvPicPr/>
                  </pic:nvPicPr>
                  <pic:blipFill>
                    <a:blip r:embed="rId236" cstate="print"/>
                    <a:stretch>
                      <a:fillRect/>
                    </a:stretch>
                  </pic:blipFill>
                  <pic:spPr>
                    <a:xfrm>
                      <a:off x="0" y="0"/>
                      <a:ext cx="359663" cy="112775"/>
                    </a:xfrm>
                    <a:prstGeom prst="rect">
                      <a:avLst/>
                    </a:prstGeom>
                  </pic:spPr>
                </pic:pic>
              </a:graphicData>
            </a:graphic>
          </wp:anchor>
        </w:drawing>
      </w:r>
      <w:bookmarkStart w:name="15.11. Person Centered Plan. As of Janua" w:id="855"/>
      <w:bookmarkEnd w:id="855"/>
      <w:r>
        <w:rPr/>
      </w:r>
      <w:r>
        <w:rPr>
          <w:b/>
        </w:rPr>
        <w:t>Person Centered Plan</w:t>
      </w:r>
      <w:r>
        <w:rPr/>
        <w:t>. As of January</w:t>
      </w:r>
      <w:r>
        <w:rPr>
          <w:spacing w:val="-3"/>
        </w:rPr>
        <w:t> </w:t>
      </w:r>
      <w:r>
        <w:rPr/>
        <w:t>1, 2025, the Commonwealth shall ensure there is a person-centered service plan for each individual receiving HRSN services that is person- centered,</w:t>
      </w:r>
      <w:r>
        <w:rPr>
          <w:spacing w:val="-4"/>
        </w:rPr>
        <w:t> </w:t>
      </w:r>
      <w:r>
        <w:rPr/>
        <w:t>identifies</w:t>
      </w:r>
      <w:r>
        <w:rPr>
          <w:spacing w:val="-4"/>
        </w:rPr>
        <w:t> </w:t>
      </w:r>
      <w:r>
        <w:rPr/>
        <w:t>the</w:t>
      </w:r>
      <w:r>
        <w:rPr>
          <w:spacing w:val="-5"/>
        </w:rPr>
        <w:t> </w:t>
      </w:r>
      <w:r>
        <w:rPr/>
        <w:t>member’s</w:t>
      </w:r>
      <w:r>
        <w:rPr>
          <w:spacing w:val="-4"/>
        </w:rPr>
        <w:t> </w:t>
      </w:r>
      <w:r>
        <w:rPr/>
        <w:t>needs</w:t>
      </w:r>
      <w:r>
        <w:rPr>
          <w:spacing w:val="-4"/>
        </w:rPr>
        <w:t> </w:t>
      </w:r>
      <w:r>
        <w:rPr/>
        <w:t>and</w:t>
      </w:r>
      <w:r>
        <w:rPr>
          <w:spacing w:val="-4"/>
        </w:rPr>
        <w:t> </w:t>
      </w:r>
      <w:r>
        <w:rPr/>
        <w:t>individualized</w:t>
      </w:r>
      <w:r>
        <w:rPr>
          <w:spacing w:val="-4"/>
        </w:rPr>
        <w:t> </w:t>
      </w:r>
      <w:r>
        <w:rPr/>
        <w:t>strategies</w:t>
      </w:r>
      <w:r>
        <w:rPr>
          <w:spacing w:val="-2"/>
        </w:rPr>
        <w:t> </w:t>
      </w:r>
      <w:r>
        <w:rPr/>
        <w:t>and</w:t>
      </w:r>
      <w:r>
        <w:rPr>
          <w:spacing w:val="-4"/>
        </w:rPr>
        <w:t> </w:t>
      </w:r>
      <w:r>
        <w:rPr/>
        <w:t>interventions</w:t>
      </w:r>
      <w:r>
        <w:rPr>
          <w:spacing w:val="-4"/>
        </w:rPr>
        <w:t> </w:t>
      </w:r>
      <w:r>
        <w:rPr/>
        <w:t>for meeting those needs, and is developed in consultation with the member and member’s chosen</w:t>
      </w:r>
      <w:r>
        <w:rPr>
          <w:spacing w:val="-1"/>
        </w:rPr>
        <w:t> </w:t>
      </w:r>
      <w:r>
        <w:rPr/>
        <w:t>support</w:t>
      </w:r>
      <w:r>
        <w:rPr>
          <w:spacing w:val="-1"/>
        </w:rPr>
        <w:t> </w:t>
      </w:r>
      <w:r>
        <w:rPr/>
        <w:t>network, as</w:t>
      </w:r>
      <w:r>
        <w:rPr>
          <w:spacing w:val="-1"/>
        </w:rPr>
        <w:t> </w:t>
      </w:r>
      <w:r>
        <w:rPr/>
        <w:t>appropriate.</w:t>
      </w:r>
      <w:r>
        <w:rPr>
          <w:spacing w:val="40"/>
        </w:rPr>
        <w:t> </w:t>
      </w:r>
      <w:r>
        <w:rPr/>
        <w:t>The</w:t>
      </w:r>
      <w:r>
        <w:rPr>
          <w:spacing w:val="-2"/>
        </w:rPr>
        <w:t> </w:t>
      </w:r>
      <w:r>
        <w:rPr/>
        <w:t>service</w:t>
      </w:r>
      <w:r>
        <w:rPr>
          <w:spacing w:val="-2"/>
        </w:rPr>
        <w:t> </w:t>
      </w:r>
      <w:r>
        <w:rPr/>
        <w:t>plan</w:t>
      </w:r>
      <w:r>
        <w:rPr>
          <w:spacing w:val="-1"/>
        </w:rPr>
        <w:t> </w:t>
      </w:r>
      <w:r>
        <w:rPr/>
        <w:t>is</w:t>
      </w:r>
      <w:r>
        <w:rPr>
          <w:spacing w:val="-1"/>
        </w:rPr>
        <w:t> </w:t>
      </w:r>
      <w:r>
        <w:rPr/>
        <w:t>reviewed, and</w:t>
      </w:r>
      <w:r>
        <w:rPr>
          <w:spacing w:val="-1"/>
        </w:rPr>
        <w:t> </w:t>
      </w:r>
      <w:r>
        <w:rPr/>
        <w:t>revised</w:t>
      </w:r>
      <w:r>
        <w:rPr>
          <w:spacing w:val="-1"/>
        </w:rPr>
        <w:t> </w:t>
      </w:r>
      <w:r>
        <w:rPr/>
        <w:t>at</w:t>
      </w:r>
      <w:r>
        <w:rPr>
          <w:spacing w:val="-1"/>
        </w:rPr>
        <w:t> </w:t>
      </w:r>
      <w:r>
        <w:rPr/>
        <w:t>least every</w:t>
      </w:r>
      <w:r>
        <w:rPr>
          <w:spacing w:val="-5"/>
        </w:rPr>
        <w:t> </w:t>
      </w:r>
      <w:r>
        <w:rPr/>
        <w:t>12 months, when the</w:t>
      </w:r>
      <w:r>
        <w:rPr>
          <w:spacing w:val="-1"/>
        </w:rPr>
        <w:t> </w:t>
      </w:r>
      <w:r>
        <w:rPr/>
        <w:t>individual’s circumstances or</w:t>
      </w:r>
      <w:r>
        <w:rPr>
          <w:spacing w:val="-2"/>
        </w:rPr>
        <w:t> </w:t>
      </w:r>
      <w:r>
        <w:rPr/>
        <w:t>needs change</w:t>
      </w:r>
      <w:r>
        <w:rPr>
          <w:spacing w:val="-1"/>
        </w:rPr>
        <w:t> </w:t>
      </w:r>
      <w:r>
        <w:rPr/>
        <w:t>significantly, or</w:t>
      </w:r>
      <w:r>
        <w:rPr>
          <w:spacing w:val="-1"/>
        </w:rPr>
        <w:t> </w:t>
      </w:r>
      <w:r>
        <w:rPr/>
        <w:t>at the request of the individual.</w:t>
      </w:r>
    </w:p>
    <w:p>
      <w:pPr>
        <w:pStyle w:val="BodyText"/>
        <w:spacing w:before="10"/>
        <w:rPr>
          <w:sz w:val="20"/>
        </w:rPr>
      </w:pPr>
    </w:p>
    <w:p>
      <w:pPr>
        <w:pStyle w:val="BodyText"/>
        <w:spacing w:before="1"/>
        <w:ind w:left="871" w:right="1041"/>
      </w:pPr>
      <w:r>
        <w:rPr/>
        <w:drawing>
          <wp:anchor distT="0" distB="0" distL="0" distR="0" allowOverlap="1" layoutInCell="1" locked="0" behindDoc="0" simplePos="0" relativeHeight="16019968">
            <wp:simplePos x="0" y="0"/>
            <wp:positionH relativeFrom="page">
              <wp:posOffset>832103</wp:posOffset>
            </wp:positionH>
            <wp:positionV relativeFrom="paragraph">
              <wp:posOffset>36234</wp:posOffset>
            </wp:positionV>
            <wp:extent cx="359663" cy="112775"/>
            <wp:effectExtent l="0" t="0" r="0" b="0"/>
            <wp:wrapNone/>
            <wp:docPr id="580" name="Image 580"/>
            <wp:cNvGraphicFramePr>
              <a:graphicFrameLocks/>
            </wp:cNvGraphicFramePr>
            <a:graphic>
              <a:graphicData uri="http://schemas.openxmlformats.org/drawingml/2006/picture">
                <pic:pic>
                  <pic:nvPicPr>
                    <pic:cNvPr id="580" name="Image 580"/>
                    <pic:cNvPicPr/>
                  </pic:nvPicPr>
                  <pic:blipFill>
                    <a:blip r:embed="rId237" cstate="print"/>
                    <a:stretch>
                      <a:fillRect/>
                    </a:stretch>
                  </pic:blipFill>
                  <pic:spPr>
                    <a:xfrm>
                      <a:off x="0" y="0"/>
                      <a:ext cx="359663" cy="112775"/>
                    </a:xfrm>
                    <a:prstGeom prst="rect">
                      <a:avLst/>
                    </a:prstGeom>
                  </pic:spPr>
                </pic:pic>
              </a:graphicData>
            </a:graphic>
          </wp:anchor>
        </w:drawing>
      </w:r>
      <w:bookmarkStart w:name="15.12. Conflict of Interest.  The Common" w:id="856"/>
      <w:bookmarkEnd w:id="856"/>
      <w:r>
        <w:rPr/>
      </w:r>
      <w:r>
        <w:rPr>
          <w:b/>
        </w:rPr>
        <w:t>Conflict of Interest</w:t>
      </w:r>
      <w:r>
        <w:rPr/>
        <w:t>.</w:t>
      </w:r>
      <w:r>
        <w:rPr>
          <w:spacing w:val="40"/>
        </w:rPr>
        <w:t> </w:t>
      </w:r>
      <w:r>
        <w:rPr/>
        <w:t>The Commonwealth shall ensure appropriate protections against conflicts of interest in the service planning and delivery of HRSN services.</w:t>
      </w:r>
      <w:r>
        <w:rPr>
          <w:spacing w:val="40"/>
        </w:rPr>
        <w:t> </w:t>
      </w:r>
      <w:r>
        <w:rPr/>
        <w:t>The Commonwealth also agrees that appropriate separation of service planning and service provision</w:t>
      </w:r>
      <w:r>
        <w:rPr>
          <w:spacing w:val="-4"/>
        </w:rPr>
        <w:t> </w:t>
      </w:r>
      <w:r>
        <w:rPr/>
        <w:t>functions</w:t>
      </w:r>
      <w:r>
        <w:rPr>
          <w:spacing w:val="-4"/>
        </w:rPr>
        <w:t> </w:t>
      </w:r>
      <w:r>
        <w:rPr/>
        <w:t>are</w:t>
      </w:r>
      <w:r>
        <w:rPr>
          <w:spacing w:val="-5"/>
        </w:rPr>
        <w:t> </w:t>
      </w:r>
      <w:r>
        <w:rPr/>
        <w:t>incorporated</w:t>
      </w:r>
      <w:r>
        <w:rPr>
          <w:spacing w:val="-4"/>
        </w:rPr>
        <w:t> </w:t>
      </w:r>
      <w:r>
        <w:rPr/>
        <w:t>into</w:t>
      </w:r>
      <w:r>
        <w:rPr>
          <w:spacing w:val="-4"/>
        </w:rPr>
        <w:t> </w:t>
      </w:r>
      <w:r>
        <w:rPr/>
        <w:t>the</w:t>
      </w:r>
      <w:r>
        <w:rPr>
          <w:spacing w:val="-5"/>
        </w:rPr>
        <w:t> </w:t>
      </w:r>
      <w:r>
        <w:rPr/>
        <w:t>Commonwealth’s</w:t>
      </w:r>
      <w:r>
        <w:rPr>
          <w:spacing w:val="-4"/>
        </w:rPr>
        <w:t> </w:t>
      </w:r>
      <w:r>
        <w:rPr/>
        <w:t>conflict</w:t>
      </w:r>
      <w:r>
        <w:rPr>
          <w:spacing w:val="-4"/>
        </w:rPr>
        <w:t> </w:t>
      </w:r>
      <w:r>
        <w:rPr/>
        <w:t>of</w:t>
      </w:r>
      <w:r>
        <w:rPr>
          <w:spacing w:val="-5"/>
        </w:rPr>
        <w:t> </w:t>
      </w:r>
      <w:r>
        <w:rPr/>
        <w:t>interest</w:t>
      </w:r>
      <w:r>
        <w:rPr>
          <w:spacing w:val="-4"/>
        </w:rPr>
        <w:t> </w:t>
      </w:r>
      <w:r>
        <w:rPr/>
        <w:t>policies.</w:t>
      </w:r>
    </w:p>
    <w:p>
      <w:pPr>
        <w:pStyle w:val="BodyText"/>
        <w:spacing w:before="9"/>
        <w:rPr>
          <w:sz w:val="20"/>
        </w:rPr>
      </w:pPr>
    </w:p>
    <w:p>
      <w:pPr>
        <w:pStyle w:val="BodyText"/>
        <w:spacing w:before="1"/>
        <w:ind w:left="871" w:right="1059"/>
      </w:pPr>
      <w:r>
        <w:rPr/>
        <w:drawing>
          <wp:anchor distT="0" distB="0" distL="0" distR="0" allowOverlap="1" layoutInCell="1" locked="0" behindDoc="0" simplePos="0" relativeHeight="16020480">
            <wp:simplePos x="0" y="0"/>
            <wp:positionH relativeFrom="page">
              <wp:posOffset>832103</wp:posOffset>
            </wp:positionH>
            <wp:positionV relativeFrom="paragraph">
              <wp:posOffset>36247</wp:posOffset>
            </wp:positionV>
            <wp:extent cx="359663" cy="112763"/>
            <wp:effectExtent l="0" t="0" r="0" b="0"/>
            <wp:wrapNone/>
            <wp:docPr id="581" name="Image 581"/>
            <wp:cNvGraphicFramePr>
              <a:graphicFrameLocks/>
            </wp:cNvGraphicFramePr>
            <a:graphic>
              <a:graphicData uri="http://schemas.openxmlformats.org/drawingml/2006/picture">
                <pic:pic>
                  <pic:nvPicPr>
                    <pic:cNvPr id="581" name="Image 581"/>
                    <pic:cNvPicPr/>
                  </pic:nvPicPr>
                  <pic:blipFill>
                    <a:blip r:embed="rId238" cstate="print"/>
                    <a:stretch>
                      <a:fillRect/>
                    </a:stretch>
                  </pic:blipFill>
                  <pic:spPr>
                    <a:xfrm>
                      <a:off x="0" y="0"/>
                      <a:ext cx="359663" cy="112763"/>
                    </a:xfrm>
                    <a:prstGeom prst="rect">
                      <a:avLst/>
                    </a:prstGeom>
                  </pic:spPr>
                </pic:pic>
              </a:graphicData>
            </a:graphic>
          </wp:anchor>
        </w:drawing>
      </w:r>
      <w:bookmarkStart w:name="15.13. Medicaid Beneficiary Protections." w:id="857"/>
      <w:bookmarkEnd w:id="857"/>
      <w:r>
        <w:rPr/>
      </w:r>
      <w:r>
        <w:rPr>
          <w:b/>
        </w:rPr>
        <w:t>Medicaid Beneficiary Protections. </w:t>
      </w:r>
      <w:r>
        <w:rPr/>
        <w:t>As part of the Commonwealth’s submission of associated Medicaid managed care plan contracts to implement HRSN services through managed</w:t>
      </w:r>
      <w:r>
        <w:rPr>
          <w:spacing w:val="-4"/>
        </w:rPr>
        <w:t> </w:t>
      </w:r>
      <w:r>
        <w:rPr/>
        <w:t>care,</w:t>
      </w:r>
      <w:r>
        <w:rPr>
          <w:spacing w:val="-4"/>
        </w:rPr>
        <w:t> </w:t>
      </w:r>
      <w:r>
        <w:rPr/>
        <w:t>the</w:t>
      </w:r>
      <w:r>
        <w:rPr>
          <w:spacing w:val="-5"/>
        </w:rPr>
        <w:t> </w:t>
      </w:r>
      <w:r>
        <w:rPr/>
        <w:t>Commonwealth</w:t>
      </w:r>
      <w:r>
        <w:rPr>
          <w:spacing w:val="-4"/>
        </w:rPr>
        <w:t> </w:t>
      </w:r>
      <w:r>
        <w:rPr/>
        <w:t>must</w:t>
      </w:r>
      <w:r>
        <w:rPr>
          <w:spacing w:val="-4"/>
        </w:rPr>
        <w:t> </w:t>
      </w:r>
      <w:r>
        <w:rPr/>
        <w:t>provide</w:t>
      </w:r>
      <w:r>
        <w:rPr>
          <w:spacing w:val="-5"/>
        </w:rPr>
        <w:t> </w:t>
      </w:r>
      <w:r>
        <w:rPr/>
        <w:t>documentation</w:t>
      </w:r>
      <w:r>
        <w:rPr>
          <w:spacing w:val="-4"/>
        </w:rPr>
        <w:t> </w:t>
      </w:r>
      <w:r>
        <w:rPr/>
        <w:t>including,</w:t>
      </w:r>
      <w:r>
        <w:rPr>
          <w:spacing w:val="-2"/>
        </w:rPr>
        <w:t> </w:t>
      </w:r>
      <w:r>
        <w:rPr/>
        <w:t>but</w:t>
      </w:r>
      <w:r>
        <w:rPr>
          <w:spacing w:val="-4"/>
        </w:rPr>
        <w:t> </w:t>
      </w:r>
      <w:r>
        <w:rPr/>
        <w:t>not</w:t>
      </w:r>
      <w:r>
        <w:rPr>
          <w:spacing w:val="-4"/>
        </w:rPr>
        <w:t> </w:t>
      </w:r>
      <w:r>
        <w:rPr/>
        <w:t>limited </w:t>
      </w:r>
      <w:r>
        <w:rPr>
          <w:spacing w:val="-4"/>
        </w:rPr>
        <w:t>to:</w:t>
      </w:r>
    </w:p>
    <w:p>
      <w:pPr>
        <w:pStyle w:val="BodyText"/>
        <w:rPr>
          <w:sz w:val="13"/>
        </w:rPr>
      </w:pPr>
    </w:p>
    <w:p>
      <w:pPr>
        <w:pStyle w:val="BodyText"/>
        <w:spacing w:before="90"/>
        <w:ind w:left="1411"/>
      </w:pPr>
      <w:r>
        <w:rPr/>
        <w:drawing>
          <wp:anchor distT="0" distB="0" distL="0" distR="0" allowOverlap="1" layoutInCell="1" locked="0" behindDoc="0" simplePos="0" relativeHeight="16020992">
            <wp:simplePos x="0" y="0"/>
            <wp:positionH relativeFrom="page">
              <wp:posOffset>1431036</wp:posOffset>
            </wp:positionH>
            <wp:positionV relativeFrom="paragraph">
              <wp:posOffset>124753</wp:posOffset>
            </wp:positionV>
            <wp:extent cx="96011" cy="80771"/>
            <wp:effectExtent l="0" t="0" r="0" b="0"/>
            <wp:wrapNone/>
            <wp:docPr id="582" name="Image 582"/>
            <wp:cNvGraphicFramePr>
              <a:graphicFrameLocks/>
            </wp:cNvGraphicFramePr>
            <a:graphic>
              <a:graphicData uri="http://schemas.openxmlformats.org/drawingml/2006/picture">
                <pic:pic>
                  <pic:nvPicPr>
                    <pic:cNvPr id="582" name="Image 582"/>
                    <pic:cNvPicPr/>
                  </pic:nvPicPr>
                  <pic:blipFill>
                    <a:blip r:embed="rId40" cstate="print"/>
                    <a:stretch>
                      <a:fillRect/>
                    </a:stretch>
                  </pic:blipFill>
                  <pic:spPr>
                    <a:xfrm>
                      <a:off x="0" y="0"/>
                      <a:ext cx="96011" cy="80771"/>
                    </a:xfrm>
                    <a:prstGeom prst="rect">
                      <a:avLst/>
                    </a:prstGeom>
                  </pic:spPr>
                </pic:pic>
              </a:graphicData>
            </a:graphic>
          </wp:anchor>
        </w:drawing>
      </w:r>
      <w:bookmarkStart w:name="a. Beneficiary and plan protections, inc" w:id="858"/>
      <w:bookmarkEnd w:id="858"/>
      <w:r>
        <w:rPr/>
      </w:r>
      <w:r>
        <w:rPr/>
        <w:t>Beneficiary</w:t>
      </w:r>
      <w:r>
        <w:rPr>
          <w:spacing w:val="-4"/>
        </w:rPr>
        <w:t> </w:t>
      </w:r>
      <w:r>
        <w:rPr/>
        <w:t>and</w:t>
      </w:r>
      <w:r>
        <w:rPr>
          <w:spacing w:val="-1"/>
        </w:rPr>
        <w:t> </w:t>
      </w:r>
      <w:r>
        <w:rPr/>
        <w:t>plan</w:t>
      </w:r>
      <w:r>
        <w:rPr>
          <w:spacing w:val="-1"/>
        </w:rPr>
        <w:t> </w:t>
      </w:r>
      <w:r>
        <w:rPr/>
        <w:t>protections,</w:t>
      </w:r>
      <w:r>
        <w:rPr>
          <w:spacing w:val="-1"/>
        </w:rPr>
        <w:t> </w:t>
      </w:r>
      <w:r>
        <w:rPr/>
        <w:t>including</w:t>
      </w:r>
      <w:r>
        <w:rPr>
          <w:spacing w:val="-4"/>
        </w:rPr>
        <w:t> </w:t>
      </w:r>
      <w:r>
        <w:rPr/>
        <w:t>but</w:t>
      </w:r>
      <w:r>
        <w:rPr>
          <w:spacing w:val="-1"/>
        </w:rPr>
        <w:t> </w:t>
      </w:r>
      <w:r>
        <w:rPr/>
        <w:t>not</w:t>
      </w:r>
      <w:r>
        <w:rPr>
          <w:spacing w:val="1"/>
        </w:rPr>
        <w:t> </w:t>
      </w:r>
      <w:r>
        <w:rPr/>
        <w:t>limited</w:t>
      </w:r>
      <w:r>
        <w:rPr>
          <w:spacing w:val="-1"/>
        </w:rPr>
        <w:t> </w:t>
      </w:r>
      <w:r>
        <w:rPr>
          <w:spacing w:val="-5"/>
        </w:rPr>
        <w:t>to:</w:t>
      </w:r>
    </w:p>
    <w:p>
      <w:pPr>
        <w:pStyle w:val="BodyText"/>
        <w:spacing w:before="10"/>
        <w:rPr>
          <w:sz w:val="20"/>
        </w:rPr>
      </w:pPr>
    </w:p>
    <w:p>
      <w:pPr>
        <w:pStyle w:val="BodyText"/>
        <w:ind w:left="2040" w:right="1141"/>
      </w:pPr>
      <w:r>
        <w:rPr/>
        <w:drawing>
          <wp:anchor distT="0" distB="0" distL="0" distR="0" allowOverlap="1" layoutInCell="1" locked="0" behindDoc="0" simplePos="0" relativeHeight="16021504">
            <wp:simplePos x="0" y="0"/>
            <wp:positionH relativeFrom="page">
              <wp:posOffset>1862327</wp:posOffset>
            </wp:positionH>
            <wp:positionV relativeFrom="paragraph">
              <wp:posOffset>32551</wp:posOffset>
            </wp:positionV>
            <wp:extent cx="73151" cy="115823"/>
            <wp:effectExtent l="0" t="0" r="0" b="0"/>
            <wp:wrapNone/>
            <wp:docPr id="583" name="Image 583"/>
            <wp:cNvGraphicFramePr>
              <a:graphicFrameLocks/>
            </wp:cNvGraphicFramePr>
            <a:graphic>
              <a:graphicData uri="http://schemas.openxmlformats.org/drawingml/2006/picture">
                <pic:pic>
                  <pic:nvPicPr>
                    <pic:cNvPr id="583" name="Image 583"/>
                    <pic:cNvPicPr/>
                  </pic:nvPicPr>
                  <pic:blipFill>
                    <a:blip r:embed="rId61" cstate="print"/>
                    <a:stretch>
                      <a:fillRect/>
                    </a:stretch>
                  </pic:blipFill>
                  <pic:spPr>
                    <a:xfrm>
                      <a:off x="0" y="0"/>
                      <a:ext cx="73151" cy="115823"/>
                    </a:xfrm>
                    <a:prstGeom prst="rect">
                      <a:avLst/>
                    </a:prstGeom>
                  </pic:spPr>
                </pic:pic>
              </a:graphicData>
            </a:graphic>
          </wp:anchor>
        </w:drawing>
      </w:r>
      <w:bookmarkStart w:name="i. HRSN services must not be used to red" w:id="859"/>
      <w:bookmarkEnd w:id="859"/>
      <w:r>
        <w:rPr/>
      </w:r>
      <w:r>
        <w:rPr/>
        <w:t>HRSN</w:t>
      </w:r>
      <w:r>
        <w:rPr>
          <w:spacing w:val="-5"/>
        </w:rPr>
        <w:t> </w:t>
      </w:r>
      <w:r>
        <w:rPr/>
        <w:t>services</w:t>
      </w:r>
      <w:r>
        <w:rPr>
          <w:spacing w:val="-4"/>
        </w:rPr>
        <w:t> </w:t>
      </w:r>
      <w:r>
        <w:rPr/>
        <w:t>must</w:t>
      </w:r>
      <w:r>
        <w:rPr>
          <w:spacing w:val="-4"/>
        </w:rPr>
        <w:t> </w:t>
      </w:r>
      <w:r>
        <w:rPr/>
        <w:t>not</w:t>
      </w:r>
      <w:r>
        <w:rPr>
          <w:spacing w:val="-4"/>
        </w:rPr>
        <w:t> </w:t>
      </w:r>
      <w:r>
        <w:rPr/>
        <w:t>be</w:t>
      </w:r>
      <w:r>
        <w:rPr>
          <w:spacing w:val="-5"/>
        </w:rPr>
        <w:t> </w:t>
      </w:r>
      <w:r>
        <w:rPr/>
        <w:t>used</w:t>
      </w:r>
      <w:r>
        <w:rPr>
          <w:spacing w:val="-4"/>
        </w:rPr>
        <w:t> </w:t>
      </w:r>
      <w:r>
        <w:rPr/>
        <w:t>to</w:t>
      </w:r>
      <w:r>
        <w:rPr>
          <w:spacing w:val="-4"/>
        </w:rPr>
        <w:t> </w:t>
      </w:r>
      <w:r>
        <w:rPr/>
        <w:t>reduce,</w:t>
      </w:r>
      <w:r>
        <w:rPr>
          <w:spacing w:val="-4"/>
        </w:rPr>
        <w:t> </w:t>
      </w:r>
      <w:r>
        <w:rPr/>
        <w:t>discourage,</w:t>
      </w:r>
      <w:r>
        <w:rPr>
          <w:spacing w:val="-4"/>
        </w:rPr>
        <w:t> </w:t>
      </w:r>
      <w:r>
        <w:rPr/>
        <w:t>or</w:t>
      </w:r>
      <w:r>
        <w:rPr>
          <w:spacing w:val="-5"/>
        </w:rPr>
        <w:t> </w:t>
      </w:r>
      <w:r>
        <w:rPr/>
        <w:t>jeopardize Medicaid beneficiaries’ access to Medicaid covered services.</w:t>
      </w:r>
    </w:p>
    <w:p>
      <w:pPr>
        <w:spacing w:after="0"/>
        <w:sectPr>
          <w:pgSz w:w="12240" w:h="15840"/>
          <w:pgMar w:header="0" w:footer="1201" w:top="1360" w:bottom="1400" w:left="1200" w:right="400"/>
        </w:sectPr>
      </w:pPr>
    </w:p>
    <w:p>
      <w:pPr>
        <w:pStyle w:val="BodyText"/>
        <w:spacing w:before="79"/>
        <w:ind w:left="2040" w:right="1059"/>
      </w:pPr>
      <w:r>
        <w:rPr/>
        <w:drawing>
          <wp:anchor distT="0" distB="0" distL="0" distR="0" allowOverlap="1" layoutInCell="1" locked="0" behindDoc="0" simplePos="0" relativeHeight="16022016">
            <wp:simplePos x="0" y="0"/>
            <wp:positionH relativeFrom="page">
              <wp:posOffset>1819655</wp:posOffset>
            </wp:positionH>
            <wp:positionV relativeFrom="paragraph">
              <wp:posOffset>82717</wp:posOffset>
            </wp:positionV>
            <wp:extent cx="115823" cy="115823"/>
            <wp:effectExtent l="0" t="0" r="0" b="0"/>
            <wp:wrapNone/>
            <wp:docPr id="584" name="Image 584"/>
            <wp:cNvGraphicFramePr>
              <a:graphicFrameLocks/>
            </wp:cNvGraphicFramePr>
            <a:graphic>
              <a:graphicData uri="http://schemas.openxmlformats.org/drawingml/2006/picture">
                <pic:pic>
                  <pic:nvPicPr>
                    <pic:cNvPr id="584" name="Image 584"/>
                    <pic:cNvPicPr/>
                  </pic:nvPicPr>
                  <pic:blipFill>
                    <a:blip r:embed="rId62" cstate="print"/>
                    <a:stretch>
                      <a:fillRect/>
                    </a:stretch>
                  </pic:blipFill>
                  <pic:spPr>
                    <a:xfrm>
                      <a:off x="0" y="0"/>
                      <a:ext cx="115823" cy="115823"/>
                    </a:xfrm>
                    <a:prstGeom prst="rect">
                      <a:avLst/>
                    </a:prstGeom>
                  </pic:spPr>
                </pic:pic>
              </a:graphicData>
            </a:graphic>
          </wp:anchor>
        </w:drawing>
      </w:r>
      <w:bookmarkStart w:name="ii. Medicaid beneficiaries always retain" w:id="860"/>
      <w:bookmarkEnd w:id="860"/>
      <w:r>
        <w:rPr/>
      </w:r>
      <w:r>
        <w:rPr/>
        <w:t>Medicaid beneficiaries always retain their right to receive the Medicaid covered</w:t>
      </w:r>
      <w:r>
        <w:rPr>
          <w:spacing w:val="-3"/>
        </w:rPr>
        <w:t> </w:t>
      </w:r>
      <w:r>
        <w:rPr/>
        <w:t>service</w:t>
      </w:r>
      <w:r>
        <w:rPr>
          <w:spacing w:val="-4"/>
        </w:rPr>
        <w:t> </w:t>
      </w:r>
      <w:r>
        <w:rPr/>
        <w:t>on</w:t>
      </w:r>
      <w:r>
        <w:rPr>
          <w:spacing w:val="-3"/>
        </w:rPr>
        <w:t> </w:t>
      </w:r>
      <w:r>
        <w:rPr/>
        <w:t>the</w:t>
      </w:r>
      <w:r>
        <w:rPr>
          <w:spacing w:val="-4"/>
        </w:rPr>
        <w:t> </w:t>
      </w:r>
      <w:r>
        <w:rPr/>
        <w:t>same</w:t>
      </w:r>
      <w:r>
        <w:rPr>
          <w:spacing w:val="-4"/>
        </w:rPr>
        <w:t> </w:t>
      </w:r>
      <w:r>
        <w:rPr/>
        <w:t>terms</w:t>
      </w:r>
      <w:r>
        <w:rPr>
          <w:spacing w:val="-3"/>
        </w:rPr>
        <w:t> </w:t>
      </w:r>
      <w:r>
        <w:rPr/>
        <w:t>as</w:t>
      </w:r>
      <w:r>
        <w:rPr>
          <w:spacing w:val="-3"/>
        </w:rPr>
        <w:t> </w:t>
      </w:r>
      <w:r>
        <w:rPr/>
        <w:t>would</w:t>
      </w:r>
      <w:r>
        <w:rPr>
          <w:spacing w:val="-3"/>
        </w:rPr>
        <w:t> </w:t>
      </w:r>
      <w:r>
        <w:rPr/>
        <w:t>apply</w:t>
      </w:r>
      <w:r>
        <w:rPr>
          <w:spacing w:val="-6"/>
        </w:rPr>
        <w:t> </w:t>
      </w:r>
      <w:r>
        <w:rPr/>
        <w:t>if</w:t>
      </w:r>
      <w:r>
        <w:rPr>
          <w:spacing w:val="-4"/>
        </w:rPr>
        <w:t> </w:t>
      </w:r>
      <w:r>
        <w:rPr/>
        <w:t>HRSN</w:t>
      </w:r>
      <w:r>
        <w:rPr>
          <w:spacing w:val="-4"/>
        </w:rPr>
        <w:t> </w:t>
      </w:r>
      <w:r>
        <w:rPr/>
        <w:t>services</w:t>
      </w:r>
      <w:r>
        <w:rPr>
          <w:spacing w:val="-3"/>
        </w:rPr>
        <w:t> </w:t>
      </w:r>
      <w:r>
        <w:rPr/>
        <w:t>were</w:t>
      </w:r>
      <w:r>
        <w:rPr>
          <w:spacing w:val="-4"/>
        </w:rPr>
        <w:t> </w:t>
      </w:r>
      <w:r>
        <w:rPr/>
        <w:t>not an option.</w:t>
      </w:r>
    </w:p>
    <w:p>
      <w:pPr>
        <w:pStyle w:val="BodyText"/>
        <w:spacing w:before="161"/>
        <w:ind w:left="2040" w:right="1141"/>
      </w:pPr>
      <w:r>
        <w:rPr/>
        <w:drawing>
          <wp:anchor distT="0" distB="0" distL="0" distR="0" allowOverlap="1" layoutInCell="1" locked="0" behindDoc="0" simplePos="0" relativeHeight="16022528">
            <wp:simplePos x="0" y="0"/>
            <wp:positionH relativeFrom="page">
              <wp:posOffset>1778507</wp:posOffset>
            </wp:positionH>
            <wp:positionV relativeFrom="paragraph">
              <wp:posOffset>134787</wp:posOffset>
            </wp:positionV>
            <wp:extent cx="158495" cy="115823"/>
            <wp:effectExtent l="0" t="0" r="0" b="0"/>
            <wp:wrapNone/>
            <wp:docPr id="585" name="Image 585"/>
            <wp:cNvGraphicFramePr>
              <a:graphicFrameLocks/>
            </wp:cNvGraphicFramePr>
            <a:graphic>
              <a:graphicData uri="http://schemas.openxmlformats.org/drawingml/2006/picture">
                <pic:pic>
                  <pic:nvPicPr>
                    <pic:cNvPr id="585" name="Image 585"/>
                    <pic:cNvPicPr/>
                  </pic:nvPicPr>
                  <pic:blipFill>
                    <a:blip r:embed="rId65" cstate="print"/>
                    <a:stretch>
                      <a:fillRect/>
                    </a:stretch>
                  </pic:blipFill>
                  <pic:spPr>
                    <a:xfrm>
                      <a:off x="0" y="0"/>
                      <a:ext cx="158495" cy="115823"/>
                    </a:xfrm>
                    <a:prstGeom prst="rect">
                      <a:avLst/>
                    </a:prstGeom>
                  </pic:spPr>
                </pic:pic>
              </a:graphicData>
            </a:graphic>
          </wp:anchor>
        </w:drawing>
      </w:r>
      <w:bookmarkStart w:name="iii. Medicaid beneficiaries who are offe" w:id="861"/>
      <w:bookmarkEnd w:id="861"/>
      <w:r>
        <w:rPr/>
      </w:r>
      <w:r>
        <w:rPr/>
        <w:t>Medicaid</w:t>
      </w:r>
      <w:r>
        <w:rPr>
          <w:spacing w:val="-4"/>
        </w:rPr>
        <w:t> </w:t>
      </w:r>
      <w:r>
        <w:rPr/>
        <w:t>beneficiaries</w:t>
      </w:r>
      <w:r>
        <w:rPr>
          <w:spacing w:val="-4"/>
        </w:rPr>
        <w:t> </w:t>
      </w:r>
      <w:r>
        <w:rPr/>
        <w:t>who</w:t>
      </w:r>
      <w:r>
        <w:rPr>
          <w:spacing w:val="-4"/>
        </w:rPr>
        <w:t> </w:t>
      </w:r>
      <w:r>
        <w:rPr/>
        <w:t>are</w:t>
      </w:r>
      <w:r>
        <w:rPr>
          <w:spacing w:val="-5"/>
        </w:rPr>
        <w:t> </w:t>
      </w:r>
      <w:r>
        <w:rPr/>
        <w:t>offered</w:t>
      </w:r>
      <w:r>
        <w:rPr>
          <w:spacing w:val="-4"/>
        </w:rPr>
        <w:t> </w:t>
      </w:r>
      <w:r>
        <w:rPr/>
        <w:t>or</w:t>
      </w:r>
      <w:r>
        <w:rPr>
          <w:spacing w:val="-5"/>
        </w:rPr>
        <w:t> </w:t>
      </w:r>
      <w:r>
        <w:rPr/>
        <w:t>utilize</w:t>
      </w:r>
      <w:r>
        <w:rPr>
          <w:spacing w:val="-5"/>
        </w:rPr>
        <w:t> </w:t>
      </w:r>
      <w:r>
        <w:rPr/>
        <w:t>an</w:t>
      </w:r>
      <w:r>
        <w:rPr>
          <w:spacing w:val="-4"/>
        </w:rPr>
        <w:t> </w:t>
      </w:r>
      <w:r>
        <w:rPr/>
        <w:t>HRSN</w:t>
      </w:r>
      <w:r>
        <w:rPr>
          <w:spacing w:val="-5"/>
        </w:rPr>
        <w:t> </w:t>
      </w:r>
      <w:r>
        <w:rPr/>
        <w:t>retain</w:t>
      </w:r>
      <w:r>
        <w:rPr>
          <w:spacing w:val="-4"/>
        </w:rPr>
        <w:t> </w:t>
      </w:r>
      <w:r>
        <w:rPr/>
        <w:t>all</w:t>
      </w:r>
      <w:r>
        <w:rPr>
          <w:spacing w:val="-4"/>
        </w:rPr>
        <w:t> </w:t>
      </w:r>
      <w:r>
        <w:rPr/>
        <w:t>rights and protections afforded under part 438.</w:t>
      </w:r>
    </w:p>
    <w:p>
      <w:pPr>
        <w:pStyle w:val="BodyText"/>
        <w:spacing w:before="158"/>
        <w:ind w:left="2040" w:right="1141"/>
      </w:pPr>
      <w:r>
        <w:rPr/>
        <w:drawing>
          <wp:anchor distT="0" distB="0" distL="0" distR="0" allowOverlap="1" layoutInCell="1" locked="0" behindDoc="0" simplePos="0" relativeHeight="16023040">
            <wp:simplePos x="0" y="0"/>
            <wp:positionH relativeFrom="page">
              <wp:posOffset>1786127</wp:posOffset>
            </wp:positionH>
            <wp:positionV relativeFrom="paragraph">
              <wp:posOffset>132881</wp:posOffset>
            </wp:positionV>
            <wp:extent cx="149339" cy="115823"/>
            <wp:effectExtent l="0" t="0" r="0" b="0"/>
            <wp:wrapNone/>
            <wp:docPr id="586" name="Image 586"/>
            <wp:cNvGraphicFramePr>
              <a:graphicFrameLocks/>
            </wp:cNvGraphicFramePr>
            <a:graphic>
              <a:graphicData uri="http://schemas.openxmlformats.org/drawingml/2006/picture">
                <pic:pic>
                  <pic:nvPicPr>
                    <pic:cNvPr id="586" name="Image 586"/>
                    <pic:cNvPicPr/>
                  </pic:nvPicPr>
                  <pic:blipFill>
                    <a:blip r:embed="rId96" cstate="print"/>
                    <a:stretch>
                      <a:fillRect/>
                    </a:stretch>
                  </pic:blipFill>
                  <pic:spPr>
                    <a:xfrm>
                      <a:off x="0" y="0"/>
                      <a:ext cx="149339" cy="115823"/>
                    </a:xfrm>
                    <a:prstGeom prst="rect">
                      <a:avLst/>
                    </a:prstGeom>
                  </pic:spPr>
                </pic:pic>
              </a:graphicData>
            </a:graphic>
          </wp:anchor>
        </w:drawing>
      </w:r>
      <w:bookmarkStart w:name="iv. Managed care plans are not permitted" w:id="862"/>
      <w:bookmarkEnd w:id="862"/>
      <w:r>
        <w:rPr/>
      </w:r>
      <w:r>
        <w:rPr/>
        <w:t>Managed care plans are not permitted to deny a beneficiary a medically appropriate Medicaid covered service on the basis that they are currently receiving</w:t>
      </w:r>
      <w:r>
        <w:rPr>
          <w:spacing w:val="-7"/>
        </w:rPr>
        <w:t> </w:t>
      </w:r>
      <w:r>
        <w:rPr/>
        <w:t>HRSN</w:t>
      </w:r>
      <w:r>
        <w:rPr>
          <w:spacing w:val="-5"/>
        </w:rPr>
        <w:t> </w:t>
      </w:r>
      <w:r>
        <w:rPr/>
        <w:t>services,</w:t>
      </w:r>
      <w:r>
        <w:rPr>
          <w:spacing w:val="-4"/>
        </w:rPr>
        <w:t> </w:t>
      </w:r>
      <w:r>
        <w:rPr/>
        <w:t>have</w:t>
      </w:r>
      <w:r>
        <w:rPr>
          <w:spacing w:val="-5"/>
        </w:rPr>
        <w:t> </w:t>
      </w:r>
      <w:r>
        <w:rPr/>
        <w:t>requested</w:t>
      </w:r>
      <w:r>
        <w:rPr>
          <w:spacing w:val="-4"/>
        </w:rPr>
        <w:t> </w:t>
      </w:r>
      <w:r>
        <w:rPr/>
        <w:t>those</w:t>
      </w:r>
      <w:r>
        <w:rPr>
          <w:spacing w:val="-5"/>
        </w:rPr>
        <w:t> </w:t>
      </w:r>
      <w:r>
        <w:rPr/>
        <w:t>services,</w:t>
      </w:r>
      <w:r>
        <w:rPr>
          <w:spacing w:val="-4"/>
        </w:rPr>
        <w:t> </w:t>
      </w:r>
      <w:r>
        <w:rPr/>
        <w:t>or</w:t>
      </w:r>
      <w:r>
        <w:rPr>
          <w:spacing w:val="-5"/>
        </w:rPr>
        <w:t> </w:t>
      </w:r>
      <w:r>
        <w:rPr/>
        <w:t>have</w:t>
      </w:r>
      <w:r>
        <w:rPr>
          <w:spacing w:val="-5"/>
        </w:rPr>
        <w:t> </w:t>
      </w:r>
      <w:r>
        <w:rPr/>
        <w:t>received these services in the past.</w:t>
      </w:r>
    </w:p>
    <w:p>
      <w:pPr>
        <w:pStyle w:val="BodyText"/>
        <w:spacing w:before="161"/>
        <w:ind w:left="2040" w:right="1059"/>
      </w:pPr>
      <w:r>
        <w:rPr/>
        <w:drawing>
          <wp:anchor distT="0" distB="0" distL="0" distR="0" allowOverlap="1" layoutInCell="1" locked="0" behindDoc="0" simplePos="0" relativeHeight="16023552">
            <wp:simplePos x="0" y="0"/>
            <wp:positionH relativeFrom="page">
              <wp:posOffset>1825751</wp:posOffset>
            </wp:positionH>
            <wp:positionV relativeFrom="paragraph">
              <wp:posOffset>172886</wp:posOffset>
            </wp:positionV>
            <wp:extent cx="109727" cy="77723"/>
            <wp:effectExtent l="0" t="0" r="0" b="0"/>
            <wp:wrapNone/>
            <wp:docPr id="587" name="Image 587"/>
            <wp:cNvGraphicFramePr>
              <a:graphicFrameLocks/>
            </wp:cNvGraphicFramePr>
            <a:graphic>
              <a:graphicData uri="http://schemas.openxmlformats.org/drawingml/2006/picture">
                <pic:pic>
                  <pic:nvPicPr>
                    <pic:cNvPr id="587" name="Image 587"/>
                    <pic:cNvPicPr/>
                  </pic:nvPicPr>
                  <pic:blipFill>
                    <a:blip r:embed="rId67" cstate="print"/>
                    <a:stretch>
                      <a:fillRect/>
                    </a:stretch>
                  </pic:blipFill>
                  <pic:spPr>
                    <a:xfrm>
                      <a:off x="0" y="0"/>
                      <a:ext cx="109727" cy="77723"/>
                    </a:xfrm>
                    <a:prstGeom prst="rect">
                      <a:avLst/>
                    </a:prstGeom>
                  </pic:spPr>
                </pic:pic>
              </a:graphicData>
            </a:graphic>
          </wp:anchor>
        </w:drawing>
      </w:r>
      <w:bookmarkStart w:name="v. Managed care plans are prohibited fro" w:id="863"/>
      <w:bookmarkEnd w:id="863"/>
      <w:r>
        <w:rPr/>
      </w:r>
      <w:r>
        <w:rPr/>
        <w:t>Managed</w:t>
      </w:r>
      <w:r>
        <w:rPr>
          <w:spacing w:val="-3"/>
        </w:rPr>
        <w:t> </w:t>
      </w:r>
      <w:r>
        <w:rPr/>
        <w:t>care</w:t>
      </w:r>
      <w:r>
        <w:rPr>
          <w:spacing w:val="-4"/>
        </w:rPr>
        <w:t> </w:t>
      </w:r>
      <w:r>
        <w:rPr/>
        <w:t>plans</w:t>
      </w:r>
      <w:r>
        <w:rPr>
          <w:spacing w:val="-3"/>
        </w:rPr>
        <w:t> </w:t>
      </w:r>
      <w:r>
        <w:rPr/>
        <w:t>are</w:t>
      </w:r>
      <w:r>
        <w:rPr>
          <w:spacing w:val="-4"/>
        </w:rPr>
        <w:t> </w:t>
      </w:r>
      <w:r>
        <w:rPr/>
        <w:t>prohibited</w:t>
      </w:r>
      <w:r>
        <w:rPr>
          <w:spacing w:val="-3"/>
        </w:rPr>
        <w:t> </w:t>
      </w:r>
      <w:r>
        <w:rPr/>
        <w:t>from</w:t>
      </w:r>
      <w:r>
        <w:rPr>
          <w:spacing w:val="-3"/>
        </w:rPr>
        <w:t> </w:t>
      </w:r>
      <w:r>
        <w:rPr/>
        <w:t>requiring</w:t>
      </w:r>
      <w:r>
        <w:rPr>
          <w:spacing w:val="-3"/>
        </w:rPr>
        <w:t> </w:t>
      </w:r>
      <w:r>
        <w:rPr/>
        <w:t>a</w:t>
      </w:r>
      <w:r>
        <w:rPr>
          <w:spacing w:val="-4"/>
        </w:rPr>
        <w:t> </w:t>
      </w:r>
      <w:r>
        <w:rPr/>
        <w:t>beneficiary</w:t>
      </w:r>
      <w:r>
        <w:rPr>
          <w:spacing w:val="-8"/>
        </w:rPr>
        <w:t> </w:t>
      </w:r>
      <w:r>
        <w:rPr/>
        <w:t>to</w:t>
      </w:r>
      <w:r>
        <w:rPr>
          <w:spacing w:val="-3"/>
        </w:rPr>
        <w:t> </w:t>
      </w:r>
      <w:r>
        <w:rPr/>
        <w:t>utilize HRSN services.</w:t>
      </w:r>
    </w:p>
    <w:p>
      <w:pPr>
        <w:pStyle w:val="BodyText"/>
        <w:spacing w:before="199"/>
        <w:ind w:left="1411" w:right="1059"/>
      </w:pPr>
      <w:r>
        <w:rPr/>
        <w:drawing>
          <wp:anchor distT="0" distB="0" distL="0" distR="0" allowOverlap="1" layoutInCell="1" locked="0" behindDoc="0" simplePos="0" relativeHeight="16024064">
            <wp:simplePos x="0" y="0"/>
            <wp:positionH relativeFrom="page">
              <wp:posOffset>1424939</wp:posOffset>
            </wp:positionH>
            <wp:positionV relativeFrom="paragraph">
              <wp:posOffset>158917</wp:posOffset>
            </wp:positionV>
            <wp:extent cx="111251" cy="115823"/>
            <wp:effectExtent l="0" t="0" r="0" b="0"/>
            <wp:wrapNone/>
            <wp:docPr id="588" name="Image 588"/>
            <wp:cNvGraphicFramePr>
              <a:graphicFrameLocks/>
            </wp:cNvGraphicFramePr>
            <a:graphic>
              <a:graphicData uri="http://schemas.openxmlformats.org/drawingml/2006/picture">
                <pic:pic>
                  <pic:nvPicPr>
                    <pic:cNvPr id="588" name="Image 588"/>
                    <pic:cNvPicPr/>
                  </pic:nvPicPr>
                  <pic:blipFill>
                    <a:blip r:embed="rId34" cstate="print"/>
                    <a:stretch>
                      <a:fillRect/>
                    </a:stretch>
                  </pic:blipFill>
                  <pic:spPr>
                    <a:xfrm>
                      <a:off x="0" y="0"/>
                      <a:ext cx="111251" cy="115823"/>
                    </a:xfrm>
                    <a:prstGeom prst="rect">
                      <a:avLst/>
                    </a:prstGeom>
                  </pic:spPr>
                </pic:pic>
              </a:graphicData>
            </a:graphic>
          </wp:anchor>
        </w:drawing>
      </w:r>
      <w:bookmarkStart w:name="b. Managed care plans must timely submit" w:id="864"/>
      <w:bookmarkEnd w:id="864"/>
      <w:r>
        <w:rPr/>
      </w:r>
      <w:r>
        <w:rPr/>
        <w:t>Managed</w:t>
      </w:r>
      <w:r>
        <w:rPr>
          <w:spacing w:val="-3"/>
        </w:rPr>
        <w:t> </w:t>
      </w:r>
      <w:r>
        <w:rPr/>
        <w:t>care</w:t>
      </w:r>
      <w:r>
        <w:rPr>
          <w:spacing w:val="-4"/>
        </w:rPr>
        <w:t> </w:t>
      </w:r>
      <w:r>
        <w:rPr/>
        <w:t>plans</w:t>
      </w:r>
      <w:r>
        <w:rPr>
          <w:spacing w:val="-3"/>
        </w:rPr>
        <w:t> </w:t>
      </w:r>
      <w:r>
        <w:rPr/>
        <w:t>must</w:t>
      </w:r>
      <w:r>
        <w:rPr>
          <w:spacing w:val="-3"/>
        </w:rPr>
        <w:t> </w:t>
      </w:r>
      <w:r>
        <w:rPr/>
        <w:t>timely</w:t>
      </w:r>
      <w:r>
        <w:rPr>
          <w:spacing w:val="-8"/>
        </w:rPr>
        <w:t> </w:t>
      </w:r>
      <w:r>
        <w:rPr/>
        <w:t>submit</w:t>
      </w:r>
      <w:r>
        <w:rPr>
          <w:spacing w:val="-3"/>
        </w:rPr>
        <w:t> </w:t>
      </w:r>
      <w:r>
        <w:rPr/>
        <w:t>any</w:t>
      </w:r>
      <w:r>
        <w:rPr>
          <w:spacing w:val="-6"/>
        </w:rPr>
        <w:t> </w:t>
      </w:r>
      <w:r>
        <w:rPr/>
        <w:t>related</w:t>
      </w:r>
      <w:r>
        <w:rPr>
          <w:spacing w:val="-3"/>
        </w:rPr>
        <w:t> </w:t>
      </w:r>
      <w:r>
        <w:rPr/>
        <w:t>data</w:t>
      </w:r>
      <w:r>
        <w:rPr>
          <w:spacing w:val="-4"/>
        </w:rPr>
        <w:t> </w:t>
      </w:r>
      <w:r>
        <w:rPr/>
        <w:t>requested</w:t>
      </w:r>
      <w:r>
        <w:rPr>
          <w:spacing w:val="-3"/>
        </w:rPr>
        <w:t> </w:t>
      </w:r>
      <w:r>
        <w:rPr/>
        <w:t>by</w:t>
      </w:r>
      <w:r>
        <w:rPr>
          <w:spacing w:val="-8"/>
        </w:rPr>
        <w:t> </w:t>
      </w:r>
      <w:r>
        <w:rPr/>
        <w:t>the Commonwealth or CMS, including, but not limited to:</w:t>
      </w:r>
    </w:p>
    <w:p>
      <w:pPr>
        <w:pStyle w:val="BodyText"/>
        <w:spacing w:before="10"/>
        <w:rPr>
          <w:sz w:val="20"/>
        </w:rPr>
      </w:pPr>
    </w:p>
    <w:p>
      <w:pPr>
        <w:pStyle w:val="BodyText"/>
        <w:ind w:left="2040"/>
      </w:pPr>
      <w:r>
        <w:rPr/>
        <w:drawing>
          <wp:anchor distT="0" distB="0" distL="0" distR="0" allowOverlap="1" layoutInCell="1" locked="0" behindDoc="0" simplePos="0" relativeHeight="16024576">
            <wp:simplePos x="0" y="0"/>
            <wp:positionH relativeFrom="page">
              <wp:posOffset>1862327</wp:posOffset>
            </wp:positionH>
            <wp:positionV relativeFrom="paragraph">
              <wp:posOffset>32551</wp:posOffset>
            </wp:positionV>
            <wp:extent cx="73151" cy="115823"/>
            <wp:effectExtent l="0" t="0" r="0" b="0"/>
            <wp:wrapNone/>
            <wp:docPr id="589" name="Image 589"/>
            <wp:cNvGraphicFramePr>
              <a:graphicFrameLocks/>
            </wp:cNvGraphicFramePr>
            <a:graphic>
              <a:graphicData uri="http://schemas.openxmlformats.org/drawingml/2006/picture">
                <pic:pic>
                  <pic:nvPicPr>
                    <pic:cNvPr id="589" name="Image 589"/>
                    <pic:cNvPicPr/>
                  </pic:nvPicPr>
                  <pic:blipFill>
                    <a:blip r:embed="rId61" cstate="print"/>
                    <a:stretch>
                      <a:fillRect/>
                    </a:stretch>
                  </pic:blipFill>
                  <pic:spPr>
                    <a:xfrm>
                      <a:off x="0" y="0"/>
                      <a:ext cx="73151" cy="115823"/>
                    </a:xfrm>
                    <a:prstGeom prst="rect">
                      <a:avLst/>
                    </a:prstGeom>
                  </pic:spPr>
                </pic:pic>
              </a:graphicData>
            </a:graphic>
          </wp:anchor>
        </w:drawing>
      </w:r>
      <w:bookmarkStart w:name="i. Data to evaluate the utilization and " w:id="865"/>
      <w:bookmarkEnd w:id="865"/>
      <w:r>
        <w:rPr/>
      </w:r>
      <w:r>
        <w:rPr/>
        <w:t>Data</w:t>
      </w:r>
      <w:r>
        <w:rPr>
          <w:spacing w:val="-4"/>
        </w:rPr>
        <w:t> </w:t>
      </w:r>
      <w:r>
        <w:rPr/>
        <w:t>to</w:t>
      </w:r>
      <w:r>
        <w:rPr>
          <w:spacing w:val="-1"/>
        </w:rPr>
        <w:t> </w:t>
      </w:r>
      <w:r>
        <w:rPr/>
        <w:t>evaluate</w:t>
      </w:r>
      <w:r>
        <w:rPr>
          <w:spacing w:val="-2"/>
        </w:rPr>
        <w:t> </w:t>
      </w:r>
      <w:r>
        <w:rPr/>
        <w:t>the</w:t>
      </w:r>
      <w:r>
        <w:rPr>
          <w:spacing w:val="-2"/>
        </w:rPr>
        <w:t> </w:t>
      </w:r>
      <w:r>
        <w:rPr/>
        <w:t>utilization</w:t>
      </w:r>
      <w:r>
        <w:rPr>
          <w:spacing w:val="-1"/>
        </w:rPr>
        <w:t> </w:t>
      </w:r>
      <w:r>
        <w:rPr/>
        <w:t>and</w:t>
      </w:r>
      <w:r>
        <w:rPr>
          <w:spacing w:val="-1"/>
        </w:rPr>
        <w:t> </w:t>
      </w:r>
      <w:r>
        <w:rPr/>
        <w:t>effectiveness of</w:t>
      </w:r>
      <w:r>
        <w:rPr>
          <w:spacing w:val="-2"/>
        </w:rPr>
        <w:t> </w:t>
      </w:r>
      <w:r>
        <w:rPr/>
        <w:t>the</w:t>
      </w:r>
      <w:r>
        <w:rPr>
          <w:spacing w:val="-2"/>
        </w:rPr>
        <w:t> </w:t>
      </w:r>
      <w:r>
        <w:rPr/>
        <w:t>HRSN</w:t>
      </w:r>
      <w:r>
        <w:rPr>
          <w:spacing w:val="-1"/>
        </w:rPr>
        <w:t> </w:t>
      </w:r>
      <w:r>
        <w:rPr>
          <w:spacing w:val="-2"/>
        </w:rPr>
        <w:t>services.</w:t>
      </w:r>
    </w:p>
    <w:p>
      <w:pPr>
        <w:pStyle w:val="BodyText"/>
        <w:spacing w:before="161"/>
        <w:ind w:left="2039" w:right="1062"/>
      </w:pPr>
      <w:r>
        <w:rPr/>
        <w:drawing>
          <wp:anchor distT="0" distB="0" distL="0" distR="0" allowOverlap="1" layoutInCell="1" locked="0" behindDoc="0" simplePos="0" relativeHeight="16025088">
            <wp:simplePos x="0" y="0"/>
            <wp:positionH relativeFrom="page">
              <wp:posOffset>1819655</wp:posOffset>
            </wp:positionH>
            <wp:positionV relativeFrom="paragraph">
              <wp:posOffset>134786</wp:posOffset>
            </wp:positionV>
            <wp:extent cx="115823" cy="115823"/>
            <wp:effectExtent l="0" t="0" r="0" b="0"/>
            <wp:wrapNone/>
            <wp:docPr id="590" name="Image 590"/>
            <wp:cNvGraphicFramePr>
              <a:graphicFrameLocks/>
            </wp:cNvGraphicFramePr>
            <a:graphic>
              <a:graphicData uri="http://schemas.openxmlformats.org/drawingml/2006/picture">
                <pic:pic>
                  <pic:nvPicPr>
                    <pic:cNvPr id="590" name="Image 590"/>
                    <pic:cNvPicPr/>
                  </pic:nvPicPr>
                  <pic:blipFill>
                    <a:blip r:embed="rId160" cstate="print"/>
                    <a:stretch>
                      <a:fillRect/>
                    </a:stretch>
                  </pic:blipFill>
                  <pic:spPr>
                    <a:xfrm>
                      <a:off x="0" y="0"/>
                      <a:ext cx="115823" cy="115823"/>
                    </a:xfrm>
                    <a:prstGeom prst="rect">
                      <a:avLst/>
                    </a:prstGeom>
                  </pic:spPr>
                </pic:pic>
              </a:graphicData>
            </a:graphic>
          </wp:anchor>
        </w:drawing>
      </w:r>
      <w:bookmarkStart w:name="ii. Any data necessary to monitor health" w:id="866"/>
      <w:bookmarkEnd w:id="866"/>
      <w:r>
        <w:rPr/>
      </w:r>
      <w:r>
        <w:rPr/>
        <w:t>Any data necessary to monitor health outcomes and quality of care metrics at the</w:t>
      </w:r>
      <w:r>
        <w:rPr>
          <w:spacing w:val="-5"/>
        </w:rPr>
        <w:t> </w:t>
      </w:r>
      <w:r>
        <w:rPr/>
        <w:t>individual</w:t>
      </w:r>
      <w:r>
        <w:rPr>
          <w:spacing w:val="-4"/>
        </w:rPr>
        <w:t> </w:t>
      </w:r>
      <w:r>
        <w:rPr/>
        <w:t>and</w:t>
      </w:r>
      <w:r>
        <w:rPr>
          <w:spacing w:val="-4"/>
        </w:rPr>
        <w:t> </w:t>
      </w:r>
      <w:r>
        <w:rPr/>
        <w:t>aggregate</w:t>
      </w:r>
      <w:r>
        <w:rPr>
          <w:spacing w:val="-5"/>
        </w:rPr>
        <w:t> </w:t>
      </w:r>
      <w:r>
        <w:rPr/>
        <w:t>level</w:t>
      </w:r>
      <w:r>
        <w:rPr>
          <w:spacing w:val="-4"/>
        </w:rPr>
        <w:t> </w:t>
      </w:r>
      <w:r>
        <w:rPr/>
        <w:t>through</w:t>
      </w:r>
      <w:r>
        <w:rPr>
          <w:spacing w:val="-4"/>
        </w:rPr>
        <w:t> </w:t>
      </w:r>
      <w:r>
        <w:rPr/>
        <w:t>encounter</w:t>
      </w:r>
      <w:r>
        <w:rPr>
          <w:spacing w:val="-5"/>
        </w:rPr>
        <w:t> </w:t>
      </w:r>
      <w:r>
        <w:rPr/>
        <w:t>data</w:t>
      </w:r>
      <w:r>
        <w:rPr>
          <w:spacing w:val="-3"/>
        </w:rPr>
        <w:t> </w:t>
      </w:r>
      <w:r>
        <w:rPr/>
        <w:t>and/or</w:t>
      </w:r>
      <w:r>
        <w:rPr>
          <w:spacing w:val="-5"/>
        </w:rPr>
        <w:t> </w:t>
      </w:r>
      <w:r>
        <w:rPr/>
        <w:t>supplemental reporting on health outcomes and any disparities.</w:t>
      </w:r>
      <w:r>
        <w:rPr>
          <w:spacing w:val="40"/>
        </w:rPr>
        <w:t> </w:t>
      </w:r>
      <w:r>
        <w:rPr/>
        <w:t>When possible, metrics must be stratified by age, sex (including sexual orientation and gender identity), race, ethnicity, disability status and preferred language to inform health quality improvement efforts, which may thereby mitigate health </w:t>
      </w:r>
      <w:r>
        <w:rPr>
          <w:spacing w:val="-2"/>
        </w:rPr>
        <w:t>disparities.</w:t>
      </w:r>
    </w:p>
    <w:p>
      <w:pPr>
        <w:pStyle w:val="BodyText"/>
        <w:spacing w:before="159"/>
        <w:ind w:left="2040"/>
      </w:pPr>
      <w:r>
        <w:rPr/>
        <w:drawing>
          <wp:anchor distT="0" distB="0" distL="0" distR="0" allowOverlap="1" layoutInCell="1" locked="0" behindDoc="0" simplePos="0" relativeHeight="16025600">
            <wp:simplePos x="0" y="0"/>
            <wp:positionH relativeFrom="page">
              <wp:posOffset>1778507</wp:posOffset>
            </wp:positionH>
            <wp:positionV relativeFrom="paragraph">
              <wp:posOffset>133516</wp:posOffset>
            </wp:positionV>
            <wp:extent cx="158495" cy="115823"/>
            <wp:effectExtent l="0" t="0" r="0" b="0"/>
            <wp:wrapNone/>
            <wp:docPr id="591" name="Image 591"/>
            <wp:cNvGraphicFramePr>
              <a:graphicFrameLocks/>
            </wp:cNvGraphicFramePr>
            <a:graphic>
              <a:graphicData uri="http://schemas.openxmlformats.org/drawingml/2006/picture">
                <pic:pic>
                  <pic:nvPicPr>
                    <pic:cNvPr id="591" name="Image 591"/>
                    <pic:cNvPicPr/>
                  </pic:nvPicPr>
                  <pic:blipFill>
                    <a:blip r:embed="rId134" cstate="print"/>
                    <a:stretch>
                      <a:fillRect/>
                    </a:stretch>
                  </pic:blipFill>
                  <pic:spPr>
                    <a:xfrm>
                      <a:off x="0" y="0"/>
                      <a:ext cx="158495" cy="115823"/>
                    </a:xfrm>
                    <a:prstGeom prst="rect">
                      <a:avLst/>
                    </a:prstGeom>
                  </pic:spPr>
                </pic:pic>
              </a:graphicData>
            </a:graphic>
          </wp:anchor>
        </w:drawing>
      </w:r>
      <w:bookmarkStart w:name="iii. Any data necessary to monitor appea" w:id="867"/>
      <w:bookmarkEnd w:id="867"/>
      <w:r>
        <w:rPr/>
      </w:r>
      <w:r>
        <w:rPr/>
        <w:t>Any</w:t>
      </w:r>
      <w:r>
        <w:rPr>
          <w:spacing w:val="-8"/>
        </w:rPr>
        <w:t> </w:t>
      </w:r>
      <w:r>
        <w:rPr/>
        <w:t>data</w:t>
      </w:r>
      <w:r>
        <w:rPr>
          <w:spacing w:val="-1"/>
        </w:rPr>
        <w:t> </w:t>
      </w:r>
      <w:r>
        <w:rPr/>
        <w:t>necessary</w:t>
      </w:r>
      <w:r>
        <w:rPr>
          <w:spacing w:val="-6"/>
        </w:rPr>
        <w:t> </w:t>
      </w:r>
      <w:r>
        <w:rPr/>
        <w:t>to monitor</w:t>
      </w:r>
      <w:r>
        <w:rPr>
          <w:spacing w:val="-2"/>
        </w:rPr>
        <w:t> </w:t>
      </w:r>
      <w:r>
        <w:rPr/>
        <w:t>appeals and</w:t>
      </w:r>
      <w:r>
        <w:rPr>
          <w:spacing w:val="1"/>
        </w:rPr>
        <w:t> </w:t>
      </w:r>
      <w:r>
        <w:rPr/>
        <w:t>grievances for</w:t>
      </w:r>
      <w:r>
        <w:rPr>
          <w:spacing w:val="-1"/>
        </w:rPr>
        <w:t> </w:t>
      </w:r>
      <w:r>
        <w:rPr>
          <w:spacing w:val="-2"/>
        </w:rPr>
        <w:t>beneficiaries.</w:t>
      </w:r>
    </w:p>
    <w:p>
      <w:pPr>
        <w:pStyle w:val="BodyText"/>
        <w:spacing w:before="161"/>
        <w:ind w:left="2040" w:right="1059"/>
      </w:pPr>
      <w:r>
        <w:rPr/>
        <w:drawing>
          <wp:anchor distT="0" distB="0" distL="0" distR="0" allowOverlap="1" layoutInCell="1" locked="0" behindDoc="0" simplePos="0" relativeHeight="16026112">
            <wp:simplePos x="0" y="0"/>
            <wp:positionH relativeFrom="page">
              <wp:posOffset>1786127</wp:posOffset>
            </wp:positionH>
            <wp:positionV relativeFrom="paragraph">
              <wp:posOffset>134786</wp:posOffset>
            </wp:positionV>
            <wp:extent cx="149339" cy="115823"/>
            <wp:effectExtent l="0" t="0" r="0" b="0"/>
            <wp:wrapNone/>
            <wp:docPr id="592" name="Image 592"/>
            <wp:cNvGraphicFramePr>
              <a:graphicFrameLocks/>
            </wp:cNvGraphicFramePr>
            <a:graphic>
              <a:graphicData uri="http://schemas.openxmlformats.org/drawingml/2006/picture">
                <pic:pic>
                  <pic:nvPicPr>
                    <pic:cNvPr id="592" name="Image 592"/>
                    <pic:cNvPicPr/>
                  </pic:nvPicPr>
                  <pic:blipFill>
                    <a:blip r:embed="rId96" cstate="print"/>
                    <a:stretch>
                      <a:fillRect/>
                    </a:stretch>
                  </pic:blipFill>
                  <pic:spPr>
                    <a:xfrm>
                      <a:off x="0" y="0"/>
                      <a:ext cx="149339" cy="115823"/>
                    </a:xfrm>
                    <a:prstGeom prst="rect">
                      <a:avLst/>
                    </a:prstGeom>
                  </pic:spPr>
                </pic:pic>
              </a:graphicData>
            </a:graphic>
          </wp:anchor>
        </w:drawing>
      </w:r>
      <w:bookmarkStart w:name="iv. Documentation to ensure appropriate " w:id="868"/>
      <w:bookmarkEnd w:id="868"/>
      <w:r>
        <w:rPr/>
      </w:r>
      <w:r>
        <w:rPr/>
        <w:t>Documentation</w:t>
      </w:r>
      <w:r>
        <w:rPr>
          <w:spacing w:val="-5"/>
        </w:rPr>
        <w:t> </w:t>
      </w:r>
      <w:r>
        <w:rPr/>
        <w:t>to</w:t>
      </w:r>
      <w:r>
        <w:rPr>
          <w:spacing w:val="-5"/>
        </w:rPr>
        <w:t> </w:t>
      </w:r>
      <w:r>
        <w:rPr/>
        <w:t>ensure</w:t>
      </w:r>
      <w:r>
        <w:rPr>
          <w:spacing w:val="-4"/>
        </w:rPr>
        <w:t> </w:t>
      </w:r>
      <w:r>
        <w:rPr/>
        <w:t>appropriate</w:t>
      </w:r>
      <w:r>
        <w:rPr>
          <w:spacing w:val="-4"/>
        </w:rPr>
        <w:t> </w:t>
      </w:r>
      <w:r>
        <w:rPr/>
        <w:t>clinical</w:t>
      </w:r>
      <w:r>
        <w:rPr>
          <w:spacing w:val="-5"/>
        </w:rPr>
        <w:t> </w:t>
      </w:r>
      <w:r>
        <w:rPr/>
        <w:t>support</w:t>
      </w:r>
      <w:r>
        <w:rPr>
          <w:spacing w:val="-5"/>
        </w:rPr>
        <w:t> </w:t>
      </w:r>
      <w:r>
        <w:rPr/>
        <w:t>for</w:t>
      </w:r>
      <w:r>
        <w:rPr>
          <w:spacing w:val="-6"/>
        </w:rPr>
        <w:t> </w:t>
      </w:r>
      <w:r>
        <w:rPr/>
        <w:t>the</w:t>
      </w:r>
      <w:r>
        <w:rPr>
          <w:spacing w:val="-6"/>
        </w:rPr>
        <w:t> </w:t>
      </w:r>
      <w:r>
        <w:rPr/>
        <w:t>medical appropriateness of HRSN services.</w:t>
      </w:r>
    </w:p>
    <w:p>
      <w:pPr>
        <w:pStyle w:val="BodyText"/>
        <w:spacing w:before="160"/>
        <w:ind w:left="2040" w:right="1041"/>
      </w:pPr>
      <w:r>
        <w:rPr/>
        <w:drawing>
          <wp:anchor distT="0" distB="0" distL="0" distR="0" allowOverlap="1" layoutInCell="1" locked="0" behindDoc="0" simplePos="0" relativeHeight="16026624">
            <wp:simplePos x="0" y="0"/>
            <wp:positionH relativeFrom="page">
              <wp:posOffset>1825751</wp:posOffset>
            </wp:positionH>
            <wp:positionV relativeFrom="paragraph">
              <wp:posOffset>172251</wp:posOffset>
            </wp:positionV>
            <wp:extent cx="109727" cy="77723"/>
            <wp:effectExtent l="0" t="0" r="0" b="0"/>
            <wp:wrapNone/>
            <wp:docPr id="593" name="Image 593"/>
            <wp:cNvGraphicFramePr>
              <a:graphicFrameLocks/>
            </wp:cNvGraphicFramePr>
            <a:graphic>
              <a:graphicData uri="http://schemas.openxmlformats.org/drawingml/2006/picture">
                <pic:pic>
                  <pic:nvPicPr>
                    <pic:cNvPr id="593" name="Image 593"/>
                    <pic:cNvPicPr/>
                  </pic:nvPicPr>
                  <pic:blipFill>
                    <a:blip r:embed="rId67" cstate="print"/>
                    <a:stretch>
                      <a:fillRect/>
                    </a:stretch>
                  </pic:blipFill>
                  <pic:spPr>
                    <a:xfrm>
                      <a:off x="0" y="0"/>
                      <a:ext cx="109727" cy="77723"/>
                    </a:xfrm>
                    <a:prstGeom prst="rect">
                      <a:avLst/>
                    </a:prstGeom>
                  </pic:spPr>
                </pic:pic>
              </a:graphicData>
            </a:graphic>
          </wp:anchor>
        </w:drawing>
      </w:r>
      <w:bookmarkStart w:name="v. Any data determined necessary by the " w:id="869"/>
      <w:bookmarkEnd w:id="869"/>
      <w:r>
        <w:rPr/>
      </w:r>
      <w:r>
        <w:rPr/>
        <w:t>Any</w:t>
      </w:r>
      <w:r>
        <w:rPr>
          <w:spacing w:val="-7"/>
        </w:rPr>
        <w:t> </w:t>
      </w:r>
      <w:r>
        <w:rPr/>
        <w:t>data</w:t>
      </w:r>
      <w:r>
        <w:rPr>
          <w:spacing w:val="-3"/>
        </w:rPr>
        <w:t> </w:t>
      </w:r>
      <w:r>
        <w:rPr/>
        <w:t>determined</w:t>
      </w:r>
      <w:r>
        <w:rPr>
          <w:spacing w:val="-2"/>
        </w:rPr>
        <w:t> </w:t>
      </w:r>
      <w:r>
        <w:rPr/>
        <w:t>necessary</w:t>
      </w:r>
      <w:r>
        <w:rPr>
          <w:spacing w:val="-7"/>
        </w:rPr>
        <w:t> </w:t>
      </w:r>
      <w:r>
        <w:rPr/>
        <w:t>by</w:t>
      </w:r>
      <w:r>
        <w:rPr>
          <w:spacing w:val="-7"/>
        </w:rPr>
        <w:t> </w:t>
      </w:r>
      <w:r>
        <w:rPr/>
        <w:t>the</w:t>
      </w:r>
      <w:r>
        <w:rPr>
          <w:spacing w:val="-3"/>
        </w:rPr>
        <w:t> </w:t>
      </w:r>
      <w:r>
        <w:rPr/>
        <w:t>Commonwealth</w:t>
      </w:r>
      <w:r>
        <w:rPr>
          <w:spacing w:val="-2"/>
        </w:rPr>
        <w:t> </w:t>
      </w:r>
      <w:r>
        <w:rPr/>
        <w:t>or</w:t>
      </w:r>
      <w:r>
        <w:rPr>
          <w:spacing w:val="-3"/>
        </w:rPr>
        <w:t> </w:t>
      </w:r>
      <w:r>
        <w:rPr/>
        <w:t>CMS</w:t>
      </w:r>
      <w:r>
        <w:rPr>
          <w:spacing w:val="-2"/>
        </w:rPr>
        <w:t> </w:t>
      </w:r>
      <w:r>
        <w:rPr/>
        <w:t>to</w:t>
      </w:r>
      <w:r>
        <w:rPr>
          <w:spacing w:val="-2"/>
        </w:rPr>
        <w:t> </w:t>
      </w:r>
      <w:r>
        <w:rPr/>
        <w:t>monitor</w:t>
      </w:r>
      <w:r>
        <w:rPr>
          <w:spacing w:val="-6"/>
        </w:rPr>
        <w:t> </w:t>
      </w:r>
      <w:r>
        <w:rPr/>
        <w:t>and oversee the HRSN initiatives.</w:t>
      </w:r>
    </w:p>
    <w:p>
      <w:pPr>
        <w:pStyle w:val="BodyText"/>
        <w:spacing w:before="200"/>
        <w:ind w:left="1411" w:right="1059"/>
      </w:pPr>
      <w:r>
        <w:rPr/>
        <w:drawing>
          <wp:anchor distT="0" distB="0" distL="0" distR="0" allowOverlap="1" layoutInCell="1" locked="0" behindDoc="0" simplePos="0" relativeHeight="16027136">
            <wp:simplePos x="0" y="0"/>
            <wp:positionH relativeFrom="page">
              <wp:posOffset>1431036</wp:posOffset>
            </wp:positionH>
            <wp:positionV relativeFrom="paragraph">
              <wp:posOffset>194616</wp:posOffset>
            </wp:positionV>
            <wp:extent cx="96011" cy="80759"/>
            <wp:effectExtent l="0" t="0" r="0" b="0"/>
            <wp:wrapNone/>
            <wp:docPr id="594" name="Image 594"/>
            <wp:cNvGraphicFramePr>
              <a:graphicFrameLocks/>
            </wp:cNvGraphicFramePr>
            <a:graphic>
              <a:graphicData uri="http://schemas.openxmlformats.org/drawingml/2006/picture">
                <pic:pic>
                  <pic:nvPicPr>
                    <pic:cNvPr id="594" name="Image 594"/>
                    <pic:cNvPicPr/>
                  </pic:nvPicPr>
                  <pic:blipFill>
                    <a:blip r:embed="rId41" cstate="print"/>
                    <a:stretch>
                      <a:fillRect/>
                    </a:stretch>
                  </pic:blipFill>
                  <pic:spPr>
                    <a:xfrm>
                      <a:off x="0" y="0"/>
                      <a:ext cx="96011" cy="80759"/>
                    </a:xfrm>
                    <a:prstGeom prst="rect">
                      <a:avLst/>
                    </a:prstGeom>
                  </pic:spPr>
                </pic:pic>
              </a:graphicData>
            </a:graphic>
          </wp:anchor>
        </w:drawing>
      </w:r>
      <w:bookmarkStart w:name="c. All data and related documentation ne" w:id="870"/>
      <w:bookmarkEnd w:id="870"/>
      <w:r>
        <w:rPr/>
      </w:r>
      <w:r>
        <w:rPr/>
        <w:t>All</w:t>
      </w:r>
      <w:r>
        <w:rPr>
          <w:spacing w:val="-3"/>
        </w:rPr>
        <w:t> </w:t>
      </w:r>
      <w:r>
        <w:rPr/>
        <w:t>data</w:t>
      </w:r>
      <w:r>
        <w:rPr>
          <w:spacing w:val="-4"/>
        </w:rPr>
        <w:t> </w:t>
      </w:r>
      <w:r>
        <w:rPr/>
        <w:t>and</w:t>
      </w:r>
      <w:r>
        <w:rPr>
          <w:spacing w:val="-3"/>
        </w:rPr>
        <w:t> </w:t>
      </w:r>
      <w:r>
        <w:rPr/>
        <w:t>related</w:t>
      </w:r>
      <w:r>
        <w:rPr>
          <w:spacing w:val="-3"/>
        </w:rPr>
        <w:t> </w:t>
      </w:r>
      <w:r>
        <w:rPr/>
        <w:t>documentation</w:t>
      </w:r>
      <w:r>
        <w:rPr>
          <w:spacing w:val="-3"/>
        </w:rPr>
        <w:t> </w:t>
      </w:r>
      <w:r>
        <w:rPr/>
        <w:t>necessary</w:t>
      </w:r>
      <w:r>
        <w:rPr>
          <w:spacing w:val="-8"/>
        </w:rPr>
        <w:t> </w:t>
      </w:r>
      <w:r>
        <w:rPr/>
        <w:t>to</w:t>
      </w:r>
      <w:r>
        <w:rPr>
          <w:spacing w:val="-3"/>
        </w:rPr>
        <w:t> </w:t>
      </w:r>
      <w:r>
        <w:rPr/>
        <w:t>monitor</w:t>
      </w:r>
      <w:r>
        <w:rPr>
          <w:spacing w:val="-4"/>
        </w:rPr>
        <w:t> </w:t>
      </w:r>
      <w:r>
        <w:rPr/>
        <w:t>and</w:t>
      </w:r>
      <w:r>
        <w:rPr>
          <w:spacing w:val="-3"/>
        </w:rPr>
        <w:t> </w:t>
      </w:r>
      <w:r>
        <w:rPr/>
        <w:t>evaluate</w:t>
      </w:r>
      <w:r>
        <w:rPr>
          <w:spacing w:val="-4"/>
        </w:rPr>
        <w:t> </w:t>
      </w:r>
      <w:r>
        <w:rPr/>
        <w:t>the</w:t>
      </w:r>
      <w:r>
        <w:rPr>
          <w:spacing w:val="-4"/>
        </w:rPr>
        <w:t> </w:t>
      </w:r>
      <w:r>
        <w:rPr/>
        <w:t>HRSN services initiatives, including cost assessment, to include but not limited to:</w:t>
      </w:r>
    </w:p>
    <w:p>
      <w:pPr>
        <w:pStyle w:val="BodyText"/>
        <w:spacing w:before="10"/>
        <w:rPr>
          <w:sz w:val="20"/>
        </w:rPr>
      </w:pPr>
    </w:p>
    <w:p>
      <w:pPr>
        <w:pStyle w:val="BodyText"/>
        <w:ind w:left="2040" w:right="1069"/>
      </w:pPr>
      <w:r>
        <w:rPr/>
        <w:drawing>
          <wp:anchor distT="0" distB="0" distL="0" distR="0" allowOverlap="1" layoutInCell="1" locked="0" behindDoc="0" simplePos="0" relativeHeight="16027648">
            <wp:simplePos x="0" y="0"/>
            <wp:positionH relativeFrom="page">
              <wp:posOffset>1862327</wp:posOffset>
            </wp:positionH>
            <wp:positionV relativeFrom="paragraph">
              <wp:posOffset>32551</wp:posOffset>
            </wp:positionV>
            <wp:extent cx="73151" cy="115823"/>
            <wp:effectExtent l="0" t="0" r="0" b="0"/>
            <wp:wrapNone/>
            <wp:docPr id="595" name="Image 595"/>
            <wp:cNvGraphicFramePr>
              <a:graphicFrameLocks/>
            </wp:cNvGraphicFramePr>
            <a:graphic>
              <a:graphicData uri="http://schemas.openxmlformats.org/drawingml/2006/picture">
                <pic:pic>
                  <pic:nvPicPr>
                    <pic:cNvPr id="595" name="Image 595"/>
                    <pic:cNvPicPr/>
                  </pic:nvPicPr>
                  <pic:blipFill>
                    <a:blip r:embed="rId61" cstate="print"/>
                    <a:stretch>
                      <a:fillRect/>
                    </a:stretch>
                  </pic:blipFill>
                  <pic:spPr>
                    <a:xfrm>
                      <a:off x="0" y="0"/>
                      <a:ext cx="73151" cy="115823"/>
                    </a:xfrm>
                    <a:prstGeom prst="rect">
                      <a:avLst/>
                    </a:prstGeom>
                  </pic:spPr>
                </pic:pic>
              </a:graphicData>
            </a:graphic>
          </wp:anchor>
        </w:drawing>
      </w:r>
      <w:bookmarkStart w:name="i. The managed care plans must submit ti" w:id="871"/>
      <w:bookmarkEnd w:id="871"/>
      <w:r>
        <w:rPr/>
      </w:r>
      <w:r>
        <w:rPr/>
        <w:t>The managed care plans must submit timely and accurate encounter data to</w:t>
      </w:r>
      <w:r>
        <w:rPr>
          <w:spacing w:val="40"/>
        </w:rPr>
        <w:t> </w:t>
      </w:r>
      <w:r>
        <w:rPr/>
        <w:t>the Commonwealth for beneficiaries eligible for HRSN services.</w:t>
      </w:r>
      <w:r>
        <w:rPr>
          <w:spacing w:val="40"/>
        </w:rPr>
        <w:t> </w:t>
      </w:r>
      <w:r>
        <w:rPr/>
        <w:t>The Commonwealth must seek CMS approval on what is considered appropriate and reasonable timeframe for plan submission of encounter data.</w:t>
      </w:r>
      <w:r>
        <w:rPr>
          <w:spacing w:val="40"/>
        </w:rPr>
        <w:t> </w:t>
      </w:r>
      <w:r>
        <w:rPr/>
        <w:t>When possible, this encounter data must include data necessary for the Commonwealth to stratify analyses by age, sex (including sexual orientation and</w:t>
      </w:r>
      <w:r>
        <w:rPr>
          <w:spacing w:val="-4"/>
        </w:rPr>
        <w:t> </w:t>
      </w:r>
      <w:r>
        <w:rPr/>
        <w:t>gender</w:t>
      </w:r>
      <w:r>
        <w:rPr>
          <w:spacing w:val="-5"/>
        </w:rPr>
        <w:t> </w:t>
      </w:r>
      <w:r>
        <w:rPr/>
        <w:t>identity),</w:t>
      </w:r>
      <w:r>
        <w:rPr>
          <w:spacing w:val="-2"/>
        </w:rPr>
        <w:t> </w:t>
      </w:r>
      <w:r>
        <w:rPr/>
        <w:t>race,</w:t>
      </w:r>
      <w:r>
        <w:rPr>
          <w:spacing w:val="-4"/>
        </w:rPr>
        <w:t> </w:t>
      </w:r>
      <w:r>
        <w:rPr/>
        <w:t>ethnicity,</w:t>
      </w:r>
      <w:r>
        <w:rPr>
          <w:spacing w:val="-4"/>
        </w:rPr>
        <w:t> </w:t>
      </w:r>
      <w:r>
        <w:rPr/>
        <w:t>disability</w:t>
      </w:r>
      <w:r>
        <w:rPr>
          <w:spacing w:val="-9"/>
        </w:rPr>
        <w:t> </w:t>
      </w:r>
      <w:r>
        <w:rPr/>
        <w:t>status</w:t>
      </w:r>
      <w:r>
        <w:rPr>
          <w:spacing w:val="-4"/>
        </w:rPr>
        <w:t> </w:t>
      </w:r>
      <w:r>
        <w:rPr/>
        <w:t>and</w:t>
      </w:r>
      <w:r>
        <w:rPr>
          <w:spacing w:val="-4"/>
        </w:rPr>
        <w:t> </w:t>
      </w:r>
      <w:r>
        <w:rPr/>
        <w:t>preferred</w:t>
      </w:r>
      <w:r>
        <w:rPr>
          <w:spacing w:val="-4"/>
        </w:rPr>
        <w:t> </w:t>
      </w:r>
      <w:r>
        <w:rPr/>
        <w:t>language</w:t>
      </w:r>
      <w:r>
        <w:rPr>
          <w:spacing w:val="-5"/>
        </w:rPr>
        <w:t> </w:t>
      </w:r>
      <w:r>
        <w:rPr/>
        <w:t>to inform health quality improvement efforts and subsequent efforts to mitigate health disparities undertaken by the Commonwealth.</w:t>
      </w:r>
    </w:p>
    <w:p>
      <w:pPr>
        <w:spacing w:after="0"/>
        <w:sectPr>
          <w:pgSz w:w="12240" w:h="15840"/>
          <w:pgMar w:header="0" w:footer="1201" w:top="1360" w:bottom="1400" w:left="1200" w:right="400"/>
        </w:sectPr>
      </w:pPr>
    </w:p>
    <w:p>
      <w:pPr>
        <w:pStyle w:val="BodyText"/>
        <w:spacing w:before="79"/>
        <w:ind w:left="2039" w:right="1086"/>
      </w:pPr>
      <w:r>
        <w:rPr/>
        <w:drawing>
          <wp:anchor distT="0" distB="0" distL="0" distR="0" allowOverlap="1" layoutInCell="1" locked="0" behindDoc="0" simplePos="0" relativeHeight="16028160">
            <wp:simplePos x="0" y="0"/>
            <wp:positionH relativeFrom="page">
              <wp:posOffset>1819655</wp:posOffset>
            </wp:positionH>
            <wp:positionV relativeFrom="paragraph">
              <wp:posOffset>82717</wp:posOffset>
            </wp:positionV>
            <wp:extent cx="115823" cy="115823"/>
            <wp:effectExtent l="0" t="0" r="0" b="0"/>
            <wp:wrapNone/>
            <wp:docPr id="596" name="Image 596"/>
            <wp:cNvGraphicFramePr>
              <a:graphicFrameLocks/>
            </wp:cNvGraphicFramePr>
            <a:graphic>
              <a:graphicData uri="http://schemas.openxmlformats.org/drawingml/2006/picture">
                <pic:pic>
                  <pic:nvPicPr>
                    <pic:cNvPr id="596" name="Image 596"/>
                    <pic:cNvPicPr/>
                  </pic:nvPicPr>
                  <pic:blipFill>
                    <a:blip r:embed="rId62" cstate="print"/>
                    <a:stretch>
                      <a:fillRect/>
                    </a:stretch>
                  </pic:blipFill>
                  <pic:spPr>
                    <a:xfrm>
                      <a:off x="0" y="0"/>
                      <a:ext cx="115823" cy="115823"/>
                    </a:xfrm>
                    <a:prstGeom prst="rect">
                      <a:avLst/>
                    </a:prstGeom>
                  </pic:spPr>
                </pic:pic>
              </a:graphicData>
            </a:graphic>
          </wp:anchor>
        </w:drawing>
      </w:r>
      <w:bookmarkStart w:name="ii. Any additional information requested" w:id="872"/>
      <w:bookmarkEnd w:id="872"/>
      <w:r>
        <w:rPr/>
      </w:r>
      <w:r>
        <w:rPr/>
        <w:t>Any additional information requested by CMS, the Commonwealth or a legally</w:t>
      </w:r>
      <w:r>
        <w:rPr>
          <w:spacing w:val="-5"/>
        </w:rPr>
        <w:t> </w:t>
      </w:r>
      <w:r>
        <w:rPr/>
        <w:t>authorized</w:t>
      </w:r>
      <w:r>
        <w:rPr>
          <w:spacing w:val="-3"/>
        </w:rPr>
        <w:t> </w:t>
      </w:r>
      <w:r>
        <w:rPr/>
        <w:t>oversight</w:t>
      </w:r>
      <w:r>
        <w:rPr>
          <w:spacing w:val="-2"/>
        </w:rPr>
        <w:t> </w:t>
      </w:r>
      <w:r>
        <w:rPr/>
        <w:t>body</w:t>
      </w:r>
      <w:r>
        <w:rPr>
          <w:spacing w:val="-7"/>
        </w:rPr>
        <w:t> </w:t>
      </w:r>
      <w:r>
        <w:rPr/>
        <w:t>to</w:t>
      </w:r>
      <w:r>
        <w:rPr>
          <w:spacing w:val="-2"/>
        </w:rPr>
        <w:t> </w:t>
      </w:r>
      <w:r>
        <w:rPr/>
        <w:t>aid</w:t>
      </w:r>
      <w:r>
        <w:rPr>
          <w:spacing w:val="-2"/>
        </w:rPr>
        <w:t> </w:t>
      </w:r>
      <w:r>
        <w:rPr/>
        <w:t>in</w:t>
      </w:r>
      <w:r>
        <w:rPr>
          <w:spacing w:val="-2"/>
        </w:rPr>
        <w:t> </w:t>
      </w:r>
      <w:r>
        <w:rPr/>
        <w:t>on-going</w:t>
      </w:r>
      <w:r>
        <w:rPr>
          <w:spacing w:val="-5"/>
        </w:rPr>
        <w:t> </w:t>
      </w:r>
      <w:r>
        <w:rPr/>
        <w:t>evaluation</w:t>
      </w:r>
      <w:r>
        <w:rPr>
          <w:spacing w:val="-2"/>
        </w:rPr>
        <w:t> </w:t>
      </w:r>
      <w:r>
        <w:rPr/>
        <w:t>of</w:t>
      </w:r>
      <w:r>
        <w:rPr>
          <w:spacing w:val="-3"/>
        </w:rPr>
        <w:t> </w:t>
      </w:r>
      <w:r>
        <w:rPr/>
        <w:t>the</w:t>
      </w:r>
      <w:r>
        <w:rPr>
          <w:spacing w:val="-3"/>
        </w:rPr>
        <w:t> </w:t>
      </w:r>
      <w:r>
        <w:rPr/>
        <w:t>HRSN services or any independent assessment or analysis conducted by the Commonwealth, CMS, or a legally authorized independent entity.</w:t>
      </w:r>
    </w:p>
    <w:p>
      <w:pPr>
        <w:pStyle w:val="BodyText"/>
        <w:spacing w:before="161"/>
        <w:ind w:left="2040" w:right="1086"/>
      </w:pPr>
      <w:r>
        <w:rPr/>
        <w:drawing>
          <wp:anchor distT="0" distB="0" distL="0" distR="0" allowOverlap="1" layoutInCell="1" locked="0" behindDoc="0" simplePos="0" relativeHeight="16028672">
            <wp:simplePos x="0" y="0"/>
            <wp:positionH relativeFrom="page">
              <wp:posOffset>1778507</wp:posOffset>
            </wp:positionH>
            <wp:positionV relativeFrom="paragraph">
              <wp:posOffset>134786</wp:posOffset>
            </wp:positionV>
            <wp:extent cx="158495" cy="115823"/>
            <wp:effectExtent l="0" t="0" r="0" b="0"/>
            <wp:wrapNone/>
            <wp:docPr id="597" name="Image 597"/>
            <wp:cNvGraphicFramePr>
              <a:graphicFrameLocks/>
            </wp:cNvGraphicFramePr>
            <a:graphic>
              <a:graphicData uri="http://schemas.openxmlformats.org/drawingml/2006/picture">
                <pic:pic>
                  <pic:nvPicPr>
                    <pic:cNvPr id="597" name="Image 597"/>
                    <pic:cNvPicPr/>
                  </pic:nvPicPr>
                  <pic:blipFill>
                    <a:blip r:embed="rId65" cstate="print"/>
                    <a:stretch>
                      <a:fillRect/>
                    </a:stretch>
                  </pic:blipFill>
                  <pic:spPr>
                    <a:xfrm>
                      <a:off x="0" y="0"/>
                      <a:ext cx="158495" cy="115823"/>
                    </a:xfrm>
                    <a:prstGeom prst="rect">
                      <a:avLst/>
                    </a:prstGeom>
                  </pic:spPr>
                </pic:pic>
              </a:graphicData>
            </a:graphic>
          </wp:anchor>
        </w:drawing>
      </w:r>
      <w:bookmarkStart w:name="iii. The Commonwealth must monitor and p" w:id="873"/>
      <w:bookmarkEnd w:id="873"/>
      <w:r>
        <w:rPr/>
      </w:r>
      <w:r>
        <w:rPr/>
        <w:t>The</w:t>
      </w:r>
      <w:r>
        <w:rPr>
          <w:spacing w:val="-5"/>
        </w:rPr>
        <w:t> </w:t>
      </w:r>
      <w:r>
        <w:rPr/>
        <w:t>Commonwealth</w:t>
      </w:r>
      <w:r>
        <w:rPr>
          <w:spacing w:val="-4"/>
        </w:rPr>
        <w:t> </w:t>
      </w:r>
      <w:r>
        <w:rPr/>
        <w:t>must</w:t>
      </w:r>
      <w:r>
        <w:rPr>
          <w:spacing w:val="-4"/>
        </w:rPr>
        <w:t> </w:t>
      </w:r>
      <w:r>
        <w:rPr/>
        <w:t>monitor</w:t>
      </w:r>
      <w:r>
        <w:rPr>
          <w:spacing w:val="-5"/>
        </w:rPr>
        <w:t> </w:t>
      </w:r>
      <w:r>
        <w:rPr/>
        <w:t>and</w:t>
      </w:r>
      <w:r>
        <w:rPr>
          <w:spacing w:val="-4"/>
        </w:rPr>
        <w:t> </w:t>
      </w:r>
      <w:r>
        <w:rPr/>
        <w:t>provide</w:t>
      </w:r>
      <w:r>
        <w:rPr>
          <w:spacing w:val="-5"/>
        </w:rPr>
        <w:t> </w:t>
      </w:r>
      <w:r>
        <w:rPr/>
        <w:t>narrative</w:t>
      </w:r>
      <w:r>
        <w:rPr>
          <w:spacing w:val="-5"/>
        </w:rPr>
        <w:t> </w:t>
      </w:r>
      <w:r>
        <w:rPr/>
        <w:t>updates</w:t>
      </w:r>
      <w:r>
        <w:rPr>
          <w:spacing w:val="-4"/>
        </w:rPr>
        <w:t> </w:t>
      </w:r>
      <w:r>
        <w:rPr/>
        <w:t>through</w:t>
      </w:r>
      <w:r>
        <w:rPr>
          <w:spacing w:val="-4"/>
        </w:rPr>
        <w:t> </w:t>
      </w:r>
      <w:r>
        <w:rPr/>
        <w:t>its Quarterly and Annual Monitoring Reports on its progress in building and sustaining its partnership with existing housing and nutrition agencies to utilize their expertise and existing housing and nutrition resources and avoiding duplication of efforts.</w:t>
      </w:r>
    </w:p>
    <w:p>
      <w:pPr>
        <w:pStyle w:val="BodyText"/>
        <w:spacing w:before="158"/>
        <w:ind w:left="2039" w:right="1059" w:firstLine="60"/>
      </w:pPr>
      <w:r>
        <w:rPr/>
        <w:drawing>
          <wp:anchor distT="0" distB="0" distL="0" distR="0" allowOverlap="1" layoutInCell="1" locked="0" behindDoc="0" simplePos="0" relativeHeight="16029184">
            <wp:simplePos x="0" y="0"/>
            <wp:positionH relativeFrom="page">
              <wp:posOffset>1786127</wp:posOffset>
            </wp:positionH>
            <wp:positionV relativeFrom="paragraph">
              <wp:posOffset>132881</wp:posOffset>
            </wp:positionV>
            <wp:extent cx="149339" cy="115823"/>
            <wp:effectExtent l="0" t="0" r="0" b="0"/>
            <wp:wrapNone/>
            <wp:docPr id="598" name="Image 598"/>
            <wp:cNvGraphicFramePr>
              <a:graphicFrameLocks/>
            </wp:cNvGraphicFramePr>
            <a:graphic>
              <a:graphicData uri="http://schemas.openxmlformats.org/drawingml/2006/picture">
                <pic:pic>
                  <pic:nvPicPr>
                    <pic:cNvPr id="598" name="Image 598"/>
                    <pic:cNvPicPr/>
                  </pic:nvPicPr>
                  <pic:blipFill>
                    <a:blip r:embed="rId66" cstate="print"/>
                    <a:stretch>
                      <a:fillRect/>
                    </a:stretch>
                  </pic:blipFill>
                  <pic:spPr>
                    <a:xfrm>
                      <a:off x="0" y="0"/>
                      <a:ext cx="149339" cy="115823"/>
                    </a:xfrm>
                    <a:prstGeom prst="rect">
                      <a:avLst/>
                    </a:prstGeom>
                  </pic:spPr>
                </pic:pic>
              </a:graphicData>
            </a:graphic>
          </wp:anchor>
        </w:drawing>
      </w:r>
      <w:bookmarkStart w:name="iv.  Any additional information determin" w:id="874"/>
      <w:bookmarkEnd w:id="874"/>
      <w:r>
        <w:rPr/>
      </w:r>
      <w:r>
        <w:rPr/>
        <w:t>Any</w:t>
      </w:r>
      <w:r>
        <w:rPr>
          <w:spacing w:val="-8"/>
        </w:rPr>
        <w:t> </w:t>
      </w:r>
      <w:r>
        <w:rPr/>
        <w:t>additional</w:t>
      </w:r>
      <w:r>
        <w:rPr>
          <w:spacing w:val="-5"/>
        </w:rPr>
        <w:t> </w:t>
      </w:r>
      <w:r>
        <w:rPr/>
        <w:t>information</w:t>
      </w:r>
      <w:r>
        <w:rPr>
          <w:spacing w:val="-5"/>
        </w:rPr>
        <w:t> </w:t>
      </w:r>
      <w:r>
        <w:rPr/>
        <w:t>determined</w:t>
      </w:r>
      <w:r>
        <w:rPr>
          <w:spacing w:val="-5"/>
        </w:rPr>
        <w:t> </w:t>
      </w:r>
      <w:r>
        <w:rPr/>
        <w:t>reasonable,</w:t>
      </w:r>
      <w:r>
        <w:rPr>
          <w:spacing w:val="-5"/>
        </w:rPr>
        <w:t> </w:t>
      </w:r>
      <w:r>
        <w:rPr/>
        <w:t>appropriate</w:t>
      </w:r>
      <w:r>
        <w:rPr>
          <w:spacing w:val="-6"/>
        </w:rPr>
        <w:t> </w:t>
      </w:r>
      <w:r>
        <w:rPr/>
        <w:t>and</w:t>
      </w:r>
      <w:r>
        <w:rPr>
          <w:spacing w:val="-5"/>
        </w:rPr>
        <w:t> </w:t>
      </w:r>
      <w:r>
        <w:rPr/>
        <w:t>necessary by CMS.</w:t>
      </w:r>
    </w:p>
    <w:p>
      <w:pPr>
        <w:pStyle w:val="BodyText"/>
        <w:spacing w:before="10"/>
        <w:rPr>
          <w:sz w:val="20"/>
        </w:rPr>
      </w:pPr>
    </w:p>
    <w:p>
      <w:pPr>
        <w:pStyle w:val="BodyText"/>
        <w:ind w:left="871" w:right="1141"/>
      </w:pPr>
      <w:r>
        <w:rPr/>
        <w:drawing>
          <wp:anchor distT="0" distB="0" distL="0" distR="0" allowOverlap="1" layoutInCell="1" locked="0" behindDoc="0" simplePos="0" relativeHeight="16029696">
            <wp:simplePos x="0" y="0"/>
            <wp:positionH relativeFrom="page">
              <wp:posOffset>832103</wp:posOffset>
            </wp:positionH>
            <wp:positionV relativeFrom="paragraph">
              <wp:posOffset>35600</wp:posOffset>
            </wp:positionV>
            <wp:extent cx="359663" cy="112775"/>
            <wp:effectExtent l="0" t="0" r="0" b="0"/>
            <wp:wrapNone/>
            <wp:docPr id="599" name="Image 599"/>
            <wp:cNvGraphicFramePr>
              <a:graphicFrameLocks/>
            </wp:cNvGraphicFramePr>
            <a:graphic>
              <a:graphicData uri="http://schemas.openxmlformats.org/drawingml/2006/picture">
                <pic:pic>
                  <pic:nvPicPr>
                    <pic:cNvPr id="599" name="Image 599"/>
                    <pic:cNvPicPr/>
                  </pic:nvPicPr>
                  <pic:blipFill>
                    <a:blip r:embed="rId239" cstate="print"/>
                    <a:stretch>
                      <a:fillRect/>
                    </a:stretch>
                  </pic:blipFill>
                  <pic:spPr>
                    <a:xfrm>
                      <a:off x="0" y="0"/>
                      <a:ext cx="359663" cy="112775"/>
                    </a:xfrm>
                    <a:prstGeom prst="rect">
                      <a:avLst/>
                    </a:prstGeom>
                  </pic:spPr>
                </pic:pic>
              </a:graphicData>
            </a:graphic>
          </wp:anchor>
        </w:drawing>
      </w:r>
      <w:bookmarkStart w:name="15.14. Maintenance of Effort (MOE). The " w:id="875"/>
      <w:bookmarkEnd w:id="875"/>
      <w:r>
        <w:rPr/>
      </w:r>
      <w:r>
        <w:rPr>
          <w:b/>
        </w:rPr>
        <w:t>Maintenance of Effort (MOE). </w:t>
      </w:r>
      <w:r>
        <w:rPr/>
        <w:t>The Commonwealth must maintain level state funding for social services related to housing transitions supports and nutrition supports for the duration of the demonstration.</w:t>
      </w:r>
      <w:r>
        <w:rPr>
          <w:spacing w:val="40"/>
        </w:rPr>
        <w:t> </w:t>
      </w:r>
      <w:r>
        <w:rPr/>
        <w:t>Within 90 days of demonstration approval, the Commonwealth</w:t>
      </w:r>
      <w:r>
        <w:rPr>
          <w:spacing w:val="-3"/>
        </w:rPr>
        <w:t> </w:t>
      </w:r>
      <w:r>
        <w:rPr/>
        <w:t>will</w:t>
      </w:r>
      <w:r>
        <w:rPr>
          <w:spacing w:val="-3"/>
        </w:rPr>
        <w:t> </w:t>
      </w:r>
      <w:r>
        <w:rPr/>
        <w:t>submit</w:t>
      </w:r>
      <w:r>
        <w:rPr>
          <w:spacing w:val="-3"/>
        </w:rPr>
        <w:t> </w:t>
      </w:r>
      <w:r>
        <w:rPr/>
        <w:t>a</w:t>
      </w:r>
      <w:r>
        <w:rPr>
          <w:spacing w:val="-4"/>
        </w:rPr>
        <w:t> </w:t>
      </w:r>
      <w:r>
        <w:rPr/>
        <w:t>plan</w:t>
      </w:r>
      <w:r>
        <w:rPr>
          <w:spacing w:val="-3"/>
        </w:rPr>
        <w:t> </w:t>
      </w:r>
      <w:r>
        <w:rPr/>
        <w:t>to</w:t>
      </w:r>
      <w:r>
        <w:rPr>
          <w:spacing w:val="-3"/>
        </w:rPr>
        <w:t> </w:t>
      </w:r>
      <w:r>
        <w:rPr/>
        <w:t>CMS</w:t>
      </w:r>
      <w:r>
        <w:rPr>
          <w:spacing w:val="-3"/>
        </w:rPr>
        <w:t> </w:t>
      </w:r>
      <w:r>
        <w:rPr/>
        <w:t>as</w:t>
      </w:r>
      <w:r>
        <w:rPr>
          <w:spacing w:val="-3"/>
        </w:rPr>
        <w:t> </w:t>
      </w:r>
      <w:r>
        <w:rPr/>
        <w:t>part</w:t>
      </w:r>
      <w:r>
        <w:rPr>
          <w:spacing w:val="-3"/>
        </w:rPr>
        <w:t> </w:t>
      </w:r>
      <w:r>
        <w:rPr/>
        <w:t>of</w:t>
      </w:r>
      <w:r>
        <w:rPr>
          <w:spacing w:val="-4"/>
        </w:rPr>
        <w:t> </w:t>
      </w:r>
      <w:r>
        <w:rPr/>
        <w:t>the</w:t>
      </w:r>
      <w:r>
        <w:rPr>
          <w:spacing w:val="-4"/>
        </w:rPr>
        <w:t> </w:t>
      </w:r>
      <w:r>
        <w:rPr/>
        <w:t>HRSN</w:t>
      </w:r>
      <w:r>
        <w:rPr>
          <w:spacing w:val="-1"/>
        </w:rPr>
        <w:t> </w:t>
      </w:r>
      <w:r>
        <w:rPr/>
        <w:t>Implementation</w:t>
      </w:r>
      <w:r>
        <w:rPr>
          <w:spacing w:val="-3"/>
        </w:rPr>
        <w:t> </w:t>
      </w:r>
      <w:r>
        <w:rPr/>
        <w:t>Plan</w:t>
      </w:r>
      <w:r>
        <w:rPr>
          <w:spacing w:val="-3"/>
        </w:rPr>
        <w:t> </w:t>
      </w:r>
      <w:r>
        <w:rPr/>
        <w:t>that outlines how it will determine baseline spending on these services throughout the Commonwealth.</w:t>
      </w:r>
      <w:r>
        <w:rPr>
          <w:spacing w:val="40"/>
        </w:rPr>
        <w:t> </w:t>
      </w:r>
      <w:r>
        <w:rPr/>
        <w:t>The annual MOE will be reported and monitored as part of the Annual Monitoring Report described in STC 16.6, including any justifications necessary to describe the findings.</w:t>
      </w:r>
    </w:p>
    <w:p>
      <w:pPr>
        <w:pStyle w:val="BodyText"/>
        <w:spacing w:before="10"/>
        <w:rPr>
          <w:sz w:val="20"/>
        </w:rPr>
      </w:pPr>
    </w:p>
    <w:p>
      <w:pPr>
        <w:pStyle w:val="BodyText"/>
        <w:spacing w:before="1"/>
        <w:ind w:left="871" w:right="1041"/>
      </w:pPr>
      <w:r>
        <w:rPr/>
        <w:drawing>
          <wp:anchor distT="0" distB="0" distL="0" distR="0" allowOverlap="1" layoutInCell="1" locked="0" behindDoc="0" simplePos="0" relativeHeight="16030208">
            <wp:simplePos x="0" y="0"/>
            <wp:positionH relativeFrom="page">
              <wp:posOffset>832103</wp:posOffset>
            </wp:positionH>
            <wp:positionV relativeFrom="paragraph">
              <wp:posOffset>36234</wp:posOffset>
            </wp:positionV>
            <wp:extent cx="359663" cy="112775"/>
            <wp:effectExtent l="0" t="0" r="0" b="0"/>
            <wp:wrapNone/>
            <wp:docPr id="600" name="Image 600"/>
            <wp:cNvGraphicFramePr>
              <a:graphicFrameLocks/>
            </wp:cNvGraphicFramePr>
            <a:graphic>
              <a:graphicData uri="http://schemas.openxmlformats.org/drawingml/2006/picture">
                <pic:pic>
                  <pic:nvPicPr>
                    <pic:cNvPr id="600" name="Image 600"/>
                    <pic:cNvPicPr/>
                  </pic:nvPicPr>
                  <pic:blipFill>
                    <a:blip r:embed="rId240" cstate="print"/>
                    <a:stretch>
                      <a:fillRect/>
                    </a:stretch>
                  </pic:blipFill>
                  <pic:spPr>
                    <a:xfrm>
                      <a:off x="0" y="0"/>
                      <a:ext cx="359663" cy="112775"/>
                    </a:xfrm>
                    <a:prstGeom prst="rect">
                      <a:avLst/>
                    </a:prstGeom>
                  </pic:spPr>
                </pic:pic>
              </a:graphicData>
            </a:graphic>
          </wp:anchor>
        </w:drawing>
      </w:r>
      <w:bookmarkStart w:name="15.15. Partnerships with State and Local" w:id="876"/>
      <w:bookmarkEnd w:id="876"/>
      <w:r>
        <w:rPr/>
      </w:r>
      <w:r>
        <w:rPr>
          <w:b/>
        </w:rPr>
        <w:t>Partnerships with State and Local Entities.</w:t>
      </w:r>
      <w:r>
        <w:rPr>
          <w:b/>
          <w:spacing w:val="40"/>
        </w:rPr>
        <w:t> </w:t>
      </w:r>
      <w:r>
        <w:rPr/>
        <w:t>The Commonwealth must have in place partnerships with other state and local entities (e.g., HUD Continuum of Care program, local housing authorities, SNAP state agency) to assist beneficiaries in obtaining non- Medicaid funded housing and nutrition supports, if</w:t>
      </w:r>
      <w:r>
        <w:rPr>
          <w:spacing w:val="40"/>
        </w:rPr>
        <w:t> </w:t>
      </w:r>
      <w:r>
        <w:rPr/>
        <w:t>available, upon the conclusion of temporary Medicaid payment for such supports, in alignment with beneficiary needs identified</w:t>
      </w:r>
      <w:r>
        <w:rPr>
          <w:spacing w:val="-1"/>
        </w:rPr>
        <w:t> </w:t>
      </w:r>
      <w:r>
        <w:rPr/>
        <w:t>in</w:t>
      </w:r>
      <w:r>
        <w:rPr>
          <w:spacing w:val="-1"/>
        </w:rPr>
        <w:t> </w:t>
      </w:r>
      <w:r>
        <w:rPr/>
        <w:t>the</w:t>
      </w:r>
      <w:r>
        <w:rPr>
          <w:spacing w:val="-2"/>
        </w:rPr>
        <w:t> </w:t>
      </w:r>
      <w:r>
        <w:rPr/>
        <w:t>care</w:t>
      </w:r>
      <w:r>
        <w:rPr>
          <w:spacing w:val="-2"/>
        </w:rPr>
        <w:t> </w:t>
      </w:r>
      <w:r>
        <w:rPr/>
        <w:t>plans</w:t>
      </w:r>
      <w:r>
        <w:rPr>
          <w:spacing w:val="-1"/>
        </w:rPr>
        <w:t> </w:t>
      </w:r>
      <w:r>
        <w:rPr/>
        <w:t>as</w:t>
      </w:r>
      <w:r>
        <w:rPr>
          <w:spacing w:val="-1"/>
        </w:rPr>
        <w:t> </w:t>
      </w:r>
      <w:r>
        <w:rPr/>
        <w:t>appropriate.</w:t>
      </w:r>
      <w:r>
        <w:rPr>
          <w:spacing w:val="40"/>
        </w:rPr>
        <w:t> </w:t>
      </w:r>
      <w:r>
        <w:rPr/>
        <w:t>The</w:t>
      </w:r>
      <w:r>
        <w:rPr>
          <w:spacing w:val="-2"/>
        </w:rPr>
        <w:t> </w:t>
      </w:r>
      <w:r>
        <w:rPr/>
        <w:t>Commonwealth</w:t>
      </w:r>
      <w:r>
        <w:rPr>
          <w:spacing w:val="-1"/>
        </w:rPr>
        <w:t> </w:t>
      </w:r>
      <w:r>
        <w:rPr/>
        <w:t>will</w:t>
      </w:r>
      <w:r>
        <w:rPr>
          <w:spacing w:val="-1"/>
        </w:rPr>
        <w:t> </w:t>
      </w:r>
      <w:r>
        <w:rPr/>
        <w:t>submit</w:t>
      </w:r>
      <w:r>
        <w:rPr>
          <w:spacing w:val="-3"/>
        </w:rPr>
        <w:t> </w:t>
      </w:r>
      <w:r>
        <w:rPr/>
        <w:t>a</w:t>
      </w:r>
      <w:r>
        <w:rPr>
          <w:spacing w:val="-2"/>
        </w:rPr>
        <w:t> </w:t>
      </w:r>
      <w:r>
        <w:rPr/>
        <w:t>plan</w:t>
      </w:r>
      <w:r>
        <w:rPr>
          <w:spacing w:val="-1"/>
        </w:rPr>
        <w:t> </w:t>
      </w:r>
      <w:r>
        <w:rPr/>
        <w:t>to</w:t>
      </w:r>
      <w:r>
        <w:rPr>
          <w:spacing w:val="-1"/>
        </w:rPr>
        <w:t> </w:t>
      </w:r>
      <w:r>
        <w:rPr/>
        <w:t>CMS as part of the HRSN Implementation Plan that outlines how it will put into place the necessary</w:t>
      </w:r>
      <w:r>
        <w:rPr>
          <w:spacing w:val="-8"/>
        </w:rPr>
        <w:t> </w:t>
      </w:r>
      <w:r>
        <w:rPr/>
        <w:t>arrangements</w:t>
      </w:r>
      <w:r>
        <w:rPr>
          <w:spacing w:val="-3"/>
        </w:rPr>
        <w:t> </w:t>
      </w:r>
      <w:r>
        <w:rPr/>
        <w:t>with</w:t>
      </w:r>
      <w:r>
        <w:rPr>
          <w:spacing w:val="-3"/>
        </w:rPr>
        <w:t> </w:t>
      </w:r>
      <w:r>
        <w:rPr/>
        <w:t>other</w:t>
      </w:r>
      <w:r>
        <w:rPr>
          <w:spacing w:val="-4"/>
        </w:rPr>
        <w:t> </w:t>
      </w:r>
      <w:r>
        <w:rPr/>
        <w:t>state</w:t>
      </w:r>
      <w:r>
        <w:rPr>
          <w:spacing w:val="-4"/>
        </w:rPr>
        <w:t> </w:t>
      </w:r>
      <w:r>
        <w:rPr/>
        <w:t>and</w:t>
      </w:r>
      <w:r>
        <w:rPr>
          <w:spacing w:val="-3"/>
        </w:rPr>
        <w:t> </w:t>
      </w:r>
      <w:r>
        <w:rPr/>
        <w:t>local</w:t>
      </w:r>
      <w:r>
        <w:rPr>
          <w:spacing w:val="-3"/>
        </w:rPr>
        <w:t> </w:t>
      </w:r>
      <w:r>
        <w:rPr/>
        <w:t>entities</w:t>
      </w:r>
      <w:r>
        <w:rPr>
          <w:spacing w:val="-3"/>
        </w:rPr>
        <w:t> </w:t>
      </w:r>
      <w:r>
        <w:rPr/>
        <w:t>and</w:t>
      </w:r>
      <w:r>
        <w:rPr>
          <w:spacing w:val="-3"/>
        </w:rPr>
        <w:t> </w:t>
      </w:r>
      <w:r>
        <w:rPr/>
        <w:t>also</w:t>
      </w:r>
      <w:r>
        <w:rPr>
          <w:spacing w:val="-3"/>
        </w:rPr>
        <w:t> </w:t>
      </w:r>
      <w:r>
        <w:rPr/>
        <w:t>work</w:t>
      </w:r>
      <w:r>
        <w:rPr>
          <w:spacing w:val="-3"/>
        </w:rPr>
        <w:t> </w:t>
      </w:r>
      <w:r>
        <w:rPr/>
        <w:t>with</w:t>
      </w:r>
      <w:r>
        <w:rPr>
          <w:spacing w:val="-3"/>
        </w:rPr>
        <w:t> </w:t>
      </w:r>
      <w:r>
        <w:rPr/>
        <w:t>those</w:t>
      </w:r>
      <w:r>
        <w:rPr>
          <w:spacing w:val="-4"/>
        </w:rPr>
        <w:t> </w:t>
      </w:r>
      <w:r>
        <w:rPr/>
        <w:t>entities to assist beneficiaries in obtaining available non-Medicaid funded housing and other supports upon conclusion of</w:t>
      </w:r>
      <w:r>
        <w:rPr>
          <w:spacing w:val="-1"/>
        </w:rPr>
        <w:t> </w:t>
      </w:r>
      <w:r>
        <w:rPr/>
        <w:t>temporary</w:t>
      </w:r>
      <w:r>
        <w:rPr>
          <w:spacing w:val="-5"/>
        </w:rPr>
        <w:t> </w:t>
      </w:r>
      <w:r>
        <w:rPr/>
        <w:t>Medicaid payment as stated above.</w:t>
      </w:r>
      <w:r>
        <w:rPr>
          <w:spacing w:val="40"/>
        </w:rPr>
        <w:t> </w:t>
      </w:r>
      <w:r>
        <w:rPr/>
        <w:t>The</w:t>
      </w:r>
      <w:r>
        <w:rPr>
          <w:spacing w:val="-1"/>
        </w:rPr>
        <w:t> </w:t>
      </w:r>
      <w:r>
        <w:rPr/>
        <w:t>plan must provide a timeline for the activities outlined.</w:t>
      </w:r>
      <w:r>
        <w:rPr>
          <w:spacing w:val="40"/>
        </w:rPr>
        <w:t> </w:t>
      </w:r>
      <w:r>
        <w:rPr/>
        <w:t>As part of the</w:t>
      </w:r>
      <w:r>
        <w:rPr>
          <w:spacing w:val="80"/>
        </w:rPr>
        <w:t> </w:t>
      </w:r>
      <w:r>
        <w:rPr/>
        <w:t>Quarterly and Annual Monitoring described in STC 16.6, the Commonwealth will provide the status of the Commonwealth’s fulfillment of its plan and progress relative to timeline, and whether and to what extent the non-Medicaid funded supports are being accessed by beneficiaries as planned.</w:t>
      </w:r>
      <w:r>
        <w:rPr>
          <w:spacing w:val="40"/>
        </w:rPr>
        <w:t> </w:t>
      </w:r>
      <w:r>
        <w:rPr/>
        <w:t>Once the Commonwealth’s plan is fully implemented then the Commonwealth may conclude its status updates in the Monitoring Reports.</w:t>
      </w:r>
    </w:p>
    <w:p>
      <w:pPr>
        <w:pStyle w:val="BodyText"/>
        <w:spacing w:before="10"/>
        <w:rPr>
          <w:sz w:val="20"/>
        </w:rPr>
      </w:pPr>
    </w:p>
    <w:p>
      <w:pPr>
        <w:pStyle w:val="BodyText"/>
        <w:ind w:left="871" w:right="1083"/>
      </w:pPr>
      <w:r>
        <w:rPr/>
        <w:drawing>
          <wp:anchor distT="0" distB="0" distL="0" distR="0" allowOverlap="1" layoutInCell="1" locked="0" behindDoc="0" simplePos="0" relativeHeight="16030720">
            <wp:simplePos x="0" y="0"/>
            <wp:positionH relativeFrom="page">
              <wp:posOffset>832103</wp:posOffset>
            </wp:positionH>
            <wp:positionV relativeFrom="paragraph">
              <wp:posOffset>35612</wp:posOffset>
            </wp:positionV>
            <wp:extent cx="359663" cy="112762"/>
            <wp:effectExtent l="0" t="0" r="0" b="0"/>
            <wp:wrapNone/>
            <wp:docPr id="601" name="Image 601"/>
            <wp:cNvGraphicFramePr>
              <a:graphicFrameLocks/>
            </wp:cNvGraphicFramePr>
            <a:graphic>
              <a:graphicData uri="http://schemas.openxmlformats.org/drawingml/2006/picture">
                <pic:pic>
                  <pic:nvPicPr>
                    <pic:cNvPr id="601" name="Image 601"/>
                    <pic:cNvPicPr/>
                  </pic:nvPicPr>
                  <pic:blipFill>
                    <a:blip r:embed="rId241" cstate="print"/>
                    <a:stretch>
                      <a:fillRect/>
                    </a:stretch>
                  </pic:blipFill>
                  <pic:spPr>
                    <a:xfrm>
                      <a:off x="0" y="0"/>
                      <a:ext cx="359663" cy="112762"/>
                    </a:xfrm>
                    <a:prstGeom prst="rect">
                      <a:avLst/>
                    </a:prstGeom>
                  </pic:spPr>
                </pic:pic>
              </a:graphicData>
            </a:graphic>
          </wp:anchor>
        </w:drawing>
      </w:r>
      <w:bookmarkStart w:name="15.16. HRSN Implementation Plan.  The Co" w:id="877"/>
      <w:bookmarkEnd w:id="877"/>
      <w:r>
        <w:rPr/>
      </w:r>
      <w:r>
        <w:rPr>
          <w:b/>
        </w:rPr>
        <w:t>HRSN Implementation Plan.</w:t>
      </w:r>
      <w:r>
        <w:rPr>
          <w:b/>
          <w:spacing w:val="40"/>
        </w:rPr>
        <w:t> </w:t>
      </w:r>
      <w:r>
        <w:rPr/>
        <w:t>The Commonwealth is required to submit a HRSN Implementation Plan that will elaborate upon and further specify requirements for the provision of HRSN services and will be expected to provide additional details not captured</w:t>
      </w:r>
      <w:r>
        <w:rPr>
          <w:spacing w:val="-3"/>
        </w:rPr>
        <w:t> </w:t>
      </w:r>
      <w:r>
        <w:rPr/>
        <w:t>in</w:t>
      </w:r>
      <w:r>
        <w:rPr>
          <w:spacing w:val="-3"/>
        </w:rPr>
        <w:t> </w:t>
      </w:r>
      <w:r>
        <w:rPr/>
        <w:t>the</w:t>
      </w:r>
      <w:r>
        <w:rPr>
          <w:spacing w:val="-4"/>
        </w:rPr>
        <w:t> </w:t>
      </w:r>
      <w:r>
        <w:rPr/>
        <w:t>STCs</w:t>
      </w:r>
      <w:r>
        <w:rPr>
          <w:spacing w:val="-3"/>
        </w:rPr>
        <w:t> </w:t>
      </w:r>
      <w:r>
        <w:rPr/>
        <w:t>regarding</w:t>
      </w:r>
      <w:r>
        <w:rPr>
          <w:spacing w:val="-6"/>
        </w:rPr>
        <w:t> </w:t>
      </w:r>
      <w:r>
        <w:rPr/>
        <w:t>implementation</w:t>
      </w:r>
      <w:r>
        <w:rPr>
          <w:spacing w:val="-3"/>
        </w:rPr>
        <w:t> </w:t>
      </w:r>
      <w:r>
        <w:rPr/>
        <w:t>of</w:t>
      </w:r>
      <w:r>
        <w:rPr>
          <w:spacing w:val="-4"/>
        </w:rPr>
        <w:t> </w:t>
      </w:r>
      <w:r>
        <w:rPr/>
        <w:t>demonstration</w:t>
      </w:r>
      <w:r>
        <w:rPr>
          <w:spacing w:val="-3"/>
        </w:rPr>
        <w:t> </w:t>
      </w:r>
      <w:r>
        <w:rPr/>
        <w:t>policies</w:t>
      </w:r>
      <w:r>
        <w:rPr>
          <w:spacing w:val="-3"/>
        </w:rPr>
        <w:t> </w:t>
      </w:r>
      <w:r>
        <w:rPr/>
        <w:t>that</w:t>
      </w:r>
      <w:r>
        <w:rPr>
          <w:spacing w:val="-3"/>
        </w:rPr>
        <w:t> </w:t>
      </w:r>
      <w:r>
        <w:rPr/>
        <w:t>are</w:t>
      </w:r>
      <w:r>
        <w:rPr>
          <w:spacing w:val="-4"/>
        </w:rPr>
        <w:t> </w:t>
      </w:r>
      <w:r>
        <w:rPr/>
        <w:t>outlined in</w:t>
      </w:r>
      <w:r>
        <w:rPr>
          <w:spacing w:val="-3"/>
        </w:rPr>
        <w:t> </w:t>
      </w:r>
      <w:r>
        <w:rPr/>
        <w:t>the</w:t>
      </w:r>
      <w:r>
        <w:rPr>
          <w:spacing w:val="-4"/>
        </w:rPr>
        <w:t> </w:t>
      </w:r>
      <w:r>
        <w:rPr/>
        <w:t>STCs.</w:t>
      </w:r>
      <w:r>
        <w:rPr>
          <w:spacing w:val="40"/>
        </w:rPr>
        <w:t> </w:t>
      </w:r>
      <w:r>
        <w:rPr/>
        <w:t>The</w:t>
      </w:r>
      <w:r>
        <w:rPr>
          <w:spacing w:val="-2"/>
        </w:rPr>
        <w:t> </w:t>
      </w:r>
      <w:r>
        <w:rPr/>
        <w:t>Implementation</w:t>
      </w:r>
      <w:r>
        <w:rPr>
          <w:spacing w:val="-3"/>
        </w:rPr>
        <w:t> </w:t>
      </w:r>
      <w:r>
        <w:rPr/>
        <w:t>Plan</w:t>
      </w:r>
      <w:r>
        <w:rPr>
          <w:spacing w:val="-3"/>
        </w:rPr>
        <w:t> </w:t>
      </w:r>
      <w:r>
        <w:rPr/>
        <w:t>can</w:t>
      </w:r>
      <w:r>
        <w:rPr>
          <w:spacing w:val="-3"/>
        </w:rPr>
        <w:t> </w:t>
      </w:r>
      <w:r>
        <w:rPr/>
        <w:t>be</w:t>
      </w:r>
      <w:r>
        <w:rPr>
          <w:spacing w:val="-4"/>
        </w:rPr>
        <w:t> </w:t>
      </w:r>
      <w:r>
        <w:rPr/>
        <w:t>updated</w:t>
      </w:r>
      <w:r>
        <w:rPr>
          <w:spacing w:val="-3"/>
        </w:rPr>
        <w:t> </w:t>
      </w:r>
      <w:r>
        <w:rPr/>
        <w:t>as</w:t>
      </w:r>
      <w:r>
        <w:rPr>
          <w:spacing w:val="-3"/>
        </w:rPr>
        <w:t> </w:t>
      </w:r>
      <w:r>
        <w:rPr/>
        <w:t>initiatives</w:t>
      </w:r>
      <w:r>
        <w:rPr>
          <w:spacing w:val="-3"/>
        </w:rPr>
        <w:t> </w:t>
      </w:r>
      <w:r>
        <w:rPr/>
        <w:t>are</w:t>
      </w:r>
      <w:r>
        <w:rPr>
          <w:spacing w:val="-2"/>
        </w:rPr>
        <w:t> </w:t>
      </w:r>
      <w:r>
        <w:rPr/>
        <w:t>changed</w:t>
      </w:r>
      <w:r>
        <w:rPr>
          <w:spacing w:val="-3"/>
        </w:rPr>
        <w:t> </w:t>
      </w:r>
      <w:r>
        <w:rPr/>
        <w:t>or</w:t>
      </w:r>
      <w:r>
        <w:rPr>
          <w:spacing w:val="-4"/>
        </w:rPr>
        <w:t> </w:t>
      </w:r>
      <w:r>
        <w:rPr/>
        <w:t>added. CMS will provide a template to support this reporting that the Commonwealth will be required to use to help structure the information provided and prompt the Commonwealth</w:t>
      </w:r>
    </w:p>
    <w:p>
      <w:pPr>
        <w:spacing w:after="0"/>
        <w:sectPr>
          <w:pgSz w:w="12240" w:h="15840"/>
          <w:pgMar w:header="0" w:footer="1201" w:top="1360" w:bottom="1400" w:left="1200" w:right="400"/>
        </w:sectPr>
      </w:pPr>
    </w:p>
    <w:p>
      <w:pPr>
        <w:pStyle w:val="BodyText"/>
        <w:spacing w:before="79"/>
        <w:ind w:left="871" w:right="1041"/>
      </w:pPr>
      <w:r>
        <w:rPr/>
        <w:t>for information CMS would find helpful in approving the Implementation Plan.</w:t>
      </w:r>
      <w:r>
        <w:rPr>
          <w:spacing w:val="40"/>
        </w:rPr>
        <w:t> </w:t>
      </w:r>
      <w:r>
        <w:rPr/>
        <w:t>The Commonwealth must submit a partial Implementation Plan within 90 calendar days after approval</w:t>
      </w:r>
      <w:r>
        <w:rPr>
          <w:spacing w:val="-3"/>
        </w:rPr>
        <w:t> </w:t>
      </w:r>
      <w:r>
        <w:rPr/>
        <w:t>of</w:t>
      </w:r>
      <w:r>
        <w:rPr>
          <w:spacing w:val="-4"/>
        </w:rPr>
        <w:t> </w:t>
      </w:r>
      <w:r>
        <w:rPr/>
        <w:t>this</w:t>
      </w:r>
      <w:r>
        <w:rPr>
          <w:spacing w:val="-3"/>
        </w:rPr>
        <w:t> </w:t>
      </w:r>
      <w:r>
        <w:rPr/>
        <w:t>demonstration,</w:t>
      </w:r>
      <w:r>
        <w:rPr>
          <w:spacing w:val="-3"/>
        </w:rPr>
        <w:t> </w:t>
      </w:r>
      <w:r>
        <w:rPr/>
        <w:t>in</w:t>
      </w:r>
      <w:r>
        <w:rPr>
          <w:spacing w:val="-3"/>
        </w:rPr>
        <w:t> </w:t>
      </w:r>
      <w:r>
        <w:rPr/>
        <w:t>accordance</w:t>
      </w:r>
      <w:r>
        <w:rPr>
          <w:spacing w:val="-4"/>
        </w:rPr>
        <w:t> </w:t>
      </w:r>
      <w:r>
        <w:rPr/>
        <w:t>with</w:t>
      </w:r>
      <w:r>
        <w:rPr>
          <w:spacing w:val="-3"/>
        </w:rPr>
        <w:t> </w:t>
      </w:r>
      <w:r>
        <w:rPr/>
        <w:t>STC</w:t>
      </w:r>
      <w:r>
        <w:rPr>
          <w:spacing w:val="-3"/>
        </w:rPr>
        <w:t> </w:t>
      </w:r>
      <w:r>
        <w:rPr/>
        <w:t>15.1.</w:t>
      </w:r>
      <w:r>
        <w:rPr>
          <w:spacing w:val="40"/>
        </w:rPr>
        <w:t> </w:t>
      </w:r>
      <w:r>
        <w:rPr/>
        <w:t>A</w:t>
      </w:r>
      <w:r>
        <w:rPr>
          <w:spacing w:val="-4"/>
        </w:rPr>
        <w:t> </w:t>
      </w:r>
      <w:r>
        <w:rPr/>
        <w:t>complete</w:t>
      </w:r>
      <w:r>
        <w:rPr>
          <w:spacing w:val="-4"/>
        </w:rPr>
        <w:t> </w:t>
      </w:r>
      <w:r>
        <w:rPr/>
        <w:t>Implementation Plan is due on July</w:t>
      </w:r>
      <w:r>
        <w:rPr>
          <w:spacing w:val="-6"/>
        </w:rPr>
        <w:t> </w:t>
      </w:r>
      <w:r>
        <w:rPr/>
        <w:t>1, 2023, per the terms in this STC and STC 15.1.</w:t>
      </w:r>
      <w:r>
        <w:rPr>
          <w:spacing w:val="40"/>
        </w:rPr>
        <w:t> </w:t>
      </w:r>
      <w:r>
        <w:rPr/>
        <w:t>The Commonwealth must submit further clarifications or revisions to information submitted in the Implementation Plan if required by</w:t>
      </w:r>
      <w:r>
        <w:rPr>
          <w:spacing w:val="-5"/>
        </w:rPr>
        <w:t> </w:t>
      </w:r>
      <w:r>
        <w:rPr/>
        <w:t>CMS feedback within 60 calendar days after receipt of CMS’s comments.</w:t>
      </w:r>
      <w:r>
        <w:rPr>
          <w:spacing w:val="40"/>
        </w:rPr>
        <w:t> </w:t>
      </w:r>
      <w:r>
        <w:rPr/>
        <w:t>Once approved, the Implementation Plan will be appended as Attachment T, and, once appended, may be altered only with CMS approval.</w:t>
      </w:r>
    </w:p>
    <w:p>
      <w:pPr>
        <w:pStyle w:val="BodyText"/>
        <w:spacing w:before="10"/>
        <w:rPr>
          <w:sz w:val="20"/>
        </w:rPr>
      </w:pPr>
    </w:p>
    <w:p>
      <w:pPr>
        <w:pStyle w:val="BodyText"/>
        <w:ind w:left="871" w:right="1058"/>
      </w:pPr>
      <w:bookmarkStart w:name="At a minimum, the Implementation Plan mu" w:id="878"/>
      <w:bookmarkEnd w:id="878"/>
      <w:r>
        <w:rPr/>
      </w:r>
      <w:r>
        <w:rPr/>
        <w:t>At a minimum, the Implementation Plan must provide a description of the Commonwealth’s strategic approach to implementing the policy, including timelines for meeting critical implementation stages or milestones, as applicable, to support successful implementation.</w:t>
      </w:r>
      <w:r>
        <w:rPr>
          <w:spacing w:val="40"/>
        </w:rPr>
        <w:t> </w:t>
      </w:r>
      <w:r>
        <w:rPr/>
        <w:t>The Implementation Plan does not need to repeat any information submitted</w:t>
      </w:r>
      <w:r>
        <w:rPr>
          <w:spacing w:val="-2"/>
        </w:rPr>
        <w:t> </w:t>
      </w:r>
      <w:r>
        <w:rPr/>
        <w:t>to</w:t>
      </w:r>
      <w:r>
        <w:rPr>
          <w:spacing w:val="-2"/>
        </w:rPr>
        <w:t> </w:t>
      </w:r>
      <w:r>
        <w:rPr/>
        <w:t>CMS</w:t>
      </w:r>
      <w:r>
        <w:rPr>
          <w:spacing w:val="-2"/>
        </w:rPr>
        <w:t> </w:t>
      </w:r>
      <w:r>
        <w:rPr/>
        <w:t>under</w:t>
      </w:r>
      <w:r>
        <w:rPr>
          <w:spacing w:val="-6"/>
        </w:rPr>
        <w:t> </w:t>
      </w:r>
      <w:r>
        <w:rPr/>
        <w:t>the</w:t>
      </w:r>
      <w:r>
        <w:rPr>
          <w:spacing w:val="-3"/>
        </w:rPr>
        <w:t> </w:t>
      </w:r>
      <w:r>
        <w:rPr/>
        <w:t>Protocol</w:t>
      </w:r>
      <w:r>
        <w:rPr>
          <w:spacing w:val="-2"/>
        </w:rPr>
        <w:t> </w:t>
      </w:r>
      <w:r>
        <w:rPr/>
        <w:t>for</w:t>
      </w:r>
      <w:r>
        <w:rPr>
          <w:spacing w:val="-3"/>
        </w:rPr>
        <w:t> </w:t>
      </w:r>
      <w:r>
        <w:rPr/>
        <w:t>Assessment</w:t>
      </w:r>
      <w:r>
        <w:rPr>
          <w:spacing w:val="-2"/>
        </w:rPr>
        <w:t> </w:t>
      </w:r>
      <w:r>
        <w:rPr/>
        <w:t>of</w:t>
      </w:r>
      <w:r>
        <w:rPr>
          <w:spacing w:val="-3"/>
        </w:rPr>
        <w:t> </w:t>
      </w:r>
      <w:r>
        <w:rPr/>
        <w:t>Beneficiary</w:t>
      </w:r>
      <w:r>
        <w:rPr>
          <w:spacing w:val="-7"/>
        </w:rPr>
        <w:t> </w:t>
      </w:r>
      <w:r>
        <w:rPr/>
        <w:t>Eligibility</w:t>
      </w:r>
      <w:r>
        <w:rPr>
          <w:spacing w:val="-7"/>
        </w:rPr>
        <w:t> </w:t>
      </w:r>
      <w:r>
        <w:rPr/>
        <w:t>and</w:t>
      </w:r>
      <w:r>
        <w:rPr>
          <w:spacing w:val="-2"/>
        </w:rPr>
        <w:t> </w:t>
      </w:r>
      <w:r>
        <w:rPr/>
        <w:t>Needs, Infrastructure Planning, and Provider Qualifications for HRSN services; however, as applicable, the information provided in the two deliverables must be aligned and</w:t>
      </w:r>
      <w:r>
        <w:rPr>
          <w:spacing w:val="40"/>
        </w:rPr>
        <w:t> </w:t>
      </w:r>
      <w:r>
        <w:rPr/>
        <w:t>consistent with one another.</w:t>
      </w:r>
    </w:p>
    <w:p>
      <w:pPr>
        <w:pStyle w:val="BodyText"/>
        <w:spacing w:before="10"/>
        <w:rPr>
          <w:sz w:val="20"/>
        </w:rPr>
      </w:pPr>
    </w:p>
    <w:p>
      <w:pPr>
        <w:pStyle w:val="BodyText"/>
        <w:ind w:left="871"/>
      </w:pPr>
      <w:bookmarkStart w:name="The Implementation Plan must include inf" w:id="879"/>
      <w:bookmarkEnd w:id="879"/>
      <w:r>
        <w:rPr/>
      </w:r>
      <w:r>
        <w:rPr/>
        <w:t>The</w:t>
      </w:r>
      <w:r>
        <w:rPr>
          <w:spacing w:val="-1"/>
        </w:rPr>
        <w:t> </w:t>
      </w:r>
      <w:r>
        <w:rPr/>
        <w:t>Implementation</w:t>
      </w:r>
      <w:r>
        <w:rPr>
          <w:spacing w:val="-1"/>
        </w:rPr>
        <w:t> </w:t>
      </w:r>
      <w:r>
        <w:rPr/>
        <w:t>Plan</w:t>
      </w:r>
      <w:r>
        <w:rPr>
          <w:spacing w:val="-2"/>
        </w:rPr>
        <w:t> </w:t>
      </w:r>
      <w:r>
        <w:rPr/>
        <w:t>must</w:t>
      </w:r>
      <w:r>
        <w:rPr>
          <w:spacing w:val="-1"/>
        </w:rPr>
        <w:t> </w:t>
      </w:r>
      <w:r>
        <w:rPr/>
        <w:t>include</w:t>
      </w:r>
      <w:r>
        <w:rPr>
          <w:spacing w:val="-3"/>
        </w:rPr>
        <w:t> </w:t>
      </w:r>
      <w:r>
        <w:rPr/>
        <w:t>information</w:t>
      </w:r>
      <w:r>
        <w:rPr>
          <w:spacing w:val="-1"/>
        </w:rPr>
        <w:t> </w:t>
      </w:r>
      <w:r>
        <w:rPr/>
        <w:t>on,</w:t>
      </w:r>
      <w:r>
        <w:rPr>
          <w:spacing w:val="-1"/>
        </w:rPr>
        <w:t> </w:t>
      </w:r>
      <w:r>
        <w:rPr/>
        <w:t>but</w:t>
      </w:r>
      <w:r>
        <w:rPr>
          <w:spacing w:val="-2"/>
        </w:rPr>
        <w:t> </w:t>
      </w:r>
      <w:r>
        <w:rPr/>
        <w:t>not</w:t>
      </w:r>
      <w:r>
        <w:rPr>
          <w:spacing w:val="-1"/>
        </w:rPr>
        <w:t> </w:t>
      </w:r>
      <w:r>
        <w:rPr/>
        <w:t>limited</w:t>
      </w:r>
      <w:r>
        <w:rPr>
          <w:spacing w:val="-2"/>
        </w:rPr>
        <w:t> </w:t>
      </w:r>
      <w:r>
        <w:rPr/>
        <w:t>to,</w:t>
      </w:r>
      <w:r>
        <w:rPr>
          <w:spacing w:val="-1"/>
        </w:rPr>
        <w:t> </w:t>
      </w:r>
      <w:r>
        <w:rPr/>
        <w:t>the</w:t>
      </w:r>
      <w:r>
        <w:rPr>
          <w:spacing w:val="-2"/>
        </w:rPr>
        <w:t> following:</w:t>
      </w:r>
    </w:p>
    <w:p>
      <w:pPr>
        <w:pStyle w:val="BodyText"/>
        <w:spacing w:before="10"/>
        <w:rPr>
          <w:sz w:val="20"/>
        </w:rPr>
      </w:pPr>
    </w:p>
    <w:p>
      <w:pPr>
        <w:pStyle w:val="BodyText"/>
        <w:ind w:left="1411" w:right="1059"/>
      </w:pPr>
      <w:r>
        <w:rPr/>
        <w:drawing>
          <wp:anchor distT="0" distB="0" distL="0" distR="0" allowOverlap="1" layoutInCell="1" locked="0" behindDoc="0" simplePos="0" relativeHeight="16031232">
            <wp:simplePos x="0" y="0"/>
            <wp:positionH relativeFrom="page">
              <wp:posOffset>1431036</wp:posOffset>
            </wp:positionH>
            <wp:positionV relativeFrom="paragraph">
              <wp:posOffset>67603</wp:posOffset>
            </wp:positionV>
            <wp:extent cx="96011" cy="80771"/>
            <wp:effectExtent l="0" t="0" r="0" b="0"/>
            <wp:wrapNone/>
            <wp:docPr id="602" name="Image 602"/>
            <wp:cNvGraphicFramePr>
              <a:graphicFrameLocks/>
            </wp:cNvGraphicFramePr>
            <a:graphic>
              <a:graphicData uri="http://schemas.openxmlformats.org/drawingml/2006/picture">
                <pic:pic>
                  <pic:nvPicPr>
                    <pic:cNvPr id="602" name="Image 602"/>
                    <pic:cNvPicPr/>
                  </pic:nvPicPr>
                  <pic:blipFill>
                    <a:blip r:embed="rId29" cstate="print"/>
                    <a:stretch>
                      <a:fillRect/>
                    </a:stretch>
                  </pic:blipFill>
                  <pic:spPr>
                    <a:xfrm>
                      <a:off x="0" y="0"/>
                      <a:ext cx="96011" cy="80771"/>
                    </a:xfrm>
                    <a:prstGeom prst="rect">
                      <a:avLst/>
                    </a:prstGeom>
                  </pic:spPr>
                </pic:pic>
              </a:graphicData>
            </a:graphic>
          </wp:anchor>
        </w:drawing>
      </w:r>
      <w:bookmarkStart w:name="a. To the extent the information is not " w:id="880"/>
      <w:bookmarkEnd w:id="880"/>
      <w:r>
        <w:rPr/>
      </w:r>
      <w:r>
        <w:rPr/>
        <w:t>To</w:t>
      </w:r>
      <w:r>
        <w:rPr>
          <w:spacing w:val="-3"/>
        </w:rPr>
        <w:t> </w:t>
      </w:r>
      <w:r>
        <w:rPr/>
        <w:t>the</w:t>
      </w:r>
      <w:r>
        <w:rPr>
          <w:spacing w:val="-4"/>
        </w:rPr>
        <w:t> </w:t>
      </w:r>
      <w:r>
        <w:rPr/>
        <w:t>extent</w:t>
      </w:r>
      <w:r>
        <w:rPr>
          <w:spacing w:val="-3"/>
        </w:rPr>
        <w:t> </w:t>
      </w:r>
      <w:r>
        <w:rPr/>
        <w:t>the</w:t>
      </w:r>
      <w:r>
        <w:rPr>
          <w:spacing w:val="-4"/>
        </w:rPr>
        <w:t> </w:t>
      </w:r>
      <w:r>
        <w:rPr/>
        <w:t>information</w:t>
      </w:r>
      <w:r>
        <w:rPr>
          <w:spacing w:val="-3"/>
        </w:rPr>
        <w:t> </w:t>
      </w:r>
      <w:r>
        <w:rPr/>
        <w:t>is</w:t>
      </w:r>
      <w:r>
        <w:rPr>
          <w:spacing w:val="-3"/>
        </w:rPr>
        <w:t> </w:t>
      </w:r>
      <w:r>
        <w:rPr/>
        <w:t>not</w:t>
      </w:r>
      <w:r>
        <w:rPr>
          <w:spacing w:val="-3"/>
        </w:rPr>
        <w:t> </w:t>
      </w:r>
      <w:r>
        <w:rPr/>
        <w:t>already</w:t>
      </w:r>
      <w:r>
        <w:rPr>
          <w:spacing w:val="-8"/>
        </w:rPr>
        <w:t> </w:t>
      </w:r>
      <w:r>
        <w:rPr/>
        <w:t>provided</w:t>
      </w:r>
      <w:r>
        <w:rPr>
          <w:spacing w:val="-3"/>
        </w:rPr>
        <w:t> </w:t>
      </w:r>
      <w:r>
        <w:rPr/>
        <w:t>in</w:t>
      </w:r>
      <w:r>
        <w:rPr>
          <w:spacing w:val="-3"/>
        </w:rPr>
        <w:t> </w:t>
      </w:r>
      <w:r>
        <w:rPr/>
        <w:t>the</w:t>
      </w:r>
      <w:r>
        <w:rPr>
          <w:spacing w:val="-4"/>
        </w:rPr>
        <w:t> </w:t>
      </w:r>
      <w:r>
        <w:rPr/>
        <w:t>Protocol</w:t>
      </w:r>
      <w:r>
        <w:rPr>
          <w:spacing w:val="-3"/>
        </w:rPr>
        <w:t> </w:t>
      </w:r>
      <w:r>
        <w:rPr/>
        <w:t>for</w:t>
      </w:r>
      <w:r>
        <w:rPr>
          <w:spacing w:val="-4"/>
        </w:rPr>
        <w:t> </w:t>
      </w:r>
      <w:r>
        <w:rPr/>
        <w:t>Assessment of Beneficiary Eligibility and Needs, Infrastructure Planning, and Provider Qualifications (per STC 9.6), the Implementation Plan must add any outstanding details or updates on:</w:t>
      </w:r>
    </w:p>
    <w:p>
      <w:pPr>
        <w:pStyle w:val="BodyText"/>
        <w:spacing w:before="10"/>
        <w:rPr>
          <w:sz w:val="20"/>
        </w:rPr>
      </w:pPr>
    </w:p>
    <w:p>
      <w:pPr>
        <w:pStyle w:val="BodyText"/>
        <w:ind w:left="2039" w:right="1059" w:firstLine="60"/>
      </w:pPr>
      <w:r>
        <w:rPr/>
        <w:drawing>
          <wp:anchor distT="0" distB="0" distL="0" distR="0" allowOverlap="1" layoutInCell="1" locked="0" behindDoc="0" simplePos="0" relativeHeight="16031744">
            <wp:simplePos x="0" y="0"/>
            <wp:positionH relativeFrom="page">
              <wp:posOffset>1862327</wp:posOffset>
            </wp:positionH>
            <wp:positionV relativeFrom="paragraph">
              <wp:posOffset>32551</wp:posOffset>
            </wp:positionV>
            <wp:extent cx="73151" cy="115823"/>
            <wp:effectExtent l="0" t="0" r="0" b="0"/>
            <wp:wrapNone/>
            <wp:docPr id="603" name="Image 603"/>
            <wp:cNvGraphicFramePr>
              <a:graphicFrameLocks/>
            </wp:cNvGraphicFramePr>
            <a:graphic>
              <a:graphicData uri="http://schemas.openxmlformats.org/drawingml/2006/picture">
                <pic:pic>
                  <pic:nvPicPr>
                    <pic:cNvPr id="603" name="Image 603"/>
                    <pic:cNvPicPr/>
                  </pic:nvPicPr>
                  <pic:blipFill>
                    <a:blip r:embed="rId61" cstate="print"/>
                    <a:stretch>
                      <a:fillRect/>
                    </a:stretch>
                  </pic:blipFill>
                  <pic:spPr>
                    <a:xfrm>
                      <a:off x="0" y="0"/>
                      <a:ext cx="73151" cy="115823"/>
                    </a:xfrm>
                    <a:prstGeom prst="rect">
                      <a:avLst/>
                    </a:prstGeom>
                  </pic:spPr>
                </pic:pic>
              </a:graphicData>
            </a:graphic>
          </wp:anchor>
        </w:drawing>
      </w:r>
      <w:bookmarkStart w:name="i.  Process for identifying beneficiarie" w:id="881"/>
      <w:bookmarkEnd w:id="881"/>
      <w:r>
        <w:rPr/>
      </w:r>
      <w:r>
        <w:rPr/>
        <w:t>Process for identifying beneficiaries with health-related social needs, including</w:t>
      </w:r>
      <w:r>
        <w:rPr>
          <w:spacing w:val="-8"/>
        </w:rPr>
        <w:t> </w:t>
      </w:r>
      <w:r>
        <w:rPr/>
        <w:t>outlining</w:t>
      </w:r>
      <w:r>
        <w:rPr>
          <w:spacing w:val="-8"/>
        </w:rPr>
        <w:t> </w:t>
      </w:r>
      <w:r>
        <w:rPr/>
        <w:t>beneficiary</w:t>
      </w:r>
      <w:r>
        <w:rPr>
          <w:spacing w:val="-9"/>
        </w:rPr>
        <w:t> </w:t>
      </w:r>
      <w:r>
        <w:rPr/>
        <w:t>eligibility,</w:t>
      </w:r>
      <w:r>
        <w:rPr>
          <w:spacing w:val="-5"/>
        </w:rPr>
        <w:t> </w:t>
      </w:r>
      <w:r>
        <w:rPr/>
        <w:t>implementation</w:t>
      </w:r>
      <w:r>
        <w:rPr>
          <w:spacing w:val="-5"/>
        </w:rPr>
        <w:t> </w:t>
      </w:r>
      <w:r>
        <w:rPr/>
        <w:t>settings,</w:t>
      </w:r>
      <w:r>
        <w:rPr>
          <w:spacing w:val="-5"/>
        </w:rPr>
        <w:t> </w:t>
      </w:r>
      <w:r>
        <w:rPr/>
        <w:t>screening tool selection, and rescreening approach and frequency, as applicable.</w:t>
      </w:r>
    </w:p>
    <w:p>
      <w:pPr>
        <w:pStyle w:val="BodyText"/>
        <w:spacing w:before="159"/>
        <w:ind w:left="2040" w:right="1141"/>
      </w:pPr>
      <w:r>
        <w:rPr/>
        <w:drawing>
          <wp:anchor distT="0" distB="0" distL="0" distR="0" allowOverlap="1" layoutInCell="1" locked="0" behindDoc="0" simplePos="0" relativeHeight="16032256">
            <wp:simplePos x="0" y="0"/>
            <wp:positionH relativeFrom="page">
              <wp:posOffset>1819655</wp:posOffset>
            </wp:positionH>
            <wp:positionV relativeFrom="paragraph">
              <wp:posOffset>133516</wp:posOffset>
            </wp:positionV>
            <wp:extent cx="115823" cy="115823"/>
            <wp:effectExtent l="0" t="0" r="0" b="0"/>
            <wp:wrapNone/>
            <wp:docPr id="604" name="Image 604"/>
            <wp:cNvGraphicFramePr>
              <a:graphicFrameLocks/>
            </wp:cNvGraphicFramePr>
            <a:graphic>
              <a:graphicData uri="http://schemas.openxmlformats.org/drawingml/2006/picture">
                <pic:pic>
                  <pic:nvPicPr>
                    <pic:cNvPr id="604" name="Image 604"/>
                    <pic:cNvPicPr/>
                  </pic:nvPicPr>
                  <pic:blipFill>
                    <a:blip r:embed="rId62" cstate="print"/>
                    <a:stretch>
                      <a:fillRect/>
                    </a:stretch>
                  </pic:blipFill>
                  <pic:spPr>
                    <a:xfrm>
                      <a:off x="0" y="0"/>
                      <a:ext cx="115823" cy="115823"/>
                    </a:xfrm>
                    <a:prstGeom prst="rect">
                      <a:avLst/>
                    </a:prstGeom>
                  </pic:spPr>
                </pic:pic>
              </a:graphicData>
            </a:graphic>
          </wp:anchor>
        </w:drawing>
      </w:r>
      <w:bookmarkStart w:name="ii. Process by which clinical criteria w" w:id="882"/>
      <w:bookmarkEnd w:id="882"/>
      <w:r>
        <w:rPr/>
      </w:r>
      <w:r>
        <w:rPr/>
        <w:t>Process</w:t>
      </w:r>
      <w:r>
        <w:rPr>
          <w:spacing w:val="-3"/>
        </w:rPr>
        <w:t> </w:t>
      </w:r>
      <w:r>
        <w:rPr/>
        <w:t>by</w:t>
      </w:r>
      <w:r>
        <w:rPr>
          <w:spacing w:val="-8"/>
        </w:rPr>
        <w:t> </w:t>
      </w:r>
      <w:r>
        <w:rPr/>
        <w:t>which</w:t>
      </w:r>
      <w:r>
        <w:rPr>
          <w:spacing w:val="-3"/>
        </w:rPr>
        <w:t> </w:t>
      </w:r>
      <w:r>
        <w:rPr/>
        <w:t>clinical</w:t>
      </w:r>
      <w:r>
        <w:rPr>
          <w:spacing w:val="-1"/>
        </w:rPr>
        <w:t> </w:t>
      </w:r>
      <w:r>
        <w:rPr/>
        <w:t>criteria</w:t>
      </w:r>
      <w:r>
        <w:rPr>
          <w:spacing w:val="-4"/>
        </w:rPr>
        <w:t> </w:t>
      </w:r>
      <w:r>
        <w:rPr/>
        <w:t>will</w:t>
      </w:r>
      <w:r>
        <w:rPr>
          <w:spacing w:val="-3"/>
        </w:rPr>
        <w:t> </w:t>
      </w:r>
      <w:r>
        <w:rPr/>
        <w:t>be</w:t>
      </w:r>
      <w:r>
        <w:rPr>
          <w:spacing w:val="-4"/>
        </w:rPr>
        <w:t> </w:t>
      </w:r>
      <w:r>
        <w:rPr/>
        <w:t>applied,</w:t>
      </w:r>
      <w:r>
        <w:rPr>
          <w:spacing w:val="-3"/>
        </w:rPr>
        <w:t> </w:t>
      </w:r>
      <w:r>
        <w:rPr/>
        <w:t>including</w:t>
      </w:r>
      <w:r>
        <w:rPr>
          <w:spacing w:val="-6"/>
        </w:rPr>
        <w:t> </w:t>
      </w:r>
      <w:r>
        <w:rPr/>
        <w:t>a</w:t>
      </w:r>
      <w:r>
        <w:rPr>
          <w:spacing w:val="-4"/>
        </w:rPr>
        <w:t> </w:t>
      </w:r>
      <w:r>
        <w:rPr/>
        <w:t>description</w:t>
      </w:r>
      <w:r>
        <w:rPr>
          <w:spacing w:val="-3"/>
        </w:rPr>
        <w:t> </w:t>
      </w:r>
      <w:r>
        <w:rPr/>
        <w:t>of the documented process wherein a provider, using their professional judgment, may deem the service to be medically appropriate.</w:t>
      </w:r>
    </w:p>
    <w:p>
      <w:pPr>
        <w:pStyle w:val="ListParagraph"/>
        <w:numPr>
          <w:ilvl w:val="0"/>
          <w:numId w:val="45"/>
        </w:numPr>
        <w:tabs>
          <w:tab w:pos="2851" w:val="left" w:leader="none"/>
        </w:tabs>
        <w:spacing w:line="240" w:lineRule="auto" w:before="161" w:after="0"/>
        <w:ind w:left="2851" w:right="1249" w:hanging="360"/>
        <w:jc w:val="left"/>
        <w:rPr>
          <w:sz w:val="24"/>
        </w:rPr>
      </w:pPr>
      <w:bookmarkStart w:name="1. Plan to identify specific diagnosis o" w:id="883"/>
      <w:bookmarkEnd w:id="883"/>
      <w:r>
        <w:rPr/>
      </w:r>
      <w:r>
        <w:rPr>
          <w:sz w:val="24"/>
        </w:rPr>
        <w:t>Plan</w:t>
      </w:r>
      <w:r>
        <w:rPr>
          <w:spacing w:val="-4"/>
          <w:sz w:val="24"/>
        </w:rPr>
        <w:t> </w:t>
      </w:r>
      <w:r>
        <w:rPr>
          <w:sz w:val="24"/>
        </w:rPr>
        <w:t>to</w:t>
      </w:r>
      <w:r>
        <w:rPr>
          <w:spacing w:val="-4"/>
          <w:sz w:val="24"/>
        </w:rPr>
        <w:t> </w:t>
      </w:r>
      <w:r>
        <w:rPr>
          <w:sz w:val="24"/>
        </w:rPr>
        <w:t>identify</w:t>
      </w:r>
      <w:r>
        <w:rPr>
          <w:spacing w:val="-9"/>
          <w:sz w:val="24"/>
        </w:rPr>
        <w:t> </w:t>
      </w:r>
      <w:r>
        <w:rPr>
          <w:sz w:val="24"/>
        </w:rPr>
        <w:t>specific</w:t>
      </w:r>
      <w:r>
        <w:rPr>
          <w:spacing w:val="-3"/>
          <w:sz w:val="24"/>
        </w:rPr>
        <w:t> </w:t>
      </w:r>
      <w:r>
        <w:rPr>
          <w:sz w:val="24"/>
        </w:rPr>
        <w:t>diagnosis</w:t>
      </w:r>
      <w:r>
        <w:rPr>
          <w:spacing w:val="-4"/>
          <w:sz w:val="24"/>
        </w:rPr>
        <w:t> </w:t>
      </w:r>
      <w:r>
        <w:rPr>
          <w:sz w:val="24"/>
        </w:rPr>
        <w:t>or</w:t>
      </w:r>
      <w:r>
        <w:rPr>
          <w:spacing w:val="-5"/>
          <w:sz w:val="24"/>
        </w:rPr>
        <w:t> </w:t>
      </w:r>
      <w:r>
        <w:rPr>
          <w:sz w:val="24"/>
        </w:rPr>
        <w:t>procedure</w:t>
      </w:r>
      <w:r>
        <w:rPr>
          <w:spacing w:val="-5"/>
          <w:sz w:val="24"/>
        </w:rPr>
        <w:t> </w:t>
      </w:r>
      <w:r>
        <w:rPr>
          <w:sz w:val="24"/>
        </w:rPr>
        <w:t>codes</w:t>
      </w:r>
      <w:r>
        <w:rPr>
          <w:spacing w:val="-4"/>
          <w:sz w:val="24"/>
        </w:rPr>
        <w:t> </w:t>
      </w:r>
      <w:r>
        <w:rPr>
          <w:sz w:val="24"/>
        </w:rPr>
        <w:t>(e.g.,</w:t>
      </w:r>
      <w:r>
        <w:rPr>
          <w:spacing w:val="-2"/>
          <w:sz w:val="24"/>
        </w:rPr>
        <w:t> </w:t>
      </w:r>
      <w:r>
        <w:rPr>
          <w:sz w:val="24"/>
        </w:rPr>
        <w:t>ICD-10, CPT, HCPCS codes) that the Commonwealth will use to operationalize the criteria;</w:t>
      </w:r>
    </w:p>
    <w:p>
      <w:pPr>
        <w:pStyle w:val="ListParagraph"/>
        <w:numPr>
          <w:ilvl w:val="0"/>
          <w:numId w:val="45"/>
        </w:numPr>
        <w:tabs>
          <w:tab w:pos="2851" w:val="left" w:leader="none"/>
        </w:tabs>
        <w:spacing w:line="240" w:lineRule="auto" w:before="120" w:after="0"/>
        <w:ind w:left="2851" w:right="1329" w:hanging="360"/>
        <w:jc w:val="left"/>
        <w:rPr>
          <w:sz w:val="24"/>
        </w:rPr>
      </w:pPr>
      <w:bookmarkStart w:name="2. Plan to publicly maintain these clini" w:id="884"/>
      <w:bookmarkEnd w:id="884"/>
      <w:r>
        <w:rPr/>
      </w:r>
      <w:r>
        <w:rPr>
          <w:sz w:val="24"/>
        </w:rPr>
        <w:t>Plan</w:t>
      </w:r>
      <w:r>
        <w:rPr>
          <w:spacing w:val="-4"/>
          <w:sz w:val="24"/>
        </w:rPr>
        <w:t> </w:t>
      </w:r>
      <w:r>
        <w:rPr>
          <w:sz w:val="24"/>
        </w:rPr>
        <w:t>to</w:t>
      </w:r>
      <w:r>
        <w:rPr>
          <w:spacing w:val="-4"/>
          <w:sz w:val="24"/>
        </w:rPr>
        <w:t> </w:t>
      </w:r>
      <w:r>
        <w:rPr>
          <w:sz w:val="24"/>
        </w:rPr>
        <w:t>publicly</w:t>
      </w:r>
      <w:r>
        <w:rPr>
          <w:spacing w:val="-11"/>
          <w:sz w:val="24"/>
        </w:rPr>
        <w:t> </w:t>
      </w:r>
      <w:r>
        <w:rPr>
          <w:sz w:val="24"/>
        </w:rPr>
        <w:t>maintain</w:t>
      </w:r>
      <w:r>
        <w:rPr>
          <w:spacing w:val="-4"/>
          <w:sz w:val="24"/>
        </w:rPr>
        <w:t> </w:t>
      </w:r>
      <w:r>
        <w:rPr>
          <w:sz w:val="24"/>
        </w:rPr>
        <w:t>these</w:t>
      </w:r>
      <w:r>
        <w:rPr>
          <w:spacing w:val="-5"/>
          <w:sz w:val="24"/>
        </w:rPr>
        <w:t> </w:t>
      </w:r>
      <w:r>
        <w:rPr>
          <w:sz w:val="24"/>
        </w:rPr>
        <w:t>clinical/social</w:t>
      </w:r>
      <w:r>
        <w:rPr>
          <w:spacing w:val="-4"/>
          <w:sz w:val="24"/>
        </w:rPr>
        <w:t> </w:t>
      </w:r>
      <w:r>
        <w:rPr>
          <w:sz w:val="24"/>
        </w:rPr>
        <w:t>risk</w:t>
      </w:r>
      <w:r>
        <w:rPr>
          <w:spacing w:val="-2"/>
          <w:sz w:val="24"/>
        </w:rPr>
        <w:t> </w:t>
      </w:r>
      <w:r>
        <w:rPr>
          <w:sz w:val="24"/>
        </w:rPr>
        <w:t>criteria</w:t>
      </w:r>
      <w:r>
        <w:rPr>
          <w:spacing w:val="-5"/>
          <w:sz w:val="24"/>
        </w:rPr>
        <w:t> </w:t>
      </w:r>
      <w:r>
        <w:rPr>
          <w:sz w:val="24"/>
        </w:rPr>
        <w:t>to</w:t>
      </w:r>
      <w:r>
        <w:rPr>
          <w:spacing w:val="-4"/>
          <w:sz w:val="24"/>
        </w:rPr>
        <w:t> </w:t>
      </w:r>
      <w:r>
        <w:rPr>
          <w:sz w:val="24"/>
        </w:rPr>
        <w:t>ensure transparency for beneficiaries and other stakeholders;</w:t>
      </w:r>
    </w:p>
    <w:p>
      <w:pPr>
        <w:pStyle w:val="BodyText"/>
        <w:spacing w:before="199"/>
        <w:ind w:left="1411"/>
      </w:pPr>
      <w:r>
        <w:rPr/>
        <w:drawing>
          <wp:anchor distT="0" distB="0" distL="0" distR="0" allowOverlap="1" layoutInCell="1" locked="0" behindDoc="0" simplePos="0" relativeHeight="16032768">
            <wp:simplePos x="0" y="0"/>
            <wp:positionH relativeFrom="page">
              <wp:posOffset>1424939</wp:posOffset>
            </wp:positionH>
            <wp:positionV relativeFrom="paragraph">
              <wp:posOffset>158916</wp:posOffset>
            </wp:positionV>
            <wp:extent cx="111251" cy="115823"/>
            <wp:effectExtent l="0" t="0" r="0" b="0"/>
            <wp:wrapNone/>
            <wp:docPr id="605" name="Image 605"/>
            <wp:cNvGraphicFramePr>
              <a:graphicFrameLocks/>
            </wp:cNvGraphicFramePr>
            <a:graphic>
              <a:graphicData uri="http://schemas.openxmlformats.org/drawingml/2006/picture">
                <pic:pic>
                  <pic:nvPicPr>
                    <pic:cNvPr id="605" name="Image 605"/>
                    <pic:cNvPicPr/>
                  </pic:nvPicPr>
                  <pic:blipFill>
                    <a:blip r:embed="rId34" cstate="print"/>
                    <a:stretch>
                      <a:fillRect/>
                    </a:stretch>
                  </pic:blipFill>
                  <pic:spPr>
                    <a:xfrm>
                      <a:off x="0" y="0"/>
                      <a:ext cx="111251" cy="115823"/>
                    </a:xfrm>
                    <a:prstGeom prst="rect">
                      <a:avLst/>
                    </a:prstGeom>
                  </pic:spPr>
                </pic:pic>
              </a:graphicData>
            </a:graphic>
          </wp:anchor>
        </w:drawing>
      </w:r>
      <w:bookmarkStart w:name="b. Process for developing care plans bas" w:id="885"/>
      <w:bookmarkEnd w:id="885"/>
      <w:r>
        <w:rPr/>
      </w:r>
      <w:r>
        <w:rPr/>
        <w:t>Process</w:t>
      </w:r>
      <w:r>
        <w:rPr>
          <w:spacing w:val="-3"/>
        </w:rPr>
        <w:t> </w:t>
      </w:r>
      <w:r>
        <w:rPr/>
        <w:t>for</w:t>
      </w:r>
      <w:r>
        <w:rPr>
          <w:spacing w:val="-2"/>
        </w:rPr>
        <w:t> </w:t>
      </w:r>
      <w:r>
        <w:rPr/>
        <w:t>developing</w:t>
      </w:r>
      <w:r>
        <w:rPr>
          <w:spacing w:val="-3"/>
        </w:rPr>
        <w:t> </w:t>
      </w:r>
      <w:r>
        <w:rPr/>
        <w:t>care</w:t>
      </w:r>
      <w:r>
        <w:rPr>
          <w:spacing w:val="-2"/>
        </w:rPr>
        <w:t> </w:t>
      </w:r>
      <w:r>
        <w:rPr/>
        <w:t>plans</w:t>
      </w:r>
      <w:r>
        <w:rPr>
          <w:spacing w:val="-1"/>
        </w:rPr>
        <w:t> </w:t>
      </w:r>
      <w:r>
        <w:rPr/>
        <w:t>based on</w:t>
      </w:r>
      <w:r>
        <w:rPr>
          <w:spacing w:val="-1"/>
        </w:rPr>
        <w:t> </w:t>
      </w:r>
      <w:r>
        <w:rPr/>
        <w:t>assessment</w:t>
      </w:r>
      <w:r>
        <w:rPr>
          <w:spacing w:val="-1"/>
        </w:rPr>
        <w:t> </w:t>
      </w:r>
      <w:r>
        <w:rPr/>
        <w:t>of</w:t>
      </w:r>
      <w:r>
        <w:rPr>
          <w:spacing w:val="-1"/>
        </w:rPr>
        <w:t> </w:t>
      </w:r>
      <w:r>
        <w:rPr>
          <w:spacing w:val="-2"/>
        </w:rPr>
        <w:t>need:</w:t>
      </w:r>
    </w:p>
    <w:p>
      <w:pPr>
        <w:pStyle w:val="BodyText"/>
        <w:spacing w:before="10"/>
        <w:rPr>
          <w:sz w:val="20"/>
        </w:rPr>
      </w:pPr>
    </w:p>
    <w:p>
      <w:pPr>
        <w:pStyle w:val="BodyText"/>
        <w:ind w:left="2039" w:right="1041"/>
      </w:pPr>
      <w:r>
        <w:rPr/>
        <w:drawing>
          <wp:anchor distT="0" distB="0" distL="0" distR="0" allowOverlap="1" layoutInCell="1" locked="0" behindDoc="0" simplePos="0" relativeHeight="16033280">
            <wp:simplePos x="0" y="0"/>
            <wp:positionH relativeFrom="page">
              <wp:posOffset>1862327</wp:posOffset>
            </wp:positionH>
            <wp:positionV relativeFrom="paragraph">
              <wp:posOffset>32551</wp:posOffset>
            </wp:positionV>
            <wp:extent cx="73151" cy="115823"/>
            <wp:effectExtent l="0" t="0" r="0" b="0"/>
            <wp:wrapNone/>
            <wp:docPr id="606" name="Image 606"/>
            <wp:cNvGraphicFramePr>
              <a:graphicFrameLocks/>
            </wp:cNvGraphicFramePr>
            <a:graphic>
              <a:graphicData uri="http://schemas.openxmlformats.org/drawingml/2006/picture">
                <pic:pic>
                  <pic:nvPicPr>
                    <pic:cNvPr id="606" name="Image 606"/>
                    <pic:cNvPicPr/>
                  </pic:nvPicPr>
                  <pic:blipFill>
                    <a:blip r:embed="rId61" cstate="print"/>
                    <a:stretch>
                      <a:fillRect/>
                    </a:stretch>
                  </pic:blipFill>
                  <pic:spPr>
                    <a:xfrm>
                      <a:off x="0" y="0"/>
                      <a:ext cx="73151" cy="115823"/>
                    </a:xfrm>
                    <a:prstGeom prst="rect">
                      <a:avLst/>
                    </a:prstGeom>
                  </pic:spPr>
                </pic:pic>
              </a:graphicData>
            </a:graphic>
          </wp:anchor>
        </w:drawing>
      </w:r>
      <w:bookmarkStart w:name="i. Plan to initiate care plans and refer" w:id="886"/>
      <w:bookmarkEnd w:id="886"/>
      <w:r>
        <w:rPr/>
      </w:r>
      <w:r>
        <w:rPr/>
        <w:t>Plan</w:t>
      </w:r>
      <w:r>
        <w:rPr>
          <w:spacing w:val="-3"/>
        </w:rPr>
        <w:t> </w:t>
      </w:r>
      <w:r>
        <w:rPr/>
        <w:t>to</w:t>
      </w:r>
      <w:r>
        <w:rPr>
          <w:spacing w:val="-3"/>
        </w:rPr>
        <w:t> </w:t>
      </w:r>
      <w:r>
        <w:rPr/>
        <w:t>initiate</w:t>
      </w:r>
      <w:r>
        <w:rPr>
          <w:spacing w:val="-4"/>
        </w:rPr>
        <w:t> </w:t>
      </w:r>
      <w:r>
        <w:rPr/>
        <w:t>care</w:t>
      </w:r>
      <w:r>
        <w:rPr>
          <w:spacing w:val="-4"/>
        </w:rPr>
        <w:t> </w:t>
      </w:r>
      <w:r>
        <w:rPr/>
        <w:t>plans</w:t>
      </w:r>
      <w:r>
        <w:rPr>
          <w:spacing w:val="-1"/>
        </w:rPr>
        <w:t> </w:t>
      </w:r>
      <w:r>
        <w:rPr/>
        <w:t>and</w:t>
      </w:r>
      <w:r>
        <w:rPr>
          <w:spacing w:val="-4"/>
        </w:rPr>
        <w:t> </w:t>
      </w:r>
      <w:r>
        <w:rPr/>
        <w:t>referrals</w:t>
      </w:r>
      <w:r>
        <w:rPr>
          <w:spacing w:val="-3"/>
        </w:rPr>
        <w:t> </w:t>
      </w:r>
      <w:r>
        <w:rPr/>
        <w:t>(with</w:t>
      </w:r>
      <w:r>
        <w:rPr>
          <w:spacing w:val="-3"/>
        </w:rPr>
        <w:t> </w:t>
      </w:r>
      <w:r>
        <w:rPr/>
        <w:t>feedback</w:t>
      </w:r>
      <w:r>
        <w:rPr>
          <w:spacing w:val="-3"/>
        </w:rPr>
        <w:t> </w:t>
      </w:r>
      <w:r>
        <w:rPr/>
        <w:t>to</w:t>
      </w:r>
      <w:r>
        <w:rPr>
          <w:spacing w:val="-3"/>
        </w:rPr>
        <w:t> </w:t>
      </w:r>
      <w:r>
        <w:rPr/>
        <w:t>the</w:t>
      </w:r>
      <w:r>
        <w:rPr>
          <w:spacing w:val="-4"/>
        </w:rPr>
        <w:t> </w:t>
      </w:r>
      <w:r>
        <w:rPr/>
        <w:t>referring</w:t>
      </w:r>
      <w:r>
        <w:rPr>
          <w:spacing w:val="-6"/>
        </w:rPr>
        <w:t> </w:t>
      </w:r>
      <w:r>
        <w:rPr/>
        <w:t>provider or entity that the referral has been completed and information about any referred services furnished) to social services and community providers based on outcomes of the screening.</w:t>
      </w:r>
    </w:p>
    <w:p>
      <w:pPr>
        <w:spacing w:after="0"/>
        <w:sectPr>
          <w:pgSz w:w="12240" w:h="15840"/>
          <w:pgMar w:header="0" w:footer="1201" w:top="1360" w:bottom="1400" w:left="1200" w:right="400"/>
        </w:sectPr>
      </w:pPr>
    </w:p>
    <w:p>
      <w:pPr>
        <w:pStyle w:val="BodyText"/>
        <w:spacing w:before="79"/>
        <w:ind w:left="2040" w:right="1049"/>
      </w:pPr>
      <w:r>
        <w:rPr/>
        <w:drawing>
          <wp:anchor distT="0" distB="0" distL="0" distR="0" allowOverlap="1" layoutInCell="1" locked="0" behindDoc="0" simplePos="0" relativeHeight="16033792">
            <wp:simplePos x="0" y="0"/>
            <wp:positionH relativeFrom="page">
              <wp:posOffset>1819655</wp:posOffset>
            </wp:positionH>
            <wp:positionV relativeFrom="paragraph">
              <wp:posOffset>82717</wp:posOffset>
            </wp:positionV>
            <wp:extent cx="115823" cy="115823"/>
            <wp:effectExtent l="0" t="0" r="0" b="0"/>
            <wp:wrapNone/>
            <wp:docPr id="607" name="Image 607"/>
            <wp:cNvGraphicFramePr>
              <a:graphicFrameLocks/>
            </wp:cNvGraphicFramePr>
            <a:graphic>
              <a:graphicData uri="http://schemas.openxmlformats.org/drawingml/2006/picture">
                <pic:pic>
                  <pic:nvPicPr>
                    <pic:cNvPr id="607" name="Image 607"/>
                    <pic:cNvPicPr/>
                  </pic:nvPicPr>
                  <pic:blipFill>
                    <a:blip r:embed="rId62" cstate="print"/>
                    <a:stretch>
                      <a:fillRect/>
                    </a:stretch>
                  </pic:blipFill>
                  <pic:spPr>
                    <a:xfrm>
                      <a:off x="0" y="0"/>
                      <a:ext cx="115823" cy="115823"/>
                    </a:xfrm>
                    <a:prstGeom prst="rect">
                      <a:avLst/>
                    </a:prstGeom>
                  </pic:spPr>
                </pic:pic>
              </a:graphicData>
            </a:graphic>
          </wp:anchor>
        </w:drawing>
      </w:r>
      <w:bookmarkStart w:name="ii. Information about (1) how and on wha" w:id="887"/>
      <w:bookmarkEnd w:id="887"/>
      <w:r>
        <w:rPr/>
      </w:r>
      <w:r>
        <w:rPr/>
        <w:t>Information</w:t>
      </w:r>
      <w:r>
        <w:rPr>
          <w:spacing w:val="-3"/>
        </w:rPr>
        <w:t> </w:t>
      </w:r>
      <w:r>
        <w:rPr/>
        <w:t>about</w:t>
      </w:r>
      <w:r>
        <w:rPr>
          <w:spacing w:val="-3"/>
        </w:rPr>
        <w:t> </w:t>
      </w:r>
      <w:r>
        <w:rPr/>
        <w:t>(1)</w:t>
      </w:r>
      <w:r>
        <w:rPr>
          <w:spacing w:val="-4"/>
        </w:rPr>
        <w:t> </w:t>
      </w:r>
      <w:r>
        <w:rPr/>
        <w:t>how</w:t>
      </w:r>
      <w:r>
        <w:rPr>
          <w:spacing w:val="-4"/>
        </w:rPr>
        <w:t> </w:t>
      </w:r>
      <w:r>
        <w:rPr/>
        <w:t>and</w:t>
      </w:r>
      <w:r>
        <w:rPr>
          <w:spacing w:val="-3"/>
        </w:rPr>
        <w:t> </w:t>
      </w:r>
      <w:r>
        <w:rPr/>
        <w:t>on</w:t>
      </w:r>
      <w:r>
        <w:rPr>
          <w:spacing w:val="-3"/>
        </w:rPr>
        <w:t> </w:t>
      </w:r>
      <w:r>
        <w:rPr/>
        <w:t>what</w:t>
      </w:r>
      <w:r>
        <w:rPr>
          <w:spacing w:val="-3"/>
        </w:rPr>
        <w:t> </w:t>
      </w:r>
      <w:r>
        <w:rPr/>
        <w:t>timeline</w:t>
      </w:r>
      <w:r>
        <w:rPr>
          <w:spacing w:val="-4"/>
        </w:rPr>
        <w:t> </w:t>
      </w:r>
      <w:r>
        <w:rPr/>
        <w:t>beneficiaries</w:t>
      </w:r>
      <w:r>
        <w:rPr>
          <w:spacing w:val="-3"/>
        </w:rPr>
        <w:t> </w:t>
      </w:r>
      <w:r>
        <w:rPr/>
        <w:t>will</w:t>
      </w:r>
      <w:r>
        <w:rPr>
          <w:spacing w:val="-3"/>
        </w:rPr>
        <w:t> </w:t>
      </w:r>
      <w:r>
        <w:rPr/>
        <w:t>be</w:t>
      </w:r>
      <w:r>
        <w:rPr>
          <w:spacing w:val="-4"/>
        </w:rPr>
        <w:t> </w:t>
      </w:r>
      <w:r>
        <w:rPr/>
        <w:t>linked</w:t>
      </w:r>
      <w:r>
        <w:rPr>
          <w:spacing w:val="-3"/>
        </w:rPr>
        <w:t> </w:t>
      </w:r>
      <w:r>
        <w:rPr/>
        <w:t>to services to address unmet social needs, and (2) how and when beneficiaries will</w:t>
      </w:r>
      <w:r>
        <w:rPr>
          <w:spacing w:val="-3"/>
        </w:rPr>
        <w:t> </w:t>
      </w:r>
      <w:r>
        <w:rPr/>
        <w:t>receive</w:t>
      </w:r>
      <w:r>
        <w:rPr>
          <w:spacing w:val="-2"/>
        </w:rPr>
        <w:t> </w:t>
      </w:r>
      <w:r>
        <w:rPr/>
        <w:t>follow</w:t>
      </w:r>
      <w:r>
        <w:rPr>
          <w:spacing w:val="-4"/>
        </w:rPr>
        <w:t> </w:t>
      </w:r>
      <w:r>
        <w:rPr/>
        <w:t>up</w:t>
      </w:r>
      <w:r>
        <w:rPr>
          <w:spacing w:val="-3"/>
        </w:rPr>
        <w:t> </w:t>
      </w:r>
      <w:r>
        <w:rPr/>
        <w:t>with</w:t>
      </w:r>
      <w:r>
        <w:rPr>
          <w:spacing w:val="-4"/>
        </w:rPr>
        <w:t> </w:t>
      </w:r>
      <w:r>
        <w:rPr/>
        <w:t>a</w:t>
      </w:r>
      <w:r>
        <w:rPr>
          <w:spacing w:val="-4"/>
        </w:rPr>
        <w:t> </w:t>
      </w:r>
      <w:r>
        <w:rPr/>
        <w:t>care</w:t>
      </w:r>
      <w:r>
        <w:rPr>
          <w:spacing w:val="-4"/>
        </w:rPr>
        <w:t> </w:t>
      </w:r>
      <w:r>
        <w:rPr/>
        <w:t>plan,</w:t>
      </w:r>
      <w:r>
        <w:rPr>
          <w:spacing w:val="-3"/>
        </w:rPr>
        <w:t> </w:t>
      </w:r>
      <w:r>
        <w:rPr/>
        <w:t>through</w:t>
      </w:r>
      <w:r>
        <w:rPr>
          <w:spacing w:val="-3"/>
        </w:rPr>
        <w:t> </w:t>
      </w:r>
      <w:r>
        <w:rPr/>
        <w:t>social</w:t>
      </w:r>
      <w:r>
        <w:rPr>
          <w:spacing w:val="-3"/>
        </w:rPr>
        <w:t> </w:t>
      </w:r>
      <w:r>
        <w:rPr/>
        <w:t>needs</w:t>
      </w:r>
      <w:r>
        <w:rPr>
          <w:spacing w:val="-3"/>
        </w:rPr>
        <w:t> </w:t>
      </w:r>
      <w:r>
        <w:rPr/>
        <w:t>case</w:t>
      </w:r>
      <w:r>
        <w:rPr>
          <w:spacing w:val="-4"/>
        </w:rPr>
        <w:t> </w:t>
      </w:r>
      <w:r>
        <w:rPr/>
        <w:t>management or alternative approaches, as applicable, the timeframe in which beneficiaries will be linked to services, the approach to follow-up, who will conduct the linkage and follow-up, and the approach to developing care plans, if </w:t>
      </w:r>
      <w:r>
        <w:rPr>
          <w:spacing w:val="-2"/>
        </w:rPr>
        <w:t>applicable.</w:t>
      </w:r>
    </w:p>
    <w:p>
      <w:pPr>
        <w:pStyle w:val="BodyText"/>
        <w:spacing w:before="161"/>
        <w:ind w:left="2039" w:right="1041"/>
      </w:pPr>
      <w:r>
        <w:rPr/>
        <w:drawing>
          <wp:anchor distT="0" distB="0" distL="0" distR="0" allowOverlap="1" layoutInCell="1" locked="0" behindDoc="0" simplePos="0" relativeHeight="16034304">
            <wp:simplePos x="0" y="0"/>
            <wp:positionH relativeFrom="page">
              <wp:posOffset>1778507</wp:posOffset>
            </wp:positionH>
            <wp:positionV relativeFrom="paragraph">
              <wp:posOffset>134786</wp:posOffset>
            </wp:positionV>
            <wp:extent cx="158495" cy="115823"/>
            <wp:effectExtent l="0" t="0" r="0" b="0"/>
            <wp:wrapNone/>
            <wp:docPr id="608" name="Image 608"/>
            <wp:cNvGraphicFramePr>
              <a:graphicFrameLocks/>
            </wp:cNvGraphicFramePr>
            <a:graphic>
              <a:graphicData uri="http://schemas.openxmlformats.org/drawingml/2006/picture">
                <pic:pic>
                  <pic:nvPicPr>
                    <pic:cNvPr id="608" name="Image 608"/>
                    <pic:cNvPicPr/>
                  </pic:nvPicPr>
                  <pic:blipFill>
                    <a:blip r:embed="rId65" cstate="print"/>
                    <a:stretch>
                      <a:fillRect/>
                    </a:stretch>
                  </pic:blipFill>
                  <pic:spPr>
                    <a:xfrm>
                      <a:off x="0" y="0"/>
                      <a:ext cx="158495" cy="115823"/>
                    </a:xfrm>
                    <a:prstGeom prst="rect">
                      <a:avLst/>
                    </a:prstGeom>
                  </pic:spPr>
                </pic:pic>
              </a:graphicData>
            </a:graphic>
          </wp:anchor>
        </w:drawing>
      </w:r>
      <w:bookmarkStart w:name="iii. Description of how the Commonwealth" w:id="888"/>
      <w:bookmarkEnd w:id="888"/>
      <w:r>
        <w:rPr/>
      </w:r>
      <w:r>
        <w:rPr/>
        <w:t>Description</w:t>
      </w:r>
      <w:r>
        <w:rPr>
          <w:spacing w:val="-4"/>
        </w:rPr>
        <w:t> </w:t>
      </w:r>
      <w:r>
        <w:rPr/>
        <w:t>of</w:t>
      </w:r>
      <w:r>
        <w:rPr>
          <w:spacing w:val="-5"/>
        </w:rPr>
        <w:t> </w:t>
      </w:r>
      <w:r>
        <w:rPr/>
        <w:t>how</w:t>
      </w:r>
      <w:r>
        <w:rPr>
          <w:spacing w:val="-5"/>
        </w:rPr>
        <w:t> </w:t>
      </w:r>
      <w:r>
        <w:rPr/>
        <w:t>the</w:t>
      </w:r>
      <w:r>
        <w:rPr>
          <w:spacing w:val="-5"/>
        </w:rPr>
        <w:t> </w:t>
      </w:r>
      <w:r>
        <w:rPr/>
        <w:t>Commonwealth</w:t>
      </w:r>
      <w:r>
        <w:rPr>
          <w:spacing w:val="-4"/>
        </w:rPr>
        <w:t> </w:t>
      </w:r>
      <w:r>
        <w:rPr/>
        <w:t>will</w:t>
      </w:r>
      <w:r>
        <w:rPr>
          <w:spacing w:val="-4"/>
        </w:rPr>
        <w:t> </w:t>
      </w:r>
      <w:r>
        <w:rPr/>
        <w:t>ensure</w:t>
      </w:r>
      <w:r>
        <w:rPr>
          <w:spacing w:val="-5"/>
        </w:rPr>
        <w:t> </w:t>
      </w:r>
      <w:r>
        <w:rPr/>
        <w:t>that</w:t>
      </w:r>
      <w:r>
        <w:rPr>
          <w:spacing w:val="-4"/>
        </w:rPr>
        <w:t> </w:t>
      </w:r>
      <w:r>
        <w:rPr/>
        <w:t>screening</w:t>
      </w:r>
      <w:r>
        <w:rPr>
          <w:spacing w:val="-7"/>
        </w:rPr>
        <w:t> </w:t>
      </w:r>
      <w:r>
        <w:rPr/>
        <w:t>and</w:t>
      </w:r>
      <w:r>
        <w:rPr>
          <w:spacing w:val="-4"/>
        </w:rPr>
        <w:t> </w:t>
      </w:r>
      <w:r>
        <w:rPr/>
        <w:t>services related to the demonstration are provided to beneficiaries in ways that are culturally appropriate and/or trauma informed.</w:t>
      </w:r>
    </w:p>
    <w:p>
      <w:pPr>
        <w:pStyle w:val="BodyText"/>
        <w:spacing w:before="199"/>
        <w:ind w:left="1411"/>
      </w:pPr>
      <w:r>
        <w:rPr/>
        <w:drawing>
          <wp:anchor distT="0" distB="0" distL="0" distR="0" allowOverlap="1" layoutInCell="1" locked="0" behindDoc="0" simplePos="0" relativeHeight="16034816">
            <wp:simplePos x="0" y="0"/>
            <wp:positionH relativeFrom="page">
              <wp:posOffset>1431036</wp:posOffset>
            </wp:positionH>
            <wp:positionV relativeFrom="paragraph">
              <wp:posOffset>193969</wp:posOffset>
            </wp:positionV>
            <wp:extent cx="96011" cy="80771"/>
            <wp:effectExtent l="0" t="0" r="0" b="0"/>
            <wp:wrapNone/>
            <wp:docPr id="609" name="Image 609"/>
            <wp:cNvGraphicFramePr>
              <a:graphicFrameLocks/>
            </wp:cNvGraphicFramePr>
            <a:graphic>
              <a:graphicData uri="http://schemas.openxmlformats.org/drawingml/2006/picture">
                <pic:pic>
                  <pic:nvPicPr>
                    <pic:cNvPr id="609" name="Image 609"/>
                    <pic:cNvPicPr/>
                  </pic:nvPicPr>
                  <pic:blipFill>
                    <a:blip r:embed="rId35" cstate="print"/>
                    <a:stretch>
                      <a:fillRect/>
                    </a:stretch>
                  </pic:blipFill>
                  <pic:spPr>
                    <a:xfrm>
                      <a:off x="0" y="0"/>
                      <a:ext cx="96011" cy="80771"/>
                    </a:xfrm>
                    <a:prstGeom prst="rect">
                      <a:avLst/>
                    </a:prstGeom>
                  </pic:spPr>
                </pic:pic>
              </a:graphicData>
            </a:graphic>
          </wp:anchor>
        </w:drawing>
      </w:r>
      <w:bookmarkStart w:name="c. Medicaid services to which beneficiar" w:id="889"/>
      <w:bookmarkEnd w:id="889"/>
      <w:r>
        <w:rPr/>
      </w:r>
      <w:r>
        <w:rPr/>
        <w:t>Medicaid</w:t>
      </w:r>
      <w:r>
        <w:rPr>
          <w:spacing w:val="-4"/>
        </w:rPr>
        <w:t> </w:t>
      </w:r>
      <w:r>
        <w:rPr/>
        <w:t>services</w:t>
      </w:r>
      <w:r>
        <w:rPr>
          <w:spacing w:val="-2"/>
        </w:rPr>
        <w:t> </w:t>
      </w:r>
      <w:r>
        <w:rPr/>
        <w:t>to</w:t>
      </w:r>
      <w:r>
        <w:rPr>
          <w:spacing w:val="-2"/>
        </w:rPr>
        <w:t> </w:t>
      </w:r>
      <w:r>
        <w:rPr/>
        <w:t>which</w:t>
      </w:r>
      <w:r>
        <w:rPr>
          <w:spacing w:val="-1"/>
        </w:rPr>
        <w:t> </w:t>
      </w:r>
      <w:r>
        <w:rPr/>
        <w:t>beneficiaries could</w:t>
      </w:r>
      <w:r>
        <w:rPr>
          <w:spacing w:val="-2"/>
        </w:rPr>
        <w:t> </w:t>
      </w:r>
      <w:r>
        <w:rPr/>
        <w:t>be </w:t>
      </w:r>
      <w:r>
        <w:rPr>
          <w:spacing w:val="-2"/>
        </w:rPr>
        <w:t>referred.</w:t>
      </w:r>
    </w:p>
    <w:p>
      <w:pPr>
        <w:pStyle w:val="BodyText"/>
        <w:spacing w:before="10"/>
        <w:rPr>
          <w:sz w:val="20"/>
        </w:rPr>
      </w:pPr>
    </w:p>
    <w:p>
      <w:pPr>
        <w:pStyle w:val="BodyText"/>
        <w:ind w:left="1411"/>
      </w:pPr>
      <w:r>
        <w:rPr/>
        <w:drawing>
          <wp:anchor distT="0" distB="0" distL="0" distR="0" allowOverlap="1" layoutInCell="1" locked="0" behindDoc="0" simplePos="0" relativeHeight="16035328">
            <wp:simplePos x="0" y="0"/>
            <wp:positionH relativeFrom="page">
              <wp:posOffset>1431036</wp:posOffset>
            </wp:positionH>
            <wp:positionV relativeFrom="paragraph">
              <wp:posOffset>32551</wp:posOffset>
            </wp:positionV>
            <wp:extent cx="105155" cy="115823"/>
            <wp:effectExtent l="0" t="0" r="0" b="0"/>
            <wp:wrapNone/>
            <wp:docPr id="610" name="Image 610"/>
            <wp:cNvGraphicFramePr>
              <a:graphicFrameLocks/>
            </wp:cNvGraphicFramePr>
            <a:graphic>
              <a:graphicData uri="http://schemas.openxmlformats.org/drawingml/2006/picture">
                <pic:pic>
                  <pic:nvPicPr>
                    <pic:cNvPr id="610" name="Image 610"/>
                    <pic:cNvPicPr/>
                  </pic:nvPicPr>
                  <pic:blipFill>
                    <a:blip r:embed="rId109" cstate="print"/>
                    <a:stretch>
                      <a:fillRect/>
                    </a:stretch>
                  </pic:blipFill>
                  <pic:spPr>
                    <a:xfrm>
                      <a:off x="0" y="0"/>
                      <a:ext cx="105155" cy="115823"/>
                    </a:xfrm>
                    <a:prstGeom prst="rect">
                      <a:avLst/>
                    </a:prstGeom>
                  </pic:spPr>
                </pic:pic>
              </a:graphicData>
            </a:graphic>
          </wp:anchor>
        </w:drawing>
      </w:r>
      <w:bookmarkStart w:name="d. Plans for technical assistance, quali" w:id="890"/>
      <w:bookmarkEnd w:id="890"/>
      <w:r>
        <w:rPr/>
      </w:r>
      <w:r>
        <w:rPr/>
        <w:t>Plans</w:t>
      </w:r>
      <w:r>
        <w:rPr>
          <w:spacing w:val="-4"/>
        </w:rPr>
        <w:t> </w:t>
      </w:r>
      <w:r>
        <w:rPr/>
        <w:t>for</w:t>
      </w:r>
      <w:r>
        <w:rPr>
          <w:spacing w:val="-2"/>
        </w:rPr>
        <w:t> </w:t>
      </w:r>
      <w:r>
        <w:rPr/>
        <w:t>technical assistance,</w:t>
      </w:r>
      <w:r>
        <w:rPr>
          <w:spacing w:val="-1"/>
        </w:rPr>
        <w:t> </w:t>
      </w:r>
      <w:r>
        <w:rPr/>
        <w:t>quality</w:t>
      </w:r>
      <w:r>
        <w:rPr>
          <w:spacing w:val="-6"/>
        </w:rPr>
        <w:t> </w:t>
      </w:r>
      <w:r>
        <w:rPr/>
        <w:t>improvement,</w:t>
      </w:r>
      <w:r>
        <w:rPr>
          <w:spacing w:val="-2"/>
        </w:rPr>
        <w:t> </w:t>
      </w:r>
      <w:r>
        <w:rPr/>
        <w:t>and</w:t>
      </w:r>
      <w:r>
        <w:rPr>
          <w:spacing w:val="-1"/>
        </w:rPr>
        <w:t> </w:t>
      </w:r>
      <w:r>
        <w:rPr/>
        <w:t>sustainability</w:t>
      </w:r>
      <w:r>
        <w:rPr>
          <w:spacing w:val="-6"/>
        </w:rPr>
        <w:t> </w:t>
      </w:r>
      <w:r>
        <w:rPr>
          <w:spacing w:val="-2"/>
        </w:rPr>
        <w:t>planning.</w:t>
      </w:r>
    </w:p>
    <w:p>
      <w:pPr>
        <w:pStyle w:val="BodyText"/>
        <w:spacing w:before="10"/>
        <w:rPr>
          <w:sz w:val="20"/>
        </w:rPr>
      </w:pPr>
    </w:p>
    <w:p>
      <w:pPr>
        <w:pStyle w:val="BodyText"/>
        <w:ind w:left="1411" w:right="1059"/>
      </w:pPr>
      <w:r>
        <w:rPr/>
        <w:drawing>
          <wp:anchor distT="0" distB="0" distL="0" distR="0" allowOverlap="1" layoutInCell="1" locked="0" behindDoc="0" simplePos="0" relativeHeight="16035840">
            <wp:simplePos x="0" y="0"/>
            <wp:positionH relativeFrom="page">
              <wp:posOffset>1431036</wp:posOffset>
            </wp:positionH>
            <wp:positionV relativeFrom="paragraph">
              <wp:posOffset>67603</wp:posOffset>
            </wp:positionV>
            <wp:extent cx="96011" cy="80771"/>
            <wp:effectExtent l="0" t="0" r="0" b="0"/>
            <wp:wrapNone/>
            <wp:docPr id="611" name="Image 611"/>
            <wp:cNvGraphicFramePr>
              <a:graphicFrameLocks/>
            </wp:cNvGraphicFramePr>
            <a:graphic>
              <a:graphicData uri="http://schemas.openxmlformats.org/drawingml/2006/picture">
                <pic:pic>
                  <pic:nvPicPr>
                    <pic:cNvPr id="611" name="Image 611"/>
                    <pic:cNvPicPr/>
                  </pic:nvPicPr>
                  <pic:blipFill>
                    <a:blip r:embed="rId37" cstate="print"/>
                    <a:stretch>
                      <a:fillRect/>
                    </a:stretch>
                  </pic:blipFill>
                  <pic:spPr>
                    <a:xfrm>
                      <a:off x="0" y="0"/>
                      <a:ext cx="96011" cy="80771"/>
                    </a:xfrm>
                    <a:prstGeom prst="rect">
                      <a:avLst/>
                    </a:prstGeom>
                  </pic:spPr>
                </pic:pic>
              </a:graphicData>
            </a:graphic>
          </wp:anchor>
        </w:drawing>
      </w:r>
      <w:bookmarkStart w:name="e. Plan for establishing and/or improvin" w:id="891"/>
      <w:bookmarkEnd w:id="891"/>
      <w:r>
        <w:rPr/>
      </w:r>
      <w:r>
        <w:rPr/>
        <w:t>Plan</w:t>
      </w:r>
      <w:r>
        <w:rPr>
          <w:spacing w:val="-3"/>
        </w:rPr>
        <w:t> </w:t>
      </w:r>
      <w:r>
        <w:rPr/>
        <w:t>for</w:t>
      </w:r>
      <w:r>
        <w:rPr>
          <w:spacing w:val="-4"/>
        </w:rPr>
        <w:t> </w:t>
      </w:r>
      <w:r>
        <w:rPr/>
        <w:t>establishing</w:t>
      </w:r>
      <w:r>
        <w:rPr>
          <w:spacing w:val="-3"/>
        </w:rPr>
        <w:t> </w:t>
      </w:r>
      <w:r>
        <w:rPr/>
        <w:t>and/or</w:t>
      </w:r>
      <w:r>
        <w:rPr>
          <w:spacing w:val="-4"/>
        </w:rPr>
        <w:t> </w:t>
      </w:r>
      <w:r>
        <w:rPr/>
        <w:t>improving</w:t>
      </w:r>
      <w:r>
        <w:rPr>
          <w:spacing w:val="-6"/>
        </w:rPr>
        <w:t> </w:t>
      </w:r>
      <w:r>
        <w:rPr/>
        <w:t>data</w:t>
      </w:r>
      <w:r>
        <w:rPr>
          <w:spacing w:val="-4"/>
        </w:rPr>
        <w:t> </w:t>
      </w:r>
      <w:r>
        <w:rPr/>
        <w:t>sharing</w:t>
      </w:r>
      <w:r>
        <w:rPr>
          <w:spacing w:val="-6"/>
        </w:rPr>
        <w:t> </w:t>
      </w:r>
      <w:r>
        <w:rPr/>
        <w:t>and</w:t>
      </w:r>
      <w:r>
        <w:rPr>
          <w:spacing w:val="-3"/>
        </w:rPr>
        <w:t> </w:t>
      </w:r>
      <w:r>
        <w:rPr/>
        <w:t>partnerships</w:t>
      </w:r>
      <w:r>
        <w:rPr>
          <w:spacing w:val="-3"/>
        </w:rPr>
        <w:t> </w:t>
      </w:r>
      <w:r>
        <w:rPr/>
        <w:t>with</w:t>
      </w:r>
      <w:r>
        <w:rPr>
          <w:spacing w:val="-3"/>
        </w:rPr>
        <w:t> </w:t>
      </w:r>
      <w:r>
        <w:rPr/>
        <w:t>an</w:t>
      </w:r>
      <w:r>
        <w:rPr>
          <w:spacing w:val="-3"/>
        </w:rPr>
        <w:t> </w:t>
      </w:r>
      <w:r>
        <w:rPr/>
        <w:t>array</w:t>
      </w:r>
      <w:r>
        <w:rPr>
          <w:spacing w:val="-7"/>
        </w:rPr>
        <w:t> </w:t>
      </w:r>
      <w:r>
        <w:rPr/>
        <w:t>of health and social system stakeholders to the extent those entities are vital to provide needed data on screenings, referrals, and provision of services, which are critical for understanding program implementation and conducting demonstration monitoring and evaluation.</w:t>
      </w:r>
    </w:p>
    <w:p>
      <w:pPr>
        <w:pStyle w:val="BodyText"/>
        <w:spacing w:before="10"/>
        <w:rPr>
          <w:sz w:val="20"/>
        </w:rPr>
      </w:pPr>
    </w:p>
    <w:p>
      <w:pPr>
        <w:pStyle w:val="BodyText"/>
        <w:ind w:left="1411" w:right="1059"/>
      </w:pPr>
      <w:r>
        <w:rPr/>
        <w:drawing>
          <wp:anchor distT="0" distB="0" distL="0" distR="0" allowOverlap="1" layoutInCell="1" locked="0" behindDoc="0" simplePos="0" relativeHeight="16036352">
            <wp:simplePos x="0" y="0"/>
            <wp:positionH relativeFrom="page">
              <wp:posOffset>1431036</wp:posOffset>
            </wp:positionH>
            <wp:positionV relativeFrom="paragraph">
              <wp:posOffset>32551</wp:posOffset>
            </wp:positionV>
            <wp:extent cx="79247" cy="115823"/>
            <wp:effectExtent l="0" t="0" r="0" b="0"/>
            <wp:wrapNone/>
            <wp:docPr id="612" name="Image 612"/>
            <wp:cNvGraphicFramePr>
              <a:graphicFrameLocks/>
            </wp:cNvGraphicFramePr>
            <a:graphic>
              <a:graphicData uri="http://schemas.openxmlformats.org/drawingml/2006/picture">
                <pic:pic>
                  <pic:nvPicPr>
                    <pic:cNvPr id="612" name="Image 612"/>
                    <pic:cNvPicPr/>
                  </pic:nvPicPr>
                  <pic:blipFill>
                    <a:blip r:embed="rId42" cstate="print"/>
                    <a:stretch>
                      <a:fillRect/>
                    </a:stretch>
                  </pic:blipFill>
                  <pic:spPr>
                    <a:xfrm>
                      <a:off x="0" y="0"/>
                      <a:ext cx="79247" cy="115823"/>
                    </a:xfrm>
                    <a:prstGeom prst="rect">
                      <a:avLst/>
                    </a:prstGeom>
                  </pic:spPr>
                </pic:pic>
              </a:graphicData>
            </a:graphic>
          </wp:anchor>
        </w:drawing>
      </w:r>
      <w:bookmarkStart w:name="f. Information about key partnerships, c" w:id="892"/>
      <w:bookmarkEnd w:id="892"/>
      <w:r>
        <w:rPr/>
      </w:r>
      <w:r>
        <w:rPr/>
        <w:t>Information about key partnerships, capacity building for community partners, and how the Commonwealth will solicit and incorporate input from impacted groups, such</w:t>
      </w:r>
      <w:r>
        <w:rPr>
          <w:spacing w:val="-4"/>
        </w:rPr>
        <w:t> </w:t>
      </w:r>
      <w:r>
        <w:rPr/>
        <w:t>as</w:t>
      </w:r>
      <w:r>
        <w:rPr>
          <w:spacing w:val="-4"/>
        </w:rPr>
        <w:t> </w:t>
      </w:r>
      <w:r>
        <w:rPr/>
        <w:t>community</w:t>
      </w:r>
      <w:r>
        <w:rPr>
          <w:spacing w:val="-8"/>
        </w:rPr>
        <w:t> </w:t>
      </w:r>
      <w:r>
        <w:rPr/>
        <w:t>partners,</w:t>
      </w:r>
      <w:r>
        <w:rPr>
          <w:spacing w:val="-4"/>
        </w:rPr>
        <w:t> </w:t>
      </w:r>
      <w:r>
        <w:rPr/>
        <w:t>health</w:t>
      </w:r>
      <w:r>
        <w:rPr>
          <w:spacing w:val="-4"/>
        </w:rPr>
        <w:t> </w:t>
      </w:r>
      <w:r>
        <w:rPr/>
        <w:t>care</w:t>
      </w:r>
      <w:r>
        <w:rPr>
          <w:spacing w:val="-4"/>
        </w:rPr>
        <w:t> </w:t>
      </w:r>
      <w:r>
        <w:rPr/>
        <w:t>delivery</w:t>
      </w:r>
      <w:r>
        <w:rPr>
          <w:spacing w:val="-8"/>
        </w:rPr>
        <w:t> </w:t>
      </w:r>
      <w:r>
        <w:rPr/>
        <w:t>system</w:t>
      </w:r>
      <w:r>
        <w:rPr>
          <w:spacing w:val="-4"/>
        </w:rPr>
        <w:t> </w:t>
      </w:r>
      <w:r>
        <w:rPr/>
        <w:t>partners,</w:t>
      </w:r>
      <w:r>
        <w:rPr>
          <w:spacing w:val="-4"/>
        </w:rPr>
        <w:t> </w:t>
      </w:r>
      <w:r>
        <w:rPr/>
        <w:t>and</w:t>
      </w:r>
      <w:r>
        <w:rPr>
          <w:spacing w:val="-4"/>
        </w:rPr>
        <w:t> </w:t>
      </w:r>
      <w:r>
        <w:rPr/>
        <w:t>beneficiaries.</w:t>
      </w:r>
    </w:p>
    <w:p>
      <w:pPr>
        <w:pStyle w:val="BodyText"/>
        <w:spacing w:before="10"/>
        <w:rPr>
          <w:sz w:val="20"/>
        </w:rPr>
      </w:pPr>
    </w:p>
    <w:p>
      <w:pPr>
        <w:pStyle w:val="BodyText"/>
        <w:ind w:left="1411" w:right="1059"/>
      </w:pPr>
      <w:r>
        <w:rPr/>
        <w:drawing>
          <wp:anchor distT="0" distB="0" distL="0" distR="0" allowOverlap="1" layoutInCell="1" locked="0" behindDoc="0" simplePos="0" relativeHeight="16036864">
            <wp:simplePos x="0" y="0"/>
            <wp:positionH relativeFrom="page">
              <wp:posOffset>1429511</wp:posOffset>
            </wp:positionH>
            <wp:positionV relativeFrom="paragraph">
              <wp:posOffset>67603</wp:posOffset>
            </wp:positionV>
            <wp:extent cx="105155" cy="111251"/>
            <wp:effectExtent l="0" t="0" r="0" b="0"/>
            <wp:wrapNone/>
            <wp:docPr id="613" name="Image 613"/>
            <wp:cNvGraphicFramePr>
              <a:graphicFrameLocks/>
            </wp:cNvGraphicFramePr>
            <a:graphic>
              <a:graphicData uri="http://schemas.openxmlformats.org/drawingml/2006/picture">
                <pic:pic>
                  <pic:nvPicPr>
                    <pic:cNvPr id="613" name="Image 613"/>
                    <pic:cNvPicPr/>
                  </pic:nvPicPr>
                  <pic:blipFill>
                    <a:blip r:embed="rId95" cstate="print"/>
                    <a:stretch>
                      <a:fillRect/>
                    </a:stretch>
                  </pic:blipFill>
                  <pic:spPr>
                    <a:xfrm>
                      <a:off x="0" y="0"/>
                      <a:ext cx="105155" cy="111251"/>
                    </a:xfrm>
                    <a:prstGeom prst="rect">
                      <a:avLst/>
                    </a:prstGeom>
                  </pic:spPr>
                </pic:pic>
              </a:graphicData>
            </a:graphic>
          </wp:anchor>
        </w:drawing>
      </w:r>
      <w:bookmarkStart w:name="g. Information technology infrastructure" w:id="893"/>
      <w:bookmarkEnd w:id="893"/>
      <w:r>
        <w:rPr/>
      </w:r>
      <w:r>
        <w:rPr/>
        <w:t>Information technology infrastructure to support data exchange, including development and implementation of data systems necessary to support program implementation, monitoring, and evaluation.</w:t>
      </w:r>
      <w:r>
        <w:rPr>
          <w:spacing w:val="40"/>
        </w:rPr>
        <w:t> </w:t>
      </w:r>
      <w:r>
        <w:rPr/>
        <w:t>These existing or new data systems should, at a minimum, collect data on beneficiary characteristics, eligibility and consent, screening, referrals, and service provision. A plan for tracking and improving</w:t>
      </w:r>
      <w:r>
        <w:rPr>
          <w:spacing w:val="-6"/>
        </w:rPr>
        <w:t> </w:t>
      </w:r>
      <w:r>
        <w:rPr/>
        <w:t>upon</w:t>
      </w:r>
      <w:r>
        <w:rPr>
          <w:spacing w:val="-3"/>
        </w:rPr>
        <w:t> </w:t>
      </w:r>
      <w:r>
        <w:rPr/>
        <w:t>the</w:t>
      </w:r>
      <w:r>
        <w:rPr>
          <w:spacing w:val="-4"/>
        </w:rPr>
        <w:t> </w:t>
      </w:r>
      <w:r>
        <w:rPr/>
        <w:t>share</w:t>
      </w:r>
      <w:r>
        <w:rPr>
          <w:spacing w:val="-4"/>
        </w:rPr>
        <w:t> </w:t>
      </w:r>
      <w:r>
        <w:rPr/>
        <w:t>of</w:t>
      </w:r>
      <w:r>
        <w:rPr>
          <w:spacing w:val="-4"/>
        </w:rPr>
        <w:t> </w:t>
      </w:r>
      <w:r>
        <w:rPr/>
        <w:t>Medicaid</w:t>
      </w:r>
      <w:r>
        <w:rPr>
          <w:spacing w:val="-3"/>
        </w:rPr>
        <w:t> </w:t>
      </w:r>
      <w:r>
        <w:rPr/>
        <w:t>beneficiaries</w:t>
      </w:r>
      <w:r>
        <w:rPr>
          <w:spacing w:val="-3"/>
        </w:rPr>
        <w:t> </w:t>
      </w:r>
      <w:r>
        <w:rPr/>
        <w:t>who</w:t>
      </w:r>
      <w:r>
        <w:rPr>
          <w:spacing w:val="-3"/>
        </w:rPr>
        <w:t> </w:t>
      </w:r>
      <w:r>
        <w:rPr/>
        <w:t>are</w:t>
      </w:r>
      <w:r>
        <w:rPr>
          <w:spacing w:val="-4"/>
        </w:rPr>
        <w:t> </w:t>
      </w:r>
      <w:r>
        <w:rPr/>
        <w:t>eligible</w:t>
      </w:r>
      <w:r>
        <w:rPr>
          <w:spacing w:val="-4"/>
        </w:rPr>
        <w:t> </w:t>
      </w:r>
      <w:r>
        <w:rPr/>
        <w:t>and</w:t>
      </w:r>
      <w:r>
        <w:rPr>
          <w:spacing w:val="-3"/>
        </w:rPr>
        <w:t> </w:t>
      </w:r>
      <w:r>
        <w:rPr/>
        <w:t>enrolled</w:t>
      </w:r>
      <w:r>
        <w:rPr>
          <w:spacing w:val="-3"/>
        </w:rPr>
        <w:t> </w:t>
      </w:r>
      <w:r>
        <w:rPr/>
        <w:t>in SNAP and WIC, relative to the number eligible.</w:t>
      </w:r>
    </w:p>
    <w:p>
      <w:pPr>
        <w:pStyle w:val="BodyText"/>
        <w:spacing w:before="10"/>
        <w:rPr>
          <w:sz w:val="20"/>
        </w:rPr>
      </w:pPr>
    </w:p>
    <w:p>
      <w:pPr>
        <w:pStyle w:val="BodyText"/>
        <w:spacing w:before="1"/>
        <w:ind w:left="1411" w:right="1086"/>
      </w:pPr>
      <w:r>
        <w:rPr/>
        <w:drawing>
          <wp:anchor distT="0" distB="0" distL="0" distR="0" allowOverlap="1" layoutInCell="1" locked="0" behindDoc="0" simplePos="0" relativeHeight="16037376">
            <wp:simplePos x="0" y="0"/>
            <wp:positionH relativeFrom="page">
              <wp:posOffset>1426463</wp:posOffset>
            </wp:positionH>
            <wp:positionV relativeFrom="paragraph">
              <wp:posOffset>33186</wp:posOffset>
            </wp:positionV>
            <wp:extent cx="109727" cy="115823"/>
            <wp:effectExtent l="0" t="0" r="0" b="0"/>
            <wp:wrapNone/>
            <wp:docPr id="614" name="Image 614"/>
            <wp:cNvGraphicFramePr>
              <a:graphicFrameLocks/>
            </wp:cNvGraphicFramePr>
            <a:graphic>
              <a:graphicData uri="http://schemas.openxmlformats.org/drawingml/2006/picture">
                <pic:pic>
                  <pic:nvPicPr>
                    <pic:cNvPr id="614" name="Image 614"/>
                    <pic:cNvPicPr/>
                  </pic:nvPicPr>
                  <pic:blipFill>
                    <a:blip r:embed="rId242" cstate="print"/>
                    <a:stretch>
                      <a:fillRect/>
                    </a:stretch>
                  </pic:blipFill>
                  <pic:spPr>
                    <a:xfrm>
                      <a:off x="0" y="0"/>
                      <a:ext cx="109727" cy="115823"/>
                    </a:xfrm>
                    <a:prstGeom prst="rect">
                      <a:avLst/>
                    </a:prstGeom>
                  </pic:spPr>
                </pic:pic>
              </a:graphicData>
            </a:graphic>
          </wp:anchor>
        </w:drawing>
      </w:r>
      <w:bookmarkStart w:name="h. Implementation timeline and evaluatio" w:id="894"/>
      <w:bookmarkEnd w:id="894"/>
      <w:r>
        <w:rPr/>
      </w:r>
      <w:r>
        <w:rPr/>
        <w:t>Implementation</w:t>
      </w:r>
      <w:r>
        <w:rPr>
          <w:spacing w:val="-4"/>
        </w:rPr>
        <w:t> </w:t>
      </w:r>
      <w:r>
        <w:rPr/>
        <w:t>timeline</w:t>
      </w:r>
      <w:r>
        <w:rPr>
          <w:spacing w:val="-5"/>
        </w:rPr>
        <w:t> </w:t>
      </w:r>
      <w:r>
        <w:rPr/>
        <w:t>and</w:t>
      </w:r>
      <w:r>
        <w:rPr>
          <w:spacing w:val="-4"/>
        </w:rPr>
        <w:t> </w:t>
      </w:r>
      <w:r>
        <w:rPr/>
        <w:t>evaluation</w:t>
      </w:r>
      <w:r>
        <w:rPr>
          <w:spacing w:val="-4"/>
        </w:rPr>
        <w:t> </w:t>
      </w:r>
      <w:r>
        <w:rPr/>
        <w:t>considerations</w:t>
      </w:r>
      <w:r>
        <w:rPr>
          <w:spacing w:val="-4"/>
        </w:rPr>
        <w:t> </w:t>
      </w:r>
      <w:r>
        <w:rPr/>
        <w:t>impacted</w:t>
      </w:r>
      <w:r>
        <w:rPr>
          <w:spacing w:val="-4"/>
        </w:rPr>
        <w:t> </w:t>
      </w:r>
      <w:r>
        <w:rPr/>
        <w:t>by</w:t>
      </w:r>
      <w:r>
        <w:rPr>
          <w:spacing w:val="-9"/>
        </w:rPr>
        <w:t> </w:t>
      </w:r>
      <w:r>
        <w:rPr/>
        <w:t>the</w:t>
      </w:r>
      <w:r>
        <w:rPr>
          <w:spacing w:val="-5"/>
        </w:rPr>
        <w:t> </w:t>
      </w:r>
      <w:r>
        <w:rPr/>
        <w:t>timeline, such as staged rollout that can facilitate robust evaluation designs if these implementation strategies are culturally appropriate.</w:t>
      </w:r>
    </w:p>
    <w:p>
      <w:pPr>
        <w:pStyle w:val="BodyText"/>
        <w:spacing w:before="9"/>
        <w:rPr>
          <w:sz w:val="20"/>
        </w:rPr>
      </w:pPr>
    </w:p>
    <w:p>
      <w:pPr>
        <w:pStyle w:val="BodyText"/>
        <w:spacing w:before="1"/>
        <w:ind w:left="1411"/>
      </w:pPr>
      <w:r>
        <w:rPr/>
        <w:drawing>
          <wp:anchor distT="0" distB="0" distL="0" distR="0" allowOverlap="1" layoutInCell="1" locked="0" behindDoc="0" simplePos="0" relativeHeight="16037888">
            <wp:simplePos x="0" y="0"/>
            <wp:positionH relativeFrom="page">
              <wp:posOffset>1429511</wp:posOffset>
            </wp:positionH>
            <wp:positionV relativeFrom="paragraph">
              <wp:posOffset>33186</wp:posOffset>
            </wp:positionV>
            <wp:extent cx="73151" cy="115823"/>
            <wp:effectExtent l="0" t="0" r="0" b="0"/>
            <wp:wrapNone/>
            <wp:docPr id="615" name="Image 615"/>
            <wp:cNvGraphicFramePr>
              <a:graphicFrameLocks/>
            </wp:cNvGraphicFramePr>
            <a:graphic>
              <a:graphicData uri="http://schemas.openxmlformats.org/drawingml/2006/picture">
                <pic:pic>
                  <pic:nvPicPr>
                    <pic:cNvPr id="615" name="Image 615"/>
                    <pic:cNvPicPr/>
                  </pic:nvPicPr>
                  <pic:blipFill>
                    <a:blip r:embed="rId126" cstate="print"/>
                    <a:stretch>
                      <a:fillRect/>
                    </a:stretch>
                  </pic:blipFill>
                  <pic:spPr>
                    <a:xfrm>
                      <a:off x="0" y="0"/>
                      <a:ext cx="73151" cy="115823"/>
                    </a:xfrm>
                    <a:prstGeom prst="rect">
                      <a:avLst/>
                    </a:prstGeom>
                  </pic:spPr>
                </pic:pic>
              </a:graphicData>
            </a:graphic>
          </wp:anchor>
        </w:drawing>
      </w:r>
      <w:bookmarkStart w:name="i. Information as required per STC 15.14" w:id="895"/>
      <w:bookmarkEnd w:id="895"/>
      <w:r>
        <w:rPr/>
      </w:r>
      <w:r>
        <w:rPr/>
        <w:t>Information</w:t>
      </w:r>
      <w:r>
        <w:rPr>
          <w:spacing w:val="-2"/>
        </w:rPr>
        <w:t> </w:t>
      </w:r>
      <w:r>
        <w:rPr/>
        <w:t>as</w:t>
      </w:r>
      <w:r>
        <w:rPr>
          <w:spacing w:val="-1"/>
        </w:rPr>
        <w:t> </w:t>
      </w:r>
      <w:r>
        <w:rPr/>
        <w:t>required</w:t>
      </w:r>
      <w:r>
        <w:rPr>
          <w:spacing w:val="-2"/>
        </w:rPr>
        <w:t> </w:t>
      </w:r>
      <w:r>
        <w:rPr/>
        <w:t>per</w:t>
      </w:r>
      <w:r>
        <w:rPr>
          <w:spacing w:val="-2"/>
        </w:rPr>
        <w:t> </w:t>
      </w:r>
      <w:r>
        <w:rPr/>
        <w:t>STC</w:t>
      </w:r>
      <w:r>
        <w:rPr>
          <w:spacing w:val="-1"/>
        </w:rPr>
        <w:t> </w:t>
      </w:r>
      <w:r>
        <w:rPr/>
        <w:t>15.14</w:t>
      </w:r>
      <w:r>
        <w:rPr>
          <w:spacing w:val="-1"/>
        </w:rPr>
        <w:t> </w:t>
      </w:r>
      <w:r>
        <w:rPr>
          <w:spacing w:val="-2"/>
        </w:rPr>
        <w:t>(MOE).</w:t>
      </w:r>
    </w:p>
    <w:p>
      <w:pPr>
        <w:pStyle w:val="BodyText"/>
        <w:rPr>
          <w:sz w:val="21"/>
        </w:rPr>
      </w:pPr>
    </w:p>
    <w:p>
      <w:pPr>
        <w:pStyle w:val="BodyText"/>
        <w:spacing w:line="237" w:lineRule="auto"/>
        <w:ind w:left="1411" w:right="1105" w:hanging="384"/>
      </w:pPr>
      <w:r>
        <w:rPr>
          <w:position w:val="-5"/>
        </w:rPr>
        <w:drawing>
          <wp:inline distT="0" distB="0" distL="0" distR="0">
            <wp:extent cx="88391" cy="146303"/>
            <wp:effectExtent l="0" t="0" r="0" b="0"/>
            <wp:docPr id="616" name="Image 616"/>
            <wp:cNvGraphicFramePr>
              <a:graphicFrameLocks/>
            </wp:cNvGraphicFramePr>
            <a:graphic>
              <a:graphicData uri="http://schemas.openxmlformats.org/drawingml/2006/picture">
                <pic:pic>
                  <pic:nvPicPr>
                    <pic:cNvPr id="616" name="Image 616"/>
                    <pic:cNvPicPr/>
                  </pic:nvPicPr>
                  <pic:blipFill>
                    <a:blip r:embed="rId243" cstate="print"/>
                    <a:stretch>
                      <a:fillRect/>
                    </a:stretch>
                  </pic:blipFill>
                  <pic:spPr>
                    <a:xfrm>
                      <a:off x="0" y="0"/>
                      <a:ext cx="88391" cy="146303"/>
                    </a:xfrm>
                    <a:prstGeom prst="rect">
                      <a:avLst/>
                    </a:prstGeom>
                  </pic:spPr>
                </pic:pic>
              </a:graphicData>
            </a:graphic>
          </wp:inline>
        </w:drawing>
      </w:r>
      <w:r>
        <w:rPr>
          <w:position w:val="-5"/>
        </w:rPr>
      </w:r>
      <w:r>
        <w:rPr>
          <w:spacing w:val="194"/>
          <w:sz w:val="20"/>
        </w:rPr>
        <w:t> </w:t>
      </w:r>
      <w:bookmarkStart w:name="j. Documentation of existing partnership" w:id="896"/>
      <w:bookmarkEnd w:id="896"/>
      <w:r>
        <w:rPr>
          <w:spacing w:val="-6"/>
          <w:sz w:val="20"/>
        </w:rPr>
      </w:r>
      <w:r>
        <w:rPr/>
        <w:t>Documentation of existing partnerships with state and local entities (e.g., Department</w:t>
      </w:r>
      <w:r>
        <w:rPr>
          <w:spacing w:val="-4"/>
        </w:rPr>
        <w:t> </w:t>
      </w:r>
      <w:r>
        <w:rPr/>
        <w:t>of</w:t>
      </w:r>
      <w:r>
        <w:rPr>
          <w:spacing w:val="-3"/>
        </w:rPr>
        <w:t> </w:t>
      </w:r>
      <w:r>
        <w:rPr/>
        <w:t>Housing</w:t>
      </w:r>
      <w:r>
        <w:rPr>
          <w:spacing w:val="-4"/>
        </w:rPr>
        <w:t> </w:t>
      </w:r>
      <w:r>
        <w:rPr/>
        <w:t>and</w:t>
      </w:r>
      <w:r>
        <w:rPr>
          <w:spacing w:val="-4"/>
        </w:rPr>
        <w:t> </w:t>
      </w:r>
      <w:r>
        <w:rPr/>
        <w:t>Urban</w:t>
      </w:r>
      <w:r>
        <w:rPr>
          <w:spacing w:val="-4"/>
        </w:rPr>
        <w:t> </w:t>
      </w:r>
      <w:r>
        <w:rPr/>
        <w:t>Development,</w:t>
      </w:r>
      <w:r>
        <w:rPr>
          <w:spacing w:val="-2"/>
        </w:rPr>
        <w:t> </w:t>
      </w:r>
      <w:r>
        <w:rPr/>
        <w:t>Continuum</w:t>
      </w:r>
      <w:r>
        <w:rPr>
          <w:spacing w:val="-4"/>
        </w:rPr>
        <w:t> </w:t>
      </w:r>
      <w:r>
        <w:rPr/>
        <w:t>of</w:t>
      </w:r>
      <w:r>
        <w:rPr>
          <w:spacing w:val="-5"/>
        </w:rPr>
        <w:t> </w:t>
      </w:r>
      <w:r>
        <w:rPr/>
        <w:t>Care</w:t>
      </w:r>
      <w:r>
        <w:rPr>
          <w:spacing w:val="-5"/>
        </w:rPr>
        <w:t> </w:t>
      </w:r>
      <w:r>
        <w:rPr/>
        <w:t>program,</w:t>
      </w:r>
      <w:r>
        <w:rPr>
          <w:spacing w:val="-4"/>
        </w:rPr>
        <w:t> </w:t>
      </w:r>
      <w:r>
        <w:rPr/>
        <w:t>local housing authority, SNAP state agency) and plan to ensure that pathways to non- Medicaid funding sources of housing and other supports are available upon the conclusion of temporary Medicaid reimbursement.</w:t>
      </w:r>
    </w:p>
    <w:p>
      <w:pPr>
        <w:pStyle w:val="BodyText"/>
        <w:spacing w:before="5"/>
        <w:rPr>
          <w:sz w:val="21"/>
        </w:rPr>
      </w:pPr>
    </w:p>
    <w:p>
      <w:pPr>
        <w:pStyle w:val="BodyText"/>
        <w:ind w:left="1411"/>
      </w:pPr>
      <w:r>
        <w:rPr/>
        <w:drawing>
          <wp:anchor distT="0" distB="0" distL="0" distR="0" allowOverlap="1" layoutInCell="1" locked="0" behindDoc="0" simplePos="0" relativeHeight="16038400">
            <wp:simplePos x="0" y="0"/>
            <wp:positionH relativeFrom="page">
              <wp:posOffset>1426463</wp:posOffset>
            </wp:positionH>
            <wp:positionV relativeFrom="paragraph">
              <wp:posOffset>32551</wp:posOffset>
            </wp:positionV>
            <wp:extent cx="109727" cy="115823"/>
            <wp:effectExtent l="0" t="0" r="0" b="0"/>
            <wp:wrapNone/>
            <wp:docPr id="617" name="Image 617"/>
            <wp:cNvGraphicFramePr>
              <a:graphicFrameLocks/>
            </wp:cNvGraphicFramePr>
            <a:graphic>
              <a:graphicData uri="http://schemas.openxmlformats.org/drawingml/2006/picture">
                <pic:pic>
                  <pic:nvPicPr>
                    <pic:cNvPr id="617" name="Image 617"/>
                    <pic:cNvPicPr/>
                  </pic:nvPicPr>
                  <pic:blipFill>
                    <a:blip r:embed="rId244" cstate="print"/>
                    <a:stretch>
                      <a:fillRect/>
                    </a:stretch>
                  </pic:blipFill>
                  <pic:spPr>
                    <a:xfrm>
                      <a:off x="0" y="0"/>
                      <a:ext cx="109727" cy="115823"/>
                    </a:xfrm>
                    <a:prstGeom prst="rect">
                      <a:avLst/>
                    </a:prstGeom>
                  </pic:spPr>
                </pic:pic>
              </a:graphicData>
            </a:graphic>
          </wp:anchor>
        </w:drawing>
      </w:r>
      <w:bookmarkStart w:name="k. Information as required per STC 15.15" w:id="897"/>
      <w:bookmarkEnd w:id="897"/>
      <w:r>
        <w:rPr/>
      </w:r>
      <w:r>
        <w:rPr/>
        <w:t>Information</w:t>
      </w:r>
      <w:r>
        <w:rPr>
          <w:spacing w:val="-4"/>
        </w:rPr>
        <w:t> </w:t>
      </w:r>
      <w:r>
        <w:rPr/>
        <w:t>as</w:t>
      </w:r>
      <w:r>
        <w:rPr>
          <w:spacing w:val="-2"/>
        </w:rPr>
        <w:t> </w:t>
      </w:r>
      <w:r>
        <w:rPr/>
        <w:t>required</w:t>
      </w:r>
      <w:r>
        <w:rPr>
          <w:spacing w:val="-2"/>
        </w:rPr>
        <w:t> </w:t>
      </w:r>
      <w:r>
        <w:rPr/>
        <w:t>per</w:t>
      </w:r>
      <w:r>
        <w:rPr>
          <w:spacing w:val="-3"/>
        </w:rPr>
        <w:t> </w:t>
      </w:r>
      <w:r>
        <w:rPr/>
        <w:t>STC</w:t>
      </w:r>
      <w:r>
        <w:rPr>
          <w:spacing w:val="-2"/>
        </w:rPr>
        <w:t> </w:t>
      </w:r>
      <w:r>
        <w:rPr/>
        <w:t>15.15</w:t>
      </w:r>
      <w:r>
        <w:rPr>
          <w:spacing w:val="-1"/>
        </w:rPr>
        <w:t> </w:t>
      </w:r>
      <w:r>
        <w:rPr/>
        <w:t>(Partnerships</w:t>
      </w:r>
      <w:r>
        <w:rPr>
          <w:spacing w:val="-2"/>
        </w:rPr>
        <w:t> </w:t>
      </w:r>
      <w:r>
        <w:rPr/>
        <w:t>with</w:t>
      </w:r>
      <w:r>
        <w:rPr>
          <w:spacing w:val="-2"/>
        </w:rPr>
        <w:t> </w:t>
      </w:r>
      <w:r>
        <w:rPr/>
        <w:t>State</w:t>
      </w:r>
      <w:r>
        <w:rPr>
          <w:spacing w:val="-3"/>
        </w:rPr>
        <w:t> </w:t>
      </w:r>
      <w:r>
        <w:rPr/>
        <w:t>and Local</w:t>
      </w:r>
      <w:r>
        <w:rPr>
          <w:spacing w:val="1"/>
        </w:rPr>
        <w:t> </w:t>
      </w:r>
      <w:r>
        <w:rPr>
          <w:spacing w:val="-2"/>
        </w:rPr>
        <w:t>Entities).</w:t>
      </w:r>
    </w:p>
    <w:p>
      <w:pPr>
        <w:spacing w:after="0"/>
        <w:sectPr>
          <w:pgSz w:w="12240" w:h="15840"/>
          <w:pgMar w:header="0" w:footer="1201" w:top="1360" w:bottom="1400" w:left="1200" w:right="400"/>
        </w:sectPr>
      </w:pPr>
    </w:p>
    <w:p>
      <w:pPr>
        <w:pStyle w:val="BodyText"/>
        <w:spacing w:before="79"/>
        <w:ind w:left="1411" w:right="1011"/>
      </w:pPr>
      <w:r>
        <w:rPr/>
        <w:drawing>
          <wp:anchor distT="0" distB="0" distL="0" distR="0" allowOverlap="1" layoutInCell="1" locked="0" behindDoc="0" simplePos="0" relativeHeight="16038912">
            <wp:simplePos x="0" y="0"/>
            <wp:positionH relativeFrom="page">
              <wp:posOffset>1429511</wp:posOffset>
            </wp:positionH>
            <wp:positionV relativeFrom="paragraph">
              <wp:posOffset>82717</wp:posOffset>
            </wp:positionV>
            <wp:extent cx="73151" cy="115823"/>
            <wp:effectExtent l="0" t="0" r="0" b="0"/>
            <wp:wrapNone/>
            <wp:docPr id="618" name="Image 618"/>
            <wp:cNvGraphicFramePr>
              <a:graphicFrameLocks/>
            </wp:cNvGraphicFramePr>
            <a:graphic>
              <a:graphicData uri="http://schemas.openxmlformats.org/drawingml/2006/picture">
                <pic:pic>
                  <pic:nvPicPr>
                    <pic:cNvPr id="618" name="Image 618"/>
                    <pic:cNvPicPr/>
                  </pic:nvPicPr>
                  <pic:blipFill>
                    <a:blip r:embed="rId245" cstate="print"/>
                    <a:stretch>
                      <a:fillRect/>
                    </a:stretch>
                  </pic:blipFill>
                  <pic:spPr>
                    <a:xfrm>
                      <a:off x="0" y="0"/>
                      <a:ext cx="73151" cy="115823"/>
                    </a:xfrm>
                    <a:prstGeom prst="rect">
                      <a:avLst/>
                    </a:prstGeom>
                  </pic:spPr>
                </pic:pic>
              </a:graphicData>
            </a:graphic>
          </wp:anchor>
        </w:drawing>
      </w:r>
      <w:bookmarkStart w:name="l. All rate/payment methodologies for au" w:id="898"/>
      <w:bookmarkEnd w:id="898"/>
      <w:r>
        <w:rPr/>
      </w:r>
      <w:r>
        <w:rPr/>
        <w:t>All rate/payment methodologies for authorized HRSN services outlined in the STCs must be submitted to CMS for review and approval prior to implementation, including but not limited to fee-for-service payment as well as non-risk payments, capitation rates and PCCM entity</w:t>
      </w:r>
      <w:r>
        <w:rPr>
          <w:spacing w:val="-4"/>
        </w:rPr>
        <w:t> </w:t>
      </w:r>
      <w:r>
        <w:rPr/>
        <w:t>payment in managed care delivery</w:t>
      </w:r>
      <w:r>
        <w:rPr>
          <w:spacing w:val="-4"/>
        </w:rPr>
        <w:t> </w:t>
      </w:r>
      <w:r>
        <w:rPr/>
        <w:t>systems, as part of the Implementation Plan at least 60 days prior to implementation.</w:t>
      </w:r>
      <w:r>
        <w:rPr>
          <w:spacing w:val="40"/>
        </w:rPr>
        <w:t> </w:t>
      </w:r>
      <w:r>
        <w:rPr/>
        <w:t>The Commonwealth</w:t>
      </w:r>
      <w:r>
        <w:rPr>
          <w:spacing w:val="-1"/>
        </w:rPr>
        <w:t> </w:t>
      </w:r>
      <w:r>
        <w:rPr/>
        <w:t>must</w:t>
      </w:r>
      <w:r>
        <w:rPr>
          <w:spacing w:val="-1"/>
        </w:rPr>
        <w:t> </w:t>
      </w:r>
      <w:r>
        <w:rPr/>
        <w:t>submit</w:t>
      </w:r>
      <w:r>
        <w:rPr>
          <w:spacing w:val="-1"/>
        </w:rPr>
        <w:t> </w:t>
      </w:r>
      <w:r>
        <w:rPr/>
        <w:t>all</w:t>
      </w:r>
      <w:r>
        <w:rPr>
          <w:spacing w:val="-1"/>
        </w:rPr>
        <w:t> </w:t>
      </w:r>
      <w:r>
        <w:rPr/>
        <w:t>documentation</w:t>
      </w:r>
      <w:r>
        <w:rPr>
          <w:spacing w:val="-1"/>
        </w:rPr>
        <w:t> </w:t>
      </w:r>
      <w:r>
        <w:rPr/>
        <w:t>requested</w:t>
      </w:r>
      <w:r>
        <w:rPr>
          <w:spacing w:val="-1"/>
        </w:rPr>
        <w:t> </w:t>
      </w:r>
      <w:r>
        <w:rPr/>
        <w:t>by</w:t>
      </w:r>
      <w:r>
        <w:rPr>
          <w:spacing w:val="-6"/>
        </w:rPr>
        <w:t> </w:t>
      </w:r>
      <w:r>
        <w:rPr/>
        <w:t>CMS,</w:t>
      </w:r>
      <w:r>
        <w:rPr>
          <w:spacing w:val="-1"/>
        </w:rPr>
        <w:t> </w:t>
      </w:r>
      <w:r>
        <w:rPr/>
        <w:t>including</w:t>
      </w:r>
      <w:r>
        <w:rPr>
          <w:spacing w:val="-4"/>
        </w:rPr>
        <w:t> </w:t>
      </w:r>
      <w:r>
        <w:rPr/>
        <w:t>but</w:t>
      </w:r>
      <w:r>
        <w:rPr>
          <w:spacing w:val="-1"/>
        </w:rPr>
        <w:t> </w:t>
      </w:r>
      <w:r>
        <w:rPr/>
        <w:t>not limited to: the payment rate methodology as well as other documentation and supporting information (e.g., Commonwealth responses to Medicaid non-federal share financing questions).</w:t>
      </w:r>
      <w:r>
        <w:rPr>
          <w:spacing w:val="40"/>
        </w:rPr>
        <w:t> </w:t>
      </w:r>
      <w:r>
        <w:rPr/>
        <w:t>The Commonwealth must also comply with the Public Notice</w:t>
      </w:r>
      <w:r>
        <w:rPr>
          <w:spacing w:val="-4"/>
        </w:rPr>
        <w:t> </w:t>
      </w:r>
      <w:r>
        <w:rPr/>
        <w:t>Procedures</w:t>
      </w:r>
      <w:r>
        <w:rPr>
          <w:spacing w:val="-3"/>
        </w:rPr>
        <w:t> </w:t>
      </w:r>
      <w:r>
        <w:rPr/>
        <w:t>set</w:t>
      </w:r>
      <w:r>
        <w:rPr>
          <w:spacing w:val="-3"/>
        </w:rPr>
        <w:t> </w:t>
      </w:r>
      <w:r>
        <w:rPr/>
        <w:t>forth</w:t>
      </w:r>
      <w:r>
        <w:rPr>
          <w:spacing w:val="-3"/>
        </w:rPr>
        <w:t> </w:t>
      </w:r>
      <w:r>
        <w:rPr/>
        <w:t>in</w:t>
      </w:r>
      <w:r>
        <w:rPr>
          <w:spacing w:val="-3"/>
        </w:rPr>
        <w:t> </w:t>
      </w:r>
      <w:r>
        <w:rPr/>
        <w:t>42</w:t>
      </w:r>
      <w:r>
        <w:rPr>
          <w:spacing w:val="-3"/>
        </w:rPr>
        <w:t> </w:t>
      </w:r>
      <w:r>
        <w:rPr/>
        <w:t>CFR</w:t>
      </w:r>
      <w:r>
        <w:rPr>
          <w:spacing w:val="-3"/>
        </w:rPr>
        <w:t> </w:t>
      </w:r>
      <w:r>
        <w:rPr/>
        <w:t>447.205</w:t>
      </w:r>
      <w:r>
        <w:rPr>
          <w:spacing w:val="-3"/>
        </w:rPr>
        <w:t> </w:t>
      </w:r>
      <w:r>
        <w:rPr/>
        <w:t>for</w:t>
      </w:r>
      <w:r>
        <w:rPr>
          <w:spacing w:val="-4"/>
        </w:rPr>
        <w:t> </w:t>
      </w:r>
      <w:r>
        <w:rPr/>
        <w:t>changes</w:t>
      </w:r>
      <w:r>
        <w:rPr>
          <w:spacing w:val="-3"/>
        </w:rPr>
        <w:t> </w:t>
      </w:r>
      <w:r>
        <w:rPr/>
        <w:t>in</w:t>
      </w:r>
      <w:r>
        <w:rPr>
          <w:spacing w:val="-3"/>
        </w:rPr>
        <w:t> </w:t>
      </w:r>
      <w:r>
        <w:rPr/>
        <w:t>statewide</w:t>
      </w:r>
      <w:r>
        <w:rPr>
          <w:spacing w:val="-4"/>
        </w:rPr>
        <w:t> </w:t>
      </w:r>
      <w:r>
        <w:rPr/>
        <w:t>methods</w:t>
      </w:r>
      <w:r>
        <w:rPr>
          <w:spacing w:val="-3"/>
        </w:rPr>
        <w:t> </w:t>
      </w:r>
      <w:r>
        <w:rPr/>
        <w:t>and standards for setting fee-for-service payment rates.</w:t>
      </w:r>
    </w:p>
    <w:p>
      <w:pPr>
        <w:pStyle w:val="BodyText"/>
        <w:spacing w:before="10"/>
        <w:rPr>
          <w:sz w:val="20"/>
        </w:rPr>
      </w:pPr>
    </w:p>
    <w:p>
      <w:pPr>
        <w:pStyle w:val="BodyText"/>
        <w:ind w:left="1411"/>
      </w:pPr>
      <w:r>
        <w:rPr/>
        <w:drawing>
          <wp:anchor distT="0" distB="0" distL="0" distR="0" allowOverlap="1" layoutInCell="1" locked="0" behindDoc="0" simplePos="0" relativeHeight="16039424">
            <wp:simplePos x="0" y="0"/>
            <wp:positionH relativeFrom="page">
              <wp:posOffset>1426463</wp:posOffset>
            </wp:positionH>
            <wp:positionV relativeFrom="paragraph">
              <wp:posOffset>67616</wp:posOffset>
            </wp:positionV>
            <wp:extent cx="152399" cy="80759"/>
            <wp:effectExtent l="0" t="0" r="0" b="0"/>
            <wp:wrapNone/>
            <wp:docPr id="619" name="Image 619"/>
            <wp:cNvGraphicFramePr>
              <a:graphicFrameLocks/>
            </wp:cNvGraphicFramePr>
            <a:graphic>
              <a:graphicData uri="http://schemas.openxmlformats.org/drawingml/2006/picture">
                <pic:pic>
                  <pic:nvPicPr>
                    <pic:cNvPr id="619" name="Image 619"/>
                    <pic:cNvPicPr/>
                  </pic:nvPicPr>
                  <pic:blipFill>
                    <a:blip r:embed="rId246" cstate="print"/>
                    <a:stretch>
                      <a:fillRect/>
                    </a:stretch>
                  </pic:blipFill>
                  <pic:spPr>
                    <a:xfrm>
                      <a:off x="0" y="0"/>
                      <a:ext cx="152399" cy="80759"/>
                    </a:xfrm>
                    <a:prstGeom prst="rect">
                      <a:avLst/>
                    </a:prstGeom>
                  </pic:spPr>
                </pic:pic>
              </a:graphicData>
            </a:graphic>
          </wp:anchor>
        </w:drawing>
      </w:r>
      <w:bookmarkStart w:name="m. Alignment with other state initiative" w:id="899"/>
      <w:bookmarkEnd w:id="899"/>
      <w:r>
        <w:rPr/>
      </w:r>
      <w:r>
        <w:rPr/>
        <w:t>Alignment</w:t>
      </w:r>
      <w:r>
        <w:rPr>
          <w:spacing w:val="-4"/>
        </w:rPr>
        <w:t> </w:t>
      </w:r>
      <w:r>
        <w:rPr/>
        <w:t>with</w:t>
      </w:r>
      <w:r>
        <w:rPr>
          <w:spacing w:val="-2"/>
        </w:rPr>
        <w:t> </w:t>
      </w:r>
      <w:r>
        <w:rPr/>
        <w:t>other</w:t>
      </w:r>
      <w:r>
        <w:rPr>
          <w:spacing w:val="-2"/>
        </w:rPr>
        <w:t> </w:t>
      </w:r>
      <w:r>
        <w:rPr/>
        <w:t>state</w:t>
      </w:r>
      <w:r>
        <w:rPr>
          <w:spacing w:val="-2"/>
        </w:rPr>
        <w:t> initiatives.</w:t>
      </w:r>
    </w:p>
    <w:p>
      <w:pPr>
        <w:pStyle w:val="BodyText"/>
        <w:spacing w:before="10"/>
        <w:rPr>
          <w:sz w:val="20"/>
        </w:rPr>
      </w:pPr>
    </w:p>
    <w:p>
      <w:pPr>
        <w:pStyle w:val="BodyText"/>
        <w:ind w:left="691" w:right="1059"/>
      </w:pPr>
      <w:bookmarkStart w:name="Failure to submit a HRSN Implementation " w:id="900"/>
      <w:bookmarkEnd w:id="900"/>
      <w:r>
        <w:rPr/>
      </w:r>
      <w:r>
        <w:rPr/>
        <w:t>Failure to submit a HRSN Implementation Plan will be considered a material failure to comply</w:t>
      </w:r>
      <w:r>
        <w:rPr>
          <w:spacing w:val="-8"/>
        </w:rPr>
        <w:t> </w:t>
      </w:r>
      <w:r>
        <w:rPr/>
        <w:t>with</w:t>
      </w:r>
      <w:r>
        <w:rPr>
          <w:spacing w:val="-3"/>
        </w:rPr>
        <w:t> </w:t>
      </w:r>
      <w:r>
        <w:rPr/>
        <w:t>the</w:t>
      </w:r>
      <w:r>
        <w:rPr>
          <w:spacing w:val="-4"/>
        </w:rPr>
        <w:t> </w:t>
      </w:r>
      <w:r>
        <w:rPr/>
        <w:t>terms</w:t>
      </w:r>
      <w:r>
        <w:rPr>
          <w:spacing w:val="-3"/>
        </w:rPr>
        <w:t> </w:t>
      </w:r>
      <w:r>
        <w:rPr/>
        <w:t>of</w:t>
      </w:r>
      <w:r>
        <w:rPr>
          <w:spacing w:val="-2"/>
        </w:rPr>
        <w:t> </w:t>
      </w:r>
      <w:r>
        <w:rPr/>
        <w:t>the</w:t>
      </w:r>
      <w:r>
        <w:rPr>
          <w:spacing w:val="-4"/>
        </w:rPr>
        <w:t> </w:t>
      </w:r>
      <w:r>
        <w:rPr/>
        <w:t>demonstration</w:t>
      </w:r>
      <w:r>
        <w:rPr>
          <w:spacing w:val="-3"/>
        </w:rPr>
        <w:t> </w:t>
      </w:r>
      <w:r>
        <w:rPr/>
        <w:t>project</w:t>
      </w:r>
      <w:r>
        <w:rPr>
          <w:spacing w:val="-3"/>
        </w:rPr>
        <w:t> </w:t>
      </w:r>
      <w:r>
        <w:rPr/>
        <w:t>as</w:t>
      </w:r>
      <w:r>
        <w:rPr>
          <w:spacing w:val="-3"/>
        </w:rPr>
        <w:t> </w:t>
      </w:r>
      <w:r>
        <w:rPr/>
        <w:t>described</w:t>
      </w:r>
      <w:r>
        <w:rPr>
          <w:spacing w:val="-3"/>
        </w:rPr>
        <w:t> </w:t>
      </w:r>
      <w:r>
        <w:rPr/>
        <w:t>in</w:t>
      </w:r>
      <w:r>
        <w:rPr>
          <w:spacing w:val="-3"/>
        </w:rPr>
        <w:t> </w:t>
      </w:r>
      <w:r>
        <w:rPr/>
        <w:t>42</w:t>
      </w:r>
      <w:r>
        <w:rPr>
          <w:spacing w:val="-3"/>
        </w:rPr>
        <w:t> </w:t>
      </w:r>
      <w:r>
        <w:rPr/>
        <w:t>CFR 431.420(d)</w:t>
      </w:r>
      <w:r>
        <w:rPr>
          <w:spacing w:val="-4"/>
        </w:rPr>
        <w:t> </w:t>
      </w:r>
      <w:r>
        <w:rPr/>
        <w:t>and, as such, would be grounds for termination or suspension of the HRSN services initiative under this demonstration.</w:t>
      </w:r>
    </w:p>
    <w:p>
      <w:pPr>
        <w:pStyle w:val="BodyText"/>
        <w:spacing w:before="10"/>
        <w:rPr>
          <w:sz w:val="20"/>
        </w:rPr>
      </w:pPr>
    </w:p>
    <w:p>
      <w:pPr>
        <w:pStyle w:val="Heading5"/>
        <w:ind w:left="871" w:right="1059"/>
      </w:pPr>
      <w:r>
        <w:rPr/>
        <w:drawing>
          <wp:anchor distT="0" distB="0" distL="0" distR="0" allowOverlap="1" layoutInCell="1" locked="0" behindDoc="0" simplePos="0" relativeHeight="16039936">
            <wp:simplePos x="0" y="0"/>
            <wp:positionH relativeFrom="page">
              <wp:posOffset>832103</wp:posOffset>
            </wp:positionH>
            <wp:positionV relativeFrom="paragraph">
              <wp:posOffset>35599</wp:posOffset>
            </wp:positionV>
            <wp:extent cx="359663" cy="112775"/>
            <wp:effectExtent l="0" t="0" r="0" b="0"/>
            <wp:wrapNone/>
            <wp:docPr id="620" name="Image 620"/>
            <wp:cNvGraphicFramePr>
              <a:graphicFrameLocks/>
            </wp:cNvGraphicFramePr>
            <a:graphic>
              <a:graphicData uri="http://schemas.openxmlformats.org/drawingml/2006/picture">
                <pic:pic>
                  <pic:nvPicPr>
                    <pic:cNvPr id="620" name="Image 620"/>
                    <pic:cNvPicPr/>
                  </pic:nvPicPr>
                  <pic:blipFill>
                    <a:blip r:embed="rId247" cstate="print"/>
                    <a:stretch>
                      <a:fillRect/>
                    </a:stretch>
                  </pic:blipFill>
                  <pic:spPr>
                    <a:xfrm>
                      <a:off x="0" y="0"/>
                      <a:ext cx="359663" cy="112775"/>
                    </a:xfrm>
                    <a:prstGeom prst="rect">
                      <a:avLst/>
                    </a:prstGeom>
                  </pic:spPr>
                </pic:pic>
              </a:graphicData>
            </a:graphic>
          </wp:anchor>
        </w:drawing>
      </w:r>
      <w:bookmarkStart w:name="15.17. HRSN Infrastructure Investments: " w:id="901"/>
      <w:bookmarkEnd w:id="901"/>
      <w:r>
        <w:rPr>
          <w:b w:val="0"/>
        </w:rPr>
      </w:r>
      <w:r>
        <w:rPr/>
        <w:t>HRSN</w:t>
      </w:r>
      <w:r>
        <w:rPr>
          <w:spacing w:val="-6"/>
        </w:rPr>
        <w:t> </w:t>
      </w:r>
      <w:r>
        <w:rPr/>
        <w:t>Infrastructure</w:t>
      </w:r>
      <w:r>
        <w:rPr>
          <w:spacing w:val="-6"/>
        </w:rPr>
        <w:t> </w:t>
      </w:r>
      <w:r>
        <w:rPr/>
        <w:t>Investments:</w:t>
      </w:r>
      <w:r>
        <w:rPr>
          <w:spacing w:val="-6"/>
        </w:rPr>
        <w:t> </w:t>
      </w:r>
      <w:r>
        <w:rPr/>
        <w:t>Social</w:t>
      </w:r>
      <w:r>
        <w:rPr>
          <w:spacing w:val="-5"/>
        </w:rPr>
        <w:t> </w:t>
      </w:r>
      <w:r>
        <w:rPr/>
        <w:t>Service</w:t>
      </w:r>
      <w:r>
        <w:rPr>
          <w:spacing w:val="-6"/>
        </w:rPr>
        <w:t> </w:t>
      </w:r>
      <w:r>
        <w:rPr/>
        <w:t>Organization</w:t>
      </w:r>
      <w:r>
        <w:rPr>
          <w:spacing w:val="-5"/>
        </w:rPr>
        <w:t> </w:t>
      </w:r>
      <w:r>
        <w:rPr/>
        <w:t>(SSO)</w:t>
      </w:r>
      <w:r>
        <w:rPr>
          <w:spacing w:val="-6"/>
        </w:rPr>
        <w:t> </w:t>
      </w:r>
      <w:r>
        <w:rPr/>
        <w:t>Integration </w:t>
      </w:r>
      <w:r>
        <w:rPr>
          <w:spacing w:val="-4"/>
        </w:rPr>
        <w:t>Fund</w:t>
      </w:r>
    </w:p>
    <w:p>
      <w:pPr>
        <w:pStyle w:val="BodyText"/>
        <w:spacing w:before="10"/>
        <w:rPr>
          <w:b/>
          <w:sz w:val="20"/>
        </w:rPr>
      </w:pPr>
    </w:p>
    <w:p>
      <w:pPr>
        <w:pStyle w:val="BodyText"/>
        <w:ind w:left="1411" w:right="1059"/>
      </w:pPr>
      <w:r>
        <w:rPr/>
        <w:drawing>
          <wp:anchor distT="0" distB="0" distL="0" distR="0" allowOverlap="1" layoutInCell="1" locked="0" behindDoc="0" simplePos="0" relativeHeight="16040448">
            <wp:simplePos x="0" y="0"/>
            <wp:positionH relativeFrom="page">
              <wp:posOffset>1431036</wp:posOffset>
            </wp:positionH>
            <wp:positionV relativeFrom="paragraph">
              <wp:posOffset>67603</wp:posOffset>
            </wp:positionV>
            <wp:extent cx="96011" cy="80771"/>
            <wp:effectExtent l="0" t="0" r="0" b="0"/>
            <wp:wrapNone/>
            <wp:docPr id="621" name="Image 621"/>
            <wp:cNvGraphicFramePr>
              <a:graphicFrameLocks/>
            </wp:cNvGraphicFramePr>
            <a:graphic>
              <a:graphicData uri="http://schemas.openxmlformats.org/drawingml/2006/picture">
                <pic:pic>
                  <pic:nvPicPr>
                    <pic:cNvPr id="621" name="Image 621"/>
                    <pic:cNvPicPr/>
                  </pic:nvPicPr>
                  <pic:blipFill>
                    <a:blip r:embed="rId40" cstate="print"/>
                    <a:stretch>
                      <a:fillRect/>
                    </a:stretch>
                  </pic:blipFill>
                  <pic:spPr>
                    <a:xfrm>
                      <a:off x="0" y="0"/>
                      <a:ext cx="96011" cy="80771"/>
                    </a:xfrm>
                    <a:prstGeom prst="rect">
                      <a:avLst/>
                    </a:prstGeom>
                  </pic:spPr>
                </pic:pic>
              </a:graphicData>
            </a:graphic>
          </wp:anchor>
        </w:drawing>
      </w:r>
      <w:bookmarkStart w:name="a. Up to $8 million (total computable) i" w:id="902"/>
      <w:bookmarkEnd w:id="902"/>
      <w:r>
        <w:rPr/>
      </w:r>
      <w:r>
        <w:rPr/>
        <w:t>Up to $8 million (total computable) in expenditure authority</w:t>
      </w:r>
      <w:r>
        <w:rPr>
          <w:spacing w:val="-4"/>
        </w:rPr>
        <w:t> </w:t>
      </w:r>
      <w:r>
        <w:rPr/>
        <w:t>will be made available for</w:t>
      </w:r>
      <w:r>
        <w:rPr>
          <w:spacing w:val="-4"/>
        </w:rPr>
        <w:t> </w:t>
      </w:r>
      <w:r>
        <w:rPr/>
        <w:t>the</w:t>
      </w:r>
      <w:r>
        <w:rPr>
          <w:spacing w:val="-4"/>
        </w:rPr>
        <w:t> </w:t>
      </w:r>
      <w:r>
        <w:rPr/>
        <w:t>first</w:t>
      </w:r>
      <w:r>
        <w:rPr>
          <w:spacing w:val="-3"/>
        </w:rPr>
        <w:t> </w:t>
      </w:r>
      <w:r>
        <w:rPr/>
        <w:t>4 years</w:t>
      </w:r>
      <w:r>
        <w:rPr>
          <w:spacing w:val="-3"/>
        </w:rPr>
        <w:t> </w:t>
      </w:r>
      <w:r>
        <w:rPr/>
        <w:t>of</w:t>
      </w:r>
      <w:r>
        <w:rPr>
          <w:spacing w:val="-4"/>
        </w:rPr>
        <w:t> </w:t>
      </w:r>
      <w:r>
        <w:rPr/>
        <w:t>the</w:t>
      </w:r>
      <w:r>
        <w:rPr>
          <w:spacing w:val="-2"/>
        </w:rPr>
        <w:t> </w:t>
      </w:r>
      <w:r>
        <w:rPr/>
        <w:t>demonstration,</w:t>
      </w:r>
      <w:r>
        <w:rPr>
          <w:spacing w:val="-3"/>
        </w:rPr>
        <w:t> </w:t>
      </w:r>
      <w:r>
        <w:rPr/>
        <w:t>in</w:t>
      </w:r>
      <w:r>
        <w:rPr>
          <w:spacing w:val="-3"/>
        </w:rPr>
        <w:t> </w:t>
      </w:r>
      <w:r>
        <w:rPr/>
        <w:t>order</w:t>
      </w:r>
      <w:r>
        <w:rPr>
          <w:spacing w:val="-4"/>
        </w:rPr>
        <w:t> </w:t>
      </w:r>
      <w:r>
        <w:rPr/>
        <w:t>for</w:t>
      </w:r>
      <w:r>
        <w:rPr>
          <w:spacing w:val="-4"/>
        </w:rPr>
        <w:t> </w:t>
      </w:r>
      <w:r>
        <w:rPr/>
        <w:t>the</w:t>
      </w:r>
      <w:r>
        <w:rPr>
          <w:spacing w:val="-4"/>
        </w:rPr>
        <w:t> </w:t>
      </w:r>
      <w:r>
        <w:rPr/>
        <w:t>Commonwealth</w:t>
      </w:r>
      <w:r>
        <w:rPr>
          <w:spacing w:val="-3"/>
        </w:rPr>
        <w:t> </w:t>
      </w:r>
      <w:r>
        <w:rPr/>
        <w:t>to</w:t>
      </w:r>
      <w:r>
        <w:rPr>
          <w:spacing w:val="-3"/>
        </w:rPr>
        <w:t> </w:t>
      </w:r>
      <w:r>
        <w:rPr/>
        <w:t>support the development and implementation of HRSN services.</w:t>
      </w:r>
      <w:r>
        <w:rPr>
          <w:spacing w:val="40"/>
        </w:rPr>
        <w:t> </w:t>
      </w:r>
      <w:r>
        <w:rPr/>
        <w:t>Funding will be available for the following activities, subject to the exclusions in STC 15.4:</w:t>
      </w:r>
    </w:p>
    <w:p>
      <w:pPr>
        <w:pStyle w:val="BodyText"/>
        <w:spacing w:before="10"/>
        <w:rPr>
          <w:sz w:val="20"/>
        </w:rPr>
      </w:pPr>
    </w:p>
    <w:p>
      <w:pPr>
        <w:pStyle w:val="BodyText"/>
        <w:ind w:left="2040" w:right="1059"/>
      </w:pPr>
      <w:r>
        <w:rPr/>
        <w:drawing>
          <wp:anchor distT="0" distB="0" distL="0" distR="0" allowOverlap="1" layoutInCell="1" locked="0" behindDoc="0" simplePos="0" relativeHeight="16040960">
            <wp:simplePos x="0" y="0"/>
            <wp:positionH relativeFrom="page">
              <wp:posOffset>1862327</wp:posOffset>
            </wp:positionH>
            <wp:positionV relativeFrom="paragraph">
              <wp:posOffset>32551</wp:posOffset>
            </wp:positionV>
            <wp:extent cx="73151" cy="115823"/>
            <wp:effectExtent l="0" t="0" r="0" b="0"/>
            <wp:wrapNone/>
            <wp:docPr id="622" name="Image 622"/>
            <wp:cNvGraphicFramePr>
              <a:graphicFrameLocks/>
            </wp:cNvGraphicFramePr>
            <a:graphic>
              <a:graphicData uri="http://schemas.openxmlformats.org/drawingml/2006/picture">
                <pic:pic>
                  <pic:nvPicPr>
                    <pic:cNvPr id="622" name="Image 622"/>
                    <pic:cNvPicPr/>
                  </pic:nvPicPr>
                  <pic:blipFill>
                    <a:blip r:embed="rId61" cstate="print"/>
                    <a:stretch>
                      <a:fillRect/>
                    </a:stretch>
                  </pic:blipFill>
                  <pic:spPr>
                    <a:xfrm>
                      <a:off x="0" y="0"/>
                      <a:ext cx="73151" cy="115823"/>
                    </a:xfrm>
                    <a:prstGeom prst="rect">
                      <a:avLst/>
                    </a:prstGeom>
                  </pic:spPr>
                </pic:pic>
              </a:graphicData>
            </a:graphic>
          </wp:anchor>
        </w:drawing>
      </w:r>
      <w:bookmarkStart w:name="i. Technology – e.g., electronic referra" w:id="903"/>
      <w:bookmarkEnd w:id="903"/>
      <w:r>
        <w:rPr/>
      </w:r>
      <w:r>
        <w:rPr/>
        <w:t>Technology – e.g., electronic referral systems, shared data platforms, EHR adaptations or data bridges, screening and/or case management systems, databases/data</w:t>
      </w:r>
      <w:r>
        <w:rPr>
          <w:spacing w:val="-6"/>
        </w:rPr>
        <w:t> </w:t>
      </w:r>
      <w:r>
        <w:rPr/>
        <w:t>warehouses,</w:t>
      </w:r>
      <w:r>
        <w:rPr>
          <w:spacing w:val="-5"/>
        </w:rPr>
        <w:t> </w:t>
      </w:r>
      <w:r>
        <w:rPr/>
        <w:t>data</w:t>
      </w:r>
      <w:r>
        <w:rPr>
          <w:spacing w:val="-6"/>
        </w:rPr>
        <w:t> </w:t>
      </w:r>
      <w:r>
        <w:rPr/>
        <w:t>analytics</w:t>
      </w:r>
      <w:r>
        <w:rPr>
          <w:spacing w:val="-3"/>
        </w:rPr>
        <w:t> </w:t>
      </w:r>
      <w:r>
        <w:rPr/>
        <w:t>and</w:t>
      </w:r>
      <w:r>
        <w:rPr>
          <w:spacing w:val="-5"/>
        </w:rPr>
        <w:t> </w:t>
      </w:r>
      <w:r>
        <w:rPr/>
        <w:t>reporting,</w:t>
      </w:r>
      <w:r>
        <w:rPr>
          <w:spacing w:val="-5"/>
        </w:rPr>
        <w:t> </w:t>
      </w:r>
      <w:r>
        <w:rPr/>
        <w:t>data</w:t>
      </w:r>
      <w:r>
        <w:rPr>
          <w:spacing w:val="-6"/>
        </w:rPr>
        <w:t> </w:t>
      </w:r>
      <w:r>
        <w:rPr/>
        <w:t>protections</w:t>
      </w:r>
      <w:r>
        <w:rPr>
          <w:spacing w:val="-5"/>
        </w:rPr>
        <w:t> </w:t>
      </w:r>
      <w:r>
        <w:rPr/>
        <w:t>and privacy, accounting and billing systems.</w:t>
      </w:r>
    </w:p>
    <w:p>
      <w:pPr>
        <w:pStyle w:val="BodyText"/>
        <w:spacing w:before="159"/>
        <w:ind w:left="2039" w:right="1059"/>
      </w:pPr>
      <w:r>
        <w:rPr/>
        <w:drawing>
          <wp:anchor distT="0" distB="0" distL="0" distR="0" allowOverlap="1" layoutInCell="1" locked="0" behindDoc="0" simplePos="0" relativeHeight="16041472">
            <wp:simplePos x="0" y="0"/>
            <wp:positionH relativeFrom="page">
              <wp:posOffset>1819655</wp:posOffset>
            </wp:positionH>
            <wp:positionV relativeFrom="paragraph">
              <wp:posOffset>133516</wp:posOffset>
            </wp:positionV>
            <wp:extent cx="115823" cy="115823"/>
            <wp:effectExtent l="0" t="0" r="0" b="0"/>
            <wp:wrapNone/>
            <wp:docPr id="623" name="Image 623"/>
            <wp:cNvGraphicFramePr>
              <a:graphicFrameLocks/>
            </wp:cNvGraphicFramePr>
            <a:graphic>
              <a:graphicData uri="http://schemas.openxmlformats.org/drawingml/2006/picture">
                <pic:pic>
                  <pic:nvPicPr>
                    <pic:cNvPr id="623" name="Image 623"/>
                    <pic:cNvPicPr/>
                  </pic:nvPicPr>
                  <pic:blipFill>
                    <a:blip r:embed="rId62" cstate="print"/>
                    <a:stretch>
                      <a:fillRect/>
                    </a:stretch>
                  </pic:blipFill>
                  <pic:spPr>
                    <a:xfrm>
                      <a:off x="0" y="0"/>
                      <a:ext cx="115823" cy="115823"/>
                    </a:xfrm>
                    <a:prstGeom prst="rect">
                      <a:avLst/>
                    </a:prstGeom>
                  </pic:spPr>
                </pic:pic>
              </a:graphicData>
            </a:graphic>
          </wp:anchor>
        </w:drawing>
      </w:r>
      <w:bookmarkStart w:name="ii. Developing business or operational p" w:id="904"/>
      <w:bookmarkEnd w:id="904"/>
      <w:r>
        <w:rPr/>
      </w:r>
      <w:r>
        <w:rPr/>
        <w:t>Developing business or operational practices to support delivery of Flexible Services – e.g., developing policies and workflows for referral management, privacy,</w:t>
      </w:r>
      <w:r>
        <w:rPr>
          <w:spacing w:val="-6"/>
        </w:rPr>
        <w:t> </w:t>
      </w:r>
      <w:r>
        <w:rPr/>
        <w:t>quality</w:t>
      </w:r>
      <w:r>
        <w:rPr>
          <w:spacing w:val="-11"/>
        </w:rPr>
        <w:t> </w:t>
      </w:r>
      <w:r>
        <w:rPr/>
        <w:t>improvement,</w:t>
      </w:r>
      <w:r>
        <w:rPr>
          <w:spacing w:val="-6"/>
        </w:rPr>
        <w:t> </w:t>
      </w:r>
      <w:r>
        <w:rPr/>
        <w:t>trauma-informed</w:t>
      </w:r>
      <w:r>
        <w:rPr>
          <w:spacing w:val="-6"/>
        </w:rPr>
        <w:t> </w:t>
      </w:r>
      <w:r>
        <w:rPr/>
        <w:t>practices,</w:t>
      </w:r>
      <w:r>
        <w:rPr>
          <w:spacing w:val="-4"/>
        </w:rPr>
        <w:t> </w:t>
      </w:r>
      <w:r>
        <w:rPr/>
        <w:t>evaluation,</w:t>
      </w:r>
      <w:r>
        <w:rPr>
          <w:spacing w:val="-6"/>
        </w:rPr>
        <w:t> </w:t>
      </w:r>
      <w:r>
        <w:rPr/>
        <w:t>member </w:t>
      </w:r>
      <w:r>
        <w:rPr>
          <w:spacing w:val="-2"/>
        </w:rPr>
        <w:t>navigation.</w:t>
      </w:r>
    </w:p>
    <w:p>
      <w:pPr>
        <w:pStyle w:val="BodyText"/>
        <w:spacing w:before="161"/>
        <w:ind w:left="2039" w:right="1045"/>
      </w:pPr>
      <w:r>
        <w:rPr/>
        <w:drawing>
          <wp:anchor distT="0" distB="0" distL="0" distR="0" allowOverlap="1" layoutInCell="1" locked="0" behindDoc="0" simplePos="0" relativeHeight="16041984">
            <wp:simplePos x="0" y="0"/>
            <wp:positionH relativeFrom="page">
              <wp:posOffset>1778507</wp:posOffset>
            </wp:positionH>
            <wp:positionV relativeFrom="paragraph">
              <wp:posOffset>134786</wp:posOffset>
            </wp:positionV>
            <wp:extent cx="158495" cy="115823"/>
            <wp:effectExtent l="0" t="0" r="0" b="0"/>
            <wp:wrapNone/>
            <wp:docPr id="624" name="Image 624"/>
            <wp:cNvGraphicFramePr>
              <a:graphicFrameLocks/>
            </wp:cNvGraphicFramePr>
            <a:graphic>
              <a:graphicData uri="http://schemas.openxmlformats.org/drawingml/2006/picture">
                <pic:pic>
                  <pic:nvPicPr>
                    <pic:cNvPr id="624" name="Image 624"/>
                    <pic:cNvPicPr/>
                  </pic:nvPicPr>
                  <pic:blipFill>
                    <a:blip r:embed="rId65" cstate="print"/>
                    <a:stretch>
                      <a:fillRect/>
                    </a:stretch>
                  </pic:blipFill>
                  <pic:spPr>
                    <a:xfrm>
                      <a:off x="0" y="0"/>
                      <a:ext cx="158495" cy="115823"/>
                    </a:xfrm>
                    <a:prstGeom prst="rect">
                      <a:avLst/>
                    </a:prstGeom>
                  </pic:spPr>
                </pic:pic>
              </a:graphicData>
            </a:graphic>
          </wp:anchor>
        </w:drawing>
      </w:r>
      <w:bookmarkStart w:name="iii. Workforce development – e.g., cultu" w:id="905"/>
      <w:bookmarkEnd w:id="905"/>
      <w:r>
        <w:rPr/>
      </w:r>
      <w:r>
        <w:rPr/>
        <w:t>Workforce</w:t>
      </w:r>
      <w:r>
        <w:rPr>
          <w:spacing w:val="-6"/>
        </w:rPr>
        <w:t> </w:t>
      </w:r>
      <w:r>
        <w:rPr/>
        <w:t>development</w:t>
      </w:r>
      <w:r>
        <w:rPr>
          <w:spacing w:val="-3"/>
        </w:rPr>
        <w:t> </w:t>
      </w:r>
      <w:r>
        <w:rPr/>
        <w:t>–</w:t>
      </w:r>
      <w:r>
        <w:rPr>
          <w:spacing w:val="-5"/>
        </w:rPr>
        <w:t> </w:t>
      </w:r>
      <w:r>
        <w:rPr/>
        <w:t>e.g.,</w:t>
      </w:r>
      <w:r>
        <w:rPr>
          <w:spacing w:val="-3"/>
        </w:rPr>
        <w:t> </w:t>
      </w:r>
      <w:r>
        <w:rPr/>
        <w:t>cultural</w:t>
      </w:r>
      <w:r>
        <w:rPr>
          <w:spacing w:val="-5"/>
        </w:rPr>
        <w:t> </w:t>
      </w:r>
      <w:r>
        <w:rPr/>
        <w:t>competency</w:t>
      </w:r>
      <w:r>
        <w:rPr>
          <w:spacing w:val="-10"/>
        </w:rPr>
        <w:t> </w:t>
      </w:r>
      <w:r>
        <w:rPr/>
        <w:t>training,</w:t>
      </w:r>
      <w:r>
        <w:rPr>
          <w:spacing w:val="-5"/>
        </w:rPr>
        <w:t> </w:t>
      </w:r>
      <w:r>
        <w:rPr/>
        <w:t>trauma-informed training, Community Health Worker (CHW) certification, training staff on new policies and procedures.</w:t>
      </w:r>
    </w:p>
    <w:p>
      <w:pPr>
        <w:pStyle w:val="BodyText"/>
        <w:spacing w:before="161"/>
        <w:ind w:left="2040" w:right="1086"/>
      </w:pPr>
      <w:r>
        <w:rPr/>
        <w:drawing>
          <wp:anchor distT="0" distB="0" distL="0" distR="0" allowOverlap="1" layoutInCell="1" locked="0" behindDoc="0" simplePos="0" relativeHeight="16042496">
            <wp:simplePos x="0" y="0"/>
            <wp:positionH relativeFrom="page">
              <wp:posOffset>1786127</wp:posOffset>
            </wp:positionH>
            <wp:positionV relativeFrom="paragraph">
              <wp:posOffset>134786</wp:posOffset>
            </wp:positionV>
            <wp:extent cx="149339" cy="115823"/>
            <wp:effectExtent l="0" t="0" r="0" b="0"/>
            <wp:wrapNone/>
            <wp:docPr id="625" name="Image 625"/>
            <wp:cNvGraphicFramePr>
              <a:graphicFrameLocks/>
            </wp:cNvGraphicFramePr>
            <a:graphic>
              <a:graphicData uri="http://schemas.openxmlformats.org/drawingml/2006/picture">
                <pic:pic>
                  <pic:nvPicPr>
                    <pic:cNvPr id="625" name="Image 625"/>
                    <pic:cNvPicPr/>
                  </pic:nvPicPr>
                  <pic:blipFill>
                    <a:blip r:embed="rId96" cstate="print"/>
                    <a:stretch>
                      <a:fillRect/>
                    </a:stretch>
                  </pic:blipFill>
                  <pic:spPr>
                    <a:xfrm>
                      <a:off x="0" y="0"/>
                      <a:ext cx="149339" cy="115823"/>
                    </a:xfrm>
                    <a:prstGeom prst="rect">
                      <a:avLst/>
                    </a:prstGeom>
                  </pic:spPr>
                </pic:pic>
              </a:graphicData>
            </a:graphic>
          </wp:anchor>
        </w:drawing>
      </w:r>
      <w:bookmarkStart w:name="iv. Outreach and education – e.g., desig" w:id="906"/>
      <w:bookmarkEnd w:id="906"/>
      <w:r>
        <w:rPr/>
      </w:r>
      <w:r>
        <w:rPr/>
        <w:t>Outreach</w:t>
      </w:r>
      <w:r>
        <w:rPr>
          <w:spacing w:val="-3"/>
        </w:rPr>
        <w:t> </w:t>
      </w:r>
      <w:r>
        <w:rPr/>
        <w:t>and</w:t>
      </w:r>
      <w:r>
        <w:rPr>
          <w:spacing w:val="-5"/>
        </w:rPr>
        <w:t> </w:t>
      </w:r>
      <w:r>
        <w:rPr/>
        <w:t>education</w:t>
      </w:r>
      <w:r>
        <w:rPr>
          <w:spacing w:val="-3"/>
        </w:rPr>
        <w:t> </w:t>
      </w:r>
      <w:r>
        <w:rPr/>
        <w:t>–</w:t>
      </w:r>
      <w:r>
        <w:rPr>
          <w:spacing w:val="-5"/>
        </w:rPr>
        <w:t> </w:t>
      </w:r>
      <w:r>
        <w:rPr/>
        <w:t>e.g.,</w:t>
      </w:r>
      <w:r>
        <w:rPr>
          <w:spacing w:val="-5"/>
        </w:rPr>
        <w:t> </w:t>
      </w:r>
      <w:r>
        <w:rPr/>
        <w:t>design</w:t>
      </w:r>
      <w:r>
        <w:rPr>
          <w:spacing w:val="-5"/>
        </w:rPr>
        <w:t> </w:t>
      </w:r>
      <w:r>
        <w:rPr/>
        <w:t>and</w:t>
      </w:r>
      <w:r>
        <w:rPr>
          <w:spacing w:val="-5"/>
        </w:rPr>
        <w:t> </w:t>
      </w:r>
      <w:r>
        <w:rPr/>
        <w:t>production</w:t>
      </w:r>
      <w:r>
        <w:rPr>
          <w:spacing w:val="-5"/>
        </w:rPr>
        <w:t> </w:t>
      </w:r>
      <w:r>
        <w:rPr/>
        <w:t>of</w:t>
      </w:r>
      <w:r>
        <w:rPr>
          <w:spacing w:val="-6"/>
        </w:rPr>
        <w:t> </w:t>
      </w:r>
      <w:r>
        <w:rPr/>
        <w:t>outreach</w:t>
      </w:r>
      <w:r>
        <w:rPr>
          <w:spacing w:val="-3"/>
        </w:rPr>
        <w:t> </w:t>
      </w:r>
      <w:r>
        <w:rPr/>
        <w:t>and education materials, translation, obtaining community input.</w:t>
      </w:r>
    </w:p>
    <w:p>
      <w:pPr>
        <w:pStyle w:val="BodyText"/>
        <w:spacing w:before="199"/>
        <w:ind w:left="1411" w:right="1086"/>
      </w:pPr>
      <w:r>
        <w:rPr/>
        <w:drawing>
          <wp:anchor distT="0" distB="0" distL="0" distR="0" allowOverlap="1" layoutInCell="1" locked="0" behindDoc="0" simplePos="0" relativeHeight="16043008">
            <wp:simplePos x="0" y="0"/>
            <wp:positionH relativeFrom="page">
              <wp:posOffset>1424939</wp:posOffset>
            </wp:positionH>
            <wp:positionV relativeFrom="paragraph">
              <wp:posOffset>158916</wp:posOffset>
            </wp:positionV>
            <wp:extent cx="111251" cy="115823"/>
            <wp:effectExtent l="0" t="0" r="0" b="0"/>
            <wp:wrapNone/>
            <wp:docPr id="626" name="Image 626"/>
            <wp:cNvGraphicFramePr>
              <a:graphicFrameLocks/>
            </wp:cNvGraphicFramePr>
            <a:graphic>
              <a:graphicData uri="http://schemas.openxmlformats.org/drawingml/2006/picture">
                <pic:pic>
                  <pic:nvPicPr>
                    <pic:cNvPr id="626" name="Image 626"/>
                    <pic:cNvPicPr/>
                  </pic:nvPicPr>
                  <pic:blipFill>
                    <a:blip r:embed="rId34" cstate="print"/>
                    <a:stretch>
                      <a:fillRect/>
                    </a:stretch>
                  </pic:blipFill>
                  <pic:spPr>
                    <a:xfrm>
                      <a:off x="0" y="0"/>
                      <a:ext cx="111251" cy="115823"/>
                    </a:xfrm>
                    <a:prstGeom prst="rect">
                      <a:avLst/>
                    </a:prstGeom>
                  </pic:spPr>
                </pic:pic>
              </a:graphicData>
            </a:graphic>
          </wp:anchor>
        </w:drawing>
      </w:r>
      <w:bookmarkStart w:name="b. This infrastructure funding is separa" w:id="907"/>
      <w:bookmarkEnd w:id="907"/>
      <w:r>
        <w:rPr/>
      </w:r>
      <w:r>
        <w:rPr/>
        <w:t>This infrastructure funding is separate and distinct from the payment to the applicable</w:t>
      </w:r>
      <w:r>
        <w:rPr>
          <w:spacing w:val="-4"/>
        </w:rPr>
        <w:t> </w:t>
      </w:r>
      <w:r>
        <w:rPr/>
        <w:t>managed</w:t>
      </w:r>
      <w:r>
        <w:rPr>
          <w:spacing w:val="-3"/>
        </w:rPr>
        <w:t> </w:t>
      </w:r>
      <w:r>
        <w:rPr/>
        <w:t>care</w:t>
      </w:r>
      <w:r>
        <w:rPr>
          <w:spacing w:val="-2"/>
        </w:rPr>
        <w:t> </w:t>
      </w:r>
      <w:r>
        <w:rPr/>
        <w:t>plans</w:t>
      </w:r>
      <w:r>
        <w:rPr>
          <w:spacing w:val="-3"/>
        </w:rPr>
        <w:t> </w:t>
      </w:r>
      <w:r>
        <w:rPr/>
        <w:t>for</w:t>
      </w:r>
      <w:r>
        <w:rPr>
          <w:spacing w:val="-4"/>
        </w:rPr>
        <w:t> </w:t>
      </w:r>
      <w:r>
        <w:rPr/>
        <w:t>delivery</w:t>
      </w:r>
      <w:r>
        <w:rPr>
          <w:spacing w:val="-8"/>
        </w:rPr>
        <w:t> </w:t>
      </w:r>
      <w:r>
        <w:rPr/>
        <w:t>of</w:t>
      </w:r>
      <w:r>
        <w:rPr>
          <w:spacing w:val="-4"/>
        </w:rPr>
        <w:t> </w:t>
      </w:r>
      <w:r>
        <w:rPr/>
        <w:t>HRSN</w:t>
      </w:r>
      <w:r>
        <w:rPr>
          <w:spacing w:val="-4"/>
        </w:rPr>
        <w:t> </w:t>
      </w:r>
      <w:r>
        <w:rPr/>
        <w:t>services.</w:t>
      </w:r>
      <w:r>
        <w:rPr>
          <w:spacing w:val="40"/>
        </w:rPr>
        <w:t> </w:t>
      </w:r>
      <w:r>
        <w:rPr/>
        <w:t>The</w:t>
      </w:r>
      <w:r>
        <w:rPr>
          <w:spacing w:val="-4"/>
        </w:rPr>
        <w:t> </w:t>
      </w:r>
      <w:r>
        <w:rPr/>
        <w:t>Commonwealth must ensure there is no duplication of funds.</w:t>
      </w:r>
      <w:r>
        <w:rPr>
          <w:spacing w:val="40"/>
        </w:rPr>
        <w:t> </w:t>
      </w:r>
      <w:r>
        <w:rPr/>
        <w:t>HRSN infrastructure funding</w:t>
      </w:r>
      <w:r>
        <w:rPr>
          <w:spacing w:val="-1"/>
        </w:rPr>
        <w:t> </w:t>
      </w:r>
      <w:r>
        <w:rPr/>
        <w:t>must be claimed at the applicable administrative match rate.</w:t>
      </w:r>
    </w:p>
    <w:p>
      <w:pPr>
        <w:spacing w:after="0"/>
        <w:sectPr>
          <w:pgSz w:w="12240" w:h="15840"/>
          <w:pgMar w:header="0" w:footer="1201" w:top="1360" w:bottom="1400" w:left="1200" w:right="400"/>
        </w:sectPr>
      </w:pPr>
    </w:p>
    <w:p>
      <w:pPr>
        <w:pStyle w:val="BodyText"/>
        <w:spacing w:before="79"/>
        <w:ind w:left="1411" w:right="1086"/>
      </w:pPr>
      <w:r>
        <w:rPr/>
        <w:drawing>
          <wp:anchor distT="0" distB="0" distL="0" distR="0" allowOverlap="1" layoutInCell="1" locked="0" behindDoc="0" simplePos="0" relativeHeight="16043520">
            <wp:simplePos x="0" y="0"/>
            <wp:positionH relativeFrom="page">
              <wp:posOffset>1431036</wp:posOffset>
            </wp:positionH>
            <wp:positionV relativeFrom="paragraph">
              <wp:posOffset>117781</wp:posOffset>
            </wp:positionV>
            <wp:extent cx="96011" cy="80759"/>
            <wp:effectExtent l="0" t="0" r="0" b="0"/>
            <wp:wrapNone/>
            <wp:docPr id="627" name="Image 627"/>
            <wp:cNvGraphicFramePr>
              <a:graphicFrameLocks/>
            </wp:cNvGraphicFramePr>
            <a:graphic>
              <a:graphicData uri="http://schemas.openxmlformats.org/drawingml/2006/picture">
                <pic:pic>
                  <pic:nvPicPr>
                    <pic:cNvPr id="627" name="Image 627"/>
                    <pic:cNvPicPr/>
                  </pic:nvPicPr>
                  <pic:blipFill>
                    <a:blip r:embed="rId35" cstate="print"/>
                    <a:stretch>
                      <a:fillRect/>
                    </a:stretch>
                  </pic:blipFill>
                  <pic:spPr>
                    <a:xfrm>
                      <a:off x="0" y="0"/>
                      <a:ext cx="96011" cy="80759"/>
                    </a:xfrm>
                    <a:prstGeom prst="rect">
                      <a:avLst/>
                    </a:prstGeom>
                  </pic:spPr>
                </pic:pic>
              </a:graphicData>
            </a:graphic>
          </wp:anchor>
        </w:drawing>
      </w:r>
      <w:bookmarkStart w:name="c. To the extent the Commonwealth reques" w:id="908"/>
      <w:bookmarkEnd w:id="908"/>
      <w:r>
        <w:rPr/>
      </w:r>
      <w:r>
        <w:rPr/>
        <w:t>To the extent the Commonwealth requests any additional Social Service Organization</w:t>
      </w:r>
      <w:r>
        <w:rPr>
          <w:spacing w:val="-2"/>
        </w:rPr>
        <w:t> </w:t>
      </w:r>
      <w:r>
        <w:rPr/>
        <w:t>Infrastructure</w:t>
      </w:r>
      <w:r>
        <w:rPr>
          <w:spacing w:val="-5"/>
        </w:rPr>
        <w:t> </w:t>
      </w:r>
      <w:r>
        <w:rPr/>
        <w:t>funding,</w:t>
      </w:r>
      <w:r>
        <w:rPr>
          <w:spacing w:val="-4"/>
        </w:rPr>
        <w:t> </w:t>
      </w:r>
      <w:r>
        <w:rPr/>
        <w:t>or</w:t>
      </w:r>
      <w:r>
        <w:rPr>
          <w:spacing w:val="-3"/>
        </w:rPr>
        <w:t> </w:t>
      </w:r>
      <w:r>
        <w:rPr/>
        <w:t>changes</w:t>
      </w:r>
      <w:r>
        <w:rPr>
          <w:spacing w:val="-4"/>
        </w:rPr>
        <w:t> </w:t>
      </w:r>
      <w:r>
        <w:rPr/>
        <w:t>to</w:t>
      </w:r>
      <w:r>
        <w:rPr>
          <w:spacing w:val="-2"/>
        </w:rPr>
        <w:t> </w:t>
      </w:r>
      <w:r>
        <w:rPr/>
        <w:t>its</w:t>
      </w:r>
      <w:r>
        <w:rPr>
          <w:spacing w:val="-4"/>
        </w:rPr>
        <w:t> </w:t>
      </w:r>
      <w:r>
        <w:rPr/>
        <w:t>scope</w:t>
      </w:r>
      <w:r>
        <w:rPr>
          <w:spacing w:val="-6"/>
        </w:rPr>
        <w:t> </w:t>
      </w:r>
      <w:r>
        <w:rPr/>
        <w:t>as</w:t>
      </w:r>
      <w:r>
        <w:rPr>
          <w:spacing w:val="-4"/>
        </w:rPr>
        <w:t> </w:t>
      </w:r>
      <w:r>
        <w:rPr/>
        <w:t>described</w:t>
      </w:r>
      <w:r>
        <w:rPr>
          <w:spacing w:val="-4"/>
        </w:rPr>
        <w:t> </w:t>
      </w:r>
      <w:r>
        <w:rPr/>
        <w:t>within</w:t>
      </w:r>
      <w:r>
        <w:rPr>
          <w:spacing w:val="-4"/>
        </w:rPr>
        <w:t> </w:t>
      </w:r>
      <w:r>
        <w:rPr/>
        <w:t>this STC, it must submit an amendment to the demonstration for CMS’s consideration.</w:t>
      </w:r>
    </w:p>
    <w:p>
      <w:pPr>
        <w:pStyle w:val="BodyText"/>
        <w:spacing w:before="10"/>
        <w:rPr>
          <w:sz w:val="20"/>
        </w:rPr>
      </w:pPr>
    </w:p>
    <w:p>
      <w:pPr>
        <w:pStyle w:val="BodyText"/>
        <w:ind w:left="1411" w:right="1089"/>
      </w:pPr>
      <w:r>
        <w:rPr/>
        <w:drawing>
          <wp:anchor distT="0" distB="0" distL="0" distR="0" allowOverlap="1" layoutInCell="1" locked="0" behindDoc="0" simplePos="0" relativeHeight="16044032">
            <wp:simplePos x="0" y="0"/>
            <wp:positionH relativeFrom="page">
              <wp:posOffset>1431036</wp:posOffset>
            </wp:positionH>
            <wp:positionV relativeFrom="paragraph">
              <wp:posOffset>32551</wp:posOffset>
            </wp:positionV>
            <wp:extent cx="105155" cy="115823"/>
            <wp:effectExtent l="0" t="0" r="0" b="0"/>
            <wp:wrapNone/>
            <wp:docPr id="628" name="Image 628"/>
            <wp:cNvGraphicFramePr>
              <a:graphicFrameLocks/>
            </wp:cNvGraphicFramePr>
            <a:graphic>
              <a:graphicData uri="http://schemas.openxmlformats.org/drawingml/2006/picture">
                <pic:pic>
                  <pic:nvPicPr>
                    <pic:cNvPr id="628" name="Image 628"/>
                    <pic:cNvPicPr/>
                  </pic:nvPicPr>
                  <pic:blipFill>
                    <a:blip r:embed="rId36" cstate="print"/>
                    <a:stretch>
                      <a:fillRect/>
                    </a:stretch>
                  </pic:blipFill>
                  <pic:spPr>
                    <a:xfrm>
                      <a:off x="0" y="0"/>
                      <a:ext cx="105155" cy="115823"/>
                    </a:xfrm>
                    <a:prstGeom prst="rect">
                      <a:avLst/>
                    </a:prstGeom>
                  </pic:spPr>
                </pic:pic>
              </a:graphicData>
            </a:graphic>
          </wp:anchor>
        </w:drawing>
      </w:r>
      <w:bookmarkStart w:name="d. The Commonwealth may not claim any FF" w:id="909"/>
      <w:bookmarkEnd w:id="909"/>
      <w:r>
        <w:rPr/>
      </w:r>
      <w:r>
        <w:rPr/>
        <w:t>The Commonwealth may not claim any FFP for Social Service Organization Infrastructure funding until the Protocol for Assessment of Beneficiary Eligibility and Needs, Infrastructure Planning, and Provider Qualifications is approved.</w:t>
      </w:r>
      <w:r>
        <w:rPr>
          <w:spacing w:val="40"/>
        </w:rPr>
        <w:t> </w:t>
      </w:r>
      <w:r>
        <w:rPr/>
        <w:t>Once approved,</w:t>
      </w:r>
      <w:r>
        <w:rPr>
          <w:spacing w:val="-4"/>
        </w:rPr>
        <w:t> </w:t>
      </w:r>
      <w:r>
        <w:rPr/>
        <w:t>the</w:t>
      </w:r>
      <w:r>
        <w:rPr>
          <w:spacing w:val="-5"/>
        </w:rPr>
        <w:t> </w:t>
      </w:r>
      <w:r>
        <w:rPr/>
        <w:t>Commonwealth</w:t>
      </w:r>
      <w:r>
        <w:rPr>
          <w:spacing w:val="-4"/>
        </w:rPr>
        <w:t> </w:t>
      </w:r>
      <w:r>
        <w:rPr/>
        <w:t>can</w:t>
      </w:r>
      <w:r>
        <w:rPr>
          <w:spacing w:val="-2"/>
        </w:rPr>
        <w:t> </w:t>
      </w:r>
      <w:r>
        <w:rPr/>
        <w:t>claim</w:t>
      </w:r>
      <w:r>
        <w:rPr>
          <w:spacing w:val="-4"/>
        </w:rPr>
        <w:t> </w:t>
      </w:r>
      <w:r>
        <w:rPr/>
        <w:t>FFP</w:t>
      </w:r>
      <w:r>
        <w:rPr>
          <w:spacing w:val="-4"/>
        </w:rPr>
        <w:t> </w:t>
      </w:r>
      <w:r>
        <w:rPr/>
        <w:t>for</w:t>
      </w:r>
      <w:r>
        <w:rPr>
          <w:spacing w:val="-3"/>
        </w:rPr>
        <w:t> </w:t>
      </w:r>
      <w:r>
        <w:rPr/>
        <w:t>HRSN</w:t>
      </w:r>
      <w:r>
        <w:rPr>
          <w:spacing w:val="-5"/>
        </w:rPr>
        <w:t> </w:t>
      </w:r>
      <w:r>
        <w:rPr/>
        <w:t>Social</w:t>
      </w:r>
      <w:r>
        <w:rPr>
          <w:spacing w:val="-4"/>
        </w:rPr>
        <w:t> </w:t>
      </w:r>
      <w:r>
        <w:rPr/>
        <w:t>Service</w:t>
      </w:r>
      <w:r>
        <w:rPr>
          <w:spacing w:val="-5"/>
        </w:rPr>
        <w:t> </w:t>
      </w:r>
      <w:r>
        <w:rPr/>
        <w:t>Organization Infrastructure funding retrospectively to the beginning of the extension approval </w:t>
      </w:r>
      <w:r>
        <w:rPr>
          <w:spacing w:val="-2"/>
        </w:rPr>
        <w:t>date.</w:t>
      </w:r>
    </w:p>
    <w:p>
      <w:pPr>
        <w:pStyle w:val="BodyText"/>
        <w:spacing w:before="10"/>
        <w:rPr>
          <w:sz w:val="20"/>
        </w:rPr>
      </w:pPr>
    </w:p>
    <w:p>
      <w:pPr>
        <w:pStyle w:val="BodyText"/>
        <w:ind w:left="871" w:right="1059"/>
      </w:pPr>
      <w:r>
        <w:rPr/>
        <w:drawing>
          <wp:anchor distT="0" distB="0" distL="0" distR="0" allowOverlap="1" layoutInCell="1" locked="0" behindDoc="0" simplePos="0" relativeHeight="16044544">
            <wp:simplePos x="0" y="0"/>
            <wp:positionH relativeFrom="page">
              <wp:posOffset>832103</wp:posOffset>
            </wp:positionH>
            <wp:positionV relativeFrom="paragraph">
              <wp:posOffset>35599</wp:posOffset>
            </wp:positionV>
            <wp:extent cx="359663" cy="112775"/>
            <wp:effectExtent l="0" t="0" r="0" b="0"/>
            <wp:wrapNone/>
            <wp:docPr id="629" name="Image 629"/>
            <wp:cNvGraphicFramePr>
              <a:graphicFrameLocks/>
            </wp:cNvGraphicFramePr>
            <a:graphic>
              <a:graphicData uri="http://schemas.openxmlformats.org/drawingml/2006/picture">
                <pic:pic>
                  <pic:nvPicPr>
                    <pic:cNvPr id="629" name="Image 629"/>
                    <pic:cNvPicPr/>
                  </pic:nvPicPr>
                  <pic:blipFill>
                    <a:blip r:embed="rId248" cstate="print"/>
                    <a:stretch>
                      <a:fillRect/>
                    </a:stretch>
                  </pic:blipFill>
                  <pic:spPr>
                    <a:xfrm>
                      <a:off x="0" y="0"/>
                      <a:ext cx="359663" cy="112775"/>
                    </a:xfrm>
                    <a:prstGeom prst="rect">
                      <a:avLst/>
                    </a:prstGeom>
                  </pic:spPr>
                </pic:pic>
              </a:graphicData>
            </a:graphic>
          </wp:anchor>
        </w:drawing>
      </w:r>
      <w:bookmarkStart w:name="15.18. Provider Rate Increase Expectatio" w:id="910"/>
      <w:bookmarkEnd w:id="910"/>
      <w:r>
        <w:rPr/>
      </w:r>
      <w:r>
        <w:rPr>
          <w:b/>
        </w:rPr>
        <w:t>Provider</w:t>
      </w:r>
      <w:r>
        <w:rPr>
          <w:b/>
          <w:spacing w:val="-4"/>
        </w:rPr>
        <w:t> </w:t>
      </w:r>
      <w:r>
        <w:rPr>
          <w:b/>
        </w:rPr>
        <w:t>Rate</w:t>
      </w:r>
      <w:r>
        <w:rPr>
          <w:b/>
          <w:spacing w:val="-4"/>
        </w:rPr>
        <w:t> </w:t>
      </w:r>
      <w:r>
        <w:rPr>
          <w:b/>
        </w:rPr>
        <w:t>Increase</w:t>
      </w:r>
      <w:r>
        <w:rPr>
          <w:b/>
          <w:spacing w:val="-2"/>
        </w:rPr>
        <w:t> </w:t>
      </w:r>
      <w:r>
        <w:rPr>
          <w:b/>
        </w:rPr>
        <w:t>Expectations.</w:t>
      </w:r>
      <w:r>
        <w:rPr>
          <w:b/>
          <w:spacing w:val="40"/>
        </w:rPr>
        <w:t> </w:t>
      </w:r>
      <w:r>
        <w:rPr/>
        <w:t>As</w:t>
      </w:r>
      <w:r>
        <w:rPr>
          <w:spacing w:val="-3"/>
        </w:rPr>
        <w:t> </w:t>
      </w:r>
      <w:r>
        <w:rPr/>
        <w:t>a</w:t>
      </w:r>
      <w:r>
        <w:rPr>
          <w:spacing w:val="-4"/>
        </w:rPr>
        <w:t> </w:t>
      </w:r>
      <w:r>
        <w:rPr/>
        <w:t>condition</w:t>
      </w:r>
      <w:r>
        <w:rPr>
          <w:spacing w:val="-3"/>
        </w:rPr>
        <w:t> </w:t>
      </w:r>
      <w:r>
        <w:rPr/>
        <w:t>of</w:t>
      </w:r>
      <w:r>
        <w:rPr>
          <w:spacing w:val="-4"/>
        </w:rPr>
        <w:t> </w:t>
      </w:r>
      <w:r>
        <w:rPr/>
        <w:t>the</w:t>
      </w:r>
      <w:r>
        <w:rPr>
          <w:spacing w:val="-4"/>
        </w:rPr>
        <w:t> </w:t>
      </w:r>
      <w:r>
        <w:rPr/>
        <w:t>HRSN</w:t>
      </w:r>
      <w:r>
        <w:rPr>
          <w:spacing w:val="-4"/>
        </w:rPr>
        <w:t> </w:t>
      </w:r>
      <w:r>
        <w:rPr/>
        <w:t>and</w:t>
      </w:r>
      <w:r>
        <w:rPr>
          <w:spacing w:val="-3"/>
        </w:rPr>
        <w:t> </w:t>
      </w:r>
      <w:r>
        <w:rPr/>
        <w:t>Hospital</w:t>
      </w:r>
      <w:r>
        <w:rPr>
          <w:spacing w:val="-3"/>
        </w:rPr>
        <w:t> </w:t>
      </w:r>
      <w:r>
        <w:rPr/>
        <w:t>Quality and Equity Initiative expenditure authority, Massachusetts must comply with the provider rate increase requirements in Section 21 of the STCs.</w:t>
      </w:r>
    </w:p>
    <w:p>
      <w:pPr>
        <w:pStyle w:val="BodyText"/>
        <w:spacing w:before="10"/>
        <w:rPr>
          <w:sz w:val="20"/>
        </w:rPr>
      </w:pPr>
    </w:p>
    <w:p>
      <w:pPr>
        <w:pStyle w:val="Heading4"/>
        <w:numPr>
          <w:ilvl w:val="0"/>
          <w:numId w:val="3"/>
        </w:numPr>
        <w:tabs>
          <w:tab w:pos="600" w:val="left" w:leader="none"/>
        </w:tabs>
        <w:spacing w:line="240" w:lineRule="auto" w:before="0" w:after="0"/>
        <w:ind w:left="600" w:right="0" w:hanging="480"/>
        <w:jc w:val="left"/>
      </w:pPr>
      <w:bookmarkStart w:name="16. MONITORING AND REPORTING REQUIREMENT" w:id="911"/>
      <w:bookmarkEnd w:id="911"/>
      <w:r>
        <w:rPr>
          <w:b w:val="0"/>
        </w:rPr>
      </w:r>
      <w:r>
        <w:rPr/>
        <w:t>MONITORING</w:t>
      </w:r>
      <w:r>
        <w:rPr>
          <w:spacing w:val="-5"/>
        </w:rPr>
        <w:t> </w:t>
      </w:r>
      <w:r>
        <w:rPr/>
        <w:t>AND</w:t>
      </w:r>
      <w:r>
        <w:rPr>
          <w:spacing w:val="-2"/>
        </w:rPr>
        <w:t> </w:t>
      </w:r>
      <w:r>
        <w:rPr/>
        <w:t>REPORTING</w:t>
      </w:r>
      <w:r>
        <w:rPr>
          <w:spacing w:val="-4"/>
        </w:rPr>
        <w:t> </w:t>
      </w:r>
      <w:r>
        <w:rPr>
          <w:spacing w:val="-2"/>
        </w:rPr>
        <w:t>REQUIREMENTS</w:t>
      </w:r>
    </w:p>
    <w:p>
      <w:pPr>
        <w:pStyle w:val="BodyText"/>
        <w:spacing w:before="10"/>
        <w:rPr>
          <w:b/>
          <w:sz w:val="20"/>
        </w:rPr>
      </w:pPr>
    </w:p>
    <w:p>
      <w:pPr>
        <w:pStyle w:val="BodyText"/>
        <w:ind w:left="871" w:right="1141"/>
      </w:pPr>
      <w:r>
        <w:rPr/>
        <w:drawing>
          <wp:anchor distT="0" distB="0" distL="0" distR="0" allowOverlap="1" layoutInCell="1" locked="0" behindDoc="0" simplePos="0" relativeHeight="16045056">
            <wp:simplePos x="0" y="0"/>
            <wp:positionH relativeFrom="page">
              <wp:posOffset>908303</wp:posOffset>
            </wp:positionH>
            <wp:positionV relativeFrom="paragraph">
              <wp:posOffset>35599</wp:posOffset>
            </wp:positionV>
            <wp:extent cx="283463" cy="112775"/>
            <wp:effectExtent l="0" t="0" r="0" b="0"/>
            <wp:wrapNone/>
            <wp:docPr id="630" name="Image 630"/>
            <wp:cNvGraphicFramePr>
              <a:graphicFrameLocks/>
            </wp:cNvGraphicFramePr>
            <a:graphic>
              <a:graphicData uri="http://schemas.openxmlformats.org/drawingml/2006/picture">
                <pic:pic>
                  <pic:nvPicPr>
                    <pic:cNvPr id="630" name="Image 630"/>
                    <pic:cNvPicPr/>
                  </pic:nvPicPr>
                  <pic:blipFill>
                    <a:blip r:embed="rId249" cstate="print"/>
                    <a:stretch>
                      <a:fillRect/>
                    </a:stretch>
                  </pic:blipFill>
                  <pic:spPr>
                    <a:xfrm>
                      <a:off x="0" y="0"/>
                      <a:ext cx="283463" cy="112775"/>
                    </a:xfrm>
                    <a:prstGeom prst="rect">
                      <a:avLst/>
                    </a:prstGeom>
                  </pic:spPr>
                </pic:pic>
              </a:graphicData>
            </a:graphic>
          </wp:anchor>
        </w:drawing>
      </w:r>
      <w:bookmarkStart w:name="16.1. Submission of Post-approval Delive" w:id="912"/>
      <w:bookmarkEnd w:id="912"/>
      <w:r>
        <w:rPr/>
      </w:r>
      <w:r>
        <w:rPr>
          <w:b/>
        </w:rPr>
        <w:t>Submission of Post-approval Deliverables</w:t>
      </w:r>
      <w:r>
        <w:rPr/>
        <w:t>. The Commonwealth shall submit all required</w:t>
      </w:r>
      <w:r>
        <w:rPr>
          <w:spacing w:val="-2"/>
        </w:rPr>
        <w:t> </w:t>
      </w:r>
      <w:r>
        <w:rPr/>
        <w:t>analyses,</w:t>
      </w:r>
      <w:r>
        <w:rPr>
          <w:spacing w:val="-4"/>
        </w:rPr>
        <w:t> </w:t>
      </w:r>
      <w:r>
        <w:rPr/>
        <w:t>reports,</w:t>
      </w:r>
      <w:r>
        <w:rPr>
          <w:spacing w:val="-4"/>
        </w:rPr>
        <w:t> </w:t>
      </w:r>
      <w:r>
        <w:rPr/>
        <w:t>design</w:t>
      </w:r>
      <w:r>
        <w:rPr>
          <w:spacing w:val="-4"/>
        </w:rPr>
        <w:t> </w:t>
      </w:r>
      <w:r>
        <w:rPr/>
        <w:t>documents,</w:t>
      </w:r>
      <w:r>
        <w:rPr>
          <w:spacing w:val="-4"/>
        </w:rPr>
        <w:t> </w:t>
      </w:r>
      <w:r>
        <w:rPr/>
        <w:t>presentations,</w:t>
      </w:r>
      <w:r>
        <w:rPr>
          <w:spacing w:val="-4"/>
        </w:rPr>
        <w:t> </w:t>
      </w:r>
      <w:r>
        <w:rPr/>
        <w:t>and</w:t>
      </w:r>
      <w:r>
        <w:rPr>
          <w:spacing w:val="-4"/>
        </w:rPr>
        <w:t> </w:t>
      </w:r>
      <w:r>
        <w:rPr/>
        <w:t>other</w:t>
      </w:r>
      <w:r>
        <w:rPr>
          <w:spacing w:val="-5"/>
        </w:rPr>
        <w:t> </w:t>
      </w:r>
      <w:r>
        <w:rPr/>
        <w:t>items</w:t>
      </w:r>
      <w:r>
        <w:rPr>
          <w:spacing w:val="-4"/>
        </w:rPr>
        <w:t> </w:t>
      </w:r>
      <w:r>
        <w:rPr/>
        <w:t>specified</w:t>
      </w:r>
      <w:r>
        <w:rPr>
          <w:spacing w:val="-4"/>
        </w:rPr>
        <w:t> </w:t>
      </w:r>
      <w:r>
        <w:rPr/>
        <w:t>in these STCs (“deliverables”). The Commonwealth shall use the processes stipulated by CMS and within the timeframes outlined within these STCs.</w:t>
      </w:r>
    </w:p>
    <w:p>
      <w:pPr>
        <w:pStyle w:val="BodyText"/>
        <w:spacing w:before="10"/>
        <w:rPr>
          <w:sz w:val="20"/>
        </w:rPr>
      </w:pPr>
    </w:p>
    <w:p>
      <w:pPr>
        <w:pStyle w:val="BodyText"/>
        <w:ind w:left="871" w:right="1082"/>
      </w:pPr>
      <w:r>
        <w:rPr/>
        <w:drawing>
          <wp:anchor distT="0" distB="0" distL="0" distR="0" allowOverlap="1" layoutInCell="1" locked="0" behindDoc="0" simplePos="0" relativeHeight="16045568">
            <wp:simplePos x="0" y="0"/>
            <wp:positionH relativeFrom="page">
              <wp:posOffset>908303</wp:posOffset>
            </wp:positionH>
            <wp:positionV relativeFrom="paragraph">
              <wp:posOffset>35599</wp:posOffset>
            </wp:positionV>
            <wp:extent cx="283463" cy="112775"/>
            <wp:effectExtent l="0" t="0" r="0" b="0"/>
            <wp:wrapNone/>
            <wp:docPr id="631" name="Image 631"/>
            <wp:cNvGraphicFramePr>
              <a:graphicFrameLocks/>
            </wp:cNvGraphicFramePr>
            <a:graphic>
              <a:graphicData uri="http://schemas.openxmlformats.org/drawingml/2006/picture">
                <pic:pic>
                  <pic:nvPicPr>
                    <pic:cNvPr id="631" name="Image 631"/>
                    <pic:cNvPicPr/>
                  </pic:nvPicPr>
                  <pic:blipFill>
                    <a:blip r:embed="rId250" cstate="print"/>
                    <a:stretch>
                      <a:fillRect/>
                    </a:stretch>
                  </pic:blipFill>
                  <pic:spPr>
                    <a:xfrm>
                      <a:off x="0" y="0"/>
                      <a:ext cx="283463" cy="112775"/>
                    </a:xfrm>
                    <a:prstGeom prst="rect">
                      <a:avLst/>
                    </a:prstGeom>
                  </pic:spPr>
                </pic:pic>
              </a:graphicData>
            </a:graphic>
          </wp:anchor>
        </w:drawing>
      </w:r>
      <w:bookmarkStart w:name="16.2. Deferral for Failure to Submit Tim" w:id="913"/>
      <w:bookmarkEnd w:id="913"/>
      <w:r>
        <w:rPr/>
      </w:r>
      <w:r>
        <w:rPr>
          <w:b/>
        </w:rPr>
        <w:t>Deferral for Failure to Submit Timely Demonstration Deliverables</w:t>
      </w:r>
      <w:r>
        <w:rPr/>
        <w:t>. CMS may issue deferrals in accordance with 42 CFR part 430 subpart C, in the amount of $5,000,000 per deliverable (federal share) when items required by these STCs (e.g., required data elements, analyses, reports, design documents, presentations, and other items specified in these STCs) (hereafter singly or collectively referred to as “deliverable(s)”) are not submitted</w:t>
      </w:r>
      <w:r>
        <w:rPr>
          <w:spacing w:val="-3"/>
        </w:rPr>
        <w:t> </w:t>
      </w:r>
      <w:r>
        <w:rPr/>
        <w:t>timely</w:t>
      </w:r>
      <w:r>
        <w:rPr>
          <w:spacing w:val="-10"/>
        </w:rPr>
        <w:t> </w:t>
      </w:r>
      <w:r>
        <w:rPr/>
        <w:t>to</w:t>
      </w:r>
      <w:r>
        <w:rPr>
          <w:spacing w:val="-3"/>
        </w:rPr>
        <w:t> </w:t>
      </w:r>
      <w:r>
        <w:rPr/>
        <w:t>CMS</w:t>
      </w:r>
      <w:r>
        <w:rPr>
          <w:spacing w:val="-3"/>
        </w:rPr>
        <w:t> </w:t>
      </w:r>
      <w:r>
        <w:rPr/>
        <w:t>or</w:t>
      </w:r>
      <w:r>
        <w:rPr>
          <w:spacing w:val="-3"/>
        </w:rPr>
        <w:t> </w:t>
      </w:r>
      <w:r>
        <w:rPr/>
        <w:t>are</w:t>
      </w:r>
      <w:r>
        <w:rPr>
          <w:spacing w:val="-2"/>
        </w:rPr>
        <w:t> </w:t>
      </w:r>
      <w:r>
        <w:rPr/>
        <w:t>found</w:t>
      </w:r>
      <w:r>
        <w:rPr>
          <w:spacing w:val="-3"/>
        </w:rPr>
        <w:t> </w:t>
      </w:r>
      <w:r>
        <w:rPr/>
        <w:t>to</w:t>
      </w:r>
      <w:r>
        <w:rPr>
          <w:spacing w:val="-3"/>
        </w:rPr>
        <w:t> </w:t>
      </w:r>
      <w:r>
        <w:rPr/>
        <w:t>be</w:t>
      </w:r>
      <w:r>
        <w:rPr>
          <w:spacing w:val="-3"/>
        </w:rPr>
        <w:t> </w:t>
      </w:r>
      <w:r>
        <w:rPr/>
        <w:t>not</w:t>
      </w:r>
      <w:r>
        <w:rPr>
          <w:spacing w:val="-3"/>
        </w:rPr>
        <w:t> </w:t>
      </w:r>
      <w:r>
        <w:rPr/>
        <w:t>consistent</w:t>
      </w:r>
      <w:r>
        <w:rPr>
          <w:spacing w:val="-3"/>
        </w:rPr>
        <w:t> </w:t>
      </w:r>
      <w:r>
        <w:rPr/>
        <w:t>with</w:t>
      </w:r>
      <w:r>
        <w:rPr>
          <w:spacing w:val="-3"/>
        </w:rPr>
        <w:t> </w:t>
      </w:r>
      <w:r>
        <w:rPr/>
        <w:t>the</w:t>
      </w:r>
      <w:r>
        <w:rPr>
          <w:spacing w:val="-3"/>
        </w:rPr>
        <w:t> </w:t>
      </w:r>
      <w:r>
        <w:rPr/>
        <w:t>requirements</w:t>
      </w:r>
      <w:r>
        <w:rPr>
          <w:spacing w:val="-3"/>
        </w:rPr>
        <w:t> </w:t>
      </w:r>
      <w:r>
        <w:rPr/>
        <w:t>approved by CMS.</w:t>
      </w:r>
      <w:r>
        <w:rPr>
          <w:spacing w:val="80"/>
        </w:rPr>
        <w:t> </w:t>
      </w:r>
      <w:r>
        <w:rPr/>
        <w:t>A deferral shall not exceed the value of the federal amount for the demonstration period.</w:t>
      </w:r>
      <w:r>
        <w:rPr>
          <w:spacing w:val="40"/>
        </w:rPr>
        <w:t> </w:t>
      </w:r>
      <w:r>
        <w:rPr/>
        <w:t>The Commonwealth does not relinquish its rights provided under 42 CFR part 430 subpart C to challenge any CMS finding that the Commonwealth materially failed to comply with the terms of this agreement.</w:t>
      </w:r>
    </w:p>
    <w:p>
      <w:pPr>
        <w:pStyle w:val="BodyText"/>
        <w:spacing w:before="10"/>
        <w:rPr>
          <w:sz w:val="20"/>
        </w:rPr>
      </w:pPr>
    </w:p>
    <w:p>
      <w:pPr>
        <w:pStyle w:val="BodyText"/>
        <w:spacing w:before="1"/>
        <w:ind w:left="871" w:right="1059"/>
      </w:pPr>
      <w:bookmarkStart w:name="The following process will be used: 1) 3" w:id="914"/>
      <w:bookmarkEnd w:id="914"/>
      <w:r>
        <w:rPr/>
      </w:r>
      <w:r>
        <w:rPr/>
        <w:t>The following</w:t>
      </w:r>
      <w:r>
        <w:rPr>
          <w:spacing w:val="-1"/>
        </w:rPr>
        <w:t> </w:t>
      </w:r>
      <w:r>
        <w:rPr/>
        <w:t>process will be used: 1) 30 calendar days after the deliverable was due, if the Commonwealth has not submitted a written request to CMS for approval of an extension as described in subsection (b) below, or 2) 30 calendar days after CMS has notified the Commonwealth in writing that the deliverable was not accepted for being inconsistent</w:t>
      </w:r>
      <w:r>
        <w:rPr>
          <w:spacing w:val="-3"/>
        </w:rPr>
        <w:t> </w:t>
      </w:r>
      <w:r>
        <w:rPr/>
        <w:t>with</w:t>
      </w:r>
      <w:r>
        <w:rPr>
          <w:spacing w:val="-3"/>
        </w:rPr>
        <w:t> </w:t>
      </w:r>
      <w:r>
        <w:rPr/>
        <w:t>the</w:t>
      </w:r>
      <w:r>
        <w:rPr>
          <w:spacing w:val="-4"/>
        </w:rPr>
        <w:t> </w:t>
      </w:r>
      <w:r>
        <w:rPr/>
        <w:t>requirements</w:t>
      </w:r>
      <w:r>
        <w:rPr>
          <w:spacing w:val="-3"/>
        </w:rPr>
        <w:t> </w:t>
      </w:r>
      <w:r>
        <w:rPr/>
        <w:t>of</w:t>
      </w:r>
      <w:r>
        <w:rPr>
          <w:spacing w:val="-4"/>
        </w:rPr>
        <w:t> </w:t>
      </w:r>
      <w:r>
        <w:rPr/>
        <w:t>this</w:t>
      </w:r>
      <w:r>
        <w:rPr>
          <w:spacing w:val="-3"/>
        </w:rPr>
        <w:t> </w:t>
      </w:r>
      <w:r>
        <w:rPr/>
        <w:t>agreement</w:t>
      </w:r>
      <w:r>
        <w:rPr>
          <w:spacing w:val="-3"/>
        </w:rPr>
        <w:t> </w:t>
      </w:r>
      <w:r>
        <w:rPr/>
        <w:t>and</w:t>
      </w:r>
      <w:r>
        <w:rPr>
          <w:spacing w:val="-3"/>
        </w:rPr>
        <w:t> </w:t>
      </w:r>
      <w:r>
        <w:rPr/>
        <w:t>the</w:t>
      </w:r>
      <w:r>
        <w:rPr>
          <w:spacing w:val="-4"/>
        </w:rPr>
        <w:t> </w:t>
      </w:r>
      <w:r>
        <w:rPr/>
        <w:t>information</w:t>
      </w:r>
      <w:r>
        <w:rPr>
          <w:spacing w:val="-3"/>
        </w:rPr>
        <w:t> </w:t>
      </w:r>
      <w:r>
        <w:rPr/>
        <w:t>needed</w:t>
      </w:r>
      <w:r>
        <w:rPr>
          <w:spacing w:val="-3"/>
        </w:rPr>
        <w:t> </w:t>
      </w:r>
      <w:r>
        <w:rPr/>
        <w:t>to</w:t>
      </w:r>
      <w:r>
        <w:rPr>
          <w:spacing w:val="-3"/>
        </w:rPr>
        <w:t> </w:t>
      </w:r>
      <w:r>
        <w:rPr/>
        <w:t>bring the deliverable into alignment with CMS requirements:</w:t>
      </w:r>
    </w:p>
    <w:p>
      <w:pPr>
        <w:pStyle w:val="BodyText"/>
        <w:spacing w:before="10"/>
        <w:rPr>
          <w:sz w:val="20"/>
        </w:rPr>
      </w:pPr>
    </w:p>
    <w:p>
      <w:pPr>
        <w:pStyle w:val="BodyText"/>
        <w:ind w:left="1411" w:right="1059"/>
      </w:pPr>
      <w:r>
        <w:rPr/>
        <w:drawing>
          <wp:anchor distT="0" distB="0" distL="0" distR="0" allowOverlap="1" layoutInCell="1" locked="0" behindDoc="0" simplePos="0" relativeHeight="16046080">
            <wp:simplePos x="0" y="0"/>
            <wp:positionH relativeFrom="page">
              <wp:posOffset>1431036</wp:posOffset>
            </wp:positionH>
            <wp:positionV relativeFrom="paragraph">
              <wp:posOffset>67603</wp:posOffset>
            </wp:positionV>
            <wp:extent cx="96011" cy="80771"/>
            <wp:effectExtent l="0" t="0" r="0" b="0"/>
            <wp:wrapNone/>
            <wp:docPr id="632" name="Image 632"/>
            <wp:cNvGraphicFramePr>
              <a:graphicFrameLocks/>
            </wp:cNvGraphicFramePr>
            <a:graphic>
              <a:graphicData uri="http://schemas.openxmlformats.org/drawingml/2006/picture">
                <pic:pic>
                  <pic:nvPicPr>
                    <pic:cNvPr id="632" name="Image 632"/>
                    <pic:cNvPicPr/>
                  </pic:nvPicPr>
                  <pic:blipFill>
                    <a:blip r:embed="rId40" cstate="print"/>
                    <a:stretch>
                      <a:fillRect/>
                    </a:stretch>
                  </pic:blipFill>
                  <pic:spPr>
                    <a:xfrm>
                      <a:off x="0" y="0"/>
                      <a:ext cx="96011" cy="80771"/>
                    </a:xfrm>
                    <a:prstGeom prst="rect">
                      <a:avLst/>
                    </a:prstGeom>
                  </pic:spPr>
                </pic:pic>
              </a:graphicData>
            </a:graphic>
          </wp:anchor>
        </w:drawing>
      </w:r>
      <w:bookmarkStart w:name="a. CMS will issue a written notification" w:id="915"/>
      <w:bookmarkEnd w:id="915"/>
      <w:r>
        <w:rPr/>
      </w:r>
      <w:r>
        <w:rPr/>
        <w:t>CMS will issue a written notification to the Commonwealth providing advance notification</w:t>
      </w:r>
      <w:r>
        <w:rPr>
          <w:spacing w:val="-3"/>
        </w:rPr>
        <w:t> </w:t>
      </w:r>
      <w:r>
        <w:rPr/>
        <w:t>of</w:t>
      </w:r>
      <w:r>
        <w:rPr>
          <w:spacing w:val="-4"/>
        </w:rPr>
        <w:t> </w:t>
      </w:r>
      <w:r>
        <w:rPr/>
        <w:t>a</w:t>
      </w:r>
      <w:r>
        <w:rPr>
          <w:spacing w:val="-4"/>
        </w:rPr>
        <w:t> </w:t>
      </w:r>
      <w:r>
        <w:rPr/>
        <w:t>pending</w:t>
      </w:r>
      <w:r>
        <w:rPr>
          <w:spacing w:val="-3"/>
        </w:rPr>
        <w:t> </w:t>
      </w:r>
      <w:r>
        <w:rPr/>
        <w:t>deferral</w:t>
      </w:r>
      <w:r>
        <w:rPr>
          <w:spacing w:val="-3"/>
        </w:rPr>
        <w:t> </w:t>
      </w:r>
      <w:r>
        <w:rPr/>
        <w:t>for</w:t>
      </w:r>
      <w:r>
        <w:rPr>
          <w:spacing w:val="-4"/>
        </w:rPr>
        <w:t> </w:t>
      </w:r>
      <w:r>
        <w:rPr/>
        <w:t>late</w:t>
      </w:r>
      <w:r>
        <w:rPr>
          <w:spacing w:val="-4"/>
        </w:rPr>
        <w:t> </w:t>
      </w:r>
      <w:r>
        <w:rPr/>
        <w:t>or</w:t>
      </w:r>
      <w:r>
        <w:rPr>
          <w:spacing w:val="-4"/>
        </w:rPr>
        <w:t> </w:t>
      </w:r>
      <w:r>
        <w:rPr/>
        <w:t>non-compliant</w:t>
      </w:r>
      <w:r>
        <w:rPr>
          <w:spacing w:val="-3"/>
        </w:rPr>
        <w:t> </w:t>
      </w:r>
      <w:r>
        <w:rPr/>
        <w:t>submissions</w:t>
      </w:r>
      <w:r>
        <w:rPr>
          <w:spacing w:val="-3"/>
        </w:rPr>
        <w:t> </w:t>
      </w:r>
      <w:r>
        <w:rPr/>
        <w:t>of</w:t>
      </w:r>
      <w:r>
        <w:rPr>
          <w:spacing w:val="-7"/>
        </w:rPr>
        <w:t> </w:t>
      </w:r>
      <w:r>
        <w:rPr/>
        <w:t>required </w:t>
      </w:r>
      <w:r>
        <w:rPr>
          <w:spacing w:val="-2"/>
        </w:rPr>
        <w:t>deliverables.</w:t>
      </w:r>
    </w:p>
    <w:p>
      <w:pPr>
        <w:pStyle w:val="BodyText"/>
        <w:spacing w:before="10"/>
        <w:rPr>
          <w:sz w:val="20"/>
        </w:rPr>
      </w:pPr>
    </w:p>
    <w:p>
      <w:pPr>
        <w:pStyle w:val="BodyText"/>
        <w:ind w:left="1411" w:right="1198"/>
        <w:jc w:val="both"/>
      </w:pPr>
      <w:r>
        <w:rPr/>
        <w:drawing>
          <wp:anchor distT="0" distB="0" distL="0" distR="0" allowOverlap="1" layoutInCell="1" locked="0" behindDoc="0" simplePos="0" relativeHeight="16046592">
            <wp:simplePos x="0" y="0"/>
            <wp:positionH relativeFrom="page">
              <wp:posOffset>1424939</wp:posOffset>
            </wp:positionH>
            <wp:positionV relativeFrom="paragraph">
              <wp:posOffset>32551</wp:posOffset>
            </wp:positionV>
            <wp:extent cx="111251" cy="115823"/>
            <wp:effectExtent l="0" t="0" r="0" b="0"/>
            <wp:wrapNone/>
            <wp:docPr id="633" name="Image 633"/>
            <wp:cNvGraphicFramePr>
              <a:graphicFrameLocks/>
            </wp:cNvGraphicFramePr>
            <a:graphic>
              <a:graphicData uri="http://schemas.openxmlformats.org/drawingml/2006/picture">
                <pic:pic>
                  <pic:nvPicPr>
                    <pic:cNvPr id="633" name="Image 633"/>
                    <pic:cNvPicPr/>
                  </pic:nvPicPr>
                  <pic:blipFill>
                    <a:blip r:embed="rId34" cstate="print"/>
                    <a:stretch>
                      <a:fillRect/>
                    </a:stretch>
                  </pic:blipFill>
                  <pic:spPr>
                    <a:xfrm>
                      <a:off x="0" y="0"/>
                      <a:ext cx="111251" cy="115823"/>
                    </a:xfrm>
                    <a:prstGeom prst="rect">
                      <a:avLst/>
                    </a:prstGeom>
                  </pic:spPr>
                </pic:pic>
              </a:graphicData>
            </a:graphic>
          </wp:anchor>
        </w:drawing>
      </w:r>
      <w:bookmarkStart w:name="b. For each deliverable, the Commonwealt" w:id="916"/>
      <w:bookmarkEnd w:id="916"/>
      <w:r>
        <w:rPr/>
      </w:r>
      <w:r>
        <w:rPr/>
        <w:t>For each deliverable, the Commonwealth may</w:t>
      </w:r>
      <w:r>
        <w:rPr>
          <w:spacing w:val="-3"/>
        </w:rPr>
        <w:t> </w:t>
      </w:r>
      <w:r>
        <w:rPr/>
        <w:t>submit to CMS a written request for an</w:t>
      </w:r>
      <w:r>
        <w:rPr>
          <w:spacing w:val="-3"/>
        </w:rPr>
        <w:t> </w:t>
      </w:r>
      <w:r>
        <w:rPr/>
        <w:t>extension</w:t>
      </w:r>
      <w:r>
        <w:rPr>
          <w:spacing w:val="-3"/>
        </w:rPr>
        <w:t> </w:t>
      </w:r>
      <w:r>
        <w:rPr/>
        <w:t>to</w:t>
      </w:r>
      <w:r>
        <w:rPr>
          <w:spacing w:val="-3"/>
        </w:rPr>
        <w:t> </w:t>
      </w:r>
      <w:r>
        <w:rPr/>
        <w:t>submit</w:t>
      </w:r>
      <w:r>
        <w:rPr>
          <w:spacing w:val="-3"/>
        </w:rPr>
        <w:t> </w:t>
      </w:r>
      <w:r>
        <w:rPr/>
        <w:t>the</w:t>
      </w:r>
      <w:r>
        <w:rPr>
          <w:spacing w:val="-4"/>
        </w:rPr>
        <w:t> </w:t>
      </w:r>
      <w:r>
        <w:rPr/>
        <w:t>required</w:t>
      </w:r>
      <w:r>
        <w:rPr>
          <w:spacing w:val="-3"/>
        </w:rPr>
        <w:t> </w:t>
      </w:r>
      <w:r>
        <w:rPr/>
        <w:t>deliverable.</w:t>
      </w:r>
      <w:r>
        <w:rPr>
          <w:spacing w:val="-3"/>
        </w:rPr>
        <w:t> </w:t>
      </w:r>
      <w:r>
        <w:rPr/>
        <w:t>The</w:t>
      </w:r>
      <w:r>
        <w:rPr>
          <w:spacing w:val="-4"/>
        </w:rPr>
        <w:t> </w:t>
      </w:r>
      <w:r>
        <w:rPr/>
        <w:t>extension</w:t>
      </w:r>
      <w:r>
        <w:rPr>
          <w:spacing w:val="-3"/>
        </w:rPr>
        <w:t> </w:t>
      </w:r>
      <w:r>
        <w:rPr/>
        <w:t>request</w:t>
      </w:r>
      <w:r>
        <w:rPr>
          <w:spacing w:val="-3"/>
        </w:rPr>
        <w:t> </w:t>
      </w:r>
      <w:r>
        <w:rPr/>
        <w:t>must</w:t>
      </w:r>
      <w:r>
        <w:rPr>
          <w:spacing w:val="-3"/>
        </w:rPr>
        <w:t> </w:t>
      </w:r>
      <w:r>
        <w:rPr/>
        <w:t>explain the reason why the required deliverable was not submitted, the steps that the</w:t>
      </w:r>
    </w:p>
    <w:p>
      <w:pPr>
        <w:spacing w:after="0"/>
        <w:jc w:val="both"/>
        <w:sectPr>
          <w:pgSz w:w="12240" w:h="15840"/>
          <w:pgMar w:header="0" w:footer="1201" w:top="1360" w:bottom="1400" w:left="1200" w:right="400"/>
        </w:sectPr>
      </w:pPr>
    </w:p>
    <w:p>
      <w:pPr>
        <w:pStyle w:val="BodyText"/>
        <w:spacing w:before="79"/>
        <w:ind w:left="1411" w:right="1141"/>
      </w:pPr>
      <w:r>
        <w:rPr/>
        <w:t>Commonwealth has taken to address such issue, and the Commonwealth’s anticipated date of submission. Should CMS agree in writing to the Commonwealth’s request, a corresponding extension of the deferral process described below</w:t>
      </w:r>
      <w:r>
        <w:rPr>
          <w:spacing w:val="-1"/>
        </w:rPr>
        <w:t> </w:t>
      </w:r>
      <w:r>
        <w:rPr/>
        <w:t>can be</w:t>
      </w:r>
      <w:r>
        <w:rPr>
          <w:spacing w:val="-1"/>
        </w:rPr>
        <w:t> </w:t>
      </w:r>
      <w:r>
        <w:rPr/>
        <w:t>provided.</w:t>
      </w:r>
      <w:r>
        <w:rPr>
          <w:spacing w:val="40"/>
        </w:rPr>
        <w:t> </w:t>
      </w:r>
      <w:r>
        <w:rPr/>
        <w:t>CMS may</w:t>
      </w:r>
      <w:r>
        <w:rPr>
          <w:spacing w:val="-5"/>
        </w:rPr>
        <w:t> </w:t>
      </w:r>
      <w:r>
        <w:rPr/>
        <w:t>agree</w:t>
      </w:r>
      <w:r>
        <w:rPr>
          <w:spacing w:val="-1"/>
        </w:rPr>
        <w:t> </w:t>
      </w:r>
      <w:r>
        <w:rPr/>
        <w:t>to a</w:t>
      </w:r>
      <w:r>
        <w:rPr>
          <w:spacing w:val="-1"/>
        </w:rPr>
        <w:t> </w:t>
      </w:r>
      <w:r>
        <w:rPr/>
        <w:t>corrective action as an interim</w:t>
      </w:r>
      <w:r>
        <w:rPr>
          <w:spacing w:val="-3"/>
        </w:rPr>
        <w:t> </w:t>
      </w:r>
      <w:r>
        <w:rPr/>
        <w:t>step</w:t>
      </w:r>
      <w:r>
        <w:rPr>
          <w:spacing w:val="-3"/>
        </w:rPr>
        <w:t> </w:t>
      </w:r>
      <w:r>
        <w:rPr/>
        <w:t>before</w:t>
      </w:r>
      <w:r>
        <w:rPr>
          <w:spacing w:val="-2"/>
        </w:rPr>
        <w:t> </w:t>
      </w:r>
      <w:r>
        <w:rPr/>
        <w:t>applying</w:t>
      </w:r>
      <w:r>
        <w:rPr>
          <w:spacing w:val="-6"/>
        </w:rPr>
        <w:t> </w:t>
      </w:r>
      <w:r>
        <w:rPr/>
        <w:t>the</w:t>
      </w:r>
      <w:r>
        <w:rPr>
          <w:spacing w:val="-4"/>
        </w:rPr>
        <w:t> </w:t>
      </w:r>
      <w:r>
        <w:rPr/>
        <w:t>deferral,</w:t>
      </w:r>
      <w:r>
        <w:rPr>
          <w:spacing w:val="-3"/>
        </w:rPr>
        <w:t> </w:t>
      </w:r>
      <w:r>
        <w:rPr/>
        <w:t>if</w:t>
      </w:r>
      <w:r>
        <w:rPr>
          <w:spacing w:val="-4"/>
        </w:rPr>
        <w:t> </w:t>
      </w:r>
      <w:r>
        <w:rPr/>
        <w:t>corrective</w:t>
      </w:r>
      <w:r>
        <w:rPr>
          <w:spacing w:val="-4"/>
        </w:rPr>
        <w:t> </w:t>
      </w:r>
      <w:r>
        <w:rPr/>
        <w:t>action</w:t>
      </w:r>
      <w:r>
        <w:rPr>
          <w:spacing w:val="-3"/>
        </w:rPr>
        <w:t> </w:t>
      </w:r>
      <w:r>
        <w:rPr/>
        <w:t>is</w:t>
      </w:r>
      <w:r>
        <w:rPr>
          <w:spacing w:val="-3"/>
        </w:rPr>
        <w:t> </w:t>
      </w:r>
      <w:r>
        <w:rPr/>
        <w:t>proposed</w:t>
      </w:r>
      <w:r>
        <w:rPr>
          <w:spacing w:val="-3"/>
        </w:rPr>
        <w:t> </w:t>
      </w:r>
      <w:r>
        <w:rPr/>
        <w:t>in</w:t>
      </w:r>
      <w:r>
        <w:rPr>
          <w:spacing w:val="-3"/>
        </w:rPr>
        <w:t> </w:t>
      </w:r>
      <w:r>
        <w:rPr/>
        <w:t>the state’s written extension request.</w:t>
      </w:r>
    </w:p>
    <w:p>
      <w:pPr>
        <w:pStyle w:val="BodyText"/>
        <w:spacing w:before="10"/>
        <w:rPr>
          <w:sz w:val="20"/>
        </w:rPr>
      </w:pPr>
    </w:p>
    <w:p>
      <w:pPr>
        <w:pStyle w:val="BodyText"/>
        <w:ind w:left="1411" w:right="1104"/>
      </w:pPr>
      <w:r>
        <w:rPr/>
        <w:drawing>
          <wp:anchor distT="0" distB="0" distL="0" distR="0" allowOverlap="1" layoutInCell="1" locked="0" behindDoc="0" simplePos="0" relativeHeight="16047104">
            <wp:simplePos x="0" y="0"/>
            <wp:positionH relativeFrom="page">
              <wp:posOffset>1431036</wp:posOffset>
            </wp:positionH>
            <wp:positionV relativeFrom="paragraph">
              <wp:posOffset>67603</wp:posOffset>
            </wp:positionV>
            <wp:extent cx="96011" cy="80771"/>
            <wp:effectExtent l="0" t="0" r="0" b="0"/>
            <wp:wrapNone/>
            <wp:docPr id="634" name="Image 634"/>
            <wp:cNvGraphicFramePr>
              <a:graphicFrameLocks/>
            </wp:cNvGraphicFramePr>
            <a:graphic>
              <a:graphicData uri="http://schemas.openxmlformats.org/drawingml/2006/picture">
                <pic:pic>
                  <pic:nvPicPr>
                    <pic:cNvPr id="634" name="Image 634"/>
                    <pic:cNvPicPr/>
                  </pic:nvPicPr>
                  <pic:blipFill>
                    <a:blip r:embed="rId35" cstate="print"/>
                    <a:stretch>
                      <a:fillRect/>
                    </a:stretch>
                  </pic:blipFill>
                  <pic:spPr>
                    <a:xfrm>
                      <a:off x="0" y="0"/>
                      <a:ext cx="96011" cy="80771"/>
                    </a:xfrm>
                    <a:prstGeom prst="rect">
                      <a:avLst/>
                    </a:prstGeom>
                  </pic:spPr>
                </pic:pic>
              </a:graphicData>
            </a:graphic>
          </wp:anchor>
        </w:drawing>
      </w:r>
      <w:bookmarkStart w:name="c. If CMS agrees to an interim correctiv" w:id="917"/>
      <w:bookmarkEnd w:id="917"/>
      <w:r>
        <w:rPr/>
      </w:r>
      <w:r>
        <w:rPr/>
        <w:t>If CMS agrees to an interim corrective process in accordance with subsection (b), and the Commonwealth fails to comply with the corrective action steps or still fails to submit the overdue deliverable(s) that meets the terms of this agreement, CMS may proceed with the issuance of a deferral against the next Quarterly Statement of Expenditures</w:t>
      </w:r>
      <w:r>
        <w:rPr>
          <w:spacing w:val="-5"/>
        </w:rPr>
        <w:t> </w:t>
      </w:r>
      <w:r>
        <w:rPr/>
        <w:t>reported</w:t>
      </w:r>
      <w:r>
        <w:rPr>
          <w:spacing w:val="-5"/>
        </w:rPr>
        <w:t> </w:t>
      </w:r>
      <w:r>
        <w:rPr/>
        <w:t>in</w:t>
      </w:r>
      <w:r>
        <w:rPr>
          <w:spacing w:val="-3"/>
        </w:rPr>
        <w:t> </w:t>
      </w:r>
      <w:r>
        <w:rPr/>
        <w:t>Medicaid</w:t>
      </w:r>
      <w:r>
        <w:rPr>
          <w:spacing w:val="-5"/>
        </w:rPr>
        <w:t> </w:t>
      </w:r>
      <w:r>
        <w:rPr/>
        <w:t>Budget</w:t>
      </w:r>
      <w:r>
        <w:rPr>
          <w:spacing w:val="-5"/>
        </w:rPr>
        <w:t> </w:t>
      </w:r>
      <w:r>
        <w:rPr/>
        <w:t>and</w:t>
      </w:r>
      <w:r>
        <w:rPr>
          <w:spacing w:val="-5"/>
        </w:rPr>
        <w:t> </w:t>
      </w:r>
      <w:r>
        <w:rPr/>
        <w:t>Expenditure</w:t>
      </w:r>
      <w:r>
        <w:rPr>
          <w:spacing w:val="-6"/>
        </w:rPr>
        <w:t> </w:t>
      </w:r>
      <w:r>
        <w:rPr/>
        <w:t>System/State</w:t>
      </w:r>
      <w:r>
        <w:rPr>
          <w:spacing w:val="-6"/>
        </w:rPr>
        <w:t> </w:t>
      </w:r>
      <w:r>
        <w:rPr/>
        <w:t>Children’s Health Insurance Program Budget and Expenditure System (MBES/CBES) following a written deferral notification to the Commonwealth.</w:t>
      </w:r>
    </w:p>
    <w:p>
      <w:pPr>
        <w:pStyle w:val="BodyText"/>
        <w:spacing w:before="10"/>
        <w:rPr>
          <w:sz w:val="20"/>
        </w:rPr>
      </w:pPr>
    </w:p>
    <w:p>
      <w:pPr>
        <w:pStyle w:val="BodyText"/>
        <w:ind w:left="1411" w:right="1059"/>
      </w:pPr>
      <w:r>
        <w:rPr/>
        <w:drawing>
          <wp:anchor distT="0" distB="0" distL="0" distR="0" allowOverlap="1" layoutInCell="1" locked="0" behindDoc="0" simplePos="0" relativeHeight="16047616">
            <wp:simplePos x="0" y="0"/>
            <wp:positionH relativeFrom="page">
              <wp:posOffset>1431036</wp:posOffset>
            </wp:positionH>
            <wp:positionV relativeFrom="paragraph">
              <wp:posOffset>32551</wp:posOffset>
            </wp:positionV>
            <wp:extent cx="105155" cy="115823"/>
            <wp:effectExtent l="0" t="0" r="0" b="0"/>
            <wp:wrapNone/>
            <wp:docPr id="635" name="Image 635"/>
            <wp:cNvGraphicFramePr>
              <a:graphicFrameLocks/>
            </wp:cNvGraphicFramePr>
            <a:graphic>
              <a:graphicData uri="http://schemas.openxmlformats.org/drawingml/2006/picture">
                <pic:pic>
                  <pic:nvPicPr>
                    <pic:cNvPr id="635" name="Image 635"/>
                    <pic:cNvPicPr/>
                  </pic:nvPicPr>
                  <pic:blipFill>
                    <a:blip r:embed="rId36" cstate="print"/>
                    <a:stretch>
                      <a:fillRect/>
                    </a:stretch>
                  </pic:blipFill>
                  <pic:spPr>
                    <a:xfrm>
                      <a:off x="0" y="0"/>
                      <a:ext cx="105155" cy="115823"/>
                    </a:xfrm>
                    <a:prstGeom prst="rect">
                      <a:avLst/>
                    </a:prstGeom>
                  </pic:spPr>
                </pic:pic>
              </a:graphicData>
            </a:graphic>
          </wp:anchor>
        </w:drawing>
      </w:r>
      <w:bookmarkStart w:name="d. If the CMS deferral process has been " w:id="918"/>
      <w:bookmarkEnd w:id="918"/>
      <w:r>
        <w:rPr/>
      </w:r>
      <w:r>
        <w:rPr/>
        <w:t>If the CMS deferral process has been initiated for state non-compliance with the terms of this agreement for submitting deliverable(s), and the Commonwealth submits</w:t>
      </w:r>
      <w:r>
        <w:rPr>
          <w:spacing w:val="-3"/>
        </w:rPr>
        <w:t> </w:t>
      </w:r>
      <w:r>
        <w:rPr/>
        <w:t>the</w:t>
      </w:r>
      <w:r>
        <w:rPr>
          <w:spacing w:val="-4"/>
        </w:rPr>
        <w:t> </w:t>
      </w:r>
      <w:r>
        <w:rPr/>
        <w:t>overdue</w:t>
      </w:r>
      <w:r>
        <w:rPr>
          <w:spacing w:val="-4"/>
        </w:rPr>
        <w:t> </w:t>
      </w:r>
      <w:r>
        <w:rPr/>
        <w:t>deliverable(s),</w:t>
      </w:r>
      <w:r>
        <w:rPr>
          <w:spacing w:val="-3"/>
        </w:rPr>
        <w:t> </w:t>
      </w:r>
      <w:r>
        <w:rPr/>
        <w:t>and</w:t>
      </w:r>
      <w:r>
        <w:rPr>
          <w:spacing w:val="-3"/>
        </w:rPr>
        <w:t> </w:t>
      </w:r>
      <w:r>
        <w:rPr/>
        <w:t>such</w:t>
      </w:r>
      <w:r>
        <w:rPr>
          <w:spacing w:val="-3"/>
        </w:rPr>
        <w:t> </w:t>
      </w:r>
      <w:r>
        <w:rPr/>
        <w:t>deliverable(s)</w:t>
      </w:r>
      <w:r>
        <w:rPr>
          <w:spacing w:val="-4"/>
        </w:rPr>
        <w:t> </w:t>
      </w:r>
      <w:r>
        <w:rPr/>
        <w:t>are</w:t>
      </w:r>
      <w:r>
        <w:rPr>
          <w:spacing w:val="-4"/>
        </w:rPr>
        <w:t> </w:t>
      </w:r>
      <w:r>
        <w:rPr/>
        <w:t>accepted</w:t>
      </w:r>
      <w:r>
        <w:rPr>
          <w:spacing w:val="-3"/>
        </w:rPr>
        <w:t> </w:t>
      </w:r>
      <w:r>
        <w:rPr/>
        <w:t>by</w:t>
      </w:r>
      <w:r>
        <w:rPr>
          <w:spacing w:val="-6"/>
        </w:rPr>
        <w:t> </w:t>
      </w:r>
      <w:r>
        <w:rPr/>
        <w:t>CMS</w:t>
      </w:r>
      <w:r>
        <w:rPr>
          <w:spacing w:val="-3"/>
        </w:rPr>
        <w:t> </w:t>
      </w:r>
      <w:r>
        <w:rPr/>
        <w:t>as meeting the standards outline in these STCs, the deferral(s) will be released.</w:t>
      </w:r>
    </w:p>
    <w:p>
      <w:pPr>
        <w:pStyle w:val="BodyText"/>
        <w:spacing w:before="10"/>
        <w:rPr>
          <w:sz w:val="20"/>
        </w:rPr>
      </w:pPr>
    </w:p>
    <w:p>
      <w:pPr>
        <w:pStyle w:val="BodyText"/>
        <w:ind w:left="871" w:right="1059"/>
      </w:pPr>
      <w:bookmarkStart w:name="As the purpose of a section 1115 demonst" w:id="919"/>
      <w:bookmarkEnd w:id="919"/>
      <w:r>
        <w:rPr/>
      </w:r>
      <w:r>
        <w:rPr/>
        <w:t>As the purpose of a section 1115 demonstration is to test new methods of operation or services,</w:t>
      </w:r>
      <w:r>
        <w:rPr>
          <w:spacing w:val="-4"/>
        </w:rPr>
        <w:t> </w:t>
      </w:r>
      <w:r>
        <w:rPr/>
        <w:t>a</w:t>
      </w:r>
      <w:r>
        <w:rPr>
          <w:spacing w:val="-4"/>
        </w:rPr>
        <w:t> </w:t>
      </w:r>
      <w:r>
        <w:rPr/>
        <w:t>state’s</w:t>
      </w:r>
      <w:r>
        <w:rPr>
          <w:spacing w:val="-4"/>
        </w:rPr>
        <w:t> </w:t>
      </w:r>
      <w:r>
        <w:rPr/>
        <w:t>failure</w:t>
      </w:r>
      <w:r>
        <w:rPr>
          <w:spacing w:val="-3"/>
        </w:rPr>
        <w:t> </w:t>
      </w:r>
      <w:r>
        <w:rPr/>
        <w:t>to</w:t>
      </w:r>
      <w:r>
        <w:rPr>
          <w:spacing w:val="-4"/>
        </w:rPr>
        <w:t> </w:t>
      </w:r>
      <w:r>
        <w:rPr/>
        <w:t>submit</w:t>
      </w:r>
      <w:r>
        <w:rPr>
          <w:spacing w:val="-4"/>
        </w:rPr>
        <w:t> </w:t>
      </w:r>
      <w:r>
        <w:rPr/>
        <w:t>all</w:t>
      </w:r>
      <w:r>
        <w:rPr>
          <w:spacing w:val="-4"/>
        </w:rPr>
        <w:t> </w:t>
      </w:r>
      <w:r>
        <w:rPr/>
        <w:t>required</w:t>
      </w:r>
      <w:r>
        <w:rPr>
          <w:spacing w:val="-4"/>
        </w:rPr>
        <w:t> </w:t>
      </w:r>
      <w:r>
        <w:rPr/>
        <w:t>reports,</w:t>
      </w:r>
      <w:r>
        <w:rPr>
          <w:spacing w:val="-4"/>
        </w:rPr>
        <w:t> </w:t>
      </w:r>
      <w:r>
        <w:rPr/>
        <w:t>evaluations,</w:t>
      </w:r>
      <w:r>
        <w:rPr>
          <w:spacing w:val="-4"/>
        </w:rPr>
        <w:t> </w:t>
      </w:r>
      <w:r>
        <w:rPr/>
        <w:t>and</w:t>
      </w:r>
      <w:r>
        <w:rPr>
          <w:spacing w:val="-4"/>
        </w:rPr>
        <w:t> </w:t>
      </w:r>
      <w:r>
        <w:rPr/>
        <w:t>other</w:t>
      </w:r>
      <w:r>
        <w:rPr>
          <w:spacing w:val="-4"/>
        </w:rPr>
        <w:t> </w:t>
      </w:r>
      <w:r>
        <w:rPr/>
        <w:t>deliverables will be considered by</w:t>
      </w:r>
      <w:r>
        <w:rPr>
          <w:spacing w:val="-3"/>
        </w:rPr>
        <w:t> </w:t>
      </w:r>
      <w:r>
        <w:rPr/>
        <w:t>CMS in reviewing any</w:t>
      </w:r>
      <w:r>
        <w:rPr>
          <w:spacing w:val="-3"/>
        </w:rPr>
        <w:t> </w:t>
      </w:r>
      <w:r>
        <w:rPr/>
        <w:t>application for an extension, amendment, or for a new demonstration.</w:t>
      </w:r>
    </w:p>
    <w:p>
      <w:pPr>
        <w:pStyle w:val="BodyText"/>
        <w:spacing w:before="10"/>
        <w:rPr>
          <w:sz w:val="20"/>
        </w:rPr>
      </w:pPr>
    </w:p>
    <w:p>
      <w:pPr>
        <w:spacing w:before="0"/>
        <w:ind w:left="871" w:right="1086" w:firstLine="0"/>
        <w:jc w:val="left"/>
        <w:rPr>
          <w:sz w:val="24"/>
        </w:rPr>
      </w:pPr>
      <w:r>
        <w:rPr/>
        <w:drawing>
          <wp:anchor distT="0" distB="0" distL="0" distR="0" allowOverlap="1" layoutInCell="1" locked="0" behindDoc="0" simplePos="0" relativeHeight="16048128">
            <wp:simplePos x="0" y="0"/>
            <wp:positionH relativeFrom="page">
              <wp:posOffset>908303</wp:posOffset>
            </wp:positionH>
            <wp:positionV relativeFrom="paragraph">
              <wp:posOffset>35599</wp:posOffset>
            </wp:positionV>
            <wp:extent cx="283463" cy="112775"/>
            <wp:effectExtent l="0" t="0" r="0" b="0"/>
            <wp:wrapNone/>
            <wp:docPr id="636" name="Image 636"/>
            <wp:cNvGraphicFramePr>
              <a:graphicFrameLocks/>
            </wp:cNvGraphicFramePr>
            <a:graphic>
              <a:graphicData uri="http://schemas.openxmlformats.org/drawingml/2006/picture">
                <pic:pic>
                  <pic:nvPicPr>
                    <pic:cNvPr id="636" name="Image 636"/>
                    <pic:cNvPicPr/>
                  </pic:nvPicPr>
                  <pic:blipFill>
                    <a:blip r:embed="rId251" cstate="print"/>
                    <a:stretch>
                      <a:fillRect/>
                    </a:stretch>
                  </pic:blipFill>
                  <pic:spPr>
                    <a:xfrm>
                      <a:off x="0" y="0"/>
                      <a:ext cx="283463" cy="112775"/>
                    </a:xfrm>
                    <a:prstGeom prst="rect">
                      <a:avLst/>
                    </a:prstGeom>
                  </pic:spPr>
                </pic:pic>
              </a:graphicData>
            </a:graphic>
          </wp:anchor>
        </w:drawing>
      </w:r>
      <w:bookmarkStart w:name="16.3. Compliance with Federal Systems In" w:id="920"/>
      <w:bookmarkEnd w:id="920"/>
      <w:r>
        <w:rPr/>
      </w:r>
      <w:r>
        <w:rPr>
          <w:b/>
          <w:sz w:val="24"/>
        </w:rPr>
        <w:t>Compliance</w:t>
      </w:r>
      <w:r>
        <w:rPr>
          <w:b/>
          <w:spacing w:val="-5"/>
          <w:sz w:val="24"/>
        </w:rPr>
        <w:t> </w:t>
      </w:r>
      <w:r>
        <w:rPr>
          <w:b/>
          <w:sz w:val="24"/>
        </w:rPr>
        <w:t>with</w:t>
      </w:r>
      <w:r>
        <w:rPr>
          <w:b/>
          <w:spacing w:val="-4"/>
          <w:sz w:val="24"/>
        </w:rPr>
        <w:t> </w:t>
      </w:r>
      <w:r>
        <w:rPr>
          <w:b/>
          <w:sz w:val="24"/>
        </w:rPr>
        <w:t>Federal</w:t>
      </w:r>
      <w:r>
        <w:rPr>
          <w:b/>
          <w:spacing w:val="-4"/>
          <w:sz w:val="24"/>
        </w:rPr>
        <w:t> </w:t>
      </w:r>
      <w:r>
        <w:rPr>
          <w:b/>
          <w:sz w:val="24"/>
        </w:rPr>
        <w:t>Systems</w:t>
      </w:r>
      <w:r>
        <w:rPr>
          <w:b/>
          <w:spacing w:val="-4"/>
          <w:sz w:val="24"/>
        </w:rPr>
        <w:t> </w:t>
      </w:r>
      <w:r>
        <w:rPr>
          <w:b/>
          <w:sz w:val="24"/>
        </w:rPr>
        <w:t>Innovation</w:t>
      </w:r>
      <w:r>
        <w:rPr>
          <w:sz w:val="24"/>
        </w:rPr>
        <w:t>.</w:t>
      </w:r>
      <w:r>
        <w:rPr>
          <w:spacing w:val="-4"/>
          <w:sz w:val="24"/>
        </w:rPr>
        <w:t> </w:t>
      </w:r>
      <w:r>
        <w:rPr>
          <w:sz w:val="24"/>
        </w:rPr>
        <w:t>As</w:t>
      </w:r>
      <w:r>
        <w:rPr>
          <w:spacing w:val="-4"/>
          <w:sz w:val="24"/>
        </w:rPr>
        <w:t> </w:t>
      </w:r>
      <w:r>
        <w:rPr>
          <w:sz w:val="24"/>
        </w:rPr>
        <w:t>federal</w:t>
      </w:r>
      <w:r>
        <w:rPr>
          <w:spacing w:val="-4"/>
          <w:sz w:val="24"/>
        </w:rPr>
        <w:t> </w:t>
      </w:r>
      <w:r>
        <w:rPr>
          <w:sz w:val="24"/>
        </w:rPr>
        <w:t>systems</w:t>
      </w:r>
      <w:r>
        <w:rPr>
          <w:spacing w:val="-4"/>
          <w:sz w:val="24"/>
        </w:rPr>
        <w:t> </w:t>
      </w:r>
      <w:r>
        <w:rPr>
          <w:sz w:val="24"/>
        </w:rPr>
        <w:t>continue</w:t>
      </w:r>
      <w:r>
        <w:rPr>
          <w:spacing w:val="-5"/>
          <w:sz w:val="24"/>
        </w:rPr>
        <w:t> </w:t>
      </w:r>
      <w:r>
        <w:rPr>
          <w:sz w:val="24"/>
        </w:rPr>
        <w:t>to</w:t>
      </w:r>
      <w:r>
        <w:rPr>
          <w:spacing w:val="-4"/>
          <w:sz w:val="24"/>
        </w:rPr>
        <w:t> </w:t>
      </w:r>
      <w:r>
        <w:rPr>
          <w:sz w:val="24"/>
        </w:rPr>
        <w:t>evolve and incorporate section 1115 demonstration reporting and analytics functions, the Commonwealth shall work with CMS to:</w:t>
      </w:r>
    </w:p>
    <w:p>
      <w:pPr>
        <w:pStyle w:val="BodyText"/>
        <w:spacing w:before="10"/>
        <w:rPr>
          <w:sz w:val="20"/>
        </w:rPr>
      </w:pPr>
    </w:p>
    <w:p>
      <w:pPr>
        <w:pStyle w:val="BodyText"/>
        <w:ind w:left="1411" w:right="1059"/>
      </w:pPr>
      <w:r>
        <w:rPr/>
        <w:drawing>
          <wp:anchor distT="0" distB="0" distL="0" distR="0" allowOverlap="1" layoutInCell="1" locked="0" behindDoc="0" simplePos="0" relativeHeight="16048640">
            <wp:simplePos x="0" y="0"/>
            <wp:positionH relativeFrom="page">
              <wp:posOffset>1431036</wp:posOffset>
            </wp:positionH>
            <wp:positionV relativeFrom="paragraph">
              <wp:posOffset>67603</wp:posOffset>
            </wp:positionV>
            <wp:extent cx="96011" cy="80771"/>
            <wp:effectExtent l="0" t="0" r="0" b="0"/>
            <wp:wrapNone/>
            <wp:docPr id="637" name="Image 637"/>
            <wp:cNvGraphicFramePr>
              <a:graphicFrameLocks/>
            </wp:cNvGraphicFramePr>
            <a:graphic>
              <a:graphicData uri="http://schemas.openxmlformats.org/drawingml/2006/picture">
                <pic:pic>
                  <pic:nvPicPr>
                    <pic:cNvPr id="637" name="Image 637"/>
                    <pic:cNvPicPr/>
                  </pic:nvPicPr>
                  <pic:blipFill>
                    <a:blip r:embed="rId29" cstate="print"/>
                    <a:stretch>
                      <a:fillRect/>
                    </a:stretch>
                  </pic:blipFill>
                  <pic:spPr>
                    <a:xfrm>
                      <a:off x="0" y="0"/>
                      <a:ext cx="96011" cy="80771"/>
                    </a:xfrm>
                    <a:prstGeom prst="rect">
                      <a:avLst/>
                    </a:prstGeom>
                  </pic:spPr>
                </pic:pic>
              </a:graphicData>
            </a:graphic>
          </wp:anchor>
        </w:drawing>
      </w:r>
      <w:bookmarkStart w:name="a. revise the reporting templates and su" w:id="921"/>
      <w:bookmarkEnd w:id="921"/>
      <w:r>
        <w:rPr/>
      </w:r>
      <w:r>
        <w:rPr/>
        <w:t>revise</w:t>
      </w:r>
      <w:r>
        <w:rPr>
          <w:spacing w:val="-4"/>
        </w:rPr>
        <w:t> </w:t>
      </w:r>
      <w:r>
        <w:rPr/>
        <w:t>the</w:t>
      </w:r>
      <w:r>
        <w:rPr>
          <w:spacing w:val="-4"/>
        </w:rPr>
        <w:t> </w:t>
      </w:r>
      <w:r>
        <w:rPr/>
        <w:t>reporting</w:t>
      </w:r>
      <w:r>
        <w:rPr>
          <w:spacing w:val="-6"/>
        </w:rPr>
        <w:t> </w:t>
      </w:r>
      <w:r>
        <w:rPr/>
        <w:t>templates</w:t>
      </w:r>
      <w:r>
        <w:rPr>
          <w:spacing w:val="-4"/>
        </w:rPr>
        <w:t> </w:t>
      </w:r>
      <w:r>
        <w:rPr/>
        <w:t>and</w:t>
      </w:r>
      <w:r>
        <w:rPr>
          <w:spacing w:val="-4"/>
        </w:rPr>
        <w:t> </w:t>
      </w:r>
      <w:r>
        <w:rPr/>
        <w:t>submission</w:t>
      </w:r>
      <w:r>
        <w:rPr>
          <w:spacing w:val="-4"/>
        </w:rPr>
        <w:t> </w:t>
      </w:r>
      <w:r>
        <w:rPr/>
        <w:t>processes</w:t>
      </w:r>
      <w:r>
        <w:rPr>
          <w:spacing w:val="-4"/>
        </w:rPr>
        <w:t> </w:t>
      </w:r>
      <w:r>
        <w:rPr/>
        <w:t>to</w:t>
      </w:r>
      <w:r>
        <w:rPr>
          <w:spacing w:val="-4"/>
        </w:rPr>
        <w:t> </w:t>
      </w:r>
      <w:r>
        <w:rPr/>
        <w:t>accommodate</w:t>
      </w:r>
      <w:r>
        <w:rPr>
          <w:spacing w:val="-4"/>
        </w:rPr>
        <w:t> </w:t>
      </w:r>
      <w:r>
        <w:rPr/>
        <w:t>timely compliance with the requirements of the new systems.</w:t>
      </w:r>
    </w:p>
    <w:p>
      <w:pPr>
        <w:pStyle w:val="BodyText"/>
        <w:spacing w:before="10"/>
        <w:rPr>
          <w:sz w:val="20"/>
        </w:rPr>
      </w:pPr>
    </w:p>
    <w:p>
      <w:pPr>
        <w:pStyle w:val="BodyText"/>
        <w:spacing w:before="1"/>
        <w:ind w:left="1411" w:right="1059"/>
      </w:pPr>
      <w:r>
        <w:rPr/>
        <w:drawing>
          <wp:anchor distT="0" distB="0" distL="0" distR="0" allowOverlap="1" layoutInCell="1" locked="0" behindDoc="0" simplePos="0" relativeHeight="16049152">
            <wp:simplePos x="0" y="0"/>
            <wp:positionH relativeFrom="page">
              <wp:posOffset>1424939</wp:posOffset>
            </wp:positionH>
            <wp:positionV relativeFrom="paragraph">
              <wp:posOffset>33186</wp:posOffset>
            </wp:positionV>
            <wp:extent cx="111251" cy="115823"/>
            <wp:effectExtent l="0" t="0" r="0" b="0"/>
            <wp:wrapNone/>
            <wp:docPr id="638" name="Image 638"/>
            <wp:cNvGraphicFramePr>
              <a:graphicFrameLocks/>
            </wp:cNvGraphicFramePr>
            <a:graphic>
              <a:graphicData uri="http://schemas.openxmlformats.org/drawingml/2006/picture">
                <pic:pic>
                  <pic:nvPicPr>
                    <pic:cNvPr id="638" name="Image 638"/>
                    <pic:cNvPicPr/>
                  </pic:nvPicPr>
                  <pic:blipFill>
                    <a:blip r:embed="rId63" cstate="print"/>
                    <a:stretch>
                      <a:fillRect/>
                    </a:stretch>
                  </pic:blipFill>
                  <pic:spPr>
                    <a:xfrm>
                      <a:off x="0" y="0"/>
                      <a:ext cx="111251" cy="115823"/>
                    </a:xfrm>
                    <a:prstGeom prst="rect">
                      <a:avLst/>
                    </a:prstGeom>
                  </pic:spPr>
                </pic:pic>
              </a:graphicData>
            </a:graphic>
          </wp:anchor>
        </w:drawing>
      </w:r>
      <w:bookmarkStart w:name="b. ensure all section 1115, Transformed " w:id="922"/>
      <w:bookmarkEnd w:id="922"/>
      <w:r>
        <w:rPr/>
      </w:r>
      <w:r>
        <w:rPr/>
        <w:t>ensure all section 1115, Transformed Medicaid Statistical Information System (T- MSIS),</w:t>
      </w:r>
      <w:r>
        <w:rPr>
          <w:spacing w:val="-3"/>
        </w:rPr>
        <w:t> </w:t>
      </w:r>
      <w:r>
        <w:rPr/>
        <w:t>and</w:t>
      </w:r>
      <w:r>
        <w:rPr>
          <w:spacing w:val="-4"/>
        </w:rPr>
        <w:t> </w:t>
      </w:r>
      <w:r>
        <w:rPr/>
        <w:t>other</w:t>
      </w:r>
      <w:r>
        <w:rPr>
          <w:spacing w:val="-4"/>
        </w:rPr>
        <w:t> </w:t>
      </w:r>
      <w:r>
        <w:rPr/>
        <w:t>data</w:t>
      </w:r>
      <w:r>
        <w:rPr>
          <w:spacing w:val="-3"/>
        </w:rPr>
        <w:t> </w:t>
      </w:r>
      <w:r>
        <w:rPr/>
        <w:t>elements</w:t>
      </w:r>
      <w:r>
        <w:rPr>
          <w:spacing w:val="-3"/>
        </w:rPr>
        <w:t> </w:t>
      </w:r>
      <w:r>
        <w:rPr/>
        <w:t>that</w:t>
      </w:r>
      <w:r>
        <w:rPr>
          <w:spacing w:val="-4"/>
        </w:rPr>
        <w:t> </w:t>
      </w:r>
      <w:r>
        <w:rPr/>
        <w:t>have</w:t>
      </w:r>
      <w:r>
        <w:rPr>
          <w:spacing w:val="-4"/>
        </w:rPr>
        <w:t> </w:t>
      </w:r>
      <w:r>
        <w:rPr/>
        <w:t>been</w:t>
      </w:r>
      <w:r>
        <w:rPr>
          <w:spacing w:val="-3"/>
        </w:rPr>
        <w:t> </w:t>
      </w:r>
      <w:r>
        <w:rPr/>
        <w:t>agreed</w:t>
      </w:r>
      <w:r>
        <w:rPr>
          <w:spacing w:val="-4"/>
        </w:rPr>
        <w:t> </w:t>
      </w:r>
      <w:r>
        <w:rPr/>
        <w:t>to</w:t>
      </w:r>
      <w:r>
        <w:rPr>
          <w:spacing w:val="-3"/>
        </w:rPr>
        <w:t> </w:t>
      </w:r>
      <w:r>
        <w:rPr/>
        <w:t>for</w:t>
      </w:r>
      <w:r>
        <w:rPr>
          <w:spacing w:val="-3"/>
        </w:rPr>
        <w:t> </w:t>
      </w:r>
      <w:r>
        <w:rPr/>
        <w:t>reporting</w:t>
      </w:r>
      <w:r>
        <w:rPr>
          <w:spacing w:val="-6"/>
        </w:rPr>
        <w:t> </w:t>
      </w:r>
      <w:r>
        <w:rPr/>
        <w:t>and</w:t>
      </w:r>
      <w:r>
        <w:rPr>
          <w:spacing w:val="-2"/>
        </w:rPr>
        <w:t> </w:t>
      </w:r>
      <w:r>
        <w:rPr/>
        <w:t>analytics are provided by the Commonwealth; and</w:t>
      </w:r>
    </w:p>
    <w:p>
      <w:pPr>
        <w:pStyle w:val="BodyText"/>
        <w:spacing w:before="9"/>
        <w:rPr>
          <w:sz w:val="20"/>
        </w:rPr>
      </w:pPr>
    </w:p>
    <w:p>
      <w:pPr>
        <w:pStyle w:val="BodyText"/>
        <w:spacing w:before="1"/>
        <w:ind w:left="1411"/>
      </w:pPr>
      <w:r>
        <w:rPr/>
        <w:drawing>
          <wp:anchor distT="0" distB="0" distL="0" distR="0" allowOverlap="1" layoutInCell="1" locked="0" behindDoc="0" simplePos="0" relativeHeight="16049664">
            <wp:simplePos x="0" y="0"/>
            <wp:positionH relativeFrom="page">
              <wp:posOffset>1431036</wp:posOffset>
            </wp:positionH>
            <wp:positionV relativeFrom="paragraph">
              <wp:posOffset>68251</wp:posOffset>
            </wp:positionV>
            <wp:extent cx="96011" cy="80759"/>
            <wp:effectExtent l="0" t="0" r="0" b="0"/>
            <wp:wrapNone/>
            <wp:docPr id="639" name="Image 639"/>
            <wp:cNvGraphicFramePr>
              <a:graphicFrameLocks/>
            </wp:cNvGraphicFramePr>
            <a:graphic>
              <a:graphicData uri="http://schemas.openxmlformats.org/drawingml/2006/picture">
                <pic:pic>
                  <pic:nvPicPr>
                    <pic:cNvPr id="639" name="Image 639"/>
                    <pic:cNvPicPr/>
                  </pic:nvPicPr>
                  <pic:blipFill>
                    <a:blip r:embed="rId41" cstate="print"/>
                    <a:stretch>
                      <a:fillRect/>
                    </a:stretch>
                  </pic:blipFill>
                  <pic:spPr>
                    <a:xfrm>
                      <a:off x="0" y="0"/>
                      <a:ext cx="96011" cy="80759"/>
                    </a:xfrm>
                    <a:prstGeom prst="rect">
                      <a:avLst/>
                    </a:prstGeom>
                  </pic:spPr>
                </pic:pic>
              </a:graphicData>
            </a:graphic>
          </wp:anchor>
        </w:drawing>
      </w:r>
      <w:bookmarkStart w:name="c. submit all deliverables to the approp" w:id="923"/>
      <w:bookmarkEnd w:id="923"/>
      <w:r>
        <w:rPr/>
      </w:r>
      <w:r>
        <w:rPr/>
        <w:t>submit</w:t>
      </w:r>
      <w:r>
        <w:rPr>
          <w:spacing w:val="-4"/>
        </w:rPr>
        <w:t> </w:t>
      </w:r>
      <w:r>
        <w:rPr/>
        <w:t>all</w:t>
      </w:r>
      <w:r>
        <w:rPr>
          <w:spacing w:val="-1"/>
        </w:rPr>
        <w:t> </w:t>
      </w:r>
      <w:r>
        <w:rPr/>
        <w:t>deliverables</w:t>
      </w:r>
      <w:r>
        <w:rPr>
          <w:spacing w:val="-1"/>
        </w:rPr>
        <w:t> </w:t>
      </w:r>
      <w:r>
        <w:rPr/>
        <w:t>to</w:t>
      </w:r>
      <w:r>
        <w:rPr>
          <w:spacing w:val="-1"/>
        </w:rPr>
        <w:t> </w:t>
      </w:r>
      <w:r>
        <w:rPr/>
        <w:t>the</w:t>
      </w:r>
      <w:r>
        <w:rPr>
          <w:spacing w:val="-2"/>
        </w:rPr>
        <w:t> </w:t>
      </w:r>
      <w:r>
        <w:rPr/>
        <w:t>appropriate</w:t>
      </w:r>
      <w:r>
        <w:rPr>
          <w:spacing w:val="-2"/>
        </w:rPr>
        <w:t> </w:t>
      </w:r>
      <w:r>
        <w:rPr/>
        <w:t>system</w:t>
      </w:r>
      <w:r>
        <w:rPr>
          <w:spacing w:val="-1"/>
        </w:rPr>
        <w:t> </w:t>
      </w:r>
      <w:r>
        <w:rPr/>
        <w:t>as</w:t>
      </w:r>
      <w:r>
        <w:rPr>
          <w:spacing w:val="-1"/>
        </w:rPr>
        <w:t> </w:t>
      </w:r>
      <w:r>
        <w:rPr/>
        <w:t>directed</w:t>
      </w:r>
      <w:r>
        <w:rPr>
          <w:spacing w:val="-1"/>
        </w:rPr>
        <w:t> </w:t>
      </w:r>
      <w:r>
        <w:rPr/>
        <w:t>by</w:t>
      </w:r>
      <w:r>
        <w:rPr>
          <w:spacing w:val="-5"/>
        </w:rPr>
        <w:t> </w:t>
      </w:r>
      <w:r>
        <w:rPr>
          <w:spacing w:val="-4"/>
        </w:rPr>
        <w:t>CMS.</w:t>
      </w:r>
    </w:p>
    <w:p>
      <w:pPr>
        <w:pStyle w:val="BodyText"/>
        <w:spacing w:before="10"/>
        <w:rPr>
          <w:sz w:val="20"/>
        </w:rPr>
      </w:pPr>
    </w:p>
    <w:p>
      <w:pPr>
        <w:pStyle w:val="BodyText"/>
        <w:ind w:left="871" w:right="1072"/>
      </w:pPr>
      <w:r>
        <w:rPr/>
        <w:drawing>
          <wp:anchor distT="0" distB="0" distL="0" distR="0" allowOverlap="1" layoutInCell="1" locked="0" behindDoc="0" simplePos="0" relativeHeight="16050176">
            <wp:simplePos x="0" y="0"/>
            <wp:positionH relativeFrom="page">
              <wp:posOffset>908303</wp:posOffset>
            </wp:positionH>
            <wp:positionV relativeFrom="paragraph">
              <wp:posOffset>35599</wp:posOffset>
            </wp:positionV>
            <wp:extent cx="283463" cy="112775"/>
            <wp:effectExtent l="0" t="0" r="0" b="0"/>
            <wp:wrapNone/>
            <wp:docPr id="640" name="Image 640"/>
            <wp:cNvGraphicFramePr>
              <a:graphicFrameLocks/>
            </wp:cNvGraphicFramePr>
            <a:graphic>
              <a:graphicData uri="http://schemas.openxmlformats.org/drawingml/2006/picture">
                <pic:pic>
                  <pic:nvPicPr>
                    <pic:cNvPr id="640" name="Image 640"/>
                    <pic:cNvPicPr/>
                  </pic:nvPicPr>
                  <pic:blipFill>
                    <a:blip r:embed="rId252" cstate="print"/>
                    <a:stretch>
                      <a:fillRect/>
                    </a:stretch>
                  </pic:blipFill>
                  <pic:spPr>
                    <a:xfrm>
                      <a:off x="0" y="0"/>
                      <a:ext cx="283463" cy="112775"/>
                    </a:xfrm>
                    <a:prstGeom prst="rect">
                      <a:avLst/>
                    </a:prstGeom>
                  </pic:spPr>
                </pic:pic>
              </a:graphicData>
            </a:graphic>
          </wp:anchor>
        </w:drawing>
      </w:r>
      <w:bookmarkStart w:name="16.4. Monitoring Protocol for Other Poli" w:id="924"/>
      <w:bookmarkEnd w:id="924"/>
      <w:r>
        <w:rPr/>
      </w:r>
      <w:r>
        <w:rPr>
          <w:b/>
        </w:rPr>
        <w:t>Monitoring Protocol for Other Policies</w:t>
      </w:r>
      <w:r>
        <w:rPr/>
        <w:t>. The Commonwealth must submit to CMS a Monitoring</w:t>
      </w:r>
      <w:r>
        <w:rPr>
          <w:spacing w:val="-6"/>
        </w:rPr>
        <w:t> </w:t>
      </w:r>
      <w:r>
        <w:rPr/>
        <w:t>Protocol</w:t>
      </w:r>
      <w:r>
        <w:rPr>
          <w:spacing w:val="-3"/>
        </w:rPr>
        <w:t> </w:t>
      </w:r>
      <w:r>
        <w:rPr/>
        <w:t>addressing</w:t>
      </w:r>
      <w:r>
        <w:rPr>
          <w:spacing w:val="-6"/>
        </w:rPr>
        <w:t> </w:t>
      </w:r>
      <w:r>
        <w:rPr/>
        <w:t>components</w:t>
      </w:r>
      <w:r>
        <w:rPr>
          <w:spacing w:val="-3"/>
        </w:rPr>
        <w:t> </w:t>
      </w:r>
      <w:r>
        <w:rPr/>
        <w:t>of</w:t>
      </w:r>
      <w:r>
        <w:rPr>
          <w:spacing w:val="-4"/>
        </w:rPr>
        <w:t> </w:t>
      </w:r>
      <w:r>
        <w:rPr/>
        <w:t>the</w:t>
      </w:r>
      <w:r>
        <w:rPr>
          <w:spacing w:val="-2"/>
        </w:rPr>
        <w:t> </w:t>
      </w:r>
      <w:r>
        <w:rPr/>
        <w:t>demonstration</w:t>
      </w:r>
      <w:r>
        <w:rPr>
          <w:spacing w:val="-3"/>
        </w:rPr>
        <w:t> </w:t>
      </w:r>
      <w:r>
        <w:rPr/>
        <w:t>not</w:t>
      </w:r>
      <w:r>
        <w:rPr>
          <w:spacing w:val="-3"/>
        </w:rPr>
        <w:t> </w:t>
      </w:r>
      <w:r>
        <w:rPr/>
        <w:t>covered</w:t>
      </w:r>
      <w:r>
        <w:rPr>
          <w:spacing w:val="-3"/>
        </w:rPr>
        <w:t> </w:t>
      </w:r>
      <w:r>
        <w:rPr/>
        <w:t>by</w:t>
      </w:r>
      <w:r>
        <w:rPr>
          <w:spacing w:val="-8"/>
        </w:rPr>
        <w:t> </w:t>
      </w:r>
      <w:r>
        <w:rPr/>
        <w:t>the</w:t>
      </w:r>
      <w:r>
        <w:rPr>
          <w:spacing w:val="-4"/>
        </w:rPr>
        <w:t> </w:t>
      </w:r>
      <w:r>
        <w:rPr/>
        <w:t>SUD and SMI/SED Monitoring Protocols (e.g., hospital health equity framework, workforce development initiatives, continuous eligibility, premiums, and waivers of retroactive eligibility).</w:t>
      </w:r>
      <w:r>
        <w:rPr>
          <w:spacing w:val="40"/>
        </w:rPr>
        <w:t> </w:t>
      </w:r>
      <w:r>
        <w:rPr/>
        <w:t>The Commonwealth must submit an updated or a separate Monitoring Protocol for any amendments to the demonstration no later than 150 calendar days after the approval of the amendment.</w:t>
      </w:r>
      <w:r>
        <w:rPr>
          <w:spacing w:val="40"/>
        </w:rPr>
        <w:t> </w:t>
      </w:r>
      <w:r>
        <w:rPr/>
        <w:t>Once approved, the Monitoring Protocol for Other Policies will be incorporated in the STCs as Attachment W.</w:t>
      </w:r>
      <w:r>
        <w:rPr>
          <w:spacing w:val="40"/>
        </w:rPr>
        <w:t> </w:t>
      </w:r>
      <w:r>
        <w:rPr/>
        <w:t>In addition, the Commonwealth must submit an updated or a separate Monitoring Protocol for any</w:t>
      </w:r>
    </w:p>
    <w:p>
      <w:pPr>
        <w:spacing w:after="0"/>
        <w:sectPr>
          <w:pgSz w:w="12240" w:h="15840"/>
          <w:pgMar w:header="0" w:footer="1201" w:top="1360" w:bottom="1400" w:left="1200" w:right="400"/>
        </w:sectPr>
      </w:pPr>
    </w:p>
    <w:p>
      <w:pPr>
        <w:pStyle w:val="BodyText"/>
        <w:spacing w:before="79"/>
        <w:ind w:left="871" w:right="1059"/>
      </w:pPr>
      <w:r>
        <w:rPr/>
        <w:t>amendments</w:t>
      </w:r>
      <w:r>
        <w:rPr>
          <w:spacing w:val="-3"/>
        </w:rPr>
        <w:t> </w:t>
      </w:r>
      <w:r>
        <w:rPr/>
        <w:t>to</w:t>
      </w:r>
      <w:r>
        <w:rPr>
          <w:spacing w:val="-3"/>
        </w:rPr>
        <w:t> </w:t>
      </w:r>
      <w:r>
        <w:rPr/>
        <w:t>the</w:t>
      </w:r>
      <w:r>
        <w:rPr>
          <w:spacing w:val="-4"/>
        </w:rPr>
        <w:t> </w:t>
      </w:r>
      <w:r>
        <w:rPr/>
        <w:t>demonstration</w:t>
      </w:r>
      <w:r>
        <w:rPr>
          <w:spacing w:val="-3"/>
        </w:rPr>
        <w:t> </w:t>
      </w:r>
      <w:r>
        <w:rPr/>
        <w:t>no</w:t>
      </w:r>
      <w:r>
        <w:rPr>
          <w:spacing w:val="-3"/>
        </w:rPr>
        <w:t> </w:t>
      </w:r>
      <w:r>
        <w:rPr/>
        <w:t>later</w:t>
      </w:r>
      <w:r>
        <w:rPr>
          <w:spacing w:val="-4"/>
        </w:rPr>
        <w:t> </w:t>
      </w:r>
      <w:r>
        <w:rPr/>
        <w:t>than</w:t>
      </w:r>
      <w:r>
        <w:rPr>
          <w:spacing w:val="-3"/>
        </w:rPr>
        <w:t> </w:t>
      </w:r>
      <w:r>
        <w:rPr/>
        <w:t>150</w:t>
      </w:r>
      <w:r>
        <w:rPr>
          <w:spacing w:val="-3"/>
        </w:rPr>
        <w:t> </w:t>
      </w:r>
      <w:r>
        <w:rPr/>
        <w:t>calendar</w:t>
      </w:r>
      <w:r>
        <w:rPr>
          <w:spacing w:val="-4"/>
        </w:rPr>
        <w:t> </w:t>
      </w:r>
      <w:r>
        <w:rPr/>
        <w:t>days</w:t>
      </w:r>
      <w:r>
        <w:rPr>
          <w:spacing w:val="-3"/>
        </w:rPr>
        <w:t> </w:t>
      </w:r>
      <w:r>
        <w:rPr/>
        <w:t>after</w:t>
      </w:r>
      <w:r>
        <w:rPr>
          <w:spacing w:val="-4"/>
        </w:rPr>
        <w:t> </w:t>
      </w:r>
      <w:r>
        <w:rPr/>
        <w:t>the</w:t>
      </w:r>
      <w:r>
        <w:rPr>
          <w:spacing w:val="-2"/>
        </w:rPr>
        <w:t> </w:t>
      </w:r>
      <w:r>
        <w:rPr/>
        <w:t>approval</w:t>
      </w:r>
      <w:r>
        <w:rPr>
          <w:spacing w:val="-3"/>
        </w:rPr>
        <w:t> </w:t>
      </w:r>
      <w:r>
        <w:rPr/>
        <w:t>of</w:t>
      </w:r>
      <w:r>
        <w:rPr>
          <w:spacing w:val="-4"/>
        </w:rPr>
        <w:t> </w:t>
      </w:r>
      <w:r>
        <w:rPr/>
        <w:t>the amendment.</w:t>
      </w:r>
      <w:r>
        <w:rPr>
          <w:spacing w:val="40"/>
        </w:rPr>
        <w:t> </w:t>
      </w:r>
      <w:r>
        <w:rPr/>
        <w:t>Such amendment Monitoring Protocols are subject to same requirement of revisions and CMS approval, as described above.</w:t>
      </w:r>
    </w:p>
    <w:p>
      <w:pPr>
        <w:pStyle w:val="BodyText"/>
        <w:spacing w:before="10"/>
        <w:rPr>
          <w:sz w:val="20"/>
        </w:rPr>
      </w:pPr>
    </w:p>
    <w:p>
      <w:pPr>
        <w:pStyle w:val="BodyText"/>
        <w:ind w:left="871" w:right="1059"/>
      </w:pPr>
      <w:bookmarkStart w:name="At a minimum, the Monitoring Protocol wi" w:id="925"/>
      <w:bookmarkEnd w:id="925"/>
      <w:r>
        <w:rPr/>
      </w:r>
      <w:r>
        <w:rPr/>
        <w:t>At a minimum, the Monitoring Protocol will affirm the Commonwealth’s commitment to conduct Quarterly and Annual Monitoring Reports in accordance with CMS’s guidance and technical assistance and using CMS-provided reporting templates, if applicable.</w:t>
      </w:r>
      <w:r>
        <w:rPr>
          <w:spacing w:val="40"/>
        </w:rPr>
        <w:t> </w:t>
      </w:r>
      <w:r>
        <w:rPr/>
        <w:t>Any proposed deviations from CMS’s guidance should be documented in the Monitoring Protocol.</w:t>
      </w:r>
      <w:r>
        <w:rPr>
          <w:spacing w:val="40"/>
        </w:rPr>
        <w:t> </w:t>
      </w:r>
      <w:r>
        <w:rPr/>
        <w:t>The Monitoring</w:t>
      </w:r>
      <w:r>
        <w:rPr>
          <w:spacing w:val="-2"/>
        </w:rPr>
        <w:t> </w:t>
      </w:r>
      <w:r>
        <w:rPr/>
        <w:t>Protocol will describe the quantitative and qualitative elements on which the Commonwealth will report through Quarterly and Annual Monitoring Reports.</w:t>
      </w:r>
      <w:r>
        <w:rPr>
          <w:spacing w:val="40"/>
        </w:rPr>
        <w:t> </w:t>
      </w:r>
      <w:r>
        <w:rPr/>
        <w:t>For the overall demonstration as well as for specific policies where CMS provides states with a suite of quantitative monitoring metrics (e.g., the performance metrics described in STC 16.5(b)), the Commonwealth is required to calculate and report such metrics leveraging the technical specifications provided by CMS.</w:t>
      </w:r>
      <w:r>
        <w:rPr>
          <w:spacing w:val="40"/>
        </w:rPr>
        <w:t> </w:t>
      </w:r>
      <w:r>
        <w:rPr/>
        <w:t>The Monitoring Protocol must specify the methods of data collection and timeframes for reporting on the Commonwealth’s progress as part of the Quarterly and Annual Monitoring Reports.</w:t>
      </w:r>
      <w:r>
        <w:rPr>
          <w:spacing w:val="40"/>
        </w:rPr>
        <w:t> </w:t>
      </w:r>
      <w:r>
        <w:rPr/>
        <w:t>In alignment with CMS guidance, the Monitoring Protocol must additionally specify the Commonwealth’s plans and timeline on reporting metrics data stratified by key demographic</w:t>
      </w:r>
      <w:r>
        <w:rPr>
          <w:spacing w:val="-5"/>
        </w:rPr>
        <w:t> </w:t>
      </w:r>
      <w:r>
        <w:rPr/>
        <w:t>subpopulations</w:t>
      </w:r>
      <w:r>
        <w:rPr>
          <w:spacing w:val="-4"/>
        </w:rPr>
        <w:t> </w:t>
      </w:r>
      <w:r>
        <w:rPr/>
        <w:t>of</w:t>
      </w:r>
      <w:r>
        <w:rPr>
          <w:spacing w:val="-5"/>
        </w:rPr>
        <w:t> </w:t>
      </w:r>
      <w:r>
        <w:rPr/>
        <w:t>interest</w:t>
      </w:r>
      <w:r>
        <w:rPr>
          <w:spacing w:val="-4"/>
        </w:rPr>
        <w:t> </w:t>
      </w:r>
      <w:r>
        <w:rPr/>
        <w:t>(e.g.,</w:t>
      </w:r>
      <w:r>
        <w:rPr>
          <w:spacing w:val="-4"/>
        </w:rPr>
        <w:t> </w:t>
      </w:r>
      <w:r>
        <w:rPr/>
        <w:t>by</w:t>
      </w:r>
      <w:r>
        <w:rPr>
          <w:spacing w:val="-9"/>
        </w:rPr>
        <w:t> </w:t>
      </w:r>
      <w:r>
        <w:rPr/>
        <w:t>sex,</w:t>
      </w:r>
      <w:r>
        <w:rPr>
          <w:spacing w:val="-4"/>
        </w:rPr>
        <w:t> </w:t>
      </w:r>
      <w:r>
        <w:rPr/>
        <w:t>age,</w:t>
      </w:r>
      <w:r>
        <w:rPr>
          <w:spacing w:val="-4"/>
        </w:rPr>
        <w:t> </w:t>
      </w:r>
      <w:r>
        <w:rPr/>
        <w:t>race/ethnicity,</w:t>
      </w:r>
      <w:r>
        <w:rPr>
          <w:spacing w:val="-4"/>
        </w:rPr>
        <w:t> </w:t>
      </w:r>
      <w:r>
        <w:rPr/>
        <w:t>English</w:t>
      </w:r>
      <w:r>
        <w:rPr>
          <w:spacing w:val="-4"/>
        </w:rPr>
        <w:t> </w:t>
      </w:r>
      <w:r>
        <w:rPr/>
        <w:t>language proficiency, primary language, disability status, and geography) and demonstration </w:t>
      </w:r>
      <w:r>
        <w:rPr>
          <w:spacing w:val="-2"/>
        </w:rPr>
        <w:t>component.</w:t>
      </w:r>
    </w:p>
    <w:p>
      <w:pPr>
        <w:pStyle w:val="BodyText"/>
        <w:spacing w:before="10"/>
        <w:rPr>
          <w:sz w:val="20"/>
        </w:rPr>
      </w:pPr>
    </w:p>
    <w:p>
      <w:pPr>
        <w:pStyle w:val="BodyText"/>
        <w:ind w:left="871" w:right="1059"/>
      </w:pPr>
      <w:bookmarkStart w:name="For the Commonwealth’s HRSN initiatives " w:id="926"/>
      <w:bookmarkEnd w:id="926"/>
      <w:r>
        <w:rPr/>
      </w:r>
      <w:r>
        <w:rPr/>
        <w:t>For the Commonwealth’s HRSN initiatives authorized through this demonstration, the Monitoring Protocol requires specifying selection of quality of care and health outcomes metrics and population stratifications based on CMS’s upcoming guidance on the Health Equity Measure Slate, and outlining the corresponding data sources and reporting timelines.</w:t>
      </w:r>
      <w:r>
        <w:rPr>
          <w:spacing w:val="40"/>
        </w:rPr>
        <w:t> </w:t>
      </w:r>
      <w:r>
        <w:rPr/>
        <w:t>CMS underscores the importance of the Commonwealth’s reporting of quality of care and health outcomes metrics known to be important for closing key equity gaps in Medicaid/CHIP</w:t>
      </w:r>
      <w:r>
        <w:rPr>
          <w:spacing w:val="-3"/>
        </w:rPr>
        <w:t> </w:t>
      </w:r>
      <w:r>
        <w:rPr/>
        <w:t>(e.g.,</w:t>
      </w:r>
      <w:r>
        <w:rPr>
          <w:spacing w:val="-6"/>
        </w:rPr>
        <w:t> </w:t>
      </w:r>
      <w:r>
        <w:rPr/>
        <w:t>the</w:t>
      </w:r>
      <w:r>
        <w:rPr>
          <w:spacing w:val="-5"/>
        </w:rPr>
        <w:t> </w:t>
      </w:r>
      <w:r>
        <w:rPr/>
        <w:t>National</w:t>
      </w:r>
      <w:r>
        <w:rPr>
          <w:spacing w:val="-6"/>
        </w:rPr>
        <w:t> </w:t>
      </w:r>
      <w:r>
        <w:rPr/>
        <w:t>Quality</w:t>
      </w:r>
      <w:r>
        <w:rPr>
          <w:spacing w:val="-8"/>
        </w:rPr>
        <w:t> </w:t>
      </w:r>
      <w:r>
        <w:rPr/>
        <w:t>Forum</w:t>
      </w:r>
      <w:r>
        <w:rPr>
          <w:spacing w:val="-4"/>
        </w:rPr>
        <w:t> </w:t>
      </w:r>
      <w:r>
        <w:rPr/>
        <w:t>(NQF)</w:t>
      </w:r>
      <w:r>
        <w:rPr>
          <w:spacing w:val="-7"/>
        </w:rPr>
        <w:t> </w:t>
      </w:r>
      <w:r>
        <w:rPr/>
        <w:t>“disparities-sensitive”</w:t>
      </w:r>
      <w:r>
        <w:rPr>
          <w:spacing w:val="-7"/>
        </w:rPr>
        <w:t> </w:t>
      </w:r>
      <w:r>
        <w:rPr/>
        <w:t>measures) and prioritizing key outcome measures and their clinical and non-clinical (i.e., social) drivers.</w:t>
      </w:r>
      <w:r>
        <w:rPr>
          <w:spacing w:val="40"/>
        </w:rPr>
        <w:t> </w:t>
      </w:r>
      <w:r>
        <w:rPr/>
        <w:t>The Monitoring Protocol must also outline the Commonwealth’s planned approaches and parameters to track performance relative to the goals and milestones, as provided in the Implementation Plan, for the HRSN infrastructure investments.</w:t>
      </w:r>
    </w:p>
    <w:p>
      <w:pPr>
        <w:pStyle w:val="BodyText"/>
        <w:spacing w:before="10"/>
        <w:rPr>
          <w:sz w:val="20"/>
        </w:rPr>
      </w:pPr>
    </w:p>
    <w:p>
      <w:pPr>
        <w:pStyle w:val="BodyText"/>
        <w:spacing w:before="1"/>
        <w:ind w:left="871" w:right="1059"/>
      </w:pPr>
      <w:bookmarkStart w:name="Furthermore, for HRSN initiatives, the C" w:id="927"/>
      <w:bookmarkEnd w:id="927"/>
      <w:r>
        <w:rPr/>
      </w:r>
      <w:r>
        <w:rPr/>
        <w:t>Furthermore, for HRSN initiatives, the Commonwealth must describe in the Monitoring Protocol its plans and methods to collect and analyze non-Medicaid administrative data to help calculate applicable monitoring metrics, as applicable.</w:t>
      </w:r>
      <w:r>
        <w:rPr>
          <w:spacing w:val="40"/>
        </w:rPr>
        <w:t> </w:t>
      </w:r>
      <w:r>
        <w:rPr/>
        <w:t>These sources may include, but are not limited to (1) community resource referral platforms, (2) records of social services receipt from other agencies (such as SNAP or TANF benefits, or housing assistance), (3) other data from social services organizations linked to beneficiaries (e.g., services rendered, resolution of identified need, as applicable), and (4) social needs screening results from electronic health records, health plans, or other partner agencies as applicable.</w:t>
      </w:r>
      <w:r>
        <w:rPr>
          <w:spacing w:val="40"/>
        </w:rPr>
        <w:t> </w:t>
      </w:r>
      <w:r>
        <w:rPr/>
        <w:t>Across data sources, the Commonwealth must make efforts and consult with relevant</w:t>
      </w:r>
      <w:r>
        <w:rPr>
          <w:spacing w:val="-4"/>
        </w:rPr>
        <w:t> </w:t>
      </w:r>
      <w:r>
        <w:rPr/>
        <w:t>non-Medicaid</w:t>
      </w:r>
      <w:r>
        <w:rPr>
          <w:spacing w:val="-4"/>
        </w:rPr>
        <w:t> </w:t>
      </w:r>
      <w:r>
        <w:rPr/>
        <w:t>social</w:t>
      </w:r>
      <w:r>
        <w:rPr>
          <w:spacing w:val="-4"/>
        </w:rPr>
        <w:t> </w:t>
      </w:r>
      <w:r>
        <w:rPr/>
        <w:t>service</w:t>
      </w:r>
      <w:r>
        <w:rPr>
          <w:spacing w:val="-5"/>
        </w:rPr>
        <w:t> </w:t>
      </w:r>
      <w:r>
        <w:rPr/>
        <w:t>agencies</w:t>
      </w:r>
      <w:r>
        <w:rPr>
          <w:spacing w:val="-4"/>
        </w:rPr>
        <w:t> </w:t>
      </w:r>
      <w:r>
        <w:rPr/>
        <w:t>to</w:t>
      </w:r>
      <w:r>
        <w:rPr>
          <w:spacing w:val="-4"/>
        </w:rPr>
        <w:t> </w:t>
      </w:r>
      <w:r>
        <w:rPr/>
        <w:t>collect</w:t>
      </w:r>
      <w:r>
        <w:rPr>
          <w:spacing w:val="-4"/>
        </w:rPr>
        <w:t> </w:t>
      </w:r>
      <w:r>
        <w:rPr/>
        <w:t>data</w:t>
      </w:r>
      <w:r>
        <w:rPr>
          <w:spacing w:val="-5"/>
        </w:rPr>
        <w:t> </w:t>
      </w:r>
      <w:r>
        <w:rPr/>
        <w:t>in</w:t>
      </w:r>
      <w:r>
        <w:rPr>
          <w:spacing w:val="-4"/>
        </w:rPr>
        <w:t> </w:t>
      </w:r>
      <w:r>
        <w:rPr/>
        <w:t>ways</w:t>
      </w:r>
      <w:r>
        <w:rPr>
          <w:spacing w:val="-4"/>
        </w:rPr>
        <w:t> </w:t>
      </w:r>
      <w:r>
        <w:rPr/>
        <w:t>that</w:t>
      </w:r>
      <w:r>
        <w:rPr>
          <w:spacing w:val="-4"/>
        </w:rPr>
        <w:t> </w:t>
      </w:r>
      <w:r>
        <w:rPr/>
        <w:t>support</w:t>
      </w:r>
      <w:r>
        <w:rPr>
          <w:spacing w:val="-4"/>
        </w:rPr>
        <w:t> </w:t>
      </w:r>
      <w:r>
        <w:rPr/>
        <w:t>analyses of data on beneficiary subgroups.</w:t>
      </w:r>
    </w:p>
    <w:p>
      <w:pPr>
        <w:spacing w:after="0"/>
        <w:sectPr>
          <w:pgSz w:w="12240" w:h="15840"/>
          <w:pgMar w:header="0" w:footer="1201" w:top="1360" w:bottom="1400" w:left="1200" w:right="400"/>
        </w:sectPr>
      </w:pPr>
    </w:p>
    <w:p>
      <w:pPr>
        <w:pStyle w:val="BodyText"/>
        <w:spacing w:before="79"/>
        <w:ind w:left="871" w:right="1059"/>
      </w:pPr>
      <w:bookmarkStart w:name="For the qualitative elements (e.g., oper" w:id="928"/>
      <w:bookmarkEnd w:id="928"/>
      <w:r>
        <w:rPr/>
      </w:r>
      <w:r>
        <w:rPr/>
        <w:t>For</w:t>
      </w:r>
      <w:r>
        <w:rPr>
          <w:spacing w:val="-4"/>
        </w:rPr>
        <w:t> </w:t>
      </w:r>
      <w:r>
        <w:rPr/>
        <w:t>the</w:t>
      </w:r>
      <w:r>
        <w:rPr>
          <w:spacing w:val="-4"/>
        </w:rPr>
        <w:t> </w:t>
      </w:r>
      <w:r>
        <w:rPr/>
        <w:t>qualitative</w:t>
      </w:r>
      <w:r>
        <w:rPr>
          <w:spacing w:val="-4"/>
        </w:rPr>
        <w:t> </w:t>
      </w:r>
      <w:r>
        <w:rPr/>
        <w:t>elements</w:t>
      </w:r>
      <w:r>
        <w:rPr>
          <w:spacing w:val="-4"/>
        </w:rPr>
        <w:t> </w:t>
      </w:r>
      <w:r>
        <w:rPr/>
        <w:t>(e.g.,</w:t>
      </w:r>
      <w:r>
        <w:rPr>
          <w:spacing w:val="-4"/>
        </w:rPr>
        <w:t> </w:t>
      </w:r>
      <w:r>
        <w:rPr/>
        <w:t>operational</w:t>
      </w:r>
      <w:r>
        <w:rPr>
          <w:spacing w:val="-4"/>
        </w:rPr>
        <w:t> </w:t>
      </w:r>
      <w:r>
        <w:rPr/>
        <w:t>updates</w:t>
      </w:r>
      <w:r>
        <w:rPr>
          <w:spacing w:val="-4"/>
        </w:rPr>
        <w:t> </w:t>
      </w:r>
      <w:r>
        <w:rPr/>
        <w:t>as</w:t>
      </w:r>
      <w:r>
        <w:rPr>
          <w:spacing w:val="-4"/>
        </w:rPr>
        <w:t> </w:t>
      </w:r>
      <w:r>
        <w:rPr/>
        <w:t>described</w:t>
      </w:r>
      <w:r>
        <w:rPr>
          <w:spacing w:val="-4"/>
        </w:rPr>
        <w:t> </w:t>
      </w:r>
      <w:r>
        <w:rPr/>
        <w:t>in</w:t>
      </w:r>
      <w:r>
        <w:rPr>
          <w:spacing w:val="-4"/>
        </w:rPr>
        <w:t> </w:t>
      </w:r>
      <w:r>
        <w:rPr/>
        <w:t>STC</w:t>
      </w:r>
      <w:r>
        <w:rPr>
          <w:spacing w:val="-4"/>
        </w:rPr>
        <w:t> </w:t>
      </w:r>
      <w:r>
        <w:rPr/>
        <w:t>16.5(a)</w:t>
      </w:r>
      <w:r>
        <w:rPr>
          <w:spacing w:val="-4"/>
        </w:rPr>
        <w:t> </w:t>
      </w:r>
      <w:r>
        <w:rPr/>
        <w:t>below), CMS will provide the Commonwealth with guidance on narrative and descriptive information which will supplement the quantitative metrics on key aspects of the demonstration policies. The quantitative and qualitative elements will comprise the Commonwealth’s Quarterly and Annual Monitoring Reports.</w:t>
      </w:r>
    </w:p>
    <w:p>
      <w:pPr>
        <w:pStyle w:val="BodyText"/>
        <w:spacing w:before="10"/>
        <w:rPr>
          <w:sz w:val="20"/>
        </w:rPr>
      </w:pPr>
    </w:p>
    <w:p>
      <w:pPr>
        <w:pStyle w:val="BodyText"/>
        <w:ind w:left="871" w:right="1064"/>
      </w:pPr>
      <w:r>
        <w:rPr/>
        <w:drawing>
          <wp:anchor distT="0" distB="0" distL="0" distR="0" allowOverlap="1" layoutInCell="1" locked="0" behindDoc="0" simplePos="0" relativeHeight="16050688">
            <wp:simplePos x="0" y="0"/>
            <wp:positionH relativeFrom="page">
              <wp:posOffset>908303</wp:posOffset>
            </wp:positionH>
            <wp:positionV relativeFrom="paragraph">
              <wp:posOffset>35612</wp:posOffset>
            </wp:positionV>
            <wp:extent cx="283463" cy="112763"/>
            <wp:effectExtent l="0" t="0" r="0" b="0"/>
            <wp:wrapNone/>
            <wp:docPr id="641" name="Image 641"/>
            <wp:cNvGraphicFramePr>
              <a:graphicFrameLocks/>
            </wp:cNvGraphicFramePr>
            <a:graphic>
              <a:graphicData uri="http://schemas.openxmlformats.org/drawingml/2006/picture">
                <pic:pic>
                  <pic:nvPicPr>
                    <pic:cNvPr id="641" name="Image 641"/>
                    <pic:cNvPicPr/>
                  </pic:nvPicPr>
                  <pic:blipFill>
                    <a:blip r:embed="rId253" cstate="print"/>
                    <a:stretch>
                      <a:fillRect/>
                    </a:stretch>
                  </pic:blipFill>
                  <pic:spPr>
                    <a:xfrm>
                      <a:off x="0" y="0"/>
                      <a:ext cx="283463" cy="112763"/>
                    </a:xfrm>
                    <a:prstGeom prst="rect">
                      <a:avLst/>
                    </a:prstGeom>
                  </pic:spPr>
                </pic:pic>
              </a:graphicData>
            </a:graphic>
          </wp:anchor>
        </w:drawing>
      </w:r>
      <w:bookmarkStart w:name="16.5. Quarterly and Annual Monitoring Re" w:id="929"/>
      <w:bookmarkEnd w:id="929"/>
      <w:r>
        <w:rPr/>
      </w:r>
      <w:r>
        <w:rPr>
          <w:b/>
        </w:rPr>
        <w:t>Quarterly and Annual Monitoring Reports. </w:t>
      </w:r>
      <w:r>
        <w:rPr/>
        <w:t>The Commonwealth must submit three Quarterly Reports and one Annual Report each DY.</w:t>
      </w:r>
      <w:r>
        <w:rPr>
          <w:spacing w:val="40"/>
        </w:rPr>
        <w:t> </w:t>
      </w:r>
      <w:r>
        <w:rPr/>
        <w:t>The fourth-quarter information that would ordinarily be provided in a separate report should be reported as distinct</w:t>
      </w:r>
      <w:r>
        <w:rPr>
          <w:spacing w:val="40"/>
        </w:rPr>
        <w:t> </w:t>
      </w:r>
      <w:r>
        <w:rPr/>
        <w:t>information within the Annual Monitoring Report.</w:t>
      </w:r>
      <w:r>
        <w:rPr>
          <w:spacing w:val="40"/>
        </w:rPr>
        <w:t> </w:t>
      </w:r>
      <w:r>
        <w:rPr/>
        <w:t>The Quarterly</w:t>
      </w:r>
      <w:r>
        <w:rPr>
          <w:spacing w:val="-1"/>
        </w:rPr>
        <w:t> </w:t>
      </w:r>
      <w:r>
        <w:rPr/>
        <w:t>Monitoring Reports are due no later than 60 days following the end of each demonstration quarter.</w:t>
      </w:r>
      <w:r>
        <w:rPr>
          <w:spacing w:val="40"/>
        </w:rPr>
        <w:t> </w:t>
      </w:r>
      <w:r>
        <w:rPr/>
        <w:t>The Annual Report (including the fourth quarter information) is due no later than 90 days following</w:t>
      </w:r>
      <w:r>
        <w:rPr>
          <w:spacing w:val="40"/>
        </w:rPr>
        <w:t> </w:t>
      </w:r>
      <w:r>
        <w:rPr/>
        <w:t>the end of the DY.</w:t>
      </w:r>
      <w:r>
        <w:rPr>
          <w:spacing w:val="40"/>
        </w:rPr>
        <w:t> </w:t>
      </w:r>
      <w:r>
        <w:rPr/>
        <w:t>The Commonwealth must submit a revised Monitoring Report within 60 days after receipt of CMS’s comments, if any.</w:t>
      </w:r>
      <w:r>
        <w:rPr>
          <w:spacing w:val="40"/>
        </w:rPr>
        <w:t> </w:t>
      </w:r>
      <w:r>
        <w:rPr/>
        <w:t>The reports will include all required elements as per 42 CFR 431.428 and should not direct readers to links outside the report. Additional</w:t>
      </w:r>
      <w:r>
        <w:rPr>
          <w:spacing w:val="-3"/>
        </w:rPr>
        <w:t> </w:t>
      </w:r>
      <w:r>
        <w:rPr/>
        <w:t>links</w:t>
      </w:r>
      <w:r>
        <w:rPr>
          <w:spacing w:val="-3"/>
        </w:rPr>
        <w:t> </w:t>
      </w:r>
      <w:r>
        <w:rPr/>
        <w:t>not</w:t>
      </w:r>
      <w:r>
        <w:rPr>
          <w:spacing w:val="-3"/>
        </w:rPr>
        <w:t> </w:t>
      </w:r>
      <w:r>
        <w:rPr/>
        <w:t>referenced</w:t>
      </w:r>
      <w:r>
        <w:rPr>
          <w:spacing w:val="-3"/>
        </w:rPr>
        <w:t> </w:t>
      </w:r>
      <w:r>
        <w:rPr/>
        <w:t>in</w:t>
      </w:r>
      <w:r>
        <w:rPr>
          <w:spacing w:val="-3"/>
        </w:rPr>
        <w:t> </w:t>
      </w:r>
      <w:r>
        <w:rPr/>
        <w:t>the</w:t>
      </w:r>
      <w:r>
        <w:rPr>
          <w:spacing w:val="-4"/>
        </w:rPr>
        <w:t> </w:t>
      </w:r>
      <w:r>
        <w:rPr/>
        <w:t>document</w:t>
      </w:r>
      <w:r>
        <w:rPr>
          <w:spacing w:val="-3"/>
        </w:rPr>
        <w:t> </w:t>
      </w:r>
      <w:r>
        <w:rPr/>
        <w:t>may</w:t>
      </w:r>
      <w:r>
        <w:rPr>
          <w:spacing w:val="-7"/>
        </w:rPr>
        <w:t> </w:t>
      </w:r>
      <w:r>
        <w:rPr/>
        <w:t>be</w:t>
      </w:r>
      <w:r>
        <w:rPr>
          <w:spacing w:val="-4"/>
        </w:rPr>
        <w:t> </w:t>
      </w:r>
      <w:r>
        <w:rPr/>
        <w:t>listed</w:t>
      </w:r>
      <w:r>
        <w:rPr>
          <w:spacing w:val="-3"/>
        </w:rPr>
        <w:t> </w:t>
      </w:r>
      <w:r>
        <w:rPr/>
        <w:t>in</w:t>
      </w:r>
      <w:r>
        <w:rPr>
          <w:spacing w:val="-3"/>
        </w:rPr>
        <w:t> </w:t>
      </w:r>
      <w:r>
        <w:rPr/>
        <w:t>a</w:t>
      </w:r>
      <w:r>
        <w:rPr>
          <w:spacing w:val="-4"/>
        </w:rPr>
        <w:t> </w:t>
      </w:r>
      <w:r>
        <w:rPr/>
        <w:t>Reference/Bibliography section.</w:t>
      </w:r>
      <w:r>
        <w:rPr>
          <w:spacing w:val="40"/>
        </w:rPr>
        <w:t> </w:t>
      </w:r>
      <w:r>
        <w:rPr/>
        <w:t>The Quarterly and Annual Monitoring Reports must follow the framework provided by CMS, which is subject to change as monitoring systems are</w:t>
      </w:r>
      <w:r>
        <w:rPr>
          <w:spacing w:val="40"/>
        </w:rPr>
        <w:t> </w:t>
      </w:r>
      <w:r>
        <w:rPr/>
        <w:t>developed/evolve, and will be provided in a structured manner that supports federal tracking and analysis.</w:t>
      </w:r>
    </w:p>
    <w:p>
      <w:pPr>
        <w:pStyle w:val="BodyText"/>
        <w:spacing w:before="10"/>
        <w:rPr>
          <w:sz w:val="20"/>
        </w:rPr>
      </w:pPr>
    </w:p>
    <w:p>
      <w:pPr>
        <w:pStyle w:val="BodyText"/>
        <w:ind w:left="1411" w:right="1049"/>
      </w:pPr>
      <w:r>
        <w:rPr/>
        <w:drawing>
          <wp:anchor distT="0" distB="0" distL="0" distR="0" allowOverlap="1" layoutInCell="1" locked="0" behindDoc="0" simplePos="0" relativeHeight="16051200">
            <wp:simplePos x="0" y="0"/>
            <wp:positionH relativeFrom="page">
              <wp:posOffset>1431036</wp:posOffset>
            </wp:positionH>
            <wp:positionV relativeFrom="paragraph">
              <wp:posOffset>67616</wp:posOffset>
            </wp:positionV>
            <wp:extent cx="96011" cy="80759"/>
            <wp:effectExtent l="0" t="0" r="0" b="0"/>
            <wp:wrapNone/>
            <wp:docPr id="642" name="Image 642"/>
            <wp:cNvGraphicFramePr>
              <a:graphicFrameLocks/>
            </wp:cNvGraphicFramePr>
            <a:graphic>
              <a:graphicData uri="http://schemas.openxmlformats.org/drawingml/2006/picture">
                <pic:pic>
                  <pic:nvPicPr>
                    <pic:cNvPr id="642" name="Image 642"/>
                    <pic:cNvPicPr/>
                  </pic:nvPicPr>
                  <pic:blipFill>
                    <a:blip r:embed="rId29" cstate="print"/>
                    <a:stretch>
                      <a:fillRect/>
                    </a:stretch>
                  </pic:blipFill>
                  <pic:spPr>
                    <a:xfrm>
                      <a:off x="0" y="0"/>
                      <a:ext cx="96011" cy="80759"/>
                    </a:xfrm>
                    <a:prstGeom prst="rect">
                      <a:avLst/>
                    </a:prstGeom>
                  </pic:spPr>
                </pic:pic>
              </a:graphicData>
            </a:graphic>
          </wp:anchor>
        </w:drawing>
      </w:r>
      <w:bookmarkStart w:name="a. Operational Updates. Per 42 CFR 431.4" w:id="930"/>
      <w:bookmarkEnd w:id="930"/>
      <w:r>
        <w:rPr/>
      </w:r>
      <w:r>
        <w:rPr>
          <w:b/>
        </w:rPr>
        <w:t>Operational Updates</w:t>
      </w:r>
      <w:r>
        <w:rPr/>
        <w:t>. Per</w:t>
      </w:r>
      <w:r>
        <w:rPr>
          <w:spacing w:val="-1"/>
        </w:rPr>
        <w:t> </w:t>
      </w:r>
      <w:r>
        <w:rPr/>
        <w:t>42 CFR 431.428, the Monitoring</w:t>
      </w:r>
      <w:r>
        <w:rPr>
          <w:spacing w:val="-3"/>
        </w:rPr>
        <w:t> </w:t>
      </w:r>
      <w:r>
        <w:rPr/>
        <w:t>Reports must document any policy or administrative difficulties in operating the demonstration.</w:t>
      </w:r>
      <w:r>
        <w:rPr>
          <w:spacing w:val="40"/>
        </w:rPr>
        <w:t> </w:t>
      </w:r>
      <w:r>
        <w:rPr/>
        <w:t>The Commonwealth must also share findings and updates on other demonstration components,</w:t>
      </w:r>
      <w:r>
        <w:rPr>
          <w:spacing w:val="-4"/>
        </w:rPr>
        <w:t> </w:t>
      </w:r>
      <w:r>
        <w:rPr/>
        <w:t>including</w:t>
      </w:r>
      <w:r>
        <w:rPr>
          <w:spacing w:val="-7"/>
        </w:rPr>
        <w:t> </w:t>
      </w:r>
      <w:r>
        <w:rPr/>
        <w:t>(but</w:t>
      </w:r>
      <w:r>
        <w:rPr>
          <w:spacing w:val="-4"/>
        </w:rPr>
        <w:t> </w:t>
      </w:r>
      <w:r>
        <w:rPr/>
        <w:t>not</w:t>
      </w:r>
      <w:r>
        <w:rPr>
          <w:spacing w:val="-4"/>
        </w:rPr>
        <w:t> </w:t>
      </w:r>
      <w:r>
        <w:rPr/>
        <w:t>limited</w:t>
      </w:r>
      <w:r>
        <w:rPr>
          <w:spacing w:val="-4"/>
        </w:rPr>
        <w:t> </w:t>
      </w:r>
      <w:r>
        <w:rPr/>
        <w:t>to):</w:t>
      </w:r>
      <w:r>
        <w:rPr>
          <w:spacing w:val="-4"/>
        </w:rPr>
        <w:t> </w:t>
      </w:r>
      <w:r>
        <w:rPr/>
        <w:t>primary</w:t>
      </w:r>
      <w:r>
        <w:rPr>
          <w:spacing w:val="-7"/>
        </w:rPr>
        <w:t> </w:t>
      </w:r>
      <w:r>
        <w:rPr/>
        <w:t>care</w:t>
      </w:r>
      <w:r>
        <w:rPr>
          <w:spacing w:val="-6"/>
        </w:rPr>
        <w:t> </w:t>
      </w:r>
      <w:r>
        <w:rPr/>
        <w:t>payment</w:t>
      </w:r>
      <w:r>
        <w:rPr>
          <w:spacing w:val="-4"/>
        </w:rPr>
        <w:t> </w:t>
      </w:r>
      <w:r>
        <w:rPr/>
        <w:t>oversight</w:t>
      </w:r>
      <w:r>
        <w:rPr>
          <w:spacing w:val="-2"/>
        </w:rPr>
        <w:t> </w:t>
      </w:r>
      <w:r>
        <w:rPr/>
        <w:t>activities (e.g., auditing of PCPs); the volume and nature of beneficiary support system contacts and the resolution of such contacts; findings from ACO and CP quarterly operation reports; HRSN infrastructure investments, and findings from performance assessments and corrective action plans related to oversight of health systems and providers receiving health equity incentive funding.</w:t>
      </w:r>
      <w:r>
        <w:rPr>
          <w:spacing w:val="40"/>
        </w:rPr>
        <w:t> </w:t>
      </w:r>
      <w:r>
        <w:rPr/>
        <w:t>The reports must provide sufficient information to document key operational and other challenges, underlying causes of challenges, how challenges are being addressed, as well as key achievements and to what conditions and efforts successes can be attributed.</w:t>
      </w:r>
      <w:r>
        <w:rPr>
          <w:spacing w:val="40"/>
        </w:rPr>
        <w:t> </w:t>
      </w:r>
      <w:r>
        <w:rPr/>
        <w:t>The discussion</w:t>
      </w:r>
      <w:r>
        <w:rPr>
          <w:spacing w:val="-3"/>
        </w:rPr>
        <w:t> </w:t>
      </w:r>
      <w:r>
        <w:rPr/>
        <w:t>should</w:t>
      </w:r>
      <w:r>
        <w:rPr>
          <w:spacing w:val="-3"/>
        </w:rPr>
        <w:t> </w:t>
      </w:r>
      <w:r>
        <w:rPr/>
        <w:t>also</w:t>
      </w:r>
      <w:r>
        <w:rPr>
          <w:spacing w:val="-3"/>
        </w:rPr>
        <w:t> </w:t>
      </w:r>
      <w:r>
        <w:rPr/>
        <w:t>include</w:t>
      </w:r>
      <w:r>
        <w:rPr>
          <w:spacing w:val="-4"/>
        </w:rPr>
        <w:t> </w:t>
      </w:r>
      <w:r>
        <w:rPr/>
        <w:t>any</w:t>
      </w:r>
      <w:r>
        <w:rPr>
          <w:spacing w:val="-8"/>
        </w:rPr>
        <w:t> </w:t>
      </w:r>
      <w:r>
        <w:rPr/>
        <w:t>lawsuits</w:t>
      </w:r>
      <w:r>
        <w:rPr>
          <w:spacing w:val="-3"/>
        </w:rPr>
        <w:t> </w:t>
      </w:r>
      <w:r>
        <w:rPr/>
        <w:t>or</w:t>
      </w:r>
      <w:r>
        <w:rPr>
          <w:spacing w:val="-4"/>
        </w:rPr>
        <w:t> </w:t>
      </w:r>
      <w:r>
        <w:rPr/>
        <w:t>legal</w:t>
      </w:r>
      <w:r>
        <w:rPr>
          <w:spacing w:val="-3"/>
        </w:rPr>
        <w:t> </w:t>
      </w:r>
      <w:r>
        <w:rPr/>
        <w:t>actions;</w:t>
      </w:r>
      <w:r>
        <w:rPr>
          <w:spacing w:val="-3"/>
        </w:rPr>
        <w:t> </w:t>
      </w:r>
      <w:r>
        <w:rPr/>
        <w:t>unusual</w:t>
      </w:r>
      <w:r>
        <w:rPr>
          <w:spacing w:val="-3"/>
        </w:rPr>
        <w:t> </w:t>
      </w:r>
      <w:r>
        <w:rPr/>
        <w:t>or</w:t>
      </w:r>
      <w:r>
        <w:rPr>
          <w:spacing w:val="-4"/>
        </w:rPr>
        <w:t> </w:t>
      </w:r>
      <w:r>
        <w:rPr/>
        <w:t>unanticipated trends; legislative updates; and descriptions of any public forums held.</w:t>
      </w:r>
      <w:r>
        <w:rPr>
          <w:spacing w:val="40"/>
        </w:rPr>
        <w:t> </w:t>
      </w:r>
      <w:r>
        <w:rPr/>
        <w:t>Monitoring Reports should also include a summary of all public comments received through post-award public forums regarding the progress of the demonstration.</w:t>
      </w:r>
    </w:p>
    <w:p>
      <w:pPr>
        <w:pStyle w:val="BodyText"/>
        <w:spacing w:before="11"/>
        <w:rPr>
          <w:sz w:val="20"/>
        </w:rPr>
      </w:pPr>
    </w:p>
    <w:p>
      <w:pPr>
        <w:pStyle w:val="BodyText"/>
        <w:ind w:left="1411" w:right="1066"/>
      </w:pPr>
      <w:r>
        <w:rPr/>
        <w:drawing>
          <wp:anchor distT="0" distB="0" distL="0" distR="0" allowOverlap="1" layoutInCell="1" locked="0" behindDoc="0" simplePos="0" relativeHeight="16051712">
            <wp:simplePos x="0" y="0"/>
            <wp:positionH relativeFrom="page">
              <wp:posOffset>1424939</wp:posOffset>
            </wp:positionH>
            <wp:positionV relativeFrom="paragraph">
              <wp:posOffset>32551</wp:posOffset>
            </wp:positionV>
            <wp:extent cx="111251" cy="115823"/>
            <wp:effectExtent l="0" t="0" r="0" b="0"/>
            <wp:wrapNone/>
            <wp:docPr id="643" name="Image 643"/>
            <wp:cNvGraphicFramePr>
              <a:graphicFrameLocks/>
            </wp:cNvGraphicFramePr>
            <a:graphic>
              <a:graphicData uri="http://schemas.openxmlformats.org/drawingml/2006/picture">
                <pic:pic>
                  <pic:nvPicPr>
                    <pic:cNvPr id="643" name="Image 643"/>
                    <pic:cNvPicPr/>
                  </pic:nvPicPr>
                  <pic:blipFill>
                    <a:blip r:embed="rId34" cstate="print"/>
                    <a:stretch>
                      <a:fillRect/>
                    </a:stretch>
                  </pic:blipFill>
                  <pic:spPr>
                    <a:xfrm>
                      <a:off x="0" y="0"/>
                      <a:ext cx="111251" cy="115823"/>
                    </a:xfrm>
                    <a:prstGeom prst="rect">
                      <a:avLst/>
                    </a:prstGeom>
                  </pic:spPr>
                </pic:pic>
              </a:graphicData>
            </a:graphic>
          </wp:anchor>
        </w:drawing>
      </w:r>
      <w:bookmarkStart w:name="b. Performance Metrics. The performance " w:id="931"/>
      <w:bookmarkEnd w:id="931"/>
      <w:r>
        <w:rPr/>
      </w:r>
      <w:r>
        <w:rPr>
          <w:b/>
        </w:rPr>
        <w:t>Performance Metrics. </w:t>
      </w:r>
      <w:r>
        <w:rPr/>
        <w:t>The performance metrics will provide data to demonstrate how the Commonwealth is progressing toward meeting the goals and milestones – including relative to their projected timelines – of the demonstration’s program and policy implementation and infrastructure investments, and must cover all key policies under this demonstration.</w:t>
      </w:r>
      <w:r>
        <w:rPr>
          <w:spacing w:val="40"/>
        </w:rPr>
        <w:t> </w:t>
      </w:r>
      <w:r>
        <w:rPr/>
        <w:t>Metrics in the Commonwealth’s Monitoring Reports must cover key policies under this demonstration, including but not limited to SUD, SMI/SED, the hospital health quality framework, continuous eligibility, workforce</w:t>
      </w:r>
      <w:r>
        <w:rPr>
          <w:spacing w:val="-6"/>
        </w:rPr>
        <w:t> </w:t>
      </w:r>
      <w:r>
        <w:rPr/>
        <w:t>development</w:t>
      </w:r>
      <w:r>
        <w:rPr>
          <w:spacing w:val="-5"/>
        </w:rPr>
        <w:t> </w:t>
      </w:r>
      <w:r>
        <w:rPr/>
        <w:t>initiatives,</w:t>
      </w:r>
      <w:r>
        <w:rPr>
          <w:spacing w:val="-5"/>
        </w:rPr>
        <w:t> </w:t>
      </w:r>
      <w:r>
        <w:rPr/>
        <w:t>HRSN</w:t>
      </w:r>
      <w:r>
        <w:rPr>
          <w:spacing w:val="-6"/>
        </w:rPr>
        <w:t> </w:t>
      </w:r>
      <w:r>
        <w:rPr/>
        <w:t>demonstration</w:t>
      </w:r>
      <w:r>
        <w:rPr>
          <w:spacing w:val="-5"/>
        </w:rPr>
        <w:t> </w:t>
      </w:r>
      <w:r>
        <w:rPr/>
        <w:t>component,</w:t>
      </w:r>
      <w:r>
        <w:rPr>
          <w:spacing w:val="-5"/>
        </w:rPr>
        <w:t> </w:t>
      </w:r>
      <w:r>
        <w:rPr/>
        <w:t>premiums,</w:t>
      </w:r>
      <w:r>
        <w:rPr>
          <w:spacing w:val="-5"/>
        </w:rPr>
        <w:t> </w:t>
      </w:r>
      <w:r>
        <w:rPr/>
        <w:t>and</w:t>
      </w:r>
    </w:p>
    <w:p>
      <w:pPr>
        <w:spacing w:after="0"/>
        <w:sectPr>
          <w:pgSz w:w="12240" w:h="15840"/>
          <w:pgMar w:header="0" w:footer="1201" w:top="1360" w:bottom="1400" w:left="1200" w:right="400"/>
        </w:sectPr>
      </w:pPr>
    </w:p>
    <w:p>
      <w:pPr>
        <w:pStyle w:val="BodyText"/>
        <w:spacing w:before="79"/>
        <w:ind w:left="1411" w:right="1059"/>
      </w:pPr>
      <w:r>
        <w:rPr/>
        <w:t>waivers</w:t>
      </w:r>
      <w:r>
        <w:rPr>
          <w:spacing w:val="-1"/>
        </w:rPr>
        <w:t> </w:t>
      </w:r>
      <w:r>
        <w:rPr/>
        <w:t>of retroactive</w:t>
      </w:r>
      <w:r>
        <w:rPr>
          <w:spacing w:val="-2"/>
        </w:rPr>
        <w:t> </w:t>
      </w:r>
      <w:r>
        <w:rPr/>
        <w:t>eligibility.</w:t>
      </w:r>
      <w:r>
        <w:rPr>
          <w:spacing w:val="40"/>
        </w:rPr>
        <w:t> </w:t>
      </w:r>
      <w:r>
        <w:rPr/>
        <w:t>Additionally,</w:t>
      </w:r>
      <w:r>
        <w:rPr>
          <w:spacing w:val="-1"/>
        </w:rPr>
        <w:t> </w:t>
      </w:r>
      <w:r>
        <w:rPr/>
        <w:t>per</w:t>
      </w:r>
      <w:r>
        <w:rPr>
          <w:spacing w:val="-2"/>
        </w:rPr>
        <w:t> </w:t>
      </w:r>
      <w:r>
        <w:rPr/>
        <w:t>42</w:t>
      </w:r>
      <w:r>
        <w:rPr>
          <w:spacing w:val="-1"/>
        </w:rPr>
        <w:t> </w:t>
      </w:r>
      <w:r>
        <w:rPr/>
        <w:t>CFR</w:t>
      </w:r>
      <w:r>
        <w:rPr>
          <w:spacing w:val="-1"/>
        </w:rPr>
        <w:t> </w:t>
      </w:r>
      <w:r>
        <w:rPr/>
        <w:t>431.428,</w:t>
      </w:r>
      <w:r>
        <w:rPr>
          <w:spacing w:val="-1"/>
        </w:rPr>
        <w:t> </w:t>
      </w:r>
      <w:r>
        <w:rPr/>
        <w:t>the</w:t>
      </w:r>
      <w:r>
        <w:rPr>
          <w:spacing w:val="-2"/>
        </w:rPr>
        <w:t> </w:t>
      </w:r>
      <w:r>
        <w:rPr/>
        <w:t>Monitoring Reports must document the impact of the demonstration on beneficiaries’ outcomes of care, quality and cost of care, and access to care.</w:t>
      </w:r>
      <w:r>
        <w:rPr>
          <w:spacing w:val="40"/>
        </w:rPr>
        <w:t> </w:t>
      </w:r>
      <w:r>
        <w:rPr/>
        <w:t>This should also include the results</w:t>
      </w:r>
      <w:r>
        <w:rPr>
          <w:spacing w:val="-3"/>
        </w:rPr>
        <w:t> </w:t>
      </w:r>
      <w:r>
        <w:rPr/>
        <w:t>of</w:t>
      </w:r>
      <w:r>
        <w:rPr>
          <w:spacing w:val="-4"/>
        </w:rPr>
        <w:t> </w:t>
      </w:r>
      <w:r>
        <w:rPr/>
        <w:t>beneficiary</w:t>
      </w:r>
      <w:r>
        <w:rPr>
          <w:spacing w:val="-8"/>
        </w:rPr>
        <w:t> </w:t>
      </w:r>
      <w:r>
        <w:rPr/>
        <w:t>satisfaction</w:t>
      </w:r>
      <w:r>
        <w:rPr>
          <w:spacing w:val="-3"/>
        </w:rPr>
        <w:t> </w:t>
      </w:r>
      <w:r>
        <w:rPr/>
        <w:t>or</w:t>
      </w:r>
      <w:r>
        <w:rPr>
          <w:spacing w:val="-4"/>
        </w:rPr>
        <w:t> </w:t>
      </w:r>
      <w:r>
        <w:rPr/>
        <w:t>experience</w:t>
      </w:r>
      <w:r>
        <w:rPr>
          <w:spacing w:val="-4"/>
        </w:rPr>
        <w:t> </w:t>
      </w:r>
      <w:r>
        <w:rPr/>
        <w:t>of</w:t>
      </w:r>
      <w:r>
        <w:rPr>
          <w:spacing w:val="-2"/>
        </w:rPr>
        <w:t> </w:t>
      </w:r>
      <w:r>
        <w:rPr/>
        <w:t>care</w:t>
      </w:r>
      <w:r>
        <w:rPr>
          <w:spacing w:val="-4"/>
        </w:rPr>
        <w:t> </w:t>
      </w:r>
      <w:r>
        <w:rPr/>
        <w:t>surveys,</w:t>
      </w:r>
      <w:r>
        <w:rPr>
          <w:spacing w:val="-3"/>
        </w:rPr>
        <w:t> </w:t>
      </w:r>
      <w:r>
        <w:rPr/>
        <w:t>if</w:t>
      </w:r>
      <w:r>
        <w:rPr>
          <w:spacing w:val="-4"/>
        </w:rPr>
        <w:t> </w:t>
      </w:r>
      <w:r>
        <w:rPr/>
        <w:t>conducted,</w:t>
      </w:r>
      <w:r>
        <w:rPr>
          <w:spacing w:val="-3"/>
        </w:rPr>
        <w:t> </w:t>
      </w:r>
      <w:r>
        <w:rPr/>
        <w:t>as</w:t>
      </w:r>
      <w:r>
        <w:rPr>
          <w:spacing w:val="-3"/>
        </w:rPr>
        <w:t> </w:t>
      </w:r>
      <w:r>
        <w:rPr/>
        <w:t>well as grievances and appeals.</w:t>
      </w:r>
    </w:p>
    <w:p>
      <w:pPr>
        <w:pStyle w:val="BodyText"/>
        <w:spacing w:before="10"/>
        <w:rPr>
          <w:sz w:val="20"/>
        </w:rPr>
      </w:pPr>
    </w:p>
    <w:p>
      <w:pPr>
        <w:pStyle w:val="BodyText"/>
        <w:ind w:left="1411" w:right="1041"/>
      </w:pPr>
      <w:bookmarkStart w:name="The Commonwealth’s metrics reporting mus" w:id="932"/>
      <w:bookmarkEnd w:id="932"/>
      <w:r>
        <w:rPr/>
      </w:r>
      <w:r>
        <w:rPr/>
        <w:t>The Commonwealth’s metrics reporting must cover categories to include, but not limited to: enrollment and renewal, including enrollment duration, access to providers, utilization of services, enrollment by premium payment status, unpaid medical bills at time of application, and quality of care and health outcomes.</w:t>
      </w:r>
      <w:r>
        <w:rPr>
          <w:spacing w:val="40"/>
        </w:rPr>
        <w:t> </w:t>
      </w:r>
      <w:r>
        <w:rPr/>
        <w:t>The Commonwealth must undertake robust reporting of quality of care and health outcomes metrics aligned with the demonstration’s policies and objectives, to be reported for all demonstration populations.</w:t>
      </w:r>
      <w:r>
        <w:rPr>
          <w:spacing w:val="40"/>
        </w:rPr>
        <w:t> </w:t>
      </w:r>
      <w:r>
        <w:rPr/>
        <w:t>Such reporting</w:t>
      </w:r>
      <w:r>
        <w:rPr>
          <w:spacing w:val="-1"/>
        </w:rPr>
        <w:t> </w:t>
      </w:r>
      <w:r>
        <w:rPr/>
        <w:t>must also be stratified by key</w:t>
      </w:r>
      <w:r>
        <w:rPr>
          <w:spacing w:val="-6"/>
        </w:rPr>
        <w:t> </w:t>
      </w:r>
      <w:r>
        <w:rPr/>
        <w:t>demographic</w:t>
      </w:r>
      <w:r>
        <w:rPr>
          <w:spacing w:val="-2"/>
        </w:rPr>
        <w:t> </w:t>
      </w:r>
      <w:r>
        <w:rPr/>
        <w:t>subpopulations</w:t>
      </w:r>
      <w:r>
        <w:rPr>
          <w:spacing w:val="-1"/>
        </w:rPr>
        <w:t> </w:t>
      </w:r>
      <w:r>
        <w:rPr/>
        <w:t>of</w:t>
      </w:r>
      <w:r>
        <w:rPr>
          <w:spacing w:val="-2"/>
        </w:rPr>
        <w:t> </w:t>
      </w:r>
      <w:r>
        <w:rPr/>
        <w:t>interest</w:t>
      </w:r>
      <w:r>
        <w:rPr>
          <w:spacing w:val="-1"/>
        </w:rPr>
        <w:t> </w:t>
      </w:r>
      <w:r>
        <w:rPr/>
        <w:t>(e.g., by</w:t>
      </w:r>
      <w:r>
        <w:rPr>
          <w:spacing w:val="-6"/>
        </w:rPr>
        <w:t> </w:t>
      </w:r>
      <w:r>
        <w:rPr/>
        <w:t>sex,</w:t>
      </w:r>
      <w:r>
        <w:rPr>
          <w:spacing w:val="-1"/>
        </w:rPr>
        <w:t> </w:t>
      </w:r>
      <w:r>
        <w:rPr/>
        <w:t>age,</w:t>
      </w:r>
      <w:r>
        <w:rPr>
          <w:spacing w:val="-1"/>
        </w:rPr>
        <w:t> </w:t>
      </w:r>
      <w:r>
        <w:rPr/>
        <w:t>race/ethnicity, English language proficiency, primary language, disability status, and geography) and by demonstration</w:t>
      </w:r>
      <w:r>
        <w:rPr>
          <w:spacing w:val="-4"/>
        </w:rPr>
        <w:t> </w:t>
      </w:r>
      <w:r>
        <w:rPr/>
        <w:t>component—to</w:t>
      </w:r>
      <w:r>
        <w:rPr>
          <w:spacing w:val="-4"/>
        </w:rPr>
        <w:t> </w:t>
      </w:r>
      <w:r>
        <w:rPr/>
        <w:t>the</w:t>
      </w:r>
      <w:r>
        <w:rPr>
          <w:spacing w:val="-5"/>
        </w:rPr>
        <w:t> </w:t>
      </w:r>
      <w:r>
        <w:rPr/>
        <w:t>extent</w:t>
      </w:r>
      <w:r>
        <w:rPr>
          <w:spacing w:val="-4"/>
        </w:rPr>
        <w:t> </w:t>
      </w:r>
      <w:r>
        <w:rPr/>
        <w:t>feasible—to</w:t>
      </w:r>
      <w:r>
        <w:rPr>
          <w:spacing w:val="-4"/>
        </w:rPr>
        <w:t> </w:t>
      </w:r>
      <w:r>
        <w:rPr/>
        <w:t>identify</w:t>
      </w:r>
      <w:r>
        <w:rPr>
          <w:spacing w:val="-9"/>
        </w:rPr>
        <w:t> </w:t>
      </w:r>
      <w:r>
        <w:rPr/>
        <w:t>existing</w:t>
      </w:r>
      <w:r>
        <w:rPr>
          <w:spacing w:val="-7"/>
        </w:rPr>
        <w:t> </w:t>
      </w:r>
      <w:r>
        <w:rPr/>
        <w:t>inequities</w:t>
      </w:r>
      <w:r>
        <w:rPr>
          <w:spacing w:val="-4"/>
        </w:rPr>
        <w:t> </w:t>
      </w:r>
      <w:r>
        <w:rPr/>
        <w:t>and track progress towards reducing inequities.</w:t>
      </w:r>
      <w:r>
        <w:rPr>
          <w:spacing w:val="40"/>
        </w:rPr>
        <w:t> </w:t>
      </w:r>
      <w:r>
        <w:rPr/>
        <w:t>Subpopulation reporting will support identifying any existing shortcomings or disparities in quality of care and health outcomes, and help track whether the demonstration’s initiatives help improve outcomes for the Commonwealth’s Medicaid population, including the narrowing of any identified disparities.</w:t>
      </w:r>
    </w:p>
    <w:p>
      <w:pPr>
        <w:pStyle w:val="BodyText"/>
        <w:spacing w:before="10"/>
        <w:rPr>
          <w:sz w:val="20"/>
        </w:rPr>
      </w:pPr>
    </w:p>
    <w:p>
      <w:pPr>
        <w:pStyle w:val="BodyText"/>
        <w:ind w:left="1411" w:right="1059"/>
      </w:pPr>
      <w:bookmarkStart w:name="In addition to the SUD and SMI/SED metri" w:id="933"/>
      <w:bookmarkEnd w:id="933"/>
      <w:r>
        <w:rPr/>
      </w:r>
      <w:r>
        <w:rPr/>
        <w:t>In addition to the SUD and SMI/SED metrics, for each of the demonstration components</w:t>
      </w:r>
      <w:r>
        <w:rPr>
          <w:spacing w:val="-4"/>
        </w:rPr>
        <w:t> </w:t>
      </w:r>
      <w:r>
        <w:rPr/>
        <w:t>listed</w:t>
      </w:r>
      <w:r>
        <w:rPr>
          <w:spacing w:val="-4"/>
        </w:rPr>
        <w:t> </w:t>
      </w:r>
      <w:r>
        <w:rPr/>
        <w:t>below,</w:t>
      </w:r>
      <w:r>
        <w:rPr>
          <w:spacing w:val="-4"/>
        </w:rPr>
        <w:t> </w:t>
      </w:r>
      <w:r>
        <w:rPr/>
        <w:t>the</w:t>
      </w:r>
      <w:r>
        <w:rPr>
          <w:spacing w:val="-5"/>
        </w:rPr>
        <w:t> </w:t>
      </w:r>
      <w:r>
        <w:rPr/>
        <w:t>Commonwealth</w:t>
      </w:r>
      <w:r>
        <w:rPr>
          <w:spacing w:val="-5"/>
        </w:rPr>
        <w:t> </w:t>
      </w:r>
      <w:r>
        <w:rPr/>
        <w:t>should</w:t>
      </w:r>
      <w:r>
        <w:rPr>
          <w:spacing w:val="-4"/>
        </w:rPr>
        <w:t> </w:t>
      </w:r>
      <w:r>
        <w:rPr/>
        <w:t>report</w:t>
      </w:r>
      <w:r>
        <w:rPr>
          <w:spacing w:val="-4"/>
        </w:rPr>
        <w:t> </w:t>
      </w:r>
      <w:r>
        <w:rPr/>
        <w:t>metrics</w:t>
      </w:r>
      <w:r>
        <w:rPr>
          <w:spacing w:val="-4"/>
        </w:rPr>
        <w:t> </w:t>
      </w:r>
      <w:r>
        <w:rPr/>
        <w:t>related</w:t>
      </w:r>
      <w:r>
        <w:rPr>
          <w:spacing w:val="-2"/>
        </w:rPr>
        <w:t> </w:t>
      </w:r>
      <w:r>
        <w:rPr/>
        <w:t>(but</w:t>
      </w:r>
      <w:r>
        <w:rPr>
          <w:spacing w:val="-4"/>
        </w:rPr>
        <w:t> </w:t>
      </w:r>
      <w:r>
        <w:rPr/>
        <w:t>not limited) to:</w:t>
      </w:r>
    </w:p>
    <w:p>
      <w:pPr>
        <w:pStyle w:val="BodyText"/>
        <w:spacing w:before="10"/>
        <w:rPr>
          <w:sz w:val="20"/>
        </w:rPr>
      </w:pPr>
    </w:p>
    <w:p>
      <w:pPr>
        <w:pStyle w:val="BodyText"/>
        <w:ind w:left="2039" w:right="1086"/>
      </w:pPr>
      <w:r>
        <w:rPr/>
        <w:drawing>
          <wp:anchor distT="0" distB="0" distL="0" distR="0" allowOverlap="1" layoutInCell="1" locked="0" behindDoc="0" simplePos="0" relativeHeight="16052224">
            <wp:simplePos x="0" y="0"/>
            <wp:positionH relativeFrom="page">
              <wp:posOffset>1862327</wp:posOffset>
            </wp:positionH>
            <wp:positionV relativeFrom="paragraph">
              <wp:posOffset>32551</wp:posOffset>
            </wp:positionV>
            <wp:extent cx="73151" cy="115823"/>
            <wp:effectExtent l="0" t="0" r="0" b="0"/>
            <wp:wrapNone/>
            <wp:docPr id="644" name="Image 644"/>
            <wp:cNvGraphicFramePr>
              <a:graphicFrameLocks/>
            </wp:cNvGraphicFramePr>
            <a:graphic>
              <a:graphicData uri="http://schemas.openxmlformats.org/drawingml/2006/picture">
                <pic:pic>
                  <pic:nvPicPr>
                    <pic:cNvPr id="644" name="Image 644"/>
                    <pic:cNvPicPr/>
                  </pic:nvPicPr>
                  <pic:blipFill>
                    <a:blip r:embed="rId112" cstate="print"/>
                    <a:stretch>
                      <a:fillRect/>
                    </a:stretch>
                  </pic:blipFill>
                  <pic:spPr>
                    <a:xfrm>
                      <a:off x="0" y="0"/>
                      <a:ext cx="73151" cy="115823"/>
                    </a:xfrm>
                    <a:prstGeom prst="rect">
                      <a:avLst/>
                    </a:prstGeom>
                  </pic:spPr>
                </pic:pic>
              </a:graphicData>
            </a:graphic>
          </wp:anchor>
        </w:drawing>
      </w:r>
      <w:bookmarkStart w:name="i. For the Hospital Quality and Equity I" w:id="934"/>
      <w:bookmarkEnd w:id="934"/>
      <w:r>
        <w:rPr/>
      </w:r>
      <w:r>
        <w:rPr/>
        <w:t>For the Hospital Quality and Equity Initiative, in coordination with CMS and in alignment with a critical set of health equity measures CMS is finalizing, the</w:t>
      </w:r>
      <w:r>
        <w:rPr>
          <w:spacing w:val="-4"/>
        </w:rPr>
        <w:t> </w:t>
      </w:r>
      <w:r>
        <w:rPr/>
        <w:t>Commonwealth’s</w:t>
      </w:r>
      <w:r>
        <w:rPr>
          <w:spacing w:val="-3"/>
        </w:rPr>
        <w:t> </w:t>
      </w:r>
      <w:r>
        <w:rPr/>
        <w:t>reporting</w:t>
      </w:r>
      <w:r>
        <w:rPr>
          <w:spacing w:val="-6"/>
        </w:rPr>
        <w:t> </w:t>
      </w:r>
      <w:r>
        <w:rPr/>
        <w:t>of</w:t>
      </w:r>
      <w:r>
        <w:rPr>
          <w:spacing w:val="-4"/>
        </w:rPr>
        <w:t> </w:t>
      </w:r>
      <w:r>
        <w:rPr/>
        <w:t>quality</w:t>
      </w:r>
      <w:r>
        <w:rPr>
          <w:spacing w:val="-8"/>
        </w:rPr>
        <w:t> </w:t>
      </w:r>
      <w:r>
        <w:rPr/>
        <w:t>of</w:t>
      </w:r>
      <w:r>
        <w:rPr>
          <w:spacing w:val="-2"/>
        </w:rPr>
        <w:t> </w:t>
      </w:r>
      <w:r>
        <w:rPr/>
        <w:t>care</w:t>
      </w:r>
      <w:r>
        <w:rPr>
          <w:spacing w:val="-4"/>
        </w:rPr>
        <w:t> </w:t>
      </w:r>
      <w:r>
        <w:rPr/>
        <w:t>and</w:t>
      </w:r>
      <w:r>
        <w:rPr>
          <w:spacing w:val="-3"/>
        </w:rPr>
        <w:t> </w:t>
      </w:r>
      <w:r>
        <w:rPr/>
        <w:t>health</w:t>
      </w:r>
      <w:r>
        <w:rPr>
          <w:spacing w:val="-3"/>
        </w:rPr>
        <w:t> </w:t>
      </w:r>
      <w:r>
        <w:rPr/>
        <w:t>outcomes</w:t>
      </w:r>
      <w:r>
        <w:rPr>
          <w:spacing w:val="-3"/>
        </w:rPr>
        <w:t> </w:t>
      </w:r>
      <w:r>
        <w:rPr/>
        <w:t>metrics must represent a critical set of health equity-focused measures from CMS’s upcoming guidance on Health Equity Measure Slate.</w:t>
      </w:r>
    </w:p>
    <w:p>
      <w:pPr>
        <w:pStyle w:val="BodyText"/>
        <w:spacing w:before="159"/>
        <w:ind w:left="2039" w:right="1076"/>
      </w:pPr>
      <w:r>
        <w:rPr/>
        <w:drawing>
          <wp:anchor distT="0" distB="0" distL="0" distR="0" allowOverlap="1" layoutInCell="1" locked="0" behindDoc="0" simplePos="0" relativeHeight="16052736">
            <wp:simplePos x="0" y="0"/>
            <wp:positionH relativeFrom="page">
              <wp:posOffset>1819655</wp:posOffset>
            </wp:positionH>
            <wp:positionV relativeFrom="paragraph">
              <wp:posOffset>133516</wp:posOffset>
            </wp:positionV>
            <wp:extent cx="115823" cy="115823"/>
            <wp:effectExtent l="0" t="0" r="0" b="0"/>
            <wp:wrapNone/>
            <wp:docPr id="645" name="Image 645"/>
            <wp:cNvGraphicFramePr>
              <a:graphicFrameLocks/>
            </wp:cNvGraphicFramePr>
            <a:graphic>
              <a:graphicData uri="http://schemas.openxmlformats.org/drawingml/2006/picture">
                <pic:pic>
                  <pic:nvPicPr>
                    <pic:cNvPr id="645" name="Image 645"/>
                    <pic:cNvPicPr/>
                  </pic:nvPicPr>
                  <pic:blipFill>
                    <a:blip r:embed="rId62" cstate="print"/>
                    <a:stretch>
                      <a:fillRect/>
                    </a:stretch>
                  </pic:blipFill>
                  <pic:spPr>
                    <a:xfrm>
                      <a:off x="0" y="0"/>
                      <a:ext cx="115823" cy="115823"/>
                    </a:xfrm>
                    <a:prstGeom prst="rect">
                      <a:avLst/>
                    </a:prstGeom>
                  </pic:spPr>
                </pic:pic>
              </a:graphicData>
            </a:graphic>
          </wp:anchor>
        </w:drawing>
      </w:r>
      <w:bookmarkStart w:name="ii. For the workforce initiatives compon" w:id="935"/>
      <w:bookmarkEnd w:id="935"/>
      <w:r>
        <w:rPr/>
      </w:r>
      <w:r>
        <w:rPr/>
        <w:t>For the workforce initiatives component, the Commonwealth must monitor, for</w:t>
      </w:r>
      <w:r>
        <w:rPr>
          <w:spacing w:val="-4"/>
        </w:rPr>
        <w:t> </w:t>
      </w:r>
      <w:r>
        <w:rPr/>
        <w:t>example,</w:t>
      </w:r>
      <w:r>
        <w:rPr>
          <w:spacing w:val="-3"/>
        </w:rPr>
        <w:t> </w:t>
      </w:r>
      <w:r>
        <w:rPr/>
        <w:t>the</w:t>
      </w:r>
      <w:r>
        <w:rPr>
          <w:spacing w:val="-4"/>
        </w:rPr>
        <w:t> </w:t>
      </w:r>
      <w:r>
        <w:rPr/>
        <w:t>numbers</w:t>
      </w:r>
      <w:r>
        <w:rPr>
          <w:spacing w:val="-1"/>
        </w:rPr>
        <w:t> </w:t>
      </w:r>
      <w:r>
        <w:rPr/>
        <w:t>of</w:t>
      </w:r>
      <w:r>
        <w:rPr>
          <w:spacing w:val="-4"/>
        </w:rPr>
        <w:t> </w:t>
      </w:r>
      <w:r>
        <w:rPr/>
        <w:t>students</w:t>
      </w:r>
      <w:r>
        <w:rPr>
          <w:spacing w:val="-3"/>
        </w:rPr>
        <w:t> </w:t>
      </w:r>
      <w:r>
        <w:rPr/>
        <w:t>(primary</w:t>
      </w:r>
      <w:r>
        <w:rPr>
          <w:spacing w:val="-8"/>
        </w:rPr>
        <w:t> </w:t>
      </w:r>
      <w:r>
        <w:rPr/>
        <w:t>care</w:t>
      </w:r>
      <w:r>
        <w:rPr>
          <w:spacing w:val="-4"/>
        </w:rPr>
        <w:t> </w:t>
      </w:r>
      <w:r>
        <w:rPr/>
        <w:t>and</w:t>
      </w:r>
      <w:r>
        <w:rPr>
          <w:spacing w:val="-3"/>
        </w:rPr>
        <w:t> </w:t>
      </w:r>
      <w:r>
        <w:rPr/>
        <w:t>behavioral</w:t>
      </w:r>
      <w:r>
        <w:rPr>
          <w:spacing w:val="-3"/>
        </w:rPr>
        <w:t> </w:t>
      </w:r>
      <w:r>
        <w:rPr/>
        <w:t>health)</w:t>
      </w:r>
      <w:r>
        <w:rPr>
          <w:spacing w:val="-2"/>
        </w:rPr>
        <w:t> </w:t>
      </w:r>
      <w:r>
        <w:rPr/>
        <w:t>and family nurse practitioners supported through the loan repayment and</w:t>
      </w:r>
      <w:r>
        <w:rPr>
          <w:spacing w:val="40"/>
        </w:rPr>
        <w:t> </w:t>
      </w:r>
      <w:r>
        <w:rPr/>
        <w:t>residency grant programs under the demonstration, provider tenure, the demographic makeup of providers.</w:t>
      </w:r>
    </w:p>
    <w:p>
      <w:pPr>
        <w:pStyle w:val="BodyText"/>
        <w:spacing w:before="161"/>
        <w:ind w:left="2039" w:right="1059"/>
      </w:pPr>
      <w:r>
        <w:rPr/>
        <w:drawing>
          <wp:anchor distT="0" distB="0" distL="0" distR="0" allowOverlap="1" layoutInCell="1" locked="0" behindDoc="0" simplePos="0" relativeHeight="16053248">
            <wp:simplePos x="0" y="0"/>
            <wp:positionH relativeFrom="page">
              <wp:posOffset>1778507</wp:posOffset>
            </wp:positionH>
            <wp:positionV relativeFrom="paragraph">
              <wp:posOffset>134786</wp:posOffset>
            </wp:positionV>
            <wp:extent cx="158495" cy="115823"/>
            <wp:effectExtent l="0" t="0" r="0" b="0"/>
            <wp:wrapNone/>
            <wp:docPr id="646" name="Image 646"/>
            <wp:cNvGraphicFramePr>
              <a:graphicFrameLocks/>
            </wp:cNvGraphicFramePr>
            <a:graphic>
              <a:graphicData uri="http://schemas.openxmlformats.org/drawingml/2006/picture">
                <pic:pic>
                  <pic:nvPicPr>
                    <pic:cNvPr id="646" name="Image 646"/>
                    <pic:cNvPicPr/>
                  </pic:nvPicPr>
                  <pic:blipFill>
                    <a:blip r:embed="rId132" cstate="print"/>
                    <a:stretch>
                      <a:fillRect/>
                    </a:stretch>
                  </pic:blipFill>
                  <pic:spPr>
                    <a:xfrm>
                      <a:off x="0" y="0"/>
                      <a:ext cx="158495" cy="115823"/>
                    </a:xfrm>
                    <a:prstGeom prst="rect">
                      <a:avLst/>
                    </a:prstGeom>
                  </pic:spPr>
                </pic:pic>
              </a:graphicData>
            </a:graphic>
          </wp:anchor>
        </w:drawing>
      </w:r>
      <w:bookmarkStart w:name="iii. For the HRSN initiatives, in additi" w:id="936"/>
      <w:bookmarkEnd w:id="936"/>
      <w:r>
        <w:rPr/>
      </w:r>
      <w:r>
        <w:rPr/>
        <w:t>For the HRSN initiatives, in addition to reporting on the metrics described above, the Commonwealth must track</w:t>
      </w:r>
      <w:r>
        <w:rPr>
          <w:spacing w:val="40"/>
        </w:rPr>
        <w:t> </w:t>
      </w:r>
      <w:r>
        <w:rPr/>
        <w:t>beneficiary participation, screening, receipt</w:t>
      </w:r>
      <w:r>
        <w:rPr>
          <w:spacing w:val="-3"/>
        </w:rPr>
        <w:t> </w:t>
      </w:r>
      <w:r>
        <w:rPr/>
        <w:t>of</w:t>
      </w:r>
      <w:r>
        <w:rPr>
          <w:spacing w:val="-2"/>
        </w:rPr>
        <w:t> </w:t>
      </w:r>
      <w:r>
        <w:rPr/>
        <w:t>referrals</w:t>
      </w:r>
      <w:r>
        <w:rPr>
          <w:spacing w:val="-3"/>
        </w:rPr>
        <w:t> </w:t>
      </w:r>
      <w:r>
        <w:rPr/>
        <w:t>and</w:t>
      </w:r>
      <w:r>
        <w:rPr>
          <w:spacing w:val="-4"/>
        </w:rPr>
        <w:t> </w:t>
      </w:r>
      <w:r>
        <w:rPr/>
        <w:t>social</w:t>
      </w:r>
      <w:r>
        <w:rPr>
          <w:spacing w:val="-3"/>
        </w:rPr>
        <w:t> </w:t>
      </w:r>
      <w:r>
        <w:rPr/>
        <w:t>services</w:t>
      </w:r>
      <w:r>
        <w:rPr>
          <w:spacing w:val="-3"/>
        </w:rPr>
        <w:t> </w:t>
      </w:r>
      <w:r>
        <w:rPr/>
        <w:t>over</w:t>
      </w:r>
      <w:r>
        <w:rPr>
          <w:spacing w:val="-4"/>
        </w:rPr>
        <w:t> </w:t>
      </w:r>
      <w:r>
        <w:rPr/>
        <w:t>time</w:t>
      </w:r>
      <w:r>
        <w:rPr>
          <w:spacing w:val="-4"/>
        </w:rPr>
        <w:t> </w:t>
      </w:r>
      <w:r>
        <w:rPr/>
        <w:t>,</w:t>
      </w:r>
      <w:r>
        <w:rPr>
          <w:spacing w:val="-3"/>
        </w:rPr>
        <w:t> </w:t>
      </w:r>
      <w:r>
        <w:rPr/>
        <w:t>as</w:t>
      </w:r>
      <w:r>
        <w:rPr>
          <w:spacing w:val="-3"/>
        </w:rPr>
        <w:t> </w:t>
      </w:r>
      <w:r>
        <w:rPr/>
        <w:t>well</w:t>
      </w:r>
      <w:r>
        <w:rPr>
          <w:spacing w:val="-3"/>
        </w:rPr>
        <w:t> </w:t>
      </w:r>
      <w:r>
        <w:rPr/>
        <w:t>as</w:t>
      </w:r>
      <w:r>
        <w:rPr>
          <w:spacing w:val="-3"/>
        </w:rPr>
        <w:t> </w:t>
      </w:r>
      <w:r>
        <w:rPr/>
        <w:t>narratively</w:t>
      </w:r>
      <w:r>
        <w:rPr>
          <w:spacing w:val="-8"/>
        </w:rPr>
        <w:t> </w:t>
      </w:r>
      <w:r>
        <w:rPr/>
        <w:t>report on the adoption of information technology infrastructure to support data sharing between the Commonwealth or partner entities assisting in the administration of the demonstration and social services organizations.</w:t>
      </w:r>
    </w:p>
    <w:p>
      <w:pPr>
        <w:pStyle w:val="BodyText"/>
        <w:ind w:left="2039" w:right="1059"/>
      </w:pPr>
      <w:r>
        <w:rPr/>
        <w:t>Specifically, in the context of the HRSN initiatives, the Commonwealth’s enrollment</w:t>
      </w:r>
      <w:r>
        <w:rPr>
          <w:spacing w:val="-4"/>
        </w:rPr>
        <w:t> </w:t>
      </w:r>
      <w:r>
        <w:rPr/>
        <w:t>and</w:t>
      </w:r>
      <w:r>
        <w:rPr>
          <w:spacing w:val="-4"/>
        </w:rPr>
        <w:t> </w:t>
      </w:r>
      <w:r>
        <w:rPr/>
        <w:t>renewal</w:t>
      </w:r>
      <w:r>
        <w:rPr>
          <w:spacing w:val="-2"/>
        </w:rPr>
        <w:t> </w:t>
      </w:r>
      <w:r>
        <w:rPr/>
        <w:t>metrics</w:t>
      </w:r>
      <w:r>
        <w:rPr>
          <w:spacing w:val="-4"/>
        </w:rPr>
        <w:t> </w:t>
      </w:r>
      <w:r>
        <w:rPr/>
        <w:t>must</w:t>
      </w:r>
      <w:r>
        <w:rPr>
          <w:spacing w:val="-4"/>
        </w:rPr>
        <w:t> </w:t>
      </w:r>
      <w:r>
        <w:rPr/>
        <w:t>capture</w:t>
      </w:r>
      <w:r>
        <w:rPr>
          <w:spacing w:val="-5"/>
        </w:rPr>
        <w:t> </w:t>
      </w:r>
      <w:r>
        <w:rPr/>
        <w:t>baseline</w:t>
      </w:r>
      <w:r>
        <w:rPr>
          <w:spacing w:val="-5"/>
        </w:rPr>
        <w:t> </w:t>
      </w:r>
      <w:r>
        <w:rPr/>
        <w:t>data</w:t>
      </w:r>
      <w:r>
        <w:rPr>
          <w:spacing w:val="-5"/>
        </w:rPr>
        <w:t> </w:t>
      </w:r>
      <w:r>
        <w:rPr/>
        <w:t>and</w:t>
      </w:r>
      <w:r>
        <w:rPr>
          <w:spacing w:val="-4"/>
        </w:rPr>
        <w:t> </w:t>
      </w:r>
      <w:r>
        <w:rPr/>
        <w:t>track</w:t>
      </w:r>
      <w:r>
        <w:rPr>
          <w:spacing w:val="-4"/>
        </w:rPr>
        <w:t> </w:t>
      </w:r>
      <w:r>
        <w:rPr/>
        <w:t>progress via Monitoring Reports for the percent of Medicaid renewals completed ex-</w:t>
      </w:r>
    </w:p>
    <w:p>
      <w:pPr>
        <w:spacing w:after="0"/>
        <w:sectPr>
          <w:pgSz w:w="12240" w:h="15840"/>
          <w:pgMar w:header="0" w:footer="1201" w:top="1360" w:bottom="1400" w:left="1200" w:right="400"/>
        </w:sectPr>
      </w:pPr>
    </w:p>
    <w:p>
      <w:pPr>
        <w:pStyle w:val="BodyText"/>
        <w:spacing w:before="79"/>
        <w:ind w:left="2040" w:right="1059"/>
      </w:pPr>
      <w:r>
        <w:rPr/>
        <w:t>parte (administratively), as well as the percentage of Medicaid beneficiaries enrolled in other public benefit programs (such as, Supplemental Nutrition Assistance</w:t>
      </w:r>
      <w:r>
        <w:rPr>
          <w:spacing w:val="-6"/>
        </w:rPr>
        <w:t> </w:t>
      </w:r>
      <w:r>
        <w:rPr/>
        <w:t>Program</w:t>
      </w:r>
      <w:r>
        <w:rPr>
          <w:spacing w:val="-5"/>
        </w:rPr>
        <w:t> </w:t>
      </w:r>
      <w:r>
        <w:rPr/>
        <w:t>(SNAP)</w:t>
      </w:r>
      <w:r>
        <w:rPr>
          <w:spacing w:val="-6"/>
        </w:rPr>
        <w:t> </w:t>
      </w:r>
      <w:r>
        <w:rPr/>
        <w:t>and</w:t>
      </w:r>
      <w:r>
        <w:rPr>
          <w:spacing w:val="-5"/>
        </w:rPr>
        <w:t> </w:t>
      </w:r>
      <w:r>
        <w:rPr/>
        <w:t>Special</w:t>
      </w:r>
      <w:r>
        <w:rPr>
          <w:spacing w:val="-5"/>
        </w:rPr>
        <w:t> </w:t>
      </w:r>
      <w:r>
        <w:rPr/>
        <w:t>Supplemental</w:t>
      </w:r>
      <w:r>
        <w:rPr>
          <w:spacing w:val="-5"/>
        </w:rPr>
        <w:t> </w:t>
      </w:r>
      <w:r>
        <w:rPr/>
        <w:t>Nutrition</w:t>
      </w:r>
      <w:r>
        <w:rPr>
          <w:spacing w:val="-5"/>
        </w:rPr>
        <w:t> </w:t>
      </w:r>
      <w:r>
        <w:rPr/>
        <w:t>Program</w:t>
      </w:r>
      <w:r>
        <w:rPr>
          <w:spacing w:val="-5"/>
        </w:rPr>
        <w:t> </w:t>
      </w:r>
      <w:r>
        <w:rPr/>
        <w:t>for Women, Infants, and Children (WIC)) for which they are eligible.</w:t>
      </w:r>
    </w:p>
    <w:p>
      <w:pPr>
        <w:pStyle w:val="BodyText"/>
        <w:spacing w:before="10"/>
        <w:rPr>
          <w:sz w:val="20"/>
        </w:rPr>
      </w:pPr>
    </w:p>
    <w:p>
      <w:pPr>
        <w:pStyle w:val="BodyText"/>
        <w:ind w:left="2040" w:right="1059"/>
      </w:pPr>
      <w:bookmarkStart w:name="In addition, if the Commonwealth, health" w:id="937"/>
      <w:bookmarkEnd w:id="937"/>
      <w:r>
        <w:rPr/>
      </w:r>
      <w:r>
        <w:rPr/>
        <w:t>In</w:t>
      </w:r>
      <w:r>
        <w:rPr>
          <w:spacing w:val="-2"/>
        </w:rPr>
        <w:t> </w:t>
      </w:r>
      <w:r>
        <w:rPr/>
        <w:t>addition,</w:t>
      </w:r>
      <w:r>
        <w:rPr>
          <w:spacing w:val="-4"/>
        </w:rPr>
        <w:t> </w:t>
      </w:r>
      <w:r>
        <w:rPr/>
        <w:t>if</w:t>
      </w:r>
      <w:r>
        <w:rPr>
          <w:spacing w:val="-4"/>
        </w:rPr>
        <w:t> </w:t>
      </w:r>
      <w:r>
        <w:rPr/>
        <w:t>the</w:t>
      </w:r>
      <w:r>
        <w:rPr>
          <w:spacing w:val="-4"/>
        </w:rPr>
        <w:t> </w:t>
      </w:r>
      <w:r>
        <w:rPr/>
        <w:t>Commonwealth,</w:t>
      </w:r>
      <w:r>
        <w:rPr>
          <w:spacing w:val="-4"/>
        </w:rPr>
        <w:t> </w:t>
      </w:r>
      <w:r>
        <w:rPr/>
        <w:t>health</w:t>
      </w:r>
      <w:r>
        <w:rPr>
          <w:spacing w:val="-4"/>
        </w:rPr>
        <w:t> </w:t>
      </w:r>
      <w:r>
        <w:rPr/>
        <w:t>plans,</w:t>
      </w:r>
      <w:r>
        <w:rPr>
          <w:spacing w:val="-4"/>
        </w:rPr>
        <w:t> </w:t>
      </w:r>
      <w:r>
        <w:rPr/>
        <w:t>or</w:t>
      </w:r>
      <w:r>
        <w:rPr>
          <w:spacing w:val="-4"/>
        </w:rPr>
        <w:t> </w:t>
      </w:r>
      <w:r>
        <w:rPr/>
        <w:t>health</w:t>
      </w:r>
      <w:r>
        <w:rPr>
          <w:spacing w:val="-4"/>
        </w:rPr>
        <w:t> </w:t>
      </w:r>
      <w:r>
        <w:rPr/>
        <w:t>care</w:t>
      </w:r>
      <w:r>
        <w:rPr>
          <w:spacing w:val="-4"/>
        </w:rPr>
        <w:t> </w:t>
      </w:r>
      <w:r>
        <w:rPr/>
        <w:t>providers</w:t>
      </w:r>
      <w:r>
        <w:rPr>
          <w:spacing w:val="-4"/>
        </w:rPr>
        <w:t> </w:t>
      </w:r>
      <w:r>
        <w:rPr/>
        <w:t>will contract or partner with organizations to implement the demonstration, the Commonwealth must use monitoring metrics that track the number and characteristics of contracted or participating organizations in specific demonstration programs and corresponding payment-related metrics.</w:t>
      </w:r>
    </w:p>
    <w:p>
      <w:pPr>
        <w:pStyle w:val="BodyText"/>
        <w:spacing w:before="10"/>
        <w:rPr>
          <w:sz w:val="20"/>
        </w:rPr>
      </w:pPr>
    </w:p>
    <w:p>
      <w:pPr>
        <w:pStyle w:val="BodyText"/>
        <w:ind w:left="2040" w:right="1059"/>
      </w:pPr>
      <w:r>
        <w:rPr/>
        <w:drawing>
          <wp:anchor distT="0" distB="0" distL="0" distR="0" allowOverlap="1" layoutInCell="1" locked="0" behindDoc="0" simplePos="0" relativeHeight="16053760">
            <wp:simplePos x="0" y="0"/>
            <wp:positionH relativeFrom="page">
              <wp:posOffset>1786127</wp:posOffset>
            </wp:positionH>
            <wp:positionV relativeFrom="paragraph">
              <wp:posOffset>32551</wp:posOffset>
            </wp:positionV>
            <wp:extent cx="149339" cy="115823"/>
            <wp:effectExtent l="0" t="0" r="0" b="0"/>
            <wp:wrapNone/>
            <wp:docPr id="647" name="Image 647"/>
            <wp:cNvGraphicFramePr>
              <a:graphicFrameLocks/>
            </wp:cNvGraphicFramePr>
            <a:graphic>
              <a:graphicData uri="http://schemas.openxmlformats.org/drawingml/2006/picture">
                <pic:pic>
                  <pic:nvPicPr>
                    <pic:cNvPr id="647" name="Image 647"/>
                    <pic:cNvPicPr/>
                  </pic:nvPicPr>
                  <pic:blipFill>
                    <a:blip r:embed="rId118" cstate="print"/>
                    <a:stretch>
                      <a:fillRect/>
                    </a:stretch>
                  </pic:blipFill>
                  <pic:spPr>
                    <a:xfrm>
                      <a:off x="0" y="0"/>
                      <a:ext cx="149339" cy="115823"/>
                    </a:xfrm>
                    <a:prstGeom prst="rect">
                      <a:avLst/>
                    </a:prstGeom>
                  </pic:spPr>
                </pic:pic>
              </a:graphicData>
            </a:graphic>
          </wp:anchor>
        </w:drawing>
      </w:r>
      <w:bookmarkStart w:name="iv. In addition to the enrollment and re" w:id="938"/>
      <w:bookmarkEnd w:id="938"/>
      <w:r>
        <w:rPr/>
      </w:r>
      <w:r>
        <w:rPr/>
        <w:t>In addition to the enrollment and renewal metrics that support tracking Medicaid churn, systematic monitoring of the continuous eligibility policy must—at</w:t>
      </w:r>
      <w:r>
        <w:rPr>
          <w:spacing w:val="-4"/>
        </w:rPr>
        <w:t> </w:t>
      </w:r>
      <w:r>
        <w:rPr/>
        <w:t>a</w:t>
      </w:r>
      <w:r>
        <w:rPr>
          <w:spacing w:val="-5"/>
        </w:rPr>
        <w:t> </w:t>
      </w:r>
      <w:r>
        <w:rPr/>
        <w:t>minimum—capture</w:t>
      </w:r>
      <w:r>
        <w:rPr>
          <w:spacing w:val="-5"/>
        </w:rPr>
        <w:t> </w:t>
      </w:r>
      <w:r>
        <w:rPr/>
        <w:t>data</w:t>
      </w:r>
      <w:r>
        <w:rPr>
          <w:spacing w:val="-5"/>
        </w:rPr>
        <w:t> </w:t>
      </w:r>
      <w:r>
        <w:rPr/>
        <w:t>on</w:t>
      </w:r>
      <w:r>
        <w:rPr>
          <w:spacing w:val="-4"/>
        </w:rPr>
        <w:t> </w:t>
      </w:r>
      <w:r>
        <w:rPr/>
        <w:t>utilization</w:t>
      </w:r>
      <w:r>
        <w:rPr>
          <w:spacing w:val="-4"/>
        </w:rPr>
        <w:t> </w:t>
      </w:r>
      <w:r>
        <w:rPr/>
        <w:t>of</w:t>
      </w:r>
      <w:r>
        <w:rPr>
          <w:spacing w:val="-5"/>
        </w:rPr>
        <w:t> </w:t>
      </w:r>
      <w:r>
        <w:rPr/>
        <w:t>preventive</w:t>
      </w:r>
      <w:r>
        <w:rPr>
          <w:spacing w:val="-3"/>
        </w:rPr>
        <w:t> </w:t>
      </w:r>
      <w:r>
        <w:rPr/>
        <w:t>care</w:t>
      </w:r>
      <w:r>
        <w:rPr>
          <w:spacing w:val="-5"/>
        </w:rPr>
        <w:t> </w:t>
      </w:r>
      <w:r>
        <w:rPr/>
        <w:t>services, including vaccination among populations of focus, and utilization of costlier and</w:t>
      </w:r>
      <w:r>
        <w:rPr>
          <w:spacing w:val="-3"/>
        </w:rPr>
        <w:t> </w:t>
      </w:r>
      <w:r>
        <w:rPr/>
        <w:t>potentially</w:t>
      </w:r>
      <w:r>
        <w:rPr>
          <w:spacing w:val="-6"/>
        </w:rPr>
        <w:t> </w:t>
      </w:r>
      <w:r>
        <w:rPr/>
        <w:t>avoidable</w:t>
      </w:r>
      <w:r>
        <w:rPr>
          <w:spacing w:val="-2"/>
        </w:rPr>
        <w:t> </w:t>
      </w:r>
      <w:r>
        <w:rPr/>
        <w:t>services,</w:t>
      </w:r>
      <w:r>
        <w:rPr>
          <w:spacing w:val="-3"/>
        </w:rPr>
        <w:t> </w:t>
      </w:r>
      <w:r>
        <w:rPr/>
        <w:t>such</w:t>
      </w:r>
      <w:r>
        <w:rPr>
          <w:spacing w:val="-1"/>
        </w:rPr>
        <w:t> </w:t>
      </w:r>
      <w:r>
        <w:rPr/>
        <w:t>as</w:t>
      </w:r>
      <w:r>
        <w:rPr>
          <w:spacing w:val="-3"/>
        </w:rPr>
        <w:t> </w:t>
      </w:r>
      <w:r>
        <w:rPr/>
        <w:t>inpatient</w:t>
      </w:r>
      <w:r>
        <w:rPr>
          <w:spacing w:val="-3"/>
        </w:rPr>
        <w:t> </w:t>
      </w:r>
      <w:r>
        <w:rPr/>
        <w:t>hospitalizations</w:t>
      </w:r>
      <w:r>
        <w:rPr>
          <w:spacing w:val="-3"/>
        </w:rPr>
        <w:t> </w:t>
      </w:r>
      <w:r>
        <w:rPr/>
        <w:t>and</w:t>
      </w:r>
      <w:r>
        <w:rPr>
          <w:spacing w:val="-3"/>
        </w:rPr>
        <w:t> </w:t>
      </w:r>
      <w:r>
        <w:rPr/>
        <w:t>non- emergent use of emergency departments.</w:t>
      </w:r>
    </w:p>
    <w:p>
      <w:pPr>
        <w:pStyle w:val="BodyText"/>
        <w:spacing w:before="161"/>
        <w:ind w:left="2040" w:right="1192"/>
      </w:pPr>
      <w:r>
        <w:rPr/>
        <w:drawing>
          <wp:anchor distT="0" distB="0" distL="0" distR="0" allowOverlap="1" layoutInCell="1" locked="0" behindDoc="0" simplePos="0" relativeHeight="16054272">
            <wp:simplePos x="0" y="0"/>
            <wp:positionH relativeFrom="page">
              <wp:posOffset>1825751</wp:posOffset>
            </wp:positionH>
            <wp:positionV relativeFrom="paragraph">
              <wp:posOffset>172886</wp:posOffset>
            </wp:positionV>
            <wp:extent cx="109727" cy="77723"/>
            <wp:effectExtent l="0" t="0" r="0" b="0"/>
            <wp:wrapNone/>
            <wp:docPr id="648" name="Image 648"/>
            <wp:cNvGraphicFramePr>
              <a:graphicFrameLocks/>
            </wp:cNvGraphicFramePr>
            <a:graphic>
              <a:graphicData uri="http://schemas.openxmlformats.org/drawingml/2006/picture">
                <pic:pic>
                  <pic:nvPicPr>
                    <pic:cNvPr id="648" name="Image 648"/>
                    <pic:cNvPicPr/>
                  </pic:nvPicPr>
                  <pic:blipFill>
                    <a:blip r:embed="rId67" cstate="print"/>
                    <a:stretch>
                      <a:fillRect/>
                    </a:stretch>
                  </pic:blipFill>
                  <pic:spPr>
                    <a:xfrm>
                      <a:off x="0" y="0"/>
                      <a:ext cx="109727" cy="77723"/>
                    </a:xfrm>
                    <a:prstGeom prst="rect">
                      <a:avLst/>
                    </a:prstGeom>
                  </pic:spPr>
                </pic:pic>
              </a:graphicData>
            </a:graphic>
          </wp:anchor>
        </w:drawing>
      </w:r>
      <w:bookmarkStart w:name="v. To monitor premiums and premium assis" w:id="939"/>
      <w:bookmarkEnd w:id="939"/>
      <w:r>
        <w:rPr/>
      </w:r>
      <w:r>
        <w:rPr/>
        <w:t>To monitor premiums and premium assistance policies, the Commonwealth must</w:t>
      </w:r>
      <w:r>
        <w:rPr>
          <w:spacing w:val="-3"/>
        </w:rPr>
        <w:t> </w:t>
      </w:r>
      <w:r>
        <w:rPr/>
        <w:t>report</w:t>
      </w:r>
      <w:r>
        <w:rPr>
          <w:spacing w:val="-3"/>
        </w:rPr>
        <w:t> </w:t>
      </w:r>
      <w:r>
        <w:rPr/>
        <w:t>metrics</w:t>
      </w:r>
      <w:r>
        <w:rPr>
          <w:spacing w:val="-3"/>
        </w:rPr>
        <w:t> </w:t>
      </w:r>
      <w:r>
        <w:rPr/>
        <w:t>including</w:t>
      </w:r>
      <w:r>
        <w:rPr>
          <w:spacing w:val="-6"/>
        </w:rPr>
        <w:t> </w:t>
      </w:r>
      <w:r>
        <w:rPr/>
        <w:t>(but</w:t>
      </w:r>
      <w:r>
        <w:rPr>
          <w:spacing w:val="-3"/>
        </w:rPr>
        <w:t> </w:t>
      </w:r>
      <w:r>
        <w:rPr/>
        <w:t>not</w:t>
      </w:r>
      <w:r>
        <w:rPr>
          <w:spacing w:val="-3"/>
        </w:rPr>
        <w:t> </w:t>
      </w:r>
      <w:r>
        <w:rPr/>
        <w:t>limited</w:t>
      </w:r>
      <w:r>
        <w:rPr>
          <w:spacing w:val="-3"/>
        </w:rPr>
        <w:t> </w:t>
      </w:r>
      <w:r>
        <w:rPr/>
        <w:t>to)</w:t>
      </w:r>
      <w:r>
        <w:rPr>
          <w:spacing w:val="-4"/>
        </w:rPr>
        <w:t> </w:t>
      </w:r>
      <w:r>
        <w:rPr/>
        <w:t>the</w:t>
      </w:r>
      <w:r>
        <w:rPr>
          <w:spacing w:val="-4"/>
        </w:rPr>
        <w:t> </w:t>
      </w:r>
      <w:r>
        <w:rPr/>
        <w:t>number</w:t>
      </w:r>
      <w:r>
        <w:rPr>
          <w:spacing w:val="-4"/>
        </w:rPr>
        <w:t> </w:t>
      </w:r>
      <w:r>
        <w:rPr/>
        <w:t>of</w:t>
      </w:r>
      <w:r>
        <w:rPr>
          <w:spacing w:val="-4"/>
        </w:rPr>
        <w:t> </w:t>
      </w:r>
      <w:r>
        <w:rPr/>
        <w:t>beneficiaries subject to these policies, enrollment continuity</w:t>
      </w:r>
      <w:r>
        <w:rPr>
          <w:spacing w:val="-4"/>
        </w:rPr>
        <w:t> </w:t>
      </w:r>
      <w:r>
        <w:rPr/>
        <w:t>and disenrollement rates, and third-party payment..Progress on any required monitoring and performance metrics must be included in writing in the Quarterly and Annual Reports.</w:t>
      </w:r>
    </w:p>
    <w:p>
      <w:pPr>
        <w:pStyle w:val="BodyText"/>
        <w:ind w:left="2040" w:right="1059"/>
      </w:pPr>
      <w:r>
        <w:rPr/>
        <w:t>Information</w:t>
      </w:r>
      <w:r>
        <w:rPr>
          <w:spacing w:val="-3"/>
        </w:rPr>
        <w:t> </w:t>
      </w:r>
      <w:r>
        <w:rPr/>
        <w:t>in</w:t>
      </w:r>
      <w:r>
        <w:rPr>
          <w:spacing w:val="-3"/>
        </w:rPr>
        <w:t> </w:t>
      </w:r>
      <w:r>
        <w:rPr/>
        <w:t>the</w:t>
      </w:r>
      <w:r>
        <w:rPr>
          <w:spacing w:val="-4"/>
        </w:rPr>
        <w:t> </w:t>
      </w:r>
      <w:r>
        <w:rPr/>
        <w:t>reports</w:t>
      </w:r>
      <w:r>
        <w:rPr>
          <w:spacing w:val="-3"/>
        </w:rPr>
        <w:t> </w:t>
      </w:r>
      <w:r>
        <w:rPr/>
        <w:t>will</w:t>
      </w:r>
      <w:r>
        <w:rPr>
          <w:spacing w:val="-3"/>
        </w:rPr>
        <w:t> </w:t>
      </w:r>
      <w:r>
        <w:rPr/>
        <w:t>follow</w:t>
      </w:r>
      <w:r>
        <w:rPr>
          <w:spacing w:val="-4"/>
        </w:rPr>
        <w:t> </w:t>
      </w:r>
      <w:r>
        <w:rPr/>
        <w:t>the</w:t>
      </w:r>
      <w:r>
        <w:rPr>
          <w:spacing w:val="-4"/>
        </w:rPr>
        <w:t> </w:t>
      </w:r>
      <w:r>
        <w:rPr/>
        <w:t>framework</w:t>
      </w:r>
      <w:r>
        <w:rPr>
          <w:spacing w:val="-3"/>
        </w:rPr>
        <w:t> </w:t>
      </w:r>
      <w:r>
        <w:rPr/>
        <w:t>provided</w:t>
      </w:r>
      <w:r>
        <w:rPr>
          <w:spacing w:val="-3"/>
        </w:rPr>
        <w:t> </w:t>
      </w:r>
      <w:r>
        <w:rPr/>
        <w:t>by</w:t>
      </w:r>
      <w:r>
        <w:rPr>
          <w:spacing w:val="-8"/>
        </w:rPr>
        <w:t> </w:t>
      </w:r>
      <w:r>
        <w:rPr/>
        <w:t>CMS</w:t>
      </w:r>
      <w:r>
        <w:rPr>
          <w:spacing w:val="-3"/>
        </w:rPr>
        <w:t> </w:t>
      </w:r>
      <w:r>
        <w:rPr/>
        <w:t>and</w:t>
      </w:r>
      <w:r>
        <w:rPr>
          <w:spacing w:val="-3"/>
        </w:rPr>
        <w:t> </w:t>
      </w:r>
      <w:r>
        <w:rPr/>
        <w:t>be provided in a structured manner that supports federal tracking and analysis.</w:t>
      </w:r>
    </w:p>
    <w:p>
      <w:pPr>
        <w:pStyle w:val="BodyText"/>
        <w:spacing w:before="159"/>
        <w:ind w:left="2040" w:right="1086"/>
      </w:pPr>
      <w:r>
        <w:rPr/>
        <w:drawing>
          <wp:anchor distT="0" distB="0" distL="0" distR="0" allowOverlap="1" layoutInCell="1" locked="0" behindDoc="0" simplePos="0" relativeHeight="16054784">
            <wp:simplePos x="0" y="0"/>
            <wp:positionH relativeFrom="page">
              <wp:posOffset>1783079</wp:posOffset>
            </wp:positionH>
            <wp:positionV relativeFrom="paragraph">
              <wp:posOffset>133516</wp:posOffset>
            </wp:positionV>
            <wp:extent cx="152399" cy="115823"/>
            <wp:effectExtent l="0" t="0" r="0" b="0"/>
            <wp:wrapNone/>
            <wp:docPr id="649" name="Image 649"/>
            <wp:cNvGraphicFramePr>
              <a:graphicFrameLocks/>
            </wp:cNvGraphicFramePr>
            <a:graphic>
              <a:graphicData uri="http://schemas.openxmlformats.org/drawingml/2006/picture">
                <pic:pic>
                  <pic:nvPicPr>
                    <pic:cNvPr id="649" name="Image 649"/>
                    <pic:cNvPicPr/>
                  </pic:nvPicPr>
                  <pic:blipFill>
                    <a:blip r:embed="rId254" cstate="print"/>
                    <a:stretch>
                      <a:fillRect/>
                    </a:stretch>
                  </pic:blipFill>
                  <pic:spPr>
                    <a:xfrm>
                      <a:off x="0" y="0"/>
                      <a:ext cx="152399" cy="115823"/>
                    </a:xfrm>
                    <a:prstGeom prst="rect">
                      <a:avLst/>
                    </a:prstGeom>
                  </pic:spPr>
                </pic:pic>
              </a:graphicData>
            </a:graphic>
          </wp:anchor>
        </w:drawing>
      </w:r>
      <w:bookmarkStart w:name="vi. For the waiver of retroactive eligib" w:id="940"/>
      <w:bookmarkEnd w:id="940"/>
      <w:r>
        <w:rPr/>
      </w:r>
      <w:r>
        <w:rPr/>
        <w:t>For</w:t>
      </w:r>
      <w:r>
        <w:rPr>
          <w:spacing w:val="-5"/>
        </w:rPr>
        <w:t> </w:t>
      </w:r>
      <w:r>
        <w:rPr/>
        <w:t>the</w:t>
      </w:r>
      <w:r>
        <w:rPr>
          <w:spacing w:val="-5"/>
        </w:rPr>
        <w:t> </w:t>
      </w:r>
      <w:r>
        <w:rPr/>
        <w:t>waiver</w:t>
      </w:r>
      <w:r>
        <w:rPr>
          <w:spacing w:val="-5"/>
        </w:rPr>
        <w:t> </w:t>
      </w:r>
      <w:r>
        <w:rPr/>
        <w:t>of</w:t>
      </w:r>
      <w:r>
        <w:rPr>
          <w:spacing w:val="-5"/>
        </w:rPr>
        <w:t> </w:t>
      </w:r>
      <w:r>
        <w:rPr/>
        <w:t>retroactive</w:t>
      </w:r>
      <w:r>
        <w:rPr>
          <w:spacing w:val="-5"/>
        </w:rPr>
        <w:t> </w:t>
      </w:r>
      <w:r>
        <w:rPr/>
        <w:t>eligibility,</w:t>
      </w:r>
      <w:r>
        <w:rPr>
          <w:spacing w:val="-4"/>
        </w:rPr>
        <w:t> </w:t>
      </w:r>
      <w:r>
        <w:rPr/>
        <w:t>the</w:t>
      </w:r>
      <w:r>
        <w:rPr>
          <w:spacing w:val="-5"/>
        </w:rPr>
        <w:t> </w:t>
      </w:r>
      <w:r>
        <w:rPr/>
        <w:t>Commonwealth</w:t>
      </w:r>
      <w:r>
        <w:rPr>
          <w:spacing w:val="-4"/>
        </w:rPr>
        <w:t> </w:t>
      </w:r>
      <w:r>
        <w:rPr/>
        <w:t>must</w:t>
      </w:r>
      <w:r>
        <w:rPr>
          <w:spacing w:val="-4"/>
        </w:rPr>
        <w:t> </w:t>
      </w:r>
      <w:r>
        <w:rPr/>
        <w:t>report</w:t>
      </w:r>
      <w:r>
        <w:rPr>
          <w:spacing w:val="-4"/>
        </w:rPr>
        <w:t> </w:t>
      </w:r>
      <w:r>
        <w:rPr/>
        <w:t>the number of beneficiaries who indicated they had unpaid medical bills at the time of application, and information about beneficiaries who experienced a gap in coverage.</w:t>
      </w:r>
    </w:p>
    <w:p>
      <w:pPr>
        <w:pStyle w:val="BodyText"/>
        <w:spacing w:before="199"/>
        <w:ind w:left="1411" w:right="1059"/>
      </w:pPr>
      <w:bookmarkStart w:name="The required monitoring and performance " w:id="941"/>
      <w:bookmarkEnd w:id="941"/>
      <w:r>
        <w:rPr/>
      </w:r>
      <w:r>
        <w:rPr/>
        <w:t>The required monitoring and performance metrics must be included in the Monitoring</w:t>
      </w:r>
      <w:r>
        <w:rPr>
          <w:spacing w:val="-6"/>
        </w:rPr>
        <w:t> </w:t>
      </w:r>
      <w:r>
        <w:rPr/>
        <w:t>Reports,</w:t>
      </w:r>
      <w:r>
        <w:rPr>
          <w:spacing w:val="-3"/>
        </w:rPr>
        <w:t> </w:t>
      </w:r>
      <w:r>
        <w:rPr/>
        <w:t>and</w:t>
      </w:r>
      <w:r>
        <w:rPr>
          <w:spacing w:val="-1"/>
        </w:rPr>
        <w:t> </w:t>
      </w:r>
      <w:r>
        <w:rPr/>
        <w:t>will</w:t>
      </w:r>
      <w:r>
        <w:rPr>
          <w:spacing w:val="-3"/>
        </w:rPr>
        <w:t> </w:t>
      </w:r>
      <w:r>
        <w:rPr/>
        <w:t>follow</w:t>
      </w:r>
      <w:r>
        <w:rPr>
          <w:spacing w:val="-4"/>
        </w:rPr>
        <w:t> </w:t>
      </w:r>
      <w:r>
        <w:rPr/>
        <w:t>the</w:t>
      </w:r>
      <w:r>
        <w:rPr>
          <w:spacing w:val="-4"/>
        </w:rPr>
        <w:t> </w:t>
      </w:r>
      <w:r>
        <w:rPr/>
        <w:t>framework</w:t>
      </w:r>
      <w:r>
        <w:rPr>
          <w:spacing w:val="-3"/>
        </w:rPr>
        <w:t> </w:t>
      </w:r>
      <w:r>
        <w:rPr/>
        <w:t>provided</w:t>
      </w:r>
      <w:r>
        <w:rPr>
          <w:spacing w:val="-3"/>
        </w:rPr>
        <w:t> </w:t>
      </w:r>
      <w:r>
        <w:rPr/>
        <w:t>by</w:t>
      </w:r>
      <w:r>
        <w:rPr>
          <w:spacing w:val="-8"/>
        </w:rPr>
        <w:t> </w:t>
      </w:r>
      <w:r>
        <w:rPr/>
        <w:t>CMS</w:t>
      </w:r>
      <w:r>
        <w:rPr>
          <w:spacing w:val="-3"/>
        </w:rPr>
        <w:t> </w:t>
      </w:r>
      <w:r>
        <w:rPr/>
        <w:t>to</w:t>
      </w:r>
      <w:r>
        <w:rPr>
          <w:spacing w:val="-3"/>
        </w:rPr>
        <w:t> </w:t>
      </w:r>
      <w:r>
        <w:rPr/>
        <w:t>support federal tracking and analysis.</w:t>
      </w:r>
    </w:p>
    <w:p>
      <w:pPr>
        <w:pStyle w:val="BodyText"/>
        <w:spacing w:before="10"/>
        <w:rPr>
          <w:sz w:val="20"/>
        </w:rPr>
      </w:pPr>
    </w:p>
    <w:p>
      <w:pPr>
        <w:pStyle w:val="BodyText"/>
        <w:ind w:left="1411" w:right="1059"/>
      </w:pPr>
      <w:r>
        <w:rPr/>
        <w:drawing>
          <wp:anchor distT="0" distB="0" distL="0" distR="0" allowOverlap="1" layoutInCell="1" locked="0" behindDoc="0" simplePos="0" relativeHeight="16055296">
            <wp:simplePos x="0" y="0"/>
            <wp:positionH relativeFrom="page">
              <wp:posOffset>1431036</wp:posOffset>
            </wp:positionH>
            <wp:positionV relativeFrom="paragraph">
              <wp:posOffset>67603</wp:posOffset>
            </wp:positionV>
            <wp:extent cx="96011" cy="80771"/>
            <wp:effectExtent l="0" t="0" r="0" b="0"/>
            <wp:wrapNone/>
            <wp:docPr id="650" name="Image 650"/>
            <wp:cNvGraphicFramePr>
              <a:graphicFrameLocks/>
            </wp:cNvGraphicFramePr>
            <a:graphic>
              <a:graphicData uri="http://schemas.openxmlformats.org/drawingml/2006/picture">
                <pic:pic>
                  <pic:nvPicPr>
                    <pic:cNvPr id="650" name="Image 650"/>
                    <pic:cNvPicPr/>
                  </pic:nvPicPr>
                  <pic:blipFill>
                    <a:blip r:embed="rId41" cstate="print"/>
                    <a:stretch>
                      <a:fillRect/>
                    </a:stretch>
                  </pic:blipFill>
                  <pic:spPr>
                    <a:xfrm>
                      <a:off x="0" y="0"/>
                      <a:ext cx="96011" cy="80771"/>
                    </a:xfrm>
                    <a:prstGeom prst="rect">
                      <a:avLst/>
                    </a:prstGeom>
                  </pic:spPr>
                </pic:pic>
              </a:graphicData>
            </a:graphic>
          </wp:anchor>
        </w:drawing>
      </w:r>
      <w:bookmarkStart w:name="c. Budget Neutrality and Financial Repor" w:id="942"/>
      <w:bookmarkEnd w:id="942"/>
      <w:r>
        <w:rPr/>
      </w:r>
      <w:r>
        <w:rPr>
          <w:b/>
        </w:rPr>
        <w:t>Budget</w:t>
      </w:r>
      <w:r>
        <w:rPr>
          <w:b/>
          <w:spacing w:val="-6"/>
        </w:rPr>
        <w:t> </w:t>
      </w:r>
      <w:r>
        <w:rPr>
          <w:b/>
        </w:rPr>
        <w:t>Neutrality</w:t>
      </w:r>
      <w:r>
        <w:rPr>
          <w:b/>
          <w:spacing w:val="-5"/>
        </w:rPr>
        <w:t> </w:t>
      </w:r>
      <w:r>
        <w:rPr>
          <w:b/>
        </w:rPr>
        <w:t>and</w:t>
      </w:r>
      <w:r>
        <w:rPr>
          <w:b/>
          <w:spacing w:val="-5"/>
        </w:rPr>
        <w:t> </w:t>
      </w:r>
      <w:r>
        <w:rPr>
          <w:b/>
        </w:rPr>
        <w:t>Financial</w:t>
      </w:r>
      <w:r>
        <w:rPr>
          <w:b/>
          <w:spacing w:val="-5"/>
        </w:rPr>
        <w:t> </w:t>
      </w:r>
      <w:r>
        <w:rPr>
          <w:b/>
        </w:rPr>
        <w:t>Reporting</w:t>
      </w:r>
      <w:r>
        <w:rPr>
          <w:b/>
          <w:spacing w:val="-5"/>
        </w:rPr>
        <w:t> </w:t>
      </w:r>
      <w:r>
        <w:rPr>
          <w:b/>
        </w:rPr>
        <w:t>Requirements</w:t>
      </w:r>
      <w:r>
        <w:rPr/>
        <w:t>.</w:t>
      </w:r>
      <w:r>
        <w:rPr>
          <w:spacing w:val="-5"/>
        </w:rPr>
        <w:t> </w:t>
      </w:r>
      <w:r>
        <w:rPr/>
        <w:t>Per</w:t>
      </w:r>
      <w:r>
        <w:rPr>
          <w:spacing w:val="-6"/>
        </w:rPr>
        <w:t> </w:t>
      </w:r>
      <w:r>
        <w:rPr/>
        <w:t>42</w:t>
      </w:r>
      <w:r>
        <w:rPr>
          <w:spacing w:val="-5"/>
        </w:rPr>
        <w:t> </w:t>
      </w:r>
      <w:r>
        <w:rPr/>
        <w:t>CFR</w:t>
      </w:r>
      <w:r>
        <w:rPr>
          <w:spacing w:val="-2"/>
        </w:rPr>
        <w:t> </w:t>
      </w:r>
      <w:r>
        <w:rPr/>
        <w:t>431.428, the Monitoring Reports must document the financial performance of the demonstration.</w:t>
      </w:r>
      <w:r>
        <w:rPr>
          <w:spacing w:val="40"/>
        </w:rPr>
        <w:t> </w:t>
      </w:r>
      <w:r>
        <w:rPr/>
        <w:t>The Commonwealth must provide an updated budget neutrality workbook with every Quarterly and Annual Report that meets all the reporting requirements for monitoring budget neutrality set forth in the General Financial Requirements section of these STCs, including the submission of corrected budget neutrality</w:t>
      </w:r>
      <w:r>
        <w:rPr>
          <w:spacing w:val="-2"/>
        </w:rPr>
        <w:t> </w:t>
      </w:r>
      <w:r>
        <w:rPr/>
        <w:t>data upon request.</w:t>
      </w:r>
      <w:r>
        <w:rPr>
          <w:spacing w:val="40"/>
        </w:rPr>
        <w:t> </w:t>
      </w:r>
      <w:r>
        <w:rPr/>
        <w:t>In addition, the Commonwealth must report quarterly expenditures associated with the populations affected by this demonstration on the Form CMS-64.</w:t>
      </w:r>
      <w:r>
        <w:rPr>
          <w:spacing w:val="40"/>
        </w:rPr>
        <w:t> </w:t>
      </w:r>
      <w:r>
        <w:rPr/>
        <w:t>Administrative costs for this demonstration should be reported separately on the CMS-64.</w:t>
      </w:r>
    </w:p>
    <w:p>
      <w:pPr>
        <w:spacing w:after="0"/>
        <w:sectPr>
          <w:pgSz w:w="12240" w:h="15840"/>
          <w:pgMar w:header="0" w:footer="1201" w:top="1360" w:bottom="1400" w:left="1200" w:right="400"/>
        </w:sectPr>
      </w:pPr>
    </w:p>
    <w:p>
      <w:pPr>
        <w:pStyle w:val="BodyText"/>
        <w:spacing w:before="79"/>
        <w:ind w:left="1411" w:right="1059"/>
      </w:pPr>
      <w:r>
        <w:rPr/>
        <w:drawing>
          <wp:anchor distT="0" distB="0" distL="0" distR="0" allowOverlap="1" layoutInCell="1" locked="0" behindDoc="0" simplePos="0" relativeHeight="16055808">
            <wp:simplePos x="0" y="0"/>
            <wp:positionH relativeFrom="page">
              <wp:posOffset>1431036</wp:posOffset>
            </wp:positionH>
            <wp:positionV relativeFrom="paragraph">
              <wp:posOffset>82717</wp:posOffset>
            </wp:positionV>
            <wp:extent cx="105155" cy="115823"/>
            <wp:effectExtent l="0" t="0" r="0" b="0"/>
            <wp:wrapNone/>
            <wp:docPr id="651" name="Image 651"/>
            <wp:cNvGraphicFramePr>
              <a:graphicFrameLocks/>
            </wp:cNvGraphicFramePr>
            <a:graphic>
              <a:graphicData uri="http://schemas.openxmlformats.org/drawingml/2006/picture">
                <pic:pic>
                  <pic:nvPicPr>
                    <pic:cNvPr id="651" name="Image 651"/>
                    <pic:cNvPicPr/>
                  </pic:nvPicPr>
                  <pic:blipFill>
                    <a:blip r:embed="rId36" cstate="print"/>
                    <a:stretch>
                      <a:fillRect/>
                    </a:stretch>
                  </pic:blipFill>
                  <pic:spPr>
                    <a:xfrm>
                      <a:off x="0" y="0"/>
                      <a:ext cx="105155" cy="115823"/>
                    </a:xfrm>
                    <a:prstGeom prst="rect">
                      <a:avLst/>
                    </a:prstGeom>
                  </pic:spPr>
                </pic:pic>
              </a:graphicData>
            </a:graphic>
          </wp:anchor>
        </w:drawing>
      </w:r>
      <w:bookmarkStart w:name="d. Evaluation Activities and Interim Fin" w:id="943"/>
      <w:bookmarkEnd w:id="943"/>
      <w:r>
        <w:rPr/>
      </w:r>
      <w:r>
        <w:rPr>
          <w:b/>
        </w:rPr>
        <w:t>Evaluation</w:t>
      </w:r>
      <w:r>
        <w:rPr>
          <w:b/>
          <w:spacing w:val="-4"/>
        </w:rPr>
        <w:t> </w:t>
      </w:r>
      <w:r>
        <w:rPr>
          <w:b/>
        </w:rPr>
        <w:t>Activities</w:t>
      </w:r>
      <w:r>
        <w:rPr>
          <w:b/>
          <w:spacing w:val="-4"/>
        </w:rPr>
        <w:t> </w:t>
      </w:r>
      <w:r>
        <w:rPr>
          <w:b/>
        </w:rPr>
        <w:t>and</w:t>
      </w:r>
      <w:r>
        <w:rPr>
          <w:b/>
          <w:spacing w:val="-4"/>
        </w:rPr>
        <w:t> </w:t>
      </w:r>
      <w:r>
        <w:rPr>
          <w:b/>
        </w:rPr>
        <w:t>Interim</w:t>
      </w:r>
      <w:r>
        <w:rPr>
          <w:b/>
          <w:spacing w:val="-5"/>
        </w:rPr>
        <w:t> </w:t>
      </w:r>
      <w:r>
        <w:rPr>
          <w:b/>
        </w:rPr>
        <w:t>Findings</w:t>
      </w:r>
      <w:r>
        <w:rPr/>
        <w:t>.</w:t>
      </w:r>
      <w:r>
        <w:rPr>
          <w:spacing w:val="-4"/>
        </w:rPr>
        <w:t> </w:t>
      </w:r>
      <w:r>
        <w:rPr/>
        <w:t>Per</w:t>
      </w:r>
      <w:r>
        <w:rPr>
          <w:spacing w:val="-5"/>
        </w:rPr>
        <w:t> </w:t>
      </w:r>
      <w:r>
        <w:rPr/>
        <w:t>42</w:t>
      </w:r>
      <w:r>
        <w:rPr>
          <w:spacing w:val="-4"/>
        </w:rPr>
        <w:t> </w:t>
      </w:r>
      <w:r>
        <w:rPr/>
        <w:t>CFR</w:t>
      </w:r>
      <w:r>
        <w:rPr>
          <w:spacing w:val="-4"/>
        </w:rPr>
        <w:t> </w:t>
      </w:r>
      <w:r>
        <w:rPr/>
        <w:t>431.428,</w:t>
      </w:r>
      <w:r>
        <w:rPr>
          <w:spacing w:val="-4"/>
        </w:rPr>
        <w:t> </w:t>
      </w:r>
      <w:r>
        <w:rPr/>
        <w:t>the</w:t>
      </w:r>
      <w:r>
        <w:rPr>
          <w:spacing w:val="-5"/>
        </w:rPr>
        <w:t> </w:t>
      </w:r>
      <w:r>
        <w:rPr/>
        <w:t>Monitoring Reports must document any results of the demonstration to date per the evaluation hypotheses.</w:t>
      </w:r>
      <w:r>
        <w:rPr>
          <w:spacing w:val="40"/>
        </w:rPr>
        <w:t> </w:t>
      </w:r>
      <w:r>
        <w:rPr/>
        <w:t>The Commonwealth shall include a summary of the progress of evaluation activities, including key milestones accomplished, as well as challenges encountered and how they were addressed.</w:t>
      </w:r>
    </w:p>
    <w:p>
      <w:pPr>
        <w:pStyle w:val="BodyText"/>
        <w:spacing w:before="10"/>
        <w:rPr>
          <w:sz w:val="20"/>
        </w:rPr>
      </w:pPr>
    </w:p>
    <w:p>
      <w:pPr>
        <w:spacing w:before="0"/>
        <w:ind w:left="1411" w:right="0" w:hanging="540"/>
        <w:jc w:val="left"/>
        <w:rPr>
          <w:sz w:val="24"/>
        </w:rPr>
      </w:pPr>
      <w:r>
        <w:rPr/>
        <w:drawing>
          <wp:anchor distT="0" distB="0" distL="0" distR="0" allowOverlap="1" layoutInCell="1" locked="0" behindDoc="0" simplePos="0" relativeHeight="16056320">
            <wp:simplePos x="0" y="0"/>
            <wp:positionH relativeFrom="page">
              <wp:posOffset>908303</wp:posOffset>
            </wp:positionH>
            <wp:positionV relativeFrom="paragraph">
              <wp:posOffset>35612</wp:posOffset>
            </wp:positionV>
            <wp:extent cx="283463" cy="112763"/>
            <wp:effectExtent l="0" t="0" r="0" b="0"/>
            <wp:wrapNone/>
            <wp:docPr id="652" name="Image 652"/>
            <wp:cNvGraphicFramePr>
              <a:graphicFrameLocks/>
            </wp:cNvGraphicFramePr>
            <a:graphic>
              <a:graphicData uri="http://schemas.openxmlformats.org/drawingml/2006/picture">
                <pic:pic>
                  <pic:nvPicPr>
                    <pic:cNvPr id="652" name="Image 652"/>
                    <pic:cNvPicPr/>
                  </pic:nvPicPr>
                  <pic:blipFill>
                    <a:blip r:embed="rId255" cstate="print"/>
                    <a:stretch>
                      <a:fillRect/>
                    </a:stretch>
                  </pic:blipFill>
                  <pic:spPr>
                    <a:xfrm>
                      <a:off x="0" y="0"/>
                      <a:ext cx="283463" cy="112763"/>
                    </a:xfrm>
                    <a:prstGeom prst="rect">
                      <a:avLst/>
                    </a:prstGeom>
                  </pic:spPr>
                </pic:pic>
              </a:graphicData>
            </a:graphic>
          </wp:anchor>
        </w:drawing>
      </w:r>
      <w:bookmarkStart w:name="16.6. Monitoring Calls. CMS will convene" w:id="944"/>
      <w:bookmarkEnd w:id="944"/>
      <w:r>
        <w:rPr/>
      </w:r>
      <w:r>
        <w:rPr>
          <w:b/>
          <w:sz w:val="24"/>
        </w:rPr>
        <w:t>Monitoring</w:t>
      </w:r>
      <w:r>
        <w:rPr>
          <w:b/>
          <w:spacing w:val="-2"/>
          <w:sz w:val="24"/>
        </w:rPr>
        <w:t> </w:t>
      </w:r>
      <w:r>
        <w:rPr>
          <w:b/>
          <w:sz w:val="24"/>
        </w:rPr>
        <w:t>Calls.</w:t>
      </w:r>
      <w:r>
        <w:rPr>
          <w:b/>
          <w:spacing w:val="-2"/>
          <w:sz w:val="24"/>
        </w:rPr>
        <w:t> </w:t>
      </w:r>
      <w:r>
        <w:rPr>
          <w:sz w:val="24"/>
        </w:rPr>
        <w:t>CMS</w:t>
      </w:r>
      <w:r>
        <w:rPr>
          <w:spacing w:val="-3"/>
          <w:sz w:val="24"/>
        </w:rPr>
        <w:t> </w:t>
      </w:r>
      <w:r>
        <w:rPr>
          <w:sz w:val="24"/>
        </w:rPr>
        <w:t>will</w:t>
      </w:r>
      <w:r>
        <w:rPr>
          <w:spacing w:val="-2"/>
          <w:sz w:val="24"/>
        </w:rPr>
        <w:t> </w:t>
      </w:r>
      <w:r>
        <w:rPr>
          <w:sz w:val="24"/>
        </w:rPr>
        <w:t>convene</w:t>
      </w:r>
      <w:r>
        <w:rPr>
          <w:spacing w:val="-2"/>
          <w:sz w:val="24"/>
        </w:rPr>
        <w:t> </w:t>
      </w:r>
      <w:r>
        <w:rPr>
          <w:sz w:val="24"/>
        </w:rPr>
        <w:t>periodic</w:t>
      </w:r>
      <w:r>
        <w:rPr>
          <w:spacing w:val="-1"/>
          <w:sz w:val="24"/>
        </w:rPr>
        <w:t> </w:t>
      </w:r>
      <w:r>
        <w:rPr>
          <w:sz w:val="24"/>
        </w:rPr>
        <w:t>conference</w:t>
      </w:r>
      <w:r>
        <w:rPr>
          <w:spacing w:val="-1"/>
          <w:sz w:val="24"/>
        </w:rPr>
        <w:t> </w:t>
      </w:r>
      <w:r>
        <w:rPr>
          <w:sz w:val="24"/>
        </w:rPr>
        <w:t>calls</w:t>
      </w:r>
      <w:r>
        <w:rPr>
          <w:spacing w:val="-1"/>
          <w:sz w:val="24"/>
        </w:rPr>
        <w:t> </w:t>
      </w:r>
      <w:r>
        <w:rPr>
          <w:sz w:val="24"/>
        </w:rPr>
        <w:t>with</w:t>
      </w:r>
      <w:r>
        <w:rPr>
          <w:spacing w:val="-2"/>
          <w:sz w:val="24"/>
        </w:rPr>
        <w:t> </w:t>
      </w:r>
      <w:r>
        <w:rPr>
          <w:sz w:val="24"/>
        </w:rPr>
        <w:t>the</w:t>
      </w:r>
      <w:r>
        <w:rPr>
          <w:spacing w:val="-2"/>
          <w:sz w:val="24"/>
        </w:rPr>
        <w:t> Commonwealth.</w:t>
      </w:r>
    </w:p>
    <w:p>
      <w:pPr>
        <w:pStyle w:val="BodyText"/>
        <w:spacing w:before="10"/>
        <w:rPr>
          <w:sz w:val="20"/>
        </w:rPr>
      </w:pPr>
    </w:p>
    <w:p>
      <w:pPr>
        <w:pStyle w:val="BodyText"/>
        <w:ind w:left="1411" w:right="1059"/>
      </w:pPr>
      <w:r>
        <w:rPr/>
        <w:drawing>
          <wp:anchor distT="0" distB="0" distL="0" distR="0" allowOverlap="1" layoutInCell="1" locked="0" behindDoc="0" simplePos="0" relativeHeight="16056832">
            <wp:simplePos x="0" y="0"/>
            <wp:positionH relativeFrom="page">
              <wp:posOffset>1431036</wp:posOffset>
            </wp:positionH>
            <wp:positionV relativeFrom="paragraph">
              <wp:posOffset>67603</wp:posOffset>
            </wp:positionV>
            <wp:extent cx="96011" cy="80771"/>
            <wp:effectExtent l="0" t="0" r="0" b="0"/>
            <wp:wrapNone/>
            <wp:docPr id="653" name="Image 653"/>
            <wp:cNvGraphicFramePr>
              <a:graphicFrameLocks/>
            </wp:cNvGraphicFramePr>
            <a:graphic>
              <a:graphicData uri="http://schemas.openxmlformats.org/drawingml/2006/picture">
                <pic:pic>
                  <pic:nvPicPr>
                    <pic:cNvPr id="653" name="Image 653"/>
                    <pic:cNvPicPr/>
                  </pic:nvPicPr>
                  <pic:blipFill>
                    <a:blip r:embed="rId29" cstate="print"/>
                    <a:stretch>
                      <a:fillRect/>
                    </a:stretch>
                  </pic:blipFill>
                  <pic:spPr>
                    <a:xfrm>
                      <a:off x="0" y="0"/>
                      <a:ext cx="96011" cy="80771"/>
                    </a:xfrm>
                    <a:prstGeom prst="rect">
                      <a:avLst/>
                    </a:prstGeom>
                  </pic:spPr>
                </pic:pic>
              </a:graphicData>
            </a:graphic>
          </wp:anchor>
        </w:drawing>
      </w:r>
      <w:bookmarkStart w:name="a. The purpose of these calls is to disc" w:id="945"/>
      <w:bookmarkEnd w:id="945"/>
      <w:r>
        <w:rPr/>
      </w:r>
      <w:r>
        <w:rPr/>
        <w:t>The</w:t>
      </w:r>
      <w:r>
        <w:rPr>
          <w:spacing w:val="-4"/>
        </w:rPr>
        <w:t> </w:t>
      </w:r>
      <w:r>
        <w:rPr/>
        <w:t>purpose</w:t>
      </w:r>
      <w:r>
        <w:rPr>
          <w:spacing w:val="-4"/>
        </w:rPr>
        <w:t> </w:t>
      </w:r>
      <w:r>
        <w:rPr/>
        <w:t>of</w:t>
      </w:r>
      <w:r>
        <w:rPr>
          <w:spacing w:val="-4"/>
        </w:rPr>
        <w:t> </w:t>
      </w:r>
      <w:r>
        <w:rPr/>
        <w:t>these</w:t>
      </w:r>
      <w:r>
        <w:rPr>
          <w:spacing w:val="-4"/>
        </w:rPr>
        <w:t> </w:t>
      </w:r>
      <w:r>
        <w:rPr/>
        <w:t>calls</w:t>
      </w:r>
      <w:r>
        <w:rPr>
          <w:spacing w:val="-3"/>
        </w:rPr>
        <w:t> </w:t>
      </w:r>
      <w:r>
        <w:rPr/>
        <w:t>is</w:t>
      </w:r>
      <w:r>
        <w:rPr>
          <w:spacing w:val="-3"/>
        </w:rPr>
        <w:t> </w:t>
      </w:r>
      <w:r>
        <w:rPr/>
        <w:t>to</w:t>
      </w:r>
      <w:r>
        <w:rPr>
          <w:spacing w:val="-3"/>
        </w:rPr>
        <w:t> </w:t>
      </w:r>
      <w:r>
        <w:rPr/>
        <w:t>discuss</w:t>
      </w:r>
      <w:r>
        <w:rPr>
          <w:spacing w:val="-3"/>
        </w:rPr>
        <w:t> </w:t>
      </w:r>
      <w:r>
        <w:rPr/>
        <w:t>ongoing</w:t>
      </w:r>
      <w:r>
        <w:rPr>
          <w:spacing w:val="-6"/>
        </w:rPr>
        <w:t> </w:t>
      </w:r>
      <w:r>
        <w:rPr/>
        <w:t>demonstration</w:t>
      </w:r>
      <w:r>
        <w:rPr>
          <w:spacing w:val="-3"/>
        </w:rPr>
        <w:t> </w:t>
      </w:r>
      <w:r>
        <w:rPr/>
        <w:t>operation,</w:t>
      </w:r>
      <w:r>
        <w:rPr>
          <w:spacing w:val="-3"/>
        </w:rPr>
        <w:t> </w:t>
      </w:r>
      <w:r>
        <w:rPr/>
        <w:t>to</w:t>
      </w:r>
      <w:r>
        <w:rPr>
          <w:spacing w:val="-3"/>
        </w:rPr>
        <w:t> </w:t>
      </w:r>
      <w:r>
        <w:rPr/>
        <w:t>include (but</w:t>
      </w:r>
      <w:r>
        <w:rPr>
          <w:spacing w:val="-1"/>
        </w:rPr>
        <w:t> </w:t>
      </w:r>
      <w:r>
        <w:rPr/>
        <w:t>not</w:t>
      </w:r>
      <w:r>
        <w:rPr>
          <w:spacing w:val="-1"/>
        </w:rPr>
        <w:t> </w:t>
      </w:r>
      <w:r>
        <w:rPr/>
        <w:t>limited</w:t>
      </w:r>
      <w:r>
        <w:rPr>
          <w:spacing w:val="-1"/>
        </w:rPr>
        <w:t> </w:t>
      </w:r>
      <w:r>
        <w:rPr/>
        <w:t>to),</w:t>
      </w:r>
      <w:r>
        <w:rPr>
          <w:spacing w:val="-1"/>
        </w:rPr>
        <w:t> </w:t>
      </w:r>
      <w:r>
        <w:rPr/>
        <w:t>any</w:t>
      </w:r>
      <w:r>
        <w:rPr>
          <w:spacing w:val="-6"/>
        </w:rPr>
        <w:t> </w:t>
      </w:r>
      <w:r>
        <w:rPr/>
        <w:t>significant actual</w:t>
      </w:r>
      <w:r>
        <w:rPr>
          <w:spacing w:val="-1"/>
        </w:rPr>
        <w:t> </w:t>
      </w:r>
      <w:r>
        <w:rPr/>
        <w:t>or anticipated</w:t>
      </w:r>
      <w:r>
        <w:rPr>
          <w:spacing w:val="-1"/>
        </w:rPr>
        <w:t> </w:t>
      </w:r>
      <w:r>
        <w:rPr/>
        <w:t>developments</w:t>
      </w:r>
      <w:r>
        <w:rPr>
          <w:spacing w:val="-1"/>
        </w:rPr>
        <w:t> </w:t>
      </w:r>
      <w:r>
        <w:rPr/>
        <w:t>affecting</w:t>
      </w:r>
      <w:r>
        <w:rPr>
          <w:spacing w:val="-4"/>
        </w:rPr>
        <w:t> </w:t>
      </w:r>
      <w:r>
        <w:rPr/>
        <w:t>the demonstration.</w:t>
      </w:r>
      <w:r>
        <w:rPr>
          <w:spacing w:val="40"/>
        </w:rPr>
        <w:t> </w:t>
      </w:r>
      <w:r>
        <w:rPr/>
        <w:t>Examples</w:t>
      </w:r>
      <w:r>
        <w:rPr>
          <w:spacing w:val="-3"/>
        </w:rPr>
        <w:t> </w:t>
      </w:r>
      <w:r>
        <w:rPr/>
        <w:t>include</w:t>
      </w:r>
      <w:r>
        <w:rPr>
          <w:spacing w:val="-4"/>
        </w:rPr>
        <w:t> </w:t>
      </w:r>
      <w:r>
        <w:rPr/>
        <w:t>implementation</w:t>
      </w:r>
      <w:r>
        <w:rPr>
          <w:spacing w:val="-3"/>
        </w:rPr>
        <w:t> </w:t>
      </w:r>
      <w:r>
        <w:rPr/>
        <w:t>activities,</w:t>
      </w:r>
      <w:r>
        <w:rPr>
          <w:spacing w:val="-3"/>
        </w:rPr>
        <w:t> </w:t>
      </w:r>
      <w:r>
        <w:rPr/>
        <w:t>trends</w:t>
      </w:r>
      <w:r>
        <w:rPr>
          <w:spacing w:val="-3"/>
        </w:rPr>
        <w:t> </w:t>
      </w:r>
      <w:r>
        <w:rPr/>
        <w:t>in</w:t>
      </w:r>
      <w:r>
        <w:rPr>
          <w:spacing w:val="-3"/>
        </w:rPr>
        <w:t> </w:t>
      </w:r>
      <w:r>
        <w:rPr/>
        <w:t>reported</w:t>
      </w:r>
      <w:r>
        <w:rPr>
          <w:spacing w:val="-3"/>
        </w:rPr>
        <w:t> </w:t>
      </w:r>
      <w:r>
        <w:rPr/>
        <w:t>data on metrics and associated mid-course adjustments, budget neutrality, the status of investment submissions, and progress on evaluation activities.</w:t>
      </w:r>
    </w:p>
    <w:p>
      <w:pPr>
        <w:pStyle w:val="BodyText"/>
        <w:spacing w:before="10"/>
        <w:rPr>
          <w:sz w:val="20"/>
        </w:rPr>
      </w:pPr>
    </w:p>
    <w:p>
      <w:pPr>
        <w:pStyle w:val="BodyText"/>
        <w:ind w:left="1411" w:right="1059"/>
      </w:pPr>
      <w:r>
        <w:rPr/>
        <w:drawing>
          <wp:anchor distT="0" distB="0" distL="0" distR="0" allowOverlap="1" layoutInCell="1" locked="0" behindDoc="0" simplePos="0" relativeHeight="16057344">
            <wp:simplePos x="0" y="0"/>
            <wp:positionH relativeFrom="page">
              <wp:posOffset>1424939</wp:posOffset>
            </wp:positionH>
            <wp:positionV relativeFrom="paragraph">
              <wp:posOffset>32551</wp:posOffset>
            </wp:positionV>
            <wp:extent cx="111251" cy="115823"/>
            <wp:effectExtent l="0" t="0" r="0" b="0"/>
            <wp:wrapNone/>
            <wp:docPr id="654" name="Image 654"/>
            <wp:cNvGraphicFramePr>
              <a:graphicFrameLocks/>
            </wp:cNvGraphicFramePr>
            <a:graphic>
              <a:graphicData uri="http://schemas.openxmlformats.org/drawingml/2006/picture">
                <pic:pic>
                  <pic:nvPicPr>
                    <pic:cNvPr id="654" name="Image 654"/>
                    <pic:cNvPicPr/>
                  </pic:nvPicPr>
                  <pic:blipFill>
                    <a:blip r:embed="rId105" cstate="print"/>
                    <a:stretch>
                      <a:fillRect/>
                    </a:stretch>
                  </pic:blipFill>
                  <pic:spPr>
                    <a:xfrm>
                      <a:off x="0" y="0"/>
                      <a:ext cx="111251" cy="115823"/>
                    </a:xfrm>
                    <a:prstGeom prst="rect">
                      <a:avLst/>
                    </a:prstGeom>
                  </pic:spPr>
                </pic:pic>
              </a:graphicData>
            </a:graphic>
          </wp:anchor>
        </w:drawing>
      </w:r>
      <w:bookmarkStart w:name="b. CMS will provide updates on any amend" w:id="946"/>
      <w:bookmarkEnd w:id="946"/>
      <w:r>
        <w:rPr/>
      </w:r>
      <w:r>
        <w:rPr/>
        <w:t>CMS</w:t>
      </w:r>
      <w:r>
        <w:rPr>
          <w:spacing w:val="-2"/>
        </w:rPr>
        <w:t> </w:t>
      </w:r>
      <w:r>
        <w:rPr/>
        <w:t>will</w:t>
      </w:r>
      <w:r>
        <w:rPr>
          <w:spacing w:val="-2"/>
        </w:rPr>
        <w:t> </w:t>
      </w:r>
      <w:r>
        <w:rPr/>
        <w:t>provide</w:t>
      </w:r>
      <w:r>
        <w:rPr>
          <w:spacing w:val="-2"/>
        </w:rPr>
        <w:t> </w:t>
      </w:r>
      <w:r>
        <w:rPr/>
        <w:t>updates</w:t>
      </w:r>
      <w:r>
        <w:rPr>
          <w:spacing w:val="-2"/>
        </w:rPr>
        <w:t> </w:t>
      </w:r>
      <w:r>
        <w:rPr/>
        <w:t>on</w:t>
      </w:r>
      <w:r>
        <w:rPr>
          <w:spacing w:val="-2"/>
        </w:rPr>
        <w:t> </w:t>
      </w:r>
      <w:r>
        <w:rPr/>
        <w:t>any</w:t>
      </w:r>
      <w:r>
        <w:rPr>
          <w:spacing w:val="-4"/>
        </w:rPr>
        <w:t> </w:t>
      </w:r>
      <w:r>
        <w:rPr/>
        <w:t>amendments</w:t>
      </w:r>
      <w:r>
        <w:rPr>
          <w:spacing w:val="-2"/>
        </w:rPr>
        <w:t> </w:t>
      </w:r>
      <w:r>
        <w:rPr/>
        <w:t>or</w:t>
      </w:r>
      <w:r>
        <w:rPr>
          <w:spacing w:val="-1"/>
        </w:rPr>
        <w:t> </w:t>
      </w:r>
      <w:r>
        <w:rPr/>
        <w:t>concept</w:t>
      </w:r>
      <w:r>
        <w:rPr>
          <w:spacing w:val="-2"/>
        </w:rPr>
        <w:t> </w:t>
      </w:r>
      <w:r>
        <w:rPr/>
        <w:t>papers</w:t>
      </w:r>
      <w:r>
        <w:rPr>
          <w:spacing w:val="-2"/>
        </w:rPr>
        <w:t> </w:t>
      </w:r>
      <w:r>
        <w:rPr/>
        <w:t>under</w:t>
      </w:r>
      <w:r>
        <w:rPr>
          <w:spacing w:val="-2"/>
        </w:rPr>
        <w:t> </w:t>
      </w:r>
      <w:r>
        <w:rPr/>
        <w:t>review,</w:t>
      </w:r>
      <w:r>
        <w:rPr>
          <w:spacing w:val="-2"/>
        </w:rPr>
        <w:t> </w:t>
      </w:r>
      <w:r>
        <w:rPr/>
        <w:t>as well</w:t>
      </w:r>
      <w:r>
        <w:rPr>
          <w:spacing w:val="-3"/>
        </w:rPr>
        <w:t> </w:t>
      </w:r>
      <w:r>
        <w:rPr/>
        <w:t>as</w:t>
      </w:r>
      <w:r>
        <w:rPr>
          <w:spacing w:val="-1"/>
        </w:rPr>
        <w:t> </w:t>
      </w:r>
      <w:r>
        <w:rPr/>
        <w:t>federal</w:t>
      </w:r>
      <w:r>
        <w:rPr>
          <w:spacing w:val="-1"/>
        </w:rPr>
        <w:t> </w:t>
      </w:r>
      <w:r>
        <w:rPr/>
        <w:t>policies</w:t>
      </w:r>
      <w:r>
        <w:rPr>
          <w:spacing w:val="2"/>
        </w:rPr>
        <w:t> </w:t>
      </w:r>
      <w:r>
        <w:rPr/>
        <w:t>and</w:t>
      </w:r>
      <w:r>
        <w:rPr>
          <w:spacing w:val="-1"/>
        </w:rPr>
        <w:t> </w:t>
      </w:r>
      <w:r>
        <w:rPr/>
        <w:t>issues</w:t>
      </w:r>
      <w:r>
        <w:rPr>
          <w:spacing w:val="-1"/>
        </w:rPr>
        <w:t> </w:t>
      </w:r>
      <w:r>
        <w:rPr/>
        <w:t>that may</w:t>
      </w:r>
      <w:r>
        <w:rPr>
          <w:spacing w:val="-6"/>
        </w:rPr>
        <w:t> </w:t>
      </w:r>
      <w:r>
        <w:rPr/>
        <w:t>affect</w:t>
      </w:r>
      <w:r>
        <w:rPr>
          <w:spacing w:val="1"/>
        </w:rPr>
        <w:t> </w:t>
      </w:r>
      <w:r>
        <w:rPr/>
        <w:t>any</w:t>
      </w:r>
      <w:r>
        <w:rPr>
          <w:spacing w:val="-3"/>
        </w:rPr>
        <w:t> </w:t>
      </w:r>
      <w:r>
        <w:rPr/>
        <w:t>aspect</w:t>
      </w:r>
      <w:r>
        <w:rPr>
          <w:spacing w:val="-1"/>
        </w:rPr>
        <w:t> </w:t>
      </w:r>
      <w:r>
        <w:rPr/>
        <w:t>of</w:t>
      </w:r>
      <w:r>
        <w:rPr>
          <w:spacing w:val="-2"/>
        </w:rPr>
        <w:t> </w:t>
      </w:r>
      <w:r>
        <w:rPr/>
        <w:t>the</w:t>
      </w:r>
      <w:r>
        <w:rPr>
          <w:spacing w:val="-1"/>
        </w:rPr>
        <w:t> </w:t>
      </w:r>
      <w:r>
        <w:rPr>
          <w:spacing w:val="-2"/>
        </w:rPr>
        <w:t>demonstration.</w:t>
      </w:r>
    </w:p>
    <w:p>
      <w:pPr>
        <w:pStyle w:val="BodyText"/>
        <w:spacing w:before="10"/>
        <w:rPr>
          <w:sz w:val="20"/>
        </w:rPr>
      </w:pPr>
    </w:p>
    <w:p>
      <w:pPr>
        <w:pStyle w:val="BodyText"/>
        <w:ind w:left="1411"/>
      </w:pPr>
      <w:r>
        <w:rPr/>
        <w:drawing>
          <wp:anchor distT="0" distB="0" distL="0" distR="0" allowOverlap="1" layoutInCell="1" locked="0" behindDoc="0" simplePos="0" relativeHeight="16057856">
            <wp:simplePos x="0" y="0"/>
            <wp:positionH relativeFrom="page">
              <wp:posOffset>1431036</wp:posOffset>
            </wp:positionH>
            <wp:positionV relativeFrom="paragraph">
              <wp:posOffset>67603</wp:posOffset>
            </wp:positionV>
            <wp:extent cx="96011" cy="80771"/>
            <wp:effectExtent l="0" t="0" r="0" b="0"/>
            <wp:wrapNone/>
            <wp:docPr id="655" name="Image 655"/>
            <wp:cNvGraphicFramePr>
              <a:graphicFrameLocks/>
            </wp:cNvGraphicFramePr>
            <a:graphic>
              <a:graphicData uri="http://schemas.openxmlformats.org/drawingml/2006/picture">
                <pic:pic>
                  <pic:nvPicPr>
                    <pic:cNvPr id="655" name="Image 655"/>
                    <pic:cNvPicPr/>
                  </pic:nvPicPr>
                  <pic:blipFill>
                    <a:blip r:embed="rId41" cstate="print"/>
                    <a:stretch>
                      <a:fillRect/>
                    </a:stretch>
                  </pic:blipFill>
                  <pic:spPr>
                    <a:xfrm>
                      <a:off x="0" y="0"/>
                      <a:ext cx="96011" cy="80771"/>
                    </a:xfrm>
                    <a:prstGeom prst="rect">
                      <a:avLst/>
                    </a:prstGeom>
                  </pic:spPr>
                </pic:pic>
              </a:graphicData>
            </a:graphic>
          </wp:anchor>
        </w:drawing>
      </w:r>
      <w:bookmarkStart w:name="c. The Commonwealth and CMS will jointly" w:id="947"/>
      <w:bookmarkEnd w:id="947"/>
      <w:r>
        <w:rPr/>
      </w:r>
      <w:r>
        <w:rPr/>
        <w:t>The</w:t>
      </w:r>
      <w:r>
        <w:rPr>
          <w:spacing w:val="-2"/>
        </w:rPr>
        <w:t> </w:t>
      </w:r>
      <w:r>
        <w:rPr/>
        <w:t>Commonwealth</w:t>
      </w:r>
      <w:r>
        <w:rPr>
          <w:spacing w:val="-1"/>
        </w:rPr>
        <w:t> </w:t>
      </w:r>
      <w:r>
        <w:rPr/>
        <w:t>and CMS</w:t>
      </w:r>
      <w:r>
        <w:rPr>
          <w:spacing w:val="-1"/>
        </w:rPr>
        <w:t> </w:t>
      </w:r>
      <w:r>
        <w:rPr/>
        <w:t>will</w:t>
      </w:r>
      <w:r>
        <w:rPr>
          <w:spacing w:val="-1"/>
        </w:rPr>
        <w:t> </w:t>
      </w:r>
      <w:r>
        <w:rPr/>
        <w:t>jointly</w:t>
      </w:r>
      <w:r>
        <w:rPr>
          <w:spacing w:val="-8"/>
        </w:rPr>
        <w:t> </w:t>
      </w:r>
      <w:r>
        <w:rPr/>
        <w:t>develop</w:t>
      </w:r>
      <w:r>
        <w:rPr>
          <w:spacing w:val="1"/>
        </w:rPr>
        <w:t> </w:t>
      </w:r>
      <w:r>
        <w:rPr/>
        <w:t>the</w:t>
      </w:r>
      <w:r>
        <w:rPr>
          <w:spacing w:val="-2"/>
        </w:rPr>
        <w:t> </w:t>
      </w:r>
      <w:r>
        <w:rPr/>
        <w:t>agenda for</w:t>
      </w:r>
      <w:r>
        <w:rPr>
          <w:spacing w:val="-2"/>
        </w:rPr>
        <w:t> </w:t>
      </w:r>
      <w:r>
        <w:rPr/>
        <w:t>the </w:t>
      </w:r>
      <w:r>
        <w:rPr>
          <w:spacing w:val="-2"/>
        </w:rPr>
        <w:t>calls.</w:t>
      </w:r>
    </w:p>
    <w:p>
      <w:pPr>
        <w:pStyle w:val="BodyText"/>
        <w:spacing w:before="10"/>
        <w:rPr>
          <w:sz w:val="20"/>
        </w:rPr>
      </w:pPr>
    </w:p>
    <w:p>
      <w:pPr>
        <w:pStyle w:val="BodyText"/>
        <w:ind w:left="871" w:right="1086"/>
      </w:pPr>
      <w:r>
        <w:rPr/>
        <w:drawing>
          <wp:anchor distT="0" distB="0" distL="0" distR="0" allowOverlap="1" layoutInCell="1" locked="0" behindDoc="0" simplePos="0" relativeHeight="16058368">
            <wp:simplePos x="0" y="0"/>
            <wp:positionH relativeFrom="page">
              <wp:posOffset>908303</wp:posOffset>
            </wp:positionH>
            <wp:positionV relativeFrom="paragraph">
              <wp:posOffset>35599</wp:posOffset>
            </wp:positionV>
            <wp:extent cx="283463" cy="112775"/>
            <wp:effectExtent l="0" t="0" r="0" b="0"/>
            <wp:wrapNone/>
            <wp:docPr id="656" name="Image 656"/>
            <wp:cNvGraphicFramePr>
              <a:graphicFrameLocks/>
            </wp:cNvGraphicFramePr>
            <a:graphic>
              <a:graphicData uri="http://schemas.openxmlformats.org/drawingml/2006/picture">
                <pic:pic>
                  <pic:nvPicPr>
                    <pic:cNvPr id="656" name="Image 656"/>
                    <pic:cNvPicPr/>
                  </pic:nvPicPr>
                  <pic:blipFill>
                    <a:blip r:embed="rId256" cstate="print"/>
                    <a:stretch>
                      <a:fillRect/>
                    </a:stretch>
                  </pic:blipFill>
                  <pic:spPr>
                    <a:xfrm>
                      <a:off x="0" y="0"/>
                      <a:ext cx="283463" cy="112775"/>
                    </a:xfrm>
                    <a:prstGeom prst="rect">
                      <a:avLst/>
                    </a:prstGeom>
                  </pic:spPr>
                </pic:pic>
              </a:graphicData>
            </a:graphic>
          </wp:anchor>
        </w:drawing>
      </w:r>
      <w:bookmarkStart w:name="16.7. Corrective Action Plan Related to " w:id="948"/>
      <w:bookmarkEnd w:id="948"/>
      <w:r>
        <w:rPr/>
      </w:r>
      <w:r>
        <w:rPr>
          <w:b/>
        </w:rPr>
        <w:t>Corrective Action Plan Related to Monitoring</w:t>
      </w:r>
      <w:r>
        <w:rPr/>
        <w:t>. If monitoring indicates that demonstration features are not likely to assist in promoting the objectives of Medicaid, CMS</w:t>
      </w:r>
      <w:r>
        <w:rPr>
          <w:spacing w:val="-3"/>
        </w:rPr>
        <w:t> </w:t>
      </w:r>
      <w:r>
        <w:rPr/>
        <w:t>reserves</w:t>
      </w:r>
      <w:r>
        <w:rPr>
          <w:spacing w:val="-3"/>
        </w:rPr>
        <w:t> </w:t>
      </w:r>
      <w:r>
        <w:rPr/>
        <w:t>the</w:t>
      </w:r>
      <w:r>
        <w:rPr>
          <w:spacing w:val="-4"/>
        </w:rPr>
        <w:t> </w:t>
      </w:r>
      <w:r>
        <w:rPr/>
        <w:t>right</w:t>
      </w:r>
      <w:r>
        <w:rPr>
          <w:spacing w:val="-3"/>
        </w:rPr>
        <w:t> </w:t>
      </w:r>
      <w:r>
        <w:rPr/>
        <w:t>to</w:t>
      </w:r>
      <w:r>
        <w:rPr>
          <w:spacing w:val="-4"/>
        </w:rPr>
        <w:t> </w:t>
      </w:r>
      <w:r>
        <w:rPr/>
        <w:t>require</w:t>
      </w:r>
      <w:r>
        <w:rPr>
          <w:spacing w:val="-4"/>
        </w:rPr>
        <w:t> </w:t>
      </w:r>
      <w:r>
        <w:rPr/>
        <w:t>the</w:t>
      </w:r>
      <w:r>
        <w:rPr>
          <w:spacing w:val="-4"/>
        </w:rPr>
        <w:t> </w:t>
      </w:r>
      <w:r>
        <w:rPr/>
        <w:t>Commonwealth</w:t>
      </w:r>
      <w:r>
        <w:rPr>
          <w:spacing w:val="-3"/>
        </w:rPr>
        <w:t> </w:t>
      </w:r>
      <w:r>
        <w:rPr/>
        <w:t>to</w:t>
      </w:r>
      <w:r>
        <w:rPr>
          <w:spacing w:val="-3"/>
        </w:rPr>
        <w:t> </w:t>
      </w:r>
      <w:r>
        <w:rPr/>
        <w:t>submit</w:t>
      </w:r>
      <w:r>
        <w:rPr>
          <w:spacing w:val="-3"/>
        </w:rPr>
        <w:t> </w:t>
      </w:r>
      <w:r>
        <w:rPr/>
        <w:t>a</w:t>
      </w:r>
      <w:r>
        <w:rPr>
          <w:spacing w:val="-4"/>
        </w:rPr>
        <w:t> </w:t>
      </w:r>
      <w:r>
        <w:rPr/>
        <w:t>correction</w:t>
      </w:r>
      <w:r>
        <w:rPr>
          <w:spacing w:val="-3"/>
        </w:rPr>
        <w:t> </w:t>
      </w:r>
      <w:r>
        <w:rPr/>
        <w:t>action</w:t>
      </w:r>
      <w:r>
        <w:rPr>
          <w:spacing w:val="-3"/>
        </w:rPr>
        <w:t> </w:t>
      </w:r>
      <w:r>
        <w:rPr/>
        <w:t>plan</w:t>
      </w:r>
      <w:r>
        <w:rPr>
          <w:spacing w:val="-3"/>
        </w:rPr>
        <w:t> </w:t>
      </w:r>
      <w:r>
        <w:rPr/>
        <w:t>to CMS for approval.</w:t>
      </w:r>
      <w:r>
        <w:rPr>
          <w:spacing w:val="40"/>
        </w:rPr>
        <w:t> </w:t>
      </w:r>
      <w:r>
        <w:rPr/>
        <w:t>A corrective action plan could include a temporary suspension of implementation of demonstration programs in circumstances where monitoring data indicate substantial and sustained directional change inconsistent with demonstration goals, such as substantial and sustained trends indicating increased difficulty accessing services.</w:t>
      </w:r>
      <w:r>
        <w:rPr>
          <w:spacing w:val="40"/>
        </w:rPr>
        <w:t> </w:t>
      </w:r>
      <w:r>
        <w:rPr/>
        <w:t>A corrective action plan may be an interim step to withdrawing waivers or expenditure authorities, as outlined in STC 3.11.</w:t>
      </w:r>
      <w:r>
        <w:rPr>
          <w:spacing w:val="40"/>
        </w:rPr>
        <w:t> </w:t>
      </w:r>
      <w:r>
        <w:rPr/>
        <w:t>CMS will withdraw an authority, as described in STC 3.10, when metrics indicate substantial, sustained directional change, inconsistent with state targets and goals, as applicable, and the Commonwealth has not implemented corrective action.</w:t>
      </w:r>
      <w:r>
        <w:rPr>
          <w:spacing w:val="40"/>
        </w:rPr>
        <w:t> </w:t>
      </w:r>
      <w:r>
        <w:rPr/>
        <w:t>CMS further has the ability</w:t>
      </w:r>
      <w:r>
        <w:rPr>
          <w:spacing w:val="-4"/>
        </w:rPr>
        <w:t> </w:t>
      </w:r>
      <w:r>
        <w:rPr/>
        <w:t>to suspend implementation of the demonstration should corrective actions not effectively resolve these concerns in a timely manner.</w:t>
      </w:r>
    </w:p>
    <w:p>
      <w:pPr>
        <w:pStyle w:val="BodyText"/>
        <w:spacing w:before="10"/>
        <w:rPr>
          <w:sz w:val="20"/>
        </w:rPr>
      </w:pPr>
    </w:p>
    <w:p>
      <w:pPr>
        <w:pStyle w:val="Heading4"/>
        <w:numPr>
          <w:ilvl w:val="0"/>
          <w:numId w:val="3"/>
        </w:numPr>
        <w:tabs>
          <w:tab w:pos="600" w:val="left" w:leader="none"/>
        </w:tabs>
        <w:spacing w:line="240" w:lineRule="auto" w:before="1" w:after="0"/>
        <w:ind w:left="600" w:right="0" w:hanging="480"/>
        <w:jc w:val="left"/>
      </w:pPr>
      <w:bookmarkStart w:name="17. EVALUATION OF THE DEMONSTRATION" w:id="949"/>
      <w:bookmarkEnd w:id="949"/>
      <w:r>
        <w:rPr>
          <w:b w:val="0"/>
        </w:rPr>
      </w:r>
      <w:r>
        <w:rPr/>
        <w:t>EVALUATION</w:t>
      </w:r>
      <w:r>
        <w:rPr>
          <w:spacing w:val="-3"/>
        </w:rPr>
        <w:t> </w:t>
      </w:r>
      <w:r>
        <w:rPr/>
        <w:t>OF</w:t>
      </w:r>
      <w:r>
        <w:rPr>
          <w:spacing w:val="-4"/>
        </w:rPr>
        <w:t> </w:t>
      </w:r>
      <w:r>
        <w:rPr/>
        <w:t>THE</w:t>
      </w:r>
      <w:r>
        <w:rPr>
          <w:spacing w:val="-1"/>
        </w:rPr>
        <w:t> </w:t>
      </w:r>
      <w:r>
        <w:rPr>
          <w:spacing w:val="-2"/>
        </w:rPr>
        <w:t>DEMONSTRATION</w:t>
      </w:r>
    </w:p>
    <w:p>
      <w:pPr>
        <w:pStyle w:val="BodyText"/>
        <w:spacing w:before="9"/>
        <w:rPr>
          <w:b/>
          <w:sz w:val="20"/>
        </w:rPr>
      </w:pPr>
    </w:p>
    <w:p>
      <w:pPr>
        <w:pStyle w:val="BodyText"/>
        <w:spacing w:before="1"/>
        <w:ind w:left="871" w:right="1062"/>
      </w:pPr>
      <w:r>
        <w:rPr/>
        <w:drawing>
          <wp:anchor distT="0" distB="0" distL="0" distR="0" allowOverlap="1" layoutInCell="1" locked="0" behindDoc="0" simplePos="0" relativeHeight="16058880">
            <wp:simplePos x="0" y="0"/>
            <wp:positionH relativeFrom="page">
              <wp:posOffset>908303</wp:posOffset>
            </wp:positionH>
            <wp:positionV relativeFrom="paragraph">
              <wp:posOffset>36247</wp:posOffset>
            </wp:positionV>
            <wp:extent cx="283463" cy="112762"/>
            <wp:effectExtent l="0" t="0" r="0" b="0"/>
            <wp:wrapNone/>
            <wp:docPr id="657" name="Image 657"/>
            <wp:cNvGraphicFramePr>
              <a:graphicFrameLocks/>
            </wp:cNvGraphicFramePr>
            <a:graphic>
              <a:graphicData uri="http://schemas.openxmlformats.org/drawingml/2006/picture">
                <pic:pic>
                  <pic:nvPicPr>
                    <pic:cNvPr id="657" name="Image 657"/>
                    <pic:cNvPicPr/>
                  </pic:nvPicPr>
                  <pic:blipFill>
                    <a:blip r:embed="rId257" cstate="print"/>
                    <a:stretch>
                      <a:fillRect/>
                    </a:stretch>
                  </pic:blipFill>
                  <pic:spPr>
                    <a:xfrm>
                      <a:off x="0" y="0"/>
                      <a:ext cx="283463" cy="112762"/>
                    </a:xfrm>
                    <a:prstGeom prst="rect">
                      <a:avLst/>
                    </a:prstGeom>
                  </pic:spPr>
                </pic:pic>
              </a:graphicData>
            </a:graphic>
          </wp:anchor>
        </w:drawing>
      </w:r>
      <w:bookmarkStart w:name="17.1. Independent Evaluator. The Commonw" w:id="950"/>
      <w:bookmarkEnd w:id="950"/>
      <w:r>
        <w:rPr/>
      </w:r>
      <w:r>
        <w:rPr>
          <w:b/>
        </w:rPr>
        <w:t>Independent Evaluator. </w:t>
      </w:r>
      <w:r>
        <w:rPr/>
        <w:t>The Commonwealth must use an independent party to conduct an evaluation of the demonstration to ensure that the necessary data is collected at the</w:t>
      </w:r>
      <w:r>
        <w:rPr>
          <w:spacing w:val="40"/>
        </w:rPr>
        <w:t> </w:t>
      </w:r>
      <w:r>
        <w:rPr/>
        <w:t>level of detail needed to research the approved hypotheses.</w:t>
      </w:r>
      <w:r>
        <w:rPr>
          <w:spacing w:val="40"/>
        </w:rPr>
        <w:t> </w:t>
      </w:r>
      <w:r>
        <w:rPr/>
        <w:t>The independent party must sign an agreement to conduct the demonstration evaluation in an independent manner in accord with the CMS-approved, draft Evaluation Design.</w:t>
      </w:r>
      <w:r>
        <w:rPr>
          <w:spacing w:val="40"/>
        </w:rPr>
        <w:t> </w:t>
      </w:r>
      <w:r>
        <w:rPr/>
        <w:t>When conducting analyses and developing the evaluation reports, every effort should be made to follow the approved methodology.</w:t>
      </w:r>
      <w:r>
        <w:rPr>
          <w:spacing w:val="40"/>
        </w:rPr>
        <w:t> </w:t>
      </w:r>
      <w:r>
        <w:rPr/>
        <w:t>However,</w:t>
      </w:r>
      <w:r>
        <w:rPr>
          <w:spacing w:val="-1"/>
        </w:rPr>
        <w:t> </w:t>
      </w:r>
      <w:r>
        <w:rPr/>
        <w:t>the</w:t>
      </w:r>
      <w:r>
        <w:rPr>
          <w:spacing w:val="-4"/>
        </w:rPr>
        <w:t> </w:t>
      </w:r>
      <w:r>
        <w:rPr/>
        <w:t>Commonwealth</w:t>
      </w:r>
      <w:r>
        <w:rPr>
          <w:spacing w:val="-3"/>
        </w:rPr>
        <w:t> </w:t>
      </w:r>
      <w:r>
        <w:rPr/>
        <w:t>may</w:t>
      </w:r>
      <w:r>
        <w:rPr>
          <w:spacing w:val="-6"/>
        </w:rPr>
        <w:t> </w:t>
      </w:r>
      <w:r>
        <w:rPr/>
        <w:t>request,</w:t>
      </w:r>
      <w:r>
        <w:rPr>
          <w:spacing w:val="-3"/>
        </w:rPr>
        <w:t> </w:t>
      </w:r>
      <w:r>
        <w:rPr/>
        <w:t>and</w:t>
      </w:r>
      <w:r>
        <w:rPr>
          <w:spacing w:val="-3"/>
        </w:rPr>
        <w:t> </w:t>
      </w:r>
      <w:r>
        <w:rPr/>
        <w:t>CMS</w:t>
      </w:r>
      <w:r>
        <w:rPr>
          <w:spacing w:val="-3"/>
        </w:rPr>
        <w:t> </w:t>
      </w:r>
      <w:r>
        <w:rPr/>
        <w:t>may</w:t>
      </w:r>
      <w:r>
        <w:rPr>
          <w:spacing w:val="-8"/>
        </w:rPr>
        <w:t> </w:t>
      </w:r>
      <w:r>
        <w:rPr/>
        <w:t>agree</w:t>
      </w:r>
      <w:r>
        <w:rPr>
          <w:spacing w:val="-4"/>
        </w:rPr>
        <w:t> </w:t>
      </w:r>
      <w:r>
        <w:rPr/>
        <w:t>to</w:t>
      </w:r>
      <w:r>
        <w:rPr>
          <w:spacing w:val="-3"/>
        </w:rPr>
        <w:t> </w:t>
      </w:r>
      <w:r>
        <w:rPr/>
        <w:t>changes in the methodology in appropriate circumstances.</w:t>
      </w:r>
    </w:p>
    <w:p>
      <w:pPr>
        <w:pStyle w:val="BodyText"/>
        <w:spacing w:before="10"/>
        <w:rPr>
          <w:sz w:val="20"/>
        </w:rPr>
      </w:pPr>
    </w:p>
    <w:p>
      <w:pPr>
        <w:spacing w:before="0"/>
        <w:ind w:left="871" w:right="1059" w:firstLine="0"/>
        <w:jc w:val="left"/>
        <w:rPr>
          <w:sz w:val="24"/>
        </w:rPr>
      </w:pPr>
      <w:r>
        <w:rPr/>
        <w:drawing>
          <wp:anchor distT="0" distB="0" distL="0" distR="0" allowOverlap="1" layoutInCell="1" locked="0" behindDoc="0" simplePos="0" relativeHeight="16059392">
            <wp:simplePos x="0" y="0"/>
            <wp:positionH relativeFrom="page">
              <wp:posOffset>908303</wp:posOffset>
            </wp:positionH>
            <wp:positionV relativeFrom="paragraph">
              <wp:posOffset>35612</wp:posOffset>
            </wp:positionV>
            <wp:extent cx="283463" cy="112763"/>
            <wp:effectExtent l="0" t="0" r="0" b="0"/>
            <wp:wrapNone/>
            <wp:docPr id="658" name="Image 658"/>
            <wp:cNvGraphicFramePr>
              <a:graphicFrameLocks/>
            </wp:cNvGraphicFramePr>
            <a:graphic>
              <a:graphicData uri="http://schemas.openxmlformats.org/drawingml/2006/picture">
                <pic:pic>
                  <pic:nvPicPr>
                    <pic:cNvPr id="658" name="Image 658"/>
                    <pic:cNvPicPr/>
                  </pic:nvPicPr>
                  <pic:blipFill>
                    <a:blip r:embed="rId258" cstate="print"/>
                    <a:stretch>
                      <a:fillRect/>
                    </a:stretch>
                  </pic:blipFill>
                  <pic:spPr>
                    <a:xfrm>
                      <a:off x="0" y="0"/>
                      <a:ext cx="283463" cy="112763"/>
                    </a:xfrm>
                    <a:prstGeom prst="rect">
                      <a:avLst/>
                    </a:prstGeom>
                  </pic:spPr>
                </pic:pic>
              </a:graphicData>
            </a:graphic>
          </wp:anchor>
        </w:drawing>
      </w:r>
      <w:bookmarkStart w:name="17.2. Cooperation with Federal Evaluator" w:id="951"/>
      <w:bookmarkEnd w:id="951"/>
      <w:r>
        <w:rPr/>
      </w:r>
      <w:r>
        <w:rPr>
          <w:b/>
          <w:sz w:val="24"/>
        </w:rPr>
        <w:t>Cooperation</w:t>
      </w:r>
      <w:r>
        <w:rPr>
          <w:b/>
          <w:spacing w:val="-5"/>
          <w:sz w:val="24"/>
        </w:rPr>
        <w:t> </w:t>
      </w:r>
      <w:r>
        <w:rPr>
          <w:b/>
          <w:sz w:val="24"/>
        </w:rPr>
        <w:t>with</w:t>
      </w:r>
      <w:r>
        <w:rPr>
          <w:b/>
          <w:spacing w:val="-5"/>
          <w:sz w:val="24"/>
        </w:rPr>
        <w:t> </w:t>
      </w:r>
      <w:r>
        <w:rPr>
          <w:b/>
          <w:sz w:val="24"/>
        </w:rPr>
        <w:t>Federal</w:t>
      </w:r>
      <w:r>
        <w:rPr>
          <w:b/>
          <w:spacing w:val="-5"/>
          <w:sz w:val="24"/>
        </w:rPr>
        <w:t> </w:t>
      </w:r>
      <w:r>
        <w:rPr>
          <w:b/>
          <w:sz w:val="24"/>
        </w:rPr>
        <w:t>Evaluators</w:t>
      </w:r>
      <w:r>
        <w:rPr>
          <w:b/>
          <w:spacing w:val="-5"/>
          <w:sz w:val="24"/>
        </w:rPr>
        <w:t> </w:t>
      </w:r>
      <w:r>
        <w:rPr>
          <w:b/>
          <w:sz w:val="24"/>
        </w:rPr>
        <w:t>and</w:t>
      </w:r>
      <w:r>
        <w:rPr>
          <w:b/>
          <w:spacing w:val="-6"/>
          <w:sz w:val="24"/>
        </w:rPr>
        <w:t> </w:t>
      </w:r>
      <w:r>
        <w:rPr>
          <w:b/>
          <w:sz w:val="24"/>
        </w:rPr>
        <w:t>Learning</w:t>
      </w:r>
      <w:r>
        <w:rPr>
          <w:b/>
          <w:spacing w:val="-5"/>
          <w:sz w:val="24"/>
        </w:rPr>
        <w:t> </w:t>
      </w:r>
      <w:r>
        <w:rPr>
          <w:b/>
          <w:sz w:val="24"/>
        </w:rPr>
        <w:t>Collaboration</w:t>
      </w:r>
      <w:r>
        <w:rPr>
          <w:sz w:val="24"/>
        </w:rPr>
        <w:t>.</w:t>
      </w:r>
      <w:r>
        <w:rPr>
          <w:spacing w:val="-5"/>
          <w:sz w:val="24"/>
        </w:rPr>
        <w:t> </w:t>
      </w:r>
      <w:r>
        <w:rPr>
          <w:sz w:val="24"/>
        </w:rPr>
        <w:t>As</w:t>
      </w:r>
      <w:r>
        <w:rPr>
          <w:spacing w:val="-5"/>
          <w:sz w:val="24"/>
        </w:rPr>
        <w:t> </w:t>
      </w:r>
      <w:r>
        <w:rPr>
          <w:sz w:val="24"/>
        </w:rPr>
        <w:t>required</w:t>
      </w:r>
      <w:r>
        <w:rPr>
          <w:spacing w:val="-5"/>
          <w:sz w:val="24"/>
        </w:rPr>
        <w:t> </w:t>
      </w:r>
      <w:r>
        <w:rPr>
          <w:sz w:val="24"/>
        </w:rPr>
        <w:t>under 42 CFR 431.420(f), should CMS undertake a federal evaluation of the demonstration or</w:t>
      </w:r>
    </w:p>
    <w:p>
      <w:pPr>
        <w:spacing w:after="0"/>
        <w:jc w:val="left"/>
        <w:rPr>
          <w:sz w:val="24"/>
        </w:rPr>
        <w:sectPr>
          <w:pgSz w:w="12240" w:h="15840"/>
          <w:pgMar w:header="0" w:footer="1201" w:top="1360" w:bottom="1400" w:left="1200" w:right="400"/>
        </w:sectPr>
      </w:pPr>
    </w:p>
    <w:p>
      <w:pPr>
        <w:pStyle w:val="BodyText"/>
        <w:spacing w:before="79"/>
        <w:ind w:left="871" w:right="1066"/>
      </w:pPr>
      <w:r>
        <w:rPr/>
        <w:t>any component of the demonstration, the Commonwealth shall cooperate fully and timely with CMS and its contractors’ evaluation activities.</w:t>
      </w:r>
      <w:r>
        <w:rPr>
          <w:spacing w:val="40"/>
        </w:rPr>
        <w:t> </w:t>
      </w:r>
      <w:r>
        <w:rPr/>
        <w:t>This includes, but is not limited to, commenting on design and other federal evaluation documents and providing data and analytic files to CMS, including entering into a data use agreement that explains how the data</w:t>
      </w:r>
      <w:r>
        <w:rPr>
          <w:spacing w:val="-1"/>
        </w:rPr>
        <w:t> </w:t>
      </w:r>
      <w:r>
        <w:rPr/>
        <w:t>and data</w:t>
      </w:r>
      <w:r>
        <w:rPr>
          <w:spacing w:val="-1"/>
        </w:rPr>
        <w:t> </w:t>
      </w:r>
      <w:r>
        <w:rPr/>
        <w:t>files will be</w:t>
      </w:r>
      <w:r>
        <w:rPr>
          <w:spacing w:val="-1"/>
        </w:rPr>
        <w:t> </w:t>
      </w:r>
      <w:r>
        <w:rPr/>
        <w:t>exchanged, and providing</w:t>
      </w:r>
      <w:r>
        <w:rPr>
          <w:spacing w:val="-3"/>
        </w:rPr>
        <w:t> </w:t>
      </w:r>
      <w:r>
        <w:rPr/>
        <w:t>a</w:t>
      </w:r>
      <w:r>
        <w:rPr>
          <w:spacing w:val="-1"/>
        </w:rPr>
        <w:t> </w:t>
      </w:r>
      <w:r>
        <w:rPr/>
        <w:t>technical point of</w:t>
      </w:r>
      <w:r>
        <w:rPr>
          <w:spacing w:val="-1"/>
        </w:rPr>
        <w:t> </w:t>
      </w:r>
      <w:r>
        <w:rPr/>
        <w:t>contact to support specification of the data and files to be disclosed, as well as relevant data dictionaries and record</w:t>
      </w:r>
      <w:r>
        <w:rPr>
          <w:spacing w:val="-3"/>
        </w:rPr>
        <w:t> </w:t>
      </w:r>
      <w:r>
        <w:rPr/>
        <w:t>layouts.</w:t>
      </w:r>
      <w:r>
        <w:rPr>
          <w:spacing w:val="40"/>
        </w:rPr>
        <w:t> </w:t>
      </w:r>
      <w:r>
        <w:rPr/>
        <w:t>The</w:t>
      </w:r>
      <w:r>
        <w:rPr>
          <w:spacing w:val="-4"/>
        </w:rPr>
        <w:t> </w:t>
      </w:r>
      <w:r>
        <w:rPr/>
        <w:t>Commonwealth</w:t>
      </w:r>
      <w:r>
        <w:rPr>
          <w:spacing w:val="-3"/>
        </w:rPr>
        <w:t> </w:t>
      </w:r>
      <w:r>
        <w:rPr/>
        <w:t>shall</w:t>
      </w:r>
      <w:r>
        <w:rPr>
          <w:spacing w:val="-3"/>
        </w:rPr>
        <w:t> </w:t>
      </w:r>
      <w:r>
        <w:rPr/>
        <w:t>include</w:t>
      </w:r>
      <w:r>
        <w:rPr>
          <w:spacing w:val="-3"/>
        </w:rPr>
        <w:t> </w:t>
      </w:r>
      <w:r>
        <w:rPr/>
        <w:t>in</w:t>
      </w:r>
      <w:r>
        <w:rPr>
          <w:spacing w:val="-3"/>
        </w:rPr>
        <w:t> </w:t>
      </w:r>
      <w:r>
        <w:rPr/>
        <w:t>its</w:t>
      </w:r>
      <w:r>
        <w:rPr>
          <w:spacing w:val="-3"/>
        </w:rPr>
        <w:t> </w:t>
      </w:r>
      <w:r>
        <w:rPr/>
        <w:t>contracts</w:t>
      </w:r>
      <w:r>
        <w:rPr>
          <w:spacing w:val="-3"/>
        </w:rPr>
        <w:t> </w:t>
      </w:r>
      <w:r>
        <w:rPr/>
        <w:t>with</w:t>
      </w:r>
      <w:r>
        <w:rPr>
          <w:spacing w:val="-3"/>
        </w:rPr>
        <w:t> </w:t>
      </w:r>
      <w:r>
        <w:rPr/>
        <w:t>entities</w:t>
      </w:r>
      <w:r>
        <w:rPr>
          <w:spacing w:val="-3"/>
        </w:rPr>
        <w:t> </w:t>
      </w:r>
      <w:r>
        <w:rPr/>
        <w:t>who</w:t>
      </w:r>
      <w:r>
        <w:rPr>
          <w:spacing w:val="-3"/>
        </w:rPr>
        <w:t> </w:t>
      </w:r>
      <w:r>
        <w:rPr/>
        <w:t>collect, produce or maintain data and files for the demonstration, that they shall make such data available for the federal evaluation as is required of the Commonwealth under 42 CFR 431.420(f) to support federal evaluation.</w:t>
      </w:r>
      <w:r>
        <w:rPr>
          <w:spacing w:val="40"/>
        </w:rPr>
        <w:t> </w:t>
      </w:r>
      <w:r>
        <w:rPr/>
        <w:t>This may also include the Commonwealth’s participation—including representation from the Commonwealth’s contractors, independent evaluators, and organizations associated with the demonstration operations,</w:t>
      </w:r>
      <w:r>
        <w:rPr>
          <w:spacing w:val="40"/>
        </w:rPr>
        <w:t> </w:t>
      </w:r>
      <w:r>
        <w:rPr/>
        <w:t>as applicable—in a federal learning</w:t>
      </w:r>
      <w:r>
        <w:rPr>
          <w:spacing w:val="-1"/>
        </w:rPr>
        <w:t> </w:t>
      </w:r>
      <w:r>
        <w:rPr/>
        <w:t>collaborative aimed at cross state technical assistance, and identification of lessons learned and best practices for demonstration measurement, data development, implementation, monitoring and evaluation.</w:t>
      </w:r>
      <w:r>
        <w:rPr>
          <w:spacing w:val="40"/>
        </w:rPr>
        <w:t> </w:t>
      </w:r>
      <w:r>
        <w:rPr/>
        <w:t>The Commonwealth may claim administrative match for these activities.</w:t>
      </w:r>
      <w:r>
        <w:rPr>
          <w:spacing w:val="80"/>
        </w:rPr>
        <w:t> </w:t>
      </w:r>
      <w:r>
        <w:rPr/>
        <w:t>Failure to comply with this STC may result in a deferral being issued as outlined in STC 16.2.</w:t>
      </w:r>
    </w:p>
    <w:p>
      <w:pPr>
        <w:pStyle w:val="BodyText"/>
        <w:spacing w:before="10"/>
        <w:rPr>
          <w:sz w:val="20"/>
        </w:rPr>
      </w:pPr>
    </w:p>
    <w:p>
      <w:pPr>
        <w:pStyle w:val="BodyText"/>
        <w:ind w:left="871" w:right="1117"/>
      </w:pPr>
      <w:r>
        <w:rPr/>
        <w:drawing>
          <wp:anchor distT="0" distB="0" distL="0" distR="0" allowOverlap="1" layoutInCell="1" locked="0" behindDoc="0" simplePos="0" relativeHeight="16059904">
            <wp:simplePos x="0" y="0"/>
            <wp:positionH relativeFrom="page">
              <wp:posOffset>908303</wp:posOffset>
            </wp:positionH>
            <wp:positionV relativeFrom="paragraph">
              <wp:posOffset>35612</wp:posOffset>
            </wp:positionV>
            <wp:extent cx="283463" cy="112763"/>
            <wp:effectExtent l="0" t="0" r="0" b="0"/>
            <wp:wrapNone/>
            <wp:docPr id="659" name="Image 659"/>
            <wp:cNvGraphicFramePr>
              <a:graphicFrameLocks/>
            </wp:cNvGraphicFramePr>
            <a:graphic>
              <a:graphicData uri="http://schemas.openxmlformats.org/drawingml/2006/picture">
                <pic:pic>
                  <pic:nvPicPr>
                    <pic:cNvPr id="659" name="Image 659"/>
                    <pic:cNvPicPr/>
                  </pic:nvPicPr>
                  <pic:blipFill>
                    <a:blip r:embed="rId259" cstate="print"/>
                    <a:stretch>
                      <a:fillRect/>
                    </a:stretch>
                  </pic:blipFill>
                  <pic:spPr>
                    <a:xfrm>
                      <a:off x="0" y="0"/>
                      <a:ext cx="283463" cy="112763"/>
                    </a:xfrm>
                    <a:prstGeom prst="rect">
                      <a:avLst/>
                    </a:prstGeom>
                  </pic:spPr>
                </pic:pic>
              </a:graphicData>
            </a:graphic>
          </wp:anchor>
        </w:drawing>
      </w:r>
      <w:bookmarkStart w:name="17.3. Evaluation Budget. A budget for th" w:id="952"/>
      <w:bookmarkEnd w:id="952"/>
      <w:r>
        <w:rPr/>
      </w:r>
      <w:r>
        <w:rPr>
          <w:b/>
        </w:rPr>
        <w:t>Evaluation Budget</w:t>
      </w:r>
      <w:r>
        <w:rPr/>
        <w:t>. A budget for the evaluation shall be provided with the draft Evaluation Design.</w:t>
      </w:r>
      <w:r>
        <w:rPr>
          <w:spacing w:val="40"/>
        </w:rPr>
        <w:t> </w:t>
      </w:r>
      <w:r>
        <w:rPr/>
        <w:t>It will include the total estimated cost, as well as a breakdown of estimated</w:t>
      </w:r>
      <w:r>
        <w:rPr>
          <w:spacing w:val="-3"/>
        </w:rPr>
        <w:t> </w:t>
      </w:r>
      <w:r>
        <w:rPr/>
        <w:t>staff,</w:t>
      </w:r>
      <w:r>
        <w:rPr>
          <w:spacing w:val="-3"/>
        </w:rPr>
        <w:t> </w:t>
      </w:r>
      <w:r>
        <w:rPr/>
        <w:t>administrative</w:t>
      </w:r>
      <w:r>
        <w:rPr>
          <w:spacing w:val="-4"/>
        </w:rPr>
        <w:t> </w:t>
      </w:r>
      <w:r>
        <w:rPr/>
        <w:t>and</w:t>
      </w:r>
      <w:r>
        <w:rPr>
          <w:spacing w:val="-3"/>
        </w:rPr>
        <w:t> </w:t>
      </w:r>
      <w:r>
        <w:rPr/>
        <w:t>other</w:t>
      </w:r>
      <w:r>
        <w:rPr>
          <w:spacing w:val="-2"/>
        </w:rPr>
        <w:t> </w:t>
      </w:r>
      <w:r>
        <w:rPr/>
        <w:t>costs</w:t>
      </w:r>
      <w:r>
        <w:rPr>
          <w:spacing w:val="-3"/>
        </w:rPr>
        <w:t> </w:t>
      </w:r>
      <w:r>
        <w:rPr/>
        <w:t>for</w:t>
      </w:r>
      <w:r>
        <w:rPr>
          <w:spacing w:val="-2"/>
        </w:rPr>
        <w:t> </w:t>
      </w:r>
      <w:r>
        <w:rPr/>
        <w:t>all</w:t>
      </w:r>
      <w:r>
        <w:rPr>
          <w:spacing w:val="-3"/>
        </w:rPr>
        <w:t> </w:t>
      </w:r>
      <w:r>
        <w:rPr/>
        <w:t>aspects</w:t>
      </w:r>
      <w:r>
        <w:rPr>
          <w:spacing w:val="-3"/>
        </w:rPr>
        <w:t> </w:t>
      </w:r>
      <w:r>
        <w:rPr/>
        <w:t>of</w:t>
      </w:r>
      <w:r>
        <w:rPr>
          <w:spacing w:val="-4"/>
        </w:rPr>
        <w:t> </w:t>
      </w:r>
      <w:r>
        <w:rPr/>
        <w:t>the</w:t>
      </w:r>
      <w:r>
        <w:rPr>
          <w:spacing w:val="-2"/>
        </w:rPr>
        <w:t> </w:t>
      </w:r>
      <w:r>
        <w:rPr/>
        <w:t>evaluation</w:t>
      </w:r>
      <w:r>
        <w:rPr>
          <w:spacing w:val="-3"/>
        </w:rPr>
        <w:t> </w:t>
      </w:r>
      <w:r>
        <w:rPr/>
        <w:t>such</w:t>
      </w:r>
      <w:r>
        <w:rPr>
          <w:spacing w:val="-3"/>
        </w:rPr>
        <w:t> </w:t>
      </w:r>
      <w:r>
        <w:rPr/>
        <w:t>as</w:t>
      </w:r>
      <w:r>
        <w:rPr>
          <w:spacing w:val="-3"/>
        </w:rPr>
        <w:t> </w:t>
      </w:r>
      <w:r>
        <w:rPr/>
        <w:t>any survey and measurement development, quantitative and qualitative data collection and cleaning, analyses, and report generation.</w:t>
      </w:r>
      <w:r>
        <w:rPr>
          <w:spacing w:val="40"/>
        </w:rPr>
        <w:t> </w:t>
      </w:r>
      <w:r>
        <w:rPr/>
        <w:t>A justification of the costs may be required by CMS if the estimates provided do not appear to sufficiently cover the costs of the design or if CMS finds that the design is not sufficiently developed, or if the estimates appear to be excessive.</w:t>
      </w:r>
    </w:p>
    <w:p>
      <w:pPr>
        <w:pStyle w:val="BodyText"/>
        <w:spacing w:before="10"/>
        <w:rPr>
          <w:sz w:val="20"/>
        </w:rPr>
      </w:pPr>
    </w:p>
    <w:p>
      <w:pPr>
        <w:pStyle w:val="BodyText"/>
        <w:ind w:left="871" w:right="1059"/>
      </w:pPr>
      <w:r>
        <w:rPr/>
        <w:drawing>
          <wp:anchor distT="0" distB="0" distL="0" distR="0" allowOverlap="1" layoutInCell="1" locked="0" behindDoc="0" simplePos="0" relativeHeight="16060416">
            <wp:simplePos x="0" y="0"/>
            <wp:positionH relativeFrom="page">
              <wp:posOffset>908303</wp:posOffset>
            </wp:positionH>
            <wp:positionV relativeFrom="paragraph">
              <wp:posOffset>35612</wp:posOffset>
            </wp:positionV>
            <wp:extent cx="283463" cy="112763"/>
            <wp:effectExtent l="0" t="0" r="0" b="0"/>
            <wp:wrapNone/>
            <wp:docPr id="660" name="Image 660"/>
            <wp:cNvGraphicFramePr>
              <a:graphicFrameLocks/>
            </wp:cNvGraphicFramePr>
            <a:graphic>
              <a:graphicData uri="http://schemas.openxmlformats.org/drawingml/2006/picture">
                <pic:pic>
                  <pic:nvPicPr>
                    <pic:cNvPr id="660" name="Image 660"/>
                    <pic:cNvPicPr/>
                  </pic:nvPicPr>
                  <pic:blipFill>
                    <a:blip r:embed="rId260" cstate="print"/>
                    <a:stretch>
                      <a:fillRect/>
                    </a:stretch>
                  </pic:blipFill>
                  <pic:spPr>
                    <a:xfrm>
                      <a:off x="0" y="0"/>
                      <a:ext cx="283463" cy="112763"/>
                    </a:xfrm>
                    <a:prstGeom prst="rect">
                      <a:avLst/>
                    </a:prstGeom>
                  </pic:spPr>
                </pic:pic>
              </a:graphicData>
            </a:graphic>
          </wp:anchor>
        </w:drawing>
      </w:r>
      <w:bookmarkStart w:name="17.4. Draft Evaluation Design. The Commo" w:id="953"/>
      <w:bookmarkEnd w:id="953"/>
      <w:r>
        <w:rPr/>
      </w:r>
      <w:r>
        <w:rPr>
          <w:b/>
        </w:rPr>
        <w:t>Draft Evaluation Design. </w:t>
      </w:r>
      <w:r>
        <w:rPr/>
        <w:t>The Commonwealth must submit, for CMS comment and approval, a draft Evaluation Design for this demonstration approval period no later than 180 calendar days after the approval date of the demonstration.</w:t>
      </w:r>
      <w:r>
        <w:rPr>
          <w:spacing w:val="40"/>
        </w:rPr>
        <w:t> </w:t>
      </w:r>
      <w:r>
        <w:rPr/>
        <w:t>The Evaluation Design must be developed in accordance with the following CMS guidance (including but not limited to): (1) Attachment A (Preparing the Evaluation Design) of these STCs, and any applicable evaluation guidance and technical assistance for the demonstration’s policy components.</w:t>
      </w:r>
      <w:r>
        <w:rPr>
          <w:spacing w:val="40"/>
        </w:rPr>
        <w:t> </w:t>
      </w:r>
      <w:r>
        <w:rPr/>
        <w:t>The Evaluation Design must also be developed in alignment with CMS guidance on applying robust evaluation approaches, such as quasi-experimental methods like difference-in-differences and interrupted time series, as well as establishing valid comparison groups and assuring causal inferences in demonstration evaluations.</w:t>
      </w:r>
      <w:r>
        <w:rPr>
          <w:spacing w:val="40"/>
        </w:rPr>
        <w:t> </w:t>
      </w:r>
      <w:r>
        <w:rPr/>
        <w:t>In addition to these requirements, if determined culturally appropriate for the communities impacted by the demonstration, the Commonwealth is encouraged to consider implementation approaches involving randomized control trials and staged rollout (for example, across geographic</w:t>
      </w:r>
      <w:r>
        <w:rPr>
          <w:spacing w:val="-1"/>
        </w:rPr>
        <w:t> </w:t>
      </w:r>
      <w:r>
        <w:rPr/>
        <w:t>areas, by</w:t>
      </w:r>
      <w:r>
        <w:rPr>
          <w:spacing w:val="-5"/>
        </w:rPr>
        <w:t> </w:t>
      </w:r>
      <w:r>
        <w:rPr/>
        <w:t>service</w:t>
      </w:r>
      <w:r>
        <w:rPr>
          <w:spacing w:val="-1"/>
        </w:rPr>
        <w:t> </w:t>
      </w:r>
      <w:r>
        <w:rPr/>
        <w:t>setting, or</w:t>
      </w:r>
      <w:r>
        <w:rPr>
          <w:spacing w:val="-1"/>
        </w:rPr>
        <w:t> </w:t>
      </w:r>
      <w:r>
        <w:rPr/>
        <w:t>by</w:t>
      </w:r>
      <w:r>
        <w:rPr>
          <w:spacing w:val="-5"/>
        </w:rPr>
        <w:t> </w:t>
      </w:r>
      <w:r>
        <w:rPr/>
        <w:t>beneficiary</w:t>
      </w:r>
      <w:r>
        <w:rPr>
          <w:spacing w:val="-5"/>
        </w:rPr>
        <w:t> </w:t>
      </w:r>
      <w:r>
        <w:rPr/>
        <w:t>characteristic)—as these</w:t>
      </w:r>
      <w:r>
        <w:rPr>
          <w:spacing w:val="-5"/>
        </w:rPr>
        <w:t> </w:t>
      </w:r>
      <w:r>
        <w:rPr/>
        <w:t>implementation</w:t>
      </w:r>
      <w:r>
        <w:rPr>
          <w:spacing w:val="-4"/>
        </w:rPr>
        <w:t> </w:t>
      </w:r>
      <w:r>
        <w:rPr/>
        <w:t>strategies</w:t>
      </w:r>
      <w:r>
        <w:rPr>
          <w:spacing w:val="-4"/>
        </w:rPr>
        <w:t> </w:t>
      </w:r>
      <w:r>
        <w:rPr/>
        <w:t>help</w:t>
      </w:r>
      <w:r>
        <w:rPr>
          <w:spacing w:val="-4"/>
        </w:rPr>
        <w:t> </w:t>
      </w:r>
      <w:r>
        <w:rPr/>
        <w:t>create</w:t>
      </w:r>
      <w:r>
        <w:rPr>
          <w:spacing w:val="-5"/>
        </w:rPr>
        <w:t> </w:t>
      </w:r>
      <w:r>
        <w:rPr/>
        <w:t>strong</w:t>
      </w:r>
      <w:r>
        <w:rPr>
          <w:spacing w:val="-4"/>
        </w:rPr>
        <w:t> </w:t>
      </w:r>
      <w:r>
        <w:rPr/>
        <w:t>comparison</w:t>
      </w:r>
      <w:r>
        <w:rPr>
          <w:spacing w:val="-2"/>
        </w:rPr>
        <w:t> </w:t>
      </w:r>
      <w:r>
        <w:rPr/>
        <w:t>groups</w:t>
      </w:r>
      <w:r>
        <w:rPr>
          <w:spacing w:val="-4"/>
        </w:rPr>
        <w:t> </w:t>
      </w:r>
      <w:r>
        <w:rPr/>
        <w:t>and</w:t>
      </w:r>
      <w:r>
        <w:rPr>
          <w:spacing w:val="-2"/>
        </w:rPr>
        <w:t> </w:t>
      </w:r>
      <w:r>
        <w:rPr/>
        <w:t>facilitate</w:t>
      </w:r>
      <w:r>
        <w:rPr>
          <w:spacing w:val="-5"/>
        </w:rPr>
        <w:t> </w:t>
      </w:r>
      <w:r>
        <w:rPr/>
        <w:t>robust </w:t>
      </w:r>
      <w:r>
        <w:rPr>
          <w:spacing w:val="-2"/>
        </w:rPr>
        <w:t>evaluation.</w:t>
      </w:r>
    </w:p>
    <w:p>
      <w:pPr>
        <w:pStyle w:val="BodyText"/>
        <w:spacing w:before="11"/>
        <w:rPr>
          <w:sz w:val="20"/>
        </w:rPr>
      </w:pPr>
    </w:p>
    <w:p>
      <w:pPr>
        <w:pStyle w:val="BodyText"/>
        <w:ind w:left="871" w:right="1141"/>
      </w:pPr>
      <w:bookmarkStart w:name="The Commonwealth is strongly encouraged " w:id="954"/>
      <w:bookmarkEnd w:id="954"/>
      <w:r>
        <w:rPr/>
      </w:r>
      <w:r>
        <w:rPr/>
        <w:t>The Commonwealth is strongly encouraged to use the expertise of the independent party in</w:t>
      </w:r>
      <w:r>
        <w:rPr>
          <w:spacing w:val="-3"/>
        </w:rPr>
        <w:t> </w:t>
      </w:r>
      <w:r>
        <w:rPr/>
        <w:t>the</w:t>
      </w:r>
      <w:r>
        <w:rPr>
          <w:spacing w:val="-4"/>
        </w:rPr>
        <w:t> </w:t>
      </w:r>
      <w:r>
        <w:rPr/>
        <w:t>development</w:t>
      </w:r>
      <w:r>
        <w:rPr>
          <w:spacing w:val="-3"/>
        </w:rPr>
        <w:t> </w:t>
      </w:r>
      <w:r>
        <w:rPr/>
        <w:t>of</w:t>
      </w:r>
      <w:r>
        <w:rPr>
          <w:spacing w:val="-4"/>
        </w:rPr>
        <w:t> </w:t>
      </w:r>
      <w:r>
        <w:rPr/>
        <w:t>the</w:t>
      </w:r>
      <w:r>
        <w:rPr>
          <w:spacing w:val="-3"/>
        </w:rPr>
        <w:t> </w:t>
      </w:r>
      <w:r>
        <w:rPr/>
        <w:t>draft</w:t>
      </w:r>
      <w:r>
        <w:rPr>
          <w:spacing w:val="-3"/>
        </w:rPr>
        <w:t> </w:t>
      </w:r>
      <w:r>
        <w:rPr/>
        <w:t>Evaluation</w:t>
      </w:r>
      <w:r>
        <w:rPr>
          <w:spacing w:val="-3"/>
        </w:rPr>
        <w:t> </w:t>
      </w:r>
      <w:r>
        <w:rPr/>
        <w:t>Design.</w:t>
      </w:r>
      <w:r>
        <w:rPr>
          <w:spacing w:val="-2"/>
        </w:rPr>
        <w:t> </w:t>
      </w:r>
      <w:r>
        <w:rPr/>
        <w:t>The</w:t>
      </w:r>
      <w:r>
        <w:rPr>
          <w:spacing w:val="-4"/>
        </w:rPr>
        <w:t> </w:t>
      </w:r>
      <w:r>
        <w:rPr/>
        <w:t>draft</w:t>
      </w:r>
      <w:r>
        <w:rPr>
          <w:spacing w:val="-3"/>
        </w:rPr>
        <w:t> </w:t>
      </w:r>
      <w:r>
        <w:rPr/>
        <w:t>Evaluation</w:t>
      </w:r>
      <w:r>
        <w:rPr>
          <w:spacing w:val="-3"/>
        </w:rPr>
        <w:t> </w:t>
      </w:r>
      <w:r>
        <w:rPr/>
        <w:t>Design</w:t>
      </w:r>
      <w:r>
        <w:rPr>
          <w:spacing w:val="-3"/>
        </w:rPr>
        <w:t> </w:t>
      </w:r>
      <w:r>
        <w:rPr/>
        <w:t>also</w:t>
      </w:r>
      <w:r>
        <w:rPr>
          <w:spacing w:val="-3"/>
        </w:rPr>
        <w:t> </w:t>
      </w:r>
      <w:r>
        <w:rPr/>
        <w:t>must</w:t>
      </w:r>
    </w:p>
    <w:p>
      <w:pPr>
        <w:spacing w:after="0"/>
        <w:sectPr>
          <w:pgSz w:w="12240" w:h="15840"/>
          <w:pgMar w:header="0" w:footer="1201" w:top="1360" w:bottom="1400" w:left="1200" w:right="400"/>
        </w:sectPr>
      </w:pPr>
    </w:p>
    <w:p>
      <w:pPr>
        <w:pStyle w:val="BodyText"/>
        <w:spacing w:before="79"/>
        <w:ind w:left="871" w:right="1179"/>
      </w:pPr>
      <w:r>
        <w:rPr/>
        <w:t>include</w:t>
      </w:r>
      <w:r>
        <w:rPr>
          <w:spacing w:val="-4"/>
        </w:rPr>
        <w:t> </w:t>
      </w:r>
      <w:r>
        <w:rPr/>
        <w:t>a</w:t>
      </w:r>
      <w:r>
        <w:rPr>
          <w:spacing w:val="-4"/>
        </w:rPr>
        <w:t> </w:t>
      </w:r>
      <w:r>
        <w:rPr/>
        <w:t>timeline</w:t>
      </w:r>
      <w:r>
        <w:rPr>
          <w:spacing w:val="-4"/>
        </w:rPr>
        <w:t> </w:t>
      </w:r>
      <w:r>
        <w:rPr/>
        <w:t>for</w:t>
      </w:r>
      <w:r>
        <w:rPr>
          <w:spacing w:val="-4"/>
        </w:rPr>
        <w:t> </w:t>
      </w:r>
      <w:r>
        <w:rPr/>
        <w:t>key</w:t>
      </w:r>
      <w:r>
        <w:rPr>
          <w:spacing w:val="-6"/>
        </w:rPr>
        <w:t> </w:t>
      </w:r>
      <w:r>
        <w:rPr/>
        <w:t>evaluation</w:t>
      </w:r>
      <w:r>
        <w:rPr>
          <w:spacing w:val="-3"/>
        </w:rPr>
        <w:t> </w:t>
      </w:r>
      <w:r>
        <w:rPr/>
        <w:t>activities,</w:t>
      </w:r>
      <w:r>
        <w:rPr>
          <w:spacing w:val="-4"/>
        </w:rPr>
        <w:t> </w:t>
      </w:r>
      <w:r>
        <w:rPr/>
        <w:t>including</w:t>
      </w:r>
      <w:r>
        <w:rPr>
          <w:spacing w:val="-6"/>
        </w:rPr>
        <w:t> </w:t>
      </w:r>
      <w:r>
        <w:rPr/>
        <w:t>the</w:t>
      </w:r>
      <w:r>
        <w:rPr>
          <w:spacing w:val="-4"/>
        </w:rPr>
        <w:t> </w:t>
      </w:r>
      <w:r>
        <w:rPr/>
        <w:t>deliverables</w:t>
      </w:r>
      <w:r>
        <w:rPr>
          <w:spacing w:val="-1"/>
        </w:rPr>
        <w:t> </w:t>
      </w:r>
      <w:r>
        <w:rPr/>
        <w:t>outlined</w:t>
      </w:r>
      <w:r>
        <w:rPr>
          <w:spacing w:val="-3"/>
        </w:rPr>
        <w:t> </w:t>
      </w:r>
      <w:r>
        <w:rPr/>
        <w:t>in STCs 17.7 and 17.8.</w:t>
      </w:r>
    </w:p>
    <w:p>
      <w:pPr>
        <w:pStyle w:val="BodyText"/>
        <w:spacing w:before="10"/>
        <w:rPr>
          <w:sz w:val="20"/>
        </w:rPr>
      </w:pPr>
    </w:p>
    <w:p>
      <w:pPr>
        <w:pStyle w:val="BodyText"/>
        <w:ind w:left="871" w:right="1059"/>
      </w:pPr>
      <w:bookmarkStart w:name="For any amendment to the demonstration, " w:id="955"/>
      <w:bookmarkEnd w:id="955"/>
      <w:r>
        <w:rPr/>
      </w:r>
      <w:r>
        <w:rPr/>
        <w:t>For any</w:t>
      </w:r>
      <w:r>
        <w:rPr>
          <w:spacing w:val="-1"/>
        </w:rPr>
        <w:t> </w:t>
      </w:r>
      <w:r>
        <w:rPr/>
        <w:t>amendment to the demonstration, the Commonwealth will be required to update the approved Evaluation Design to accommodate the amendment component. The amended Evaluation Design must be submitted to CMS for review no later than 180 calendar</w:t>
      </w:r>
      <w:r>
        <w:rPr>
          <w:spacing w:val="-1"/>
        </w:rPr>
        <w:t> </w:t>
      </w:r>
      <w:r>
        <w:rPr/>
        <w:t>days after</w:t>
      </w:r>
      <w:r>
        <w:rPr>
          <w:spacing w:val="-1"/>
        </w:rPr>
        <w:t> </w:t>
      </w:r>
      <w:r>
        <w:rPr/>
        <w:t>CMS’s approval of</w:t>
      </w:r>
      <w:r>
        <w:rPr>
          <w:spacing w:val="-1"/>
        </w:rPr>
        <w:t> </w:t>
      </w:r>
      <w:r>
        <w:rPr/>
        <w:t>the</w:t>
      </w:r>
      <w:r>
        <w:rPr>
          <w:spacing w:val="-1"/>
        </w:rPr>
        <w:t> </w:t>
      </w:r>
      <w:r>
        <w:rPr/>
        <w:t>demonstration amendment. Depending</w:t>
      </w:r>
      <w:r>
        <w:rPr>
          <w:spacing w:val="-3"/>
        </w:rPr>
        <w:t> </w:t>
      </w:r>
      <w:r>
        <w:rPr/>
        <w:t>on the scope</w:t>
      </w:r>
      <w:r>
        <w:rPr>
          <w:spacing w:val="-1"/>
        </w:rPr>
        <w:t> </w:t>
      </w:r>
      <w:r>
        <w:rPr/>
        <w:t>and timing</w:t>
      </w:r>
      <w:r>
        <w:rPr>
          <w:spacing w:val="-3"/>
        </w:rPr>
        <w:t> </w:t>
      </w:r>
      <w:r>
        <w:rPr/>
        <w:t>of</w:t>
      </w:r>
      <w:r>
        <w:rPr>
          <w:spacing w:val="-1"/>
        </w:rPr>
        <w:t> </w:t>
      </w:r>
      <w:r>
        <w:rPr/>
        <w:t>the</w:t>
      </w:r>
      <w:r>
        <w:rPr>
          <w:spacing w:val="-1"/>
        </w:rPr>
        <w:t> </w:t>
      </w:r>
      <w:r>
        <w:rPr/>
        <w:t>amendment, in consultation with CMS, the</w:t>
      </w:r>
      <w:r>
        <w:rPr>
          <w:spacing w:val="-1"/>
        </w:rPr>
        <w:t> </w:t>
      </w:r>
      <w:r>
        <w:rPr/>
        <w:t>Commonwealth</w:t>
      </w:r>
      <w:r>
        <w:rPr>
          <w:spacing w:val="-1"/>
        </w:rPr>
        <w:t> </w:t>
      </w:r>
      <w:r>
        <w:rPr/>
        <w:t>may provide</w:t>
      </w:r>
      <w:r>
        <w:rPr>
          <w:spacing w:val="-4"/>
        </w:rPr>
        <w:t> </w:t>
      </w:r>
      <w:r>
        <w:rPr/>
        <w:t>the</w:t>
      </w:r>
      <w:r>
        <w:rPr>
          <w:spacing w:val="-4"/>
        </w:rPr>
        <w:t> </w:t>
      </w:r>
      <w:r>
        <w:rPr/>
        <w:t>details</w:t>
      </w:r>
      <w:r>
        <w:rPr>
          <w:spacing w:val="-3"/>
        </w:rPr>
        <w:t> </w:t>
      </w:r>
      <w:r>
        <w:rPr/>
        <w:t>on</w:t>
      </w:r>
      <w:r>
        <w:rPr>
          <w:spacing w:val="-3"/>
        </w:rPr>
        <w:t> </w:t>
      </w:r>
      <w:r>
        <w:rPr/>
        <w:t>necessary</w:t>
      </w:r>
      <w:r>
        <w:rPr>
          <w:spacing w:val="-8"/>
        </w:rPr>
        <w:t> </w:t>
      </w:r>
      <w:r>
        <w:rPr/>
        <w:t>modifications</w:t>
      </w:r>
      <w:r>
        <w:rPr>
          <w:spacing w:val="-3"/>
        </w:rPr>
        <w:t> </w:t>
      </w:r>
      <w:r>
        <w:rPr/>
        <w:t>to</w:t>
      </w:r>
      <w:r>
        <w:rPr>
          <w:spacing w:val="-3"/>
        </w:rPr>
        <w:t> </w:t>
      </w:r>
      <w:r>
        <w:rPr/>
        <w:t>the</w:t>
      </w:r>
      <w:r>
        <w:rPr>
          <w:spacing w:val="-4"/>
        </w:rPr>
        <w:t> </w:t>
      </w:r>
      <w:r>
        <w:rPr/>
        <w:t>approved</w:t>
      </w:r>
      <w:r>
        <w:rPr>
          <w:spacing w:val="-3"/>
        </w:rPr>
        <w:t> </w:t>
      </w:r>
      <w:r>
        <w:rPr/>
        <w:t>Evaluation</w:t>
      </w:r>
      <w:r>
        <w:rPr>
          <w:spacing w:val="-1"/>
        </w:rPr>
        <w:t> </w:t>
      </w:r>
      <w:r>
        <w:rPr/>
        <w:t>Design</w:t>
      </w:r>
      <w:r>
        <w:rPr>
          <w:spacing w:val="-3"/>
        </w:rPr>
        <w:t> </w:t>
      </w:r>
      <w:r>
        <w:rPr/>
        <w:t>via</w:t>
      </w:r>
      <w:r>
        <w:rPr>
          <w:spacing w:val="-4"/>
        </w:rPr>
        <w:t> </w:t>
      </w:r>
      <w:r>
        <w:rPr/>
        <w:t>the monitoring reports. The amendment Evaluation Design must also be reflected in the Commonwealth’s Interim (as applicable) and Summative Evaluation Reports, described </w:t>
      </w:r>
      <w:r>
        <w:rPr>
          <w:spacing w:val="-2"/>
        </w:rPr>
        <w:t>below.</w:t>
      </w:r>
    </w:p>
    <w:p>
      <w:pPr>
        <w:pStyle w:val="BodyText"/>
        <w:spacing w:before="10"/>
        <w:rPr>
          <w:sz w:val="20"/>
        </w:rPr>
      </w:pPr>
    </w:p>
    <w:p>
      <w:pPr>
        <w:pStyle w:val="BodyText"/>
        <w:ind w:left="871" w:right="1041"/>
      </w:pPr>
      <w:r>
        <w:rPr/>
        <w:drawing>
          <wp:anchor distT="0" distB="0" distL="0" distR="0" allowOverlap="1" layoutInCell="1" locked="0" behindDoc="0" simplePos="0" relativeHeight="16060928">
            <wp:simplePos x="0" y="0"/>
            <wp:positionH relativeFrom="page">
              <wp:posOffset>908303</wp:posOffset>
            </wp:positionH>
            <wp:positionV relativeFrom="paragraph">
              <wp:posOffset>35599</wp:posOffset>
            </wp:positionV>
            <wp:extent cx="283463" cy="112775"/>
            <wp:effectExtent l="0" t="0" r="0" b="0"/>
            <wp:wrapNone/>
            <wp:docPr id="661" name="Image 661"/>
            <wp:cNvGraphicFramePr>
              <a:graphicFrameLocks/>
            </wp:cNvGraphicFramePr>
            <a:graphic>
              <a:graphicData uri="http://schemas.openxmlformats.org/drawingml/2006/picture">
                <pic:pic>
                  <pic:nvPicPr>
                    <pic:cNvPr id="661" name="Image 661"/>
                    <pic:cNvPicPr/>
                  </pic:nvPicPr>
                  <pic:blipFill>
                    <a:blip r:embed="rId261" cstate="print"/>
                    <a:stretch>
                      <a:fillRect/>
                    </a:stretch>
                  </pic:blipFill>
                  <pic:spPr>
                    <a:xfrm>
                      <a:off x="0" y="0"/>
                      <a:ext cx="283463" cy="112775"/>
                    </a:xfrm>
                    <a:prstGeom prst="rect">
                      <a:avLst/>
                    </a:prstGeom>
                  </pic:spPr>
                </pic:pic>
              </a:graphicData>
            </a:graphic>
          </wp:anchor>
        </w:drawing>
      </w:r>
      <w:bookmarkStart w:name="17.5. Evaluation Design Approval and Upd" w:id="956"/>
      <w:bookmarkEnd w:id="956"/>
      <w:r>
        <w:rPr/>
      </w:r>
      <w:r>
        <w:rPr>
          <w:b/>
        </w:rPr>
        <w:t>Evaluation Design Approval and Updates. </w:t>
      </w:r>
      <w:r>
        <w:rPr/>
        <w:t>The Commonwealth must submit a revised Evaluation Design within 60 days after receipt of CMS’s comments, if any.</w:t>
      </w:r>
      <w:r>
        <w:rPr>
          <w:spacing w:val="40"/>
        </w:rPr>
        <w:t> </w:t>
      </w:r>
      <w:r>
        <w:rPr/>
        <w:t>Upon CMS approval</w:t>
      </w:r>
      <w:r>
        <w:rPr>
          <w:spacing w:val="-3"/>
        </w:rPr>
        <w:t> </w:t>
      </w:r>
      <w:r>
        <w:rPr/>
        <w:t>of</w:t>
      </w:r>
      <w:r>
        <w:rPr>
          <w:spacing w:val="-4"/>
        </w:rPr>
        <w:t> </w:t>
      </w:r>
      <w:r>
        <w:rPr/>
        <w:t>the</w:t>
      </w:r>
      <w:r>
        <w:rPr>
          <w:spacing w:val="-4"/>
        </w:rPr>
        <w:t> </w:t>
      </w:r>
      <w:r>
        <w:rPr/>
        <w:t>draft</w:t>
      </w:r>
      <w:r>
        <w:rPr>
          <w:spacing w:val="-3"/>
        </w:rPr>
        <w:t> </w:t>
      </w:r>
      <w:r>
        <w:rPr/>
        <w:t>Evaluation</w:t>
      </w:r>
      <w:r>
        <w:rPr>
          <w:spacing w:val="-3"/>
        </w:rPr>
        <w:t> </w:t>
      </w:r>
      <w:r>
        <w:rPr/>
        <w:t>Design,</w:t>
      </w:r>
      <w:r>
        <w:rPr>
          <w:spacing w:val="-3"/>
        </w:rPr>
        <w:t> </w:t>
      </w:r>
      <w:r>
        <w:rPr/>
        <w:t>the</w:t>
      </w:r>
      <w:r>
        <w:rPr>
          <w:spacing w:val="-4"/>
        </w:rPr>
        <w:t> </w:t>
      </w:r>
      <w:r>
        <w:rPr/>
        <w:t>document</w:t>
      </w:r>
      <w:r>
        <w:rPr>
          <w:spacing w:val="-3"/>
        </w:rPr>
        <w:t> </w:t>
      </w:r>
      <w:r>
        <w:rPr/>
        <w:t>will</w:t>
      </w:r>
      <w:r>
        <w:rPr>
          <w:spacing w:val="-3"/>
        </w:rPr>
        <w:t> </w:t>
      </w:r>
      <w:r>
        <w:rPr/>
        <w:t>be</w:t>
      </w:r>
      <w:r>
        <w:rPr>
          <w:spacing w:val="-4"/>
        </w:rPr>
        <w:t> </w:t>
      </w:r>
      <w:r>
        <w:rPr/>
        <w:t>included</w:t>
      </w:r>
      <w:r>
        <w:rPr>
          <w:spacing w:val="-3"/>
        </w:rPr>
        <w:t> </w:t>
      </w:r>
      <w:r>
        <w:rPr/>
        <w:t>as</w:t>
      </w:r>
      <w:r>
        <w:rPr>
          <w:spacing w:val="-1"/>
        </w:rPr>
        <w:t> </w:t>
      </w:r>
      <w:r>
        <w:rPr/>
        <w:t>Attachment</w:t>
      </w:r>
      <w:r>
        <w:rPr>
          <w:spacing w:val="-3"/>
        </w:rPr>
        <w:t> </w:t>
      </w:r>
      <w:r>
        <w:rPr/>
        <w:t>S</w:t>
      </w:r>
      <w:r>
        <w:rPr>
          <w:spacing w:val="-3"/>
        </w:rPr>
        <w:t> </w:t>
      </w:r>
      <w:r>
        <w:rPr/>
        <w:t>of these STCs.</w:t>
      </w:r>
      <w:r>
        <w:rPr>
          <w:spacing w:val="40"/>
        </w:rPr>
        <w:t> </w:t>
      </w:r>
      <w:r>
        <w:rPr/>
        <w:t>Per 42 CFR 431.424(c), the Commonwealth will publish the approved Evaluation Design to its Medicaid website within 30 days of CMS approval.</w:t>
      </w:r>
      <w:r>
        <w:rPr>
          <w:spacing w:val="40"/>
        </w:rPr>
        <w:t> </w:t>
      </w:r>
      <w:r>
        <w:rPr/>
        <w:t>Once CMS approves the Evaluation Design, if the Commonwealth wishes to make changes, the Commonwealth must submit a revised Evaluation Design to CMS for approval if the changes</w:t>
      </w:r>
      <w:r>
        <w:rPr>
          <w:spacing w:val="-3"/>
        </w:rPr>
        <w:t> </w:t>
      </w:r>
      <w:r>
        <w:rPr/>
        <w:t>are</w:t>
      </w:r>
      <w:r>
        <w:rPr>
          <w:spacing w:val="-4"/>
        </w:rPr>
        <w:t> </w:t>
      </w:r>
      <w:r>
        <w:rPr/>
        <w:t>substantial</w:t>
      </w:r>
      <w:r>
        <w:rPr>
          <w:spacing w:val="-3"/>
        </w:rPr>
        <w:t> </w:t>
      </w:r>
      <w:r>
        <w:rPr/>
        <w:t>in</w:t>
      </w:r>
      <w:r>
        <w:rPr>
          <w:spacing w:val="-3"/>
        </w:rPr>
        <w:t> </w:t>
      </w:r>
      <w:r>
        <w:rPr/>
        <w:t>scope;</w:t>
      </w:r>
      <w:r>
        <w:rPr>
          <w:spacing w:val="-3"/>
        </w:rPr>
        <w:t> </w:t>
      </w:r>
      <w:r>
        <w:rPr/>
        <w:t>otherwise,</w:t>
      </w:r>
      <w:r>
        <w:rPr>
          <w:spacing w:val="-3"/>
        </w:rPr>
        <w:t> </w:t>
      </w:r>
      <w:r>
        <w:rPr/>
        <w:t>in</w:t>
      </w:r>
      <w:r>
        <w:rPr>
          <w:spacing w:val="-3"/>
        </w:rPr>
        <w:t> </w:t>
      </w:r>
      <w:r>
        <w:rPr/>
        <w:t>consultation</w:t>
      </w:r>
      <w:r>
        <w:rPr>
          <w:spacing w:val="-3"/>
        </w:rPr>
        <w:t> </w:t>
      </w:r>
      <w:r>
        <w:rPr/>
        <w:t>with</w:t>
      </w:r>
      <w:r>
        <w:rPr>
          <w:spacing w:val="-3"/>
        </w:rPr>
        <w:t> </w:t>
      </w:r>
      <w:r>
        <w:rPr/>
        <w:t>CMS,</w:t>
      </w:r>
      <w:r>
        <w:rPr>
          <w:spacing w:val="-6"/>
        </w:rPr>
        <w:t> </w:t>
      </w:r>
      <w:r>
        <w:rPr/>
        <w:t>the</w:t>
      </w:r>
      <w:r>
        <w:rPr>
          <w:spacing w:val="-4"/>
        </w:rPr>
        <w:t> </w:t>
      </w:r>
      <w:r>
        <w:rPr/>
        <w:t>Commonwealth may include updates to the Evaluation Design in Monitoring Reports.</w:t>
      </w:r>
    </w:p>
    <w:p>
      <w:pPr>
        <w:pStyle w:val="BodyText"/>
        <w:spacing w:before="10"/>
        <w:rPr>
          <w:sz w:val="20"/>
        </w:rPr>
      </w:pPr>
    </w:p>
    <w:p>
      <w:pPr>
        <w:pStyle w:val="BodyText"/>
        <w:ind w:left="871" w:right="1059"/>
      </w:pPr>
      <w:r>
        <w:rPr/>
        <w:drawing>
          <wp:anchor distT="0" distB="0" distL="0" distR="0" allowOverlap="1" layoutInCell="1" locked="0" behindDoc="0" simplePos="0" relativeHeight="16061440">
            <wp:simplePos x="0" y="0"/>
            <wp:positionH relativeFrom="page">
              <wp:posOffset>908303</wp:posOffset>
            </wp:positionH>
            <wp:positionV relativeFrom="paragraph">
              <wp:posOffset>35599</wp:posOffset>
            </wp:positionV>
            <wp:extent cx="283463" cy="112775"/>
            <wp:effectExtent l="0" t="0" r="0" b="0"/>
            <wp:wrapNone/>
            <wp:docPr id="662" name="Image 662"/>
            <wp:cNvGraphicFramePr>
              <a:graphicFrameLocks/>
            </wp:cNvGraphicFramePr>
            <a:graphic>
              <a:graphicData uri="http://schemas.openxmlformats.org/drawingml/2006/picture">
                <pic:pic>
                  <pic:nvPicPr>
                    <pic:cNvPr id="662" name="Image 662"/>
                    <pic:cNvPicPr/>
                  </pic:nvPicPr>
                  <pic:blipFill>
                    <a:blip r:embed="rId262" cstate="print"/>
                    <a:stretch>
                      <a:fillRect/>
                    </a:stretch>
                  </pic:blipFill>
                  <pic:spPr>
                    <a:xfrm>
                      <a:off x="0" y="0"/>
                      <a:ext cx="283463" cy="112775"/>
                    </a:xfrm>
                    <a:prstGeom prst="rect">
                      <a:avLst/>
                    </a:prstGeom>
                  </pic:spPr>
                </pic:pic>
              </a:graphicData>
            </a:graphic>
          </wp:anchor>
        </w:drawing>
      </w:r>
      <w:bookmarkStart w:name="17.6. Evaluation Questions and Hypothese" w:id="957"/>
      <w:bookmarkEnd w:id="957"/>
      <w:r>
        <w:rPr/>
      </w:r>
      <w:r>
        <w:rPr>
          <w:b/>
        </w:rPr>
        <w:t>Evaluation Questions and Hypotheses.</w:t>
      </w:r>
      <w:r>
        <w:rPr>
          <w:b/>
          <w:spacing w:val="40"/>
        </w:rPr>
        <w:t> </w:t>
      </w:r>
      <w:r>
        <w:rPr/>
        <w:t>Consistent with Attachments A and B (Developing the Evaluation Design and Preparing the Interim and Summative Evaluation Reports) of these STCs, the evaluation deliverables must include a discussion of the evaluation</w:t>
      </w:r>
      <w:r>
        <w:rPr>
          <w:spacing w:val="-4"/>
        </w:rPr>
        <w:t> </w:t>
      </w:r>
      <w:r>
        <w:rPr/>
        <w:t>questions</w:t>
      </w:r>
      <w:r>
        <w:rPr>
          <w:spacing w:val="-4"/>
        </w:rPr>
        <w:t> </w:t>
      </w:r>
      <w:r>
        <w:rPr/>
        <w:t>and</w:t>
      </w:r>
      <w:r>
        <w:rPr>
          <w:spacing w:val="-2"/>
        </w:rPr>
        <w:t> </w:t>
      </w:r>
      <w:r>
        <w:rPr/>
        <w:t>hypotheses</w:t>
      </w:r>
      <w:r>
        <w:rPr>
          <w:spacing w:val="-4"/>
        </w:rPr>
        <w:t> </w:t>
      </w:r>
      <w:r>
        <w:rPr/>
        <w:t>that</w:t>
      </w:r>
      <w:r>
        <w:rPr>
          <w:spacing w:val="-4"/>
        </w:rPr>
        <w:t> </w:t>
      </w:r>
      <w:r>
        <w:rPr/>
        <w:t>the</w:t>
      </w:r>
      <w:r>
        <w:rPr>
          <w:spacing w:val="-5"/>
        </w:rPr>
        <w:t> </w:t>
      </w:r>
      <w:r>
        <w:rPr/>
        <w:t>Commonwealth</w:t>
      </w:r>
      <w:r>
        <w:rPr>
          <w:spacing w:val="-5"/>
        </w:rPr>
        <w:t> </w:t>
      </w:r>
      <w:r>
        <w:rPr/>
        <w:t>intends</w:t>
      </w:r>
      <w:r>
        <w:rPr>
          <w:spacing w:val="-4"/>
        </w:rPr>
        <w:t> </w:t>
      </w:r>
      <w:r>
        <w:rPr/>
        <w:t>to</w:t>
      </w:r>
      <w:r>
        <w:rPr>
          <w:spacing w:val="-4"/>
        </w:rPr>
        <w:t> </w:t>
      </w:r>
      <w:r>
        <w:rPr/>
        <w:t>test.</w:t>
      </w:r>
      <w:r>
        <w:rPr>
          <w:spacing w:val="40"/>
        </w:rPr>
        <w:t> </w:t>
      </w:r>
      <w:r>
        <w:rPr/>
        <w:t>In</w:t>
      </w:r>
      <w:r>
        <w:rPr>
          <w:spacing w:val="-4"/>
        </w:rPr>
        <w:t> </w:t>
      </w:r>
      <w:r>
        <w:rPr/>
        <w:t>alignment with applicable CMS evaluation guidance and technical assistance, the evaluation must outline and address well-crafted hypotheses and research questions for all key demonstration policy components that support understanding the demonstration’s impact and its effectiveness in achieving the goals.</w:t>
      </w:r>
    </w:p>
    <w:p>
      <w:pPr>
        <w:pStyle w:val="BodyText"/>
        <w:spacing w:before="10"/>
        <w:rPr>
          <w:sz w:val="20"/>
        </w:rPr>
      </w:pPr>
    </w:p>
    <w:p>
      <w:pPr>
        <w:pStyle w:val="BodyText"/>
        <w:spacing w:before="1"/>
        <w:ind w:left="871" w:right="1079"/>
      </w:pPr>
      <w:bookmarkStart w:name="The hypothesis testing should include, w" w:id="958"/>
      <w:bookmarkEnd w:id="958"/>
      <w:r>
        <w:rPr/>
      </w:r>
      <w:r>
        <w:rPr/>
        <w:t>The hypothesis testing should include, where possible, assessment of both process and outcome</w:t>
      </w:r>
      <w:r>
        <w:rPr>
          <w:spacing w:val="-4"/>
        </w:rPr>
        <w:t> </w:t>
      </w:r>
      <w:r>
        <w:rPr/>
        <w:t>measures.</w:t>
      </w:r>
      <w:r>
        <w:rPr>
          <w:spacing w:val="40"/>
        </w:rPr>
        <w:t> </w:t>
      </w:r>
      <w:r>
        <w:rPr/>
        <w:t>The</w:t>
      </w:r>
      <w:r>
        <w:rPr>
          <w:spacing w:val="-2"/>
        </w:rPr>
        <w:t> </w:t>
      </w:r>
      <w:r>
        <w:rPr/>
        <w:t>evaluation</w:t>
      </w:r>
      <w:r>
        <w:rPr>
          <w:spacing w:val="-3"/>
        </w:rPr>
        <w:t> </w:t>
      </w:r>
      <w:r>
        <w:rPr/>
        <w:t>must</w:t>
      </w:r>
      <w:r>
        <w:rPr>
          <w:spacing w:val="-3"/>
        </w:rPr>
        <w:t> </w:t>
      </w:r>
      <w:r>
        <w:rPr/>
        <w:t>study</w:t>
      </w:r>
      <w:r>
        <w:rPr>
          <w:spacing w:val="-8"/>
        </w:rPr>
        <w:t> </w:t>
      </w:r>
      <w:r>
        <w:rPr/>
        <w:t>outcomes,</w:t>
      </w:r>
      <w:r>
        <w:rPr>
          <w:spacing w:val="-3"/>
        </w:rPr>
        <w:t> </w:t>
      </w:r>
      <w:r>
        <w:rPr/>
        <w:t>such</w:t>
      </w:r>
      <w:r>
        <w:rPr>
          <w:spacing w:val="-3"/>
        </w:rPr>
        <w:t> </w:t>
      </w:r>
      <w:r>
        <w:rPr/>
        <w:t>as</w:t>
      </w:r>
      <w:r>
        <w:rPr>
          <w:spacing w:val="-3"/>
        </w:rPr>
        <w:t> </w:t>
      </w:r>
      <w:r>
        <w:rPr/>
        <w:t>likelihood</w:t>
      </w:r>
      <w:r>
        <w:rPr>
          <w:spacing w:val="-3"/>
        </w:rPr>
        <w:t> </w:t>
      </w:r>
      <w:r>
        <w:rPr/>
        <w:t>of</w:t>
      </w:r>
      <w:r>
        <w:rPr>
          <w:spacing w:val="-4"/>
        </w:rPr>
        <w:t> </w:t>
      </w:r>
      <w:r>
        <w:rPr/>
        <w:t>enrollment and enrollment continuity, and various measures of access, utilization, and health outcomes, as appropriate and in alignment with applicable CMS evaluation guidance and technical</w:t>
      </w:r>
      <w:r>
        <w:rPr>
          <w:spacing w:val="-3"/>
        </w:rPr>
        <w:t> </w:t>
      </w:r>
      <w:r>
        <w:rPr/>
        <w:t>assistance,</w:t>
      </w:r>
      <w:r>
        <w:rPr>
          <w:spacing w:val="-3"/>
        </w:rPr>
        <w:t> </w:t>
      </w:r>
      <w:r>
        <w:rPr/>
        <w:t>for</w:t>
      </w:r>
      <w:r>
        <w:rPr>
          <w:spacing w:val="-4"/>
        </w:rPr>
        <w:t> </w:t>
      </w:r>
      <w:r>
        <w:rPr/>
        <w:t>the</w:t>
      </w:r>
      <w:r>
        <w:rPr>
          <w:spacing w:val="-4"/>
        </w:rPr>
        <w:t> </w:t>
      </w:r>
      <w:r>
        <w:rPr/>
        <w:t>demonstration</w:t>
      </w:r>
      <w:r>
        <w:rPr>
          <w:spacing w:val="-3"/>
        </w:rPr>
        <w:t> </w:t>
      </w:r>
      <w:r>
        <w:rPr/>
        <w:t>policy</w:t>
      </w:r>
      <w:r>
        <w:rPr>
          <w:spacing w:val="-6"/>
        </w:rPr>
        <w:t> </w:t>
      </w:r>
      <w:r>
        <w:rPr/>
        <w:t>components.</w:t>
      </w:r>
      <w:r>
        <w:rPr>
          <w:spacing w:val="40"/>
        </w:rPr>
        <w:t> </w:t>
      </w:r>
      <w:r>
        <w:rPr/>
        <w:t>Proposed</w:t>
      </w:r>
      <w:r>
        <w:rPr>
          <w:spacing w:val="-1"/>
        </w:rPr>
        <w:t> </w:t>
      </w:r>
      <w:r>
        <w:rPr/>
        <w:t>measures</w:t>
      </w:r>
      <w:r>
        <w:rPr>
          <w:spacing w:val="-3"/>
        </w:rPr>
        <w:t> </w:t>
      </w:r>
      <w:r>
        <w:rPr/>
        <w:t>should be selected from nationally-recognized sources and national measures sets, where possible. Measures sets could include CMS’s Core Set of Health Care Quality Measures for Children in Medicaid and CHIP, Consumer Assessment of Health Care Providers and Systems (CAHPS), the Core Set of Health Care Quality Measures for Medicaid-Eligible Adults,</w:t>
      </w:r>
      <w:r>
        <w:rPr>
          <w:spacing w:val="-4"/>
        </w:rPr>
        <w:t> </w:t>
      </w:r>
      <w:r>
        <w:rPr/>
        <w:t>the</w:t>
      </w:r>
      <w:r>
        <w:rPr>
          <w:spacing w:val="-5"/>
        </w:rPr>
        <w:t> </w:t>
      </w:r>
      <w:r>
        <w:rPr/>
        <w:t>Behavioral</w:t>
      </w:r>
      <w:r>
        <w:rPr>
          <w:spacing w:val="-4"/>
        </w:rPr>
        <w:t> </w:t>
      </w:r>
      <w:r>
        <w:rPr/>
        <w:t>Risk</w:t>
      </w:r>
      <w:r>
        <w:rPr>
          <w:spacing w:val="-4"/>
        </w:rPr>
        <w:t> </w:t>
      </w:r>
      <w:r>
        <w:rPr/>
        <w:t>Factor</w:t>
      </w:r>
      <w:r>
        <w:rPr>
          <w:spacing w:val="-5"/>
        </w:rPr>
        <w:t> </w:t>
      </w:r>
      <w:r>
        <w:rPr/>
        <w:t>Surveillance</w:t>
      </w:r>
      <w:r>
        <w:rPr>
          <w:spacing w:val="-5"/>
        </w:rPr>
        <w:t> </w:t>
      </w:r>
      <w:r>
        <w:rPr/>
        <w:t>System</w:t>
      </w:r>
      <w:r>
        <w:rPr>
          <w:spacing w:val="-4"/>
        </w:rPr>
        <w:t> </w:t>
      </w:r>
      <w:r>
        <w:rPr/>
        <w:t>(BRFSS)</w:t>
      </w:r>
      <w:r>
        <w:rPr>
          <w:spacing w:val="-5"/>
        </w:rPr>
        <w:t> </w:t>
      </w:r>
      <w:r>
        <w:rPr/>
        <w:t>survey,</w:t>
      </w:r>
      <w:r>
        <w:rPr>
          <w:spacing w:val="-2"/>
        </w:rPr>
        <w:t> </w:t>
      </w:r>
      <w:r>
        <w:rPr/>
        <w:t>and/or</w:t>
      </w:r>
      <w:r>
        <w:rPr>
          <w:spacing w:val="-5"/>
        </w:rPr>
        <w:t> </w:t>
      </w:r>
      <w:r>
        <w:rPr/>
        <w:t>measures endorsed by National Quality Forum (NQF).</w:t>
      </w:r>
    </w:p>
    <w:p>
      <w:pPr>
        <w:pStyle w:val="BodyText"/>
        <w:spacing w:before="10"/>
        <w:rPr>
          <w:sz w:val="20"/>
        </w:rPr>
      </w:pPr>
    </w:p>
    <w:p>
      <w:pPr>
        <w:pStyle w:val="BodyText"/>
        <w:ind w:left="871" w:right="1059"/>
      </w:pPr>
      <w:bookmarkStart w:name="CMS underscores the importance of the Co" w:id="959"/>
      <w:bookmarkEnd w:id="959"/>
      <w:r>
        <w:rPr/>
      </w:r>
      <w:r>
        <w:rPr/>
        <w:t>CMS underscores the importance of the Commonwealth undertaking a well-designed beneficiary</w:t>
      </w:r>
      <w:r>
        <w:rPr>
          <w:spacing w:val="-8"/>
        </w:rPr>
        <w:t> </w:t>
      </w:r>
      <w:r>
        <w:rPr/>
        <w:t>survey</w:t>
      </w:r>
      <w:r>
        <w:rPr>
          <w:spacing w:val="-6"/>
        </w:rPr>
        <w:t> </w:t>
      </w:r>
      <w:r>
        <w:rPr/>
        <w:t>and/or</w:t>
      </w:r>
      <w:r>
        <w:rPr>
          <w:spacing w:val="-2"/>
        </w:rPr>
        <w:t> </w:t>
      </w:r>
      <w:r>
        <w:rPr/>
        <w:t>interviews</w:t>
      </w:r>
      <w:r>
        <w:rPr>
          <w:spacing w:val="-3"/>
        </w:rPr>
        <w:t> </w:t>
      </w:r>
      <w:r>
        <w:rPr/>
        <w:t>to</w:t>
      </w:r>
      <w:r>
        <w:rPr>
          <w:spacing w:val="-3"/>
        </w:rPr>
        <w:t> </w:t>
      </w:r>
      <w:r>
        <w:rPr/>
        <w:t>assess,</w:t>
      </w:r>
      <w:r>
        <w:rPr>
          <w:spacing w:val="-3"/>
        </w:rPr>
        <w:t> </w:t>
      </w:r>
      <w:r>
        <w:rPr/>
        <w:t>for</w:t>
      </w:r>
      <w:r>
        <w:rPr>
          <w:spacing w:val="-2"/>
        </w:rPr>
        <w:t> </w:t>
      </w:r>
      <w:r>
        <w:rPr/>
        <w:t>instance,</w:t>
      </w:r>
      <w:r>
        <w:rPr>
          <w:spacing w:val="-3"/>
        </w:rPr>
        <w:t> </w:t>
      </w:r>
      <w:r>
        <w:rPr/>
        <w:t>beneficiary</w:t>
      </w:r>
      <w:r>
        <w:rPr>
          <w:spacing w:val="-8"/>
        </w:rPr>
        <w:t> </w:t>
      </w:r>
      <w:r>
        <w:rPr/>
        <w:t>understanding</w:t>
      </w:r>
      <w:r>
        <w:rPr>
          <w:spacing w:val="-6"/>
        </w:rPr>
        <w:t> </w:t>
      </w:r>
      <w:r>
        <w:rPr/>
        <w:t>of</w:t>
      </w:r>
    </w:p>
    <w:p>
      <w:pPr>
        <w:spacing w:after="0"/>
        <w:sectPr>
          <w:pgSz w:w="12240" w:h="15840"/>
          <w:pgMar w:header="0" w:footer="1201" w:top="1360" w:bottom="1400" w:left="1200" w:right="400"/>
        </w:sectPr>
      </w:pPr>
    </w:p>
    <w:p>
      <w:pPr>
        <w:pStyle w:val="BodyText"/>
        <w:spacing w:before="79"/>
        <w:ind w:left="871" w:right="1080"/>
      </w:pPr>
      <w:r>
        <w:rPr/>
        <w:t>and experience with the various demonstration policy components including premiums and</w:t>
      </w:r>
      <w:r>
        <w:rPr>
          <w:spacing w:val="-3"/>
        </w:rPr>
        <w:t> </w:t>
      </w:r>
      <w:r>
        <w:rPr/>
        <w:t>the</w:t>
      </w:r>
      <w:r>
        <w:rPr>
          <w:spacing w:val="-4"/>
        </w:rPr>
        <w:t> </w:t>
      </w:r>
      <w:r>
        <w:rPr/>
        <w:t>waiver</w:t>
      </w:r>
      <w:r>
        <w:rPr>
          <w:spacing w:val="-4"/>
        </w:rPr>
        <w:t> </w:t>
      </w:r>
      <w:r>
        <w:rPr/>
        <w:t>of</w:t>
      </w:r>
      <w:r>
        <w:rPr>
          <w:spacing w:val="-4"/>
        </w:rPr>
        <w:t> </w:t>
      </w:r>
      <w:r>
        <w:rPr/>
        <w:t>retroactive</w:t>
      </w:r>
      <w:r>
        <w:rPr>
          <w:spacing w:val="-4"/>
        </w:rPr>
        <w:t> </w:t>
      </w:r>
      <w:r>
        <w:rPr/>
        <w:t>eligibility,</w:t>
      </w:r>
      <w:r>
        <w:rPr>
          <w:spacing w:val="-3"/>
        </w:rPr>
        <w:t> </w:t>
      </w:r>
      <w:r>
        <w:rPr/>
        <w:t>beneficiary</w:t>
      </w:r>
      <w:r>
        <w:rPr>
          <w:spacing w:val="-6"/>
        </w:rPr>
        <w:t> </w:t>
      </w:r>
      <w:r>
        <w:rPr/>
        <w:t>experiences</w:t>
      </w:r>
      <w:r>
        <w:rPr>
          <w:spacing w:val="-3"/>
        </w:rPr>
        <w:t> </w:t>
      </w:r>
      <w:r>
        <w:rPr/>
        <w:t>with</w:t>
      </w:r>
      <w:r>
        <w:rPr>
          <w:spacing w:val="-3"/>
        </w:rPr>
        <w:t> </w:t>
      </w:r>
      <w:r>
        <w:rPr/>
        <w:t>access</w:t>
      </w:r>
      <w:r>
        <w:rPr>
          <w:spacing w:val="-3"/>
        </w:rPr>
        <w:t> </w:t>
      </w:r>
      <w:r>
        <w:rPr/>
        <w:t>to</w:t>
      </w:r>
      <w:r>
        <w:rPr>
          <w:spacing w:val="-3"/>
        </w:rPr>
        <w:t> </w:t>
      </w:r>
      <w:r>
        <w:rPr/>
        <w:t>and</w:t>
      </w:r>
      <w:r>
        <w:rPr>
          <w:spacing w:val="-3"/>
        </w:rPr>
        <w:t> </w:t>
      </w:r>
      <w:r>
        <w:rPr/>
        <w:t>quality of care, as well as changes in incidence of beneficiary</w:t>
      </w:r>
      <w:r>
        <w:rPr>
          <w:spacing w:val="-2"/>
        </w:rPr>
        <w:t> </w:t>
      </w:r>
      <w:r>
        <w:rPr/>
        <w:t>medical debt.</w:t>
      </w:r>
      <w:r>
        <w:rPr>
          <w:spacing w:val="40"/>
        </w:rPr>
        <w:t> </w:t>
      </w:r>
      <w:r>
        <w:rPr/>
        <w:t>The Commonwealth is also strongly</w:t>
      </w:r>
      <w:r>
        <w:rPr>
          <w:spacing w:val="-5"/>
        </w:rPr>
        <w:t> </w:t>
      </w:r>
      <w:r>
        <w:rPr/>
        <w:t>encouraged to evaluate</w:t>
      </w:r>
      <w:r>
        <w:rPr>
          <w:spacing w:val="-1"/>
        </w:rPr>
        <w:t> </w:t>
      </w:r>
      <w:r>
        <w:rPr/>
        <w:t>the</w:t>
      </w:r>
      <w:r>
        <w:rPr>
          <w:spacing w:val="-1"/>
        </w:rPr>
        <w:t> </w:t>
      </w:r>
      <w:r>
        <w:rPr/>
        <w:t>implementation of</w:t>
      </w:r>
      <w:r>
        <w:rPr>
          <w:spacing w:val="-1"/>
        </w:rPr>
        <w:t> </w:t>
      </w:r>
      <w:r>
        <w:rPr/>
        <w:t>the</w:t>
      </w:r>
      <w:r>
        <w:rPr>
          <w:spacing w:val="-1"/>
        </w:rPr>
        <w:t> </w:t>
      </w:r>
      <w:r>
        <w:rPr/>
        <w:t>demonstration programs in order to better understand whether implementation of certain key demonstration policies happened as envisioned during the demonstration design process and whether specific factors acted as facilitators of—or barriers to—successful implementation.</w:t>
      </w:r>
    </w:p>
    <w:p>
      <w:pPr>
        <w:pStyle w:val="BodyText"/>
        <w:ind w:left="871" w:right="1086"/>
      </w:pPr>
      <w:r>
        <w:rPr/>
        <w:t>Implementation research questions can also focus on beneficiary</w:t>
      </w:r>
      <w:r>
        <w:rPr>
          <w:spacing w:val="-5"/>
        </w:rPr>
        <w:t> </w:t>
      </w:r>
      <w:r>
        <w:rPr/>
        <w:t>and provider experience with</w:t>
      </w:r>
      <w:r>
        <w:rPr>
          <w:spacing w:val="-3"/>
        </w:rPr>
        <w:t> </w:t>
      </w:r>
      <w:r>
        <w:rPr/>
        <w:t>the</w:t>
      </w:r>
      <w:r>
        <w:rPr>
          <w:spacing w:val="-4"/>
        </w:rPr>
        <w:t> </w:t>
      </w:r>
      <w:r>
        <w:rPr/>
        <w:t>demonstration.</w:t>
      </w:r>
      <w:r>
        <w:rPr>
          <w:spacing w:val="40"/>
        </w:rPr>
        <w:t> </w:t>
      </w:r>
      <w:r>
        <w:rPr/>
        <w:t>The</w:t>
      </w:r>
      <w:r>
        <w:rPr>
          <w:spacing w:val="-4"/>
        </w:rPr>
        <w:t> </w:t>
      </w:r>
      <w:r>
        <w:rPr/>
        <w:t>implementation</w:t>
      </w:r>
      <w:r>
        <w:rPr>
          <w:spacing w:val="-3"/>
        </w:rPr>
        <w:t> </w:t>
      </w:r>
      <w:r>
        <w:rPr/>
        <w:t>evaluation</w:t>
      </w:r>
      <w:r>
        <w:rPr>
          <w:spacing w:val="-3"/>
        </w:rPr>
        <w:t> </w:t>
      </w:r>
      <w:r>
        <w:rPr/>
        <w:t>can</w:t>
      </w:r>
      <w:r>
        <w:rPr>
          <w:spacing w:val="-3"/>
        </w:rPr>
        <w:t> </w:t>
      </w:r>
      <w:r>
        <w:rPr/>
        <w:t>inform</w:t>
      </w:r>
      <w:r>
        <w:rPr>
          <w:spacing w:val="-3"/>
        </w:rPr>
        <w:t> </w:t>
      </w:r>
      <w:r>
        <w:rPr/>
        <w:t>the</w:t>
      </w:r>
      <w:r>
        <w:rPr>
          <w:spacing w:val="-4"/>
        </w:rPr>
        <w:t> </w:t>
      </w:r>
      <w:r>
        <w:rPr/>
        <w:t>Commonwealth’s crafting and selection of testable hypotheses and research questions for the demonstration’s outcome and impact evaluations and provide context for interpreting the findings.</w:t>
      </w:r>
      <w:r>
        <w:rPr>
          <w:spacing w:val="40"/>
        </w:rPr>
        <w:t> </w:t>
      </w:r>
      <w:r>
        <w:rPr/>
        <w:t>To</w:t>
      </w:r>
      <w:r>
        <w:rPr>
          <w:spacing w:val="-3"/>
        </w:rPr>
        <w:t> </w:t>
      </w:r>
      <w:r>
        <w:rPr/>
        <w:t>the</w:t>
      </w:r>
      <w:r>
        <w:rPr>
          <w:spacing w:val="-4"/>
        </w:rPr>
        <w:t> </w:t>
      </w:r>
      <w:r>
        <w:rPr/>
        <w:t>extent</w:t>
      </w:r>
      <w:r>
        <w:rPr>
          <w:spacing w:val="-3"/>
        </w:rPr>
        <w:t> </w:t>
      </w:r>
      <w:r>
        <w:rPr/>
        <w:t>feasible,</w:t>
      </w:r>
      <w:r>
        <w:rPr>
          <w:spacing w:val="-3"/>
        </w:rPr>
        <w:t> </w:t>
      </w:r>
      <w:r>
        <w:rPr/>
        <w:t>the</w:t>
      </w:r>
      <w:r>
        <w:rPr>
          <w:spacing w:val="-4"/>
        </w:rPr>
        <w:t> </w:t>
      </w:r>
      <w:r>
        <w:rPr/>
        <w:t>Commonwealth</w:t>
      </w:r>
      <w:r>
        <w:rPr>
          <w:spacing w:val="-3"/>
        </w:rPr>
        <w:t> </w:t>
      </w:r>
      <w:r>
        <w:rPr/>
        <w:t>must</w:t>
      </w:r>
      <w:r>
        <w:rPr>
          <w:spacing w:val="-3"/>
        </w:rPr>
        <w:t> </w:t>
      </w:r>
      <w:r>
        <w:rPr/>
        <w:t>collect</w:t>
      </w:r>
      <w:r>
        <w:rPr>
          <w:spacing w:val="-3"/>
        </w:rPr>
        <w:t> </w:t>
      </w:r>
      <w:r>
        <w:rPr/>
        <w:t>data</w:t>
      </w:r>
      <w:r>
        <w:rPr>
          <w:spacing w:val="-4"/>
        </w:rPr>
        <w:t> </w:t>
      </w:r>
      <w:r>
        <w:rPr/>
        <w:t>to</w:t>
      </w:r>
      <w:r>
        <w:rPr>
          <w:spacing w:val="-3"/>
        </w:rPr>
        <w:t> </w:t>
      </w:r>
      <w:r>
        <w:rPr/>
        <w:t>support</w:t>
      </w:r>
      <w:r>
        <w:rPr>
          <w:spacing w:val="-3"/>
        </w:rPr>
        <w:t> </w:t>
      </w:r>
      <w:r>
        <w:rPr/>
        <w:t>analyses stratified by key subpopulations of interest (e.g., by sex, age, race/ethnicity, primary language, disability status, and geography).</w:t>
      </w:r>
      <w:r>
        <w:rPr>
          <w:spacing w:val="40"/>
        </w:rPr>
        <w:t> </w:t>
      </w:r>
      <w:r>
        <w:rPr/>
        <w:t>Such stratified data analyses will provide a fuller understanding of existing disparities in access to and quality of care and health outcomes, and help inform how the demonstration’s various policies might support reducing such disparities.</w:t>
      </w:r>
    </w:p>
    <w:p>
      <w:pPr>
        <w:pStyle w:val="BodyText"/>
        <w:spacing w:before="10"/>
        <w:rPr>
          <w:sz w:val="20"/>
        </w:rPr>
      </w:pPr>
    </w:p>
    <w:p>
      <w:pPr>
        <w:pStyle w:val="BodyText"/>
        <w:ind w:left="871" w:right="1141"/>
      </w:pPr>
      <w:bookmarkStart w:name="As part of its evaluation efforts, the C" w:id="960"/>
      <w:bookmarkEnd w:id="960"/>
      <w:r>
        <w:rPr/>
      </w:r>
      <w:r>
        <w:rPr/>
        <w:t>As part of its evaluation efforts, the Commonwealth must conduct a demonstration cost assessment to include, but not be limited to, administrative costs of demonstration implementation and operation, Medicaid health services expenditures, and provider uncompensated</w:t>
      </w:r>
      <w:r>
        <w:rPr>
          <w:spacing w:val="-3"/>
        </w:rPr>
        <w:t> </w:t>
      </w:r>
      <w:r>
        <w:rPr/>
        <w:t>care</w:t>
      </w:r>
      <w:r>
        <w:rPr>
          <w:spacing w:val="-4"/>
        </w:rPr>
        <w:t> </w:t>
      </w:r>
      <w:r>
        <w:rPr/>
        <w:t>costs.</w:t>
      </w:r>
      <w:r>
        <w:rPr>
          <w:spacing w:val="40"/>
        </w:rPr>
        <w:t> </w:t>
      </w:r>
      <w:r>
        <w:rPr/>
        <w:t>The</w:t>
      </w:r>
      <w:r>
        <w:rPr>
          <w:spacing w:val="-4"/>
        </w:rPr>
        <w:t> </w:t>
      </w:r>
      <w:r>
        <w:rPr/>
        <w:t>Commonwealth</w:t>
      </w:r>
      <w:r>
        <w:rPr>
          <w:spacing w:val="-3"/>
        </w:rPr>
        <w:t> </w:t>
      </w:r>
      <w:r>
        <w:rPr/>
        <w:t>must</w:t>
      </w:r>
      <w:r>
        <w:rPr>
          <w:spacing w:val="-3"/>
        </w:rPr>
        <w:t> </w:t>
      </w:r>
      <w:r>
        <w:rPr/>
        <w:t>analyze</w:t>
      </w:r>
      <w:r>
        <w:rPr>
          <w:spacing w:val="-4"/>
        </w:rPr>
        <w:t> </w:t>
      </w:r>
      <w:r>
        <w:rPr/>
        <w:t>the</w:t>
      </w:r>
      <w:r>
        <w:rPr>
          <w:spacing w:val="-4"/>
        </w:rPr>
        <w:t> </w:t>
      </w:r>
      <w:r>
        <w:rPr/>
        <w:t>budgetary</w:t>
      </w:r>
      <w:r>
        <w:rPr>
          <w:spacing w:val="-6"/>
        </w:rPr>
        <w:t> </w:t>
      </w:r>
      <w:r>
        <w:rPr/>
        <w:t>effects</w:t>
      </w:r>
      <w:r>
        <w:rPr>
          <w:spacing w:val="-3"/>
        </w:rPr>
        <w:t> </w:t>
      </w:r>
      <w:r>
        <w:rPr/>
        <w:t>of</w:t>
      </w:r>
      <w:r>
        <w:rPr>
          <w:spacing w:val="-4"/>
        </w:rPr>
        <w:t> </w:t>
      </w:r>
      <w:r>
        <w:rPr/>
        <w:t>the HRSN services, and the overall medical assistance service expenditures and uncompensated care and associated costs for populations eligible for continuous eligibility, including in comparison to populations not eligible for such policies.</w:t>
      </w:r>
      <w:r>
        <w:rPr>
          <w:spacing w:val="40"/>
        </w:rPr>
        <w:t> </w:t>
      </w:r>
      <w:r>
        <w:rPr/>
        <w:t>In addition, the Commonwealth must use findings from hypothesis tests aligned with other demonstration goals and cost analyses to assess the demonstration’s effects on the fiscal sustainability of the Commonwealth’s Medicaid program.</w:t>
      </w:r>
    </w:p>
    <w:p>
      <w:pPr>
        <w:pStyle w:val="BodyText"/>
        <w:spacing w:before="10"/>
        <w:rPr>
          <w:sz w:val="20"/>
        </w:rPr>
      </w:pPr>
    </w:p>
    <w:p>
      <w:pPr>
        <w:pStyle w:val="BodyText"/>
        <w:spacing w:before="1"/>
        <w:ind w:left="871" w:right="1059"/>
      </w:pPr>
      <w:bookmarkStart w:name="The Commonwealth must develop evaluation" w:id="961"/>
      <w:bookmarkEnd w:id="961"/>
      <w:r>
        <w:rPr/>
      </w:r>
      <w:r>
        <w:rPr/>
        <w:t>The</w:t>
      </w:r>
      <w:r>
        <w:rPr>
          <w:spacing w:val="-6"/>
        </w:rPr>
        <w:t> </w:t>
      </w:r>
      <w:r>
        <w:rPr/>
        <w:t>Commonwealth</w:t>
      </w:r>
      <w:r>
        <w:rPr>
          <w:spacing w:val="-5"/>
        </w:rPr>
        <w:t> </w:t>
      </w:r>
      <w:r>
        <w:rPr/>
        <w:t>must</w:t>
      </w:r>
      <w:r>
        <w:rPr>
          <w:spacing w:val="-5"/>
        </w:rPr>
        <w:t> </w:t>
      </w:r>
      <w:r>
        <w:rPr/>
        <w:t>develop</w:t>
      </w:r>
      <w:r>
        <w:rPr>
          <w:spacing w:val="-5"/>
        </w:rPr>
        <w:t> </w:t>
      </w:r>
      <w:r>
        <w:rPr/>
        <w:t>evaluation</w:t>
      </w:r>
      <w:r>
        <w:rPr>
          <w:spacing w:val="-5"/>
        </w:rPr>
        <w:t> </w:t>
      </w:r>
      <w:r>
        <w:rPr/>
        <w:t>questions</w:t>
      </w:r>
      <w:r>
        <w:rPr>
          <w:spacing w:val="-5"/>
        </w:rPr>
        <w:t> </w:t>
      </w:r>
      <w:r>
        <w:rPr/>
        <w:t>and</w:t>
      </w:r>
      <w:r>
        <w:rPr>
          <w:spacing w:val="-5"/>
        </w:rPr>
        <w:t> </w:t>
      </w:r>
      <w:r>
        <w:rPr/>
        <w:t>hypotheses</w:t>
      </w:r>
      <w:r>
        <w:rPr>
          <w:spacing w:val="-3"/>
        </w:rPr>
        <w:t> </w:t>
      </w:r>
      <w:r>
        <w:rPr/>
        <w:t>related</w:t>
      </w:r>
      <w:r>
        <w:rPr>
          <w:spacing w:val="-5"/>
        </w:rPr>
        <w:t> </w:t>
      </w:r>
      <w:r>
        <w:rPr/>
        <w:t>to</w:t>
      </w:r>
      <w:r>
        <w:rPr>
          <w:spacing w:val="-5"/>
        </w:rPr>
        <w:t> </w:t>
      </w:r>
      <w:r>
        <w:rPr/>
        <w:t>each demonstration component.</w:t>
      </w:r>
      <w:r>
        <w:rPr>
          <w:spacing w:val="40"/>
        </w:rPr>
        <w:t> </w:t>
      </w:r>
      <w:r>
        <w:rPr/>
        <w:t>Examples include, but are not limited to:</w:t>
      </w:r>
    </w:p>
    <w:p>
      <w:pPr>
        <w:pStyle w:val="BodyText"/>
        <w:spacing w:before="9"/>
        <w:rPr>
          <w:sz w:val="20"/>
        </w:rPr>
      </w:pPr>
    </w:p>
    <w:p>
      <w:pPr>
        <w:pStyle w:val="BodyText"/>
        <w:spacing w:before="1"/>
        <w:ind w:left="1411" w:right="1059"/>
      </w:pPr>
      <w:r>
        <w:rPr/>
        <w:drawing>
          <wp:anchor distT="0" distB="0" distL="0" distR="0" allowOverlap="1" layoutInCell="1" locked="0" behindDoc="0" simplePos="0" relativeHeight="16061952">
            <wp:simplePos x="0" y="0"/>
            <wp:positionH relativeFrom="page">
              <wp:posOffset>1431036</wp:posOffset>
            </wp:positionH>
            <wp:positionV relativeFrom="paragraph">
              <wp:posOffset>68238</wp:posOffset>
            </wp:positionV>
            <wp:extent cx="96011" cy="80771"/>
            <wp:effectExtent l="0" t="0" r="0" b="0"/>
            <wp:wrapNone/>
            <wp:docPr id="663" name="Image 663"/>
            <wp:cNvGraphicFramePr>
              <a:graphicFrameLocks/>
            </wp:cNvGraphicFramePr>
            <a:graphic>
              <a:graphicData uri="http://schemas.openxmlformats.org/drawingml/2006/picture">
                <pic:pic>
                  <pic:nvPicPr>
                    <pic:cNvPr id="663" name="Image 663"/>
                    <pic:cNvPicPr/>
                  </pic:nvPicPr>
                  <pic:blipFill>
                    <a:blip r:embed="rId40" cstate="print"/>
                    <a:stretch>
                      <a:fillRect/>
                    </a:stretch>
                  </pic:blipFill>
                  <pic:spPr>
                    <a:xfrm>
                      <a:off x="0" y="0"/>
                      <a:ext cx="96011" cy="80771"/>
                    </a:xfrm>
                    <a:prstGeom prst="rect">
                      <a:avLst/>
                    </a:prstGeom>
                  </pic:spPr>
                </pic:pic>
              </a:graphicData>
            </a:graphic>
          </wp:anchor>
        </w:drawing>
      </w:r>
      <w:bookmarkStart w:name="a. SUD Treatments. Hypotheses for the SU" w:id="962"/>
      <w:bookmarkEnd w:id="962"/>
      <w:r>
        <w:rPr/>
      </w:r>
      <w:r>
        <w:rPr>
          <w:b/>
        </w:rPr>
        <w:t>SUD Treatments. </w:t>
      </w:r>
      <w:r>
        <w:rPr/>
        <w:t>Hypotheses for the SUD program must include an assessment of the objectives of the SUD component of this section 1115 demonstration. Examples include</w:t>
      </w:r>
      <w:r>
        <w:rPr>
          <w:spacing w:val="-5"/>
        </w:rPr>
        <w:t> </w:t>
      </w:r>
      <w:r>
        <w:rPr/>
        <w:t>(but</w:t>
      </w:r>
      <w:r>
        <w:rPr>
          <w:spacing w:val="-4"/>
        </w:rPr>
        <w:t> </w:t>
      </w:r>
      <w:r>
        <w:rPr/>
        <w:t>are</w:t>
      </w:r>
      <w:r>
        <w:rPr>
          <w:spacing w:val="-5"/>
        </w:rPr>
        <w:t> </w:t>
      </w:r>
      <w:r>
        <w:rPr/>
        <w:t>not</w:t>
      </w:r>
      <w:r>
        <w:rPr>
          <w:spacing w:val="-4"/>
        </w:rPr>
        <w:t> </w:t>
      </w:r>
      <w:r>
        <w:rPr/>
        <w:t>limited</w:t>
      </w:r>
      <w:r>
        <w:rPr>
          <w:spacing w:val="-4"/>
        </w:rPr>
        <w:t> </w:t>
      </w:r>
      <w:r>
        <w:rPr/>
        <w:t>to):</w:t>
      </w:r>
      <w:r>
        <w:rPr>
          <w:spacing w:val="-4"/>
        </w:rPr>
        <w:t> </w:t>
      </w:r>
      <w:r>
        <w:rPr/>
        <w:t>initiation</w:t>
      </w:r>
      <w:r>
        <w:rPr>
          <w:spacing w:val="-4"/>
        </w:rPr>
        <w:t> </w:t>
      </w:r>
      <w:r>
        <w:rPr/>
        <w:t>and</w:t>
      </w:r>
      <w:r>
        <w:rPr>
          <w:spacing w:val="-4"/>
        </w:rPr>
        <w:t> </w:t>
      </w:r>
      <w:r>
        <w:rPr/>
        <w:t>engagement</w:t>
      </w:r>
      <w:r>
        <w:rPr>
          <w:spacing w:val="-4"/>
        </w:rPr>
        <w:t> </w:t>
      </w:r>
      <w:r>
        <w:rPr/>
        <w:t>with</w:t>
      </w:r>
      <w:r>
        <w:rPr>
          <w:spacing w:val="-4"/>
        </w:rPr>
        <w:t> </w:t>
      </w:r>
      <w:r>
        <w:rPr/>
        <w:t>treatment,</w:t>
      </w:r>
      <w:r>
        <w:rPr>
          <w:spacing w:val="-2"/>
        </w:rPr>
        <w:t> </w:t>
      </w:r>
      <w:r>
        <w:rPr/>
        <w:t>utilization of health services (emergency department and inpatient hospital settings), and a reduction in key outcomes, such as deaths due to overdose.</w:t>
      </w:r>
    </w:p>
    <w:p>
      <w:pPr>
        <w:pStyle w:val="BodyText"/>
        <w:spacing w:before="10"/>
        <w:rPr>
          <w:sz w:val="20"/>
        </w:rPr>
      </w:pPr>
    </w:p>
    <w:p>
      <w:pPr>
        <w:pStyle w:val="BodyText"/>
        <w:ind w:left="1411" w:right="1086"/>
      </w:pPr>
      <w:r>
        <w:rPr/>
        <w:drawing>
          <wp:anchor distT="0" distB="0" distL="0" distR="0" allowOverlap="1" layoutInCell="1" locked="0" behindDoc="0" simplePos="0" relativeHeight="16062464">
            <wp:simplePos x="0" y="0"/>
            <wp:positionH relativeFrom="page">
              <wp:posOffset>1424939</wp:posOffset>
            </wp:positionH>
            <wp:positionV relativeFrom="paragraph">
              <wp:posOffset>32551</wp:posOffset>
            </wp:positionV>
            <wp:extent cx="111251" cy="115823"/>
            <wp:effectExtent l="0" t="0" r="0" b="0"/>
            <wp:wrapNone/>
            <wp:docPr id="664" name="Image 664"/>
            <wp:cNvGraphicFramePr>
              <a:graphicFrameLocks/>
            </wp:cNvGraphicFramePr>
            <a:graphic>
              <a:graphicData uri="http://schemas.openxmlformats.org/drawingml/2006/picture">
                <pic:pic>
                  <pic:nvPicPr>
                    <pic:cNvPr id="664" name="Image 664"/>
                    <pic:cNvPicPr/>
                  </pic:nvPicPr>
                  <pic:blipFill>
                    <a:blip r:embed="rId34" cstate="print"/>
                    <a:stretch>
                      <a:fillRect/>
                    </a:stretch>
                  </pic:blipFill>
                  <pic:spPr>
                    <a:xfrm>
                      <a:off x="0" y="0"/>
                      <a:ext cx="111251" cy="115823"/>
                    </a:xfrm>
                    <a:prstGeom prst="rect">
                      <a:avLst/>
                    </a:prstGeom>
                  </pic:spPr>
                </pic:pic>
              </a:graphicData>
            </a:graphic>
          </wp:anchor>
        </w:drawing>
      </w:r>
      <w:bookmarkStart w:name="b. SMI Services. Hypotheses for the SMI " w:id="963"/>
      <w:bookmarkEnd w:id="963"/>
      <w:r>
        <w:rPr/>
      </w:r>
      <w:r>
        <w:rPr>
          <w:b/>
        </w:rPr>
        <w:t>SMI Services. </w:t>
      </w:r>
      <w:r>
        <w:rPr/>
        <w:t>Hypotheses for the SMI program must include an assessment of the objectives</w:t>
      </w:r>
      <w:r>
        <w:rPr>
          <w:spacing w:val="-3"/>
        </w:rPr>
        <w:t> </w:t>
      </w:r>
      <w:r>
        <w:rPr/>
        <w:t>of</w:t>
      </w:r>
      <w:r>
        <w:rPr>
          <w:spacing w:val="-4"/>
        </w:rPr>
        <w:t> </w:t>
      </w:r>
      <w:r>
        <w:rPr/>
        <w:t>the</w:t>
      </w:r>
      <w:r>
        <w:rPr>
          <w:spacing w:val="-4"/>
        </w:rPr>
        <w:t> </w:t>
      </w:r>
      <w:r>
        <w:rPr/>
        <w:t>SMI</w:t>
      </w:r>
      <w:r>
        <w:rPr>
          <w:spacing w:val="-7"/>
        </w:rPr>
        <w:t> </w:t>
      </w:r>
      <w:r>
        <w:rPr/>
        <w:t>component</w:t>
      </w:r>
      <w:r>
        <w:rPr>
          <w:spacing w:val="-3"/>
        </w:rPr>
        <w:t> </w:t>
      </w:r>
      <w:r>
        <w:rPr/>
        <w:t>of</w:t>
      </w:r>
      <w:r>
        <w:rPr>
          <w:spacing w:val="-4"/>
        </w:rPr>
        <w:t> </w:t>
      </w:r>
      <w:r>
        <w:rPr/>
        <w:t>this</w:t>
      </w:r>
      <w:r>
        <w:rPr>
          <w:spacing w:val="-3"/>
        </w:rPr>
        <w:t> </w:t>
      </w:r>
      <w:r>
        <w:rPr/>
        <w:t>1115</w:t>
      </w:r>
      <w:r>
        <w:rPr>
          <w:spacing w:val="-3"/>
        </w:rPr>
        <w:t> </w:t>
      </w:r>
      <w:r>
        <w:rPr/>
        <w:t>demonstration.</w:t>
      </w:r>
      <w:r>
        <w:rPr>
          <w:spacing w:val="-3"/>
        </w:rPr>
        <w:t> </w:t>
      </w:r>
      <w:r>
        <w:rPr/>
        <w:t>Examples</w:t>
      </w:r>
      <w:r>
        <w:rPr>
          <w:spacing w:val="-3"/>
        </w:rPr>
        <w:t> </w:t>
      </w:r>
      <w:r>
        <w:rPr/>
        <w:t>include</w:t>
      </w:r>
      <w:r>
        <w:rPr>
          <w:spacing w:val="-4"/>
        </w:rPr>
        <w:t> </w:t>
      </w:r>
      <w:r>
        <w:rPr/>
        <w:t>(but are not limited to): utilization and length of stay in emergency departments, reductions in preventable readmissions to acute care hospitals and residential settings, availability of crisis stabilization services, and care coordination.</w:t>
      </w:r>
    </w:p>
    <w:p>
      <w:pPr>
        <w:pStyle w:val="BodyText"/>
        <w:spacing w:before="10"/>
        <w:rPr>
          <w:sz w:val="20"/>
        </w:rPr>
      </w:pPr>
    </w:p>
    <w:p>
      <w:pPr>
        <w:spacing w:before="0"/>
        <w:ind w:left="1411" w:right="1059" w:firstLine="0"/>
        <w:jc w:val="left"/>
        <w:rPr>
          <w:sz w:val="24"/>
        </w:rPr>
      </w:pPr>
      <w:r>
        <w:rPr/>
        <w:drawing>
          <wp:anchor distT="0" distB="0" distL="0" distR="0" allowOverlap="1" layoutInCell="1" locked="0" behindDoc="0" simplePos="0" relativeHeight="16062976">
            <wp:simplePos x="0" y="0"/>
            <wp:positionH relativeFrom="page">
              <wp:posOffset>1431036</wp:posOffset>
            </wp:positionH>
            <wp:positionV relativeFrom="paragraph">
              <wp:posOffset>67603</wp:posOffset>
            </wp:positionV>
            <wp:extent cx="96011" cy="80771"/>
            <wp:effectExtent l="0" t="0" r="0" b="0"/>
            <wp:wrapNone/>
            <wp:docPr id="665" name="Image 665"/>
            <wp:cNvGraphicFramePr>
              <a:graphicFrameLocks/>
            </wp:cNvGraphicFramePr>
            <a:graphic>
              <a:graphicData uri="http://schemas.openxmlformats.org/drawingml/2006/picture">
                <pic:pic>
                  <pic:nvPicPr>
                    <pic:cNvPr id="665" name="Image 665"/>
                    <pic:cNvPicPr/>
                  </pic:nvPicPr>
                  <pic:blipFill>
                    <a:blip r:embed="rId35" cstate="print"/>
                    <a:stretch>
                      <a:fillRect/>
                    </a:stretch>
                  </pic:blipFill>
                  <pic:spPr>
                    <a:xfrm>
                      <a:off x="0" y="0"/>
                      <a:ext cx="96011" cy="80771"/>
                    </a:xfrm>
                    <a:prstGeom prst="rect">
                      <a:avLst/>
                    </a:prstGeom>
                  </pic:spPr>
                </pic:pic>
              </a:graphicData>
            </a:graphic>
          </wp:anchor>
        </w:drawing>
      </w:r>
      <w:bookmarkStart w:name="c. Hospital Quality and Equity Initiativ" w:id="964"/>
      <w:bookmarkEnd w:id="964"/>
      <w:r>
        <w:rPr/>
      </w:r>
      <w:r>
        <w:rPr>
          <w:b/>
          <w:sz w:val="24"/>
        </w:rPr>
        <w:t>Hospital Quality and Equity Initiative. </w:t>
      </w:r>
      <w:r>
        <w:rPr>
          <w:sz w:val="24"/>
        </w:rPr>
        <w:t>The Commonwealth’s evaluation efforts must</w:t>
      </w:r>
      <w:r>
        <w:rPr>
          <w:spacing w:val="-4"/>
          <w:sz w:val="24"/>
        </w:rPr>
        <w:t> </w:t>
      </w:r>
      <w:r>
        <w:rPr>
          <w:sz w:val="24"/>
        </w:rPr>
        <w:t>also</w:t>
      </w:r>
      <w:r>
        <w:rPr>
          <w:spacing w:val="-4"/>
          <w:sz w:val="24"/>
        </w:rPr>
        <w:t> </w:t>
      </w:r>
      <w:r>
        <w:rPr>
          <w:sz w:val="24"/>
        </w:rPr>
        <w:t>include</w:t>
      </w:r>
      <w:r>
        <w:rPr>
          <w:spacing w:val="-5"/>
          <w:sz w:val="24"/>
        </w:rPr>
        <w:t> </w:t>
      </w:r>
      <w:r>
        <w:rPr>
          <w:sz w:val="24"/>
        </w:rPr>
        <w:t>developing</w:t>
      </w:r>
      <w:r>
        <w:rPr>
          <w:spacing w:val="-7"/>
          <w:sz w:val="24"/>
        </w:rPr>
        <w:t> </w:t>
      </w:r>
      <w:r>
        <w:rPr>
          <w:sz w:val="24"/>
        </w:rPr>
        <w:t>thoughtful</w:t>
      </w:r>
      <w:r>
        <w:rPr>
          <w:spacing w:val="-4"/>
          <w:sz w:val="24"/>
        </w:rPr>
        <w:t> </w:t>
      </w:r>
      <w:r>
        <w:rPr>
          <w:sz w:val="24"/>
        </w:rPr>
        <w:t>hypotheses</w:t>
      </w:r>
      <w:r>
        <w:rPr>
          <w:spacing w:val="-4"/>
          <w:sz w:val="24"/>
        </w:rPr>
        <w:t> </w:t>
      </w:r>
      <w:r>
        <w:rPr>
          <w:sz w:val="24"/>
        </w:rPr>
        <w:t>and</w:t>
      </w:r>
      <w:r>
        <w:rPr>
          <w:spacing w:val="-4"/>
          <w:sz w:val="24"/>
        </w:rPr>
        <w:t> </w:t>
      </w:r>
      <w:r>
        <w:rPr>
          <w:sz w:val="24"/>
        </w:rPr>
        <w:t>research</w:t>
      </w:r>
      <w:r>
        <w:rPr>
          <w:spacing w:val="-4"/>
          <w:sz w:val="24"/>
        </w:rPr>
        <w:t> </w:t>
      </w:r>
      <w:r>
        <w:rPr>
          <w:sz w:val="24"/>
        </w:rPr>
        <w:t>questions</w:t>
      </w:r>
      <w:r>
        <w:rPr>
          <w:spacing w:val="-2"/>
          <w:sz w:val="24"/>
        </w:rPr>
        <w:t> </w:t>
      </w:r>
      <w:r>
        <w:rPr>
          <w:sz w:val="24"/>
        </w:rPr>
        <w:t>to</w:t>
      </w:r>
      <w:r>
        <w:rPr>
          <w:spacing w:val="-4"/>
          <w:sz w:val="24"/>
        </w:rPr>
        <w:t> </w:t>
      </w:r>
      <w:r>
        <w:rPr>
          <w:sz w:val="24"/>
        </w:rPr>
        <w:t>assess</w:t>
      </w:r>
    </w:p>
    <w:p>
      <w:pPr>
        <w:spacing w:after="0"/>
        <w:jc w:val="left"/>
        <w:rPr>
          <w:sz w:val="24"/>
        </w:rPr>
        <w:sectPr>
          <w:pgSz w:w="12240" w:h="15840"/>
          <w:pgMar w:header="0" w:footer="1201" w:top="1360" w:bottom="1400" w:left="1200" w:right="400"/>
        </w:sectPr>
      </w:pPr>
    </w:p>
    <w:p>
      <w:pPr>
        <w:pStyle w:val="BodyText"/>
        <w:spacing w:before="79"/>
        <w:ind w:left="1411" w:right="1064"/>
      </w:pPr>
      <w:r>
        <w:rPr/>
        <w:t>the effectiveness of the Hospital Quality and Equity Initiative in ensuring provision of consistent high-quality care to all beneficaries, and must provide evidence of the Commonwealth’s efforts to collect stratified data for selected performance</w:t>
      </w:r>
      <w:r>
        <w:rPr>
          <w:spacing w:val="40"/>
        </w:rPr>
        <w:t> </w:t>
      </w:r>
      <w:r>
        <w:rPr/>
        <w:t>measures.</w:t>
      </w:r>
      <w:r>
        <w:rPr>
          <w:spacing w:val="80"/>
        </w:rPr>
        <w:t> </w:t>
      </w:r>
      <w:r>
        <w:rPr/>
        <w:t>The evaluation of the Initiative must also include robust analyses that help</w:t>
      </w:r>
      <w:r>
        <w:rPr>
          <w:spacing w:val="-3"/>
        </w:rPr>
        <w:t> </w:t>
      </w:r>
      <w:r>
        <w:rPr/>
        <w:t>demonstrate</w:t>
      </w:r>
      <w:r>
        <w:rPr>
          <w:spacing w:val="-4"/>
        </w:rPr>
        <w:t> </w:t>
      </w:r>
      <w:r>
        <w:rPr/>
        <w:t>whether</w:t>
      </w:r>
      <w:r>
        <w:rPr>
          <w:spacing w:val="-4"/>
        </w:rPr>
        <w:t> </w:t>
      </w:r>
      <w:r>
        <w:rPr/>
        <w:t>the</w:t>
      </w:r>
      <w:r>
        <w:rPr>
          <w:spacing w:val="-4"/>
        </w:rPr>
        <w:t> </w:t>
      </w:r>
      <w:r>
        <w:rPr/>
        <w:t>Commonwealth</w:t>
      </w:r>
      <w:r>
        <w:rPr>
          <w:spacing w:val="-3"/>
        </w:rPr>
        <w:t> </w:t>
      </w:r>
      <w:r>
        <w:rPr/>
        <w:t>is</w:t>
      </w:r>
      <w:r>
        <w:rPr>
          <w:spacing w:val="-3"/>
        </w:rPr>
        <w:t> </w:t>
      </w:r>
      <w:r>
        <w:rPr/>
        <w:t>succeeding</w:t>
      </w:r>
      <w:r>
        <w:rPr>
          <w:spacing w:val="-6"/>
        </w:rPr>
        <w:t> </w:t>
      </w:r>
      <w:r>
        <w:rPr/>
        <w:t>in</w:t>
      </w:r>
      <w:r>
        <w:rPr>
          <w:spacing w:val="-3"/>
        </w:rPr>
        <w:t> </w:t>
      </w:r>
      <w:r>
        <w:rPr/>
        <w:t>improving</w:t>
      </w:r>
      <w:r>
        <w:rPr>
          <w:spacing w:val="-6"/>
        </w:rPr>
        <w:t> </w:t>
      </w:r>
      <w:r>
        <w:rPr/>
        <w:t>the</w:t>
      </w:r>
      <w:r>
        <w:rPr>
          <w:spacing w:val="-4"/>
        </w:rPr>
        <w:t> </w:t>
      </w:r>
      <w:r>
        <w:rPr/>
        <w:t>quality and completeness of reporting on stratified data elements.</w:t>
      </w:r>
    </w:p>
    <w:p>
      <w:pPr>
        <w:pStyle w:val="BodyText"/>
        <w:spacing w:before="10"/>
        <w:rPr>
          <w:sz w:val="20"/>
        </w:rPr>
      </w:pPr>
    </w:p>
    <w:p>
      <w:pPr>
        <w:pStyle w:val="BodyText"/>
        <w:ind w:left="1411" w:right="1059"/>
      </w:pPr>
      <w:r>
        <w:rPr/>
        <w:drawing>
          <wp:anchor distT="0" distB="0" distL="0" distR="0" allowOverlap="1" layoutInCell="1" locked="0" behindDoc="0" simplePos="0" relativeHeight="16063488">
            <wp:simplePos x="0" y="0"/>
            <wp:positionH relativeFrom="page">
              <wp:posOffset>1431036</wp:posOffset>
            </wp:positionH>
            <wp:positionV relativeFrom="paragraph">
              <wp:posOffset>32551</wp:posOffset>
            </wp:positionV>
            <wp:extent cx="105155" cy="115823"/>
            <wp:effectExtent l="0" t="0" r="0" b="0"/>
            <wp:wrapNone/>
            <wp:docPr id="666" name="Image 666"/>
            <wp:cNvGraphicFramePr>
              <a:graphicFrameLocks/>
            </wp:cNvGraphicFramePr>
            <a:graphic>
              <a:graphicData uri="http://schemas.openxmlformats.org/drawingml/2006/picture">
                <pic:pic>
                  <pic:nvPicPr>
                    <pic:cNvPr id="666" name="Image 666"/>
                    <pic:cNvPicPr/>
                  </pic:nvPicPr>
                  <pic:blipFill>
                    <a:blip r:embed="rId36" cstate="print"/>
                    <a:stretch>
                      <a:fillRect/>
                    </a:stretch>
                  </pic:blipFill>
                  <pic:spPr>
                    <a:xfrm>
                      <a:off x="0" y="0"/>
                      <a:ext cx="105155" cy="115823"/>
                    </a:xfrm>
                    <a:prstGeom prst="rect">
                      <a:avLst/>
                    </a:prstGeom>
                  </pic:spPr>
                </pic:pic>
              </a:graphicData>
            </a:graphic>
          </wp:anchor>
        </w:drawing>
      </w:r>
      <w:bookmarkStart w:name="d. Workforce Development. The Commonweal" w:id="965"/>
      <w:bookmarkEnd w:id="965"/>
      <w:r>
        <w:rPr/>
      </w:r>
      <w:r>
        <w:rPr>
          <w:b/>
        </w:rPr>
        <w:t>Workforce Development. </w:t>
      </w:r>
      <w:r>
        <w:rPr/>
        <w:t>The Commonwealth must evaluate whether the targeted loan repayment and residency grant programs, and any other authorized workforce initiatives</w:t>
      </w:r>
      <w:r>
        <w:rPr>
          <w:spacing w:val="-4"/>
        </w:rPr>
        <w:t> </w:t>
      </w:r>
      <w:r>
        <w:rPr/>
        <w:t>under</w:t>
      </w:r>
      <w:r>
        <w:rPr>
          <w:spacing w:val="-5"/>
        </w:rPr>
        <w:t> </w:t>
      </w:r>
      <w:r>
        <w:rPr/>
        <w:t>the</w:t>
      </w:r>
      <w:r>
        <w:rPr>
          <w:spacing w:val="-5"/>
        </w:rPr>
        <w:t> </w:t>
      </w:r>
      <w:r>
        <w:rPr/>
        <w:t>demonstration,</w:t>
      </w:r>
      <w:r>
        <w:rPr>
          <w:spacing w:val="-4"/>
        </w:rPr>
        <w:t> </w:t>
      </w:r>
      <w:r>
        <w:rPr/>
        <w:t>improve</w:t>
      </w:r>
      <w:r>
        <w:rPr>
          <w:spacing w:val="-5"/>
        </w:rPr>
        <w:t> </w:t>
      </w:r>
      <w:r>
        <w:rPr/>
        <w:t>access</w:t>
      </w:r>
      <w:r>
        <w:rPr>
          <w:spacing w:val="-4"/>
        </w:rPr>
        <w:t> </w:t>
      </w:r>
      <w:r>
        <w:rPr/>
        <w:t>to</w:t>
      </w:r>
      <w:r>
        <w:rPr>
          <w:spacing w:val="-4"/>
        </w:rPr>
        <w:t> </w:t>
      </w:r>
      <w:r>
        <w:rPr/>
        <w:t>covered</w:t>
      </w:r>
      <w:r>
        <w:rPr>
          <w:spacing w:val="-5"/>
        </w:rPr>
        <w:t> </w:t>
      </w:r>
      <w:r>
        <w:rPr/>
        <w:t>services</w:t>
      </w:r>
      <w:r>
        <w:rPr>
          <w:spacing w:val="-2"/>
        </w:rPr>
        <w:t> </w:t>
      </w:r>
      <w:r>
        <w:rPr/>
        <w:t>for</w:t>
      </w:r>
      <w:r>
        <w:rPr>
          <w:spacing w:val="-3"/>
        </w:rPr>
        <w:t> </w:t>
      </w:r>
      <w:r>
        <w:rPr/>
        <w:t>Medicaid beneficiaries.</w:t>
      </w:r>
      <w:r>
        <w:rPr>
          <w:spacing w:val="40"/>
        </w:rPr>
        <w:t> </w:t>
      </w:r>
      <w:r>
        <w:rPr/>
        <w:t>To that end, the Commonwealth must investigate—to the extent feasible—the effects of the workforce initiatives on beneficiary access to care, as compared to what may be achieved through direct interventions such as rate increases.</w:t>
      </w:r>
      <w:r>
        <w:rPr>
          <w:spacing w:val="40"/>
        </w:rPr>
        <w:t> </w:t>
      </w:r>
      <w:r>
        <w:rPr/>
        <w:t>The</w:t>
      </w:r>
      <w:r>
        <w:rPr>
          <w:spacing w:val="-4"/>
        </w:rPr>
        <w:t> </w:t>
      </w:r>
      <w:r>
        <w:rPr/>
        <w:t>Evaluation</w:t>
      </w:r>
      <w:r>
        <w:rPr>
          <w:spacing w:val="-3"/>
        </w:rPr>
        <w:t> </w:t>
      </w:r>
      <w:r>
        <w:rPr/>
        <w:t>Design</w:t>
      </w:r>
      <w:r>
        <w:rPr>
          <w:spacing w:val="-3"/>
        </w:rPr>
        <w:t> </w:t>
      </w:r>
      <w:r>
        <w:rPr/>
        <w:t>must</w:t>
      </w:r>
      <w:r>
        <w:rPr>
          <w:spacing w:val="-3"/>
        </w:rPr>
        <w:t> </w:t>
      </w:r>
      <w:r>
        <w:rPr/>
        <w:t>outline</w:t>
      </w:r>
      <w:r>
        <w:rPr>
          <w:spacing w:val="-4"/>
        </w:rPr>
        <w:t> </w:t>
      </w:r>
      <w:r>
        <w:rPr/>
        <w:t>hypotheses</w:t>
      </w:r>
      <w:r>
        <w:rPr>
          <w:spacing w:val="-3"/>
        </w:rPr>
        <w:t> </w:t>
      </w:r>
      <w:r>
        <w:rPr/>
        <w:t>and</w:t>
      </w:r>
      <w:r>
        <w:rPr>
          <w:spacing w:val="-3"/>
        </w:rPr>
        <w:t> </w:t>
      </w:r>
      <w:r>
        <w:rPr/>
        <w:t>research</w:t>
      </w:r>
      <w:r>
        <w:rPr>
          <w:spacing w:val="-3"/>
        </w:rPr>
        <w:t> </w:t>
      </w:r>
      <w:r>
        <w:rPr/>
        <w:t>questions</w:t>
      </w:r>
      <w:r>
        <w:rPr>
          <w:spacing w:val="-3"/>
        </w:rPr>
        <w:t> </w:t>
      </w:r>
      <w:r>
        <w:rPr/>
        <w:t>to assess whether these initiatives sustainably</w:t>
      </w:r>
      <w:r>
        <w:rPr>
          <w:spacing w:val="-2"/>
        </w:rPr>
        <w:t> </w:t>
      </w:r>
      <w:r>
        <w:rPr/>
        <w:t>reduce workforce shortages and increase provider retention, especially in the concentration areas such as primary care, behavioral health and family practice.</w:t>
      </w:r>
      <w:r>
        <w:rPr>
          <w:spacing w:val="40"/>
        </w:rPr>
        <w:t> </w:t>
      </w:r>
      <w:r>
        <w:rPr/>
        <w:t>Because these initiatives may affect a small number of providers, the Commonwealth is strongly encouraged to use a mixed- methods approach that would incorporate qualitative data sources, including interviews and/or focus groups with participating providers, and beneficiary experience surveys.</w:t>
      </w:r>
    </w:p>
    <w:p>
      <w:pPr>
        <w:pStyle w:val="BodyText"/>
        <w:spacing w:before="10"/>
        <w:rPr>
          <w:sz w:val="20"/>
        </w:rPr>
      </w:pPr>
    </w:p>
    <w:p>
      <w:pPr>
        <w:pStyle w:val="BodyText"/>
        <w:ind w:left="1411" w:right="1104"/>
      </w:pPr>
      <w:r>
        <w:rPr/>
        <w:drawing>
          <wp:anchor distT="0" distB="0" distL="0" distR="0" allowOverlap="1" layoutInCell="1" locked="0" behindDoc="0" simplePos="0" relativeHeight="16064000">
            <wp:simplePos x="0" y="0"/>
            <wp:positionH relativeFrom="page">
              <wp:posOffset>1431036</wp:posOffset>
            </wp:positionH>
            <wp:positionV relativeFrom="paragraph">
              <wp:posOffset>67603</wp:posOffset>
            </wp:positionV>
            <wp:extent cx="96011" cy="80771"/>
            <wp:effectExtent l="0" t="0" r="0" b="0"/>
            <wp:wrapNone/>
            <wp:docPr id="667" name="Image 667"/>
            <wp:cNvGraphicFramePr>
              <a:graphicFrameLocks/>
            </wp:cNvGraphicFramePr>
            <a:graphic>
              <a:graphicData uri="http://schemas.openxmlformats.org/drawingml/2006/picture">
                <pic:pic>
                  <pic:nvPicPr>
                    <pic:cNvPr id="667" name="Image 667"/>
                    <pic:cNvPicPr/>
                  </pic:nvPicPr>
                  <pic:blipFill>
                    <a:blip r:embed="rId37" cstate="print"/>
                    <a:stretch>
                      <a:fillRect/>
                    </a:stretch>
                  </pic:blipFill>
                  <pic:spPr>
                    <a:xfrm>
                      <a:off x="0" y="0"/>
                      <a:ext cx="96011" cy="80771"/>
                    </a:xfrm>
                    <a:prstGeom prst="rect">
                      <a:avLst/>
                    </a:prstGeom>
                  </pic:spPr>
                </pic:pic>
              </a:graphicData>
            </a:graphic>
          </wp:anchor>
        </w:drawing>
      </w:r>
      <w:bookmarkStart w:name="e. HRSN.  Evaluation hypotheses for the " w:id="966"/>
      <w:bookmarkEnd w:id="966"/>
      <w:r>
        <w:rPr/>
      </w:r>
      <w:r>
        <w:rPr>
          <w:b/>
        </w:rPr>
        <w:t>HRSN.</w:t>
      </w:r>
      <w:r>
        <w:rPr>
          <w:b/>
          <w:spacing w:val="40"/>
        </w:rPr>
        <w:t> </w:t>
      </w:r>
      <w:r>
        <w:rPr/>
        <w:t>Evaluation hypotheses for the HRSN initiatives in the demonstration must focus on</w:t>
      </w:r>
      <w:r>
        <w:rPr>
          <w:spacing w:val="40"/>
        </w:rPr>
        <w:t> </w:t>
      </w:r>
      <w:r>
        <w:rPr/>
        <w:t>assessing the effectiveness of the HRSN services in mitigating identified needs</w:t>
      </w:r>
      <w:r>
        <w:rPr>
          <w:spacing w:val="-4"/>
        </w:rPr>
        <w:t> </w:t>
      </w:r>
      <w:r>
        <w:rPr/>
        <w:t>of</w:t>
      </w:r>
      <w:r>
        <w:rPr>
          <w:spacing w:val="-5"/>
        </w:rPr>
        <w:t> </w:t>
      </w:r>
      <w:r>
        <w:rPr/>
        <w:t>beneficiaries.</w:t>
      </w:r>
      <w:r>
        <w:rPr>
          <w:spacing w:val="40"/>
        </w:rPr>
        <w:t> </w:t>
      </w:r>
      <w:r>
        <w:rPr/>
        <w:t>Such</w:t>
      </w:r>
      <w:r>
        <w:rPr>
          <w:spacing w:val="-4"/>
        </w:rPr>
        <w:t> </w:t>
      </w:r>
      <w:r>
        <w:rPr/>
        <w:t>assessment</w:t>
      </w:r>
      <w:r>
        <w:rPr>
          <w:spacing w:val="-4"/>
        </w:rPr>
        <w:t> </w:t>
      </w:r>
      <w:r>
        <w:rPr/>
        <w:t>is</w:t>
      </w:r>
      <w:r>
        <w:rPr>
          <w:spacing w:val="-4"/>
        </w:rPr>
        <w:t> </w:t>
      </w:r>
      <w:r>
        <w:rPr/>
        <w:t>expected</w:t>
      </w:r>
      <w:r>
        <w:rPr>
          <w:spacing w:val="-5"/>
        </w:rPr>
        <w:t> </w:t>
      </w:r>
      <w:r>
        <w:rPr/>
        <w:t>to</w:t>
      </w:r>
      <w:r>
        <w:rPr>
          <w:spacing w:val="-5"/>
        </w:rPr>
        <w:t> </w:t>
      </w:r>
      <w:r>
        <w:rPr/>
        <w:t>use</w:t>
      </w:r>
      <w:r>
        <w:rPr>
          <w:spacing w:val="-5"/>
        </w:rPr>
        <w:t> </w:t>
      </w:r>
      <w:r>
        <w:rPr/>
        <w:t>applicable</w:t>
      </w:r>
      <w:r>
        <w:rPr>
          <w:spacing w:val="-5"/>
        </w:rPr>
        <w:t> </w:t>
      </w:r>
      <w:r>
        <w:rPr/>
        <w:t>demonstration monitoring and other data on the prevalence and severity of beneficiaries’ HRSNs and</w:t>
      </w:r>
      <w:r>
        <w:rPr>
          <w:spacing w:val="-1"/>
        </w:rPr>
        <w:t> </w:t>
      </w:r>
      <w:r>
        <w:rPr/>
        <w:t>the</w:t>
      </w:r>
      <w:r>
        <w:rPr>
          <w:spacing w:val="-2"/>
        </w:rPr>
        <w:t> </w:t>
      </w:r>
      <w:r>
        <w:rPr/>
        <w:t>provision</w:t>
      </w:r>
      <w:r>
        <w:rPr>
          <w:spacing w:val="-1"/>
        </w:rPr>
        <w:t> </w:t>
      </w:r>
      <w:r>
        <w:rPr/>
        <w:t>of</w:t>
      </w:r>
      <w:r>
        <w:rPr>
          <w:spacing w:val="-2"/>
        </w:rPr>
        <w:t> </w:t>
      </w:r>
      <w:r>
        <w:rPr/>
        <w:t>and beneficiary</w:t>
      </w:r>
      <w:r>
        <w:rPr>
          <w:spacing w:val="-6"/>
        </w:rPr>
        <w:t> </w:t>
      </w:r>
      <w:r>
        <w:rPr/>
        <w:t>utilization</w:t>
      </w:r>
      <w:r>
        <w:rPr>
          <w:spacing w:val="-1"/>
        </w:rPr>
        <w:t> </w:t>
      </w:r>
      <w:r>
        <w:rPr/>
        <w:t>of</w:t>
      </w:r>
      <w:r>
        <w:rPr>
          <w:spacing w:val="-2"/>
        </w:rPr>
        <w:t> </w:t>
      </w:r>
      <w:r>
        <w:rPr/>
        <w:t>HRSN</w:t>
      </w:r>
      <w:r>
        <w:rPr>
          <w:spacing w:val="-2"/>
        </w:rPr>
        <w:t> </w:t>
      </w:r>
      <w:r>
        <w:rPr/>
        <w:t>services.</w:t>
      </w:r>
      <w:r>
        <w:rPr>
          <w:spacing w:val="40"/>
        </w:rPr>
        <w:t> </w:t>
      </w:r>
      <w:r>
        <w:rPr/>
        <w:t>Furthermore,</w:t>
      </w:r>
      <w:r>
        <w:rPr>
          <w:spacing w:val="-1"/>
        </w:rPr>
        <w:t> </w:t>
      </w:r>
      <w:r>
        <w:rPr/>
        <w:t>the HRSN</w:t>
      </w:r>
      <w:r>
        <w:rPr>
          <w:spacing w:val="-3"/>
        </w:rPr>
        <w:t> </w:t>
      </w:r>
      <w:r>
        <w:rPr/>
        <w:t>evaluation</w:t>
      </w:r>
      <w:r>
        <w:rPr>
          <w:spacing w:val="-2"/>
        </w:rPr>
        <w:t> </w:t>
      </w:r>
      <w:r>
        <w:rPr/>
        <w:t>must</w:t>
      </w:r>
      <w:r>
        <w:rPr>
          <w:spacing w:val="-2"/>
        </w:rPr>
        <w:t> </w:t>
      </w:r>
      <w:r>
        <w:rPr/>
        <w:t>include</w:t>
      </w:r>
      <w:r>
        <w:rPr>
          <w:spacing w:val="-3"/>
        </w:rPr>
        <w:t> </w:t>
      </w:r>
      <w:r>
        <w:rPr/>
        <w:t>an</w:t>
      </w:r>
      <w:r>
        <w:rPr>
          <w:spacing w:val="-2"/>
        </w:rPr>
        <w:t> </w:t>
      </w:r>
      <w:r>
        <w:rPr/>
        <w:t>analysis</w:t>
      </w:r>
      <w:r>
        <w:rPr>
          <w:spacing w:val="-2"/>
        </w:rPr>
        <w:t> </w:t>
      </w:r>
      <w:r>
        <w:rPr/>
        <w:t>of</w:t>
      </w:r>
      <w:r>
        <w:rPr>
          <w:spacing w:val="-3"/>
        </w:rPr>
        <w:t> </w:t>
      </w:r>
      <w:r>
        <w:rPr/>
        <w:t>how</w:t>
      </w:r>
      <w:r>
        <w:rPr>
          <w:spacing w:val="-3"/>
        </w:rPr>
        <w:t> </w:t>
      </w:r>
      <w:r>
        <w:rPr/>
        <w:t>the</w:t>
      </w:r>
      <w:r>
        <w:rPr>
          <w:spacing w:val="-3"/>
        </w:rPr>
        <w:t> </w:t>
      </w:r>
      <w:r>
        <w:rPr/>
        <w:t>initiatives</w:t>
      </w:r>
      <w:r>
        <w:rPr>
          <w:spacing w:val="-2"/>
        </w:rPr>
        <w:t> </w:t>
      </w:r>
      <w:r>
        <w:rPr/>
        <w:t>affect</w:t>
      </w:r>
      <w:r>
        <w:rPr>
          <w:spacing w:val="-2"/>
        </w:rPr>
        <w:t> </w:t>
      </w:r>
      <w:r>
        <w:rPr/>
        <w:t>utilization</w:t>
      </w:r>
      <w:r>
        <w:rPr>
          <w:spacing w:val="-2"/>
        </w:rPr>
        <w:t> </w:t>
      </w:r>
      <w:r>
        <w:rPr/>
        <w:t>of preventive and routine care, utilization of and costs associated with potentially avoidable, high-acuity health care, and beneficiary physical and mental health outcomes.</w:t>
      </w:r>
      <w:r>
        <w:rPr>
          <w:spacing w:val="40"/>
        </w:rPr>
        <w:t> </w:t>
      </w:r>
      <w:r>
        <w:rPr/>
        <w:t>In alignment with the demonstration’s objectives to improve outcomes for the Commonwealth’s overall beneficiary populations eligible for the HRSN initiatives, </w:t>
      </w:r>
      <w:r>
        <w:rPr>
          <w:rFonts w:ascii="Arial" w:hAnsi="Arial"/>
          <w:sz w:val="23"/>
        </w:rPr>
        <w:t>t</w:t>
      </w:r>
      <w:r>
        <w:rPr/>
        <w:t>he Commonwealth must also include research questions and hypotheses focused on understanding the impact of HRSN initiatives on advancing health quality, including through the reduction of health disparities, for example, by assessing the effects of the initatives in reducing disparities in health care access, quality of care, or health outcomes at the individual, population, and/or community </w:t>
      </w:r>
      <w:r>
        <w:rPr>
          <w:spacing w:val="-2"/>
        </w:rPr>
        <w:t>level.</w:t>
      </w:r>
    </w:p>
    <w:p>
      <w:pPr>
        <w:pStyle w:val="BodyText"/>
        <w:spacing w:before="11"/>
        <w:rPr>
          <w:sz w:val="20"/>
        </w:rPr>
      </w:pPr>
    </w:p>
    <w:p>
      <w:pPr>
        <w:pStyle w:val="BodyText"/>
        <w:ind w:left="1411" w:right="1050"/>
      </w:pPr>
      <w:bookmarkStart w:name="The evaluation must also assess the effe" w:id="967"/>
      <w:bookmarkEnd w:id="967"/>
      <w:r>
        <w:rPr/>
      </w:r>
      <w:r>
        <w:rPr/>
        <w:t>The evaluation must also assess the effectiveness of the infrastructure investments authorized through the demonstration to support the development and implementation of the HRSN initiatives.</w:t>
      </w:r>
      <w:r>
        <w:rPr>
          <w:spacing w:val="40"/>
        </w:rPr>
        <w:t> </w:t>
      </w:r>
      <w:r>
        <w:rPr/>
        <w:t>The state must also examine whether and how local investments in housing, nutrition and any other type of allowable HRSN services change over time in concert with new Medicaid funding toward those services.</w:t>
      </w:r>
      <w:r>
        <w:rPr>
          <w:spacing w:val="40"/>
        </w:rPr>
        <w:t> </w:t>
      </w:r>
      <w:r>
        <w:rPr/>
        <w:t>In addition, in light of how demonstration HRSN expenditures are being treated</w:t>
      </w:r>
      <w:r>
        <w:rPr>
          <w:spacing w:val="-3"/>
        </w:rPr>
        <w:t> </w:t>
      </w:r>
      <w:r>
        <w:rPr/>
        <w:t>for</w:t>
      </w:r>
      <w:r>
        <w:rPr>
          <w:spacing w:val="-4"/>
        </w:rPr>
        <w:t> </w:t>
      </w:r>
      <w:r>
        <w:rPr/>
        <w:t>purposes</w:t>
      </w:r>
      <w:r>
        <w:rPr>
          <w:spacing w:val="-3"/>
        </w:rPr>
        <w:t> </w:t>
      </w:r>
      <w:r>
        <w:rPr/>
        <w:t>of</w:t>
      </w:r>
      <w:r>
        <w:rPr>
          <w:spacing w:val="-4"/>
        </w:rPr>
        <w:t> </w:t>
      </w:r>
      <w:r>
        <w:rPr/>
        <w:t>budget</w:t>
      </w:r>
      <w:r>
        <w:rPr>
          <w:spacing w:val="-3"/>
        </w:rPr>
        <w:t> </w:t>
      </w:r>
      <w:r>
        <w:rPr/>
        <w:t>neutrality,</w:t>
      </w:r>
      <w:r>
        <w:rPr>
          <w:spacing w:val="-3"/>
        </w:rPr>
        <w:t> </w:t>
      </w:r>
      <w:r>
        <w:rPr/>
        <w:t>the</w:t>
      </w:r>
      <w:r>
        <w:rPr>
          <w:spacing w:val="-4"/>
        </w:rPr>
        <w:t> </w:t>
      </w:r>
      <w:r>
        <w:rPr/>
        <w:t>evaluation</w:t>
      </w:r>
      <w:r>
        <w:rPr>
          <w:spacing w:val="-3"/>
        </w:rPr>
        <w:t> </w:t>
      </w:r>
      <w:r>
        <w:rPr/>
        <w:t>of</w:t>
      </w:r>
      <w:r>
        <w:rPr>
          <w:spacing w:val="-4"/>
        </w:rPr>
        <w:t> </w:t>
      </w:r>
      <w:r>
        <w:rPr/>
        <w:t>the</w:t>
      </w:r>
      <w:r>
        <w:rPr>
          <w:spacing w:val="-4"/>
        </w:rPr>
        <w:t> </w:t>
      </w:r>
      <w:r>
        <w:rPr/>
        <w:t>HRSN</w:t>
      </w:r>
      <w:r>
        <w:rPr>
          <w:spacing w:val="-4"/>
        </w:rPr>
        <w:t> </w:t>
      </w:r>
      <w:r>
        <w:rPr/>
        <w:t>initiatives</w:t>
      </w:r>
      <w:r>
        <w:rPr>
          <w:spacing w:val="-3"/>
        </w:rPr>
        <w:t> </w:t>
      </w:r>
      <w:r>
        <w:rPr/>
        <w:t>must</w:t>
      </w:r>
    </w:p>
    <w:p>
      <w:pPr>
        <w:spacing w:after="0"/>
        <w:sectPr>
          <w:pgSz w:w="12240" w:h="15840"/>
          <w:pgMar w:header="0" w:footer="1201" w:top="1360" w:bottom="1400" w:left="1200" w:right="400"/>
        </w:sectPr>
      </w:pPr>
    </w:p>
    <w:p>
      <w:pPr>
        <w:pStyle w:val="BodyText"/>
        <w:spacing w:before="79"/>
        <w:ind w:left="1411" w:right="1141"/>
      </w:pPr>
      <w:r>
        <w:rPr/>
        <w:t>include</w:t>
      </w:r>
      <w:r>
        <w:rPr>
          <w:spacing w:val="-5"/>
        </w:rPr>
        <w:t> </w:t>
      </w:r>
      <w:r>
        <w:rPr/>
        <w:t>a</w:t>
      </w:r>
      <w:r>
        <w:rPr>
          <w:spacing w:val="-5"/>
        </w:rPr>
        <w:t> </w:t>
      </w:r>
      <w:r>
        <w:rPr/>
        <w:t>cost</w:t>
      </w:r>
      <w:r>
        <w:rPr>
          <w:spacing w:val="-4"/>
        </w:rPr>
        <w:t> </w:t>
      </w:r>
      <w:r>
        <w:rPr/>
        <w:t>analysis</w:t>
      </w:r>
      <w:r>
        <w:rPr>
          <w:spacing w:val="-4"/>
        </w:rPr>
        <w:t> </w:t>
      </w:r>
      <w:r>
        <w:rPr/>
        <w:t>to</w:t>
      </w:r>
      <w:r>
        <w:rPr>
          <w:spacing w:val="-2"/>
        </w:rPr>
        <w:t> </w:t>
      </w:r>
      <w:r>
        <w:rPr/>
        <w:t>support</w:t>
      </w:r>
      <w:r>
        <w:rPr>
          <w:spacing w:val="-4"/>
        </w:rPr>
        <w:t> </w:t>
      </w:r>
      <w:r>
        <w:rPr/>
        <w:t>developing</w:t>
      </w:r>
      <w:r>
        <w:rPr>
          <w:spacing w:val="-4"/>
        </w:rPr>
        <w:t> </w:t>
      </w:r>
      <w:r>
        <w:rPr/>
        <w:t>comprehensive</w:t>
      </w:r>
      <w:r>
        <w:rPr>
          <w:spacing w:val="-3"/>
        </w:rPr>
        <w:t> </w:t>
      </w:r>
      <w:r>
        <w:rPr/>
        <w:t>and</w:t>
      </w:r>
      <w:r>
        <w:rPr>
          <w:spacing w:val="-4"/>
        </w:rPr>
        <w:t> </w:t>
      </w:r>
      <w:r>
        <w:rPr/>
        <w:t>accurate</w:t>
      </w:r>
      <w:r>
        <w:rPr>
          <w:spacing w:val="-3"/>
        </w:rPr>
        <w:t> </w:t>
      </w:r>
      <w:r>
        <w:rPr/>
        <w:t>cost estimates of providing such services. It is also required to include a robust assessment of potential improvements in the quality and effectiveness of downstream services that can be provided under the state plan authority, and associated cost implications.</w:t>
      </w:r>
    </w:p>
    <w:p>
      <w:pPr>
        <w:pStyle w:val="BodyText"/>
        <w:spacing w:before="10"/>
        <w:rPr>
          <w:sz w:val="20"/>
        </w:rPr>
      </w:pPr>
    </w:p>
    <w:p>
      <w:pPr>
        <w:pStyle w:val="BodyText"/>
        <w:ind w:left="1411" w:right="1059"/>
      </w:pPr>
      <w:r>
        <w:rPr/>
        <w:drawing>
          <wp:anchor distT="0" distB="0" distL="0" distR="0" allowOverlap="1" layoutInCell="1" locked="0" behindDoc="0" simplePos="0" relativeHeight="16064512">
            <wp:simplePos x="0" y="0"/>
            <wp:positionH relativeFrom="page">
              <wp:posOffset>1431036</wp:posOffset>
            </wp:positionH>
            <wp:positionV relativeFrom="paragraph">
              <wp:posOffset>32552</wp:posOffset>
            </wp:positionV>
            <wp:extent cx="79247" cy="115823"/>
            <wp:effectExtent l="0" t="0" r="0" b="0"/>
            <wp:wrapNone/>
            <wp:docPr id="668" name="Image 668"/>
            <wp:cNvGraphicFramePr>
              <a:graphicFrameLocks/>
            </wp:cNvGraphicFramePr>
            <a:graphic>
              <a:graphicData uri="http://schemas.openxmlformats.org/drawingml/2006/picture">
                <pic:pic>
                  <pic:nvPicPr>
                    <pic:cNvPr id="668" name="Image 668"/>
                    <pic:cNvPicPr/>
                  </pic:nvPicPr>
                  <pic:blipFill>
                    <a:blip r:embed="rId42" cstate="print"/>
                    <a:stretch>
                      <a:fillRect/>
                    </a:stretch>
                  </pic:blipFill>
                  <pic:spPr>
                    <a:xfrm>
                      <a:off x="0" y="0"/>
                      <a:ext cx="79247" cy="115823"/>
                    </a:xfrm>
                    <a:prstGeom prst="rect">
                      <a:avLst/>
                    </a:prstGeom>
                  </pic:spPr>
                </pic:pic>
              </a:graphicData>
            </a:graphic>
          </wp:anchor>
        </w:drawing>
      </w:r>
      <w:bookmarkStart w:name="f. Continuous Eligibility. For the conti" w:id="968"/>
      <w:bookmarkEnd w:id="968"/>
      <w:r>
        <w:rPr/>
      </w:r>
      <w:r>
        <w:rPr>
          <w:b/>
        </w:rPr>
        <w:t>Continuous Eligibility. </w:t>
      </w:r>
      <w:r>
        <w:rPr/>
        <w:t>For the continuous eligibility policy, the Commonwealth must evaluate the impact of the program on all relevant populations appropriately tailored for the specific time span of eligibility.</w:t>
      </w:r>
      <w:r>
        <w:rPr>
          <w:spacing w:val="40"/>
        </w:rPr>
        <w:t> </w:t>
      </w:r>
      <w:r>
        <w:rPr/>
        <w:t>For example, the Commonwealth must</w:t>
      </w:r>
      <w:r>
        <w:rPr>
          <w:spacing w:val="-3"/>
        </w:rPr>
        <w:t> </w:t>
      </w:r>
      <w:r>
        <w:rPr/>
        <w:t>evaluate</w:t>
      </w:r>
      <w:r>
        <w:rPr>
          <w:spacing w:val="-4"/>
        </w:rPr>
        <w:t> </w:t>
      </w:r>
      <w:r>
        <w:rPr/>
        <w:t>how</w:t>
      </w:r>
      <w:r>
        <w:rPr>
          <w:spacing w:val="-4"/>
        </w:rPr>
        <w:t> </w:t>
      </w:r>
      <w:r>
        <w:rPr/>
        <w:t>the</w:t>
      </w:r>
      <w:r>
        <w:rPr>
          <w:spacing w:val="-4"/>
        </w:rPr>
        <w:t> </w:t>
      </w:r>
      <w:r>
        <w:rPr/>
        <w:t>continuous</w:t>
      </w:r>
      <w:r>
        <w:rPr>
          <w:spacing w:val="-3"/>
        </w:rPr>
        <w:t> </w:t>
      </w:r>
      <w:r>
        <w:rPr/>
        <w:t>eligibility</w:t>
      </w:r>
      <w:r>
        <w:rPr>
          <w:spacing w:val="-11"/>
        </w:rPr>
        <w:t> </w:t>
      </w:r>
      <w:r>
        <w:rPr/>
        <w:t>policy</w:t>
      </w:r>
      <w:r>
        <w:rPr>
          <w:spacing w:val="-6"/>
        </w:rPr>
        <w:t> </w:t>
      </w:r>
      <w:r>
        <w:rPr/>
        <w:t>affects</w:t>
      </w:r>
      <w:r>
        <w:rPr>
          <w:spacing w:val="-3"/>
        </w:rPr>
        <w:t> </w:t>
      </w:r>
      <w:r>
        <w:rPr/>
        <w:t>coverage,</w:t>
      </w:r>
      <w:r>
        <w:rPr>
          <w:spacing w:val="-1"/>
        </w:rPr>
        <w:t> </w:t>
      </w:r>
      <w:r>
        <w:rPr/>
        <w:t>enrollment,</w:t>
      </w:r>
      <w:r>
        <w:rPr>
          <w:spacing w:val="-3"/>
        </w:rPr>
        <w:t> </w:t>
      </w:r>
      <w:r>
        <w:rPr/>
        <w:t>and churn (i.e., temporary</w:t>
      </w:r>
      <w:r>
        <w:rPr>
          <w:spacing w:val="-2"/>
        </w:rPr>
        <w:t> </w:t>
      </w:r>
      <w:r>
        <w:rPr/>
        <w:t>loss of coverage in which beneficiaries are disenrolled and re- enroll within 12 months), as well as population-specific appropriate measures of service utilization and health outcomes.</w:t>
      </w:r>
      <w:r>
        <w:rPr>
          <w:spacing w:val="40"/>
        </w:rPr>
        <w:t> </w:t>
      </w:r>
      <w:r>
        <w:rPr/>
        <w:t>The Commonwealth must also evaluate the effectiveness of the continuous eligibility authority.</w:t>
      </w:r>
      <w:r>
        <w:rPr>
          <w:spacing w:val="40"/>
        </w:rPr>
        <w:t> </w:t>
      </w:r>
      <w:r>
        <w:rPr/>
        <w:t>For example, for the Commonwealth’s populations of focus under the demonstration’s continuous eligibility policy, to the extent feasible, the Commonwealth may collect and analyze data such as changes in beneficiary income at 12-month intervals to inform how a longer period of eligibility can potentially help streamline the Commonwealth’s administrative processes around enrollment and eligibility determinations.</w:t>
      </w:r>
      <w:r>
        <w:rPr>
          <w:spacing w:val="40"/>
        </w:rPr>
        <w:t> </w:t>
      </w:r>
      <w:r>
        <w:rPr/>
        <w:t>In addition, or alternatively, the Commonwealth may conduct a comprehensive qualitative assessment involving beneficiary focus groups and interviews with key stakeholders to assess the merits of such policies.</w:t>
      </w:r>
    </w:p>
    <w:p>
      <w:pPr>
        <w:pStyle w:val="BodyText"/>
        <w:spacing w:before="10"/>
        <w:rPr>
          <w:sz w:val="20"/>
        </w:rPr>
      </w:pPr>
    </w:p>
    <w:p>
      <w:pPr>
        <w:pStyle w:val="BodyText"/>
        <w:ind w:left="1411" w:right="1059"/>
      </w:pPr>
      <w:r>
        <w:rPr/>
        <w:drawing>
          <wp:anchor distT="0" distB="0" distL="0" distR="0" allowOverlap="1" layoutInCell="1" locked="0" behindDoc="0" simplePos="0" relativeHeight="16065024">
            <wp:simplePos x="0" y="0"/>
            <wp:positionH relativeFrom="page">
              <wp:posOffset>1429511</wp:posOffset>
            </wp:positionH>
            <wp:positionV relativeFrom="paragraph">
              <wp:posOffset>67603</wp:posOffset>
            </wp:positionV>
            <wp:extent cx="105155" cy="111251"/>
            <wp:effectExtent l="0" t="0" r="0" b="0"/>
            <wp:wrapNone/>
            <wp:docPr id="669" name="Image 669"/>
            <wp:cNvGraphicFramePr>
              <a:graphicFrameLocks/>
            </wp:cNvGraphicFramePr>
            <a:graphic>
              <a:graphicData uri="http://schemas.openxmlformats.org/drawingml/2006/picture">
                <pic:pic>
                  <pic:nvPicPr>
                    <pic:cNvPr id="669" name="Image 669"/>
                    <pic:cNvPicPr/>
                  </pic:nvPicPr>
                  <pic:blipFill>
                    <a:blip r:embed="rId43" cstate="print"/>
                    <a:stretch>
                      <a:fillRect/>
                    </a:stretch>
                  </pic:blipFill>
                  <pic:spPr>
                    <a:xfrm>
                      <a:off x="0" y="0"/>
                      <a:ext cx="105155" cy="111251"/>
                    </a:xfrm>
                    <a:prstGeom prst="rect">
                      <a:avLst/>
                    </a:prstGeom>
                  </pic:spPr>
                </pic:pic>
              </a:graphicData>
            </a:graphic>
          </wp:anchor>
        </w:drawing>
      </w:r>
      <w:bookmarkStart w:name="g. Premiums and Premium Assistance. The " w:id="969"/>
      <w:bookmarkEnd w:id="969"/>
      <w:r>
        <w:rPr/>
      </w:r>
      <w:r>
        <w:rPr>
          <w:b/>
        </w:rPr>
        <w:t>Premiums</w:t>
      </w:r>
      <w:r>
        <w:rPr>
          <w:b/>
          <w:spacing w:val="-5"/>
        </w:rPr>
        <w:t> </w:t>
      </w:r>
      <w:r>
        <w:rPr>
          <w:b/>
        </w:rPr>
        <w:t>and</w:t>
      </w:r>
      <w:r>
        <w:rPr>
          <w:b/>
          <w:spacing w:val="-5"/>
        </w:rPr>
        <w:t> </w:t>
      </w:r>
      <w:r>
        <w:rPr>
          <w:b/>
        </w:rPr>
        <w:t>Premium</w:t>
      </w:r>
      <w:r>
        <w:rPr>
          <w:b/>
          <w:spacing w:val="-6"/>
        </w:rPr>
        <w:t> </w:t>
      </w:r>
      <w:r>
        <w:rPr>
          <w:b/>
        </w:rPr>
        <w:t>Assistance.</w:t>
      </w:r>
      <w:r>
        <w:rPr>
          <w:b/>
          <w:spacing w:val="-6"/>
        </w:rPr>
        <w:t> </w:t>
      </w:r>
      <w:r>
        <w:rPr/>
        <w:t>The</w:t>
      </w:r>
      <w:r>
        <w:rPr>
          <w:spacing w:val="-6"/>
        </w:rPr>
        <w:t> </w:t>
      </w:r>
      <w:r>
        <w:rPr/>
        <w:t>Commonwealth</w:t>
      </w:r>
      <w:r>
        <w:rPr>
          <w:spacing w:val="-5"/>
        </w:rPr>
        <w:t> </w:t>
      </w:r>
      <w:r>
        <w:rPr/>
        <w:t>must</w:t>
      </w:r>
      <w:r>
        <w:rPr>
          <w:spacing w:val="-5"/>
        </w:rPr>
        <w:t> </w:t>
      </w:r>
      <w:r>
        <w:rPr/>
        <w:t>include</w:t>
      </w:r>
      <w:r>
        <w:rPr>
          <w:spacing w:val="-6"/>
        </w:rPr>
        <w:t> </w:t>
      </w:r>
      <w:r>
        <w:rPr/>
        <w:t>hypotheses including (but not limited to): beneficiary access to and utilization of preventive, primary, specialist, and emergency services; enrollment continuity, number and frequency of coverage gaps, and disenrollment rates; and beneficiary experiences with care.</w:t>
      </w:r>
    </w:p>
    <w:p>
      <w:pPr>
        <w:pStyle w:val="BodyText"/>
        <w:spacing w:before="10"/>
        <w:rPr>
          <w:sz w:val="20"/>
        </w:rPr>
      </w:pPr>
    </w:p>
    <w:p>
      <w:pPr>
        <w:pStyle w:val="BodyText"/>
        <w:spacing w:before="1"/>
        <w:ind w:left="1411" w:right="1041"/>
      </w:pPr>
      <w:r>
        <w:rPr/>
        <w:drawing>
          <wp:anchor distT="0" distB="0" distL="0" distR="0" allowOverlap="1" layoutInCell="1" locked="0" behindDoc="0" simplePos="0" relativeHeight="16065536">
            <wp:simplePos x="0" y="0"/>
            <wp:positionH relativeFrom="page">
              <wp:posOffset>1426463</wp:posOffset>
            </wp:positionH>
            <wp:positionV relativeFrom="paragraph">
              <wp:posOffset>33186</wp:posOffset>
            </wp:positionV>
            <wp:extent cx="109727" cy="115823"/>
            <wp:effectExtent l="0" t="0" r="0" b="0"/>
            <wp:wrapNone/>
            <wp:docPr id="670" name="Image 670"/>
            <wp:cNvGraphicFramePr>
              <a:graphicFrameLocks/>
            </wp:cNvGraphicFramePr>
            <a:graphic>
              <a:graphicData uri="http://schemas.openxmlformats.org/drawingml/2006/picture">
                <pic:pic>
                  <pic:nvPicPr>
                    <pic:cNvPr id="670" name="Image 670"/>
                    <pic:cNvPicPr/>
                  </pic:nvPicPr>
                  <pic:blipFill>
                    <a:blip r:embed="rId229" cstate="print"/>
                    <a:stretch>
                      <a:fillRect/>
                    </a:stretch>
                  </pic:blipFill>
                  <pic:spPr>
                    <a:xfrm>
                      <a:off x="0" y="0"/>
                      <a:ext cx="109727" cy="115823"/>
                    </a:xfrm>
                    <a:prstGeom prst="rect">
                      <a:avLst/>
                    </a:prstGeom>
                  </pic:spPr>
                </pic:pic>
              </a:graphicData>
            </a:graphic>
          </wp:anchor>
        </w:drawing>
      </w:r>
      <w:bookmarkStart w:name="h. Waiver of Retroactive Eligibility.  H" w:id="970"/>
      <w:bookmarkEnd w:id="970"/>
      <w:r>
        <w:rPr/>
      </w:r>
      <w:r>
        <w:rPr>
          <w:b/>
        </w:rPr>
        <w:t>Waiver of Retroactive Eligibility.</w:t>
      </w:r>
      <w:r>
        <w:rPr>
          <w:b/>
          <w:spacing w:val="40"/>
        </w:rPr>
        <w:t> </w:t>
      </w:r>
      <w:r>
        <w:rPr/>
        <w:t>Hypotheses for the waiver of retroactive eligibility must include an assessment of the outcomes of the retroactive eligibility component</w:t>
      </w:r>
      <w:r>
        <w:rPr>
          <w:spacing w:val="-4"/>
        </w:rPr>
        <w:t> </w:t>
      </w:r>
      <w:r>
        <w:rPr/>
        <w:t>of</w:t>
      </w:r>
      <w:r>
        <w:rPr>
          <w:spacing w:val="-5"/>
        </w:rPr>
        <w:t> </w:t>
      </w:r>
      <w:r>
        <w:rPr/>
        <w:t>this</w:t>
      </w:r>
      <w:r>
        <w:rPr>
          <w:spacing w:val="-4"/>
        </w:rPr>
        <w:t> </w:t>
      </w:r>
      <w:r>
        <w:rPr/>
        <w:t>section</w:t>
      </w:r>
      <w:r>
        <w:rPr>
          <w:spacing w:val="-4"/>
        </w:rPr>
        <w:t> </w:t>
      </w:r>
      <w:r>
        <w:rPr/>
        <w:t>1115</w:t>
      </w:r>
      <w:r>
        <w:rPr>
          <w:spacing w:val="-4"/>
        </w:rPr>
        <w:t> </w:t>
      </w:r>
      <w:r>
        <w:rPr/>
        <w:t>demonstration.</w:t>
      </w:r>
      <w:r>
        <w:rPr>
          <w:spacing w:val="-4"/>
        </w:rPr>
        <w:t> </w:t>
      </w:r>
      <w:r>
        <w:rPr/>
        <w:t>Examples</w:t>
      </w:r>
      <w:r>
        <w:rPr>
          <w:spacing w:val="-4"/>
        </w:rPr>
        <w:t> </w:t>
      </w:r>
      <w:r>
        <w:rPr/>
        <w:t>include</w:t>
      </w:r>
      <w:r>
        <w:rPr>
          <w:spacing w:val="-5"/>
        </w:rPr>
        <w:t> </w:t>
      </w:r>
      <w:r>
        <w:rPr/>
        <w:t>(but</w:t>
      </w:r>
      <w:r>
        <w:rPr>
          <w:spacing w:val="-4"/>
        </w:rPr>
        <w:t> </w:t>
      </w:r>
      <w:r>
        <w:rPr/>
        <w:t>are</w:t>
      </w:r>
      <w:r>
        <w:rPr>
          <w:spacing w:val="-3"/>
        </w:rPr>
        <w:t> </w:t>
      </w:r>
      <w:r>
        <w:rPr/>
        <w:t>not</w:t>
      </w:r>
      <w:r>
        <w:rPr>
          <w:spacing w:val="-4"/>
        </w:rPr>
        <w:t> </w:t>
      </w:r>
      <w:r>
        <w:rPr/>
        <w:t>limited to) the following outcomes: likelihood of enrollment and enrollment continuity, health status, and beneficiary medical debt, which can be assessed through a beneficiary survey or using data obtained from credit bureaus.</w:t>
      </w:r>
    </w:p>
    <w:p>
      <w:pPr>
        <w:pStyle w:val="BodyText"/>
        <w:spacing w:before="9"/>
        <w:rPr>
          <w:sz w:val="20"/>
        </w:rPr>
      </w:pPr>
    </w:p>
    <w:p>
      <w:pPr>
        <w:pStyle w:val="BodyText"/>
        <w:spacing w:before="1"/>
        <w:ind w:left="1411" w:right="1141"/>
      </w:pPr>
      <w:r>
        <w:rPr/>
        <w:drawing>
          <wp:anchor distT="0" distB="0" distL="0" distR="0" allowOverlap="1" layoutInCell="1" locked="0" behindDoc="0" simplePos="0" relativeHeight="16066048">
            <wp:simplePos x="0" y="0"/>
            <wp:positionH relativeFrom="page">
              <wp:posOffset>1429511</wp:posOffset>
            </wp:positionH>
            <wp:positionV relativeFrom="paragraph">
              <wp:posOffset>33186</wp:posOffset>
            </wp:positionV>
            <wp:extent cx="73151" cy="115823"/>
            <wp:effectExtent l="0" t="0" r="0" b="0"/>
            <wp:wrapNone/>
            <wp:docPr id="671" name="Image 671"/>
            <wp:cNvGraphicFramePr>
              <a:graphicFrameLocks/>
            </wp:cNvGraphicFramePr>
            <a:graphic>
              <a:graphicData uri="http://schemas.openxmlformats.org/drawingml/2006/picture">
                <pic:pic>
                  <pic:nvPicPr>
                    <pic:cNvPr id="671" name="Image 671"/>
                    <pic:cNvPicPr/>
                  </pic:nvPicPr>
                  <pic:blipFill>
                    <a:blip r:embed="rId61" cstate="print"/>
                    <a:stretch>
                      <a:fillRect/>
                    </a:stretch>
                  </pic:blipFill>
                  <pic:spPr>
                    <a:xfrm>
                      <a:off x="0" y="0"/>
                      <a:ext cx="73151" cy="115823"/>
                    </a:xfrm>
                    <a:prstGeom prst="rect">
                      <a:avLst/>
                    </a:prstGeom>
                  </pic:spPr>
                </pic:pic>
              </a:graphicData>
            </a:graphic>
          </wp:anchor>
        </w:drawing>
      </w:r>
      <w:bookmarkStart w:name="i. Delivery System Reform.  The followin" w:id="971"/>
      <w:bookmarkEnd w:id="971"/>
      <w:r>
        <w:rPr/>
      </w:r>
      <w:r>
        <w:rPr>
          <w:b/>
        </w:rPr>
        <w:t>Delivery System Reform.</w:t>
      </w:r>
      <w:r>
        <w:rPr>
          <w:b/>
          <w:spacing w:val="40"/>
        </w:rPr>
        <w:t> </w:t>
      </w:r>
      <w:r>
        <w:rPr/>
        <w:t>The following are among the hypotheses to be considered</w:t>
      </w:r>
      <w:r>
        <w:rPr>
          <w:spacing w:val="-3"/>
        </w:rPr>
        <w:t> </w:t>
      </w:r>
      <w:r>
        <w:rPr/>
        <w:t>in</w:t>
      </w:r>
      <w:r>
        <w:rPr>
          <w:spacing w:val="-3"/>
        </w:rPr>
        <w:t> </w:t>
      </w:r>
      <w:r>
        <w:rPr/>
        <w:t>development</w:t>
      </w:r>
      <w:r>
        <w:rPr>
          <w:spacing w:val="-3"/>
        </w:rPr>
        <w:t> </w:t>
      </w:r>
      <w:r>
        <w:rPr/>
        <w:t>of</w:t>
      </w:r>
      <w:r>
        <w:rPr>
          <w:spacing w:val="-4"/>
        </w:rPr>
        <w:t> </w:t>
      </w:r>
      <w:r>
        <w:rPr/>
        <w:t>the</w:t>
      </w:r>
      <w:r>
        <w:rPr>
          <w:spacing w:val="-4"/>
        </w:rPr>
        <w:t> </w:t>
      </w:r>
      <w:r>
        <w:rPr/>
        <w:t>Evaluation</w:t>
      </w:r>
      <w:r>
        <w:rPr>
          <w:spacing w:val="-3"/>
        </w:rPr>
        <w:t> </w:t>
      </w:r>
      <w:r>
        <w:rPr/>
        <w:t>Design</w:t>
      </w:r>
      <w:r>
        <w:rPr>
          <w:spacing w:val="-3"/>
        </w:rPr>
        <w:t> </w:t>
      </w:r>
      <w:r>
        <w:rPr/>
        <w:t>and</w:t>
      </w:r>
      <w:r>
        <w:rPr>
          <w:spacing w:val="-1"/>
        </w:rPr>
        <w:t> </w:t>
      </w:r>
      <w:r>
        <w:rPr/>
        <w:t>will</w:t>
      </w:r>
      <w:r>
        <w:rPr>
          <w:spacing w:val="-3"/>
        </w:rPr>
        <w:t> </w:t>
      </w:r>
      <w:r>
        <w:rPr/>
        <w:t>be</w:t>
      </w:r>
      <w:r>
        <w:rPr>
          <w:spacing w:val="-4"/>
        </w:rPr>
        <w:t> </w:t>
      </w:r>
      <w:r>
        <w:rPr/>
        <w:t>included</w:t>
      </w:r>
      <w:r>
        <w:rPr>
          <w:spacing w:val="-3"/>
        </w:rPr>
        <w:t> </w:t>
      </w:r>
      <w:r>
        <w:rPr/>
        <w:t>in</w:t>
      </w:r>
      <w:r>
        <w:rPr>
          <w:spacing w:val="-3"/>
        </w:rPr>
        <w:t> </w:t>
      </w:r>
      <w:r>
        <w:rPr/>
        <w:t>the design as appropriate:</w:t>
      </w:r>
    </w:p>
    <w:p>
      <w:pPr>
        <w:pStyle w:val="BodyText"/>
        <w:spacing w:before="10"/>
        <w:rPr>
          <w:sz w:val="20"/>
        </w:rPr>
      </w:pPr>
    </w:p>
    <w:p>
      <w:pPr>
        <w:pStyle w:val="BodyText"/>
        <w:ind w:left="2040" w:right="1059"/>
      </w:pPr>
      <w:r>
        <w:rPr/>
        <w:drawing>
          <wp:anchor distT="0" distB="0" distL="0" distR="0" allowOverlap="1" layoutInCell="1" locked="0" behindDoc="0" simplePos="0" relativeHeight="16066560">
            <wp:simplePos x="0" y="0"/>
            <wp:positionH relativeFrom="page">
              <wp:posOffset>1862327</wp:posOffset>
            </wp:positionH>
            <wp:positionV relativeFrom="paragraph">
              <wp:posOffset>32551</wp:posOffset>
            </wp:positionV>
            <wp:extent cx="73151" cy="115823"/>
            <wp:effectExtent l="0" t="0" r="0" b="0"/>
            <wp:wrapNone/>
            <wp:docPr id="672" name="Image 672"/>
            <wp:cNvGraphicFramePr>
              <a:graphicFrameLocks/>
            </wp:cNvGraphicFramePr>
            <a:graphic>
              <a:graphicData uri="http://schemas.openxmlformats.org/drawingml/2006/picture">
                <pic:pic>
                  <pic:nvPicPr>
                    <pic:cNvPr id="672" name="Image 672"/>
                    <pic:cNvPicPr/>
                  </pic:nvPicPr>
                  <pic:blipFill>
                    <a:blip r:embed="rId61" cstate="print"/>
                    <a:stretch>
                      <a:fillRect/>
                    </a:stretch>
                  </pic:blipFill>
                  <pic:spPr>
                    <a:xfrm>
                      <a:off x="0" y="0"/>
                      <a:ext cx="73151" cy="115823"/>
                    </a:xfrm>
                    <a:prstGeom prst="rect">
                      <a:avLst/>
                    </a:prstGeom>
                  </pic:spPr>
                </pic:pic>
              </a:graphicData>
            </a:graphic>
          </wp:anchor>
        </w:drawing>
      </w:r>
      <w:bookmarkStart w:name="i. the formation of new partnerships and" w:id="972"/>
      <w:bookmarkEnd w:id="972"/>
      <w:r>
        <w:rPr/>
      </w:r>
      <w:r>
        <w:rPr/>
        <w:t>the</w:t>
      </w:r>
      <w:r>
        <w:rPr>
          <w:spacing w:val="-5"/>
        </w:rPr>
        <w:t> </w:t>
      </w:r>
      <w:r>
        <w:rPr/>
        <w:t>formation</w:t>
      </w:r>
      <w:r>
        <w:rPr>
          <w:spacing w:val="-4"/>
        </w:rPr>
        <w:t> </w:t>
      </w:r>
      <w:r>
        <w:rPr/>
        <w:t>of</w:t>
      </w:r>
      <w:r>
        <w:rPr>
          <w:spacing w:val="-5"/>
        </w:rPr>
        <w:t> </w:t>
      </w:r>
      <w:r>
        <w:rPr/>
        <w:t>new</w:t>
      </w:r>
      <w:r>
        <w:rPr>
          <w:spacing w:val="-5"/>
        </w:rPr>
        <w:t> </w:t>
      </w:r>
      <w:r>
        <w:rPr/>
        <w:t>partnerships</w:t>
      </w:r>
      <w:r>
        <w:rPr>
          <w:spacing w:val="-4"/>
        </w:rPr>
        <w:t> </w:t>
      </w:r>
      <w:r>
        <w:rPr/>
        <w:t>and</w:t>
      </w:r>
      <w:r>
        <w:rPr>
          <w:spacing w:val="-4"/>
        </w:rPr>
        <w:t> </w:t>
      </w:r>
      <w:r>
        <w:rPr/>
        <w:t>collaborations</w:t>
      </w:r>
      <w:r>
        <w:rPr>
          <w:spacing w:val="-4"/>
        </w:rPr>
        <w:t> </w:t>
      </w:r>
      <w:r>
        <w:rPr/>
        <w:t>within</w:t>
      </w:r>
      <w:r>
        <w:rPr>
          <w:spacing w:val="-4"/>
        </w:rPr>
        <w:t> </w:t>
      </w:r>
      <w:r>
        <w:rPr/>
        <w:t>the</w:t>
      </w:r>
      <w:r>
        <w:rPr>
          <w:spacing w:val="-5"/>
        </w:rPr>
        <w:t> </w:t>
      </w:r>
      <w:r>
        <w:rPr/>
        <w:t>delivery </w:t>
      </w:r>
      <w:r>
        <w:rPr>
          <w:spacing w:val="-2"/>
        </w:rPr>
        <w:t>system;</w:t>
      </w:r>
    </w:p>
    <w:p>
      <w:pPr>
        <w:pStyle w:val="BodyText"/>
        <w:spacing w:before="158"/>
        <w:ind w:left="2039" w:right="1059"/>
      </w:pPr>
      <w:r>
        <w:rPr/>
        <w:drawing>
          <wp:anchor distT="0" distB="0" distL="0" distR="0" allowOverlap="1" layoutInCell="1" locked="0" behindDoc="0" simplePos="0" relativeHeight="16067072">
            <wp:simplePos x="0" y="0"/>
            <wp:positionH relativeFrom="page">
              <wp:posOffset>1819655</wp:posOffset>
            </wp:positionH>
            <wp:positionV relativeFrom="paragraph">
              <wp:posOffset>132881</wp:posOffset>
            </wp:positionV>
            <wp:extent cx="115823" cy="115823"/>
            <wp:effectExtent l="0" t="0" r="0" b="0"/>
            <wp:wrapNone/>
            <wp:docPr id="673" name="Image 673"/>
            <wp:cNvGraphicFramePr>
              <a:graphicFrameLocks/>
            </wp:cNvGraphicFramePr>
            <a:graphic>
              <a:graphicData uri="http://schemas.openxmlformats.org/drawingml/2006/picture">
                <pic:pic>
                  <pic:nvPicPr>
                    <pic:cNvPr id="673" name="Image 673"/>
                    <pic:cNvPicPr/>
                  </pic:nvPicPr>
                  <pic:blipFill>
                    <a:blip r:embed="rId62" cstate="print"/>
                    <a:stretch>
                      <a:fillRect/>
                    </a:stretch>
                  </pic:blipFill>
                  <pic:spPr>
                    <a:xfrm>
                      <a:off x="0" y="0"/>
                      <a:ext cx="115823" cy="115823"/>
                    </a:xfrm>
                    <a:prstGeom prst="rect">
                      <a:avLst/>
                    </a:prstGeom>
                  </pic:spPr>
                </pic:pic>
              </a:graphicData>
            </a:graphic>
          </wp:anchor>
        </w:drawing>
      </w:r>
      <w:bookmarkStart w:name="ii. the increased acceptance of TCOC ris" w:id="973"/>
      <w:bookmarkEnd w:id="973"/>
      <w:r>
        <w:rPr/>
      </w:r>
      <w:r>
        <w:rPr/>
        <w:t>the</w:t>
      </w:r>
      <w:r>
        <w:rPr>
          <w:spacing w:val="-6"/>
        </w:rPr>
        <w:t> </w:t>
      </w:r>
      <w:r>
        <w:rPr/>
        <w:t>increased</w:t>
      </w:r>
      <w:r>
        <w:rPr>
          <w:spacing w:val="-5"/>
        </w:rPr>
        <w:t> </w:t>
      </w:r>
      <w:r>
        <w:rPr/>
        <w:t>acceptance</w:t>
      </w:r>
      <w:r>
        <w:rPr>
          <w:spacing w:val="-4"/>
        </w:rPr>
        <w:t> </w:t>
      </w:r>
      <w:r>
        <w:rPr/>
        <w:t>of</w:t>
      </w:r>
      <w:r>
        <w:rPr>
          <w:spacing w:val="-6"/>
        </w:rPr>
        <w:t> </w:t>
      </w:r>
      <w:r>
        <w:rPr/>
        <w:t>TCOC</w:t>
      </w:r>
      <w:r>
        <w:rPr>
          <w:spacing w:val="-5"/>
        </w:rPr>
        <w:t> </w:t>
      </w:r>
      <w:r>
        <w:rPr/>
        <w:t>risk-based</w:t>
      </w:r>
      <w:r>
        <w:rPr>
          <w:spacing w:val="-5"/>
        </w:rPr>
        <w:t> </w:t>
      </w:r>
      <w:r>
        <w:rPr/>
        <w:t>payments</w:t>
      </w:r>
      <w:r>
        <w:rPr>
          <w:spacing w:val="-5"/>
        </w:rPr>
        <w:t> </w:t>
      </w:r>
      <w:r>
        <w:rPr/>
        <w:t>among</w:t>
      </w:r>
      <w:r>
        <w:rPr>
          <w:spacing w:val="-8"/>
        </w:rPr>
        <w:t> </w:t>
      </w:r>
      <w:r>
        <w:rPr/>
        <w:t>MassHealth </w:t>
      </w:r>
      <w:r>
        <w:rPr>
          <w:spacing w:val="-2"/>
        </w:rPr>
        <w:t>providers;</w:t>
      </w:r>
    </w:p>
    <w:p>
      <w:pPr>
        <w:spacing w:after="0"/>
        <w:sectPr>
          <w:pgSz w:w="12240" w:h="15840"/>
          <w:pgMar w:header="0" w:footer="1201" w:top="1360" w:bottom="1400" w:left="1200" w:right="400"/>
        </w:sectPr>
      </w:pPr>
    </w:p>
    <w:p>
      <w:pPr>
        <w:pStyle w:val="BodyText"/>
        <w:spacing w:before="79"/>
        <w:ind w:left="2040" w:right="1059"/>
      </w:pPr>
      <w:r>
        <w:rPr/>
        <w:drawing>
          <wp:anchor distT="0" distB="0" distL="0" distR="0" allowOverlap="1" layoutInCell="1" locked="0" behindDoc="0" simplePos="0" relativeHeight="16067584">
            <wp:simplePos x="0" y="0"/>
            <wp:positionH relativeFrom="page">
              <wp:posOffset>1778507</wp:posOffset>
            </wp:positionH>
            <wp:positionV relativeFrom="paragraph">
              <wp:posOffset>82717</wp:posOffset>
            </wp:positionV>
            <wp:extent cx="158495" cy="115823"/>
            <wp:effectExtent l="0" t="0" r="0" b="0"/>
            <wp:wrapNone/>
            <wp:docPr id="674" name="Image 674"/>
            <wp:cNvGraphicFramePr>
              <a:graphicFrameLocks/>
            </wp:cNvGraphicFramePr>
            <a:graphic>
              <a:graphicData uri="http://schemas.openxmlformats.org/drawingml/2006/picture">
                <pic:pic>
                  <pic:nvPicPr>
                    <pic:cNvPr id="674" name="Image 674"/>
                    <pic:cNvPicPr/>
                  </pic:nvPicPr>
                  <pic:blipFill>
                    <a:blip r:embed="rId65" cstate="print"/>
                    <a:stretch>
                      <a:fillRect/>
                    </a:stretch>
                  </pic:blipFill>
                  <pic:spPr>
                    <a:xfrm>
                      <a:off x="0" y="0"/>
                      <a:ext cx="158495" cy="115823"/>
                    </a:xfrm>
                    <a:prstGeom prst="rect">
                      <a:avLst/>
                    </a:prstGeom>
                  </pic:spPr>
                </pic:pic>
              </a:graphicData>
            </a:graphic>
          </wp:anchor>
        </w:drawing>
      </w:r>
      <w:bookmarkStart w:name="iii. improvements in the member experien" w:id="974"/>
      <w:bookmarkEnd w:id="974"/>
      <w:r>
        <w:rPr/>
      </w:r>
      <w:r>
        <w:rPr/>
        <w:t>improvements in the member experience of care, particularly through increased member engagement in the primary care setting or closer coordination among providers; more robust EHR and other infrastructure capabilities</w:t>
      </w:r>
      <w:r>
        <w:rPr>
          <w:spacing w:val="-6"/>
        </w:rPr>
        <w:t> </w:t>
      </w:r>
      <w:r>
        <w:rPr/>
        <w:t>and</w:t>
      </w:r>
      <w:r>
        <w:rPr>
          <w:spacing w:val="-6"/>
        </w:rPr>
        <w:t> </w:t>
      </w:r>
      <w:r>
        <w:rPr/>
        <w:t>interconnectivity</w:t>
      </w:r>
      <w:r>
        <w:rPr>
          <w:spacing w:val="-11"/>
        </w:rPr>
        <w:t> </w:t>
      </w:r>
      <w:r>
        <w:rPr/>
        <w:t>among</w:t>
      </w:r>
      <w:r>
        <w:rPr>
          <w:spacing w:val="-9"/>
        </w:rPr>
        <w:t> </w:t>
      </w:r>
      <w:r>
        <w:rPr/>
        <w:t>providers;</w:t>
      </w:r>
      <w:r>
        <w:rPr>
          <w:spacing w:val="-6"/>
        </w:rPr>
        <w:t> </w:t>
      </w:r>
      <w:r>
        <w:rPr/>
        <w:t>increased</w:t>
      </w:r>
      <w:r>
        <w:rPr>
          <w:spacing w:val="-4"/>
        </w:rPr>
        <w:t> </w:t>
      </w:r>
      <w:r>
        <w:rPr/>
        <w:t>coordination across silos of care (e.g., physical health, behavioral health, LTSS, social </w:t>
      </w:r>
      <w:r>
        <w:rPr>
          <w:spacing w:val="-2"/>
        </w:rPr>
        <w:t>supports);</w:t>
      </w:r>
    </w:p>
    <w:p>
      <w:pPr>
        <w:pStyle w:val="BodyText"/>
        <w:spacing w:before="161"/>
        <w:ind w:left="2040"/>
      </w:pPr>
      <w:r>
        <w:rPr/>
        <w:drawing>
          <wp:anchor distT="0" distB="0" distL="0" distR="0" allowOverlap="1" layoutInCell="1" locked="0" behindDoc="0" simplePos="0" relativeHeight="16068096">
            <wp:simplePos x="0" y="0"/>
            <wp:positionH relativeFrom="page">
              <wp:posOffset>1786127</wp:posOffset>
            </wp:positionH>
            <wp:positionV relativeFrom="paragraph">
              <wp:posOffset>134786</wp:posOffset>
            </wp:positionV>
            <wp:extent cx="149339" cy="115823"/>
            <wp:effectExtent l="0" t="0" r="0" b="0"/>
            <wp:wrapNone/>
            <wp:docPr id="675" name="Image 675"/>
            <wp:cNvGraphicFramePr>
              <a:graphicFrameLocks/>
            </wp:cNvGraphicFramePr>
            <a:graphic>
              <a:graphicData uri="http://schemas.openxmlformats.org/drawingml/2006/picture">
                <pic:pic>
                  <pic:nvPicPr>
                    <pic:cNvPr id="675" name="Image 675"/>
                    <pic:cNvPicPr/>
                  </pic:nvPicPr>
                  <pic:blipFill>
                    <a:blip r:embed="rId118" cstate="print"/>
                    <a:stretch>
                      <a:fillRect/>
                    </a:stretch>
                  </pic:blipFill>
                  <pic:spPr>
                    <a:xfrm>
                      <a:off x="0" y="0"/>
                      <a:ext cx="149339" cy="115823"/>
                    </a:xfrm>
                    <a:prstGeom prst="rect">
                      <a:avLst/>
                    </a:prstGeom>
                  </pic:spPr>
                </pic:pic>
              </a:graphicData>
            </a:graphic>
          </wp:anchor>
        </w:drawing>
      </w:r>
      <w:bookmarkStart w:name="iv. maintenance or improvement of clinic" w:id="975"/>
      <w:bookmarkEnd w:id="975"/>
      <w:r>
        <w:rPr/>
      </w:r>
      <w:r>
        <w:rPr/>
        <w:t>maintenance</w:t>
      </w:r>
      <w:r>
        <w:rPr>
          <w:spacing w:val="-5"/>
        </w:rPr>
        <w:t> </w:t>
      </w:r>
      <w:r>
        <w:rPr/>
        <w:t>or</w:t>
      </w:r>
      <w:r>
        <w:rPr>
          <w:spacing w:val="-3"/>
        </w:rPr>
        <w:t> </w:t>
      </w:r>
      <w:r>
        <w:rPr/>
        <w:t>improvement</w:t>
      </w:r>
      <w:r>
        <w:rPr>
          <w:spacing w:val="-1"/>
        </w:rPr>
        <w:t> </w:t>
      </w:r>
      <w:r>
        <w:rPr/>
        <w:t>of</w:t>
      </w:r>
      <w:r>
        <w:rPr>
          <w:spacing w:val="-3"/>
        </w:rPr>
        <w:t> </w:t>
      </w:r>
      <w:r>
        <w:rPr/>
        <w:t>clinical</w:t>
      </w:r>
      <w:r>
        <w:rPr>
          <w:spacing w:val="-2"/>
        </w:rPr>
        <w:t> </w:t>
      </w:r>
      <w:r>
        <w:rPr/>
        <w:t>quality;</w:t>
      </w:r>
      <w:r>
        <w:rPr>
          <w:spacing w:val="1"/>
        </w:rPr>
        <w:t> </w:t>
      </w:r>
      <w:r>
        <w:rPr>
          <w:spacing w:val="-5"/>
        </w:rPr>
        <w:t>and</w:t>
      </w:r>
    </w:p>
    <w:p>
      <w:pPr>
        <w:pStyle w:val="BodyText"/>
        <w:spacing w:before="158"/>
        <w:ind w:left="2040" w:right="1059"/>
      </w:pPr>
      <w:r>
        <w:rPr/>
        <w:drawing>
          <wp:anchor distT="0" distB="0" distL="0" distR="0" allowOverlap="1" layoutInCell="1" locked="0" behindDoc="0" simplePos="0" relativeHeight="16068608">
            <wp:simplePos x="0" y="0"/>
            <wp:positionH relativeFrom="page">
              <wp:posOffset>1825751</wp:posOffset>
            </wp:positionH>
            <wp:positionV relativeFrom="paragraph">
              <wp:posOffset>170982</wp:posOffset>
            </wp:positionV>
            <wp:extent cx="109727" cy="77723"/>
            <wp:effectExtent l="0" t="0" r="0" b="0"/>
            <wp:wrapNone/>
            <wp:docPr id="676" name="Image 676"/>
            <wp:cNvGraphicFramePr>
              <a:graphicFrameLocks/>
            </wp:cNvGraphicFramePr>
            <a:graphic>
              <a:graphicData uri="http://schemas.openxmlformats.org/drawingml/2006/picture">
                <pic:pic>
                  <pic:nvPicPr>
                    <pic:cNvPr id="676" name="Image 676"/>
                    <pic:cNvPicPr/>
                  </pic:nvPicPr>
                  <pic:blipFill>
                    <a:blip r:embed="rId67" cstate="print"/>
                    <a:stretch>
                      <a:fillRect/>
                    </a:stretch>
                  </pic:blipFill>
                  <pic:spPr>
                    <a:xfrm>
                      <a:off x="0" y="0"/>
                      <a:ext cx="109727" cy="77723"/>
                    </a:xfrm>
                    <a:prstGeom prst="rect">
                      <a:avLst/>
                    </a:prstGeom>
                  </pic:spPr>
                </pic:pic>
              </a:graphicData>
            </a:graphic>
          </wp:anchor>
        </w:drawing>
      </w:r>
      <w:bookmarkStart w:name="v. the enhancement of safety net provide" w:id="976"/>
      <w:bookmarkEnd w:id="976"/>
      <w:r>
        <w:rPr/>
      </w:r>
      <w:r>
        <w:rPr/>
        <w:t>the</w:t>
      </w:r>
      <w:r>
        <w:rPr>
          <w:spacing w:val="-5"/>
        </w:rPr>
        <w:t> </w:t>
      </w:r>
      <w:r>
        <w:rPr/>
        <w:t>enhancement</w:t>
      </w:r>
      <w:r>
        <w:rPr>
          <w:spacing w:val="-4"/>
        </w:rPr>
        <w:t> </w:t>
      </w:r>
      <w:r>
        <w:rPr/>
        <w:t>of</w:t>
      </w:r>
      <w:r>
        <w:rPr>
          <w:spacing w:val="-5"/>
        </w:rPr>
        <w:t> </w:t>
      </w:r>
      <w:r>
        <w:rPr/>
        <w:t>safety</w:t>
      </w:r>
      <w:r>
        <w:rPr>
          <w:spacing w:val="-7"/>
        </w:rPr>
        <w:t> </w:t>
      </w:r>
      <w:r>
        <w:rPr/>
        <w:t>net</w:t>
      </w:r>
      <w:r>
        <w:rPr>
          <w:spacing w:val="-4"/>
        </w:rPr>
        <w:t> </w:t>
      </w:r>
      <w:r>
        <w:rPr/>
        <w:t>providers’</w:t>
      </w:r>
      <w:r>
        <w:rPr>
          <w:spacing w:val="-3"/>
        </w:rPr>
        <w:t> </w:t>
      </w:r>
      <w:r>
        <w:rPr/>
        <w:t>capacity</w:t>
      </w:r>
      <w:r>
        <w:rPr>
          <w:spacing w:val="-7"/>
        </w:rPr>
        <w:t> </w:t>
      </w:r>
      <w:r>
        <w:rPr/>
        <w:t>to</w:t>
      </w:r>
      <w:r>
        <w:rPr>
          <w:spacing w:val="-4"/>
        </w:rPr>
        <w:t> </w:t>
      </w:r>
      <w:r>
        <w:rPr/>
        <w:t>serve</w:t>
      </w:r>
      <w:r>
        <w:rPr>
          <w:spacing w:val="-5"/>
        </w:rPr>
        <w:t> </w:t>
      </w:r>
      <w:r>
        <w:rPr/>
        <w:t>Medicaid</w:t>
      </w:r>
      <w:r>
        <w:rPr>
          <w:spacing w:val="-4"/>
        </w:rPr>
        <w:t> </w:t>
      </w:r>
      <w:r>
        <w:rPr/>
        <w:t>and uninsured patients in the Commonwealth.</w:t>
      </w:r>
    </w:p>
    <w:p>
      <w:pPr>
        <w:pStyle w:val="BodyText"/>
        <w:spacing w:before="10"/>
        <w:rPr>
          <w:sz w:val="20"/>
        </w:rPr>
      </w:pPr>
    </w:p>
    <w:p>
      <w:pPr>
        <w:pStyle w:val="BodyText"/>
        <w:ind w:left="871" w:right="1059"/>
      </w:pPr>
      <w:r>
        <w:rPr/>
        <w:drawing>
          <wp:anchor distT="0" distB="0" distL="0" distR="0" allowOverlap="1" layoutInCell="1" locked="0" behindDoc="0" simplePos="0" relativeHeight="16069120">
            <wp:simplePos x="0" y="0"/>
            <wp:positionH relativeFrom="page">
              <wp:posOffset>908303</wp:posOffset>
            </wp:positionH>
            <wp:positionV relativeFrom="paragraph">
              <wp:posOffset>35599</wp:posOffset>
            </wp:positionV>
            <wp:extent cx="283463" cy="112775"/>
            <wp:effectExtent l="0" t="0" r="0" b="0"/>
            <wp:wrapNone/>
            <wp:docPr id="677" name="Image 677"/>
            <wp:cNvGraphicFramePr>
              <a:graphicFrameLocks/>
            </wp:cNvGraphicFramePr>
            <a:graphic>
              <a:graphicData uri="http://schemas.openxmlformats.org/drawingml/2006/picture">
                <pic:pic>
                  <pic:nvPicPr>
                    <pic:cNvPr id="677" name="Image 677"/>
                    <pic:cNvPicPr/>
                  </pic:nvPicPr>
                  <pic:blipFill>
                    <a:blip r:embed="rId263" cstate="print"/>
                    <a:stretch>
                      <a:fillRect/>
                    </a:stretch>
                  </pic:blipFill>
                  <pic:spPr>
                    <a:xfrm>
                      <a:off x="0" y="0"/>
                      <a:ext cx="283463" cy="112775"/>
                    </a:xfrm>
                    <a:prstGeom prst="rect">
                      <a:avLst/>
                    </a:prstGeom>
                  </pic:spPr>
                </pic:pic>
              </a:graphicData>
            </a:graphic>
          </wp:anchor>
        </w:drawing>
      </w:r>
      <w:bookmarkStart w:name="17.7. Interim Evaluation Report. The Com" w:id="977"/>
      <w:bookmarkEnd w:id="977"/>
      <w:r>
        <w:rPr/>
      </w:r>
      <w:r>
        <w:rPr>
          <w:b/>
        </w:rPr>
        <w:t>Interim Evaluation Report. </w:t>
      </w:r>
      <w:r>
        <w:rPr/>
        <w:t>The Commonwealth must submit an Interim Evaluation Report</w:t>
      </w:r>
      <w:r>
        <w:rPr>
          <w:spacing w:val="-3"/>
        </w:rPr>
        <w:t> </w:t>
      </w:r>
      <w:r>
        <w:rPr/>
        <w:t>for</w:t>
      </w:r>
      <w:r>
        <w:rPr>
          <w:spacing w:val="-4"/>
        </w:rPr>
        <w:t> </w:t>
      </w:r>
      <w:r>
        <w:rPr/>
        <w:t>the</w:t>
      </w:r>
      <w:r>
        <w:rPr>
          <w:spacing w:val="-4"/>
        </w:rPr>
        <w:t> </w:t>
      </w:r>
      <w:r>
        <w:rPr/>
        <w:t>completed years</w:t>
      </w:r>
      <w:r>
        <w:rPr>
          <w:spacing w:val="-3"/>
        </w:rPr>
        <w:t> </w:t>
      </w:r>
      <w:r>
        <w:rPr/>
        <w:t>of</w:t>
      </w:r>
      <w:r>
        <w:rPr>
          <w:spacing w:val="-4"/>
        </w:rPr>
        <w:t> </w:t>
      </w:r>
      <w:r>
        <w:rPr/>
        <w:t>the</w:t>
      </w:r>
      <w:r>
        <w:rPr>
          <w:spacing w:val="-4"/>
        </w:rPr>
        <w:t> </w:t>
      </w:r>
      <w:r>
        <w:rPr/>
        <w:t>demonstration,</w:t>
      </w:r>
      <w:r>
        <w:rPr>
          <w:spacing w:val="-3"/>
        </w:rPr>
        <w:t> </w:t>
      </w:r>
      <w:r>
        <w:rPr/>
        <w:t>and</w:t>
      </w:r>
      <w:r>
        <w:rPr>
          <w:spacing w:val="-3"/>
        </w:rPr>
        <w:t> </w:t>
      </w:r>
      <w:r>
        <w:rPr/>
        <w:t>for</w:t>
      </w:r>
      <w:r>
        <w:rPr>
          <w:spacing w:val="-4"/>
        </w:rPr>
        <w:t> </w:t>
      </w:r>
      <w:r>
        <w:rPr/>
        <w:t>each</w:t>
      </w:r>
      <w:r>
        <w:rPr>
          <w:spacing w:val="-3"/>
        </w:rPr>
        <w:t> </w:t>
      </w:r>
      <w:r>
        <w:rPr/>
        <w:t>subsequent</w:t>
      </w:r>
      <w:r>
        <w:rPr>
          <w:spacing w:val="-3"/>
        </w:rPr>
        <w:t> </w:t>
      </w:r>
      <w:r>
        <w:rPr/>
        <w:t>extension</w:t>
      </w:r>
      <w:r>
        <w:rPr>
          <w:spacing w:val="-3"/>
        </w:rPr>
        <w:t> </w:t>
      </w:r>
      <w:r>
        <w:rPr/>
        <w:t>of the demonstration, as outlined in 42 CFR 431.412(c)(2)(vi).</w:t>
      </w:r>
      <w:r>
        <w:rPr>
          <w:spacing w:val="40"/>
        </w:rPr>
        <w:t> </w:t>
      </w:r>
      <w:r>
        <w:rPr/>
        <w:t>When submitting an application for extension, the Interim Evaluation Report should be posted to the Commonwealth’s website with the application for public comment.</w:t>
      </w:r>
    </w:p>
    <w:p>
      <w:pPr>
        <w:pStyle w:val="BodyText"/>
        <w:spacing w:before="10"/>
        <w:rPr>
          <w:sz w:val="20"/>
        </w:rPr>
      </w:pPr>
    </w:p>
    <w:p>
      <w:pPr>
        <w:pStyle w:val="BodyText"/>
        <w:ind w:left="1411" w:right="1059"/>
      </w:pPr>
      <w:r>
        <w:rPr/>
        <w:drawing>
          <wp:anchor distT="0" distB="0" distL="0" distR="0" allowOverlap="1" layoutInCell="1" locked="0" behindDoc="0" simplePos="0" relativeHeight="16069632">
            <wp:simplePos x="0" y="0"/>
            <wp:positionH relativeFrom="page">
              <wp:posOffset>1431036</wp:posOffset>
            </wp:positionH>
            <wp:positionV relativeFrom="paragraph">
              <wp:posOffset>67603</wp:posOffset>
            </wp:positionV>
            <wp:extent cx="96011" cy="80771"/>
            <wp:effectExtent l="0" t="0" r="0" b="0"/>
            <wp:wrapNone/>
            <wp:docPr id="678" name="Image 678"/>
            <wp:cNvGraphicFramePr>
              <a:graphicFrameLocks/>
            </wp:cNvGraphicFramePr>
            <a:graphic>
              <a:graphicData uri="http://schemas.openxmlformats.org/drawingml/2006/picture">
                <pic:pic>
                  <pic:nvPicPr>
                    <pic:cNvPr id="678" name="Image 678"/>
                    <pic:cNvPicPr/>
                  </pic:nvPicPr>
                  <pic:blipFill>
                    <a:blip r:embed="rId29" cstate="print"/>
                    <a:stretch>
                      <a:fillRect/>
                    </a:stretch>
                  </pic:blipFill>
                  <pic:spPr>
                    <a:xfrm>
                      <a:off x="0" y="0"/>
                      <a:ext cx="96011" cy="80771"/>
                    </a:xfrm>
                    <a:prstGeom prst="rect">
                      <a:avLst/>
                    </a:prstGeom>
                  </pic:spPr>
                </pic:pic>
              </a:graphicData>
            </a:graphic>
          </wp:anchor>
        </w:drawing>
      </w:r>
      <w:bookmarkStart w:name="a. The Interim Evaluation Report will di" w:id="978"/>
      <w:bookmarkEnd w:id="978"/>
      <w:r>
        <w:rPr/>
      </w:r>
      <w:r>
        <w:rPr/>
        <w:t>The</w:t>
      </w:r>
      <w:r>
        <w:rPr>
          <w:spacing w:val="-4"/>
        </w:rPr>
        <w:t> </w:t>
      </w:r>
      <w:r>
        <w:rPr/>
        <w:t>Interim</w:t>
      </w:r>
      <w:r>
        <w:rPr>
          <w:spacing w:val="-5"/>
        </w:rPr>
        <w:t> </w:t>
      </w:r>
      <w:r>
        <w:rPr/>
        <w:t>Evaluation</w:t>
      </w:r>
      <w:r>
        <w:rPr>
          <w:spacing w:val="-5"/>
        </w:rPr>
        <w:t> </w:t>
      </w:r>
      <w:r>
        <w:rPr/>
        <w:t>Report</w:t>
      </w:r>
      <w:r>
        <w:rPr>
          <w:spacing w:val="-5"/>
        </w:rPr>
        <w:t> </w:t>
      </w:r>
      <w:r>
        <w:rPr/>
        <w:t>will</w:t>
      </w:r>
      <w:r>
        <w:rPr>
          <w:spacing w:val="-5"/>
        </w:rPr>
        <w:t> </w:t>
      </w:r>
      <w:r>
        <w:rPr/>
        <w:t>discuss</w:t>
      </w:r>
      <w:r>
        <w:rPr>
          <w:spacing w:val="-5"/>
        </w:rPr>
        <w:t> </w:t>
      </w:r>
      <w:r>
        <w:rPr/>
        <w:t>evaluation</w:t>
      </w:r>
      <w:r>
        <w:rPr>
          <w:spacing w:val="-5"/>
        </w:rPr>
        <w:t> </w:t>
      </w:r>
      <w:r>
        <w:rPr/>
        <w:t>progress</w:t>
      </w:r>
      <w:r>
        <w:rPr>
          <w:spacing w:val="-5"/>
        </w:rPr>
        <w:t> </w:t>
      </w:r>
      <w:r>
        <w:rPr/>
        <w:t>and</w:t>
      </w:r>
      <w:r>
        <w:rPr>
          <w:spacing w:val="-5"/>
        </w:rPr>
        <w:t> </w:t>
      </w:r>
      <w:r>
        <w:rPr/>
        <w:t>present</w:t>
      </w:r>
      <w:r>
        <w:rPr>
          <w:spacing w:val="-5"/>
        </w:rPr>
        <w:t> </w:t>
      </w:r>
      <w:r>
        <w:rPr/>
        <w:t>findings to date as per the approved Evaluation Design.</w:t>
      </w:r>
    </w:p>
    <w:p>
      <w:pPr>
        <w:pStyle w:val="BodyText"/>
        <w:spacing w:before="10"/>
        <w:rPr>
          <w:sz w:val="20"/>
        </w:rPr>
      </w:pPr>
    </w:p>
    <w:p>
      <w:pPr>
        <w:pStyle w:val="BodyText"/>
        <w:ind w:left="1411" w:right="1141"/>
      </w:pPr>
      <w:r>
        <w:rPr/>
        <w:drawing>
          <wp:anchor distT="0" distB="0" distL="0" distR="0" allowOverlap="1" layoutInCell="1" locked="0" behindDoc="0" simplePos="0" relativeHeight="16070144">
            <wp:simplePos x="0" y="0"/>
            <wp:positionH relativeFrom="page">
              <wp:posOffset>1424939</wp:posOffset>
            </wp:positionH>
            <wp:positionV relativeFrom="paragraph">
              <wp:posOffset>32551</wp:posOffset>
            </wp:positionV>
            <wp:extent cx="111251" cy="115823"/>
            <wp:effectExtent l="0" t="0" r="0" b="0"/>
            <wp:wrapNone/>
            <wp:docPr id="679" name="Image 679"/>
            <wp:cNvGraphicFramePr>
              <a:graphicFrameLocks/>
            </wp:cNvGraphicFramePr>
            <a:graphic>
              <a:graphicData uri="http://schemas.openxmlformats.org/drawingml/2006/picture">
                <pic:pic>
                  <pic:nvPicPr>
                    <pic:cNvPr id="679" name="Image 679"/>
                    <pic:cNvPicPr/>
                  </pic:nvPicPr>
                  <pic:blipFill>
                    <a:blip r:embed="rId105" cstate="print"/>
                    <a:stretch>
                      <a:fillRect/>
                    </a:stretch>
                  </pic:blipFill>
                  <pic:spPr>
                    <a:xfrm>
                      <a:off x="0" y="0"/>
                      <a:ext cx="111251" cy="115823"/>
                    </a:xfrm>
                    <a:prstGeom prst="rect">
                      <a:avLst/>
                    </a:prstGeom>
                  </pic:spPr>
                </pic:pic>
              </a:graphicData>
            </a:graphic>
          </wp:anchor>
        </w:drawing>
      </w:r>
      <w:bookmarkStart w:name="b. For demonstration authority or any co" w:id="979"/>
      <w:bookmarkEnd w:id="979"/>
      <w:r>
        <w:rPr/>
      </w:r>
      <w:r>
        <w:rPr/>
        <w:t>For demonstration authority or any components within the demonstration that expires</w:t>
      </w:r>
      <w:r>
        <w:rPr>
          <w:spacing w:val="-4"/>
        </w:rPr>
        <w:t> </w:t>
      </w:r>
      <w:r>
        <w:rPr/>
        <w:t>prior</w:t>
      </w:r>
      <w:r>
        <w:rPr>
          <w:spacing w:val="-5"/>
        </w:rPr>
        <w:t> </w:t>
      </w:r>
      <w:r>
        <w:rPr/>
        <w:t>to</w:t>
      </w:r>
      <w:r>
        <w:rPr>
          <w:spacing w:val="-4"/>
        </w:rPr>
        <w:t> </w:t>
      </w:r>
      <w:r>
        <w:rPr/>
        <w:t>the</w:t>
      </w:r>
      <w:r>
        <w:rPr>
          <w:spacing w:val="-5"/>
        </w:rPr>
        <w:t> </w:t>
      </w:r>
      <w:r>
        <w:rPr/>
        <w:t>overall</w:t>
      </w:r>
      <w:r>
        <w:rPr>
          <w:spacing w:val="-4"/>
        </w:rPr>
        <w:t> </w:t>
      </w:r>
      <w:r>
        <w:rPr/>
        <w:t>demonstration’s</w:t>
      </w:r>
      <w:r>
        <w:rPr>
          <w:spacing w:val="-4"/>
        </w:rPr>
        <w:t> </w:t>
      </w:r>
      <w:r>
        <w:rPr/>
        <w:t>expiration</w:t>
      </w:r>
      <w:r>
        <w:rPr>
          <w:spacing w:val="-4"/>
        </w:rPr>
        <w:t> </w:t>
      </w:r>
      <w:r>
        <w:rPr/>
        <w:t>date,</w:t>
      </w:r>
      <w:r>
        <w:rPr>
          <w:spacing w:val="-4"/>
        </w:rPr>
        <w:t> </w:t>
      </w:r>
      <w:r>
        <w:rPr/>
        <w:t>and</w:t>
      </w:r>
      <w:r>
        <w:rPr>
          <w:spacing w:val="-4"/>
        </w:rPr>
        <w:t> </w:t>
      </w:r>
      <w:r>
        <w:rPr/>
        <w:t>depending</w:t>
      </w:r>
      <w:r>
        <w:rPr>
          <w:spacing w:val="-4"/>
        </w:rPr>
        <w:t> </w:t>
      </w:r>
      <w:r>
        <w:rPr/>
        <w:t>on</w:t>
      </w:r>
      <w:r>
        <w:rPr>
          <w:spacing w:val="-4"/>
        </w:rPr>
        <w:t> </w:t>
      </w:r>
      <w:r>
        <w:rPr/>
        <w:t>the timeline of expiration/phase-out, the Interim Evaluation Report may include an evaluation of the authority, to be collaboratively determined by CMS and the </w:t>
      </w:r>
      <w:r>
        <w:rPr>
          <w:spacing w:val="-2"/>
        </w:rPr>
        <w:t>Commonwealth.</w:t>
      </w:r>
    </w:p>
    <w:p>
      <w:pPr>
        <w:pStyle w:val="BodyText"/>
        <w:spacing w:before="10"/>
        <w:rPr>
          <w:sz w:val="20"/>
        </w:rPr>
      </w:pPr>
    </w:p>
    <w:p>
      <w:pPr>
        <w:pStyle w:val="BodyText"/>
        <w:spacing w:before="1"/>
        <w:ind w:left="1411" w:right="1141"/>
      </w:pPr>
      <w:r>
        <w:rPr/>
        <w:drawing>
          <wp:anchor distT="0" distB="0" distL="0" distR="0" allowOverlap="1" layoutInCell="1" locked="0" behindDoc="0" simplePos="0" relativeHeight="16070656">
            <wp:simplePos x="0" y="0"/>
            <wp:positionH relativeFrom="page">
              <wp:posOffset>1431036</wp:posOffset>
            </wp:positionH>
            <wp:positionV relativeFrom="paragraph">
              <wp:posOffset>68238</wp:posOffset>
            </wp:positionV>
            <wp:extent cx="96011" cy="80771"/>
            <wp:effectExtent l="0" t="0" r="0" b="0"/>
            <wp:wrapNone/>
            <wp:docPr id="680" name="Image 680"/>
            <wp:cNvGraphicFramePr>
              <a:graphicFrameLocks/>
            </wp:cNvGraphicFramePr>
            <a:graphic>
              <a:graphicData uri="http://schemas.openxmlformats.org/drawingml/2006/picture">
                <pic:pic>
                  <pic:nvPicPr>
                    <pic:cNvPr id="680" name="Image 680"/>
                    <pic:cNvPicPr/>
                  </pic:nvPicPr>
                  <pic:blipFill>
                    <a:blip r:embed="rId35" cstate="print"/>
                    <a:stretch>
                      <a:fillRect/>
                    </a:stretch>
                  </pic:blipFill>
                  <pic:spPr>
                    <a:xfrm>
                      <a:off x="0" y="0"/>
                      <a:ext cx="96011" cy="80771"/>
                    </a:xfrm>
                    <a:prstGeom prst="rect">
                      <a:avLst/>
                    </a:prstGeom>
                  </pic:spPr>
                </pic:pic>
              </a:graphicData>
            </a:graphic>
          </wp:anchor>
        </w:drawing>
      </w:r>
      <w:bookmarkStart w:name="c. If the Commonwealth is seeking to ext" w:id="980"/>
      <w:bookmarkEnd w:id="980"/>
      <w:r>
        <w:rPr/>
      </w:r>
      <w:r>
        <w:rPr/>
        <w:t>If the Commonwealth is seeking to extend the demonstration, the draft Interim Evaluation Report is due when the application for extension is submitted, or 1 year prior</w:t>
      </w:r>
      <w:r>
        <w:rPr>
          <w:spacing w:val="-4"/>
        </w:rPr>
        <w:t> </w:t>
      </w:r>
      <w:r>
        <w:rPr/>
        <w:t>to</w:t>
      </w:r>
      <w:r>
        <w:rPr>
          <w:spacing w:val="-3"/>
        </w:rPr>
        <w:t> </w:t>
      </w:r>
      <w:r>
        <w:rPr/>
        <w:t>the</w:t>
      </w:r>
      <w:r>
        <w:rPr>
          <w:spacing w:val="-4"/>
        </w:rPr>
        <w:t> </w:t>
      </w:r>
      <w:r>
        <w:rPr/>
        <w:t>end</w:t>
      </w:r>
      <w:r>
        <w:rPr>
          <w:spacing w:val="-3"/>
        </w:rPr>
        <w:t> </w:t>
      </w:r>
      <w:r>
        <w:rPr/>
        <w:t>of</w:t>
      </w:r>
      <w:r>
        <w:rPr>
          <w:spacing w:val="-4"/>
        </w:rPr>
        <w:t> </w:t>
      </w:r>
      <w:r>
        <w:rPr/>
        <w:t>the</w:t>
      </w:r>
      <w:r>
        <w:rPr>
          <w:spacing w:val="-4"/>
        </w:rPr>
        <w:t> </w:t>
      </w:r>
      <w:r>
        <w:rPr/>
        <w:t>demonstration,</w:t>
      </w:r>
      <w:r>
        <w:rPr>
          <w:spacing w:val="-3"/>
        </w:rPr>
        <w:t> </w:t>
      </w:r>
      <w:r>
        <w:rPr/>
        <w:t>whichever</w:t>
      </w:r>
      <w:r>
        <w:rPr>
          <w:spacing w:val="-4"/>
        </w:rPr>
        <w:t> </w:t>
      </w:r>
      <w:r>
        <w:rPr/>
        <w:t>is</w:t>
      </w:r>
      <w:r>
        <w:rPr>
          <w:spacing w:val="-3"/>
        </w:rPr>
        <w:t> </w:t>
      </w:r>
      <w:r>
        <w:rPr/>
        <w:t>sooner.</w:t>
      </w:r>
      <w:r>
        <w:rPr>
          <w:spacing w:val="40"/>
        </w:rPr>
        <w:t> </w:t>
      </w:r>
      <w:r>
        <w:rPr/>
        <w:t>If</w:t>
      </w:r>
      <w:r>
        <w:rPr>
          <w:spacing w:val="-4"/>
        </w:rPr>
        <w:t> </w:t>
      </w:r>
      <w:r>
        <w:rPr/>
        <w:t>the</w:t>
      </w:r>
      <w:r>
        <w:rPr>
          <w:spacing w:val="-4"/>
        </w:rPr>
        <w:t> </w:t>
      </w:r>
      <w:r>
        <w:rPr/>
        <w:t>Commonwealth</w:t>
      </w:r>
      <w:r>
        <w:rPr>
          <w:spacing w:val="-3"/>
        </w:rPr>
        <w:t> </w:t>
      </w:r>
      <w:r>
        <w:rPr/>
        <w:t>is not</w:t>
      </w:r>
      <w:r>
        <w:rPr>
          <w:spacing w:val="-2"/>
        </w:rPr>
        <w:t> </w:t>
      </w:r>
      <w:r>
        <w:rPr/>
        <w:t>requesting</w:t>
      </w:r>
      <w:r>
        <w:rPr>
          <w:spacing w:val="-2"/>
        </w:rPr>
        <w:t> </w:t>
      </w:r>
      <w:r>
        <w:rPr/>
        <w:t>an</w:t>
      </w:r>
      <w:r>
        <w:rPr>
          <w:spacing w:val="-2"/>
        </w:rPr>
        <w:t> </w:t>
      </w:r>
      <w:r>
        <w:rPr/>
        <w:t>extension</w:t>
      </w:r>
      <w:r>
        <w:rPr>
          <w:spacing w:val="-2"/>
        </w:rPr>
        <w:t> </w:t>
      </w:r>
      <w:r>
        <w:rPr/>
        <w:t>for</w:t>
      </w:r>
      <w:r>
        <w:rPr>
          <w:spacing w:val="-3"/>
        </w:rPr>
        <w:t> </w:t>
      </w:r>
      <w:r>
        <w:rPr/>
        <w:t>a</w:t>
      </w:r>
      <w:r>
        <w:rPr>
          <w:spacing w:val="-3"/>
        </w:rPr>
        <w:t> </w:t>
      </w:r>
      <w:r>
        <w:rPr/>
        <w:t>demonstration,</w:t>
      </w:r>
      <w:r>
        <w:rPr>
          <w:spacing w:val="-2"/>
        </w:rPr>
        <w:t> </w:t>
      </w:r>
      <w:r>
        <w:rPr/>
        <w:t>an Interim</w:t>
      </w:r>
      <w:r>
        <w:rPr>
          <w:spacing w:val="-2"/>
        </w:rPr>
        <w:t> </w:t>
      </w:r>
      <w:r>
        <w:rPr/>
        <w:t>Evaluation</w:t>
      </w:r>
      <w:r>
        <w:rPr>
          <w:spacing w:val="-2"/>
        </w:rPr>
        <w:t> </w:t>
      </w:r>
      <w:r>
        <w:rPr/>
        <w:t>report</w:t>
      </w:r>
      <w:r>
        <w:rPr>
          <w:spacing w:val="-2"/>
        </w:rPr>
        <w:t> </w:t>
      </w:r>
      <w:r>
        <w:rPr/>
        <w:t>is</w:t>
      </w:r>
      <w:r>
        <w:rPr>
          <w:spacing w:val="-2"/>
        </w:rPr>
        <w:t> </w:t>
      </w:r>
      <w:r>
        <w:rPr/>
        <w:t>due 1 year prior to the end of the demonstration.</w:t>
      </w:r>
    </w:p>
    <w:p>
      <w:pPr>
        <w:pStyle w:val="BodyText"/>
        <w:spacing w:before="10"/>
        <w:rPr>
          <w:sz w:val="20"/>
        </w:rPr>
      </w:pPr>
    </w:p>
    <w:p>
      <w:pPr>
        <w:pStyle w:val="BodyText"/>
        <w:ind w:left="1411" w:right="1059"/>
      </w:pPr>
      <w:r>
        <w:rPr/>
        <w:drawing>
          <wp:anchor distT="0" distB="0" distL="0" distR="0" allowOverlap="1" layoutInCell="1" locked="0" behindDoc="0" simplePos="0" relativeHeight="16071168">
            <wp:simplePos x="0" y="0"/>
            <wp:positionH relativeFrom="page">
              <wp:posOffset>1431036</wp:posOffset>
            </wp:positionH>
            <wp:positionV relativeFrom="paragraph">
              <wp:posOffset>32551</wp:posOffset>
            </wp:positionV>
            <wp:extent cx="105155" cy="115823"/>
            <wp:effectExtent l="0" t="0" r="0" b="0"/>
            <wp:wrapNone/>
            <wp:docPr id="681" name="Image 681"/>
            <wp:cNvGraphicFramePr>
              <a:graphicFrameLocks/>
            </wp:cNvGraphicFramePr>
            <a:graphic>
              <a:graphicData uri="http://schemas.openxmlformats.org/drawingml/2006/picture">
                <pic:pic>
                  <pic:nvPicPr>
                    <pic:cNvPr id="681" name="Image 681"/>
                    <pic:cNvPicPr/>
                  </pic:nvPicPr>
                  <pic:blipFill>
                    <a:blip r:embed="rId36" cstate="print"/>
                    <a:stretch>
                      <a:fillRect/>
                    </a:stretch>
                  </pic:blipFill>
                  <pic:spPr>
                    <a:xfrm>
                      <a:off x="0" y="0"/>
                      <a:ext cx="105155" cy="115823"/>
                    </a:xfrm>
                    <a:prstGeom prst="rect">
                      <a:avLst/>
                    </a:prstGeom>
                  </pic:spPr>
                </pic:pic>
              </a:graphicData>
            </a:graphic>
          </wp:anchor>
        </w:drawing>
      </w:r>
      <w:bookmarkStart w:name="d. The Commonwealth must submit a revise" w:id="981"/>
      <w:bookmarkEnd w:id="981"/>
      <w:r>
        <w:rPr/>
      </w:r>
      <w:r>
        <w:rPr/>
        <w:t>The Commonwealth must submit a revised Interim Evaluation Report 60 calendar days after receiving</w:t>
      </w:r>
      <w:r>
        <w:rPr>
          <w:spacing w:val="-2"/>
        </w:rPr>
        <w:t> </w:t>
      </w:r>
      <w:r>
        <w:rPr/>
        <w:t>CMS comments on the draft Interim Evaluation Report, if any. Once</w:t>
      </w:r>
      <w:r>
        <w:rPr>
          <w:spacing w:val="-4"/>
        </w:rPr>
        <w:t> </w:t>
      </w:r>
      <w:r>
        <w:rPr/>
        <w:t>approved</w:t>
      </w:r>
      <w:r>
        <w:rPr>
          <w:spacing w:val="-3"/>
        </w:rPr>
        <w:t> </w:t>
      </w:r>
      <w:r>
        <w:rPr/>
        <w:t>by</w:t>
      </w:r>
      <w:r>
        <w:rPr>
          <w:spacing w:val="-8"/>
        </w:rPr>
        <w:t> </w:t>
      </w:r>
      <w:r>
        <w:rPr/>
        <w:t>CMS,</w:t>
      </w:r>
      <w:r>
        <w:rPr>
          <w:spacing w:val="-3"/>
        </w:rPr>
        <w:t> </w:t>
      </w:r>
      <w:r>
        <w:rPr/>
        <w:t>the</w:t>
      </w:r>
      <w:r>
        <w:rPr>
          <w:spacing w:val="-4"/>
        </w:rPr>
        <w:t> </w:t>
      </w:r>
      <w:r>
        <w:rPr/>
        <w:t>Commonwealth</w:t>
      </w:r>
      <w:r>
        <w:rPr>
          <w:spacing w:val="-3"/>
        </w:rPr>
        <w:t> </w:t>
      </w:r>
      <w:r>
        <w:rPr/>
        <w:t>must</w:t>
      </w:r>
      <w:r>
        <w:rPr>
          <w:spacing w:val="-3"/>
        </w:rPr>
        <w:t> </w:t>
      </w:r>
      <w:r>
        <w:rPr/>
        <w:t>post</w:t>
      </w:r>
      <w:r>
        <w:rPr>
          <w:spacing w:val="-3"/>
        </w:rPr>
        <w:t> </w:t>
      </w:r>
      <w:r>
        <w:rPr/>
        <w:t>the</w:t>
      </w:r>
      <w:r>
        <w:rPr>
          <w:spacing w:val="-4"/>
        </w:rPr>
        <w:t> </w:t>
      </w:r>
      <w:r>
        <w:rPr/>
        <w:t>final</w:t>
      </w:r>
      <w:r>
        <w:rPr>
          <w:spacing w:val="-1"/>
        </w:rPr>
        <w:t> </w:t>
      </w:r>
      <w:r>
        <w:rPr/>
        <w:t>Interim</w:t>
      </w:r>
      <w:r>
        <w:rPr>
          <w:spacing w:val="-3"/>
        </w:rPr>
        <w:t> </w:t>
      </w:r>
      <w:r>
        <w:rPr/>
        <w:t>Evaluation Report to the Commonwealth’s Medicaid website within 30 calendar days.</w:t>
      </w:r>
    </w:p>
    <w:p>
      <w:pPr>
        <w:pStyle w:val="BodyText"/>
        <w:spacing w:before="10"/>
        <w:rPr>
          <w:sz w:val="20"/>
        </w:rPr>
      </w:pPr>
    </w:p>
    <w:p>
      <w:pPr>
        <w:pStyle w:val="BodyText"/>
        <w:ind w:left="1411" w:right="1059"/>
      </w:pPr>
      <w:r>
        <w:rPr/>
        <w:drawing>
          <wp:anchor distT="0" distB="0" distL="0" distR="0" allowOverlap="1" layoutInCell="1" locked="0" behindDoc="0" simplePos="0" relativeHeight="16071680">
            <wp:simplePos x="0" y="0"/>
            <wp:positionH relativeFrom="page">
              <wp:posOffset>1431036</wp:posOffset>
            </wp:positionH>
            <wp:positionV relativeFrom="paragraph">
              <wp:posOffset>67603</wp:posOffset>
            </wp:positionV>
            <wp:extent cx="96011" cy="80771"/>
            <wp:effectExtent l="0" t="0" r="0" b="0"/>
            <wp:wrapNone/>
            <wp:docPr id="682" name="Image 682"/>
            <wp:cNvGraphicFramePr>
              <a:graphicFrameLocks/>
            </wp:cNvGraphicFramePr>
            <a:graphic>
              <a:graphicData uri="http://schemas.openxmlformats.org/drawingml/2006/picture">
                <pic:pic>
                  <pic:nvPicPr>
                    <pic:cNvPr id="682" name="Image 682"/>
                    <pic:cNvPicPr/>
                  </pic:nvPicPr>
                  <pic:blipFill>
                    <a:blip r:embed="rId87" cstate="print"/>
                    <a:stretch>
                      <a:fillRect/>
                    </a:stretch>
                  </pic:blipFill>
                  <pic:spPr>
                    <a:xfrm>
                      <a:off x="0" y="0"/>
                      <a:ext cx="96011" cy="80771"/>
                    </a:xfrm>
                    <a:prstGeom prst="rect">
                      <a:avLst/>
                    </a:prstGeom>
                  </pic:spPr>
                </pic:pic>
              </a:graphicData>
            </a:graphic>
          </wp:anchor>
        </w:drawing>
      </w:r>
      <w:bookmarkStart w:name="e. The Interim Evaluation Report must co" w:id="982"/>
      <w:bookmarkEnd w:id="982"/>
      <w:r>
        <w:rPr/>
      </w:r>
      <w:r>
        <w:rPr/>
        <w:t>The</w:t>
      </w:r>
      <w:r>
        <w:rPr>
          <w:spacing w:val="-3"/>
        </w:rPr>
        <w:t> </w:t>
      </w:r>
      <w:r>
        <w:rPr/>
        <w:t>Interim</w:t>
      </w:r>
      <w:r>
        <w:rPr>
          <w:spacing w:val="-4"/>
        </w:rPr>
        <w:t> </w:t>
      </w:r>
      <w:r>
        <w:rPr/>
        <w:t>Evaluation</w:t>
      </w:r>
      <w:r>
        <w:rPr>
          <w:spacing w:val="-4"/>
        </w:rPr>
        <w:t> </w:t>
      </w:r>
      <w:r>
        <w:rPr/>
        <w:t>Report</w:t>
      </w:r>
      <w:r>
        <w:rPr>
          <w:spacing w:val="-4"/>
        </w:rPr>
        <w:t> </w:t>
      </w:r>
      <w:r>
        <w:rPr/>
        <w:t>must</w:t>
      </w:r>
      <w:r>
        <w:rPr>
          <w:spacing w:val="-4"/>
        </w:rPr>
        <w:t> </w:t>
      </w:r>
      <w:r>
        <w:rPr/>
        <w:t>comply</w:t>
      </w:r>
      <w:r>
        <w:rPr>
          <w:spacing w:val="-9"/>
        </w:rPr>
        <w:t> </w:t>
      </w:r>
      <w:r>
        <w:rPr/>
        <w:t>with</w:t>
      </w:r>
      <w:r>
        <w:rPr>
          <w:spacing w:val="-4"/>
        </w:rPr>
        <w:t> </w:t>
      </w:r>
      <w:r>
        <w:rPr/>
        <w:t>Attachment</w:t>
      </w:r>
      <w:r>
        <w:rPr>
          <w:spacing w:val="-4"/>
        </w:rPr>
        <w:t> </w:t>
      </w:r>
      <w:r>
        <w:rPr/>
        <w:t>B</w:t>
      </w:r>
      <w:r>
        <w:rPr>
          <w:spacing w:val="-4"/>
        </w:rPr>
        <w:t> </w:t>
      </w:r>
      <w:r>
        <w:rPr/>
        <w:t>(Preparing</w:t>
      </w:r>
      <w:r>
        <w:rPr>
          <w:spacing w:val="-7"/>
        </w:rPr>
        <w:t> </w:t>
      </w:r>
      <w:r>
        <w:rPr/>
        <w:t>the Interim and Summative Evaluation Reports) of these STCs.</w:t>
      </w:r>
    </w:p>
    <w:p>
      <w:pPr>
        <w:pStyle w:val="BodyText"/>
        <w:spacing w:before="10"/>
        <w:rPr>
          <w:sz w:val="20"/>
        </w:rPr>
      </w:pPr>
    </w:p>
    <w:p>
      <w:pPr>
        <w:pStyle w:val="BodyText"/>
        <w:ind w:left="871" w:right="1059"/>
      </w:pPr>
      <w:r>
        <w:rPr/>
        <w:drawing>
          <wp:anchor distT="0" distB="0" distL="0" distR="0" allowOverlap="1" layoutInCell="1" locked="0" behindDoc="0" simplePos="0" relativeHeight="16072192">
            <wp:simplePos x="0" y="0"/>
            <wp:positionH relativeFrom="page">
              <wp:posOffset>908303</wp:posOffset>
            </wp:positionH>
            <wp:positionV relativeFrom="paragraph">
              <wp:posOffset>35599</wp:posOffset>
            </wp:positionV>
            <wp:extent cx="283463" cy="112775"/>
            <wp:effectExtent l="0" t="0" r="0" b="0"/>
            <wp:wrapNone/>
            <wp:docPr id="683" name="Image 683"/>
            <wp:cNvGraphicFramePr>
              <a:graphicFrameLocks/>
            </wp:cNvGraphicFramePr>
            <a:graphic>
              <a:graphicData uri="http://schemas.openxmlformats.org/drawingml/2006/picture">
                <pic:pic>
                  <pic:nvPicPr>
                    <pic:cNvPr id="683" name="Image 683"/>
                    <pic:cNvPicPr/>
                  </pic:nvPicPr>
                  <pic:blipFill>
                    <a:blip r:embed="rId264" cstate="print"/>
                    <a:stretch>
                      <a:fillRect/>
                    </a:stretch>
                  </pic:blipFill>
                  <pic:spPr>
                    <a:xfrm>
                      <a:off x="0" y="0"/>
                      <a:ext cx="283463" cy="112775"/>
                    </a:xfrm>
                    <a:prstGeom prst="rect">
                      <a:avLst/>
                    </a:prstGeom>
                  </pic:spPr>
                </pic:pic>
              </a:graphicData>
            </a:graphic>
          </wp:anchor>
        </w:drawing>
      </w:r>
      <w:bookmarkStart w:name="17.8. Summative Evaluation Report. The C" w:id="983"/>
      <w:bookmarkEnd w:id="983"/>
      <w:r>
        <w:rPr/>
      </w:r>
      <w:r>
        <w:rPr>
          <w:b/>
        </w:rPr>
        <w:t>Summative Evaluation Report. </w:t>
      </w:r>
      <w:r>
        <w:rPr/>
        <w:t>The Commonwealth must submit a draft Summative Evaluation</w:t>
      </w:r>
      <w:r>
        <w:rPr>
          <w:spacing w:val="-3"/>
        </w:rPr>
        <w:t> </w:t>
      </w:r>
      <w:r>
        <w:rPr/>
        <w:t>Report</w:t>
      </w:r>
      <w:r>
        <w:rPr>
          <w:spacing w:val="-4"/>
        </w:rPr>
        <w:t> </w:t>
      </w:r>
      <w:r>
        <w:rPr/>
        <w:t>for</w:t>
      </w:r>
      <w:r>
        <w:rPr>
          <w:spacing w:val="-4"/>
        </w:rPr>
        <w:t> </w:t>
      </w:r>
      <w:r>
        <w:rPr/>
        <w:t>the</w:t>
      </w:r>
      <w:r>
        <w:rPr>
          <w:spacing w:val="-3"/>
        </w:rPr>
        <w:t> </w:t>
      </w:r>
      <w:r>
        <w:rPr/>
        <w:t>demonstration’s</w:t>
      </w:r>
      <w:r>
        <w:rPr>
          <w:spacing w:val="-3"/>
        </w:rPr>
        <w:t> </w:t>
      </w:r>
      <w:r>
        <w:rPr/>
        <w:t>approval</w:t>
      </w:r>
      <w:r>
        <w:rPr>
          <w:spacing w:val="-4"/>
        </w:rPr>
        <w:t> </w:t>
      </w:r>
      <w:r>
        <w:rPr/>
        <w:t>period</w:t>
      </w:r>
      <w:r>
        <w:rPr>
          <w:spacing w:val="-3"/>
        </w:rPr>
        <w:t> </w:t>
      </w:r>
      <w:r>
        <w:rPr/>
        <w:t>within</w:t>
      </w:r>
      <w:r>
        <w:rPr>
          <w:spacing w:val="-4"/>
        </w:rPr>
        <w:t> </w:t>
      </w:r>
      <w:r>
        <w:rPr/>
        <w:t>18</w:t>
      </w:r>
      <w:r>
        <w:rPr>
          <w:spacing w:val="-3"/>
        </w:rPr>
        <w:t> </w:t>
      </w:r>
      <w:r>
        <w:rPr/>
        <w:t>months</w:t>
      </w:r>
      <w:r>
        <w:rPr>
          <w:spacing w:val="-4"/>
        </w:rPr>
        <w:t> </w:t>
      </w:r>
      <w:r>
        <w:rPr/>
        <w:t>of</w:t>
      </w:r>
      <w:r>
        <w:rPr>
          <w:spacing w:val="-4"/>
        </w:rPr>
        <w:t> </w:t>
      </w:r>
      <w:r>
        <w:rPr/>
        <w:t>the</w:t>
      </w:r>
      <w:r>
        <w:rPr>
          <w:spacing w:val="-4"/>
        </w:rPr>
        <w:t> </w:t>
      </w:r>
      <w:r>
        <w:rPr/>
        <w:t>end</w:t>
      </w:r>
      <w:r>
        <w:rPr>
          <w:spacing w:val="-3"/>
        </w:rPr>
        <w:t> </w:t>
      </w:r>
      <w:r>
        <w:rPr/>
        <w:t>of the approval period represented by these STCs.</w:t>
      </w:r>
      <w:r>
        <w:rPr>
          <w:spacing w:val="40"/>
        </w:rPr>
        <w:t> </w:t>
      </w:r>
      <w:r>
        <w:rPr/>
        <w:t>The draft Summative Evaluation Report must be developed in accordance with Attachment B (Preparing the Interim and Summative Evaluation Reports) of these STCs.</w:t>
      </w:r>
      <w:r>
        <w:rPr>
          <w:spacing w:val="40"/>
        </w:rPr>
        <w:t> </w:t>
      </w:r>
      <w:r>
        <w:rPr/>
        <w:t>The Summative Evaluation Report must include the information in the approved Evaluation Design.</w:t>
      </w:r>
    </w:p>
    <w:p>
      <w:pPr>
        <w:spacing w:after="0"/>
        <w:sectPr>
          <w:pgSz w:w="12240" w:h="15840"/>
          <w:pgMar w:header="0" w:footer="1201" w:top="1360" w:bottom="1400" w:left="1200" w:right="400"/>
        </w:sectPr>
      </w:pPr>
    </w:p>
    <w:p>
      <w:pPr>
        <w:pStyle w:val="BodyText"/>
        <w:spacing w:before="79"/>
        <w:ind w:left="1411" w:right="1059"/>
      </w:pPr>
      <w:r>
        <w:rPr/>
        <w:drawing>
          <wp:anchor distT="0" distB="0" distL="0" distR="0" allowOverlap="1" layoutInCell="1" locked="0" behindDoc="0" simplePos="0" relativeHeight="16072704">
            <wp:simplePos x="0" y="0"/>
            <wp:positionH relativeFrom="page">
              <wp:posOffset>1431036</wp:posOffset>
            </wp:positionH>
            <wp:positionV relativeFrom="paragraph">
              <wp:posOffset>117781</wp:posOffset>
            </wp:positionV>
            <wp:extent cx="96011" cy="80759"/>
            <wp:effectExtent l="0" t="0" r="0" b="0"/>
            <wp:wrapNone/>
            <wp:docPr id="684" name="Image 684"/>
            <wp:cNvGraphicFramePr>
              <a:graphicFrameLocks/>
            </wp:cNvGraphicFramePr>
            <a:graphic>
              <a:graphicData uri="http://schemas.openxmlformats.org/drawingml/2006/picture">
                <pic:pic>
                  <pic:nvPicPr>
                    <pic:cNvPr id="684" name="Image 684"/>
                    <pic:cNvPicPr/>
                  </pic:nvPicPr>
                  <pic:blipFill>
                    <a:blip r:embed="rId29" cstate="print"/>
                    <a:stretch>
                      <a:fillRect/>
                    </a:stretch>
                  </pic:blipFill>
                  <pic:spPr>
                    <a:xfrm>
                      <a:off x="0" y="0"/>
                      <a:ext cx="96011" cy="80759"/>
                    </a:xfrm>
                    <a:prstGeom prst="rect">
                      <a:avLst/>
                    </a:prstGeom>
                  </pic:spPr>
                </pic:pic>
              </a:graphicData>
            </a:graphic>
          </wp:anchor>
        </w:drawing>
      </w:r>
      <w:bookmarkStart w:name="a. The Commonwealth must submit a revise" w:id="984"/>
      <w:bookmarkEnd w:id="984"/>
      <w:r>
        <w:rPr/>
      </w:r>
      <w:r>
        <w:rPr/>
        <w:t>The</w:t>
      </w:r>
      <w:r>
        <w:rPr>
          <w:spacing w:val="-5"/>
        </w:rPr>
        <w:t> </w:t>
      </w:r>
      <w:r>
        <w:rPr/>
        <w:t>Commonwealth</w:t>
      </w:r>
      <w:r>
        <w:rPr>
          <w:spacing w:val="-4"/>
        </w:rPr>
        <w:t> </w:t>
      </w:r>
      <w:r>
        <w:rPr/>
        <w:t>must</w:t>
      </w:r>
      <w:r>
        <w:rPr>
          <w:spacing w:val="-4"/>
        </w:rPr>
        <w:t> </w:t>
      </w:r>
      <w:r>
        <w:rPr/>
        <w:t>submit</w:t>
      </w:r>
      <w:r>
        <w:rPr>
          <w:spacing w:val="-4"/>
        </w:rPr>
        <w:t> </w:t>
      </w:r>
      <w:r>
        <w:rPr/>
        <w:t>a</w:t>
      </w:r>
      <w:r>
        <w:rPr>
          <w:spacing w:val="-5"/>
        </w:rPr>
        <w:t> </w:t>
      </w:r>
      <w:r>
        <w:rPr/>
        <w:t>revised</w:t>
      </w:r>
      <w:r>
        <w:rPr>
          <w:spacing w:val="-4"/>
        </w:rPr>
        <w:t> </w:t>
      </w:r>
      <w:r>
        <w:rPr/>
        <w:t>Summative</w:t>
      </w:r>
      <w:r>
        <w:rPr>
          <w:spacing w:val="-5"/>
        </w:rPr>
        <w:t> </w:t>
      </w:r>
      <w:r>
        <w:rPr/>
        <w:t>Evaluation</w:t>
      </w:r>
      <w:r>
        <w:rPr>
          <w:spacing w:val="-4"/>
        </w:rPr>
        <w:t> </w:t>
      </w:r>
      <w:r>
        <w:rPr/>
        <w:t>Report</w:t>
      </w:r>
      <w:r>
        <w:rPr>
          <w:spacing w:val="-2"/>
        </w:rPr>
        <w:t> </w:t>
      </w:r>
      <w:r>
        <w:rPr/>
        <w:t>within</w:t>
      </w:r>
      <w:r>
        <w:rPr>
          <w:spacing w:val="-4"/>
        </w:rPr>
        <w:t> </w:t>
      </w:r>
      <w:r>
        <w:rPr/>
        <w:t>60 calendar days of receiving comments from CMS on the draft.</w:t>
      </w:r>
    </w:p>
    <w:p>
      <w:pPr>
        <w:pStyle w:val="BodyText"/>
        <w:spacing w:before="10"/>
        <w:rPr>
          <w:sz w:val="20"/>
        </w:rPr>
      </w:pPr>
    </w:p>
    <w:p>
      <w:pPr>
        <w:pStyle w:val="BodyText"/>
        <w:ind w:left="1411" w:right="1059"/>
      </w:pPr>
      <w:r>
        <w:rPr/>
        <w:drawing>
          <wp:anchor distT="0" distB="0" distL="0" distR="0" allowOverlap="1" layoutInCell="1" locked="0" behindDoc="0" simplePos="0" relativeHeight="16073216">
            <wp:simplePos x="0" y="0"/>
            <wp:positionH relativeFrom="page">
              <wp:posOffset>1424939</wp:posOffset>
            </wp:positionH>
            <wp:positionV relativeFrom="paragraph">
              <wp:posOffset>32551</wp:posOffset>
            </wp:positionV>
            <wp:extent cx="111251" cy="115823"/>
            <wp:effectExtent l="0" t="0" r="0" b="0"/>
            <wp:wrapNone/>
            <wp:docPr id="685" name="Image 685"/>
            <wp:cNvGraphicFramePr>
              <a:graphicFrameLocks/>
            </wp:cNvGraphicFramePr>
            <a:graphic>
              <a:graphicData uri="http://schemas.openxmlformats.org/drawingml/2006/picture">
                <pic:pic>
                  <pic:nvPicPr>
                    <pic:cNvPr id="685" name="Image 685"/>
                    <pic:cNvPicPr/>
                  </pic:nvPicPr>
                  <pic:blipFill>
                    <a:blip r:embed="rId34" cstate="print"/>
                    <a:stretch>
                      <a:fillRect/>
                    </a:stretch>
                  </pic:blipFill>
                  <pic:spPr>
                    <a:xfrm>
                      <a:off x="0" y="0"/>
                      <a:ext cx="111251" cy="115823"/>
                    </a:xfrm>
                    <a:prstGeom prst="rect">
                      <a:avLst/>
                    </a:prstGeom>
                  </pic:spPr>
                </pic:pic>
              </a:graphicData>
            </a:graphic>
          </wp:anchor>
        </w:drawing>
      </w:r>
      <w:bookmarkStart w:name="b. The final Summative Evaluation Report" w:id="985"/>
      <w:bookmarkEnd w:id="985"/>
      <w:r>
        <w:rPr/>
      </w:r>
      <w:r>
        <w:rPr/>
        <w:t>The</w:t>
      </w:r>
      <w:r>
        <w:rPr>
          <w:spacing w:val="-5"/>
        </w:rPr>
        <w:t> </w:t>
      </w:r>
      <w:r>
        <w:rPr/>
        <w:t>final</w:t>
      </w:r>
      <w:r>
        <w:rPr>
          <w:spacing w:val="-4"/>
        </w:rPr>
        <w:t> </w:t>
      </w:r>
      <w:r>
        <w:rPr/>
        <w:t>Summative</w:t>
      </w:r>
      <w:r>
        <w:rPr>
          <w:spacing w:val="-5"/>
        </w:rPr>
        <w:t> </w:t>
      </w:r>
      <w:r>
        <w:rPr/>
        <w:t>Evaluation</w:t>
      </w:r>
      <w:r>
        <w:rPr>
          <w:spacing w:val="-4"/>
        </w:rPr>
        <w:t> </w:t>
      </w:r>
      <w:r>
        <w:rPr/>
        <w:t>Report</w:t>
      </w:r>
      <w:r>
        <w:rPr>
          <w:spacing w:val="-4"/>
        </w:rPr>
        <w:t> </w:t>
      </w:r>
      <w:r>
        <w:rPr/>
        <w:t>must</w:t>
      </w:r>
      <w:r>
        <w:rPr>
          <w:spacing w:val="-4"/>
        </w:rPr>
        <w:t> </w:t>
      </w:r>
      <w:r>
        <w:rPr/>
        <w:t>be</w:t>
      </w:r>
      <w:r>
        <w:rPr>
          <w:spacing w:val="-5"/>
        </w:rPr>
        <w:t> </w:t>
      </w:r>
      <w:r>
        <w:rPr/>
        <w:t>posted</w:t>
      </w:r>
      <w:r>
        <w:rPr>
          <w:spacing w:val="-4"/>
        </w:rPr>
        <w:t> </w:t>
      </w:r>
      <w:r>
        <w:rPr/>
        <w:t>to</w:t>
      </w:r>
      <w:r>
        <w:rPr>
          <w:spacing w:val="-4"/>
        </w:rPr>
        <w:t> </w:t>
      </w:r>
      <w:r>
        <w:rPr/>
        <w:t>the</w:t>
      </w:r>
      <w:r>
        <w:rPr>
          <w:spacing w:val="-5"/>
        </w:rPr>
        <w:t> </w:t>
      </w:r>
      <w:r>
        <w:rPr/>
        <w:t>Commonwealth’s Medicaid website within 30 calendar days of approval by CMS.</w:t>
      </w:r>
    </w:p>
    <w:p>
      <w:pPr>
        <w:pStyle w:val="BodyText"/>
        <w:spacing w:before="10"/>
        <w:rPr>
          <w:sz w:val="20"/>
        </w:rPr>
      </w:pPr>
    </w:p>
    <w:p>
      <w:pPr>
        <w:pStyle w:val="BodyText"/>
        <w:ind w:left="871" w:right="1064"/>
      </w:pPr>
      <w:r>
        <w:rPr/>
        <w:drawing>
          <wp:anchor distT="0" distB="0" distL="0" distR="0" allowOverlap="1" layoutInCell="1" locked="0" behindDoc="0" simplePos="0" relativeHeight="16073728">
            <wp:simplePos x="0" y="0"/>
            <wp:positionH relativeFrom="page">
              <wp:posOffset>908303</wp:posOffset>
            </wp:positionH>
            <wp:positionV relativeFrom="paragraph">
              <wp:posOffset>35612</wp:posOffset>
            </wp:positionV>
            <wp:extent cx="283463" cy="112762"/>
            <wp:effectExtent l="0" t="0" r="0" b="0"/>
            <wp:wrapNone/>
            <wp:docPr id="686" name="Image 686"/>
            <wp:cNvGraphicFramePr>
              <a:graphicFrameLocks/>
            </wp:cNvGraphicFramePr>
            <a:graphic>
              <a:graphicData uri="http://schemas.openxmlformats.org/drawingml/2006/picture">
                <pic:pic>
                  <pic:nvPicPr>
                    <pic:cNvPr id="686" name="Image 686"/>
                    <pic:cNvPicPr/>
                  </pic:nvPicPr>
                  <pic:blipFill>
                    <a:blip r:embed="rId265" cstate="print"/>
                    <a:stretch>
                      <a:fillRect/>
                    </a:stretch>
                  </pic:blipFill>
                  <pic:spPr>
                    <a:xfrm>
                      <a:off x="0" y="0"/>
                      <a:ext cx="283463" cy="112762"/>
                    </a:xfrm>
                    <a:prstGeom prst="rect">
                      <a:avLst/>
                    </a:prstGeom>
                  </pic:spPr>
                </pic:pic>
              </a:graphicData>
            </a:graphic>
          </wp:anchor>
        </w:drawing>
      </w:r>
      <w:bookmarkStart w:name="17.9. Corrective Action Plan Related to " w:id="986"/>
      <w:bookmarkEnd w:id="986"/>
      <w:r>
        <w:rPr/>
      </w:r>
      <w:r>
        <w:rPr>
          <w:b/>
        </w:rPr>
        <w:t>Corrective Action Plan Related to Evaluation</w:t>
      </w:r>
      <w:r>
        <w:rPr/>
        <w:t>. If evaluation findings indicate that demonstration features are not likely to assist in promoting the objectives of Medicaid, CMS reserves the right to require the Commonwealth to submit a corrective action plan to CMS for approval.</w:t>
      </w:r>
      <w:r>
        <w:rPr>
          <w:spacing w:val="80"/>
        </w:rPr>
        <w:t> </w:t>
      </w:r>
      <w:r>
        <w:rPr/>
        <w:t>These discussions may also occur as part of an extension process</w:t>
      </w:r>
      <w:r>
        <w:rPr/>
        <w:t> when associated with the Interim Evaluation Report, or as part of the review of the Summative Evaluation Report.</w:t>
      </w:r>
      <w:r>
        <w:rPr>
          <w:spacing w:val="40"/>
        </w:rPr>
        <w:t> </w:t>
      </w:r>
      <w:r>
        <w:rPr/>
        <w:t>A corrective action plan could include a temporary suspension of implementation of demonstration programs, in circumstances where evaluation findings indicate substantial and sustained directional change inconsistent with demonstration goals, such as substantial and sustained trends indicating increased difficulty accessing services.</w:t>
      </w:r>
      <w:r>
        <w:rPr>
          <w:spacing w:val="40"/>
        </w:rPr>
        <w:t> </w:t>
      </w:r>
      <w:r>
        <w:rPr/>
        <w:t>A corrective action plan may be an interim step to withdrawing</w:t>
      </w:r>
      <w:r>
        <w:rPr>
          <w:spacing w:val="-6"/>
        </w:rPr>
        <w:t> </w:t>
      </w:r>
      <w:r>
        <w:rPr/>
        <w:t>waivers</w:t>
      </w:r>
      <w:r>
        <w:rPr>
          <w:spacing w:val="-3"/>
        </w:rPr>
        <w:t> </w:t>
      </w:r>
      <w:r>
        <w:rPr/>
        <w:t>or</w:t>
      </w:r>
      <w:r>
        <w:rPr>
          <w:spacing w:val="-4"/>
        </w:rPr>
        <w:t> </w:t>
      </w:r>
      <w:r>
        <w:rPr/>
        <w:t>expenditure</w:t>
      </w:r>
      <w:r>
        <w:rPr>
          <w:spacing w:val="-4"/>
        </w:rPr>
        <w:t> </w:t>
      </w:r>
      <w:r>
        <w:rPr/>
        <w:t>authorities,</w:t>
      </w:r>
      <w:r>
        <w:rPr>
          <w:spacing w:val="-3"/>
        </w:rPr>
        <w:t> </w:t>
      </w:r>
      <w:r>
        <w:rPr/>
        <w:t>as</w:t>
      </w:r>
      <w:r>
        <w:rPr>
          <w:spacing w:val="-3"/>
        </w:rPr>
        <w:t> </w:t>
      </w:r>
      <w:r>
        <w:rPr/>
        <w:t>outlined</w:t>
      </w:r>
      <w:r>
        <w:rPr>
          <w:spacing w:val="-3"/>
        </w:rPr>
        <w:t> </w:t>
      </w:r>
      <w:r>
        <w:rPr/>
        <w:t>in</w:t>
      </w:r>
      <w:r>
        <w:rPr>
          <w:spacing w:val="-3"/>
        </w:rPr>
        <w:t> </w:t>
      </w:r>
      <w:r>
        <w:rPr/>
        <w:t>STC</w:t>
      </w:r>
      <w:r>
        <w:rPr>
          <w:spacing w:val="-3"/>
        </w:rPr>
        <w:t> </w:t>
      </w:r>
      <w:r>
        <w:rPr/>
        <w:t>3.10.</w:t>
      </w:r>
      <w:r>
        <w:rPr>
          <w:spacing w:val="40"/>
        </w:rPr>
        <w:t> </w:t>
      </w:r>
      <w:r>
        <w:rPr/>
        <w:t>CMS</w:t>
      </w:r>
      <w:r>
        <w:rPr>
          <w:spacing w:val="-3"/>
        </w:rPr>
        <w:t> </w:t>
      </w:r>
      <w:r>
        <w:rPr/>
        <w:t>further</w:t>
      </w:r>
      <w:r>
        <w:rPr>
          <w:spacing w:val="-4"/>
        </w:rPr>
        <w:t> </w:t>
      </w:r>
      <w:r>
        <w:rPr/>
        <w:t>has the ability to suspend implementation of the demonstration should corrective actions not effectively resolve these concerns in a timely manner.</w:t>
      </w:r>
    </w:p>
    <w:p>
      <w:pPr>
        <w:pStyle w:val="BodyText"/>
        <w:spacing w:before="10"/>
        <w:rPr>
          <w:sz w:val="20"/>
        </w:rPr>
      </w:pPr>
    </w:p>
    <w:p>
      <w:pPr>
        <w:pStyle w:val="BodyText"/>
        <w:ind w:left="871" w:right="1059"/>
      </w:pPr>
      <w:r>
        <w:rPr/>
        <w:drawing>
          <wp:anchor distT="0" distB="0" distL="0" distR="0" allowOverlap="1" layoutInCell="1" locked="0" behindDoc="0" simplePos="0" relativeHeight="16074240">
            <wp:simplePos x="0" y="0"/>
            <wp:positionH relativeFrom="page">
              <wp:posOffset>832103</wp:posOffset>
            </wp:positionH>
            <wp:positionV relativeFrom="paragraph">
              <wp:posOffset>35599</wp:posOffset>
            </wp:positionV>
            <wp:extent cx="359663" cy="112775"/>
            <wp:effectExtent l="0" t="0" r="0" b="0"/>
            <wp:wrapNone/>
            <wp:docPr id="687" name="Image 687"/>
            <wp:cNvGraphicFramePr>
              <a:graphicFrameLocks/>
            </wp:cNvGraphicFramePr>
            <a:graphic>
              <a:graphicData uri="http://schemas.openxmlformats.org/drawingml/2006/picture">
                <pic:pic>
                  <pic:nvPicPr>
                    <pic:cNvPr id="687" name="Image 687"/>
                    <pic:cNvPicPr/>
                  </pic:nvPicPr>
                  <pic:blipFill>
                    <a:blip r:embed="rId266" cstate="print"/>
                    <a:stretch>
                      <a:fillRect/>
                    </a:stretch>
                  </pic:blipFill>
                  <pic:spPr>
                    <a:xfrm>
                      <a:off x="0" y="0"/>
                      <a:ext cx="359663" cy="112775"/>
                    </a:xfrm>
                    <a:prstGeom prst="rect">
                      <a:avLst/>
                    </a:prstGeom>
                  </pic:spPr>
                </pic:pic>
              </a:graphicData>
            </a:graphic>
          </wp:anchor>
        </w:drawing>
      </w:r>
      <w:bookmarkStart w:name="17.10. State Presentations for CMS. CMS " w:id="987"/>
      <w:bookmarkEnd w:id="987"/>
      <w:r>
        <w:rPr/>
      </w:r>
      <w:r>
        <w:rPr>
          <w:b/>
        </w:rPr>
        <w:t>State</w:t>
      </w:r>
      <w:r>
        <w:rPr>
          <w:b/>
          <w:spacing w:val="-3"/>
        </w:rPr>
        <w:t> </w:t>
      </w:r>
      <w:r>
        <w:rPr>
          <w:b/>
        </w:rPr>
        <w:t>Presentations</w:t>
      </w:r>
      <w:r>
        <w:rPr>
          <w:b/>
          <w:spacing w:val="-4"/>
        </w:rPr>
        <w:t> </w:t>
      </w:r>
      <w:r>
        <w:rPr>
          <w:b/>
        </w:rPr>
        <w:t>for</w:t>
      </w:r>
      <w:r>
        <w:rPr>
          <w:b/>
          <w:spacing w:val="-5"/>
        </w:rPr>
        <w:t> </w:t>
      </w:r>
      <w:r>
        <w:rPr>
          <w:b/>
        </w:rPr>
        <w:t>CMS.</w:t>
      </w:r>
      <w:r>
        <w:rPr>
          <w:b/>
          <w:spacing w:val="-4"/>
        </w:rPr>
        <w:t> </w:t>
      </w:r>
      <w:r>
        <w:rPr/>
        <w:t>CMS</w:t>
      </w:r>
      <w:r>
        <w:rPr>
          <w:spacing w:val="-4"/>
        </w:rPr>
        <w:t> </w:t>
      </w:r>
      <w:r>
        <w:rPr/>
        <w:t>reserves</w:t>
      </w:r>
      <w:r>
        <w:rPr>
          <w:spacing w:val="-4"/>
        </w:rPr>
        <w:t> </w:t>
      </w:r>
      <w:r>
        <w:rPr/>
        <w:t>the</w:t>
      </w:r>
      <w:r>
        <w:rPr>
          <w:spacing w:val="-3"/>
        </w:rPr>
        <w:t> </w:t>
      </w:r>
      <w:r>
        <w:rPr/>
        <w:t>right</w:t>
      </w:r>
      <w:r>
        <w:rPr>
          <w:spacing w:val="-4"/>
        </w:rPr>
        <w:t> </w:t>
      </w:r>
      <w:r>
        <w:rPr/>
        <w:t>to</w:t>
      </w:r>
      <w:r>
        <w:rPr>
          <w:spacing w:val="-5"/>
        </w:rPr>
        <w:t> </w:t>
      </w:r>
      <w:r>
        <w:rPr/>
        <w:t>request</w:t>
      </w:r>
      <w:r>
        <w:rPr>
          <w:spacing w:val="-4"/>
        </w:rPr>
        <w:t> </w:t>
      </w:r>
      <w:r>
        <w:rPr/>
        <w:t>that</w:t>
      </w:r>
      <w:r>
        <w:rPr>
          <w:spacing w:val="-4"/>
        </w:rPr>
        <w:t> </w:t>
      </w:r>
      <w:r>
        <w:rPr/>
        <w:t>the</w:t>
      </w:r>
      <w:r>
        <w:rPr>
          <w:spacing w:val="-5"/>
        </w:rPr>
        <w:t> </w:t>
      </w:r>
      <w:r>
        <w:rPr/>
        <w:t>Commonwealth present and participate in a discussion with CMS on the Evaluation Design, Interim Evaluation Report, and/or Summative Evaluation report. Presentations may</w:t>
      </w:r>
      <w:r>
        <w:rPr>
          <w:spacing w:val="-1"/>
        </w:rPr>
        <w:t> </w:t>
      </w:r>
      <w:r>
        <w:rPr/>
        <w:t>be conducted </w:t>
      </w:r>
      <w:r>
        <w:rPr>
          <w:spacing w:val="-2"/>
        </w:rPr>
        <w:t>remotely.</w:t>
      </w:r>
    </w:p>
    <w:p>
      <w:pPr>
        <w:pStyle w:val="BodyText"/>
        <w:spacing w:before="10"/>
        <w:rPr>
          <w:sz w:val="20"/>
        </w:rPr>
      </w:pPr>
    </w:p>
    <w:p>
      <w:pPr>
        <w:pStyle w:val="BodyText"/>
        <w:ind w:left="871"/>
      </w:pPr>
      <w:r>
        <w:rPr/>
        <w:drawing>
          <wp:anchor distT="0" distB="0" distL="0" distR="0" allowOverlap="1" layoutInCell="1" locked="0" behindDoc="0" simplePos="0" relativeHeight="16074752">
            <wp:simplePos x="0" y="0"/>
            <wp:positionH relativeFrom="page">
              <wp:posOffset>832103</wp:posOffset>
            </wp:positionH>
            <wp:positionV relativeFrom="paragraph">
              <wp:posOffset>35599</wp:posOffset>
            </wp:positionV>
            <wp:extent cx="359663" cy="112775"/>
            <wp:effectExtent l="0" t="0" r="0" b="0"/>
            <wp:wrapNone/>
            <wp:docPr id="688" name="Image 688"/>
            <wp:cNvGraphicFramePr>
              <a:graphicFrameLocks/>
            </wp:cNvGraphicFramePr>
            <a:graphic>
              <a:graphicData uri="http://schemas.openxmlformats.org/drawingml/2006/picture">
                <pic:pic>
                  <pic:nvPicPr>
                    <pic:cNvPr id="688" name="Image 688"/>
                    <pic:cNvPicPr/>
                  </pic:nvPicPr>
                  <pic:blipFill>
                    <a:blip r:embed="rId267" cstate="print"/>
                    <a:stretch>
                      <a:fillRect/>
                    </a:stretch>
                  </pic:blipFill>
                  <pic:spPr>
                    <a:xfrm>
                      <a:off x="0" y="0"/>
                      <a:ext cx="359663" cy="112775"/>
                    </a:xfrm>
                    <a:prstGeom prst="rect">
                      <a:avLst/>
                    </a:prstGeom>
                  </pic:spPr>
                </pic:pic>
              </a:graphicData>
            </a:graphic>
          </wp:anchor>
        </w:drawing>
      </w:r>
      <w:bookmarkStart w:name="17.11. Close Out Report. Within 120 cale" w:id="988"/>
      <w:bookmarkEnd w:id="988"/>
      <w:r>
        <w:rPr/>
      </w:r>
      <w:r>
        <w:rPr>
          <w:b/>
        </w:rPr>
        <w:t>Close</w:t>
      </w:r>
      <w:r>
        <w:rPr>
          <w:b/>
          <w:spacing w:val="-4"/>
        </w:rPr>
        <w:t> </w:t>
      </w:r>
      <w:r>
        <w:rPr>
          <w:b/>
        </w:rPr>
        <w:t>Out</w:t>
      </w:r>
      <w:r>
        <w:rPr>
          <w:b/>
          <w:spacing w:val="-4"/>
        </w:rPr>
        <w:t> </w:t>
      </w:r>
      <w:r>
        <w:rPr>
          <w:b/>
        </w:rPr>
        <w:t>Report.</w:t>
      </w:r>
      <w:r>
        <w:rPr>
          <w:b/>
          <w:spacing w:val="-3"/>
        </w:rPr>
        <w:t> </w:t>
      </w:r>
      <w:r>
        <w:rPr/>
        <w:t>Within</w:t>
      </w:r>
      <w:r>
        <w:rPr>
          <w:spacing w:val="-3"/>
        </w:rPr>
        <w:t> </w:t>
      </w:r>
      <w:r>
        <w:rPr/>
        <w:t>120</w:t>
      </w:r>
      <w:r>
        <w:rPr>
          <w:spacing w:val="-3"/>
        </w:rPr>
        <w:t> </w:t>
      </w:r>
      <w:r>
        <w:rPr/>
        <w:t>calendar</w:t>
      </w:r>
      <w:r>
        <w:rPr>
          <w:spacing w:val="-4"/>
        </w:rPr>
        <w:t> </w:t>
      </w:r>
      <w:r>
        <w:rPr/>
        <w:t>days</w:t>
      </w:r>
      <w:r>
        <w:rPr>
          <w:spacing w:val="-3"/>
        </w:rPr>
        <w:t> </w:t>
      </w:r>
      <w:r>
        <w:rPr/>
        <w:t>after</w:t>
      </w:r>
      <w:r>
        <w:rPr>
          <w:spacing w:val="-4"/>
        </w:rPr>
        <w:t> </w:t>
      </w:r>
      <w:r>
        <w:rPr/>
        <w:t>the</w:t>
      </w:r>
      <w:r>
        <w:rPr>
          <w:spacing w:val="-4"/>
        </w:rPr>
        <w:t> </w:t>
      </w:r>
      <w:r>
        <w:rPr/>
        <w:t>expiration</w:t>
      </w:r>
      <w:r>
        <w:rPr>
          <w:spacing w:val="-3"/>
        </w:rPr>
        <w:t> </w:t>
      </w:r>
      <w:r>
        <w:rPr/>
        <w:t>of</w:t>
      </w:r>
      <w:r>
        <w:rPr>
          <w:spacing w:val="-4"/>
        </w:rPr>
        <w:t> </w:t>
      </w:r>
      <w:r>
        <w:rPr/>
        <w:t>the</w:t>
      </w:r>
      <w:r>
        <w:rPr>
          <w:spacing w:val="-4"/>
        </w:rPr>
        <w:t> </w:t>
      </w:r>
      <w:r>
        <w:rPr/>
        <w:t>demonstration,</w:t>
      </w:r>
      <w:r>
        <w:rPr>
          <w:spacing w:val="-3"/>
        </w:rPr>
        <w:t> </w:t>
      </w:r>
      <w:r>
        <w:rPr/>
        <w:t>the Commonwealth must submit a draft Close Out Report to CMS for comments.</w:t>
      </w:r>
    </w:p>
    <w:p>
      <w:pPr>
        <w:pStyle w:val="BodyText"/>
        <w:spacing w:before="10"/>
        <w:rPr>
          <w:sz w:val="20"/>
        </w:rPr>
      </w:pPr>
    </w:p>
    <w:p>
      <w:pPr>
        <w:pStyle w:val="BodyText"/>
        <w:ind w:left="1411"/>
      </w:pPr>
      <w:r>
        <w:rPr/>
        <w:drawing>
          <wp:anchor distT="0" distB="0" distL="0" distR="0" allowOverlap="1" layoutInCell="1" locked="0" behindDoc="0" simplePos="0" relativeHeight="16075264">
            <wp:simplePos x="0" y="0"/>
            <wp:positionH relativeFrom="page">
              <wp:posOffset>1431036</wp:posOffset>
            </wp:positionH>
            <wp:positionV relativeFrom="paragraph">
              <wp:posOffset>67603</wp:posOffset>
            </wp:positionV>
            <wp:extent cx="96011" cy="80771"/>
            <wp:effectExtent l="0" t="0" r="0" b="0"/>
            <wp:wrapNone/>
            <wp:docPr id="689" name="Image 689"/>
            <wp:cNvGraphicFramePr>
              <a:graphicFrameLocks/>
            </wp:cNvGraphicFramePr>
            <a:graphic>
              <a:graphicData uri="http://schemas.openxmlformats.org/drawingml/2006/picture">
                <pic:pic>
                  <pic:nvPicPr>
                    <pic:cNvPr id="689" name="Image 689"/>
                    <pic:cNvPicPr/>
                  </pic:nvPicPr>
                  <pic:blipFill>
                    <a:blip r:embed="rId40" cstate="print"/>
                    <a:stretch>
                      <a:fillRect/>
                    </a:stretch>
                  </pic:blipFill>
                  <pic:spPr>
                    <a:xfrm>
                      <a:off x="0" y="0"/>
                      <a:ext cx="96011" cy="80771"/>
                    </a:xfrm>
                    <a:prstGeom prst="rect">
                      <a:avLst/>
                    </a:prstGeom>
                  </pic:spPr>
                </pic:pic>
              </a:graphicData>
            </a:graphic>
          </wp:anchor>
        </w:drawing>
      </w:r>
      <w:bookmarkStart w:name="a. The Close Out Report must comply with" w:id="989"/>
      <w:bookmarkEnd w:id="989"/>
      <w:r>
        <w:rPr/>
      </w:r>
      <w:r>
        <w:rPr/>
        <w:t>The</w:t>
      </w:r>
      <w:r>
        <w:rPr>
          <w:spacing w:val="-3"/>
        </w:rPr>
        <w:t> </w:t>
      </w:r>
      <w:r>
        <w:rPr/>
        <w:t>Close</w:t>
      </w:r>
      <w:r>
        <w:rPr>
          <w:spacing w:val="-2"/>
        </w:rPr>
        <w:t> </w:t>
      </w:r>
      <w:r>
        <w:rPr/>
        <w:t>Out</w:t>
      </w:r>
      <w:r>
        <w:rPr>
          <w:spacing w:val="-1"/>
        </w:rPr>
        <w:t> </w:t>
      </w:r>
      <w:r>
        <w:rPr/>
        <w:t>Report</w:t>
      </w:r>
      <w:r>
        <w:rPr>
          <w:spacing w:val="-1"/>
        </w:rPr>
        <w:t> </w:t>
      </w:r>
      <w:r>
        <w:rPr/>
        <w:t>must</w:t>
      </w:r>
      <w:r>
        <w:rPr>
          <w:spacing w:val="-1"/>
        </w:rPr>
        <w:t> </w:t>
      </w:r>
      <w:r>
        <w:rPr/>
        <w:t>comply</w:t>
      </w:r>
      <w:r>
        <w:rPr>
          <w:spacing w:val="-6"/>
        </w:rPr>
        <w:t> </w:t>
      </w:r>
      <w:r>
        <w:rPr/>
        <w:t>with</w:t>
      </w:r>
      <w:r>
        <w:rPr>
          <w:spacing w:val="-2"/>
        </w:rPr>
        <w:t> </w:t>
      </w:r>
      <w:r>
        <w:rPr/>
        <w:t>the</w:t>
      </w:r>
      <w:r>
        <w:rPr>
          <w:spacing w:val="-2"/>
        </w:rPr>
        <w:t> </w:t>
      </w:r>
      <w:r>
        <w:rPr/>
        <w:t>most</w:t>
      </w:r>
      <w:r>
        <w:rPr>
          <w:spacing w:val="-1"/>
        </w:rPr>
        <w:t> </w:t>
      </w:r>
      <w:r>
        <w:rPr/>
        <w:t>current</w:t>
      </w:r>
      <w:r>
        <w:rPr>
          <w:spacing w:val="-1"/>
        </w:rPr>
        <w:t> </w:t>
      </w:r>
      <w:r>
        <w:rPr/>
        <w:t>Guidance from</w:t>
      </w:r>
      <w:r>
        <w:rPr>
          <w:spacing w:val="1"/>
        </w:rPr>
        <w:t> </w:t>
      </w:r>
      <w:r>
        <w:rPr>
          <w:spacing w:val="-4"/>
        </w:rPr>
        <w:t>CMS.</w:t>
      </w:r>
    </w:p>
    <w:p>
      <w:pPr>
        <w:pStyle w:val="BodyText"/>
        <w:spacing w:before="10"/>
        <w:rPr>
          <w:sz w:val="20"/>
        </w:rPr>
      </w:pPr>
    </w:p>
    <w:p>
      <w:pPr>
        <w:pStyle w:val="BodyText"/>
        <w:spacing w:before="1"/>
        <w:ind w:left="1411" w:right="1179"/>
      </w:pPr>
      <w:r>
        <w:rPr/>
        <w:drawing>
          <wp:anchor distT="0" distB="0" distL="0" distR="0" allowOverlap="1" layoutInCell="1" locked="0" behindDoc="0" simplePos="0" relativeHeight="16075776">
            <wp:simplePos x="0" y="0"/>
            <wp:positionH relativeFrom="page">
              <wp:posOffset>1424939</wp:posOffset>
            </wp:positionH>
            <wp:positionV relativeFrom="paragraph">
              <wp:posOffset>33186</wp:posOffset>
            </wp:positionV>
            <wp:extent cx="111251" cy="115823"/>
            <wp:effectExtent l="0" t="0" r="0" b="0"/>
            <wp:wrapNone/>
            <wp:docPr id="690" name="Image 690"/>
            <wp:cNvGraphicFramePr>
              <a:graphicFrameLocks/>
            </wp:cNvGraphicFramePr>
            <a:graphic>
              <a:graphicData uri="http://schemas.openxmlformats.org/drawingml/2006/picture">
                <pic:pic>
                  <pic:nvPicPr>
                    <pic:cNvPr id="690" name="Image 690"/>
                    <pic:cNvPicPr/>
                  </pic:nvPicPr>
                  <pic:blipFill>
                    <a:blip r:embed="rId105" cstate="print"/>
                    <a:stretch>
                      <a:fillRect/>
                    </a:stretch>
                  </pic:blipFill>
                  <pic:spPr>
                    <a:xfrm>
                      <a:off x="0" y="0"/>
                      <a:ext cx="111251" cy="115823"/>
                    </a:xfrm>
                    <a:prstGeom prst="rect">
                      <a:avLst/>
                    </a:prstGeom>
                  </pic:spPr>
                </pic:pic>
              </a:graphicData>
            </a:graphic>
          </wp:anchor>
        </w:drawing>
      </w:r>
      <w:bookmarkStart w:name="b. In consultation with CMS, and per gui" w:id="990"/>
      <w:bookmarkEnd w:id="990"/>
      <w:r>
        <w:rPr/>
      </w:r>
      <w:r>
        <w:rPr/>
        <w:t>In consultation with CMS, and per guidance from CMS, the Commonwealth will include</w:t>
      </w:r>
      <w:r>
        <w:rPr>
          <w:spacing w:val="-5"/>
        </w:rPr>
        <w:t> </w:t>
      </w:r>
      <w:r>
        <w:rPr/>
        <w:t>an</w:t>
      </w:r>
      <w:r>
        <w:rPr>
          <w:spacing w:val="-4"/>
        </w:rPr>
        <w:t> </w:t>
      </w:r>
      <w:r>
        <w:rPr/>
        <w:t>evaluation</w:t>
      </w:r>
      <w:r>
        <w:rPr>
          <w:spacing w:val="-4"/>
        </w:rPr>
        <w:t> </w:t>
      </w:r>
      <w:r>
        <w:rPr/>
        <w:t>of</w:t>
      </w:r>
      <w:r>
        <w:rPr>
          <w:spacing w:val="-5"/>
        </w:rPr>
        <w:t> </w:t>
      </w:r>
      <w:r>
        <w:rPr/>
        <w:t>the</w:t>
      </w:r>
      <w:r>
        <w:rPr>
          <w:spacing w:val="-5"/>
        </w:rPr>
        <w:t> </w:t>
      </w:r>
      <w:r>
        <w:rPr/>
        <w:t>demonstration</w:t>
      </w:r>
      <w:r>
        <w:rPr>
          <w:spacing w:val="-4"/>
        </w:rPr>
        <w:t> </w:t>
      </w:r>
      <w:r>
        <w:rPr/>
        <w:t>(or</w:t>
      </w:r>
      <w:r>
        <w:rPr>
          <w:spacing w:val="-5"/>
        </w:rPr>
        <w:t> </w:t>
      </w:r>
      <w:r>
        <w:rPr/>
        <w:t>demonstration</w:t>
      </w:r>
      <w:r>
        <w:rPr>
          <w:spacing w:val="-4"/>
        </w:rPr>
        <w:t> </w:t>
      </w:r>
      <w:r>
        <w:rPr/>
        <w:t>components)</w:t>
      </w:r>
      <w:r>
        <w:rPr>
          <w:spacing w:val="-5"/>
        </w:rPr>
        <w:t> </w:t>
      </w:r>
      <w:r>
        <w:rPr/>
        <w:t>that</w:t>
      </w:r>
      <w:r>
        <w:rPr>
          <w:spacing w:val="-4"/>
        </w:rPr>
        <w:t> </w:t>
      </w:r>
      <w:r>
        <w:rPr/>
        <w:t>are to phase out or expire without extension along with the Close Out Report.</w:t>
      </w:r>
    </w:p>
    <w:p>
      <w:pPr>
        <w:pStyle w:val="BodyText"/>
        <w:ind w:left="1411" w:right="1693"/>
        <w:jc w:val="both"/>
      </w:pPr>
      <w:r>
        <w:rPr/>
        <w:t>Depending</w:t>
      </w:r>
      <w:r>
        <w:rPr>
          <w:spacing w:val="-6"/>
        </w:rPr>
        <w:t> </w:t>
      </w:r>
      <w:r>
        <w:rPr/>
        <w:t>on</w:t>
      </w:r>
      <w:r>
        <w:rPr>
          <w:spacing w:val="-3"/>
        </w:rPr>
        <w:t> </w:t>
      </w:r>
      <w:r>
        <w:rPr/>
        <w:t>the</w:t>
      </w:r>
      <w:r>
        <w:rPr>
          <w:spacing w:val="-4"/>
        </w:rPr>
        <w:t> </w:t>
      </w:r>
      <w:r>
        <w:rPr/>
        <w:t>timeline</w:t>
      </w:r>
      <w:r>
        <w:rPr>
          <w:spacing w:val="-4"/>
        </w:rPr>
        <w:t> </w:t>
      </w:r>
      <w:r>
        <w:rPr/>
        <w:t>of</w:t>
      </w:r>
      <w:r>
        <w:rPr>
          <w:spacing w:val="-4"/>
        </w:rPr>
        <w:t> </w:t>
      </w:r>
      <w:r>
        <w:rPr/>
        <w:t>the</w:t>
      </w:r>
      <w:r>
        <w:rPr>
          <w:spacing w:val="-4"/>
        </w:rPr>
        <w:t> </w:t>
      </w:r>
      <w:r>
        <w:rPr/>
        <w:t>phase-out</w:t>
      </w:r>
      <w:r>
        <w:rPr>
          <w:spacing w:val="-3"/>
        </w:rPr>
        <w:t> </w:t>
      </w:r>
      <w:r>
        <w:rPr/>
        <w:t>during</w:t>
      </w:r>
      <w:r>
        <w:rPr>
          <w:spacing w:val="-3"/>
        </w:rPr>
        <w:t> </w:t>
      </w:r>
      <w:r>
        <w:rPr/>
        <w:t>the</w:t>
      </w:r>
      <w:r>
        <w:rPr>
          <w:spacing w:val="-4"/>
        </w:rPr>
        <w:t> </w:t>
      </w:r>
      <w:r>
        <w:rPr/>
        <w:t>demonstration</w:t>
      </w:r>
      <w:r>
        <w:rPr>
          <w:spacing w:val="-3"/>
        </w:rPr>
        <w:t> </w:t>
      </w:r>
      <w:r>
        <w:rPr/>
        <w:t>approval period,</w:t>
      </w:r>
      <w:r>
        <w:rPr>
          <w:spacing w:val="-3"/>
        </w:rPr>
        <w:t> </w:t>
      </w:r>
      <w:r>
        <w:rPr/>
        <w:t>the</w:t>
      </w:r>
      <w:r>
        <w:rPr>
          <w:spacing w:val="-4"/>
        </w:rPr>
        <w:t> </w:t>
      </w:r>
      <w:r>
        <w:rPr/>
        <w:t>evaluation</w:t>
      </w:r>
      <w:r>
        <w:rPr>
          <w:spacing w:val="-3"/>
        </w:rPr>
        <w:t> </w:t>
      </w:r>
      <w:r>
        <w:rPr/>
        <w:t>requirement</w:t>
      </w:r>
      <w:r>
        <w:rPr>
          <w:spacing w:val="-3"/>
        </w:rPr>
        <w:t> </w:t>
      </w:r>
      <w:r>
        <w:rPr/>
        <w:t>may</w:t>
      </w:r>
      <w:r>
        <w:rPr>
          <w:spacing w:val="-8"/>
        </w:rPr>
        <w:t> </w:t>
      </w:r>
      <w:r>
        <w:rPr/>
        <w:t>be</w:t>
      </w:r>
      <w:r>
        <w:rPr>
          <w:spacing w:val="-4"/>
        </w:rPr>
        <w:t> </w:t>
      </w:r>
      <w:r>
        <w:rPr/>
        <w:t>satisfied</w:t>
      </w:r>
      <w:r>
        <w:rPr>
          <w:spacing w:val="-3"/>
        </w:rPr>
        <w:t> </w:t>
      </w:r>
      <w:r>
        <w:rPr/>
        <w:t>through</w:t>
      </w:r>
      <w:r>
        <w:rPr>
          <w:spacing w:val="-3"/>
        </w:rPr>
        <w:t> </w:t>
      </w:r>
      <w:r>
        <w:rPr/>
        <w:t>the Interim</w:t>
      </w:r>
      <w:r>
        <w:rPr>
          <w:spacing w:val="-3"/>
        </w:rPr>
        <w:t> </w:t>
      </w:r>
      <w:r>
        <w:rPr/>
        <w:t>and/or Summative</w:t>
      </w:r>
      <w:r>
        <w:rPr>
          <w:spacing w:val="-5"/>
        </w:rPr>
        <w:t> </w:t>
      </w:r>
      <w:r>
        <w:rPr/>
        <w:t>Evaluation</w:t>
      </w:r>
      <w:r>
        <w:rPr>
          <w:spacing w:val="-1"/>
        </w:rPr>
        <w:t> </w:t>
      </w:r>
      <w:r>
        <w:rPr/>
        <w:t>Reports</w:t>
      </w:r>
      <w:r>
        <w:rPr>
          <w:spacing w:val="-1"/>
        </w:rPr>
        <w:t> </w:t>
      </w:r>
      <w:r>
        <w:rPr/>
        <w:t>stipulated</w:t>
      </w:r>
      <w:r>
        <w:rPr>
          <w:spacing w:val="-2"/>
        </w:rPr>
        <w:t> </w:t>
      </w:r>
      <w:r>
        <w:rPr/>
        <w:t>in</w:t>
      </w:r>
      <w:r>
        <w:rPr>
          <w:spacing w:val="-1"/>
        </w:rPr>
        <w:t> </w:t>
      </w:r>
      <w:r>
        <w:rPr/>
        <w:t>STCs</w:t>
      </w:r>
      <w:r>
        <w:rPr>
          <w:spacing w:val="-4"/>
        </w:rPr>
        <w:t> </w:t>
      </w:r>
      <w:r>
        <w:rPr/>
        <w:t>15.6</w:t>
      </w:r>
      <w:r>
        <w:rPr>
          <w:spacing w:val="-2"/>
        </w:rPr>
        <w:t> </w:t>
      </w:r>
      <w:r>
        <w:rPr/>
        <w:t>and</w:t>
      </w:r>
      <w:r>
        <w:rPr>
          <w:spacing w:val="-1"/>
        </w:rPr>
        <w:t> </w:t>
      </w:r>
      <w:r>
        <w:rPr/>
        <w:t>15.7,</w:t>
      </w:r>
      <w:r>
        <w:rPr>
          <w:spacing w:val="-1"/>
        </w:rPr>
        <w:t> </w:t>
      </w:r>
      <w:r>
        <w:rPr>
          <w:spacing w:val="-2"/>
        </w:rPr>
        <w:t>respectively.</w:t>
      </w:r>
    </w:p>
    <w:p>
      <w:pPr>
        <w:pStyle w:val="BodyText"/>
        <w:spacing w:before="9"/>
        <w:rPr>
          <w:sz w:val="20"/>
        </w:rPr>
      </w:pPr>
    </w:p>
    <w:p>
      <w:pPr>
        <w:pStyle w:val="BodyText"/>
        <w:spacing w:before="1"/>
        <w:ind w:left="1411" w:right="1059"/>
      </w:pPr>
      <w:r>
        <w:rPr/>
        <w:drawing>
          <wp:anchor distT="0" distB="0" distL="0" distR="0" allowOverlap="1" layoutInCell="1" locked="0" behindDoc="0" simplePos="0" relativeHeight="16076288">
            <wp:simplePos x="0" y="0"/>
            <wp:positionH relativeFrom="page">
              <wp:posOffset>1431036</wp:posOffset>
            </wp:positionH>
            <wp:positionV relativeFrom="paragraph">
              <wp:posOffset>68238</wp:posOffset>
            </wp:positionV>
            <wp:extent cx="96011" cy="80771"/>
            <wp:effectExtent l="0" t="0" r="0" b="0"/>
            <wp:wrapNone/>
            <wp:docPr id="691" name="Image 691"/>
            <wp:cNvGraphicFramePr>
              <a:graphicFrameLocks/>
            </wp:cNvGraphicFramePr>
            <a:graphic>
              <a:graphicData uri="http://schemas.openxmlformats.org/drawingml/2006/picture">
                <pic:pic>
                  <pic:nvPicPr>
                    <pic:cNvPr id="691" name="Image 691"/>
                    <pic:cNvPicPr/>
                  </pic:nvPicPr>
                  <pic:blipFill>
                    <a:blip r:embed="rId41" cstate="print"/>
                    <a:stretch>
                      <a:fillRect/>
                    </a:stretch>
                  </pic:blipFill>
                  <pic:spPr>
                    <a:xfrm>
                      <a:off x="0" y="0"/>
                      <a:ext cx="96011" cy="80771"/>
                    </a:xfrm>
                    <a:prstGeom prst="rect">
                      <a:avLst/>
                    </a:prstGeom>
                  </pic:spPr>
                </pic:pic>
              </a:graphicData>
            </a:graphic>
          </wp:anchor>
        </w:drawing>
      </w:r>
      <w:bookmarkStart w:name="c. The Commonwealth will present to and " w:id="991"/>
      <w:bookmarkEnd w:id="991"/>
      <w:r>
        <w:rPr/>
      </w:r>
      <w:r>
        <w:rPr/>
        <w:t>The</w:t>
      </w:r>
      <w:r>
        <w:rPr>
          <w:spacing w:val="-4"/>
        </w:rPr>
        <w:t> </w:t>
      </w:r>
      <w:r>
        <w:rPr/>
        <w:t>Commonwealth</w:t>
      </w:r>
      <w:r>
        <w:rPr>
          <w:spacing w:val="-3"/>
        </w:rPr>
        <w:t> </w:t>
      </w:r>
      <w:r>
        <w:rPr/>
        <w:t>will</w:t>
      </w:r>
      <w:r>
        <w:rPr>
          <w:spacing w:val="-3"/>
        </w:rPr>
        <w:t> </w:t>
      </w:r>
      <w:r>
        <w:rPr/>
        <w:t>present</w:t>
      </w:r>
      <w:r>
        <w:rPr>
          <w:spacing w:val="-3"/>
        </w:rPr>
        <w:t> </w:t>
      </w:r>
      <w:r>
        <w:rPr/>
        <w:t>to</w:t>
      </w:r>
      <w:r>
        <w:rPr>
          <w:spacing w:val="-3"/>
        </w:rPr>
        <w:t> </w:t>
      </w:r>
      <w:r>
        <w:rPr/>
        <w:t>and</w:t>
      </w:r>
      <w:r>
        <w:rPr>
          <w:spacing w:val="-3"/>
        </w:rPr>
        <w:t> </w:t>
      </w:r>
      <w:r>
        <w:rPr/>
        <w:t>participate</w:t>
      </w:r>
      <w:r>
        <w:rPr>
          <w:spacing w:val="-4"/>
        </w:rPr>
        <w:t> </w:t>
      </w:r>
      <w:r>
        <w:rPr/>
        <w:t>in</w:t>
      </w:r>
      <w:r>
        <w:rPr>
          <w:spacing w:val="-3"/>
        </w:rPr>
        <w:t> </w:t>
      </w:r>
      <w:r>
        <w:rPr/>
        <w:t>a</w:t>
      </w:r>
      <w:r>
        <w:rPr>
          <w:spacing w:val="-4"/>
        </w:rPr>
        <w:t> </w:t>
      </w:r>
      <w:r>
        <w:rPr/>
        <w:t>discussion</w:t>
      </w:r>
      <w:r>
        <w:rPr>
          <w:spacing w:val="-3"/>
        </w:rPr>
        <w:t> </w:t>
      </w:r>
      <w:r>
        <w:rPr/>
        <w:t>with</w:t>
      </w:r>
      <w:r>
        <w:rPr>
          <w:spacing w:val="-3"/>
        </w:rPr>
        <w:t> </w:t>
      </w:r>
      <w:r>
        <w:rPr/>
        <w:t>CMS</w:t>
      </w:r>
      <w:r>
        <w:rPr>
          <w:spacing w:val="-3"/>
        </w:rPr>
        <w:t> </w:t>
      </w:r>
      <w:r>
        <w:rPr/>
        <w:t>on</w:t>
      </w:r>
      <w:r>
        <w:rPr>
          <w:spacing w:val="-3"/>
        </w:rPr>
        <w:t> </w:t>
      </w:r>
      <w:r>
        <w:rPr/>
        <w:t>the Close Out Report.</w:t>
      </w:r>
    </w:p>
    <w:p>
      <w:pPr>
        <w:pStyle w:val="BodyText"/>
        <w:spacing w:before="10"/>
        <w:rPr>
          <w:sz w:val="20"/>
        </w:rPr>
      </w:pPr>
    </w:p>
    <w:p>
      <w:pPr>
        <w:pStyle w:val="BodyText"/>
        <w:ind w:left="1411" w:right="1141"/>
      </w:pPr>
      <w:r>
        <w:rPr/>
        <w:drawing>
          <wp:anchor distT="0" distB="0" distL="0" distR="0" allowOverlap="1" layoutInCell="1" locked="0" behindDoc="0" simplePos="0" relativeHeight="16076800">
            <wp:simplePos x="0" y="0"/>
            <wp:positionH relativeFrom="page">
              <wp:posOffset>1431036</wp:posOffset>
            </wp:positionH>
            <wp:positionV relativeFrom="paragraph">
              <wp:posOffset>32551</wp:posOffset>
            </wp:positionV>
            <wp:extent cx="105155" cy="115823"/>
            <wp:effectExtent l="0" t="0" r="0" b="0"/>
            <wp:wrapNone/>
            <wp:docPr id="692" name="Image 692"/>
            <wp:cNvGraphicFramePr>
              <a:graphicFrameLocks/>
            </wp:cNvGraphicFramePr>
            <a:graphic>
              <a:graphicData uri="http://schemas.openxmlformats.org/drawingml/2006/picture">
                <pic:pic>
                  <pic:nvPicPr>
                    <pic:cNvPr id="692" name="Image 692"/>
                    <pic:cNvPicPr/>
                  </pic:nvPicPr>
                  <pic:blipFill>
                    <a:blip r:embed="rId109" cstate="print"/>
                    <a:stretch>
                      <a:fillRect/>
                    </a:stretch>
                  </pic:blipFill>
                  <pic:spPr>
                    <a:xfrm>
                      <a:off x="0" y="0"/>
                      <a:ext cx="105155" cy="115823"/>
                    </a:xfrm>
                    <a:prstGeom prst="rect">
                      <a:avLst/>
                    </a:prstGeom>
                  </pic:spPr>
                </pic:pic>
              </a:graphicData>
            </a:graphic>
          </wp:anchor>
        </w:drawing>
      </w:r>
      <w:bookmarkStart w:name="d. The Commonwealth must take into consi" w:id="992"/>
      <w:bookmarkEnd w:id="992"/>
      <w:r>
        <w:rPr/>
      </w:r>
      <w:r>
        <w:rPr/>
        <w:t>The</w:t>
      </w:r>
      <w:r>
        <w:rPr>
          <w:spacing w:val="-6"/>
        </w:rPr>
        <w:t> </w:t>
      </w:r>
      <w:r>
        <w:rPr/>
        <w:t>Commonwealth</w:t>
      </w:r>
      <w:r>
        <w:rPr>
          <w:spacing w:val="-5"/>
        </w:rPr>
        <w:t> </w:t>
      </w:r>
      <w:r>
        <w:rPr/>
        <w:t>must</w:t>
      </w:r>
      <w:r>
        <w:rPr>
          <w:spacing w:val="-5"/>
        </w:rPr>
        <w:t> </w:t>
      </w:r>
      <w:r>
        <w:rPr/>
        <w:t>take</w:t>
      </w:r>
      <w:r>
        <w:rPr>
          <w:spacing w:val="-6"/>
        </w:rPr>
        <w:t> </w:t>
      </w:r>
      <w:r>
        <w:rPr/>
        <w:t>into</w:t>
      </w:r>
      <w:r>
        <w:rPr>
          <w:spacing w:val="-5"/>
        </w:rPr>
        <w:t> </w:t>
      </w:r>
      <w:r>
        <w:rPr/>
        <w:t>consideration</w:t>
      </w:r>
      <w:r>
        <w:rPr>
          <w:spacing w:val="-3"/>
        </w:rPr>
        <w:t> </w:t>
      </w:r>
      <w:r>
        <w:rPr/>
        <w:t>CMS’s</w:t>
      </w:r>
      <w:r>
        <w:rPr>
          <w:spacing w:val="-5"/>
        </w:rPr>
        <w:t> </w:t>
      </w:r>
      <w:r>
        <w:rPr/>
        <w:t>comments</w:t>
      </w:r>
      <w:r>
        <w:rPr>
          <w:spacing w:val="-5"/>
        </w:rPr>
        <w:t> </w:t>
      </w:r>
      <w:r>
        <w:rPr/>
        <w:t>for incorporation into the final Close Out Report.</w:t>
      </w:r>
    </w:p>
    <w:p>
      <w:pPr>
        <w:pStyle w:val="BodyText"/>
        <w:spacing w:before="10"/>
        <w:rPr>
          <w:sz w:val="20"/>
        </w:rPr>
      </w:pPr>
    </w:p>
    <w:p>
      <w:pPr>
        <w:pStyle w:val="BodyText"/>
        <w:ind w:left="1411" w:right="1586"/>
        <w:jc w:val="both"/>
      </w:pPr>
      <w:r>
        <w:rPr/>
        <w:drawing>
          <wp:anchor distT="0" distB="0" distL="0" distR="0" allowOverlap="1" layoutInCell="1" locked="0" behindDoc="0" simplePos="0" relativeHeight="16077312">
            <wp:simplePos x="0" y="0"/>
            <wp:positionH relativeFrom="page">
              <wp:posOffset>1431036</wp:posOffset>
            </wp:positionH>
            <wp:positionV relativeFrom="paragraph">
              <wp:posOffset>67603</wp:posOffset>
            </wp:positionV>
            <wp:extent cx="96011" cy="80771"/>
            <wp:effectExtent l="0" t="0" r="0" b="0"/>
            <wp:wrapNone/>
            <wp:docPr id="693" name="Image 693"/>
            <wp:cNvGraphicFramePr>
              <a:graphicFrameLocks/>
            </wp:cNvGraphicFramePr>
            <a:graphic>
              <a:graphicData uri="http://schemas.openxmlformats.org/drawingml/2006/picture">
                <pic:pic>
                  <pic:nvPicPr>
                    <pic:cNvPr id="693" name="Image 693"/>
                    <pic:cNvPicPr/>
                  </pic:nvPicPr>
                  <pic:blipFill>
                    <a:blip r:embed="rId37" cstate="print"/>
                    <a:stretch>
                      <a:fillRect/>
                    </a:stretch>
                  </pic:blipFill>
                  <pic:spPr>
                    <a:xfrm>
                      <a:off x="0" y="0"/>
                      <a:ext cx="96011" cy="80771"/>
                    </a:xfrm>
                    <a:prstGeom prst="rect">
                      <a:avLst/>
                    </a:prstGeom>
                  </pic:spPr>
                </pic:pic>
              </a:graphicData>
            </a:graphic>
          </wp:anchor>
        </w:drawing>
      </w:r>
      <w:bookmarkStart w:name="e. A revised Close Out Report is due to " w:id="993"/>
      <w:bookmarkEnd w:id="993"/>
      <w:r>
        <w:rPr/>
      </w:r>
      <w:r>
        <w:rPr/>
        <w:t>A</w:t>
      </w:r>
      <w:r>
        <w:rPr>
          <w:spacing w:val="-3"/>
        </w:rPr>
        <w:t> </w:t>
      </w:r>
      <w:r>
        <w:rPr/>
        <w:t>revised</w:t>
      </w:r>
      <w:r>
        <w:rPr>
          <w:spacing w:val="-2"/>
        </w:rPr>
        <w:t> </w:t>
      </w:r>
      <w:r>
        <w:rPr/>
        <w:t>Close</w:t>
      </w:r>
      <w:r>
        <w:rPr>
          <w:spacing w:val="-3"/>
        </w:rPr>
        <w:t> </w:t>
      </w:r>
      <w:r>
        <w:rPr/>
        <w:t>Out</w:t>
      </w:r>
      <w:r>
        <w:rPr>
          <w:spacing w:val="-2"/>
        </w:rPr>
        <w:t> </w:t>
      </w:r>
      <w:r>
        <w:rPr/>
        <w:t>Report</w:t>
      </w:r>
      <w:r>
        <w:rPr>
          <w:spacing w:val="-2"/>
        </w:rPr>
        <w:t> </w:t>
      </w:r>
      <w:r>
        <w:rPr/>
        <w:t>is</w:t>
      </w:r>
      <w:r>
        <w:rPr>
          <w:spacing w:val="-2"/>
        </w:rPr>
        <w:t> </w:t>
      </w:r>
      <w:r>
        <w:rPr/>
        <w:t>due</w:t>
      </w:r>
      <w:r>
        <w:rPr>
          <w:spacing w:val="-3"/>
        </w:rPr>
        <w:t> </w:t>
      </w:r>
      <w:r>
        <w:rPr/>
        <w:t>to</w:t>
      </w:r>
      <w:r>
        <w:rPr>
          <w:spacing w:val="-2"/>
        </w:rPr>
        <w:t> </w:t>
      </w:r>
      <w:r>
        <w:rPr/>
        <w:t>CMS</w:t>
      </w:r>
      <w:r>
        <w:rPr>
          <w:spacing w:val="-2"/>
        </w:rPr>
        <w:t> </w:t>
      </w:r>
      <w:r>
        <w:rPr/>
        <w:t>no</w:t>
      </w:r>
      <w:r>
        <w:rPr>
          <w:spacing w:val="-2"/>
        </w:rPr>
        <w:t> </w:t>
      </w:r>
      <w:r>
        <w:rPr/>
        <w:t>later</w:t>
      </w:r>
      <w:r>
        <w:rPr>
          <w:spacing w:val="-3"/>
        </w:rPr>
        <w:t> </w:t>
      </w:r>
      <w:r>
        <w:rPr/>
        <w:t>than</w:t>
      </w:r>
      <w:r>
        <w:rPr>
          <w:spacing w:val="-2"/>
        </w:rPr>
        <w:t> </w:t>
      </w:r>
      <w:r>
        <w:rPr/>
        <w:t>30</w:t>
      </w:r>
      <w:r>
        <w:rPr>
          <w:spacing w:val="-2"/>
        </w:rPr>
        <w:t> </w:t>
      </w:r>
      <w:r>
        <w:rPr/>
        <w:t>days</w:t>
      </w:r>
      <w:r>
        <w:rPr>
          <w:spacing w:val="-2"/>
        </w:rPr>
        <w:t> </w:t>
      </w:r>
      <w:r>
        <w:rPr/>
        <w:t>after</w:t>
      </w:r>
      <w:r>
        <w:rPr>
          <w:spacing w:val="-3"/>
        </w:rPr>
        <w:t> </w:t>
      </w:r>
      <w:r>
        <w:rPr/>
        <w:t>receipt</w:t>
      </w:r>
      <w:r>
        <w:rPr>
          <w:spacing w:val="-2"/>
        </w:rPr>
        <w:t> </w:t>
      </w:r>
      <w:r>
        <w:rPr/>
        <w:t>of CMS’s comments, if any.</w:t>
      </w:r>
    </w:p>
    <w:p>
      <w:pPr>
        <w:spacing w:after="0"/>
        <w:jc w:val="both"/>
        <w:sectPr>
          <w:pgSz w:w="12240" w:h="15840"/>
          <w:pgMar w:header="0" w:footer="1201" w:top="1360" w:bottom="1400" w:left="1200" w:right="400"/>
        </w:sectPr>
      </w:pPr>
    </w:p>
    <w:p>
      <w:pPr>
        <w:pStyle w:val="BodyText"/>
        <w:spacing w:before="79"/>
        <w:ind w:left="1411" w:right="1141"/>
      </w:pPr>
      <w:r>
        <w:rPr/>
        <w:drawing>
          <wp:anchor distT="0" distB="0" distL="0" distR="0" allowOverlap="1" layoutInCell="1" locked="0" behindDoc="0" simplePos="0" relativeHeight="16077824">
            <wp:simplePos x="0" y="0"/>
            <wp:positionH relativeFrom="page">
              <wp:posOffset>1431036</wp:posOffset>
            </wp:positionH>
            <wp:positionV relativeFrom="paragraph">
              <wp:posOffset>82717</wp:posOffset>
            </wp:positionV>
            <wp:extent cx="79247" cy="115823"/>
            <wp:effectExtent l="0" t="0" r="0" b="0"/>
            <wp:wrapNone/>
            <wp:docPr id="694" name="Image 694"/>
            <wp:cNvGraphicFramePr>
              <a:graphicFrameLocks/>
            </wp:cNvGraphicFramePr>
            <a:graphic>
              <a:graphicData uri="http://schemas.openxmlformats.org/drawingml/2006/picture">
                <pic:pic>
                  <pic:nvPicPr>
                    <pic:cNvPr id="694" name="Image 694"/>
                    <pic:cNvPicPr/>
                  </pic:nvPicPr>
                  <pic:blipFill>
                    <a:blip r:embed="rId42" cstate="print"/>
                    <a:stretch>
                      <a:fillRect/>
                    </a:stretch>
                  </pic:blipFill>
                  <pic:spPr>
                    <a:xfrm>
                      <a:off x="0" y="0"/>
                      <a:ext cx="79247" cy="115823"/>
                    </a:xfrm>
                    <a:prstGeom prst="rect">
                      <a:avLst/>
                    </a:prstGeom>
                  </pic:spPr>
                </pic:pic>
              </a:graphicData>
            </a:graphic>
          </wp:anchor>
        </w:drawing>
      </w:r>
      <w:bookmarkStart w:name="f. A delay in submitting the draft or fi" w:id="994"/>
      <w:bookmarkEnd w:id="994"/>
      <w:r>
        <w:rPr/>
      </w:r>
      <w:r>
        <w:rPr/>
        <w:t>A</w:t>
      </w:r>
      <w:r>
        <w:rPr>
          <w:spacing w:val="-3"/>
        </w:rPr>
        <w:t> </w:t>
      </w:r>
      <w:r>
        <w:rPr/>
        <w:t>delay</w:t>
      </w:r>
      <w:r>
        <w:rPr>
          <w:spacing w:val="-7"/>
        </w:rPr>
        <w:t> </w:t>
      </w:r>
      <w:r>
        <w:rPr/>
        <w:t>in</w:t>
      </w:r>
      <w:r>
        <w:rPr>
          <w:spacing w:val="-2"/>
        </w:rPr>
        <w:t> </w:t>
      </w:r>
      <w:r>
        <w:rPr/>
        <w:t>submitting</w:t>
      </w:r>
      <w:r>
        <w:rPr>
          <w:spacing w:val="-5"/>
        </w:rPr>
        <w:t> </w:t>
      </w:r>
      <w:r>
        <w:rPr/>
        <w:t>the</w:t>
      </w:r>
      <w:r>
        <w:rPr>
          <w:spacing w:val="-1"/>
        </w:rPr>
        <w:t> </w:t>
      </w:r>
      <w:r>
        <w:rPr/>
        <w:t>draft</w:t>
      </w:r>
      <w:r>
        <w:rPr>
          <w:spacing w:val="-2"/>
        </w:rPr>
        <w:t> </w:t>
      </w:r>
      <w:r>
        <w:rPr/>
        <w:t>or</w:t>
      </w:r>
      <w:r>
        <w:rPr>
          <w:spacing w:val="-3"/>
        </w:rPr>
        <w:t> </w:t>
      </w:r>
      <w:r>
        <w:rPr/>
        <w:t>final</w:t>
      </w:r>
      <w:r>
        <w:rPr>
          <w:spacing w:val="-2"/>
        </w:rPr>
        <w:t> </w:t>
      </w:r>
      <w:r>
        <w:rPr/>
        <w:t>versions</w:t>
      </w:r>
      <w:r>
        <w:rPr>
          <w:spacing w:val="-2"/>
        </w:rPr>
        <w:t> </w:t>
      </w:r>
      <w:r>
        <w:rPr/>
        <w:t>of</w:t>
      </w:r>
      <w:r>
        <w:rPr>
          <w:spacing w:val="-1"/>
        </w:rPr>
        <w:t> </w:t>
      </w:r>
      <w:r>
        <w:rPr/>
        <w:t>the</w:t>
      </w:r>
      <w:r>
        <w:rPr>
          <w:spacing w:val="-3"/>
        </w:rPr>
        <w:t> </w:t>
      </w:r>
      <w:r>
        <w:rPr/>
        <w:t>Close</w:t>
      </w:r>
      <w:r>
        <w:rPr>
          <w:spacing w:val="-4"/>
        </w:rPr>
        <w:t> </w:t>
      </w:r>
      <w:r>
        <w:rPr/>
        <w:t>Out</w:t>
      </w:r>
      <w:r>
        <w:rPr>
          <w:spacing w:val="-2"/>
        </w:rPr>
        <w:t> </w:t>
      </w:r>
      <w:r>
        <w:rPr/>
        <w:t>Report</w:t>
      </w:r>
      <w:r>
        <w:rPr>
          <w:spacing w:val="-2"/>
        </w:rPr>
        <w:t> </w:t>
      </w:r>
      <w:r>
        <w:rPr/>
        <w:t>could subject the Commonwealth to penalties described above.</w:t>
      </w:r>
    </w:p>
    <w:p>
      <w:pPr>
        <w:pStyle w:val="BodyText"/>
        <w:spacing w:before="10"/>
        <w:rPr>
          <w:sz w:val="20"/>
        </w:rPr>
      </w:pPr>
    </w:p>
    <w:p>
      <w:pPr>
        <w:pStyle w:val="BodyText"/>
        <w:ind w:left="871" w:right="1059"/>
      </w:pPr>
      <w:r>
        <w:rPr/>
        <w:drawing>
          <wp:anchor distT="0" distB="0" distL="0" distR="0" allowOverlap="1" layoutInCell="1" locked="0" behindDoc="0" simplePos="0" relativeHeight="16078336">
            <wp:simplePos x="0" y="0"/>
            <wp:positionH relativeFrom="page">
              <wp:posOffset>832103</wp:posOffset>
            </wp:positionH>
            <wp:positionV relativeFrom="paragraph">
              <wp:posOffset>35612</wp:posOffset>
            </wp:positionV>
            <wp:extent cx="359663" cy="112763"/>
            <wp:effectExtent l="0" t="0" r="0" b="0"/>
            <wp:wrapNone/>
            <wp:docPr id="695" name="Image 695"/>
            <wp:cNvGraphicFramePr>
              <a:graphicFrameLocks/>
            </wp:cNvGraphicFramePr>
            <a:graphic>
              <a:graphicData uri="http://schemas.openxmlformats.org/drawingml/2006/picture">
                <pic:pic>
                  <pic:nvPicPr>
                    <pic:cNvPr id="695" name="Image 695"/>
                    <pic:cNvPicPr/>
                  </pic:nvPicPr>
                  <pic:blipFill>
                    <a:blip r:embed="rId268" cstate="print"/>
                    <a:stretch>
                      <a:fillRect/>
                    </a:stretch>
                  </pic:blipFill>
                  <pic:spPr>
                    <a:xfrm>
                      <a:off x="0" y="0"/>
                      <a:ext cx="359663" cy="112763"/>
                    </a:xfrm>
                    <a:prstGeom prst="rect">
                      <a:avLst/>
                    </a:prstGeom>
                  </pic:spPr>
                </pic:pic>
              </a:graphicData>
            </a:graphic>
          </wp:anchor>
        </w:drawing>
      </w:r>
      <w:bookmarkStart w:name="17.12. Public Access. The Commonwealth s" w:id="995"/>
      <w:bookmarkEnd w:id="995"/>
      <w:r>
        <w:rPr/>
      </w:r>
      <w:r>
        <w:rPr>
          <w:b/>
        </w:rPr>
        <w:t>Public Access. </w:t>
      </w:r>
      <w:r>
        <w:rPr/>
        <w:t>The Commonwealth shall post the final documents (e.g., Implementation Plans, Monitoring Protocols, monitoring reports, approved Evaluation Design, Interim Evaluation</w:t>
      </w:r>
      <w:r>
        <w:rPr>
          <w:spacing w:val="-5"/>
        </w:rPr>
        <w:t> </w:t>
      </w:r>
      <w:r>
        <w:rPr/>
        <w:t>Report,</w:t>
      </w:r>
      <w:r>
        <w:rPr>
          <w:spacing w:val="-5"/>
        </w:rPr>
        <w:t> </w:t>
      </w:r>
      <w:r>
        <w:rPr/>
        <w:t>and</w:t>
      </w:r>
      <w:r>
        <w:rPr>
          <w:spacing w:val="-6"/>
        </w:rPr>
        <w:t> </w:t>
      </w:r>
      <w:r>
        <w:rPr/>
        <w:t>Summative</w:t>
      </w:r>
      <w:r>
        <w:rPr>
          <w:spacing w:val="-6"/>
        </w:rPr>
        <w:t> </w:t>
      </w:r>
      <w:r>
        <w:rPr/>
        <w:t>Evaluation</w:t>
      </w:r>
      <w:r>
        <w:rPr>
          <w:spacing w:val="-5"/>
        </w:rPr>
        <w:t> </w:t>
      </w:r>
      <w:r>
        <w:rPr/>
        <w:t>Report)</w:t>
      </w:r>
      <w:r>
        <w:rPr>
          <w:spacing w:val="-6"/>
        </w:rPr>
        <w:t> </w:t>
      </w:r>
      <w:r>
        <w:rPr/>
        <w:t>on</w:t>
      </w:r>
      <w:r>
        <w:rPr>
          <w:spacing w:val="-5"/>
        </w:rPr>
        <w:t> </w:t>
      </w:r>
      <w:r>
        <w:rPr/>
        <w:t>the</w:t>
      </w:r>
      <w:r>
        <w:rPr>
          <w:spacing w:val="-6"/>
        </w:rPr>
        <w:t> </w:t>
      </w:r>
      <w:r>
        <w:rPr/>
        <w:t>Commonwealth’s</w:t>
      </w:r>
      <w:r>
        <w:rPr>
          <w:spacing w:val="-5"/>
        </w:rPr>
        <w:t> </w:t>
      </w:r>
      <w:r>
        <w:rPr/>
        <w:t>Medicaid website within 30 days of approval by CMS.</w:t>
      </w:r>
    </w:p>
    <w:p>
      <w:pPr>
        <w:pStyle w:val="BodyText"/>
        <w:spacing w:before="10"/>
        <w:rPr>
          <w:sz w:val="20"/>
        </w:rPr>
      </w:pPr>
    </w:p>
    <w:p>
      <w:pPr>
        <w:pStyle w:val="BodyText"/>
        <w:ind w:left="871" w:right="1051"/>
      </w:pPr>
      <w:r>
        <w:rPr/>
        <w:drawing>
          <wp:anchor distT="0" distB="0" distL="0" distR="0" allowOverlap="1" layoutInCell="1" locked="0" behindDoc="0" simplePos="0" relativeHeight="16078848">
            <wp:simplePos x="0" y="0"/>
            <wp:positionH relativeFrom="page">
              <wp:posOffset>832103</wp:posOffset>
            </wp:positionH>
            <wp:positionV relativeFrom="paragraph">
              <wp:posOffset>35599</wp:posOffset>
            </wp:positionV>
            <wp:extent cx="359663" cy="112775"/>
            <wp:effectExtent l="0" t="0" r="0" b="0"/>
            <wp:wrapNone/>
            <wp:docPr id="696" name="Image 696"/>
            <wp:cNvGraphicFramePr>
              <a:graphicFrameLocks/>
            </wp:cNvGraphicFramePr>
            <a:graphic>
              <a:graphicData uri="http://schemas.openxmlformats.org/drawingml/2006/picture">
                <pic:pic>
                  <pic:nvPicPr>
                    <pic:cNvPr id="696" name="Image 696"/>
                    <pic:cNvPicPr/>
                  </pic:nvPicPr>
                  <pic:blipFill>
                    <a:blip r:embed="rId269" cstate="print"/>
                    <a:stretch>
                      <a:fillRect/>
                    </a:stretch>
                  </pic:blipFill>
                  <pic:spPr>
                    <a:xfrm>
                      <a:off x="0" y="0"/>
                      <a:ext cx="359663" cy="112775"/>
                    </a:xfrm>
                    <a:prstGeom prst="rect">
                      <a:avLst/>
                    </a:prstGeom>
                  </pic:spPr>
                </pic:pic>
              </a:graphicData>
            </a:graphic>
          </wp:anchor>
        </w:drawing>
      </w:r>
      <w:bookmarkStart w:name="17.13. Additional Presentations and Publ" w:id="996"/>
      <w:bookmarkEnd w:id="996"/>
      <w:r>
        <w:rPr/>
      </w:r>
      <w:r>
        <w:rPr>
          <w:b/>
        </w:rPr>
        <w:t>Additional Presentations and Publications. </w:t>
      </w:r>
      <w:r>
        <w:rPr/>
        <w:t>For a period of 12 months following the CMS approval of the final reports, CMS will be notified prior to presentation of these reports or their findings including in related publications (including, for example, journal articles), by the Commonwealth, contractor, or any other third party directly connected to the demonstration. Prior to release of these reports, articles or other publications, CMS</w:t>
      </w:r>
      <w:r>
        <w:rPr>
          <w:spacing w:val="40"/>
        </w:rPr>
        <w:t> </w:t>
      </w:r>
      <w:r>
        <w:rPr/>
        <w:t>will be provided a copy including any associated press materials.</w:t>
      </w:r>
      <w:r>
        <w:rPr>
          <w:spacing w:val="40"/>
        </w:rPr>
        <w:t> </w:t>
      </w:r>
      <w:r>
        <w:rPr/>
        <w:t>CMS will be given 30 days to review and comment on publications before they are released.</w:t>
      </w:r>
      <w:r>
        <w:rPr>
          <w:spacing w:val="80"/>
        </w:rPr>
        <w:t> </w:t>
      </w:r>
      <w:r>
        <w:rPr/>
        <w:t>CMS may choose to decline to comment or review some or all of these notifications and reviews.</w:t>
      </w:r>
      <w:r>
        <w:rPr>
          <w:spacing w:val="40"/>
        </w:rPr>
        <w:t> </w:t>
      </w:r>
      <w:r>
        <w:rPr/>
        <w:t>This requirement</w:t>
      </w:r>
      <w:r>
        <w:rPr>
          <w:spacing w:val="-2"/>
        </w:rPr>
        <w:t> </w:t>
      </w:r>
      <w:r>
        <w:rPr/>
        <w:t>does</w:t>
      </w:r>
      <w:r>
        <w:rPr>
          <w:spacing w:val="-2"/>
        </w:rPr>
        <w:t> </w:t>
      </w:r>
      <w:r>
        <w:rPr/>
        <w:t>not</w:t>
      </w:r>
      <w:r>
        <w:rPr>
          <w:spacing w:val="-2"/>
        </w:rPr>
        <w:t> </w:t>
      </w:r>
      <w:r>
        <w:rPr/>
        <w:t>apply</w:t>
      </w:r>
      <w:r>
        <w:rPr>
          <w:spacing w:val="-7"/>
        </w:rPr>
        <w:t> </w:t>
      </w:r>
      <w:r>
        <w:rPr/>
        <w:t>to</w:t>
      </w:r>
      <w:r>
        <w:rPr>
          <w:spacing w:val="-2"/>
        </w:rPr>
        <w:t> </w:t>
      </w:r>
      <w:r>
        <w:rPr/>
        <w:t>the</w:t>
      </w:r>
      <w:r>
        <w:rPr>
          <w:spacing w:val="-3"/>
        </w:rPr>
        <w:t> </w:t>
      </w:r>
      <w:r>
        <w:rPr/>
        <w:t>release</w:t>
      </w:r>
      <w:r>
        <w:rPr>
          <w:spacing w:val="-3"/>
        </w:rPr>
        <w:t> </w:t>
      </w:r>
      <w:r>
        <w:rPr/>
        <w:t>or</w:t>
      </w:r>
      <w:r>
        <w:rPr>
          <w:spacing w:val="-3"/>
        </w:rPr>
        <w:t> </w:t>
      </w:r>
      <w:r>
        <w:rPr/>
        <w:t>presentation</w:t>
      </w:r>
      <w:r>
        <w:rPr>
          <w:spacing w:val="-2"/>
        </w:rPr>
        <w:t> </w:t>
      </w:r>
      <w:r>
        <w:rPr/>
        <w:t>of</w:t>
      </w:r>
      <w:r>
        <w:rPr>
          <w:spacing w:val="-3"/>
        </w:rPr>
        <w:t> </w:t>
      </w:r>
      <w:r>
        <w:rPr/>
        <w:t>these</w:t>
      </w:r>
      <w:r>
        <w:rPr>
          <w:spacing w:val="-3"/>
        </w:rPr>
        <w:t> </w:t>
      </w:r>
      <w:r>
        <w:rPr/>
        <w:t>materials to</w:t>
      </w:r>
      <w:r>
        <w:rPr>
          <w:spacing w:val="-2"/>
        </w:rPr>
        <w:t> </w:t>
      </w:r>
      <w:r>
        <w:rPr/>
        <w:t>state</w:t>
      </w:r>
      <w:r>
        <w:rPr>
          <w:spacing w:val="-3"/>
        </w:rPr>
        <w:t> </w:t>
      </w:r>
      <w:r>
        <w:rPr/>
        <w:t>or</w:t>
      </w:r>
      <w:r>
        <w:rPr>
          <w:spacing w:val="-3"/>
        </w:rPr>
        <w:t> </w:t>
      </w:r>
      <w:r>
        <w:rPr/>
        <w:t>local government officials.</w:t>
      </w:r>
    </w:p>
    <w:p>
      <w:pPr>
        <w:pStyle w:val="BodyText"/>
        <w:spacing w:before="10"/>
        <w:rPr>
          <w:sz w:val="20"/>
        </w:rPr>
      </w:pPr>
    </w:p>
    <w:p>
      <w:pPr>
        <w:pStyle w:val="Heading4"/>
        <w:numPr>
          <w:ilvl w:val="0"/>
          <w:numId w:val="3"/>
        </w:numPr>
        <w:tabs>
          <w:tab w:pos="600" w:val="left" w:leader="none"/>
        </w:tabs>
        <w:spacing w:line="240" w:lineRule="auto" w:before="0" w:after="0"/>
        <w:ind w:left="600" w:right="0" w:hanging="480"/>
        <w:jc w:val="left"/>
      </w:pPr>
      <w:bookmarkStart w:name="18. GENERAL FINANCIAL REQUIREMENTS" w:id="997"/>
      <w:bookmarkEnd w:id="997"/>
      <w:r>
        <w:rPr>
          <w:b w:val="0"/>
        </w:rPr>
      </w:r>
      <w:r>
        <w:rPr/>
        <w:t>GENERAL</w:t>
      </w:r>
      <w:r>
        <w:rPr>
          <w:spacing w:val="-2"/>
        </w:rPr>
        <w:t> </w:t>
      </w:r>
      <w:r>
        <w:rPr/>
        <w:t>FINANCIAL</w:t>
      </w:r>
      <w:r>
        <w:rPr>
          <w:spacing w:val="-4"/>
        </w:rPr>
        <w:t> </w:t>
      </w:r>
      <w:r>
        <w:rPr>
          <w:spacing w:val="-2"/>
        </w:rPr>
        <w:t>REQUIREMENTS</w:t>
      </w:r>
    </w:p>
    <w:p>
      <w:pPr>
        <w:pStyle w:val="BodyText"/>
        <w:spacing w:before="10"/>
        <w:rPr>
          <w:b/>
          <w:sz w:val="20"/>
        </w:rPr>
      </w:pPr>
    </w:p>
    <w:p>
      <w:pPr>
        <w:pStyle w:val="BodyText"/>
        <w:ind w:left="871" w:right="1059"/>
      </w:pPr>
      <w:r>
        <w:rPr/>
        <w:drawing>
          <wp:anchor distT="0" distB="0" distL="0" distR="0" allowOverlap="1" layoutInCell="1" locked="0" behindDoc="0" simplePos="0" relativeHeight="16079360">
            <wp:simplePos x="0" y="0"/>
            <wp:positionH relativeFrom="page">
              <wp:posOffset>908303</wp:posOffset>
            </wp:positionH>
            <wp:positionV relativeFrom="paragraph">
              <wp:posOffset>35612</wp:posOffset>
            </wp:positionV>
            <wp:extent cx="283463" cy="112763"/>
            <wp:effectExtent l="0" t="0" r="0" b="0"/>
            <wp:wrapNone/>
            <wp:docPr id="697" name="Image 697"/>
            <wp:cNvGraphicFramePr>
              <a:graphicFrameLocks/>
            </wp:cNvGraphicFramePr>
            <a:graphic>
              <a:graphicData uri="http://schemas.openxmlformats.org/drawingml/2006/picture">
                <pic:pic>
                  <pic:nvPicPr>
                    <pic:cNvPr id="697" name="Image 697"/>
                    <pic:cNvPicPr/>
                  </pic:nvPicPr>
                  <pic:blipFill>
                    <a:blip r:embed="rId270" cstate="print"/>
                    <a:stretch>
                      <a:fillRect/>
                    </a:stretch>
                  </pic:blipFill>
                  <pic:spPr>
                    <a:xfrm>
                      <a:off x="0" y="0"/>
                      <a:ext cx="283463" cy="112763"/>
                    </a:xfrm>
                    <a:prstGeom prst="rect">
                      <a:avLst/>
                    </a:prstGeom>
                  </pic:spPr>
                </pic:pic>
              </a:graphicData>
            </a:graphic>
          </wp:anchor>
        </w:drawing>
      </w:r>
      <w:bookmarkStart w:name="18.1. Allowable Expenditures. This demon" w:id="998"/>
      <w:bookmarkEnd w:id="998"/>
      <w:r>
        <w:rPr/>
      </w:r>
      <w:r>
        <w:rPr>
          <w:b/>
        </w:rPr>
        <w:t>Allowable Expenditures. </w:t>
      </w:r>
      <w:r>
        <w:rPr/>
        <w:t>This demonstration project is approved for authorized demonstration</w:t>
      </w:r>
      <w:r>
        <w:rPr>
          <w:spacing w:val="-2"/>
        </w:rPr>
        <w:t> </w:t>
      </w:r>
      <w:r>
        <w:rPr/>
        <w:t>expenditures</w:t>
      </w:r>
      <w:r>
        <w:rPr>
          <w:spacing w:val="-2"/>
        </w:rPr>
        <w:t> </w:t>
      </w:r>
      <w:r>
        <w:rPr/>
        <w:t>applicable</w:t>
      </w:r>
      <w:r>
        <w:rPr>
          <w:spacing w:val="-3"/>
        </w:rPr>
        <w:t> </w:t>
      </w:r>
      <w:r>
        <w:rPr/>
        <w:t>to</w:t>
      </w:r>
      <w:r>
        <w:rPr>
          <w:spacing w:val="-2"/>
        </w:rPr>
        <w:t> </w:t>
      </w:r>
      <w:r>
        <w:rPr/>
        <w:t>services</w:t>
      </w:r>
      <w:r>
        <w:rPr>
          <w:spacing w:val="-2"/>
        </w:rPr>
        <w:t> </w:t>
      </w:r>
      <w:r>
        <w:rPr/>
        <w:t>rendered</w:t>
      </w:r>
      <w:r>
        <w:rPr>
          <w:spacing w:val="-2"/>
        </w:rPr>
        <w:t> </w:t>
      </w:r>
      <w:r>
        <w:rPr/>
        <w:t>and</w:t>
      </w:r>
      <w:r>
        <w:rPr>
          <w:spacing w:val="-2"/>
        </w:rPr>
        <w:t> </w:t>
      </w:r>
      <w:r>
        <w:rPr/>
        <w:t>for</w:t>
      </w:r>
      <w:r>
        <w:rPr>
          <w:spacing w:val="-3"/>
        </w:rPr>
        <w:t> </w:t>
      </w:r>
      <w:r>
        <w:rPr/>
        <w:t>costs</w:t>
      </w:r>
      <w:r>
        <w:rPr>
          <w:spacing w:val="-2"/>
        </w:rPr>
        <w:t> </w:t>
      </w:r>
      <w:r>
        <w:rPr/>
        <w:t>incurred</w:t>
      </w:r>
      <w:r>
        <w:rPr>
          <w:spacing w:val="-2"/>
        </w:rPr>
        <w:t> </w:t>
      </w:r>
      <w:r>
        <w:rPr/>
        <w:t>during the demonstration approval period designated by CMS. CMS will provide FFP for allowable</w:t>
      </w:r>
      <w:r>
        <w:rPr>
          <w:spacing w:val="-4"/>
        </w:rPr>
        <w:t> </w:t>
      </w:r>
      <w:r>
        <w:rPr/>
        <w:t>demonstration</w:t>
      </w:r>
      <w:r>
        <w:rPr>
          <w:spacing w:val="-1"/>
        </w:rPr>
        <w:t> </w:t>
      </w:r>
      <w:r>
        <w:rPr/>
        <w:t>expenditures</w:t>
      </w:r>
      <w:r>
        <w:rPr>
          <w:spacing w:val="-3"/>
        </w:rPr>
        <w:t> </w:t>
      </w:r>
      <w:r>
        <w:rPr/>
        <w:t>only</w:t>
      </w:r>
      <w:r>
        <w:rPr>
          <w:spacing w:val="-8"/>
        </w:rPr>
        <w:t> </w:t>
      </w:r>
      <w:r>
        <w:rPr/>
        <w:t>so</w:t>
      </w:r>
      <w:r>
        <w:rPr>
          <w:spacing w:val="-3"/>
        </w:rPr>
        <w:t> </w:t>
      </w:r>
      <w:r>
        <w:rPr/>
        <w:t>long</w:t>
      </w:r>
      <w:r>
        <w:rPr>
          <w:spacing w:val="-6"/>
        </w:rPr>
        <w:t> </w:t>
      </w:r>
      <w:r>
        <w:rPr/>
        <w:t>as</w:t>
      </w:r>
      <w:r>
        <w:rPr>
          <w:spacing w:val="-3"/>
        </w:rPr>
        <w:t> </w:t>
      </w:r>
      <w:r>
        <w:rPr/>
        <w:t>they</w:t>
      </w:r>
      <w:r>
        <w:rPr>
          <w:spacing w:val="-6"/>
        </w:rPr>
        <w:t> </w:t>
      </w:r>
      <w:r>
        <w:rPr/>
        <w:t>do</w:t>
      </w:r>
      <w:r>
        <w:rPr>
          <w:spacing w:val="-3"/>
        </w:rPr>
        <w:t> </w:t>
      </w:r>
      <w:r>
        <w:rPr/>
        <w:t>not</w:t>
      </w:r>
      <w:r>
        <w:rPr>
          <w:spacing w:val="-3"/>
        </w:rPr>
        <w:t> </w:t>
      </w:r>
      <w:r>
        <w:rPr/>
        <w:t>exceed</w:t>
      </w:r>
      <w:r>
        <w:rPr>
          <w:spacing w:val="-3"/>
        </w:rPr>
        <w:t> </w:t>
      </w:r>
      <w:r>
        <w:rPr/>
        <w:t>the</w:t>
      </w:r>
      <w:r>
        <w:rPr>
          <w:spacing w:val="-4"/>
        </w:rPr>
        <w:t> </w:t>
      </w:r>
      <w:r>
        <w:rPr/>
        <w:t>pre-defined limits as specified in these STCs.</w:t>
      </w:r>
    </w:p>
    <w:p>
      <w:pPr>
        <w:pStyle w:val="BodyText"/>
        <w:spacing w:before="10"/>
        <w:rPr>
          <w:sz w:val="20"/>
        </w:rPr>
      </w:pPr>
    </w:p>
    <w:p>
      <w:pPr>
        <w:pStyle w:val="BodyText"/>
        <w:ind w:left="871" w:right="1068"/>
      </w:pPr>
      <w:r>
        <w:rPr/>
        <w:drawing>
          <wp:anchor distT="0" distB="0" distL="0" distR="0" allowOverlap="1" layoutInCell="1" locked="0" behindDoc="0" simplePos="0" relativeHeight="16079872">
            <wp:simplePos x="0" y="0"/>
            <wp:positionH relativeFrom="page">
              <wp:posOffset>908303</wp:posOffset>
            </wp:positionH>
            <wp:positionV relativeFrom="paragraph">
              <wp:posOffset>35612</wp:posOffset>
            </wp:positionV>
            <wp:extent cx="283463" cy="112763"/>
            <wp:effectExtent l="0" t="0" r="0" b="0"/>
            <wp:wrapNone/>
            <wp:docPr id="698" name="Image 698"/>
            <wp:cNvGraphicFramePr>
              <a:graphicFrameLocks/>
            </wp:cNvGraphicFramePr>
            <a:graphic>
              <a:graphicData uri="http://schemas.openxmlformats.org/drawingml/2006/picture">
                <pic:pic>
                  <pic:nvPicPr>
                    <pic:cNvPr id="698" name="Image 698"/>
                    <pic:cNvPicPr/>
                  </pic:nvPicPr>
                  <pic:blipFill>
                    <a:blip r:embed="rId271" cstate="print"/>
                    <a:stretch>
                      <a:fillRect/>
                    </a:stretch>
                  </pic:blipFill>
                  <pic:spPr>
                    <a:xfrm>
                      <a:off x="0" y="0"/>
                      <a:ext cx="283463" cy="112763"/>
                    </a:xfrm>
                    <a:prstGeom prst="rect">
                      <a:avLst/>
                    </a:prstGeom>
                  </pic:spPr>
                </pic:pic>
              </a:graphicData>
            </a:graphic>
          </wp:anchor>
        </w:drawing>
      </w:r>
      <w:bookmarkStart w:name="18.2. Standard Medicaid Funding Process." w:id="999"/>
      <w:bookmarkEnd w:id="999"/>
      <w:r>
        <w:rPr/>
      </w:r>
      <w:r>
        <w:rPr>
          <w:b/>
        </w:rPr>
        <w:t>Standard Medicaid Funding Process. </w:t>
      </w:r>
      <w:r>
        <w:rPr/>
        <w:t>The standard Medicaid funding process will be used for this demonstration. The Commonwealth will provide quarterly expenditure reports through the Medicaid and CHIP Budget and Expenditure System (MBES/CBES) to report total expenditures under this Medicaid section 1115 demonstration following routine CMS-37 and CMS-64 reporting instructions as outlined in section 2500 of the State Medicaid Manual. The Commonwealth will estimate matchable demonstration expenditures (total computable and federal share) subject to the budget neutrality expenditure limit and separately report these expenditures by quarter for each federal</w:t>
      </w:r>
      <w:r>
        <w:rPr>
          <w:spacing w:val="40"/>
        </w:rPr>
        <w:t> </w:t>
      </w:r>
      <w:r>
        <w:rPr/>
        <w:t>fiscal year</w:t>
      </w:r>
      <w:r>
        <w:rPr>
          <w:spacing w:val="-4"/>
        </w:rPr>
        <w:t> </w:t>
      </w:r>
      <w:r>
        <w:rPr/>
        <w:t>on</w:t>
      </w:r>
      <w:r>
        <w:rPr>
          <w:spacing w:val="-3"/>
        </w:rPr>
        <w:t> </w:t>
      </w:r>
      <w:r>
        <w:rPr/>
        <w:t>the</w:t>
      </w:r>
      <w:r>
        <w:rPr>
          <w:spacing w:val="-4"/>
        </w:rPr>
        <w:t> </w:t>
      </w:r>
      <w:r>
        <w:rPr/>
        <w:t>form</w:t>
      </w:r>
      <w:r>
        <w:rPr>
          <w:spacing w:val="-3"/>
        </w:rPr>
        <w:t> </w:t>
      </w:r>
      <w:r>
        <w:rPr/>
        <w:t>CMS-37</w:t>
      </w:r>
      <w:r>
        <w:rPr>
          <w:spacing w:val="-3"/>
        </w:rPr>
        <w:t> </w:t>
      </w:r>
      <w:r>
        <w:rPr/>
        <w:t>for</w:t>
      </w:r>
      <w:r>
        <w:rPr>
          <w:spacing w:val="-4"/>
        </w:rPr>
        <w:t> </w:t>
      </w:r>
      <w:r>
        <w:rPr/>
        <w:t>both</w:t>
      </w:r>
      <w:r>
        <w:rPr>
          <w:spacing w:val="-3"/>
        </w:rPr>
        <w:t> </w:t>
      </w:r>
      <w:r>
        <w:rPr/>
        <w:t>the</w:t>
      </w:r>
      <w:r>
        <w:rPr>
          <w:spacing w:val="-4"/>
        </w:rPr>
        <w:t> </w:t>
      </w:r>
      <w:r>
        <w:rPr/>
        <w:t>medical</w:t>
      </w:r>
      <w:r>
        <w:rPr>
          <w:spacing w:val="-3"/>
        </w:rPr>
        <w:t> </w:t>
      </w:r>
      <w:r>
        <w:rPr/>
        <w:t>assistance</w:t>
      </w:r>
      <w:r>
        <w:rPr>
          <w:spacing w:val="-4"/>
        </w:rPr>
        <w:t> </w:t>
      </w:r>
      <w:r>
        <w:rPr/>
        <w:t>payments</w:t>
      </w:r>
      <w:r>
        <w:rPr>
          <w:spacing w:val="-3"/>
        </w:rPr>
        <w:t> </w:t>
      </w:r>
      <w:r>
        <w:rPr/>
        <w:t>(MAP)</w:t>
      </w:r>
      <w:r>
        <w:rPr>
          <w:spacing w:val="-4"/>
        </w:rPr>
        <w:t> </w:t>
      </w:r>
      <w:r>
        <w:rPr/>
        <w:t>and</w:t>
      </w:r>
      <w:r>
        <w:rPr>
          <w:spacing w:val="-3"/>
        </w:rPr>
        <w:t> </w:t>
      </w:r>
      <w:r>
        <w:rPr/>
        <w:t>state and local administration costs (ADM). CMS shall make federal funds available based upon</w:t>
      </w:r>
      <w:r>
        <w:rPr>
          <w:spacing w:val="-3"/>
        </w:rPr>
        <w:t> </w:t>
      </w:r>
      <w:r>
        <w:rPr/>
        <w:t>the</w:t>
      </w:r>
      <w:r>
        <w:rPr>
          <w:spacing w:val="-4"/>
        </w:rPr>
        <w:t> </w:t>
      </w:r>
      <w:r>
        <w:rPr/>
        <w:t>Commonwealth’s</w:t>
      </w:r>
      <w:r>
        <w:rPr>
          <w:spacing w:val="-3"/>
        </w:rPr>
        <w:t> </w:t>
      </w:r>
      <w:r>
        <w:rPr/>
        <w:t>estimate,</w:t>
      </w:r>
      <w:r>
        <w:rPr>
          <w:spacing w:val="-3"/>
        </w:rPr>
        <w:t> </w:t>
      </w:r>
      <w:r>
        <w:rPr/>
        <w:t>as</w:t>
      </w:r>
      <w:r>
        <w:rPr>
          <w:spacing w:val="-3"/>
        </w:rPr>
        <w:t> </w:t>
      </w:r>
      <w:r>
        <w:rPr/>
        <w:t>approved</w:t>
      </w:r>
      <w:r>
        <w:rPr>
          <w:spacing w:val="-1"/>
        </w:rPr>
        <w:t> </w:t>
      </w:r>
      <w:r>
        <w:rPr/>
        <w:t>by</w:t>
      </w:r>
      <w:r>
        <w:rPr>
          <w:spacing w:val="-8"/>
        </w:rPr>
        <w:t> </w:t>
      </w:r>
      <w:r>
        <w:rPr/>
        <w:t>CMS.</w:t>
      </w:r>
      <w:r>
        <w:rPr>
          <w:spacing w:val="-3"/>
        </w:rPr>
        <w:t> </w:t>
      </w:r>
      <w:r>
        <w:rPr/>
        <w:t>Within</w:t>
      </w:r>
      <w:r>
        <w:rPr>
          <w:spacing w:val="-3"/>
        </w:rPr>
        <w:t> </w:t>
      </w:r>
      <w:r>
        <w:rPr/>
        <w:t>30</w:t>
      </w:r>
      <w:r>
        <w:rPr>
          <w:spacing w:val="-3"/>
        </w:rPr>
        <w:t> </w:t>
      </w:r>
      <w:r>
        <w:rPr/>
        <w:t>days</w:t>
      </w:r>
      <w:r>
        <w:rPr>
          <w:spacing w:val="-1"/>
        </w:rPr>
        <w:t> </w:t>
      </w:r>
      <w:r>
        <w:rPr/>
        <w:t>after</w:t>
      </w:r>
      <w:r>
        <w:rPr>
          <w:spacing w:val="-4"/>
        </w:rPr>
        <w:t> </w:t>
      </w:r>
      <w:r>
        <w:rPr/>
        <w:t>the</w:t>
      </w:r>
      <w:r>
        <w:rPr>
          <w:spacing w:val="-2"/>
        </w:rPr>
        <w:t> </w:t>
      </w:r>
      <w:r>
        <w:rPr/>
        <w:t>end</w:t>
      </w:r>
      <w:r>
        <w:rPr>
          <w:spacing w:val="-3"/>
        </w:rPr>
        <w:t> </w:t>
      </w:r>
      <w:r>
        <w:rPr/>
        <w:t>of each quarter, the Commonwealth shall submit form CMS-64 Quarterly Medicaid Expenditure Report, showing Medicaid expenditures made in the quarter just ended.</w:t>
      </w:r>
      <w:r>
        <w:rPr>
          <w:spacing w:val="40"/>
        </w:rPr>
        <w:t> </w:t>
      </w:r>
      <w:r>
        <w:rPr/>
        <w:t>If applicable, subject to the payment deferral process, CMS shall reconcile expenditures reported on form CMS-64 with federal funding previously made available to the Commonwealth, and include the reconciling adjustment in the finalization of the grant award to the Commonwealth.</w:t>
      </w:r>
    </w:p>
    <w:p>
      <w:pPr>
        <w:pStyle w:val="BodyText"/>
        <w:spacing w:before="11"/>
        <w:rPr>
          <w:sz w:val="20"/>
        </w:rPr>
      </w:pPr>
    </w:p>
    <w:p>
      <w:pPr>
        <w:pStyle w:val="BodyText"/>
        <w:ind w:left="871" w:right="1059"/>
      </w:pPr>
      <w:r>
        <w:rPr/>
        <w:drawing>
          <wp:anchor distT="0" distB="0" distL="0" distR="0" allowOverlap="1" layoutInCell="1" locked="0" behindDoc="0" simplePos="0" relativeHeight="16080384">
            <wp:simplePos x="0" y="0"/>
            <wp:positionH relativeFrom="page">
              <wp:posOffset>908303</wp:posOffset>
            </wp:positionH>
            <wp:positionV relativeFrom="paragraph">
              <wp:posOffset>35612</wp:posOffset>
            </wp:positionV>
            <wp:extent cx="283463" cy="112762"/>
            <wp:effectExtent l="0" t="0" r="0" b="0"/>
            <wp:wrapNone/>
            <wp:docPr id="699" name="Image 699"/>
            <wp:cNvGraphicFramePr>
              <a:graphicFrameLocks/>
            </wp:cNvGraphicFramePr>
            <a:graphic>
              <a:graphicData uri="http://schemas.openxmlformats.org/drawingml/2006/picture">
                <pic:pic>
                  <pic:nvPicPr>
                    <pic:cNvPr id="699" name="Image 699"/>
                    <pic:cNvPicPr/>
                  </pic:nvPicPr>
                  <pic:blipFill>
                    <a:blip r:embed="rId272" cstate="print"/>
                    <a:stretch>
                      <a:fillRect/>
                    </a:stretch>
                  </pic:blipFill>
                  <pic:spPr>
                    <a:xfrm>
                      <a:off x="0" y="0"/>
                      <a:ext cx="283463" cy="112762"/>
                    </a:xfrm>
                    <a:prstGeom prst="rect">
                      <a:avLst/>
                    </a:prstGeom>
                  </pic:spPr>
                </pic:pic>
              </a:graphicData>
            </a:graphic>
          </wp:anchor>
        </w:drawing>
      </w:r>
      <w:bookmarkStart w:name="18.3. Sources of Non-Federal Share. As a" w:id="1000"/>
      <w:bookmarkEnd w:id="1000"/>
      <w:r>
        <w:rPr/>
      </w:r>
      <w:r>
        <w:rPr>
          <w:b/>
        </w:rPr>
        <w:t>Sources of Non-Federal Share. </w:t>
      </w:r>
      <w:r>
        <w:rPr/>
        <w:t>As a condition of demonstration approval, the state certifies</w:t>
      </w:r>
      <w:r>
        <w:rPr>
          <w:spacing w:val="-3"/>
        </w:rPr>
        <w:t> </w:t>
      </w:r>
      <w:r>
        <w:rPr/>
        <w:t>that</w:t>
      </w:r>
      <w:r>
        <w:rPr>
          <w:spacing w:val="-3"/>
        </w:rPr>
        <w:t> </w:t>
      </w:r>
      <w:r>
        <w:rPr/>
        <w:t>its</w:t>
      </w:r>
      <w:r>
        <w:rPr>
          <w:spacing w:val="-3"/>
        </w:rPr>
        <w:t> </w:t>
      </w:r>
      <w:r>
        <w:rPr/>
        <w:t>funds</w:t>
      </w:r>
      <w:r>
        <w:rPr>
          <w:spacing w:val="-3"/>
        </w:rPr>
        <w:t> </w:t>
      </w:r>
      <w:r>
        <w:rPr/>
        <w:t>that</w:t>
      </w:r>
      <w:r>
        <w:rPr>
          <w:spacing w:val="-3"/>
        </w:rPr>
        <w:t> </w:t>
      </w:r>
      <w:r>
        <w:rPr/>
        <w:t>make</w:t>
      </w:r>
      <w:r>
        <w:rPr>
          <w:spacing w:val="-4"/>
        </w:rPr>
        <w:t> </w:t>
      </w:r>
      <w:r>
        <w:rPr/>
        <w:t>up</w:t>
      </w:r>
      <w:r>
        <w:rPr>
          <w:spacing w:val="-3"/>
        </w:rPr>
        <w:t> </w:t>
      </w:r>
      <w:r>
        <w:rPr/>
        <w:t>the</w:t>
      </w:r>
      <w:r>
        <w:rPr>
          <w:spacing w:val="-4"/>
        </w:rPr>
        <w:t> </w:t>
      </w:r>
      <w:r>
        <w:rPr/>
        <w:t>non-federal</w:t>
      </w:r>
      <w:r>
        <w:rPr>
          <w:spacing w:val="-3"/>
        </w:rPr>
        <w:t> </w:t>
      </w:r>
      <w:r>
        <w:rPr/>
        <w:t>share</w:t>
      </w:r>
      <w:r>
        <w:rPr>
          <w:spacing w:val="-4"/>
        </w:rPr>
        <w:t> </w:t>
      </w:r>
      <w:r>
        <w:rPr/>
        <w:t>are</w:t>
      </w:r>
      <w:r>
        <w:rPr>
          <w:spacing w:val="-4"/>
        </w:rPr>
        <w:t> </w:t>
      </w:r>
      <w:r>
        <w:rPr/>
        <w:t>obtained</w:t>
      </w:r>
      <w:r>
        <w:rPr>
          <w:spacing w:val="-1"/>
        </w:rPr>
        <w:t> </w:t>
      </w:r>
      <w:r>
        <w:rPr/>
        <w:t>from</w:t>
      </w:r>
      <w:r>
        <w:rPr>
          <w:spacing w:val="-1"/>
        </w:rPr>
        <w:t> </w:t>
      </w:r>
      <w:r>
        <w:rPr/>
        <w:t>permissible</w:t>
      </w:r>
    </w:p>
    <w:p>
      <w:pPr>
        <w:spacing w:after="0"/>
        <w:sectPr>
          <w:pgSz w:w="12240" w:h="15840"/>
          <w:pgMar w:header="0" w:footer="1201" w:top="1360" w:bottom="1400" w:left="1200" w:right="400"/>
        </w:sectPr>
      </w:pPr>
    </w:p>
    <w:p>
      <w:pPr>
        <w:pStyle w:val="BodyText"/>
        <w:spacing w:before="79"/>
        <w:ind w:left="871" w:right="1086"/>
      </w:pPr>
      <w:r>
        <w:rPr/>
        <w:t>state and/or local funds that, unless permitted by law, are not other federal funds. The Commonwealth further certifies that federal funds provided under this section 1115 demonstration must not be</w:t>
      </w:r>
      <w:r>
        <w:rPr>
          <w:spacing w:val="-1"/>
        </w:rPr>
        <w:t> </w:t>
      </w:r>
      <w:r>
        <w:rPr/>
        <w:t>used as the</w:t>
      </w:r>
      <w:r>
        <w:rPr>
          <w:spacing w:val="-1"/>
        </w:rPr>
        <w:t> </w:t>
      </w:r>
      <w:r>
        <w:rPr/>
        <w:t>non-federal share</w:t>
      </w:r>
      <w:r>
        <w:rPr>
          <w:spacing w:val="-1"/>
        </w:rPr>
        <w:t> </w:t>
      </w:r>
      <w:r>
        <w:rPr/>
        <w:t>required under</w:t>
      </w:r>
      <w:r>
        <w:rPr>
          <w:spacing w:val="-1"/>
        </w:rPr>
        <w:t> </w:t>
      </w:r>
      <w:r>
        <w:rPr/>
        <w:t>any</w:t>
      </w:r>
      <w:r>
        <w:rPr>
          <w:spacing w:val="-3"/>
        </w:rPr>
        <w:t> </w:t>
      </w:r>
      <w:r>
        <w:rPr/>
        <w:t>other</w:t>
      </w:r>
      <w:r>
        <w:rPr>
          <w:spacing w:val="-1"/>
        </w:rPr>
        <w:t> </w:t>
      </w:r>
      <w:r>
        <w:rPr/>
        <w:t>federal grant or contract, except as permitted by law. CMS approval of this demonstration does not constitute</w:t>
      </w:r>
      <w:r>
        <w:rPr>
          <w:spacing w:val="-1"/>
        </w:rPr>
        <w:t> </w:t>
      </w:r>
      <w:r>
        <w:rPr/>
        <w:t>direct or</w:t>
      </w:r>
      <w:r>
        <w:rPr>
          <w:spacing w:val="-1"/>
        </w:rPr>
        <w:t> </w:t>
      </w:r>
      <w:r>
        <w:rPr/>
        <w:t>indirect approval of</w:t>
      </w:r>
      <w:r>
        <w:rPr>
          <w:spacing w:val="-1"/>
        </w:rPr>
        <w:t> </w:t>
      </w:r>
      <w:r>
        <w:rPr/>
        <w:t>any</w:t>
      </w:r>
      <w:r>
        <w:rPr>
          <w:spacing w:val="-5"/>
        </w:rPr>
        <w:t> </w:t>
      </w:r>
      <w:r>
        <w:rPr/>
        <w:t>underlying</w:t>
      </w:r>
      <w:r>
        <w:rPr>
          <w:spacing w:val="-3"/>
        </w:rPr>
        <w:t> </w:t>
      </w:r>
      <w:r>
        <w:rPr/>
        <w:t>source</w:t>
      </w:r>
      <w:r>
        <w:rPr>
          <w:spacing w:val="-1"/>
        </w:rPr>
        <w:t> </w:t>
      </w:r>
      <w:r>
        <w:rPr/>
        <w:t>of</w:t>
      </w:r>
      <w:r>
        <w:rPr>
          <w:spacing w:val="-1"/>
        </w:rPr>
        <w:t> </w:t>
      </w:r>
      <w:r>
        <w:rPr/>
        <w:t>non-federal share</w:t>
      </w:r>
      <w:r>
        <w:rPr>
          <w:spacing w:val="-1"/>
        </w:rPr>
        <w:t> </w:t>
      </w:r>
      <w:r>
        <w:rPr/>
        <w:t>or associated</w:t>
      </w:r>
      <w:r>
        <w:rPr>
          <w:spacing w:val="-3"/>
        </w:rPr>
        <w:t> </w:t>
      </w:r>
      <w:r>
        <w:rPr/>
        <w:t>funding</w:t>
      </w:r>
      <w:r>
        <w:rPr>
          <w:spacing w:val="-6"/>
        </w:rPr>
        <w:t> </w:t>
      </w:r>
      <w:r>
        <w:rPr/>
        <w:t>mechanisms</w:t>
      </w:r>
      <w:r>
        <w:rPr>
          <w:spacing w:val="-3"/>
        </w:rPr>
        <w:t> </w:t>
      </w:r>
      <w:r>
        <w:rPr/>
        <w:t>and</w:t>
      </w:r>
      <w:r>
        <w:rPr>
          <w:spacing w:val="-3"/>
        </w:rPr>
        <w:t> </w:t>
      </w:r>
      <w:r>
        <w:rPr/>
        <w:t>all</w:t>
      </w:r>
      <w:r>
        <w:rPr>
          <w:spacing w:val="-3"/>
        </w:rPr>
        <w:t> </w:t>
      </w:r>
      <w:r>
        <w:rPr/>
        <w:t>sources</w:t>
      </w:r>
      <w:r>
        <w:rPr>
          <w:spacing w:val="-3"/>
        </w:rPr>
        <w:t> </w:t>
      </w:r>
      <w:r>
        <w:rPr/>
        <w:t>of</w:t>
      </w:r>
      <w:r>
        <w:rPr>
          <w:spacing w:val="-2"/>
        </w:rPr>
        <w:t> </w:t>
      </w:r>
      <w:r>
        <w:rPr/>
        <w:t>non-federal</w:t>
      </w:r>
      <w:r>
        <w:rPr>
          <w:spacing w:val="-3"/>
        </w:rPr>
        <w:t> </w:t>
      </w:r>
      <w:r>
        <w:rPr/>
        <w:t>funding</w:t>
      </w:r>
      <w:r>
        <w:rPr>
          <w:spacing w:val="-6"/>
        </w:rPr>
        <w:t> </w:t>
      </w:r>
      <w:r>
        <w:rPr/>
        <w:t>must</w:t>
      </w:r>
      <w:r>
        <w:rPr>
          <w:spacing w:val="-3"/>
        </w:rPr>
        <w:t> </w:t>
      </w:r>
      <w:r>
        <w:rPr/>
        <w:t>be</w:t>
      </w:r>
      <w:r>
        <w:rPr>
          <w:spacing w:val="-4"/>
        </w:rPr>
        <w:t> </w:t>
      </w:r>
      <w:r>
        <w:rPr/>
        <w:t>compliant with section 1903(w) of the Act and applicable implementing regulations. CMS reserves the right to deny FFP in expenditures for which it determines that the sources of non- federal share are impermissible.</w:t>
      </w:r>
    </w:p>
    <w:p>
      <w:pPr>
        <w:pStyle w:val="BodyText"/>
        <w:spacing w:before="10"/>
        <w:rPr>
          <w:sz w:val="20"/>
        </w:rPr>
      </w:pPr>
    </w:p>
    <w:p>
      <w:pPr>
        <w:pStyle w:val="BodyText"/>
        <w:ind w:left="1411" w:right="1059"/>
      </w:pPr>
      <w:r>
        <w:rPr/>
        <w:drawing>
          <wp:anchor distT="0" distB="0" distL="0" distR="0" allowOverlap="1" layoutInCell="1" locked="0" behindDoc="0" simplePos="0" relativeHeight="16080896">
            <wp:simplePos x="0" y="0"/>
            <wp:positionH relativeFrom="page">
              <wp:posOffset>1431036</wp:posOffset>
            </wp:positionH>
            <wp:positionV relativeFrom="paragraph">
              <wp:posOffset>67603</wp:posOffset>
            </wp:positionV>
            <wp:extent cx="96011" cy="80771"/>
            <wp:effectExtent l="0" t="0" r="0" b="0"/>
            <wp:wrapNone/>
            <wp:docPr id="700" name="Image 700"/>
            <wp:cNvGraphicFramePr>
              <a:graphicFrameLocks/>
            </wp:cNvGraphicFramePr>
            <a:graphic>
              <a:graphicData uri="http://schemas.openxmlformats.org/drawingml/2006/picture">
                <pic:pic>
                  <pic:nvPicPr>
                    <pic:cNvPr id="700" name="Image 700"/>
                    <pic:cNvPicPr/>
                  </pic:nvPicPr>
                  <pic:blipFill>
                    <a:blip r:embed="rId29" cstate="print"/>
                    <a:stretch>
                      <a:fillRect/>
                    </a:stretch>
                  </pic:blipFill>
                  <pic:spPr>
                    <a:xfrm>
                      <a:off x="0" y="0"/>
                      <a:ext cx="96011" cy="80771"/>
                    </a:xfrm>
                    <a:prstGeom prst="rect">
                      <a:avLst/>
                    </a:prstGeom>
                  </pic:spPr>
                </pic:pic>
              </a:graphicData>
            </a:graphic>
          </wp:anchor>
        </w:drawing>
      </w:r>
      <w:bookmarkStart w:name="a. If requested, the Commonwealth must s" w:id="1001"/>
      <w:bookmarkEnd w:id="1001"/>
      <w:r>
        <w:rPr/>
      </w:r>
      <w:r>
        <w:rPr/>
        <w:t>If requested, the Commonwealth must submit for CMS review and approval documentation</w:t>
      </w:r>
      <w:r>
        <w:rPr>
          <w:spacing w:val="-3"/>
        </w:rPr>
        <w:t> </w:t>
      </w:r>
      <w:r>
        <w:rPr/>
        <w:t>of</w:t>
      </w:r>
      <w:r>
        <w:rPr>
          <w:spacing w:val="-4"/>
        </w:rPr>
        <w:t> </w:t>
      </w:r>
      <w:r>
        <w:rPr/>
        <w:t>any</w:t>
      </w:r>
      <w:r>
        <w:rPr>
          <w:spacing w:val="-8"/>
        </w:rPr>
        <w:t> </w:t>
      </w:r>
      <w:r>
        <w:rPr/>
        <w:t>sources</w:t>
      </w:r>
      <w:r>
        <w:rPr>
          <w:spacing w:val="-3"/>
        </w:rPr>
        <w:t> </w:t>
      </w:r>
      <w:r>
        <w:rPr/>
        <w:t>of</w:t>
      </w:r>
      <w:r>
        <w:rPr>
          <w:spacing w:val="-4"/>
        </w:rPr>
        <w:t> </w:t>
      </w:r>
      <w:r>
        <w:rPr/>
        <w:t>non-federal</w:t>
      </w:r>
      <w:r>
        <w:rPr>
          <w:spacing w:val="-3"/>
        </w:rPr>
        <w:t> </w:t>
      </w:r>
      <w:r>
        <w:rPr/>
        <w:t>share</w:t>
      </w:r>
      <w:r>
        <w:rPr>
          <w:spacing w:val="-4"/>
        </w:rPr>
        <w:t> </w:t>
      </w:r>
      <w:r>
        <w:rPr/>
        <w:t>that</w:t>
      </w:r>
      <w:r>
        <w:rPr>
          <w:spacing w:val="-3"/>
        </w:rPr>
        <w:t> </w:t>
      </w:r>
      <w:r>
        <w:rPr/>
        <w:t>would</w:t>
      </w:r>
      <w:r>
        <w:rPr>
          <w:spacing w:val="-3"/>
        </w:rPr>
        <w:t> </w:t>
      </w:r>
      <w:r>
        <w:rPr/>
        <w:t>be</w:t>
      </w:r>
      <w:r>
        <w:rPr>
          <w:spacing w:val="-4"/>
        </w:rPr>
        <w:t> </w:t>
      </w:r>
      <w:r>
        <w:rPr/>
        <w:t>used</w:t>
      </w:r>
      <w:r>
        <w:rPr>
          <w:spacing w:val="-3"/>
        </w:rPr>
        <w:t> </w:t>
      </w:r>
      <w:r>
        <w:rPr/>
        <w:t>to</w:t>
      </w:r>
      <w:r>
        <w:rPr>
          <w:spacing w:val="-3"/>
        </w:rPr>
        <w:t> </w:t>
      </w:r>
      <w:r>
        <w:rPr/>
        <w:t>support payments under the demonstration.</w:t>
      </w:r>
    </w:p>
    <w:p>
      <w:pPr>
        <w:pStyle w:val="BodyText"/>
        <w:spacing w:before="10"/>
        <w:rPr>
          <w:sz w:val="20"/>
        </w:rPr>
      </w:pPr>
    </w:p>
    <w:p>
      <w:pPr>
        <w:pStyle w:val="BodyText"/>
        <w:ind w:left="1411" w:right="1059"/>
      </w:pPr>
      <w:r>
        <w:rPr/>
        <w:drawing>
          <wp:anchor distT="0" distB="0" distL="0" distR="0" allowOverlap="1" layoutInCell="1" locked="0" behindDoc="0" simplePos="0" relativeHeight="16081408">
            <wp:simplePos x="0" y="0"/>
            <wp:positionH relativeFrom="page">
              <wp:posOffset>1424939</wp:posOffset>
            </wp:positionH>
            <wp:positionV relativeFrom="paragraph">
              <wp:posOffset>32551</wp:posOffset>
            </wp:positionV>
            <wp:extent cx="111251" cy="115823"/>
            <wp:effectExtent l="0" t="0" r="0" b="0"/>
            <wp:wrapNone/>
            <wp:docPr id="701" name="Image 701"/>
            <wp:cNvGraphicFramePr>
              <a:graphicFrameLocks/>
            </wp:cNvGraphicFramePr>
            <a:graphic>
              <a:graphicData uri="http://schemas.openxmlformats.org/drawingml/2006/picture">
                <pic:pic>
                  <pic:nvPicPr>
                    <pic:cNvPr id="701" name="Image 701"/>
                    <pic:cNvPicPr/>
                  </pic:nvPicPr>
                  <pic:blipFill>
                    <a:blip r:embed="rId34" cstate="print"/>
                    <a:stretch>
                      <a:fillRect/>
                    </a:stretch>
                  </pic:blipFill>
                  <pic:spPr>
                    <a:xfrm>
                      <a:off x="0" y="0"/>
                      <a:ext cx="111251" cy="115823"/>
                    </a:xfrm>
                    <a:prstGeom prst="rect">
                      <a:avLst/>
                    </a:prstGeom>
                  </pic:spPr>
                </pic:pic>
              </a:graphicData>
            </a:graphic>
          </wp:anchor>
        </w:drawing>
      </w:r>
      <w:bookmarkStart w:name="b. If CMS determines that any funding so" w:id="1002"/>
      <w:bookmarkEnd w:id="1002"/>
      <w:r>
        <w:rPr/>
      </w:r>
      <w:r>
        <w:rPr/>
        <w:t>If CMS determines that any funding sources are not consistent with applicable federal</w:t>
      </w:r>
      <w:r>
        <w:rPr>
          <w:spacing w:val="-5"/>
        </w:rPr>
        <w:t> </w:t>
      </w:r>
      <w:r>
        <w:rPr/>
        <w:t>statutes</w:t>
      </w:r>
      <w:r>
        <w:rPr>
          <w:spacing w:val="-5"/>
        </w:rPr>
        <w:t> </w:t>
      </w:r>
      <w:r>
        <w:rPr/>
        <w:t>or</w:t>
      </w:r>
      <w:r>
        <w:rPr>
          <w:spacing w:val="-5"/>
        </w:rPr>
        <w:t> </w:t>
      </w:r>
      <w:r>
        <w:rPr/>
        <w:t>regulations,</w:t>
      </w:r>
      <w:r>
        <w:rPr>
          <w:spacing w:val="-5"/>
        </w:rPr>
        <w:t> </w:t>
      </w:r>
      <w:r>
        <w:rPr/>
        <w:t>the</w:t>
      </w:r>
      <w:r>
        <w:rPr>
          <w:spacing w:val="-5"/>
        </w:rPr>
        <w:t> </w:t>
      </w:r>
      <w:r>
        <w:rPr/>
        <w:t>Commonwealth</w:t>
      </w:r>
      <w:r>
        <w:rPr>
          <w:spacing w:val="-5"/>
        </w:rPr>
        <w:t> </w:t>
      </w:r>
      <w:r>
        <w:rPr/>
        <w:t>must</w:t>
      </w:r>
      <w:r>
        <w:rPr>
          <w:spacing w:val="-5"/>
        </w:rPr>
        <w:t> </w:t>
      </w:r>
      <w:r>
        <w:rPr/>
        <w:t>address</w:t>
      </w:r>
      <w:r>
        <w:rPr>
          <w:spacing w:val="-5"/>
        </w:rPr>
        <w:t> </w:t>
      </w:r>
      <w:r>
        <w:rPr/>
        <w:t>CMS’s</w:t>
      </w:r>
      <w:r>
        <w:rPr>
          <w:spacing w:val="-5"/>
        </w:rPr>
        <w:t> </w:t>
      </w:r>
      <w:r>
        <w:rPr/>
        <w:t>concerns within the time frames allotted by CMS.</w:t>
      </w:r>
    </w:p>
    <w:p>
      <w:pPr>
        <w:pStyle w:val="BodyText"/>
        <w:spacing w:before="10"/>
        <w:rPr>
          <w:sz w:val="20"/>
        </w:rPr>
      </w:pPr>
    </w:p>
    <w:p>
      <w:pPr>
        <w:pStyle w:val="BodyText"/>
        <w:ind w:left="1411" w:right="1723"/>
        <w:jc w:val="both"/>
      </w:pPr>
      <w:r>
        <w:rPr/>
        <w:drawing>
          <wp:anchor distT="0" distB="0" distL="0" distR="0" allowOverlap="1" layoutInCell="1" locked="0" behindDoc="0" simplePos="0" relativeHeight="16081920">
            <wp:simplePos x="0" y="0"/>
            <wp:positionH relativeFrom="page">
              <wp:posOffset>1431036</wp:posOffset>
            </wp:positionH>
            <wp:positionV relativeFrom="paragraph">
              <wp:posOffset>67616</wp:posOffset>
            </wp:positionV>
            <wp:extent cx="96011" cy="80759"/>
            <wp:effectExtent l="0" t="0" r="0" b="0"/>
            <wp:wrapNone/>
            <wp:docPr id="702" name="Image 702"/>
            <wp:cNvGraphicFramePr>
              <a:graphicFrameLocks/>
            </wp:cNvGraphicFramePr>
            <a:graphic>
              <a:graphicData uri="http://schemas.openxmlformats.org/drawingml/2006/picture">
                <pic:pic>
                  <pic:nvPicPr>
                    <pic:cNvPr id="702" name="Image 702"/>
                    <pic:cNvPicPr/>
                  </pic:nvPicPr>
                  <pic:blipFill>
                    <a:blip r:embed="rId35" cstate="print"/>
                    <a:stretch>
                      <a:fillRect/>
                    </a:stretch>
                  </pic:blipFill>
                  <pic:spPr>
                    <a:xfrm>
                      <a:off x="0" y="0"/>
                      <a:ext cx="96011" cy="80759"/>
                    </a:xfrm>
                    <a:prstGeom prst="rect">
                      <a:avLst/>
                    </a:prstGeom>
                  </pic:spPr>
                </pic:pic>
              </a:graphicData>
            </a:graphic>
          </wp:anchor>
        </w:drawing>
      </w:r>
      <w:bookmarkStart w:name="c. Without limitation, CMS may request i" w:id="1003"/>
      <w:bookmarkEnd w:id="1003"/>
      <w:r>
        <w:rPr/>
      </w:r>
      <w:r>
        <w:rPr/>
        <w:t>Without</w:t>
      </w:r>
      <w:r>
        <w:rPr>
          <w:spacing w:val="-4"/>
        </w:rPr>
        <w:t> </w:t>
      </w:r>
      <w:r>
        <w:rPr/>
        <w:t>limitation,</w:t>
      </w:r>
      <w:r>
        <w:rPr>
          <w:spacing w:val="-7"/>
        </w:rPr>
        <w:t> </w:t>
      </w:r>
      <w:r>
        <w:rPr/>
        <w:t>CMS</w:t>
      </w:r>
      <w:r>
        <w:rPr>
          <w:spacing w:val="-6"/>
        </w:rPr>
        <w:t> </w:t>
      </w:r>
      <w:r>
        <w:rPr/>
        <w:t>may</w:t>
      </w:r>
      <w:r>
        <w:rPr>
          <w:spacing w:val="-8"/>
        </w:rPr>
        <w:t> </w:t>
      </w:r>
      <w:r>
        <w:rPr/>
        <w:t>request</w:t>
      </w:r>
      <w:r>
        <w:rPr>
          <w:spacing w:val="-4"/>
        </w:rPr>
        <w:t> </w:t>
      </w:r>
      <w:r>
        <w:rPr/>
        <w:t>information</w:t>
      </w:r>
      <w:r>
        <w:rPr>
          <w:spacing w:val="-4"/>
        </w:rPr>
        <w:t> </w:t>
      </w:r>
      <w:r>
        <w:rPr/>
        <w:t>about</w:t>
      </w:r>
      <w:r>
        <w:rPr>
          <w:spacing w:val="-4"/>
        </w:rPr>
        <w:t> </w:t>
      </w:r>
      <w:r>
        <w:rPr/>
        <w:t>the</w:t>
      </w:r>
      <w:r>
        <w:rPr>
          <w:spacing w:val="-5"/>
        </w:rPr>
        <w:t> </w:t>
      </w:r>
      <w:r>
        <w:rPr/>
        <w:t>non-federal</w:t>
      </w:r>
      <w:r>
        <w:rPr>
          <w:spacing w:val="-4"/>
        </w:rPr>
        <w:t> </w:t>
      </w:r>
      <w:r>
        <w:rPr/>
        <w:t>share sources for any</w:t>
      </w:r>
      <w:r>
        <w:rPr>
          <w:spacing w:val="-4"/>
        </w:rPr>
        <w:t> </w:t>
      </w:r>
      <w:r>
        <w:rPr/>
        <w:t>amendments that CMS determines may</w:t>
      </w:r>
      <w:r>
        <w:rPr>
          <w:spacing w:val="-4"/>
        </w:rPr>
        <w:t> </w:t>
      </w:r>
      <w:r>
        <w:rPr/>
        <w:t>financially</w:t>
      </w:r>
      <w:r>
        <w:rPr>
          <w:spacing w:val="-4"/>
        </w:rPr>
        <w:t> </w:t>
      </w:r>
      <w:r>
        <w:rPr/>
        <w:t>impact the </w:t>
      </w:r>
      <w:r>
        <w:rPr>
          <w:spacing w:val="-2"/>
        </w:rPr>
        <w:t>demonstration.</w:t>
      </w:r>
    </w:p>
    <w:p>
      <w:pPr>
        <w:pStyle w:val="BodyText"/>
        <w:spacing w:before="10"/>
        <w:rPr>
          <w:sz w:val="20"/>
        </w:rPr>
      </w:pPr>
    </w:p>
    <w:p>
      <w:pPr>
        <w:pStyle w:val="BodyText"/>
        <w:ind w:left="871" w:right="1086"/>
      </w:pPr>
      <w:r>
        <w:rPr/>
        <w:drawing>
          <wp:anchor distT="0" distB="0" distL="0" distR="0" allowOverlap="1" layoutInCell="1" locked="0" behindDoc="0" simplePos="0" relativeHeight="16082432">
            <wp:simplePos x="0" y="0"/>
            <wp:positionH relativeFrom="page">
              <wp:posOffset>908303</wp:posOffset>
            </wp:positionH>
            <wp:positionV relativeFrom="paragraph">
              <wp:posOffset>35599</wp:posOffset>
            </wp:positionV>
            <wp:extent cx="283463" cy="112775"/>
            <wp:effectExtent l="0" t="0" r="0" b="0"/>
            <wp:wrapNone/>
            <wp:docPr id="703" name="Image 703"/>
            <wp:cNvGraphicFramePr>
              <a:graphicFrameLocks/>
            </wp:cNvGraphicFramePr>
            <a:graphic>
              <a:graphicData uri="http://schemas.openxmlformats.org/drawingml/2006/picture">
                <pic:pic>
                  <pic:nvPicPr>
                    <pic:cNvPr id="703" name="Image 703"/>
                    <pic:cNvPicPr/>
                  </pic:nvPicPr>
                  <pic:blipFill>
                    <a:blip r:embed="rId273" cstate="print"/>
                    <a:stretch>
                      <a:fillRect/>
                    </a:stretch>
                  </pic:blipFill>
                  <pic:spPr>
                    <a:xfrm>
                      <a:off x="0" y="0"/>
                      <a:ext cx="283463" cy="112775"/>
                    </a:xfrm>
                    <a:prstGeom prst="rect">
                      <a:avLst/>
                    </a:prstGeom>
                  </pic:spPr>
                </pic:pic>
              </a:graphicData>
            </a:graphic>
          </wp:anchor>
        </w:drawing>
      </w:r>
      <w:bookmarkStart w:name="18.4. State Certification of Funding Con" w:id="1004"/>
      <w:bookmarkEnd w:id="1004"/>
      <w:r>
        <w:rPr/>
      </w:r>
      <w:r>
        <w:rPr>
          <w:b/>
        </w:rPr>
        <w:t>State Certification of Funding Conditions. </w:t>
      </w:r>
      <w:r>
        <w:rPr/>
        <w:t>As a condition of demonstration approval, the</w:t>
      </w:r>
      <w:r>
        <w:rPr>
          <w:spacing w:val="-4"/>
        </w:rPr>
        <w:t> </w:t>
      </w:r>
      <w:r>
        <w:rPr/>
        <w:t>Commonwealth</w:t>
      </w:r>
      <w:r>
        <w:rPr>
          <w:spacing w:val="-4"/>
        </w:rPr>
        <w:t> </w:t>
      </w:r>
      <w:r>
        <w:rPr/>
        <w:t>certifies</w:t>
      </w:r>
      <w:r>
        <w:rPr>
          <w:spacing w:val="-4"/>
        </w:rPr>
        <w:t> </w:t>
      </w:r>
      <w:r>
        <w:rPr/>
        <w:t>that</w:t>
      </w:r>
      <w:r>
        <w:rPr>
          <w:spacing w:val="-4"/>
        </w:rPr>
        <w:t> </w:t>
      </w:r>
      <w:r>
        <w:rPr/>
        <w:t>the</w:t>
      </w:r>
      <w:r>
        <w:rPr>
          <w:spacing w:val="-4"/>
        </w:rPr>
        <w:t> </w:t>
      </w:r>
      <w:r>
        <w:rPr/>
        <w:t>following</w:t>
      </w:r>
      <w:r>
        <w:rPr>
          <w:spacing w:val="-4"/>
        </w:rPr>
        <w:t> </w:t>
      </w:r>
      <w:r>
        <w:rPr/>
        <w:t>conditions</w:t>
      </w:r>
      <w:r>
        <w:rPr>
          <w:spacing w:val="-4"/>
        </w:rPr>
        <w:t> </w:t>
      </w:r>
      <w:r>
        <w:rPr/>
        <w:t>for</w:t>
      </w:r>
      <w:r>
        <w:rPr>
          <w:spacing w:val="-4"/>
        </w:rPr>
        <w:t> </w:t>
      </w:r>
      <w:r>
        <w:rPr/>
        <w:t>non-federal</w:t>
      </w:r>
      <w:r>
        <w:rPr>
          <w:spacing w:val="-4"/>
        </w:rPr>
        <w:t> </w:t>
      </w:r>
      <w:r>
        <w:rPr/>
        <w:t>share</w:t>
      </w:r>
      <w:r>
        <w:rPr>
          <w:spacing w:val="-4"/>
        </w:rPr>
        <w:t> </w:t>
      </w:r>
      <w:r>
        <w:rPr/>
        <w:t>financing of demonstration expenditures have been met:</w:t>
      </w:r>
    </w:p>
    <w:p>
      <w:pPr>
        <w:pStyle w:val="BodyText"/>
        <w:spacing w:before="10"/>
        <w:rPr>
          <w:sz w:val="20"/>
        </w:rPr>
      </w:pPr>
    </w:p>
    <w:p>
      <w:pPr>
        <w:pStyle w:val="BodyText"/>
        <w:ind w:left="1411" w:right="1059"/>
      </w:pPr>
      <w:r>
        <w:rPr/>
        <w:drawing>
          <wp:anchor distT="0" distB="0" distL="0" distR="0" allowOverlap="1" layoutInCell="1" locked="0" behindDoc="0" simplePos="0" relativeHeight="16082944">
            <wp:simplePos x="0" y="0"/>
            <wp:positionH relativeFrom="page">
              <wp:posOffset>1431036</wp:posOffset>
            </wp:positionH>
            <wp:positionV relativeFrom="paragraph">
              <wp:posOffset>67603</wp:posOffset>
            </wp:positionV>
            <wp:extent cx="96011" cy="80771"/>
            <wp:effectExtent l="0" t="0" r="0" b="0"/>
            <wp:wrapNone/>
            <wp:docPr id="704" name="Image 704"/>
            <wp:cNvGraphicFramePr>
              <a:graphicFrameLocks/>
            </wp:cNvGraphicFramePr>
            <a:graphic>
              <a:graphicData uri="http://schemas.openxmlformats.org/drawingml/2006/picture">
                <pic:pic>
                  <pic:nvPicPr>
                    <pic:cNvPr id="704" name="Image 704"/>
                    <pic:cNvPicPr/>
                  </pic:nvPicPr>
                  <pic:blipFill>
                    <a:blip r:embed="rId40" cstate="print"/>
                    <a:stretch>
                      <a:fillRect/>
                    </a:stretch>
                  </pic:blipFill>
                  <pic:spPr>
                    <a:xfrm>
                      <a:off x="0" y="0"/>
                      <a:ext cx="96011" cy="80771"/>
                    </a:xfrm>
                    <a:prstGeom prst="rect">
                      <a:avLst/>
                    </a:prstGeom>
                  </pic:spPr>
                </pic:pic>
              </a:graphicData>
            </a:graphic>
          </wp:anchor>
        </w:drawing>
      </w:r>
      <w:bookmarkStart w:name="a. If units of state or local government" w:id="1005"/>
      <w:bookmarkEnd w:id="1005"/>
      <w:r>
        <w:rPr/>
      </w:r>
      <w:r>
        <w:rPr/>
        <w:t>If</w:t>
      </w:r>
      <w:r>
        <w:rPr>
          <w:spacing w:val="-2"/>
        </w:rPr>
        <w:t> </w:t>
      </w:r>
      <w:r>
        <w:rPr/>
        <w:t>units</w:t>
      </w:r>
      <w:r>
        <w:rPr>
          <w:spacing w:val="-3"/>
        </w:rPr>
        <w:t> </w:t>
      </w:r>
      <w:r>
        <w:rPr/>
        <w:t>of</w:t>
      </w:r>
      <w:r>
        <w:rPr>
          <w:spacing w:val="-4"/>
        </w:rPr>
        <w:t> </w:t>
      </w:r>
      <w:r>
        <w:rPr/>
        <w:t>state</w:t>
      </w:r>
      <w:r>
        <w:rPr>
          <w:spacing w:val="-4"/>
        </w:rPr>
        <w:t> </w:t>
      </w:r>
      <w:r>
        <w:rPr/>
        <w:t>or</w:t>
      </w:r>
      <w:r>
        <w:rPr>
          <w:spacing w:val="-4"/>
        </w:rPr>
        <w:t> </w:t>
      </w:r>
      <w:r>
        <w:rPr/>
        <w:t>local</w:t>
      </w:r>
      <w:r>
        <w:rPr>
          <w:spacing w:val="-3"/>
        </w:rPr>
        <w:t> </w:t>
      </w:r>
      <w:r>
        <w:rPr/>
        <w:t>government,</w:t>
      </w:r>
      <w:r>
        <w:rPr>
          <w:spacing w:val="-3"/>
        </w:rPr>
        <w:t> </w:t>
      </w:r>
      <w:r>
        <w:rPr/>
        <w:t>including</w:t>
      </w:r>
      <w:r>
        <w:rPr>
          <w:spacing w:val="-6"/>
        </w:rPr>
        <w:t> </w:t>
      </w:r>
      <w:r>
        <w:rPr/>
        <w:t>health</w:t>
      </w:r>
      <w:r>
        <w:rPr>
          <w:spacing w:val="-3"/>
        </w:rPr>
        <w:t> </w:t>
      </w:r>
      <w:r>
        <w:rPr/>
        <w:t>care</w:t>
      </w:r>
      <w:r>
        <w:rPr>
          <w:spacing w:val="-4"/>
        </w:rPr>
        <w:t> </w:t>
      </w:r>
      <w:r>
        <w:rPr/>
        <w:t>providers</w:t>
      </w:r>
      <w:r>
        <w:rPr>
          <w:spacing w:val="-3"/>
        </w:rPr>
        <w:t> </w:t>
      </w:r>
      <w:r>
        <w:rPr/>
        <w:t>that</w:t>
      </w:r>
      <w:r>
        <w:rPr>
          <w:spacing w:val="-3"/>
        </w:rPr>
        <w:t> </w:t>
      </w:r>
      <w:r>
        <w:rPr/>
        <w:t>are</w:t>
      </w:r>
      <w:r>
        <w:rPr>
          <w:spacing w:val="-2"/>
        </w:rPr>
        <w:t> </w:t>
      </w:r>
      <w:r>
        <w:rPr/>
        <w:t>units</w:t>
      </w:r>
      <w:r>
        <w:rPr>
          <w:spacing w:val="-3"/>
        </w:rPr>
        <w:t> </w:t>
      </w:r>
      <w:r>
        <w:rPr/>
        <w:t>of state or local government, supply any funds used as non-federal share for expenditures under the demonstration, the Commonwealth must certify</w:t>
      </w:r>
      <w:r>
        <w:rPr>
          <w:spacing w:val="-1"/>
        </w:rPr>
        <w:t> </w:t>
      </w:r>
      <w:r>
        <w:rPr/>
        <w:t>that state or local monies have been expended as the non-federal share of funds under the demonstration in accordance with section 1903(w) of the Act and applicable implementing regulations.</w:t>
      </w:r>
    </w:p>
    <w:p>
      <w:pPr>
        <w:pStyle w:val="BodyText"/>
        <w:spacing w:before="10"/>
        <w:rPr>
          <w:sz w:val="20"/>
        </w:rPr>
      </w:pPr>
    </w:p>
    <w:p>
      <w:pPr>
        <w:pStyle w:val="BodyText"/>
        <w:spacing w:before="1"/>
        <w:ind w:left="1411" w:right="1059"/>
      </w:pPr>
      <w:r>
        <w:rPr/>
        <w:drawing>
          <wp:anchor distT="0" distB="0" distL="0" distR="0" allowOverlap="1" layoutInCell="1" locked="0" behindDoc="0" simplePos="0" relativeHeight="16083456">
            <wp:simplePos x="0" y="0"/>
            <wp:positionH relativeFrom="page">
              <wp:posOffset>1424939</wp:posOffset>
            </wp:positionH>
            <wp:positionV relativeFrom="paragraph">
              <wp:posOffset>33186</wp:posOffset>
            </wp:positionV>
            <wp:extent cx="111251" cy="115823"/>
            <wp:effectExtent l="0" t="0" r="0" b="0"/>
            <wp:wrapNone/>
            <wp:docPr id="705" name="Image 705"/>
            <wp:cNvGraphicFramePr>
              <a:graphicFrameLocks/>
            </wp:cNvGraphicFramePr>
            <a:graphic>
              <a:graphicData uri="http://schemas.openxmlformats.org/drawingml/2006/picture">
                <pic:pic>
                  <pic:nvPicPr>
                    <pic:cNvPr id="705" name="Image 705"/>
                    <pic:cNvPicPr/>
                  </pic:nvPicPr>
                  <pic:blipFill>
                    <a:blip r:embed="rId34" cstate="print"/>
                    <a:stretch>
                      <a:fillRect/>
                    </a:stretch>
                  </pic:blipFill>
                  <pic:spPr>
                    <a:xfrm>
                      <a:off x="0" y="0"/>
                      <a:ext cx="111251" cy="115823"/>
                    </a:xfrm>
                    <a:prstGeom prst="rect">
                      <a:avLst/>
                    </a:prstGeom>
                  </pic:spPr>
                </pic:pic>
              </a:graphicData>
            </a:graphic>
          </wp:anchor>
        </w:drawing>
      </w:r>
      <w:bookmarkStart w:name="b. To the extent the Commonwealth utiliz" w:id="1006"/>
      <w:bookmarkEnd w:id="1006"/>
      <w:r>
        <w:rPr/>
      </w:r>
      <w:r>
        <w:rPr/>
        <w:t>To the extent the Commonwealth utilizes certified public expenditures (CPE) as the funding mechanism for the non-federal share of expenditures under the demonstration, the Commonwealth must obtain CMS approval for a cost reimbursement</w:t>
      </w:r>
      <w:r>
        <w:rPr>
          <w:spacing w:val="-4"/>
        </w:rPr>
        <w:t> </w:t>
      </w:r>
      <w:r>
        <w:rPr/>
        <w:t>methodology.</w:t>
      </w:r>
      <w:r>
        <w:rPr>
          <w:spacing w:val="-4"/>
        </w:rPr>
        <w:t> </w:t>
      </w:r>
      <w:r>
        <w:rPr/>
        <w:t>This</w:t>
      </w:r>
      <w:r>
        <w:rPr>
          <w:spacing w:val="-4"/>
        </w:rPr>
        <w:t> </w:t>
      </w:r>
      <w:r>
        <w:rPr/>
        <w:t>methodology</w:t>
      </w:r>
      <w:r>
        <w:rPr>
          <w:spacing w:val="-7"/>
        </w:rPr>
        <w:t> </w:t>
      </w:r>
      <w:r>
        <w:rPr/>
        <w:t>must</w:t>
      </w:r>
      <w:r>
        <w:rPr>
          <w:spacing w:val="-4"/>
        </w:rPr>
        <w:t> </w:t>
      </w:r>
      <w:r>
        <w:rPr/>
        <w:t>include</w:t>
      </w:r>
      <w:r>
        <w:rPr>
          <w:spacing w:val="-5"/>
        </w:rPr>
        <w:t> </w:t>
      </w:r>
      <w:r>
        <w:rPr/>
        <w:t>a</w:t>
      </w:r>
      <w:r>
        <w:rPr>
          <w:spacing w:val="-5"/>
        </w:rPr>
        <w:t> </w:t>
      </w:r>
      <w:r>
        <w:rPr/>
        <w:t>detailed</w:t>
      </w:r>
      <w:r>
        <w:rPr>
          <w:spacing w:val="-4"/>
        </w:rPr>
        <w:t> </w:t>
      </w:r>
      <w:r>
        <w:rPr/>
        <w:t>explanation of the process, including any necessary cost reporting protocols, by which the Commonwealth identifies those costs eligible for purposes of certifying public expenditures. The certifying unit of government that incurs costs authorized under the demonstration must certify to the state the amount of public funds allowable under 42 CFR 433.51 it has expended. The federal financial participation paid to match CPEs may not be used as the non-federal share to obtain additional federal funds, except as authorized by federal law, consistent with 42 CFR</w:t>
      </w:r>
      <w:r>
        <w:rPr>
          <w:spacing w:val="40"/>
        </w:rPr>
        <w:t> </w:t>
      </w:r>
      <w:r>
        <w:rPr/>
        <w:t>433.51(c).</w:t>
      </w:r>
    </w:p>
    <w:p>
      <w:pPr>
        <w:pStyle w:val="BodyText"/>
        <w:spacing w:before="10"/>
        <w:rPr>
          <w:sz w:val="20"/>
        </w:rPr>
      </w:pPr>
    </w:p>
    <w:p>
      <w:pPr>
        <w:pStyle w:val="BodyText"/>
        <w:ind w:left="1411" w:right="1059"/>
      </w:pPr>
      <w:r>
        <w:rPr/>
        <w:drawing>
          <wp:anchor distT="0" distB="0" distL="0" distR="0" allowOverlap="1" layoutInCell="1" locked="0" behindDoc="0" simplePos="0" relativeHeight="16083968">
            <wp:simplePos x="0" y="0"/>
            <wp:positionH relativeFrom="page">
              <wp:posOffset>1431036</wp:posOffset>
            </wp:positionH>
            <wp:positionV relativeFrom="paragraph">
              <wp:posOffset>67616</wp:posOffset>
            </wp:positionV>
            <wp:extent cx="96011" cy="80759"/>
            <wp:effectExtent l="0" t="0" r="0" b="0"/>
            <wp:wrapNone/>
            <wp:docPr id="706" name="Image 706"/>
            <wp:cNvGraphicFramePr>
              <a:graphicFrameLocks/>
            </wp:cNvGraphicFramePr>
            <a:graphic>
              <a:graphicData uri="http://schemas.openxmlformats.org/drawingml/2006/picture">
                <pic:pic>
                  <pic:nvPicPr>
                    <pic:cNvPr id="706" name="Image 706"/>
                    <pic:cNvPicPr/>
                  </pic:nvPicPr>
                  <pic:blipFill>
                    <a:blip r:embed="rId41" cstate="print"/>
                    <a:stretch>
                      <a:fillRect/>
                    </a:stretch>
                  </pic:blipFill>
                  <pic:spPr>
                    <a:xfrm>
                      <a:off x="0" y="0"/>
                      <a:ext cx="96011" cy="80759"/>
                    </a:xfrm>
                    <a:prstGeom prst="rect">
                      <a:avLst/>
                    </a:prstGeom>
                  </pic:spPr>
                </pic:pic>
              </a:graphicData>
            </a:graphic>
          </wp:anchor>
        </w:drawing>
      </w:r>
      <w:bookmarkStart w:name="c. The Commonwealth may use intergovernm" w:id="1007"/>
      <w:bookmarkEnd w:id="1007"/>
      <w:r>
        <w:rPr/>
      </w:r>
      <w:r>
        <w:rPr/>
        <w:t>The</w:t>
      </w:r>
      <w:r>
        <w:rPr>
          <w:spacing w:val="-4"/>
        </w:rPr>
        <w:t> </w:t>
      </w:r>
      <w:r>
        <w:rPr/>
        <w:t>Commonwealth</w:t>
      </w:r>
      <w:r>
        <w:rPr>
          <w:spacing w:val="-3"/>
        </w:rPr>
        <w:t> </w:t>
      </w:r>
      <w:r>
        <w:rPr/>
        <w:t>may</w:t>
      </w:r>
      <w:r>
        <w:rPr>
          <w:spacing w:val="-6"/>
        </w:rPr>
        <w:t> </w:t>
      </w:r>
      <w:r>
        <w:rPr/>
        <w:t>use</w:t>
      </w:r>
      <w:r>
        <w:rPr>
          <w:spacing w:val="-4"/>
        </w:rPr>
        <w:t> </w:t>
      </w:r>
      <w:r>
        <w:rPr/>
        <w:t>intergovernmental</w:t>
      </w:r>
      <w:r>
        <w:rPr>
          <w:spacing w:val="-3"/>
        </w:rPr>
        <w:t> </w:t>
      </w:r>
      <w:r>
        <w:rPr/>
        <w:t>transfers</w:t>
      </w:r>
      <w:r>
        <w:rPr>
          <w:spacing w:val="-1"/>
        </w:rPr>
        <w:t> </w:t>
      </w:r>
      <w:r>
        <w:rPr/>
        <w:t>(IGT)</w:t>
      </w:r>
      <w:r>
        <w:rPr>
          <w:spacing w:val="-4"/>
        </w:rPr>
        <w:t> </w:t>
      </w:r>
      <w:r>
        <w:rPr/>
        <w:t>to</w:t>
      </w:r>
      <w:r>
        <w:rPr>
          <w:spacing w:val="-3"/>
        </w:rPr>
        <w:t> </w:t>
      </w:r>
      <w:r>
        <w:rPr/>
        <w:t>the</w:t>
      </w:r>
      <w:r>
        <w:rPr>
          <w:spacing w:val="-2"/>
        </w:rPr>
        <w:t> </w:t>
      </w:r>
      <w:r>
        <w:rPr/>
        <w:t>extent</w:t>
      </w:r>
      <w:r>
        <w:rPr>
          <w:spacing w:val="-3"/>
        </w:rPr>
        <w:t> </w:t>
      </w:r>
      <w:r>
        <w:rPr/>
        <w:t>that</w:t>
      </w:r>
      <w:r>
        <w:rPr>
          <w:spacing w:val="-3"/>
        </w:rPr>
        <w:t> </w:t>
      </w:r>
      <w:r>
        <w:rPr/>
        <w:t>the transferred funds are public funds within the meaning of 42 CFR 433.51 and are</w:t>
      </w:r>
    </w:p>
    <w:p>
      <w:pPr>
        <w:spacing w:after="0"/>
        <w:sectPr>
          <w:pgSz w:w="12240" w:h="15840"/>
          <w:pgMar w:header="0" w:footer="1201" w:top="1360" w:bottom="1400" w:left="1200" w:right="400"/>
        </w:sectPr>
      </w:pPr>
    </w:p>
    <w:p>
      <w:pPr>
        <w:pStyle w:val="BodyText"/>
        <w:spacing w:before="79"/>
        <w:ind w:left="1411" w:right="1059"/>
      </w:pPr>
      <w:r>
        <w:rPr/>
        <w:t>transferred by units of government within the Commonwealth. Any transfers from units of government to support the non-federal share of expenditures under the demonstration</w:t>
      </w:r>
      <w:r>
        <w:rPr>
          <w:spacing w:val="-3"/>
        </w:rPr>
        <w:t> </w:t>
      </w:r>
      <w:r>
        <w:rPr/>
        <w:t>must</w:t>
      </w:r>
      <w:r>
        <w:rPr>
          <w:spacing w:val="-3"/>
        </w:rPr>
        <w:t> </w:t>
      </w:r>
      <w:r>
        <w:rPr/>
        <w:t>be</w:t>
      </w:r>
      <w:r>
        <w:rPr>
          <w:spacing w:val="-4"/>
        </w:rPr>
        <w:t> </w:t>
      </w:r>
      <w:r>
        <w:rPr/>
        <w:t>made</w:t>
      </w:r>
      <w:r>
        <w:rPr>
          <w:spacing w:val="-4"/>
        </w:rPr>
        <w:t> </w:t>
      </w:r>
      <w:r>
        <w:rPr/>
        <w:t>in</w:t>
      </w:r>
      <w:r>
        <w:rPr>
          <w:spacing w:val="-3"/>
        </w:rPr>
        <w:t> </w:t>
      </w:r>
      <w:r>
        <w:rPr/>
        <w:t>an</w:t>
      </w:r>
      <w:r>
        <w:rPr>
          <w:spacing w:val="-3"/>
        </w:rPr>
        <w:t> </w:t>
      </w:r>
      <w:r>
        <w:rPr/>
        <w:t>amount</w:t>
      </w:r>
      <w:r>
        <w:rPr>
          <w:spacing w:val="-3"/>
        </w:rPr>
        <w:t> </w:t>
      </w:r>
      <w:r>
        <w:rPr/>
        <w:t>not</w:t>
      </w:r>
      <w:r>
        <w:rPr>
          <w:spacing w:val="-3"/>
        </w:rPr>
        <w:t> </w:t>
      </w:r>
      <w:r>
        <w:rPr/>
        <w:t>to</w:t>
      </w:r>
      <w:r>
        <w:rPr>
          <w:spacing w:val="-3"/>
        </w:rPr>
        <w:t> </w:t>
      </w:r>
      <w:r>
        <w:rPr/>
        <w:t>exceed</w:t>
      </w:r>
      <w:r>
        <w:rPr>
          <w:spacing w:val="-3"/>
        </w:rPr>
        <w:t> </w:t>
      </w:r>
      <w:r>
        <w:rPr/>
        <w:t>the</w:t>
      </w:r>
      <w:r>
        <w:rPr>
          <w:spacing w:val="-4"/>
        </w:rPr>
        <w:t> </w:t>
      </w:r>
      <w:r>
        <w:rPr/>
        <w:t>non-federal</w:t>
      </w:r>
      <w:r>
        <w:rPr>
          <w:spacing w:val="-3"/>
        </w:rPr>
        <w:t> </w:t>
      </w:r>
      <w:r>
        <w:rPr/>
        <w:t>share</w:t>
      </w:r>
      <w:r>
        <w:rPr>
          <w:spacing w:val="-4"/>
        </w:rPr>
        <w:t> </w:t>
      </w:r>
      <w:r>
        <w:rPr/>
        <w:t>of</w:t>
      </w:r>
      <w:r>
        <w:rPr>
          <w:spacing w:val="-4"/>
        </w:rPr>
        <w:t> </w:t>
      </w:r>
      <w:r>
        <w:rPr/>
        <w:t>the expenditures under the demonstration.</w:t>
      </w:r>
    </w:p>
    <w:p>
      <w:pPr>
        <w:pStyle w:val="BodyText"/>
        <w:spacing w:before="10"/>
        <w:rPr>
          <w:sz w:val="20"/>
        </w:rPr>
      </w:pPr>
    </w:p>
    <w:p>
      <w:pPr>
        <w:pStyle w:val="BodyText"/>
        <w:ind w:left="1411" w:right="1041"/>
      </w:pPr>
      <w:r>
        <w:rPr/>
        <w:drawing>
          <wp:anchor distT="0" distB="0" distL="0" distR="0" allowOverlap="1" layoutInCell="1" locked="0" behindDoc="0" simplePos="0" relativeHeight="16084480">
            <wp:simplePos x="0" y="0"/>
            <wp:positionH relativeFrom="page">
              <wp:posOffset>1431036</wp:posOffset>
            </wp:positionH>
            <wp:positionV relativeFrom="paragraph">
              <wp:posOffset>32551</wp:posOffset>
            </wp:positionV>
            <wp:extent cx="105155" cy="115823"/>
            <wp:effectExtent l="0" t="0" r="0" b="0"/>
            <wp:wrapNone/>
            <wp:docPr id="707" name="Image 707"/>
            <wp:cNvGraphicFramePr>
              <a:graphicFrameLocks/>
            </wp:cNvGraphicFramePr>
            <a:graphic>
              <a:graphicData uri="http://schemas.openxmlformats.org/drawingml/2006/picture">
                <pic:pic>
                  <pic:nvPicPr>
                    <pic:cNvPr id="707" name="Image 707"/>
                    <pic:cNvPicPr/>
                  </pic:nvPicPr>
                  <pic:blipFill>
                    <a:blip r:embed="rId36" cstate="print"/>
                    <a:stretch>
                      <a:fillRect/>
                    </a:stretch>
                  </pic:blipFill>
                  <pic:spPr>
                    <a:xfrm>
                      <a:off x="0" y="0"/>
                      <a:ext cx="105155" cy="115823"/>
                    </a:xfrm>
                    <a:prstGeom prst="rect">
                      <a:avLst/>
                    </a:prstGeom>
                  </pic:spPr>
                </pic:pic>
              </a:graphicData>
            </a:graphic>
          </wp:anchor>
        </w:drawing>
      </w:r>
      <w:bookmarkStart w:name="d. Under all circumstances, health care " w:id="1008"/>
      <w:bookmarkEnd w:id="1008"/>
      <w:r>
        <w:rPr/>
      </w:r>
      <w:r>
        <w:rPr/>
        <w:t>Under all circumstances, health care providers must retain 100 percent of their payments for or in connection with furnishing covered services to beneficiaries. Moreover, no pre-arranged agreements (contractual, voluntary, or otherwise) may exist between health care providers and state and/or local governments, or third parties to return and/or redirect to the Commonwealth any portion of the Medicaid payments in a manner inconsistent with the requirements in section 1903(w) of the Act and its implementing regulations. This confirmation of Medicaid payment retention is made</w:t>
      </w:r>
      <w:r>
        <w:rPr>
          <w:spacing w:val="-1"/>
        </w:rPr>
        <w:t> </w:t>
      </w:r>
      <w:r>
        <w:rPr/>
        <w:t>with the</w:t>
      </w:r>
      <w:r>
        <w:rPr>
          <w:spacing w:val="-1"/>
        </w:rPr>
        <w:t> </w:t>
      </w:r>
      <w:r>
        <w:rPr/>
        <w:t>understanding</w:t>
      </w:r>
      <w:r>
        <w:rPr>
          <w:spacing w:val="-3"/>
        </w:rPr>
        <w:t> </w:t>
      </w:r>
      <w:r>
        <w:rPr/>
        <w:t>that payments that are</w:t>
      </w:r>
      <w:r>
        <w:rPr>
          <w:spacing w:val="-1"/>
        </w:rPr>
        <w:t> </w:t>
      </w:r>
      <w:r>
        <w:rPr/>
        <w:t>the</w:t>
      </w:r>
      <w:r>
        <w:rPr>
          <w:spacing w:val="-1"/>
        </w:rPr>
        <w:t> </w:t>
      </w:r>
      <w:r>
        <w:rPr/>
        <w:t>normal operating expenses of conducting business, such as payments related to taxes, including health care provider-related taxes, fees, business relationships with governments that are unrelated</w:t>
      </w:r>
      <w:r>
        <w:rPr>
          <w:spacing w:val="-3"/>
        </w:rPr>
        <w:t> </w:t>
      </w:r>
      <w:r>
        <w:rPr/>
        <w:t>to</w:t>
      </w:r>
      <w:r>
        <w:rPr>
          <w:spacing w:val="-3"/>
        </w:rPr>
        <w:t> </w:t>
      </w:r>
      <w:r>
        <w:rPr/>
        <w:t>Medicaid</w:t>
      </w:r>
      <w:r>
        <w:rPr>
          <w:spacing w:val="-3"/>
        </w:rPr>
        <w:t> </w:t>
      </w:r>
      <w:r>
        <w:rPr/>
        <w:t>and</w:t>
      </w:r>
      <w:r>
        <w:rPr>
          <w:spacing w:val="-3"/>
        </w:rPr>
        <w:t> </w:t>
      </w:r>
      <w:r>
        <w:rPr/>
        <w:t>in</w:t>
      </w:r>
      <w:r>
        <w:rPr>
          <w:spacing w:val="-3"/>
        </w:rPr>
        <w:t> </w:t>
      </w:r>
      <w:r>
        <w:rPr/>
        <w:t>which</w:t>
      </w:r>
      <w:r>
        <w:rPr>
          <w:spacing w:val="-3"/>
        </w:rPr>
        <w:t> </w:t>
      </w:r>
      <w:r>
        <w:rPr/>
        <w:t>there</w:t>
      </w:r>
      <w:r>
        <w:rPr>
          <w:spacing w:val="-4"/>
        </w:rPr>
        <w:t> </w:t>
      </w:r>
      <w:r>
        <w:rPr/>
        <w:t>is</w:t>
      </w:r>
      <w:r>
        <w:rPr>
          <w:spacing w:val="-3"/>
        </w:rPr>
        <w:t> </w:t>
      </w:r>
      <w:r>
        <w:rPr/>
        <w:t>no</w:t>
      </w:r>
      <w:r>
        <w:rPr>
          <w:spacing w:val="-3"/>
        </w:rPr>
        <w:t> </w:t>
      </w:r>
      <w:r>
        <w:rPr/>
        <w:t>connection</w:t>
      </w:r>
      <w:r>
        <w:rPr>
          <w:spacing w:val="-3"/>
        </w:rPr>
        <w:t> </w:t>
      </w:r>
      <w:r>
        <w:rPr/>
        <w:t>to</w:t>
      </w:r>
      <w:r>
        <w:rPr>
          <w:spacing w:val="-3"/>
        </w:rPr>
        <w:t> </w:t>
      </w:r>
      <w:r>
        <w:rPr/>
        <w:t>Medicaid</w:t>
      </w:r>
      <w:r>
        <w:rPr>
          <w:spacing w:val="-3"/>
        </w:rPr>
        <w:t> </w:t>
      </w:r>
      <w:r>
        <w:rPr/>
        <w:t>payments,</w:t>
      </w:r>
      <w:r>
        <w:rPr>
          <w:spacing w:val="-3"/>
        </w:rPr>
        <w:t> </w:t>
      </w:r>
      <w:r>
        <w:rPr/>
        <w:t>are not considered returning and/or redirecting a Medicaid payment.</w:t>
      </w:r>
    </w:p>
    <w:p>
      <w:pPr>
        <w:pStyle w:val="BodyText"/>
        <w:spacing w:before="10"/>
        <w:rPr>
          <w:sz w:val="20"/>
        </w:rPr>
      </w:pPr>
    </w:p>
    <w:p>
      <w:pPr>
        <w:pStyle w:val="BodyText"/>
        <w:ind w:left="1411" w:right="1059"/>
      </w:pPr>
      <w:r>
        <w:rPr/>
        <w:drawing>
          <wp:anchor distT="0" distB="0" distL="0" distR="0" allowOverlap="1" layoutInCell="1" locked="0" behindDoc="0" simplePos="0" relativeHeight="16084992">
            <wp:simplePos x="0" y="0"/>
            <wp:positionH relativeFrom="page">
              <wp:posOffset>1431036</wp:posOffset>
            </wp:positionH>
            <wp:positionV relativeFrom="paragraph">
              <wp:posOffset>67616</wp:posOffset>
            </wp:positionV>
            <wp:extent cx="96011" cy="80759"/>
            <wp:effectExtent l="0" t="0" r="0" b="0"/>
            <wp:wrapNone/>
            <wp:docPr id="708" name="Image 708"/>
            <wp:cNvGraphicFramePr>
              <a:graphicFrameLocks/>
            </wp:cNvGraphicFramePr>
            <a:graphic>
              <a:graphicData uri="http://schemas.openxmlformats.org/drawingml/2006/picture">
                <pic:pic>
                  <pic:nvPicPr>
                    <pic:cNvPr id="708" name="Image 708"/>
                    <pic:cNvPicPr/>
                  </pic:nvPicPr>
                  <pic:blipFill>
                    <a:blip r:embed="rId183" cstate="print"/>
                    <a:stretch>
                      <a:fillRect/>
                    </a:stretch>
                  </pic:blipFill>
                  <pic:spPr>
                    <a:xfrm>
                      <a:off x="0" y="0"/>
                      <a:ext cx="96011" cy="80759"/>
                    </a:xfrm>
                    <a:prstGeom prst="rect">
                      <a:avLst/>
                    </a:prstGeom>
                  </pic:spPr>
                </pic:pic>
              </a:graphicData>
            </a:graphic>
          </wp:anchor>
        </w:drawing>
      </w:r>
      <w:bookmarkStart w:name="e. The State Medicaid Director or his/he" w:id="1009"/>
      <w:bookmarkEnd w:id="1009"/>
      <w:r>
        <w:rPr/>
      </w:r>
      <w:r>
        <w:rPr/>
        <w:t>The State Medicaid Director or his/her designee certifies that all state and/or local funds</w:t>
      </w:r>
      <w:r>
        <w:rPr>
          <w:spacing w:val="-4"/>
        </w:rPr>
        <w:t> </w:t>
      </w:r>
      <w:r>
        <w:rPr/>
        <w:t>used</w:t>
      </w:r>
      <w:r>
        <w:rPr>
          <w:spacing w:val="-4"/>
        </w:rPr>
        <w:t> </w:t>
      </w:r>
      <w:r>
        <w:rPr/>
        <w:t>as</w:t>
      </w:r>
      <w:r>
        <w:rPr>
          <w:spacing w:val="-4"/>
        </w:rPr>
        <w:t> </w:t>
      </w:r>
      <w:r>
        <w:rPr/>
        <w:t>the</w:t>
      </w:r>
      <w:r>
        <w:rPr>
          <w:spacing w:val="-5"/>
        </w:rPr>
        <w:t> </w:t>
      </w:r>
      <w:r>
        <w:rPr/>
        <w:t>Commonwealth’s</w:t>
      </w:r>
      <w:r>
        <w:rPr>
          <w:spacing w:val="-4"/>
        </w:rPr>
        <w:t> </w:t>
      </w:r>
      <w:r>
        <w:rPr/>
        <w:t>share</w:t>
      </w:r>
      <w:r>
        <w:rPr>
          <w:spacing w:val="-5"/>
        </w:rPr>
        <w:t> </w:t>
      </w:r>
      <w:r>
        <w:rPr/>
        <w:t>of</w:t>
      </w:r>
      <w:r>
        <w:rPr>
          <w:spacing w:val="-5"/>
        </w:rPr>
        <w:t> </w:t>
      </w:r>
      <w:r>
        <w:rPr/>
        <w:t>the</w:t>
      </w:r>
      <w:r>
        <w:rPr>
          <w:spacing w:val="-3"/>
        </w:rPr>
        <w:t> </w:t>
      </w:r>
      <w:r>
        <w:rPr/>
        <w:t>allowable</w:t>
      </w:r>
      <w:r>
        <w:rPr>
          <w:spacing w:val="-5"/>
        </w:rPr>
        <w:t> </w:t>
      </w:r>
      <w:r>
        <w:rPr/>
        <w:t>expenditures</w:t>
      </w:r>
      <w:r>
        <w:rPr>
          <w:spacing w:val="-4"/>
        </w:rPr>
        <w:t> </w:t>
      </w:r>
      <w:r>
        <w:rPr/>
        <w:t>reported</w:t>
      </w:r>
      <w:r>
        <w:rPr>
          <w:spacing w:val="-4"/>
        </w:rPr>
        <w:t> </w:t>
      </w:r>
      <w:r>
        <w:rPr/>
        <w:t>on the CMS-64 for this demonstration were in accordance with all applicable federal requirements and did not lead to the duplication of any other federal funds.</w:t>
      </w:r>
    </w:p>
    <w:p>
      <w:pPr>
        <w:pStyle w:val="BodyText"/>
        <w:spacing w:before="10"/>
        <w:rPr>
          <w:sz w:val="20"/>
        </w:rPr>
      </w:pPr>
    </w:p>
    <w:p>
      <w:pPr>
        <w:spacing w:before="0"/>
        <w:ind w:left="871" w:right="1059" w:firstLine="0"/>
        <w:jc w:val="left"/>
        <w:rPr>
          <w:sz w:val="24"/>
        </w:rPr>
      </w:pPr>
      <w:r>
        <w:rPr/>
        <w:drawing>
          <wp:anchor distT="0" distB="0" distL="0" distR="0" allowOverlap="1" layoutInCell="1" locked="0" behindDoc="0" simplePos="0" relativeHeight="16085504">
            <wp:simplePos x="0" y="0"/>
            <wp:positionH relativeFrom="page">
              <wp:posOffset>908303</wp:posOffset>
            </wp:positionH>
            <wp:positionV relativeFrom="paragraph">
              <wp:posOffset>35599</wp:posOffset>
            </wp:positionV>
            <wp:extent cx="283463" cy="112775"/>
            <wp:effectExtent l="0" t="0" r="0" b="0"/>
            <wp:wrapNone/>
            <wp:docPr id="709" name="Image 709"/>
            <wp:cNvGraphicFramePr>
              <a:graphicFrameLocks/>
            </wp:cNvGraphicFramePr>
            <a:graphic>
              <a:graphicData uri="http://schemas.openxmlformats.org/drawingml/2006/picture">
                <pic:pic>
                  <pic:nvPicPr>
                    <pic:cNvPr id="709" name="Image 709"/>
                    <pic:cNvPicPr/>
                  </pic:nvPicPr>
                  <pic:blipFill>
                    <a:blip r:embed="rId274" cstate="print"/>
                    <a:stretch>
                      <a:fillRect/>
                    </a:stretch>
                  </pic:blipFill>
                  <pic:spPr>
                    <a:xfrm>
                      <a:off x="0" y="0"/>
                      <a:ext cx="283463" cy="112775"/>
                    </a:xfrm>
                    <a:prstGeom prst="rect">
                      <a:avLst/>
                    </a:prstGeom>
                  </pic:spPr>
                </pic:pic>
              </a:graphicData>
            </a:graphic>
          </wp:anchor>
        </w:drawing>
      </w:r>
      <w:bookmarkStart w:name="18.5. Financial Integrity for Managed Ca" w:id="1010"/>
      <w:bookmarkEnd w:id="1010"/>
      <w:r>
        <w:rPr/>
      </w:r>
      <w:r>
        <w:rPr>
          <w:b/>
          <w:sz w:val="24"/>
        </w:rPr>
        <w:t>Financial Integrity for Managed Care Delivery Systems.</w:t>
      </w:r>
      <w:r>
        <w:rPr>
          <w:b/>
          <w:spacing w:val="40"/>
          <w:sz w:val="24"/>
        </w:rPr>
        <w:t> </w:t>
      </w:r>
      <w:r>
        <w:rPr>
          <w:sz w:val="24"/>
        </w:rPr>
        <w:t>As a condition of demonstration</w:t>
      </w:r>
      <w:r>
        <w:rPr>
          <w:spacing w:val="-5"/>
          <w:sz w:val="24"/>
        </w:rPr>
        <w:t> </w:t>
      </w:r>
      <w:r>
        <w:rPr>
          <w:sz w:val="24"/>
        </w:rPr>
        <w:t>approval,</w:t>
      </w:r>
      <w:r>
        <w:rPr>
          <w:spacing w:val="-3"/>
          <w:sz w:val="24"/>
        </w:rPr>
        <w:t> </w:t>
      </w:r>
      <w:r>
        <w:rPr>
          <w:sz w:val="24"/>
        </w:rPr>
        <w:t>the</w:t>
      </w:r>
      <w:r>
        <w:rPr>
          <w:spacing w:val="-6"/>
          <w:sz w:val="24"/>
        </w:rPr>
        <w:t> </w:t>
      </w:r>
      <w:r>
        <w:rPr>
          <w:sz w:val="24"/>
        </w:rPr>
        <w:t>Commonwealth</w:t>
      </w:r>
      <w:r>
        <w:rPr>
          <w:spacing w:val="-5"/>
          <w:sz w:val="24"/>
        </w:rPr>
        <w:t> </w:t>
      </w:r>
      <w:r>
        <w:rPr>
          <w:sz w:val="24"/>
        </w:rPr>
        <w:t>attests</w:t>
      </w:r>
      <w:r>
        <w:rPr>
          <w:spacing w:val="-5"/>
          <w:sz w:val="24"/>
        </w:rPr>
        <w:t> </w:t>
      </w:r>
      <w:r>
        <w:rPr>
          <w:sz w:val="24"/>
        </w:rPr>
        <w:t>to</w:t>
      </w:r>
      <w:r>
        <w:rPr>
          <w:spacing w:val="-5"/>
          <w:sz w:val="24"/>
        </w:rPr>
        <w:t> </w:t>
      </w:r>
      <w:r>
        <w:rPr>
          <w:sz w:val="24"/>
        </w:rPr>
        <w:t>the</w:t>
      </w:r>
      <w:r>
        <w:rPr>
          <w:spacing w:val="-6"/>
          <w:sz w:val="24"/>
        </w:rPr>
        <w:t> </w:t>
      </w:r>
      <w:r>
        <w:rPr>
          <w:sz w:val="24"/>
        </w:rPr>
        <w:t>following,</w:t>
      </w:r>
      <w:r>
        <w:rPr>
          <w:spacing w:val="-5"/>
          <w:sz w:val="24"/>
        </w:rPr>
        <w:t> </w:t>
      </w:r>
      <w:r>
        <w:rPr>
          <w:sz w:val="24"/>
        </w:rPr>
        <w:t>as</w:t>
      </w:r>
      <w:r>
        <w:rPr>
          <w:spacing w:val="-5"/>
          <w:sz w:val="24"/>
        </w:rPr>
        <w:t> </w:t>
      </w:r>
      <w:r>
        <w:rPr>
          <w:sz w:val="24"/>
        </w:rPr>
        <w:t>applicable:</w:t>
      </w:r>
    </w:p>
    <w:p>
      <w:pPr>
        <w:pStyle w:val="BodyText"/>
        <w:spacing w:before="10"/>
        <w:rPr>
          <w:sz w:val="20"/>
        </w:rPr>
      </w:pPr>
    </w:p>
    <w:p>
      <w:pPr>
        <w:pStyle w:val="BodyText"/>
        <w:ind w:left="1411" w:right="1126"/>
        <w:jc w:val="both"/>
      </w:pPr>
      <w:r>
        <w:rPr/>
        <w:drawing>
          <wp:anchor distT="0" distB="0" distL="0" distR="0" allowOverlap="1" layoutInCell="1" locked="0" behindDoc="0" simplePos="0" relativeHeight="16086016">
            <wp:simplePos x="0" y="0"/>
            <wp:positionH relativeFrom="page">
              <wp:posOffset>1431036</wp:posOffset>
            </wp:positionH>
            <wp:positionV relativeFrom="paragraph">
              <wp:posOffset>67603</wp:posOffset>
            </wp:positionV>
            <wp:extent cx="96011" cy="80771"/>
            <wp:effectExtent l="0" t="0" r="0" b="0"/>
            <wp:wrapNone/>
            <wp:docPr id="710" name="Image 710"/>
            <wp:cNvGraphicFramePr>
              <a:graphicFrameLocks/>
            </wp:cNvGraphicFramePr>
            <a:graphic>
              <a:graphicData uri="http://schemas.openxmlformats.org/drawingml/2006/picture">
                <pic:pic>
                  <pic:nvPicPr>
                    <pic:cNvPr id="710" name="Image 710"/>
                    <pic:cNvPicPr/>
                  </pic:nvPicPr>
                  <pic:blipFill>
                    <a:blip r:embed="rId40" cstate="print"/>
                    <a:stretch>
                      <a:fillRect/>
                    </a:stretch>
                  </pic:blipFill>
                  <pic:spPr>
                    <a:xfrm>
                      <a:off x="0" y="0"/>
                      <a:ext cx="96011" cy="80771"/>
                    </a:xfrm>
                    <a:prstGeom prst="rect">
                      <a:avLst/>
                    </a:prstGeom>
                  </pic:spPr>
                </pic:pic>
              </a:graphicData>
            </a:graphic>
          </wp:anchor>
        </w:drawing>
      </w:r>
      <w:bookmarkStart w:name="a. All risk-based managed care organizat" w:id="1011"/>
      <w:bookmarkEnd w:id="1011"/>
      <w:r>
        <w:rPr/>
      </w:r>
      <w:r>
        <w:rPr/>
        <w:t>All</w:t>
      </w:r>
      <w:r>
        <w:rPr>
          <w:spacing w:val="-1"/>
        </w:rPr>
        <w:t> </w:t>
      </w:r>
      <w:r>
        <w:rPr/>
        <w:t>risk-based</w:t>
      </w:r>
      <w:r>
        <w:rPr>
          <w:spacing w:val="-1"/>
        </w:rPr>
        <w:t> </w:t>
      </w:r>
      <w:r>
        <w:rPr/>
        <w:t>managed</w:t>
      </w:r>
      <w:r>
        <w:rPr>
          <w:spacing w:val="-1"/>
        </w:rPr>
        <w:t> </w:t>
      </w:r>
      <w:r>
        <w:rPr/>
        <w:t>care</w:t>
      </w:r>
      <w:r>
        <w:rPr>
          <w:spacing w:val="-2"/>
        </w:rPr>
        <w:t> </w:t>
      </w:r>
      <w:r>
        <w:rPr/>
        <w:t>organization,</w:t>
      </w:r>
      <w:r>
        <w:rPr>
          <w:spacing w:val="-1"/>
        </w:rPr>
        <w:t> </w:t>
      </w:r>
      <w:r>
        <w:rPr/>
        <w:t>prepaid inpatient</w:t>
      </w:r>
      <w:r>
        <w:rPr>
          <w:spacing w:val="-1"/>
        </w:rPr>
        <w:t> </w:t>
      </w:r>
      <w:r>
        <w:rPr/>
        <w:t>health</w:t>
      </w:r>
      <w:r>
        <w:rPr>
          <w:spacing w:val="-1"/>
        </w:rPr>
        <w:t> </w:t>
      </w:r>
      <w:r>
        <w:rPr/>
        <w:t>plan</w:t>
      </w:r>
      <w:r>
        <w:rPr>
          <w:spacing w:val="-1"/>
        </w:rPr>
        <w:t> </w:t>
      </w:r>
      <w:r>
        <w:rPr/>
        <w:t>(PIHP),</w:t>
      </w:r>
      <w:r>
        <w:rPr>
          <w:spacing w:val="-1"/>
        </w:rPr>
        <w:t> </w:t>
      </w:r>
      <w:r>
        <w:rPr/>
        <w:t>and prepaid</w:t>
      </w:r>
      <w:r>
        <w:rPr>
          <w:spacing w:val="-3"/>
        </w:rPr>
        <w:t> </w:t>
      </w:r>
      <w:r>
        <w:rPr/>
        <w:t>ambulatory</w:t>
      </w:r>
      <w:r>
        <w:rPr>
          <w:spacing w:val="-8"/>
        </w:rPr>
        <w:t> </w:t>
      </w:r>
      <w:r>
        <w:rPr/>
        <w:t>health</w:t>
      </w:r>
      <w:r>
        <w:rPr>
          <w:spacing w:val="-3"/>
        </w:rPr>
        <w:t> </w:t>
      </w:r>
      <w:r>
        <w:rPr/>
        <w:t>plan</w:t>
      </w:r>
      <w:r>
        <w:rPr>
          <w:spacing w:val="-3"/>
        </w:rPr>
        <w:t> </w:t>
      </w:r>
      <w:r>
        <w:rPr/>
        <w:t>(PAHP)</w:t>
      </w:r>
      <w:r>
        <w:rPr>
          <w:spacing w:val="-4"/>
        </w:rPr>
        <w:t> </w:t>
      </w:r>
      <w:r>
        <w:rPr/>
        <w:t>payments,</w:t>
      </w:r>
      <w:r>
        <w:rPr>
          <w:spacing w:val="-3"/>
        </w:rPr>
        <w:t> </w:t>
      </w:r>
      <w:r>
        <w:rPr/>
        <w:t>comply</w:t>
      </w:r>
      <w:r>
        <w:rPr>
          <w:spacing w:val="-8"/>
        </w:rPr>
        <w:t> </w:t>
      </w:r>
      <w:r>
        <w:rPr/>
        <w:t>with</w:t>
      </w:r>
      <w:r>
        <w:rPr>
          <w:spacing w:val="-3"/>
        </w:rPr>
        <w:t> </w:t>
      </w:r>
      <w:r>
        <w:rPr/>
        <w:t>the</w:t>
      </w:r>
      <w:r>
        <w:rPr>
          <w:spacing w:val="-4"/>
        </w:rPr>
        <w:t> </w:t>
      </w:r>
      <w:r>
        <w:rPr/>
        <w:t>requirements</w:t>
      </w:r>
      <w:r>
        <w:rPr>
          <w:spacing w:val="-3"/>
        </w:rPr>
        <w:t> </w:t>
      </w:r>
      <w:r>
        <w:rPr/>
        <w:t>on payments in 42 CFR 438.6(b)(2), 438.6(c), 438.6(d), 438.60, and 438.74.</w:t>
      </w:r>
    </w:p>
    <w:p>
      <w:pPr>
        <w:pStyle w:val="BodyText"/>
        <w:spacing w:before="10"/>
        <w:rPr>
          <w:sz w:val="20"/>
        </w:rPr>
      </w:pPr>
    </w:p>
    <w:p>
      <w:pPr>
        <w:spacing w:before="1"/>
        <w:ind w:left="871" w:right="1059" w:firstLine="0"/>
        <w:jc w:val="left"/>
        <w:rPr>
          <w:sz w:val="24"/>
        </w:rPr>
      </w:pPr>
      <w:r>
        <w:rPr/>
        <w:drawing>
          <wp:anchor distT="0" distB="0" distL="0" distR="0" allowOverlap="1" layoutInCell="1" locked="0" behindDoc="0" simplePos="0" relativeHeight="16086528">
            <wp:simplePos x="0" y="0"/>
            <wp:positionH relativeFrom="page">
              <wp:posOffset>908303</wp:posOffset>
            </wp:positionH>
            <wp:positionV relativeFrom="paragraph">
              <wp:posOffset>36247</wp:posOffset>
            </wp:positionV>
            <wp:extent cx="283463" cy="112763"/>
            <wp:effectExtent l="0" t="0" r="0" b="0"/>
            <wp:wrapNone/>
            <wp:docPr id="711" name="Image 711"/>
            <wp:cNvGraphicFramePr>
              <a:graphicFrameLocks/>
            </wp:cNvGraphicFramePr>
            <a:graphic>
              <a:graphicData uri="http://schemas.openxmlformats.org/drawingml/2006/picture">
                <pic:pic>
                  <pic:nvPicPr>
                    <pic:cNvPr id="711" name="Image 711"/>
                    <pic:cNvPicPr/>
                  </pic:nvPicPr>
                  <pic:blipFill>
                    <a:blip r:embed="rId275" cstate="print"/>
                    <a:stretch>
                      <a:fillRect/>
                    </a:stretch>
                  </pic:blipFill>
                  <pic:spPr>
                    <a:xfrm>
                      <a:off x="0" y="0"/>
                      <a:ext cx="283463" cy="112763"/>
                    </a:xfrm>
                    <a:prstGeom prst="rect">
                      <a:avLst/>
                    </a:prstGeom>
                  </pic:spPr>
                </pic:pic>
              </a:graphicData>
            </a:graphic>
          </wp:anchor>
        </w:drawing>
      </w:r>
      <w:bookmarkStart w:name="18.6. Requirements for Health Care-Relat" w:id="1012"/>
      <w:bookmarkEnd w:id="1012"/>
      <w:r>
        <w:rPr/>
      </w:r>
      <w:r>
        <w:rPr>
          <w:b/>
          <w:sz w:val="24"/>
        </w:rPr>
        <w:t>Requirements</w:t>
      </w:r>
      <w:r>
        <w:rPr>
          <w:b/>
          <w:spacing w:val="-4"/>
          <w:sz w:val="24"/>
        </w:rPr>
        <w:t> </w:t>
      </w:r>
      <w:r>
        <w:rPr>
          <w:b/>
          <w:sz w:val="24"/>
        </w:rPr>
        <w:t>for</w:t>
      </w:r>
      <w:r>
        <w:rPr>
          <w:b/>
          <w:spacing w:val="-5"/>
          <w:sz w:val="24"/>
        </w:rPr>
        <w:t> </w:t>
      </w:r>
      <w:r>
        <w:rPr>
          <w:b/>
          <w:sz w:val="24"/>
        </w:rPr>
        <w:t>Health</w:t>
      </w:r>
      <w:r>
        <w:rPr>
          <w:b/>
          <w:spacing w:val="-4"/>
          <w:sz w:val="24"/>
        </w:rPr>
        <w:t> </w:t>
      </w:r>
      <w:r>
        <w:rPr>
          <w:b/>
          <w:sz w:val="24"/>
        </w:rPr>
        <w:t>Care-Related</w:t>
      </w:r>
      <w:r>
        <w:rPr>
          <w:b/>
          <w:spacing w:val="-4"/>
          <w:sz w:val="24"/>
        </w:rPr>
        <w:t> </w:t>
      </w:r>
      <w:r>
        <w:rPr>
          <w:b/>
          <w:sz w:val="24"/>
        </w:rPr>
        <w:t>Taxes</w:t>
      </w:r>
      <w:r>
        <w:rPr>
          <w:b/>
          <w:spacing w:val="-4"/>
          <w:sz w:val="24"/>
        </w:rPr>
        <w:t> </w:t>
      </w:r>
      <w:r>
        <w:rPr>
          <w:b/>
          <w:sz w:val="24"/>
        </w:rPr>
        <w:t>and</w:t>
      </w:r>
      <w:r>
        <w:rPr>
          <w:b/>
          <w:spacing w:val="-4"/>
          <w:sz w:val="24"/>
        </w:rPr>
        <w:t> </w:t>
      </w:r>
      <w:r>
        <w:rPr>
          <w:b/>
          <w:sz w:val="24"/>
        </w:rPr>
        <w:t>Provider</w:t>
      </w:r>
      <w:r>
        <w:rPr>
          <w:b/>
          <w:spacing w:val="-5"/>
          <w:sz w:val="24"/>
        </w:rPr>
        <w:t> </w:t>
      </w:r>
      <w:r>
        <w:rPr>
          <w:b/>
          <w:sz w:val="24"/>
        </w:rPr>
        <w:t>Donations.</w:t>
      </w:r>
      <w:r>
        <w:rPr>
          <w:b/>
          <w:spacing w:val="-4"/>
          <w:sz w:val="24"/>
        </w:rPr>
        <w:t> </w:t>
      </w:r>
      <w:r>
        <w:rPr>
          <w:sz w:val="24"/>
        </w:rPr>
        <w:t>As</w:t>
      </w:r>
      <w:r>
        <w:rPr>
          <w:spacing w:val="-4"/>
          <w:sz w:val="24"/>
        </w:rPr>
        <w:t> </w:t>
      </w:r>
      <w:r>
        <w:rPr>
          <w:sz w:val="24"/>
        </w:rPr>
        <w:t>a</w:t>
      </w:r>
      <w:r>
        <w:rPr>
          <w:spacing w:val="-5"/>
          <w:sz w:val="24"/>
        </w:rPr>
        <w:t> </w:t>
      </w:r>
      <w:r>
        <w:rPr>
          <w:sz w:val="24"/>
        </w:rPr>
        <w:t>condition of demonstration approval, the Commonwealth attests to the following, as applicable:</w:t>
      </w:r>
    </w:p>
    <w:p>
      <w:pPr>
        <w:pStyle w:val="BodyText"/>
        <w:spacing w:before="9"/>
        <w:rPr>
          <w:sz w:val="20"/>
        </w:rPr>
      </w:pPr>
    </w:p>
    <w:p>
      <w:pPr>
        <w:pStyle w:val="ListParagraph"/>
        <w:numPr>
          <w:ilvl w:val="0"/>
          <w:numId w:val="46"/>
        </w:numPr>
        <w:tabs>
          <w:tab w:pos="1411" w:val="left" w:leader="none"/>
        </w:tabs>
        <w:spacing w:line="240" w:lineRule="auto" w:before="1" w:after="0"/>
        <w:ind w:left="1411" w:right="1140" w:hanging="360"/>
        <w:jc w:val="left"/>
        <w:rPr>
          <w:sz w:val="24"/>
        </w:rPr>
      </w:pPr>
      <w:bookmarkStart w:name="a. Except as provided in paragraph (c) o" w:id="1013"/>
      <w:bookmarkEnd w:id="1013"/>
      <w:r>
        <w:rPr/>
      </w:r>
      <w:r>
        <w:rPr>
          <w:sz w:val="24"/>
        </w:rPr>
        <w:t>Except as provided in paragraph (c) of this STC, all health care-related taxes as defined</w:t>
      </w:r>
      <w:r>
        <w:rPr>
          <w:spacing w:val="-3"/>
          <w:sz w:val="24"/>
        </w:rPr>
        <w:t> </w:t>
      </w:r>
      <w:r>
        <w:rPr>
          <w:sz w:val="24"/>
        </w:rPr>
        <w:t>by</w:t>
      </w:r>
      <w:r>
        <w:rPr>
          <w:spacing w:val="-8"/>
          <w:sz w:val="24"/>
        </w:rPr>
        <w:t> </w:t>
      </w:r>
      <w:r>
        <w:rPr>
          <w:sz w:val="24"/>
        </w:rPr>
        <w:t>Section</w:t>
      </w:r>
      <w:r>
        <w:rPr>
          <w:spacing w:val="-3"/>
          <w:sz w:val="24"/>
        </w:rPr>
        <w:t> </w:t>
      </w:r>
      <w:r>
        <w:rPr>
          <w:sz w:val="24"/>
        </w:rPr>
        <w:t>1903(w)(3)(A)</w:t>
      </w:r>
      <w:r>
        <w:rPr>
          <w:spacing w:val="-4"/>
          <w:sz w:val="24"/>
        </w:rPr>
        <w:t> </w:t>
      </w:r>
      <w:r>
        <w:rPr>
          <w:sz w:val="24"/>
        </w:rPr>
        <w:t>of</w:t>
      </w:r>
      <w:r>
        <w:rPr>
          <w:spacing w:val="-4"/>
          <w:sz w:val="24"/>
        </w:rPr>
        <w:t> </w:t>
      </w:r>
      <w:r>
        <w:rPr>
          <w:sz w:val="24"/>
        </w:rPr>
        <w:t>the</w:t>
      </w:r>
      <w:r>
        <w:rPr>
          <w:spacing w:val="-2"/>
          <w:sz w:val="24"/>
        </w:rPr>
        <w:t> </w:t>
      </w:r>
      <w:r>
        <w:rPr>
          <w:sz w:val="24"/>
        </w:rPr>
        <w:t>Act</w:t>
      </w:r>
      <w:r>
        <w:rPr>
          <w:spacing w:val="-3"/>
          <w:sz w:val="24"/>
        </w:rPr>
        <w:t> </w:t>
      </w:r>
      <w:r>
        <w:rPr>
          <w:sz w:val="24"/>
        </w:rPr>
        <w:t>and</w:t>
      </w:r>
      <w:r>
        <w:rPr>
          <w:spacing w:val="-1"/>
          <w:sz w:val="24"/>
        </w:rPr>
        <w:t> </w:t>
      </w:r>
      <w:r>
        <w:rPr>
          <w:sz w:val="24"/>
        </w:rPr>
        <w:t>42</w:t>
      </w:r>
      <w:r>
        <w:rPr>
          <w:spacing w:val="-3"/>
          <w:sz w:val="24"/>
        </w:rPr>
        <w:t> </w:t>
      </w:r>
      <w:r>
        <w:rPr>
          <w:sz w:val="24"/>
        </w:rPr>
        <w:t>CFR</w:t>
      </w:r>
      <w:r>
        <w:rPr>
          <w:spacing w:val="-3"/>
          <w:sz w:val="24"/>
        </w:rPr>
        <w:t> </w:t>
      </w:r>
      <w:r>
        <w:rPr>
          <w:sz w:val="24"/>
        </w:rPr>
        <w:t>433.55</w:t>
      </w:r>
      <w:r>
        <w:rPr>
          <w:spacing w:val="-3"/>
          <w:sz w:val="24"/>
        </w:rPr>
        <w:t> </w:t>
      </w:r>
      <w:r>
        <w:rPr>
          <w:sz w:val="24"/>
        </w:rPr>
        <w:t>are</w:t>
      </w:r>
      <w:r>
        <w:rPr>
          <w:spacing w:val="-4"/>
          <w:sz w:val="24"/>
        </w:rPr>
        <w:t> </w:t>
      </w:r>
      <w:r>
        <w:rPr>
          <w:sz w:val="24"/>
        </w:rPr>
        <w:t>broad-based</w:t>
      </w:r>
      <w:r>
        <w:rPr>
          <w:spacing w:val="-3"/>
          <w:sz w:val="24"/>
        </w:rPr>
        <w:t> </w:t>
      </w:r>
      <w:r>
        <w:rPr>
          <w:sz w:val="24"/>
        </w:rPr>
        <w:t>as defined by Section 1903(w)(3)(B) of the Act and 42 CFR 433.68(c).</w:t>
      </w:r>
    </w:p>
    <w:p>
      <w:pPr>
        <w:pStyle w:val="BodyText"/>
        <w:spacing w:before="9"/>
        <w:rPr>
          <w:sz w:val="20"/>
        </w:rPr>
      </w:pPr>
    </w:p>
    <w:p>
      <w:pPr>
        <w:pStyle w:val="ListParagraph"/>
        <w:numPr>
          <w:ilvl w:val="0"/>
          <w:numId w:val="46"/>
        </w:numPr>
        <w:tabs>
          <w:tab w:pos="1411" w:val="left" w:leader="none"/>
        </w:tabs>
        <w:spacing w:line="240" w:lineRule="auto" w:before="1" w:after="0"/>
        <w:ind w:left="1411" w:right="1524" w:hanging="360"/>
        <w:jc w:val="left"/>
        <w:rPr>
          <w:sz w:val="24"/>
        </w:rPr>
      </w:pPr>
      <w:bookmarkStart w:name="b. Except as provided in paragraph (c) o" w:id="1014"/>
      <w:bookmarkEnd w:id="1014"/>
      <w:r>
        <w:rPr/>
      </w:r>
      <w:r>
        <w:rPr>
          <w:sz w:val="24"/>
        </w:rPr>
        <w:t>Except</w:t>
      </w:r>
      <w:r>
        <w:rPr>
          <w:spacing w:val="-3"/>
          <w:sz w:val="24"/>
        </w:rPr>
        <w:t> </w:t>
      </w:r>
      <w:r>
        <w:rPr>
          <w:sz w:val="24"/>
        </w:rPr>
        <w:t>as</w:t>
      </w:r>
      <w:r>
        <w:rPr>
          <w:spacing w:val="-3"/>
          <w:sz w:val="24"/>
        </w:rPr>
        <w:t> </w:t>
      </w:r>
      <w:r>
        <w:rPr>
          <w:sz w:val="24"/>
        </w:rPr>
        <w:t>provided</w:t>
      </w:r>
      <w:r>
        <w:rPr>
          <w:spacing w:val="-3"/>
          <w:sz w:val="24"/>
        </w:rPr>
        <w:t> </w:t>
      </w:r>
      <w:r>
        <w:rPr>
          <w:sz w:val="24"/>
        </w:rPr>
        <w:t>in</w:t>
      </w:r>
      <w:r>
        <w:rPr>
          <w:spacing w:val="-3"/>
          <w:sz w:val="24"/>
        </w:rPr>
        <w:t> </w:t>
      </w:r>
      <w:r>
        <w:rPr>
          <w:sz w:val="24"/>
        </w:rPr>
        <w:t>paragraph</w:t>
      </w:r>
      <w:r>
        <w:rPr>
          <w:spacing w:val="-3"/>
          <w:sz w:val="24"/>
        </w:rPr>
        <w:t> </w:t>
      </w:r>
      <w:r>
        <w:rPr>
          <w:sz w:val="24"/>
        </w:rPr>
        <w:t>(c)</w:t>
      </w:r>
      <w:r>
        <w:rPr>
          <w:spacing w:val="-4"/>
          <w:sz w:val="24"/>
        </w:rPr>
        <w:t> </w:t>
      </w:r>
      <w:r>
        <w:rPr>
          <w:sz w:val="24"/>
        </w:rPr>
        <w:t>of</w:t>
      </w:r>
      <w:r>
        <w:rPr>
          <w:spacing w:val="-4"/>
          <w:sz w:val="24"/>
        </w:rPr>
        <w:t> </w:t>
      </w:r>
      <w:r>
        <w:rPr>
          <w:sz w:val="24"/>
        </w:rPr>
        <w:t>this</w:t>
      </w:r>
      <w:r>
        <w:rPr>
          <w:spacing w:val="-3"/>
          <w:sz w:val="24"/>
        </w:rPr>
        <w:t> </w:t>
      </w:r>
      <w:r>
        <w:rPr>
          <w:sz w:val="24"/>
        </w:rPr>
        <w:t>STC,</w:t>
      </w:r>
      <w:r>
        <w:rPr>
          <w:spacing w:val="-3"/>
          <w:sz w:val="24"/>
        </w:rPr>
        <w:t> </w:t>
      </w:r>
      <w:r>
        <w:rPr>
          <w:sz w:val="24"/>
        </w:rPr>
        <w:t>all</w:t>
      </w:r>
      <w:r>
        <w:rPr>
          <w:spacing w:val="-3"/>
          <w:sz w:val="24"/>
        </w:rPr>
        <w:t> </w:t>
      </w:r>
      <w:r>
        <w:rPr>
          <w:sz w:val="24"/>
        </w:rPr>
        <w:t>health</w:t>
      </w:r>
      <w:r>
        <w:rPr>
          <w:spacing w:val="-3"/>
          <w:sz w:val="24"/>
        </w:rPr>
        <w:t> </w:t>
      </w:r>
      <w:r>
        <w:rPr>
          <w:sz w:val="24"/>
        </w:rPr>
        <w:t>care-related</w:t>
      </w:r>
      <w:r>
        <w:rPr>
          <w:spacing w:val="-3"/>
          <w:sz w:val="24"/>
        </w:rPr>
        <w:t> </w:t>
      </w:r>
      <w:r>
        <w:rPr>
          <w:sz w:val="24"/>
        </w:rPr>
        <w:t>taxes</w:t>
      </w:r>
      <w:r>
        <w:rPr>
          <w:spacing w:val="-3"/>
          <w:sz w:val="24"/>
        </w:rPr>
        <w:t> </w:t>
      </w:r>
      <w:r>
        <w:rPr>
          <w:sz w:val="24"/>
        </w:rPr>
        <w:t>are uniform as defined by</w:t>
      </w:r>
      <w:r>
        <w:rPr>
          <w:spacing w:val="-5"/>
          <w:sz w:val="24"/>
        </w:rPr>
        <w:t> </w:t>
      </w:r>
      <w:r>
        <w:rPr>
          <w:sz w:val="24"/>
        </w:rPr>
        <w:t>Section 1903(w)(3)(C)</w:t>
      </w:r>
      <w:r>
        <w:rPr>
          <w:spacing w:val="-1"/>
          <w:sz w:val="24"/>
        </w:rPr>
        <w:t> </w:t>
      </w:r>
      <w:r>
        <w:rPr>
          <w:sz w:val="24"/>
        </w:rPr>
        <w:t>of</w:t>
      </w:r>
      <w:r>
        <w:rPr>
          <w:spacing w:val="-1"/>
          <w:sz w:val="24"/>
        </w:rPr>
        <w:t> </w:t>
      </w:r>
      <w:r>
        <w:rPr>
          <w:sz w:val="24"/>
        </w:rPr>
        <w:t>the</w:t>
      </w:r>
      <w:r>
        <w:rPr>
          <w:spacing w:val="-1"/>
          <w:sz w:val="24"/>
        </w:rPr>
        <w:t> </w:t>
      </w:r>
      <w:r>
        <w:rPr>
          <w:sz w:val="24"/>
        </w:rPr>
        <w:t>Act and 42 CFR 433.68(d).</w:t>
      </w:r>
    </w:p>
    <w:p>
      <w:pPr>
        <w:pStyle w:val="BodyText"/>
        <w:spacing w:before="10"/>
        <w:rPr>
          <w:sz w:val="20"/>
        </w:rPr>
      </w:pPr>
    </w:p>
    <w:p>
      <w:pPr>
        <w:pStyle w:val="ListParagraph"/>
        <w:numPr>
          <w:ilvl w:val="0"/>
          <w:numId w:val="46"/>
        </w:numPr>
        <w:tabs>
          <w:tab w:pos="1411" w:val="left" w:leader="none"/>
        </w:tabs>
        <w:spacing w:line="240" w:lineRule="auto" w:before="0" w:after="0"/>
        <w:ind w:left="1411" w:right="1475" w:hanging="360"/>
        <w:jc w:val="left"/>
        <w:rPr>
          <w:sz w:val="24"/>
        </w:rPr>
      </w:pPr>
      <w:bookmarkStart w:name="c. If the health care-related tax is eit" w:id="1015"/>
      <w:bookmarkEnd w:id="1015"/>
      <w:r>
        <w:rPr/>
      </w:r>
      <w:r>
        <w:rPr>
          <w:sz w:val="24"/>
        </w:rPr>
        <w:t>If the health care-related tax is either not broad-based or not uniform, the Commonwealth has applied for and received a waiver of the broad-based and/or uniformity</w:t>
      </w:r>
      <w:r>
        <w:rPr>
          <w:spacing w:val="-8"/>
          <w:sz w:val="24"/>
        </w:rPr>
        <w:t> </w:t>
      </w:r>
      <w:r>
        <w:rPr>
          <w:sz w:val="24"/>
        </w:rPr>
        <w:t>requirements</w:t>
      </w:r>
      <w:r>
        <w:rPr>
          <w:spacing w:val="-1"/>
          <w:sz w:val="24"/>
        </w:rPr>
        <w:t> </w:t>
      </w:r>
      <w:r>
        <w:rPr>
          <w:sz w:val="24"/>
        </w:rPr>
        <w:t>as</w:t>
      </w:r>
      <w:r>
        <w:rPr>
          <w:spacing w:val="-3"/>
          <w:sz w:val="24"/>
        </w:rPr>
        <w:t> </w:t>
      </w:r>
      <w:r>
        <w:rPr>
          <w:sz w:val="24"/>
        </w:rPr>
        <w:t>specified</w:t>
      </w:r>
      <w:r>
        <w:rPr>
          <w:spacing w:val="-3"/>
          <w:sz w:val="24"/>
        </w:rPr>
        <w:t> </w:t>
      </w:r>
      <w:r>
        <w:rPr>
          <w:sz w:val="24"/>
        </w:rPr>
        <w:t>by</w:t>
      </w:r>
      <w:r>
        <w:rPr>
          <w:spacing w:val="-8"/>
          <w:sz w:val="24"/>
        </w:rPr>
        <w:t> </w:t>
      </w:r>
      <w:r>
        <w:rPr>
          <w:sz w:val="24"/>
        </w:rPr>
        <w:t>1903(w)(3)(E)(i)</w:t>
      </w:r>
      <w:r>
        <w:rPr>
          <w:spacing w:val="-4"/>
          <w:sz w:val="24"/>
        </w:rPr>
        <w:t> </w:t>
      </w:r>
      <w:r>
        <w:rPr>
          <w:sz w:val="24"/>
        </w:rPr>
        <w:t>of</w:t>
      </w:r>
      <w:r>
        <w:rPr>
          <w:spacing w:val="-4"/>
          <w:sz w:val="24"/>
        </w:rPr>
        <w:t> </w:t>
      </w:r>
      <w:r>
        <w:rPr>
          <w:sz w:val="24"/>
        </w:rPr>
        <w:t>the</w:t>
      </w:r>
      <w:r>
        <w:rPr>
          <w:spacing w:val="-4"/>
          <w:sz w:val="24"/>
        </w:rPr>
        <w:t> </w:t>
      </w:r>
      <w:r>
        <w:rPr>
          <w:sz w:val="24"/>
        </w:rPr>
        <w:t>Act</w:t>
      </w:r>
      <w:r>
        <w:rPr>
          <w:spacing w:val="-1"/>
          <w:sz w:val="24"/>
        </w:rPr>
        <w:t> </w:t>
      </w:r>
      <w:r>
        <w:rPr>
          <w:sz w:val="24"/>
        </w:rPr>
        <w:t>and</w:t>
      </w:r>
      <w:r>
        <w:rPr>
          <w:spacing w:val="-3"/>
          <w:sz w:val="24"/>
        </w:rPr>
        <w:t> </w:t>
      </w:r>
      <w:r>
        <w:rPr>
          <w:sz w:val="24"/>
        </w:rPr>
        <w:t>42</w:t>
      </w:r>
      <w:r>
        <w:rPr>
          <w:spacing w:val="-3"/>
          <w:sz w:val="24"/>
        </w:rPr>
        <w:t> </w:t>
      </w:r>
      <w:r>
        <w:rPr>
          <w:sz w:val="24"/>
        </w:rPr>
        <w:t>CFR </w:t>
      </w:r>
      <w:r>
        <w:rPr>
          <w:spacing w:val="-2"/>
          <w:sz w:val="24"/>
        </w:rPr>
        <w:t>433.72.</w:t>
      </w:r>
    </w:p>
    <w:p>
      <w:pPr>
        <w:pStyle w:val="BodyText"/>
        <w:spacing w:before="10"/>
        <w:rPr>
          <w:sz w:val="20"/>
        </w:rPr>
      </w:pPr>
    </w:p>
    <w:p>
      <w:pPr>
        <w:pStyle w:val="ListParagraph"/>
        <w:numPr>
          <w:ilvl w:val="0"/>
          <w:numId w:val="46"/>
        </w:numPr>
        <w:tabs>
          <w:tab w:pos="1411" w:val="left" w:leader="none"/>
        </w:tabs>
        <w:spacing w:line="240" w:lineRule="auto" w:before="0" w:after="0"/>
        <w:ind w:left="1411" w:right="1721" w:hanging="360"/>
        <w:jc w:val="left"/>
        <w:rPr>
          <w:sz w:val="24"/>
        </w:rPr>
      </w:pPr>
      <w:bookmarkStart w:name="d. The tax does not contain a hold harml" w:id="1016"/>
      <w:bookmarkEnd w:id="1016"/>
      <w:r>
        <w:rPr/>
      </w:r>
      <w:r>
        <w:rPr>
          <w:sz w:val="24"/>
        </w:rPr>
        <w:t>The</w:t>
      </w:r>
      <w:r>
        <w:rPr>
          <w:spacing w:val="-4"/>
          <w:sz w:val="24"/>
        </w:rPr>
        <w:t> </w:t>
      </w:r>
      <w:r>
        <w:rPr>
          <w:sz w:val="24"/>
        </w:rPr>
        <w:t>tax</w:t>
      </w:r>
      <w:r>
        <w:rPr>
          <w:spacing w:val="-1"/>
          <w:sz w:val="24"/>
        </w:rPr>
        <w:t> </w:t>
      </w:r>
      <w:r>
        <w:rPr>
          <w:sz w:val="24"/>
        </w:rPr>
        <w:t>does</w:t>
      </w:r>
      <w:r>
        <w:rPr>
          <w:spacing w:val="-3"/>
          <w:sz w:val="24"/>
        </w:rPr>
        <w:t> </w:t>
      </w:r>
      <w:r>
        <w:rPr>
          <w:sz w:val="24"/>
        </w:rPr>
        <w:t>not</w:t>
      </w:r>
      <w:r>
        <w:rPr>
          <w:spacing w:val="-3"/>
          <w:sz w:val="24"/>
        </w:rPr>
        <w:t> </w:t>
      </w:r>
      <w:r>
        <w:rPr>
          <w:sz w:val="24"/>
        </w:rPr>
        <w:t>contain</w:t>
      </w:r>
      <w:r>
        <w:rPr>
          <w:spacing w:val="-3"/>
          <w:sz w:val="24"/>
        </w:rPr>
        <w:t> </w:t>
      </w:r>
      <w:r>
        <w:rPr>
          <w:sz w:val="24"/>
        </w:rPr>
        <w:t>a</w:t>
      </w:r>
      <w:r>
        <w:rPr>
          <w:spacing w:val="-4"/>
          <w:sz w:val="24"/>
        </w:rPr>
        <w:t> </w:t>
      </w:r>
      <w:r>
        <w:rPr>
          <w:sz w:val="24"/>
        </w:rPr>
        <w:t>hold</w:t>
      </w:r>
      <w:r>
        <w:rPr>
          <w:spacing w:val="-3"/>
          <w:sz w:val="24"/>
        </w:rPr>
        <w:t> </w:t>
      </w:r>
      <w:r>
        <w:rPr>
          <w:sz w:val="24"/>
        </w:rPr>
        <w:t>harmless</w:t>
      </w:r>
      <w:r>
        <w:rPr>
          <w:spacing w:val="-3"/>
          <w:sz w:val="24"/>
        </w:rPr>
        <w:t> </w:t>
      </w:r>
      <w:r>
        <w:rPr>
          <w:sz w:val="24"/>
        </w:rPr>
        <w:t>arrangement</w:t>
      </w:r>
      <w:r>
        <w:rPr>
          <w:spacing w:val="-3"/>
          <w:sz w:val="24"/>
        </w:rPr>
        <w:t> </w:t>
      </w:r>
      <w:r>
        <w:rPr>
          <w:sz w:val="24"/>
        </w:rPr>
        <w:t>as</w:t>
      </w:r>
      <w:r>
        <w:rPr>
          <w:spacing w:val="-3"/>
          <w:sz w:val="24"/>
        </w:rPr>
        <w:t> </w:t>
      </w:r>
      <w:r>
        <w:rPr>
          <w:sz w:val="24"/>
        </w:rPr>
        <w:t>described</w:t>
      </w:r>
      <w:r>
        <w:rPr>
          <w:spacing w:val="-3"/>
          <w:sz w:val="24"/>
        </w:rPr>
        <w:t> </w:t>
      </w:r>
      <w:r>
        <w:rPr>
          <w:sz w:val="24"/>
        </w:rPr>
        <w:t>by</w:t>
      </w:r>
      <w:r>
        <w:rPr>
          <w:spacing w:val="-8"/>
          <w:sz w:val="24"/>
        </w:rPr>
        <w:t> </w:t>
      </w:r>
      <w:r>
        <w:rPr>
          <w:sz w:val="24"/>
        </w:rPr>
        <w:t>Section 1903(w)(4) of the Act and 42 CFR 433.68(f).</w:t>
      </w:r>
    </w:p>
    <w:p>
      <w:pPr>
        <w:spacing w:after="0" w:line="240" w:lineRule="auto"/>
        <w:jc w:val="left"/>
        <w:rPr>
          <w:sz w:val="24"/>
        </w:rPr>
        <w:sectPr>
          <w:pgSz w:w="12240" w:h="15840"/>
          <w:pgMar w:header="0" w:footer="1201" w:top="1360" w:bottom="1400" w:left="1200" w:right="400"/>
        </w:sectPr>
      </w:pPr>
    </w:p>
    <w:p>
      <w:pPr>
        <w:pStyle w:val="ListParagraph"/>
        <w:numPr>
          <w:ilvl w:val="0"/>
          <w:numId w:val="46"/>
        </w:numPr>
        <w:tabs>
          <w:tab w:pos="1411" w:val="left" w:leader="none"/>
        </w:tabs>
        <w:spacing w:line="240" w:lineRule="auto" w:before="79" w:after="0"/>
        <w:ind w:left="1411" w:right="1100" w:hanging="360"/>
        <w:jc w:val="left"/>
        <w:rPr>
          <w:sz w:val="24"/>
        </w:rPr>
      </w:pPr>
      <w:bookmarkStart w:name="e. All provider-related donations as def" w:id="1017"/>
      <w:bookmarkEnd w:id="1017"/>
      <w:r>
        <w:rPr/>
      </w:r>
      <w:r>
        <w:rPr>
          <w:sz w:val="24"/>
        </w:rPr>
        <w:t>All</w:t>
      </w:r>
      <w:r>
        <w:rPr>
          <w:spacing w:val="-3"/>
          <w:sz w:val="24"/>
        </w:rPr>
        <w:t> </w:t>
      </w:r>
      <w:r>
        <w:rPr>
          <w:sz w:val="24"/>
        </w:rPr>
        <w:t>provider-related</w:t>
      </w:r>
      <w:r>
        <w:rPr>
          <w:spacing w:val="-3"/>
          <w:sz w:val="24"/>
        </w:rPr>
        <w:t> </w:t>
      </w:r>
      <w:r>
        <w:rPr>
          <w:sz w:val="24"/>
        </w:rPr>
        <w:t>donations</w:t>
      </w:r>
      <w:r>
        <w:rPr>
          <w:spacing w:val="-3"/>
          <w:sz w:val="24"/>
        </w:rPr>
        <w:t> </w:t>
      </w:r>
      <w:r>
        <w:rPr>
          <w:sz w:val="24"/>
        </w:rPr>
        <w:t>as</w:t>
      </w:r>
      <w:r>
        <w:rPr>
          <w:spacing w:val="-3"/>
          <w:sz w:val="24"/>
        </w:rPr>
        <w:t> </w:t>
      </w:r>
      <w:r>
        <w:rPr>
          <w:sz w:val="24"/>
        </w:rPr>
        <w:t>defined</w:t>
      </w:r>
      <w:r>
        <w:rPr>
          <w:spacing w:val="-3"/>
          <w:sz w:val="24"/>
        </w:rPr>
        <w:t> </w:t>
      </w:r>
      <w:r>
        <w:rPr>
          <w:sz w:val="24"/>
        </w:rPr>
        <w:t>by</w:t>
      </w:r>
      <w:r>
        <w:rPr>
          <w:spacing w:val="-8"/>
          <w:sz w:val="24"/>
        </w:rPr>
        <w:t> </w:t>
      </w:r>
      <w:r>
        <w:rPr>
          <w:sz w:val="24"/>
        </w:rPr>
        <w:t>42</w:t>
      </w:r>
      <w:r>
        <w:rPr>
          <w:spacing w:val="-3"/>
          <w:sz w:val="24"/>
        </w:rPr>
        <w:t> </w:t>
      </w:r>
      <w:r>
        <w:rPr>
          <w:sz w:val="24"/>
        </w:rPr>
        <w:t>CFR</w:t>
      </w:r>
      <w:r>
        <w:rPr>
          <w:spacing w:val="-3"/>
          <w:sz w:val="24"/>
        </w:rPr>
        <w:t> </w:t>
      </w:r>
      <w:r>
        <w:rPr>
          <w:sz w:val="24"/>
        </w:rPr>
        <w:t>433.52</w:t>
      </w:r>
      <w:r>
        <w:rPr>
          <w:spacing w:val="-3"/>
          <w:sz w:val="24"/>
        </w:rPr>
        <w:t> </w:t>
      </w:r>
      <w:r>
        <w:rPr>
          <w:sz w:val="24"/>
        </w:rPr>
        <w:t>are</w:t>
      </w:r>
      <w:r>
        <w:rPr>
          <w:spacing w:val="-4"/>
          <w:sz w:val="24"/>
        </w:rPr>
        <w:t> </w:t>
      </w:r>
      <w:r>
        <w:rPr>
          <w:sz w:val="24"/>
        </w:rPr>
        <w:t>bona</w:t>
      </w:r>
      <w:r>
        <w:rPr>
          <w:spacing w:val="-4"/>
          <w:sz w:val="24"/>
        </w:rPr>
        <w:t> </w:t>
      </w:r>
      <w:r>
        <w:rPr>
          <w:sz w:val="24"/>
        </w:rPr>
        <w:t>fide</w:t>
      </w:r>
      <w:r>
        <w:rPr>
          <w:spacing w:val="-2"/>
          <w:sz w:val="24"/>
        </w:rPr>
        <w:t> </w:t>
      </w:r>
      <w:r>
        <w:rPr>
          <w:sz w:val="24"/>
        </w:rPr>
        <w:t>as</w:t>
      </w:r>
      <w:r>
        <w:rPr>
          <w:spacing w:val="-3"/>
          <w:sz w:val="24"/>
        </w:rPr>
        <w:t> </w:t>
      </w:r>
      <w:r>
        <w:rPr>
          <w:sz w:val="24"/>
        </w:rPr>
        <w:t>defined by Section 1903(w)(2)(B) of the Social Security Act, 42 CFR 433.66, and 42 CFR </w:t>
      </w:r>
      <w:r>
        <w:rPr>
          <w:spacing w:val="-2"/>
          <w:sz w:val="24"/>
        </w:rPr>
        <w:t>433.54.</w:t>
      </w:r>
    </w:p>
    <w:p>
      <w:pPr>
        <w:pStyle w:val="BodyText"/>
        <w:spacing w:before="10"/>
        <w:rPr>
          <w:sz w:val="20"/>
        </w:rPr>
      </w:pPr>
    </w:p>
    <w:p>
      <w:pPr>
        <w:pStyle w:val="BodyText"/>
        <w:ind w:left="871" w:right="1059"/>
      </w:pPr>
      <w:r>
        <w:rPr/>
        <w:drawing>
          <wp:anchor distT="0" distB="0" distL="0" distR="0" allowOverlap="1" layoutInCell="1" locked="0" behindDoc="0" simplePos="0" relativeHeight="16087040">
            <wp:simplePos x="0" y="0"/>
            <wp:positionH relativeFrom="page">
              <wp:posOffset>908303</wp:posOffset>
            </wp:positionH>
            <wp:positionV relativeFrom="paragraph">
              <wp:posOffset>35600</wp:posOffset>
            </wp:positionV>
            <wp:extent cx="283463" cy="112775"/>
            <wp:effectExtent l="0" t="0" r="0" b="0"/>
            <wp:wrapNone/>
            <wp:docPr id="712" name="Image 712"/>
            <wp:cNvGraphicFramePr>
              <a:graphicFrameLocks/>
            </wp:cNvGraphicFramePr>
            <a:graphic>
              <a:graphicData uri="http://schemas.openxmlformats.org/drawingml/2006/picture">
                <pic:pic>
                  <pic:nvPicPr>
                    <pic:cNvPr id="712" name="Image 712"/>
                    <pic:cNvPicPr/>
                  </pic:nvPicPr>
                  <pic:blipFill>
                    <a:blip r:embed="rId276" cstate="print"/>
                    <a:stretch>
                      <a:fillRect/>
                    </a:stretch>
                  </pic:blipFill>
                  <pic:spPr>
                    <a:xfrm>
                      <a:off x="0" y="0"/>
                      <a:ext cx="283463" cy="112775"/>
                    </a:xfrm>
                    <a:prstGeom prst="rect">
                      <a:avLst/>
                    </a:prstGeom>
                  </pic:spPr>
                </pic:pic>
              </a:graphicData>
            </a:graphic>
          </wp:anchor>
        </w:drawing>
      </w:r>
      <w:bookmarkStart w:name="18.7. State Monitoring of Non-federal Sh" w:id="1018"/>
      <w:bookmarkEnd w:id="1018"/>
      <w:r>
        <w:rPr/>
      </w:r>
      <w:r>
        <w:rPr>
          <w:b/>
        </w:rPr>
        <w:t>State Monitoring of Non-federal Share. </w:t>
      </w:r>
      <w:r>
        <w:rPr/>
        <w:t>If any payments under the demonstration are funded</w:t>
      </w:r>
      <w:r>
        <w:rPr>
          <w:spacing w:val="-2"/>
        </w:rPr>
        <w:t> </w:t>
      </w:r>
      <w:r>
        <w:rPr/>
        <w:t>in</w:t>
      </w:r>
      <w:r>
        <w:rPr>
          <w:spacing w:val="-2"/>
        </w:rPr>
        <w:t> </w:t>
      </w:r>
      <w:r>
        <w:rPr/>
        <w:t>whole</w:t>
      </w:r>
      <w:r>
        <w:rPr>
          <w:spacing w:val="-3"/>
        </w:rPr>
        <w:t> </w:t>
      </w:r>
      <w:r>
        <w:rPr/>
        <w:t>or</w:t>
      </w:r>
      <w:r>
        <w:rPr>
          <w:spacing w:val="-3"/>
        </w:rPr>
        <w:t> </w:t>
      </w:r>
      <w:r>
        <w:rPr/>
        <w:t>in</w:t>
      </w:r>
      <w:r>
        <w:rPr>
          <w:spacing w:val="-2"/>
        </w:rPr>
        <w:t> </w:t>
      </w:r>
      <w:r>
        <w:rPr/>
        <w:t>part</w:t>
      </w:r>
      <w:r>
        <w:rPr>
          <w:spacing w:val="-2"/>
        </w:rPr>
        <w:t> </w:t>
      </w:r>
      <w:r>
        <w:rPr/>
        <w:t>by</w:t>
      </w:r>
      <w:r>
        <w:rPr>
          <w:spacing w:val="-7"/>
        </w:rPr>
        <w:t> </w:t>
      </w:r>
      <w:r>
        <w:rPr/>
        <w:t>a</w:t>
      </w:r>
      <w:r>
        <w:rPr>
          <w:spacing w:val="-3"/>
        </w:rPr>
        <w:t> </w:t>
      </w:r>
      <w:r>
        <w:rPr/>
        <w:t>locality</w:t>
      </w:r>
      <w:r>
        <w:rPr>
          <w:spacing w:val="-7"/>
        </w:rPr>
        <w:t> </w:t>
      </w:r>
      <w:r>
        <w:rPr/>
        <w:t>tax,</w:t>
      </w:r>
      <w:r>
        <w:rPr>
          <w:spacing w:val="-2"/>
        </w:rPr>
        <w:t> </w:t>
      </w:r>
      <w:r>
        <w:rPr/>
        <w:t>then</w:t>
      </w:r>
      <w:r>
        <w:rPr>
          <w:spacing w:val="-2"/>
        </w:rPr>
        <w:t> </w:t>
      </w:r>
      <w:r>
        <w:rPr/>
        <w:t>the</w:t>
      </w:r>
      <w:r>
        <w:rPr>
          <w:spacing w:val="-3"/>
        </w:rPr>
        <w:t> </w:t>
      </w:r>
      <w:r>
        <w:rPr/>
        <w:t>Commonwealth</w:t>
      </w:r>
      <w:r>
        <w:rPr>
          <w:spacing w:val="-2"/>
        </w:rPr>
        <w:t> </w:t>
      </w:r>
      <w:r>
        <w:rPr/>
        <w:t>must</w:t>
      </w:r>
      <w:r>
        <w:rPr>
          <w:spacing w:val="-2"/>
        </w:rPr>
        <w:t> </w:t>
      </w:r>
      <w:r>
        <w:rPr/>
        <w:t>provide</w:t>
      </w:r>
      <w:r>
        <w:rPr>
          <w:spacing w:val="-3"/>
        </w:rPr>
        <w:t> </w:t>
      </w:r>
      <w:r>
        <w:rPr/>
        <w:t>a</w:t>
      </w:r>
      <w:r>
        <w:rPr>
          <w:spacing w:val="-3"/>
        </w:rPr>
        <w:t> </w:t>
      </w:r>
      <w:r>
        <w:rPr/>
        <w:t>report to CMS regarding payments under the demonstration no later than 60 days after demonstration approval. This deliverable is subject to the deferral as described in STC</w:t>
      </w:r>
    </w:p>
    <w:p>
      <w:pPr>
        <w:pStyle w:val="BodyText"/>
        <w:ind w:left="871"/>
      </w:pPr>
      <w:r>
        <w:rPr/>
        <w:t>16.2.</w:t>
      </w:r>
      <w:r>
        <w:rPr>
          <w:spacing w:val="-2"/>
        </w:rPr>
        <w:t> </w:t>
      </w:r>
      <w:r>
        <w:rPr/>
        <w:t>This</w:t>
      </w:r>
      <w:r>
        <w:rPr>
          <w:spacing w:val="-1"/>
        </w:rPr>
        <w:t> </w:t>
      </w:r>
      <w:r>
        <w:rPr/>
        <w:t>report</w:t>
      </w:r>
      <w:r>
        <w:rPr>
          <w:spacing w:val="-1"/>
        </w:rPr>
        <w:t> </w:t>
      </w:r>
      <w:r>
        <w:rPr/>
        <w:t>must</w:t>
      </w:r>
      <w:r>
        <w:rPr>
          <w:spacing w:val="-1"/>
        </w:rPr>
        <w:t> </w:t>
      </w:r>
      <w:r>
        <w:rPr>
          <w:spacing w:val="-2"/>
        </w:rPr>
        <w:t>include:</w:t>
      </w:r>
    </w:p>
    <w:p>
      <w:pPr>
        <w:pStyle w:val="BodyText"/>
        <w:spacing w:before="10"/>
        <w:rPr>
          <w:sz w:val="20"/>
        </w:rPr>
      </w:pPr>
    </w:p>
    <w:p>
      <w:pPr>
        <w:pStyle w:val="ListParagraph"/>
        <w:numPr>
          <w:ilvl w:val="0"/>
          <w:numId w:val="47"/>
        </w:numPr>
        <w:tabs>
          <w:tab w:pos="1411" w:val="left" w:leader="none"/>
        </w:tabs>
        <w:spacing w:line="240" w:lineRule="auto" w:before="0" w:after="0"/>
        <w:ind w:left="1411" w:right="1072" w:hanging="360"/>
        <w:jc w:val="left"/>
        <w:rPr>
          <w:sz w:val="24"/>
        </w:rPr>
      </w:pPr>
      <w:bookmarkStart w:name="a. A detailed description of and a copy " w:id="1019"/>
      <w:bookmarkEnd w:id="1019"/>
      <w:r>
        <w:rPr/>
      </w:r>
      <w:r>
        <w:rPr>
          <w:sz w:val="24"/>
        </w:rPr>
        <w:t>A detailed description of and a copy of (as applicable) any agreement, written or otherwise agreed upon, regarding any arrangement among the providers including those</w:t>
      </w:r>
      <w:r>
        <w:rPr>
          <w:spacing w:val="-4"/>
          <w:sz w:val="24"/>
        </w:rPr>
        <w:t> </w:t>
      </w:r>
      <w:r>
        <w:rPr>
          <w:sz w:val="24"/>
        </w:rPr>
        <w:t>with</w:t>
      </w:r>
      <w:r>
        <w:rPr>
          <w:spacing w:val="-3"/>
          <w:sz w:val="24"/>
        </w:rPr>
        <w:t> </w:t>
      </w:r>
      <w:r>
        <w:rPr>
          <w:sz w:val="24"/>
        </w:rPr>
        <w:t>counties,</w:t>
      </w:r>
      <w:r>
        <w:rPr>
          <w:spacing w:val="-3"/>
          <w:sz w:val="24"/>
        </w:rPr>
        <w:t> </w:t>
      </w:r>
      <w:r>
        <w:rPr>
          <w:sz w:val="24"/>
        </w:rPr>
        <w:t>the</w:t>
      </w:r>
      <w:r>
        <w:rPr>
          <w:spacing w:val="-4"/>
          <w:sz w:val="24"/>
        </w:rPr>
        <w:t> </w:t>
      </w:r>
      <w:r>
        <w:rPr>
          <w:sz w:val="24"/>
        </w:rPr>
        <w:t>Commonwealth,</w:t>
      </w:r>
      <w:r>
        <w:rPr>
          <w:spacing w:val="-3"/>
          <w:sz w:val="24"/>
        </w:rPr>
        <w:t> </w:t>
      </w:r>
      <w:r>
        <w:rPr>
          <w:sz w:val="24"/>
        </w:rPr>
        <w:t>or</w:t>
      </w:r>
      <w:r>
        <w:rPr>
          <w:spacing w:val="-4"/>
          <w:sz w:val="24"/>
        </w:rPr>
        <w:t> </w:t>
      </w:r>
      <w:r>
        <w:rPr>
          <w:sz w:val="24"/>
        </w:rPr>
        <w:t>other</w:t>
      </w:r>
      <w:r>
        <w:rPr>
          <w:spacing w:val="-2"/>
          <w:sz w:val="24"/>
        </w:rPr>
        <w:t> </w:t>
      </w:r>
      <w:r>
        <w:rPr>
          <w:sz w:val="24"/>
        </w:rPr>
        <w:t>entities</w:t>
      </w:r>
      <w:r>
        <w:rPr>
          <w:spacing w:val="-3"/>
          <w:sz w:val="24"/>
        </w:rPr>
        <w:t> </w:t>
      </w:r>
      <w:r>
        <w:rPr>
          <w:sz w:val="24"/>
        </w:rPr>
        <w:t>relating</w:t>
      </w:r>
      <w:r>
        <w:rPr>
          <w:spacing w:val="-6"/>
          <w:sz w:val="24"/>
        </w:rPr>
        <w:t> </w:t>
      </w:r>
      <w:r>
        <w:rPr>
          <w:sz w:val="24"/>
        </w:rPr>
        <w:t>to</w:t>
      </w:r>
      <w:r>
        <w:rPr>
          <w:spacing w:val="-3"/>
          <w:sz w:val="24"/>
        </w:rPr>
        <w:t> </w:t>
      </w:r>
      <w:r>
        <w:rPr>
          <w:sz w:val="24"/>
        </w:rPr>
        <w:t>each</w:t>
      </w:r>
      <w:r>
        <w:rPr>
          <w:spacing w:val="-3"/>
          <w:sz w:val="24"/>
        </w:rPr>
        <w:t> </w:t>
      </w:r>
      <w:r>
        <w:rPr>
          <w:sz w:val="24"/>
        </w:rPr>
        <w:t>locality</w:t>
      </w:r>
      <w:r>
        <w:rPr>
          <w:spacing w:val="-8"/>
          <w:sz w:val="24"/>
        </w:rPr>
        <w:t> </w:t>
      </w:r>
      <w:r>
        <w:rPr>
          <w:sz w:val="24"/>
        </w:rPr>
        <w:t>tax or payments received that are funded by the locality tax;</w:t>
      </w:r>
    </w:p>
    <w:p>
      <w:pPr>
        <w:pStyle w:val="BodyText"/>
        <w:spacing w:before="10"/>
        <w:rPr>
          <w:sz w:val="20"/>
        </w:rPr>
      </w:pPr>
    </w:p>
    <w:p>
      <w:pPr>
        <w:pStyle w:val="ListParagraph"/>
        <w:numPr>
          <w:ilvl w:val="0"/>
          <w:numId w:val="47"/>
        </w:numPr>
        <w:tabs>
          <w:tab w:pos="1411" w:val="left" w:leader="none"/>
        </w:tabs>
        <w:spacing w:line="240" w:lineRule="auto" w:before="0" w:after="0"/>
        <w:ind w:left="1411" w:right="0" w:hanging="360"/>
        <w:jc w:val="left"/>
        <w:rPr>
          <w:sz w:val="24"/>
        </w:rPr>
      </w:pPr>
      <w:bookmarkStart w:name="b. Number of providers in each locality " w:id="1020"/>
      <w:bookmarkEnd w:id="1020"/>
      <w:r>
        <w:rPr/>
      </w:r>
      <w:r>
        <w:rPr>
          <w:sz w:val="24"/>
        </w:rPr>
        <w:t>Number</w:t>
      </w:r>
      <w:r>
        <w:rPr>
          <w:spacing w:val="-4"/>
          <w:sz w:val="24"/>
        </w:rPr>
        <w:t> </w:t>
      </w:r>
      <w:r>
        <w:rPr>
          <w:sz w:val="24"/>
        </w:rPr>
        <w:t>of</w:t>
      </w:r>
      <w:r>
        <w:rPr>
          <w:spacing w:val="-1"/>
          <w:sz w:val="24"/>
        </w:rPr>
        <w:t> </w:t>
      </w:r>
      <w:r>
        <w:rPr>
          <w:sz w:val="24"/>
        </w:rPr>
        <w:t>providers in each locality</w:t>
      </w:r>
      <w:r>
        <w:rPr>
          <w:spacing w:val="-5"/>
          <w:sz w:val="24"/>
        </w:rPr>
        <w:t> </w:t>
      </w:r>
      <w:r>
        <w:rPr>
          <w:sz w:val="24"/>
        </w:rPr>
        <w:t>of</w:t>
      </w:r>
      <w:r>
        <w:rPr>
          <w:spacing w:val="-1"/>
          <w:sz w:val="24"/>
        </w:rPr>
        <w:t> </w:t>
      </w:r>
      <w:r>
        <w:rPr>
          <w:sz w:val="24"/>
        </w:rPr>
        <w:t>the</w:t>
      </w:r>
      <w:r>
        <w:rPr>
          <w:spacing w:val="-1"/>
          <w:sz w:val="24"/>
        </w:rPr>
        <w:t> </w:t>
      </w:r>
      <w:r>
        <w:rPr>
          <w:sz w:val="24"/>
        </w:rPr>
        <w:t>taxing entities for</w:t>
      </w:r>
      <w:r>
        <w:rPr>
          <w:spacing w:val="-1"/>
          <w:sz w:val="24"/>
        </w:rPr>
        <w:t> </w:t>
      </w:r>
      <w:r>
        <w:rPr>
          <w:sz w:val="24"/>
        </w:rPr>
        <w:t>each locality</w:t>
      </w:r>
      <w:r>
        <w:rPr>
          <w:spacing w:val="-5"/>
          <w:sz w:val="24"/>
        </w:rPr>
        <w:t> </w:t>
      </w:r>
      <w:r>
        <w:rPr>
          <w:spacing w:val="-4"/>
          <w:sz w:val="24"/>
        </w:rPr>
        <w:t>tax;</w:t>
      </w:r>
    </w:p>
    <w:p>
      <w:pPr>
        <w:pStyle w:val="BodyText"/>
        <w:spacing w:before="10"/>
        <w:rPr>
          <w:sz w:val="20"/>
        </w:rPr>
      </w:pPr>
    </w:p>
    <w:p>
      <w:pPr>
        <w:pStyle w:val="ListParagraph"/>
        <w:numPr>
          <w:ilvl w:val="0"/>
          <w:numId w:val="47"/>
        </w:numPr>
        <w:tabs>
          <w:tab w:pos="1411" w:val="left" w:leader="none"/>
        </w:tabs>
        <w:spacing w:line="240" w:lineRule="auto" w:before="0" w:after="0"/>
        <w:ind w:left="1411" w:right="1382" w:hanging="360"/>
        <w:jc w:val="left"/>
        <w:rPr>
          <w:sz w:val="24"/>
        </w:rPr>
      </w:pPr>
      <w:bookmarkStart w:name="c. Whether or not all providers in the l" w:id="1021"/>
      <w:bookmarkEnd w:id="1021"/>
      <w:r>
        <w:rPr/>
      </w:r>
      <w:r>
        <w:rPr>
          <w:sz w:val="24"/>
        </w:rPr>
        <w:t>Whether</w:t>
      </w:r>
      <w:r>
        <w:rPr>
          <w:spacing w:val="-4"/>
          <w:sz w:val="24"/>
        </w:rPr>
        <w:t> </w:t>
      </w:r>
      <w:r>
        <w:rPr>
          <w:sz w:val="24"/>
        </w:rPr>
        <w:t>or</w:t>
      </w:r>
      <w:r>
        <w:rPr>
          <w:spacing w:val="-4"/>
          <w:sz w:val="24"/>
        </w:rPr>
        <w:t> </w:t>
      </w:r>
      <w:r>
        <w:rPr>
          <w:sz w:val="24"/>
        </w:rPr>
        <w:t>not</w:t>
      </w:r>
      <w:r>
        <w:rPr>
          <w:spacing w:val="-3"/>
          <w:sz w:val="24"/>
        </w:rPr>
        <w:t> </w:t>
      </w:r>
      <w:r>
        <w:rPr>
          <w:sz w:val="24"/>
        </w:rPr>
        <w:t>all</w:t>
      </w:r>
      <w:r>
        <w:rPr>
          <w:spacing w:val="-3"/>
          <w:sz w:val="24"/>
        </w:rPr>
        <w:t> </w:t>
      </w:r>
      <w:r>
        <w:rPr>
          <w:sz w:val="24"/>
        </w:rPr>
        <w:t>providers</w:t>
      </w:r>
      <w:r>
        <w:rPr>
          <w:spacing w:val="-4"/>
          <w:sz w:val="24"/>
        </w:rPr>
        <w:t> </w:t>
      </w:r>
      <w:r>
        <w:rPr>
          <w:sz w:val="24"/>
        </w:rPr>
        <w:t>in</w:t>
      </w:r>
      <w:r>
        <w:rPr>
          <w:spacing w:val="-3"/>
          <w:sz w:val="24"/>
        </w:rPr>
        <w:t> </w:t>
      </w:r>
      <w:r>
        <w:rPr>
          <w:sz w:val="24"/>
        </w:rPr>
        <w:t>the</w:t>
      </w:r>
      <w:r>
        <w:rPr>
          <w:spacing w:val="-4"/>
          <w:sz w:val="24"/>
        </w:rPr>
        <w:t> </w:t>
      </w:r>
      <w:r>
        <w:rPr>
          <w:sz w:val="24"/>
        </w:rPr>
        <w:t>locality</w:t>
      </w:r>
      <w:r>
        <w:rPr>
          <w:spacing w:val="-8"/>
          <w:sz w:val="24"/>
        </w:rPr>
        <w:t> </w:t>
      </w:r>
      <w:r>
        <w:rPr>
          <w:sz w:val="24"/>
        </w:rPr>
        <w:t>will</w:t>
      </w:r>
      <w:r>
        <w:rPr>
          <w:spacing w:val="-3"/>
          <w:sz w:val="24"/>
        </w:rPr>
        <w:t> </w:t>
      </w:r>
      <w:r>
        <w:rPr>
          <w:sz w:val="24"/>
        </w:rPr>
        <w:t>be</w:t>
      </w:r>
      <w:r>
        <w:rPr>
          <w:spacing w:val="-4"/>
          <w:sz w:val="24"/>
        </w:rPr>
        <w:t> </w:t>
      </w:r>
      <w:r>
        <w:rPr>
          <w:sz w:val="24"/>
        </w:rPr>
        <w:t>paying</w:t>
      </w:r>
      <w:r>
        <w:rPr>
          <w:spacing w:val="-6"/>
          <w:sz w:val="24"/>
        </w:rPr>
        <w:t> </w:t>
      </w:r>
      <w:r>
        <w:rPr>
          <w:sz w:val="24"/>
        </w:rPr>
        <w:t>the</w:t>
      </w:r>
      <w:r>
        <w:rPr>
          <w:spacing w:val="-2"/>
          <w:sz w:val="24"/>
        </w:rPr>
        <w:t> </w:t>
      </w:r>
      <w:r>
        <w:rPr>
          <w:sz w:val="24"/>
        </w:rPr>
        <w:t>assessment</w:t>
      </w:r>
      <w:r>
        <w:rPr>
          <w:spacing w:val="-3"/>
          <w:sz w:val="24"/>
        </w:rPr>
        <w:t> </w:t>
      </w:r>
      <w:r>
        <w:rPr>
          <w:sz w:val="24"/>
        </w:rPr>
        <w:t>for</w:t>
      </w:r>
      <w:r>
        <w:rPr>
          <w:spacing w:val="-4"/>
          <w:sz w:val="24"/>
        </w:rPr>
        <w:t> </w:t>
      </w:r>
      <w:r>
        <w:rPr>
          <w:sz w:val="24"/>
        </w:rPr>
        <w:t>each locality tax;</w:t>
      </w:r>
    </w:p>
    <w:p>
      <w:pPr>
        <w:pStyle w:val="BodyText"/>
        <w:spacing w:before="10"/>
        <w:rPr>
          <w:sz w:val="20"/>
        </w:rPr>
      </w:pPr>
    </w:p>
    <w:p>
      <w:pPr>
        <w:pStyle w:val="ListParagraph"/>
        <w:numPr>
          <w:ilvl w:val="0"/>
          <w:numId w:val="47"/>
        </w:numPr>
        <w:tabs>
          <w:tab w:pos="1411" w:val="left" w:leader="none"/>
        </w:tabs>
        <w:spacing w:line="240" w:lineRule="auto" w:before="0" w:after="0"/>
        <w:ind w:left="1411" w:right="0" w:hanging="360"/>
        <w:jc w:val="left"/>
        <w:rPr>
          <w:sz w:val="24"/>
        </w:rPr>
      </w:pPr>
      <w:bookmarkStart w:name="d. The assessment rate that the provider" w:id="1022"/>
      <w:bookmarkEnd w:id="1022"/>
      <w:r>
        <w:rPr/>
      </w:r>
      <w:r>
        <w:rPr>
          <w:sz w:val="24"/>
        </w:rPr>
        <w:t>The</w:t>
      </w:r>
      <w:r>
        <w:rPr>
          <w:spacing w:val="-2"/>
          <w:sz w:val="24"/>
        </w:rPr>
        <w:t> </w:t>
      </w:r>
      <w:r>
        <w:rPr>
          <w:sz w:val="24"/>
        </w:rPr>
        <w:t>assessment</w:t>
      </w:r>
      <w:r>
        <w:rPr>
          <w:spacing w:val="-1"/>
          <w:sz w:val="24"/>
        </w:rPr>
        <w:t> </w:t>
      </w:r>
      <w:r>
        <w:rPr>
          <w:sz w:val="24"/>
        </w:rPr>
        <w:t>rate</w:t>
      </w:r>
      <w:r>
        <w:rPr>
          <w:spacing w:val="-1"/>
          <w:sz w:val="24"/>
        </w:rPr>
        <w:t> </w:t>
      </w:r>
      <w:r>
        <w:rPr>
          <w:sz w:val="24"/>
        </w:rPr>
        <w:t>that</w:t>
      </w:r>
      <w:r>
        <w:rPr>
          <w:spacing w:val="1"/>
          <w:sz w:val="24"/>
        </w:rPr>
        <w:t> </w:t>
      </w:r>
      <w:r>
        <w:rPr>
          <w:sz w:val="24"/>
        </w:rPr>
        <w:t>the</w:t>
      </w:r>
      <w:r>
        <w:rPr>
          <w:spacing w:val="-1"/>
          <w:sz w:val="24"/>
        </w:rPr>
        <w:t> </w:t>
      </w:r>
      <w:r>
        <w:rPr>
          <w:sz w:val="24"/>
        </w:rPr>
        <w:t>providers</w:t>
      </w:r>
      <w:r>
        <w:rPr>
          <w:spacing w:val="-1"/>
          <w:sz w:val="24"/>
        </w:rPr>
        <w:t> </w:t>
      </w:r>
      <w:r>
        <w:rPr>
          <w:sz w:val="24"/>
        </w:rPr>
        <w:t>will</w:t>
      </w:r>
      <w:r>
        <w:rPr>
          <w:spacing w:val="-1"/>
          <w:sz w:val="24"/>
        </w:rPr>
        <w:t> </w:t>
      </w:r>
      <w:r>
        <w:rPr>
          <w:sz w:val="24"/>
        </w:rPr>
        <w:t>be</w:t>
      </w:r>
      <w:r>
        <w:rPr>
          <w:spacing w:val="-1"/>
          <w:sz w:val="24"/>
        </w:rPr>
        <w:t> </w:t>
      </w:r>
      <w:r>
        <w:rPr>
          <w:sz w:val="24"/>
        </w:rPr>
        <w:t>paying</w:t>
      </w:r>
      <w:r>
        <w:rPr>
          <w:spacing w:val="-4"/>
          <w:sz w:val="24"/>
        </w:rPr>
        <w:t> </w:t>
      </w:r>
      <w:r>
        <w:rPr>
          <w:sz w:val="24"/>
        </w:rPr>
        <w:t>for</w:t>
      </w:r>
      <w:r>
        <w:rPr>
          <w:spacing w:val="-1"/>
          <w:sz w:val="24"/>
        </w:rPr>
        <w:t> </w:t>
      </w:r>
      <w:r>
        <w:rPr>
          <w:sz w:val="24"/>
        </w:rPr>
        <w:t>each</w:t>
      </w:r>
      <w:r>
        <w:rPr>
          <w:spacing w:val="-1"/>
          <w:sz w:val="24"/>
        </w:rPr>
        <w:t> </w:t>
      </w:r>
      <w:r>
        <w:rPr>
          <w:sz w:val="24"/>
        </w:rPr>
        <w:t>locality</w:t>
      </w:r>
      <w:r>
        <w:rPr>
          <w:spacing w:val="-5"/>
          <w:sz w:val="24"/>
        </w:rPr>
        <w:t> </w:t>
      </w:r>
      <w:r>
        <w:rPr>
          <w:spacing w:val="-4"/>
          <w:sz w:val="24"/>
        </w:rPr>
        <w:t>tax;</w:t>
      </w:r>
    </w:p>
    <w:p>
      <w:pPr>
        <w:pStyle w:val="BodyText"/>
        <w:spacing w:before="10"/>
        <w:rPr>
          <w:sz w:val="20"/>
        </w:rPr>
      </w:pPr>
    </w:p>
    <w:p>
      <w:pPr>
        <w:pStyle w:val="ListParagraph"/>
        <w:numPr>
          <w:ilvl w:val="0"/>
          <w:numId w:val="47"/>
        </w:numPr>
        <w:tabs>
          <w:tab w:pos="1411" w:val="left" w:leader="none"/>
        </w:tabs>
        <w:spacing w:line="240" w:lineRule="auto" w:before="0" w:after="0"/>
        <w:ind w:left="1411" w:right="1700" w:hanging="360"/>
        <w:jc w:val="left"/>
        <w:rPr>
          <w:sz w:val="24"/>
        </w:rPr>
      </w:pPr>
      <w:bookmarkStart w:name="e. Whether any providers that pay the as" w:id="1023"/>
      <w:bookmarkEnd w:id="1023"/>
      <w:r>
        <w:rPr/>
      </w:r>
      <w:r>
        <w:rPr>
          <w:sz w:val="24"/>
        </w:rPr>
        <w:t>Whether</w:t>
      </w:r>
      <w:r>
        <w:rPr>
          <w:spacing w:val="-3"/>
          <w:sz w:val="24"/>
        </w:rPr>
        <w:t> </w:t>
      </w:r>
      <w:r>
        <w:rPr>
          <w:sz w:val="24"/>
        </w:rPr>
        <w:t>any</w:t>
      </w:r>
      <w:r>
        <w:rPr>
          <w:spacing w:val="-7"/>
          <w:sz w:val="24"/>
        </w:rPr>
        <w:t> </w:t>
      </w:r>
      <w:r>
        <w:rPr>
          <w:sz w:val="24"/>
        </w:rPr>
        <w:t>providers</w:t>
      </w:r>
      <w:r>
        <w:rPr>
          <w:spacing w:val="-2"/>
          <w:sz w:val="24"/>
        </w:rPr>
        <w:t> </w:t>
      </w:r>
      <w:r>
        <w:rPr>
          <w:sz w:val="24"/>
        </w:rPr>
        <w:t>that</w:t>
      </w:r>
      <w:r>
        <w:rPr>
          <w:spacing w:val="-2"/>
          <w:sz w:val="24"/>
        </w:rPr>
        <w:t> </w:t>
      </w:r>
      <w:r>
        <w:rPr>
          <w:sz w:val="24"/>
        </w:rPr>
        <w:t>pay</w:t>
      </w:r>
      <w:r>
        <w:rPr>
          <w:spacing w:val="-7"/>
          <w:sz w:val="24"/>
        </w:rPr>
        <w:t> </w:t>
      </w:r>
      <w:r>
        <w:rPr>
          <w:sz w:val="24"/>
        </w:rPr>
        <w:t>the</w:t>
      </w:r>
      <w:r>
        <w:rPr>
          <w:spacing w:val="-3"/>
          <w:sz w:val="24"/>
        </w:rPr>
        <w:t> </w:t>
      </w:r>
      <w:r>
        <w:rPr>
          <w:sz w:val="24"/>
        </w:rPr>
        <w:t>assessment</w:t>
      </w:r>
      <w:r>
        <w:rPr>
          <w:spacing w:val="-2"/>
          <w:sz w:val="24"/>
        </w:rPr>
        <w:t> </w:t>
      </w:r>
      <w:r>
        <w:rPr>
          <w:sz w:val="24"/>
        </w:rPr>
        <w:t>will</w:t>
      </w:r>
      <w:r>
        <w:rPr>
          <w:spacing w:val="-2"/>
          <w:sz w:val="24"/>
        </w:rPr>
        <w:t> </w:t>
      </w:r>
      <w:r>
        <w:rPr>
          <w:sz w:val="24"/>
        </w:rPr>
        <w:t>not</w:t>
      </w:r>
      <w:r>
        <w:rPr>
          <w:spacing w:val="-2"/>
          <w:sz w:val="24"/>
        </w:rPr>
        <w:t> </w:t>
      </w:r>
      <w:r>
        <w:rPr>
          <w:sz w:val="24"/>
        </w:rPr>
        <w:t>be</w:t>
      </w:r>
      <w:r>
        <w:rPr>
          <w:spacing w:val="-3"/>
          <w:sz w:val="24"/>
        </w:rPr>
        <w:t> </w:t>
      </w:r>
      <w:r>
        <w:rPr>
          <w:sz w:val="24"/>
        </w:rPr>
        <w:t>receiving</w:t>
      </w:r>
      <w:r>
        <w:rPr>
          <w:spacing w:val="-5"/>
          <w:sz w:val="24"/>
        </w:rPr>
        <w:t> </w:t>
      </w:r>
      <w:r>
        <w:rPr>
          <w:sz w:val="24"/>
        </w:rPr>
        <w:t>payments funded by the assessment;</w:t>
      </w:r>
    </w:p>
    <w:p>
      <w:pPr>
        <w:pStyle w:val="BodyText"/>
        <w:spacing w:before="10"/>
        <w:rPr>
          <w:sz w:val="20"/>
        </w:rPr>
      </w:pPr>
    </w:p>
    <w:p>
      <w:pPr>
        <w:pStyle w:val="ListParagraph"/>
        <w:numPr>
          <w:ilvl w:val="0"/>
          <w:numId w:val="47"/>
        </w:numPr>
        <w:tabs>
          <w:tab w:pos="1411" w:val="left" w:leader="none"/>
        </w:tabs>
        <w:spacing w:line="240" w:lineRule="auto" w:before="0" w:after="0"/>
        <w:ind w:left="1411" w:right="1443" w:hanging="360"/>
        <w:jc w:val="left"/>
        <w:rPr>
          <w:sz w:val="24"/>
        </w:rPr>
      </w:pPr>
      <w:bookmarkStart w:name="f. Number of providers that receive at l" w:id="1024"/>
      <w:bookmarkEnd w:id="1024"/>
      <w:r>
        <w:rPr/>
      </w:r>
      <w:r>
        <w:rPr>
          <w:sz w:val="24"/>
        </w:rPr>
        <w:t>Number</w:t>
      </w:r>
      <w:r>
        <w:rPr>
          <w:spacing w:val="-4"/>
          <w:sz w:val="24"/>
        </w:rPr>
        <w:t> </w:t>
      </w:r>
      <w:r>
        <w:rPr>
          <w:sz w:val="24"/>
        </w:rPr>
        <w:t>of</w:t>
      </w:r>
      <w:r>
        <w:rPr>
          <w:spacing w:val="-4"/>
          <w:sz w:val="24"/>
        </w:rPr>
        <w:t> </w:t>
      </w:r>
      <w:r>
        <w:rPr>
          <w:sz w:val="24"/>
        </w:rPr>
        <w:t>providers</w:t>
      </w:r>
      <w:r>
        <w:rPr>
          <w:spacing w:val="-3"/>
          <w:sz w:val="24"/>
        </w:rPr>
        <w:t> </w:t>
      </w:r>
      <w:r>
        <w:rPr>
          <w:sz w:val="24"/>
        </w:rPr>
        <w:t>that</w:t>
      </w:r>
      <w:r>
        <w:rPr>
          <w:spacing w:val="-1"/>
          <w:sz w:val="24"/>
        </w:rPr>
        <w:t> </w:t>
      </w:r>
      <w:r>
        <w:rPr>
          <w:sz w:val="24"/>
        </w:rPr>
        <w:t>receive</w:t>
      </w:r>
      <w:r>
        <w:rPr>
          <w:spacing w:val="-4"/>
          <w:sz w:val="24"/>
        </w:rPr>
        <w:t> </w:t>
      </w:r>
      <w:r>
        <w:rPr>
          <w:sz w:val="24"/>
        </w:rPr>
        <w:t>at</w:t>
      </w:r>
      <w:r>
        <w:rPr>
          <w:spacing w:val="-3"/>
          <w:sz w:val="24"/>
        </w:rPr>
        <w:t> </w:t>
      </w:r>
      <w:r>
        <w:rPr>
          <w:sz w:val="24"/>
        </w:rPr>
        <w:t>least</w:t>
      </w:r>
      <w:r>
        <w:rPr>
          <w:spacing w:val="-3"/>
          <w:sz w:val="24"/>
        </w:rPr>
        <w:t> </w:t>
      </w:r>
      <w:r>
        <w:rPr>
          <w:sz w:val="24"/>
        </w:rPr>
        <w:t>the</w:t>
      </w:r>
      <w:r>
        <w:rPr>
          <w:spacing w:val="-4"/>
          <w:sz w:val="24"/>
        </w:rPr>
        <w:t> </w:t>
      </w:r>
      <w:r>
        <w:rPr>
          <w:sz w:val="24"/>
        </w:rPr>
        <w:t>total</w:t>
      </w:r>
      <w:r>
        <w:rPr>
          <w:spacing w:val="-1"/>
          <w:sz w:val="24"/>
        </w:rPr>
        <w:t> </w:t>
      </w:r>
      <w:r>
        <w:rPr>
          <w:sz w:val="24"/>
        </w:rPr>
        <w:t>assessment</w:t>
      </w:r>
      <w:r>
        <w:rPr>
          <w:spacing w:val="-3"/>
          <w:sz w:val="24"/>
        </w:rPr>
        <w:t> </w:t>
      </w:r>
      <w:r>
        <w:rPr>
          <w:sz w:val="24"/>
        </w:rPr>
        <w:t>back</w:t>
      </w:r>
      <w:r>
        <w:rPr>
          <w:spacing w:val="-3"/>
          <w:sz w:val="24"/>
        </w:rPr>
        <w:t> </w:t>
      </w:r>
      <w:r>
        <w:rPr>
          <w:sz w:val="24"/>
        </w:rPr>
        <w:t>in</w:t>
      </w:r>
      <w:r>
        <w:rPr>
          <w:spacing w:val="-3"/>
          <w:sz w:val="24"/>
        </w:rPr>
        <w:t> </w:t>
      </w:r>
      <w:r>
        <w:rPr>
          <w:sz w:val="24"/>
        </w:rPr>
        <w:t>the</w:t>
      </w:r>
      <w:r>
        <w:rPr>
          <w:spacing w:val="-4"/>
          <w:sz w:val="24"/>
        </w:rPr>
        <w:t> </w:t>
      </w:r>
      <w:r>
        <w:rPr>
          <w:sz w:val="24"/>
        </w:rPr>
        <w:t>form</w:t>
      </w:r>
      <w:r>
        <w:rPr>
          <w:spacing w:val="-3"/>
          <w:sz w:val="24"/>
        </w:rPr>
        <w:t> </w:t>
      </w:r>
      <w:r>
        <w:rPr>
          <w:sz w:val="24"/>
        </w:rPr>
        <w:t>of Medicaid payments for each locality tax;</w:t>
      </w:r>
    </w:p>
    <w:p>
      <w:pPr>
        <w:pStyle w:val="BodyText"/>
        <w:spacing w:before="10"/>
        <w:rPr>
          <w:sz w:val="20"/>
        </w:rPr>
      </w:pPr>
    </w:p>
    <w:p>
      <w:pPr>
        <w:pStyle w:val="ListParagraph"/>
        <w:numPr>
          <w:ilvl w:val="0"/>
          <w:numId w:val="47"/>
        </w:numPr>
        <w:tabs>
          <w:tab w:pos="1411" w:val="left" w:leader="none"/>
        </w:tabs>
        <w:spacing w:line="240" w:lineRule="auto" w:before="0" w:after="0"/>
        <w:ind w:left="1411" w:right="1167" w:hanging="360"/>
        <w:jc w:val="left"/>
        <w:rPr>
          <w:sz w:val="24"/>
        </w:rPr>
      </w:pPr>
      <w:bookmarkStart w:name="g. The monitoring plan for the taxing ar" w:id="1025"/>
      <w:bookmarkEnd w:id="1025"/>
      <w:r>
        <w:rPr/>
      </w:r>
      <w:r>
        <w:rPr>
          <w:sz w:val="24"/>
        </w:rPr>
        <w:t>The</w:t>
      </w:r>
      <w:r>
        <w:rPr>
          <w:spacing w:val="-4"/>
          <w:sz w:val="24"/>
        </w:rPr>
        <w:t> </w:t>
      </w:r>
      <w:r>
        <w:rPr>
          <w:sz w:val="24"/>
        </w:rPr>
        <w:t>monitoring</w:t>
      </w:r>
      <w:r>
        <w:rPr>
          <w:spacing w:val="-6"/>
          <w:sz w:val="24"/>
        </w:rPr>
        <w:t> </w:t>
      </w:r>
      <w:r>
        <w:rPr>
          <w:sz w:val="24"/>
        </w:rPr>
        <w:t>plan</w:t>
      </w:r>
      <w:r>
        <w:rPr>
          <w:spacing w:val="-3"/>
          <w:sz w:val="24"/>
        </w:rPr>
        <w:t> </w:t>
      </w:r>
      <w:r>
        <w:rPr>
          <w:sz w:val="24"/>
        </w:rPr>
        <w:t>for</w:t>
      </w:r>
      <w:r>
        <w:rPr>
          <w:spacing w:val="-4"/>
          <w:sz w:val="24"/>
        </w:rPr>
        <w:t> </w:t>
      </w:r>
      <w:r>
        <w:rPr>
          <w:sz w:val="24"/>
        </w:rPr>
        <w:t>the</w:t>
      </w:r>
      <w:r>
        <w:rPr>
          <w:spacing w:val="-4"/>
          <w:sz w:val="24"/>
        </w:rPr>
        <w:t> </w:t>
      </w:r>
      <w:r>
        <w:rPr>
          <w:sz w:val="24"/>
        </w:rPr>
        <w:t>taxing</w:t>
      </w:r>
      <w:r>
        <w:rPr>
          <w:spacing w:val="-6"/>
          <w:sz w:val="24"/>
        </w:rPr>
        <w:t> </w:t>
      </w:r>
      <w:r>
        <w:rPr>
          <w:sz w:val="24"/>
        </w:rPr>
        <w:t>arrangement</w:t>
      </w:r>
      <w:r>
        <w:rPr>
          <w:spacing w:val="-3"/>
          <w:sz w:val="24"/>
        </w:rPr>
        <w:t> </w:t>
      </w:r>
      <w:r>
        <w:rPr>
          <w:sz w:val="24"/>
        </w:rPr>
        <w:t>to</w:t>
      </w:r>
      <w:r>
        <w:rPr>
          <w:spacing w:val="-1"/>
          <w:sz w:val="24"/>
        </w:rPr>
        <w:t> </w:t>
      </w:r>
      <w:r>
        <w:rPr>
          <w:sz w:val="24"/>
        </w:rPr>
        <w:t>ensure</w:t>
      </w:r>
      <w:r>
        <w:rPr>
          <w:spacing w:val="-4"/>
          <w:sz w:val="24"/>
        </w:rPr>
        <w:t> </w:t>
      </w:r>
      <w:r>
        <w:rPr>
          <w:sz w:val="24"/>
        </w:rPr>
        <w:t>that</w:t>
      </w:r>
      <w:r>
        <w:rPr>
          <w:spacing w:val="-3"/>
          <w:sz w:val="24"/>
        </w:rPr>
        <w:t> </w:t>
      </w:r>
      <w:r>
        <w:rPr>
          <w:sz w:val="24"/>
        </w:rPr>
        <w:t>the</w:t>
      </w:r>
      <w:r>
        <w:rPr>
          <w:spacing w:val="-4"/>
          <w:sz w:val="24"/>
        </w:rPr>
        <w:t> </w:t>
      </w:r>
      <w:r>
        <w:rPr>
          <w:sz w:val="24"/>
        </w:rPr>
        <w:t>tax</w:t>
      </w:r>
      <w:r>
        <w:rPr>
          <w:spacing w:val="-1"/>
          <w:sz w:val="24"/>
        </w:rPr>
        <w:t> </w:t>
      </w:r>
      <w:r>
        <w:rPr>
          <w:sz w:val="24"/>
        </w:rPr>
        <w:t>complies</w:t>
      </w:r>
      <w:r>
        <w:rPr>
          <w:spacing w:val="-3"/>
          <w:sz w:val="24"/>
        </w:rPr>
        <w:t> </w:t>
      </w:r>
      <w:r>
        <w:rPr>
          <w:sz w:val="24"/>
        </w:rPr>
        <w:t>with section 1903(w)(4) of the Act and 42 CFR 433.68(f); and</w:t>
      </w:r>
    </w:p>
    <w:p>
      <w:pPr>
        <w:pStyle w:val="BodyText"/>
        <w:spacing w:before="10"/>
        <w:rPr>
          <w:sz w:val="20"/>
        </w:rPr>
      </w:pPr>
    </w:p>
    <w:p>
      <w:pPr>
        <w:pStyle w:val="ListParagraph"/>
        <w:numPr>
          <w:ilvl w:val="0"/>
          <w:numId w:val="47"/>
        </w:numPr>
        <w:tabs>
          <w:tab w:pos="1411" w:val="left" w:leader="none"/>
        </w:tabs>
        <w:spacing w:line="240" w:lineRule="auto" w:before="1" w:after="0"/>
        <w:ind w:left="1411" w:right="1205" w:hanging="360"/>
        <w:jc w:val="left"/>
        <w:rPr>
          <w:sz w:val="24"/>
        </w:rPr>
      </w:pPr>
      <w:bookmarkStart w:name="h. Information on whether the Commonweal" w:id="1026"/>
      <w:bookmarkEnd w:id="1026"/>
      <w:r>
        <w:rPr/>
      </w:r>
      <w:r>
        <w:rPr>
          <w:sz w:val="24"/>
        </w:rPr>
        <w:t>Information</w:t>
      </w:r>
      <w:r>
        <w:rPr>
          <w:spacing w:val="-3"/>
          <w:sz w:val="24"/>
        </w:rPr>
        <w:t> </w:t>
      </w:r>
      <w:r>
        <w:rPr>
          <w:sz w:val="24"/>
        </w:rPr>
        <w:t>on</w:t>
      </w:r>
      <w:r>
        <w:rPr>
          <w:spacing w:val="-3"/>
          <w:sz w:val="24"/>
        </w:rPr>
        <w:t> </w:t>
      </w:r>
      <w:r>
        <w:rPr>
          <w:sz w:val="24"/>
        </w:rPr>
        <w:t>whether</w:t>
      </w:r>
      <w:r>
        <w:rPr>
          <w:spacing w:val="-4"/>
          <w:sz w:val="24"/>
        </w:rPr>
        <w:t> </w:t>
      </w:r>
      <w:r>
        <w:rPr>
          <w:sz w:val="24"/>
        </w:rPr>
        <w:t>the</w:t>
      </w:r>
      <w:r>
        <w:rPr>
          <w:spacing w:val="-4"/>
          <w:sz w:val="24"/>
        </w:rPr>
        <w:t> </w:t>
      </w:r>
      <w:r>
        <w:rPr>
          <w:sz w:val="24"/>
        </w:rPr>
        <w:t>Commonwealth</w:t>
      </w:r>
      <w:r>
        <w:rPr>
          <w:spacing w:val="-3"/>
          <w:sz w:val="24"/>
        </w:rPr>
        <w:t> </w:t>
      </w:r>
      <w:r>
        <w:rPr>
          <w:sz w:val="24"/>
        </w:rPr>
        <w:t>will</w:t>
      </w:r>
      <w:r>
        <w:rPr>
          <w:spacing w:val="-3"/>
          <w:sz w:val="24"/>
        </w:rPr>
        <w:t> </w:t>
      </w:r>
      <w:r>
        <w:rPr>
          <w:sz w:val="24"/>
        </w:rPr>
        <w:t>be</w:t>
      </w:r>
      <w:r>
        <w:rPr>
          <w:spacing w:val="-4"/>
          <w:sz w:val="24"/>
        </w:rPr>
        <w:t> </w:t>
      </w:r>
      <w:r>
        <w:rPr>
          <w:sz w:val="24"/>
        </w:rPr>
        <w:t>reporting</w:t>
      </w:r>
      <w:r>
        <w:rPr>
          <w:spacing w:val="-6"/>
          <w:sz w:val="24"/>
        </w:rPr>
        <w:t> </w:t>
      </w:r>
      <w:r>
        <w:rPr>
          <w:sz w:val="24"/>
        </w:rPr>
        <w:t>the</w:t>
      </w:r>
      <w:r>
        <w:rPr>
          <w:spacing w:val="-2"/>
          <w:sz w:val="24"/>
        </w:rPr>
        <w:t> </w:t>
      </w:r>
      <w:r>
        <w:rPr>
          <w:sz w:val="24"/>
        </w:rPr>
        <w:t>assessment</w:t>
      </w:r>
      <w:r>
        <w:rPr>
          <w:spacing w:val="-3"/>
          <w:sz w:val="24"/>
        </w:rPr>
        <w:t> </w:t>
      </w:r>
      <w:r>
        <w:rPr>
          <w:sz w:val="24"/>
        </w:rPr>
        <w:t>on</w:t>
      </w:r>
      <w:r>
        <w:rPr>
          <w:spacing w:val="-3"/>
          <w:sz w:val="24"/>
        </w:rPr>
        <w:t> </w:t>
      </w:r>
      <w:r>
        <w:rPr>
          <w:sz w:val="24"/>
        </w:rPr>
        <w:t>the CMS form 64.11A as required under section 1903(w) of the Act.</w:t>
      </w:r>
    </w:p>
    <w:p>
      <w:pPr>
        <w:pStyle w:val="BodyText"/>
        <w:spacing w:before="9"/>
        <w:rPr>
          <w:sz w:val="20"/>
        </w:rPr>
      </w:pPr>
    </w:p>
    <w:p>
      <w:pPr>
        <w:pStyle w:val="BodyText"/>
        <w:spacing w:before="1"/>
        <w:ind w:left="871" w:right="1059"/>
      </w:pPr>
      <w:r>
        <w:rPr/>
        <w:drawing>
          <wp:anchor distT="0" distB="0" distL="0" distR="0" allowOverlap="1" layoutInCell="1" locked="0" behindDoc="0" simplePos="0" relativeHeight="16087552">
            <wp:simplePos x="0" y="0"/>
            <wp:positionH relativeFrom="page">
              <wp:posOffset>908303</wp:posOffset>
            </wp:positionH>
            <wp:positionV relativeFrom="paragraph">
              <wp:posOffset>36234</wp:posOffset>
            </wp:positionV>
            <wp:extent cx="283463" cy="112775"/>
            <wp:effectExtent l="0" t="0" r="0" b="0"/>
            <wp:wrapNone/>
            <wp:docPr id="713" name="Image 713"/>
            <wp:cNvGraphicFramePr>
              <a:graphicFrameLocks/>
            </wp:cNvGraphicFramePr>
            <a:graphic>
              <a:graphicData uri="http://schemas.openxmlformats.org/drawingml/2006/picture">
                <pic:pic>
                  <pic:nvPicPr>
                    <pic:cNvPr id="713" name="Image 713"/>
                    <pic:cNvPicPr/>
                  </pic:nvPicPr>
                  <pic:blipFill>
                    <a:blip r:embed="rId277" cstate="print"/>
                    <a:stretch>
                      <a:fillRect/>
                    </a:stretch>
                  </pic:blipFill>
                  <pic:spPr>
                    <a:xfrm>
                      <a:off x="0" y="0"/>
                      <a:ext cx="283463" cy="112775"/>
                    </a:xfrm>
                    <a:prstGeom prst="rect">
                      <a:avLst/>
                    </a:prstGeom>
                  </pic:spPr>
                </pic:pic>
              </a:graphicData>
            </a:graphic>
          </wp:anchor>
        </w:drawing>
      </w:r>
      <w:bookmarkStart w:name="18.8. Extent of Federal Financial Partic" w:id="1027"/>
      <w:bookmarkEnd w:id="1027"/>
      <w:r>
        <w:rPr/>
      </w:r>
      <w:r>
        <w:rPr>
          <w:b/>
        </w:rPr>
        <w:t>Extent of Federal Financial Participation for the Demonstration.</w:t>
      </w:r>
      <w:r>
        <w:rPr>
          <w:b/>
          <w:spacing w:val="40"/>
        </w:rPr>
        <w:t> </w:t>
      </w:r>
      <w:r>
        <w:rPr/>
        <w:t>Subject to CMS approval</w:t>
      </w:r>
      <w:r>
        <w:rPr>
          <w:spacing w:val="-3"/>
        </w:rPr>
        <w:t> </w:t>
      </w:r>
      <w:r>
        <w:rPr/>
        <w:t>of</w:t>
      </w:r>
      <w:r>
        <w:rPr>
          <w:spacing w:val="-4"/>
        </w:rPr>
        <w:t> </w:t>
      </w:r>
      <w:r>
        <w:rPr/>
        <w:t>the</w:t>
      </w:r>
      <w:r>
        <w:rPr>
          <w:spacing w:val="-4"/>
        </w:rPr>
        <w:t> </w:t>
      </w:r>
      <w:r>
        <w:rPr/>
        <w:t>source(s)</w:t>
      </w:r>
      <w:r>
        <w:rPr>
          <w:spacing w:val="-2"/>
        </w:rPr>
        <w:t> </w:t>
      </w:r>
      <w:r>
        <w:rPr/>
        <w:t>of</w:t>
      </w:r>
      <w:r>
        <w:rPr>
          <w:spacing w:val="-4"/>
        </w:rPr>
        <w:t> </w:t>
      </w:r>
      <w:r>
        <w:rPr/>
        <w:t>the</w:t>
      </w:r>
      <w:r>
        <w:rPr>
          <w:spacing w:val="-4"/>
        </w:rPr>
        <w:t> </w:t>
      </w:r>
      <w:r>
        <w:rPr/>
        <w:t>non-federal</w:t>
      </w:r>
      <w:r>
        <w:rPr>
          <w:spacing w:val="-3"/>
        </w:rPr>
        <w:t> </w:t>
      </w:r>
      <w:r>
        <w:rPr/>
        <w:t>share</w:t>
      </w:r>
      <w:r>
        <w:rPr>
          <w:spacing w:val="-2"/>
        </w:rPr>
        <w:t> </w:t>
      </w:r>
      <w:r>
        <w:rPr/>
        <w:t>of</w:t>
      </w:r>
      <w:r>
        <w:rPr>
          <w:spacing w:val="-4"/>
        </w:rPr>
        <w:t> </w:t>
      </w:r>
      <w:r>
        <w:rPr/>
        <w:t>funding,</w:t>
      </w:r>
      <w:r>
        <w:rPr>
          <w:spacing w:val="-3"/>
        </w:rPr>
        <w:t> </w:t>
      </w:r>
      <w:r>
        <w:rPr/>
        <w:t>CMS</w:t>
      </w:r>
      <w:r>
        <w:rPr>
          <w:spacing w:val="-3"/>
        </w:rPr>
        <w:t> </w:t>
      </w:r>
      <w:r>
        <w:rPr/>
        <w:t>will</w:t>
      </w:r>
      <w:r>
        <w:rPr>
          <w:spacing w:val="-3"/>
        </w:rPr>
        <w:t> </w:t>
      </w:r>
      <w:r>
        <w:rPr/>
        <w:t>provide</w:t>
      </w:r>
      <w:r>
        <w:rPr>
          <w:spacing w:val="-4"/>
        </w:rPr>
        <w:t> </w:t>
      </w:r>
      <w:r>
        <w:rPr/>
        <w:t>FFP</w:t>
      </w:r>
      <w:r>
        <w:rPr>
          <w:spacing w:val="-3"/>
        </w:rPr>
        <w:t> </w:t>
      </w:r>
      <w:r>
        <w:rPr/>
        <w:t>at</w:t>
      </w:r>
      <w:r>
        <w:rPr>
          <w:spacing w:val="-3"/>
        </w:rPr>
        <w:t> </w:t>
      </w:r>
      <w:r>
        <w:rPr/>
        <w:t>the applicable federal matching rate for the following demonstration expenditures, subject to the budget neutrality expenditure limits described in the STCs in section 19:</w:t>
      </w:r>
    </w:p>
    <w:p>
      <w:pPr>
        <w:pStyle w:val="BodyText"/>
        <w:spacing w:before="10"/>
        <w:rPr>
          <w:sz w:val="20"/>
        </w:rPr>
      </w:pPr>
    </w:p>
    <w:p>
      <w:pPr>
        <w:pStyle w:val="BodyText"/>
        <w:ind w:left="1411" w:right="1059"/>
      </w:pPr>
      <w:r>
        <w:rPr/>
        <w:drawing>
          <wp:anchor distT="0" distB="0" distL="0" distR="0" allowOverlap="1" layoutInCell="1" locked="0" behindDoc="0" simplePos="0" relativeHeight="16088064">
            <wp:simplePos x="0" y="0"/>
            <wp:positionH relativeFrom="page">
              <wp:posOffset>1431036</wp:posOffset>
            </wp:positionH>
            <wp:positionV relativeFrom="paragraph">
              <wp:posOffset>67616</wp:posOffset>
            </wp:positionV>
            <wp:extent cx="96011" cy="80759"/>
            <wp:effectExtent l="0" t="0" r="0" b="0"/>
            <wp:wrapNone/>
            <wp:docPr id="714" name="Image 714"/>
            <wp:cNvGraphicFramePr>
              <a:graphicFrameLocks/>
            </wp:cNvGraphicFramePr>
            <a:graphic>
              <a:graphicData uri="http://schemas.openxmlformats.org/drawingml/2006/picture">
                <pic:pic>
                  <pic:nvPicPr>
                    <pic:cNvPr id="714" name="Image 714"/>
                    <pic:cNvPicPr/>
                  </pic:nvPicPr>
                  <pic:blipFill>
                    <a:blip r:embed="rId40" cstate="print"/>
                    <a:stretch>
                      <a:fillRect/>
                    </a:stretch>
                  </pic:blipFill>
                  <pic:spPr>
                    <a:xfrm>
                      <a:off x="0" y="0"/>
                      <a:ext cx="96011" cy="80759"/>
                    </a:xfrm>
                    <a:prstGeom prst="rect">
                      <a:avLst/>
                    </a:prstGeom>
                  </pic:spPr>
                </pic:pic>
              </a:graphicData>
            </a:graphic>
          </wp:anchor>
        </w:drawing>
      </w:r>
      <w:bookmarkStart w:name="a. Administrative costs, including those" w:id="1028"/>
      <w:bookmarkEnd w:id="1028"/>
      <w:r>
        <w:rPr/>
      </w:r>
      <w:r>
        <w:rPr/>
        <w:t>Administrative</w:t>
      </w:r>
      <w:r>
        <w:rPr>
          <w:spacing w:val="-5"/>
        </w:rPr>
        <w:t> </w:t>
      </w:r>
      <w:r>
        <w:rPr/>
        <w:t>costs,</w:t>
      </w:r>
      <w:r>
        <w:rPr>
          <w:spacing w:val="-4"/>
        </w:rPr>
        <w:t> </w:t>
      </w:r>
      <w:r>
        <w:rPr/>
        <w:t>including</w:t>
      </w:r>
      <w:r>
        <w:rPr>
          <w:spacing w:val="-7"/>
        </w:rPr>
        <w:t> </w:t>
      </w:r>
      <w:r>
        <w:rPr/>
        <w:t>those</w:t>
      </w:r>
      <w:r>
        <w:rPr>
          <w:spacing w:val="-5"/>
        </w:rPr>
        <w:t> </w:t>
      </w:r>
      <w:r>
        <w:rPr/>
        <w:t>associated</w:t>
      </w:r>
      <w:r>
        <w:rPr>
          <w:spacing w:val="-2"/>
        </w:rPr>
        <w:t> </w:t>
      </w:r>
      <w:r>
        <w:rPr/>
        <w:t>with</w:t>
      </w:r>
      <w:r>
        <w:rPr>
          <w:spacing w:val="-5"/>
        </w:rPr>
        <w:t> </w:t>
      </w:r>
      <w:r>
        <w:rPr/>
        <w:t>the</w:t>
      </w:r>
      <w:r>
        <w:rPr>
          <w:spacing w:val="-5"/>
        </w:rPr>
        <w:t> </w:t>
      </w:r>
      <w:r>
        <w:rPr/>
        <w:t>administration</w:t>
      </w:r>
      <w:r>
        <w:rPr>
          <w:spacing w:val="-4"/>
        </w:rPr>
        <w:t> </w:t>
      </w:r>
      <w:r>
        <w:rPr/>
        <w:t>of</w:t>
      </w:r>
      <w:r>
        <w:rPr>
          <w:spacing w:val="-5"/>
        </w:rPr>
        <w:t> </w:t>
      </w:r>
      <w:r>
        <w:rPr/>
        <w:t>the </w:t>
      </w:r>
      <w:r>
        <w:rPr>
          <w:spacing w:val="-2"/>
        </w:rPr>
        <w:t>demonstration;</w:t>
      </w:r>
    </w:p>
    <w:p>
      <w:pPr>
        <w:pStyle w:val="BodyText"/>
        <w:spacing w:before="10"/>
        <w:rPr>
          <w:sz w:val="20"/>
        </w:rPr>
      </w:pPr>
    </w:p>
    <w:p>
      <w:pPr>
        <w:pStyle w:val="BodyText"/>
        <w:ind w:left="1411" w:right="1059"/>
      </w:pPr>
      <w:r>
        <w:rPr/>
        <w:drawing>
          <wp:anchor distT="0" distB="0" distL="0" distR="0" allowOverlap="1" layoutInCell="1" locked="0" behindDoc="0" simplePos="0" relativeHeight="16088576">
            <wp:simplePos x="0" y="0"/>
            <wp:positionH relativeFrom="page">
              <wp:posOffset>1424939</wp:posOffset>
            </wp:positionH>
            <wp:positionV relativeFrom="paragraph">
              <wp:posOffset>32551</wp:posOffset>
            </wp:positionV>
            <wp:extent cx="111251" cy="115823"/>
            <wp:effectExtent l="0" t="0" r="0" b="0"/>
            <wp:wrapNone/>
            <wp:docPr id="715" name="Image 715"/>
            <wp:cNvGraphicFramePr>
              <a:graphicFrameLocks/>
            </wp:cNvGraphicFramePr>
            <a:graphic>
              <a:graphicData uri="http://schemas.openxmlformats.org/drawingml/2006/picture">
                <pic:pic>
                  <pic:nvPicPr>
                    <pic:cNvPr id="715" name="Image 715"/>
                    <pic:cNvPicPr/>
                  </pic:nvPicPr>
                  <pic:blipFill>
                    <a:blip r:embed="rId34" cstate="print"/>
                    <a:stretch>
                      <a:fillRect/>
                    </a:stretch>
                  </pic:blipFill>
                  <pic:spPr>
                    <a:xfrm>
                      <a:off x="0" y="0"/>
                      <a:ext cx="111251" cy="115823"/>
                    </a:xfrm>
                    <a:prstGeom prst="rect">
                      <a:avLst/>
                    </a:prstGeom>
                  </pic:spPr>
                </pic:pic>
              </a:graphicData>
            </a:graphic>
          </wp:anchor>
        </w:drawing>
      </w:r>
      <w:bookmarkStart w:name="b. Net expenditures and prior period adj" w:id="1029"/>
      <w:bookmarkEnd w:id="1029"/>
      <w:r>
        <w:rPr/>
      </w:r>
      <w:r>
        <w:rPr/>
        <w:t>Net</w:t>
      </w:r>
      <w:r>
        <w:rPr>
          <w:spacing w:val="-4"/>
        </w:rPr>
        <w:t> </w:t>
      </w:r>
      <w:r>
        <w:rPr/>
        <w:t>expenditures</w:t>
      </w:r>
      <w:r>
        <w:rPr>
          <w:spacing w:val="-4"/>
        </w:rPr>
        <w:t> </w:t>
      </w:r>
      <w:r>
        <w:rPr/>
        <w:t>and</w:t>
      </w:r>
      <w:r>
        <w:rPr>
          <w:spacing w:val="-4"/>
        </w:rPr>
        <w:t> </w:t>
      </w:r>
      <w:r>
        <w:rPr/>
        <w:t>prior</w:t>
      </w:r>
      <w:r>
        <w:rPr>
          <w:spacing w:val="-4"/>
        </w:rPr>
        <w:t> </w:t>
      </w:r>
      <w:r>
        <w:rPr/>
        <w:t>period</w:t>
      </w:r>
      <w:r>
        <w:rPr>
          <w:spacing w:val="-4"/>
        </w:rPr>
        <w:t> </w:t>
      </w:r>
      <w:r>
        <w:rPr/>
        <w:t>adjustments</w:t>
      </w:r>
      <w:r>
        <w:rPr>
          <w:spacing w:val="-4"/>
        </w:rPr>
        <w:t> </w:t>
      </w:r>
      <w:r>
        <w:rPr/>
        <w:t>of</w:t>
      </w:r>
      <w:r>
        <w:rPr>
          <w:spacing w:val="-3"/>
        </w:rPr>
        <w:t> </w:t>
      </w:r>
      <w:r>
        <w:rPr/>
        <w:t>the</w:t>
      </w:r>
      <w:r>
        <w:rPr>
          <w:spacing w:val="-4"/>
        </w:rPr>
        <w:t> </w:t>
      </w:r>
      <w:r>
        <w:rPr/>
        <w:t>Medicaid</w:t>
      </w:r>
      <w:r>
        <w:rPr>
          <w:spacing w:val="-4"/>
        </w:rPr>
        <w:t> </w:t>
      </w:r>
      <w:r>
        <w:rPr/>
        <w:t>program</w:t>
      </w:r>
      <w:r>
        <w:rPr>
          <w:spacing w:val="-4"/>
        </w:rPr>
        <w:t> </w:t>
      </w:r>
      <w:r>
        <w:rPr/>
        <w:t>that</w:t>
      </w:r>
      <w:r>
        <w:rPr>
          <w:spacing w:val="-4"/>
        </w:rPr>
        <w:t> </w:t>
      </w:r>
      <w:r>
        <w:rPr/>
        <w:t>are</w:t>
      </w:r>
      <w:r>
        <w:rPr>
          <w:spacing w:val="-4"/>
        </w:rPr>
        <w:t> </w:t>
      </w:r>
      <w:r>
        <w:rPr/>
        <w:t>paid in accordance with the approved Medicaid state plan; and</w:t>
      </w:r>
    </w:p>
    <w:p>
      <w:pPr>
        <w:pStyle w:val="BodyText"/>
        <w:spacing w:before="10"/>
        <w:rPr>
          <w:sz w:val="20"/>
        </w:rPr>
      </w:pPr>
    </w:p>
    <w:p>
      <w:pPr>
        <w:pStyle w:val="BodyText"/>
        <w:ind w:left="1411" w:right="1059"/>
      </w:pPr>
      <w:r>
        <w:rPr/>
        <w:drawing>
          <wp:anchor distT="0" distB="0" distL="0" distR="0" allowOverlap="1" layoutInCell="1" locked="0" behindDoc="0" simplePos="0" relativeHeight="16089088">
            <wp:simplePos x="0" y="0"/>
            <wp:positionH relativeFrom="page">
              <wp:posOffset>1431036</wp:posOffset>
            </wp:positionH>
            <wp:positionV relativeFrom="paragraph">
              <wp:posOffset>67616</wp:posOffset>
            </wp:positionV>
            <wp:extent cx="96011" cy="80759"/>
            <wp:effectExtent l="0" t="0" r="0" b="0"/>
            <wp:wrapNone/>
            <wp:docPr id="716" name="Image 716"/>
            <wp:cNvGraphicFramePr>
              <a:graphicFrameLocks/>
            </wp:cNvGraphicFramePr>
            <a:graphic>
              <a:graphicData uri="http://schemas.openxmlformats.org/drawingml/2006/picture">
                <pic:pic>
                  <pic:nvPicPr>
                    <pic:cNvPr id="716" name="Image 716"/>
                    <pic:cNvPicPr/>
                  </pic:nvPicPr>
                  <pic:blipFill>
                    <a:blip r:embed="rId35" cstate="print"/>
                    <a:stretch>
                      <a:fillRect/>
                    </a:stretch>
                  </pic:blipFill>
                  <pic:spPr>
                    <a:xfrm>
                      <a:off x="0" y="0"/>
                      <a:ext cx="96011" cy="80759"/>
                    </a:xfrm>
                    <a:prstGeom prst="rect">
                      <a:avLst/>
                    </a:prstGeom>
                  </pic:spPr>
                </pic:pic>
              </a:graphicData>
            </a:graphic>
          </wp:anchor>
        </w:drawing>
      </w:r>
      <w:bookmarkStart w:name="c. Medical assistance expenditures and p" w:id="1030"/>
      <w:bookmarkEnd w:id="1030"/>
      <w:r>
        <w:rPr/>
      </w:r>
      <w:r>
        <w:rPr/>
        <w:t>Medical</w:t>
      </w:r>
      <w:r>
        <w:rPr>
          <w:spacing w:val="-4"/>
        </w:rPr>
        <w:t> </w:t>
      </w:r>
      <w:r>
        <w:rPr/>
        <w:t>assistance</w:t>
      </w:r>
      <w:r>
        <w:rPr>
          <w:spacing w:val="-5"/>
        </w:rPr>
        <w:t> </w:t>
      </w:r>
      <w:r>
        <w:rPr/>
        <w:t>expenditures</w:t>
      </w:r>
      <w:r>
        <w:rPr>
          <w:spacing w:val="-4"/>
        </w:rPr>
        <w:t> </w:t>
      </w:r>
      <w:r>
        <w:rPr/>
        <w:t>and</w:t>
      </w:r>
      <w:r>
        <w:rPr>
          <w:spacing w:val="-4"/>
        </w:rPr>
        <w:t> </w:t>
      </w:r>
      <w:r>
        <w:rPr/>
        <w:t>prior</w:t>
      </w:r>
      <w:r>
        <w:rPr>
          <w:spacing w:val="-5"/>
        </w:rPr>
        <w:t> </w:t>
      </w:r>
      <w:r>
        <w:rPr/>
        <w:t>period</w:t>
      </w:r>
      <w:r>
        <w:rPr>
          <w:spacing w:val="-4"/>
        </w:rPr>
        <w:t> </w:t>
      </w:r>
      <w:r>
        <w:rPr/>
        <w:t>adjustments</w:t>
      </w:r>
      <w:r>
        <w:rPr>
          <w:spacing w:val="-4"/>
        </w:rPr>
        <w:t> </w:t>
      </w:r>
      <w:r>
        <w:rPr/>
        <w:t>made</w:t>
      </w:r>
      <w:r>
        <w:rPr>
          <w:spacing w:val="-5"/>
        </w:rPr>
        <w:t> </w:t>
      </w:r>
      <w:r>
        <w:rPr/>
        <w:t>under</w:t>
      </w:r>
      <w:r>
        <w:rPr>
          <w:spacing w:val="-5"/>
        </w:rPr>
        <w:t> </w:t>
      </w:r>
      <w:r>
        <w:rPr/>
        <w:t>section 1115 demonstration authority with dates of service during the demonstration</w:t>
      </w:r>
    </w:p>
    <w:p>
      <w:pPr>
        <w:spacing w:after="0"/>
        <w:sectPr>
          <w:pgSz w:w="12240" w:h="15840"/>
          <w:pgMar w:header="0" w:footer="1201" w:top="1360" w:bottom="1400" w:left="1200" w:right="400"/>
        </w:sectPr>
      </w:pPr>
    </w:p>
    <w:p>
      <w:pPr>
        <w:pStyle w:val="BodyText"/>
        <w:spacing w:before="79"/>
        <w:ind w:left="1411" w:right="1059"/>
      </w:pPr>
      <w:r>
        <w:rPr/>
        <w:t>extension</w:t>
      </w:r>
      <w:r>
        <w:rPr>
          <w:spacing w:val="-3"/>
        </w:rPr>
        <w:t> </w:t>
      </w:r>
      <w:r>
        <w:rPr/>
        <w:t>period;</w:t>
      </w:r>
      <w:r>
        <w:rPr>
          <w:spacing w:val="-3"/>
        </w:rPr>
        <w:t> </w:t>
      </w:r>
      <w:r>
        <w:rPr/>
        <w:t>including</w:t>
      </w:r>
      <w:r>
        <w:rPr>
          <w:spacing w:val="-6"/>
        </w:rPr>
        <w:t> </w:t>
      </w:r>
      <w:r>
        <w:rPr/>
        <w:t>those</w:t>
      </w:r>
      <w:r>
        <w:rPr>
          <w:spacing w:val="-4"/>
        </w:rPr>
        <w:t> </w:t>
      </w:r>
      <w:r>
        <w:rPr/>
        <w:t>made</w:t>
      </w:r>
      <w:r>
        <w:rPr>
          <w:spacing w:val="-4"/>
        </w:rPr>
        <w:t> </w:t>
      </w:r>
      <w:r>
        <w:rPr/>
        <w:t>in</w:t>
      </w:r>
      <w:r>
        <w:rPr>
          <w:spacing w:val="-3"/>
        </w:rPr>
        <w:t> </w:t>
      </w:r>
      <w:r>
        <w:rPr/>
        <w:t>conjunction</w:t>
      </w:r>
      <w:r>
        <w:rPr>
          <w:spacing w:val="-3"/>
        </w:rPr>
        <w:t> </w:t>
      </w:r>
      <w:r>
        <w:rPr/>
        <w:t>with</w:t>
      </w:r>
      <w:r>
        <w:rPr>
          <w:spacing w:val="-3"/>
        </w:rPr>
        <w:t> </w:t>
      </w:r>
      <w:r>
        <w:rPr/>
        <w:t>the</w:t>
      </w:r>
      <w:r>
        <w:rPr>
          <w:spacing w:val="-4"/>
        </w:rPr>
        <w:t> </w:t>
      </w:r>
      <w:r>
        <w:rPr/>
        <w:t>demonstration,</w:t>
      </w:r>
      <w:r>
        <w:rPr>
          <w:spacing w:val="-3"/>
        </w:rPr>
        <w:t> </w:t>
      </w:r>
      <w:r>
        <w:rPr/>
        <w:t>net</w:t>
      </w:r>
      <w:r>
        <w:rPr>
          <w:spacing w:val="-3"/>
        </w:rPr>
        <w:t> </w:t>
      </w:r>
      <w:r>
        <w:rPr/>
        <w:t>of enrollment fees, cost sharing, pharmacy rebates, and all other types of third party </w:t>
      </w:r>
      <w:r>
        <w:rPr>
          <w:spacing w:val="-2"/>
        </w:rPr>
        <w:t>liability.</w:t>
      </w:r>
    </w:p>
    <w:p>
      <w:pPr>
        <w:pStyle w:val="BodyText"/>
        <w:spacing w:before="10"/>
        <w:rPr>
          <w:sz w:val="20"/>
        </w:rPr>
      </w:pPr>
    </w:p>
    <w:p>
      <w:pPr>
        <w:pStyle w:val="BodyText"/>
        <w:ind w:left="871" w:right="1141"/>
      </w:pPr>
      <w:r>
        <w:rPr/>
        <w:drawing>
          <wp:anchor distT="0" distB="0" distL="0" distR="0" allowOverlap="1" layoutInCell="1" locked="0" behindDoc="0" simplePos="0" relativeHeight="16089600">
            <wp:simplePos x="0" y="0"/>
            <wp:positionH relativeFrom="page">
              <wp:posOffset>908303</wp:posOffset>
            </wp:positionH>
            <wp:positionV relativeFrom="paragraph">
              <wp:posOffset>35600</wp:posOffset>
            </wp:positionV>
            <wp:extent cx="283463" cy="112775"/>
            <wp:effectExtent l="0" t="0" r="0" b="0"/>
            <wp:wrapNone/>
            <wp:docPr id="717" name="Image 717"/>
            <wp:cNvGraphicFramePr>
              <a:graphicFrameLocks/>
            </wp:cNvGraphicFramePr>
            <a:graphic>
              <a:graphicData uri="http://schemas.openxmlformats.org/drawingml/2006/picture">
                <pic:pic>
                  <pic:nvPicPr>
                    <pic:cNvPr id="717" name="Image 717"/>
                    <pic:cNvPicPr/>
                  </pic:nvPicPr>
                  <pic:blipFill>
                    <a:blip r:embed="rId278" cstate="print"/>
                    <a:stretch>
                      <a:fillRect/>
                    </a:stretch>
                  </pic:blipFill>
                  <pic:spPr>
                    <a:xfrm>
                      <a:off x="0" y="0"/>
                      <a:ext cx="283463" cy="112775"/>
                    </a:xfrm>
                    <a:prstGeom prst="rect">
                      <a:avLst/>
                    </a:prstGeom>
                  </pic:spPr>
                </pic:pic>
              </a:graphicData>
            </a:graphic>
          </wp:anchor>
        </w:drawing>
      </w:r>
      <w:bookmarkStart w:name="18.9. Program Integrity. The Commonwealt" w:id="1031"/>
      <w:bookmarkEnd w:id="1031"/>
      <w:r>
        <w:rPr/>
      </w:r>
      <w:r>
        <w:rPr>
          <w:b/>
        </w:rPr>
        <w:t>Program Integrity. </w:t>
      </w:r>
      <w:r>
        <w:rPr/>
        <w:t>The Commonwealth must have processes in place to ensure there is no duplication of federal funding for any aspect of the demonstration.</w:t>
      </w:r>
      <w:r>
        <w:rPr>
          <w:spacing w:val="40"/>
        </w:rPr>
        <w:t> </w:t>
      </w:r>
      <w:r>
        <w:rPr/>
        <w:t>The Commonwealth must also ensure that the Commonwealth and any of its contractors follow</w:t>
      </w:r>
      <w:r>
        <w:rPr>
          <w:spacing w:val="-4"/>
        </w:rPr>
        <w:t> </w:t>
      </w:r>
      <w:r>
        <w:rPr/>
        <w:t>standard</w:t>
      </w:r>
      <w:r>
        <w:rPr>
          <w:spacing w:val="-3"/>
        </w:rPr>
        <w:t> </w:t>
      </w:r>
      <w:r>
        <w:rPr/>
        <w:t>program</w:t>
      </w:r>
      <w:r>
        <w:rPr>
          <w:spacing w:val="-1"/>
        </w:rPr>
        <w:t> </w:t>
      </w:r>
      <w:r>
        <w:rPr/>
        <w:t>integrity</w:t>
      </w:r>
      <w:r>
        <w:rPr>
          <w:spacing w:val="-8"/>
        </w:rPr>
        <w:t> </w:t>
      </w:r>
      <w:r>
        <w:rPr/>
        <w:t>principles</w:t>
      </w:r>
      <w:r>
        <w:rPr>
          <w:spacing w:val="-1"/>
        </w:rPr>
        <w:t> </w:t>
      </w:r>
      <w:r>
        <w:rPr/>
        <w:t>and</w:t>
      </w:r>
      <w:r>
        <w:rPr>
          <w:spacing w:val="-3"/>
        </w:rPr>
        <w:t> </w:t>
      </w:r>
      <w:r>
        <w:rPr/>
        <w:t>practices</w:t>
      </w:r>
      <w:r>
        <w:rPr>
          <w:spacing w:val="-3"/>
        </w:rPr>
        <w:t> </w:t>
      </w:r>
      <w:r>
        <w:rPr/>
        <w:t>including</w:t>
      </w:r>
      <w:r>
        <w:rPr>
          <w:spacing w:val="-6"/>
        </w:rPr>
        <w:t> </w:t>
      </w:r>
      <w:r>
        <w:rPr/>
        <w:t>retention</w:t>
      </w:r>
      <w:r>
        <w:rPr>
          <w:spacing w:val="-3"/>
        </w:rPr>
        <w:t> </w:t>
      </w:r>
      <w:r>
        <w:rPr/>
        <w:t>of</w:t>
      </w:r>
      <w:r>
        <w:rPr>
          <w:spacing w:val="-4"/>
        </w:rPr>
        <w:t> </w:t>
      </w:r>
      <w:r>
        <w:rPr/>
        <w:t>data.</w:t>
      </w:r>
      <w:r>
        <w:rPr>
          <w:spacing w:val="-3"/>
        </w:rPr>
        <w:t> </w:t>
      </w:r>
      <w:r>
        <w:rPr/>
        <w:t>All data, financial reporting, and sources of non-federal share are subject to audit.</w:t>
      </w:r>
    </w:p>
    <w:p>
      <w:pPr>
        <w:pStyle w:val="BodyText"/>
        <w:spacing w:before="10"/>
        <w:rPr>
          <w:sz w:val="20"/>
        </w:rPr>
      </w:pPr>
    </w:p>
    <w:p>
      <w:pPr>
        <w:pStyle w:val="BodyText"/>
        <w:ind w:left="871" w:right="1070"/>
      </w:pPr>
      <w:r>
        <w:rPr/>
        <w:drawing>
          <wp:anchor distT="0" distB="0" distL="0" distR="0" allowOverlap="1" layoutInCell="1" locked="0" behindDoc="0" simplePos="0" relativeHeight="16090112">
            <wp:simplePos x="0" y="0"/>
            <wp:positionH relativeFrom="page">
              <wp:posOffset>832103</wp:posOffset>
            </wp:positionH>
            <wp:positionV relativeFrom="paragraph">
              <wp:posOffset>35599</wp:posOffset>
            </wp:positionV>
            <wp:extent cx="359663" cy="112775"/>
            <wp:effectExtent l="0" t="0" r="0" b="0"/>
            <wp:wrapNone/>
            <wp:docPr id="718" name="Image 718"/>
            <wp:cNvGraphicFramePr>
              <a:graphicFrameLocks/>
            </wp:cNvGraphicFramePr>
            <a:graphic>
              <a:graphicData uri="http://schemas.openxmlformats.org/drawingml/2006/picture">
                <pic:pic>
                  <pic:nvPicPr>
                    <pic:cNvPr id="718" name="Image 718"/>
                    <pic:cNvPicPr/>
                  </pic:nvPicPr>
                  <pic:blipFill>
                    <a:blip r:embed="rId279" cstate="print"/>
                    <a:stretch>
                      <a:fillRect/>
                    </a:stretch>
                  </pic:blipFill>
                  <pic:spPr>
                    <a:xfrm>
                      <a:off x="0" y="0"/>
                      <a:ext cx="359663" cy="112775"/>
                    </a:xfrm>
                    <a:prstGeom prst="rect">
                      <a:avLst/>
                    </a:prstGeom>
                  </pic:spPr>
                </pic:pic>
              </a:graphicData>
            </a:graphic>
          </wp:anchor>
        </w:drawing>
      </w:r>
      <w:bookmarkStart w:name="18.10. Medicaid Expenditure Groups. Medi" w:id="1032"/>
      <w:bookmarkEnd w:id="1032"/>
      <w:r>
        <w:rPr/>
      </w:r>
      <w:r>
        <w:rPr>
          <w:b/>
        </w:rPr>
        <w:t>Medicaid Expenditure Groups. </w:t>
      </w:r>
      <w:r>
        <w:rPr/>
        <w:t>Medicaid Expenditure Groups (MEG) are defined for</w:t>
      </w:r>
      <w:r>
        <w:rPr>
          <w:spacing w:val="40"/>
        </w:rPr>
        <w:t> </w:t>
      </w:r>
      <w:r>
        <w:rPr/>
        <w:t>the</w:t>
      </w:r>
      <w:r>
        <w:rPr>
          <w:spacing w:val="-4"/>
        </w:rPr>
        <w:t> </w:t>
      </w:r>
      <w:r>
        <w:rPr/>
        <w:t>purpose</w:t>
      </w:r>
      <w:r>
        <w:rPr>
          <w:spacing w:val="-4"/>
        </w:rPr>
        <w:t> </w:t>
      </w:r>
      <w:r>
        <w:rPr/>
        <w:t>of</w:t>
      </w:r>
      <w:r>
        <w:rPr>
          <w:spacing w:val="-4"/>
        </w:rPr>
        <w:t> </w:t>
      </w:r>
      <w:r>
        <w:rPr/>
        <w:t>identifying</w:t>
      </w:r>
      <w:r>
        <w:rPr>
          <w:spacing w:val="-6"/>
        </w:rPr>
        <w:t> </w:t>
      </w:r>
      <w:r>
        <w:rPr/>
        <w:t>categories</w:t>
      </w:r>
      <w:r>
        <w:rPr>
          <w:spacing w:val="-3"/>
        </w:rPr>
        <w:t> </w:t>
      </w:r>
      <w:r>
        <w:rPr/>
        <w:t>of</w:t>
      </w:r>
      <w:r>
        <w:rPr>
          <w:spacing w:val="-4"/>
        </w:rPr>
        <w:t> </w:t>
      </w:r>
      <w:r>
        <w:rPr/>
        <w:t>Medicaid</w:t>
      </w:r>
      <w:r>
        <w:rPr>
          <w:spacing w:val="-3"/>
        </w:rPr>
        <w:t> </w:t>
      </w:r>
      <w:r>
        <w:rPr/>
        <w:t>or</w:t>
      </w:r>
      <w:r>
        <w:rPr>
          <w:spacing w:val="-4"/>
        </w:rPr>
        <w:t> </w:t>
      </w:r>
      <w:r>
        <w:rPr/>
        <w:t>demonstration</w:t>
      </w:r>
      <w:r>
        <w:rPr>
          <w:spacing w:val="-3"/>
        </w:rPr>
        <w:t> </w:t>
      </w:r>
      <w:r>
        <w:rPr/>
        <w:t>expenditures</w:t>
      </w:r>
      <w:r>
        <w:rPr>
          <w:spacing w:val="-3"/>
        </w:rPr>
        <w:t> </w:t>
      </w:r>
      <w:r>
        <w:rPr/>
        <w:t>subject</w:t>
      </w:r>
      <w:r>
        <w:rPr>
          <w:spacing w:val="-3"/>
        </w:rPr>
        <w:t> </w:t>
      </w:r>
      <w:r>
        <w:rPr/>
        <w:t>to budget neutrality, components of budget neutrality expenditure limit calculations, and other purposes related to monitoring and tracking expenditures under the demonstration.</w:t>
      </w:r>
    </w:p>
    <w:p>
      <w:pPr>
        <w:pStyle w:val="BodyText"/>
        <w:ind w:left="871" w:right="1059"/>
      </w:pPr>
      <w:r>
        <w:rPr/>
        <w:t>The</w:t>
      </w:r>
      <w:r>
        <w:rPr>
          <w:spacing w:val="-4"/>
        </w:rPr>
        <w:t> </w:t>
      </w:r>
      <w:r>
        <w:rPr/>
        <w:t>Master</w:t>
      </w:r>
      <w:r>
        <w:rPr>
          <w:spacing w:val="-4"/>
        </w:rPr>
        <w:t> </w:t>
      </w:r>
      <w:r>
        <w:rPr/>
        <w:t>MEG</w:t>
      </w:r>
      <w:r>
        <w:rPr>
          <w:spacing w:val="-4"/>
        </w:rPr>
        <w:t> </w:t>
      </w:r>
      <w:r>
        <w:rPr/>
        <w:t>Chart</w:t>
      </w:r>
      <w:r>
        <w:rPr>
          <w:spacing w:val="-3"/>
        </w:rPr>
        <w:t> </w:t>
      </w:r>
      <w:r>
        <w:rPr/>
        <w:t>table</w:t>
      </w:r>
      <w:r>
        <w:rPr>
          <w:spacing w:val="-4"/>
        </w:rPr>
        <w:t> </w:t>
      </w:r>
      <w:r>
        <w:rPr/>
        <w:t>provides</w:t>
      </w:r>
      <w:r>
        <w:rPr>
          <w:spacing w:val="-3"/>
        </w:rPr>
        <w:t> </w:t>
      </w:r>
      <w:r>
        <w:rPr/>
        <w:t>a</w:t>
      </w:r>
      <w:r>
        <w:rPr>
          <w:spacing w:val="-4"/>
        </w:rPr>
        <w:t> </w:t>
      </w:r>
      <w:r>
        <w:rPr/>
        <w:t>master</w:t>
      </w:r>
      <w:r>
        <w:rPr>
          <w:spacing w:val="-4"/>
        </w:rPr>
        <w:t> </w:t>
      </w:r>
      <w:r>
        <w:rPr/>
        <w:t>list</w:t>
      </w:r>
      <w:r>
        <w:rPr>
          <w:spacing w:val="-3"/>
        </w:rPr>
        <w:t> </w:t>
      </w:r>
      <w:r>
        <w:rPr/>
        <w:t>of</w:t>
      </w:r>
      <w:r>
        <w:rPr>
          <w:spacing w:val="-4"/>
        </w:rPr>
        <w:t> </w:t>
      </w:r>
      <w:r>
        <w:rPr/>
        <w:t>MEGs</w:t>
      </w:r>
      <w:r>
        <w:rPr>
          <w:spacing w:val="-3"/>
        </w:rPr>
        <w:t> </w:t>
      </w:r>
      <w:r>
        <w:rPr/>
        <w:t>defined</w:t>
      </w:r>
      <w:r>
        <w:rPr>
          <w:spacing w:val="-3"/>
        </w:rPr>
        <w:t> </w:t>
      </w:r>
      <w:r>
        <w:rPr/>
        <w:t>for</w:t>
      </w:r>
      <w:r>
        <w:rPr>
          <w:spacing w:val="-4"/>
        </w:rPr>
        <w:t> </w:t>
      </w:r>
      <w:r>
        <w:rPr/>
        <w:t>this </w:t>
      </w:r>
      <w:r>
        <w:rPr>
          <w:spacing w:val="-2"/>
        </w:rPr>
        <w:t>demonstration.</w:t>
      </w:r>
    </w:p>
    <w:p>
      <w:pPr>
        <w:spacing w:after="0"/>
        <w:sectPr>
          <w:pgSz w:w="12240" w:h="15840"/>
          <w:pgMar w:header="0" w:footer="1201" w:top="1360" w:bottom="1400" w:left="1200" w:right="400"/>
        </w:sectPr>
      </w:pPr>
    </w:p>
    <w:p>
      <w:pPr>
        <w:pStyle w:val="BodyText"/>
        <w:rPr>
          <w:sz w:val="20"/>
        </w:rPr>
      </w:pPr>
    </w:p>
    <w:p>
      <w:pPr>
        <w:pStyle w:val="BodyText"/>
        <w:rPr>
          <w:sz w:val="10"/>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7"/>
        <w:gridCol w:w="2244"/>
        <w:gridCol w:w="1495"/>
        <w:gridCol w:w="1670"/>
        <w:gridCol w:w="1348"/>
        <w:gridCol w:w="3899"/>
      </w:tblGrid>
      <w:tr>
        <w:trPr>
          <w:trHeight w:val="412" w:hRule="atLeast"/>
        </w:trPr>
        <w:tc>
          <w:tcPr>
            <w:tcW w:w="12893" w:type="dxa"/>
            <w:gridSpan w:val="6"/>
            <w:shd w:val="clear" w:color="auto" w:fill="DBE4F0"/>
          </w:tcPr>
          <w:p>
            <w:pPr>
              <w:pStyle w:val="TableParagraph"/>
              <w:spacing w:before="80"/>
              <w:ind w:left="5038" w:right="5024"/>
              <w:jc w:val="center"/>
              <w:rPr>
                <w:b/>
                <w:sz w:val="22"/>
              </w:rPr>
            </w:pPr>
            <w:r>
              <w:rPr>
                <w:b/>
                <w:sz w:val="22"/>
              </w:rPr>
              <w:t>Table</w:t>
            </w:r>
            <w:r>
              <w:rPr>
                <w:b/>
                <w:spacing w:val="-3"/>
                <w:sz w:val="22"/>
              </w:rPr>
              <w:t> </w:t>
            </w:r>
            <w:r>
              <w:rPr>
                <w:b/>
                <w:sz w:val="22"/>
              </w:rPr>
              <w:t>17:</w:t>
            </w:r>
            <w:r>
              <w:rPr>
                <w:b/>
                <w:spacing w:val="-2"/>
                <w:sz w:val="22"/>
              </w:rPr>
              <w:t> </w:t>
            </w:r>
            <w:r>
              <w:rPr>
                <w:b/>
                <w:sz w:val="22"/>
              </w:rPr>
              <w:t>Master</w:t>
            </w:r>
            <w:r>
              <w:rPr>
                <w:b/>
                <w:spacing w:val="-2"/>
                <w:sz w:val="22"/>
              </w:rPr>
              <w:t> </w:t>
            </w:r>
            <w:r>
              <w:rPr>
                <w:b/>
                <w:sz w:val="22"/>
              </w:rPr>
              <w:t>MEG</w:t>
            </w:r>
            <w:r>
              <w:rPr>
                <w:b/>
                <w:spacing w:val="-4"/>
                <w:sz w:val="22"/>
              </w:rPr>
              <w:t> Chart</w:t>
            </w:r>
          </w:p>
        </w:tc>
      </w:tr>
      <w:tr>
        <w:trPr>
          <w:trHeight w:val="506" w:hRule="atLeast"/>
        </w:trPr>
        <w:tc>
          <w:tcPr>
            <w:tcW w:w="2237" w:type="dxa"/>
            <w:shd w:val="clear" w:color="auto" w:fill="DBE4F0"/>
          </w:tcPr>
          <w:p>
            <w:pPr>
              <w:pStyle w:val="TableParagraph"/>
              <w:spacing w:before="125"/>
              <w:ind w:left="108" w:right="101"/>
              <w:jc w:val="center"/>
              <w:rPr>
                <w:b/>
                <w:sz w:val="22"/>
              </w:rPr>
            </w:pPr>
            <w:r>
              <w:rPr>
                <w:b/>
                <w:spacing w:val="-5"/>
                <w:sz w:val="22"/>
              </w:rPr>
              <w:t>MEG</w:t>
            </w:r>
          </w:p>
        </w:tc>
        <w:tc>
          <w:tcPr>
            <w:tcW w:w="2244" w:type="dxa"/>
            <w:shd w:val="clear" w:color="auto" w:fill="DBE4F0"/>
          </w:tcPr>
          <w:p>
            <w:pPr>
              <w:pStyle w:val="TableParagraph"/>
              <w:spacing w:line="252" w:lineRule="exact"/>
              <w:ind w:left="712" w:hanging="315"/>
              <w:rPr>
                <w:b/>
                <w:sz w:val="22"/>
              </w:rPr>
            </w:pPr>
            <w:r>
              <w:rPr>
                <w:b/>
                <w:sz w:val="22"/>
              </w:rPr>
              <w:t>Which</w:t>
            </w:r>
            <w:r>
              <w:rPr>
                <w:b/>
                <w:spacing w:val="-14"/>
                <w:sz w:val="22"/>
              </w:rPr>
              <w:t> </w:t>
            </w:r>
            <w:r>
              <w:rPr>
                <w:b/>
                <w:sz w:val="22"/>
              </w:rPr>
              <w:t>BN</w:t>
            </w:r>
            <w:r>
              <w:rPr>
                <w:b/>
                <w:spacing w:val="-14"/>
                <w:sz w:val="22"/>
              </w:rPr>
              <w:t> </w:t>
            </w:r>
            <w:r>
              <w:rPr>
                <w:b/>
                <w:sz w:val="22"/>
              </w:rPr>
              <w:t>Test </w:t>
            </w:r>
            <w:r>
              <w:rPr>
                <w:b/>
                <w:spacing w:val="-2"/>
                <w:sz w:val="22"/>
              </w:rPr>
              <w:t>Applies?</w:t>
            </w:r>
          </w:p>
        </w:tc>
        <w:tc>
          <w:tcPr>
            <w:tcW w:w="1495" w:type="dxa"/>
            <w:shd w:val="clear" w:color="auto" w:fill="DBE4F0"/>
          </w:tcPr>
          <w:p>
            <w:pPr>
              <w:pStyle w:val="TableParagraph"/>
              <w:spacing w:line="252" w:lineRule="exact"/>
              <w:ind w:left="429" w:right="237" w:hanging="183"/>
              <w:rPr>
                <w:b/>
                <w:sz w:val="22"/>
              </w:rPr>
            </w:pPr>
            <w:r>
              <w:rPr>
                <w:b/>
                <w:sz w:val="22"/>
              </w:rPr>
              <w:t>WOW</w:t>
            </w:r>
            <w:r>
              <w:rPr>
                <w:b/>
                <w:spacing w:val="-14"/>
                <w:sz w:val="22"/>
              </w:rPr>
              <w:t> </w:t>
            </w:r>
            <w:r>
              <w:rPr>
                <w:b/>
                <w:sz w:val="22"/>
              </w:rPr>
              <w:t>Per </w:t>
            </w:r>
            <w:r>
              <w:rPr>
                <w:b/>
                <w:spacing w:val="-2"/>
                <w:sz w:val="22"/>
              </w:rPr>
              <w:t>Capita</w:t>
            </w:r>
          </w:p>
        </w:tc>
        <w:tc>
          <w:tcPr>
            <w:tcW w:w="1670" w:type="dxa"/>
            <w:shd w:val="clear" w:color="auto" w:fill="DBE4F0"/>
          </w:tcPr>
          <w:p>
            <w:pPr>
              <w:pStyle w:val="TableParagraph"/>
              <w:spacing w:line="252" w:lineRule="exact" w:before="1"/>
              <w:ind w:left="337" w:right="332"/>
              <w:jc w:val="center"/>
              <w:rPr>
                <w:b/>
                <w:sz w:val="22"/>
              </w:rPr>
            </w:pPr>
            <w:r>
              <w:rPr>
                <w:b/>
                <w:spacing w:val="-5"/>
                <w:sz w:val="22"/>
              </w:rPr>
              <w:t>WOW</w:t>
            </w:r>
          </w:p>
          <w:p>
            <w:pPr>
              <w:pStyle w:val="TableParagraph"/>
              <w:spacing w:line="233" w:lineRule="exact"/>
              <w:ind w:left="339" w:right="332"/>
              <w:jc w:val="center"/>
              <w:rPr>
                <w:b/>
                <w:sz w:val="22"/>
              </w:rPr>
            </w:pPr>
            <w:r>
              <w:rPr>
                <w:b/>
                <w:spacing w:val="-2"/>
                <w:sz w:val="22"/>
              </w:rPr>
              <w:t>Aggregate</w:t>
            </w:r>
          </w:p>
        </w:tc>
        <w:tc>
          <w:tcPr>
            <w:tcW w:w="1348" w:type="dxa"/>
            <w:shd w:val="clear" w:color="auto" w:fill="DBE4F0"/>
          </w:tcPr>
          <w:p>
            <w:pPr>
              <w:pStyle w:val="TableParagraph"/>
              <w:spacing w:before="125"/>
              <w:ind w:left="437" w:right="431"/>
              <w:jc w:val="center"/>
              <w:rPr>
                <w:b/>
                <w:sz w:val="22"/>
              </w:rPr>
            </w:pPr>
            <w:r>
              <w:rPr>
                <w:b/>
                <w:spacing w:val="-5"/>
                <w:sz w:val="22"/>
              </w:rPr>
              <w:t>WW</w:t>
            </w:r>
          </w:p>
        </w:tc>
        <w:tc>
          <w:tcPr>
            <w:tcW w:w="3899" w:type="dxa"/>
            <w:shd w:val="clear" w:color="auto" w:fill="DBE4F0"/>
          </w:tcPr>
          <w:p>
            <w:pPr>
              <w:pStyle w:val="TableParagraph"/>
              <w:spacing w:before="125"/>
              <w:ind w:left="1140"/>
              <w:rPr>
                <w:b/>
                <w:sz w:val="22"/>
              </w:rPr>
            </w:pPr>
            <w:r>
              <w:rPr>
                <w:b/>
                <w:sz w:val="22"/>
              </w:rPr>
              <w:t>Brief</w:t>
            </w:r>
            <w:r>
              <w:rPr>
                <w:b/>
                <w:spacing w:val="-1"/>
                <w:sz w:val="22"/>
              </w:rPr>
              <w:t> </w:t>
            </w:r>
            <w:r>
              <w:rPr>
                <w:b/>
                <w:spacing w:val="-2"/>
                <w:sz w:val="22"/>
              </w:rPr>
              <w:t>Description</w:t>
            </w:r>
          </w:p>
        </w:tc>
      </w:tr>
      <w:tr>
        <w:trPr>
          <w:trHeight w:val="1770" w:hRule="atLeast"/>
        </w:trPr>
        <w:tc>
          <w:tcPr>
            <w:tcW w:w="2237" w:type="dxa"/>
          </w:tcPr>
          <w:p>
            <w:pPr>
              <w:pStyle w:val="TableParagraph"/>
              <w:rPr>
                <w:sz w:val="24"/>
              </w:rPr>
            </w:pPr>
          </w:p>
          <w:p>
            <w:pPr>
              <w:pStyle w:val="TableParagraph"/>
              <w:rPr>
                <w:sz w:val="24"/>
              </w:rPr>
            </w:pPr>
          </w:p>
          <w:p>
            <w:pPr>
              <w:pStyle w:val="TableParagraph"/>
              <w:spacing w:before="207"/>
              <w:ind w:left="110" w:right="101"/>
              <w:jc w:val="center"/>
              <w:rPr>
                <w:sz w:val="22"/>
              </w:rPr>
            </w:pPr>
            <w:r>
              <w:rPr>
                <w:sz w:val="22"/>
              </w:rPr>
              <w:t>Base</w:t>
            </w:r>
            <w:r>
              <w:rPr>
                <w:spacing w:val="-3"/>
                <w:sz w:val="22"/>
              </w:rPr>
              <w:t> </w:t>
            </w:r>
            <w:r>
              <w:rPr>
                <w:spacing w:val="-2"/>
                <w:sz w:val="22"/>
              </w:rPr>
              <w:t>Families</w:t>
            </w:r>
          </w:p>
        </w:tc>
        <w:tc>
          <w:tcPr>
            <w:tcW w:w="2244" w:type="dxa"/>
          </w:tcPr>
          <w:p>
            <w:pPr>
              <w:pStyle w:val="TableParagraph"/>
              <w:rPr>
                <w:sz w:val="24"/>
              </w:rPr>
            </w:pPr>
          </w:p>
          <w:p>
            <w:pPr>
              <w:pStyle w:val="TableParagraph"/>
              <w:rPr>
                <w:sz w:val="24"/>
              </w:rPr>
            </w:pPr>
          </w:p>
          <w:p>
            <w:pPr>
              <w:pStyle w:val="TableParagraph"/>
              <w:spacing w:before="207"/>
              <w:ind w:left="476" w:right="467"/>
              <w:jc w:val="center"/>
              <w:rPr>
                <w:sz w:val="22"/>
              </w:rPr>
            </w:pPr>
            <w:r>
              <w:rPr>
                <w:spacing w:val="-4"/>
                <w:sz w:val="22"/>
              </w:rPr>
              <w:t>Main</w:t>
            </w:r>
          </w:p>
        </w:tc>
        <w:tc>
          <w:tcPr>
            <w:tcW w:w="1495" w:type="dxa"/>
          </w:tcPr>
          <w:p>
            <w:pPr>
              <w:pStyle w:val="TableParagraph"/>
              <w:rPr>
                <w:sz w:val="24"/>
              </w:rPr>
            </w:pPr>
          </w:p>
          <w:p>
            <w:pPr>
              <w:pStyle w:val="TableParagraph"/>
              <w:rPr>
                <w:sz w:val="24"/>
              </w:rPr>
            </w:pPr>
          </w:p>
          <w:p>
            <w:pPr>
              <w:pStyle w:val="TableParagraph"/>
              <w:spacing w:before="207"/>
              <w:ind w:left="666"/>
              <w:rPr>
                <w:sz w:val="22"/>
              </w:rPr>
            </w:pPr>
            <w:r>
              <w:rPr>
                <w:w w:val="100"/>
                <w:sz w:val="22"/>
              </w:rPr>
              <w:t>X</w:t>
            </w:r>
          </w:p>
        </w:tc>
        <w:tc>
          <w:tcPr>
            <w:tcW w:w="1670" w:type="dxa"/>
          </w:tcPr>
          <w:p>
            <w:pPr>
              <w:pStyle w:val="TableParagraph"/>
              <w:rPr>
                <w:sz w:val="20"/>
              </w:rPr>
            </w:pPr>
          </w:p>
        </w:tc>
        <w:tc>
          <w:tcPr>
            <w:tcW w:w="1348" w:type="dxa"/>
          </w:tcPr>
          <w:p>
            <w:pPr>
              <w:pStyle w:val="TableParagraph"/>
              <w:rPr>
                <w:sz w:val="24"/>
              </w:rPr>
            </w:pPr>
          </w:p>
          <w:p>
            <w:pPr>
              <w:pStyle w:val="TableParagraph"/>
              <w:rPr>
                <w:sz w:val="24"/>
              </w:rPr>
            </w:pPr>
          </w:p>
          <w:p>
            <w:pPr>
              <w:pStyle w:val="TableParagraph"/>
              <w:spacing w:before="207"/>
              <w:ind w:left="7"/>
              <w:jc w:val="center"/>
              <w:rPr>
                <w:sz w:val="22"/>
              </w:rPr>
            </w:pPr>
            <w:r>
              <w:rPr>
                <w:w w:val="100"/>
                <w:sz w:val="22"/>
              </w:rPr>
              <w:t>X</w:t>
            </w:r>
          </w:p>
        </w:tc>
        <w:tc>
          <w:tcPr>
            <w:tcW w:w="3899" w:type="dxa"/>
          </w:tcPr>
          <w:p>
            <w:pPr>
              <w:pStyle w:val="TableParagraph"/>
              <w:spacing w:before="1"/>
              <w:ind w:left="202" w:right="188" w:firstLine="4"/>
              <w:jc w:val="center"/>
              <w:rPr>
                <w:sz w:val="22"/>
              </w:rPr>
            </w:pPr>
            <w:r>
              <w:rPr>
                <w:sz w:val="22"/>
              </w:rPr>
              <w:t>Eligible non-disabled individuals enrolled in MassHealth Standard (including</w:t>
            </w:r>
            <w:r>
              <w:rPr>
                <w:spacing w:val="-1"/>
                <w:sz w:val="22"/>
              </w:rPr>
              <w:t> </w:t>
            </w:r>
            <w:r>
              <w:rPr>
                <w:sz w:val="22"/>
              </w:rPr>
              <w:t>those enrolled</w:t>
            </w:r>
            <w:r>
              <w:rPr>
                <w:spacing w:val="-1"/>
                <w:sz w:val="22"/>
              </w:rPr>
              <w:t> </w:t>
            </w:r>
            <w:r>
              <w:rPr>
                <w:sz w:val="22"/>
              </w:rPr>
              <w:t>in</w:t>
            </w:r>
            <w:r>
              <w:rPr>
                <w:spacing w:val="-1"/>
                <w:sz w:val="22"/>
              </w:rPr>
              <w:t> </w:t>
            </w:r>
            <w:r>
              <w:rPr>
                <w:sz w:val="22"/>
              </w:rPr>
              <w:t>Temporary Assistance</w:t>
            </w:r>
            <w:r>
              <w:rPr>
                <w:spacing w:val="-7"/>
                <w:sz w:val="22"/>
              </w:rPr>
              <w:t> </w:t>
            </w:r>
            <w:r>
              <w:rPr>
                <w:sz w:val="22"/>
              </w:rPr>
              <w:t>for</w:t>
            </w:r>
            <w:r>
              <w:rPr>
                <w:spacing w:val="-6"/>
                <w:sz w:val="22"/>
              </w:rPr>
              <w:t> </w:t>
            </w:r>
            <w:r>
              <w:rPr>
                <w:sz w:val="22"/>
              </w:rPr>
              <w:t>Needy</w:t>
            </w:r>
            <w:r>
              <w:rPr>
                <w:spacing w:val="-10"/>
                <w:sz w:val="22"/>
              </w:rPr>
              <w:t> </w:t>
            </w:r>
            <w:r>
              <w:rPr>
                <w:sz w:val="22"/>
              </w:rPr>
              <w:t>Families),</w:t>
            </w:r>
            <w:r>
              <w:rPr>
                <w:spacing w:val="-7"/>
                <w:sz w:val="22"/>
              </w:rPr>
              <w:t> </w:t>
            </w:r>
            <w:r>
              <w:rPr>
                <w:sz w:val="22"/>
              </w:rPr>
              <w:t>as</w:t>
            </w:r>
            <w:r>
              <w:rPr>
                <w:spacing w:val="-9"/>
                <w:sz w:val="22"/>
              </w:rPr>
              <w:t> </w:t>
            </w:r>
            <w:r>
              <w:rPr>
                <w:sz w:val="22"/>
              </w:rPr>
              <w:t>well as eligible non-disabled individuals enrolled in MassHealth Limited</w:t>
            </w:r>
          </w:p>
          <w:p>
            <w:pPr>
              <w:pStyle w:val="TableParagraph"/>
              <w:spacing w:line="232" w:lineRule="exact"/>
              <w:ind w:left="130" w:right="112"/>
              <w:jc w:val="center"/>
              <w:rPr>
                <w:sz w:val="22"/>
              </w:rPr>
            </w:pPr>
            <w:r>
              <w:rPr>
                <w:sz w:val="22"/>
              </w:rPr>
              <w:t>(emergency</w:t>
            </w:r>
            <w:r>
              <w:rPr>
                <w:spacing w:val="-8"/>
                <w:sz w:val="22"/>
              </w:rPr>
              <w:t> </w:t>
            </w:r>
            <w:r>
              <w:rPr>
                <w:sz w:val="22"/>
              </w:rPr>
              <w:t>services</w:t>
            </w:r>
            <w:r>
              <w:rPr>
                <w:spacing w:val="-4"/>
                <w:sz w:val="22"/>
              </w:rPr>
              <w:t> </w:t>
            </w:r>
            <w:r>
              <w:rPr>
                <w:spacing w:val="-2"/>
                <w:sz w:val="22"/>
              </w:rPr>
              <w:t>only).</w:t>
            </w:r>
          </w:p>
        </w:tc>
      </w:tr>
      <w:tr>
        <w:trPr>
          <w:trHeight w:val="1518" w:hRule="atLeast"/>
        </w:trPr>
        <w:tc>
          <w:tcPr>
            <w:tcW w:w="2237" w:type="dxa"/>
          </w:tcPr>
          <w:p>
            <w:pPr>
              <w:pStyle w:val="TableParagraph"/>
              <w:rPr>
                <w:sz w:val="24"/>
              </w:rPr>
            </w:pPr>
          </w:p>
          <w:p>
            <w:pPr>
              <w:pStyle w:val="TableParagraph"/>
              <w:spacing w:before="11"/>
              <w:rPr>
                <w:sz w:val="30"/>
              </w:rPr>
            </w:pPr>
          </w:p>
          <w:p>
            <w:pPr>
              <w:pStyle w:val="TableParagraph"/>
              <w:ind w:left="111" w:right="101"/>
              <w:jc w:val="center"/>
              <w:rPr>
                <w:sz w:val="22"/>
              </w:rPr>
            </w:pPr>
            <w:r>
              <w:rPr>
                <w:sz w:val="22"/>
              </w:rPr>
              <w:t>Base</w:t>
            </w:r>
            <w:r>
              <w:rPr>
                <w:spacing w:val="-3"/>
                <w:sz w:val="22"/>
              </w:rPr>
              <w:t> </w:t>
            </w:r>
            <w:r>
              <w:rPr>
                <w:spacing w:val="-2"/>
                <w:sz w:val="22"/>
              </w:rPr>
              <w:t>Disabled</w:t>
            </w:r>
          </w:p>
        </w:tc>
        <w:tc>
          <w:tcPr>
            <w:tcW w:w="2244" w:type="dxa"/>
          </w:tcPr>
          <w:p>
            <w:pPr>
              <w:pStyle w:val="TableParagraph"/>
              <w:rPr>
                <w:sz w:val="24"/>
              </w:rPr>
            </w:pPr>
          </w:p>
          <w:p>
            <w:pPr>
              <w:pStyle w:val="TableParagraph"/>
              <w:spacing w:before="11"/>
              <w:rPr>
                <w:sz w:val="30"/>
              </w:rPr>
            </w:pPr>
          </w:p>
          <w:p>
            <w:pPr>
              <w:pStyle w:val="TableParagraph"/>
              <w:ind w:left="476" w:right="467"/>
              <w:jc w:val="center"/>
              <w:rPr>
                <w:sz w:val="22"/>
              </w:rPr>
            </w:pPr>
            <w:r>
              <w:rPr>
                <w:spacing w:val="-4"/>
                <w:sz w:val="22"/>
              </w:rPr>
              <w:t>Main</w:t>
            </w:r>
          </w:p>
        </w:tc>
        <w:tc>
          <w:tcPr>
            <w:tcW w:w="1495" w:type="dxa"/>
          </w:tcPr>
          <w:p>
            <w:pPr>
              <w:pStyle w:val="TableParagraph"/>
              <w:rPr>
                <w:sz w:val="24"/>
              </w:rPr>
            </w:pPr>
          </w:p>
          <w:p>
            <w:pPr>
              <w:pStyle w:val="TableParagraph"/>
              <w:spacing w:before="11"/>
              <w:rPr>
                <w:sz w:val="30"/>
              </w:rPr>
            </w:pPr>
          </w:p>
          <w:p>
            <w:pPr>
              <w:pStyle w:val="TableParagraph"/>
              <w:ind w:left="666"/>
              <w:rPr>
                <w:sz w:val="22"/>
              </w:rPr>
            </w:pPr>
            <w:r>
              <w:rPr>
                <w:w w:val="100"/>
                <w:sz w:val="22"/>
              </w:rPr>
              <w:t>X</w:t>
            </w:r>
          </w:p>
        </w:tc>
        <w:tc>
          <w:tcPr>
            <w:tcW w:w="1670" w:type="dxa"/>
          </w:tcPr>
          <w:p>
            <w:pPr>
              <w:pStyle w:val="TableParagraph"/>
              <w:rPr>
                <w:sz w:val="20"/>
              </w:rPr>
            </w:pPr>
          </w:p>
        </w:tc>
        <w:tc>
          <w:tcPr>
            <w:tcW w:w="1348" w:type="dxa"/>
          </w:tcPr>
          <w:p>
            <w:pPr>
              <w:pStyle w:val="TableParagraph"/>
              <w:rPr>
                <w:sz w:val="24"/>
              </w:rPr>
            </w:pPr>
          </w:p>
          <w:p>
            <w:pPr>
              <w:pStyle w:val="TableParagraph"/>
              <w:spacing w:before="11"/>
              <w:rPr>
                <w:sz w:val="30"/>
              </w:rPr>
            </w:pPr>
          </w:p>
          <w:p>
            <w:pPr>
              <w:pStyle w:val="TableParagraph"/>
              <w:ind w:left="6"/>
              <w:jc w:val="center"/>
              <w:rPr>
                <w:sz w:val="22"/>
              </w:rPr>
            </w:pPr>
            <w:r>
              <w:rPr>
                <w:w w:val="100"/>
                <w:sz w:val="22"/>
              </w:rPr>
              <w:t>X</w:t>
            </w:r>
          </w:p>
        </w:tc>
        <w:tc>
          <w:tcPr>
            <w:tcW w:w="3899" w:type="dxa"/>
          </w:tcPr>
          <w:p>
            <w:pPr>
              <w:pStyle w:val="TableParagraph"/>
              <w:spacing w:before="1"/>
              <w:ind w:left="130" w:right="113"/>
              <w:jc w:val="center"/>
              <w:rPr>
                <w:sz w:val="22"/>
              </w:rPr>
            </w:pPr>
            <w:r>
              <w:rPr>
                <w:sz w:val="22"/>
              </w:rPr>
              <w:t>Eligible individuals with disabilities enrolled in MassHealth Standard, individuals enrolled in CommonHealth who</w:t>
            </w:r>
            <w:r>
              <w:rPr>
                <w:spacing w:val="-4"/>
                <w:sz w:val="22"/>
              </w:rPr>
              <w:t> </w:t>
            </w:r>
            <w:r>
              <w:rPr>
                <w:sz w:val="22"/>
              </w:rPr>
              <w:t>spend</w:t>
            </w:r>
            <w:r>
              <w:rPr>
                <w:spacing w:val="-7"/>
                <w:sz w:val="22"/>
              </w:rPr>
              <w:t> </w:t>
            </w:r>
            <w:r>
              <w:rPr>
                <w:sz w:val="22"/>
              </w:rPr>
              <w:t>down</w:t>
            </w:r>
            <w:r>
              <w:rPr>
                <w:spacing w:val="-4"/>
                <w:sz w:val="22"/>
              </w:rPr>
              <w:t> </w:t>
            </w:r>
            <w:r>
              <w:rPr>
                <w:sz w:val="22"/>
              </w:rPr>
              <w:t>to</w:t>
            </w:r>
            <w:r>
              <w:rPr>
                <w:spacing w:val="-7"/>
                <w:sz w:val="22"/>
              </w:rPr>
              <w:t> </w:t>
            </w:r>
            <w:r>
              <w:rPr>
                <w:sz w:val="22"/>
              </w:rPr>
              <w:t>eligibility,</w:t>
            </w:r>
            <w:r>
              <w:rPr>
                <w:spacing w:val="-4"/>
                <w:sz w:val="22"/>
              </w:rPr>
              <w:t> </w:t>
            </w:r>
            <w:r>
              <w:rPr>
                <w:sz w:val="22"/>
              </w:rPr>
              <w:t>as</w:t>
            </w:r>
            <w:r>
              <w:rPr>
                <w:spacing w:val="-4"/>
                <w:sz w:val="22"/>
              </w:rPr>
              <w:t> </w:t>
            </w:r>
            <w:r>
              <w:rPr>
                <w:sz w:val="22"/>
              </w:rPr>
              <w:t>well</w:t>
            </w:r>
            <w:r>
              <w:rPr>
                <w:spacing w:val="-6"/>
                <w:sz w:val="22"/>
              </w:rPr>
              <w:t> </w:t>
            </w:r>
            <w:r>
              <w:rPr>
                <w:sz w:val="22"/>
              </w:rPr>
              <w:t>as eligible disabled individuals enrolled in</w:t>
            </w:r>
          </w:p>
          <w:p>
            <w:pPr>
              <w:pStyle w:val="TableParagraph"/>
              <w:spacing w:line="233" w:lineRule="exact"/>
              <w:ind w:left="128" w:right="113"/>
              <w:jc w:val="center"/>
              <w:rPr>
                <w:sz w:val="22"/>
              </w:rPr>
            </w:pPr>
            <w:r>
              <w:rPr>
                <w:sz w:val="22"/>
              </w:rPr>
              <w:t>Limited</w:t>
            </w:r>
            <w:r>
              <w:rPr>
                <w:spacing w:val="-5"/>
                <w:sz w:val="22"/>
              </w:rPr>
              <w:t> </w:t>
            </w:r>
            <w:r>
              <w:rPr>
                <w:sz w:val="22"/>
              </w:rPr>
              <w:t>(emergency</w:t>
            </w:r>
            <w:r>
              <w:rPr>
                <w:spacing w:val="-7"/>
                <w:sz w:val="22"/>
              </w:rPr>
              <w:t> </w:t>
            </w:r>
            <w:r>
              <w:rPr>
                <w:sz w:val="22"/>
              </w:rPr>
              <w:t>services</w:t>
            </w:r>
            <w:r>
              <w:rPr>
                <w:spacing w:val="-4"/>
                <w:sz w:val="22"/>
              </w:rPr>
              <w:t> </w:t>
            </w:r>
            <w:r>
              <w:rPr>
                <w:spacing w:val="-2"/>
                <w:sz w:val="22"/>
              </w:rPr>
              <w:t>only).</w:t>
            </w:r>
          </w:p>
        </w:tc>
      </w:tr>
      <w:tr>
        <w:trPr>
          <w:trHeight w:val="1518" w:hRule="atLeast"/>
        </w:trPr>
        <w:tc>
          <w:tcPr>
            <w:tcW w:w="2237" w:type="dxa"/>
          </w:tcPr>
          <w:p>
            <w:pPr>
              <w:pStyle w:val="TableParagraph"/>
              <w:rPr>
                <w:sz w:val="24"/>
              </w:rPr>
            </w:pPr>
          </w:p>
          <w:p>
            <w:pPr>
              <w:pStyle w:val="TableParagraph"/>
              <w:spacing w:before="11"/>
              <w:rPr>
                <w:sz w:val="30"/>
              </w:rPr>
            </w:pPr>
          </w:p>
          <w:p>
            <w:pPr>
              <w:pStyle w:val="TableParagraph"/>
              <w:ind w:left="112" w:right="101"/>
              <w:jc w:val="center"/>
              <w:rPr>
                <w:sz w:val="22"/>
              </w:rPr>
            </w:pPr>
            <w:r>
              <w:rPr>
                <w:sz w:val="22"/>
              </w:rPr>
              <w:t>1902(r)(2)</w:t>
            </w:r>
            <w:r>
              <w:rPr>
                <w:spacing w:val="-5"/>
                <w:sz w:val="22"/>
              </w:rPr>
              <w:t> </w:t>
            </w:r>
            <w:r>
              <w:rPr>
                <w:spacing w:val="-2"/>
                <w:sz w:val="22"/>
              </w:rPr>
              <w:t>Children</w:t>
            </w:r>
          </w:p>
        </w:tc>
        <w:tc>
          <w:tcPr>
            <w:tcW w:w="2244" w:type="dxa"/>
          </w:tcPr>
          <w:p>
            <w:pPr>
              <w:pStyle w:val="TableParagraph"/>
              <w:rPr>
                <w:sz w:val="24"/>
              </w:rPr>
            </w:pPr>
          </w:p>
          <w:p>
            <w:pPr>
              <w:pStyle w:val="TableParagraph"/>
              <w:spacing w:before="11"/>
              <w:rPr>
                <w:sz w:val="30"/>
              </w:rPr>
            </w:pPr>
          </w:p>
          <w:p>
            <w:pPr>
              <w:pStyle w:val="TableParagraph"/>
              <w:ind w:left="476" w:right="467"/>
              <w:jc w:val="center"/>
              <w:rPr>
                <w:sz w:val="22"/>
              </w:rPr>
            </w:pPr>
            <w:r>
              <w:rPr>
                <w:spacing w:val="-4"/>
                <w:sz w:val="22"/>
              </w:rPr>
              <w:t>Main</w:t>
            </w:r>
          </w:p>
        </w:tc>
        <w:tc>
          <w:tcPr>
            <w:tcW w:w="1495" w:type="dxa"/>
          </w:tcPr>
          <w:p>
            <w:pPr>
              <w:pStyle w:val="TableParagraph"/>
              <w:rPr>
                <w:sz w:val="24"/>
              </w:rPr>
            </w:pPr>
          </w:p>
          <w:p>
            <w:pPr>
              <w:pStyle w:val="TableParagraph"/>
              <w:spacing w:before="11"/>
              <w:rPr>
                <w:sz w:val="30"/>
              </w:rPr>
            </w:pPr>
          </w:p>
          <w:p>
            <w:pPr>
              <w:pStyle w:val="TableParagraph"/>
              <w:ind w:left="666"/>
              <w:rPr>
                <w:sz w:val="22"/>
              </w:rPr>
            </w:pPr>
            <w:r>
              <w:rPr>
                <w:w w:val="100"/>
                <w:sz w:val="22"/>
              </w:rPr>
              <w:t>X</w:t>
            </w:r>
          </w:p>
        </w:tc>
        <w:tc>
          <w:tcPr>
            <w:tcW w:w="1670" w:type="dxa"/>
          </w:tcPr>
          <w:p>
            <w:pPr>
              <w:pStyle w:val="TableParagraph"/>
              <w:rPr>
                <w:sz w:val="20"/>
              </w:rPr>
            </w:pPr>
          </w:p>
        </w:tc>
        <w:tc>
          <w:tcPr>
            <w:tcW w:w="1348" w:type="dxa"/>
          </w:tcPr>
          <w:p>
            <w:pPr>
              <w:pStyle w:val="TableParagraph"/>
              <w:rPr>
                <w:sz w:val="24"/>
              </w:rPr>
            </w:pPr>
          </w:p>
          <w:p>
            <w:pPr>
              <w:pStyle w:val="TableParagraph"/>
              <w:spacing w:before="11"/>
              <w:rPr>
                <w:sz w:val="30"/>
              </w:rPr>
            </w:pPr>
          </w:p>
          <w:p>
            <w:pPr>
              <w:pStyle w:val="TableParagraph"/>
              <w:ind w:left="6"/>
              <w:jc w:val="center"/>
              <w:rPr>
                <w:sz w:val="22"/>
              </w:rPr>
            </w:pPr>
            <w:r>
              <w:rPr>
                <w:w w:val="100"/>
                <w:sz w:val="22"/>
              </w:rPr>
              <w:t>X</w:t>
            </w:r>
          </w:p>
        </w:tc>
        <w:tc>
          <w:tcPr>
            <w:tcW w:w="3899" w:type="dxa"/>
          </w:tcPr>
          <w:p>
            <w:pPr>
              <w:pStyle w:val="TableParagraph"/>
              <w:ind w:left="130" w:right="113"/>
              <w:jc w:val="center"/>
              <w:rPr>
                <w:sz w:val="22"/>
              </w:rPr>
            </w:pPr>
            <w:r>
              <w:rPr>
                <w:sz w:val="22"/>
              </w:rPr>
              <w:t>Medicaid expansion children and pregnant</w:t>
            </w:r>
            <w:r>
              <w:rPr>
                <w:spacing w:val="-7"/>
                <w:sz w:val="22"/>
              </w:rPr>
              <w:t> </w:t>
            </w:r>
            <w:r>
              <w:rPr>
                <w:sz w:val="22"/>
              </w:rPr>
              <w:t>individuals</w:t>
            </w:r>
            <w:r>
              <w:rPr>
                <w:spacing w:val="-5"/>
                <w:sz w:val="22"/>
              </w:rPr>
              <w:t> </w:t>
            </w:r>
            <w:r>
              <w:rPr>
                <w:sz w:val="22"/>
              </w:rPr>
              <w:t>who</w:t>
            </w:r>
            <w:r>
              <w:rPr>
                <w:spacing w:val="-8"/>
                <w:sz w:val="22"/>
              </w:rPr>
              <w:t> </w:t>
            </w:r>
            <w:r>
              <w:rPr>
                <w:sz w:val="22"/>
              </w:rPr>
              <w:t>are</w:t>
            </w:r>
            <w:r>
              <w:rPr>
                <w:spacing w:val="-5"/>
                <w:sz w:val="22"/>
              </w:rPr>
              <w:t> </w:t>
            </w:r>
            <w:r>
              <w:rPr>
                <w:sz w:val="22"/>
              </w:rPr>
              <w:t>enrolled</w:t>
            </w:r>
            <w:r>
              <w:rPr>
                <w:spacing w:val="-5"/>
                <w:sz w:val="22"/>
              </w:rPr>
              <w:t> </w:t>
            </w:r>
            <w:r>
              <w:rPr>
                <w:sz w:val="22"/>
              </w:rPr>
              <w:t>in MassHealth</w:t>
            </w:r>
            <w:r>
              <w:rPr>
                <w:spacing w:val="-6"/>
                <w:sz w:val="22"/>
              </w:rPr>
              <w:t> </w:t>
            </w:r>
            <w:r>
              <w:rPr>
                <w:sz w:val="22"/>
              </w:rPr>
              <w:t>Standard,</w:t>
            </w:r>
            <w:r>
              <w:rPr>
                <w:spacing w:val="-9"/>
                <w:sz w:val="22"/>
              </w:rPr>
              <w:t> </w:t>
            </w:r>
            <w:r>
              <w:rPr>
                <w:sz w:val="22"/>
              </w:rPr>
              <w:t>as</w:t>
            </w:r>
            <w:r>
              <w:rPr>
                <w:spacing w:val="-6"/>
                <w:sz w:val="22"/>
              </w:rPr>
              <w:t> </w:t>
            </w:r>
            <w:r>
              <w:rPr>
                <w:sz w:val="22"/>
              </w:rPr>
              <w:t>well</w:t>
            </w:r>
            <w:r>
              <w:rPr>
                <w:spacing w:val="-8"/>
                <w:sz w:val="22"/>
              </w:rPr>
              <w:t> </w:t>
            </w:r>
            <w:r>
              <w:rPr>
                <w:sz w:val="22"/>
              </w:rPr>
              <w:t>as</w:t>
            </w:r>
            <w:r>
              <w:rPr>
                <w:spacing w:val="-6"/>
                <w:sz w:val="22"/>
              </w:rPr>
              <w:t> </w:t>
            </w:r>
            <w:r>
              <w:rPr>
                <w:sz w:val="22"/>
              </w:rPr>
              <w:t>eligible children and pregnant individuals</w:t>
            </w:r>
          </w:p>
          <w:p>
            <w:pPr>
              <w:pStyle w:val="TableParagraph"/>
              <w:spacing w:line="252" w:lineRule="exact"/>
              <w:ind w:left="129" w:right="113"/>
              <w:jc w:val="center"/>
              <w:rPr>
                <w:sz w:val="22"/>
              </w:rPr>
            </w:pPr>
            <w:r>
              <w:rPr>
                <w:sz w:val="22"/>
              </w:rPr>
              <w:t>enrolled</w:t>
            </w:r>
            <w:r>
              <w:rPr>
                <w:spacing w:val="-12"/>
                <w:sz w:val="22"/>
              </w:rPr>
              <w:t> </w:t>
            </w:r>
            <w:r>
              <w:rPr>
                <w:sz w:val="22"/>
              </w:rPr>
              <w:t>in</w:t>
            </w:r>
            <w:r>
              <w:rPr>
                <w:spacing w:val="-14"/>
                <w:sz w:val="22"/>
              </w:rPr>
              <w:t> </w:t>
            </w:r>
            <w:r>
              <w:rPr>
                <w:sz w:val="22"/>
              </w:rPr>
              <w:t>MassHealth</w:t>
            </w:r>
            <w:r>
              <w:rPr>
                <w:spacing w:val="-11"/>
                <w:sz w:val="22"/>
              </w:rPr>
              <w:t> </w:t>
            </w:r>
            <w:r>
              <w:rPr>
                <w:sz w:val="22"/>
              </w:rPr>
              <w:t>Limited (emergency services only).</w:t>
            </w:r>
          </w:p>
        </w:tc>
      </w:tr>
      <w:tr>
        <w:trPr>
          <w:trHeight w:val="1770" w:hRule="atLeast"/>
        </w:trPr>
        <w:tc>
          <w:tcPr>
            <w:tcW w:w="2237" w:type="dxa"/>
          </w:tcPr>
          <w:p>
            <w:pPr>
              <w:pStyle w:val="TableParagraph"/>
              <w:rPr>
                <w:sz w:val="24"/>
              </w:rPr>
            </w:pPr>
          </w:p>
          <w:p>
            <w:pPr>
              <w:pStyle w:val="TableParagraph"/>
              <w:rPr>
                <w:sz w:val="24"/>
              </w:rPr>
            </w:pPr>
          </w:p>
          <w:p>
            <w:pPr>
              <w:pStyle w:val="TableParagraph"/>
              <w:spacing w:before="205"/>
              <w:ind w:left="110" w:right="101"/>
              <w:jc w:val="center"/>
              <w:rPr>
                <w:sz w:val="22"/>
              </w:rPr>
            </w:pPr>
            <w:r>
              <w:rPr>
                <w:sz w:val="22"/>
              </w:rPr>
              <w:t>1902(r)(2)</w:t>
            </w:r>
            <w:r>
              <w:rPr>
                <w:spacing w:val="-5"/>
                <w:sz w:val="22"/>
              </w:rPr>
              <w:t> </w:t>
            </w:r>
            <w:r>
              <w:rPr>
                <w:spacing w:val="-2"/>
                <w:sz w:val="22"/>
              </w:rPr>
              <w:t>Disabled</w:t>
            </w:r>
          </w:p>
        </w:tc>
        <w:tc>
          <w:tcPr>
            <w:tcW w:w="2244" w:type="dxa"/>
          </w:tcPr>
          <w:p>
            <w:pPr>
              <w:pStyle w:val="TableParagraph"/>
              <w:rPr>
                <w:sz w:val="24"/>
              </w:rPr>
            </w:pPr>
          </w:p>
          <w:p>
            <w:pPr>
              <w:pStyle w:val="TableParagraph"/>
              <w:rPr>
                <w:sz w:val="24"/>
              </w:rPr>
            </w:pPr>
          </w:p>
          <w:p>
            <w:pPr>
              <w:pStyle w:val="TableParagraph"/>
              <w:spacing w:before="205"/>
              <w:ind w:left="476" w:right="467"/>
              <w:jc w:val="center"/>
              <w:rPr>
                <w:sz w:val="22"/>
              </w:rPr>
            </w:pPr>
            <w:r>
              <w:rPr>
                <w:spacing w:val="-4"/>
                <w:sz w:val="22"/>
              </w:rPr>
              <w:t>Main</w:t>
            </w:r>
          </w:p>
        </w:tc>
        <w:tc>
          <w:tcPr>
            <w:tcW w:w="1495" w:type="dxa"/>
          </w:tcPr>
          <w:p>
            <w:pPr>
              <w:pStyle w:val="TableParagraph"/>
              <w:rPr>
                <w:sz w:val="24"/>
              </w:rPr>
            </w:pPr>
          </w:p>
          <w:p>
            <w:pPr>
              <w:pStyle w:val="TableParagraph"/>
              <w:rPr>
                <w:sz w:val="24"/>
              </w:rPr>
            </w:pPr>
          </w:p>
          <w:p>
            <w:pPr>
              <w:pStyle w:val="TableParagraph"/>
              <w:spacing w:before="205"/>
              <w:ind w:left="666"/>
              <w:rPr>
                <w:sz w:val="22"/>
              </w:rPr>
            </w:pPr>
            <w:r>
              <w:rPr>
                <w:w w:val="100"/>
                <w:sz w:val="22"/>
              </w:rPr>
              <w:t>X</w:t>
            </w:r>
          </w:p>
        </w:tc>
        <w:tc>
          <w:tcPr>
            <w:tcW w:w="1670" w:type="dxa"/>
          </w:tcPr>
          <w:p>
            <w:pPr>
              <w:pStyle w:val="TableParagraph"/>
              <w:rPr>
                <w:sz w:val="20"/>
              </w:rPr>
            </w:pPr>
          </w:p>
        </w:tc>
        <w:tc>
          <w:tcPr>
            <w:tcW w:w="1348" w:type="dxa"/>
          </w:tcPr>
          <w:p>
            <w:pPr>
              <w:pStyle w:val="TableParagraph"/>
              <w:rPr>
                <w:sz w:val="24"/>
              </w:rPr>
            </w:pPr>
          </w:p>
          <w:p>
            <w:pPr>
              <w:pStyle w:val="TableParagraph"/>
              <w:rPr>
                <w:sz w:val="24"/>
              </w:rPr>
            </w:pPr>
          </w:p>
          <w:p>
            <w:pPr>
              <w:pStyle w:val="TableParagraph"/>
              <w:spacing w:before="205"/>
              <w:ind w:left="7"/>
              <w:jc w:val="center"/>
              <w:rPr>
                <w:sz w:val="22"/>
              </w:rPr>
            </w:pPr>
            <w:r>
              <w:rPr>
                <w:w w:val="100"/>
                <w:sz w:val="22"/>
              </w:rPr>
              <w:t>X</w:t>
            </w:r>
          </w:p>
        </w:tc>
        <w:tc>
          <w:tcPr>
            <w:tcW w:w="3899" w:type="dxa"/>
          </w:tcPr>
          <w:p>
            <w:pPr>
              <w:pStyle w:val="TableParagraph"/>
              <w:ind w:left="121" w:right="103" w:hanging="1"/>
              <w:jc w:val="center"/>
              <w:rPr>
                <w:sz w:val="22"/>
              </w:rPr>
            </w:pPr>
            <w:r>
              <w:rPr>
                <w:sz w:val="22"/>
              </w:rPr>
              <w:t>Eligible individuals with disabilities enrolled in MassHealth Standard with income between 114.1 percent and 133 percent of the FPL, as well as eligible individuals with disabilities enrolled in MassHealth</w:t>
            </w:r>
            <w:r>
              <w:rPr>
                <w:spacing w:val="-11"/>
                <w:sz w:val="22"/>
              </w:rPr>
              <w:t> </w:t>
            </w:r>
            <w:r>
              <w:rPr>
                <w:sz w:val="22"/>
              </w:rPr>
              <w:t>Limited</w:t>
            </w:r>
            <w:r>
              <w:rPr>
                <w:spacing w:val="-11"/>
                <w:sz w:val="22"/>
              </w:rPr>
              <w:t> </w:t>
            </w:r>
            <w:r>
              <w:rPr>
                <w:sz w:val="22"/>
              </w:rPr>
              <w:t>(emergency</w:t>
            </w:r>
            <w:r>
              <w:rPr>
                <w:spacing w:val="-14"/>
                <w:sz w:val="22"/>
              </w:rPr>
              <w:t> </w:t>
            </w:r>
            <w:r>
              <w:rPr>
                <w:sz w:val="22"/>
              </w:rPr>
              <w:t>services</w:t>
            </w:r>
          </w:p>
          <w:p>
            <w:pPr>
              <w:pStyle w:val="TableParagraph"/>
              <w:spacing w:line="235" w:lineRule="exact"/>
              <w:ind w:left="130" w:right="113"/>
              <w:jc w:val="center"/>
              <w:rPr>
                <w:sz w:val="22"/>
              </w:rPr>
            </w:pPr>
            <w:r>
              <w:rPr>
                <w:spacing w:val="-2"/>
                <w:sz w:val="22"/>
              </w:rPr>
              <w:t>only).</w:t>
            </w:r>
          </w:p>
        </w:tc>
      </w:tr>
      <w:tr>
        <w:trPr>
          <w:trHeight w:val="1012" w:hRule="atLeast"/>
        </w:trPr>
        <w:tc>
          <w:tcPr>
            <w:tcW w:w="2237" w:type="dxa"/>
          </w:tcPr>
          <w:p>
            <w:pPr>
              <w:pStyle w:val="TableParagraph"/>
              <w:spacing w:before="9"/>
              <w:rPr>
                <w:sz w:val="32"/>
              </w:rPr>
            </w:pPr>
          </w:p>
          <w:p>
            <w:pPr>
              <w:pStyle w:val="TableParagraph"/>
              <w:ind w:left="105" w:right="101"/>
              <w:jc w:val="center"/>
              <w:rPr>
                <w:sz w:val="22"/>
              </w:rPr>
            </w:pPr>
            <w:r>
              <w:rPr>
                <w:spacing w:val="-2"/>
                <w:sz w:val="22"/>
              </w:rPr>
              <w:t>BCCDP</w:t>
            </w:r>
          </w:p>
        </w:tc>
        <w:tc>
          <w:tcPr>
            <w:tcW w:w="2244" w:type="dxa"/>
          </w:tcPr>
          <w:p>
            <w:pPr>
              <w:pStyle w:val="TableParagraph"/>
              <w:spacing w:before="9"/>
              <w:rPr>
                <w:sz w:val="32"/>
              </w:rPr>
            </w:pPr>
          </w:p>
          <w:p>
            <w:pPr>
              <w:pStyle w:val="TableParagraph"/>
              <w:ind w:left="476" w:right="467"/>
              <w:jc w:val="center"/>
              <w:rPr>
                <w:sz w:val="22"/>
              </w:rPr>
            </w:pPr>
            <w:r>
              <w:rPr>
                <w:spacing w:val="-4"/>
                <w:sz w:val="22"/>
              </w:rPr>
              <w:t>Main</w:t>
            </w:r>
          </w:p>
        </w:tc>
        <w:tc>
          <w:tcPr>
            <w:tcW w:w="1495" w:type="dxa"/>
          </w:tcPr>
          <w:p>
            <w:pPr>
              <w:pStyle w:val="TableParagraph"/>
              <w:spacing w:before="9"/>
              <w:rPr>
                <w:sz w:val="32"/>
              </w:rPr>
            </w:pPr>
          </w:p>
          <w:p>
            <w:pPr>
              <w:pStyle w:val="TableParagraph"/>
              <w:ind w:left="666"/>
              <w:rPr>
                <w:sz w:val="22"/>
              </w:rPr>
            </w:pPr>
            <w:r>
              <w:rPr>
                <w:w w:val="100"/>
                <w:sz w:val="22"/>
              </w:rPr>
              <w:t>X</w:t>
            </w:r>
          </w:p>
        </w:tc>
        <w:tc>
          <w:tcPr>
            <w:tcW w:w="1670" w:type="dxa"/>
          </w:tcPr>
          <w:p>
            <w:pPr>
              <w:pStyle w:val="TableParagraph"/>
              <w:rPr>
                <w:sz w:val="20"/>
              </w:rPr>
            </w:pPr>
          </w:p>
        </w:tc>
        <w:tc>
          <w:tcPr>
            <w:tcW w:w="1348" w:type="dxa"/>
          </w:tcPr>
          <w:p>
            <w:pPr>
              <w:pStyle w:val="TableParagraph"/>
              <w:spacing w:before="9"/>
              <w:rPr>
                <w:sz w:val="32"/>
              </w:rPr>
            </w:pPr>
          </w:p>
          <w:p>
            <w:pPr>
              <w:pStyle w:val="TableParagraph"/>
              <w:ind w:left="7"/>
              <w:jc w:val="center"/>
              <w:rPr>
                <w:sz w:val="22"/>
              </w:rPr>
            </w:pPr>
            <w:r>
              <w:rPr>
                <w:w w:val="100"/>
                <w:sz w:val="22"/>
              </w:rPr>
              <w:t>X</w:t>
            </w:r>
          </w:p>
        </w:tc>
        <w:tc>
          <w:tcPr>
            <w:tcW w:w="3899" w:type="dxa"/>
          </w:tcPr>
          <w:p>
            <w:pPr>
              <w:pStyle w:val="TableParagraph"/>
              <w:ind w:left="152" w:right="132" w:hanging="3"/>
              <w:jc w:val="center"/>
              <w:rPr>
                <w:sz w:val="22"/>
              </w:rPr>
            </w:pPr>
            <w:r>
              <w:rPr>
                <w:sz w:val="22"/>
              </w:rPr>
              <w:t>Individuals</w:t>
            </w:r>
            <w:r>
              <w:rPr>
                <w:spacing w:val="-1"/>
                <w:sz w:val="22"/>
              </w:rPr>
              <w:t> </w:t>
            </w:r>
            <w:r>
              <w:rPr>
                <w:sz w:val="22"/>
              </w:rPr>
              <w:t>eligible</w:t>
            </w:r>
            <w:r>
              <w:rPr>
                <w:spacing w:val="-1"/>
                <w:sz w:val="22"/>
              </w:rPr>
              <w:t> </w:t>
            </w:r>
            <w:r>
              <w:rPr>
                <w:sz w:val="22"/>
              </w:rPr>
              <w:t>under</w:t>
            </w:r>
            <w:r>
              <w:rPr>
                <w:spacing w:val="-3"/>
                <w:sz w:val="22"/>
              </w:rPr>
              <w:t> </w:t>
            </w:r>
            <w:r>
              <w:rPr>
                <w:sz w:val="22"/>
              </w:rPr>
              <w:t>the</w:t>
            </w:r>
            <w:r>
              <w:rPr>
                <w:spacing w:val="-1"/>
                <w:sz w:val="22"/>
              </w:rPr>
              <w:t> </w:t>
            </w:r>
            <w:r>
              <w:rPr>
                <w:sz w:val="22"/>
              </w:rPr>
              <w:t>Breast</w:t>
            </w:r>
            <w:r>
              <w:rPr>
                <w:spacing w:val="-3"/>
                <w:sz w:val="22"/>
              </w:rPr>
              <w:t> </w:t>
            </w:r>
            <w:r>
              <w:rPr>
                <w:sz w:val="22"/>
              </w:rPr>
              <w:t>and Cervical</w:t>
            </w:r>
            <w:r>
              <w:rPr>
                <w:spacing w:val="-13"/>
                <w:sz w:val="22"/>
              </w:rPr>
              <w:t> </w:t>
            </w:r>
            <w:r>
              <w:rPr>
                <w:sz w:val="22"/>
              </w:rPr>
              <w:t>Cancer</w:t>
            </w:r>
            <w:r>
              <w:rPr>
                <w:spacing w:val="-11"/>
                <w:sz w:val="22"/>
              </w:rPr>
              <w:t> </w:t>
            </w:r>
            <w:r>
              <w:rPr>
                <w:sz w:val="22"/>
              </w:rPr>
              <w:t>Demonstration</w:t>
            </w:r>
            <w:r>
              <w:rPr>
                <w:spacing w:val="-11"/>
                <w:sz w:val="22"/>
              </w:rPr>
              <w:t> </w:t>
            </w:r>
            <w:r>
              <w:rPr>
                <w:sz w:val="22"/>
              </w:rPr>
              <w:t>Program who are enrolled in MassHealth</w:t>
            </w:r>
          </w:p>
          <w:p>
            <w:pPr>
              <w:pStyle w:val="TableParagraph"/>
              <w:spacing w:line="235" w:lineRule="exact"/>
              <w:ind w:left="128" w:right="113"/>
              <w:jc w:val="center"/>
              <w:rPr>
                <w:sz w:val="22"/>
              </w:rPr>
            </w:pPr>
            <w:r>
              <w:rPr>
                <w:spacing w:val="-2"/>
                <w:sz w:val="22"/>
              </w:rPr>
              <w:t>Standard.</w:t>
            </w:r>
          </w:p>
        </w:tc>
      </w:tr>
    </w:tbl>
    <w:p>
      <w:pPr>
        <w:spacing w:after="0" w:line="235" w:lineRule="exact"/>
        <w:jc w:val="center"/>
        <w:rPr>
          <w:sz w:val="22"/>
        </w:rPr>
        <w:sectPr>
          <w:footerReference w:type="default" r:id="rId280"/>
          <w:pgSz w:w="15840" w:h="12240" w:orient="landscape"/>
          <w:pgMar w:footer="1201" w:header="0" w:top="1380" w:bottom="1400" w:left="1340" w:right="1380"/>
        </w:sectPr>
      </w:pPr>
    </w:p>
    <w:p>
      <w:pPr>
        <w:pStyle w:val="BodyText"/>
        <w:spacing w:before="2"/>
        <w:rPr>
          <w:sz w:val="5"/>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7"/>
        <w:gridCol w:w="2244"/>
        <w:gridCol w:w="1495"/>
        <w:gridCol w:w="1670"/>
        <w:gridCol w:w="1348"/>
        <w:gridCol w:w="3899"/>
      </w:tblGrid>
      <w:tr>
        <w:trPr>
          <w:trHeight w:val="412" w:hRule="atLeast"/>
        </w:trPr>
        <w:tc>
          <w:tcPr>
            <w:tcW w:w="12893" w:type="dxa"/>
            <w:gridSpan w:val="6"/>
            <w:shd w:val="clear" w:color="auto" w:fill="DBE4F0"/>
          </w:tcPr>
          <w:p>
            <w:pPr>
              <w:pStyle w:val="TableParagraph"/>
              <w:spacing w:before="80"/>
              <w:ind w:left="5038" w:right="5024"/>
              <w:jc w:val="center"/>
              <w:rPr>
                <w:b/>
                <w:sz w:val="22"/>
              </w:rPr>
            </w:pPr>
            <w:r>
              <w:rPr>
                <w:b/>
                <w:sz w:val="22"/>
              </w:rPr>
              <w:t>Table</w:t>
            </w:r>
            <w:r>
              <w:rPr>
                <w:b/>
                <w:spacing w:val="-3"/>
                <w:sz w:val="22"/>
              </w:rPr>
              <w:t> </w:t>
            </w:r>
            <w:r>
              <w:rPr>
                <w:b/>
                <w:sz w:val="22"/>
              </w:rPr>
              <w:t>17:</w:t>
            </w:r>
            <w:r>
              <w:rPr>
                <w:b/>
                <w:spacing w:val="-2"/>
                <w:sz w:val="22"/>
              </w:rPr>
              <w:t> </w:t>
            </w:r>
            <w:r>
              <w:rPr>
                <w:b/>
                <w:sz w:val="22"/>
              </w:rPr>
              <w:t>Master</w:t>
            </w:r>
            <w:r>
              <w:rPr>
                <w:b/>
                <w:spacing w:val="-2"/>
                <w:sz w:val="22"/>
              </w:rPr>
              <w:t> </w:t>
            </w:r>
            <w:r>
              <w:rPr>
                <w:b/>
                <w:sz w:val="22"/>
              </w:rPr>
              <w:t>MEG</w:t>
            </w:r>
            <w:r>
              <w:rPr>
                <w:b/>
                <w:spacing w:val="-4"/>
                <w:sz w:val="22"/>
              </w:rPr>
              <w:t> Chart</w:t>
            </w:r>
          </w:p>
        </w:tc>
      </w:tr>
      <w:tr>
        <w:trPr>
          <w:trHeight w:val="505" w:hRule="atLeast"/>
        </w:trPr>
        <w:tc>
          <w:tcPr>
            <w:tcW w:w="2237" w:type="dxa"/>
            <w:shd w:val="clear" w:color="auto" w:fill="DBE4F0"/>
          </w:tcPr>
          <w:p>
            <w:pPr>
              <w:pStyle w:val="TableParagraph"/>
              <w:spacing w:before="125"/>
              <w:ind w:left="108" w:right="101"/>
              <w:jc w:val="center"/>
              <w:rPr>
                <w:b/>
                <w:sz w:val="22"/>
              </w:rPr>
            </w:pPr>
            <w:r>
              <w:rPr>
                <w:b/>
                <w:spacing w:val="-5"/>
                <w:sz w:val="22"/>
              </w:rPr>
              <w:t>MEG</w:t>
            </w:r>
          </w:p>
        </w:tc>
        <w:tc>
          <w:tcPr>
            <w:tcW w:w="2244" w:type="dxa"/>
            <w:shd w:val="clear" w:color="auto" w:fill="DBE4F0"/>
          </w:tcPr>
          <w:p>
            <w:pPr>
              <w:pStyle w:val="TableParagraph"/>
              <w:spacing w:line="254" w:lineRule="exact"/>
              <w:ind w:left="712" w:hanging="315"/>
              <w:rPr>
                <w:b/>
                <w:sz w:val="22"/>
              </w:rPr>
            </w:pPr>
            <w:r>
              <w:rPr>
                <w:b/>
                <w:sz w:val="22"/>
              </w:rPr>
              <w:t>Which</w:t>
            </w:r>
            <w:r>
              <w:rPr>
                <w:b/>
                <w:spacing w:val="-14"/>
                <w:sz w:val="22"/>
              </w:rPr>
              <w:t> </w:t>
            </w:r>
            <w:r>
              <w:rPr>
                <w:b/>
                <w:sz w:val="22"/>
              </w:rPr>
              <w:t>BN</w:t>
            </w:r>
            <w:r>
              <w:rPr>
                <w:b/>
                <w:spacing w:val="-14"/>
                <w:sz w:val="22"/>
              </w:rPr>
              <w:t> </w:t>
            </w:r>
            <w:r>
              <w:rPr>
                <w:b/>
                <w:sz w:val="22"/>
              </w:rPr>
              <w:t>Test </w:t>
            </w:r>
            <w:r>
              <w:rPr>
                <w:b/>
                <w:spacing w:val="-2"/>
                <w:sz w:val="22"/>
              </w:rPr>
              <w:t>Applies?</w:t>
            </w:r>
          </w:p>
        </w:tc>
        <w:tc>
          <w:tcPr>
            <w:tcW w:w="1495" w:type="dxa"/>
            <w:shd w:val="clear" w:color="auto" w:fill="DBE4F0"/>
          </w:tcPr>
          <w:p>
            <w:pPr>
              <w:pStyle w:val="TableParagraph"/>
              <w:spacing w:line="254" w:lineRule="exact"/>
              <w:ind w:left="429" w:right="237" w:hanging="183"/>
              <w:rPr>
                <w:b/>
                <w:sz w:val="22"/>
              </w:rPr>
            </w:pPr>
            <w:r>
              <w:rPr>
                <w:b/>
                <w:sz w:val="22"/>
              </w:rPr>
              <w:t>WOW</w:t>
            </w:r>
            <w:r>
              <w:rPr>
                <w:b/>
                <w:spacing w:val="-14"/>
                <w:sz w:val="22"/>
              </w:rPr>
              <w:t> </w:t>
            </w:r>
            <w:r>
              <w:rPr>
                <w:b/>
                <w:sz w:val="22"/>
              </w:rPr>
              <w:t>Per </w:t>
            </w:r>
            <w:r>
              <w:rPr>
                <w:b/>
                <w:spacing w:val="-2"/>
                <w:sz w:val="22"/>
              </w:rPr>
              <w:t>Capita</w:t>
            </w:r>
          </w:p>
        </w:tc>
        <w:tc>
          <w:tcPr>
            <w:tcW w:w="1670" w:type="dxa"/>
            <w:shd w:val="clear" w:color="auto" w:fill="DBE4F0"/>
          </w:tcPr>
          <w:p>
            <w:pPr>
              <w:pStyle w:val="TableParagraph"/>
              <w:spacing w:line="251" w:lineRule="exact"/>
              <w:ind w:left="337" w:right="332"/>
              <w:jc w:val="center"/>
              <w:rPr>
                <w:b/>
                <w:sz w:val="22"/>
              </w:rPr>
            </w:pPr>
            <w:r>
              <w:rPr>
                <w:b/>
                <w:spacing w:val="-5"/>
                <w:sz w:val="22"/>
              </w:rPr>
              <w:t>WOW</w:t>
            </w:r>
          </w:p>
          <w:p>
            <w:pPr>
              <w:pStyle w:val="TableParagraph"/>
              <w:spacing w:line="233" w:lineRule="exact" w:before="1"/>
              <w:ind w:left="339" w:right="332"/>
              <w:jc w:val="center"/>
              <w:rPr>
                <w:b/>
                <w:sz w:val="22"/>
              </w:rPr>
            </w:pPr>
            <w:r>
              <w:rPr>
                <w:b/>
                <w:spacing w:val="-2"/>
                <w:sz w:val="22"/>
              </w:rPr>
              <w:t>Aggregate</w:t>
            </w:r>
          </w:p>
        </w:tc>
        <w:tc>
          <w:tcPr>
            <w:tcW w:w="1348" w:type="dxa"/>
            <w:shd w:val="clear" w:color="auto" w:fill="DBE4F0"/>
          </w:tcPr>
          <w:p>
            <w:pPr>
              <w:pStyle w:val="TableParagraph"/>
              <w:spacing w:before="125"/>
              <w:ind w:left="437" w:right="431"/>
              <w:jc w:val="center"/>
              <w:rPr>
                <w:b/>
                <w:sz w:val="22"/>
              </w:rPr>
            </w:pPr>
            <w:r>
              <w:rPr>
                <w:b/>
                <w:spacing w:val="-5"/>
                <w:sz w:val="22"/>
              </w:rPr>
              <w:t>WW</w:t>
            </w:r>
          </w:p>
        </w:tc>
        <w:tc>
          <w:tcPr>
            <w:tcW w:w="3899" w:type="dxa"/>
            <w:shd w:val="clear" w:color="auto" w:fill="DBE4F0"/>
          </w:tcPr>
          <w:p>
            <w:pPr>
              <w:pStyle w:val="TableParagraph"/>
              <w:spacing w:before="125"/>
              <w:ind w:left="1140"/>
              <w:rPr>
                <w:b/>
                <w:sz w:val="22"/>
              </w:rPr>
            </w:pPr>
            <w:r>
              <w:rPr>
                <w:b/>
                <w:sz w:val="22"/>
              </w:rPr>
              <w:t>Brief</w:t>
            </w:r>
            <w:r>
              <w:rPr>
                <w:b/>
                <w:spacing w:val="-1"/>
                <w:sz w:val="22"/>
              </w:rPr>
              <w:t> </w:t>
            </w:r>
            <w:r>
              <w:rPr>
                <w:b/>
                <w:spacing w:val="-2"/>
                <w:sz w:val="22"/>
              </w:rPr>
              <w:t>Description</w:t>
            </w:r>
          </w:p>
        </w:tc>
      </w:tr>
      <w:tr>
        <w:trPr>
          <w:trHeight w:val="758" w:hRule="atLeast"/>
        </w:trPr>
        <w:tc>
          <w:tcPr>
            <w:tcW w:w="2237" w:type="dxa"/>
          </w:tcPr>
          <w:p>
            <w:pPr>
              <w:pStyle w:val="TableParagraph"/>
              <w:spacing w:before="9"/>
              <w:rPr>
                <w:sz w:val="21"/>
              </w:rPr>
            </w:pPr>
          </w:p>
          <w:p>
            <w:pPr>
              <w:pStyle w:val="TableParagraph"/>
              <w:ind w:left="110" w:right="101"/>
              <w:jc w:val="center"/>
              <w:rPr>
                <w:sz w:val="22"/>
              </w:rPr>
            </w:pPr>
            <w:r>
              <w:rPr>
                <w:spacing w:val="-2"/>
                <w:sz w:val="22"/>
              </w:rPr>
              <w:t>CommonHealth</w:t>
            </w:r>
          </w:p>
        </w:tc>
        <w:tc>
          <w:tcPr>
            <w:tcW w:w="2244" w:type="dxa"/>
          </w:tcPr>
          <w:p>
            <w:pPr>
              <w:pStyle w:val="TableParagraph"/>
              <w:spacing w:before="9"/>
              <w:rPr>
                <w:sz w:val="21"/>
              </w:rPr>
            </w:pPr>
          </w:p>
          <w:p>
            <w:pPr>
              <w:pStyle w:val="TableParagraph"/>
              <w:ind w:left="473" w:right="467"/>
              <w:jc w:val="center"/>
              <w:rPr>
                <w:sz w:val="22"/>
              </w:rPr>
            </w:pPr>
            <w:r>
              <w:rPr>
                <w:sz w:val="22"/>
              </w:rPr>
              <w:t>Hypo</w:t>
            </w:r>
            <w:r>
              <w:rPr>
                <w:spacing w:val="-5"/>
                <w:sz w:val="22"/>
              </w:rPr>
              <w:t> </w:t>
            </w:r>
            <w:r>
              <w:rPr>
                <w:spacing w:val="-10"/>
                <w:sz w:val="22"/>
              </w:rPr>
              <w:t>1</w:t>
            </w:r>
          </w:p>
        </w:tc>
        <w:tc>
          <w:tcPr>
            <w:tcW w:w="1495" w:type="dxa"/>
          </w:tcPr>
          <w:p>
            <w:pPr>
              <w:pStyle w:val="TableParagraph"/>
              <w:spacing w:before="9"/>
              <w:rPr>
                <w:sz w:val="21"/>
              </w:rPr>
            </w:pPr>
          </w:p>
          <w:p>
            <w:pPr>
              <w:pStyle w:val="TableParagraph"/>
              <w:ind w:left="8"/>
              <w:jc w:val="center"/>
              <w:rPr>
                <w:sz w:val="22"/>
              </w:rPr>
            </w:pPr>
            <w:r>
              <w:rPr>
                <w:w w:val="100"/>
                <w:sz w:val="22"/>
              </w:rPr>
              <w:t>X</w:t>
            </w:r>
          </w:p>
        </w:tc>
        <w:tc>
          <w:tcPr>
            <w:tcW w:w="1670" w:type="dxa"/>
          </w:tcPr>
          <w:p>
            <w:pPr>
              <w:pStyle w:val="TableParagraph"/>
              <w:rPr>
                <w:sz w:val="20"/>
              </w:rPr>
            </w:pPr>
          </w:p>
        </w:tc>
        <w:tc>
          <w:tcPr>
            <w:tcW w:w="1348" w:type="dxa"/>
          </w:tcPr>
          <w:p>
            <w:pPr>
              <w:pStyle w:val="TableParagraph"/>
              <w:spacing w:before="9"/>
              <w:rPr>
                <w:sz w:val="21"/>
              </w:rPr>
            </w:pPr>
          </w:p>
          <w:p>
            <w:pPr>
              <w:pStyle w:val="TableParagraph"/>
              <w:ind w:left="7"/>
              <w:jc w:val="center"/>
              <w:rPr>
                <w:sz w:val="22"/>
              </w:rPr>
            </w:pPr>
            <w:r>
              <w:rPr>
                <w:w w:val="100"/>
                <w:sz w:val="22"/>
              </w:rPr>
              <w:t>X</w:t>
            </w:r>
          </w:p>
        </w:tc>
        <w:tc>
          <w:tcPr>
            <w:tcW w:w="3899" w:type="dxa"/>
          </w:tcPr>
          <w:p>
            <w:pPr>
              <w:pStyle w:val="TableParagraph"/>
              <w:spacing w:line="249" w:lineRule="exact"/>
              <w:ind w:left="360" w:firstLine="62"/>
              <w:rPr>
                <w:sz w:val="22"/>
              </w:rPr>
            </w:pPr>
            <w:r>
              <w:rPr>
                <w:sz w:val="22"/>
              </w:rPr>
              <w:t>Higher</w:t>
            </w:r>
            <w:r>
              <w:rPr>
                <w:spacing w:val="-3"/>
                <w:sz w:val="22"/>
              </w:rPr>
              <w:t> </w:t>
            </w:r>
            <w:r>
              <w:rPr>
                <w:sz w:val="22"/>
              </w:rPr>
              <w:t>income</w:t>
            </w:r>
            <w:r>
              <w:rPr>
                <w:spacing w:val="-4"/>
                <w:sz w:val="22"/>
              </w:rPr>
              <w:t> </w:t>
            </w:r>
            <w:r>
              <w:rPr>
                <w:sz w:val="22"/>
              </w:rPr>
              <w:t>working</w:t>
            </w:r>
            <w:r>
              <w:rPr>
                <w:spacing w:val="-7"/>
                <w:sz w:val="22"/>
              </w:rPr>
              <w:t> </w:t>
            </w:r>
            <w:r>
              <w:rPr>
                <w:sz w:val="22"/>
              </w:rPr>
              <w:t>adults</w:t>
            </w:r>
            <w:r>
              <w:rPr>
                <w:spacing w:val="-3"/>
                <w:sz w:val="22"/>
              </w:rPr>
              <w:t> </w:t>
            </w:r>
            <w:r>
              <w:rPr>
                <w:spacing w:val="-5"/>
                <w:sz w:val="22"/>
              </w:rPr>
              <w:t>and</w:t>
            </w:r>
          </w:p>
          <w:p>
            <w:pPr>
              <w:pStyle w:val="TableParagraph"/>
              <w:spacing w:line="252" w:lineRule="exact"/>
              <w:ind w:left="1220" w:hanging="860"/>
              <w:rPr>
                <w:sz w:val="22"/>
              </w:rPr>
            </w:pPr>
            <w:r>
              <w:rPr>
                <w:sz w:val="22"/>
              </w:rPr>
              <w:t>children</w:t>
            </w:r>
            <w:r>
              <w:rPr>
                <w:spacing w:val="-8"/>
                <w:sz w:val="22"/>
              </w:rPr>
              <w:t> </w:t>
            </w:r>
            <w:r>
              <w:rPr>
                <w:sz w:val="22"/>
              </w:rPr>
              <w:t>with</w:t>
            </w:r>
            <w:r>
              <w:rPr>
                <w:spacing w:val="-8"/>
                <w:sz w:val="22"/>
              </w:rPr>
              <w:t> </w:t>
            </w:r>
            <w:r>
              <w:rPr>
                <w:sz w:val="22"/>
              </w:rPr>
              <w:t>disabilities</w:t>
            </w:r>
            <w:r>
              <w:rPr>
                <w:spacing w:val="-8"/>
                <w:sz w:val="22"/>
              </w:rPr>
              <w:t> </w:t>
            </w:r>
            <w:r>
              <w:rPr>
                <w:sz w:val="22"/>
              </w:rPr>
              <w:t>enrolled</w:t>
            </w:r>
            <w:r>
              <w:rPr>
                <w:spacing w:val="-11"/>
                <w:sz w:val="22"/>
              </w:rPr>
              <w:t> </w:t>
            </w:r>
            <w:r>
              <w:rPr>
                <w:sz w:val="22"/>
              </w:rPr>
              <w:t>in </w:t>
            </w:r>
            <w:r>
              <w:rPr>
                <w:spacing w:val="-2"/>
                <w:sz w:val="22"/>
              </w:rPr>
              <w:t>CommonHealth.</w:t>
            </w:r>
          </w:p>
        </w:tc>
      </w:tr>
      <w:tr>
        <w:trPr>
          <w:trHeight w:val="1010" w:hRule="atLeast"/>
        </w:trPr>
        <w:tc>
          <w:tcPr>
            <w:tcW w:w="2237" w:type="dxa"/>
          </w:tcPr>
          <w:p>
            <w:pPr>
              <w:pStyle w:val="TableParagraph"/>
              <w:spacing w:before="9"/>
              <w:rPr>
                <w:sz w:val="32"/>
              </w:rPr>
            </w:pPr>
          </w:p>
          <w:p>
            <w:pPr>
              <w:pStyle w:val="TableParagraph"/>
              <w:ind w:left="112" w:right="100"/>
              <w:jc w:val="center"/>
              <w:rPr>
                <w:sz w:val="22"/>
              </w:rPr>
            </w:pPr>
            <w:r>
              <w:rPr>
                <w:sz w:val="22"/>
              </w:rPr>
              <w:t>e-Family</w:t>
            </w:r>
            <w:r>
              <w:rPr>
                <w:spacing w:val="-8"/>
                <w:sz w:val="22"/>
              </w:rPr>
              <w:t> </w:t>
            </w:r>
            <w:r>
              <w:rPr>
                <w:spacing w:val="-2"/>
                <w:sz w:val="22"/>
              </w:rPr>
              <w:t>Assistance</w:t>
            </w:r>
          </w:p>
        </w:tc>
        <w:tc>
          <w:tcPr>
            <w:tcW w:w="2244" w:type="dxa"/>
          </w:tcPr>
          <w:p>
            <w:pPr>
              <w:pStyle w:val="TableParagraph"/>
              <w:spacing w:before="9"/>
              <w:rPr>
                <w:sz w:val="32"/>
              </w:rPr>
            </w:pPr>
          </w:p>
          <w:p>
            <w:pPr>
              <w:pStyle w:val="TableParagraph"/>
              <w:ind w:left="476" w:right="467"/>
              <w:jc w:val="center"/>
              <w:rPr>
                <w:sz w:val="22"/>
              </w:rPr>
            </w:pPr>
            <w:r>
              <w:rPr>
                <w:spacing w:val="-4"/>
                <w:sz w:val="22"/>
              </w:rPr>
              <w:t>Main</w:t>
            </w:r>
          </w:p>
        </w:tc>
        <w:tc>
          <w:tcPr>
            <w:tcW w:w="1495" w:type="dxa"/>
          </w:tcPr>
          <w:p>
            <w:pPr>
              <w:pStyle w:val="TableParagraph"/>
              <w:rPr>
                <w:sz w:val="20"/>
              </w:rPr>
            </w:pPr>
          </w:p>
        </w:tc>
        <w:tc>
          <w:tcPr>
            <w:tcW w:w="1670" w:type="dxa"/>
          </w:tcPr>
          <w:p>
            <w:pPr>
              <w:pStyle w:val="TableParagraph"/>
              <w:rPr>
                <w:sz w:val="20"/>
              </w:rPr>
            </w:pPr>
          </w:p>
        </w:tc>
        <w:tc>
          <w:tcPr>
            <w:tcW w:w="1348" w:type="dxa"/>
          </w:tcPr>
          <w:p>
            <w:pPr>
              <w:pStyle w:val="TableParagraph"/>
              <w:spacing w:before="9"/>
              <w:rPr>
                <w:sz w:val="32"/>
              </w:rPr>
            </w:pPr>
          </w:p>
          <w:p>
            <w:pPr>
              <w:pStyle w:val="TableParagraph"/>
              <w:ind w:left="7"/>
              <w:jc w:val="center"/>
              <w:rPr>
                <w:sz w:val="22"/>
              </w:rPr>
            </w:pPr>
            <w:r>
              <w:rPr>
                <w:w w:val="100"/>
                <w:sz w:val="22"/>
              </w:rPr>
              <w:t>X</w:t>
            </w:r>
          </w:p>
        </w:tc>
        <w:tc>
          <w:tcPr>
            <w:tcW w:w="3899" w:type="dxa"/>
          </w:tcPr>
          <w:p>
            <w:pPr>
              <w:pStyle w:val="TableParagraph"/>
              <w:ind w:left="128" w:right="110" w:firstLine="3"/>
              <w:jc w:val="center"/>
              <w:rPr>
                <w:sz w:val="22"/>
              </w:rPr>
            </w:pPr>
            <w:r>
              <w:rPr>
                <w:sz w:val="22"/>
              </w:rPr>
              <w:t>Eligible children receiving premium assistance</w:t>
            </w:r>
            <w:r>
              <w:rPr>
                <w:spacing w:val="-9"/>
                <w:sz w:val="22"/>
              </w:rPr>
              <w:t> </w:t>
            </w:r>
            <w:r>
              <w:rPr>
                <w:sz w:val="22"/>
              </w:rPr>
              <w:t>or</w:t>
            </w:r>
            <w:r>
              <w:rPr>
                <w:spacing w:val="-7"/>
                <w:sz w:val="22"/>
              </w:rPr>
              <w:t> </w:t>
            </w:r>
            <w:r>
              <w:rPr>
                <w:sz w:val="22"/>
              </w:rPr>
              <w:t>direct</w:t>
            </w:r>
            <w:r>
              <w:rPr>
                <w:spacing w:val="-7"/>
                <w:sz w:val="22"/>
              </w:rPr>
              <w:t> </w:t>
            </w:r>
            <w:r>
              <w:rPr>
                <w:sz w:val="22"/>
              </w:rPr>
              <w:t>coverage</w:t>
            </w:r>
            <w:r>
              <w:rPr>
                <w:spacing w:val="-8"/>
                <w:sz w:val="22"/>
              </w:rPr>
              <w:t> </w:t>
            </w:r>
            <w:r>
              <w:rPr>
                <w:sz w:val="22"/>
              </w:rPr>
              <w:t>through</w:t>
            </w:r>
            <w:r>
              <w:rPr>
                <w:spacing w:val="-8"/>
                <w:sz w:val="22"/>
              </w:rPr>
              <w:t> </w:t>
            </w:r>
            <w:r>
              <w:rPr>
                <w:sz w:val="22"/>
              </w:rPr>
              <w:t>300 percent of the FPL enrolled in Family</w:t>
            </w:r>
          </w:p>
          <w:p>
            <w:pPr>
              <w:pStyle w:val="TableParagraph"/>
              <w:spacing w:line="233" w:lineRule="exact"/>
              <w:ind w:left="129" w:right="113"/>
              <w:jc w:val="center"/>
              <w:rPr>
                <w:sz w:val="22"/>
              </w:rPr>
            </w:pPr>
            <w:r>
              <w:rPr>
                <w:spacing w:val="-2"/>
                <w:sz w:val="22"/>
              </w:rPr>
              <w:t>Assistance.</w:t>
            </w:r>
          </w:p>
        </w:tc>
      </w:tr>
      <w:tr>
        <w:trPr>
          <w:trHeight w:val="1012" w:hRule="atLeast"/>
        </w:trPr>
        <w:tc>
          <w:tcPr>
            <w:tcW w:w="2237" w:type="dxa"/>
          </w:tcPr>
          <w:p>
            <w:pPr>
              <w:pStyle w:val="TableParagraph"/>
              <w:rPr>
                <w:sz w:val="33"/>
              </w:rPr>
            </w:pPr>
          </w:p>
          <w:p>
            <w:pPr>
              <w:pStyle w:val="TableParagraph"/>
              <w:ind w:left="106" w:right="101"/>
              <w:jc w:val="center"/>
              <w:rPr>
                <w:sz w:val="22"/>
              </w:rPr>
            </w:pPr>
            <w:r>
              <w:rPr>
                <w:spacing w:val="-2"/>
                <w:sz w:val="22"/>
              </w:rPr>
              <w:t>e-HIV/FA</w:t>
            </w:r>
          </w:p>
        </w:tc>
        <w:tc>
          <w:tcPr>
            <w:tcW w:w="2244" w:type="dxa"/>
          </w:tcPr>
          <w:p>
            <w:pPr>
              <w:pStyle w:val="TableParagraph"/>
              <w:rPr>
                <w:sz w:val="33"/>
              </w:rPr>
            </w:pPr>
          </w:p>
          <w:p>
            <w:pPr>
              <w:pStyle w:val="TableParagraph"/>
              <w:ind w:left="476" w:right="467"/>
              <w:jc w:val="center"/>
              <w:rPr>
                <w:sz w:val="22"/>
              </w:rPr>
            </w:pPr>
            <w:r>
              <w:rPr>
                <w:spacing w:val="-4"/>
                <w:sz w:val="22"/>
              </w:rPr>
              <w:t>Main</w:t>
            </w:r>
          </w:p>
        </w:tc>
        <w:tc>
          <w:tcPr>
            <w:tcW w:w="1495" w:type="dxa"/>
          </w:tcPr>
          <w:p>
            <w:pPr>
              <w:pStyle w:val="TableParagraph"/>
              <w:rPr>
                <w:sz w:val="20"/>
              </w:rPr>
            </w:pPr>
          </w:p>
        </w:tc>
        <w:tc>
          <w:tcPr>
            <w:tcW w:w="1670" w:type="dxa"/>
          </w:tcPr>
          <w:p>
            <w:pPr>
              <w:pStyle w:val="TableParagraph"/>
              <w:rPr>
                <w:sz w:val="20"/>
              </w:rPr>
            </w:pPr>
          </w:p>
        </w:tc>
        <w:tc>
          <w:tcPr>
            <w:tcW w:w="1348" w:type="dxa"/>
          </w:tcPr>
          <w:p>
            <w:pPr>
              <w:pStyle w:val="TableParagraph"/>
              <w:rPr>
                <w:sz w:val="33"/>
              </w:rPr>
            </w:pPr>
          </w:p>
          <w:p>
            <w:pPr>
              <w:pStyle w:val="TableParagraph"/>
              <w:ind w:left="7"/>
              <w:jc w:val="center"/>
              <w:rPr>
                <w:sz w:val="22"/>
              </w:rPr>
            </w:pPr>
            <w:r>
              <w:rPr>
                <w:w w:val="100"/>
                <w:sz w:val="22"/>
              </w:rPr>
              <w:t>X</w:t>
            </w:r>
          </w:p>
        </w:tc>
        <w:tc>
          <w:tcPr>
            <w:tcW w:w="3899" w:type="dxa"/>
          </w:tcPr>
          <w:p>
            <w:pPr>
              <w:pStyle w:val="TableParagraph"/>
              <w:spacing w:before="1"/>
              <w:ind w:left="118" w:right="101" w:firstLine="2"/>
              <w:jc w:val="center"/>
              <w:rPr>
                <w:sz w:val="22"/>
              </w:rPr>
            </w:pPr>
            <w:r>
              <w:rPr>
                <w:sz w:val="22"/>
              </w:rPr>
              <w:t>Eligible</w:t>
            </w:r>
            <w:r>
              <w:rPr>
                <w:spacing w:val="-4"/>
                <w:sz w:val="22"/>
              </w:rPr>
              <w:t> </w:t>
            </w:r>
            <w:r>
              <w:rPr>
                <w:sz w:val="22"/>
              </w:rPr>
              <w:t>individuals</w:t>
            </w:r>
            <w:r>
              <w:rPr>
                <w:spacing w:val="-4"/>
                <w:sz w:val="22"/>
              </w:rPr>
              <w:t> </w:t>
            </w:r>
            <w:r>
              <w:rPr>
                <w:sz w:val="22"/>
              </w:rPr>
              <w:t>with</w:t>
            </w:r>
            <w:r>
              <w:rPr>
                <w:spacing w:val="-4"/>
                <w:sz w:val="22"/>
              </w:rPr>
              <w:t> </w:t>
            </w:r>
            <w:r>
              <w:rPr>
                <w:sz w:val="22"/>
              </w:rPr>
              <w:t>HIV/AIDS</w:t>
            </w:r>
            <w:r>
              <w:rPr>
                <w:spacing w:val="-5"/>
                <w:sz w:val="22"/>
              </w:rPr>
              <w:t> </w:t>
            </w:r>
            <w:r>
              <w:rPr>
                <w:sz w:val="22"/>
              </w:rPr>
              <w:t>with incomes</w:t>
            </w:r>
            <w:r>
              <w:rPr>
                <w:spacing w:val="-6"/>
                <w:sz w:val="22"/>
              </w:rPr>
              <w:t> </w:t>
            </w:r>
            <w:r>
              <w:rPr>
                <w:sz w:val="22"/>
              </w:rPr>
              <w:t>from</w:t>
            </w:r>
            <w:r>
              <w:rPr>
                <w:spacing w:val="-10"/>
                <w:sz w:val="22"/>
              </w:rPr>
              <w:t> </w:t>
            </w:r>
            <w:r>
              <w:rPr>
                <w:sz w:val="22"/>
              </w:rPr>
              <w:t>133</w:t>
            </w:r>
            <w:r>
              <w:rPr>
                <w:spacing w:val="-6"/>
                <w:sz w:val="22"/>
              </w:rPr>
              <w:t> </w:t>
            </w:r>
            <w:r>
              <w:rPr>
                <w:sz w:val="22"/>
              </w:rPr>
              <w:t>through</w:t>
            </w:r>
            <w:r>
              <w:rPr>
                <w:spacing w:val="-6"/>
                <w:sz w:val="22"/>
              </w:rPr>
              <w:t> </w:t>
            </w:r>
            <w:r>
              <w:rPr>
                <w:sz w:val="22"/>
              </w:rPr>
              <w:t>200</w:t>
            </w:r>
            <w:r>
              <w:rPr>
                <w:spacing w:val="-6"/>
                <w:sz w:val="22"/>
              </w:rPr>
              <w:t> </w:t>
            </w:r>
            <w:r>
              <w:rPr>
                <w:sz w:val="22"/>
              </w:rPr>
              <w:t>percent</w:t>
            </w:r>
            <w:r>
              <w:rPr>
                <w:spacing w:val="-5"/>
                <w:sz w:val="22"/>
              </w:rPr>
              <w:t> </w:t>
            </w:r>
            <w:r>
              <w:rPr>
                <w:sz w:val="22"/>
              </w:rPr>
              <w:t>of the FPL who are enrolled in Family</w:t>
            </w:r>
          </w:p>
          <w:p>
            <w:pPr>
              <w:pStyle w:val="TableParagraph"/>
              <w:spacing w:line="233" w:lineRule="exact"/>
              <w:ind w:left="129" w:right="113"/>
              <w:jc w:val="center"/>
              <w:rPr>
                <w:sz w:val="22"/>
              </w:rPr>
            </w:pPr>
            <w:r>
              <w:rPr>
                <w:spacing w:val="-2"/>
                <w:sz w:val="22"/>
              </w:rPr>
              <w:t>Assistance.</w:t>
            </w:r>
          </w:p>
        </w:tc>
      </w:tr>
      <w:tr>
        <w:trPr>
          <w:trHeight w:val="1264" w:hRule="atLeast"/>
        </w:trPr>
        <w:tc>
          <w:tcPr>
            <w:tcW w:w="2237" w:type="dxa"/>
          </w:tcPr>
          <w:p>
            <w:pPr>
              <w:pStyle w:val="TableParagraph"/>
              <w:rPr>
                <w:sz w:val="24"/>
              </w:rPr>
            </w:pPr>
          </w:p>
          <w:p>
            <w:pPr>
              <w:pStyle w:val="TableParagraph"/>
              <w:spacing w:before="10"/>
              <w:rPr>
                <w:sz w:val="19"/>
              </w:rPr>
            </w:pPr>
          </w:p>
          <w:p>
            <w:pPr>
              <w:pStyle w:val="TableParagraph"/>
              <w:ind w:left="106" w:right="101"/>
              <w:jc w:val="center"/>
              <w:rPr>
                <w:sz w:val="22"/>
              </w:rPr>
            </w:pPr>
            <w:r>
              <w:rPr>
                <w:spacing w:val="-2"/>
                <w:sz w:val="22"/>
              </w:rPr>
              <w:t>SNCP-DSRIP</w:t>
            </w:r>
          </w:p>
        </w:tc>
        <w:tc>
          <w:tcPr>
            <w:tcW w:w="2244" w:type="dxa"/>
          </w:tcPr>
          <w:p>
            <w:pPr>
              <w:pStyle w:val="TableParagraph"/>
              <w:rPr>
                <w:sz w:val="24"/>
              </w:rPr>
            </w:pPr>
          </w:p>
          <w:p>
            <w:pPr>
              <w:pStyle w:val="TableParagraph"/>
              <w:spacing w:before="10"/>
              <w:rPr>
                <w:sz w:val="19"/>
              </w:rPr>
            </w:pPr>
          </w:p>
          <w:p>
            <w:pPr>
              <w:pStyle w:val="TableParagraph"/>
              <w:ind w:left="476" w:right="467"/>
              <w:jc w:val="center"/>
              <w:rPr>
                <w:sz w:val="22"/>
              </w:rPr>
            </w:pPr>
            <w:r>
              <w:rPr>
                <w:spacing w:val="-4"/>
                <w:sz w:val="22"/>
              </w:rPr>
              <w:t>Main</w:t>
            </w:r>
          </w:p>
        </w:tc>
        <w:tc>
          <w:tcPr>
            <w:tcW w:w="1495" w:type="dxa"/>
          </w:tcPr>
          <w:p>
            <w:pPr>
              <w:pStyle w:val="TableParagraph"/>
              <w:rPr>
                <w:sz w:val="20"/>
              </w:rPr>
            </w:pPr>
          </w:p>
        </w:tc>
        <w:tc>
          <w:tcPr>
            <w:tcW w:w="1670" w:type="dxa"/>
          </w:tcPr>
          <w:p>
            <w:pPr>
              <w:pStyle w:val="TableParagraph"/>
              <w:rPr>
                <w:sz w:val="20"/>
              </w:rPr>
            </w:pPr>
          </w:p>
        </w:tc>
        <w:tc>
          <w:tcPr>
            <w:tcW w:w="1348" w:type="dxa"/>
          </w:tcPr>
          <w:p>
            <w:pPr>
              <w:pStyle w:val="TableParagraph"/>
              <w:rPr>
                <w:sz w:val="24"/>
              </w:rPr>
            </w:pPr>
          </w:p>
          <w:p>
            <w:pPr>
              <w:pStyle w:val="TableParagraph"/>
              <w:spacing w:before="10"/>
              <w:rPr>
                <w:sz w:val="19"/>
              </w:rPr>
            </w:pPr>
          </w:p>
          <w:p>
            <w:pPr>
              <w:pStyle w:val="TableParagraph"/>
              <w:ind w:left="7"/>
              <w:jc w:val="center"/>
              <w:rPr>
                <w:sz w:val="22"/>
              </w:rPr>
            </w:pPr>
            <w:r>
              <w:rPr>
                <w:w w:val="100"/>
                <w:sz w:val="22"/>
              </w:rPr>
              <w:t>X</w:t>
            </w:r>
          </w:p>
        </w:tc>
        <w:tc>
          <w:tcPr>
            <w:tcW w:w="3899" w:type="dxa"/>
          </w:tcPr>
          <w:p>
            <w:pPr>
              <w:pStyle w:val="TableParagraph"/>
              <w:ind w:left="176" w:right="158" w:firstLine="1"/>
              <w:jc w:val="center"/>
              <w:rPr>
                <w:sz w:val="22"/>
              </w:rPr>
            </w:pPr>
            <w:r>
              <w:rPr>
                <w:sz w:val="22"/>
              </w:rPr>
              <w:t>Expenditures for Delivery System Reform</w:t>
            </w:r>
            <w:r>
              <w:rPr>
                <w:spacing w:val="-12"/>
                <w:sz w:val="22"/>
              </w:rPr>
              <w:t> </w:t>
            </w:r>
            <w:r>
              <w:rPr>
                <w:sz w:val="22"/>
              </w:rPr>
              <w:t>Payments</w:t>
            </w:r>
            <w:r>
              <w:rPr>
                <w:spacing w:val="-8"/>
                <w:sz w:val="22"/>
              </w:rPr>
              <w:t> </w:t>
            </w:r>
            <w:r>
              <w:rPr>
                <w:sz w:val="22"/>
              </w:rPr>
              <w:t>(DSRIP).</w:t>
            </w:r>
            <w:r>
              <w:rPr>
                <w:spacing w:val="-8"/>
                <w:sz w:val="22"/>
              </w:rPr>
              <w:t> </w:t>
            </w:r>
            <w:r>
              <w:rPr>
                <w:sz w:val="22"/>
              </w:rPr>
              <w:t>This</w:t>
            </w:r>
            <w:r>
              <w:rPr>
                <w:spacing w:val="-10"/>
                <w:sz w:val="22"/>
              </w:rPr>
              <w:t> </w:t>
            </w:r>
            <w:r>
              <w:rPr>
                <w:sz w:val="22"/>
              </w:rPr>
              <w:t>should be inclusive of SNCP-DSRIP-ACO, SNCP-DSRIP-CP, SNCP-DSRIP-SWI,</w:t>
            </w:r>
          </w:p>
          <w:p>
            <w:pPr>
              <w:pStyle w:val="TableParagraph"/>
              <w:spacing w:line="233" w:lineRule="exact"/>
              <w:ind w:left="128" w:right="113"/>
              <w:jc w:val="center"/>
              <w:rPr>
                <w:sz w:val="22"/>
              </w:rPr>
            </w:pPr>
            <w:r>
              <w:rPr>
                <w:spacing w:val="-2"/>
                <w:sz w:val="22"/>
              </w:rPr>
              <w:t>SNCP-DSRIP-Operations.</w:t>
            </w:r>
          </w:p>
        </w:tc>
      </w:tr>
      <w:tr>
        <w:trPr>
          <w:trHeight w:val="918" w:hRule="atLeast"/>
        </w:trPr>
        <w:tc>
          <w:tcPr>
            <w:tcW w:w="2237" w:type="dxa"/>
          </w:tcPr>
          <w:p>
            <w:pPr>
              <w:pStyle w:val="TableParagraph"/>
              <w:spacing w:before="2"/>
              <w:rPr>
                <w:sz w:val="22"/>
              </w:rPr>
            </w:pPr>
          </w:p>
          <w:p>
            <w:pPr>
              <w:pStyle w:val="TableParagraph"/>
              <w:ind w:left="110" w:right="101"/>
              <w:jc w:val="center"/>
              <w:rPr>
                <w:sz w:val="22"/>
              </w:rPr>
            </w:pPr>
            <w:r>
              <w:rPr>
                <w:spacing w:val="-2"/>
                <w:sz w:val="22"/>
              </w:rPr>
              <w:t>SNCP-PHTII</w:t>
            </w:r>
          </w:p>
        </w:tc>
        <w:tc>
          <w:tcPr>
            <w:tcW w:w="2244" w:type="dxa"/>
          </w:tcPr>
          <w:p>
            <w:pPr>
              <w:pStyle w:val="TableParagraph"/>
              <w:spacing w:before="2"/>
              <w:rPr>
                <w:sz w:val="22"/>
              </w:rPr>
            </w:pPr>
          </w:p>
          <w:p>
            <w:pPr>
              <w:pStyle w:val="TableParagraph"/>
              <w:ind w:left="476" w:right="467"/>
              <w:jc w:val="center"/>
              <w:rPr>
                <w:sz w:val="22"/>
              </w:rPr>
            </w:pPr>
            <w:r>
              <w:rPr>
                <w:spacing w:val="-4"/>
                <w:sz w:val="22"/>
              </w:rPr>
              <w:t>Main</w:t>
            </w:r>
          </w:p>
        </w:tc>
        <w:tc>
          <w:tcPr>
            <w:tcW w:w="1495" w:type="dxa"/>
          </w:tcPr>
          <w:p>
            <w:pPr>
              <w:pStyle w:val="TableParagraph"/>
              <w:rPr>
                <w:sz w:val="20"/>
              </w:rPr>
            </w:pPr>
          </w:p>
        </w:tc>
        <w:tc>
          <w:tcPr>
            <w:tcW w:w="1670" w:type="dxa"/>
          </w:tcPr>
          <w:p>
            <w:pPr>
              <w:pStyle w:val="TableParagraph"/>
              <w:rPr>
                <w:sz w:val="20"/>
              </w:rPr>
            </w:pPr>
          </w:p>
        </w:tc>
        <w:tc>
          <w:tcPr>
            <w:tcW w:w="1348" w:type="dxa"/>
          </w:tcPr>
          <w:p>
            <w:pPr>
              <w:pStyle w:val="TableParagraph"/>
              <w:spacing w:before="2"/>
              <w:rPr>
                <w:sz w:val="22"/>
              </w:rPr>
            </w:pPr>
          </w:p>
          <w:p>
            <w:pPr>
              <w:pStyle w:val="TableParagraph"/>
              <w:ind w:left="7"/>
              <w:jc w:val="center"/>
              <w:rPr>
                <w:sz w:val="22"/>
              </w:rPr>
            </w:pPr>
            <w:r>
              <w:rPr>
                <w:w w:val="100"/>
                <w:sz w:val="22"/>
              </w:rPr>
              <w:t>X</w:t>
            </w:r>
          </w:p>
        </w:tc>
        <w:tc>
          <w:tcPr>
            <w:tcW w:w="3899" w:type="dxa"/>
          </w:tcPr>
          <w:p>
            <w:pPr>
              <w:pStyle w:val="TableParagraph"/>
              <w:spacing w:before="1"/>
              <w:ind w:left="130" w:right="113"/>
              <w:jc w:val="center"/>
              <w:rPr>
                <w:sz w:val="22"/>
              </w:rPr>
            </w:pPr>
            <w:r>
              <w:rPr>
                <w:sz w:val="22"/>
              </w:rPr>
              <w:t>Expenditures</w:t>
            </w:r>
            <w:r>
              <w:rPr>
                <w:spacing w:val="-10"/>
                <w:sz w:val="22"/>
              </w:rPr>
              <w:t> </w:t>
            </w:r>
            <w:r>
              <w:rPr>
                <w:sz w:val="22"/>
              </w:rPr>
              <w:t>authorized</w:t>
            </w:r>
            <w:r>
              <w:rPr>
                <w:spacing w:val="-8"/>
                <w:sz w:val="22"/>
              </w:rPr>
              <w:t> </w:t>
            </w:r>
            <w:r>
              <w:rPr>
                <w:sz w:val="22"/>
              </w:rPr>
              <w:t>under</w:t>
            </w:r>
            <w:r>
              <w:rPr>
                <w:spacing w:val="-10"/>
                <w:sz w:val="22"/>
              </w:rPr>
              <w:t> </w:t>
            </w:r>
            <w:r>
              <w:rPr>
                <w:sz w:val="22"/>
              </w:rPr>
              <w:t>the</w:t>
            </w:r>
            <w:r>
              <w:rPr>
                <w:spacing w:val="-8"/>
                <w:sz w:val="22"/>
              </w:rPr>
              <w:t> </w:t>
            </w:r>
            <w:r>
              <w:rPr>
                <w:sz w:val="22"/>
              </w:rPr>
              <w:t>Public Hospital Transformation and Incentives </w:t>
            </w:r>
            <w:r>
              <w:rPr>
                <w:spacing w:val="-2"/>
                <w:sz w:val="22"/>
              </w:rPr>
              <w:t>Initiative</w:t>
            </w:r>
          </w:p>
        </w:tc>
      </w:tr>
      <w:tr>
        <w:trPr>
          <w:trHeight w:val="760" w:hRule="atLeast"/>
        </w:trPr>
        <w:tc>
          <w:tcPr>
            <w:tcW w:w="2237" w:type="dxa"/>
          </w:tcPr>
          <w:p>
            <w:pPr>
              <w:pStyle w:val="TableParagraph"/>
              <w:spacing w:before="11"/>
              <w:rPr>
                <w:sz w:val="21"/>
              </w:rPr>
            </w:pPr>
          </w:p>
          <w:p>
            <w:pPr>
              <w:pStyle w:val="TableParagraph"/>
              <w:ind w:left="110" w:right="101"/>
              <w:jc w:val="center"/>
              <w:rPr>
                <w:sz w:val="22"/>
              </w:rPr>
            </w:pPr>
            <w:r>
              <w:rPr>
                <w:spacing w:val="-2"/>
                <w:sz w:val="22"/>
              </w:rPr>
              <w:t>SNCP-DSH-</w:t>
            </w:r>
            <w:r>
              <w:rPr>
                <w:spacing w:val="-4"/>
                <w:sz w:val="22"/>
              </w:rPr>
              <w:t>HSNTF</w:t>
            </w:r>
          </w:p>
        </w:tc>
        <w:tc>
          <w:tcPr>
            <w:tcW w:w="2244" w:type="dxa"/>
          </w:tcPr>
          <w:p>
            <w:pPr>
              <w:pStyle w:val="TableParagraph"/>
              <w:spacing w:before="11"/>
              <w:rPr>
                <w:sz w:val="21"/>
              </w:rPr>
            </w:pPr>
          </w:p>
          <w:p>
            <w:pPr>
              <w:pStyle w:val="TableParagraph"/>
              <w:ind w:left="476" w:right="467"/>
              <w:jc w:val="center"/>
              <w:rPr>
                <w:sz w:val="22"/>
              </w:rPr>
            </w:pPr>
            <w:r>
              <w:rPr>
                <w:spacing w:val="-4"/>
                <w:sz w:val="22"/>
              </w:rPr>
              <w:t>Main</w:t>
            </w:r>
          </w:p>
        </w:tc>
        <w:tc>
          <w:tcPr>
            <w:tcW w:w="1495" w:type="dxa"/>
          </w:tcPr>
          <w:p>
            <w:pPr>
              <w:pStyle w:val="TableParagraph"/>
              <w:rPr>
                <w:sz w:val="20"/>
              </w:rPr>
            </w:pPr>
          </w:p>
        </w:tc>
        <w:tc>
          <w:tcPr>
            <w:tcW w:w="1670" w:type="dxa"/>
          </w:tcPr>
          <w:p>
            <w:pPr>
              <w:pStyle w:val="TableParagraph"/>
              <w:rPr>
                <w:sz w:val="20"/>
              </w:rPr>
            </w:pPr>
          </w:p>
        </w:tc>
        <w:tc>
          <w:tcPr>
            <w:tcW w:w="1348" w:type="dxa"/>
          </w:tcPr>
          <w:p>
            <w:pPr>
              <w:pStyle w:val="TableParagraph"/>
              <w:spacing w:before="11"/>
              <w:rPr>
                <w:sz w:val="21"/>
              </w:rPr>
            </w:pPr>
          </w:p>
          <w:p>
            <w:pPr>
              <w:pStyle w:val="TableParagraph"/>
              <w:ind w:left="7"/>
              <w:jc w:val="center"/>
              <w:rPr>
                <w:sz w:val="22"/>
              </w:rPr>
            </w:pPr>
            <w:r>
              <w:rPr>
                <w:w w:val="100"/>
                <w:sz w:val="22"/>
              </w:rPr>
              <w:t>X</w:t>
            </w:r>
          </w:p>
        </w:tc>
        <w:tc>
          <w:tcPr>
            <w:tcW w:w="3899" w:type="dxa"/>
          </w:tcPr>
          <w:p>
            <w:pPr>
              <w:pStyle w:val="TableParagraph"/>
              <w:spacing w:line="252" w:lineRule="exact"/>
              <w:ind w:left="111" w:right="94"/>
              <w:jc w:val="center"/>
              <w:rPr>
                <w:sz w:val="22"/>
              </w:rPr>
            </w:pPr>
            <w:r>
              <w:rPr>
                <w:sz w:val="22"/>
              </w:rPr>
              <w:t>Expenditures</w:t>
            </w:r>
            <w:r>
              <w:rPr>
                <w:spacing w:val="-10"/>
                <w:sz w:val="22"/>
              </w:rPr>
              <w:t> </w:t>
            </w:r>
            <w:r>
              <w:rPr>
                <w:sz w:val="22"/>
              </w:rPr>
              <w:t>authorized</w:t>
            </w:r>
            <w:r>
              <w:rPr>
                <w:spacing w:val="-9"/>
                <w:sz w:val="22"/>
              </w:rPr>
              <w:t> </w:t>
            </w:r>
            <w:r>
              <w:rPr>
                <w:sz w:val="22"/>
              </w:rPr>
              <w:t>under</w:t>
            </w:r>
            <w:r>
              <w:rPr>
                <w:spacing w:val="-10"/>
                <w:sz w:val="22"/>
              </w:rPr>
              <w:t> </w:t>
            </w:r>
            <w:r>
              <w:rPr>
                <w:sz w:val="22"/>
              </w:rPr>
              <w:t>the</w:t>
            </w:r>
            <w:r>
              <w:rPr>
                <w:spacing w:val="-9"/>
                <w:sz w:val="22"/>
              </w:rPr>
              <w:t> </w:t>
            </w:r>
            <w:r>
              <w:rPr>
                <w:sz w:val="22"/>
              </w:rPr>
              <w:t>Health Safety Net program as referenced on Attachment E item 4.</w:t>
            </w:r>
          </w:p>
        </w:tc>
      </w:tr>
      <w:tr>
        <w:trPr>
          <w:trHeight w:val="1012" w:hRule="atLeast"/>
        </w:trPr>
        <w:tc>
          <w:tcPr>
            <w:tcW w:w="2237" w:type="dxa"/>
          </w:tcPr>
          <w:p>
            <w:pPr>
              <w:pStyle w:val="TableParagraph"/>
              <w:spacing w:before="9"/>
              <w:rPr>
                <w:sz w:val="32"/>
              </w:rPr>
            </w:pPr>
          </w:p>
          <w:p>
            <w:pPr>
              <w:pStyle w:val="TableParagraph"/>
              <w:ind w:left="108" w:right="101"/>
              <w:jc w:val="center"/>
              <w:rPr>
                <w:sz w:val="22"/>
              </w:rPr>
            </w:pPr>
            <w:r>
              <w:rPr>
                <w:spacing w:val="-2"/>
                <w:sz w:val="22"/>
              </w:rPr>
              <w:t>SNCP-DSH-</w:t>
            </w:r>
            <w:r>
              <w:rPr>
                <w:spacing w:val="-5"/>
                <w:sz w:val="22"/>
              </w:rPr>
              <w:t>IMD</w:t>
            </w:r>
          </w:p>
        </w:tc>
        <w:tc>
          <w:tcPr>
            <w:tcW w:w="2244" w:type="dxa"/>
          </w:tcPr>
          <w:p>
            <w:pPr>
              <w:pStyle w:val="TableParagraph"/>
              <w:spacing w:before="9"/>
              <w:rPr>
                <w:sz w:val="32"/>
              </w:rPr>
            </w:pPr>
          </w:p>
          <w:p>
            <w:pPr>
              <w:pStyle w:val="TableParagraph"/>
              <w:ind w:left="476" w:right="467"/>
              <w:jc w:val="center"/>
              <w:rPr>
                <w:sz w:val="22"/>
              </w:rPr>
            </w:pPr>
            <w:r>
              <w:rPr>
                <w:spacing w:val="-4"/>
                <w:sz w:val="22"/>
              </w:rPr>
              <w:t>Main</w:t>
            </w:r>
          </w:p>
        </w:tc>
        <w:tc>
          <w:tcPr>
            <w:tcW w:w="1495" w:type="dxa"/>
          </w:tcPr>
          <w:p>
            <w:pPr>
              <w:pStyle w:val="TableParagraph"/>
              <w:rPr>
                <w:sz w:val="20"/>
              </w:rPr>
            </w:pPr>
          </w:p>
        </w:tc>
        <w:tc>
          <w:tcPr>
            <w:tcW w:w="1670" w:type="dxa"/>
          </w:tcPr>
          <w:p>
            <w:pPr>
              <w:pStyle w:val="TableParagraph"/>
              <w:rPr>
                <w:sz w:val="20"/>
              </w:rPr>
            </w:pPr>
          </w:p>
        </w:tc>
        <w:tc>
          <w:tcPr>
            <w:tcW w:w="1348" w:type="dxa"/>
          </w:tcPr>
          <w:p>
            <w:pPr>
              <w:pStyle w:val="TableParagraph"/>
              <w:spacing w:before="9"/>
              <w:rPr>
                <w:sz w:val="32"/>
              </w:rPr>
            </w:pPr>
          </w:p>
          <w:p>
            <w:pPr>
              <w:pStyle w:val="TableParagraph"/>
              <w:ind w:left="7"/>
              <w:jc w:val="center"/>
              <w:rPr>
                <w:sz w:val="22"/>
              </w:rPr>
            </w:pPr>
            <w:r>
              <w:rPr>
                <w:w w:val="100"/>
                <w:sz w:val="22"/>
              </w:rPr>
              <w:t>X</w:t>
            </w:r>
          </w:p>
        </w:tc>
        <w:tc>
          <w:tcPr>
            <w:tcW w:w="3899" w:type="dxa"/>
          </w:tcPr>
          <w:p>
            <w:pPr>
              <w:pStyle w:val="TableParagraph"/>
              <w:ind w:left="129" w:right="113"/>
              <w:jc w:val="center"/>
              <w:rPr>
                <w:sz w:val="22"/>
              </w:rPr>
            </w:pPr>
            <w:r>
              <w:rPr>
                <w:sz w:val="22"/>
              </w:rPr>
              <w:t>Expenditures</w:t>
            </w:r>
            <w:r>
              <w:rPr>
                <w:spacing w:val="-10"/>
                <w:sz w:val="22"/>
              </w:rPr>
              <w:t> </w:t>
            </w:r>
            <w:r>
              <w:rPr>
                <w:sz w:val="22"/>
              </w:rPr>
              <w:t>authorized</w:t>
            </w:r>
            <w:r>
              <w:rPr>
                <w:spacing w:val="-8"/>
                <w:sz w:val="22"/>
              </w:rPr>
              <w:t> </w:t>
            </w:r>
            <w:r>
              <w:rPr>
                <w:sz w:val="22"/>
              </w:rPr>
              <w:t>under</w:t>
            </w:r>
            <w:r>
              <w:rPr>
                <w:spacing w:val="-10"/>
                <w:sz w:val="22"/>
              </w:rPr>
              <w:t> </w:t>
            </w:r>
            <w:r>
              <w:rPr>
                <w:sz w:val="22"/>
              </w:rPr>
              <w:t>the</w:t>
            </w:r>
            <w:r>
              <w:rPr>
                <w:spacing w:val="-8"/>
                <w:sz w:val="22"/>
              </w:rPr>
              <w:t> </w:t>
            </w:r>
            <w:r>
              <w:rPr>
                <w:sz w:val="22"/>
              </w:rPr>
              <w:t>SNCP for IMD services, as referenced on Attachment E item 5, excluding</w:t>
            </w:r>
          </w:p>
          <w:p>
            <w:pPr>
              <w:pStyle w:val="TableParagraph"/>
              <w:spacing w:line="235" w:lineRule="exact"/>
              <w:ind w:left="127" w:right="113"/>
              <w:jc w:val="center"/>
              <w:rPr>
                <w:sz w:val="22"/>
              </w:rPr>
            </w:pPr>
            <w:r>
              <w:rPr>
                <w:sz w:val="22"/>
              </w:rPr>
              <w:t>expenditures</w:t>
            </w:r>
            <w:r>
              <w:rPr>
                <w:spacing w:val="-6"/>
                <w:sz w:val="22"/>
              </w:rPr>
              <w:t> </w:t>
            </w:r>
            <w:r>
              <w:rPr>
                <w:sz w:val="22"/>
              </w:rPr>
              <w:t>reported</w:t>
            </w:r>
            <w:r>
              <w:rPr>
                <w:spacing w:val="-6"/>
                <w:sz w:val="22"/>
              </w:rPr>
              <w:t> </w:t>
            </w:r>
            <w:r>
              <w:rPr>
                <w:sz w:val="22"/>
              </w:rPr>
              <w:t>under</w:t>
            </w:r>
            <w:r>
              <w:rPr>
                <w:spacing w:val="-3"/>
                <w:sz w:val="22"/>
              </w:rPr>
              <w:t> </w:t>
            </w:r>
            <w:r>
              <w:rPr>
                <w:sz w:val="22"/>
              </w:rPr>
              <w:t>STC</w:t>
            </w:r>
            <w:r>
              <w:rPr>
                <w:spacing w:val="-4"/>
                <w:sz w:val="22"/>
              </w:rPr>
              <w:t> </w:t>
            </w:r>
            <w:r>
              <w:rPr>
                <w:spacing w:val="-2"/>
                <w:sz w:val="22"/>
              </w:rPr>
              <w:t>13.2(f)</w:t>
            </w:r>
          </w:p>
        </w:tc>
      </w:tr>
      <w:tr>
        <w:trPr>
          <w:trHeight w:val="1264" w:hRule="atLeast"/>
        </w:trPr>
        <w:tc>
          <w:tcPr>
            <w:tcW w:w="2237" w:type="dxa"/>
          </w:tcPr>
          <w:p>
            <w:pPr>
              <w:pStyle w:val="TableParagraph"/>
              <w:rPr>
                <w:sz w:val="24"/>
              </w:rPr>
            </w:pPr>
          </w:p>
          <w:p>
            <w:pPr>
              <w:pStyle w:val="TableParagraph"/>
              <w:spacing w:before="10"/>
              <w:rPr>
                <w:sz w:val="19"/>
              </w:rPr>
            </w:pPr>
          </w:p>
          <w:p>
            <w:pPr>
              <w:pStyle w:val="TableParagraph"/>
              <w:ind w:left="108" w:right="101"/>
              <w:jc w:val="center"/>
              <w:rPr>
                <w:sz w:val="22"/>
              </w:rPr>
            </w:pPr>
            <w:r>
              <w:rPr>
                <w:spacing w:val="-2"/>
                <w:sz w:val="22"/>
              </w:rPr>
              <w:t>SNCP-DSH-</w:t>
            </w:r>
            <w:r>
              <w:rPr>
                <w:spacing w:val="-5"/>
                <w:sz w:val="22"/>
              </w:rPr>
              <w:t>CPE</w:t>
            </w:r>
          </w:p>
        </w:tc>
        <w:tc>
          <w:tcPr>
            <w:tcW w:w="2244" w:type="dxa"/>
          </w:tcPr>
          <w:p>
            <w:pPr>
              <w:pStyle w:val="TableParagraph"/>
              <w:rPr>
                <w:sz w:val="24"/>
              </w:rPr>
            </w:pPr>
          </w:p>
          <w:p>
            <w:pPr>
              <w:pStyle w:val="TableParagraph"/>
              <w:spacing w:before="10"/>
              <w:rPr>
                <w:sz w:val="19"/>
              </w:rPr>
            </w:pPr>
          </w:p>
          <w:p>
            <w:pPr>
              <w:pStyle w:val="TableParagraph"/>
              <w:ind w:left="476" w:right="467"/>
              <w:jc w:val="center"/>
              <w:rPr>
                <w:sz w:val="22"/>
              </w:rPr>
            </w:pPr>
            <w:r>
              <w:rPr>
                <w:spacing w:val="-4"/>
                <w:sz w:val="22"/>
              </w:rPr>
              <w:t>Main</w:t>
            </w:r>
          </w:p>
        </w:tc>
        <w:tc>
          <w:tcPr>
            <w:tcW w:w="1495" w:type="dxa"/>
          </w:tcPr>
          <w:p>
            <w:pPr>
              <w:pStyle w:val="TableParagraph"/>
              <w:rPr>
                <w:sz w:val="20"/>
              </w:rPr>
            </w:pPr>
          </w:p>
        </w:tc>
        <w:tc>
          <w:tcPr>
            <w:tcW w:w="1670" w:type="dxa"/>
          </w:tcPr>
          <w:p>
            <w:pPr>
              <w:pStyle w:val="TableParagraph"/>
              <w:rPr>
                <w:sz w:val="20"/>
              </w:rPr>
            </w:pPr>
          </w:p>
        </w:tc>
        <w:tc>
          <w:tcPr>
            <w:tcW w:w="1348" w:type="dxa"/>
          </w:tcPr>
          <w:p>
            <w:pPr>
              <w:pStyle w:val="TableParagraph"/>
              <w:rPr>
                <w:sz w:val="24"/>
              </w:rPr>
            </w:pPr>
          </w:p>
          <w:p>
            <w:pPr>
              <w:pStyle w:val="TableParagraph"/>
              <w:spacing w:before="10"/>
              <w:rPr>
                <w:sz w:val="19"/>
              </w:rPr>
            </w:pPr>
          </w:p>
          <w:p>
            <w:pPr>
              <w:pStyle w:val="TableParagraph"/>
              <w:ind w:left="7"/>
              <w:jc w:val="center"/>
              <w:rPr>
                <w:sz w:val="22"/>
              </w:rPr>
            </w:pPr>
            <w:r>
              <w:rPr>
                <w:w w:val="100"/>
                <w:sz w:val="22"/>
              </w:rPr>
              <w:t>X</w:t>
            </w:r>
          </w:p>
        </w:tc>
        <w:tc>
          <w:tcPr>
            <w:tcW w:w="3899" w:type="dxa"/>
          </w:tcPr>
          <w:p>
            <w:pPr>
              <w:pStyle w:val="TableParagraph"/>
              <w:ind w:left="128" w:right="113"/>
              <w:jc w:val="center"/>
              <w:rPr>
                <w:sz w:val="22"/>
              </w:rPr>
            </w:pPr>
            <w:r>
              <w:rPr>
                <w:sz w:val="22"/>
              </w:rPr>
              <w:t>Expenditures</w:t>
            </w:r>
            <w:r>
              <w:rPr>
                <w:spacing w:val="-9"/>
                <w:sz w:val="22"/>
              </w:rPr>
              <w:t> </w:t>
            </w:r>
            <w:r>
              <w:rPr>
                <w:sz w:val="22"/>
              </w:rPr>
              <w:t>for</w:t>
            </w:r>
            <w:r>
              <w:rPr>
                <w:spacing w:val="-9"/>
                <w:sz w:val="22"/>
              </w:rPr>
              <w:t> </w:t>
            </w:r>
            <w:r>
              <w:rPr>
                <w:sz w:val="22"/>
              </w:rPr>
              <w:t>State</w:t>
            </w:r>
            <w:r>
              <w:rPr>
                <w:spacing w:val="-9"/>
                <w:sz w:val="22"/>
              </w:rPr>
              <w:t> </w:t>
            </w:r>
            <w:r>
              <w:rPr>
                <w:sz w:val="22"/>
              </w:rPr>
              <w:t>owned</w:t>
            </w:r>
            <w:r>
              <w:rPr>
                <w:spacing w:val="-7"/>
                <w:sz w:val="22"/>
              </w:rPr>
              <w:t> </w:t>
            </w:r>
            <w:r>
              <w:rPr>
                <w:sz w:val="22"/>
              </w:rPr>
              <w:t>non-acute hospitals</w:t>
            </w:r>
            <w:r>
              <w:rPr>
                <w:spacing w:val="-6"/>
                <w:sz w:val="22"/>
              </w:rPr>
              <w:t> </w:t>
            </w:r>
            <w:r>
              <w:rPr>
                <w:sz w:val="22"/>
              </w:rPr>
              <w:t>operated</w:t>
            </w:r>
            <w:r>
              <w:rPr>
                <w:spacing w:val="-6"/>
                <w:sz w:val="22"/>
              </w:rPr>
              <w:t> </w:t>
            </w:r>
            <w:r>
              <w:rPr>
                <w:sz w:val="22"/>
              </w:rPr>
              <w:t>by</w:t>
            </w:r>
            <w:r>
              <w:rPr>
                <w:spacing w:val="-8"/>
                <w:sz w:val="22"/>
              </w:rPr>
              <w:t> </w:t>
            </w:r>
            <w:r>
              <w:rPr>
                <w:sz w:val="22"/>
              </w:rPr>
              <w:t>the</w:t>
            </w:r>
            <w:r>
              <w:rPr>
                <w:spacing w:val="-6"/>
                <w:sz w:val="22"/>
              </w:rPr>
              <w:t> </w:t>
            </w:r>
            <w:r>
              <w:rPr>
                <w:sz w:val="22"/>
              </w:rPr>
              <w:t>Department</w:t>
            </w:r>
            <w:r>
              <w:rPr>
                <w:spacing w:val="-5"/>
                <w:sz w:val="22"/>
              </w:rPr>
              <w:t> </w:t>
            </w:r>
            <w:r>
              <w:rPr>
                <w:sz w:val="22"/>
              </w:rPr>
              <w:t>of Public Health and the Department of Mental Health, as referenced on</w:t>
            </w:r>
          </w:p>
          <w:p>
            <w:pPr>
              <w:pStyle w:val="TableParagraph"/>
              <w:spacing w:line="234" w:lineRule="exact"/>
              <w:ind w:left="128" w:right="113"/>
              <w:jc w:val="center"/>
              <w:rPr>
                <w:sz w:val="22"/>
              </w:rPr>
            </w:pPr>
            <w:r>
              <w:rPr>
                <w:sz w:val="22"/>
              </w:rPr>
              <w:t>Attachment</w:t>
            </w:r>
            <w:r>
              <w:rPr>
                <w:spacing w:val="-2"/>
                <w:sz w:val="22"/>
              </w:rPr>
              <w:t> </w:t>
            </w:r>
            <w:r>
              <w:rPr>
                <w:sz w:val="22"/>
              </w:rPr>
              <w:t>E</w:t>
            </w:r>
            <w:r>
              <w:rPr>
                <w:spacing w:val="-3"/>
                <w:sz w:val="22"/>
              </w:rPr>
              <w:t> </w:t>
            </w:r>
            <w:r>
              <w:rPr>
                <w:sz w:val="22"/>
              </w:rPr>
              <w:t>items</w:t>
            </w:r>
            <w:r>
              <w:rPr>
                <w:spacing w:val="-3"/>
                <w:sz w:val="22"/>
              </w:rPr>
              <w:t> </w:t>
            </w:r>
            <w:r>
              <w:rPr>
                <w:sz w:val="22"/>
              </w:rPr>
              <w:t>6</w:t>
            </w:r>
            <w:r>
              <w:rPr>
                <w:spacing w:val="-2"/>
                <w:sz w:val="22"/>
              </w:rPr>
              <w:t> </w:t>
            </w:r>
            <w:r>
              <w:rPr>
                <w:sz w:val="22"/>
              </w:rPr>
              <w:t>and</w:t>
            </w:r>
            <w:r>
              <w:rPr>
                <w:spacing w:val="-2"/>
                <w:sz w:val="22"/>
              </w:rPr>
              <w:t> </w:t>
            </w:r>
            <w:r>
              <w:rPr>
                <w:spacing w:val="-5"/>
                <w:sz w:val="22"/>
              </w:rPr>
              <w:t>7.</w:t>
            </w:r>
          </w:p>
        </w:tc>
      </w:tr>
    </w:tbl>
    <w:p>
      <w:pPr>
        <w:spacing w:after="0" w:line="234" w:lineRule="exact"/>
        <w:jc w:val="center"/>
        <w:rPr>
          <w:sz w:val="22"/>
        </w:rPr>
        <w:sectPr>
          <w:pgSz w:w="15840" w:h="12240" w:orient="landscape"/>
          <w:pgMar w:header="0" w:footer="1201" w:top="1380" w:bottom="1400" w:left="1340" w:right="1380"/>
        </w:sectPr>
      </w:pPr>
    </w:p>
    <w:p>
      <w:pPr>
        <w:pStyle w:val="BodyText"/>
        <w:spacing w:before="2"/>
        <w:rPr>
          <w:sz w:val="5"/>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7"/>
        <w:gridCol w:w="2244"/>
        <w:gridCol w:w="1495"/>
        <w:gridCol w:w="1670"/>
        <w:gridCol w:w="1348"/>
        <w:gridCol w:w="3899"/>
      </w:tblGrid>
      <w:tr>
        <w:trPr>
          <w:trHeight w:val="412" w:hRule="atLeast"/>
        </w:trPr>
        <w:tc>
          <w:tcPr>
            <w:tcW w:w="12893" w:type="dxa"/>
            <w:gridSpan w:val="6"/>
            <w:shd w:val="clear" w:color="auto" w:fill="DBE4F0"/>
          </w:tcPr>
          <w:p>
            <w:pPr>
              <w:pStyle w:val="TableParagraph"/>
              <w:spacing w:before="80"/>
              <w:ind w:left="5038" w:right="5024"/>
              <w:jc w:val="center"/>
              <w:rPr>
                <w:b/>
                <w:sz w:val="22"/>
              </w:rPr>
            </w:pPr>
            <w:r>
              <w:rPr>
                <w:b/>
                <w:sz w:val="22"/>
              </w:rPr>
              <w:t>Table</w:t>
            </w:r>
            <w:r>
              <w:rPr>
                <w:b/>
                <w:spacing w:val="-3"/>
                <w:sz w:val="22"/>
              </w:rPr>
              <w:t> </w:t>
            </w:r>
            <w:r>
              <w:rPr>
                <w:b/>
                <w:sz w:val="22"/>
              </w:rPr>
              <w:t>17:</w:t>
            </w:r>
            <w:r>
              <w:rPr>
                <w:b/>
                <w:spacing w:val="-2"/>
                <w:sz w:val="22"/>
              </w:rPr>
              <w:t> </w:t>
            </w:r>
            <w:r>
              <w:rPr>
                <w:b/>
                <w:sz w:val="22"/>
              </w:rPr>
              <w:t>Master</w:t>
            </w:r>
            <w:r>
              <w:rPr>
                <w:b/>
                <w:spacing w:val="-2"/>
                <w:sz w:val="22"/>
              </w:rPr>
              <w:t> </w:t>
            </w:r>
            <w:r>
              <w:rPr>
                <w:b/>
                <w:sz w:val="22"/>
              </w:rPr>
              <w:t>MEG</w:t>
            </w:r>
            <w:r>
              <w:rPr>
                <w:b/>
                <w:spacing w:val="-4"/>
                <w:sz w:val="22"/>
              </w:rPr>
              <w:t> Chart</w:t>
            </w:r>
          </w:p>
        </w:tc>
      </w:tr>
      <w:tr>
        <w:trPr>
          <w:trHeight w:val="505" w:hRule="atLeast"/>
        </w:trPr>
        <w:tc>
          <w:tcPr>
            <w:tcW w:w="2237" w:type="dxa"/>
            <w:shd w:val="clear" w:color="auto" w:fill="DBE4F0"/>
          </w:tcPr>
          <w:p>
            <w:pPr>
              <w:pStyle w:val="TableParagraph"/>
              <w:spacing w:before="125"/>
              <w:ind w:left="108" w:right="101"/>
              <w:jc w:val="center"/>
              <w:rPr>
                <w:b/>
                <w:sz w:val="22"/>
              </w:rPr>
            </w:pPr>
            <w:r>
              <w:rPr>
                <w:b/>
                <w:spacing w:val="-5"/>
                <w:sz w:val="22"/>
              </w:rPr>
              <w:t>MEG</w:t>
            </w:r>
          </w:p>
        </w:tc>
        <w:tc>
          <w:tcPr>
            <w:tcW w:w="2244" w:type="dxa"/>
            <w:shd w:val="clear" w:color="auto" w:fill="DBE4F0"/>
          </w:tcPr>
          <w:p>
            <w:pPr>
              <w:pStyle w:val="TableParagraph"/>
              <w:spacing w:line="254" w:lineRule="exact"/>
              <w:ind w:left="712" w:hanging="315"/>
              <w:rPr>
                <w:b/>
                <w:sz w:val="22"/>
              </w:rPr>
            </w:pPr>
            <w:r>
              <w:rPr>
                <w:b/>
                <w:sz w:val="22"/>
              </w:rPr>
              <w:t>Which</w:t>
            </w:r>
            <w:r>
              <w:rPr>
                <w:b/>
                <w:spacing w:val="-14"/>
                <w:sz w:val="22"/>
              </w:rPr>
              <w:t> </w:t>
            </w:r>
            <w:r>
              <w:rPr>
                <w:b/>
                <w:sz w:val="22"/>
              </w:rPr>
              <w:t>BN</w:t>
            </w:r>
            <w:r>
              <w:rPr>
                <w:b/>
                <w:spacing w:val="-14"/>
                <w:sz w:val="22"/>
              </w:rPr>
              <w:t> </w:t>
            </w:r>
            <w:r>
              <w:rPr>
                <w:b/>
                <w:sz w:val="22"/>
              </w:rPr>
              <w:t>Test </w:t>
            </w:r>
            <w:r>
              <w:rPr>
                <w:b/>
                <w:spacing w:val="-2"/>
                <w:sz w:val="22"/>
              </w:rPr>
              <w:t>Applies?</w:t>
            </w:r>
          </w:p>
        </w:tc>
        <w:tc>
          <w:tcPr>
            <w:tcW w:w="1495" w:type="dxa"/>
            <w:shd w:val="clear" w:color="auto" w:fill="DBE4F0"/>
          </w:tcPr>
          <w:p>
            <w:pPr>
              <w:pStyle w:val="TableParagraph"/>
              <w:spacing w:line="254" w:lineRule="exact"/>
              <w:ind w:left="429" w:right="237" w:hanging="183"/>
              <w:rPr>
                <w:b/>
                <w:sz w:val="22"/>
              </w:rPr>
            </w:pPr>
            <w:r>
              <w:rPr>
                <w:b/>
                <w:sz w:val="22"/>
              </w:rPr>
              <w:t>WOW</w:t>
            </w:r>
            <w:r>
              <w:rPr>
                <w:b/>
                <w:spacing w:val="-14"/>
                <w:sz w:val="22"/>
              </w:rPr>
              <w:t> </w:t>
            </w:r>
            <w:r>
              <w:rPr>
                <w:b/>
                <w:sz w:val="22"/>
              </w:rPr>
              <w:t>Per </w:t>
            </w:r>
            <w:r>
              <w:rPr>
                <w:b/>
                <w:spacing w:val="-2"/>
                <w:sz w:val="22"/>
              </w:rPr>
              <w:t>Capita</w:t>
            </w:r>
          </w:p>
        </w:tc>
        <w:tc>
          <w:tcPr>
            <w:tcW w:w="1670" w:type="dxa"/>
            <w:shd w:val="clear" w:color="auto" w:fill="DBE4F0"/>
          </w:tcPr>
          <w:p>
            <w:pPr>
              <w:pStyle w:val="TableParagraph"/>
              <w:spacing w:line="251" w:lineRule="exact"/>
              <w:ind w:left="337" w:right="332"/>
              <w:jc w:val="center"/>
              <w:rPr>
                <w:b/>
                <w:sz w:val="22"/>
              </w:rPr>
            </w:pPr>
            <w:r>
              <w:rPr>
                <w:b/>
                <w:spacing w:val="-5"/>
                <w:sz w:val="22"/>
              </w:rPr>
              <w:t>WOW</w:t>
            </w:r>
          </w:p>
          <w:p>
            <w:pPr>
              <w:pStyle w:val="TableParagraph"/>
              <w:spacing w:line="233" w:lineRule="exact" w:before="1"/>
              <w:ind w:left="339" w:right="332"/>
              <w:jc w:val="center"/>
              <w:rPr>
                <w:b/>
                <w:sz w:val="22"/>
              </w:rPr>
            </w:pPr>
            <w:r>
              <w:rPr>
                <w:b/>
                <w:spacing w:val="-2"/>
                <w:sz w:val="22"/>
              </w:rPr>
              <w:t>Aggregate</w:t>
            </w:r>
          </w:p>
        </w:tc>
        <w:tc>
          <w:tcPr>
            <w:tcW w:w="1348" w:type="dxa"/>
            <w:shd w:val="clear" w:color="auto" w:fill="DBE4F0"/>
          </w:tcPr>
          <w:p>
            <w:pPr>
              <w:pStyle w:val="TableParagraph"/>
              <w:spacing w:before="125"/>
              <w:ind w:left="437" w:right="431"/>
              <w:jc w:val="center"/>
              <w:rPr>
                <w:b/>
                <w:sz w:val="22"/>
              </w:rPr>
            </w:pPr>
            <w:r>
              <w:rPr>
                <w:b/>
                <w:spacing w:val="-5"/>
                <w:sz w:val="22"/>
              </w:rPr>
              <w:t>WW</w:t>
            </w:r>
          </w:p>
        </w:tc>
        <w:tc>
          <w:tcPr>
            <w:tcW w:w="3899" w:type="dxa"/>
            <w:shd w:val="clear" w:color="auto" w:fill="DBE4F0"/>
          </w:tcPr>
          <w:p>
            <w:pPr>
              <w:pStyle w:val="TableParagraph"/>
              <w:spacing w:before="125"/>
              <w:ind w:left="1140"/>
              <w:rPr>
                <w:b/>
                <w:sz w:val="22"/>
              </w:rPr>
            </w:pPr>
            <w:r>
              <w:rPr>
                <w:b/>
                <w:sz w:val="22"/>
              </w:rPr>
              <w:t>Brief</w:t>
            </w:r>
            <w:r>
              <w:rPr>
                <w:b/>
                <w:spacing w:val="-1"/>
                <w:sz w:val="22"/>
              </w:rPr>
              <w:t> </w:t>
            </w:r>
            <w:r>
              <w:rPr>
                <w:b/>
                <w:spacing w:val="-2"/>
                <w:sz w:val="22"/>
              </w:rPr>
              <w:t>Description</w:t>
            </w:r>
          </w:p>
        </w:tc>
      </w:tr>
      <w:tr>
        <w:trPr>
          <w:trHeight w:val="504" w:hRule="atLeast"/>
        </w:trPr>
        <w:tc>
          <w:tcPr>
            <w:tcW w:w="2237" w:type="dxa"/>
          </w:tcPr>
          <w:p>
            <w:pPr>
              <w:pStyle w:val="TableParagraph"/>
              <w:spacing w:before="123"/>
              <w:ind w:left="108" w:right="101"/>
              <w:jc w:val="center"/>
              <w:rPr>
                <w:sz w:val="22"/>
              </w:rPr>
            </w:pPr>
            <w:r>
              <w:rPr>
                <w:spacing w:val="-2"/>
                <w:sz w:val="22"/>
              </w:rPr>
              <w:t>SNCP-</w:t>
            </w:r>
            <w:r>
              <w:rPr>
                <w:spacing w:val="-5"/>
                <w:sz w:val="22"/>
              </w:rPr>
              <w:t>UCC</w:t>
            </w:r>
          </w:p>
        </w:tc>
        <w:tc>
          <w:tcPr>
            <w:tcW w:w="2244" w:type="dxa"/>
          </w:tcPr>
          <w:p>
            <w:pPr>
              <w:pStyle w:val="TableParagraph"/>
              <w:spacing w:before="123"/>
              <w:ind w:left="475" w:right="467"/>
              <w:jc w:val="center"/>
              <w:rPr>
                <w:sz w:val="22"/>
              </w:rPr>
            </w:pPr>
            <w:r>
              <w:rPr>
                <w:spacing w:val="-4"/>
                <w:sz w:val="22"/>
              </w:rPr>
              <w:t>Main</w:t>
            </w:r>
          </w:p>
        </w:tc>
        <w:tc>
          <w:tcPr>
            <w:tcW w:w="1495" w:type="dxa"/>
          </w:tcPr>
          <w:p>
            <w:pPr>
              <w:pStyle w:val="TableParagraph"/>
              <w:rPr>
                <w:sz w:val="20"/>
              </w:rPr>
            </w:pPr>
          </w:p>
        </w:tc>
        <w:tc>
          <w:tcPr>
            <w:tcW w:w="1670" w:type="dxa"/>
          </w:tcPr>
          <w:p>
            <w:pPr>
              <w:pStyle w:val="TableParagraph"/>
              <w:rPr>
                <w:sz w:val="20"/>
              </w:rPr>
            </w:pPr>
          </w:p>
        </w:tc>
        <w:tc>
          <w:tcPr>
            <w:tcW w:w="1348" w:type="dxa"/>
          </w:tcPr>
          <w:p>
            <w:pPr>
              <w:pStyle w:val="TableParagraph"/>
              <w:spacing w:before="123"/>
              <w:ind w:left="7"/>
              <w:jc w:val="center"/>
              <w:rPr>
                <w:sz w:val="22"/>
              </w:rPr>
            </w:pPr>
            <w:r>
              <w:rPr>
                <w:w w:val="100"/>
                <w:sz w:val="22"/>
              </w:rPr>
              <w:t>X</w:t>
            </w:r>
          </w:p>
        </w:tc>
        <w:tc>
          <w:tcPr>
            <w:tcW w:w="3899" w:type="dxa"/>
          </w:tcPr>
          <w:p>
            <w:pPr>
              <w:pStyle w:val="TableParagraph"/>
              <w:spacing w:line="249" w:lineRule="exact"/>
              <w:ind w:left="125" w:right="113"/>
              <w:jc w:val="center"/>
              <w:rPr>
                <w:sz w:val="22"/>
              </w:rPr>
            </w:pPr>
            <w:r>
              <w:rPr>
                <w:sz w:val="22"/>
              </w:rPr>
              <w:t>Expenditures</w:t>
            </w:r>
            <w:r>
              <w:rPr>
                <w:spacing w:val="-7"/>
                <w:sz w:val="22"/>
              </w:rPr>
              <w:t> </w:t>
            </w:r>
            <w:r>
              <w:rPr>
                <w:sz w:val="22"/>
              </w:rPr>
              <w:t>authorized</w:t>
            </w:r>
            <w:r>
              <w:rPr>
                <w:spacing w:val="-5"/>
                <w:sz w:val="22"/>
              </w:rPr>
              <w:t> </w:t>
            </w:r>
            <w:r>
              <w:rPr>
                <w:sz w:val="22"/>
              </w:rPr>
              <w:t>under</w:t>
            </w:r>
            <w:r>
              <w:rPr>
                <w:spacing w:val="-6"/>
                <w:sz w:val="22"/>
              </w:rPr>
              <w:t> </w:t>
            </w:r>
            <w:r>
              <w:rPr>
                <w:spacing w:val="-5"/>
                <w:sz w:val="22"/>
              </w:rPr>
              <w:t>the</w:t>
            </w:r>
          </w:p>
          <w:p>
            <w:pPr>
              <w:pStyle w:val="TableParagraph"/>
              <w:spacing w:line="233" w:lineRule="exact" w:before="1"/>
              <w:ind w:left="128" w:right="113"/>
              <w:jc w:val="center"/>
              <w:rPr>
                <w:sz w:val="22"/>
              </w:rPr>
            </w:pPr>
            <w:r>
              <w:rPr>
                <w:sz w:val="22"/>
              </w:rPr>
              <w:t>Uncompensated</w:t>
            </w:r>
            <w:r>
              <w:rPr>
                <w:spacing w:val="-8"/>
                <w:sz w:val="22"/>
              </w:rPr>
              <w:t> </w:t>
            </w:r>
            <w:r>
              <w:rPr>
                <w:sz w:val="22"/>
              </w:rPr>
              <w:t>Care</w:t>
            </w:r>
            <w:r>
              <w:rPr>
                <w:spacing w:val="-6"/>
                <w:sz w:val="22"/>
              </w:rPr>
              <w:t> </w:t>
            </w:r>
            <w:r>
              <w:rPr>
                <w:spacing w:val="-4"/>
                <w:sz w:val="22"/>
              </w:rPr>
              <w:t>Pool.</w:t>
            </w:r>
          </w:p>
        </w:tc>
      </w:tr>
      <w:tr>
        <w:trPr>
          <w:trHeight w:val="1012" w:hRule="atLeast"/>
        </w:trPr>
        <w:tc>
          <w:tcPr>
            <w:tcW w:w="2237" w:type="dxa"/>
          </w:tcPr>
          <w:p>
            <w:pPr>
              <w:pStyle w:val="TableParagraph"/>
              <w:spacing w:before="9"/>
              <w:rPr>
                <w:sz w:val="32"/>
              </w:rPr>
            </w:pPr>
          </w:p>
          <w:p>
            <w:pPr>
              <w:pStyle w:val="TableParagraph"/>
              <w:ind w:left="108" w:right="101"/>
              <w:jc w:val="center"/>
              <w:rPr>
                <w:sz w:val="22"/>
              </w:rPr>
            </w:pPr>
            <w:r>
              <w:rPr>
                <w:spacing w:val="-2"/>
                <w:sz w:val="22"/>
              </w:rPr>
              <w:t>SNCP-OTHER</w:t>
            </w:r>
          </w:p>
        </w:tc>
        <w:tc>
          <w:tcPr>
            <w:tcW w:w="2244" w:type="dxa"/>
          </w:tcPr>
          <w:p>
            <w:pPr>
              <w:pStyle w:val="TableParagraph"/>
              <w:spacing w:before="9"/>
              <w:rPr>
                <w:sz w:val="32"/>
              </w:rPr>
            </w:pPr>
          </w:p>
          <w:p>
            <w:pPr>
              <w:pStyle w:val="TableParagraph"/>
              <w:ind w:left="476" w:right="467"/>
              <w:jc w:val="center"/>
              <w:rPr>
                <w:sz w:val="22"/>
              </w:rPr>
            </w:pPr>
            <w:r>
              <w:rPr>
                <w:spacing w:val="-4"/>
                <w:sz w:val="22"/>
              </w:rPr>
              <w:t>Main</w:t>
            </w:r>
          </w:p>
        </w:tc>
        <w:tc>
          <w:tcPr>
            <w:tcW w:w="1495" w:type="dxa"/>
          </w:tcPr>
          <w:p>
            <w:pPr>
              <w:pStyle w:val="TableParagraph"/>
              <w:rPr>
                <w:sz w:val="20"/>
              </w:rPr>
            </w:pPr>
          </w:p>
        </w:tc>
        <w:tc>
          <w:tcPr>
            <w:tcW w:w="1670" w:type="dxa"/>
          </w:tcPr>
          <w:p>
            <w:pPr>
              <w:pStyle w:val="TableParagraph"/>
              <w:rPr>
                <w:sz w:val="20"/>
              </w:rPr>
            </w:pPr>
          </w:p>
        </w:tc>
        <w:tc>
          <w:tcPr>
            <w:tcW w:w="1348" w:type="dxa"/>
          </w:tcPr>
          <w:p>
            <w:pPr>
              <w:pStyle w:val="TableParagraph"/>
              <w:spacing w:before="9"/>
              <w:rPr>
                <w:sz w:val="32"/>
              </w:rPr>
            </w:pPr>
          </w:p>
          <w:p>
            <w:pPr>
              <w:pStyle w:val="TableParagraph"/>
              <w:ind w:left="7"/>
              <w:jc w:val="center"/>
              <w:rPr>
                <w:sz w:val="22"/>
              </w:rPr>
            </w:pPr>
            <w:r>
              <w:rPr>
                <w:w w:val="100"/>
                <w:sz w:val="22"/>
              </w:rPr>
              <w:t>X</w:t>
            </w:r>
          </w:p>
        </w:tc>
        <w:tc>
          <w:tcPr>
            <w:tcW w:w="3899" w:type="dxa"/>
          </w:tcPr>
          <w:p>
            <w:pPr>
              <w:pStyle w:val="TableParagraph"/>
              <w:ind w:left="129" w:right="113"/>
              <w:jc w:val="center"/>
              <w:rPr>
                <w:sz w:val="22"/>
              </w:rPr>
            </w:pPr>
            <w:r>
              <w:rPr>
                <w:sz w:val="22"/>
              </w:rPr>
              <w:t>All</w:t>
            </w:r>
            <w:r>
              <w:rPr>
                <w:spacing w:val="-9"/>
                <w:sz w:val="22"/>
              </w:rPr>
              <w:t> </w:t>
            </w:r>
            <w:r>
              <w:rPr>
                <w:sz w:val="22"/>
              </w:rPr>
              <w:t>other</w:t>
            </w:r>
            <w:r>
              <w:rPr>
                <w:spacing w:val="-9"/>
                <w:sz w:val="22"/>
              </w:rPr>
              <w:t> </w:t>
            </w:r>
            <w:r>
              <w:rPr>
                <w:sz w:val="22"/>
              </w:rPr>
              <w:t>expenditures</w:t>
            </w:r>
            <w:r>
              <w:rPr>
                <w:spacing w:val="-11"/>
                <w:sz w:val="22"/>
              </w:rPr>
              <w:t> </w:t>
            </w:r>
            <w:r>
              <w:rPr>
                <w:sz w:val="22"/>
              </w:rPr>
              <w:t>authorized</w:t>
            </w:r>
            <w:r>
              <w:rPr>
                <w:spacing w:val="-9"/>
                <w:sz w:val="22"/>
              </w:rPr>
              <w:t> </w:t>
            </w:r>
            <w:r>
              <w:rPr>
                <w:sz w:val="22"/>
              </w:rPr>
              <w:t>under the SNCP, including Public Services Hospital Safety Net Care Payments as</w:t>
            </w:r>
          </w:p>
          <w:p>
            <w:pPr>
              <w:pStyle w:val="TableParagraph"/>
              <w:spacing w:line="233" w:lineRule="exact"/>
              <w:ind w:left="128" w:right="113"/>
              <w:jc w:val="center"/>
              <w:rPr>
                <w:sz w:val="22"/>
              </w:rPr>
            </w:pPr>
            <w:r>
              <w:rPr>
                <w:sz w:val="22"/>
              </w:rPr>
              <w:t>referenced</w:t>
            </w:r>
            <w:r>
              <w:rPr>
                <w:spacing w:val="-5"/>
                <w:sz w:val="22"/>
              </w:rPr>
              <w:t> </w:t>
            </w:r>
            <w:r>
              <w:rPr>
                <w:sz w:val="22"/>
              </w:rPr>
              <w:t>on</w:t>
            </w:r>
            <w:r>
              <w:rPr>
                <w:spacing w:val="-2"/>
                <w:sz w:val="22"/>
              </w:rPr>
              <w:t> </w:t>
            </w:r>
            <w:r>
              <w:rPr>
                <w:sz w:val="22"/>
              </w:rPr>
              <w:t>Attachment</w:t>
            </w:r>
            <w:r>
              <w:rPr>
                <w:spacing w:val="-4"/>
                <w:sz w:val="22"/>
              </w:rPr>
              <w:t> </w:t>
            </w:r>
            <w:r>
              <w:rPr>
                <w:sz w:val="22"/>
              </w:rPr>
              <w:t>E</w:t>
            </w:r>
            <w:r>
              <w:rPr>
                <w:spacing w:val="-3"/>
                <w:sz w:val="22"/>
              </w:rPr>
              <w:t> </w:t>
            </w:r>
            <w:r>
              <w:rPr>
                <w:sz w:val="22"/>
              </w:rPr>
              <w:t>item</w:t>
            </w:r>
            <w:r>
              <w:rPr>
                <w:spacing w:val="-5"/>
                <w:sz w:val="22"/>
              </w:rPr>
              <w:t> </w:t>
            </w:r>
            <w:r>
              <w:rPr>
                <w:spacing w:val="-10"/>
                <w:sz w:val="22"/>
              </w:rPr>
              <w:t>1</w:t>
            </w:r>
          </w:p>
        </w:tc>
      </w:tr>
      <w:tr>
        <w:trPr>
          <w:trHeight w:val="918" w:hRule="atLeast"/>
        </w:trPr>
        <w:tc>
          <w:tcPr>
            <w:tcW w:w="2237" w:type="dxa"/>
          </w:tcPr>
          <w:p>
            <w:pPr>
              <w:pStyle w:val="TableParagraph"/>
              <w:spacing w:before="125"/>
              <w:ind w:left="283"/>
              <w:rPr>
                <w:sz w:val="22"/>
              </w:rPr>
            </w:pPr>
            <w:r>
              <w:rPr>
                <w:sz w:val="22"/>
              </w:rPr>
              <w:t>SNCP</w:t>
            </w:r>
            <w:r>
              <w:rPr>
                <w:spacing w:val="-10"/>
                <w:sz w:val="22"/>
              </w:rPr>
              <w:t> </w:t>
            </w:r>
            <w:r>
              <w:rPr>
                <w:sz w:val="22"/>
              </w:rPr>
              <w:t>-</w:t>
            </w:r>
            <w:r>
              <w:rPr>
                <w:spacing w:val="-14"/>
                <w:sz w:val="22"/>
              </w:rPr>
              <w:t> </w:t>
            </w:r>
            <w:r>
              <w:rPr>
                <w:sz w:val="22"/>
              </w:rPr>
              <w:t>Safety</w:t>
            </w:r>
            <w:r>
              <w:rPr>
                <w:spacing w:val="-13"/>
                <w:sz w:val="22"/>
              </w:rPr>
              <w:t> </w:t>
            </w:r>
            <w:r>
              <w:rPr>
                <w:sz w:val="22"/>
              </w:rPr>
              <w:t>Net Provider</w:t>
            </w:r>
            <w:r>
              <w:rPr>
                <w:spacing w:val="-2"/>
                <w:sz w:val="22"/>
              </w:rPr>
              <w:t> Payments</w:t>
            </w:r>
          </w:p>
        </w:tc>
        <w:tc>
          <w:tcPr>
            <w:tcW w:w="2244" w:type="dxa"/>
          </w:tcPr>
          <w:p>
            <w:pPr>
              <w:pStyle w:val="TableParagraph"/>
              <w:spacing w:before="2"/>
              <w:rPr>
                <w:sz w:val="22"/>
              </w:rPr>
            </w:pPr>
          </w:p>
          <w:p>
            <w:pPr>
              <w:pStyle w:val="TableParagraph"/>
              <w:ind w:left="476" w:right="467"/>
              <w:jc w:val="center"/>
              <w:rPr>
                <w:sz w:val="22"/>
              </w:rPr>
            </w:pPr>
            <w:r>
              <w:rPr>
                <w:spacing w:val="-4"/>
                <w:sz w:val="22"/>
              </w:rPr>
              <w:t>Main</w:t>
            </w:r>
          </w:p>
        </w:tc>
        <w:tc>
          <w:tcPr>
            <w:tcW w:w="1495" w:type="dxa"/>
          </w:tcPr>
          <w:p>
            <w:pPr>
              <w:pStyle w:val="TableParagraph"/>
              <w:rPr>
                <w:sz w:val="20"/>
              </w:rPr>
            </w:pPr>
          </w:p>
        </w:tc>
        <w:tc>
          <w:tcPr>
            <w:tcW w:w="1670" w:type="dxa"/>
          </w:tcPr>
          <w:p>
            <w:pPr>
              <w:pStyle w:val="TableParagraph"/>
              <w:rPr>
                <w:sz w:val="20"/>
              </w:rPr>
            </w:pPr>
          </w:p>
        </w:tc>
        <w:tc>
          <w:tcPr>
            <w:tcW w:w="1348" w:type="dxa"/>
          </w:tcPr>
          <w:p>
            <w:pPr>
              <w:pStyle w:val="TableParagraph"/>
              <w:spacing w:before="2"/>
              <w:rPr>
                <w:sz w:val="22"/>
              </w:rPr>
            </w:pPr>
          </w:p>
          <w:p>
            <w:pPr>
              <w:pStyle w:val="TableParagraph"/>
              <w:ind w:left="7"/>
              <w:jc w:val="center"/>
              <w:rPr>
                <w:sz w:val="22"/>
              </w:rPr>
            </w:pPr>
            <w:r>
              <w:rPr>
                <w:w w:val="100"/>
                <w:sz w:val="22"/>
              </w:rPr>
              <w:t>X</w:t>
            </w:r>
          </w:p>
        </w:tc>
        <w:tc>
          <w:tcPr>
            <w:tcW w:w="3899" w:type="dxa"/>
          </w:tcPr>
          <w:p>
            <w:pPr>
              <w:pStyle w:val="TableParagraph"/>
              <w:ind w:left="111" w:right="95" w:hanging="2"/>
              <w:jc w:val="center"/>
              <w:rPr>
                <w:sz w:val="22"/>
              </w:rPr>
            </w:pPr>
            <w:r>
              <w:rPr>
                <w:sz w:val="22"/>
              </w:rPr>
              <w:t>Expenditures for Safety Net Provider Payments,</w:t>
            </w:r>
            <w:r>
              <w:rPr>
                <w:spacing w:val="-7"/>
                <w:sz w:val="22"/>
              </w:rPr>
              <w:t> </w:t>
            </w:r>
            <w:r>
              <w:rPr>
                <w:sz w:val="22"/>
              </w:rPr>
              <w:t>as</w:t>
            </w:r>
            <w:r>
              <w:rPr>
                <w:spacing w:val="-8"/>
                <w:sz w:val="22"/>
              </w:rPr>
              <w:t> </w:t>
            </w:r>
            <w:r>
              <w:rPr>
                <w:sz w:val="22"/>
              </w:rPr>
              <w:t>referenced</w:t>
            </w:r>
            <w:r>
              <w:rPr>
                <w:spacing w:val="-7"/>
                <w:sz w:val="22"/>
              </w:rPr>
              <w:t> </w:t>
            </w:r>
            <w:r>
              <w:rPr>
                <w:sz w:val="22"/>
              </w:rPr>
              <w:t>on</w:t>
            </w:r>
            <w:r>
              <w:rPr>
                <w:spacing w:val="-9"/>
                <w:sz w:val="22"/>
              </w:rPr>
              <w:t> </w:t>
            </w:r>
            <w:r>
              <w:rPr>
                <w:sz w:val="22"/>
              </w:rPr>
              <w:t>Attachment</w:t>
            </w:r>
            <w:r>
              <w:rPr>
                <w:spacing w:val="-6"/>
                <w:sz w:val="22"/>
              </w:rPr>
              <w:t> </w:t>
            </w:r>
            <w:r>
              <w:rPr>
                <w:sz w:val="22"/>
              </w:rPr>
              <w:t>E item 8</w:t>
            </w:r>
          </w:p>
        </w:tc>
      </w:tr>
      <w:tr>
        <w:trPr>
          <w:trHeight w:val="1012" w:hRule="atLeast"/>
        </w:trPr>
        <w:tc>
          <w:tcPr>
            <w:tcW w:w="2237" w:type="dxa"/>
          </w:tcPr>
          <w:p>
            <w:pPr>
              <w:pStyle w:val="TableParagraph"/>
              <w:spacing w:before="9"/>
              <w:rPr>
                <w:sz w:val="32"/>
              </w:rPr>
            </w:pPr>
          </w:p>
          <w:p>
            <w:pPr>
              <w:pStyle w:val="TableParagraph"/>
              <w:ind w:left="112" w:right="101"/>
              <w:jc w:val="center"/>
              <w:rPr>
                <w:sz w:val="22"/>
              </w:rPr>
            </w:pPr>
            <w:r>
              <w:rPr>
                <w:sz w:val="22"/>
              </w:rPr>
              <w:t>New</w:t>
            </w:r>
            <w:r>
              <w:rPr>
                <w:spacing w:val="-3"/>
                <w:sz w:val="22"/>
              </w:rPr>
              <w:t> </w:t>
            </w:r>
            <w:r>
              <w:rPr>
                <w:sz w:val="22"/>
              </w:rPr>
              <w:t>Adult </w:t>
            </w:r>
            <w:r>
              <w:rPr>
                <w:spacing w:val="-2"/>
                <w:sz w:val="22"/>
              </w:rPr>
              <w:t>Group</w:t>
            </w:r>
          </w:p>
        </w:tc>
        <w:tc>
          <w:tcPr>
            <w:tcW w:w="2244" w:type="dxa"/>
          </w:tcPr>
          <w:p>
            <w:pPr>
              <w:pStyle w:val="TableParagraph"/>
              <w:spacing w:before="9"/>
              <w:rPr>
                <w:sz w:val="32"/>
              </w:rPr>
            </w:pPr>
          </w:p>
          <w:p>
            <w:pPr>
              <w:pStyle w:val="TableParagraph"/>
              <w:ind w:left="473" w:right="467"/>
              <w:jc w:val="center"/>
              <w:rPr>
                <w:sz w:val="22"/>
              </w:rPr>
            </w:pPr>
            <w:r>
              <w:rPr>
                <w:sz w:val="22"/>
              </w:rPr>
              <w:t>Hypo</w:t>
            </w:r>
            <w:r>
              <w:rPr>
                <w:spacing w:val="-5"/>
                <w:sz w:val="22"/>
              </w:rPr>
              <w:t> </w:t>
            </w:r>
            <w:r>
              <w:rPr>
                <w:spacing w:val="-10"/>
                <w:sz w:val="22"/>
              </w:rPr>
              <w:t>2</w:t>
            </w:r>
          </w:p>
        </w:tc>
        <w:tc>
          <w:tcPr>
            <w:tcW w:w="1495" w:type="dxa"/>
          </w:tcPr>
          <w:p>
            <w:pPr>
              <w:pStyle w:val="TableParagraph"/>
              <w:spacing w:before="9"/>
              <w:rPr>
                <w:sz w:val="32"/>
              </w:rPr>
            </w:pPr>
          </w:p>
          <w:p>
            <w:pPr>
              <w:pStyle w:val="TableParagraph"/>
              <w:ind w:left="666"/>
              <w:rPr>
                <w:sz w:val="22"/>
              </w:rPr>
            </w:pPr>
            <w:r>
              <w:rPr>
                <w:w w:val="100"/>
                <w:sz w:val="22"/>
              </w:rPr>
              <w:t>X</w:t>
            </w:r>
          </w:p>
        </w:tc>
        <w:tc>
          <w:tcPr>
            <w:tcW w:w="1670" w:type="dxa"/>
          </w:tcPr>
          <w:p>
            <w:pPr>
              <w:pStyle w:val="TableParagraph"/>
              <w:rPr>
                <w:sz w:val="20"/>
              </w:rPr>
            </w:pPr>
          </w:p>
        </w:tc>
        <w:tc>
          <w:tcPr>
            <w:tcW w:w="1348" w:type="dxa"/>
          </w:tcPr>
          <w:p>
            <w:pPr>
              <w:pStyle w:val="TableParagraph"/>
              <w:spacing w:before="9"/>
              <w:rPr>
                <w:sz w:val="32"/>
              </w:rPr>
            </w:pPr>
          </w:p>
          <w:p>
            <w:pPr>
              <w:pStyle w:val="TableParagraph"/>
              <w:ind w:left="7"/>
              <w:jc w:val="center"/>
              <w:rPr>
                <w:sz w:val="22"/>
              </w:rPr>
            </w:pPr>
            <w:r>
              <w:rPr>
                <w:w w:val="100"/>
                <w:sz w:val="22"/>
              </w:rPr>
              <w:t>X</w:t>
            </w:r>
          </w:p>
        </w:tc>
        <w:tc>
          <w:tcPr>
            <w:tcW w:w="3899" w:type="dxa"/>
          </w:tcPr>
          <w:p>
            <w:pPr>
              <w:pStyle w:val="TableParagraph"/>
              <w:ind w:left="159" w:right="141" w:hanging="3"/>
              <w:jc w:val="center"/>
              <w:rPr>
                <w:sz w:val="22"/>
              </w:rPr>
            </w:pPr>
            <w:r>
              <w:rPr>
                <w:sz w:val="22"/>
              </w:rPr>
              <w:t>Report for all expenditures for the Affordable Care Act new adult group,</w:t>
            </w:r>
          </w:p>
          <w:p>
            <w:pPr>
              <w:pStyle w:val="TableParagraph"/>
              <w:spacing w:line="252" w:lineRule="exact"/>
              <w:ind w:left="130" w:right="112"/>
              <w:jc w:val="center"/>
              <w:rPr>
                <w:sz w:val="22"/>
              </w:rPr>
            </w:pPr>
            <w:r>
              <w:rPr>
                <w:sz w:val="22"/>
              </w:rPr>
              <w:t>described</w:t>
            </w:r>
            <w:r>
              <w:rPr>
                <w:spacing w:val="-13"/>
                <w:sz w:val="22"/>
              </w:rPr>
              <w:t> </w:t>
            </w:r>
            <w:r>
              <w:rPr>
                <w:sz w:val="22"/>
              </w:rPr>
              <w:t>in</w:t>
            </w:r>
            <w:r>
              <w:rPr>
                <w:spacing w:val="-13"/>
                <w:sz w:val="22"/>
              </w:rPr>
              <w:t> </w:t>
            </w:r>
            <w:r>
              <w:rPr>
                <w:sz w:val="22"/>
              </w:rPr>
              <w:t>1902(a)(10)(A)(i)(VIII)</w:t>
            </w:r>
            <w:r>
              <w:rPr>
                <w:spacing w:val="-12"/>
                <w:sz w:val="22"/>
              </w:rPr>
              <w:t> </w:t>
            </w:r>
            <w:r>
              <w:rPr>
                <w:sz w:val="22"/>
              </w:rPr>
              <w:t>and 42 CFR 435.119.</w:t>
            </w:r>
          </w:p>
        </w:tc>
      </w:tr>
      <w:tr>
        <w:trPr>
          <w:trHeight w:val="757" w:hRule="atLeast"/>
        </w:trPr>
        <w:tc>
          <w:tcPr>
            <w:tcW w:w="2237" w:type="dxa"/>
          </w:tcPr>
          <w:p>
            <w:pPr>
              <w:pStyle w:val="TableParagraph"/>
              <w:spacing w:before="8"/>
              <w:rPr>
                <w:sz w:val="21"/>
              </w:rPr>
            </w:pPr>
          </w:p>
          <w:p>
            <w:pPr>
              <w:pStyle w:val="TableParagraph"/>
              <w:spacing w:before="1"/>
              <w:ind w:left="112" w:right="101"/>
              <w:jc w:val="center"/>
              <w:rPr>
                <w:sz w:val="22"/>
              </w:rPr>
            </w:pPr>
            <w:r>
              <w:rPr>
                <w:sz w:val="22"/>
              </w:rPr>
              <w:t>Marketplace</w:t>
            </w:r>
            <w:r>
              <w:rPr>
                <w:spacing w:val="-7"/>
                <w:sz w:val="22"/>
              </w:rPr>
              <w:t> </w:t>
            </w:r>
            <w:r>
              <w:rPr>
                <w:spacing w:val="-2"/>
                <w:sz w:val="22"/>
              </w:rPr>
              <w:t>Subsidies</w:t>
            </w:r>
          </w:p>
        </w:tc>
        <w:tc>
          <w:tcPr>
            <w:tcW w:w="2244" w:type="dxa"/>
          </w:tcPr>
          <w:p>
            <w:pPr>
              <w:pStyle w:val="TableParagraph"/>
              <w:spacing w:before="8"/>
              <w:rPr>
                <w:sz w:val="21"/>
              </w:rPr>
            </w:pPr>
          </w:p>
          <w:p>
            <w:pPr>
              <w:pStyle w:val="TableParagraph"/>
              <w:spacing w:before="1"/>
              <w:ind w:left="473" w:right="467"/>
              <w:jc w:val="center"/>
              <w:rPr>
                <w:sz w:val="22"/>
              </w:rPr>
            </w:pPr>
            <w:r>
              <w:rPr>
                <w:sz w:val="22"/>
              </w:rPr>
              <w:t>Hypo</w:t>
            </w:r>
            <w:r>
              <w:rPr>
                <w:spacing w:val="-5"/>
                <w:sz w:val="22"/>
              </w:rPr>
              <w:t> </w:t>
            </w:r>
            <w:r>
              <w:rPr>
                <w:spacing w:val="-10"/>
                <w:sz w:val="22"/>
              </w:rPr>
              <w:t>3</w:t>
            </w:r>
          </w:p>
        </w:tc>
        <w:tc>
          <w:tcPr>
            <w:tcW w:w="1495" w:type="dxa"/>
          </w:tcPr>
          <w:p>
            <w:pPr>
              <w:pStyle w:val="TableParagraph"/>
              <w:spacing w:before="8"/>
              <w:rPr>
                <w:sz w:val="21"/>
              </w:rPr>
            </w:pPr>
          </w:p>
          <w:p>
            <w:pPr>
              <w:pStyle w:val="TableParagraph"/>
              <w:spacing w:before="1"/>
              <w:ind w:left="666"/>
              <w:rPr>
                <w:sz w:val="22"/>
              </w:rPr>
            </w:pPr>
            <w:r>
              <w:rPr>
                <w:w w:val="100"/>
                <w:sz w:val="22"/>
              </w:rPr>
              <w:t>X</w:t>
            </w:r>
          </w:p>
        </w:tc>
        <w:tc>
          <w:tcPr>
            <w:tcW w:w="1670" w:type="dxa"/>
          </w:tcPr>
          <w:p>
            <w:pPr>
              <w:pStyle w:val="TableParagraph"/>
              <w:rPr>
                <w:sz w:val="20"/>
              </w:rPr>
            </w:pPr>
          </w:p>
        </w:tc>
        <w:tc>
          <w:tcPr>
            <w:tcW w:w="1348" w:type="dxa"/>
          </w:tcPr>
          <w:p>
            <w:pPr>
              <w:pStyle w:val="TableParagraph"/>
              <w:spacing w:before="8"/>
              <w:rPr>
                <w:sz w:val="21"/>
              </w:rPr>
            </w:pPr>
          </w:p>
          <w:p>
            <w:pPr>
              <w:pStyle w:val="TableParagraph"/>
              <w:spacing w:before="1"/>
              <w:ind w:left="6"/>
              <w:jc w:val="center"/>
              <w:rPr>
                <w:sz w:val="22"/>
              </w:rPr>
            </w:pPr>
            <w:r>
              <w:rPr>
                <w:w w:val="100"/>
                <w:sz w:val="22"/>
              </w:rPr>
              <w:t>X</w:t>
            </w:r>
          </w:p>
        </w:tc>
        <w:tc>
          <w:tcPr>
            <w:tcW w:w="3899" w:type="dxa"/>
          </w:tcPr>
          <w:p>
            <w:pPr>
              <w:pStyle w:val="TableParagraph"/>
              <w:ind w:left="336" w:firstLine="62"/>
              <w:rPr>
                <w:sz w:val="22"/>
              </w:rPr>
            </w:pPr>
            <w:r>
              <w:rPr>
                <w:sz w:val="22"/>
              </w:rPr>
              <w:t>Expenditures for premium and cost sharing</w:t>
            </w:r>
            <w:r>
              <w:rPr>
                <w:spacing w:val="-12"/>
                <w:sz w:val="22"/>
              </w:rPr>
              <w:t> </w:t>
            </w:r>
            <w:r>
              <w:rPr>
                <w:sz w:val="22"/>
              </w:rPr>
              <w:t>subsidies</w:t>
            </w:r>
            <w:r>
              <w:rPr>
                <w:spacing w:val="-9"/>
                <w:sz w:val="22"/>
              </w:rPr>
              <w:t> </w:t>
            </w:r>
            <w:r>
              <w:rPr>
                <w:sz w:val="22"/>
              </w:rPr>
              <w:t>and</w:t>
            </w:r>
            <w:r>
              <w:rPr>
                <w:spacing w:val="-9"/>
                <w:sz w:val="22"/>
              </w:rPr>
              <w:t> </w:t>
            </w:r>
            <w:r>
              <w:rPr>
                <w:sz w:val="22"/>
              </w:rPr>
              <w:t>Connector</w:t>
            </w:r>
            <w:r>
              <w:rPr>
                <w:spacing w:val="-8"/>
                <w:sz w:val="22"/>
              </w:rPr>
              <w:t> </w:t>
            </w:r>
            <w:r>
              <w:rPr>
                <w:sz w:val="22"/>
              </w:rPr>
              <w:t>gap</w:t>
            </w:r>
          </w:p>
          <w:p>
            <w:pPr>
              <w:pStyle w:val="TableParagraph"/>
              <w:spacing w:line="233" w:lineRule="exact"/>
              <w:ind w:left="430"/>
              <w:rPr>
                <w:sz w:val="22"/>
              </w:rPr>
            </w:pPr>
            <w:r>
              <w:rPr>
                <w:sz w:val="22"/>
              </w:rPr>
              <w:t>coverage</w:t>
            </w:r>
            <w:r>
              <w:rPr>
                <w:spacing w:val="-4"/>
                <w:sz w:val="22"/>
              </w:rPr>
              <w:t> </w:t>
            </w:r>
            <w:r>
              <w:rPr>
                <w:sz w:val="22"/>
              </w:rPr>
              <w:t>under</w:t>
            </w:r>
            <w:r>
              <w:rPr>
                <w:spacing w:val="-2"/>
                <w:sz w:val="22"/>
              </w:rPr>
              <w:t> </w:t>
            </w:r>
            <w:r>
              <w:rPr>
                <w:sz w:val="22"/>
              </w:rPr>
              <w:t>the</w:t>
            </w:r>
            <w:r>
              <w:rPr>
                <w:spacing w:val="-3"/>
                <w:sz w:val="22"/>
              </w:rPr>
              <w:t> </w:t>
            </w:r>
            <w:r>
              <w:rPr>
                <w:spacing w:val="-2"/>
                <w:sz w:val="22"/>
              </w:rPr>
              <w:t>demonstration.</w:t>
            </w:r>
          </w:p>
        </w:tc>
      </w:tr>
      <w:tr>
        <w:trPr>
          <w:trHeight w:val="1012" w:hRule="atLeast"/>
        </w:trPr>
        <w:tc>
          <w:tcPr>
            <w:tcW w:w="2237" w:type="dxa"/>
          </w:tcPr>
          <w:p>
            <w:pPr>
              <w:pStyle w:val="TableParagraph"/>
              <w:rPr>
                <w:sz w:val="33"/>
              </w:rPr>
            </w:pPr>
          </w:p>
          <w:p>
            <w:pPr>
              <w:pStyle w:val="TableParagraph"/>
              <w:ind w:left="112" w:right="97"/>
              <w:jc w:val="center"/>
              <w:rPr>
                <w:sz w:val="22"/>
              </w:rPr>
            </w:pPr>
            <w:r>
              <w:rPr>
                <w:sz w:val="22"/>
              </w:rPr>
              <w:t>Provisional</w:t>
            </w:r>
            <w:r>
              <w:rPr>
                <w:spacing w:val="-4"/>
                <w:sz w:val="22"/>
              </w:rPr>
              <w:t> </w:t>
            </w:r>
            <w:r>
              <w:rPr>
                <w:spacing w:val="-2"/>
                <w:sz w:val="22"/>
              </w:rPr>
              <w:t>Eligibility</w:t>
            </w:r>
          </w:p>
        </w:tc>
        <w:tc>
          <w:tcPr>
            <w:tcW w:w="2244" w:type="dxa"/>
          </w:tcPr>
          <w:p>
            <w:pPr>
              <w:pStyle w:val="TableParagraph"/>
              <w:rPr>
                <w:sz w:val="33"/>
              </w:rPr>
            </w:pPr>
          </w:p>
          <w:p>
            <w:pPr>
              <w:pStyle w:val="TableParagraph"/>
              <w:ind w:left="476" w:right="467"/>
              <w:jc w:val="center"/>
              <w:rPr>
                <w:sz w:val="22"/>
              </w:rPr>
            </w:pPr>
            <w:r>
              <w:rPr>
                <w:spacing w:val="-4"/>
                <w:sz w:val="22"/>
              </w:rPr>
              <w:t>Main</w:t>
            </w:r>
          </w:p>
        </w:tc>
        <w:tc>
          <w:tcPr>
            <w:tcW w:w="1495" w:type="dxa"/>
          </w:tcPr>
          <w:p>
            <w:pPr>
              <w:pStyle w:val="TableParagraph"/>
              <w:rPr>
                <w:sz w:val="20"/>
              </w:rPr>
            </w:pPr>
          </w:p>
        </w:tc>
        <w:tc>
          <w:tcPr>
            <w:tcW w:w="1670" w:type="dxa"/>
          </w:tcPr>
          <w:p>
            <w:pPr>
              <w:pStyle w:val="TableParagraph"/>
              <w:rPr>
                <w:sz w:val="20"/>
              </w:rPr>
            </w:pPr>
          </w:p>
        </w:tc>
        <w:tc>
          <w:tcPr>
            <w:tcW w:w="1348" w:type="dxa"/>
          </w:tcPr>
          <w:p>
            <w:pPr>
              <w:pStyle w:val="TableParagraph"/>
              <w:rPr>
                <w:sz w:val="33"/>
              </w:rPr>
            </w:pPr>
          </w:p>
          <w:p>
            <w:pPr>
              <w:pStyle w:val="TableParagraph"/>
              <w:ind w:left="7"/>
              <w:jc w:val="center"/>
              <w:rPr>
                <w:sz w:val="22"/>
              </w:rPr>
            </w:pPr>
            <w:r>
              <w:rPr>
                <w:w w:val="100"/>
                <w:sz w:val="22"/>
              </w:rPr>
              <w:t>X</w:t>
            </w:r>
          </w:p>
        </w:tc>
        <w:tc>
          <w:tcPr>
            <w:tcW w:w="3899" w:type="dxa"/>
          </w:tcPr>
          <w:p>
            <w:pPr>
              <w:pStyle w:val="TableParagraph"/>
              <w:ind w:left="269" w:right="252" w:hanging="3"/>
              <w:jc w:val="center"/>
              <w:rPr>
                <w:sz w:val="22"/>
              </w:rPr>
            </w:pPr>
            <w:r>
              <w:rPr>
                <w:sz w:val="22"/>
              </w:rPr>
              <w:t>Expenditures for amounts spent on individuals found not eligible for Medicaid</w:t>
            </w:r>
            <w:r>
              <w:rPr>
                <w:spacing w:val="-8"/>
                <w:sz w:val="22"/>
              </w:rPr>
              <w:t> </w:t>
            </w:r>
            <w:r>
              <w:rPr>
                <w:sz w:val="22"/>
              </w:rPr>
              <w:t>benefits</w:t>
            </w:r>
            <w:r>
              <w:rPr>
                <w:spacing w:val="-8"/>
                <w:sz w:val="22"/>
              </w:rPr>
              <w:t> </w:t>
            </w:r>
            <w:r>
              <w:rPr>
                <w:sz w:val="22"/>
              </w:rPr>
              <w:t>under</w:t>
            </w:r>
            <w:r>
              <w:rPr>
                <w:spacing w:val="-10"/>
                <w:sz w:val="22"/>
              </w:rPr>
              <w:t> </w:t>
            </w:r>
            <w:r>
              <w:rPr>
                <w:sz w:val="22"/>
              </w:rPr>
              <w:t>this</w:t>
            </w:r>
            <w:r>
              <w:rPr>
                <w:spacing w:val="-8"/>
                <w:sz w:val="22"/>
              </w:rPr>
              <w:t> </w:t>
            </w:r>
            <w:r>
              <w:rPr>
                <w:sz w:val="22"/>
              </w:rPr>
              <w:t>authority</w:t>
            </w:r>
          </w:p>
          <w:p>
            <w:pPr>
              <w:pStyle w:val="TableParagraph"/>
              <w:spacing w:line="233" w:lineRule="exact"/>
              <w:ind w:left="130" w:right="113"/>
              <w:jc w:val="center"/>
              <w:rPr>
                <w:sz w:val="22"/>
              </w:rPr>
            </w:pPr>
            <w:r>
              <w:rPr>
                <w:sz w:val="22"/>
              </w:rPr>
              <w:t>consistent</w:t>
            </w:r>
            <w:r>
              <w:rPr>
                <w:spacing w:val="-5"/>
                <w:sz w:val="22"/>
              </w:rPr>
              <w:t> </w:t>
            </w:r>
            <w:r>
              <w:rPr>
                <w:sz w:val="22"/>
              </w:rPr>
              <w:t>with</w:t>
            </w:r>
            <w:r>
              <w:rPr>
                <w:spacing w:val="-6"/>
                <w:sz w:val="22"/>
              </w:rPr>
              <w:t> </w:t>
            </w:r>
            <w:r>
              <w:rPr>
                <w:sz w:val="22"/>
              </w:rPr>
              <w:t>STC</w:t>
            </w:r>
            <w:r>
              <w:rPr>
                <w:spacing w:val="-4"/>
                <w:sz w:val="22"/>
              </w:rPr>
              <w:t> 4.7.</w:t>
            </w:r>
          </w:p>
        </w:tc>
      </w:tr>
      <w:tr>
        <w:trPr>
          <w:trHeight w:val="757" w:hRule="atLeast"/>
        </w:trPr>
        <w:tc>
          <w:tcPr>
            <w:tcW w:w="2237" w:type="dxa"/>
          </w:tcPr>
          <w:p>
            <w:pPr>
              <w:pStyle w:val="TableParagraph"/>
              <w:spacing w:before="11"/>
              <w:rPr>
                <w:sz w:val="21"/>
              </w:rPr>
            </w:pPr>
          </w:p>
          <w:p>
            <w:pPr>
              <w:pStyle w:val="TableParagraph"/>
              <w:ind w:left="107" w:right="101"/>
              <w:jc w:val="center"/>
              <w:rPr>
                <w:sz w:val="22"/>
              </w:rPr>
            </w:pPr>
            <w:r>
              <w:rPr>
                <w:spacing w:val="-2"/>
                <w:sz w:val="22"/>
              </w:rPr>
              <w:t>EAEDC</w:t>
            </w:r>
          </w:p>
        </w:tc>
        <w:tc>
          <w:tcPr>
            <w:tcW w:w="2244" w:type="dxa"/>
          </w:tcPr>
          <w:p>
            <w:pPr>
              <w:pStyle w:val="TableParagraph"/>
              <w:spacing w:before="11"/>
              <w:rPr>
                <w:sz w:val="21"/>
              </w:rPr>
            </w:pPr>
          </w:p>
          <w:p>
            <w:pPr>
              <w:pStyle w:val="TableParagraph"/>
              <w:ind w:left="476" w:right="467"/>
              <w:jc w:val="center"/>
              <w:rPr>
                <w:sz w:val="22"/>
              </w:rPr>
            </w:pPr>
            <w:r>
              <w:rPr>
                <w:spacing w:val="-4"/>
                <w:sz w:val="22"/>
              </w:rPr>
              <w:t>Main</w:t>
            </w:r>
          </w:p>
        </w:tc>
        <w:tc>
          <w:tcPr>
            <w:tcW w:w="1495" w:type="dxa"/>
          </w:tcPr>
          <w:p>
            <w:pPr>
              <w:pStyle w:val="TableParagraph"/>
              <w:rPr>
                <w:sz w:val="20"/>
              </w:rPr>
            </w:pPr>
          </w:p>
        </w:tc>
        <w:tc>
          <w:tcPr>
            <w:tcW w:w="1670" w:type="dxa"/>
          </w:tcPr>
          <w:p>
            <w:pPr>
              <w:pStyle w:val="TableParagraph"/>
              <w:rPr>
                <w:sz w:val="20"/>
              </w:rPr>
            </w:pPr>
          </w:p>
        </w:tc>
        <w:tc>
          <w:tcPr>
            <w:tcW w:w="1348" w:type="dxa"/>
          </w:tcPr>
          <w:p>
            <w:pPr>
              <w:pStyle w:val="TableParagraph"/>
              <w:spacing w:before="11"/>
              <w:rPr>
                <w:sz w:val="21"/>
              </w:rPr>
            </w:pPr>
          </w:p>
          <w:p>
            <w:pPr>
              <w:pStyle w:val="TableParagraph"/>
              <w:ind w:left="7"/>
              <w:jc w:val="center"/>
              <w:rPr>
                <w:sz w:val="22"/>
              </w:rPr>
            </w:pPr>
            <w:r>
              <w:rPr>
                <w:w w:val="100"/>
                <w:sz w:val="22"/>
              </w:rPr>
              <w:t>X</w:t>
            </w:r>
          </w:p>
        </w:tc>
        <w:tc>
          <w:tcPr>
            <w:tcW w:w="3899" w:type="dxa"/>
          </w:tcPr>
          <w:p>
            <w:pPr>
              <w:pStyle w:val="TableParagraph"/>
              <w:spacing w:line="251" w:lineRule="exact"/>
              <w:ind w:left="149" w:hanging="17"/>
              <w:rPr>
                <w:sz w:val="22"/>
              </w:rPr>
            </w:pPr>
            <w:r>
              <w:rPr>
                <w:sz w:val="22"/>
              </w:rPr>
              <w:t>Expenditures</w:t>
            </w:r>
            <w:r>
              <w:rPr>
                <w:spacing w:val="-5"/>
                <w:sz w:val="22"/>
              </w:rPr>
              <w:t> </w:t>
            </w:r>
            <w:r>
              <w:rPr>
                <w:sz w:val="22"/>
              </w:rPr>
              <w:t>for</w:t>
            </w:r>
            <w:r>
              <w:rPr>
                <w:spacing w:val="-5"/>
                <w:sz w:val="22"/>
              </w:rPr>
              <w:t> </w:t>
            </w:r>
            <w:r>
              <w:rPr>
                <w:sz w:val="22"/>
              </w:rPr>
              <w:t>health</w:t>
            </w:r>
            <w:r>
              <w:rPr>
                <w:spacing w:val="-3"/>
                <w:sz w:val="22"/>
              </w:rPr>
              <w:t> </w:t>
            </w:r>
            <w:r>
              <w:rPr>
                <w:sz w:val="22"/>
              </w:rPr>
              <w:t>care</w:t>
            </w:r>
            <w:r>
              <w:rPr>
                <w:spacing w:val="-3"/>
                <w:sz w:val="22"/>
              </w:rPr>
              <w:t> </w:t>
            </w:r>
            <w:r>
              <w:rPr>
                <w:sz w:val="22"/>
              </w:rPr>
              <w:t>related</w:t>
            </w:r>
            <w:r>
              <w:rPr>
                <w:spacing w:val="-2"/>
                <w:sz w:val="22"/>
              </w:rPr>
              <w:t> </w:t>
            </w:r>
            <w:r>
              <w:rPr>
                <w:spacing w:val="-4"/>
                <w:sz w:val="22"/>
              </w:rPr>
              <w:t>costs</w:t>
            </w:r>
          </w:p>
          <w:p>
            <w:pPr>
              <w:pStyle w:val="TableParagraph"/>
              <w:spacing w:line="252" w:lineRule="exact"/>
              <w:ind w:left="485" w:right="23" w:hanging="336"/>
              <w:rPr>
                <w:sz w:val="22"/>
              </w:rPr>
            </w:pPr>
            <w:r>
              <w:rPr>
                <w:sz w:val="22"/>
              </w:rPr>
              <w:t>for</w:t>
            </w:r>
            <w:r>
              <w:rPr>
                <w:spacing w:val="-10"/>
                <w:sz w:val="22"/>
              </w:rPr>
              <w:t> </w:t>
            </w:r>
            <w:r>
              <w:rPr>
                <w:sz w:val="22"/>
              </w:rPr>
              <w:t>individuals</w:t>
            </w:r>
            <w:r>
              <w:rPr>
                <w:spacing w:val="-9"/>
                <w:sz w:val="22"/>
              </w:rPr>
              <w:t> </w:t>
            </w:r>
            <w:r>
              <w:rPr>
                <w:sz w:val="22"/>
              </w:rPr>
              <w:t>receiving</w:t>
            </w:r>
            <w:r>
              <w:rPr>
                <w:spacing w:val="-11"/>
                <w:sz w:val="22"/>
              </w:rPr>
              <w:t> </w:t>
            </w:r>
            <w:r>
              <w:rPr>
                <w:sz w:val="22"/>
              </w:rPr>
              <w:t>Emergency</w:t>
            </w:r>
            <w:r>
              <w:rPr>
                <w:spacing w:val="-9"/>
                <w:sz w:val="22"/>
              </w:rPr>
              <w:t> </w:t>
            </w:r>
            <w:r>
              <w:rPr>
                <w:sz w:val="22"/>
              </w:rPr>
              <w:t>Aid to Elders, Disabled and Children.</w:t>
            </w:r>
          </w:p>
        </w:tc>
      </w:tr>
      <w:tr>
        <w:trPr>
          <w:trHeight w:val="1012" w:hRule="atLeast"/>
        </w:trPr>
        <w:tc>
          <w:tcPr>
            <w:tcW w:w="2237" w:type="dxa"/>
          </w:tcPr>
          <w:p>
            <w:pPr>
              <w:pStyle w:val="TableParagraph"/>
              <w:spacing w:before="11"/>
              <w:rPr>
                <w:sz w:val="21"/>
              </w:rPr>
            </w:pPr>
          </w:p>
          <w:p>
            <w:pPr>
              <w:pStyle w:val="TableParagraph"/>
              <w:ind w:left="695" w:hanging="197"/>
              <w:rPr>
                <w:sz w:val="22"/>
              </w:rPr>
            </w:pPr>
            <w:r>
              <w:rPr>
                <w:sz w:val="22"/>
              </w:rPr>
              <w:t>End</w:t>
            </w:r>
            <w:r>
              <w:rPr>
                <w:spacing w:val="-14"/>
                <w:sz w:val="22"/>
              </w:rPr>
              <w:t> </w:t>
            </w:r>
            <w:r>
              <w:rPr>
                <w:sz w:val="22"/>
              </w:rPr>
              <w:t>of</w:t>
            </w:r>
            <w:r>
              <w:rPr>
                <w:spacing w:val="-14"/>
                <w:sz w:val="22"/>
              </w:rPr>
              <w:t> </w:t>
            </w:r>
            <w:r>
              <w:rPr>
                <w:sz w:val="22"/>
              </w:rPr>
              <w:t>Month </w:t>
            </w:r>
            <w:r>
              <w:rPr>
                <w:spacing w:val="-2"/>
                <w:sz w:val="22"/>
              </w:rPr>
              <w:t>Coverage</w:t>
            </w:r>
          </w:p>
        </w:tc>
        <w:tc>
          <w:tcPr>
            <w:tcW w:w="2244" w:type="dxa"/>
          </w:tcPr>
          <w:p>
            <w:pPr>
              <w:pStyle w:val="TableParagraph"/>
              <w:rPr>
                <w:sz w:val="33"/>
              </w:rPr>
            </w:pPr>
          </w:p>
          <w:p>
            <w:pPr>
              <w:pStyle w:val="TableParagraph"/>
              <w:ind w:left="476" w:right="467"/>
              <w:jc w:val="center"/>
              <w:rPr>
                <w:sz w:val="22"/>
              </w:rPr>
            </w:pPr>
            <w:r>
              <w:rPr>
                <w:spacing w:val="-4"/>
                <w:sz w:val="22"/>
              </w:rPr>
              <w:t>Main</w:t>
            </w:r>
          </w:p>
        </w:tc>
        <w:tc>
          <w:tcPr>
            <w:tcW w:w="1495" w:type="dxa"/>
          </w:tcPr>
          <w:p>
            <w:pPr>
              <w:pStyle w:val="TableParagraph"/>
              <w:rPr>
                <w:sz w:val="20"/>
              </w:rPr>
            </w:pPr>
          </w:p>
        </w:tc>
        <w:tc>
          <w:tcPr>
            <w:tcW w:w="1670" w:type="dxa"/>
          </w:tcPr>
          <w:p>
            <w:pPr>
              <w:pStyle w:val="TableParagraph"/>
              <w:rPr>
                <w:sz w:val="20"/>
              </w:rPr>
            </w:pPr>
          </w:p>
        </w:tc>
        <w:tc>
          <w:tcPr>
            <w:tcW w:w="1348" w:type="dxa"/>
          </w:tcPr>
          <w:p>
            <w:pPr>
              <w:pStyle w:val="TableParagraph"/>
              <w:rPr>
                <w:sz w:val="33"/>
              </w:rPr>
            </w:pPr>
          </w:p>
          <w:p>
            <w:pPr>
              <w:pStyle w:val="TableParagraph"/>
              <w:ind w:left="7"/>
              <w:jc w:val="center"/>
              <w:rPr>
                <w:sz w:val="22"/>
              </w:rPr>
            </w:pPr>
            <w:r>
              <w:rPr>
                <w:w w:val="100"/>
                <w:sz w:val="22"/>
              </w:rPr>
              <w:t>X</w:t>
            </w:r>
          </w:p>
        </w:tc>
        <w:tc>
          <w:tcPr>
            <w:tcW w:w="3899" w:type="dxa"/>
          </w:tcPr>
          <w:p>
            <w:pPr>
              <w:pStyle w:val="TableParagraph"/>
              <w:spacing w:before="1"/>
              <w:ind w:left="123" w:right="108" w:firstLine="1"/>
              <w:jc w:val="center"/>
              <w:rPr>
                <w:sz w:val="22"/>
              </w:rPr>
            </w:pPr>
            <w:r>
              <w:rPr>
                <w:sz w:val="22"/>
              </w:rPr>
              <w:t>Beneficiaries determined eligible for subsidized QHP coverage through Massachusetts</w:t>
            </w:r>
            <w:r>
              <w:rPr>
                <w:spacing w:val="-10"/>
                <w:sz w:val="22"/>
              </w:rPr>
              <w:t> </w:t>
            </w:r>
            <w:r>
              <w:rPr>
                <w:sz w:val="22"/>
              </w:rPr>
              <w:t>Health</w:t>
            </w:r>
            <w:r>
              <w:rPr>
                <w:spacing w:val="-10"/>
                <w:sz w:val="22"/>
              </w:rPr>
              <w:t> </w:t>
            </w:r>
            <w:r>
              <w:rPr>
                <w:sz w:val="22"/>
              </w:rPr>
              <w:t>Connector</w:t>
            </w:r>
            <w:r>
              <w:rPr>
                <w:spacing w:val="-9"/>
                <w:sz w:val="22"/>
              </w:rPr>
              <w:t> </w:t>
            </w:r>
            <w:r>
              <w:rPr>
                <w:sz w:val="22"/>
              </w:rPr>
              <w:t>but</w:t>
            </w:r>
            <w:r>
              <w:rPr>
                <w:spacing w:val="-9"/>
                <w:sz w:val="22"/>
              </w:rPr>
              <w:t> </w:t>
            </w:r>
            <w:r>
              <w:rPr>
                <w:sz w:val="22"/>
              </w:rPr>
              <w:t>who</w:t>
            </w:r>
          </w:p>
          <w:p>
            <w:pPr>
              <w:pStyle w:val="TableParagraph"/>
              <w:spacing w:line="233" w:lineRule="exact"/>
              <w:ind w:left="130" w:right="113"/>
              <w:jc w:val="center"/>
              <w:rPr>
                <w:sz w:val="22"/>
              </w:rPr>
            </w:pPr>
            <w:r>
              <w:rPr>
                <w:sz w:val="22"/>
              </w:rPr>
              <w:t>are</w:t>
            </w:r>
            <w:r>
              <w:rPr>
                <w:spacing w:val="-5"/>
                <w:sz w:val="22"/>
              </w:rPr>
              <w:t> </w:t>
            </w:r>
            <w:r>
              <w:rPr>
                <w:sz w:val="22"/>
              </w:rPr>
              <w:t>not</w:t>
            </w:r>
            <w:r>
              <w:rPr>
                <w:spacing w:val="-1"/>
                <w:sz w:val="22"/>
              </w:rPr>
              <w:t> </w:t>
            </w:r>
            <w:r>
              <w:rPr>
                <w:sz w:val="22"/>
              </w:rPr>
              <w:t>enrolled</w:t>
            </w:r>
            <w:r>
              <w:rPr>
                <w:spacing w:val="-2"/>
                <w:sz w:val="22"/>
              </w:rPr>
              <w:t> </w:t>
            </w:r>
            <w:r>
              <w:rPr>
                <w:sz w:val="22"/>
              </w:rPr>
              <w:t>in</w:t>
            </w:r>
            <w:r>
              <w:rPr>
                <w:spacing w:val="-2"/>
                <w:sz w:val="22"/>
              </w:rPr>
              <w:t> </w:t>
            </w:r>
            <w:r>
              <w:rPr>
                <w:sz w:val="22"/>
              </w:rPr>
              <w:t>a</w:t>
            </w:r>
            <w:r>
              <w:rPr>
                <w:spacing w:val="-2"/>
                <w:sz w:val="22"/>
              </w:rPr>
              <w:t> </w:t>
            </w:r>
            <w:r>
              <w:rPr>
                <w:spacing w:val="-4"/>
                <w:sz w:val="22"/>
              </w:rPr>
              <w:t>QHP.</w:t>
            </w:r>
          </w:p>
        </w:tc>
      </w:tr>
      <w:tr>
        <w:trPr>
          <w:trHeight w:val="1012" w:hRule="atLeast"/>
        </w:trPr>
        <w:tc>
          <w:tcPr>
            <w:tcW w:w="2237" w:type="dxa"/>
          </w:tcPr>
          <w:p>
            <w:pPr>
              <w:pStyle w:val="TableParagraph"/>
              <w:rPr>
                <w:sz w:val="33"/>
              </w:rPr>
            </w:pPr>
          </w:p>
          <w:p>
            <w:pPr>
              <w:pStyle w:val="TableParagraph"/>
              <w:ind w:left="108" w:right="101"/>
              <w:jc w:val="center"/>
              <w:rPr>
                <w:sz w:val="22"/>
              </w:rPr>
            </w:pPr>
            <w:r>
              <w:rPr>
                <w:spacing w:val="-4"/>
                <w:sz w:val="22"/>
              </w:rPr>
              <w:t>FFCY</w:t>
            </w:r>
          </w:p>
        </w:tc>
        <w:tc>
          <w:tcPr>
            <w:tcW w:w="2244" w:type="dxa"/>
          </w:tcPr>
          <w:p>
            <w:pPr>
              <w:pStyle w:val="TableParagraph"/>
              <w:rPr>
                <w:sz w:val="33"/>
              </w:rPr>
            </w:pPr>
          </w:p>
          <w:p>
            <w:pPr>
              <w:pStyle w:val="TableParagraph"/>
              <w:ind w:left="473" w:right="467"/>
              <w:jc w:val="center"/>
              <w:rPr>
                <w:sz w:val="22"/>
              </w:rPr>
            </w:pPr>
            <w:r>
              <w:rPr>
                <w:sz w:val="22"/>
              </w:rPr>
              <w:t>Hypo</w:t>
            </w:r>
            <w:r>
              <w:rPr>
                <w:spacing w:val="-5"/>
                <w:sz w:val="22"/>
              </w:rPr>
              <w:t> </w:t>
            </w:r>
            <w:r>
              <w:rPr>
                <w:spacing w:val="-10"/>
                <w:sz w:val="22"/>
              </w:rPr>
              <w:t>4</w:t>
            </w:r>
          </w:p>
        </w:tc>
        <w:tc>
          <w:tcPr>
            <w:tcW w:w="1495" w:type="dxa"/>
          </w:tcPr>
          <w:p>
            <w:pPr>
              <w:pStyle w:val="TableParagraph"/>
              <w:rPr>
                <w:sz w:val="33"/>
              </w:rPr>
            </w:pPr>
          </w:p>
          <w:p>
            <w:pPr>
              <w:pStyle w:val="TableParagraph"/>
              <w:ind w:left="666"/>
              <w:rPr>
                <w:sz w:val="22"/>
              </w:rPr>
            </w:pPr>
            <w:r>
              <w:rPr>
                <w:w w:val="100"/>
                <w:sz w:val="22"/>
              </w:rPr>
              <w:t>X</w:t>
            </w:r>
          </w:p>
        </w:tc>
        <w:tc>
          <w:tcPr>
            <w:tcW w:w="1670" w:type="dxa"/>
          </w:tcPr>
          <w:p>
            <w:pPr>
              <w:pStyle w:val="TableParagraph"/>
              <w:rPr>
                <w:sz w:val="20"/>
              </w:rPr>
            </w:pPr>
          </w:p>
        </w:tc>
        <w:tc>
          <w:tcPr>
            <w:tcW w:w="1348" w:type="dxa"/>
          </w:tcPr>
          <w:p>
            <w:pPr>
              <w:pStyle w:val="TableParagraph"/>
              <w:rPr>
                <w:sz w:val="33"/>
              </w:rPr>
            </w:pPr>
          </w:p>
          <w:p>
            <w:pPr>
              <w:pStyle w:val="TableParagraph"/>
              <w:ind w:left="7"/>
              <w:jc w:val="center"/>
              <w:rPr>
                <w:sz w:val="22"/>
              </w:rPr>
            </w:pPr>
            <w:r>
              <w:rPr>
                <w:w w:val="100"/>
                <w:sz w:val="22"/>
              </w:rPr>
              <w:t>X</w:t>
            </w:r>
          </w:p>
        </w:tc>
        <w:tc>
          <w:tcPr>
            <w:tcW w:w="3899" w:type="dxa"/>
          </w:tcPr>
          <w:p>
            <w:pPr>
              <w:pStyle w:val="TableParagraph"/>
              <w:ind w:left="111" w:right="96"/>
              <w:jc w:val="center"/>
              <w:rPr>
                <w:sz w:val="22"/>
              </w:rPr>
            </w:pPr>
            <w:r>
              <w:rPr>
                <w:sz w:val="22"/>
              </w:rPr>
              <w:t>Expenditures for those individuals enrolled as “Out-of-state Former Foster Care</w:t>
            </w:r>
            <w:r>
              <w:rPr>
                <w:spacing w:val="-5"/>
                <w:sz w:val="22"/>
              </w:rPr>
              <w:t> </w:t>
            </w:r>
            <w:r>
              <w:rPr>
                <w:sz w:val="22"/>
              </w:rPr>
              <w:t>Youth,”</w:t>
            </w:r>
            <w:r>
              <w:rPr>
                <w:spacing w:val="-5"/>
                <w:sz w:val="22"/>
              </w:rPr>
              <w:t> </w:t>
            </w:r>
            <w:r>
              <w:rPr>
                <w:sz w:val="22"/>
              </w:rPr>
              <w:t>who</w:t>
            </w:r>
            <w:r>
              <w:rPr>
                <w:spacing w:val="-8"/>
                <w:sz w:val="22"/>
              </w:rPr>
              <w:t> </w:t>
            </w:r>
            <w:r>
              <w:rPr>
                <w:sz w:val="22"/>
              </w:rPr>
              <w:t>are</w:t>
            </w:r>
            <w:r>
              <w:rPr>
                <w:spacing w:val="-5"/>
                <w:sz w:val="22"/>
              </w:rPr>
              <w:t> </w:t>
            </w:r>
            <w:r>
              <w:rPr>
                <w:sz w:val="22"/>
              </w:rPr>
              <w:t>youth</w:t>
            </w:r>
            <w:r>
              <w:rPr>
                <w:spacing w:val="-5"/>
                <w:sz w:val="22"/>
              </w:rPr>
              <w:t> </w:t>
            </w:r>
            <w:r>
              <w:rPr>
                <w:sz w:val="22"/>
              </w:rPr>
              <w:t>under</w:t>
            </w:r>
            <w:r>
              <w:rPr>
                <w:spacing w:val="-4"/>
                <w:sz w:val="22"/>
              </w:rPr>
              <w:t> </w:t>
            </w:r>
            <w:r>
              <w:rPr>
                <w:sz w:val="22"/>
              </w:rPr>
              <w:t>age</w:t>
            </w:r>
            <w:r>
              <w:rPr>
                <w:spacing w:val="-5"/>
                <w:sz w:val="22"/>
              </w:rPr>
              <w:t> </w:t>
            </w:r>
            <w:r>
              <w:rPr>
                <w:sz w:val="22"/>
              </w:rPr>
              <w:t>26</w:t>
            </w:r>
          </w:p>
          <w:p>
            <w:pPr>
              <w:pStyle w:val="TableParagraph"/>
              <w:spacing w:line="233" w:lineRule="exact"/>
              <w:ind w:left="128" w:right="113"/>
              <w:jc w:val="center"/>
              <w:rPr>
                <w:sz w:val="22"/>
              </w:rPr>
            </w:pPr>
            <w:r>
              <w:rPr>
                <w:sz w:val="22"/>
              </w:rPr>
              <w:t>who</w:t>
            </w:r>
            <w:r>
              <w:rPr>
                <w:spacing w:val="-3"/>
                <w:sz w:val="22"/>
              </w:rPr>
              <w:t> </w:t>
            </w:r>
            <w:r>
              <w:rPr>
                <w:sz w:val="22"/>
              </w:rPr>
              <w:t>were</w:t>
            </w:r>
            <w:r>
              <w:rPr>
                <w:spacing w:val="-3"/>
                <w:sz w:val="22"/>
              </w:rPr>
              <w:t> </w:t>
            </w:r>
            <w:r>
              <w:rPr>
                <w:sz w:val="22"/>
              </w:rPr>
              <w:t>in</w:t>
            </w:r>
            <w:r>
              <w:rPr>
                <w:spacing w:val="-2"/>
                <w:sz w:val="22"/>
              </w:rPr>
              <w:t> </w:t>
            </w:r>
            <w:r>
              <w:rPr>
                <w:sz w:val="22"/>
              </w:rPr>
              <w:t>foster</w:t>
            </w:r>
            <w:r>
              <w:rPr>
                <w:spacing w:val="-4"/>
                <w:sz w:val="22"/>
              </w:rPr>
              <w:t> </w:t>
            </w:r>
            <w:r>
              <w:rPr>
                <w:sz w:val="22"/>
              </w:rPr>
              <w:t>care</w:t>
            </w:r>
            <w:r>
              <w:rPr>
                <w:spacing w:val="-2"/>
                <w:sz w:val="22"/>
              </w:rPr>
              <w:t> </w:t>
            </w:r>
            <w:r>
              <w:rPr>
                <w:sz w:val="22"/>
              </w:rPr>
              <w:t>under</w:t>
            </w:r>
            <w:r>
              <w:rPr>
                <w:spacing w:val="-1"/>
                <w:sz w:val="22"/>
              </w:rPr>
              <w:t> </w:t>
            </w:r>
            <w:r>
              <w:rPr>
                <w:spacing w:val="-5"/>
                <w:sz w:val="22"/>
              </w:rPr>
              <w:t>the</w:t>
            </w:r>
          </w:p>
        </w:tc>
      </w:tr>
    </w:tbl>
    <w:p>
      <w:pPr>
        <w:spacing w:after="0" w:line="233" w:lineRule="exact"/>
        <w:jc w:val="center"/>
        <w:rPr>
          <w:sz w:val="22"/>
        </w:rPr>
        <w:sectPr>
          <w:pgSz w:w="15840" w:h="12240" w:orient="landscape"/>
          <w:pgMar w:header="0" w:footer="1201" w:top="1380" w:bottom="1400" w:left="1340" w:right="1380"/>
        </w:sectPr>
      </w:pPr>
    </w:p>
    <w:p>
      <w:pPr>
        <w:pStyle w:val="BodyText"/>
        <w:spacing w:before="2"/>
        <w:rPr>
          <w:sz w:val="5"/>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7"/>
        <w:gridCol w:w="2244"/>
        <w:gridCol w:w="1495"/>
        <w:gridCol w:w="1670"/>
        <w:gridCol w:w="1348"/>
        <w:gridCol w:w="3899"/>
      </w:tblGrid>
      <w:tr>
        <w:trPr>
          <w:trHeight w:val="412" w:hRule="atLeast"/>
        </w:trPr>
        <w:tc>
          <w:tcPr>
            <w:tcW w:w="12893" w:type="dxa"/>
            <w:gridSpan w:val="6"/>
            <w:shd w:val="clear" w:color="auto" w:fill="DBE4F0"/>
          </w:tcPr>
          <w:p>
            <w:pPr>
              <w:pStyle w:val="TableParagraph"/>
              <w:spacing w:before="80"/>
              <w:ind w:left="5038" w:right="5024"/>
              <w:jc w:val="center"/>
              <w:rPr>
                <w:b/>
                <w:sz w:val="22"/>
              </w:rPr>
            </w:pPr>
            <w:r>
              <w:rPr>
                <w:b/>
                <w:sz w:val="22"/>
              </w:rPr>
              <w:t>Table</w:t>
            </w:r>
            <w:r>
              <w:rPr>
                <w:b/>
                <w:spacing w:val="-3"/>
                <w:sz w:val="22"/>
              </w:rPr>
              <w:t> </w:t>
            </w:r>
            <w:r>
              <w:rPr>
                <w:b/>
                <w:sz w:val="22"/>
              </w:rPr>
              <w:t>17:</w:t>
            </w:r>
            <w:r>
              <w:rPr>
                <w:b/>
                <w:spacing w:val="-2"/>
                <w:sz w:val="22"/>
              </w:rPr>
              <w:t> </w:t>
            </w:r>
            <w:r>
              <w:rPr>
                <w:b/>
                <w:sz w:val="22"/>
              </w:rPr>
              <w:t>Master</w:t>
            </w:r>
            <w:r>
              <w:rPr>
                <w:b/>
                <w:spacing w:val="-2"/>
                <w:sz w:val="22"/>
              </w:rPr>
              <w:t> </w:t>
            </w:r>
            <w:r>
              <w:rPr>
                <w:b/>
                <w:sz w:val="22"/>
              </w:rPr>
              <w:t>MEG</w:t>
            </w:r>
            <w:r>
              <w:rPr>
                <w:b/>
                <w:spacing w:val="-4"/>
                <w:sz w:val="22"/>
              </w:rPr>
              <w:t> Chart</w:t>
            </w:r>
          </w:p>
        </w:tc>
      </w:tr>
      <w:tr>
        <w:trPr>
          <w:trHeight w:val="505" w:hRule="atLeast"/>
        </w:trPr>
        <w:tc>
          <w:tcPr>
            <w:tcW w:w="2237" w:type="dxa"/>
            <w:shd w:val="clear" w:color="auto" w:fill="DBE4F0"/>
          </w:tcPr>
          <w:p>
            <w:pPr>
              <w:pStyle w:val="TableParagraph"/>
              <w:spacing w:before="125"/>
              <w:ind w:left="108" w:right="101"/>
              <w:jc w:val="center"/>
              <w:rPr>
                <w:b/>
                <w:sz w:val="22"/>
              </w:rPr>
            </w:pPr>
            <w:r>
              <w:rPr>
                <w:b/>
                <w:spacing w:val="-5"/>
                <w:sz w:val="22"/>
              </w:rPr>
              <w:t>MEG</w:t>
            </w:r>
          </w:p>
        </w:tc>
        <w:tc>
          <w:tcPr>
            <w:tcW w:w="2244" w:type="dxa"/>
            <w:shd w:val="clear" w:color="auto" w:fill="DBE4F0"/>
          </w:tcPr>
          <w:p>
            <w:pPr>
              <w:pStyle w:val="TableParagraph"/>
              <w:spacing w:line="254" w:lineRule="exact"/>
              <w:ind w:left="712" w:hanging="315"/>
              <w:rPr>
                <w:b/>
                <w:sz w:val="22"/>
              </w:rPr>
            </w:pPr>
            <w:r>
              <w:rPr>
                <w:b/>
                <w:sz w:val="22"/>
              </w:rPr>
              <w:t>Which</w:t>
            </w:r>
            <w:r>
              <w:rPr>
                <w:b/>
                <w:spacing w:val="-14"/>
                <w:sz w:val="22"/>
              </w:rPr>
              <w:t> </w:t>
            </w:r>
            <w:r>
              <w:rPr>
                <w:b/>
                <w:sz w:val="22"/>
              </w:rPr>
              <w:t>BN</w:t>
            </w:r>
            <w:r>
              <w:rPr>
                <w:b/>
                <w:spacing w:val="-14"/>
                <w:sz w:val="22"/>
              </w:rPr>
              <w:t> </w:t>
            </w:r>
            <w:r>
              <w:rPr>
                <w:b/>
                <w:sz w:val="22"/>
              </w:rPr>
              <w:t>Test </w:t>
            </w:r>
            <w:r>
              <w:rPr>
                <w:b/>
                <w:spacing w:val="-2"/>
                <w:sz w:val="22"/>
              </w:rPr>
              <w:t>Applies?</w:t>
            </w:r>
          </w:p>
        </w:tc>
        <w:tc>
          <w:tcPr>
            <w:tcW w:w="1495" w:type="dxa"/>
            <w:shd w:val="clear" w:color="auto" w:fill="DBE4F0"/>
          </w:tcPr>
          <w:p>
            <w:pPr>
              <w:pStyle w:val="TableParagraph"/>
              <w:spacing w:line="254" w:lineRule="exact"/>
              <w:ind w:left="429" w:right="237" w:hanging="183"/>
              <w:rPr>
                <w:b/>
                <w:sz w:val="22"/>
              </w:rPr>
            </w:pPr>
            <w:r>
              <w:rPr>
                <w:b/>
                <w:sz w:val="22"/>
              </w:rPr>
              <w:t>WOW</w:t>
            </w:r>
            <w:r>
              <w:rPr>
                <w:b/>
                <w:spacing w:val="-14"/>
                <w:sz w:val="22"/>
              </w:rPr>
              <w:t> </w:t>
            </w:r>
            <w:r>
              <w:rPr>
                <w:b/>
                <w:sz w:val="22"/>
              </w:rPr>
              <w:t>Per </w:t>
            </w:r>
            <w:r>
              <w:rPr>
                <w:b/>
                <w:spacing w:val="-2"/>
                <w:sz w:val="22"/>
              </w:rPr>
              <w:t>Capita</w:t>
            </w:r>
          </w:p>
        </w:tc>
        <w:tc>
          <w:tcPr>
            <w:tcW w:w="1670" w:type="dxa"/>
            <w:shd w:val="clear" w:color="auto" w:fill="DBE4F0"/>
          </w:tcPr>
          <w:p>
            <w:pPr>
              <w:pStyle w:val="TableParagraph"/>
              <w:spacing w:line="251" w:lineRule="exact"/>
              <w:ind w:left="337" w:right="332"/>
              <w:jc w:val="center"/>
              <w:rPr>
                <w:b/>
                <w:sz w:val="22"/>
              </w:rPr>
            </w:pPr>
            <w:r>
              <w:rPr>
                <w:b/>
                <w:spacing w:val="-5"/>
                <w:sz w:val="22"/>
              </w:rPr>
              <w:t>WOW</w:t>
            </w:r>
          </w:p>
          <w:p>
            <w:pPr>
              <w:pStyle w:val="TableParagraph"/>
              <w:spacing w:line="233" w:lineRule="exact" w:before="1"/>
              <w:ind w:left="339" w:right="332"/>
              <w:jc w:val="center"/>
              <w:rPr>
                <w:b/>
                <w:sz w:val="22"/>
              </w:rPr>
            </w:pPr>
            <w:r>
              <w:rPr>
                <w:b/>
                <w:spacing w:val="-2"/>
                <w:sz w:val="22"/>
              </w:rPr>
              <w:t>Aggregate</w:t>
            </w:r>
          </w:p>
        </w:tc>
        <w:tc>
          <w:tcPr>
            <w:tcW w:w="1348" w:type="dxa"/>
            <w:shd w:val="clear" w:color="auto" w:fill="DBE4F0"/>
          </w:tcPr>
          <w:p>
            <w:pPr>
              <w:pStyle w:val="TableParagraph"/>
              <w:spacing w:before="125"/>
              <w:ind w:left="437" w:right="431"/>
              <w:jc w:val="center"/>
              <w:rPr>
                <w:b/>
                <w:sz w:val="22"/>
              </w:rPr>
            </w:pPr>
            <w:r>
              <w:rPr>
                <w:b/>
                <w:spacing w:val="-5"/>
                <w:sz w:val="22"/>
              </w:rPr>
              <w:t>WW</w:t>
            </w:r>
          </w:p>
        </w:tc>
        <w:tc>
          <w:tcPr>
            <w:tcW w:w="3899" w:type="dxa"/>
            <w:shd w:val="clear" w:color="auto" w:fill="DBE4F0"/>
          </w:tcPr>
          <w:p>
            <w:pPr>
              <w:pStyle w:val="TableParagraph"/>
              <w:spacing w:before="125"/>
              <w:ind w:left="1140"/>
              <w:rPr>
                <w:b/>
                <w:sz w:val="22"/>
              </w:rPr>
            </w:pPr>
            <w:r>
              <w:rPr>
                <w:b/>
                <w:sz w:val="22"/>
              </w:rPr>
              <w:t>Brief</w:t>
            </w:r>
            <w:r>
              <w:rPr>
                <w:b/>
                <w:spacing w:val="-1"/>
                <w:sz w:val="22"/>
              </w:rPr>
              <w:t> </w:t>
            </w:r>
            <w:r>
              <w:rPr>
                <w:b/>
                <w:spacing w:val="-2"/>
                <w:sz w:val="22"/>
              </w:rPr>
              <w:t>Description</w:t>
            </w:r>
          </w:p>
        </w:tc>
      </w:tr>
      <w:tr>
        <w:trPr>
          <w:trHeight w:val="2275" w:hRule="atLeast"/>
        </w:trPr>
        <w:tc>
          <w:tcPr>
            <w:tcW w:w="2237" w:type="dxa"/>
          </w:tcPr>
          <w:p>
            <w:pPr>
              <w:pStyle w:val="TableParagraph"/>
              <w:rPr>
                <w:sz w:val="20"/>
              </w:rPr>
            </w:pPr>
          </w:p>
        </w:tc>
        <w:tc>
          <w:tcPr>
            <w:tcW w:w="2244" w:type="dxa"/>
          </w:tcPr>
          <w:p>
            <w:pPr>
              <w:pStyle w:val="TableParagraph"/>
              <w:rPr>
                <w:sz w:val="20"/>
              </w:rPr>
            </w:pPr>
          </w:p>
        </w:tc>
        <w:tc>
          <w:tcPr>
            <w:tcW w:w="1495" w:type="dxa"/>
          </w:tcPr>
          <w:p>
            <w:pPr>
              <w:pStyle w:val="TableParagraph"/>
              <w:rPr>
                <w:sz w:val="20"/>
              </w:rPr>
            </w:pPr>
          </w:p>
        </w:tc>
        <w:tc>
          <w:tcPr>
            <w:tcW w:w="1670" w:type="dxa"/>
          </w:tcPr>
          <w:p>
            <w:pPr>
              <w:pStyle w:val="TableParagraph"/>
              <w:rPr>
                <w:sz w:val="20"/>
              </w:rPr>
            </w:pPr>
          </w:p>
        </w:tc>
        <w:tc>
          <w:tcPr>
            <w:tcW w:w="1348" w:type="dxa"/>
          </w:tcPr>
          <w:p>
            <w:pPr>
              <w:pStyle w:val="TableParagraph"/>
              <w:rPr>
                <w:sz w:val="20"/>
              </w:rPr>
            </w:pPr>
          </w:p>
        </w:tc>
        <w:tc>
          <w:tcPr>
            <w:tcW w:w="3899" w:type="dxa"/>
          </w:tcPr>
          <w:p>
            <w:pPr>
              <w:pStyle w:val="TableParagraph"/>
              <w:ind w:left="207" w:right="190" w:firstLine="1"/>
              <w:jc w:val="center"/>
              <w:rPr>
                <w:sz w:val="22"/>
              </w:rPr>
            </w:pPr>
            <w:r>
              <w:rPr>
                <w:sz w:val="22"/>
              </w:rPr>
              <w:t>responsibility of a state other than Massachusetts</w:t>
            </w:r>
            <w:r>
              <w:rPr>
                <w:spacing w:val="-6"/>
                <w:sz w:val="22"/>
              </w:rPr>
              <w:t> </w:t>
            </w:r>
            <w:r>
              <w:rPr>
                <w:sz w:val="22"/>
              </w:rPr>
              <w:t>or</w:t>
            </w:r>
            <w:r>
              <w:rPr>
                <w:spacing w:val="-6"/>
                <w:sz w:val="22"/>
              </w:rPr>
              <w:t> </w:t>
            </w:r>
            <w:r>
              <w:rPr>
                <w:sz w:val="22"/>
              </w:rPr>
              <w:t>a</w:t>
            </w:r>
            <w:r>
              <w:rPr>
                <w:spacing w:val="-6"/>
                <w:sz w:val="22"/>
              </w:rPr>
              <w:t> </w:t>
            </w:r>
            <w:r>
              <w:rPr>
                <w:sz w:val="22"/>
              </w:rPr>
              <w:t>Tribe</w:t>
            </w:r>
            <w:r>
              <w:rPr>
                <w:spacing w:val="-6"/>
                <w:sz w:val="22"/>
              </w:rPr>
              <w:t> </w:t>
            </w:r>
            <w:r>
              <w:rPr>
                <w:sz w:val="22"/>
              </w:rPr>
              <w:t>in</w:t>
            </w:r>
            <w:r>
              <w:rPr>
                <w:spacing w:val="-7"/>
                <w:sz w:val="22"/>
              </w:rPr>
              <w:t> </w:t>
            </w:r>
            <w:r>
              <w:rPr>
                <w:sz w:val="22"/>
              </w:rPr>
              <w:t>such</w:t>
            </w:r>
            <w:r>
              <w:rPr>
                <w:spacing w:val="-4"/>
                <w:sz w:val="22"/>
              </w:rPr>
              <w:t> </w:t>
            </w:r>
            <w:r>
              <w:rPr>
                <w:sz w:val="22"/>
              </w:rPr>
              <w:t>a</w:t>
            </w:r>
            <w:r>
              <w:rPr>
                <w:spacing w:val="-6"/>
                <w:sz w:val="22"/>
              </w:rPr>
              <w:t> </w:t>
            </w:r>
            <w:r>
              <w:rPr>
                <w:sz w:val="22"/>
              </w:rPr>
              <w:t>state when they</w:t>
            </w:r>
            <w:r>
              <w:rPr>
                <w:spacing w:val="-3"/>
                <w:sz w:val="22"/>
              </w:rPr>
              <w:t> </w:t>
            </w:r>
            <w:r>
              <w:rPr>
                <w:sz w:val="22"/>
              </w:rPr>
              <w:t>turned 18</w:t>
            </w:r>
            <w:r>
              <w:rPr>
                <w:spacing w:val="-3"/>
                <w:sz w:val="22"/>
              </w:rPr>
              <w:t> </w:t>
            </w:r>
            <w:r>
              <w:rPr>
                <w:sz w:val="22"/>
              </w:rPr>
              <w:t>(or</w:t>
            </w:r>
            <w:r>
              <w:rPr>
                <w:spacing w:val="-2"/>
                <w:sz w:val="22"/>
              </w:rPr>
              <w:t> </w:t>
            </w:r>
            <w:r>
              <w:rPr>
                <w:sz w:val="22"/>
              </w:rPr>
              <w:t>a higher age at which the state’s or Tribe’s foster care assistance ends), and were enrolled in Medicaid under that state’s Medicaid state</w:t>
            </w:r>
            <w:r>
              <w:rPr>
                <w:spacing w:val="-4"/>
                <w:sz w:val="22"/>
              </w:rPr>
              <w:t> </w:t>
            </w:r>
            <w:r>
              <w:rPr>
                <w:sz w:val="22"/>
              </w:rPr>
              <w:t>plan</w:t>
            </w:r>
            <w:r>
              <w:rPr>
                <w:spacing w:val="-4"/>
                <w:sz w:val="22"/>
              </w:rPr>
              <w:t> </w:t>
            </w:r>
            <w:r>
              <w:rPr>
                <w:sz w:val="22"/>
              </w:rPr>
              <w:t>or</w:t>
            </w:r>
            <w:r>
              <w:rPr>
                <w:spacing w:val="-3"/>
                <w:sz w:val="22"/>
              </w:rPr>
              <w:t> </w:t>
            </w:r>
            <w:r>
              <w:rPr>
                <w:sz w:val="22"/>
              </w:rPr>
              <w:t>1115</w:t>
            </w:r>
            <w:r>
              <w:rPr>
                <w:spacing w:val="-4"/>
                <w:sz w:val="22"/>
              </w:rPr>
              <w:t> </w:t>
            </w:r>
            <w:r>
              <w:rPr>
                <w:sz w:val="22"/>
              </w:rPr>
              <w:t>demonstration</w:t>
            </w:r>
            <w:r>
              <w:rPr>
                <w:spacing w:val="-4"/>
                <w:sz w:val="22"/>
              </w:rPr>
              <w:t> </w:t>
            </w:r>
            <w:r>
              <w:rPr>
                <w:sz w:val="22"/>
              </w:rPr>
              <w:t>at</w:t>
            </w:r>
            <w:r>
              <w:rPr>
                <w:spacing w:val="-3"/>
                <w:sz w:val="22"/>
              </w:rPr>
              <w:t> </w:t>
            </w:r>
            <w:r>
              <w:rPr>
                <w:sz w:val="22"/>
              </w:rPr>
              <w:t>any time during the foster care period in</w:t>
            </w:r>
          </w:p>
          <w:p>
            <w:pPr>
              <w:pStyle w:val="TableParagraph"/>
              <w:spacing w:line="233" w:lineRule="exact"/>
              <w:ind w:left="130" w:right="113"/>
              <w:jc w:val="center"/>
              <w:rPr>
                <w:sz w:val="22"/>
              </w:rPr>
            </w:pPr>
            <w:r>
              <w:rPr>
                <w:sz w:val="22"/>
              </w:rPr>
              <w:t>which</w:t>
            </w:r>
            <w:r>
              <w:rPr>
                <w:spacing w:val="-4"/>
                <w:sz w:val="22"/>
              </w:rPr>
              <w:t> </w:t>
            </w:r>
            <w:r>
              <w:rPr>
                <w:sz w:val="22"/>
              </w:rPr>
              <w:t>they</w:t>
            </w:r>
            <w:r>
              <w:rPr>
                <w:spacing w:val="-4"/>
                <w:sz w:val="22"/>
              </w:rPr>
              <w:t> </w:t>
            </w:r>
            <w:r>
              <w:rPr>
                <w:sz w:val="22"/>
              </w:rPr>
              <w:t>aged</w:t>
            </w:r>
            <w:r>
              <w:rPr>
                <w:spacing w:val="-1"/>
                <w:sz w:val="22"/>
              </w:rPr>
              <w:t> </w:t>
            </w:r>
            <w:r>
              <w:rPr>
                <w:spacing w:val="-4"/>
                <w:sz w:val="22"/>
              </w:rPr>
              <w:t>out.</w:t>
            </w:r>
          </w:p>
        </w:tc>
      </w:tr>
      <w:tr>
        <w:trPr>
          <w:trHeight w:val="1012" w:hRule="atLeast"/>
        </w:trPr>
        <w:tc>
          <w:tcPr>
            <w:tcW w:w="2237" w:type="dxa"/>
          </w:tcPr>
          <w:p>
            <w:pPr>
              <w:pStyle w:val="TableParagraph"/>
              <w:spacing w:before="9"/>
              <w:rPr>
                <w:sz w:val="32"/>
              </w:rPr>
            </w:pPr>
          </w:p>
          <w:p>
            <w:pPr>
              <w:pStyle w:val="TableParagraph"/>
              <w:ind w:left="107" w:right="101"/>
              <w:jc w:val="center"/>
              <w:rPr>
                <w:sz w:val="22"/>
              </w:rPr>
            </w:pPr>
            <w:r>
              <w:rPr>
                <w:spacing w:val="-5"/>
                <w:sz w:val="22"/>
              </w:rPr>
              <w:t>SUD</w:t>
            </w:r>
          </w:p>
        </w:tc>
        <w:tc>
          <w:tcPr>
            <w:tcW w:w="2244" w:type="dxa"/>
          </w:tcPr>
          <w:p>
            <w:pPr>
              <w:pStyle w:val="TableParagraph"/>
              <w:spacing w:before="9"/>
              <w:rPr>
                <w:sz w:val="32"/>
              </w:rPr>
            </w:pPr>
          </w:p>
          <w:p>
            <w:pPr>
              <w:pStyle w:val="TableParagraph"/>
              <w:ind w:left="933"/>
              <w:rPr>
                <w:sz w:val="22"/>
              </w:rPr>
            </w:pPr>
            <w:r>
              <w:rPr>
                <w:sz w:val="22"/>
              </w:rPr>
              <w:t>Hypo</w:t>
            </w:r>
            <w:r>
              <w:rPr>
                <w:spacing w:val="-5"/>
                <w:sz w:val="22"/>
              </w:rPr>
              <w:t> </w:t>
            </w:r>
            <w:r>
              <w:rPr>
                <w:spacing w:val="-10"/>
                <w:sz w:val="22"/>
              </w:rPr>
              <w:t>5</w:t>
            </w:r>
          </w:p>
        </w:tc>
        <w:tc>
          <w:tcPr>
            <w:tcW w:w="1495" w:type="dxa"/>
          </w:tcPr>
          <w:p>
            <w:pPr>
              <w:pStyle w:val="TableParagraph"/>
              <w:spacing w:before="9"/>
              <w:rPr>
                <w:sz w:val="32"/>
              </w:rPr>
            </w:pPr>
          </w:p>
          <w:p>
            <w:pPr>
              <w:pStyle w:val="TableParagraph"/>
              <w:ind w:left="666"/>
              <w:rPr>
                <w:sz w:val="22"/>
              </w:rPr>
            </w:pPr>
            <w:r>
              <w:rPr>
                <w:w w:val="100"/>
                <w:sz w:val="22"/>
              </w:rPr>
              <w:t>X</w:t>
            </w:r>
          </w:p>
        </w:tc>
        <w:tc>
          <w:tcPr>
            <w:tcW w:w="1670" w:type="dxa"/>
          </w:tcPr>
          <w:p>
            <w:pPr>
              <w:pStyle w:val="TableParagraph"/>
              <w:rPr>
                <w:sz w:val="20"/>
              </w:rPr>
            </w:pPr>
          </w:p>
        </w:tc>
        <w:tc>
          <w:tcPr>
            <w:tcW w:w="1348" w:type="dxa"/>
          </w:tcPr>
          <w:p>
            <w:pPr>
              <w:pStyle w:val="TableParagraph"/>
              <w:spacing w:before="9"/>
              <w:rPr>
                <w:sz w:val="32"/>
              </w:rPr>
            </w:pPr>
          </w:p>
          <w:p>
            <w:pPr>
              <w:pStyle w:val="TableParagraph"/>
              <w:ind w:left="7"/>
              <w:jc w:val="center"/>
              <w:rPr>
                <w:sz w:val="22"/>
              </w:rPr>
            </w:pPr>
            <w:r>
              <w:rPr>
                <w:w w:val="100"/>
                <w:sz w:val="22"/>
              </w:rPr>
              <w:t>X</w:t>
            </w:r>
          </w:p>
        </w:tc>
        <w:tc>
          <w:tcPr>
            <w:tcW w:w="3899" w:type="dxa"/>
          </w:tcPr>
          <w:p>
            <w:pPr>
              <w:pStyle w:val="TableParagraph"/>
              <w:ind w:left="128" w:right="113"/>
              <w:jc w:val="center"/>
              <w:rPr>
                <w:sz w:val="22"/>
              </w:rPr>
            </w:pPr>
            <w:r>
              <w:rPr>
                <w:sz w:val="22"/>
              </w:rPr>
              <w:t>All</w:t>
            </w:r>
            <w:r>
              <w:rPr>
                <w:spacing w:val="-6"/>
                <w:sz w:val="22"/>
              </w:rPr>
              <w:t> </w:t>
            </w:r>
            <w:r>
              <w:rPr>
                <w:sz w:val="22"/>
              </w:rPr>
              <w:t>expenditures</w:t>
            </w:r>
            <w:r>
              <w:rPr>
                <w:spacing w:val="-7"/>
                <w:sz w:val="22"/>
              </w:rPr>
              <w:t> </w:t>
            </w:r>
            <w:r>
              <w:rPr>
                <w:sz w:val="22"/>
              </w:rPr>
              <w:t>for</w:t>
            </w:r>
            <w:r>
              <w:rPr>
                <w:spacing w:val="-6"/>
                <w:sz w:val="22"/>
              </w:rPr>
              <w:t> </w:t>
            </w:r>
            <w:r>
              <w:rPr>
                <w:sz w:val="22"/>
              </w:rPr>
              <w:t>services</w:t>
            </w:r>
            <w:r>
              <w:rPr>
                <w:spacing w:val="-7"/>
                <w:sz w:val="22"/>
              </w:rPr>
              <w:t> </w:t>
            </w:r>
            <w:r>
              <w:rPr>
                <w:sz w:val="22"/>
              </w:rPr>
              <w:t>provided</w:t>
            </w:r>
            <w:r>
              <w:rPr>
                <w:spacing w:val="-7"/>
                <w:sz w:val="22"/>
              </w:rPr>
              <w:t> </w:t>
            </w:r>
            <w:r>
              <w:rPr>
                <w:sz w:val="22"/>
              </w:rPr>
              <w:t>to an individual while they are a patient in</w:t>
            </w:r>
          </w:p>
          <w:p>
            <w:pPr>
              <w:pStyle w:val="TableParagraph"/>
              <w:spacing w:line="252" w:lineRule="exact"/>
              <w:ind w:left="130" w:right="113"/>
              <w:jc w:val="center"/>
              <w:rPr>
                <w:sz w:val="22"/>
              </w:rPr>
            </w:pPr>
            <w:r>
              <w:rPr>
                <w:sz w:val="22"/>
              </w:rPr>
              <w:t>an</w:t>
            </w:r>
            <w:r>
              <w:rPr>
                <w:spacing w:val="-6"/>
                <w:sz w:val="22"/>
              </w:rPr>
              <w:t> </w:t>
            </w:r>
            <w:r>
              <w:rPr>
                <w:sz w:val="22"/>
              </w:rPr>
              <w:t>IMD</w:t>
            </w:r>
            <w:r>
              <w:rPr>
                <w:spacing w:val="-7"/>
                <w:sz w:val="22"/>
              </w:rPr>
              <w:t> </w:t>
            </w:r>
            <w:r>
              <w:rPr>
                <w:sz w:val="22"/>
              </w:rPr>
              <w:t>for</w:t>
            </w:r>
            <w:r>
              <w:rPr>
                <w:spacing w:val="-5"/>
                <w:sz w:val="22"/>
              </w:rPr>
              <w:t> </w:t>
            </w:r>
            <w:r>
              <w:rPr>
                <w:sz w:val="22"/>
              </w:rPr>
              <w:t>SUD</w:t>
            </w:r>
            <w:r>
              <w:rPr>
                <w:spacing w:val="-7"/>
                <w:sz w:val="22"/>
              </w:rPr>
              <w:t> </w:t>
            </w:r>
            <w:r>
              <w:rPr>
                <w:sz w:val="22"/>
              </w:rPr>
              <w:t>treatment</w:t>
            </w:r>
            <w:r>
              <w:rPr>
                <w:spacing w:val="-8"/>
                <w:sz w:val="22"/>
              </w:rPr>
              <w:t> </w:t>
            </w:r>
            <w:r>
              <w:rPr>
                <w:sz w:val="22"/>
              </w:rPr>
              <w:t>described</w:t>
            </w:r>
            <w:r>
              <w:rPr>
                <w:spacing w:val="-6"/>
                <w:sz w:val="22"/>
              </w:rPr>
              <w:t> </w:t>
            </w:r>
            <w:r>
              <w:rPr>
                <w:sz w:val="22"/>
              </w:rPr>
              <w:t>in Table 6 of Section 6.</w:t>
            </w:r>
          </w:p>
        </w:tc>
      </w:tr>
      <w:tr>
        <w:trPr>
          <w:trHeight w:val="2529" w:hRule="atLeast"/>
        </w:trPr>
        <w:tc>
          <w:tcPr>
            <w:tcW w:w="2237" w:type="dxa"/>
          </w:tcPr>
          <w:p>
            <w:pPr>
              <w:pStyle w:val="TableParagraph"/>
              <w:rPr>
                <w:sz w:val="24"/>
              </w:rPr>
            </w:pPr>
          </w:p>
          <w:p>
            <w:pPr>
              <w:pStyle w:val="TableParagraph"/>
              <w:rPr>
                <w:sz w:val="24"/>
              </w:rPr>
            </w:pPr>
          </w:p>
          <w:p>
            <w:pPr>
              <w:pStyle w:val="TableParagraph"/>
              <w:rPr>
                <w:sz w:val="24"/>
              </w:rPr>
            </w:pPr>
          </w:p>
          <w:p>
            <w:pPr>
              <w:pStyle w:val="TableParagraph"/>
              <w:spacing w:before="9"/>
              <w:rPr>
                <w:sz w:val="26"/>
              </w:rPr>
            </w:pPr>
          </w:p>
          <w:p>
            <w:pPr>
              <w:pStyle w:val="TableParagraph"/>
              <w:ind w:left="110" w:right="101"/>
              <w:jc w:val="center"/>
              <w:rPr>
                <w:sz w:val="22"/>
              </w:rPr>
            </w:pPr>
            <w:r>
              <w:rPr>
                <w:sz w:val="22"/>
              </w:rPr>
              <w:t>SMI</w:t>
            </w:r>
            <w:r>
              <w:rPr>
                <w:spacing w:val="-5"/>
                <w:sz w:val="22"/>
              </w:rPr>
              <w:t> </w:t>
            </w:r>
            <w:r>
              <w:rPr>
                <w:sz w:val="22"/>
              </w:rPr>
              <w:t>IMD</w:t>
            </w:r>
            <w:r>
              <w:rPr>
                <w:spacing w:val="-3"/>
                <w:sz w:val="22"/>
              </w:rPr>
              <w:t> </w:t>
            </w:r>
            <w:r>
              <w:rPr>
                <w:spacing w:val="-2"/>
                <w:sz w:val="22"/>
              </w:rPr>
              <w:t>Services</w:t>
            </w:r>
          </w:p>
        </w:tc>
        <w:tc>
          <w:tcPr>
            <w:tcW w:w="2244" w:type="dxa"/>
          </w:tcPr>
          <w:p>
            <w:pPr>
              <w:pStyle w:val="TableParagraph"/>
              <w:rPr>
                <w:sz w:val="24"/>
              </w:rPr>
            </w:pPr>
          </w:p>
          <w:p>
            <w:pPr>
              <w:pStyle w:val="TableParagraph"/>
              <w:rPr>
                <w:sz w:val="24"/>
              </w:rPr>
            </w:pPr>
          </w:p>
          <w:p>
            <w:pPr>
              <w:pStyle w:val="TableParagraph"/>
              <w:rPr>
                <w:sz w:val="24"/>
              </w:rPr>
            </w:pPr>
          </w:p>
          <w:p>
            <w:pPr>
              <w:pStyle w:val="TableParagraph"/>
              <w:spacing w:before="9"/>
              <w:rPr>
                <w:sz w:val="26"/>
              </w:rPr>
            </w:pPr>
          </w:p>
          <w:p>
            <w:pPr>
              <w:pStyle w:val="TableParagraph"/>
              <w:ind w:left="474" w:right="467"/>
              <w:jc w:val="center"/>
              <w:rPr>
                <w:sz w:val="22"/>
              </w:rPr>
            </w:pPr>
            <w:r>
              <w:rPr>
                <w:sz w:val="22"/>
              </w:rPr>
              <w:t>Hypo</w:t>
            </w:r>
            <w:r>
              <w:rPr>
                <w:spacing w:val="-5"/>
                <w:sz w:val="22"/>
              </w:rPr>
              <w:t> </w:t>
            </w:r>
            <w:r>
              <w:rPr>
                <w:spacing w:val="-10"/>
                <w:sz w:val="22"/>
              </w:rPr>
              <w:t>6</w:t>
            </w:r>
          </w:p>
        </w:tc>
        <w:tc>
          <w:tcPr>
            <w:tcW w:w="1495" w:type="dxa"/>
          </w:tcPr>
          <w:p>
            <w:pPr>
              <w:pStyle w:val="TableParagraph"/>
              <w:rPr>
                <w:sz w:val="24"/>
              </w:rPr>
            </w:pPr>
          </w:p>
          <w:p>
            <w:pPr>
              <w:pStyle w:val="TableParagraph"/>
              <w:rPr>
                <w:sz w:val="24"/>
              </w:rPr>
            </w:pPr>
          </w:p>
          <w:p>
            <w:pPr>
              <w:pStyle w:val="TableParagraph"/>
              <w:rPr>
                <w:sz w:val="24"/>
              </w:rPr>
            </w:pPr>
          </w:p>
          <w:p>
            <w:pPr>
              <w:pStyle w:val="TableParagraph"/>
              <w:spacing w:before="9"/>
              <w:rPr>
                <w:sz w:val="26"/>
              </w:rPr>
            </w:pPr>
          </w:p>
          <w:p>
            <w:pPr>
              <w:pStyle w:val="TableParagraph"/>
              <w:ind w:left="666"/>
              <w:rPr>
                <w:sz w:val="22"/>
              </w:rPr>
            </w:pPr>
            <w:r>
              <w:rPr>
                <w:w w:val="100"/>
                <w:sz w:val="22"/>
              </w:rPr>
              <w:t>X</w:t>
            </w:r>
          </w:p>
        </w:tc>
        <w:tc>
          <w:tcPr>
            <w:tcW w:w="1670" w:type="dxa"/>
          </w:tcPr>
          <w:p>
            <w:pPr>
              <w:pStyle w:val="TableParagraph"/>
              <w:rPr>
                <w:sz w:val="20"/>
              </w:rPr>
            </w:pPr>
          </w:p>
        </w:tc>
        <w:tc>
          <w:tcPr>
            <w:tcW w:w="1348" w:type="dxa"/>
          </w:tcPr>
          <w:p>
            <w:pPr>
              <w:pStyle w:val="TableParagraph"/>
              <w:rPr>
                <w:sz w:val="24"/>
              </w:rPr>
            </w:pPr>
          </w:p>
          <w:p>
            <w:pPr>
              <w:pStyle w:val="TableParagraph"/>
              <w:rPr>
                <w:sz w:val="24"/>
              </w:rPr>
            </w:pPr>
          </w:p>
          <w:p>
            <w:pPr>
              <w:pStyle w:val="TableParagraph"/>
              <w:rPr>
                <w:sz w:val="24"/>
              </w:rPr>
            </w:pPr>
          </w:p>
          <w:p>
            <w:pPr>
              <w:pStyle w:val="TableParagraph"/>
              <w:spacing w:before="9"/>
              <w:rPr>
                <w:sz w:val="26"/>
              </w:rPr>
            </w:pPr>
          </w:p>
          <w:p>
            <w:pPr>
              <w:pStyle w:val="TableParagraph"/>
              <w:ind w:left="7"/>
              <w:jc w:val="center"/>
              <w:rPr>
                <w:sz w:val="22"/>
              </w:rPr>
            </w:pPr>
            <w:r>
              <w:rPr>
                <w:w w:val="100"/>
                <w:sz w:val="22"/>
              </w:rPr>
              <w:t>X</w:t>
            </w:r>
          </w:p>
        </w:tc>
        <w:tc>
          <w:tcPr>
            <w:tcW w:w="3899" w:type="dxa"/>
          </w:tcPr>
          <w:p>
            <w:pPr>
              <w:pStyle w:val="TableParagraph"/>
              <w:ind w:left="116" w:right="97" w:hanging="5"/>
              <w:jc w:val="center"/>
              <w:rPr>
                <w:sz w:val="22"/>
              </w:rPr>
            </w:pPr>
            <w:r>
              <w:rPr>
                <w:sz w:val="22"/>
              </w:rPr>
              <w:t>Expenditures for costs of medical assistance provided to Base Disabled, Base Families, CommonHealth, eHIV/FA, 1902(r)(2) Disabled, 1902(r)(2) BCCDP, and New Adult Group individuals while they are a</w:t>
            </w:r>
            <w:r>
              <w:rPr>
                <w:spacing w:val="40"/>
                <w:sz w:val="22"/>
              </w:rPr>
              <w:t> </w:t>
            </w:r>
            <w:r>
              <w:rPr>
                <w:sz w:val="22"/>
              </w:rPr>
              <w:t>patient in an IMD for SMI treatment that could</w:t>
            </w:r>
            <w:r>
              <w:rPr>
                <w:spacing w:val="-7"/>
                <w:sz w:val="22"/>
              </w:rPr>
              <w:t> </w:t>
            </w:r>
            <w:r>
              <w:rPr>
                <w:sz w:val="22"/>
              </w:rPr>
              <w:t>be</w:t>
            </w:r>
            <w:r>
              <w:rPr>
                <w:spacing w:val="-5"/>
                <w:sz w:val="22"/>
              </w:rPr>
              <w:t> </w:t>
            </w:r>
            <w:r>
              <w:rPr>
                <w:sz w:val="22"/>
              </w:rPr>
              <w:t>covered,</w:t>
            </w:r>
            <w:r>
              <w:rPr>
                <w:spacing w:val="-5"/>
                <w:sz w:val="22"/>
              </w:rPr>
              <w:t> </w:t>
            </w:r>
            <w:r>
              <w:rPr>
                <w:sz w:val="22"/>
              </w:rPr>
              <w:t>were</w:t>
            </w:r>
            <w:r>
              <w:rPr>
                <w:spacing w:val="-7"/>
                <w:sz w:val="22"/>
              </w:rPr>
              <w:t> </w:t>
            </w:r>
            <w:r>
              <w:rPr>
                <w:sz w:val="22"/>
              </w:rPr>
              <w:t>it</w:t>
            </w:r>
            <w:r>
              <w:rPr>
                <w:spacing w:val="-4"/>
                <w:sz w:val="22"/>
              </w:rPr>
              <w:t> </w:t>
            </w:r>
            <w:r>
              <w:rPr>
                <w:sz w:val="22"/>
              </w:rPr>
              <w:t>not</w:t>
            </w:r>
            <w:r>
              <w:rPr>
                <w:spacing w:val="-4"/>
                <w:sz w:val="22"/>
              </w:rPr>
              <w:t> </w:t>
            </w:r>
            <w:r>
              <w:rPr>
                <w:sz w:val="22"/>
              </w:rPr>
              <w:t>for</w:t>
            </w:r>
            <w:r>
              <w:rPr>
                <w:spacing w:val="-4"/>
                <w:sz w:val="22"/>
              </w:rPr>
              <w:t> </w:t>
            </w:r>
            <w:r>
              <w:rPr>
                <w:sz w:val="22"/>
              </w:rPr>
              <w:t>the</w:t>
            </w:r>
            <w:r>
              <w:rPr>
                <w:spacing w:val="-5"/>
                <w:sz w:val="22"/>
              </w:rPr>
              <w:t> </w:t>
            </w:r>
            <w:r>
              <w:rPr>
                <w:sz w:val="22"/>
              </w:rPr>
              <w:t>IMD prohibition under the state plan as</w:t>
            </w:r>
          </w:p>
          <w:p>
            <w:pPr>
              <w:pStyle w:val="TableParagraph"/>
              <w:spacing w:line="233" w:lineRule="exact"/>
              <w:ind w:left="128" w:right="113"/>
              <w:jc w:val="center"/>
              <w:rPr>
                <w:sz w:val="22"/>
              </w:rPr>
            </w:pPr>
            <w:r>
              <w:rPr>
                <w:sz w:val="22"/>
              </w:rPr>
              <w:t>described</w:t>
            </w:r>
            <w:r>
              <w:rPr>
                <w:spacing w:val="-5"/>
                <w:sz w:val="22"/>
              </w:rPr>
              <w:t> </w:t>
            </w:r>
            <w:r>
              <w:rPr>
                <w:sz w:val="22"/>
              </w:rPr>
              <w:t>in</w:t>
            </w:r>
            <w:r>
              <w:rPr>
                <w:spacing w:val="-5"/>
                <w:sz w:val="22"/>
              </w:rPr>
              <w:t> </w:t>
            </w:r>
            <w:r>
              <w:rPr>
                <w:sz w:val="22"/>
              </w:rPr>
              <w:t>Expenditure</w:t>
            </w:r>
            <w:r>
              <w:rPr>
                <w:spacing w:val="-4"/>
                <w:sz w:val="22"/>
              </w:rPr>
              <w:t> </w:t>
            </w:r>
            <w:r>
              <w:rPr>
                <w:sz w:val="22"/>
              </w:rPr>
              <w:t>Authority</w:t>
            </w:r>
            <w:r>
              <w:rPr>
                <w:spacing w:val="-7"/>
                <w:sz w:val="22"/>
              </w:rPr>
              <w:t> </w:t>
            </w:r>
            <w:r>
              <w:rPr>
                <w:spacing w:val="-4"/>
                <w:sz w:val="22"/>
              </w:rPr>
              <w:t>#15.</w:t>
            </w:r>
          </w:p>
        </w:tc>
      </w:tr>
      <w:tr>
        <w:trPr>
          <w:trHeight w:val="2025" w:hRule="atLeast"/>
        </w:trPr>
        <w:tc>
          <w:tcPr>
            <w:tcW w:w="2237" w:type="dxa"/>
          </w:tcPr>
          <w:p>
            <w:pPr>
              <w:pStyle w:val="TableParagraph"/>
              <w:rPr>
                <w:sz w:val="24"/>
              </w:rPr>
            </w:pPr>
          </w:p>
          <w:p>
            <w:pPr>
              <w:pStyle w:val="TableParagraph"/>
              <w:spacing w:before="11"/>
              <w:rPr>
                <w:sz w:val="30"/>
              </w:rPr>
            </w:pPr>
          </w:p>
          <w:p>
            <w:pPr>
              <w:pStyle w:val="TableParagraph"/>
              <w:ind w:left="112" w:right="101"/>
              <w:jc w:val="center"/>
              <w:rPr>
                <w:sz w:val="22"/>
              </w:rPr>
            </w:pPr>
            <w:r>
              <w:rPr>
                <w:sz w:val="22"/>
              </w:rPr>
              <w:t>Medicare</w:t>
            </w:r>
            <w:r>
              <w:rPr>
                <w:spacing w:val="-14"/>
                <w:sz w:val="22"/>
              </w:rPr>
              <w:t> </w:t>
            </w:r>
            <w:r>
              <w:rPr>
                <w:sz w:val="22"/>
              </w:rPr>
              <w:t>Savings Program (MSP) </w:t>
            </w:r>
            <w:r>
              <w:rPr>
                <w:spacing w:val="-2"/>
                <w:sz w:val="22"/>
              </w:rPr>
              <w:t>Expansion</w:t>
            </w:r>
          </w:p>
        </w:tc>
        <w:tc>
          <w:tcPr>
            <w:tcW w:w="2244" w:type="dxa"/>
          </w:tcPr>
          <w:p>
            <w:pPr>
              <w:pStyle w:val="TableParagraph"/>
              <w:rPr>
                <w:sz w:val="24"/>
              </w:rPr>
            </w:pPr>
          </w:p>
          <w:p>
            <w:pPr>
              <w:pStyle w:val="TableParagraph"/>
              <w:rPr>
                <w:sz w:val="24"/>
              </w:rPr>
            </w:pPr>
          </w:p>
          <w:p>
            <w:pPr>
              <w:pStyle w:val="TableParagraph"/>
              <w:spacing w:before="10"/>
              <w:rPr>
                <w:sz w:val="28"/>
              </w:rPr>
            </w:pPr>
          </w:p>
          <w:p>
            <w:pPr>
              <w:pStyle w:val="TableParagraph"/>
              <w:ind w:left="476" w:right="467"/>
              <w:jc w:val="center"/>
              <w:rPr>
                <w:sz w:val="22"/>
              </w:rPr>
            </w:pPr>
            <w:r>
              <w:rPr>
                <w:spacing w:val="-4"/>
                <w:sz w:val="22"/>
              </w:rPr>
              <w:t>Main</w:t>
            </w:r>
          </w:p>
        </w:tc>
        <w:tc>
          <w:tcPr>
            <w:tcW w:w="1495" w:type="dxa"/>
          </w:tcPr>
          <w:p>
            <w:pPr>
              <w:pStyle w:val="TableParagraph"/>
              <w:rPr>
                <w:sz w:val="20"/>
              </w:rPr>
            </w:pPr>
          </w:p>
        </w:tc>
        <w:tc>
          <w:tcPr>
            <w:tcW w:w="1670" w:type="dxa"/>
          </w:tcPr>
          <w:p>
            <w:pPr>
              <w:pStyle w:val="TableParagraph"/>
              <w:rPr>
                <w:sz w:val="20"/>
              </w:rPr>
            </w:pPr>
          </w:p>
        </w:tc>
        <w:tc>
          <w:tcPr>
            <w:tcW w:w="1348" w:type="dxa"/>
          </w:tcPr>
          <w:p>
            <w:pPr>
              <w:pStyle w:val="TableParagraph"/>
              <w:rPr>
                <w:sz w:val="24"/>
              </w:rPr>
            </w:pPr>
          </w:p>
          <w:p>
            <w:pPr>
              <w:pStyle w:val="TableParagraph"/>
              <w:rPr>
                <w:sz w:val="24"/>
              </w:rPr>
            </w:pPr>
          </w:p>
          <w:p>
            <w:pPr>
              <w:pStyle w:val="TableParagraph"/>
              <w:spacing w:before="10"/>
              <w:rPr>
                <w:sz w:val="28"/>
              </w:rPr>
            </w:pPr>
          </w:p>
          <w:p>
            <w:pPr>
              <w:pStyle w:val="TableParagraph"/>
              <w:ind w:left="7"/>
              <w:jc w:val="center"/>
              <w:rPr>
                <w:sz w:val="22"/>
              </w:rPr>
            </w:pPr>
            <w:r>
              <w:rPr>
                <w:w w:val="100"/>
                <w:sz w:val="22"/>
              </w:rPr>
              <w:t>X</w:t>
            </w:r>
          </w:p>
        </w:tc>
        <w:tc>
          <w:tcPr>
            <w:tcW w:w="3899" w:type="dxa"/>
          </w:tcPr>
          <w:p>
            <w:pPr>
              <w:pStyle w:val="TableParagraph"/>
              <w:ind w:left="142" w:right="124" w:hanging="1"/>
              <w:jc w:val="center"/>
              <w:rPr>
                <w:sz w:val="22"/>
              </w:rPr>
            </w:pPr>
            <w:r>
              <w:rPr>
                <w:sz w:val="22"/>
              </w:rPr>
              <w:t>All expenditures for MSP benefits as described in Expenditure Authority #17 for MassHealth members eligible for Medicare</w:t>
            </w:r>
            <w:r>
              <w:rPr>
                <w:spacing w:val="-8"/>
                <w:sz w:val="22"/>
              </w:rPr>
              <w:t> </w:t>
            </w:r>
            <w:r>
              <w:rPr>
                <w:sz w:val="22"/>
              </w:rPr>
              <w:t>cost</w:t>
            </w:r>
            <w:r>
              <w:rPr>
                <w:spacing w:val="-10"/>
                <w:sz w:val="22"/>
              </w:rPr>
              <w:t> </w:t>
            </w:r>
            <w:r>
              <w:rPr>
                <w:sz w:val="22"/>
              </w:rPr>
              <w:t>sharing</w:t>
            </w:r>
            <w:r>
              <w:rPr>
                <w:spacing w:val="-10"/>
                <w:sz w:val="22"/>
              </w:rPr>
              <w:t> </w:t>
            </w:r>
            <w:r>
              <w:rPr>
                <w:sz w:val="22"/>
              </w:rPr>
              <w:t>assistance</w:t>
            </w:r>
            <w:r>
              <w:rPr>
                <w:spacing w:val="-8"/>
                <w:sz w:val="22"/>
              </w:rPr>
              <w:t> </w:t>
            </w:r>
            <w:r>
              <w:rPr>
                <w:sz w:val="22"/>
              </w:rPr>
              <w:t>through the Commonwealth’s MSP income limit expansion,</w:t>
            </w:r>
            <w:r>
              <w:rPr>
                <w:spacing w:val="-3"/>
                <w:sz w:val="22"/>
              </w:rPr>
              <w:t> </w:t>
            </w:r>
            <w:r>
              <w:rPr>
                <w:sz w:val="22"/>
              </w:rPr>
              <w:t>without</w:t>
            </w:r>
            <w:r>
              <w:rPr>
                <w:spacing w:val="-5"/>
                <w:sz w:val="22"/>
              </w:rPr>
              <w:t> </w:t>
            </w:r>
            <w:r>
              <w:rPr>
                <w:sz w:val="22"/>
              </w:rPr>
              <w:t>applying</w:t>
            </w:r>
            <w:r>
              <w:rPr>
                <w:spacing w:val="-5"/>
                <w:sz w:val="22"/>
              </w:rPr>
              <w:t> </w:t>
            </w:r>
            <w:r>
              <w:rPr>
                <w:sz w:val="22"/>
              </w:rPr>
              <w:t>an</w:t>
            </w:r>
            <w:r>
              <w:rPr>
                <w:spacing w:val="-3"/>
                <w:sz w:val="22"/>
              </w:rPr>
              <w:t> </w:t>
            </w:r>
            <w:r>
              <w:rPr>
                <w:sz w:val="22"/>
              </w:rPr>
              <w:t>asset</w:t>
            </w:r>
            <w:r>
              <w:rPr>
                <w:spacing w:val="-1"/>
                <w:sz w:val="22"/>
              </w:rPr>
              <w:t> </w:t>
            </w:r>
            <w:r>
              <w:rPr>
                <w:spacing w:val="-4"/>
                <w:sz w:val="22"/>
              </w:rPr>
              <w:t>test</w:t>
            </w:r>
          </w:p>
          <w:p>
            <w:pPr>
              <w:pStyle w:val="TableParagraph"/>
              <w:spacing w:line="252" w:lineRule="exact"/>
              <w:ind w:left="130" w:right="110"/>
              <w:jc w:val="center"/>
              <w:rPr>
                <w:sz w:val="22"/>
              </w:rPr>
            </w:pPr>
            <w:r>
              <w:rPr>
                <w:sz w:val="22"/>
              </w:rPr>
              <w:t>(i.e.,</w:t>
            </w:r>
            <w:r>
              <w:rPr>
                <w:spacing w:val="-3"/>
                <w:sz w:val="22"/>
              </w:rPr>
              <w:t> </w:t>
            </w:r>
            <w:r>
              <w:rPr>
                <w:sz w:val="22"/>
              </w:rPr>
              <w:t>MassHealth</w:t>
            </w:r>
            <w:r>
              <w:rPr>
                <w:spacing w:val="-3"/>
                <w:sz w:val="22"/>
              </w:rPr>
              <w:t> </w:t>
            </w:r>
            <w:r>
              <w:rPr>
                <w:sz w:val="22"/>
              </w:rPr>
              <w:t>income</w:t>
            </w:r>
            <w:r>
              <w:rPr>
                <w:spacing w:val="-3"/>
                <w:sz w:val="22"/>
              </w:rPr>
              <w:t> </w:t>
            </w:r>
            <w:r>
              <w:rPr>
                <w:sz w:val="22"/>
              </w:rPr>
              <w:t>limit</w:t>
            </w:r>
            <w:r>
              <w:rPr>
                <w:spacing w:val="-2"/>
                <w:sz w:val="22"/>
              </w:rPr>
              <w:t> </w:t>
            </w:r>
            <w:r>
              <w:rPr>
                <w:sz w:val="22"/>
              </w:rPr>
              <w:t>between 133</w:t>
            </w:r>
            <w:r>
              <w:rPr>
                <w:spacing w:val="-3"/>
                <w:sz w:val="22"/>
              </w:rPr>
              <w:t> </w:t>
            </w:r>
            <w:r>
              <w:rPr>
                <w:sz w:val="22"/>
              </w:rPr>
              <w:t>percent</w:t>
            </w:r>
            <w:r>
              <w:rPr>
                <w:spacing w:val="-1"/>
                <w:sz w:val="22"/>
              </w:rPr>
              <w:t> </w:t>
            </w:r>
            <w:r>
              <w:rPr>
                <w:sz w:val="22"/>
              </w:rPr>
              <w:t>FPL</w:t>
            </w:r>
            <w:r>
              <w:rPr>
                <w:spacing w:val="-3"/>
                <w:sz w:val="22"/>
              </w:rPr>
              <w:t> </w:t>
            </w:r>
            <w:r>
              <w:rPr>
                <w:sz w:val="22"/>
              </w:rPr>
              <w:t>and</w:t>
            </w:r>
            <w:r>
              <w:rPr>
                <w:spacing w:val="-3"/>
                <w:sz w:val="22"/>
              </w:rPr>
              <w:t> </w:t>
            </w:r>
            <w:r>
              <w:rPr>
                <w:sz w:val="22"/>
              </w:rPr>
              <w:t>165</w:t>
            </w:r>
            <w:r>
              <w:rPr>
                <w:spacing w:val="-2"/>
                <w:sz w:val="22"/>
              </w:rPr>
              <w:t> </w:t>
            </w:r>
            <w:r>
              <w:rPr>
                <w:sz w:val="22"/>
              </w:rPr>
              <w:t>percent</w:t>
            </w:r>
            <w:r>
              <w:rPr>
                <w:spacing w:val="-1"/>
                <w:sz w:val="22"/>
              </w:rPr>
              <w:t> </w:t>
            </w:r>
            <w:r>
              <w:rPr>
                <w:spacing w:val="-4"/>
                <w:sz w:val="22"/>
              </w:rPr>
              <w:t>FPL).</w:t>
            </w:r>
          </w:p>
        </w:tc>
      </w:tr>
    </w:tbl>
    <w:p>
      <w:pPr>
        <w:spacing w:after="0" w:line="252" w:lineRule="exact"/>
        <w:jc w:val="center"/>
        <w:rPr>
          <w:sz w:val="22"/>
        </w:rPr>
        <w:sectPr>
          <w:pgSz w:w="15840" w:h="12240" w:orient="landscape"/>
          <w:pgMar w:header="0" w:footer="1201" w:top="1380" w:bottom="1400" w:left="1340" w:right="1380"/>
        </w:sectPr>
      </w:pPr>
    </w:p>
    <w:p>
      <w:pPr>
        <w:pStyle w:val="BodyText"/>
        <w:spacing w:before="2"/>
        <w:rPr>
          <w:sz w:val="5"/>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7"/>
        <w:gridCol w:w="2244"/>
        <w:gridCol w:w="1495"/>
        <w:gridCol w:w="1670"/>
        <w:gridCol w:w="1348"/>
        <w:gridCol w:w="3899"/>
      </w:tblGrid>
      <w:tr>
        <w:trPr>
          <w:trHeight w:val="412" w:hRule="atLeast"/>
        </w:trPr>
        <w:tc>
          <w:tcPr>
            <w:tcW w:w="12893" w:type="dxa"/>
            <w:gridSpan w:val="6"/>
            <w:shd w:val="clear" w:color="auto" w:fill="DBE4F0"/>
          </w:tcPr>
          <w:p>
            <w:pPr>
              <w:pStyle w:val="TableParagraph"/>
              <w:spacing w:before="80"/>
              <w:ind w:left="5038" w:right="5024"/>
              <w:jc w:val="center"/>
              <w:rPr>
                <w:b/>
                <w:sz w:val="22"/>
              </w:rPr>
            </w:pPr>
            <w:r>
              <w:rPr>
                <w:b/>
                <w:sz w:val="22"/>
              </w:rPr>
              <w:t>Table</w:t>
            </w:r>
            <w:r>
              <w:rPr>
                <w:b/>
                <w:spacing w:val="-3"/>
                <w:sz w:val="22"/>
              </w:rPr>
              <w:t> </w:t>
            </w:r>
            <w:r>
              <w:rPr>
                <w:b/>
                <w:sz w:val="22"/>
              </w:rPr>
              <w:t>17:</w:t>
            </w:r>
            <w:r>
              <w:rPr>
                <w:b/>
                <w:spacing w:val="-2"/>
                <w:sz w:val="22"/>
              </w:rPr>
              <w:t> </w:t>
            </w:r>
            <w:r>
              <w:rPr>
                <w:b/>
                <w:sz w:val="22"/>
              </w:rPr>
              <w:t>Master</w:t>
            </w:r>
            <w:r>
              <w:rPr>
                <w:b/>
                <w:spacing w:val="-2"/>
                <w:sz w:val="22"/>
              </w:rPr>
              <w:t> </w:t>
            </w:r>
            <w:r>
              <w:rPr>
                <w:b/>
                <w:sz w:val="22"/>
              </w:rPr>
              <w:t>MEG</w:t>
            </w:r>
            <w:r>
              <w:rPr>
                <w:b/>
                <w:spacing w:val="-4"/>
                <w:sz w:val="22"/>
              </w:rPr>
              <w:t> Chart</w:t>
            </w:r>
          </w:p>
        </w:tc>
      </w:tr>
      <w:tr>
        <w:trPr>
          <w:trHeight w:val="505" w:hRule="atLeast"/>
        </w:trPr>
        <w:tc>
          <w:tcPr>
            <w:tcW w:w="2237" w:type="dxa"/>
            <w:shd w:val="clear" w:color="auto" w:fill="DBE4F0"/>
          </w:tcPr>
          <w:p>
            <w:pPr>
              <w:pStyle w:val="TableParagraph"/>
              <w:spacing w:before="125"/>
              <w:ind w:left="108" w:right="101"/>
              <w:jc w:val="center"/>
              <w:rPr>
                <w:b/>
                <w:sz w:val="22"/>
              </w:rPr>
            </w:pPr>
            <w:r>
              <w:rPr>
                <w:b/>
                <w:spacing w:val="-5"/>
                <w:sz w:val="22"/>
              </w:rPr>
              <w:t>MEG</w:t>
            </w:r>
          </w:p>
        </w:tc>
        <w:tc>
          <w:tcPr>
            <w:tcW w:w="2244" w:type="dxa"/>
            <w:shd w:val="clear" w:color="auto" w:fill="DBE4F0"/>
          </w:tcPr>
          <w:p>
            <w:pPr>
              <w:pStyle w:val="TableParagraph"/>
              <w:spacing w:line="254" w:lineRule="exact"/>
              <w:ind w:left="712" w:hanging="315"/>
              <w:rPr>
                <w:b/>
                <w:sz w:val="22"/>
              </w:rPr>
            </w:pPr>
            <w:r>
              <w:rPr>
                <w:b/>
                <w:sz w:val="22"/>
              </w:rPr>
              <w:t>Which</w:t>
            </w:r>
            <w:r>
              <w:rPr>
                <w:b/>
                <w:spacing w:val="-14"/>
                <w:sz w:val="22"/>
              </w:rPr>
              <w:t> </w:t>
            </w:r>
            <w:r>
              <w:rPr>
                <w:b/>
                <w:sz w:val="22"/>
              </w:rPr>
              <w:t>BN</w:t>
            </w:r>
            <w:r>
              <w:rPr>
                <w:b/>
                <w:spacing w:val="-14"/>
                <w:sz w:val="22"/>
              </w:rPr>
              <w:t> </w:t>
            </w:r>
            <w:r>
              <w:rPr>
                <w:b/>
                <w:sz w:val="22"/>
              </w:rPr>
              <w:t>Test </w:t>
            </w:r>
            <w:r>
              <w:rPr>
                <w:b/>
                <w:spacing w:val="-2"/>
                <w:sz w:val="22"/>
              </w:rPr>
              <w:t>Applies?</w:t>
            </w:r>
          </w:p>
        </w:tc>
        <w:tc>
          <w:tcPr>
            <w:tcW w:w="1495" w:type="dxa"/>
            <w:shd w:val="clear" w:color="auto" w:fill="DBE4F0"/>
          </w:tcPr>
          <w:p>
            <w:pPr>
              <w:pStyle w:val="TableParagraph"/>
              <w:spacing w:line="254" w:lineRule="exact"/>
              <w:ind w:left="429" w:right="237" w:hanging="183"/>
              <w:rPr>
                <w:b/>
                <w:sz w:val="22"/>
              </w:rPr>
            </w:pPr>
            <w:r>
              <w:rPr>
                <w:b/>
                <w:sz w:val="22"/>
              </w:rPr>
              <w:t>WOW</w:t>
            </w:r>
            <w:r>
              <w:rPr>
                <w:b/>
                <w:spacing w:val="-14"/>
                <w:sz w:val="22"/>
              </w:rPr>
              <w:t> </w:t>
            </w:r>
            <w:r>
              <w:rPr>
                <w:b/>
                <w:sz w:val="22"/>
              </w:rPr>
              <w:t>Per </w:t>
            </w:r>
            <w:r>
              <w:rPr>
                <w:b/>
                <w:spacing w:val="-2"/>
                <w:sz w:val="22"/>
              </w:rPr>
              <w:t>Capita</w:t>
            </w:r>
          </w:p>
        </w:tc>
        <w:tc>
          <w:tcPr>
            <w:tcW w:w="1670" w:type="dxa"/>
            <w:shd w:val="clear" w:color="auto" w:fill="DBE4F0"/>
          </w:tcPr>
          <w:p>
            <w:pPr>
              <w:pStyle w:val="TableParagraph"/>
              <w:spacing w:line="251" w:lineRule="exact"/>
              <w:ind w:left="337" w:right="332"/>
              <w:jc w:val="center"/>
              <w:rPr>
                <w:b/>
                <w:sz w:val="22"/>
              </w:rPr>
            </w:pPr>
            <w:r>
              <w:rPr>
                <w:b/>
                <w:spacing w:val="-5"/>
                <w:sz w:val="22"/>
              </w:rPr>
              <w:t>WOW</w:t>
            </w:r>
          </w:p>
          <w:p>
            <w:pPr>
              <w:pStyle w:val="TableParagraph"/>
              <w:spacing w:line="233" w:lineRule="exact" w:before="1"/>
              <w:ind w:left="339" w:right="332"/>
              <w:jc w:val="center"/>
              <w:rPr>
                <w:b/>
                <w:sz w:val="22"/>
              </w:rPr>
            </w:pPr>
            <w:r>
              <w:rPr>
                <w:b/>
                <w:spacing w:val="-2"/>
                <w:sz w:val="22"/>
              </w:rPr>
              <w:t>Aggregate</w:t>
            </w:r>
          </w:p>
        </w:tc>
        <w:tc>
          <w:tcPr>
            <w:tcW w:w="1348" w:type="dxa"/>
            <w:shd w:val="clear" w:color="auto" w:fill="DBE4F0"/>
          </w:tcPr>
          <w:p>
            <w:pPr>
              <w:pStyle w:val="TableParagraph"/>
              <w:spacing w:before="125"/>
              <w:ind w:left="437" w:right="431"/>
              <w:jc w:val="center"/>
              <w:rPr>
                <w:b/>
                <w:sz w:val="22"/>
              </w:rPr>
            </w:pPr>
            <w:r>
              <w:rPr>
                <w:b/>
                <w:spacing w:val="-5"/>
                <w:sz w:val="22"/>
              </w:rPr>
              <w:t>WW</w:t>
            </w:r>
          </w:p>
        </w:tc>
        <w:tc>
          <w:tcPr>
            <w:tcW w:w="3899" w:type="dxa"/>
            <w:shd w:val="clear" w:color="auto" w:fill="DBE4F0"/>
          </w:tcPr>
          <w:p>
            <w:pPr>
              <w:pStyle w:val="TableParagraph"/>
              <w:spacing w:before="125"/>
              <w:ind w:left="1140"/>
              <w:rPr>
                <w:b/>
                <w:sz w:val="22"/>
              </w:rPr>
            </w:pPr>
            <w:r>
              <w:rPr>
                <w:b/>
                <w:sz w:val="22"/>
              </w:rPr>
              <w:t>Brief</w:t>
            </w:r>
            <w:r>
              <w:rPr>
                <w:b/>
                <w:spacing w:val="-1"/>
                <w:sz w:val="22"/>
              </w:rPr>
              <w:t> </w:t>
            </w:r>
            <w:r>
              <w:rPr>
                <w:b/>
                <w:spacing w:val="-2"/>
                <w:sz w:val="22"/>
              </w:rPr>
              <w:t>Description</w:t>
            </w:r>
          </w:p>
        </w:tc>
      </w:tr>
      <w:tr>
        <w:trPr>
          <w:trHeight w:val="504" w:hRule="atLeast"/>
        </w:trPr>
        <w:tc>
          <w:tcPr>
            <w:tcW w:w="2237" w:type="dxa"/>
          </w:tcPr>
          <w:p>
            <w:pPr>
              <w:pStyle w:val="TableParagraph"/>
              <w:spacing w:before="123"/>
              <w:ind w:left="109" w:right="101"/>
              <w:jc w:val="center"/>
              <w:rPr>
                <w:sz w:val="22"/>
              </w:rPr>
            </w:pPr>
            <w:r>
              <w:rPr>
                <w:sz w:val="22"/>
              </w:rPr>
              <w:t>Diversionary</w:t>
            </w:r>
            <w:r>
              <w:rPr>
                <w:spacing w:val="-9"/>
                <w:sz w:val="22"/>
              </w:rPr>
              <w:t> </w:t>
            </w:r>
            <w:r>
              <w:rPr>
                <w:spacing w:val="-5"/>
                <w:sz w:val="22"/>
              </w:rPr>
              <w:t>BH</w:t>
            </w:r>
          </w:p>
        </w:tc>
        <w:tc>
          <w:tcPr>
            <w:tcW w:w="2244" w:type="dxa"/>
          </w:tcPr>
          <w:p>
            <w:pPr>
              <w:pStyle w:val="TableParagraph"/>
              <w:spacing w:before="123"/>
              <w:ind w:left="476" w:right="467"/>
              <w:jc w:val="center"/>
              <w:rPr>
                <w:sz w:val="22"/>
              </w:rPr>
            </w:pPr>
            <w:r>
              <w:rPr>
                <w:spacing w:val="-4"/>
                <w:sz w:val="22"/>
              </w:rPr>
              <w:t>Main</w:t>
            </w:r>
          </w:p>
        </w:tc>
        <w:tc>
          <w:tcPr>
            <w:tcW w:w="1495" w:type="dxa"/>
          </w:tcPr>
          <w:p>
            <w:pPr>
              <w:pStyle w:val="TableParagraph"/>
              <w:rPr>
                <w:sz w:val="20"/>
              </w:rPr>
            </w:pPr>
          </w:p>
        </w:tc>
        <w:tc>
          <w:tcPr>
            <w:tcW w:w="1670" w:type="dxa"/>
          </w:tcPr>
          <w:p>
            <w:pPr>
              <w:pStyle w:val="TableParagraph"/>
              <w:rPr>
                <w:sz w:val="20"/>
              </w:rPr>
            </w:pPr>
          </w:p>
        </w:tc>
        <w:tc>
          <w:tcPr>
            <w:tcW w:w="1348" w:type="dxa"/>
          </w:tcPr>
          <w:p>
            <w:pPr>
              <w:pStyle w:val="TableParagraph"/>
              <w:spacing w:before="123"/>
              <w:ind w:left="7"/>
              <w:jc w:val="center"/>
              <w:rPr>
                <w:sz w:val="22"/>
              </w:rPr>
            </w:pPr>
            <w:r>
              <w:rPr>
                <w:w w:val="100"/>
                <w:sz w:val="22"/>
              </w:rPr>
              <w:t>X</w:t>
            </w:r>
          </w:p>
        </w:tc>
        <w:tc>
          <w:tcPr>
            <w:tcW w:w="3899" w:type="dxa"/>
          </w:tcPr>
          <w:p>
            <w:pPr>
              <w:pStyle w:val="TableParagraph"/>
              <w:spacing w:line="249" w:lineRule="exact"/>
              <w:ind w:left="129" w:right="113"/>
              <w:jc w:val="center"/>
              <w:rPr>
                <w:sz w:val="22"/>
              </w:rPr>
            </w:pPr>
            <w:r>
              <w:rPr>
                <w:sz w:val="22"/>
              </w:rPr>
              <w:t>All</w:t>
            </w:r>
            <w:r>
              <w:rPr>
                <w:spacing w:val="-7"/>
                <w:sz w:val="22"/>
              </w:rPr>
              <w:t> </w:t>
            </w:r>
            <w:r>
              <w:rPr>
                <w:sz w:val="22"/>
              </w:rPr>
              <w:t>expenditures</w:t>
            </w:r>
            <w:r>
              <w:rPr>
                <w:spacing w:val="-5"/>
                <w:sz w:val="22"/>
              </w:rPr>
              <w:t> </w:t>
            </w:r>
            <w:r>
              <w:rPr>
                <w:sz w:val="22"/>
              </w:rPr>
              <w:t>for</w:t>
            </w:r>
            <w:r>
              <w:rPr>
                <w:spacing w:val="-4"/>
                <w:sz w:val="22"/>
              </w:rPr>
              <w:t> </w:t>
            </w:r>
            <w:r>
              <w:rPr>
                <w:sz w:val="22"/>
              </w:rPr>
              <w:t>Diversionary</w:t>
            </w:r>
            <w:r>
              <w:rPr>
                <w:spacing w:val="-7"/>
                <w:sz w:val="22"/>
              </w:rPr>
              <w:t> </w:t>
            </w:r>
            <w:r>
              <w:rPr>
                <w:spacing w:val="-5"/>
                <w:sz w:val="22"/>
              </w:rPr>
              <w:t>BH</w:t>
            </w:r>
          </w:p>
          <w:p>
            <w:pPr>
              <w:pStyle w:val="TableParagraph"/>
              <w:spacing w:line="233" w:lineRule="exact" w:before="1"/>
              <w:ind w:left="128" w:right="113"/>
              <w:jc w:val="center"/>
              <w:rPr>
                <w:sz w:val="22"/>
              </w:rPr>
            </w:pPr>
            <w:r>
              <w:rPr>
                <w:spacing w:val="-2"/>
                <w:sz w:val="22"/>
              </w:rPr>
              <w:t>Services</w:t>
            </w:r>
          </w:p>
        </w:tc>
      </w:tr>
      <w:tr>
        <w:trPr>
          <w:trHeight w:val="760" w:hRule="atLeast"/>
        </w:trPr>
        <w:tc>
          <w:tcPr>
            <w:tcW w:w="2237" w:type="dxa"/>
          </w:tcPr>
          <w:p>
            <w:pPr>
              <w:pStyle w:val="TableParagraph"/>
              <w:spacing w:before="125"/>
              <w:ind w:left="537" w:hanging="252"/>
              <w:rPr>
                <w:sz w:val="22"/>
              </w:rPr>
            </w:pPr>
            <w:r>
              <w:rPr>
                <w:sz w:val="22"/>
              </w:rPr>
              <w:t>CP</w:t>
            </w:r>
            <w:r>
              <w:rPr>
                <w:spacing w:val="-14"/>
                <w:sz w:val="22"/>
              </w:rPr>
              <w:t> </w:t>
            </w:r>
            <w:r>
              <w:rPr>
                <w:sz w:val="22"/>
              </w:rPr>
              <w:t>Enhanced</w:t>
            </w:r>
            <w:r>
              <w:rPr>
                <w:spacing w:val="-14"/>
                <w:sz w:val="22"/>
              </w:rPr>
              <w:t> </w:t>
            </w:r>
            <w:r>
              <w:rPr>
                <w:sz w:val="22"/>
              </w:rPr>
              <w:t>Care </w:t>
            </w:r>
            <w:r>
              <w:rPr>
                <w:spacing w:val="-2"/>
                <w:sz w:val="22"/>
              </w:rPr>
              <w:t>Coordination</w:t>
            </w:r>
          </w:p>
        </w:tc>
        <w:tc>
          <w:tcPr>
            <w:tcW w:w="2244" w:type="dxa"/>
          </w:tcPr>
          <w:p>
            <w:pPr>
              <w:pStyle w:val="TableParagraph"/>
              <w:spacing w:before="11"/>
              <w:rPr>
                <w:sz w:val="21"/>
              </w:rPr>
            </w:pPr>
          </w:p>
          <w:p>
            <w:pPr>
              <w:pStyle w:val="TableParagraph"/>
              <w:ind w:left="476" w:right="467"/>
              <w:jc w:val="center"/>
              <w:rPr>
                <w:sz w:val="22"/>
              </w:rPr>
            </w:pPr>
            <w:r>
              <w:rPr>
                <w:spacing w:val="-4"/>
                <w:sz w:val="22"/>
              </w:rPr>
              <w:t>Main</w:t>
            </w:r>
          </w:p>
        </w:tc>
        <w:tc>
          <w:tcPr>
            <w:tcW w:w="1495" w:type="dxa"/>
          </w:tcPr>
          <w:p>
            <w:pPr>
              <w:pStyle w:val="TableParagraph"/>
              <w:rPr>
                <w:sz w:val="20"/>
              </w:rPr>
            </w:pPr>
          </w:p>
        </w:tc>
        <w:tc>
          <w:tcPr>
            <w:tcW w:w="1670" w:type="dxa"/>
          </w:tcPr>
          <w:p>
            <w:pPr>
              <w:pStyle w:val="TableParagraph"/>
              <w:rPr>
                <w:sz w:val="20"/>
              </w:rPr>
            </w:pPr>
          </w:p>
        </w:tc>
        <w:tc>
          <w:tcPr>
            <w:tcW w:w="1348" w:type="dxa"/>
          </w:tcPr>
          <w:p>
            <w:pPr>
              <w:pStyle w:val="TableParagraph"/>
              <w:spacing w:before="11"/>
              <w:rPr>
                <w:sz w:val="21"/>
              </w:rPr>
            </w:pPr>
          </w:p>
          <w:p>
            <w:pPr>
              <w:pStyle w:val="TableParagraph"/>
              <w:ind w:left="7"/>
              <w:jc w:val="center"/>
              <w:rPr>
                <w:sz w:val="22"/>
              </w:rPr>
            </w:pPr>
            <w:r>
              <w:rPr>
                <w:w w:val="100"/>
                <w:sz w:val="22"/>
              </w:rPr>
              <w:t>X</w:t>
            </w:r>
          </w:p>
        </w:tc>
        <w:tc>
          <w:tcPr>
            <w:tcW w:w="3899" w:type="dxa"/>
          </w:tcPr>
          <w:p>
            <w:pPr>
              <w:pStyle w:val="TableParagraph"/>
              <w:spacing w:line="251" w:lineRule="exact"/>
              <w:ind w:left="257" w:firstLine="62"/>
              <w:rPr>
                <w:sz w:val="22"/>
              </w:rPr>
            </w:pPr>
            <w:r>
              <w:rPr>
                <w:sz w:val="22"/>
              </w:rPr>
              <w:t>Report</w:t>
            </w:r>
            <w:r>
              <w:rPr>
                <w:spacing w:val="-8"/>
                <w:sz w:val="22"/>
              </w:rPr>
              <w:t> </w:t>
            </w:r>
            <w:r>
              <w:rPr>
                <w:sz w:val="22"/>
              </w:rPr>
              <w:t>all</w:t>
            </w:r>
            <w:r>
              <w:rPr>
                <w:spacing w:val="-3"/>
                <w:sz w:val="22"/>
              </w:rPr>
              <w:t> </w:t>
            </w:r>
            <w:r>
              <w:rPr>
                <w:sz w:val="22"/>
              </w:rPr>
              <w:t>expenditures</w:t>
            </w:r>
            <w:r>
              <w:rPr>
                <w:spacing w:val="-3"/>
                <w:sz w:val="22"/>
              </w:rPr>
              <w:t> </w:t>
            </w:r>
            <w:r>
              <w:rPr>
                <w:sz w:val="22"/>
              </w:rPr>
              <w:t>for</w:t>
            </w:r>
            <w:r>
              <w:rPr>
                <w:spacing w:val="-5"/>
                <w:sz w:val="22"/>
              </w:rPr>
              <w:t> </w:t>
            </w:r>
            <w:r>
              <w:rPr>
                <w:spacing w:val="-2"/>
                <w:sz w:val="22"/>
              </w:rPr>
              <w:t>payments</w:t>
            </w:r>
          </w:p>
          <w:p>
            <w:pPr>
              <w:pStyle w:val="TableParagraph"/>
              <w:spacing w:line="252" w:lineRule="exact"/>
              <w:ind w:left="257"/>
              <w:rPr>
                <w:sz w:val="22"/>
              </w:rPr>
            </w:pPr>
            <w:r>
              <w:rPr>
                <w:sz w:val="22"/>
              </w:rPr>
              <w:t>directly</w:t>
            </w:r>
            <w:r>
              <w:rPr>
                <w:spacing w:val="-8"/>
                <w:sz w:val="22"/>
              </w:rPr>
              <w:t> </w:t>
            </w:r>
            <w:r>
              <w:rPr>
                <w:sz w:val="22"/>
              </w:rPr>
              <w:t>to</w:t>
            </w:r>
            <w:r>
              <w:rPr>
                <w:spacing w:val="-5"/>
                <w:sz w:val="22"/>
              </w:rPr>
              <w:t> </w:t>
            </w:r>
            <w:r>
              <w:rPr>
                <w:sz w:val="22"/>
              </w:rPr>
              <w:t>LTSS</w:t>
            </w:r>
            <w:r>
              <w:rPr>
                <w:spacing w:val="-6"/>
                <w:sz w:val="22"/>
              </w:rPr>
              <w:t> </w:t>
            </w:r>
            <w:r>
              <w:rPr>
                <w:sz w:val="22"/>
              </w:rPr>
              <w:t>CPs</w:t>
            </w:r>
            <w:r>
              <w:rPr>
                <w:spacing w:val="-7"/>
                <w:sz w:val="22"/>
              </w:rPr>
              <w:t> </w:t>
            </w:r>
            <w:r>
              <w:rPr>
                <w:sz w:val="22"/>
              </w:rPr>
              <w:t>to</w:t>
            </w:r>
            <w:r>
              <w:rPr>
                <w:spacing w:val="-5"/>
                <w:sz w:val="22"/>
              </w:rPr>
              <w:t> </w:t>
            </w:r>
            <w:r>
              <w:rPr>
                <w:sz w:val="22"/>
              </w:rPr>
              <w:t>support</w:t>
            </w:r>
            <w:r>
              <w:rPr>
                <w:spacing w:val="-7"/>
                <w:sz w:val="22"/>
              </w:rPr>
              <w:t> </w:t>
            </w:r>
            <w:r>
              <w:rPr>
                <w:sz w:val="22"/>
              </w:rPr>
              <w:t>LTSS CPs</w:t>
            </w:r>
            <w:r>
              <w:rPr>
                <w:spacing w:val="-4"/>
                <w:sz w:val="22"/>
              </w:rPr>
              <w:t> </w:t>
            </w:r>
            <w:r>
              <w:rPr>
                <w:sz w:val="22"/>
              </w:rPr>
              <w:t>care</w:t>
            </w:r>
            <w:r>
              <w:rPr>
                <w:spacing w:val="-3"/>
                <w:sz w:val="22"/>
              </w:rPr>
              <w:t> </w:t>
            </w:r>
            <w:r>
              <w:rPr>
                <w:sz w:val="22"/>
              </w:rPr>
              <w:t>coordination</w:t>
            </w:r>
            <w:r>
              <w:rPr>
                <w:spacing w:val="-5"/>
                <w:sz w:val="22"/>
              </w:rPr>
              <w:t> </w:t>
            </w:r>
            <w:r>
              <w:rPr>
                <w:spacing w:val="-2"/>
                <w:sz w:val="22"/>
              </w:rPr>
              <w:t>responsibilities.</w:t>
            </w:r>
          </w:p>
        </w:tc>
      </w:tr>
      <w:tr>
        <w:trPr>
          <w:trHeight w:val="505" w:hRule="atLeast"/>
        </w:trPr>
        <w:tc>
          <w:tcPr>
            <w:tcW w:w="2237" w:type="dxa"/>
          </w:tcPr>
          <w:p>
            <w:pPr>
              <w:pStyle w:val="TableParagraph"/>
              <w:spacing w:line="252" w:lineRule="exact"/>
              <w:ind w:left="400" w:hanging="202"/>
              <w:rPr>
                <w:sz w:val="22"/>
              </w:rPr>
            </w:pPr>
            <w:r>
              <w:rPr>
                <w:sz w:val="22"/>
              </w:rPr>
              <w:t>Hospital</w:t>
            </w:r>
            <w:r>
              <w:rPr>
                <w:spacing w:val="-14"/>
                <w:sz w:val="22"/>
              </w:rPr>
              <w:t> </w:t>
            </w:r>
            <w:r>
              <w:rPr>
                <w:sz w:val="22"/>
              </w:rPr>
              <w:t>Quality</w:t>
            </w:r>
            <w:r>
              <w:rPr>
                <w:spacing w:val="-14"/>
                <w:sz w:val="22"/>
              </w:rPr>
              <w:t> </w:t>
            </w:r>
            <w:r>
              <w:rPr>
                <w:sz w:val="22"/>
              </w:rPr>
              <w:t>and Equity Initiative</w:t>
            </w:r>
          </w:p>
        </w:tc>
        <w:tc>
          <w:tcPr>
            <w:tcW w:w="2244" w:type="dxa"/>
          </w:tcPr>
          <w:p>
            <w:pPr>
              <w:pStyle w:val="TableParagraph"/>
              <w:spacing w:before="123"/>
              <w:ind w:left="476" w:right="467"/>
              <w:jc w:val="center"/>
              <w:rPr>
                <w:sz w:val="22"/>
              </w:rPr>
            </w:pPr>
            <w:r>
              <w:rPr>
                <w:spacing w:val="-4"/>
                <w:sz w:val="22"/>
              </w:rPr>
              <w:t>Main</w:t>
            </w:r>
          </w:p>
        </w:tc>
        <w:tc>
          <w:tcPr>
            <w:tcW w:w="1495" w:type="dxa"/>
          </w:tcPr>
          <w:p>
            <w:pPr>
              <w:pStyle w:val="TableParagraph"/>
              <w:rPr>
                <w:sz w:val="20"/>
              </w:rPr>
            </w:pPr>
          </w:p>
        </w:tc>
        <w:tc>
          <w:tcPr>
            <w:tcW w:w="1670" w:type="dxa"/>
          </w:tcPr>
          <w:p>
            <w:pPr>
              <w:pStyle w:val="TableParagraph"/>
              <w:rPr>
                <w:sz w:val="20"/>
              </w:rPr>
            </w:pPr>
          </w:p>
        </w:tc>
        <w:tc>
          <w:tcPr>
            <w:tcW w:w="1348" w:type="dxa"/>
          </w:tcPr>
          <w:p>
            <w:pPr>
              <w:pStyle w:val="TableParagraph"/>
              <w:spacing w:before="123"/>
              <w:ind w:left="7"/>
              <w:jc w:val="center"/>
              <w:rPr>
                <w:sz w:val="22"/>
              </w:rPr>
            </w:pPr>
            <w:r>
              <w:rPr>
                <w:w w:val="100"/>
                <w:sz w:val="22"/>
              </w:rPr>
              <w:t>X</w:t>
            </w:r>
          </w:p>
        </w:tc>
        <w:tc>
          <w:tcPr>
            <w:tcW w:w="3899" w:type="dxa"/>
          </w:tcPr>
          <w:p>
            <w:pPr>
              <w:pStyle w:val="TableParagraph"/>
              <w:spacing w:line="252" w:lineRule="exact"/>
              <w:ind w:left="262" w:hanging="65"/>
              <w:rPr>
                <w:sz w:val="22"/>
              </w:rPr>
            </w:pPr>
            <w:r>
              <w:rPr>
                <w:sz w:val="22"/>
              </w:rPr>
              <w:t>All</w:t>
            </w:r>
            <w:r>
              <w:rPr>
                <w:spacing w:val="-8"/>
                <w:sz w:val="22"/>
              </w:rPr>
              <w:t> </w:t>
            </w:r>
            <w:r>
              <w:rPr>
                <w:sz w:val="22"/>
              </w:rPr>
              <w:t>expenditures</w:t>
            </w:r>
            <w:r>
              <w:rPr>
                <w:spacing w:val="-9"/>
                <w:sz w:val="22"/>
              </w:rPr>
              <w:t> </w:t>
            </w:r>
            <w:r>
              <w:rPr>
                <w:sz w:val="22"/>
              </w:rPr>
              <w:t>authorized</w:t>
            </w:r>
            <w:r>
              <w:rPr>
                <w:spacing w:val="-11"/>
                <w:sz w:val="22"/>
              </w:rPr>
              <w:t> </w:t>
            </w:r>
            <w:r>
              <w:rPr>
                <w:sz w:val="22"/>
              </w:rPr>
              <w:t>through</w:t>
            </w:r>
            <w:r>
              <w:rPr>
                <w:spacing w:val="-9"/>
                <w:sz w:val="22"/>
              </w:rPr>
              <w:t> </w:t>
            </w:r>
            <w:r>
              <w:rPr>
                <w:sz w:val="22"/>
              </w:rPr>
              <w:t>the Hospital Quality and Equity Initiative.</w:t>
            </w:r>
          </w:p>
        </w:tc>
      </w:tr>
      <w:tr>
        <w:trPr>
          <w:trHeight w:val="505" w:hRule="atLeast"/>
        </w:trPr>
        <w:tc>
          <w:tcPr>
            <w:tcW w:w="2237" w:type="dxa"/>
          </w:tcPr>
          <w:p>
            <w:pPr>
              <w:pStyle w:val="TableParagraph"/>
              <w:spacing w:before="123"/>
              <w:ind w:left="107" w:right="101"/>
              <w:jc w:val="center"/>
              <w:rPr>
                <w:sz w:val="22"/>
              </w:rPr>
            </w:pPr>
            <w:r>
              <w:rPr>
                <w:sz w:val="22"/>
              </w:rPr>
              <w:t>Workforce</w:t>
            </w:r>
            <w:r>
              <w:rPr>
                <w:spacing w:val="-5"/>
                <w:sz w:val="22"/>
              </w:rPr>
              <w:t> </w:t>
            </w:r>
            <w:r>
              <w:rPr>
                <w:spacing w:val="-2"/>
                <w:sz w:val="22"/>
              </w:rPr>
              <w:t>Initiative</w:t>
            </w:r>
          </w:p>
        </w:tc>
        <w:tc>
          <w:tcPr>
            <w:tcW w:w="2244" w:type="dxa"/>
          </w:tcPr>
          <w:p>
            <w:pPr>
              <w:pStyle w:val="TableParagraph"/>
              <w:spacing w:before="123"/>
              <w:ind w:left="476" w:right="467"/>
              <w:jc w:val="center"/>
              <w:rPr>
                <w:sz w:val="22"/>
              </w:rPr>
            </w:pPr>
            <w:r>
              <w:rPr>
                <w:spacing w:val="-4"/>
                <w:sz w:val="22"/>
              </w:rPr>
              <w:t>Main</w:t>
            </w:r>
          </w:p>
        </w:tc>
        <w:tc>
          <w:tcPr>
            <w:tcW w:w="1495" w:type="dxa"/>
          </w:tcPr>
          <w:p>
            <w:pPr>
              <w:pStyle w:val="TableParagraph"/>
              <w:rPr>
                <w:sz w:val="20"/>
              </w:rPr>
            </w:pPr>
          </w:p>
        </w:tc>
        <w:tc>
          <w:tcPr>
            <w:tcW w:w="1670" w:type="dxa"/>
          </w:tcPr>
          <w:p>
            <w:pPr>
              <w:pStyle w:val="TableParagraph"/>
              <w:rPr>
                <w:sz w:val="20"/>
              </w:rPr>
            </w:pPr>
          </w:p>
        </w:tc>
        <w:tc>
          <w:tcPr>
            <w:tcW w:w="1348" w:type="dxa"/>
          </w:tcPr>
          <w:p>
            <w:pPr>
              <w:pStyle w:val="TableParagraph"/>
              <w:spacing w:before="123"/>
              <w:ind w:left="7"/>
              <w:jc w:val="center"/>
              <w:rPr>
                <w:sz w:val="22"/>
              </w:rPr>
            </w:pPr>
            <w:r>
              <w:rPr>
                <w:w w:val="100"/>
                <w:sz w:val="22"/>
              </w:rPr>
              <w:t>X</w:t>
            </w:r>
          </w:p>
        </w:tc>
        <w:tc>
          <w:tcPr>
            <w:tcW w:w="3899" w:type="dxa"/>
          </w:tcPr>
          <w:p>
            <w:pPr>
              <w:pStyle w:val="TableParagraph"/>
              <w:spacing w:line="252" w:lineRule="exact"/>
              <w:ind w:left="380" w:firstLine="122"/>
              <w:rPr>
                <w:sz w:val="22"/>
              </w:rPr>
            </w:pPr>
            <w:r>
              <w:rPr>
                <w:sz w:val="22"/>
              </w:rPr>
              <w:t>All expenditures for student loan repayment</w:t>
            </w:r>
            <w:r>
              <w:rPr>
                <w:spacing w:val="-13"/>
                <w:sz w:val="22"/>
              </w:rPr>
              <w:t> </w:t>
            </w:r>
            <w:r>
              <w:rPr>
                <w:sz w:val="22"/>
              </w:rPr>
              <w:t>and</w:t>
            </w:r>
            <w:r>
              <w:rPr>
                <w:spacing w:val="-12"/>
                <w:sz w:val="22"/>
              </w:rPr>
              <w:t> </w:t>
            </w:r>
            <w:r>
              <w:rPr>
                <w:sz w:val="22"/>
              </w:rPr>
              <w:t>residency</w:t>
            </w:r>
            <w:r>
              <w:rPr>
                <w:spacing w:val="-14"/>
                <w:sz w:val="22"/>
              </w:rPr>
              <w:t> </w:t>
            </w:r>
            <w:r>
              <w:rPr>
                <w:sz w:val="22"/>
              </w:rPr>
              <w:t>programs.</w:t>
            </w:r>
          </w:p>
        </w:tc>
      </w:tr>
      <w:tr>
        <w:trPr>
          <w:trHeight w:val="506" w:hRule="atLeast"/>
        </w:trPr>
        <w:tc>
          <w:tcPr>
            <w:tcW w:w="2237" w:type="dxa"/>
          </w:tcPr>
          <w:p>
            <w:pPr>
              <w:pStyle w:val="TableParagraph"/>
              <w:spacing w:before="123"/>
              <w:ind w:left="112" w:right="101"/>
              <w:jc w:val="center"/>
              <w:rPr>
                <w:sz w:val="22"/>
              </w:rPr>
            </w:pPr>
            <w:r>
              <w:rPr>
                <w:sz w:val="22"/>
              </w:rPr>
              <w:t>HRSN</w:t>
            </w:r>
            <w:r>
              <w:rPr>
                <w:spacing w:val="-5"/>
                <w:sz w:val="22"/>
              </w:rPr>
              <w:t> </w:t>
            </w:r>
            <w:r>
              <w:rPr>
                <w:spacing w:val="-2"/>
                <w:sz w:val="22"/>
              </w:rPr>
              <w:t>Services</w:t>
            </w:r>
          </w:p>
        </w:tc>
        <w:tc>
          <w:tcPr>
            <w:tcW w:w="2244" w:type="dxa"/>
          </w:tcPr>
          <w:p>
            <w:pPr>
              <w:pStyle w:val="TableParagraph"/>
              <w:spacing w:before="123"/>
              <w:ind w:left="503" w:right="441"/>
              <w:jc w:val="center"/>
              <w:rPr>
                <w:sz w:val="22"/>
              </w:rPr>
            </w:pPr>
            <w:r>
              <w:rPr>
                <w:sz w:val="22"/>
              </w:rPr>
              <w:t>Capped</w:t>
            </w:r>
            <w:r>
              <w:rPr>
                <w:spacing w:val="-3"/>
                <w:sz w:val="22"/>
              </w:rPr>
              <w:t> </w:t>
            </w:r>
            <w:r>
              <w:rPr>
                <w:spacing w:val="-4"/>
                <w:sz w:val="22"/>
              </w:rPr>
              <w:t>Hypo</w:t>
            </w:r>
          </w:p>
        </w:tc>
        <w:tc>
          <w:tcPr>
            <w:tcW w:w="1495" w:type="dxa"/>
          </w:tcPr>
          <w:p>
            <w:pPr>
              <w:pStyle w:val="TableParagraph"/>
              <w:rPr>
                <w:sz w:val="20"/>
              </w:rPr>
            </w:pPr>
          </w:p>
        </w:tc>
        <w:tc>
          <w:tcPr>
            <w:tcW w:w="1670" w:type="dxa"/>
          </w:tcPr>
          <w:p>
            <w:pPr>
              <w:pStyle w:val="TableParagraph"/>
              <w:spacing w:before="123"/>
              <w:ind w:left="753"/>
              <w:rPr>
                <w:sz w:val="22"/>
              </w:rPr>
            </w:pPr>
            <w:r>
              <w:rPr>
                <w:w w:val="100"/>
                <w:sz w:val="22"/>
              </w:rPr>
              <w:t>X</w:t>
            </w:r>
          </w:p>
        </w:tc>
        <w:tc>
          <w:tcPr>
            <w:tcW w:w="1348" w:type="dxa"/>
          </w:tcPr>
          <w:p>
            <w:pPr>
              <w:pStyle w:val="TableParagraph"/>
              <w:spacing w:before="123"/>
              <w:ind w:left="7"/>
              <w:jc w:val="center"/>
              <w:rPr>
                <w:sz w:val="22"/>
              </w:rPr>
            </w:pPr>
            <w:r>
              <w:rPr>
                <w:w w:val="100"/>
                <w:sz w:val="22"/>
              </w:rPr>
              <w:t>X</w:t>
            </w:r>
          </w:p>
        </w:tc>
        <w:tc>
          <w:tcPr>
            <w:tcW w:w="3899" w:type="dxa"/>
          </w:tcPr>
          <w:p>
            <w:pPr>
              <w:pStyle w:val="TableParagraph"/>
              <w:spacing w:line="252" w:lineRule="exact"/>
              <w:ind w:left="1488" w:hanging="1071"/>
              <w:rPr>
                <w:sz w:val="22"/>
              </w:rPr>
            </w:pPr>
            <w:r>
              <w:rPr>
                <w:sz w:val="22"/>
              </w:rPr>
              <w:t>All</w:t>
            </w:r>
            <w:r>
              <w:rPr>
                <w:spacing w:val="-8"/>
                <w:sz w:val="22"/>
              </w:rPr>
              <w:t> </w:t>
            </w:r>
            <w:r>
              <w:rPr>
                <w:sz w:val="22"/>
              </w:rPr>
              <w:t>expenditures</w:t>
            </w:r>
            <w:r>
              <w:rPr>
                <w:spacing w:val="-9"/>
                <w:sz w:val="22"/>
              </w:rPr>
              <w:t> </w:t>
            </w:r>
            <w:r>
              <w:rPr>
                <w:sz w:val="22"/>
              </w:rPr>
              <w:t>for</w:t>
            </w:r>
            <w:r>
              <w:rPr>
                <w:spacing w:val="-8"/>
                <w:sz w:val="22"/>
              </w:rPr>
              <w:t> </w:t>
            </w:r>
            <w:r>
              <w:rPr>
                <w:sz w:val="22"/>
              </w:rPr>
              <w:t>certain</w:t>
            </w:r>
            <w:r>
              <w:rPr>
                <w:spacing w:val="-12"/>
                <w:sz w:val="22"/>
              </w:rPr>
              <w:t> </w:t>
            </w:r>
            <w:r>
              <w:rPr>
                <w:sz w:val="22"/>
              </w:rPr>
              <w:t>HRSN </w:t>
            </w:r>
            <w:r>
              <w:rPr>
                <w:spacing w:val="-2"/>
                <w:sz w:val="22"/>
              </w:rPr>
              <w:t>initiatives.</w:t>
            </w:r>
          </w:p>
        </w:tc>
      </w:tr>
      <w:tr>
        <w:trPr>
          <w:trHeight w:val="506" w:hRule="atLeast"/>
        </w:trPr>
        <w:tc>
          <w:tcPr>
            <w:tcW w:w="2237" w:type="dxa"/>
          </w:tcPr>
          <w:p>
            <w:pPr>
              <w:pStyle w:val="TableParagraph"/>
              <w:spacing w:before="123"/>
              <w:ind w:left="112" w:right="101"/>
              <w:jc w:val="center"/>
              <w:rPr>
                <w:sz w:val="22"/>
              </w:rPr>
            </w:pPr>
            <w:r>
              <w:rPr>
                <w:sz w:val="22"/>
              </w:rPr>
              <w:t>HRSN</w:t>
            </w:r>
            <w:r>
              <w:rPr>
                <w:spacing w:val="-3"/>
                <w:sz w:val="22"/>
              </w:rPr>
              <w:t> </w:t>
            </w:r>
            <w:r>
              <w:rPr>
                <w:spacing w:val="-2"/>
                <w:sz w:val="22"/>
              </w:rPr>
              <w:t>Infrastructure</w:t>
            </w:r>
          </w:p>
        </w:tc>
        <w:tc>
          <w:tcPr>
            <w:tcW w:w="2244" w:type="dxa"/>
          </w:tcPr>
          <w:p>
            <w:pPr>
              <w:pStyle w:val="TableParagraph"/>
              <w:spacing w:before="123"/>
              <w:ind w:left="476" w:right="467"/>
              <w:jc w:val="center"/>
              <w:rPr>
                <w:sz w:val="22"/>
              </w:rPr>
            </w:pPr>
            <w:r>
              <w:rPr>
                <w:sz w:val="22"/>
              </w:rPr>
              <w:t>Capped</w:t>
            </w:r>
            <w:r>
              <w:rPr>
                <w:spacing w:val="-3"/>
                <w:sz w:val="22"/>
              </w:rPr>
              <w:t> </w:t>
            </w:r>
            <w:r>
              <w:rPr>
                <w:spacing w:val="-4"/>
                <w:sz w:val="22"/>
              </w:rPr>
              <w:t>Hypo</w:t>
            </w:r>
          </w:p>
        </w:tc>
        <w:tc>
          <w:tcPr>
            <w:tcW w:w="1495" w:type="dxa"/>
          </w:tcPr>
          <w:p>
            <w:pPr>
              <w:pStyle w:val="TableParagraph"/>
              <w:rPr>
                <w:sz w:val="20"/>
              </w:rPr>
            </w:pPr>
          </w:p>
        </w:tc>
        <w:tc>
          <w:tcPr>
            <w:tcW w:w="1670" w:type="dxa"/>
          </w:tcPr>
          <w:p>
            <w:pPr>
              <w:pStyle w:val="TableParagraph"/>
              <w:spacing w:before="123"/>
              <w:ind w:left="753"/>
              <w:rPr>
                <w:sz w:val="22"/>
              </w:rPr>
            </w:pPr>
            <w:r>
              <w:rPr>
                <w:w w:val="100"/>
                <w:sz w:val="22"/>
              </w:rPr>
              <w:t>X</w:t>
            </w:r>
          </w:p>
        </w:tc>
        <w:tc>
          <w:tcPr>
            <w:tcW w:w="1348" w:type="dxa"/>
          </w:tcPr>
          <w:p>
            <w:pPr>
              <w:pStyle w:val="TableParagraph"/>
              <w:spacing w:before="123"/>
              <w:ind w:left="6"/>
              <w:jc w:val="center"/>
              <w:rPr>
                <w:sz w:val="22"/>
              </w:rPr>
            </w:pPr>
            <w:r>
              <w:rPr>
                <w:w w:val="100"/>
                <w:sz w:val="22"/>
              </w:rPr>
              <w:t>X</w:t>
            </w:r>
          </w:p>
        </w:tc>
        <w:tc>
          <w:tcPr>
            <w:tcW w:w="3899" w:type="dxa"/>
          </w:tcPr>
          <w:p>
            <w:pPr>
              <w:pStyle w:val="TableParagraph"/>
              <w:spacing w:line="252" w:lineRule="exact"/>
              <w:ind w:left="1169" w:hanging="1052"/>
              <w:rPr>
                <w:sz w:val="22"/>
              </w:rPr>
            </w:pPr>
            <w:r>
              <w:rPr>
                <w:sz w:val="22"/>
              </w:rPr>
              <w:t>All</w:t>
            </w:r>
            <w:r>
              <w:rPr>
                <w:spacing w:val="-7"/>
                <w:sz w:val="22"/>
              </w:rPr>
              <w:t> </w:t>
            </w:r>
            <w:r>
              <w:rPr>
                <w:sz w:val="22"/>
              </w:rPr>
              <w:t>infrastructure</w:t>
            </w:r>
            <w:r>
              <w:rPr>
                <w:spacing w:val="-10"/>
                <w:sz w:val="22"/>
              </w:rPr>
              <w:t> </w:t>
            </w:r>
            <w:r>
              <w:rPr>
                <w:sz w:val="22"/>
              </w:rPr>
              <w:t>expenditures</w:t>
            </w:r>
            <w:r>
              <w:rPr>
                <w:spacing w:val="-10"/>
                <w:sz w:val="22"/>
              </w:rPr>
              <w:t> </w:t>
            </w:r>
            <w:r>
              <w:rPr>
                <w:sz w:val="22"/>
              </w:rPr>
              <w:t>for</w:t>
            </w:r>
            <w:r>
              <w:rPr>
                <w:spacing w:val="-10"/>
                <w:sz w:val="22"/>
              </w:rPr>
              <w:t> </w:t>
            </w:r>
            <w:r>
              <w:rPr>
                <w:sz w:val="22"/>
              </w:rPr>
              <w:t>certain HRSN initiatives.</w:t>
            </w:r>
          </w:p>
        </w:tc>
      </w:tr>
      <w:tr>
        <w:trPr>
          <w:trHeight w:val="757" w:hRule="atLeast"/>
        </w:trPr>
        <w:tc>
          <w:tcPr>
            <w:tcW w:w="2237" w:type="dxa"/>
          </w:tcPr>
          <w:p>
            <w:pPr>
              <w:pStyle w:val="TableParagraph"/>
              <w:spacing w:before="123"/>
              <w:ind w:left="470" w:right="312" w:hanging="144"/>
              <w:rPr>
                <w:sz w:val="22"/>
              </w:rPr>
            </w:pPr>
            <w:r>
              <w:rPr>
                <w:sz w:val="22"/>
              </w:rPr>
              <w:t>Flexible</w:t>
            </w:r>
            <w:r>
              <w:rPr>
                <w:spacing w:val="-14"/>
                <w:sz w:val="22"/>
              </w:rPr>
              <w:t> </w:t>
            </w:r>
            <w:r>
              <w:rPr>
                <w:sz w:val="22"/>
              </w:rPr>
              <w:t>Services: </w:t>
            </w:r>
            <w:r>
              <w:rPr>
                <w:spacing w:val="-2"/>
                <w:sz w:val="22"/>
              </w:rPr>
              <w:t>Transportation</w:t>
            </w:r>
          </w:p>
        </w:tc>
        <w:tc>
          <w:tcPr>
            <w:tcW w:w="2244" w:type="dxa"/>
          </w:tcPr>
          <w:p>
            <w:pPr>
              <w:pStyle w:val="TableParagraph"/>
              <w:spacing w:before="8"/>
              <w:rPr>
                <w:sz w:val="21"/>
              </w:rPr>
            </w:pPr>
          </w:p>
          <w:p>
            <w:pPr>
              <w:pStyle w:val="TableParagraph"/>
              <w:spacing w:before="1"/>
              <w:ind w:left="476" w:right="467"/>
              <w:jc w:val="center"/>
              <w:rPr>
                <w:sz w:val="22"/>
              </w:rPr>
            </w:pPr>
            <w:r>
              <w:rPr>
                <w:spacing w:val="-4"/>
                <w:sz w:val="22"/>
              </w:rPr>
              <w:t>Main</w:t>
            </w:r>
          </w:p>
        </w:tc>
        <w:tc>
          <w:tcPr>
            <w:tcW w:w="1495" w:type="dxa"/>
          </w:tcPr>
          <w:p>
            <w:pPr>
              <w:pStyle w:val="TableParagraph"/>
              <w:rPr>
                <w:sz w:val="20"/>
              </w:rPr>
            </w:pPr>
          </w:p>
        </w:tc>
        <w:tc>
          <w:tcPr>
            <w:tcW w:w="1670" w:type="dxa"/>
          </w:tcPr>
          <w:p>
            <w:pPr>
              <w:pStyle w:val="TableParagraph"/>
              <w:rPr>
                <w:sz w:val="20"/>
              </w:rPr>
            </w:pPr>
          </w:p>
        </w:tc>
        <w:tc>
          <w:tcPr>
            <w:tcW w:w="1348" w:type="dxa"/>
          </w:tcPr>
          <w:p>
            <w:pPr>
              <w:pStyle w:val="TableParagraph"/>
              <w:spacing w:before="8"/>
              <w:rPr>
                <w:sz w:val="21"/>
              </w:rPr>
            </w:pPr>
          </w:p>
          <w:p>
            <w:pPr>
              <w:pStyle w:val="TableParagraph"/>
              <w:spacing w:before="1"/>
              <w:ind w:left="7"/>
              <w:jc w:val="center"/>
              <w:rPr>
                <w:sz w:val="22"/>
              </w:rPr>
            </w:pPr>
            <w:r>
              <w:rPr>
                <w:w w:val="100"/>
                <w:sz w:val="22"/>
              </w:rPr>
              <w:t>X</w:t>
            </w:r>
          </w:p>
        </w:tc>
        <w:tc>
          <w:tcPr>
            <w:tcW w:w="3899" w:type="dxa"/>
          </w:tcPr>
          <w:p>
            <w:pPr>
              <w:pStyle w:val="TableParagraph"/>
              <w:ind w:left="130" w:right="112"/>
              <w:jc w:val="center"/>
              <w:rPr>
                <w:sz w:val="22"/>
              </w:rPr>
            </w:pPr>
            <w:r>
              <w:rPr>
                <w:sz w:val="22"/>
              </w:rPr>
              <w:t>All</w:t>
            </w:r>
            <w:r>
              <w:rPr>
                <w:spacing w:val="-9"/>
                <w:sz w:val="22"/>
              </w:rPr>
              <w:t> </w:t>
            </w:r>
            <w:r>
              <w:rPr>
                <w:sz w:val="22"/>
              </w:rPr>
              <w:t>expenditures</w:t>
            </w:r>
            <w:r>
              <w:rPr>
                <w:spacing w:val="-10"/>
                <w:sz w:val="22"/>
              </w:rPr>
              <w:t> </w:t>
            </w:r>
            <w:r>
              <w:rPr>
                <w:sz w:val="22"/>
              </w:rPr>
              <w:t>for</w:t>
            </w:r>
            <w:r>
              <w:rPr>
                <w:spacing w:val="-9"/>
                <w:sz w:val="22"/>
              </w:rPr>
              <w:t> </w:t>
            </w:r>
            <w:r>
              <w:rPr>
                <w:sz w:val="22"/>
              </w:rPr>
              <w:t>the</w:t>
            </w:r>
            <w:r>
              <w:rPr>
                <w:spacing w:val="-10"/>
                <w:sz w:val="22"/>
              </w:rPr>
              <w:t> </w:t>
            </w:r>
            <w:r>
              <w:rPr>
                <w:sz w:val="22"/>
              </w:rPr>
              <w:t>transportation benefit under the Flexible Services</w:t>
            </w:r>
          </w:p>
          <w:p>
            <w:pPr>
              <w:pStyle w:val="TableParagraph"/>
              <w:spacing w:line="233" w:lineRule="exact"/>
              <w:ind w:left="128" w:right="113"/>
              <w:jc w:val="center"/>
              <w:rPr>
                <w:sz w:val="22"/>
              </w:rPr>
            </w:pPr>
            <w:r>
              <w:rPr>
                <w:spacing w:val="-2"/>
                <w:sz w:val="22"/>
              </w:rPr>
              <w:t>Program.</w:t>
            </w:r>
          </w:p>
        </w:tc>
      </w:tr>
      <w:tr>
        <w:trPr>
          <w:trHeight w:val="758" w:hRule="atLeast"/>
        </w:trPr>
        <w:tc>
          <w:tcPr>
            <w:tcW w:w="2237" w:type="dxa"/>
          </w:tcPr>
          <w:p>
            <w:pPr>
              <w:pStyle w:val="TableParagraph"/>
              <w:spacing w:before="125"/>
              <w:ind w:left="331" w:right="312" w:hanging="5"/>
              <w:rPr>
                <w:sz w:val="22"/>
              </w:rPr>
            </w:pPr>
            <w:r>
              <w:rPr>
                <w:sz w:val="22"/>
              </w:rPr>
              <w:t>Flexible</w:t>
            </w:r>
            <w:r>
              <w:rPr>
                <w:spacing w:val="-14"/>
                <w:sz w:val="22"/>
              </w:rPr>
              <w:t> </w:t>
            </w:r>
            <w:r>
              <w:rPr>
                <w:sz w:val="22"/>
              </w:rPr>
              <w:t>Services: Cooking</w:t>
            </w:r>
            <w:r>
              <w:rPr>
                <w:spacing w:val="-6"/>
                <w:sz w:val="22"/>
              </w:rPr>
              <w:t> </w:t>
            </w:r>
            <w:r>
              <w:rPr>
                <w:spacing w:val="-2"/>
                <w:sz w:val="22"/>
              </w:rPr>
              <w:t>Supplies</w:t>
            </w:r>
          </w:p>
        </w:tc>
        <w:tc>
          <w:tcPr>
            <w:tcW w:w="2244" w:type="dxa"/>
          </w:tcPr>
          <w:p>
            <w:pPr>
              <w:pStyle w:val="TableParagraph"/>
              <w:spacing w:before="8"/>
              <w:rPr>
                <w:sz w:val="21"/>
              </w:rPr>
            </w:pPr>
          </w:p>
          <w:p>
            <w:pPr>
              <w:pStyle w:val="TableParagraph"/>
              <w:spacing w:before="1"/>
              <w:ind w:left="476" w:right="467"/>
              <w:jc w:val="center"/>
              <w:rPr>
                <w:sz w:val="22"/>
              </w:rPr>
            </w:pPr>
            <w:r>
              <w:rPr>
                <w:spacing w:val="-4"/>
                <w:sz w:val="22"/>
              </w:rPr>
              <w:t>Main</w:t>
            </w:r>
          </w:p>
        </w:tc>
        <w:tc>
          <w:tcPr>
            <w:tcW w:w="1495" w:type="dxa"/>
          </w:tcPr>
          <w:p>
            <w:pPr>
              <w:pStyle w:val="TableParagraph"/>
              <w:rPr>
                <w:sz w:val="20"/>
              </w:rPr>
            </w:pPr>
          </w:p>
        </w:tc>
        <w:tc>
          <w:tcPr>
            <w:tcW w:w="1670" w:type="dxa"/>
          </w:tcPr>
          <w:p>
            <w:pPr>
              <w:pStyle w:val="TableParagraph"/>
              <w:rPr>
                <w:sz w:val="20"/>
              </w:rPr>
            </w:pPr>
          </w:p>
        </w:tc>
        <w:tc>
          <w:tcPr>
            <w:tcW w:w="1348" w:type="dxa"/>
          </w:tcPr>
          <w:p>
            <w:pPr>
              <w:pStyle w:val="TableParagraph"/>
              <w:spacing w:before="8"/>
              <w:rPr>
                <w:sz w:val="21"/>
              </w:rPr>
            </w:pPr>
          </w:p>
          <w:p>
            <w:pPr>
              <w:pStyle w:val="TableParagraph"/>
              <w:spacing w:before="1"/>
              <w:ind w:left="7"/>
              <w:jc w:val="center"/>
              <w:rPr>
                <w:sz w:val="22"/>
              </w:rPr>
            </w:pPr>
            <w:r>
              <w:rPr>
                <w:w w:val="100"/>
                <w:sz w:val="22"/>
              </w:rPr>
              <w:t>X</w:t>
            </w:r>
          </w:p>
        </w:tc>
        <w:tc>
          <w:tcPr>
            <w:tcW w:w="3899" w:type="dxa"/>
          </w:tcPr>
          <w:p>
            <w:pPr>
              <w:pStyle w:val="TableParagraph"/>
              <w:ind w:left="130" w:right="110"/>
              <w:jc w:val="center"/>
              <w:rPr>
                <w:sz w:val="22"/>
              </w:rPr>
            </w:pPr>
            <w:r>
              <w:rPr>
                <w:sz w:val="22"/>
              </w:rPr>
              <w:t>Report</w:t>
            </w:r>
            <w:r>
              <w:rPr>
                <w:spacing w:val="-9"/>
                <w:sz w:val="22"/>
              </w:rPr>
              <w:t> </w:t>
            </w:r>
            <w:r>
              <w:rPr>
                <w:sz w:val="22"/>
              </w:rPr>
              <w:t>all</w:t>
            </w:r>
            <w:r>
              <w:rPr>
                <w:spacing w:val="-6"/>
                <w:sz w:val="22"/>
              </w:rPr>
              <w:t> </w:t>
            </w:r>
            <w:r>
              <w:rPr>
                <w:sz w:val="22"/>
              </w:rPr>
              <w:t>expenditures</w:t>
            </w:r>
            <w:r>
              <w:rPr>
                <w:spacing w:val="-7"/>
                <w:sz w:val="22"/>
              </w:rPr>
              <w:t> </w:t>
            </w:r>
            <w:r>
              <w:rPr>
                <w:sz w:val="22"/>
              </w:rPr>
              <w:t>for</w:t>
            </w:r>
            <w:r>
              <w:rPr>
                <w:spacing w:val="-9"/>
                <w:sz w:val="22"/>
              </w:rPr>
              <w:t> </w:t>
            </w:r>
            <w:r>
              <w:rPr>
                <w:sz w:val="22"/>
              </w:rPr>
              <w:t>the</w:t>
            </w:r>
            <w:r>
              <w:rPr>
                <w:spacing w:val="-7"/>
                <w:sz w:val="22"/>
              </w:rPr>
              <w:t> </w:t>
            </w:r>
            <w:r>
              <w:rPr>
                <w:sz w:val="22"/>
              </w:rPr>
              <w:t>cooking supplies under the Flexible Services</w:t>
            </w:r>
          </w:p>
          <w:p>
            <w:pPr>
              <w:pStyle w:val="TableParagraph"/>
              <w:spacing w:line="233" w:lineRule="exact"/>
              <w:ind w:left="123" w:right="113"/>
              <w:jc w:val="center"/>
              <w:rPr>
                <w:sz w:val="22"/>
              </w:rPr>
            </w:pPr>
            <w:r>
              <w:rPr>
                <w:spacing w:val="-2"/>
                <w:sz w:val="22"/>
              </w:rPr>
              <w:t>Program.</w:t>
            </w:r>
          </w:p>
        </w:tc>
      </w:tr>
      <w:tr>
        <w:trPr>
          <w:trHeight w:val="1012" w:hRule="atLeast"/>
        </w:trPr>
        <w:tc>
          <w:tcPr>
            <w:tcW w:w="2237" w:type="dxa"/>
          </w:tcPr>
          <w:p>
            <w:pPr>
              <w:pStyle w:val="TableParagraph"/>
              <w:spacing w:before="125"/>
              <w:ind w:left="112" w:right="100"/>
              <w:jc w:val="center"/>
              <w:rPr>
                <w:sz w:val="22"/>
              </w:rPr>
            </w:pPr>
            <w:r>
              <w:rPr>
                <w:sz w:val="22"/>
              </w:rPr>
              <w:t>CE Formerly Incarcerated/</w:t>
            </w:r>
            <w:r>
              <w:rPr>
                <w:spacing w:val="-14"/>
                <w:sz w:val="22"/>
              </w:rPr>
              <w:t> </w:t>
            </w:r>
            <w:r>
              <w:rPr>
                <w:sz w:val="22"/>
              </w:rPr>
              <w:t>Base </w:t>
            </w:r>
            <w:r>
              <w:rPr>
                <w:spacing w:val="-2"/>
                <w:sz w:val="22"/>
              </w:rPr>
              <w:t>Families</w:t>
            </w:r>
          </w:p>
        </w:tc>
        <w:tc>
          <w:tcPr>
            <w:tcW w:w="2244" w:type="dxa"/>
          </w:tcPr>
          <w:p>
            <w:pPr>
              <w:pStyle w:val="TableParagraph"/>
              <w:rPr>
                <w:sz w:val="33"/>
              </w:rPr>
            </w:pPr>
          </w:p>
          <w:p>
            <w:pPr>
              <w:pStyle w:val="TableParagraph"/>
              <w:ind w:left="473" w:right="467"/>
              <w:jc w:val="center"/>
              <w:rPr>
                <w:sz w:val="22"/>
              </w:rPr>
            </w:pPr>
            <w:r>
              <w:rPr>
                <w:sz w:val="22"/>
              </w:rPr>
              <w:t>Hypo</w:t>
            </w:r>
            <w:r>
              <w:rPr>
                <w:spacing w:val="-5"/>
                <w:sz w:val="22"/>
              </w:rPr>
              <w:t> </w:t>
            </w:r>
            <w:r>
              <w:rPr>
                <w:spacing w:val="-10"/>
                <w:sz w:val="22"/>
              </w:rPr>
              <w:t>7</w:t>
            </w:r>
          </w:p>
        </w:tc>
        <w:tc>
          <w:tcPr>
            <w:tcW w:w="1495" w:type="dxa"/>
          </w:tcPr>
          <w:p>
            <w:pPr>
              <w:pStyle w:val="TableParagraph"/>
              <w:rPr>
                <w:sz w:val="33"/>
              </w:rPr>
            </w:pPr>
          </w:p>
          <w:p>
            <w:pPr>
              <w:pStyle w:val="TableParagraph"/>
              <w:ind w:left="666"/>
              <w:rPr>
                <w:sz w:val="22"/>
              </w:rPr>
            </w:pPr>
            <w:r>
              <w:rPr>
                <w:w w:val="100"/>
                <w:sz w:val="22"/>
              </w:rPr>
              <w:t>X</w:t>
            </w:r>
          </w:p>
        </w:tc>
        <w:tc>
          <w:tcPr>
            <w:tcW w:w="1670" w:type="dxa"/>
          </w:tcPr>
          <w:p>
            <w:pPr>
              <w:pStyle w:val="TableParagraph"/>
              <w:rPr>
                <w:sz w:val="20"/>
              </w:rPr>
            </w:pPr>
          </w:p>
        </w:tc>
        <w:tc>
          <w:tcPr>
            <w:tcW w:w="1348" w:type="dxa"/>
          </w:tcPr>
          <w:p>
            <w:pPr>
              <w:pStyle w:val="TableParagraph"/>
              <w:rPr>
                <w:sz w:val="33"/>
              </w:rPr>
            </w:pPr>
          </w:p>
          <w:p>
            <w:pPr>
              <w:pStyle w:val="TableParagraph"/>
              <w:ind w:left="7"/>
              <w:jc w:val="center"/>
              <w:rPr>
                <w:sz w:val="22"/>
              </w:rPr>
            </w:pPr>
            <w:r>
              <w:rPr>
                <w:w w:val="100"/>
                <w:sz w:val="22"/>
              </w:rPr>
              <w:t>X</w:t>
            </w:r>
          </w:p>
        </w:tc>
        <w:tc>
          <w:tcPr>
            <w:tcW w:w="3899" w:type="dxa"/>
          </w:tcPr>
          <w:p>
            <w:pPr>
              <w:pStyle w:val="TableParagraph"/>
              <w:ind w:left="154" w:right="139" w:firstLine="2"/>
              <w:jc w:val="center"/>
              <w:rPr>
                <w:sz w:val="22"/>
              </w:rPr>
            </w:pPr>
            <w:r>
              <w:rPr>
                <w:sz w:val="22"/>
              </w:rPr>
              <w:t>All expenditures for Formerly Incarcerated</w:t>
            </w:r>
            <w:r>
              <w:rPr>
                <w:spacing w:val="-11"/>
                <w:sz w:val="22"/>
              </w:rPr>
              <w:t> </w:t>
            </w:r>
            <w:r>
              <w:rPr>
                <w:sz w:val="22"/>
              </w:rPr>
              <w:t>individuals</w:t>
            </w:r>
            <w:r>
              <w:rPr>
                <w:spacing w:val="-8"/>
                <w:sz w:val="22"/>
              </w:rPr>
              <w:t> </w:t>
            </w:r>
            <w:r>
              <w:rPr>
                <w:sz w:val="22"/>
              </w:rPr>
              <w:t>who</w:t>
            </w:r>
            <w:r>
              <w:rPr>
                <w:spacing w:val="-8"/>
                <w:sz w:val="22"/>
              </w:rPr>
              <w:t> </w:t>
            </w:r>
            <w:r>
              <w:rPr>
                <w:sz w:val="22"/>
              </w:rPr>
              <w:t>are</w:t>
            </w:r>
            <w:r>
              <w:rPr>
                <w:spacing w:val="-10"/>
                <w:sz w:val="22"/>
              </w:rPr>
              <w:t> </w:t>
            </w:r>
            <w:r>
              <w:rPr>
                <w:sz w:val="22"/>
              </w:rPr>
              <w:t>defined as Base Families during the Continuous</w:t>
            </w:r>
          </w:p>
          <w:p>
            <w:pPr>
              <w:pStyle w:val="TableParagraph"/>
              <w:spacing w:line="233" w:lineRule="exact"/>
              <w:ind w:left="130" w:right="112"/>
              <w:jc w:val="center"/>
              <w:rPr>
                <w:sz w:val="22"/>
              </w:rPr>
            </w:pPr>
            <w:r>
              <w:rPr>
                <w:sz w:val="22"/>
              </w:rPr>
              <w:t>Eligibility</w:t>
            </w:r>
            <w:r>
              <w:rPr>
                <w:spacing w:val="-6"/>
                <w:sz w:val="22"/>
              </w:rPr>
              <w:t> </w:t>
            </w:r>
            <w:r>
              <w:rPr>
                <w:spacing w:val="-2"/>
                <w:sz w:val="22"/>
              </w:rPr>
              <w:t>period.</w:t>
            </w:r>
          </w:p>
        </w:tc>
      </w:tr>
      <w:tr>
        <w:trPr>
          <w:trHeight w:val="1012" w:hRule="atLeast"/>
        </w:trPr>
        <w:tc>
          <w:tcPr>
            <w:tcW w:w="2237" w:type="dxa"/>
          </w:tcPr>
          <w:p>
            <w:pPr>
              <w:pStyle w:val="TableParagraph"/>
              <w:spacing w:before="125"/>
              <w:ind w:left="112" w:right="100"/>
              <w:jc w:val="center"/>
              <w:rPr>
                <w:sz w:val="22"/>
              </w:rPr>
            </w:pPr>
            <w:r>
              <w:rPr>
                <w:sz w:val="22"/>
              </w:rPr>
              <w:t>CE Formerly Incarcerated/</w:t>
            </w:r>
            <w:r>
              <w:rPr>
                <w:spacing w:val="-14"/>
                <w:sz w:val="22"/>
              </w:rPr>
              <w:t> </w:t>
            </w:r>
            <w:r>
              <w:rPr>
                <w:sz w:val="22"/>
              </w:rPr>
              <w:t>Base </w:t>
            </w:r>
            <w:r>
              <w:rPr>
                <w:spacing w:val="-2"/>
                <w:sz w:val="22"/>
              </w:rPr>
              <w:t>Disabled</w:t>
            </w:r>
          </w:p>
        </w:tc>
        <w:tc>
          <w:tcPr>
            <w:tcW w:w="2244" w:type="dxa"/>
          </w:tcPr>
          <w:p>
            <w:pPr>
              <w:pStyle w:val="TableParagraph"/>
              <w:spacing w:before="9"/>
              <w:rPr>
                <w:sz w:val="32"/>
              </w:rPr>
            </w:pPr>
          </w:p>
          <w:p>
            <w:pPr>
              <w:pStyle w:val="TableParagraph"/>
              <w:ind w:left="473" w:right="467"/>
              <w:jc w:val="center"/>
              <w:rPr>
                <w:sz w:val="22"/>
              </w:rPr>
            </w:pPr>
            <w:r>
              <w:rPr>
                <w:sz w:val="22"/>
              </w:rPr>
              <w:t>Hypo</w:t>
            </w:r>
            <w:r>
              <w:rPr>
                <w:spacing w:val="-5"/>
                <w:sz w:val="22"/>
              </w:rPr>
              <w:t> </w:t>
            </w:r>
            <w:r>
              <w:rPr>
                <w:spacing w:val="-10"/>
                <w:sz w:val="22"/>
              </w:rPr>
              <w:t>7</w:t>
            </w:r>
          </w:p>
        </w:tc>
        <w:tc>
          <w:tcPr>
            <w:tcW w:w="1495" w:type="dxa"/>
          </w:tcPr>
          <w:p>
            <w:pPr>
              <w:pStyle w:val="TableParagraph"/>
              <w:spacing w:before="9"/>
              <w:rPr>
                <w:sz w:val="32"/>
              </w:rPr>
            </w:pPr>
          </w:p>
          <w:p>
            <w:pPr>
              <w:pStyle w:val="TableParagraph"/>
              <w:ind w:left="666"/>
              <w:rPr>
                <w:sz w:val="22"/>
              </w:rPr>
            </w:pPr>
            <w:r>
              <w:rPr>
                <w:w w:val="100"/>
                <w:sz w:val="22"/>
              </w:rPr>
              <w:t>X</w:t>
            </w:r>
          </w:p>
        </w:tc>
        <w:tc>
          <w:tcPr>
            <w:tcW w:w="1670" w:type="dxa"/>
          </w:tcPr>
          <w:p>
            <w:pPr>
              <w:pStyle w:val="TableParagraph"/>
              <w:rPr>
                <w:sz w:val="20"/>
              </w:rPr>
            </w:pPr>
          </w:p>
        </w:tc>
        <w:tc>
          <w:tcPr>
            <w:tcW w:w="1348" w:type="dxa"/>
          </w:tcPr>
          <w:p>
            <w:pPr>
              <w:pStyle w:val="TableParagraph"/>
              <w:spacing w:before="9"/>
              <w:rPr>
                <w:sz w:val="32"/>
              </w:rPr>
            </w:pPr>
          </w:p>
          <w:p>
            <w:pPr>
              <w:pStyle w:val="TableParagraph"/>
              <w:ind w:left="6"/>
              <w:jc w:val="center"/>
              <w:rPr>
                <w:sz w:val="22"/>
              </w:rPr>
            </w:pPr>
            <w:r>
              <w:rPr>
                <w:w w:val="100"/>
                <w:sz w:val="22"/>
              </w:rPr>
              <w:t>X</w:t>
            </w:r>
          </w:p>
        </w:tc>
        <w:tc>
          <w:tcPr>
            <w:tcW w:w="3899" w:type="dxa"/>
          </w:tcPr>
          <w:p>
            <w:pPr>
              <w:pStyle w:val="TableParagraph"/>
              <w:ind w:left="154" w:right="139" w:firstLine="2"/>
              <w:jc w:val="center"/>
              <w:rPr>
                <w:sz w:val="22"/>
              </w:rPr>
            </w:pPr>
            <w:r>
              <w:rPr>
                <w:sz w:val="22"/>
              </w:rPr>
              <w:t>All expenditures for Formerly Incarcerated</w:t>
            </w:r>
            <w:r>
              <w:rPr>
                <w:spacing w:val="-7"/>
                <w:sz w:val="22"/>
              </w:rPr>
              <w:t> </w:t>
            </w:r>
            <w:r>
              <w:rPr>
                <w:sz w:val="22"/>
              </w:rPr>
              <w:t>individuals</w:t>
            </w:r>
            <w:r>
              <w:rPr>
                <w:spacing w:val="-4"/>
                <w:sz w:val="22"/>
              </w:rPr>
              <w:t> </w:t>
            </w:r>
            <w:r>
              <w:rPr>
                <w:sz w:val="22"/>
              </w:rPr>
              <w:t>who</w:t>
            </w:r>
            <w:r>
              <w:rPr>
                <w:spacing w:val="-4"/>
                <w:sz w:val="22"/>
              </w:rPr>
              <w:t> </w:t>
            </w:r>
            <w:r>
              <w:rPr>
                <w:sz w:val="22"/>
              </w:rPr>
              <w:t>are</w:t>
            </w:r>
            <w:r>
              <w:rPr>
                <w:spacing w:val="-5"/>
                <w:sz w:val="22"/>
              </w:rPr>
              <w:t> </w:t>
            </w:r>
            <w:r>
              <w:rPr>
                <w:spacing w:val="-2"/>
                <w:sz w:val="22"/>
              </w:rPr>
              <w:t>defined</w:t>
            </w:r>
          </w:p>
          <w:p>
            <w:pPr>
              <w:pStyle w:val="TableParagraph"/>
              <w:spacing w:line="252" w:lineRule="exact"/>
              <w:ind w:left="130" w:right="113"/>
              <w:jc w:val="center"/>
              <w:rPr>
                <w:sz w:val="22"/>
              </w:rPr>
            </w:pPr>
            <w:r>
              <w:rPr>
                <w:sz w:val="22"/>
              </w:rPr>
              <w:t>as</w:t>
            </w:r>
            <w:r>
              <w:rPr>
                <w:spacing w:val="-7"/>
                <w:sz w:val="22"/>
              </w:rPr>
              <w:t> </w:t>
            </w:r>
            <w:r>
              <w:rPr>
                <w:sz w:val="22"/>
              </w:rPr>
              <w:t>Base</w:t>
            </w:r>
            <w:r>
              <w:rPr>
                <w:spacing w:val="-7"/>
                <w:sz w:val="22"/>
              </w:rPr>
              <w:t> </w:t>
            </w:r>
            <w:r>
              <w:rPr>
                <w:sz w:val="22"/>
              </w:rPr>
              <w:t>Disabled</w:t>
            </w:r>
            <w:r>
              <w:rPr>
                <w:spacing w:val="-7"/>
                <w:sz w:val="22"/>
              </w:rPr>
              <w:t> </w:t>
            </w:r>
            <w:r>
              <w:rPr>
                <w:sz w:val="22"/>
              </w:rPr>
              <w:t>during</w:t>
            </w:r>
            <w:r>
              <w:rPr>
                <w:spacing w:val="-9"/>
                <w:sz w:val="22"/>
              </w:rPr>
              <w:t> </w:t>
            </w:r>
            <w:r>
              <w:rPr>
                <w:sz w:val="22"/>
              </w:rPr>
              <w:t>the</w:t>
            </w:r>
            <w:r>
              <w:rPr>
                <w:spacing w:val="-9"/>
                <w:sz w:val="22"/>
              </w:rPr>
              <w:t> </w:t>
            </w:r>
            <w:r>
              <w:rPr>
                <w:sz w:val="22"/>
              </w:rPr>
              <w:t>Continuous Eligibility period.</w:t>
            </w:r>
          </w:p>
        </w:tc>
      </w:tr>
      <w:tr>
        <w:trPr>
          <w:trHeight w:val="1012" w:hRule="atLeast"/>
        </w:trPr>
        <w:tc>
          <w:tcPr>
            <w:tcW w:w="2237" w:type="dxa"/>
          </w:tcPr>
          <w:p>
            <w:pPr>
              <w:pStyle w:val="TableParagraph"/>
              <w:spacing w:before="8"/>
              <w:rPr>
                <w:sz w:val="21"/>
              </w:rPr>
            </w:pPr>
          </w:p>
          <w:p>
            <w:pPr>
              <w:pStyle w:val="TableParagraph"/>
              <w:spacing w:before="1"/>
              <w:ind w:left="738" w:hanging="497"/>
              <w:rPr>
                <w:sz w:val="22"/>
              </w:rPr>
            </w:pPr>
            <w:r>
              <w:rPr>
                <w:sz w:val="22"/>
              </w:rPr>
              <w:t>CE</w:t>
            </w:r>
            <w:r>
              <w:rPr>
                <w:spacing w:val="20"/>
                <w:sz w:val="22"/>
              </w:rPr>
              <w:t> </w:t>
            </w:r>
            <w:r>
              <w:rPr>
                <w:sz w:val="22"/>
              </w:rPr>
              <w:t>Homeless/Base </w:t>
            </w:r>
            <w:r>
              <w:rPr>
                <w:spacing w:val="-2"/>
                <w:sz w:val="22"/>
              </w:rPr>
              <w:t>Families</w:t>
            </w:r>
          </w:p>
        </w:tc>
        <w:tc>
          <w:tcPr>
            <w:tcW w:w="2244" w:type="dxa"/>
          </w:tcPr>
          <w:p>
            <w:pPr>
              <w:pStyle w:val="TableParagraph"/>
              <w:spacing w:before="9"/>
              <w:rPr>
                <w:sz w:val="32"/>
              </w:rPr>
            </w:pPr>
          </w:p>
          <w:p>
            <w:pPr>
              <w:pStyle w:val="TableParagraph"/>
              <w:ind w:left="474" w:right="467"/>
              <w:jc w:val="center"/>
              <w:rPr>
                <w:sz w:val="22"/>
              </w:rPr>
            </w:pPr>
            <w:r>
              <w:rPr>
                <w:sz w:val="22"/>
              </w:rPr>
              <w:t>Hypo</w:t>
            </w:r>
            <w:r>
              <w:rPr>
                <w:spacing w:val="-5"/>
                <w:sz w:val="22"/>
              </w:rPr>
              <w:t> </w:t>
            </w:r>
            <w:r>
              <w:rPr>
                <w:spacing w:val="-10"/>
                <w:sz w:val="22"/>
              </w:rPr>
              <w:t>7</w:t>
            </w:r>
          </w:p>
        </w:tc>
        <w:tc>
          <w:tcPr>
            <w:tcW w:w="1495" w:type="dxa"/>
          </w:tcPr>
          <w:p>
            <w:pPr>
              <w:pStyle w:val="TableParagraph"/>
              <w:spacing w:before="9"/>
              <w:rPr>
                <w:sz w:val="32"/>
              </w:rPr>
            </w:pPr>
          </w:p>
          <w:p>
            <w:pPr>
              <w:pStyle w:val="TableParagraph"/>
              <w:ind w:left="666"/>
              <w:rPr>
                <w:sz w:val="22"/>
              </w:rPr>
            </w:pPr>
            <w:r>
              <w:rPr>
                <w:w w:val="100"/>
                <w:sz w:val="22"/>
              </w:rPr>
              <w:t>X</w:t>
            </w:r>
          </w:p>
        </w:tc>
        <w:tc>
          <w:tcPr>
            <w:tcW w:w="1670" w:type="dxa"/>
          </w:tcPr>
          <w:p>
            <w:pPr>
              <w:pStyle w:val="TableParagraph"/>
              <w:rPr>
                <w:sz w:val="20"/>
              </w:rPr>
            </w:pPr>
          </w:p>
        </w:tc>
        <w:tc>
          <w:tcPr>
            <w:tcW w:w="1348" w:type="dxa"/>
          </w:tcPr>
          <w:p>
            <w:pPr>
              <w:pStyle w:val="TableParagraph"/>
              <w:spacing w:before="9"/>
              <w:rPr>
                <w:sz w:val="32"/>
              </w:rPr>
            </w:pPr>
          </w:p>
          <w:p>
            <w:pPr>
              <w:pStyle w:val="TableParagraph"/>
              <w:ind w:left="7"/>
              <w:jc w:val="center"/>
              <w:rPr>
                <w:sz w:val="22"/>
              </w:rPr>
            </w:pPr>
            <w:r>
              <w:rPr>
                <w:w w:val="100"/>
                <w:sz w:val="22"/>
              </w:rPr>
              <w:t>X</w:t>
            </w:r>
          </w:p>
        </w:tc>
        <w:tc>
          <w:tcPr>
            <w:tcW w:w="3899" w:type="dxa"/>
          </w:tcPr>
          <w:p>
            <w:pPr>
              <w:pStyle w:val="TableParagraph"/>
              <w:ind w:left="366" w:right="349"/>
              <w:jc w:val="center"/>
              <w:rPr>
                <w:sz w:val="22"/>
              </w:rPr>
            </w:pPr>
            <w:r>
              <w:rPr>
                <w:sz w:val="22"/>
              </w:rPr>
              <w:t>All expenditures for Homeless individuals</w:t>
            </w:r>
            <w:r>
              <w:rPr>
                <w:spacing w:val="-7"/>
                <w:sz w:val="22"/>
              </w:rPr>
              <w:t> </w:t>
            </w:r>
            <w:r>
              <w:rPr>
                <w:sz w:val="22"/>
              </w:rPr>
              <w:t>who</w:t>
            </w:r>
            <w:r>
              <w:rPr>
                <w:spacing w:val="-7"/>
                <w:sz w:val="22"/>
              </w:rPr>
              <w:t> </w:t>
            </w:r>
            <w:r>
              <w:rPr>
                <w:sz w:val="22"/>
              </w:rPr>
              <w:t>are</w:t>
            </w:r>
            <w:r>
              <w:rPr>
                <w:spacing w:val="-7"/>
                <w:sz w:val="22"/>
              </w:rPr>
              <w:t> </w:t>
            </w:r>
            <w:r>
              <w:rPr>
                <w:sz w:val="22"/>
              </w:rPr>
              <w:t>defined</w:t>
            </w:r>
            <w:r>
              <w:rPr>
                <w:spacing w:val="-10"/>
                <w:sz w:val="22"/>
              </w:rPr>
              <w:t> </w:t>
            </w:r>
            <w:r>
              <w:rPr>
                <w:sz w:val="22"/>
              </w:rPr>
              <w:t>as</w:t>
            </w:r>
            <w:r>
              <w:rPr>
                <w:spacing w:val="-7"/>
                <w:sz w:val="22"/>
              </w:rPr>
              <w:t> </w:t>
            </w:r>
            <w:r>
              <w:rPr>
                <w:sz w:val="22"/>
              </w:rPr>
              <w:t>Base Families during the Continuous</w:t>
            </w:r>
          </w:p>
          <w:p>
            <w:pPr>
              <w:pStyle w:val="TableParagraph"/>
              <w:spacing w:line="235" w:lineRule="exact"/>
              <w:ind w:left="130" w:right="113"/>
              <w:jc w:val="center"/>
              <w:rPr>
                <w:sz w:val="22"/>
              </w:rPr>
            </w:pPr>
            <w:r>
              <w:rPr>
                <w:sz w:val="22"/>
              </w:rPr>
              <w:t>Eligibility</w:t>
            </w:r>
            <w:r>
              <w:rPr>
                <w:spacing w:val="-6"/>
                <w:sz w:val="22"/>
              </w:rPr>
              <w:t> </w:t>
            </w:r>
            <w:r>
              <w:rPr>
                <w:spacing w:val="-2"/>
                <w:sz w:val="22"/>
              </w:rPr>
              <w:t>period.</w:t>
            </w:r>
          </w:p>
        </w:tc>
      </w:tr>
    </w:tbl>
    <w:p>
      <w:pPr>
        <w:spacing w:after="0" w:line="235" w:lineRule="exact"/>
        <w:jc w:val="center"/>
        <w:rPr>
          <w:sz w:val="22"/>
        </w:rPr>
        <w:sectPr>
          <w:pgSz w:w="15840" w:h="12240" w:orient="landscape"/>
          <w:pgMar w:header="0" w:footer="1201" w:top="1380" w:bottom="1400" w:left="1340" w:right="1380"/>
        </w:sectPr>
      </w:pPr>
    </w:p>
    <w:p>
      <w:pPr>
        <w:pStyle w:val="BodyText"/>
        <w:spacing w:before="2"/>
        <w:rPr>
          <w:sz w:val="5"/>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7"/>
        <w:gridCol w:w="2244"/>
        <w:gridCol w:w="1495"/>
        <w:gridCol w:w="1670"/>
        <w:gridCol w:w="1348"/>
        <w:gridCol w:w="3899"/>
      </w:tblGrid>
      <w:tr>
        <w:trPr>
          <w:trHeight w:val="412" w:hRule="atLeast"/>
        </w:trPr>
        <w:tc>
          <w:tcPr>
            <w:tcW w:w="12893" w:type="dxa"/>
            <w:gridSpan w:val="6"/>
            <w:shd w:val="clear" w:color="auto" w:fill="DBE4F0"/>
          </w:tcPr>
          <w:p>
            <w:pPr>
              <w:pStyle w:val="TableParagraph"/>
              <w:spacing w:before="80"/>
              <w:ind w:left="5038" w:right="5024"/>
              <w:jc w:val="center"/>
              <w:rPr>
                <w:b/>
                <w:sz w:val="22"/>
              </w:rPr>
            </w:pPr>
            <w:r>
              <w:rPr>
                <w:b/>
                <w:sz w:val="22"/>
              </w:rPr>
              <w:t>Table</w:t>
            </w:r>
            <w:r>
              <w:rPr>
                <w:b/>
                <w:spacing w:val="-3"/>
                <w:sz w:val="22"/>
              </w:rPr>
              <w:t> </w:t>
            </w:r>
            <w:r>
              <w:rPr>
                <w:b/>
                <w:sz w:val="22"/>
              </w:rPr>
              <w:t>17:</w:t>
            </w:r>
            <w:r>
              <w:rPr>
                <w:b/>
                <w:spacing w:val="-2"/>
                <w:sz w:val="22"/>
              </w:rPr>
              <w:t> </w:t>
            </w:r>
            <w:r>
              <w:rPr>
                <w:b/>
                <w:sz w:val="22"/>
              </w:rPr>
              <w:t>Master</w:t>
            </w:r>
            <w:r>
              <w:rPr>
                <w:b/>
                <w:spacing w:val="-2"/>
                <w:sz w:val="22"/>
              </w:rPr>
              <w:t> </w:t>
            </w:r>
            <w:r>
              <w:rPr>
                <w:b/>
                <w:sz w:val="22"/>
              </w:rPr>
              <w:t>MEG</w:t>
            </w:r>
            <w:r>
              <w:rPr>
                <w:b/>
                <w:spacing w:val="-4"/>
                <w:sz w:val="22"/>
              </w:rPr>
              <w:t> Chart</w:t>
            </w:r>
          </w:p>
        </w:tc>
      </w:tr>
      <w:tr>
        <w:trPr>
          <w:trHeight w:val="505" w:hRule="atLeast"/>
        </w:trPr>
        <w:tc>
          <w:tcPr>
            <w:tcW w:w="2237" w:type="dxa"/>
            <w:shd w:val="clear" w:color="auto" w:fill="DBE4F0"/>
          </w:tcPr>
          <w:p>
            <w:pPr>
              <w:pStyle w:val="TableParagraph"/>
              <w:spacing w:before="125"/>
              <w:ind w:left="108" w:right="101"/>
              <w:jc w:val="center"/>
              <w:rPr>
                <w:b/>
                <w:sz w:val="22"/>
              </w:rPr>
            </w:pPr>
            <w:r>
              <w:rPr>
                <w:b/>
                <w:spacing w:val="-5"/>
                <w:sz w:val="22"/>
              </w:rPr>
              <w:t>MEG</w:t>
            </w:r>
          </w:p>
        </w:tc>
        <w:tc>
          <w:tcPr>
            <w:tcW w:w="2244" w:type="dxa"/>
            <w:shd w:val="clear" w:color="auto" w:fill="DBE4F0"/>
          </w:tcPr>
          <w:p>
            <w:pPr>
              <w:pStyle w:val="TableParagraph"/>
              <w:spacing w:line="254" w:lineRule="exact"/>
              <w:ind w:left="712" w:hanging="315"/>
              <w:rPr>
                <w:b/>
                <w:sz w:val="22"/>
              </w:rPr>
            </w:pPr>
            <w:r>
              <w:rPr>
                <w:b/>
                <w:sz w:val="22"/>
              </w:rPr>
              <w:t>Which</w:t>
            </w:r>
            <w:r>
              <w:rPr>
                <w:b/>
                <w:spacing w:val="-14"/>
                <w:sz w:val="22"/>
              </w:rPr>
              <w:t> </w:t>
            </w:r>
            <w:r>
              <w:rPr>
                <w:b/>
                <w:sz w:val="22"/>
              </w:rPr>
              <w:t>BN</w:t>
            </w:r>
            <w:r>
              <w:rPr>
                <w:b/>
                <w:spacing w:val="-14"/>
                <w:sz w:val="22"/>
              </w:rPr>
              <w:t> </w:t>
            </w:r>
            <w:r>
              <w:rPr>
                <w:b/>
                <w:sz w:val="22"/>
              </w:rPr>
              <w:t>Test </w:t>
            </w:r>
            <w:r>
              <w:rPr>
                <w:b/>
                <w:spacing w:val="-2"/>
                <w:sz w:val="22"/>
              </w:rPr>
              <w:t>Applies?</w:t>
            </w:r>
          </w:p>
        </w:tc>
        <w:tc>
          <w:tcPr>
            <w:tcW w:w="1495" w:type="dxa"/>
            <w:shd w:val="clear" w:color="auto" w:fill="DBE4F0"/>
          </w:tcPr>
          <w:p>
            <w:pPr>
              <w:pStyle w:val="TableParagraph"/>
              <w:spacing w:line="254" w:lineRule="exact"/>
              <w:ind w:left="429" w:right="237" w:hanging="183"/>
              <w:rPr>
                <w:b/>
                <w:sz w:val="22"/>
              </w:rPr>
            </w:pPr>
            <w:r>
              <w:rPr>
                <w:b/>
                <w:sz w:val="22"/>
              </w:rPr>
              <w:t>WOW</w:t>
            </w:r>
            <w:r>
              <w:rPr>
                <w:b/>
                <w:spacing w:val="-14"/>
                <w:sz w:val="22"/>
              </w:rPr>
              <w:t> </w:t>
            </w:r>
            <w:r>
              <w:rPr>
                <w:b/>
                <w:sz w:val="22"/>
              </w:rPr>
              <w:t>Per </w:t>
            </w:r>
            <w:r>
              <w:rPr>
                <w:b/>
                <w:spacing w:val="-2"/>
                <w:sz w:val="22"/>
              </w:rPr>
              <w:t>Capita</w:t>
            </w:r>
          </w:p>
        </w:tc>
        <w:tc>
          <w:tcPr>
            <w:tcW w:w="1670" w:type="dxa"/>
            <w:shd w:val="clear" w:color="auto" w:fill="DBE4F0"/>
          </w:tcPr>
          <w:p>
            <w:pPr>
              <w:pStyle w:val="TableParagraph"/>
              <w:spacing w:line="251" w:lineRule="exact"/>
              <w:ind w:left="337" w:right="332"/>
              <w:jc w:val="center"/>
              <w:rPr>
                <w:b/>
                <w:sz w:val="22"/>
              </w:rPr>
            </w:pPr>
            <w:r>
              <w:rPr>
                <w:b/>
                <w:spacing w:val="-5"/>
                <w:sz w:val="22"/>
              </w:rPr>
              <w:t>WOW</w:t>
            </w:r>
          </w:p>
          <w:p>
            <w:pPr>
              <w:pStyle w:val="TableParagraph"/>
              <w:spacing w:line="233" w:lineRule="exact" w:before="1"/>
              <w:ind w:left="339" w:right="332"/>
              <w:jc w:val="center"/>
              <w:rPr>
                <w:b/>
                <w:sz w:val="22"/>
              </w:rPr>
            </w:pPr>
            <w:r>
              <w:rPr>
                <w:b/>
                <w:spacing w:val="-2"/>
                <w:sz w:val="22"/>
              </w:rPr>
              <w:t>Aggregate</w:t>
            </w:r>
          </w:p>
        </w:tc>
        <w:tc>
          <w:tcPr>
            <w:tcW w:w="1348" w:type="dxa"/>
            <w:shd w:val="clear" w:color="auto" w:fill="DBE4F0"/>
          </w:tcPr>
          <w:p>
            <w:pPr>
              <w:pStyle w:val="TableParagraph"/>
              <w:spacing w:before="125"/>
              <w:ind w:left="437" w:right="431"/>
              <w:jc w:val="center"/>
              <w:rPr>
                <w:b/>
                <w:sz w:val="22"/>
              </w:rPr>
            </w:pPr>
            <w:r>
              <w:rPr>
                <w:b/>
                <w:spacing w:val="-5"/>
                <w:sz w:val="22"/>
              </w:rPr>
              <w:t>WW</w:t>
            </w:r>
          </w:p>
        </w:tc>
        <w:tc>
          <w:tcPr>
            <w:tcW w:w="3899" w:type="dxa"/>
            <w:shd w:val="clear" w:color="auto" w:fill="DBE4F0"/>
          </w:tcPr>
          <w:p>
            <w:pPr>
              <w:pStyle w:val="TableParagraph"/>
              <w:spacing w:before="125"/>
              <w:ind w:left="1140"/>
              <w:rPr>
                <w:b/>
                <w:sz w:val="22"/>
              </w:rPr>
            </w:pPr>
            <w:r>
              <w:rPr>
                <w:b/>
                <w:sz w:val="22"/>
              </w:rPr>
              <w:t>Brief</w:t>
            </w:r>
            <w:r>
              <w:rPr>
                <w:b/>
                <w:spacing w:val="-1"/>
                <w:sz w:val="22"/>
              </w:rPr>
              <w:t> </w:t>
            </w:r>
            <w:r>
              <w:rPr>
                <w:b/>
                <w:spacing w:val="-2"/>
                <w:sz w:val="22"/>
              </w:rPr>
              <w:t>Description</w:t>
            </w:r>
          </w:p>
        </w:tc>
      </w:tr>
      <w:tr>
        <w:trPr>
          <w:trHeight w:val="1010" w:hRule="atLeast"/>
        </w:trPr>
        <w:tc>
          <w:tcPr>
            <w:tcW w:w="2237" w:type="dxa"/>
          </w:tcPr>
          <w:p>
            <w:pPr>
              <w:pStyle w:val="TableParagraph"/>
              <w:spacing w:before="9"/>
              <w:rPr>
                <w:sz w:val="21"/>
              </w:rPr>
            </w:pPr>
          </w:p>
          <w:p>
            <w:pPr>
              <w:pStyle w:val="TableParagraph"/>
              <w:ind w:left="726" w:right="258" w:hanging="456"/>
              <w:rPr>
                <w:sz w:val="22"/>
              </w:rPr>
            </w:pPr>
            <w:r>
              <w:rPr>
                <w:sz w:val="22"/>
              </w:rPr>
              <w:t>CE</w:t>
            </w:r>
            <w:r>
              <w:rPr>
                <w:spacing w:val="-14"/>
                <w:sz w:val="22"/>
              </w:rPr>
              <w:t> </w:t>
            </w:r>
            <w:r>
              <w:rPr>
                <w:sz w:val="22"/>
              </w:rPr>
              <w:t>Homeless/Base </w:t>
            </w:r>
            <w:r>
              <w:rPr>
                <w:spacing w:val="-2"/>
                <w:sz w:val="22"/>
              </w:rPr>
              <w:t>Disabled</w:t>
            </w:r>
          </w:p>
        </w:tc>
        <w:tc>
          <w:tcPr>
            <w:tcW w:w="2244" w:type="dxa"/>
          </w:tcPr>
          <w:p>
            <w:pPr>
              <w:pStyle w:val="TableParagraph"/>
              <w:spacing w:before="10"/>
              <w:rPr>
                <w:sz w:val="32"/>
              </w:rPr>
            </w:pPr>
          </w:p>
          <w:p>
            <w:pPr>
              <w:pStyle w:val="TableParagraph"/>
              <w:ind w:left="473" w:right="467"/>
              <w:jc w:val="center"/>
              <w:rPr>
                <w:sz w:val="22"/>
              </w:rPr>
            </w:pPr>
            <w:r>
              <w:rPr>
                <w:sz w:val="22"/>
              </w:rPr>
              <w:t>Hypo</w:t>
            </w:r>
            <w:r>
              <w:rPr>
                <w:spacing w:val="-5"/>
                <w:sz w:val="22"/>
              </w:rPr>
              <w:t> </w:t>
            </w:r>
            <w:r>
              <w:rPr>
                <w:spacing w:val="-10"/>
                <w:sz w:val="22"/>
              </w:rPr>
              <w:t>7</w:t>
            </w:r>
          </w:p>
        </w:tc>
        <w:tc>
          <w:tcPr>
            <w:tcW w:w="1495" w:type="dxa"/>
          </w:tcPr>
          <w:p>
            <w:pPr>
              <w:pStyle w:val="TableParagraph"/>
              <w:spacing w:before="10"/>
              <w:rPr>
                <w:sz w:val="32"/>
              </w:rPr>
            </w:pPr>
          </w:p>
          <w:p>
            <w:pPr>
              <w:pStyle w:val="TableParagraph"/>
              <w:ind w:left="666"/>
              <w:rPr>
                <w:sz w:val="22"/>
              </w:rPr>
            </w:pPr>
            <w:r>
              <w:rPr>
                <w:w w:val="100"/>
                <w:sz w:val="22"/>
              </w:rPr>
              <w:t>X</w:t>
            </w:r>
          </w:p>
        </w:tc>
        <w:tc>
          <w:tcPr>
            <w:tcW w:w="1670" w:type="dxa"/>
          </w:tcPr>
          <w:p>
            <w:pPr>
              <w:pStyle w:val="TableParagraph"/>
              <w:rPr>
                <w:sz w:val="20"/>
              </w:rPr>
            </w:pPr>
          </w:p>
        </w:tc>
        <w:tc>
          <w:tcPr>
            <w:tcW w:w="1348" w:type="dxa"/>
          </w:tcPr>
          <w:p>
            <w:pPr>
              <w:pStyle w:val="TableParagraph"/>
              <w:spacing w:before="10"/>
              <w:rPr>
                <w:sz w:val="32"/>
              </w:rPr>
            </w:pPr>
          </w:p>
          <w:p>
            <w:pPr>
              <w:pStyle w:val="TableParagraph"/>
              <w:ind w:left="6"/>
              <w:jc w:val="center"/>
              <w:rPr>
                <w:sz w:val="22"/>
              </w:rPr>
            </w:pPr>
            <w:r>
              <w:rPr>
                <w:w w:val="100"/>
                <w:sz w:val="22"/>
              </w:rPr>
              <w:t>X</w:t>
            </w:r>
          </w:p>
        </w:tc>
        <w:tc>
          <w:tcPr>
            <w:tcW w:w="3899" w:type="dxa"/>
          </w:tcPr>
          <w:p>
            <w:pPr>
              <w:pStyle w:val="TableParagraph"/>
              <w:ind w:left="366" w:right="349"/>
              <w:jc w:val="center"/>
              <w:rPr>
                <w:sz w:val="22"/>
              </w:rPr>
            </w:pPr>
            <w:r>
              <w:rPr>
                <w:sz w:val="22"/>
              </w:rPr>
              <w:t>All expenditures for Homeless individuals</w:t>
            </w:r>
            <w:r>
              <w:rPr>
                <w:spacing w:val="-7"/>
                <w:sz w:val="22"/>
              </w:rPr>
              <w:t> </w:t>
            </w:r>
            <w:r>
              <w:rPr>
                <w:sz w:val="22"/>
              </w:rPr>
              <w:t>who</w:t>
            </w:r>
            <w:r>
              <w:rPr>
                <w:spacing w:val="-7"/>
                <w:sz w:val="22"/>
              </w:rPr>
              <w:t> </w:t>
            </w:r>
            <w:r>
              <w:rPr>
                <w:sz w:val="22"/>
              </w:rPr>
              <w:t>are</w:t>
            </w:r>
            <w:r>
              <w:rPr>
                <w:spacing w:val="-7"/>
                <w:sz w:val="22"/>
              </w:rPr>
              <w:t> </w:t>
            </w:r>
            <w:r>
              <w:rPr>
                <w:sz w:val="22"/>
              </w:rPr>
              <w:t>defined</w:t>
            </w:r>
            <w:r>
              <w:rPr>
                <w:spacing w:val="-10"/>
                <w:sz w:val="22"/>
              </w:rPr>
              <w:t> </w:t>
            </w:r>
            <w:r>
              <w:rPr>
                <w:sz w:val="22"/>
              </w:rPr>
              <w:t>as</w:t>
            </w:r>
            <w:r>
              <w:rPr>
                <w:spacing w:val="-7"/>
                <w:sz w:val="22"/>
              </w:rPr>
              <w:t> </w:t>
            </w:r>
            <w:r>
              <w:rPr>
                <w:sz w:val="22"/>
              </w:rPr>
              <w:t>Base Disabled during the Continuous</w:t>
            </w:r>
          </w:p>
          <w:p>
            <w:pPr>
              <w:pStyle w:val="TableParagraph"/>
              <w:spacing w:line="233" w:lineRule="exact"/>
              <w:ind w:left="130" w:right="112"/>
              <w:jc w:val="center"/>
              <w:rPr>
                <w:sz w:val="22"/>
              </w:rPr>
            </w:pPr>
            <w:r>
              <w:rPr>
                <w:sz w:val="22"/>
              </w:rPr>
              <w:t>Eligibility</w:t>
            </w:r>
            <w:r>
              <w:rPr>
                <w:spacing w:val="-6"/>
                <w:sz w:val="22"/>
              </w:rPr>
              <w:t> </w:t>
            </w:r>
            <w:r>
              <w:rPr>
                <w:spacing w:val="-2"/>
                <w:sz w:val="22"/>
              </w:rPr>
              <w:t>period.</w:t>
            </w:r>
          </w:p>
        </w:tc>
      </w:tr>
      <w:tr>
        <w:trPr>
          <w:trHeight w:val="1012" w:hRule="atLeast"/>
        </w:trPr>
        <w:tc>
          <w:tcPr>
            <w:tcW w:w="2237" w:type="dxa"/>
          </w:tcPr>
          <w:p>
            <w:pPr>
              <w:pStyle w:val="TableParagraph"/>
              <w:spacing w:before="11"/>
              <w:rPr>
                <w:sz w:val="21"/>
              </w:rPr>
            </w:pPr>
          </w:p>
          <w:p>
            <w:pPr>
              <w:pStyle w:val="TableParagraph"/>
              <w:ind w:left="319" w:firstLine="165"/>
              <w:rPr>
                <w:sz w:val="22"/>
              </w:rPr>
            </w:pPr>
            <w:r>
              <w:rPr>
                <w:sz w:val="22"/>
              </w:rPr>
              <w:t>CE Homeless/ 1902(r)2</w:t>
            </w:r>
            <w:r>
              <w:rPr>
                <w:spacing w:val="-14"/>
                <w:sz w:val="22"/>
              </w:rPr>
              <w:t> </w:t>
            </w:r>
            <w:r>
              <w:rPr>
                <w:sz w:val="22"/>
              </w:rPr>
              <w:t>Children</w:t>
            </w:r>
          </w:p>
        </w:tc>
        <w:tc>
          <w:tcPr>
            <w:tcW w:w="2244" w:type="dxa"/>
          </w:tcPr>
          <w:p>
            <w:pPr>
              <w:pStyle w:val="TableParagraph"/>
              <w:spacing w:before="9"/>
              <w:rPr>
                <w:sz w:val="32"/>
              </w:rPr>
            </w:pPr>
          </w:p>
          <w:p>
            <w:pPr>
              <w:pStyle w:val="TableParagraph"/>
              <w:ind w:left="473" w:right="467"/>
              <w:jc w:val="center"/>
              <w:rPr>
                <w:sz w:val="22"/>
              </w:rPr>
            </w:pPr>
            <w:r>
              <w:rPr>
                <w:sz w:val="22"/>
              </w:rPr>
              <w:t>Hypo</w:t>
            </w:r>
            <w:r>
              <w:rPr>
                <w:spacing w:val="-5"/>
                <w:sz w:val="22"/>
              </w:rPr>
              <w:t> </w:t>
            </w:r>
            <w:r>
              <w:rPr>
                <w:spacing w:val="-10"/>
                <w:sz w:val="22"/>
              </w:rPr>
              <w:t>7</w:t>
            </w:r>
          </w:p>
        </w:tc>
        <w:tc>
          <w:tcPr>
            <w:tcW w:w="1495" w:type="dxa"/>
          </w:tcPr>
          <w:p>
            <w:pPr>
              <w:pStyle w:val="TableParagraph"/>
              <w:spacing w:before="9"/>
              <w:rPr>
                <w:sz w:val="32"/>
              </w:rPr>
            </w:pPr>
          </w:p>
          <w:p>
            <w:pPr>
              <w:pStyle w:val="TableParagraph"/>
              <w:ind w:left="666"/>
              <w:rPr>
                <w:sz w:val="22"/>
              </w:rPr>
            </w:pPr>
            <w:r>
              <w:rPr>
                <w:w w:val="100"/>
                <w:sz w:val="22"/>
              </w:rPr>
              <w:t>X</w:t>
            </w:r>
          </w:p>
        </w:tc>
        <w:tc>
          <w:tcPr>
            <w:tcW w:w="1670" w:type="dxa"/>
          </w:tcPr>
          <w:p>
            <w:pPr>
              <w:pStyle w:val="TableParagraph"/>
              <w:rPr>
                <w:sz w:val="20"/>
              </w:rPr>
            </w:pPr>
          </w:p>
        </w:tc>
        <w:tc>
          <w:tcPr>
            <w:tcW w:w="1348" w:type="dxa"/>
          </w:tcPr>
          <w:p>
            <w:pPr>
              <w:pStyle w:val="TableParagraph"/>
              <w:spacing w:before="9"/>
              <w:rPr>
                <w:sz w:val="32"/>
              </w:rPr>
            </w:pPr>
          </w:p>
          <w:p>
            <w:pPr>
              <w:pStyle w:val="TableParagraph"/>
              <w:ind w:left="6"/>
              <w:jc w:val="center"/>
              <w:rPr>
                <w:sz w:val="22"/>
              </w:rPr>
            </w:pPr>
            <w:r>
              <w:rPr>
                <w:w w:val="100"/>
                <w:sz w:val="22"/>
              </w:rPr>
              <w:t>X</w:t>
            </w:r>
          </w:p>
        </w:tc>
        <w:tc>
          <w:tcPr>
            <w:tcW w:w="3899" w:type="dxa"/>
          </w:tcPr>
          <w:p>
            <w:pPr>
              <w:pStyle w:val="TableParagraph"/>
              <w:ind w:left="192" w:right="177" w:firstLine="2"/>
              <w:jc w:val="center"/>
              <w:rPr>
                <w:sz w:val="22"/>
              </w:rPr>
            </w:pPr>
            <w:r>
              <w:rPr>
                <w:sz w:val="22"/>
              </w:rPr>
              <w:t>All expenditures for Homeless individuals</w:t>
            </w:r>
            <w:r>
              <w:rPr>
                <w:spacing w:val="-7"/>
                <w:sz w:val="22"/>
              </w:rPr>
              <w:t> </w:t>
            </w:r>
            <w:r>
              <w:rPr>
                <w:sz w:val="22"/>
              </w:rPr>
              <w:t>who</w:t>
            </w:r>
            <w:r>
              <w:rPr>
                <w:spacing w:val="-7"/>
                <w:sz w:val="22"/>
              </w:rPr>
              <w:t> </w:t>
            </w:r>
            <w:r>
              <w:rPr>
                <w:sz w:val="22"/>
              </w:rPr>
              <w:t>are</w:t>
            </w:r>
            <w:r>
              <w:rPr>
                <w:spacing w:val="-7"/>
                <w:sz w:val="22"/>
              </w:rPr>
              <w:t> </w:t>
            </w:r>
            <w:r>
              <w:rPr>
                <w:sz w:val="22"/>
              </w:rPr>
              <w:t>defined</w:t>
            </w:r>
            <w:r>
              <w:rPr>
                <w:spacing w:val="-9"/>
                <w:sz w:val="22"/>
              </w:rPr>
              <w:t> </w:t>
            </w:r>
            <w:r>
              <w:rPr>
                <w:sz w:val="22"/>
              </w:rPr>
              <w:t>as</w:t>
            </w:r>
            <w:r>
              <w:rPr>
                <w:spacing w:val="-7"/>
                <w:sz w:val="22"/>
              </w:rPr>
              <w:t> </w:t>
            </w:r>
            <w:r>
              <w:rPr>
                <w:sz w:val="22"/>
              </w:rPr>
              <w:t>1902(r)2</w:t>
            </w:r>
          </w:p>
          <w:p>
            <w:pPr>
              <w:pStyle w:val="TableParagraph"/>
              <w:spacing w:line="252" w:lineRule="exact"/>
              <w:ind w:left="364" w:right="349"/>
              <w:jc w:val="center"/>
              <w:rPr>
                <w:sz w:val="22"/>
              </w:rPr>
            </w:pPr>
            <w:r>
              <w:rPr>
                <w:sz w:val="22"/>
              </w:rPr>
              <w:t>Children</w:t>
            </w:r>
            <w:r>
              <w:rPr>
                <w:spacing w:val="-11"/>
                <w:sz w:val="22"/>
              </w:rPr>
              <w:t> </w:t>
            </w:r>
            <w:r>
              <w:rPr>
                <w:sz w:val="22"/>
              </w:rPr>
              <w:t>during</w:t>
            </w:r>
            <w:r>
              <w:rPr>
                <w:spacing w:val="-14"/>
                <w:sz w:val="22"/>
              </w:rPr>
              <w:t> </w:t>
            </w:r>
            <w:r>
              <w:rPr>
                <w:sz w:val="22"/>
              </w:rPr>
              <w:t>the</w:t>
            </w:r>
            <w:r>
              <w:rPr>
                <w:spacing w:val="-11"/>
                <w:sz w:val="22"/>
              </w:rPr>
              <w:t> </w:t>
            </w:r>
            <w:r>
              <w:rPr>
                <w:sz w:val="22"/>
              </w:rPr>
              <w:t>Continuous Eligibility period.</w:t>
            </w:r>
          </w:p>
        </w:tc>
      </w:tr>
      <w:tr>
        <w:trPr>
          <w:trHeight w:val="1012" w:hRule="atLeast"/>
        </w:trPr>
        <w:tc>
          <w:tcPr>
            <w:tcW w:w="2237" w:type="dxa"/>
          </w:tcPr>
          <w:p>
            <w:pPr>
              <w:pStyle w:val="TableParagraph"/>
              <w:spacing w:before="8"/>
              <w:rPr>
                <w:sz w:val="21"/>
              </w:rPr>
            </w:pPr>
          </w:p>
          <w:p>
            <w:pPr>
              <w:pStyle w:val="TableParagraph"/>
              <w:spacing w:before="1"/>
              <w:ind w:left="314" w:firstLine="170"/>
              <w:rPr>
                <w:sz w:val="22"/>
              </w:rPr>
            </w:pPr>
            <w:r>
              <w:rPr>
                <w:sz w:val="22"/>
              </w:rPr>
              <w:t>CE Homeless/ 1902(r)2</w:t>
            </w:r>
            <w:r>
              <w:rPr>
                <w:spacing w:val="-14"/>
                <w:sz w:val="22"/>
              </w:rPr>
              <w:t> </w:t>
            </w:r>
            <w:r>
              <w:rPr>
                <w:sz w:val="22"/>
              </w:rPr>
              <w:t>Disabled</w:t>
            </w:r>
          </w:p>
        </w:tc>
        <w:tc>
          <w:tcPr>
            <w:tcW w:w="2244" w:type="dxa"/>
          </w:tcPr>
          <w:p>
            <w:pPr>
              <w:pStyle w:val="TableParagraph"/>
              <w:spacing w:before="9"/>
              <w:rPr>
                <w:sz w:val="32"/>
              </w:rPr>
            </w:pPr>
          </w:p>
          <w:p>
            <w:pPr>
              <w:pStyle w:val="TableParagraph"/>
              <w:ind w:left="473" w:right="467"/>
              <w:jc w:val="center"/>
              <w:rPr>
                <w:sz w:val="22"/>
              </w:rPr>
            </w:pPr>
            <w:r>
              <w:rPr>
                <w:sz w:val="22"/>
              </w:rPr>
              <w:t>Hypo</w:t>
            </w:r>
            <w:r>
              <w:rPr>
                <w:spacing w:val="-5"/>
                <w:sz w:val="22"/>
              </w:rPr>
              <w:t> </w:t>
            </w:r>
            <w:r>
              <w:rPr>
                <w:spacing w:val="-10"/>
                <w:sz w:val="22"/>
              </w:rPr>
              <w:t>7</w:t>
            </w:r>
          </w:p>
        </w:tc>
        <w:tc>
          <w:tcPr>
            <w:tcW w:w="1495" w:type="dxa"/>
          </w:tcPr>
          <w:p>
            <w:pPr>
              <w:pStyle w:val="TableParagraph"/>
              <w:spacing w:before="9"/>
              <w:rPr>
                <w:sz w:val="32"/>
              </w:rPr>
            </w:pPr>
          </w:p>
          <w:p>
            <w:pPr>
              <w:pStyle w:val="TableParagraph"/>
              <w:ind w:left="666"/>
              <w:rPr>
                <w:sz w:val="22"/>
              </w:rPr>
            </w:pPr>
            <w:r>
              <w:rPr>
                <w:w w:val="100"/>
                <w:sz w:val="22"/>
              </w:rPr>
              <w:t>X</w:t>
            </w:r>
          </w:p>
        </w:tc>
        <w:tc>
          <w:tcPr>
            <w:tcW w:w="1670" w:type="dxa"/>
          </w:tcPr>
          <w:p>
            <w:pPr>
              <w:pStyle w:val="TableParagraph"/>
              <w:rPr>
                <w:sz w:val="20"/>
              </w:rPr>
            </w:pPr>
          </w:p>
        </w:tc>
        <w:tc>
          <w:tcPr>
            <w:tcW w:w="1348" w:type="dxa"/>
          </w:tcPr>
          <w:p>
            <w:pPr>
              <w:pStyle w:val="TableParagraph"/>
              <w:spacing w:before="9"/>
              <w:rPr>
                <w:sz w:val="32"/>
              </w:rPr>
            </w:pPr>
          </w:p>
          <w:p>
            <w:pPr>
              <w:pStyle w:val="TableParagraph"/>
              <w:ind w:left="7"/>
              <w:jc w:val="center"/>
              <w:rPr>
                <w:sz w:val="22"/>
              </w:rPr>
            </w:pPr>
            <w:r>
              <w:rPr>
                <w:w w:val="100"/>
                <w:sz w:val="22"/>
              </w:rPr>
              <w:t>X</w:t>
            </w:r>
          </w:p>
        </w:tc>
        <w:tc>
          <w:tcPr>
            <w:tcW w:w="3899" w:type="dxa"/>
          </w:tcPr>
          <w:p>
            <w:pPr>
              <w:pStyle w:val="TableParagraph"/>
              <w:ind w:left="193" w:right="177" w:firstLine="2"/>
              <w:jc w:val="center"/>
              <w:rPr>
                <w:sz w:val="22"/>
              </w:rPr>
            </w:pPr>
            <w:r>
              <w:rPr>
                <w:sz w:val="22"/>
              </w:rPr>
              <w:t>All expenditures for Homeless individuals</w:t>
            </w:r>
            <w:r>
              <w:rPr>
                <w:spacing w:val="-7"/>
                <w:sz w:val="22"/>
              </w:rPr>
              <w:t> </w:t>
            </w:r>
            <w:r>
              <w:rPr>
                <w:sz w:val="22"/>
              </w:rPr>
              <w:t>who</w:t>
            </w:r>
            <w:r>
              <w:rPr>
                <w:spacing w:val="-7"/>
                <w:sz w:val="22"/>
              </w:rPr>
              <w:t> </w:t>
            </w:r>
            <w:r>
              <w:rPr>
                <w:sz w:val="22"/>
              </w:rPr>
              <w:t>are</w:t>
            </w:r>
            <w:r>
              <w:rPr>
                <w:spacing w:val="-7"/>
                <w:sz w:val="22"/>
              </w:rPr>
              <w:t> </w:t>
            </w:r>
            <w:r>
              <w:rPr>
                <w:sz w:val="22"/>
              </w:rPr>
              <w:t>defined</w:t>
            </w:r>
            <w:r>
              <w:rPr>
                <w:spacing w:val="-9"/>
                <w:sz w:val="22"/>
              </w:rPr>
              <w:t> </w:t>
            </w:r>
            <w:r>
              <w:rPr>
                <w:sz w:val="22"/>
              </w:rPr>
              <w:t>as</w:t>
            </w:r>
            <w:r>
              <w:rPr>
                <w:spacing w:val="-7"/>
                <w:sz w:val="22"/>
              </w:rPr>
              <w:t> </w:t>
            </w:r>
            <w:r>
              <w:rPr>
                <w:sz w:val="22"/>
              </w:rPr>
              <w:t>1902(r)2 Disabled during the Continuous</w:t>
            </w:r>
          </w:p>
          <w:p>
            <w:pPr>
              <w:pStyle w:val="TableParagraph"/>
              <w:spacing w:line="235" w:lineRule="exact"/>
              <w:ind w:left="130" w:right="112"/>
              <w:jc w:val="center"/>
              <w:rPr>
                <w:sz w:val="22"/>
              </w:rPr>
            </w:pPr>
            <w:r>
              <w:rPr>
                <w:sz w:val="22"/>
              </w:rPr>
              <w:t>Eligibility</w:t>
            </w:r>
            <w:r>
              <w:rPr>
                <w:spacing w:val="-6"/>
                <w:sz w:val="22"/>
              </w:rPr>
              <w:t> </w:t>
            </w:r>
            <w:r>
              <w:rPr>
                <w:spacing w:val="-2"/>
                <w:sz w:val="22"/>
              </w:rPr>
              <w:t>period.</w:t>
            </w:r>
          </w:p>
        </w:tc>
      </w:tr>
      <w:tr>
        <w:trPr>
          <w:trHeight w:val="1010" w:hRule="atLeast"/>
        </w:trPr>
        <w:tc>
          <w:tcPr>
            <w:tcW w:w="2237" w:type="dxa"/>
          </w:tcPr>
          <w:p>
            <w:pPr>
              <w:pStyle w:val="TableParagraph"/>
              <w:spacing w:before="8"/>
              <w:rPr>
                <w:sz w:val="21"/>
              </w:rPr>
            </w:pPr>
          </w:p>
          <w:p>
            <w:pPr>
              <w:pStyle w:val="TableParagraph"/>
              <w:spacing w:before="1"/>
              <w:ind w:left="345" w:right="329" w:firstLine="139"/>
              <w:rPr>
                <w:sz w:val="22"/>
              </w:rPr>
            </w:pPr>
            <w:r>
              <w:rPr>
                <w:sz w:val="22"/>
              </w:rPr>
              <w:t>CE Homeless/ 1902(r)2</w:t>
            </w:r>
            <w:r>
              <w:rPr>
                <w:spacing w:val="-14"/>
                <w:sz w:val="22"/>
              </w:rPr>
              <w:t> </w:t>
            </w:r>
            <w:r>
              <w:rPr>
                <w:sz w:val="22"/>
              </w:rPr>
              <w:t>BCCDP</w:t>
            </w:r>
          </w:p>
        </w:tc>
        <w:tc>
          <w:tcPr>
            <w:tcW w:w="2244" w:type="dxa"/>
          </w:tcPr>
          <w:p>
            <w:pPr>
              <w:pStyle w:val="TableParagraph"/>
              <w:spacing w:before="9"/>
              <w:rPr>
                <w:sz w:val="32"/>
              </w:rPr>
            </w:pPr>
          </w:p>
          <w:p>
            <w:pPr>
              <w:pStyle w:val="TableParagraph"/>
              <w:ind w:left="473" w:right="467"/>
              <w:jc w:val="center"/>
              <w:rPr>
                <w:sz w:val="22"/>
              </w:rPr>
            </w:pPr>
            <w:r>
              <w:rPr>
                <w:sz w:val="22"/>
              </w:rPr>
              <w:t>Hypo</w:t>
            </w:r>
            <w:r>
              <w:rPr>
                <w:spacing w:val="-5"/>
                <w:sz w:val="22"/>
              </w:rPr>
              <w:t> </w:t>
            </w:r>
            <w:r>
              <w:rPr>
                <w:spacing w:val="-10"/>
                <w:sz w:val="22"/>
              </w:rPr>
              <w:t>7</w:t>
            </w:r>
          </w:p>
        </w:tc>
        <w:tc>
          <w:tcPr>
            <w:tcW w:w="1495" w:type="dxa"/>
          </w:tcPr>
          <w:p>
            <w:pPr>
              <w:pStyle w:val="TableParagraph"/>
              <w:spacing w:before="9"/>
              <w:rPr>
                <w:sz w:val="32"/>
              </w:rPr>
            </w:pPr>
          </w:p>
          <w:p>
            <w:pPr>
              <w:pStyle w:val="TableParagraph"/>
              <w:ind w:left="666"/>
              <w:rPr>
                <w:sz w:val="22"/>
              </w:rPr>
            </w:pPr>
            <w:r>
              <w:rPr>
                <w:w w:val="100"/>
                <w:sz w:val="22"/>
              </w:rPr>
              <w:t>X</w:t>
            </w:r>
          </w:p>
        </w:tc>
        <w:tc>
          <w:tcPr>
            <w:tcW w:w="1670" w:type="dxa"/>
          </w:tcPr>
          <w:p>
            <w:pPr>
              <w:pStyle w:val="TableParagraph"/>
              <w:rPr>
                <w:sz w:val="20"/>
              </w:rPr>
            </w:pPr>
          </w:p>
        </w:tc>
        <w:tc>
          <w:tcPr>
            <w:tcW w:w="1348" w:type="dxa"/>
          </w:tcPr>
          <w:p>
            <w:pPr>
              <w:pStyle w:val="TableParagraph"/>
              <w:spacing w:before="9"/>
              <w:rPr>
                <w:sz w:val="32"/>
              </w:rPr>
            </w:pPr>
          </w:p>
          <w:p>
            <w:pPr>
              <w:pStyle w:val="TableParagraph"/>
              <w:ind w:left="7"/>
              <w:jc w:val="center"/>
              <w:rPr>
                <w:sz w:val="22"/>
              </w:rPr>
            </w:pPr>
            <w:r>
              <w:rPr>
                <w:w w:val="100"/>
                <w:sz w:val="22"/>
              </w:rPr>
              <w:t>X</w:t>
            </w:r>
          </w:p>
        </w:tc>
        <w:tc>
          <w:tcPr>
            <w:tcW w:w="3899" w:type="dxa"/>
          </w:tcPr>
          <w:p>
            <w:pPr>
              <w:pStyle w:val="TableParagraph"/>
              <w:ind w:left="193" w:right="177" w:firstLine="2"/>
              <w:jc w:val="center"/>
              <w:rPr>
                <w:sz w:val="22"/>
              </w:rPr>
            </w:pPr>
            <w:r>
              <w:rPr>
                <w:sz w:val="22"/>
              </w:rPr>
              <w:t>All expenditures for Homeless individuals</w:t>
            </w:r>
            <w:r>
              <w:rPr>
                <w:spacing w:val="-7"/>
                <w:sz w:val="22"/>
              </w:rPr>
              <w:t> </w:t>
            </w:r>
            <w:r>
              <w:rPr>
                <w:sz w:val="22"/>
              </w:rPr>
              <w:t>who</w:t>
            </w:r>
            <w:r>
              <w:rPr>
                <w:spacing w:val="-7"/>
                <w:sz w:val="22"/>
              </w:rPr>
              <w:t> </w:t>
            </w:r>
            <w:r>
              <w:rPr>
                <w:sz w:val="22"/>
              </w:rPr>
              <w:t>are</w:t>
            </w:r>
            <w:r>
              <w:rPr>
                <w:spacing w:val="-7"/>
                <w:sz w:val="22"/>
              </w:rPr>
              <w:t> </w:t>
            </w:r>
            <w:r>
              <w:rPr>
                <w:sz w:val="22"/>
              </w:rPr>
              <w:t>defined</w:t>
            </w:r>
            <w:r>
              <w:rPr>
                <w:spacing w:val="-9"/>
                <w:sz w:val="22"/>
              </w:rPr>
              <w:t> </w:t>
            </w:r>
            <w:r>
              <w:rPr>
                <w:sz w:val="22"/>
              </w:rPr>
              <w:t>as</w:t>
            </w:r>
            <w:r>
              <w:rPr>
                <w:spacing w:val="-7"/>
                <w:sz w:val="22"/>
              </w:rPr>
              <w:t> </w:t>
            </w:r>
            <w:r>
              <w:rPr>
                <w:sz w:val="22"/>
              </w:rPr>
              <w:t>1902(r)2 BCCDP during the Continuous</w:t>
            </w:r>
          </w:p>
          <w:p>
            <w:pPr>
              <w:pStyle w:val="TableParagraph"/>
              <w:spacing w:line="233" w:lineRule="exact"/>
              <w:ind w:left="130" w:right="112"/>
              <w:jc w:val="center"/>
              <w:rPr>
                <w:sz w:val="22"/>
              </w:rPr>
            </w:pPr>
            <w:r>
              <w:rPr>
                <w:sz w:val="22"/>
              </w:rPr>
              <w:t>Eligibility</w:t>
            </w:r>
            <w:r>
              <w:rPr>
                <w:spacing w:val="-6"/>
                <w:sz w:val="22"/>
              </w:rPr>
              <w:t> </w:t>
            </w:r>
            <w:r>
              <w:rPr>
                <w:spacing w:val="-2"/>
                <w:sz w:val="22"/>
              </w:rPr>
              <w:t>period.</w:t>
            </w:r>
          </w:p>
        </w:tc>
      </w:tr>
      <w:tr>
        <w:trPr>
          <w:trHeight w:val="1266" w:hRule="atLeast"/>
        </w:trPr>
        <w:tc>
          <w:tcPr>
            <w:tcW w:w="2237" w:type="dxa"/>
          </w:tcPr>
          <w:p>
            <w:pPr>
              <w:pStyle w:val="TableParagraph"/>
              <w:rPr>
                <w:sz w:val="24"/>
              </w:rPr>
            </w:pPr>
          </w:p>
          <w:p>
            <w:pPr>
              <w:pStyle w:val="TableParagraph"/>
              <w:spacing w:before="10"/>
              <w:rPr>
                <w:sz w:val="19"/>
              </w:rPr>
            </w:pPr>
          </w:p>
          <w:p>
            <w:pPr>
              <w:pStyle w:val="TableParagraph"/>
              <w:ind w:left="108" w:right="101"/>
              <w:jc w:val="center"/>
              <w:rPr>
                <w:sz w:val="22"/>
              </w:rPr>
            </w:pPr>
            <w:r>
              <w:rPr>
                <w:spacing w:val="-5"/>
                <w:sz w:val="22"/>
              </w:rPr>
              <w:t>ADM</w:t>
            </w:r>
          </w:p>
        </w:tc>
        <w:tc>
          <w:tcPr>
            <w:tcW w:w="2244" w:type="dxa"/>
          </w:tcPr>
          <w:p>
            <w:pPr>
              <w:pStyle w:val="TableParagraph"/>
              <w:rPr>
                <w:sz w:val="24"/>
              </w:rPr>
            </w:pPr>
          </w:p>
          <w:p>
            <w:pPr>
              <w:pStyle w:val="TableParagraph"/>
              <w:spacing w:before="10"/>
              <w:rPr>
                <w:sz w:val="19"/>
              </w:rPr>
            </w:pPr>
          </w:p>
          <w:p>
            <w:pPr>
              <w:pStyle w:val="TableParagraph"/>
              <w:ind w:left="474" w:right="467"/>
              <w:jc w:val="center"/>
              <w:rPr>
                <w:sz w:val="22"/>
              </w:rPr>
            </w:pPr>
            <w:r>
              <w:rPr>
                <w:spacing w:val="-5"/>
                <w:sz w:val="22"/>
              </w:rPr>
              <w:t>N/A</w:t>
            </w:r>
          </w:p>
        </w:tc>
        <w:tc>
          <w:tcPr>
            <w:tcW w:w="1495" w:type="dxa"/>
          </w:tcPr>
          <w:p>
            <w:pPr>
              <w:pStyle w:val="TableParagraph"/>
              <w:rPr>
                <w:sz w:val="20"/>
              </w:rPr>
            </w:pPr>
          </w:p>
        </w:tc>
        <w:tc>
          <w:tcPr>
            <w:tcW w:w="1670" w:type="dxa"/>
          </w:tcPr>
          <w:p>
            <w:pPr>
              <w:pStyle w:val="TableParagraph"/>
              <w:rPr>
                <w:sz w:val="20"/>
              </w:rPr>
            </w:pPr>
          </w:p>
        </w:tc>
        <w:tc>
          <w:tcPr>
            <w:tcW w:w="1348" w:type="dxa"/>
          </w:tcPr>
          <w:p>
            <w:pPr>
              <w:pStyle w:val="TableParagraph"/>
              <w:rPr>
                <w:sz w:val="20"/>
              </w:rPr>
            </w:pPr>
          </w:p>
        </w:tc>
        <w:tc>
          <w:tcPr>
            <w:tcW w:w="3899" w:type="dxa"/>
          </w:tcPr>
          <w:p>
            <w:pPr>
              <w:pStyle w:val="TableParagraph"/>
              <w:spacing w:before="1"/>
              <w:ind w:left="214" w:right="199" w:hanging="1"/>
              <w:jc w:val="center"/>
              <w:rPr>
                <w:sz w:val="22"/>
              </w:rPr>
            </w:pPr>
            <w:r>
              <w:rPr>
                <w:sz w:val="22"/>
              </w:rPr>
              <w:t>All additional administrative costs that are directly attributable to the demonstration and are not described elsewhere</w:t>
            </w:r>
            <w:r>
              <w:rPr>
                <w:spacing w:val="-5"/>
                <w:sz w:val="22"/>
              </w:rPr>
              <w:t> </w:t>
            </w:r>
            <w:r>
              <w:rPr>
                <w:sz w:val="22"/>
              </w:rPr>
              <w:t>and</w:t>
            </w:r>
            <w:r>
              <w:rPr>
                <w:spacing w:val="-8"/>
                <w:sz w:val="22"/>
              </w:rPr>
              <w:t> </w:t>
            </w:r>
            <w:r>
              <w:rPr>
                <w:sz w:val="22"/>
              </w:rPr>
              <w:t>are</w:t>
            </w:r>
            <w:r>
              <w:rPr>
                <w:spacing w:val="-7"/>
                <w:sz w:val="22"/>
              </w:rPr>
              <w:t> </w:t>
            </w:r>
            <w:r>
              <w:rPr>
                <w:sz w:val="22"/>
              </w:rPr>
              <w:t>not</w:t>
            </w:r>
            <w:r>
              <w:rPr>
                <w:spacing w:val="-7"/>
                <w:sz w:val="22"/>
              </w:rPr>
              <w:t> </w:t>
            </w:r>
            <w:r>
              <w:rPr>
                <w:sz w:val="22"/>
              </w:rPr>
              <w:t>subject</w:t>
            </w:r>
            <w:r>
              <w:rPr>
                <w:spacing w:val="-4"/>
                <w:sz w:val="22"/>
              </w:rPr>
              <w:t> </w:t>
            </w:r>
            <w:r>
              <w:rPr>
                <w:sz w:val="22"/>
              </w:rPr>
              <w:t>to</w:t>
            </w:r>
            <w:r>
              <w:rPr>
                <w:spacing w:val="-5"/>
                <w:sz w:val="22"/>
              </w:rPr>
              <w:t> </w:t>
            </w:r>
            <w:r>
              <w:rPr>
                <w:sz w:val="22"/>
              </w:rPr>
              <w:t>budget</w:t>
            </w:r>
          </w:p>
          <w:p>
            <w:pPr>
              <w:pStyle w:val="TableParagraph"/>
              <w:spacing w:line="234" w:lineRule="exact"/>
              <w:ind w:left="128" w:right="113"/>
              <w:jc w:val="center"/>
              <w:rPr>
                <w:sz w:val="22"/>
              </w:rPr>
            </w:pPr>
            <w:r>
              <w:rPr>
                <w:spacing w:val="-2"/>
                <w:sz w:val="22"/>
              </w:rPr>
              <w:t>neutrality.</w:t>
            </w:r>
          </w:p>
        </w:tc>
      </w:tr>
    </w:tbl>
    <w:p>
      <w:pPr>
        <w:spacing w:before="4"/>
        <w:ind w:left="100" w:right="0" w:firstLine="0"/>
        <w:jc w:val="left"/>
        <w:rPr>
          <w:sz w:val="20"/>
        </w:rPr>
      </w:pPr>
      <w:r>
        <w:rPr>
          <w:sz w:val="20"/>
        </w:rPr>
        <w:t>BN</w:t>
      </w:r>
      <w:r>
        <w:rPr>
          <w:spacing w:val="-7"/>
          <w:sz w:val="20"/>
        </w:rPr>
        <w:t> </w:t>
      </w:r>
      <w:r>
        <w:rPr>
          <w:sz w:val="20"/>
        </w:rPr>
        <w:t>–</w:t>
      </w:r>
      <w:r>
        <w:rPr>
          <w:spacing w:val="-5"/>
          <w:sz w:val="20"/>
        </w:rPr>
        <w:t> </w:t>
      </w:r>
      <w:r>
        <w:rPr>
          <w:sz w:val="20"/>
        </w:rPr>
        <w:t>budget</w:t>
      </w:r>
      <w:r>
        <w:rPr>
          <w:spacing w:val="-6"/>
          <w:sz w:val="20"/>
        </w:rPr>
        <w:t> </w:t>
      </w:r>
      <w:r>
        <w:rPr>
          <w:sz w:val="20"/>
        </w:rPr>
        <w:t>neutrality;</w:t>
      </w:r>
      <w:r>
        <w:rPr>
          <w:spacing w:val="-6"/>
          <w:sz w:val="20"/>
        </w:rPr>
        <w:t> </w:t>
      </w:r>
      <w:r>
        <w:rPr>
          <w:sz w:val="20"/>
        </w:rPr>
        <w:t>MEG</w:t>
      </w:r>
      <w:r>
        <w:rPr>
          <w:spacing w:val="-4"/>
          <w:sz w:val="20"/>
        </w:rPr>
        <w:t> </w:t>
      </w:r>
      <w:r>
        <w:rPr>
          <w:sz w:val="20"/>
        </w:rPr>
        <w:t>–</w:t>
      </w:r>
      <w:r>
        <w:rPr>
          <w:spacing w:val="-5"/>
          <w:sz w:val="20"/>
        </w:rPr>
        <w:t> </w:t>
      </w:r>
      <w:r>
        <w:rPr>
          <w:sz w:val="20"/>
        </w:rPr>
        <w:t>Medicaid</w:t>
      </w:r>
      <w:r>
        <w:rPr>
          <w:spacing w:val="-6"/>
          <w:sz w:val="20"/>
        </w:rPr>
        <w:t> </w:t>
      </w:r>
      <w:r>
        <w:rPr>
          <w:sz w:val="20"/>
        </w:rPr>
        <w:t>expenditure</w:t>
      </w:r>
      <w:r>
        <w:rPr>
          <w:spacing w:val="-6"/>
          <w:sz w:val="20"/>
        </w:rPr>
        <w:t> </w:t>
      </w:r>
      <w:r>
        <w:rPr>
          <w:sz w:val="20"/>
        </w:rPr>
        <w:t>group;</w:t>
      </w:r>
      <w:r>
        <w:rPr>
          <w:spacing w:val="-6"/>
          <w:sz w:val="20"/>
        </w:rPr>
        <w:t> </w:t>
      </w:r>
      <w:r>
        <w:rPr>
          <w:sz w:val="20"/>
        </w:rPr>
        <w:t>WOW</w:t>
      </w:r>
      <w:r>
        <w:rPr>
          <w:spacing w:val="-5"/>
          <w:sz w:val="20"/>
        </w:rPr>
        <w:t> </w:t>
      </w:r>
      <w:r>
        <w:rPr>
          <w:sz w:val="20"/>
        </w:rPr>
        <w:t>–</w:t>
      </w:r>
      <w:r>
        <w:rPr>
          <w:spacing w:val="-5"/>
          <w:sz w:val="20"/>
        </w:rPr>
        <w:t> </w:t>
      </w:r>
      <w:r>
        <w:rPr>
          <w:sz w:val="20"/>
        </w:rPr>
        <w:t>without</w:t>
      </w:r>
      <w:r>
        <w:rPr>
          <w:spacing w:val="-2"/>
          <w:sz w:val="20"/>
        </w:rPr>
        <w:t> </w:t>
      </w:r>
      <w:r>
        <w:rPr>
          <w:sz w:val="20"/>
        </w:rPr>
        <w:t>waiver;</w:t>
      </w:r>
      <w:r>
        <w:rPr>
          <w:spacing w:val="-6"/>
          <w:sz w:val="20"/>
        </w:rPr>
        <w:t> </w:t>
      </w:r>
      <w:r>
        <w:rPr>
          <w:sz w:val="20"/>
        </w:rPr>
        <w:t>WW</w:t>
      </w:r>
      <w:r>
        <w:rPr>
          <w:spacing w:val="-5"/>
          <w:sz w:val="20"/>
        </w:rPr>
        <w:t> </w:t>
      </w:r>
      <w:r>
        <w:rPr>
          <w:sz w:val="20"/>
        </w:rPr>
        <w:t>–</w:t>
      </w:r>
      <w:r>
        <w:rPr>
          <w:spacing w:val="-5"/>
          <w:sz w:val="20"/>
        </w:rPr>
        <w:t> </w:t>
      </w:r>
      <w:r>
        <w:rPr>
          <w:sz w:val="20"/>
        </w:rPr>
        <w:t>with</w:t>
      </w:r>
      <w:r>
        <w:rPr>
          <w:spacing w:val="-5"/>
          <w:sz w:val="20"/>
        </w:rPr>
        <w:t> </w:t>
      </w:r>
      <w:r>
        <w:rPr>
          <w:spacing w:val="-2"/>
          <w:sz w:val="20"/>
        </w:rPr>
        <w:t>waiver</w:t>
      </w:r>
    </w:p>
    <w:p>
      <w:pPr>
        <w:spacing w:after="0"/>
        <w:jc w:val="left"/>
        <w:rPr>
          <w:sz w:val="20"/>
        </w:rPr>
        <w:sectPr>
          <w:pgSz w:w="15840" w:h="12240" w:orient="landscape"/>
          <w:pgMar w:header="0" w:footer="1201" w:top="1380" w:bottom="1400" w:left="1340" w:right="1380"/>
        </w:sectPr>
      </w:pPr>
    </w:p>
    <w:p>
      <w:pPr>
        <w:pStyle w:val="BodyText"/>
        <w:spacing w:before="79"/>
        <w:ind w:left="871" w:right="127"/>
      </w:pPr>
      <w:r>
        <w:rPr/>
        <w:drawing>
          <wp:anchor distT="0" distB="0" distL="0" distR="0" allowOverlap="1" layoutInCell="1" locked="0" behindDoc="0" simplePos="0" relativeHeight="16090624">
            <wp:simplePos x="0" y="0"/>
            <wp:positionH relativeFrom="page">
              <wp:posOffset>832103</wp:posOffset>
            </wp:positionH>
            <wp:positionV relativeFrom="paragraph">
              <wp:posOffset>85765</wp:posOffset>
            </wp:positionV>
            <wp:extent cx="359663" cy="112775"/>
            <wp:effectExtent l="0" t="0" r="0" b="0"/>
            <wp:wrapNone/>
            <wp:docPr id="723" name="Image 723"/>
            <wp:cNvGraphicFramePr>
              <a:graphicFrameLocks/>
            </wp:cNvGraphicFramePr>
            <a:graphic>
              <a:graphicData uri="http://schemas.openxmlformats.org/drawingml/2006/picture">
                <pic:pic>
                  <pic:nvPicPr>
                    <pic:cNvPr id="723" name="Image 723"/>
                    <pic:cNvPicPr/>
                  </pic:nvPicPr>
                  <pic:blipFill>
                    <a:blip r:embed="rId282" cstate="print"/>
                    <a:stretch>
                      <a:fillRect/>
                    </a:stretch>
                  </pic:blipFill>
                  <pic:spPr>
                    <a:xfrm>
                      <a:off x="0" y="0"/>
                      <a:ext cx="359663" cy="112775"/>
                    </a:xfrm>
                    <a:prstGeom prst="rect">
                      <a:avLst/>
                    </a:prstGeom>
                  </pic:spPr>
                </pic:pic>
              </a:graphicData>
            </a:graphic>
          </wp:anchor>
        </w:drawing>
      </w:r>
      <w:bookmarkStart w:name="18.11. Reporting Expenditures and Member" w:id="1033"/>
      <w:bookmarkEnd w:id="1033"/>
      <w:r>
        <w:rPr/>
      </w:r>
      <w:r>
        <w:rPr>
          <w:b/>
        </w:rPr>
        <w:t>Reporting Expenditures and Member Months. </w:t>
      </w:r>
      <w:r>
        <w:rPr/>
        <w:t>The Commonwealth must report all demonstration</w:t>
      </w:r>
      <w:r>
        <w:rPr>
          <w:spacing w:val="-3"/>
        </w:rPr>
        <w:t> </w:t>
      </w:r>
      <w:r>
        <w:rPr/>
        <w:t>expenditures</w:t>
      </w:r>
      <w:r>
        <w:rPr>
          <w:spacing w:val="-3"/>
        </w:rPr>
        <w:t> </w:t>
      </w:r>
      <w:r>
        <w:rPr/>
        <w:t>claimed</w:t>
      </w:r>
      <w:r>
        <w:rPr>
          <w:spacing w:val="-3"/>
        </w:rPr>
        <w:t> </w:t>
      </w:r>
      <w:r>
        <w:rPr/>
        <w:t>under</w:t>
      </w:r>
      <w:r>
        <w:rPr>
          <w:spacing w:val="-4"/>
        </w:rPr>
        <w:t> </w:t>
      </w:r>
      <w:r>
        <w:rPr/>
        <w:t>the</w:t>
      </w:r>
      <w:r>
        <w:rPr>
          <w:spacing w:val="-4"/>
        </w:rPr>
        <w:t> </w:t>
      </w:r>
      <w:r>
        <w:rPr/>
        <w:t>authority</w:t>
      </w:r>
      <w:r>
        <w:rPr>
          <w:spacing w:val="-8"/>
        </w:rPr>
        <w:t> </w:t>
      </w:r>
      <w:r>
        <w:rPr/>
        <w:t>of</w:t>
      </w:r>
      <w:r>
        <w:rPr>
          <w:spacing w:val="-4"/>
        </w:rPr>
        <w:t> </w:t>
      </w:r>
      <w:r>
        <w:rPr/>
        <w:t>title</w:t>
      </w:r>
      <w:r>
        <w:rPr>
          <w:spacing w:val="-4"/>
        </w:rPr>
        <w:t> </w:t>
      </w:r>
      <w:r>
        <w:rPr/>
        <w:t>XIX</w:t>
      </w:r>
      <w:r>
        <w:rPr>
          <w:spacing w:val="-4"/>
        </w:rPr>
        <w:t> </w:t>
      </w:r>
      <w:r>
        <w:rPr/>
        <w:t>of</w:t>
      </w:r>
      <w:r>
        <w:rPr>
          <w:spacing w:val="-4"/>
        </w:rPr>
        <w:t> </w:t>
      </w:r>
      <w:r>
        <w:rPr/>
        <w:t>the</w:t>
      </w:r>
      <w:r>
        <w:rPr>
          <w:spacing w:val="-2"/>
        </w:rPr>
        <w:t> </w:t>
      </w:r>
      <w:r>
        <w:rPr/>
        <w:t>Act</w:t>
      </w:r>
      <w:r>
        <w:rPr>
          <w:spacing w:val="-3"/>
        </w:rPr>
        <w:t> </w:t>
      </w:r>
      <w:r>
        <w:rPr/>
        <w:t>and</w:t>
      </w:r>
      <w:r>
        <w:rPr>
          <w:spacing w:val="-3"/>
        </w:rPr>
        <w:t> </w:t>
      </w:r>
      <w:r>
        <w:rPr/>
        <w:t>subject to budget neutrality each quarter on separate forms CMS-64.9 WAIVER and/or 64.9P WAIVER, identified by the demonstration project number assigned by CMS (11-W- 00030/1). Separate reports must be submitted by MEG (identified by Waiver Name) and Demonstration Year (identified by the two-digit project number extension). Unless specified otherwise, expenditures must be reported by DY according to the dates of</w:t>
      </w:r>
      <w:r>
        <w:rPr>
          <w:spacing w:val="40"/>
        </w:rPr>
        <w:t> </w:t>
      </w:r>
      <w:r>
        <w:rPr/>
        <w:t>service associated with the expenditure. All MEGs identified in the Master MEG Chart as WW must be reported for expenditures, as further detailed in the MEG Detail for Expenditure and Member Month Reporting table below. To enable calculation of the budget neutrality</w:t>
      </w:r>
      <w:r>
        <w:rPr>
          <w:spacing w:val="-2"/>
        </w:rPr>
        <w:t> </w:t>
      </w:r>
      <w:r>
        <w:rPr/>
        <w:t>expenditure limits, the Commonwealth also must report member months of eligibility for specified MEGs.</w:t>
      </w:r>
    </w:p>
    <w:p>
      <w:pPr>
        <w:pStyle w:val="BodyText"/>
        <w:spacing w:before="10"/>
        <w:rPr>
          <w:sz w:val="20"/>
        </w:rPr>
      </w:pPr>
    </w:p>
    <w:p>
      <w:pPr>
        <w:pStyle w:val="BodyText"/>
        <w:ind w:left="1411" w:right="167"/>
      </w:pPr>
      <w:r>
        <w:rPr/>
        <w:drawing>
          <wp:anchor distT="0" distB="0" distL="0" distR="0" allowOverlap="1" layoutInCell="1" locked="0" behindDoc="0" simplePos="0" relativeHeight="16091136">
            <wp:simplePos x="0" y="0"/>
            <wp:positionH relativeFrom="page">
              <wp:posOffset>1431036</wp:posOffset>
            </wp:positionH>
            <wp:positionV relativeFrom="paragraph">
              <wp:posOffset>67603</wp:posOffset>
            </wp:positionV>
            <wp:extent cx="96011" cy="80771"/>
            <wp:effectExtent l="0" t="0" r="0" b="0"/>
            <wp:wrapNone/>
            <wp:docPr id="724" name="Image 724"/>
            <wp:cNvGraphicFramePr>
              <a:graphicFrameLocks/>
            </wp:cNvGraphicFramePr>
            <a:graphic>
              <a:graphicData uri="http://schemas.openxmlformats.org/drawingml/2006/picture">
                <pic:pic>
                  <pic:nvPicPr>
                    <pic:cNvPr id="724" name="Image 724"/>
                    <pic:cNvPicPr/>
                  </pic:nvPicPr>
                  <pic:blipFill>
                    <a:blip r:embed="rId40" cstate="print"/>
                    <a:stretch>
                      <a:fillRect/>
                    </a:stretch>
                  </pic:blipFill>
                  <pic:spPr>
                    <a:xfrm>
                      <a:off x="0" y="0"/>
                      <a:ext cx="96011" cy="80771"/>
                    </a:xfrm>
                    <a:prstGeom prst="rect">
                      <a:avLst/>
                    </a:prstGeom>
                  </pic:spPr>
                </pic:pic>
              </a:graphicData>
            </a:graphic>
          </wp:anchor>
        </w:drawing>
      </w:r>
      <w:bookmarkStart w:name="a. Cost Settlements. The Commonwealth wi" w:id="1034"/>
      <w:bookmarkEnd w:id="1034"/>
      <w:r>
        <w:rPr/>
      </w:r>
      <w:r>
        <w:rPr>
          <w:b/>
        </w:rPr>
        <w:t>Cost Settlements</w:t>
      </w:r>
      <w:r>
        <w:rPr/>
        <w:t>. The Commonwealth will report any cost settlements attributable to the demonstration on the appropriate prior period adjustment schedules (form CMS-64.9P WAIVER) for the summary</w:t>
      </w:r>
      <w:r>
        <w:rPr>
          <w:spacing w:val="-3"/>
        </w:rPr>
        <w:t> </w:t>
      </w:r>
      <w:r>
        <w:rPr/>
        <w:t>sheet line 10b (in lieu of lines 9 or 10c), or line</w:t>
      </w:r>
      <w:r>
        <w:rPr>
          <w:spacing w:val="-4"/>
        </w:rPr>
        <w:t> </w:t>
      </w:r>
      <w:r>
        <w:rPr/>
        <w:t>7.</w:t>
      </w:r>
      <w:r>
        <w:rPr>
          <w:spacing w:val="-3"/>
        </w:rPr>
        <w:t> </w:t>
      </w:r>
      <w:r>
        <w:rPr/>
        <w:t>For</w:t>
      </w:r>
      <w:r>
        <w:rPr>
          <w:spacing w:val="-4"/>
        </w:rPr>
        <w:t> </w:t>
      </w:r>
      <w:r>
        <w:rPr/>
        <w:t>any</w:t>
      </w:r>
      <w:r>
        <w:rPr>
          <w:spacing w:val="-6"/>
        </w:rPr>
        <w:t> </w:t>
      </w:r>
      <w:r>
        <w:rPr/>
        <w:t>cost</w:t>
      </w:r>
      <w:r>
        <w:rPr>
          <w:spacing w:val="-3"/>
        </w:rPr>
        <w:t> </w:t>
      </w:r>
      <w:r>
        <w:rPr/>
        <w:t>settlement</w:t>
      </w:r>
      <w:r>
        <w:rPr>
          <w:spacing w:val="-3"/>
        </w:rPr>
        <w:t> </w:t>
      </w:r>
      <w:r>
        <w:rPr/>
        <w:t>not</w:t>
      </w:r>
      <w:r>
        <w:rPr>
          <w:spacing w:val="-3"/>
        </w:rPr>
        <w:t> </w:t>
      </w:r>
      <w:r>
        <w:rPr/>
        <w:t>attributable</w:t>
      </w:r>
      <w:r>
        <w:rPr>
          <w:spacing w:val="-4"/>
        </w:rPr>
        <w:t> </w:t>
      </w:r>
      <w:r>
        <w:rPr/>
        <w:t>to</w:t>
      </w:r>
      <w:r>
        <w:rPr>
          <w:spacing w:val="-3"/>
        </w:rPr>
        <w:t> </w:t>
      </w:r>
      <w:r>
        <w:rPr/>
        <w:t>this</w:t>
      </w:r>
      <w:r>
        <w:rPr>
          <w:spacing w:val="-3"/>
        </w:rPr>
        <w:t> </w:t>
      </w:r>
      <w:r>
        <w:rPr/>
        <w:t>demonstration,</w:t>
      </w:r>
      <w:r>
        <w:rPr>
          <w:spacing w:val="-3"/>
        </w:rPr>
        <w:t> </w:t>
      </w:r>
      <w:r>
        <w:rPr/>
        <w:t>the</w:t>
      </w:r>
      <w:r>
        <w:rPr>
          <w:spacing w:val="-4"/>
        </w:rPr>
        <w:t> </w:t>
      </w:r>
      <w:r>
        <w:rPr/>
        <w:t>adjustments should be reported as otherwise instructed in the State Medicaid Manual. Cost settlements must be reported by DY consistent with how the original expenditures were reported.</w:t>
      </w:r>
    </w:p>
    <w:p>
      <w:pPr>
        <w:pStyle w:val="BodyText"/>
        <w:spacing w:before="10"/>
        <w:rPr>
          <w:sz w:val="20"/>
        </w:rPr>
      </w:pPr>
    </w:p>
    <w:p>
      <w:pPr>
        <w:pStyle w:val="BodyText"/>
        <w:ind w:left="1411" w:right="161"/>
      </w:pPr>
      <w:r>
        <w:rPr/>
        <w:drawing>
          <wp:anchor distT="0" distB="0" distL="0" distR="0" allowOverlap="1" layoutInCell="1" locked="0" behindDoc="0" simplePos="0" relativeHeight="16091648">
            <wp:simplePos x="0" y="0"/>
            <wp:positionH relativeFrom="page">
              <wp:posOffset>1424939</wp:posOffset>
            </wp:positionH>
            <wp:positionV relativeFrom="paragraph">
              <wp:posOffset>32551</wp:posOffset>
            </wp:positionV>
            <wp:extent cx="111251" cy="115823"/>
            <wp:effectExtent l="0" t="0" r="0" b="0"/>
            <wp:wrapNone/>
            <wp:docPr id="725" name="Image 725"/>
            <wp:cNvGraphicFramePr>
              <a:graphicFrameLocks/>
            </wp:cNvGraphicFramePr>
            <a:graphic>
              <a:graphicData uri="http://schemas.openxmlformats.org/drawingml/2006/picture">
                <pic:pic>
                  <pic:nvPicPr>
                    <pic:cNvPr id="725" name="Image 725"/>
                    <pic:cNvPicPr/>
                  </pic:nvPicPr>
                  <pic:blipFill>
                    <a:blip r:embed="rId34" cstate="print"/>
                    <a:stretch>
                      <a:fillRect/>
                    </a:stretch>
                  </pic:blipFill>
                  <pic:spPr>
                    <a:xfrm>
                      <a:off x="0" y="0"/>
                      <a:ext cx="111251" cy="115823"/>
                    </a:xfrm>
                    <a:prstGeom prst="rect">
                      <a:avLst/>
                    </a:prstGeom>
                  </pic:spPr>
                </pic:pic>
              </a:graphicData>
            </a:graphic>
          </wp:anchor>
        </w:drawing>
      </w:r>
      <w:bookmarkStart w:name="b. Premiums and Cost Sharing Collected b" w:id="1035"/>
      <w:bookmarkEnd w:id="1035"/>
      <w:r>
        <w:rPr/>
      </w:r>
      <w:r>
        <w:rPr>
          <w:b/>
        </w:rPr>
        <w:t>Premiums and Cost Sharing Collected by the State. </w:t>
      </w:r>
      <w:r>
        <w:rPr/>
        <w:t>The Commonwealth will report any premium contributions collected by the state from demonstration enrollees quarterly</w:t>
      </w:r>
      <w:r>
        <w:rPr>
          <w:spacing w:val="-4"/>
        </w:rPr>
        <w:t> </w:t>
      </w:r>
      <w:r>
        <w:rPr/>
        <w:t>on the form CMS-64 Summary</w:t>
      </w:r>
      <w:r>
        <w:rPr>
          <w:spacing w:val="-2"/>
        </w:rPr>
        <w:t> </w:t>
      </w:r>
      <w:r>
        <w:rPr/>
        <w:t>Sheet line 9D, columns A and B. In order to assure that these collections are properly credited to the demonstration, quarterly</w:t>
      </w:r>
      <w:r>
        <w:rPr>
          <w:spacing w:val="-1"/>
        </w:rPr>
        <w:t> </w:t>
      </w:r>
      <w:r>
        <w:rPr/>
        <w:t>premium collections (both total computable and federal share) should also be</w:t>
      </w:r>
      <w:r>
        <w:rPr>
          <w:spacing w:val="-4"/>
        </w:rPr>
        <w:t> </w:t>
      </w:r>
      <w:r>
        <w:rPr/>
        <w:t>reported</w:t>
      </w:r>
      <w:r>
        <w:rPr>
          <w:spacing w:val="-3"/>
        </w:rPr>
        <w:t> </w:t>
      </w:r>
      <w:r>
        <w:rPr/>
        <w:t>separately</w:t>
      </w:r>
      <w:r>
        <w:rPr>
          <w:spacing w:val="-8"/>
        </w:rPr>
        <w:t> </w:t>
      </w:r>
      <w:r>
        <w:rPr/>
        <w:t>by</w:t>
      </w:r>
      <w:r>
        <w:rPr>
          <w:spacing w:val="-6"/>
        </w:rPr>
        <w:t> </w:t>
      </w:r>
      <w:r>
        <w:rPr/>
        <w:t>demonstration</w:t>
      </w:r>
      <w:r>
        <w:rPr>
          <w:spacing w:val="-1"/>
        </w:rPr>
        <w:t> </w:t>
      </w:r>
      <w:r>
        <w:rPr/>
        <w:t>year</w:t>
      </w:r>
      <w:r>
        <w:rPr>
          <w:spacing w:val="-4"/>
        </w:rPr>
        <w:t> </w:t>
      </w:r>
      <w:r>
        <w:rPr/>
        <w:t>on</w:t>
      </w:r>
      <w:r>
        <w:rPr>
          <w:spacing w:val="-1"/>
        </w:rPr>
        <w:t> </w:t>
      </w:r>
      <w:r>
        <w:rPr/>
        <w:t>form</w:t>
      </w:r>
      <w:r>
        <w:rPr>
          <w:spacing w:val="-3"/>
        </w:rPr>
        <w:t> </w:t>
      </w:r>
      <w:r>
        <w:rPr/>
        <w:t>CMS-64</w:t>
      </w:r>
      <w:r>
        <w:rPr>
          <w:spacing w:val="-3"/>
        </w:rPr>
        <w:t> </w:t>
      </w:r>
      <w:r>
        <w:rPr/>
        <w:t>Narrative,</w:t>
      </w:r>
      <w:r>
        <w:rPr>
          <w:spacing w:val="-1"/>
        </w:rPr>
        <w:t> </w:t>
      </w:r>
      <w:r>
        <w:rPr/>
        <w:t>and</w:t>
      </w:r>
      <w:r>
        <w:rPr>
          <w:spacing w:val="-3"/>
        </w:rPr>
        <w:t> </w:t>
      </w:r>
      <w:r>
        <w:rPr/>
        <w:t>on</w:t>
      </w:r>
      <w:r>
        <w:rPr>
          <w:spacing w:val="-3"/>
        </w:rPr>
        <w:t> </w:t>
      </w:r>
      <w:r>
        <w:rPr/>
        <w:t>the Total Adjustments tab in the Budget Neutrality Monitoring Tool. In the annual calculation of expenditures subject to the budget neutrality expenditure limit, premiums collected in the demonstration year will be offset against expenditures incurred in the demonstration year for determination of the Commonwealth's compliance with the budget neutrality limits.</w:t>
      </w:r>
    </w:p>
    <w:p>
      <w:pPr>
        <w:pStyle w:val="BodyText"/>
        <w:spacing w:before="10"/>
        <w:rPr>
          <w:sz w:val="20"/>
        </w:rPr>
      </w:pPr>
    </w:p>
    <w:p>
      <w:pPr>
        <w:pStyle w:val="BodyText"/>
        <w:spacing w:before="1"/>
        <w:ind w:left="1411" w:right="167"/>
      </w:pPr>
      <w:r>
        <w:rPr/>
        <w:drawing>
          <wp:anchor distT="0" distB="0" distL="0" distR="0" allowOverlap="1" layoutInCell="1" locked="0" behindDoc="0" simplePos="0" relativeHeight="16092160">
            <wp:simplePos x="0" y="0"/>
            <wp:positionH relativeFrom="page">
              <wp:posOffset>1431036</wp:posOffset>
            </wp:positionH>
            <wp:positionV relativeFrom="paragraph">
              <wp:posOffset>68238</wp:posOffset>
            </wp:positionV>
            <wp:extent cx="96011" cy="80771"/>
            <wp:effectExtent l="0" t="0" r="0" b="0"/>
            <wp:wrapNone/>
            <wp:docPr id="726" name="Image 726"/>
            <wp:cNvGraphicFramePr>
              <a:graphicFrameLocks/>
            </wp:cNvGraphicFramePr>
            <a:graphic>
              <a:graphicData uri="http://schemas.openxmlformats.org/drawingml/2006/picture">
                <pic:pic>
                  <pic:nvPicPr>
                    <pic:cNvPr id="726" name="Image 726"/>
                    <pic:cNvPicPr/>
                  </pic:nvPicPr>
                  <pic:blipFill>
                    <a:blip r:embed="rId41" cstate="print"/>
                    <a:stretch>
                      <a:fillRect/>
                    </a:stretch>
                  </pic:blipFill>
                  <pic:spPr>
                    <a:xfrm>
                      <a:off x="0" y="0"/>
                      <a:ext cx="96011" cy="80771"/>
                    </a:xfrm>
                    <a:prstGeom prst="rect">
                      <a:avLst/>
                    </a:prstGeom>
                  </pic:spPr>
                </pic:pic>
              </a:graphicData>
            </a:graphic>
          </wp:anchor>
        </w:drawing>
      </w:r>
      <w:bookmarkStart w:name="c. Pharmacy Rebates. Because pharmacy re" w:id="1036"/>
      <w:bookmarkEnd w:id="1036"/>
      <w:r>
        <w:rPr/>
      </w:r>
      <w:r>
        <w:rPr>
          <w:b/>
        </w:rPr>
        <w:t>Pharmacy Rebates. </w:t>
      </w:r>
      <w:r>
        <w:rPr/>
        <w:t>Because pharmacy rebates are included in the base expenditures used to determine the budget neutrality expenditure limit, the Commonwealth must report the portion of pharmacy rebates applicable to the demonstration on the appropriate forms CMS-64.9 WAIVER and 64.9P waiver for the</w:t>
      </w:r>
      <w:r>
        <w:rPr>
          <w:spacing w:val="-4"/>
        </w:rPr>
        <w:t> </w:t>
      </w:r>
      <w:r>
        <w:rPr/>
        <w:t>demonstration,</w:t>
      </w:r>
      <w:r>
        <w:rPr>
          <w:spacing w:val="-3"/>
        </w:rPr>
        <w:t> </w:t>
      </w:r>
      <w:r>
        <w:rPr/>
        <w:t>and</w:t>
      </w:r>
      <w:r>
        <w:rPr>
          <w:spacing w:val="-3"/>
        </w:rPr>
        <w:t> </w:t>
      </w:r>
      <w:r>
        <w:rPr/>
        <w:t>not</w:t>
      </w:r>
      <w:r>
        <w:rPr>
          <w:spacing w:val="-3"/>
        </w:rPr>
        <w:t> </w:t>
      </w:r>
      <w:r>
        <w:rPr/>
        <w:t>on</w:t>
      </w:r>
      <w:r>
        <w:rPr>
          <w:spacing w:val="-3"/>
        </w:rPr>
        <w:t> </w:t>
      </w:r>
      <w:r>
        <w:rPr/>
        <w:t>any</w:t>
      </w:r>
      <w:r>
        <w:rPr>
          <w:spacing w:val="-8"/>
        </w:rPr>
        <w:t> </w:t>
      </w:r>
      <w:r>
        <w:rPr/>
        <w:t>other</w:t>
      </w:r>
      <w:r>
        <w:rPr>
          <w:spacing w:val="-4"/>
        </w:rPr>
        <w:t> </w:t>
      </w:r>
      <w:r>
        <w:rPr/>
        <w:t>CMS-64.9</w:t>
      </w:r>
      <w:r>
        <w:rPr>
          <w:spacing w:val="-3"/>
        </w:rPr>
        <w:t> </w:t>
      </w:r>
      <w:r>
        <w:rPr/>
        <w:t>form</w:t>
      </w:r>
      <w:r>
        <w:rPr>
          <w:spacing w:val="-3"/>
        </w:rPr>
        <w:t> </w:t>
      </w:r>
      <w:r>
        <w:rPr/>
        <w:t>(to</w:t>
      </w:r>
      <w:r>
        <w:rPr>
          <w:spacing w:val="-3"/>
        </w:rPr>
        <w:t> </w:t>
      </w:r>
      <w:r>
        <w:rPr/>
        <w:t>avoid</w:t>
      </w:r>
      <w:r>
        <w:rPr>
          <w:spacing w:val="-3"/>
        </w:rPr>
        <w:t> </w:t>
      </w:r>
      <w:r>
        <w:rPr/>
        <w:t>double</w:t>
      </w:r>
      <w:r>
        <w:rPr>
          <w:spacing w:val="-4"/>
        </w:rPr>
        <w:t> </w:t>
      </w:r>
      <w:r>
        <w:rPr/>
        <w:t>counting). The Commonwealth must have a methodology for assigning a portion of pharmacy rebates to the demonstration in a way that reasonably reflects the actual rebate- eligible pharmacy utilization of the demonstration population, and which identifies pharmacy rebate amounts with DYs. Use of the methodology is subject to the approval in advance by the CMS Regional Office, and changes to the methodology must</w:t>
      </w:r>
      <w:r>
        <w:rPr>
          <w:spacing w:val="-1"/>
        </w:rPr>
        <w:t> </w:t>
      </w:r>
      <w:r>
        <w:rPr/>
        <w:t>also</w:t>
      </w:r>
      <w:r>
        <w:rPr>
          <w:spacing w:val="-1"/>
        </w:rPr>
        <w:t> </w:t>
      </w:r>
      <w:r>
        <w:rPr/>
        <w:t>be</w:t>
      </w:r>
      <w:r>
        <w:rPr>
          <w:spacing w:val="-2"/>
        </w:rPr>
        <w:t> </w:t>
      </w:r>
      <w:r>
        <w:rPr/>
        <w:t>approved</w:t>
      </w:r>
      <w:r>
        <w:rPr>
          <w:spacing w:val="-1"/>
        </w:rPr>
        <w:t> </w:t>
      </w:r>
      <w:r>
        <w:rPr/>
        <w:t>in advance</w:t>
      </w:r>
      <w:r>
        <w:rPr>
          <w:spacing w:val="-2"/>
        </w:rPr>
        <w:t> </w:t>
      </w:r>
      <w:r>
        <w:rPr/>
        <w:t>by</w:t>
      </w:r>
      <w:r>
        <w:rPr>
          <w:spacing w:val="-6"/>
        </w:rPr>
        <w:t> </w:t>
      </w:r>
      <w:r>
        <w:rPr/>
        <w:t>the</w:t>
      </w:r>
      <w:r>
        <w:rPr>
          <w:spacing w:val="-2"/>
        </w:rPr>
        <w:t> </w:t>
      </w:r>
      <w:r>
        <w:rPr/>
        <w:t>Regional Office.</w:t>
      </w:r>
      <w:r>
        <w:rPr>
          <w:spacing w:val="-1"/>
        </w:rPr>
        <w:t> </w:t>
      </w:r>
      <w:r>
        <w:rPr/>
        <w:t>Each rebate</w:t>
      </w:r>
      <w:r>
        <w:rPr>
          <w:spacing w:val="-2"/>
        </w:rPr>
        <w:t> </w:t>
      </w:r>
      <w:r>
        <w:rPr/>
        <w:t>amount</w:t>
      </w:r>
      <w:r>
        <w:rPr>
          <w:spacing w:val="-1"/>
        </w:rPr>
        <w:t> </w:t>
      </w:r>
      <w:r>
        <w:rPr/>
        <w:t>must</w:t>
      </w:r>
    </w:p>
    <w:p>
      <w:pPr>
        <w:spacing w:after="0"/>
        <w:sectPr>
          <w:footerReference w:type="default" r:id="rId281"/>
          <w:pgSz w:w="12240" w:h="15840"/>
          <w:pgMar w:footer="1201" w:header="0" w:top="1600" w:bottom="1400" w:left="1200" w:right="1340"/>
        </w:sectPr>
      </w:pPr>
    </w:p>
    <w:p>
      <w:pPr>
        <w:pStyle w:val="BodyText"/>
        <w:spacing w:before="79"/>
        <w:ind w:left="1411" w:right="167"/>
      </w:pPr>
      <w:r>
        <w:rPr/>
        <w:t>be</w:t>
      </w:r>
      <w:r>
        <w:rPr>
          <w:spacing w:val="-4"/>
        </w:rPr>
        <w:t> </w:t>
      </w:r>
      <w:r>
        <w:rPr/>
        <w:t>distributed</w:t>
      </w:r>
      <w:r>
        <w:rPr>
          <w:spacing w:val="-3"/>
        </w:rPr>
        <w:t> </w:t>
      </w:r>
      <w:r>
        <w:rPr/>
        <w:t>as</w:t>
      </w:r>
      <w:r>
        <w:rPr>
          <w:spacing w:val="-3"/>
        </w:rPr>
        <w:t> </w:t>
      </w:r>
      <w:r>
        <w:rPr/>
        <w:t>state</w:t>
      </w:r>
      <w:r>
        <w:rPr>
          <w:spacing w:val="-4"/>
        </w:rPr>
        <w:t> </w:t>
      </w:r>
      <w:r>
        <w:rPr/>
        <w:t>and</w:t>
      </w:r>
      <w:r>
        <w:rPr>
          <w:spacing w:val="-3"/>
        </w:rPr>
        <w:t> </w:t>
      </w:r>
      <w:r>
        <w:rPr/>
        <w:t>federal</w:t>
      </w:r>
      <w:r>
        <w:rPr>
          <w:spacing w:val="-3"/>
        </w:rPr>
        <w:t> </w:t>
      </w:r>
      <w:r>
        <w:rPr/>
        <w:t>revenue</w:t>
      </w:r>
      <w:r>
        <w:rPr>
          <w:spacing w:val="-4"/>
        </w:rPr>
        <w:t> </w:t>
      </w:r>
      <w:r>
        <w:rPr/>
        <w:t>consistent</w:t>
      </w:r>
      <w:r>
        <w:rPr>
          <w:spacing w:val="-3"/>
        </w:rPr>
        <w:t> </w:t>
      </w:r>
      <w:r>
        <w:rPr/>
        <w:t>with</w:t>
      </w:r>
      <w:r>
        <w:rPr>
          <w:spacing w:val="-3"/>
        </w:rPr>
        <w:t> </w:t>
      </w:r>
      <w:r>
        <w:rPr/>
        <w:t>the</w:t>
      </w:r>
      <w:r>
        <w:rPr>
          <w:spacing w:val="-4"/>
        </w:rPr>
        <w:t> </w:t>
      </w:r>
      <w:r>
        <w:rPr/>
        <w:t>federal</w:t>
      </w:r>
      <w:r>
        <w:rPr>
          <w:spacing w:val="-3"/>
        </w:rPr>
        <w:t> </w:t>
      </w:r>
      <w:r>
        <w:rPr/>
        <w:t>matching</w:t>
      </w:r>
      <w:r>
        <w:rPr>
          <w:spacing w:val="-6"/>
        </w:rPr>
        <w:t> </w:t>
      </w:r>
      <w:r>
        <w:rPr/>
        <w:t>rates under which the claim was paid.</w:t>
      </w:r>
    </w:p>
    <w:p>
      <w:pPr>
        <w:pStyle w:val="BodyText"/>
        <w:spacing w:before="10"/>
        <w:rPr>
          <w:sz w:val="20"/>
        </w:rPr>
      </w:pPr>
    </w:p>
    <w:p>
      <w:pPr>
        <w:pStyle w:val="BodyText"/>
        <w:ind w:left="1411" w:right="112"/>
      </w:pPr>
      <w:r>
        <w:rPr/>
        <w:drawing>
          <wp:anchor distT="0" distB="0" distL="0" distR="0" allowOverlap="1" layoutInCell="1" locked="0" behindDoc="0" simplePos="0" relativeHeight="16092672">
            <wp:simplePos x="0" y="0"/>
            <wp:positionH relativeFrom="page">
              <wp:posOffset>1431036</wp:posOffset>
            </wp:positionH>
            <wp:positionV relativeFrom="paragraph">
              <wp:posOffset>32551</wp:posOffset>
            </wp:positionV>
            <wp:extent cx="105155" cy="115823"/>
            <wp:effectExtent l="0" t="0" r="0" b="0"/>
            <wp:wrapNone/>
            <wp:docPr id="727" name="Image 727"/>
            <wp:cNvGraphicFramePr>
              <a:graphicFrameLocks/>
            </wp:cNvGraphicFramePr>
            <a:graphic>
              <a:graphicData uri="http://schemas.openxmlformats.org/drawingml/2006/picture">
                <pic:pic>
                  <pic:nvPicPr>
                    <pic:cNvPr id="727" name="Image 727"/>
                    <pic:cNvPicPr/>
                  </pic:nvPicPr>
                  <pic:blipFill>
                    <a:blip r:embed="rId36" cstate="print"/>
                    <a:stretch>
                      <a:fillRect/>
                    </a:stretch>
                  </pic:blipFill>
                  <pic:spPr>
                    <a:xfrm>
                      <a:off x="0" y="0"/>
                      <a:ext cx="105155" cy="115823"/>
                    </a:xfrm>
                    <a:prstGeom prst="rect">
                      <a:avLst/>
                    </a:prstGeom>
                  </pic:spPr>
                </pic:pic>
              </a:graphicData>
            </a:graphic>
          </wp:anchor>
        </w:drawing>
      </w:r>
      <w:bookmarkStart w:name="d. Administrative Costs. The Commonwealt" w:id="1037"/>
      <w:bookmarkEnd w:id="1037"/>
      <w:r>
        <w:rPr/>
      </w:r>
      <w:r>
        <w:rPr>
          <w:b/>
        </w:rPr>
        <w:t>Administrative Costs. </w:t>
      </w:r>
      <w:r>
        <w:rPr/>
        <w:t>The Commonwealth will separately track and report additional administrative costs that are directly</w:t>
      </w:r>
      <w:r>
        <w:rPr>
          <w:spacing w:val="-2"/>
        </w:rPr>
        <w:t> </w:t>
      </w:r>
      <w:r>
        <w:rPr/>
        <w:t>attributable to the demonstration. All administrative costs must be identified on the forms CMS-64.10 WAIVER and/or 64.10P</w:t>
      </w:r>
      <w:r>
        <w:rPr>
          <w:spacing w:val="-3"/>
        </w:rPr>
        <w:t> </w:t>
      </w:r>
      <w:r>
        <w:rPr/>
        <w:t>WAIVER.</w:t>
      </w:r>
      <w:r>
        <w:rPr>
          <w:spacing w:val="-3"/>
        </w:rPr>
        <w:t> </w:t>
      </w:r>
      <w:r>
        <w:rPr/>
        <w:t>Unless</w:t>
      </w:r>
      <w:r>
        <w:rPr>
          <w:spacing w:val="-3"/>
        </w:rPr>
        <w:t> </w:t>
      </w:r>
      <w:r>
        <w:rPr/>
        <w:t>indicated</w:t>
      </w:r>
      <w:r>
        <w:rPr>
          <w:spacing w:val="-3"/>
        </w:rPr>
        <w:t> </w:t>
      </w:r>
      <w:r>
        <w:rPr/>
        <w:t>otherwise</w:t>
      </w:r>
      <w:r>
        <w:rPr>
          <w:spacing w:val="-4"/>
        </w:rPr>
        <w:t> </w:t>
      </w:r>
      <w:r>
        <w:rPr/>
        <w:t>on</w:t>
      </w:r>
      <w:r>
        <w:rPr>
          <w:spacing w:val="-3"/>
        </w:rPr>
        <w:t> </w:t>
      </w:r>
      <w:r>
        <w:rPr/>
        <w:t>the</w:t>
      </w:r>
      <w:r>
        <w:rPr>
          <w:spacing w:val="-4"/>
        </w:rPr>
        <w:t> </w:t>
      </w:r>
      <w:r>
        <w:rPr/>
        <w:t>MEG</w:t>
      </w:r>
      <w:r>
        <w:rPr>
          <w:spacing w:val="-4"/>
        </w:rPr>
        <w:t> </w:t>
      </w:r>
      <w:r>
        <w:rPr/>
        <w:t>Charts</w:t>
      </w:r>
      <w:r>
        <w:rPr>
          <w:spacing w:val="-3"/>
        </w:rPr>
        <w:t> </w:t>
      </w:r>
      <w:r>
        <w:rPr/>
        <w:t>and</w:t>
      </w:r>
      <w:r>
        <w:rPr>
          <w:spacing w:val="-3"/>
        </w:rPr>
        <w:t> </w:t>
      </w:r>
      <w:r>
        <w:rPr/>
        <w:t>in</w:t>
      </w:r>
      <w:r>
        <w:rPr>
          <w:spacing w:val="-3"/>
        </w:rPr>
        <w:t> </w:t>
      </w:r>
      <w:r>
        <w:rPr/>
        <w:t>the</w:t>
      </w:r>
      <w:r>
        <w:rPr>
          <w:spacing w:val="-4"/>
        </w:rPr>
        <w:t> </w:t>
      </w:r>
      <w:r>
        <w:rPr/>
        <w:t>STCs</w:t>
      </w:r>
      <w:r>
        <w:rPr>
          <w:spacing w:val="-3"/>
        </w:rPr>
        <w:t> </w:t>
      </w:r>
      <w:r>
        <w:rPr/>
        <w:t>in section 19, administrative costs are not counted in the budget neutrality tests; however, these costs are subject to monitoring by CMS.</w:t>
      </w:r>
    </w:p>
    <w:p>
      <w:pPr>
        <w:pStyle w:val="BodyText"/>
        <w:spacing w:before="10"/>
        <w:rPr>
          <w:sz w:val="20"/>
        </w:rPr>
      </w:pPr>
    </w:p>
    <w:p>
      <w:pPr>
        <w:pStyle w:val="BodyText"/>
        <w:ind w:left="1411" w:right="124"/>
      </w:pPr>
      <w:r>
        <w:rPr/>
        <w:drawing>
          <wp:anchor distT="0" distB="0" distL="0" distR="0" allowOverlap="1" layoutInCell="1" locked="0" behindDoc="0" simplePos="0" relativeHeight="16093184">
            <wp:simplePos x="0" y="0"/>
            <wp:positionH relativeFrom="page">
              <wp:posOffset>1431036</wp:posOffset>
            </wp:positionH>
            <wp:positionV relativeFrom="paragraph">
              <wp:posOffset>67603</wp:posOffset>
            </wp:positionV>
            <wp:extent cx="96011" cy="80771"/>
            <wp:effectExtent l="0" t="0" r="0" b="0"/>
            <wp:wrapNone/>
            <wp:docPr id="728" name="Image 728"/>
            <wp:cNvGraphicFramePr>
              <a:graphicFrameLocks/>
            </wp:cNvGraphicFramePr>
            <a:graphic>
              <a:graphicData uri="http://schemas.openxmlformats.org/drawingml/2006/picture">
                <pic:pic>
                  <pic:nvPicPr>
                    <pic:cNvPr id="728" name="Image 728"/>
                    <pic:cNvPicPr/>
                  </pic:nvPicPr>
                  <pic:blipFill>
                    <a:blip r:embed="rId37" cstate="print"/>
                    <a:stretch>
                      <a:fillRect/>
                    </a:stretch>
                  </pic:blipFill>
                  <pic:spPr>
                    <a:xfrm>
                      <a:off x="0" y="0"/>
                      <a:ext cx="96011" cy="80771"/>
                    </a:xfrm>
                    <a:prstGeom prst="rect">
                      <a:avLst/>
                    </a:prstGeom>
                  </pic:spPr>
                </pic:pic>
              </a:graphicData>
            </a:graphic>
          </wp:anchor>
        </w:drawing>
      </w:r>
      <w:bookmarkStart w:name="e. Member Months. As part of the Quarter" w:id="1038"/>
      <w:bookmarkEnd w:id="1038"/>
      <w:r>
        <w:rPr/>
      </w:r>
      <w:r>
        <w:rPr>
          <w:b/>
        </w:rPr>
        <w:t>Member Months. </w:t>
      </w:r>
      <w:r>
        <w:rPr/>
        <w:t>As part of the Quarterly and Annual Monitoring Reports described in section 16, the Commonwealth must report the actual number of “eligible</w:t>
      </w:r>
      <w:r>
        <w:rPr>
          <w:spacing w:val="-5"/>
        </w:rPr>
        <w:t> </w:t>
      </w:r>
      <w:r>
        <w:rPr/>
        <w:t>member</w:t>
      </w:r>
      <w:r>
        <w:rPr>
          <w:spacing w:val="-5"/>
        </w:rPr>
        <w:t> </w:t>
      </w:r>
      <w:r>
        <w:rPr/>
        <w:t>months”</w:t>
      </w:r>
      <w:r>
        <w:rPr>
          <w:spacing w:val="-5"/>
        </w:rPr>
        <w:t> </w:t>
      </w:r>
      <w:r>
        <w:rPr/>
        <w:t>for</w:t>
      </w:r>
      <w:r>
        <w:rPr>
          <w:spacing w:val="-5"/>
        </w:rPr>
        <w:t> </w:t>
      </w:r>
      <w:r>
        <w:rPr/>
        <w:t>all</w:t>
      </w:r>
      <w:r>
        <w:rPr>
          <w:spacing w:val="-4"/>
        </w:rPr>
        <w:t> </w:t>
      </w:r>
      <w:r>
        <w:rPr/>
        <w:t>demonstration</w:t>
      </w:r>
      <w:r>
        <w:rPr>
          <w:spacing w:val="-4"/>
        </w:rPr>
        <w:t> </w:t>
      </w:r>
      <w:r>
        <w:rPr/>
        <w:t>enrollees</w:t>
      </w:r>
      <w:r>
        <w:rPr>
          <w:spacing w:val="-4"/>
        </w:rPr>
        <w:t> </w:t>
      </w:r>
      <w:r>
        <w:rPr/>
        <w:t>for</w:t>
      </w:r>
      <w:r>
        <w:rPr>
          <w:spacing w:val="-3"/>
        </w:rPr>
        <w:t> </w:t>
      </w:r>
      <w:r>
        <w:rPr/>
        <w:t>all</w:t>
      </w:r>
      <w:r>
        <w:rPr>
          <w:spacing w:val="-4"/>
        </w:rPr>
        <w:t> </w:t>
      </w:r>
      <w:r>
        <w:rPr/>
        <w:t>MEGs</w:t>
      </w:r>
      <w:r>
        <w:rPr>
          <w:spacing w:val="-4"/>
        </w:rPr>
        <w:t> </w:t>
      </w:r>
      <w:r>
        <w:rPr/>
        <w:t>identified</w:t>
      </w:r>
      <w:r>
        <w:rPr>
          <w:spacing w:val="-4"/>
        </w:rPr>
        <w:t> </w:t>
      </w:r>
      <w:r>
        <w:rPr/>
        <w:t>as WOW Per</w:t>
      </w:r>
      <w:r>
        <w:rPr>
          <w:spacing w:val="-2"/>
        </w:rPr>
        <w:t> </w:t>
      </w:r>
      <w:r>
        <w:rPr/>
        <w:t>Capita</w:t>
      </w:r>
      <w:r>
        <w:rPr>
          <w:spacing w:val="-2"/>
        </w:rPr>
        <w:t> </w:t>
      </w:r>
      <w:r>
        <w:rPr/>
        <w:t>in</w:t>
      </w:r>
      <w:r>
        <w:rPr>
          <w:spacing w:val="-1"/>
        </w:rPr>
        <w:t> </w:t>
      </w:r>
      <w:r>
        <w:rPr/>
        <w:t>the</w:t>
      </w:r>
      <w:r>
        <w:rPr>
          <w:spacing w:val="-5"/>
        </w:rPr>
        <w:t> </w:t>
      </w:r>
      <w:r>
        <w:rPr/>
        <w:t>Master</w:t>
      </w:r>
      <w:r>
        <w:rPr>
          <w:spacing w:val="-2"/>
        </w:rPr>
        <w:t> </w:t>
      </w:r>
      <w:r>
        <w:rPr/>
        <w:t>MEG</w:t>
      </w:r>
      <w:r>
        <w:rPr>
          <w:spacing w:val="-2"/>
        </w:rPr>
        <w:t> </w:t>
      </w:r>
      <w:r>
        <w:rPr/>
        <w:t>Chart</w:t>
      </w:r>
      <w:r>
        <w:rPr>
          <w:spacing w:val="-1"/>
        </w:rPr>
        <w:t> </w:t>
      </w:r>
      <w:r>
        <w:rPr/>
        <w:t>table above,</w:t>
      </w:r>
      <w:r>
        <w:rPr>
          <w:spacing w:val="-1"/>
        </w:rPr>
        <w:t> </w:t>
      </w:r>
      <w:r>
        <w:rPr/>
        <w:t>and as</w:t>
      </w:r>
      <w:r>
        <w:rPr>
          <w:spacing w:val="-1"/>
        </w:rPr>
        <w:t> </w:t>
      </w:r>
      <w:r>
        <w:rPr/>
        <w:t>also</w:t>
      </w:r>
      <w:r>
        <w:rPr>
          <w:spacing w:val="-1"/>
        </w:rPr>
        <w:t> </w:t>
      </w:r>
      <w:r>
        <w:rPr/>
        <w:t>indicated</w:t>
      </w:r>
      <w:r>
        <w:rPr>
          <w:spacing w:val="-1"/>
        </w:rPr>
        <w:t> </w:t>
      </w:r>
      <w:r>
        <w:rPr/>
        <w:t>in</w:t>
      </w:r>
      <w:r>
        <w:rPr>
          <w:spacing w:val="-1"/>
        </w:rPr>
        <w:t> </w:t>
      </w:r>
      <w:r>
        <w:rPr/>
        <w:t>the MEG Detail for Expenditure and Member Month Reporting table below. The term “eligible</w:t>
      </w:r>
      <w:r>
        <w:rPr>
          <w:spacing w:val="-4"/>
        </w:rPr>
        <w:t> </w:t>
      </w:r>
      <w:r>
        <w:rPr/>
        <w:t>member</w:t>
      </w:r>
      <w:r>
        <w:rPr>
          <w:spacing w:val="-4"/>
        </w:rPr>
        <w:t> </w:t>
      </w:r>
      <w:r>
        <w:rPr/>
        <w:t>months”</w:t>
      </w:r>
      <w:r>
        <w:rPr>
          <w:spacing w:val="-4"/>
        </w:rPr>
        <w:t> </w:t>
      </w:r>
      <w:r>
        <w:rPr/>
        <w:t>refers</w:t>
      </w:r>
      <w:r>
        <w:rPr>
          <w:spacing w:val="-3"/>
        </w:rPr>
        <w:t> </w:t>
      </w:r>
      <w:r>
        <w:rPr/>
        <w:t>to</w:t>
      </w:r>
      <w:r>
        <w:rPr>
          <w:spacing w:val="-3"/>
        </w:rPr>
        <w:t> </w:t>
      </w:r>
      <w:r>
        <w:rPr/>
        <w:t>the</w:t>
      </w:r>
      <w:r>
        <w:rPr>
          <w:spacing w:val="-4"/>
        </w:rPr>
        <w:t> </w:t>
      </w:r>
      <w:r>
        <w:rPr/>
        <w:t>number</w:t>
      </w:r>
      <w:r>
        <w:rPr>
          <w:spacing w:val="-4"/>
        </w:rPr>
        <w:t> </w:t>
      </w:r>
      <w:r>
        <w:rPr/>
        <w:t>of</w:t>
      </w:r>
      <w:r>
        <w:rPr>
          <w:spacing w:val="-2"/>
        </w:rPr>
        <w:t> </w:t>
      </w:r>
      <w:r>
        <w:rPr/>
        <w:t>months</w:t>
      </w:r>
      <w:r>
        <w:rPr>
          <w:spacing w:val="-3"/>
        </w:rPr>
        <w:t> </w:t>
      </w:r>
      <w:r>
        <w:rPr/>
        <w:t>in</w:t>
      </w:r>
      <w:r>
        <w:rPr>
          <w:spacing w:val="-3"/>
        </w:rPr>
        <w:t> </w:t>
      </w:r>
      <w:r>
        <w:rPr/>
        <w:t>which</w:t>
      </w:r>
      <w:r>
        <w:rPr>
          <w:spacing w:val="-3"/>
        </w:rPr>
        <w:t> </w:t>
      </w:r>
      <w:r>
        <w:rPr/>
        <w:t>persons</w:t>
      </w:r>
      <w:r>
        <w:rPr>
          <w:spacing w:val="-3"/>
        </w:rPr>
        <w:t> </w:t>
      </w:r>
      <w:r>
        <w:rPr/>
        <w:t>enrolled in the demonstration are eligible to receive services. For example, a person who is eligible</w:t>
      </w:r>
      <w:r>
        <w:rPr>
          <w:spacing w:val="-2"/>
        </w:rPr>
        <w:t> </w:t>
      </w:r>
      <w:r>
        <w:rPr/>
        <w:t>for</w:t>
      </w:r>
      <w:r>
        <w:rPr>
          <w:spacing w:val="-2"/>
        </w:rPr>
        <w:t> </w:t>
      </w:r>
      <w:r>
        <w:rPr/>
        <w:t>three</w:t>
      </w:r>
      <w:r>
        <w:rPr>
          <w:spacing w:val="-2"/>
        </w:rPr>
        <w:t> </w:t>
      </w:r>
      <w:r>
        <w:rPr/>
        <w:t>months contributes</w:t>
      </w:r>
      <w:r>
        <w:rPr>
          <w:spacing w:val="-1"/>
        </w:rPr>
        <w:t> </w:t>
      </w:r>
      <w:r>
        <w:rPr/>
        <w:t>three eligible member</w:t>
      </w:r>
      <w:r>
        <w:rPr>
          <w:spacing w:val="-2"/>
        </w:rPr>
        <w:t> </w:t>
      </w:r>
      <w:r>
        <w:rPr/>
        <w:t>months</w:t>
      </w:r>
      <w:r>
        <w:rPr>
          <w:spacing w:val="-1"/>
        </w:rPr>
        <w:t> </w:t>
      </w:r>
      <w:r>
        <w:rPr/>
        <w:t>to</w:t>
      </w:r>
      <w:r>
        <w:rPr>
          <w:spacing w:val="-1"/>
        </w:rPr>
        <w:t> </w:t>
      </w:r>
      <w:r>
        <w:rPr/>
        <w:t>the</w:t>
      </w:r>
      <w:r>
        <w:rPr>
          <w:spacing w:val="-2"/>
        </w:rPr>
        <w:t> </w:t>
      </w:r>
      <w:r>
        <w:rPr/>
        <w:t>total.</w:t>
      </w:r>
      <w:r>
        <w:rPr>
          <w:spacing w:val="-1"/>
        </w:rPr>
        <w:t> </w:t>
      </w:r>
      <w:r>
        <w:rPr/>
        <w:t>Two individuals who are eligible for two months each contribute two eligible member months per person, for a total of four eligible member months. The Commonwealth must submit a statement accompanying the annual report certifying the accuracy of this information.</w:t>
      </w:r>
    </w:p>
    <w:p>
      <w:pPr>
        <w:pStyle w:val="BodyText"/>
        <w:spacing w:before="10"/>
        <w:rPr>
          <w:sz w:val="20"/>
        </w:rPr>
      </w:pPr>
    </w:p>
    <w:p>
      <w:pPr>
        <w:pStyle w:val="BodyText"/>
        <w:ind w:left="1411" w:right="178"/>
      </w:pPr>
      <w:r>
        <w:rPr/>
        <w:drawing>
          <wp:anchor distT="0" distB="0" distL="0" distR="0" allowOverlap="1" layoutInCell="1" locked="0" behindDoc="0" simplePos="0" relativeHeight="16093696">
            <wp:simplePos x="0" y="0"/>
            <wp:positionH relativeFrom="page">
              <wp:posOffset>1431036</wp:posOffset>
            </wp:positionH>
            <wp:positionV relativeFrom="paragraph">
              <wp:posOffset>32551</wp:posOffset>
            </wp:positionV>
            <wp:extent cx="79247" cy="115823"/>
            <wp:effectExtent l="0" t="0" r="0" b="0"/>
            <wp:wrapNone/>
            <wp:docPr id="729" name="Image 729"/>
            <wp:cNvGraphicFramePr>
              <a:graphicFrameLocks/>
            </wp:cNvGraphicFramePr>
            <a:graphic>
              <a:graphicData uri="http://schemas.openxmlformats.org/drawingml/2006/picture">
                <pic:pic>
                  <pic:nvPicPr>
                    <pic:cNvPr id="729" name="Image 729"/>
                    <pic:cNvPicPr/>
                  </pic:nvPicPr>
                  <pic:blipFill>
                    <a:blip r:embed="rId42" cstate="print"/>
                    <a:stretch>
                      <a:fillRect/>
                    </a:stretch>
                  </pic:blipFill>
                  <pic:spPr>
                    <a:xfrm>
                      <a:off x="0" y="0"/>
                      <a:ext cx="79247" cy="115823"/>
                    </a:xfrm>
                    <a:prstGeom prst="rect">
                      <a:avLst/>
                    </a:prstGeom>
                  </pic:spPr>
                </pic:pic>
              </a:graphicData>
            </a:graphic>
          </wp:anchor>
        </w:drawing>
      </w:r>
      <w:bookmarkStart w:name="f. Budget Neutrality Specifications Manu" w:id="1039"/>
      <w:bookmarkEnd w:id="1039"/>
      <w:r>
        <w:rPr/>
      </w:r>
      <w:r>
        <w:rPr>
          <w:b/>
        </w:rPr>
        <w:t>Budget Neutrality Specifications Manual. </w:t>
      </w:r>
      <w:r>
        <w:rPr/>
        <w:t>The Commonwealth will create and maintain a</w:t>
      </w:r>
      <w:r>
        <w:rPr>
          <w:spacing w:val="-1"/>
        </w:rPr>
        <w:t> </w:t>
      </w:r>
      <w:r>
        <w:rPr/>
        <w:t>Budget Neutrality</w:t>
      </w:r>
      <w:r>
        <w:rPr>
          <w:spacing w:val="-5"/>
        </w:rPr>
        <w:t> </w:t>
      </w:r>
      <w:r>
        <w:rPr/>
        <w:t>Specifications Manual that describes in detail how</w:t>
      </w:r>
      <w:r>
        <w:rPr>
          <w:spacing w:val="-1"/>
        </w:rPr>
        <w:t> </w:t>
      </w:r>
      <w:r>
        <w:rPr/>
        <w:t>the Commonwealth will compile data on actual expenditures related to budget neutrality, including methods used to extract and compile data from the state’s Medicaid Management Information System, eligibility system, and accounting systems for reporting on the CMS-64, consistent with the terms of the demonstration.</w:t>
      </w:r>
      <w:r>
        <w:rPr>
          <w:spacing w:val="-4"/>
        </w:rPr>
        <w:t> </w:t>
      </w:r>
      <w:r>
        <w:rPr/>
        <w:t>The</w:t>
      </w:r>
      <w:r>
        <w:rPr>
          <w:spacing w:val="-5"/>
        </w:rPr>
        <w:t> </w:t>
      </w:r>
      <w:r>
        <w:rPr/>
        <w:t>Budget</w:t>
      </w:r>
      <w:r>
        <w:rPr>
          <w:spacing w:val="-4"/>
        </w:rPr>
        <w:t> </w:t>
      </w:r>
      <w:r>
        <w:rPr/>
        <w:t>Neutrality</w:t>
      </w:r>
      <w:r>
        <w:rPr>
          <w:spacing w:val="-9"/>
        </w:rPr>
        <w:t> </w:t>
      </w:r>
      <w:r>
        <w:rPr/>
        <w:t>Specifications</w:t>
      </w:r>
      <w:r>
        <w:rPr>
          <w:spacing w:val="-4"/>
        </w:rPr>
        <w:t> </w:t>
      </w:r>
      <w:r>
        <w:rPr/>
        <w:t>Manual</w:t>
      </w:r>
      <w:r>
        <w:rPr>
          <w:spacing w:val="-4"/>
        </w:rPr>
        <w:t> </w:t>
      </w:r>
      <w:r>
        <w:rPr/>
        <w:t>will</w:t>
      </w:r>
      <w:r>
        <w:rPr>
          <w:spacing w:val="-4"/>
        </w:rPr>
        <w:t> </w:t>
      </w:r>
      <w:r>
        <w:rPr/>
        <w:t>also</w:t>
      </w:r>
      <w:r>
        <w:rPr>
          <w:spacing w:val="-4"/>
        </w:rPr>
        <w:t> </w:t>
      </w:r>
      <w:r>
        <w:rPr/>
        <w:t>describe</w:t>
      </w:r>
      <w:r>
        <w:rPr>
          <w:spacing w:val="-5"/>
        </w:rPr>
        <w:t> </w:t>
      </w:r>
      <w:r>
        <w:rPr/>
        <w:t>how the Commonwealth compiles counts of Medicaid member months. The Budget Neutrality Specifications Manual must be made available to CMS on request.</w:t>
      </w:r>
    </w:p>
    <w:p>
      <w:pPr>
        <w:pStyle w:val="BodyText"/>
        <w:spacing w:before="10"/>
        <w:rPr>
          <w:sz w:val="20"/>
        </w:rPr>
      </w:pPr>
    </w:p>
    <w:p>
      <w:pPr>
        <w:pStyle w:val="BodyText"/>
        <w:spacing w:before="1"/>
        <w:ind w:left="871" w:right="178"/>
      </w:pPr>
      <w:r>
        <w:rPr/>
        <w:drawing>
          <wp:anchor distT="0" distB="0" distL="0" distR="0" allowOverlap="1" layoutInCell="1" locked="0" behindDoc="0" simplePos="0" relativeHeight="16094208">
            <wp:simplePos x="0" y="0"/>
            <wp:positionH relativeFrom="page">
              <wp:posOffset>832103</wp:posOffset>
            </wp:positionH>
            <wp:positionV relativeFrom="paragraph">
              <wp:posOffset>36247</wp:posOffset>
            </wp:positionV>
            <wp:extent cx="359663" cy="112762"/>
            <wp:effectExtent l="0" t="0" r="0" b="0"/>
            <wp:wrapNone/>
            <wp:docPr id="730" name="Image 730"/>
            <wp:cNvGraphicFramePr>
              <a:graphicFrameLocks/>
            </wp:cNvGraphicFramePr>
            <a:graphic>
              <a:graphicData uri="http://schemas.openxmlformats.org/drawingml/2006/picture">
                <pic:pic>
                  <pic:nvPicPr>
                    <pic:cNvPr id="730" name="Image 730"/>
                    <pic:cNvPicPr/>
                  </pic:nvPicPr>
                  <pic:blipFill>
                    <a:blip r:embed="rId283" cstate="print"/>
                    <a:stretch>
                      <a:fillRect/>
                    </a:stretch>
                  </pic:blipFill>
                  <pic:spPr>
                    <a:xfrm>
                      <a:off x="0" y="0"/>
                      <a:ext cx="359663" cy="112762"/>
                    </a:xfrm>
                    <a:prstGeom prst="rect">
                      <a:avLst/>
                    </a:prstGeom>
                  </pic:spPr>
                </pic:pic>
              </a:graphicData>
            </a:graphic>
          </wp:anchor>
        </w:drawing>
      </w:r>
      <w:bookmarkStart w:name="18.12. Reporting Expenditures under the " w:id="1040"/>
      <w:bookmarkEnd w:id="1040"/>
      <w:r>
        <w:rPr/>
      </w:r>
      <w:r>
        <w:rPr>
          <w:b/>
        </w:rPr>
        <w:t>Reporting Expenditures under</w:t>
      </w:r>
      <w:r>
        <w:rPr>
          <w:b/>
          <w:spacing w:val="-1"/>
        </w:rPr>
        <w:t> </w:t>
      </w:r>
      <w:r>
        <w:rPr>
          <w:b/>
        </w:rPr>
        <w:t>the</w:t>
      </w:r>
      <w:r>
        <w:rPr>
          <w:b/>
          <w:spacing w:val="-1"/>
        </w:rPr>
        <w:t> </w:t>
      </w:r>
      <w:r>
        <w:rPr>
          <w:b/>
        </w:rPr>
        <w:t>Demonstration for</w:t>
      </w:r>
      <w:r>
        <w:rPr>
          <w:b/>
          <w:spacing w:val="-1"/>
        </w:rPr>
        <w:t> </w:t>
      </w:r>
      <w:r>
        <w:rPr>
          <w:b/>
        </w:rPr>
        <w:t>Groups that</w:t>
      </w:r>
      <w:r>
        <w:rPr>
          <w:b/>
          <w:spacing w:val="-1"/>
        </w:rPr>
        <w:t> </w:t>
      </w:r>
      <w:r>
        <w:rPr>
          <w:b/>
        </w:rPr>
        <w:t>are</w:t>
      </w:r>
      <w:r>
        <w:rPr>
          <w:b/>
          <w:spacing w:val="-1"/>
        </w:rPr>
        <w:t> </w:t>
      </w:r>
      <w:r>
        <w:rPr>
          <w:b/>
        </w:rPr>
        <w:t>Eligible</w:t>
      </w:r>
      <w:r>
        <w:rPr>
          <w:b/>
          <w:spacing w:val="-1"/>
        </w:rPr>
        <w:t> </w:t>
      </w:r>
      <w:r>
        <w:rPr>
          <w:b/>
        </w:rPr>
        <w:t>First under the Separate Title XXI Program</w:t>
      </w:r>
      <w:r>
        <w:rPr/>
        <w:t>. The Commonwealth is entitled to claim title XXI funds for expenditures for certain children that are also eligible under this title XIX demonstration included within the Base Families MEG, the 1902(r)(2) Children EG, the CommonHealth MEG and the Family Assistance EG. These groups are included in the Commonwealth’s title XXI state plan and therefore can be funded through the separate title XXI</w:t>
      </w:r>
      <w:r>
        <w:rPr>
          <w:spacing w:val="-5"/>
        </w:rPr>
        <w:t> </w:t>
      </w:r>
      <w:r>
        <w:rPr/>
        <w:t>program up to the amount of its title XXI allotment (including</w:t>
      </w:r>
      <w:r>
        <w:rPr>
          <w:spacing w:val="-2"/>
        </w:rPr>
        <w:t> </w:t>
      </w:r>
      <w:r>
        <w:rPr/>
        <w:t>any</w:t>
      </w:r>
      <w:r>
        <w:rPr>
          <w:spacing w:val="-2"/>
        </w:rPr>
        <w:t> </w:t>
      </w:r>
      <w:r>
        <w:rPr/>
        <w:t>reallocations or redistributions). Expenditures for these children under title XXI must be reported on separate forms CMS-64.21U and/or 64.21UP in accordance with the instructions in section</w:t>
      </w:r>
      <w:r>
        <w:rPr>
          <w:spacing w:val="-3"/>
        </w:rPr>
        <w:t> </w:t>
      </w:r>
      <w:r>
        <w:rPr/>
        <w:t>2115</w:t>
      </w:r>
      <w:r>
        <w:rPr>
          <w:spacing w:val="-3"/>
        </w:rPr>
        <w:t> </w:t>
      </w:r>
      <w:r>
        <w:rPr/>
        <w:t>of</w:t>
      </w:r>
      <w:r>
        <w:rPr>
          <w:spacing w:val="-4"/>
        </w:rPr>
        <w:t> </w:t>
      </w:r>
      <w:r>
        <w:rPr/>
        <w:t>the</w:t>
      </w:r>
      <w:r>
        <w:rPr>
          <w:spacing w:val="-4"/>
        </w:rPr>
        <w:t> </w:t>
      </w:r>
      <w:r>
        <w:rPr/>
        <w:t>State</w:t>
      </w:r>
      <w:r>
        <w:rPr>
          <w:spacing w:val="-2"/>
        </w:rPr>
        <w:t> </w:t>
      </w:r>
      <w:r>
        <w:rPr/>
        <w:t>Medicaid</w:t>
      </w:r>
      <w:r>
        <w:rPr>
          <w:spacing w:val="-3"/>
        </w:rPr>
        <w:t> </w:t>
      </w:r>
      <w:r>
        <w:rPr/>
        <w:t>Manual.</w:t>
      </w:r>
      <w:r>
        <w:rPr>
          <w:spacing w:val="-1"/>
        </w:rPr>
        <w:t> </w:t>
      </w:r>
      <w:r>
        <w:rPr/>
        <w:t>If</w:t>
      </w:r>
      <w:r>
        <w:rPr>
          <w:spacing w:val="-2"/>
        </w:rPr>
        <w:t> </w:t>
      </w:r>
      <w:r>
        <w:rPr/>
        <w:t>the</w:t>
      </w:r>
      <w:r>
        <w:rPr>
          <w:spacing w:val="-2"/>
        </w:rPr>
        <w:t> </w:t>
      </w:r>
      <w:r>
        <w:rPr/>
        <w:t>title</w:t>
      </w:r>
      <w:r>
        <w:rPr>
          <w:spacing w:val="-4"/>
        </w:rPr>
        <w:t> </w:t>
      </w:r>
      <w:r>
        <w:rPr/>
        <w:t>XXI</w:t>
      </w:r>
      <w:r>
        <w:rPr>
          <w:spacing w:val="-7"/>
        </w:rPr>
        <w:t> </w:t>
      </w:r>
      <w:r>
        <w:rPr/>
        <w:t>allotment</w:t>
      </w:r>
      <w:r>
        <w:rPr>
          <w:spacing w:val="-3"/>
        </w:rPr>
        <w:t> </w:t>
      </w:r>
      <w:r>
        <w:rPr/>
        <w:t>has</w:t>
      </w:r>
      <w:r>
        <w:rPr>
          <w:spacing w:val="-3"/>
        </w:rPr>
        <w:t> </w:t>
      </w:r>
      <w:r>
        <w:rPr/>
        <w:t>been</w:t>
      </w:r>
      <w:r>
        <w:rPr>
          <w:spacing w:val="-3"/>
        </w:rPr>
        <w:t> </w:t>
      </w:r>
      <w:r>
        <w:rPr/>
        <w:t>exhausted, including any reallocations or redistributions, these children are then eligible under this title XIX demonstration and the following reporting requirements for these MEGs under the title XIX demonstration apply:</w:t>
      </w:r>
    </w:p>
    <w:p>
      <w:pPr>
        <w:spacing w:after="0"/>
        <w:sectPr>
          <w:pgSz w:w="12240" w:h="15840"/>
          <w:pgMar w:header="0" w:footer="1201" w:top="1360" w:bottom="1400" w:left="1200" w:right="1340"/>
        </w:sectPr>
      </w:pPr>
    </w:p>
    <w:p>
      <w:pPr>
        <w:pStyle w:val="BodyText"/>
        <w:spacing w:before="79"/>
        <w:ind w:left="1411" w:right="124"/>
      </w:pPr>
      <w:r>
        <w:rPr/>
        <w:drawing>
          <wp:anchor distT="0" distB="0" distL="0" distR="0" allowOverlap="1" layoutInCell="1" locked="0" behindDoc="0" simplePos="0" relativeHeight="16094720">
            <wp:simplePos x="0" y="0"/>
            <wp:positionH relativeFrom="page">
              <wp:posOffset>1431036</wp:posOffset>
            </wp:positionH>
            <wp:positionV relativeFrom="paragraph">
              <wp:posOffset>117781</wp:posOffset>
            </wp:positionV>
            <wp:extent cx="96011" cy="80759"/>
            <wp:effectExtent l="0" t="0" r="0" b="0"/>
            <wp:wrapNone/>
            <wp:docPr id="731" name="Image 731"/>
            <wp:cNvGraphicFramePr>
              <a:graphicFrameLocks/>
            </wp:cNvGraphicFramePr>
            <a:graphic>
              <a:graphicData uri="http://schemas.openxmlformats.org/drawingml/2006/picture">
                <pic:pic>
                  <pic:nvPicPr>
                    <pic:cNvPr id="731" name="Image 731"/>
                    <pic:cNvPicPr/>
                  </pic:nvPicPr>
                  <pic:blipFill>
                    <a:blip r:embed="rId29" cstate="print"/>
                    <a:stretch>
                      <a:fillRect/>
                    </a:stretch>
                  </pic:blipFill>
                  <pic:spPr>
                    <a:xfrm>
                      <a:off x="0" y="0"/>
                      <a:ext cx="96011" cy="80759"/>
                    </a:xfrm>
                    <a:prstGeom prst="rect">
                      <a:avLst/>
                    </a:prstGeom>
                  </pic:spPr>
                </pic:pic>
              </a:graphicData>
            </a:graphic>
          </wp:anchor>
        </w:drawing>
      </w:r>
      <w:bookmarkStart w:name="a. Base Families XXI RO, 1902(r)(2) RO, " w:id="1041"/>
      <w:bookmarkEnd w:id="1041"/>
      <w:r>
        <w:rPr/>
      </w:r>
      <w:r>
        <w:rPr>
          <w:b/>
        </w:rPr>
        <w:t>Base Families XXI RO, 1902(r)(2) RO, CommonHealth XXI, and Fam Assist XXI:</w:t>
      </w:r>
      <w:r>
        <w:rPr>
          <w:b/>
          <w:spacing w:val="-4"/>
        </w:rPr>
        <w:t> </w:t>
      </w:r>
      <w:r>
        <w:rPr/>
        <w:t>Exhaustion</w:t>
      </w:r>
      <w:r>
        <w:rPr>
          <w:spacing w:val="-3"/>
        </w:rPr>
        <w:t> </w:t>
      </w:r>
      <w:r>
        <w:rPr/>
        <w:t>of</w:t>
      </w:r>
      <w:r>
        <w:rPr>
          <w:spacing w:val="-4"/>
        </w:rPr>
        <w:t> </w:t>
      </w:r>
      <w:r>
        <w:rPr/>
        <w:t>Title</w:t>
      </w:r>
      <w:r>
        <w:rPr>
          <w:spacing w:val="-4"/>
        </w:rPr>
        <w:t> </w:t>
      </w:r>
      <w:r>
        <w:rPr/>
        <w:t>XXI</w:t>
      </w:r>
      <w:r>
        <w:rPr>
          <w:spacing w:val="-7"/>
        </w:rPr>
        <w:t> </w:t>
      </w:r>
      <w:r>
        <w:rPr/>
        <w:t>Funds. If</w:t>
      </w:r>
      <w:r>
        <w:rPr>
          <w:spacing w:val="-4"/>
        </w:rPr>
        <w:t> </w:t>
      </w:r>
      <w:r>
        <w:rPr/>
        <w:t>the</w:t>
      </w:r>
      <w:r>
        <w:rPr>
          <w:spacing w:val="-4"/>
        </w:rPr>
        <w:t> </w:t>
      </w:r>
      <w:r>
        <w:rPr/>
        <w:t>Commonwealth</w:t>
      </w:r>
      <w:r>
        <w:rPr>
          <w:spacing w:val="-3"/>
        </w:rPr>
        <w:t> </w:t>
      </w:r>
      <w:r>
        <w:rPr/>
        <w:t>has</w:t>
      </w:r>
      <w:r>
        <w:rPr>
          <w:spacing w:val="-3"/>
        </w:rPr>
        <w:t> </w:t>
      </w:r>
      <w:r>
        <w:rPr/>
        <w:t>exhausted</w:t>
      </w:r>
      <w:r>
        <w:rPr>
          <w:spacing w:val="-3"/>
        </w:rPr>
        <w:t> </w:t>
      </w:r>
      <w:r>
        <w:rPr/>
        <w:t>title</w:t>
      </w:r>
      <w:r>
        <w:rPr>
          <w:spacing w:val="-4"/>
        </w:rPr>
        <w:t> </w:t>
      </w:r>
      <w:r>
        <w:rPr/>
        <w:t>XXI funds, expenditures for</w:t>
      </w:r>
      <w:r>
        <w:rPr>
          <w:spacing w:val="-1"/>
        </w:rPr>
        <w:t> </w:t>
      </w:r>
      <w:r>
        <w:rPr/>
        <w:t>these</w:t>
      </w:r>
      <w:r>
        <w:rPr>
          <w:spacing w:val="-1"/>
        </w:rPr>
        <w:t> </w:t>
      </w:r>
      <w:r>
        <w:rPr/>
        <w:t>optional targeted low-income</w:t>
      </w:r>
      <w:r>
        <w:rPr>
          <w:spacing w:val="-1"/>
        </w:rPr>
        <w:t> </w:t>
      </w:r>
      <w:r>
        <w:rPr/>
        <w:t>children may</w:t>
      </w:r>
      <w:r>
        <w:rPr>
          <w:spacing w:val="-3"/>
        </w:rPr>
        <w:t> </w:t>
      </w:r>
      <w:r>
        <w:rPr/>
        <w:t>be</w:t>
      </w:r>
      <w:r>
        <w:rPr>
          <w:spacing w:val="-1"/>
        </w:rPr>
        <w:t> </w:t>
      </w:r>
      <w:r>
        <w:rPr/>
        <w:t>claimed as title XIX expenditures as approved in the Medicaid state plan. The Commonwealth shall report expenditures for these children as waiver expenditures on the forms CMS 64.9 Waiver and/or CMS 64.9P Waiver in accordance with STC</w:t>
      </w:r>
    </w:p>
    <w:p>
      <w:pPr>
        <w:pStyle w:val="BodyText"/>
        <w:ind w:left="1411"/>
      </w:pPr>
      <w:r>
        <w:rPr/>
        <w:t>18.11</w:t>
      </w:r>
      <w:r>
        <w:rPr>
          <w:spacing w:val="-4"/>
        </w:rPr>
        <w:t> </w:t>
      </w:r>
      <w:r>
        <w:rPr/>
        <w:t>(Reporting</w:t>
      </w:r>
      <w:r>
        <w:rPr>
          <w:spacing w:val="-4"/>
        </w:rPr>
        <w:t> </w:t>
      </w:r>
      <w:r>
        <w:rPr/>
        <w:t>Expenditures</w:t>
      </w:r>
      <w:r>
        <w:rPr>
          <w:spacing w:val="-1"/>
        </w:rPr>
        <w:t> </w:t>
      </w:r>
      <w:r>
        <w:rPr/>
        <w:t>and</w:t>
      </w:r>
      <w:r>
        <w:rPr>
          <w:spacing w:val="-1"/>
        </w:rPr>
        <w:t> </w:t>
      </w:r>
      <w:r>
        <w:rPr/>
        <w:t>Member</w:t>
      </w:r>
      <w:r>
        <w:rPr>
          <w:spacing w:val="-2"/>
        </w:rPr>
        <w:t> Months).</w:t>
      </w:r>
    </w:p>
    <w:p>
      <w:pPr>
        <w:pStyle w:val="BodyText"/>
        <w:spacing w:before="10"/>
        <w:rPr>
          <w:sz w:val="20"/>
        </w:rPr>
      </w:pPr>
    </w:p>
    <w:p>
      <w:pPr>
        <w:spacing w:before="0"/>
        <w:ind w:left="1411" w:right="167" w:firstLine="0"/>
        <w:jc w:val="left"/>
        <w:rPr>
          <w:sz w:val="24"/>
        </w:rPr>
      </w:pPr>
      <w:r>
        <w:rPr/>
        <w:drawing>
          <wp:anchor distT="0" distB="0" distL="0" distR="0" allowOverlap="1" layoutInCell="1" locked="0" behindDoc="0" simplePos="0" relativeHeight="16095232">
            <wp:simplePos x="0" y="0"/>
            <wp:positionH relativeFrom="page">
              <wp:posOffset>1424939</wp:posOffset>
            </wp:positionH>
            <wp:positionV relativeFrom="paragraph">
              <wp:posOffset>32551</wp:posOffset>
            </wp:positionV>
            <wp:extent cx="111251" cy="115823"/>
            <wp:effectExtent l="0" t="0" r="0" b="0"/>
            <wp:wrapNone/>
            <wp:docPr id="732" name="Image 732"/>
            <wp:cNvGraphicFramePr>
              <a:graphicFrameLocks/>
            </wp:cNvGraphicFramePr>
            <a:graphic>
              <a:graphicData uri="http://schemas.openxmlformats.org/drawingml/2006/picture">
                <pic:pic>
                  <pic:nvPicPr>
                    <pic:cNvPr id="732" name="Image 732"/>
                    <pic:cNvPicPr/>
                  </pic:nvPicPr>
                  <pic:blipFill>
                    <a:blip r:embed="rId34" cstate="print"/>
                    <a:stretch>
                      <a:fillRect/>
                    </a:stretch>
                  </pic:blipFill>
                  <pic:spPr>
                    <a:xfrm>
                      <a:off x="0" y="0"/>
                      <a:ext cx="111251" cy="115823"/>
                    </a:xfrm>
                    <a:prstGeom prst="rect">
                      <a:avLst/>
                    </a:prstGeom>
                  </pic:spPr>
                </pic:pic>
              </a:graphicData>
            </a:graphic>
          </wp:anchor>
        </w:drawing>
      </w:r>
      <w:bookmarkStart w:name="b. Exhaustion of Title XXI Funds Notific" w:id="1042"/>
      <w:bookmarkEnd w:id="1042"/>
      <w:r>
        <w:rPr/>
      </w:r>
      <w:r>
        <w:rPr>
          <w:b/>
          <w:sz w:val="24"/>
        </w:rPr>
        <w:t>Exhaustion of Title XXI Funds Notification. </w:t>
      </w:r>
      <w:r>
        <w:rPr>
          <w:sz w:val="24"/>
        </w:rPr>
        <w:t>The Commonwealth must notify CMS</w:t>
      </w:r>
      <w:r>
        <w:rPr>
          <w:spacing w:val="-2"/>
          <w:sz w:val="24"/>
        </w:rPr>
        <w:t> </w:t>
      </w:r>
      <w:r>
        <w:rPr>
          <w:sz w:val="24"/>
        </w:rPr>
        <w:t>in</w:t>
      </w:r>
      <w:r>
        <w:rPr>
          <w:spacing w:val="-2"/>
          <w:sz w:val="24"/>
        </w:rPr>
        <w:t> </w:t>
      </w:r>
      <w:r>
        <w:rPr>
          <w:sz w:val="24"/>
        </w:rPr>
        <w:t>writing</w:t>
      </w:r>
      <w:r>
        <w:rPr>
          <w:spacing w:val="-5"/>
          <w:sz w:val="24"/>
        </w:rPr>
        <w:t> </w:t>
      </w:r>
      <w:r>
        <w:rPr>
          <w:sz w:val="24"/>
        </w:rPr>
        <w:t>of</w:t>
      </w:r>
      <w:r>
        <w:rPr>
          <w:spacing w:val="-3"/>
          <w:sz w:val="24"/>
        </w:rPr>
        <w:t> </w:t>
      </w:r>
      <w:r>
        <w:rPr>
          <w:sz w:val="24"/>
        </w:rPr>
        <w:t>any</w:t>
      </w:r>
      <w:r>
        <w:rPr>
          <w:spacing w:val="-7"/>
          <w:sz w:val="24"/>
        </w:rPr>
        <w:t> </w:t>
      </w:r>
      <w:r>
        <w:rPr>
          <w:sz w:val="24"/>
        </w:rPr>
        <w:t>anticipated</w:t>
      </w:r>
      <w:r>
        <w:rPr>
          <w:spacing w:val="-2"/>
          <w:sz w:val="24"/>
        </w:rPr>
        <w:t> </w:t>
      </w:r>
      <w:r>
        <w:rPr>
          <w:sz w:val="24"/>
        </w:rPr>
        <w:t>title</w:t>
      </w:r>
      <w:r>
        <w:rPr>
          <w:spacing w:val="-3"/>
          <w:sz w:val="24"/>
        </w:rPr>
        <w:t> </w:t>
      </w:r>
      <w:r>
        <w:rPr>
          <w:sz w:val="24"/>
        </w:rPr>
        <w:t>XXI</w:t>
      </w:r>
      <w:r>
        <w:rPr>
          <w:spacing w:val="-6"/>
          <w:sz w:val="24"/>
        </w:rPr>
        <w:t> </w:t>
      </w:r>
      <w:r>
        <w:rPr>
          <w:sz w:val="24"/>
        </w:rPr>
        <w:t>shortfall</w:t>
      </w:r>
      <w:r>
        <w:rPr>
          <w:spacing w:val="-2"/>
          <w:sz w:val="24"/>
        </w:rPr>
        <w:t> </w:t>
      </w:r>
      <w:r>
        <w:rPr>
          <w:sz w:val="24"/>
        </w:rPr>
        <w:t>at</w:t>
      </w:r>
      <w:r>
        <w:rPr>
          <w:spacing w:val="-2"/>
          <w:sz w:val="24"/>
        </w:rPr>
        <w:t> </w:t>
      </w:r>
      <w:r>
        <w:rPr>
          <w:sz w:val="24"/>
        </w:rPr>
        <w:t>least</w:t>
      </w:r>
      <w:r>
        <w:rPr>
          <w:spacing w:val="-2"/>
          <w:sz w:val="24"/>
        </w:rPr>
        <w:t> </w:t>
      </w:r>
      <w:r>
        <w:rPr>
          <w:sz w:val="24"/>
        </w:rPr>
        <w:t>120</w:t>
      </w:r>
      <w:r>
        <w:rPr>
          <w:spacing w:val="-2"/>
          <w:sz w:val="24"/>
        </w:rPr>
        <w:t> </w:t>
      </w:r>
      <w:r>
        <w:rPr>
          <w:sz w:val="24"/>
        </w:rPr>
        <w:t>days</w:t>
      </w:r>
      <w:r>
        <w:rPr>
          <w:spacing w:val="-2"/>
          <w:sz w:val="24"/>
        </w:rPr>
        <w:t> </w:t>
      </w:r>
      <w:r>
        <w:rPr>
          <w:sz w:val="24"/>
        </w:rPr>
        <w:t>prior</w:t>
      </w:r>
      <w:r>
        <w:rPr>
          <w:spacing w:val="-3"/>
          <w:sz w:val="24"/>
        </w:rPr>
        <w:t> </w:t>
      </w:r>
      <w:r>
        <w:rPr>
          <w:sz w:val="24"/>
        </w:rPr>
        <w:t>to</w:t>
      </w:r>
      <w:r>
        <w:rPr>
          <w:spacing w:val="-2"/>
          <w:sz w:val="24"/>
        </w:rPr>
        <w:t> </w:t>
      </w:r>
      <w:r>
        <w:rPr>
          <w:sz w:val="24"/>
        </w:rPr>
        <w:t>an expected change in claiming of expenditures.</w:t>
      </w:r>
    </w:p>
    <w:p>
      <w:pPr>
        <w:pStyle w:val="BodyText"/>
        <w:spacing w:before="10"/>
        <w:rPr>
          <w:sz w:val="20"/>
        </w:rPr>
      </w:pPr>
    </w:p>
    <w:p>
      <w:pPr>
        <w:pStyle w:val="BodyText"/>
        <w:ind w:left="1411" w:right="167"/>
      </w:pPr>
      <w:r>
        <w:rPr/>
        <w:drawing>
          <wp:anchor distT="0" distB="0" distL="0" distR="0" allowOverlap="1" layoutInCell="1" locked="0" behindDoc="0" simplePos="0" relativeHeight="16095744">
            <wp:simplePos x="0" y="0"/>
            <wp:positionH relativeFrom="page">
              <wp:posOffset>1431036</wp:posOffset>
            </wp:positionH>
            <wp:positionV relativeFrom="paragraph">
              <wp:posOffset>67616</wp:posOffset>
            </wp:positionV>
            <wp:extent cx="96011" cy="80759"/>
            <wp:effectExtent l="0" t="0" r="0" b="0"/>
            <wp:wrapNone/>
            <wp:docPr id="733" name="Image 733"/>
            <wp:cNvGraphicFramePr>
              <a:graphicFrameLocks/>
            </wp:cNvGraphicFramePr>
            <a:graphic>
              <a:graphicData uri="http://schemas.openxmlformats.org/drawingml/2006/picture">
                <pic:pic>
                  <pic:nvPicPr>
                    <pic:cNvPr id="733" name="Image 733"/>
                    <pic:cNvPicPr/>
                  </pic:nvPicPr>
                  <pic:blipFill>
                    <a:blip r:embed="rId35" cstate="print"/>
                    <a:stretch>
                      <a:fillRect/>
                    </a:stretch>
                  </pic:blipFill>
                  <pic:spPr>
                    <a:xfrm>
                      <a:off x="0" y="0"/>
                      <a:ext cx="96011" cy="80759"/>
                    </a:xfrm>
                    <a:prstGeom prst="rect">
                      <a:avLst/>
                    </a:prstGeom>
                  </pic:spPr>
                </pic:pic>
              </a:graphicData>
            </a:graphic>
          </wp:anchor>
        </w:drawing>
      </w:r>
      <w:bookmarkStart w:name="c. If the Commonwealth chooses to claim " w:id="1043"/>
      <w:bookmarkEnd w:id="1043"/>
      <w:r>
        <w:rPr/>
      </w:r>
      <w:r>
        <w:rPr/>
        <w:t>If the Commonwealth chooses to claim expenditures for Base Families XXI RO, 1902(r)(2)</w:t>
      </w:r>
      <w:r>
        <w:rPr>
          <w:spacing w:val="-5"/>
        </w:rPr>
        <w:t> </w:t>
      </w:r>
      <w:r>
        <w:rPr/>
        <w:t>RO,</w:t>
      </w:r>
      <w:r>
        <w:rPr>
          <w:spacing w:val="-4"/>
        </w:rPr>
        <w:t> </w:t>
      </w:r>
      <w:r>
        <w:rPr/>
        <w:t>and</w:t>
      </w:r>
      <w:r>
        <w:rPr>
          <w:spacing w:val="-4"/>
        </w:rPr>
        <w:t> </w:t>
      </w:r>
      <w:r>
        <w:rPr/>
        <w:t>CommonHealth</w:t>
      </w:r>
      <w:r>
        <w:rPr>
          <w:spacing w:val="-4"/>
        </w:rPr>
        <w:t> </w:t>
      </w:r>
      <w:r>
        <w:rPr/>
        <w:t>XXI</w:t>
      </w:r>
      <w:r>
        <w:rPr>
          <w:spacing w:val="-5"/>
        </w:rPr>
        <w:t> </w:t>
      </w:r>
      <w:r>
        <w:rPr/>
        <w:t>groups</w:t>
      </w:r>
      <w:r>
        <w:rPr>
          <w:spacing w:val="-4"/>
        </w:rPr>
        <w:t> </w:t>
      </w:r>
      <w:r>
        <w:rPr/>
        <w:t>under</w:t>
      </w:r>
      <w:r>
        <w:rPr>
          <w:spacing w:val="-5"/>
        </w:rPr>
        <w:t> </w:t>
      </w:r>
      <w:r>
        <w:rPr/>
        <w:t>title</w:t>
      </w:r>
      <w:r>
        <w:rPr>
          <w:spacing w:val="-5"/>
        </w:rPr>
        <w:t> </w:t>
      </w:r>
      <w:r>
        <w:rPr/>
        <w:t>XIX,</w:t>
      </w:r>
      <w:r>
        <w:rPr>
          <w:spacing w:val="-4"/>
        </w:rPr>
        <w:t> </w:t>
      </w:r>
      <w:r>
        <w:rPr/>
        <w:t>the</w:t>
      </w:r>
      <w:r>
        <w:rPr>
          <w:spacing w:val="-3"/>
        </w:rPr>
        <w:t> </w:t>
      </w:r>
      <w:r>
        <w:rPr/>
        <w:t>expenditures and caseload attributable to these MEGs will:</w:t>
      </w:r>
    </w:p>
    <w:p>
      <w:pPr>
        <w:pStyle w:val="BodyText"/>
        <w:spacing w:before="10"/>
        <w:rPr>
          <w:sz w:val="20"/>
        </w:rPr>
      </w:pPr>
    </w:p>
    <w:p>
      <w:pPr>
        <w:pStyle w:val="BodyText"/>
        <w:ind w:left="2040" w:right="207"/>
        <w:jc w:val="both"/>
      </w:pPr>
      <w:r>
        <w:rPr/>
        <w:drawing>
          <wp:anchor distT="0" distB="0" distL="0" distR="0" allowOverlap="1" layoutInCell="1" locked="0" behindDoc="0" simplePos="0" relativeHeight="16096256">
            <wp:simplePos x="0" y="0"/>
            <wp:positionH relativeFrom="page">
              <wp:posOffset>1862327</wp:posOffset>
            </wp:positionH>
            <wp:positionV relativeFrom="paragraph">
              <wp:posOffset>32551</wp:posOffset>
            </wp:positionV>
            <wp:extent cx="73151" cy="115823"/>
            <wp:effectExtent l="0" t="0" r="0" b="0"/>
            <wp:wrapNone/>
            <wp:docPr id="734" name="Image 734"/>
            <wp:cNvGraphicFramePr>
              <a:graphicFrameLocks/>
            </wp:cNvGraphicFramePr>
            <a:graphic>
              <a:graphicData uri="http://schemas.openxmlformats.org/drawingml/2006/picture">
                <pic:pic>
                  <pic:nvPicPr>
                    <pic:cNvPr id="734" name="Image 734"/>
                    <pic:cNvPicPr/>
                  </pic:nvPicPr>
                  <pic:blipFill>
                    <a:blip r:embed="rId126" cstate="print"/>
                    <a:stretch>
                      <a:fillRect/>
                    </a:stretch>
                  </pic:blipFill>
                  <pic:spPr>
                    <a:xfrm>
                      <a:off x="0" y="0"/>
                      <a:ext cx="73151" cy="115823"/>
                    </a:xfrm>
                    <a:prstGeom prst="rect">
                      <a:avLst/>
                    </a:prstGeom>
                  </pic:spPr>
                </pic:pic>
              </a:graphicData>
            </a:graphic>
          </wp:anchor>
        </w:drawing>
      </w:r>
      <w:bookmarkStart w:name="i. Count toward the budget neutrality ex" w:id="1044"/>
      <w:bookmarkEnd w:id="1044"/>
      <w:r>
        <w:rPr/>
      </w:r>
      <w:r>
        <w:rPr/>
        <w:t>Count</w:t>
      </w:r>
      <w:r>
        <w:rPr>
          <w:spacing w:val="-4"/>
        </w:rPr>
        <w:t> </w:t>
      </w:r>
      <w:r>
        <w:rPr/>
        <w:t>toward</w:t>
      </w:r>
      <w:r>
        <w:rPr>
          <w:spacing w:val="-4"/>
        </w:rPr>
        <w:t> </w:t>
      </w:r>
      <w:r>
        <w:rPr/>
        <w:t>the</w:t>
      </w:r>
      <w:r>
        <w:rPr>
          <w:spacing w:val="-5"/>
        </w:rPr>
        <w:t> </w:t>
      </w:r>
      <w:r>
        <w:rPr/>
        <w:t>budget</w:t>
      </w:r>
      <w:r>
        <w:rPr>
          <w:spacing w:val="-2"/>
        </w:rPr>
        <w:t> </w:t>
      </w:r>
      <w:r>
        <w:rPr/>
        <w:t>neutrality</w:t>
      </w:r>
      <w:r>
        <w:rPr>
          <w:spacing w:val="-6"/>
        </w:rPr>
        <w:t> </w:t>
      </w:r>
      <w:r>
        <w:rPr/>
        <w:t>expenditure</w:t>
      </w:r>
      <w:r>
        <w:rPr>
          <w:spacing w:val="-5"/>
        </w:rPr>
        <w:t> </w:t>
      </w:r>
      <w:r>
        <w:rPr/>
        <w:t>limit</w:t>
      </w:r>
      <w:r>
        <w:rPr>
          <w:spacing w:val="-4"/>
        </w:rPr>
        <w:t> </w:t>
      </w:r>
      <w:r>
        <w:rPr/>
        <w:t>calculated</w:t>
      </w:r>
      <w:r>
        <w:rPr>
          <w:spacing w:val="-4"/>
        </w:rPr>
        <w:t> </w:t>
      </w:r>
      <w:r>
        <w:rPr/>
        <w:t>under</w:t>
      </w:r>
      <w:r>
        <w:rPr>
          <w:spacing w:val="-5"/>
        </w:rPr>
        <w:t> </w:t>
      </w:r>
      <w:r>
        <w:rPr/>
        <w:t>section 19,</w:t>
      </w:r>
      <w:r>
        <w:rPr>
          <w:spacing w:val="-3"/>
        </w:rPr>
        <w:t> </w:t>
      </w:r>
      <w:r>
        <w:rPr/>
        <w:t>STC</w:t>
      </w:r>
      <w:r>
        <w:rPr>
          <w:spacing w:val="-3"/>
        </w:rPr>
        <w:t> </w:t>
      </w:r>
      <w:r>
        <w:rPr/>
        <w:t>19.3</w:t>
      </w:r>
      <w:r>
        <w:rPr>
          <w:spacing w:val="-3"/>
        </w:rPr>
        <w:t> </w:t>
      </w:r>
      <w:r>
        <w:rPr/>
        <w:t>(Calculation</w:t>
      </w:r>
      <w:r>
        <w:rPr>
          <w:spacing w:val="-3"/>
        </w:rPr>
        <w:t> </w:t>
      </w:r>
      <w:r>
        <w:rPr/>
        <w:t>of</w:t>
      </w:r>
      <w:r>
        <w:rPr>
          <w:spacing w:val="-4"/>
        </w:rPr>
        <w:t> </w:t>
      </w:r>
      <w:r>
        <w:rPr/>
        <w:t>the</w:t>
      </w:r>
      <w:r>
        <w:rPr>
          <w:spacing w:val="-4"/>
        </w:rPr>
        <w:t> </w:t>
      </w:r>
      <w:r>
        <w:rPr/>
        <w:t>Budget</w:t>
      </w:r>
      <w:r>
        <w:rPr>
          <w:spacing w:val="-3"/>
        </w:rPr>
        <w:t> </w:t>
      </w:r>
      <w:r>
        <w:rPr/>
        <w:t>Neutrality</w:t>
      </w:r>
      <w:r>
        <w:rPr>
          <w:spacing w:val="-3"/>
        </w:rPr>
        <w:t> </w:t>
      </w:r>
      <w:r>
        <w:rPr/>
        <w:t>Limits</w:t>
      </w:r>
      <w:r>
        <w:rPr>
          <w:spacing w:val="-3"/>
        </w:rPr>
        <w:t> </w:t>
      </w:r>
      <w:r>
        <w:rPr/>
        <w:t>and</w:t>
      </w:r>
      <w:r>
        <w:rPr>
          <w:spacing w:val="-3"/>
        </w:rPr>
        <w:t> </w:t>
      </w:r>
      <w:r>
        <w:rPr/>
        <w:t>How</w:t>
      </w:r>
      <w:r>
        <w:rPr>
          <w:spacing w:val="-4"/>
        </w:rPr>
        <w:t> </w:t>
      </w:r>
      <w:r>
        <w:rPr/>
        <w:t>They</w:t>
      </w:r>
      <w:r>
        <w:rPr>
          <w:spacing w:val="-6"/>
        </w:rPr>
        <w:t> </w:t>
      </w:r>
      <w:r>
        <w:rPr/>
        <w:t>are Applied); and</w:t>
      </w:r>
    </w:p>
    <w:p>
      <w:pPr>
        <w:pStyle w:val="BodyText"/>
        <w:spacing w:before="161"/>
        <w:ind w:left="2040" w:right="167"/>
      </w:pPr>
      <w:r>
        <w:rPr/>
        <w:drawing>
          <wp:anchor distT="0" distB="0" distL="0" distR="0" allowOverlap="1" layoutInCell="1" locked="0" behindDoc="0" simplePos="0" relativeHeight="16096768">
            <wp:simplePos x="0" y="0"/>
            <wp:positionH relativeFrom="page">
              <wp:posOffset>1819655</wp:posOffset>
            </wp:positionH>
            <wp:positionV relativeFrom="paragraph">
              <wp:posOffset>134786</wp:posOffset>
            </wp:positionV>
            <wp:extent cx="115823" cy="115823"/>
            <wp:effectExtent l="0" t="0" r="0" b="0"/>
            <wp:wrapNone/>
            <wp:docPr id="735" name="Image 735"/>
            <wp:cNvGraphicFramePr>
              <a:graphicFrameLocks/>
            </wp:cNvGraphicFramePr>
            <a:graphic>
              <a:graphicData uri="http://schemas.openxmlformats.org/drawingml/2006/picture">
                <pic:pic>
                  <pic:nvPicPr>
                    <pic:cNvPr id="735" name="Image 735"/>
                    <pic:cNvPicPr/>
                  </pic:nvPicPr>
                  <pic:blipFill>
                    <a:blip r:embed="rId117" cstate="print"/>
                    <a:stretch>
                      <a:fillRect/>
                    </a:stretch>
                  </pic:blipFill>
                  <pic:spPr>
                    <a:xfrm>
                      <a:off x="0" y="0"/>
                      <a:ext cx="115823" cy="115823"/>
                    </a:xfrm>
                    <a:prstGeom prst="rect">
                      <a:avLst/>
                    </a:prstGeom>
                  </pic:spPr>
                </pic:pic>
              </a:graphicData>
            </a:graphic>
          </wp:anchor>
        </w:drawing>
      </w:r>
      <w:bookmarkStart w:name="ii. Be considered expenditures subject t" w:id="1045"/>
      <w:bookmarkEnd w:id="1045"/>
      <w:r>
        <w:rPr/>
      </w:r>
      <w:r>
        <w:rPr/>
        <w:t>Be considered expenditures subject to the budget neutrality agreement as defined</w:t>
      </w:r>
      <w:r>
        <w:rPr>
          <w:spacing w:val="-3"/>
        </w:rPr>
        <w:t> </w:t>
      </w:r>
      <w:r>
        <w:rPr/>
        <w:t>in</w:t>
      </w:r>
      <w:r>
        <w:rPr>
          <w:spacing w:val="-3"/>
        </w:rPr>
        <w:t> </w:t>
      </w:r>
      <w:r>
        <w:rPr/>
        <w:t>STC</w:t>
      </w:r>
      <w:r>
        <w:rPr>
          <w:spacing w:val="-3"/>
        </w:rPr>
        <w:t> </w:t>
      </w:r>
      <w:r>
        <w:rPr/>
        <w:t>19.3,</w:t>
      </w:r>
      <w:r>
        <w:rPr>
          <w:spacing w:val="-3"/>
        </w:rPr>
        <w:t> </w:t>
      </w:r>
      <w:r>
        <w:rPr/>
        <w:t>so</w:t>
      </w:r>
      <w:r>
        <w:rPr>
          <w:spacing w:val="-3"/>
        </w:rPr>
        <w:t> </w:t>
      </w:r>
      <w:r>
        <w:rPr/>
        <w:t>that</w:t>
      </w:r>
      <w:r>
        <w:rPr>
          <w:spacing w:val="-3"/>
        </w:rPr>
        <w:t> </w:t>
      </w:r>
      <w:r>
        <w:rPr/>
        <w:t>the</w:t>
      </w:r>
      <w:r>
        <w:rPr>
          <w:spacing w:val="-4"/>
        </w:rPr>
        <w:t> </w:t>
      </w:r>
      <w:r>
        <w:rPr/>
        <w:t>Commonwealth</w:t>
      </w:r>
      <w:r>
        <w:rPr>
          <w:spacing w:val="-3"/>
        </w:rPr>
        <w:t> </w:t>
      </w:r>
      <w:r>
        <w:rPr/>
        <w:t>is</w:t>
      </w:r>
      <w:r>
        <w:rPr>
          <w:spacing w:val="-3"/>
        </w:rPr>
        <w:t> </w:t>
      </w:r>
      <w:r>
        <w:rPr/>
        <w:t>not</w:t>
      </w:r>
      <w:r>
        <w:rPr>
          <w:spacing w:val="-3"/>
        </w:rPr>
        <w:t> </w:t>
      </w:r>
      <w:r>
        <w:rPr/>
        <w:t>at</w:t>
      </w:r>
      <w:r>
        <w:rPr>
          <w:spacing w:val="-3"/>
        </w:rPr>
        <w:t> </w:t>
      </w:r>
      <w:r>
        <w:rPr/>
        <w:t>risk</w:t>
      </w:r>
      <w:r>
        <w:rPr>
          <w:spacing w:val="-3"/>
        </w:rPr>
        <w:t> </w:t>
      </w:r>
      <w:r>
        <w:rPr/>
        <w:t>for</w:t>
      </w:r>
      <w:r>
        <w:rPr>
          <w:spacing w:val="-4"/>
        </w:rPr>
        <w:t> </w:t>
      </w:r>
      <w:r>
        <w:rPr/>
        <w:t>caseload while claiming</w:t>
      </w:r>
      <w:r>
        <w:rPr>
          <w:spacing w:val="-2"/>
        </w:rPr>
        <w:t> </w:t>
      </w:r>
      <w:r>
        <w:rPr/>
        <w:t>title XIX federal matching</w:t>
      </w:r>
      <w:r>
        <w:rPr>
          <w:spacing w:val="-2"/>
        </w:rPr>
        <w:t> </w:t>
      </w:r>
      <w:r>
        <w:rPr/>
        <w:t>funds when title XXI</w:t>
      </w:r>
      <w:r>
        <w:rPr>
          <w:spacing w:val="-3"/>
        </w:rPr>
        <w:t> </w:t>
      </w:r>
      <w:r>
        <w:rPr/>
        <w:t>funds are </w:t>
      </w:r>
      <w:r>
        <w:rPr>
          <w:spacing w:val="-2"/>
        </w:rPr>
        <w:t>exhausted.</w:t>
      </w:r>
    </w:p>
    <w:p>
      <w:pPr>
        <w:pStyle w:val="BodyText"/>
        <w:spacing w:before="199"/>
        <w:ind w:left="1411" w:right="167"/>
      </w:pPr>
      <w:r>
        <w:rPr/>
        <w:drawing>
          <wp:anchor distT="0" distB="0" distL="0" distR="0" allowOverlap="1" layoutInCell="1" locked="0" behindDoc="0" simplePos="0" relativeHeight="16097280">
            <wp:simplePos x="0" y="0"/>
            <wp:positionH relativeFrom="page">
              <wp:posOffset>1431036</wp:posOffset>
            </wp:positionH>
            <wp:positionV relativeFrom="paragraph">
              <wp:posOffset>158916</wp:posOffset>
            </wp:positionV>
            <wp:extent cx="105155" cy="115823"/>
            <wp:effectExtent l="0" t="0" r="0" b="0"/>
            <wp:wrapNone/>
            <wp:docPr id="736" name="Image 736"/>
            <wp:cNvGraphicFramePr>
              <a:graphicFrameLocks/>
            </wp:cNvGraphicFramePr>
            <a:graphic>
              <a:graphicData uri="http://schemas.openxmlformats.org/drawingml/2006/picture">
                <pic:pic>
                  <pic:nvPicPr>
                    <pic:cNvPr id="736" name="Image 736"/>
                    <pic:cNvPicPr/>
                  </pic:nvPicPr>
                  <pic:blipFill>
                    <a:blip r:embed="rId93" cstate="print"/>
                    <a:stretch>
                      <a:fillRect/>
                    </a:stretch>
                  </pic:blipFill>
                  <pic:spPr>
                    <a:xfrm>
                      <a:off x="0" y="0"/>
                      <a:ext cx="105155" cy="115823"/>
                    </a:xfrm>
                    <a:prstGeom prst="rect">
                      <a:avLst/>
                    </a:prstGeom>
                  </pic:spPr>
                </pic:pic>
              </a:graphicData>
            </a:graphic>
          </wp:anchor>
        </w:drawing>
      </w:r>
      <w:bookmarkStart w:name="d. If the Commonwealth chooses to claim " w:id="1046"/>
      <w:bookmarkEnd w:id="1046"/>
      <w:r>
        <w:rPr/>
      </w:r>
      <w:r>
        <w:rPr/>
        <w:t>If the</w:t>
      </w:r>
      <w:r>
        <w:rPr>
          <w:spacing w:val="-2"/>
        </w:rPr>
        <w:t> </w:t>
      </w:r>
      <w:r>
        <w:rPr/>
        <w:t>Commonwealth</w:t>
      </w:r>
      <w:r>
        <w:rPr>
          <w:spacing w:val="-1"/>
        </w:rPr>
        <w:t> </w:t>
      </w:r>
      <w:r>
        <w:rPr/>
        <w:t>chooses</w:t>
      </w:r>
      <w:r>
        <w:rPr>
          <w:spacing w:val="-1"/>
        </w:rPr>
        <w:t> </w:t>
      </w:r>
      <w:r>
        <w:rPr/>
        <w:t>to</w:t>
      </w:r>
      <w:r>
        <w:rPr>
          <w:spacing w:val="-1"/>
        </w:rPr>
        <w:t> </w:t>
      </w:r>
      <w:r>
        <w:rPr/>
        <w:t>claim</w:t>
      </w:r>
      <w:r>
        <w:rPr>
          <w:spacing w:val="-1"/>
        </w:rPr>
        <w:t> </w:t>
      </w:r>
      <w:r>
        <w:rPr/>
        <w:t>expenditures</w:t>
      </w:r>
      <w:r>
        <w:rPr>
          <w:spacing w:val="-1"/>
        </w:rPr>
        <w:t> </w:t>
      </w:r>
      <w:r>
        <w:rPr/>
        <w:t>for Fam</w:t>
      </w:r>
      <w:r>
        <w:rPr>
          <w:spacing w:val="-1"/>
        </w:rPr>
        <w:t> </w:t>
      </w:r>
      <w:r>
        <w:rPr/>
        <w:t>Assist</w:t>
      </w:r>
      <w:r>
        <w:rPr>
          <w:spacing w:val="-1"/>
        </w:rPr>
        <w:t> </w:t>
      </w:r>
      <w:r>
        <w:rPr/>
        <w:t>XXI</w:t>
      </w:r>
      <w:r>
        <w:rPr>
          <w:spacing w:val="-5"/>
        </w:rPr>
        <w:t> </w:t>
      </w:r>
      <w:r>
        <w:rPr/>
        <w:t>under</w:t>
      </w:r>
      <w:r>
        <w:rPr>
          <w:spacing w:val="-2"/>
        </w:rPr>
        <w:t> </w:t>
      </w:r>
      <w:r>
        <w:rPr/>
        <w:t>title XIX, the expenditures and caseload attributable to this MEG will be considered expenditures</w:t>
      </w:r>
      <w:r>
        <w:rPr>
          <w:spacing w:val="-3"/>
        </w:rPr>
        <w:t> </w:t>
      </w:r>
      <w:r>
        <w:rPr/>
        <w:t>subject</w:t>
      </w:r>
      <w:r>
        <w:rPr>
          <w:spacing w:val="-3"/>
        </w:rPr>
        <w:t> </w:t>
      </w:r>
      <w:r>
        <w:rPr/>
        <w:t>to</w:t>
      </w:r>
      <w:r>
        <w:rPr>
          <w:spacing w:val="-3"/>
        </w:rPr>
        <w:t> </w:t>
      </w:r>
      <w:r>
        <w:rPr/>
        <w:t>the</w:t>
      </w:r>
      <w:r>
        <w:rPr>
          <w:spacing w:val="-4"/>
        </w:rPr>
        <w:t> </w:t>
      </w:r>
      <w:r>
        <w:rPr/>
        <w:t>budget</w:t>
      </w:r>
      <w:r>
        <w:rPr>
          <w:spacing w:val="-3"/>
        </w:rPr>
        <w:t> </w:t>
      </w:r>
      <w:r>
        <w:rPr/>
        <w:t>neutrality</w:t>
      </w:r>
      <w:r>
        <w:rPr>
          <w:spacing w:val="-8"/>
        </w:rPr>
        <w:t> </w:t>
      </w:r>
      <w:r>
        <w:rPr/>
        <w:t>agreement</w:t>
      </w:r>
      <w:r>
        <w:rPr>
          <w:spacing w:val="-3"/>
        </w:rPr>
        <w:t> </w:t>
      </w:r>
      <w:r>
        <w:rPr/>
        <w:t>as</w:t>
      </w:r>
      <w:r>
        <w:rPr>
          <w:spacing w:val="-3"/>
        </w:rPr>
        <w:t> </w:t>
      </w:r>
      <w:r>
        <w:rPr/>
        <w:t>defined</w:t>
      </w:r>
      <w:r>
        <w:rPr>
          <w:spacing w:val="-3"/>
        </w:rPr>
        <w:t> </w:t>
      </w:r>
      <w:r>
        <w:rPr/>
        <w:t>in</w:t>
      </w:r>
      <w:r>
        <w:rPr>
          <w:spacing w:val="-3"/>
        </w:rPr>
        <w:t> </w:t>
      </w:r>
      <w:r>
        <w:rPr/>
        <w:t>STC</w:t>
      </w:r>
      <w:r>
        <w:rPr>
          <w:spacing w:val="-3"/>
        </w:rPr>
        <w:t> </w:t>
      </w:r>
      <w:r>
        <w:rPr/>
        <w:t>19.3.</w:t>
      </w:r>
      <w:r>
        <w:rPr>
          <w:spacing w:val="-3"/>
        </w:rPr>
        <w:t> </w:t>
      </w:r>
      <w:r>
        <w:rPr/>
        <w:t>The Commonwealth is at risk for both caseload and expenditures while claiming Title XIX</w:t>
      </w:r>
      <w:r>
        <w:rPr>
          <w:spacing w:val="-2"/>
        </w:rPr>
        <w:t> </w:t>
      </w:r>
      <w:r>
        <w:rPr/>
        <w:t>federal</w:t>
      </w:r>
      <w:r>
        <w:rPr>
          <w:spacing w:val="-1"/>
        </w:rPr>
        <w:t> </w:t>
      </w:r>
      <w:r>
        <w:rPr/>
        <w:t>matching</w:t>
      </w:r>
      <w:r>
        <w:rPr>
          <w:spacing w:val="-1"/>
        </w:rPr>
        <w:t> </w:t>
      </w:r>
      <w:r>
        <w:rPr/>
        <w:t>funds</w:t>
      </w:r>
      <w:r>
        <w:rPr>
          <w:spacing w:val="-1"/>
        </w:rPr>
        <w:t> </w:t>
      </w:r>
      <w:r>
        <w:rPr/>
        <w:t>for</w:t>
      </w:r>
      <w:r>
        <w:rPr>
          <w:spacing w:val="-2"/>
        </w:rPr>
        <w:t> </w:t>
      </w:r>
      <w:r>
        <w:rPr/>
        <w:t>this</w:t>
      </w:r>
      <w:r>
        <w:rPr>
          <w:spacing w:val="-1"/>
        </w:rPr>
        <w:t> </w:t>
      </w:r>
      <w:r>
        <w:rPr/>
        <w:t>population</w:t>
      </w:r>
      <w:r>
        <w:rPr>
          <w:spacing w:val="-1"/>
        </w:rPr>
        <w:t> </w:t>
      </w:r>
      <w:r>
        <w:rPr/>
        <w:t>when</w:t>
      </w:r>
      <w:r>
        <w:rPr>
          <w:spacing w:val="-1"/>
        </w:rPr>
        <w:t> </w:t>
      </w:r>
      <w:r>
        <w:rPr/>
        <w:t>title</w:t>
      </w:r>
      <w:r>
        <w:rPr>
          <w:spacing w:val="-2"/>
        </w:rPr>
        <w:t> </w:t>
      </w:r>
      <w:r>
        <w:rPr/>
        <w:t>XXI</w:t>
      </w:r>
      <w:r>
        <w:rPr>
          <w:spacing w:val="-5"/>
        </w:rPr>
        <w:t> </w:t>
      </w:r>
      <w:r>
        <w:rPr/>
        <w:t>funds</w:t>
      </w:r>
      <w:r>
        <w:rPr>
          <w:spacing w:val="-1"/>
        </w:rPr>
        <w:t> </w:t>
      </w:r>
      <w:r>
        <w:rPr/>
        <w:t>are</w:t>
      </w:r>
      <w:r>
        <w:rPr>
          <w:spacing w:val="-2"/>
        </w:rPr>
        <w:t> </w:t>
      </w:r>
      <w:r>
        <w:rPr/>
        <w:t>exhausted.</w:t>
      </w:r>
    </w:p>
    <w:p>
      <w:pPr>
        <w:spacing w:after="0"/>
        <w:sectPr>
          <w:pgSz w:w="12240" w:h="15840"/>
          <w:pgMar w:header="0" w:footer="1201" w:top="1360" w:bottom="1400" w:left="1200" w:right="1340"/>
        </w:sectPr>
      </w:pPr>
    </w:p>
    <w:p>
      <w:pPr>
        <w:pStyle w:val="BodyText"/>
        <w:spacing w:before="1"/>
        <w:rPr>
          <w:sz w:val="4"/>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38"/>
        <w:gridCol w:w="2304"/>
        <w:gridCol w:w="1519"/>
        <w:gridCol w:w="1406"/>
        <w:gridCol w:w="1742"/>
        <w:gridCol w:w="1269"/>
        <w:gridCol w:w="1403"/>
        <w:gridCol w:w="1067"/>
        <w:gridCol w:w="1218"/>
      </w:tblGrid>
      <w:tr>
        <w:trPr>
          <w:trHeight w:val="254" w:hRule="atLeast"/>
        </w:trPr>
        <w:tc>
          <w:tcPr>
            <w:tcW w:w="13666" w:type="dxa"/>
            <w:gridSpan w:val="9"/>
            <w:shd w:val="clear" w:color="auto" w:fill="DBE4F0"/>
          </w:tcPr>
          <w:p>
            <w:pPr>
              <w:pStyle w:val="TableParagraph"/>
              <w:spacing w:line="234" w:lineRule="exact"/>
              <w:ind w:left="3508" w:right="3491"/>
              <w:jc w:val="center"/>
              <w:rPr>
                <w:b/>
                <w:sz w:val="22"/>
              </w:rPr>
            </w:pPr>
            <w:r>
              <w:rPr>
                <w:b/>
                <w:sz w:val="22"/>
              </w:rPr>
              <w:t>Table</w:t>
            </w:r>
            <w:r>
              <w:rPr>
                <w:b/>
                <w:spacing w:val="-6"/>
                <w:sz w:val="22"/>
              </w:rPr>
              <w:t> </w:t>
            </w:r>
            <w:r>
              <w:rPr>
                <w:b/>
                <w:sz w:val="22"/>
              </w:rPr>
              <w:t>18:</w:t>
            </w:r>
            <w:r>
              <w:rPr>
                <w:b/>
                <w:spacing w:val="50"/>
                <w:sz w:val="22"/>
              </w:rPr>
              <w:t> </w:t>
            </w:r>
            <w:r>
              <w:rPr>
                <w:b/>
                <w:sz w:val="22"/>
              </w:rPr>
              <w:t>MEG</w:t>
            </w:r>
            <w:r>
              <w:rPr>
                <w:b/>
                <w:spacing w:val="-5"/>
                <w:sz w:val="22"/>
              </w:rPr>
              <w:t> </w:t>
            </w:r>
            <w:r>
              <w:rPr>
                <w:b/>
                <w:sz w:val="22"/>
              </w:rPr>
              <w:t>Detail</w:t>
            </w:r>
            <w:r>
              <w:rPr>
                <w:b/>
                <w:spacing w:val="-5"/>
                <w:sz w:val="22"/>
              </w:rPr>
              <w:t> </w:t>
            </w:r>
            <w:r>
              <w:rPr>
                <w:b/>
                <w:sz w:val="22"/>
              </w:rPr>
              <w:t>for</w:t>
            </w:r>
            <w:r>
              <w:rPr>
                <w:b/>
                <w:spacing w:val="-3"/>
                <w:sz w:val="22"/>
              </w:rPr>
              <w:t> </w:t>
            </w:r>
            <w:r>
              <w:rPr>
                <w:b/>
                <w:sz w:val="22"/>
              </w:rPr>
              <w:t>Expenditure</w:t>
            </w:r>
            <w:r>
              <w:rPr>
                <w:b/>
                <w:spacing w:val="-4"/>
                <w:sz w:val="22"/>
              </w:rPr>
              <w:t> </w:t>
            </w:r>
            <w:r>
              <w:rPr>
                <w:b/>
                <w:sz w:val="22"/>
              </w:rPr>
              <w:t>and</w:t>
            </w:r>
            <w:r>
              <w:rPr>
                <w:b/>
                <w:spacing w:val="-4"/>
                <w:sz w:val="22"/>
              </w:rPr>
              <w:t> </w:t>
            </w:r>
            <w:r>
              <w:rPr>
                <w:b/>
                <w:sz w:val="22"/>
              </w:rPr>
              <w:t>Member</w:t>
            </w:r>
            <w:r>
              <w:rPr>
                <w:b/>
                <w:spacing w:val="-4"/>
                <w:sz w:val="22"/>
              </w:rPr>
              <w:t> </w:t>
            </w:r>
            <w:r>
              <w:rPr>
                <w:b/>
                <w:sz w:val="22"/>
              </w:rPr>
              <w:t>Month</w:t>
            </w:r>
            <w:r>
              <w:rPr>
                <w:b/>
                <w:spacing w:val="-3"/>
                <w:sz w:val="22"/>
              </w:rPr>
              <w:t> </w:t>
            </w:r>
            <w:r>
              <w:rPr>
                <w:b/>
                <w:spacing w:val="-2"/>
                <w:sz w:val="22"/>
              </w:rPr>
              <w:t>Reporting</w:t>
            </w:r>
          </w:p>
        </w:tc>
      </w:tr>
      <w:tr>
        <w:trPr>
          <w:trHeight w:val="1132" w:hRule="atLeast"/>
        </w:trPr>
        <w:tc>
          <w:tcPr>
            <w:tcW w:w="1738" w:type="dxa"/>
            <w:shd w:val="clear" w:color="auto" w:fill="DBE4F0"/>
          </w:tcPr>
          <w:p>
            <w:pPr>
              <w:pStyle w:val="TableParagraph"/>
              <w:spacing w:before="2"/>
              <w:rPr>
                <w:sz w:val="27"/>
              </w:rPr>
            </w:pPr>
          </w:p>
          <w:p>
            <w:pPr>
              <w:pStyle w:val="TableParagraph"/>
              <w:ind w:left="556" w:hanging="365"/>
              <w:rPr>
                <w:b/>
                <w:sz w:val="22"/>
              </w:rPr>
            </w:pPr>
            <w:r>
              <w:rPr>
                <w:b/>
                <w:sz w:val="22"/>
              </w:rPr>
              <w:t>MEG</w:t>
            </w:r>
            <w:r>
              <w:rPr>
                <w:b/>
                <w:spacing w:val="-14"/>
                <w:sz w:val="22"/>
              </w:rPr>
              <w:t> </w:t>
            </w:r>
            <w:r>
              <w:rPr>
                <w:b/>
                <w:sz w:val="22"/>
              </w:rPr>
              <w:t>(Waiver </w:t>
            </w:r>
            <w:r>
              <w:rPr>
                <w:b/>
                <w:spacing w:val="-2"/>
                <w:sz w:val="22"/>
              </w:rPr>
              <w:t>Name)</w:t>
            </w:r>
          </w:p>
        </w:tc>
        <w:tc>
          <w:tcPr>
            <w:tcW w:w="2304" w:type="dxa"/>
            <w:shd w:val="clear" w:color="auto" w:fill="DBE4F0"/>
          </w:tcPr>
          <w:p>
            <w:pPr>
              <w:pStyle w:val="TableParagraph"/>
              <w:rPr>
                <w:sz w:val="24"/>
              </w:rPr>
            </w:pPr>
          </w:p>
          <w:p>
            <w:pPr>
              <w:pStyle w:val="TableParagraph"/>
              <w:spacing w:before="161"/>
              <w:ind w:left="189"/>
              <w:rPr>
                <w:b/>
                <w:sz w:val="22"/>
              </w:rPr>
            </w:pPr>
            <w:r>
              <w:rPr>
                <w:b/>
                <w:sz w:val="22"/>
              </w:rPr>
              <w:t>Detailed</w:t>
            </w:r>
            <w:r>
              <w:rPr>
                <w:b/>
                <w:spacing w:val="-4"/>
                <w:sz w:val="22"/>
              </w:rPr>
              <w:t> </w:t>
            </w:r>
            <w:r>
              <w:rPr>
                <w:b/>
                <w:spacing w:val="-2"/>
                <w:sz w:val="22"/>
              </w:rPr>
              <w:t>Description</w:t>
            </w:r>
          </w:p>
        </w:tc>
        <w:tc>
          <w:tcPr>
            <w:tcW w:w="1519" w:type="dxa"/>
            <w:shd w:val="clear" w:color="auto" w:fill="DBE4F0"/>
          </w:tcPr>
          <w:p>
            <w:pPr>
              <w:pStyle w:val="TableParagraph"/>
              <w:rPr>
                <w:sz w:val="24"/>
              </w:rPr>
            </w:pPr>
          </w:p>
          <w:p>
            <w:pPr>
              <w:pStyle w:val="TableParagraph"/>
              <w:spacing w:before="161"/>
              <w:ind w:left="256"/>
              <w:rPr>
                <w:b/>
                <w:sz w:val="22"/>
              </w:rPr>
            </w:pPr>
            <w:r>
              <w:rPr>
                <w:b/>
                <w:spacing w:val="-2"/>
                <w:sz w:val="22"/>
              </w:rPr>
              <w:t>Exclusions</w:t>
            </w:r>
          </w:p>
        </w:tc>
        <w:tc>
          <w:tcPr>
            <w:tcW w:w="1406" w:type="dxa"/>
            <w:shd w:val="clear" w:color="auto" w:fill="DBE4F0"/>
          </w:tcPr>
          <w:p>
            <w:pPr>
              <w:pStyle w:val="TableParagraph"/>
              <w:spacing w:before="58"/>
              <w:ind w:left="165" w:right="158"/>
              <w:jc w:val="center"/>
              <w:rPr>
                <w:b/>
                <w:sz w:val="22"/>
              </w:rPr>
            </w:pPr>
            <w:r>
              <w:rPr>
                <w:b/>
                <w:spacing w:val="-2"/>
                <w:sz w:val="22"/>
              </w:rPr>
              <w:t>CMS-64.9 </w:t>
            </w:r>
            <w:r>
              <w:rPr>
                <w:b/>
                <w:sz w:val="22"/>
              </w:rPr>
              <w:t>or 64.10</w:t>
            </w:r>
          </w:p>
          <w:p>
            <w:pPr>
              <w:pStyle w:val="TableParagraph"/>
              <w:spacing w:before="1"/>
              <w:ind w:left="165" w:right="159"/>
              <w:jc w:val="center"/>
              <w:rPr>
                <w:b/>
                <w:sz w:val="22"/>
              </w:rPr>
            </w:pPr>
            <w:r>
              <w:rPr>
                <w:b/>
                <w:sz w:val="22"/>
              </w:rPr>
              <w:t>Line(s)</w:t>
            </w:r>
            <w:r>
              <w:rPr>
                <w:b/>
                <w:spacing w:val="-14"/>
                <w:sz w:val="22"/>
              </w:rPr>
              <w:t> </w:t>
            </w:r>
            <w:r>
              <w:rPr>
                <w:b/>
                <w:sz w:val="22"/>
              </w:rPr>
              <w:t>To </w:t>
            </w:r>
            <w:r>
              <w:rPr>
                <w:b/>
                <w:spacing w:val="-4"/>
                <w:sz w:val="22"/>
              </w:rPr>
              <w:t>Use</w:t>
            </w:r>
          </w:p>
        </w:tc>
        <w:tc>
          <w:tcPr>
            <w:tcW w:w="1742" w:type="dxa"/>
            <w:shd w:val="clear" w:color="auto" w:fill="DBE4F0"/>
          </w:tcPr>
          <w:p>
            <w:pPr>
              <w:pStyle w:val="TableParagraph"/>
              <w:spacing w:before="185"/>
              <w:ind w:left="122" w:right="114" w:hanging="1"/>
              <w:jc w:val="center"/>
              <w:rPr>
                <w:b/>
                <w:sz w:val="22"/>
              </w:rPr>
            </w:pPr>
            <w:r>
              <w:rPr>
                <w:b/>
                <w:sz w:val="22"/>
              </w:rPr>
              <w:t>How Expend. Are</w:t>
            </w:r>
            <w:r>
              <w:rPr>
                <w:b/>
                <w:spacing w:val="-14"/>
                <w:sz w:val="22"/>
              </w:rPr>
              <w:t> </w:t>
            </w:r>
            <w:r>
              <w:rPr>
                <w:b/>
                <w:sz w:val="22"/>
              </w:rPr>
              <w:t>Assigned</w:t>
            </w:r>
            <w:r>
              <w:rPr>
                <w:b/>
                <w:spacing w:val="-14"/>
                <w:sz w:val="22"/>
              </w:rPr>
              <w:t> </w:t>
            </w:r>
            <w:r>
              <w:rPr>
                <w:b/>
                <w:sz w:val="22"/>
              </w:rPr>
              <w:t>to </w:t>
            </w:r>
            <w:r>
              <w:rPr>
                <w:b/>
                <w:spacing w:val="-6"/>
                <w:sz w:val="22"/>
              </w:rPr>
              <w:t>DY</w:t>
            </w:r>
          </w:p>
        </w:tc>
        <w:tc>
          <w:tcPr>
            <w:tcW w:w="1269" w:type="dxa"/>
            <w:shd w:val="clear" w:color="auto" w:fill="DBE4F0"/>
          </w:tcPr>
          <w:p>
            <w:pPr>
              <w:pStyle w:val="TableParagraph"/>
              <w:spacing w:before="2"/>
              <w:rPr>
                <w:sz w:val="27"/>
              </w:rPr>
            </w:pPr>
          </w:p>
          <w:p>
            <w:pPr>
              <w:pStyle w:val="TableParagraph"/>
              <w:ind w:left="370" w:right="239" w:hanging="120"/>
              <w:rPr>
                <w:b/>
                <w:sz w:val="22"/>
              </w:rPr>
            </w:pPr>
            <w:r>
              <w:rPr>
                <w:b/>
                <w:sz w:val="22"/>
              </w:rPr>
              <w:t>MAP</w:t>
            </w:r>
            <w:r>
              <w:rPr>
                <w:b/>
                <w:spacing w:val="-14"/>
                <w:sz w:val="22"/>
              </w:rPr>
              <w:t> </w:t>
            </w:r>
            <w:r>
              <w:rPr>
                <w:b/>
                <w:sz w:val="22"/>
              </w:rPr>
              <w:t>or </w:t>
            </w:r>
            <w:r>
              <w:rPr>
                <w:b/>
                <w:spacing w:val="-4"/>
                <w:sz w:val="22"/>
              </w:rPr>
              <w:t>ADM</w:t>
            </w:r>
          </w:p>
        </w:tc>
        <w:tc>
          <w:tcPr>
            <w:tcW w:w="1403" w:type="dxa"/>
            <w:shd w:val="clear" w:color="auto" w:fill="DBE4F0"/>
          </w:tcPr>
          <w:p>
            <w:pPr>
              <w:pStyle w:val="TableParagraph"/>
              <w:spacing w:before="58"/>
              <w:ind w:left="296" w:right="285" w:firstLine="1"/>
              <w:jc w:val="center"/>
              <w:rPr>
                <w:b/>
                <w:sz w:val="22"/>
              </w:rPr>
            </w:pPr>
            <w:r>
              <w:rPr>
                <w:b/>
                <w:spacing w:val="-2"/>
                <w:sz w:val="22"/>
              </w:rPr>
              <w:t>Report Member Months (Y/N)</w:t>
            </w:r>
          </w:p>
        </w:tc>
        <w:tc>
          <w:tcPr>
            <w:tcW w:w="1067" w:type="dxa"/>
            <w:shd w:val="clear" w:color="auto" w:fill="DBE4F0"/>
          </w:tcPr>
          <w:p>
            <w:pPr>
              <w:pStyle w:val="TableParagraph"/>
              <w:spacing w:line="252" w:lineRule="exact" w:before="185"/>
              <w:ind w:left="273"/>
              <w:rPr>
                <w:b/>
                <w:sz w:val="22"/>
              </w:rPr>
            </w:pPr>
            <w:r>
              <w:rPr>
                <w:b/>
                <w:spacing w:val="-5"/>
                <w:sz w:val="22"/>
              </w:rPr>
              <w:t>MEG</w:t>
            </w:r>
          </w:p>
          <w:p>
            <w:pPr>
              <w:pStyle w:val="TableParagraph"/>
              <w:ind w:left="316" w:right="274" w:hanging="20"/>
              <w:rPr>
                <w:b/>
                <w:sz w:val="22"/>
              </w:rPr>
            </w:pPr>
            <w:r>
              <w:rPr>
                <w:b/>
                <w:spacing w:val="-2"/>
                <w:sz w:val="22"/>
              </w:rPr>
              <w:t>Start </w:t>
            </w:r>
            <w:r>
              <w:rPr>
                <w:b/>
                <w:spacing w:val="-4"/>
                <w:sz w:val="22"/>
              </w:rPr>
              <w:t>Date</w:t>
            </w:r>
          </w:p>
        </w:tc>
        <w:tc>
          <w:tcPr>
            <w:tcW w:w="1218" w:type="dxa"/>
            <w:shd w:val="clear" w:color="auto" w:fill="DBE4F0"/>
          </w:tcPr>
          <w:p>
            <w:pPr>
              <w:pStyle w:val="TableParagraph"/>
              <w:spacing w:before="2"/>
              <w:rPr>
                <w:sz w:val="27"/>
              </w:rPr>
            </w:pPr>
          </w:p>
          <w:p>
            <w:pPr>
              <w:pStyle w:val="TableParagraph"/>
              <w:ind w:left="391" w:right="106" w:hanging="267"/>
              <w:rPr>
                <w:b/>
                <w:sz w:val="22"/>
              </w:rPr>
            </w:pPr>
            <w:r>
              <w:rPr>
                <w:b/>
                <w:sz w:val="22"/>
              </w:rPr>
              <w:t>MEG</w:t>
            </w:r>
            <w:r>
              <w:rPr>
                <w:b/>
                <w:spacing w:val="-14"/>
                <w:sz w:val="22"/>
              </w:rPr>
              <w:t> </w:t>
            </w:r>
            <w:r>
              <w:rPr>
                <w:b/>
                <w:sz w:val="22"/>
              </w:rPr>
              <w:t>End </w:t>
            </w:r>
            <w:r>
              <w:rPr>
                <w:b/>
                <w:spacing w:val="-4"/>
                <w:sz w:val="22"/>
              </w:rPr>
              <w:t>Date</w:t>
            </w:r>
          </w:p>
        </w:tc>
      </w:tr>
      <w:tr>
        <w:trPr>
          <w:trHeight w:val="3542" w:hRule="atLeast"/>
        </w:trPr>
        <w:tc>
          <w:tcPr>
            <w:tcW w:w="1738"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3"/>
              </w:rPr>
            </w:pPr>
          </w:p>
          <w:p>
            <w:pPr>
              <w:pStyle w:val="TableParagraph"/>
              <w:ind w:left="223"/>
              <w:rPr>
                <w:b/>
                <w:sz w:val="22"/>
              </w:rPr>
            </w:pPr>
            <w:r>
              <w:rPr>
                <w:b/>
                <w:sz w:val="22"/>
              </w:rPr>
              <w:t>Base</w:t>
            </w:r>
            <w:r>
              <w:rPr>
                <w:b/>
                <w:spacing w:val="-5"/>
                <w:sz w:val="22"/>
              </w:rPr>
              <w:t> </w:t>
            </w:r>
            <w:r>
              <w:rPr>
                <w:b/>
                <w:spacing w:val="-2"/>
                <w:sz w:val="22"/>
              </w:rPr>
              <w:t>Families</w:t>
            </w:r>
          </w:p>
        </w:tc>
        <w:tc>
          <w:tcPr>
            <w:tcW w:w="2304" w:type="dxa"/>
          </w:tcPr>
          <w:p>
            <w:pPr>
              <w:pStyle w:val="TableParagraph"/>
              <w:ind w:left="119" w:right="110" w:firstLine="1"/>
              <w:jc w:val="center"/>
              <w:rPr>
                <w:sz w:val="22"/>
              </w:rPr>
            </w:pPr>
            <w:r>
              <w:rPr>
                <w:sz w:val="22"/>
              </w:rPr>
              <w:t>Report all medical assistance</w:t>
            </w:r>
            <w:r>
              <w:rPr>
                <w:spacing w:val="-14"/>
                <w:sz w:val="22"/>
              </w:rPr>
              <w:t> </w:t>
            </w:r>
            <w:r>
              <w:rPr>
                <w:sz w:val="22"/>
              </w:rPr>
              <w:t>expenditures for eligible non- disabled individuals enrolled</w:t>
            </w:r>
            <w:r>
              <w:rPr>
                <w:spacing w:val="-14"/>
                <w:sz w:val="22"/>
              </w:rPr>
              <w:t> </w:t>
            </w:r>
            <w:r>
              <w:rPr>
                <w:sz w:val="22"/>
              </w:rPr>
              <w:t>in</w:t>
            </w:r>
            <w:r>
              <w:rPr>
                <w:spacing w:val="-14"/>
                <w:sz w:val="22"/>
              </w:rPr>
              <w:t> </w:t>
            </w:r>
            <w:r>
              <w:rPr>
                <w:sz w:val="22"/>
              </w:rPr>
              <w:t>MassHealth Standard (including those receiving Temporary Assistance for Needy Families) and eligible non- disabled individuals enrolled</w:t>
            </w:r>
            <w:r>
              <w:rPr>
                <w:spacing w:val="-14"/>
                <w:sz w:val="22"/>
              </w:rPr>
              <w:t> </w:t>
            </w:r>
            <w:r>
              <w:rPr>
                <w:sz w:val="22"/>
              </w:rPr>
              <w:t>in</w:t>
            </w:r>
            <w:r>
              <w:rPr>
                <w:spacing w:val="-14"/>
                <w:sz w:val="22"/>
              </w:rPr>
              <w:t> </w:t>
            </w:r>
            <w:r>
              <w:rPr>
                <w:sz w:val="22"/>
              </w:rPr>
              <w:t>MassHealth Limited (emergency</w:t>
            </w:r>
          </w:p>
          <w:p>
            <w:pPr>
              <w:pStyle w:val="TableParagraph"/>
              <w:spacing w:line="233" w:lineRule="exact"/>
              <w:ind w:left="108" w:right="102"/>
              <w:jc w:val="center"/>
              <w:rPr>
                <w:sz w:val="22"/>
              </w:rPr>
            </w:pPr>
            <w:r>
              <w:rPr>
                <w:sz w:val="22"/>
              </w:rPr>
              <w:t>services</w:t>
            </w:r>
            <w:r>
              <w:rPr>
                <w:spacing w:val="-6"/>
                <w:sz w:val="22"/>
              </w:rPr>
              <w:t> </w:t>
            </w:r>
            <w:r>
              <w:rPr>
                <w:spacing w:val="-2"/>
                <w:sz w:val="22"/>
              </w:rPr>
              <w:t>only).</w:t>
            </w:r>
          </w:p>
        </w:tc>
        <w:tc>
          <w:tcPr>
            <w:tcW w:w="1519" w:type="dxa"/>
          </w:tcPr>
          <w:p>
            <w:pPr>
              <w:pStyle w:val="TableParagraph"/>
              <w:rPr>
                <w:sz w:val="20"/>
              </w:rPr>
            </w:pPr>
          </w:p>
        </w:tc>
        <w:tc>
          <w:tcPr>
            <w:tcW w:w="1406" w:type="dxa"/>
          </w:tcPr>
          <w:p>
            <w:pPr>
              <w:pStyle w:val="TableParagraph"/>
              <w:rPr>
                <w:sz w:val="24"/>
              </w:rPr>
            </w:pPr>
          </w:p>
          <w:p>
            <w:pPr>
              <w:pStyle w:val="TableParagraph"/>
              <w:rPr>
                <w:sz w:val="24"/>
              </w:rPr>
            </w:pPr>
          </w:p>
          <w:p>
            <w:pPr>
              <w:pStyle w:val="TableParagraph"/>
              <w:rPr>
                <w:sz w:val="24"/>
              </w:rPr>
            </w:pPr>
          </w:p>
          <w:p>
            <w:pPr>
              <w:pStyle w:val="TableParagraph"/>
              <w:spacing w:before="183"/>
              <w:ind w:left="239" w:right="232" w:firstLine="148"/>
              <w:jc w:val="both"/>
              <w:rPr>
                <w:sz w:val="22"/>
              </w:rPr>
            </w:pPr>
            <w:r>
              <w:rPr>
                <w:spacing w:val="-2"/>
                <w:sz w:val="22"/>
              </w:rPr>
              <w:t>Follow standard CMS-64.9</w:t>
            </w:r>
          </w:p>
          <w:p>
            <w:pPr>
              <w:pStyle w:val="TableParagraph"/>
              <w:ind w:left="165" w:right="159"/>
              <w:jc w:val="center"/>
              <w:rPr>
                <w:sz w:val="22"/>
              </w:rPr>
            </w:pPr>
            <w:r>
              <w:rPr>
                <w:sz w:val="22"/>
              </w:rPr>
              <w:t>Category</w:t>
            </w:r>
            <w:r>
              <w:rPr>
                <w:spacing w:val="-14"/>
                <w:sz w:val="22"/>
              </w:rPr>
              <w:t> </w:t>
            </w:r>
            <w:r>
              <w:rPr>
                <w:sz w:val="22"/>
              </w:rPr>
              <w:t>of </w:t>
            </w:r>
            <w:r>
              <w:rPr>
                <w:spacing w:val="-2"/>
                <w:sz w:val="22"/>
              </w:rPr>
              <w:t>Service Definitions</w:t>
            </w:r>
          </w:p>
        </w:tc>
        <w:tc>
          <w:tcPr>
            <w:tcW w:w="1742"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3"/>
              </w:rPr>
            </w:pPr>
          </w:p>
          <w:p>
            <w:pPr>
              <w:pStyle w:val="TableParagraph"/>
              <w:ind w:left="125" w:right="115"/>
              <w:jc w:val="center"/>
              <w:rPr>
                <w:sz w:val="22"/>
              </w:rPr>
            </w:pPr>
            <w:r>
              <w:rPr>
                <w:sz w:val="22"/>
              </w:rPr>
              <w:t>Date</w:t>
            </w:r>
            <w:r>
              <w:rPr>
                <w:spacing w:val="-4"/>
                <w:sz w:val="22"/>
              </w:rPr>
              <w:t> </w:t>
            </w:r>
            <w:r>
              <w:rPr>
                <w:sz w:val="22"/>
              </w:rPr>
              <w:t>of</w:t>
            </w:r>
            <w:r>
              <w:rPr>
                <w:spacing w:val="-1"/>
                <w:sz w:val="22"/>
              </w:rPr>
              <w:t> </w:t>
            </w:r>
            <w:r>
              <w:rPr>
                <w:spacing w:val="-2"/>
                <w:sz w:val="22"/>
              </w:rPr>
              <w:t>service</w:t>
            </w:r>
          </w:p>
        </w:tc>
        <w:tc>
          <w:tcPr>
            <w:tcW w:w="1269"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3"/>
              </w:rPr>
            </w:pPr>
          </w:p>
          <w:p>
            <w:pPr>
              <w:pStyle w:val="TableParagraph"/>
              <w:ind w:left="91" w:right="86"/>
              <w:jc w:val="center"/>
              <w:rPr>
                <w:sz w:val="22"/>
              </w:rPr>
            </w:pPr>
            <w:r>
              <w:rPr>
                <w:spacing w:val="-5"/>
                <w:sz w:val="22"/>
              </w:rPr>
              <w:t>MAP</w:t>
            </w:r>
          </w:p>
        </w:tc>
        <w:tc>
          <w:tcPr>
            <w:tcW w:w="1403"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3"/>
              </w:rPr>
            </w:pPr>
          </w:p>
          <w:p>
            <w:pPr>
              <w:pStyle w:val="TableParagraph"/>
              <w:ind w:left="11"/>
              <w:jc w:val="center"/>
              <w:rPr>
                <w:sz w:val="22"/>
              </w:rPr>
            </w:pPr>
            <w:r>
              <w:rPr>
                <w:w w:val="100"/>
                <w:sz w:val="22"/>
              </w:rPr>
              <w:t>Y</w:t>
            </w:r>
          </w:p>
        </w:tc>
        <w:tc>
          <w:tcPr>
            <w:tcW w:w="1067"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3"/>
              </w:rPr>
            </w:pPr>
          </w:p>
          <w:p>
            <w:pPr>
              <w:pStyle w:val="TableParagraph"/>
              <w:ind w:left="185" w:right="171"/>
              <w:jc w:val="center"/>
              <w:rPr>
                <w:sz w:val="22"/>
              </w:rPr>
            </w:pPr>
            <w:r>
              <w:rPr>
                <w:spacing w:val="-2"/>
                <w:sz w:val="22"/>
              </w:rPr>
              <w:t>7/1/97</w:t>
            </w:r>
          </w:p>
        </w:tc>
        <w:tc>
          <w:tcPr>
            <w:tcW w:w="1218"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3"/>
              </w:rPr>
            </w:pPr>
          </w:p>
          <w:p>
            <w:pPr>
              <w:pStyle w:val="TableParagraph"/>
              <w:ind w:left="110"/>
              <w:rPr>
                <w:sz w:val="22"/>
              </w:rPr>
            </w:pPr>
            <w:r>
              <w:rPr>
                <w:spacing w:val="-2"/>
                <w:sz w:val="22"/>
              </w:rPr>
              <w:t>12/31/27</w:t>
            </w:r>
          </w:p>
        </w:tc>
      </w:tr>
      <w:tr>
        <w:trPr>
          <w:trHeight w:val="3541" w:hRule="atLeast"/>
        </w:trPr>
        <w:tc>
          <w:tcPr>
            <w:tcW w:w="1738"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22"/>
              </w:rPr>
            </w:pPr>
          </w:p>
          <w:p>
            <w:pPr>
              <w:pStyle w:val="TableParagraph"/>
              <w:ind w:left="211"/>
              <w:rPr>
                <w:b/>
                <w:sz w:val="22"/>
              </w:rPr>
            </w:pPr>
            <w:r>
              <w:rPr>
                <w:b/>
                <w:sz w:val="22"/>
              </w:rPr>
              <w:t>Base</w:t>
            </w:r>
            <w:r>
              <w:rPr>
                <w:b/>
                <w:spacing w:val="-1"/>
                <w:sz w:val="22"/>
              </w:rPr>
              <w:t> </w:t>
            </w:r>
            <w:r>
              <w:rPr>
                <w:b/>
                <w:spacing w:val="-2"/>
                <w:sz w:val="22"/>
              </w:rPr>
              <w:t>Disabled</w:t>
            </w:r>
          </w:p>
        </w:tc>
        <w:tc>
          <w:tcPr>
            <w:tcW w:w="2304" w:type="dxa"/>
          </w:tcPr>
          <w:p>
            <w:pPr>
              <w:pStyle w:val="TableParagraph"/>
              <w:ind w:left="119" w:right="110" w:firstLine="1"/>
              <w:jc w:val="center"/>
              <w:rPr>
                <w:sz w:val="22"/>
              </w:rPr>
            </w:pPr>
            <w:r>
              <w:rPr>
                <w:sz w:val="22"/>
              </w:rPr>
              <w:t>Report all medical assistance</w:t>
            </w:r>
            <w:r>
              <w:rPr>
                <w:spacing w:val="-14"/>
                <w:sz w:val="22"/>
              </w:rPr>
              <w:t> </w:t>
            </w:r>
            <w:r>
              <w:rPr>
                <w:sz w:val="22"/>
              </w:rPr>
              <w:t>expenditures for eligible individuals with disabilities enrolled</w:t>
            </w:r>
            <w:r>
              <w:rPr>
                <w:spacing w:val="-14"/>
                <w:sz w:val="22"/>
              </w:rPr>
              <w:t> </w:t>
            </w:r>
            <w:r>
              <w:rPr>
                <w:sz w:val="22"/>
              </w:rPr>
              <w:t>in</w:t>
            </w:r>
            <w:r>
              <w:rPr>
                <w:spacing w:val="-14"/>
                <w:sz w:val="22"/>
              </w:rPr>
              <w:t> </w:t>
            </w:r>
            <w:r>
              <w:rPr>
                <w:sz w:val="22"/>
              </w:rPr>
              <w:t>MassHealth Standard, individuals enrolled in CommonHealth who spend down to eligibility, as well as eligible disabled individuals enrolled in Limited (emergency</w:t>
            </w:r>
          </w:p>
          <w:p>
            <w:pPr>
              <w:pStyle w:val="TableParagraph"/>
              <w:spacing w:line="233" w:lineRule="exact"/>
              <w:ind w:left="108" w:right="102"/>
              <w:jc w:val="center"/>
              <w:rPr>
                <w:sz w:val="22"/>
              </w:rPr>
            </w:pPr>
            <w:r>
              <w:rPr>
                <w:sz w:val="22"/>
              </w:rPr>
              <w:t>services</w:t>
            </w:r>
            <w:r>
              <w:rPr>
                <w:spacing w:val="-6"/>
                <w:sz w:val="22"/>
              </w:rPr>
              <w:t> </w:t>
            </w:r>
            <w:r>
              <w:rPr>
                <w:spacing w:val="-2"/>
                <w:sz w:val="22"/>
              </w:rPr>
              <w:t>only).</w:t>
            </w:r>
          </w:p>
        </w:tc>
        <w:tc>
          <w:tcPr>
            <w:tcW w:w="1519" w:type="dxa"/>
          </w:tcPr>
          <w:p>
            <w:pPr>
              <w:pStyle w:val="TableParagraph"/>
              <w:rPr>
                <w:sz w:val="20"/>
              </w:rPr>
            </w:pPr>
          </w:p>
        </w:tc>
        <w:tc>
          <w:tcPr>
            <w:tcW w:w="1406" w:type="dxa"/>
          </w:tcPr>
          <w:p>
            <w:pPr>
              <w:pStyle w:val="TableParagraph"/>
              <w:rPr>
                <w:sz w:val="24"/>
              </w:rPr>
            </w:pPr>
          </w:p>
          <w:p>
            <w:pPr>
              <w:pStyle w:val="TableParagraph"/>
              <w:rPr>
                <w:sz w:val="24"/>
              </w:rPr>
            </w:pPr>
          </w:p>
          <w:p>
            <w:pPr>
              <w:pStyle w:val="TableParagraph"/>
              <w:rPr>
                <w:sz w:val="24"/>
              </w:rPr>
            </w:pPr>
          </w:p>
          <w:p>
            <w:pPr>
              <w:pStyle w:val="TableParagraph"/>
              <w:spacing w:before="183"/>
              <w:ind w:left="239" w:right="232" w:firstLine="148"/>
              <w:jc w:val="both"/>
              <w:rPr>
                <w:sz w:val="22"/>
              </w:rPr>
            </w:pPr>
            <w:r>
              <w:rPr>
                <w:spacing w:val="-2"/>
                <w:sz w:val="22"/>
              </w:rPr>
              <w:t>Follow standard CMS-64.9</w:t>
            </w:r>
          </w:p>
          <w:p>
            <w:pPr>
              <w:pStyle w:val="TableParagraph"/>
              <w:ind w:left="165" w:right="159"/>
              <w:jc w:val="center"/>
              <w:rPr>
                <w:sz w:val="22"/>
              </w:rPr>
            </w:pPr>
            <w:r>
              <w:rPr>
                <w:sz w:val="22"/>
              </w:rPr>
              <w:t>Category</w:t>
            </w:r>
            <w:r>
              <w:rPr>
                <w:spacing w:val="-14"/>
                <w:sz w:val="22"/>
              </w:rPr>
              <w:t> </w:t>
            </w:r>
            <w:r>
              <w:rPr>
                <w:sz w:val="22"/>
              </w:rPr>
              <w:t>of </w:t>
            </w:r>
            <w:r>
              <w:rPr>
                <w:spacing w:val="-2"/>
                <w:sz w:val="22"/>
              </w:rPr>
              <w:t>Service Definitions</w:t>
            </w:r>
          </w:p>
        </w:tc>
        <w:tc>
          <w:tcPr>
            <w:tcW w:w="1742"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22"/>
              </w:rPr>
            </w:pPr>
          </w:p>
          <w:p>
            <w:pPr>
              <w:pStyle w:val="TableParagraph"/>
              <w:ind w:left="125" w:right="115"/>
              <w:jc w:val="center"/>
              <w:rPr>
                <w:sz w:val="22"/>
              </w:rPr>
            </w:pPr>
            <w:r>
              <w:rPr>
                <w:sz w:val="22"/>
              </w:rPr>
              <w:t>Date</w:t>
            </w:r>
            <w:r>
              <w:rPr>
                <w:spacing w:val="-4"/>
                <w:sz w:val="22"/>
              </w:rPr>
              <w:t> </w:t>
            </w:r>
            <w:r>
              <w:rPr>
                <w:sz w:val="22"/>
              </w:rPr>
              <w:t>of</w:t>
            </w:r>
            <w:r>
              <w:rPr>
                <w:spacing w:val="-1"/>
                <w:sz w:val="22"/>
              </w:rPr>
              <w:t> </w:t>
            </w:r>
            <w:r>
              <w:rPr>
                <w:spacing w:val="-2"/>
                <w:sz w:val="22"/>
              </w:rPr>
              <w:t>service</w:t>
            </w:r>
          </w:p>
        </w:tc>
        <w:tc>
          <w:tcPr>
            <w:tcW w:w="1269"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22"/>
              </w:rPr>
            </w:pPr>
          </w:p>
          <w:p>
            <w:pPr>
              <w:pStyle w:val="TableParagraph"/>
              <w:ind w:left="91" w:right="86"/>
              <w:jc w:val="center"/>
              <w:rPr>
                <w:sz w:val="22"/>
              </w:rPr>
            </w:pPr>
            <w:r>
              <w:rPr>
                <w:spacing w:val="-5"/>
                <w:sz w:val="22"/>
              </w:rPr>
              <w:t>MAP</w:t>
            </w:r>
          </w:p>
        </w:tc>
        <w:tc>
          <w:tcPr>
            <w:tcW w:w="1403"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22"/>
              </w:rPr>
            </w:pPr>
          </w:p>
          <w:p>
            <w:pPr>
              <w:pStyle w:val="TableParagraph"/>
              <w:ind w:left="11"/>
              <w:jc w:val="center"/>
              <w:rPr>
                <w:sz w:val="22"/>
              </w:rPr>
            </w:pPr>
            <w:r>
              <w:rPr>
                <w:w w:val="100"/>
                <w:sz w:val="22"/>
              </w:rPr>
              <w:t>Y</w:t>
            </w:r>
          </w:p>
        </w:tc>
        <w:tc>
          <w:tcPr>
            <w:tcW w:w="1067"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22"/>
              </w:rPr>
            </w:pPr>
          </w:p>
          <w:p>
            <w:pPr>
              <w:pStyle w:val="TableParagraph"/>
              <w:ind w:left="185" w:right="171"/>
              <w:jc w:val="center"/>
              <w:rPr>
                <w:sz w:val="22"/>
              </w:rPr>
            </w:pPr>
            <w:r>
              <w:rPr>
                <w:spacing w:val="-2"/>
                <w:sz w:val="22"/>
              </w:rPr>
              <w:t>7/1/97</w:t>
            </w:r>
          </w:p>
        </w:tc>
        <w:tc>
          <w:tcPr>
            <w:tcW w:w="1218"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22"/>
              </w:rPr>
            </w:pPr>
          </w:p>
          <w:p>
            <w:pPr>
              <w:pStyle w:val="TableParagraph"/>
              <w:ind w:left="110"/>
              <w:rPr>
                <w:sz w:val="22"/>
              </w:rPr>
            </w:pPr>
            <w:r>
              <w:rPr>
                <w:spacing w:val="-2"/>
                <w:sz w:val="22"/>
              </w:rPr>
              <w:t>12/31/27</w:t>
            </w:r>
          </w:p>
        </w:tc>
      </w:tr>
    </w:tbl>
    <w:p>
      <w:pPr>
        <w:spacing w:after="0"/>
        <w:rPr>
          <w:sz w:val="22"/>
        </w:rPr>
        <w:sectPr>
          <w:footerReference w:type="default" r:id="rId284"/>
          <w:pgSz w:w="15840" w:h="12240" w:orient="landscape"/>
          <w:pgMar w:footer="1201" w:header="0" w:top="1380" w:bottom="1400" w:left="820" w:right="1120"/>
        </w:sectPr>
      </w:pPr>
    </w:p>
    <w:p>
      <w:pPr>
        <w:pStyle w:val="BodyText"/>
        <w:spacing w:before="2"/>
        <w:rPr>
          <w:sz w:val="5"/>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38"/>
        <w:gridCol w:w="2304"/>
        <w:gridCol w:w="1519"/>
        <w:gridCol w:w="1406"/>
        <w:gridCol w:w="1742"/>
        <w:gridCol w:w="1269"/>
        <w:gridCol w:w="1403"/>
        <w:gridCol w:w="1067"/>
        <w:gridCol w:w="1218"/>
      </w:tblGrid>
      <w:tr>
        <w:trPr>
          <w:trHeight w:val="3287" w:hRule="atLeast"/>
        </w:trPr>
        <w:tc>
          <w:tcPr>
            <w:tcW w:w="1738"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0"/>
              <w:rPr>
                <w:sz w:val="24"/>
              </w:rPr>
            </w:pPr>
          </w:p>
          <w:p>
            <w:pPr>
              <w:pStyle w:val="TableParagraph"/>
              <w:spacing w:line="252" w:lineRule="exact"/>
              <w:ind w:left="395"/>
              <w:rPr>
                <w:b/>
                <w:sz w:val="22"/>
              </w:rPr>
            </w:pPr>
            <w:r>
              <w:rPr>
                <w:b/>
                <w:spacing w:val="-2"/>
                <w:sz w:val="22"/>
              </w:rPr>
              <w:t>1902(r)(2)</w:t>
            </w:r>
          </w:p>
          <w:p>
            <w:pPr>
              <w:pStyle w:val="TableParagraph"/>
              <w:spacing w:line="252" w:lineRule="exact"/>
              <w:ind w:left="446"/>
              <w:rPr>
                <w:b/>
                <w:sz w:val="22"/>
              </w:rPr>
            </w:pPr>
            <w:r>
              <w:rPr>
                <w:b/>
                <w:spacing w:val="-2"/>
                <w:sz w:val="22"/>
              </w:rPr>
              <w:t>Children</w:t>
            </w:r>
          </w:p>
        </w:tc>
        <w:tc>
          <w:tcPr>
            <w:tcW w:w="2304" w:type="dxa"/>
          </w:tcPr>
          <w:p>
            <w:pPr>
              <w:pStyle w:val="TableParagraph"/>
              <w:ind w:left="119" w:right="110" w:firstLine="1"/>
              <w:jc w:val="center"/>
              <w:rPr>
                <w:sz w:val="22"/>
              </w:rPr>
            </w:pPr>
            <w:r>
              <w:rPr>
                <w:sz w:val="22"/>
              </w:rPr>
              <w:t>Report all medical assistance</w:t>
            </w:r>
            <w:r>
              <w:rPr>
                <w:spacing w:val="-14"/>
                <w:sz w:val="22"/>
              </w:rPr>
              <w:t> </w:t>
            </w:r>
            <w:r>
              <w:rPr>
                <w:sz w:val="22"/>
              </w:rPr>
              <w:t>expenditures for Medicaid</w:t>
            </w:r>
            <w:r>
              <w:rPr>
                <w:spacing w:val="40"/>
                <w:sz w:val="22"/>
              </w:rPr>
              <w:t> </w:t>
            </w:r>
            <w:r>
              <w:rPr>
                <w:sz w:val="22"/>
              </w:rPr>
              <w:t>expansion</w:t>
            </w:r>
            <w:r>
              <w:rPr>
                <w:spacing w:val="-10"/>
                <w:sz w:val="22"/>
              </w:rPr>
              <w:t> </w:t>
            </w:r>
            <w:r>
              <w:rPr>
                <w:sz w:val="22"/>
              </w:rPr>
              <w:t>children</w:t>
            </w:r>
            <w:r>
              <w:rPr>
                <w:spacing w:val="-7"/>
                <w:sz w:val="22"/>
              </w:rPr>
              <w:t> </w:t>
            </w:r>
            <w:r>
              <w:rPr>
                <w:sz w:val="22"/>
              </w:rPr>
              <w:t>and pregnant individuals who are enrolled in MassHealth Standard, as well as eligible children and pregnant individuals enrolled in MassHealth Limited</w:t>
            </w:r>
          </w:p>
          <w:p>
            <w:pPr>
              <w:pStyle w:val="TableParagraph"/>
              <w:spacing w:line="252" w:lineRule="exact"/>
              <w:ind w:left="112" w:right="102"/>
              <w:jc w:val="center"/>
              <w:rPr>
                <w:sz w:val="22"/>
              </w:rPr>
            </w:pPr>
            <w:r>
              <w:rPr>
                <w:sz w:val="22"/>
              </w:rPr>
              <w:t>(emergency</w:t>
            </w:r>
            <w:r>
              <w:rPr>
                <w:spacing w:val="-14"/>
                <w:sz w:val="22"/>
              </w:rPr>
              <w:t> </w:t>
            </w:r>
            <w:r>
              <w:rPr>
                <w:sz w:val="22"/>
              </w:rPr>
              <w:t>services </w:t>
            </w:r>
            <w:r>
              <w:rPr>
                <w:spacing w:val="-2"/>
                <w:sz w:val="22"/>
              </w:rPr>
              <w:t>only).</w:t>
            </w:r>
          </w:p>
        </w:tc>
        <w:tc>
          <w:tcPr>
            <w:tcW w:w="1519" w:type="dxa"/>
          </w:tcPr>
          <w:p>
            <w:pPr>
              <w:pStyle w:val="TableParagraph"/>
              <w:rPr>
                <w:sz w:val="20"/>
              </w:rPr>
            </w:pPr>
          </w:p>
        </w:tc>
        <w:tc>
          <w:tcPr>
            <w:tcW w:w="1406" w:type="dxa"/>
          </w:tcPr>
          <w:p>
            <w:pPr>
              <w:pStyle w:val="TableParagraph"/>
              <w:rPr>
                <w:sz w:val="24"/>
              </w:rPr>
            </w:pPr>
          </w:p>
          <w:p>
            <w:pPr>
              <w:pStyle w:val="TableParagraph"/>
              <w:rPr>
                <w:sz w:val="24"/>
              </w:rPr>
            </w:pPr>
          </w:p>
          <w:p>
            <w:pPr>
              <w:pStyle w:val="TableParagraph"/>
              <w:spacing w:before="9"/>
              <w:rPr>
                <w:sz w:val="28"/>
              </w:rPr>
            </w:pPr>
          </w:p>
          <w:p>
            <w:pPr>
              <w:pStyle w:val="TableParagraph"/>
              <w:spacing w:before="1"/>
              <w:ind w:left="239" w:right="232" w:firstLine="148"/>
              <w:jc w:val="both"/>
              <w:rPr>
                <w:sz w:val="22"/>
              </w:rPr>
            </w:pPr>
            <w:r>
              <w:rPr>
                <w:spacing w:val="-2"/>
                <w:sz w:val="22"/>
              </w:rPr>
              <w:t>Follow standard CMS-64.9</w:t>
            </w:r>
          </w:p>
          <w:p>
            <w:pPr>
              <w:pStyle w:val="TableParagraph"/>
              <w:ind w:left="165" w:right="159"/>
              <w:jc w:val="center"/>
              <w:rPr>
                <w:sz w:val="22"/>
              </w:rPr>
            </w:pPr>
            <w:r>
              <w:rPr>
                <w:sz w:val="22"/>
              </w:rPr>
              <w:t>Category</w:t>
            </w:r>
            <w:r>
              <w:rPr>
                <w:spacing w:val="-14"/>
                <w:sz w:val="22"/>
              </w:rPr>
              <w:t> </w:t>
            </w:r>
            <w:r>
              <w:rPr>
                <w:sz w:val="22"/>
              </w:rPr>
              <w:t>of </w:t>
            </w:r>
            <w:r>
              <w:rPr>
                <w:spacing w:val="-2"/>
                <w:sz w:val="22"/>
              </w:rPr>
              <w:t>Service Definitions</w:t>
            </w:r>
          </w:p>
        </w:tc>
        <w:tc>
          <w:tcPr>
            <w:tcW w:w="1742"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0"/>
              <w:rPr>
                <w:sz w:val="35"/>
              </w:rPr>
            </w:pPr>
          </w:p>
          <w:p>
            <w:pPr>
              <w:pStyle w:val="TableParagraph"/>
              <w:ind w:left="125" w:right="115"/>
              <w:jc w:val="center"/>
              <w:rPr>
                <w:sz w:val="22"/>
              </w:rPr>
            </w:pPr>
            <w:r>
              <w:rPr>
                <w:sz w:val="22"/>
              </w:rPr>
              <w:t>Date</w:t>
            </w:r>
            <w:r>
              <w:rPr>
                <w:spacing w:val="-4"/>
                <w:sz w:val="22"/>
              </w:rPr>
              <w:t> </w:t>
            </w:r>
            <w:r>
              <w:rPr>
                <w:sz w:val="22"/>
              </w:rPr>
              <w:t>of</w:t>
            </w:r>
            <w:r>
              <w:rPr>
                <w:spacing w:val="-1"/>
                <w:sz w:val="22"/>
              </w:rPr>
              <w:t> </w:t>
            </w:r>
            <w:r>
              <w:rPr>
                <w:spacing w:val="-2"/>
                <w:sz w:val="22"/>
              </w:rPr>
              <w:t>service</w:t>
            </w:r>
          </w:p>
        </w:tc>
        <w:tc>
          <w:tcPr>
            <w:tcW w:w="1269"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0"/>
              <w:rPr>
                <w:sz w:val="35"/>
              </w:rPr>
            </w:pPr>
          </w:p>
          <w:p>
            <w:pPr>
              <w:pStyle w:val="TableParagraph"/>
              <w:ind w:left="91" w:right="86"/>
              <w:jc w:val="center"/>
              <w:rPr>
                <w:sz w:val="22"/>
              </w:rPr>
            </w:pPr>
            <w:r>
              <w:rPr>
                <w:spacing w:val="-5"/>
                <w:sz w:val="22"/>
              </w:rPr>
              <w:t>MAP</w:t>
            </w:r>
          </w:p>
        </w:tc>
        <w:tc>
          <w:tcPr>
            <w:tcW w:w="1403"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0"/>
              <w:rPr>
                <w:sz w:val="35"/>
              </w:rPr>
            </w:pPr>
          </w:p>
          <w:p>
            <w:pPr>
              <w:pStyle w:val="TableParagraph"/>
              <w:ind w:left="11"/>
              <w:jc w:val="center"/>
              <w:rPr>
                <w:sz w:val="22"/>
              </w:rPr>
            </w:pPr>
            <w:r>
              <w:rPr>
                <w:w w:val="100"/>
                <w:sz w:val="22"/>
              </w:rPr>
              <w:t>Y</w:t>
            </w:r>
          </w:p>
        </w:tc>
        <w:tc>
          <w:tcPr>
            <w:tcW w:w="1067"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0"/>
              <w:rPr>
                <w:sz w:val="35"/>
              </w:rPr>
            </w:pPr>
          </w:p>
          <w:p>
            <w:pPr>
              <w:pStyle w:val="TableParagraph"/>
              <w:ind w:left="185" w:right="171"/>
              <w:jc w:val="center"/>
              <w:rPr>
                <w:sz w:val="22"/>
              </w:rPr>
            </w:pPr>
            <w:r>
              <w:rPr>
                <w:spacing w:val="-2"/>
                <w:sz w:val="22"/>
              </w:rPr>
              <w:t>7/1/97</w:t>
            </w:r>
          </w:p>
        </w:tc>
        <w:tc>
          <w:tcPr>
            <w:tcW w:w="1218"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0"/>
              <w:rPr>
                <w:sz w:val="35"/>
              </w:rPr>
            </w:pPr>
          </w:p>
          <w:p>
            <w:pPr>
              <w:pStyle w:val="TableParagraph"/>
              <w:ind w:left="110"/>
              <w:rPr>
                <w:sz w:val="22"/>
              </w:rPr>
            </w:pPr>
            <w:r>
              <w:rPr>
                <w:spacing w:val="-2"/>
                <w:sz w:val="22"/>
              </w:rPr>
              <w:t>12/31/27</w:t>
            </w:r>
          </w:p>
        </w:tc>
      </w:tr>
      <w:tr>
        <w:trPr>
          <w:trHeight w:val="3541" w:hRule="atLeast"/>
        </w:trPr>
        <w:tc>
          <w:tcPr>
            <w:tcW w:w="1738"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1"/>
              <w:rPr>
                <w:sz w:val="35"/>
              </w:rPr>
            </w:pPr>
          </w:p>
          <w:p>
            <w:pPr>
              <w:pStyle w:val="TableParagraph"/>
              <w:spacing w:line="252" w:lineRule="exact"/>
              <w:ind w:left="395"/>
              <w:rPr>
                <w:b/>
                <w:sz w:val="22"/>
              </w:rPr>
            </w:pPr>
            <w:r>
              <w:rPr>
                <w:b/>
                <w:spacing w:val="-2"/>
                <w:sz w:val="22"/>
              </w:rPr>
              <w:t>1902(r)(2)</w:t>
            </w:r>
          </w:p>
          <w:p>
            <w:pPr>
              <w:pStyle w:val="TableParagraph"/>
              <w:spacing w:line="252" w:lineRule="exact"/>
              <w:ind w:left="458"/>
              <w:rPr>
                <w:b/>
                <w:sz w:val="22"/>
              </w:rPr>
            </w:pPr>
            <w:r>
              <w:rPr>
                <w:b/>
                <w:spacing w:val="-2"/>
                <w:sz w:val="22"/>
              </w:rPr>
              <w:t>Disabled</w:t>
            </w:r>
          </w:p>
        </w:tc>
        <w:tc>
          <w:tcPr>
            <w:tcW w:w="2304" w:type="dxa"/>
          </w:tcPr>
          <w:p>
            <w:pPr>
              <w:pStyle w:val="TableParagraph"/>
              <w:spacing w:before="1"/>
              <w:ind w:left="112" w:right="102"/>
              <w:jc w:val="center"/>
              <w:rPr>
                <w:sz w:val="22"/>
              </w:rPr>
            </w:pPr>
            <w:r>
              <w:rPr>
                <w:sz w:val="22"/>
              </w:rPr>
              <w:t>Report all medical assistance</w:t>
            </w:r>
            <w:r>
              <w:rPr>
                <w:spacing w:val="-14"/>
                <w:sz w:val="22"/>
              </w:rPr>
              <w:t> </w:t>
            </w:r>
            <w:r>
              <w:rPr>
                <w:sz w:val="22"/>
              </w:rPr>
              <w:t>expenditures for eligible individuals with disabilities enrolled</w:t>
            </w:r>
            <w:r>
              <w:rPr>
                <w:spacing w:val="-14"/>
                <w:sz w:val="22"/>
              </w:rPr>
              <w:t> </w:t>
            </w:r>
            <w:r>
              <w:rPr>
                <w:sz w:val="22"/>
              </w:rPr>
              <w:t>in</w:t>
            </w:r>
            <w:r>
              <w:rPr>
                <w:spacing w:val="-14"/>
                <w:sz w:val="22"/>
              </w:rPr>
              <w:t> </w:t>
            </w:r>
            <w:r>
              <w:rPr>
                <w:sz w:val="22"/>
              </w:rPr>
              <w:t>MassHealth Standard with income between 114.1 percent and 133 percent of the FPL,</w:t>
            </w:r>
            <w:r>
              <w:rPr>
                <w:spacing w:val="-9"/>
                <w:sz w:val="22"/>
              </w:rPr>
              <w:t> </w:t>
            </w:r>
            <w:r>
              <w:rPr>
                <w:sz w:val="22"/>
              </w:rPr>
              <w:t>as</w:t>
            </w:r>
            <w:r>
              <w:rPr>
                <w:spacing w:val="-9"/>
                <w:sz w:val="22"/>
              </w:rPr>
              <w:t> </w:t>
            </w:r>
            <w:r>
              <w:rPr>
                <w:sz w:val="22"/>
              </w:rPr>
              <w:t>well</w:t>
            </w:r>
            <w:r>
              <w:rPr>
                <w:spacing w:val="-8"/>
                <w:sz w:val="22"/>
              </w:rPr>
              <w:t> </w:t>
            </w:r>
            <w:r>
              <w:rPr>
                <w:sz w:val="22"/>
              </w:rPr>
              <w:t>as</w:t>
            </w:r>
            <w:r>
              <w:rPr>
                <w:spacing w:val="-9"/>
                <w:sz w:val="22"/>
              </w:rPr>
              <w:t> </w:t>
            </w:r>
            <w:r>
              <w:rPr>
                <w:sz w:val="22"/>
              </w:rPr>
              <w:t>eligible individuals with disabilities enrolled in MassHealth Limited (emergency services</w:t>
            </w:r>
          </w:p>
          <w:p>
            <w:pPr>
              <w:pStyle w:val="TableParagraph"/>
              <w:spacing w:line="232" w:lineRule="exact"/>
              <w:ind w:left="113" w:right="102"/>
              <w:jc w:val="center"/>
              <w:rPr>
                <w:sz w:val="22"/>
              </w:rPr>
            </w:pPr>
            <w:r>
              <w:rPr>
                <w:spacing w:val="-2"/>
                <w:sz w:val="22"/>
              </w:rPr>
              <w:t>only).</w:t>
            </w:r>
          </w:p>
        </w:tc>
        <w:tc>
          <w:tcPr>
            <w:tcW w:w="1519" w:type="dxa"/>
          </w:tcPr>
          <w:p>
            <w:pPr>
              <w:pStyle w:val="TableParagraph"/>
              <w:rPr>
                <w:sz w:val="20"/>
              </w:rPr>
            </w:pPr>
          </w:p>
        </w:tc>
        <w:tc>
          <w:tcPr>
            <w:tcW w:w="1406" w:type="dxa"/>
          </w:tcPr>
          <w:p>
            <w:pPr>
              <w:pStyle w:val="TableParagraph"/>
              <w:rPr>
                <w:sz w:val="24"/>
              </w:rPr>
            </w:pPr>
          </w:p>
          <w:p>
            <w:pPr>
              <w:pStyle w:val="TableParagraph"/>
              <w:rPr>
                <w:sz w:val="24"/>
              </w:rPr>
            </w:pPr>
          </w:p>
          <w:p>
            <w:pPr>
              <w:pStyle w:val="TableParagraph"/>
              <w:rPr>
                <w:sz w:val="24"/>
              </w:rPr>
            </w:pPr>
          </w:p>
          <w:p>
            <w:pPr>
              <w:pStyle w:val="TableParagraph"/>
              <w:spacing w:before="183"/>
              <w:ind w:left="239" w:right="232" w:firstLine="148"/>
              <w:jc w:val="both"/>
              <w:rPr>
                <w:sz w:val="22"/>
              </w:rPr>
            </w:pPr>
            <w:r>
              <w:rPr>
                <w:spacing w:val="-2"/>
                <w:sz w:val="22"/>
              </w:rPr>
              <w:t>Follow standard CMS-64.9</w:t>
            </w:r>
          </w:p>
          <w:p>
            <w:pPr>
              <w:pStyle w:val="TableParagraph"/>
              <w:ind w:left="165" w:right="159"/>
              <w:jc w:val="center"/>
              <w:rPr>
                <w:sz w:val="22"/>
              </w:rPr>
            </w:pPr>
            <w:r>
              <w:rPr>
                <w:sz w:val="22"/>
              </w:rPr>
              <w:t>Category</w:t>
            </w:r>
            <w:r>
              <w:rPr>
                <w:spacing w:val="-14"/>
                <w:sz w:val="22"/>
              </w:rPr>
              <w:t> </w:t>
            </w:r>
            <w:r>
              <w:rPr>
                <w:sz w:val="22"/>
              </w:rPr>
              <w:t>of </w:t>
            </w:r>
            <w:r>
              <w:rPr>
                <w:spacing w:val="-2"/>
                <w:sz w:val="22"/>
              </w:rPr>
              <w:t>Service Definitions</w:t>
            </w:r>
          </w:p>
        </w:tc>
        <w:tc>
          <w:tcPr>
            <w:tcW w:w="1742"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3"/>
              </w:rPr>
            </w:pPr>
          </w:p>
          <w:p>
            <w:pPr>
              <w:pStyle w:val="TableParagraph"/>
              <w:ind w:left="125" w:right="115"/>
              <w:jc w:val="center"/>
              <w:rPr>
                <w:sz w:val="22"/>
              </w:rPr>
            </w:pPr>
            <w:r>
              <w:rPr>
                <w:sz w:val="22"/>
              </w:rPr>
              <w:t>Date</w:t>
            </w:r>
            <w:r>
              <w:rPr>
                <w:spacing w:val="-4"/>
                <w:sz w:val="22"/>
              </w:rPr>
              <w:t> </w:t>
            </w:r>
            <w:r>
              <w:rPr>
                <w:sz w:val="22"/>
              </w:rPr>
              <w:t>of</w:t>
            </w:r>
            <w:r>
              <w:rPr>
                <w:spacing w:val="-1"/>
                <w:sz w:val="22"/>
              </w:rPr>
              <w:t> </w:t>
            </w:r>
            <w:r>
              <w:rPr>
                <w:spacing w:val="-2"/>
                <w:sz w:val="22"/>
              </w:rPr>
              <w:t>service</w:t>
            </w:r>
          </w:p>
        </w:tc>
        <w:tc>
          <w:tcPr>
            <w:tcW w:w="1269"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3"/>
              </w:rPr>
            </w:pPr>
          </w:p>
          <w:p>
            <w:pPr>
              <w:pStyle w:val="TableParagraph"/>
              <w:ind w:left="91" w:right="86"/>
              <w:jc w:val="center"/>
              <w:rPr>
                <w:sz w:val="22"/>
              </w:rPr>
            </w:pPr>
            <w:r>
              <w:rPr>
                <w:spacing w:val="-5"/>
                <w:sz w:val="22"/>
              </w:rPr>
              <w:t>MAP</w:t>
            </w:r>
          </w:p>
        </w:tc>
        <w:tc>
          <w:tcPr>
            <w:tcW w:w="1403"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3"/>
              </w:rPr>
            </w:pPr>
          </w:p>
          <w:p>
            <w:pPr>
              <w:pStyle w:val="TableParagraph"/>
              <w:ind w:left="11"/>
              <w:jc w:val="center"/>
              <w:rPr>
                <w:sz w:val="22"/>
              </w:rPr>
            </w:pPr>
            <w:r>
              <w:rPr>
                <w:w w:val="100"/>
                <w:sz w:val="22"/>
              </w:rPr>
              <w:t>Y</w:t>
            </w:r>
          </w:p>
        </w:tc>
        <w:tc>
          <w:tcPr>
            <w:tcW w:w="1067"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3"/>
              </w:rPr>
            </w:pPr>
          </w:p>
          <w:p>
            <w:pPr>
              <w:pStyle w:val="TableParagraph"/>
              <w:ind w:left="185" w:right="171"/>
              <w:jc w:val="center"/>
              <w:rPr>
                <w:sz w:val="22"/>
              </w:rPr>
            </w:pPr>
            <w:r>
              <w:rPr>
                <w:spacing w:val="-2"/>
                <w:sz w:val="22"/>
              </w:rPr>
              <w:t>7/1/97</w:t>
            </w:r>
          </w:p>
        </w:tc>
        <w:tc>
          <w:tcPr>
            <w:tcW w:w="1218"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3"/>
              </w:rPr>
            </w:pPr>
          </w:p>
          <w:p>
            <w:pPr>
              <w:pStyle w:val="TableParagraph"/>
              <w:ind w:left="110"/>
              <w:rPr>
                <w:sz w:val="22"/>
              </w:rPr>
            </w:pPr>
            <w:r>
              <w:rPr>
                <w:spacing w:val="-2"/>
                <w:sz w:val="22"/>
              </w:rPr>
              <w:t>12/31/27</w:t>
            </w:r>
          </w:p>
        </w:tc>
      </w:tr>
      <w:tr>
        <w:trPr>
          <w:trHeight w:val="2277" w:hRule="atLeast"/>
        </w:trPr>
        <w:tc>
          <w:tcPr>
            <w:tcW w:w="1738" w:type="dxa"/>
          </w:tcPr>
          <w:p>
            <w:pPr>
              <w:pStyle w:val="TableParagraph"/>
              <w:rPr>
                <w:sz w:val="24"/>
              </w:rPr>
            </w:pPr>
          </w:p>
          <w:p>
            <w:pPr>
              <w:pStyle w:val="TableParagraph"/>
              <w:rPr>
                <w:sz w:val="24"/>
              </w:rPr>
            </w:pPr>
          </w:p>
          <w:p>
            <w:pPr>
              <w:pStyle w:val="TableParagraph"/>
              <w:rPr>
                <w:sz w:val="24"/>
              </w:rPr>
            </w:pPr>
          </w:p>
          <w:p>
            <w:pPr>
              <w:pStyle w:val="TableParagraph"/>
              <w:spacing w:before="183"/>
              <w:ind w:left="489"/>
              <w:rPr>
                <w:b/>
                <w:sz w:val="22"/>
              </w:rPr>
            </w:pPr>
            <w:r>
              <w:rPr>
                <w:b/>
                <w:spacing w:val="-2"/>
                <w:sz w:val="22"/>
              </w:rPr>
              <w:t>BCCDP</w:t>
            </w:r>
          </w:p>
        </w:tc>
        <w:tc>
          <w:tcPr>
            <w:tcW w:w="2304" w:type="dxa"/>
          </w:tcPr>
          <w:p>
            <w:pPr>
              <w:pStyle w:val="TableParagraph"/>
              <w:spacing w:before="1"/>
              <w:ind w:left="119" w:right="110" w:firstLine="1"/>
              <w:jc w:val="center"/>
              <w:rPr>
                <w:sz w:val="22"/>
              </w:rPr>
            </w:pPr>
            <w:r>
              <w:rPr>
                <w:sz w:val="22"/>
              </w:rPr>
              <w:t>Report all medical assistance</w:t>
            </w:r>
            <w:r>
              <w:rPr>
                <w:spacing w:val="-14"/>
                <w:sz w:val="22"/>
              </w:rPr>
              <w:t> </w:t>
            </w:r>
            <w:r>
              <w:rPr>
                <w:sz w:val="22"/>
              </w:rPr>
              <w:t>expenditures for individuals eligible under the Breast and Cervical Cancer </w:t>
            </w:r>
            <w:r>
              <w:rPr>
                <w:spacing w:val="-2"/>
                <w:sz w:val="22"/>
              </w:rPr>
              <w:t>Demonstration</w:t>
            </w:r>
            <w:r>
              <w:rPr>
                <w:spacing w:val="40"/>
                <w:sz w:val="22"/>
              </w:rPr>
              <w:t> </w:t>
            </w:r>
            <w:r>
              <w:rPr>
                <w:sz w:val="22"/>
              </w:rPr>
              <w:t>Program who are enrolled</w:t>
            </w:r>
            <w:r>
              <w:rPr>
                <w:spacing w:val="-14"/>
                <w:sz w:val="22"/>
              </w:rPr>
              <w:t> </w:t>
            </w:r>
            <w:r>
              <w:rPr>
                <w:sz w:val="22"/>
              </w:rPr>
              <w:t>in</w:t>
            </w:r>
            <w:r>
              <w:rPr>
                <w:spacing w:val="-14"/>
                <w:sz w:val="22"/>
              </w:rPr>
              <w:t> </w:t>
            </w:r>
            <w:r>
              <w:rPr>
                <w:sz w:val="22"/>
              </w:rPr>
              <w:t>MassHealth</w:t>
            </w:r>
          </w:p>
          <w:p>
            <w:pPr>
              <w:pStyle w:val="TableParagraph"/>
              <w:spacing w:line="233" w:lineRule="exact"/>
              <w:ind w:left="110" w:right="102"/>
              <w:jc w:val="center"/>
              <w:rPr>
                <w:sz w:val="22"/>
              </w:rPr>
            </w:pPr>
            <w:r>
              <w:rPr>
                <w:spacing w:val="-2"/>
                <w:sz w:val="22"/>
              </w:rPr>
              <w:t>Standard.</w:t>
            </w:r>
          </w:p>
        </w:tc>
        <w:tc>
          <w:tcPr>
            <w:tcW w:w="1519" w:type="dxa"/>
          </w:tcPr>
          <w:p>
            <w:pPr>
              <w:pStyle w:val="TableParagraph"/>
              <w:rPr>
                <w:sz w:val="20"/>
              </w:rPr>
            </w:pPr>
          </w:p>
        </w:tc>
        <w:tc>
          <w:tcPr>
            <w:tcW w:w="1406" w:type="dxa"/>
          </w:tcPr>
          <w:p>
            <w:pPr>
              <w:pStyle w:val="TableParagraph"/>
              <w:rPr>
                <w:sz w:val="33"/>
              </w:rPr>
            </w:pPr>
          </w:p>
          <w:p>
            <w:pPr>
              <w:pStyle w:val="TableParagraph"/>
              <w:ind w:left="239" w:right="232" w:firstLine="148"/>
              <w:jc w:val="both"/>
              <w:rPr>
                <w:sz w:val="22"/>
              </w:rPr>
            </w:pPr>
            <w:r>
              <w:rPr>
                <w:spacing w:val="-2"/>
                <w:sz w:val="22"/>
              </w:rPr>
              <w:t>Follow standard CMS-64.9</w:t>
            </w:r>
          </w:p>
          <w:p>
            <w:pPr>
              <w:pStyle w:val="TableParagraph"/>
              <w:ind w:left="165" w:right="159"/>
              <w:jc w:val="center"/>
              <w:rPr>
                <w:sz w:val="22"/>
              </w:rPr>
            </w:pPr>
            <w:r>
              <w:rPr>
                <w:sz w:val="22"/>
              </w:rPr>
              <w:t>Category</w:t>
            </w:r>
            <w:r>
              <w:rPr>
                <w:spacing w:val="-14"/>
                <w:sz w:val="22"/>
              </w:rPr>
              <w:t> </w:t>
            </w:r>
            <w:r>
              <w:rPr>
                <w:sz w:val="22"/>
              </w:rPr>
              <w:t>of </w:t>
            </w:r>
            <w:r>
              <w:rPr>
                <w:spacing w:val="-2"/>
                <w:sz w:val="22"/>
              </w:rPr>
              <w:t>Service Definitions</w:t>
            </w:r>
          </w:p>
        </w:tc>
        <w:tc>
          <w:tcPr>
            <w:tcW w:w="1742" w:type="dxa"/>
          </w:tcPr>
          <w:p>
            <w:pPr>
              <w:pStyle w:val="TableParagraph"/>
              <w:rPr>
                <w:sz w:val="24"/>
              </w:rPr>
            </w:pPr>
          </w:p>
          <w:p>
            <w:pPr>
              <w:pStyle w:val="TableParagraph"/>
              <w:rPr>
                <w:sz w:val="24"/>
              </w:rPr>
            </w:pPr>
          </w:p>
          <w:p>
            <w:pPr>
              <w:pStyle w:val="TableParagraph"/>
              <w:rPr>
                <w:sz w:val="24"/>
              </w:rPr>
            </w:pPr>
          </w:p>
          <w:p>
            <w:pPr>
              <w:pStyle w:val="TableParagraph"/>
              <w:spacing w:before="183"/>
              <w:ind w:left="125" w:right="115"/>
              <w:jc w:val="center"/>
              <w:rPr>
                <w:sz w:val="22"/>
              </w:rPr>
            </w:pPr>
            <w:r>
              <w:rPr>
                <w:sz w:val="22"/>
              </w:rPr>
              <w:t>Date</w:t>
            </w:r>
            <w:r>
              <w:rPr>
                <w:spacing w:val="-4"/>
                <w:sz w:val="22"/>
              </w:rPr>
              <w:t> </w:t>
            </w:r>
            <w:r>
              <w:rPr>
                <w:sz w:val="22"/>
              </w:rPr>
              <w:t>of</w:t>
            </w:r>
            <w:r>
              <w:rPr>
                <w:spacing w:val="-1"/>
                <w:sz w:val="22"/>
              </w:rPr>
              <w:t> </w:t>
            </w:r>
            <w:r>
              <w:rPr>
                <w:spacing w:val="-2"/>
                <w:sz w:val="22"/>
              </w:rPr>
              <w:t>service</w:t>
            </w:r>
          </w:p>
        </w:tc>
        <w:tc>
          <w:tcPr>
            <w:tcW w:w="1269" w:type="dxa"/>
          </w:tcPr>
          <w:p>
            <w:pPr>
              <w:pStyle w:val="TableParagraph"/>
              <w:rPr>
                <w:sz w:val="24"/>
              </w:rPr>
            </w:pPr>
          </w:p>
          <w:p>
            <w:pPr>
              <w:pStyle w:val="TableParagraph"/>
              <w:rPr>
                <w:sz w:val="24"/>
              </w:rPr>
            </w:pPr>
          </w:p>
          <w:p>
            <w:pPr>
              <w:pStyle w:val="TableParagraph"/>
              <w:rPr>
                <w:sz w:val="24"/>
              </w:rPr>
            </w:pPr>
          </w:p>
          <w:p>
            <w:pPr>
              <w:pStyle w:val="TableParagraph"/>
              <w:spacing w:before="183"/>
              <w:ind w:left="91" w:right="86"/>
              <w:jc w:val="center"/>
              <w:rPr>
                <w:sz w:val="22"/>
              </w:rPr>
            </w:pPr>
            <w:r>
              <w:rPr>
                <w:spacing w:val="-5"/>
                <w:sz w:val="22"/>
              </w:rPr>
              <w:t>MAP</w:t>
            </w:r>
          </w:p>
        </w:tc>
        <w:tc>
          <w:tcPr>
            <w:tcW w:w="1403" w:type="dxa"/>
          </w:tcPr>
          <w:p>
            <w:pPr>
              <w:pStyle w:val="TableParagraph"/>
              <w:rPr>
                <w:sz w:val="24"/>
              </w:rPr>
            </w:pPr>
          </w:p>
          <w:p>
            <w:pPr>
              <w:pStyle w:val="TableParagraph"/>
              <w:rPr>
                <w:sz w:val="24"/>
              </w:rPr>
            </w:pPr>
          </w:p>
          <w:p>
            <w:pPr>
              <w:pStyle w:val="TableParagraph"/>
              <w:rPr>
                <w:sz w:val="24"/>
              </w:rPr>
            </w:pPr>
          </w:p>
          <w:p>
            <w:pPr>
              <w:pStyle w:val="TableParagraph"/>
              <w:spacing w:before="183"/>
              <w:ind w:left="11"/>
              <w:jc w:val="center"/>
              <w:rPr>
                <w:sz w:val="22"/>
              </w:rPr>
            </w:pPr>
            <w:r>
              <w:rPr>
                <w:w w:val="100"/>
                <w:sz w:val="22"/>
              </w:rPr>
              <w:t>Y</w:t>
            </w:r>
          </w:p>
        </w:tc>
        <w:tc>
          <w:tcPr>
            <w:tcW w:w="1067" w:type="dxa"/>
          </w:tcPr>
          <w:p>
            <w:pPr>
              <w:pStyle w:val="TableParagraph"/>
              <w:rPr>
                <w:sz w:val="24"/>
              </w:rPr>
            </w:pPr>
          </w:p>
          <w:p>
            <w:pPr>
              <w:pStyle w:val="TableParagraph"/>
              <w:rPr>
                <w:sz w:val="24"/>
              </w:rPr>
            </w:pPr>
          </w:p>
          <w:p>
            <w:pPr>
              <w:pStyle w:val="TableParagraph"/>
              <w:rPr>
                <w:sz w:val="24"/>
              </w:rPr>
            </w:pPr>
          </w:p>
          <w:p>
            <w:pPr>
              <w:pStyle w:val="TableParagraph"/>
              <w:spacing w:before="183"/>
              <w:ind w:left="185" w:right="171"/>
              <w:jc w:val="center"/>
              <w:rPr>
                <w:sz w:val="22"/>
              </w:rPr>
            </w:pPr>
            <w:r>
              <w:rPr>
                <w:spacing w:val="-2"/>
                <w:sz w:val="22"/>
              </w:rPr>
              <w:t>7/1/97</w:t>
            </w:r>
          </w:p>
        </w:tc>
        <w:tc>
          <w:tcPr>
            <w:tcW w:w="1218" w:type="dxa"/>
          </w:tcPr>
          <w:p>
            <w:pPr>
              <w:pStyle w:val="TableParagraph"/>
              <w:rPr>
                <w:sz w:val="24"/>
              </w:rPr>
            </w:pPr>
          </w:p>
          <w:p>
            <w:pPr>
              <w:pStyle w:val="TableParagraph"/>
              <w:rPr>
                <w:sz w:val="24"/>
              </w:rPr>
            </w:pPr>
          </w:p>
          <w:p>
            <w:pPr>
              <w:pStyle w:val="TableParagraph"/>
              <w:rPr>
                <w:sz w:val="24"/>
              </w:rPr>
            </w:pPr>
          </w:p>
          <w:p>
            <w:pPr>
              <w:pStyle w:val="TableParagraph"/>
              <w:spacing w:before="183"/>
              <w:ind w:left="110"/>
              <w:rPr>
                <w:sz w:val="22"/>
              </w:rPr>
            </w:pPr>
            <w:r>
              <w:rPr>
                <w:spacing w:val="-2"/>
                <w:sz w:val="22"/>
              </w:rPr>
              <w:t>12/31/27</w:t>
            </w:r>
          </w:p>
        </w:tc>
      </w:tr>
    </w:tbl>
    <w:p>
      <w:pPr>
        <w:spacing w:after="0"/>
        <w:rPr>
          <w:sz w:val="22"/>
        </w:rPr>
        <w:sectPr>
          <w:pgSz w:w="15840" w:h="12240" w:orient="landscape"/>
          <w:pgMar w:header="0" w:footer="1201" w:top="1380" w:bottom="1400" w:left="820" w:right="1120"/>
        </w:sectPr>
      </w:pPr>
    </w:p>
    <w:p>
      <w:pPr>
        <w:pStyle w:val="BodyText"/>
        <w:spacing w:before="2"/>
        <w:rPr>
          <w:sz w:val="5"/>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38"/>
        <w:gridCol w:w="2304"/>
        <w:gridCol w:w="1519"/>
        <w:gridCol w:w="1406"/>
        <w:gridCol w:w="1742"/>
        <w:gridCol w:w="1269"/>
        <w:gridCol w:w="1403"/>
        <w:gridCol w:w="1067"/>
        <w:gridCol w:w="1218"/>
      </w:tblGrid>
      <w:tr>
        <w:trPr>
          <w:trHeight w:val="2510" w:hRule="atLeast"/>
        </w:trPr>
        <w:tc>
          <w:tcPr>
            <w:tcW w:w="1738" w:type="dxa"/>
          </w:tcPr>
          <w:p>
            <w:pPr>
              <w:pStyle w:val="TableParagraph"/>
              <w:rPr>
                <w:sz w:val="24"/>
              </w:rPr>
            </w:pPr>
          </w:p>
          <w:p>
            <w:pPr>
              <w:pStyle w:val="TableParagraph"/>
              <w:rPr>
                <w:sz w:val="24"/>
              </w:rPr>
            </w:pPr>
          </w:p>
          <w:p>
            <w:pPr>
              <w:pStyle w:val="TableParagraph"/>
              <w:rPr>
                <w:sz w:val="24"/>
              </w:rPr>
            </w:pPr>
          </w:p>
          <w:p>
            <w:pPr>
              <w:pStyle w:val="TableParagraph"/>
              <w:spacing w:before="11"/>
              <w:rPr>
                <w:sz w:val="25"/>
              </w:rPr>
            </w:pPr>
          </w:p>
          <w:p>
            <w:pPr>
              <w:pStyle w:val="TableParagraph"/>
              <w:ind w:left="110" w:right="98"/>
              <w:jc w:val="center"/>
              <w:rPr>
                <w:b/>
                <w:sz w:val="22"/>
              </w:rPr>
            </w:pPr>
            <w:r>
              <w:rPr>
                <w:b/>
                <w:spacing w:val="-2"/>
                <w:sz w:val="22"/>
              </w:rPr>
              <w:t>CommonHealth</w:t>
            </w:r>
          </w:p>
        </w:tc>
        <w:tc>
          <w:tcPr>
            <w:tcW w:w="2304" w:type="dxa"/>
          </w:tcPr>
          <w:p>
            <w:pPr>
              <w:pStyle w:val="TableParagraph"/>
              <w:ind w:left="119" w:right="110" w:firstLine="1"/>
              <w:jc w:val="center"/>
              <w:rPr>
                <w:sz w:val="22"/>
              </w:rPr>
            </w:pPr>
            <w:r>
              <w:rPr>
                <w:sz w:val="22"/>
              </w:rPr>
              <w:t>Report all medical assistance</w:t>
            </w:r>
            <w:r>
              <w:rPr>
                <w:spacing w:val="-14"/>
                <w:sz w:val="22"/>
              </w:rPr>
              <w:t> </w:t>
            </w:r>
            <w:r>
              <w:rPr>
                <w:sz w:val="22"/>
              </w:rPr>
              <w:t>expenditures for higher income working adults and children with disabilities enrolled in </w:t>
            </w:r>
            <w:r>
              <w:rPr>
                <w:spacing w:val="-2"/>
                <w:sz w:val="22"/>
              </w:rPr>
              <w:t>CommonHealth.</w:t>
            </w:r>
          </w:p>
        </w:tc>
        <w:tc>
          <w:tcPr>
            <w:tcW w:w="1519" w:type="dxa"/>
          </w:tcPr>
          <w:p>
            <w:pPr>
              <w:pStyle w:val="TableParagraph"/>
              <w:rPr>
                <w:sz w:val="20"/>
              </w:rPr>
            </w:pPr>
          </w:p>
        </w:tc>
        <w:tc>
          <w:tcPr>
            <w:tcW w:w="1406" w:type="dxa"/>
          </w:tcPr>
          <w:p>
            <w:pPr>
              <w:pStyle w:val="TableParagraph"/>
              <w:rPr>
                <w:sz w:val="24"/>
              </w:rPr>
            </w:pPr>
          </w:p>
          <w:p>
            <w:pPr>
              <w:pStyle w:val="TableParagraph"/>
              <w:rPr>
                <w:sz w:val="19"/>
              </w:rPr>
            </w:pPr>
          </w:p>
          <w:p>
            <w:pPr>
              <w:pStyle w:val="TableParagraph"/>
              <w:ind w:left="239" w:right="232" w:firstLine="148"/>
              <w:jc w:val="both"/>
              <w:rPr>
                <w:sz w:val="22"/>
              </w:rPr>
            </w:pPr>
            <w:r>
              <w:rPr>
                <w:spacing w:val="-2"/>
                <w:sz w:val="22"/>
              </w:rPr>
              <w:t>Follow standard CMS-64.9</w:t>
            </w:r>
          </w:p>
          <w:p>
            <w:pPr>
              <w:pStyle w:val="TableParagraph"/>
              <w:ind w:left="165" w:right="159"/>
              <w:jc w:val="center"/>
              <w:rPr>
                <w:sz w:val="22"/>
              </w:rPr>
            </w:pPr>
            <w:r>
              <w:rPr>
                <w:sz w:val="22"/>
              </w:rPr>
              <w:t>Category</w:t>
            </w:r>
            <w:r>
              <w:rPr>
                <w:spacing w:val="-14"/>
                <w:sz w:val="22"/>
              </w:rPr>
              <w:t> </w:t>
            </w:r>
            <w:r>
              <w:rPr>
                <w:sz w:val="22"/>
              </w:rPr>
              <w:t>of </w:t>
            </w:r>
            <w:r>
              <w:rPr>
                <w:spacing w:val="-2"/>
                <w:sz w:val="22"/>
              </w:rPr>
              <w:t>Service Definitions</w:t>
            </w:r>
          </w:p>
        </w:tc>
        <w:tc>
          <w:tcPr>
            <w:tcW w:w="1742" w:type="dxa"/>
          </w:tcPr>
          <w:p>
            <w:pPr>
              <w:pStyle w:val="TableParagraph"/>
              <w:rPr>
                <w:sz w:val="24"/>
              </w:rPr>
            </w:pPr>
          </w:p>
          <w:p>
            <w:pPr>
              <w:pStyle w:val="TableParagraph"/>
              <w:rPr>
                <w:sz w:val="24"/>
              </w:rPr>
            </w:pPr>
          </w:p>
          <w:p>
            <w:pPr>
              <w:pStyle w:val="TableParagraph"/>
              <w:rPr>
                <w:sz w:val="24"/>
              </w:rPr>
            </w:pPr>
          </w:p>
          <w:p>
            <w:pPr>
              <w:pStyle w:val="TableParagraph"/>
              <w:spacing w:before="10"/>
              <w:rPr>
                <w:sz w:val="25"/>
              </w:rPr>
            </w:pPr>
          </w:p>
          <w:p>
            <w:pPr>
              <w:pStyle w:val="TableParagraph"/>
              <w:ind w:left="124" w:right="118"/>
              <w:jc w:val="center"/>
              <w:rPr>
                <w:sz w:val="22"/>
              </w:rPr>
            </w:pPr>
            <w:r>
              <w:rPr>
                <w:sz w:val="22"/>
              </w:rPr>
              <w:t>Date</w:t>
            </w:r>
            <w:r>
              <w:rPr>
                <w:spacing w:val="-4"/>
                <w:sz w:val="22"/>
              </w:rPr>
              <w:t> </w:t>
            </w:r>
            <w:r>
              <w:rPr>
                <w:sz w:val="22"/>
              </w:rPr>
              <w:t>of</w:t>
            </w:r>
            <w:r>
              <w:rPr>
                <w:spacing w:val="-1"/>
                <w:sz w:val="22"/>
              </w:rPr>
              <w:t> </w:t>
            </w:r>
            <w:r>
              <w:rPr>
                <w:spacing w:val="-2"/>
                <w:sz w:val="22"/>
              </w:rPr>
              <w:t>service</w:t>
            </w:r>
          </w:p>
        </w:tc>
        <w:tc>
          <w:tcPr>
            <w:tcW w:w="1269" w:type="dxa"/>
          </w:tcPr>
          <w:p>
            <w:pPr>
              <w:pStyle w:val="TableParagraph"/>
              <w:rPr>
                <w:sz w:val="24"/>
              </w:rPr>
            </w:pPr>
          </w:p>
          <w:p>
            <w:pPr>
              <w:pStyle w:val="TableParagraph"/>
              <w:rPr>
                <w:sz w:val="24"/>
              </w:rPr>
            </w:pPr>
          </w:p>
          <w:p>
            <w:pPr>
              <w:pStyle w:val="TableParagraph"/>
              <w:rPr>
                <w:sz w:val="24"/>
              </w:rPr>
            </w:pPr>
          </w:p>
          <w:p>
            <w:pPr>
              <w:pStyle w:val="TableParagraph"/>
              <w:spacing w:before="10"/>
              <w:rPr>
                <w:sz w:val="25"/>
              </w:rPr>
            </w:pPr>
          </w:p>
          <w:p>
            <w:pPr>
              <w:pStyle w:val="TableParagraph"/>
              <w:ind w:left="92" w:right="86"/>
              <w:jc w:val="center"/>
              <w:rPr>
                <w:sz w:val="22"/>
              </w:rPr>
            </w:pPr>
            <w:r>
              <w:rPr>
                <w:spacing w:val="-5"/>
                <w:sz w:val="22"/>
              </w:rPr>
              <w:t>MAP</w:t>
            </w:r>
          </w:p>
        </w:tc>
        <w:tc>
          <w:tcPr>
            <w:tcW w:w="1403" w:type="dxa"/>
          </w:tcPr>
          <w:p>
            <w:pPr>
              <w:pStyle w:val="TableParagraph"/>
              <w:rPr>
                <w:sz w:val="24"/>
              </w:rPr>
            </w:pPr>
          </w:p>
          <w:p>
            <w:pPr>
              <w:pStyle w:val="TableParagraph"/>
              <w:rPr>
                <w:sz w:val="24"/>
              </w:rPr>
            </w:pPr>
          </w:p>
          <w:p>
            <w:pPr>
              <w:pStyle w:val="TableParagraph"/>
              <w:rPr>
                <w:sz w:val="24"/>
              </w:rPr>
            </w:pPr>
          </w:p>
          <w:p>
            <w:pPr>
              <w:pStyle w:val="TableParagraph"/>
              <w:spacing w:before="10"/>
              <w:rPr>
                <w:sz w:val="25"/>
              </w:rPr>
            </w:pPr>
          </w:p>
          <w:p>
            <w:pPr>
              <w:pStyle w:val="TableParagraph"/>
              <w:ind w:left="12"/>
              <w:jc w:val="center"/>
              <w:rPr>
                <w:sz w:val="22"/>
              </w:rPr>
            </w:pPr>
            <w:r>
              <w:rPr>
                <w:w w:val="100"/>
                <w:sz w:val="22"/>
              </w:rPr>
              <w:t>Y</w:t>
            </w:r>
          </w:p>
        </w:tc>
        <w:tc>
          <w:tcPr>
            <w:tcW w:w="1067" w:type="dxa"/>
          </w:tcPr>
          <w:p>
            <w:pPr>
              <w:pStyle w:val="TableParagraph"/>
              <w:rPr>
                <w:sz w:val="24"/>
              </w:rPr>
            </w:pPr>
          </w:p>
          <w:p>
            <w:pPr>
              <w:pStyle w:val="TableParagraph"/>
              <w:rPr>
                <w:sz w:val="24"/>
              </w:rPr>
            </w:pPr>
          </w:p>
          <w:p>
            <w:pPr>
              <w:pStyle w:val="TableParagraph"/>
              <w:rPr>
                <w:sz w:val="24"/>
              </w:rPr>
            </w:pPr>
          </w:p>
          <w:p>
            <w:pPr>
              <w:pStyle w:val="TableParagraph"/>
              <w:spacing w:before="10"/>
              <w:rPr>
                <w:sz w:val="25"/>
              </w:rPr>
            </w:pPr>
          </w:p>
          <w:p>
            <w:pPr>
              <w:pStyle w:val="TableParagraph"/>
              <w:ind w:left="186" w:right="171"/>
              <w:jc w:val="center"/>
              <w:rPr>
                <w:sz w:val="22"/>
              </w:rPr>
            </w:pPr>
            <w:r>
              <w:rPr>
                <w:spacing w:val="-2"/>
                <w:sz w:val="22"/>
              </w:rPr>
              <w:t>7/1/97</w:t>
            </w:r>
          </w:p>
        </w:tc>
        <w:tc>
          <w:tcPr>
            <w:tcW w:w="1218" w:type="dxa"/>
          </w:tcPr>
          <w:p>
            <w:pPr>
              <w:pStyle w:val="TableParagraph"/>
              <w:rPr>
                <w:sz w:val="24"/>
              </w:rPr>
            </w:pPr>
          </w:p>
          <w:p>
            <w:pPr>
              <w:pStyle w:val="TableParagraph"/>
              <w:rPr>
                <w:sz w:val="24"/>
              </w:rPr>
            </w:pPr>
          </w:p>
          <w:p>
            <w:pPr>
              <w:pStyle w:val="TableParagraph"/>
              <w:rPr>
                <w:sz w:val="24"/>
              </w:rPr>
            </w:pPr>
          </w:p>
          <w:p>
            <w:pPr>
              <w:pStyle w:val="TableParagraph"/>
              <w:spacing w:before="10"/>
              <w:rPr>
                <w:sz w:val="25"/>
              </w:rPr>
            </w:pPr>
          </w:p>
          <w:p>
            <w:pPr>
              <w:pStyle w:val="TableParagraph"/>
              <w:ind w:left="110"/>
              <w:rPr>
                <w:sz w:val="22"/>
              </w:rPr>
            </w:pPr>
            <w:r>
              <w:rPr>
                <w:spacing w:val="-2"/>
                <w:sz w:val="22"/>
              </w:rPr>
              <w:t>12/31/27</w:t>
            </w:r>
          </w:p>
        </w:tc>
      </w:tr>
      <w:tr>
        <w:trPr>
          <w:trHeight w:val="2277" w:hRule="atLeast"/>
        </w:trPr>
        <w:tc>
          <w:tcPr>
            <w:tcW w:w="1738" w:type="dxa"/>
          </w:tcPr>
          <w:p>
            <w:pPr>
              <w:pStyle w:val="TableParagraph"/>
              <w:rPr>
                <w:sz w:val="24"/>
              </w:rPr>
            </w:pPr>
          </w:p>
          <w:p>
            <w:pPr>
              <w:pStyle w:val="TableParagraph"/>
              <w:rPr>
                <w:sz w:val="24"/>
              </w:rPr>
            </w:pPr>
          </w:p>
          <w:p>
            <w:pPr>
              <w:pStyle w:val="TableParagraph"/>
              <w:spacing w:before="10"/>
              <w:rPr>
                <w:sz w:val="28"/>
              </w:rPr>
            </w:pPr>
          </w:p>
          <w:p>
            <w:pPr>
              <w:pStyle w:val="TableParagraph"/>
              <w:ind w:left="379" w:firstLine="71"/>
              <w:rPr>
                <w:b/>
                <w:sz w:val="22"/>
              </w:rPr>
            </w:pPr>
            <w:r>
              <w:rPr>
                <w:b/>
                <w:spacing w:val="-2"/>
                <w:sz w:val="22"/>
              </w:rPr>
              <w:t>e-Family Assistance</w:t>
            </w:r>
          </w:p>
        </w:tc>
        <w:tc>
          <w:tcPr>
            <w:tcW w:w="2304" w:type="dxa"/>
          </w:tcPr>
          <w:p>
            <w:pPr>
              <w:pStyle w:val="TableParagraph"/>
              <w:ind w:left="119" w:right="110" w:firstLine="1"/>
              <w:jc w:val="center"/>
              <w:rPr>
                <w:sz w:val="22"/>
              </w:rPr>
            </w:pPr>
            <w:r>
              <w:rPr>
                <w:sz w:val="22"/>
              </w:rPr>
              <w:t>Report all medical assistance</w:t>
            </w:r>
            <w:r>
              <w:rPr>
                <w:spacing w:val="-14"/>
                <w:sz w:val="22"/>
              </w:rPr>
              <w:t> </w:t>
            </w:r>
            <w:r>
              <w:rPr>
                <w:sz w:val="22"/>
              </w:rPr>
              <w:t>expenditures for eligible children receiving premium assistance or direct coverage through 300 percent of the FPL</w:t>
            </w:r>
          </w:p>
          <w:p>
            <w:pPr>
              <w:pStyle w:val="TableParagraph"/>
              <w:spacing w:line="252" w:lineRule="exact"/>
              <w:ind w:left="337" w:right="325"/>
              <w:jc w:val="center"/>
              <w:rPr>
                <w:sz w:val="22"/>
              </w:rPr>
            </w:pPr>
            <w:r>
              <w:rPr>
                <w:sz w:val="22"/>
              </w:rPr>
              <w:t>enrolled</w:t>
            </w:r>
            <w:r>
              <w:rPr>
                <w:spacing w:val="-14"/>
                <w:sz w:val="22"/>
              </w:rPr>
              <w:t> </w:t>
            </w:r>
            <w:r>
              <w:rPr>
                <w:sz w:val="22"/>
              </w:rPr>
              <w:t>in</w:t>
            </w:r>
            <w:r>
              <w:rPr>
                <w:spacing w:val="-14"/>
                <w:sz w:val="22"/>
              </w:rPr>
              <w:t> </w:t>
            </w:r>
            <w:r>
              <w:rPr>
                <w:sz w:val="22"/>
              </w:rPr>
              <w:t>Family </w:t>
            </w:r>
            <w:r>
              <w:rPr>
                <w:spacing w:val="-2"/>
                <w:sz w:val="22"/>
              </w:rPr>
              <w:t>Assistance.</w:t>
            </w:r>
          </w:p>
        </w:tc>
        <w:tc>
          <w:tcPr>
            <w:tcW w:w="1519" w:type="dxa"/>
          </w:tcPr>
          <w:p>
            <w:pPr>
              <w:pStyle w:val="TableParagraph"/>
              <w:rPr>
                <w:sz w:val="20"/>
              </w:rPr>
            </w:pPr>
          </w:p>
        </w:tc>
        <w:tc>
          <w:tcPr>
            <w:tcW w:w="1406" w:type="dxa"/>
          </w:tcPr>
          <w:p>
            <w:pPr>
              <w:pStyle w:val="TableParagraph"/>
              <w:spacing w:before="9"/>
              <w:rPr>
                <w:sz w:val="32"/>
              </w:rPr>
            </w:pPr>
          </w:p>
          <w:p>
            <w:pPr>
              <w:pStyle w:val="TableParagraph"/>
              <w:ind w:left="239" w:right="232" w:firstLine="148"/>
              <w:jc w:val="both"/>
              <w:rPr>
                <w:sz w:val="22"/>
              </w:rPr>
            </w:pPr>
            <w:r>
              <w:rPr>
                <w:spacing w:val="-2"/>
                <w:sz w:val="22"/>
              </w:rPr>
              <w:t>Follow standard CMS-64.9</w:t>
            </w:r>
          </w:p>
          <w:p>
            <w:pPr>
              <w:pStyle w:val="TableParagraph"/>
              <w:spacing w:before="2"/>
              <w:ind w:left="165" w:right="159"/>
              <w:jc w:val="center"/>
              <w:rPr>
                <w:sz w:val="22"/>
              </w:rPr>
            </w:pPr>
            <w:r>
              <w:rPr>
                <w:sz w:val="22"/>
              </w:rPr>
              <w:t>Category</w:t>
            </w:r>
            <w:r>
              <w:rPr>
                <w:spacing w:val="-14"/>
                <w:sz w:val="22"/>
              </w:rPr>
              <w:t> </w:t>
            </w:r>
            <w:r>
              <w:rPr>
                <w:sz w:val="22"/>
              </w:rPr>
              <w:t>of </w:t>
            </w:r>
            <w:r>
              <w:rPr>
                <w:spacing w:val="-2"/>
                <w:sz w:val="22"/>
              </w:rPr>
              <w:t>Service Definitions</w:t>
            </w:r>
          </w:p>
        </w:tc>
        <w:tc>
          <w:tcPr>
            <w:tcW w:w="1742" w:type="dxa"/>
          </w:tcPr>
          <w:p>
            <w:pPr>
              <w:pStyle w:val="TableParagraph"/>
              <w:rPr>
                <w:sz w:val="24"/>
              </w:rPr>
            </w:pPr>
          </w:p>
          <w:p>
            <w:pPr>
              <w:pStyle w:val="TableParagraph"/>
              <w:rPr>
                <w:sz w:val="24"/>
              </w:rPr>
            </w:pPr>
          </w:p>
          <w:p>
            <w:pPr>
              <w:pStyle w:val="TableParagraph"/>
              <w:rPr>
                <w:sz w:val="24"/>
              </w:rPr>
            </w:pPr>
          </w:p>
          <w:p>
            <w:pPr>
              <w:pStyle w:val="TableParagraph"/>
              <w:spacing w:before="183"/>
              <w:ind w:left="125" w:right="115"/>
              <w:jc w:val="center"/>
              <w:rPr>
                <w:sz w:val="22"/>
              </w:rPr>
            </w:pPr>
            <w:r>
              <w:rPr>
                <w:sz w:val="22"/>
              </w:rPr>
              <w:t>Date</w:t>
            </w:r>
            <w:r>
              <w:rPr>
                <w:spacing w:val="-4"/>
                <w:sz w:val="22"/>
              </w:rPr>
              <w:t> </w:t>
            </w:r>
            <w:r>
              <w:rPr>
                <w:sz w:val="22"/>
              </w:rPr>
              <w:t>of</w:t>
            </w:r>
            <w:r>
              <w:rPr>
                <w:spacing w:val="-1"/>
                <w:sz w:val="22"/>
              </w:rPr>
              <w:t> </w:t>
            </w:r>
            <w:r>
              <w:rPr>
                <w:spacing w:val="-2"/>
                <w:sz w:val="22"/>
              </w:rPr>
              <w:t>service</w:t>
            </w:r>
          </w:p>
        </w:tc>
        <w:tc>
          <w:tcPr>
            <w:tcW w:w="1269" w:type="dxa"/>
          </w:tcPr>
          <w:p>
            <w:pPr>
              <w:pStyle w:val="TableParagraph"/>
              <w:rPr>
                <w:sz w:val="24"/>
              </w:rPr>
            </w:pPr>
          </w:p>
          <w:p>
            <w:pPr>
              <w:pStyle w:val="TableParagraph"/>
              <w:rPr>
                <w:sz w:val="24"/>
              </w:rPr>
            </w:pPr>
          </w:p>
          <w:p>
            <w:pPr>
              <w:pStyle w:val="TableParagraph"/>
              <w:rPr>
                <w:sz w:val="24"/>
              </w:rPr>
            </w:pPr>
          </w:p>
          <w:p>
            <w:pPr>
              <w:pStyle w:val="TableParagraph"/>
              <w:spacing w:before="183"/>
              <w:ind w:left="91" w:right="86"/>
              <w:jc w:val="center"/>
              <w:rPr>
                <w:sz w:val="22"/>
              </w:rPr>
            </w:pPr>
            <w:r>
              <w:rPr>
                <w:spacing w:val="-5"/>
                <w:sz w:val="22"/>
              </w:rPr>
              <w:t>MAP</w:t>
            </w:r>
          </w:p>
        </w:tc>
        <w:tc>
          <w:tcPr>
            <w:tcW w:w="1403" w:type="dxa"/>
          </w:tcPr>
          <w:p>
            <w:pPr>
              <w:pStyle w:val="TableParagraph"/>
              <w:rPr>
                <w:sz w:val="24"/>
              </w:rPr>
            </w:pPr>
          </w:p>
          <w:p>
            <w:pPr>
              <w:pStyle w:val="TableParagraph"/>
              <w:rPr>
                <w:sz w:val="24"/>
              </w:rPr>
            </w:pPr>
          </w:p>
          <w:p>
            <w:pPr>
              <w:pStyle w:val="TableParagraph"/>
              <w:rPr>
                <w:sz w:val="24"/>
              </w:rPr>
            </w:pPr>
          </w:p>
          <w:p>
            <w:pPr>
              <w:pStyle w:val="TableParagraph"/>
              <w:spacing w:before="183"/>
              <w:ind w:left="11"/>
              <w:jc w:val="center"/>
              <w:rPr>
                <w:sz w:val="22"/>
              </w:rPr>
            </w:pPr>
            <w:r>
              <w:rPr>
                <w:w w:val="100"/>
                <w:sz w:val="22"/>
              </w:rPr>
              <w:t>N</w:t>
            </w:r>
          </w:p>
        </w:tc>
        <w:tc>
          <w:tcPr>
            <w:tcW w:w="1067" w:type="dxa"/>
          </w:tcPr>
          <w:p>
            <w:pPr>
              <w:pStyle w:val="TableParagraph"/>
              <w:rPr>
                <w:sz w:val="24"/>
              </w:rPr>
            </w:pPr>
          </w:p>
          <w:p>
            <w:pPr>
              <w:pStyle w:val="TableParagraph"/>
              <w:rPr>
                <w:sz w:val="24"/>
              </w:rPr>
            </w:pPr>
          </w:p>
          <w:p>
            <w:pPr>
              <w:pStyle w:val="TableParagraph"/>
              <w:rPr>
                <w:sz w:val="24"/>
              </w:rPr>
            </w:pPr>
          </w:p>
          <w:p>
            <w:pPr>
              <w:pStyle w:val="TableParagraph"/>
              <w:spacing w:before="183"/>
              <w:ind w:left="185" w:right="171"/>
              <w:jc w:val="center"/>
              <w:rPr>
                <w:sz w:val="22"/>
              </w:rPr>
            </w:pPr>
            <w:r>
              <w:rPr>
                <w:spacing w:val="-2"/>
                <w:sz w:val="22"/>
              </w:rPr>
              <w:t>7/1/97</w:t>
            </w:r>
          </w:p>
        </w:tc>
        <w:tc>
          <w:tcPr>
            <w:tcW w:w="1218" w:type="dxa"/>
          </w:tcPr>
          <w:p>
            <w:pPr>
              <w:pStyle w:val="TableParagraph"/>
              <w:rPr>
                <w:sz w:val="24"/>
              </w:rPr>
            </w:pPr>
          </w:p>
          <w:p>
            <w:pPr>
              <w:pStyle w:val="TableParagraph"/>
              <w:rPr>
                <w:sz w:val="24"/>
              </w:rPr>
            </w:pPr>
          </w:p>
          <w:p>
            <w:pPr>
              <w:pStyle w:val="TableParagraph"/>
              <w:rPr>
                <w:sz w:val="24"/>
              </w:rPr>
            </w:pPr>
          </w:p>
          <w:p>
            <w:pPr>
              <w:pStyle w:val="TableParagraph"/>
              <w:spacing w:before="183"/>
              <w:ind w:left="110"/>
              <w:rPr>
                <w:sz w:val="22"/>
              </w:rPr>
            </w:pPr>
            <w:r>
              <w:rPr>
                <w:spacing w:val="-2"/>
                <w:sz w:val="22"/>
              </w:rPr>
              <w:t>12/31/27</w:t>
            </w:r>
          </w:p>
        </w:tc>
      </w:tr>
      <w:tr>
        <w:trPr>
          <w:trHeight w:val="2277" w:hRule="atLeast"/>
        </w:trPr>
        <w:tc>
          <w:tcPr>
            <w:tcW w:w="1738" w:type="dxa"/>
          </w:tcPr>
          <w:p>
            <w:pPr>
              <w:pStyle w:val="TableParagraph"/>
              <w:rPr>
                <w:sz w:val="24"/>
              </w:rPr>
            </w:pPr>
          </w:p>
          <w:p>
            <w:pPr>
              <w:pStyle w:val="TableParagraph"/>
              <w:rPr>
                <w:sz w:val="24"/>
              </w:rPr>
            </w:pPr>
          </w:p>
          <w:p>
            <w:pPr>
              <w:pStyle w:val="TableParagraph"/>
              <w:rPr>
                <w:sz w:val="24"/>
              </w:rPr>
            </w:pPr>
          </w:p>
          <w:p>
            <w:pPr>
              <w:pStyle w:val="TableParagraph"/>
              <w:spacing w:before="183"/>
              <w:ind w:left="110" w:right="98"/>
              <w:jc w:val="center"/>
              <w:rPr>
                <w:b/>
                <w:sz w:val="22"/>
              </w:rPr>
            </w:pPr>
            <w:r>
              <w:rPr>
                <w:b/>
                <w:sz w:val="22"/>
              </w:rPr>
              <w:t>e-</w:t>
            </w:r>
            <w:r>
              <w:rPr>
                <w:b/>
                <w:spacing w:val="-2"/>
                <w:sz w:val="22"/>
              </w:rPr>
              <w:t>HIV/FA</w:t>
            </w:r>
          </w:p>
        </w:tc>
        <w:tc>
          <w:tcPr>
            <w:tcW w:w="2304" w:type="dxa"/>
          </w:tcPr>
          <w:p>
            <w:pPr>
              <w:pStyle w:val="TableParagraph"/>
              <w:ind w:left="119" w:right="110" w:firstLine="1"/>
              <w:jc w:val="center"/>
              <w:rPr>
                <w:sz w:val="22"/>
              </w:rPr>
            </w:pPr>
            <w:r>
              <w:rPr>
                <w:sz w:val="22"/>
              </w:rPr>
              <w:t>Report all medical assistance</w:t>
            </w:r>
            <w:r>
              <w:rPr>
                <w:spacing w:val="-14"/>
                <w:sz w:val="22"/>
              </w:rPr>
              <w:t> </w:t>
            </w:r>
            <w:r>
              <w:rPr>
                <w:sz w:val="22"/>
              </w:rPr>
              <w:t>expenditures for</w:t>
            </w:r>
            <w:r>
              <w:rPr>
                <w:spacing w:val="-7"/>
                <w:sz w:val="22"/>
              </w:rPr>
              <w:t> </w:t>
            </w:r>
            <w:r>
              <w:rPr>
                <w:sz w:val="22"/>
              </w:rPr>
              <w:t>Eligible</w:t>
            </w:r>
            <w:r>
              <w:rPr>
                <w:spacing w:val="-10"/>
                <w:sz w:val="22"/>
              </w:rPr>
              <w:t> </w:t>
            </w:r>
            <w:r>
              <w:rPr>
                <w:sz w:val="22"/>
              </w:rPr>
              <w:t>individuals with HIV/AIDS with incomes from 133 through 200 percent of the FPL who are enrolled in Family</w:t>
            </w:r>
          </w:p>
          <w:p>
            <w:pPr>
              <w:pStyle w:val="TableParagraph"/>
              <w:spacing w:line="235" w:lineRule="exact"/>
              <w:ind w:left="111" w:right="102"/>
              <w:jc w:val="center"/>
              <w:rPr>
                <w:sz w:val="22"/>
              </w:rPr>
            </w:pPr>
            <w:r>
              <w:rPr>
                <w:spacing w:val="-2"/>
                <w:sz w:val="22"/>
              </w:rPr>
              <w:t>Assistance.</w:t>
            </w:r>
          </w:p>
        </w:tc>
        <w:tc>
          <w:tcPr>
            <w:tcW w:w="1519" w:type="dxa"/>
          </w:tcPr>
          <w:p>
            <w:pPr>
              <w:pStyle w:val="TableParagraph"/>
              <w:rPr>
                <w:sz w:val="20"/>
              </w:rPr>
            </w:pPr>
          </w:p>
        </w:tc>
        <w:tc>
          <w:tcPr>
            <w:tcW w:w="1406" w:type="dxa"/>
          </w:tcPr>
          <w:p>
            <w:pPr>
              <w:pStyle w:val="TableParagraph"/>
              <w:spacing w:before="9"/>
              <w:rPr>
                <w:sz w:val="32"/>
              </w:rPr>
            </w:pPr>
          </w:p>
          <w:p>
            <w:pPr>
              <w:pStyle w:val="TableParagraph"/>
              <w:ind w:left="239" w:right="232" w:firstLine="148"/>
              <w:jc w:val="both"/>
              <w:rPr>
                <w:sz w:val="22"/>
              </w:rPr>
            </w:pPr>
            <w:r>
              <w:rPr>
                <w:spacing w:val="-2"/>
                <w:sz w:val="22"/>
              </w:rPr>
              <w:t>Follow standard CMS-64.9</w:t>
            </w:r>
          </w:p>
          <w:p>
            <w:pPr>
              <w:pStyle w:val="TableParagraph"/>
              <w:ind w:left="165" w:right="159"/>
              <w:jc w:val="center"/>
              <w:rPr>
                <w:sz w:val="22"/>
              </w:rPr>
            </w:pPr>
            <w:r>
              <w:rPr>
                <w:sz w:val="22"/>
              </w:rPr>
              <w:t>Category</w:t>
            </w:r>
            <w:r>
              <w:rPr>
                <w:spacing w:val="-14"/>
                <w:sz w:val="22"/>
              </w:rPr>
              <w:t> </w:t>
            </w:r>
            <w:r>
              <w:rPr>
                <w:sz w:val="22"/>
              </w:rPr>
              <w:t>of </w:t>
            </w:r>
            <w:r>
              <w:rPr>
                <w:spacing w:val="-2"/>
                <w:sz w:val="22"/>
              </w:rPr>
              <w:t>Service Definitions</w:t>
            </w:r>
          </w:p>
        </w:tc>
        <w:tc>
          <w:tcPr>
            <w:tcW w:w="1742" w:type="dxa"/>
          </w:tcPr>
          <w:p>
            <w:pPr>
              <w:pStyle w:val="TableParagraph"/>
              <w:rPr>
                <w:sz w:val="24"/>
              </w:rPr>
            </w:pPr>
          </w:p>
          <w:p>
            <w:pPr>
              <w:pStyle w:val="TableParagraph"/>
              <w:rPr>
                <w:sz w:val="24"/>
              </w:rPr>
            </w:pPr>
          </w:p>
          <w:p>
            <w:pPr>
              <w:pStyle w:val="TableParagraph"/>
              <w:rPr>
                <w:sz w:val="24"/>
              </w:rPr>
            </w:pPr>
          </w:p>
          <w:p>
            <w:pPr>
              <w:pStyle w:val="TableParagraph"/>
              <w:spacing w:before="183"/>
              <w:ind w:left="125" w:right="115"/>
              <w:jc w:val="center"/>
              <w:rPr>
                <w:sz w:val="22"/>
              </w:rPr>
            </w:pPr>
            <w:r>
              <w:rPr>
                <w:sz w:val="22"/>
              </w:rPr>
              <w:t>Date</w:t>
            </w:r>
            <w:r>
              <w:rPr>
                <w:spacing w:val="-4"/>
                <w:sz w:val="22"/>
              </w:rPr>
              <w:t> </w:t>
            </w:r>
            <w:r>
              <w:rPr>
                <w:sz w:val="22"/>
              </w:rPr>
              <w:t>of</w:t>
            </w:r>
            <w:r>
              <w:rPr>
                <w:spacing w:val="-1"/>
                <w:sz w:val="22"/>
              </w:rPr>
              <w:t> </w:t>
            </w:r>
            <w:r>
              <w:rPr>
                <w:spacing w:val="-2"/>
                <w:sz w:val="22"/>
              </w:rPr>
              <w:t>service</w:t>
            </w:r>
          </w:p>
        </w:tc>
        <w:tc>
          <w:tcPr>
            <w:tcW w:w="1269" w:type="dxa"/>
          </w:tcPr>
          <w:p>
            <w:pPr>
              <w:pStyle w:val="TableParagraph"/>
              <w:rPr>
                <w:sz w:val="24"/>
              </w:rPr>
            </w:pPr>
          </w:p>
          <w:p>
            <w:pPr>
              <w:pStyle w:val="TableParagraph"/>
              <w:rPr>
                <w:sz w:val="24"/>
              </w:rPr>
            </w:pPr>
          </w:p>
          <w:p>
            <w:pPr>
              <w:pStyle w:val="TableParagraph"/>
              <w:rPr>
                <w:sz w:val="24"/>
              </w:rPr>
            </w:pPr>
          </w:p>
          <w:p>
            <w:pPr>
              <w:pStyle w:val="TableParagraph"/>
              <w:spacing w:before="183"/>
              <w:ind w:left="91" w:right="86"/>
              <w:jc w:val="center"/>
              <w:rPr>
                <w:sz w:val="22"/>
              </w:rPr>
            </w:pPr>
            <w:r>
              <w:rPr>
                <w:spacing w:val="-5"/>
                <w:sz w:val="22"/>
              </w:rPr>
              <w:t>MAP</w:t>
            </w:r>
          </w:p>
        </w:tc>
        <w:tc>
          <w:tcPr>
            <w:tcW w:w="1403" w:type="dxa"/>
          </w:tcPr>
          <w:p>
            <w:pPr>
              <w:pStyle w:val="TableParagraph"/>
              <w:rPr>
                <w:sz w:val="24"/>
              </w:rPr>
            </w:pPr>
          </w:p>
          <w:p>
            <w:pPr>
              <w:pStyle w:val="TableParagraph"/>
              <w:rPr>
                <w:sz w:val="24"/>
              </w:rPr>
            </w:pPr>
          </w:p>
          <w:p>
            <w:pPr>
              <w:pStyle w:val="TableParagraph"/>
              <w:rPr>
                <w:sz w:val="24"/>
              </w:rPr>
            </w:pPr>
          </w:p>
          <w:p>
            <w:pPr>
              <w:pStyle w:val="TableParagraph"/>
              <w:spacing w:before="183"/>
              <w:ind w:left="11"/>
              <w:jc w:val="center"/>
              <w:rPr>
                <w:sz w:val="22"/>
              </w:rPr>
            </w:pPr>
            <w:r>
              <w:rPr>
                <w:w w:val="100"/>
                <w:sz w:val="22"/>
              </w:rPr>
              <w:t>N</w:t>
            </w:r>
          </w:p>
        </w:tc>
        <w:tc>
          <w:tcPr>
            <w:tcW w:w="1067" w:type="dxa"/>
          </w:tcPr>
          <w:p>
            <w:pPr>
              <w:pStyle w:val="TableParagraph"/>
              <w:rPr>
                <w:sz w:val="24"/>
              </w:rPr>
            </w:pPr>
          </w:p>
          <w:p>
            <w:pPr>
              <w:pStyle w:val="TableParagraph"/>
              <w:rPr>
                <w:sz w:val="24"/>
              </w:rPr>
            </w:pPr>
          </w:p>
          <w:p>
            <w:pPr>
              <w:pStyle w:val="TableParagraph"/>
              <w:rPr>
                <w:sz w:val="24"/>
              </w:rPr>
            </w:pPr>
          </w:p>
          <w:p>
            <w:pPr>
              <w:pStyle w:val="TableParagraph"/>
              <w:spacing w:before="183"/>
              <w:ind w:left="185" w:right="171"/>
              <w:jc w:val="center"/>
              <w:rPr>
                <w:sz w:val="22"/>
              </w:rPr>
            </w:pPr>
            <w:r>
              <w:rPr>
                <w:spacing w:val="-2"/>
                <w:sz w:val="22"/>
              </w:rPr>
              <w:t>7/1/17</w:t>
            </w:r>
          </w:p>
        </w:tc>
        <w:tc>
          <w:tcPr>
            <w:tcW w:w="1218" w:type="dxa"/>
          </w:tcPr>
          <w:p>
            <w:pPr>
              <w:pStyle w:val="TableParagraph"/>
              <w:rPr>
                <w:sz w:val="24"/>
              </w:rPr>
            </w:pPr>
          </w:p>
          <w:p>
            <w:pPr>
              <w:pStyle w:val="TableParagraph"/>
              <w:rPr>
                <w:sz w:val="24"/>
              </w:rPr>
            </w:pPr>
          </w:p>
          <w:p>
            <w:pPr>
              <w:pStyle w:val="TableParagraph"/>
              <w:rPr>
                <w:sz w:val="24"/>
              </w:rPr>
            </w:pPr>
          </w:p>
          <w:p>
            <w:pPr>
              <w:pStyle w:val="TableParagraph"/>
              <w:spacing w:before="183"/>
              <w:ind w:left="110"/>
              <w:rPr>
                <w:sz w:val="22"/>
              </w:rPr>
            </w:pPr>
            <w:r>
              <w:rPr>
                <w:spacing w:val="-2"/>
                <w:sz w:val="22"/>
              </w:rPr>
              <w:t>12/31/27</w:t>
            </w:r>
          </w:p>
        </w:tc>
      </w:tr>
      <w:tr>
        <w:trPr>
          <w:trHeight w:val="1770" w:hRule="atLeast"/>
        </w:trPr>
        <w:tc>
          <w:tcPr>
            <w:tcW w:w="1738" w:type="dxa"/>
          </w:tcPr>
          <w:p>
            <w:pPr>
              <w:pStyle w:val="TableParagraph"/>
              <w:rPr>
                <w:sz w:val="24"/>
              </w:rPr>
            </w:pPr>
          </w:p>
          <w:p>
            <w:pPr>
              <w:pStyle w:val="TableParagraph"/>
              <w:rPr>
                <w:sz w:val="24"/>
              </w:rPr>
            </w:pPr>
          </w:p>
          <w:p>
            <w:pPr>
              <w:pStyle w:val="TableParagraph"/>
              <w:spacing w:before="205"/>
              <w:ind w:left="105" w:right="98"/>
              <w:jc w:val="center"/>
              <w:rPr>
                <w:b/>
                <w:sz w:val="22"/>
              </w:rPr>
            </w:pPr>
            <w:r>
              <w:rPr>
                <w:b/>
                <w:spacing w:val="-2"/>
                <w:sz w:val="22"/>
              </w:rPr>
              <w:t>SNCP-DSRIP</w:t>
            </w:r>
          </w:p>
        </w:tc>
        <w:tc>
          <w:tcPr>
            <w:tcW w:w="2304" w:type="dxa"/>
          </w:tcPr>
          <w:p>
            <w:pPr>
              <w:pStyle w:val="TableParagraph"/>
              <w:ind w:left="136" w:right="123" w:hanging="3"/>
              <w:jc w:val="center"/>
              <w:rPr>
                <w:sz w:val="22"/>
              </w:rPr>
            </w:pPr>
            <w:r>
              <w:rPr>
                <w:sz w:val="22"/>
              </w:rPr>
              <w:t>Report expenditures for Delivery System Reform Payments (DSRIP). This should be</w:t>
            </w:r>
            <w:r>
              <w:rPr>
                <w:spacing w:val="-9"/>
                <w:sz w:val="22"/>
              </w:rPr>
              <w:t> </w:t>
            </w:r>
            <w:r>
              <w:rPr>
                <w:sz w:val="22"/>
              </w:rPr>
              <w:t>inclusive</w:t>
            </w:r>
            <w:r>
              <w:rPr>
                <w:spacing w:val="-9"/>
                <w:sz w:val="22"/>
              </w:rPr>
              <w:t> </w:t>
            </w:r>
            <w:r>
              <w:rPr>
                <w:sz w:val="22"/>
              </w:rPr>
              <w:t>of</w:t>
            </w:r>
            <w:r>
              <w:rPr>
                <w:spacing w:val="38"/>
                <w:sz w:val="22"/>
              </w:rPr>
              <w:t> </w:t>
            </w:r>
            <w:r>
              <w:rPr>
                <w:sz w:val="22"/>
              </w:rPr>
              <w:t>SNCP- DSRIP-ACO, SNCP-</w:t>
            </w:r>
          </w:p>
          <w:p>
            <w:pPr>
              <w:pStyle w:val="TableParagraph"/>
              <w:spacing w:line="235" w:lineRule="exact"/>
              <w:ind w:left="112" w:right="102"/>
              <w:jc w:val="center"/>
              <w:rPr>
                <w:sz w:val="22"/>
              </w:rPr>
            </w:pPr>
            <w:r>
              <w:rPr>
                <w:sz w:val="22"/>
              </w:rPr>
              <w:t>DSRIP-CP,</w:t>
            </w:r>
            <w:r>
              <w:rPr>
                <w:spacing w:val="-8"/>
                <w:sz w:val="22"/>
              </w:rPr>
              <w:t> </w:t>
            </w:r>
            <w:r>
              <w:rPr>
                <w:spacing w:val="-4"/>
                <w:sz w:val="22"/>
              </w:rPr>
              <w:t>SNCP-</w:t>
            </w:r>
          </w:p>
        </w:tc>
        <w:tc>
          <w:tcPr>
            <w:tcW w:w="1519" w:type="dxa"/>
          </w:tcPr>
          <w:p>
            <w:pPr>
              <w:pStyle w:val="TableParagraph"/>
              <w:rPr>
                <w:sz w:val="20"/>
              </w:rPr>
            </w:pPr>
          </w:p>
        </w:tc>
        <w:tc>
          <w:tcPr>
            <w:tcW w:w="1406" w:type="dxa"/>
          </w:tcPr>
          <w:p>
            <w:pPr>
              <w:pStyle w:val="TableParagraph"/>
              <w:spacing w:before="125"/>
              <w:ind w:left="184" w:right="177" w:firstLine="3"/>
              <w:jc w:val="center"/>
              <w:rPr>
                <w:sz w:val="22"/>
              </w:rPr>
            </w:pPr>
            <w:r>
              <w:rPr>
                <w:spacing w:val="-2"/>
                <w:sz w:val="22"/>
              </w:rPr>
              <w:t>Follow standard CMS-64.10</w:t>
            </w:r>
          </w:p>
          <w:p>
            <w:pPr>
              <w:pStyle w:val="TableParagraph"/>
              <w:ind w:left="165" w:right="159"/>
              <w:jc w:val="center"/>
              <w:rPr>
                <w:sz w:val="22"/>
              </w:rPr>
            </w:pPr>
            <w:r>
              <w:rPr>
                <w:sz w:val="22"/>
              </w:rPr>
              <w:t>Category</w:t>
            </w:r>
            <w:r>
              <w:rPr>
                <w:spacing w:val="-14"/>
                <w:sz w:val="22"/>
              </w:rPr>
              <w:t> </w:t>
            </w:r>
            <w:r>
              <w:rPr>
                <w:sz w:val="22"/>
              </w:rPr>
              <w:t>of </w:t>
            </w:r>
            <w:r>
              <w:rPr>
                <w:spacing w:val="-2"/>
                <w:sz w:val="22"/>
              </w:rPr>
              <w:t>Service Definitions</w:t>
            </w:r>
          </w:p>
        </w:tc>
        <w:tc>
          <w:tcPr>
            <w:tcW w:w="1742" w:type="dxa"/>
          </w:tcPr>
          <w:p>
            <w:pPr>
              <w:pStyle w:val="TableParagraph"/>
              <w:rPr>
                <w:sz w:val="24"/>
              </w:rPr>
            </w:pPr>
          </w:p>
          <w:p>
            <w:pPr>
              <w:pStyle w:val="TableParagraph"/>
              <w:rPr>
                <w:sz w:val="24"/>
              </w:rPr>
            </w:pPr>
          </w:p>
          <w:p>
            <w:pPr>
              <w:pStyle w:val="TableParagraph"/>
              <w:spacing w:before="204"/>
              <w:ind w:left="125" w:right="118"/>
              <w:jc w:val="center"/>
              <w:rPr>
                <w:sz w:val="22"/>
              </w:rPr>
            </w:pPr>
            <w:r>
              <w:rPr>
                <w:sz w:val="22"/>
              </w:rPr>
              <w:t>Date</w:t>
            </w:r>
            <w:r>
              <w:rPr>
                <w:spacing w:val="-4"/>
                <w:sz w:val="22"/>
              </w:rPr>
              <w:t> </w:t>
            </w:r>
            <w:r>
              <w:rPr>
                <w:sz w:val="22"/>
              </w:rPr>
              <w:t>of</w:t>
            </w:r>
            <w:r>
              <w:rPr>
                <w:spacing w:val="-1"/>
                <w:sz w:val="22"/>
              </w:rPr>
              <w:t> </w:t>
            </w:r>
            <w:r>
              <w:rPr>
                <w:spacing w:val="-2"/>
                <w:sz w:val="22"/>
              </w:rPr>
              <w:t>payment</w:t>
            </w:r>
          </w:p>
        </w:tc>
        <w:tc>
          <w:tcPr>
            <w:tcW w:w="1269" w:type="dxa"/>
          </w:tcPr>
          <w:p>
            <w:pPr>
              <w:pStyle w:val="TableParagraph"/>
              <w:rPr>
                <w:sz w:val="24"/>
              </w:rPr>
            </w:pPr>
          </w:p>
          <w:p>
            <w:pPr>
              <w:pStyle w:val="TableParagraph"/>
              <w:rPr>
                <w:sz w:val="24"/>
              </w:rPr>
            </w:pPr>
          </w:p>
          <w:p>
            <w:pPr>
              <w:pStyle w:val="TableParagraph"/>
              <w:spacing w:before="204"/>
              <w:ind w:left="93" w:right="86"/>
              <w:jc w:val="center"/>
              <w:rPr>
                <w:sz w:val="22"/>
              </w:rPr>
            </w:pPr>
            <w:r>
              <w:rPr>
                <w:spacing w:val="-5"/>
                <w:sz w:val="22"/>
              </w:rPr>
              <w:t>ADM</w:t>
            </w:r>
          </w:p>
        </w:tc>
        <w:tc>
          <w:tcPr>
            <w:tcW w:w="1403" w:type="dxa"/>
          </w:tcPr>
          <w:p>
            <w:pPr>
              <w:pStyle w:val="TableParagraph"/>
              <w:rPr>
                <w:sz w:val="24"/>
              </w:rPr>
            </w:pPr>
          </w:p>
          <w:p>
            <w:pPr>
              <w:pStyle w:val="TableParagraph"/>
              <w:rPr>
                <w:sz w:val="24"/>
              </w:rPr>
            </w:pPr>
          </w:p>
          <w:p>
            <w:pPr>
              <w:pStyle w:val="TableParagraph"/>
              <w:spacing w:before="204"/>
              <w:ind w:left="11"/>
              <w:jc w:val="center"/>
              <w:rPr>
                <w:sz w:val="22"/>
              </w:rPr>
            </w:pPr>
            <w:r>
              <w:rPr>
                <w:w w:val="100"/>
                <w:sz w:val="22"/>
              </w:rPr>
              <w:t>N</w:t>
            </w:r>
          </w:p>
        </w:tc>
        <w:tc>
          <w:tcPr>
            <w:tcW w:w="1067" w:type="dxa"/>
          </w:tcPr>
          <w:p>
            <w:pPr>
              <w:pStyle w:val="TableParagraph"/>
              <w:rPr>
                <w:sz w:val="24"/>
              </w:rPr>
            </w:pPr>
          </w:p>
          <w:p>
            <w:pPr>
              <w:pStyle w:val="TableParagraph"/>
              <w:rPr>
                <w:sz w:val="24"/>
              </w:rPr>
            </w:pPr>
          </w:p>
          <w:p>
            <w:pPr>
              <w:pStyle w:val="TableParagraph"/>
              <w:spacing w:before="204"/>
              <w:ind w:left="185" w:right="171"/>
              <w:jc w:val="center"/>
              <w:rPr>
                <w:sz w:val="22"/>
              </w:rPr>
            </w:pPr>
            <w:r>
              <w:rPr>
                <w:spacing w:val="-2"/>
                <w:sz w:val="22"/>
              </w:rPr>
              <w:t>7/1/17</w:t>
            </w:r>
          </w:p>
        </w:tc>
        <w:tc>
          <w:tcPr>
            <w:tcW w:w="1218" w:type="dxa"/>
          </w:tcPr>
          <w:p>
            <w:pPr>
              <w:pStyle w:val="TableParagraph"/>
              <w:rPr>
                <w:sz w:val="24"/>
              </w:rPr>
            </w:pPr>
          </w:p>
          <w:p>
            <w:pPr>
              <w:pStyle w:val="TableParagraph"/>
              <w:rPr>
                <w:sz w:val="24"/>
              </w:rPr>
            </w:pPr>
          </w:p>
          <w:p>
            <w:pPr>
              <w:pStyle w:val="TableParagraph"/>
              <w:spacing w:before="204"/>
              <w:ind w:left="221"/>
              <w:rPr>
                <w:sz w:val="22"/>
              </w:rPr>
            </w:pPr>
            <w:r>
              <w:rPr>
                <w:spacing w:val="-2"/>
                <w:sz w:val="22"/>
              </w:rPr>
              <w:t>12/31/27</w:t>
            </w:r>
          </w:p>
        </w:tc>
      </w:tr>
    </w:tbl>
    <w:p>
      <w:pPr>
        <w:spacing w:after="0"/>
        <w:rPr>
          <w:sz w:val="22"/>
        </w:rPr>
        <w:sectPr>
          <w:pgSz w:w="15840" w:h="12240" w:orient="landscape"/>
          <w:pgMar w:header="0" w:footer="1201" w:top="1380" w:bottom="1400" w:left="820" w:right="1120"/>
        </w:sectPr>
      </w:pPr>
    </w:p>
    <w:p>
      <w:pPr>
        <w:pStyle w:val="BodyText"/>
        <w:spacing w:before="2"/>
        <w:rPr>
          <w:sz w:val="5"/>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38"/>
        <w:gridCol w:w="2304"/>
        <w:gridCol w:w="1519"/>
        <w:gridCol w:w="1406"/>
        <w:gridCol w:w="1742"/>
        <w:gridCol w:w="1269"/>
        <w:gridCol w:w="1403"/>
        <w:gridCol w:w="1067"/>
        <w:gridCol w:w="1218"/>
      </w:tblGrid>
      <w:tr>
        <w:trPr>
          <w:trHeight w:val="621" w:hRule="atLeast"/>
        </w:trPr>
        <w:tc>
          <w:tcPr>
            <w:tcW w:w="1738" w:type="dxa"/>
          </w:tcPr>
          <w:p>
            <w:pPr>
              <w:pStyle w:val="TableParagraph"/>
              <w:rPr>
                <w:sz w:val="20"/>
              </w:rPr>
            </w:pPr>
          </w:p>
        </w:tc>
        <w:tc>
          <w:tcPr>
            <w:tcW w:w="2304" w:type="dxa"/>
          </w:tcPr>
          <w:p>
            <w:pPr>
              <w:pStyle w:val="TableParagraph"/>
              <w:spacing w:line="251" w:lineRule="exact"/>
              <w:ind w:left="234"/>
              <w:rPr>
                <w:sz w:val="22"/>
              </w:rPr>
            </w:pPr>
            <w:r>
              <w:rPr>
                <w:sz w:val="22"/>
              </w:rPr>
              <w:t>DSRIP-SWI,</w:t>
            </w:r>
            <w:r>
              <w:rPr>
                <w:spacing w:val="-13"/>
                <w:sz w:val="22"/>
              </w:rPr>
              <w:t> </w:t>
            </w:r>
            <w:r>
              <w:rPr>
                <w:spacing w:val="-4"/>
                <w:sz w:val="22"/>
              </w:rPr>
              <w:t>SNCP-</w:t>
            </w:r>
          </w:p>
          <w:p>
            <w:pPr>
              <w:pStyle w:val="TableParagraph"/>
              <w:spacing w:before="1"/>
              <w:ind w:left="292"/>
              <w:rPr>
                <w:sz w:val="22"/>
              </w:rPr>
            </w:pPr>
            <w:r>
              <w:rPr>
                <w:spacing w:val="-2"/>
                <w:sz w:val="22"/>
              </w:rPr>
              <w:t>DSRIP-Operations.</w:t>
            </w:r>
          </w:p>
        </w:tc>
        <w:tc>
          <w:tcPr>
            <w:tcW w:w="1519" w:type="dxa"/>
          </w:tcPr>
          <w:p>
            <w:pPr>
              <w:pStyle w:val="TableParagraph"/>
              <w:rPr>
                <w:sz w:val="20"/>
              </w:rPr>
            </w:pPr>
          </w:p>
        </w:tc>
        <w:tc>
          <w:tcPr>
            <w:tcW w:w="1406" w:type="dxa"/>
          </w:tcPr>
          <w:p>
            <w:pPr>
              <w:pStyle w:val="TableParagraph"/>
              <w:rPr>
                <w:sz w:val="20"/>
              </w:rPr>
            </w:pPr>
          </w:p>
        </w:tc>
        <w:tc>
          <w:tcPr>
            <w:tcW w:w="1742" w:type="dxa"/>
          </w:tcPr>
          <w:p>
            <w:pPr>
              <w:pStyle w:val="TableParagraph"/>
              <w:rPr>
                <w:sz w:val="20"/>
              </w:rPr>
            </w:pPr>
          </w:p>
        </w:tc>
        <w:tc>
          <w:tcPr>
            <w:tcW w:w="1269" w:type="dxa"/>
          </w:tcPr>
          <w:p>
            <w:pPr>
              <w:pStyle w:val="TableParagraph"/>
              <w:rPr>
                <w:sz w:val="20"/>
              </w:rPr>
            </w:pPr>
          </w:p>
        </w:tc>
        <w:tc>
          <w:tcPr>
            <w:tcW w:w="1403" w:type="dxa"/>
          </w:tcPr>
          <w:p>
            <w:pPr>
              <w:pStyle w:val="TableParagraph"/>
              <w:rPr>
                <w:sz w:val="20"/>
              </w:rPr>
            </w:pPr>
          </w:p>
        </w:tc>
        <w:tc>
          <w:tcPr>
            <w:tcW w:w="1067" w:type="dxa"/>
          </w:tcPr>
          <w:p>
            <w:pPr>
              <w:pStyle w:val="TableParagraph"/>
              <w:rPr>
                <w:sz w:val="20"/>
              </w:rPr>
            </w:pPr>
          </w:p>
        </w:tc>
        <w:tc>
          <w:tcPr>
            <w:tcW w:w="1218" w:type="dxa"/>
          </w:tcPr>
          <w:p>
            <w:pPr>
              <w:pStyle w:val="TableParagraph"/>
              <w:rPr>
                <w:sz w:val="20"/>
              </w:rPr>
            </w:pPr>
          </w:p>
        </w:tc>
      </w:tr>
      <w:tr>
        <w:trPr>
          <w:trHeight w:val="1677" w:hRule="atLeast"/>
        </w:trPr>
        <w:tc>
          <w:tcPr>
            <w:tcW w:w="1738" w:type="dxa"/>
          </w:tcPr>
          <w:p>
            <w:pPr>
              <w:pStyle w:val="TableParagraph"/>
              <w:rPr>
                <w:sz w:val="24"/>
              </w:rPr>
            </w:pPr>
          </w:p>
          <w:p>
            <w:pPr>
              <w:pStyle w:val="TableParagraph"/>
              <w:spacing w:before="11"/>
              <w:rPr>
                <w:sz w:val="30"/>
              </w:rPr>
            </w:pPr>
          </w:p>
          <w:p>
            <w:pPr>
              <w:pStyle w:val="TableParagraph"/>
              <w:ind w:left="232"/>
              <w:rPr>
                <w:b/>
                <w:sz w:val="22"/>
              </w:rPr>
            </w:pPr>
            <w:r>
              <w:rPr>
                <w:b/>
                <w:spacing w:val="-2"/>
                <w:sz w:val="22"/>
              </w:rPr>
              <w:t>SNCP-PHTII</w:t>
            </w:r>
          </w:p>
        </w:tc>
        <w:tc>
          <w:tcPr>
            <w:tcW w:w="2304" w:type="dxa"/>
          </w:tcPr>
          <w:p>
            <w:pPr>
              <w:pStyle w:val="TableParagraph"/>
              <w:spacing w:before="123"/>
              <w:ind w:left="246" w:right="236" w:hanging="1"/>
              <w:jc w:val="center"/>
              <w:rPr>
                <w:sz w:val="22"/>
              </w:rPr>
            </w:pPr>
            <w:r>
              <w:rPr>
                <w:sz w:val="22"/>
              </w:rPr>
              <w:t>Report</w:t>
            </w:r>
            <w:r>
              <w:rPr>
                <w:spacing w:val="-6"/>
                <w:sz w:val="22"/>
              </w:rPr>
              <w:t> </w:t>
            </w:r>
            <w:r>
              <w:rPr>
                <w:sz w:val="22"/>
              </w:rPr>
              <w:t>expenditures authorized</w:t>
            </w:r>
            <w:r>
              <w:rPr>
                <w:spacing w:val="-14"/>
                <w:sz w:val="22"/>
              </w:rPr>
              <w:t> </w:t>
            </w:r>
            <w:r>
              <w:rPr>
                <w:sz w:val="22"/>
              </w:rPr>
              <w:t>under</w:t>
            </w:r>
            <w:r>
              <w:rPr>
                <w:spacing w:val="-14"/>
                <w:sz w:val="22"/>
              </w:rPr>
              <w:t> </w:t>
            </w:r>
            <w:r>
              <w:rPr>
                <w:sz w:val="22"/>
              </w:rPr>
              <w:t>the Public Hospital Transformation and Incentives Initiative</w:t>
            </w:r>
          </w:p>
        </w:tc>
        <w:tc>
          <w:tcPr>
            <w:tcW w:w="1519" w:type="dxa"/>
          </w:tcPr>
          <w:p>
            <w:pPr>
              <w:pStyle w:val="TableParagraph"/>
              <w:rPr>
                <w:sz w:val="20"/>
              </w:rPr>
            </w:pPr>
          </w:p>
        </w:tc>
        <w:tc>
          <w:tcPr>
            <w:tcW w:w="1406" w:type="dxa"/>
          </w:tcPr>
          <w:p>
            <w:pPr>
              <w:pStyle w:val="TableParagraph"/>
              <w:ind w:left="239" w:right="232" w:firstLine="148"/>
              <w:jc w:val="both"/>
              <w:rPr>
                <w:sz w:val="22"/>
              </w:rPr>
            </w:pPr>
            <w:r>
              <w:rPr>
                <w:spacing w:val="-2"/>
                <w:sz w:val="22"/>
              </w:rPr>
              <w:t>Follow standard CMS-64.9</w:t>
            </w:r>
          </w:p>
          <w:p>
            <w:pPr>
              <w:pStyle w:val="TableParagraph"/>
              <w:spacing w:line="242" w:lineRule="auto"/>
              <w:ind w:left="165" w:right="159"/>
              <w:jc w:val="center"/>
              <w:rPr>
                <w:sz w:val="22"/>
              </w:rPr>
            </w:pPr>
            <w:r>
              <w:rPr>
                <w:sz w:val="22"/>
              </w:rPr>
              <w:t>Category</w:t>
            </w:r>
            <w:r>
              <w:rPr>
                <w:spacing w:val="-14"/>
                <w:sz w:val="22"/>
              </w:rPr>
              <w:t> </w:t>
            </w:r>
            <w:r>
              <w:rPr>
                <w:sz w:val="22"/>
              </w:rPr>
              <w:t>of </w:t>
            </w:r>
            <w:r>
              <w:rPr>
                <w:spacing w:val="-2"/>
                <w:sz w:val="22"/>
              </w:rPr>
              <w:t>Service Definition</w:t>
            </w:r>
          </w:p>
        </w:tc>
        <w:tc>
          <w:tcPr>
            <w:tcW w:w="1742" w:type="dxa"/>
          </w:tcPr>
          <w:p>
            <w:pPr>
              <w:pStyle w:val="TableParagraph"/>
              <w:spacing w:line="242" w:lineRule="auto" w:before="111"/>
              <w:ind w:left="199" w:right="192" w:firstLine="2"/>
              <w:jc w:val="center"/>
              <w:rPr>
                <w:sz w:val="22"/>
              </w:rPr>
            </w:pPr>
            <w:r>
              <w:rPr>
                <w:sz w:val="22"/>
              </w:rPr>
              <w:t>Date of service/Date</w:t>
            </w:r>
            <w:r>
              <w:rPr>
                <w:spacing w:val="-14"/>
                <w:sz w:val="22"/>
              </w:rPr>
              <w:t> </w:t>
            </w:r>
            <w:r>
              <w:rPr>
                <w:sz w:val="22"/>
              </w:rPr>
              <w:t>of </w:t>
            </w:r>
            <w:r>
              <w:rPr>
                <w:spacing w:val="-2"/>
                <w:sz w:val="22"/>
              </w:rPr>
              <w:t>payment</w:t>
            </w:r>
          </w:p>
        </w:tc>
        <w:tc>
          <w:tcPr>
            <w:tcW w:w="1269" w:type="dxa"/>
          </w:tcPr>
          <w:p>
            <w:pPr>
              <w:pStyle w:val="TableParagraph"/>
              <w:rPr>
                <w:sz w:val="24"/>
              </w:rPr>
            </w:pPr>
          </w:p>
          <w:p>
            <w:pPr>
              <w:pStyle w:val="TableParagraph"/>
              <w:spacing w:before="10"/>
              <w:rPr>
                <w:sz w:val="30"/>
              </w:rPr>
            </w:pPr>
          </w:p>
          <w:p>
            <w:pPr>
              <w:pStyle w:val="TableParagraph"/>
              <w:spacing w:before="1"/>
              <w:ind w:left="92" w:right="86"/>
              <w:jc w:val="center"/>
              <w:rPr>
                <w:sz w:val="22"/>
              </w:rPr>
            </w:pPr>
            <w:r>
              <w:rPr>
                <w:spacing w:val="-5"/>
                <w:sz w:val="22"/>
              </w:rPr>
              <w:t>MAP</w:t>
            </w:r>
          </w:p>
        </w:tc>
        <w:tc>
          <w:tcPr>
            <w:tcW w:w="1403" w:type="dxa"/>
          </w:tcPr>
          <w:p>
            <w:pPr>
              <w:pStyle w:val="TableParagraph"/>
              <w:rPr>
                <w:sz w:val="24"/>
              </w:rPr>
            </w:pPr>
          </w:p>
          <w:p>
            <w:pPr>
              <w:pStyle w:val="TableParagraph"/>
              <w:spacing w:before="10"/>
              <w:rPr>
                <w:sz w:val="30"/>
              </w:rPr>
            </w:pPr>
          </w:p>
          <w:p>
            <w:pPr>
              <w:pStyle w:val="TableParagraph"/>
              <w:spacing w:before="1"/>
              <w:ind w:left="12"/>
              <w:jc w:val="center"/>
              <w:rPr>
                <w:sz w:val="22"/>
              </w:rPr>
            </w:pPr>
            <w:r>
              <w:rPr>
                <w:w w:val="100"/>
                <w:sz w:val="22"/>
              </w:rPr>
              <w:t>N</w:t>
            </w:r>
          </w:p>
        </w:tc>
        <w:tc>
          <w:tcPr>
            <w:tcW w:w="1067" w:type="dxa"/>
          </w:tcPr>
          <w:p>
            <w:pPr>
              <w:pStyle w:val="TableParagraph"/>
              <w:rPr>
                <w:sz w:val="24"/>
              </w:rPr>
            </w:pPr>
          </w:p>
          <w:p>
            <w:pPr>
              <w:pStyle w:val="TableParagraph"/>
              <w:spacing w:before="10"/>
              <w:rPr>
                <w:sz w:val="30"/>
              </w:rPr>
            </w:pPr>
          </w:p>
          <w:p>
            <w:pPr>
              <w:pStyle w:val="TableParagraph"/>
              <w:spacing w:before="1"/>
              <w:ind w:left="186" w:right="171"/>
              <w:jc w:val="center"/>
              <w:rPr>
                <w:sz w:val="22"/>
              </w:rPr>
            </w:pPr>
            <w:r>
              <w:rPr>
                <w:spacing w:val="-2"/>
                <w:sz w:val="22"/>
              </w:rPr>
              <w:t>7/1/17</w:t>
            </w:r>
          </w:p>
        </w:tc>
        <w:tc>
          <w:tcPr>
            <w:tcW w:w="1218" w:type="dxa"/>
          </w:tcPr>
          <w:p>
            <w:pPr>
              <w:pStyle w:val="TableParagraph"/>
              <w:rPr>
                <w:sz w:val="24"/>
              </w:rPr>
            </w:pPr>
          </w:p>
          <w:p>
            <w:pPr>
              <w:pStyle w:val="TableParagraph"/>
              <w:spacing w:before="10"/>
              <w:rPr>
                <w:sz w:val="30"/>
              </w:rPr>
            </w:pPr>
          </w:p>
          <w:p>
            <w:pPr>
              <w:pStyle w:val="TableParagraph"/>
              <w:spacing w:before="1"/>
              <w:ind w:left="110"/>
              <w:rPr>
                <w:sz w:val="22"/>
              </w:rPr>
            </w:pPr>
            <w:r>
              <w:rPr>
                <w:spacing w:val="-2"/>
                <w:sz w:val="22"/>
              </w:rPr>
              <w:t>06/30/2024</w:t>
            </w:r>
          </w:p>
        </w:tc>
      </w:tr>
      <w:tr>
        <w:trPr>
          <w:trHeight w:val="1516" w:hRule="atLeast"/>
        </w:trPr>
        <w:tc>
          <w:tcPr>
            <w:tcW w:w="1738" w:type="dxa"/>
          </w:tcPr>
          <w:p>
            <w:pPr>
              <w:pStyle w:val="TableParagraph"/>
              <w:rPr>
                <w:sz w:val="24"/>
              </w:rPr>
            </w:pPr>
          </w:p>
          <w:p>
            <w:pPr>
              <w:pStyle w:val="TableParagraph"/>
              <w:spacing w:before="10"/>
              <w:rPr>
                <w:sz w:val="19"/>
              </w:rPr>
            </w:pPr>
          </w:p>
          <w:p>
            <w:pPr>
              <w:pStyle w:val="TableParagraph"/>
              <w:ind w:left="501" w:hanging="221"/>
              <w:rPr>
                <w:b/>
                <w:sz w:val="22"/>
              </w:rPr>
            </w:pPr>
            <w:r>
              <w:rPr>
                <w:b/>
                <w:spacing w:val="-2"/>
                <w:sz w:val="22"/>
              </w:rPr>
              <w:t>SNCP-DSH- HSNTF</w:t>
            </w:r>
          </w:p>
        </w:tc>
        <w:tc>
          <w:tcPr>
            <w:tcW w:w="2304" w:type="dxa"/>
          </w:tcPr>
          <w:p>
            <w:pPr>
              <w:pStyle w:val="TableParagraph"/>
              <w:ind w:left="167" w:right="156" w:hanging="1"/>
              <w:jc w:val="center"/>
              <w:rPr>
                <w:sz w:val="22"/>
              </w:rPr>
            </w:pPr>
            <w:r>
              <w:rPr>
                <w:sz w:val="22"/>
              </w:rPr>
              <w:t>Report expenditures authorized under the Health Safety Net program</w:t>
            </w:r>
            <w:r>
              <w:rPr>
                <w:spacing w:val="-14"/>
                <w:sz w:val="22"/>
              </w:rPr>
              <w:t> </w:t>
            </w:r>
            <w:r>
              <w:rPr>
                <w:sz w:val="22"/>
              </w:rPr>
              <w:t>as</w:t>
            </w:r>
            <w:r>
              <w:rPr>
                <w:spacing w:val="-14"/>
                <w:sz w:val="22"/>
              </w:rPr>
              <w:t> </w:t>
            </w:r>
            <w:r>
              <w:rPr>
                <w:sz w:val="22"/>
              </w:rPr>
              <w:t>referenced on</w:t>
            </w:r>
            <w:r>
              <w:rPr>
                <w:spacing w:val="-3"/>
                <w:sz w:val="22"/>
              </w:rPr>
              <w:t> </w:t>
            </w:r>
            <w:r>
              <w:rPr>
                <w:sz w:val="22"/>
              </w:rPr>
              <w:t>Attachment</w:t>
            </w:r>
            <w:r>
              <w:rPr>
                <w:spacing w:val="-1"/>
                <w:sz w:val="22"/>
              </w:rPr>
              <w:t> </w:t>
            </w:r>
            <w:r>
              <w:rPr>
                <w:sz w:val="22"/>
              </w:rPr>
              <w:t>E</w:t>
            </w:r>
            <w:r>
              <w:rPr>
                <w:spacing w:val="-3"/>
                <w:sz w:val="22"/>
              </w:rPr>
              <w:t> </w:t>
            </w:r>
            <w:r>
              <w:rPr>
                <w:spacing w:val="-4"/>
                <w:sz w:val="22"/>
              </w:rPr>
              <w:t>item</w:t>
            </w:r>
          </w:p>
          <w:p>
            <w:pPr>
              <w:pStyle w:val="TableParagraph"/>
              <w:spacing w:line="233" w:lineRule="exact"/>
              <w:ind w:left="108" w:right="102"/>
              <w:jc w:val="center"/>
              <w:rPr>
                <w:sz w:val="22"/>
              </w:rPr>
            </w:pPr>
            <w:r>
              <w:rPr>
                <w:spacing w:val="-5"/>
                <w:sz w:val="22"/>
              </w:rPr>
              <w:t>4.</w:t>
            </w:r>
          </w:p>
        </w:tc>
        <w:tc>
          <w:tcPr>
            <w:tcW w:w="1519" w:type="dxa"/>
          </w:tcPr>
          <w:p>
            <w:pPr>
              <w:pStyle w:val="TableParagraph"/>
              <w:rPr>
                <w:sz w:val="20"/>
              </w:rPr>
            </w:pPr>
          </w:p>
        </w:tc>
        <w:tc>
          <w:tcPr>
            <w:tcW w:w="1406" w:type="dxa"/>
          </w:tcPr>
          <w:p>
            <w:pPr>
              <w:pStyle w:val="TableParagraph"/>
              <w:ind w:left="246" w:right="240" w:firstLine="141"/>
              <w:jc w:val="both"/>
              <w:rPr>
                <w:sz w:val="22"/>
              </w:rPr>
            </w:pPr>
            <w:r>
              <w:rPr>
                <w:spacing w:val="-2"/>
                <w:sz w:val="22"/>
              </w:rPr>
              <w:t>Follow standard </w:t>
            </w:r>
            <w:r>
              <w:rPr>
                <w:sz w:val="22"/>
              </w:rPr>
              <w:t>CMS</w:t>
            </w:r>
            <w:r>
              <w:rPr>
                <w:spacing w:val="-2"/>
                <w:sz w:val="22"/>
              </w:rPr>
              <w:t> </w:t>
            </w:r>
            <w:r>
              <w:rPr>
                <w:spacing w:val="-4"/>
                <w:sz w:val="22"/>
              </w:rPr>
              <w:t>64.9</w:t>
            </w:r>
          </w:p>
          <w:p>
            <w:pPr>
              <w:pStyle w:val="TableParagraph"/>
              <w:spacing w:line="252" w:lineRule="exact"/>
              <w:ind w:left="164" w:right="161"/>
              <w:jc w:val="center"/>
              <w:rPr>
                <w:sz w:val="22"/>
              </w:rPr>
            </w:pPr>
            <w:r>
              <w:rPr>
                <w:sz w:val="22"/>
              </w:rPr>
              <w:t>Category</w:t>
            </w:r>
            <w:r>
              <w:rPr>
                <w:spacing w:val="-6"/>
                <w:sz w:val="22"/>
              </w:rPr>
              <w:t> </w:t>
            </w:r>
            <w:r>
              <w:rPr>
                <w:spacing w:val="-5"/>
                <w:sz w:val="22"/>
              </w:rPr>
              <w:t>of</w:t>
            </w:r>
          </w:p>
          <w:p>
            <w:pPr>
              <w:pStyle w:val="TableParagraph"/>
              <w:spacing w:line="252" w:lineRule="exact"/>
              <w:ind w:left="205" w:right="197" w:hanging="2"/>
              <w:jc w:val="center"/>
              <w:rPr>
                <w:sz w:val="22"/>
              </w:rPr>
            </w:pPr>
            <w:r>
              <w:rPr>
                <w:spacing w:val="-2"/>
                <w:sz w:val="22"/>
              </w:rPr>
              <w:t>Service Definitions</w:t>
            </w:r>
          </w:p>
        </w:tc>
        <w:tc>
          <w:tcPr>
            <w:tcW w:w="1742" w:type="dxa"/>
          </w:tcPr>
          <w:p>
            <w:pPr>
              <w:pStyle w:val="TableParagraph"/>
              <w:spacing w:before="9"/>
              <w:rPr>
                <w:sz w:val="32"/>
              </w:rPr>
            </w:pPr>
          </w:p>
          <w:p>
            <w:pPr>
              <w:pStyle w:val="TableParagraph"/>
              <w:ind w:left="199" w:right="192" w:firstLine="2"/>
              <w:jc w:val="center"/>
              <w:rPr>
                <w:sz w:val="22"/>
              </w:rPr>
            </w:pPr>
            <w:r>
              <w:rPr>
                <w:sz w:val="22"/>
              </w:rPr>
              <w:t>Date of service/Date</w:t>
            </w:r>
            <w:r>
              <w:rPr>
                <w:spacing w:val="-14"/>
                <w:sz w:val="22"/>
              </w:rPr>
              <w:t> </w:t>
            </w:r>
            <w:r>
              <w:rPr>
                <w:sz w:val="22"/>
              </w:rPr>
              <w:t>of </w:t>
            </w:r>
            <w:r>
              <w:rPr>
                <w:spacing w:val="-2"/>
                <w:sz w:val="22"/>
              </w:rPr>
              <w:t>payment</w:t>
            </w:r>
          </w:p>
        </w:tc>
        <w:tc>
          <w:tcPr>
            <w:tcW w:w="1269" w:type="dxa"/>
          </w:tcPr>
          <w:p>
            <w:pPr>
              <w:pStyle w:val="TableParagraph"/>
              <w:rPr>
                <w:sz w:val="24"/>
              </w:rPr>
            </w:pPr>
          </w:p>
          <w:p>
            <w:pPr>
              <w:pStyle w:val="TableParagraph"/>
              <w:spacing w:before="8"/>
              <w:rPr>
                <w:sz w:val="30"/>
              </w:rPr>
            </w:pPr>
          </w:p>
          <w:p>
            <w:pPr>
              <w:pStyle w:val="TableParagraph"/>
              <w:ind w:left="92" w:right="86"/>
              <w:jc w:val="center"/>
              <w:rPr>
                <w:sz w:val="22"/>
              </w:rPr>
            </w:pPr>
            <w:r>
              <w:rPr>
                <w:spacing w:val="-5"/>
                <w:sz w:val="22"/>
              </w:rPr>
              <w:t>MAP</w:t>
            </w:r>
          </w:p>
        </w:tc>
        <w:tc>
          <w:tcPr>
            <w:tcW w:w="1403" w:type="dxa"/>
          </w:tcPr>
          <w:p>
            <w:pPr>
              <w:pStyle w:val="TableParagraph"/>
              <w:rPr>
                <w:sz w:val="24"/>
              </w:rPr>
            </w:pPr>
          </w:p>
          <w:p>
            <w:pPr>
              <w:pStyle w:val="TableParagraph"/>
              <w:spacing w:before="8"/>
              <w:rPr>
                <w:sz w:val="30"/>
              </w:rPr>
            </w:pPr>
          </w:p>
          <w:p>
            <w:pPr>
              <w:pStyle w:val="TableParagraph"/>
              <w:ind w:left="12"/>
              <w:jc w:val="center"/>
              <w:rPr>
                <w:sz w:val="22"/>
              </w:rPr>
            </w:pPr>
            <w:r>
              <w:rPr>
                <w:w w:val="100"/>
                <w:sz w:val="22"/>
              </w:rPr>
              <w:t>N</w:t>
            </w:r>
          </w:p>
        </w:tc>
        <w:tc>
          <w:tcPr>
            <w:tcW w:w="1067" w:type="dxa"/>
          </w:tcPr>
          <w:p>
            <w:pPr>
              <w:pStyle w:val="TableParagraph"/>
              <w:rPr>
                <w:sz w:val="24"/>
              </w:rPr>
            </w:pPr>
          </w:p>
          <w:p>
            <w:pPr>
              <w:pStyle w:val="TableParagraph"/>
              <w:spacing w:before="8"/>
              <w:rPr>
                <w:sz w:val="30"/>
              </w:rPr>
            </w:pPr>
          </w:p>
          <w:p>
            <w:pPr>
              <w:pStyle w:val="TableParagraph"/>
              <w:ind w:left="186" w:right="171"/>
              <w:jc w:val="center"/>
              <w:rPr>
                <w:sz w:val="22"/>
              </w:rPr>
            </w:pPr>
            <w:r>
              <w:rPr>
                <w:spacing w:val="-2"/>
                <w:sz w:val="22"/>
              </w:rPr>
              <w:t>7/1/17</w:t>
            </w:r>
          </w:p>
        </w:tc>
        <w:tc>
          <w:tcPr>
            <w:tcW w:w="1218" w:type="dxa"/>
          </w:tcPr>
          <w:p>
            <w:pPr>
              <w:pStyle w:val="TableParagraph"/>
              <w:rPr>
                <w:sz w:val="24"/>
              </w:rPr>
            </w:pPr>
          </w:p>
          <w:p>
            <w:pPr>
              <w:pStyle w:val="TableParagraph"/>
              <w:spacing w:before="8"/>
              <w:rPr>
                <w:sz w:val="30"/>
              </w:rPr>
            </w:pPr>
          </w:p>
          <w:p>
            <w:pPr>
              <w:pStyle w:val="TableParagraph"/>
              <w:ind w:left="110"/>
              <w:rPr>
                <w:sz w:val="22"/>
              </w:rPr>
            </w:pPr>
            <w:r>
              <w:rPr>
                <w:spacing w:val="-2"/>
                <w:sz w:val="22"/>
              </w:rPr>
              <w:t>12/31/27</w:t>
            </w:r>
          </w:p>
        </w:tc>
      </w:tr>
      <w:tr>
        <w:trPr>
          <w:trHeight w:val="2025" w:hRule="atLeast"/>
        </w:trPr>
        <w:tc>
          <w:tcPr>
            <w:tcW w:w="1738" w:type="dxa"/>
          </w:tcPr>
          <w:p>
            <w:pPr>
              <w:pStyle w:val="TableParagraph"/>
              <w:rPr>
                <w:sz w:val="24"/>
              </w:rPr>
            </w:pPr>
          </w:p>
          <w:p>
            <w:pPr>
              <w:pStyle w:val="TableParagraph"/>
              <w:rPr>
                <w:sz w:val="24"/>
              </w:rPr>
            </w:pPr>
          </w:p>
          <w:p>
            <w:pPr>
              <w:pStyle w:val="TableParagraph"/>
              <w:spacing w:before="207"/>
              <w:ind w:left="642" w:hanging="363"/>
              <w:rPr>
                <w:b/>
                <w:sz w:val="22"/>
              </w:rPr>
            </w:pPr>
            <w:r>
              <w:rPr>
                <w:b/>
                <w:spacing w:val="-2"/>
                <w:sz w:val="22"/>
              </w:rPr>
              <w:t>SNCP-DSH- </w:t>
            </w:r>
            <w:r>
              <w:rPr>
                <w:b/>
                <w:spacing w:val="-4"/>
                <w:sz w:val="22"/>
              </w:rPr>
              <w:t>IMD</w:t>
            </w:r>
          </w:p>
        </w:tc>
        <w:tc>
          <w:tcPr>
            <w:tcW w:w="2304" w:type="dxa"/>
          </w:tcPr>
          <w:p>
            <w:pPr>
              <w:pStyle w:val="TableParagraph"/>
              <w:spacing w:before="1"/>
              <w:ind w:left="157" w:right="146" w:hanging="1"/>
              <w:jc w:val="center"/>
              <w:rPr>
                <w:sz w:val="22"/>
              </w:rPr>
            </w:pPr>
            <w:r>
              <w:rPr>
                <w:sz w:val="22"/>
              </w:rPr>
              <w:t>Report expenditures authorized under the SNCP for IMD services,</w:t>
            </w:r>
            <w:r>
              <w:rPr>
                <w:spacing w:val="-14"/>
                <w:sz w:val="22"/>
              </w:rPr>
              <w:t> </w:t>
            </w:r>
            <w:r>
              <w:rPr>
                <w:sz w:val="22"/>
              </w:rPr>
              <w:t>as</w:t>
            </w:r>
            <w:r>
              <w:rPr>
                <w:spacing w:val="-14"/>
                <w:sz w:val="22"/>
              </w:rPr>
              <w:t> </w:t>
            </w:r>
            <w:r>
              <w:rPr>
                <w:sz w:val="22"/>
              </w:rPr>
              <w:t>referenced on Attachment E item 5, excluding expenditures reported</w:t>
            </w:r>
          </w:p>
          <w:p>
            <w:pPr>
              <w:pStyle w:val="TableParagraph"/>
              <w:spacing w:line="234" w:lineRule="exact"/>
              <w:ind w:left="110" w:right="102"/>
              <w:jc w:val="center"/>
              <w:rPr>
                <w:sz w:val="22"/>
              </w:rPr>
            </w:pPr>
            <w:r>
              <w:rPr>
                <w:sz w:val="22"/>
              </w:rPr>
              <w:t>under</w:t>
            </w:r>
            <w:r>
              <w:rPr>
                <w:spacing w:val="-3"/>
                <w:sz w:val="22"/>
              </w:rPr>
              <w:t> </w:t>
            </w:r>
            <w:r>
              <w:rPr>
                <w:sz w:val="22"/>
              </w:rPr>
              <w:t>STC</w:t>
            </w:r>
            <w:r>
              <w:rPr>
                <w:spacing w:val="-1"/>
                <w:sz w:val="22"/>
              </w:rPr>
              <w:t> </w:t>
            </w:r>
            <w:r>
              <w:rPr>
                <w:spacing w:val="-2"/>
                <w:sz w:val="22"/>
              </w:rPr>
              <w:t>13.2(f)</w:t>
            </w:r>
          </w:p>
        </w:tc>
        <w:tc>
          <w:tcPr>
            <w:tcW w:w="1519" w:type="dxa"/>
          </w:tcPr>
          <w:p>
            <w:pPr>
              <w:pStyle w:val="TableParagraph"/>
              <w:rPr>
                <w:sz w:val="20"/>
              </w:rPr>
            </w:pPr>
          </w:p>
        </w:tc>
        <w:tc>
          <w:tcPr>
            <w:tcW w:w="1406" w:type="dxa"/>
          </w:tcPr>
          <w:p>
            <w:pPr>
              <w:pStyle w:val="TableParagraph"/>
              <w:spacing w:before="11"/>
              <w:rPr>
                <w:sz w:val="21"/>
              </w:rPr>
            </w:pPr>
          </w:p>
          <w:p>
            <w:pPr>
              <w:pStyle w:val="TableParagraph"/>
              <w:ind w:left="246" w:right="240" w:firstLine="141"/>
              <w:jc w:val="both"/>
              <w:rPr>
                <w:sz w:val="22"/>
              </w:rPr>
            </w:pPr>
            <w:r>
              <w:rPr>
                <w:spacing w:val="-2"/>
                <w:sz w:val="22"/>
              </w:rPr>
              <w:t>Follow standard </w:t>
            </w:r>
            <w:r>
              <w:rPr>
                <w:sz w:val="22"/>
              </w:rPr>
              <w:t>CMS</w:t>
            </w:r>
            <w:r>
              <w:rPr>
                <w:spacing w:val="-2"/>
                <w:sz w:val="22"/>
              </w:rPr>
              <w:t> </w:t>
            </w:r>
            <w:r>
              <w:rPr>
                <w:spacing w:val="-4"/>
                <w:sz w:val="22"/>
              </w:rPr>
              <w:t>64.9</w:t>
            </w:r>
          </w:p>
          <w:p>
            <w:pPr>
              <w:pStyle w:val="TableParagraph"/>
              <w:ind w:left="165" w:right="159"/>
              <w:jc w:val="center"/>
              <w:rPr>
                <w:sz w:val="22"/>
              </w:rPr>
            </w:pPr>
            <w:r>
              <w:rPr>
                <w:sz w:val="22"/>
              </w:rPr>
              <w:t>Category</w:t>
            </w:r>
            <w:r>
              <w:rPr>
                <w:spacing w:val="-14"/>
                <w:sz w:val="22"/>
              </w:rPr>
              <w:t> </w:t>
            </w:r>
            <w:r>
              <w:rPr>
                <w:sz w:val="22"/>
              </w:rPr>
              <w:t>of </w:t>
            </w:r>
            <w:r>
              <w:rPr>
                <w:spacing w:val="-2"/>
                <w:sz w:val="22"/>
              </w:rPr>
              <w:t>Service Definitions</w:t>
            </w:r>
          </w:p>
        </w:tc>
        <w:tc>
          <w:tcPr>
            <w:tcW w:w="1742" w:type="dxa"/>
          </w:tcPr>
          <w:p>
            <w:pPr>
              <w:pStyle w:val="TableParagraph"/>
              <w:rPr>
                <w:sz w:val="24"/>
              </w:rPr>
            </w:pPr>
          </w:p>
          <w:p>
            <w:pPr>
              <w:pStyle w:val="TableParagraph"/>
              <w:spacing w:before="10"/>
              <w:rPr>
                <w:sz w:val="30"/>
              </w:rPr>
            </w:pPr>
          </w:p>
          <w:p>
            <w:pPr>
              <w:pStyle w:val="TableParagraph"/>
              <w:ind w:left="199" w:right="192" w:firstLine="2"/>
              <w:jc w:val="center"/>
              <w:rPr>
                <w:sz w:val="22"/>
              </w:rPr>
            </w:pPr>
            <w:r>
              <w:rPr>
                <w:sz w:val="22"/>
              </w:rPr>
              <w:t>Date of service/Date</w:t>
            </w:r>
            <w:r>
              <w:rPr>
                <w:spacing w:val="-14"/>
                <w:sz w:val="22"/>
              </w:rPr>
              <w:t> </w:t>
            </w:r>
            <w:r>
              <w:rPr>
                <w:sz w:val="22"/>
              </w:rPr>
              <w:t>of </w:t>
            </w:r>
            <w:r>
              <w:rPr>
                <w:spacing w:val="-2"/>
                <w:sz w:val="22"/>
              </w:rPr>
              <w:t>payment</w:t>
            </w:r>
          </w:p>
        </w:tc>
        <w:tc>
          <w:tcPr>
            <w:tcW w:w="1269" w:type="dxa"/>
          </w:tcPr>
          <w:p>
            <w:pPr>
              <w:pStyle w:val="TableParagraph"/>
              <w:rPr>
                <w:sz w:val="24"/>
              </w:rPr>
            </w:pPr>
          </w:p>
          <w:p>
            <w:pPr>
              <w:pStyle w:val="TableParagraph"/>
              <w:rPr>
                <w:sz w:val="24"/>
              </w:rPr>
            </w:pPr>
          </w:p>
          <w:p>
            <w:pPr>
              <w:pStyle w:val="TableParagraph"/>
              <w:spacing w:before="9"/>
              <w:rPr>
                <w:sz w:val="28"/>
              </w:rPr>
            </w:pPr>
          </w:p>
          <w:p>
            <w:pPr>
              <w:pStyle w:val="TableParagraph"/>
              <w:ind w:left="92" w:right="86"/>
              <w:jc w:val="center"/>
              <w:rPr>
                <w:sz w:val="22"/>
              </w:rPr>
            </w:pPr>
            <w:r>
              <w:rPr>
                <w:spacing w:val="-5"/>
                <w:sz w:val="22"/>
              </w:rPr>
              <w:t>MAP</w:t>
            </w:r>
          </w:p>
        </w:tc>
        <w:tc>
          <w:tcPr>
            <w:tcW w:w="1403" w:type="dxa"/>
          </w:tcPr>
          <w:p>
            <w:pPr>
              <w:pStyle w:val="TableParagraph"/>
              <w:rPr>
                <w:sz w:val="24"/>
              </w:rPr>
            </w:pPr>
          </w:p>
          <w:p>
            <w:pPr>
              <w:pStyle w:val="TableParagraph"/>
              <w:rPr>
                <w:sz w:val="24"/>
              </w:rPr>
            </w:pPr>
          </w:p>
          <w:p>
            <w:pPr>
              <w:pStyle w:val="TableParagraph"/>
              <w:spacing w:before="9"/>
              <w:rPr>
                <w:sz w:val="28"/>
              </w:rPr>
            </w:pPr>
          </w:p>
          <w:p>
            <w:pPr>
              <w:pStyle w:val="TableParagraph"/>
              <w:ind w:left="12"/>
              <w:jc w:val="center"/>
              <w:rPr>
                <w:sz w:val="22"/>
              </w:rPr>
            </w:pPr>
            <w:r>
              <w:rPr>
                <w:w w:val="100"/>
                <w:sz w:val="22"/>
              </w:rPr>
              <w:t>N</w:t>
            </w:r>
          </w:p>
        </w:tc>
        <w:tc>
          <w:tcPr>
            <w:tcW w:w="1067" w:type="dxa"/>
          </w:tcPr>
          <w:p>
            <w:pPr>
              <w:pStyle w:val="TableParagraph"/>
              <w:rPr>
                <w:sz w:val="24"/>
              </w:rPr>
            </w:pPr>
          </w:p>
          <w:p>
            <w:pPr>
              <w:pStyle w:val="TableParagraph"/>
              <w:rPr>
                <w:sz w:val="24"/>
              </w:rPr>
            </w:pPr>
          </w:p>
          <w:p>
            <w:pPr>
              <w:pStyle w:val="TableParagraph"/>
              <w:spacing w:before="9"/>
              <w:rPr>
                <w:sz w:val="28"/>
              </w:rPr>
            </w:pPr>
          </w:p>
          <w:p>
            <w:pPr>
              <w:pStyle w:val="TableParagraph"/>
              <w:ind w:left="186" w:right="171"/>
              <w:jc w:val="center"/>
              <w:rPr>
                <w:sz w:val="22"/>
              </w:rPr>
            </w:pPr>
            <w:r>
              <w:rPr>
                <w:spacing w:val="-2"/>
                <w:sz w:val="22"/>
              </w:rPr>
              <w:t>7/1/17</w:t>
            </w:r>
          </w:p>
        </w:tc>
        <w:tc>
          <w:tcPr>
            <w:tcW w:w="1218" w:type="dxa"/>
          </w:tcPr>
          <w:p>
            <w:pPr>
              <w:pStyle w:val="TableParagraph"/>
              <w:rPr>
                <w:sz w:val="24"/>
              </w:rPr>
            </w:pPr>
          </w:p>
          <w:p>
            <w:pPr>
              <w:pStyle w:val="TableParagraph"/>
              <w:rPr>
                <w:sz w:val="24"/>
              </w:rPr>
            </w:pPr>
          </w:p>
          <w:p>
            <w:pPr>
              <w:pStyle w:val="TableParagraph"/>
              <w:spacing w:before="9"/>
              <w:rPr>
                <w:sz w:val="28"/>
              </w:rPr>
            </w:pPr>
          </w:p>
          <w:p>
            <w:pPr>
              <w:pStyle w:val="TableParagraph"/>
              <w:ind w:left="110"/>
              <w:rPr>
                <w:sz w:val="22"/>
              </w:rPr>
            </w:pPr>
            <w:r>
              <w:rPr>
                <w:spacing w:val="-2"/>
                <w:sz w:val="22"/>
              </w:rPr>
              <w:t>12/31/27</w:t>
            </w:r>
          </w:p>
        </w:tc>
      </w:tr>
      <w:tr>
        <w:trPr>
          <w:trHeight w:val="2529" w:hRule="atLeast"/>
        </w:trPr>
        <w:tc>
          <w:tcPr>
            <w:tcW w:w="1738" w:type="dxa"/>
          </w:tcPr>
          <w:p>
            <w:pPr>
              <w:pStyle w:val="TableParagraph"/>
              <w:rPr>
                <w:sz w:val="24"/>
              </w:rPr>
            </w:pPr>
          </w:p>
          <w:p>
            <w:pPr>
              <w:pStyle w:val="TableParagraph"/>
              <w:rPr>
                <w:sz w:val="24"/>
              </w:rPr>
            </w:pPr>
          </w:p>
          <w:p>
            <w:pPr>
              <w:pStyle w:val="TableParagraph"/>
              <w:rPr>
                <w:sz w:val="24"/>
              </w:rPr>
            </w:pPr>
          </w:p>
          <w:p>
            <w:pPr>
              <w:pStyle w:val="TableParagraph"/>
              <w:spacing w:before="183"/>
              <w:ind w:left="647" w:hanging="368"/>
              <w:rPr>
                <w:b/>
                <w:sz w:val="22"/>
              </w:rPr>
            </w:pPr>
            <w:r>
              <w:rPr>
                <w:b/>
                <w:spacing w:val="-2"/>
                <w:sz w:val="22"/>
              </w:rPr>
              <w:t>SNCP-DSH- </w:t>
            </w:r>
            <w:r>
              <w:rPr>
                <w:b/>
                <w:spacing w:val="-4"/>
                <w:sz w:val="22"/>
              </w:rPr>
              <w:t>CPE</w:t>
            </w:r>
          </w:p>
        </w:tc>
        <w:tc>
          <w:tcPr>
            <w:tcW w:w="2304" w:type="dxa"/>
          </w:tcPr>
          <w:p>
            <w:pPr>
              <w:pStyle w:val="TableParagraph"/>
              <w:ind w:left="138" w:right="130" w:firstLine="2"/>
              <w:jc w:val="center"/>
              <w:rPr>
                <w:sz w:val="22"/>
              </w:rPr>
            </w:pPr>
            <w:r>
              <w:rPr>
                <w:sz w:val="22"/>
              </w:rPr>
              <w:t>Report expenditures for State owned non- acute hospitals operated by the Department of Public Health and the Department of Mental Health, as referenced on</w:t>
            </w:r>
            <w:r>
              <w:rPr>
                <w:spacing w:val="-13"/>
                <w:sz w:val="22"/>
              </w:rPr>
              <w:t> </w:t>
            </w:r>
            <w:r>
              <w:rPr>
                <w:sz w:val="22"/>
              </w:rPr>
              <w:t>Attachment</w:t>
            </w:r>
            <w:r>
              <w:rPr>
                <w:spacing w:val="-12"/>
                <w:sz w:val="22"/>
              </w:rPr>
              <w:t> </w:t>
            </w:r>
            <w:r>
              <w:rPr>
                <w:sz w:val="22"/>
              </w:rPr>
              <w:t>E</w:t>
            </w:r>
            <w:r>
              <w:rPr>
                <w:spacing w:val="-13"/>
                <w:sz w:val="22"/>
              </w:rPr>
              <w:t> </w:t>
            </w:r>
            <w:r>
              <w:rPr>
                <w:sz w:val="22"/>
              </w:rPr>
              <w:t>items</w:t>
            </w:r>
          </w:p>
          <w:p>
            <w:pPr>
              <w:pStyle w:val="TableParagraph"/>
              <w:spacing w:line="233" w:lineRule="exact"/>
              <w:ind w:left="110" w:right="102"/>
              <w:jc w:val="center"/>
              <w:rPr>
                <w:sz w:val="22"/>
              </w:rPr>
            </w:pPr>
            <w:r>
              <w:rPr>
                <w:sz w:val="22"/>
              </w:rPr>
              <w:t>6 and </w:t>
            </w:r>
            <w:r>
              <w:rPr>
                <w:spacing w:val="-5"/>
                <w:sz w:val="22"/>
              </w:rPr>
              <w:t>7.</w:t>
            </w:r>
          </w:p>
        </w:tc>
        <w:tc>
          <w:tcPr>
            <w:tcW w:w="1519" w:type="dxa"/>
          </w:tcPr>
          <w:p>
            <w:pPr>
              <w:pStyle w:val="TableParagraph"/>
              <w:rPr>
                <w:sz w:val="20"/>
              </w:rPr>
            </w:pPr>
          </w:p>
        </w:tc>
        <w:tc>
          <w:tcPr>
            <w:tcW w:w="1406" w:type="dxa"/>
          </w:tcPr>
          <w:p>
            <w:pPr>
              <w:pStyle w:val="TableParagraph"/>
              <w:rPr>
                <w:sz w:val="24"/>
              </w:rPr>
            </w:pPr>
          </w:p>
          <w:p>
            <w:pPr>
              <w:pStyle w:val="TableParagraph"/>
              <w:spacing w:before="10"/>
              <w:rPr>
                <w:sz w:val="19"/>
              </w:rPr>
            </w:pPr>
          </w:p>
          <w:p>
            <w:pPr>
              <w:pStyle w:val="TableParagraph"/>
              <w:ind w:left="246" w:right="240" w:firstLine="141"/>
              <w:jc w:val="both"/>
              <w:rPr>
                <w:sz w:val="22"/>
              </w:rPr>
            </w:pPr>
            <w:r>
              <w:rPr>
                <w:spacing w:val="-2"/>
                <w:sz w:val="22"/>
              </w:rPr>
              <w:t>Follow standard </w:t>
            </w:r>
            <w:r>
              <w:rPr>
                <w:sz w:val="22"/>
              </w:rPr>
              <w:t>CMS</w:t>
            </w:r>
            <w:r>
              <w:rPr>
                <w:spacing w:val="-2"/>
                <w:sz w:val="22"/>
              </w:rPr>
              <w:t> </w:t>
            </w:r>
            <w:r>
              <w:rPr>
                <w:spacing w:val="-4"/>
                <w:sz w:val="22"/>
              </w:rPr>
              <w:t>64.9</w:t>
            </w:r>
          </w:p>
          <w:p>
            <w:pPr>
              <w:pStyle w:val="TableParagraph"/>
              <w:ind w:left="165" w:right="159"/>
              <w:jc w:val="center"/>
              <w:rPr>
                <w:sz w:val="22"/>
              </w:rPr>
            </w:pPr>
            <w:r>
              <w:rPr>
                <w:sz w:val="22"/>
              </w:rPr>
              <w:t>Category</w:t>
            </w:r>
            <w:r>
              <w:rPr>
                <w:spacing w:val="-14"/>
                <w:sz w:val="22"/>
              </w:rPr>
              <w:t> </w:t>
            </w:r>
            <w:r>
              <w:rPr>
                <w:sz w:val="22"/>
              </w:rPr>
              <w:t>of </w:t>
            </w:r>
            <w:r>
              <w:rPr>
                <w:spacing w:val="-2"/>
                <w:sz w:val="22"/>
              </w:rPr>
              <w:t>Service Definitions</w:t>
            </w:r>
          </w:p>
        </w:tc>
        <w:tc>
          <w:tcPr>
            <w:tcW w:w="1742" w:type="dxa"/>
          </w:tcPr>
          <w:p>
            <w:pPr>
              <w:pStyle w:val="TableParagraph"/>
              <w:rPr>
                <w:sz w:val="24"/>
              </w:rPr>
            </w:pPr>
          </w:p>
          <w:p>
            <w:pPr>
              <w:pStyle w:val="TableParagraph"/>
              <w:rPr>
                <w:sz w:val="24"/>
              </w:rPr>
            </w:pPr>
          </w:p>
          <w:p>
            <w:pPr>
              <w:pStyle w:val="TableParagraph"/>
              <w:spacing w:before="9"/>
              <w:rPr>
                <w:sz w:val="28"/>
              </w:rPr>
            </w:pPr>
          </w:p>
          <w:p>
            <w:pPr>
              <w:pStyle w:val="TableParagraph"/>
              <w:ind w:left="199" w:right="192" w:firstLine="2"/>
              <w:jc w:val="center"/>
              <w:rPr>
                <w:sz w:val="22"/>
              </w:rPr>
            </w:pPr>
            <w:r>
              <w:rPr>
                <w:sz w:val="22"/>
              </w:rPr>
              <w:t>Date of service/Date</w:t>
            </w:r>
            <w:r>
              <w:rPr>
                <w:spacing w:val="-14"/>
                <w:sz w:val="22"/>
              </w:rPr>
              <w:t> </w:t>
            </w:r>
            <w:r>
              <w:rPr>
                <w:sz w:val="22"/>
              </w:rPr>
              <w:t>of </w:t>
            </w:r>
            <w:r>
              <w:rPr>
                <w:spacing w:val="-2"/>
                <w:sz w:val="22"/>
              </w:rPr>
              <w:t>payment</w:t>
            </w:r>
          </w:p>
        </w:tc>
        <w:tc>
          <w:tcPr>
            <w:tcW w:w="1269" w:type="dxa"/>
          </w:tcPr>
          <w:p>
            <w:pPr>
              <w:pStyle w:val="TableParagraph"/>
              <w:rPr>
                <w:sz w:val="24"/>
              </w:rPr>
            </w:pPr>
          </w:p>
          <w:p>
            <w:pPr>
              <w:pStyle w:val="TableParagraph"/>
              <w:rPr>
                <w:sz w:val="24"/>
              </w:rPr>
            </w:pPr>
          </w:p>
          <w:p>
            <w:pPr>
              <w:pStyle w:val="TableParagraph"/>
              <w:rPr>
                <w:sz w:val="24"/>
              </w:rPr>
            </w:pPr>
          </w:p>
          <w:p>
            <w:pPr>
              <w:pStyle w:val="TableParagraph"/>
              <w:spacing w:before="8"/>
              <w:rPr>
                <w:sz w:val="26"/>
              </w:rPr>
            </w:pPr>
          </w:p>
          <w:p>
            <w:pPr>
              <w:pStyle w:val="TableParagraph"/>
              <w:ind w:left="92" w:right="86"/>
              <w:jc w:val="center"/>
              <w:rPr>
                <w:sz w:val="22"/>
              </w:rPr>
            </w:pPr>
            <w:r>
              <w:rPr>
                <w:spacing w:val="-5"/>
                <w:sz w:val="22"/>
              </w:rPr>
              <w:t>MAP</w:t>
            </w:r>
          </w:p>
        </w:tc>
        <w:tc>
          <w:tcPr>
            <w:tcW w:w="1403" w:type="dxa"/>
          </w:tcPr>
          <w:p>
            <w:pPr>
              <w:pStyle w:val="TableParagraph"/>
              <w:rPr>
                <w:sz w:val="24"/>
              </w:rPr>
            </w:pPr>
          </w:p>
          <w:p>
            <w:pPr>
              <w:pStyle w:val="TableParagraph"/>
              <w:rPr>
                <w:sz w:val="24"/>
              </w:rPr>
            </w:pPr>
          </w:p>
          <w:p>
            <w:pPr>
              <w:pStyle w:val="TableParagraph"/>
              <w:rPr>
                <w:sz w:val="24"/>
              </w:rPr>
            </w:pPr>
          </w:p>
          <w:p>
            <w:pPr>
              <w:pStyle w:val="TableParagraph"/>
              <w:spacing w:before="8"/>
              <w:rPr>
                <w:sz w:val="26"/>
              </w:rPr>
            </w:pPr>
          </w:p>
          <w:p>
            <w:pPr>
              <w:pStyle w:val="TableParagraph"/>
              <w:ind w:left="12"/>
              <w:jc w:val="center"/>
              <w:rPr>
                <w:sz w:val="22"/>
              </w:rPr>
            </w:pPr>
            <w:r>
              <w:rPr>
                <w:w w:val="100"/>
                <w:sz w:val="22"/>
              </w:rPr>
              <w:t>N</w:t>
            </w:r>
          </w:p>
        </w:tc>
        <w:tc>
          <w:tcPr>
            <w:tcW w:w="1067" w:type="dxa"/>
          </w:tcPr>
          <w:p>
            <w:pPr>
              <w:pStyle w:val="TableParagraph"/>
              <w:rPr>
                <w:sz w:val="24"/>
              </w:rPr>
            </w:pPr>
          </w:p>
          <w:p>
            <w:pPr>
              <w:pStyle w:val="TableParagraph"/>
              <w:rPr>
                <w:sz w:val="24"/>
              </w:rPr>
            </w:pPr>
          </w:p>
          <w:p>
            <w:pPr>
              <w:pStyle w:val="TableParagraph"/>
              <w:rPr>
                <w:sz w:val="24"/>
              </w:rPr>
            </w:pPr>
          </w:p>
          <w:p>
            <w:pPr>
              <w:pStyle w:val="TableParagraph"/>
              <w:spacing w:before="8"/>
              <w:rPr>
                <w:sz w:val="26"/>
              </w:rPr>
            </w:pPr>
          </w:p>
          <w:p>
            <w:pPr>
              <w:pStyle w:val="TableParagraph"/>
              <w:ind w:left="186" w:right="171"/>
              <w:jc w:val="center"/>
              <w:rPr>
                <w:sz w:val="22"/>
              </w:rPr>
            </w:pPr>
            <w:r>
              <w:rPr>
                <w:spacing w:val="-2"/>
                <w:sz w:val="22"/>
              </w:rPr>
              <w:t>7/1/17</w:t>
            </w:r>
          </w:p>
        </w:tc>
        <w:tc>
          <w:tcPr>
            <w:tcW w:w="1218" w:type="dxa"/>
          </w:tcPr>
          <w:p>
            <w:pPr>
              <w:pStyle w:val="TableParagraph"/>
              <w:rPr>
                <w:sz w:val="24"/>
              </w:rPr>
            </w:pPr>
          </w:p>
          <w:p>
            <w:pPr>
              <w:pStyle w:val="TableParagraph"/>
              <w:rPr>
                <w:sz w:val="24"/>
              </w:rPr>
            </w:pPr>
          </w:p>
          <w:p>
            <w:pPr>
              <w:pStyle w:val="TableParagraph"/>
              <w:rPr>
                <w:sz w:val="24"/>
              </w:rPr>
            </w:pPr>
          </w:p>
          <w:p>
            <w:pPr>
              <w:pStyle w:val="TableParagraph"/>
              <w:spacing w:before="8"/>
              <w:rPr>
                <w:sz w:val="26"/>
              </w:rPr>
            </w:pPr>
          </w:p>
          <w:p>
            <w:pPr>
              <w:pStyle w:val="TableParagraph"/>
              <w:ind w:left="110"/>
              <w:rPr>
                <w:sz w:val="22"/>
              </w:rPr>
            </w:pPr>
            <w:r>
              <w:rPr>
                <w:spacing w:val="-2"/>
                <w:sz w:val="22"/>
              </w:rPr>
              <w:t>12/31/27</w:t>
            </w:r>
          </w:p>
        </w:tc>
      </w:tr>
    </w:tbl>
    <w:p>
      <w:pPr>
        <w:spacing w:after="0"/>
        <w:rPr>
          <w:sz w:val="22"/>
        </w:rPr>
        <w:sectPr>
          <w:pgSz w:w="15840" w:h="12240" w:orient="landscape"/>
          <w:pgMar w:header="0" w:footer="1201" w:top="1380" w:bottom="1400" w:left="820" w:right="1120"/>
        </w:sectPr>
      </w:pPr>
    </w:p>
    <w:p>
      <w:pPr>
        <w:pStyle w:val="BodyText"/>
        <w:spacing w:before="2"/>
        <w:rPr>
          <w:sz w:val="5"/>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38"/>
        <w:gridCol w:w="2304"/>
        <w:gridCol w:w="1519"/>
        <w:gridCol w:w="1406"/>
        <w:gridCol w:w="1742"/>
        <w:gridCol w:w="1269"/>
        <w:gridCol w:w="1403"/>
        <w:gridCol w:w="1067"/>
        <w:gridCol w:w="1218"/>
      </w:tblGrid>
      <w:tr>
        <w:trPr>
          <w:trHeight w:val="1518" w:hRule="atLeast"/>
        </w:trPr>
        <w:tc>
          <w:tcPr>
            <w:tcW w:w="1738" w:type="dxa"/>
          </w:tcPr>
          <w:p>
            <w:pPr>
              <w:pStyle w:val="TableParagraph"/>
              <w:rPr>
                <w:sz w:val="24"/>
              </w:rPr>
            </w:pPr>
          </w:p>
          <w:p>
            <w:pPr>
              <w:pStyle w:val="TableParagraph"/>
              <w:spacing w:before="11"/>
              <w:rPr>
                <w:sz w:val="30"/>
              </w:rPr>
            </w:pPr>
          </w:p>
          <w:p>
            <w:pPr>
              <w:pStyle w:val="TableParagraph"/>
              <w:ind w:left="104" w:right="98"/>
              <w:jc w:val="center"/>
              <w:rPr>
                <w:b/>
                <w:sz w:val="22"/>
              </w:rPr>
            </w:pPr>
            <w:r>
              <w:rPr>
                <w:b/>
                <w:spacing w:val="-2"/>
                <w:sz w:val="22"/>
              </w:rPr>
              <w:t>SNCP-</w:t>
            </w:r>
            <w:r>
              <w:rPr>
                <w:b/>
                <w:spacing w:val="-5"/>
                <w:sz w:val="22"/>
              </w:rPr>
              <w:t>UCC</w:t>
            </w:r>
          </w:p>
        </w:tc>
        <w:tc>
          <w:tcPr>
            <w:tcW w:w="2304" w:type="dxa"/>
          </w:tcPr>
          <w:p>
            <w:pPr>
              <w:pStyle w:val="TableParagraph"/>
              <w:spacing w:before="11"/>
              <w:rPr>
                <w:sz w:val="21"/>
              </w:rPr>
            </w:pPr>
          </w:p>
          <w:p>
            <w:pPr>
              <w:pStyle w:val="TableParagraph"/>
              <w:ind w:left="205" w:right="195" w:hanging="1"/>
              <w:jc w:val="center"/>
              <w:rPr>
                <w:sz w:val="22"/>
              </w:rPr>
            </w:pPr>
            <w:r>
              <w:rPr>
                <w:sz w:val="22"/>
              </w:rPr>
              <w:t>Report expenditures authorized under the Uncompensated</w:t>
            </w:r>
            <w:r>
              <w:rPr>
                <w:spacing w:val="-14"/>
                <w:sz w:val="22"/>
              </w:rPr>
              <w:t> </w:t>
            </w:r>
            <w:r>
              <w:rPr>
                <w:sz w:val="22"/>
              </w:rPr>
              <w:t>Care </w:t>
            </w:r>
            <w:r>
              <w:rPr>
                <w:spacing w:val="-2"/>
                <w:sz w:val="22"/>
              </w:rPr>
              <w:t>Pool.</w:t>
            </w:r>
          </w:p>
        </w:tc>
        <w:tc>
          <w:tcPr>
            <w:tcW w:w="1519" w:type="dxa"/>
          </w:tcPr>
          <w:p>
            <w:pPr>
              <w:pStyle w:val="TableParagraph"/>
              <w:rPr>
                <w:sz w:val="20"/>
              </w:rPr>
            </w:pPr>
          </w:p>
        </w:tc>
        <w:tc>
          <w:tcPr>
            <w:tcW w:w="1406" w:type="dxa"/>
          </w:tcPr>
          <w:p>
            <w:pPr>
              <w:pStyle w:val="TableParagraph"/>
              <w:ind w:left="246" w:right="240" w:firstLine="141"/>
              <w:jc w:val="both"/>
              <w:rPr>
                <w:sz w:val="22"/>
              </w:rPr>
            </w:pPr>
            <w:r>
              <w:rPr>
                <w:spacing w:val="-2"/>
                <w:sz w:val="22"/>
              </w:rPr>
              <w:t>Follow standard </w:t>
            </w:r>
            <w:r>
              <w:rPr>
                <w:sz w:val="22"/>
              </w:rPr>
              <w:t>CMS</w:t>
            </w:r>
            <w:r>
              <w:rPr>
                <w:spacing w:val="-2"/>
                <w:sz w:val="22"/>
              </w:rPr>
              <w:t> </w:t>
            </w:r>
            <w:r>
              <w:rPr>
                <w:spacing w:val="-4"/>
                <w:sz w:val="22"/>
              </w:rPr>
              <w:t>64.9</w:t>
            </w:r>
          </w:p>
          <w:p>
            <w:pPr>
              <w:pStyle w:val="TableParagraph"/>
              <w:spacing w:line="252" w:lineRule="exact"/>
              <w:ind w:left="164" w:right="161"/>
              <w:jc w:val="center"/>
              <w:rPr>
                <w:sz w:val="22"/>
              </w:rPr>
            </w:pPr>
            <w:r>
              <w:rPr>
                <w:sz w:val="22"/>
              </w:rPr>
              <w:t>Category</w:t>
            </w:r>
            <w:r>
              <w:rPr>
                <w:spacing w:val="-7"/>
                <w:sz w:val="22"/>
              </w:rPr>
              <w:t> </w:t>
            </w:r>
            <w:r>
              <w:rPr>
                <w:spacing w:val="-5"/>
                <w:sz w:val="22"/>
              </w:rPr>
              <w:t>of</w:t>
            </w:r>
          </w:p>
          <w:p>
            <w:pPr>
              <w:pStyle w:val="TableParagraph"/>
              <w:spacing w:line="252" w:lineRule="exact"/>
              <w:ind w:left="205" w:right="197" w:hanging="3"/>
              <w:jc w:val="center"/>
              <w:rPr>
                <w:sz w:val="22"/>
              </w:rPr>
            </w:pPr>
            <w:r>
              <w:rPr>
                <w:spacing w:val="-2"/>
                <w:sz w:val="22"/>
              </w:rPr>
              <w:t>Service Definitions</w:t>
            </w:r>
          </w:p>
        </w:tc>
        <w:tc>
          <w:tcPr>
            <w:tcW w:w="1742" w:type="dxa"/>
          </w:tcPr>
          <w:p>
            <w:pPr>
              <w:pStyle w:val="TableParagraph"/>
              <w:spacing w:before="9"/>
              <w:rPr>
                <w:sz w:val="32"/>
              </w:rPr>
            </w:pPr>
          </w:p>
          <w:p>
            <w:pPr>
              <w:pStyle w:val="TableParagraph"/>
              <w:ind w:left="199" w:right="192" w:firstLine="2"/>
              <w:jc w:val="center"/>
              <w:rPr>
                <w:sz w:val="22"/>
              </w:rPr>
            </w:pPr>
            <w:r>
              <w:rPr>
                <w:sz w:val="22"/>
              </w:rPr>
              <w:t>Date of service/Date</w:t>
            </w:r>
            <w:r>
              <w:rPr>
                <w:spacing w:val="-14"/>
                <w:sz w:val="22"/>
              </w:rPr>
              <w:t> </w:t>
            </w:r>
            <w:r>
              <w:rPr>
                <w:sz w:val="22"/>
              </w:rPr>
              <w:t>of </w:t>
            </w:r>
            <w:r>
              <w:rPr>
                <w:spacing w:val="-2"/>
                <w:sz w:val="22"/>
              </w:rPr>
              <w:t>payment</w:t>
            </w:r>
          </w:p>
        </w:tc>
        <w:tc>
          <w:tcPr>
            <w:tcW w:w="1269" w:type="dxa"/>
          </w:tcPr>
          <w:p>
            <w:pPr>
              <w:pStyle w:val="TableParagraph"/>
              <w:rPr>
                <w:sz w:val="24"/>
              </w:rPr>
            </w:pPr>
          </w:p>
          <w:p>
            <w:pPr>
              <w:pStyle w:val="TableParagraph"/>
              <w:spacing w:before="11"/>
              <w:rPr>
                <w:sz w:val="30"/>
              </w:rPr>
            </w:pPr>
          </w:p>
          <w:p>
            <w:pPr>
              <w:pStyle w:val="TableParagraph"/>
              <w:ind w:left="92" w:right="86"/>
              <w:jc w:val="center"/>
              <w:rPr>
                <w:sz w:val="22"/>
              </w:rPr>
            </w:pPr>
            <w:r>
              <w:rPr>
                <w:spacing w:val="-5"/>
                <w:sz w:val="22"/>
              </w:rPr>
              <w:t>MAP</w:t>
            </w:r>
          </w:p>
        </w:tc>
        <w:tc>
          <w:tcPr>
            <w:tcW w:w="1403" w:type="dxa"/>
          </w:tcPr>
          <w:p>
            <w:pPr>
              <w:pStyle w:val="TableParagraph"/>
              <w:rPr>
                <w:sz w:val="24"/>
              </w:rPr>
            </w:pPr>
          </w:p>
          <w:p>
            <w:pPr>
              <w:pStyle w:val="TableParagraph"/>
              <w:spacing w:before="11"/>
              <w:rPr>
                <w:sz w:val="30"/>
              </w:rPr>
            </w:pPr>
          </w:p>
          <w:p>
            <w:pPr>
              <w:pStyle w:val="TableParagraph"/>
              <w:ind w:left="12"/>
              <w:jc w:val="center"/>
              <w:rPr>
                <w:sz w:val="22"/>
              </w:rPr>
            </w:pPr>
            <w:r>
              <w:rPr>
                <w:w w:val="100"/>
                <w:sz w:val="22"/>
              </w:rPr>
              <w:t>N</w:t>
            </w:r>
          </w:p>
        </w:tc>
        <w:tc>
          <w:tcPr>
            <w:tcW w:w="1067" w:type="dxa"/>
          </w:tcPr>
          <w:p>
            <w:pPr>
              <w:pStyle w:val="TableParagraph"/>
              <w:rPr>
                <w:sz w:val="24"/>
              </w:rPr>
            </w:pPr>
          </w:p>
          <w:p>
            <w:pPr>
              <w:pStyle w:val="TableParagraph"/>
              <w:spacing w:before="11"/>
              <w:rPr>
                <w:sz w:val="30"/>
              </w:rPr>
            </w:pPr>
          </w:p>
          <w:p>
            <w:pPr>
              <w:pStyle w:val="TableParagraph"/>
              <w:ind w:right="236"/>
              <w:jc w:val="right"/>
              <w:rPr>
                <w:sz w:val="22"/>
              </w:rPr>
            </w:pPr>
            <w:r>
              <w:rPr>
                <w:spacing w:val="-2"/>
                <w:sz w:val="22"/>
              </w:rPr>
              <w:t>7/1/17</w:t>
            </w:r>
          </w:p>
        </w:tc>
        <w:tc>
          <w:tcPr>
            <w:tcW w:w="1218" w:type="dxa"/>
          </w:tcPr>
          <w:p>
            <w:pPr>
              <w:pStyle w:val="TableParagraph"/>
              <w:rPr>
                <w:sz w:val="24"/>
              </w:rPr>
            </w:pPr>
          </w:p>
          <w:p>
            <w:pPr>
              <w:pStyle w:val="TableParagraph"/>
              <w:spacing w:before="11"/>
              <w:rPr>
                <w:sz w:val="30"/>
              </w:rPr>
            </w:pPr>
          </w:p>
          <w:p>
            <w:pPr>
              <w:pStyle w:val="TableParagraph"/>
              <w:ind w:left="110"/>
              <w:rPr>
                <w:sz w:val="22"/>
              </w:rPr>
            </w:pPr>
            <w:r>
              <w:rPr>
                <w:spacing w:val="-2"/>
                <w:sz w:val="22"/>
              </w:rPr>
              <w:t>12/31/27</w:t>
            </w:r>
          </w:p>
        </w:tc>
      </w:tr>
      <w:tr>
        <w:trPr>
          <w:trHeight w:val="2274" w:hRule="atLeast"/>
        </w:trPr>
        <w:tc>
          <w:tcPr>
            <w:tcW w:w="1738" w:type="dxa"/>
          </w:tcPr>
          <w:p>
            <w:pPr>
              <w:pStyle w:val="TableParagraph"/>
              <w:rPr>
                <w:sz w:val="24"/>
              </w:rPr>
            </w:pPr>
          </w:p>
          <w:p>
            <w:pPr>
              <w:pStyle w:val="TableParagraph"/>
              <w:rPr>
                <w:sz w:val="24"/>
              </w:rPr>
            </w:pPr>
          </w:p>
          <w:p>
            <w:pPr>
              <w:pStyle w:val="TableParagraph"/>
              <w:rPr>
                <w:sz w:val="24"/>
              </w:rPr>
            </w:pPr>
          </w:p>
          <w:p>
            <w:pPr>
              <w:pStyle w:val="TableParagraph"/>
              <w:spacing w:before="181"/>
              <w:ind w:left="107" w:right="98"/>
              <w:jc w:val="center"/>
              <w:rPr>
                <w:b/>
                <w:sz w:val="22"/>
              </w:rPr>
            </w:pPr>
            <w:r>
              <w:rPr>
                <w:b/>
                <w:spacing w:val="-2"/>
                <w:sz w:val="22"/>
              </w:rPr>
              <w:t>SNCP-OTHER</w:t>
            </w:r>
          </w:p>
        </w:tc>
        <w:tc>
          <w:tcPr>
            <w:tcW w:w="2304" w:type="dxa"/>
          </w:tcPr>
          <w:p>
            <w:pPr>
              <w:pStyle w:val="TableParagraph"/>
              <w:ind w:left="246" w:right="235" w:hanging="1"/>
              <w:jc w:val="center"/>
              <w:rPr>
                <w:sz w:val="22"/>
              </w:rPr>
            </w:pPr>
            <w:r>
              <w:rPr>
                <w:sz w:val="22"/>
              </w:rPr>
              <w:t>Report all other </w:t>
            </w:r>
            <w:r>
              <w:rPr>
                <w:spacing w:val="-2"/>
                <w:sz w:val="22"/>
              </w:rPr>
              <w:t>expenditures </w:t>
            </w:r>
            <w:r>
              <w:rPr>
                <w:sz w:val="22"/>
              </w:rPr>
              <w:t>authorized</w:t>
            </w:r>
            <w:r>
              <w:rPr>
                <w:spacing w:val="-14"/>
                <w:sz w:val="22"/>
              </w:rPr>
              <w:t> </w:t>
            </w:r>
            <w:r>
              <w:rPr>
                <w:sz w:val="22"/>
              </w:rPr>
              <w:t>under</w:t>
            </w:r>
            <w:r>
              <w:rPr>
                <w:spacing w:val="-14"/>
                <w:sz w:val="22"/>
              </w:rPr>
              <w:t> </w:t>
            </w:r>
            <w:r>
              <w:rPr>
                <w:sz w:val="22"/>
              </w:rPr>
              <w:t>the SNCP, including Public Services Hospital Safety Net Care Payments , as referenced on</w:t>
            </w:r>
          </w:p>
          <w:p>
            <w:pPr>
              <w:pStyle w:val="TableParagraph"/>
              <w:spacing w:line="233" w:lineRule="exact"/>
              <w:ind w:left="111" w:right="102"/>
              <w:jc w:val="center"/>
              <w:rPr>
                <w:sz w:val="22"/>
              </w:rPr>
            </w:pPr>
            <w:r>
              <w:rPr>
                <w:sz w:val="22"/>
              </w:rPr>
              <w:t>Attachment</w:t>
            </w:r>
            <w:r>
              <w:rPr>
                <w:spacing w:val="-2"/>
                <w:sz w:val="22"/>
              </w:rPr>
              <w:t> </w:t>
            </w:r>
            <w:r>
              <w:rPr>
                <w:sz w:val="22"/>
              </w:rPr>
              <w:t>E</w:t>
            </w:r>
            <w:r>
              <w:rPr>
                <w:spacing w:val="-3"/>
                <w:sz w:val="22"/>
              </w:rPr>
              <w:t> </w:t>
            </w:r>
            <w:r>
              <w:rPr>
                <w:sz w:val="22"/>
              </w:rPr>
              <w:t>item</w:t>
            </w:r>
            <w:r>
              <w:rPr>
                <w:spacing w:val="-6"/>
                <w:sz w:val="22"/>
              </w:rPr>
              <w:t> </w:t>
            </w:r>
            <w:r>
              <w:rPr>
                <w:spacing w:val="-5"/>
                <w:sz w:val="22"/>
              </w:rPr>
              <w:t>1.</w:t>
            </w:r>
          </w:p>
        </w:tc>
        <w:tc>
          <w:tcPr>
            <w:tcW w:w="1519" w:type="dxa"/>
          </w:tcPr>
          <w:p>
            <w:pPr>
              <w:pStyle w:val="TableParagraph"/>
              <w:rPr>
                <w:sz w:val="20"/>
              </w:rPr>
            </w:pPr>
          </w:p>
        </w:tc>
        <w:tc>
          <w:tcPr>
            <w:tcW w:w="1406" w:type="dxa"/>
          </w:tcPr>
          <w:p>
            <w:pPr>
              <w:pStyle w:val="TableParagraph"/>
              <w:spacing w:before="9"/>
              <w:rPr>
                <w:sz w:val="32"/>
              </w:rPr>
            </w:pPr>
          </w:p>
          <w:p>
            <w:pPr>
              <w:pStyle w:val="TableParagraph"/>
              <w:ind w:left="246" w:right="240" w:firstLine="141"/>
              <w:jc w:val="both"/>
              <w:rPr>
                <w:sz w:val="22"/>
              </w:rPr>
            </w:pPr>
            <w:r>
              <w:rPr>
                <w:spacing w:val="-2"/>
                <w:sz w:val="22"/>
              </w:rPr>
              <w:t>Follow standard </w:t>
            </w:r>
            <w:r>
              <w:rPr>
                <w:sz w:val="22"/>
              </w:rPr>
              <w:t>CMS</w:t>
            </w:r>
            <w:r>
              <w:rPr>
                <w:spacing w:val="-2"/>
                <w:sz w:val="22"/>
              </w:rPr>
              <w:t> </w:t>
            </w:r>
            <w:r>
              <w:rPr>
                <w:spacing w:val="-4"/>
                <w:sz w:val="22"/>
              </w:rPr>
              <w:t>64.9</w:t>
            </w:r>
          </w:p>
          <w:p>
            <w:pPr>
              <w:pStyle w:val="TableParagraph"/>
              <w:ind w:left="165" w:right="159"/>
              <w:jc w:val="center"/>
              <w:rPr>
                <w:sz w:val="22"/>
              </w:rPr>
            </w:pPr>
            <w:r>
              <w:rPr>
                <w:sz w:val="22"/>
              </w:rPr>
              <w:t>Category</w:t>
            </w:r>
            <w:r>
              <w:rPr>
                <w:spacing w:val="-14"/>
                <w:sz w:val="22"/>
              </w:rPr>
              <w:t> </w:t>
            </w:r>
            <w:r>
              <w:rPr>
                <w:sz w:val="22"/>
              </w:rPr>
              <w:t>of </w:t>
            </w:r>
            <w:r>
              <w:rPr>
                <w:spacing w:val="-2"/>
                <w:sz w:val="22"/>
              </w:rPr>
              <w:t>Service Definitions</w:t>
            </w:r>
          </w:p>
        </w:tc>
        <w:tc>
          <w:tcPr>
            <w:tcW w:w="1742" w:type="dxa"/>
          </w:tcPr>
          <w:p>
            <w:pPr>
              <w:pStyle w:val="TableParagraph"/>
              <w:rPr>
                <w:sz w:val="24"/>
              </w:rPr>
            </w:pPr>
          </w:p>
          <w:p>
            <w:pPr>
              <w:pStyle w:val="TableParagraph"/>
              <w:rPr>
                <w:sz w:val="24"/>
              </w:rPr>
            </w:pPr>
          </w:p>
          <w:p>
            <w:pPr>
              <w:pStyle w:val="TableParagraph"/>
              <w:spacing w:before="204"/>
              <w:ind w:left="199" w:right="192" w:firstLine="2"/>
              <w:jc w:val="center"/>
              <w:rPr>
                <w:sz w:val="22"/>
              </w:rPr>
            </w:pPr>
            <w:r>
              <w:rPr>
                <w:sz w:val="22"/>
              </w:rPr>
              <w:t>Date of service/Date</w:t>
            </w:r>
            <w:r>
              <w:rPr>
                <w:spacing w:val="-14"/>
                <w:sz w:val="22"/>
              </w:rPr>
              <w:t> </w:t>
            </w:r>
            <w:r>
              <w:rPr>
                <w:sz w:val="22"/>
              </w:rPr>
              <w:t>of </w:t>
            </w:r>
            <w:r>
              <w:rPr>
                <w:spacing w:val="-2"/>
                <w:sz w:val="22"/>
              </w:rPr>
              <w:t>payment</w:t>
            </w:r>
          </w:p>
        </w:tc>
        <w:tc>
          <w:tcPr>
            <w:tcW w:w="1269" w:type="dxa"/>
          </w:tcPr>
          <w:p>
            <w:pPr>
              <w:pStyle w:val="TableParagraph"/>
              <w:rPr>
                <w:sz w:val="24"/>
              </w:rPr>
            </w:pPr>
          </w:p>
          <w:p>
            <w:pPr>
              <w:pStyle w:val="TableParagraph"/>
              <w:rPr>
                <w:sz w:val="24"/>
              </w:rPr>
            </w:pPr>
          </w:p>
          <w:p>
            <w:pPr>
              <w:pStyle w:val="TableParagraph"/>
              <w:rPr>
                <w:sz w:val="24"/>
              </w:rPr>
            </w:pPr>
          </w:p>
          <w:p>
            <w:pPr>
              <w:pStyle w:val="TableParagraph"/>
              <w:spacing w:before="180"/>
              <w:ind w:left="92" w:right="86"/>
              <w:jc w:val="center"/>
              <w:rPr>
                <w:sz w:val="22"/>
              </w:rPr>
            </w:pPr>
            <w:r>
              <w:rPr>
                <w:spacing w:val="-5"/>
                <w:sz w:val="22"/>
              </w:rPr>
              <w:t>MAP</w:t>
            </w:r>
          </w:p>
        </w:tc>
        <w:tc>
          <w:tcPr>
            <w:tcW w:w="1403" w:type="dxa"/>
          </w:tcPr>
          <w:p>
            <w:pPr>
              <w:pStyle w:val="TableParagraph"/>
              <w:rPr>
                <w:sz w:val="24"/>
              </w:rPr>
            </w:pPr>
          </w:p>
          <w:p>
            <w:pPr>
              <w:pStyle w:val="TableParagraph"/>
              <w:rPr>
                <w:sz w:val="24"/>
              </w:rPr>
            </w:pPr>
          </w:p>
          <w:p>
            <w:pPr>
              <w:pStyle w:val="TableParagraph"/>
              <w:rPr>
                <w:sz w:val="24"/>
              </w:rPr>
            </w:pPr>
          </w:p>
          <w:p>
            <w:pPr>
              <w:pStyle w:val="TableParagraph"/>
              <w:spacing w:before="180"/>
              <w:ind w:left="12"/>
              <w:jc w:val="center"/>
              <w:rPr>
                <w:sz w:val="22"/>
              </w:rPr>
            </w:pPr>
            <w:r>
              <w:rPr>
                <w:w w:val="100"/>
                <w:sz w:val="22"/>
              </w:rPr>
              <w:t>N</w:t>
            </w:r>
          </w:p>
        </w:tc>
        <w:tc>
          <w:tcPr>
            <w:tcW w:w="1067" w:type="dxa"/>
          </w:tcPr>
          <w:p>
            <w:pPr>
              <w:pStyle w:val="TableParagraph"/>
              <w:rPr>
                <w:sz w:val="24"/>
              </w:rPr>
            </w:pPr>
          </w:p>
          <w:p>
            <w:pPr>
              <w:pStyle w:val="TableParagraph"/>
              <w:rPr>
                <w:sz w:val="24"/>
              </w:rPr>
            </w:pPr>
          </w:p>
          <w:p>
            <w:pPr>
              <w:pStyle w:val="TableParagraph"/>
              <w:rPr>
                <w:sz w:val="24"/>
              </w:rPr>
            </w:pPr>
          </w:p>
          <w:p>
            <w:pPr>
              <w:pStyle w:val="TableParagraph"/>
              <w:spacing w:before="180"/>
              <w:ind w:right="236"/>
              <w:jc w:val="right"/>
              <w:rPr>
                <w:sz w:val="22"/>
              </w:rPr>
            </w:pPr>
            <w:r>
              <w:rPr>
                <w:spacing w:val="-2"/>
                <w:sz w:val="22"/>
              </w:rPr>
              <w:t>7/1/17</w:t>
            </w:r>
          </w:p>
        </w:tc>
        <w:tc>
          <w:tcPr>
            <w:tcW w:w="1218" w:type="dxa"/>
          </w:tcPr>
          <w:p>
            <w:pPr>
              <w:pStyle w:val="TableParagraph"/>
              <w:rPr>
                <w:sz w:val="24"/>
              </w:rPr>
            </w:pPr>
          </w:p>
          <w:p>
            <w:pPr>
              <w:pStyle w:val="TableParagraph"/>
              <w:rPr>
                <w:sz w:val="24"/>
              </w:rPr>
            </w:pPr>
          </w:p>
          <w:p>
            <w:pPr>
              <w:pStyle w:val="TableParagraph"/>
              <w:rPr>
                <w:sz w:val="24"/>
              </w:rPr>
            </w:pPr>
          </w:p>
          <w:p>
            <w:pPr>
              <w:pStyle w:val="TableParagraph"/>
              <w:spacing w:before="180"/>
              <w:ind w:left="110"/>
              <w:rPr>
                <w:sz w:val="22"/>
              </w:rPr>
            </w:pPr>
            <w:r>
              <w:rPr>
                <w:spacing w:val="-2"/>
                <w:sz w:val="22"/>
              </w:rPr>
              <w:t>12/31/27</w:t>
            </w:r>
          </w:p>
        </w:tc>
      </w:tr>
      <w:tr>
        <w:trPr>
          <w:trHeight w:val="1933" w:hRule="atLeast"/>
        </w:trPr>
        <w:tc>
          <w:tcPr>
            <w:tcW w:w="1738" w:type="dxa"/>
          </w:tcPr>
          <w:p>
            <w:pPr>
              <w:pStyle w:val="TableParagraph"/>
              <w:rPr>
                <w:sz w:val="24"/>
              </w:rPr>
            </w:pPr>
          </w:p>
          <w:p>
            <w:pPr>
              <w:pStyle w:val="TableParagraph"/>
              <w:spacing w:before="11"/>
              <w:rPr>
                <w:sz w:val="26"/>
              </w:rPr>
            </w:pPr>
          </w:p>
          <w:p>
            <w:pPr>
              <w:pStyle w:val="TableParagraph"/>
              <w:ind w:left="108" w:right="98"/>
              <w:jc w:val="center"/>
              <w:rPr>
                <w:b/>
                <w:sz w:val="22"/>
              </w:rPr>
            </w:pPr>
            <w:r>
              <w:rPr>
                <w:b/>
                <w:sz w:val="22"/>
              </w:rPr>
              <w:t>SNCP</w:t>
            </w:r>
            <w:r>
              <w:rPr>
                <w:b/>
                <w:spacing w:val="-14"/>
                <w:sz w:val="22"/>
              </w:rPr>
              <w:t> </w:t>
            </w:r>
            <w:r>
              <w:rPr>
                <w:b/>
                <w:sz w:val="22"/>
              </w:rPr>
              <w:t>-</w:t>
            </w:r>
            <w:r>
              <w:rPr>
                <w:b/>
                <w:spacing w:val="-14"/>
                <w:sz w:val="22"/>
              </w:rPr>
              <w:t> </w:t>
            </w:r>
            <w:r>
              <w:rPr>
                <w:b/>
                <w:sz w:val="22"/>
              </w:rPr>
              <w:t>Safety Net Provider </w:t>
            </w:r>
            <w:r>
              <w:rPr>
                <w:b/>
                <w:spacing w:val="-2"/>
                <w:sz w:val="22"/>
              </w:rPr>
              <w:t>Payments</w:t>
            </w:r>
          </w:p>
        </w:tc>
        <w:tc>
          <w:tcPr>
            <w:tcW w:w="2304" w:type="dxa"/>
          </w:tcPr>
          <w:p>
            <w:pPr>
              <w:pStyle w:val="TableParagraph"/>
              <w:rPr>
                <w:sz w:val="24"/>
              </w:rPr>
            </w:pPr>
          </w:p>
          <w:p>
            <w:pPr>
              <w:pStyle w:val="TableParagraph"/>
              <w:spacing w:before="185"/>
              <w:ind w:left="126" w:right="115" w:hanging="1"/>
              <w:jc w:val="center"/>
              <w:rPr>
                <w:sz w:val="22"/>
              </w:rPr>
            </w:pPr>
            <w:r>
              <w:rPr>
                <w:sz w:val="22"/>
              </w:rPr>
              <w:t>Report expenditures authorized under the SNCP</w:t>
            </w:r>
            <w:r>
              <w:rPr>
                <w:spacing w:val="-12"/>
                <w:sz w:val="22"/>
              </w:rPr>
              <w:t> </w:t>
            </w:r>
            <w:r>
              <w:rPr>
                <w:sz w:val="22"/>
              </w:rPr>
              <w:t>as</w:t>
            </w:r>
            <w:r>
              <w:rPr>
                <w:spacing w:val="-11"/>
                <w:sz w:val="22"/>
              </w:rPr>
              <w:t> </w:t>
            </w:r>
            <w:r>
              <w:rPr>
                <w:sz w:val="22"/>
              </w:rPr>
              <w:t>referenced</w:t>
            </w:r>
            <w:r>
              <w:rPr>
                <w:spacing w:val="-11"/>
                <w:sz w:val="22"/>
              </w:rPr>
              <w:t> </w:t>
            </w:r>
            <w:r>
              <w:rPr>
                <w:sz w:val="22"/>
              </w:rPr>
              <w:t>on Attachment E item 8.</w:t>
            </w:r>
          </w:p>
        </w:tc>
        <w:tc>
          <w:tcPr>
            <w:tcW w:w="1519" w:type="dxa"/>
          </w:tcPr>
          <w:p>
            <w:pPr>
              <w:pStyle w:val="TableParagraph"/>
              <w:rPr>
                <w:sz w:val="20"/>
              </w:rPr>
            </w:pPr>
          </w:p>
        </w:tc>
        <w:tc>
          <w:tcPr>
            <w:tcW w:w="1406" w:type="dxa"/>
          </w:tcPr>
          <w:p>
            <w:pPr>
              <w:pStyle w:val="TableParagraph"/>
              <w:spacing w:before="82"/>
              <w:ind w:left="246" w:right="239" w:firstLine="141"/>
              <w:jc w:val="both"/>
              <w:rPr>
                <w:sz w:val="22"/>
              </w:rPr>
            </w:pPr>
            <w:r>
              <w:rPr>
                <w:spacing w:val="-2"/>
                <w:sz w:val="22"/>
              </w:rPr>
              <w:t>Follow standard </w:t>
            </w:r>
            <w:r>
              <w:rPr>
                <w:sz w:val="22"/>
              </w:rPr>
              <w:t>CMS</w:t>
            </w:r>
            <w:r>
              <w:rPr>
                <w:spacing w:val="-2"/>
                <w:sz w:val="22"/>
              </w:rPr>
              <w:t> </w:t>
            </w:r>
            <w:r>
              <w:rPr>
                <w:spacing w:val="-4"/>
                <w:sz w:val="22"/>
              </w:rPr>
              <w:t>64.9</w:t>
            </w:r>
          </w:p>
          <w:p>
            <w:pPr>
              <w:pStyle w:val="TableParagraph"/>
              <w:ind w:left="165" w:right="159"/>
              <w:jc w:val="center"/>
              <w:rPr>
                <w:sz w:val="22"/>
              </w:rPr>
            </w:pPr>
            <w:r>
              <w:rPr>
                <w:sz w:val="22"/>
              </w:rPr>
              <w:t>Category</w:t>
            </w:r>
            <w:r>
              <w:rPr>
                <w:spacing w:val="-14"/>
                <w:sz w:val="22"/>
              </w:rPr>
              <w:t> </w:t>
            </w:r>
            <w:r>
              <w:rPr>
                <w:sz w:val="22"/>
              </w:rPr>
              <w:t>of </w:t>
            </w:r>
            <w:r>
              <w:rPr>
                <w:spacing w:val="-2"/>
                <w:sz w:val="22"/>
              </w:rPr>
              <w:t>Service Definitions</w:t>
            </w:r>
          </w:p>
        </w:tc>
        <w:tc>
          <w:tcPr>
            <w:tcW w:w="1742" w:type="dxa"/>
          </w:tcPr>
          <w:p>
            <w:pPr>
              <w:pStyle w:val="TableParagraph"/>
              <w:rPr>
                <w:sz w:val="24"/>
              </w:rPr>
            </w:pPr>
          </w:p>
          <w:p>
            <w:pPr>
              <w:pStyle w:val="TableParagraph"/>
              <w:spacing w:before="10"/>
              <w:rPr>
                <w:sz w:val="26"/>
              </w:rPr>
            </w:pPr>
          </w:p>
          <w:p>
            <w:pPr>
              <w:pStyle w:val="TableParagraph"/>
              <w:ind w:left="199" w:right="192" w:firstLine="2"/>
              <w:jc w:val="center"/>
              <w:rPr>
                <w:sz w:val="22"/>
              </w:rPr>
            </w:pPr>
            <w:r>
              <w:rPr>
                <w:sz w:val="22"/>
              </w:rPr>
              <w:t>Date of service/Date</w:t>
            </w:r>
            <w:r>
              <w:rPr>
                <w:spacing w:val="-14"/>
                <w:sz w:val="22"/>
              </w:rPr>
              <w:t> </w:t>
            </w:r>
            <w:r>
              <w:rPr>
                <w:sz w:val="22"/>
              </w:rPr>
              <w:t>of </w:t>
            </w:r>
            <w:r>
              <w:rPr>
                <w:spacing w:val="-2"/>
                <w:sz w:val="22"/>
              </w:rPr>
              <w:t>payment</w:t>
            </w:r>
          </w:p>
        </w:tc>
        <w:tc>
          <w:tcPr>
            <w:tcW w:w="1269" w:type="dxa"/>
          </w:tcPr>
          <w:p>
            <w:pPr>
              <w:pStyle w:val="TableParagraph"/>
              <w:rPr>
                <w:sz w:val="24"/>
              </w:rPr>
            </w:pPr>
          </w:p>
          <w:p>
            <w:pPr>
              <w:pStyle w:val="TableParagraph"/>
              <w:rPr>
                <w:sz w:val="24"/>
              </w:rPr>
            </w:pPr>
          </w:p>
          <w:p>
            <w:pPr>
              <w:pStyle w:val="TableParagraph"/>
              <w:rPr>
                <w:sz w:val="25"/>
              </w:rPr>
            </w:pPr>
          </w:p>
          <w:p>
            <w:pPr>
              <w:pStyle w:val="TableParagraph"/>
              <w:ind w:left="92" w:right="86"/>
              <w:jc w:val="center"/>
              <w:rPr>
                <w:sz w:val="22"/>
              </w:rPr>
            </w:pPr>
            <w:r>
              <w:rPr>
                <w:spacing w:val="-5"/>
                <w:sz w:val="22"/>
              </w:rPr>
              <w:t>MAP</w:t>
            </w:r>
          </w:p>
        </w:tc>
        <w:tc>
          <w:tcPr>
            <w:tcW w:w="1403" w:type="dxa"/>
          </w:tcPr>
          <w:p>
            <w:pPr>
              <w:pStyle w:val="TableParagraph"/>
              <w:rPr>
                <w:sz w:val="24"/>
              </w:rPr>
            </w:pPr>
          </w:p>
          <w:p>
            <w:pPr>
              <w:pStyle w:val="TableParagraph"/>
              <w:rPr>
                <w:sz w:val="24"/>
              </w:rPr>
            </w:pPr>
          </w:p>
          <w:p>
            <w:pPr>
              <w:pStyle w:val="TableParagraph"/>
              <w:rPr>
                <w:sz w:val="25"/>
              </w:rPr>
            </w:pPr>
          </w:p>
          <w:p>
            <w:pPr>
              <w:pStyle w:val="TableParagraph"/>
              <w:ind w:left="12"/>
              <w:jc w:val="center"/>
              <w:rPr>
                <w:sz w:val="22"/>
              </w:rPr>
            </w:pPr>
            <w:r>
              <w:rPr>
                <w:w w:val="100"/>
                <w:sz w:val="22"/>
              </w:rPr>
              <w:t>N</w:t>
            </w:r>
          </w:p>
        </w:tc>
        <w:tc>
          <w:tcPr>
            <w:tcW w:w="1067" w:type="dxa"/>
          </w:tcPr>
          <w:p>
            <w:pPr>
              <w:pStyle w:val="TableParagraph"/>
              <w:rPr>
                <w:sz w:val="24"/>
              </w:rPr>
            </w:pPr>
          </w:p>
          <w:p>
            <w:pPr>
              <w:pStyle w:val="TableParagraph"/>
              <w:rPr>
                <w:sz w:val="24"/>
              </w:rPr>
            </w:pPr>
          </w:p>
          <w:p>
            <w:pPr>
              <w:pStyle w:val="TableParagraph"/>
              <w:rPr>
                <w:sz w:val="25"/>
              </w:rPr>
            </w:pPr>
          </w:p>
          <w:p>
            <w:pPr>
              <w:pStyle w:val="TableParagraph"/>
              <w:ind w:right="181"/>
              <w:jc w:val="right"/>
              <w:rPr>
                <w:sz w:val="22"/>
              </w:rPr>
            </w:pPr>
            <w:r>
              <w:rPr>
                <w:spacing w:val="-2"/>
                <w:sz w:val="22"/>
              </w:rPr>
              <w:t>10/1/22</w:t>
            </w:r>
          </w:p>
        </w:tc>
        <w:tc>
          <w:tcPr>
            <w:tcW w:w="1218" w:type="dxa"/>
          </w:tcPr>
          <w:p>
            <w:pPr>
              <w:pStyle w:val="TableParagraph"/>
              <w:rPr>
                <w:sz w:val="24"/>
              </w:rPr>
            </w:pPr>
          </w:p>
          <w:p>
            <w:pPr>
              <w:pStyle w:val="TableParagraph"/>
              <w:rPr>
                <w:sz w:val="24"/>
              </w:rPr>
            </w:pPr>
          </w:p>
          <w:p>
            <w:pPr>
              <w:pStyle w:val="TableParagraph"/>
              <w:rPr>
                <w:sz w:val="25"/>
              </w:rPr>
            </w:pPr>
          </w:p>
          <w:p>
            <w:pPr>
              <w:pStyle w:val="TableParagraph"/>
              <w:ind w:left="110"/>
              <w:rPr>
                <w:sz w:val="22"/>
              </w:rPr>
            </w:pPr>
            <w:r>
              <w:rPr>
                <w:spacing w:val="-2"/>
                <w:sz w:val="22"/>
              </w:rPr>
              <w:t>12/31/27</w:t>
            </w:r>
          </w:p>
        </w:tc>
      </w:tr>
      <w:tr>
        <w:trPr>
          <w:trHeight w:val="1770" w:hRule="atLeast"/>
        </w:trPr>
        <w:tc>
          <w:tcPr>
            <w:tcW w:w="1738" w:type="dxa"/>
          </w:tcPr>
          <w:p>
            <w:pPr>
              <w:pStyle w:val="TableParagraph"/>
              <w:rPr>
                <w:sz w:val="24"/>
              </w:rPr>
            </w:pPr>
          </w:p>
          <w:p>
            <w:pPr>
              <w:pStyle w:val="TableParagraph"/>
              <w:spacing w:before="11"/>
              <w:rPr>
                <w:sz w:val="30"/>
              </w:rPr>
            </w:pPr>
          </w:p>
          <w:p>
            <w:pPr>
              <w:pStyle w:val="TableParagraph"/>
              <w:ind w:left="556" w:right="352" w:hanging="195"/>
              <w:rPr>
                <w:b/>
                <w:sz w:val="22"/>
              </w:rPr>
            </w:pPr>
            <w:r>
              <w:rPr>
                <w:b/>
                <w:sz w:val="22"/>
              </w:rPr>
              <w:t>New</w:t>
            </w:r>
            <w:r>
              <w:rPr>
                <w:b/>
                <w:spacing w:val="-14"/>
                <w:sz w:val="22"/>
              </w:rPr>
              <w:t> </w:t>
            </w:r>
            <w:r>
              <w:rPr>
                <w:b/>
                <w:sz w:val="22"/>
              </w:rPr>
              <w:t>Adult </w:t>
            </w:r>
            <w:r>
              <w:rPr>
                <w:b/>
                <w:spacing w:val="-2"/>
                <w:sz w:val="22"/>
              </w:rPr>
              <w:t>Group</w:t>
            </w:r>
          </w:p>
        </w:tc>
        <w:tc>
          <w:tcPr>
            <w:tcW w:w="2304" w:type="dxa"/>
          </w:tcPr>
          <w:p>
            <w:pPr>
              <w:pStyle w:val="TableParagraph"/>
              <w:spacing w:before="1"/>
              <w:ind w:left="109" w:right="102"/>
              <w:jc w:val="center"/>
              <w:rPr>
                <w:sz w:val="22"/>
              </w:rPr>
            </w:pPr>
            <w:r>
              <w:rPr>
                <w:sz w:val="22"/>
              </w:rPr>
              <w:t>Report for all expenditures for the Affordable Care Act new adult group, described in </w:t>
            </w:r>
            <w:r>
              <w:rPr>
                <w:spacing w:val="-2"/>
                <w:sz w:val="22"/>
              </w:rPr>
              <w:t>1902(a)(10)(A)(i)(VIII)</w:t>
            </w:r>
          </w:p>
          <w:p>
            <w:pPr>
              <w:pStyle w:val="TableParagraph"/>
              <w:spacing w:line="232" w:lineRule="exact"/>
              <w:ind w:left="110" w:right="102"/>
              <w:jc w:val="center"/>
              <w:rPr>
                <w:sz w:val="22"/>
              </w:rPr>
            </w:pPr>
            <w:r>
              <w:rPr>
                <w:sz w:val="22"/>
              </w:rPr>
              <w:t>and</w:t>
            </w:r>
            <w:r>
              <w:rPr>
                <w:spacing w:val="-1"/>
                <w:sz w:val="22"/>
              </w:rPr>
              <w:t> </w:t>
            </w:r>
            <w:r>
              <w:rPr>
                <w:sz w:val="22"/>
              </w:rPr>
              <w:t>42</w:t>
            </w:r>
            <w:r>
              <w:rPr>
                <w:spacing w:val="-1"/>
                <w:sz w:val="22"/>
              </w:rPr>
              <w:t> </w:t>
            </w:r>
            <w:r>
              <w:rPr>
                <w:sz w:val="22"/>
              </w:rPr>
              <w:t>CFR</w:t>
            </w:r>
            <w:r>
              <w:rPr>
                <w:spacing w:val="-1"/>
                <w:sz w:val="22"/>
              </w:rPr>
              <w:t> </w:t>
            </w:r>
            <w:r>
              <w:rPr>
                <w:spacing w:val="-2"/>
                <w:sz w:val="22"/>
              </w:rPr>
              <w:t>435.119.</w:t>
            </w:r>
          </w:p>
        </w:tc>
        <w:tc>
          <w:tcPr>
            <w:tcW w:w="1519" w:type="dxa"/>
          </w:tcPr>
          <w:p>
            <w:pPr>
              <w:pStyle w:val="TableParagraph"/>
              <w:rPr>
                <w:sz w:val="20"/>
              </w:rPr>
            </w:pPr>
          </w:p>
        </w:tc>
        <w:tc>
          <w:tcPr>
            <w:tcW w:w="1406" w:type="dxa"/>
          </w:tcPr>
          <w:p>
            <w:pPr>
              <w:pStyle w:val="TableParagraph"/>
              <w:spacing w:before="125"/>
              <w:ind w:left="246" w:right="240" w:firstLine="141"/>
              <w:jc w:val="both"/>
              <w:rPr>
                <w:sz w:val="22"/>
              </w:rPr>
            </w:pPr>
            <w:r>
              <w:rPr>
                <w:spacing w:val="-2"/>
                <w:sz w:val="22"/>
              </w:rPr>
              <w:t>Follow standard </w:t>
            </w:r>
            <w:r>
              <w:rPr>
                <w:sz w:val="22"/>
              </w:rPr>
              <w:t>CMS</w:t>
            </w:r>
            <w:r>
              <w:rPr>
                <w:spacing w:val="-2"/>
                <w:sz w:val="22"/>
              </w:rPr>
              <w:t> </w:t>
            </w:r>
            <w:r>
              <w:rPr>
                <w:spacing w:val="-4"/>
                <w:sz w:val="22"/>
              </w:rPr>
              <w:t>64.9</w:t>
            </w:r>
          </w:p>
          <w:p>
            <w:pPr>
              <w:pStyle w:val="TableParagraph"/>
              <w:spacing w:before="2"/>
              <w:ind w:left="165" w:right="159"/>
              <w:jc w:val="center"/>
              <w:rPr>
                <w:sz w:val="22"/>
              </w:rPr>
            </w:pPr>
            <w:r>
              <w:rPr>
                <w:sz w:val="22"/>
              </w:rPr>
              <w:t>Category</w:t>
            </w:r>
            <w:r>
              <w:rPr>
                <w:spacing w:val="-14"/>
                <w:sz w:val="22"/>
              </w:rPr>
              <w:t> </w:t>
            </w:r>
            <w:r>
              <w:rPr>
                <w:sz w:val="22"/>
              </w:rPr>
              <w:t>of </w:t>
            </w:r>
            <w:r>
              <w:rPr>
                <w:spacing w:val="-2"/>
                <w:sz w:val="22"/>
              </w:rPr>
              <w:t>Service Definitions</w:t>
            </w:r>
          </w:p>
        </w:tc>
        <w:tc>
          <w:tcPr>
            <w:tcW w:w="1742" w:type="dxa"/>
          </w:tcPr>
          <w:p>
            <w:pPr>
              <w:pStyle w:val="TableParagraph"/>
              <w:rPr>
                <w:sz w:val="24"/>
              </w:rPr>
            </w:pPr>
          </w:p>
          <w:p>
            <w:pPr>
              <w:pStyle w:val="TableParagraph"/>
              <w:rPr>
                <w:sz w:val="24"/>
              </w:rPr>
            </w:pPr>
          </w:p>
          <w:p>
            <w:pPr>
              <w:pStyle w:val="TableParagraph"/>
              <w:spacing w:before="207"/>
              <w:ind w:left="203"/>
              <w:rPr>
                <w:sz w:val="22"/>
              </w:rPr>
            </w:pPr>
            <w:r>
              <w:rPr>
                <w:sz w:val="22"/>
              </w:rPr>
              <w:t>Date</w:t>
            </w:r>
            <w:r>
              <w:rPr>
                <w:spacing w:val="-4"/>
                <w:sz w:val="22"/>
              </w:rPr>
              <w:t> </w:t>
            </w:r>
            <w:r>
              <w:rPr>
                <w:sz w:val="22"/>
              </w:rPr>
              <w:t>of</w:t>
            </w:r>
            <w:r>
              <w:rPr>
                <w:spacing w:val="-1"/>
                <w:sz w:val="22"/>
              </w:rPr>
              <w:t> </w:t>
            </w:r>
            <w:r>
              <w:rPr>
                <w:spacing w:val="-2"/>
                <w:sz w:val="22"/>
              </w:rPr>
              <w:t>service</w:t>
            </w:r>
          </w:p>
        </w:tc>
        <w:tc>
          <w:tcPr>
            <w:tcW w:w="1269" w:type="dxa"/>
          </w:tcPr>
          <w:p>
            <w:pPr>
              <w:pStyle w:val="TableParagraph"/>
              <w:rPr>
                <w:sz w:val="24"/>
              </w:rPr>
            </w:pPr>
          </w:p>
          <w:p>
            <w:pPr>
              <w:pStyle w:val="TableParagraph"/>
              <w:rPr>
                <w:sz w:val="24"/>
              </w:rPr>
            </w:pPr>
          </w:p>
          <w:p>
            <w:pPr>
              <w:pStyle w:val="TableParagraph"/>
              <w:spacing w:before="207"/>
              <w:ind w:left="91" w:right="86"/>
              <w:jc w:val="center"/>
              <w:rPr>
                <w:sz w:val="22"/>
              </w:rPr>
            </w:pPr>
            <w:r>
              <w:rPr>
                <w:spacing w:val="-5"/>
                <w:sz w:val="22"/>
              </w:rPr>
              <w:t>MAP</w:t>
            </w:r>
          </w:p>
        </w:tc>
        <w:tc>
          <w:tcPr>
            <w:tcW w:w="1403" w:type="dxa"/>
          </w:tcPr>
          <w:p>
            <w:pPr>
              <w:pStyle w:val="TableParagraph"/>
              <w:rPr>
                <w:sz w:val="24"/>
              </w:rPr>
            </w:pPr>
          </w:p>
          <w:p>
            <w:pPr>
              <w:pStyle w:val="TableParagraph"/>
              <w:rPr>
                <w:sz w:val="24"/>
              </w:rPr>
            </w:pPr>
          </w:p>
          <w:p>
            <w:pPr>
              <w:pStyle w:val="TableParagraph"/>
              <w:spacing w:before="207"/>
              <w:ind w:left="11"/>
              <w:jc w:val="center"/>
              <w:rPr>
                <w:sz w:val="22"/>
              </w:rPr>
            </w:pPr>
            <w:r>
              <w:rPr>
                <w:w w:val="100"/>
                <w:sz w:val="22"/>
              </w:rPr>
              <w:t>Y</w:t>
            </w:r>
          </w:p>
        </w:tc>
        <w:tc>
          <w:tcPr>
            <w:tcW w:w="1067" w:type="dxa"/>
          </w:tcPr>
          <w:p>
            <w:pPr>
              <w:pStyle w:val="TableParagraph"/>
              <w:rPr>
                <w:sz w:val="24"/>
              </w:rPr>
            </w:pPr>
          </w:p>
          <w:p>
            <w:pPr>
              <w:pStyle w:val="TableParagraph"/>
              <w:rPr>
                <w:sz w:val="24"/>
              </w:rPr>
            </w:pPr>
          </w:p>
          <w:p>
            <w:pPr>
              <w:pStyle w:val="TableParagraph"/>
              <w:spacing w:before="207"/>
              <w:ind w:right="237"/>
              <w:jc w:val="right"/>
              <w:rPr>
                <w:sz w:val="22"/>
              </w:rPr>
            </w:pPr>
            <w:r>
              <w:rPr>
                <w:spacing w:val="-2"/>
                <w:sz w:val="22"/>
              </w:rPr>
              <w:t>7/1/97</w:t>
            </w:r>
          </w:p>
        </w:tc>
        <w:tc>
          <w:tcPr>
            <w:tcW w:w="1218" w:type="dxa"/>
          </w:tcPr>
          <w:p>
            <w:pPr>
              <w:pStyle w:val="TableParagraph"/>
              <w:rPr>
                <w:sz w:val="24"/>
              </w:rPr>
            </w:pPr>
          </w:p>
          <w:p>
            <w:pPr>
              <w:pStyle w:val="TableParagraph"/>
              <w:rPr>
                <w:sz w:val="24"/>
              </w:rPr>
            </w:pPr>
          </w:p>
          <w:p>
            <w:pPr>
              <w:pStyle w:val="TableParagraph"/>
              <w:spacing w:before="207"/>
              <w:ind w:left="110"/>
              <w:rPr>
                <w:sz w:val="22"/>
              </w:rPr>
            </w:pPr>
            <w:r>
              <w:rPr>
                <w:spacing w:val="-2"/>
                <w:sz w:val="22"/>
              </w:rPr>
              <w:t>12/31/27</w:t>
            </w:r>
          </w:p>
        </w:tc>
      </w:tr>
      <w:tr>
        <w:trPr>
          <w:trHeight w:val="1518" w:hRule="atLeast"/>
        </w:trPr>
        <w:tc>
          <w:tcPr>
            <w:tcW w:w="1738" w:type="dxa"/>
          </w:tcPr>
          <w:p>
            <w:pPr>
              <w:pStyle w:val="TableParagraph"/>
              <w:rPr>
                <w:sz w:val="24"/>
              </w:rPr>
            </w:pPr>
          </w:p>
          <w:p>
            <w:pPr>
              <w:pStyle w:val="TableParagraph"/>
              <w:spacing w:before="10"/>
              <w:rPr>
                <w:sz w:val="19"/>
              </w:rPr>
            </w:pPr>
          </w:p>
          <w:p>
            <w:pPr>
              <w:pStyle w:val="TableParagraph"/>
              <w:ind w:left="426" w:hanging="159"/>
              <w:rPr>
                <w:b/>
                <w:sz w:val="22"/>
              </w:rPr>
            </w:pPr>
            <w:r>
              <w:rPr>
                <w:b/>
                <w:spacing w:val="-2"/>
                <w:sz w:val="22"/>
              </w:rPr>
              <w:t>Marketplace Subsidies</w:t>
            </w:r>
          </w:p>
        </w:tc>
        <w:tc>
          <w:tcPr>
            <w:tcW w:w="2304" w:type="dxa"/>
          </w:tcPr>
          <w:p>
            <w:pPr>
              <w:pStyle w:val="TableParagraph"/>
              <w:spacing w:before="1"/>
              <w:ind w:left="205" w:right="196"/>
              <w:jc w:val="center"/>
              <w:rPr>
                <w:sz w:val="22"/>
              </w:rPr>
            </w:pPr>
            <w:r>
              <w:rPr>
                <w:sz w:val="22"/>
              </w:rPr>
              <w:t>Report expenditures for</w:t>
            </w:r>
            <w:r>
              <w:rPr>
                <w:spacing w:val="-11"/>
                <w:sz w:val="22"/>
              </w:rPr>
              <w:t> </w:t>
            </w:r>
            <w:r>
              <w:rPr>
                <w:sz w:val="22"/>
              </w:rPr>
              <w:t>premium</w:t>
            </w:r>
            <w:r>
              <w:rPr>
                <w:spacing w:val="-14"/>
                <w:sz w:val="22"/>
              </w:rPr>
              <w:t> </w:t>
            </w:r>
            <w:r>
              <w:rPr>
                <w:sz w:val="22"/>
              </w:rPr>
              <w:t>and</w:t>
            </w:r>
            <w:r>
              <w:rPr>
                <w:spacing w:val="-11"/>
                <w:sz w:val="22"/>
              </w:rPr>
              <w:t> </w:t>
            </w:r>
            <w:r>
              <w:rPr>
                <w:sz w:val="22"/>
              </w:rPr>
              <w:t>cost sharing</w:t>
            </w:r>
            <w:r>
              <w:rPr>
                <w:spacing w:val="-14"/>
                <w:sz w:val="22"/>
              </w:rPr>
              <w:t> </w:t>
            </w:r>
            <w:r>
              <w:rPr>
                <w:sz w:val="22"/>
              </w:rPr>
              <w:t>subsidies</w:t>
            </w:r>
            <w:r>
              <w:rPr>
                <w:spacing w:val="-14"/>
                <w:sz w:val="22"/>
              </w:rPr>
              <w:t> </w:t>
            </w:r>
            <w:r>
              <w:rPr>
                <w:sz w:val="22"/>
              </w:rPr>
              <w:t>and Connector gap coverage</w:t>
            </w:r>
            <w:r>
              <w:rPr>
                <w:spacing w:val="40"/>
                <w:sz w:val="22"/>
              </w:rPr>
              <w:t> </w:t>
            </w:r>
            <w:r>
              <w:rPr>
                <w:sz w:val="22"/>
              </w:rPr>
              <w:t>under the</w:t>
            </w:r>
          </w:p>
          <w:p>
            <w:pPr>
              <w:pStyle w:val="TableParagraph"/>
              <w:spacing w:line="233" w:lineRule="exact"/>
              <w:ind w:left="110" w:right="102"/>
              <w:jc w:val="center"/>
              <w:rPr>
                <w:sz w:val="22"/>
              </w:rPr>
            </w:pPr>
            <w:r>
              <w:rPr>
                <w:spacing w:val="-2"/>
                <w:sz w:val="22"/>
              </w:rPr>
              <w:t>demonstration.</w:t>
            </w:r>
          </w:p>
        </w:tc>
        <w:tc>
          <w:tcPr>
            <w:tcW w:w="1519" w:type="dxa"/>
          </w:tcPr>
          <w:p>
            <w:pPr>
              <w:pStyle w:val="TableParagraph"/>
              <w:rPr>
                <w:sz w:val="20"/>
              </w:rPr>
            </w:pPr>
          </w:p>
        </w:tc>
        <w:tc>
          <w:tcPr>
            <w:tcW w:w="1406" w:type="dxa"/>
          </w:tcPr>
          <w:p>
            <w:pPr>
              <w:pStyle w:val="TableParagraph"/>
              <w:spacing w:before="1"/>
              <w:ind w:left="246" w:right="240" w:firstLine="141"/>
              <w:jc w:val="both"/>
              <w:rPr>
                <w:sz w:val="22"/>
              </w:rPr>
            </w:pPr>
            <w:r>
              <w:rPr>
                <w:spacing w:val="-2"/>
                <w:sz w:val="22"/>
              </w:rPr>
              <w:t>Follow standard </w:t>
            </w:r>
            <w:r>
              <w:rPr>
                <w:sz w:val="22"/>
              </w:rPr>
              <w:t>CMS</w:t>
            </w:r>
            <w:r>
              <w:rPr>
                <w:spacing w:val="-2"/>
                <w:sz w:val="22"/>
              </w:rPr>
              <w:t> </w:t>
            </w:r>
            <w:r>
              <w:rPr>
                <w:spacing w:val="-4"/>
                <w:sz w:val="22"/>
              </w:rPr>
              <w:t>64.9</w:t>
            </w:r>
          </w:p>
          <w:p>
            <w:pPr>
              <w:pStyle w:val="TableParagraph"/>
              <w:ind w:left="165" w:right="159"/>
              <w:jc w:val="center"/>
              <w:rPr>
                <w:sz w:val="22"/>
              </w:rPr>
            </w:pPr>
            <w:r>
              <w:rPr>
                <w:sz w:val="22"/>
              </w:rPr>
              <w:t>Category</w:t>
            </w:r>
            <w:r>
              <w:rPr>
                <w:spacing w:val="-14"/>
                <w:sz w:val="22"/>
              </w:rPr>
              <w:t> </w:t>
            </w:r>
            <w:r>
              <w:rPr>
                <w:sz w:val="22"/>
              </w:rPr>
              <w:t>of </w:t>
            </w:r>
            <w:r>
              <w:rPr>
                <w:spacing w:val="-2"/>
                <w:sz w:val="22"/>
              </w:rPr>
              <w:t>Service</w:t>
            </w:r>
          </w:p>
          <w:p>
            <w:pPr>
              <w:pStyle w:val="TableParagraph"/>
              <w:spacing w:line="233" w:lineRule="exact"/>
              <w:ind w:left="165" w:right="161"/>
              <w:jc w:val="center"/>
              <w:rPr>
                <w:sz w:val="22"/>
              </w:rPr>
            </w:pPr>
            <w:r>
              <w:rPr>
                <w:spacing w:val="-2"/>
                <w:sz w:val="22"/>
              </w:rPr>
              <w:t>Definitions</w:t>
            </w:r>
          </w:p>
        </w:tc>
        <w:tc>
          <w:tcPr>
            <w:tcW w:w="1742" w:type="dxa"/>
          </w:tcPr>
          <w:p>
            <w:pPr>
              <w:pStyle w:val="TableParagraph"/>
              <w:rPr>
                <w:sz w:val="33"/>
              </w:rPr>
            </w:pPr>
          </w:p>
          <w:p>
            <w:pPr>
              <w:pStyle w:val="TableParagraph"/>
              <w:ind w:left="199" w:right="192" w:firstLine="2"/>
              <w:jc w:val="center"/>
              <w:rPr>
                <w:sz w:val="22"/>
              </w:rPr>
            </w:pPr>
            <w:r>
              <w:rPr>
                <w:sz w:val="22"/>
              </w:rPr>
              <w:t>Date of service/Date</w:t>
            </w:r>
            <w:r>
              <w:rPr>
                <w:spacing w:val="-14"/>
                <w:sz w:val="22"/>
              </w:rPr>
              <w:t> </w:t>
            </w:r>
            <w:r>
              <w:rPr>
                <w:sz w:val="22"/>
              </w:rPr>
              <w:t>of </w:t>
            </w:r>
            <w:r>
              <w:rPr>
                <w:spacing w:val="-2"/>
                <w:sz w:val="22"/>
              </w:rPr>
              <w:t>payment</w:t>
            </w:r>
          </w:p>
        </w:tc>
        <w:tc>
          <w:tcPr>
            <w:tcW w:w="1269" w:type="dxa"/>
          </w:tcPr>
          <w:p>
            <w:pPr>
              <w:pStyle w:val="TableParagraph"/>
              <w:rPr>
                <w:sz w:val="24"/>
              </w:rPr>
            </w:pPr>
          </w:p>
          <w:p>
            <w:pPr>
              <w:pStyle w:val="TableParagraph"/>
              <w:spacing w:before="11"/>
              <w:rPr>
                <w:sz w:val="30"/>
              </w:rPr>
            </w:pPr>
          </w:p>
          <w:p>
            <w:pPr>
              <w:pStyle w:val="TableParagraph"/>
              <w:ind w:left="92" w:right="86"/>
              <w:jc w:val="center"/>
              <w:rPr>
                <w:sz w:val="22"/>
              </w:rPr>
            </w:pPr>
            <w:r>
              <w:rPr>
                <w:spacing w:val="-5"/>
                <w:sz w:val="22"/>
              </w:rPr>
              <w:t>MAP</w:t>
            </w:r>
          </w:p>
        </w:tc>
        <w:tc>
          <w:tcPr>
            <w:tcW w:w="1403" w:type="dxa"/>
          </w:tcPr>
          <w:p>
            <w:pPr>
              <w:pStyle w:val="TableParagraph"/>
              <w:rPr>
                <w:sz w:val="24"/>
              </w:rPr>
            </w:pPr>
          </w:p>
          <w:p>
            <w:pPr>
              <w:pStyle w:val="TableParagraph"/>
              <w:spacing w:before="11"/>
              <w:rPr>
                <w:sz w:val="30"/>
              </w:rPr>
            </w:pPr>
          </w:p>
          <w:p>
            <w:pPr>
              <w:pStyle w:val="TableParagraph"/>
              <w:ind w:left="12"/>
              <w:jc w:val="center"/>
              <w:rPr>
                <w:sz w:val="22"/>
              </w:rPr>
            </w:pPr>
            <w:r>
              <w:rPr>
                <w:w w:val="100"/>
                <w:sz w:val="22"/>
              </w:rPr>
              <w:t>Y</w:t>
            </w:r>
          </w:p>
        </w:tc>
        <w:tc>
          <w:tcPr>
            <w:tcW w:w="1067" w:type="dxa"/>
          </w:tcPr>
          <w:p>
            <w:pPr>
              <w:pStyle w:val="TableParagraph"/>
              <w:rPr>
                <w:sz w:val="24"/>
              </w:rPr>
            </w:pPr>
          </w:p>
          <w:p>
            <w:pPr>
              <w:pStyle w:val="TableParagraph"/>
              <w:spacing w:before="11"/>
              <w:rPr>
                <w:sz w:val="30"/>
              </w:rPr>
            </w:pPr>
          </w:p>
          <w:p>
            <w:pPr>
              <w:pStyle w:val="TableParagraph"/>
              <w:ind w:right="236"/>
              <w:jc w:val="right"/>
              <w:rPr>
                <w:sz w:val="22"/>
              </w:rPr>
            </w:pPr>
            <w:r>
              <w:rPr>
                <w:spacing w:val="-2"/>
                <w:sz w:val="22"/>
              </w:rPr>
              <w:t>7/1/17</w:t>
            </w:r>
          </w:p>
        </w:tc>
        <w:tc>
          <w:tcPr>
            <w:tcW w:w="1218" w:type="dxa"/>
          </w:tcPr>
          <w:p>
            <w:pPr>
              <w:pStyle w:val="TableParagraph"/>
              <w:rPr>
                <w:sz w:val="24"/>
              </w:rPr>
            </w:pPr>
          </w:p>
          <w:p>
            <w:pPr>
              <w:pStyle w:val="TableParagraph"/>
              <w:spacing w:before="11"/>
              <w:rPr>
                <w:sz w:val="30"/>
              </w:rPr>
            </w:pPr>
          </w:p>
          <w:p>
            <w:pPr>
              <w:pStyle w:val="TableParagraph"/>
              <w:ind w:left="110"/>
              <w:rPr>
                <w:sz w:val="22"/>
              </w:rPr>
            </w:pPr>
            <w:r>
              <w:rPr>
                <w:spacing w:val="-2"/>
                <w:sz w:val="22"/>
              </w:rPr>
              <w:t>12/31/27</w:t>
            </w:r>
          </w:p>
        </w:tc>
      </w:tr>
    </w:tbl>
    <w:p>
      <w:pPr>
        <w:spacing w:after="0"/>
        <w:rPr>
          <w:sz w:val="22"/>
        </w:rPr>
        <w:sectPr>
          <w:pgSz w:w="15840" w:h="12240" w:orient="landscape"/>
          <w:pgMar w:header="0" w:footer="1201" w:top="1380" w:bottom="1400" w:left="820" w:right="1120"/>
        </w:sectPr>
      </w:pPr>
    </w:p>
    <w:p>
      <w:pPr>
        <w:pStyle w:val="BodyText"/>
        <w:spacing w:before="2"/>
        <w:rPr>
          <w:sz w:val="5"/>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38"/>
        <w:gridCol w:w="2304"/>
        <w:gridCol w:w="1519"/>
        <w:gridCol w:w="1406"/>
        <w:gridCol w:w="1742"/>
        <w:gridCol w:w="1269"/>
        <w:gridCol w:w="1403"/>
        <w:gridCol w:w="1067"/>
        <w:gridCol w:w="1218"/>
      </w:tblGrid>
      <w:tr>
        <w:trPr>
          <w:trHeight w:val="1770" w:hRule="atLeast"/>
        </w:trPr>
        <w:tc>
          <w:tcPr>
            <w:tcW w:w="1738" w:type="dxa"/>
          </w:tcPr>
          <w:p>
            <w:pPr>
              <w:pStyle w:val="TableParagraph"/>
              <w:rPr>
                <w:sz w:val="24"/>
              </w:rPr>
            </w:pPr>
          </w:p>
          <w:p>
            <w:pPr>
              <w:pStyle w:val="TableParagraph"/>
              <w:spacing w:before="11"/>
              <w:rPr>
                <w:sz w:val="30"/>
              </w:rPr>
            </w:pPr>
          </w:p>
          <w:p>
            <w:pPr>
              <w:pStyle w:val="TableParagraph"/>
              <w:ind w:left="402" w:hanging="68"/>
              <w:rPr>
                <w:b/>
                <w:sz w:val="22"/>
              </w:rPr>
            </w:pPr>
            <w:r>
              <w:rPr>
                <w:b/>
                <w:spacing w:val="-2"/>
                <w:sz w:val="22"/>
              </w:rPr>
              <w:t>Provisional Eligibility</w:t>
            </w:r>
          </w:p>
        </w:tc>
        <w:tc>
          <w:tcPr>
            <w:tcW w:w="2304" w:type="dxa"/>
          </w:tcPr>
          <w:p>
            <w:pPr>
              <w:pStyle w:val="TableParagraph"/>
              <w:ind w:left="208" w:right="200" w:firstLine="2"/>
              <w:jc w:val="center"/>
              <w:rPr>
                <w:sz w:val="22"/>
              </w:rPr>
            </w:pPr>
            <w:r>
              <w:rPr>
                <w:sz w:val="22"/>
              </w:rPr>
              <w:t>Report expenditures for</w:t>
            </w:r>
            <w:r>
              <w:rPr>
                <w:spacing w:val="-2"/>
                <w:sz w:val="22"/>
              </w:rPr>
              <w:t> </w:t>
            </w:r>
            <w:r>
              <w:rPr>
                <w:sz w:val="22"/>
              </w:rPr>
              <w:t>amounts</w:t>
            </w:r>
            <w:r>
              <w:rPr>
                <w:spacing w:val="-3"/>
                <w:sz w:val="22"/>
              </w:rPr>
              <w:t> </w:t>
            </w:r>
            <w:r>
              <w:rPr>
                <w:sz w:val="22"/>
              </w:rPr>
              <w:t>spent</w:t>
            </w:r>
            <w:r>
              <w:rPr>
                <w:spacing w:val="-2"/>
                <w:sz w:val="22"/>
              </w:rPr>
              <w:t> </w:t>
            </w:r>
            <w:r>
              <w:rPr>
                <w:sz w:val="22"/>
              </w:rPr>
              <w:t>on individuals</w:t>
            </w:r>
            <w:r>
              <w:rPr>
                <w:spacing w:val="-14"/>
                <w:sz w:val="22"/>
              </w:rPr>
              <w:t> </w:t>
            </w:r>
            <w:r>
              <w:rPr>
                <w:sz w:val="22"/>
              </w:rPr>
              <w:t>found</w:t>
            </w:r>
            <w:r>
              <w:rPr>
                <w:spacing w:val="-14"/>
                <w:sz w:val="22"/>
              </w:rPr>
              <w:t> </w:t>
            </w:r>
            <w:r>
              <w:rPr>
                <w:sz w:val="22"/>
              </w:rPr>
              <w:t>not eligible</w:t>
            </w:r>
            <w:r>
              <w:rPr>
                <w:spacing w:val="-6"/>
                <w:sz w:val="22"/>
              </w:rPr>
              <w:t> </w:t>
            </w:r>
            <w:r>
              <w:rPr>
                <w:sz w:val="22"/>
              </w:rPr>
              <w:t>for</w:t>
            </w:r>
            <w:r>
              <w:rPr>
                <w:spacing w:val="-6"/>
                <w:sz w:val="22"/>
              </w:rPr>
              <w:t> </w:t>
            </w:r>
            <w:r>
              <w:rPr>
                <w:sz w:val="22"/>
              </w:rPr>
              <w:t>Medicaid benefits under this authority consistent</w:t>
            </w:r>
          </w:p>
          <w:p>
            <w:pPr>
              <w:pStyle w:val="TableParagraph"/>
              <w:spacing w:line="233" w:lineRule="exact"/>
              <w:ind w:left="113" w:right="102"/>
              <w:jc w:val="center"/>
              <w:rPr>
                <w:sz w:val="22"/>
              </w:rPr>
            </w:pPr>
            <w:r>
              <w:rPr>
                <w:sz w:val="22"/>
              </w:rPr>
              <w:t>with</w:t>
            </w:r>
            <w:r>
              <w:rPr>
                <w:spacing w:val="-1"/>
                <w:sz w:val="22"/>
              </w:rPr>
              <w:t> </w:t>
            </w:r>
            <w:r>
              <w:rPr>
                <w:sz w:val="22"/>
              </w:rPr>
              <w:t>STC</w:t>
            </w:r>
            <w:r>
              <w:rPr>
                <w:spacing w:val="-2"/>
                <w:sz w:val="22"/>
              </w:rPr>
              <w:t> </w:t>
            </w:r>
            <w:r>
              <w:rPr>
                <w:spacing w:val="-4"/>
                <w:sz w:val="22"/>
              </w:rPr>
              <w:t>4.7.</w:t>
            </w:r>
          </w:p>
        </w:tc>
        <w:tc>
          <w:tcPr>
            <w:tcW w:w="1519" w:type="dxa"/>
          </w:tcPr>
          <w:p>
            <w:pPr>
              <w:pStyle w:val="TableParagraph"/>
              <w:rPr>
                <w:sz w:val="20"/>
              </w:rPr>
            </w:pPr>
          </w:p>
        </w:tc>
        <w:tc>
          <w:tcPr>
            <w:tcW w:w="1406" w:type="dxa"/>
          </w:tcPr>
          <w:p>
            <w:pPr>
              <w:pStyle w:val="TableParagraph"/>
              <w:spacing w:before="125"/>
              <w:ind w:left="246" w:right="240" w:firstLine="141"/>
              <w:jc w:val="both"/>
              <w:rPr>
                <w:sz w:val="22"/>
              </w:rPr>
            </w:pPr>
            <w:r>
              <w:rPr>
                <w:spacing w:val="-2"/>
                <w:sz w:val="22"/>
              </w:rPr>
              <w:t>Follow standard </w:t>
            </w:r>
            <w:r>
              <w:rPr>
                <w:sz w:val="22"/>
              </w:rPr>
              <w:t>CMS</w:t>
            </w:r>
            <w:r>
              <w:rPr>
                <w:spacing w:val="-2"/>
                <w:sz w:val="22"/>
              </w:rPr>
              <w:t> </w:t>
            </w:r>
            <w:r>
              <w:rPr>
                <w:spacing w:val="-4"/>
                <w:sz w:val="22"/>
              </w:rPr>
              <w:t>64.9</w:t>
            </w:r>
          </w:p>
          <w:p>
            <w:pPr>
              <w:pStyle w:val="TableParagraph"/>
              <w:ind w:left="165" w:right="159"/>
              <w:jc w:val="center"/>
              <w:rPr>
                <w:sz w:val="22"/>
              </w:rPr>
            </w:pPr>
            <w:r>
              <w:rPr>
                <w:sz w:val="22"/>
              </w:rPr>
              <w:t>Category</w:t>
            </w:r>
            <w:r>
              <w:rPr>
                <w:spacing w:val="-14"/>
                <w:sz w:val="22"/>
              </w:rPr>
              <w:t> </w:t>
            </w:r>
            <w:r>
              <w:rPr>
                <w:sz w:val="22"/>
              </w:rPr>
              <w:t>of </w:t>
            </w:r>
            <w:r>
              <w:rPr>
                <w:spacing w:val="-2"/>
                <w:sz w:val="22"/>
              </w:rPr>
              <w:t>Service Definitions</w:t>
            </w:r>
          </w:p>
        </w:tc>
        <w:tc>
          <w:tcPr>
            <w:tcW w:w="1742" w:type="dxa"/>
          </w:tcPr>
          <w:p>
            <w:pPr>
              <w:pStyle w:val="TableParagraph"/>
              <w:rPr>
                <w:sz w:val="24"/>
              </w:rPr>
            </w:pPr>
          </w:p>
          <w:p>
            <w:pPr>
              <w:pStyle w:val="TableParagraph"/>
              <w:rPr>
                <w:sz w:val="24"/>
              </w:rPr>
            </w:pPr>
          </w:p>
          <w:p>
            <w:pPr>
              <w:pStyle w:val="TableParagraph"/>
              <w:spacing w:before="204"/>
              <w:ind w:left="125" w:right="115"/>
              <w:jc w:val="center"/>
              <w:rPr>
                <w:sz w:val="22"/>
              </w:rPr>
            </w:pPr>
            <w:r>
              <w:rPr>
                <w:sz w:val="22"/>
              </w:rPr>
              <w:t>Date</w:t>
            </w:r>
            <w:r>
              <w:rPr>
                <w:spacing w:val="-4"/>
                <w:sz w:val="22"/>
              </w:rPr>
              <w:t> </w:t>
            </w:r>
            <w:r>
              <w:rPr>
                <w:sz w:val="22"/>
              </w:rPr>
              <w:t>of</w:t>
            </w:r>
            <w:r>
              <w:rPr>
                <w:spacing w:val="-1"/>
                <w:sz w:val="22"/>
              </w:rPr>
              <w:t> </w:t>
            </w:r>
            <w:r>
              <w:rPr>
                <w:spacing w:val="-2"/>
                <w:sz w:val="22"/>
              </w:rPr>
              <w:t>service</w:t>
            </w:r>
          </w:p>
        </w:tc>
        <w:tc>
          <w:tcPr>
            <w:tcW w:w="1269" w:type="dxa"/>
          </w:tcPr>
          <w:p>
            <w:pPr>
              <w:pStyle w:val="TableParagraph"/>
              <w:rPr>
                <w:sz w:val="24"/>
              </w:rPr>
            </w:pPr>
          </w:p>
          <w:p>
            <w:pPr>
              <w:pStyle w:val="TableParagraph"/>
              <w:rPr>
                <w:sz w:val="24"/>
              </w:rPr>
            </w:pPr>
          </w:p>
          <w:p>
            <w:pPr>
              <w:pStyle w:val="TableParagraph"/>
              <w:spacing w:before="204"/>
              <w:ind w:left="91" w:right="86"/>
              <w:jc w:val="center"/>
              <w:rPr>
                <w:sz w:val="22"/>
              </w:rPr>
            </w:pPr>
            <w:r>
              <w:rPr>
                <w:spacing w:val="-5"/>
                <w:sz w:val="22"/>
              </w:rPr>
              <w:t>MAP</w:t>
            </w:r>
          </w:p>
        </w:tc>
        <w:tc>
          <w:tcPr>
            <w:tcW w:w="1403" w:type="dxa"/>
          </w:tcPr>
          <w:p>
            <w:pPr>
              <w:pStyle w:val="TableParagraph"/>
              <w:rPr>
                <w:sz w:val="24"/>
              </w:rPr>
            </w:pPr>
          </w:p>
          <w:p>
            <w:pPr>
              <w:pStyle w:val="TableParagraph"/>
              <w:rPr>
                <w:sz w:val="24"/>
              </w:rPr>
            </w:pPr>
          </w:p>
          <w:p>
            <w:pPr>
              <w:pStyle w:val="TableParagraph"/>
              <w:spacing w:before="204"/>
              <w:ind w:left="11"/>
              <w:jc w:val="center"/>
              <w:rPr>
                <w:sz w:val="22"/>
              </w:rPr>
            </w:pPr>
            <w:r>
              <w:rPr>
                <w:w w:val="100"/>
                <w:sz w:val="22"/>
              </w:rPr>
              <w:t>N</w:t>
            </w:r>
          </w:p>
        </w:tc>
        <w:tc>
          <w:tcPr>
            <w:tcW w:w="1067" w:type="dxa"/>
          </w:tcPr>
          <w:p>
            <w:pPr>
              <w:pStyle w:val="TableParagraph"/>
              <w:rPr>
                <w:sz w:val="24"/>
              </w:rPr>
            </w:pPr>
          </w:p>
          <w:p>
            <w:pPr>
              <w:pStyle w:val="TableParagraph"/>
              <w:rPr>
                <w:sz w:val="24"/>
              </w:rPr>
            </w:pPr>
          </w:p>
          <w:p>
            <w:pPr>
              <w:pStyle w:val="TableParagraph"/>
              <w:spacing w:before="204"/>
              <w:ind w:left="185" w:right="171"/>
              <w:jc w:val="center"/>
              <w:rPr>
                <w:sz w:val="22"/>
              </w:rPr>
            </w:pPr>
            <w:r>
              <w:rPr>
                <w:spacing w:val="-2"/>
                <w:sz w:val="22"/>
              </w:rPr>
              <w:t>7/1/17</w:t>
            </w:r>
          </w:p>
        </w:tc>
        <w:tc>
          <w:tcPr>
            <w:tcW w:w="1218" w:type="dxa"/>
          </w:tcPr>
          <w:p>
            <w:pPr>
              <w:pStyle w:val="TableParagraph"/>
              <w:rPr>
                <w:sz w:val="24"/>
              </w:rPr>
            </w:pPr>
          </w:p>
          <w:p>
            <w:pPr>
              <w:pStyle w:val="TableParagraph"/>
              <w:rPr>
                <w:sz w:val="24"/>
              </w:rPr>
            </w:pPr>
          </w:p>
          <w:p>
            <w:pPr>
              <w:pStyle w:val="TableParagraph"/>
              <w:spacing w:before="204"/>
              <w:ind w:left="110"/>
              <w:rPr>
                <w:sz w:val="22"/>
              </w:rPr>
            </w:pPr>
            <w:r>
              <w:rPr>
                <w:spacing w:val="-2"/>
                <w:sz w:val="22"/>
              </w:rPr>
              <w:t>12/31/27</w:t>
            </w:r>
          </w:p>
        </w:tc>
      </w:tr>
      <w:tr>
        <w:trPr>
          <w:trHeight w:val="1770" w:hRule="atLeast"/>
        </w:trPr>
        <w:tc>
          <w:tcPr>
            <w:tcW w:w="1738" w:type="dxa"/>
          </w:tcPr>
          <w:p>
            <w:pPr>
              <w:pStyle w:val="TableParagraph"/>
              <w:rPr>
                <w:sz w:val="24"/>
              </w:rPr>
            </w:pPr>
          </w:p>
          <w:p>
            <w:pPr>
              <w:pStyle w:val="TableParagraph"/>
              <w:rPr>
                <w:sz w:val="24"/>
              </w:rPr>
            </w:pPr>
          </w:p>
          <w:p>
            <w:pPr>
              <w:pStyle w:val="TableParagraph"/>
              <w:spacing w:before="205"/>
              <w:ind w:left="102" w:right="98"/>
              <w:jc w:val="center"/>
              <w:rPr>
                <w:b/>
                <w:sz w:val="22"/>
              </w:rPr>
            </w:pPr>
            <w:r>
              <w:rPr>
                <w:b/>
                <w:spacing w:val="-2"/>
                <w:sz w:val="22"/>
              </w:rPr>
              <w:t>EAEDC</w:t>
            </w:r>
          </w:p>
        </w:tc>
        <w:tc>
          <w:tcPr>
            <w:tcW w:w="2304" w:type="dxa"/>
          </w:tcPr>
          <w:p>
            <w:pPr>
              <w:pStyle w:val="TableParagraph"/>
              <w:ind w:left="116" w:right="105" w:hanging="1"/>
              <w:jc w:val="center"/>
              <w:rPr>
                <w:sz w:val="22"/>
              </w:rPr>
            </w:pPr>
            <w:r>
              <w:rPr>
                <w:sz w:val="22"/>
              </w:rPr>
              <w:t>Report all medical assistance</w:t>
            </w:r>
            <w:r>
              <w:rPr>
                <w:spacing w:val="-14"/>
                <w:sz w:val="22"/>
              </w:rPr>
              <w:t> </w:t>
            </w:r>
            <w:r>
              <w:rPr>
                <w:sz w:val="22"/>
              </w:rPr>
              <w:t>expenditures for health care related costs for individuals receiving</w:t>
            </w:r>
            <w:r>
              <w:rPr>
                <w:spacing w:val="40"/>
                <w:sz w:val="22"/>
              </w:rPr>
              <w:t> </w:t>
            </w:r>
            <w:r>
              <w:rPr>
                <w:sz w:val="22"/>
              </w:rPr>
              <w:t>Emergency Aid</w:t>
            </w:r>
            <w:r>
              <w:rPr>
                <w:spacing w:val="-2"/>
                <w:sz w:val="22"/>
              </w:rPr>
              <w:t> </w:t>
            </w:r>
            <w:r>
              <w:rPr>
                <w:sz w:val="22"/>
              </w:rPr>
              <w:t>to</w:t>
            </w:r>
            <w:r>
              <w:rPr>
                <w:spacing w:val="-1"/>
                <w:sz w:val="22"/>
              </w:rPr>
              <w:t> </w:t>
            </w:r>
            <w:r>
              <w:rPr>
                <w:sz w:val="22"/>
              </w:rPr>
              <w:t>Elders,</w:t>
            </w:r>
            <w:r>
              <w:rPr>
                <w:spacing w:val="-1"/>
                <w:sz w:val="22"/>
              </w:rPr>
              <w:t> </w:t>
            </w:r>
            <w:r>
              <w:rPr>
                <w:spacing w:val="-2"/>
                <w:sz w:val="22"/>
              </w:rPr>
              <w:t>Disabled</w:t>
            </w:r>
          </w:p>
          <w:p>
            <w:pPr>
              <w:pStyle w:val="TableParagraph"/>
              <w:spacing w:line="233" w:lineRule="exact"/>
              <w:ind w:left="110" w:right="102"/>
              <w:jc w:val="center"/>
              <w:rPr>
                <w:sz w:val="22"/>
              </w:rPr>
            </w:pPr>
            <w:r>
              <w:rPr>
                <w:sz w:val="22"/>
              </w:rPr>
              <w:t>and</w:t>
            </w:r>
            <w:r>
              <w:rPr>
                <w:spacing w:val="-2"/>
                <w:sz w:val="22"/>
              </w:rPr>
              <w:t> Children.</w:t>
            </w:r>
          </w:p>
        </w:tc>
        <w:tc>
          <w:tcPr>
            <w:tcW w:w="1519" w:type="dxa"/>
          </w:tcPr>
          <w:p>
            <w:pPr>
              <w:pStyle w:val="TableParagraph"/>
              <w:rPr>
                <w:sz w:val="20"/>
              </w:rPr>
            </w:pPr>
          </w:p>
        </w:tc>
        <w:tc>
          <w:tcPr>
            <w:tcW w:w="1406" w:type="dxa"/>
          </w:tcPr>
          <w:p>
            <w:pPr>
              <w:pStyle w:val="TableParagraph"/>
              <w:spacing w:before="125"/>
              <w:ind w:left="246" w:right="240" w:firstLine="141"/>
              <w:jc w:val="both"/>
              <w:rPr>
                <w:sz w:val="22"/>
              </w:rPr>
            </w:pPr>
            <w:r>
              <w:rPr>
                <w:spacing w:val="-2"/>
                <w:sz w:val="22"/>
              </w:rPr>
              <w:t>Follow standard </w:t>
            </w:r>
            <w:r>
              <w:rPr>
                <w:sz w:val="22"/>
              </w:rPr>
              <w:t>CMS</w:t>
            </w:r>
            <w:r>
              <w:rPr>
                <w:spacing w:val="-2"/>
                <w:sz w:val="22"/>
              </w:rPr>
              <w:t> </w:t>
            </w:r>
            <w:r>
              <w:rPr>
                <w:spacing w:val="-4"/>
                <w:sz w:val="22"/>
              </w:rPr>
              <w:t>64.9</w:t>
            </w:r>
          </w:p>
          <w:p>
            <w:pPr>
              <w:pStyle w:val="TableParagraph"/>
              <w:ind w:left="165" w:right="159"/>
              <w:jc w:val="center"/>
              <w:rPr>
                <w:sz w:val="22"/>
              </w:rPr>
            </w:pPr>
            <w:r>
              <w:rPr>
                <w:sz w:val="22"/>
              </w:rPr>
              <w:t>Category</w:t>
            </w:r>
            <w:r>
              <w:rPr>
                <w:spacing w:val="-14"/>
                <w:sz w:val="22"/>
              </w:rPr>
              <w:t> </w:t>
            </w:r>
            <w:r>
              <w:rPr>
                <w:sz w:val="22"/>
              </w:rPr>
              <w:t>of </w:t>
            </w:r>
            <w:r>
              <w:rPr>
                <w:spacing w:val="-2"/>
                <w:sz w:val="22"/>
              </w:rPr>
              <w:t>Service Definitions</w:t>
            </w:r>
          </w:p>
        </w:tc>
        <w:tc>
          <w:tcPr>
            <w:tcW w:w="1742" w:type="dxa"/>
          </w:tcPr>
          <w:p>
            <w:pPr>
              <w:pStyle w:val="TableParagraph"/>
              <w:rPr>
                <w:sz w:val="24"/>
              </w:rPr>
            </w:pPr>
          </w:p>
          <w:p>
            <w:pPr>
              <w:pStyle w:val="TableParagraph"/>
              <w:rPr>
                <w:sz w:val="24"/>
              </w:rPr>
            </w:pPr>
          </w:p>
          <w:p>
            <w:pPr>
              <w:pStyle w:val="TableParagraph"/>
              <w:spacing w:before="204"/>
              <w:ind w:left="125" w:right="115"/>
              <w:jc w:val="center"/>
              <w:rPr>
                <w:sz w:val="22"/>
              </w:rPr>
            </w:pPr>
            <w:r>
              <w:rPr>
                <w:sz w:val="22"/>
              </w:rPr>
              <w:t>Date</w:t>
            </w:r>
            <w:r>
              <w:rPr>
                <w:spacing w:val="-4"/>
                <w:sz w:val="22"/>
              </w:rPr>
              <w:t> </w:t>
            </w:r>
            <w:r>
              <w:rPr>
                <w:sz w:val="22"/>
              </w:rPr>
              <w:t>of</w:t>
            </w:r>
            <w:r>
              <w:rPr>
                <w:spacing w:val="-1"/>
                <w:sz w:val="22"/>
              </w:rPr>
              <w:t> </w:t>
            </w:r>
            <w:r>
              <w:rPr>
                <w:spacing w:val="-2"/>
                <w:sz w:val="22"/>
              </w:rPr>
              <w:t>service</w:t>
            </w:r>
          </w:p>
        </w:tc>
        <w:tc>
          <w:tcPr>
            <w:tcW w:w="1269" w:type="dxa"/>
          </w:tcPr>
          <w:p>
            <w:pPr>
              <w:pStyle w:val="TableParagraph"/>
              <w:rPr>
                <w:sz w:val="24"/>
              </w:rPr>
            </w:pPr>
          </w:p>
          <w:p>
            <w:pPr>
              <w:pStyle w:val="TableParagraph"/>
              <w:rPr>
                <w:sz w:val="24"/>
              </w:rPr>
            </w:pPr>
          </w:p>
          <w:p>
            <w:pPr>
              <w:pStyle w:val="TableParagraph"/>
              <w:spacing w:before="204"/>
              <w:ind w:left="91" w:right="86"/>
              <w:jc w:val="center"/>
              <w:rPr>
                <w:sz w:val="22"/>
              </w:rPr>
            </w:pPr>
            <w:r>
              <w:rPr>
                <w:spacing w:val="-5"/>
                <w:sz w:val="22"/>
              </w:rPr>
              <w:t>MAP</w:t>
            </w:r>
          </w:p>
        </w:tc>
        <w:tc>
          <w:tcPr>
            <w:tcW w:w="1403" w:type="dxa"/>
          </w:tcPr>
          <w:p>
            <w:pPr>
              <w:pStyle w:val="TableParagraph"/>
              <w:rPr>
                <w:sz w:val="24"/>
              </w:rPr>
            </w:pPr>
          </w:p>
          <w:p>
            <w:pPr>
              <w:pStyle w:val="TableParagraph"/>
              <w:rPr>
                <w:sz w:val="24"/>
              </w:rPr>
            </w:pPr>
          </w:p>
          <w:p>
            <w:pPr>
              <w:pStyle w:val="TableParagraph"/>
              <w:spacing w:before="204"/>
              <w:ind w:left="11"/>
              <w:jc w:val="center"/>
              <w:rPr>
                <w:sz w:val="22"/>
              </w:rPr>
            </w:pPr>
            <w:r>
              <w:rPr>
                <w:w w:val="100"/>
                <w:sz w:val="22"/>
              </w:rPr>
              <w:t>N</w:t>
            </w:r>
          </w:p>
        </w:tc>
        <w:tc>
          <w:tcPr>
            <w:tcW w:w="1067" w:type="dxa"/>
          </w:tcPr>
          <w:p>
            <w:pPr>
              <w:pStyle w:val="TableParagraph"/>
              <w:rPr>
                <w:sz w:val="24"/>
              </w:rPr>
            </w:pPr>
          </w:p>
          <w:p>
            <w:pPr>
              <w:pStyle w:val="TableParagraph"/>
              <w:rPr>
                <w:sz w:val="24"/>
              </w:rPr>
            </w:pPr>
          </w:p>
          <w:p>
            <w:pPr>
              <w:pStyle w:val="TableParagraph"/>
              <w:spacing w:before="204"/>
              <w:ind w:left="185" w:right="171"/>
              <w:jc w:val="center"/>
              <w:rPr>
                <w:sz w:val="22"/>
              </w:rPr>
            </w:pPr>
            <w:r>
              <w:rPr>
                <w:spacing w:val="-2"/>
                <w:sz w:val="22"/>
              </w:rPr>
              <w:t>7/1/17</w:t>
            </w:r>
          </w:p>
        </w:tc>
        <w:tc>
          <w:tcPr>
            <w:tcW w:w="1218" w:type="dxa"/>
          </w:tcPr>
          <w:p>
            <w:pPr>
              <w:pStyle w:val="TableParagraph"/>
              <w:rPr>
                <w:sz w:val="24"/>
              </w:rPr>
            </w:pPr>
          </w:p>
          <w:p>
            <w:pPr>
              <w:pStyle w:val="TableParagraph"/>
              <w:rPr>
                <w:sz w:val="24"/>
              </w:rPr>
            </w:pPr>
          </w:p>
          <w:p>
            <w:pPr>
              <w:pStyle w:val="TableParagraph"/>
              <w:spacing w:before="204"/>
              <w:ind w:left="110"/>
              <w:rPr>
                <w:sz w:val="22"/>
              </w:rPr>
            </w:pPr>
            <w:r>
              <w:rPr>
                <w:spacing w:val="-2"/>
                <w:sz w:val="22"/>
              </w:rPr>
              <w:t>12/31/27</w:t>
            </w:r>
          </w:p>
        </w:tc>
      </w:tr>
      <w:tr>
        <w:trPr>
          <w:trHeight w:val="2277" w:hRule="atLeast"/>
        </w:trPr>
        <w:tc>
          <w:tcPr>
            <w:tcW w:w="1738" w:type="dxa"/>
          </w:tcPr>
          <w:p>
            <w:pPr>
              <w:pStyle w:val="TableParagraph"/>
              <w:rPr>
                <w:sz w:val="24"/>
              </w:rPr>
            </w:pPr>
          </w:p>
          <w:p>
            <w:pPr>
              <w:pStyle w:val="TableParagraph"/>
              <w:rPr>
                <w:sz w:val="24"/>
              </w:rPr>
            </w:pPr>
          </w:p>
          <w:p>
            <w:pPr>
              <w:pStyle w:val="TableParagraph"/>
              <w:spacing w:before="10"/>
              <w:rPr>
                <w:sz w:val="28"/>
              </w:rPr>
            </w:pPr>
          </w:p>
          <w:p>
            <w:pPr>
              <w:pStyle w:val="TableParagraph"/>
              <w:ind w:left="422" w:hanging="216"/>
              <w:rPr>
                <w:b/>
                <w:sz w:val="22"/>
              </w:rPr>
            </w:pPr>
            <w:r>
              <w:rPr>
                <w:b/>
                <w:sz w:val="22"/>
              </w:rPr>
              <w:t>End</w:t>
            </w:r>
            <w:r>
              <w:rPr>
                <w:b/>
                <w:spacing w:val="-14"/>
                <w:sz w:val="22"/>
              </w:rPr>
              <w:t> </w:t>
            </w:r>
            <w:r>
              <w:rPr>
                <w:b/>
                <w:sz w:val="22"/>
              </w:rPr>
              <w:t>of</w:t>
            </w:r>
            <w:r>
              <w:rPr>
                <w:b/>
                <w:spacing w:val="-14"/>
                <w:sz w:val="22"/>
              </w:rPr>
              <w:t> </w:t>
            </w:r>
            <w:r>
              <w:rPr>
                <w:b/>
                <w:sz w:val="22"/>
              </w:rPr>
              <w:t>Month </w:t>
            </w:r>
            <w:r>
              <w:rPr>
                <w:b/>
                <w:spacing w:val="-2"/>
                <w:sz w:val="22"/>
              </w:rPr>
              <w:t>Coverage</w:t>
            </w:r>
          </w:p>
        </w:tc>
        <w:tc>
          <w:tcPr>
            <w:tcW w:w="2304" w:type="dxa"/>
          </w:tcPr>
          <w:p>
            <w:pPr>
              <w:pStyle w:val="TableParagraph"/>
              <w:ind w:left="119" w:right="110" w:firstLine="1"/>
              <w:jc w:val="center"/>
              <w:rPr>
                <w:sz w:val="22"/>
              </w:rPr>
            </w:pPr>
            <w:r>
              <w:rPr>
                <w:sz w:val="22"/>
              </w:rPr>
              <w:t>Report all medical assistance</w:t>
            </w:r>
            <w:r>
              <w:rPr>
                <w:spacing w:val="-14"/>
                <w:sz w:val="22"/>
              </w:rPr>
              <w:t> </w:t>
            </w:r>
            <w:r>
              <w:rPr>
                <w:sz w:val="22"/>
              </w:rPr>
              <w:t>expenditures for beneficiaries determined eligible for subsidized QHP coverage through Massachusetts Health</w:t>
            </w:r>
          </w:p>
          <w:p>
            <w:pPr>
              <w:pStyle w:val="TableParagraph"/>
              <w:spacing w:line="252" w:lineRule="exact"/>
              <w:ind w:left="115" w:right="102"/>
              <w:jc w:val="center"/>
              <w:rPr>
                <w:sz w:val="22"/>
              </w:rPr>
            </w:pPr>
            <w:r>
              <w:rPr>
                <w:sz w:val="22"/>
              </w:rPr>
              <w:t>Connector</w:t>
            </w:r>
            <w:r>
              <w:rPr>
                <w:spacing w:val="-10"/>
                <w:sz w:val="22"/>
              </w:rPr>
              <w:t> </w:t>
            </w:r>
            <w:r>
              <w:rPr>
                <w:sz w:val="22"/>
              </w:rPr>
              <w:t>but</w:t>
            </w:r>
            <w:r>
              <w:rPr>
                <w:spacing w:val="-10"/>
                <w:sz w:val="22"/>
              </w:rPr>
              <w:t> </w:t>
            </w:r>
            <w:r>
              <w:rPr>
                <w:sz w:val="22"/>
              </w:rPr>
              <w:t>who</w:t>
            </w:r>
            <w:r>
              <w:rPr>
                <w:spacing w:val="-14"/>
                <w:sz w:val="22"/>
              </w:rPr>
              <w:t> </w:t>
            </w:r>
            <w:r>
              <w:rPr>
                <w:sz w:val="22"/>
              </w:rPr>
              <w:t>are not</w:t>
            </w:r>
            <w:r>
              <w:rPr>
                <w:spacing w:val="-3"/>
                <w:sz w:val="22"/>
              </w:rPr>
              <w:t> </w:t>
            </w:r>
            <w:r>
              <w:rPr>
                <w:sz w:val="22"/>
              </w:rPr>
              <w:t>enrolled</w:t>
            </w:r>
            <w:r>
              <w:rPr>
                <w:spacing w:val="-2"/>
                <w:sz w:val="22"/>
              </w:rPr>
              <w:t> </w:t>
            </w:r>
            <w:r>
              <w:rPr>
                <w:sz w:val="22"/>
              </w:rPr>
              <w:t>in</w:t>
            </w:r>
            <w:r>
              <w:rPr>
                <w:spacing w:val="-4"/>
                <w:sz w:val="22"/>
              </w:rPr>
              <w:t> </w:t>
            </w:r>
            <w:r>
              <w:rPr>
                <w:sz w:val="22"/>
              </w:rPr>
              <w:t>a</w:t>
            </w:r>
            <w:r>
              <w:rPr>
                <w:spacing w:val="-1"/>
                <w:sz w:val="22"/>
              </w:rPr>
              <w:t> </w:t>
            </w:r>
            <w:r>
              <w:rPr>
                <w:spacing w:val="-4"/>
                <w:sz w:val="22"/>
              </w:rPr>
              <w:t>QHP.</w:t>
            </w:r>
          </w:p>
        </w:tc>
        <w:tc>
          <w:tcPr>
            <w:tcW w:w="1519" w:type="dxa"/>
          </w:tcPr>
          <w:p>
            <w:pPr>
              <w:pStyle w:val="TableParagraph"/>
              <w:rPr>
                <w:sz w:val="20"/>
              </w:rPr>
            </w:pPr>
          </w:p>
        </w:tc>
        <w:tc>
          <w:tcPr>
            <w:tcW w:w="1406" w:type="dxa"/>
          </w:tcPr>
          <w:p>
            <w:pPr>
              <w:pStyle w:val="TableParagraph"/>
              <w:spacing w:before="9"/>
              <w:rPr>
                <w:sz w:val="32"/>
              </w:rPr>
            </w:pPr>
          </w:p>
          <w:p>
            <w:pPr>
              <w:pStyle w:val="TableParagraph"/>
              <w:ind w:left="246" w:right="240" w:firstLine="141"/>
              <w:jc w:val="both"/>
              <w:rPr>
                <w:sz w:val="22"/>
              </w:rPr>
            </w:pPr>
            <w:r>
              <w:rPr>
                <w:spacing w:val="-2"/>
                <w:sz w:val="22"/>
              </w:rPr>
              <w:t>Follow standard </w:t>
            </w:r>
            <w:r>
              <w:rPr>
                <w:sz w:val="22"/>
              </w:rPr>
              <w:t>CMS</w:t>
            </w:r>
            <w:r>
              <w:rPr>
                <w:spacing w:val="-2"/>
                <w:sz w:val="22"/>
              </w:rPr>
              <w:t> </w:t>
            </w:r>
            <w:r>
              <w:rPr>
                <w:spacing w:val="-4"/>
                <w:sz w:val="22"/>
              </w:rPr>
              <w:t>64.9</w:t>
            </w:r>
          </w:p>
          <w:p>
            <w:pPr>
              <w:pStyle w:val="TableParagraph"/>
              <w:spacing w:before="2"/>
              <w:ind w:left="165" w:right="159"/>
              <w:jc w:val="center"/>
              <w:rPr>
                <w:sz w:val="22"/>
              </w:rPr>
            </w:pPr>
            <w:r>
              <w:rPr>
                <w:sz w:val="22"/>
              </w:rPr>
              <w:t>Category</w:t>
            </w:r>
            <w:r>
              <w:rPr>
                <w:spacing w:val="-14"/>
                <w:sz w:val="22"/>
              </w:rPr>
              <w:t> </w:t>
            </w:r>
            <w:r>
              <w:rPr>
                <w:sz w:val="22"/>
              </w:rPr>
              <w:t>of </w:t>
            </w:r>
            <w:r>
              <w:rPr>
                <w:spacing w:val="-2"/>
                <w:sz w:val="22"/>
              </w:rPr>
              <w:t>Service Definitions</w:t>
            </w:r>
          </w:p>
        </w:tc>
        <w:tc>
          <w:tcPr>
            <w:tcW w:w="1742" w:type="dxa"/>
          </w:tcPr>
          <w:p>
            <w:pPr>
              <w:pStyle w:val="TableParagraph"/>
              <w:rPr>
                <w:sz w:val="24"/>
              </w:rPr>
            </w:pPr>
          </w:p>
          <w:p>
            <w:pPr>
              <w:pStyle w:val="TableParagraph"/>
              <w:rPr>
                <w:sz w:val="24"/>
              </w:rPr>
            </w:pPr>
          </w:p>
          <w:p>
            <w:pPr>
              <w:pStyle w:val="TableParagraph"/>
              <w:rPr>
                <w:sz w:val="24"/>
              </w:rPr>
            </w:pPr>
          </w:p>
          <w:p>
            <w:pPr>
              <w:pStyle w:val="TableParagraph"/>
              <w:spacing w:before="183"/>
              <w:ind w:left="125" w:right="115"/>
              <w:jc w:val="center"/>
              <w:rPr>
                <w:sz w:val="22"/>
              </w:rPr>
            </w:pPr>
            <w:r>
              <w:rPr>
                <w:sz w:val="22"/>
              </w:rPr>
              <w:t>Date</w:t>
            </w:r>
            <w:r>
              <w:rPr>
                <w:spacing w:val="-4"/>
                <w:sz w:val="22"/>
              </w:rPr>
              <w:t> </w:t>
            </w:r>
            <w:r>
              <w:rPr>
                <w:sz w:val="22"/>
              </w:rPr>
              <w:t>of</w:t>
            </w:r>
            <w:r>
              <w:rPr>
                <w:spacing w:val="-1"/>
                <w:sz w:val="22"/>
              </w:rPr>
              <w:t> </w:t>
            </w:r>
            <w:r>
              <w:rPr>
                <w:spacing w:val="-2"/>
                <w:sz w:val="22"/>
              </w:rPr>
              <w:t>service</w:t>
            </w:r>
          </w:p>
        </w:tc>
        <w:tc>
          <w:tcPr>
            <w:tcW w:w="1269" w:type="dxa"/>
          </w:tcPr>
          <w:p>
            <w:pPr>
              <w:pStyle w:val="TableParagraph"/>
              <w:rPr>
                <w:sz w:val="24"/>
              </w:rPr>
            </w:pPr>
          </w:p>
          <w:p>
            <w:pPr>
              <w:pStyle w:val="TableParagraph"/>
              <w:rPr>
                <w:sz w:val="24"/>
              </w:rPr>
            </w:pPr>
          </w:p>
          <w:p>
            <w:pPr>
              <w:pStyle w:val="TableParagraph"/>
              <w:rPr>
                <w:sz w:val="24"/>
              </w:rPr>
            </w:pPr>
          </w:p>
          <w:p>
            <w:pPr>
              <w:pStyle w:val="TableParagraph"/>
              <w:spacing w:before="183"/>
              <w:ind w:left="91" w:right="86"/>
              <w:jc w:val="center"/>
              <w:rPr>
                <w:sz w:val="22"/>
              </w:rPr>
            </w:pPr>
            <w:r>
              <w:rPr>
                <w:spacing w:val="-5"/>
                <w:sz w:val="22"/>
              </w:rPr>
              <w:t>MAP</w:t>
            </w:r>
          </w:p>
        </w:tc>
        <w:tc>
          <w:tcPr>
            <w:tcW w:w="1403" w:type="dxa"/>
          </w:tcPr>
          <w:p>
            <w:pPr>
              <w:pStyle w:val="TableParagraph"/>
              <w:rPr>
                <w:sz w:val="24"/>
              </w:rPr>
            </w:pPr>
          </w:p>
          <w:p>
            <w:pPr>
              <w:pStyle w:val="TableParagraph"/>
              <w:rPr>
                <w:sz w:val="24"/>
              </w:rPr>
            </w:pPr>
          </w:p>
          <w:p>
            <w:pPr>
              <w:pStyle w:val="TableParagraph"/>
              <w:rPr>
                <w:sz w:val="24"/>
              </w:rPr>
            </w:pPr>
          </w:p>
          <w:p>
            <w:pPr>
              <w:pStyle w:val="TableParagraph"/>
              <w:spacing w:before="183"/>
              <w:ind w:left="11"/>
              <w:jc w:val="center"/>
              <w:rPr>
                <w:sz w:val="22"/>
              </w:rPr>
            </w:pPr>
            <w:r>
              <w:rPr>
                <w:w w:val="100"/>
                <w:sz w:val="22"/>
              </w:rPr>
              <w:t>N</w:t>
            </w:r>
          </w:p>
        </w:tc>
        <w:tc>
          <w:tcPr>
            <w:tcW w:w="1067" w:type="dxa"/>
          </w:tcPr>
          <w:p>
            <w:pPr>
              <w:pStyle w:val="TableParagraph"/>
              <w:rPr>
                <w:sz w:val="24"/>
              </w:rPr>
            </w:pPr>
          </w:p>
          <w:p>
            <w:pPr>
              <w:pStyle w:val="TableParagraph"/>
              <w:rPr>
                <w:sz w:val="24"/>
              </w:rPr>
            </w:pPr>
          </w:p>
          <w:p>
            <w:pPr>
              <w:pStyle w:val="TableParagraph"/>
              <w:rPr>
                <w:sz w:val="24"/>
              </w:rPr>
            </w:pPr>
          </w:p>
          <w:p>
            <w:pPr>
              <w:pStyle w:val="TableParagraph"/>
              <w:spacing w:before="183"/>
              <w:ind w:left="185" w:right="171"/>
              <w:jc w:val="center"/>
              <w:rPr>
                <w:sz w:val="22"/>
              </w:rPr>
            </w:pPr>
            <w:r>
              <w:rPr>
                <w:spacing w:val="-2"/>
                <w:sz w:val="22"/>
              </w:rPr>
              <w:t>7/1/17</w:t>
            </w:r>
          </w:p>
        </w:tc>
        <w:tc>
          <w:tcPr>
            <w:tcW w:w="1218" w:type="dxa"/>
          </w:tcPr>
          <w:p>
            <w:pPr>
              <w:pStyle w:val="TableParagraph"/>
              <w:rPr>
                <w:sz w:val="24"/>
              </w:rPr>
            </w:pPr>
          </w:p>
          <w:p>
            <w:pPr>
              <w:pStyle w:val="TableParagraph"/>
              <w:rPr>
                <w:sz w:val="24"/>
              </w:rPr>
            </w:pPr>
          </w:p>
          <w:p>
            <w:pPr>
              <w:pStyle w:val="TableParagraph"/>
              <w:rPr>
                <w:sz w:val="24"/>
              </w:rPr>
            </w:pPr>
          </w:p>
          <w:p>
            <w:pPr>
              <w:pStyle w:val="TableParagraph"/>
              <w:spacing w:before="183"/>
              <w:ind w:left="110"/>
              <w:rPr>
                <w:sz w:val="22"/>
              </w:rPr>
            </w:pPr>
            <w:r>
              <w:rPr>
                <w:spacing w:val="-2"/>
                <w:sz w:val="22"/>
              </w:rPr>
              <w:t>12/31/27</w:t>
            </w:r>
          </w:p>
        </w:tc>
      </w:tr>
      <w:tr>
        <w:trPr>
          <w:trHeight w:val="3290" w:hRule="atLeast"/>
        </w:trPr>
        <w:tc>
          <w:tcPr>
            <w:tcW w:w="1738"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8"/>
              <w:rPr>
                <w:sz w:val="35"/>
              </w:rPr>
            </w:pPr>
          </w:p>
          <w:p>
            <w:pPr>
              <w:pStyle w:val="TableParagraph"/>
              <w:spacing w:before="1"/>
              <w:ind w:left="104" w:right="98"/>
              <w:jc w:val="center"/>
              <w:rPr>
                <w:b/>
                <w:sz w:val="22"/>
              </w:rPr>
            </w:pPr>
            <w:r>
              <w:rPr>
                <w:b/>
                <w:spacing w:val="-4"/>
                <w:sz w:val="22"/>
              </w:rPr>
              <w:t>FFCY</w:t>
            </w:r>
          </w:p>
        </w:tc>
        <w:tc>
          <w:tcPr>
            <w:tcW w:w="2304" w:type="dxa"/>
          </w:tcPr>
          <w:p>
            <w:pPr>
              <w:pStyle w:val="TableParagraph"/>
              <w:ind w:left="111" w:right="99" w:hanging="3"/>
              <w:jc w:val="center"/>
              <w:rPr>
                <w:sz w:val="22"/>
              </w:rPr>
            </w:pPr>
            <w:r>
              <w:rPr>
                <w:sz w:val="22"/>
              </w:rPr>
              <w:t>Report all medical assistance</w:t>
            </w:r>
            <w:r>
              <w:rPr>
                <w:spacing w:val="-14"/>
                <w:sz w:val="22"/>
              </w:rPr>
              <w:t> </w:t>
            </w:r>
            <w:r>
              <w:rPr>
                <w:sz w:val="22"/>
              </w:rPr>
              <w:t>expenditures for those individuals enrolled as “Out-of- state Former Foster Care Youth,” who are youth under age 26 who</w:t>
            </w:r>
            <w:r>
              <w:rPr>
                <w:spacing w:val="-5"/>
                <w:sz w:val="22"/>
              </w:rPr>
              <w:t> </w:t>
            </w:r>
            <w:r>
              <w:rPr>
                <w:sz w:val="22"/>
              </w:rPr>
              <w:t>were</w:t>
            </w:r>
            <w:r>
              <w:rPr>
                <w:spacing w:val="-7"/>
                <w:sz w:val="22"/>
              </w:rPr>
              <w:t> </w:t>
            </w:r>
            <w:r>
              <w:rPr>
                <w:sz w:val="22"/>
              </w:rPr>
              <w:t>in</w:t>
            </w:r>
            <w:r>
              <w:rPr>
                <w:spacing w:val="-5"/>
                <w:sz w:val="22"/>
              </w:rPr>
              <w:t> </w:t>
            </w:r>
            <w:r>
              <w:rPr>
                <w:sz w:val="22"/>
              </w:rPr>
              <w:t>foster</w:t>
            </w:r>
            <w:r>
              <w:rPr>
                <w:spacing w:val="-7"/>
                <w:sz w:val="22"/>
              </w:rPr>
              <w:t> </w:t>
            </w:r>
            <w:r>
              <w:rPr>
                <w:sz w:val="22"/>
              </w:rPr>
              <w:t>care under</w:t>
            </w:r>
            <w:r>
              <w:rPr>
                <w:spacing w:val="-14"/>
                <w:sz w:val="22"/>
              </w:rPr>
              <w:t> </w:t>
            </w:r>
            <w:r>
              <w:rPr>
                <w:sz w:val="22"/>
              </w:rPr>
              <w:t>the</w:t>
            </w:r>
            <w:r>
              <w:rPr>
                <w:spacing w:val="-14"/>
                <w:sz w:val="22"/>
              </w:rPr>
              <w:t> </w:t>
            </w:r>
            <w:r>
              <w:rPr>
                <w:sz w:val="22"/>
              </w:rPr>
              <w:t>responsibility of a state other than Massachusetts or a Tribe in such a state</w:t>
            </w:r>
          </w:p>
          <w:p>
            <w:pPr>
              <w:pStyle w:val="TableParagraph"/>
              <w:spacing w:line="236" w:lineRule="exact"/>
              <w:ind w:left="110" w:right="102"/>
              <w:jc w:val="center"/>
              <w:rPr>
                <w:sz w:val="22"/>
              </w:rPr>
            </w:pPr>
            <w:r>
              <w:rPr>
                <w:sz w:val="22"/>
              </w:rPr>
              <w:t>when</w:t>
            </w:r>
            <w:r>
              <w:rPr>
                <w:spacing w:val="-4"/>
                <w:sz w:val="22"/>
              </w:rPr>
              <w:t> </w:t>
            </w:r>
            <w:r>
              <w:rPr>
                <w:sz w:val="22"/>
              </w:rPr>
              <w:t>they</w:t>
            </w:r>
            <w:r>
              <w:rPr>
                <w:spacing w:val="-5"/>
                <w:sz w:val="22"/>
              </w:rPr>
              <w:t> </w:t>
            </w:r>
            <w:r>
              <w:rPr>
                <w:sz w:val="22"/>
              </w:rPr>
              <w:t>turned</w:t>
            </w:r>
            <w:r>
              <w:rPr>
                <w:spacing w:val="-1"/>
                <w:sz w:val="22"/>
              </w:rPr>
              <w:t> </w:t>
            </w:r>
            <w:r>
              <w:rPr>
                <w:spacing w:val="-5"/>
                <w:sz w:val="22"/>
              </w:rPr>
              <w:t>18</w:t>
            </w:r>
          </w:p>
        </w:tc>
        <w:tc>
          <w:tcPr>
            <w:tcW w:w="1519" w:type="dxa"/>
          </w:tcPr>
          <w:p>
            <w:pPr>
              <w:pStyle w:val="TableParagraph"/>
              <w:rPr>
                <w:sz w:val="20"/>
              </w:rPr>
            </w:pPr>
          </w:p>
        </w:tc>
        <w:tc>
          <w:tcPr>
            <w:tcW w:w="1406" w:type="dxa"/>
          </w:tcPr>
          <w:p>
            <w:pPr>
              <w:pStyle w:val="TableParagraph"/>
              <w:rPr>
                <w:sz w:val="24"/>
              </w:rPr>
            </w:pPr>
          </w:p>
          <w:p>
            <w:pPr>
              <w:pStyle w:val="TableParagraph"/>
              <w:rPr>
                <w:sz w:val="24"/>
              </w:rPr>
            </w:pPr>
          </w:p>
          <w:p>
            <w:pPr>
              <w:pStyle w:val="TableParagraph"/>
              <w:spacing w:before="10"/>
              <w:rPr>
                <w:sz w:val="28"/>
              </w:rPr>
            </w:pPr>
          </w:p>
          <w:p>
            <w:pPr>
              <w:pStyle w:val="TableParagraph"/>
              <w:ind w:left="246" w:right="240" w:firstLine="141"/>
              <w:jc w:val="both"/>
              <w:rPr>
                <w:sz w:val="22"/>
              </w:rPr>
            </w:pPr>
            <w:r>
              <w:rPr>
                <w:spacing w:val="-2"/>
                <w:sz w:val="22"/>
              </w:rPr>
              <w:t>Follow standard </w:t>
            </w:r>
            <w:r>
              <w:rPr>
                <w:sz w:val="22"/>
              </w:rPr>
              <w:t>CMS</w:t>
            </w:r>
            <w:r>
              <w:rPr>
                <w:spacing w:val="-2"/>
                <w:sz w:val="22"/>
              </w:rPr>
              <w:t> </w:t>
            </w:r>
            <w:r>
              <w:rPr>
                <w:spacing w:val="-4"/>
                <w:sz w:val="22"/>
              </w:rPr>
              <w:t>64.9</w:t>
            </w:r>
          </w:p>
          <w:p>
            <w:pPr>
              <w:pStyle w:val="TableParagraph"/>
              <w:ind w:left="165" w:right="159"/>
              <w:jc w:val="center"/>
              <w:rPr>
                <w:sz w:val="22"/>
              </w:rPr>
            </w:pPr>
            <w:r>
              <w:rPr>
                <w:sz w:val="22"/>
              </w:rPr>
              <w:t>Category</w:t>
            </w:r>
            <w:r>
              <w:rPr>
                <w:spacing w:val="-14"/>
                <w:sz w:val="22"/>
              </w:rPr>
              <w:t> </w:t>
            </w:r>
            <w:r>
              <w:rPr>
                <w:sz w:val="22"/>
              </w:rPr>
              <w:t>of </w:t>
            </w:r>
            <w:r>
              <w:rPr>
                <w:spacing w:val="-2"/>
                <w:sz w:val="22"/>
              </w:rPr>
              <w:t>Service Definitions</w:t>
            </w:r>
          </w:p>
        </w:tc>
        <w:tc>
          <w:tcPr>
            <w:tcW w:w="1742"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8"/>
              <w:rPr>
                <w:sz w:val="35"/>
              </w:rPr>
            </w:pPr>
          </w:p>
          <w:p>
            <w:pPr>
              <w:pStyle w:val="TableParagraph"/>
              <w:ind w:left="125" w:right="115"/>
              <w:jc w:val="center"/>
              <w:rPr>
                <w:sz w:val="22"/>
              </w:rPr>
            </w:pPr>
            <w:r>
              <w:rPr>
                <w:sz w:val="22"/>
              </w:rPr>
              <w:t>Date</w:t>
            </w:r>
            <w:r>
              <w:rPr>
                <w:spacing w:val="-4"/>
                <w:sz w:val="22"/>
              </w:rPr>
              <w:t> </w:t>
            </w:r>
            <w:r>
              <w:rPr>
                <w:sz w:val="22"/>
              </w:rPr>
              <w:t>of</w:t>
            </w:r>
            <w:r>
              <w:rPr>
                <w:spacing w:val="-1"/>
                <w:sz w:val="22"/>
              </w:rPr>
              <w:t> </w:t>
            </w:r>
            <w:r>
              <w:rPr>
                <w:spacing w:val="-2"/>
                <w:sz w:val="22"/>
              </w:rPr>
              <w:t>service</w:t>
            </w:r>
          </w:p>
        </w:tc>
        <w:tc>
          <w:tcPr>
            <w:tcW w:w="1269"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8"/>
              <w:rPr>
                <w:sz w:val="35"/>
              </w:rPr>
            </w:pPr>
          </w:p>
          <w:p>
            <w:pPr>
              <w:pStyle w:val="TableParagraph"/>
              <w:ind w:left="91" w:right="86"/>
              <w:jc w:val="center"/>
              <w:rPr>
                <w:sz w:val="22"/>
              </w:rPr>
            </w:pPr>
            <w:r>
              <w:rPr>
                <w:spacing w:val="-5"/>
                <w:sz w:val="22"/>
              </w:rPr>
              <w:t>MAP</w:t>
            </w:r>
          </w:p>
        </w:tc>
        <w:tc>
          <w:tcPr>
            <w:tcW w:w="1403"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8"/>
              <w:rPr>
                <w:sz w:val="35"/>
              </w:rPr>
            </w:pPr>
          </w:p>
          <w:p>
            <w:pPr>
              <w:pStyle w:val="TableParagraph"/>
              <w:ind w:left="11"/>
              <w:jc w:val="center"/>
              <w:rPr>
                <w:sz w:val="22"/>
              </w:rPr>
            </w:pPr>
            <w:r>
              <w:rPr>
                <w:w w:val="100"/>
                <w:sz w:val="22"/>
              </w:rPr>
              <w:t>Y</w:t>
            </w:r>
          </w:p>
        </w:tc>
        <w:tc>
          <w:tcPr>
            <w:tcW w:w="1067"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8"/>
              <w:rPr>
                <w:sz w:val="35"/>
              </w:rPr>
            </w:pPr>
          </w:p>
          <w:p>
            <w:pPr>
              <w:pStyle w:val="TableParagraph"/>
              <w:ind w:left="185" w:right="171"/>
              <w:jc w:val="center"/>
              <w:rPr>
                <w:sz w:val="22"/>
              </w:rPr>
            </w:pPr>
            <w:r>
              <w:rPr>
                <w:spacing w:val="-2"/>
                <w:sz w:val="22"/>
              </w:rPr>
              <w:t>7/1/97</w:t>
            </w:r>
          </w:p>
        </w:tc>
        <w:tc>
          <w:tcPr>
            <w:tcW w:w="1218"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8"/>
              <w:rPr>
                <w:sz w:val="35"/>
              </w:rPr>
            </w:pPr>
          </w:p>
          <w:p>
            <w:pPr>
              <w:pStyle w:val="TableParagraph"/>
              <w:ind w:left="110"/>
              <w:rPr>
                <w:sz w:val="22"/>
              </w:rPr>
            </w:pPr>
            <w:r>
              <w:rPr>
                <w:spacing w:val="-2"/>
                <w:sz w:val="22"/>
              </w:rPr>
              <w:t>12/31/27</w:t>
            </w:r>
          </w:p>
        </w:tc>
      </w:tr>
    </w:tbl>
    <w:p>
      <w:pPr>
        <w:spacing w:after="0"/>
        <w:rPr>
          <w:sz w:val="22"/>
        </w:rPr>
        <w:sectPr>
          <w:pgSz w:w="15840" w:h="12240" w:orient="landscape"/>
          <w:pgMar w:header="0" w:footer="1201" w:top="1380" w:bottom="1400" w:left="820" w:right="1120"/>
        </w:sectPr>
      </w:pPr>
    </w:p>
    <w:p>
      <w:pPr>
        <w:pStyle w:val="BodyText"/>
        <w:spacing w:before="2"/>
        <w:rPr>
          <w:sz w:val="5"/>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38"/>
        <w:gridCol w:w="2304"/>
        <w:gridCol w:w="1519"/>
        <w:gridCol w:w="1406"/>
        <w:gridCol w:w="1742"/>
        <w:gridCol w:w="1269"/>
        <w:gridCol w:w="1403"/>
        <w:gridCol w:w="1067"/>
        <w:gridCol w:w="1218"/>
      </w:tblGrid>
      <w:tr>
        <w:trPr>
          <w:trHeight w:val="3035" w:hRule="atLeast"/>
        </w:trPr>
        <w:tc>
          <w:tcPr>
            <w:tcW w:w="1738" w:type="dxa"/>
          </w:tcPr>
          <w:p>
            <w:pPr>
              <w:pStyle w:val="TableParagraph"/>
              <w:rPr>
                <w:sz w:val="20"/>
              </w:rPr>
            </w:pPr>
          </w:p>
        </w:tc>
        <w:tc>
          <w:tcPr>
            <w:tcW w:w="2304" w:type="dxa"/>
          </w:tcPr>
          <w:p>
            <w:pPr>
              <w:pStyle w:val="TableParagraph"/>
              <w:ind w:left="196" w:right="188" w:firstLine="2"/>
              <w:jc w:val="center"/>
              <w:rPr>
                <w:sz w:val="22"/>
              </w:rPr>
            </w:pPr>
            <w:r>
              <w:rPr>
                <w:sz w:val="22"/>
              </w:rPr>
              <w:t>(or a higher age at which the state’s or Tribe’s foster care assistance ends), and were enrolled in Medicaid under that state’s</w:t>
            </w:r>
            <w:r>
              <w:rPr>
                <w:spacing w:val="-14"/>
                <w:sz w:val="22"/>
              </w:rPr>
              <w:t> </w:t>
            </w:r>
            <w:r>
              <w:rPr>
                <w:sz w:val="22"/>
              </w:rPr>
              <w:t>Medicaid</w:t>
            </w:r>
            <w:r>
              <w:rPr>
                <w:spacing w:val="-14"/>
                <w:sz w:val="22"/>
              </w:rPr>
              <w:t> </w:t>
            </w:r>
            <w:r>
              <w:rPr>
                <w:sz w:val="22"/>
              </w:rPr>
              <w:t>state plan or 1115 demonstration at any time</w:t>
            </w:r>
            <w:r>
              <w:rPr>
                <w:spacing w:val="-10"/>
                <w:sz w:val="22"/>
              </w:rPr>
              <w:t> </w:t>
            </w:r>
            <w:r>
              <w:rPr>
                <w:sz w:val="22"/>
              </w:rPr>
              <w:t>during</w:t>
            </w:r>
            <w:r>
              <w:rPr>
                <w:spacing w:val="-12"/>
                <w:sz w:val="22"/>
              </w:rPr>
              <w:t> </w:t>
            </w:r>
            <w:r>
              <w:rPr>
                <w:sz w:val="22"/>
              </w:rPr>
              <w:t>the</w:t>
            </w:r>
            <w:r>
              <w:rPr>
                <w:spacing w:val="-10"/>
                <w:sz w:val="22"/>
              </w:rPr>
              <w:t> </w:t>
            </w:r>
            <w:r>
              <w:rPr>
                <w:sz w:val="22"/>
              </w:rPr>
              <w:t>foster care period in which</w:t>
            </w:r>
          </w:p>
          <w:p>
            <w:pPr>
              <w:pStyle w:val="TableParagraph"/>
              <w:spacing w:line="233" w:lineRule="exact"/>
              <w:ind w:left="110" w:right="102"/>
              <w:jc w:val="center"/>
              <w:rPr>
                <w:sz w:val="22"/>
              </w:rPr>
            </w:pPr>
            <w:r>
              <w:rPr>
                <w:sz w:val="22"/>
              </w:rPr>
              <w:t>they</w:t>
            </w:r>
            <w:r>
              <w:rPr>
                <w:spacing w:val="-6"/>
                <w:sz w:val="22"/>
              </w:rPr>
              <w:t> </w:t>
            </w:r>
            <w:r>
              <w:rPr>
                <w:sz w:val="22"/>
              </w:rPr>
              <w:t>aged</w:t>
            </w:r>
            <w:r>
              <w:rPr>
                <w:spacing w:val="-1"/>
                <w:sz w:val="22"/>
              </w:rPr>
              <w:t> </w:t>
            </w:r>
            <w:r>
              <w:rPr>
                <w:spacing w:val="-4"/>
                <w:sz w:val="22"/>
              </w:rPr>
              <w:t>out.</w:t>
            </w:r>
          </w:p>
        </w:tc>
        <w:tc>
          <w:tcPr>
            <w:tcW w:w="1519" w:type="dxa"/>
          </w:tcPr>
          <w:p>
            <w:pPr>
              <w:pStyle w:val="TableParagraph"/>
              <w:rPr>
                <w:sz w:val="20"/>
              </w:rPr>
            </w:pPr>
          </w:p>
        </w:tc>
        <w:tc>
          <w:tcPr>
            <w:tcW w:w="1406" w:type="dxa"/>
          </w:tcPr>
          <w:p>
            <w:pPr>
              <w:pStyle w:val="TableParagraph"/>
              <w:rPr>
                <w:sz w:val="20"/>
              </w:rPr>
            </w:pPr>
          </w:p>
        </w:tc>
        <w:tc>
          <w:tcPr>
            <w:tcW w:w="1742" w:type="dxa"/>
          </w:tcPr>
          <w:p>
            <w:pPr>
              <w:pStyle w:val="TableParagraph"/>
              <w:rPr>
                <w:sz w:val="20"/>
              </w:rPr>
            </w:pPr>
          </w:p>
        </w:tc>
        <w:tc>
          <w:tcPr>
            <w:tcW w:w="1269" w:type="dxa"/>
          </w:tcPr>
          <w:p>
            <w:pPr>
              <w:pStyle w:val="TableParagraph"/>
              <w:rPr>
                <w:sz w:val="20"/>
              </w:rPr>
            </w:pPr>
          </w:p>
        </w:tc>
        <w:tc>
          <w:tcPr>
            <w:tcW w:w="1403" w:type="dxa"/>
          </w:tcPr>
          <w:p>
            <w:pPr>
              <w:pStyle w:val="TableParagraph"/>
              <w:rPr>
                <w:sz w:val="20"/>
              </w:rPr>
            </w:pPr>
          </w:p>
        </w:tc>
        <w:tc>
          <w:tcPr>
            <w:tcW w:w="1067" w:type="dxa"/>
          </w:tcPr>
          <w:p>
            <w:pPr>
              <w:pStyle w:val="TableParagraph"/>
              <w:rPr>
                <w:sz w:val="20"/>
              </w:rPr>
            </w:pPr>
          </w:p>
        </w:tc>
        <w:tc>
          <w:tcPr>
            <w:tcW w:w="1218" w:type="dxa"/>
          </w:tcPr>
          <w:p>
            <w:pPr>
              <w:pStyle w:val="TableParagraph"/>
              <w:rPr>
                <w:sz w:val="20"/>
              </w:rPr>
            </w:pPr>
          </w:p>
        </w:tc>
      </w:tr>
      <w:tr>
        <w:trPr>
          <w:trHeight w:val="2022" w:hRule="atLeast"/>
        </w:trPr>
        <w:tc>
          <w:tcPr>
            <w:tcW w:w="1738" w:type="dxa"/>
          </w:tcPr>
          <w:p>
            <w:pPr>
              <w:pStyle w:val="TableParagraph"/>
              <w:rPr>
                <w:sz w:val="24"/>
              </w:rPr>
            </w:pPr>
          </w:p>
          <w:p>
            <w:pPr>
              <w:pStyle w:val="TableParagraph"/>
              <w:rPr>
                <w:sz w:val="24"/>
              </w:rPr>
            </w:pPr>
          </w:p>
          <w:p>
            <w:pPr>
              <w:pStyle w:val="TableParagraph"/>
              <w:spacing w:before="10"/>
              <w:rPr>
                <w:sz w:val="28"/>
              </w:rPr>
            </w:pPr>
          </w:p>
          <w:p>
            <w:pPr>
              <w:pStyle w:val="TableParagraph"/>
              <w:ind w:left="104" w:right="98"/>
              <w:jc w:val="center"/>
              <w:rPr>
                <w:b/>
                <w:sz w:val="22"/>
              </w:rPr>
            </w:pPr>
            <w:r>
              <w:rPr>
                <w:b/>
                <w:spacing w:val="-5"/>
                <w:sz w:val="22"/>
              </w:rPr>
              <w:t>SUD</w:t>
            </w:r>
          </w:p>
        </w:tc>
        <w:tc>
          <w:tcPr>
            <w:tcW w:w="2304" w:type="dxa"/>
          </w:tcPr>
          <w:p>
            <w:pPr>
              <w:pStyle w:val="TableParagraph"/>
              <w:ind w:left="107" w:right="98" w:firstLine="1"/>
              <w:jc w:val="center"/>
              <w:rPr>
                <w:sz w:val="22"/>
              </w:rPr>
            </w:pPr>
            <w:r>
              <w:rPr>
                <w:sz w:val="22"/>
              </w:rPr>
              <w:t>Report all medical assistance</w:t>
            </w:r>
            <w:r>
              <w:rPr>
                <w:spacing w:val="-10"/>
                <w:sz w:val="22"/>
              </w:rPr>
              <w:t> </w:t>
            </w:r>
            <w:r>
              <w:rPr>
                <w:sz w:val="22"/>
              </w:rPr>
              <w:t>expenditures for</w:t>
            </w:r>
            <w:r>
              <w:rPr>
                <w:spacing w:val="-12"/>
                <w:sz w:val="22"/>
              </w:rPr>
              <w:t> </w:t>
            </w:r>
            <w:r>
              <w:rPr>
                <w:sz w:val="22"/>
              </w:rPr>
              <w:t>services</w:t>
            </w:r>
            <w:r>
              <w:rPr>
                <w:spacing w:val="-11"/>
                <w:sz w:val="22"/>
              </w:rPr>
              <w:t> </w:t>
            </w:r>
            <w:r>
              <w:rPr>
                <w:sz w:val="22"/>
              </w:rPr>
              <w:t>provided</w:t>
            </w:r>
            <w:r>
              <w:rPr>
                <w:spacing w:val="-13"/>
                <w:sz w:val="22"/>
              </w:rPr>
              <w:t> </w:t>
            </w:r>
            <w:r>
              <w:rPr>
                <w:sz w:val="22"/>
              </w:rPr>
              <w:t>to an individual while they are a patient in an IMD for SUD</w:t>
            </w:r>
          </w:p>
          <w:p>
            <w:pPr>
              <w:pStyle w:val="TableParagraph"/>
              <w:spacing w:line="252" w:lineRule="exact"/>
              <w:ind w:left="115" w:right="102"/>
              <w:jc w:val="center"/>
              <w:rPr>
                <w:sz w:val="22"/>
              </w:rPr>
            </w:pPr>
            <w:r>
              <w:rPr>
                <w:sz w:val="22"/>
              </w:rPr>
              <w:t>treatment</w:t>
            </w:r>
            <w:r>
              <w:rPr>
                <w:spacing w:val="-14"/>
                <w:sz w:val="22"/>
              </w:rPr>
              <w:t> </w:t>
            </w:r>
            <w:r>
              <w:rPr>
                <w:sz w:val="22"/>
              </w:rPr>
              <w:t>described</w:t>
            </w:r>
            <w:r>
              <w:rPr>
                <w:spacing w:val="-14"/>
                <w:sz w:val="22"/>
              </w:rPr>
              <w:t> </w:t>
            </w:r>
            <w:r>
              <w:rPr>
                <w:sz w:val="22"/>
              </w:rPr>
              <w:t>in Table 6of Section 6.</w:t>
            </w:r>
          </w:p>
        </w:tc>
        <w:tc>
          <w:tcPr>
            <w:tcW w:w="1519" w:type="dxa"/>
          </w:tcPr>
          <w:p>
            <w:pPr>
              <w:pStyle w:val="TableParagraph"/>
              <w:rPr>
                <w:sz w:val="20"/>
              </w:rPr>
            </w:pPr>
          </w:p>
        </w:tc>
        <w:tc>
          <w:tcPr>
            <w:tcW w:w="1406" w:type="dxa"/>
          </w:tcPr>
          <w:p>
            <w:pPr>
              <w:pStyle w:val="TableParagraph"/>
              <w:spacing w:before="11"/>
              <w:rPr>
                <w:sz w:val="21"/>
              </w:rPr>
            </w:pPr>
          </w:p>
          <w:p>
            <w:pPr>
              <w:pStyle w:val="TableParagraph"/>
              <w:ind w:left="246" w:right="240" w:firstLine="141"/>
              <w:jc w:val="both"/>
              <w:rPr>
                <w:sz w:val="22"/>
              </w:rPr>
            </w:pPr>
            <w:r>
              <w:rPr>
                <w:spacing w:val="-2"/>
                <w:sz w:val="22"/>
              </w:rPr>
              <w:t>Follow standard </w:t>
            </w:r>
            <w:r>
              <w:rPr>
                <w:sz w:val="22"/>
              </w:rPr>
              <w:t>CMS</w:t>
            </w:r>
            <w:r>
              <w:rPr>
                <w:spacing w:val="-2"/>
                <w:sz w:val="22"/>
              </w:rPr>
              <w:t> </w:t>
            </w:r>
            <w:r>
              <w:rPr>
                <w:spacing w:val="-4"/>
                <w:sz w:val="22"/>
              </w:rPr>
              <w:t>64.9</w:t>
            </w:r>
          </w:p>
          <w:p>
            <w:pPr>
              <w:pStyle w:val="TableParagraph"/>
              <w:ind w:left="165" w:right="159"/>
              <w:jc w:val="center"/>
              <w:rPr>
                <w:sz w:val="22"/>
              </w:rPr>
            </w:pPr>
            <w:r>
              <w:rPr>
                <w:sz w:val="22"/>
              </w:rPr>
              <w:t>Category</w:t>
            </w:r>
            <w:r>
              <w:rPr>
                <w:spacing w:val="-14"/>
                <w:sz w:val="22"/>
              </w:rPr>
              <w:t> </w:t>
            </w:r>
            <w:r>
              <w:rPr>
                <w:sz w:val="22"/>
              </w:rPr>
              <w:t>of </w:t>
            </w:r>
            <w:r>
              <w:rPr>
                <w:spacing w:val="-2"/>
                <w:sz w:val="22"/>
              </w:rPr>
              <w:t>Service Definitions</w:t>
            </w:r>
          </w:p>
        </w:tc>
        <w:tc>
          <w:tcPr>
            <w:tcW w:w="1742" w:type="dxa"/>
          </w:tcPr>
          <w:p>
            <w:pPr>
              <w:pStyle w:val="TableParagraph"/>
              <w:rPr>
                <w:sz w:val="24"/>
              </w:rPr>
            </w:pPr>
          </w:p>
          <w:p>
            <w:pPr>
              <w:pStyle w:val="TableParagraph"/>
              <w:rPr>
                <w:sz w:val="24"/>
              </w:rPr>
            </w:pPr>
          </w:p>
          <w:p>
            <w:pPr>
              <w:pStyle w:val="TableParagraph"/>
              <w:spacing w:before="9"/>
              <w:rPr>
                <w:sz w:val="28"/>
              </w:rPr>
            </w:pPr>
          </w:p>
          <w:p>
            <w:pPr>
              <w:pStyle w:val="TableParagraph"/>
              <w:ind w:left="125" w:right="115"/>
              <w:jc w:val="center"/>
              <w:rPr>
                <w:sz w:val="22"/>
              </w:rPr>
            </w:pPr>
            <w:r>
              <w:rPr>
                <w:sz w:val="22"/>
              </w:rPr>
              <w:t>Date</w:t>
            </w:r>
            <w:r>
              <w:rPr>
                <w:spacing w:val="-4"/>
                <w:sz w:val="22"/>
              </w:rPr>
              <w:t> </w:t>
            </w:r>
            <w:r>
              <w:rPr>
                <w:sz w:val="22"/>
              </w:rPr>
              <w:t>of</w:t>
            </w:r>
            <w:r>
              <w:rPr>
                <w:spacing w:val="-1"/>
                <w:sz w:val="22"/>
              </w:rPr>
              <w:t> </w:t>
            </w:r>
            <w:r>
              <w:rPr>
                <w:spacing w:val="-2"/>
                <w:sz w:val="22"/>
              </w:rPr>
              <w:t>service</w:t>
            </w:r>
          </w:p>
        </w:tc>
        <w:tc>
          <w:tcPr>
            <w:tcW w:w="1269" w:type="dxa"/>
          </w:tcPr>
          <w:p>
            <w:pPr>
              <w:pStyle w:val="TableParagraph"/>
              <w:rPr>
                <w:sz w:val="24"/>
              </w:rPr>
            </w:pPr>
          </w:p>
          <w:p>
            <w:pPr>
              <w:pStyle w:val="TableParagraph"/>
              <w:rPr>
                <w:sz w:val="24"/>
              </w:rPr>
            </w:pPr>
          </w:p>
          <w:p>
            <w:pPr>
              <w:pStyle w:val="TableParagraph"/>
              <w:spacing w:before="9"/>
              <w:rPr>
                <w:sz w:val="28"/>
              </w:rPr>
            </w:pPr>
          </w:p>
          <w:p>
            <w:pPr>
              <w:pStyle w:val="TableParagraph"/>
              <w:ind w:left="91" w:right="86"/>
              <w:jc w:val="center"/>
              <w:rPr>
                <w:sz w:val="22"/>
              </w:rPr>
            </w:pPr>
            <w:r>
              <w:rPr>
                <w:spacing w:val="-5"/>
                <w:sz w:val="22"/>
              </w:rPr>
              <w:t>MAP</w:t>
            </w:r>
          </w:p>
        </w:tc>
        <w:tc>
          <w:tcPr>
            <w:tcW w:w="1403" w:type="dxa"/>
          </w:tcPr>
          <w:p>
            <w:pPr>
              <w:pStyle w:val="TableParagraph"/>
              <w:rPr>
                <w:sz w:val="24"/>
              </w:rPr>
            </w:pPr>
          </w:p>
          <w:p>
            <w:pPr>
              <w:pStyle w:val="TableParagraph"/>
              <w:rPr>
                <w:sz w:val="24"/>
              </w:rPr>
            </w:pPr>
          </w:p>
          <w:p>
            <w:pPr>
              <w:pStyle w:val="TableParagraph"/>
              <w:spacing w:before="9"/>
              <w:rPr>
                <w:sz w:val="28"/>
              </w:rPr>
            </w:pPr>
          </w:p>
          <w:p>
            <w:pPr>
              <w:pStyle w:val="TableParagraph"/>
              <w:ind w:left="11"/>
              <w:jc w:val="center"/>
              <w:rPr>
                <w:sz w:val="22"/>
              </w:rPr>
            </w:pPr>
            <w:r>
              <w:rPr>
                <w:w w:val="100"/>
                <w:sz w:val="22"/>
              </w:rPr>
              <w:t>Y</w:t>
            </w:r>
          </w:p>
        </w:tc>
        <w:tc>
          <w:tcPr>
            <w:tcW w:w="1067" w:type="dxa"/>
          </w:tcPr>
          <w:p>
            <w:pPr>
              <w:pStyle w:val="TableParagraph"/>
              <w:rPr>
                <w:sz w:val="24"/>
              </w:rPr>
            </w:pPr>
          </w:p>
          <w:p>
            <w:pPr>
              <w:pStyle w:val="TableParagraph"/>
              <w:rPr>
                <w:sz w:val="24"/>
              </w:rPr>
            </w:pPr>
          </w:p>
          <w:p>
            <w:pPr>
              <w:pStyle w:val="TableParagraph"/>
              <w:rPr>
                <w:sz w:val="24"/>
              </w:rPr>
            </w:pPr>
          </w:p>
          <w:p>
            <w:pPr>
              <w:pStyle w:val="TableParagraph"/>
              <w:spacing w:before="183"/>
              <w:ind w:left="185" w:right="171"/>
              <w:jc w:val="center"/>
              <w:rPr>
                <w:sz w:val="22"/>
              </w:rPr>
            </w:pPr>
            <w:r>
              <w:rPr>
                <w:spacing w:val="-2"/>
                <w:sz w:val="22"/>
              </w:rPr>
              <w:t>10/1/22</w:t>
            </w:r>
          </w:p>
        </w:tc>
        <w:tc>
          <w:tcPr>
            <w:tcW w:w="1218" w:type="dxa"/>
          </w:tcPr>
          <w:p>
            <w:pPr>
              <w:pStyle w:val="TableParagraph"/>
              <w:rPr>
                <w:sz w:val="24"/>
              </w:rPr>
            </w:pPr>
          </w:p>
          <w:p>
            <w:pPr>
              <w:pStyle w:val="TableParagraph"/>
              <w:rPr>
                <w:sz w:val="24"/>
              </w:rPr>
            </w:pPr>
          </w:p>
          <w:p>
            <w:pPr>
              <w:pStyle w:val="TableParagraph"/>
              <w:rPr>
                <w:sz w:val="24"/>
              </w:rPr>
            </w:pPr>
          </w:p>
          <w:p>
            <w:pPr>
              <w:pStyle w:val="TableParagraph"/>
              <w:spacing w:before="183"/>
              <w:ind w:left="221"/>
              <w:rPr>
                <w:sz w:val="22"/>
              </w:rPr>
            </w:pPr>
            <w:r>
              <w:rPr>
                <w:spacing w:val="-2"/>
                <w:sz w:val="22"/>
              </w:rPr>
              <w:t>12/31/27</w:t>
            </w:r>
          </w:p>
        </w:tc>
      </w:tr>
      <w:tr>
        <w:trPr>
          <w:trHeight w:val="4048" w:hRule="atLeast"/>
        </w:trPr>
        <w:tc>
          <w:tcPr>
            <w:tcW w:w="1738"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
              <w:rPr>
                <w:sz w:val="34"/>
              </w:rPr>
            </w:pPr>
          </w:p>
          <w:p>
            <w:pPr>
              <w:pStyle w:val="TableParagraph"/>
              <w:spacing w:line="252" w:lineRule="exact"/>
              <w:ind w:left="405"/>
              <w:rPr>
                <w:b/>
                <w:sz w:val="22"/>
              </w:rPr>
            </w:pPr>
            <w:r>
              <w:rPr>
                <w:b/>
                <w:sz w:val="22"/>
              </w:rPr>
              <w:t>SMI</w:t>
            </w:r>
            <w:r>
              <w:rPr>
                <w:b/>
                <w:spacing w:val="-1"/>
                <w:sz w:val="22"/>
              </w:rPr>
              <w:t> </w:t>
            </w:r>
            <w:r>
              <w:rPr>
                <w:b/>
                <w:spacing w:val="-5"/>
                <w:sz w:val="22"/>
              </w:rPr>
              <w:t>IMD</w:t>
            </w:r>
          </w:p>
          <w:p>
            <w:pPr>
              <w:pStyle w:val="TableParagraph"/>
              <w:spacing w:line="252" w:lineRule="exact"/>
              <w:ind w:left="482"/>
              <w:rPr>
                <w:b/>
                <w:sz w:val="22"/>
              </w:rPr>
            </w:pPr>
            <w:r>
              <w:rPr>
                <w:b/>
                <w:spacing w:val="-2"/>
                <w:sz w:val="22"/>
              </w:rPr>
              <w:t>Services</w:t>
            </w:r>
          </w:p>
        </w:tc>
        <w:tc>
          <w:tcPr>
            <w:tcW w:w="2304" w:type="dxa"/>
          </w:tcPr>
          <w:p>
            <w:pPr>
              <w:pStyle w:val="TableParagraph"/>
              <w:spacing w:before="1"/>
              <w:ind w:left="119" w:right="110" w:firstLine="1"/>
              <w:jc w:val="center"/>
              <w:rPr>
                <w:sz w:val="22"/>
              </w:rPr>
            </w:pPr>
            <w:r>
              <w:rPr>
                <w:sz w:val="22"/>
              </w:rPr>
              <w:t>Report all medical assistance</w:t>
            </w:r>
            <w:r>
              <w:rPr>
                <w:spacing w:val="-14"/>
                <w:sz w:val="22"/>
              </w:rPr>
              <w:t> </w:t>
            </w:r>
            <w:r>
              <w:rPr>
                <w:sz w:val="22"/>
              </w:rPr>
              <w:t>expenditures for costs of medical assistance provided to Base Disabled, Base </w:t>
            </w:r>
            <w:r>
              <w:rPr>
                <w:spacing w:val="-2"/>
                <w:sz w:val="22"/>
              </w:rPr>
              <w:t>Families, CommonHealth, </w:t>
            </w:r>
            <w:r>
              <w:rPr>
                <w:sz w:val="22"/>
              </w:rPr>
              <w:t>eHIV/FA, 1902(r)(2)</w:t>
            </w:r>
          </w:p>
          <w:p>
            <w:pPr>
              <w:pStyle w:val="TableParagraph"/>
              <w:ind w:left="125" w:right="113"/>
              <w:jc w:val="center"/>
              <w:rPr>
                <w:sz w:val="22"/>
              </w:rPr>
            </w:pPr>
            <w:r>
              <w:rPr>
                <w:sz w:val="22"/>
              </w:rPr>
              <w:t>Disabled, 1902(r)(2) BCCDP, and New Adult Group individuals while they are</w:t>
            </w:r>
            <w:r>
              <w:rPr>
                <w:spacing w:val="-7"/>
                <w:sz w:val="22"/>
              </w:rPr>
              <w:t> </w:t>
            </w:r>
            <w:r>
              <w:rPr>
                <w:sz w:val="22"/>
              </w:rPr>
              <w:t>a</w:t>
            </w:r>
            <w:r>
              <w:rPr>
                <w:spacing w:val="-8"/>
                <w:sz w:val="22"/>
              </w:rPr>
              <w:t> </w:t>
            </w:r>
            <w:r>
              <w:rPr>
                <w:sz w:val="22"/>
              </w:rPr>
              <w:t>patient</w:t>
            </w:r>
            <w:r>
              <w:rPr>
                <w:spacing w:val="-8"/>
                <w:sz w:val="22"/>
              </w:rPr>
              <w:t> </w:t>
            </w:r>
            <w:r>
              <w:rPr>
                <w:sz w:val="22"/>
              </w:rPr>
              <w:t>in</w:t>
            </w:r>
            <w:r>
              <w:rPr>
                <w:spacing w:val="-7"/>
                <w:sz w:val="22"/>
              </w:rPr>
              <w:t> </w:t>
            </w:r>
            <w:r>
              <w:rPr>
                <w:sz w:val="22"/>
              </w:rPr>
              <w:t>an</w:t>
            </w:r>
            <w:r>
              <w:rPr>
                <w:spacing w:val="-9"/>
                <w:sz w:val="22"/>
              </w:rPr>
              <w:t> </w:t>
            </w:r>
            <w:r>
              <w:rPr>
                <w:sz w:val="22"/>
              </w:rPr>
              <w:t>IMD for SMI treatment that could</w:t>
            </w:r>
            <w:r>
              <w:rPr>
                <w:spacing w:val="-7"/>
                <w:sz w:val="22"/>
              </w:rPr>
              <w:t> </w:t>
            </w:r>
            <w:r>
              <w:rPr>
                <w:sz w:val="22"/>
              </w:rPr>
              <w:t>be</w:t>
            </w:r>
            <w:r>
              <w:rPr>
                <w:spacing w:val="-1"/>
                <w:sz w:val="22"/>
              </w:rPr>
              <w:t> </w:t>
            </w:r>
            <w:r>
              <w:rPr>
                <w:sz w:val="22"/>
              </w:rPr>
              <w:t>covered,</w:t>
            </w:r>
            <w:r>
              <w:rPr>
                <w:spacing w:val="-1"/>
                <w:sz w:val="22"/>
              </w:rPr>
              <w:t> </w:t>
            </w:r>
            <w:r>
              <w:rPr>
                <w:spacing w:val="-4"/>
                <w:sz w:val="22"/>
              </w:rPr>
              <w:t>were</w:t>
            </w:r>
          </w:p>
          <w:p>
            <w:pPr>
              <w:pStyle w:val="TableParagraph"/>
              <w:spacing w:line="233" w:lineRule="exact"/>
              <w:ind w:left="109" w:right="102"/>
              <w:jc w:val="center"/>
              <w:rPr>
                <w:sz w:val="22"/>
              </w:rPr>
            </w:pPr>
            <w:r>
              <w:rPr>
                <w:sz w:val="22"/>
              </w:rPr>
              <w:t>it</w:t>
            </w:r>
            <w:r>
              <w:rPr>
                <w:spacing w:val="-2"/>
                <w:sz w:val="22"/>
              </w:rPr>
              <w:t> </w:t>
            </w:r>
            <w:r>
              <w:rPr>
                <w:sz w:val="22"/>
              </w:rPr>
              <w:t>not</w:t>
            </w:r>
            <w:r>
              <w:rPr>
                <w:spacing w:val="-2"/>
                <w:sz w:val="22"/>
              </w:rPr>
              <w:t> </w:t>
            </w:r>
            <w:r>
              <w:rPr>
                <w:sz w:val="22"/>
              </w:rPr>
              <w:t>for</w:t>
            </w:r>
            <w:r>
              <w:rPr>
                <w:spacing w:val="-2"/>
                <w:sz w:val="22"/>
              </w:rPr>
              <w:t> </w:t>
            </w:r>
            <w:r>
              <w:rPr>
                <w:sz w:val="22"/>
              </w:rPr>
              <w:t>the </w:t>
            </w:r>
            <w:r>
              <w:rPr>
                <w:spacing w:val="-5"/>
                <w:sz w:val="22"/>
              </w:rPr>
              <w:t>IMD</w:t>
            </w:r>
          </w:p>
        </w:tc>
        <w:tc>
          <w:tcPr>
            <w:tcW w:w="1519" w:type="dxa"/>
          </w:tcPr>
          <w:p>
            <w:pPr>
              <w:pStyle w:val="TableParagraph"/>
              <w:rPr>
                <w:sz w:val="20"/>
              </w:rPr>
            </w:pPr>
          </w:p>
        </w:tc>
        <w:tc>
          <w:tcPr>
            <w:tcW w:w="1406"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61"/>
              <w:ind w:left="246" w:right="240" w:firstLine="141"/>
              <w:jc w:val="both"/>
              <w:rPr>
                <w:sz w:val="22"/>
              </w:rPr>
            </w:pPr>
            <w:r>
              <w:rPr>
                <w:spacing w:val="-2"/>
                <w:sz w:val="22"/>
              </w:rPr>
              <w:t>Follow standard </w:t>
            </w:r>
            <w:r>
              <w:rPr>
                <w:sz w:val="22"/>
              </w:rPr>
              <w:t>CMS</w:t>
            </w:r>
            <w:r>
              <w:rPr>
                <w:spacing w:val="-2"/>
                <w:sz w:val="22"/>
              </w:rPr>
              <w:t> </w:t>
            </w:r>
            <w:r>
              <w:rPr>
                <w:spacing w:val="-4"/>
                <w:sz w:val="22"/>
              </w:rPr>
              <w:t>64.9</w:t>
            </w:r>
          </w:p>
          <w:p>
            <w:pPr>
              <w:pStyle w:val="TableParagraph"/>
              <w:ind w:left="165" w:right="159"/>
              <w:jc w:val="center"/>
              <w:rPr>
                <w:sz w:val="22"/>
              </w:rPr>
            </w:pPr>
            <w:r>
              <w:rPr>
                <w:sz w:val="22"/>
              </w:rPr>
              <w:t>Category</w:t>
            </w:r>
            <w:r>
              <w:rPr>
                <w:spacing w:val="-14"/>
                <w:sz w:val="22"/>
              </w:rPr>
              <w:t> </w:t>
            </w:r>
            <w:r>
              <w:rPr>
                <w:sz w:val="22"/>
              </w:rPr>
              <w:t>of </w:t>
            </w:r>
            <w:r>
              <w:rPr>
                <w:spacing w:val="-2"/>
                <w:sz w:val="22"/>
              </w:rPr>
              <w:t>Service Definitions</w:t>
            </w:r>
          </w:p>
        </w:tc>
        <w:tc>
          <w:tcPr>
            <w:tcW w:w="1742"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0"/>
              <w:rPr>
                <w:sz w:val="20"/>
              </w:rPr>
            </w:pPr>
          </w:p>
          <w:p>
            <w:pPr>
              <w:pStyle w:val="TableParagraph"/>
              <w:ind w:left="125" w:right="115"/>
              <w:jc w:val="center"/>
              <w:rPr>
                <w:sz w:val="22"/>
              </w:rPr>
            </w:pPr>
            <w:r>
              <w:rPr>
                <w:sz w:val="22"/>
              </w:rPr>
              <w:t>Date</w:t>
            </w:r>
            <w:r>
              <w:rPr>
                <w:spacing w:val="-4"/>
                <w:sz w:val="22"/>
              </w:rPr>
              <w:t> </w:t>
            </w:r>
            <w:r>
              <w:rPr>
                <w:sz w:val="22"/>
              </w:rPr>
              <w:t>of</w:t>
            </w:r>
            <w:r>
              <w:rPr>
                <w:spacing w:val="-1"/>
                <w:sz w:val="22"/>
              </w:rPr>
              <w:t> </w:t>
            </w:r>
            <w:r>
              <w:rPr>
                <w:spacing w:val="-2"/>
                <w:sz w:val="22"/>
              </w:rPr>
              <w:t>service</w:t>
            </w:r>
          </w:p>
        </w:tc>
        <w:tc>
          <w:tcPr>
            <w:tcW w:w="1269"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0"/>
              <w:rPr>
                <w:sz w:val="20"/>
              </w:rPr>
            </w:pPr>
          </w:p>
          <w:p>
            <w:pPr>
              <w:pStyle w:val="TableParagraph"/>
              <w:ind w:left="91" w:right="86"/>
              <w:jc w:val="center"/>
              <w:rPr>
                <w:sz w:val="22"/>
              </w:rPr>
            </w:pPr>
            <w:r>
              <w:rPr>
                <w:spacing w:val="-5"/>
                <w:sz w:val="22"/>
              </w:rPr>
              <w:t>MAP</w:t>
            </w:r>
          </w:p>
        </w:tc>
        <w:tc>
          <w:tcPr>
            <w:tcW w:w="1403"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0"/>
              <w:rPr>
                <w:sz w:val="20"/>
              </w:rPr>
            </w:pPr>
          </w:p>
          <w:p>
            <w:pPr>
              <w:pStyle w:val="TableParagraph"/>
              <w:ind w:left="11"/>
              <w:jc w:val="center"/>
              <w:rPr>
                <w:sz w:val="22"/>
              </w:rPr>
            </w:pPr>
            <w:r>
              <w:rPr>
                <w:w w:val="100"/>
                <w:sz w:val="22"/>
              </w:rPr>
              <w:t>Y</w:t>
            </w:r>
          </w:p>
        </w:tc>
        <w:tc>
          <w:tcPr>
            <w:tcW w:w="1067"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0"/>
              <w:rPr>
                <w:sz w:val="20"/>
              </w:rPr>
            </w:pPr>
          </w:p>
          <w:p>
            <w:pPr>
              <w:pStyle w:val="TableParagraph"/>
              <w:ind w:left="185" w:right="171"/>
              <w:jc w:val="center"/>
              <w:rPr>
                <w:sz w:val="22"/>
              </w:rPr>
            </w:pPr>
            <w:r>
              <w:rPr>
                <w:spacing w:val="-2"/>
                <w:sz w:val="22"/>
              </w:rPr>
              <w:t>8/11/22</w:t>
            </w:r>
          </w:p>
        </w:tc>
        <w:tc>
          <w:tcPr>
            <w:tcW w:w="1218"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0"/>
              <w:rPr>
                <w:sz w:val="20"/>
              </w:rPr>
            </w:pPr>
          </w:p>
          <w:p>
            <w:pPr>
              <w:pStyle w:val="TableParagraph"/>
              <w:ind w:left="110"/>
              <w:rPr>
                <w:sz w:val="22"/>
              </w:rPr>
            </w:pPr>
            <w:r>
              <w:rPr>
                <w:spacing w:val="-2"/>
                <w:sz w:val="22"/>
              </w:rPr>
              <w:t>12/31/27</w:t>
            </w:r>
          </w:p>
        </w:tc>
      </w:tr>
    </w:tbl>
    <w:p>
      <w:pPr>
        <w:spacing w:after="0"/>
        <w:rPr>
          <w:sz w:val="22"/>
        </w:rPr>
        <w:sectPr>
          <w:pgSz w:w="15840" w:h="12240" w:orient="landscape"/>
          <w:pgMar w:header="0" w:footer="1201" w:top="1380" w:bottom="1400" w:left="820" w:right="1120"/>
        </w:sectPr>
      </w:pPr>
    </w:p>
    <w:p>
      <w:pPr>
        <w:pStyle w:val="BodyText"/>
        <w:spacing w:before="2"/>
        <w:rPr>
          <w:sz w:val="5"/>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38"/>
        <w:gridCol w:w="2304"/>
        <w:gridCol w:w="1519"/>
        <w:gridCol w:w="1406"/>
        <w:gridCol w:w="1742"/>
        <w:gridCol w:w="1269"/>
        <w:gridCol w:w="1403"/>
        <w:gridCol w:w="1067"/>
        <w:gridCol w:w="1218"/>
      </w:tblGrid>
      <w:tr>
        <w:trPr>
          <w:trHeight w:val="1012" w:hRule="atLeast"/>
        </w:trPr>
        <w:tc>
          <w:tcPr>
            <w:tcW w:w="1738" w:type="dxa"/>
          </w:tcPr>
          <w:p>
            <w:pPr>
              <w:pStyle w:val="TableParagraph"/>
              <w:rPr>
                <w:sz w:val="20"/>
              </w:rPr>
            </w:pPr>
          </w:p>
        </w:tc>
        <w:tc>
          <w:tcPr>
            <w:tcW w:w="2304" w:type="dxa"/>
          </w:tcPr>
          <w:p>
            <w:pPr>
              <w:pStyle w:val="TableParagraph"/>
              <w:ind w:left="162" w:right="153" w:hanging="1"/>
              <w:jc w:val="center"/>
              <w:rPr>
                <w:sz w:val="22"/>
              </w:rPr>
            </w:pPr>
            <w:r>
              <w:rPr>
                <w:sz w:val="22"/>
              </w:rPr>
              <w:t>prohibition under the state</w:t>
            </w:r>
            <w:r>
              <w:rPr>
                <w:spacing w:val="-11"/>
                <w:sz w:val="22"/>
              </w:rPr>
              <w:t> </w:t>
            </w:r>
            <w:r>
              <w:rPr>
                <w:sz w:val="22"/>
              </w:rPr>
              <w:t>plan</w:t>
            </w:r>
            <w:r>
              <w:rPr>
                <w:spacing w:val="-14"/>
                <w:sz w:val="22"/>
              </w:rPr>
              <w:t> </w:t>
            </w:r>
            <w:r>
              <w:rPr>
                <w:sz w:val="22"/>
              </w:rPr>
              <w:t>as</w:t>
            </w:r>
            <w:r>
              <w:rPr>
                <w:spacing w:val="-11"/>
                <w:sz w:val="22"/>
              </w:rPr>
              <w:t> </w:t>
            </w:r>
            <w:r>
              <w:rPr>
                <w:sz w:val="22"/>
              </w:rPr>
              <w:t>described</w:t>
            </w:r>
          </w:p>
          <w:p>
            <w:pPr>
              <w:pStyle w:val="TableParagraph"/>
              <w:spacing w:line="252" w:lineRule="exact"/>
              <w:ind w:left="498" w:right="490" w:hanging="1"/>
              <w:jc w:val="center"/>
              <w:rPr>
                <w:sz w:val="22"/>
              </w:rPr>
            </w:pPr>
            <w:r>
              <w:rPr>
                <w:sz w:val="22"/>
              </w:rPr>
              <w:t>in</w:t>
            </w:r>
            <w:r>
              <w:rPr>
                <w:spacing w:val="-14"/>
                <w:sz w:val="22"/>
              </w:rPr>
              <w:t> </w:t>
            </w:r>
            <w:r>
              <w:rPr>
                <w:sz w:val="22"/>
              </w:rPr>
              <w:t>Expenditure Authority</w:t>
            </w:r>
            <w:r>
              <w:rPr>
                <w:spacing w:val="-4"/>
                <w:sz w:val="22"/>
              </w:rPr>
              <w:t> #15.</w:t>
            </w:r>
          </w:p>
        </w:tc>
        <w:tc>
          <w:tcPr>
            <w:tcW w:w="1519" w:type="dxa"/>
          </w:tcPr>
          <w:p>
            <w:pPr>
              <w:pStyle w:val="TableParagraph"/>
              <w:rPr>
                <w:sz w:val="20"/>
              </w:rPr>
            </w:pPr>
          </w:p>
        </w:tc>
        <w:tc>
          <w:tcPr>
            <w:tcW w:w="1406" w:type="dxa"/>
          </w:tcPr>
          <w:p>
            <w:pPr>
              <w:pStyle w:val="TableParagraph"/>
              <w:rPr>
                <w:sz w:val="20"/>
              </w:rPr>
            </w:pPr>
          </w:p>
        </w:tc>
        <w:tc>
          <w:tcPr>
            <w:tcW w:w="1742" w:type="dxa"/>
          </w:tcPr>
          <w:p>
            <w:pPr>
              <w:pStyle w:val="TableParagraph"/>
              <w:rPr>
                <w:sz w:val="20"/>
              </w:rPr>
            </w:pPr>
          </w:p>
        </w:tc>
        <w:tc>
          <w:tcPr>
            <w:tcW w:w="1269" w:type="dxa"/>
          </w:tcPr>
          <w:p>
            <w:pPr>
              <w:pStyle w:val="TableParagraph"/>
              <w:rPr>
                <w:sz w:val="20"/>
              </w:rPr>
            </w:pPr>
          </w:p>
        </w:tc>
        <w:tc>
          <w:tcPr>
            <w:tcW w:w="1403" w:type="dxa"/>
          </w:tcPr>
          <w:p>
            <w:pPr>
              <w:pStyle w:val="TableParagraph"/>
              <w:rPr>
                <w:sz w:val="20"/>
              </w:rPr>
            </w:pPr>
          </w:p>
        </w:tc>
        <w:tc>
          <w:tcPr>
            <w:tcW w:w="1067" w:type="dxa"/>
          </w:tcPr>
          <w:p>
            <w:pPr>
              <w:pStyle w:val="TableParagraph"/>
              <w:rPr>
                <w:sz w:val="20"/>
              </w:rPr>
            </w:pPr>
          </w:p>
        </w:tc>
        <w:tc>
          <w:tcPr>
            <w:tcW w:w="1218" w:type="dxa"/>
          </w:tcPr>
          <w:p>
            <w:pPr>
              <w:pStyle w:val="TableParagraph"/>
              <w:rPr>
                <w:sz w:val="20"/>
              </w:rPr>
            </w:pPr>
          </w:p>
        </w:tc>
      </w:tr>
      <w:tr>
        <w:trPr>
          <w:trHeight w:val="4300" w:hRule="atLeast"/>
        </w:trPr>
        <w:tc>
          <w:tcPr>
            <w:tcW w:w="1738"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22"/>
              </w:rPr>
            </w:pPr>
          </w:p>
          <w:p>
            <w:pPr>
              <w:pStyle w:val="TableParagraph"/>
              <w:ind w:left="112" w:right="102" w:firstLine="3"/>
              <w:jc w:val="center"/>
              <w:rPr>
                <w:b/>
                <w:sz w:val="22"/>
              </w:rPr>
            </w:pPr>
            <w:r>
              <w:rPr>
                <w:b/>
                <w:spacing w:val="-2"/>
                <w:sz w:val="22"/>
              </w:rPr>
              <w:t>Medicare Savings </w:t>
            </w:r>
            <w:r>
              <w:rPr>
                <w:b/>
                <w:sz w:val="22"/>
              </w:rPr>
              <w:t>Program</w:t>
            </w:r>
            <w:r>
              <w:rPr>
                <w:b/>
                <w:spacing w:val="-14"/>
                <w:sz w:val="22"/>
              </w:rPr>
              <w:t> </w:t>
            </w:r>
            <w:r>
              <w:rPr>
                <w:b/>
                <w:sz w:val="22"/>
              </w:rPr>
              <w:t>(MSP) </w:t>
            </w:r>
            <w:r>
              <w:rPr>
                <w:b/>
                <w:spacing w:val="-2"/>
                <w:sz w:val="22"/>
              </w:rPr>
              <w:t>Expansion</w:t>
            </w:r>
          </w:p>
        </w:tc>
        <w:tc>
          <w:tcPr>
            <w:tcW w:w="2304" w:type="dxa"/>
          </w:tcPr>
          <w:p>
            <w:pPr>
              <w:pStyle w:val="TableParagraph"/>
              <w:ind w:left="119" w:right="110" w:firstLine="1"/>
              <w:jc w:val="center"/>
              <w:rPr>
                <w:sz w:val="22"/>
              </w:rPr>
            </w:pPr>
            <w:r>
              <w:rPr>
                <w:sz w:val="22"/>
              </w:rPr>
              <w:t>Report all medical assistance</w:t>
            </w:r>
            <w:r>
              <w:rPr>
                <w:spacing w:val="-14"/>
                <w:sz w:val="22"/>
              </w:rPr>
              <w:t> </w:t>
            </w:r>
            <w:r>
              <w:rPr>
                <w:sz w:val="22"/>
              </w:rPr>
              <w:t>expenditures for MSP benefits as described in Expenditure Authority #17 for MassHealth members eligible for Medicare cost sharing assistance through the Commonwealth’s</w:t>
            </w:r>
            <w:r>
              <w:rPr>
                <w:spacing w:val="-14"/>
                <w:sz w:val="22"/>
              </w:rPr>
              <w:t> </w:t>
            </w:r>
            <w:r>
              <w:rPr>
                <w:sz w:val="22"/>
              </w:rPr>
              <w:t>MSP income limit expansion, without applying an asset test (i.e., MassHealth income limit between 133 percent FPL and</w:t>
            </w:r>
          </w:p>
          <w:p>
            <w:pPr>
              <w:pStyle w:val="TableParagraph"/>
              <w:spacing w:line="234" w:lineRule="exact"/>
              <w:ind w:left="110" w:right="102"/>
              <w:jc w:val="center"/>
              <w:rPr>
                <w:sz w:val="22"/>
              </w:rPr>
            </w:pPr>
            <w:r>
              <w:rPr>
                <w:sz w:val="22"/>
              </w:rPr>
              <w:t>165</w:t>
            </w:r>
            <w:r>
              <w:rPr>
                <w:spacing w:val="-5"/>
                <w:sz w:val="22"/>
              </w:rPr>
              <w:t> </w:t>
            </w:r>
            <w:r>
              <w:rPr>
                <w:sz w:val="22"/>
              </w:rPr>
              <w:t>percent</w:t>
            </w:r>
            <w:r>
              <w:rPr>
                <w:spacing w:val="-1"/>
                <w:sz w:val="22"/>
              </w:rPr>
              <w:t> </w:t>
            </w:r>
            <w:r>
              <w:rPr>
                <w:spacing w:val="-4"/>
                <w:sz w:val="22"/>
              </w:rPr>
              <w:t>FPL).</w:t>
            </w:r>
          </w:p>
        </w:tc>
        <w:tc>
          <w:tcPr>
            <w:tcW w:w="1519" w:type="dxa"/>
          </w:tcPr>
          <w:p>
            <w:pPr>
              <w:pStyle w:val="TableParagraph"/>
              <w:rPr>
                <w:sz w:val="20"/>
              </w:rPr>
            </w:pPr>
          </w:p>
        </w:tc>
        <w:tc>
          <w:tcPr>
            <w:tcW w:w="1406"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0"/>
              <w:rPr>
                <w:sz w:val="24"/>
              </w:rPr>
            </w:pPr>
          </w:p>
          <w:p>
            <w:pPr>
              <w:pStyle w:val="TableParagraph"/>
              <w:ind w:left="246" w:right="240" w:firstLine="141"/>
              <w:jc w:val="both"/>
              <w:rPr>
                <w:sz w:val="22"/>
              </w:rPr>
            </w:pPr>
            <w:r>
              <w:rPr>
                <w:spacing w:val="-2"/>
                <w:sz w:val="22"/>
              </w:rPr>
              <w:t>Follow standard </w:t>
            </w:r>
            <w:r>
              <w:rPr>
                <w:sz w:val="22"/>
              </w:rPr>
              <w:t>CMS</w:t>
            </w:r>
            <w:r>
              <w:rPr>
                <w:spacing w:val="-2"/>
                <w:sz w:val="22"/>
              </w:rPr>
              <w:t> </w:t>
            </w:r>
            <w:r>
              <w:rPr>
                <w:spacing w:val="-4"/>
                <w:sz w:val="22"/>
              </w:rPr>
              <w:t>64.9</w:t>
            </w:r>
          </w:p>
          <w:p>
            <w:pPr>
              <w:pStyle w:val="TableParagraph"/>
              <w:ind w:left="165" w:right="159"/>
              <w:jc w:val="center"/>
              <w:rPr>
                <w:sz w:val="22"/>
              </w:rPr>
            </w:pPr>
            <w:r>
              <w:rPr>
                <w:sz w:val="22"/>
              </w:rPr>
              <w:t>Category</w:t>
            </w:r>
            <w:r>
              <w:rPr>
                <w:spacing w:val="-14"/>
                <w:sz w:val="22"/>
              </w:rPr>
              <w:t> </w:t>
            </w:r>
            <w:r>
              <w:rPr>
                <w:sz w:val="22"/>
              </w:rPr>
              <w:t>of </w:t>
            </w:r>
            <w:r>
              <w:rPr>
                <w:spacing w:val="-2"/>
                <w:sz w:val="22"/>
              </w:rPr>
              <w:t>Service Definitions</w:t>
            </w:r>
          </w:p>
        </w:tc>
        <w:tc>
          <w:tcPr>
            <w:tcW w:w="1742"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8"/>
              <w:rPr>
                <w:sz w:val="31"/>
              </w:rPr>
            </w:pPr>
          </w:p>
          <w:p>
            <w:pPr>
              <w:pStyle w:val="TableParagraph"/>
              <w:spacing w:before="1"/>
              <w:ind w:left="125" w:right="115"/>
              <w:jc w:val="center"/>
              <w:rPr>
                <w:sz w:val="22"/>
              </w:rPr>
            </w:pPr>
            <w:r>
              <w:rPr>
                <w:sz w:val="22"/>
              </w:rPr>
              <w:t>Date</w:t>
            </w:r>
            <w:r>
              <w:rPr>
                <w:spacing w:val="-4"/>
                <w:sz w:val="22"/>
              </w:rPr>
              <w:t> </w:t>
            </w:r>
            <w:r>
              <w:rPr>
                <w:sz w:val="22"/>
              </w:rPr>
              <w:t>of</w:t>
            </w:r>
            <w:r>
              <w:rPr>
                <w:spacing w:val="-1"/>
                <w:sz w:val="22"/>
              </w:rPr>
              <w:t> </w:t>
            </w:r>
            <w:r>
              <w:rPr>
                <w:spacing w:val="-2"/>
                <w:sz w:val="22"/>
              </w:rPr>
              <w:t>service</w:t>
            </w:r>
          </w:p>
        </w:tc>
        <w:tc>
          <w:tcPr>
            <w:tcW w:w="1269"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8"/>
              <w:rPr>
                <w:sz w:val="31"/>
              </w:rPr>
            </w:pPr>
          </w:p>
          <w:p>
            <w:pPr>
              <w:pStyle w:val="TableParagraph"/>
              <w:spacing w:before="1"/>
              <w:ind w:left="91" w:right="86"/>
              <w:jc w:val="center"/>
              <w:rPr>
                <w:sz w:val="22"/>
              </w:rPr>
            </w:pPr>
            <w:r>
              <w:rPr>
                <w:spacing w:val="-5"/>
                <w:sz w:val="22"/>
              </w:rPr>
              <w:t>MAP</w:t>
            </w:r>
          </w:p>
        </w:tc>
        <w:tc>
          <w:tcPr>
            <w:tcW w:w="1403"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8"/>
              <w:rPr>
                <w:sz w:val="31"/>
              </w:rPr>
            </w:pPr>
          </w:p>
          <w:p>
            <w:pPr>
              <w:pStyle w:val="TableParagraph"/>
              <w:spacing w:before="1"/>
              <w:ind w:left="11"/>
              <w:jc w:val="center"/>
              <w:rPr>
                <w:sz w:val="22"/>
              </w:rPr>
            </w:pPr>
            <w:r>
              <w:rPr>
                <w:w w:val="100"/>
                <w:sz w:val="22"/>
              </w:rPr>
              <w:t>N</w:t>
            </w:r>
          </w:p>
        </w:tc>
        <w:tc>
          <w:tcPr>
            <w:tcW w:w="1067"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8"/>
              <w:rPr>
                <w:sz w:val="31"/>
              </w:rPr>
            </w:pPr>
          </w:p>
          <w:p>
            <w:pPr>
              <w:pStyle w:val="TableParagraph"/>
              <w:spacing w:before="1"/>
              <w:ind w:left="185" w:right="171"/>
              <w:jc w:val="center"/>
              <w:rPr>
                <w:sz w:val="22"/>
              </w:rPr>
            </w:pPr>
            <w:r>
              <w:rPr>
                <w:spacing w:val="-2"/>
                <w:sz w:val="22"/>
              </w:rPr>
              <w:t>8/11/22</w:t>
            </w:r>
          </w:p>
        </w:tc>
        <w:tc>
          <w:tcPr>
            <w:tcW w:w="1218"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8"/>
              <w:rPr>
                <w:sz w:val="31"/>
              </w:rPr>
            </w:pPr>
          </w:p>
          <w:p>
            <w:pPr>
              <w:pStyle w:val="TableParagraph"/>
              <w:spacing w:before="1"/>
              <w:ind w:left="110"/>
              <w:rPr>
                <w:sz w:val="22"/>
              </w:rPr>
            </w:pPr>
            <w:r>
              <w:rPr>
                <w:spacing w:val="-2"/>
                <w:sz w:val="22"/>
              </w:rPr>
              <w:t>12/31/27</w:t>
            </w:r>
          </w:p>
        </w:tc>
      </w:tr>
      <w:tr>
        <w:trPr>
          <w:trHeight w:val="1518" w:hRule="atLeast"/>
        </w:trPr>
        <w:tc>
          <w:tcPr>
            <w:tcW w:w="1738" w:type="dxa"/>
          </w:tcPr>
          <w:p>
            <w:pPr>
              <w:pStyle w:val="TableParagraph"/>
              <w:rPr>
                <w:sz w:val="24"/>
              </w:rPr>
            </w:pPr>
          </w:p>
          <w:p>
            <w:pPr>
              <w:pStyle w:val="TableParagraph"/>
              <w:spacing w:before="10"/>
              <w:rPr>
                <w:sz w:val="19"/>
              </w:rPr>
            </w:pPr>
          </w:p>
          <w:p>
            <w:pPr>
              <w:pStyle w:val="TableParagraph"/>
              <w:ind w:left="710" w:hanging="454"/>
              <w:rPr>
                <w:b/>
                <w:sz w:val="22"/>
              </w:rPr>
            </w:pPr>
            <w:r>
              <w:rPr>
                <w:b/>
                <w:spacing w:val="-2"/>
                <w:sz w:val="22"/>
              </w:rPr>
              <w:t>Diversionary </w:t>
            </w:r>
            <w:r>
              <w:rPr>
                <w:b/>
                <w:spacing w:val="-6"/>
                <w:sz w:val="22"/>
              </w:rPr>
              <w:t>BH</w:t>
            </w:r>
          </w:p>
        </w:tc>
        <w:tc>
          <w:tcPr>
            <w:tcW w:w="2304" w:type="dxa"/>
          </w:tcPr>
          <w:p>
            <w:pPr>
              <w:pStyle w:val="TableParagraph"/>
              <w:spacing w:before="9"/>
              <w:rPr>
                <w:sz w:val="32"/>
              </w:rPr>
            </w:pPr>
          </w:p>
          <w:p>
            <w:pPr>
              <w:pStyle w:val="TableParagraph"/>
              <w:ind w:left="107" w:right="102"/>
              <w:jc w:val="center"/>
              <w:rPr>
                <w:sz w:val="22"/>
              </w:rPr>
            </w:pPr>
            <w:r>
              <w:rPr>
                <w:sz w:val="22"/>
              </w:rPr>
              <w:t>All</w:t>
            </w:r>
            <w:r>
              <w:rPr>
                <w:spacing w:val="-14"/>
                <w:sz w:val="22"/>
              </w:rPr>
              <w:t> </w:t>
            </w:r>
            <w:r>
              <w:rPr>
                <w:sz w:val="22"/>
              </w:rPr>
              <w:t>expenditures</w:t>
            </w:r>
            <w:r>
              <w:rPr>
                <w:spacing w:val="-14"/>
                <w:sz w:val="22"/>
              </w:rPr>
              <w:t> </w:t>
            </w:r>
            <w:r>
              <w:rPr>
                <w:sz w:val="22"/>
              </w:rPr>
              <w:t>for Diversionary BH </w:t>
            </w:r>
            <w:r>
              <w:rPr>
                <w:spacing w:val="-2"/>
                <w:sz w:val="22"/>
              </w:rPr>
              <w:t>Services</w:t>
            </w:r>
          </w:p>
        </w:tc>
        <w:tc>
          <w:tcPr>
            <w:tcW w:w="1519" w:type="dxa"/>
          </w:tcPr>
          <w:p>
            <w:pPr>
              <w:pStyle w:val="TableParagraph"/>
              <w:rPr>
                <w:sz w:val="20"/>
              </w:rPr>
            </w:pPr>
          </w:p>
        </w:tc>
        <w:tc>
          <w:tcPr>
            <w:tcW w:w="1406" w:type="dxa"/>
          </w:tcPr>
          <w:p>
            <w:pPr>
              <w:pStyle w:val="TableParagraph"/>
              <w:ind w:left="246" w:right="240" w:firstLine="141"/>
              <w:jc w:val="both"/>
              <w:rPr>
                <w:sz w:val="22"/>
              </w:rPr>
            </w:pPr>
            <w:r>
              <w:rPr>
                <w:spacing w:val="-2"/>
                <w:sz w:val="22"/>
              </w:rPr>
              <w:t>Follow standard </w:t>
            </w:r>
            <w:r>
              <w:rPr>
                <w:sz w:val="22"/>
              </w:rPr>
              <w:t>CMS</w:t>
            </w:r>
            <w:r>
              <w:rPr>
                <w:spacing w:val="-2"/>
                <w:sz w:val="22"/>
              </w:rPr>
              <w:t> </w:t>
            </w:r>
            <w:r>
              <w:rPr>
                <w:spacing w:val="-4"/>
                <w:sz w:val="22"/>
              </w:rPr>
              <w:t>64.9</w:t>
            </w:r>
          </w:p>
          <w:p>
            <w:pPr>
              <w:pStyle w:val="TableParagraph"/>
              <w:spacing w:line="252" w:lineRule="exact"/>
              <w:ind w:left="164" w:right="161"/>
              <w:jc w:val="center"/>
              <w:rPr>
                <w:sz w:val="22"/>
              </w:rPr>
            </w:pPr>
            <w:r>
              <w:rPr>
                <w:sz w:val="22"/>
              </w:rPr>
              <w:t>Category</w:t>
            </w:r>
            <w:r>
              <w:rPr>
                <w:spacing w:val="-6"/>
                <w:sz w:val="22"/>
              </w:rPr>
              <w:t> </w:t>
            </w:r>
            <w:r>
              <w:rPr>
                <w:spacing w:val="-5"/>
                <w:sz w:val="22"/>
              </w:rPr>
              <w:t>of</w:t>
            </w:r>
          </w:p>
          <w:p>
            <w:pPr>
              <w:pStyle w:val="TableParagraph"/>
              <w:spacing w:line="252" w:lineRule="exact"/>
              <w:ind w:left="205" w:right="197" w:hanging="2"/>
              <w:jc w:val="center"/>
              <w:rPr>
                <w:sz w:val="22"/>
              </w:rPr>
            </w:pPr>
            <w:r>
              <w:rPr>
                <w:spacing w:val="-2"/>
                <w:sz w:val="22"/>
              </w:rPr>
              <w:t>Service Definitions</w:t>
            </w:r>
          </w:p>
        </w:tc>
        <w:tc>
          <w:tcPr>
            <w:tcW w:w="1742" w:type="dxa"/>
          </w:tcPr>
          <w:p>
            <w:pPr>
              <w:pStyle w:val="TableParagraph"/>
              <w:rPr>
                <w:sz w:val="24"/>
              </w:rPr>
            </w:pPr>
          </w:p>
          <w:p>
            <w:pPr>
              <w:pStyle w:val="TableParagraph"/>
              <w:spacing w:before="11"/>
              <w:rPr>
                <w:sz w:val="30"/>
              </w:rPr>
            </w:pPr>
          </w:p>
          <w:p>
            <w:pPr>
              <w:pStyle w:val="TableParagraph"/>
              <w:ind w:left="125" w:right="115"/>
              <w:jc w:val="center"/>
              <w:rPr>
                <w:sz w:val="22"/>
              </w:rPr>
            </w:pPr>
            <w:r>
              <w:rPr>
                <w:sz w:val="22"/>
              </w:rPr>
              <w:t>Date</w:t>
            </w:r>
            <w:r>
              <w:rPr>
                <w:spacing w:val="-4"/>
                <w:sz w:val="22"/>
              </w:rPr>
              <w:t> </w:t>
            </w:r>
            <w:r>
              <w:rPr>
                <w:sz w:val="22"/>
              </w:rPr>
              <w:t>of</w:t>
            </w:r>
            <w:r>
              <w:rPr>
                <w:spacing w:val="-1"/>
                <w:sz w:val="22"/>
              </w:rPr>
              <w:t> </w:t>
            </w:r>
            <w:r>
              <w:rPr>
                <w:spacing w:val="-2"/>
                <w:sz w:val="22"/>
              </w:rPr>
              <w:t>service</w:t>
            </w:r>
          </w:p>
        </w:tc>
        <w:tc>
          <w:tcPr>
            <w:tcW w:w="1269" w:type="dxa"/>
          </w:tcPr>
          <w:p>
            <w:pPr>
              <w:pStyle w:val="TableParagraph"/>
              <w:rPr>
                <w:sz w:val="24"/>
              </w:rPr>
            </w:pPr>
          </w:p>
          <w:p>
            <w:pPr>
              <w:pStyle w:val="TableParagraph"/>
              <w:spacing w:before="11"/>
              <w:rPr>
                <w:sz w:val="30"/>
              </w:rPr>
            </w:pPr>
          </w:p>
          <w:p>
            <w:pPr>
              <w:pStyle w:val="TableParagraph"/>
              <w:ind w:left="91" w:right="86"/>
              <w:jc w:val="center"/>
              <w:rPr>
                <w:sz w:val="22"/>
              </w:rPr>
            </w:pPr>
            <w:r>
              <w:rPr>
                <w:spacing w:val="-5"/>
                <w:sz w:val="22"/>
              </w:rPr>
              <w:t>MAP</w:t>
            </w:r>
          </w:p>
        </w:tc>
        <w:tc>
          <w:tcPr>
            <w:tcW w:w="1403" w:type="dxa"/>
          </w:tcPr>
          <w:p>
            <w:pPr>
              <w:pStyle w:val="TableParagraph"/>
              <w:rPr>
                <w:sz w:val="24"/>
              </w:rPr>
            </w:pPr>
          </w:p>
          <w:p>
            <w:pPr>
              <w:pStyle w:val="TableParagraph"/>
              <w:spacing w:before="11"/>
              <w:rPr>
                <w:sz w:val="30"/>
              </w:rPr>
            </w:pPr>
          </w:p>
          <w:p>
            <w:pPr>
              <w:pStyle w:val="TableParagraph"/>
              <w:ind w:left="11"/>
              <w:jc w:val="center"/>
              <w:rPr>
                <w:sz w:val="22"/>
              </w:rPr>
            </w:pPr>
            <w:r>
              <w:rPr>
                <w:w w:val="100"/>
                <w:sz w:val="22"/>
              </w:rPr>
              <w:t>N</w:t>
            </w:r>
          </w:p>
        </w:tc>
        <w:tc>
          <w:tcPr>
            <w:tcW w:w="1067" w:type="dxa"/>
          </w:tcPr>
          <w:p>
            <w:pPr>
              <w:pStyle w:val="TableParagraph"/>
              <w:rPr>
                <w:sz w:val="24"/>
              </w:rPr>
            </w:pPr>
          </w:p>
          <w:p>
            <w:pPr>
              <w:pStyle w:val="TableParagraph"/>
              <w:spacing w:before="11"/>
              <w:rPr>
                <w:sz w:val="30"/>
              </w:rPr>
            </w:pPr>
          </w:p>
          <w:p>
            <w:pPr>
              <w:pStyle w:val="TableParagraph"/>
              <w:ind w:left="185" w:right="171"/>
              <w:jc w:val="center"/>
              <w:rPr>
                <w:sz w:val="22"/>
              </w:rPr>
            </w:pPr>
            <w:r>
              <w:rPr>
                <w:spacing w:val="-2"/>
                <w:sz w:val="22"/>
              </w:rPr>
              <w:t>10/1/22</w:t>
            </w:r>
          </w:p>
        </w:tc>
        <w:tc>
          <w:tcPr>
            <w:tcW w:w="1218" w:type="dxa"/>
          </w:tcPr>
          <w:p>
            <w:pPr>
              <w:pStyle w:val="TableParagraph"/>
              <w:rPr>
                <w:sz w:val="24"/>
              </w:rPr>
            </w:pPr>
          </w:p>
          <w:p>
            <w:pPr>
              <w:pStyle w:val="TableParagraph"/>
              <w:spacing w:before="11"/>
              <w:rPr>
                <w:sz w:val="30"/>
              </w:rPr>
            </w:pPr>
          </w:p>
          <w:p>
            <w:pPr>
              <w:pStyle w:val="TableParagraph"/>
              <w:ind w:right="201"/>
              <w:jc w:val="right"/>
              <w:rPr>
                <w:sz w:val="22"/>
              </w:rPr>
            </w:pPr>
            <w:r>
              <w:rPr>
                <w:spacing w:val="-2"/>
                <w:sz w:val="22"/>
              </w:rPr>
              <w:t>12/31/27</w:t>
            </w:r>
          </w:p>
        </w:tc>
      </w:tr>
      <w:tr>
        <w:trPr>
          <w:trHeight w:val="1516" w:hRule="atLeast"/>
        </w:trPr>
        <w:tc>
          <w:tcPr>
            <w:tcW w:w="1738" w:type="dxa"/>
          </w:tcPr>
          <w:p>
            <w:pPr>
              <w:pStyle w:val="TableParagraph"/>
              <w:spacing w:before="9"/>
              <w:rPr>
                <w:sz w:val="32"/>
              </w:rPr>
            </w:pPr>
          </w:p>
          <w:p>
            <w:pPr>
              <w:pStyle w:val="TableParagraph"/>
              <w:ind w:left="110" w:right="98"/>
              <w:jc w:val="center"/>
              <w:rPr>
                <w:b/>
                <w:sz w:val="22"/>
              </w:rPr>
            </w:pPr>
            <w:r>
              <w:rPr>
                <w:b/>
                <w:sz w:val="22"/>
              </w:rPr>
              <w:t>CP</w:t>
            </w:r>
            <w:r>
              <w:rPr>
                <w:b/>
                <w:spacing w:val="-14"/>
                <w:sz w:val="22"/>
              </w:rPr>
              <w:t> </w:t>
            </w:r>
            <w:r>
              <w:rPr>
                <w:b/>
                <w:sz w:val="22"/>
              </w:rPr>
              <w:t>Enhanced </w:t>
            </w:r>
            <w:r>
              <w:rPr>
                <w:b/>
                <w:spacing w:val="-4"/>
                <w:sz w:val="22"/>
              </w:rPr>
              <w:t>Care </w:t>
            </w:r>
            <w:r>
              <w:rPr>
                <w:b/>
                <w:spacing w:val="-2"/>
                <w:sz w:val="22"/>
              </w:rPr>
              <w:t>Coordination</w:t>
            </w:r>
          </w:p>
        </w:tc>
        <w:tc>
          <w:tcPr>
            <w:tcW w:w="2304" w:type="dxa"/>
          </w:tcPr>
          <w:p>
            <w:pPr>
              <w:pStyle w:val="TableParagraph"/>
              <w:ind w:left="119" w:right="111" w:firstLine="2"/>
              <w:jc w:val="center"/>
              <w:rPr>
                <w:sz w:val="22"/>
              </w:rPr>
            </w:pPr>
            <w:r>
              <w:rPr>
                <w:sz w:val="22"/>
              </w:rPr>
              <w:t>Report</w:t>
            </w:r>
            <w:r>
              <w:rPr>
                <w:spacing w:val="-14"/>
                <w:sz w:val="22"/>
              </w:rPr>
              <w:t> </w:t>
            </w:r>
            <w:r>
              <w:rPr>
                <w:sz w:val="22"/>
              </w:rPr>
              <w:t>all</w:t>
            </w:r>
            <w:r>
              <w:rPr>
                <w:spacing w:val="-14"/>
                <w:sz w:val="22"/>
              </w:rPr>
              <w:t> </w:t>
            </w:r>
            <w:r>
              <w:rPr>
                <w:sz w:val="22"/>
              </w:rPr>
              <w:t>expenditures for payments directly to LTSS CPs to</w:t>
            </w:r>
            <w:r>
              <w:rPr>
                <w:spacing w:val="40"/>
                <w:sz w:val="22"/>
              </w:rPr>
              <w:t> </w:t>
            </w:r>
            <w:r>
              <w:rPr>
                <w:sz w:val="22"/>
              </w:rPr>
              <w:t>support</w:t>
            </w:r>
            <w:r>
              <w:rPr>
                <w:spacing w:val="-11"/>
                <w:sz w:val="22"/>
              </w:rPr>
              <w:t> </w:t>
            </w:r>
            <w:r>
              <w:rPr>
                <w:sz w:val="22"/>
              </w:rPr>
              <w:t>LTSS</w:t>
            </w:r>
            <w:r>
              <w:rPr>
                <w:spacing w:val="-13"/>
                <w:sz w:val="22"/>
              </w:rPr>
              <w:t> </w:t>
            </w:r>
            <w:r>
              <w:rPr>
                <w:sz w:val="22"/>
              </w:rPr>
              <w:t>CPs</w:t>
            </w:r>
            <w:r>
              <w:rPr>
                <w:spacing w:val="-13"/>
                <w:sz w:val="22"/>
              </w:rPr>
              <w:t> </w:t>
            </w:r>
            <w:r>
              <w:rPr>
                <w:sz w:val="22"/>
              </w:rPr>
              <w:t>care </w:t>
            </w:r>
            <w:r>
              <w:rPr>
                <w:spacing w:val="-2"/>
                <w:sz w:val="22"/>
              </w:rPr>
              <w:t>coordination</w:t>
            </w:r>
          </w:p>
          <w:p>
            <w:pPr>
              <w:pStyle w:val="TableParagraph"/>
              <w:spacing w:line="233" w:lineRule="exact"/>
              <w:ind w:left="113" w:right="102"/>
              <w:jc w:val="center"/>
              <w:rPr>
                <w:sz w:val="22"/>
              </w:rPr>
            </w:pPr>
            <w:r>
              <w:rPr>
                <w:spacing w:val="-2"/>
                <w:sz w:val="22"/>
              </w:rPr>
              <w:t>responsibilities.</w:t>
            </w:r>
          </w:p>
        </w:tc>
        <w:tc>
          <w:tcPr>
            <w:tcW w:w="1519" w:type="dxa"/>
          </w:tcPr>
          <w:p>
            <w:pPr>
              <w:pStyle w:val="TableParagraph"/>
              <w:rPr>
                <w:sz w:val="20"/>
              </w:rPr>
            </w:pPr>
          </w:p>
        </w:tc>
        <w:tc>
          <w:tcPr>
            <w:tcW w:w="1406" w:type="dxa"/>
          </w:tcPr>
          <w:p>
            <w:pPr>
              <w:pStyle w:val="TableParagraph"/>
              <w:ind w:left="191" w:right="184" w:firstLine="3"/>
              <w:jc w:val="center"/>
              <w:rPr>
                <w:sz w:val="22"/>
              </w:rPr>
            </w:pPr>
            <w:r>
              <w:rPr>
                <w:spacing w:val="-2"/>
                <w:sz w:val="22"/>
              </w:rPr>
              <w:t>Follow standard </w:t>
            </w:r>
            <w:r>
              <w:rPr>
                <w:sz w:val="22"/>
              </w:rPr>
              <w:t>CMS</w:t>
            </w:r>
            <w:r>
              <w:rPr>
                <w:spacing w:val="-2"/>
                <w:sz w:val="22"/>
              </w:rPr>
              <w:t> </w:t>
            </w:r>
            <w:r>
              <w:rPr>
                <w:spacing w:val="-2"/>
                <w:sz w:val="22"/>
              </w:rPr>
              <w:t>64.10</w:t>
            </w:r>
          </w:p>
          <w:p>
            <w:pPr>
              <w:pStyle w:val="TableParagraph"/>
              <w:ind w:left="165" w:right="159"/>
              <w:jc w:val="center"/>
              <w:rPr>
                <w:sz w:val="22"/>
              </w:rPr>
            </w:pPr>
            <w:r>
              <w:rPr>
                <w:sz w:val="22"/>
              </w:rPr>
              <w:t>Category</w:t>
            </w:r>
            <w:r>
              <w:rPr>
                <w:spacing w:val="-14"/>
                <w:sz w:val="22"/>
              </w:rPr>
              <w:t> </w:t>
            </w:r>
            <w:r>
              <w:rPr>
                <w:sz w:val="22"/>
              </w:rPr>
              <w:t>of </w:t>
            </w:r>
            <w:r>
              <w:rPr>
                <w:spacing w:val="-2"/>
                <w:sz w:val="22"/>
              </w:rPr>
              <w:t>Service</w:t>
            </w:r>
          </w:p>
          <w:p>
            <w:pPr>
              <w:pStyle w:val="TableParagraph"/>
              <w:spacing w:line="233" w:lineRule="exact"/>
              <w:ind w:left="165" w:right="159"/>
              <w:jc w:val="center"/>
              <w:rPr>
                <w:sz w:val="22"/>
              </w:rPr>
            </w:pPr>
            <w:r>
              <w:rPr>
                <w:spacing w:val="-2"/>
                <w:sz w:val="22"/>
              </w:rPr>
              <w:t>Definitions</w:t>
            </w:r>
          </w:p>
        </w:tc>
        <w:tc>
          <w:tcPr>
            <w:tcW w:w="1742" w:type="dxa"/>
          </w:tcPr>
          <w:p>
            <w:pPr>
              <w:pStyle w:val="TableParagraph"/>
              <w:rPr>
                <w:sz w:val="24"/>
              </w:rPr>
            </w:pPr>
          </w:p>
          <w:p>
            <w:pPr>
              <w:pStyle w:val="TableParagraph"/>
              <w:spacing w:before="8"/>
              <w:rPr>
                <w:sz w:val="30"/>
              </w:rPr>
            </w:pPr>
          </w:p>
          <w:p>
            <w:pPr>
              <w:pStyle w:val="TableParagraph"/>
              <w:ind w:left="125" w:right="118"/>
              <w:jc w:val="center"/>
              <w:rPr>
                <w:sz w:val="22"/>
              </w:rPr>
            </w:pPr>
            <w:r>
              <w:rPr>
                <w:sz w:val="22"/>
              </w:rPr>
              <w:t>Date</w:t>
            </w:r>
            <w:r>
              <w:rPr>
                <w:spacing w:val="-4"/>
                <w:sz w:val="22"/>
              </w:rPr>
              <w:t> </w:t>
            </w:r>
            <w:r>
              <w:rPr>
                <w:sz w:val="22"/>
              </w:rPr>
              <w:t>of</w:t>
            </w:r>
            <w:r>
              <w:rPr>
                <w:spacing w:val="-1"/>
                <w:sz w:val="22"/>
              </w:rPr>
              <w:t> </w:t>
            </w:r>
            <w:r>
              <w:rPr>
                <w:spacing w:val="-2"/>
                <w:sz w:val="22"/>
              </w:rPr>
              <w:t>payment</w:t>
            </w:r>
          </w:p>
        </w:tc>
        <w:tc>
          <w:tcPr>
            <w:tcW w:w="1269" w:type="dxa"/>
          </w:tcPr>
          <w:p>
            <w:pPr>
              <w:pStyle w:val="TableParagraph"/>
              <w:rPr>
                <w:sz w:val="24"/>
              </w:rPr>
            </w:pPr>
          </w:p>
          <w:p>
            <w:pPr>
              <w:pStyle w:val="TableParagraph"/>
              <w:spacing w:before="7"/>
              <w:rPr>
                <w:sz w:val="19"/>
              </w:rPr>
            </w:pPr>
          </w:p>
          <w:p>
            <w:pPr>
              <w:pStyle w:val="TableParagraph"/>
              <w:spacing w:before="1"/>
              <w:ind w:left="93" w:right="86"/>
              <w:jc w:val="center"/>
              <w:rPr>
                <w:sz w:val="22"/>
              </w:rPr>
            </w:pPr>
            <w:r>
              <w:rPr>
                <w:spacing w:val="-5"/>
                <w:sz w:val="22"/>
              </w:rPr>
              <w:t>ADM</w:t>
            </w:r>
          </w:p>
          <w:p>
            <w:pPr>
              <w:pStyle w:val="TableParagraph"/>
              <w:spacing w:before="1"/>
              <w:ind w:left="6"/>
              <w:jc w:val="center"/>
              <w:rPr>
                <w:sz w:val="22"/>
              </w:rPr>
            </w:pPr>
            <w:r>
              <w:rPr>
                <w:w w:val="100"/>
                <w:sz w:val="22"/>
              </w:rPr>
              <w:t>.</w:t>
            </w:r>
          </w:p>
        </w:tc>
        <w:tc>
          <w:tcPr>
            <w:tcW w:w="1403" w:type="dxa"/>
          </w:tcPr>
          <w:p>
            <w:pPr>
              <w:pStyle w:val="TableParagraph"/>
              <w:rPr>
                <w:sz w:val="24"/>
              </w:rPr>
            </w:pPr>
          </w:p>
          <w:p>
            <w:pPr>
              <w:pStyle w:val="TableParagraph"/>
              <w:spacing w:before="8"/>
              <w:rPr>
                <w:sz w:val="30"/>
              </w:rPr>
            </w:pPr>
          </w:p>
          <w:p>
            <w:pPr>
              <w:pStyle w:val="TableParagraph"/>
              <w:ind w:left="11"/>
              <w:jc w:val="center"/>
              <w:rPr>
                <w:sz w:val="22"/>
              </w:rPr>
            </w:pPr>
            <w:r>
              <w:rPr>
                <w:w w:val="100"/>
                <w:sz w:val="22"/>
              </w:rPr>
              <w:t>N</w:t>
            </w:r>
          </w:p>
        </w:tc>
        <w:tc>
          <w:tcPr>
            <w:tcW w:w="1067" w:type="dxa"/>
          </w:tcPr>
          <w:p>
            <w:pPr>
              <w:pStyle w:val="TableParagraph"/>
              <w:rPr>
                <w:sz w:val="24"/>
              </w:rPr>
            </w:pPr>
          </w:p>
          <w:p>
            <w:pPr>
              <w:pStyle w:val="TableParagraph"/>
              <w:spacing w:before="8"/>
              <w:rPr>
                <w:sz w:val="30"/>
              </w:rPr>
            </w:pPr>
          </w:p>
          <w:p>
            <w:pPr>
              <w:pStyle w:val="TableParagraph"/>
              <w:ind w:left="185" w:right="171"/>
              <w:jc w:val="center"/>
              <w:rPr>
                <w:sz w:val="22"/>
              </w:rPr>
            </w:pPr>
            <w:r>
              <w:rPr>
                <w:spacing w:val="-2"/>
                <w:sz w:val="22"/>
              </w:rPr>
              <w:t>10/1/22</w:t>
            </w:r>
          </w:p>
        </w:tc>
        <w:tc>
          <w:tcPr>
            <w:tcW w:w="1218" w:type="dxa"/>
          </w:tcPr>
          <w:p>
            <w:pPr>
              <w:pStyle w:val="TableParagraph"/>
              <w:rPr>
                <w:sz w:val="24"/>
              </w:rPr>
            </w:pPr>
          </w:p>
          <w:p>
            <w:pPr>
              <w:pStyle w:val="TableParagraph"/>
              <w:spacing w:before="8"/>
              <w:rPr>
                <w:sz w:val="30"/>
              </w:rPr>
            </w:pPr>
          </w:p>
          <w:p>
            <w:pPr>
              <w:pStyle w:val="TableParagraph"/>
              <w:ind w:right="200"/>
              <w:jc w:val="right"/>
              <w:rPr>
                <w:sz w:val="22"/>
              </w:rPr>
            </w:pPr>
            <w:r>
              <w:rPr>
                <w:spacing w:val="-2"/>
                <w:sz w:val="22"/>
              </w:rPr>
              <w:t>12/31/27</w:t>
            </w:r>
          </w:p>
        </w:tc>
      </w:tr>
      <w:tr>
        <w:trPr>
          <w:trHeight w:val="621" w:hRule="atLeast"/>
        </w:trPr>
        <w:tc>
          <w:tcPr>
            <w:tcW w:w="1738" w:type="dxa"/>
          </w:tcPr>
          <w:p>
            <w:pPr>
              <w:pStyle w:val="TableParagraph"/>
              <w:spacing w:before="56"/>
              <w:ind w:left="307" w:right="296" w:firstLine="163"/>
              <w:rPr>
                <w:b/>
                <w:sz w:val="22"/>
              </w:rPr>
            </w:pPr>
            <w:r>
              <w:rPr>
                <w:b/>
                <w:spacing w:val="-2"/>
                <w:sz w:val="22"/>
              </w:rPr>
              <w:t>Hospital </w:t>
            </w:r>
            <w:r>
              <w:rPr>
                <w:b/>
                <w:sz w:val="22"/>
              </w:rPr>
              <w:t>Quality</w:t>
            </w:r>
            <w:r>
              <w:rPr>
                <w:b/>
                <w:spacing w:val="-14"/>
                <w:sz w:val="22"/>
              </w:rPr>
              <w:t> </w:t>
            </w:r>
            <w:r>
              <w:rPr>
                <w:b/>
                <w:sz w:val="22"/>
              </w:rPr>
              <w:t>and</w:t>
            </w:r>
          </w:p>
        </w:tc>
        <w:tc>
          <w:tcPr>
            <w:tcW w:w="2304" w:type="dxa"/>
          </w:tcPr>
          <w:p>
            <w:pPr>
              <w:pStyle w:val="TableParagraph"/>
              <w:spacing w:before="56"/>
              <w:ind w:left="460" w:hanging="337"/>
              <w:rPr>
                <w:sz w:val="22"/>
              </w:rPr>
            </w:pPr>
            <w:r>
              <w:rPr>
                <w:sz w:val="22"/>
              </w:rPr>
              <w:t>Report</w:t>
            </w:r>
            <w:r>
              <w:rPr>
                <w:spacing w:val="-14"/>
                <w:sz w:val="22"/>
              </w:rPr>
              <w:t> </w:t>
            </w:r>
            <w:r>
              <w:rPr>
                <w:sz w:val="22"/>
              </w:rPr>
              <w:t>all</w:t>
            </w:r>
            <w:r>
              <w:rPr>
                <w:spacing w:val="-14"/>
                <w:sz w:val="22"/>
              </w:rPr>
              <w:t> </w:t>
            </w:r>
            <w:r>
              <w:rPr>
                <w:sz w:val="22"/>
              </w:rPr>
              <w:t>expenditures for the Hospital</w:t>
            </w:r>
          </w:p>
        </w:tc>
        <w:tc>
          <w:tcPr>
            <w:tcW w:w="1519" w:type="dxa"/>
          </w:tcPr>
          <w:p>
            <w:pPr>
              <w:pStyle w:val="TableParagraph"/>
              <w:rPr>
                <w:sz w:val="20"/>
              </w:rPr>
            </w:pPr>
          </w:p>
        </w:tc>
        <w:tc>
          <w:tcPr>
            <w:tcW w:w="1406" w:type="dxa"/>
          </w:tcPr>
          <w:p>
            <w:pPr>
              <w:pStyle w:val="TableParagraph"/>
              <w:spacing w:before="56"/>
              <w:ind w:left="328" w:firstLine="60"/>
              <w:rPr>
                <w:sz w:val="22"/>
              </w:rPr>
            </w:pPr>
            <w:r>
              <w:rPr>
                <w:spacing w:val="-2"/>
                <w:sz w:val="22"/>
              </w:rPr>
              <w:t>Follow standard</w:t>
            </w:r>
          </w:p>
        </w:tc>
        <w:tc>
          <w:tcPr>
            <w:tcW w:w="1742" w:type="dxa"/>
          </w:tcPr>
          <w:p>
            <w:pPr>
              <w:pStyle w:val="TableParagraph"/>
              <w:spacing w:before="183"/>
              <w:ind w:left="125" w:right="118"/>
              <w:jc w:val="center"/>
              <w:rPr>
                <w:sz w:val="22"/>
              </w:rPr>
            </w:pPr>
            <w:r>
              <w:rPr>
                <w:sz w:val="22"/>
              </w:rPr>
              <w:t>Date</w:t>
            </w:r>
            <w:r>
              <w:rPr>
                <w:spacing w:val="-4"/>
                <w:sz w:val="22"/>
              </w:rPr>
              <w:t> </w:t>
            </w:r>
            <w:r>
              <w:rPr>
                <w:sz w:val="22"/>
              </w:rPr>
              <w:t>of</w:t>
            </w:r>
            <w:r>
              <w:rPr>
                <w:spacing w:val="-1"/>
                <w:sz w:val="22"/>
              </w:rPr>
              <w:t> </w:t>
            </w:r>
            <w:r>
              <w:rPr>
                <w:spacing w:val="-2"/>
                <w:sz w:val="22"/>
              </w:rPr>
              <w:t>payment</w:t>
            </w:r>
          </w:p>
        </w:tc>
        <w:tc>
          <w:tcPr>
            <w:tcW w:w="1269" w:type="dxa"/>
          </w:tcPr>
          <w:p>
            <w:pPr>
              <w:pStyle w:val="TableParagraph"/>
              <w:spacing w:before="183"/>
              <w:ind w:left="93" w:right="86"/>
              <w:jc w:val="center"/>
              <w:rPr>
                <w:sz w:val="22"/>
              </w:rPr>
            </w:pPr>
            <w:r>
              <w:rPr>
                <w:spacing w:val="-5"/>
                <w:sz w:val="22"/>
              </w:rPr>
              <w:t>ADM</w:t>
            </w:r>
          </w:p>
        </w:tc>
        <w:tc>
          <w:tcPr>
            <w:tcW w:w="1403" w:type="dxa"/>
          </w:tcPr>
          <w:p>
            <w:pPr>
              <w:pStyle w:val="TableParagraph"/>
              <w:spacing w:before="183"/>
              <w:ind w:left="11"/>
              <w:jc w:val="center"/>
              <w:rPr>
                <w:sz w:val="22"/>
              </w:rPr>
            </w:pPr>
            <w:r>
              <w:rPr>
                <w:w w:val="100"/>
                <w:sz w:val="22"/>
              </w:rPr>
              <w:t>N</w:t>
            </w:r>
          </w:p>
        </w:tc>
        <w:tc>
          <w:tcPr>
            <w:tcW w:w="1067" w:type="dxa"/>
          </w:tcPr>
          <w:p>
            <w:pPr>
              <w:pStyle w:val="TableParagraph"/>
              <w:spacing w:before="183"/>
              <w:ind w:left="185" w:right="171"/>
              <w:jc w:val="center"/>
              <w:rPr>
                <w:sz w:val="22"/>
              </w:rPr>
            </w:pPr>
            <w:r>
              <w:rPr>
                <w:spacing w:val="-2"/>
                <w:sz w:val="22"/>
              </w:rPr>
              <w:t>10/1/22</w:t>
            </w:r>
          </w:p>
        </w:tc>
        <w:tc>
          <w:tcPr>
            <w:tcW w:w="1218" w:type="dxa"/>
          </w:tcPr>
          <w:p>
            <w:pPr>
              <w:pStyle w:val="TableParagraph"/>
              <w:spacing w:before="183"/>
              <w:ind w:left="110"/>
              <w:rPr>
                <w:sz w:val="22"/>
              </w:rPr>
            </w:pPr>
            <w:r>
              <w:rPr>
                <w:spacing w:val="-2"/>
                <w:sz w:val="22"/>
              </w:rPr>
              <w:t>12/31/27</w:t>
            </w:r>
          </w:p>
        </w:tc>
      </w:tr>
    </w:tbl>
    <w:p>
      <w:pPr>
        <w:spacing w:after="0"/>
        <w:rPr>
          <w:sz w:val="22"/>
        </w:rPr>
        <w:sectPr>
          <w:pgSz w:w="15840" w:h="12240" w:orient="landscape"/>
          <w:pgMar w:header="0" w:footer="1201" w:top="1380" w:bottom="1400" w:left="820" w:right="1120"/>
        </w:sectPr>
      </w:pPr>
    </w:p>
    <w:p>
      <w:pPr>
        <w:pStyle w:val="BodyText"/>
        <w:spacing w:before="2"/>
        <w:rPr>
          <w:sz w:val="5"/>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38"/>
        <w:gridCol w:w="2304"/>
        <w:gridCol w:w="1519"/>
        <w:gridCol w:w="1406"/>
        <w:gridCol w:w="1742"/>
        <w:gridCol w:w="1269"/>
        <w:gridCol w:w="1403"/>
        <w:gridCol w:w="1067"/>
        <w:gridCol w:w="1218"/>
      </w:tblGrid>
      <w:tr>
        <w:trPr>
          <w:trHeight w:val="1012" w:hRule="atLeast"/>
        </w:trPr>
        <w:tc>
          <w:tcPr>
            <w:tcW w:w="1738" w:type="dxa"/>
          </w:tcPr>
          <w:p>
            <w:pPr>
              <w:pStyle w:val="TableParagraph"/>
              <w:ind w:left="441" w:firstLine="108"/>
              <w:rPr>
                <w:b/>
                <w:sz w:val="22"/>
              </w:rPr>
            </w:pPr>
            <w:r>
              <w:rPr>
                <w:b/>
                <w:spacing w:val="-2"/>
                <w:sz w:val="22"/>
              </w:rPr>
              <w:t>Equity Initiative</w:t>
            </w:r>
          </w:p>
        </w:tc>
        <w:tc>
          <w:tcPr>
            <w:tcW w:w="2304" w:type="dxa"/>
          </w:tcPr>
          <w:p>
            <w:pPr>
              <w:pStyle w:val="TableParagraph"/>
              <w:ind w:left="726" w:hanging="413"/>
              <w:rPr>
                <w:sz w:val="22"/>
              </w:rPr>
            </w:pPr>
            <w:r>
              <w:rPr>
                <w:sz w:val="22"/>
              </w:rPr>
              <w:t>Quality</w:t>
            </w:r>
            <w:r>
              <w:rPr>
                <w:spacing w:val="-14"/>
                <w:sz w:val="22"/>
              </w:rPr>
              <w:t> </w:t>
            </w:r>
            <w:r>
              <w:rPr>
                <w:sz w:val="22"/>
              </w:rPr>
              <w:t>and</w:t>
            </w:r>
            <w:r>
              <w:rPr>
                <w:spacing w:val="-14"/>
                <w:sz w:val="22"/>
              </w:rPr>
              <w:t> </w:t>
            </w:r>
            <w:r>
              <w:rPr>
                <w:sz w:val="22"/>
              </w:rPr>
              <w:t>Equity </w:t>
            </w:r>
            <w:r>
              <w:rPr>
                <w:spacing w:val="-2"/>
                <w:sz w:val="22"/>
              </w:rPr>
              <w:t>Initiative.</w:t>
            </w:r>
          </w:p>
        </w:tc>
        <w:tc>
          <w:tcPr>
            <w:tcW w:w="1519" w:type="dxa"/>
          </w:tcPr>
          <w:p>
            <w:pPr>
              <w:pStyle w:val="TableParagraph"/>
              <w:rPr>
                <w:sz w:val="20"/>
              </w:rPr>
            </w:pPr>
          </w:p>
        </w:tc>
        <w:tc>
          <w:tcPr>
            <w:tcW w:w="1406" w:type="dxa"/>
          </w:tcPr>
          <w:p>
            <w:pPr>
              <w:pStyle w:val="TableParagraph"/>
              <w:spacing w:line="251" w:lineRule="exact"/>
              <w:ind w:left="146" w:right="135"/>
              <w:jc w:val="center"/>
              <w:rPr>
                <w:sz w:val="22"/>
              </w:rPr>
            </w:pPr>
            <w:r>
              <w:rPr>
                <w:sz w:val="22"/>
              </w:rPr>
              <w:t>CMS</w:t>
            </w:r>
            <w:r>
              <w:rPr>
                <w:spacing w:val="-2"/>
                <w:sz w:val="22"/>
              </w:rPr>
              <w:t> 64.10-</w:t>
            </w:r>
          </w:p>
          <w:p>
            <w:pPr>
              <w:pStyle w:val="TableParagraph"/>
              <w:spacing w:line="252" w:lineRule="exact"/>
              <w:ind w:left="165" w:right="159"/>
              <w:jc w:val="center"/>
              <w:rPr>
                <w:sz w:val="22"/>
              </w:rPr>
            </w:pPr>
            <w:r>
              <w:rPr>
                <w:sz w:val="22"/>
              </w:rPr>
              <w:t>Category</w:t>
            </w:r>
            <w:r>
              <w:rPr>
                <w:spacing w:val="-14"/>
                <w:sz w:val="22"/>
              </w:rPr>
              <w:t> </w:t>
            </w:r>
            <w:r>
              <w:rPr>
                <w:sz w:val="22"/>
              </w:rPr>
              <w:t>of </w:t>
            </w:r>
            <w:r>
              <w:rPr>
                <w:spacing w:val="-2"/>
                <w:sz w:val="22"/>
              </w:rPr>
              <w:t>Service Definitions</w:t>
            </w:r>
          </w:p>
        </w:tc>
        <w:tc>
          <w:tcPr>
            <w:tcW w:w="1742" w:type="dxa"/>
          </w:tcPr>
          <w:p>
            <w:pPr>
              <w:pStyle w:val="TableParagraph"/>
              <w:rPr>
                <w:sz w:val="20"/>
              </w:rPr>
            </w:pPr>
          </w:p>
        </w:tc>
        <w:tc>
          <w:tcPr>
            <w:tcW w:w="1269" w:type="dxa"/>
          </w:tcPr>
          <w:p>
            <w:pPr>
              <w:pStyle w:val="TableParagraph"/>
              <w:rPr>
                <w:sz w:val="20"/>
              </w:rPr>
            </w:pPr>
          </w:p>
        </w:tc>
        <w:tc>
          <w:tcPr>
            <w:tcW w:w="1403" w:type="dxa"/>
          </w:tcPr>
          <w:p>
            <w:pPr>
              <w:pStyle w:val="TableParagraph"/>
              <w:rPr>
                <w:sz w:val="20"/>
              </w:rPr>
            </w:pPr>
          </w:p>
        </w:tc>
        <w:tc>
          <w:tcPr>
            <w:tcW w:w="1067" w:type="dxa"/>
          </w:tcPr>
          <w:p>
            <w:pPr>
              <w:pStyle w:val="TableParagraph"/>
              <w:rPr>
                <w:sz w:val="20"/>
              </w:rPr>
            </w:pPr>
          </w:p>
        </w:tc>
        <w:tc>
          <w:tcPr>
            <w:tcW w:w="1218" w:type="dxa"/>
          </w:tcPr>
          <w:p>
            <w:pPr>
              <w:pStyle w:val="TableParagraph"/>
              <w:rPr>
                <w:sz w:val="20"/>
              </w:rPr>
            </w:pPr>
          </w:p>
        </w:tc>
      </w:tr>
      <w:tr>
        <w:trPr>
          <w:trHeight w:val="1516" w:hRule="atLeast"/>
        </w:trPr>
        <w:tc>
          <w:tcPr>
            <w:tcW w:w="1738" w:type="dxa"/>
          </w:tcPr>
          <w:p>
            <w:pPr>
              <w:pStyle w:val="TableParagraph"/>
              <w:rPr>
                <w:sz w:val="24"/>
              </w:rPr>
            </w:pPr>
          </w:p>
          <w:p>
            <w:pPr>
              <w:pStyle w:val="TableParagraph"/>
              <w:spacing w:before="10"/>
              <w:rPr>
                <w:sz w:val="19"/>
              </w:rPr>
            </w:pPr>
          </w:p>
          <w:p>
            <w:pPr>
              <w:pStyle w:val="TableParagraph"/>
              <w:ind w:left="441" w:hanging="89"/>
              <w:rPr>
                <w:b/>
                <w:sz w:val="22"/>
              </w:rPr>
            </w:pPr>
            <w:r>
              <w:rPr>
                <w:b/>
                <w:spacing w:val="-2"/>
                <w:sz w:val="22"/>
              </w:rPr>
              <w:t>Workforce Initiative</w:t>
            </w:r>
          </w:p>
        </w:tc>
        <w:tc>
          <w:tcPr>
            <w:tcW w:w="2304" w:type="dxa"/>
          </w:tcPr>
          <w:p>
            <w:pPr>
              <w:pStyle w:val="TableParagraph"/>
              <w:spacing w:before="8"/>
              <w:rPr>
                <w:sz w:val="21"/>
              </w:rPr>
            </w:pPr>
          </w:p>
          <w:p>
            <w:pPr>
              <w:pStyle w:val="TableParagraph"/>
              <w:spacing w:before="1"/>
              <w:ind w:left="113" w:right="102"/>
              <w:jc w:val="center"/>
              <w:rPr>
                <w:sz w:val="22"/>
              </w:rPr>
            </w:pPr>
            <w:r>
              <w:rPr>
                <w:sz w:val="22"/>
              </w:rPr>
              <w:t>Report</w:t>
            </w:r>
            <w:r>
              <w:rPr>
                <w:spacing w:val="-14"/>
                <w:sz w:val="22"/>
              </w:rPr>
              <w:t> </w:t>
            </w:r>
            <w:r>
              <w:rPr>
                <w:sz w:val="22"/>
              </w:rPr>
              <w:t>all</w:t>
            </w:r>
            <w:r>
              <w:rPr>
                <w:spacing w:val="-14"/>
                <w:sz w:val="22"/>
              </w:rPr>
              <w:t> </w:t>
            </w:r>
            <w:r>
              <w:rPr>
                <w:sz w:val="22"/>
              </w:rPr>
              <w:t>expenditures for student loan repayment and residency programs.</w:t>
            </w:r>
          </w:p>
        </w:tc>
        <w:tc>
          <w:tcPr>
            <w:tcW w:w="1519" w:type="dxa"/>
          </w:tcPr>
          <w:p>
            <w:pPr>
              <w:pStyle w:val="TableParagraph"/>
              <w:rPr>
                <w:sz w:val="20"/>
              </w:rPr>
            </w:pPr>
          </w:p>
        </w:tc>
        <w:tc>
          <w:tcPr>
            <w:tcW w:w="1406" w:type="dxa"/>
          </w:tcPr>
          <w:p>
            <w:pPr>
              <w:pStyle w:val="TableParagraph"/>
              <w:ind w:left="191" w:right="184" w:firstLine="3"/>
              <w:jc w:val="center"/>
              <w:rPr>
                <w:sz w:val="22"/>
              </w:rPr>
            </w:pPr>
            <w:r>
              <w:rPr>
                <w:spacing w:val="-2"/>
                <w:sz w:val="22"/>
              </w:rPr>
              <w:t>Follow standard </w:t>
            </w:r>
            <w:r>
              <w:rPr>
                <w:sz w:val="22"/>
              </w:rPr>
              <w:t>CMS</w:t>
            </w:r>
            <w:r>
              <w:rPr>
                <w:spacing w:val="-2"/>
                <w:sz w:val="22"/>
              </w:rPr>
              <w:t> </w:t>
            </w:r>
            <w:r>
              <w:rPr>
                <w:spacing w:val="-2"/>
                <w:sz w:val="22"/>
              </w:rPr>
              <w:t>64.10</w:t>
            </w:r>
          </w:p>
          <w:p>
            <w:pPr>
              <w:pStyle w:val="TableParagraph"/>
              <w:spacing w:line="252" w:lineRule="exact"/>
              <w:ind w:left="164" w:right="161"/>
              <w:jc w:val="center"/>
              <w:rPr>
                <w:sz w:val="22"/>
              </w:rPr>
            </w:pPr>
            <w:r>
              <w:rPr>
                <w:sz w:val="22"/>
              </w:rPr>
              <w:t>Category</w:t>
            </w:r>
            <w:r>
              <w:rPr>
                <w:spacing w:val="-6"/>
                <w:sz w:val="22"/>
              </w:rPr>
              <w:t> </w:t>
            </w:r>
            <w:r>
              <w:rPr>
                <w:spacing w:val="-5"/>
                <w:sz w:val="22"/>
              </w:rPr>
              <w:t>of</w:t>
            </w:r>
          </w:p>
          <w:p>
            <w:pPr>
              <w:pStyle w:val="TableParagraph"/>
              <w:spacing w:line="252" w:lineRule="exact"/>
              <w:ind w:left="205" w:right="197" w:hanging="2"/>
              <w:jc w:val="center"/>
              <w:rPr>
                <w:sz w:val="22"/>
              </w:rPr>
            </w:pPr>
            <w:r>
              <w:rPr>
                <w:spacing w:val="-2"/>
                <w:sz w:val="22"/>
              </w:rPr>
              <w:t>Service Definitions</w:t>
            </w:r>
          </w:p>
        </w:tc>
        <w:tc>
          <w:tcPr>
            <w:tcW w:w="1742" w:type="dxa"/>
          </w:tcPr>
          <w:p>
            <w:pPr>
              <w:pStyle w:val="TableParagraph"/>
              <w:rPr>
                <w:sz w:val="24"/>
              </w:rPr>
            </w:pPr>
          </w:p>
          <w:p>
            <w:pPr>
              <w:pStyle w:val="TableParagraph"/>
              <w:spacing w:before="8"/>
              <w:rPr>
                <w:sz w:val="30"/>
              </w:rPr>
            </w:pPr>
          </w:p>
          <w:p>
            <w:pPr>
              <w:pStyle w:val="TableParagraph"/>
              <w:ind w:left="136"/>
              <w:rPr>
                <w:sz w:val="22"/>
              </w:rPr>
            </w:pPr>
            <w:r>
              <w:rPr>
                <w:sz w:val="22"/>
              </w:rPr>
              <w:t>Date</w:t>
            </w:r>
            <w:r>
              <w:rPr>
                <w:spacing w:val="-4"/>
                <w:sz w:val="22"/>
              </w:rPr>
              <w:t> </w:t>
            </w:r>
            <w:r>
              <w:rPr>
                <w:sz w:val="22"/>
              </w:rPr>
              <w:t>of</w:t>
            </w:r>
            <w:r>
              <w:rPr>
                <w:spacing w:val="-1"/>
                <w:sz w:val="22"/>
              </w:rPr>
              <w:t> </w:t>
            </w:r>
            <w:r>
              <w:rPr>
                <w:spacing w:val="-2"/>
                <w:sz w:val="22"/>
              </w:rPr>
              <w:t>payment</w:t>
            </w:r>
          </w:p>
        </w:tc>
        <w:tc>
          <w:tcPr>
            <w:tcW w:w="1269" w:type="dxa"/>
          </w:tcPr>
          <w:p>
            <w:pPr>
              <w:pStyle w:val="TableParagraph"/>
              <w:rPr>
                <w:sz w:val="24"/>
              </w:rPr>
            </w:pPr>
          </w:p>
          <w:p>
            <w:pPr>
              <w:pStyle w:val="TableParagraph"/>
              <w:spacing w:before="8"/>
              <w:rPr>
                <w:sz w:val="30"/>
              </w:rPr>
            </w:pPr>
          </w:p>
          <w:p>
            <w:pPr>
              <w:pStyle w:val="TableParagraph"/>
              <w:ind w:left="93" w:right="86"/>
              <w:jc w:val="center"/>
              <w:rPr>
                <w:sz w:val="22"/>
              </w:rPr>
            </w:pPr>
            <w:r>
              <w:rPr>
                <w:spacing w:val="-5"/>
                <w:sz w:val="22"/>
              </w:rPr>
              <w:t>ADM</w:t>
            </w:r>
          </w:p>
        </w:tc>
        <w:tc>
          <w:tcPr>
            <w:tcW w:w="1403" w:type="dxa"/>
          </w:tcPr>
          <w:p>
            <w:pPr>
              <w:pStyle w:val="TableParagraph"/>
              <w:rPr>
                <w:sz w:val="24"/>
              </w:rPr>
            </w:pPr>
          </w:p>
          <w:p>
            <w:pPr>
              <w:pStyle w:val="TableParagraph"/>
              <w:spacing w:before="8"/>
              <w:rPr>
                <w:sz w:val="30"/>
              </w:rPr>
            </w:pPr>
          </w:p>
          <w:p>
            <w:pPr>
              <w:pStyle w:val="TableParagraph"/>
              <w:ind w:left="11"/>
              <w:jc w:val="center"/>
              <w:rPr>
                <w:sz w:val="22"/>
              </w:rPr>
            </w:pPr>
            <w:r>
              <w:rPr>
                <w:w w:val="100"/>
                <w:sz w:val="22"/>
              </w:rPr>
              <w:t>N</w:t>
            </w:r>
          </w:p>
        </w:tc>
        <w:tc>
          <w:tcPr>
            <w:tcW w:w="1067" w:type="dxa"/>
          </w:tcPr>
          <w:p>
            <w:pPr>
              <w:pStyle w:val="TableParagraph"/>
              <w:rPr>
                <w:sz w:val="24"/>
              </w:rPr>
            </w:pPr>
          </w:p>
          <w:p>
            <w:pPr>
              <w:pStyle w:val="TableParagraph"/>
              <w:spacing w:before="8"/>
              <w:rPr>
                <w:sz w:val="30"/>
              </w:rPr>
            </w:pPr>
          </w:p>
          <w:p>
            <w:pPr>
              <w:pStyle w:val="TableParagraph"/>
              <w:ind w:left="185" w:right="171"/>
              <w:jc w:val="center"/>
              <w:rPr>
                <w:sz w:val="22"/>
              </w:rPr>
            </w:pPr>
            <w:r>
              <w:rPr>
                <w:spacing w:val="-2"/>
                <w:sz w:val="22"/>
              </w:rPr>
              <w:t>10/1/22</w:t>
            </w:r>
          </w:p>
        </w:tc>
        <w:tc>
          <w:tcPr>
            <w:tcW w:w="1218" w:type="dxa"/>
          </w:tcPr>
          <w:p>
            <w:pPr>
              <w:pStyle w:val="TableParagraph"/>
              <w:rPr>
                <w:sz w:val="24"/>
              </w:rPr>
            </w:pPr>
          </w:p>
          <w:p>
            <w:pPr>
              <w:pStyle w:val="TableParagraph"/>
              <w:spacing w:before="8"/>
              <w:rPr>
                <w:sz w:val="30"/>
              </w:rPr>
            </w:pPr>
          </w:p>
          <w:p>
            <w:pPr>
              <w:pStyle w:val="TableParagraph"/>
              <w:ind w:left="110"/>
              <w:rPr>
                <w:sz w:val="22"/>
              </w:rPr>
            </w:pPr>
            <w:r>
              <w:rPr>
                <w:spacing w:val="-2"/>
                <w:sz w:val="22"/>
              </w:rPr>
              <w:t>12/31/27</w:t>
            </w:r>
          </w:p>
        </w:tc>
      </w:tr>
      <w:tr>
        <w:trPr>
          <w:trHeight w:val="1770" w:hRule="atLeast"/>
        </w:trPr>
        <w:tc>
          <w:tcPr>
            <w:tcW w:w="1738" w:type="dxa"/>
          </w:tcPr>
          <w:p>
            <w:pPr>
              <w:pStyle w:val="TableParagraph"/>
              <w:rPr>
                <w:sz w:val="24"/>
              </w:rPr>
            </w:pPr>
          </w:p>
          <w:p>
            <w:pPr>
              <w:pStyle w:val="TableParagraph"/>
              <w:rPr>
                <w:sz w:val="24"/>
              </w:rPr>
            </w:pPr>
          </w:p>
          <w:p>
            <w:pPr>
              <w:pStyle w:val="TableParagraph"/>
              <w:spacing w:before="207"/>
              <w:ind w:left="177"/>
              <w:rPr>
                <w:b/>
                <w:sz w:val="22"/>
              </w:rPr>
            </w:pPr>
            <w:r>
              <w:rPr>
                <w:b/>
                <w:sz w:val="22"/>
              </w:rPr>
              <w:t>HRSN</w:t>
            </w:r>
            <w:r>
              <w:rPr>
                <w:b/>
                <w:spacing w:val="-3"/>
                <w:sz w:val="22"/>
              </w:rPr>
              <w:t> </w:t>
            </w:r>
            <w:r>
              <w:rPr>
                <w:b/>
                <w:spacing w:val="-2"/>
                <w:sz w:val="22"/>
              </w:rPr>
              <w:t>Services</w:t>
            </w:r>
          </w:p>
        </w:tc>
        <w:tc>
          <w:tcPr>
            <w:tcW w:w="2304" w:type="dxa"/>
          </w:tcPr>
          <w:p>
            <w:pPr>
              <w:pStyle w:val="TableParagraph"/>
              <w:rPr>
                <w:sz w:val="24"/>
              </w:rPr>
            </w:pPr>
          </w:p>
          <w:p>
            <w:pPr>
              <w:pStyle w:val="TableParagraph"/>
              <w:spacing w:before="10"/>
              <w:rPr>
                <w:sz w:val="19"/>
              </w:rPr>
            </w:pPr>
          </w:p>
          <w:p>
            <w:pPr>
              <w:pStyle w:val="TableParagraph"/>
              <w:ind w:left="110" w:right="102"/>
              <w:jc w:val="center"/>
              <w:rPr>
                <w:sz w:val="22"/>
              </w:rPr>
            </w:pPr>
            <w:r>
              <w:rPr>
                <w:sz w:val="22"/>
              </w:rPr>
              <w:t>Report</w:t>
            </w:r>
            <w:r>
              <w:rPr>
                <w:spacing w:val="-14"/>
                <w:sz w:val="22"/>
              </w:rPr>
              <w:t> </w:t>
            </w:r>
            <w:r>
              <w:rPr>
                <w:sz w:val="22"/>
              </w:rPr>
              <w:t>all</w:t>
            </w:r>
            <w:r>
              <w:rPr>
                <w:spacing w:val="-14"/>
                <w:sz w:val="22"/>
              </w:rPr>
              <w:t> </w:t>
            </w:r>
            <w:r>
              <w:rPr>
                <w:sz w:val="22"/>
              </w:rPr>
              <w:t>expenditures for approved HRSN </w:t>
            </w:r>
            <w:r>
              <w:rPr>
                <w:spacing w:val="-2"/>
                <w:sz w:val="22"/>
              </w:rPr>
              <w:t>initiatives.</w:t>
            </w:r>
          </w:p>
        </w:tc>
        <w:tc>
          <w:tcPr>
            <w:tcW w:w="1519" w:type="dxa"/>
          </w:tcPr>
          <w:p>
            <w:pPr>
              <w:pStyle w:val="TableParagraph"/>
              <w:rPr>
                <w:sz w:val="20"/>
              </w:rPr>
            </w:pPr>
          </w:p>
        </w:tc>
        <w:tc>
          <w:tcPr>
            <w:tcW w:w="1406" w:type="dxa"/>
          </w:tcPr>
          <w:p>
            <w:pPr>
              <w:pStyle w:val="TableParagraph"/>
              <w:spacing w:before="1"/>
              <w:ind w:left="129" w:right="120" w:firstLine="1"/>
              <w:jc w:val="center"/>
              <w:rPr>
                <w:sz w:val="22"/>
              </w:rPr>
            </w:pPr>
            <w:r>
              <w:rPr>
                <w:spacing w:val="-2"/>
                <w:sz w:val="22"/>
              </w:rPr>
              <w:t>Follow standard </w:t>
            </w:r>
            <w:r>
              <w:rPr>
                <w:sz w:val="22"/>
              </w:rPr>
              <w:t>CMS</w:t>
            </w:r>
            <w:r>
              <w:rPr>
                <w:spacing w:val="-14"/>
                <w:sz w:val="22"/>
              </w:rPr>
              <w:t> </w:t>
            </w:r>
            <w:r>
              <w:rPr>
                <w:sz w:val="22"/>
              </w:rPr>
              <w:t>64.9</w:t>
            </w:r>
            <w:r>
              <w:rPr>
                <w:spacing w:val="-14"/>
                <w:sz w:val="22"/>
              </w:rPr>
              <w:t> </w:t>
            </w:r>
            <w:r>
              <w:rPr>
                <w:sz w:val="22"/>
              </w:rPr>
              <w:t>or</w:t>
            </w:r>
          </w:p>
          <w:p>
            <w:pPr>
              <w:pStyle w:val="TableParagraph"/>
              <w:spacing w:line="252" w:lineRule="exact"/>
              <w:ind w:left="453"/>
              <w:rPr>
                <w:sz w:val="22"/>
              </w:rPr>
            </w:pPr>
            <w:r>
              <w:rPr>
                <w:spacing w:val="-2"/>
                <w:sz w:val="22"/>
              </w:rPr>
              <w:t>64.10</w:t>
            </w:r>
          </w:p>
          <w:p>
            <w:pPr>
              <w:pStyle w:val="TableParagraph"/>
              <w:spacing w:line="252" w:lineRule="exact"/>
              <w:ind w:left="369" w:hanging="193"/>
              <w:rPr>
                <w:sz w:val="22"/>
              </w:rPr>
            </w:pPr>
            <w:r>
              <w:rPr>
                <w:sz w:val="22"/>
              </w:rPr>
              <w:t>Category</w:t>
            </w:r>
            <w:r>
              <w:rPr>
                <w:spacing w:val="-6"/>
                <w:sz w:val="22"/>
              </w:rPr>
              <w:t> </w:t>
            </w:r>
            <w:r>
              <w:rPr>
                <w:spacing w:val="-5"/>
                <w:sz w:val="22"/>
              </w:rPr>
              <w:t>of</w:t>
            </w:r>
          </w:p>
          <w:p>
            <w:pPr>
              <w:pStyle w:val="TableParagraph"/>
              <w:spacing w:line="252" w:lineRule="exact"/>
              <w:ind w:left="206" w:firstLine="163"/>
              <w:rPr>
                <w:sz w:val="22"/>
              </w:rPr>
            </w:pPr>
            <w:r>
              <w:rPr>
                <w:spacing w:val="-2"/>
                <w:sz w:val="22"/>
              </w:rPr>
              <w:t>Service Definitions</w:t>
            </w:r>
          </w:p>
        </w:tc>
        <w:tc>
          <w:tcPr>
            <w:tcW w:w="1742" w:type="dxa"/>
          </w:tcPr>
          <w:p>
            <w:pPr>
              <w:pStyle w:val="TableParagraph"/>
              <w:rPr>
                <w:sz w:val="24"/>
              </w:rPr>
            </w:pPr>
          </w:p>
          <w:p>
            <w:pPr>
              <w:pStyle w:val="TableParagraph"/>
              <w:spacing w:before="10"/>
              <w:rPr>
                <w:sz w:val="19"/>
              </w:rPr>
            </w:pPr>
          </w:p>
          <w:p>
            <w:pPr>
              <w:pStyle w:val="TableParagraph"/>
              <w:ind w:left="199" w:right="192" w:firstLine="2"/>
              <w:jc w:val="center"/>
              <w:rPr>
                <w:sz w:val="22"/>
              </w:rPr>
            </w:pPr>
            <w:r>
              <w:rPr>
                <w:sz w:val="22"/>
              </w:rPr>
              <w:t>Date of service/Date</w:t>
            </w:r>
            <w:r>
              <w:rPr>
                <w:spacing w:val="-14"/>
                <w:sz w:val="22"/>
              </w:rPr>
              <w:t> </w:t>
            </w:r>
            <w:r>
              <w:rPr>
                <w:sz w:val="22"/>
              </w:rPr>
              <w:t>of </w:t>
            </w:r>
            <w:r>
              <w:rPr>
                <w:spacing w:val="-2"/>
                <w:sz w:val="22"/>
              </w:rPr>
              <w:t>payment</w:t>
            </w:r>
          </w:p>
        </w:tc>
        <w:tc>
          <w:tcPr>
            <w:tcW w:w="1269" w:type="dxa"/>
          </w:tcPr>
          <w:p>
            <w:pPr>
              <w:pStyle w:val="TableParagraph"/>
              <w:rPr>
                <w:sz w:val="24"/>
              </w:rPr>
            </w:pPr>
          </w:p>
          <w:p>
            <w:pPr>
              <w:pStyle w:val="TableParagraph"/>
              <w:rPr>
                <w:sz w:val="24"/>
              </w:rPr>
            </w:pPr>
          </w:p>
          <w:p>
            <w:pPr>
              <w:pStyle w:val="TableParagraph"/>
              <w:spacing w:before="207"/>
              <w:ind w:left="95" w:right="86"/>
              <w:jc w:val="center"/>
              <w:rPr>
                <w:sz w:val="22"/>
              </w:rPr>
            </w:pPr>
            <w:r>
              <w:rPr>
                <w:spacing w:val="-2"/>
                <w:sz w:val="22"/>
              </w:rPr>
              <w:t>MAP/ADM</w:t>
            </w:r>
          </w:p>
        </w:tc>
        <w:tc>
          <w:tcPr>
            <w:tcW w:w="1403" w:type="dxa"/>
          </w:tcPr>
          <w:p>
            <w:pPr>
              <w:pStyle w:val="TableParagraph"/>
              <w:rPr>
                <w:sz w:val="24"/>
              </w:rPr>
            </w:pPr>
          </w:p>
          <w:p>
            <w:pPr>
              <w:pStyle w:val="TableParagraph"/>
              <w:rPr>
                <w:sz w:val="24"/>
              </w:rPr>
            </w:pPr>
          </w:p>
          <w:p>
            <w:pPr>
              <w:pStyle w:val="TableParagraph"/>
              <w:spacing w:before="207"/>
              <w:ind w:left="11"/>
              <w:jc w:val="center"/>
              <w:rPr>
                <w:sz w:val="22"/>
              </w:rPr>
            </w:pPr>
            <w:r>
              <w:rPr>
                <w:w w:val="100"/>
                <w:sz w:val="22"/>
              </w:rPr>
              <w:t>N</w:t>
            </w:r>
          </w:p>
        </w:tc>
        <w:tc>
          <w:tcPr>
            <w:tcW w:w="1067" w:type="dxa"/>
          </w:tcPr>
          <w:p>
            <w:pPr>
              <w:pStyle w:val="TableParagraph"/>
              <w:rPr>
                <w:sz w:val="24"/>
              </w:rPr>
            </w:pPr>
          </w:p>
          <w:p>
            <w:pPr>
              <w:pStyle w:val="TableParagraph"/>
              <w:rPr>
                <w:sz w:val="24"/>
              </w:rPr>
            </w:pPr>
          </w:p>
          <w:p>
            <w:pPr>
              <w:pStyle w:val="TableParagraph"/>
              <w:spacing w:before="207"/>
              <w:ind w:left="185" w:right="171"/>
              <w:jc w:val="center"/>
              <w:rPr>
                <w:sz w:val="22"/>
              </w:rPr>
            </w:pPr>
            <w:r>
              <w:rPr>
                <w:spacing w:val="-2"/>
                <w:sz w:val="22"/>
              </w:rPr>
              <w:t>10/1/22</w:t>
            </w:r>
          </w:p>
        </w:tc>
        <w:tc>
          <w:tcPr>
            <w:tcW w:w="1218" w:type="dxa"/>
          </w:tcPr>
          <w:p>
            <w:pPr>
              <w:pStyle w:val="TableParagraph"/>
              <w:rPr>
                <w:sz w:val="24"/>
              </w:rPr>
            </w:pPr>
          </w:p>
          <w:p>
            <w:pPr>
              <w:pStyle w:val="TableParagraph"/>
              <w:rPr>
                <w:sz w:val="24"/>
              </w:rPr>
            </w:pPr>
          </w:p>
          <w:p>
            <w:pPr>
              <w:pStyle w:val="TableParagraph"/>
              <w:spacing w:before="207"/>
              <w:ind w:right="200"/>
              <w:jc w:val="right"/>
              <w:rPr>
                <w:sz w:val="22"/>
              </w:rPr>
            </w:pPr>
            <w:r>
              <w:rPr>
                <w:spacing w:val="-2"/>
                <w:sz w:val="22"/>
              </w:rPr>
              <w:t>12/31/27</w:t>
            </w:r>
          </w:p>
        </w:tc>
      </w:tr>
      <w:tr>
        <w:trPr>
          <w:trHeight w:val="1518" w:hRule="atLeast"/>
        </w:trPr>
        <w:tc>
          <w:tcPr>
            <w:tcW w:w="1738" w:type="dxa"/>
          </w:tcPr>
          <w:p>
            <w:pPr>
              <w:pStyle w:val="TableParagraph"/>
              <w:rPr>
                <w:sz w:val="24"/>
              </w:rPr>
            </w:pPr>
          </w:p>
          <w:p>
            <w:pPr>
              <w:pStyle w:val="TableParagraph"/>
              <w:spacing w:before="10"/>
              <w:rPr>
                <w:sz w:val="19"/>
              </w:rPr>
            </w:pPr>
          </w:p>
          <w:p>
            <w:pPr>
              <w:pStyle w:val="TableParagraph"/>
              <w:ind w:left="105" w:right="98"/>
              <w:jc w:val="center"/>
              <w:rPr>
                <w:b/>
                <w:sz w:val="22"/>
              </w:rPr>
            </w:pPr>
            <w:r>
              <w:rPr>
                <w:b/>
                <w:spacing w:val="-4"/>
                <w:sz w:val="22"/>
              </w:rPr>
              <w:t>HRSN</w:t>
            </w:r>
          </w:p>
          <w:p>
            <w:pPr>
              <w:pStyle w:val="TableParagraph"/>
              <w:spacing w:before="1"/>
              <w:ind w:left="107" w:right="98"/>
              <w:jc w:val="center"/>
              <w:rPr>
                <w:b/>
                <w:sz w:val="22"/>
              </w:rPr>
            </w:pPr>
            <w:r>
              <w:rPr>
                <w:b/>
                <w:spacing w:val="-2"/>
                <w:sz w:val="22"/>
              </w:rPr>
              <w:t>Infrastructure</w:t>
            </w:r>
          </w:p>
        </w:tc>
        <w:tc>
          <w:tcPr>
            <w:tcW w:w="2304" w:type="dxa"/>
          </w:tcPr>
          <w:p>
            <w:pPr>
              <w:pStyle w:val="TableParagraph"/>
              <w:spacing w:before="125"/>
              <w:ind w:left="419" w:right="410" w:hanging="4"/>
              <w:jc w:val="center"/>
              <w:rPr>
                <w:sz w:val="22"/>
              </w:rPr>
            </w:pPr>
            <w:r>
              <w:rPr>
                <w:sz w:val="22"/>
              </w:rPr>
              <w:t>Report all </w:t>
            </w:r>
            <w:r>
              <w:rPr>
                <w:spacing w:val="-2"/>
                <w:sz w:val="22"/>
              </w:rPr>
              <w:t>infrastructure </w:t>
            </w:r>
            <w:r>
              <w:rPr>
                <w:sz w:val="22"/>
              </w:rPr>
              <w:t>expenditures</w:t>
            </w:r>
            <w:r>
              <w:rPr>
                <w:spacing w:val="-11"/>
                <w:sz w:val="22"/>
              </w:rPr>
              <w:t> </w:t>
            </w:r>
            <w:r>
              <w:rPr>
                <w:sz w:val="22"/>
              </w:rPr>
              <w:t>for approved</w:t>
            </w:r>
            <w:r>
              <w:rPr>
                <w:spacing w:val="-14"/>
                <w:sz w:val="22"/>
              </w:rPr>
              <w:t> </w:t>
            </w:r>
            <w:r>
              <w:rPr>
                <w:sz w:val="22"/>
              </w:rPr>
              <w:t>HRSN </w:t>
            </w:r>
            <w:r>
              <w:rPr>
                <w:spacing w:val="-2"/>
                <w:sz w:val="22"/>
              </w:rPr>
              <w:t>initiatives.</w:t>
            </w:r>
          </w:p>
        </w:tc>
        <w:tc>
          <w:tcPr>
            <w:tcW w:w="1519" w:type="dxa"/>
          </w:tcPr>
          <w:p>
            <w:pPr>
              <w:pStyle w:val="TableParagraph"/>
              <w:rPr>
                <w:sz w:val="20"/>
              </w:rPr>
            </w:pPr>
          </w:p>
        </w:tc>
        <w:tc>
          <w:tcPr>
            <w:tcW w:w="1406" w:type="dxa"/>
          </w:tcPr>
          <w:p>
            <w:pPr>
              <w:pStyle w:val="TableParagraph"/>
              <w:spacing w:before="1"/>
              <w:ind w:left="191" w:right="184" w:firstLine="3"/>
              <w:jc w:val="center"/>
              <w:rPr>
                <w:sz w:val="22"/>
              </w:rPr>
            </w:pPr>
            <w:r>
              <w:rPr>
                <w:spacing w:val="-2"/>
                <w:sz w:val="22"/>
              </w:rPr>
              <w:t>Follow standard </w:t>
            </w:r>
            <w:r>
              <w:rPr>
                <w:sz w:val="22"/>
              </w:rPr>
              <w:t>CMS</w:t>
            </w:r>
            <w:r>
              <w:rPr>
                <w:spacing w:val="-2"/>
                <w:sz w:val="22"/>
              </w:rPr>
              <w:t> </w:t>
            </w:r>
            <w:r>
              <w:rPr>
                <w:spacing w:val="-2"/>
                <w:sz w:val="22"/>
              </w:rPr>
              <w:t>64.10</w:t>
            </w:r>
          </w:p>
          <w:p>
            <w:pPr>
              <w:pStyle w:val="TableParagraph"/>
              <w:ind w:left="165" w:right="159"/>
              <w:jc w:val="center"/>
              <w:rPr>
                <w:sz w:val="22"/>
              </w:rPr>
            </w:pPr>
            <w:r>
              <w:rPr>
                <w:sz w:val="22"/>
              </w:rPr>
              <w:t>Category</w:t>
            </w:r>
            <w:r>
              <w:rPr>
                <w:spacing w:val="-14"/>
                <w:sz w:val="22"/>
              </w:rPr>
              <w:t> </w:t>
            </w:r>
            <w:r>
              <w:rPr>
                <w:sz w:val="22"/>
              </w:rPr>
              <w:t>of </w:t>
            </w:r>
            <w:r>
              <w:rPr>
                <w:spacing w:val="-2"/>
                <w:sz w:val="22"/>
              </w:rPr>
              <w:t>Service</w:t>
            </w:r>
          </w:p>
          <w:p>
            <w:pPr>
              <w:pStyle w:val="TableParagraph"/>
              <w:spacing w:line="233" w:lineRule="exact"/>
              <w:ind w:left="165" w:right="159"/>
              <w:jc w:val="center"/>
              <w:rPr>
                <w:sz w:val="22"/>
              </w:rPr>
            </w:pPr>
            <w:r>
              <w:rPr>
                <w:spacing w:val="-2"/>
                <w:sz w:val="22"/>
              </w:rPr>
              <w:t>Definitions</w:t>
            </w:r>
          </w:p>
        </w:tc>
        <w:tc>
          <w:tcPr>
            <w:tcW w:w="1742" w:type="dxa"/>
          </w:tcPr>
          <w:p>
            <w:pPr>
              <w:pStyle w:val="TableParagraph"/>
              <w:rPr>
                <w:sz w:val="33"/>
              </w:rPr>
            </w:pPr>
          </w:p>
          <w:p>
            <w:pPr>
              <w:pStyle w:val="TableParagraph"/>
              <w:ind w:left="199" w:right="192" w:firstLine="2"/>
              <w:jc w:val="center"/>
              <w:rPr>
                <w:sz w:val="22"/>
              </w:rPr>
            </w:pPr>
            <w:r>
              <w:rPr>
                <w:sz w:val="22"/>
              </w:rPr>
              <w:t>Date of service/Date</w:t>
            </w:r>
            <w:r>
              <w:rPr>
                <w:spacing w:val="-14"/>
                <w:sz w:val="22"/>
              </w:rPr>
              <w:t> </w:t>
            </w:r>
            <w:r>
              <w:rPr>
                <w:sz w:val="22"/>
              </w:rPr>
              <w:t>of </w:t>
            </w:r>
            <w:r>
              <w:rPr>
                <w:spacing w:val="-2"/>
                <w:sz w:val="22"/>
              </w:rPr>
              <w:t>payment</w:t>
            </w:r>
          </w:p>
        </w:tc>
        <w:tc>
          <w:tcPr>
            <w:tcW w:w="1269" w:type="dxa"/>
          </w:tcPr>
          <w:p>
            <w:pPr>
              <w:pStyle w:val="TableParagraph"/>
              <w:rPr>
                <w:sz w:val="24"/>
              </w:rPr>
            </w:pPr>
          </w:p>
          <w:p>
            <w:pPr>
              <w:pStyle w:val="TableParagraph"/>
              <w:spacing w:before="11"/>
              <w:rPr>
                <w:sz w:val="30"/>
              </w:rPr>
            </w:pPr>
          </w:p>
          <w:p>
            <w:pPr>
              <w:pStyle w:val="TableParagraph"/>
              <w:ind w:left="93" w:right="86"/>
              <w:jc w:val="center"/>
              <w:rPr>
                <w:sz w:val="22"/>
              </w:rPr>
            </w:pPr>
            <w:r>
              <w:rPr>
                <w:spacing w:val="-5"/>
                <w:sz w:val="22"/>
              </w:rPr>
              <w:t>ADM</w:t>
            </w:r>
          </w:p>
        </w:tc>
        <w:tc>
          <w:tcPr>
            <w:tcW w:w="1403" w:type="dxa"/>
          </w:tcPr>
          <w:p>
            <w:pPr>
              <w:pStyle w:val="TableParagraph"/>
              <w:rPr>
                <w:sz w:val="24"/>
              </w:rPr>
            </w:pPr>
          </w:p>
          <w:p>
            <w:pPr>
              <w:pStyle w:val="TableParagraph"/>
              <w:spacing w:before="11"/>
              <w:rPr>
                <w:sz w:val="30"/>
              </w:rPr>
            </w:pPr>
          </w:p>
          <w:p>
            <w:pPr>
              <w:pStyle w:val="TableParagraph"/>
              <w:ind w:left="12"/>
              <w:jc w:val="center"/>
              <w:rPr>
                <w:sz w:val="22"/>
              </w:rPr>
            </w:pPr>
            <w:r>
              <w:rPr>
                <w:w w:val="100"/>
                <w:sz w:val="22"/>
              </w:rPr>
              <w:t>N</w:t>
            </w:r>
          </w:p>
        </w:tc>
        <w:tc>
          <w:tcPr>
            <w:tcW w:w="1067" w:type="dxa"/>
          </w:tcPr>
          <w:p>
            <w:pPr>
              <w:pStyle w:val="TableParagraph"/>
              <w:rPr>
                <w:sz w:val="24"/>
              </w:rPr>
            </w:pPr>
          </w:p>
          <w:p>
            <w:pPr>
              <w:pStyle w:val="TableParagraph"/>
              <w:spacing w:before="11"/>
              <w:rPr>
                <w:sz w:val="30"/>
              </w:rPr>
            </w:pPr>
          </w:p>
          <w:p>
            <w:pPr>
              <w:pStyle w:val="TableParagraph"/>
              <w:ind w:left="186" w:right="171"/>
              <w:jc w:val="center"/>
              <w:rPr>
                <w:sz w:val="22"/>
              </w:rPr>
            </w:pPr>
            <w:r>
              <w:rPr>
                <w:spacing w:val="-2"/>
                <w:sz w:val="22"/>
              </w:rPr>
              <w:t>10/1/22</w:t>
            </w:r>
          </w:p>
        </w:tc>
        <w:tc>
          <w:tcPr>
            <w:tcW w:w="1218" w:type="dxa"/>
          </w:tcPr>
          <w:p>
            <w:pPr>
              <w:pStyle w:val="TableParagraph"/>
              <w:rPr>
                <w:sz w:val="24"/>
              </w:rPr>
            </w:pPr>
          </w:p>
          <w:p>
            <w:pPr>
              <w:pStyle w:val="TableParagraph"/>
              <w:spacing w:before="11"/>
              <w:rPr>
                <w:sz w:val="30"/>
              </w:rPr>
            </w:pPr>
          </w:p>
          <w:p>
            <w:pPr>
              <w:pStyle w:val="TableParagraph"/>
              <w:ind w:right="199"/>
              <w:jc w:val="right"/>
              <w:rPr>
                <w:sz w:val="22"/>
              </w:rPr>
            </w:pPr>
            <w:r>
              <w:rPr>
                <w:spacing w:val="-2"/>
                <w:sz w:val="22"/>
              </w:rPr>
              <w:t>12/31/27</w:t>
            </w:r>
          </w:p>
        </w:tc>
      </w:tr>
      <w:tr>
        <w:trPr>
          <w:trHeight w:val="1770" w:hRule="atLeast"/>
        </w:trPr>
        <w:tc>
          <w:tcPr>
            <w:tcW w:w="1738" w:type="dxa"/>
          </w:tcPr>
          <w:p>
            <w:pPr>
              <w:pStyle w:val="TableParagraph"/>
              <w:rPr>
                <w:sz w:val="24"/>
              </w:rPr>
            </w:pPr>
          </w:p>
          <w:p>
            <w:pPr>
              <w:pStyle w:val="TableParagraph"/>
              <w:spacing w:before="10"/>
              <w:rPr>
                <w:sz w:val="19"/>
              </w:rPr>
            </w:pPr>
          </w:p>
          <w:p>
            <w:pPr>
              <w:pStyle w:val="TableParagraph"/>
              <w:ind w:left="146" w:right="134"/>
              <w:jc w:val="center"/>
              <w:rPr>
                <w:b/>
                <w:sz w:val="22"/>
              </w:rPr>
            </w:pPr>
            <w:r>
              <w:rPr>
                <w:b/>
                <w:spacing w:val="-2"/>
                <w:sz w:val="22"/>
              </w:rPr>
              <w:t>Flexible Services: Transportation</w:t>
            </w:r>
          </w:p>
        </w:tc>
        <w:tc>
          <w:tcPr>
            <w:tcW w:w="2304" w:type="dxa"/>
          </w:tcPr>
          <w:p>
            <w:pPr>
              <w:pStyle w:val="TableParagraph"/>
              <w:spacing w:before="11"/>
              <w:rPr>
                <w:sz w:val="21"/>
              </w:rPr>
            </w:pPr>
          </w:p>
          <w:p>
            <w:pPr>
              <w:pStyle w:val="TableParagraph"/>
              <w:ind w:left="113" w:right="102"/>
              <w:jc w:val="center"/>
              <w:rPr>
                <w:sz w:val="22"/>
              </w:rPr>
            </w:pPr>
            <w:r>
              <w:rPr>
                <w:sz w:val="22"/>
              </w:rPr>
              <w:t>Report</w:t>
            </w:r>
            <w:r>
              <w:rPr>
                <w:spacing w:val="-14"/>
                <w:sz w:val="22"/>
              </w:rPr>
              <w:t> </w:t>
            </w:r>
            <w:r>
              <w:rPr>
                <w:sz w:val="22"/>
              </w:rPr>
              <w:t>all</w:t>
            </w:r>
            <w:r>
              <w:rPr>
                <w:spacing w:val="-14"/>
                <w:sz w:val="22"/>
              </w:rPr>
              <w:t> </w:t>
            </w:r>
            <w:r>
              <w:rPr>
                <w:sz w:val="22"/>
              </w:rPr>
              <w:t>expenditures for the transportation benefit under the Flexible Services </w:t>
            </w:r>
            <w:r>
              <w:rPr>
                <w:spacing w:val="-2"/>
                <w:sz w:val="22"/>
              </w:rPr>
              <w:t>Program.</w:t>
            </w:r>
          </w:p>
        </w:tc>
        <w:tc>
          <w:tcPr>
            <w:tcW w:w="1519" w:type="dxa"/>
          </w:tcPr>
          <w:p>
            <w:pPr>
              <w:pStyle w:val="TableParagraph"/>
              <w:rPr>
                <w:sz w:val="20"/>
              </w:rPr>
            </w:pPr>
          </w:p>
        </w:tc>
        <w:tc>
          <w:tcPr>
            <w:tcW w:w="1406" w:type="dxa"/>
          </w:tcPr>
          <w:p>
            <w:pPr>
              <w:pStyle w:val="TableParagraph"/>
              <w:ind w:left="129" w:right="120" w:firstLine="1"/>
              <w:jc w:val="center"/>
              <w:rPr>
                <w:sz w:val="22"/>
              </w:rPr>
            </w:pPr>
            <w:r>
              <w:rPr>
                <w:spacing w:val="-2"/>
                <w:sz w:val="22"/>
              </w:rPr>
              <w:t>Follow standard </w:t>
            </w:r>
            <w:r>
              <w:rPr>
                <w:sz w:val="22"/>
              </w:rPr>
              <w:t>CMS</w:t>
            </w:r>
            <w:r>
              <w:rPr>
                <w:spacing w:val="-14"/>
                <w:sz w:val="22"/>
              </w:rPr>
              <w:t> </w:t>
            </w:r>
            <w:r>
              <w:rPr>
                <w:sz w:val="22"/>
              </w:rPr>
              <w:t>64.9</w:t>
            </w:r>
            <w:r>
              <w:rPr>
                <w:spacing w:val="-14"/>
                <w:sz w:val="22"/>
              </w:rPr>
              <w:t> </w:t>
            </w:r>
            <w:r>
              <w:rPr>
                <w:sz w:val="22"/>
              </w:rPr>
              <w:t>or</w:t>
            </w:r>
          </w:p>
          <w:p>
            <w:pPr>
              <w:pStyle w:val="TableParagraph"/>
              <w:spacing w:line="252" w:lineRule="exact"/>
              <w:ind w:left="165" w:right="158"/>
              <w:jc w:val="center"/>
              <w:rPr>
                <w:sz w:val="22"/>
              </w:rPr>
            </w:pPr>
            <w:r>
              <w:rPr>
                <w:spacing w:val="-2"/>
                <w:sz w:val="22"/>
              </w:rPr>
              <w:t>64.10</w:t>
            </w:r>
          </w:p>
          <w:p>
            <w:pPr>
              <w:pStyle w:val="TableParagraph"/>
              <w:ind w:left="165" w:right="159"/>
              <w:jc w:val="center"/>
              <w:rPr>
                <w:sz w:val="22"/>
              </w:rPr>
            </w:pPr>
            <w:r>
              <w:rPr>
                <w:sz w:val="22"/>
              </w:rPr>
              <w:t>Category</w:t>
            </w:r>
            <w:r>
              <w:rPr>
                <w:spacing w:val="-14"/>
                <w:sz w:val="22"/>
              </w:rPr>
              <w:t> </w:t>
            </w:r>
            <w:r>
              <w:rPr>
                <w:sz w:val="22"/>
              </w:rPr>
              <w:t>of </w:t>
            </w:r>
            <w:r>
              <w:rPr>
                <w:spacing w:val="-2"/>
                <w:sz w:val="22"/>
              </w:rPr>
              <w:t>Service</w:t>
            </w:r>
          </w:p>
          <w:p>
            <w:pPr>
              <w:pStyle w:val="TableParagraph"/>
              <w:spacing w:line="233" w:lineRule="exact"/>
              <w:ind w:left="165" w:right="159"/>
              <w:jc w:val="center"/>
              <w:rPr>
                <w:sz w:val="22"/>
              </w:rPr>
            </w:pPr>
            <w:r>
              <w:rPr>
                <w:spacing w:val="-2"/>
                <w:sz w:val="22"/>
              </w:rPr>
              <w:t>Definitions</w:t>
            </w:r>
          </w:p>
        </w:tc>
        <w:tc>
          <w:tcPr>
            <w:tcW w:w="1742" w:type="dxa"/>
          </w:tcPr>
          <w:p>
            <w:pPr>
              <w:pStyle w:val="TableParagraph"/>
              <w:rPr>
                <w:sz w:val="24"/>
              </w:rPr>
            </w:pPr>
          </w:p>
          <w:p>
            <w:pPr>
              <w:pStyle w:val="TableParagraph"/>
              <w:spacing w:before="10"/>
              <w:rPr>
                <w:sz w:val="19"/>
              </w:rPr>
            </w:pPr>
          </w:p>
          <w:p>
            <w:pPr>
              <w:pStyle w:val="TableParagraph"/>
              <w:ind w:left="199" w:right="192" w:firstLine="2"/>
              <w:jc w:val="center"/>
              <w:rPr>
                <w:sz w:val="22"/>
              </w:rPr>
            </w:pPr>
            <w:r>
              <w:rPr>
                <w:sz w:val="22"/>
              </w:rPr>
              <w:t>Date of service/Date</w:t>
            </w:r>
            <w:r>
              <w:rPr>
                <w:spacing w:val="-14"/>
                <w:sz w:val="22"/>
              </w:rPr>
              <w:t> </w:t>
            </w:r>
            <w:r>
              <w:rPr>
                <w:sz w:val="22"/>
              </w:rPr>
              <w:t>of </w:t>
            </w:r>
            <w:r>
              <w:rPr>
                <w:spacing w:val="-2"/>
                <w:sz w:val="22"/>
              </w:rPr>
              <w:t>payment</w:t>
            </w:r>
          </w:p>
        </w:tc>
        <w:tc>
          <w:tcPr>
            <w:tcW w:w="1269" w:type="dxa"/>
          </w:tcPr>
          <w:p>
            <w:pPr>
              <w:pStyle w:val="TableParagraph"/>
              <w:rPr>
                <w:sz w:val="24"/>
              </w:rPr>
            </w:pPr>
          </w:p>
          <w:p>
            <w:pPr>
              <w:pStyle w:val="TableParagraph"/>
              <w:rPr>
                <w:sz w:val="24"/>
              </w:rPr>
            </w:pPr>
          </w:p>
          <w:p>
            <w:pPr>
              <w:pStyle w:val="TableParagraph"/>
              <w:spacing w:before="204"/>
              <w:ind w:left="95" w:right="86"/>
              <w:jc w:val="center"/>
              <w:rPr>
                <w:sz w:val="22"/>
              </w:rPr>
            </w:pPr>
            <w:r>
              <w:rPr>
                <w:spacing w:val="-2"/>
                <w:sz w:val="22"/>
              </w:rPr>
              <w:t>MAP/ADM</w:t>
            </w:r>
          </w:p>
        </w:tc>
        <w:tc>
          <w:tcPr>
            <w:tcW w:w="1403" w:type="dxa"/>
          </w:tcPr>
          <w:p>
            <w:pPr>
              <w:pStyle w:val="TableParagraph"/>
              <w:rPr>
                <w:sz w:val="24"/>
              </w:rPr>
            </w:pPr>
          </w:p>
          <w:p>
            <w:pPr>
              <w:pStyle w:val="TableParagraph"/>
              <w:rPr>
                <w:sz w:val="24"/>
              </w:rPr>
            </w:pPr>
          </w:p>
          <w:p>
            <w:pPr>
              <w:pStyle w:val="TableParagraph"/>
              <w:spacing w:before="204"/>
              <w:ind w:left="11"/>
              <w:jc w:val="center"/>
              <w:rPr>
                <w:sz w:val="22"/>
              </w:rPr>
            </w:pPr>
            <w:r>
              <w:rPr>
                <w:w w:val="100"/>
                <w:sz w:val="22"/>
              </w:rPr>
              <w:t>N</w:t>
            </w:r>
          </w:p>
        </w:tc>
        <w:tc>
          <w:tcPr>
            <w:tcW w:w="1067" w:type="dxa"/>
          </w:tcPr>
          <w:p>
            <w:pPr>
              <w:pStyle w:val="TableParagraph"/>
              <w:rPr>
                <w:sz w:val="24"/>
              </w:rPr>
            </w:pPr>
          </w:p>
          <w:p>
            <w:pPr>
              <w:pStyle w:val="TableParagraph"/>
              <w:rPr>
                <w:sz w:val="24"/>
              </w:rPr>
            </w:pPr>
          </w:p>
          <w:p>
            <w:pPr>
              <w:pStyle w:val="TableParagraph"/>
              <w:spacing w:before="204"/>
              <w:ind w:left="185" w:right="171"/>
              <w:jc w:val="center"/>
              <w:rPr>
                <w:sz w:val="22"/>
              </w:rPr>
            </w:pPr>
            <w:r>
              <w:rPr>
                <w:spacing w:val="-2"/>
                <w:sz w:val="22"/>
              </w:rPr>
              <w:t>10/1/22</w:t>
            </w:r>
          </w:p>
        </w:tc>
        <w:tc>
          <w:tcPr>
            <w:tcW w:w="1218" w:type="dxa"/>
          </w:tcPr>
          <w:p>
            <w:pPr>
              <w:pStyle w:val="TableParagraph"/>
              <w:rPr>
                <w:sz w:val="24"/>
              </w:rPr>
            </w:pPr>
          </w:p>
          <w:p>
            <w:pPr>
              <w:pStyle w:val="TableParagraph"/>
              <w:rPr>
                <w:sz w:val="24"/>
              </w:rPr>
            </w:pPr>
          </w:p>
          <w:p>
            <w:pPr>
              <w:pStyle w:val="TableParagraph"/>
              <w:spacing w:before="204"/>
              <w:ind w:right="200"/>
              <w:jc w:val="right"/>
              <w:rPr>
                <w:sz w:val="22"/>
              </w:rPr>
            </w:pPr>
            <w:r>
              <w:rPr>
                <w:spacing w:val="-2"/>
                <w:sz w:val="22"/>
              </w:rPr>
              <w:t>12/31/27</w:t>
            </w:r>
          </w:p>
        </w:tc>
      </w:tr>
      <w:tr>
        <w:trPr>
          <w:trHeight w:val="1264" w:hRule="atLeast"/>
        </w:trPr>
        <w:tc>
          <w:tcPr>
            <w:tcW w:w="1738" w:type="dxa"/>
          </w:tcPr>
          <w:p>
            <w:pPr>
              <w:pStyle w:val="TableParagraph"/>
              <w:spacing w:before="125"/>
              <w:ind w:left="446" w:right="435" w:firstLine="47"/>
              <w:jc w:val="both"/>
              <w:rPr>
                <w:b/>
                <w:sz w:val="22"/>
              </w:rPr>
            </w:pPr>
            <w:r>
              <w:rPr>
                <w:b/>
                <w:spacing w:val="-2"/>
                <w:sz w:val="22"/>
              </w:rPr>
              <w:t>Flexible Services: Cooking Supplies</w:t>
            </w:r>
          </w:p>
        </w:tc>
        <w:tc>
          <w:tcPr>
            <w:tcW w:w="2304" w:type="dxa"/>
          </w:tcPr>
          <w:p>
            <w:pPr>
              <w:pStyle w:val="TableParagraph"/>
              <w:ind w:left="124" w:right="113"/>
              <w:jc w:val="center"/>
              <w:rPr>
                <w:sz w:val="22"/>
              </w:rPr>
            </w:pPr>
            <w:r>
              <w:rPr>
                <w:sz w:val="22"/>
              </w:rPr>
              <w:t>Report</w:t>
            </w:r>
            <w:r>
              <w:rPr>
                <w:spacing w:val="-14"/>
                <w:sz w:val="22"/>
              </w:rPr>
              <w:t> </w:t>
            </w:r>
            <w:r>
              <w:rPr>
                <w:sz w:val="22"/>
              </w:rPr>
              <w:t>all</w:t>
            </w:r>
            <w:r>
              <w:rPr>
                <w:spacing w:val="-14"/>
                <w:sz w:val="22"/>
              </w:rPr>
              <w:t> </w:t>
            </w:r>
            <w:r>
              <w:rPr>
                <w:sz w:val="22"/>
              </w:rPr>
              <w:t>expenditures for the cooking supplies benefit under the Flexible Services</w:t>
            </w:r>
          </w:p>
          <w:p>
            <w:pPr>
              <w:pStyle w:val="TableParagraph"/>
              <w:spacing w:line="233" w:lineRule="exact"/>
              <w:ind w:left="106" w:right="102"/>
              <w:jc w:val="center"/>
              <w:rPr>
                <w:sz w:val="22"/>
              </w:rPr>
            </w:pPr>
            <w:r>
              <w:rPr>
                <w:spacing w:val="-2"/>
                <w:sz w:val="22"/>
              </w:rPr>
              <w:t>Program.</w:t>
            </w:r>
          </w:p>
        </w:tc>
        <w:tc>
          <w:tcPr>
            <w:tcW w:w="1519" w:type="dxa"/>
          </w:tcPr>
          <w:p>
            <w:pPr>
              <w:pStyle w:val="TableParagraph"/>
              <w:rPr>
                <w:sz w:val="20"/>
              </w:rPr>
            </w:pPr>
          </w:p>
        </w:tc>
        <w:tc>
          <w:tcPr>
            <w:tcW w:w="1406" w:type="dxa"/>
          </w:tcPr>
          <w:p>
            <w:pPr>
              <w:pStyle w:val="TableParagraph"/>
              <w:spacing w:before="125"/>
              <w:ind w:left="191" w:right="184" w:firstLine="3"/>
              <w:jc w:val="center"/>
              <w:rPr>
                <w:sz w:val="22"/>
              </w:rPr>
            </w:pPr>
            <w:r>
              <w:rPr>
                <w:spacing w:val="-2"/>
                <w:sz w:val="22"/>
              </w:rPr>
              <w:t>Follow standard </w:t>
            </w:r>
            <w:r>
              <w:rPr>
                <w:sz w:val="22"/>
              </w:rPr>
              <w:t>CMS</w:t>
            </w:r>
            <w:r>
              <w:rPr>
                <w:spacing w:val="-2"/>
                <w:sz w:val="22"/>
              </w:rPr>
              <w:t> </w:t>
            </w:r>
            <w:r>
              <w:rPr>
                <w:spacing w:val="-2"/>
                <w:sz w:val="22"/>
              </w:rPr>
              <w:t>64.10</w:t>
            </w:r>
          </w:p>
          <w:p>
            <w:pPr>
              <w:pStyle w:val="TableParagraph"/>
              <w:spacing w:line="252" w:lineRule="exact"/>
              <w:ind w:left="165" w:right="161"/>
              <w:jc w:val="center"/>
              <w:rPr>
                <w:sz w:val="22"/>
              </w:rPr>
            </w:pPr>
            <w:r>
              <w:rPr>
                <w:sz w:val="22"/>
              </w:rPr>
              <w:t>Category</w:t>
            </w:r>
            <w:r>
              <w:rPr>
                <w:spacing w:val="-6"/>
                <w:sz w:val="22"/>
              </w:rPr>
              <w:t> </w:t>
            </w:r>
            <w:r>
              <w:rPr>
                <w:spacing w:val="-5"/>
                <w:sz w:val="22"/>
              </w:rPr>
              <w:t>of</w:t>
            </w:r>
          </w:p>
        </w:tc>
        <w:tc>
          <w:tcPr>
            <w:tcW w:w="1742" w:type="dxa"/>
          </w:tcPr>
          <w:p>
            <w:pPr>
              <w:pStyle w:val="TableParagraph"/>
              <w:spacing w:before="11"/>
              <w:rPr>
                <w:sz w:val="21"/>
              </w:rPr>
            </w:pPr>
          </w:p>
          <w:p>
            <w:pPr>
              <w:pStyle w:val="TableParagraph"/>
              <w:ind w:left="199" w:right="191" w:firstLine="2"/>
              <w:jc w:val="center"/>
              <w:rPr>
                <w:sz w:val="22"/>
              </w:rPr>
            </w:pPr>
            <w:r>
              <w:rPr>
                <w:sz w:val="22"/>
              </w:rPr>
              <w:t>Date of service/Date</w:t>
            </w:r>
            <w:r>
              <w:rPr>
                <w:spacing w:val="-14"/>
                <w:sz w:val="22"/>
              </w:rPr>
              <w:t> </w:t>
            </w:r>
            <w:r>
              <w:rPr>
                <w:sz w:val="22"/>
              </w:rPr>
              <w:t>of </w:t>
            </w:r>
            <w:r>
              <w:rPr>
                <w:spacing w:val="-2"/>
                <w:sz w:val="22"/>
              </w:rPr>
              <w:t>payment</w:t>
            </w:r>
          </w:p>
        </w:tc>
        <w:tc>
          <w:tcPr>
            <w:tcW w:w="1269" w:type="dxa"/>
          </w:tcPr>
          <w:p>
            <w:pPr>
              <w:pStyle w:val="TableParagraph"/>
              <w:rPr>
                <w:sz w:val="24"/>
              </w:rPr>
            </w:pPr>
          </w:p>
          <w:p>
            <w:pPr>
              <w:pStyle w:val="TableParagraph"/>
              <w:spacing w:before="10"/>
              <w:rPr>
                <w:sz w:val="19"/>
              </w:rPr>
            </w:pPr>
          </w:p>
          <w:p>
            <w:pPr>
              <w:pStyle w:val="TableParagraph"/>
              <w:ind w:left="94" w:right="86"/>
              <w:jc w:val="center"/>
              <w:rPr>
                <w:sz w:val="22"/>
              </w:rPr>
            </w:pPr>
            <w:r>
              <w:rPr>
                <w:spacing w:val="-5"/>
                <w:sz w:val="22"/>
              </w:rPr>
              <w:t>ADM</w:t>
            </w:r>
          </w:p>
        </w:tc>
        <w:tc>
          <w:tcPr>
            <w:tcW w:w="1403" w:type="dxa"/>
          </w:tcPr>
          <w:p>
            <w:pPr>
              <w:pStyle w:val="TableParagraph"/>
              <w:rPr>
                <w:sz w:val="24"/>
              </w:rPr>
            </w:pPr>
          </w:p>
          <w:p>
            <w:pPr>
              <w:pStyle w:val="TableParagraph"/>
              <w:spacing w:before="10"/>
              <w:rPr>
                <w:sz w:val="19"/>
              </w:rPr>
            </w:pPr>
          </w:p>
          <w:p>
            <w:pPr>
              <w:pStyle w:val="TableParagraph"/>
              <w:ind w:left="12"/>
              <w:jc w:val="center"/>
              <w:rPr>
                <w:sz w:val="22"/>
              </w:rPr>
            </w:pPr>
            <w:r>
              <w:rPr>
                <w:w w:val="100"/>
                <w:sz w:val="22"/>
              </w:rPr>
              <w:t>N</w:t>
            </w:r>
          </w:p>
        </w:tc>
        <w:tc>
          <w:tcPr>
            <w:tcW w:w="1067" w:type="dxa"/>
          </w:tcPr>
          <w:p>
            <w:pPr>
              <w:pStyle w:val="TableParagraph"/>
              <w:rPr>
                <w:sz w:val="24"/>
              </w:rPr>
            </w:pPr>
          </w:p>
          <w:p>
            <w:pPr>
              <w:pStyle w:val="TableParagraph"/>
              <w:spacing w:before="10"/>
              <w:rPr>
                <w:sz w:val="19"/>
              </w:rPr>
            </w:pPr>
          </w:p>
          <w:p>
            <w:pPr>
              <w:pStyle w:val="TableParagraph"/>
              <w:ind w:left="186" w:right="171"/>
              <w:jc w:val="center"/>
              <w:rPr>
                <w:sz w:val="22"/>
              </w:rPr>
            </w:pPr>
            <w:r>
              <w:rPr>
                <w:spacing w:val="-2"/>
                <w:sz w:val="22"/>
              </w:rPr>
              <w:t>10/1/22</w:t>
            </w:r>
          </w:p>
        </w:tc>
        <w:tc>
          <w:tcPr>
            <w:tcW w:w="1218" w:type="dxa"/>
          </w:tcPr>
          <w:p>
            <w:pPr>
              <w:pStyle w:val="TableParagraph"/>
              <w:rPr>
                <w:sz w:val="24"/>
              </w:rPr>
            </w:pPr>
          </w:p>
          <w:p>
            <w:pPr>
              <w:pStyle w:val="TableParagraph"/>
              <w:spacing w:before="10"/>
              <w:rPr>
                <w:sz w:val="19"/>
              </w:rPr>
            </w:pPr>
          </w:p>
          <w:p>
            <w:pPr>
              <w:pStyle w:val="TableParagraph"/>
              <w:ind w:right="199"/>
              <w:jc w:val="right"/>
              <w:rPr>
                <w:sz w:val="22"/>
              </w:rPr>
            </w:pPr>
            <w:r>
              <w:rPr>
                <w:spacing w:val="-2"/>
                <w:sz w:val="22"/>
              </w:rPr>
              <w:t>12/31/27</w:t>
            </w:r>
          </w:p>
        </w:tc>
      </w:tr>
    </w:tbl>
    <w:p>
      <w:pPr>
        <w:spacing w:after="0"/>
        <w:jc w:val="right"/>
        <w:rPr>
          <w:sz w:val="22"/>
        </w:rPr>
        <w:sectPr>
          <w:pgSz w:w="15840" w:h="12240" w:orient="landscape"/>
          <w:pgMar w:header="0" w:footer="1201" w:top="1380" w:bottom="1400" w:left="820" w:right="1120"/>
        </w:sectPr>
      </w:pPr>
    </w:p>
    <w:p>
      <w:pPr>
        <w:pStyle w:val="BodyText"/>
        <w:spacing w:before="2"/>
        <w:rPr>
          <w:sz w:val="5"/>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38"/>
        <w:gridCol w:w="2304"/>
        <w:gridCol w:w="1519"/>
        <w:gridCol w:w="1406"/>
        <w:gridCol w:w="1742"/>
        <w:gridCol w:w="1269"/>
        <w:gridCol w:w="1403"/>
        <w:gridCol w:w="1067"/>
        <w:gridCol w:w="1218"/>
      </w:tblGrid>
      <w:tr>
        <w:trPr>
          <w:trHeight w:val="1134" w:hRule="atLeast"/>
        </w:trPr>
        <w:tc>
          <w:tcPr>
            <w:tcW w:w="1738" w:type="dxa"/>
          </w:tcPr>
          <w:p>
            <w:pPr>
              <w:pStyle w:val="TableParagraph"/>
              <w:rPr>
                <w:sz w:val="20"/>
              </w:rPr>
            </w:pPr>
          </w:p>
        </w:tc>
        <w:tc>
          <w:tcPr>
            <w:tcW w:w="2304" w:type="dxa"/>
          </w:tcPr>
          <w:p>
            <w:pPr>
              <w:pStyle w:val="TableParagraph"/>
              <w:rPr>
                <w:sz w:val="20"/>
              </w:rPr>
            </w:pPr>
          </w:p>
        </w:tc>
        <w:tc>
          <w:tcPr>
            <w:tcW w:w="1519" w:type="dxa"/>
          </w:tcPr>
          <w:p>
            <w:pPr>
              <w:pStyle w:val="TableParagraph"/>
              <w:rPr>
                <w:sz w:val="20"/>
              </w:rPr>
            </w:pPr>
          </w:p>
        </w:tc>
        <w:tc>
          <w:tcPr>
            <w:tcW w:w="1406" w:type="dxa"/>
          </w:tcPr>
          <w:p>
            <w:pPr>
              <w:pStyle w:val="TableParagraph"/>
              <w:ind w:left="206" w:firstLine="163"/>
              <w:rPr>
                <w:sz w:val="22"/>
              </w:rPr>
            </w:pPr>
            <w:r>
              <w:rPr>
                <w:spacing w:val="-2"/>
                <w:sz w:val="22"/>
              </w:rPr>
              <w:t>Service Definitions</w:t>
            </w:r>
          </w:p>
        </w:tc>
        <w:tc>
          <w:tcPr>
            <w:tcW w:w="1742" w:type="dxa"/>
          </w:tcPr>
          <w:p>
            <w:pPr>
              <w:pStyle w:val="TableParagraph"/>
              <w:rPr>
                <w:sz w:val="20"/>
              </w:rPr>
            </w:pPr>
          </w:p>
        </w:tc>
        <w:tc>
          <w:tcPr>
            <w:tcW w:w="1269" w:type="dxa"/>
          </w:tcPr>
          <w:p>
            <w:pPr>
              <w:pStyle w:val="TableParagraph"/>
              <w:rPr>
                <w:sz w:val="20"/>
              </w:rPr>
            </w:pPr>
          </w:p>
        </w:tc>
        <w:tc>
          <w:tcPr>
            <w:tcW w:w="1403" w:type="dxa"/>
          </w:tcPr>
          <w:p>
            <w:pPr>
              <w:pStyle w:val="TableParagraph"/>
              <w:rPr>
                <w:sz w:val="20"/>
              </w:rPr>
            </w:pPr>
          </w:p>
        </w:tc>
        <w:tc>
          <w:tcPr>
            <w:tcW w:w="1067" w:type="dxa"/>
          </w:tcPr>
          <w:p>
            <w:pPr>
              <w:pStyle w:val="TableParagraph"/>
              <w:rPr>
                <w:sz w:val="20"/>
              </w:rPr>
            </w:pPr>
          </w:p>
        </w:tc>
        <w:tc>
          <w:tcPr>
            <w:tcW w:w="1218" w:type="dxa"/>
          </w:tcPr>
          <w:p>
            <w:pPr>
              <w:pStyle w:val="TableParagraph"/>
              <w:rPr>
                <w:sz w:val="20"/>
              </w:rPr>
            </w:pPr>
          </w:p>
        </w:tc>
      </w:tr>
      <w:tr>
        <w:trPr>
          <w:trHeight w:val="1770" w:hRule="atLeast"/>
        </w:trPr>
        <w:tc>
          <w:tcPr>
            <w:tcW w:w="1738" w:type="dxa"/>
          </w:tcPr>
          <w:p>
            <w:pPr>
              <w:pStyle w:val="TableParagraph"/>
              <w:rPr>
                <w:sz w:val="24"/>
              </w:rPr>
            </w:pPr>
          </w:p>
          <w:p>
            <w:pPr>
              <w:pStyle w:val="TableParagraph"/>
              <w:spacing w:before="10"/>
              <w:rPr>
                <w:sz w:val="19"/>
              </w:rPr>
            </w:pPr>
          </w:p>
          <w:p>
            <w:pPr>
              <w:pStyle w:val="TableParagraph"/>
              <w:ind w:left="223" w:right="214" w:firstLine="16"/>
              <w:jc w:val="both"/>
              <w:rPr>
                <w:b/>
                <w:sz w:val="22"/>
              </w:rPr>
            </w:pPr>
            <w:r>
              <w:rPr>
                <w:b/>
                <w:sz w:val="22"/>
              </w:rPr>
              <w:t>CE</w:t>
            </w:r>
            <w:r>
              <w:rPr>
                <w:b/>
                <w:spacing w:val="-14"/>
                <w:sz w:val="22"/>
              </w:rPr>
              <w:t> </w:t>
            </w:r>
            <w:r>
              <w:rPr>
                <w:b/>
                <w:sz w:val="22"/>
              </w:rPr>
              <w:t>Formerly </w:t>
            </w:r>
            <w:r>
              <w:rPr>
                <w:b/>
                <w:spacing w:val="-2"/>
                <w:sz w:val="22"/>
              </w:rPr>
              <w:t>Incarcerated/ </w:t>
            </w:r>
            <w:r>
              <w:rPr>
                <w:b/>
                <w:sz w:val="22"/>
              </w:rPr>
              <w:t>Base</w:t>
            </w:r>
            <w:r>
              <w:rPr>
                <w:b/>
                <w:spacing w:val="-5"/>
                <w:sz w:val="22"/>
              </w:rPr>
              <w:t> </w:t>
            </w:r>
            <w:r>
              <w:rPr>
                <w:b/>
                <w:spacing w:val="-2"/>
                <w:sz w:val="22"/>
              </w:rPr>
              <w:t>Families</w:t>
            </w:r>
          </w:p>
        </w:tc>
        <w:tc>
          <w:tcPr>
            <w:tcW w:w="2304" w:type="dxa"/>
          </w:tcPr>
          <w:p>
            <w:pPr>
              <w:pStyle w:val="TableParagraph"/>
              <w:ind w:left="169" w:right="155" w:hanging="10"/>
              <w:jc w:val="center"/>
              <w:rPr>
                <w:sz w:val="22"/>
              </w:rPr>
            </w:pPr>
            <w:r>
              <w:rPr>
                <w:sz w:val="22"/>
              </w:rPr>
              <w:t>All expenditures for Formerly</w:t>
            </w:r>
            <w:r>
              <w:rPr>
                <w:spacing w:val="-14"/>
                <w:sz w:val="22"/>
              </w:rPr>
              <w:t> </w:t>
            </w:r>
            <w:r>
              <w:rPr>
                <w:sz w:val="22"/>
              </w:rPr>
              <w:t>Incarcerated individuals who are defined as Base Families during the Continuous</w:t>
            </w:r>
            <w:r>
              <w:rPr>
                <w:spacing w:val="-14"/>
                <w:sz w:val="22"/>
              </w:rPr>
              <w:t> </w:t>
            </w:r>
            <w:r>
              <w:rPr>
                <w:sz w:val="22"/>
              </w:rPr>
              <w:t>Eligibility</w:t>
            </w:r>
          </w:p>
          <w:p>
            <w:pPr>
              <w:pStyle w:val="TableParagraph"/>
              <w:spacing w:line="235" w:lineRule="exact"/>
              <w:ind w:left="110" w:right="102"/>
              <w:jc w:val="center"/>
              <w:rPr>
                <w:sz w:val="22"/>
              </w:rPr>
            </w:pPr>
            <w:r>
              <w:rPr>
                <w:spacing w:val="-2"/>
                <w:sz w:val="22"/>
              </w:rPr>
              <w:t>period.</w:t>
            </w:r>
          </w:p>
        </w:tc>
        <w:tc>
          <w:tcPr>
            <w:tcW w:w="1519" w:type="dxa"/>
          </w:tcPr>
          <w:p>
            <w:pPr>
              <w:pStyle w:val="TableParagraph"/>
              <w:rPr>
                <w:sz w:val="20"/>
              </w:rPr>
            </w:pPr>
          </w:p>
        </w:tc>
        <w:tc>
          <w:tcPr>
            <w:tcW w:w="1406" w:type="dxa"/>
          </w:tcPr>
          <w:p>
            <w:pPr>
              <w:pStyle w:val="TableParagraph"/>
              <w:spacing w:before="125"/>
              <w:ind w:left="239" w:right="232" w:firstLine="148"/>
              <w:jc w:val="both"/>
              <w:rPr>
                <w:sz w:val="22"/>
              </w:rPr>
            </w:pPr>
            <w:r>
              <w:rPr>
                <w:spacing w:val="-2"/>
                <w:sz w:val="22"/>
              </w:rPr>
              <w:t>Follow standard CMS-64.9</w:t>
            </w:r>
          </w:p>
          <w:p>
            <w:pPr>
              <w:pStyle w:val="TableParagraph"/>
              <w:ind w:left="165" w:right="159"/>
              <w:jc w:val="center"/>
              <w:rPr>
                <w:sz w:val="22"/>
              </w:rPr>
            </w:pPr>
            <w:r>
              <w:rPr>
                <w:sz w:val="22"/>
              </w:rPr>
              <w:t>Category</w:t>
            </w:r>
            <w:r>
              <w:rPr>
                <w:spacing w:val="-14"/>
                <w:sz w:val="22"/>
              </w:rPr>
              <w:t> </w:t>
            </w:r>
            <w:r>
              <w:rPr>
                <w:sz w:val="22"/>
              </w:rPr>
              <w:t>of </w:t>
            </w:r>
            <w:r>
              <w:rPr>
                <w:spacing w:val="-2"/>
                <w:sz w:val="22"/>
              </w:rPr>
              <w:t>Service Definitions</w:t>
            </w:r>
          </w:p>
        </w:tc>
        <w:tc>
          <w:tcPr>
            <w:tcW w:w="1742" w:type="dxa"/>
          </w:tcPr>
          <w:p>
            <w:pPr>
              <w:pStyle w:val="TableParagraph"/>
              <w:rPr>
                <w:sz w:val="24"/>
              </w:rPr>
            </w:pPr>
          </w:p>
          <w:p>
            <w:pPr>
              <w:pStyle w:val="TableParagraph"/>
              <w:rPr>
                <w:sz w:val="24"/>
              </w:rPr>
            </w:pPr>
          </w:p>
          <w:p>
            <w:pPr>
              <w:pStyle w:val="TableParagraph"/>
              <w:spacing w:before="204"/>
              <w:ind w:left="125" w:right="115"/>
              <w:jc w:val="center"/>
              <w:rPr>
                <w:sz w:val="22"/>
              </w:rPr>
            </w:pPr>
            <w:r>
              <w:rPr>
                <w:sz w:val="22"/>
              </w:rPr>
              <w:t>Date</w:t>
            </w:r>
            <w:r>
              <w:rPr>
                <w:spacing w:val="-4"/>
                <w:sz w:val="22"/>
              </w:rPr>
              <w:t> </w:t>
            </w:r>
            <w:r>
              <w:rPr>
                <w:sz w:val="22"/>
              </w:rPr>
              <w:t>of</w:t>
            </w:r>
            <w:r>
              <w:rPr>
                <w:spacing w:val="-1"/>
                <w:sz w:val="22"/>
              </w:rPr>
              <w:t> </w:t>
            </w:r>
            <w:r>
              <w:rPr>
                <w:spacing w:val="-2"/>
                <w:sz w:val="22"/>
              </w:rPr>
              <w:t>service</w:t>
            </w:r>
          </w:p>
        </w:tc>
        <w:tc>
          <w:tcPr>
            <w:tcW w:w="1269" w:type="dxa"/>
          </w:tcPr>
          <w:p>
            <w:pPr>
              <w:pStyle w:val="TableParagraph"/>
              <w:rPr>
                <w:sz w:val="24"/>
              </w:rPr>
            </w:pPr>
          </w:p>
          <w:p>
            <w:pPr>
              <w:pStyle w:val="TableParagraph"/>
              <w:rPr>
                <w:sz w:val="24"/>
              </w:rPr>
            </w:pPr>
          </w:p>
          <w:p>
            <w:pPr>
              <w:pStyle w:val="TableParagraph"/>
              <w:spacing w:before="204"/>
              <w:ind w:left="91" w:right="86"/>
              <w:jc w:val="center"/>
              <w:rPr>
                <w:sz w:val="22"/>
              </w:rPr>
            </w:pPr>
            <w:r>
              <w:rPr>
                <w:spacing w:val="-5"/>
                <w:sz w:val="22"/>
              </w:rPr>
              <w:t>MAP</w:t>
            </w:r>
          </w:p>
        </w:tc>
        <w:tc>
          <w:tcPr>
            <w:tcW w:w="1403" w:type="dxa"/>
          </w:tcPr>
          <w:p>
            <w:pPr>
              <w:pStyle w:val="TableParagraph"/>
              <w:rPr>
                <w:sz w:val="24"/>
              </w:rPr>
            </w:pPr>
          </w:p>
          <w:p>
            <w:pPr>
              <w:pStyle w:val="TableParagraph"/>
              <w:rPr>
                <w:sz w:val="24"/>
              </w:rPr>
            </w:pPr>
          </w:p>
          <w:p>
            <w:pPr>
              <w:pStyle w:val="TableParagraph"/>
              <w:spacing w:before="204"/>
              <w:ind w:left="11"/>
              <w:jc w:val="center"/>
              <w:rPr>
                <w:sz w:val="22"/>
              </w:rPr>
            </w:pPr>
            <w:r>
              <w:rPr>
                <w:w w:val="100"/>
                <w:sz w:val="22"/>
              </w:rPr>
              <w:t>Y</w:t>
            </w:r>
          </w:p>
        </w:tc>
        <w:tc>
          <w:tcPr>
            <w:tcW w:w="1067" w:type="dxa"/>
          </w:tcPr>
          <w:p>
            <w:pPr>
              <w:pStyle w:val="TableParagraph"/>
              <w:rPr>
                <w:sz w:val="24"/>
              </w:rPr>
            </w:pPr>
          </w:p>
          <w:p>
            <w:pPr>
              <w:pStyle w:val="TableParagraph"/>
              <w:rPr>
                <w:sz w:val="24"/>
              </w:rPr>
            </w:pPr>
          </w:p>
          <w:p>
            <w:pPr>
              <w:pStyle w:val="TableParagraph"/>
              <w:spacing w:before="204"/>
              <w:ind w:left="185" w:right="171"/>
              <w:jc w:val="center"/>
              <w:rPr>
                <w:sz w:val="22"/>
              </w:rPr>
            </w:pPr>
            <w:r>
              <w:rPr>
                <w:spacing w:val="-2"/>
                <w:sz w:val="22"/>
              </w:rPr>
              <w:t>10/1/22</w:t>
            </w:r>
          </w:p>
        </w:tc>
        <w:tc>
          <w:tcPr>
            <w:tcW w:w="1218" w:type="dxa"/>
          </w:tcPr>
          <w:p>
            <w:pPr>
              <w:pStyle w:val="TableParagraph"/>
              <w:rPr>
                <w:sz w:val="24"/>
              </w:rPr>
            </w:pPr>
          </w:p>
          <w:p>
            <w:pPr>
              <w:pStyle w:val="TableParagraph"/>
              <w:rPr>
                <w:sz w:val="24"/>
              </w:rPr>
            </w:pPr>
          </w:p>
          <w:p>
            <w:pPr>
              <w:pStyle w:val="TableParagraph"/>
              <w:spacing w:before="204"/>
              <w:ind w:right="200"/>
              <w:jc w:val="right"/>
              <w:rPr>
                <w:sz w:val="22"/>
              </w:rPr>
            </w:pPr>
            <w:r>
              <w:rPr>
                <w:spacing w:val="-2"/>
                <w:sz w:val="22"/>
              </w:rPr>
              <w:t>12/31/27</w:t>
            </w:r>
          </w:p>
        </w:tc>
      </w:tr>
      <w:tr>
        <w:trPr>
          <w:trHeight w:val="1770" w:hRule="atLeast"/>
        </w:trPr>
        <w:tc>
          <w:tcPr>
            <w:tcW w:w="1738" w:type="dxa"/>
          </w:tcPr>
          <w:p>
            <w:pPr>
              <w:pStyle w:val="TableParagraph"/>
              <w:rPr>
                <w:sz w:val="24"/>
              </w:rPr>
            </w:pPr>
          </w:p>
          <w:p>
            <w:pPr>
              <w:pStyle w:val="TableParagraph"/>
              <w:spacing w:before="10"/>
              <w:rPr>
                <w:sz w:val="19"/>
              </w:rPr>
            </w:pPr>
          </w:p>
          <w:p>
            <w:pPr>
              <w:pStyle w:val="TableParagraph"/>
              <w:ind w:left="210" w:right="197" w:firstLine="28"/>
              <w:jc w:val="both"/>
              <w:rPr>
                <w:b/>
                <w:sz w:val="22"/>
              </w:rPr>
            </w:pPr>
            <w:r>
              <w:rPr>
                <w:b/>
                <w:sz w:val="22"/>
              </w:rPr>
              <w:t>CE Formerly </w:t>
            </w:r>
            <w:r>
              <w:rPr>
                <w:b/>
                <w:spacing w:val="-2"/>
                <w:sz w:val="22"/>
              </w:rPr>
              <w:t>Incarcerated/ </w:t>
            </w:r>
            <w:r>
              <w:rPr>
                <w:b/>
                <w:sz w:val="22"/>
              </w:rPr>
              <w:t>Base</w:t>
            </w:r>
            <w:r>
              <w:rPr>
                <w:b/>
                <w:spacing w:val="-1"/>
                <w:sz w:val="22"/>
              </w:rPr>
              <w:t> </w:t>
            </w:r>
            <w:r>
              <w:rPr>
                <w:b/>
                <w:spacing w:val="-2"/>
                <w:sz w:val="22"/>
              </w:rPr>
              <w:t>Disabled</w:t>
            </w:r>
          </w:p>
        </w:tc>
        <w:tc>
          <w:tcPr>
            <w:tcW w:w="2304" w:type="dxa"/>
          </w:tcPr>
          <w:p>
            <w:pPr>
              <w:pStyle w:val="TableParagraph"/>
              <w:ind w:left="169" w:right="155" w:hanging="10"/>
              <w:jc w:val="center"/>
              <w:rPr>
                <w:sz w:val="22"/>
              </w:rPr>
            </w:pPr>
            <w:r>
              <w:rPr>
                <w:sz w:val="22"/>
              </w:rPr>
              <w:t>All expenditures for Formerly</w:t>
            </w:r>
            <w:r>
              <w:rPr>
                <w:spacing w:val="-14"/>
                <w:sz w:val="22"/>
              </w:rPr>
              <w:t> </w:t>
            </w:r>
            <w:r>
              <w:rPr>
                <w:sz w:val="22"/>
              </w:rPr>
              <w:t>Incarcerated individuals who are defined as Base Disabled during the Continuous</w:t>
            </w:r>
            <w:r>
              <w:rPr>
                <w:spacing w:val="-2"/>
                <w:sz w:val="22"/>
              </w:rPr>
              <w:t> </w:t>
            </w:r>
            <w:r>
              <w:rPr>
                <w:spacing w:val="-2"/>
                <w:sz w:val="22"/>
              </w:rPr>
              <w:t>Eligibility</w:t>
            </w:r>
          </w:p>
          <w:p>
            <w:pPr>
              <w:pStyle w:val="TableParagraph"/>
              <w:spacing w:line="235" w:lineRule="exact"/>
              <w:ind w:left="110" w:right="102"/>
              <w:jc w:val="center"/>
              <w:rPr>
                <w:sz w:val="22"/>
              </w:rPr>
            </w:pPr>
            <w:r>
              <w:rPr>
                <w:spacing w:val="-2"/>
                <w:sz w:val="22"/>
              </w:rPr>
              <w:t>period.</w:t>
            </w:r>
          </w:p>
        </w:tc>
        <w:tc>
          <w:tcPr>
            <w:tcW w:w="1519" w:type="dxa"/>
          </w:tcPr>
          <w:p>
            <w:pPr>
              <w:pStyle w:val="TableParagraph"/>
              <w:rPr>
                <w:sz w:val="20"/>
              </w:rPr>
            </w:pPr>
          </w:p>
        </w:tc>
        <w:tc>
          <w:tcPr>
            <w:tcW w:w="1406" w:type="dxa"/>
          </w:tcPr>
          <w:p>
            <w:pPr>
              <w:pStyle w:val="TableParagraph"/>
              <w:spacing w:before="125"/>
              <w:ind w:left="239" w:right="232" w:firstLine="148"/>
              <w:jc w:val="both"/>
              <w:rPr>
                <w:sz w:val="22"/>
              </w:rPr>
            </w:pPr>
            <w:r>
              <w:rPr>
                <w:spacing w:val="-2"/>
                <w:sz w:val="22"/>
              </w:rPr>
              <w:t>Follow standard CMS-64.9</w:t>
            </w:r>
          </w:p>
          <w:p>
            <w:pPr>
              <w:pStyle w:val="TableParagraph"/>
              <w:ind w:left="165" w:right="159"/>
              <w:jc w:val="center"/>
              <w:rPr>
                <w:sz w:val="22"/>
              </w:rPr>
            </w:pPr>
            <w:r>
              <w:rPr>
                <w:sz w:val="22"/>
              </w:rPr>
              <w:t>Category</w:t>
            </w:r>
            <w:r>
              <w:rPr>
                <w:spacing w:val="-14"/>
                <w:sz w:val="22"/>
              </w:rPr>
              <w:t> </w:t>
            </w:r>
            <w:r>
              <w:rPr>
                <w:sz w:val="22"/>
              </w:rPr>
              <w:t>of </w:t>
            </w:r>
            <w:r>
              <w:rPr>
                <w:spacing w:val="-2"/>
                <w:sz w:val="22"/>
              </w:rPr>
              <w:t>Service Definitions</w:t>
            </w:r>
          </w:p>
        </w:tc>
        <w:tc>
          <w:tcPr>
            <w:tcW w:w="1742" w:type="dxa"/>
          </w:tcPr>
          <w:p>
            <w:pPr>
              <w:pStyle w:val="TableParagraph"/>
              <w:rPr>
                <w:sz w:val="24"/>
              </w:rPr>
            </w:pPr>
          </w:p>
          <w:p>
            <w:pPr>
              <w:pStyle w:val="TableParagraph"/>
              <w:rPr>
                <w:sz w:val="24"/>
              </w:rPr>
            </w:pPr>
          </w:p>
          <w:p>
            <w:pPr>
              <w:pStyle w:val="TableParagraph"/>
              <w:spacing w:before="204"/>
              <w:ind w:left="125" w:right="115"/>
              <w:jc w:val="center"/>
              <w:rPr>
                <w:sz w:val="22"/>
              </w:rPr>
            </w:pPr>
            <w:r>
              <w:rPr>
                <w:sz w:val="22"/>
              </w:rPr>
              <w:t>Date</w:t>
            </w:r>
            <w:r>
              <w:rPr>
                <w:spacing w:val="-4"/>
                <w:sz w:val="22"/>
              </w:rPr>
              <w:t> </w:t>
            </w:r>
            <w:r>
              <w:rPr>
                <w:sz w:val="22"/>
              </w:rPr>
              <w:t>of</w:t>
            </w:r>
            <w:r>
              <w:rPr>
                <w:spacing w:val="-1"/>
                <w:sz w:val="22"/>
              </w:rPr>
              <w:t> </w:t>
            </w:r>
            <w:r>
              <w:rPr>
                <w:spacing w:val="-2"/>
                <w:sz w:val="22"/>
              </w:rPr>
              <w:t>service</w:t>
            </w:r>
          </w:p>
        </w:tc>
        <w:tc>
          <w:tcPr>
            <w:tcW w:w="1269" w:type="dxa"/>
          </w:tcPr>
          <w:p>
            <w:pPr>
              <w:pStyle w:val="TableParagraph"/>
              <w:rPr>
                <w:sz w:val="24"/>
              </w:rPr>
            </w:pPr>
          </w:p>
          <w:p>
            <w:pPr>
              <w:pStyle w:val="TableParagraph"/>
              <w:rPr>
                <w:sz w:val="24"/>
              </w:rPr>
            </w:pPr>
          </w:p>
          <w:p>
            <w:pPr>
              <w:pStyle w:val="TableParagraph"/>
              <w:spacing w:before="204"/>
              <w:ind w:left="91" w:right="86"/>
              <w:jc w:val="center"/>
              <w:rPr>
                <w:sz w:val="22"/>
              </w:rPr>
            </w:pPr>
            <w:r>
              <w:rPr>
                <w:spacing w:val="-5"/>
                <w:sz w:val="22"/>
              </w:rPr>
              <w:t>MAP</w:t>
            </w:r>
          </w:p>
        </w:tc>
        <w:tc>
          <w:tcPr>
            <w:tcW w:w="1403" w:type="dxa"/>
          </w:tcPr>
          <w:p>
            <w:pPr>
              <w:pStyle w:val="TableParagraph"/>
              <w:rPr>
                <w:sz w:val="24"/>
              </w:rPr>
            </w:pPr>
          </w:p>
          <w:p>
            <w:pPr>
              <w:pStyle w:val="TableParagraph"/>
              <w:rPr>
                <w:sz w:val="24"/>
              </w:rPr>
            </w:pPr>
          </w:p>
          <w:p>
            <w:pPr>
              <w:pStyle w:val="TableParagraph"/>
              <w:spacing w:before="204"/>
              <w:ind w:left="11"/>
              <w:jc w:val="center"/>
              <w:rPr>
                <w:sz w:val="22"/>
              </w:rPr>
            </w:pPr>
            <w:r>
              <w:rPr>
                <w:w w:val="100"/>
                <w:sz w:val="22"/>
              </w:rPr>
              <w:t>Y</w:t>
            </w:r>
          </w:p>
        </w:tc>
        <w:tc>
          <w:tcPr>
            <w:tcW w:w="1067" w:type="dxa"/>
          </w:tcPr>
          <w:p>
            <w:pPr>
              <w:pStyle w:val="TableParagraph"/>
              <w:rPr>
                <w:sz w:val="24"/>
              </w:rPr>
            </w:pPr>
          </w:p>
          <w:p>
            <w:pPr>
              <w:pStyle w:val="TableParagraph"/>
              <w:rPr>
                <w:sz w:val="24"/>
              </w:rPr>
            </w:pPr>
          </w:p>
          <w:p>
            <w:pPr>
              <w:pStyle w:val="TableParagraph"/>
              <w:spacing w:before="204"/>
              <w:ind w:left="185" w:right="171"/>
              <w:jc w:val="center"/>
              <w:rPr>
                <w:sz w:val="22"/>
              </w:rPr>
            </w:pPr>
            <w:r>
              <w:rPr>
                <w:spacing w:val="-2"/>
                <w:sz w:val="22"/>
              </w:rPr>
              <w:t>10/1/22</w:t>
            </w:r>
          </w:p>
        </w:tc>
        <w:tc>
          <w:tcPr>
            <w:tcW w:w="1218" w:type="dxa"/>
          </w:tcPr>
          <w:p>
            <w:pPr>
              <w:pStyle w:val="TableParagraph"/>
              <w:rPr>
                <w:sz w:val="24"/>
              </w:rPr>
            </w:pPr>
          </w:p>
          <w:p>
            <w:pPr>
              <w:pStyle w:val="TableParagraph"/>
              <w:rPr>
                <w:sz w:val="24"/>
              </w:rPr>
            </w:pPr>
          </w:p>
          <w:p>
            <w:pPr>
              <w:pStyle w:val="TableParagraph"/>
              <w:spacing w:before="204"/>
              <w:ind w:right="200"/>
              <w:jc w:val="right"/>
              <w:rPr>
                <w:sz w:val="22"/>
              </w:rPr>
            </w:pPr>
            <w:r>
              <w:rPr>
                <w:spacing w:val="-2"/>
                <w:sz w:val="22"/>
              </w:rPr>
              <w:t>12/31/27</w:t>
            </w:r>
          </w:p>
        </w:tc>
      </w:tr>
      <w:tr>
        <w:trPr>
          <w:trHeight w:val="1516" w:hRule="atLeast"/>
        </w:trPr>
        <w:tc>
          <w:tcPr>
            <w:tcW w:w="1738" w:type="dxa"/>
          </w:tcPr>
          <w:p>
            <w:pPr>
              <w:pStyle w:val="TableParagraph"/>
              <w:spacing w:before="9"/>
              <w:rPr>
                <w:sz w:val="32"/>
              </w:rPr>
            </w:pPr>
          </w:p>
          <w:p>
            <w:pPr>
              <w:pStyle w:val="TableParagraph"/>
              <w:spacing w:line="252" w:lineRule="exact"/>
              <w:ind w:left="104" w:right="98"/>
              <w:jc w:val="center"/>
              <w:rPr>
                <w:b/>
                <w:sz w:val="22"/>
              </w:rPr>
            </w:pPr>
            <w:r>
              <w:rPr>
                <w:b/>
                <w:spacing w:val="-5"/>
                <w:sz w:val="22"/>
              </w:rPr>
              <w:t>CE</w:t>
            </w:r>
          </w:p>
          <w:p>
            <w:pPr>
              <w:pStyle w:val="TableParagraph"/>
              <w:ind w:left="110" w:right="98"/>
              <w:jc w:val="center"/>
              <w:rPr>
                <w:b/>
                <w:sz w:val="22"/>
              </w:rPr>
            </w:pPr>
            <w:r>
              <w:rPr>
                <w:b/>
                <w:spacing w:val="-2"/>
                <w:sz w:val="22"/>
              </w:rPr>
              <w:t>Homeless/Base Families</w:t>
            </w:r>
          </w:p>
        </w:tc>
        <w:tc>
          <w:tcPr>
            <w:tcW w:w="2304" w:type="dxa"/>
          </w:tcPr>
          <w:p>
            <w:pPr>
              <w:pStyle w:val="TableParagraph"/>
              <w:ind w:left="198" w:right="190" w:hanging="3"/>
              <w:jc w:val="center"/>
              <w:rPr>
                <w:sz w:val="22"/>
              </w:rPr>
            </w:pPr>
            <w:r>
              <w:rPr>
                <w:sz w:val="22"/>
              </w:rPr>
              <w:t>All expenditures for Homeless</w:t>
            </w:r>
            <w:r>
              <w:rPr>
                <w:spacing w:val="-14"/>
                <w:sz w:val="22"/>
              </w:rPr>
              <w:t> </w:t>
            </w:r>
            <w:r>
              <w:rPr>
                <w:sz w:val="22"/>
              </w:rPr>
              <w:t>individuals who are defined as Base</w:t>
            </w:r>
            <w:r>
              <w:rPr>
                <w:spacing w:val="-2"/>
                <w:sz w:val="22"/>
              </w:rPr>
              <w:t> </w:t>
            </w:r>
            <w:r>
              <w:rPr>
                <w:sz w:val="22"/>
              </w:rPr>
              <w:t>Families</w:t>
            </w:r>
            <w:r>
              <w:rPr>
                <w:spacing w:val="-2"/>
                <w:sz w:val="22"/>
              </w:rPr>
              <w:t> </w:t>
            </w:r>
            <w:r>
              <w:rPr>
                <w:sz w:val="22"/>
              </w:rPr>
              <w:t>during the Continuous</w:t>
            </w:r>
          </w:p>
          <w:p>
            <w:pPr>
              <w:pStyle w:val="TableParagraph"/>
              <w:spacing w:line="233" w:lineRule="exact"/>
              <w:ind w:left="113" w:right="102"/>
              <w:jc w:val="center"/>
              <w:rPr>
                <w:sz w:val="22"/>
              </w:rPr>
            </w:pPr>
            <w:r>
              <w:rPr>
                <w:sz w:val="22"/>
              </w:rPr>
              <w:t>Eligibility</w:t>
            </w:r>
            <w:r>
              <w:rPr>
                <w:spacing w:val="-6"/>
                <w:sz w:val="22"/>
              </w:rPr>
              <w:t> </w:t>
            </w:r>
            <w:r>
              <w:rPr>
                <w:spacing w:val="-2"/>
                <w:sz w:val="22"/>
              </w:rPr>
              <w:t>period.</w:t>
            </w:r>
          </w:p>
        </w:tc>
        <w:tc>
          <w:tcPr>
            <w:tcW w:w="1519" w:type="dxa"/>
          </w:tcPr>
          <w:p>
            <w:pPr>
              <w:pStyle w:val="TableParagraph"/>
              <w:rPr>
                <w:sz w:val="20"/>
              </w:rPr>
            </w:pPr>
          </w:p>
        </w:tc>
        <w:tc>
          <w:tcPr>
            <w:tcW w:w="1406" w:type="dxa"/>
          </w:tcPr>
          <w:p>
            <w:pPr>
              <w:pStyle w:val="TableParagraph"/>
              <w:ind w:left="239" w:right="232" w:firstLine="148"/>
              <w:jc w:val="both"/>
              <w:rPr>
                <w:sz w:val="22"/>
              </w:rPr>
            </w:pPr>
            <w:r>
              <w:rPr>
                <w:spacing w:val="-2"/>
                <w:sz w:val="22"/>
              </w:rPr>
              <w:t>Follow standard CMS-64.9</w:t>
            </w:r>
          </w:p>
          <w:p>
            <w:pPr>
              <w:pStyle w:val="TableParagraph"/>
              <w:spacing w:line="252" w:lineRule="exact"/>
              <w:ind w:left="164" w:right="161"/>
              <w:jc w:val="center"/>
              <w:rPr>
                <w:sz w:val="22"/>
              </w:rPr>
            </w:pPr>
            <w:r>
              <w:rPr>
                <w:sz w:val="22"/>
              </w:rPr>
              <w:t>Category</w:t>
            </w:r>
            <w:r>
              <w:rPr>
                <w:spacing w:val="-6"/>
                <w:sz w:val="22"/>
              </w:rPr>
              <w:t> </w:t>
            </w:r>
            <w:r>
              <w:rPr>
                <w:spacing w:val="-5"/>
                <w:sz w:val="22"/>
              </w:rPr>
              <w:t>of</w:t>
            </w:r>
          </w:p>
          <w:p>
            <w:pPr>
              <w:pStyle w:val="TableParagraph"/>
              <w:spacing w:line="252" w:lineRule="exact"/>
              <w:ind w:left="205" w:right="197" w:hanging="2"/>
              <w:jc w:val="center"/>
              <w:rPr>
                <w:sz w:val="22"/>
              </w:rPr>
            </w:pPr>
            <w:r>
              <w:rPr>
                <w:spacing w:val="-2"/>
                <w:sz w:val="22"/>
              </w:rPr>
              <w:t>Service Definitions</w:t>
            </w:r>
          </w:p>
        </w:tc>
        <w:tc>
          <w:tcPr>
            <w:tcW w:w="1742" w:type="dxa"/>
          </w:tcPr>
          <w:p>
            <w:pPr>
              <w:pStyle w:val="TableParagraph"/>
              <w:rPr>
                <w:sz w:val="24"/>
              </w:rPr>
            </w:pPr>
          </w:p>
          <w:p>
            <w:pPr>
              <w:pStyle w:val="TableParagraph"/>
              <w:spacing w:before="8"/>
              <w:rPr>
                <w:sz w:val="30"/>
              </w:rPr>
            </w:pPr>
          </w:p>
          <w:p>
            <w:pPr>
              <w:pStyle w:val="TableParagraph"/>
              <w:ind w:left="125" w:right="115"/>
              <w:jc w:val="center"/>
              <w:rPr>
                <w:sz w:val="22"/>
              </w:rPr>
            </w:pPr>
            <w:r>
              <w:rPr>
                <w:sz w:val="22"/>
              </w:rPr>
              <w:t>Date</w:t>
            </w:r>
            <w:r>
              <w:rPr>
                <w:spacing w:val="-4"/>
                <w:sz w:val="22"/>
              </w:rPr>
              <w:t> </w:t>
            </w:r>
            <w:r>
              <w:rPr>
                <w:sz w:val="22"/>
              </w:rPr>
              <w:t>of</w:t>
            </w:r>
            <w:r>
              <w:rPr>
                <w:spacing w:val="-1"/>
                <w:sz w:val="22"/>
              </w:rPr>
              <w:t> </w:t>
            </w:r>
            <w:r>
              <w:rPr>
                <w:spacing w:val="-2"/>
                <w:sz w:val="22"/>
              </w:rPr>
              <w:t>service</w:t>
            </w:r>
          </w:p>
        </w:tc>
        <w:tc>
          <w:tcPr>
            <w:tcW w:w="1269" w:type="dxa"/>
          </w:tcPr>
          <w:p>
            <w:pPr>
              <w:pStyle w:val="TableParagraph"/>
              <w:rPr>
                <w:sz w:val="24"/>
              </w:rPr>
            </w:pPr>
          </w:p>
          <w:p>
            <w:pPr>
              <w:pStyle w:val="TableParagraph"/>
              <w:spacing w:before="8"/>
              <w:rPr>
                <w:sz w:val="30"/>
              </w:rPr>
            </w:pPr>
          </w:p>
          <w:p>
            <w:pPr>
              <w:pStyle w:val="TableParagraph"/>
              <w:ind w:left="91" w:right="86"/>
              <w:jc w:val="center"/>
              <w:rPr>
                <w:sz w:val="22"/>
              </w:rPr>
            </w:pPr>
            <w:r>
              <w:rPr>
                <w:spacing w:val="-5"/>
                <w:sz w:val="22"/>
              </w:rPr>
              <w:t>MAP</w:t>
            </w:r>
          </w:p>
        </w:tc>
        <w:tc>
          <w:tcPr>
            <w:tcW w:w="1403" w:type="dxa"/>
          </w:tcPr>
          <w:p>
            <w:pPr>
              <w:pStyle w:val="TableParagraph"/>
              <w:rPr>
                <w:sz w:val="24"/>
              </w:rPr>
            </w:pPr>
          </w:p>
          <w:p>
            <w:pPr>
              <w:pStyle w:val="TableParagraph"/>
              <w:spacing w:before="8"/>
              <w:rPr>
                <w:sz w:val="30"/>
              </w:rPr>
            </w:pPr>
          </w:p>
          <w:p>
            <w:pPr>
              <w:pStyle w:val="TableParagraph"/>
              <w:ind w:left="11"/>
              <w:jc w:val="center"/>
              <w:rPr>
                <w:sz w:val="22"/>
              </w:rPr>
            </w:pPr>
            <w:r>
              <w:rPr>
                <w:w w:val="100"/>
                <w:sz w:val="22"/>
              </w:rPr>
              <w:t>Y</w:t>
            </w:r>
          </w:p>
        </w:tc>
        <w:tc>
          <w:tcPr>
            <w:tcW w:w="1067" w:type="dxa"/>
          </w:tcPr>
          <w:p>
            <w:pPr>
              <w:pStyle w:val="TableParagraph"/>
              <w:rPr>
                <w:sz w:val="24"/>
              </w:rPr>
            </w:pPr>
          </w:p>
          <w:p>
            <w:pPr>
              <w:pStyle w:val="TableParagraph"/>
              <w:spacing w:before="8"/>
              <w:rPr>
                <w:sz w:val="30"/>
              </w:rPr>
            </w:pPr>
          </w:p>
          <w:p>
            <w:pPr>
              <w:pStyle w:val="TableParagraph"/>
              <w:ind w:left="185" w:right="171"/>
              <w:jc w:val="center"/>
              <w:rPr>
                <w:sz w:val="22"/>
              </w:rPr>
            </w:pPr>
            <w:r>
              <w:rPr>
                <w:spacing w:val="-2"/>
                <w:sz w:val="22"/>
              </w:rPr>
              <w:t>10/1/22</w:t>
            </w:r>
          </w:p>
        </w:tc>
        <w:tc>
          <w:tcPr>
            <w:tcW w:w="1218" w:type="dxa"/>
          </w:tcPr>
          <w:p>
            <w:pPr>
              <w:pStyle w:val="TableParagraph"/>
              <w:rPr>
                <w:sz w:val="24"/>
              </w:rPr>
            </w:pPr>
          </w:p>
          <w:p>
            <w:pPr>
              <w:pStyle w:val="TableParagraph"/>
              <w:spacing w:before="8"/>
              <w:rPr>
                <w:sz w:val="30"/>
              </w:rPr>
            </w:pPr>
          </w:p>
          <w:p>
            <w:pPr>
              <w:pStyle w:val="TableParagraph"/>
              <w:ind w:right="201"/>
              <w:jc w:val="right"/>
              <w:rPr>
                <w:sz w:val="22"/>
              </w:rPr>
            </w:pPr>
            <w:r>
              <w:rPr>
                <w:spacing w:val="-2"/>
                <w:sz w:val="22"/>
              </w:rPr>
              <w:t>12/31/27</w:t>
            </w:r>
          </w:p>
        </w:tc>
      </w:tr>
      <w:tr>
        <w:trPr>
          <w:trHeight w:val="1518" w:hRule="atLeast"/>
        </w:trPr>
        <w:tc>
          <w:tcPr>
            <w:tcW w:w="1738" w:type="dxa"/>
          </w:tcPr>
          <w:p>
            <w:pPr>
              <w:pStyle w:val="TableParagraph"/>
              <w:rPr>
                <w:sz w:val="33"/>
              </w:rPr>
            </w:pPr>
          </w:p>
          <w:p>
            <w:pPr>
              <w:pStyle w:val="TableParagraph"/>
              <w:spacing w:line="252" w:lineRule="exact"/>
              <w:ind w:left="104" w:right="98"/>
              <w:jc w:val="center"/>
              <w:rPr>
                <w:b/>
                <w:sz w:val="22"/>
              </w:rPr>
            </w:pPr>
            <w:r>
              <w:rPr>
                <w:b/>
                <w:spacing w:val="-5"/>
                <w:sz w:val="22"/>
              </w:rPr>
              <w:t>CE</w:t>
            </w:r>
          </w:p>
          <w:p>
            <w:pPr>
              <w:pStyle w:val="TableParagraph"/>
              <w:ind w:left="110" w:right="98"/>
              <w:jc w:val="center"/>
              <w:rPr>
                <w:b/>
                <w:sz w:val="22"/>
              </w:rPr>
            </w:pPr>
            <w:r>
              <w:rPr>
                <w:b/>
                <w:spacing w:val="-2"/>
                <w:sz w:val="22"/>
              </w:rPr>
              <w:t>Homeless/Base Disabled</w:t>
            </w:r>
          </w:p>
        </w:tc>
        <w:tc>
          <w:tcPr>
            <w:tcW w:w="2304" w:type="dxa"/>
          </w:tcPr>
          <w:p>
            <w:pPr>
              <w:pStyle w:val="TableParagraph"/>
              <w:ind w:left="198" w:right="190" w:hanging="3"/>
              <w:jc w:val="center"/>
              <w:rPr>
                <w:sz w:val="22"/>
              </w:rPr>
            </w:pPr>
            <w:r>
              <w:rPr>
                <w:sz w:val="22"/>
              </w:rPr>
              <w:t>All expenditures for Homeless</w:t>
            </w:r>
            <w:r>
              <w:rPr>
                <w:spacing w:val="-14"/>
                <w:sz w:val="22"/>
              </w:rPr>
              <w:t> </w:t>
            </w:r>
            <w:r>
              <w:rPr>
                <w:sz w:val="22"/>
              </w:rPr>
              <w:t>individuals who are defined as Base</w:t>
            </w:r>
            <w:r>
              <w:rPr>
                <w:spacing w:val="-14"/>
                <w:sz w:val="22"/>
              </w:rPr>
              <w:t> </w:t>
            </w:r>
            <w:r>
              <w:rPr>
                <w:sz w:val="22"/>
              </w:rPr>
              <w:t>Disabled</w:t>
            </w:r>
            <w:r>
              <w:rPr>
                <w:spacing w:val="-14"/>
                <w:sz w:val="22"/>
              </w:rPr>
              <w:t> </w:t>
            </w:r>
            <w:r>
              <w:rPr>
                <w:sz w:val="22"/>
              </w:rPr>
              <w:t>during the Continuous</w:t>
            </w:r>
          </w:p>
          <w:p>
            <w:pPr>
              <w:pStyle w:val="TableParagraph"/>
              <w:spacing w:line="233" w:lineRule="exact"/>
              <w:ind w:left="113" w:right="102"/>
              <w:jc w:val="center"/>
              <w:rPr>
                <w:sz w:val="22"/>
              </w:rPr>
            </w:pPr>
            <w:r>
              <w:rPr>
                <w:sz w:val="22"/>
              </w:rPr>
              <w:t>Eligibility</w:t>
            </w:r>
            <w:r>
              <w:rPr>
                <w:spacing w:val="-6"/>
                <w:sz w:val="22"/>
              </w:rPr>
              <w:t> </w:t>
            </w:r>
            <w:r>
              <w:rPr>
                <w:spacing w:val="-2"/>
                <w:sz w:val="22"/>
              </w:rPr>
              <w:t>period.</w:t>
            </w:r>
          </w:p>
        </w:tc>
        <w:tc>
          <w:tcPr>
            <w:tcW w:w="1519" w:type="dxa"/>
          </w:tcPr>
          <w:p>
            <w:pPr>
              <w:pStyle w:val="TableParagraph"/>
              <w:rPr>
                <w:sz w:val="20"/>
              </w:rPr>
            </w:pPr>
          </w:p>
        </w:tc>
        <w:tc>
          <w:tcPr>
            <w:tcW w:w="1406" w:type="dxa"/>
          </w:tcPr>
          <w:p>
            <w:pPr>
              <w:pStyle w:val="TableParagraph"/>
              <w:ind w:left="239" w:right="232" w:firstLine="148"/>
              <w:jc w:val="both"/>
              <w:rPr>
                <w:sz w:val="22"/>
              </w:rPr>
            </w:pPr>
            <w:r>
              <w:rPr>
                <w:spacing w:val="-2"/>
                <w:sz w:val="22"/>
              </w:rPr>
              <w:t>Follow standard CMS-64.9</w:t>
            </w:r>
          </w:p>
          <w:p>
            <w:pPr>
              <w:pStyle w:val="TableParagraph"/>
              <w:ind w:left="165" w:right="159"/>
              <w:jc w:val="center"/>
              <w:rPr>
                <w:sz w:val="22"/>
              </w:rPr>
            </w:pPr>
            <w:r>
              <w:rPr>
                <w:sz w:val="22"/>
              </w:rPr>
              <w:t>Category</w:t>
            </w:r>
            <w:r>
              <w:rPr>
                <w:spacing w:val="-14"/>
                <w:sz w:val="22"/>
              </w:rPr>
              <w:t> </w:t>
            </w:r>
            <w:r>
              <w:rPr>
                <w:sz w:val="22"/>
              </w:rPr>
              <w:t>of </w:t>
            </w:r>
            <w:r>
              <w:rPr>
                <w:spacing w:val="-2"/>
                <w:sz w:val="22"/>
              </w:rPr>
              <w:t>Service</w:t>
            </w:r>
          </w:p>
          <w:p>
            <w:pPr>
              <w:pStyle w:val="TableParagraph"/>
              <w:spacing w:line="233" w:lineRule="exact"/>
              <w:ind w:left="165" w:right="159"/>
              <w:jc w:val="center"/>
              <w:rPr>
                <w:sz w:val="22"/>
              </w:rPr>
            </w:pPr>
            <w:r>
              <w:rPr>
                <w:spacing w:val="-2"/>
                <w:sz w:val="22"/>
              </w:rPr>
              <w:t>Definitions</w:t>
            </w:r>
          </w:p>
        </w:tc>
        <w:tc>
          <w:tcPr>
            <w:tcW w:w="1742" w:type="dxa"/>
          </w:tcPr>
          <w:p>
            <w:pPr>
              <w:pStyle w:val="TableParagraph"/>
              <w:rPr>
                <w:sz w:val="24"/>
              </w:rPr>
            </w:pPr>
          </w:p>
          <w:p>
            <w:pPr>
              <w:pStyle w:val="TableParagraph"/>
              <w:spacing w:before="11"/>
              <w:rPr>
                <w:sz w:val="30"/>
              </w:rPr>
            </w:pPr>
          </w:p>
          <w:p>
            <w:pPr>
              <w:pStyle w:val="TableParagraph"/>
              <w:ind w:left="125" w:right="115"/>
              <w:jc w:val="center"/>
              <w:rPr>
                <w:sz w:val="22"/>
              </w:rPr>
            </w:pPr>
            <w:r>
              <w:rPr>
                <w:sz w:val="22"/>
              </w:rPr>
              <w:t>Date</w:t>
            </w:r>
            <w:r>
              <w:rPr>
                <w:spacing w:val="-4"/>
                <w:sz w:val="22"/>
              </w:rPr>
              <w:t> </w:t>
            </w:r>
            <w:r>
              <w:rPr>
                <w:sz w:val="22"/>
              </w:rPr>
              <w:t>of</w:t>
            </w:r>
            <w:r>
              <w:rPr>
                <w:spacing w:val="-1"/>
                <w:sz w:val="22"/>
              </w:rPr>
              <w:t> </w:t>
            </w:r>
            <w:r>
              <w:rPr>
                <w:spacing w:val="-2"/>
                <w:sz w:val="22"/>
              </w:rPr>
              <w:t>service</w:t>
            </w:r>
          </w:p>
        </w:tc>
        <w:tc>
          <w:tcPr>
            <w:tcW w:w="1269" w:type="dxa"/>
          </w:tcPr>
          <w:p>
            <w:pPr>
              <w:pStyle w:val="TableParagraph"/>
              <w:rPr>
                <w:sz w:val="24"/>
              </w:rPr>
            </w:pPr>
          </w:p>
          <w:p>
            <w:pPr>
              <w:pStyle w:val="TableParagraph"/>
              <w:spacing w:before="11"/>
              <w:rPr>
                <w:sz w:val="30"/>
              </w:rPr>
            </w:pPr>
          </w:p>
          <w:p>
            <w:pPr>
              <w:pStyle w:val="TableParagraph"/>
              <w:ind w:left="91" w:right="86"/>
              <w:jc w:val="center"/>
              <w:rPr>
                <w:sz w:val="22"/>
              </w:rPr>
            </w:pPr>
            <w:r>
              <w:rPr>
                <w:spacing w:val="-5"/>
                <w:sz w:val="22"/>
              </w:rPr>
              <w:t>MAP</w:t>
            </w:r>
          </w:p>
        </w:tc>
        <w:tc>
          <w:tcPr>
            <w:tcW w:w="1403" w:type="dxa"/>
          </w:tcPr>
          <w:p>
            <w:pPr>
              <w:pStyle w:val="TableParagraph"/>
              <w:rPr>
                <w:sz w:val="24"/>
              </w:rPr>
            </w:pPr>
          </w:p>
          <w:p>
            <w:pPr>
              <w:pStyle w:val="TableParagraph"/>
              <w:spacing w:before="11"/>
              <w:rPr>
                <w:sz w:val="30"/>
              </w:rPr>
            </w:pPr>
          </w:p>
          <w:p>
            <w:pPr>
              <w:pStyle w:val="TableParagraph"/>
              <w:ind w:left="11"/>
              <w:jc w:val="center"/>
              <w:rPr>
                <w:sz w:val="22"/>
              </w:rPr>
            </w:pPr>
            <w:r>
              <w:rPr>
                <w:w w:val="100"/>
                <w:sz w:val="22"/>
              </w:rPr>
              <w:t>Y</w:t>
            </w:r>
          </w:p>
        </w:tc>
        <w:tc>
          <w:tcPr>
            <w:tcW w:w="1067" w:type="dxa"/>
          </w:tcPr>
          <w:p>
            <w:pPr>
              <w:pStyle w:val="TableParagraph"/>
              <w:rPr>
                <w:sz w:val="24"/>
              </w:rPr>
            </w:pPr>
          </w:p>
          <w:p>
            <w:pPr>
              <w:pStyle w:val="TableParagraph"/>
              <w:spacing w:before="11"/>
              <w:rPr>
                <w:sz w:val="30"/>
              </w:rPr>
            </w:pPr>
          </w:p>
          <w:p>
            <w:pPr>
              <w:pStyle w:val="TableParagraph"/>
              <w:ind w:left="185" w:right="171"/>
              <w:jc w:val="center"/>
              <w:rPr>
                <w:sz w:val="22"/>
              </w:rPr>
            </w:pPr>
            <w:r>
              <w:rPr>
                <w:spacing w:val="-2"/>
                <w:sz w:val="22"/>
              </w:rPr>
              <w:t>10/1/22</w:t>
            </w:r>
          </w:p>
        </w:tc>
        <w:tc>
          <w:tcPr>
            <w:tcW w:w="1218" w:type="dxa"/>
          </w:tcPr>
          <w:p>
            <w:pPr>
              <w:pStyle w:val="TableParagraph"/>
              <w:rPr>
                <w:sz w:val="24"/>
              </w:rPr>
            </w:pPr>
          </w:p>
          <w:p>
            <w:pPr>
              <w:pStyle w:val="TableParagraph"/>
              <w:spacing w:before="11"/>
              <w:rPr>
                <w:sz w:val="30"/>
              </w:rPr>
            </w:pPr>
          </w:p>
          <w:p>
            <w:pPr>
              <w:pStyle w:val="TableParagraph"/>
              <w:ind w:right="201"/>
              <w:jc w:val="right"/>
              <w:rPr>
                <w:sz w:val="22"/>
              </w:rPr>
            </w:pPr>
            <w:r>
              <w:rPr>
                <w:spacing w:val="-2"/>
                <w:sz w:val="22"/>
              </w:rPr>
              <w:t>12/31/27</w:t>
            </w:r>
          </w:p>
        </w:tc>
      </w:tr>
      <w:tr>
        <w:trPr>
          <w:trHeight w:val="1134" w:hRule="atLeast"/>
        </w:trPr>
        <w:tc>
          <w:tcPr>
            <w:tcW w:w="1738" w:type="dxa"/>
          </w:tcPr>
          <w:p>
            <w:pPr>
              <w:pStyle w:val="TableParagraph"/>
              <w:spacing w:before="185"/>
              <w:ind w:left="109" w:right="98"/>
              <w:jc w:val="center"/>
              <w:rPr>
                <w:b/>
                <w:sz w:val="22"/>
              </w:rPr>
            </w:pPr>
            <w:r>
              <w:rPr>
                <w:b/>
                <w:sz w:val="22"/>
              </w:rPr>
              <w:t>CE</w:t>
            </w:r>
            <w:r>
              <w:rPr>
                <w:b/>
                <w:spacing w:val="-14"/>
                <w:sz w:val="22"/>
              </w:rPr>
              <w:t> </w:t>
            </w:r>
            <w:r>
              <w:rPr>
                <w:b/>
                <w:sz w:val="22"/>
              </w:rPr>
              <w:t>Homeless/ </w:t>
            </w:r>
            <w:r>
              <w:rPr>
                <w:b/>
                <w:spacing w:val="-2"/>
                <w:sz w:val="22"/>
              </w:rPr>
              <w:t>1902(r)2</w:t>
            </w:r>
          </w:p>
          <w:p>
            <w:pPr>
              <w:pStyle w:val="TableParagraph"/>
              <w:spacing w:before="1"/>
              <w:ind w:left="107" w:right="98"/>
              <w:jc w:val="center"/>
              <w:rPr>
                <w:b/>
                <w:sz w:val="22"/>
              </w:rPr>
            </w:pPr>
            <w:r>
              <w:rPr>
                <w:b/>
                <w:spacing w:val="-2"/>
                <w:sz w:val="22"/>
              </w:rPr>
              <w:t>Children</w:t>
            </w:r>
          </w:p>
        </w:tc>
        <w:tc>
          <w:tcPr>
            <w:tcW w:w="2304" w:type="dxa"/>
          </w:tcPr>
          <w:p>
            <w:pPr>
              <w:pStyle w:val="TableParagraph"/>
              <w:spacing w:before="60"/>
              <w:ind w:left="198" w:right="190" w:hanging="4"/>
              <w:jc w:val="center"/>
              <w:rPr>
                <w:sz w:val="22"/>
              </w:rPr>
            </w:pPr>
            <w:r>
              <w:rPr>
                <w:sz w:val="22"/>
              </w:rPr>
              <w:t>All expenditures for Homeless</w:t>
            </w:r>
            <w:r>
              <w:rPr>
                <w:spacing w:val="-14"/>
                <w:sz w:val="22"/>
              </w:rPr>
              <w:t> </w:t>
            </w:r>
            <w:r>
              <w:rPr>
                <w:sz w:val="22"/>
              </w:rPr>
              <w:t>individuals who are defined as 1902(r)2 Chidren</w:t>
            </w:r>
          </w:p>
        </w:tc>
        <w:tc>
          <w:tcPr>
            <w:tcW w:w="1519" w:type="dxa"/>
          </w:tcPr>
          <w:p>
            <w:pPr>
              <w:pStyle w:val="TableParagraph"/>
              <w:rPr>
                <w:sz w:val="20"/>
              </w:rPr>
            </w:pPr>
          </w:p>
        </w:tc>
        <w:tc>
          <w:tcPr>
            <w:tcW w:w="1406" w:type="dxa"/>
          </w:tcPr>
          <w:p>
            <w:pPr>
              <w:pStyle w:val="TableParagraph"/>
              <w:spacing w:before="60"/>
              <w:ind w:left="239" w:right="232" w:firstLine="148"/>
              <w:jc w:val="both"/>
              <w:rPr>
                <w:sz w:val="22"/>
              </w:rPr>
            </w:pPr>
            <w:r>
              <w:rPr>
                <w:spacing w:val="-2"/>
                <w:sz w:val="22"/>
              </w:rPr>
              <w:t>Follow standard CMS-64.9</w:t>
            </w:r>
          </w:p>
          <w:p>
            <w:pPr>
              <w:pStyle w:val="TableParagraph"/>
              <w:spacing w:line="252" w:lineRule="exact"/>
              <w:ind w:left="177"/>
              <w:rPr>
                <w:sz w:val="22"/>
              </w:rPr>
            </w:pPr>
            <w:r>
              <w:rPr>
                <w:sz w:val="22"/>
              </w:rPr>
              <w:t>Category</w:t>
            </w:r>
            <w:r>
              <w:rPr>
                <w:spacing w:val="-6"/>
                <w:sz w:val="22"/>
              </w:rPr>
              <w:t> </w:t>
            </w:r>
            <w:r>
              <w:rPr>
                <w:spacing w:val="-5"/>
                <w:sz w:val="22"/>
              </w:rPr>
              <w:t>of</w:t>
            </w:r>
          </w:p>
        </w:tc>
        <w:tc>
          <w:tcPr>
            <w:tcW w:w="1742" w:type="dxa"/>
          </w:tcPr>
          <w:p>
            <w:pPr>
              <w:pStyle w:val="TableParagraph"/>
              <w:rPr>
                <w:sz w:val="24"/>
              </w:rPr>
            </w:pPr>
          </w:p>
          <w:p>
            <w:pPr>
              <w:pStyle w:val="TableParagraph"/>
              <w:spacing w:before="163"/>
              <w:ind w:left="125" w:right="115"/>
              <w:jc w:val="center"/>
              <w:rPr>
                <w:sz w:val="22"/>
              </w:rPr>
            </w:pPr>
            <w:r>
              <w:rPr>
                <w:sz w:val="22"/>
              </w:rPr>
              <w:t>Date</w:t>
            </w:r>
            <w:r>
              <w:rPr>
                <w:spacing w:val="-4"/>
                <w:sz w:val="22"/>
              </w:rPr>
              <w:t> </w:t>
            </w:r>
            <w:r>
              <w:rPr>
                <w:sz w:val="22"/>
              </w:rPr>
              <w:t>of</w:t>
            </w:r>
            <w:r>
              <w:rPr>
                <w:spacing w:val="-1"/>
                <w:sz w:val="22"/>
              </w:rPr>
              <w:t> </w:t>
            </w:r>
            <w:r>
              <w:rPr>
                <w:spacing w:val="-2"/>
                <w:sz w:val="22"/>
              </w:rPr>
              <w:t>service</w:t>
            </w:r>
          </w:p>
        </w:tc>
        <w:tc>
          <w:tcPr>
            <w:tcW w:w="1269" w:type="dxa"/>
          </w:tcPr>
          <w:p>
            <w:pPr>
              <w:pStyle w:val="TableParagraph"/>
              <w:rPr>
                <w:sz w:val="24"/>
              </w:rPr>
            </w:pPr>
          </w:p>
          <w:p>
            <w:pPr>
              <w:pStyle w:val="TableParagraph"/>
              <w:spacing w:before="163"/>
              <w:ind w:left="91" w:right="86"/>
              <w:jc w:val="center"/>
              <w:rPr>
                <w:sz w:val="22"/>
              </w:rPr>
            </w:pPr>
            <w:r>
              <w:rPr>
                <w:spacing w:val="-5"/>
                <w:sz w:val="22"/>
              </w:rPr>
              <w:t>MAP</w:t>
            </w:r>
          </w:p>
        </w:tc>
        <w:tc>
          <w:tcPr>
            <w:tcW w:w="1403" w:type="dxa"/>
          </w:tcPr>
          <w:p>
            <w:pPr>
              <w:pStyle w:val="TableParagraph"/>
              <w:rPr>
                <w:sz w:val="24"/>
              </w:rPr>
            </w:pPr>
          </w:p>
          <w:p>
            <w:pPr>
              <w:pStyle w:val="TableParagraph"/>
              <w:spacing w:before="163"/>
              <w:ind w:left="11"/>
              <w:jc w:val="center"/>
              <w:rPr>
                <w:sz w:val="22"/>
              </w:rPr>
            </w:pPr>
            <w:r>
              <w:rPr>
                <w:w w:val="100"/>
                <w:sz w:val="22"/>
              </w:rPr>
              <w:t>Y</w:t>
            </w:r>
          </w:p>
        </w:tc>
        <w:tc>
          <w:tcPr>
            <w:tcW w:w="1067" w:type="dxa"/>
          </w:tcPr>
          <w:p>
            <w:pPr>
              <w:pStyle w:val="TableParagraph"/>
              <w:rPr>
                <w:sz w:val="24"/>
              </w:rPr>
            </w:pPr>
          </w:p>
          <w:p>
            <w:pPr>
              <w:pStyle w:val="TableParagraph"/>
              <w:spacing w:before="163"/>
              <w:ind w:left="185" w:right="171"/>
              <w:jc w:val="center"/>
              <w:rPr>
                <w:sz w:val="22"/>
              </w:rPr>
            </w:pPr>
            <w:r>
              <w:rPr>
                <w:spacing w:val="-2"/>
                <w:sz w:val="22"/>
              </w:rPr>
              <w:t>10/1/22</w:t>
            </w:r>
          </w:p>
        </w:tc>
        <w:tc>
          <w:tcPr>
            <w:tcW w:w="1218" w:type="dxa"/>
          </w:tcPr>
          <w:p>
            <w:pPr>
              <w:pStyle w:val="TableParagraph"/>
              <w:rPr>
                <w:sz w:val="24"/>
              </w:rPr>
            </w:pPr>
          </w:p>
          <w:p>
            <w:pPr>
              <w:pStyle w:val="TableParagraph"/>
              <w:spacing w:before="163"/>
              <w:ind w:right="200"/>
              <w:jc w:val="right"/>
              <w:rPr>
                <w:sz w:val="22"/>
              </w:rPr>
            </w:pPr>
            <w:r>
              <w:rPr>
                <w:spacing w:val="-2"/>
                <w:sz w:val="22"/>
              </w:rPr>
              <w:t>12/31/27</w:t>
            </w:r>
          </w:p>
        </w:tc>
      </w:tr>
    </w:tbl>
    <w:p>
      <w:pPr>
        <w:spacing w:after="0"/>
        <w:jc w:val="right"/>
        <w:rPr>
          <w:sz w:val="22"/>
        </w:rPr>
        <w:sectPr>
          <w:pgSz w:w="15840" w:h="12240" w:orient="landscape"/>
          <w:pgMar w:header="0" w:footer="1201" w:top="1380" w:bottom="1400" w:left="820" w:right="1120"/>
        </w:sectPr>
      </w:pPr>
    </w:p>
    <w:p>
      <w:pPr>
        <w:pStyle w:val="BodyText"/>
        <w:spacing w:before="2"/>
        <w:rPr>
          <w:sz w:val="5"/>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38"/>
        <w:gridCol w:w="2304"/>
        <w:gridCol w:w="1519"/>
        <w:gridCol w:w="1406"/>
        <w:gridCol w:w="1742"/>
        <w:gridCol w:w="1269"/>
        <w:gridCol w:w="1403"/>
        <w:gridCol w:w="1067"/>
        <w:gridCol w:w="1218"/>
      </w:tblGrid>
      <w:tr>
        <w:trPr>
          <w:trHeight w:val="1134" w:hRule="atLeast"/>
        </w:trPr>
        <w:tc>
          <w:tcPr>
            <w:tcW w:w="1738" w:type="dxa"/>
          </w:tcPr>
          <w:p>
            <w:pPr>
              <w:pStyle w:val="TableParagraph"/>
              <w:rPr>
                <w:sz w:val="20"/>
              </w:rPr>
            </w:pPr>
          </w:p>
        </w:tc>
        <w:tc>
          <w:tcPr>
            <w:tcW w:w="2304" w:type="dxa"/>
          </w:tcPr>
          <w:p>
            <w:pPr>
              <w:pStyle w:val="TableParagraph"/>
              <w:ind w:left="369" w:hanging="204"/>
              <w:rPr>
                <w:sz w:val="22"/>
              </w:rPr>
            </w:pPr>
            <w:r>
              <w:rPr>
                <w:sz w:val="22"/>
              </w:rPr>
              <w:t>during</w:t>
            </w:r>
            <w:r>
              <w:rPr>
                <w:spacing w:val="-14"/>
                <w:sz w:val="22"/>
              </w:rPr>
              <w:t> </w:t>
            </w:r>
            <w:r>
              <w:rPr>
                <w:sz w:val="22"/>
              </w:rPr>
              <w:t>the</w:t>
            </w:r>
            <w:r>
              <w:rPr>
                <w:spacing w:val="-14"/>
                <w:sz w:val="22"/>
              </w:rPr>
              <w:t> </w:t>
            </w:r>
            <w:r>
              <w:rPr>
                <w:sz w:val="22"/>
              </w:rPr>
              <w:t>Continuous Eligibility period.</w:t>
            </w:r>
          </w:p>
        </w:tc>
        <w:tc>
          <w:tcPr>
            <w:tcW w:w="1519" w:type="dxa"/>
          </w:tcPr>
          <w:p>
            <w:pPr>
              <w:pStyle w:val="TableParagraph"/>
              <w:rPr>
                <w:sz w:val="20"/>
              </w:rPr>
            </w:pPr>
          </w:p>
        </w:tc>
        <w:tc>
          <w:tcPr>
            <w:tcW w:w="1406" w:type="dxa"/>
          </w:tcPr>
          <w:p>
            <w:pPr>
              <w:pStyle w:val="TableParagraph"/>
              <w:ind w:left="206" w:firstLine="163"/>
              <w:rPr>
                <w:sz w:val="22"/>
              </w:rPr>
            </w:pPr>
            <w:r>
              <w:rPr>
                <w:spacing w:val="-2"/>
                <w:sz w:val="22"/>
              </w:rPr>
              <w:t>Service Definitions</w:t>
            </w:r>
          </w:p>
        </w:tc>
        <w:tc>
          <w:tcPr>
            <w:tcW w:w="1742" w:type="dxa"/>
          </w:tcPr>
          <w:p>
            <w:pPr>
              <w:pStyle w:val="TableParagraph"/>
              <w:rPr>
                <w:sz w:val="20"/>
              </w:rPr>
            </w:pPr>
          </w:p>
        </w:tc>
        <w:tc>
          <w:tcPr>
            <w:tcW w:w="1269" w:type="dxa"/>
          </w:tcPr>
          <w:p>
            <w:pPr>
              <w:pStyle w:val="TableParagraph"/>
              <w:rPr>
                <w:sz w:val="20"/>
              </w:rPr>
            </w:pPr>
          </w:p>
        </w:tc>
        <w:tc>
          <w:tcPr>
            <w:tcW w:w="1403" w:type="dxa"/>
          </w:tcPr>
          <w:p>
            <w:pPr>
              <w:pStyle w:val="TableParagraph"/>
              <w:rPr>
                <w:sz w:val="20"/>
              </w:rPr>
            </w:pPr>
          </w:p>
        </w:tc>
        <w:tc>
          <w:tcPr>
            <w:tcW w:w="1067" w:type="dxa"/>
          </w:tcPr>
          <w:p>
            <w:pPr>
              <w:pStyle w:val="TableParagraph"/>
              <w:rPr>
                <w:sz w:val="20"/>
              </w:rPr>
            </w:pPr>
          </w:p>
        </w:tc>
        <w:tc>
          <w:tcPr>
            <w:tcW w:w="1218" w:type="dxa"/>
          </w:tcPr>
          <w:p>
            <w:pPr>
              <w:pStyle w:val="TableParagraph"/>
              <w:rPr>
                <w:sz w:val="20"/>
              </w:rPr>
            </w:pPr>
          </w:p>
        </w:tc>
      </w:tr>
      <w:tr>
        <w:trPr>
          <w:trHeight w:val="1516" w:hRule="atLeast"/>
        </w:trPr>
        <w:tc>
          <w:tcPr>
            <w:tcW w:w="1738" w:type="dxa"/>
          </w:tcPr>
          <w:p>
            <w:pPr>
              <w:pStyle w:val="TableParagraph"/>
              <w:spacing w:before="9"/>
              <w:rPr>
                <w:sz w:val="32"/>
              </w:rPr>
            </w:pPr>
          </w:p>
          <w:p>
            <w:pPr>
              <w:pStyle w:val="TableParagraph"/>
              <w:ind w:left="109" w:right="98"/>
              <w:jc w:val="center"/>
              <w:rPr>
                <w:b/>
                <w:sz w:val="22"/>
              </w:rPr>
            </w:pPr>
            <w:r>
              <w:rPr>
                <w:b/>
                <w:sz w:val="22"/>
              </w:rPr>
              <w:t>CE</w:t>
            </w:r>
            <w:r>
              <w:rPr>
                <w:b/>
                <w:spacing w:val="-14"/>
                <w:sz w:val="22"/>
              </w:rPr>
              <w:t> </w:t>
            </w:r>
            <w:r>
              <w:rPr>
                <w:b/>
                <w:sz w:val="22"/>
              </w:rPr>
              <w:t>Homeless/ </w:t>
            </w:r>
            <w:r>
              <w:rPr>
                <w:b/>
                <w:spacing w:val="-2"/>
                <w:sz w:val="22"/>
              </w:rPr>
              <w:t>1902(r)2</w:t>
            </w:r>
          </w:p>
          <w:p>
            <w:pPr>
              <w:pStyle w:val="TableParagraph"/>
              <w:spacing w:before="1"/>
              <w:ind w:left="108" w:right="98"/>
              <w:jc w:val="center"/>
              <w:rPr>
                <w:b/>
                <w:sz w:val="22"/>
              </w:rPr>
            </w:pPr>
            <w:r>
              <w:rPr>
                <w:b/>
                <w:spacing w:val="-2"/>
                <w:sz w:val="22"/>
              </w:rPr>
              <w:t>Disabled</w:t>
            </w:r>
          </w:p>
        </w:tc>
        <w:tc>
          <w:tcPr>
            <w:tcW w:w="2304" w:type="dxa"/>
          </w:tcPr>
          <w:p>
            <w:pPr>
              <w:pStyle w:val="TableParagraph"/>
              <w:ind w:left="165" w:right="157" w:hanging="3"/>
              <w:jc w:val="center"/>
              <w:rPr>
                <w:sz w:val="22"/>
              </w:rPr>
            </w:pPr>
            <w:r>
              <w:rPr>
                <w:sz w:val="22"/>
              </w:rPr>
              <w:t>All expenditures for Homeless individuals who are defined as 1902(r)2 Disabled during</w:t>
            </w:r>
            <w:r>
              <w:rPr>
                <w:spacing w:val="-14"/>
                <w:sz w:val="22"/>
              </w:rPr>
              <w:t> </w:t>
            </w:r>
            <w:r>
              <w:rPr>
                <w:sz w:val="22"/>
              </w:rPr>
              <w:t>the</w:t>
            </w:r>
            <w:r>
              <w:rPr>
                <w:spacing w:val="-14"/>
                <w:sz w:val="22"/>
              </w:rPr>
              <w:t> </w:t>
            </w:r>
            <w:r>
              <w:rPr>
                <w:sz w:val="22"/>
              </w:rPr>
              <w:t>Continuous</w:t>
            </w:r>
          </w:p>
          <w:p>
            <w:pPr>
              <w:pStyle w:val="TableParagraph"/>
              <w:spacing w:line="233" w:lineRule="exact"/>
              <w:ind w:left="113" w:right="102"/>
              <w:jc w:val="center"/>
              <w:rPr>
                <w:sz w:val="22"/>
              </w:rPr>
            </w:pPr>
            <w:r>
              <w:rPr>
                <w:sz w:val="22"/>
              </w:rPr>
              <w:t>Eligibility</w:t>
            </w:r>
            <w:r>
              <w:rPr>
                <w:spacing w:val="-6"/>
                <w:sz w:val="22"/>
              </w:rPr>
              <w:t> </w:t>
            </w:r>
            <w:r>
              <w:rPr>
                <w:spacing w:val="-2"/>
                <w:sz w:val="22"/>
              </w:rPr>
              <w:t>period.</w:t>
            </w:r>
          </w:p>
        </w:tc>
        <w:tc>
          <w:tcPr>
            <w:tcW w:w="1519" w:type="dxa"/>
          </w:tcPr>
          <w:p>
            <w:pPr>
              <w:pStyle w:val="TableParagraph"/>
              <w:rPr>
                <w:sz w:val="20"/>
              </w:rPr>
            </w:pPr>
          </w:p>
        </w:tc>
        <w:tc>
          <w:tcPr>
            <w:tcW w:w="1406" w:type="dxa"/>
          </w:tcPr>
          <w:p>
            <w:pPr>
              <w:pStyle w:val="TableParagraph"/>
              <w:ind w:left="239" w:right="232" w:firstLine="148"/>
              <w:jc w:val="both"/>
              <w:rPr>
                <w:sz w:val="22"/>
              </w:rPr>
            </w:pPr>
            <w:r>
              <w:rPr>
                <w:spacing w:val="-2"/>
                <w:sz w:val="22"/>
              </w:rPr>
              <w:t>Follow standard CMS-64.9</w:t>
            </w:r>
          </w:p>
          <w:p>
            <w:pPr>
              <w:pStyle w:val="TableParagraph"/>
              <w:ind w:left="165" w:right="159"/>
              <w:jc w:val="center"/>
              <w:rPr>
                <w:sz w:val="22"/>
              </w:rPr>
            </w:pPr>
            <w:r>
              <w:rPr>
                <w:sz w:val="22"/>
              </w:rPr>
              <w:t>Category</w:t>
            </w:r>
            <w:r>
              <w:rPr>
                <w:spacing w:val="-14"/>
                <w:sz w:val="22"/>
              </w:rPr>
              <w:t> </w:t>
            </w:r>
            <w:r>
              <w:rPr>
                <w:sz w:val="22"/>
              </w:rPr>
              <w:t>of </w:t>
            </w:r>
            <w:r>
              <w:rPr>
                <w:spacing w:val="-2"/>
                <w:sz w:val="22"/>
              </w:rPr>
              <w:t>Service</w:t>
            </w:r>
          </w:p>
          <w:p>
            <w:pPr>
              <w:pStyle w:val="TableParagraph"/>
              <w:spacing w:line="233" w:lineRule="exact"/>
              <w:ind w:left="165" w:right="159"/>
              <w:jc w:val="center"/>
              <w:rPr>
                <w:sz w:val="22"/>
              </w:rPr>
            </w:pPr>
            <w:r>
              <w:rPr>
                <w:spacing w:val="-2"/>
                <w:sz w:val="22"/>
              </w:rPr>
              <w:t>Definitions</w:t>
            </w:r>
          </w:p>
        </w:tc>
        <w:tc>
          <w:tcPr>
            <w:tcW w:w="1742" w:type="dxa"/>
          </w:tcPr>
          <w:p>
            <w:pPr>
              <w:pStyle w:val="TableParagraph"/>
              <w:rPr>
                <w:sz w:val="24"/>
              </w:rPr>
            </w:pPr>
          </w:p>
          <w:p>
            <w:pPr>
              <w:pStyle w:val="TableParagraph"/>
              <w:spacing w:before="8"/>
              <w:rPr>
                <w:sz w:val="30"/>
              </w:rPr>
            </w:pPr>
          </w:p>
          <w:p>
            <w:pPr>
              <w:pStyle w:val="TableParagraph"/>
              <w:ind w:left="125" w:right="115"/>
              <w:jc w:val="center"/>
              <w:rPr>
                <w:sz w:val="22"/>
              </w:rPr>
            </w:pPr>
            <w:r>
              <w:rPr>
                <w:sz w:val="22"/>
              </w:rPr>
              <w:t>Date</w:t>
            </w:r>
            <w:r>
              <w:rPr>
                <w:spacing w:val="-4"/>
                <w:sz w:val="22"/>
              </w:rPr>
              <w:t> </w:t>
            </w:r>
            <w:r>
              <w:rPr>
                <w:sz w:val="22"/>
              </w:rPr>
              <w:t>of</w:t>
            </w:r>
            <w:r>
              <w:rPr>
                <w:spacing w:val="-1"/>
                <w:sz w:val="22"/>
              </w:rPr>
              <w:t> </w:t>
            </w:r>
            <w:r>
              <w:rPr>
                <w:spacing w:val="-2"/>
                <w:sz w:val="22"/>
              </w:rPr>
              <w:t>service</w:t>
            </w:r>
          </w:p>
        </w:tc>
        <w:tc>
          <w:tcPr>
            <w:tcW w:w="1269" w:type="dxa"/>
          </w:tcPr>
          <w:p>
            <w:pPr>
              <w:pStyle w:val="TableParagraph"/>
              <w:rPr>
                <w:sz w:val="24"/>
              </w:rPr>
            </w:pPr>
          </w:p>
          <w:p>
            <w:pPr>
              <w:pStyle w:val="TableParagraph"/>
              <w:spacing w:before="8"/>
              <w:rPr>
                <w:sz w:val="30"/>
              </w:rPr>
            </w:pPr>
          </w:p>
          <w:p>
            <w:pPr>
              <w:pStyle w:val="TableParagraph"/>
              <w:ind w:left="91" w:right="86"/>
              <w:jc w:val="center"/>
              <w:rPr>
                <w:sz w:val="22"/>
              </w:rPr>
            </w:pPr>
            <w:r>
              <w:rPr>
                <w:spacing w:val="-5"/>
                <w:sz w:val="22"/>
              </w:rPr>
              <w:t>MAP</w:t>
            </w:r>
          </w:p>
        </w:tc>
        <w:tc>
          <w:tcPr>
            <w:tcW w:w="1403" w:type="dxa"/>
          </w:tcPr>
          <w:p>
            <w:pPr>
              <w:pStyle w:val="TableParagraph"/>
              <w:rPr>
                <w:sz w:val="24"/>
              </w:rPr>
            </w:pPr>
          </w:p>
          <w:p>
            <w:pPr>
              <w:pStyle w:val="TableParagraph"/>
              <w:spacing w:before="8"/>
              <w:rPr>
                <w:sz w:val="30"/>
              </w:rPr>
            </w:pPr>
          </w:p>
          <w:p>
            <w:pPr>
              <w:pStyle w:val="TableParagraph"/>
              <w:ind w:left="11"/>
              <w:jc w:val="center"/>
              <w:rPr>
                <w:sz w:val="22"/>
              </w:rPr>
            </w:pPr>
            <w:r>
              <w:rPr>
                <w:w w:val="100"/>
                <w:sz w:val="22"/>
              </w:rPr>
              <w:t>Y</w:t>
            </w:r>
          </w:p>
        </w:tc>
        <w:tc>
          <w:tcPr>
            <w:tcW w:w="1067" w:type="dxa"/>
          </w:tcPr>
          <w:p>
            <w:pPr>
              <w:pStyle w:val="TableParagraph"/>
              <w:rPr>
                <w:sz w:val="24"/>
              </w:rPr>
            </w:pPr>
          </w:p>
          <w:p>
            <w:pPr>
              <w:pStyle w:val="TableParagraph"/>
              <w:spacing w:before="8"/>
              <w:rPr>
                <w:sz w:val="30"/>
              </w:rPr>
            </w:pPr>
          </w:p>
          <w:p>
            <w:pPr>
              <w:pStyle w:val="TableParagraph"/>
              <w:ind w:left="185" w:right="171"/>
              <w:jc w:val="center"/>
              <w:rPr>
                <w:sz w:val="22"/>
              </w:rPr>
            </w:pPr>
            <w:r>
              <w:rPr>
                <w:spacing w:val="-2"/>
                <w:sz w:val="22"/>
              </w:rPr>
              <w:t>10/1/22</w:t>
            </w:r>
          </w:p>
        </w:tc>
        <w:tc>
          <w:tcPr>
            <w:tcW w:w="1218" w:type="dxa"/>
          </w:tcPr>
          <w:p>
            <w:pPr>
              <w:pStyle w:val="TableParagraph"/>
              <w:rPr>
                <w:sz w:val="24"/>
              </w:rPr>
            </w:pPr>
          </w:p>
          <w:p>
            <w:pPr>
              <w:pStyle w:val="TableParagraph"/>
              <w:spacing w:before="8"/>
              <w:rPr>
                <w:sz w:val="30"/>
              </w:rPr>
            </w:pPr>
          </w:p>
          <w:p>
            <w:pPr>
              <w:pStyle w:val="TableParagraph"/>
              <w:ind w:right="201"/>
              <w:jc w:val="right"/>
              <w:rPr>
                <w:sz w:val="22"/>
              </w:rPr>
            </w:pPr>
            <w:r>
              <w:rPr>
                <w:spacing w:val="-2"/>
                <w:sz w:val="22"/>
              </w:rPr>
              <w:t>12/31/27</w:t>
            </w:r>
          </w:p>
        </w:tc>
      </w:tr>
      <w:tr>
        <w:trPr>
          <w:trHeight w:val="1518" w:hRule="atLeast"/>
        </w:trPr>
        <w:tc>
          <w:tcPr>
            <w:tcW w:w="1738" w:type="dxa"/>
          </w:tcPr>
          <w:p>
            <w:pPr>
              <w:pStyle w:val="TableParagraph"/>
              <w:rPr>
                <w:sz w:val="33"/>
              </w:rPr>
            </w:pPr>
          </w:p>
          <w:p>
            <w:pPr>
              <w:pStyle w:val="TableParagraph"/>
              <w:ind w:left="470" w:right="198" w:hanging="260"/>
              <w:rPr>
                <w:b/>
                <w:sz w:val="22"/>
              </w:rPr>
            </w:pPr>
            <w:r>
              <w:rPr>
                <w:b/>
                <w:sz w:val="22"/>
              </w:rPr>
              <w:t>CE</w:t>
            </w:r>
            <w:r>
              <w:rPr>
                <w:b/>
                <w:spacing w:val="-14"/>
                <w:sz w:val="22"/>
              </w:rPr>
              <w:t> </w:t>
            </w:r>
            <w:r>
              <w:rPr>
                <w:b/>
                <w:sz w:val="22"/>
              </w:rPr>
              <w:t>Homeless/ </w:t>
            </w:r>
            <w:r>
              <w:rPr>
                <w:b/>
                <w:spacing w:val="-2"/>
                <w:sz w:val="22"/>
              </w:rPr>
              <w:t>1902(r)2 BCCDP</w:t>
            </w:r>
          </w:p>
        </w:tc>
        <w:tc>
          <w:tcPr>
            <w:tcW w:w="2304" w:type="dxa"/>
          </w:tcPr>
          <w:p>
            <w:pPr>
              <w:pStyle w:val="TableParagraph"/>
              <w:ind w:left="198" w:right="190" w:hanging="3"/>
              <w:jc w:val="center"/>
              <w:rPr>
                <w:sz w:val="22"/>
              </w:rPr>
            </w:pPr>
            <w:r>
              <w:rPr>
                <w:sz w:val="22"/>
              </w:rPr>
              <w:t>All expenditures for Homeless</w:t>
            </w:r>
            <w:r>
              <w:rPr>
                <w:spacing w:val="-14"/>
                <w:sz w:val="22"/>
              </w:rPr>
              <w:t> </w:t>
            </w:r>
            <w:r>
              <w:rPr>
                <w:sz w:val="22"/>
              </w:rPr>
              <w:t>individuals who are defined as 1902(r)2 BCCDP</w:t>
            </w:r>
          </w:p>
          <w:p>
            <w:pPr>
              <w:pStyle w:val="TableParagraph"/>
              <w:spacing w:line="252" w:lineRule="exact"/>
              <w:ind w:left="109" w:right="102"/>
              <w:jc w:val="center"/>
              <w:rPr>
                <w:sz w:val="22"/>
              </w:rPr>
            </w:pPr>
            <w:r>
              <w:rPr>
                <w:sz w:val="22"/>
              </w:rPr>
              <w:t>during</w:t>
            </w:r>
            <w:r>
              <w:rPr>
                <w:spacing w:val="-14"/>
                <w:sz w:val="22"/>
              </w:rPr>
              <w:t> </w:t>
            </w:r>
            <w:r>
              <w:rPr>
                <w:sz w:val="22"/>
              </w:rPr>
              <w:t>the</w:t>
            </w:r>
            <w:r>
              <w:rPr>
                <w:spacing w:val="-14"/>
                <w:sz w:val="22"/>
              </w:rPr>
              <w:t> </w:t>
            </w:r>
            <w:r>
              <w:rPr>
                <w:sz w:val="22"/>
              </w:rPr>
              <w:t>Continuous Eligibility period.</w:t>
            </w:r>
          </w:p>
        </w:tc>
        <w:tc>
          <w:tcPr>
            <w:tcW w:w="1519" w:type="dxa"/>
          </w:tcPr>
          <w:p>
            <w:pPr>
              <w:pStyle w:val="TableParagraph"/>
              <w:rPr>
                <w:sz w:val="20"/>
              </w:rPr>
            </w:pPr>
          </w:p>
        </w:tc>
        <w:tc>
          <w:tcPr>
            <w:tcW w:w="1406" w:type="dxa"/>
          </w:tcPr>
          <w:p>
            <w:pPr>
              <w:pStyle w:val="TableParagraph"/>
              <w:ind w:left="239" w:right="232" w:firstLine="148"/>
              <w:jc w:val="both"/>
              <w:rPr>
                <w:sz w:val="22"/>
              </w:rPr>
            </w:pPr>
            <w:r>
              <w:rPr>
                <w:spacing w:val="-2"/>
                <w:sz w:val="22"/>
              </w:rPr>
              <w:t>Follow standard CMS-64.9</w:t>
            </w:r>
          </w:p>
          <w:p>
            <w:pPr>
              <w:pStyle w:val="TableParagraph"/>
              <w:spacing w:line="252" w:lineRule="exact"/>
              <w:ind w:left="165" w:right="159"/>
              <w:jc w:val="center"/>
              <w:rPr>
                <w:sz w:val="22"/>
              </w:rPr>
            </w:pPr>
            <w:r>
              <w:rPr>
                <w:sz w:val="22"/>
              </w:rPr>
              <w:t>Category</w:t>
            </w:r>
            <w:r>
              <w:rPr>
                <w:spacing w:val="-14"/>
                <w:sz w:val="22"/>
              </w:rPr>
              <w:t> </w:t>
            </w:r>
            <w:r>
              <w:rPr>
                <w:sz w:val="22"/>
              </w:rPr>
              <w:t>of </w:t>
            </w:r>
            <w:r>
              <w:rPr>
                <w:spacing w:val="-2"/>
                <w:sz w:val="22"/>
              </w:rPr>
              <w:t>Service Definitions</w:t>
            </w:r>
          </w:p>
        </w:tc>
        <w:tc>
          <w:tcPr>
            <w:tcW w:w="1742" w:type="dxa"/>
          </w:tcPr>
          <w:p>
            <w:pPr>
              <w:pStyle w:val="TableParagraph"/>
              <w:rPr>
                <w:sz w:val="24"/>
              </w:rPr>
            </w:pPr>
          </w:p>
          <w:p>
            <w:pPr>
              <w:pStyle w:val="TableParagraph"/>
              <w:spacing w:before="11"/>
              <w:rPr>
                <w:sz w:val="30"/>
              </w:rPr>
            </w:pPr>
          </w:p>
          <w:p>
            <w:pPr>
              <w:pStyle w:val="TableParagraph"/>
              <w:ind w:left="125" w:right="115"/>
              <w:jc w:val="center"/>
              <w:rPr>
                <w:sz w:val="22"/>
              </w:rPr>
            </w:pPr>
            <w:r>
              <w:rPr>
                <w:sz w:val="22"/>
              </w:rPr>
              <w:t>Date</w:t>
            </w:r>
            <w:r>
              <w:rPr>
                <w:spacing w:val="-4"/>
                <w:sz w:val="22"/>
              </w:rPr>
              <w:t> </w:t>
            </w:r>
            <w:r>
              <w:rPr>
                <w:sz w:val="22"/>
              </w:rPr>
              <w:t>of</w:t>
            </w:r>
            <w:r>
              <w:rPr>
                <w:spacing w:val="-1"/>
                <w:sz w:val="22"/>
              </w:rPr>
              <w:t> </w:t>
            </w:r>
            <w:r>
              <w:rPr>
                <w:spacing w:val="-2"/>
                <w:sz w:val="22"/>
              </w:rPr>
              <w:t>service</w:t>
            </w:r>
          </w:p>
        </w:tc>
        <w:tc>
          <w:tcPr>
            <w:tcW w:w="1269" w:type="dxa"/>
          </w:tcPr>
          <w:p>
            <w:pPr>
              <w:pStyle w:val="TableParagraph"/>
              <w:rPr>
                <w:sz w:val="24"/>
              </w:rPr>
            </w:pPr>
          </w:p>
          <w:p>
            <w:pPr>
              <w:pStyle w:val="TableParagraph"/>
              <w:spacing w:before="11"/>
              <w:rPr>
                <w:sz w:val="30"/>
              </w:rPr>
            </w:pPr>
          </w:p>
          <w:p>
            <w:pPr>
              <w:pStyle w:val="TableParagraph"/>
              <w:ind w:left="91" w:right="86"/>
              <w:jc w:val="center"/>
              <w:rPr>
                <w:sz w:val="22"/>
              </w:rPr>
            </w:pPr>
            <w:r>
              <w:rPr>
                <w:spacing w:val="-5"/>
                <w:sz w:val="22"/>
              </w:rPr>
              <w:t>MAP</w:t>
            </w:r>
          </w:p>
        </w:tc>
        <w:tc>
          <w:tcPr>
            <w:tcW w:w="1403" w:type="dxa"/>
          </w:tcPr>
          <w:p>
            <w:pPr>
              <w:pStyle w:val="TableParagraph"/>
              <w:rPr>
                <w:sz w:val="24"/>
              </w:rPr>
            </w:pPr>
          </w:p>
          <w:p>
            <w:pPr>
              <w:pStyle w:val="TableParagraph"/>
              <w:spacing w:before="11"/>
              <w:rPr>
                <w:sz w:val="30"/>
              </w:rPr>
            </w:pPr>
          </w:p>
          <w:p>
            <w:pPr>
              <w:pStyle w:val="TableParagraph"/>
              <w:ind w:left="11"/>
              <w:jc w:val="center"/>
              <w:rPr>
                <w:sz w:val="22"/>
              </w:rPr>
            </w:pPr>
            <w:r>
              <w:rPr>
                <w:w w:val="100"/>
                <w:sz w:val="22"/>
              </w:rPr>
              <w:t>Y</w:t>
            </w:r>
          </w:p>
        </w:tc>
        <w:tc>
          <w:tcPr>
            <w:tcW w:w="1067" w:type="dxa"/>
          </w:tcPr>
          <w:p>
            <w:pPr>
              <w:pStyle w:val="TableParagraph"/>
              <w:rPr>
                <w:sz w:val="24"/>
              </w:rPr>
            </w:pPr>
          </w:p>
          <w:p>
            <w:pPr>
              <w:pStyle w:val="TableParagraph"/>
              <w:spacing w:before="11"/>
              <w:rPr>
                <w:sz w:val="30"/>
              </w:rPr>
            </w:pPr>
          </w:p>
          <w:p>
            <w:pPr>
              <w:pStyle w:val="TableParagraph"/>
              <w:ind w:left="185" w:right="171"/>
              <w:jc w:val="center"/>
              <w:rPr>
                <w:sz w:val="22"/>
              </w:rPr>
            </w:pPr>
            <w:r>
              <w:rPr>
                <w:spacing w:val="-2"/>
                <w:sz w:val="22"/>
              </w:rPr>
              <w:t>10/1/22</w:t>
            </w:r>
          </w:p>
        </w:tc>
        <w:tc>
          <w:tcPr>
            <w:tcW w:w="1218" w:type="dxa"/>
          </w:tcPr>
          <w:p>
            <w:pPr>
              <w:pStyle w:val="TableParagraph"/>
              <w:rPr>
                <w:sz w:val="24"/>
              </w:rPr>
            </w:pPr>
          </w:p>
          <w:p>
            <w:pPr>
              <w:pStyle w:val="TableParagraph"/>
              <w:spacing w:before="11"/>
              <w:rPr>
                <w:sz w:val="30"/>
              </w:rPr>
            </w:pPr>
          </w:p>
          <w:p>
            <w:pPr>
              <w:pStyle w:val="TableParagraph"/>
              <w:ind w:right="201"/>
              <w:jc w:val="right"/>
              <w:rPr>
                <w:sz w:val="22"/>
              </w:rPr>
            </w:pPr>
            <w:r>
              <w:rPr>
                <w:spacing w:val="-2"/>
                <w:sz w:val="22"/>
              </w:rPr>
              <w:t>12/31/27</w:t>
            </w:r>
          </w:p>
        </w:tc>
      </w:tr>
      <w:tr>
        <w:trPr>
          <w:trHeight w:val="2277" w:hRule="atLeast"/>
        </w:trPr>
        <w:tc>
          <w:tcPr>
            <w:tcW w:w="1738" w:type="dxa"/>
          </w:tcPr>
          <w:p>
            <w:pPr>
              <w:pStyle w:val="TableParagraph"/>
              <w:rPr>
                <w:sz w:val="24"/>
              </w:rPr>
            </w:pPr>
          </w:p>
          <w:p>
            <w:pPr>
              <w:pStyle w:val="TableParagraph"/>
              <w:rPr>
                <w:sz w:val="24"/>
              </w:rPr>
            </w:pPr>
          </w:p>
          <w:p>
            <w:pPr>
              <w:pStyle w:val="TableParagraph"/>
              <w:rPr>
                <w:sz w:val="24"/>
              </w:rPr>
            </w:pPr>
          </w:p>
          <w:p>
            <w:pPr>
              <w:pStyle w:val="TableParagraph"/>
              <w:spacing w:before="183"/>
              <w:ind w:left="103" w:right="98"/>
              <w:jc w:val="center"/>
              <w:rPr>
                <w:b/>
                <w:sz w:val="22"/>
              </w:rPr>
            </w:pPr>
            <w:r>
              <w:rPr>
                <w:b/>
                <w:spacing w:val="-5"/>
                <w:sz w:val="22"/>
              </w:rPr>
              <w:t>ADM</w:t>
            </w:r>
          </w:p>
        </w:tc>
        <w:tc>
          <w:tcPr>
            <w:tcW w:w="2304" w:type="dxa"/>
          </w:tcPr>
          <w:p>
            <w:pPr>
              <w:pStyle w:val="TableParagraph"/>
              <w:ind w:left="172" w:right="161" w:firstLine="1"/>
              <w:jc w:val="center"/>
              <w:rPr>
                <w:sz w:val="22"/>
              </w:rPr>
            </w:pPr>
            <w:r>
              <w:rPr>
                <w:sz w:val="22"/>
              </w:rPr>
              <w:t>Report all additional administrative costs that are directly attributable to the demonstration</w:t>
            </w:r>
            <w:r>
              <w:rPr>
                <w:spacing w:val="-14"/>
                <w:sz w:val="22"/>
              </w:rPr>
              <w:t> </w:t>
            </w:r>
            <w:r>
              <w:rPr>
                <w:sz w:val="22"/>
              </w:rPr>
              <w:t>and</w:t>
            </w:r>
            <w:r>
              <w:rPr>
                <w:spacing w:val="-14"/>
                <w:sz w:val="22"/>
              </w:rPr>
              <w:t> </w:t>
            </w:r>
            <w:r>
              <w:rPr>
                <w:sz w:val="22"/>
              </w:rPr>
              <w:t>are not described elsewhere and are not subject to budget</w:t>
            </w:r>
          </w:p>
          <w:p>
            <w:pPr>
              <w:pStyle w:val="TableParagraph"/>
              <w:spacing w:line="235" w:lineRule="exact"/>
              <w:ind w:left="110" w:right="102"/>
              <w:jc w:val="center"/>
              <w:rPr>
                <w:sz w:val="22"/>
              </w:rPr>
            </w:pPr>
            <w:r>
              <w:rPr>
                <w:spacing w:val="-2"/>
                <w:sz w:val="22"/>
              </w:rPr>
              <w:t>neutrality.</w:t>
            </w:r>
          </w:p>
        </w:tc>
        <w:tc>
          <w:tcPr>
            <w:tcW w:w="1519" w:type="dxa"/>
          </w:tcPr>
          <w:p>
            <w:pPr>
              <w:pStyle w:val="TableParagraph"/>
              <w:rPr>
                <w:sz w:val="20"/>
              </w:rPr>
            </w:pPr>
          </w:p>
        </w:tc>
        <w:tc>
          <w:tcPr>
            <w:tcW w:w="1406" w:type="dxa"/>
          </w:tcPr>
          <w:p>
            <w:pPr>
              <w:pStyle w:val="TableParagraph"/>
              <w:spacing w:before="9"/>
              <w:rPr>
                <w:sz w:val="32"/>
              </w:rPr>
            </w:pPr>
          </w:p>
          <w:p>
            <w:pPr>
              <w:pStyle w:val="TableParagraph"/>
              <w:ind w:left="191" w:right="184" w:firstLine="3"/>
              <w:jc w:val="center"/>
              <w:rPr>
                <w:sz w:val="22"/>
              </w:rPr>
            </w:pPr>
            <w:r>
              <w:rPr>
                <w:spacing w:val="-2"/>
                <w:sz w:val="22"/>
              </w:rPr>
              <w:t>Follow standard </w:t>
            </w:r>
            <w:r>
              <w:rPr>
                <w:sz w:val="22"/>
              </w:rPr>
              <w:t>CMS</w:t>
            </w:r>
            <w:r>
              <w:rPr>
                <w:spacing w:val="-2"/>
                <w:sz w:val="22"/>
              </w:rPr>
              <w:t> </w:t>
            </w:r>
            <w:r>
              <w:rPr>
                <w:spacing w:val="-2"/>
                <w:sz w:val="22"/>
              </w:rPr>
              <w:t>64.10</w:t>
            </w:r>
          </w:p>
          <w:p>
            <w:pPr>
              <w:pStyle w:val="TableParagraph"/>
              <w:ind w:left="165" w:right="159"/>
              <w:jc w:val="center"/>
              <w:rPr>
                <w:sz w:val="22"/>
              </w:rPr>
            </w:pPr>
            <w:r>
              <w:rPr>
                <w:sz w:val="22"/>
              </w:rPr>
              <w:t>Category</w:t>
            </w:r>
            <w:r>
              <w:rPr>
                <w:spacing w:val="-14"/>
                <w:sz w:val="22"/>
              </w:rPr>
              <w:t> </w:t>
            </w:r>
            <w:r>
              <w:rPr>
                <w:sz w:val="22"/>
              </w:rPr>
              <w:t>of </w:t>
            </w:r>
            <w:r>
              <w:rPr>
                <w:spacing w:val="-2"/>
                <w:sz w:val="22"/>
              </w:rPr>
              <w:t>Service Definitions</w:t>
            </w:r>
          </w:p>
        </w:tc>
        <w:tc>
          <w:tcPr>
            <w:tcW w:w="1742" w:type="dxa"/>
          </w:tcPr>
          <w:p>
            <w:pPr>
              <w:pStyle w:val="TableParagraph"/>
              <w:rPr>
                <w:sz w:val="24"/>
              </w:rPr>
            </w:pPr>
          </w:p>
          <w:p>
            <w:pPr>
              <w:pStyle w:val="TableParagraph"/>
              <w:rPr>
                <w:sz w:val="24"/>
              </w:rPr>
            </w:pPr>
          </w:p>
          <w:p>
            <w:pPr>
              <w:pStyle w:val="TableParagraph"/>
              <w:rPr>
                <w:sz w:val="24"/>
              </w:rPr>
            </w:pPr>
          </w:p>
          <w:p>
            <w:pPr>
              <w:pStyle w:val="TableParagraph"/>
              <w:spacing w:before="183"/>
              <w:ind w:left="125" w:right="118"/>
              <w:jc w:val="center"/>
              <w:rPr>
                <w:sz w:val="22"/>
              </w:rPr>
            </w:pPr>
            <w:r>
              <w:rPr>
                <w:sz w:val="22"/>
              </w:rPr>
              <w:t>Date</w:t>
            </w:r>
            <w:r>
              <w:rPr>
                <w:spacing w:val="-4"/>
                <w:sz w:val="22"/>
              </w:rPr>
              <w:t> </w:t>
            </w:r>
            <w:r>
              <w:rPr>
                <w:sz w:val="22"/>
              </w:rPr>
              <w:t>of</w:t>
            </w:r>
            <w:r>
              <w:rPr>
                <w:spacing w:val="-1"/>
                <w:sz w:val="22"/>
              </w:rPr>
              <w:t> </w:t>
            </w:r>
            <w:r>
              <w:rPr>
                <w:spacing w:val="-2"/>
                <w:sz w:val="22"/>
              </w:rPr>
              <w:t>payment</w:t>
            </w:r>
          </w:p>
        </w:tc>
        <w:tc>
          <w:tcPr>
            <w:tcW w:w="1269" w:type="dxa"/>
          </w:tcPr>
          <w:p>
            <w:pPr>
              <w:pStyle w:val="TableParagraph"/>
              <w:rPr>
                <w:sz w:val="24"/>
              </w:rPr>
            </w:pPr>
          </w:p>
          <w:p>
            <w:pPr>
              <w:pStyle w:val="TableParagraph"/>
              <w:rPr>
                <w:sz w:val="24"/>
              </w:rPr>
            </w:pPr>
          </w:p>
          <w:p>
            <w:pPr>
              <w:pStyle w:val="TableParagraph"/>
              <w:rPr>
                <w:sz w:val="24"/>
              </w:rPr>
            </w:pPr>
          </w:p>
          <w:p>
            <w:pPr>
              <w:pStyle w:val="TableParagraph"/>
              <w:spacing w:before="183"/>
              <w:ind w:left="93" w:right="86"/>
              <w:jc w:val="center"/>
              <w:rPr>
                <w:sz w:val="22"/>
              </w:rPr>
            </w:pPr>
            <w:r>
              <w:rPr>
                <w:spacing w:val="-5"/>
                <w:sz w:val="22"/>
              </w:rPr>
              <w:t>ADM</w:t>
            </w:r>
          </w:p>
        </w:tc>
        <w:tc>
          <w:tcPr>
            <w:tcW w:w="1403" w:type="dxa"/>
          </w:tcPr>
          <w:p>
            <w:pPr>
              <w:pStyle w:val="TableParagraph"/>
              <w:rPr>
                <w:sz w:val="24"/>
              </w:rPr>
            </w:pPr>
          </w:p>
          <w:p>
            <w:pPr>
              <w:pStyle w:val="TableParagraph"/>
              <w:rPr>
                <w:sz w:val="24"/>
              </w:rPr>
            </w:pPr>
          </w:p>
          <w:p>
            <w:pPr>
              <w:pStyle w:val="TableParagraph"/>
              <w:rPr>
                <w:sz w:val="24"/>
              </w:rPr>
            </w:pPr>
          </w:p>
          <w:p>
            <w:pPr>
              <w:pStyle w:val="TableParagraph"/>
              <w:spacing w:before="183"/>
              <w:ind w:left="12"/>
              <w:jc w:val="center"/>
              <w:rPr>
                <w:sz w:val="22"/>
              </w:rPr>
            </w:pPr>
            <w:r>
              <w:rPr>
                <w:w w:val="100"/>
                <w:sz w:val="22"/>
              </w:rPr>
              <w:t>N</w:t>
            </w:r>
          </w:p>
        </w:tc>
        <w:tc>
          <w:tcPr>
            <w:tcW w:w="1067" w:type="dxa"/>
          </w:tcPr>
          <w:p>
            <w:pPr>
              <w:pStyle w:val="TableParagraph"/>
              <w:rPr>
                <w:sz w:val="24"/>
              </w:rPr>
            </w:pPr>
          </w:p>
          <w:p>
            <w:pPr>
              <w:pStyle w:val="TableParagraph"/>
              <w:rPr>
                <w:sz w:val="24"/>
              </w:rPr>
            </w:pPr>
          </w:p>
          <w:p>
            <w:pPr>
              <w:pStyle w:val="TableParagraph"/>
              <w:rPr>
                <w:sz w:val="24"/>
              </w:rPr>
            </w:pPr>
          </w:p>
          <w:p>
            <w:pPr>
              <w:pStyle w:val="TableParagraph"/>
              <w:spacing w:before="183"/>
              <w:ind w:left="186" w:right="171"/>
              <w:jc w:val="center"/>
              <w:rPr>
                <w:sz w:val="22"/>
              </w:rPr>
            </w:pPr>
            <w:r>
              <w:rPr>
                <w:spacing w:val="-2"/>
                <w:sz w:val="22"/>
              </w:rPr>
              <w:t>10/1/22</w:t>
            </w:r>
          </w:p>
        </w:tc>
        <w:tc>
          <w:tcPr>
            <w:tcW w:w="1218" w:type="dxa"/>
          </w:tcPr>
          <w:p>
            <w:pPr>
              <w:pStyle w:val="TableParagraph"/>
              <w:rPr>
                <w:sz w:val="24"/>
              </w:rPr>
            </w:pPr>
          </w:p>
          <w:p>
            <w:pPr>
              <w:pStyle w:val="TableParagraph"/>
              <w:rPr>
                <w:sz w:val="24"/>
              </w:rPr>
            </w:pPr>
          </w:p>
          <w:p>
            <w:pPr>
              <w:pStyle w:val="TableParagraph"/>
              <w:rPr>
                <w:sz w:val="24"/>
              </w:rPr>
            </w:pPr>
          </w:p>
          <w:p>
            <w:pPr>
              <w:pStyle w:val="TableParagraph"/>
              <w:spacing w:before="183"/>
              <w:ind w:right="199"/>
              <w:jc w:val="right"/>
              <w:rPr>
                <w:sz w:val="22"/>
              </w:rPr>
            </w:pPr>
            <w:r>
              <w:rPr>
                <w:spacing w:val="-2"/>
                <w:sz w:val="22"/>
              </w:rPr>
              <w:t>12/31/27</w:t>
            </w:r>
          </w:p>
        </w:tc>
      </w:tr>
    </w:tbl>
    <w:p>
      <w:pPr>
        <w:spacing w:before="3"/>
        <w:ind w:left="259" w:right="0" w:firstLine="0"/>
        <w:jc w:val="left"/>
        <w:rPr>
          <w:sz w:val="20"/>
        </w:rPr>
      </w:pPr>
      <w:r>
        <w:rPr>
          <w:sz w:val="20"/>
        </w:rPr>
        <w:t>ADM</w:t>
      </w:r>
      <w:r>
        <w:rPr>
          <w:spacing w:val="-8"/>
          <w:sz w:val="20"/>
        </w:rPr>
        <w:t> </w:t>
      </w:r>
      <w:r>
        <w:rPr>
          <w:sz w:val="20"/>
        </w:rPr>
        <w:t>–</w:t>
      </w:r>
      <w:r>
        <w:rPr>
          <w:spacing w:val="-6"/>
          <w:sz w:val="20"/>
        </w:rPr>
        <w:t> </w:t>
      </w:r>
      <w:r>
        <w:rPr>
          <w:sz w:val="20"/>
        </w:rPr>
        <w:t>administration;</w:t>
      </w:r>
      <w:r>
        <w:rPr>
          <w:spacing w:val="-7"/>
          <w:sz w:val="20"/>
        </w:rPr>
        <w:t> </w:t>
      </w:r>
      <w:r>
        <w:rPr>
          <w:sz w:val="20"/>
        </w:rPr>
        <w:t>DY</w:t>
      </w:r>
      <w:r>
        <w:rPr>
          <w:spacing w:val="-7"/>
          <w:sz w:val="20"/>
        </w:rPr>
        <w:t> </w:t>
      </w:r>
      <w:r>
        <w:rPr>
          <w:sz w:val="20"/>
        </w:rPr>
        <w:t>–</w:t>
      </w:r>
      <w:r>
        <w:rPr>
          <w:spacing w:val="-6"/>
          <w:sz w:val="20"/>
        </w:rPr>
        <w:t> </w:t>
      </w:r>
      <w:r>
        <w:rPr>
          <w:sz w:val="20"/>
        </w:rPr>
        <w:t>demonstration</w:t>
      </w:r>
      <w:r>
        <w:rPr>
          <w:spacing w:val="-7"/>
          <w:sz w:val="20"/>
        </w:rPr>
        <w:t> </w:t>
      </w:r>
      <w:r>
        <w:rPr>
          <w:sz w:val="20"/>
        </w:rPr>
        <w:t>year;</w:t>
      </w:r>
      <w:r>
        <w:rPr>
          <w:spacing w:val="-7"/>
          <w:sz w:val="20"/>
        </w:rPr>
        <w:t> </w:t>
      </w:r>
      <w:r>
        <w:rPr>
          <w:sz w:val="20"/>
        </w:rPr>
        <w:t>MAP</w:t>
      </w:r>
      <w:r>
        <w:rPr>
          <w:spacing w:val="-5"/>
          <w:sz w:val="20"/>
        </w:rPr>
        <w:t> </w:t>
      </w:r>
      <w:r>
        <w:rPr>
          <w:sz w:val="20"/>
        </w:rPr>
        <w:t>–</w:t>
      </w:r>
      <w:r>
        <w:rPr>
          <w:spacing w:val="-4"/>
          <w:sz w:val="20"/>
        </w:rPr>
        <w:t> </w:t>
      </w:r>
      <w:r>
        <w:rPr>
          <w:sz w:val="20"/>
        </w:rPr>
        <w:t>medical</w:t>
      </w:r>
      <w:r>
        <w:rPr>
          <w:spacing w:val="-7"/>
          <w:sz w:val="20"/>
        </w:rPr>
        <w:t> </w:t>
      </w:r>
      <w:r>
        <w:rPr>
          <w:sz w:val="20"/>
        </w:rPr>
        <w:t>assistance</w:t>
      </w:r>
      <w:r>
        <w:rPr>
          <w:spacing w:val="-7"/>
          <w:sz w:val="20"/>
        </w:rPr>
        <w:t> </w:t>
      </w:r>
      <w:r>
        <w:rPr>
          <w:sz w:val="20"/>
        </w:rPr>
        <w:t>payments;</w:t>
      </w:r>
      <w:r>
        <w:rPr>
          <w:spacing w:val="-7"/>
          <w:sz w:val="20"/>
        </w:rPr>
        <w:t> </w:t>
      </w:r>
      <w:r>
        <w:rPr>
          <w:sz w:val="20"/>
        </w:rPr>
        <w:t>MEG</w:t>
      </w:r>
      <w:r>
        <w:rPr>
          <w:spacing w:val="-7"/>
          <w:sz w:val="20"/>
        </w:rPr>
        <w:t> </w:t>
      </w:r>
      <w:r>
        <w:rPr>
          <w:sz w:val="20"/>
        </w:rPr>
        <w:t>–</w:t>
      </w:r>
      <w:r>
        <w:rPr>
          <w:spacing w:val="-7"/>
          <w:sz w:val="20"/>
        </w:rPr>
        <w:t> </w:t>
      </w:r>
      <w:r>
        <w:rPr>
          <w:sz w:val="20"/>
        </w:rPr>
        <w:t>Medicaid</w:t>
      </w:r>
      <w:r>
        <w:rPr>
          <w:spacing w:val="-6"/>
          <w:sz w:val="20"/>
        </w:rPr>
        <w:t> </w:t>
      </w:r>
      <w:r>
        <w:rPr>
          <w:sz w:val="20"/>
        </w:rPr>
        <w:t>expenditure</w:t>
      </w:r>
      <w:r>
        <w:rPr>
          <w:spacing w:val="-7"/>
          <w:sz w:val="20"/>
        </w:rPr>
        <w:t> </w:t>
      </w:r>
      <w:r>
        <w:rPr>
          <w:spacing w:val="-2"/>
          <w:sz w:val="20"/>
        </w:rPr>
        <w:t>group</w:t>
      </w:r>
    </w:p>
    <w:p>
      <w:pPr>
        <w:spacing w:after="0"/>
        <w:jc w:val="left"/>
        <w:rPr>
          <w:sz w:val="20"/>
        </w:rPr>
        <w:sectPr>
          <w:pgSz w:w="15840" w:h="12240" w:orient="landscape"/>
          <w:pgMar w:header="0" w:footer="1201" w:top="1380" w:bottom="1400" w:left="820" w:right="1120"/>
        </w:sectPr>
      </w:pPr>
    </w:p>
    <w:p>
      <w:pPr>
        <w:spacing w:before="79"/>
        <w:ind w:left="871" w:right="167" w:firstLine="0"/>
        <w:jc w:val="left"/>
        <w:rPr>
          <w:sz w:val="24"/>
        </w:rPr>
      </w:pPr>
      <w:r>
        <w:rPr/>
        <w:drawing>
          <wp:anchor distT="0" distB="0" distL="0" distR="0" allowOverlap="1" layoutInCell="1" locked="0" behindDoc="0" simplePos="0" relativeHeight="16097792">
            <wp:simplePos x="0" y="0"/>
            <wp:positionH relativeFrom="page">
              <wp:posOffset>832103</wp:posOffset>
            </wp:positionH>
            <wp:positionV relativeFrom="paragraph">
              <wp:posOffset>85765</wp:posOffset>
            </wp:positionV>
            <wp:extent cx="359663" cy="112775"/>
            <wp:effectExtent l="0" t="0" r="0" b="0"/>
            <wp:wrapNone/>
            <wp:docPr id="741" name="Image 741"/>
            <wp:cNvGraphicFramePr>
              <a:graphicFrameLocks/>
            </wp:cNvGraphicFramePr>
            <a:graphic>
              <a:graphicData uri="http://schemas.openxmlformats.org/drawingml/2006/picture">
                <pic:pic>
                  <pic:nvPicPr>
                    <pic:cNvPr id="741" name="Image 741"/>
                    <pic:cNvPicPr/>
                  </pic:nvPicPr>
                  <pic:blipFill>
                    <a:blip r:embed="rId286" cstate="print"/>
                    <a:stretch>
                      <a:fillRect/>
                    </a:stretch>
                  </pic:blipFill>
                  <pic:spPr>
                    <a:xfrm>
                      <a:off x="0" y="0"/>
                      <a:ext cx="359663" cy="112775"/>
                    </a:xfrm>
                    <a:prstGeom prst="rect">
                      <a:avLst/>
                    </a:prstGeom>
                  </pic:spPr>
                </pic:pic>
              </a:graphicData>
            </a:graphic>
          </wp:anchor>
        </w:drawing>
      </w:r>
      <w:bookmarkStart w:name="18.13. Demonstration Years. Demonstratio" w:id="1047"/>
      <w:bookmarkEnd w:id="1047"/>
      <w:r>
        <w:rPr/>
      </w:r>
      <w:r>
        <w:rPr>
          <w:b/>
          <w:sz w:val="24"/>
        </w:rPr>
        <w:t>Demonstration</w:t>
      </w:r>
      <w:r>
        <w:rPr>
          <w:b/>
          <w:spacing w:val="-4"/>
          <w:sz w:val="24"/>
        </w:rPr>
        <w:t> </w:t>
      </w:r>
      <w:r>
        <w:rPr>
          <w:b/>
          <w:sz w:val="24"/>
        </w:rPr>
        <w:t>Years.</w:t>
      </w:r>
      <w:r>
        <w:rPr>
          <w:b/>
          <w:spacing w:val="-2"/>
          <w:sz w:val="24"/>
        </w:rPr>
        <w:t> </w:t>
      </w:r>
      <w:r>
        <w:rPr>
          <w:sz w:val="24"/>
        </w:rPr>
        <w:t>Demonstration</w:t>
      </w:r>
      <w:r>
        <w:rPr>
          <w:spacing w:val="-4"/>
          <w:sz w:val="24"/>
        </w:rPr>
        <w:t> </w:t>
      </w:r>
      <w:r>
        <w:rPr>
          <w:sz w:val="24"/>
        </w:rPr>
        <w:t>Years</w:t>
      </w:r>
      <w:r>
        <w:rPr>
          <w:spacing w:val="-4"/>
          <w:sz w:val="24"/>
        </w:rPr>
        <w:t> </w:t>
      </w:r>
      <w:r>
        <w:rPr>
          <w:sz w:val="24"/>
        </w:rPr>
        <w:t>(DY)</w:t>
      </w:r>
      <w:r>
        <w:rPr>
          <w:spacing w:val="-5"/>
          <w:sz w:val="24"/>
        </w:rPr>
        <w:t> </w:t>
      </w:r>
      <w:r>
        <w:rPr>
          <w:sz w:val="24"/>
        </w:rPr>
        <w:t>for</w:t>
      </w:r>
      <w:r>
        <w:rPr>
          <w:spacing w:val="-5"/>
          <w:sz w:val="24"/>
        </w:rPr>
        <w:t> </w:t>
      </w:r>
      <w:r>
        <w:rPr>
          <w:sz w:val="24"/>
        </w:rPr>
        <w:t>this</w:t>
      </w:r>
      <w:r>
        <w:rPr>
          <w:spacing w:val="-4"/>
          <w:sz w:val="24"/>
        </w:rPr>
        <w:t> </w:t>
      </w:r>
      <w:r>
        <w:rPr>
          <w:sz w:val="24"/>
        </w:rPr>
        <w:t>demonstration</w:t>
      </w:r>
      <w:r>
        <w:rPr>
          <w:spacing w:val="-2"/>
          <w:sz w:val="24"/>
        </w:rPr>
        <w:t> </w:t>
      </w:r>
      <w:r>
        <w:rPr>
          <w:sz w:val="24"/>
        </w:rPr>
        <w:t>are</w:t>
      </w:r>
      <w:r>
        <w:rPr>
          <w:spacing w:val="-5"/>
          <w:sz w:val="24"/>
        </w:rPr>
        <w:t> </w:t>
      </w:r>
      <w:r>
        <w:rPr>
          <w:sz w:val="24"/>
        </w:rPr>
        <w:t>defined</w:t>
      </w:r>
      <w:r>
        <w:rPr>
          <w:spacing w:val="-4"/>
          <w:sz w:val="24"/>
        </w:rPr>
        <w:t> </w:t>
      </w:r>
      <w:r>
        <w:rPr>
          <w:sz w:val="24"/>
        </w:rPr>
        <w:t>in the table below.</w:t>
      </w:r>
    </w:p>
    <w:p>
      <w:pPr>
        <w:pStyle w:val="BodyText"/>
        <w:spacing w:before="11"/>
        <w:rPr>
          <w:sz w:val="20"/>
        </w:rPr>
      </w:pPr>
    </w:p>
    <w:tbl>
      <w:tblPr>
        <w:tblW w:w="0" w:type="auto"/>
        <w:jc w:val="left"/>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11"/>
        <w:gridCol w:w="4049"/>
        <w:gridCol w:w="1980"/>
      </w:tblGrid>
      <w:tr>
        <w:trPr>
          <w:trHeight w:val="421" w:hRule="atLeast"/>
        </w:trPr>
        <w:tc>
          <w:tcPr>
            <w:tcW w:w="8640" w:type="dxa"/>
            <w:gridSpan w:val="3"/>
            <w:shd w:val="clear" w:color="auto" w:fill="DBE4F0"/>
          </w:tcPr>
          <w:p>
            <w:pPr>
              <w:pStyle w:val="TableParagraph"/>
              <w:spacing w:before="82"/>
              <w:ind w:left="2838" w:right="2827"/>
              <w:jc w:val="center"/>
              <w:rPr>
                <w:b/>
                <w:sz w:val="22"/>
              </w:rPr>
            </w:pPr>
            <w:r>
              <w:rPr>
                <w:b/>
                <w:sz w:val="22"/>
              </w:rPr>
              <w:t>Table</w:t>
            </w:r>
            <w:r>
              <w:rPr>
                <w:b/>
                <w:spacing w:val="-6"/>
                <w:sz w:val="22"/>
              </w:rPr>
              <w:t> </w:t>
            </w:r>
            <w:r>
              <w:rPr>
                <w:b/>
                <w:sz w:val="22"/>
              </w:rPr>
              <w:t>19:</w:t>
            </w:r>
            <w:r>
              <w:rPr>
                <w:b/>
                <w:spacing w:val="-4"/>
                <w:sz w:val="22"/>
              </w:rPr>
              <w:t> </w:t>
            </w:r>
            <w:r>
              <w:rPr>
                <w:b/>
                <w:sz w:val="22"/>
              </w:rPr>
              <w:t>Demonstration</w:t>
            </w:r>
            <w:r>
              <w:rPr>
                <w:b/>
                <w:spacing w:val="-7"/>
                <w:sz w:val="22"/>
              </w:rPr>
              <w:t> </w:t>
            </w:r>
            <w:r>
              <w:rPr>
                <w:b/>
                <w:spacing w:val="-2"/>
                <w:sz w:val="22"/>
              </w:rPr>
              <w:t>Years</w:t>
            </w:r>
          </w:p>
        </w:tc>
      </w:tr>
      <w:tr>
        <w:trPr>
          <w:trHeight w:val="431" w:hRule="atLeast"/>
        </w:trPr>
        <w:tc>
          <w:tcPr>
            <w:tcW w:w="2611" w:type="dxa"/>
          </w:tcPr>
          <w:p>
            <w:pPr>
              <w:pStyle w:val="TableParagraph"/>
              <w:spacing w:before="87"/>
              <w:ind w:left="110"/>
              <w:rPr>
                <w:sz w:val="22"/>
              </w:rPr>
            </w:pPr>
            <w:r>
              <w:rPr>
                <w:sz w:val="22"/>
              </w:rPr>
              <w:t>Demonstration</w:t>
            </w:r>
            <w:r>
              <w:rPr>
                <w:spacing w:val="-8"/>
                <w:sz w:val="22"/>
              </w:rPr>
              <w:t> </w:t>
            </w:r>
            <w:r>
              <w:rPr>
                <w:sz w:val="22"/>
              </w:rPr>
              <w:t>Year</w:t>
            </w:r>
            <w:r>
              <w:rPr>
                <w:spacing w:val="-5"/>
                <w:sz w:val="22"/>
              </w:rPr>
              <w:t> 27</w:t>
            </w:r>
          </w:p>
        </w:tc>
        <w:tc>
          <w:tcPr>
            <w:tcW w:w="4049" w:type="dxa"/>
          </w:tcPr>
          <w:p>
            <w:pPr>
              <w:pStyle w:val="TableParagraph"/>
              <w:spacing w:before="87"/>
              <w:ind w:left="107"/>
              <w:rPr>
                <w:sz w:val="22"/>
              </w:rPr>
            </w:pPr>
            <w:r>
              <w:rPr>
                <w:sz w:val="22"/>
              </w:rPr>
              <w:t>October</w:t>
            </w:r>
            <w:r>
              <w:rPr>
                <w:spacing w:val="-2"/>
                <w:sz w:val="22"/>
              </w:rPr>
              <w:t> </w:t>
            </w:r>
            <w:r>
              <w:rPr>
                <w:sz w:val="22"/>
              </w:rPr>
              <w:t>1,</w:t>
            </w:r>
            <w:r>
              <w:rPr>
                <w:spacing w:val="-3"/>
                <w:sz w:val="22"/>
              </w:rPr>
              <w:t> </w:t>
            </w:r>
            <w:r>
              <w:rPr>
                <w:sz w:val="22"/>
              </w:rPr>
              <w:t>2022</w:t>
            </w:r>
            <w:r>
              <w:rPr>
                <w:spacing w:val="-2"/>
                <w:sz w:val="22"/>
              </w:rPr>
              <w:t> </w:t>
            </w:r>
            <w:r>
              <w:rPr>
                <w:sz w:val="22"/>
              </w:rPr>
              <w:t>to</w:t>
            </w:r>
            <w:r>
              <w:rPr>
                <w:spacing w:val="-3"/>
                <w:sz w:val="22"/>
              </w:rPr>
              <w:t> </w:t>
            </w:r>
            <w:r>
              <w:rPr>
                <w:sz w:val="22"/>
              </w:rPr>
              <w:t>December</w:t>
            </w:r>
            <w:r>
              <w:rPr>
                <w:spacing w:val="-1"/>
                <w:sz w:val="22"/>
              </w:rPr>
              <w:t> </w:t>
            </w:r>
            <w:r>
              <w:rPr>
                <w:sz w:val="22"/>
              </w:rPr>
              <w:t>31,</w:t>
            </w:r>
            <w:r>
              <w:rPr>
                <w:spacing w:val="-5"/>
                <w:sz w:val="22"/>
              </w:rPr>
              <w:t> </w:t>
            </w:r>
            <w:r>
              <w:rPr>
                <w:spacing w:val="-4"/>
                <w:sz w:val="22"/>
              </w:rPr>
              <w:t>2022</w:t>
            </w:r>
          </w:p>
        </w:tc>
        <w:tc>
          <w:tcPr>
            <w:tcW w:w="1980" w:type="dxa"/>
          </w:tcPr>
          <w:p>
            <w:pPr>
              <w:pStyle w:val="TableParagraph"/>
              <w:spacing w:before="87"/>
              <w:ind w:left="107"/>
              <w:rPr>
                <w:sz w:val="22"/>
              </w:rPr>
            </w:pPr>
            <w:r>
              <w:rPr>
                <w:sz w:val="22"/>
              </w:rPr>
              <w:t>3</w:t>
            </w:r>
            <w:r>
              <w:rPr>
                <w:spacing w:val="-2"/>
                <w:sz w:val="22"/>
              </w:rPr>
              <w:t> months</w:t>
            </w:r>
          </w:p>
        </w:tc>
      </w:tr>
      <w:tr>
        <w:trPr>
          <w:trHeight w:val="431" w:hRule="atLeast"/>
        </w:trPr>
        <w:tc>
          <w:tcPr>
            <w:tcW w:w="2611" w:type="dxa"/>
          </w:tcPr>
          <w:p>
            <w:pPr>
              <w:pStyle w:val="TableParagraph"/>
              <w:spacing w:before="89"/>
              <w:ind w:left="110"/>
              <w:rPr>
                <w:sz w:val="22"/>
              </w:rPr>
            </w:pPr>
            <w:r>
              <w:rPr>
                <w:sz w:val="22"/>
              </w:rPr>
              <w:t>Demonstration</w:t>
            </w:r>
            <w:r>
              <w:rPr>
                <w:spacing w:val="-8"/>
                <w:sz w:val="22"/>
              </w:rPr>
              <w:t> </w:t>
            </w:r>
            <w:r>
              <w:rPr>
                <w:sz w:val="22"/>
              </w:rPr>
              <w:t>Year</w:t>
            </w:r>
            <w:r>
              <w:rPr>
                <w:spacing w:val="-5"/>
                <w:sz w:val="22"/>
              </w:rPr>
              <w:t> 28</w:t>
            </w:r>
          </w:p>
        </w:tc>
        <w:tc>
          <w:tcPr>
            <w:tcW w:w="4049" w:type="dxa"/>
          </w:tcPr>
          <w:p>
            <w:pPr>
              <w:pStyle w:val="TableParagraph"/>
              <w:spacing w:before="89"/>
              <w:ind w:left="107"/>
              <w:rPr>
                <w:sz w:val="22"/>
              </w:rPr>
            </w:pPr>
            <w:r>
              <w:rPr>
                <w:sz w:val="22"/>
              </w:rPr>
              <w:t>January</w:t>
            </w:r>
            <w:r>
              <w:rPr>
                <w:spacing w:val="-5"/>
                <w:sz w:val="22"/>
              </w:rPr>
              <w:t> </w:t>
            </w:r>
            <w:r>
              <w:rPr>
                <w:sz w:val="22"/>
              </w:rPr>
              <w:t>1,</w:t>
            </w:r>
            <w:r>
              <w:rPr>
                <w:spacing w:val="-1"/>
                <w:sz w:val="22"/>
              </w:rPr>
              <w:t> </w:t>
            </w:r>
            <w:r>
              <w:rPr>
                <w:sz w:val="22"/>
              </w:rPr>
              <w:t>2023</w:t>
            </w:r>
            <w:r>
              <w:rPr>
                <w:spacing w:val="-4"/>
                <w:sz w:val="22"/>
              </w:rPr>
              <w:t> </w:t>
            </w:r>
            <w:r>
              <w:rPr>
                <w:sz w:val="22"/>
              </w:rPr>
              <w:t>to</w:t>
            </w:r>
            <w:r>
              <w:rPr>
                <w:spacing w:val="-1"/>
                <w:sz w:val="22"/>
              </w:rPr>
              <w:t> </w:t>
            </w:r>
            <w:r>
              <w:rPr>
                <w:sz w:val="22"/>
              </w:rPr>
              <w:t>December 31,</w:t>
            </w:r>
            <w:r>
              <w:rPr>
                <w:spacing w:val="-4"/>
                <w:sz w:val="22"/>
              </w:rPr>
              <w:t> 2023</w:t>
            </w:r>
          </w:p>
        </w:tc>
        <w:tc>
          <w:tcPr>
            <w:tcW w:w="1980" w:type="dxa"/>
          </w:tcPr>
          <w:p>
            <w:pPr>
              <w:pStyle w:val="TableParagraph"/>
              <w:spacing w:before="89"/>
              <w:ind w:left="107"/>
              <w:rPr>
                <w:sz w:val="22"/>
              </w:rPr>
            </w:pPr>
            <w:r>
              <w:rPr>
                <w:sz w:val="22"/>
              </w:rPr>
              <w:t>12 </w:t>
            </w:r>
            <w:r>
              <w:rPr>
                <w:spacing w:val="-2"/>
                <w:sz w:val="22"/>
              </w:rPr>
              <w:t>months</w:t>
            </w:r>
          </w:p>
        </w:tc>
      </w:tr>
      <w:tr>
        <w:trPr>
          <w:trHeight w:val="431" w:hRule="atLeast"/>
        </w:trPr>
        <w:tc>
          <w:tcPr>
            <w:tcW w:w="2611" w:type="dxa"/>
          </w:tcPr>
          <w:p>
            <w:pPr>
              <w:pStyle w:val="TableParagraph"/>
              <w:spacing w:before="89"/>
              <w:ind w:left="110"/>
              <w:rPr>
                <w:sz w:val="22"/>
              </w:rPr>
            </w:pPr>
            <w:r>
              <w:rPr>
                <w:sz w:val="22"/>
              </w:rPr>
              <w:t>Demonstration</w:t>
            </w:r>
            <w:r>
              <w:rPr>
                <w:spacing w:val="-8"/>
                <w:sz w:val="22"/>
              </w:rPr>
              <w:t> </w:t>
            </w:r>
            <w:r>
              <w:rPr>
                <w:sz w:val="22"/>
              </w:rPr>
              <w:t>Year</w:t>
            </w:r>
            <w:r>
              <w:rPr>
                <w:spacing w:val="-5"/>
                <w:sz w:val="22"/>
              </w:rPr>
              <w:t> 29</w:t>
            </w:r>
          </w:p>
        </w:tc>
        <w:tc>
          <w:tcPr>
            <w:tcW w:w="4049" w:type="dxa"/>
          </w:tcPr>
          <w:p>
            <w:pPr>
              <w:pStyle w:val="TableParagraph"/>
              <w:spacing w:before="89"/>
              <w:ind w:left="107"/>
              <w:rPr>
                <w:sz w:val="22"/>
              </w:rPr>
            </w:pPr>
            <w:r>
              <w:rPr>
                <w:sz w:val="22"/>
              </w:rPr>
              <w:t>January</w:t>
            </w:r>
            <w:r>
              <w:rPr>
                <w:spacing w:val="-7"/>
                <w:sz w:val="22"/>
              </w:rPr>
              <w:t> </w:t>
            </w:r>
            <w:r>
              <w:rPr>
                <w:sz w:val="22"/>
              </w:rPr>
              <w:t>1,</w:t>
            </w:r>
            <w:r>
              <w:rPr>
                <w:spacing w:val="-1"/>
                <w:sz w:val="22"/>
              </w:rPr>
              <w:t> </w:t>
            </w:r>
            <w:r>
              <w:rPr>
                <w:sz w:val="22"/>
              </w:rPr>
              <w:t>2024</w:t>
            </w:r>
            <w:r>
              <w:rPr>
                <w:spacing w:val="-4"/>
                <w:sz w:val="22"/>
              </w:rPr>
              <w:t> </w:t>
            </w:r>
            <w:r>
              <w:rPr>
                <w:sz w:val="22"/>
              </w:rPr>
              <w:t>to</w:t>
            </w:r>
            <w:r>
              <w:rPr>
                <w:spacing w:val="-2"/>
                <w:sz w:val="22"/>
              </w:rPr>
              <w:t> </w:t>
            </w:r>
            <w:r>
              <w:rPr>
                <w:sz w:val="22"/>
              </w:rPr>
              <w:t>December 31,</w:t>
            </w:r>
            <w:r>
              <w:rPr>
                <w:spacing w:val="-4"/>
                <w:sz w:val="22"/>
              </w:rPr>
              <w:t> 2024</w:t>
            </w:r>
          </w:p>
        </w:tc>
        <w:tc>
          <w:tcPr>
            <w:tcW w:w="1980" w:type="dxa"/>
          </w:tcPr>
          <w:p>
            <w:pPr>
              <w:pStyle w:val="TableParagraph"/>
              <w:spacing w:before="89"/>
              <w:ind w:left="107"/>
              <w:rPr>
                <w:sz w:val="22"/>
              </w:rPr>
            </w:pPr>
            <w:r>
              <w:rPr>
                <w:sz w:val="22"/>
              </w:rPr>
              <w:t>12 </w:t>
            </w:r>
            <w:r>
              <w:rPr>
                <w:spacing w:val="-2"/>
                <w:sz w:val="22"/>
              </w:rPr>
              <w:t>months</w:t>
            </w:r>
          </w:p>
        </w:tc>
      </w:tr>
      <w:tr>
        <w:trPr>
          <w:trHeight w:val="434" w:hRule="atLeast"/>
        </w:trPr>
        <w:tc>
          <w:tcPr>
            <w:tcW w:w="2611" w:type="dxa"/>
          </w:tcPr>
          <w:p>
            <w:pPr>
              <w:pStyle w:val="TableParagraph"/>
              <w:spacing w:before="92"/>
              <w:ind w:left="110"/>
              <w:rPr>
                <w:sz w:val="22"/>
              </w:rPr>
            </w:pPr>
            <w:r>
              <w:rPr>
                <w:sz w:val="22"/>
              </w:rPr>
              <w:t>Demonstration</w:t>
            </w:r>
            <w:r>
              <w:rPr>
                <w:spacing w:val="-8"/>
                <w:sz w:val="22"/>
              </w:rPr>
              <w:t> </w:t>
            </w:r>
            <w:r>
              <w:rPr>
                <w:sz w:val="22"/>
              </w:rPr>
              <w:t>Year</w:t>
            </w:r>
            <w:r>
              <w:rPr>
                <w:spacing w:val="-5"/>
                <w:sz w:val="22"/>
              </w:rPr>
              <w:t> 30</w:t>
            </w:r>
          </w:p>
        </w:tc>
        <w:tc>
          <w:tcPr>
            <w:tcW w:w="4049" w:type="dxa"/>
          </w:tcPr>
          <w:p>
            <w:pPr>
              <w:pStyle w:val="TableParagraph"/>
              <w:spacing w:before="89"/>
              <w:ind w:left="107"/>
              <w:rPr>
                <w:sz w:val="22"/>
              </w:rPr>
            </w:pPr>
            <w:r>
              <w:rPr>
                <w:sz w:val="22"/>
              </w:rPr>
              <w:t>January</w:t>
            </w:r>
            <w:r>
              <w:rPr>
                <w:spacing w:val="-5"/>
                <w:sz w:val="22"/>
              </w:rPr>
              <w:t> </w:t>
            </w:r>
            <w:r>
              <w:rPr>
                <w:sz w:val="22"/>
              </w:rPr>
              <w:t>1,</w:t>
            </w:r>
            <w:r>
              <w:rPr>
                <w:spacing w:val="-1"/>
                <w:sz w:val="22"/>
              </w:rPr>
              <w:t> </w:t>
            </w:r>
            <w:r>
              <w:rPr>
                <w:sz w:val="22"/>
              </w:rPr>
              <w:t>2025</w:t>
            </w:r>
            <w:r>
              <w:rPr>
                <w:spacing w:val="-4"/>
                <w:sz w:val="22"/>
              </w:rPr>
              <w:t> </w:t>
            </w:r>
            <w:r>
              <w:rPr>
                <w:sz w:val="22"/>
              </w:rPr>
              <w:t>to</w:t>
            </w:r>
            <w:r>
              <w:rPr>
                <w:spacing w:val="-1"/>
                <w:sz w:val="22"/>
              </w:rPr>
              <w:t> </w:t>
            </w:r>
            <w:r>
              <w:rPr>
                <w:sz w:val="22"/>
              </w:rPr>
              <w:t>December 31,</w:t>
            </w:r>
            <w:r>
              <w:rPr>
                <w:spacing w:val="-4"/>
                <w:sz w:val="22"/>
              </w:rPr>
              <w:t> 2025</w:t>
            </w:r>
          </w:p>
        </w:tc>
        <w:tc>
          <w:tcPr>
            <w:tcW w:w="1980" w:type="dxa"/>
          </w:tcPr>
          <w:p>
            <w:pPr>
              <w:pStyle w:val="TableParagraph"/>
              <w:spacing w:before="89"/>
              <w:ind w:left="107"/>
              <w:rPr>
                <w:sz w:val="22"/>
              </w:rPr>
            </w:pPr>
            <w:r>
              <w:rPr>
                <w:sz w:val="22"/>
              </w:rPr>
              <w:t>12 </w:t>
            </w:r>
            <w:r>
              <w:rPr>
                <w:spacing w:val="-2"/>
                <w:sz w:val="22"/>
              </w:rPr>
              <w:t>months</w:t>
            </w:r>
          </w:p>
        </w:tc>
      </w:tr>
      <w:tr>
        <w:trPr>
          <w:trHeight w:val="431" w:hRule="atLeast"/>
        </w:trPr>
        <w:tc>
          <w:tcPr>
            <w:tcW w:w="2611" w:type="dxa"/>
          </w:tcPr>
          <w:p>
            <w:pPr>
              <w:pStyle w:val="TableParagraph"/>
              <w:spacing w:before="87"/>
              <w:ind w:left="110"/>
              <w:rPr>
                <w:sz w:val="22"/>
              </w:rPr>
            </w:pPr>
            <w:r>
              <w:rPr>
                <w:sz w:val="22"/>
              </w:rPr>
              <w:t>Demonstration</w:t>
            </w:r>
            <w:r>
              <w:rPr>
                <w:spacing w:val="-8"/>
                <w:sz w:val="22"/>
              </w:rPr>
              <w:t> </w:t>
            </w:r>
            <w:r>
              <w:rPr>
                <w:sz w:val="22"/>
              </w:rPr>
              <w:t>Year</w:t>
            </w:r>
            <w:r>
              <w:rPr>
                <w:spacing w:val="-5"/>
                <w:sz w:val="22"/>
              </w:rPr>
              <w:t> 31</w:t>
            </w:r>
          </w:p>
        </w:tc>
        <w:tc>
          <w:tcPr>
            <w:tcW w:w="4049" w:type="dxa"/>
          </w:tcPr>
          <w:p>
            <w:pPr>
              <w:pStyle w:val="TableParagraph"/>
              <w:spacing w:before="87"/>
              <w:ind w:left="107"/>
              <w:rPr>
                <w:sz w:val="22"/>
              </w:rPr>
            </w:pPr>
            <w:r>
              <w:rPr>
                <w:sz w:val="22"/>
              </w:rPr>
              <w:t>January</w:t>
            </w:r>
            <w:r>
              <w:rPr>
                <w:spacing w:val="-5"/>
                <w:sz w:val="22"/>
              </w:rPr>
              <w:t> </w:t>
            </w:r>
            <w:r>
              <w:rPr>
                <w:sz w:val="22"/>
              </w:rPr>
              <w:t>1,</w:t>
            </w:r>
            <w:r>
              <w:rPr>
                <w:spacing w:val="-1"/>
                <w:sz w:val="22"/>
              </w:rPr>
              <w:t> </w:t>
            </w:r>
            <w:r>
              <w:rPr>
                <w:sz w:val="22"/>
              </w:rPr>
              <w:t>2026</w:t>
            </w:r>
            <w:r>
              <w:rPr>
                <w:spacing w:val="-4"/>
                <w:sz w:val="22"/>
              </w:rPr>
              <w:t> </w:t>
            </w:r>
            <w:r>
              <w:rPr>
                <w:sz w:val="22"/>
              </w:rPr>
              <w:t>to</w:t>
            </w:r>
            <w:r>
              <w:rPr>
                <w:spacing w:val="-1"/>
                <w:sz w:val="22"/>
              </w:rPr>
              <w:t> </w:t>
            </w:r>
            <w:r>
              <w:rPr>
                <w:sz w:val="22"/>
              </w:rPr>
              <w:t>December 31,</w:t>
            </w:r>
            <w:r>
              <w:rPr>
                <w:spacing w:val="-4"/>
                <w:sz w:val="22"/>
              </w:rPr>
              <w:t> 2026</w:t>
            </w:r>
          </w:p>
        </w:tc>
        <w:tc>
          <w:tcPr>
            <w:tcW w:w="1980" w:type="dxa"/>
          </w:tcPr>
          <w:p>
            <w:pPr>
              <w:pStyle w:val="TableParagraph"/>
              <w:spacing w:before="87"/>
              <w:ind w:left="107"/>
              <w:rPr>
                <w:sz w:val="22"/>
              </w:rPr>
            </w:pPr>
            <w:r>
              <w:rPr>
                <w:sz w:val="22"/>
              </w:rPr>
              <w:t>12 </w:t>
            </w:r>
            <w:r>
              <w:rPr>
                <w:spacing w:val="-2"/>
                <w:sz w:val="22"/>
              </w:rPr>
              <w:t>months</w:t>
            </w:r>
          </w:p>
        </w:tc>
      </w:tr>
      <w:tr>
        <w:trPr>
          <w:trHeight w:val="431" w:hRule="atLeast"/>
        </w:trPr>
        <w:tc>
          <w:tcPr>
            <w:tcW w:w="2611" w:type="dxa"/>
          </w:tcPr>
          <w:p>
            <w:pPr>
              <w:pStyle w:val="TableParagraph"/>
              <w:spacing w:before="87"/>
              <w:ind w:left="110"/>
              <w:rPr>
                <w:sz w:val="22"/>
              </w:rPr>
            </w:pPr>
            <w:r>
              <w:rPr>
                <w:sz w:val="22"/>
              </w:rPr>
              <w:t>Demonstration</w:t>
            </w:r>
            <w:r>
              <w:rPr>
                <w:spacing w:val="-8"/>
                <w:sz w:val="22"/>
              </w:rPr>
              <w:t> </w:t>
            </w:r>
            <w:r>
              <w:rPr>
                <w:sz w:val="22"/>
              </w:rPr>
              <w:t>Year</w:t>
            </w:r>
            <w:r>
              <w:rPr>
                <w:spacing w:val="-5"/>
                <w:sz w:val="22"/>
              </w:rPr>
              <w:t> 32</w:t>
            </w:r>
          </w:p>
        </w:tc>
        <w:tc>
          <w:tcPr>
            <w:tcW w:w="4049" w:type="dxa"/>
          </w:tcPr>
          <w:p>
            <w:pPr>
              <w:pStyle w:val="TableParagraph"/>
              <w:spacing w:before="87"/>
              <w:ind w:left="107"/>
              <w:rPr>
                <w:sz w:val="22"/>
              </w:rPr>
            </w:pPr>
            <w:r>
              <w:rPr>
                <w:sz w:val="22"/>
              </w:rPr>
              <w:t>January</w:t>
            </w:r>
            <w:r>
              <w:rPr>
                <w:spacing w:val="-5"/>
                <w:sz w:val="22"/>
              </w:rPr>
              <w:t> </w:t>
            </w:r>
            <w:r>
              <w:rPr>
                <w:sz w:val="22"/>
              </w:rPr>
              <w:t>1,</w:t>
            </w:r>
            <w:r>
              <w:rPr>
                <w:spacing w:val="-1"/>
                <w:sz w:val="22"/>
              </w:rPr>
              <w:t> </w:t>
            </w:r>
            <w:r>
              <w:rPr>
                <w:sz w:val="22"/>
              </w:rPr>
              <w:t>2027</w:t>
            </w:r>
            <w:r>
              <w:rPr>
                <w:spacing w:val="-4"/>
                <w:sz w:val="22"/>
              </w:rPr>
              <w:t> </w:t>
            </w:r>
            <w:r>
              <w:rPr>
                <w:sz w:val="22"/>
              </w:rPr>
              <w:t>to</w:t>
            </w:r>
            <w:r>
              <w:rPr>
                <w:spacing w:val="-1"/>
                <w:sz w:val="22"/>
              </w:rPr>
              <w:t> </w:t>
            </w:r>
            <w:r>
              <w:rPr>
                <w:sz w:val="22"/>
              </w:rPr>
              <w:t>December 31,</w:t>
            </w:r>
            <w:r>
              <w:rPr>
                <w:spacing w:val="-4"/>
                <w:sz w:val="22"/>
              </w:rPr>
              <w:t> 2027</w:t>
            </w:r>
          </w:p>
        </w:tc>
        <w:tc>
          <w:tcPr>
            <w:tcW w:w="1980" w:type="dxa"/>
          </w:tcPr>
          <w:p>
            <w:pPr>
              <w:pStyle w:val="TableParagraph"/>
              <w:spacing w:before="87"/>
              <w:ind w:left="107"/>
              <w:rPr>
                <w:sz w:val="22"/>
              </w:rPr>
            </w:pPr>
            <w:r>
              <w:rPr>
                <w:sz w:val="22"/>
              </w:rPr>
              <w:t>12 </w:t>
            </w:r>
            <w:r>
              <w:rPr>
                <w:spacing w:val="-2"/>
                <w:sz w:val="22"/>
              </w:rPr>
              <w:t>months</w:t>
            </w:r>
          </w:p>
        </w:tc>
      </w:tr>
    </w:tbl>
    <w:p>
      <w:pPr>
        <w:pStyle w:val="BodyText"/>
        <w:spacing w:before="3"/>
        <w:rPr>
          <w:sz w:val="13"/>
        </w:rPr>
      </w:pPr>
    </w:p>
    <w:p>
      <w:pPr>
        <w:pStyle w:val="BodyText"/>
        <w:spacing w:before="90"/>
        <w:ind w:left="871" w:right="122"/>
      </w:pPr>
      <w:r>
        <w:rPr/>
        <w:drawing>
          <wp:anchor distT="0" distB="0" distL="0" distR="0" allowOverlap="1" layoutInCell="1" locked="0" behindDoc="0" simplePos="0" relativeHeight="16098304">
            <wp:simplePos x="0" y="0"/>
            <wp:positionH relativeFrom="page">
              <wp:posOffset>832103</wp:posOffset>
            </wp:positionH>
            <wp:positionV relativeFrom="paragraph">
              <wp:posOffset>92749</wp:posOffset>
            </wp:positionV>
            <wp:extent cx="359663" cy="112775"/>
            <wp:effectExtent l="0" t="0" r="0" b="0"/>
            <wp:wrapNone/>
            <wp:docPr id="742" name="Image 742"/>
            <wp:cNvGraphicFramePr>
              <a:graphicFrameLocks/>
            </wp:cNvGraphicFramePr>
            <a:graphic>
              <a:graphicData uri="http://schemas.openxmlformats.org/drawingml/2006/picture">
                <pic:pic>
                  <pic:nvPicPr>
                    <pic:cNvPr id="742" name="Image 742"/>
                    <pic:cNvPicPr/>
                  </pic:nvPicPr>
                  <pic:blipFill>
                    <a:blip r:embed="rId287" cstate="print"/>
                    <a:stretch>
                      <a:fillRect/>
                    </a:stretch>
                  </pic:blipFill>
                  <pic:spPr>
                    <a:xfrm>
                      <a:off x="0" y="0"/>
                      <a:ext cx="359663" cy="112775"/>
                    </a:xfrm>
                    <a:prstGeom prst="rect">
                      <a:avLst/>
                    </a:prstGeom>
                  </pic:spPr>
                </pic:pic>
              </a:graphicData>
            </a:graphic>
          </wp:anchor>
        </w:drawing>
      </w:r>
      <w:bookmarkStart w:name="18.14. Calculating the Federal Medical A" w:id="1048"/>
      <w:bookmarkEnd w:id="1048"/>
      <w:r>
        <w:rPr/>
      </w:r>
      <w:r>
        <w:rPr>
          <w:b/>
        </w:rPr>
        <w:t>Calculating the Federal Medical Assistance Percentage (FMAP) for Continuous Eligibility</w:t>
      </w:r>
      <w:r>
        <w:rPr>
          <w:b/>
          <w:spacing w:val="-2"/>
        </w:rPr>
        <w:t> </w:t>
      </w:r>
      <w:r>
        <w:rPr>
          <w:b/>
        </w:rPr>
        <w:t>for</w:t>
      </w:r>
      <w:r>
        <w:rPr>
          <w:b/>
          <w:spacing w:val="-3"/>
        </w:rPr>
        <w:t> </w:t>
      </w:r>
      <w:r>
        <w:rPr>
          <w:b/>
        </w:rPr>
        <w:t>the</w:t>
      </w:r>
      <w:r>
        <w:rPr>
          <w:b/>
          <w:spacing w:val="-3"/>
        </w:rPr>
        <w:t> </w:t>
      </w:r>
      <w:r>
        <w:rPr>
          <w:b/>
        </w:rPr>
        <w:t>Adult</w:t>
      </w:r>
      <w:r>
        <w:rPr>
          <w:b/>
          <w:spacing w:val="-6"/>
        </w:rPr>
        <w:t> </w:t>
      </w:r>
      <w:r>
        <w:rPr>
          <w:b/>
        </w:rPr>
        <w:t>Group</w:t>
      </w:r>
      <w:r>
        <w:rPr/>
        <w:t>.</w:t>
      </w:r>
      <w:r>
        <w:rPr>
          <w:spacing w:val="-2"/>
        </w:rPr>
        <w:t> </w:t>
      </w:r>
      <w:r>
        <w:rPr/>
        <w:t>Because</w:t>
      </w:r>
      <w:r>
        <w:rPr>
          <w:spacing w:val="-3"/>
        </w:rPr>
        <w:t> </w:t>
      </w:r>
      <w:r>
        <w:rPr/>
        <w:t>not</w:t>
      </w:r>
      <w:r>
        <w:rPr>
          <w:spacing w:val="-2"/>
        </w:rPr>
        <w:t> </w:t>
      </w:r>
      <w:r>
        <w:rPr/>
        <w:t>all</w:t>
      </w:r>
      <w:r>
        <w:rPr>
          <w:spacing w:val="-2"/>
        </w:rPr>
        <w:t> </w:t>
      </w:r>
      <w:r>
        <w:rPr/>
        <w:t>“newly</w:t>
      </w:r>
      <w:r>
        <w:rPr>
          <w:spacing w:val="-7"/>
        </w:rPr>
        <w:t> </w:t>
      </w:r>
      <w:r>
        <w:rPr/>
        <w:t>eligible”</w:t>
      </w:r>
      <w:r>
        <w:rPr>
          <w:spacing w:val="-3"/>
        </w:rPr>
        <w:t> </w:t>
      </w:r>
      <w:r>
        <w:rPr/>
        <w:t>individuals</w:t>
      </w:r>
      <w:r>
        <w:rPr>
          <w:spacing w:val="-2"/>
        </w:rPr>
        <w:t> </w:t>
      </w:r>
      <w:r>
        <w:rPr/>
        <w:t>in</w:t>
      </w:r>
      <w:r>
        <w:rPr>
          <w:spacing w:val="-2"/>
        </w:rPr>
        <w:t> </w:t>
      </w:r>
      <w:r>
        <w:rPr/>
        <w:t>the</w:t>
      </w:r>
      <w:r>
        <w:rPr>
          <w:spacing w:val="-3"/>
        </w:rPr>
        <w:t> </w:t>
      </w:r>
      <w:r>
        <w:rPr/>
        <w:t>Adult Group as defined in 42 CFR 433.204(a)(1) would be eligible for the entire continuous eligibility period if the Commonwealth conducted redeterminations, CMS has determined that 97.4 percent of expenditures for individuals defined in 42 CFR 433.204(a)(1) will be matched at the “newly eligible” FMAP rate as defined in 42 CFR 433.10(c)(6) and 2.6 percent will be matched at the Commonwealth’s regular Title XIX FMAP rate. Should state data indicate that there is an estimate more accurate than 2.6 percent by which to adjust claiming for individuals defined in 42 CFR 433.204(a)(1), CMS will work with the Commonwealth to update this percentage to the more accurate figure, as supported by</w:t>
      </w:r>
      <w:r>
        <w:rPr>
          <w:spacing w:val="-1"/>
        </w:rPr>
        <w:t> </w:t>
      </w:r>
      <w:r>
        <w:rPr/>
        <w:t>the Commonwealth’s proposed methodology and data.</w:t>
      </w:r>
      <w:r>
        <w:rPr>
          <w:spacing w:val="40"/>
        </w:rPr>
        <w:t> </w:t>
      </w:r>
      <w:r>
        <w:rPr/>
        <w:t>CMS anticipates no increase in enrollment among</w:t>
      </w:r>
      <w:r>
        <w:rPr>
          <w:spacing w:val="-3"/>
        </w:rPr>
        <w:t> </w:t>
      </w:r>
      <w:r>
        <w:rPr/>
        <w:t>individuals in the</w:t>
      </w:r>
      <w:r>
        <w:rPr>
          <w:spacing w:val="-1"/>
        </w:rPr>
        <w:t> </w:t>
      </w:r>
      <w:r>
        <w:rPr/>
        <w:t>Adult Group as defined in 42 CFR 433.204(a)(1)</w:t>
      </w:r>
      <w:r>
        <w:rPr>
          <w:spacing w:val="-1"/>
        </w:rPr>
        <w:t> </w:t>
      </w:r>
      <w:r>
        <w:rPr/>
        <w:t>that are experiencing homelessness for the continuous eligibility period; therefore, no change in FMAP claiming is required for the homeless population.</w:t>
      </w:r>
    </w:p>
    <w:p>
      <w:pPr>
        <w:pStyle w:val="BodyText"/>
        <w:spacing w:before="10"/>
        <w:rPr>
          <w:sz w:val="20"/>
        </w:rPr>
      </w:pPr>
    </w:p>
    <w:p>
      <w:pPr>
        <w:pStyle w:val="BodyText"/>
        <w:ind w:left="871" w:right="167"/>
      </w:pPr>
      <w:r>
        <w:rPr/>
        <w:drawing>
          <wp:anchor distT="0" distB="0" distL="0" distR="0" allowOverlap="1" layoutInCell="1" locked="0" behindDoc="0" simplePos="0" relativeHeight="16098816">
            <wp:simplePos x="0" y="0"/>
            <wp:positionH relativeFrom="page">
              <wp:posOffset>832103</wp:posOffset>
            </wp:positionH>
            <wp:positionV relativeFrom="paragraph">
              <wp:posOffset>35599</wp:posOffset>
            </wp:positionV>
            <wp:extent cx="359663" cy="112775"/>
            <wp:effectExtent l="0" t="0" r="0" b="0"/>
            <wp:wrapNone/>
            <wp:docPr id="743" name="Image 743"/>
            <wp:cNvGraphicFramePr>
              <a:graphicFrameLocks/>
            </wp:cNvGraphicFramePr>
            <a:graphic>
              <a:graphicData uri="http://schemas.openxmlformats.org/drawingml/2006/picture">
                <pic:pic>
                  <pic:nvPicPr>
                    <pic:cNvPr id="743" name="Image 743"/>
                    <pic:cNvPicPr/>
                  </pic:nvPicPr>
                  <pic:blipFill>
                    <a:blip r:embed="rId288" cstate="print"/>
                    <a:stretch>
                      <a:fillRect/>
                    </a:stretch>
                  </pic:blipFill>
                  <pic:spPr>
                    <a:xfrm>
                      <a:off x="0" y="0"/>
                      <a:ext cx="359663" cy="112775"/>
                    </a:xfrm>
                    <a:prstGeom prst="rect">
                      <a:avLst/>
                    </a:prstGeom>
                  </pic:spPr>
                </pic:pic>
              </a:graphicData>
            </a:graphic>
          </wp:anchor>
        </w:drawing>
      </w:r>
      <w:bookmarkStart w:name="18.15. State Reporting for the Continuou" w:id="1049"/>
      <w:bookmarkEnd w:id="1049"/>
      <w:r>
        <w:rPr/>
      </w:r>
      <w:r>
        <w:rPr>
          <w:b/>
        </w:rPr>
        <w:t>State Reporting for the Continuous Eligibility FMAP Adjustment</w:t>
      </w:r>
      <w:r>
        <w:rPr/>
        <w:t>. 97.4 percent of expenditures for “newly eligible” individuals in the Adult Group as defined in 42 CFR 433.204(a)(1) shall be claimed at the “newly eligible” FMAP rate as defined in 42 CFR 433.10(c)(6), unless otherwise adjusted as described in STC 18.14 above. The Commonwealth</w:t>
      </w:r>
      <w:r>
        <w:rPr>
          <w:spacing w:val="-4"/>
        </w:rPr>
        <w:t> </w:t>
      </w:r>
      <w:r>
        <w:rPr/>
        <w:t>must</w:t>
      </w:r>
      <w:r>
        <w:rPr>
          <w:spacing w:val="-4"/>
        </w:rPr>
        <w:t> </w:t>
      </w:r>
      <w:r>
        <w:rPr/>
        <w:t>make</w:t>
      </w:r>
      <w:r>
        <w:rPr>
          <w:spacing w:val="-5"/>
        </w:rPr>
        <w:t> </w:t>
      </w:r>
      <w:r>
        <w:rPr/>
        <w:t>adjustments</w:t>
      </w:r>
      <w:r>
        <w:rPr>
          <w:spacing w:val="-4"/>
        </w:rPr>
        <w:t> </w:t>
      </w:r>
      <w:r>
        <w:rPr/>
        <w:t>on</w:t>
      </w:r>
      <w:r>
        <w:rPr>
          <w:spacing w:val="-4"/>
        </w:rPr>
        <w:t> </w:t>
      </w:r>
      <w:r>
        <w:rPr/>
        <w:t>the</w:t>
      </w:r>
      <w:r>
        <w:rPr>
          <w:spacing w:val="-5"/>
        </w:rPr>
        <w:t> </w:t>
      </w:r>
      <w:r>
        <w:rPr/>
        <w:t>applicable</w:t>
      </w:r>
      <w:r>
        <w:rPr>
          <w:spacing w:val="-5"/>
        </w:rPr>
        <w:t> </w:t>
      </w:r>
      <w:r>
        <w:rPr/>
        <w:t>CMS-64</w:t>
      </w:r>
      <w:r>
        <w:rPr>
          <w:spacing w:val="-4"/>
        </w:rPr>
        <w:t> </w:t>
      </w:r>
      <w:r>
        <w:rPr/>
        <w:t>waiver</w:t>
      </w:r>
      <w:r>
        <w:rPr>
          <w:spacing w:val="-3"/>
        </w:rPr>
        <w:t> </w:t>
      </w:r>
      <w:r>
        <w:rPr/>
        <w:t>forms</w:t>
      </w:r>
      <w:r>
        <w:rPr>
          <w:spacing w:val="-4"/>
        </w:rPr>
        <w:t> </w:t>
      </w:r>
      <w:r>
        <w:rPr/>
        <w:t>to</w:t>
      </w:r>
      <w:r>
        <w:rPr>
          <w:spacing w:val="-4"/>
        </w:rPr>
        <w:t> </w:t>
      </w:r>
      <w:r>
        <w:rPr/>
        <w:t>claim the remaining 2.6 percent or other applicable percentage of expenditures for individuals defined in 42 CFR 433.204(a)(1) at the Commonwealth’s regular Title XIX FMAP rate.</w:t>
      </w:r>
    </w:p>
    <w:p>
      <w:pPr>
        <w:pStyle w:val="BodyText"/>
        <w:spacing w:before="10"/>
        <w:rPr>
          <w:sz w:val="20"/>
        </w:rPr>
      </w:pPr>
    </w:p>
    <w:p>
      <w:pPr>
        <w:pStyle w:val="BodyText"/>
        <w:spacing w:before="1"/>
        <w:ind w:left="871" w:right="124"/>
      </w:pPr>
      <w:r>
        <w:rPr/>
        <w:drawing>
          <wp:anchor distT="0" distB="0" distL="0" distR="0" allowOverlap="1" layoutInCell="1" locked="0" behindDoc="0" simplePos="0" relativeHeight="16099328">
            <wp:simplePos x="0" y="0"/>
            <wp:positionH relativeFrom="page">
              <wp:posOffset>832103</wp:posOffset>
            </wp:positionH>
            <wp:positionV relativeFrom="paragraph">
              <wp:posOffset>36247</wp:posOffset>
            </wp:positionV>
            <wp:extent cx="359663" cy="112762"/>
            <wp:effectExtent l="0" t="0" r="0" b="0"/>
            <wp:wrapNone/>
            <wp:docPr id="744" name="Image 744"/>
            <wp:cNvGraphicFramePr>
              <a:graphicFrameLocks/>
            </wp:cNvGraphicFramePr>
            <a:graphic>
              <a:graphicData uri="http://schemas.openxmlformats.org/drawingml/2006/picture">
                <pic:pic>
                  <pic:nvPicPr>
                    <pic:cNvPr id="744" name="Image 744"/>
                    <pic:cNvPicPr/>
                  </pic:nvPicPr>
                  <pic:blipFill>
                    <a:blip r:embed="rId289" cstate="print"/>
                    <a:stretch>
                      <a:fillRect/>
                    </a:stretch>
                  </pic:blipFill>
                  <pic:spPr>
                    <a:xfrm>
                      <a:off x="0" y="0"/>
                      <a:ext cx="359663" cy="112762"/>
                    </a:xfrm>
                    <a:prstGeom prst="rect">
                      <a:avLst/>
                    </a:prstGeom>
                  </pic:spPr>
                </pic:pic>
              </a:graphicData>
            </a:graphic>
          </wp:anchor>
        </w:drawing>
      </w:r>
      <w:bookmarkStart w:name="18.16. Budget Neutrality Monitoring Tool" w:id="1050"/>
      <w:bookmarkEnd w:id="1050"/>
      <w:r>
        <w:rPr/>
      </w:r>
      <w:r>
        <w:rPr>
          <w:b/>
        </w:rPr>
        <w:t>Budget Neutrality Monitoring Tool. </w:t>
      </w:r>
      <w:r>
        <w:rPr/>
        <w:t>The Commonwealth must provide CMS with quarterly budget neutrality status updates, including established baseline and member months data, using the Budget Neutrality Monitoring Tool provided through the performance metrics database and analytics (PMDA) system. The tool incorporates the “Schedule</w:t>
      </w:r>
      <w:r>
        <w:rPr>
          <w:spacing w:val="-5"/>
        </w:rPr>
        <w:t> </w:t>
      </w:r>
      <w:r>
        <w:rPr/>
        <w:t>C</w:t>
      </w:r>
      <w:r>
        <w:rPr>
          <w:spacing w:val="-4"/>
        </w:rPr>
        <w:t> </w:t>
      </w:r>
      <w:r>
        <w:rPr/>
        <w:t>Report”</w:t>
      </w:r>
      <w:r>
        <w:rPr>
          <w:spacing w:val="-3"/>
        </w:rPr>
        <w:t> </w:t>
      </w:r>
      <w:r>
        <w:rPr/>
        <w:t>for</w:t>
      </w:r>
      <w:r>
        <w:rPr>
          <w:spacing w:val="-3"/>
        </w:rPr>
        <w:t> </w:t>
      </w:r>
      <w:r>
        <w:rPr/>
        <w:t>comparing</w:t>
      </w:r>
      <w:r>
        <w:rPr>
          <w:spacing w:val="-7"/>
        </w:rPr>
        <w:t> </w:t>
      </w:r>
      <w:r>
        <w:rPr/>
        <w:t>the</w:t>
      </w:r>
      <w:r>
        <w:rPr>
          <w:spacing w:val="-5"/>
        </w:rPr>
        <w:t> </w:t>
      </w:r>
      <w:r>
        <w:rPr/>
        <w:t>demonstration’s</w:t>
      </w:r>
      <w:r>
        <w:rPr>
          <w:spacing w:val="-4"/>
        </w:rPr>
        <w:t> </w:t>
      </w:r>
      <w:r>
        <w:rPr/>
        <w:t>actual</w:t>
      </w:r>
      <w:r>
        <w:rPr>
          <w:spacing w:val="-4"/>
        </w:rPr>
        <w:t> </w:t>
      </w:r>
      <w:r>
        <w:rPr/>
        <w:t>expenditures</w:t>
      </w:r>
      <w:r>
        <w:rPr>
          <w:spacing w:val="-4"/>
        </w:rPr>
        <w:t> </w:t>
      </w:r>
      <w:r>
        <w:rPr/>
        <w:t>to</w:t>
      </w:r>
      <w:r>
        <w:rPr>
          <w:spacing w:val="-4"/>
        </w:rPr>
        <w:t> </w:t>
      </w:r>
      <w:r>
        <w:rPr/>
        <w:t>the</w:t>
      </w:r>
      <w:r>
        <w:rPr>
          <w:spacing w:val="-5"/>
        </w:rPr>
        <w:t> </w:t>
      </w:r>
      <w:r>
        <w:rPr/>
        <w:t>budget</w:t>
      </w:r>
    </w:p>
    <w:p>
      <w:pPr>
        <w:spacing w:after="0"/>
        <w:sectPr>
          <w:footerReference w:type="default" r:id="rId285"/>
          <w:pgSz w:w="12240" w:h="15840"/>
          <w:pgMar w:footer="1201" w:header="0" w:top="1600" w:bottom="1400" w:left="1200" w:right="1340"/>
        </w:sectPr>
      </w:pPr>
    </w:p>
    <w:p>
      <w:pPr>
        <w:pStyle w:val="BodyText"/>
        <w:spacing w:before="79"/>
        <w:ind w:left="871" w:right="167"/>
      </w:pPr>
      <w:r>
        <w:rPr/>
        <w:t>neutrality</w:t>
      </w:r>
      <w:r>
        <w:rPr>
          <w:spacing w:val="-7"/>
        </w:rPr>
        <w:t> </w:t>
      </w:r>
      <w:r>
        <w:rPr/>
        <w:t>expenditure</w:t>
      </w:r>
      <w:r>
        <w:rPr>
          <w:spacing w:val="-5"/>
        </w:rPr>
        <w:t> </w:t>
      </w:r>
      <w:r>
        <w:rPr/>
        <w:t>limits</w:t>
      </w:r>
      <w:r>
        <w:rPr>
          <w:spacing w:val="-4"/>
        </w:rPr>
        <w:t> </w:t>
      </w:r>
      <w:r>
        <w:rPr/>
        <w:t>described</w:t>
      </w:r>
      <w:r>
        <w:rPr>
          <w:spacing w:val="-4"/>
        </w:rPr>
        <w:t> </w:t>
      </w:r>
      <w:r>
        <w:rPr/>
        <w:t>in</w:t>
      </w:r>
      <w:r>
        <w:rPr>
          <w:spacing w:val="-4"/>
        </w:rPr>
        <w:t> </w:t>
      </w:r>
      <w:r>
        <w:rPr/>
        <w:t>section</w:t>
      </w:r>
      <w:r>
        <w:rPr>
          <w:spacing w:val="-2"/>
        </w:rPr>
        <w:t> </w:t>
      </w:r>
      <w:r>
        <w:rPr/>
        <w:t>19.</w:t>
      </w:r>
      <w:r>
        <w:rPr>
          <w:spacing w:val="-4"/>
        </w:rPr>
        <w:t> </w:t>
      </w:r>
      <w:r>
        <w:rPr/>
        <w:t>CMS</w:t>
      </w:r>
      <w:r>
        <w:rPr>
          <w:spacing w:val="-4"/>
        </w:rPr>
        <w:t> </w:t>
      </w:r>
      <w:r>
        <w:rPr/>
        <w:t>will</w:t>
      </w:r>
      <w:r>
        <w:rPr>
          <w:spacing w:val="-4"/>
        </w:rPr>
        <w:t> </w:t>
      </w:r>
      <w:r>
        <w:rPr/>
        <w:t>provide</w:t>
      </w:r>
      <w:r>
        <w:rPr>
          <w:spacing w:val="-5"/>
        </w:rPr>
        <w:t> </w:t>
      </w:r>
      <w:r>
        <w:rPr/>
        <w:t>technical assistance, upon request.</w:t>
      </w:r>
      <w:hyperlink w:history="true" w:anchor="_bookmark7">
        <w:r>
          <w:rPr>
            <w:vertAlign w:val="superscript"/>
          </w:rPr>
          <w:t>8</w:t>
        </w:r>
      </w:hyperlink>
    </w:p>
    <w:p>
      <w:pPr>
        <w:pStyle w:val="BodyText"/>
        <w:spacing w:before="240"/>
        <w:ind w:left="871" w:right="112"/>
      </w:pPr>
      <w:r>
        <w:rPr/>
        <w:drawing>
          <wp:anchor distT="0" distB="0" distL="0" distR="0" allowOverlap="1" layoutInCell="1" locked="0" behindDoc="0" simplePos="0" relativeHeight="16100352">
            <wp:simplePos x="0" y="0"/>
            <wp:positionH relativeFrom="page">
              <wp:posOffset>832103</wp:posOffset>
            </wp:positionH>
            <wp:positionV relativeFrom="paragraph">
              <wp:posOffset>188012</wp:posOffset>
            </wp:positionV>
            <wp:extent cx="359663" cy="112763"/>
            <wp:effectExtent l="0" t="0" r="0" b="0"/>
            <wp:wrapNone/>
            <wp:docPr id="745" name="Image 745"/>
            <wp:cNvGraphicFramePr>
              <a:graphicFrameLocks/>
            </wp:cNvGraphicFramePr>
            <a:graphic>
              <a:graphicData uri="http://schemas.openxmlformats.org/drawingml/2006/picture">
                <pic:pic>
                  <pic:nvPicPr>
                    <pic:cNvPr id="745" name="Image 745"/>
                    <pic:cNvPicPr/>
                  </pic:nvPicPr>
                  <pic:blipFill>
                    <a:blip r:embed="rId290" cstate="print"/>
                    <a:stretch>
                      <a:fillRect/>
                    </a:stretch>
                  </pic:blipFill>
                  <pic:spPr>
                    <a:xfrm>
                      <a:off x="0" y="0"/>
                      <a:ext cx="359663" cy="112763"/>
                    </a:xfrm>
                    <a:prstGeom prst="rect">
                      <a:avLst/>
                    </a:prstGeom>
                  </pic:spPr>
                </pic:pic>
              </a:graphicData>
            </a:graphic>
          </wp:anchor>
        </w:drawing>
      </w:r>
      <w:bookmarkStart w:name="18.17. Claiming Period. The Commonwealth" w:id="1051"/>
      <w:bookmarkEnd w:id="1051"/>
      <w:r>
        <w:rPr/>
      </w:r>
      <w:r>
        <w:rPr>
          <w:b/>
        </w:rPr>
        <w:t>Claiming Period. </w:t>
      </w:r>
      <w:r>
        <w:rPr/>
        <w:t>The Commonwealth will report all claims for expenditures subject to the</w:t>
      </w:r>
      <w:r>
        <w:rPr>
          <w:spacing w:val="-1"/>
        </w:rPr>
        <w:t> </w:t>
      </w:r>
      <w:r>
        <w:rPr/>
        <w:t>budget neutrality</w:t>
      </w:r>
      <w:r>
        <w:rPr>
          <w:spacing w:val="-5"/>
        </w:rPr>
        <w:t> </w:t>
      </w:r>
      <w:r>
        <w:rPr/>
        <w:t>agreement (including</w:t>
      </w:r>
      <w:r>
        <w:rPr>
          <w:spacing w:val="-3"/>
        </w:rPr>
        <w:t> </w:t>
      </w:r>
      <w:r>
        <w:rPr/>
        <w:t>any</w:t>
      </w:r>
      <w:r>
        <w:rPr>
          <w:spacing w:val="-3"/>
        </w:rPr>
        <w:t> </w:t>
      </w:r>
      <w:r>
        <w:rPr/>
        <w:t>cost settlements)</w:t>
      </w:r>
      <w:r>
        <w:rPr>
          <w:spacing w:val="-1"/>
        </w:rPr>
        <w:t> </w:t>
      </w:r>
      <w:r>
        <w:rPr/>
        <w:t>within two years after</w:t>
      </w:r>
      <w:r>
        <w:rPr>
          <w:spacing w:val="-1"/>
        </w:rPr>
        <w:t> </w:t>
      </w:r>
      <w:r>
        <w:rPr/>
        <w:t>the calendar quarter in which the state made the expenditures. All claims for services during the demonstration period (including any cost settlements) must be made within two years after</w:t>
      </w:r>
      <w:r>
        <w:rPr>
          <w:spacing w:val="-4"/>
        </w:rPr>
        <w:t> </w:t>
      </w:r>
      <w:r>
        <w:rPr/>
        <w:t>the</w:t>
      </w:r>
      <w:r>
        <w:rPr>
          <w:spacing w:val="-2"/>
        </w:rPr>
        <w:t> </w:t>
      </w:r>
      <w:r>
        <w:rPr/>
        <w:t>conclusion</w:t>
      </w:r>
      <w:r>
        <w:rPr>
          <w:spacing w:val="-3"/>
        </w:rPr>
        <w:t> </w:t>
      </w:r>
      <w:r>
        <w:rPr/>
        <w:t>or</w:t>
      </w:r>
      <w:r>
        <w:rPr>
          <w:spacing w:val="-4"/>
        </w:rPr>
        <w:t> </w:t>
      </w:r>
      <w:r>
        <w:rPr/>
        <w:t>termination</w:t>
      </w:r>
      <w:r>
        <w:rPr>
          <w:spacing w:val="-3"/>
        </w:rPr>
        <w:t> </w:t>
      </w:r>
      <w:r>
        <w:rPr/>
        <w:t>of</w:t>
      </w:r>
      <w:r>
        <w:rPr>
          <w:spacing w:val="-4"/>
        </w:rPr>
        <w:t> </w:t>
      </w:r>
      <w:r>
        <w:rPr/>
        <w:t>the</w:t>
      </w:r>
      <w:r>
        <w:rPr>
          <w:spacing w:val="-4"/>
        </w:rPr>
        <w:t> </w:t>
      </w:r>
      <w:r>
        <w:rPr/>
        <w:t>demonstration.</w:t>
      </w:r>
      <w:r>
        <w:rPr>
          <w:spacing w:val="-3"/>
        </w:rPr>
        <w:t> </w:t>
      </w:r>
      <w:r>
        <w:rPr/>
        <w:t>During</w:t>
      </w:r>
      <w:r>
        <w:rPr>
          <w:spacing w:val="-6"/>
        </w:rPr>
        <w:t> </w:t>
      </w:r>
      <w:r>
        <w:rPr/>
        <w:t>the</w:t>
      </w:r>
      <w:r>
        <w:rPr>
          <w:spacing w:val="-4"/>
        </w:rPr>
        <w:t> </w:t>
      </w:r>
      <w:r>
        <w:rPr/>
        <w:t>latter</w:t>
      </w:r>
      <w:r>
        <w:rPr>
          <w:spacing w:val="-4"/>
        </w:rPr>
        <w:t> </w:t>
      </w:r>
      <w:r>
        <w:rPr/>
        <w:t>two-year</w:t>
      </w:r>
      <w:r>
        <w:rPr>
          <w:spacing w:val="-4"/>
        </w:rPr>
        <w:t> </w:t>
      </w:r>
      <w:r>
        <w:rPr/>
        <w:t>period, the</w:t>
      </w:r>
      <w:r>
        <w:rPr>
          <w:spacing w:val="-3"/>
        </w:rPr>
        <w:t> </w:t>
      </w:r>
      <w:r>
        <w:rPr/>
        <w:t>Commonwealth</w:t>
      </w:r>
      <w:r>
        <w:rPr>
          <w:spacing w:val="-2"/>
        </w:rPr>
        <w:t> </w:t>
      </w:r>
      <w:r>
        <w:rPr/>
        <w:t>will</w:t>
      </w:r>
      <w:r>
        <w:rPr>
          <w:spacing w:val="-2"/>
        </w:rPr>
        <w:t> </w:t>
      </w:r>
      <w:r>
        <w:rPr/>
        <w:t>continue</w:t>
      </w:r>
      <w:r>
        <w:rPr>
          <w:spacing w:val="-3"/>
        </w:rPr>
        <w:t> </w:t>
      </w:r>
      <w:r>
        <w:rPr/>
        <w:t>to</w:t>
      </w:r>
      <w:r>
        <w:rPr>
          <w:spacing w:val="-2"/>
        </w:rPr>
        <w:t> </w:t>
      </w:r>
      <w:r>
        <w:rPr/>
        <w:t>identify</w:t>
      </w:r>
      <w:r>
        <w:rPr>
          <w:spacing w:val="-7"/>
        </w:rPr>
        <w:t> </w:t>
      </w:r>
      <w:r>
        <w:rPr/>
        <w:t>separately</w:t>
      </w:r>
      <w:r>
        <w:rPr>
          <w:spacing w:val="-7"/>
        </w:rPr>
        <w:t> </w:t>
      </w:r>
      <w:r>
        <w:rPr/>
        <w:t>net</w:t>
      </w:r>
      <w:r>
        <w:rPr>
          <w:spacing w:val="-2"/>
        </w:rPr>
        <w:t> </w:t>
      </w:r>
      <w:r>
        <w:rPr/>
        <w:t>expenditures</w:t>
      </w:r>
      <w:r>
        <w:rPr>
          <w:spacing w:val="-2"/>
        </w:rPr>
        <w:t> </w:t>
      </w:r>
      <w:r>
        <w:rPr/>
        <w:t>related</w:t>
      </w:r>
      <w:r>
        <w:rPr>
          <w:spacing w:val="-2"/>
        </w:rPr>
        <w:t> </w:t>
      </w:r>
      <w:r>
        <w:rPr/>
        <w:t>to</w:t>
      </w:r>
      <w:r>
        <w:rPr>
          <w:spacing w:val="-2"/>
        </w:rPr>
        <w:t> </w:t>
      </w:r>
      <w:r>
        <w:rPr/>
        <w:t>dates</w:t>
      </w:r>
      <w:r>
        <w:rPr>
          <w:spacing w:val="-2"/>
        </w:rPr>
        <w:t> </w:t>
      </w:r>
      <w:r>
        <w:rPr/>
        <w:t>of service during</w:t>
      </w:r>
      <w:r>
        <w:rPr>
          <w:spacing w:val="-2"/>
        </w:rPr>
        <w:t> </w:t>
      </w:r>
      <w:r>
        <w:rPr/>
        <w:t>the operation of the demonstration on the CMS-64 waiver forms in order to properly account for these expenditures in determining budget neutrality.</w:t>
      </w:r>
    </w:p>
    <w:p>
      <w:pPr>
        <w:pStyle w:val="BodyText"/>
        <w:spacing w:before="10"/>
        <w:rPr>
          <w:sz w:val="20"/>
        </w:rPr>
      </w:pPr>
    </w:p>
    <w:p>
      <w:pPr>
        <w:spacing w:before="0"/>
        <w:ind w:left="871" w:right="124" w:firstLine="0"/>
        <w:jc w:val="left"/>
        <w:rPr>
          <w:sz w:val="24"/>
        </w:rPr>
      </w:pPr>
      <w:r>
        <w:rPr/>
        <w:drawing>
          <wp:anchor distT="0" distB="0" distL="0" distR="0" allowOverlap="1" layoutInCell="1" locked="0" behindDoc="0" simplePos="0" relativeHeight="16100864">
            <wp:simplePos x="0" y="0"/>
            <wp:positionH relativeFrom="page">
              <wp:posOffset>832103</wp:posOffset>
            </wp:positionH>
            <wp:positionV relativeFrom="paragraph">
              <wp:posOffset>35612</wp:posOffset>
            </wp:positionV>
            <wp:extent cx="359663" cy="112763"/>
            <wp:effectExtent l="0" t="0" r="0" b="0"/>
            <wp:wrapNone/>
            <wp:docPr id="746" name="Image 746"/>
            <wp:cNvGraphicFramePr>
              <a:graphicFrameLocks/>
            </wp:cNvGraphicFramePr>
            <a:graphic>
              <a:graphicData uri="http://schemas.openxmlformats.org/drawingml/2006/picture">
                <pic:pic>
                  <pic:nvPicPr>
                    <pic:cNvPr id="746" name="Image 746"/>
                    <pic:cNvPicPr/>
                  </pic:nvPicPr>
                  <pic:blipFill>
                    <a:blip r:embed="rId291" cstate="print"/>
                    <a:stretch>
                      <a:fillRect/>
                    </a:stretch>
                  </pic:blipFill>
                  <pic:spPr>
                    <a:xfrm>
                      <a:off x="0" y="0"/>
                      <a:ext cx="359663" cy="112763"/>
                    </a:xfrm>
                    <a:prstGeom prst="rect">
                      <a:avLst/>
                    </a:prstGeom>
                  </pic:spPr>
                </pic:pic>
              </a:graphicData>
            </a:graphic>
          </wp:anchor>
        </w:drawing>
      </w:r>
      <w:bookmarkStart w:name="18.18. Future Adjustments to Budget Neut" w:id="1052"/>
      <w:bookmarkEnd w:id="1052"/>
      <w:r>
        <w:rPr/>
      </w:r>
      <w:r>
        <w:rPr>
          <w:b/>
          <w:sz w:val="24"/>
        </w:rPr>
        <w:t>Future</w:t>
      </w:r>
      <w:r>
        <w:rPr>
          <w:b/>
          <w:spacing w:val="-3"/>
          <w:sz w:val="24"/>
        </w:rPr>
        <w:t> </w:t>
      </w:r>
      <w:r>
        <w:rPr>
          <w:b/>
          <w:sz w:val="24"/>
        </w:rPr>
        <w:t>Adjustments</w:t>
      </w:r>
      <w:r>
        <w:rPr>
          <w:b/>
          <w:spacing w:val="-4"/>
          <w:sz w:val="24"/>
        </w:rPr>
        <w:t> </w:t>
      </w:r>
      <w:r>
        <w:rPr>
          <w:b/>
          <w:sz w:val="24"/>
        </w:rPr>
        <w:t>to</w:t>
      </w:r>
      <w:r>
        <w:rPr>
          <w:b/>
          <w:spacing w:val="-2"/>
          <w:sz w:val="24"/>
        </w:rPr>
        <w:t> </w:t>
      </w:r>
      <w:r>
        <w:rPr>
          <w:b/>
          <w:sz w:val="24"/>
        </w:rPr>
        <w:t>Budget</w:t>
      </w:r>
      <w:r>
        <w:rPr>
          <w:b/>
          <w:spacing w:val="-5"/>
          <w:sz w:val="24"/>
        </w:rPr>
        <w:t> </w:t>
      </w:r>
      <w:r>
        <w:rPr>
          <w:b/>
          <w:sz w:val="24"/>
        </w:rPr>
        <w:t>Neutrality.</w:t>
      </w:r>
      <w:r>
        <w:rPr>
          <w:b/>
          <w:spacing w:val="-5"/>
          <w:sz w:val="24"/>
        </w:rPr>
        <w:t> </w:t>
      </w:r>
      <w:r>
        <w:rPr>
          <w:sz w:val="24"/>
        </w:rPr>
        <w:t>CMS</w:t>
      </w:r>
      <w:r>
        <w:rPr>
          <w:spacing w:val="-4"/>
          <w:sz w:val="24"/>
        </w:rPr>
        <w:t> </w:t>
      </w:r>
      <w:r>
        <w:rPr>
          <w:sz w:val="24"/>
        </w:rPr>
        <w:t>reserves</w:t>
      </w:r>
      <w:r>
        <w:rPr>
          <w:spacing w:val="-4"/>
          <w:sz w:val="24"/>
        </w:rPr>
        <w:t> </w:t>
      </w:r>
      <w:r>
        <w:rPr>
          <w:sz w:val="24"/>
        </w:rPr>
        <w:t>the</w:t>
      </w:r>
      <w:r>
        <w:rPr>
          <w:spacing w:val="-3"/>
          <w:sz w:val="24"/>
        </w:rPr>
        <w:t> </w:t>
      </w:r>
      <w:r>
        <w:rPr>
          <w:sz w:val="24"/>
        </w:rPr>
        <w:t>right</w:t>
      </w:r>
      <w:r>
        <w:rPr>
          <w:spacing w:val="-4"/>
          <w:sz w:val="24"/>
        </w:rPr>
        <w:t> </w:t>
      </w:r>
      <w:r>
        <w:rPr>
          <w:sz w:val="24"/>
        </w:rPr>
        <w:t>to</w:t>
      </w:r>
      <w:r>
        <w:rPr>
          <w:spacing w:val="-4"/>
          <w:sz w:val="24"/>
        </w:rPr>
        <w:t> </w:t>
      </w:r>
      <w:r>
        <w:rPr>
          <w:sz w:val="24"/>
        </w:rPr>
        <w:t>adjust</w:t>
      </w:r>
      <w:r>
        <w:rPr>
          <w:spacing w:val="-4"/>
          <w:sz w:val="24"/>
        </w:rPr>
        <w:t> </w:t>
      </w:r>
      <w:r>
        <w:rPr>
          <w:sz w:val="24"/>
        </w:rPr>
        <w:t>the</w:t>
      </w:r>
      <w:r>
        <w:rPr>
          <w:spacing w:val="-5"/>
          <w:sz w:val="24"/>
        </w:rPr>
        <w:t> </w:t>
      </w:r>
      <w:r>
        <w:rPr>
          <w:sz w:val="24"/>
        </w:rPr>
        <w:t>budget neutrality expenditure limit:</w:t>
      </w:r>
    </w:p>
    <w:p>
      <w:pPr>
        <w:pStyle w:val="BodyText"/>
        <w:spacing w:before="10"/>
        <w:rPr>
          <w:sz w:val="20"/>
        </w:rPr>
      </w:pPr>
    </w:p>
    <w:p>
      <w:pPr>
        <w:pStyle w:val="BodyText"/>
        <w:ind w:left="1411" w:right="112"/>
      </w:pPr>
      <w:r>
        <w:rPr/>
        <w:drawing>
          <wp:anchor distT="0" distB="0" distL="0" distR="0" allowOverlap="1" layoutInCell="1" locked="0" behindDoc="0" simplePos="0" relativeHeight="16101376">
            <wp:simplePos x="0" y="0"/>
            <wp:positionH relativeFrom="page">
              <wp:posOffset>1431036</wp:posOffset>
            </wp:positionH>
            <wp:positionV relativeFrom="paragraph">
              <wp:posOffset>67616</wp:posOffset>
            </wp:positionV>
            <wp:extent cx="96011" cy="80759"/>
            <wp:effectExtent l="0" t="0" r="0" b="0"/>
            <wp:wrapNone/>
            <wp:docPr id="747" name="Image 747"/>
            <wp:cNvGraphicFramePr>
              <a:graphicFrameLocks/>
            </wp:cNvGraphicFramePr>
            <a:graphic>
              <a:graphicData uri="http://schemas.openxmlformats.org/drawingml/2006/picture">
                <pic:pic>
                  <pic:nvPicPr>
                    <pic:cNvPr id="747" name="Image 747"/>
                    <pic:cNvPicPr/>
                  </pic:nvPicPr>
                  <pic:blipFill>
                    <a:blip r:embed="rId29" cstate="print"/>
                    <a:stretch>
                      <a:fillRect/>
                    </a:stretch>
                  </pic:blipFill>
                  <pic:spPr>
                    <a:xfrm>
                      <a:off x="0" y="0"/>
                      <a:ext cx="96011" cy="80759"/>
                    </a:xfrm>
                    <a:prstGeom prst="rect">
                      <a:avLst/>
                    </a:prstGeom>
                  </pic:spPr>
                </pic:pic>
              </a:graphicData>
            </a:graphic>
          </wp:anchor>
        </w:drawing>
      </w:r>
      <w:bookmarkStart w:name="a. To be consistent with enforcement of " w:id="1053"/>
      <w:bookmarkEnd w:id="1053"/>
      <w:r>
        <w:rPr/>
      </w:r>
      <w:r>
        <w:rPr/>
        <w:t>To be consistent with enforcement of laws and policy statements, including regulations and guidance regarding impermissible provider payments, health care related taxes, or other payments.</w:t>
      </w:r>
      <w:r>
        <w:rPr>
          <w:spacing w:val="40"/>
        </w:rPr>
        <w:t> </w:t>
      </w:r>
      <w:r>
        <w:rPr/>
        <w:t>CMS reserves the right to make adjustments to the budget</w:t>
      </w:r>
      <w:r>
        <w:rPr>
          <w:spacing w:val="-1"/>
        </w:rPr>
        <w:t> </w:t>
      </w:r>
      <w:r>
        <w:rPr/>
        <w:t>neutrality</w:t>
      </w:r>
      <w:r>
        <w:rPr>
          <w:spacing w:val="-6"/>
        </w:rPr>
        <w:t> </w:t>
      </w:r>
      <w:r>
        <w:rPr/>
        <w:t>limit</w:t>
      </w:r>
      <w:r>
        <w:rPr>
          <w:spacing w:val="-1"/>
        </w:rPr>
        <w:t> </w:t>
      </w:r>
      <w:r>
        <w:rPr/>
        <w:t>if</w:t>
      </w:r>
      <w:r>
        <w:rPr>
          <w:spacing w:val="-2"/>
        </w:rPr>
        <w:t> </w:t>
      </w:r>
      <w:r>
        <w:rPr/>
        <w:t>any</w:t>
      </w:r>
      <w:r>
        <w:rPr>
          <w:spacing w:val="-6"/>
        </w:rPr>
        <w:t> </w:t>
      </w:r>
      <w:r>
        <w:rPr/>
        <w:t>health</w:t>
      </w:r>
      <w:r>
        <w:rPr>
          <w:spacing w:val="-1"/>
        </w:rPr>
        <w:t> </w:t>
      </w:r>
      <w:r>
        <w:rPr/>
        <w:t>care related</w:t>
      </w:r>
      <w:r>
        <w:rPr>
          <w:spacing w:val="-1"/>
        </w:rPr>
        <w:t> </w:t>
      </w:r>
      <w:r>
        <w:rPr/>
        <w:t>tax that</w:t>
      </w:r>
      <w:r>
        <w:rPr>
          <w:spacing w:val="-1"/>
        </w:rPr>
        <w:t> </w:t>
      </w:r>
      <w:r>
        <w:rPr/>
        <w:t>was</w:t>
      </w:r>
      <w:r>
        <w:rPr>
          <w:spacing w:val="-1"/>
        </w:rPr>
        <w:t> </w:t>
      </w:r>
      <w:r>
        <w:rPr/>
        <w:t>in</w:t>
      </w:r>
      <w:r>
        <w:rPr>
          <w:spacing w:val="-1"/>
        </w:rPr>
        <w:t> </w:t>
      </w:r>
      <w:r>
        <w:rPr/>
        <w:t>effect</w:t>
      </w:r>
      <w:r>
        <w:rPr>
          <w:spacing w:val="-1"/>
        </w:rPr>
        <w:t> </w:t>
      </w:r>
      <w:r>
        <w:rPr/>
        <w:t>during</w:t>
      </w:r>
      <w:r>
        <w:rPr>
          <w:spacing w:val="-4"/>
        </w:rPr>
        <w:t> </w:t>
      </w:r>
      <w:r>
        <w:rPr/>
        <w:t>the</w:t>
      </w:r>
      <w:r>
        <w:rPr>
          <w:spacing w:val="-2"/>
        </w:rPr>
        <w:t> </w:t>
      </w:r>
      <w:r>
        <w:rPr/>
        <w:t>base year, or provider-related donation that occurred during the base year, is determined by CMS to be in violation of the provider donation and health care related tax provisions of section 1903(w) of the Act. Adjustments to annual budget targets will reflect</w:t>
      </w:r>
      <w:r>
        <w:rPr>
          <w:spacing w:val="-3"/>
        </w:rPr>
        <w:t> </w:t>
      </w:r>
      <w:r>
        <w:rPr/>
        <w:t>the</w:t>
      </w:r>
      <w:r>
        <w:rPr>
          <w:spacing w:val="-4"/>
        </w:rPr>
        <w:t> </w:t>
      </w:r>
      <w:r>
        <w:rPr/>
        <w:t>phase</w:t>
      </w:r>
      <w:r>
        <w:rPr>
          <w:spacing w:val="-4"/>
        </w:rPr>
        <w:t> </w:t>
      </w:r>
      <w:r>
        <w:rPr/>
        <w:t>out</w:t>
      </w:r>
      <w:r>
        <w:rPr>
          <w:spacing w:val="-3"/>
        </w:rPr>
        <w:t> </w:t>
      </w:r>
      <w:r>
        <w:rPr/>
        <w:t>of</w:t>
      </w:r>
      <w:r>
        <w:rPr>
          <w:spacing w:val="-4"/>
        </w:rPr>
        <w:t> </w:t>
      </w:r>
      <w:r>
        <w:rPr/>
        <w:t>impermissible</w:t>
      </w:r>
      <w:r>
        <w:rPr>
          <w:spacing w:val="-4"/>
        </w:rPr>
        <w:t> </w:t>
      </w:r>
      <w:r>
        <w:rPr/>
        <w:t>provider</w:t>
      </w:r>
      <w:r>
        <w:rPr>
          <w:spacing w:val="-4"/>
        </w:rPr>
        <w:t> </w:t>
      </w:r>
      <w:r>
        <w:rPr/>
        <w:t>payments</w:t>
      </w:r>
      <w:r>
        <w:rPr>
          <w:spacing w:val="-3"/>
        </w:rPr>
        <w:t> </w:t>
      </w:r>
      <w:r>
        <w:rPr/>
        <w:t>by</w:t>
      </w:r>
      <w:r>
        <w:rPr>
          <w:spacing w:val="-8"/>
        </w:rPr>
        <w:t> </w:t>
      </w:r>
      <w:r>
        <w:rPr/>
        <w:t>law</w:t>
      </w:r>
      <w:r>
        <w:rPr>
          <w:spacing w:val="-4"/>
        </w:rPr>
        <w:t> </w:t>
      </w:r>
      <w:r>
        <w:rPr/>
        <w:t>or</w:t>
      </w:r>
      <w:r>
        <w:rPr>
          <w:spacing w:val="-4"/>
        </w:rPr>
        <w:t> </w:t>
      </w:r>
      <w:r>
        <w:rPr/>
        <w:t>regulation,</w:t>
      </w:r>
      <w:r>
        <w:rPr>
          <w:spacing w:val="-3"/>
        </w:rPr>
        <w:t> </w:t>
      </w:r>
      <w:r>
        <w:rPr/>
        <w:t>where </w:t>
      </w:r>
      <w:r>
        <w:rPr>
          <w:spacing w:val="-2"/>
        </w:rPr>
        <w:t>applicable.</w:t>
      </w:r>
    </w:p>
    <w:p>
      <w:pPr>
        <w:pStyle w:val="BodyText"/>
        <w:spacing w:before="10"/>
        <w:rPr>
          <w:sz w:val="20"/>
        </w:rPr>
      </w:pPr>
    </w:p>
    <w:p>
      <w:pPr>
        <w:pStyle w:val="BodyText"/>
        <w:ind w:left="1411" w:right="167"/>
      </w:pPr>
      <w:r>
        <w:rPr/>
        <w:drawing>
          <wp:anchor distT="0" distB="0" distL="0" distR="0" allowOverlap="1" layoutInCell="1" locked="0" behindDoc="0" simplePos="0" relativeHeight="16101888">
            <wp:simplePos x="0" y="0"/>
            <wp:positionH relativeFrom="page">
              <wp:posOffset>1424939</wp:posOffset>
            </wp:positionH>
            <wp:positionV relativeFrom="paragraph">
              <wp:posOffset>32551</wp:posOffset>
            </wp:positionV>
            <wp:extent cx="111251" cy="115823"/>
            <wp:effectExtent l="0" t="0" r="0" b="0"/>
            <wp:wrapNone/>
            <wp:docPr id="748" name="Image 748"/>
            <wp:cNvGraphicFramePr>
              <a:graphicFrameLocks/>
            </wp:cNvGraphicFramePr>
            <a:graphic>
              <a:graphicData uri="http://schemas.openxmlformats.org/drawingml/2006/picture">
                <pic:pic>
                  <pic:nvPicPr>
                    <pic:cNvPr id="748" name="Image 748"/>
                    <pic:cNvPicPr/>
                  </pic:nvPicPr>
                  <pic:blipFill>
                    <a:blip r:embed="rId34" cstate="print"/>
                    <a:stretch>
                      <a:fillRect/>
                    </a:stretch>
                  </pic:blipFill>
                  <pic:spPr>
                    <a:xfrm>
                      <a:off x="0" y="0"/>
                      <a:ext cx="111251" cy="115823"/>
                    </a:xfrm>
                    <a:prstGeom prst="rect">
                      <a:avLst/>
                    </a:prstGeom>
                  </pic:spPr>
                </pic:pic>
              </a:graphicData>
            </a:graphic>
          </wp:anchor>
        </w:drawing>
      </w:r>
      <w:bookmarkStart w:name="b. To the extent that a change in federa" w:id="1054"/>
      <w:bookmarkEnd w:id="1054"/>
      <w:r>
        <w:rPr/>
      </w:r>
      <w:r>
        <w:rPr/>
        <w:t>To the extent that a change in federal law, regulation, or policy requires either a reduction or</w:t>
      </w:r>
      <w:r>
        <w:rPr>
          <w:spacing w:val="-1"/>
        </w:rPr>
        <w:t> </w:t>
      </w:r>
      <w:r>
        <w:rPr/>
        <w:t>an increase</w:t>
      </w:r>
      <w:r>
        <w:rPr>
          <w:spacing w:val="-1"/>
        </w:rPr>
        <w:t> </w:t>
      </w:r>
      <w:r>
        <w:rPr/>
        <w:t>in FFP for expenditures made</w:t>
      </w:r>
      <w:r>
        <w:rPr>
          <w:spacing w:val="-1"/>
        </w:rPr>
        <w:t> </w:t>
      </w:r>
      <w:r>
        <w:rPr/>
        <w:t>under</w:t>
      </w:r>
      <w:r>
        <w:rPr>
          <w:spacing w:val="-1"/>
        </w:rPr>
        <w:t> </w:t>
      </w:r>
      <w:r>
        <w:rPr/>
        <w:t>this demonstration.</w:t>
      </w:r>
      <w:r>
        <w:rPr>
          <w:spacing w:val="40"/>
        </w:rPr>
        <w:t> </w:t>
      </w:r>
      <w:r>
        <w:rPr/>
        <w:t>In this</w:t>
      </w:r>
      <w:r>
        <w:rPr>
          <w:spacing w:val="-4"/>
        </w:rPr>
        <w:t> </w:t>
      </w:r>
      <w:r>
        <w:rPr/>
        <w:t>circumstance,</w:t>
      </w:r>
      <w:r>
        <w:rPr>
          <w:spacing w:val="-4"/>
        </w:rPr>
        <w:t> </w:t>
      </w:r>
      <w:r>
        <w:rPr/>
        <w:t>the</w:t>
      </w:r>
      <w:r>
        <w:rPr>
          <w:spacing w:val="-4"/>
        </w:rPr>
        <w:t> </w:t>
      </w:r>
      <w:r>
        <w:rPr/>
        <w:t>state</w:t>
      </w:r>
      <w:r>
        <w:rPr>
          <w:spacing w:val="-4"/>
        </w:rPr>
        <w:t> </w:t>
      </w:r>
      <w:r>
        <w:rPr/>
        <w:t>must</w:t>
      </w:r>
      <w:r>
        <w:rPr>
          <w:spacing w:val="-4"/>
        </w:rPr>
        <w:t> </w:t>
      </w:r>
      <w:r>
        <w:rPr/>
        <w:t>adopt,</w:t>
      </w:r>
      <w:r>
        <w:rPr>
          <w:spacing w:val="-4"/>
        </w:rPr>
        <w:t> </w:t>
      </w:r>
      <w:r>
        <w:rPr/>
        <w:t>subject</w:t>
      </w:r>
      <w:r>
        <w:rPr>
          <w:spacing w:val="-4"/>
        </w:rPr>
        <w:t> </w:t>
      </w:r>
      <w:r>
        <w:rPr/>
        <w:t>to</w:t>
      </w:r>
      <w:r>
        <w:rPr>
          <w:spacing w:val="-4"/>
        </w:rPr>
        <w:t> </w:t>
      </w:r>
      <w:r>
        <w:rPr/>
        <w:t>CMS</w:t>
      </w:r>
      <w:r>
        <w:rPr>
          <w:spacing w:val="-4"/>
        </w:rPr>
        <w:t> </w:t>
      </w:r>
      <w:r>
        <w:rPr/>
        <w:t>approval,</w:t>
      </w:r>
      <w:r>
        <w:rPr>
          <w:spacing w:val="-4"/>
        </w:rPr>
        <w:t> </w:t>
      </w:r>
      <w:r>
        <w:rPr/>
        <w:t>a</w:t>
      </w:r>
      <w:r>
        <w:rPr>
          <w:spacing w:val="-4"/>
        </w:rPr>
        <w:t> </w:t>
      </w:r>
      <w:r>
        <w:rPr/>
        <w:t>modified</w:t>
      </w:r>
      <w:r>
        <w:rPr>
          <w:spacing w:val="-4"/>
        </w:rPr>
        <w:t> </w:t>
      </w:r>
      <w:r>
        <w:rPr/>
        <w:t>budget neutrality agreement as necessary to comply with such change. The modified agreement will be effective upon the implementation of the change. The trend rates for the budget neutrality agreement are not subject to change under this STC. The state agrees that if mandated changes in the federal law require state legislation, the changes shall take effect on the day such state legislation becomes effective, or on the last day such legislation was required to be in effect under the federal law.</w:t>
      </w:r>
    </w:p>
    <w:p>
      <w:pPr>
        <w:pStyle w:val="BodyText"/>
        <w:spacing w:before="10"/>
        <w:rPr>
          <w:sz w:val="20"/>
        </w:rPr>
      </w:pPr>
    </w:p>
    <w:p>
      <w:pPr>
        <w:pStyle w:val="BodyText"/>
        <w:spacing w:before="1"/>
        <w:ind w:left="1411" w:right="112"/>
      </w:pPr>
      <w:bookmarkStart w:name="The state certifies that the data it pro" w:id="1055"/>
      <w:bookmarkEnd w:id="1055"/>
      <w:r>
        <w:rPr/>
      </w:r>
      <w:r>
        <w:rPr/>
        <w:t>The state certifies that the data it provided to establish the budget neutrality expenditure limit are accurate based on the state's accounting of recorded historical expenditures</w:t>
      </w:r>
      <w:r>
        <w:rPr>
          <w:spacing w:val="-3"/>
        </w:rPr>
        <w:t> </w:t>
      </w:r>
      <w:r>
        <w:rPr/>
        <w:t>or</w:t>
      </w:r>
      <w:r>
        <w:rPr>
          <w:spacing w:val="-4"/>
        </w:rPr>
        <w:t> </w:t>
      </w:r>
      <w:r>
        <w:rPr/>
        <w:t>the</w:t>
      </w:r>
      <w:r>
        <w:rPr>
          <w:spacing w:val="-4"/>
        </w:rPr>
        <w:t> </w:t>
      </w:r>
      <w:r>
        <w:rPr/>
        <w:t>next</w:t>
      </w:r>
      <w:r>
        <w:rPr>
          <w:spacing w:val="-3"/>
        </w:rPr>
        <w:t> </w:t>
      </w:r>
      <w:r>
        <w:rPr/>
        <w:t>best</w:t>
      </w:r>
      <w:r>
        <w:rPr>
          <w:spacing w:val="-3"/>
        </w:rPr>
        <w:t> </w:t>
      </w:r>
      <w:r>
        <w:rPr/>
        <w:t>available</w:t>
      </w:r>
      <w:r>
        <w:rPr>
          <w:spacing w:val="-4"/>
        </w:rPr>
        <w:t> </w:t>
      </w:r>
      <w:r>
        <w:rPr/>
        <w:t>data,</w:t>
      </w:r>
      <w:r>
        <w:rPr>
          <w:spacing w:val="-3"/>
        </w:rPr>
        <w:t> </w:t>
      </w:r>
      <w:r>
        <w:rPr/>
        <w:t>that</w:t>
      </w:r>
      <w:r>
        <w:rPr>
          <w:spacing w:val="-3"/>
        </w:rPr>
        <w:t> </w:t>
      </w:r>
      <w:r>
        <w:rPr/>
        <w:t>the</w:t>
      </w:r>
      <w:r>
        <w:rPr>
          <w:spacing w:val="-4"/>
        </w:rPr>
        <w:t> </w:t>
      </w:r>
      <w:r>
        <w:rPr/>
        <w:t>data</w:t>
      </w:r>
      <w:r>
        <w:rPr>
          <w:spacing w:val="-4"/>
        </w:rPr>
        <w:t> </w:t>
      </w:r>
      <w:r>
        <w:rPr/>
        <w:t>are</w:t>
      </w:r>
      <w:r>
        <w:rPr>
          <w:spacing w:val="-4"/>
        </w:rPr>
        <w:t> </w:t>
      </w:r>
      <w:r>
        <w:rPr/>
        <w:t>allowable</w:t>
      </w:r>
      <w:r>
        <w:rPr>
          <w:spacing w:val="-4"/>
        </w:rPr>
        <w:t> </w:t>
      </w:r>
      <w:r>
        <w:rPr/>
        <w:t>in</w:t>
      </w:r>
      <w:r>
        <w:rPr>
          <w:spacing w:val="-3"/>
        </w:rPr>
        <w:t> </w:t>
      </w:r>
      <w:r>
        <w:rPr/>
        <w:t>accordance</w:t>
      </w:r>
    </w:p>
    <w:p>
      <w:pPr>
        <w:pStyle w:val="BodyText"/>
        <w:spacing w:before="2"/>
        <w:rPr>
          <w:sz w:val="27"/>
        </w:rPr>
      </w:pPr>
      <w:r>
        <w:rPr/>
        <mc:AlternateContent>
          <mc:Choice Requires="wps">
            <w:drawing>
              <wp:anchor distT="0" distB="0" distL="0" distR="0" allowOverlap="1" layoutInCell="1" locked="0" behindDoc="1" simplePos="0" relativeHeight="487959040">
                <wp:simplePos x="0" y="0"/>
                <wp:positionH relativeFrom="page">
                  <wp:posOffset>914400</wp:posOffset>
                </wp:positionH>
                <wp:positionV relativeFrom="paragraph">
                  <wp:posOffset>213900</wp:posOffset>
                </wp:positionV>
                <wp:extent cx="1828800" cy="7620"/>
                <wp:effectExtent l="0" t="0" r="0" b="0"/>
                <wp:wrapTopAndBottom/>
                <wp:docPr id="749" name="Graphic 749"/>
                <wp:cNvGraphicFramePr>
                  <a:graphicFrameLocks/>
                </wp:cNvGraphicFramePr>
                <a:graphic>
                  <a:graphicData uri="http://schemas.microsoft.com/office/word/2010/wordprocessingShape">
                    <wps:wsp>
                      <wps:cNvPr id="749" name="Graphic 749"/>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6.842579pt;width:144pt;height:.6pt;mso-position-horizontal-relative:page;mso-position-vertical-relative:paragraph;z-index:-15357440;mso-wrap-distance-left:0;mso-wrap-distance-right:0" id="docshape32" filled="true" fillcolor="#000000" stroked="false">
                <v:fill type="solid"/>
                <w10:wrap type="topAndBottom"/>
              </v:rect>
            </w:pict>
          </mc:Fallback>
        </mc:AlternateContent>
      </w:r>
    </w:p>
    <w:p>
      <w:pPr>
        <w:pStyle w:val="BodyText"/>
        <w:spacing w:before="5"/>
        <w:rPr>
          <w:sz w:val="14"/>
        </w:rPr>
      </w:pPr>
    </w:p>
    <w:p>
      <w:pPr>
        <w:spacing w:before="98"/>
        <w:ind w:left="240" w:right="112" w:hanging="1"/>
        <w:jc w:val="left"/>
        <w:rPr>
          <w:sz w:val="20"/>
        </w:rPr>
      </w:pPr>
      <w:bookmarkStart w:name="_bookmark7" w:id="1056"/>
      <w:bookmarkEnd w:id="1056"/>
      <w:r>
        <w:rPr/>
      </w:r>
      <w:r>
        <w:rPr>
          <w:sz w:val="20"/>
          <w:vertAlign w:val="superscript"/>
        </w:rPr>
        <w:t>8</w:t>
      </w:r>
      <w:r>
        <w:rPr>
          <w:sz w:val="20"/>
          <w:vertAlign w:val="baseline"/>
        </w:rPr>
        <w:t> Per 42 CFR 431.420(a)(2), states must comply with the terms and conditions of the agreement between the Secretary (or designee) and the state to implement a demonstration project, and 431.420(b)(1) states that the terms and conditions will provide that the state will perform</w:t>
      </w:r>
      <w:r>
        <w:rPr>
          <w:spacing w:val="-3"/>
          <w:sz w:val="20"/>
          <w:vertAlign w:val="baseline"/>
        </w:rPr>
        <w:t> </w:t>
      </w:r>
      <w:r>
        <w:rPr>
          <w:sz w:val="20"/>
          <w:vertAlign w:val="baseline"/>
        </w:rPr>
        <w:t>periodic reviews of</w:t>
      </w:r>
      <w:r>
        <w:rPr>
          <w:spacing w:val="-1"/>
          <w:sz w:val="20"/>
          <w:vertAlign w:val="baseline"/>
        </w:rPr>
        <w:t> </w:t>
      </w:r>
      <w:r>
        <w:rPr>
          <w:sz w:val="20"/>
          <w:vertAlign w:val="baseline"/>
        </w:rPr>
        <w:t>the implementation of</w:t>
      </w:r>
      <w:r>
        <w:rPr>
          <w:spacing w:val="-1"/>
          <w:sz w:val="20"/>
          <w:vertAlign w:val="baseline"/>
        </w:rPr>
        <w:t> </w:t>
      </w:r>
      <w:r>
        <w:rPr>
          <w:sz w:val="20"/>
          <w:vertAlign w:val="baseline"/>
        </w:rPr>
        <w:t>the demonstration. CMS’s current approach is to include language in STCs requiring, as a condition of demonstration approval, that states provide, as part of their periodic reviews, regular reports of the actual costs which are subject to the budget neutrality</w:t>
      </w:r>
      <w:r>
        <w:rPr>
          <w:spacing w:val="-7"/>
          <w:sz w:val="20"/>
          <w:vertAlign w:val="baseline"/>
        </w:rPr>
        <w:t> </w:t>
      </w:r>
      <w:r>
        <w:rPr>
          <w:sz w:val="20"/>
          <w:vertAlign w:val="baseline"/>
        </w:rPr>
        <w:t>limit.</w:t>
      </w:r>
      <w:r>
        <w:rPr>
          <w:spacing w:val="-2"/>
          <w:sz w:val="20"/>
          <w:vertAlign w:val="baseline"/>
        </w:rPr>
        <w:t> </w:t>
      </w:r>
      <w:r>
        <w:rPr>
          <w:sz w:val="20"/>
          <w:vertAlign w:val="baseline"/>
        </w:rPr>
        <w:t>CMS</w:t>
      </w:r>
      <w:r>
        <w:rPr>
          <w:spacing w:val="-1"/>
          <w:sz w:val="20"/>
          <w:vertAlign w:val="baseline"/>
        </w:rPr>
        <w:t> </w:t>
      </w:r>
      <w:r>
        <w:rPr>
          <w:sz w:val="20"/>
          <w:vertAlign w:val="baseline"/>
        </w:rPr>
        <w:t>has</w:t>
      </w:r>
      <w:r>
        <w:rPr>
          <w:spacing w:val="-4"/>
          <w:sz w:val="20"/>
          <w:vertAlign w:val="baseline"/>
        </w:rPr>
        <w:t> </w:t>
      </w:r>
      <w:r>
        <w:rPr>
          <w:sz w:val="20"/>
          <w:vertAlign w:val="baseline"/>
        </w:rPr>
        <w:t>obtained</w:t>
      </w:r>
      <w:r>
        <w:rPr>
          <w:spacing w:val="-2"/>
          <w:sz w:val="20"/>
          <w:vertAlign w:val="baseline"/>
        </w:rPr>
        <w:t> </w:t>
      </w:r>
      <w:r>
        <w:rPr>
          <w:sz w:val="20"/>
          <w:vertAlign w:val="baseline"/>
        </w:rPr>
        <w:t>Office</w:t>
      </w:r>
      <w:r>
        <w:rPr>
          <w:spacing w:val="-3"/>
          <w:sz w:val="20"/>
          <w:vertAlign w:val="baseline"/>
        </w:rPr>
        <w:t> </w:t>
      </w:r>
      <w:r>
        <w:rPr>
          <w:sz w:val="20"/>
          <w:vertAlign w:val="baseline"/>
        </w:rPr>
        <w:t>of</w:t>
      </w:r>
      <w:r>
        <w:rPr>
          <w:spacing w:val="-5"/>
          <w:sz w:val="20"/>
          <w:vertAlign w:val="baseline"/>
        </w:rPr>
        <w:t> </w:t>
      </w:r>
      <w:r>
        <w:rPr>
          <w:sz w:val="20"/>
          <w:vertAlign w:val="baseline"/>
        </w:rPr>
        <w:t>Management</w:t>
      </w:r>
      <w:r>
        <w:rPr>
          <w:spacing w:val="-3"/>
          <w:sz w:val="20"/>
          <w:vertAlign w:val="baseline"/>
        </w:rPr>
        <w:t> </w:t>
      </w:r>
      <w:r>
        <w:rPr>
          <w:sz w:val="20"/>
          <w:vertAlign w:val="baseline"/>
        </w:rPr>
        <w:t>and</w:t>
      </w:r>
      <w:r>
        <w:rPr>
          <w:spacing w:val="-2"/>
          <w:sz w:val="20"/>
          <w:vertAlign w:val="baseline"/>
        </w:rPr>
        <w:t> </w:t>
      </w:r>
      <w:r>
        <w:rPr>
          <w:sz w:val="20"/>
          <w:vertAlign w:val="baseline"/>
        </w:rPr>
        <w:t>Budget</w:t>
      </w:r>
      <w:r>
        <w:rPr>
          <w:spacing w:val="-3"/>
          <w:sz w:val="20"/>
          <w:vertAlign w:val="baseline"/>
        </w:rPr>
        <w:t> </w:t>
      </w:r>
      <w:r>
        <w:rPr>
          <w:sz w:val="20"/>
          <w:vertAlign w:val="baseline"/>
        </w:rPr>
        <w:t>(OMB)</w:t>
      </w:r>
      <w:r>
        <w:rPr>
          <w:spacing w:val="-2"/>
          <w:sz w:val="20"/>
          <w:vertAlign w:val="baseline"/>
        </w:rPr>
        <w:t> </w:t>
      </w:r>
      <w:r>
        <w:rPr>
          <w:sz w:val="20"/>
          <w:vertAlign w:val="baseline"/>
        </w:rPr>
        <w:t>approval</w:t>
      </w:r>
      <w:r>
        <w:rPr>
          <w:spacing w:val="-3"/>
          <w:sz w:val="20"/>
          <w:vertAlign w:val="baseline"/>
        </w:rPr>
        <w:t> </w:t>
      </w:r>
      <w:r>
        <w:rPr>
          <w:sz w:val="20"/>
          <w:vertAlign w:val="baseline"/>
        </w:rPr>
        <w:t>of</w:t>
      </w:r>
      <w:r>
        <w:rPr>
          <w:spacing w:val="-5"/>
          <w:sz w:val="20"/>
          <w:vertAlign w:val="baseline"/>
        </w:rPr>
        <w:t> </w:t>
      </w:r>
      <w:r>
        <w:rPr>
          <w:sz w:val="20"/>
          <w:vertAlign w:val="baseline"/>
        </w:rPr>
        <w:t>the monitoring</w:t>
      </w:r>
      <w:r>
        <w:rPr>
          <w:spacing w:val="-4"/>
          <w:sz w:val="20"/>
          <w:vertAlign w:val="baseline"/>
        </w:rPr>
        <w:t> </w:t>
      </w:r>
      <w:r>
        <w:rPr>
          <w:sz w:val="20"/>
          <w:vertAlign w:val="baseline"/>
        </w:rPr>
        <w:t>tool</w:t>
      </w:r>
      <w:r>
        <w:rPr>
          <w:spacing w:val="-3"/>
          <w:sz w:val="20"/>
          <w:vertAlign w:val="baseline"/>
        </w:rPr>
        <w:t> </w:t>
      </w:r>
      <w:r>
        <w:rPr>
          <w:sz w:val="20"/>
          <w:vertAlign w:val="baseline"/>
        </w:rPr>
        <w:t>under the Paperwork Reduction Act (OMB Control No. 0938 – 1148) and states agree to use the tool as a condition of demonstration approval.</w:t>
      </w:r>
    </w:p>
    <w:p>
      <w:pPr>
        <w:spacing w:after="0"/>
        <w:jc w:val="left"/>
        <w:rPr>
          <w:sz w:val="20"/>
        </w:rPr>
        <w:sectPr>
          <w:pgSz w:w="12240" w:h="15840"/>
          <w:pgMar w:header="0" w:footer="1201" w:top="1360" w:bottom="1400" w:left="1200" w:right="1340"/>
        </w:sectPr>
      </w:pPr>
    </w:p>
    <w:p>
      <w:pPr>
        <w:pStyle w:val="BodyText"/>
        <w:spacing w:before="79"/>
        <w:ind w:left="1411" w:right="161"/>
      </w:pPr>
      <w:r>
        <w:rPr/>
        <w:t>with applicable federal, state, and local statutes, regulations, and policies, and that the</w:t>
      </w:r>
      <w:r>
        <w:rPr>
          <w:spacing w:val="-3"/>
        </w:rPr>
        <w:t> </w:t>
      </w:r>
      <w:r>
        <w:rPr/>
        <w:t>data</w:t>
      </w:r>
      <w:r>
        <w:rPr>
          <w:spacing w:val="-3"/>
        </w:rPr>
        <w:t> </w:t>
      </w:r>
      <w:r>
        <w:rPr/>
        <w:t>are</w:t>
      </w:r>
      <w:r>
        <w:rPr>
          <w:spacing w:val="-3"/>
        </w:rPr>
        <w:t> </w:t>
      </w:r>
      <w:r>
        <w:rPr/>
        <w:t>correct</w:t>
      </w:r>
      <w:r>
        <w:rPr>
          <w:spacing w:val="-2"/>
        </w:rPr>
        <w:t> </w:t>
      </w:r>
      <w:r>
        <w:rPr/>
        <w:t>to</w:t>
      </w:r>
      <w:r>
        <w:rPr>
          <w:spacing w:val="-2"/>
        </w:rPr>
        <w:t> </w:t>
      </w:r>
      <w:r>
        <w:rPr/>
        <w:t>the</w:t>
      </w:r>
      <w:r>
        <w:rPr>
          <w:spacing w:val="-3"/>
        </w:rPr>
        <w:t> </w:t>
      </w:r>
      <w:r>
        <w:rPr/>
        <w:t>best</w:t>
      </w:r>
      <w:r>
        <w:rPr>
          <w:spacing w:val="-2"/>
        </w:rPr>
        <w:t> </w:t>
      </w:r>
      <w:r>
        <w:rPr/>
        <w:t>of</w:t>
      </w:r>
      <w:r>
        <w:rPr>
          <w:spacing w:val="-3"/>
        </w:rPr>
        <w:t> </w:t>
      </w:r>
      <w:r>
        <w:rPr/>
        <w:t>the</w:t>
      </w:r>
      <w:r>
        <w:rPr>
          <w:spacing w:val="-3"/>
        </w:rPr>
        <w:t> </w:t>
      </w:r>
      <w:r>
        <w:rPr/>
        <w:t>state's</w:t>
      </w:r>
      <w:r>
        <w:rPr>
          <w:spacing w:val="-2"/>
        </w:rPr>
        <w:t> </w:t>
      </w:r>
      <w:r>
        <w:rPr/>
        <w:t>knowledge</w:t>
      </w:r>
      <w:r>
        <w:rPr>
          <w:spacing w:val="-3"/>
        </w:rPr>
        <w:t> </w:t>
      </w:r>
      <w:r>
        <w:rPr/>
        <w:t>and</w:t>
      </w:r>
      <w:r>
        <w:rPr>
          <w:spacing w:val="-2"/>
        </w:rPr>
        <w:t> </w:t>
      </w:r>
      <w:r>
        <w:rPr/>
        <w:t>belief.</w:t>
      </w:r>
      <w:r>
        <w:rPr>
          <w:spacing w:val="40"/>
        </w:rPr>
        <w:t> </w:t>
      </w:r>
      <w:r>
        <w:rPr/>
        <w:t>The</w:t>
      </w:r>
      <w:r>
        <w:rPr>
          <w:spacing w:val="-3"/>
        </w:rPr>
        <w:t> </w:t>
      </w:r>
      <w:r>
        <w:rPr/>
        <w:t>data</w:t>
      </w:r>
      <w:r>
        <w:rPr>
          <w:spacing w:val="-3"/>
        </w:rPr>
        <w:t> </w:t>
      </w:r>
      <w:r>
        <w:rPr/>
        <w:t>supplied by the state to set the budget neutrality expenditure limit are subject to review and audit, and if found to be inaccurate, will result in a modified budget neutrality expenditure limit.</w:t>
      </w:r>
    </w:p>
    <w:p>
      <w:pPr>
        <w:pStyle w:val="BodyText"/>
        <w:spacing w:before="10"/>
        <w:rPr>
          <w:sz w:val="20"/>
        </w:rPr>
      </w:pPr>
    </w:p>
    <w:p>
      <w:pPr>
        <w:pStyle w:val="BodyText"/>
        <w:ind w:left="871" w:right="124"/>
      </w:pPr>
      <w:r>
        <w:rPr/>
        <w:drawing>
          <wp:anchor distT="0" distB="0" distL="0" distR="0" allowOverlap="1" layoutInCell="1" locked="0" behindDoc="0" simplePos="0" relativeHeight="16102400">
            <wp:simplePos x="0" y="0"/>
            <wp:positionH relativeFrom="page">
              <wp:posOffset>832103</wp:posOffset>
            </wp:positionH>
            <wp:positionV relativeFrom="paragraph">
              <wp:posOffset>35612</wp:posOffset>
            </wp:positionV>
            <wp:extent cx="359663" cy="112763"/>
            <wp:effectExtent l="0" t="0" r="0" b="0"/>
            <wp:wrapNone/>
            <wp:docPr id="750" name="Image 750"/>
            <wp:cNvGraphicFramePr>
              <a:graphicFrameLocks/>
            </wp:cNvGraphicFramePr>
            <a:graphic>
              <a:graphicData uri="http://schemas.openxmlformats.org/drawingml/2006/picture">
                <pic:pic>
                  <pic:nvPicPr>
                    <pic:cNvPr id="750" name="Image 750"/>
                    <pic:cNvPicPr/>
                  </pic:nvPicPr>
                  <pic:blipFill>
                    <a:blip r:embed="rId292" cstate="print"/>
                    <a:stretch>
                      <a:fillRect/>
                    </a:stretch>
                  </pic:blipFill>
                  <pic:spPr>
                    <a:xfrm>
                      <a:off x="0" y="0"/>
                      <a:ext cx="359663" cy="112763"/>
                    </a:xfrm>
                    <a:prstGeom prst="rect">
                      <a:avLst/>
                    </a:prstGeom>
                  </pic:spPr>
                </pic:pic>
              </a:graphicData>
            </a:graphic>
          </wp:anchor>
        </w:drawing>
      </w:r>
      <w:bookmarkStart w:name="18.19. Budget Neutrality Mid-Course Corr" w:id="1057"/>
      <w:bookmarkEnd w:id="1057"/>
      <w:r>
        <w:rPr/>
      </w:r>
      <w:r>
        <w:rPr>
          <w:b/>
        </w:rPr>
        <w:t>Budget Neutrality Mid-Course Correction Adjustment Request.</w:t>
      </w:r>
      <w:r>
        <w:rPr>
          <w:b/>
          <w:spacing w:val="40"/>
        </w:rPr>
        <w:t> </w:t>
      </w:r>
      <w:r>
        <w:rPr/>
        <w:t>No more than once per demonstration year, the state may</w:t>
      </w:r>
      <w:r>
        <w:rPr>
          <w:spacing w:val="-3"/>
        </w:rPr>
        <w:t> </w:t>
      </w:r>
      <w:r>
        <w:rPr/>
        <w:t>request that CMS make an adjustment to its budget neutrality agreement based on changes to the state’s Medicaid expenditures that are unrelated to the demonstration and/or outside the state’s control, and/or that result from a new</w:t>
      </w:r>
      <w:r>
        <w:rPr>
          <w:spacing w:val="-4"/>
        </w:rPr>
        <w:t> </w:t>
      </w:r>
      <w:r>
        <w:rPr/>
        <w:t>expenditure</w:t>
      </w:r>
      <w:r>
        <w:rPr>
          <w:spacing w:val="-4"/>
        </w:rPr>
        <w:t> </w:t>
      </w:r>
      <w:r>
        <w:rPr/>
        <w:t>that</w:t>
      </w:r>
      <w:r>
        <w:rPr>
          <w:spacing w:val="-3"/>
        </w:rPr>
        <w:t> </w:t>
      </w:r>
      <w:r>
        <w:rPr/>
        <w:t>is</w:t>
      </w:r>
      <w:r>
        <w:rPr>
          <w:spacing w:val="-3"/>
        </w:rPr>
        <w:t> </w:t>
      </w:r>
      <w:r>
        <w:rPr/>
        <w:t>not</w:t>
      </w:r>
      <w:r>
        <w:rPr>
          <w:spacing w:val="-3"/>
        </w:rPr>
        <w:t> </w:t>
      </w:r>
      <w:r>
        <w:rPr/>
        <w:t>a</w:t>
      </w:r>
      <w:r>
        <w:rPr>
          <w:spacing w:val="-4"/>
        </w:rPr>
        <w:t> </w:t>
      </w:r>
      <w:r>
        <w:rPr/>
        <w:t>new</w:t>
      </w:r>
      <w:r>
        <w:rPr>
          <w:spacing w:val="-4"/>
        </w:rPr>
        <w:t> </w:t>
      </w:r>
      <w:r>
        <w:rPr/>
        <w:t>demonstration-covered</w:t>
      </w:r>
      <w:r>
        <w:rPr>
          <w:spacing w:val="-3"/>
        </w:rPr>
        <w:t> </w:t>
      </w:r>
      <w:r>
        <w:rPr/>
        <w:t>service</w:t>
      </w:r>
      <w:r>
        <w:rPr>
          <w:spacing w:val="-4"/>
        </w:rPr>
        <w:t> </w:t>
      </w:r>
      <w:r>
        <w:rPr/>
        <w:t>or</w:t>
      </w:r>
      <w:r>
        <w:rPr>
          <w:spacing w:val="-4"/>
        </w:rPr>
        <w:t> </w:t>
      </w:r>
      <w:r>
        <w:rPr/>
        <w:t>population</w:t>
      </w:r>
      <w:r>
        <w:rPr>
          <w:spacing w:val="-3"/>
        </w:rPr>
        <w:t> </w:t>
      </w:r>
      <w:r>
        <w:rPr/>
        <w:t>and</w:t>
      </w:r>
      <w:r>
        <w:rPr>
          <w:spacing w:val="-3"/>
        </w:rPr>
        <w:t> </w:t>
      </w:r>
      <w:r>
        <w:rPr/>
        <w:t>that</w:t>
      </w:r>
      <w:r>
        <w:rPr>
          <w:spacing w:val="-3"/>
        </w:rPr>
        <w:t> </w:t>
      </w:r>
      <w:r>
        <w:rPr/>
        <w:t>is likely to further strengthen access to care.</w:t>
      </w:r>
    </w:p>
    <w:p>
      <w:pPr>
        <w:pStyle w:val="BodyText"/>
        <w:spacing w:before="10"/>
        <w:rPr>
          <w:sz w:val="20"/>
        </w:rPr>
      </w:pPr>
    </w:p>
    <w:p>
      <w:pPr>
        <w:pStyle w:val="BodyText"/>
        <w:ind w:left="1411" w:right="167"/>
      </w:pPr>
      <w:r>
        <w:rPr/>
        <w:drawing>
          <wp:anchor distT="0" distB="0" distL="0" distR="0" allowOverlap="1" layoutInCell="1" locked="0" behindDoc="0" simplePos="0" relativeHeight="16102912">
            <wp:simplePos x="0" y="0"/>
            <wp:positionH relativeFrom="page">
              <wp:posOffset>1431036</wp:posOffset>
            </wp:positionH>
            <wp:positionV relativeFrom="paragraph">
              <wp:posOffset>67603</wp:posOffset>
            </wp:positionV>
            <wp:extent cx="96011" cy="80771"/>
            <wp:effectExtent l="0" t="0" r="0" b="0"/>
            <wp:wrapNone/>
            <wp:docPr id="751" name="Image 751"/>
            <wp:cNvGraphicFramePr>
              <a:graphicFrameLocks/>
            </wp:cNvGraphicFramePr>
            <a:graphic>
              <a:graphicData uri="http://schemas.openxmlformats.org/drawingml/2006/picture">
                <pic:pic>
                  <pic:nvPicPr>
                    <pic:cNvPr id="751" name="Image 751"/>
                    <pic:cNvPicPr/>
                  </pic:nvPicPr>
                  <pic:blipFill>
                    <a:blip r:embed="rId29" cstate="print"/>
                    <a:stretch>
                      <a:fillRect/>
                    </a:stretch>
                  </pic:blipFill>
                  <pic:spPr>
                    <a:xfrm>
                      <a:off x="0" y="0"/>
                      <a:ext cx="96011" cy="80771"/>
                    </a:xfrm>
                    <a:prstGeom prst="rect">
                      <a:avLst/>
                    </a:prstGeom>
                  </pic:spPr>
                </pic:pic>
              </a:graphicData>
            </a:graphic>
          </wp:anchor>
        </w:drawing>
      </w:r>
      <w:bookmarkStart w:name="a. Contents of Request and Process.  In " w:id="1058"/>
      <w:bookmarkEnd w:id="1058"/>
      <w:r>
        <w:rPr/>
      </w:r>
      <w:r>
        <w:rPr>
          <w:b/>
        </w:rPr>
        <w:t>Contents of Request and Process</w:t>
      </w:r>
      <w:r>
        <w:rPr/>
        <w:t>.</w:t>
      </w:r>
      <w:r>
        <w:rPr>
          <w:spacing w:val="40"/>
        </w:rPr>
        <w:t> </w:t>
      </w:r>
      <w:r>
        <w:rPr/>
        <w:t>In its request, the state must provide a description of the expenditure changes that led to the request, together with applicable</w:t>
      </w:r>
      <w:r>
        <w:rPr>
          <w:spacing w:val="-5"/>
        </w:rPr>
        <w:t> </w:t>
      </w:r>
      <w:r>
        <w:rPr/>
        <w:t>expenditure</w:t>
      </w:r>
      <w:r>
        <w:rPr>
          <w:spacing w:val="-5"/>
        </w:rPr>
        <w:t> </w:t>
      </w:r>
      <w:r>
        <w:rPr/>
        <w:t>data</w:t>
      </w:r>
      <w:r>
        <w:rPr>
          <w:spacing w:val="-5"/>
        </w:rPr>
        <w:t> </w:t>
      </w:r>
      <w:r>
        <w:rPr/>
        <w:t>demonstrating</w:t>
      </w:r>
      <w:r>
        <w:rPr>
          <w:spacing w:val="-6"/>
        </w:rPr>
        <w:t> </w:t>
      </w:r>
      <w:r>
        <w:rPr/>
        <w:t>that</w:t>
      </w:r>
      <w:r>
        <w:rPr>
          <w:spacing w:val="-4"/>
        </w:rPr>
        <w:t> </w:t>
      </w:r>
      <w:r>
        <w:rPr/>
        <w:t>due</w:t>
      </w:r>
      <w:r>
        <w:rPr>
          <w:spacing w:val="-5"/>
        </w:rPr>
        <w:t> </w:t>
      </w:r>
      <w:r>
        <w:rPr/>
        <w:t>to</w:t>
      </w:r>
      <w:r>
        <w:rPr>
          <w:spacing w:val="-4"/>
        </w:rPr>
        <w:t> </w:t>
      </w:r>
      <w:r>
        <w:rPr/>
        <w:t>these</w:t>
      </w:r>
      <w:r>
        <w:rPr>
          <w:spacing w:val="-5"/>
        </w:rPr>
        <w:t> </w:t>
      </w:r>
      <w:r>
        <w:rPr/>
        <w:t>expenditures,</w:t>
      </w:r>
      <w:r>
        <w:rPr>
          <w:spacing w:val="-4"/>
        </w:rPr>
        <w:t> </w:t>
      </w:r>
      <w:r>
        <w:rPr/>
        <w:t>the</w:t>
      </w:r>
      <w:r>
        <w:rPr>
          <w:spacing w:val="-5"/>
        </w:rPr>
        <w:t> </w:t>
      </w:r>
      <w:r>
        <w:rPr/>
        <w:t>state’s actual costs have exceeded the budget neutrality cost limits established at demonstration approval.</w:t>
      </w:r>
      <w:r>
        <w:rPr>
          <w:spacing w:val="40"/>
        </w:rPr>
        <w:t> </w:t>
      </w:r>
      <w:r>
        <w:rPr/>
        <w:t>The state must also submit the budget neutrality update described in STC 18.19.c.</w:t>
      </w:r>
      <w:r>
        <w:rPr>
          <w:spacing w:val="40"/>
        </w:rPr>
        <w:t> </w:t>
      </w:r>
      <w:r>
        <w:rPr/>
        <w:t>If approved, an adjustment could be applied retrospectively to when the state began incurring the relevant expenditures, if appropriate.</w:t>
      </w:r>
      <w:r>
        <w:rPr>
          <w:spacing w:val="40"/>
        </w:rPr>
        <w:t> </w:t>
      </w:r>
      <w:r>
        <w:rPr/>
        <w:t>Within 120 days of acknowledging receipt of the request, CMS will determine whether the state needs to submit an amendment pursuant to STC 3.7.</w:t>
      </w:r>
    </w:p>
    <w:p>
      <w:pPr>
        <w:pStyle w:val="BodyText"/>
        <w:ind w:left="1411" w:right="118"/>
      </w:pPr>
      <w:r>
        <w:rPr/>
        <w:t>CMS will evaluate each request based on its merit and will approve requests when the state establishes that an adjustment to its budget neutrality agreement is</w:t>
      </w:r>
      <w:r>
        <w:rPr>
          <w:spacing w:val="40"/>
        </w:rPr>
        <w:t> </w:t>
      </w:r>
      <w:r>
        <w:rPr/>
        <w:t>necessary due to changes to the state’s Medicaid expenditures that are unrelated to the demonstration and/or outside of the state’s control, and/or that result from a new expenditure</w:t>
      </w:r>
      <w:r>
        <w:rPr>
          <w:spacing w:val="-4"/>
        </w:rPr>
        <w:t> </w:t>
      </w:r>
      <w:r>
        <w:rPr/>
        <w:t>that</w:t>
      </w:r>
      <w:r>
        <w:rPr>
          <w:spacing w:val="-3"/>
        </w:rPr>
        <w:t> </w:t>
      </w:r>
      <w:r>
        <w:rPr/>
        <w:t>is</w:t>
      </w:r>
      <w:r>
        <w:rPr>
          <w:spacing w:val="-3"/>
        </w:rPr>
        <w:t> </w:t>
      </w:r>
      <w:r>
        <w:rPr/>
        <w:t>not</w:t>
      </w:r>
      <w:r>
        <w:rPr>
          <w:spacing w:val="-3"/>
        </w:rPr>
        <w:t> </w:t>
      </w:r>
      <w:r>
        <w:rPr/>
        <w:t>a</w:t>
      </w:r>
      <w:r>
        <w:rPr>
          <w:spacing w:val="-4"/>
        </w:rPr>
        <w:t> </w:t>
      </w:r>
      <w:r>
        <w:rPr/>
        <w:t>new</w:t>
      </w:r>
      <w:r>
        <w:rPr>
          <w:spacing w:val="-4"/>
        </w:rPr>
        <w:t> </w:t>
      </w:r>
      <w:r>
        <w:rPr/>
        <w:t>demonstration-covered</w:t>
      </w:r>
      <w:r>
        <w:rPr>
          <w:spacing w:val="-3"/>
        </w:rPr>
        <w:t> </w:t>
      </w:r>
      <w:r>
        <w:rPr/>
        <w:t>service</w:t>
      </w:r>
      <w:r>
        <w:rPr>
          <w:spacing w:val="-4"/>
        </w:rPr>
        <w:t> </w:t>
      </w:r>
      <w:r>
        <w:rPr/>
        <w:t>or</w:t>
      </w:r>
      <w:r>
        <w:rPr>
          <w:spacing w:val="-4"/>
        </w:rPr>
        <w:t> </w:t>
      </w:r>
      <w:r>
        <w:rPr/>
        <w:t>population</w:t>
      </w:r>
      <w:r>
        <w:rPr>
          <w:spacing w:val="-1"/>
        </w:rPr>
        <w:t> </w:t>
      </w:r>
      <w:r>
        <w:rPr/>
        <w:t>and</w:t>
      </w:r>
      <w:r>
        <w:rPr>
          <w:spacing w:val="-3"/>
        </w:rPr>
        <w:t> </w:t>
      </w:r>
      <w:r>
        <w:rPr/>
        <w:t>that</w:t>
      </w:r>
      <w:r>
        <w:rPr>
          <w:spacing w:val="-3"/>
        </w:rPr>
        <w:t> </w:t>
      </w:r>
      <w:r>
        <w:rPr/>
        <w:t>is likely to further strengthen access to care.</w:t>
      </w:r>
    </w:p>
    <w:p>
      <w:pPr>
        <w:pStyle w:val="BodyText"/>
        <w:spacing w:before="10"/>
        <w:rPr>
          <w:sz w:val="20"/>
        </w:rPr>
      </w:pPr>
    </w:p>
    <w:p>
      <w:pPr>
        <w:pStyle w:val="BodyText"/>
        <w:spacing w:before="1"/>
        <w:ind w:left="1411" w:right="167"/>
      </w:pPr>
      <w:r>
        <w:rPr/>
        <w:drawing>
          <wp:anchor distT="0" distB="0" distL="0" distR="0" allowOverlap="1" layoutInCell="1" locked="0" behindDoc="0" simplePos="0" relativeHeight="16103424">
            <wp:simplePos x="0" y="0"/>
            <wp:positionH relativeFrom="page">
              <wp:posOffset>1424939</wp:posOffset>
            </wp:positionH>
            <wp:positionV relativeFrom="paragraph">
              <wp:posOffset>33186</wp:posOffset>
            </wp:positionV>
            <wp:extent cx="111251" cy="115823"/>
            <wp:effectExtent l="0" t="0" r="0" b="0"/>
            <wp:wrapNone/>
            <wp:docPr id="752" name="Image 752"/>
            <wp:cNvGraphicFramePr>
              <a:graphicFrameLocks/>
            </wp:cNvGraphicFramePr>
            <a:graphic>
              <a:graphicData uri="http://schemas.openxmlformats.org/drawingml/2006/picture">
                <pic:pic>
                  <pic:nvPicPr>
                    <pic:cNvPr id="752" name="Image 752"/>
                    <pic:cNvPicPr/>
                  </pic:nvPicPr>
                  <pic:blipFill>
                    <a:blip r:embed="rId105" cstate="print"/>
                    <a:stretch>
                      <a:fillRect/>
                    </a:stretch>
                  </pic:blipFill>
                  <pic:spPr>
                    <a:xfrm>
                      <a:off x="0" y="0"/>
                      <a:ext cx="111251" cy="115823"/>
                    </a:xfrm>
                    <a:prstGeom prst="rect">
                      <a:avLst/>
                    </a:prstGeom>
                  </pic:spPr>
                </pic:pic>
              </a:graphicData>
            </a:graphic>
          </wp:anchor>
        </w:drawing>
      </w:r>
      <w:bookmarkStart w:name="b. Types of Allowable Changes. Adjustmen" w:id="1059"/>
      <w:bookmarkEnd w:id="1059"/>
      <w:r>
        <w:rPr/>
      </w:r>
      <w:r>
        <w:rPr>
          <w:b/>
        </w:rPr>
        <w:t>Types of Allowable Changes. </w:t>
      </w:r>
      <w:r>
        <w:rPr/>
        <w:t>Adjustments will be made only for actual costs as reported</w:t>
      </w:r>
      <w:r>
        <w:rPr>
          <w:spacing w:val="-4"/>
        </w:rPr>
        <w:t> </w:t>
      </w:r>
      <w:r>
        <w:rPr/>
        <w:t>in</w:t>
      </w:r>
      <w:r>
        <w:rPr>
          <w:spacing w:val="-4"/>
        </w:rPr>
        <w:t> </w:t>
      </w:r>
      <w:r>
        <w:rPr/>
        <w:t>expenditure</w:t>
      </w:r>
      <w:r>
        <w:rPr>
          <w:spacing w:val="-5"/>
        </w:rPr>
        <w:t> </w:t>
      </w:r>
      <w:r>
        <w:rPr/>
        <w:t>data.</w:t>
      </w:r>
      <w:r>
        <w:rPr>
          <w:spacing w:val="-4"/>
        </w:rPr>
        <w:t> </w:t>
      </w:r>
      <w:r>
        <w:rPr/>
        <w:t>CMS</w:t>
      </w:r>
      <w:r>
        <w:rPr>
          <w:spacing w:val="-4"/>
        </w:rPr>
        <w:t> </w:t>
      </w:r>
      <w:r>
        <w:rPr/>
        <w:t>will</w:t>
      </w:r>
      <w:r>
        <w:rPr>
          <w:spacing w:val="-4"/>
        </w:rPr>
        <w:t> </w:t>
      </w:r>
      <w:r>
        <w:rPr/>
        <w:t>not</w:t>
      </w:r>
      <w:r>
        <w:rPr>
          <w:spacing w:val="-4"/>
        </w:rPr>
        <w:t> </w:t>
      </w:r>
      <w:r>
        <w:rPr/>
        <w:t>approve</w:t>
      </w:r>
      <w:r>
        <w:rPr>
          <w:spacing w:val="-5"/>
        </w:rPr>
        <w:t> </w:t>
      </w:r>
      <w:r>
        <w:rPr/>
        <w:t>mid-demonstration</w:t>
      </w:r>
      <w:r>
        <w:rPr>
          <w:spacing w:val="-4"/>
        </w:rPr>
        <w:t> </w:t>
      </w:r>
      <w:r>
        <w:rPr/>
        <w:t>adjustments for anticipated factors not yet reflected in such expenditure data. Examples of the types of mid-course adjustments that CMS might approve include the following:</w:t>
      </w:r>
    </w:p>
    <w:p>
      <w:pPr>
        <w:pStyle w:val="BodyText"/>
        <w:spacing w:before="9"/>
        <w:rPr>
          <w:sz w:val="20"/>
        </w:rPr>
      </w:pPr>
    </w:p>
    <w:p>
      <w:pPr>
        <w:pStyle w:val="BodyText"/>
        <w:spacing w:before="1"/>
        <w:ind w:left="2040"/>
      </w:pPr>
      <w:r>
        <w:rPr/>
        <w:drawing>
          <wp:anchor distT="0" distB="0" distL="0" distR="0" allowOverlap="1" layoutInCell="1" locked="0" behindDoc="0" simplePos="0" relativeHeight="16103936">
            <wp:simplePos x="0" y="0"/>
            <wp:positionH relativeFrom="page">
              <wp:posOffset>1862327</wp:posOffset>
            </wp:positionH>
            <wp:positionV relativeFrom="paragraph">
              <wp:posOffset>33186</wp:posOffset>
            </wp:positionV>
            <wp:extent cx="73151" cy="115823"/>
            <wp:effectExtent l="0" t="0" r="0" b="0"/>
            <wp:wrapNone/>
            <wp:docPr id="753" name="Image 753"/>
            <wp:cNvGraphicFramePr>
              <a:graphicFrameLocks/>
            </wp:cNvGraphicFramePr>
            <a:graphic>
              <a:graphicData uri="http://schemas.openxmlformats.org/drawingml/2006/picture">
                <pic:pic>
                  <pic:nvPicPr>
                    <pic:cNvPr id="753" name="Image 753"/>
                    <pic:cNvPicPr/>
                  </pic:nvPicPr>
                  <pic:blipFill>
                    <a:blip r:embed="rId61" cstate="print"/>
                    <a:stretch>
                      <a:fillRect/>
                    </a:stretch>
                  </pic:blipFill>
                  <pic:spPr>
                    <a:xfrm>
                      <a:off x="0" y="0"/>
                      <a:ext cx="73151" cy="115823"/>
                    </a:xfrm>
                    <a:prstGeom prst="rect">
                      <a:avLst/>
                    </a:prstGeom>
                  </pic:spPr>
                </pic:pic>
              </a:graphicData>
            </a:graphic>
          </wp:anchor>
        </w:drawing>
      </w:r>
      <w:bookmarkStart w:name="i. Provider rate increases that are anti" w:id="1060"/>
      <w:bookmarkEnd w:id="1060"/>
      <w:r>
        <w:rPr/>
      </w:r>
      <w:r>
        <w:rPr/>
        <w:t>Provider</w:t>
      </w:r>
      <w:r>
        <w:rPr>
          <w:spacing w:val="-5"/>
        </w:rPr>
        <w:t> </w:t>
      </w:r>
      <w:r>
        <w:rPr/>
        <w:t>rate</w:t>
      </w:r>
      <w:r>
        <w:rPr>
          <w:spacing w:val="-3"/>
        </w:rPr>
        <w:t> </w:t>
      </w:r>
      <w:r>
        <w:rPr/>
        <w:t>increases</w:t>
      </w:r>
      <w:r>
        <w:rPr>
          <w:spacing w:val="-1"/>
        </w:rPr>
        <w:t> </w:t>
      </w:r>
      <w:r>
        <w:rPr/>
        <w:t>that</w:t>
      </w:r>
      <w:r>
        <w:rPr>
          <w:spacing w:val="-2"/>
        </w:rPr>
        <w:t> </w:t>
      </w:r>
      <w:r>
        <w:rPr/>
        <w:t>are anticipated</w:t>
      </w:r>
      <w:r>
        <w:rPr>
          <w:spacing w:val="-2"/>
        </w:rPr>
        <w:t> </w:t>
      </w:r>
      <w:r>
        <w:rPr/>
        <w:t>to</w:t>
      </w:r>
      <w:r>
        <w:rPr>
          <w:spacing w:val="-1"/>
        </w:rPr>
        <w:t> </w:t>
      </w:r>
      <w:r>
        <w:rPr/>
        <w:t>further</w:t>
      </w:r>
      <w:r>
        <w:rPr>
          <w:spacing w:val="-3"/>
        </w:rPr>
        <w:t> </w:t>
      </w:r>
      <w:r>
        <w:rPr/>
        <w:t>strengthen</w:t>
      </w:r>
      <w:r>
        <w:rPr>
          <w:spacing w:val="1"/>
        </w:rPr>
        <w:t> </w:t>
      </w:r>
      <w:r>
        <w:rPr/>
        <w:t>access</w:t>
      </w:r>
      <w:r>
        <w:rPr>
          <w:spacing w:val="-2"/>
        </w:rPr>
        <w:t> </w:t>
      </w:r>
      <w:r>
        <w:rPr/>
        <w:t>to</w:t>
      </w:r>
      <w:r>
        <w:rPr>
          <w:spacing w:val="-1"/>
        </w:rPr>
        <w:t> </w:t>
      </w:r>
      <w:r>
        <w:rPr>
          <w:spacing w:val="-2"/>
        </w:rPr>
        <w:t>care;</w:t>
      </w:r>
    </w:p>
    <w:p>
      <w:pPr>
        <w:pStyle w:val="BodyText"/>
        <w:spacing w:before="158"/>
        <w:ind w:left="2040" w:right="167"/>
      </w:pPr>
      <w:r>
        <w:rPr/>
        <w:drawing>
          <wp:anchor distT="0" distB="0" distL="0" distR="0" allowOverlap="1" layoutInCell="1" locked="0" behindDoc="0" simplePos="0" relativeHeight="16104448">
            <wp:simplePos x="0" y="0"/>
            <wp:positionH relativeFrom="page">
              <wp:posOffset>1819655</wp:posOffset>
            </wp:positionH>
            <wp:positionV relativeFrom="paragraph">
              <wp:posOffset>132881</wp:posOffset>
            </wp:positionV>
            <wp:extent cx="115823" cy="115823"/>
            <wp:effectExtent l="0" t="0" r="0" b="0"/>
            <wp:wrapNone/>
            <wp:docPr id="754" name="Image 754"/>
            <wp:cNvGraphicFramePr>
              <a:graphicFrameLocks/>
            </wp:cNvGraphicFramePr>
            <a:graphic>
              <a:graphicData uri="http://schemas.openxmlformats.org/drawingml/2006/picture">
                <pic:pic>
                  <pic:nvPicPr>
                    <pic:cNvPr id="754" name="Image 754"/>
                    <pic:cNvPicPr/>
                  </pic:nvPicPr>
                  <pic:blipFill>
                    <a:blip r:embed="rId62" cstate="print"/>
                    <a:stretch>
                      <a:fillRect/>
                    </a:stretch>
                  </pic:blipFill>
                  <pic:spPr>
                    <a:xfrm>
                      <a:off x="0" y="0"/>
                      <a:ext cx="115823" cy="115823"/>
                    </a:xfrm>
                    <a:prstGeom prst="rect">
                      <a:avLst/>
                    </a:prstGeom>
                  </pic:spPr>
                </pic:pic>
              </a:graphicData>
            </a:graphic>
          </wp:anchor>
        </w:drawing>
      </w:r>
      <w:bookmarkStart w:name="ii. CMS or State technical errors in the" w:id="1061"/>
      <w:bookmarkEnd w:id="1061"/>
      <w:r>
        <w:rPr/>
      </w:r>
      <w:r>
        <w:rPr/>
        <w:t>CMS or State technical errors in the original budget neutrality formulation applied retrospectively, including, but not limited to the following: mathematical</w:t>
      </w:r>
      <w:r>
        <w:rPr>
          <w:spacing w:val="-4"/>
        </w:rPr>
        <w:t> </w:t>
      </w:r>
      <w:r>
        <w:rPr/>
        <w:t>errors,</w:t>
      </w:r>
      <w:r>
        <w:rPr>
          <w:spacing w:val="-4"/>
        </w:rPr>
        <w:t> </w:t>
      </w:r>
      <w:r>
        <w:rPr/>
        <w:t>such</w:t>
      </w:r>
      <w:r>
        <w:rPr>
          <w:spacing w:val="-4"/>
        </w:rPr>
        <w:t> </w:t>
      </w:r>
      <w:r>
        <w:rPr/>
        <w:t>as</w:t>
      </w:r>
      <w:r>
        <w:rPr>
          <w:spacing w:val="-4"/>
        </w:rPr>
        <w:t> </w:t>
      </w:r>
      <w:r>
        <w:rPr/>
        <w:t>not</w:t>
      </w:r>
      <w:r>
        <w:rPr>
          <w:spacing w:val="-4"/>
        </w:rPr>
        <w:t> </w:t>
      </w:r>
      <w:r>
        <w:rPr/>
        <w:t>aging</w:t>
      </w:r>
      <w:r>
        <w:rPr>
          <w:spacing w:val="-7"/>
        </w:rPr>
        <w:t> </w:t>
      </w:r>
      <w:r>
        <w:rPr/>
        <w:t>data</w:t>
      </w:r>
      <w:r>
        <w:rPr>
          <w:spacing w:val="-5"/>
        </w:rPr>
        <w:t> </w:t>
      </w:r>
      <w:r>
        <w:rPr/>
        <w:t>correctly;</w:t>
      </w:r>
      <w:r>
        <w:rPr>
          <w:spacing w:val="-4"/>
        </w:rPr>
        <w:t> </w:t>
      </w:r>
      <w:r>
        <w:rPr/>
        <w:t>or</w:t>
      </w:r>
      <w:r>
        <w:rPr>
          <w:spacing w:val="-5"/>
        </w:rPr>
        <w:t> </w:t>
      </w:r>
      <w:r>
        <w:rPr/>
        <w:t>unintended</w:t>
      </w:r>
      <w:r>
        <w:rPr>
          <w:spacing w:val="-4"/>
        </w:rPr>
        <w:t> </w:t>
      </w:r>
      <w:r>
        <w:rPr/>
        <w:t>omission of certain applicable costs of services for individual MEGs;</w:t>
      </w:r>
    </w:p>
    <w:p>
      <w:pPr>
        <w:pStyle w:val="BodyText"/>
        <w:spacing w:before="161"/>
        <w:ind w:left="2040" w:right="167"/>
      </w:pPr>
      <w:r>
        <w:rPr/>
        <w:drawing>
          <wp:anchor distT="0" distB="0" distL="0" distR="0" allowOverlap="1" layoutInCell="1" locked="0" behindDoc="0" simplePos="0" relativeHeight="16104960">
            <wp:simplePos x="0" y="0"/>
            <wp:positionH relativeFrom="page">
              <wp:posOffset>1778507</wp:posOffset>
            </wp:positionH>
            <wp:positionV relativeFrom="paragraph">
              <wp:posOffset>134786</wp:posOffset>
            </wp:positionV>
            <wp:extent cx="158495" cy="115823"/>
            <wp:effectExtent l="0" t="0" r="0" b="0"/>
            <wp:wrapNone/>
            <wp:docPr id="755" name="Image 755"/>
            <wp:cNvGraphicFramePr>
              <a:graphicFrameLocks/>
            </wp:cNvGraphicFramePr>
            <a:graphic>
              <a:graphicData uri="http://schemas.openxmlformats.org/drawingml/2006/picture">
                <pic:pic>
                  <pic:nvPicPr>
                    <pic:cNvPr id="755" name="Image 755"/>
                    <pic:cNvPicPr/>
                  </pic:nvPicPr>
                  <pic:blipFill>
                    <a:blip r:embed="rId65" cstate="print"/>
                    <a:stretch>
                      <a:fillRect/>
                    </a:stretch>
                  </pic:blipFill>
                  <pic:spPr>
                    <a:xfrm>
                      <a:off x="0" y="0"/>
                      <a:ext cx="158495" cy="115823"/>
                    </a:xfrm>
                    <a:prstGeom prst="rect">
                      <a:avLst/>
                    </a:prstGeom>
                  </pic:spPr>
                </pic:pic>
              </a:graphicData>
            </a:graphic>
          </wp:anchor>
        </w:drawing>
      </w:r>
      <w:bookmarkStart w:name="iii. Changes in federal statute or regul" w:id="1062"/>
      <w:bookmarkEnd w:id="1062"/>
      <w:r>
        <w:rPr/>
      </w:r>
      <w:r>
        <w:rPr/>
        <w:t>Changes</w:t>
      </w:r>
      <w:r>
        <w:rPr>
          <w:spacing w:val="-4"/>
        </w:rPr>
        <w:t> </w:t>
      </w:r>
      <w:r>
        <w:rPr/>
        <w:t>in</w:t>
      </w:r>
      <w:r>
        <w:rPr>
          <w:spacing w:val="-3"/>
        </w:rPr>
        <w:t> </w:t>
      </w:r>
      <w:r>
        <w:rPr/>
        <w:t>federal</w:t>
      </w:r>
      <w:r>
        <w:rPr>
          <w:spacing w:val="-4"/>
        </w:rPr>
        <w:t> </w:t>
      </w:r>
      <w:r>
        <w:rPr/>
        <w:t>statute</w:t>
      </w:r>
      <w:r>
        <w:rPr>
          <w:spacing w:val="-5"/>
        </w:rPr>
        <w:t> </w:t>
      </w:r>
      <w:r>
        <w:rPr/>
        <w:t>or</w:t>
      </w:r>
      <w:r>
        <w:rPr>
          <w:spacing w:val="-5"/>
        </w:rPr>
        <w:t> </w:t>
      </w:r>
      <w:r>
        <w:rPr/>
        <w:t>regulations,</w:t>
      </w:r>
      <w:r>
        <w:rPr>
          <w:spacing w:val="-4"/>
        </w:rPr>
        <w:t> </w:t>
      </w:r>
      <w:r>
        <w:rPr/>
        <w:t>not</w:t>
      </w:r>
      <w:r>
        <w:rPr>
          <w:spacing w:val="-4"/>
        </w:rPr>
        <w:t> </w:t>
      </w:r>
      <w:r>
        <w:rPr/>
        <w:t>directly</w:t>
      </w:r>
      <w:r>
        <w:rPr>
          <w:spacing w:val="-9"/>
        </w:rPr>
        <w:t> </w:t>
      </w:r>
      <w:r>
        <w:rPr/>
        <w:t>associated</w:t>
      </w:r>
      <w:r>
        <w:rPr>
          <w:spacing w:val="-4"/>
        </w:rPr>
        <w:t> </w:t>
      </w:r>
      <w:r>
        <w:rPr/>
        <w:t>with Medicaid, which impact expenditures;</w:t>
      </w:r>
    </w:p>
    <w:p>
      <w:pPr>
        <w:pStyle w:val="BodyText"/>
        <w:spacing w:before="161"/>
        <w:ind w:left="2040" w:right="167"/>
      </w:pPr>
      <w:r>
        <w:rPr/>
        <w:drawing>
          <wp:anchor distT="0" distB="0" distL="0" distR="0" allowOverlap="1" layoutInCell="1" locked="0" behindDoc="0" simplePos="0" relativeHeight="16105472">
            <wp:simplePos x="0" y="0"/>
            <wp:positionH relativeFrom="page">
              <wp:posOffset>1786127</wp:posOffset>
            </wp:positionH>
            <wp:positionV relativeFrom="paragraph">
              <wp:posOffset>134786</wp:posOffset>
            </wp:positionV>
            <wp:extent cx="149339" cy="115823"/>
            <wp:effectExtent l="0" t="0" r="0" b="0"/>
            <wp:wrapNone/>
            <wp:docPr id="756" name="Image 756"/>
            <wp:cNvGraphicFramePr>
              <a:graphicFrameLocks/>
            </wp:cNvGraphicFramePr>
            <a:graphic>
              <a:graphicData uri="http://schemas.openxmlformats.org/drawingml/2006/picture">
                <pic:pic>
                  <pic:nvPicPr>
                    <pic:cNvPr id="756" name="Image 756"/>
                    <pic:cNvPicPr/>
                  </pic:nvPicPr>
                  <pic:blipFill>
                    <a:blip r:embed="rId96" cstate="print"/>
                    <a:stretch>
                      <a:fillRect/>
                    </a:stretch>
                  </pic:blipFill>
                  <pic:spPr>
                    <a:xfrm>
                      <a:off x="0" y="0"/>
                      <a:ext cx="149339" cy="115823"/>
                    </a:xfrm>
                    <a:prstGeom prst="rect">
                      <a:avLst/>
                    </a:prstGeom>
                  </pic:spPr>
                </pic:pic>
              </a:graphicData>
            </a:graphic>
          </wp:anchor>
        </w:drawing>
      </w:r>
      <w:bookmarkStart w:name="iv. State legislated or regulatory chang" w:id="1063"/>
      <w:bookmarkEnd w:id="1063"/>
      <w:r>
        <w:rPr/>
      </w:r>
      <w:r>
        <w:rPr/>
        <w:t>State</w:t>
      </w:r>
      <w:r>
        <w:rPr>
          <w:spacing w:val="-4"/>
        </w:rPr>
        <w:t> </w:t>
      </w:r>
      <w:r>
        <w:rPr/>
        <w:t>legislated</w:t>
      </w:r>
      <w:r>
        <w:rPr>
          <w:spacing w:val="-3"/>
        </w:rPr>
        <w:t> </w:t>
      </w:r>
      <w:r>
        <w:rPr/>
        <w:t>or</w:t>
      </w:r>
      <w:r>
        <w:rPr>
          <w:spacing w:val="-4"/>
        </w:rPr>
        <w:t> </w:t>
      </w:r>
      <w:r>
        <w:rPr/>
        <w:t>regulatory</w:t>
      </w:r>
      <w:r>
        <w:rPr>
          <w:spacing w:val="-6"/>
        </w:rPr>
        <w:t> </w:t>
      </w:r>
      <w:r>
        <w:rPr/>
        <w:t>change</w:t>
      </w:r>
      <w:r>
        <w:rPr>
          <w:spacing w:val="-4"/>
        </w:rPr>
        <w:t> </w:t>
      </w:r>
      <w:r>
        <w:rPr/>
        <w:t>to</w:t>
      </w:r>
      <w:r>
        <w:rPr>
          <w:spacing w:val="-3"/>
        </w:rPr>
        <w:t> </w:t>
      </w:r>
      <w:r>
        <w:rPr/>
        <w:t>Medicaid</w:t>
      </w:r>
      <w:r>
        <w:rPr>
          <w:spacing w:val="-3"/>
        </w:rPr>
        <w:t> </w:t>
      </w:r>
      <w:r>
        <w:rPr/>
        <w:t>that</w:t>
      </w:r>
      <w:r>
        <w:rPr>
          <w:spacing w:val="-3"/>
        </w:rPr>
        <w:t> </w:t>
      </w:r>
      <w:r>
        <w:rPr/>
        <w:t>significantly</w:t>
      </w:r>
      <w:r>
        <w:rPr>
          <w:spacing w:val="-6"/>
        </w:rPr>
        <w:t> </w:t>
      </w:r>
      <w:r>
        <w:rPr/>
        <w:t>affects</w:t>
      </w:r>
      <w:r>
        <w:rPr>
          <w:spacing w:val="-3"/>
        </w:rPr>
        <w:t> </w:t>
      </w:r>
      <w:r>
        <w:rPr/>
        <w:t>the costs of medical assistance;</w:t>
      </w:r>
    </w:p>
    <w:p>
      <w:pPr>
        <w:spacing w:after="0"/>
        <w:sectPr>
          <w:pgSz w:w="12240" w:h="15840"/>
          <w:pgMar w:header="0" w:footer="1201" w:top="1360" w:bottom="1400" w:left="1200" w:right="1340"/>
        </w:sectPr>
      </w:pPr>
    </w:p>
    <w:p>
      <w:pPr>
        <w:pStyle w:val="BodyText"/>
        <w:spacing w:before="79"/>
        <w:ind w:left="2040" w:right="167"/>
      </w:pPr>
      <w:r>
        <w:rPr/>
        <w:drawing>
          <wp:anchor distT="0" distB="0" distL="0" distR="0" allowOverlap="1" layoutInCell="1" locked="0" behindDoc="0" simplePos="0" relativeHeight="16105984">
            <wp:simplePos x="0" y="0"/>
            <wp:positionH relativeFrom="page">
              <wp:posOffset>1825751</wp:posOffset>
            </wp:positionH>
            <wp:positionV relativeFrom="paragraph">
              <wp:posOffset>120817</wp:posOffset>
            </wp:positionV>
            <wp:extent cx="109727" cy="77723"/>
            <wp:effectExtent l="0" t="0" r="0" b="0"/>
            <wp:wrapNone/>
            <wp:docPr id="757" name="Image 757"/>
            <wp:cNvGraphicFramePr>
              <a:graphicFrameLocks/>
            </wp:cNvGraphicFramePr>
            <a:graphic>
              <a:graphicData uri="http://schemas.openxmlformats.org/drawingml/2006/picture">
                <pic:pic>
                  <pic:nvPicPr>
                    <pic:cNvPr id="757" name="Image 757"/>
                    <pic:cNvPicPr/>
                  </pic:nvPicPr>
                  <pic:blipFill>
                    <a:blip r:embed="rId67" cstate="print"/>
                    <a:stretch>
                      <a:fillRect/>
                    </a:stretch>
                  </pic:blipFill>
                  <pic:spPr>
                    <a:xfrm>
                      <a:off x="0" y="0"/>
                      <a:ext cx="109727" cy="77723"/>
                    </a:xfrm>
                    <a:prstGeom prst="rect">
                      <a:avLst/>
                    </a:prstGeom>
                  </pic:spPr>
                </pic:pic>
              </a:graphicData>
            </a:graphic>
          </wp:anchor>
        </w:drawing>
      </w:r>
      <w:bookmarkStart w:name="v. When not already accounted for under " w:id="1064"/>
      <w:bookmarkEnd w:id="1064"/>
      <w:r>
        <w:rPr/>
      </w:r>
      <w:r>
        <w:rPr/>
        <w:t>When</w:t>
      </w:r>
      <w:r>
        <w:rPr>
          <w:spacing w:val="-4"/>
        </w:rPr>
        <w:t> </w:t>
      </w:r>
      <w:r>
        <w:rPr/>
        <w:t>not</w:t>
      </w:r>
      <w:r>
        <w:rPr>
          <w:spacing w:val="-4"/>
        </w:rPr>
        <w:t> </w:t>
      </w:r>
      <w:r>
        <w:rPr/>
        <w:t>already</w:t>
      </w:r>
      <w:r>
        <w:rPr>
          <w:spacing w:val="-9"/>
        </w:rPr>
        <w:t> </w:t>
      </w:r>
      <w:r>
        <w:rPr/>
        <w:t>accounted</w:t>
      </w:r>
      <w:r>
        <w:rPr>
          <w:spacing w:val="-4"/>
        </w:rPr>
        <w:t> </w:t>
      </w:r>
      <w:r>
        <w:rPr/>
        <w:t>for</w:t>
      </w:r>
      <w:r>
        <w:rPr>
          <w:spacing w:val="-5"/>
        </w:rPr>
        <w:t> </w:t>
      </w:r>
      <w:r>
        <w:rPr/>
        <w:t>under</w:t>
      </w:r>
      <w:r>
        <w:rPr>
          <w:spacing w:val="-3"/>
        </w:rPr>
        <w:t> </w:t>
      </w:r>
      <w:r>
        <w:rPr/>
        <w:t>Emergency</w:t>
      </w:r>
      <w:r>
        <w:rPr>
          <w:spacing w:val="-7"/>
        </w:rPr>
        <w:t> </w:t>
      </w:r>
      <w:r>
        <w:rPr/>
        <w:t>Medicaid</w:t>
      </w:r>
      <w:r>
        <w:rPr>
          <w:spacing w:val="-4"/>
        </w:rPr>
        <w:t> </w:t>
      </w:r>
      <w:r>
        <w:rPr/>
        <w:t>1115 demonstrations, cost impacts from public health emergencies;</w:t>
      </w:r>
    </w:p>
    <w:p>
      <w:pPr>
        <w:pStyle w:val="BodyText"/>
        <w:spacing w:before="161"/>
        <w:ind w:left="2040"/>
      </w:pPr>
      <w:r>
        <w:rPr/>
        <w:drawing>
          <wp:anchor distT="0" distB="0" distL="0" distR="0" allowOverlap="1" layoutInCell="1" locked="0" behindDoc="0" simplePos="0" relativeHeight="16106496">
            <wp:simplePos x="0" y="0"/>
            <wp:positionH relativeFrom="page">
              <wp:posOffset>1783079</wp:posOffset>
            </wp:positionH>
            <wp:positionV relativeFrom="paragraph">
              <wp:posOffset>134786</wp:posOffset>
            </wp:positionV>
            <wp:extent cx="152399" cy="115823"/>
            <wp:effectExtent l="0" t="0" r="0" b="0"/>
            <wp:wrapNone/>
            <wp:docPr id="758" name="Image 758"/>
            <wp:cNvGraphicFramePr>
              <a:graphicFrameLocks/>
            </wp:cNvGraphicFramePr>
            <a:graphic>
              <a:graphicData uri="http://schemas.openxmlformats.org/drawingml/2006/picture">
                <pic:pic>
                  <pic:nvPicPr>
                    <pic:cNvPr id="758" name="Image 758"/>
                    <pic:cNvPicPr/>
                  </pic:nvPicPr>
                  <pic:blipFill>
                    <a:blip r:embed="rId98" cstate="print"/>
                    <a:stretch>
                      <a:fillRect/>
                    </a:stretch>
                  </pic:blipFill>
                  <pic:spPr>
                    <a:xfrm>
                      <a:off x="0" y="0"/>
                      <a:ext cx="152399" cy="115823"/>
                    </a:xfrm>
                    <a:prstGeom prst="rect">
                      <a:avLst/>
                    </a:prstGeom>
                  </pic:spPr>
                </pic:pic>
              </a:graphicData>
            </a:graphic>
          </wp:anchor>
        </w:drawing>
      </w:r>
      <w:bookmarkStart w:name="vi. High cost innovative medical treatme" w:id="1065"/>
      <w:bookmarkEnd w:id="1065"/>
      <w:r>
        <w:rPr/>
      </w:r>
      <w:r>
        <w:rPr/>
        <w:t>High</w:t>
      </w:r>
      <w:r>
        <w:rPr>
          <w:spacing w:val="-4"/>
        </w:rPr>
        <w:t> </w:t>
      </w:r>
      <w:r>
        <w:rPr/>
        <w:t>cost</w:t>
      </w:r>
      <w:r>
        <w:rPr>
          <w:spacing w:val="-2"/>
        </w:rPr>
        <w:t> </w:t>
      </w:r>
      <w:r>
        <w:rPr/>
        <w:t>innovative</w:t>
      </w:r>
      <w:r>
        <w:rPr>
          <w:spacing w:val="-2"/>
        </w:rPr>
        <w:t> </w:t>
      </w:r>
      <w:r>
        <w:rPr/>
        <w:t>medical</w:t>
      </w:r>
      <w:r>
        <w:rPr>
          <w:spacing w:val="-2"/>
        </w:rPr>
        <w:t> </w:t>
      </w:r>
      <w:r>
        <w:rPr/>
        <w:t>treatments</w:t>
      </w:r>
      <w:r>
        <w:rPr>
          <w:spacing w:val="-2"/>
        </w:rPr>
        <w:t> </w:t>
      </w:r>
      <w:r>
        <w:rPr/>
        <w:t>that</w:t>
      </w:r>
      <w:r>
        <w:rPr>
          <w:spacing w:val="-1"/>
        </w:rPr>
        <w:t> </w:t>
      </w:r>
      <w:r>
        <w:rPr/>
        <w:t>states</w:t>
      </w:r>
      <w:r>
        <w:rPr>
          <w:spacing w:val="-2"/>
        </w:rPr>
        <w:t> </w:t>
      </w:r>
      <w:r>
        <w:rPr/>
        <w:t>are</w:t>
      </w:r>
      <w:r>
        <w:rPr>
          <w:spacing w:val="-3"/>
        </w:rPr>
        <w:t> </w:t>
      </w:r>
      <w:r>
        <w:rPr/>
        <w:t>required</w:t>
      </w:r>
      <w:r>
        <w:rPr>
          <w:spacing w:val="-1"/>
        </w:rPr>
        <w:t> </w:t>
      </w:r>
      <w:r>
        <w:rPr/>
        <w:t>to</w:t>
      </w:r>
      <w:r>
        <w:rPr>
          <w:spacing w:val="-2"/>
        </w:rPr>
        <w:t> </w:t>
      </w:r>
      <w:r>
        <w:rPr/>
        <w:t>cover;</w:t>
      </w:r>
      <w:r>
        <w:rPr>
          <w:spacing w:val="-1"/>
        </w:rPr>
        <w:t> </w:t>
      </w:r>
      <w:r>
        <w:rPr>
          <w:spacing w:val="-5"/>
        </w:rPr>
        <w:t>or,</w:t>
      </w:r>
    </w:p>
    <w:p>
      <w:pPr>
        <w:pStyle w:val="BodyText"/>
        <w:spacing w:before="158"/>
        <w:ind w:left="2040" w:right="167"/>
      </w:pPr>
      <w:r>
        <w:rPr/>
        <w:drawing>
          <wp:anchor distT="0" distB="0" distL="0" distR="0" allowOverlap="1" layoutInCell="1" locked="0" behindDoc="0" simplePos="0" relativeHeight="16107008">
            <wp:simplePos x="0" y="0"/>
            <wp:positionH relativeFrom="page">
              <wp:posOffset>1740407</wp:posOffset>
            </wp:positionH>
            <wp:positionV relativeFrom="paragraph">
              <wp:posOffset>132881</wp:posOffset>
            </wp:positionV>
            <wp:extent cx="195059" cy="115823"/>
            <wp:effectExtent l="0" t="0" r="0" b="0"/>
            <wp:wrapNone/>
            <wp:docPr id="759" name="Image 759"/>
            <wp:cNvGraphicFramePr>
              <a:graphicFrameLocks/>
            </wp:cNvGraphicFramePr>
            <a:graphic>
              <a:graphicData uri="http://schemas.openxmlformats.org/drawingml/2006/picture">
                <pic:pic>
                  <pic:nvPicPr>
                    <pic:cNvPr id="759" name="Image 759"/>
                    <pic:cNvPicPr/>
                  </pic:nvPicPr>
                  <pic:blipFill>
                    <a:blip r:embed="rId128" cstate="print"/>
                    <a:stretch>
                      <a:fillRect/>
                    </a:stretch>
                  </pic:blipFill>
                  <pic:spPr>
                    <a:xfrm>
                      <a:off x="0" y="0"/>
                      <a:ext cx="195059" cy="115823"/>
                    </a:xfrm>
                    <a:prstGeom prst="rect">
                      <a:avLst/>
                    </a:prstGeom>
                  </pic:spPr>
                </pic:pic>
              </a:graphicData>
            </a:graphic>
          </wp:anchor>
        </w:drawing>
      </w:r>
      <w:bookmarkStart w:name="vii. Corrections to coverage/service est" w:id="1066"/>
      <w:bookmarkEnd w:id="1066"/>
      <w:r>
        <w:rPr/>
      </w:r>
      <w:r>
        <w:rPr/>
        <w:t>Corrections to coverage/service estimates where there is no prior state experience</w:t>
      </w:r>
      <w:r>
        <w:rPr>
          <w:spacing w:val="-4"/>
        </w:rPr>
        <w:t> </w:t>
      </w:r>
      <w:r>
        <w:rPr/>
        <w:t>(e.g.,</w:t>
      </w:r>
      <w:r>
        <w:rPr>
          <w:spacing w:val="-3"/>
        </w:rPr>
        <w:t> </w:t>
      </w:r>
      <w:r>
        <w:rPr/>
        <w:t>SUD)</w:t>
      </w:r>
      <w:r>
        <w:rPr>
          <w:spacing w:val="-4"/>
        </w:rPr>
        <w:t> </w:t>
      </w:r>
      <w:r>
        <w:rPr/>
        <w:t>or</w:t>
      </w:r>
      <w:r>
        <w:rPr>
          <w:spacing w:val="-4"/>
        </w:rPr>
        <w:t> </w:t>
      </w:r>
      <w:r>
        <w:rPr/>
        <w:t>small</w:t>
      </w:r>
      <w:r>
        <w:rPr>
          <w:spacing w:val="-3"/>
        </w:rPr>
        <w:t> </w:t>
      </w:r>
      <w:r>
        <w:rPr/>
        <w:t>populations</w:t>
      </w:r>
      <w:r>
        <w:rPr>
          <w:spacing w:val="-3"/>
        </w:rPr>
        <w:t> </w:t>
      </w:r>
      <w:r>
        <w:rPr/>
        <w:t>where</w:t>
      </w:r>
      <w:r>
        <w:rPr>
          <w:spacing w:val="-4"/>
        </w:rPr>
        <w:t> </w:t>
      </w:r>
      <w:r>
        <w:rPr/>
        <w:t>expenditures</w:t>
      </w:r>
      <w:r>
        <w:rPr>
          <w:spacing w:val="-3"/>
        </w:rPr>
        <w:t> </w:t>
      </w:r>
      <w:r>
        <w:rPr/>
        <w:t>may</w:t>
      </w:r>
      <w:r>
        <w:rPr>
          <w:spacing w:val="-8"/>
        </w:rPr>
        <w:t> </w:t>
      </w:r>
      <w:r>
        <w:rPr/>
        <w:t>vary </w:t>
      </w:r>
      <w:r>
        <w:rPr>
          <w:spacing w:val="-2"/>
        </w:rPr>
        <w:t>widely.</w:t>
      </w:r>
    </w:p>
    <w:p>
      <w:pPr>
        <w:pStyle w:val="BodyText"/>
        <w:spacing w:before="202"/>
        <w:ind w:left="1411" w:right="167"/>
      </w:pPr>
      <w:r>
        <w:rPr/>
        <w:drawing>
          <wp:anchor distT="0" distB="0" distL="0" distR="0" allowOverlap="1" layoutInCell="1" locked="0" behindDoc="0" simplePos="0" relativeHeight="16107520">
            <wp:simplePos x="0" y="0"/>
            <wp:positionH relativeFrom="page">
              <wp:posOffset>1431036</wp:posOffset>
            </wp:positionH>
            <wp:positionV relativeFrom="paragraph">
              <wp:posOffset>195873</wp:posOffset>
            </wp:positionV>
            <wp:extent cx="96011" cy="80771"/>
            <wp:effectExtent l="0" t="0" r="0" b="0"/>
            <wp:wrapNone/>
            <wp:docPr id="760" name="Image 760"/>
            <wp:cNvGraphicFramePr>
              <a:graphicFrameLocks/>
            </wp:cNvGraphicFramePr>
            <a:graphic>
              <a:graphicData uri="http://schemas.openxmlformats.org/drawingml/2006/picture">
                <pic:pic>
                  <pic:nvPicPr>
                    <pic:cNvPr id="760" name="Image 760"/>
                    <pic:cNvPicPr/>
                  </pic:nvPicPr>
                  <pic:blipFill>
                    <a:blip r:embed="rId35" cstate="print"/>
                    <a:stretch>
                      <a:fillRect/>
                    </a:stretch>
                  </pic:blipFill>
                  <pic:spPr>
                    <a:xfrm>
                      <a:off x="0" y="0"/>
                      <a:ext cx="96011" cy="80771"/>
                    </a:xfrm>
                    <a:prstGeom prst="rect">
                      <a:avLst/>
                    </a:prstGeom>
                  </pic:spPr>
                </pic:pic>
              </a:graphicData>
            </a:graphic>
          </wp:anchor>
        </w:drawing>
      </w:r>
      <w:bookmarkStart w:name="c. Budget Neutrality Update. The state m" w:id="1067"/>
      <w:bookmarkEnd w:id="1067"/>
      <w:r>
        <w:rPr/>
      </w:r>
      <w:r>
        <w:rPr>
          <w:b/>
        </w:rPr>
        <w:t>Budget</w:t>
      </w:r>
      <w:r>
        <w:rPr>
          <w:b/>
          <w:spacing w:val="-4"/>
        </w:rPr>
        <w:t> </w:t>
      </w:r>
      <w:r>
        <w:rPr>
          <w:b/>
        </w:rPr>
        <w:t>Neutrality</w:t>
      </w:r>
      <w:r>
        <w:rPr>
          <w:b/>
          <w:spacing w:val="-3"/>
        </w:rPr>
        <w:t> </w:t>
      </w:r>
      <w:r>
        <w:rPr>
          <w:b/>
        </w:rPr>
        <w:t>Update.</w:t>
      </w:r>
      <w:r>
        <w:rPr>
          <w:b/>
          <w:spacing w:val="-4"/>
        </w:rPr>
        <w:t> </w:t>
      </w:r>
      <w:r>
        <w:rPr/>
        <w:t>The</w:t>
      </w:r>
      <w:r>
        <w:rPr>
          <w:spacing w:val="-4"/>
        </w:rPr>
        <w:t> </w:t>
      </w:r>
      <w:r>
        <w:rPr/>
        <w:t>state</w:t>
      </w:r>
      <w:r>
        <w:rPr>
          <w:spacing w:val="-4"/>
        </w:rPr>
        <w:t> </w:t>
      </w:r>
      <w:r>
        <w:rPr/>
        <w:t>must</w:t>
      </w:r>
      <w:r>
        <w:rPr>
          <w:spacing w:val="-3"/>
        </w:rPr>
        <w:t> </w:t>
      </w:r>
      <w:r>
        <w:rPr/>
        <w:t>submit</w:t>
      </w:r>
      <w:r>
        <w:rPr>
          <w:spacing w:val="-3"/>
        </w:rPr>
        <w:t> </w:t>
      </w:r>
      <w:r>
        <w:rPr/>
        <w:t>an</w:t>
      </w:r>
      <w:r>
        <w:rPr>
          <w:spacing w:val="-3"/>
        </w:rPr>
        <w:t> </w:t>
      </w:r>
      <w:r>
        <w:rPr/>
        <w:t>updated</w:t>
      </w:r>
      <w:r>
        <w:rPr>
          <w:spacing w:val="-3"/>
        </w:rPr>
        <w:t> </w:t>
      </w:r>
      <w:r>
        <w:rPr/>
        <w:t>budget</w:t>
      </w:r>
      <w:r>
        <w:rPr>
          <w:spacing w:val="-3"/>
        </w:rPr>
        <w:t> </w:t>
      </w:r>
      <w:r>
        <w:rPr/>
        <w:t>neutrality analysis with its adjustment request, which includes the following elements:</w:t>
      </w:r>
    </w:p>
    <w:p>
      <w:pPr>
        <w:pStyle w:val="BodyText"/>
        <w:spacing w:before="10"/>
        <w:rPr>
          <w:sz w:val="20"/>
        </w:rPr>
      </w:pPr>
    </w:p>
    <w:p>
      <w:pPr>
        <w:pStyle w:val="BodyText"/>
        <w:ind w:left="2040" w:right="112"/>
      </w:pPr>
      <w:r>
        <w:rPr/>
        <w:drawing>
          <wp:anchor distT="0" distB="0" distL="0" distR="0" allowOverlap="1" layoutInCell="1" locked="0" behindDoc="0" simplePos="0" relativeHeight="16108032">
            <wp:simplePos x="0" y="0"/>
            <wp:positionH relativeFrom="page">
              <wp:posOffset>1862327</wp:posOffset>
            </wp:positionH>
            <wp:positionV relativeFrom="paragraph">
              <wp:posOffset>32551</wp:posOffset>
            </wp:positionV>
            <wp:extent cx="73151" cy="115823"/>
            <wp:effectExtent l="0" t="0" r="0" b="0"/>
            <wp:wrapNone/>
            <wp:docPr id="761" name="Image 761"/>
            <wp:cNvGraphicFramePr>
              <a:graphicFrameLocks/>
            </wp:cNvGraphicFramePr>
            <a:graphic>
              <a:graphicData uri="http://schemas.openxmlformats.org/drawingml/2006/picture">
                <pic:pic>
                  <pic:nvPicPr>
                    <pic:cNvPr id="761" name="Image 761"/>
                    <pic:cNvPicPr/>
                  </pic:nvPicPr>
                  <pic:blipFill>
                    <a:blip r:embed="rId112" cstate="print"/>
                    <a:stretch>
                      <a:fillRect/>
                    </a:stretch>
                  </pic:blipFill>
                  <pic:spPr>
                    <a:xfrm>
                      <a:off x="0" y="0"/>
                      <a:ext cx="73151" cy="115823"/>
                    </a:xfrm>
                    <a:prstGeom prst="rect">
                      <a:avLst/>
                    </a:prstGeom>
                  </pic:spPr>
                </pic:pic>
              </a:graphicData>
            </a:graphic>
          </wp:anchor>
        </w:drawing>
      </w:r>
      <w:bookmarkStart w:name="i. Projected without waiver and with wai" w:id="1068"/>
      <w:bookmarkEnd w:id="1068"/>
      <w:r>
        <w:rPr/>
      </w:r>
      <w:r>
        <w:rPr/>
        <w:t>Projected without waiver and with waiver expenditures, estimated member months,</w:t>
      </w:r>
      <w:r>
        <w:rPr>
          <w:spacing w:val="-3"/>
        </w:rPr>
        <w:t> </w:t>
      </w:r>
      <w:r>
        <w:rPr/>
        <w:t>and</w:t>
      </w:r>
      <w:r>
        <w:rPr>
          <w:spacing w:val="-3"/>
        </w:rPr>
        <w:t> </w:t>
      </w:r>
      <w:r>
        <w:rPr/>
        <w:t>annual</w:t>
      </w:r>
      <w:r>
        <w:rPr>
          <w:spacing w:val="-3"/>
        </w:rPr>
        <w:t> </w:t>
      </w:r>
      <w:r>
        <w:rPr/>
        <w:t>limits</w:t>
      </w:r>
      <w:r>
        <w:rPr>
          <w:spacing w:val="-3"/>
        </w:rPr>
        <w:t> </w:t>
      </w:r>
      <w:r>
        <w:rPr/>
        <w:t>for</w:t>
      </w:r>
      <w:r>
        <w:rPr>
          <w:spacing w:val="-4"/>
        </w:rPr>
        <w:t> </w:t>
      </w:r>
      <w:r>
        <w:rPr/>
        <w:t>each</w:t>
      </w:r>
      <w:r>
        <w:rPr>
          <w:spacing w:val="-3"/>
        </w:rPr>
        <w:t> </w:t>
      </w:r>
      <w:r>
        <w:rPr/>
        <w:t>DY</w:t>
      </w:r>
      <w:r>
        <w:rPr>
          <w:spacing w:val="-4"/>
        </w:rPr>
        <w:t> </w:t>
      </w:r>
      <w:r>
        <w:rPr/>
        <w:t>through</w:t>
      </w:r>
      <w:r>
        <w:rPr>
          <w:spacing w:val="-3"/>
        </w:rPr>
        <w:t> </w:t>
      </w:r>
      <w:r>
        <w:rPr/>
        <w:t>the</w:t>
      </w:r>
      <w:r>
        <w:rPr>
          <w:spacing w:val="-4"/>
        </w:rPr>
        <w:t> </w:t>
      </w:r>
      <w:r>
        <w:rPr/>
        <w:t>end</w:t>
      </w:r>
      <w:r>
        <w:rPr>
          <w:spacing w:val="-3"/>
        </w:rPr>
        <w:t> </w:t>
      </w:r>
      <w:r>
        <w:rPr/>
        <w:t>of</w:t>
      </w:r>
      <w:r>
        <w:rPr>
          <w:spacing w:val="-4"/>
        </w:rPr>
        <w:t> </w:t>
      </w:r>
      <w:r>
        <w:rPr/>
        <w:t>the</w:t>
      </w:r>
      <w:r>
        <w:rPr>
          <w:spacing w:val="-2"/>
        </w:rPr>
        <w:t> </w:t>
      </w:r>
      <w:r>
        <w:rPr/>
        <w:t>approval</w:t>
      </w:r>
      <w:r>
        <w:rPr>
          <w:spacing w:val="-3"/>
        </w:rPr>
        <w:t> </w:t>
      </w:r>
      <w:r>
        <w:rPr/>
        <w:t>period; </w:t>
      </w:r>
      <w:r>
        <w:rPr>
          <w:spacing w:val="-4"/>
        </w:rPr>
        <w:t>and</w:t>
      </w:r>
    </w:p>
    <w:p>
      <w:pPr>
        <w:pStyle w:val="BodyText"/>
        <w:spacing w:before="158"/>
        <w:ind w:left="2040" w:right="167"/>
      </w:pPr>
      <w:r>
        <w:rPr/>
        <w:drawing>
          <wp:anchor distT="0" distB="0" distL="0" distR="0" allowOverlap="1" layoutInCell="1" locked="0" behindDoc="0" simplePos="0" relativeHeight="16108544">
            <wp:simplePos x="0" y="0"/>
            <wp:positionH relativeFrom="page">
              <wp:posOffset>1819655</wp:posOffset>
            </wp:positionH>
            <wp:positionV relativeFrom="paragraph">
              <wp:posOffset>132881</wp:posOffset>
            </wp:positionV>
            <wp:extent cx="115823" cy="115823"/>
            <wp:effectExtent l="0" t="0" r="0" b="0"/>
            <wp:wrapNone/>
            <wp:docPr id="762" name="Image 762"/>
            <wp:cNvGraphicFramePr>
              <a:graphicFrameLocks/>
            </wp:cNvGraphicFramePr>
            <a:graphic>
              <a:graphicData uri="http://schemas.openxmlformats.org/drawingml/2006/picture">
                <pic:pic>
                  <pic:nvPicPr>
                    <pic:cNvPr id="762" name="Image 762"/>
                    <pic:cNvPicPr/>
                  </pic:nvPicPr>
                  <pic:blipFill>
                    <a:blip r:embed="rId160" cstate="print"/>
                    <a:stretch>
                      <a:fillRect/>
                    </a:stretch>
                  </pic:blipFill>
                  <pic:spPr>
                    <a:xfrm>
                      <a:off x="0" y="0"/>
                      <a:ext cx="115823" cy="115823"/>
                    </a:xfrm>
                    <a:prstGeom prst="rect">
                      <a:avLst/>
                    </a:prstGeom>
                  </pic:spPr>
                </pic:pic>
              </a:graphicData>
            </a:graphic>
          </wp:anchor>
        </w:drawing>
      </w:r>
      <w:bookmarkStart w:name="ii. Description of the rationale for the" w:id="1069"/>
      <w:bookmarkEnd w:id="1069"/>
      <w:r>
        <w:rPr/>
      </w:r>
      <w:r>
        <w:rPr/>
        <w:t>Description of the rationale for the mid-course correction, including an explanation of why the request is based on changes to the state’s Medicaid expenditures</w:t>
      </w:r>
      <w:r>
        <w:rPr>
          <w:spacing w:val="-4"/>
        </w:rPr>
        <w:t> </w:t>
      </w:r>
      <w:r>
        <w:rPr/>
        <w:t>that</w:t>
      </w:r>
      <w:r>
        <w:rPr>
          <w:spacing w:val="-4"/>
        </w:rPr>
        <w:t> </w:t>
      </w:r>
      <w:r>
        <w:rPr/>
        <w:t>are</w:t>
      </w:r>
      <w:r>
        <w:rPr>
          <w:spacing w:val="-4"/>
        </w:rPr>
        <w:t> </w:t>
      </w:r>
      <w:r>
        <w:rPr/>
        <w:t>unrelated</w:t>
      </w:r>
      <w:r>
        <w:rPr>
          <w:spacing w:val="-4"/>
        </w:rPr>
        <w:t> </w:t>
      </w:r>
      <w:r>
        <w:rPr/>
        <w:t>to</w:t>
      </w:r>
      <w:r>
        <w:rPr>
          <w:spacing w:val="-4"/>
        </w:rPr>
        <w:t> </w:t>
      </w:r>
      <w:r>
        <w:rPr/>
        <w:t>the</w:t>
      </w:r>
      <w:r>
        <w:rPr>
          <w:spacing w:val="-4"/>
        </w:rPr>
        <w:t> </w:t>
      </w:r>
      <w:r>
        <w:rPr/>
        <w:t>demonstration</w:t>
      </w:r>
      <w:r>
        <w:rPr>
          <w:spacing w:val="-4"/>
        </w:rPr>
        <w:t> </w:t>
      </w:r>
      <w:r>
        <w:rPr/>
        <w:t>and/or</w:t>
      </w:r>
      <w:r>
        <w:rPr>
          <w:spacing w:val="-4"/>
        </w:rPr>
        <w:t> </w:t>
      </w:r>
      <w:r>
        <w:rPr/>
        <w:t>outside</w:t>
      </w:r>
      <w:r>
        <w:rPr>
          <w:spacing w:val="-4"/>
        </w:rPr>
        <w:t> </w:t>
      </w:r>
      <w:r>
        <w:rPr/>
        <w:t>the</w:t>
      </w:r>
      <w:r>
        <w:rPr>
          <w:spacing w:val="-4"/>
        </w:rPr>
        <w:t> </w:t>
      </w:r>
      <w:r>
        <w:rPr/>
        <w:t>state’s control, and/or is due to a new expenditure that is not a new demonstration- covered</w:t>
      </w:r>
      <w:r>
        <w:rPr>
          <w:spacing w:val="-3"/>
        </w:rPr>
        <w:t> </w:t>
      </w:r>
      <w:r>
        <w:rPr/>
        <w:t>service</w:t>
      </w:r>
      <w:r>
        <w:rPr>
          <w:spacing w:val="-4"/>
        </w:rPr>
        <w:t> </w:t>
      </w:r>
      <w:r>
        <w:rPr/>
        <w:t>or</w:t>
      </w:r>
      <w:r>
        <w:rPr>
          <w:spacing w:val="-4"/>
        </w:rPr>
        <w:t> </w:t>
      </w:r>
      <w:r>
        <w:rPr/>
        <w:t>population</w:t>
      </w:r>
      <w:r>
        <w:rPr>
          <w:spacing w:val="-3"/>
        </w:rPr>
        <w:t> </w:t>
      </w:r>
      <w:r>
        <w:rPr/>
        <w:t>and</w:t>
      </w:r>
      <w:r>
        <w:rPr>
          <w:spacing w:val="-3"/>
        </w:rPr>
        <w:t> </w:t>
      </w:r>
      <w:r>
        <w:rPr/>
        <w:t>that</w:t>
      </w:r>
      <w:r>
        <w:rPr>
          <w:spacing w:val="-3"/>
        </w:rPr>
        <w:t> </w:t>
      </w:r>
      <w:r>
        <w:rPr/>
        <w:t>is</w:t>
      </w:r>
      <w:r>
        <w:rPr>
          <w:spacing w:val="-3"/>
        </w:rPr>
        <w:t> </w:t>
      </w:r>
      <w:r>
        <w:rPr/>
        <w:t>likely</w:t>
      </w:r>
      <w:r>
        <w:rPr>
          <w:spacing w:val="-8"/>
        </w:rPr>
        <w:t> </w:t>
      </w:r>
      <w:r>
        <w:rPr/>
        <w:t>to</w:t>
      </w:r>
      <w:r>
        <w:rPr>
          <w:spacing w:val="-1"/>
        </w:rPr>
        <w:t> </w:t>
      </w:r>
      <w:r>
        <w:rPr/>
        <w:t>further</w:t>
      </w:r>
      <w:r>
        <w:rPr>
          <w:spacing w:val="-4"/>
        </w:rPr>
        <w:t> </w:t>
      </w:r>
      <w:r>
        <w:rPr/>
        <w:t>strengthen</w:t>
      </w:r>
      <w:r>
        <w:rPr>
          <w:spacing w:val="-3"/>
        </w:rPr>
        <w:t> </w:t>
      </w:r>
      <w:r>
        <w:rPr/>
        <w:t>access</w:t>
      </w:r>
      <w:r>
        <w:rPr>
          <w:spacing w:val="-1"/>
        </w:rPr>
        <w:t> </w:t>
      </w:r>
      <w:r>
        <w:rPr/>
        <w:t>to </w:t>
      </w:r>
      <w:r>
        <w:rPr>
          <w:spacing w:val="-2"/>
        </w:rPr>
        <w:t>care.</w:t>
      </w:r>
    </w:p>
    <w:p>
      <w:pPr>
        <w:pStyle w:val="BodyText"/>
        <w:rPr>
          <w:sz w:val="20"/>
        </w:rPr>
      </w:pPr>
    </w:p>
    <w:p>
      <w:pPr>
        <w:pStyle w:val="BodyText"/>
        <w:rPr>
          <w:sz w:val="20"/>
        </w:rPr>
      </w:pPr>
    </w:p>
    <w:p>
      <w:pPr>
        <w:pStyle w:val="Heading4"/>
        <w:numPr>
          <w:ilvl w:val="0"/>
          <w:numId w:val="3"/>
        </w:numPr>
        <w:tabs>
          <w:tab w:pos="600" w:val="left" w:leader="none"/>
        </w:tabs>
        <w:spacing w:line="240" w:lineRule="auto" w:before="217" w:after="0"/>
        <w:ind w:left="600" w:right="0" w:hanging="480"/>
        <w:jc w:val="left"/>
      </w:pPr>
      <w:bookmarkStart w:name="19. MONITORING BUDGET NEUTRALITY FOR THE" w:id="1070"/>
      <w:bookmarkEnd w:id="1070"/>
      <w:r>
        <w:rPr>
          <w:b w:val="0"/>
        </w:rPr>
      </w:r>
      <w:r>
        <w:rPr/>
        <w:t>MONITORING</w:t>
      </w:r>
      <w:r>
        <w:rPr>
          <w:spacing w:val="-7"/>
        </w:rPr>
        <w:t> </w:t>
      </w:r>
      <w:r>
        <w:rPr/>
        <w:t>BUDGET</w:t>
      </w:r>
      <w:r>
        <w:rPr>
          <w:spacing w:val="-2"/>
        </w:rPr>
        <w:t> </w:t>
      </w:r>
      <w:r>
        <w:rPr/>
        <w:t>NEUTRALITY</w:t>
      </w:r>
      <w:r>
        <w:rPr>
          <w:spacing w:val="-3"/>
        </w:rPr>
        <w:t> </w:t>
      </w:r>
      <w:r>
        <w:rPr/>
        <w:t>FOR</w:t>
      </w:r>
      <w:r>
        <w:rPr>
          <w:spacing w:val="-3"/>
        </w:rPr>
        <w:t> </w:t>
      </w:r>
      <w:r>
        <w:rPr/>
        <w:t>THE</w:t>
      </w:r>
      <w:r>
        <w:rPr>
          <w:spacing w:val="-2"/>
        </w:rPr>
        <w:t> DEMONSTRATION</w:t>
      </w:r>
    </w:p>
    <w:p>
      <w:pPr>
        <w:pStyle w:val="BodyText"/>
        <w:spacing w:before="10"/>
        <w:rPr>
          <w:b/>
          <w:sz w:val="20"/>
        </w:rPr>
      </w:pPr>
    </w:p>
    <w:p>
      <w:pPr>
        <w:pStyle w:val="BodyText"/>
        <w:ind w:left="871" w:right="167"/>
      </w:pPr>
      <w:r>
        <w:rPr/>
        <w:drawing>
          <wp:anchor distT="0" distB="0" distL="0" distR="0" allowOverlap="1" layoutInCell="1" locked="0" behindDoc="0" simplePos="0" relativeHeight="16109056">
            <wp:simplePos x="0" y="0"/>
            <wp:positionH relativeFrom="page">
              <wp:posOffset>908303</wp:posOffset>
            </wp:positionH>
            <wp:positionV relativeFrom="paragraph">
              <wp:posOffset>35612</wp:posOffset>
            </wp:positionV>
            <wp:extent cx="283463" cy="112763"/>
            <wp:effectExtent l="0" t="0" r="0" b="0"/>
            <wp:wrapNone/>
            <wp:docPr id="763" name="Image 763"/>
            <wp:cNvGraphicFramePr>
              <a:graphicFrameLocks/>
            </wp:cNvGraphicFramePr>
            <a:graphic>
              <a:graphicData uri="http://schemas.openxmlformats.org/drawingml/2006/picture">
                <pic:pic>
                  <pic:nvPicPr>
                    <pic:cNvPr id="763" name="Image 763"/>
                    <pic:cNvPicPr/>
                  </pic:nvPicPr>
                  <pic:blipFill>
                    <a:blip r:embed="rId293" cstate="print"/>
                    <a:stretch>
                      <a:fillRect/>
                    </a:stretch>
                  </pic:blipFill>
                  <pic:spPr>
                    <a:xfrm>
                      <a:off x="0" y="0"/>
                      <a:ext cx="283463" cy="112763"/>
                    </a:xfrm>
                    <a:prstGeom prst="rect">
                      <a:avLst/>
                    </a:prstGeom>
                  </pic:spPr>
                </pic:pic>
              </a:graphicData>
            </a:graphic>
          </wp:anchor>
        </w:drawing>
      </w:r>
      <w:bookmarkStart w:name="19.1. Limit on Title XIX Funding. The st" w:id="1071"/>
      <w:bookmarkEnd w:id="1071"/>
      <w:r>
        <w:rPr/>
      </w:r>
      <w:r>
        <w:rPr>
          <w:b/>
        </w:rPr>
        <w:t>Limit</w:t>
      </w:r>
      <w:r>
        <w:rPr>
          <w:b/>
          <w:spacing w:val="-4"/>
        </w:rPr>
        <w:t> </w:t>
      </w:r>
      <w:r>
        <w:rPr>
          <w:b/>
        </w:rPr>
        <w:t>on</w:t>
      </w:r>
      <w:r>
        <w:rPr>
          <w:b/>
          <w:spacing w:val="-3"/>
        </w:rPr>
        <w:t> </w:t>
      </w:r>
      <w:r>
        <w:rPr>
          <w:b/>
        </w:rPr>
        <w:t>Title</w:t>
      </w:r>
      <w:r>
        <w:rPr>
          <w:b/>
          <w:spacing w:val="-4"/>
        </w:rPr>
        <w:t> </w:t>
      </w:r>
      <w:r>
        <w:rPr>
          <w:b/>
        </w:rPr>
        <w:t>XIX</w:t>
      </w:r>
      <w:r>
        <w:rPr>
          <w:b/>
          <w:spacing w:val="-2"/>
        </w:rPr>
        <w:t> </w:t>
      </w:r>
      <w:r>
        <w:rPr>
          <w:b/>
        </w:rPr>
        <w:t>Funding.</w:t>
      </w:r>
      <w:r>
        <w:rPr>
          <w:b/>
          <w:spacing w:val="-3"/>
        </w:rPr>
        <w:t> </w:t>
      </w:r>
      <w:r>
        <w:rPr/>
        <w:t>The</w:t>
      </w:r>
      <w:r>
        <w:rPr>
          <w:spacing w:val="-4"/>
        </w:rPr>
        <w:t> </w:t>
      </w:r>
      <w:r>
        <w:rPr/>
        <w:t>state</w:t>
      </w:r>
      <w:r>
        <w:rPr>
          <w:spacing w:val="-4"/>
        </w:rPr>
        <w:t> </w:t>
      </w:r>
      <w:r>
        <w:rPr/>
        <w:t>will</w:t>
      </w:r>
      <w:r>
        <w:rPr>
          <w:spacing w:val="-3"/>
        </w:rPr>
        <w:t> </w:t>
      </w:r>
      <w:r>
        <w:rPr/>
        <w:t>be</w:t>
      </w:r>
      <w:r>
        <w:rPr>
          <w:spacing w:val="-4"/>
        </w:rPr>
        <w:t> </w:t>
      </w:r>
      <w:r>
        <w:rPr/>
        <w:t>subject</w:t>
      </w:r>
      <w:r>
        <w:rPr>
          <w:spacing w:val="-3"/>
        </w:rPr>
        <w:t> </w:t>
      </w:r>
      <w:r>
        <w:rPr/>
        <w:t>to</w:t>
      </w:r>
      <w:r>
        <w:rPr>
          <w:spacing w:val="-3"/>
        </w:rPr>
        <w:t> </w:t>
      </w:r>
      <w:r>
        <w:rPr/>
        <w:t>limits</w:t>
      </w:r>
      <w:r>
        <w:rPr>
          <w:spacing w:val="-3"/>
        </w:rPr>
        <w:t> </w:t>
      </w:r>
      <w:r>
        <w:rPr/>
        <w:t>on</w:t>
      </w:r>
      <w:r>
        <w:rPr>
          <w:spacing w:val="-3"/>
        </w:rPr>
        <w:t> </w:t>
      </w:r>
      <w:r>
        <w:rPr/>
        <w:t>the</w:t>
      </w:r>
      <w:r>
        <w:rPr>
          <w:spacing w:val="-4"/>
        </w:rPr>
        <w:t> </w:t>
      </w:r>
      <w:r>
        <w:rPr/>
        <w:t>amount</w:t>
      </w:r>
      <w:r>
        <w:rPr>
          <w:spacing w:val="-3"/>
        </w:rPr>
        <w:t> </w:t>
      </w:r>
      <w:r>
        <w:rPr/>
        <w:t>of</w:t>
      </w:r>
      <w:r>
        <w:rPr>
          <w:spacing w:val="-4"/>
        </w:rPr>
        <w:t> </w:t>
      </w:r>
      <w:r>
        <w:rPr/>
        <w:t>federal Medicaid funding the state may receive over the course of the demonstration approval.</w:t>
      </w:r>
    </w:p>
    <w:p>
      <w:pPr>
        <w:pStyle w:val="BodyText"/>
        <w:ind w:left="871" w:right="167"/>
      </w:pPr>
      <w:r>
        <w:rPr/>
        <w:t>The budget neutrality expenditure limits are based on projections of the amount of FFP that the state would likely</w:t>
      </w:r>
      <w:r>
        <w:rPr>
          <w:spacing w:val="-1"/>
        </w:rPr>
        <w:t> </w:t>
      </w:r>
      <w:r>
        <w:rPr/>
        <w:t>have received in the absence of the demonstration.</w:t>
      </w:r>
      <w:r>
        <w:rPr>
          <w:spacing w:val="40"/>
        </w:rPr>
        <w:t> </w:t>
      </w:r>
      <w:r>
        <w:rPr/>
        <w:t>The limit consists of a Main Budget Neutrality</w:t>
      </w:r>
      <w:r>
        <w:rPr>
          <w:spacing w:val="-1"/>
        </w:rPr>
        <w:t> </w:t>
      </w:r>
      <w:r>
        <w:rPr/>
        <w:t>Test, one or more Hypothetical Budget Neutrality Tests, and a Capped Hypothetical Budget Neutrality Test, if applicable, as described below.</w:t>
      </w:r>
      <w:r>
        <w:rPr>
          <w:spacing w:val="-3"/>
        </w:rPr>
        <w:t> </w:t>
      </w:r>
      <w:r>
        <w:rPr/>
        <w:t>CMS’s</w:t>
      </w:r>
      <w:r>
        <w:rPr>
          <w:spacing w:val="-3"/>
        </w:rPr>
        <w:t> </w:t>
      </w:r>
      <w:r>
        <w:rPr/>
        <w:t>assessment</w:t>
      </w:r>
      <w:r>
        <w:rPr>
          <w:spacing w:val="-3"/>
        </w:rPr>
        <w:t> </w:t>
      </w:r>
      <w:r>
        <w:rPr/>
        <w:t>of</w:t>
      </w:r>
      <w:r>
        <w:rPr>
          <w:spacing w:val="-4"/>
        </w:rPr>
        <w:t> </w:t>
      </w:r>
      <w:r>
        <w:rPr/>
        <w:t>the</w:t>
      </w:r>
      <w:r>
        <w:rPr>
          <w:spacing w:val="-4"/>
        </w:rPr>
        <w:t> </w:t>
      </w:r>
      <w:r>
        <w:rPr/>
        <w:t>state’s</w:t>
      </w:r>
      <w:r>
        <w:rPr>
          <w:spacing w:val="-3"/>
        </w:rPr>
        <w:t> </w:t>
      </w:r>
      <w:r>
        <w:rPr/>
        <w:t>compliance</w:t>
      </w:r>
      <w:r>
        <w:rPr>
          <w:spacing w:val="-4"/>
        </w:rPr>
        <w:t> </w:t>
      </w:r>
      <w:r>
        <w:rPr/>
        <w:t>with</w:t>
      </w:r>
      <w:r>
        <w:rPr>
          <w:spacing w:val="-3"/>
        </w:rPr>
        <w:t> </w:t>
      </w:r>
      <w:r>
        <w:rPr/>
        <w:t>these</w:t>
      </w:r>
      <w:r>
        <w:rPr>
          <w:spacing w:val="-4"/>
        </w:rPr>
        <w:t> </w:t>
      </w:r>
      <w:r>
        <w:rPr/>
        <w:t>tests</w:t>
      </w:r>
      <w:r>
        <w:rPr>
          <w:spacing w:val="-3"/>
        </w:rPr>
        <w:t> </w:t>
      </w:r>
      <w:r>
        <w:rPr/>
        <w:t>will</w:t>
      </w:r>
      <w:r>
        <w:rPr>
          <w:spacing w:val="-3"/>
        </w:rPr>
        <w:t> </w:t>
      </w:r>
      <w:r>
        <w:rPr/>
        <w:t>be</w:t>
      </w:r>
      <w:r>
        <w:rPr>
          <w:spacing w:val="-4"/>
        </w:rPr>
        <w:t> </w:t>
      </w:r>
      <w:r>
        <w:rPr/>
        <w:t>based</w:t>
      </w:r>
      <w:r>
        <w:rPr>
          <w:spacing w:val="-4"/>
        </w:rPr>
        <w:t> </w:t>
      </w:r>
      <w:r>
        <w:rPr/>
        <w:t>on</w:t>
      </w:r>
      <w:r>
        <w:rPr>
          <w:spacing w:val="-3"/>
        </w:rPr>
        <w:t> </w:t>
      </w:r>
      <w:r>
        <w:rPr/>
        <w:t>the Schedule C CMS-64 Waiver Expenditure Report, which summarizes the expenditures reported by the state on the CMS-64 that pertain to the demonstration.</w:t>
      </w:r>
    </w:p>
    <w:p>
      <w:pPr>
        <w:pStyle w:val="BodyText"/>
        <w:spacing w:before="10"/>
        <w:rPr>
          <w:sz w:val="20"/>
        </w:rPr>
      </w:pPr>
    </w:p>
    <w:p>
      <w:pPr>
        <w:pStyle w:val="BodyText"/>
        <w:spacing w:before="1"/>
        <w:ind w:left="871" w:right="122"/>
      </w:pPr>
      <w:r>
        <w:rPr/>
        <w:drawing>
          <wp:anchor distT="0" distB="0" distL="0" distR="0" allowOverlap="1" layoutInCell="1" locked="0" behindDoc="0" simplePos="0" relativeHeight="16109568">
            <wp:simplePos x="0" y="0"/>
            <wp:positionH relativeFrom="page">
              <wp:posOffset>908303</wp:posOffset>
            </wp:positionH>
            <wp:positionV relativeFrom="paragraph">
              <wp:posOffset>36234</wp:posOffset>
            </wp:positionV>
            <wp:extent cx="283463" cy="112775"/>
            <wp:effectExtent l="0" t="0" r="0" b="0"/>
            <wp:wrapNone/>
            <wp:docPr id="764" name="Image 764"/>
            <wp:cNvGraphicFramePr>
              <a:graphicFrameLocks/>
            </wp:cNvGraphicFramePr>
            <a:graphic>
              <a:graphicData uri="http://schemas.openxmlformats.org/drawingml/2006/picture">
                <pic:pic>
                  <pic:nvPicPr>
                    <pic:cNvPr id="764" name="Image 764"/>
                    <pic:cNvPicPr/>
                  </pic:nvPicPr>
                  <pic:blipFill>
                    <a:blip r:embed="rId294" cstate="print"/>
                    <a:stretch>
                      <a:fillRect/>
                    </a:stretch>
                  </pic:blipFill>
                  <pic:spPr>
                    <a:xfrm>
                      <a:off x="0" y="0"/>
                      <a:ext cx="283463" cy="112775"/>
                    </a:xfrm>
                    <a:prstGeom prst="rect">
                      <a:avLst/>
                    </a:prstGeom>
                  </pic:spPr>
                </pic:pic>
              </a:graphicData>
            </a:graphic>
          </wp:anchor>
        </w:drawing>
      </w:r>
      <w:bookmarkStart w:name="19.2. Risk. The budget neutrality expend" w:id="1072"/>
      <w:bookmarkEnd w:id="1072"/>
      <w:r>
        <w:rPr/>
      </w:r>
      <w:r>
        <w:rPr>
          <w:b/>
        </w:rPr>
        <w:t>Risk. </w:t>
      </w:r>
      <w:r>
        <w:rPr/>
        <w:t>The budget neutrality expenditure limits are determined on either a per capita or aggregate basis as described in Table 17, Master MEG Chart and Table 18, MEG Detail for</w:t>
      </w:r>
      <w:r>
        <w:rPr>
          <w:spacing w:val="-1"/>
        </w:rPr>
        <w:t> </w:t>
      </w:r>
      <w:r>
        <w:rPr/>
        <w:t>Expenditure</w:t>
      </w:r>
      <w:r>
        <w:rPr>
          <w:spacing w:val="-1"/>
        </w:rPr>
        <w:t> </w:t>
      </w:r>
      <w:r>
        <w:rPr/>
        <w:t>and Member</w:t>
      </w:r>
      <w:r>
        <w:rPr>
          <w:spacing w:val="-1"/>
        </w:rPr>
        <w:t> </w:t>
      </w:r>
      <w:r>
        <w:rPr/>
        <w:t>Month Reporting.</w:t>
      </w:r>
      <w:r>
        <w:rPr>
          <w:spacing w:val="40"/>
        </w:rPr>
        <w:t> </w:t>
      </w:r>
      <w:r>
        <w:rPr/>
        <w:t>If a</w:t>
      </w:r>
      <w:r>
        <w:rPr>
          <w:spacing w:val="-1"/>
        </w:rPr>
        <w:t> </w:t>
      </w:r>
      <w:r>
        <w:rPr/>
        <w:t>per</w:t>
      </w:r>
      <w:r>
        <w:rPr>
          <w:spacing w:val="-1"/>
        </w:rPr>
        <w:t> </w:t>
      </w:r>
      <w:r>
        <w:rPr/>
        <w:t>capita</w:t>
      </w:r>
      <w:r>
        <w:rPr>
          <w:spacing w:val="-1"/>
        </w:rPr>
        <w:t> </w:t>
      </w:r>
      <w:r>
        <w:rPr/>
        <w:t>method is used, the</w:t>
      </w:r>
      <w:r>
        <w:rPr>
          <w:spacing w:val="-1"/>
        </w:rPr>
        <w:t> </w:t>
      </w:r>
      <w:r>
        <w:rPr/>
        <w:t>state</w:t>
      </w:r>
      <w:r>
        <w:rPr>
          <w:spacing w:val="-1"/>
        </w:rPr>
        <w:t> </w:t>
      </w:r>
      <w:r>
        <w:rPr/>
        <w:t>is at risk for the per capita cost of state plan and hypothetical populations, but not for the number of participants in the demonstration population. By</w:t>
      </w:r>
      <w:r>
        <w:rPr>
          <w:spacing w:val="-1"/>
        </w:rPr>
        <w:t> </w:t>
      </w:r>
      <w:r>
        <w:rPr/>
        <w:t>providing FFP without regard to enrollment in the demonstration for all demonstration populations, CMS will not place the</w:t>
      </w:r>
      <w:r>
        <w:rPr>
          <w:spacing w:val="-3"/>
        </w:rPr>
        <w:t> </w:t>
      </w:r>
      <w:r>
        <w:rPr/>
        <w:t>state</w:t>
      </w:r>
      <w:r>
        <w:rPr>
          <w:spacing w:val="-3"/>
        </w:rPr>
        <w:t> </w:t>
      </w:r>
      <w:r>
        <w:rPr/>
        <w:t>at</w:t>
      </w:r>
      <w:r>
        <w:rPr>
          <w:spacing w:val="-2"/>
        </w:rPr>
        <w:t> </w:t>
      </w:r>
      <w:r>
        <w:rPr/>
        <w:t>risk</w:t>
      </w:r>
      <w:r>
        <w:rPr>
          <w:spacing w:val="-2"/>
        </w:rPr>
        <w:t> </w:t>
      </w:r>
      <w:r>
        <w:rPr/>
        <w:t>for</w:t>
      </w:r>
      <w:r>
        <w:rPr>
          <w:spacing w:val="-1"/>
        </w:rPr>
        <w:t> </w:t>
      </w:r>
      <w:r>
        <w:rPr/>
        <w:t>changing</w:t>
      </w:r>
      <w:r>
        <w:rPr>
          <w:spacing w:val="-5"/>
        </w:rPr>
        <w:t> </w:t>
      </w:r>
      <w:r>
        <w:rPr/>
        <w:t>economic</w:t>
      </w:r>
      <w:r>
        <w:rPr>
          <w:spacing w:val="-3"/>
        </w:rPr>
        <w:t> </w:t>
      </w:r>
      <w:r>
        <w:rPr/>
        <w:t>conditions,</w:t>
      </w:r>
      <w:r>
        <w:rPr>
          <w:spacing w:val="-2"/>
        </w:rPr>
        <w:t> </w:t>
      </w:r>
      <w:r>
        <w:rPr/>
        <w:t>however,</w:t>
      </w:r>
      <w:r>
        <w:rPr>
          <w:spacing w:val="-2"/>
        </w:rPr>
        <w:t> </w:t>
      </w:r>
      <w:r>
        <w:rPr/>
        <w:t>by</w:t>
      </w:r>
      <w:r>
        <w:rPr>
          <w:spacing w:val="-7"/>
        </w:rPr>
        <w:t> </w:t>
      </w:r>
      <w:r>
        <w:rPr/>
        <w:t>placing</w:t>
      </w:r>
      <w:r>
        <w:rPr>
          <w:spacing w:val="-5"/>
        </w:rPr>
        <w:t> </w:t>
      </w:r>
      <w:r>
        <w:rPr/>
        <w:t>the</w:t>
      </w:r>
      <w:r>
        <w:rPr>
          <w:spacing w:val="-1"/>
        </w:rPr>
        <w:t> </w:t>
      </w:r>
      <w:r>
        <w:rPr/>
        <w:t>state</w:t>
      </w:r>
      <w:r>
        <w:rPr>
          <w:spacing w:val="-3"/>
        </w:rPr>
        <w:t> </w:t>
      </w:r>
      <w:r>
        <w:rPr/>
        <w:t>at</w:t>
      </w:r>
      <w:r>
        <w:rPr>
          <w:spacing w:val="-2"/>
        </w:rPr>
        <w:t> </w:t>
      </w:r>
      <w:r>
        <w:rPr/>
        <w:t>risk</w:t>
      </w:r>
      <w:r>
        <w:rPr>
          <w:spacing w:val="-2"/>
        </w:rPr>
        <w:t> </w:t>
      </w:r>
      <w:r>
        <w:rPr/>
        <w:t>for the per capita costs of the demonstration populations, CMS assures that the demonstration expenditures do not exceed the levels that would have been realized had there been no demonstration. If an aggregate method is used, the state accepts risk for both enrollment and per capita costs.</w:t>
      </w:r>
    </w:p>
    <w:p>
      <w:pPr>
        <w:spacing w:after="0"/>
        <w:sectPr>
          <w:pgSz w:w="12240" w:h="15840"/>
          <w:pgMar w:header="0" w:footer="1201" w:top="1360" w:bottom="1400" w:left="1200" w:right="1340"/>
        </w:sectPr>
      </w:pPr>
    </w:p>
    <w:p>
      <w:pPr>
        <w:pStyle w:val="BodyText"/>
        <w:spacing w:before="79"/>
        <w:ind w:left="871" w:right="121"/>
      </w:pPr>
      <w:r>
        <w:rPr/>
        <w:drawing>
          <wp:anchor distT="0" distB="0" distL="0" distR="0" allowOverlap="1" layoutInCell="1" locked="0" behindDoc="0" simplePos="0" relativeHeight="16110080">
            <wp:simplePos x="0" y="0"/>
            <wp:positionH relativeFrom="page">
              <wp:posOffset>908303</wp:posOffset>
            </wp:positionH>
            <wp:positionV relativeFrom="paragraph">
              <wp:posOffset>85777</wp:posOffset>
            </wp:positionV>
            <wp:extent cx="283463" cy="112763"/>
            <wp:effectExtent l="0" t="0" r="0" b="0"/>
            <wp:wrapNone/>
            <wp:docPr id="765" name="Image 765"/>
            <wp:cNvGraphicFramePr>
              <a:graphicFrameLocks/>
            </wp:cNvGraphicFramePr>
            <a:graphic>
              <a:graphicData uri="http://schemas.openxmlformats.org/drawingml/2006/picture">
                <pic:pic>
                  <pic:nvPicPr>
                    <pic:cNvPr id="765" name="Image 765"/>
                    <pic:cNvPicPr/>
                  </pic:nvPicPr>
                  <pic:blipFill>
                    <a:blip r:embed="rId295" cstate="print"/>
                    <a:stretch>
                      <a:fillRect/>
                    </a:stretch>
                  </pic:blipFill>
                  <pic:spPr>
                    <a:xfrm>
                      <a:off x="0" y="0"/>
                      <a:ext cx="283463" cy="112763"/>
                    </a:xfrm>
                    <a:prstGeom prst="rect">
                      <a:avLst/>
                    </a:prstGeom>
                  </pic:spPr>
                </pic:pic>
              </a:graphicData>
            </a:graphic>
          </wp:anchor>
        </w:drawing>
      </w:r>
      <w:bookmarkStart w:name="19.3. Calculation of the Budget Neutrali" w:id="1073"/>
      <w:bookmarkEnd w:id="1073"/>
      <w:r>
        <w:rPr/>
      </w:r>
      <w:r>
        <w:rPr>
          <w:b/>
        </w:rPr>
        <w:t>Calculation</w:t>
      </w:r>
      <w:r>
        <w:rPr>
          <w:b/>
          <w:spacing w:val="-3"/>
        </w:rPr>
        <w:t> </w:t>
      </w:r>
      <w:r>
        <w:rPr>
          <w:b/>
        </w:rPr>
        <w:t>of</w:t>
      </w:r>
      <w:r>
        <w:rPr>
          <w:b/>
          <w:spacing w:val="-2"/>
        </w:rPr>
        <w:t> </w:t>
      </w:r>
      <w:r>
        <w:rPr>
          <w:b/>
        </w:rPr>
        <w:t>the</w:t>
      </w:r>
      <w:r>
        <w:rPr>
          <w:b/>
          <w:spacing w:val="-4"/>
        </w:rPr>
        <w:t> </w:t>
      </w:r>
      <w:r>
        <w:rPr>
          <w:b/>
        </w:rPr>
        <w:t>Budget</w:t>
      </w:r>
      <w:r>
        <w:rPr>
          <w:b/>
          <w:spacing w:val="-4"/>
        </w:rPr>
        <w:t> </w:t>
      </w:r>
      <w:r>
        <w:rPr>
          <w:b/>
        </w:rPr>
        <w:t>Neutrality</w:t>
      </w:r>
      <w:r>
        <w:rPr>
          <w:b/>
          <w:spacing w:val="-3"/>
        </w:rPr>
        <w:t> </w:t>
      </w:r>
      <w:r>
        <w:rPr>
          <w:b/>
        </w:rPr>
        <w:t>Limits</w:t>
      </w:r>
      <w:r>
        <w:rPr>
          <w:b/>
          <w:spacing w:val="-3"/>
        </w:rPr>
        <w:t> </w:t>
      </w:r>
      <w:r>
        <w:rPr>
          <w:b/>
        </w:rPr>
        <w:t>and</w:t>
      </w:r>
      <w:r>
        <w:rPr>
          <w:b/>
          <w:spacing w:val="-3"/>
        </w:rPr>
        <w:t> </w:t>
      </w:r>
      <w:r>
        <w:rPr>
          <w:b/>
        </w:rPr>
        <w:t>How</w:t>
      </w:r>
      <w:r>
        <w:rPr>
          <w:b/>
          <w:spacing w:val="-4"/>
        </w:rPr>
        <w:t> </w:t>
      </w:r>
      <w:r>
        <w:rPr>
          <w:b/>
        </w:rPr>
        <w:t>They</w:t>
      </w:r>
      <w:r>
        <w:rPr>
          <w:b/>
          <w:spacing w:val="-3"/>
        </w:rPr>
        <w:t> </w:t>
      </w:r>
      <w:r>
        <w:rPr>
          <w:b/>
        </w:rPr>
        <w:t>Are</w:t>
      </w:r>
      <w:r>
        <w:rPr>
          <w:b/>
          <w:spacing w:val="-4"/>
        </w:rPr>
        <w:t> </w:t>
      </w:r>
      <w:r>
        <w:rPr>
          <w:b/>
        </w:rPr>
        <w:t>Applied.</w:t>
      </w:r>
      <w:r>
        <w:rPr>
          <w:b/>
          <w:spacing w:val="40"/>
        </w:rPr>
        <w:t> </w:t>
      </w:r>
      <w:r>
        <w:rPr/>
        <w:t>To</w:t>
      </w:r>
      <w:r>
        <w:rPr>
          <w:spacing w:val="-3"/>
        </w:rPr>
        <w:t> </w:t>
      </w:r>
      <w:r>
        <w:rPr/>
        <w:t>calculate the budget neutrality limits for the demonstration, separate annual budget limits are determined for each DY on a total computable basis.</w:t>
      </w:r>
      <w:r>
        <w:rPr>
          <w:spacing w:val="40"/>
        </w:rPr>
        <w:t> </w:t>
      </w:r>
      <w:r>
        <w:rPr/>
        <w:t>Each annual budget limit is the sum of one or more components: per capita components, which are calculated as a projected without-waiver PMPM cost times the corresponding actual number of member months, and aggregate components, which project fixed total computable dollar expenditure amounts.</w:t>
      </w:r>
      <w:r>
        <w:rPr>
          <w:spacing w:val="40"/>
        </w:rPr>
        <w:t> </w:t>
      </w:r>
      <w:r>
        <w:rPr/>
        <w:t>The annual limits for all DYs are then added together to obtain a budget neutrality limit for the entire demonstration period.</w:t>
      </w:r>
      <w:r>
        <w:rPr>
          <w:spacing w:val="40"/>
        </w:rPr>
        <w:t> </w:t>
      </w:r>
      <w:r>
        <w:rPr/>
        <w:t>The federal share of this limit will represent the maximum amount of FFP that the state may receive during the</w:t>
      </w:r>
      <w:r>
        <w:rPr>
          <w:spacing w:val="40"/>
        </w:rPr>
        <w:t> </w:t>
      </w:r>
      <w:r>
        <w:rPr/>
        <w:t>demonstration period for the types of demonstration expenditures described below.</w:t>
      </w:r>
      <w:r>
        <w:rPr>
          <w:spacing w:val="40"/>
        </w:rPr>
        <w:t> </w:t>
      </w:r>
      <w:r>
        <w:rPr/>
        <w:t>The federal share will be calculated by multiplying the total computable budget neutrality expenditure limit by the appropriate Composite Federal Share.</w:t>
      </w:r>
    </w:p>
    <w:p>
      <w:pPr>
        <w:pStyle w:val="BodyText"/>
        <w:spacing w:before="10"/>
        <w:rPr>
          <w:sz w:val="20"/>
        </w:rPr>
      </w:pPr>
    </w:p>
    <w:p>
      <w:pPr>
        <w:pStyle w:val="BodyText"/>
        <w:ind w:left="871" w:right="112"/>
      </w:pPr>
      <w:r>
        <w:rPr/>
        <w:drawing>
          <wp:anchor distT="0" distB="0" distL="0" distR="0" allowOverlap="1" layoutInCell="1" locked="0" behindDoc="0" simplePos="0" relativeHeight="16110592">
            <wp:simplePos x="0" y="0"/>
            <wp:positionH relativeFrom="page">
              <wp:posOffset>908303</wp:posOffset>
            </wp:positionH>
            <wp:positionV relativeFrom="paragraph">
              <wp:posOffset>35599</wp:posOffset>
            </wp:positionV>
            <wp:extent cx="283463" cy="112775"/>
            <wp:effectExtent l="0" t="0" r="0" b="0"/>
            <wp:wrapNone/>
            <wp:docPr id="766" name="Image 766"/>
            <wp:cNvGraphicFramePr>
              <a:graphicFrameLocks/>
            </wp:cNvGraphicFramePr>
            <a:graphic>
              <a:graphicData uri="http://schemas.openxmlformats.org/drawingml/2006/picture">
                <pic:pic>
                  <pic:nvPicPr>
                    <pic:cNvPr id="766" name="Image 766"/>
                    <pic:cNvPicPr/>
                  </pic:nvPicPr>
                  <pic:blipFill>
                    <a:blip r:embed="rId296" cstate="print"/>
                    <a:stretch>
                      <a:fillRect/>
                    </a:stretch>
                  </pic:blipFill>
                  <pic:spPr>
                    <a:xfrm>
                      <a:off x="0" y="0"/>
                      <a:ext cx="283463" cy="112775"/>
                    </a:xfrm>
                    <a:prstGeom prst="rect">
                      <a:avLst/>
                    </a:prstGeom>
                  </pic:spPr>
                </pic:pic>
              </a:graphicData>
            </a:graphic>
          </wp:anchor>
        </w:drawing>
      </w:r>
      <w:bookmarkStart w:name="19.4. Main Budget Neutrality Test. The M" w:id="1074"/>
      <w:bookmarkEnd w:id="1074"/>
      <w:r>
        <w:rPr/>
      </w:r>
      <w:r>
        <w:rPr>
          <w:b/>
        </w:rPr>
        <w:t>Main Budget Neutrality Test. </w:t>
      </w:r>
      <w:r>
        <w:rPr/>
        <w:t>The Main Budget Neutrality</w:t>
      </w:r>
      <w:r>
        <w:rPr>
          <w:spacing w:val="-1"/>
        </w:rPr>
        <w:t> </w:t>
      </w:r>
      <w:r>
        <w:rPr/>
        <w:t>Test allows the state to show that approval of the demonstration has not resulted in Medicaid costs to the federal government that are greater than what the federal government’s Medicaid costs would likely</w:t>
      </w:r>
      <w:r>
        <w:rPr>
          <w:spacing w:val="-3"/>
        </w:rPr>
        <w:t> </w:t>
      </w:r>
      <w:r>
        <w:rPr/>
        <w:t>have been absent the demonstration, and that federal Medicaid “savings” have been achieved sufficient to offset the additional projected federal costs resulting from expenditure authority. The table below identifies the MEGs that are used for the Main Budget Neutrality Test. MEGs designated as “WOW Only” or “Both” are components used</w:t>
      </w:r>
      <w:r>
        <w:rPr>
          <w:spacing w:val="-3"/>
        </w:rPr>
        <w:t> </w:t>
      </w:r>
      <w:r>
        <w:rPr/>
        <w:t>to</w:t>
      </w:r>
      <w:r>
        <w:rPr>
          <w:spacing w:val="-3"/>
        </w:rPr>
        <w:t> </w:t>
      </w:r>
      <w:r>
        <w:rPr/>
        <w:t>calculate</w:t>
      </w:r>
      <w:r>
        <w:rPr>
          <w:spacing w:val="-4"/>
        </w:rPr>
        <w:t> </w:t>
      </w:r>
      <w:r>
        <w:rPr/>
        <w:t>the</w:t>
      </w:r>
      <w:r>
        <w:rPr>
          <w:spacing w:val="-4"/>
        </w:rPr>
        <w:t> </w:t>
      </w:r>
      <w:r>
        <w:rPr/>
        <w:t>budget</w:t>
      </w:r>
      <w:r>
        <w:rPr>
          <w:spacing w:val="-3"/>
        </w:rPr>
        <w:t> </w:t>
      </w:r>
      <w:r>
        <w:rPr/>
        <w:t>neutrality</w:t>
      </w:r>
      <w:r>
        <w:rPr>
          <w:spacing w:val="-6"/>
        </w:rPr>
        <w:t> </w:t>
      </w:r>
      <w:r>
        <w:rPr/>
        <w:t>expenditure</w:t>
      </w:r>
      <w:r>
        <w:rPr>
          <w:spacing w:val="-4"/>
        </w:rPr>
        <w:t> </w:t>
      </w:r>
      <w:r>
        <w:rPr/>
        <w:t>limit.</w:t>
      </w:r>
      <w:r>
        <w:rPr>
          <w:spacing w:val="-3"/>
        </w:rPr>
        <w:t> </w:t>
      </w:r>
      <w:r>
        <w:rPr/>
        <w:t>MEGs</w:t>
      </w:r>
      <w:r>
        <w:rPr>
          <w:spacing w:val="-3"/>
        </w:rPr>
        <w:t> </w:t>
      </w:r>
      <w:r>
        <w:rPr/>
        <w:t>that</w:t>
      </w:r>
      <w:r>
        <w:rPr>
          <w:spacing w:val="-3"/>
        </w:rPr>
        <w:t> </w:t>
      </w:r>
      <w:r>
        <w:rPr/>
        <w:t>are</w:t>
      </w:r>
      <w:r>
        <w:rPr>
          <w:spacing w:val="-4"/>
        </w:rPr>
        <w:t> </w:t>
      </w:r>
      <w:r>
        <w:rPr/>
        <w:t>indicated</w:t>
      </w:r>
      <w:r>
        <w:rPr>
          <w:spacing w:val="-3"/>
        </w:rPr>
        <w:t> </w:t>
      </w:r>
      <w:r>
        <w:rPr/>
        <w:t>as</w:t>
      </w:r>
      <w:r>
        <w:rPr>
          <w:spacing w:val="-3"/>
        </w:rPr>
        <w:t> </w:t>
      </w:r>
      <w:r>
        <w:rPr/>
        <w:t>“WW Only” or “Both” are counted as expenditures against the budget neutrality expenditure limit. In addition, any expenditures in excess of the limit from Hypothetical Budget Neutrality Tests count as expenditures under the Main Budget Neutrality Test.</w:t>
      </w:r>
      <w:r>
        <w:rPr>
          <w:spacing w:val="40"/>
        </w:rPr>
        <w:t> </w:t>
      </w:r>
      <w:r>
        <w:rPr/>
        <w:t>However, excess</w:t>
      </w:r>
      <w:r>
        <w:rPr>
          <w:spacing w:val="-1"/>
        </w:rPr>
        <w:t> </w:t>
      </w:r>
      <w:r>
        <w:rPr/>
        <w:t>expenditures</w:t>
      </w:r>
      <w:r>
        <w:rPr>
          <w:spacing w:val="-1"/>
        </w:rPr>
        <w:t> </w:t>
      </w:r>
      <w:r>
        <w:rPr/>
        <w:t>from</w:t>
      </w:r>
      <w:r>
        <w:rPr>
          <w:spacing w:val="-1"/>
        </w:rPr>
        <w:t> </w:t>
      </w:r>
      <w:r>
        <w:rPr/>
        <w:t>the</w:t>
      </w:r>
      <w:r>
        <w:rPr>
          <w:spacing w:val="-2"/>
        </w:rPr>
        <w:t> </w:t>
      </w:r>
      <w:r>
        <w:rPr/>
        <w:t>Capped</w:t>
      </w:r>
      <w:r>
        <w:rPr>
          <w:spacing w:val="-1"/>
        </w:rPr>
        <w:t> </w:t>
      </w:r>
      <w:r>
        <w:rPr/>
        <w:t>Hypothetical Budget</w:t>
      </w:r>
      <w:r>
        <w:rPr>
          <w:spacing w:val="-1"/>
        </w:rPr>
        <w:t> </w:t>
      </w:r>
      <w:r>
        <w:rPr/>
        <w:t>Neutrality</w:t>
      </w:r>
      <w:r>
        <w:rPr>
          <w:spacing w:val="-6"/>
        </w:rPr>
        <w:t> </w:t>
      </w:r>
      <w:r>
        <w:rPr/>
        <w:t>Test</w:t>
      </w:r>
      <w:r>
        <w:rPr>
          <w:spacing w:val="-1"/>
        </w:rPr>
        <w:t> </w:t>
      </w:r>
      <w:r>
        <w:rPr/>
        <w:t>do</w:t>
      </w:r>
      <w:r>
        <w:rPr>
          <w:spacing w:val="-1"/>
        </w:rPr>
        <w:t> </w:t>
      </w:r>
      <w:r>
        <w:rPr/>
        <w:t>not</w:t>
      </w:r>
      <w:r>
        <w:rPr>
          <w:spacing w:val="-1"/>
        </w:rPr>
        <w:t> </w:t>
      </w:r>
      <w:r>
        <w:rPr/>
        <w:t>count</w:t>
      </w:r>
      <w:r>
        <w:rPr>
          <w:spacing w:val="-1"/>
        </w:rPr>
        <w:t> </w:t>
      </w:r>
      <w:r>
        <w:rPr/>
        <w:t>as expenditures under the Main Budget Neutrality Test. The state is at risk for any amount over the capped hypothetical amount. The Composite Federal Share for this test is calculated based on all MEGs indicated as “Both.”</w:t>
      </w:r>
    </w:p>
    <w:p>
      <w:pPr>
        <w:spacing w:after="0"/>
        <w:sectPr>
          <w:pgSz w:w="12240" w:h="15840"/>
          <w:pgMar w:header="0" w:footer="1201" w:top="1360" w:bottom="1400" w:left="1200" w:right="1340"/>
        </w:sectPr>
      </w:pPr>
    </w:p>
    <w:p>
      <w:pPr>
        <w:pStyle w:val="BodyText"/>
        <w:spacing w:before="2"/>
        <w:rPr>
          <w:sz w:val="5"/>
        </w:r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4"/>
        <w:gridCol w:w="784"/>
        <w:gridCol w:w="1442"/>
        <w:gridCol w:w="808"/>
        <w:gridCol w:w="993"/>
        <w:gridCol w:w="1437"/>
        <w:gridCol w:w="1442"/>
        <w:gridCol w:w="1440"/>
        <w:gridCol w:w="1531"/>
        <w:gridCol w:w="1440"/>
        <w:gridCol w:w="1440"/>
      </w:tblGrid>
      <w:tr>
        <w:trPr>
          <w:trHeight w:val="558" w:hRule="atLeast"/>
        </w:trPr>
        <w:tc>
          <w:tcPr>
            <w:tcW w:w="14391" w:type="dxa"/>
            <w:gridSpan w:val="11"/>
            <w:shd w:val="clear" w:color="auto" w:fill="DBE4F0"/>
          </w:tcPr>
          <w:p>
            <w:pPr>
              <w:pStyle w:val="TableParagraph"/>
              <w:spacing w:before="154"/>
              <w:ind w:left="5371" w:right="5356"/>
              <w:jc w:val="center"/>
              <w:rPr>
                <w:b/>
                <w:sz w:val="22"/>
              </w:rPr>
            </w:pPr>
            <w:r>
              <w:rPr>
                <w:b/>
                <w:sz w:val="22"/>
              </w:rPr>
              <w:t>Table</w:t>
            </w:r>
            <w:r>
              <w:rPr>
                <w:b/>
                <w:spacing w:val="-4"/>
                <w:sz w:val="22"/>
              </w:rPr>
              <w:t> </w:t>
            </w:r>
            <w:r>
              <w:rPr>
                <w:b/>
                <w:sz w:val="22"/>
              </w:rPr>
              <w:t>20:</w:t>
            </w:r>
            <w:r>
              <w:rPr>
                <w:b/>
                <w:spacing w:val="-3"/>
                <w:sz w:val="22"/>
              </w:rPr>
              <w:t> </w:t>
            </w:r>
            <w:r>
              <w:rPr>
                <w:b/>
                <w:sz w:val="22"/>
              </w:rPr>
              <w:t>Main</w:t>
            </w:r>
            <w:r>
              <w:rPr>
                <w:b/>
                <w:spacing w:val="-6"/>
                <w:sz w:val="22"/>
              </w:rPr>
              <w:t> </w:t>
            </w:r>
            <w:r>
              <w:rPr>
                <w:b/>
                <w:sz w:val="22"/>
              </w:rPr>
              <w:t>Budget</w:t>
            </w:r>
            <w:r>
              <w:rPr>
                <w:b/>
                <w:spacing w:val="-3"/>
                <w:sz w:val="22"/>
              </w:rPr>
              <w:t> </w:t>
            </w:r>
            <w:r>
              <w:rPr>
                <w:b/>
                <w:sz w:val="22"/>
              </w:rPr>
              <w:t>Neutrality</w:t>
            </w:r>
            <w:r>
              <w:rPr>
                <w:b/>
                <w:spacing w:val="-3"/>
                <w:sz w:val="22"/>
              </w:rPr>
              <w:t> </w:t>
            </w:r>
            <w:r>
              <w:rPr>
                <w:b/>
                <w:spacing w:val="-4"/>
                <w:sz w:val="22"/>
              </w:rPr>
              <w:t>Test</w:t>
            </w:r>
          </w:p>
        </w:tc>
      </w:tr>
      <w:tr>
        <w:trPr>
          <w:trHeight w:val="1573" w:hRule="atLeast"/>
        </w:trPr>
        <w:tc>
          <w:tcPr>
            <w:tcW w:w="1634" w:type="dxa"/>
            <w:shd w:val="clear" w:color="auto" w:fill="DBE4F0"/>
          </w:tcPr>
          <w:p>
            <w:pPr>
              <w:pStyle w:val="TableParagraph"/>
              <w:rPr>
                <w:sz w:val="24"/>
              </w:rPr>
            </w:pPr>
          </w:p>
          <w:p>
            <w:pPr>
              <w:pStyle w:val="TableParagraph"/>
              <w:spacing w:before="5"/>
              <w:rPr>
                <w:sz w:val="33"/>
              </w:rPr>
            </w:pPr>
          </w:p>
          <w:p>
            <w:pPr>
              <w:pStyle w:val="TableParagraph"/>
              <w:ind w:left="165" w:right="155"/>
              <w:jc w:val="center"/>
              <w:rPr>
                <w:b/>
                <w:sz w:val="22"/>
              </w:rPr>
            </w:pPr>
            <w:r>
              <w:rPr>
                <w:b/>
                <w:spacing w:val="-5"/>
                <w:sz w:val="22"/>
              </w:rPr>
              <w:t>MEG</w:t>
            </w:r>
          </w:p>
        </w:tc>
        <w:tc>
          <w:tcPr>
            <w:tcW w:w="784" w:type="dxa"/>
            <w:shd w:val="clear" w:color="auto" w:fill="DBE4F0"/>
          </w:tcPr>
          <w:p>
            <w:pPr>
              <w:pStyle w:val="TableParagraph"/>
              <w:rPr>
                <w:sz w:val="24"/>
              </w:rPr>
            </w:pPr>
          </w:p>
          <w:p>
            <w:pPr>
              <w:pStyle w:val="TableParagraph"/>
              <w:spacing w:before="2"/>
              <w:rPr>
                <w:sz w:val="22"/>
              </w:rPr>
            </w:pPr>
          </w:p>
          <w:p>
            <w:pPr>
              <w:pStyle w:val="TableParagraph"/>
              <w:spacing w:line="244" w:lineRule="auto"/>
              <w:ind w:left="149" w:right="99" w:hanging="36"/>
              <w:rPr>
                <w:b/>
                <w:sz w:val="22"/>
              </w:rPr>
            </w:pPr>
            <w:r>
              <w:rPr>
                <w:b/>
                <w:sz w:val="22"/>
              </w:rPr>
              <w:t>PC</w:t>
            </w:r>
            <w:r>
              <w:rPr>
                <w:b/>
                <w:spacing w:val="-14"/>
                <w:sz w:val="22"/>
              </w:rPr>
              <w:t> </w:t>
            </w:r>
            <w:r>
              <w:rPr>
                <w:b/>
                <w:sz w:val="22"/>
              </w:rPr>
              <w:t>or </w:t>
            </w:r>
            <w:r>
              <w:rPr>
                <w:b/>
                <w:spacing w:val="-4"/>
                <w:sz w:val="22"/>
              </w:rPr>
              <w:t>Agg*</w:t>
            </w:r>
          </w:p>
        </w:tc>
        <w:tc>
          <w:tcPr>
            <w:tcW w:w="1442" w:type="dxa"/>
            <w:shd w:val="clear" w:color="auto" w:fill="DBE4F0"/>
          </w:tcPr>
          <w:p>
            <w:pPr>
              <w:pStyle w:val="TableParagraph"/>
              <w:spacing w:before="3"/>
              <w:rPr>
                <w:sz w:val="35"/>
              </w:rPr>
            </w:pPr>
          </w:p>
          <w:p>
            <w:pPr>
              <w:pStyle w:val="TableParagraph"/>
              <w:spacing w:before="1"/>
              <w:ind w:left="128" w:right="113"/>
              <w:jc w:val="center"/>
              <w:rPr>
                <w:b/>
                <w:sz w:val="22"/>
              </w:rPr>
            </w:pPr>
            <w:r>
              <w:rPr>
                <w:b/>
                <w:sz w:val="22"/>
              </w:rPr>
              <w:t>WOW</w:t>
            </w:r>
            <w:r>
              <w:rPr>
                <w:b/>
                <w:spacing w:val="-14"/>
                <w:sz w:val="22"/>
              </w:rPr>
              <w:t> </w:t>
            </w:r>
            <w:r>
              <w:rPr>
                <w:b/>
                <w:sz w:val="22"/>
              </w:rPr>
              <w:t>Only, WW Only, or BOTH</w:t>
            </w:r>
          </w:p>
        </w:tc>
        <w:tc>
          <w:tcPr>
            <w:tcW w:w="808" w:type="dxa"/>
            <w:shd w:val="clear" w:color="auto" w:fill="DBE4F0"/>
          </w:tcPr>
          <w:p>
            <w:pPr>
              <w:pStyle w:val="TableParagraph"/>
              <w:rPr>
                <w:sz w:val="24"/>
              </w:rPr>
            </w:pPr>
          </w:p>
          <w:p>
            <w:pPr>
              <w:pStyle w:val="TableParagraph"/>
              <w:spacing w:before="2"/>
              <w:rPr>
                <w:sz w:val="22"/>
              </w:rPr>
            </w:pPr>
          </w:p>
          <w:p>
            <w:pPr>
              <w:pStyle w:val="TableParagraph"/>
              <w:spacing w:line="244" w:lineRule="auto"/>
              <w:ind w:left="174" w:right="155" w:firstLine="9"/>
              <w:rPr>
                <w:b/>
                <w:sz w:val="22"/>
              </w:rPr>
            </w:pPr>
            <w:r>
              <w:rPr>
                <w:b/>
                <w:spacing w:val="-4"/>
                <w:sz w:val="22"/>
              </w:rPr>
              <w:t>Base Year</w:t>
            </w:r>
          </w:p>
        </w:tc>
        <w:tc>
          <w:tcPr>
            <w:tcW w:w="993" w:type="dxa"/>
            <w:shd w:val="clear" w:color="auto" w:fill="DBE4F0"/>
            <w:textDirection w:val="tbRl"/>
          </w:tcPr>
          <w:p>
            <w:pPr>
              <w:pStyle w:val="TableParagraph"/>
              <w:spacing w:before="8"/>
              <w:rPr>
                <w:sz w:val="26"/>
              </w:rPr>
            </w:pPr>
          </w:p>
          <w:p>
            <w:pPr>
              <w:pStyle w:val="TableParagraph"/>
              <w:ind w:left="244"/>
              <w:rPr>
                <w:b/>
                <w:sz w:val="22"/>
              </w:rPr>
            </w:pPr>
            <w:r>
              <w:rPr>
                <w:b/>
                <w:sz w:val="22"/>
              </w:rPr>
              <w:t>Trend</w:t>
            </w:r>
            <w:r>
              <w:rPr>
                <w:b/>
                <w:spacing w:val="-3"/>
                <w:sz w:val="22"/>
              </w:rPr>
              <w:t> </w:t>
            </w:r>
            <w:r>
              <w:rPr>
                <w:b/>
                <w:spacing w:val="-4"/>
                <w:sz w:val="22"/>
              </w:rPr>
              <w:t>Rate</w:t>
            </w:r>
          </w:p>
        </w:tc>
        <w:tc>
          <w:tcPr>
            <w:tcW w:w="1437" w:type="dxa"/>
            <w:shd w:val="clear" w:color="auto" w:fill="DBE4F0"/>
          </w:tcPr>
          <w:p>
            <w:pPr>
              <w:pStyle w:val="TableParagraph"/>
              <w:rPr>
                <w:sz w:val="24"/>
              </w:rPr>
            </w:pPr>
          </w:p>
          <w:p>
            <w:pPr>
              <w:pStyle w:val="TableParagraph"/>
              <w:spacing w:before="5"/>
              <w:rPr>
                <w:sz w:val="33"/>
              </w:rPr>
            </w:pPr>
          </w:p>
          <w:p>
            <w:pPr>
              <w:pStyle w:val="TableParagraph"/>
              <w:ind w:left="108" w:right="90"/>
              <w:jc w:val="center"/>
              <w:rPr>
                <w:b/>
                <w:sz w:val="22"/>
              </w:rPr>
            </w:pPr>
            <w:r>
              <w:rPr>
                <w:b/>
                <w:sz w:val="22"/>
              </w:rPr>
              <w:t>DY</w:t>
            </w:r>
            <w:r>
              <w:rPr>
                <w:b/>
                <w:spacing w:val="-1"/>
                <w:sz w:val="22"/>
              </w:rPr>
              <w:t> </w:t>
            </w:r>
            <w:r>
              <w:rPr>
                <w:b/>
                <w:spacing w:val="-5"/>
                <w:sz w:val="22"/>
              </w:rPr>
              <w:t>27</w:t>
            </w:r>
          </w:p>
        </w:tc>
        <w:tc>
          <w:tcPr>
            <w:tcW w:w="1442" w:type="dxa"/>
            <w:shd w:val="clear" w:color="auto" w:fill="DBE4F0"/>
          </w:tcPr>
          <w:p>
            <w:pPr>
              <w:pStyle w:val="TableParagraph"/>
              <w:rPr>
                <w:sz w:val="24"/>
              </w:rPr>
            </w:pPr>
          </w:p>
          <w:p>
            <w:pPr>
              <w:pStyle w:val="TableParagraph"/>
              <w:spacing w:before="5"/>
              <w:rPr>
                <w:sz w:val="33"/>
              </w:rPr>
            </w:pPr>
          </w:p>
          <w:p>
            <w:pPr>
              <w:pStyle w:val="TableParagraph"/>
              <w:ind w:left="127" w:right="113"/>
              <w:jc w:val="center"/>
              <w:rPr>
                <w:b/>
                <w:sz w:val="22"/>
              </w:rPr>
            </w:pPr>
            <w:r>
              <w:rPr>
                <w:b/>
                <w:sz w:val="22"/>
              </w:rPr>
              <w:t>DY</w:t>
            </w:r>
            <w:r>
              <w:rPr>
                <w:b/>
                <w:spacing w:val="-1"/>
                <w:sz w:val="22"/>
              </w:rPr>
              <w:t> </w:t>
            </w:r>
            <w:r>
              <w:rPr>
                <w:b/>
                <w:spacing w:val="-5"/>
                <w:sz w:val="22"/>
              </w:rPr>
              <w:t>28</w:t>
            </w:r>
          </w:p>
        </w:tc>
        <w:tc>
          <w:tcPr>
            <w:tcW w:w="1440" w:type="dxa"/>
            <w:shd w:val="clear" w:color="auto" w:fill="DBE4F0"/>
          </w:tcPr>
          <w:p>
            <w:pPr>
              <w:pStyle w:val="TableParagraph"/>
              <w:rPr>
                <w:sz w:val="24"/>
              </w:rPr>
            </w:pPr>
          </w:p>
          <w:p>
            <w:pPr>
              <w:pStyle w:val="TableParagraph"/>
              <w:spacing w:before="5"/>
              <w:rPr>
                <w:sz w:val="33"/>
              </w:rPr>
            </w:pPr>
          </w:p>
          <w:p>
            <w:pPr>
              <w:pStyle w:val="TableParagraph"/>
              <w:ind w:left="109" w:right="92"/>
              <w:jc w:val="center"/>
              <w:rPr>
                <w:b/>
                <w:sz w:val="22"/>
              </w:rPr>
            </w:pPr>
            <w:r>
              <w:rPr>
                <w:b/>
                <w:sz w:val="22"/>
              </w:rPr>
              <w:t>DY</w:t>
            </w:r>
            <w:r>
              <w:rPr>
                <w:b/>
                <w:spacing w:val="-1"/>
                <w:sz w:val="22"/>
              </w:rPr>
              <w:t> </w:t>
            </w:r>
            <w:r>
              <w:rPr>
                <w:b/>
                <w:spacing w:val="-5"/>
                <w:sz w:val="22"/>
              </w:rPr>
              <w:t>29</w:t>
            </w:r>
          </w:p>
        </w:tc>
        <w:tc>
          <w:tcPr>
            <w:tcW w:w="1531" w:type="dxa"/>
            <w:shd w:val="clear" w:color="auto" w:fill="DBE4F0"/>
          </w:tcPr>
          <w:p>
            <w:pPr>
              <w:pStyle w:val="TableParagraph"/>
              <w:rPr>
                <w:sz w:val="24"/>
              </w:rPr>
            </w:pPr>
          </w:p>
          <w:p>
            <w:pPr>
              <w:pStyle w:val="TableParagraph"/>
              <w:spacing w:before="5"/>
              <w:rPr>
                <w:sz w:val="33"/>
              </w:rPr>
            </w:pPr>
          </w:p>
          <w:p>
            <w:pPr>
              <w:pStyle w:val="TableParagraph"/>
              <w:ind w:left="140" w:right="123"/>
              <w:jc w:val="center"/>
              <w:rPr>
                <w:b/>
                <w:sz w:val="22"/>
              </w:rPr>
            </w:pPr>
            <w:r>
              <w:rPr>
                <w:b/>
                <w:sz w:val="22"/>
              </w:rPr>
              <w:t>DY</w:t>
            </w:r>
            <w:r>
              <w:rPr>
                <w:b/>
                <w:spacing w:val="-1"/>
                <w:sz w:val="22"/>
              </w:rPr>
              <w:t> </w:t>
            </w:r>
            <w:r>
              <w:rPr>
                <w:b/>
                <w:spacing w:val="-5"/>
                <w:sz w:val="22"/>
              </w:rPr>
              <w:t>30</w:t>
            </w:r>
          </w:p>
        </w:tc>
        <w:tc>
          <w:tcPr>
            <w:tcW w:w="1440" w:type="dxa"/>
            <w:shd w:val="clear" w:color="auto" w:fill="DBE4F0"/>
          </w:tcPr>
          <w:p>
            <w:pPr>
              <w:pStyle w:val="TableParagraph"/>
              <w:rPr>
                <w:sz w:val="24"/>
              </w:rPr>
            </w:pPr>
          </w:p>
          <w:p>
            <w:pPr>
              <w:pStyle w:val="TableParagraph"/>
              <w:spacing w:before="5"/>
              <w:rPr>
                <w:sz w:val="33"/>
              </w:rPr>
            </w:pPr>
          </w:p>
          <w:p>
            <w:pPr>
              <w:pStyle w:val="TableParagraph"/>
              <w:ind w:left="110" w:right="92"/>
              <w:jc w:val="center"/>
              <w:rPr>
                <w:b/>
                <w:sz w:val="22"/>
              </w:rPr>
            </w:pPr>
            <w:r>
              <w:rPr>
                <w:b/>
                <w:sz w:val="22"/>
              </w:rPr>
              <w:t>DY</w:t>
            </w:r>
            <w:r>
              <w:rPr>
                <w:b/>
                <w:spacing w:val="-1"/>
                <w:sz w:val="22"/>
              </w:rPr>
              <w:t> </w:t>
            </w:r>
            <w:r>
              <w:rPr>
                <w:b/>
                <w:spacing w:val="-5"/>
                <w:sz w:val="22"/>
              </w:rPr>
              <w:t>31</w:t>
            </w:r>
          </w:p>
        </w:tc>
        <w:tc>
          <w:tcPr>
            <w:tcW w:w="1440" w:type="dxa"/>
            <w:shd w:val="clear" w:color="auto" w:fill="DBE4F0"/>
          </w:tcPr>
          <w:p>
            <w:pPr>
              <w:pStyle w:val="TableParagraph"/>
              <w:rPr>
                <w:sz w:val="24"/>
              </w:rPr>
            </w:pPr>
          </w:p>
          <w:p>
            <w:pPr>
              <w:pStyle w:val="TableParagraph"/>
              <w:spacing w:before="5"/>
              <w:rPr>
                <w:sz w:val="33"/>
              </w:rPr>
            </w:pPr>
          </w:p>
          <w:p>
            <w:pPr>
              <w:pStyle w:val="TableParagraph"/>
              <w:ind w:left="110" w:right="92"/>
              <w:jc w:val="center"/>
              <w:rPr>
                <w:b/>
                <w:sz w:val="22"/>
              </w:rPr>
            </w:pPr>
            <w:r>
              <w:rPr>
                <w:b/>
                <w:sz w:val="22"/>
              </w:rPr>
              <w:t>DY</w:t>
            </w:r>
            <w:r>
              <w:rPr>
                <w:b/>
                <w:spacing w:val="-1"/>
                <w:sz w:val="22"/>
              </w:rPr>
              <w:t> </w:t>
            </w:r>
            <w:r>
              <w:rPr>
                <w:b/>
                <w:spacing w:val="-5"/>
                <w:sz w:val="22"/>
              </w:rPr>
              <w:t>32</w:t>
            </w:r>
          </w:p>
        </w:tc>
      </w:tr>
      <w:tr>
        <w:trPr>
          <w:trHeight w:val="853" w:hRule="atLeast"/>
        </w:trPr>
        <w:tc>
          <w:tcPr>
            <w:tcW w:w="1634" w:type="dxa"/>
          </w:tcPr>
          <w:p>
            <w:pPr>
              <w:pStyle w:val="TableParagraph"/>
              <w:spacing w:before="10"/>
              <w:rPr>
                <w:sz w:val="25"/>
              </w:rPr>
            </w:pPr>
          </w:p>
          <w:p>
            <w:pPr>
              <w:pStyle w:val="TableParagraph"/>
              <w:spacing w:before="1"/>
              <w:ind w:left="167" w:right="155"/>
              <w:jc w:val="center"/>
              <w:rPr>
                <w:sz w:val="22"/>
              </w:rPr>
            </w:pPr>
            <w:r>
              <w:rPr>
                <w:sz w:val="22"/>
              </w:rPr>
              <w:t>Base</w:t>
            </w:r>
            <w:r>
              <w:rPr>
                <w:spacing w:val="-3"/>
                <w:sz w:val="22"/>
              </w:rPr>
              <w:t> </w:t>
            </w:r>
            <w:r>
              <w:rPr>
                <w:spacing w:val="-2"/>
                <w:sz w:val="22"/>
              </w:rPr>
              <w:t>Families</w:t>
            </w:r>
          </w:p>
        </w:tc>
        <w:tc>
          <w:tcPr>
            <w:tcW w:w="784" w:type="dxa"/>
          </w:tcPr>
          <w:p>
            <w:pPr>
              <w:pStyle w:val="TableParagraph"/>
              <w:spacing w:before="10"/>
              <w:rPr>
                <w:sz w:val="25"/>
              </w:rPr>
            </w:pPr>
          </w:p>
          <w:p>
            <w:pPr>
              <w:pStyle w:val="TableParagraph"/>
              <w:spacing w:before="1"/>
              <w:ind w:left="192" w:right="178"/>
              <w:jc w:val="center"/>
              <w:rPr>
                <w:sz w:val="22"/>
              </w:rPr>
            </w:pPr>
            <w:r>
              <w:rPr>
                <w:spacing w:val="-5"/>
                <w:sz w:val="22"/>
              </w:rPr>
              <w:t>PC</w:t>
            </w:r>
          </w:p>
        </w:tc>
        <w:tc>
          <w:tcPr>
            <w:tcW w:w="1442" w:type="dxa"/>
          </w:tcPr>
          <w:p>
            <w:pPr>
              <w:pStyle w:val="TableParagraph"/>
              <w:spacing w:before="10"/>
              <w:rPr>
                <w:sz w:val="25"/>
              </w:rPr>
            </w:pPr>
          </w:p>
          <w:p>
            <w:pPr>
              <w:pStyle w:val="TableParagraph"/>
              <w:spacing w:before="1"/>
              <w:ind w:left="125" w:right="113"/>
              <w:jc w:val="center"/>
              <w:rPr>
                <w:sz w:val="22"/>
              </w:rPr>
            </w:pPr>
            <w:r>
              <w:rPr>
                <w:spacing w:val="-4"/>
                <w:sz w:val="22"/>
              </w:rPr>
              <w:t>Both</w:t>
            </w:r>
          </w:p>
        </w:tc>
        <w:tc>
          <w:tcPr>
            <w:tcW w:w="808" w:type="dxa"/>
          </w:tcPr>
          <w:p>
            <w:pPr>
              <w:pStyle w:val="TableParagraph"/>
              <w:spacing w:before="10"/>
              <w:rPr>
                <w:sz w:val="25"/>
              </w:rPr>
            </w:pPr>
          </w:p>
          <w:p>
            <w:pPr>
              <w:pStyle w:val="TableParagraph"/>
              <w:spacing w:before="1"/>
              <w:ind w:right="168"/>
              <w:jc w:val="right"/>
              <w:rPr>
                <w:sz w:val="22"/>
              </w:rPr>
            </w:pPr>
            <w:r>
              <w:rPr>
                <w:spacing w:val="-4"/>
                <w:sz w:val="22"/>
              </w:rPr>
              <w:t>2019</w:t>
            </w:r>
          </w:p>
        </w:tc>
        <w:tc>
          <w:tcPr>
            <w:tcW w:w="993" w:type="dxa"/>
          </w:tcPr>
          <w:p>
            <w:pPr>
              <w:pStyle w:val="TableParagraph"/>
              <w:spacing w:before="10"/>
              <w:rPr>
                <w:sz w:val="25"/>
              </w:rPr>
            </w:pPr>
          </w:p>
          <w:p>
            <w:pPr>
              <w:pStyle w:val="TableParagraph"/>
              <w:spacing w:before="1"/>
              <w:ind w:left="198" w:right="185"/>
              <w:jc w:val="center"/>
              <w:rPr>
                <w:sz w:val="22"/>
              </w:rPr>
            </w:pPr>
            <w:r>
              <w:rPr>
                <w:spacing w:val="-2"/>
                <w:sz w:val="22"/>
              </w:rPr>
              <w:t>4.80%</w:t>
            </w:r>
          </w:p>
        </w:tc>
        <w:tc>
          <w:tcPr>
            <w:tcW w:w="1437" w:type="dxa"/>
          </w:tcPr>
          <w:p>
            <w:pPr>
              <w:pStyle w:val="TableParagraph"/>
              <w:spacing w:before="10"/>
              <w:rPr>
                <w:sz w:val="25"/>
              </w:rPr>
            </w:pPr>
          </w:p>
          <w:p>
            <w:pPr>
              <w:pStyle w:val="TableParagraph"/>
              <w:spacing w:before="1"/>
              <w:ind w:left="108" w:right="92"/>
              <w:jc w:val="center"/>
              <w:rPr>
                <w:sz w:val="22"/>
              </w:rPr>
            </w:pPr>
            <w:r>
              <w:rPr>
                <w:spacing w:val="-2"/>
                <w:sz w:val="22"/>
              </w:rPr>
              <w:t>$451.74</w:t>
            </w:r>
          </w:p>
        </w:tc>
        <w:tc>
          <w:tcPr>
            <w:tcW w:w="1442" w:type="dxa"/>
          </w:tcPr>
          <w:p>
            <w:pPr>
              <w:pStyle w:val="TableParagraph"/>
              <w:spacing w:before="10"/>
              <w:rPr>
                <w:sz w:val="25"/>
              </w:rPr>
            </w:pPr>
          </w:p>
          <w:p>
            <w:pPr>
              <w:pStyle w:val="TableParagraph"/>
              <w:spacing w:before="1"/>
              <w:ind w:left="128" w:right="111"/>
              <w:jc w:val="center"/>
              <w:rPr>
                <w:sz w:val="22"/>
              </w:rPr>
            </w:pPr>
            <w:r>
              <w:rPr>
                <w:spacing w:val="-2"/>
                <w:sz w:val="22"/>
              </w:rPr>
              <w:t>$465.17</w:t>
            </w:r>
          </w:p>
        </w:tc>
        <w:tc>
          <w:tcPr>
            <w:tcW w:w="1440" w:type="dxa"/>
          </w:tcPr>
          <w:p>
            <w:pPr>
              <w:pStyle w:val="TableParagraph"/>
              <w:spacing w:before="10"/>
              <w:rPr>
                <w:sz w:val="25"/>
              </w:rPr>
            </w:pPr>
          </w:p>
          <w:p>
            <w:pPr>
              <w:pStyle w:val="TableParagraph"/>
              <w:spacing w:before="1"/>
              <w:ind w:left="111" w:right="92"/>
              <w:jc w:val="center"/>
              <w:rPr>
                <w:sz w:val="22"/>
              </w:rPr>
            </w:pPr>
            <w:r>
              <w:rPr>
                <w:spacing w:val="-2"/>
                <w:sz w:val="22"/>
              </w:rPr>
              <w:t>$487.50</w:t>
            </w:r>
          </w:p>
        </w:tc>
        <w:tc>
          <w:tcPr>
            <w:tcW w:w="1531" w:type="dxa"/>
          </w:tcPr>
          <w:p>
            <w:pPr>
              <w:pStyle w:val="TableParagraph"/>
              <w:spacing w:before="10"/>
              <w:rPr>
                <w:sz w:val="25"/>
              </w:rPr>
            </w:pPr>
          </w:p>
          <w:p>
            <w:pPr>
              <w:pStyle w:val="TableParagraph"/>
              <w:spacing w:before="1"/>
              <w:ind w:left="140" w:right="121"/>
              <w:jc w:val="center"/>
              <w:rPr>
                <w:sz w:val="22"/>
              </w:rPr>
            </w:pPr>
            <w:r>
              <w:rPr>
                <w:spacing w:val="-2"/>
                <w:sz w:val="22"/>
              </w:rPr>
              <w:t>$510.90</w:t>
            </w:r>
          </w:p>
        </w:tc>
        <w:tc>
          <w:tcPr>
            <w:tcW w:w="1440" w:type="dxa"/>
          </w:tcPr>
          <w:p>
            <w:pPr>
              <w:pStyle w:val="TableParagraph"/>
              <w:spacing w:before="10"/>
              <w:rPr>
                <w:sz w:val="25"/>
              </w:rPr>
            </w:pPr>
          </w:p>
          <w:p>
            <w:pPr>
              <w:pStyle w:val="TableParagraph"/>
              <w:spacing w:before="1"/>
              <w:ind w:left="111" w:right="92"/>
              <w:jc w:val="center"/>
              <w:rPr>
                <w:sz w:val="22"/>
              </w:rPr>
            </w:pPr>
            <w:r>
              <w:rPr>
                <w:spacing w:val="-2"/>
                <w:sz w:val="22"/>
              </w:rPr>
              <w:t>$535.42</w:t>
            </w:r>
          </w:p>
        </w:tc>
        <w:tc>
          <w:tcPr>
            <w:tcW w:w="1440" w:type="dxa"/>
          </w:tcPr>
          <w:p>
            <w:pPr>
              <w:pStyle w:val="TableParagraph"/>
              <w:spacing w:before="10"/>
              <w:rPr>
                <w:sz w:val="25"/>
              </w:rPr>
            </w:pPr>
          </w:p>
          <w:p>
            <w:pPr>
              <w:pStyle w:val="TableParagraph"/>
              <w:spacing w:before="1"/>
              <w:ind w:left="111" w:right="92"/>
              <w:jc w:val="center"/>
              <w:rPr>
                <w:sz w:val="22"/>
              </w:rPr>
            </w:pPr>
            <w:r>
              <w:rPr>
                <w:spacing w:val="-2"/>
                <w:sz w:val="22"/>
              </w:rPr>
              <w:t>$561.12</w:t>
            </w:r>
          </w:p>
        </w:tc>
      </w:tr>
      <w:tr>
        <w:trPr>
          <w:trHeight w:val="853" w:hRule="atLeast"/>
        </w:trPr>
        <w:tc>
          <w:tcPr>
            <w:tcW w:w="1634" w:type="dxa"/>
          </w:tcPr>
          <w:p>
            <w:pPr>
              <w:pStyle w:val="TableParagraph"/>
              <w:spacing w:before="10"/>
              <w:rPr>
                <w:sz w:val="25"/>
              </w:rPr>
            </w:pPr>
          </w:p>
          <w:p>
            <w:pPr>
              <w:pStyle w:val="TableParagraph"/>
              <w:spacing w:before="1"/>
              <w:ind w:left="167" w:right="154"/>
              <w:jc w:val="center"/>
              <w:rPr>
                <w:sz w:val="22"/>
              </w:rPr>
            </w:pPr>
            <w:r>
              <w:rPr>
                <w:sz w:val="22"/>
              </w:rPr>
              <w:t>Base</w:t>
            </w:r>
            <w:r>
              <w:rPr>
                <w:spacing w:val="-3"/>
                <w:sz w:val="22"/>
              </w:rPr>
              <w:t> </w:t>
            </w:r>
            <w:r>
              <w:rPr>
                <w:spacing w:val="-2"/>
                <w:sz w:val="22"/>
              </w:rPr>
              <w:t>Disabled</w:t>
            </w:r>
          </w:p>
        </w:tc>
        <w:tc>
          <w:tcPr>
            <w:tcW w:w="784" w:type="dxa"/>
          </w:tcPr>
          <w:p>
            <w:pPr>
              <w:pStyle w:val="TableParagraph"/>
              <w:spacing w:before="10"/>
              <w:rPr>
                <w:sz w:val="25"/>
              </w:rPr>
            </w:pPr>
          </w:p>
          <w:p>
            <w:pPr>
              <w:pStyle w:val="TableParagraph"/>
              <w:spacing w:before="1"/>
              <w:ind w:left="191" w:right="178"/>
              <w:jc w:val="center"/>
              <w:rPr>
                <w:sz w:val="22"/>
              </w:rPr>
            </w:pPr>
            <w:r>
              <w:rPr>
                <w:spacing w:val="-5"/>
                <w:sz w:val="22"/>
              </w:rPr>
              <w:t>PC</w:t>
            </w:r>
          </w:p>
        </w:tc>
        <w:tc>
          <w:tcPr>
            <w:tcW w:w="1442" w:type="dxa"/>
          </w:tcPr>
          <w:p>
            <w:pPr>
              <w:pStyle w:val="TableParagraph"/>
              <w:spacing w:before="10"/>
              <w:rPr>
                <w:sz w:val="25"/>
              </w:rPr>
            </w:pPr>
          </w:p>
          <w:p>
            <w:pPr>
              <w:pStyle w:val="TableParagraph"/>
              <w:spacing w:before="1"/>
              <w:ind w:left="125" w:right="113"/>
              <w:jc w:val="center"/>
              <w:rPr>
                <w:sz w:val="22"/>
              </w:rPr>
            </w:pPr>
            <w:r>
              <w:rPr>
                <w:spacing w:val="-4"/>
                <w:sz w:val="22"/>
              </w:rPr>
              <w:t>Both</w:t>
            </w:r>
          </w:p>
        </w:tc>
        <w:tc>
          <w:tcPr>
            <w:tcW w:w="808" w:type="dxa"/>
          </w:tcPr>
          <w:p>
            <w:pPr>
              <w:pStyle w:val="TableParagraph"/>
              <w:spacing w:before="10"/>
              <w:rPr>
                <w:sz w:val="25"/>
              </w:rPr>
            </w:pPr>
          </w:p>
          <w:p>
            <w:pPr>
              <w:pStyle w:val="TableParagraph"/>
              <w:spacing w:before="1"/>
              <w:ind w:right="168"/>
              <w:jc w:val="right"/>
              <w:rPr>
                <w:sz w:val="22"/>
              </w:rPr>
            </w:pPr>
            <w:r>
              <w:rPr>
                <w:spacing w:val="-4"/>
                <w:sz w:val="22"/>
              </w:rPr>
              <w:t>2019</w:t>
            </w:r>
          </w:p>
        </w:tc>
        <w:tc>
          <w:tcPr>
            <w:tcW w:w="993" w:type="dxa"/>
          </w:tcPr>
          <w:p>
            <w:pPr>
              <w:pStyle w:val="TableParagraph"/>
              <w:spacing w:before="10"/>
              <w:rPr>
                <w:sz w:val="25"/>
              </w:rPr>
            </w:pPr>
          </w:p>
          <w:p>
            <w:pPr>
              <w:pStyle w:val="TableParagraph"/>
              <w:spacing w:before="1"/>
              <w:ind w:left="198" w:right="185"/>
              <w:jc w:val="center"/>
              <w:rPr>
                <w:sz w:val="22"/>
              </w:rPr>
            </w:pPr>
            <w:r>
              <w:rPr>
                <w:spacing w:val="-2"/>
                <w:sz w:val="22"/>
              </w:rPr>
              <w:t>4.80%</w:t>
            </w:r>
          </w:p>
        </w:tc>
        <w:tc>
          <w:tcPr>
            <w:tcW w:w="1437" w:type="dxa"/>
          </w:tcPr>
          <w:p>
            <w:pPr>
              <w:pStyle w:val="TableParagraph"/>
              <w:spacing w:before="10"/>
              <w:rPr>
                <w:sz w:val="25"/>
              </w:rPr>
            </w:pPr>
          </w:p>
          <w:p>
            <w:pPr>
              <w:pStyle w:val="TableParagraph"/>
              <w:spacing w:before="1"/>
              <w:ind w:left="108" w:right="90"/>
              <w:jc w:val="center"/>
              <w:rPr>
                <w:sz w:val="22"/>
              </w:rPr>
            </w:pPr>
            <w:r>
              <w:rPr>
                <w:spacing w:val="-2"/>
                <w:sz w:val="22"/>
              </w:rPr>
              <w:t>$1,315.34</w:t>
            </w:r>
          </w:p>
        </w:tc>
        <w:tc>
          <w:tcPr>
            <w:tcW w:w="1442" w:type="dxa"/>
          </w:tcPr>
          <w:p>
            <w:pPr>
              <w:pStyle w:val="TableParagraph"/>
              <w:spacing w:before="10"/>
              <w:rPr>
                <w:sz w:val="25"/>
              </w:rPr>
            </w:pPr>
          </w:p>
          <w:p>
            <w:pPr>
              <w:pStyle w:val="TableParagraph"/>
              <w:spacing w:before="1"/>
              <w:ind w:left="128" w:right="109"/>
              <w:jc w:val="center"/>
              <w:rPr>
                <w:sz w:val="22"/>
              </w:rPr>
            </w:pPr>
            <w:r>
              <w:rPr>
                <w:spacing w:val="-2"/>
                <w:sz w:val="22"/>
              </w:rPr>
              <w:t>$1,354.45</w:t>
            </w:r>
          </w:p>
        </w:tc>
        <w:tc>
          <w:tcPr>
            <w:tcW w:w="1440" w:type="dxa"/>
          </w:tcPr>
          <w:p>
            <w:pPr>
              <w:pStyle w:val="TableParagraph"/>
              <w:spacing w:before="10"/>
              <w:rPr>
                <w:sz w:val="25"/>
              </w:rPr>
            </w:pPr>
          </w:p>
          <w:p>
            <w:pPr>
              <w:pStyle w:val="TableParagraph"/>
              <w:spacing w:before="1"/>
              <w:ind w:left="109" w:right="92"/>
              <w:jc w:val="center"/>
              <w:rPr>
                <w:sz w:val="22"/>
              </w:rPr>
            </w:pPr>
            <w:r>
              <w:rPr>
                <w:spacing w:val="-2"/>
                <w:sz w:val="22"/>
              </w:rPr>
              <w:t>$1,419.47</w:t>
            </w:r>
          </w:p>
        </w:tc>
        <w:tc>
          <w:tcPr>
            <w:tcW w:w="1531" w:type="dxa"/>
          </w:tcPr>
          <w:p>
            <w:pPr>
              <w:pStyle w:val="TableParagraph"/>
              <w:spacing w:before="10"/>
              <w:rPr>
                <w:sz w:val="25"/>
              </w:rPr>
            </w:pPr>
          </w:p>
          <w:p>
            <w:pPr>
              <w:pStyle w:val="TableParagraph"/>
              <w:spacing w:before="1"/>
              <w:ind w:left="140" w:right="123"/>
              <w:jc w:val="center"/>
              <w:rPr>
                <w:sz w:val="22"/>
              </w:rPr>
            </w:pPr>
            <w:r>
              <w:rPr>
                <w:spacing w:val="-2"/>
                <w:sz w:val="22"/>
              </w:rPr>
              <w:t>$1,487.60</w:t>
            </w:r>
          </w:p>
        </w:tc>
        <w:tc>
          <w:tcPr>
            <w:tcW w:w="1440" w:type="dxa"/>
          </w:tcPr>
          <w:p>
            <w:pPr>
              <w:pStyle w:val="TableParagraph"/>
              <w:spacing w:before="10"/>
              <w:rPr>
                <w:sz w:val="25"/>
              </w:rPr>
            </w:pPr>
          </w:p>
          <w:p>
            <w:pPr>
              <w:pStyle w:val="TableParagraph"/>
              <w:spacing w:before="1"/>
              <w:ind w:left="109" w:right="92"/>
              <w:jc w:val="center"/>
              <w:rPr>
                <w:sz w:val="22"/>
              </w:rPr>
            </w:pPr>
            <w:r>
              <w:rPr>
                <w:spacing w:val="-2"/>
                <w:sz w:val="22"/>
              </w:rPr>
              <w:t>$1,559.01</w:t>
            </w:r>
          </w:p>
        </w:tc>
        <w:tc>
          <w:tcPr>
            <w:tcW w:w="1440" w:type="dxa"/>
          </w:tcPr>
          <w:p>
            <w:pPr>
              <w:pStyle w:val="TableParagraph"/>
              <w:spacing w:before="10"/>
              <w:rPr>
                <w:sz w:val="25"/>
              </w:rPr>
            </w:pPr>
          </w:p>
          <w:p>
            <w:pPr>
              <w:pStyle w:val="TableParagraph"/>
              <w:spacing w:before="1"/>
              <w:ind w:left="109" w:right="92"/>
              <w:jc w:val="center"/>
              <w:rPr>
                <w:sz w:val="22"/>
              </w:rPr>
            </w:pPr>
            <w:r>
              <w:rPr>
                <w:spacing w:val="-2"/>
                <w:sz w:val="22"/>
              </w:rPr>
              <w:t>$1,633.84</w:t>
            </w:r>
          </w:p>
        </w:tc>
      </w:tr>
      <w:tr>
        <w:trPr>
          <w:trHeight w:val="854" w:hRule="atLeast"/>
        </w:trPr>
        <w:tc>
          <w:tcPr>
            <w:tcW w:w="1634" w:type="dxa"/>
          </w:tcPr>
          <w:p>
            <w:pPr>
              <w:pStyle w:val="TableParagraph"/>
              <w:spacing w:before="171"/>
              <w:ind w:left="357"/>
              <w:rPr>
                <w:sz w:val="22"/>
              </w:rPr>
            </w:pPr>
            <w:r>
              <w:rPr>
                <w:spacing w:val="-2"/>
                <w:sz w:val="22"/>
              </w:rPr>
              <w:t>1902(r)(2)</w:t>
            </w:r>
          </w:p>
          <w:p>
            <w:pPr>
              <w:pStyle w:val="TableParagraph"/>
              <w:spacing w:before="1"/>
              <w:ind w:left="431"/>
              <w:rPr>
                <w:sz w:val="22"/>
              </w:rPr>
            </w:pPr>
            <w:r>
              <w:rPr>
                <w:spacing w:val="-2"/>
                <w:sz w:val="22"/>
              </w:rPr>
              <w:t>Children</w:t>
            </w:r>
          </w:p>
        </w:tc>
        <w:tc>
          <w:tcPr>
            <w:tcW w:w="784" w:type="dxa"/>
          </w:tcPr>
          <w:p>
            <w:pPr>
              <w:pStyle w:val="TableParagraph"/>
              <w:spacing w:before="10"/>
              <w:rPr>
                <w:sz w:val="25"/>
              </w:rPr>
            </w:pPr>
          </w:p>
          <w:p>
            <w:pPr>
              <w:pStyle w:val="TableParagraph"/>
              <w:spacing w:before="1"/>
              <w:ind w:left="191" w:right="178"/>
              <w:jc w:val="center"/>
              <w:rPr>
                <w:sz w:val="22"/>
              </w:rPr>
            </w:pPr>
            <w:r>
              <w:rPr>
                <w:spacing w:val="-5"/>
                <w:sz w:val="22"/>
              </w:rPr>
              <w:t>PC</w:t>
            </w:r>
          </w:p>
        </w:tc>
        <w:tc>
          <w:tcPr>
            <w:tcW w:w="1442" w:type="dxa"/>
          </w:tcPr>
          <w:p>
            <w:pPr>
              <w:pStyle w:val="TableParagraph"/>
              <w:spacing w:before="10"/>
              <w:rPr>
                <w:sz w:val="25"/>
              </w:rPr>
            </w:pPr>
          </w:p>
          <w:p>
            <w:pPr>
              <w:pStyle w:val="TableParagraph"/>
              <w:spacing w:before="1"/>
              <w:ind w:left="125" w:right="113"/>
              <w:jc w:val="center"/>
              <w:rPr>
                <w:sz w:val="22"/>
              </w:rPr>
            </w:pPr>
            <w:r>
              <w:rPr>
                <w:spacing w:val="-4"/>
                <w:sz w:val="22"/>
              </w:rPr>
              <w:t>Both</w:t>
            </w:r>
          </w:p>
        </w:tc>
        <w:tc>
          <w:tcPr>
            <w:tcW w:w="808" w:type="dxa"/>
          </w:tcPr>
          <w:p>
            <w:pPr>
              <w:pStyle w:val="TableParagraph"/>
              <w:spacing w:before="10"/>
              <w:rPr>
                <w:sz w:val="25"/>
              </w:rPr>
            </w:pPr>
          </w:p>
          <w:p>
            <w:pPr>
              <w:pStyle w:val="TableParagraph"/>
              <w:spacing w:before="1"/>
              <w:ind w:right="168"/>
              <w:jc w:val="right"/>
              <w:rPr>
                <w:sz w:val="22"/>
              </w:rPr>
            </w:pPr>
            <w:r>
              <w:rPr>
                <w:spacing w:val="-4"/>
                <w:sz w:val="22"/>
              </w:rPr>
              <w:t>2019</w:t>
            </w:r>
          </w:p>
        </w:tc>
        <w:tc>
          <w:tcPr>
            <w:tcW w:w="993" w:type="dxa"/>
          </w:tcPr>
          <w:p>
            <w:pPr>
              <w:pStyle w:val="TableParagraph"/>
              <w:spacing w:before="10"/>
              <w:rPr>
                <w:sz w:val="25"/>
              </w:rPr>
            </w:pPr>
          </w:p>
          <w:p>
            <w:pPr>
              <w:pStyle w:val="TableParagraph"/>
              <w:spacing w:before="1"/>
              <w:ind w:left="198" w:right="185"/>
              <w:jc w:val="center"/>
              <w:rPr>
                <w:sz w:val="22"/>
              </w:rPr>
            </w:pPr>
            <w:r>
              <w:rPr>
                <w:spacing w:val="-2"/>
                <w:sz w:val="22"/>
              </w:rPr>
              <w:t>4.80%</w:t>
            </w:r>
          </w:p>
        </w:tc>
        <w:tc>
          <w:tcPr>
            <w:tcW w:w="1437" w:type="dxa"/>
          </w:tcPr>
          <w:p>
            <w:pPr>
              <w:pStyle w:val="TableParagraph"/>
              <w:spacing w:before="10"/>
              <w:rPr>
                <w:sz w:val="25"/>
              </w:rPr>
            </w:pPr>
          </w:p>
          <w:p>
            <w:pPr>
              <w:pStyle w:val="TableParagraph"/>
              <w:spacing w:before="1"/>
              <w:ind w:left="107" w:right="92"/>
              <w:jc w:val="center"/>
              <w:rPr>
                <w:sz w:val="22"/>
              </w:rPr>
            </w:pPr>
            <w:r>
              <w:rPr>
                <w:spacing w:val="-2"/>
                <w:sz w:val="22"/>
              </w:rPr>
              <w:t>$460.97</w:t>
            </w:r>
          </w:p>
        </w:tc>
        <w:tc>
          <w:tcPr>
            <w:tcW w:w="1442" w:type="dxa"/>
          </w:tcPr>
          <w:p>
            <w:pPr>
              <w:pStyle w:val="TableParagraph"/>
              <w:spacing w:before="10"/>
              <w:rPr>
                <w:sz w:val="25"/>
              </w:rPr>
            </w:pPr>
          </w:p>
          <w:p>
            <w:pPr>
              <w:pStyle w:val="TableParagraph"/>
              <w:spacing w:before="1"/>
              <w:ind w:left="128" w:right="112"/>
              <w:jc w:val="center"/>
              <w:rPr>
                <w:sz w:val="22"/>
              </w:rPr>
            </w:pPr>
            <w:r>
              <w:rPr>
                <w:spacing w:val="-2"/>
                <w:sz w:val="22"/>
              </w:rPr>
              <w:t>$474.68</w:t>
            </w:r>
          </w:p>
        </w:tc>
        <w:tc>
          <w:tcPr>
            <w:tcW w:w="1440" w:type="dxa"/>
          </w:tcPr>
          <w:p>
            <w:pPr>
              <w:pStyle w:val="TableParagraph"/>
              <w:spacing w:before="10"/>
              <w:rPr>
                <w:sz w:val="25"/>
              </w:rPr>
            </w:pPr>
          </w:p>
          <w:p>
            <w:pPr>
              <w:pStyle w:val="TableParagraph"/>
              <w:spacing w:before="1"/>
              <w:ind w:left="111" w:right="92"/>
              <w:jc w:val="center"/>
              <w:rPr>
                <w:sz w:val="22"/>
              </w:rPr>
            </w:pPr>
            <w:r>
              <w:rPr>
                <w:spacing w:val="-2"/>
                <w:sz w:val="22"/>
              </w:rPr>
              <w:t>$497.46</w:t>
            </w:r>
          </w:p>
        </w:tc>
        <w:tc>
          <w:tcPr>
            <w:tcW w:w="1531" w:type="dxa"/>
          </w:tcPr>
          <w:p>
            <w:pPr>
              <w:pStyle w:val="TableParagraph"/>
              <w:spacing w:before="10"/>
              <w:rPr>
                <w:sz w:val="25"/>
              </w:rPr>
            </w:pPr>
          </w:p>
          <w:p>
            <w:pPr>
              <w:pStyle w:val="TableParagraph"/>
              <w:spacing w:before="1"/>
              <w:ind w:left="140" w:right="121"/>
              <w:jc w:val="center"/>
              <w:rPr>
                <w:sz w:val="22"/>
              </w:rPr>
            </w:pPr>
            <w:r>
              <w:rPr>
                <w:spacing w:val="-2"/>
                <w:sz w:val="22"/>
              </w:rPr>
              <w:t>$521.34</w:t>
            </w:r>
          </w:p>
        </w:tc>
        <w:tc>
          <w:tcPr>
            <w:tcW w:w="1440" w:type="dxa"/>
          </w:tcPr>
          <w:p>
            <w:pPr>
              <w:pStyle w:val="TableParagraph"/>
              <w:spacing w:before="10"/>
              <w:rPr>
                <w:sz w:val="25"/>
              </w:rPr>
            </w:pPr>
          </w:p>
          <w:p>
            <w:pPr>
              <w:pStyle w:val="TableParagraph"/>
              <w:spacing w:before="1"/>
              <w:ind w:left="111" w:right="92"/>
              <w:jc w:val="center"/>
              <w:rPr>
                <w:sz w:val="22"/>
              </w:rPr>
            </w:pPr>
            <w:r>
              <w:rPr>
                <w:spacing w:val="-2"/>
                <w:sz w:val="22"/>
              </w:rPr>
              <w:t>$546.36</w:t>
            </w:r>
          </w:p>
        </w:tc>
        <w:tc>
          <w:tcPr>
            <w:tcW w:w="1440" w:type="dxa"/>
          </w:tcPr>
          <w:p>
            <w:pPr>
              <w:pStyle w:val="TableParagraph"/>
              <w:spacing w:before="10"/>
              <w:rPr>
                <w:sz w:val="25"/>
              </w:rPr>
            </w:pPr>
          </w:p>
          <w:p>
            <w:pPr>
              <w:pStyle w:val="TableParagraph"/>
              <w:spacing w:before="1"/>
              <w:ind w:left="111" w:right="92"/>
              <w:jc w:val="center"/>
              <w:rPr>
                <w:sz w:val="22"/>
              </w:rPr>
            </w:pPr>
            <w:r>
              <w:rPr>
                <w:spacing w:val="-2"/>
                <w:sz w:val="22"/>
              </w:rPr>
              <w:t>$572.59</w:t>
            </w:r>
          </w:p>
        </w:tc>
      </w:tr>
      <w:tr>
        <w:trPr>
          <w:trHeight w:val="853" w:hRule="atLeast"/>
        </w:trPr>
        <w:tc>
          <w:tcPr>
            <w:tcW w:w="1634" w:type="dxa"/>
          </w:tcPr>
          <w:p>
            <w:pPr>
              <w:pStyle w:val="TableParagraph"/>
              <w:spacing w:before="171"/>
              <w:ind w:left="357"/>
              <w:rPr>
                <w:sz w:val="22"/>
              </w:rPr>
            </w:pPr>
            <w:r>
              <w:rPr>
                <w:spacing w:val="-2"/>
                <w:sz w:val="22"/>
              </w:rPr>
              <w:t>1902(r)(2)</w:t>
            </w:r>
          </w:p>
          <w:p>
            <w:pPr>
              <w:pStyle w:val="TableParagraph"/>
              <w:spacing w:before="1"/>
              <w:ind w:left="424"/>
              <w:rPr>
                <w:sz w:val="22"/>
              </w:rPr>
            </w:pPr>
            <w:r>
              <w:rPr>
                <w:spacing w:val="-2"/>
                <w:sz w:val="22"/>
              </w:rPr>
              <w:t>Disabled</w:t>
            </w:r>
          </w:p>
        </w:tc>
        <w:tc>
          <w:tcPr>
            <w:tcW w:w="784" w:type="dxa"/>
          </w:tcPr>
          <w:p>
            <w:pPr>
              <w:pStyle w:val="TableParagraph"/>
              <w:spacing w:before="10"/>
              <w:rPr>
                <w:sz w:val="25"/>
              </w:rPr>
            </w:pPr>
          </w:p>
          <w:p>
            <w:pPr>
              <w:pStyle w:val="TableParagraph"/>
              <w:spacing w:before="1"/>
              <w:ind w:left="191" w:right="178"/>
              <w:jc w:val="center"/>
              <w:rPr>
                <w:sz w:val="22"/>
              </w:rPr>
            </w:pPr>
            <w:r>
              <w:rPr>
                <w:spacing w:val="-5"/>
                <w:sz w:val="22"/>
              </w:rPr>
              <w:t>PC</w:t>
            </w:r>
          </w:p>
        </w:tc>
        <w:tc>
          <w:tcPr>
            <w:tcW w:w="1442" w:type="dxa"/>
          </w:tcPr>
          <w:p>
            <w:pPr>
              <w:pStyle w:val="TableParagraph"/>
              <w:spacing w:before="10"/>
              <w:rPr>
                <w:sz w:val="25"/>
              </w:rPr>
            </w:pPr>
          </w:p>
          <w:p>
            <w:pPr>
              <w:pStyle w:val="TableParagraph"/>
              <w:spacing w:before="1"/>
              <w:ind w:left="125" w:right="113"/>
              <w:jc w:val="center"/>
              <w:rPr>
                <w:sz w:val="22"/>
              </w:rPr>
            </w:pPr>
            <w:r>
              <w:rPr>
                <w:spacing w:val="-4"/>
                <w:sz w:val="22"/>
              </w:rPr>
              <w:t>Both</w:t>
            </w:r>
          </w:p>
        </w:tc>
        <w:tc>
          <w:tcPr>
            <w:tcW w:w="808" w:type="dxa"/>
          </w:tcPr>
          <w:p>
            <w:pPr>
              <w:pStyle w:val="TableParagraph"/>
              <w:spacing w:before="10"/>
              <w:rPr>
                <w:sz w:val="25"/>
              </w:rPr>
            </w:pPr>
          </w:p>
          <w:p>
            <w:pPr>
              <w:pStyle w:val="TableParagraph"/>
              <w:spacing w:before="1"/>
              <w:ind w:right="168"/>
              <w:jc w:val="right"/>
              <w:rPr>
                <w:sz w:val="22"/>
              </w:rPr>
            </w:pPr>
            <w:r>
              <w:rPr>
                <w:spacing w:val="-4"/>
                <w:sz w:val="22"/>
              </w:rPr>
              <w:t>2019</w:t>
            </w:r>
          </w:p>
        </w:tc>
        <w:tc>
          <w:tcPr>
            <w:tcW w:w="993" w:type="dxa"/>
          </w:tcPr>
          <w:p>
            <w:pPr>
              <w:pStyle w:val="TableParagraph"/>
              <w:spacing w:before="10"/>
              <w:rPr>
                <w:sz w:val="25"/>
              </w:rPr>
            </w:pPr>
          </w:p>
          <w:p>
            <w:pPr>
              <w:pStyle w:val="TableParagraph"/>
              <w:spacing w:before="1"/>
              <w:ind w:left="198" w:right="185"/>
              <w:jc w:val="center"/>
              <w:rPr>
                <w:sz w:val="22"/>
              </w:rPr>
            </w:pPr>
            <w:r>
              <w:rPr>
                <w:spacing w:val="-2"/>
                <w:sz w:val="22"/>
              </w:rPr>
              <w:t>4.80%</w:t>
            </w:r>
          </w:p>
        </w:tc>
        <w:tc>
          <w:tcPr>
            <w:tcW w:w="1437" w:type="dxa"/>
          </w:tcPr>
          <w:p>
            <w:pPr>
              <w:pStyle w:val="TableParagraph"/>
              <w:spacing w:before="10"/>
              <w:rPr>
                <w:sz w:val="25"/>
              </w:rPr>
            </w:pPr>
          </w:p>
          <w:p>
            <w:pPr>
              <w:pStyle w:val="TableParagraph"/>
              <w:spacing w:before="1"/>
              <w:ind w:left="107" w:right="92"/>
              <w:jc w:val="center"/>
              <w:rPr>
                <w:sz w:val="22"/>
              </w:rPr>
            </w:pPr>
            <w:r>
              <w:rPr>
                <w:spacing w:val="-2"/>
                <w:sz w:val="22"/>
              </w:rPr>
              <w:t>$586.71</w:t>
            </w:r>
          </w:p>
        </w:tc>
        <w:tc>
          <w:tcPr>
            <w:tcW w:w="1442" w:type="dxa"/>
          </w:tcPr>
          <w:p>
            <w:pPr>
              <w:pStyle w:val="TableParagraph"/>
              <w:spacing w:before="10"/>
              <w:rPr>
                <w:sz w:val="25"/>
              </w:rPr>
            </w:pPr>
          </w:p>
          <w:p>
            <w:pPr>
              <w:pStyle w:val="TableParagraph"/>
              <w:spacing w:before="1"/>
              <w:ind w:left="128" w:right="112"/>
              <w:jc w:val="center"/>
              <w:rPr>
                <w:sz w:val="22"/>
              </w:rPr>
            </w:pPr>
            <w:r>
              <w:rPr>
                <w:spacing w:val="-2"/>
                <w:sz w:val="22"/>
              </w:rPr>
              <w:t>$604.16</w:t>
            </w:r>
          </w:p>
        </w:tc>
        <w:tc>
          <w:tcPr>
            <w:tcW w:w="1440" w:type="dxa"/>
          </w:tcPr>
          <w:p>
            <w:pPr>
              <w:pStyle w:val="TableParagraph"/>
              <w:spacing w:before="10"/>
              <w:rPr>
                <w:sz w:val="25"/>
              </w:rPr>
            </w:pPr>
          </w:p>
          <w:p>
            <w:pPr>
              <w:pStyle w:val="TableParagraph"/>
              <w:spacing w:before="1"/>
              <w:ind w:left="111" w:right="92"/>
              <w:jc w:val="center"/>
              <w:rPr>
                <w:sz w:val="22"/>
              </w:rPr>
            </w:pPr>
            <w:r>
              <w:rPr>
                <w:spacing w:val="-2"/>
                <w:sz w:val="22"/>
              </w:rPr>
              <w:t>$633.16</w:t>
            </w:r>
          </w:p>
        </w:tc>
        <w:tc>
          <w:tcPr>
            <w:tcW w:w="1531" w:type="dxa"/>
          </w:tcPr>
          <w:p>
            <w:pPr>
              <w:pStyle w:val="TableParagraph"/>
              <w:spacing w:before="10"/>
              <w:rPr>
                <w:sz w:val="25"/>
              </w:rPr>
            </w:pPr>
          </w:p>
          <w:p>
            <w:pPr>
              <w:pStyle w:val="TableParagraph"/>
              <w:spacing w:before="1"/>
              <w:ind w:left="140" w:right="121"/>
              <w:jc w:val="center"/>
              <w:rPr>
                <w:sz w:val="22"/>
              </w:rPr>
            </w:pPr>
            <w:r>
              <w:rPr>
                <w:spacing w:val="-2"/>
                <w:sz w:val="22"/>
              </w:rPr>
              <w:t>$663.55</w:t>
            </w:r>
          </w:p>
        </w:tc>
        <w:tc>
          <w:tcPr>
            <w:tcW w:w="1440" w:type="dxa"/>
          </w:tcPr>
          <w:p>
            <w:pPr>
              <w:pStyle w:val="TableParagraph"/>
              <w:spacing w:before="10"/>
              <w:rPr>
                <w:sz w:val="25"/>
              </w:rPr>
            </w:pPr>
          </w:p>
          <w:p>
            <w:pPr>
              <w:pStyle w:val="TableParagraph"/>
              <w:spacing w:before="1"/>
              <w:ind w:left="111" w:right="92"/>
              <w:jc w:val="center"/>
              <w:rPr>
                <w:sz w:val="22"/>
              </w:rPr>
            </w:pPr>
            <w:r>
              <w:rPr>
                <w:spacing w:val="-2"/>
                <w:sz w:val="22"/>
              </w:rPr>
              <w:t>$695.40</w:t>
            </w:r>
          </w:p>
        </w:tc>
        <w:tc>
          <w:tcPr>
            <w:tcW w:w="1440" w:type="dxa"/>
          </w:tcPr>
          <w:p>
            <w:pPr>
              <w:pStyle w:val="TableParagraph"/>
              <w:spacing w:before="10"/>
              <w:rPr>
                <w:sz w:val="25"/>
              </w:rPr>
            </w:pPr>
          </w:p>
          <w:p>
            <w:pPr>
              <w:pStyle w:val="TableParagraph"/>
              <w:spacing w:before="1"/>
              <w:ind w:left="111" w:right="92"/>
              <w:jc w:val="center"/>
              <w:rPr>
                <w:sz w:val="22"/>
              </w:rPr>
            </w:pPr>
            <w:r>
              <w:rPr>
                <w:spacing w:val="-2"/>
                <w:sz w:val="22"/>
              </w:rPr>
              <w:t>$728.78</w:t>
            </w:r>
          </w:p>
        </w:tc>
      </w:tr>
      <w:tr>
        <w:trPr>
          <w:trHeight w:val="853" w:hRule="atLeast"/>
        </w:trPr>
        <w:tc>
          <w:tcPr>
            <w:tcW w:w="1634" w:type="dxa"/>
          </w:tcPr>
          <w:p>
            <w:pPr>
              <w:pStyle w:val="TableParagraph"/>
              <w:spacing w:before="10"/>
              <w:rPr>
                <w:sz w:val="25"/>
              </w:rPr>
            </w:pPr>
          </w:p>
          <w:p>
            <w:pPr>
              <w:pStyle w:val="TableParagraph"/>
              <w:spacing w:before="1"/>
              <w:ind w:left="162" w:right="155"/>
              <w:jc w:val="center"/>
              <w:rPr>
                <w:sz w:val="22"/>
              </w:rPr>
            </w:pPr>
            <w:r>
              <w:rPr>
                <w:spacing w:val="-2"/>
                <w:sz w:val="22"/>
              </w:rPr>
              <w:t>BCCDP</w:t>
            </w:r>
          </w:p>
        </w:tc>
        <w:tc>
          <w:tcPr>
            <w:tcW w:w="784" w:type="dxa"/>
          </w:tcPr>
          <w:p>
            <w:pPr>
              <w:pStyle w:val="TableParagraph"/>
              <w:spacing w:before="10"/>
              <w:rPr>
                <w:sz w:val="25"/>
              </w:rPr>
            </w:pPr>
          </w:p>
          <w:p>
            <w:pPr>
              <w:pStyle w:val="TableParagraph"/>
              <w:spacing w:before="1"/>
              <w:ind w:left="192" w:right="178"/>
              <w:jc w:val="center"/>
              <w:rPr>
                <w:sz w:val="22"/>
              </w:rPr>
            </w:pPr>
            <w:r>
              <w:rPr>
                <w:spacing w:val="-5"/>
                <w:sz w:val="22"/>
              </w:rPr>
              <w:t>PC</w:t>
            </w:r>
          </w:p>
        </w:tc>
        <w:tc>
          <w:tcPr>
            <w:tcW w:w="1442" w:type="dxa"/>
          </w:tcPr>
          <w:p>
            <w:pPr>
              <w:pStyle w:val="TableParagraph"/>
              <w:spacing w:before="10"/>
              <w:rPr>
                <w:sz w:val="25"/>
              </w:rPr>
            </w:pPr>
          </w:p>
          <w:p>
            <w:pPr>
              <w:pStyle w:val="TableParagraph"/>
              <w:spacing w:before="1"/>
              <w:ind w:left="125" w:right="113"/>
              <w:jc w:val="center"/>
              <w:rPr>
                <w:sz w:val="22"/>
              </w:rPr>
            </w:pPr>
            <w:r>
              <w:rPr>
                <w:spacing w:val="-4"/>
                <w:sz w:val="22"/>
              </w:rPr>
              <w:t>Both</w:t>
            </w:r>
          </w:p>
        </w:tc>
        <w:tc>
          <w:tcPr>
            <w:tcW w:w="808" w:type="dxa"/>
          </w:tcPr>
          <w:p>
            <w:pPr>
              <w:pStyle w:val="TableParagraph"/>
              <w:spacing w:before="10"/>
              <w:rPr>
                <w:sz w:val="25"/>
              </w:rPr>
            </w:pPr>
          </w:p>
          <w:p>
            <w:pPr>
              <w:pStyle w:val="TableParagraph"/>
              <w:spacing w:before="1"/>
              <w:ind w:right="168"/>
              <w:jc w:val="right"/>
              <w:rPr>
                <w:sz w:val="22"/>
              </w:rPr>
            </w:pPr>
            <w:r>
              <w:rPr>
                <w:spacing w:val="-4"/>
                <w:sz w:val="22"/>
              </w:rPr>
              <w:t>2019</w:t>
            </w:r>
          </w:p>
        </w:tc>
        <w:tc>
          <w:tcPr>
            <w:tcW w:w="993" w:type="dxa"/>
          </w:tcPr>
          <w:p>
            <w:pPr>
              <w:pStyle w:val="TableParagraph"/>
              <w:spacing w:before="10"/>
              <w:rPr>
                <w:sz w:val="25"/>
              </w:rPr>
            </w:pPr>
          </w:p>
          <w:p>
            <w:pPr>
              <w:pStyle w:val="TableParagraph"/>
              <w:spacing w:before="1"/>
              <w:ind w:left="198" w:right="185"/>
              <w:jc w:val="center"/>
              <w:rPr>
                <w:sz w:val="22"/>
              </w:rPr>
            </w:pPr>
            <w:r>
              <w:rPr>
                <w:spacing w:val="-2"/>
                <w:sz w:val="22"/>
              </w:rPr>
              <w:t>5.50%</w:t>
            </w:r>
          </w:p>
        </w:tc>
        <w:tc>
          <w:tcPr>
            <w:tcW w:w="1437" w:type="dxa"/>
          </w:tcPr>
          <w:p>
            <w:pPr>
              <w:pStyle w:val="TableParagraph"/>
              <w:spacing w:before="10"/>
              <w:rPr>
                <w:sz w:val="25"/>
              </w:rPr>
            </w:pPr>
          </w:p>
          <w:p>
            <w:pPr>
              <w:pStyle w:val="TableParagraph"/>
              <w:spacing w:before="1"/>
              <w:ind w:left="108" w:right="90"/>
              <w:jc w:val="center"/>
              <w:rPr>
                <w:sz w:val="22"/>
              </w:rPr>
            </w:pPr>
            <w:r>
              <w:rPr>
                <w:spacing w:val="-2"/>
                <w:sz w:val="22"/>
              </w:rPr>
              <w:t>$2,125.26</w:t>
            </w:r>
          </w:p>
        </w:tc>
        <w:tc>
          <w:tcPr>
            <w:tcW w:w="1442" w:type="dxa"/>
          </w:tcPr>
          <w:p>
            <w:pPr>
              <w:pStyle w:val="TableParagraph"/>
              <w:spacing w:before="10"/>
              <w:rPr>
                <w:sz w:val="25"/>
              </w:rPr>
            </w:pPr>
          </w:p>
          <w:p>
            <w:pPr>
              <w:pStyle w:val="TableParagraph"/>
              <w:spacing w:before="1"/>
              <w:ind w:left="128" w:right="109"/>
              <w:jc w:val="center"/>
              <w:rPr>
                <w:sz w:val="22"/>
              </w:rPr>
            </w:pPr>
            <w:r>
              <w:rPr>
                <w:spacing w:val="-2"/>
                <w:sz w:val="22"/>
              </w:rPr>
              <w:t>$2,197.58</w:t>
            </w:r>
          </w:p>
        </w:tc>
        <w:tc>
          <w:tcPr>
            <w:tcW w:w="1440" w:type="dxa"/>
          </w:tcPr>
          <w:p>
            <w:pPr>
              <w:pStyle w:val="TableParagraph"/>
              <w:spacing w:before="10"/>
              <w:rPr>
                <w:sz w:val="25"/>
              </w:rPr>
            </w:pPr>
          </w:p>
          <w:p>
            <w:pPr>
              <w:pStyle w:val="TableParagraph"/>
              <w:spacing w:before="1"/>
              <w:ind w:left="109" w:right="92"/>
              <w:jc w:val="center"/>
              <w:rPr>
                <w:sz w:val="22"/>
              </w:rPr>
            </w:pPr>
            <w:r>
              <w:rPr>
                <w:spacing w:val="-2"/>
                <w:sz w:val="22"/>
              </w:rPr>
              <w:t>$2,318.45</w:t>
            </w:r>
          </w:p>
        </w:tc>
        <w:tc>
          <w:tcPr>
            <w:tcW w:w="1531" w:type="dxa"/>
          </w:tcPr>
          <w:p>
            <w:pPr>
              <w:pStyle w:val="TableParagraph"/>
              <w:spacing w:before="10"/>
              <w:rPr>
                <w:sz w:val="25"/>
              </w:rPr>
            </w:pPr>
          </w:p>
          <w:p>
            <w:pPr>
              <w:pStyle w:val="TableParagraph"/>
              <w:spacing w:before="1"/>
              <w:ind w:left="140" w:right="123"/>
              <w:jc w:val="center"/>
              <w:rPr>
                <w:sz w:val="22"/>
              </w:rPr>
            </w:pPr>
            <w:r>
              <w:rPr>
                <w:spacing w:val="-2"/>
                <w:sz w:val="22"/>
              </w:rPr>
              <w:t>$2,445.96</w:t>
            </w:r>
          </w:p>
        </w:tc>
        <w:tc>
          <w:tcPr>
            <w:tcW w:w="1440" w:type="dxa"/>
          </w:tcPr>
          <w:p>
            <w:pPr>
              <w:pStyle w:val="TableParagraph"/>
              <w:spacing w:before="10"/>
              <w:rPr>
                <w:sz w:val="25"/>
              </w:rPr>
            </w:pPr>
          </w:p>
          <w:p>
            <w:pPr>
              <w:pStyle w:val="TableParagraph"/>
              <w:spacing w:before="1"/>
              <w:ind w:left="109" w:right="92"/>
              <w:jc w:val="center"/>
              <w:rPr>
                <w:sz w:val="22"/>
              </w:rPr>
            </w:pPr>
            <w:r>
              <w:rPr>
                <w:spacing w:val="-2"/>
                <w:sz w:val="22"/>
              </w:rPr>
              <w:t>$2,580.49</w:t>
            </w:r>
          </w:p>
        </w:tc>
        <w:tc>
          <w:tcPr>
            <w:tcW w:w="1440" w:type="dxa"/>
          </w:tcPr>
          <w:p>
            <w:pPr>
              <w:pStyle w:val="TableParagraph"/>
              <w:spacing w:before="10"/>
              <w:rPr>
                <w:sz w:val="25"/>
              </w:rPr>
            </w:pPr>
          </w:p>
          <w:p>
            <w:pPr>
              <w:pStyle w:val="TableParagraph"/>
              <w:spacing w:before="1"/>
              <w:ind w:left="109" w:right="92"/>
              <w:jc w:val="center"/>
              <w:rPr>
                <w:sz w:val="22"/>
              </w:rPr>
            </w:pPr>
            <w:r>
              <w:rPr>
                <w:spacing w:val="-2"/>
                <w:sz w:val="22"/>
              </w:rPr>
              <w:t>$2,722.42</w:t>
            </w:r>
          </w:p>
        </w:tc>
      </w:tr>
      <w:tr>
        <w:trPr>
          <w:trHeight w:val="998" w:hRule="atLeast"/>
        </w:trPr>
        <w:tc>
          <w:tcPr>
            <w:tcW w:w="1634" w:type="dxa"/>
          </w:tcPr>
          <w:p>
            <w:pPr>
              <w:pStyle w:val="TableParagraph"/>
              <w:spacing w:before="1"/>
              <w:rPr>
                <w:sz w:val="21"/>
              </w:rPr>
            </w:pPr>
          </w:p>
          <w:p>
            <w:pPr>
              <w:pStyle w:val="TableParagraph"/>
              <w:ind w:left="345" w:firstLine="74"/>
              <w:rPr>
                <w:sz w:val="22"/>
              </w:rPr>
            </w:pPr>
            <w:r>
              <w:rPr>
                <w:spacing w:val="-2"/>
                <w:sz w:val="22"/>
              </w:rPr>
              <w:t>e-Family Assistance</w:t>
            </w:r>
          </w:p>
        </w:tc>
        <w:tc>
          <w:tcPr>
            <w:tcW w:w="784" w:type="dxa"/>
          </w:tcPr>
          <w:p>
            <w:pPr>
              <w:pStyle w:val="TableParagraph"/>
              <w:spacing w:before="2"/>
              <w:rPr>
                <w:sz w:val="32"/>
              </w:rPr>
            </w:pPr>
          </w:p>
          <w:p>
            <w:pPr>
              <w:pStyle w:val="TableParagraph"/>
              <w:ind w:left="192" w:right="178"/>
              <w:jc w:val="center"/>
              <w:rPr>
                <w:sz w:val="22"/>
              </w:rPr>
            </w:pPr>
            <w:r>
              <w:rPr>
                <w:spacing w:val="-5"/>
                <w:sz w:val="22"/>
              </w:rPr>
              <w:t>N/A</w:t>
            </w:r>
          </w:p>
        </w:tc>
        <w:tc>
          <w:tcPr>
            <w:tcW w:w="1442" w:type="dxa"/>
          </w:tcPr>
          <w:p>
            <w:pPr>
              <w:pStyle w:val="TableParagraph"/>
              <w:spacing w:before="2"/>
              <w:rPr>
                <w:sz w:val="32"/>
              </w:rPr>
            </w:pPr>
          </w:p>
          <w:p>
            <w:pPr>
              <w:pStyle w:val="TableParagraph"/>
              <w:ind w:left="127" w:right="113"/>
              <w:jc w:val="center"/>
              <w:rPr>
                <w:sz w:val="22"/>
              </w:rPr>
            </w:pPr>
            <w:r>
              <w:rPr>
                <w:sz w:val="22"/>
              </w:rPr>
              <w:t>WW</w:t>
            </w:r>
            <w:r>
              <w:rPr>
                <w:spacing w:val="-2"/>
                <w:sz w:val="22"/>
              </w:rPr>
              <w:t> </w:t>
            </w:r>
            <w:r>
              <w:rPr>
                <w:spacing w:val="-4"/>
                <w:sz w:val="22"/>
              </w:rPr>
              <w:t>Only</w:t>
            </w:r>
          </w:p>
        </w:tc>
        <w:tc>
          <w:tcPr>
            <w:tcW w:w="808" w:type="dxa"/>
          </w:tcPr>
          <w:p>
            <w:pPr>
              <w:pStyle w:val="TableParagraph"/>
              <w:spacing w:before="2"/>
              <w:rPr>
                <w:sz w:val="32"/>
              </w:rPr>
            </w:pPr>
          </w:p>
          <w:p>
            <w:pPr>
              <w:pStyle w:val="TableParagraph"/>
              <w:ind w:right="168"/>
              <w:jc w:val="right"/>
              <w:rPr>
                <w:sz w:val="22"/>
              </w:rPr>
            </w:pPr>
            <w:r>
              <w:rPr>
                <w:spacing w:val="-4"/>
                <w:sz w:val="22"/>
              </w:rPr>
              <w:t>2019</w:t>
            </w:r>
          </w:p>
        </w:tc>
        <w:tc>
          <w:tcPr>
            <w:tcW w:w="993" w:type="dxa"/>
          </w:tcPr>
          <w:p>
            <w:pPr>
              <w:pStyle w:val="TableParagraph"/>
              <w:spacing w:before="2"/>
              <w:rPr>
                <w:sz w:val="32"/>
              </w:rPr>
            </w:pPr>
          </w:p>
          <w:p>
            <w:pPr>
              <w:pStyle w:val="TableParagraph"/>
              <w:ind w:left="198" w:right="183"/>
              <w:jc w:val="center"/>
              <w:rPr>
                <w:sz w:val="22"/>
              </w:rPr>
            </w:pPr>
            <w:r>
              <w:rPr>
                <w:spacing w:val="-5"/>
                <w:sz w:val="22"/>
              </w:rPr>
              <w:t>N/A</w:t>
            </w:r>
          </w:p>
        </w:tc>
        <w:tc>
          <w:tcPr>
            <w:tcW w:w="8730" w:type="dxa"/>
            <w:gridSpan w:val="6"/>
          </w:tcPr>
          <w:p>
            <w:pPr>
              <w:pStyle w:val="TableParagraph"/>
              <w:spacing w:before="2"/>
              <w:rPr>
                <w:sz w:val="32"/>
              </w:rPr>
            </w:pPr>
          </w:p>
          <w:p>
            <w:pPr>
              <w:pStyle w:val="TableParagraph"/>
              <w:ind w:left="1353" w:right="1336"/>
              <w:jc w:val="center"/>
              <w:rPr>
                <w:sz w:val="22"/>
              </w:rPr>
            </w:pPr>
            <w:r>
              <w:rPr>
                <w:sz w:val="22"/>
              </w:rPr>
              <w:t>The</w:t>
            </w:r>
            <w:r>
              <w:rPr>
                <w:spacing w:val="-6"/>
                <w:sz w:val="22"/>
              </w:rPr>
              <w:t> </w:t>
            </w:r>
            <w:r>
              <w:rPr>
                <w:sz w:val="22"/>
              </w:rPr>
              <w:t>Commonwealth</w:t>
            </w:r>
            <w:r>
              <w:rPr>
                <w:spacing w:val="-3"/>
                <w:sz w:val="22"/>
              </w:rPr>
              <w:t> </w:t>
            </w:r>
            <w:r>
              <w:rPr>
                <w:sz w:val="22"/>
              </w:rPr>
              <w:t>must</w:t>
            </w:r>
            <w:r>
              <w:rPr>
                <w:spacing w:val="-2"/>
                <w:sz w:val="22"/>
              </w:rPr>
              <w:t> </w:t>
            </w:r>
            <w:r>
              <w:rPr>
                <w:sz w:val="22"/>
              </w:rPr>
              <w:t>have</w:t>
            </w:r>
            <w:r>
              <w:rPr>
                <w:spacing w:val="-3"/>
                <w:sz w:val="22"/>
              </w:rPr>
              <w:t> </w:t>
            </w:r>
            <w:r>
              <w:rPr>
                <w:sz w:val="22"/>
              </w:rPr>
              <w:t>savings</w:t>
            </w:r>
            <w:r>
              <w:rPr>
                <w:spacing w:val="-3"/>
                <w:sz w:val="22"/>
              </w:rPr>
              <w:t> </w:t>
            </w:r>
            <w:r>
              <w:rPr>
                <w:sz w:val="22"/>
              </w:rPr>
              <w:t>to</w:t>
            </w:r>
            <w:r>
              <w:rPr>
                <w:spacing w:val="-3"/>
                <w:sz w:val="22"/>
              </w:rPr>
              <w:t> </w:t>
            </w:r>
            <w:r>
              <w:rPr>
                <w:sz w:val="22"/>
              </w:rPr>
              <w:t>offset</w:t>
            </w:r>
            <w:r>
              <w:rPr>
                <w:spacing w:val="-5"/>
                <w:sz w:val="22"/>
              </w:rPr>
              <w:t> </w:t>
            </w:r>
            <w:r>
              <w:rPr>
                <w:sz w:val="22"/>
              </w:rPr>
              <w:t>these</w:t>
            </w:r>
            <w:r>
              <w:rPr>
                <w:spacing w:val="-5"/>
                <w:sz w:val="22"/>
              </w:rPr>
              <w:t> </w:t>
            </w:r>
            <w:r>
              <w:rPr>
                <w:spacing w:val="-2"/>
                <w:sz w:val="22"/>
              </w:rPr>
              <w:t>expenditures.</w:t>
            </w:r>
          </w:p>
        </w:tc>
      </w:tr>
      <w:tr>
        <w:trPr>
          <w:trHeight w:val="997" w:hRule="atLeast"/>
        </w:trPr>
        <w:tc>
          <w:tcPr>
            <w:tcW w:w="1634" w:type="dxa"/>
          </w:tcPr>
          <w:p>
            <w:pPr>
              <w:pStyle w:val="TableParagraph"/>
              <w:spacing w:before="2"/>
              <w:rPr>
                <w:sz w:val="32"/>
              </w:rPr>
            </w:pPr>
          </w:p>
          <w:p>
            <w:pPr>
              <w:pStyle w:val="TableParagraph"/>
              <w:ind w:left="163" w:right="155"/>
              <w:jc w:val="center"/>
              <w:rPr>
                <w:sz w:val="22"/>
              </w:rPr>
            </w:pPr>
            <w:r>
              <w:rPr>
                <w:spacing w:val="-2"/>
                <w:sz w:val="22"/>
              </w:rPr>
              <w:t>e-HIV/FA</w:t>
            </w:r>
          </w:p>
        </w:tc>
        <w:tc>
          <w:tcPr>
            <w:tcW w:w="784" w:type="dxa"/>
          </w:tcPr>
          <w:p>
            <w:pPr>
              <w:pStyle w:val="TableParagraph"/>
              <w:spacing w:before="2"/>
              <w:rPr>
                <w:sz w:val="32"/>
              </w:rPr>
            </w:pPr>
          </w:p>
          <w:p>
            <w:pPr>
              <w:pStyle w:val="TableParagraph"/>
              <w:ind w:left="192" w:right="178"/>
              <w:jc w:val="center"/>
              <w:rPr>
                <w:sz w:val="22"/>
              </w:rPr>
            </w:pPr>
            <w:r>
              <w:rPr>
                <w:spacing w:val="-5"/>
                <w:sz w:val="22"/>
              </w:rPr>
              <w:t>N/A</w:t>
            </w:r>
          </w:p>
        </w:tc>
        <w:tc>
          <w:tcPr>
            <w:tcW w:w="1442" w:type="dxa"/>
          </w:tcPr>
          <w:p>
            <w:pPr>
              <w:pStyle w:val="TableParagraph"/>
              <w:spacing w:before="2"/>
              <w:rPr>
                <w:sz w:val="32"/>
              </w:rPr>
            </w:pPr>
          </w:p>
          <w:p>
            <w:pPr>
              <w:pStyle w:val="TableParagraph"/>
              <w:ind w:left="127" w:right="113"/>
              <w:jc w:val="center"/>
              <w:rPr>
                <w:sz w:val="22"/>
              </w:rPr>
            </w:pPr>
            <w:r>
              <w:rPr>
                <w:sz w:val="22"/>
              </w:rPr>
              <w:t>WW</w:t>
            </w:r>
            <w:r>
              <w:rPr>
                <w:spacing w:val="-2"/>
                <w:sz w:val="22"/>
              </w:rPr>
              <w:t> </w:t>
            </w:r>
            <w:r>
              <w:rPr>
                <w:spacing w:val="-4"/>
                <w:sz w:val="22"/>
              </w:rPr>
              <w:t>Only</w:t>
            </w:r>
          </w:p>
        </w:tc>
        <w:tc>
          <w:tcPr>
            <w:tcW w:w="808" w:type="dxa"/>
          </w:tcPr>
          <w:p>
            <w:pPr>
              <w:pStyle w:val="TableParagraph"/>
              <w:spacing w:before="2"/>
              <w:rPr>
                <w:sz w:val="32"/>
              </w:rPr>
            </w:pPr>
          </w:p>
          <w:p>
            <w:pPr>
              <w:pStyle w:val="TableParagraph"/>
              <w:ind w:right="168"/>
              <w:jc w:val="right"/>
              <w:rPr>
                <w:sz w:val="22"/>
              </w:rPr>
            </w:pPr>
            <w:r>
              <w:rPr>
                <w:spacing w:val="-4"/>
                <w:sz w:val="22"/>
              </w:rPr>
              <w:t>2019</w:t>
            </w:r>
          </w:p>
        </w:tc>
        <w:tc>
          <w:tcPr>
            <w:tcW w:w="993" w:type="dxa"/>
          </w:tcPr>
          <w:p>
            <w:pPr>
              <w:pStyle w:val="TableParagraph"/>
              <w:spacing w:before="2"/>
              <w:rPr>
                <w:sz w:val="32"/>
              </w:rPr>
            </w:pPr>
          </w:p>
          <w:p>
            <w:pPr>
              <w:pStyle w:val="TableParagraph"/>
              <w:ind w:left="198" w:right="183"/>
              <w:jc w:val="center"/>
              <w:rPr>
                <w:sz w:val="22"/>
              </w:rPr>
            </w:pPr>
            <w:r>
              <w:rPr>
                <w:spacing w:val="-5"/>
                <w:sz w:val="22"/>
              </w:rPr>
              <w:t>N/A</w:t>
            </w:r>
          </w:p>
        </w:tc>
        <w:tc>
          <w:tcPr>
            <w:tcW w:w="8730" w:type="dxa"/>
            <w:gridSpan w:val="6"/>
          </w:tcPr>
          <w:p>
            <w:pPr>
              <w:pStyle w:val="TableParagraph"/>
              <w:spacing w:before="2"/>
              <w:rPr>
                <w:sz w:val="32"/>
              </w:rPr>
            </w:pPr>
          </w:p>
          <w:p>
            <w:pPr>
              <w:pStyle w:val="TableParagraph"/>
              <w:ind w:left="1353" w:right="1336"/>
              <w:jc w:val="center"/>
              <w:rPr>
                <w:sz w:val="22"/>
              </w:rPr>
            </w:pPr>
            <w:r>
              <w:rPr>
                <w:sz w:val="22"/>
              </w:rPr>
              <w:t>The</w:t>
            </w:r>
            <w:r>
              <w:rPr>
                <w:spacing w:val="-6"/>
                <w:sz w:val="22"/>
              </w:rPr>
              <w:t> </w:t>
            </w:r>
            <w:r>
              <w:rPr>
                <w:sz w:val="22"/>
              </w:rPr>
              <w:t>Commonwealth</w:t>
            </w:r>
            <w:r>
              <w:rPr>
                <w:spacing w:val="-3"/>
                <w:sz w:val="22"/>
              </w:rPr>
              <w:t> </w:t>
            </w:r>
            <w:r>
              <w:rPr>
                <w:sz w:val="22"/>
              </w:rPr>
              <w:t>must</w:t>
            </w:r>
            <w:r>
              <w:rPr>
                <w:spacing w:val="-2"/>
                <w:sz w:val="22"/>
              </w:rPr>
              <w:t> </w:t>
            </w:r>
            <w:r>
              <w:rPr>
                <w:sz w:val="22"/>
              </w:rPr>
              <w:t>have</w:t>
            </w:r>
            <w:r>
              <w:rPr>
                <w:spacing w:val="-3"/>
                <w:sz w:val="22"/>
              </w:rPr>
              <w:t> </w:t>
            </w:r>
            <w:r>
              <w:rPr>
                <w:sz w:val="22"/>
              </w:rPr>
              <w:t>savings</w:t>
            </w:r>
            <w:r>
              <w:rPr>
                <w:spacing w:val="-3"/>
                <w:sz w:val="22"/>
              </w:rPr>
              <w:t> </w:t>
            </w:r>
            <w:r>
              <w:rPr>
                <w:sz w:val="22"/>
              </w:rPr>
              <w:t>to</w:t>
            </w:r>
            <w:r>
              <w:rPr>
                <w:spacing w:val="-3"/>
                <w:sz w:val="22"/>
              </w:rPr>
              <w:t> </w:t>
            </w:r>
            <w:r>
              <w:rPr>
                <w:sz w:val="22"/>
              </w:rPr>
              <w:t>offset</w:t>
            </w:r>
            <w:r>
              <w:rPr>
                <w:spacing w:val="-5"/>
                <w:sz w:val="22"/>
              </w:rPr>
              <w:t> </w:t>
            </w:r>
            <w:r>
              <w:rPr>
                <w:sz w:val="22"/>
              </w:rPr>
              <w:t>these</w:t>
            </w:r>
            <w:r>
              <w:rPr>
                <w:spacing w:val="-5"/>
                <w:sz w:val="22"/>
              </w:rPr>
              <w:t> </w:t>
            </w:r>
            <w:r>
              <w:rPr>
                <w:spacing w:val="-2"/>
                <w:sz w:val="22"/>
              </w:rPr>
              <w:t>expenditures.</w:t>
            </w:r>
          </w:p>
        </w:tc>
      </w:tr>
    </w:tbl>
    <w:p>
      <w:pPr>
        <w:spacing w:after="0"/>
        <w:jc w:val="center"/>
        <w:rPr>
          <w:sz w:val="22"/>
        </w:rPr>
        <w:sectPr>
          <w:footerReference w:type="default" r:id="rId297"/>
          <w:pgSz w:w="15840" w:h="12240" w:orient="landscape"/>
          <w:pgMar w:footer="1201" w:header="0" w:top="1380" w:bottom="1400" w:left="600" w:right="600"/>
        </w:sectPr>
      </w:pPr>
    </w:p>
    <w:p>
      <w:pPr>
        <w:pStyle w:val="BodyText"/>
        <w:spacing w:before="2"/>
        <w:rPr>
          <w:sz w:val="5"/>
        </w:r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4"/>
        <w:gridCol w:w="784"/>
        <w:gridCol w:w="1442"/>
        <w:gridCol w:w="808"/>
        <w:gridCol w:w="993"/>
        <w:gridCol w:w="1437"/>
        <w:gridCol w:w="1442"/>
        <w:gridCol w:w="1440"/>
        <w:gridCol w:w="1531"/>
        <w:gridCol w:w="1440"/>
        <w:gridCol w:w="1440"/>
      </w:tblGrid>
      <w:tr>
        <w:trPr>
          <w:trHeight w:val="558" w:hRule="atLeast"/>
        </w:trPr>
        <w:tc>
          <w:tcPr>
            <w:tcW w:w="14391" w:type="dxa"/>
            <w:gridSpan w:val="11"/>
            <w:shd w:val="clear" w:color="auto" w:fill="DBE4F0"/>
          </w:tcPr>
          <w:p>
            <w:pPr>
              <w:pStyle w:val="TableParagraph"/>
              <w:spacing w:before="154"/>
              <w:ind w:left="5371" w:right="5356"/>
              <w:jc w:val="center"/>
              <w:rPr>
                <w:b/>
                <w:sz w:val="22"/>
              </w:rPr>
            </w:pPr>
            <w:r>
              <w:rPr>
                <w:b/>
                <w:sz w:val="22"/>
              </w:rPr>
              <w:t>Table</w:t>
            </w:r>
            <w:r>
              <w:rPr>
                <w:b/>
                <w:spacing w:val="-4"/>
                <w:sz w:val="22"/>
              </w:rPr>
              <w:t> </w:t>
            </w:r>
            <w:r>
              <w:rPr>
                <w:b/>
                <w:sz w:val="22"/>
              </w:rPr>
              <w:t>20:</w:t>
            </w:r>
            <w:r>
              <w:rPr>
                <w:b/>
                <w:spacing w:val="-3"/>
                <w:sz w:val="22"/>
              </w:rPr>
              <w:t> </w:t>
            </w:r>
            <w:r>
              <w:rPr>
                <w:b/>
                <w:sz w:val="22"/>
              </w:rPr>
              <w:t>Main</w:t>
            </w:r>
            <w:r>
              <w:rPr>
                <w:b/>
                <w:spacing w:val="-6"/>
                <w:sz w:val="22"/>
              </w:rPr>
              <w:t> </w:t>
            </w:r>
            <w:r>
              <w:rPr>
                <w:b/>
                <w:sz w:val="22"/>
              </w:rPr>
              <w:t>Budget</w:t>
            </w:r>
            <w:r>
              <w:rPr>
                <w:b/>
                <w:spacing w:val="-3"/>
                <w:sz w:val="22"/>
              </w:rPr>
              <w:t> </w:t>
            </w:r>
            <w:r>
              <w:rPr>
                <w:b/>
                <w:sz w:val="22"/>
              </w:rPr>
              <w:t>Neutrality</w:t>
            </w:r>
            <w:r>
              <w:rPr>
                <w:b/>
                <w:spacing w:val="-3"/>
                <w:sz w:val="22"/>
              </w:rPr>
              <w:t> </w:t>
            </w:r>
            <w:r>
              <w:rPr>
                <w:b/>
                <w:spacing w:val="-4"/>
                <w:sz w:val="22"/>
              </w:rPr>
              <w:t>Test</w:t>
            </w:r>
          </w:p>
        </w:tc>
      </w:tr>
      <w:tr>
        <w:trPr>
          <w:trHeight w:val="1573" w:hRule="atLeast"/>
        </w:trPr>
        <w:tc>
          <w:tcPr>
            <w:tcW w:w="1634" w:type="dxa"/>
            <w:shd w:val="clear" w:color="auto" w:fill="DBE4F0"/>
          </w:tcPr>
          <w:p>
            <w:pPr>
              <w:pStyle w:val="TableParagraph"/>
              <w:rPr>
                <w:sz w:val="24"/>
              </w:rPr>
            </w:pPr>
          </w:p>
          <w:p>
            <w:pPr>
              <w:pStyle w:val="TableParagraph"/>
              <w:spacing w:before="5"/>
              <w:rPr>
                <w:sz w:val="33"/>
              </w:rPr>
            </w:pPr>
          </w:p>
          <w:p>
            <w:pPr>
              <w:pStyle w:val="TableParagraph"/>
              <w:ind w:left="165" w:right="155"/>
              <w:jc w:val="center"/>
              <w:rPr>
                <w:b/>
                <w:sz w:val="22"/>
              </w:rPr>
            </w:pPr>
            <w:r>
              <w:rPr>
                <w:b/>
                <w:spacing w:val="-5"/>
                <w:sz w:val="22"/>
              </w:rPr>
              <w:t>MEG</w:t>
            </w:r>
          </w:p>
        </w:tc>
        <w:tc>
          <w:tcPr>
            <w:tcW w:w="784" w:type="dxa"/>
            <w:shd w:val="clear" w:color="auto" w:fill="DBE4F0"/>
          </w:tcPr>
          <w:p>
            <w:pPr>
              <w:pStyle w:val="TableParagraph"/>
              <w:rPr>
                <w:sz w:val="24"/>
              </w:rPr>
            </w:pPr>
          </w:p>
          <w:p>
            <w:pPr>
              <w:pStyle w:val="TableParagraph"/>
              <w:spacing w:before="2"/>
              <w:rPr>
                <w:sz w:val="22"/>
              </w:rPr>
            </w:pPr>
          </w:p>
          <w:p>
            <w:pPr>
              <w:pStyle w:val="TableParagraph"/>
              <w:spacing w:line="244" w:lineRule="auto"/>
              <w:ind w:left="149" w:right="99" w:hanging="36"/>
              <w:rPr>
                <w:b/>
                <w:sz w:val="22"/>
              </w:rPr>
            </w:pPr>
            <w:r>
              <w:rPr>
                <w:b/>
                <w:sz w:val="22"/>
              </w:rPr>
              <w:t>PC</w:t>
            </w:r>
            <w:r>
              <w:rPr>
                <w:b/>
                <w:spacing w:val="-14"/>
                <w:sz w:val="22"/>
              </w:rPr>
              <w:t> </w:t>
            </w:r>
            <w:r>
              <w:rPr>
                <w:b/>
                <w:sz w:val="22"/>
              </w:rPr>
              <w:t>or </w:t>
            </w:r>
            <w:r>
              <w:rPr>
                <w:b/>
                <w:spacing w:val="-4"/>
                <w:sz w:val="22"/>
              </w:rPr>
              <w:t>Agg*</w:t>
            </w:r>
          </w:p>
        </w:tc>
        <w:tc>
          <w:tcPr>
            <w:tcW w:w="1442" w:type="dxa"/>
            <w:shd w:val="clear" w:color="auto" w:fill="DBE4F0"/>
          </w:tcPr>
          <w:p>
            <w:pPr>
              <w:pStyle w:val="TableParagraph"/>
              <w:spacing w:before="3"/>
              <w:rPr>
                <w:sz w:val="35"/>
              </w:rPr>
            </w:pPr>
          </w:p>
          <w:p>
            <w:pPr>
              <w:pStyle w:val="TableParagraph"/>
              <w:spacing w:before="1"/>
              <w:ind w:left="128" w:right="113"/>
              <w:jc w:val="center"/>
              <w:rPr>
                <w:b/>
                <w:sz w:val="22"/>
              </w:rPr>
            </w:pPr>
            <w:r>
              <w:rPr>
                <w:b/>
                <w:sz w:val="22"/>
              </w:rPr>
              <w:t>WOW</w:t>
            </w:r>
            <w:r>
              <w:rPr>
                <w:b/>
                <w:spacing w:val="-14"/>
                <w:sz w:val="22"/>
              </w:rPr>
              <w:t> </w:t>
            </w:r>
            <w:r>
              <w:rPr>
                <w:b/>
                <w:sz w:val="22"/>
              </w:rPr>
              <w:t>Only, WW Only, or BOTH</w:t>
            </w:r>
          </w:p>
        </w:tc>
        <w:tc>
          <w:tcPr>
            <w:tcW w:w="808" w:type="dxa"/>
            <w:shd w:val="clear" w:color="auto" w:fill="DBE4F0"/>
          </w:tcPr>
          <w:p>
            <w:pPr>
              <w:pStyle w:val="TableParagraph"/>
              <w:rPr>
                <w:sz w:val="24"/>
              </w:rPr>
            </w:pPr>
          </w:p>
          <w:p>
            <w:pPr>
              <w:pStyle w:val="TableParagraph"/>
              <w:spacing w:before="2"/>
              <w:rPr>
                <w:sz w:val="22"/>
              </w:rPr>
            </w:pPr>
          </w:p>
          <w:p>
            <w:pPr>
              <w:pStyle w:val="TableParagraph"/>
              <w:spacing w:line="244" w:lineRule="auto"/>
              <w:ind w:left="174" w:right="155" w:firstLine="9"/>
              <w:rPr>
                <w:b/>
                <w:sz w:val="22"/>
              </w:rPr>
            </w:pPr>
            <w:r>
              <w:rPr>
                <w:b/>
                <w:spacing w:val="-4"/>
                <w:sz w:val="22"/>
              </w:rPr>
              <w:t>Base Year</w:t>
            </w:r>
          </w:p>
        </w:tc>
        <w:tc>
          <w:tcPr>
            <w:tcW w:w="993" w:type="dxa"/>
            <w:shd w:val="clear" w:color="auto" w:fill="DBE4F0"/>
            <w:textDirection w:val="tbRl"/>
          </w:tcPr>
          <w:p>
            <w:pPr>
              <w:pStyle w:val="TableParagraph"/>
              <w:spacing w:before="8"/>
              <w:rPr>
                <w:sz w:val="26"/>
              </w:rPr>
            </w:pPr>
          </w:p>
          <w:p>
            <w:pPr>
              <w:pStyle w:val="TableParagraph"/>
              <w:ind w:left="244"/>
              <w:rPr>
                <w:b/>
                <w:sz w:val="22"/>
              </w:rPr>
            </w:pPr>
            <w:r>
              <w:rPr>
                <w:b/>
                <w:sz w:val="22"/>
              </w:rPr>
              <w:t>Trend</w:t>
            </w:r>
            <w:r>
              <w:rPr>
                <w:b/>
                <w:spacing w:val="-3"/>
                <w:sz w:val="22"/>
              </w:rPr>
              <w:t> </w:t>
            </w:r>
            <w:r>
              <w:rPr>
                <w:b/>
                <w:spacing w:val="-4"/>
                <w:sz w:val="22"/>
              </w:rPr>
              <w:t>Rate</w:t>
            </w:r>
          </w:p>
        </w:tc>
        <w:tc>
          <w:tcPr>
            <w:tcW w:w="1437" w:type="dxa"/>
            <w:shd w:val="clear" w:color="auto" w:fill="DBE4F0"/>
          </w:tcPr>
          <w:p>
            <w:pPr>
              <w:pStyle w:val="TableParagraph"/>
              <w:rPr>
                <w:sz w:val="24"/>
              </w:rPr>
            </w:pPr>
          </w:p>
          <w:p>
            <w:pPr>
              <w:pStyle w:val="TableParagraph"/>
              <w:spacing w:before="5"/>
              <w:rPr>
                <w:sz w:val="33"/>
              </w:rPr>
            </w:pPr>
          </w:p>
          <w:p>
            <w:pPr>
              <w:pStyle w:val="TableParagraph"/>
              <w:ind w:left="425"/>
              <w:rPr>
                <w:b/>
                <w:sz w:val="22"/>
              </w:rPr>
            </w:pPr>
            <w:r>
              <w:rPr>
                <w:b/>
                <w:sz w:val="22"/>
              </w:rPr>
              <w:t>DY</w:t>
            </w:r>
            <w:r>
              <w:rPr>
                <w:b/>
                <w:spacing w:val="-1"/>
                <w:sz w:val="22"/>
              </w:rPr>
              <w:t> </w:t>
            </w:r>
            <w:r>
              <w:rPr>
                <w:b/>
                <w:spacing w:val="-5"/>
                <w:sz w:val="22"/>
              </w:rPr>
              <w:t>27</w:t>
            </w:r>
          </w:p>
        </w:tc>
        <w:tc>
          <w:tcPr>
            <w:tcW w:w="1442" w:type="dxa"/>
            <w:shd w:val="clear" w:color="auto" w:fill="DBE4F0"/>
          </w:tcPr>
          <w:p>
            <w:pPr>
              <w:pStyle w:val="TableParagraph"/>
              <w:rPr>
                <w:sz w:val="24"/>
              </w:rPr>
            </w:pPr>
          </w:p>
          <w:p>
            <w:pPr>
              <w:pStyle w:val="TableParagraph"/>
              <w:spacing w:before="5"/>
              <w:rPr>
                <w:sz w:val="33"/>
              </w:rPr>
            </w:pPr>
          </w:p>
          <w:p>
            <w:pPr>
              <w:pStyle w:val="TableParagraph"/>
              <w:ind w:left="127" w:right="113"/>
              <w:jc w:val="center"/>
              <w:rPr>
                <w:b/>
                <w:sz w:val="22"/>
              </w:rPr>
            </w:pPr>
            <w:r>
              <w:rPr>
                <w:b/>
                <w:sz w:val="22"/>
              </w:rPr>
              <w:t>DY</w:t>
            </w:r>
            <w:r>
              <w:rPr>
                <w:b/>
                <w:spacing w:val="-1"/>
                <w:sz w:val="22"/>
              </w:rPr>
              <w:t> </w:t>
            </w:r>
            <w:r>
              <w:rPr>
                <w:b/>
                <w:spacing w:val="-5"/>
                <w:sz w:val="22"/>
              </w:rPr>
              <w:t>28</w:t>
            </w:r>
          </w:p>
        </w:tc>
        <w:tc>
          <w:tcPr>
            <w:tcW w:w="1440" w:type="dxa"/>
            <w:shd w:val="clear" w:color="auto" w:fill="DBE4F0"/>
          </w:tcPr>
          <w:p>
            <w:pPr>
              <w:pStyle w:val="TableParagraph"/>
              <w:rPr>
                <w:sz w:val="24"/>
              </w:rPr>
            </w:pPr>
          </w:p>
          <w:p>
            <w:pPr>
              <w:pStyle w:val="TableParagraph"/>
              <w:spacing w:before="5"/>
              <w:rPr>
                <w:sz w:val="33"/>
              </w:rPr>
            </w:pPr>
          </w:p>
          <w:p>
            <w:pPr>
              <w:pStyle w:val="TableParagraph"/>
              <w:ind w:left="109" w:right="92"/>
              <w:jc w:val="center"/>
              <w:rPr>
                <w:b/>
                <w:sz w:val="22"/>
              </w:rPr>
            </w:pPr>
            <w:r>
              <w:rPr>
                <w:b/>
                <w:sz w:val="22"/>
              </w:rPr>
              <w:t>DY</w:t>
            </w:r>
            <w:r>
              <w:rPr>
                <w:b/>
                <w:spacing w:val="-1"/>
                <w:sz w:val="22"/>
              </w:rPr>
              <w:t> </w:t>
            </w:r>
            <w:r>
              <w:rPr>
                <w:b/>
                <w:spacing w:val="-5"/>
                <w:sz w:val="22"/>
              </w:rPr>
              <w:t>29</w:t>
            </w:r>
          </w:p>
        </w:tc>
        <w:tc>
          <w:tcPr>
            <w:tcW w:w="1531" w:type="dxa"/>
            <w:shd w:val="clear" w:color="auto" w:fill="DBE4F0"/>
          </w:tcPr>
          <w:p>
            <w:pPr>
              <w:pStyle w:val="TableParagraph"/>
              <w:rPr>
                <w:sz w:val="24"/>
              </w:rPr>
            </w:pPr>
          </w:p>
          <w:p>
            <w:pPr>
              <w:pStyle w:val="TableParagraph"/>
              <w:spacing w:before="5"/>
              <w:rPr>
                <w:sz w:val="33"/>
              </w:rPr>
            </w:pPr>
          </w:p>
          <w:p>
            <w:pPr>
              <w:pStyle w:val="TableParagraph"/>
              <w:ind w:left="471"/>
              <w:rPr>
                <w:b/>
                <w:sz w:val="22"/>
              </w:rPr>
            </w:pPr>
            <w:r>
              <w:rPr>
                <w:b/>
                <w:sz w:val="22"/>
              </w:rPr>
              <w:t>DY</w:t>
            </w:r>
            <w:r>
              <w:rPr>
                <w:b/>
                <w:spacing w:val="-1"/>
                <w:sz w:val="22"/>
              </w:rPr>
              <w:t> </w:t>
            </w:r>
            <w:r>
              <w:rPr>
                <w:b/>
                <w:spacing w:val="-5"/>
                <w:sz w:val="22"/>
              </w:rPr>
              <w:t>30</w:t>
            </w:r>
          </w:p>
        </w:tc>
        <w:tc>
          <w:tcPr>
            <w:tcW w:w="1440" w:type="dxa"/>
            <w:shd w:val="clear" w:color="auto" w:fill="DBE4F0"/>
          </w:tcPr>
          <w:p>
            <w:pPr>
              <w:pStyle w:val="TableParagraph"/>
              <w:rPr>
                <w:sz w:val="24"/>
              </w:rPr>
            </w:pPr>
          </w:p>
          <w:p>
            <w:pPr>
              <w:pStyle w:val="TableParagraph"/>
              <w:spacing w:before="5"/>
              <w:rPr>
                <w:sz w:val="33"/>
              </w:rPr>
            </w:pPr>
          </w:p>
          <w:p>
            <w:pPr>
              <w:pStyle w:val="TableParagraph"/>
              <w:ind w:left="110" w:right="92"/>
              <w:jc w:val="center"/>
              <w:rPr>
                <w:b/>
                <w:sz w:val="22"/>
              </w:rPr>
            </w:pPr>
            <w:r>
              <w:rPr>
                <w:b/>
                <w:sz w:val="22"/>
              </w:rPr>
              <w:t>DY</w:t>
            </w:r>
            <w:r>
              <w:rPr>
                <w:b/>
                <w:spacing w:val="-1"/>
                <w:sz w:val="22"/>
              </w:rPr>
              <w:t> </w:t>
            </w:r>
            <w:r>
              <w:rPr>
                <w:b/>
                <w:spacing w:val="-5"/>
                <w:sz w:val="22"/>
              </w:rPr>
              <w:t>31</w:t>
            </w:r>
          </w:p>
        </w:tc>
        <w:tc>
          <w:tcPr>
            <w:tcW w:w="1440" w:type="dxa"/>
            <w:shd w:val="clear" w:color="auto" w:fill="DBE4F0"/>
          </w:tcPr>
          <w:p>
            <w:pPr>
              <w:pStyle w:val="TableParagraph"/>
              <w:rPr>
                <w:sz w:val="24"/>
              </w:rPr>
            </w:pPr>
          </w:p>
          <w:p>
            <w:pPr>
              <w:pStyle w:val="TableParagraph"/>
              <w:spacing w:before="5"/>
              <w:rPr>
                <w:sz w:val="33"/>
              </w:rPr>
            </w:pPr>
          </w:p>
          <w:p>
            <w:pPr>
              <w:pStyle w:val="TableParagraph"/>
              <w:ind w:left="110" w:right="92"/>
              <w:jc w:val="center"/>
              <w:rPr>
                <w:b/>
                <w:sz w:val="22"/>
              </w:rPr>
            </w:pPr>
            <w:r>
              <w:rPr>
                <w:b/>
                <w:sz w:val="22"/>
              </w:rPr>
              <w:t>DY</w:t>
            </w:r>
            <w:r>
              <w:rPr>
                <w:b/>
                <w:spacing w:val="-1"/>
                <w:sz w:val="22"/>
              </w:rPr>
              <w:t> </w:t>
            </w:r>
            <w:r>
              <w:rPr>
                <w:b/>
                <w:spacing w:val="-5"/>
                <w:sz w:val="22"/>
              </w:rPr>
              <w:t>32</w:t>
            </w:r>
          </w:p>
        </w:tc>
      </w:tr>
      <w:tr>
        <w:trPr>
          <w:trHeight w:val="853" w:hRule="atLeast"/>
        </w:trPr>
        <w:tc>
          <w:tcPr>
            <w:tcW w:w="1634" w:type="dxa"/>
          </w:tcPr>
          <w:p>
            <w:pPr>
              <w:pStyle w:val="TableParagraph"/>
              <w:spacing w:before="10"/>
              <w:rPr>
                <w:sz w:val="25"/>
              </w:rPr>
            </w:pPr>
          </w:p>
          <w:p>
            <w:pPr>
              <w:pStyle w:val="TableParagraph"/>
              <w:spacing w:before="1"/>
              <w:ind w:left="191"/>
              <w:rPr>
                <w:sz w:val="22"/>
              </w:rPr>
            </w:pPr>
            <w:r>
              <w:rPr>
                <w:spacing w:val="-2"/>
                <w:sz w:val="22"/>
              </w:rPr>
              <w:t>SNCP-DSRIP</w:t>
            </w:r>
          </w:p>
        </w:tc>
        <w:tc>
          <w:tcPr>
            <w:tcW w:w="784" w:type="dxa"/>
          </w:tcPr>
          <w:p>
            <w:pPr>
              <w:pStyle w:val="TableParagraph"/>
              <w:spacing w:before="10"/>
              <w:rPr>
                <w:sz w:val="25"/>
              </w:rPr>
            </w:pPr>
          </w:p>
          <w:p>
            <w:pPr>
              <w:pStyle w:val="TableParagraph"/>
              <w:spacing w:before="1"/>
              <w:ind w:right="188"/>
              <w:jc w:val="right"/>
              <w:rPr>
                <w:sz w:val="22"/>
              </w:rPr>
            </w:pPr>
            <w:r>
              <w:rPr>
                <w:spacing w:val="-5"/>
                <w:sz w:val="22"/>
              </w:rPr>
              <w:t>Agg</w:t>
            </w:r>
          </w:p>
        </w:tc>
        <w:tc>
          <w:tcPr>
            <w:tcW w:w="1442" w:type="dxa"/>
          </w:tcPr>
          <w:p>
            <w:pPr>
              <w:pStyle w:val="TableParagraph"/>
              <w:spacing w:before="10"/>
              <w:rPr>
                <w:sz w:val="25"/>
              </w:rPr>
            </w:pPr>
          </w:p>
          <w:p>
            <w:pPr>
              <w:pStyle w:val="TableParagraph"/>
              <w:spacing w:before="1"/>
              <w:ind w:right="250"/>
              <w:jc w:val="right"/>
              <w:rPr>
                <w:sz w:val="22"/>
              </w:rPr>
            </w:pPr>
            <w:r>
              <w:rPr>
                <w:sz w:val="22"/>
              </w:rPr>
              <w:t>WW</w:t>
            </w:r>
            <w:r>
              <w:rPr>
                <w:spacing w:val="-2"/>
                <w:sz w:val="22"/>
              </w:rPr>
              <w:t> </w:t>
            </w:r>
            <w:r>
              <w:rPr>
                <w:spacing w:val="-4"/>
                <w:sz w:val="22"/>
              </w:rPr>
              <w:t>Only</w:t>
            </w:r>
          </w:p>
        </w:tc>
        <w:tc>
          <w:tcPr>
            <w:tcW w:w="808" w:type="dxa"/>
          </w:tcPr>
          <w:p>
            <w:pPr>
              <w:pStyle w:val="TableParagraph"/>
              <w:spacing w:before="10"/>
              <w:rPr>
                <w:sz w:val="25"/>
              </w:rPr>
            </w:pPr>
          </w:p>
          <w:p>
            <w:pPr>
              <w:pStyle w:val="TableParagraph"/>
              <w:spacing w:before="1"/>
              <w:ind w:right="168"/>
              <w:jc w:val="right"/>
              <w:rPr>
                <w:sz w:val="22"/>
              </w:rPr>
            </w:pPr>
            <w:r>
              <w:rPr>
                <w:spacing w:val="-4"/>
                <w:sz w:val="22"/>
              </w:rPr>
              <w:t>2019</w:t>
            </w:r>
          </w:p>
        </w:tc>
        <w:tc>
          <w:tcPr>
            <w:tcW w:w="993" w:type="dxa"/>
          </w:tcPr>
          <w:p>
            <w:pPr>
              <w:pStyle w:val="TableParagraph"/>
              <w:spacing w:before="10"/>
              <w:rPr>
                <w:sz w:val="25"/>
              </w:rPr>
            </w:pPr>
          </w:p>
          <w:p>
            <w:pPr>
              <w:pStyle w:val="TableParagraph"/>
              <w:spacing w:before="1"/>
              <w:ind w:left="198" w:right="183"/>
              <w:jc w:val="center"/>
              <w:rPr>
                <w:sz w:val="22"/>
              </w:rPr>
            </w:pPr>
            <w:r>
              <w:rPr>
                <w:spacing w:val="-5"/>
                <w:sz w:val="22"/>
              </w:rPr>
              <w:t>N/A</w:t>
            </w:r>
          </w:p>
        </w:tc>
        <w:tc>
          <w:tcPr>
            <w:tcW w:w="1437" w:type="dxa"/>
          </w:tcPr>
          <w:p>
            <w:pPr>
              <w:pStyle w:val="TableParagraph"/>
              <w:spacing w:before="10"/>
              <w:rPr>
                <w:sz w:val="25"/>
              </w:rPr>
            </w:pPr>
          </w:p>
          <w:p>
            <w:pPr>
              <w:pStyle w:val="TableParagraph"/>
              <w:spacing w:before="1"/>
              <w:ind w:right="152"/>
              <w:jc w:val="right"/>
              <w:rPr>
                <w:sz w:val="22"/>
              </w:rPr>
            </w:pPr>
            <w:r>
              <w:rPr>
                <w:spacing w:val="-2"/>
                <w:sz w:val="22"/>
              </w:rPr>
              <w:t>$45,662,216</w:t>
            </w:r>
          </w:p>
        </w:tc>
        <w:tc>
          <w:tcPr>
            <w:tcW w:w="1442" w:type="dxa"/>
          </w:tcPr>
          <w:p>
            <w:pPr>
              <w:pStyle w:val="TableParagraph"/>
              <w:spacing w:before="10"/>
              <w:rPr>
                <w:sz w:val="25"/>
              </w:rPr>
            </w:pPr>
          </w:p>
          <w:p>
            <w:pPr>
              <w:pStyle w:val="TableParagraph"/>
              <w:spacing w:before="1"/>
              <w:ind w:left="128" w:right="112"/>
              <w:jc w:val="center"/>
              <w:rPr>
                <w:sz w:val="22"/>
              </w:rPr>
            </w:pPr>
            <w:r>
              <w:rPr>
                <w:spacing w:val="-2"/>
                <w:sz w:val="22"/>
              </w:rPr>
              <w:t>$98,564,491</w:t>
            </w:r>
          </w:p>
        </w:tc>
        <w:tc>
          <w:tcPr>
            <w:tcW w:w="1440" w:type="dxa"/>
          </w:tcPr>
          <w:p>
            <w:pPr>
              <w:pStyle w:val="TableParagraph"/>
              <w:spacing w:before="10"/>
              <w:rPr>
                <w:sz w:val="25"/>
              </w:rPr>
            </w:pPr>
          </w:p>
          <w:p>
            <w:pPr>
              <w:pStyle w:val="TableParagraph"/>
              <w:spacing w:before="1"/>
              <w:ind w:left="108" w:right="92"/>
              <w:jc w:val="center"/>
              <w:rPr>
                <w:sz w:val="22"/>
              </w:rPr>
            </w:pPr>
            <w:r>
              <w:rPr>
                <w:spacing w:val="-2"/>
                <w:sz w:val="22"/>
              </w:rPr>
              <w:t>$56,119,944</w:t>
            </w:r>
          </w:p>
        </w:tc>
        <w:tc>
          <w:tcPr>
            <w:tcW w:w="1531" w:type="dxa"/>
          </w:tcPr>
          <w:p>
            <w:pPr>
              <w:pStyle w:val="TableParagraph"/>
              <w:spacing w:before="10"/>
              <w:rPr>
                <w:sz w:val="25"/>
              </w:rPr>
            </w:pPr>
          </w:p>
          <w:p>
            <w:pPr>
              <w:pStyle w:val="TableParagraph"/>
              <w:spacing w:before="1"/>
              <w:ind w:right="198"/>
              <w:jc w:val="right"/>
              <w:rPr>
                <w:sz w:val="22"/>
              </w:rPr>
            </w:pPr>
            <w:r>
              <w:rPr>
                <w:spacing w:val="-2"/>
                <w:sz w:val="22"/>
              </w:rPr>
              <w:t>$52,380,944</w:t>
            </w:r>
          </w:p>
        </w:tc>
        <w:tc>
          <w:tcPr>
            <w:tcW w:w="1440" w:type="dxa"/>
          </w:tcPr>
          <w:p>
            <w:pPr>
              <w:pStyle w:val="TableParagraph"/>
              <w:spacing w:before="10"/>
              <w:rPr>
                <w:sz w:val="25"/>
              </w:rPr>
            </w:pPr>
          </w:p>
          <w:p>
            <w:pPr>
              <w:pStyle w:val="TableParagraph"/>
              <w:spacing w:before="1"/>
              <w:ind w:left="111" w:right="92"/>
              <w:jc w:val="center"/>
              <w:rPr>
                <w:sz w:val="22"/>
              </w:rPr>
            </w:pPr>
            <w:r>
              <w:rPr>
                <w:spacing w:val="-2"/>
                <w:sz w:val="22"/>
              </w:rPr>
              <w:t>$502,625</w:t>
            </w:r>
          </w:p>
        </w:tc>
        <w:tc>
          <w:tcPr>
            <w:tcW w:w="1440" w:type="dxa"/>
          </w:tcPr>
          <w:p>
            <w:pPr>
              <w:pStyle w:val="TableParagraph"/>
              <w:spacing w:before="10"/>
              <w:rPr>
                <w:sz w:val="25"/>
              </w:rPr>
            </w:pPr>
          </w:p>
          <w:p>
            <w:pPr>
              <w:pStyle w:val="TableParagraph"/>
              <w:spacing w:before="1"/>
              <w:ind w:left="13"/>
              <w:jc w:val="center"/>
              <w:rPr>
                <w:sz w:val="22"/>
              </w:rPr>
            </w:pPr>
            <w:r>
              <w:rPr>
                <w:w w:val="100"/>
                <w:sz w:val="22"/>
              </w:rPr>
              <w:t>-</w:t>
            </w:r>
          </w:p>
        </w:tc>
      </w:tr>
      <w:tr>
        <w:trPr>
          <w:trHeight w:val="863" w:hRule="atLeast"/>
        </w:trPr>
        <w:tc>
          <w:tcPr>
            <w:tcW w:w="1634" w:type="dxa"/>
          </w:tcPr>
          <w:p>
            <w:pPr>
              <w:pStyle w:val="TableParagraph"/>
              <w:spacing w:before="4"/>
              <w:rPr>
                <w:sz w:val="26"/>
              </w:rPr>
            </w:pPr>
          </w:p>
          <w:p>
            <w:pPr>
              <w:pStyle w:val="TableParagraph"/>
              <w:ind w:left="107"/>
              <w:rPr>
                <w:sz w:val="22"/>
              </w:rPr>
            </w:pPr>
            <w:r>
              <w:rPr>
                <w:spacing w:val="-2"/>
                <w:sz w:val="22"/>
              </w:rPr>
              <w:t>SNCP-PHTII</w:t>
            </w:r>
          </w:p>
        </w:tc>
        <w:tc>
          <w:tcPr>
            <w:tcW w:w="784" w:type="dxa"/>
          </w:tcPr>
          <w:p>
            <w:pPr>
              <w:pStyle w:val="TableParagraph"/>
              <w:spacing w:before="4"/>
              <w:rPr>
                <w:sz w:val="26"/>
              </w:rPr>
            </w:pPr>
          </w:p>
          <w:p>
            <w:pPr>
              <w:pStyle w:val="TableParagraph"/>
              <w:ind w:right="188"/>
              <w:jc w:val="right"/>
              <w:rPr>
                <w:sz w:val="22"/>
              </w:rPr>
            </w:pPr>
            <w:r>
              <w:rPr>
                <w:spacing w:val="-5"/>
                <w:sz w:val="22"/>
              </w:rPr>
              <w:t>Agg</w:t>
            </w:r>
          </w:p>
        </w:tc>
        <w:tc>
          <w:tcPr>
            <w:tcW w:w="1442" w:type="dxa"/>
          </w:tcPr>
          <w:p>
            <w:pPr>
              <w:pStyle w:val="TableParagraph"/>
              <w:spacing w:before="4"/>
              <w:rPr>
                <w:sz w:val="26"/>
              </w:rPr>
            </w:pPr>
          </w:p>
          <w:p>
            <w:pPr>
              <w:pStyle w:val="TableParagraph"/>
              <w:ind w:right="250"/>
              <w:jc w:val="right"/>
              <w:rPr>
                <w:sz w:val="22"/>
              </w:rPr>
            </w:pPr>
            <w:r>
              <w:rPr>
                <w:sz w:val="22"/>
              </w:rPr>
              <w:t>WW</w:t>
            </w:r>
            <w:r>
              <w:rPr>
                <w:spacing w:val="-2"/>
                <w:sz w:val="22"/>
              </w:rPr>
              <w:t> </w:t>
            </w:r>
            <w:r>
              <w:rPr>
                <w:spacing w:val="-4"/>
                <w:sz w:val="22"/>
              </w:rPr>
              <w:t>Only</w:t>
            </w:r>
          </w:p>
        </w:tc>
        <w:tc>
          <w:tcPr>
            <w:tcW w:w="808" w:type="dxa"/>
          </w:tcPr>
          <w:p>
            <w:pPr>
              <w:pStyle w:val="TableParagraph"/>
              <w:spacing w:before="4"/>
              <w:rPr>
                <w:sz w:val="26"/>
              </w:rPr>
            </w:pPr>
          </w:p>
          <w:p>
            <w:pPr>
              <w:pStyle w:val="TableParagraph"/>
              <w:ind w:right="168"/>
              <w:jc w:val="right"/>
              <w:rPr>
                <w:sz w:val="22"/>
              </w:rPr>
            </w:pPr>
            <w:r>
              <w:rPr>
                <w:spacing w:val="-4"/>
                <w:sz w:val="22"/>
              </w:rPr>
              <w:t>2019</w:t>
            </w:r>
          </w:p>
        </w:tc>
        <w:tc>
          <w:tcPr>
            <w:tcW w:w="993" w:type="dxa"/>
          </w:tcPr>
          <w:p>
            <w:pPr>
              <w:pStyle w:val="TableParagraph"/>
              <w:spacing w:before="4"/>
              <w:rPr>
                <w:sz w:val="26"/>
              </w:rPr>
            </w:pPr>
          </w:p>
          <w:p>
            <w:pPr>
              <w:pStyle w:val="TableParagraph"/>
              <w:ind w:left="198" w:right="183"/>
              <w:jc w:val="center"/>
              <w:rPr>
                <w:sz w:val="22"/>
              </w:rPr>
            </w:pPr>
            <w:r>
              <w:rPr>
                <w:spacing w:val="-5"/>
                <w:sz w:val="22"/>
              </w:rPr>
              <w:t>N/A</w:t>
            </w:r>
          </w:p>
        </w:tc>
        <w:tc>
          <w:tcPr>
            <w:tcW w:w="1437" w:type="dxa"/>
          </w:tcPr>
          <w:p>
            <w:pPr>
              <w:pStyle w:val="TableParagraph"/>
              <w:spacing w:before="4"/>
              <w:rPr>
                <w:sz w:val="26"/>
              </w:rPr>
            </w:pPr>
          </w:p>
          <w:p>
            <w:pPr>
              <w:pStyle w:val="TableParagraph"/>
              <w:ind w:left="15"/>
              <w:jc w:val="center"/>
              <w:rPr>
                <w:sz w:val="22"/>
              </w:rPr>
            </w:pPr>
            <w:r>
              <w:rPr>
                <w:w w:val="100"/>
                <w:sz w:val="22"/>
              </w:rPr>
              <w:t>-</w:t>
            </w:r>
          </w:p>
        </w:tc>
        <w:tc>
          <w:tcPr>
            <w:tcW w:w="1442" w:type="dxa"/>
          </w:tcPr>
          <w:p>
            <w:pPr>
              <w:pStyle w:val="TableParagraph"/>
              <w:spacing w:before="4"/>
              <w:rPr>
                <w:sz w:val="26"/>
              </w:rPr>
            </w:pPr>
          </w:p>
          <w:p>
            <w:pPr>
              <w:pStyle w:val="TableParagraph"/>
              <w:ind w:left="128" w:right="109"/>
              <w:jc w:val="center"/>
              <w:rPr>
                <w:sz w:val="22"/>
              </w:rPr>
            </w:pPr>
            <w:r>
              <w:rPr>
                <w:spacing w:val="-2"/>
                <w:sz w:val="22"/>
              </w:rPr>
              <w:t>$6,350,000</w:t>
            </w:r>
          </w:p>
        </w:tc>
        <w:tc>
          <w:tcPr>
            <w:tcW w:w="1440" w:type="dxa"/>
          </w:tcPr>
          <w:p>
            <w:pPr>
              <w:pStyle w:val="TableParagraph"/>
              <w:spacing w:before="4"/>
              <w:rPr>
                <w:sz w:val="26"/>
              </w:rPr>
            </w:pPr>
          </w:p>
          <w:p>
            <w:pPr>
              <w:pStyle w:val="TableParagraph"/>
              <w:ind w:left="14"/>
              <w:jc w:val="center"/>
              <w:rPr>
                <w:sz w:val="22"/>
              </w:rPr>
            </w:pPr>
            <w:r>
              <w:rPr>
                <w:w w:val="100"/>
                <w:sz w:val="22"/>
              </w:rPr>
              <w:t>-</w:t>
            </w:r>
          </w:p>
        </w:tc>
        <w:tc>
          <w:tcPr>
            <w:tcW w:w="1531" w:type="dxa"/>
          </w:tcPr>
          <w:p>
            <w:pPr>
              <w:pStyle w:val="TableParagraph"/>
              <w:spacing w:before="4"/>
              <w:rPr>
                <w:sz w:val="26"/>
              </w:rPr>
            </w:pPr>
          </w:p>
          <w:p>
            <w:pPr>
              <w:pStyle w:val="TableParagraph"/>
              <w:ind w:left="14"/>
              <w:jc w:val="center"/>
              <w:rPr>
                <w:sz w:val="22"/>
              </w:rPr>
            </w:pPr>
            <w:r>
              <w:rPr>
                <w:w w:val="100"/>
                <w:sz w:val="22"/>
              </w:rPr>
              <w:t>-</w:t>
            </w:r>
          </w:p>
        </w:tc>
        <w:tc>
          <w:tcPr>
            <w:tcW w:w="1440" w:type="dxa"/>
          </w:tcPr>
          <w:p>
            <w:pPr>
              <w:pStyle w:val="TableParagraph"/>
              <w:spacing w:before="4"/>
              <w:rPr>
                <w:sz w:val="26"/>
              </w:rPr>
            </w:pPr>
          </w:p>
          <w:p>
            <w:pPr>
              <w:pStyle w:val="TableParagraph"/>
              <w:ind w:left="14"/>
              <w:jc w:val="center"/>
              <w:rPr>
                <w:sz w:val="22"/>
              </w:rPr>
            </w:pPr>
            <w:r>
              <w:rPr>
                <w:w w:val="100"/>
                <w:sz w:val="22"/>
              </w:rPr>
              <w:t>-</w:t>
            </w:r>
          </w:p>
        </w:tc>
        <w:tc>
          <w:tcPr>
            <w:tcW w:w="1440" w:type="dxa"/>
          </w:tcPr>
          <w:p>
            <w:pPr>
              <w:pStyle w:val="TableParagraph"/>
              <w:spacing w:before="4"/>
              <w:rPr>
                <w:sz w:val="26"/>
              </w:rPr>
            </w:pPr>
          </w:p>
          <w:p>
            <w:pPr>
              <w:pStyle w:val="TableParagraph"/>
              <w:ind w:left="14"/>
              <w:jc w:val="center"/>
              <w:rPr>
                <w:sz w:val="22"/>
              </w:rPr>
            </w:pPr>
            <w:r>
              <w:rPr>
                <w:w w:val="100"/>
                <w:sz w:val="22"/>
              </w:rPr>
              <w:t>-</w:t>
            </w:r>
          </w:p>
        </w:tc>
      </w:tr>
      <w:tr>
        <w:trPr>
          <w:trHeight w:val="997" w:hRule="atLeast"/>
        </w:trPr>
        <w:tc>
          <w:tcPr>
            <w:tcW w:w="1634" w:type="dxa"/>
          </w:tcPr>
          <w:p>
            <w:pPr>
              <w:pStyle w:val="TableParagraph"/>
              <w:spacing w:before="4"/>
              <w:rPr>
                <w:sz w:val="21"/>
              </w:rPr>
            </w:pPr>
          </w:p>
          <w:p>
            <w:pPr>
              <w:pStyle w:val="TableParagraph"/>
              <w:ind w:left="467" w:hanging="221"/>
              <w:rPr>
                <w:sz w:val="22"/>
              </w:rPr>
            </w:pPr>
            <w:r>
              <w:rPr>
                <w:spacing w:val="-2"/>
                <w:sz w:val="22"/>
              </w:rPr>
              <w:t>SNCP-DSH- HSNTF</w:t>
            </w:r>
          </w:p>
        </w:tc>
        <w:tc>
          <w:tcPr>
            <w:tcW w:w="784" w:type="dxa"/>
          </w:tcPr>
          <w:p>
            <w:pPr>
              <w:pStyle w:val="TableParagraph"/>
              <w:spacing w:before="2"/>
              <w:rPr>
                <w:sz w:val="32"/>
              </w:rPr>
            </w:pPr>
          </w:p>
          <w:p>
            <w:pPr>
              <w:pStyle w:val="TableParagraph"/>
              <w:ind w:right="188"/>
              <w:jc w:val="right"/>
              <w:rPr>
                <w:sz w:val="22"/>
              </w:rPr>
            </w:pPr>
            <w:r>
              <w:rPr>
                <w:spacing w:val="-5"/>
                <w:sz w:val="22"/>
              </w:rPr>
              <w:t>Agg</w:t>
            </w:r>
          </w:p>
        </w:tc>
        <w:tc>
          <w:tcPr>
            <w:tcW w:w="1442" w:type="dxa"/>
          </w:tcPr>
          <w:p>
            <w:pPr>
              <w:pStyle w:val="TableParagraph"/>
              <w:spacing w:before="2"/>
              <w:rPr>
                <w:sz w:val="32"/>
              </w:rPr>
            </w:pPr>
          </w:p>
          <w:p>
            <w:pPr>
              <w:pStyle w:val="TableParagraph"/>
              <w:ind w:right="250"/>
              <w:jc w:val="right"/>
              <w:rPr>
                <w:sz w:val="22"/>
              </w:rPr>
            </w:pPr>
            <w:r>
              <w:rPr>
                <w:sz w:val="22"/>
              </w:rPr>
              <w:t>WW</w:t>
            </w:r>
            <w:r>
              <w:rPr>
                <w:spacing w:val="-2"/>
                <w:sz w:val="22"/>
              </w:rPr>
              <w:t> </w:t>
            </w:r>
            <w:r>
              <w:rPr>
                <w:spacing w:val="-4"/>
                <w:sz w:val="22"/>
              </w:rPr>
              <w:t>Only</w:t>
            </w:r>
          </w:p>
        </w:tc>
        <w:tc>
          <w:tcPr>
            <w:tcW w:w="808" w:type="dxa"/>
          </w:tcPr>
          <w:p>
            <w:pPr>
              <w:pStyle w:val="TableParagraph"/>
              <w:spacing w:before="2"/>
              <w:rPr>
                <w:sz w:val="32"/>
              </w:rPr>
            </w:pPr>
          </w:p>
          <w:p>
            <w:pPr>
              <w:pStyle w:val="TableParagraph"/>
              <w:ind w:right="168"/>
              <w:jc w:val="right"/>
              <w:rPr>
                <w:sz w:val="22"/>
              </w:rPr>
            </w:pPr>
            <w:r>
              <w:rPr>
                <w:spacing w:val="-4"/>
                <w:sz w:val="22"/>
              </w:rPr>
              <w:t>2019</w:t>
            </w:r>
          </w:p>
        </w:tc>
        <w:tc>
          <w:tcPr>
            <w:tcW w:w="993" w:type="dxa"/>
          </w:tcPr>
          <w:p>
            <w:pPr>
              <w:pStyle w:val="TableParagraph"/>
              <w:spacing w:before="2"/>
              <w:rPr>
                <w:sz w:val="32"/>
              </w:rPr>
            </w:pPr>
          </w:p>
          <w:p>
            <w:pPr>
              <w:pStyle w:val="TableParagraph"/>
              <w:ind w:left="198" w:right="183"/>
              <w:jc w:val="center"/>
              <w:rPr>
                <w:sz w:val="22"/>
              </w:rPr>
            </w:pPr>
            <w:r>
              <w:rPr>
                <w:spacing w:val="-5"/>
                <w:sz w:val="22"/>
              </w:rPr>
              <w:t>N/A</w:t>
            </w:r>
          </w:p>
        </w:tc>
        <w:tc>
          <w:tcPr>
            <w:tcW w:w="1437" w:type="dxa"/>
          </w:tcPr>
          <w:p>
            <w:pPr>
              <w:pStyle w:val="TableParagraph"/>
              <w:spacing w:before="2"/>
              <w:rPr>
                <w:sz w:val="32"/>
              </w:rPr>
            </w:pPr>
          </w:p>
          <w:p>
            <w:pPr>
              <w:pStyle w:val="TableParagraph"/>
              <w:ind w:right="152"/>
              <w:jc w:val="right"/>
              <w:rPr>
                <w:sz w:val="22"/>
              </w:rPr>
            </w:pPr>
            <w:r>
              <w:rPr>
                <w:spacing w:val="-2"/>
                <w:sz w:val="22"/>
              </w:rPr>
              <w:t>$56,705,632</w:t>
            </w:r>
          </w:p>
        </w:tc>
        <w:tc>
          <w:tcPr>
            <w:tcW w:w="1442" w:type="dxa"/>
          </w:tcPr>
          <w:p>
            <w:pPr>
              <w:pStyle w:val="TableParagraph"/>
              <w:spacing w:before="2"/>
              <w:rPr>
                <w:sz w:val="32"/>
              </w:rPr>
            </w:pPr>
          </w:p>
          <w:p>
            <w:pPr>
              <w:pStyle w:val="TableParagraph"/>
              <w:ind w:left="110" w:right="94"/>
              <w:jc w:val="center"/>
              <w:rPr>
                <w:sz w:val="22"/>
              </w:rPr>
            </w:pPr>
            <w:r>
              <w:rPr>
                <w:spacing w:val="-2"/>
                <w:sz w:val="22"/>
              </w:rPr>
              <w:t>$236,000,000</w:t>
            </w:r>
          </w:p>
        </w:tc>
        <w:tc>
          <w:tcPr>
            <w:tcW w:w="1440" w:type="dxa"/>
          </w:tcPr>
          <w:p>
            <w:pPr>
              <w:pStyle w:val="TableParagraph"/>
              <w:spacing w:before="2"/>
              <w:rPr>
                <w:sz w:val="32"/>
              </w:rPr>
            </w:pPr>
          </w:p>
          <w:p>
            <w:pPr>
              <w:pStyle w:val="TableParagraph"/>
              <w:ind w:left="111" w:right="92"/>
              <w:jc w:val="center"/>
              <w:rPr>
                <w:sz w:val="22"/>
              </w:rPr>
            </w:pPr>
            <w:r>
              <w:rPr>
                <w:spacing w:val="-2"/>
                <w:sz w:val="22"/>
              </w:rPr>
              <w:t>$236,000,000</w:t>
            </w:r>
          </w:p>
        </w:tc>
        <w:tc>
          <w:tcPr>
            <w:tcW w:w="1531" w:type="dxa"/>
          </w:tcPr>
          <w:p>
            <w:pPr>
              <w:pStyle w:val="TableParagraph"/>
              <w:spacing w:before="2"/>
              <w:rPr>
                <w:sz w:val="32"/>
              </w:rPr>
            </w:pPr>
          </w:p>
          <w:p>
            <w:pPr>
              <w:pStyle w:val="TableParagraph"/>
              <w:ind w:right="142"/>
              <w:jc w:val="right"/>
              <w:rPr>
                <w:sz w:val="22"/>
              </w:rPr>
            </w:pPr>
            <w:r>
              <w:rPr>
                <w:spacing w:val="-2"/>
                <w:sz w:val="22"/>
              </w:rPr>
              <w:t>$236,000,000</w:t>
            </w:r>
          </w:p>
        </w:tc>
        <w:tc>
          <w:tcPr>
            <w:tcW w:w="1440" w:type="dxa"/>
          </w:tcPr>
          <w:p>
            <w:pPr>
              <w:pStyle w:val="TableParagraph"/>
              <w:spacing w:before="2"/>
              <w:rPr>
                <w:sz w:val="32"/>
              </w:rPr>
            </w:pPr>
          </w:p>
          <w:p>
            <w:pPr>
              <w:pStyle w:val="TableParagraph"/>
              <w:ind w:left="111" w:right="92"/>
              <w:jc w:val="center"/>
              <w:rPr>
                <w:sz w:val="22"/>
              </w:rPr>
            </w:pPr>
            <w:r>
              <w:rPr>
                <w:spacing w:val="-2"/>
                <w:sz w:val="22"/>
              </w:rPr>
              <w:t>$236,000,000</w:t>
            </w:r>
          </w:p>
        </w:tc>
        <w:tc>
          <w:tcPr>
            <w:tcW w:w="1440" w:type="dxa"/>
          </w:tcPr>
          <w:p>
            <w:pPr>
              <w:pStyle w:val="TableParagraph"/>
              <w:spacing w:before="2"/>
              <w:rPr>
                <w:sz w:val="32"/>
              </w:rPr>
            </w:pPr>
          </w:p>
          <w:p>
            <w:pPr>
              <w:pStyle w:val="TableParagraph"/>
              <w:ind w:left="111" w:right="92"/>
              <w:jc w:val="center"/>
              <w:rPr>
                <w:sz w:val="22"/>
              </w:rPr>
            </w:pPr>
            <w:r>
              <w:rPr>
                <w:spacing w:val="-2"/>
                <w:sz w:val="22"/>
              </w:rPr>
              <w:t>$236,000,000</w:t>
            </w:r>
          </w:p>
        </w:tc>
      </w:tr>
      <w:tr>
        <w:trPr>
          <w:trHeight w:val="998" w:hRule="atLeast"/>
        </w:trPr>
        <w:tc>
          <w:tcPr>
            <w:tcW w:w="1634" w:type="dxa"/>
          </w:tcPr>
          <w:p>
            <w:pPr>
              <w:pStyle w:val="TableParagraph"/>
              <w:spacing w:before="4"/>
              <w:rPr>
                <w:sz w:val="21"/>
              </w:rPr>
            </w:pPr>
          </w:p>
          <w:p>
            <w:pPr>
              <w:pStyle w:val="TableParagraph"/>
              <w:ind w:left="602" w:hanging="356"/>
              <w:rPr>
                <w:sz w:val="22"/>
              </w:rPr>
            </w:pPr>
            <w:r>
              <w:rPr>
                <w:spacing w:val="-2"/>
                <w:sz w:val="22"/>
              </w:rPr>
              <w:t>SNCP-DSH- </w:t>
            </w:r>
            <w:r>
              <w:rPr>
                <w:spacing w:val="-4"/>
                <w:sz w:val="22"/>
              </w:rPr>
              <w:t>IMD</w:t>
            </w:r>
          </w:p>
        </w:tc>
        <w:tc>
          <w:tcPr>
            <w:tcW w:w="784" w:type="dxa"/>
          </w:tcPr>
          <w:p>
            <w:pPr>
              <w:pStyle w:val="TableParagraph"/>
              <w:spacing w:before="2"/>
              <w:rPr>
                <w:sz w:val="32"/>
              </w:rPr>
            </w:pPr>
          </w:p>
          <w:p>
            <w:pPr>
              <w:pStyle w:val="TableParagraph"/>
              <w:ind w:right="188"/>
              <w:jc w:val="right"/>
              <w:rPr>
                <w:sz w:val="22"/>
              </w:rPr>
            </w:pPr>
            <w:r>
              <w:rPr>
                <w:spacing w:val="-5"/>
                <w:sz w:val="22"/>
              </w:rPr>
              <w:t>Agg</w:t>
            </w:r>
          </w:p>
        </w:tc>
        <w:tc>
          <w:tcPr>
            <w:tcW w:w="1442" w:type="dxa"/>
          </w:tcPr>
          <w:p>
            <w:pPr>
              <w:pStyle w:val="TableParagraph"/>
              <w:spacing w:before="2"/>
              <w:rPr>
                <w:sz w:val="32"/>
              </w:rPr>
            </w:pPr>
          </w:p>
          <w:p>
            <w:pPr>
              <w:pStyle w:val="TableParagraph"/>
              <w:ind w:right="250"/>
              <w:jc w:val="right"/>
              <w:rPr>
                <w:sz w:val="22"/>
              </w:rPr>
            </w:pPr>
            <w:r>
              <w:rPr>
                <w:sz w:val="22"/>
              </w:rPr>
              <w:t>WW</w:t>
            </w:r>
            <w:r>
              <w:rPr>
                <w:spacing w:val="-2"/>
                <w:sz w:val="22"/>
              </w:rPr>
              <w:t> </w:t>
            </w:r>
            <w:r>
              <w:rPr>
                <w:spacing w:val="-4"/>
                <w:sz w:val="22"/>
              </w:rPr>
              <w:t>Only</w:t>
            </w:r>
          </w:p>
        </w:tc>
        <w:tc>
          <w:tcPr>
            <w:tcW w:w="808" w:type="dxa"/>
          </w:tcPr>
          <w:p>
            <w:pPr>
              <w:pStyle w:val="TableParagraph"/>
              <w:spacing w:before="2"/>
              <w:rPr>
                <w:sz w:val="32"/>
              </w:rPr>
            </w:pPr>
          </w:p>
          <w:p>
            <w:pPr>
              <w:pStyle w:val="TableParagraph"/>
              <w:ind w:right="168"/>
              <w:jc w:val="right"/>
              <w:rPr>
                <w:sz w:val="22"/>
              </w:rPr>
            </w:pPr>
            <w:r>
              <w:rPr>
                <w:spacing w:val="-4"/>
                <w:sz w:val="22"/>
              </w:rPr>
              <w:t>2019</w:t>
            </w:r>
          </w:p>
        </w:tc>
        <w:tc>
          <w:tcPr>
            <w:tcW w:w="993" w:type="dxa"/>
          </w:tcPr>
          <w:p>
            <w:pPr>
              <w:pStyle w:val="TableParagraph"/>
              <w:spacing w:before="2"/>
              <w:rPr>
                <w:sz w:val="32"/>
              </w:rPr>
            </w:pPr>
          </w:p>
          <w:p>
            <w:pPr>
              <w:pStyle w:val="TableParagraph"/>
              <w:ind w:left="198" w:right="183"/>
              <w:jc w:val="center"/>
              <w:rPr>
                <w:sz w:val="22"/>
              </w:rPr>
            </w:pPr>
            <w:r>
              <w:rPr>
                <w:spacing w:val="-5"/>
                <w:sz w:val="22"/>
              </w:rPr>
              <w:t>N/A</w:t>
            </w:r>
          </w:p>
        </w:tc>
        <w:tc>
          <w:tcPr>
            <w:tcW w:w="1437" w:type="dxa"/>
          </w:tcPr>
          <w:p>
            <w:pPr>
              <w:pStyle w:val="TableParagraph"/>
              <w:spacing w:before="2"/>
              <w:rPr>
                <w:sz w:val="32"/>
              </w:rPr>
            </w:pPr>
          </w:p>
          <w:p>
            <w:pPr>
              <w:pStyle w:val="TableParagraph"/>
              <w:ind w:right="205"/>
              <w:jc w:val="right"/>
              <w:rPr>
                <w:sz w:val="22"/>
              </w:rPr>
            </w:pPr>
            <w:r>
              <w:rPr>
                <w:spacing w:val="-2"/>
                <w:sz w:val="22"/>
              </w:rPr>
              <w:t>$8,085,662</w:t>
            </w:r>
          </w:p>
        </w:tc>
        <w:tc>
          <w:tcPr>
            <w:tcW w:w="1442" w:type="dxa"/>
          </w:tcPr>
          <w:p>
            <w:pPr>
              <w:pStyle w:val="TableParagraph"/>
              <w:spacing w:before="2"/>
              <w:rPr>
                <w:sz w:val="32"/>
              </w:rPr>
            </w:pPr>
          </w:p>
          <w:p>
            <w:pPr>
              <w:pStyle w:val="TableParagraph"/>
              <w:ind w:left="128" w:right="111"/>
              <w:jc w:val="center"/>
              <w:rPr>
                <w:sz w:val="22"/>
              </w:rPr>
            </w:pPr>
            <w:r>
              <w:rPr>
                <w:spacing w:val="-2"/>
                <w:sz w:val="22"/>
              </w:rPr>
              <w:t>$30,000,000</w:t>
            </w:r>
          </w:p>
        </w:tc>
        <w:tc>
          <w:tcPr>
            <w:tcW w:w="1440" w:type="dxa"/>
          </w:tcPr>
          <w:p>
            <w:pPr>
              <w:pStyle w:val="TableParagraph"/>
              <w:spacing w:before="2"/>
              <w:rPr>
                <w:sz w:val="32"/>
              </w:rPr>
            </w:pPr>
          </w:p>
          <w:p>
            <w:pPr>
              <w:pStyle w:val="TableParagraph"/>
              <w:ind w:left="111" w:right="92"/>
              <w:jc w:val="center"/>
              <w:rPr>
                <w:sz w:val="22"/>
              </w:rPr>
            </w:pPr>
            <w:r>
              <w:rPr>
                <w:spacing w:val="-2"/>
                <w:sz w:val="22"/>
              </w:rPr>
              <w:t>$30,000,000</w:t>
            </w:r>
          </w:p>
        </w:tc>
        <w:tc>
          <w:tcPr>
            <w:tcW w:w="1531" w:type="dxa"/>
          </w:tcPr>
          <w:p>
            <w:pPr>
              <w:pStyle w:val="TableParagraph"/>
              <w:spacing w:before="2"/>
              <w:rPr>
                <w:sz w:val="32"/>
              </w:rPr>
            </w:pPr>
          </w:p>
          <w:p>
            <w:pPr>
              <w:pStyle w:val="TableParagraph"/>
              <w:ind w:right="197"/>
              <w:jc w:val="right"/>
              <w:rPr>
                <w:sz w:val="22"/>
              </w:rPr>
            </w:pPr>
            <w:r>
              <w:rPr>
                <w:spacing w:val="-2"/>
                <w:sz w:val="22"/>
              </w:rPr>
              <w:t>$30,000,000</w:t>
            </w:r>
          </w:p>
        </w:tc>
        <w:tc>
          <w:tcPr>
            <w:tcW w:w="1440" w:type="dxa"/>
          </w:tcPr>
          <w:p>
            <w:pPr>
              <w:pStyle w:val="TableParagraph"/>
              <w:spacing w:before="2"/>
              <w:rPr>
                <w:sz w:val="32"/>
              </w:rPr>
            </w:pPr>
          </w:p>
          <w:p>
            <w:pPr>
              <w:pStyle w:val="TableParagraph"/>
              <w:ind w:left="111" w:right="92"/>
              <w:jc w:val="center"/>
              <w:rPr>
                <w:sz w:val="22"/>
              </w:rPr>
            </w:pPr>
            <w:r>
              <w:rPr>
                <w:spacing w:val="-2"/>
                <w:sz w:val="22"/>
              </w:rPr>
              <w:t>$30,000,000</w:t>
            </w:r>
          </w:p>
        </w:tc>
        <w:tc>
          <w:tcPr>
            <w:tcW w:w="1440" w:type="dxa"/>
          </w:tcPr>
          <w:p>
            <w:pPr>
              <w:pStyle w:val="TableParagraph"/>
              <w:spacing w:before="2"/>
              <w:rPr>
                <w:sz w:val="32"/>
              </w:rPr>
            </w:pPr>
          </w:p>
          <w:p>
            <w:pPr>
              <w:pStyle w:val="TableParagraph"/>
              <w:ind w:left="111" w:right="92"/>
              <w:jc w:val="center"/>
              <w:rPr>
                <w:sz w:val="22"/>
              </w:rPr>
            </w:pPr>
            <w:r>
              <w:rPr>
                <w:spacing w:val="-2"/>
                <w:sz w:val="22"/>
              </w:rPr>
              <w:t>$30,000,000</w:t>
            </w:r>
          </w:p>
        </w:tc>
      </w:tr>
      <w:tr>
        <w:trPr>
          <w:trHeight w:val="997" w:hRule="atLeast"/>
        </w:trPr>
        <w:tc>
          <w:tcPr>
            <w:tcW w:w="1634" w:type="dxa"/>
          </w:tcPr>
          <w:p>
            <w:pPr>
              <w:pStyle w:val="TableParagraph"/>
              <w:spacing w:before="4"/>
              <w:rPr>
                <w:sz w:val="21"/>
              </w:rPr>
            </w:pPr>
          </w:p>
          <w:p>
            <w:pPr>
              <w:pStyle w:val="TableParagraph"/>
              <w:ind w:left="614" w:hanging="368"/>
              <w:rPr>
                <w:sz w:val="22"/>
              </w:rPr>
            </w:pPr>
            <w:r>
              <w:rPr>
                <w:spacing w:val="-2"/>
                <w:sz w:val="22"/>
              </w:rPr>
              <w:t>SNCP-DSH- </w:t>
            </w:r>
            <w:r>
              <w:rPr>
                <w:spacing w:val="-4"/>
                <w:sz w:val="22"/>
              </w:rPr>
              <w:t>CPE</w:t>
            </w:r>
          </w:p>
        </w:tc>
        <w:tc>
          <w:tcPr>
            <w:tcW w:w="784" w:type="dxa"/>
          </w:tcPr>
          <w:p>
            <w:pPr>
              <w:pStyle w:val="TableParagraph"/>
              <w:spacing w:before="2"/>
              <w:rPr>
                <w:sz w:val="32"/>
              </w:rPr>
            </w:pPr>
          </w:p>
          <w:p>
            <w:pPr>
              <w:pStyle w:val="TableParagraph"/>
              <w:ind w:right="188"/>
              <w:jc w:val="right"/>
              <w:rPr>
                <w:sz w:val="22"/>
              </w:rPr>
            </w:pPr>
            <w:r>
              <w:rPr>
                <w:spacing w:val="-5"/>
                <w:sz w:val="22"/>
              </w:rPr>
              <w:t>Agg</w:t>
            </w:r>
          </w:p>
        </w:tc>
        <w:tc>
          <w:tcPr>
            <w:tcW w:w="1442" w:type="dxa"/>
          </w:tcPr>
          <w:p>
            <w:pPr>
              <w:pStyle w:val="TableParagraph"/>
              <w:spacing w:before="2"/>
              <w:rPr>
                <w:sz w:val="32"/>
              </w:rPr>
            </w:pPr>
          </w:p>
          <w:p>
            <w:pPr>
              <w:pStyle w:val="TableParagraph"/>
              <w:ind w:right="250"/>
              <w:jc w:val="right"/>
              <w:rPr>
                <w:sz w:val="22"/>
              </w:rPr>
            </w:pPr>
            <w:r>
              <w:rPr>
                <w:sz w:val="22"/>
              </w:rPr>
              <w:t>WW</w:t>
            </w:r>
            <w:r>
              <w:rPr>
                <w:spacing w:val="-2"/>
                <w:sz w:val="22"/>
              </w:rPr>
              <w:t> </w:t>
            </w:r>
            <w:r>
              <w:rPr>
                <w:spacing w:val="-4"/>
                <w:sz w:val="22"/>
              </w:rPr>
              <w:t>Only</w:t>
            </w:r>
          </w:p>
        </w:tc>
        <w:tc>
          <w:tcPr>
            <w:tcW w:w="808" w:type="dxa"/>
          </w:tcPr>
          <w:p>
            <w:pPr>
              <w:pStyle w:val="TableParagraph"/>
              <w:spacing w:before="2"/>
              <w:rPr>
                <w:sz w:val="32"/>
              </w:rPr>
            </w:pPr>
          </w:p>
          <w:p>
            <w:pPr>
              <w:pStyle w:val="TableParagraph"/>
              <w:ind w:right="168"/>
              <w:jc w:val="right"/>
              <w:rPr>
                <w:sz w:val="22"/>
              </w:rPr>
            </w:pPr>
            <w:r>
              <w:rPr>
                <w:spacing w:val="-4"/>
                <w:sz w:val="22"/>
              </w:rPr>
              <w:t>2019</w:t>
            </w:r>
          </w:p>
        </w:tc>
        <w:tc>
          <w:tcPr>
            <w:tcW w:w="993" w:type="dxa"/>
          </w:tcPr>
          <w:p>
            <w:pPr>
              <w:pStyle w:val="TableParagraph"/>
              <w:spacing w:before="2"/>
              <w:rPr>
                <w:sz w:val="32"/>
              </w:rPr>
            </w:pPr>
          </w:p>
          <w:p>
            <w:pPr>
              <w:pStyle w:val="TableParagraph"/>
              <w:ind w:left="198" w:right="183"/>
              <w:jc w:val="center"/>
              <w:rPr>
                <w:sz w:val="22"/>
              </w:rPr>
            </w:pPr>
            <w:r>
              <w:rPr>
                <w:spacing w:val="-5"/>
                <w:sz w:val="22"/>
              </w:rPr>
              <w:t>N/A</w:t>
            </w:r>
          </w:p>
        </w:tc>
        <w:tc>
          <w:tcPr>
            <w:tcW w:w="1437" w:type="dxa"/>
          </w:tcPr>
          <w:p>
            <w:pPr>
              <w:pStyle w:val="TableParagraph"/>
              <w:spacing w:before="2"/>
              <w:rPr>
                <w:sz w:val="32"/>
              </w:rPr>
            </w:pPr>
          </w:p>
          <w:p>
            <w:pPr>
              <w:pStyle w:val="TableParagraph"/>
              <w:ind w:right="152"/>
              <w:jc w:val="right"/>
              <w:rPr>
                <w:sz w:val="22"/>
              </w:rPr>
            </w:pPr>
            <w:r>
              <w:rPr>
                <w:spacing w:val="-2"/>
                <w:sz w:val="22"/>
              </w:rPr>
              <w:t>$38,996,798</w:t>
            </w:r>
          </w:p>
        </w:tc>
        <w:tc>
          <w:tcPr>
            <w:tcW w:w="1442" w:type="dxa"/>
          </w:tcPr>
          <w:p>
            <w:pPr>
              <w:pStyle w:val="TableParagraph"/>
              <w:spacing w:before="2"/>
              <w:rPr>
                <w:sz w:val="32"/>
              </w:rPr>
            </w:pPr>
          </w:p>
          <w:p>
            <w:pPr>
              <w:pStyle w:val="TableParagraph"/>
              <w:ind w:left="110" w:right="94"/>
              <w:jc w:val="center"/>
              <w:rPr>
                <w:sz w:val="22"/>
              </w:rPr>
            </w:pPr>
            <w:r>
              <w:rPr>
                <w:spacing w:val="-2"/>
                <w:sz w:val="22"/>
              </w:rPr>
              <w:t>$156,000,000</w:t>
            </w:r>
          </w:p>
        </w:tc>
        <w:tc>
          <w:tcPr>
            <w:tcW w:w="1440" w:type="dxa"/>
          </w:tcPr>
          <w:p>
            <w:pPr>
              <w:pStyle w:val="TableParagraph"/>
              <w:spacing w:before="2"/>
              <w:rPr>
                <w:sz w:val="32"/>
              </w:rPr>
            </w:pPr>
          </w:p>
          <w:p>
            <w:pPr>
              <w:pStyle w:val="TableParagraph"/>
              <w:ind w:left="111" w:right="92"/>
              <w:jc w:val="center"/>
              <w:rPr>
                <w:sz w:val="22"/>
              </w:rPr>
            </w:pPr>
            <w:r>
              <w:rPr>
                <w:spacing w:val="-2"/>
                <w:sz w:val="22"/>
              </w:rPr>
              <w:t>$165,000,000</w:t>
            </w:r>
          </w:p>
        </w:tc>
        <w:tc>
          <w:tcPr>
            <w:tcW w:w="1531" w:type="dxa"/>
          </w:tcPr>
          <w:p>
            <w:pPr>
              <w:pStyle w:val="TableParagraph"/>
              <w:spacing w:before="2"/>
              <w:rPr>
                <w:sz w:val="32"/>
              </w:rPr>
            </w:pPr>
          </w:p>
          <w:p>
            <w:pPr>
              <w:pStyle w:val="TableParagraph"/>
              <w:ind w:right="142"/>
              <w:jc w:val="right"/>
              <w:rPr>
                <w:sz w:val="22"/>
              </w:rPr>
            </w:pPr>
            <w:r>
              <w:rPr>
                <w:spacing w:val="-2"/>
                <w:sz w:val="22"/>
              </w:rPr>
              <w:t>$165,000,000</w:t>
            </w:r>
          </w:p>
        </w:tc>
        <w:tc>
          <w:tcPr>
            <w:tcW w:w="1440" w:type="dxa"/>
          </w:tcPr>
          <w:p>
            <w:pPr>
              <w:pStyle w:val="TableParagraph"/>
              <w:spacing w:before="2"/>
              <w:rPr>
                <w:sz w:val="32"/>
              </w:rPr>
            </w:pPr>
          </w:p>
          <w:p>
            <w:pPr>
              <w:pStyle w:val="TableParagraph"/>
              <w:ind w:left="111" w:right="92"/>
              <w:jc w:val="center"/>
              <w:rPr>
                <w:sz w:val="22"/>
              </w:rPr>
            </w:pPr>
            <w:r>
              <w:rPr>
                <w:spacing w:val="-2"/>
                <w:sz w:val="22"/>
              </w:rPr>
              <w:t>$165,000,000</w:t>
            </w:r>
          </w:p>
        </w:tc>
        <w:tc>
          <w:tcPr>
            <w:tcW w:w="1440" w:type="dxa"/>
          </w:tcPr>
          <w:p>
            <w:pPr>
              <w:pStyle w:val="TableParagraph"/>
              <w:spacing w:before="2"/>
              <w:rPr>
                <w:sz w:val="32"/>
              </w:rPr>
            </w:pPr>
          </w:p>
          <w:p>
            <w:pPr>
              <w:pStyle w:val="TableParagraph"/>
              <w:ind w:left="111" w:right="92"/>
              <w:jc w:val="center"/>
              <w:rPr>
                <w:sz w:val="22"/>
              </w:rPr>
            </w:pPr>
            <w:r>
              <w:rPr>
                <w:spacing w:val="-2"/>
                <w:sz w:val="22"/>
              </w:rPr>
              <w:t>$165,000,000</w:t>
            </w:r>
          </w:p>
        </w:tc>
      </w:tr>
      <w:tr>
        <w:trPr>
          <w:trHeight w:val="998" w:hRule="atLeast"/>
        </w:trPr>
        <w:tc>
          <w:tcPr>
            <w:tcW w:w="1634" w:type="dxa"/>
          </w:tcPr>
          <w:p>
            <w:pPr>
              <w:pStyle w:val="TableParagraph"/>
              <w:spacing w:before="6"/>
              <w:rPr>
                <w:sz w:val="25"/>
              </w:rPr>
            </w:pPr>
          </w:p>
          <w:p>
            <w:pPr>
              <w:pStyle w:val="TableParagraph"/>
              <w:ind w:left="278"/>
              <w:rPr>
                <w:sz w:val="22"/>
              </w:rPr>
            </w:pPr>
            <w:r>
              <w:rPr>
                <w:spacing w:val="-2"/>
                <w:sz w:val="22"/>
              </w:rPr>
              <w:t>SNCP-</w:t>
            </w:r>
            <w:r>
              <w:rPr>
                <w:spacing w:val="-5"/>
                <w:sz w:val="22"/>
              </w:rPr>
              <w:t>UCC</w:t>
            </w:r>
          </w:p>
        </w:tc>
        <w:tc>
          <w:tcPr>
            <w:tcW w:w="784" w:type="dxa"/>
          </w:tcPr>
          <w:p>
            <w:pPr>
              <w:pStyle w:val="TableParagraph"/>
              <w:spacing w:before="6"/>
              <w:rPr>
                <w:sz w:val="25"/>
              </w:rPr>
            </w:pPr>
          </w:p>
          <w:p>
            <w:pPr>
              <w:pStyle w:val="TableParagraph"/>
              <w:ind w:right="188"/>
              <w:jc w:val="right"/>
              <w:rPr>
                <w:sz w:val="22"/>
              </w:rPr>
            </w:pPr>
            <w:r>
              <w:rPr>
                <w:spacing w:val="-5"/>
                <w:sz w:val="22"/>
              </w:rPr>
              <w:t>Agg</w:t>
            </w:r>
          </w:p>
        </w:tc>
        <w:tc>
          <w:tcPr>
            <w:tcW w:w="1442" w:type="dxa"/>
          </w:tcPr>
          <w:p>
            <w:pPr>
              <w:pStyle w:val="TableParagraph"/>
              <w:spacing w:before="6"/>
              <w:rPr>
                <w:sz w:val="25"/>
              </w:rPr>
            </w:pPr>
          </w:p>
          <w:p>
            <w:pPr>
              <w:pStyle w:val="TableParagraph"/>
              <w:ind w:right="250"/>
              <w:jc w:val="right"/>
              <w:rPr>
                <w:sz w:val="22"/>
              </w:rPr>
            </w:pPr>
            <w:r>
              <w:rPr>
                <w:sz w:val="22"/>
              </w:rPr>
              <w:t>WW</w:t>
            </w:r>
            <w:r>
              <w:rPr>
                <w:spacing w:val="-2"/>
                <w:sz w:val="22"/>
              </w:rPr>
              <w:t> </w:t>
            </w:r>
            <w:r>
              <w:rPr>
                <w:spacing w:val="-4"/>
                <w:sz w:val="22"/>
              </w:rPr>
              <w:t>Only</w:t>
            </w:r>
          </w:p>
        </w:tc>
        <w:tc>
          <w:tcPr>
            <w:tcW w:w="808" w:type="dxa"/>
          </w:tcPr>
          <w:p>
            <w:pPr>
              <w:pStyle w:val="TableParagraph"/>
              <w:spacing w:before="6"/>
              <w:rPr>
                <w:sz w:val="25"/>
              </w:rPr>
            </w:pPr>
          </w:p>
          <w:p>
            <w:pPr>
              <w:pStyle w:val="TableParagraph"/>
              <w:ind w:right="168"/>
              <w:jc w:val="right"/>
              <w:rPr>
                <w:sz w:val="22"/>
              </w:rPr>
            </w:pPr>
            <w:r>
              <w:rPr>
                <w:spacing w:val="-4"/>
                <w:sz w:val="22"/>
              </w:rPr>
              <w:t>2019</w:t>
            </w:r>
          </w:p>
        </w:tc>
        <w:tc>
          <w:tcPr>
            <w:tcW w:w="993" w:type="dxa"/>
          </w:tcPr>
          <w:p>
            <w:pPr>
              <w:pStyle w:val="TableParagraph"/>
              <w:spacing w:before="6"/>
              <w:rPr>
                <w:sz w:val="25"/>
              </w:rPr>
            </w:pPr>
          </w:p>
          <w:p>
            <w:pPr>
              <w:pStyle w:val="TableParagraph"/>
              <w:ind w:left="198" w:right="183"/>
              <w:jc w:val="center"/>
              <w:rPr>
                <w:sz w:val="22"/>
              </w:rPr>
            </w:pPr>
            <w:r>
              <w:rPr>
                <w:spacing w:val="-5"/>
                <w:sz w:val="22"/>
              </w:rPr>
              <w:t>N/A</w:t>
            </w:r>
          </w:p>
        </w:tc>
        <w:tc>
          <w:tcPr>
            <w:tcW w:w="1437" w:type="dxa"/>
          </w:tcPr>
          <w:p>
            <w:pPr>
              <w:pStyle w:val="TableParagraph"/>
              <w:spacing w:before="6"/>
              <w:rPr>
                <w:sz w:val="25"/>
              </w:rPr>
            </w:pPr>
          </w:p>
          <w:p>
            <w:pPr>
              <w:pStyle w:val="TableParagraph"/>
              <w:ind w:left="15"/>
              <w:jc w:val="center"/>
              <w:rPr>
                <w:sz w:val="22"/>
              </w:rPr>
            </w:pPr>
            <w:r>
              <w:rPr>
                <w:w w:val="100"/>
                <w:sz w:val="22"/>
              </w:rPr>
              <w:t>-</w:t>
            </w:r>
          </w:p>
        </w:tc>
        <w:tc>
          <w:tcPr>
            <w:tcW w:w="1442" w:type="dxa"/>
          </w:tcPr>
          <w:p>
            <w:pPr>
              <w:pStyle w:val="TableParagraph"/>
              <w:spacing w:before="6"/>
              <w:rPr>
                <w:sz w:val="25"/>
              </w:rPr>
            </w:pPr>
          </w:p>
          <w:p>
            <w:pPr>
              <w:pStyle w:val="TableParagraph"/>
              <w:ind w:left="111" w:right="94"/>
              <w:jc w:val="center"/>
              <w:rPr>
                <w:sz w:val="22"/>
              </w:rPr>
            </w:pPr>
            <w:r>
              <w:rPr>
                <w:spacing w:val="-2"/>
                <w:sz w:val="22"/>
              </w:rPr>
              <w:t>$100,000,000</w:t>
            </w:r>
          </w:p>
        </w:tc>
        <w:tc>
          <w:tcPr>
            <w:tcW w:w="1440" w:type="dxa"/>
          </w:tcPr>
          <w:p>
            <w:pPr>
              <w:pStyle w:val="TableParagraph"/>
              <w:spacing w:before="6"/>
              <w:rPr>
                <w:sz w:val="25"/>
              </w:rPr>
            </w:pPr>
          </w:p>
          <w:p>
            <w:pPr>
              <w:pStyle w:val="TableParagraph"/>
              <w:ind w:left="111" w:right="92"/>
              <w:jc w:val="center"/>
              <w:rPr>
                <w:sz w:val="22"/>
              </w:rPr>
            </w:pPr>
            <w:r>
              <w:rPr>
                <w:spacing w:val="-2"/>
                <w:sz w:val="22"/>
              </w:rPr>
              <w:t>$100,000,000</w:t>
            </w:r>
          </w:p>
        </w:tc>
        <w:tc>
          <w:tcPr>
            <w:tcW w:w="1531" w:type="dxa"/>
          </w:tcPr>
          <w:p>
            <w:pPr>
              <w:pStyle w:val="TableParagraph"/>
              <w:spacing w:before="6"/>
              <w:rPr>
                <w:sz w:val="25"/>
              </w:rPr>
            </w:pPr>
          </w:p>
          <w:p>
            <w:pPr>
              <w:pStyle w:val="TableParagraph"/>
              <w:ind w:right="142"/>
              <w:jc w:val="right"/>
              <w:rPr>
                <w:sz w:val="22"/>
              </w:rPr>
            </w:pPr>
            <w:r>
              <w:rPr>
                <w:spacing w:val="-2"/>
                <w:sz w:val="22"/>
              </w:rPr>
              <w:t>$100,000,000</w:t>
            </w:r>
          </w:p>
        </w:tc>
        <w:tc>
          <w:tcPr>
            <w:tcW w:w="1440" w:type="dxa"/>
          </w:tcPr>
          <w:p>
            <w:pPr>
              <w:pStyle w:val="TableParagraph"/>
              <w:spacing w:before="6"/>
              <w:rPr>
                <w:sz w:val="25"/>
              </w:rPr>
            </w:pPr>
          </w:p>
          <w:p>
            <w:pPr>
              <w:pStyle w:val="TableParagraph"/>
              <w:ind w:left="111" w:right="92"/>
              <w:jc w:val="center"/>
              <w:rPr>
                <w:sz w:val="22"/>
              </w:rPr>
            </w:pPr>
            <w:r>
              <w:rPr>
                <w:spacing w:val="-2"/>
                <w:sz w:val="22"/>
              </w:rPr>
              <w:t>$100,000,000</w:t>
            </w:r>
          </w:p>
        </w:tc>
        <w:tc>
          <w:tcPr>
            <w:tcW w:w="1440" w:type="dxa"/>
          </w:tcPr>
          <w:p>
            <w:pPr>
              <w:pStyle w:val="TableParagraph"/>
              <w:spacing w:before="6"/>
              <w:rPr>
                <w:sz w:val="25"/>
              </w:rPr>
            </w:pPr>
          </w:p>
          <w:p>
            <w:pPr>
              <w:pStyle w:val="TableParagraph"/>
              <w:ind w:left="111" w:right="92"/>
              <w:jc w:val="center"/>
              <w:rPr>
                <w:sz w:val="22"/>
              </w:rPr>
            </w:pPr>
            <w:r>
              <w:rPr>
                <w:spacing w:val="-2"/>
                <w:sz w:val="22"/>
              </w:rPr>
              <w:t>$100,000,000</w:t>
            </w:r>
          </w:p>
        </w:tc>
      </w:tr>
      <w:tr>
        <w:trPr>
          <w:trHeight w:val="998" w:hRule="atLeast"/>
        </w:trPr>
        <w:tc>
          <w:tcPr>
            <w:tcW w:w="1634" w:type="dxa"/>
          </w:tcPr>
          <w:p>
            <w:pPr>
              <w:pStyle w:val="TableParagraph"/>
              <w:spacing w:before="2"/>
              <w:rPr>
                <w:sz w:val="32"/>
              </w:rPr>
            </w:pPr>
          </w:p>
          <w:p>
            <w:pPr>
              <w:pStyle w:val="TableParagraph"/>
              <w:ind w:left="139"/>
              <w:rPr>
                <w:sz w:val="22"/>
              </w:rPr>
            </w:pPr>
            <w:r>
              <w:rPr>
                <w:spacing w:val="-2"/>
                <w:sz w:val="22"/>
              </w:rPr>
              <w:t>SNCP-OTHER</w:t>
            </w:r>
          </w:p>
        </w:tc>
        <w:tc>
          <w:tcPr>
            <w:tcW w:w="784" w:type="dxa"/>
          </w:tcPr>
          <w:p>
            <w:pPr>
              <w:pStyle w:val="TableParagraph"/>
              <w:spacing w:before="2"/>
              <w:rPr>
                <w:sz w:val="32"/>
              </w:rPr>
            </w:pPr>
          </w:p>
          <w:p>
            <w:pPr>
              <w:pStyle w:val="TableParagraph"/>
              <w:ind w:right="188"/>
              <w:jc w:val="right"/>
              <w:rPr>
                <w:sz w:val="22"/>
              </w:rPr>
            </w:pPr>
            <w:r>
              <w:rPr>
                <w:spacing w:val="-5"/>
                <w:sz w:val="22"/>
              </w:rPr>
              <w:t>Agg</w:t>
            </w:r>
          </w:p>
        </w:tc>
        <w:tc>
          <w:tcPr>
            <w:tcW w:w="1442" w:type="dxa"/>
          </w:tcPr>
          <w:p>
            <w:pPr>
              <w:pStyle w:val="TableParagraph"/>
              <w:spacing w:before="2"/>
              <w:rPr>
                <w:sz w:val="32"/>
              </w:rPr>
            </w:pPr>
          </w:p>
          <w:p>
            <w:pPr>
              <w:pStyle w:val="TableParagraph"/>
              <w:ind w:right="250"/>
              <w:jc w:val="right"/>
              <w:rPr>
                <w:sz w:val="22"/>
              </w:rPr>
            </w:pPr>
            <w:r>
              <w:rPr>
                <w:sz w:val="22"/>
              </w:rPr>
              <w:t>WW</w:t>
            </w:r>
            <w:r>
              <w:rPr>
                <w:spacing w:val="-2"/>
                <w:sz w:val="22"/>
              </w:rPr>
              <w:t> </w:t>
            </w:r>
            <w:r>
              <w:rPr>
                <w:spacing w:val="-4"/>
                <w:sz w:val="22"/>
              </w:rPr>
              <w:t>Only</w:t>
            </w:r>
          </w:p>
        </w:tc>
        <w:tc>
          <w:tcPr>
            <w:tcW w:w="808" w:type="dxa"/>
          </w:tcPr>
          <w:p>
            <w:pPr>
              <w:pStyle w:val="TableParagraph"/>
              <w:spacing w:before="2"/>
              <w:rPr>
                <w:sz w:val="32"/>
              </w:rPr>
            </w:pPr>
          </w:p>
          <w:p>
            <w:pPr>
              <w:pStyle w:val="TableParagraph"/>
              <w:ind w:right="168"/>
              <w:jc w:val="right"/>
              <w:rPr>
                <w:sz w:val="22"/>
              </w:rPr>
            </w:pPr>
            <w:r>
              <w:rPr>
                <w:spacing w:val="-4"/>
                <w:sz w:val="22"/>
              </w:rPr>
              <w:t>2019</w:t>
            </w:r>
          </w:p>
        </w:tc>
        <w:tc>
          <w:tcPr>
            <w:tcW w:w="993" w:type="dxa"/>
          </w:tcPr>
          <w:p>
            <w:pPr>
              <w:pStyle w:val="TableParagraph"/>
              <w:spacing w:before="2"/>
              <w:rPr>
                <w:sz w:val="32"/>
              </w:rPr>
            </w:pPr>
          </w:p>
          <w:p>
            <w:pPr>
              <w:pStyle w:val="TableParagraph"/>
              <w:ind w:left="198" w:right="183"/>
              <w:jc w:val="center"/>
              <w:rPr>
                <w:sz w:val="22"/>
              </w:rPr>
            </w:pPr>
            <w:r>
              <w:rPr>
                <w:spacing w:val="-5"/>
                <w:sz w:val="22"/>
              </w:rPr>
              <w:t>N/A</w:t>
            </w:r>
          </w:p>
        </w:tc>
        <w:tc>
          <w:tcPr>
            <w:tcW w:w="1437" w:type="dxa"/>
          </w:tcPr>
          <w:p>
            <w:pPr>
              <w:pStyle w:val="TableParagraph"/>
              <w:spacing w:before="2"/>
              <w:rPr>
                <w:sz w:val="32"/>
              </w:rPr>
            </w:pPr>
          </w:p>
          <w:p>
            <w:pPr>
              <w:pStyle w:val="TableParagraph"/>
              <w:ind w:right="205"/>
              <w:jc w:val="right"/>
              <w:rPr>
                <w:sz w:val="22"/>
              </w:rPr>
            </w:pPr>
            <w:r>
              <w:rPr>
                <w:spacing w:val="-2"/>
                <w:sz w:val="22"/>
              </w:rPr>
              <w:t>$5,000,000</w:t>
            </w:r>
          </w:p>
        </w:tc>
        <w:tc>
          <w:tcPr>
            <w:tcW w:w="1442" w:type="dxa"/>
          </w:tcPr>
          <w:p>
            <w:pPr>
              <w:pStyle w:val="TableParagraph"/>
              <w:spacing w:before="2"/>
              <w:rPr>
                <w:sz w:val="32"/>
              </w:rPr>
            </w:pPr>
          </w:p>
          <w:p>
            <w:pPr>
              <w:pStyle w:val="TableParagraph"/>
              <w:ind w:left="128" w:right="111"/>
              <w:jc w:val="center"/>
              <w:rPr>
                <w:sz w:val="22"/>
              </w:rPr>
            </w:pPr>
            <w:r>
              <w:rPr>
                <w:spacing w:val="-2"/>
                <w:sz w:val="22"/>
              </w:rPr>
              <w:t>$20,000,000</w:t>
            </w:r>
          </w:p>
        </w:tc>
        <w:tc>
          <w:tcPr>
            <w:tcW w:w="1440" w:type="dxa"/>
          </w:tcPr>
          <w:p>
            <w:pPr>
              <w:pStyle w:val="TableParagraph"/>
              <w:spacing w:before="2"/>
              <w:rPr>
                <w:sz w:val="32"/>
              </w:rPr>
            </w:pPr>
          </w:p>
          <w:p>
            <w:pPr>
              <w:pStyle w:val="TableParagraph"/>
              <w:ind w:left="111" w:right="92"/>
              <w:jc w:val="center"/>
              <w:rPr>
                <w:sz w:val="22"/>
              </w:rPr>
            </w:pPr>
            <w:r>
              <w:rPr>
                <w:spacing w:val="-2"/>
                <w:sz w:val="22"/>
              </w:rPr>
              <w:t>$20,000,000</w:t>
            </w:r>
          </w:p>
        </w:tc>
        <w:tc>
          <w:tcPr>
            <w:tcW w:w="1531" w:type="dxa"/>
          </w:tcPr>
          <w:p>
            <w:pPr>
              <w:pStyle w:val="TableParagraph"/>
              <w:spacing w:before="2"/>
              <w:rPr>
                <w:sz w:val="32"/>
              </w:rPr>
            </w:pPr>
          </w:p>
          <w:p>
            <w:pPr>
              <w:pStyle w:val="TableParagraph"/>
              <w:ind w:right="197"/>
              <w:jc w:val="right"/>
              <w:rPr>
                <w:sz w:val="22"/>
              </w:rPr>
            </w:pPr>
            <w:r>
              <w:rPr>
                <w:spacing w:val="-2"/>
                <w:sz w:val="22"/>
              </w:rPr>
              <w:t>$20,000,000</w:t>
            </w:r>
          </w:p>
        </w:tc>
        <w:tc>
          <w:tcPr>
            <w:tcW w:w="1440" w:type="dxa"/>
          </w:tcPr>
          <w:p>
            <w:pPr>
              <w:pStyle w:val="TableParagraph"/>
              <w:spacing w:before="2"/>
              <w:rPr>
                <w:sz w:val="32"/>
              </w:rPr>
            </w:pPr>
          </w:p>
          <w:p>
            <w:pPr>
              <w:pStyle w:val="TableParagraph"/>
              <w:ind w:left="111" w:right="92"/>
              <w:jc w:val="center"/>
              <w:rPr>
                <w:sz w:val="22"/>
              </w:rPr>
            </w:pPr>
            <w:r>
              <w:rPr>
                <w:spacing w:val="-2"/>
                <w:sz w:val="22"/>
              </w:rPr>
              <w:t>$20,000,000</w:t>
            </w:r>
          </w:p>
        </w:tc>
        <w:tc>
          <w:tcPr>
            <w:tcW w:w="1440" w:type="dxa"/>
          </w:tcPr>
          <w:p>
            <w:pPr>
              <w:pStyle w:val="TableParagraph"/>
              <w:spacing w:before="2"/>
              <w:rPr>
                <w:sz w:val="32"/>
              </w:rPr>
            </w:pPr>
          </w:p>
          <w:p>
            <w:pPr>
              <w:pStyle w:val="TableParagraph"/>
              <w:ind w:left="111" w:right="92"/>
              <w:jc w:val="center"/>
              <w:rPr>
                <w:sz w:val="22"/>
              </w:rPr>
            </w:pPr>
            <w:r>
              <w:rPr>
                <w:spacing w:val="-2"/>
                <w:sz w:val="22"/>
              </w:rPr>
              <w:t>$20,000,000</w:t>
            </w:r>
          </w:p>
        </w:tc>
      </w:tr>
    </w:tbl>
    <w:p>
      <w:pPr>
        <w:spacing w:after="0"/>
        <w:jc w:val="center"/>
        <w:rPr>
          <w:sz w:val="22"/>
        </w:rPr>
        <w:sectPr>
          <w:pgSz w:w="15840" w:h="12240" w:orient="landscape"/>
          <w:pgMar w:header="0" w:footer="1201" w:top="1380" w:bottom="1400" w:left="600" w:right="600"/>
        </w:sectPr>
      </w:pPr>
    </w:p>
    <w:p>
      <w:pPr>
        <w:pStyle w:val="BodyText"/>
        <w:spacing w:before="2"/>
        <w:rPr>
          <w:sz w:val="5"/>
        </w:r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4"/>
        <w:gridCol w:w="784"/>
        <w:gridCol w:w="1442"/>
        <w:gridCol w:w="808"/>
        <w:gridCol w:w="993"/>
        <w:gridCol w:w="1437"/>
        <w:gridCol w:w="1442"/>
        <w:gridCol w:w="1440"/>
        <w:gridCol w:w="1531"/>
        <w:gridCol w:w="1440"/>
        <w:gridCol w:w="1440"/>
      </w:tblGrid>
      <w:tr>
        <w:trPr>
          <w:trHeight w:val="558" w:hRule="atLeast"/>
        </w:trPr>
        <w:tc>
          <w:tcPr>
            <w:tcW w:w="14391" w:type="dxa"/>
            <w:gridSpan w:val="11"/>
            <w:shd w:val="clear" w:color="auto" w:fill="DBE4F0"/>
          </w:tcPr>
          <w:p>
            <w:pPr>
              <w:pStyle w:val="TableParagraph"/>
              <w:spacing w:before="154"/>
              <w:ind w:left="5371" w:right="5356"/>
              <w:jc w:val="center"/>
              <w:rPr>
                <w:b/>
                <w:sz w:val="22"/>
              </w:rPr>
            </w:pPr>
            <w:r>
              <w:rPr>
                <w:b/>
                <w:sz w:val="22"/>
              </w:rPr>
              <w:t>Table</w:t>
            </w:r>
            <w:r>
              <w:rPr>
                <w:b/>
                <w:spacing w:val="-4"/>
                <w:sz w:val="22"/>
              </w:rPr>
              <w:t> </w:t>
            </w:r>
            <w:r>
              <w:rPr>
                <w:b/>
                <w:sz w:val="22"/>
              </w:rPr>
              <w:t>20:</w:t>
            </w:r>
            <w:r>
              <w:rPr>
                <w:b/>
                <w:spacing w:val="-3"/>
                <w:sz w:val="22"/>
              </w:rPr>
              <w:t> </w:t>
            </w:r>
            <w:r>
              <w:rPr>
                <w:b/>
                <w:sz w:val="22"/>
              </w:rPr>
              <w:t>Main</w:t>
            </w:r>
            <w:r>
              <w:rPr>
                <w:b/>
                <w:spacing w:val="-6"/>
                <w:sz w:val="22"/>
              </w:rPr>
              <w:t> </w:t>
            </w:r>
            <w:r>
              <w:rPr>
                <w:b/>
                <w:sz w:val="22"/>
              </w:rPr>
              <w:t>Budget</w:t>
            </w:r>
            <w:r>
              <w:rPr>
                <w:b/>
                <w:spacing w:val="-3"/>
                <w:sz w:val="22"/>
              </w:rPr>
              <w:t> </w:t>
            </w:r>
            <w:r>
              <w:rPr>
                <w:b/>
                <w:sz w:val="22"/>
              </w:rPr>
              <w:t>Neutrality</w:t>
            </w:r>
            <w:r>
              <w:rPr>
                <w:b/>
                <w:spacing w:val="-3"/>
                <w:sz w:val="22"/>
              </w:rPr>
              <w:t> </w:t>
            </w:r>
            <w:r>
              <w:rPr>
                <w:b/>
                <w:spacing w:val="-4"/>
                <w:sz w:val="22"/>
              </w:rPr>
              <w:t>Test</w:t>
            </w:r>
          </w:p>
        </w:tc>
      </w:tr>
      <w:tr>
        <w:trPr>
          <w:trHeight w:val="1573" w:hRule="atLeast"/>
        </w:trPr>
        <w:tc>
          <w:tcPr>
            <w:tcW w:w="1634" w:type="dxa"/>
            <w:shd w:val="clear" w:color="auto" w:fill="DBE4F0"/>
          </w:tcPr>
          <w:p>
            <w:pPr>
              <w:pStyle w:val="TableParagraph"/>
              <w:rPr>
                <w:sz w:val="24"/>
              </w:rPr>
            </w:pPr>
          </w:p>
          <w:p>
            <w:pPr>
              <w:pStyle w:val="TableParagraph"/>
              <w:spacing w:before="5"/>
              <w:rPr>
                <w:sz w:val="33"/>
              </w:rPr>
            </w:pPr>
          </w:p>
          <w:p>
            <w:pPr>
              <w:pStyle w:val="TableParagraph"/>
              <w:ind w:left="165" w:right="155"/>
              <w:jc w:val="center"/>
              <w:rPr>
                <w:b/>
                <w:sz w:val="22"/>
              </w:rPr>
            </w:pPr>
            <w:r>
              <w:rPr>
                <w:b/>
                <w:spacing w:val="-5"/>
                <w:sz w:val="22"/>
              </w:rPr>
              <w:t>MEG</w:t>
            </w:r>
          </w:p>
        </w:tc>
        <w:tc>
          <w:tcPr>
            <w:tcW w:w="784" w:type="dxa"/>
            <w:shd w:val="clear" w:color="auto" w:fill="DBE4F0"/>
          </w:tcPr>
          <w:p>
            <w:pPr>
              <w:pStyle w:val="TableParagraph"/>
              <w:rPr>
                <w:sz w:val="24"/>
              </w:rPr>
            </w:pPr>
          </w:p>
          <w:p>
            <w:pPr>
              <w:pStyle w:val="TableParagraph"/>
              <w:spacing w:before="2"/>
              <w:rPr>
                <w:sz w:val="22"/>
              </w:rPr>
            </w:pPr>
          </w:p>
          <w:p>
            <w:pPr>
              <w:pStyle w:val="TableParagraph"/>
              <w:spacing w:line="244" w:lineRule="auto"/>
              <w:ind w:left="149" w:right="99" w:hanging="36"/>
              <w:rPr>
                <w:b/>
                <w:sz w:val="22"/>
              </w:rPr>
            </w:pPr>
            <w:r>
              <w:rPr>
                <w:b/>
                <w:sz w:val="22"/>
              </w:rPr>
              <w:t>PC</w:t>
            </w:r>
            <w:r>
              <w:rPr>
                <w:b/>
                <w:spacing w:val="-14"/>
                <w:sz w:val="22"/>
              </w:rPr>
              <w:t> </w:t>
            </w:r>
            <w:r>
              <w:rPr>
                <w:b/>
                <w:sz w:val="22"/>
              </w:rPr>
              <w:t>or </w:t>
            </w:r>
            <w:r>
              <w:rPr>
                <w:b/>
                <w:spacing w:val="-4"/>
                <w:sz w:val="22"/>
              </w:rPr>
              <w:t>Agg*</w:t>
            </w:r>
          </w:p>
        </w:tc>
        <w:tc>
          <w:tcPr>
            <w:tcW w:w="1442" w:type="dxa"/>
            <w:shd w:val="clear" w:color="auto" w:fill="DBE4F0"/>
          </w:tcPr>
          <w:p>
            <w:pPr>
              <w:pStyle w:val="TableParagraph"/>
              <w:spacing w:before="3"/>
              <w:rPr>
                <w:sz w:val="35"/>
              </w:rPr>
            </w:pPr>
          </w:p>
          <w:p>
            <w:pPr>
              <w:pStyle w:val="TableParagraph"/>
              <w:spacing w:before="1"/>
              <w:ind w:left="128" w:right="113"/>
              <w:jc w:val="center"/>
              <w:rPr>
                <w:b/>
                <w:sz w:val="22"/>
              </w:rPr>
            </w:pPr>
            <w:r>
              <w:rPr>
                <w:b/>
                <w:sz w:val="22"/>
              </w:rPr>
              <w:t>WOW</w:t>
            </w:r>
            <w:r>
              <w:rPr>
                <w:b/>
                <w:spacing w:val="-14"/>
                <w:sz w:val="22"/>
              </w:rPr>
              <w:t> </w:t>
            </w:r>
            <w:r>
              <w:rPr>
                <w:b/>
                <w:sz w:val="22"/>
              </w:rPr>
              <w:t>Only, WW Only, or BOTH</w:t>
            </w:r>
          </w:p>
        </w:tc>
        <w:tc>
          <w:tcPr>
            <w:tcW w:w="808" w:type="dxa"/>
            <w:shd w:val="clear" w:color="auto" w:fill="DBE4F0"/>
          </w:tcPr>
          <w:p>
            <w:pPr>
              <w:pStyle w:val="TableParagraph"/>
              <w:rPr>
                <w:sz w:val="24"/>
              </w:rPr>
            </w:pPr>
          </w:p>
          <w:p>
            <w:pPr>
              <w:pStyle w:val="TableParagraph"/>
              <w:spacing w:before="2"/>
              <w:rPr>
                <w:sz w:val="22"/>
              </w:rPr>
            </w:pPr>
          </w:p>
          <w:p>
            <w:pPr>
              <w:pStyle w:val="TableParagraph"/>
              <w:spacing w:line="244" w:lineRule="auto"/>
              <w:ind w:left="174" w:right="155" w:firstLine="9"/>
              <w:rPr>
                <w:b/>
                <w:sz w:val="22"/>
              </w:rPr>
            </w:pPr>
            <w:r>
              <w:rPr>
                <w:b/>
                <w:spacing w:val="-4"/>
                <w:sz w:val="22"/>
              </w:rPr>
              <w:t>Base Year</w:t>
            </w:r>
          </w:p>
        </w:tc>
        <w:tc>
          <w:tcPr>
            <w:tcW w:w="993" w:type="dxa"/>
            <w:shd w:val="clear" w:color="auto" w:fill="DBE4F0"/>
            <w:textDirection w:val="tbRl"/>
          </w:tcPr>
          <w:p>
            <w:pPr>
              <w:pStyle w:val="TableParagraph"/>
              <w:spacing w:before="8"/>
              <w:rPr>
                <w:sz w:val="26"/>
              </w:rPr>
            </w:pPr>
          </w:p>
          <w:p>
            <w:pPr>
              <w:pStyle w:val="TableParagraph"/>
              <w:ind w:left="244"/>
              <w:rPr>
                <w:b/>
                <w:sz w:val="22"/>
              </w:rPr>
            </w:pPr>
            <w:r>
              <w:rPr>
                <w:b/>
                <w:sz w:val="22"/>
              </w:rPr>
              <w:t>Trend</w:t>
            </w:r>
            <w:r>
              <w:rPr>
                <w:b/>
                <w:spacing w:val="-3"/>
                <w:sz w:val="22"/>
              </w:rPr>
              <w:t> </w:t>
            </w:r>
            <w:r>
              <w:rPr>
                <w:b/>
                <w:spacing w:val="-4"/>
                <w:sz w:val="22"/>
              </w:rPr>
              <w:t>Rate</w:t>
            </w:r>
          </w:p>
        </w:tc>
        <w:tc>
          <w:tcPr>
            <w:tcW w:w="1437" w:type="dxa"/>
            <w:shd w:val="clear" w:color="auto" w:fill="DBE4F0"/>
          </w:tcPr>
          <w:p>
            <w:pPr>
              <w:pStyle w:val="TableParagraph"/>
              <w:rPr>
                <w:sz w:val="24"/>
              </w:rPr>
            </w:pPr>
          </w:p>
          <w:p>
            <w:pPr>
              <w:pStyle w:val="TableParagraph"/>
              <w:spacing w:before="5"/>
              <w:rPr>
                <w:sz w:val="33"/>
              </w:rPr>
            </w:pPr>
          </w:p>
          <w:p>
            <w:pPr>
              <w:pStyle w:val="TableParagraph"/>
              <w:ind w:left="108" w:right="90"/>
              <w:jc w:val="center"/>
              <w:rPr>
                <w:b/>
                <w:sz w:val="22"/>
              </w:rPr>
            </w:pPr>
            <w:r>
              <w:rPr>
                <w:b/>
                <w:sz w:val="22"/>
              </w:rPr>
              <w:t>DY</w:t>
            </w:r>
            <w:r>
              <w:rPr>
                <w:b/>
                <w:spacing w:val="-1"/>
                <w:sz w:val="22"/>
              </w:rPr>
              <w:t> </w:t>
            </w:r>
            <w:r>
              <w:rPr>
                <w:b/>
                <w:spacing w:val="-5"/>
                <w:sz w:val="22"/>
              </w:rPr>
              <w:t>27</w:t>
            </w:r>
          </w:p>
        </w:tc>
        <w:tc>
          <w:tcPr>
            <w:tcW w:w="1442" w:type="dxa"/>
            <w:shd w:val="clear" w:color="auto" w:fill="DBE4F0"/>
          </w:tcPr>
          <w:p>
            <w:pPr>
              <w:pStyle w:val="TableParagraph"/>
              <w:rPr>
                <w:sz w:val="24"/>
              </w:rPr>
            </w:pPr>
          </w:p>
          <w:p>
            <w:pPr>
              <w:pStyle w:val="TableParagraph"/>
              <w:spacing w:before="5"/>
              <w:rPr>
                <w:sz w:val="33"/>
              </w:rPr>
            </w:pPr>
          </w:p>
          <w:p>
            <w:pPr>
              <w:pStyle w:val="TableParagraph"/>
              <w:ind w:left="127" w:right="113"/>
              <w:jc w:val="center"/>
              <w:rPr>
                <w:b/>
                <w:sz w:val="22"/>
              </w:rPr>
            </w:pPr>
            <w:r>
              <w:rPr>
                <w:b/>
                <w:sz w:val="22"/>
              </w:rPr>
              <w:t>DY</w:t>
            </w:r>
            <w:r>
              <w:rPr>
                <w:b/>
                <w:spacing w:val="-1"/>
                <w:sz w:val="22"/>
              </w:rPr>
              <w:t> </w:t>
            </w:r>
            <w:r>
              <w:rPr>
                <w:b/>
                <w:spacing w:val="-5"/>
                <w:sz w:val="22"/>
              </w:rPr>
              <w:t>28</w:t>
            </w:r>
          </w:p>
        </w:tc>
        <w:tc>
          <w:tcPr>
            <w:tcW w:w="1440" w:type="dxa"/>
            <w:shd w:val="clear" w:color="auto" w:fill="DBE4F0"/>
          </w:tcPr>
          <w:p>
            <w:pPr>
              <w:pStyle w:val="TableParagraph"/>
              <w:rPr>
                <w:sz w:val="24"/>
              </w:rPr>
            </w:pPr>
          </w:p>
          <w:p>
            <w:pPr>
              <w:pStyle w:val="TableParagraph"/>
              <w:spacing w:before="5"/>
              <w:rPr>
                <w:sz w:val="33"/>
              </w:rPr>
            </w:pPr>
          </w:p>
          <w:p>
            <w:pPr>
              <w:pStyle w:val="TableParagraph"/>
              <w:ind w:left="109" w:right="92"/>
              <w:jc w:val="center"/>
              <w:rPr>
                <w:b/>
                <w:sz w:val="22"/>
              </w:rPr>
            </w:pPr>
            <w:r>
              <w:rPr>
                <w:b/>
                <w:sz w:val="22"/>
              </w:rPr>
              <w:t>DY</w:t>
            </w:r>
            <w:r>
              <w:rPr>
                <w:b/>
                <w:spacing w:val="-1"/>
                <w:sz w:val="22"/>
              </w:rPr>
              <w:t> </w:t>
            </w:r>
            <w:r>
              <w:rPr>
                <w:b/>
                <w:spacing w:val="-5"/>
                <w:sz w:val="22"/>
              </w:rPr>
              <w:t>29</w:t>
            </w:r>
          </w:p>
        </w:tc>
        <w:tc>
          <w:tcPr>
            <w:tcW w:w="1531" w:type="dxa"/>
            <w:shd w:val="clear" w:color="auto" w:fill="DBE4F0"/>
          </w:tcPr>
          <w:p>
            <w:pPr>
              <w:pStyle w:val="TableParagraph"/>
              <w:rPr>
                <w:sz w:val="24"/>
              </w:rPr>
            </w:pPr>
          </w:p>
          <w:p>
            <w:pPr>
              <w:pStyle w:val="TableParagraph"/>
              <w:spacing w:before="5"/>
              <w:rPr>
                <w:sz w:val="33"/>
              </w:rPr>
            </w:pPr>
          </w:p>
          <w:p>
            <w:pPr>
              <w:pStyle w:val="TableParagraph"/>
              <w:ind w:left="140" w:right="123"/>
              <w:jc w:val="center"/>
              <w:rPr>
                <w:b/>
                <w:sz w:val="22"/>
              </w:rPr>
            </w:pPr>
            <w:r>
              <w:rPr>
                <w:b/>
                <w:sz w:val="22"/>
              </w:rPr>
              <w:t>DY</w:t>
            </w:r>
            <w:r>
              <w:rPr>
                <w:b/>
                <w:spacing w:val="-1"/>
                <w:sz w:val="22"/>
              </w:rPr>
              <w:t> </w:t>
            </w:r>
            <w:r>
              <w:rPr>
                <w:b/>
                <w:spacing w:val="-5"/>
                <w:sz w:val="22"/>
              </w:rPr>
              <w:t>30</w:t>
            </w:r>
          </w:p>
        </w:tc>
        <w:tc>
          <w:tcPr>
            <w:tcW w:w="1440" w:type="dxa"/>
            <w:shd w:val="clear" w:color="auto" w:fill="DBE4F0"/>
          </w:tcPr>
          <w:p>
            <w:pPr>
              <w:pStyle w:val="TableParagraph"/>
              <w:rPr>
                <w:sz w:val="24"/>
              </w:rPr>
            </w:pPr>
          </w:p>
          <w:p>
            <w:pPr>
              <w:pStyle w:val="TableParagraph"/>
              <w:spacing w:before="5"/>
              <w:rPr>
                <w:sz w:val="33"/>
              </w:rPr>
            </w:pPr>
          </w:p>
          <w:p>
            <w:pPr>
              <w:pStyle w:val="TableParagraph"/>
              <w:ind w:left="110" w:right="92"/>
              <w:jc w:val="center"/>
              <w:rPr>
                <w:b/>
                <w:sz w:val="22"/>
              </w:rPr>
            </w:pPr>
            <w:r>
              <w:rPr>
                <w:b/>
                <w:sz w:val="22"/>
              </w:rPr>
              <w:t>DY</w:t>
            </w:r>
            <w:r>
              <w:rPr>
                <w:b/>
                <w:spacing w:val="-1"/>
                <w:sz w:val="22"/>
              </w:rPr>
              <w:t> </w:t>
            </w:r>
            <w:r>
              <w:rPr>
                <w:b/>
                <w:spacing w:val="-5"/>
                <w:sz w:val="22"/>
              </w:rPr>
              <w:t>31</w:t>
            </w:r>
          </w:p>
        </w:tc>
        <w:tc>
          <w:tcPr>
            <w:tcW w:w="1440" w:type="dxa"/>
            <w:shd w:val="clear" w:color="auto" w:fill="DBE4F0"/>
          </w:tcPr>
          <w:p>
            <w:pPr>
              <w:pStyle w:val="TableParagraph"/>
              <w:rPr>
                <w:sz w:val="24"/>
              </w:rPr>
            </w:pPr>
          </w:p>
          <w:p>
            <w:pPr>
              <w:pStyle w:val="TableParagraph"/>
              <w:spacing w:before="5"/>
              <w:rPr>
                <w:sz w:val="33"/>
              </w:rPr>
            </w:pPr>
          </w:p>
          <w:p>
            <w:pPr>
              <w:pStyle w:val="TableParagraph"/>
              <w:ind w:left="110" w:right="92"/>
              <w:jc w:val="center"/>
              <w:rPr>
                <w:b/>
                <w:sz w:val="22"/>
              </w:rPr>
            </w:pPr>
            <w:r>
              <w:rPr>
                <w:b/>
                <w:sz w:val="22"/>
              </w:rPr>
              <w:t>DY</w:t>
            </w:r>
            <w:r>
              <w:rPr>
                <w:b/>
                <w:spacing w:val="-1"/>
                <w:sz w:val="22"/>
              </w:rPr>
              <w:t> </w:t>
            </w:r>
            <w:r>
              <w:rPr>
                <w:b/>
                <w:spacing w:val="-5"/>
                <w:sz w:val="22"/>
              </w:rPr>
              <w:t>32</w:t>
            </w:r>
          </w:p>
        </w:tc>
      </w:tr>
      <w:tr>
        <w:trPr>
          <w:trHeight w:val="1007" w:hRule="atLeast"/>
        </w:trPr>
        <w:tc>
          <w:tcPr>
            <w:tcW w:w="1634" w:type="dxa"/>
          </w:tcPr>
          <w:p>
            <w:pPr>
              <w:pStyle w:val="TableParagraph"/>
              <w:spacing w:before="123"/>
              <w:ind w:left="167" w:right="155"/>
              <w:jc w:val="center"/>
              <w:rPr>
                <w:sz w:val="22"/>
              </w:rPr>
            </w:pPr>
            <w:r>
              <w:rPr>
                <w:sz w:val="22"/>
              </w:rPr>
              <w:t>SNCP</w:t>
            </w:r>
            <w:r>
              <w:rPr>
                <w:spacing w:val="-14"/>
                <w:sz w:val="22"/>
              </w:rPr>
              <w:t> </w:t>
            </w:r>
            <w:r>
              <w:rPr>
                <w:sz w:val="22"/>
              </w:rPr>
              <w:t>-</w:t>
            </w:r>
            <w:r>
              <w:rPr>
                <w:spacing w:val="-14"/>
                <w:sz w:val="22"/>
              </w:rPr>
              <w:t> </w:t>
            </w:r>
            <w:r>
              <w:rPr>
                <w:sz w:val="22"/>
              </w:rPr>
              <w:t>Safety Net Provider </w:t>
            </w:r>
            <w:r>
              <w:rPr>
                <w:spacing w:val="-2"/>
                <w:sz w:val="22"/>
              </w:rPr>
              <w:t>Payments</w:t>
            </w:r>
          </w:p>
        </w:tc>
        <w:tc>
          <w:tcPr>
            <w:tcW w:w="784" w:type="dxa"/>
          </w:tcPr>
          <w:p>
            <w:pPr>
              <w:pStyle w:val="TableParagraph"/>
              <w:spacing w:before="7"/>
              <w:rPr>
                <w:sz w:val="32"/>
              </w:rPr>
            </w:pPr>
          </w:p>
          <w:p>
            <w:pPr>
              <w:pStyle w:val="TableParagraph"/>
              <w:ind w:right="188"/>
              <w:jc w:val="right"/>
              <w:rPr>
                <w:sz w:val="22"/>
              </w:rPr>
            </w:pPr>
            <w:r>
              <w:rPr>
                <w:spacing w:val="-5"/>
                <w:sz w:val="22"/>
              </w:rPr>
              <w:t>Agg</w:t>
            </w:r>
          </w:p>
        </w:tc>
        <w:tc>
          <w:tcPr>
            <w:tcW w:w="1442" w:type="dxa"/>
          </w:tcPr>
          <w:p>
            <w:pPr>
              <w:pStyle w:val="TableParagraph"/>
              <w:spacing w:before="7"/>
              <w:rPr>
                <w:sz w:val="32"/>
              </w:rPr>
            </w:pPr>
          </w:p>
          <w:p>
            <w:pPr>
              <w:pStyle w:val="TableParagraph"/>
              <w:ind w:right="250"/>
              <w:jc w:val="right"/>
              <w:rPr>
                <w:sz w:val="22"/>
              </w:rPr>
            </w:pPr>
            <w:r>
              <w:rPr>
                <w:sz w:val="22"/>
              </w:rPr>
              <w:t>WW</w:t>
            </w:r>
            <w:r>
              <w:rPr>
                <w:spacing w:val="-2"/>
                <w:sz w:val="22"/>
              </w:rPr>
              <w:t> </w:t>
            </w:r>
            <w:r>
              <w:rPr>
                <w:spacing w:val="-4"/>
                <w:sz w:val="22"/>
              </w:rPr>
              <w:t>Only</w:t>
            </w:r>
          </w:p>
        </w:tc>
        <w:tc>
          <w:tcPr>
            <w:tcW w:w="808" w:type="dxa"/>
          </w:tcPr>
          <w:p>
            <w:pPr>
              <w:pStyle w:val="TableParagraph"/>
              <w:spacing w:before="7"/>
              <w:rPr>
                <w:sz w:val="32"/>
              </w:rPr>
            </w:pPr>
          </w:p>
          <w:p>
            <w:pPr>
              <w:pStyle w:val="TableParagraph"/>
              <w:ind w:right="168"/>
              <w:jc w:val="right"/>
              <w:rPr>
                <w:sz w:val="22"/>
              </w:rPr>
            </w:pPr>
            <w:r>
              <w:rPr>
                <w:spacing w:val="-4"/>
                <w:sz w:val="22"/>
              </w:rPr>
              <w:t>2019</w:t>
            </w:r>
          </w:p>
        </w:tc>
        <w:tc>
          <w:tcPr>
            <w:tcW w:w="993" w:type="dxa"/>
          </w:tcPr>
          <w:p>
            <w:pPr>
              <w:pStyle w:val="TableParagraph"/>
              <w:spacing w:before="7"/>
              <w:rPr>
                <w:sz w:val="32"/>
              </w:rPr>
            </w:pPr>
          </w:p>
          <w:p>
            <w:pPr>
              <w:pStyle w:val="TableParagraph"/>
              <w:ind w:left="198" w:right="183"/>
              <w:jc w:val="center"/>
              <w:rPr>
                <w:sz w:val="22"/>
              </w:rPr>
            </w:pPr>
            <w:r>
              <w:rPr>
                <w:spacing w:val="-5"/>
                <w:sz w:val="22"/>
              </w:rPr>
              <w:t>N/A</w:t>
            </w:r>
          </w:p>
        </w:tc>
        <w:tc>
          <w:tcPr>
            <w:tcW w:w="1437" w:type="dxa"/>
          </w:tcPr>
          <w:p>
            <w:pPr>
              <w:pStyle w:val="TableParagraph"/>
              <w:spacing w:before="7"/>
              <w:rPr>
                <w:sz w:val="32"/>
              </w:rPr>
            </w:pPr>
          </w:p>
          <w:p>
            <w:pPr>
              <w:pStyle w:val="TableParagraph"/>
              <w:ind w:left="108" w:right="92"/>
              <w:jc w:val="center"/>
              <w:rPr>
                <w:sz w:val="22"/>
              </w:rPr>
            </w:pPr>
            <w:r>
              <w:rPr>
                <w:spacing w:val="-2"/>
                <w:sz w:val="22"/>
              </w:rPr>
              <w:t>$74,750,000</w:t>
            </w:r>
          </w:p>
        </w:tc>
        <w:tc>
          <w:tcPr>
            <w:tcW w:w="1442" w:type="dxa"/>
          </w:tcPr>
          <w:p>
            <w:pPr>
              <w:pStyle w:val="TableParagraph"/>
              <w:spacing w:before="7"/>
              <w:rPr>
                <w:sz w:val="32"/>
              </w:rPr>
            </w:pPr>
          </w:p>
          <w:p>
            <w:pPr>
              <w:pStyle w:val="TableParagraph"/>
              <w:ind w:left="110" w:right="94"/>
              <w:jc w:val="center"/>
              <w:rPr>
                <w:sz w:val="22"/>
              </w:rPr>
            </w:pPr>
            <w:r>
              <w:rPr>
                <w:spacing w:val="-2"/>
                <w:sz w:val="22"/>
              </w:rPr>
              <w:t>$316,025,039</w:t>
            </w:r>
          </w:p>
        </w:tc>
        <w:tc>
          <w:tcPr>
            <w:tcW w:w="1440" w:type="dxa"/>
          </w:tcPr>
          <w:p>
            <w:pPr>
              <w:pStyle w:val="TableParagraph"/>
              <w:spacing w:before="7"/>
              <w:rPr>
                <w:sz w:val="32"/>
              </w:rPr>
            </w:pPr>
          </w:p>
          <w:p>
            <w:pPr>
              <w:pStyle w:val="TableParagraph"/>
              <w:ind w:left="111" w:right="92"/>
              <w:jc w:val="center"/>
              <w:rPr>
                <w:sz w:val="22"/>
              </w:rPr>
            </w:pPr>
            <w:r>
              <w:rPr>
                <w:spacing w:val="-2"/>
                <w:sz w:val="22"/>
              </w:rPr>
              <w:t>$329,380,000</w:t>
            </w:r>
          </w:p>
        </w:tc>
        <w:tc>
          <w:tcPr>
            <w:tcW w:w="1531" w:type="dxa"/>
          </w:tcPr>
          <w:p>
            <w:pPr>
              <w:pStyle w:val="TableParagraph"/>
              <w:spacing w:before="7"/>
              <w:rPr>
                <w:sz w:val="32"/>
              </w:rPr>
            </w:pPr>
          </w:p>
          <w:p>
            <w:pPr>
              <w:pStyle w:val="TableParagraph"/>
              <w:ind w:left="140" w:right="121"/>
              <w:jc w:val="center"/>
              <w:rPr>
                <w:sz w:val="22"/>
              </w:rPr>
            </w:pPr>
            <w:r>
              <w:rPr>
                <w:spacing w:val="-2"/>
                <w:sz w:val="22"/>
              </w:rPr>
              <w:t>$299,000,000</w:t>
            </w:r>
          </w:p>
        </w:tc>
        <w:tc>
          <w:tcPr>
            <w:tcW w:w="1440" w:type="dxa"/>
          </w:tcPr>
          <w:p>
            <w:pPr>
              <w:pStyle w:val="TableParagraph"/>
              <w:spacing w:before="7"/>
              <w:rPr>
                <w:sz w:val="32"/>
              </w:rPr>
            </w:pPr>
          </w:p>
          <w:p>
            <w:pPr>
              <w:pStyle w:val="TableParagraph"/>
              <w:ind w:left="111" w:right="92"/>
              <w:jc w:val="center"/>
              <w:rPr>
                <w:sz w:val="22"/>
              </w:rPr>
            </w:pPr>
            <w:r>
              <w:rPr>
                <w:spacing w:val="-2"/>
                <w:sz w:val="22"/>
              </w:rPr>
              <w:t>$299,000,000</w:t>
            </w:r>
          </w:p>
        </w:tc>
        <w:tc>
          <w:tcPr>
            <w:tcW w:w="1440" w:type="dxa"/>
          </w:tcPr>
          <w:p>
            <w:pPr>
              <w:pStyle w:val="TableParagraph"/>
              <w:spacing w:before="7"/>
              <w:rPr>
                <w:sz w:val="32"/>
              </w:rPr>
            </w:pPr>
          </w:p>
          <w:p>
            <w:pPr>
              <w:pStyle w:val="TableParagraph"/>
              <w:ind w:left="111" w:right="92"/>
              <w:jc w:val="center"/>
              <w:rPr>
                <w:sz w:val="22"/>
              </w:rPr>
            </w:pPr>
            <w:r>
              <w:rPr>
                <w:spacing w:val="-2"/>
                <w:sz w:val="22"/>
              </w:rPr>
              <w:t>$299,000,000</w:t>
            </w:r>
          </w:p>
        </w:tc>
      </w:tr>
      <w:tr>
        <w:trPr>
          <w:trHeight w:val="853" w:hRule="atLeast"/>
        </w:trPr>
        <w:tc>
          <w:tcPr>
            <w:tcW w:w="1634" w:type="dxa"/>
          </w:tcPr>
          <w:p>
            <w:pPr>
              <w:pStyle w:val="TableParagraph"/>
              <w:spacing w:before="173"/>
              <w:ind w:left="369" w:hanging="56"/>
              <w:rPr>
                <w:sz w:val="22"/>
              </w:rPr>
            </w:pPr>
            <w:r>
              <w:rPr>
                <w:spacing w:val="-2"/>
                <w:sz w:val="22"/>
              </w:rPr>
              <w:t>Provisional Eligibility</w:t>
            </w:r>
          </w:p>
        </w:tc>
        <w:tc>
          <w:tcPr>
            <w:tcW w:w="784" w:type="dxa"/>
          </w:tcPr>
          <w:p>
            <w:pPr>
              <w:pStyle w:val="TableParagraph"/>
              <w:spacing w:before="10"/>
              <w:rPr>
                <w:sz w:val="25"/>
              </w:rPr>
            </w:pPr>
          </w:p>
          <w:p>
            <w:pPr>
              <w:pStyle w:val="TableParagraph"/>
              <w:spacing w:before="1"/>
              <w:ind w:right="187"/>
              <w:jc w:val="right"/>
              <w:rPr>
                <w:sz w:val="22"/>
              </w:rPr>
            </w:pPr>
            <w:r>
              <w:rPr>
                <w:spacing w:val="-5"/>
                <w:sz w:val="22"/>
              </w:rPr>
              <w:t>N/A</w:t>
            </w:r>
          </w:p>
        </w:tc>
        <w:tc>
          <w:tcPr>
            <w:tcW w:w="1442" w:type="dxa"/>
          </w:tcPr>
          <w:p>
            <w:pPr>
              <w:pStyle w:val="TableParagraph"/>
              <w:spacing w:before="10"/>
              <w:rPr>
                <w:sz w:val="25"/>
              </w:rPr>
            </w:pPr>
          </w:p>
          <w:p>
            <w:pPr>
              <w:pStyle w:val="TableParagraph"/>
              <w:spacing w:before="1"/>
              <w:ind w:right="250"/>
              <w:jc w:val="right"/>
              <w:rPr>
                <w:sz w:val="22"/>
              </w:rPr>
            </w:pPr>
            <w:r>
              <w:rPr>
                <w:sz w:val="22"/>
              </w:rPr>
              <w:t>WW</w:t>
            </w:r>
            <w:r>
              <w:rPr>
                <w:spacing w:val="-2"/>
                <w:sz w:val="22"/>
              </w:rPr>
              <w:t> </w:t>
            </w:r>
            <w:r>
              <w:rPr>
                <w:spacing w:val="-4"/>
                <w:sz w:val="22"/>
              </w:rPr>
              <w:t>Only</w:t>
            </w:r>
          </w:p>
        </w:tc>
        <w:tc>
          <w:tcPr>
            <w:tcW w:w="808" w:type="dxa"/>
          </w:tcPr>
          <w:p>
            <w:pPr>
              <w:pStyle w:val="TableParagraph"/>
              <w:spacing w:before="10"/>
              <w:rPr>
                <w:sz w:val="25"/>
              </w:rPr>
            </w:pPr>
          </w:p>
          <w:p>
            <w:pPr>
              <w:pStyle w:val="TableParagraph"/>
              <w:spacing w:before="1"/>
              <w:ind w:right="168"/>
              <w:jc w:val="right"/>
              <w:rPr>
                <w:sz w:val="22"/>
              </w:rPr>
            </w:pPr>
            <w:r>
              <w:rPr>
                <w:spacing w:val="-4"/>
                <w:sz w:val="22"/>
              </w:rPr>
              <w:t>2019</w:t>
            </w:r>
          </w:p>
        </w:tc>
        <w:tc>
          <w:tcPr>
            <w:tcW w:w="993" w:type="dxa"/>
          </w:tcPr>
          <w:p>
            <w:pPr>
              <w:pStyle w:val="TableParagraph"/>
              <w:spacing w:before="10"/>
              <w:rPr>
                <w:sz w:val="25"/>
              </w:rPr>
            </w:pPr>
          </w:p>
          <w:p>
            <w:pPr>
              <w:pStyle w:val="TableParagraph"/>
              <w:spacing w:before="1"/>
              <w:ind w:left="198" w:right="183"/>
              <w:jc w:val="center"/>
              <w:rPr>
                <w:sz w:val="22"/>
              </w:rPr>
            </w:pPr>
            <w:r>
              <w:rPr>
                <w:spacing w:val="-5"/>
                <w:sz w:val="22"/>
              </w:rPr>
              <w:t>N/A</w:t>
            </w:r>
          </w:p>
        </w:tc>
        <w:tc>
          <w:tcPr>
            <w:tcW w:w="8730" w:type="dxa"/>
            <w:gridSpan w:val="6"/>
          </w:tcPr>
          <w:p>
            <w:pPr>
              <w:pStyle w:val="TableParagraph"/>
              <w:spacing w:before="10"/>
              <w:rPr>
                <w:sz w:val="25"/>
              </w:rPr>
            </w:pPr>
          </w:p>
          <w:p>
            <w:pPr>
              <w:pStyle w:val="TableParagraph"/>
              <w:spacing w:before="1"/>
              <w:ind w:left="1379" w:right="1305"/>
              <w:jc w:val="center"/>
              <w:rPr>
                <w:sz w:val="22"/>
              </w:rPr>
            </w:pPr>
            <w:r>
              <w:rPr>
                <w:sz w:val="22"/>
              </w:rPr>
              <w:t>The</w:t>
            </w:r>
            <w:r>
              <w:rPr>
                <w:spacing w:val="-4"/>
                <w:sz w:val="22"/>
              </w:rPr>
              <w:t> </w:t>
            </w:r>
            <w:r>
              <w:rPr>
                <w:sz w:val="22"/>
              </w:rPr>
              <w:t>Commonwealth</w:t>
            </w:r>
            <w:r>
              <w:rPr>
                <w:spacing w:val="-4"/>
                <w:sz w:val="22"/>
              </w:rPr>
              <w:t> </w:t>
            </w:r>
            <w:r>
              <w:rPr>
                <w:sz w:val="22"/>
              </w:rPr>
              <w:t>must</w:t>
            </w:r>
            <w:r>
              <w:rPr>
                <w:spacing w:val="-5"/>
                <w:sz w:val="22"/>
              </w:rPr>
              <w:t> </w:t>
            </w:r>
            <w:r>
              <w:rPr>
                <w:sz w:val="22"/>
              </w:rPr>
              <w:t>have</w:t>
            </w:r>
            <w:r>
              <w:rPr>
                <w:spacing w:val="-4"/>
                <w:sz w:val="22"/>
              </w:rPr>
              <w:t> </w:t>
            </w:r>
            <w:r>
              <w:rPr>
                <w:sz w:val="22"/>
              </w:rPr>
              <w:t>savings</w:t>
            </w:r>
            <w:r>
              <w:rPr>
                <w:spacing w:val="-3"/>
                <w:sz w:val="22"/>
              </w:rPr>
              <w:t> </w:t>
            </w:r>
            <w:r>
              <w:rPr>
                <w:sz w:val="22"/>
              </w:rPr>
              <w:t>to</w:t>
            </w:r>
            <w:r>
              <w:rPr>
                <w:spacing w:val="-4"/>
                <w:sz w:val="22"/>
              </w:rPr>
              <w:t> </w:t>
            </w:r>
            <w:r>
              <w:rPr>
                <w:sz w:val="22"/>
              </w:rPr>
              <w:t>offset</w:t>
            </w:r>
            <w:r>
              <w:rPr>
                <w:spacing w:val="-5"/>
                <w:sz w:val="22"/>
              </w:rPr>
              <w:t> </w:t>
            </w:r>
            <w:r>
              <w:rPr>
                <w:sz w:val="22"/>
              </w:rPr>
              <w:t>these</w:t>
            </w:r>
            <w:r>
              <w:rPr>
                <w:spacing w:val="-5"/>
                <w:sz w:val="22"/>
              </w:rPr>
              <w:t> </w:t>
            </w:r>
            <w:r>
              <w:rPr>
                <w:spacing w:val="-2"/>
                <w:sz w:val="22"/>
              </w:rPr>
              <w:t>expenditures.</w:t>
            </w:r>
          </w:p>
        </w:tc>
      </w:tr>
      <w:tr>
        <w:trPr>
          <w:trHeight w:val="853" w:hRule="atLeast"/>
        </w:trPr>
        <w:tc>
          <w:tcPr>
            <w:tcW w:w="1634" w:type="dxa"/>
          </w:tcPr>
          <w:p>
            <w:pPr>
              <w:pStyle w:val="TableParagraph"/>
              <w:spacing w:before="10"/>
              <w:rPr>
                <w:sz w:val="25"/>
              </w:rPr>
            </w:pPr>
          </w:p>
          <w:p>
            <w:pPr>
              <w:pStyle w:val="TableParagraph"/>
              <w:spacing w:before="1"/>
              <w:ind w:left="159" w:right="155"/>
              <w:jc w:val="center"/>
              <w:rPr>
                <w:sz w:val="22"/>
              </w:rPr>
            </w:pPr>
            <w:r>
              <w:rPr>
                <w:spacing w:val="-2"/>
                <w:sz w:val="22"/>
              </w:rPr>
              <w:t>EAEDC</w:t>
            </w:r>
          </w:p>
        </w:tc>
        <w:tc>
          <w:tcPr>
            <w:tcW w:w="784" w:type="dxa"/>
          </w:tcPr>
          <w:p>
            <w:pPr>
              <w:pStyle w:val="TableParagraph"/>
              <w:spacing w:before="10"/>
              <w:rPr>
                <w:sz w:val="25"/>
              </w:rPr>
            </w:pPr>
          </w:p>
          <w:p>
            <w:pPr>
              <w:pStyle w:val="TableParagraph"/>
              <w:spacing w:before="1"/>
              <w:ind w:right="187"/>
              <w:jc w:val="right"/>
              <w:rPr>
                <w:sz w:val="22"/>
              </w:rPr>
            </w:pPr>
            <w:r>
              <w:rPr>
                <w:spacing w:val="-5"/>
                <w:sz w:val="22"/>
              </w:rPr>
              <w:t>N/A</w:t>
            </w:r>
          </w:p>
        </w:tc>
        <w:tc>
          <w:tcPr>
            <w:tcW w:w="1442" w:type="dxa"/>
          </w:tcPr>
          <w:p>
            <w:pPr>
              <w:pStyle w:val="TableParagraph"/>
              <w:spacing w:before="10"/>
              <w:rPr>
                <w:sz w:val="25"/>
              </w:rPr>
            </w:pPr>
          </w:p>
          <w:p>
            <w:pPr>
              <w:pStyle w:val="TableParagraph"/>
              <w:spacing w:before="1"/>
              <w:ind w:right="250"/>
              <w:jc w:val="right"/>
              <w:rPr>
                <w:sz w:val="22"/>
              </w:rPr>
            </w:pPr>
            <w:r>
              <w:rPr>
                <w:sz w:val="22"/>
              </w:rPr>
              <w:t>WW</w:t>
            </w:r>
            <w:r>
              <w:rPr>
                <w:spacing w:val="-2"/>
                <w:sz w:val="22"/>
              </w:rPr>
              <w:t> </w:t>
            </w:r>
            <w:r>
              <w:rPr>
                <w:spacing w:val="-4"/>
                <w:sz w:val="22"/>
              </w:rPr>
              <w:t>Only</w:t>
            </w:r>
          </w:p>
        </w:tc>
        <w:tc>
          <w:tcPr>
            <w:tcW w:w="808" w:type="dxa"/>
          </w:tcPr>
          <w:p>
            <w:pPr>
              <w:pStyle w:val="TableParagraph"/>
              <w:spacing w:before="10"/>
              <w:rPr>
                <w:sz w:val="25"/>
              </w:rPr>
            </w:pPr>
          </w:p>
          <w:p>
            <w:pPr>
              <w:pStyle w:val="TableParagraph"/>
              <w:spacing w:before="1"/>
              <w:ind w:right="168"/>
              <w:jc w:val="right"/>
              <w:rPr>
                <w:sz w:val="22"/>
              </w:rPr>
            </w:pPr>
            <w:r>
              <w:rPr>
                <w:spacing w:val="-4"/>
                <w:sz w:val="22"/>
              </w:rPr>
              <w:t>2019</w:t>
            </w:r>
          </w:p>
        </w:tc>
        <w:tc>
          <w:tcPr>
            <w:tcW w:w="993" w:type="dxa"/>
          </w:tcPr>
          <w:p>
            <w:pPr>
              <w:pStyle w:val="TableParagraph"/>
              <w:spacing w:before="10"/>
              <w:rPr>
                <w:sz w:val="25"/>
              </w:rPr>
            </w:pPr>
          </w:p>
          <w:p>
            <w:pPr>
              <w:pStyle w:val="TableParagraph"/>
              <w:spacing w:before="1"/>
              <w:ind w:left="198" w:right="183"/>
              <w:jc w:val="center"/>
              <w:rPr>
                <w:sz w:val="22"/>
              </w:rPr>
            </w:pPr>
            <w:r>
              <w:rPr>
                <w:spacing w:val="-5"/>
                <w:sz w:val="22"/>
              </w:rPr>
              <w:t>N/A</w:t>
            </w:r>
          </w:p>
        </w:tc>
        <w:tc>
          <w:tcPr>
            <w:tcW w:w="8730" w:type="dxa"/>
            <w:gridSpan w:val="6"/>
          </w:tcPr>
          <w:p>
            <w:pPr>
              <w:pStyle w:val="TableParagraph"/>
              <w:spacing w:before="10"/>
              <w:rPr>
                <w:sz w:val="25"/>
              </w:rPr>
            </w:pPr>
          </w:p>
          <w:p>
            <w:pPr>
              <w:pStyle w:val="TableParagraph"/>
              <w:spacing w:before="1"/>
              <w:ind w:left="1353" w:right="1336"/>
              <w:jc w:val="center"/>
              <w:rPr>
                <w:sz w:val="22"/>
              </w:rPr>
            </w:pPr>
            <w:r>
              <w:rPr>
                <w:sz w:val="22"/>
              </w:rPr>
              <w:t>The</w:t>
            </w:r>
            <w:r>
              <w:rPr>
                <w:spacing w:val="-6"/>
                <w:sz w:val="22"/>
              </w:rPr>
              <w:t> </w:t>
            </w:r>
            <w:r>
              <w:rPr>
                <w:sz w:val="22"/>
              </w:rPr>
              <w:t>Commonwealth</w:t>
            </w:r>
            <w:r>
              <w:rPr>
                <w:spacing w:val="-3"/>
                <w:sz w:val="22"/>
              </w:rPr>
              <w:t> </w:t>
            </w:r>
            <w:r>
              <w:rPr>
                <w:sz w:val="22"/>
              </w:rPr>
              <w:t>must</w:t>
            </w:r>
            <w:r>
              <w:rPr>
                <w:spacing w:val="-2"/>
                <w:sz w:val="22"/>
              </w:rPr>
              <w:t> </w:t>
            </w:r>
            <w:r>
              <w:rPr>
                <w:sz w:val="22"/>
              </w:rPr>
              <w:t>have</w:t>
            </w:r>
            <w:r>
              <w:rPr>
                <w:spacing w:val="-3"/>
                <w:sz w:val="22"/>
              </w:rPr>
              <w:t> </w:t>
            </w:r>
            <w:r>
              <w:rPr>
                <w:sz w:val="22"/>
              </w:rPr>
              <w:t>savings</w:t>
            </w:r>
            <w:r>
              <w:rPr>
                <w:spacing w:val="-3"/>
                <w:sz w:val="22"/>
              </w:rPr>
              <w:t> </w:t>
            </w:r>
            <w:r>
              <w:rPr>
                <w:sz w:val="22"/>
              </w:rPr>
              <w:t>to</w:t>
            </w:r>
            <w:r>
              <w:rPr>
                <w:spacing w:val="-3"/>
                <w:sz w:val="22"/>
              </w:rPr>
              <w:t> </w:t>
            </w:r>
            <w:r>
              <w:rPr>
                <w:sz w:val="22"/>
              </w:rPr>
              <w:t>offset</w:t>
            </w:r>
            <w:r>
              <w:rPr>
                <w:spacing w:val="-5"/>
                <w:sz w:val="22"/>
              </w:rPr>
              <w:t> </w:t>
            </w:r>
            <w:r>
              <w:rPr>
                <w:sz w:val="22"/>
              </w:rPr>
              <w:t>these</w:t>
            </w:r>
            <w:r>
              <w:rPr>
                <w:spacing w:val="-5"/>
                <w:sz w:val="22"/>
              </w:rPr>
              <w:t> </w:t>
            </w:r>
            <w:r>
              <w:rPr>
                <w:spacing w:val="-2"/>
                <w:sz w:val="22"/>
              </w:rPr>
              <w:t>expenditures.</w:t>
            </w:r>
          </w:p>
        </w:tc>
      </w:tr>
      <w:tr>
        <w:trPr>
          <w:trHeight w:val="998" w:hRule="atLeast"/>
        </w:trPr>
        <w:tc>
          <w:tcPr>
            <w:tcW w:w="1634" w:type="dxa"/>
          </w:tcPr>
          <w:p>
            <w:pPr>
              <w:pStyle w:val="TableParagraph"/>
              <w:spacing w:before="4"/>
              <w:rPr>
                <w:sz w:val="21"/>
              </w:rPr>
            </w:pPr>
          </w:p>
          <w:p>
            <w:pPr>
              <w:pStyle w:val="TableParagraph"/>
              <w:ind w:left="395" w:hanging="197"/>
              <w:rPr>
                <w:sz w:val="22"/>
              </w:rPr>
            </w:pPr>
            <w:r>
              <w:rPr>
                <w:sz w:val="22"/>
              </w:rPr>
              <w:t>End</w:t>
            </w:r>
            <w:r>
              <w:rPr>
                <w:spacing w:val="-14"/>
                <w:sz w:val="22"/>
              </w:rPr>
              <w:t> </w:t>
            </w:r>
            <w:r>
              <w:rPr>
                <w:sz w:val="22"/>
              </w:rPr>
              <w:t>of</w:t>
            </w:r>
            <w:r>
              <w:rPr>
                <w:spacing w:val="-14"/>
                <w:sz w:val="22"/>
              </w:rPr>
              <w:t> </w:t>
            </w:r>
            <w:r>
              <w:rPr>
                <w:sz w:val="22"/>
              </w:rPr>
              <w:t>Month </w:t>
            </w:r>
            <w:r>
              <w:rPr>
                <w:spacing w:val="-2"/>
                <w:sz w:val="22"/>
              </w:rPr>
              <w:t>Coverage</w:t>
            </w:r>
          </w:p>
        </w:tc>
        <w:tc>
          <w:tcPr>
            <w:tcW w:w="784" w:type="dxa"/>
          </w:tcPr>
          <w:p>
            <w:pPr>
              <w:pStyle w:val="TableParagraph"/>
              <w:spacing w:before="2"/>
              <w:rPr>
                <w:sz w:val="32"/>
              </w:rPr>
            </w:pPr>
          </w:p>
          <w:p>
            <w:pPr>
              <w:pStyle w:val="TableParagraph"/>
              <w:ind w:right="187"/>
              <w:jc w:val="right"/>
              <w:rPr>
                <w:sz w:val="22"/>
              </w:rPr>
            </w:pPr>
            <w:r>
              <w:rPr>
                <w:spacing w:val="-5"/>
                <w:sz w:val="22"/>
              </w:rPr>
              <w:t>N/A</w:t>
            </w:r>
          </w:p>
        </w:tc>
        <w:tc>
          <w:tcPr>
            <w:tcW w:w="1442" w:type="dxa"/>
          </w:tcPr>
          <w:p>
            <w:pPr>
              <w:pStyle w:val="TableParagraph"/>
              <w:spacing w:before="2"/>
              <w:rPr>
                <w:sz w:val="32"/>
              </w:rPr>
            </w:pPr>
          </w:p>
          <w:p>
            <w:pPr>
              <w:pStyle w:val="TableParagraph"/>
              <w:ind w:right="250"/>
              <w:jc w:val="right"/>
              <w:rPr>
                <w:sz w:val="22"/>
              </w:rPr>
            </w:pPr>
            <w:r>
              <w:rPr>
                <w:sz w:val="22"/>
              </w:rPr>
              <w:t>WW</w:t>
            </w:r>
            <w:r>
              <w:rPr>
                <w:spacing w:val="-2"/>
                <w:sz w:val="22"/>
              </w:rPr>
              <w:t> </w:t>
            </w:r>
            <w:r>
              <w:rPr>
                <w:spacing w:val="-4"/>
                <w:sz w:val="22"/>
              </w:rPr>
              <w:t>Only</w:t>
            </w:r>
          </w:p>
        </w:tc>
        <w:tc>
          <w:tcPr>
            <w:tcW w:w="808" w:type="dxa"/>
          </w:tcPr>
          <w:p>
            <w:pPr>
              <w:pStyle w:val="TableParagraph"/>
              <w:spacing w:before="2"/>
              <w:rPr>
                <w:sz w:val="32"/>
              </w:rPr>
            </w:pPr>
          </w:p>
          <w:p>
            <w:pPr>
              <w:pStyle w:val="TableParagraph"/>
              <w:ind w:right="168"/>
              <w:jc w:val="right"/>
              <w:rPr>
                <w:sz w:val="22"/>
              </w:rPr>
            </w:pPr>
            <w:r>
              <w:rPr>
                <w:spacing w:val="-4"/>
                <w:sz w:val="22"/>
              </w:rPr>
              <w:t>2019</w:t>
            </w:r>
          </w:p>
        </w:tc>
        <w:tc>
          <w:tcPr>
            <w:tcW w:w="993" w:type="dxa"/>
          </w:tcPr>
          <w:p>
            <w:pPr>
              <w:pStyle w:val="TableParagraph"/>
              <w:spacing w:before="2"/>
              <w:rPr>
                <w:sz w:val="32"/>
              </w:rPr>
            </w:pPr>
          </w:p>
          <w:p>
            <w:pPr>
              <w:pStyle w:val="TableParagraph"/>
              <w:ind w:left="198" w:right="183"/>
              <w:jc w:val="center"/>
              <w:rPr>
                <w:sz w:val="22"/>
              </w:rPr>
            </w:pPr>
            <w:r>
              <w:rPr>
                <w:spacing w:val="-5"/>
                <w:sz w:val="22"/>
              </w:rPr>
              <w:t>N/A</w:t>
            </w:r>
          </w:p>
        </w:tc>
        <w:tc>
          <w:tcPr>
            <w:tcW w:w="8730" w:type="dxa"/>
            <w:gridSpan w:val="6"/>
          </w:tcPr>
          <w:p>
            <w:pPr>
              <w:pStyle w:val="TableParagraph"/>
              <w:spacing w:before="2"/>
              <w:rPr>
                <w:sz w:val="32"/>
              </w:rPr>
            </w:pPr>
          </w:p>
          <w:p>
            <w:pPr>
              <w:pStyle w:val="TableParagraph"/>
              <w:ind w:left="1352" w:right="1336"/>
              <w:jc w:val="center"/>
              <w:rPr>
                <w:sz w:val="22"/>
              </w:rPr>
            </w:pPr>
            <w:r>
              <w:rPr>
                <w:sz w:val="22"/>
              </w:rPr>
              <w:t>The</w:t>
            </w:r>
            <w:r>
              <w:rPr>
                <w:spacing w:val="-6"/>
                <w:sz w:val="22"/>
              </w:rPr>
              <w:t> </w:t>
            </w:r>
            <w:r>
              <w:rPr>
                <w:sz w:val="22"/>
              </w:rPr>
              <w:t>Commonwealth</w:t>
            </w:r>
            <w:r>
              <w:rPr>
                <w:spacing w:val="-3"/>
                <w:sz w:val="22"/>
              </w:rPr>
              <w:t> </w:t>
            </w:r>
            <w:r>
              <w:rPr>
                <w:sz w:val="22"/>
              </w:rPr>
              <w:t>must</w:t>
            </w:r>
            <w:r>
              <w:rPr>
                <w:spacing w:val="-3"/>
                <w:sz w:val="22"/>
              </w:rPr>
              <w:t> </w:t>
            </w:r>
            <w:r>
              <w:rPr>
                <w:sz w:val="22"/>
              </w:rPr>
              <w:t>have</w:t>
            </w:r>
            <w:r>
              <w:rPr>
                <w:spacing w:val="-4"/>
                <w:sz w:val="22"/>
              </w:rPr>
              <w:t> </w:t>
            </w:r>
            <w:r>
              <w:rPr>
                <w:sz w:val="22"/>
              </w:rPr>
              <w:t>savings</w:t>
            </w:r>
            <w:r>
              <w:rPr>
                <w:spacing w:val="-3"/>
                <w:sz w:val="22"/>
              </w:rPr>
              <w:t> </w:t>
            </w:r>
            <w:r>
              <w:rPr>
                <w:sz w:val="22"/>
              </w:rPr>
              <w:t>to</w:t>
            </w:r>
            <w:r>
              <w:rPr>
                <w:spacing w:val="-4"/>
                <w:sz w:val="22"/>
              </w:rPr>
              <w:t> </w:t>
            </w:r>
            <w:r>
              <w:rPr>
                <w:sz w:val="22"/>
              </w:rPr>
              <w:t>offset</w:t>
            </w:r>
            <w:r>
              <w:rPr>
                <w:spacing w:val="-5"/>
                <w:sz w:val="22"/>
              </w:rPr>
              <w:t> </w:t>
            </w:r>
            <w:r>
              <w:rPr>
                <w:sz w:val="22"/>
              </w:rPr>
              <w:t>these</w:t>
            </w:r>
            <w:r>
              <w:rPr>
                <w:spacing w:val="-5"/>
                <w:sz w:val="22"/>
              </w:rPr>
              <w:t> </w:t>
            </w:r>
            <w:r>
              <w:rPr>
                <w:spacing w:val="-2"/>
                <w:sz w:val="22"/>
              </w:rPr>
              <w:t>expenditures.</w:t>
            </w:r>
          </w:p>
        </w:tc>
      </w:tr>
      <w:tr>
        <w:trPr>
          <w:trHeight w:val="1142" w:hRule="atLeast"/>
        </w:trPr>
        <w:tc>
          <w:tcPr>
            <w:tcW w:w="1634" w:type="dxa"/>
          </w:tcPr>
          <w:p>
            <w:pPr>
              <w:pStyle w:val="TableParagraph"/>
              <w:ind w:left="114" w:right="106" w:firstLine="3"/>
              <w:jc w:val="center"/>
              <w:rPr>
                <w:sz w:val="22"/>
              </w:rPr>
            </w:pPr>
            <w:r>
              <w:rPr>
                <w:spacing w:val="-2"/>
                <w:sz w:val="22"/>
              </w:rPr>
              <w:t>Medicare Savings </w:t>
            </w:r>
            <w:r>
              <w:rPr>
                <w:sz w:val="22"/>
              </w:rPr>
              <w:t>Program</w:t>
            </w:r>
            <w:r>
              <w:rPr>
                <w:spacing w:val="-14"/>
                <w:sz w:val="22"/>
              </w:rPr>
              <w:t> </w:t>
            </w:r>
            <w:r>
              <w:rPr>
                <w:sz w:val="22"/>
              </w:rPr>
              <w:t>(MSP) </w:t>
            </w:r>
            <w:r>
              <w:rPr>
                <w:spacing w:val="-2"/>
                <w:sz w:val="22"/>
              </w:rPr>
              <w:t>Expansion</w:t>
            </w:r>
          </w:p>
        </w:tc>
        <w:tc>
          <w:tcPr>
            <w:tcW w:w="784" w:type="dxa"/>
          </w:tcPr>
          <w:p>
            <w:pPr>
              <w:pStyle w:val="TableParagraph"/>
              <w:spacing w:before="9"/>
              <w:rPr>
                <w:sz w:val="31"/>
              </w:rPr>
            </w:pPr>
          </w:p>
          <w:p>
            <w:pPr>
              <w:pStyle w:val="TableParagraph"/>
              <w:ind w:right="187"/>
              <w:jc w:val="right"/>
              <w:rPr>
                <w:sz w:val="22"/>
              </w:rPr>
            </w:pPr>
            <w:r>
              <w:rPr>
                <w:spacing w:val="-5"/>
                <w:sz w:val="22"/>
              </w:rPr>
              <w:t>N/A</w:t>
            </w:r>
          </w:p>
        </w:tc>
        <w:tc>
          <w:tcPr>
            <w:tcW w:w="1442" w:type="dxa"/>
          </w:tcPr>
          <w:p>
            <w:pPr>
              <w:pStyle w:val="TableParagraph"/>
              <w:spacing w:before="9"/>
              <w:rPr>
                <w:sz w:val="31"/>
              </w:rPr>
            </w:pPr>
          </w:p>
          <w:p>
            <w:pPr>
              <w:pStyle w:val="TableParagraph"/>
              <w:ind w:right="274"/>
              <w:jc w:val="right"/>
              <w:rPr>
                <w:sz w:val="22"/>
              </w:rPr>
            </w:pPr>
            <w:r>
              <w:rPr>
                <w:sz w:val="22"/>
              </w:rPr>
              <w:t>WW</w:t>
            </w:r>
            <w:r>
              <w:rPr>
                <w:spacing w:val="-2"/>
                <w:sz w:val="22"/>
              </w:rPr>
              <w:t> </w:t>
            </w:r>
            <w:r>
              <w:rPr>
                <w:spacing w:val="-4"/>
                <w:sz w:val="22"/>
              </w:rPr>
              <w:t>only</w:t>
            </w:r>
          </w:p>
        </w:tc>
        <w:tc>
          <w:tcPr>
            <w:tcW w:w="808" w:type="dxa"/>
          </w:tcPr>
          <w:p>
            <w:pPr>
              <w:pStyle w:val="TableParagraph"/>
              <w:spacing w:before="9"/>
              <w:rPr>
                <w:sz w:val="31"/>
              </w:rPr>
            </w:pPr>
          </w:p>
          <w:p>
            <w:pPr>
              <w:pStyle w:val="TableParagraph"/>
              <w:ind w:right="168"/>
              <w:jc w:val="right"/>
              <w:rPr>
                <w:sz w:val="22"/>
              </w:rPr>
            </w:pPr>
            <w:r>
              <w:rPr>
                <w:spacing w:val="-4"/>
                <w:sz w:val="22"/>
              </w:rPr>
              <w:t>2019</w:t>
            </w:r>
          </w:p>
        </w:tc>
        <w:tc>
          <w:tcPr>
            <w:tcW w:w="993" w:type="dxa"/>
          </w:tcPr>
          <w:p>
            <w:pPr>
              <w:pStyle w:val="TableParagraph"/>
              <w:spacing w:before="9"/>
              <w:rPr>
                <w:sz w:val="31"/>
              </w:rPr>
            </w:pPr>
          </w:p>
          <w:p>
            <w:pPr>
              <w:pStyle w:val="TableParagraph"/>
              <w:ind w:left="198" w:right="183"/>
              <w:jc w:val="center"/>
              <w:rPr>
                <w:sz w:val="22"/>
              </w:rPr>
            </w:pPr>
            <w:r>
              <w:rPr>
                <w:spacing w:val="-5"/>
                <w:sz w:val="22"/>
              </w:rPr>
              <w:t>N/A</w:t>
            </w:r>
          </w:p>
        </w:tc>
        <w:tc>
          <w:tcPr>
            <w:tcW w:w="8730" w:type="dxa"/>
            <w:gridSpan w:val="6"/>
          </w:tcPr>
          <w:p>
            <w:pPr>
              <w:pStyle w:val="TableParagraph"/>
              <w:spacing w:before="9"/>
              <w:rPr>
                <w:sz w:val="31"/>
              </w:rPr>
            </w:pPr>
          </w:p>
          <w:p>
            <w:pPr>
              <w:pStyle w:val="TableParagraph"/>
              <w:ind w:left="1353" w:right="1336"/>
              <w:jc w:val="center"/>
              <w:rPr>
                <w:sz w:val="22"/>
              </w:rPr>
            </w:pPr>
            <w:r>
              <w:rPr>
                <w:sz w:val="22"/>
              </w:rPr>
              <w:t>The</w:t>
            </w:r>
            <w:r>
              <w:rPr>
                <w:spacing w:val="-6"/>
                <w:sz w:val="22"/>
              </w:rPr>
              <w:t> </w:t>
            </w:r>
            <w:r>
              <w:rPr>
                <w:sz w:val="22"/>
              </w:rPr>
              <w:t>Commonwealth</w:t>
            </w:r>
            <w:r>
              <w:rPr>
                <w:spacing w:val="-3"/>
                <w:sz w:val="22"/>
              </w:rPr>
              <w:t> </w:t>
            </w:r>
            <w:r>
              <w:rPr>
                <w:sz w:val="22"/>
              </w:rPr>
              <w:t>must</w:t>
            </w:r>
            <w:r>
              <w:rPr>
                <w:spacing w:val="-2"/>
                <w:sz w:val="22"/>
              </w:rPr>
              <w:t> </w:t>
            </w:r>
            <w:r>
              <w:rPr>
                <w:sz w:val="22"/>
              </w:rPr>
              <w:t>have</w:t>
            </w:r>
            <w:r>
              <w:rPr>
                <w:spacing w:val="-3"/>
                <w:sz w:val="22"/>
              </w:rPr>
              <w:t> </w:t>
            </w:r>
            <w:r>
              <w:rPr>
                <w:sz w:val="22"/>
              </w:rPr>
              <w:t>savings</w:t>
            </w:r>
            <w:r>
              <w:rPr>
                <w:spacing w:val="-3"/>
                <w:sz w:val="22"/>
              </w:rPr>
              <w:t> </w:t>
            </w:r>
            <w:r>
              <w:rPr>
                <w:sz w:val="22"/>
              </w:rPr>
              <w:t>to</w:t>
            </w:r>
            <w:r>
              <w:rPr>
                <w:spacing w:val="-3"/>
                <w:sz w:val="22"/>
              </w:rPr>
              <w:t> </w:t>
            </w:r>
            <w:r>
              <w:rPr>
                <w:sz w:val="22"/>
              </w:rPr>
              <w:t>offset</w:t>
            </w:r>
            <w:r>
              <w:rPr>
                <w:spacing w:val="-5"/>
                <w:sz w:val="22"/>
              </w:rPr>
              <w:t> </w:t>
            </w:r>
            <w:r>
              <w:rPr>
                <w:sz w:val="22"/>
              </w:rPr>
              <w:t>these</w:t>
            </w:r>
            <w:r>
              <w:rPr>
                <w:spacing w:val="-5"/>
                <w:sz w:val="22"/>
              </w:rPr>
              <w:t> </w:t>
            </w:r>
            <w:r>
              <w:rPr>
                <w:spacing w:val="-2"/>
                <w:sz w:val="22"/>
              </w:rPr>
              <w:t>expenditures.</w:t>
            </w:r>
          </w:p>
        </w:tc>
      </w:tr>
      <w:tr>
        <w:trPr>
          <w:trHeight w:val="853" w:hRule="atLeast"/>
        </w:trPr>
        <w:tc>
          <w:tcPr>
            <w:tcW w:w="1634" w:type="dxa"/>
          </w:tcPr>
          <w:p>
            <w:pPr>
              <w:pStyle w:val="TableParagraph"/>
              <w:spacing w:before="173"/>
              <w:ind w:left="664" w:hanging="423"/>
              <w:rPr>
                <w:sz w:val="22"/>
              </w:rPr>
            </w:pPr>
            <w:r>
              <w:rPr>
                <w:spacing w:val="-2"/>
                <w:sz w:val="22"/>
              </w:rPr>
              <w:t>Diversionary </w:t>
            </w:r>
            <w:r>
              <w:rPr>
                <w:spacing w:val="-6"/>
                <w:sz w:val="22"/>
              </w:rPr>
              <w:t>BH</w:t>
            </w:r>
          </w:p>
        </w:tc>
        <w:tc>
          <w:tcPr>
            <w:tcW w:w="784" w:type="dxa"/>
          </w:tcPr>
          <w:p>
            <w:pPr>
              <w:pStyle w:val="TableParagraph"/>
              <w:spacing w:before="10"/>
              <w:rPr>
                <w:sz w:val="25"/>
              </w:rPr>
            </w:pPr>
          </w:p>
          <w:p>
            <w:pPr>
              <w:pStyle w:val="TableParagraph"/>
              <w:spacing w:before="1"/>
              <w:ind w:right="187"/>
              <w:jc w:val="right"/>
              <w:rPr>
                <w:sz w:val="22"/>
              </w:rPr>
            </w:pPr>
            <w:r>
              <w:rPr>
                <w:spacing w:val="-5"/>
                <w:sz w:val="22"/>
              </w:rPr>
              <w:t>N/A</w:t>
            </w:r>
          </w:p>
        </w:tc>
        <w:tc>
          <w:tcPr>
            <w:tcW w:w="1442" w:type="dxa"/>
          </w:tcPr>
          <w:p>
            <w:pPr>
              <w:pStyle w:val="TableParagraph"/>
              <w:spacing w:before="10"/>
              <w:rPr>
                <w:sz w:val="25"/>
              </w:rPr>
            </w:pPr>
          </w:p>
          <w:p>
            <w:pPr>
              <w:pStyle w:val="TableParagraph"/>
              <w:spacing w:before="1"/>
              <w:ind w:right="274"/>
              <w:jc w:val="right"/>
              <w:rPr>
                <w:sz w:val="22"/>
              </w:rPr>
            </w:pPr>
            <w:r>
              <w:rPr>
                <w:sz w:val="22"/>
              </w:rPr>
              <w:t>WW</w:t>
            </w:r>
            <w:r>
              <w:rPr>
                <w:spacing w:val="-2"/>
                <w:sz w:val="22"/>
              </w:rPr>
              <w:t> </w:t>
            </w:r>
            <w:r>
              <w:rPr>
                <w:spacing w:val="-4"/>
                <w:sz w:val="22"/>
              </w:rPr>
              <w:t>only</w:t>
            </w:r>
          </w:p>
        </w:tc>
        <w:tc>
          <w:tcPr>
            <w:tcW w:w="808" w:type="dxa"/>
          </w:tcPr>
          <w:p>
            <w:pPr>
              <w:pStyle w:val="TableParagraph"/>
              <w:rPr>
                <w:sz w:val="20"/>
              </w:rPr>
            </w:pPr>
          </w:p>
        </w:tc>
        <w:tc>
          <w:tcPr>
            <w:tcW w:w="993" w:type="dxa"/>
          </w:tcPr>
          <w:p>
            <w:pPr>
              <w:pStyle w:val="TableParagraph"/>
              <w:spacing w:before="10"/>
              <w:rPr>
                <w:sz w:val="25"/>
              </w:rPr>
            </w:pPr>
          </w:p>
          <w:p>
            <w:pPr>
              <w:pStyle w:val="TableParagraph"/>
              <w:spacing w:before="1"/>
              <w:ind w:left="198" w:right="183"/>
              <w:jc w:val="center"/>
              <w:rPr>
                <w:sz w:val="22"/>
              </w:rPr>
            </w:pPr>
            <w:r>
              <w:rPr>
                <w:spacing w:val="-5"/>
                <w:sz w:val="22"/>
              </w:rPr>
              <w:t>N/A</w:t>
            </w:r>
          </w:p>
        </w:tc>
        <w:tc>
          <w:tcPr>
            <w:tcW w:w="8730" w:type="dxa"/>
            <w:gridSpan w:val="6"/>
          </w:tcPr>
          <w:p>
            <w:pPr>
              <w:pStyle w:val="TableParagraph"/>
              <w:spacing w:before="10"/>
              <w:rPr>
                <w:sz w:val="25"/>
              </w:rPr>
            </w:pPr>
          </w:p>
          <w:p>
            <w:pPr>
              <w:pStyle w:val="TableParagraph"/>
              <w:spacing w:before="1"/>
              <w:ind w:left="1352" w:right="1336"/>
              <w:jc w:val="center"/>
              <w:rPr>
                <w:sz w:val="22"/>
              </w:rPr>
            </w:pPr>
            <w:r>
              <w:rPr>
                <w:sz w:val="22"/>
              </w:rPr>
              <w:t>The</w:t>
            </w:r>
            <w:r>
              <w:rPr>
                <w:spacing w:val="-8"/>
                <w:sz w:val="22"/>
              </w:rPr>
              <w:t> </w:t>
            </w:r>
            <w:r>
              <w:rPr>
                <w:sz w:val="22"/>
              </w:rPr>
              <w:t>Commonwealth</w:t>
            </w:r>
            <w:r>
              <w:rPr>
                <w:spacing w:val="-4"/>
                <w:sz w:val="22"/>
              </w:rPr>
              <w:t> </w:t>
            </w:r>
            <w:r>
              <w:rPr>
                <w:sz w:val="22"/>
              </w:rPr>
              <w:t>must</w:t>
            </w:r>
            <w:r>
              <w:rPr>
                <w:spacing w:val="-2"/>
                <w:sz w:val="22"/>
              </w:rPr>
              <w:t> </w:t>
            </w:r>
            <w:r>
              <w:rPr>
                <w:sz w:val="22"/>
              </w:rPr>
              <w:t>have</w:t>
            </w:r>
            <w:r>
              <w:rPr>
                <w:spacing w:val="-4"/>
                <w:sz w:val="22"/>
              </w:rPr>
              <w:t> </w:t>
            </w:r>
            <w:r>
              <w:rPr>
                <w:sz w:val="22"/>
              </w:rPr>
              <w:t>savings</w:t>
            </w:r>
            <w:r>
              <w:rPr>
                <w:spacing w:val="-4"/>
                <w:sz w:val="22"/>
              </w:rPr>
              <w:t> </w:t>
            </w:r>
            <w:r>
              <w:rPr>
                <w:sz w:val="22"/>
              </w:rPr>
              <w:t>to</w:t>
            </w:r>
            <w:r>
              <w:rPr>
                <w:spacing w:val="-3"/>
                <w:sz w:val="22"/>
              </w:rPr>
              <w:t> </w:t>
            </w:r>
            <w:r>
              <w:rPr>
                <w:sz w:val="22"/>
              </w:rPr>
              <w:t>offset</w:t>
            </w:r>
            <w:r>
              <w:rPr>
                <w:spacing w:val="-6"/>
                <w:sz w:val="22"/>
              </w:rPr>
              <w:t> </w:t>
            </w:r>
            <w:r>
              <w:rPr>
                <w:sz w:val="22"/>
              </w:rPr>
              <w:t>these</w:t>
            </w:r>
            <w:r>
              <w:rPr>
                <w:spacing w:val="-5"/>
                <w:sz w:val="22"/>
              </w:rPr>
              <w:t> </w:t>
            </w:r>
            <w:r>
              <w:rPr>
                <w:spacing w:val="-2"/>
                <w:sz w:val="22"/>
              </w:rPr>
              <w:t>expenditures.</w:t>
            </w:r>
          </w:p>
        </w:tc>
      </w:tr>
      <w:tr>
        <w:trPr>
          <w:trHeight w:val="1142" w:hRule="atLeast"/>
        </w:trPr>
        <w:tc>
          <w:tcPr>
            <w:tcW w:w="1634" w:type="dxa"/>
          </w:tcPr>
          <w:p>
            <w:pPr>
              <w:pStyle w:val="TableParagraph"/>
              <w:spacing w:before="190"/>
              <w:ind w:left="167" w:right="155"/>
              <w:jc w:val="center"/>
              <w:rPr>
                <w:sz w:val="22"/>
              </w:rPr>
            </w:pPr>
            <w:r>
              <w:rPr>
                <w:sz w:val="22"/>
              </w:rPr>
              <w:t>CP</w:t>
            </w:r>
            <w:r>
              <w:rPr>
                <w:spacing w:val="-14"/>
                <w:sz w:val="22"/>
              </w:rPr>
              <w:t> </w:t>
            </w:r>
            <w:r>
              <w:rPr>
                <w:sz w:val="22"/>
              </w:rPr>
              <w:t>Enhanced </w:t>
            </w:r>
            <w:r>
              <w:rPr>
                <w:spacing w:val="-4"/>
                <w:sz w:val="22"/>
              </w:rPr>
              <w:t>Care </w:t>
            </w:r>
            <w:r>
              <w:rPr>
                <w:spacing w:val="-2"/>
                <w:sz w:val="22"/>
              </w:rPr>
              <w:t>Coordination</w:t>
            </w:r>
          </w:p>
        </w:tc>
        <w:tc>
          <w:tcPr>
            <w:tcW w:w="784" w:type="dxa"/>
          </w:tcPr>
          <w:p>
            <w:pPr>
              <w:pStyle w:val="TableParagraph"/>
              <w:rPr>
                <w:sz w:val="24"/>
              </w:rPr>
            </w:pPr>
          </w:p>
          <w:p>
            <w:pPr>
              <w:pStyle w:val="TableParagraph"/>
              <w:spacing w:before="166"/>
              <w:ind w:right="188"/>
              <w:jc w:val="right"/>
              <w:rPr>
                <w:sz w:val="22"/>
              </w:rPr>
            </w:pPr>
            <w:r>
              <w:rPr>
                <w:spacing w:val="-5"/>
                <w:sz w:val="22"/>
              </w:rPr>
              <w:t>Agg</w:t>
            </w:r>
          </w:p>
        </w:tc>
        <w:tc>
          <w:tcPr>
            <w:tcW w:w="1442" w:type="dxa"/>
          </w:tcPr>
          <w:p>
            <w:pPr>
              <w:pStyle w:val="TableParagraph"/>
              <w:rPr>
                <w:sz w:val="24"/>
              </w:rPr>
            </w:pPr>
          </w:p>
          <w:p>
            <w:pPr>
              <w:pStyle w:val="TableParagraph"/>
              <w:spacing w:before="166"/>
              <w:ind w:right="274"/>
              <w:jc w:val="right"/>
              <w:rPr>
                <w:sz w:val="22"/>
              </w:rPr>
            </w:pPr>
            <w:r>
              <w:rPr>
                <w:sz w:val="22"/>
              </w:rPr>
              <w:t>WW</w:t>
            </w:r>
            <w:r>
              <w:rPr>
                <w:spacing w:val="-2"/>
                <w:sz w:val="22"/>
              </w:rPr>
              <w:t> </w:t>
            </w:r>
            <w:r>
              <w:rPr>
                <w:spacing w:val="-4"/>
                <w:sz w:val="22"/>
              </w:rPr>
              <w:t>only</w:t>
            </w:r>
          </w:p>
        </w:tc>
        <w:tc>
          <w:tcPr>
            <w:tcW w:w="808" w:type="dxa"/>
          </w:tcPr>
          <w:p>
            <w:pPr>
              <w:pStyle w:val="TableParagraph"/>
              <w:rPr>
                <w:sz w:val="20"/>
              </w:rPr>
            </w:pPr>
          </w:p>
        </w:tc>
        <w:tc>
          <w:tcPr>
            <w:tcW w:w="993" w:type="dxa"/>
          </w:tcPr>
          <w:p>
            <w:pPr>
              <w:pStyle w:val="TableParagraph"/>
              <w:rPr>
                <w:sz w:val="24"/>
              </w:rPr>
            </w:pPr>
          </w:p>
          <w:p>
            <w:pPr>
              <w:pStyle w:val="TableParagraph"/>
              <w:spacing w:before="166"/>
              <w:ind w:left="198" w:right="183"/>
              <w:jc w:val="center"/>
              <w:rPr>
                <w:sz w:val="22"/>
              </w:rPr>
            </w:pPr>
            <w:r>
              <w:rPr>
                <w:spacing w:val="-5"/>
                <w:sz w:val="22"/>
              </w:rPr>
              <w:t>N/A</w:t>
            </w:r>
          </w:p>
        </w:tc>
        <w:tc>
          <w:tcPr>
            <w:tcW w:w="1437" w:type="dxa"/>
          </w:tcPr>
          <w:p>
            <w:pPr>
              <w:pStyle w:val="TableParagraph"/>
              <w:rPr>
                <w:sz w:val="24"/>
              </w:rPr>
            </w:pPr>
          </w:p>
          <w:p>
            <w:pPr>
              <w:pStyle w:val="TableParagraph"/>
              <w:spacing w:before="166"/>
              <w:ind w:left="14"/>
              <w:jc w:val="center"/>
              <w:rPr>
                <w:sz w:val="22"/>
              </w:rPr>
            </w:pPr>
            <w:r>
              <w:rPr>
                <w:w w:val="100"/>
                <w:sz w:val="22"/>
              </w:rPr>
              <w:t>-</w:t>
            </w:r>
          </w:p>
        </w:tc>
        <w:tc>
          <w:tcPr>
            <w:tcW w:w="1442" w:type="dxa"/>
          </w:tcPr>
          <w:p>
            <w:pPr>
              <w:pStyle w:val="TableParagraph"/>
              <w:rPr>
                <w:sz w:val="24"/>
              </w:rPr>
            </w:pPr>
          </w:p>
          <w:p>
            <w:pPr>
              <w:pStyle w:val="TableParagraph"/>
              <w:spacing w:before="166"/>
              <w:ind w:left="128" w:right="109"/>
              <w:jc w:val="center"/>
              <w:rPr>
                <w:sz w:val="22"/>
              </w:rPr>
            </w:pPr>
            <w:r>
              <w:rPr>
                <w:spacing w:val="-2"/>
                <w:sz w:val="22"/>
              </w:rPr>
              <w:t>$4,000,000</w:t>
            </w:r>
          </w:p>
        </w:tc>
        <w:tc>
          <w:tcPr>
            <w:tcW w:w="1440" w:type="dxa"/>
          </w:tcPr>
          <w:p>
            <w:pPr>
              <w:pStyle w:val="TableParagraph"/>
              <w:rPr>
                <w:sz w:val="24"/>
              </w:rPr>
            </w:pPr>
          </w:p>
          <w:p>
            <w:pPr>
              <w:pStyle w:val="TableParagraph"/>
              <w:spacing w:before="166"/>
              <w:ind w:left="109" w:right="92"/>
              <w:jc w:val="center"/>
              <w:rPr>
                <w:sz w:val="22"/>
              </w:rPr>
            </w:pPr>
            <w:r>
              <w:rPr>
                <w:spacing w:val="-2"/>
                <w:sz w:val="22"/>
              </w:rPr>
              <w:t>$4,000,000</w:t>
            </w:r>
          </w:p>
        </w:tc>
        <w:tc>
          <w:tcPr>
            <w:tcW w:w="1531" w:type="dxa"/>
          </w:tcPr>
          <w:p>
            <w:pPr>
              <w:pStyle w:val="TableParagraph"/>
              <w:rPr>
                <w:sz w:val="24"/>
              </w:rPr>
            </w:pPr>
          </w:p>
          <w:p>
            <w:pPr>
              <w:pStyle w:val="TableParagraph"/>
              <w:spacing w:before="166"/>
              <w:ind w:left="140" w:right="123"/>
              <w:jc w:val="center"/>
              <w:rPr>
                <w:sz w:val="22"/>
              </w:rPr>
            </w:pPr>
            <w:r>
              <w:rPr>
                <w:spacing w:val="-2"/>
                <w:sz w:val="22"/>
              </w:rPr>
              <w:t>$4,000,000</w:t>
            </w:r>
          </w:p>
        </w:tc>
        <w:tc>
          <w:tcPr>
            <w:tcW w:w="1440" w:type="dxa"/>
          </w:tcPr>
          <w:p>
            <w:pPr>
              <w:pStyle w:val="TableParagraph"/>
              <w:rPr>
                <w:sz w:val="24"/>
              </w:rPr>
            </w:pPr>
          </w:p>
          <w:p>
            <w:pPr>
              <w:pStyle w:val="TableParagraph"/>
              <w:spacing w:before="166"/>
              <w:ind w:left="109" w:right="92"/>
              <w:jc w:val="center"/>
              <w:rPr>
                <w:sz w:val="22"/>
              </w:rPr>
            </w:pPr>
            <w:r>
              <w:rPr>
                <w:spacing w:val="-2"/>
                <w:sz w:val="22"/>
              </w:rPr>
              <w:t>$4,000,000</w:t>
            </w:r>
          </w:p>
        </w:tc>
        <w:tc>
          <w:tcPr>
            <w:tcW w:w="1440" w:type="dxa"/>
          </w:tcPr>
          <w:p>
            <w:pPr>
              <w:pStyle w:val="TableParagraph"/>
              <w:rPr>
                <w:sz w:val="24"/>
              </w:rPr>
            </w:pPr>
          </w:p>
          <w:p>
            <w:pPr>
              <w:pStyle w:val="TableParagraph"/>
              <w:spacing w:before="166"/>
              <w:ind w:left="109" w:right="92"/>
              <w:jc w:val="center"/>
              <w:rPr>
                <w:sz w:val="22"/>
              </w:rPr>
            </w:pPr>
            <w:r>
              <w:rPr>
                <w:spacing w:val="-2"/>
                <w:sz w:val="22"/>
              </w:rPr>
              <w:t>$4,000,000</w:t>
            </w:r>
          </w:p>
        </w:tc>
      </w:tr>
    </w:tbl>
    <w:p>
      <w:pPr>
        <w:spacing w:after="0"/>
        <w:jc w:val="center"/>
        <w:rPr>
          <w:sz w:val="22"/>
        </w:rPr>
        <w:sectPr>
          <w:pgSz w:w="15840" w:h="12240" w:orient="landscape"/>
          <w:pgMar w:header="0" w:footer="1201" w:top="1380" w:bottom="1400" w:left="600" w:right="600"/>
        </w:sectPr>
      </w:pPr>
    </w:p>
    <w:p>
      <w:pPr>
        <w:pStyle w:val="BodyText"/>
        <w:spacing w:before="2"/>
        <w:rPr>
          <w:sz w:val="5"/>
        </w:r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4"/>
        <w:gridCol w:w="784"/>
        <w:gridCol w:w="1442"/>
        <w:gridCol w:w="808"/>
        <w:gridCol w:w="993"/>
        <w:gridCol w:w="1437"/>
        <w:gridCol w:w="1442"/>
        <w:gridCol w:w="1440"/>
        <w:gridCol w:w="1531"/>
        <w:gridCol w:w="1440"/>
        <w:gridCol w:w="1440"/>
      </w:tblGrid>
      <w:tr>
        <w:trPr>
          <w:trHeight w:val="558" w:hRule="atLeast"/>
        </w:trPr>
        <w:tc>
          <w:tcPr>
            <w:tcW w:w="14391" w:type="dxa"/>
            <w:gridSpan w:val="11"/>
            <w:shd w:val="clear" w:color="auto" w:fill="DBE4F0"/>
          </w:tcPr>
          <w:p>
            <w:pPr>
              <w:pStyle w:val="TableParagraph"/>
              <w:spacing w:before="154"/>
              <w:ind w:left="5371" w:right="5356"/>
              <w:jc w:val="center"/>
              <w:rPr>
                <w:b/>
                <w:sz w:val="22"/>
              </w:rPr>
            </w:pPr>
            <w:r>
              <w:rPr>
                <w:b/>
                <w:sz w:val="22"/>
              </w:rPr>
              <w:t>Table</w:t>
            </w:r>
            <w:r>
              <w:rPr>
                <w:b/>
                <w:spacing w:val="-4"/>
                <w:sz w:val="22"/>
              </w:rPr>
              <w:t> </w:t>
            </w:r>
            <w:r>
              <w:rPr>
                <w:b/>
                <w:sz w:val="22"/>
              </w:rPr>
              <w:t>20:</w:t>
            </w:r>
            <w:r>
              <w:rPr>
                <w:b/>
                <w:spacing w:val="-3"/>
                <w:sz w:val="22"/>
              </w:rPr>
              <w:t> </w:t>
            </w:r>
            <w:r>
              <w:rPr>
                <w:b/>
                <w:sz w:val="22"/>
              </w:rPr>
              <w:t>Main</w:t>
            </w:r>
            <w:r>
              <w:rPr>
                <w:b/>
                <w:spacing w:val="-6"/>
                <w:sz w:val="22"/>
              </w:rPr>
              <w:t> </w:t>
            </w:r>
            <w:r>
              <w:rPr>
                <w:b/>
                <w:sz w:val="22"/>
              </w:rPr>
              <w:t>Budget</w:t>
            </w:r>
            <w:r>
              <w:rPr>
                <w:b/>
                <w:spacing w:val="-3"/>
                <w:sz w:val="22"/>
              </w:rPr>
              <w:t> </w:t>
            </w:r>
            <w:r>
              <w:rPr>
                <w:b/>
                <w:sz w:val="22"/>
              </w:rPr>
              <w:t>Neutrality</w:t>
            </w:r>
            <w:r>
              <w:rPr>
                <w:b/>
                <w:spacing w:val="-3"/>
                <w:sz w:val="22"/>
              </w:rPr>
              <w:t> </w:t>
            </w:r>
            <w:r>
              <w:rPr>
                <w:b/>
                <w:spacing w:val="-4"/>
                <w:sz w:val="22"/>
              </w:rPr>
              <w:t>Test</w:t>
            </w:r>
          </w:p>
        </w:tc>
      </w:tr>
      <w:tr>
        <w:trPr>
          <w:trHeight w:val="1573" w:hRule="atLeast"/>
        </w:trPr>
        <w:tc>
          <w:tcPr>
            <w:tcW w:w="1634" w:type="dxa"/>
            <w:shd w:val="clear" w:color="auto" w:fill="DBE4F0"/>
          </w:tcPr>
          <w:p>
            <w:pPr>
              <w:pStyle w:val="TableParagraph"/>
              <w:rPr>
                <w:sz w:val="24"/>
              </w:rPr>
            </w:pPr>
          </w:p>
          <w:p>
            <w:pPr>
              <w:pStyle w:val="TableParagraph"/>
              <w:spacing w:before="5"/>
              <w:rPr>
                <w:sz w:val="33"/>
              </w:rPr>
            </w:pPr>
          </w:p>
          <w:p>
            <w:pPr>
              <w:pStyle w:val="TableParagraph"/>
              <w:ind w:left="165" w:right="155"/>
              <w:jc w:val="center"/>
              <w:rPr>
                <w:b/>
                <w:sz w:val="22"/>
              </w:rPr>
            </w:pPr>
            <w:r>
              <w:rPr>
                <w:b/>
                <w:spacing w:val="-5"/>
                <w:sz w:val="22"/>
              </w:rPr>
              <w:t>MEG</w:t>
            </w:r>
          </w:p>
        </w:tc>
        <w:tc>
          <w:tcPr>
            <w:tcW w:w="784" w:type="dxa"/>
            <w:shd w:val="clear" w:color="auto" w:fill="DBE4F0"/>
          </w:tcPr>
          <w:p>
            <w:pPr>
              <w:pStyle w:val="TableParagraph"/>
              <w:rPr>
                <w:sz w:val="24"/>
              </w:rPr>
            </w:pPr>
          </w:p>
          <w:p>
            <w:pPr>
              <w:pStyle w:val="TableParagraph"/>
              <w:spacing w:before="2"/>
              <w:rPr>
                <w:sz w:val="22"/>
              </w:rPr>
            </w:pPr>
          </w:p>
          <w:p>
            <w:pPr>
              <w:pStyle w:val="TableParagraph"/>
              <w:spacing w:line="244" w:lineRule="auto"/>
              <w:ind w:left="149" w:right="99" w:hanging="36"/>
              <w:rPr>
                <w:b/>
                <w:sz w:val="22"/>
              </w:rPr>
            </w:pPr>
            <w:r>
              <w:rPr>
                <w:b/>
                <w:sz w:val="22"/>
              </w:rPr>
              <w:t>PC</w:t>
            </w:r>
            <w:r>
              <w:rPr>
                <w:b/>
                <w:spacing w:val="-14"/>
                <w:sz w:val="22"/>
              </w:rPr>
              <w:t> </w:t>
            </w:r>
            <w:r>
              <w:rPr>
                <w:b/>
                <w:sz w:val="22"/>
              </w:rPr>
              <w:t>or </w:t>
            </w:r>
            <w:r>
              <w:rPr>
                <w:b/>
                <w:spacing w:val="-4"/>
                <w:sz w:val="22"/>
              </w:rPr>
              <w:t>Agg*</w:t>
            </w:r>
          </w:p>
        </w:tc>
        <w:tc>
          <w:tcPr>
            <w:tcW w:w="1442" w:type="dxa"/>
            <w:shd w:val="clear" w:color="auto" w:fill="DBE4F0"/>
          </w:tcPr>
          <w:p>
            <w:pPr>
              <w:pStyle w:val="TableParagraph"/>
              <w:spacing w:before="3"/>
              <w:rPr>
                <w:sz w:val="35"/>
              </w:rPr>
            </w:pPr>
          </w:p>
          <w:p>
            <w:pPr>
              <w:pStyle w:val="TableParagraph"/>
              <w:spacing w:before="1"/>
              <w:ind w:left="128" w:right="113"/>
              <w:jc w:val="center"/>
              <w:rPr>
                <w:b/>
                <w:sz w:val="22"/>
              </w:rPr>
            </w:pPr>
            <w:r>
              <w:rPr>
                <w:b/>
                <w:sz w:val="22"/>
              </w:rPr>
              <w:t>WOW</w:t>
            </w:r>
            <w:r>
              <w:rPr>
                <w:b/>
                <w:spacing w:val="-14"/>
                <w:sz w:val="22"/>
              </w:rPr>
              <w:t> </w:t>
            </w:r>
            <w:r>
              <w:rPr>
                <w:b/>
                <w:sz w:val="22"/>
              </w:rPr>
              <w:t>Only, WW Only, or BOTH</w:t>
            </w:r>
          </w:p>
        </w:tc>
        <w:tc>
          <w:tcPr>
            <w:tcW w:w="808" w:type="dxa"/>
            <w:shd w:val="clear" w:color="auto" w:fill="DBE4F0"/>
          </w:tcPr>
          <w:p>
            <w:pPr>
              <w:pStyle w:val="TableParagraph"/>
              <w:rPr>
                <w:sz w:val="24"/>
              </w:rPr>
            </w:pPr>
          </w:p>
          <w:p>
            <w:pPr>
              <w:pStyle w:val="TableParagraph"/>
              <w:spacing w:before="2"/>
              <w:rPr>
                <w:sz w:val="22"/>
              </w:rPr>
            </w:pPr>
          </w:p>
          <w:p>
            <w:pPr>
              <w:pStyle w:val="TableParagraph"/>
              <w:spacing w:line="244" w:lineRule="auto"/>
              <w:ind w:left="174" w:right="155" w:firstLine="9"/>
              <w:rPr>
                <w:b/>
                <w:sz w:val="22"/>
              </w:rPr>
            </w:pPr>
            <w:r>
              <w:rPr>
                <w:b/>
                <w:spacing w:val="-4"/>
                <w:sz w:val="22"/>
              </w:rPr>
              <w:t>Base Year</w:t>
            </w:r>
          </w:p>
        </w:tc>
        <w:tc>
          <w:tcPr>
            <w:tcW w:w="993" w:type="dxa"/>
            <w:shd w:val="clear" w:color="auto" w:fill="DBE4F0"/>
            <w:textDirection w:val="tbRl"/>
          </w:tcPr>
          <w:p>
            <w:pPr>
              <w:pStyle w:val="TableParagraph"/>
              <w:spacing w:before="8"/>
              <w:rPr>
                <w:sz w:val="26"/>
              </w:rPr>
            </w:pPr>
          </w:p>
          <w:p>
            <w:pPr>
              <w:pStyle w:val="TableParagraph"/>
              <w:ind w:left="244"/>
              <w:rPr>
                <w:b/>
                <w:sz w:val="22"/>
              </w:rPr>
            </w:pPr>
            <w:r>
              <w:rPr>
                <w:b/>
                <w:sz w:val="22"/>
              </w:rPr>
              <w:t>Trend</w:t>
            </w:r>
            <w:r>
              <w:rPr>
                <w:b/>
                <w:spacing w:val="-3"/>
                <w:sz w:val="22"/>
              </w:rPr>
              <w:t> </w:t>
            </w:r>
            <w:r>
              <w:rPr>
                <w:b/>
                <w:spacing w:val="-4"/>
                <w:sz w:val="22"/>
              </w:rPr>
              <w:t>Rate</w:t>
            </w:r>
          </w:p>
        </w:tc>
        <w:tc>
          <w:tcPr>
            <w:tcW w:w="1437" w:type="dxa"/>
            <w:shd w:val="clear" w:color="auto" w:fill="DBE4F0"/>
          </w:tcPr>
          <w:p>
            <w:pPr>
              <w:pStyle w:val="TableParagraph"/>
              <w:rPr>
                <w:sz w:val="24"/>
              </w:rPr>
            </w:pPr>
          </w:p>
          <w:p>
            <w:pPr>
              <w:pStyle w:val="TableParagraph"/>
              <w:spacing w:before="5"/>
              <w:rPr>
                <w:sz w:val="33"/>
              </w:rPr>
            </w:pPr>
          </w:p>
          <w:p>
            <w:pPr>
              <w:pStyle w:val="TableParagraph"/>
              <w:ind w:left="108" w:right="90"/>
              <w:jc w:val="center"/>
              <w:rPr>
                <w:b/>
                <w:sz w:val="22"/>
              </w:rPr>
            </w:pPr>
            <w:r>
              <w:rPr>
                <w:b/>
                <w:sz w:val="22"/>
              </w:rPr>
              <w:t>DY</w:t>
            </w:r>
            <w:r>
              <w:rPr>
                <w:b/>
                <w:spacing w:val="-1"/>
                <w:sz w:val="22"/>
              </w:rPr>
              <w:t> </w:t>
            </w:r>
            <w:r>
              <w:rPr>
                <w:b/>
                <w:spacing w:val="-5"/>
                <w:sz w:val="22"/>
              </w:rPr>
              <w:t>27</w:t>
            </w:r>
          </w:p>
        </w:tc>
        <w:tc>
          <w:tcPr>
            <w:tcW w:w="1442" w:type="dxa"/>
            <w:shd w:val="clear" w:color="auto" w:fill="DBE4F0"/>
          </w:tcPr>
          <w:p>
            <w:pPr>
              <w:pStyle w:val="TableParagraph"/>
              <w:rPr>
                <w:sz w:val="24"/>
              </w:rPr>
            </w:pPr>
          </w:p>
          <w:p>
            <w:pPr>
              <w:pStyle w:val="TableParagraph"/>
              <w:spacing w:before="5"/>
              <w:rPr>
                <w:sz w:val="33"/>
              </w:rPr>
            </w:pPr>
          </w:p>
          <w:p>
            <w:pPr>
              <w:pStyle w:val="TableParagraph"/>
              <w:ind w:left="127" w:right="113"/>
              <w:jc w:val="center"/>
              <w:rPr>
                <w:b/>
                <w:sz w:val="22"/>
              </w:rPr>
            </w:pPr>
            <w:r>
              <w:rPr>
                <w:b/>
                <w:sz w:val="22"/>
              </w:rPr>
              <w:t>DY</w:t>
            </w:r>
            <w:r>
              <w:rPr>
                <w:b/>
                <w:spacing w:val="-1"/>
                <w:sz w:val="22"/>
              </w:rPr>
              <w:t> </w:t>
            </w:r>
            <w:r>
              <w:rPr>
                <w:b/>
                <w:spacing w:val="-5"/>
                <w:sz w:val="22"/>
              </w:rPr>
              <w:t>28</w:t>
            </w:r>
          </w:p>
        </w:tc>
        <w:tc>
          <w:tcPr>
            <w:tcW w:w="1440" w:type="dxa"/>
            <w:shd w:val="clear" w:color="auto" w:fill="DBE4F0"/>
          </w:tcPr>
          <w:p>
            <w:pPr>
              <w:pStyle w:val="TableParagraph"/>
              <w:rPr>
                <w:sz w:val="24"/>
              </w:rPr>
            </w:pPr>
          </w:p>
          <w:p>
            <w:pPr>
              <w:pStyle w:val="TableParagraph"/>
              <w:spacing w:before="5"/>
              <w:rPr>
                <w:sz w:val="33"/>
              </w:rPr>
            </w:pPr>
          </w:p>
          <w:p>
            <w:pPr>
              <w:pStyle w:val="TableParagraph"/>
              <w:ind w:left="109" w:right="92"/>
              <w:jc w:val="center"/>
              <w:rPr>
                <w:b/>
                <w:sz w:val="22"/>
              </w:rPr>
            </w:pPr>
            <w:r>
              <w:rPr>
                <w:b/>
                <w:sz w:val="22"/>
              </w:rPr>
              <w:t>DY</w:t>
            </w:r>
            <w:r>
              <w:rPr>
                <w:b/>
                <w:spacing w:val="-1"/>
                <w:sz w:val="22"/>
              </w:rPr>
              <w:t> </w:t>
            </w:r>
            <w:r>
              <w:rPr>
                <w:b/>
                <w:spacing w:val="-5"/>
                <w:sz w:val="22"/>
              </w:rPr>
              <w:t>29</w:t>
            </w:r>
          </w:p>
        </w:tc>
        <w:tc>
          <w:tcPr>
            <w:tcW w:w="1531" w:type="dxa"/>
            <w:shd w:val="clear" w:color="auto" w:fill="DBE4F0"/>
          </w:tcPr>
          <w:p>
            <w:pPr>
              <w:pStyle w:val="TableParagraph"/>
              <w:rPr>
                <w:sz w:val="24"/>
              </w:rPr>
            </w:pPr>
          </w:p>
          <w:p>
            <w:pPr>
              <w:pStyle w:val="TableParagraph"/>
              <w:spacing w:before="5"/>
              <w:rPr>
                <w:sz w:val="33"/>
              </w:rPr>
            </w:pPr>
          </w:p>
          <w:p>
            <w:pPr>
              <w:pStyle w:val="TableParagraph"/>
              <w:ind w:left="471"/>
              <w:rPr>
                <w:b/>
                <w:sz w:val="22"/>
              </w:rPr>
            </w:pPr>
            <w:r>
              <w:rPr>
                <w:b/>
                <w:sz w:val="22"/>
              </w:rPr>
              <w:t>DY</w:t>
            </w:r>
            <w:r>
              <w:rPr>
                <w:b/>
                <w:spacing w:val="-1"/>
                <w:sz w:val="22"/>
              </w:rPr>
              <w:t> </w:t>
            </w:r>
            <w:r>
              <w:rPr>
                <w:b/>
                <w:spacing w:val="-5"/>
                <w:sz w:val="22"/>
              </w:rPr>
              <w:t>30</w:t>
            </w:r>
          </w:p>
        </w:tc>
        <w:tc>
          <w:tcPr>
            <w:tcW w:w="1440" w:type="dxa"/>
            <w:shd w:val="clear" w:color="auto" w:fill="DBE4F0"/>
          </w:tcPr>
          <w:p>
            <w:pPr>
              <w:pStyle w:val="TableParagraph"/>
              <w:rPr>
                <w:sz w:val="24"/>
              </w:rPr>
            </w:pPr>
          </w:p>
          <w:p>
            <w:pPr>
              <w:pStyle w:val="TableParagraph"/>
              <w:spacing w:before="5"/>
              <w:rPr>
                <w:sz w:val="33"/>
              </w:rPr>
            </w:pPr>
          </w:p>
          <w:p>
            <w:pPr>
              <w:pStyle w:val="TableParagraph"/>
              <w:ind w:left="110" w:right="92"/>
              <w:jc w:val="center"/>
              <w:rPr>
                <w:b/>
                <w:sz w:val="22"/>
              </w:rPr>
            </w:pPr>
            <w:r>
              <w:rPr>
                <w:b/>
                <w:sz w:val="22"/>
              </w:rPr>
              <w:t>DY</w:t>
            </w:r>
            <w:r>
              <w:rPr>
                <w:b/>
                <w:spacing w:val="-1"/>
                <w:sz w:val="22"/>
              </w:rPr>
              <w:t> </w:t>
            </w:r>
            <w:r>
              <w:rPr>
                <w:b/>
                <w:spacing w:val="-5"/>
                <w:sz w:val="22"/>
              </w:rPr>
              <w:t>31</w:t>
            </w:r>
          </w:p>
        </w:tc>
        <w:tc>
          <w:tcPr>
            <w:tcW w:w="1440" w:type="dxa"/>
            <w:shd w:val="clear" w:color="auto" w:fill="DBE4F0"/>
          </w:tcPr>
          <w:p>
            <w:pPr>
              <w:pStyle w:val="TableParagraph"/>
              <w:rPr>
                <w:sz w:val="24"/>
              </w:rPr>
            </w:pPr>
          </w:p>
          <w:p>
            <w:pPr>
              <w:pStyle w:val="TableParagraph"/>
              <w:spacing w:before="5"/>
              <w:rPr>
                <w:sz w:val="33"/>
              </w:rPr>
            </w:pPr>
          </w:p>
          <w:p>
            <w:pPr>
              <w:pStyle w:val="TableParagraph"/>
              <w:ind w:left="110" w:right="92"/>
              <w:jc w:val="center"/>
              <w:rPr>
                <w:b/>
                <w:sz w:val="22"/>
              </w:rPr>
            </w:pPr>
            <w:r>
              <w:rPr>
                <w:b/>
                <w:sz w:val="22"/>
              </w:rPr>
              <w:t>DY</w:t>
            </w:r>
            <w:r>
              <w:rPr>
                <w:b/>
                <w:spacing w:val="-1"/>
                <w:sz w:val="22"/>
              </w:rPr>
              <w:t> </w:t>
            </w:r>
            <w:r>
              <w:rPr>
                <w:b/>
                <w:spacing w:val="-5"/>
                <w:sz w:val="22"/>
              </w:rPr>
              <w:t>32</w:t>
            </w:r>
          </w:p>
        </w:tc>
      </w:tr>
      <w:tr>
        <w:trPr>
          <w:trHeight w:val="1142" w:hRule="atLeast"/>
        </w:trPr>
        <w:tc>
          <w:tcPr>
            <w:tcW w:w="1634" w:type="dxa"/>
          </w:tcPr>
          <w:p>
            <w:pPr>
              <w:pStyle w:val="TableParagraph"/>
              <w:spacing w:before="63"/>
              <w:ind w:left="299" w:right="287" w:firstLine="54"/>
              <w:jc w:val="center"/>
              <w:rPr>
                <w:sz w:val="22"/>
              </w:rPr>
            </w:pPr>
            <w:r>
              <w:rPr>
                <w:spacing w:val="-2"/>
                <w:sz w:val="22"/>
              </w:rPr>
              <w:t>Hospital </w:t>
            </w:r>
            <w:r>
              <w:rPr>
                <w:sz w:val="22"/>
              </w:rPr>
              <w:t>Quality</w:t>
            </w:r>
            <w:r>
              <w:rPr>
                <w:spacing w:val="-14"/>
                <w:sz w:val="22"/>
              </w:rPr>
              <w:t> </w:t>
            </w:r>
            <w:r>
              <w:rPr>
                <w:sz w:val="22"/>
              </w:rPr>
              <w:t>and </w:t>
            </w:r>
            <w:r>
              <w:rPr>
                <w:spacing w:val="-2"/>
                <w:sz w:val="22"/>
              </w:rPr>
              <w:t>Equity Initiative</w:t>
            </w:r>
          </w:p>
        </w:tc>
        <w:tc>
          <w:tcPr>
            <w:tcW w:w="784" w:type="dxa"/>
          </w:tcPr>
          <w:p>
            <w:pPr>
              <w:pStyle w:val="TableParagraph"/>
              <w:rPr>
                <w:sz w:val="24"/>
              </w:rPr>
            </w:pPr>
          </w:p>
          <w:p>
            <w:pPr>
              <w:pStyle w:val="TableParagraph"/>
              <w:spacing w:before="166"/>
              <w:ind w:right="188"/>
              <w:jc w:val="right"/>
              <w:rPr>
                <w:sz w:val="22"/>
              </w:rPr>
            </w:pPr>
            <w:r>
              <w:rPr>
                <w:spacing w:val="-5"/>
                <w:sz w:val="22"/>
              </w:rPr>
              <w:t>Agg</w:t>
            </w:r>
          </w:p>
        </w:tc>
        <w:tc>
          <w:tcPr>
            <w:tcW w:w="1442" w:type="dxa"/>
          </w:tcPr>
          <w:p>
            <w:pPr>
              <w:pStyle w:val="TableParagraph"/>
              <w:rPr>
                <w:sz w:val="24"/>
              </w:rPr>
            </w:pPr>
          </w:p>
          <w:p>
            <w:pPr>
              <w:pStyle w:val="TableParagraph"/>
              <w:spacing w:before="166"/>
              <w:ind w:left="127" w:right="113"/>
              <w:jc w:val="center"/>
              <w:rPr>
                <w:sz w:val="22"/>
              </w:rPr>
            </w:pPr>
            <w:r>
              <w:rPr>
                <w:sz w:val="22"/>
              </w:rPr>
              <w:t>WW</w:t>
            </w:r>
            <w:r>
              <w:rPr>
                <w:spacing w:val="-2"/>
                <w:sz w:val="22"/>
              </w:rPr>
              <w:t> </w:t>
            </w:r>
            <w:r>
              <w:rPr>
                <w:spacing w:val="-4"/>
                <w:sz w:val="22"/>
              </w:rPr>
              <w:t>only</w:t>
            </w:r>
          </w:p>
        </w:tc>
        <w:tc>
          <w:tcPr>
            <w:tcW w:w="808" w:type="dxa"/>
          </w:tcPr>
          <w:p>
            <w:pPr>
              <w:pStyle w:val="TableParagraph"/>
              <w:rPr>
                <w:sz w:val="22"/>
              </w:rPr>
            </w:pPr>
          </w:p>
        </w:tc>
        <w:tc>
          <w:tcPr>
            <w:tcW w:w="993" w:type="dxa"/>
          </w:tcPr>
          <w:p>
            <w:pPr>
              <w:pStyle w:val="TableParagraph"/>
              <w:rPr>
                <w:sz w:val="24"/>
              </w:rPr>
            </w:pPr>
          </w:p>
          <w:p>
            <w:pPr>
              <w:pStyle w:val="TableParagraph"/>
              <w:spacing w:before="166"/>
              <w:ind w:left="198" w:right="183"/>
              <w:jc w:val="center"/>
              <w:rPr>
                <w:sz w:val="22"/>
              </w:rPr>
            </w:pPr>
            <w:r>
              <w:rPr>
                <w:spacing w:val="-5"/>
                <w:sz w:val="22"/>
              </w:rPr>
              <w:t>N/A</w:t>
            </w:r>
          </w:p>
        </w:tc>
        <w:tc>
          <w:tcPr>
            <w:tcW w:w="1437" w:type="dxa"/>
          </w:tcPr>
          <w:p>
            <w:pPr>
              <w:pStyle w:val="TableParagraph"/>
              <w:rPr>
                <w:sz w:val="24"/>
              </w:rPr>
            </w:pPr>
          </w:p>
          <w:p>
            <w:pPr>
              <w:pStyle w:val="TableParagraph"/>
              <w:spacing w:before="166"/>
              <w:ind w:left="107" w:right="92"/>
              <w:jc w:val="center"/>
              <w:rPr>
                <w:sz w:val="22"/>
              </w:rPr>
            </w:pPr>
            <w:r>
              <w:rPr>
                <w:spacing w:val="-2"/>
                <w:sz w:val="22"/>
              </w:rPr>
              <w:t>$102,500,000</w:t>
            </w:r>
          </w:p>
        </w:tc>
        <w:tc>
          <w:tcPr>
            <w:tcW w:w="1442" w:type="dxa"/>
          </w:tcPr>
          <w:p>
            <w:pPr>
              <w:pStyle w:val="TableParagraph"/>
              <w:rPr>
                <w:sz w:val="24"/>
              </w:rPr>
            </w:pPr>
          </w:p>
          <w:p>
            <w:pPr>
              <w:pStyle w:val="TableParagraph"/>
              <w:spacing w:before="166"/>
              <w:ind w:left="110" w:right="94"/>
              <w:jc w:val="center"/>
              <w:rPr>
                <w:sz w:val="22"/>
              </w:rPr>
            </w:pPr>
            <w:r>
              <w:rPr>
                <w:spacing w:val="-2"/>
                <w:sz w:val="22"/>
              </w:rPr>
              <w:t>$410,000,000</w:t>
            </w:r>
          </w:p>
        </w:tc>
        <w:tc>
          <w:tcPr>
            <w:tcW w:w="1440" w:type="dxa"/>
          </w:tcPr>
          <w:p>
            <w:pPr>
              <w:pStyle w:val="TableParagraph"/>
              <w:rPr>
                <w:sz w:val="24"/>
              </w:rPr>
            </w:pPr>
          </w:p>
          <w:p>
            <w:pPr>
              <w:pStyle w:val="TableParagraph"/>
              <w:spacing w:before="166"/>
              <w:ind w:left="111" w:right="92"/>
              <w:jc w:val="center"/>
              <w:rPr>
                <w:sz w:val="22"/>
              </w:rPr>
            </w:pPr>
            <w:r>
              <w:rPr>
                <w:spacing w:val="-2"/>
                <w:sz w:val="22"/>
              </w:rPr>
              <w:t>$490,000,000</w:t>
            </w:r>
          </w:p>
        </w:tc>
        <w:tc>
          <w:tcPr>
            <w:tcW w:w="1531" w:type="dxa"/>
          </w:tcPr>
          <w:p>
            <w:pPr>
              <w:pStyle w:val="TableParagraph"/>
              <w:rPr>
                <w:sz w:val="24"/>
              </w:rPr>
            </w:pPr>
          </w:p>
          <w:p>
            <w:pPr>
              <w:pStyle w:val="TableParagraph"/>
              <w:spacing w:before="166"/>
              <w:ind w:right="142"/>
              <w:jc w:val="right"/>
              <w:rPr>
                <w:sz w:val="22"/>
              </w:rPr>
            </w:pPr>
            <w:r>
              <w:rPr>
                <w:spacing w:val="-2"/>
                <w:sz w:val="22"/>
              </w:rPr>
              <w:t>$490,000,000</w:t>
            </w:r>
          </w:p>
        </w:tc>
        <w:tc>
          <w:tcPr>
            <w:tcW w:w="1440" w:type="dxa"/>
          </w:tcPr>
          <w:p>
            <w:pPr>
              <w:pStyle w:val="TableParagraph"/>
              <w:rPr>
                <w:sz w:val="24"/>
              </w:rPr>
            </w:pPr>
          </w:p>
          <w:p>
            <w:pPr>
              <w:pStyle w:val="TableParagraph"/>
              <w:spacing w:before="166"/>
              <w:ind w:left="111" w:right="92"/>
              <w:jc w:val="center"/>
              <w:rPr>
                <w:sz w:val="22"/>
              </w:rPr>
            </w:pPr>
            <w:r>
              <w:rPr>
                <w:spacing w:val="-2"/>
                <w:sz w:val="22"/>
              </w:rPr>
              <w:t>$490,000,000</w:t>
            </w:r>
          </w:p>
        </w:tc>
        <w:tc>
          <w:tcPr>
            <w:tcW w:w="1440" w:type="dxa"/>
          </w:tcPr>
          <w:p>
            <w:pPr>
              <w:pStyle w:val="TableParagraph"/>
              <w:rPr>
                <w:sz w:val="24"/>
              </w:rPr>
            </w:pPr>
          </w:p>
          <w:p>
            <w:pPr>
              <w:pStyle w:val="TableParagraph"/>
              <w:spacing w:before="166"/>
              <w:ind w:left="110" w:right="92"/>
              <w:jc w:val="center"/>
              <w:rPr>
                <w:sz w:val="22"/>
              </w:rPr>
            </w:pPr>
            <w:r>
              <w:rPr>
                <w:spacing w:val="-2"/>
                <w:sz w:val="22"/>
              </w:rPr>
              <w:t>$490,000,000</w:t>
            </w:r>
          </w:p>
        </w:tc>
      </w:tr>
      <w:tr>
        <w:trPr>
          <w:trHeight w:val="997" w:hRule="atLeast"/>
        </w:trPr>
        <w:tc>
          <w:tcPr>
            <w:tcW w:w="1634" w:type="dxa"/>
          </w:tcPr>
          <w:p>
            <w:pPr>
              <w:pStyle w:val="TableParagraph"/>
              <w:spacing w:before="1"/>
              <w:rPr>
                <w:sz w:val="21"/>
              </w:rPr>
            </w:pPr>
          </w:p>
          <w:p>
            <w:pPr>
              <w:pStyle w:val="TableParagraph"/>
              <w:ind w:left="419" w:hanging="82"/>
              <w:rPr>
                <w:sz w:val="22"/>
              </w:rPr>
            </w:pPr>
            <w:r>
              <w:rPr>
                <w:spacing w:val="-2"/>
                <w:sz w:val="22"/>
              </w:rPr>
              <w:t>Workforce Initiative</w:t>
            </w:r>
          </w:p>
        </w:tc>
        <w:tc>
          <w:tcPr>
            <w:tcW w:w="784" w:type="dxa"/>
          </w:tcPr>
          <w:p>
            <w:pPr>
              <w:pStyle w:val="TableParagraph"/>
              <w:spacing w:before="2"/>
              <w:rPr>
                <w:sz w:val="32"/>
              </w:rPr>
            </w:pPr>
          </w:p>
          <w:p>
            <w:pPr>
              <w:pStyle w:val="TableParagraph"/>
              <w:ind w:right="188"/>
              <w:jc w:val="right"/>
              <w:rPr>
                <w:sz w:val="22"/>
              </w:rPr>
            </w:pPr>
            <w:r>
              <w:rPr>
                <w:spacing w:val="-5"/>
                <w:sz w:val="22"/>
              </w:rPr>
              <w:t>Agg</w:t>
            </w:r>
          </w:p>
        </w:tc>
        <w:tc>
          <w:tcPr>
            <w:tcW w:w="1442" w:type="dxa"/>
          </w:tcPr>
          <w:p>
            <w:pPr>
              <w:pStyle w:val="TableParagraph"/>
              <w:spacing w:before="2"/>
              <w:rPr>
                <w:sz w:val="32"/>
              </w:rPr>
            </w:pPr>
          </w:p>
          <w:p>
            <w:pPr>
              <w:pStyle w:val="TableParagraph"/>
              <w:ind w:left="127" w:right="113"/>
              <w:jc w:val="center"/>
              <w:rPr>
                <w:sz w:val="22"/>
              </w:rPr>
            </w:pPr>
            <w:r>
              <w:rPr>
                <w:sz w:val="22"/>
              </w:rPr>
              <w:t>WW</w:t>
            </w:r>
            <w:r>
              <w:rPr>
                <w:spacing w:val="-2"/>
                <w:sz w:val="22"/>
              </w:rPr>
              <w:t> </w:t>
            </w:r>
            <w:r>
              <w:rPr>
                <w:spacing w:val="-4"/>
                <w:sz w:val="22"/>
              </w:rPr>
              <w:t>only</w:t>
            </w:r>
          </w:p>
        </w:tc>
        <w:tc>
          <w:tcPr>
            <w:tcW w:w="808" w:type="dxa"/>
          </w:tcPr>
          <w:p>
            <w:pPr>
              <w:pStyle w:val="TableParagraph"/>
              <w:rPr>
                <w:sz w:val="22"/>
              </w:rPr>
            </w:pPr>
          </w:p>
        </w:tc>
        <w:tc>
          <w:tcPr>
            <w:tcW w:w="993" w:type="dxa"/>
          </w:tcPr>
          <w:p>
            <w:pPr>
              <w:pStyle w:val="TableParagraph"/>
              <w:spacing w:before="2"/>
              <w:rPr>
                <w:sz w:val="32"/>
              </w:rPr>
            </w:pPr>
          </w:p>
          <w:p>
            <w:pPr>
              <w:pStyle w:val="TableParagraph"/>
              <w:ind w:left="198" w:right="183"/>
              <w:jc w:val="center"/>
              <w:rPr>
                <w:sz w:val="22"/>
              </w:rPr>
            </w:pPr>
            <w:r>
              <w:rPr>
                <w:spacing w:val="-5"/>
                <w:sz w:val="22"/>
              </w:rPr>
              <w:t>N/A</w:t>
            </w:r>
          </w:p>
        </w:tc>
        <w:tc>
          <w:tcPr>
            <w:tcW w:w="1437" w:type="dxa"/>
          </w:tcPr>
          <w:p>
            <w:pPr>
              <w:pStyle w:val="TableParagraph"/>
              <w:spacing w:before="2"/>
              <w:rPr>
                <w:sz w:val="32"/>
              </w:rPr>
            </w:pPr>
          </w:p>
          <w:p>
            <w:pPr>
              <w:pStyle w:val="TableParagraph"/>
              <w:ind w:left="15"/>
              <w:jc w:val="center"/>
              <w:rPr>
                <w:sz w:val="22"/>
              </w:rPr>
            </w:pPr>
            <w:r>
              <w:rPr>
                <w:w w:val="100"/>
                <w:sz w:val="22"/>
              </w:rPr>
              <w:t>-</w:t>
            </w:r>
          </w:p>
        </w:tc>
        <w:tc>
          <w:tcPr>
            <w:tcW w:w="1442" w:type="dxa"/>
          </w:tcPr>
          <w:p>
            <w:pPr>
              <w:pStyle w:val="TableParagraph"/>
              <w:spacing w:before="2"/>
              <w:rPr>
                <w:sz w:val="32"/>
              </w:rPr>
            </w:pPr>
          </w:p>
          <w:p>
            <w:pPr>
              <w:pStyle w:val="TableParagraph"/>
              <w:ind w:left="128" w:right="109"/>
              <w:jc w:val="center"/>
              <w:rPr>
                <w:sz w:val="22"/>
              </w:rPr>
            </w:pPr>
            <w:r>
              <w:rPr>
                <w:spacing w:val="-2"/>
                <w:sz w:val="22"/>
              </w:rPr>
              <w:t>$6,010,000</w:t>
            </w:r>
          </w:p>
        </w:tc>
        <w:tc>
          <w:tcPr>
            <w:tcW w:w="1440" w:type="dxa"/>
          </w:tcPr>
          <w:p>
            <w:pPr>
              <w:pStyle w:val="TableParagraph"/>
              <w:spacing w:before="2"/>
              <w:rPr>
                <w:sz w:val="32"/>
              </w:rPr>
            </w:pPr>
          </w:p>
          <w:p>
            <w:pPr>
              <w:pStyle w:val="TableParagraph"/>
              <w:ind w:left="111" w:right="92"/>
              <w:jc w:val="center"/>
              <w:rPr>
                <w:sz w:val="22"/>
              </w:rPr>
            </w:pPr>
            <w:r>
              <w:rPr>
                <w:spacing w:val="-2"/>
                <w:sz w:val="22"/>
              </w:rPr>
              <w:t>$10,810,000</w:t>
            </w:r>
          </w:p>
        </w:tc>
        <w:tc>
          <w:tcPr>
            <w:tcW w:w="1531" w:type="dxa"/>
          </w:tcPr>
          <w:p>
            <w:pPr>
              <w:pStyle w:val="TableParagraph"/>
              <w:spacing w:before="2"/>
              <w:rPr>
                <w:sz w:val="32"/>
              </w:rPr>
            </w:pPr>
          </w:p>
          <w:p>
            <w:pPr>
              <w:pStyle w:val="TableParagraph"/>
              <w:ind w:right="197"/>
              <w:jc w:val="right"/>
              <w:rPr>
                <w:sz w:val="22"/>
              </w:rPr>
            </w:pPr>
            <w:r>
              <w:rPr>
                <w:spacing w:val="-2"/>
                <w:sz w:val="22"/>
              </w:rPr>
              <w:t>$10,810,000</w:t>
            </w:r>
          </w:p>
        </w:tc>
        <w:tc>
          <w:tcPr>
            <w:tcW w:w="1440" w:type="dxa"/>
          </w:tcPr>
          <w:p>
            <w:pPr>
              <w:pStyle w:val="TableParagraph"/>
              <w:spacing w:before="2"/>
              <w:rPr>
                <w:sz w:val="32"/>
              </w:rPr>
            </w:pPr>
          </w:p>
          <w:p>
            <w:pPr>
              <w:pStyle w:val="TableParagraph"/>
              <w:ind w:left="111" w:right="92"/>
              <w:jc w:val="center"/>
              <w:rPr>
                <w:sz w:val="22"/>
              </w:rPr>
            </w:pPr>
            <w:r>
              <w:rPr>
                <w:spacing w:val="-2"/>
                <w:sz w:val="22"/>
              </w:rPr>
              <w:t>$10,810,000</w:t>
            </w:r>
          </w:p>
        </w:tc>
        <w:tc>
          <w:tcPr>
            <w:tcW w:w="1440" w:type="dxa"/>
          </w:tcPr>
          <w:p>
            <w:pPr>
              <w:pStyle w:val="TableParagraph"/>
              <w:spacing w:before="2"/>
              <w:rPr>
                <w:sz w:val="32"/>
              </w:rPr>
            </w:pPr>
          </w:p>
          <w:p>
            <w:pPr>
              <w:pStyle w:val="TableParagraph"/>
              <w:ind w:left="109" w:right="92"/>
              <w:jc w:val="center"/>
              <w:rPr>
                <w:sz w:val="22"/>
              </w:rPr>
            </w:pPr>
            <w:r>
              <w:rPr>
                <w:spacing w:val="-2"/>
                <w:sz w:val="22"/>
              </w:rPr>
              <w:t>$4,800,000</w:t>
            </w:r>
          </w:p>
        </w:tc>
      </w:tr>
      <w:tr>
        <w:trPr>
          <w:trHeight w:val="997" w:hRule="atLeast"/>
        </w:trPr>
        <w:tc>
          <w:tcPr>
            <w:tcW w:w="1634" w:type="dxa"/>
          </w:tcPr>
          <w:p>
            <w:pPr>
              <w:pStyle w:val="TableParagraph"/>
              <w:spacing w:before="118"/>
              <w:ind w:left="167" w:right="155"/>
              <w:jc w:val="center"/>
              <w:rPr>
                <w:sz w:val="22"/>
              </w:rPr>
            </w:pPr>
            <w:r>
              <w:rPr>
                <w:spacing w:val="-2"/>
                <w:sz w:val="22"/>
              </w:rPr>
              <w:t>Flexible Services: Transportation</w:t>
            </w:r>
          </w:p>
        </w:tc>
        <w:tc>
          <w:tcPr>
            <w:tcW w:w="784" w:type="dxa"/>
          </w:tcPr>
          <w:p>
            <w:pPr>
              <w:pStyle w:val="TableParagraph"/>
              <w:spacing w:before="2"/>
              <w:rPr>
                <w:sz w:val="32"/>
              </w:rPr>
            </w:pPr>
          </w:p>
          <w:p>
            <w:pPr>
              <w:pStyle w:val="TableParagraph"/>
              <w:ind w:right="187"/>
              <w:jc w:val="right"/>
              <w:rPr>
                <w:sz w:val="22"/>
              </w:rPr>
            </w:pPr>
            <w:r>
              <w:rPr>
                <w:spacing w:val="-5"/>
                <w:sz w:val="22"/>
              </w:rPr>
              <w:t>N/A</w:t>
            </w:r>
          </w:p>
        </w:tc>
        <w:tc>
          <w:tcPr>
            <w:tcW w:w="1442" w:type="dxa"/>
          </w:tcPr>
          <w:p>
            <w:pPr>
              <w:pStyle w:val="TableParagraph"/>
              <w:spacing w:before="2"/>
              <w:rPr>
                <w:sz w:val="32"/>
              </w:rPr>
            </w:pPr>
          </w:p>
          <w:p>
            <w:pPr>
              <w:pStyle w:val="TableParagraph"/>
              <w:ind w:left="128" w:right="113"/>
              <w:jc w:val="center"/>
              <w:rPr>
                <w:sz w:val="22"/>
              </w:rPr>
            </w:pPr>
            <w:r>
              <w:rPr>
                <w:sz w:val="22"/>
              </w:rPr>
              <w:t>WW</w:t>
            </w:r>
            <w:r>
              <w:rPr>
                <w:spacing w:val="-2"/>
                <w:sz w:val="22"/>
              </w:rPr>
              <w:t> </w:t>
            </w:r>
            <w:r>
              <w:rPr>
                <w:spacing w:val="-4"/>
                <w:sz w:val="22"/>
              </w:rPr>
              <w:t>only</w:t>
            </w:r>
          </w:p>
        </w:tc>
        <w:tc>
          <w:tcPr>
            <w:tcW w:w="808" w:type="dxa"/>
          </w:tcPr>
          <w:p>
            <w:pPr>
              <w:pStyle w:val="TableParagraph"/>
              <w:rPr>
                <w:sz w:val="22"/>
              </w:rPr>
            </w:pPr>
          </w:p>
        </w:tc>
        <w:tc>
          <w:tcPr>
            <w:tcW w:w="993" w:type="dxa"/>
          </w:tcPr>
          <w:p>
            <w:pPr>
              <w:pStyle w:val="TableParagraph"/>
              <w:spacing w:before="2"/>
              <w:rPr>
                <w:sz w:val="32"/>
              </w:rPr>
            </w:pPr>
          </w:p>
          <w:p>
            <w:pPr>
              <w:pStyle w:val="TableParagraph"/>
              <w:ind w:left="198" w:right="183"/>
              <w:jc w:val="center"/>
              <w:rPr>
                <w:sz w:val="22"/>
              </w:rPr>
            </w:pPr>
            <w:r>
              <w:rPr>
                <w:spacing w:val="-5"/>
                <w:sz w:val="22"/>
              </w:rPr>
              <w:t>N/A</w:t>
            </w:r>
          </w:p>
        </w:tc>
        <w:tc>
          <w:tcPr>
            <w:tcW w:w="8730" w:type="dxa"/>
            <w:gridSpan w:val="6"/>
          </w:tcPr>
          <w:p>
            <w:pPr>
              <w:pStyle w:val="TableParagraph"/>
              <w:spacing w:before="2"/>
              <w:rPr>
                <w:sz w:val="32"/>
              </w:rPr>
            </w:pPr>
          </w:p>
          <w:p>
            <w:pPr>
              <w:pStyle w:val="TableParagraph"/>
              <w:ind w:left="1353" w:right="1336"/>
              <w:jc w:val="center"/>
              <w:rPr>
                <w:sz w:val="22"/>
              </w:rPr>
            </w:pPr>
            <w:r>
              <w:rPr>
                <w:sz w:val="22"/>
              </w:rPr>
              <w:t>The</w:t>
            </w:r>
            <w:r>
              <w:rPr>
                <w:spacing w:val="-6"/>
                <w:sz w:val="22"/>
              </w:rPr>
              <w:t> </w:t>
            </w:r>
            <w:r>
              <w:rPr>
                <w:sz w:val="22"/>
              </w:rPr>
              <w:t>Commonwealth</w:t>
            </w:r>
            <w:r>
              <w:rPr>
                <w:spacing w:val="-3"/>
                <w:sz w:val="22"/>
              </w:rPr>
              <w:t> </w:t>
            </w:r>
            <w:r>
              <w:rPr>
                <w:sz w:val="22"/>
              </w:rPr>
              <w:t>must</w:t>
            </w:r>
            <w:r>
              <w:rPr>
                <w:spacing w:val="-2"/>
                <w:sz w:val="22"/>
              </w:rPr>
              <w:t> </w:t>
            </w:r>
            <w:r>
              <w:rPr>
                <w:sz w:val="22"/>
              </w:rPr>
              <w:t>have</w:t>
            </w:r>
            <w:r>
              <w:rPr>
                <w:spacing w:val="-3"/>
                <w:sz w:val="22"/>
              </w:rPr>
              <w:t> </w:t>
            </w:r>
            <w:r>
              <w:rPr>
                <w:sz w:val="22"/>
              </w:rPr>
              <w:t>savings</w:t>
            </w:r>
            <w:r>
              <w:rPr>
                <w:spacing w:val="-3"/>
                <w:sz w:val="22"/>
              </w:rPr>
              <w:t> </w:t>
            </w:r>
            <w:r>
              <w:rPr>
                <w:sz w:val="22"/>
              </w:rPr>
              <w:t>to</w:t>
            </w:r>
            <w:r>
              <w:rPr>
                <w:spacing w:val="-3"/>
                <w:sz w:val="22"/>
              </w:rPr>
              <w:t> </w:t>
            </w:r>
            <w:r>
              <w:rPr>
                <w:sz w:val="22"/>
              </w:rPr>
              <w:t>offset</w:t>
            </w:r>
            <w:r>
              <w:rPr>
                <w:spacing w:val="-5"/>
                <w:sz w:val="22"/>
              </w:rPr>
              <w:t> </w:t>
            </w:r>
            <w:r>
              <w:rPr>
                <w:sz w:val="22"/>
              </w:rPr>
              <w:t>these</w:t>
            </w:r>
            <w:r>
              <w:rPr>
                <w:spacing w:val="-5"/>
                <w:sz w:val="22"/>
              </w:rPr>
              <w:t> </w:t>
            </w:r>
            <w:r>
              <w:rPr>
                <w:spacing w:val="-2"/>
                <w:sz w:val="22"/>
              </w:rPr>
              <w:t>expenditures.</w:t>
            </w:r>
          </w:p>
        </w:tc>
      </w:tr>
      <w:tr>
        <w:trPr>
          <w:trHeight w:val="1142" w:hRule="atLeast"/>
        </w:trPr>
        <w:tc>
          <w:tcPr>
            <w:tcW w:w="1634" w:type="dxa"/>
          </w:tcPr>
          <w:p>
            <w:pPr>
              <w:pStyle w:val="TableParagraph"/>
              <w:ind w:left="412" w:right="401" w:firstLine="43"/>
              <w:jc w:val="both"/>
              <w:rPr>
                <w:sz w:val="22"/>
              </w:rPr>
            </w:pPr>
            <w:r>
              <w:rPr>
                <w:spacing w:val="-2"/>
                <w:sz w:val="22"/>
              </w:rPr>
              <w:t>Flexible Services: Cooking Supplies</w:t>
            </w:r>
          </w:p>
        </w:tc>
        <w:tc>
          <w:tcPr>
            <w:tcW w:w="784" w:type="dxa"/>
          </w:tcPr>
          <w:p>
            <w:pPr>
              <w:pStyle w:val="TableParagraph"/>
              <w:spacing w:before="9"/>
              <w:rPr>
                <w:sz w:val="31"/>
              </w:rPr>
            </w:pPr>
          </w:p>
          <w:p>
            <w:pPr>
              <w:pStyle w:val="TableParagraph"/>
              <w:ind w:right="187"/>
              <w:jc w:val="right"/>
              <w:rPr>
                <w:sz w:val="22"/>
              </w:rPr>
            </w:pPr>
            <w:r>
              <w:rPr>
                <w:spacing w:val="-5"/>
                <w:sz w:val="22"/>
              </w:rPr>
              <w:t>N/A</w:t>
            </w:r>
          </w:p>
        </w:tc>
        <w:tc>
          <w:tcPr>
            <w:tcW w:w="1442" w:type="dxa"/>
          </w:tcPr>
          <w:p>
            <w:pPr>
              <w:pStyle w:val="TableParagraph"/>
              <w:spacing w:before="9"/>
              <w:rPr>
                <w:sz w:val="31"/>
              </w:rPr>
            </w:pPr>
          </w:p>
          <w:p>
            <w:pPr>
              <w:pStyle w:val="TableParagraph"/>
              <w:ind w:left="128" w:right="113"/>
              <w:jc w:val="center"/>
              <w:rPr>
                <w:sz w:val="22"/>
              </w:rPr>
            </w:pPr>
            <w:r>
              <w:rPr>
                <w:sz w:val="22"/>
              </w:rPr>
              <w:t>WW</w:t>
            </w:r>
            <w:r>
              <w:rPr>
                <w:spacing w:val="-2"/>
                <w:sz w:val="22"/>
              </w:rPr>
              <w:t> </w:t>
            </w:r>
            <w:r>
              <w:rPr>
                <w:spacing w:val="-4"/>
                <w:sz w:val="22"/>
              </w:rPr>
              <w:t>only</w:t>
            </w:r>
          </w:p>
        </w:tc>
        <w:tc>
          <w:tcPr>
            <w:tcW w:w="808" w:type="dxa"/>
          </w:tcPr>
          <w:p>
            <w:pPr>
              <w:pStyle w:val="TableParagraph"/>
              <w:rPr>
                <w:sz w:val="22"/>
              </w:rPr>
            </w:pPr>
          </w:p>
        </w:tc>
        <w:tc>
          <w:tcPr>
            <w:tcW w:w="993" w:type="dxa"/>
          </w:tcPr>
          <w:p>
            <w:pPr>
              <w:pStyle w:val="TableParagraph"/>
              <w:spacing w:before="9"/>
              <w:rPr>
                <w:sz w:val="31"/>
              </w:rPr>
            </w:pPr>
          </w:p>
          <w:p>
            <w:pPr>
              <w:pStyle w:val="TableParagraph"/>
              <w:ind w:left="198" w:right="183"/>
              <w:jc w:val="center"/>
              <w:rPr>
                <w:sz w:val="22"/>
              </w:rPr>
            </w:pPr>
            <w:r>
              <w:rPr>
                <w:spacing w:val="-5"/>
                <w:sz w:val="22"/>
              </w:rPr>
              <w:t>N/A</w:t>
            </w:r>
          </w:p>
        </w:tc>
        <w:tc>
          <w:tcPr>
            <w:tcW w:w="8730" w:type="dxa"/>
            <w:gridSpan w:val="6"/>
          </w:tcPr>
          <w:p>
            <w:pPr>
              <w:pStyle w:val="TableParagraph"/>
              <w:spacing w:before="9"/>
              <w:rPr>
                <w:sz w:val="31"/>
              </w:rPr>
            </w:pPr>
          </w:p>
          <w:p>
            <w:pPr>
              <w:pStyle w:val="TableParagraph"/>
              <w:ind w:left="1353" w:right="1336"/>
              <w:jc w:val="center"/>
              <w:rPr>
                <w:sz w:val="22"/>
              </w:rPr>
            </w:pPr>
            <w:r>
              <w:rPr>
                <w:sz w:val="22"/>
              </w:rPr>
              <w:t>The</w:t>
            </w:r>
            <w:r>
              <w:rPr>
                <w:spacing w:val="-6"/>
                <w:sz w:val="22"/>
              </w:rPr>
              <w:t> </w:t>
            </w:r>
            <w:r>
              <w:rPr>
                <w:sz w:val="22"/>
              </w:rPr>
              <w:t>Commonwealth</w:t>
            </w:r>
            <w:r>
              <w:rPr>
                <w:spacing w:val="-3"/>
                <w:sz w:val="22"/>
              </w:rPr>
              <w:t> </w:t>
            </w:r>
            <w:r>
              <w:rPr>
                <w:sz w:val="22"/>
              </w:rPr>
              <w:t>must</w:t>
            </w:r>
            <w:r>
              <w:rPr>
                <w:spacing w:val="-2"/>
                <w:sz w:val="22"/>
              </w:rPr>
              <w:t> </w:t>
            </w:r>
            <w:r>
              <w:rPr>
                <w:sz w:val="22"/>
              </w:rPr>
              <w:t>have</w:t>
            </w:r>
            <w:r>
              <w:rPr>
                <w:spacing w:val="-3"/>
                <w:sz w:val="22"/>
              </w:rPr>
              <w:t> </w:t>
            </w:r>
            <w:r>
              <w:rPr>
                <w:sz w:val="22"/>
              </w:rPr>
              <w:t>savings</w:t>
            </w:r>
            <w:r>
              <w:rPr>
                <w:spacing w:val="-3"/>
                <w:sz w:val="22"/>
              </w:rPr>
              <w:t> </w:t>
            </w:r>
            <w:r>
              <w:rPr>
                <w:sz w:val="22"/>
              </w:rPr>
              <w:t>to</w:t>
            </w:r>
            <w:r>
              <w:rPr>
                <w:spacing w:val="-3"/>
                <w:sz w:val="22"/>
              </w:rPr>
              <w:t> </w:t>
            </w:r>
            <w:r>
              <w:rPr>
                <w:sz w:val="22"/>
              </w:rPr>
              <w:t>offset</w:t>
            </w:r>
            <w:r>
              <w:rPr>
                <w:spacing w:val="-5"/>
                <w:sz w:val="22"/>
              </w:rPr>
              <w:t> </w:t>
            </w:r>
            <w:r>
              <w:rPr>
                <w:sz w:val="22"/>
              </w:rPr>
              <w:t>these</w:t>
            </w:r>
            <w:r>
              <w:rPr>
                <w:spacing w:val="-5"/>
                <w:sz w:val="22"/>
              </w:rPr>
              <w:t> </w:t>
            </w:r>
            <w:r>
              <w:rPr>
                <w:spacing w:val="-2"/>
                <w:sz w:val="22"/>
              </w:rPr>
              <w:t>expenditures.</w:t>
            </w:r>
          </w:p>
        </w:tc>
      </w:tr>
      <w:tr>
        <w:trPr>
          <w:trHeight w:val="1142" w:hRule="atLeast"/>
        </w:trPr>
        <w:tc>
          <w:tcPr>
            <w:tcW w:w="1634" w:type="dxa"/>
          </w:tcPr>
          <w:p>
            <w:pPr>
              <w:pStyle w:val="TableParagraph"/>
              <w:spacing w:before="6"/>
              <w:rPr>
                <w:sz w:val="20"/>
              </w:rPr>
            </w:pPr>
          </w:p>
          <w:p>
            <w:pPr>
              <w:pStyle w:val="TableParagraph"/>
              <w:ind w:left="165" w:right="155"/>
              <w:jc w:val="center"/>
              <w:rPr>
                <w:sz w:val="22"/>
              </w:rPr>
            </w:pPr>
            <w:r>
              <w:rPr>
                <w:spacing w:val="-5"/>
                <w:sz w:val="22"/>
              </w:rPr>
              <w:t>DSH</w:t>
            </w:r>
          </w:p>
          <w:p>
            <w:pPr>
              <w:pStyle w:val="TableParagraph"/>
              <w:spacing w:before="1"/>
              <w:ind w:left="167" w:right="155"/>
              <w:jc w:val="center"/>
              <w:rPr>
                <w:sz w:val="22"/>
              </w:rPr>
            </w:pPr>
            <w:r>
              <w:rPr>
                <w:spacing w:val="-2"/>
                <w:sz w:val="22"/>
              </w:rPr>
              <w:t>Diversion^</w:t>
            </w:r>
          </w:p>
        </w:tc>
        <w:tc>
          <w:tcPr>
            <w:tcW w:w="784" w:type="dxa"/>
          </w:tcPr>
          <w:p>
            <w:pPr>
              <w:pStyle w:val="TableParagraph"/>
              <w:spacing w:before="9"/>
              <w:rPr>
                <w:sz w:val="31"/>
              </w:rPr>
            </w:pPr>
          </w:p>
          <w:p>
            <w:pPr>
              <w:pStyle w:val="TableParagraph"/>
              <w:ind w:right="188"/>
              <w:jc w:val="right"/>
              <w:rPr>
                <w:sz w:val="22"/>
              </w:rPr>
            </w:pPr>
            <w:r>
              <w:rPr>
                <w:spacing w:val="-5"/>
                <w:sz w:val="22"/>
              </w:rPr>
              <w:t>Agg</w:t>
            </w:r>
          </w:p>
        </w:tc>
        <w:tc>
          <w:tcPr>
            <w:tcW w:w="1442" w:type="dxa"/>
          </w:tcPr>
          <w:p>
            <w:pPr>
              <w:pStyle w:val="TableParagraph"/>
              <w:spacing w:before="9"/>
              <w:rPr>
                <w:sz w:val="31"/>
              </w:rPr>
            </w:pPr>
          </w:p>
          <w:p>
            <w:pPr>
              <w:pStyle w:val="TableParagraph"/>
              <w:ind w:left="127" w:right="113"/>
              <w:jc w:val="center"/>
              <w:rPr>
                <w:sz w:val="22"/>
              </w:rPr>
            </w:pPr>
            <w:r>
              <w:rPr>
                <w:sz w:val="22"/>
              </w:rPr>
              <w:t>WOW</w:t>
            </w:r>
            <w:r>
              <w:rPr>
                <w:spacing w:val="-4"/>
                <w:sz w:val="22"/>
              </w:rPr>
              <w:t> only</w:t>
            </w:r>
          </w:p>
        </w:tc>
        <w:tc>
          <w:tcPr>
            <w:tcW w:w="808" w:type="dxa"/>
          </w:tcPr>
          <w:p>
            <w:pPr>
              <w:pStyle w:val="TableParagraph"/>
              <w:rPr>
                <w:sz w:val="22"/>
              </w:rPr>
            </w:pPr>
          </w:p>
        </w:tc>
        <w:tc>
          <w:tcPr>
            <w:tcW w:w="993" w:type="dxa"/>
          </w:tcPr>
          <w:p>
            <w:pPr>
              <w:pStyle w:val="TableParagraph"/>
              <w:spacing w:before="9"/>
              <w:rPr>
                <w:sz w:val="31"/>
              </w:rPr>
            </w:pPr>
          </w:p>
          <w:p>
            <w:pPr>
              <w:pStyle w:val="TableParagraph"/>
              <w:ind w:left="198" w:right="182"/>
              <w:jc w:val="center"/>
              <w:rPr>
                <w:sz w:val="22"/>
              </w:rPr>
            </w:pPr>
            <w:r>
              <w:rPr>
                <w:spacing w:val="-5"/>
                <w:sz w:val="22"/>
              </w:rPr>
              <w:t>N/A</w:t>
            </w:r>
          </w:p>
        </w:tc>
        <w:tc>
          <w:tcPr>
            <w:tcW w:w="1437" w:type="dxa"/>
          </w:tcPr>
          <w:p>
            <w:pPr>
              <w:pStyle w:val="TableParagraph"/>
              <w:spacing w:before="9"/>
              <w:rPr>
                <w:sz w:val="31"/>
              </w:rPr>
            </w:pPr>
          </w:p>
          <w:p>
            <w:pPr>
              <w:pStyle w:val="TableParagraph"/>
              <w:ind w:left="108" w:right="92"/>
              <w:jc w:val="center"/>
              <w:rPr>
                <w:sz w:val="22"/>
              </w:rPr>
            </w:pPr>
            <w:r>
              <w:rPr>
                <w:spacing w:val="-2"/>
                <w:sz w:val="22"/>
              </w:rPr>
              <w:t>$186,963,000</w:t>
            </w:r>
          </w:p>
        </w:tc>
        <w:tc>
          <w:tcPr>
            <w:tcW w:w="1442" w:type="dxa"/>
          </w:tcPr>
          <w:p>
            <w:pPr>
              <w:pStyle w:val="TableParagraph"/>
              <w:spacing w:before="9"/>
              <w:rPr>
                <w:sz w:val="31"/>
              </w:rPr>
            </w:pPr>
          </w:p>
          <w:p>
            <w:pPr>
              <w:pStyle w:val="TableParagraph"/>
              <w:ind w:left="111" w:right="94"/>
              <w:jc w:val="center"/>
              <w:rPr>
                <w:sz w:val="22"/>
              </w:rPr>
            </w:pPr>
            <w:r>
              <w:rPr>
                <w:spacing w:val="-2"/>
                <w:sz w:val="22"/>
              </w:rPr>
              <w:t>$750,656,445</w:t>
            </w:r>
          </w:p>
        </w:tc>
        <w:tc>
          <w:tcPr>
            <w:tcW w:w="1440" w:type="dxa"/>
          </w:tcPr>
          <w:p>
            <w:pPr>
              <w:pStyle w:val="TableParagraph"/>
              <w:spacing w:before="9"/>
              <w:rPr>
                <w:sz w:val="31"/>
              </w:rPr>
            </w:pPr>
          </w:p>
          <w:p>
            <w:pPr>
              <w:pStyle w:val="TableParagraph"/>
              <w:ind w:left="111" w:right="92"/>
              <w:jc w:val="center"/>
              <w:rPr>
                <w:sz w:val="22"/>
              </w:rPr>
            </w:pPr>
            <w:r>
              <w:rPr>
                <w:spacing w:val="-2"/>
                <w:sz w:val="22"/>
              </w:rPr>
              <w:t>$761,916,292</w:t>
            </w:r>
          </w:p>
        </w:tc>
        <w:tc>
          <w:tcPr>
            <w:tcW w:w="1531" w:type="dxa"/>
          </w:tcPr>
          <w:p>
            <w:pPr>
              <w:pStyle w:val="TableParagraph"/>
              <w:spacing w:before="9"/>
              <w:rPr>
                <w:sz w:val="31"/>
              </w:rPr>
            </w:pPr>
          </w:p>
          <w:p>
            <w:pPr>
              <w:pStyle w:val="TableParagraph"/>
              <w:ind w:right="142"/>
              <w:jc w:val="right"/>
              <w:rPr>
                <w:sz w:val="22"/>
              </w:rPr>
            </w:pPr>
            <w:r>
              <w:rPr>
                <w:spacing w:val="-2"/>
                <w:sz w:val="22"/>
              </w:rPr>
              <w:t>$773,345,036</w:t>
            </w:r>
          </w:p>
        </w:tc>
        <w:tc>
          <w:tcPr>
            <w:tcW w:w="1440" w:type="dxa"/>
          </w:tcPr>
          <w:p>
            <w:pPr>
              <w:pStyle w:val="TableParagraph"/>
              <w:spacing w:before="9"/>
              <w:rPr>
                <w:sz w:val="31"/>
              </w:rPr>
            </w:pPr>
          </w:p>
          <w:p>
            <w:pPr>
              <w:pStyle w:val="TableParagraph"/>
              <w:ind w:left="111" w:right="92"/>
              <w:jc w:val="center"/>
              <w:rPr>
                <w:sz w:val="22"/>
              </w:rPr>
            </w:pPr>
            <w:r>
              <w:rPr>
                <w:spacing w:val="-2"/>
                <w:sz w:val="22"/>
              </w:rPr>
              <w:t>$784,945,212</w:t>
            </w:r>
          </w:p>
        </w:tc>
        <w:tc>
          <w:tcPr>
            <w:tcW w:w="1440" w:type="dxa"/>
          </w:tcPr>
          <w:p>
            <w:pPr>
              <w:pStyle w:val="TableParagraph"/>
              <w:spacing w:before="9"/>
              <w:rPr>
                <w:sz w:val="31"/>
              </w:rPr>
            </w:pPr>
          </w:p>
          <w:p>
            <w:pPr>
              <w:pStyle w:val="TableParagraph"/>
              <w:ind w:left="111" w:right="92"/>
              <w:jc w:val="center"/>
              <w:rPr>
                <w:sz w:val="22"/>
              </w:rPr>
            </w:pPr>
            <w:r>
              <w:rPr>
                <w:spacing w:val="-2"/>
                <w:sz w:val="22"/>
              </w:rPr>
              <w:t>$796,719,390</w:t>
            </w:r>
          </w:p>
        </w:tc>
      </w:tr>
    </w:tbl>
    <w:p>
      <w:pPr>
        <w:pStyle w:val="BodyText"/>
        <w:spacing w:before="3"/>
        <w:ind w:left="840"/>
      </w:pPr>
      <w:r>
        <w:rPr/>
        <w:t>*PC</w:t>
      </w:r>
      <w:r>
        <w:rPr>
          <w:spacing w:val="-1"/>
        </w:rPr>
        <w:t> </w:t>
      </w:r>
      <w:r>
        <w:rPr/>
        <w:t>=</w:t>
      </w:r>
      <w:r>
        <w:rPr>
          <w:spacing w:val="-2"/>
        </w:rPr>
        <w:t> </w:t>
      </w:r>
      <w:r>
        <w:rPr/>
        <w:t>Per</w:t>
      </w:r>
      <w:r>
        <w:rPr>
          <w:spacing w:val="-2"/>
        </w:rPr>
        <w:t> </w:t>
      </w:r>
      <w:r>
        <w:rPr/>
        <w:t>Capita,</w:t>
      </w:r>
      <w:r>
        <w:rPr>
          <w:spacing w:val="-1"/>
        </w:rPr>
        <w:t> </w:t>
      </w:r>
      <w:r>
        <w:rPr/>
        <w:t>Agg</w:t>
      </w:r>
      <w:r>
        <w:rPr>
          <w:spacing w:val="-1"/>
        </w:rPr>
        <w:t> </w:t>
      </w:r>
      <w:r>
        <w:rPr/>
        <w:t>=</w:t>
      </w:r>
      <w:r>
        <w:rPr>
          <w:spacing w:val="1"/>
        </w:rPr>
        <w:t> </w:t>
      </w:r>
      <w:r>
        <w:rPr>
          <w:spacing w:val="-2"/>
        </w:rPr>
        <w:t>Aggregate</w:t>
      </w:r>
    </w:p>
    <w:p>
      <w:pPr>
        <w:pStyle w:val="BodyText"/>
        <w:ind w:left="840"/>
      </w:pPr>
      <w:r>
        <w:rPr/>
        <w:t>^The</w:t>
      </w:r>
      <w:r>
        <w:rPr>
          <w:spacing w:val="-4"/>
        </w:rPr>
        <w:t> </w:t>
      </w:r>
      <w:r>
        <w:rPr/>
        <w:t>annual</w:t>
      </w:r>
      <w:r>
        <w:rPr>
          <w:spacing w:val="-1"/>
        </w:rPr>
        <w:t> </w:t>
      </w:r>
      <w:r>
        <w:rPr/>
        <w:t>DSH</w:t>
      </w:r>
      <w:r>
        <w:rPr>
          <w:spacing w:val="-1"/>
        </w:rPr>
        <w:t> </w:t>
      </w:r>
      <w:r>
        <w:rPr/>
        <w:t>allotment</w:t>
      </w:r>
      <w:r>
        <w:rPr>
          <w:spacing w:val="-1"/>
        </w:rPr>
        <w:t> </w:t>
      </w:r>
      <w:r>
        <w:rPr/>
        <w:t>is set</w:t>
      </w:r>
      <w:r>
        <w:rPr>
          <w:spacing w:val="-1"/>
        </w:rPr>
        <w:t> </w:t>
      </w:r>
      <w:r>
        <w:rPr/>
        <w:t>by</w:t>
      </w:r>
      <w:r>
        <w:rPr>
          <w:spacing w:val="-5"/>
        </w:rPr>
        <w:t> </w:t>
      </w:r>
      <w:r>
        <w:rPr/>
        <w:t>federal</w:t>
      </w:r>
      <w:r>
        <w:rPr>
          <w:spacing w:val="-1"/>
        </w:rPr>
        <w:t> </w:t>
      </w:r>
      <w:r>
        <w:rPr/>
        <w:t>regulation.</w:t>
      </w:r>
      <w:r>
        <w:rPr>
          <w:spacing w:val="59"/>
        </w:rPr>
        <w:t> </w:t>
      </w:r>
      <w:r>
        <w:rPr/>
        <w:t>The</w:t>
      </w:r>
      <w:r>
        <w:rPr>
          <w:spacing w:val="-1"/>
        </w:rPr>
        <w:t> </w:t>
      </w:r>
      <w:r>
        <w:rPr/>
        <w:t>figures</w:t>
      </w:r>
      <w:r>
        <w:rPr>
          <w:spacing w:val="-1"/>
        </w:rPr>
        <w:t> </w:t>
      </w:r>
      <w:r>
        <w:rPr/>
        <w:t>in this</w:t>
      </w:r>
      <w:r>
        <w:rPr>
          <w:spacing w:val="-1"/>
        </w:rPr>
        <w:t> </w:t>
      </w:r>
      <w:r>
        <w:rPr/>
        <w:t>table</w:t>
      </w:r>
      <w:r>
        <w:rPr>
          <w:spacing w:val="-1"/>
        </w:rPr>
        <w:t> </w:t>
      </w:r>
      <w:r>
        <w:rPr/>
        <w:t>are</w:t>
      </w:r>
      <w:r>
        <w:rPr>
          <w:spacing w:val="-2"/>
        </w:rPr>
        <w:t> </w:t>
      </w:r>
      <w:r>
        <w:rPr/>
        <w:t>only</w:t>
      </w:r>
      <w:r>
        <w:rPr>
          <w:spacing w:val="-3"/>
        </w:rPr>
        <w:t> </w:t>
      </w:r>
      <w:r>
        <w:rPr>
          <w:spacing w:val="-2"/>
        </w:rPr>
        <w:t>estimates.</w:t>
      </w:r>
    </w:p>
    <w:p>
      <w:pPr>
        <w:spacing w:after="0"/>
        <w:sectPr>
          <w:pgSz w:w="15840" w:h="12240" w:orient="landscape"/>
          <w:pgMar w:header="0" w:footer="1201" w:top="1380" w:bottom="1400" w:left="600" w:right="600"/>
        </w:sectPr>
      </w:pPr>
    </w:p>
    <w:p>
      <w:pPr>
        <w:pStyle w:val="BodyText"/>
        <w:spacing w:before="78"/>
        <w:ind w:left="1471" w:right="891"/>
      </w:pPr>
      <w:r>
        <w:rPr/>
        <w:drawing>
          <wp:anchor distT="0" distB="0" distL="0" distR="0" allowOverlap="1" layoutInCell="1" locked="0" behindDoc="0" simplePos="0" relativeHeight="16111104">
            <wp:simplePos x="0" y="0"/>
            <wp:positionH relativeFrom="page">
              <wp:posOffset>908303</wp:posOffset>
            </wp:positionH>
            <wp:positionV relativeFrom="paragraph">
              <wp:posOffset>85142</wp:posOffset>
            </wp:positionV>
            <wp:extent cx="283463" cy="112762"/>
            <wp:effectExtent l="0" t="0" r="0" b="0"/>
            <wp:wrapNone/>
            <wp:docPr id="771" name="Image 771"/>
            <wp:cNvGraphicFramePr>
              <a:graphicFrameLocks/>
            </wp:cNvGraphicFramePr>
            <a:graphic>
              <a:graphicData uri="http://schemas.openxmlformats.org/drawingml/2006/picture">
                <pic:pic>
                  <pic:nvPicPr>
                    <pic:cNvPr id="771" name="Image 771"/>
                    <pic:cNvPicPr/>
                  </pic:nvPicPr>
                  <pic:blipFill>
                    <a:blip r:embed="rId299" cstate="print"/>
                    <a:stretch>
                      <a:fillRect/>
                    </a:stretch>
                  </pic:blipFill>
                  <pic:spPr>
                    <a:xfrm>
                      <a:off x="0" y="0"/>
                      <a:ext cx="283463" cy="112762"/>
                    </a:xfrm>
                    <a:prstGeom prst="rect">
                      <a:avLst/>
                    </a:prstGeom>
                  </pic:spPr>
                </pic:pic>
              </a:graphicData>
            </a:graphic>
          </wp:anchor>
        </w:drawing>
      </w:r>
      <w:bookmarkStart w:name="19.5. Hypothetical Budget Neutrality.  W" w:id="1075"/>
      <w:bookmarkEnd w:id="1075"/>
      <w:r>
        <w:rPr/>
      </w:r>
      <w:r>
        <w:rPr>
          <w:b/>
        </w:rPr>
        <w:t>Hypothetical Budget Neutrality.</w:t>
      </w:r>
      <w:r>
        <w:rPr>
          <w:b/>
          <w:spacing w:val="40"/>
        </w:rPr>
        <w:t> </w:t>
      </w:r>
      <w:r>
        <w:rPr/>
        <w:t>When expenditure authority is provided for coverage of populations or services that the state could have otherwise provided through its Medicaid state plan or other title XIX authority (such as a waiver under section 1915 of the Act), or when a WOW spending baseline for certain WW expenditures is difficult to estimate due to variable and volatile cost data resulting in anomalous trend rates, CMS considers</w:t>
      </w:r>
      <w:r>
        <w:rPr>
          <w:spacing w:val="-4"/>
        </w:rPr>
        <w:t> </w:t>
      </w:r>
      <w:r>
        <w:rPr/>
        <w:t>these</w:t>
      </w:r>
      <w:r>
        <w:rPr>
          <w:spacing w:val="-3"/>
        </w:rPr>
        <w:t> </w:t>
      </w:r>
      <w:r>
        <w:rPr/>
        <w:t>expenditures</w:t>
      </w:r>
      <w:r>
        <w:rPr>
          <w:spacing w:val="-4"/>
        </w:rPr>
        <w:t> </w:t>
      </w:r>
      <w:r>
        <w:rPr/>
        <w:t>to</w:t>
      </w:r>
      <w:r>
        <w:rPr>
          <w:spacing w:val="-4"/>
        </w:rPr>
        <w:t> </w:t>
      </w:r>
      <w:r>
        <w:rPr/>
        <w:t>be</w:t>
      </w:r>
      <w:r>
        <w:rPr>
          <w:spacing w:val="-5"/>
        </w:rPr>
        <w:t> </w:t>
      </w:r>
      <w:r>
        <w:rPr/>
        <w:t>“hypothetical,”</w:t>
      </w:r>
      <w:r>
        <w:rPr>
          <w:spacing w:val="-3"/>
        </w:rPr>
        <w:t> </w:t>
      </w:r>
      <w:r>
        <w:rPr/>
        <w:t>such</w:t>
      </w:r>
      <w:r>
        <w:rPr>
          <w:spacing w:val="-4"/>
        </w:rPr>
        <w:t> </w:t>
      </w:r>
      <w:r>
        <w:rPr/>
        <w:t>that</w:t>
      </w:r>
      <w:r>
        <w:rPr>
          <w:spacing w:val="-4"/>
        </w:rPr>
        <w:t> </w:t>
      </w:r>
      <w:r>
        <w:rPr/>
        <w:t>the</w:t>
      </w:r>
      <w:r>
        <w:rPr>
          <w:spacing w:val="-5"/>
        </w:rPr>
        <w:t> </w:t>
      </w:r>
      <w:r>
        <w:rPr/>
        <w:t>expenditures</w:t>
      </w:r>
      <w:r>
        <w:rPr>
          <w:spacing w:val="-4"/>
        </w:rPr>
        <w:t> </w:t>
      </w:r>
      <w:r>
        <w:rPr/>
        <w:t>are</w:t>
      </w:r>
      <w:r>
        <w:rPr>
          <w:spacing w:val="-5"/>
        </w:rPr>
        <w:t> </w:t>
      </w:r>
      <w:r>
        <w:rPr/>
        <w:t>treated</w:t>
      </w:r>
      <w:r>
        <w:rPr>
          <w:spacing w:val="-2"/>
        </w:rPr>
        <w:t> </w:t>
      </w:r>
      <w:r>
        <w:rPr/>
        <w:t>as if the state could have received FFP for them absent the demonstration.</w:t>
      </w:r>
      <w:r>
        <w:rPr>
          <w:spacing w:val="40"/>
        </w:rPr>
        <w:t> </w:t>
      </w:r>
      <w:r>
        <w:rPr/>
        <w:t>For these hypothetical expenditures, CMS makes adjustments to the budget neutrality test which effectively treats these expenditures as if they were for approved Medicaid state plan services.</w:t>
      </w:r>
      <w:r>
        <w:rPr>
          <w:spacing w:val="40"/>
        </w:rPr>
        <w:t> </w:t>
      </w:r>
      <w:r>
        <w:rPr/>
        <w:t>Hypothetical expenditures, therefore, do not necessitate savings to offset the expenditures on those services.</w:t>
      </w:r>
      <w:r>
        <w:rPr>
          <w:spacing w:val="40"/>
        </w:rPr>
        <w:t> </w:t>
      </w:r>
      <w:r>
        <w:rPr/>
        <w:t>When evaluating budget neutrality, however, CMS does not offset non-hypothetical expenditures with projected or accrued savings from hypothetical expenditures; that is, savings are not generated from a hypothetical population or service.</w:t>
      </w:r>
      <w:r>
        <w:rPr>
          <w:spacing w:val="40"/>
        </w:rPr>
        <w:t> </w:t>
      </w:r>
      <w:r>
        <w:rPr/>
        <w:t>To allow for hypothetical expenditures, while preventing them</w:t>
      </w:r>
      <w:r>
        <w:rPr>
          <w:spacing w:val="40"/>
        </w:rPr>
        <w:t> </w:t>
      </w:r>
      <w:r>
        <w:rPr/>
        <w:t>from resulting in savings, CMS currently applies separate, independent Hypothetical Budget</w:t>
      </w:r>
      <w:r>
        <w:rPr>
          <w:spacing w:val="-1"/>
        </w:rPr>
        <w:t> </w:t>
      </w:r>
      <w:r>
        <w:rPr/>
        <w:t>Neutrality</w:t>
      </w:r>
      <w:r>
        <w:rPr>
          <w:spacing w:val="-6"/>
        </w:rPr>
        <w:t> </w:t>
      </w:r>
      <w:r>
        <w:rPr/>
        <w:t>Tests,</w:t>
      </w:r>
      <w:r>
        <w:rPr>
          <w:spacing w:val="-1"/>
        </w:rPr>
        <w:t> </w:t>
      </w:r>
      <w:r>
        <w:rPr/>
        <w:t>which</w:t>
      </w:r>
      <w:r>
        <w:rPr>
          <w:spacing w:val="-1"/>
        </w:rPr>
        <w:t> </w:t>
      </w:r>
      <w:r>
        <w:rPr/>
        <w:t>subject</w:t>
      </w:r>
      <w:r>
        <w:rPr>
          <w:spacing w:val="-1"/>
        </w:rPr>
        <w:t> </w:t>
      </w:r>
      <w:r>
        <w:rPr/>
        <w:t>hypothetical</w:t>
      </w:r>
      <w:r>
        <w:rPr>
          <w:spacing w:val="-1"/>
        </w:rPr>
        <w:t> </w:t>
      </w:r>
      <w:r>
        <w:rPr/>
        <w:t>expenditures</w:t>
      </w:r>
      <w:r>
        <w:rPr>
          <w:spacing w:val="-1"/>
        </w:rPr>
        <w:t> </w:t>
      </w:r>
      <w:r>
        <w:rPr/>
        <w:t>to</w:t>
      </w:r>
      <w:r>
        <w:rPr>
          <w:spacing w:val="-1"/>
        </w:rPr>
        <w:t> </w:t>
      </w:r>
      <w:r>
        <w:rPr/>
        <w:t>pre-determined</w:t>
      </w:r>
      <w:r>
        <w:rPr>
          <w:spacing w:val="-1"/>
        </w:rPr>
        <w:t> </w:t>
      </w:r>
      <w:r>
        <w:rPr/>
        <w:t>limits to which the</w:t>
      </w:r>
      <w:r>
        <w:rPr>
          <w:spacing w:val="-1"/>
        </w:rPr>
        <w:t> </w:t>
      </w:r>
      <w:r>
        <w:rPr/>
        <w:t>state</w:t>
      </w:r>
      <w:r>
        <w:rPr>
          <w:spacing w:val="-1"/>
        </w:rPr>
        <w:t> </w:t>
      </w:r>
      <w:r>
        <w:rPr/>
        <w:t>and CMS agree, and that CMS approves, as a</w:t>
      </w:r>
      <w:r>
        <w:rPr>
          <w:spacing w:val="-1"/>
        </w:rPr>
        <w:t> </w:t>
      </w:r>
      <w:r>
        <w:rPr/>
        <w:t>part of</w:t>
      </w:r>
      <w:r>
        <w:rPr>
          <w:spacing w:val="-1"/>
        </w:rPr>
        <w:t> </w:t>
      </w:r>
      <w:r>
        <w:rPr/>
        <w:t>this demonstration approval.</w:t>
      </w:r>
      <w:r>
        <w:rPr>
          <w:spacing w:val="40"/>
        </w:rPr>
        <w:t> </w:t>
      </w:r>
      <w:r>
        <w:rPr/>
        <w:t>If the state’s WW hypothetical spending exceeds the Hypothetical Budget Neutrality Test’s expenditure limit, the state agrees (as a condition of CMS approval) to offset that excess spending through savings elsewhere in the demonstration or to refund the FFP to CMS.</w:t>
      </w:r>
    </w:p>
    <w:p>
      <w:pPr>
        <w:pStyle w:val="BodyText"/>
        <w:spacing w:before="10"/>
        <w:rPr>
          <w:sz w:val="20"/>
        </w:rPr>
      </w:pPr>
    </w:p>
    <w:p>
      <w:pPr>
        <w:pStyle w:val="BodyText"/>
        <w:spacing w:before="1"/>
        <w:ind w:left="1471" w:right="918"/>
      </w:pPr>
      <w:r>
        <w:rPr/>
        <w:drawing>
          <wp:anchor distT="0" distB="0" distL="0" distR="0" allowOverlap="1" layoutInCell="1" locked="0" behindDoc="0" simplePos="0" relativeHeight="16111616">
            <wp:simplePos x="0" y="0"/>
            <wp:positionH relativeFrom="page">
              <wp:posOffset>908303</wp:posOffset>
            </wp:positionH>
            <wp:positionV relativeFrom="paragraph">
              <wp:posOffset>36234</wp:posOffset>
            </wp:positionV>
            <wp:extent cx="283463" cy="112775"/>
            <wp:effectExtent l="0" t="0" r="0" b="0"/>
            <wp:wrapNone/>
            <wp:docPr id="772" name="Image 772"/>
            <wp:cNvGraphicFramePr>
              <a:graphicFrameLocks/>
            </wp:cNvGraphicFramePr>
            <a:graphic>
              <a:graphicData uri="http://schemas.openxmlformats.org/drawingml/2006/picture">
                <pic:pic>
                  <pic:nvPicPr>
                    <pic:cNvPr id="772" name="Image 772"/>
                    <pic:cNvPicPr/>
                  </pic:nvPicPr>
                  <pic:blipFill>
                    <a:blip r:embed="rId300" cstate="print"/>
                    <a:stretch>
                      <a:fillRect/>
                    </a:stretch>
                  </pic:blipFill>
                  <pic:spPr>
                    <a:xfrm>
                      <a:off x="0" y="0"/>
                      <a:ext cx="283463" cy="112775"/>
                    </a:xfrm>
                    <a:prstGeom prst="rect">
                      <a:avLst/>
                    </a:prstGeom>
                  </pic:spPr>
                </pic:pic>
              </a:graphicData>
            </a:graphic>
          </wp:anchor>
        </w:drawing>
      </w:r>
      <w:bookmarkStart w:name="19.6. Hypothetical Budget Neutrality Tes" w:id="1076"/>
      <w:bookmarkEnd w:id="1076"/>
      <w:r>
        <w:rPr/>
      </w:r>
      <w:r>
        <w:rPr>
          <w:b/>
        </w:rPr>
        <w:t>Hypothetical</w:t>
      </w:r>
      <w:r>
        <w:rPr>
          <w:b/>
          <w:spacing w:val="-3"/>
        </w:rPr>
        <w:t> </w:t>
      </w:r>
      <w:r>
        <w:rPr>
          <w:b/>
        </w:rPr>
        <w:t>Budget</w:t>
      </w:r>
      <w:r>
        <w:rPr>
          <w:b/>
          <w:spacing w:val="-4"/>
        </w:rPr>
        <w:t> </w:t>
      </w:r>
      <w:r>
        <w:rPr>
          <w:b/>
        </w:rPr>
        <w:t>Neutrality</w:t>
      </w:r>
      <w:r>
        <w:rPr>
          <w:b/>
          <w:spacing w:val="-3"/>
        </w:rPr>
        <w:t> </w:t>
      </w:r>
      <w:r>
        <w:rPr>
          <w:b/>
        </w:rPr>
        <w:t>Test</w:t>
      </w:r>
      <w:r>
        <w:rPr>
          <w:b/>
          <w:spacing w:val="-4"/>
        </w:rPr>
        <w:t> </w:t>
      </w:r>
      <w:r>
        <w:rPr>
          <w:b/>
        </w:rPr>
        <w:t>1:</w:t>
      </w:r>
      <w:r>
        <w:rPr>
          <w:b/>
          <w:spacing w:val="-4"/>
        </w:rPr>
        <w:t> </w:t>
      </w:r>
      <w:r>
        <w:rPr>
          <w:b/>
        </w:rPr>
        <w:t>CommonHealth</w:t>
      </w:r>
      <w:r>
        <w:rPr>
          <w:b/>
          <w:spacing w:val="-3"/>
        </w:rPr>
        <w:t> </w:t>
      </w:r>
      <w:r>
        <w:rPr/>
        <w:t>The</w:t>
      </w:r>
      <w:r>
        <w:rPr>
          <w:spacing w:val="-4"/>
        </w:rPr>
        <w:t> </w:t>
      </w:r>
      <w:r>
        <w:rPr/>
        <w:t>table</w:t>
      </w:r>
      <w:r>
        <w:rPr>
          <w:spacing w:val="-4"/>
        </w:rPr>
        <w:t> </w:t>
      </w:r>
      <w:r>
        <w:rPr/>
        <w:t>below</w:t>
      </w:r>
      <w:r>
        <w:rPr>
          <w:spacing w:val="-3"/>
        </w:rPr>
        <w:t> </w:t>
      </w:r>
      <w:r>
        <w:rPr/>
        <w:t>identifies</w:t>
      </w:r>
      <w:r>
        <w:rPr>
          <w:spacing w:val="-3"/>
        </w:rPr>
        <w:t> </w:t>
      </w:r>
      <w:r>
        <w:rPr/>
        <w:t>the MEGs</w:t>
      </w:r>
      <w:r>
        <w:rPr>
          <w:spacing w:val="-2"/>
        </w:rPr>
        <w:t> </w:t>
      </w:r>
      <w:r>
        <w:rPr/>
        <w:t>that</w:t>
      </w:r>
      <w:r>
        <w:rPr>
          <w:spacing w:val="-2"/>
        </w:rPr>
        <w:t> </w:t>
      </w:r>
      <w:r>
        <w:rPr/>
        <w:t>are</w:t>
      </w:r>
      <w:r>
        <w:rPr>
          <w:spacing w:val="-3"/>
        </w:rPr>
        <w:t> </w:t>
      </w:r>
      <w:r>
        <w:rPr/>
        <w:t>used</w:t>
      </w:r>
      <w:r>
        <w:rPr>
          <w:spacing w:val="-2"/>
        </w:rPr>
        <w:t> </w:t>
      </w:r>
      <w:r>
        <w:rPr/>
        <w:t>for</w:t>
      </w:r>
      <w:r>
        <w:rPr>
          <w:spacing w:val="-1"/>
        </w:rPr>
        <w:t> </w:t>
      </w:r>
      <w:r>
        <w:rPr/>
        <w:t>Hypothetical</w:t>
      </w:r>
      <w:r>
        <w:rPr>
          <w:spacing w:val="-2"/>
        </w:rPr>
        <w:t> </w:t>
      </w:r>
      <w:r>
        <w:rPr/>
        <w:t>Budget</w:t>
      </w:r>
      <w:r>
        <w:rPr>
          <w:spacing w:val="-2"/>
        </w:rPr>
        <w:t> </w:t>
      </w:r>
      <w:r>
        <w:rPr/>
        <w:t>Neutrality</w:t>
      </w:r>
      <w:r>
        <w:rPr>
          <w:spacing w:val="-7"/>
        </w:rPr>
        <w:t> </w:t>
      </w:r>
      <w:r>
        <w:rPr/>
        <w:t>Test</w:t>
      </w:r>
      <w:r>
        <w:rPr>
          <w:spacing w:val="-2"/>
        </w:rPr>
        <w:t> </w:t>
      </w:r>
      <w:r>
        <w:rPr/>
        <w:t>1.</w:t>
      </w:r>
      <w:r>
        <w:rPr>
          <w:spacing w:val="-2"/>
        </w:rPr>
        <w:t> </w:t>
      </w:r>
      <w:r>
        <w:rPr/>
        <w:t>MEGs</w:t>
      </w:r>
      <w:r>
        <w:rPr>
          <w:spacing w:val="-2"/>
        </w:rPr>
        <w:t> </w:t>
      </w:r>
      <w:r>
        <w:rPr/>
        <w:t>that are</w:t>
      </w:r>
      <w:r>
        <w:rPr>
          <w:spacing w:val="-3"/>
        </w:rPr>
        <w:t> </w:t>
      </w:r>
      <w:r>
        <w:rPr/>
        <w:t>designated “WOW Only” or “Both” are the components used to calculate the budget neutrality expenditure limit.</w:t>
      </w:r>
      <w:r>
        <w:rPr>
          <w:spacing w:val="40"/>
        </w:rPr>
        <w:t> </w:t>
      </w:r>
      <w:r>
        <w:rPr/>
        <w:t>The Composite Federal Share for the Hypothetical Budget Neutrality Test</w:t>
      </w:r>
      <w:r>
        <w:rPr>
          <w:spacing w:val="-3"/>
        </w:rPr>
        <w:t> </w:t>
      </w:r>
      <w:r>
        <w:rPr/>
        <w:t>is</w:t>
      </w:r>
      <w:r>
        <w:rPr>
          <w:spacing w:val="-3"/>
        </w:rPr>
        <w:t> </w:t>
      </w:r>
      <w:r>
        <w:rPr/>
        <w:t>calculated</w:t>
      </w:r>
      <w:r>
        <w:rPr>
          <w:spacing w:val="-3"/>
        </w:rPr>
        <w:t> </w:t>
      </w:r>
      <w:r>
        <w:rPr/>
        <w:t>based</w:t>
      </w:r>
      <w:r>
        <w:rPr>
          <w:spacing w:val="-3"/>
        </w:rPr>
        <w:t> </w:t>
      </w:r>
      <w:r>
        <w:rPr/>
        <w:t>on</w:t>
      </w:r>
      <w:r>
        <w:rPr>
          <w:spacing w:val="-3"/>
        </w:rPr>
        <w:t> </w:t>
      </w:r>
      <w:r>
        <w:rPr/>
        <w:t>all</w:t>
      </w:r>
      <w:r>
        <w:rPr>
          <w:spacing w:val="-3"/>
        </w:rPr>
        <w:t> </w:t>
      </w:r>
      <w:r>
        <w:rPr/>
        <w:t>MEGs</w:t>
      </w:r>
      <w:r>
        <w:rPr>
          <w:spacing w:val="-3"/>
        </w:rPr>
        <w:t> </w:t>
      </w:r>
      <w:r>
        <w:rPr/>
        <w:t>indicated</w:t>
      </w:r>
      <w:r>
        <w:rPr>
          <w:spacing w:val="-3"/>
        </w:rPr>
        <w:t> </w:t>
      </w:r>
      <w:r>
        <w:rPr/>
        <w:t>as</w:t>
      </w:r>
      <w:r>
        <w:rPr>
          <w:spacing w:val="-1"/>
        </w:rPr>
        <w:t> </w:t>
      </w:r>
      <w:r>
        <w:rPr/>
        <w:t>“WW</w:t>
      </w:r>
      <w:r>
        <w:rPr>
          <w:spacing w:val="-2"/>
        </w:rPr>
        <w:t> </w:t>
      </w:r>
      <w:r>
        <w:rPr/>
        <w:t>Only”</w:t>
      </w:r>
      <w:r>
        <w:rPr>
          <w:spacing w:val="-4"/>
        </w:rPr>
        <w:t> </w:t>
      </w:r>
      <w:r>
        <w:rPr/>
        <w:t>or</w:t>
      </w:r>
      <w:r>
        <w:rPr>
          <w:spacing w:val="-4"/>
        </w:rPr>
        <w:t> </w:t>
      </w:r>
      <w:r>
        <w:rPr/>
        <w:t>“Both.”</w:t>
      </w:r>
      <w:r>
        <w:rPr>
          <w:spacing w:val="40"/>
        </w:rPr>
        <w:t> </w:t>
      </w:r>
      <w:r>
        <w:rPr/>
        <w:t>MEGs</w:t>
      </w:r>
      <w:r>
        <w:rPr>
          <w:spacing w:val="-3"/>
        </w:rPr>
        <w:t> </w:t>
      </w:r>
      <w:r>
        <w:rPr/>
        <w:t>that</w:t>
      </w:r>
      <w:r>
        <w:rPr>
          <w:spacing w:val="-3"/>
        </w:rPr>
        <w:t> </w:t>
      </w:r>
      <w:r>
        <w:rPr/>
        <w:t>are indicated as “WW Only” or “Both” are counted as expenditures against this budget neutrality expenditure limit.</w:t>
      </w:r>
      <w:r>
        <w:rPr>
          <w:spacing w:val="40"/>
        </w:rPr>
        <w:t> </w:t>
      </w:r>
      <w:r>
        <w:rPr/>
        <w:t>Any expenditures in excess of the limit from Hypothetical Budget Neutrality Test 1 are counted as WW expenditures under the Main Budget Neutrality Test.</w:t>
      </w:r>
    </w:p>
    <w:p>
      <w:pPr>
        <w:pStyle w:val="BodyText"/>
        <w:spacing w:before="10" w:after="1"/>
        <w:rPr>
          <w:sz w:val="20"/>
        </w:r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3"/>
        <w:gridCol w:w="723"/>
        <w:gridCol w:w="1009"/>
        <w:gridCol w:w="793"/>
        <w:gridCol w:w="829"/>
        <w:gridCol w:w="1009"/>
        <w:gridCol w:w="1009"/>
        <w:gridCol w:w="1009"/>
        <w:gridCol w:w="1009"/>
        <w:gridCol w:w="1081"/>
        <w:gridCol w:w="1081"/>
      </w:tblGrid>
      <w:tr>
        <w:trPr>
          <w:trHeight w:val="477" w:hRule="atLeast"/>
        </w:trPr>
        <w:tc>
          <w:tcPr>
            <w:tcW w:w="10805" w:type="dxa"/>
            <w:gridSpan w:val="11"/>
            <w:shd w:val="clear" w:color="auto" w:fill="DBE4F0"/>
          </w:tcPr>
          <w:p>
            <w:pPr>
              <w:pStyle w:val="TableParagraph"/>
              <w:spacing w:before="61"/>
              <w:ind w:left="3137" w:right="3137"/>
              <w:jc w:val="center"/>
              <w:rPr>
                <w:b/>
                <w:sz w:val="22"/>
              </w:rPr>
            </w:pPr>
            <w:r>
              <w:rPr>
                <w:b/>
                <w:sz w:val="22"/>
              </w:rPr>
              <w:t>Table</w:t>
            </w:r>
            <w:r>
              <w:rPr>
                <w:b/>
                <w:spacing w:val="-5"/>
                <w:sz w:val="22"/>
              </w:rPr>
              <w:t> </w:t>
            </w:r>
            <w:r>
              <w:rPr>
                <w:b/>
                <w:sz w:val="22"/>
              </w:rPr>
              <w:t>21:</w:t>
            </w:r>
            <w:r>
              <w:rPr>
                <w:b/>
                <w:spacing w:val="-8"/>
                <w:sz w:val="22"/>
              </w:rPr>
              <w:t> </w:t>
            </w:r>
            <w:r>
              <w:rPr>
                <w:b/>
                <w:sz w:val="22"/>
              </w:rPr>
              <w:t>Hypothetical</w:t>
            </w:r>
            <w:r>
              <w:rPr>
                <w:b/>
                <w:spacing w:val="-7"/>
                <w:sz w:val="22"/>
              </w:rPr>
              <w:t> </w:t>
            </w:r>
            <w:r>
              <w:rPr>
                <w:b/>
                <w:sz w:val="22"/>
              </w:rPr>
              <w:t>Budget</w:t>
            </w:r>
            <w:r>
              <w:rPr>
                <w:b/>
                <w:spacing w:val="-3"/>
                <w:sz w:val="22"/>
              </w:rPr>
              <w:t> </w:t>
            </w:r>
            <w:r>
              <w:rPr>
                <w:b/>
                <w:sz w:val="22"/>
              </w:rPr>
              <w:t>Neutrality</w:t>
            </w:r>
            <w:r>
              <w:rPr>
                <w:b/>
                <w:spacing w:val="-5"/>
                <w:sz w:val="22"/>
              </w:rPr>
              <w:t> </w:t>
            </w:r>
            <w:r>
              <w:rPr>
                <w:b/>
                <w:sz w:val="22"/>
              </w:rPr>
              <w:t>Test</w:t>
            </w:r>
            <w:r>
              <w:rPr>
                <w:b/>
                <w:spacing w:val="-3"/>
                <w:sz w:val="22"/>
              </w:rPr>
              <w:t> </w:t>
            </w:r>
            <w:r>
              <w:rPr>
                <w:b/>
                <w:spacing w:val="-10"/>
                <w:sz w:val="22"/>
              </w:rPr>
              <w:t>1</w:t>
            </w:r>
          </w:p>
        </w:tc>
      </w:tr>
      <w:tr>
        <w:trPr>
          <w:trHeight w:val="1530" w:hRule="atLeast"/>
        </w:trPr>
        <w:tc>
          <w:tcPr>
            <w:tcW w:w="1253" w:type="dxa"/>
            <w:shd w:val="clear" w:color="auto" w:fill="DBE4F0"/>
          </w:tcPr>
          <w:p>
            <w:pPr>
              <w:pStyle w:val="TableParagraph"/>
              <w:rPr>
                <w:sz w:val="24"/>
              </w:rPr>
            </w:pPr>
          </w:p>
          <w:p>
            <w:pPr>
              <w:pStyle w:val="TableParagraph"/>
              <w:spacing w:before="6"/>
              <w:rPr>
                <w:sz w:val="31"/>
              </w:rPr>
            </w:pPr>
          </w:p>
          <w:p>
            <w:pPr>
              <w:pStyle w:val="TableParagraph"/>
              <w:ind w:left="362"/>
              <w:rPr>
                <w:b/>
                <w:sz w:val="22"/>
              </w:rPr>
            </w:pPr>
            <w:r>
              <w:rPr>
                <w:b/>
                <w:spacing w:val="-5"/>
                <w:sz w:val="22"/>
              </w:rPr>
              <w:t>MEG</w:t>
            </w:r>
          </w:p>
        </w:tc>
        <w:tc>
          <w:tcPr>
            <w:tcW w:w="723" w:type="dxa"/>
            <w:shd w:val="clear" w:color="auto" w:fill="DBE4F0"/>
          </w:tcPr>
          <w:p>
            <w:pPr>
              <w:pStyle w:val="TableParagraph"/>
              <w:spacing w:before="5"/>
              <w:rPr>
                <w:sz w:val="33"/>
              </w:rPr>
            </w:pPr>
          </w:p>
          <w:p>
            <w:pPr>
              <w:pStyle w:val="TableParagraph"/>
              <w:spacing w:line="252" w:lineRule="exact"/>
              <w:ind w:left="213"/>
              <w:rPr>
                <w:b/>
                <w:sz w:val="22"/>
              </w:rPr>
            </w:pPr>
            <w:r>
              <w:rPr>
                <w:b/>
                <w:spacing w:val="-5"/>
                <w:sz w:val="22"/>
              </w:rPr>
              <w:t>PC</w:t>
            </w:r>
          </w:p>
          <w:p>
            <w:pPr>
              <w:pStyle w:val="TableParagraph"/>
              <w:spacing w:line="244" w:lineRule="auto"/>
              <w:ind w:left="170" w:right="156" w:firstLine="86"/>
              <w:rPr>
                <w:b/>
                <w:sz w:val="22"/>
              </w:rPr>
            </w:pPr>
            <w:r>
              <w:rPr>
                <w:b/>
                <w:spacing w:val="-6"/>
                <w:sz w:val="22"/>
              </w:rPr>
              <w:t>or </w:t>
            </w:r>
            <w:r>
              <w:rPr>
                <w:b/>
                <w:spacing w:val="-4"/>
                <w:sz w:val="22"/>
              </w:rPr>
              <w:t>Agg</w:t>
            </w:r>
          </w:p>
        </w:tc>
        <w:tc>
          <w:tcPr>
            <w:tcW w:w="1009" w:type="dxa"/>
            <w:shd w:val="clear" w:color="auto" w:fill="DBE4F0"/>
          </w:tcPr>
          <w:p>
            <w:pPr>
              <w:pStyle w:val="TableParagraph"/>
              <w:spacing w:before="130"/>
              <w:ind w:left="195"/>
              <w:rPr>
                <w:b/>
                <w:sz w:val="22"/>
              </w:rPr>
            </w:pPr>
            <w:r>
              <w:rPr>
                <w:b/>
                <w:spacing w:val="-5"/>
                <w:sz w:val="22"/>
              </w:rPr>
              <w:t>WOW</w:t>
            </w:r>
          </w:p>
          <w:p>
            <w:pPr>
              <w:pStyle w:val="TableParagraph"/>
              <w:spacing w:before="2"/>
              <w:ind w:left="282" w:right="228" w:hanging="41"/>
              <w:rPr>
                <w:b/>
                <w:sz w:val="22"/>
              </w:rPr>
            </w:pPr>
            <w:r>
              <w:rPr>
                <w:b/>
                <w:spacing w:val="-2"/>
                <w:sz w:val="22"/>
              </w:rPr>
              <w:t>Only, </w:t>
            </w:r>
            <w:r>
              <w:rPr>
                <w:b/>
                <w:spacing w:val="-5"/>
                <w:sz w:val="22"/>
              </w:rPr>
              <w:t>WW</w:t>
            </w:r>
          </w:p>
          <w:p>
            <w:pPr>
              <w:pStyle w:val="TableParagraph"/>
              <w:ind w:left="277" w:right="101" w:hanging="168"/>
              <w:rPr>
                <w:b/>
                <w:sz w:val="22"/>
              </w:rPr>
            </w:pPr>
            <w:r>
              <w:rPr>
                <w:b/>
                <w:sz w:val="22"/>
              </w:rPr>
              <w:t>Only,</w:t>
            </w:r>
            <w:r>
              <w:rPr>
                <w:b/>
                <w:spacing w:val="-14"/>
                <w:sz w:val="22"/>
              </w:rPr>
              <w:t> </w:t>
            </w:r>
            <w:r>
              <w:rPr>
                <w:b/>
                <w:sz w:val="22"/>
              </w:rPr>
              <w:t>or </w:t>
            </w:r>
            <w:r>
              <w:rPr>
                <w:b/>
                <w:spacing w:val="-4"/>
                <w:sz w:val="22"/>
              </w:rPr>
              <w:t>Both</w:t>
            </w:r>
          </w:p>
        </w:tc>
        <w:tc>
          <w:tcPr>
            <w:tcW w:w="793" w:type="dxa"/>
            <w:shd w:val="clear" w:color="auto" w:fill="DBE4F0"/>
          </w:tcPr>
          <w:p>
            <w:pPr>
              <w:pStyle w:val="TableParagraph"/>
              <w:rPr>
                <w:sz w:val="24"/>
              </w:rPr>
            </w:pPr>
          </w:p>
          <w:p>
            <w:pPr>
              <w:pStyle w:val="TableParagraph"/>
              <w:spacing w:before="3"/>
              <w:rPr>
                <w:sz w:val="20"/>
              </w:rPr>
            </w:pPr>
          </w:p>
          <w:p>
            <w:pPr>
              <w:pStyle w:val="TableParagraph"/>
              <w:ind w:left="161" w:right="153" w:firstLine="12"/>
              <w:rPr>
                <w:b/>
                <w:sz w:val="22"/>
              </w:rPr>
            </w:pPr>
            <w:r>
              <w:rPr>
                <w:b/>
                <w:spacing w:val="-4"/>
                <w:sz w:val="22"/>
              </w:rPr>
              <w:t>Base Year</w:t>
            </w:r>
          </w:p>
        </w:tc>
        <w:tc>
          <w:tcPr>
            <w:tcW w:w="829" w:type="dxa"/>
            <w:shd w:val="clear" w:color="auto" w:fill="DBE4F0"/>
            <w:textDirection w:val="tbRl"/>
          </w:tcPr>
          <w:p>
            <w:pPr>
              <w:pStyle w:val="TableParagraph"/>
              <w:spacing w:before="7"/>
              <w:rPr>
                <w:sz w:val="24"/>
              </w:rPr>
            </w:pPr>
          </w:p>
          <w:p>
            <w:pPr>
              <w:pStyle w:val="TableParagraph"/>
              <w:ind w:left="223"/>
              <w:rPr>
                <w:b/>
                <w:sz w:val="22"/>
              </w:rPr>
            </w:pPr>
            <w:r>
              <w:rPr>
                <w:b/>
                <w:sz w:val="22"/>
              </w:rPr>
              <w:t>Trend</w:t>
            </w:r>
            <w:r>
              <w:rPr>
                <w:b/>
                <w:spacing w:val="-3"/>
                <w:sz w:val="22"/>
              </w:rPr>
              <w:t> </w:t>
            </w:r>
            <w:r>
              <w:rPr>
                <w:b/>
                <w:spacing w:val="-4"/>
                <w:sz w:val="22"/>
              </w:rPr>
              <w:t>Rate</w:t>
            </w:r>
          </w:p>
        </w:tc>
        <w:tc>
          <w:tcPr>
            <w:tcW w:w="1009" w:type="dxa"/>
            <w:shd w:val="clear" w:color="auto" w:fill="DBE4F0"/>
          </w:tcPr>
          <w:p>
            <w:pPr>
              <w:pStyle w:val="TableParagraph"/>
              <w:rPr>
                <w:sz w:val="24"/>
              </w:rPr>
            </w:pPr>
          </w:p>
          <w:p>
            <w:pPr>
              <w:pStyle w:val="TableParagraph"/>
              <w:spacing w:before="6"/>
              <w:rPr>
                <w:sz w:val="31"/>
              </w:rPr>
            </w:pPr>
          </w:p>
          <w:p>
            <w:pPr>
              <w:pStyle w:val="TableParagraph"/>
              <w:ind w:right="199"/>
              <w:jc w:val="right"/>
              <w:rPr>
                <w:b/>
                <w:sz w:val="22"/>
              </w:rPr>
            </w:pPr>
            <w:r>
              <w:rPr>
                <w:b/>
                <w:sz w:val="22"/>
              </w:rPr>
              <w:t>DY</w:t>
            </w:r>
            <w:r>
              <w:rPr>
                <w:b/>
                <w:spacing w:val="-1"/>
                <w:sz w:val="22"/>
              </w:rPr>
              <w:t> </w:t>
            </w:r>
            <w:r>
              <w:rPr>
                <w:b/>
                <w:spacing w:val="-5"/>
                <w:sz w:val="22"/>
              </w:rPr>
              <w:t>27</w:t>
            </w:r>
          </w:p>
        </w:tc>
        <w:tc>
          <w:tcPr>
            <w:tcW w:w="1009" w:type="dxa"/>
            <w:shd w:val="clear" w:color="auto" w:fill="DBE4F0"/>
          </w:tcPr>
          <w:p>
            <w:pPr>
              <w:pStyle w:val="TableParagraph"/>
              <w:rPr>
                <w:sz w:val="24"/>
              </w:rPr>
            </w:pPr>
          </w:p>
          <w:p>
            <w:pPr>
              <w:pStyle w:val="TableParagraph"/>
              <w:spacing w:before="6"/>
              <w:rPr>
                <w:sz w:val="31"/>
              </w:rPr>
            </w:pPr>
          </w:p>
          <w:p>
            <w:pPr>
              <w:pStyle w:val="TableParagraph"/>
              <w:ind w:right="200"/>
              <w:jc w:val="right"/>
              <w:rPr>
                <w:b/>
                <w:sz w:val="22"/>
              </w:rPr>
            </w:pPr>
            <w:r>
              <w:rPr>
                <w:b/>
                <w:sz w:val="22"/>
              </w:rPr>
              <w:t>DY</w:t>
            </w:r>
            <w:r>
              <w:rPr>
                <w:b/>
                <w:spacing w:val="-1"/>
                <w:sz w:val="22"/>
              </w:rPr>
              <w:t> </w:t>
            </w:r>
            <w:r>
              <w:rPr>
                <w:b/>
                <w:spacing w:val="-5"/>
                <w:sz w:val="22"/>
              </w:rPr>
              <w:t>28</w:t>
            </w:r>
          </w:p>
        </w:tc>
        <w:tc>
          <w:tcPr>
            <w:tcW w:w="1009" w:type="dxa"/>
            <w:shd w:val="clear" w:color="auto" w:fill="DBE4F0"/>
          </w:tcPr>
          <w:p>
            <w:pPr>
              <w:pStyle w:val="TableParagraph"/>
              <w:rPr>
                <w:sz w:val="24"/>
              </w:rPr>
            </w:pPr>
          </w:p>
          <w:p>
            <w:pPr>
              <w:pStyle w:val="TableParagraph"/>
              <w:spacing w:before="6"/>
              <w:rPr>
                <w:sz w:val="31"/>
              </w:rPr>
            </w:pPr>
          </w:p>
          <w:p>
            <w:pPr>
              <w:pStyle w:val="TableParagraph"/>
              <w:ind w:left="200"/>
              <w:rPr>
                <w:b/>
                <w:sz w:val="22"/>
              </w:rPr>
            </w:pPr>
            <w:r>
              <w:rPr>
                <w:b/>
                <w:sz w:val="22"/>
              </w:rPr>
              <w:t>DY</w:t>
            </w:r>
            <w:r>
              <w:rPr>
                <w:b/>
                <w:spacing w:val="-1"/>
                <w:sz w:val="22"/>
              </w:rPr>
              <w:t> </w:t>
            </w:r>
            <w:r>
              <w:rPr>
                <w:b/>
                <w:spacing w:val="-5"/>
                <w:sz w:val="22"/>
              </w:rPr>
              <w:t>29</w:t>
            </w:r>
          </w:p>
        </w:tc>
        <w:tc>
          <w:tcPr>
            <w:tcW w:w="1009" w:type="dxa"/>
            <w:shd w:val="clear" w:color="auto" w:fill="DBE4F0"/>
          </w:tcPr>
          <w:p>
            <w:pPr>
              <w:pStyle w:val="TableParagraph"/>
              <w:rPr>
                <w:sz w:val="24"/>
              </w:rPr>
            </w:pPr>
          </w:p>
          <w:p>
            <w:pPr>
              <w:pStyle w:val="TableParagraph"/>
              <w:spacing w:before="6"/>
              <w:rPr>
                <w:sz w:val="31"/>
              </w:rPr>
            </w:pPr>
          </w:p>
          <w:p>
            <w:pPr>
              <w:pStyle w:val="TableParagraph"/>
              <w:ind w:left="126" w:right="129"/>
              <w:jc w:val="center"/>
              <w:rPr>
                <w:b/>
                <w:sz w:val="22"/>
              </w:rPr>
            </w:pPr>
            <w:r>
              <w:rPr>
                <w:b/>
                <w:sz w:val="22"/>
              </w:rPr>
              <w:t>DY</w:t>
            </w:r>
            <w:r>
              <w:rPr>
                <w:b/>
                <w:spacing w:val="-1"/>
                <w:sz w:val="22"/>
              </w:rPr>
              <w:t> </w:t>
            </w:r>
            <w:r>
              <w:rPr>
                <w:b/>
                <w:spacing w:val="-5"/>
                <w:sz w:val="22"/>
              </w:rPr>
              <w:t>30</w:t>
            </w:r>
          </w:p>
        </w:tc>
        <w:tc>
          <w:tcPr>
            <w:tcW w:w="1081" w:type="dxa"/>
            <w:shd w:val="clear" w:color="auto" w:fill="DBE4F0"/>
          </w:tcPr>
          <w:p>
            <w:pPr>
              <w:pStyle w:val="TableParagraph"/>
              <w:rPr>
                <w:sz w:val="24"/>
              </w:rPr>
            </w:pPr>
          </w:p>
          <w:p>
            <w:pPr>
              <w:pStyle w:val="TableParagraph"/>
              <w:spacing w:before="6"/>
              <w:rPr>
                <w:sz w:val="31"/>
              </w:rPr>
            </w:pPr>
          </w:p>
          <w:p>
            <w:pPr>
              <w:pStyle w:val="TableParagraph"/>
              <w:ind w:left="161" w:right="166"/>
              <w:jc w:val="center"/>
              <w:rPr>
                <w:b/>
                <w:sz w:val="22"/>
              </w:rPr>
            </w:pPr>
            <w:r>
              <w:rPr>
                <w:b/>
                <w:sz w:val="22"/>
              </w:rPr>
              <w:t>DY</w:t>
            </w:r>
            <w:r>
              <w:rPr>
                <w:b/>
                <w:spacing w:val="-1"/>
                <w:sz w:val="22"/>
              </w:rPr>
              <w:t> </w:t>
            </w:r>
            <w:r>
              <w:rPr>
                <w:b/>
                <w:spacing w:val="-5"/>
                <w:sz w:val="22"/>
              </w:rPr>
              <w:t>31</w:t>
            </w:r>
          </w:p>
        </w:tc>
        <w:tc>
          <w:tcPr>
            <w:tcW w:w="1081" w:type="dxa"/>
            <w:shd w:val="clear" w:color="auto" w:fill="DBE4F0"/>
          </w:tcPr>
          <w:p>
            <w:pPr>
              <w:pStyle w:val="TableParagraph"/>
              <w:rPr>
                <w:sz w:val="24"/>
              </w:rPr>
            </w:pPr>
          </w:p>
          <w:p>
            <w:pPr>
              <w:pStyle w:val="TableParagraph"/>
              <w:spacing w:before="6"/>
              <w:rPr>
                <w:sz w:val="31"/>
              </w:rPr>
            </w:pPr>
          </w:p>
          <w:p>
            <w:pPr>
              <w:pStyle w:val="TableParagraph"/>
              <w:ind w:left="159" w:right="166"/>
              <w:jc w:val="center"/>
              <w:rPr>
                <w:b/>
                <w:sz w:val="22"/>
              </w:rPr>
            </w:pPr>
            <w:r>
              <w:rPr>
                <w:b/>
                <w:sz w:val="22"/>
              </w:rPr>
              <w:t>DY</w:t>
            </w:r>
            <w:r>
              <w:rPr>
                <w:b/>
                <w:spacing w:val="-1"/>
                <w:sz w:val="22"/>
              </w:rPr>
              <w:t> </w:t>
            </w:r>
            <w:r>
              <w:rPr>
                <w:b/>
                <w:spacing w:val="-5"/>
                <w:sz w:val="22"/>
              </w:rPr>
              <w:t>32</w:t>
            </w:r>
          </w:p>
        </w:tc>
      </w:tr>
      <w:tr>
        <w:trPr>
          <w:trHeight w:val="781" w:hRule="atLeast"/>
        </w:trPr>
        <w:tc>
          <w:tcPr>
            <w:tcW w:w="1253" w:type="dxa"/>
          </w:tcPr>
          <w:p>
            <w:pPr>
              <w:pStyle w:val="TableParagraph"/>
              <w:spacing w:before="135"/>
              <w:ind w:left="107" w:right="309"/>
              <w:rPr>
                <w:sz w:val="22"/>
              </w:rPr>
            </w:pPr>
            <w:r>
              <w:rPr>
                <w:spacing w:val="-2"/>
                <w:sz w:val="22"/>
              </w:rPr>
              <w:t>Common Health</w:t>
            </w:r>
          </w:p>
        </w:tc>
        <w:tc>
          <w:tcPr>
            <w:tcW w:w="723" w:type="dxa"/>
          </w:tcPr>
          <w:p>
            <w:pPr>
              <w:pStyle w:val="TableParagraph"/>
              <w:spacing w:before="9"/>
              <w:rPr>
                <w:sz w:val="22"/>
              </w:rPr>
            </w:pPr>
          </w:p>
          <w:p>
            <w:pPr>
              <w:pStyle w:val="TableParagraph"/>
              <w:ind w:left="225"/>
              <w:rPr>
                <w:sz w:val="22"/>
              </w:rPr>
            </w:pPr>
            <w:r>
              <w:rPr>
                <w:spacing w:val="-5"/>
                <w:sz w:val="22"/>
              </w:rPr>
              <w:t>PC</w:t>
            </w:r>
          </w:p>
        </w:tc>
        <w:tc>
          <w:tcPr>
            <w:tcW w:w="1009" w:type="dxa"/>
          </w:tcPr>
          <w:p>
            <w:pPr>
              <w:pStyle w:val="TableParagraph"/>
              <w:spacing w:before="9"/>
              <w:rPr>
                <w:sz w:val="22"/>
              </w:rPr>
            </w:pPr>
          </w:p>
          <w:p>
            <w:pPr>
              <w:pStyle w:val="TableParagraph"/>
              <w:ind w:left="289"/>
              <w:rPr>
                <w:sz w:val="22"/>
              </w:rPr>
            </w:pPr>
            <w:r>
              <w:rPr>
                <w:spacing w:val="-4"/>
                <w:sz w:val="22"/>
              </w:rPr>
              <w:t>Both</w:t>
            </w:r>
          </w:p>
        </w:tc>
        <w:tc>
          <w:tcPr>
            <w:tcW w:w="793" w:type="dxa"/>
          </w:tcPr>
          <w:p>
            <w:pPr>
              <w:pStyle w:val="TableParagraph"/>
              <w:spacing w:before="9"/>
              <w:rPr>
                <w:sz w:val="22"/>
              </w:rPr>
            </w:pPr>
          </w:p>
          <w:p>
            <w:pPr>
              <w:pStyle w:val="TableParagraph"/>
              <w:ind w:left="173"/>
              <w:rPr>
                <w:sz w:val="22"/>
              </w:rPr>
            </w:pPr>
            <w:r>
              <w:rPr>
                <w:spacing w:val="-4"/>
                <w:sz w:val="22"/>
              </w:rPr>
              <w:t>2019</w:t>
            </w:r>
          </w:p>
        </w:tc>
        <w:tc>
          <w:tcPr>
            <w:tcW w:w="829" w:type="dxa"/>
          </w:tcPr>
          <w:p>
            <w:pPr>
              <w:pStyle w:val="TableParagraph"/>
              <w:spacing w:before="9"/>
              <w:rPr>
                <w:sz w:val="22"/>
              </w:rPr>
            </w:pPr>
          </w:p>
          <w:p>
            <w:pPr>
              <w:pStyle w:val="TableParagraph"/>
              <w:ind w:left="126"/>
              <w:rPr>
                <w:sz w:val="22"/>
              </w:rPr>
            </w:pPr>
            <w:r>
              <w:rPr>
                <w:spacing w:val="-2"/>
                <w:sz w:val="22"/>
              </w:rPr>
              <w:t>4.80%</w:t>
            </w:r>
          </w:p>
        </w:tc>
        <w:tc>
          <w:tcPr>
            <w:tcW w:w="1009" w:type="dxa"/>
          </w:tcPr>
          <w:p>
            <w:pPr>
              <w:pStyle w:val="TableParagraph"/>
              <w:spacing w:before="9"/>
              <w:rPr>
                <w:sz w:val="22"/>
              </w:rPr>
            </w:pPr>
          </w:p>
          <w:p>
            <w:pPr>
              <w:pStyle w:val="TableParagraph"/>
              <w:ind w:right="137"/>
              <w:jc w:val="right"/>
              <w:rPr>
                <w:sz w:val="22"/>
              </w:rPr>
            </w:pPr>
            <w:r>
              <w:rPr>
                <w:spacing w:val="-2"/>
                <w:sz w:val="22"/>
              </w:rPr>
              <w:t>$510.23</w:t>
            </w:r>
          </w:p>
        </w:tc>
        <w:tc>
          <w:tcPr>
            <w:tcW w:w="1009" w:type="dxa"/>
          </w:tcPr>
          <w:p>
            <w:pPr>
              <w:pStyle w:val="TableParagraph"/>
              <w:spacing w:before="9"/>
              <w:rPr>
                <w:sz w:val="22"/>
              </w:rPr>
            </w:pPr>
          </w:p>
          <w:p>
            <w:pPr>
              <w:pStyle w:val="TableParagraph"/>
              <w:ind w:right="138"/>
              <w:jc w:val="right"/>
              <w:rPr>
                <w:sz w:val="22"/>
              </w:rPr>
            </w:pPr>
            <w:r>
              <w:rPr>
                <w:spacing w:val="-2"/>
                <w:sz w:val="22"/>
              </w:rPr>
              <w:t>$525.40</w:t>
            </w:r>
          </w:p>
        </w:tc>
        <w:tc>
          <w:tcPr>
            <w:tcW w:w="1009" w:type="dxa"/>
          </w:tcPr>
          <w:p>
            <w:pPr>
              <w:pStyle w:val="TableParagraph"/>
              <w:spacing w:before="9"/>
              <w:rPr>
                <w:sz w:val="22"/>
              </w:rPr>
            </w:pPr>
          </w:p>
          <w:p>
            <w:pPr>
              <w:pStyle w:val="TableParagraph"/>
              <w:ind w:left="140"/>
              <w:rPr>
                <w:sz w:val="22"/>
              </w:rPr>
            </w:pPr>
            <w:r>
              <w:rPr>
                <w:spacing w:val="-2"/>
                <w:sz w:val="22"/>
              </w:rPr>
              <w:t>$550.62</w:t>
            </w:r>
          </w:p>
        </w:tc>
        <w:tc>
          <w:tcPr>
            <w:tcW w:w="1009" w:type="dxa"/>
          </w:tcPr>
          <w:p>
            <w:pPr>
              <w:pStyle w:val="TableParagraph"/>
              <w:spacing w:before="9"/>
              <w:rPr>
                <w:sz w:val="22"/>
              </w:rPr>
            </w:pPr>
          </w:p>
          <w:p>
            <w:pPr>
              <w:pStyle w:val="TableParagraph"/>
              <w:ind w:left="128" w:right="129"/>
              <w:jc w:val="center"/>
              <w:rPr>
                <w:sz w:val="22"/>
              </w:rPr>
            </w:pPr>
            <w:r>
              <w:rPr>
                <w:spacing w:val="-2"/>
                <w:sz w:val="22"/>
              </w:rPr>
              <w:t>$577.05</w:t>
            </w:r>
          </w:p>
        </w:tc>
        <w:tc>
          <w:tcPr>
            <w:tcW w:w="1081" w:type="dxa"/>
          </w:tcPr>
          <w:p>
            <w:pPr>
              <w:pStyle w:val="TableParagraph"/>
              <w:spacing w:before="9"/>
              <w:rPr>
                <w:sz w:val="22"/>
              </w:rPr>
            </w:pPr>
          </w:p>
          <w:p>
            <w:pPr>
              <w:pStyle w:val="TableParagraph"/>
              <w:ind w:left="162" w:right="165"/>
              <w:jc w:val="center"/>
              <w:rPr>
                <w:sz w:val="22"/>
              </w:rPr>
            </w:pPr>
            <w:r>
              <w:rPr>
                <w:spacing w:val="-2"/>
                <w:sz w:val="22"/>
              </w:rPr>
              <w:t>$604.75</w:t>
            </w:r>
          </w:p>
        </w:tc>
        <w:tc>
          <w:tcPr>
            <w:tcW w:w="1081" w:type="dxa"/>
          </w:tcPr>
          <w:p>
            <w:pPr>
              <w:pStyle w:val="TableParagraph"/>
              <w:spacing w:before="9"/>
              <w:rPr>
                <w:sz w:val="22"/>
              </w:rPr>
            </w:pPr>
          </w:p>
          <w:p>
            <w:pPr>
              <w:pStyle w:val="TableParagraph"/>
              <w:ind w:left="161" w:right="166"/>
              <w:jc w:val="center"/>
              <w:rPr>
                <w:sz w:val="22"/>
              </w:rPr>
            </w:pPr>
            <w:r>
              <w:rPr>
                <w:spacing w:val="-2"/>
                <w:sz w:val="22"/>
              </w:rPr>
              <w:t>$633.78</w:t>
            </w:r>
          </w:p>
        </w:tc>
      </w:tr>
    </w:tbl>
    <w:p>
      <w:pPr>
        <w:pStyle w:val="BodyText"/>
        <w:rPr>
          <w:sz w:val="20"/>
        </w:rPr>
      </w:pPr>
    </w:p>
    <w:p>
      <w:pPr>
        <w:pStyle w:val="BodyText"/>
        <w:spacing w:before="10"/>
        <w:rPr>
          <w:sz w:val="16"/>
        </w:rPr>
      </w:pPr>
    </w:p>
    <w:p>
      <w:pPr>
        <w:spacing w:line="242" w:lineRule="auto" w:before="90"/>
        <w:ind w:left="1471" w:right="918" w:firstLine="0"/>
        <w:jc w:val="left"/>
        <w:rPr>
          <w:sz w:val="24"/>
        </w:rPr>
      </w:pPr>
      <w:r>
        <w:rPr/>
        <w:drawing>
          <wp:anchor distT="0" distB="0" distL="0" distR="0" allowOverlap="1" layoutInCell="1" locked="0" behindDoc="0" simplePos="0" relativeHeight="16112128">
            <wp:simplePos x="0" y="0"/>
            <wp:positionH relativeFrom="page">
              <wp:posOffset>908303</wp:posOffset>
            </wp:positionH>
            <wp:positionV relativeFrom="paragraph">
              <wp:posOffset>92762</wp:posOffset>
            </wp:positionV>
            <wp:extent cx="283463" cy="112763"/>
            <wp:effectExtent l="0" t="0" r="0" b="0"/>
            <wp:wrapNone/>
            <wp:docPr id="773" name="Image 773"/>
            <wp:cNvGraphicFramePr>
              <a:graphicFrameLocks/>
            </wp:cNvGraphicFramePr>
            <a:graphic>
              <a:graphicData uri="http://schemas.openxmlformats.org/drawingml/2006/picture">
                <pic:pic>
                  <pic:nvPicPr>
                    <pic:cNvPr id="773" name="Image 773"/>
                    <pic:cNvPicPr/>
                  </pic:nvPicPr>
                  <pic:blipFill>
                    <a:blip r:embed="rId301" cstate="print"/>
                    <a:stretch>
                      <a:fillRect/>
                    </a:stretch>
                  </pic:blipFill>
                  <pic:spPr>
                    <a:xfrm>
                      <a:off x="0" y="0"/>
                      <a:ext cx="283463" cy="112763"/>
                    </a:xfrm>
                    <a:prstGeom prst="rect">
                      <a:avLst/>
                    </a:prstGeom>
                  </pic:spPr>
                </pic:pic>
              </a:graphicData>
            </a:graphic>
          </wp:anchor>
        </w:drawing>
      </w:r>
      <w:bookmarkStart w:name="19.7. Hypothetical Budget Neutrality Tes" w:id="1077"/>
      <w:bookmarkEnd w:id="1077"/>
      <w:r>
        <w:rPr/>
      </w:r>
      <w:r>
        <w:rPr>
          <w:b/>
          <w:sz w:val="24"/>
        </w:rPr>
        <w:t>Hypothetical</w:t>
      </w:r>
      <w:r>
        <w:rPr>
          <w:b/>
          <w:spacing w:val="-4"/>
          <w:sz w:val="24"/>
        </w:rPr>
        <w:t> </w:t>
      </w:r>
      <w:r>
        <w:rPr>
          <w:b/>
          <w:sz w:val="24"/>
        </w:rPr>
        <w:t>Budget</w:t>
      </w:r>
      <w:r>
        <w:rPr>
          <w:b/>
          <w:spacing w:val="-5"/>
          <w:sz w:val="24"/>
        </w:rPr>
        <w:t> </w:t>
      </w:r>
      <w:r>
        <w:rPr>
          <w:b/>
          <w:sz w:val="24"/>
        </w:rPr>
        <w:t>Neutrality</w:t>
      </w:r>
      <w:r>
        <w:rPr>
          <w:b/>
          <w:spacing w:val="-4"/>
          <w:sz w:val="24"/>
        </w:rPr>
        <w:t> </w:t>
      </w:r>
      <w:r>
        <w:rPr>
          <w:b/>
          <w:sz w:val="24"/>
        </w:rPr>
        <w:t>Test</w:t>
      </w:r>
      <w:r>
        <w:rPr>
          <w:b/>
          <w:spacing w:val="-5"/>
          <w:sz w:val="24"/>
        </w:rPr>
        <w:t> </w:t>
      </w:r>
      <w:r>
        <w:rPr>
          <w:b/>
          <w:sz w:val="24"/>
        </w:rPr>
        <w:t>2:</w:t>
      </w:r>
      <w:r>
        <w:rPr>
          <w:b/>
          <w:spacing w:val="-5"/>
          <w:sz w:val="24"/>
        </w:rPr>
        <w:t> </w:t>
      </w:r>
      <w:r>
        <w:rPr>
          <w:b/>
          <w:sz w:val="24"/>
        </w:rPr>
        <w:t>New</w:t>
      </w:r>
      <w:r>
        <w:rPr>
          <w:b/>
          <w:spacing w:val="-3"/>
          <w:sz w:val="24"/>
        </w:rPr>
        <w:t> </w:t>
      </w:r>
      <w:r>
        <w:rPr>
          <w:b/>
          <w:sz w:val="24"/>
        </w:rPr>
        <w:t>Adult</w:t>
      </w:r>
      <w:r>
        <w:rPr>
          <w:b/>
          <w:spacing w:val="-5"/>
          <w:sz w:val="24"/>
        </w:rPr>
        <w:t> </w:t>
      </w:r>
      <w:r>
        <w:rPr>
          <w:b/>
          <w:sz w:val="24"/>
        </w:rPr>
        <w:t>Group</w:t>
      </w:r>
      <w:r>
        <w:rPr>
          <w:b/>
          <w:spacing w:val="-4"/>
          <w:sz w:val="24"/>
        </w:rPr>
        <w:t> </w:t>
      </w:r>
      <w:r>
        <w:rPr>
          <w:sz w:val="24"/>
        </w:rPr>
        <w:t>The</w:t>
      </w:r>
      <w:r>
        <w:rPr>
          <w:spacing w:val="-5"/>
          <w:sz w:val="24"/>
        </w:rPr>
        <w:t> </w:t>
      </w:r>
      <w:r>
        <w:rPr>
          <w:sz w:val="24"/>
        </w:rPr>
        <w:t>table</w:t>
      </w:r>
      <w:r>
        <w:rPr>
          <w:spacing w:val="-5"/>
          <w:sz w:val="24"/>
        </w:rPr>
        <w:t> </w:t>
      </w:r>
      <w:r>
        <w:rPr>
          <w:sz w:val="24"/>
        </w:rPr>
        <w:t>below</w:t>
      </w:r>
      <w:r>
        <w:rPr>
          <w:spacing w:val="-5"/>
          <w:sz w:val="24"/>
        </w:rPr>
        <w:t> </w:t>
      </w:r>
      <w:r>
        <w:rPr>
          <w:sz w:val="24"/>
        </w:rPr>
        <w:t>identifies the MEGs that are used for Hypothetical Budget Neutrality Test 2. MEGs that are</w:t>
      </w:r>
    </w:p>
    <w:p>
      <w:pPr>
        <w:spacing w:after="0" w:line="242" w:lineRule="auto"/>
        <w:jc w:val="left"/>
        <w:rPr>
          <w:sz w:val="24"/>
        </w:rPr>
        <w:sectPr>
          <w:footerReference w:type="default" r:id="rId298"/>
          <w:pgSz w:w="12240" w:h="15840"/>
          <w:pgMar w:footer="1201" w:header="0" w:top="1440" w:bottom="1400" w:left="600" w:right="600"/>
        </w:sectPr>
      </w:pPr>
    </w:p>
    <w:p>
      <w:pPr>
        <w:pStyle w:val="BodyText"/>
        <w:spacing w:before="79"/>
        <w:ind w:left="1471" w:right="918"/>
      </w:pPr>
      <w:r>
        <w:rPr/>
        <w:t>designated “WOW Only” or “Both” are the components used to calculate the budget neutrality</w:t>
      </w:r>
      <w:r>
        <w:rPr>
          <w:spacing w:val="-4"/>
        </w:rPr>
        <w:t> </w:t>
      </w:r>
      <w:r>
        <w:rPr/>
        <w:t>expenditure</w:t>
      </w:r>
      <w:r>
        <w:rPr>
          <w:spacing w:val="-2"/>
        </w:rPr>
        <w:t> </w:t>
      </w:r>
      <w:r>
        <w:rPr/>
        <w:t>limit.</w:t>
      </w:r>
      <w:r>
        <w:rPr>
          <w:spacing w:val="40"/>
        </w:rPr>
        <w:t> </w:t>
      </w:r>
      <w:r>
        <w:rPr/>
        <w:t>The</w:t>
      </w:r>
      <w:r>
        <w:rPr>
          <w:spacing w:val="-2"/>
        </w:rPr>
        <w:t> </w:t>
      </w:r>
      <w:r>
        <w:rPr/>
        <w:t>Composite</w:t>
      </w:r>
      <w:r>
        <w:rPr>
          <w:spacing w:val="-2"/>
        </w:rPr>
        <w:t> </w:t>
      </w:r>
      <w:r>
        <w:rPr/>
        <w:t>Federal</w:t>
      </w:r>
      <w:r>
        <w:rPr>
          <w:spacing w:val="-1"/>
        </w:rPr>
        <w:t> </w:t>
      </w:r>
      <w:r>
        <w:rPr/>
        <w:t>Share</w:t>
      </w:r>
      <w:r>
        <w:rPr>
          <w:spacing w:val="-2"/>
        </w:rPr>
        <w:t> </w:t>
      </w:r>
      <w:r>
        <w:rPr/>
        <w:t>for</w:t>
      </w:r>
      <w:r>
        <w:rPr>
          <w:spacing w:val="-2"/>
        </w:rPr>
        <w:t> </w:t>
      </w:r>
      <w:r>
        <w:rPr/>
        <w:t>the Hypothetical</w:t>
      </w:r>
      <w:r>
        <w:rPr>
          <w:spacing w:val="-1"/>
        </w:rPr>
        <w:t> </w:t>
      </w:r>
      <w:r>
        <w:rPr/>
        <w:t>Budget Neutrality Test is calculated based on all MEGs indicated as “WW Only” or “Both.” MEGs that are indicated as “WW Only” or “Both” are counted as expenditures against this budget neutrality expenditure limit.</w:t>
      </w:r>
      <w:r>
        <w:rPr>
          <w:spacing w:val="40"/>
        </w:rPr>
        <w:t> </w:t>
      </w:r>
      <w:r>
        <w:rPr/>
        <w:t>Any expenditures in excess of the limit from Hypothetical</w:t>
      </w:r>
      <w:r>
        <w:rPr>
          <w:spacing w:val="-3"/>
        </w:rPr>
        <w:t> </w:t>
      </w:r>
      <w:r>
        <w:rPr/>
        <w:t>Budget</w:t>
      </w:r>
      <w:r>
        <w:rPr>
          <w:spacing w:val="-3"/>
        </w:rPr>
        <w:t> </w:t>
      </w:r>
      <w:r>
        <w:rPr/>
        <w:t>Neutrality</w:t>
      </w:r>
      <w:r>
        <w:rPr>
          <w:spacing w:val="-8"/>
        </w:rPr>
        <w:t> </w:t>
      </w:r>
      <w:r>
        <w:rPr/>
        <w:t>Test</w:t>
      </w:r>
      <w:r>
        <w:rPr>
          <w:spacing w:val="-3"/>
        </w:rPr>
        <w:t> </w:t>
      </w:r>
      <w:r>
        <w:rPr/>
        <w:t>2</w:t>
      </w:r>
      <w:r>
        <w:rPr>
          <w:spacing w:val="-3"/>
        </w:rPr>
        <w:t> </w:t>
      </w:r>
      <w:r>
        <w:rPr/>
        <w:t>are</w:t>
      </w:r>
      <w:r>
        <w:rPr>
          <w:spacing w:val="-4"/>
        </w:rPr>
        <w:t> </w:t>
      </w:r>
      <w:r>
        <w:rPr/>
        <w:t>counted</w:t>
      </w:r>
      <w:r>
        <w:rPr>
          <w:spacing w:val="-1"/>
        </w:rPr>
        <w:t> </w:t>
      </w:r>
      <w:r>
        <w:rPr/>
        <w:t>as</w:t>
      </w:r>
      <w:r>
        <w:rPr>
          <w:spacing w:val="-3"/>
        </w:rPr>
        <w:t> </w:t>
      </w:r>
      <w:r>
        <w:rPr/>
        <w:t>WW</w:t>
      </w:r>
      <w:r>
        <w:rPr>
          <w:spacing w:val="-2"/>
        </w:rPr>
        <w:t> </w:t>
      </w:r>
      <w:r>
        <w:rPr/>
        <w:t>expenditures</w:t>
      </w:r>
      <w:r>
        <w:rPr>
          <w:spacing w:val="-3"/>
        </w:rPr>
        <w:t> </w:t>
      </w:r>
      <w:r>
        <w:rPr/>
        <w:t>under</w:t>
      </w:r>
      <w:r>
        <w:rPr>
          <w:spacing w:val="-4"/>
        </w:rPr>
        <w:t> </w:t>
      </w:r>
      <w:r>
        <w:rPr/>
        <w:t>the</w:t>
      </w:r>
      <w:r>
        <w:rPr>
          <w:spacing w:val="-4"/>
        </w:rPr>
        <w:t> </w:t>
      </w:r>
      <w:r>
        <w:rPr/>
        <w:t>Main Budget Neutrality Test.</w:t>
      </w:r>
    </w:p>
    <w:p>
      <w:pPr>
        <w:pStyle w:val="BodyText"/>
        <w:spacing w:before="11"/>
        <w:rPr>
          <w:sz w:val="20"/>
        </w:r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3"/>
        <w:gridCol w:w="723"/>
        <w:gridCol w:w="1009"/>
        <w:gridCol w:w="793"/>
        <w:gridCol w:w="829"/>
        <w:gridCol w:w="1009"/>
        <w:gridCol w:w="1009"/>
        <w:gridCol w:w="1009"/>
        <w:gridCol w:w="1009"/>
        <w:gridCol w:w="1081"/>
        <w:gridCol w:w="1081"/>
      </w:tblGrid>
      <w:tr>
        <w:trPr>
          <w:trHeight w:val="477" w:hRule="atLeast"/>
        </w:trPr>
        <w:tc>
          <w:tcPr>
            <w:tcW w:w="10805" w:type="dxa"/>
            <w:gridSpan w:val="11"/>
            <w:shd w:val="clear" w:color="auto" w:fill="DBE4F0"/>
          </w:tcPr>
          <w:p>
            <w:pPr>
              <w:pStyle w:val="TableParagraph"/>
              <w:spacing w:before="61"/>
              <w:ind w:left="3137" w:right="3137"/>
              <w:jc w:val="center"/>
              <w:rPr>
                <w:b/>
                <w:sz w:val="22"/>
              </w:rPr>
            </w:pPr>
            <w:r>
              <w:rPr>
                <w:b/>
                <w:sz w:val="22"/>
              </w:rPr>
              <w:t>Table</w:t>
            </w:r>
            <w:r>
              <w:rPr>
                <w:b/>
                <w:spacing w:val="-5"/>
                <w:sz w:val="22"/>
              </w:rPr>
              <w:t> </w:t>
            </w:r>
            <w:r>
              <w:rPr>
                <w:b/>
                <w:sz w:val="22"/>
              </w:rPr>
              <w:t>22:</w:t>
            </w:r>
            <w:r>
              <w:rPr>
                <w:b/>
                <w:spacing w:val="-8"/>
                <w:sz w:val="22"/>
              </w:rPr>
              <w:t> </w:t>
            </w:r>
            <w:r>
              <w:rPr>
                <w:b/>
                <w:sz w:val="22"/>
              </w:rPr>
              <w:t>Hypothetical</w:t>
            </w:r>
            <w:r>
              <w:rPr>
                <w:b/>
                <w:spacing w:val="-7"/>
                <w:sz w:val="22"/>
              </w:rPr>
              <w:t> </w:t>
            </w:r>
            <w:r>
              <w:rPr>
                <w:b/>
                <w:sz w:val="22"/>
              </w:rPr>
              <w:t>Budget</w:t>
            </w:r>
            <w:r>
              <w:rPr>
                <w:b/>
                <w:spacing w:val="-3"/>
                <w:sz w:val="22"/>
              </w:rPr>
              <w:t> </w:t>
            </w:r>
            <w:r>
              <w:rPr>
                <w:b/>
                <w:sz w:val="22"/>
              </w:rPr>
              <w:t>Neutrality</w:t>
            </w:r>
            <w:r>
              <w:rPr>
                <w:b/>
                <w:spacing w:val="-5"/>
                <w:sz w:val="22"/>
              </w:rPr>
              <w:t> </w:t>
            </w:r>
            <w:r>
              <w:rPr>
                <w:b/>
                <w:sz w:val="22"/>
              </w:rPr>
              <w:t>Test</w:t>
            </w:r>
            <w:r>
              <w:rPr>
                <w:b/>
                <w:spacing w:val="-3"/>
                <w:sz w:val="22"/>
              </w:rPr>
              <w:t> </w:t>
            </w:r>
            <w:r>
              <w:rPr>
                <w:b/>
                <w:spacing w:val="-10"/>
                <w:sz w:val="22"/>
              </w:rPr>
              <w:t>2</w:t>
            </w:r>
          </w:p>
        </w:tc>
      </w:tr>
      <w:tr>
        <w:trPr>
          <w:trHeight w:val="1530" w:hRule="atLeast"/>
        </w:trPr>
        <w:tc>
          <w:tcPr>
            <w:tcW w:w="1253" w:type="dxa"/>
            <w:shd w:val="clear" w:color="auto" w:fill="DBE4F0"/>
          </w:tcPr>
          <w:p>
            <w:pPr>
              <w:pStyle w:val="TableParagraph"/>
              <w:rPr>
                <w:sz w:val="24"/>
              </w:rPr>
            </w:pPr>
          </w:p>
          <w:p>
            <w:pPr>
              <w:pStyle w:val="TableParagraph"/>
              <w:spacing w:before="6"/>
              <w:rPr>
                <w:sz w:val="31"/>
              </w:rPr>
            </w:pPr>
          </w:p>
          <w:p>
            <w:pPr>
              <w:pStyle w:val="TableParagraph"/>
              <w:ind w:left="362"/>
              <w:rPr>
                <w:b/>
                <w:sz w:val="22"/>
              </w:rPr>
            </w:pPr>
            <w:r>
              <w:rPr>
                <w:b/>
                <w:spacing w:val="-5"/>
                <w:sz w:val="22"/>
              </w:rPr>
              <w:t>MEG</w:t>
            </w:r>
          </w:p>
        </w:tc>
        <w:tc>
          <w:tcPr>
            <w:tcW w:w="723" w:type="dxa"/>
            <w:shd w:val="clear" w:color="auto" w:fill="DBE4F0"/>
          </w:tcPr>
          <w:p>
            <w:pPr>
              <w:pStyle w:val="TableParagraph"/>
              <w:spacing w:before="5"/>
              <w:rPr>
                <w:sz w:val="33"/>
              </w:rPr>
            </w:pPr>
          </w:p>
          <w:p>
            <w:pPr>
              <w:pStyle w:val="TableParagraph"/>
              <w:spacing w:line="252" w:lineRule="exact"/>
              <w:ind w:left="213"/>
              <w:rPr>
                <w:b/>
                <w:sz w:val="22"/>
              </w:rPr>
            </w:pPr>
            <w:r>
              <w:rPr>
                <w:b/>
                <w:spacing w:val="-5"/>
                <w:sz w:val="22"/>
              </w:rPr>
              <w:t>PC</w:t>
            </w:r>
          </w:p>
          <w:p>
            <w:pPr>
              <w:pStyle w:val="TableParagraph"/>
              <w:ind w:left="170" w:right="156" w:firstLine="86"/>
              <w:rPr>
                <w:b/>
                <w:sz w:val="22"/>
              </w:rPr>
            </w:pPr>
            <w:r>
              <w:rPr>
                <w:b/>
                <w:spacing w:val="-6"/>
                <w:sz w:val="22"/>
              </w:rPr>
              <w:t>or </w:t>
            </w:r>
            <w:r>
              <w:rPr>
                <w:b/>
                <w:spacing w:val="-4"/>
                <w:sz w:val="22"/>
              </w:rPr>
              <w:t>Agg</w:t>
            </w:r>
          </w:p>
        </w:tc>
        <w:tc>
          <w:tcPr>
            <w:tcW w:w="1009" w:type="dxa"/>
            <w:shd w:val="clear" w:color="auto" w:fill="DBE4F0"/>
          </w:tcPr>
          <w:p>
            <w:pPr>
              <w:pStyle w:val="TableParagraph"/>
              <w:spacing w:before="130"/>
              <w:ind w:left="195"/>
              <w:rPr>
                <w:b/>
                <w:sz w:val="22"/>
              </w:rPr>
            </w:pPr>
            <w:r>
              <w:rPr>
                <w:b/>
                <w:spacing w:val="-5"/>
                <w:sz w:val="22"/>
              </w:rPr>
              <w:t>WOW</w:t>
            </w:r>
          </w:p>
          <w:p>
            <w:pPr>
              <w:pStyle w:val="TableParagraph"/>
              <w:spacing w:before="2"/>
              <w:ind w:left="282" w:right="228" w:hanging="41"/>
              <w:rPr>
                <w:b/>
                <w:sz w:val="22"/>
              </w:rPr>
            </w:pPr>
            <w:r>
              <w:rPr>
                <w:b/>
                <w:spacing w:val="-2"/>
                <w:sz w:val="22"/>
              </w:rPr>
              <w:t>Only, </w:t>
            </w:r>
            <w:r>
              <w:rPr>
                <w:b/>
                <w:spacing w:val="-5"/>
                <w:sz w:val="22"/>
              </w:rPr>
              <w:t>WW</w:t>
            </w:r>
          </w:p>
          <w:p>
            <w:pPr>
              <w:pStyle w:val="TableParagraph"/>
              <w:spacing w:line="244" w:lineRule="auto"/>
              <w:ind w:left="277" w:right="101" w:hanging="168"/>
              <w:rPr>
                <w:b/>
                <w:sz w:val="22"/>
              </w:rPr>
            </w:pPr>
            <w:r>
              <w:rPr>
                <w:b/>
                <w:sz w:val="22"/>
              </w:rPr>
              <w:t>Only,</w:t>
            </w:r>
            <w:r>
              <w:rPr>
                <w:b/>
                <w:spacing w:val="-14"/>
                <w:sz w:val="22"/>
              </w:rPr>
              <w:t> </w:t>
            </w:r>
            <w:r>
              <w:rPr>
                <w:b/>
                <w:sz w:val="22"/>
              </w:rPr>
              <w:t>or </w:t>
            </w:r>
            <w:r>
              <w:rPr>
                <w:b/>
                <w:spacing w:val="-4"/>
                <w:sz w:val="22"/>
              </w:rPr>
              <w:t>Both</w:t>
            </w:r>
          </w:p>
        </w:tc>
        <w:tc>
          <w:tcPr>
            <w:tcW w:w="793" w:type="dxa"/>
            <w:shd w:val="clear" w:color="auto" w:fill="DBE4F0"/>
          </w:tcPr>
          <w:p>
            <w:pPr>
              <w:pStyle w:val="TableParagraph"/>
              <w:rPr>
                <w:sz w:val="24"/>
              </w:rPr>
            </w:pPr>
          </w:p>
          <w:p>
            <w:pPr>
              <w:pStyle w:val="TableParagraph"/>
              <w:spacing w:before="3"/>
              <w:rPr>
                <w:sz w:val="20"/>
              </w:rPr>
            </w:pPr>
          </w:p>
          <w:p>
            <w:pPr>
              <w:pStyle w:val="TableParagraph"/>
              <w:ind w:left="161" w:right="153" w:firstLine="12"/>
              <w:rPr>
                <w:b/>
                <w:sz w:val="22"/>
              </w:rPr>
            </w:pPr>
            <w:r>
              <w:rPr>
                <w:b/>
                <w:spacing w:val="-4"/>
                <w:sz w:val="22"/>
              </w:rPr>
              <w:t>Base Year</w:t>
            </w:r>
          </w:p>
        </w:tc>
        <w:tc>
          <w:tcPr>
            <w:tcW w:w="829" w:type="dxa"/>
            <w:shd w:val="clear" w:color="auto" w:fill="DBE4F0"/>
            <w:textDirection w:val="tbRl"/>
          </w:tcPr>
          <w:p>
            <w:pPr>
              <w:pStyle w:val="TableParagraph"/>
              <w:spacing w:before="7"/>
              <w:rPr>
                <w:sz w:val="24"/>
              </w:rPr>
            </w:pPr>
          </w:p>
          <w:p>
            <w:pPr>
              <w:pStyle w:val="TableParagraph"/>
              <w:ind w:left="223"/>
              <w:rPr>
                <w:b/>
                <w:sz w:val="22"/>
              </w:rPr>
            </w:pPr>
            <w:bookmarkStart w:name="19.8. Hypothetical Budget Neutrality Tes" w:id="1078"/>
            <w:bookmarkEnd w:id="1078"/>
            <w:r>
              <w:rPr/>
            </w:r>
            <w:r>
              <w:rPr>
                <w:b/>
                <w:sz w:val="22"/>
              </w:rPr>
              <w:t>Trend</w:t>
            </w:r>
            <w:r>
              <w:rPr>
                <w:b/>
                <w:spacing w:val="-3"/>
                <w:sz w:val="22"/>
              </w:rPr>
              <w:t> </w:t>
            </w:r>
            <w:r>
              <w:rPr>
                <w:b/>
                <w:spacing w:val="-4"/>
                <w:sz w:val="22"/>
              </w:rPr>
              <w:t>Rate</w:t>
            </w:r>
          </w:p>
        </w:tc>
        <w:tc>
          <w:tcPr>
            <w:tcW w:w="1009" w:type="dxa"/>
            <w:shd w:val="clear" w:color="auto" w:fill="DBE4F0"/>
          </w:tcPr>
          <w:p>
            <w:pPr>
              <w:pStyle w:val="TableParagraph"/>
              <w:rPr>
                <w:sz w:val="24"/>
              </w:rPr>
            </w:pPr>
          </w:p>
          <w:p>
            <w:pPr>
              <w:pStyle w:val="TableParagraph"/>
              <w:spacing w:before="6"/>
              <w:rPr>
                <w:sz w:val="31"/>
              </w:rPr>
            </w:pPr>
          </w:p>
          <w:p>
            <w:pPr>
              <w:pStyle w:val="TableParagraph"/>
              <w:ind w:right="199"/>
              <w:jc w:val="right"/>
              <w:rPr>
                <w:b/>
                <w:sz w:val="22"/>
              </w:rPr>
            </w:pPr>
            <w:r>
              <w:rPr>
                <w:b/>
                <w:sz w:val="22"/>
              </w:rPr>
              <w:t>DY</w:t>
            </w:r>
            <w:r>
              <w:rPr>
                <w:b/>
                <w:spacing w:val="-1"/>
                <w:sz w:val="22"/>
              </w:rPr>
              <w:t> </w:t>
            </w:r>
            <w:r>
              <w:rPr>
                <w:b/>
                <w:spacing w:val="-5"/>
                <w:sz w:val="22"/>
              </w:rPr>
              <w:t>27</w:t>
            </w:r>
          </w:p>
        </w:tc>
        <w:tc>
          <w:tcPr>
            <w:tcW w:w="1009" w:type="dxa"/>
            <w:shd w:val="clear" w:color="auto" w:fill="DBE4F0"/>
          </w:tcPr>
          <w:p>
            <w:pPr>
              <w:pStyle w:val="TableParagraph"/>
              <w:rPr>
                <w:sz w:val="24"/>
              </w:rPr>
            </w:pPr>
          </w:p>
          <w:p>
            <w:pPr>
              <w:pStyle w:val="TableParagraph"/>
              <w:spacing w:before="6"/>
              <w:rPr>
                <w:sz w:val="31"/>
              </w:rPr>
            </w:pPr>
          </w:p>
          <w:p>
            <w:pPr>
              <w:pStyle w:val="TableParagraph"/>
              <w:ind w:right="200"/>
              <w:jc w:val="right"/>
              <w:rPr>
                <w:b/>
                <w:sz w:val="22"/>
              </w:rPr>
            </w:pPr>
            <w:r>
              <w:rPr>
                <w:b/>
                <w:sz w:val="22"/>
              </w:rPr>
              <w:t>DY</w:t>
            </w:r>
            <w:r>
              <w:rPr>
                <w:b/>
                <w:spacing w:val="-1"/>
                <w:sz w:val="22"/>
              </w:rPr>
              <w:t> </w:t>
            </w:r>
            <w:r>
              <w:rPr>
                <w:b/>
                <w:spacing w:val="-5"/>
                <w:sz w:val="22"/>
              </w:rPr>
              <w:t>28</w:t>
            </w:r>
          </w:p>
        </w:tc>
        <w:tc>
          <w:tcPr>
            <w:tcW w:w="1009" w:type="dxa"/>
            <w:shd w:val="clear" w:color="auto" w:fill="DBE4F0"/>
          </w:tcPr>
          <w:p>
            <w:pPr>
              <w:pStyle w:val="TableParagraph"/>
              <w:rPr>
                <w:sz w:val="24"/>
              </w:rPr>
            </w:pPr>
          </w:p>
          <w:p>
            <w:pPr>
              <w:pStyle w:val="TableParagraph"/>
              <w:spacing w:before="6"/>
              <w:rPr>
                <w:sz w:val="31"/>
              </w:rPr>
            </w:pPr>
          </w:p>
          <w:p>
            <w:pPr>
              <w:pStyle w:val="TableParagraph"/>
              <w:ind w:left="200"/>
              <w:rPr>
                <w:b/>
                <w:sz w:val="22"/>
              </w:rPr>
            </w:pPr>
            <w:r>
              <w:rPr>
                <w:b/>
                <w:sz w:val="22"/>
              </w:rPr>
              <w:t>DY</w:t>
            </w:r>
            <w:r>
              <w:rPr>
                <w:b/>
                <w:spacing w:val="-1"/>
                <w:sz w:val="22"/>
              </w:rPr>
              <w:t> </w:t>
            </w:r>
            <w:r>
              <w:rPr>
                <w:b/>
                <w:spacing w:val="-5"/>
                <w:sz w:val="22"/>
              </w:rPr>
              <w:t>29</w:t>
            </w:r>
          </w:p>
        </w:tc>
        <w:tc>
          <w:tcPr>
            <w:tcW w:w="1009" w:type="dxa"/>
            <w:shd w:val="clear" w:color="auto" w:fill="DBE4F0"/>
          </w:tcPr>
          <w:p>
            <w:pPr>
              <w:pStyle w:val="TableParagraph"/>
              <w:rPr>
                <w:sz w:val="24"/>
              </w:rPr>
            </w:pPr>
          </w:p>
          <w:p>
            <w:pPr>
              <w:pStyle w:val="TableParagraph"/>
              <w:spacing w:before="6"/>
              <w:rPr>
                <w:sz w:val="31"/>
              </w:rPr>
            </w:pPr>
          </w:p>
          <w:p>
            <w:pPr>
              <w:pStyle w:val="TableParagraph"/>
              <w:ind w:left="126" w:right="129"/>
              <w:jc w:val="center"/>
              <w:rPr>
                <w:b/>
                <w:sz w:val="22"/>
              </w:rPr>
            </w:pPr>
            <w:r>
              <w:rPr>
                <w:b/>
                <w:sz w:val="22"/>
              </w:rPr>
              <w:t>DY</w:t>
            </w:r>
            <w:r>
              <w:rPr>
                <w:b/>
                <w:spacing w:val="-1"/>
                <w:sz w:val="22"/>
              </w:rPr>
              <w:t> </w:t>
            </w:r>
            <w:r>
              <w:rPr>
                <w:b/>
                <w:spacing w:val="-5"/>
                <w:sz w:val="22"/>
              </w:rPr>
              <w:t>30</w:t>
            </w:r>
          </w:p>
        </w:tc>
        <w:tc>
          <w:tcPr>
            <w:tcW w:w="1081" w:type="dxa"/>
            <w:shd w:val="clear" w:color="auto" w:fill="DBE4F0"/>
          </w:tcPr>
          <w:p>
            <w:pPr>
              <w:pStyle w:val="TableParagraph"/>
              <w:rPr>
                <w:sz w:val="24"/>
              </w:rPr>
            </w:pPr>
          </w:p>
          <w:p>
            <w:pPr>
              <w:pStyle w:val="TableParagraph"/>
              <w:spacing w:before="6"/>
              <w:rPr>
                <w:sz w:val="31"/>
              </w:rPr>
            </w:pPr>
          </w:p>
          <w:p>
            <w:pPr>
              <w:pStyle w:val="TableParagraph"/>
              <w:ind w:left="161" w:right="166"/>
              <w:jc w:val="center"/>
              <w:rPr>
                <w:b/>
                <w:sz w:val="22"/>
              </w:rPr>
            </w:pPr>
            <w:r>
              <w:rPr>
                <w:b/>
                <w:sz w:val="22"/>
              </w:rPr>
              <w:t>DY</w:t>
            </w:r>
            <w:r>
              <w:rPr>
                <w:b/>
                <w:spacing w:val="-1"/>
                <w:sz w:val="22"/>
              </w:rPr>
              <w:t> </w:t>
            </w:r>
            <w:r>
              <w:rPr>
                <w:b/>
                <w:spacing w:val="-5"/>
                <w:sz w:val="22"/>
              </w:rPr>
              <w:t>31</w:t>
            </w:r>
          </w:p>
        </w:tc>
        <w:tc>
          <w:tcPr>
            <w:tcW w:w="1081" w:type="dxa"/>
            <w:shd w:val="clear" w:color="auto" w:fill="DBE4F0"/>
          </w:tcPr>
          <w:p>
            <w:pPr>
              <w:pStyle w:val="TableParagraph"/>
              <w:rPr>
                <w:sz w:val="24"/>
              </w:rPr>
            </w:pPr>
          </w:p>
          <w:p>
            <w:pPr>
              <w:pStyle w:val="TableParagraph"/>
              <w:spacing w:before="6"/>
              <w:rPr>
                <w:sz w:val="31"/>
              </w:rPr>
            </w:pPr>
          </w:p>
          <w:p>
            <w:pPr>
              <w:pStyle w:val="TableParagraph"/>
              <w:ind w:left="159" w:right="166"/>
              <w:jc w:val="center"/>
              <w:rPr>
                <w:b/>
                <w:sz w:val="22"/>
              </w:rPr>
            </w:pPr>
            <w:r>
              <w:rPr>
                <w:b/>
                <w:sz w:val="22"/>
              </w:rPr>
              <w:t>DY</w:t>
            </w:r>
            <w:r>
              <w:rPr>
                <w:b/>
                <w:spacing w:val="-1"/>
                <w:sz w:val="22"/>
              </w:rPr>
              <w:t> </w:t>
            </w:r>
            <w:r>
              <w:rPr>
                <w:b/>
                <w:spacing w:val="-5"/>
                <w:sz w:val="22"/>
              </w:rPr>
              <w:t>32</w:t>
            </w:r>
          </w:p>
        </w:tc>
      </w:tr>
      <w:tr>
        <w:trPr>
          <w:trHeight w:val="781" w:hRule="atLeast"/>
        </w:trPr>
        <w:tc>
          <w:tcPr>
            <w:tcW w:w="1253" w:type="dxa"/>
          </w:tcPr>
          <w:p>
            <w:pPr>
              <w:pStyle w:val="TableParagraph"/>
              <w:spacing w:before="135"/>
              <w:ind w:left="107" w:right="158"/>
              <w:rPr>
                <w:sz w:val="22"/>
              </w:rPr>
            </w:pPr>
            <w:r>
              <w:rPr>
                <w:sz w:val="22"/>
              </w:rPr>
              <w:t>New</w:t>
            </w:r>
            <w:r>
              <w:rPr>
                <w:spacing w:val="-14"/>
                <w:sz w:val="22"/>
              </w:rPr>
              <w:t> </w:t>
            </w:r>
            <w:r>
              <w:rPr>
                <w:sz w:val="22"/>
              </w:rPr>
              <w:t>Adult </w:t>
            </w:r>
            <w:r>
              <w:rPr>
                <w:spacing w:val="-2"/>
                <w:sz w:val="22"/>
              </w:rPr>
              <w:t>Group</w:t>
            </w:r>
          </w:p>
        </w:tc>
        <w:tc>
          <w:tcPr>
            <w:tcW w:w="723" w:type="dxa"/>
          </w:tcPr>
          <w:p>
            <w:pPr>
              <w:pStyle w:val="TableParagraph"/>
              <w:spacing w:before="9"/>
              <w:rPr>
                <w:sz w:val="22"/>
              </w:rPr>
            </w:pPr>
          </w:p>
          <w:p>
            <w:pPr>
              <w:pStyle w:val="TableParagraph"/>
              <w:ind w:left="225"/>
              <w:rPr>
                <w:sz w:val="22"/>
              </w:rPr>
            </w:pPr>
            <w:r>
              <w:rPr>
                <w:spacing w:val="-5"/>
                <w:sz w:val="22"/>
              </w:rPr>
              <w:t>PC</w:t>
            </w:r>
          </w:p>
        </w:tc>
        <w:tc>
          <w:tcPr>
            <w:tcW w:w="1009" w:type="dxa"/>
          </w:tcPr>
          <w:p>
            <w:pPr>
              <w:pStyle w:val="TableParagraph"/>
              <w:spacing w:before="9"/>
              <w:rPr>
                <w:sz w:val="22"/>
              </w:rPr>
            </w:pPr>
          </w:p>
          <w:p>
            <w:pPr>
              <w:pStyle w:val="TableParagraph"/>
              <w:ind w:left="289"/>
              <w:rPr>
                <w:sz w:val="22"/>
              </w:rPr>
            </w:pPr>
            <w:r>
              <w:rPr>
                <w:spacing w:val="-4"/>
                <w:sz w:val="22"/>
              </w:rPr>
              <w:t>Both</w:t>
            </w:r>
          </w:p>
        </w:tc>
        <w:tc>
          <w:tcPr>
            <w:tcW w:w="793" w:type="dxa"/>
          </w:tcPr>
          <w:p>
            <w:pPr>
              <w:pStyle w:val="TableParagraph"/>
              <w:spacing w:before="9"/>
              <w:rPr>
                <w:sz w:val="22"/>
              </w:rPr>
            </w:pPr>
          </w:p>
          <w:p>
            <w:pPr>
              <w:pStyle w:val="TableParagraph"/>
              <w:ind w:left="173"/>
              <w:rPr>
                <w:sz w:val="22"/>
              </w:rPr>
            </w:pPr>
            <w:r>
              <w:rPr>
                <w:spacing w:val="-4"/>
                <w:sz w:val="22"/>
              </w:rPr>
              <w:t>2019</w:t>
            </w:r>
          </w:p>
        </w:tc>
        <w:tc>
          <w:tcPr>
            <w:tcW w:w="829" w:type="dxa"/>
          </w:tcPr>
          <w:p>
            <w:pPr>
              <w:pStyle w:val="TableParagraph"/>
              <w:spacing w:before="9"/>
              <w:rPr>
                <w:sz w:val="22"/>
              </w:rPr>
            </w:pPr>
          </w:p>
          <w:p>
            <w:pPr>
              <w:pStyle w:val="TableParagraph"/>
              <w:ind w:left="126"/>
              <w:rPr>
                <w:sz w:val="22"/>
              </w:rPr>
            </w:pPr>
            <w:r>
              <w:rPr>
                <w:spacing w:val="-2"/>
                <w:sz w:val="22"/>
              </w:rPr>
              <w:t>5.50%</w:t>
            </w:r>
          </w:p>
        </w:tc>
        <w:tc>
          <w:tcPr>
            <w:tcW w:w="1009" w:type="dxa"/>
          </w:tcPr>
          <w:p>
            <w:pPr>
              <w:pStyle w:val="TableParagraph"/>
              <w:spacing w:before="9"/>
              <w:rPr>
                <w:sz w:val="22"/>
              </w:rPr>
            </w:pPr>
          </w:p>
          <w:p>
            <w:pPr>
              <w:pStyle w:val="TableParagraph"/>
              <w:ind w:right="137"/>
              <w:jc w:val="right"/>
              <w:rPr>
                <w:sz w:val="22"/>
              </w:rPr>
            </w:pPr>
            <w:r>
              <w:rPr>
                <w:spacing w:val="-2"/>
                <w:sz w:val="22"/>
              </w:rPr>
              <w:t>$694.88</w:t>
            </w:r>
          </w:p>
        </w:tc>
        <w:tc>
          <w:tcPr>
            <w:tcW w:w="1009" w:type="dxa"/>
          </w:tcPr>
          <w:p>
            <w:pPr>
              <w:pStyle w:val="TableParagraph"/>
              <w:spacing w:before="9"/>
              <w:rPr>
                <w:sz w:val="22"/>
              </w:rPr>
            </w:pPr>
          </w:p>
          <w:p>
            <w:pPr>
              <w:pStyle w:val="TableParagraph"/>
              <w:ind w:right="138"/>
              <w:jc w:val="right"/>
              <w:rPr>
                <w:sz w:val="22"/>
              </w:rPr>
            </w:pPr>
            <w:r>
              <w:rPr>
                <w:spacing w:val="-2"/>
                <w:sz w:val="22"/>
              </w:rPr>
              <w:t>$718.53</w:t>
            </w:r>
          </w:p>
        </w:tc>
        <w:tc>
          <w:tcPr>
            <w:tcW w:w="1009" w:type="dxa"/>
          </w:tcPr>
          <w:p>
            <w:pPr>
              <w:pStyle w:val="TableParagraph"/>
              <w:spacing w:before="9"/>
              <w:rPr>
                <w:sz w:val="22"/>
              </w:rPr>
            </w:pPr>
          </w:p>
          <w:p>
            <w:pPr>
              <w:pStyle w:val="TableParagraph"/>
              <w:ind w:left="140"/>
              <w:rPr>
                <w:sz w:val="22"/>
              </w:rPr>
            </w:pPr>
            <w:r>
              <w:rPr>
                <w:spacing w:val="-2"/>
                <w:sz w:val="22"/>
              </w:rPr>
              <w:t>$758.05</w:t>
            </w:r>
          </w:p>
        </w:tc>
        <w:tc>
          <w:tcPr>
            <w:tcW w:w="1009" w:type="dxa"/>
          </w:tcPr>
          <w:p>
            <w:pPr>
              <w:pStyle w:val="TableParagraph"/>
              <w:spacing w:before="9"/>
              <w:rPr>
                <w:sz w:val="22"/>
              </w:rPr>
            </w:pPr>
          </w:p>
          <w:p>
            <w:pPr>
              <w:pStyle w:val="TableParagraph"/>
              <w:ind w:left="128" w:right="129"/>
              <w:jc w:val="center"/>
              <w:rPr>
                <w:sz w:val="22"/>
              </w:rPr>
            </w:pPr>
            <w:r>
              <w:rPr>
                <w:spacing w:val="-2"/>
                <w:sz w:val="22"/>
              </w:rPr>
              <w:t>$799.74</w:t>
            </w:r>
          </w:p>
        </w:tc>
        <w:tc>
          <w:tcPr>
            <w:tcW w:w="1081" w:type="dxa"/>
          </w:tcPr>
          <w:p>
            <w:pPr>
              <w:pStyle w:val="TableParagraph"/>
              <w:spacing w:before="9"/>
              <w:rPr>
                <w:sz w:val="22"/>
              </w:rPr>
            </w:pPr>
          </w:p>
          <w:p>
            <w:pPr>
              <w:pStyle w:val="TableParagraph"/>
              <w:ind w:left="162" w:right="165"/>
              <w:jc w:val="center"/>
              <w:rPr>
                <w:sz w:val="22"/>
              </w:rPr>
            </w:pPr>
            <w:r>
              <w:rPr>
                <w:spacing w:val="-2"/>
                <w:sz w:val="22"/>
              </w:rPr>
              <w:t>$843.72</w:t>
            </w:r>
          </w:p>
        </w:tc>
        <w:tc>
          <w:tcPr>
            <w:tcW w:w="1081" w:type="dxa"/>
          </w:tcPr>
          <w:p>
            <w:pPr>
              <w:pStyle w:val="TableParagraph"/>
              <w:spacing w:before="9"/>
              <w:rPr>
                <w:sz w:val="22"/>
              </w:rPr>
            </w:pPr>
          </w:p>
          <w:p>
            <w:pPr>
              <w:pStyle w:val="TableParagraph"/>
              <w:ind w:left="161" w:right="166"/>
              <w:jc w:val="center"/>
              <w:rPr>
                <w:sz w:val="22"/>
              </w:rPr>
            </w:pPr>
            <w:r>
              <w:rPr>
                <w:spacing w:val="-2"/>
                <w:sz w:val="22"/>
              </w:rPr>
              <w:t>$890.13</w:t>
            </w:r>
          </w:p>
        </w:tc>
      </w:tr>
    </w:tbl>
    <w:p>
      <w:pPr>
        <w:pStyle w:val="BodyText"/>
        <w:rPr>
          <w:sz w:val="26"/>
        </w:rPr>
      </w:pPr>
    </w:p>
    <w:p>
      <w:pPr>
        <w:pStyle w:val="BodyText"/>
        <w:spacing w:before="215"/>
        <w:ind w:left="1471" w:right="918"/>
      </w:pPr>
      <w:r>
        <w:rPr/>
        <w:drawing>
          <wp:anchor distT="0" distB="0" distL="0" distR="0" allowOverlap="1" layoutInCell="1" locked="0" behindDoc="0" simplePos="0" relativeHeight="16112640">
            <wp:simplePos x="0" y="0"/>
            <wp:positionH relativeFrom="page">
              <wp:posOffset>908303</wp:posOffset>
            </wp:positionH>
            <wp:positionV relativeFrom="paragraph">
              <wp:posOffset>172137</wp:posOffset>
            </wp:positionV>
            <wp:extent cx="283463" cy="112763"/>
            <wp:effectExtent l="0" t="0" r="0" b="0"/>
            <wp:wrapNone/>
            <wp:docPr id="774" name="Image 774"/>
            <wp:cNvGraphicFramePr>
              <a:graphicFrameLocks/>
            </wp:cNvGraphicFramePr>
            <a:graphic>
              <a:graphicData uri="http://schemas.openxmlformats.org/drawingml/2006/picture">
                <pic:pic>
                  <pic:nvPicPr>
                    <pic:cNvPr id="774" name="Image 774"/>
                    <pic:cNvPicPr/>
                  </pic:nvPicPr>
                  <pic:blipFill>
                    <a:blip r:embed="rId302" cstate="print"/>
                    <a:stretch>
                      <a:fillRect/>
                    </a:stretch>
                  </pic:blipFill>
                  <pic:spPr>
                    <a:xfrm>
                      <a:off x="0" y="0"/>
                      <a:ext cx="283463" cy="112763"/>
                    </a:xfrm>
                    <a:prstGeom prst="rect">
                      <a:avLst/>
                    </a:prstGeom>
                  </pic:spPr>
                </pic:pic>
              </a:graphicData>
            </a:graphic>
          </wp:anchor>
        </w:drawing>
      </w:r>
      <w:r>
        <w:rPr>
          <w:b/>
        </w:rPr>
        <w:t>Hypothetical Budget Neutrality Test 3: Marketplace Subsidies. </w:t>
      </w:r>
      <w:r>
        <w:rPr/>
        <w:t>The table below identifies</w:t>
      </w:r>
      <w:r>
        <w:rPr>
          <w:spacing w:val="-2"/>
        </w:rPr>
        <w:t> </w:t>
      </w:r>
      <w:r>
        <w:rPr/>
        <w:t>the</w:t>
      </w:r>
      <w:r>
        <w:rPr>
          <w:spacing w:val="-3"/>
        </w:rPr>
        <w:t> </w:t>
      </w:r>
      <w:r>
        <w:rPr/>
        <w:t>MEGs</w:t>
      </w:r>
      <w:r>
        <w:rPr>
          <w:spacing w:val="-2"/>
        </w:rPr>
        <w:t> </w:t>
      </w:r>
      <w:r>
        <w:rPr/>
        <w:t>that</w:t>
      </w:r>
      <w:r>
        <w:rPr>
          <w:spacing w:val="-2"/>
        </w:rPr>
        <w:t> </w:t>
      </w:r>
      <w:r>
        <w:rPr/>
        <w:t>are</w:t>
      </w:r>
      <w:r>
        <w:rPr>
          <w:spacing w:val="-3"/>
        </w:rPr>
        <w:t> </w:t>
      </w:r>
      <w:r>
        <w:rPr/>
        <w:t>used for</w:t>
      </w:r>
      <w:r>
        <w:rPr>
          <w:spacing w:val="-3"/>
        </w:rPr>
        <w:t> </w:t>
      </w:r>
      <w:r>
        <w:rPr/>
        <w:t>Hypothetical Budget</w:t>
      </w:r>
      <w:r>
        <w:rPr>
          <w:spacing w:val="-2"/>
        </w:rPr>
        <w:t> </w:t>
      </w:r>
      <w:r>
        <w:rPr/>
        <w:t>Neutrality</w:t>
      </w:r>
      <w:r>
        <w:rPr>
          <w:spacing w:val="-7"/>
        </w:rPr>
        <w:t> </w:t>
      </w:r>
      <w:r>
        <w:rPr/>
        <w:t>Test</w:t>
      </w:r>
      <w:r>
        <w:rPr>
          <w:spacing w:val="-2"/>
        </w:rPr>
        <w:t> </w:t>
      </w:r>
      <w:r>
        <w:rPr/>
        <w:t>3.</w:t>
      </w:r>
      <w:r>
        <w:rPr>
          <w:spacing w:val="-2"/>
        </w:rPr>
        <w:t> </w:t>
      </w:r>
      <w:r>
        <w:rPr/>
        <w:t>MEGs</w:t>
      </w:r>
      <w:r>
        <w:rPr>
          <w:spacing w:val="-2"/>
        </w:rPr>
        <w:t> </w:t>
      </w:r>
      <w:r>
        <w:rPr/>
        <w:t>that are</w:t>
      </w:r>
      <w:r>
        <w:rPr>
          <w:spacing w:val="-4"/>
        </w:rPr>
        <w:t> </w:t>
      </w:r>
      <w:r>
        <w:rPr/>
        <w:t>designated</w:t>
      </w:r>
      <w:r>
        <w:rPr>
          <w:spacing w:val="-3"/>
        </w:rPr>
        <w:t> </w:t>
      </w:r>
      <w:r>
        <w:rPr/>
        <w:t>“WOW</w:t>
      </w:r>
      <w:r>
        <w:rPr>
          <w:spacing w:val="-2"/>
        </w:rPr>
        <w:t> </w:t>
      </w:r>
      <w:r>
        <w:rPr/>
        <w:t>Only”</w:t>
      </w:r>
      <w:r>
        <w:rPr>
          <w:spacing w:val="-4"/>
        </w:rPr>
        <w:t> </w:t>
      </w:r>
      <w:r>
        <w:rPr/>
        <w:t>or</w:t>
      </w:r>
      <w:r>
        <w:rPr>
          <w:spacing w:val="-2"/>
        </w:rPr>
        <w:t> </w:t>
      </w:r>
      <w:r>
        <w:rPr/>
        <w:t>“Both”</w:t>
      </w:r>
      <w:r>
        <w:rPr>
          <w:spacing w:val="-4"/>
        </w:rPr>
        <w:t> </w:t>
      </w:r>
      <w:r>
        <w:rPr/>
        <w:t>are</w:t>
      </w:r>
      <w:r>
        <w:rPr>
          <w:spacing w:val="-4"/>
        </w:rPr>
        <w:t> </w:t>
      </w:r>
      <w:r>
        <w:rPr/>
        <w:t>the</w:t>
      </w:r>
      <w:r>
        <w:rPr>
          <w:spacing w:val="-4"/>
        </w:rPr>
        <w:t> </w:t>
      </w:r>
      <w:r>
        <w:rPr/>
        <w:t>components</w:t>
      </w:r>
      <w:r>
        <w:rPr>
          <w:spacing w:val="-3"/>
        </w:rPr>
        <w:t> </w:t>
      </w:r>
      <w:r>
        <w:rPr/>
        <w:t>used</w:t>
      </w:r>
      <w:r>
        <w:rPr>
          <w:spacing w:val="-3"/>
        </w:rPr>
        <w:t> </w:t>
      </w:r>
      <w:r>
        <w:rPr/>
        <w:t>to</w:t>
      </w:r>
      <w:r>
        <w:rPr>
          <w:spacing w:val="-3"/>
        </w:rPr>
        <w:t> </w:t>
      </w:r>
      <w:r>
        <w:rPr/>
        <w:t>calculate</w:t>
      </w:r>
      <w:r>
        <w:rPr>
          <w:spacing w:val="-4"/>
        </w:rPr>
        <w:t> </w:t>
      </w:r>
      <w:r>
        <w:rPr/>
        <w:t>the</w:t>
      </w:r>
      <w:r>
        <w:rPr>
          <w:spacing w:val="-4"/>
        </w:rPr>
        <w:t> </w:t>
      </w:r>
      <w:r>
        <w:rPr/>
        <w:t>budget neutrality</w:t>
      </w:r>
      <w:r>
        <w:rPr>
          <w:spacing w:val="-1"/>
        </w:rPr>
        <w:t> </w:t>
      </w:r>
      <w:r>
        <w:rPr/>
        <w:t>expenditure limit.</w:t>
      </w:r>
      <w:r>
        <w:rPr>
          <w:spacing w:val="40"/>
        </w:rPr>
        <w:t> </w:t>
      </w:r>
      <w:r>
        <w:rPr/>
        <w:t>The Composite Federal Share for the Hypothetical Budget Neutrality Test is calculated based on all MEGs indicated as “WW Only” or “Both.” MEGs that are indicated as “WW Only” or “Both” are counted as expenditures against this budget neutrality expenditure limit.</w:t>
      </w:r>
      <w:r>
        <w:rPr>
          <w:spacing w:val="40"/>
        </w:rPr>
        <w:t> </w:t>
      </w:r>
      <w:r>
        <w:rPr/>
        <w:t>Any expenditures in excess of the limit from Hypothetical</w:t>
      </w:r>
      <w:r>
        <w:rPr>
          <w:spacing w:val="-1"/>
        </w:rPr>
        <w:t> </w:t>
      </w:r>
      <w:r>
        <w:rPr/>
        <w:t>Budget</w:t>
      </w:r>
      <w:r>
        <w:rPr>
          <w:spacing w:val="-1"/>
        </w:rPr>
        <w:t> </w:t>
      </w:r>
      <w:r>
        <w:rPr/>
        <w:t>Neutrality</w:t>
      </w:r>
      <w:r>
        <w:rPr>
          <w:spacing w:val="-6"/>
        </w:rPr>
        <w:t> </w:t>
      </w:r>
      <w:r>
        <w:rPr/>
        <w:t>Test</w:t>
      </w:r>
      <w:r>
        <w:rPr>
          <w:spacing w:val="-1"/>
        </w:rPr>
        <w:t> </w:t>
      </w:r>
      <w:r>
        <w:rPr/>
        <w:t>3</w:t>
      </w:r>
      <w:r>
        <w:rPr>
          <w:spacing w:val="-1"/>
        </w:rPr>
        <w:t> </w:t>
      </w:r>
      <w:r>
        <w:rPr/>
        <w:t>are</w:t>
      </w:r>
      <w:r>
        <w:rPr>
          <w:spacing w:val="-2"/>
        </w:rPr>
        <w:t> </w:t>
      </w:r>
      <w:r>
        <w:rPr/>
        <w:t>counted as</w:t>
      </w:r>
      <w:r>
        <w:rPr>
          <w:spacing w:val="-1"/>
        </w:rPr>
        <w:t> </w:t>
      </w:r>
      <w:r>
        <w:rPr/>
        <w:t>WW expenditures</w:t>
      </w:r>
      <w:r>
        <w:rPr>
          <w:spacing w:val="-1"/>
        </w:rPr>
        <w:t> </w:t>
      </w:r>
      <w:r>
        <w:rPr/>
        <w:t>under</w:t>
      </w:r>
      <w:r>
        <w:rPr>
          <w:spacing w:val="-2"/>
        </w:rPr>
        <w:t> </w:t>
      </w:r>
      <w:r>
        <w:rPr/>
        <w:t>the</w:t>
      </w:r>
      <w:r>
        <w:rPr>
          <w:spacing w:val="-2"/>
        </w:rPr>
        <w:t> </w:t>
      </w:r>
      <w:r>
        <w:rPr/>
        <w:t>Main Budget Neutrality Test.</w:t>
      </w:r>
    </w:p>
    <w:p>
      <w:pPr>
        <w:pStyle w:val="BodyText"/>
        <w:spacing w:before="2"/>
        <w:rPr>
          <w:sz w:val="21"/>
        </w:r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46"/>
        <w:gridCol w:w="628"/>
        <w:gridCol w:w="1007"/>
        <w:gridCol w:w="791"/>
        <w:gridCol w:w="827"/>
        <w:gridCol w:w="1007"/>
        <w:gridCol w:w="1007"/>
        <w:gridCol w:w="1007"/>
        <w:gridCol w:w="1007"/>
        <w:gridCol w:w="1079"/>
        <w:gridCol w:w="1079"/>
      </w:tblGrid>
      <w:tr>
        <w:trPr>
          <w:trHeight w:val="477" w:hRule="atLeast"/>
        </w:trPr>
        <w:tc>
          <w:tcPr>
            <w:tcW w:w="10785" w:type="dxa"/>
            <w:gridSpan w:val="11"/>
            <w:shd w:val="clear" w:color="auto" w:fill="DBE4F0"/>
          </w:tcPr>
          <w:p>
            <w:pPr>
              <w:pStyle w:val="TableParagraph"/>
              <w:spacing w:before="61"/>
              <w:ind w:left="3136" w:right="3117"/>
              <w:jc w:val="center"/>
              <w:rPr>
                <w:b/>
                <w:sz w:val="22"/>
              </w:rPr>
            </w:pPr>
            <w:r>
              <w:rPr>
                <w:b/>
                <w:sz w:val="22"/>
              </w:rPr>
              <w:t>Table</w:t>
            </w:r>
            <w:r>
              <w:rPr>
                <w:b/>
                <w:spacing w:val="-5"/>
                <w:sz w:val="22"/>
              </w:rPr>
              <w:t> </w:t>
            </w:r>
            <w:r>
              <w:rPr>
                <w:b/>
                <w:sz w:val="22"/>
              </w:rPr>
              <w:t>23:</w:t>
            </w:r>
            <w:r>
              <w:rPr>
                <w:b/>
                <w:spacing w:val="-8"/>
                <w:sz w:val="22"/>
              </w:rPr>
              <w:t> </w:t>
            </w:r>
            <w:r>
              <w:rPr>
                <w:b/>
                <w:sz w:val="22"/>
              </w:rPr>
              <w:t>Hypothetical</w:t>
            </w:r>
            <w:r>
              <w:rPr>
                <w:b/>
                <w:spacing w:val="-7"/>
                <w:sz w:val="22"/>
              </w:rPr>
              <w:t> </w:t>
            </w:r>
            <w:r>
              <w:rPr>
                <w:b/>
                <w:sz w:val="22"/>
              </w:rPr>
              <w:t>Budget</w:t>
            </w:r>
            <w:r>
              <w:rPr>
                <w:b/>
                <w:spacing w:val="-3"/>
                <w:sz w:val="22"/>
              </w:rPr>
              <w:t> </w:t>
            </w:r>
            <w:r>
              <w:rPr>
                <w:b/>
                <w:sz w:val="22"/>
              </w:rPr>
              <w:t>Neutrality</w:t>
            </w:r>
            <w:r>
              <w:rPr>
                <w:b/>
                <w:spacing w:val="-5"/>
                <w:sz w:val="22"/>
              </w:rPr>
              <w:t> </w:t>
            </w:r>
            <w:r>
              <w:rPr>
                <w:b/>
                <w:sz w:val="22"/>
              </w:rPr>
              <w:t>Test</w:t>
            </w:r>
            <w:r>
              <w:rPr>
                <w:b/>
                <w:spacing w:val="-3"/>
                <w:sz w:val="22"/>
              </w:rPr>
              <w:t> </w:t>
            </w:r>
            <w:r>
              <w:rPr>
                <w:b/>
                <w:spacing w:val="-10"/>
                <w:sz w:val="22"/>
              </w:rPr>
              <w:t>3</w:t>
            </w:r>
          </w:p>
        </w:tc>
      </w:tr>
      <w:tr>
        <w:trPr>
          <w:trHeight w:val="1528" w:hRule="atLeast"/>
        </w:trPr>
        <w:tc>
          <w:tcPr>
            <w:tcW w:w="1346" w:type="dxa"/>
            <w:shd w:val="clear" w:color="auto" w:fill="DBE4F0"/>
          </w:tcPr>
          <w:p>
            <w:pPr>
              <w:pStyle w:val="TableParagraph"/>
              <w:rPr>
                <w:sz w:val="24"/>
              </w:rPr>
            </w:pPr>
          </w:p>
          <w:p>
            <w:pPr>
              <w:pStyle w:val="TableParagraph"/>
              <w:spacing w:before="6"/>
              <w:rPr>
                <w:sz w:val="31"/>
              </w:rPr>
            </w:pPr>
          </w:p>
          <w:p>
            <w:pPr>
              <w:pStyle w:val="TableParagraph"/>
              <w:ind w:left="407"/>
              <w:rPr>
                <w:b/>
                <w:sz w:val="22"/>
              </w:rPr>
            </w:pPr>
            <w:r>
              <w:rPr>
                <w:b/>
                <w:spacing w:val="-5"/>
                <w:sz w:val="22"/>
              </w:rPr>
              <w:t>MEG</w:t>
            </w:r>
          </w:p>
        </w:tc>
        <w:tc>
          <w:tcPr>
            <w:tcW w:w="628" w:type="dxa"/>
            <w:shd w:val="clear" w:color="auto" w:fill="DBE4F0"/>
          </w:tcPr>
          <w:p>
            <w:pPr>
              <w:pStyle w:val="TableParagraph"/>
              <w:spacing w:before="2"/>
              <w:rPr>
                <w:sz w:val="33"/>
              </w:rPr>
            </w:pPr>
          </w:p>
          <w:p>
            <w:pPr>
              <w:pStyle w:val="TableParagraph"/>
              <w:spacing w:before="1"/>
              <w:ind w:left="165"/>
              <w:rPr>
                <w:b/>
                <w:sz w:val="22"/>
              </w:rPr>
            </w:pPr>
            <w:r>
              <w:rPr>
                <w:b/>
                <w:spacing w:val="-5"/>
                <w:sz w:val="22"/>
              </w:rPr>
              <w:t>PC</w:t>
            </w:r>
          </w:p>
          <w:p>
            <w:pPr>
              <w:pStyle w:val="TableParagraph"/>
              <w:spacing w:before="1"/>
              <w:ind w:left="122" w:right="109" w:firstLine="86"/>
              <w:rPr>
                <w:b/>
                <w:sz w:val="22"/>
              </w:rPr>
            </w:pPr>
            <w:r>
              <w:rPr>
                <w:b/>
                <w:spacing w:val="-6"/>
                <w:sz w:val="22"/>
              </w:rPr>
              <w:t>or </w:t>
            </w:r>
            <w:r>
              <w:rPr>
                <w:b/>
                <w:spacing w:val="-4"/>
                <w:sz w:val="22"/>
              </w:rPr>
              <w:t>Agg</w:t>
            </w:r>
          </w:p>
        </w:tc>
        <w:tc>
          <w:tcPr>
            <w:tcW w:w="1007" w:type="dxa"/>
            <w:shd w:val="clear" w:color="auto" w:fill="DBE4F0"/>
          </w:tcPr>
          <w:p>
            <w:pPr>
              <w:pStyle w:val="TableParagraph"/>
              <w:spacing w:line="252" w:lineRule="exact" w:before="130"/>
              <w:ind w:left="197"/>
              <w:rPr>
                <w:b/>
                <w:sz w:val="22"/>
              </w:rPr>
            </w:pPr>
            <w:r>
              <w:rPr>
                <w:b/>
                <w:spacing w:val="-5"/>
                <w:sz w:val="22"/>
              </w:rPr>
              <w:t>WOW</w:t>
            </w:r>
          </w:p>
          <w:p>
            <w:pPr>
              <w:pStyle w:val="TableParagraph"/>
              <w:ind w:left="284" w:right="224" w:hanging="41"/>
              <w:rPr>
                <w:b/>
                <w:sz w:val="22"/>
              </w:rPr>
            </w:pPr>
            <w:r>
              <w:rPr>
                <w:b/>
                <w:spacing w:val="-2"/>
                <w:sz w:val="22"/>
              </w:rPr>
              <w:t>Only, </w:t>
            </w:r>
            <w:r>
              <w:rPr>
                <w:b/>
                <w:spacing w:val="-5"/>
                <w:sz w:val="22"/>
              </w:rPr>
              <w:t>WW</w:t>
            </w:r>
          </w:p>
          <w:p>
            <w:pPr>
              <w:pStyle w:val="TableParagraph"/>
              <w:spacing w:line="244" w:lineRule="auto"/>
              <w:ind w:left="279" w:right="97" w:hanging="168"/>
              <w:rPr>
                <w:b/>
                <w:sz w:val="22"/>
              </w:rPr>
            </w:pPr>
            <w:r>
              <w:rPr>
                <w:b/>
                <w:sz w:val="22"/>
              </w:rPr>
              <w:t>Only,</w:t>
            </w:r>
            <w:r>
              <w:rPr>
                <w:b/>
                <w:spacing w:val="-14"/>
                <w:sz w:val="22"/>
              </w:rPr>
              <w:t> </w:t>
            </w:r>
            <w:r>
              <w:rPr>
                <w:b/>
                <w:sz w:val="22"/>
              </w:rPr>
              <w:t>or </w:t>
            </w:r>
            <w:r>
              <w:rPr>
                <w:b/>
                <w:spacing w:val="-4"/>
                <w:sz w:val="22"/>
              </w:rPr>
              <w:t>Both</w:t>
            </w:r>
          </w:p>
        </w:tc>
        <w:tc>
          <w:tcPr>
            <w:tcW w:w="791" w:type="dxa"/>
            <w:shd w:val="clear" w:color="auto" w:fill="DBE4F0"/>
          </w:tcPr>
          <w:p>
            <w:pPr>
              <w:pStyle w:val="TableParagraph"/>
              <w:rPr>
                <w:sz w:val="24"/>
              </w:rPr>
            </w:pPr>
          </w:p>
          <w:p>
            <w:pPr>
              <w:pStyle w:val="TableParagraph"/>
              <w:spacing w:before="3"/>
              <w:rPr>
                <w:sz w:val="20"/>
              </w:rPr>
            </w:pPr>
          </w:p>
          <w:p>
            <w:pPr>
              <w:pStyle w:val="TableParagraph"/>
              <w:ind w:left="165" w:right="147" w:firstLine="12"/>
              <w:rPr>
                <w:b/>
                <w:sz w:val="22"/>
              </w:rPr>
            </w:pPr>
            <w:r>
              <w:rPr>
                <w:b/>
                <w:spacing w:val="-4"/>
                <w:sz w:val="22"/>
              </w:rPr>
              <w:t>Base Year</w:t>
            </w:r>
          </w:p>
        </w:tc>
        <w:tc>
          <w:tcPr>
            <w:tcW w:w="827" w:type="dxa"/>
            <w:shd w:val="clear" w:color="auto" w:fill="DBE4F0"/>
            <w:textDirection w:val="tbRl"/>
          </w:tcPr>
          <w:p>
            <w:pPr>
              <w:pStyle w:val="TableParagraph"/>
              <w:spacing w:before="10"/>
              <w:rPr>
                <w:sz w:val="23"/>
              </w:rPr>
            </w:pPr>
          </w:p>
          <w:p>
            <w:pPr>
              <w:pStyle w:val="TableParagraph"/>
              <w:ind w:left="223"/>
              <w:rPr>
                <w:b/>
                <w:sz w:val="22"/>
              </w:rPr>
            </w:pPr>
            <w:r>
              <w:rPr>
                <w:b/>
                <w:sz w:val="22"/>
              </w:rPr>
              <w:t>Trend</w:t>
            </w:r>
            <w:r>
              <w:rPr>
                <w:b/>
                <w:spacing w:val="-3"/>
                <w:sz w:val="22"/>
              </w:rPr>
              <w:t> </w:t>
            </w:r>
            <w:r>
              <w:rPr>
                <w:b/>
                <w:spacing w:val="-4"/>
                <w:sz w:val="22"/>
              </w:rPr>
              <w:t>Rate</w:t>
            </w:r>
          </w:p>
        </w:tc>
        <w:tc>
          <w:tcPr>
            <w:tcW w:w="1007" w:type="dxa"/>
            <w:shd w:val="clear" w:color="auto" w:fill="DBE4F0"/>
          </w:tcPr>
          <w:p>
            <w:pPr>
              <w:pStyle w:val="TableParagraph"/>
              <w:rPr>
                <w:sz w:val="24"/>
              </w:rPr>
            </w:pPr>
          </w:p>
          <w:p>
            <w:pPr>
              <w:pStyle w:val="TableParagraph"/>
              <w:spacing w:before="6"/>
              <w:rPr>
                <w:sz w:val="31"/>
              </w:rPr>
            </w:pPr>
          </w:p>
          <w:p>
            <w:pPr>
              <w:pStyle w:val="TableParagraph"/>
              <w:ind w:right="189"/>
              <w:jc w:val="right"/>
              <w:rPr>
                <w:b/>
                <w:sz w:val="22"/>
              </w:rPr>
            </w:pPr>
            <w:r>
              <w:rPr>
                <w:b/>
                <w:sz w:val="22"/>
              </w:rPr>
              <w:t>DY</w:t>
            </w:r>
            <w:r>
              <w:rPr>
                <w:b/>
                <w:spacing w:val="-1"/>
                <w:sz w:val="22"/>
              </w:rPr>
              <w:t> </w:t>
            </w:r>
            <w:r>
              <w:rPr>
                <w:b/>
                <w:spacing w:val="-5"/>
                <w:sz w:val="22"/>
              </w:rPr>
              <w:t>27</w:t>
            </w:r>
          </w:p>
        </w:tc>
        <w:tc>
          <w:tcPr>
            <w:tcW w:w="1007" w:type="dxa"/>
            <w:shd w:val="clear" w:color="auto" w:fill="DBE4F0"/>
          </w:tcPr>
          <w:p>
            <w:pPr>
              <w:pStyle w:val="TableParagraph"/>
              <w:rPr>
                <w:sz w:val="24"/>
              </w:rPr>
            </w:pPr>
          </w:p>
          <w:p>
            <w:pPr>
              <w:pStyle w:val="TableParagraph"/>
              <w:spacing w:before="6"/>
              <w:rPr>
                <w:sz w:val="31"/>
              </w:rPr>
            </w:pPr>
          </w:p>
          <w:p>
            <w:pPr>
              <w:pStyle w:val="TableParagraph"/>
              <w:ind w:right="188"/>
              <w:jc w:val="right"/>
              <w:rPr>
                <w:b/>
                <w:sz w:val="22"/>
              </w:rPr>
            </w:pPr>
            <w:r>
              <w:rPr>
                <w:b/>
                <w:sz w:val="22"/>
              </w:rPr>
              <w:t>DY</w:t>
            </w:r>
            <w:r>
              <w:rPr>
                <w:b/>
                <w:spacing w:val="-1"/>
                <w:sz w:val="22"/>
              </w:rPr>
              <w:t> </w:t>
            </w:r>
            <w:r>
              <w:rPr>
                <w:b/>
                <w:spacing w:val="-5"/>
                <w:sz w:val="22"/>
              </w:rPr>
              <w:t>28</w:t>
            </w:r>
          </w:p>
        </w:tc>
        <w:tc>
          <w:tcPr>
            <w:tcW w:w="1007" w:type="dxa"/>
            <w:shd w:val="clear" w:color="auto" w:fill="DBE4F0"/>
          </w:tcPr>
          <w:p>
            <w:pPr>
              <w:pStyle w:val="TableParagraph"/>
              <w:rPr>
                <w:sz w:val="24"/>
              </w:rPr>
            </w:pPr>
          </w:p>
          <w:p>
            <w:pPr>
              <w:pStyle w:val="TableParagraph"/>
              <w:spacing w:before="6"/>
              <w:rPr>
                <w:sz w:val="31"/>
              </w:rPr>
            </w:pPr>
          </w:p>
          <w:p>
            <w:pPr>
              <w:pStyle w:val="TableParagraph"/>
              <w:ind w:left="212"/>
              <w:rPr>
                <w:b/>
                <w:sz w:val="22"/>
              </w:rPr>
            </w:pPr>
            <w:r>
              <w:rPr>
                <w:b/>
                <w:sz w:val="22"/>
              </w:rPr>
              <w:t>DY</w:t>
            </w:r>
            <w:r>
              <w:rPr>
                <w:b/>
                <w:spacing w:val="-1"/>
                <w:sz w:val="22"/>
              </w:rPr>
              <w:t> </w:t>
            </w:r>
            <w:r>
              <w:rPr>
                <w:b/>
                <w:spacing w:val="-5"/>
                <w:sz w:val="22"/>
              </w:rPr>
              <w:t>29</w:t>
            </w:r>
          </w:p>
        </w:tc>
        <w:tc>
          <w:tcPr>
            <w:tcW w:w="1007" w:type="dxa"/>
            <w:shd w:val="clear" w:color="auto" w:fill="DBE4F0"/>
          </w:tcPr>
          <w:p>
            <w:pPr>
              <w:pStyle w:val="TableParagraph"/>
              <w:rPr>
                <w:sz w:val="24"/>
              </w:rPr>
            </w:pPr>
          </w:p>
          <w:p>
            <w:pPr>
              <w:pStyle w:val="TableParagraph"/>
              <w:spacing w:before="6"/>
              <w:rPr>
                <w:sz w:val="31"/>
              </w:rPr>
            </w:pPr>
          </w:p>
          <w:p>
            <w:pPr>
              <w:pStyle w:val="TableParagraph"/>
              <w:ind w:left="139" w:right="115"/>
              <w:jc w:val="center"/>
              <w:rPr>
                <w:b/>
                <w:sz w:val="22"/>
              </w:rPr>
            </w:pPr>
            <w:r>
              <w:rPr>
                <w:b/>
                <w:sz w:val="22"/>
              </w:rPr>
              <w:t>DY</w:t>
            </w:r>
            <w:r>
              <w:rPr>
                <w:b/>
                <w:spacing w:val="-1"/>
                <w:sz w:val="22"/>
              </w:rPr>
              <w:t> </w:t>
            </w:r>
            <w:r>
              <w:rPr>
                <w:b/>
                <w:spacing w:val="-5"/>
                <w:sz w:val="22"/>
              </w:rPr>
              <w:t>30</w:t>
            </w:r>
          </w:p>
        </w:tc>
        <w:tc>
          <w:tcPr>
            <w:tcW w:w="1079" w:type="dxa"/>
            <w:shd w:val="clear" w:color="auto" w:fill="DBE4F0"/>
          </w:tcPr>
          <w:p>
            <w:pPr>
              <w:pStyle w:val="TableParagraph"/>
              <w:rPr>
                <w:sz w:val="24"/>
              </w:rPr>
            </w:pPr>
          </w:p>
          <w:p>
            <w:pPr>
              <w:pStyle w:val="TableParagraph"/>
              <w:spacing w:before="6"/>
              <w:rPr>
                <w:sz w:val="31"/>
              </w:rPr>
            </w:pPr>
          </w:p>
          <w:p>
            <w:pPr>
              <w:pStyle w:val="TableParagraph"/>
              <w:ind w:left="175" w:right="149"/>
              <w:jc w:val="center"/>
              <w:rPr>
                <w:b/>
                <w:sz w:val="22"/>
              </w:rPr>
            </w:pPr>
            <w:r>
              <w:rPr>
                <w:b/>
                <w:sz w:val="22"/>
              </w:rPr>
              <w:t>DY</w:t>
            </w:r>
            <w:r>
              <w:rPr>
                <w:b/>
                <w:spacing w:val="-1"/>
                <w:sz w:val="22"/>
              </w:rPr>
              <w:t> </w:t>
            </w:r>
            <w:r>
              <w:rPr>
                <w:b/>
                <w:spacing w:val="-5"/>
                <w:sz w:val="22"/>
              </w:rPr>
              <w:t>31</w:t>
            </w:r>
          </w:p>
        </w:tc>
        <w:tc>
          <w:tcPr>
            <w:tcW w:w="1079" w:type="dxa"/>
            <w:shd w:val="clear" w:color="auto" w:fill="DBE4F0"/>
          </w:tcPr>
          <w:p>
            <w:pPr>
              <w:pStyle w:val="TableParagraph"/>
              <w:rPr>
                <w:sz w:val="24"/>
              </w:rPr>
            </w:pPr>
          </w:p>
          <w:p>
            <w:pPr>
              <w:pStyle w:val="TableParagraph"/>
              <w:spacing w:before="6"/>
              <w:rPr>
                <w:sz w:val="31"/>
              </w:rPr>
            </w:pPr>
          </w:p>
          <w:p>
            <w:pPr>
              <w:pStyle w:val="TableParagraph"/>
              <w:ind w:left="177" w:right="149"/>
              <w:jc w:val="center"/>
              <w:rPr>
                <w:b/>
                <w:sz w:val="22"/>
              </w:rPr>
            </w:pPr>
            <w:r>
              <w:rPr>
                <w:b/>
                <w:sz w:val="22"/>
              </w:rPr>
              <w:t>DY</w:t>
            </w:r>
            <w:r>
              <w:rPr>
                <w:b/>
                <w:spacing w:val="-1"/>
                <w:sz w:val="22"/>
              </w:rPr>
              <w:t> </w:t>
            </w:r>
            <w:r>
              <w:rPr>
                <w:b/>
                <w:spacing w:val="-5"/>
                <w:sz w:val="22"/>
              </w:rPr>
              <w:t>32</w:t>
            </w:r>
          </w:p>
        </w:tc>
      </w:tr>
      <w:tr>
        <w:trPr>
          <w:trHeight w:val="781" w:hRule="atLeast"/>
        </w:trPr>
        <w:tc>
          <w:tcPr>
            <w:tcW w:w="1346" w:type="dxa"/>
          </w:tcPr>
          <w:p>
            <w:pPr>
              <w:pStyle w:val="TableParagraph"/>
              <w:spacing w:before="137"/>
              <w:ind w:left="107"/>
              <w:rPr>
                <w:sz w:val="22"/>
              </w:rPr>
            </w:pPr>
            <w:r>
              <w:rPr>
                <w:spacing w:val="-2"/>
                <w:sz w:val="22"/>
              </w:rPr>
              <w:t>Marketplace Subsidies</w:t>
            </w:r>
          </w:p>
        </w:tc>
        <w:tc>
          <w:tcPr>
            <w:tcW w:w="628" w:type="dxa"/>
          </w:tcPr>
          <w:p>
            <w:pPr>
              <w:pStyle w:val="TableParagraph"/>
              <w:rPr>
                <w:sz w:val="23"/>
              </w:rPr>
            </w:pPr>
          </w:p>
          <w:p>
            <w:pPr>
              <w:pStyle w:val="TableParagraph"/>
              <w:ind w:left="177"/>
              <w:rPr>
                <w:sz w:val="22"/>
              </w:rPr>
            </w:pPr>
            <w:r>
              <w:rPr>
                <w:spacing w:val="-5"/>
                <w:sz w:val="22"/>
              </w:rPr>
              <w:t>PC</w:t>
            </w:r>
          </w:p>
        </w:tc>
        <w:tc>
          <w:tcPr>
            <w:tcW w:w="1007" w:type="dxa"/>
          </w:tcPr>
          <w:p>
            <w:pPr>
              <w:pStyle w:val="TableParagraph"/>
              <w:rPr>
                <w:sz w:val="23"/>
              </w:rPr>
            </w:pPr>
          </w:p>
          <w:p>
            <w:pPr>
              <w:pStyle w:val="TableParagraph"/>
              <w:ind w:left="291"/>
              <w:rPr>
                <w:sz w:val="22"/>
              </w:rPr>
            </w:pPr>
            <w:r>
              <w:rPr>
                <w:spacing w:val="-4"/>
                <w:sz w:val="22"/>
              </w:rPr>
              <w:t>Both</w:t>
            </w:r>
          </w:p>
        </w:tc>
        <w:tc>
          <w:tcPr>
            <w:tcW w:w="791" w:type="dxa"/>
          </w:tcPr>
          <w:p>
            <w:pPr>
              <w:pStyle w:val="TableParagraph"/>
              <w:rPr>
                <w:sz w:val="23"/>
              </w:rPr>
            </w:pPr>
          </w:p>
          <w:p>
            <w:pPr>
              <w:pStyle w:val="TableParagraph"/>
              <w:ind w:left="177"/>
              <w:rPr>
                <w:sz w:val="22"/>
              </w:rPr>
            </w:pPr>
            <w:r>
              <w:rPr>
                <w:spacing w:val="-4"/>
                <w:sz w:val="22"/>
              </w:rPr>
              <w:t>2019</w:t>
            </w:r>
          </w:p>
        </w:tc>
        <w:tc>
          <w:tcPr>
            <w:tcW w:w="827" w:type="dxa"/>
          </w:tcPr>
          <w:p>
            <w:pPr>
              <w:pStyle w:val="TableParagraph"/>
              <w:rPr>
                <w:sz w:val="23"/>
              </w:rPr>
            </w:pPr>
          </w:p>
          <w:p>
            <w:pPr>
              <w:pStyle w:val="TableParagraph"/>
              <w:ind w:left="132"/>
              <w:rPr>
                <w:sz w:val="22"/>
              </w:rPr>
            </w:pPr>
            <w:r>
              <w:rPr>
                <w:spacing w:val="-2"/>
                <w:sz w:val="22"/>
              </w:rPr>
              <w:t>5.60%</w:t>
            </w:r>
          </w:p>
        </w:tc>
        <w:tc>
          <w:tcPr>
            <w:tcW w:w="1007" w:type="dxa"/>
          </w:tcPr>
          <w:p>
            <w:pPr>
              <w:pStyle w:val="TableParagraph"/>
              <w:rPr>
                <w:sz w:val="23"/>
              </w:rPr>
            </w:pPr>
          </w:p>
          <w:p>
            <w:pPr>
              <w:pStyle w:val="TableParagraph"/>
              <w:ind w:right="127"/>
              <w:jc w:val="right"/>
              <w:rPr>
                <w:sz w:val="22"/>
              </w:rPr>
            </w:pPr>
            <w:r>
              <w:rPr>
                <w:spacing w:val="-2"/>
                <w:sz w:val="22"/>
              </w:rPr>
              <w:t>$170.96</w:t>
            </w:r>
          </w:p>
        </w:tc>
        <w:tc>
          <w:tcPr>
            <w:tcW w:w="1007" w:type="dxa"/>
          </w:tcPr>
          <w:p>
            <w:pPr>
              <w:pStyle w:val="TableParagraph"/>
              <w:rPr>
                <w:sz w:val="23"/>
              </w:rPr>
            </w:pPr>
          </w:p>
          <w:p>
            <w:pPr>
              <w:pStyle w:val="TableParagraph"/>
              <w:ind w:right="126"/>
              <w:jc w:val="right"/>
              <w:rPr>
                <w:sz w:val="22"/>
              </w:rPr>
            </w:pPr>
            <w:r>
              <w:rPr>
                <w:spacing w:val="-2"/>
                <w:sz w:val="22"/>
              </w:rPr>
              <w:t>$176.88</w:t>
            </w:r>
          </w:p>
        </w:tc>
        <w:tc>
          <w:tcPr>
            <w:tcW w:w="1007" w:type="dxa"/>
          </w:tcPr>
          <w:p>
            <w:pPr>
              <w:pStyle w:val="TableParagraph"/>
              <w:rPr>
                <w:sz w:val="23"/>
              </w:rPr>
            </w:pPr>
          </w:p>
          <w:p>
            <w:pPr>
              <w:pStyle w:val="TableParagraph"/>
              <w:ind w:left="152"/>
              <w:rPr>
                <w:sz w:val="22"/>
              </w:rPr>
            </w:pPr>
            <w:r>
              <w:rPr>
                <w:spacing w:val="-2"/>
                <w:sz w:val="22"/>
              </w:rPr>
              <w:t>$186.79</w:t>
            </w:r>
          </w:p>
        </w:tc>
        <w:tc>
          <w:tcPr>
            <w:tcW w:w="1007" w:type="dxa"/>
          </w:tcPr>
          <w:p>
            <w:pPr>
              <w:pStyle w:val="TableParagraph"/>
              <w:rPr>
                <w:sz w:val="23"/>
              </w:rPr>
            </w:pPr>
          </w:p>
          <w:p>
            <w:pPr>
              <w:pStyle w:val="TableParagraph"/>
              <w:ind w:left="141" w:right="115"/>
              <w:jc w:val="center"/>
              <w:rPr>
                <w:sz w:val="22"/>
              </w:rPr>
            </w:pPr>
            <w:r>
              <w:rPr>
                <w:spacing w:val="-2"/>
                <w:sz w:val="22"/>
              </w:rPr>
              <w:t>$197.25</w:t>
            </w:r>
          </w:p>
        </w:tc>
        <w:tc>
          <w:tcPr>
            <w:tcW w:w="1079" w:type="dxa"/>
          </w:tcPr>
          <w:p>
            <w:pPr>
              <w:pStyle w:val="TableParagraph"/>
              <w:rPr>
                <w:sz w:val="23"/>
              </w:rPr>
            </w:pPr>
          </w:p>
          <w:p>
            <w:pPr>
              <w:pStyle w:val="TableParagraph"/>
              <w:ind w:left="177" w:right="149"/>
              <w:jc w:val="center"/>
              <w:rPr>
                <w:sz w:val="22"/>
              </w:rPr>
            </w:pPr>
            <w:r>
              <w:rPr>
                <w:spacing w:val="-2"/>
                <w:sz w:val="22"/>
              </w:rPr>
              <w:t>$208.29</w:t>
            </w:r>
          </w:p>
        </w:tc>
        <w:tc>
          <w:tcPr>
            <w:tcW w:w="1079" w:type="dxa"/>
          </w:tcPr>
          <w:p>
            <w:pPr>
              <w:pStyle w:val="TableParagraph"/>
              <w:rPr>
                <w:sz w:val="23"/>
              </w:rPr>
            </w:pPr>
          </w:p>
          <w:p>
            <w:pPr>
              <w:pStyle w:val="TableParagraph"/>
              <w:ind w:left="178" w:right="148"/>
              <w:jc w:val="center"/>
              <w:rPr>
                <w:sz w:val="22"/>
              </w:rPr>
            </w:pPr>
            <w:r>
              <w:rPr>
                <w:spacing w:val="-2"/>
                <w:sz w:val="22"/>
              </w:rPr>
              <w:t>$219.96</w:t>
            </w:r>
          </w:p>
        </w:tc>
      </w:tr>
    </w:tbl>
    <w:p>
      <w:pPr>
        <w:spacing w:after="0"/>
        <w:jc w:val="center"/>
        <w:rPr>
          <w:sz w:val="22"/>
        </w:rPr>
        <w:sectPr>
          <w:pgSz w:w="12240" w:h="15840"/>
          <w:pgMar w:header="0" w:footer="1201" w:top="1360" w:bottom="1400" w:left="600" w:right="600"/>
        </w:sectPr>
      </w:pPr>
    </w:p>
    <w:p>
      <w:pPr>
        <w:pStyle w:val="BodyText"/>
        <w:spacing w:before="138"/>
        <w:ind w:left="871" w:right="105"/>
      </w:pPr>
      <w:r>
        <w:rPr/>
        <w:drawing>
          <wp:anchor distT="0" distB="0" distL="0" distR="0" allowOverlap="1" layoutInCell="1" locked="0" behindDoc="0" simplePos="0" relativeHeight="16113152">
            <wp:simplePos x="0" y="0"/>
            <wp:positionH relativeFrom="page">
              <wp:posOffset>908303</wp:posOffset>
            </wp:positionH>
            <wp:positionV relativeFrom="paragraph">
              <wp:posOffset>123242</wp:posOffset>
            </wp:positionV>
            <wp:extent cx="283463" cy="112762"/>
            <wp:effectExtent l="0" t="0" r="0" b="0"/>
            <wp:wrapNone/>
            <wp:docPr id="777" name="Image 777"/>
            <wp:cNvGraphicFramePr>
              <a:graphicFrameLocks/>
            </wp:cNvGraphicFramePr>
            <a:graphic>
              <a:graphicData uri="http://schemas.openxmlformats.org/drawingml/2006/picture">
                <pic:pic>
                  <pic:nvPicPr>
                    <pic:cNvPr id="777" name="Image 777"/>
                    <pic:cNvPicPr/>
                  </pic:nvPicPr>
                  <pic:blipFill>
                    <a:blip r:embed="rId304" cstate="print"/>
                    <a:stretch>
                      <a:fillRect/>
                    </a:stretch>
                  </pic:blipFill>
                  <pic:spPr>
                    <a:xfrm>
                      <a:off x="0" y="0"/>
                      <a:ext cx="283463" cy="112762"/>
                    </a:xfrm>
                    <a:prstGeom prst="rect">
                      <a:avLst/>
                    </a:prstGeom>
                  </pic:spPr>
                </pic:pic>
              </a:graphicData>
            </a:graphic>
          </wp:anchor>
        </w:drawing>
      </w:r>
      <w:bookmarkStart w:name="19.9. Hypothetical Budget Neutrality Tes" w:id="1079"/>
      <w:bookmarkEnd w:id="1079"/>
      <w:r>
        <w:rPr/>
      </w:r>
      <w:r>
        <w:rPr>
          <w:b/>
        </w:rPr>
        <w:t>Hypothetical Budget Neutrality Test 4: FFCY. </w:t>
      </w:r>
      <w:r>
        <w:rPr/>
        <w:t>The table below identifies the MEGs that are used for Hypothetical Budget Neutrality</w:t>
      </w:r>
      <w:r>
        <w:rPr>
          <w:spacing w:val="-4"/>
        </w:rPr>
        <w:t> </w:t>
      </w:r>
      <w:r>
        <w:rPr/>
        <w:t>Test</w:t>
      </w:r>
      <w:r>
        <w:rPr>
          <w:spacing w:val="-1"/>
        </w:rPr>
        <w:t> </w:t>
      </w:r>
      <w:r>
        <w:rPr/>
        <w:t>4.</w:t>
      </w:r>
      <w:r>
        <w:rPr>
          <w:spacing w:val="-1"/>
        </w:rPr>
        <w:t> </w:t>
      </w:r>
      <w:r>
        <w:rPr/>
        <w:t>MEGs that</w:t>
      </w:r>
      <w:r>
        <w:rPr>
          <w:spacing w:val="-1"/>
        </w:rPr>
        <w:t> </w:t>
      </w:r>
      <w:r>
        <w:rPr/>
        <w:t>are</w:t>
      </w:r>
      <w:r>
        <w:rPr>
          <w:spacing w:val="-2"/>
        </w:rPr>
        <w:t> </w:t>
      </w:r>
      <w:r>
        <w:rPr/>
        <w:t>designated</w:t>
      </w:r>
      <w:r>
        <w:rPr>
          <w:spacing w:val="-2"/>
        </w:rPr>
        <w:t> </w:t>
      </w:r>
      <w:r>
        <w:rPr/>
        <w:t>“WOW Only”</w:t>
      </w:r>
      <w:r>
        <w:rPr>
          <w:spacing w:val="-2"/>
        </w:rPr>
        <w:t> </w:t>
      </w:r>
      <w:r>
        <w:rPr/>
        <w:t>or</w:t>
      </w:r>
      <w:r>
        <w:rPr>
          <w:spacing w:val="-2"/>
        </w:rPr>
        <w:t> </w:t>
      </w:r>
      <w:r>
        <w:rPr/>
        <w:t>“Both” are</w:t>
      </w:r>
      <w:r>
        <w:rPr>
          <w:spacing w:val="-2"/>
        </w:rPr>
        <w:t> </w:t>
      </w:r>
      <w:r>
        <w:rPr/>
        <w:t>the</w:t>
      </w:r>
      <w:r>
        <w:rPr>
          <w:spacing w:val="-2"/>
        </w:rPr>
        <w:t> </w:t>
      </w:r>
      <w:r>
        <w:rPr/>
        <w:t>components</w:t>
      </w:r>
      <w:r>
        <w:rPr>
          <w:spacing w:val="-1"/>
        </w:rPr>
        <w:t> </w:t>
      </w:r>
      <w:r>
        <w:rPr/>
        <w:t>used</w:t>
      </w:r>
      <w:r>
        <w:rPr>
          <w:spacing w:val="-1"/>
        </w:rPr>
        <w:t> </w:t>
      </w:r>
      <w:r>
        <w:rPr/>
        <w:t>to</w:t>
      </w:r>
      <w:r>
        <w:rPr>
          <w:spacing w:val="-1"/>
        </w:rPr>
        <w:t> </w:t>
      </w:r>
      <w:r>
        <w:rPr/>
        <w:t>calculate</w:t>
      </w:r>
      <w:r>
        <w:rPr>
          <w:spacing w:val="-2"/>
        </w:rPr>
        <w:t> </w:t>
      </w:r>
      <w:r>
        <w:rPr/>
        <w:t>the</w:t>
      </w:r>
      <w:r>
        <w:rPr>
          <w:spacing w:val="-2"/>
        </w:rPr>
        <w:t> </w:t>
      </w:r>
      <w:r>
        <w:rPr/>
        <w:t>budget</w:t>
      </w:r>
      <w:r>
        <w:rPr>
          <w:spacing w:val="-1"/>
        </w:rPr>
        <w:t> </w:t>
      </w:r>
      <w:r>
        <w:rPr/>
        <w:t>neutrality expenditure limit.</w:t>
      </w:r>
      <w:r>
        <w:rPr>
          <w:spacing w:val="40"/>
        </w:rPr>
        <w:t> </w:t>
      </w:r>
      <w:r>
        <w:rPr/>
        <w:t>The Composite Federal Share for the Hypothetical Budget Neutrality Test is calculated based on all MEGs indicated</w:t>
      </w:r>
      <w:r>
        <w:rPr>
          <w:spacing w:val="-2"/>
        </w:rPr>
        <w:t> </w:t>
      </w:r>
      <w:r>
        <w:rPr/>
        <w:t>as</w:t>
      </w:r>
      <w:r>
        <w:rPr>
          <w:spacing w:val="-2"/>
        </w:rPr>
        <w:t> </w:t>
      </w:r>
      <w:r>
        <w:rPr/>
        <w:t>“WW</w:t>
      </w:r>
      <w:r>
        <w:rPr>
          <w:spacing w:val="-1"/>
        </w:rPr>
        <w:t> </w:t>
      </w:r>
      <w:r>
        <w:rPr/>
        <w:t>Only”</w:t>
      </w:r>
      <w:r>
        <w:rPr>
          <w:spacing w:val="-1"/>
        </w:rPr>
        <w:t> </w:t>
      </w:r>
      <w:r>
        <w:rPr/>
        <w:t>or</w:t>
      </w:r>
      <w:r>
        <w:rPr>
          <w:spacing w:val="-3"/>
        </w:rPr>
        <w:t> </w:t>
      </w:r>
      <w:r>
        <w:rPr/>
        <w:t>“Both.”</w:t>
      </w:r>
      <w:r>
        <w:rPr>
          <w:spacing w:val="40"/>
        </w:rPr>
        <w:t> </w:t>
      </w:r>
      <w:r>
        <w:rPr/>
        <w:t>MEGs</w:t>
      </w:r>
      <w:r>
        <w:rPr>
          <w:spacing w:val="-2"/>
        </w:rPr>
        <w:t> </w:t>
      </w:r>
      <w:r>
        <w:rPr/>
        <w:t>that</w:t>
      </w:r>
      <w:r>
        <w:rPr>
          <w:spacing w:val="-2"/>
        </w:rPr>
        <w:t> </w:t>
      </w:r>
      <w:r>
        <w:rPr/>
        <w:t>are</w:t>
      </w:r>
      <w:r>
        <w:rPr>
          <w:spacing w:val="-3"/>
        </w:rPr>
        <w:t> </w:t>
      </w:r>
      <w:r>
        <w:rPr/>
        <w:t>indicated as</w:t>
      </w:r>
      <w:r>
        <w:rPr>
          <w:spacing w:val="-2"/>
        </w:rPr>
        <w:t> </w:t>
      </w:r>
      <w:r>
        <w:rPr/>
        <w:t>“WW</w:t>
      </w:r>
      <w:r>
        <w:rPr>
          <w:spacing w:val="-1"/>
        </w:rPr>
        <w:t> </w:t>
      </w:r>
      <w:r>
        <w:rPr/>
        <w:t>Only”</w:t>
      </w:r>
      <w:r>
        <w:rPr>
          <w:spacing w:val="-1"/>
        </w:rPr>
        <w:t> </w:t>
      </w:r>
      <w:r>
        <w:rPr/>
        <w:t>or</w:t>
      </w:r>
      <w:r>
        <w:rPr>
          <w:spacing w:val="-3"/>
        </w:rPr>
        <w:t> </w:t>
      </w:r>
      <w:r>
        <w:rPr/>
        <w:t>“Both”</w:t>
      </w:r>
      <w:r>
        <w:rPr>
          <w:spacing w:val="-3"/>
        </w:rPr>
        <w:t> </w:t>
      </w:r>
      <w:r>
        <w:rPr/>
        <w:t>are</w:t>
      </w:r>
      <w:r>
        <w:rPr>
          <w:spacing w:val="-3"/>
        </w:rPr>
        <w:t> </w:t>
      </w:r>
      <w:r>
        <w:rPr/>
        <w:t>counted as</w:t>
      </w:r>
      <w:r>
        <w:rPr>
          <w:spacing w:val="-2"/>
        </w:rPr>
        <w:t> </w:t>
      </w:r>
      <w:r>
        <w:rPr/>
        <w:t>expenditures</w:t>
      </w:r>
      <w:r>
        <w:rPr>
          <w:spacing w:val="-2"/>
        </w:rPr>
        <w:t> </w:t>
      </w:r>
      <w:r>
        <w:rPr/>
        <w:t>against</w:t>
      </w:r>
      <w:r>
        <w:rPr>
          <w:spacing w:val="-2"/>
        </w:rPr>
        <w:t> </w:t>
      </w:r>
      <w:r>
        <w:rPr/>
        <w:t>this budget neutrality expenditure limit.</w:t>
      </w:r>
      <w:r>
        <w:rPr>
          <w:spacing w:val="40"/>
        </w:rPr>
        <w:t> </w:t>
      </w:r>
      <w:r>
        <w:rPr/>
        <w:t>Any expenditures in excess of the limit from Hypothetical Budget Neutrality Test 4 are counted as WW expenditures under the Main Budget Neutrality Test.</w:t>
      </w:r>
    </w:p>
    <w:p>
      <w:pPr>
        <w:pStyle w:val="BodyText"/>
        <w:spacing w:before="11"/>
        <w:rPr>
          <w:sz w:val="20"/>
        </w:rPr>
      </w:pPr>
    </w:p>
    <w:tbl>
      <w:tblPr>
        <w:tblW w:w="0" w:type="auto"/>
        <w:jc w:val="left"/>
        <w:tblInd w:w="1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3"/>
        <w:gridCol w:w="723"/>
        <w:gridCol w:w="1009"/>
        <w:gridCol w:w="793"/>
        <w:gridCol w:w="829"/>
        <w:gridCol w:w="1009"/>
        <w:gridCol w:w="1009"/>
        <w:gridCol w:w="1009"/>
        <w:gridCol w:w="1009"/>
        <w:gridCol w:w="1081"/>
        <w:gridCol w:w="1081"/>
      </w:tblGrid>
      <w:tr>
        <w:trPr>
          <w:trHeight w:val="477" w:hRule="atLeast"/>
        </w:trPr>
        <w:tc>
          <w:tcPr>
            <w:tcW w:w="10805" w:type="dxa"/>
            <w:gridSpan w:val="11"/>
            <w:shd w:val="clear" w:color="auto" w:fill="DBE4F0"/>
          </w:tcPr>
          <w:p>
            <w:pPr>
              <w:pStyle w:val="TableParagraph"/>
              <w:spacing w:before="61"/>
              <w:ind w:left="3137" w:right="3137"/>
              <w:jc w:val="center"/>
              <w:rPr>
                <w:b/>
                <w:sz w:val="22"/>
              </w:rPr>
            </w:pPr>
            <w:r>
              <w:rPr>
                <w:b/>
                <w:sz w:val="22"/>
              </w:rPr>
              <w:t>Table</w:t>
            </w:r>
            <w:r>
              <w:rPr>
                <w:b/>
                <w:spacing w:val="-5"/>
                <w:sz w:val="22"/>
              </w:rPr>
              <w:t> </w:t>
            </w:r>
            <w:r>
              <w:rPr>
                <w:b/>
                <w:sz w:val="22"/>
              </w:rPr>
              <w:t>24:</w:t>
            </w:r>
            <w:r>
              <w:rPr>
                <w:b/>
                <w:spacing w:val="-8"/>
                <w:sz w:val="22"/>
              </w:rPr>
              <w:t> </w:t>
            </w:r>
            <w:r>
              <w:rPr>
                <w:b/>
                <w:sz w:val="22"/>
              </w:rPr>
              <w:t>Hypothetical</w:t>
            </w:r>
            <w:r>
              <w:rPr>
                <w:b/>
                <w:spacing w:val="-7"/>
                <w:sz w:val="22"/>
              </w:rPr>
              <w:t> </w:t>
            </w:r>
            <w:r>
              <w:rPr>
                <w:b/>
                <w:sz w:val="22"/>
              </w:rPr>
              <w:t>Budget</w:t>
            </w:r>
            <w:r>
              <w:rPr>
                <w:b/>
                <w:spacing w:val="-3"/>
                <w:sz w:val="22"/>
              </w:rPr>
              <w:t> </w:t>
            </w:r>
            <w:r>
              <w:rPr>
                <w:b/>
                <w:sz w:val="22"/>
              </w:rPr>
              <w:t>Neutrality</w:t>
            </w:r>
            <w:r>
              <w:rPr>
                <w:b/>
                <w:spacing w:val="-5"/>
                <w:sz w:val="22"/>
              </w:rPr>
              <w:t> </w:t>
            </w:r>
            <w:r>
              <w:rPr>
                <w:b/>
                <w:sz w:val="22"/>
              </w:rPr>
              <w:t>Test</w:t>
            </w:r>
            <w:r>
              <w:rPr>
                <w:b/>
                <w:spacing w:val="-3"/>
                <w:sz w:val="22"/>
              </w:rPr>
              <w:t> </w:t>
            </w:r>
            <w:r>
              <w:rPr>
                <w:b/>
                <w:spacing w:val="-10"/>
                <w:sz w:val="22"/>
              </w:rPr>
              <w:t>4</w:t>
            </w:r>
          </w:p>
        </w:tc>
      </w:tr>
      <w:tr>
        <w:trPr>
          <w:trHeight w:val="1530" w:hRule="atLeast"/>
        </w:trPr>
        <w:tc>
          <w:tcPr>
            <w:tcW w:w="1253" w:type="dxa"/>
            <w:shd w:val="clear" w:color="auto" w:fill="DBE4F0"/>
          </w:tcPr>
          <w:p>
            <w:pPr>
              <w:pStyle w:val="TableParagraph"/>
              <w:rPr>
                <w:sz w:val="24"/>
              </w:rPr>
            </w:pPr>
          </w:p>
          <w:p>
            <w:pPr>
              <w:pStyle w:val="TableParagraph"/>
              <w:spacing w:before="6"/>
              <w:rPr>
                <w:sz w:val="31"/>
              </w:rPr>
            </w:pPr>
          </w:p>
          <w:p>
            <w:pPr>
              <w:pStyle w:val="TableParagraph"/>
              <w:ind w:left="362"/>
              <w:rPr>
                <w:b/>
                <w:sz w:val="22"/>
              </w:rPr>
            </w:pPr>
            <w:r>
              <w:rPr>
                <w:b/>
                <w:spacing w:val="-5"/>
                <w:sz w:val="22"/>
              </w:rPr>
              <w:t>MEG</w:t>
            </w:r>
          </w:p>
        </w:tc>
        <w:tc>
          <w:tcPr>
            <w:tcW w:w="723" w:type="dxa"/>
            <w:shd w:val="clear" w:color="auto" w:fill="DBE4F0"/>
          </w:tcPr>
          <w:p>
            <w:pPr>
              <w:pStyle w:val="TableParagraph"/>
              <w:spacing w:before="5"/>
              <w:rPr>
                <w:sz w:val="33"/>
              </w:rPr>
            </w:pPr>
          </w:p>
          <w:p>
            <w:pPr>
              <w:pStyle w:val="TableParagraph"/>
              <w:spacing w:line="252" w:lineRule="exact"/>
              <w:ind w:left="213"/>
              <w:rPr>
                <w:b/>
                <w:sz w:val="22"/>
              </w:rPr>
            </w:pPr>
            <w:r>
              <w:rPr>
                <w:b/>
                <w:spacing w:val="-5"/>
                <w:sz w:val="22"/>
              </w:rPr>
              <w:t>PC</w:t>
            </w:r>
          </w:p>
          <w:p>
            <w:pPr>
              <w:pStyle w:val="TableParagraph"/>
              <w:spacing w:line="244" w:lineRule="auto"/>
              <w:ind w:left="170" w:right="156" w:firstLine="86"/>
              <w:rPr>
                <w:b/>
                <w:sz w:val="22"/>
              </w:rPr>
            </w:pPr>
            <w:r>
              <w:rPr>
                <w:b/>
                <w:spacing w:val="-6"/>
                <w:sz w:val="22"/>
              </w:rPr>
              <w:t>or </w:t>
            </w:r>
            <w:r>
              <w:rPr>
                <w:b/>
                <w:spacing w:val="-4"/>
                <w:sz w:val="22"/>
              </w:rPr>
              <w:t>Agg</w:t>
            </w:r>
          </w:p>
        </w:tc>
        <w:tc>
          <w:tcPr>
            <w:tcW w:w="1009" w:type="dxa"/>
            <w:shd w:val="clear" w:color="auto" w:fill="DBE4F0"/>
          </w:tcPr>
          <w:p>
            <w:pPr>
              <w:pStyle w:val="TableParagraph"/>
              <w:spacing w:line="252" w:lineRule="exact" w:before="133"/>
              <w:ind w:left="195"/>
              <w:rPr>
                <w:b/>
                <w:sz w:val="22"/>
              </w:rPr>
            </w:pPr>
            <w:r>
              <w:rPr>
                <w:b/>
                <w:spacing w:val="-5"/>
                <w:sz w:val="22"/>
              </w:rPr>
              <w:t>WOW</w:t>
            </w:r>
          </w:p>
          <w:p>
            <w:pPr>
              <w:pStyle w:val="TableParagraph"/>
              <w:ind w:left="282" w:right="228" w:hanging="41"/>
              <w:rPr>
                <w:b/>
                <w:sz w:val="22"/>
              </w:rPr>
            </w:pPr>
            <w:r>
              <w:rPr>
                <w:b/>
                <w:spacing w:val="-2"/>
                <w:sz w:val="22"/>
              </w:rPr>
              <w:t>Only, </w:t>
            </w:r>
            <w:r>
              <w:rPr>
                <w:b/>
                <w:spacing w:val="-5"/>
                <w:sz w:val="22"/>
              </w:rPr>
              <w:t>WW</w:t>
            </w:r>
          </w:p>
          <w:p>
            <w:pPr>
              <w:pStyle w:val="TableParagraph"/>
              <w:ind w:left="277" w:right="101" w:hanging="168"/>
              <w:rPr>
                <w:b/>
                <w:sz w:val="22"/>
              </w:rPr>
            </w:pPr>
            <w:r>
              <w:rPr>
                <w:b/>
                <w:sz w:val="22"/>
              </w:rPr>
              <w:t>Only,</w:t>
            </w:r>
            <w:r>
              <w:rPr>
                <w:b/>
                <w:spacing w:val="-14"/>
                <w:sz w:val="22"/>
              </w:rPr>
              <w:t> </w:t>
            </w:r>
            <w:r>
              <w:rPr>
                <w:b/>
                <w:sz w:val="22"/>
              </w:rPr>
              <w:t>or </w:t>
            </w:r>
            <w:r>
              <w:rPr>
                <w:b/>
                <w:spacing w:val="-4"/>
                <w:sz w:val="22"/>
              </w:rPr>
              <w:t>Both</w:t>
            </w:r>
          </w:p>
        </w:tc>
        <w:tc>
          <w:tcPr>
            <w:tcW w:w="793" w:type="dxa"/>
            <w:shd w:val="clear" w:color="auto" w:fill="DBE4F0"/>
          </w:tcPr>
          <w:p>
            <w:pPr>
              <w:pStyle w:val="TableParagraph"/>
              <w:rPr>
                <w:sz w:val="24"/>
              </w:rPr>
            </w:pPr>
          </w:p>
          <w:p>
            <w:pPr>
              <w:pStyle w:val="TableParagraph"/>
              <w:spacing w:before="6"/>
              <w:rPr>
                <w:sz w:val="20"/>
              </w:rPr>
            </w:pPr>
          </w:p>
          <w:p>
            <w:pPr>
              <w:pStyle w:val="TableParagraph"/>
              <w:ind w:left="161" w:right="153" w:firstLine="12"/>
              <w:rPr>
                <w:b/>
                <w:sz w:val="22"/>
              </w:rPr>
            </w:pPr>
            <w:r>
              <w:rPr>
                <w:b/>
                <w:spacing w:val="-4"/>
                <w:sz w:val="22"/>
              </w:rPr>
              <w:t>Base Year</w:t>
            </w:r>
          </w:p>
        </w:tc>
        <w:tc>
          <w:tcPr>
            <w:tcW w:w="829" w:type="dxa"/>
            <w:shd w:val="clear" w:color="auto" w:fill="DBE4F0"/>
            <w:textDirection w:val="tbRl"/>
          </w:tcPr>
          <w:p>
            <w:pPr>
              <w:pStyle w:val="TableParagraph"/>
              <w:spacing w:before="7"/>
              <w:rPr>
                <w:sz w:val="24"/>
              </w:rPr>
            </w:pPr>
          </w:p>
          <w:p>
            <w:pPr>
              <w:pStyle w:val="TableParagraph"/>
              <w:ind w:left="222"/>
              <w:rPr>
                <w:b/>
                <w:sz w:val="22"/>
              </w:rPr>
            </w:pPr>
            <w:r>
              <w:rPr>
                <w:b/>
                <w:sz w:val="22"/>
              </w:rPr>
              <w:t>Trend</w:t>
            </w:r>
            <w:r>
              <w:rPr>
                <w:b/>
                <w:spacing w:val="-3"/>
                <w:sz w:val="22"/>
              </w:rPr>
              <w:t> </w:t>
            </w:r>
            <w:r>
              <w:rPr>
                <w:b/>
                <w:spacing w:val="-4"/>
                <w:sz w:val="22"/>
              </w:rPr>
              <w:t>Rate</w:t>
            </w:r>
          </w:p>
        </w:tc>
        <w:tc>
          <w:tcPr>
            <w:tcW w:w="1009" w:type="dxa"/>
            <w:shd w:val="clear" w:color="auto" w:fill="DBE4F0"/>
          </w:tcPr>
          <w:p>
            <w:pPr>
              <w:pStyle w:val="TableParagraph"/>
              <w:rPr>
                <w:sz w:val="24"/>
              </w:rPr>
            </w:pPr>
          </w:p>
          <w:p>
            <w:pPr>
              <w:pStyle w:val="TableParagraph"/>
              <w:spacing w:before="6"/>
              <w:rPr>
                <w:sz w:val="31"/>
              </w:rPr>
            </w:pPr>
          </w:p>
          <w:p>
            <w:pPr>
              <w:pStyle w:val="TableParagraph"/>
              <w:ind w:right="199"/>
              <w:jc w:val="right"/>
              <w:rPr>
                <w:b/>
                <w:sz w:val="22"/>
              </w:rPr>
            </w:pPr>
            <w:r>
              <w:rPr>
                <w:b/>
                <w:sz w:val="22"/>
              </w:rPr>
              <w:t>DY</w:t>
            </w:r>
            <w:r>
              <w:rPr>
                <w:b/>
                <w:spacing w:val="-1"/>
                <w:sz w:val="22"/>
              </w:rPr>
              <w:t> </w:t>
            </w:r>
            <w:r>
              <w:rPr>
                <w:b/>
                <w:spacing w:val="-5"/>
                <w:sz w:val="22"/>
              </w:rPr>
              <w:t>27</w:t>
            </w:r>
          </w:p>
        </w:tc>
        <w:tc>
          <w:tcPr>
            <w:tcW w:w="1009" w:type="dxa"/>
            <w:shd w:val="clear" w:color="auto" w:fill="DBE4F0"/>
          </w:tcPr>
          <w:p>
            <w:pPr>
              <w:pStyle w:val="TableParagraph"/>
              <w:rPr>
                <w:sz w:val="24"/>
              </w:rPr>
            </w:pPr>
          </w:p>
          <w:p>
            <w:pPr>
              <w:pStyle w:val="TableParagraph"/>
              <w:spacing w:before="6"/>
              <w:rPr>
                <w:sz w:val="31"/>
              </w:rPr>
            </w:pPr>
          </w:p>
          <w:p>
            <w:pPr>
              <w:pStyle w:val="TableParagraph"/>
              <w:ind w:right="200"/>
              <w:jc w:val="right"/>
              <w:rPr>
                <w:b/>
                <w:sz w:val="22"/>
              </w:rPr>
            </w:pPr>
            <w:r>
              <w:rPr>
                <w:b/>
                <w:sz w:val="22"/>
              </w:rPr>
              <w:t>DY</w:t>
            </w:r>
            <w:r>
              <w:rPr>
                <w:b/>
                <w:spacing w:val="-1"/>
                <w:sz w:val="22"/>
              </w:rPr>
              <w:t> </w:t>
            </w:r>
            <w:r>
              <w:rPr>
                <w:b/>
                <w:spacing w:val="-5"/>
                <w:sz w:val="22"/>
              </w:rPr>
              <w:t>28</w:t>
            </w:r>
          </w:p>
        </w:tc>
        <w:tc>
          <w:tcPr>
            <w:tcW w:w="1009" w:type="dxa"/>
            <w:shd w:val="clear" w:color="auto" w:fill="DBE4F0"/>
          </w:tcPr>
          <w:p>
            <w:pPr>
              <w:pStyle w:val="TableParagraph"/>
              <w:rPr>
                <w:sz w:val="24"/>
              </w:rPr>
            </w:pPr>
          </w:p>
          <w:p>
            <w:pPr>
              <w:pStyle w:val="TableParagraph"/>
              <w:spacing w:before="6"/>
              <w:rPr>
                <w:sz w:val="31"/>
              </w:rPr>
            </w:pPr>
          </w:p>
          <w:p>
            <w:pPr>
              <w:pStyle w:val="TableParagraph"/>
              <w:ind w:left="128" w:right="129"/>
              <w:jc w:val="center"/>
              <w:rPr>
                <w:b/>
                <w:sz w:val="22"/>
              </w:rPr>
            </w:pPr>
            <w:r>
              <w:rPr>
                <w:b/>
                <w:sz w:val="22"/>
              </w:rPr>
              <w:t>DY</w:t>
            </w:r>
            <w:r>
              <w:rPr>
                <w:b/>
                <w:spacing w:val="-1"/>
                <w:sz w:val="22"/>
              </w:rPr>
              <w:t> </w:t>
            </w:r>
            <w:r>
              <w:rPr>
                <w:b/>
                <w:spacing w:val="-5"/>
                <w:sz w:val="22"/>
              </w:rPr>
              <w:t>29</w:t>
            </w:r>
          </w:p>
        </w:tc>
        <w:tc>
          <w:tcPr>
            <w:tcW w:w="1009" w:type="dxa"/>
            <w:shd w:val="clear" w:color="auto" w:fill="DBE4F0"/>
          </w:tcPr>
          <w:p>
            <w:pPr>
              <w:pStyle w:val="TableParagraph"/>
              <w:rPr>
                <w:sz w:val="24"/>
              </w:rPr>
            </w:pPr>
          </w:p>
          <w:p>
            <w:pPr>
              <w:pStyle w:val="TableParagraph"/>
              <w:spacing w:before="6"/>
              <w:rPr>
                <w:sz w:val="31"/>
              </w:rPr>
            </w:pPr>
          </w:p>
          <w:p>
            <w:pPr>
              <w:pStyle w:val="TableParagraph"/>
              <w:ind w:left="199"/>
              <w:rPr>
                <w:b/>
                <w:sz w:val="22"/>
              </w:rPr>
            </w:pPr>
            <w:r>
              <w:rPr>
                <w:b/>
                <w:sz w:val="22"/>
              </w:rPr>
              <w:t>DY</w:t>
            </w:r>
            <w:r>
              <w:rPr>
                <w:b/>
                <w:spacing w:val="-1"/>
                <w:sz w:val="22"/>
              </w:rPr>
              <w:t> </w:t>
            </w:r>
            <w:r>
              <w:rPr>
                <w:b/>
                <w:spacing w:val="-5"/>
                <w:sz w:val="22"/>
              </w:rPr>
              <w:t>30</w:t>
            </w:r>
          </w:p>
        </w:tc>
        <w:tc>
          <w:tcPr>
            <w:tcW w:w="1081" w:type="dxa"/>
            <w:shd w:val="clear" w:color="auto" w:fill="DBE4F0"/>
          </w:tcPr>
          <w:p>
            <w:pPr>
              <w:pStyle w:val="TableParagraph"/>
              <w:rPr>
                <w:sz w:val="24"/>
              </w:rPr>
            </w:pPr>
          </w:p>
          <w:p>
            <w:pPr>
              <w:pStyle w:val="TableParagraph"/>
              <w:spacing w:before="6"/>
              <w:rPr>
                <w:sz w:val="31"/>
              </w:rPr>
            </w:pPr>
          </w:p>
          <w:p>
            <w:pPr>
              <w:pStyle w:val="TableParagraph"/>
              <w:ind w:left="161" w:right="166"/>
              <w:jc w:val="center"/>
              <w:rPr>
                <w:b/>
                <w:sz w:val="22"/>
              </w:rPr>
            </w:pPr>
            <w:r>
              <w:rPr>
                <w:b/>
                <w:sz w:val="22"/>
              </w:rPr>
              <w:t>DY</w:t>
            </w:r>
            <w:r>
              <w:rPr>
                <w:b/>
                <w:spacing w:val="-1"/>
                <w:sz w:val="22"/>
              </w:rPr>
              <w:t> </w:t>
            </w:r>
            <w:r>
              <w:rPr>
                <w:b/>
                <w:spacing w:val="-5"/>
                <w:sz w:val="22"/>
              </w:rPr>
              <w:t>31</w:t>
            </w:r>
          </w:p>
        </w:tc>
        <w:tc>
          <w:tcPr>
            <w:tcW w:w="1081" w:type="dxa"/>
            <w:shd w:val="clear" w:color="auto" w:fill="DBE4F0"/>
          </w:tcPr>
          <w:p>
            <w:pPr>
              <w:pStyle w:val="TableParagraph"/>
              <w:rPr>
                <w:sz w:val="24"/>
              </w:rPr>
            </w:pPr>
          </w:p>
          <w:p>
            <w:pPr>
              <w:pStyle w:val="TableParagraph"/>
              <w:spacing w:before="6"/>
              <w:rPr>
                <w:sz w:val="31"/>
              </w:rPr>
            </w:pPr>
          </w:p>
          <w:p>
            <w:pPr>
              <w:pStyle w:val="TableParagraph"/>
              <w:ind w:left="159" w:right="166"/>
              <w:jc w:val="center"/>
              <w:rPr>
                <w:b/>
                <w:sz w:val="22"/>
              </w:rPr>
            </w:pPr>
            <w:r>
              <w:rPr>
                <w:b/>
                <w:sz w:val="22"/>
              </w:rPr>
              <w:t>DY</w:t>
            </w:r>
            <w:r>
              <w:rPr>
                <w:b/>
                <w:spacing w:val="-1"/>
                <w:sz w:val="22"/>
              </w:rPr>
              <w:t> </w:t>
            </w:r>
            <w:r>
              <w:rPr>
                <w:b/>
                <w:spacing w:val="-5"/>
                <w:sz w:val="22"/>
              </w:rPr>
              <w:t>32</w:t>
            </w:r>
          </w:p>
        </w:tc>
      </w:tr>
      <w:tr>
        <w:trPr>
          <w:trHeight w:val="782" w:hRule="atLeast"/>
        </w:trPr>
        <w:tc>
          <w:tcPr>
            <w:tcW w:w="1253" w:type="dxa"/>
          </w:tcPr>
          <w:p>
            <w:pPr>
              <w:pStyle w:val="TableParagraph"/>
              <w:spacing w:before="9"/>
              <w:rPr>
                <w:sz w:val="22"/>
              </w:rPr>
            </w:pPr>
          </w:p>
          <w:p>
            <w:pPr>
              <w:pStyle w:val="TableParagraph"/>
              <w:ind w:left="107"/>
              <w:rPr>
                <w:sz w:val="22"/>
              </w:rPr>
            </w:pPr>
            <w:r>
              <w:rPr>
                <w:spacing w:val="-4"/>
                <w:sz w:val="22"/>
              </w:rPr>
              <w:t>FFCY</w:t>
            </w:r>
          </w:p>
        </w:tc>
        <w:tc>
          <w:tcPr>
            <w:tcW w:w="723" w:type="dxa"/>
          </w:tcPr>
          <w:p>
            <w:pPr>
              <w:pStyle w:val="TableParagraph"/>
              <w:spacing w:before="9"/>
              <w:rPr>
                <w:sz w:val="22"/>
              </w:rPr>
            </w:pPr>
          </w:p>
          <w:p>
            <w:pPr>
              <w:pStyle w:val="TableParagraph"/>
              <w:ind w:left="225"/>
              <w:rPr>
                <w:sz w:val="22"/>
              </w:rPr>
            </w:pPr>
            <w:r>
              <w:rPr>
                <w:spacing w:val="-5"/>
                <w:sz w:val="22"/>
              </w:rPr>
              <w:t>PC</w:t>
            </w:r>
          </w:p>
        </w:tc>
        <w:tc>
          <w:tcPr>
            <w:tcW w:w="1009" w:type="dxa"/>
          </w:tcPr>
          <w:p>
            <w:pPr>
              <w:pStyle w:val="TableParagraph"/>
              <w:spacing w:before="9"/>
              <w:rPr>
                <w:sz w:val="22"/>
              </w:rPr>
            </w:pPr>
          </w:p>
          <w:p>
            <w:pPr>
              <w:pStyle w:val="TableParagraph"/>
              <w:ind w:left="289"/>
              <w:rPr>
                <w:sz w:val="22"/>
              </w:rPr>
            </w:pPr>
            <w:r>
              <w:rPr>
                <w:spacing w:val="-4"/>
                <w:sz w:val="22"/>
              </w:rPr>
              <w:t>Both</w:t>
            </w:r>
          </w:p>
        </w:tc>
        <w:tc>
          <w:tcPr>
            <w:tcW w:w="793" w:type="dxa"/>
          </w:tcPr>
          <w:p>
            <w:pPr>
              <w:pStyle w:val="TableParagraph"/>
              <w:spacing w:before="9"/>
              <w:rPr>
                <w:sz w:val="22"/>
              </w:rPr>
            </w:pPr>
          </w:p>
          <w:p>
            <w:pPr>
              <w:pStyle w:val="TableParagraph"/>
              <w:ind w:left="173"/>
              <w:rPr>
                <w:sz w:val="22"/>
              </w:rPr>
            </w:pPr>
            <w:r>
              <w:rPr>
                <w:spacing w:val="-4"/>
                <w:sz w:val="22"/>
              </w:rPr>
              <w:t>2021</w:t>
            </w:r>
          </w:p>
        </w:tc>
        <w:tc>
          <w:tcPr>
            <w:tcW w:w="829" w:type="dxa"/>
          </w:tcPr>
          <w:p>
            <w:pPr>
              <w:pStyle w:val="TableParagraph"/>
              <w:spacing w:before="9"/>
              <w:rPr>
                <w:sz w:val="22"/>
              </w:rPr>
            </w:pPr>
          </w:p>
          <w:p>
            <w:pPr>
              <w:pStyle w:val="TableParagraph"/>
              <w:ind w:left="126"/>
              <w:rPr>
                <w:sz w:val="22"/>
              </w:rPr>
            </w:pPr>
            <w:r>
              <w:rPr>
                <w:spacing w:val="-2"/>
                <w:sz w:val="22"/>
              </w:rPr>
              <w:t>5.50%</w:t>
            </w:r>
          </w:p>
        </w:tc>
        <w:tc>
          <w:tcPr>
            <w:tcW w:w="1009" w:type="dxa"/>
          </w:tcPr>
          <w:p>
            <w:pPr>
              <w:pStyle w:val="TableParagraph"/>
              <w:spacing w:before="9"/>
              <w:rPr>
                <w:sz w:val="22"/>
              </w:rPr>
            </w:pPr>
          </w:p>
          <w:p>
            <w:pPr>
              <w:pStyle w:val="TableParagraph"/>
              <w:ind w:right="137"/>
              <w:jc w:val="right"/>
              <w:rPr>
                <w:sz w:val="22"/>
              </w:rPr>
            </w:pPr>
            <w:r>
              <w:rPr>
                <w:spacing w:val="-2"/>
                <w:sz w:val="22"/>
              </w:rPr>
              <w:t>$408.64</w:t>
            </w:r>
          </w:p>
        </w:tc>
        <w:tc>
          <w:tcPr>
            <w:tcW w:w="1009" w:type="dxa"/>
          </w:tcPr>
          <w:p>
            <w:pPr>
              <w:pStyle w:val="TableParagraph"/>
              <w:spacing w:before="9"/>
              <w:rPr>
                <w:sz w:val="22"/>
              </w:rPr>
            </w:pPr>
          </w:p>
          <w:p>
            <w:pPr>
              <w:pStyle w:val="TableParagraph"/>
              <w:ind w:right="138"/>
              <w:jc w:val="right"/>
              <w:rPr>
                <w:sz w:val="22"/>
              </w:rPr>
            </w:pPr>
            <w:r>
              <w:rPr>
                <w:spacing w:val="-2"/>
                <w:sz w:val="22"/>
              </w:rPr>
              <w:t>$422.55</w:t>
            </w:r>
          </w:p>
        </w:tc>
        <w:tc>
          <w:tcPr>
            <w:tcW w:w="1009" w:type="dxa"/>
          </w:tcPr>
          <w:p>
            <w:pPr>
              <w:pStyle w:val="TableParagraph"/>
              <w:spacing w:before="9"/>
              <w:rPr>
                <w:sz w:val="22"/>
              </w:rPr>
            </w:pPr>
          </w:p>
          <w:p>
            <w:pPr>
              <w:pStyle w:val="TableParagraph"/>
              <w:ind w:left="128" w:right="129"/>
              <w:jc w:val="center"/>
              <w:rPr>
                <w:sz w:val="22"/>
              </w:rPr>
            </w:pPr>
            <w:r>
              <w:rPr>
                <w:spacing w:val="-2"/>
                <w:sz w:val="22"/>
              </w:rPr>
              <w:t>$445.79</w:t>
            </w:r>
          </w:p>
        </w:tc>
        <w:tc>
          <w:tcPr>
            <w:tcW w:w="1009" w:type="dxa"/>
          </w:tcPr>
          <w:p>
            <w:pPr>
              <w:pStyle w:val="TableParagraph"/>
              <w:spacing w:before="9"/>
              <w:rPr>
                <w:sz w:val="22"/>
              </w:rPr>
            </w:pPr>
          </w:p>
          <w:p>
            <w:pPr>
              <w:pStyle w:val="TableParagraph"/>
              <w:ind w:left="139"/>
              <w:rPr>
                <w:sz w:val="22"/>
              </w:rPr>
            </w:pPr>
            <w:r>
              <w:rPr>
                <w:spacing w:val="-2"/>
                <w:sz w:val="22"/>
              </w:rPr>
              <w:t>$470.30</w:t>
            </w:r>
          </w:p>
        </w:tc>
        <w:tc>
          <w:tcPr>
            <w:tcW w:w="1081" w:type="dxa"/>
          </w:tcPr>
          <w:p>
            <w:pPr>
              <w:pStyle w:val="TableParagraph"/>
              <w:spacing w:before="9"/>
              <w:rPr>
                <w:sz w:val="22"/>
              </w:rPr>
            </w:pPr>
          </w:p>
          <w:p>
            <w:pPr>
              <w:pStyle w:val="TableParagraph"/>
              <w:ind w:left="162" w:right="165"/>
              <w:jc w:val="center"/>
              <w:rPr>
                <w:sz w:val="22"/>
              </w:rPr>
            </w:pPr>
            <w:r>
              <w:rPr>
                <w:spacing w:val="-2"/>
                <w:sz w:val="22"/>
              </w:rPr>
              <w:t>$496.17</w:t>
            </w:r>
          </w:p>
        </w:tc>
        <w:tc>
          <w:tcPr>
            <w:tcW w:w="1081" w:type="dxa"/>
          </w:tcPr>
          <w:p>
            <w:pPr>
              <w:pStyle w:val="TableParagraph"/>
              <w:spacing w:before="9"/>
              <w:rPr>
                <w:sz w:val="22"/>
              </w:rPr>
            </w:pPr>
          </w:p>
          <w:p>
            <w:pPr>
              <w:pStyle w:val="TableParagraph"/>
              <w:ind w:left="161" w:right="166"/>
              <w:jc w:val="center"/>
              <w:rPr>
                <w:sz w:val="22"/>
              </w:rPr>
            </w:pPr>
            <w:r>
              <w:rPr>
                <w:spacing w:val="-2"/>
                <w:sz w:val="22"/>
              </w:rPr>
              <w:t>$523.46</w:t>
            </w:r>
          </w:p>
        </w:tc>
      </w:tr>
    </w:tbl>
    <w:p>
      <w:pPr>
        <w:pStyle w:val="BodyText"/>
        <w:rPr>
          <w:sz w:val="26"/>
        </w:rPr>
      </w:pPr>
    </w:p>
    <w:p>
      <w:pPr>
        <w:pStyle w:val="BodyText"/>
        <w:spacing w:before="216"/>
        <w:ind w:left="871" w:right="105"/>
      </w:pPr>
      <w:r>
        <w:rPr/>
        <w:drawing>
          <wp:anchor distT="0" distB="0" distL="0" distR="0" allowOverlap="1" layoutInCell="1" locked="0" behindDoc="0" simplePos="0" relativeHeight="16113664">
            <wp:simplePos x="0" y="0"/>
            <wp:positionH relativeFrom="page">
              <wp:posOffset>832103</wp:posOffset>
            </wp:positionH>
            <wp:positionV relativeFrom="paragraph">
              <wp:posOffset>172772</wp:posOffset>
            </wp:positionV>
            <wp:extent cx="359663" cy="112763"/>
            <wp:effectExtent l="0" t="0" r="0" b="0"/>
            <wp:wrapNone/>
            <wp:docPr id="778" name="Image 778"/>
            <wp:cNvGraphicFramePr>
              <a:graphicFrameLocks/>
            </wp:cNvGraphicFramePr>
            <a:graphic>
              <a:graphicData uri="http://schemas.openxmlformats.org/drawingml/2006/picture">
                <pic:pic>
                  <pic:nvPicPr>
                    <pic:cNvPr id="778" name="Image 778"/>
                    <pic:cNvPicPr/>
                  </pic:nvPicPr>
                  <pic:blipFill>
                    <a:blip r:embed="rId305" cstate="print"/>
                    <a:stretch>
                      <a:fillRect/>
                    </a:stretch>
                  </pic:blipFill>
                  <pic:spPr>
                    <a:xfrm>
                      <a:off x="0" y="0"/>
                      <a:ext cx="359663" cy="112763"/>
                    </a:xfrm>
                    <a:prstGeom prst="rect">
                      <a:avLst/>
                    </a:prstGeom>
                  </pic:spPr>
                </pic:pic>
              </a:graphicData>
            </a:graphic>
          </wp:anchor>
        </w:drawing>
      </w:r>
      <w:bookmarkStart w:name="19.10. Hypothetical Budget Neutrality Te" w:id="1080"/>
      <w:bookmarkEnd w:id="1080"/>
      <w:r>
        <w:rPr/>
      </w:r>
      <w:r>
        <w:rPr>
          <w:b/>
        </w:rPr>
        <w:t>Hypothetical Budget Neutrality Test 5: SUD. </w:t>
      </w:r>
      <w:r>
        <w:rPr/>
        <w:t>The table below identifies the MEGs that are used for Hypothetical Budget Neutrality</w:t>
      </w:r>
      <w:r>
        <w:rPr>
          <w:spacing w:val="-4"/>
        </w:rPr>
        <w:t> </w:t>
      </w:r>
      <w:r>
        <w:rPr/>
        <w:t>Test</w:t>
      </w:r>
      <w:r>
        <w:rPr>
          <w:spacing w:val="-1"/>
        </w:rPr>
        <w:t> </w:t>
      </w:r>
      <w:r>
        <w:rPr/>
        <w:t>5.</w:t>
      </w:r>
      <w:r>
        <w:rPr>
          <w:spacing w:val="-1"/>
        </w:rPr>
        <w:t> </w:t>
      </w:r>
      <w:r>
        <w:rPr/>
        <w:t>MEGs that</w:t>
      </w:r>
      <w:r>
        <w:rPr>
          <w:spacing w:val="-1"/>
        </w:rPr>
        <w:t> </w:t>
      </w:r>
      <w:r>
        <w:rPr/>
        <w:t>are</w:t>
      </w:r>
      <w:r>
        <w:rPr>
          <w:spacing w:val="-2"/>
        </w:rPr>
        <w:t> </w:t>
      </w:r>
      <w:r>
        <w:rPr/>
        <w:t>designated</w:t>
      </w:r>
      <w:r>
        <w:rPr>
          <w:spacing w:val="-1"/>
        </w:rPr>
        <w:t> </w:t>
      </w:r>
      <w:r>
        <w:rPr/>
        <w:t>“WOW Only”</w:t>
      </w:r>
      <w:r>
        <w:rPr>
          <w:spacing w:val="-2"/>
        </w:rPr>
        <w:t> </w:t>
      </w:r>
      <w:r>
        <w:rPr/>
        <w:t>or</w:t>
      </w:r>
      <w:r>
        <w:rPr>
          <w:spacing w:val="-2"/>
        </w:rPr>
        <w:t> </w:t>
      </w:r>
      <w:r>
        <w:rPr/>
        <w:t>“Both” are</w:t>
      </w:r>
      <w:r>
        <w:rPr>
          <w:spacing w:val="-2"/>
        </w:rPr>
        <w:t> </w:t>
      </w:r>
      <w:r>
        <w:rPr/>
        <w:t>the</w:t>
      </w:r>
      <w:r>
        <w:rPr>
          <w:spacing w:val="-2"/>
        </w:rPr>
        <w:t> </w:t>
      </w:r>
      <w:r>
        <w:rPr/>
        <w:t>components</w:t>
      </w:r>
      <w:r>
        <w:rPr>
          <w:spacing w:val="-1"/>
        </w:rPr>
        <w:t> </w:t>
      </w:r>
      <w:r>
        <w:rPr/>
        <w:t>used</w:t>
      </w:r>
      <w:r>
        <w:rPr>
          <w:spacing w:val="-1"/>
        </w:rPr>
        <w:t> </w:t>
      </w:r>
      <w:r>
        <w:rPr/>
        <w:t>to</w:t>
      </w:r>
      <w:r>
        <w:rPr>
          <w:spacing w:val="-1"/>
        </w:rPr>
        <w:t> </w:t>
      </w:r>
      <w:r>
        <w:rPr/>
        <w:t>calculate</w:t>
      </w:r>
      <w:r>
        <w:rPr>
          <w:spacing w:val="-2"/>
        </w:rPr>
        <w:t> </w:t>
      </w:r>
      <w:r>
        <w:rPr/>
        <w:t>the</w:t>
      </w:r>
      <w:r>
        <w:rPr>
          <w:spacing w:val="-2"/>
        </w:rPr>
        <w:t> </w:t>
      </w:r>
      <w:r>
        <w:rPr/>
        <w:t>budget</w:t>
      </w:r>
      <w:r>
        <w:rPr>
          <w:spacing w:val="-1"/>
        </w:rPr>
        <w:t> </w:t>
      </w:r>
      <w:r>
        <w:rPr/>
        <w:t>neutrality expenditure limit.</w:t>
      </w:r>
      <w:r>
        <w:rPr>
          <w:spacing w:val="40"/>
        </w:rPr>
        <w:t> </w:t>
      </w:r>
      <w:r>
        <w:rPr/>
        <w:t>The Composite Federal Share for the Hypothetical Budget Neutrality Test is calculated based on all MEGs indicated</w:t>
      </w:r>
      <w:r>
        <w:rPr>
          <w:spacing w:val="-2"/>
        </w:rPr>
        <w:t> </w:t>
      </w:r>
      <w:r>
        <w:rPr/>
        <w:t>as</w:t>
      </w:r>
      <w:r>
        <w:rPr>
          <w:spacing w:val="-2"/>
        </w:rPr>
        <w:t> </w:t>
      </w:r>
      <w:r>
        <w:rPr/>
        <w:t>“WW</w:t>
      </w:r>
      <w:r>
        <w:rPr>
          <w:spacing w:val="-1"/>
        </w:rPr>
        <w:t> </w:t>
      </w:r>
      <w:r>
        <w:rPr/>
        <w:t>Only”</w:t>
      </w:r>
      <w:r>
        <w:rPr>
          <w:spacing w:val="-1"/>
        </w:rPr>
        <w:t> </w:t>
      </w:r>
      <w:r>
        <w:rPr/>
        <w:t>or</w:t>
      </w:r>
      <w:r>
        <w:rPr>
          <w:spacing w:val="-3"/>
        </w:rPr>
        <w:t> </w:t>
      </w:r>
      <w:r>
        <w:rPr/>
        <w:t>“Both.”</w:t>
      </w:r>
      <w:r>
        <w:rPr>
          <w:spacing w:val="40"/>
        </w:rPr>
        <w:t> </w:t>
      </w:r>
      <w:r>
        <w:rPr/>
        <w:t>MEGs</w:t>
      </w:r>
      <w:r>
        <w:rPr>
          <w:spacing w:val="-2"/>
        </w:rPr>
        <w:t> </w:t>
      </w:r>
      <w:r>
        <w:rPr/>
        <w:t>that</w:t>
      </w:r>
      <w:r>
        <w:rPr>
          <w:spacing w:val="-2"/>
        </w:rPr>
        <w:t> </w:t>
      </w:r>
      <w:r>
        <w:rPr/>
        <w:t>are</w:t>
      </w:r>
      <w:r>
        <w:rPr>
          <w:spacing w:val="-3"/>
        </w:rPr>
        <w:t> </w:t>
      </w:r>
      <w:r>
        <w:rPr/>
        <w:t>indicated as</w:t>
      </w:r>
      <w:r>
        <w:rPr>
          <w:spacing w:val="-2"/>
        </w:rPr>
        <w:t> </w:t>
      </w:r>
      <w:r>
        <w:rPr/>
        <w:t>“WW</w:t>
      </w:r>
      <w:r>
        <w:rPr>
          <w:spacing w:val="-1"/>
        </w:rPr>
        <w:t> </w:t>
      </w:r>
      <w:r>
        <w:rPr/>
        <w:t>Only”</w:t>
      </w:r>
      <w:r>
        <w:rPr>
          <w:spacing w:val="-1"/>
        </w:rPr>
        <w:t> </w:t>
      </w:r>
      <w:r>
        <w:rPr/>
        <w:t>or</w:t>
      </w:r>
      <w:r>
        <w:rPr>
          <w:spacing w:val="-3"/>
        </w:rPr>
        <w:t> </w:t>
      </w:r>
      <w:r>
        <w:rPr/>
        <w:t>“Both”</w:t>
      </w:r>
      <w:r>
        <w:rPr>
          <w:spacing w:val="-3"/>
        </w:rPr>
        <w:t> </w:t>
      </w:r>
      <w:r>
        <w:rPr/>
        <w:t>are</w:t>
      </w:r>
      <w:r>
        <w:rPr>
          <w:spacing w:val="-3"/>
        </w:rPr>
        <w:t> </w:t>
      </w:r>
      <w:r>
        <w:rPr/>
        <w:t>counted as</w:t>
      </w:r>
      <w:r>
        <w:rPr>
          <w:spacing w:val="-2"/>
        </w:rPr>
        <w:t> </w:t>
      </w:r>
      <w:r>
        <w:rPr/>
        <w:t>expenditures</w:t>
      </w:r>
      <w:r>
        <w:rPr>
          <w:spacing w:val="-2"/>
        </w:rPr>
        <w:t> </w:t>
      </w:r>
      <w:r>
        <w:rPr/>
        <w:t>against</w:t>
      </w:r>
      <w:r>
        <w:rPr>
          <w:spacing w:val="-2"/>
        </w:rPr>
        <w:t> </w:t>
      </w:r>
      <w:r>
        <w:rPr/>
        <w:t>this budget neutrality expenditure limit.</w:t>
      </w:r>
      <w:r>
        <w:rPr>
          <w:spacing w:val="40"/>
        </w:rPr>
        <w:t> </w:t>
      </w:r>
      <w:r>
        <w:rPr/>
        <w:t>Any expenditures in excess of the limit from Hypothetical Budget Neutrality Test 5 are counted as WW expenditures under the Main Budget Neutrality Test.</w:t>
      </w:r>
    </w:p>
    <w:p>
      <w:pPr>
        <w:spacing w:after="0"/>
        <w:sectPr>
          <w:footerReference w:type="default" r:id="rId303"/>
          <w:pgSz w:w="15840" w:h="12240" w:orient="landscape"/>
          <w:pgMar w:footer="1201" w:header="0" w:top="1380" w:bottom="1400" w:left="1200" w:right="1340"/>
        </w:sectPr>
      </w:pPr>
    </w:p>
    <w:p>
      <w:pPr>
        <w:pStyle w:val="BodyText"/>
        <w:spacing w:before="2"/>
        <w:rPr>
          <w:sz w:val="5"/>
        </w:rPr>
      </w:pPr>
    </w:p>
    <w:tbl>
      <w:tblPr>
        <w:tblW w:w="0" w:type="auto"/>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7"/>
        <w:gridCol w:w="756"/>
        <w:gridCol w:w="1190"/>
        <w:gridCol w:w="861"/>
        <w:gridCol w:w="969"/>
        <w:gridCol w:w="1295"/>
        <w:gridCol w:w="1403"/>
        <w:gridCol w:w="1403"/>
        <w:gridCol w:w="1403"/>
        <w:gridCol w:w="1403"/>
        <w:gridCol w:w="1403"/>
      </w:tblGrid>
      <w:tr>
        <w:trPr>
          <w:trHeight w:val="477" w:hRule="atLeast"/>
        </w:trPr>
        <w:tc>
          <w:tcPr>
            <w:tcW w:w="12943" w:type="dxa"/>
            <w:gridSpan w:val="11"/>
            <w:shd w:val="clear" w:color="auto" w:fill="DBE4F0"/>
          </w:tcPr>
          <w:p>
            <w:pPr>
              <w:pStyle w:val="TableParagraph"/>
              <w:spacing w:before="61"/>
              <w:ind w:left="4214" w:right="4195"/>
              <w:jc w:val="center"/>
              <w:rPr>
                <w:b/>
                <w:sz w:val="22"/>
              </w:rPr>
            </w:pPr>
            <w:r>
              <w:rPr>
                <w:b/>
                <w:sz w:val="22"/>
              </w:rPr>
              <w:t>Table</w:t>
            </w:r>
            <w:r>
              <w:rPr>
                <w:b/>
                <w:spacing w:val="-5"/>
                <w:sz w:val="22"/>
              </w:rPr>
              <w:t> </w:t>
            </w:r>
            <w:r>
              <w:rPr>
                <w:b/>
                <w:sz w:val="22"/>
              </w:rPr>
              <w:t>25:</w:t>
            </w:r>
            <w:r>
              <w:rPr>
                <w:b/>
                <w:spacing w:val="-6"/>
                <w:sz w:val="22"/>
              </w:rPr>
              <w:t> </w:t>
            </w:r>
            <w:r>
              <w:rPr>
                <w:b/>
                <w:sz w:val="22"/>
              </w:rPr>
              <w:t>Hypothetical</w:t>
            </w:r>
            <w:r>
              <w:rPr>
                <w:b/>
                <w:spacing w:val="-7"/>
                <w:sz w:val="22"/>
              </w:rPr>
              <w:t> </w:t>
            </w:r>
            <w:r>
              <w:rPr>
                <w:b/>
                <w:sz w:val="22"/>
              </w:rPr>
              <w:t>Budget</w:t>
            </w:r>
            <w:r>
              <w:rPr>
                <w:b/>
                <w:spacing w:val="-3"/>
                <w:sz w:val="22"/>
              </w:rPr>
              <w:t> </w:t>
            </w:r>
            <w:r>
              <w:rPr>
                <w:b/>
                <w:sz w:val="22"/>
              </w:rPr>
              <w:t>Neutrality</w:t>
            </w:r>
            <w:r>
              <w:rPr>
                <w:b/>
                <w:spacing w:val="-5"/>
                <w:sz w:val="22"/>
              </w:rPr>
              <w:t> </w:t>
            </w:r>
            <w:r>
              <w:rPr>
                <w:b/>
                <w:sz w:val="22"/>
              </w:rPr>
              <w:t>Test</w:t>
            </w:r>
            <w:r>
              <w:rPr>
                <w:b/>
                <w:spacing w:val="-3"/>
                <w:sz w:val="22"/>
              </w:rPr>
              <w:t> </w:t>
            </w:r>
            <w:r>
              <w:rPr>
                <w:b/>
                <w:spacing w:val="-10"/>
                <w:sz w:val="22"/>
              </w:rPr>
              <w:t>5</w:t>
            </w:r>
          </w:p>
        </w:tc>
      </w:tr>
      <w:tr>
        <w:trPr>
          <w:trHeight w:val="1530" w:hRule="atLeast"/>
        </w:trPr>
        <w:tc>
          <w:tcPr>
            <w:tcW w:w="857" w:type="dxa"/>
            <w:shd w:val="clear" w:color="auto" w:fill="DBE4F0"/>
          </w:tcPr>
          <w:p>
            <w:pPr>
              <w:pStyle w:val="TableParagraph"/>
              <w:rPr>
                <w:sz w:val="24"/>
              </w:rPr>
            </w:pPr>
          </w:p>
          <w:p>
            <w:pPr>
              <w:pStyle w:val="TableParagraph"/>
              <w:spacing w:before="6"/>
              <w:rPr>
                <w:sz w:val="31"/>
              </w:rPr>
            </w:pPr>
          </w:p>
          <w:p>
            <w:pPr>
              <w:pStyle w:val="TableParagraph"/>
              <w:ind w:left="165"/>
              <w:rPr>
                <w:b/>
                <w:sz w:val="22"/>
              </w:rPr>
            </w:pPr>
            <w:r>
              <w:rPr>
                <w:b/>
                <w:spacing w:val="-5"/>
                <w:sz w:val="22"/>
              </w:rPr>
              <w:t>MEG</w:t>
            </w:r>
          </w:p>
        </w:tc>
        <w:tc>
          <w:tcPr>
            <w:tcW w:w="756" w:type="dxa"/>
            <w:shd w:val="clear" w:color="auto" w:fill="DBE4F0"/>
          </w:tcPr>
          <w:p>
            <w:pPr>
              <w:pStyle w:val="TableParagraph"/>
              <w:spacing w:before="5"/>
              <w:rPr>
                <w:sz w:val="33"/>
              </w:rPr>
            </w:pPr>
          </w:p>
          <w:p>
            <w:pPr>
              <w:pStyle w:val="TableParagraph"/>
              <w:spacing w:line="252" w:lineRule="exact"/>
              <w:ind w:left="230"/>
              <w:rPr>
                <w:b/>
                <w:sz w:val="22"/>
              </w:rPr>
            </w:pPr>
            <w:r>
              <w:rPr>
                <w:b/>
                <w:spacing w:val="-5"/>
                <w:sz w:val="22"/>
              </w:rPr>
              <w:t>PC</w:t>
            </w:r>
          </w:p>
          <w:p>
            <w:pPr>
              <w:pStyle w:val="TableParagraph"/>
              <w:spacing w:line="244" w:lineRule="auto"/>
              <w:ind w:left="186" w:right="173" w:firstLine="86"/>
              <w:rPr>
                <w:b/>
                <w:sz w:val="22"/>
              </w:rPr>
            </w:pPr>
            <w:r>
              <w:rPr>
                <w:b/>
                <w:spacing w:val="-6"/>
                <w:sz w:val="22"/>
              </w:rPr>
              <w:t>or </w:t>
            </w:r>
            <w:r>
              <w:rPr>
                <w:b/>
                <w:spacing w:val="-4"/>
                <w:sz w:val="22"/>
              </w:rPr>
              <w:t>Agg</w:t>
            </w:r>
          </w:p>
        </w:tc>
        <w:tc>
          <w:tcPr>
            <w:tcW w:w="1190" w:type="dxa"/>
            <w:shd w:val="clear" w:color="auto" w:fill="DBE4F0"/>
          </w:tcPr>
          <w:p>
            <w:pPr>
              <w:pStyle w:val="TableParagraph"/>
              <w:spacing w:before="130"/>
              <w:ind w:left="285"/>
              <w:rPr>
                <w:b/>
                <w:sz w:val="22"/>
              </w:rPr>
            </w:pPr>
            <w:r>
              <w:rPr>
                <w:b/>
                <w:spacing w:val="-5"/>
                <w:sz w:val="22"/>
              </w:rPr>
              <w:t>WOW</w:t>
            </w:r>
          </w:p>
          <w:p>
            <w:pPr>
              <w:pStyle w:val="TableParagraph"/>
              <w:spacing w:before="2"/>
              <w:ind w:left="371" w:right="318" w:hanging="39"/>
              <w:rPr>
                <w:b/>
                <w:sz w:val="22"/>
              </w:rPr>
            </w:pPr>
            <w:r>
              <w:rPr>
                <w:b/>
                <w:spacing w:val="-2"/>
                <w:sz w:val="22"/>
              </w:rPr>
              <w:t>Only, </w:t>
            </w:r>
            <w:r>
              <w:rPr>
                <w:b/>
                <w:spacing w:val="-6"/>
                <w:sz w:val="22"/>
              </w:rPr>
              <w:t>WW</w:t>
            </w:r>
          </w:p>
          <w:p>
            <w:pPr>
              <w:pStyle w:val="TableParagraph"/>
              <w:ind w:left="366" w:right="191" w:hanging="166"/>
              <w:rPr>
                <w:b/>
                <w:sz w:val="22"/>
              </w:rPr>
            </w:pPr>
            <w:r>
              <w:rPr>
                <w:b/>
                <w:sz w:val="22"/>
              </w:rPr>
              <w:t>Only,</w:t>
            </w:r>
            <w:r>
              <w:rPr>
                <w:b/>
                <w:spacing w:val="-14"/>
                <w:sz w:val="22"/>
              </w:rPr>
              <w:t> </w:t>
            </w:r>
            <w:r>
              <w:rPr>
                <w:b/>
                <w:sz w:val="22"/>
              </w:rPr>
              <w:t>or </w:t>
            </w:r>
            <w:r>
              <w:rPr>
                <w:b/>
                <w:spacing w:val="-4"/>
                <w:sz w:val="22"/>
              </w:rPr>
              <w:t>Both</w:t>
            </w:r>
          </w:p>
        </w:tc>
        <w:tc>
          <w:tcPr>
            <w:tcW w:w="861" w:type="dxa"/>
            <w:shd w:val="clear" w:color="auto" w:fill="DBE4F0"/>
          </w:tcPr>
          <w:p>
            <w:pPr>
              <w:pStyle w:val="TableParagraph"/>
              <w:rPr>
                <w:sz w:val="24"/>
              </w:rPr>
            </w:pPr>
          </w:p>
          <w:p>
            <w:pPr>
              <w:pStyle w:val="TableParagraph"/>
              <w:spacing w:before="3"/>
              <w:rPr>
                <w:sz w:val="20"/>
              </w:rPr>
            </w:pPr>
          </w:p>
          <w:p>
            <w:pPr>
              <w:pStyle w:val="TableParagraph"/>
              <w:ind w:left="199" w:right="183" w:firstLine="9"/>
              <w:rPr>
                <w:b/>
                <w:sz w:val="22"/>
              </w:rPr>
            </w:pPr>
            <w:r>
              <w:rPr>
                <w:b/>
                <w:spacing w:val="-4"/>
                <w:sz w:val="22"/>
              </w:rPr>
              <w:t>Base Year</w:t>
            </w:r>
          </w:p>
        </w:tc>
        <w:tc>
          <w:tcPr>
            <w:tcW w:w="969" w:type="dxa"/>
            <w:shd w:val="clear" w:color="auto" w:fill="DBE4F0"/>
            <w:textDirection w:val="tbRl"/>
          </w:tcPr>
          <w:p>
            <w:pPr>
              <w:pStyle w:val="TableParagraph"/>
              <w:spacing w:before="2"/>
              <w:rPr>
                <w:sz w:val="30"/>
              </w:rPr>
            </w:pPr>
          </w:p>
          <w:p>
            <w:pPr>
              <w:pStyle w:val="TableParagraph"/>
              <w:ind w:left="222"/>
              <w:rPr>
                <w:b/>
                <w:sz w:val="22"/>
              </w:rPr>
            </w:pPr>
            <w:bookmarkStart w:name="19.11. Hypothetical Budget Neutrality Te" w:id="1081"/>
            <w:bookmarkEnd w:id="1081"/>
            <w:r>
              <w:rPr/>
            </w:r>
            <w:r>
              <w:rPr>
                <w:b/>
                <w:sz w:val="22"/>
              </w:rPr>
              <w:t>Trend</w:t>
            </w:r>
            <w:r>
              <w:rPr>
                <w:b/>
                <w:spacing w:val="-3"/>
                <w:sz w:val="22"/>
              </w:rPr>
              <w:t> </w:t>
            </w:r>
            <w:r>
              <w:rPr>
                <w:b/>
                <w:spacing w:val="-4"/>
                <w:sz w:val="22"/>
              </w:rPr>
              <w:t>Rate</w:t>
            </w:r>
          </w:p>
        </w:tc>
        <w:tc>
          <w:tcPr>
            <w:tcW w:w="1295" w:type="dxa"/>
            <w:shd w:val="clear" w:color="auto" w:fill="DBE4F0"/>
          </w:tcPr>
          <w:p>
            <w:pPr>
              <w:pStyle w:val="TableParagraph"/>
              <w:rPr>
                <w:sz w:val="24"/>
              </w:rPr>
            </w:pPr>
          </w:p>
          <w:p>
            <w:pPr>
              <w:pStyle w:val="TableParagraph"/>
              <w:spacing w:before="6"/>
              <w:rPr>
                <w:sz w:val="31"/>
              </w:rPr>
            </w:pPr>
          </w:p>
          <w:p>
            <w:pPr>
              <w:pStyle w:val="TableParagraph"/>
              <w:ind w:left="194" w:right="181"/>
              <w:jc w:val="center"/>
              <w:rPr>
                <w:b/>
                <w:sz w:val="22"/>
              </w:rPr>
            </w:pPr>
            <w:r>
              <w:rPr>
                <w:b/>
                <w:sz w:val="22"/>
              </w:rPr>
              <w:t>DY</w:t>
            </w:r>
            <w:r>
              <w:rPr>
                <w:b/>
                <w:spacing w:val="-1"/>
                <w:sz w:val="22"/>
              </w:rPr>
              <w:t> </w:t>
            </w:r>
            <w:r>
              <w:rPr>
                <w:b/>
                <w:spacing w:val="-5"/>
                <w:sz w:val="22"/>
              </w:rPr>
              <w:t>27</w:t>
            </w:r>
          </w:p>
        </w:tc>
        <w:tc>
          <w:tcPr>
            <w:tcW w:w="1403" w:type="dxa"/>
            <w:shd w:val="clear" w:color="auto" w:fill="DBE4F0"/>
          </w:tcPr>
          <w:p>
            <w:pPr>
              <w:pStyle w:val="TableParagraph"/>
              <w:rPr>
                <w:sz w:val="24"/>
              </w:rPr>
            </w:pPr>
          </w:p>
          <w:p>
            <w:pPr>
              <w:pStyle w:val="TableParagraph"/>
              <w:spacing w:before="6"/>
              <w:rPr>
                <w:sz w:val="31"/>
              </w:rPr>
            </w:pPr>
          </w:p>
          <w:p>
            <w:pPr>
              <w:pStyle w:val="TableParagraph"/>
              <w:ind w:left="195" w:right="178"/>
              <w:jc w:val="center"/>
              <w:rPr>
                <w:b/>
                <w:sz w:val="22"/>
              </w:rPr>
            </w:pPr>
            <w:r>
              <w:rPr>
                <w:b/>
                <w:sz w:val="22"/>
              </w:rPr>
              <w:t>DY</w:t>
            </w:r>
            <w:r>
              <w:rPr>
                <w:b/>
                <w:spacing w:val="-1"/>
                <w:sz w:val="22"/>
              </w:rPr>
              <w:t> </w:t>
            </w:r>
            <w:r>
              <w:rPr>
                <w:b/>
                <w:spacing w:val="-5"/>
                <w:sz w:val="22"/>
              </w:rPr>
              <w:t>28</w:t>
            </w:r>
          </w:p>
        </w:tc>
        <w:tc>
          <w:tcPr>
            <w:tcW w:w="1403" w:type="dxa"/>
            <w:shd w:val="clear" w:color="auto" w:fill="DBE4F0"/>
          </w:tcPr>
          <w:p>
            <w:pPr>
              <w:pStyle w:val="TableParagraph"/>
              <w:rPr>
                <w:sz w:val="24"/>
              </w:rPr>
            </w:pPr>
          </w:p>
          <w:p>
            <w:pPr>
              <w:pStyle w:val="TableParagraph"/>
              <w:spacing w:before="6"/>
              <w:rPr>
                <w:sz w:val="31"/>
              </w:rPr>
            </w:pPr>
          </w:p>
          <w:p>
            <w:pPr>
              <w:pStyle w:val="TableParagraph"/>
              <w:ind w:left="197" w:right="178"/>
              <w:jc w:val="center"/>
              <w:rPr>
                <w:b/>
                <w:sz w:val="22"/>
              </w:rPr>
            </w:pPr>
            <w:r>
              <w:rPr>
                <w:b/>
                <w:sz w:val="22"/>
              </w:rPr>
              <w:t>DY</w:t>
            </w:r>
            <w:r>
              <w:rPr>
                <w:b/>
                <w:spacing w:val="-1"/>
                <w:sz w:val="22"/>
              </w:rPr>
              <w:t> </w:t>
            </w:r>
            <w:r>
              <w:rPr>
                <w:b/>
                <w:spacing w:val="-5"/>
                <w:sz w:val="22"/>
              </w:rPr>
              <w:t>29</w:t>
            </w:r>
          </w:p>
        </w:tc>
        <w:tc>
          <w:tcPr>
            <w:tcW w:w="1403" w:type="dxa"/>
            <w:shd w:val="clear" w:color="auto" w:fill="DBE4F0"/>
          </w:tcPr>
          <w:p>
            <w:pPr>
              <w:pStyle w:val="TableParagraph"/>
              <w:rPr>
                <w:sz w:val="24"/>
              </w:rPr>
            </w:pPr>
          </w:p>
          <w:p>
            <w:pPr>
              <w:pStyle w:val="TableParagraph"/>
              <w:spacing w:before="6"/>
              <w:rPr>
                <w:sz w:val="31"/>
              </w:rPr>
            </w:pPr>
          </w:p>
          <w:p>
            <w:pPr>
              <w:pStyle w:val="TableParagraph"/>
              <w:ind w:left="199" w:right="178"/>
              <w:jc w:val="center"/>
              <w:rPr>
                <w:b/>
                <w:sz w:val="22"/>
              </w:rPr>
            </w:pPr>
            <w:r>
              <w:rPr>
                <w:b/>
                <w:sz w:val="22"/>
              </w:rPr>
              <w:t>DY</w:t>
            </w:r>
            <w:r>
              <w:rPr>
                <w:b/>
                <w:spacing w:val="-1"/>
                <w:sz w:val="22"/>
              </w:rPr>
              <w:t> </w:t>
            </w:r>
            <w:r>
              <w:rPr>
                <w:b/>
                <w:spacing w:val="-5"/>
                <w:sz w:val="22"/>
              </w:rPr>
              <w:t>30</w:t>
            </w:r>
          </w:p>
        </w:tc>
        <w:tc>
          <w:tcPr>
            <w:tcW w:w="1403" w:type="dxa"/>
            <w:shd w:val="clear" w:color="auto" w:fill="DBE4F0"/>
          </w:tcPr>
          <w:p>
            <w:pPr>
              <w:pStyle w:val="TableParagraph"/>
              <w:rPr>
                <w:sz w:val="24"/>
              </w:rPr>
            </w:pPr>
          </w:p>
          <w:p>
            <w:pPr>
              <w:pStyle w:val="TableParagraph"/>
              <w:spacing w:before="6"/>
              <w:rPr>
                <w:sz w:val="31"/>
              </w:rPr>
            </w:pPr>
          </w:p>
          <w:p>
            <w:pPr>
              <w:pStyle w:val="TableParagraph"/>
              <w:ind w:left="200" w:right="177"/>
              <w:jc w:val="center"/>
              <w:rPr>
                <w:b/>
                <w:sz w:val="22"/>
              </w:rPr>
            </w:pPr>
            <w:r>
              <w:rPr>
                <w:b/>
                <w:sz w:val="22"/>
              </w:rPr>
              <w:t>DY</w:t>
            </w:r>
            <w:r>
              <w:rPr>
                <w:b/>
                <w:spacing w:val="-1"/>
                <w:sz w:val="22"/>
              </w:rPr>
              <w:t> </w:t>
            </w:r>
            <w:r>
              <w:rPr>
                <w:b/>
                <w:spacing w:val="-5"/>
                <w:sz w:val="22"/>
              </w:rPr>
              <w:t>31</w:t>
            </w:r>
          </w:p>
        </w:tc>
        <w:tc>
          <w:tcPr>
            <w:tcW w:w="1403" w:type="dxa"/>
            <w:shd w:val="clear" w:color="auto" w:fill="DBE4F0"/>
          </w:tcPr>
          <w:p>
            <w:pPr>
              <w:pStyle w:val="TableParagraph"/>
              <w:rPr>
                <w:sz w:val="24"/>
              </w:rPr>
            </w:pPr>
          </w:p>
          <w:p>
            <w:pPr>
              <w:pStyle w:val="TableParagraph"/>
              <w:spacing w:before="6"/>
              <w:rPr>
                <w:sz w:val="31"/>
              </w:rPr>
            </w:pPr>
          </w:p>
          <w:p>
            <w:pPr>
              <w:pStyle w:val="TableParagraph"/>
              <w:ind w:left="200" w:right="175"/>
              <w:jc w:val="center"/>
              <w:rPr>
                <w:b/>
                <w:sz w:val="22"/>
              </w:rPr>
            </w:pPr>
            <w:r>
              <w:rPr>
                <w:b/>
                <w:sz w:val="22"/>
              </w:rPr>
              <w:t>DY</w:t>
            </w:r>
            <w:r>
              <w:rPr>
                <w:b/>
                <w:spacing w:val="-1"/>
                <w:sz w:val="22"/>
              </w:rPr>
              <w:t> </w:t>
            </w:r>
            <w:r>
              <w:rPr>
                <w:b/>
                <w:spacing w:val="-5"/>
                <w:sz w:val="22"/>
              </w:rPr>
              <w:t>32</w:t>
            </w:r>
          </w:p>
        </w:tc>
      </w:tr>
      <w:tr>
        <w:trPr>
          <w:trHeight w:val="782" w:hRule="atLeast"/>
        </w:trPr>
        <w:tc>
          <w:tcPr>
            <w:tcW w:w="857" w:type="dxa"/>
          </w:tcPr>
          <w:p>
            <w:pPr>
              <w:pStyle w:val="TableParagraph"/>
              <w:spacing w:before="9"/>
              <w:rPr>
                <w:sz w:val="22"/>
              </w:rPr>
            </w:pPr>
          </w:p>
          <w:p>
            <w:pPr>
              <w:pStyle w:val="TableParagraph"/>
              <w:ind w:left="107"/>
              <w:rPr>
                <w:sz w:val="22"/>
              </w:rPr>
            </w:pPr>
            <w:r>
              <w:rPr>
                <w:spacing w:val="-5"/>
                <w:sz w:val="22"/>
              </w:rPr>
              <w:t>SUD</w:t>
            </w:r>
          </w:p>
        </w:tc>
        <w:tc>
          <w:tcPr>
            <w:tcW w:w="756" w:type="dxa"/>
          </w:tcPr>
          <w:p>
            <w:pPr>
              <w:pStyle w:val="TableParagraph"/>
              <w:spacing w:before="9"/>
              <w:rPr>
                <w:sz w:val="22"/>
              </w:rPr>
            </w:pPr>
          </w:p>
          <w:p>
            <w:pPr>
              <w:pStyle w:val="TableParagraph"/>
              <w:ind w:left="241"/>
              <w:rPr>
                <w:sz w:val="22"/>
              </w:rPr>
            </w:pPr>
            <w:r>
              <w:rPr>
                <w:spacing w:val="-5"/>
                <w:sz w:val="22"/>
              </w:rPr>
              <w:t>PC</w:t>
            </w:r>
          </w:p>
        </w:tc>
        <w:tc>
          <w:tcPr>
            <w:tcW w:w="1190" w:type="dxa"/>
          </w:tcPr>
          <w:p>
            <w:pPr>
              <w:pStyle w:val="TableParagraph"/>
              <w:spacing w:before="9"/>
              <w:rPr>
                <w:sz w:val="22"/>
              </w:rPr>
            </w:pPr>
          </w:p>
          <w:p>
            <w:pPr>
              <w:pStyle w:val="TableParagraph"/>
              <w:ind w:left="378"/>
              <w:rPr>
                <w:sz w:val="22"/>
              </w:rPr>
            </w:pPr>
            <w:r>
              <w:rPr>
                <w:spacing w:val="-4"/>
                <w:sz w:val="22"/>
              </w:rPr>
              <w:t>Both</w:t>
            </w:r>
          </w:p>
        </w:tc>
        <w:tc>
          <w:tcPr>
            <w:tcW w:w="861" w:type="dxa"/>
          </w:tcPr>
          <w:p>
            <w:pPr>
              <w:pStyle w:val="TableParagraph"/>
              <w:spacing w:before="9"/>
              <w:rPr>
                <w:sz w:val="22"/>
              </w:rPr>
            </w:pPr>
          </w:p>
          <w:p>
            <w:pPr>
              <w:pStyle w:val="TableParagraph"/>
              <w:ind w:left="211"/>
              <w:rPr>
                <w:sz w:val="22"/>
              </w:rPr>
            </w:pPr>
            <w:r>
              <w:rPr>
                <w:spacing w:val="-4"/>
                <w:sz w:val="22"/>
              </w:rPr>
              <w:t>2019</w:t>
            </w:r>
          </w:p>
        </w:tc>
        <w:tc>
          <w:tcPr>
            <w:tcW w:w="969" w:type="dxa"/>
          </w:tcPr>
          <w:p>
            <w:pPr>
              <w:pStyle w:val="TableParagraph"/>
              <w:spacing w:before="9"/>
              <w:rPr>
                <w:sz w:val="22"/>
              </w:rPr>
            </w:pPr>
          </w:p>
          <w:p>
            <w:pPr>
              <w:pStyle w:val="TableParagraph"/>
              <w:ind w:left="202"/>
              <w:rPr>
                <w:sz w:val="22"/>
              </w:rPr>
            </w:pPr>
            <w:r>
              <w:rPr>
                <w:spacing w:val="-2"/>
                <w:sz w:val="22"/>
              </w:rPr>
              <w:t>5.60%</w:t>
            </w:r>
          </w:p>
        </w:tc>
        <w:tc>
          <w:tcPr>
            <w:tcW w:w="1295" w:type="dxa"/>
          </w:tcPr>
          <w:p>
            <w:pPr>
              <w:pStyle w:val="TableParagraph"/>
              <w:spacing w:before="9"/>
              <w:rPr>
                <w:sz w:val="22"/>
              </w:rPr>
            </w:pPr>
          </w:p>
          <w:p>
            <w:pPr>
              <w:pStyle w:val="TableParagraph"/>
              <w:ind w:left="194" w:right="181"/>
              <w:jc w:val="center"/>
              <w:rPr>
                <w:sz w:val="22"/>
              </w:rPr>
            </w:pPr>
            <w:r>
              <w:rPr>
                <w:spacing w:val="-2"/>
                <w:sz w:val="22"/>
              </w:rPr>
              <w:t>$9,844.88</w:t>
            </w:r>
          </w:p>
        </w:tc>
        <w:tc>
          <w:tcPr>
            <w:tcW w:w="1403" w:type="dxa"/>
          </w:tcPr>
          <w:p>
            <w:pPr>
              <w:pStyle w:val="TableParagraph"/>
              <w:spacing w:before="9"/>
              <w:rPr>
                <w:sz w:val="22"/>
              </w:rPr>
            </w:pPr>
          </w:p>
          <w:p>
            <w:pPr>
              <w:pStyle w:val="TableParagraph"/>
              <w:ind w:left="195" w:right="178"/>
              <w:jc w:val="center"/>
              <w:rPr>
                <w:sz w:val="22"/>
              </w:rPr>
            </w:pPr>
            <w:r>
              <w:rPr>
                <w:spacing w:val="-2"/>
                <w:sz w:val="22"/>
              </w:rPr>
              <w:t>$10,185.92</w:t>
            </w:r>
          </w:p>
        </w:tc>
        <w:tc>
          <w:tcPr>
            <w:tcW w:w="1403" w:type="dxa"/>
          </w:tcPr>
          <w:p>
            <w:pPr>
              <w:pStyle w:val="TableParagraph"/>
              <w:spacing w:before="9"/>
              <w:rPr>
                <w:sz w:val="22"/>
              </w:rPr>
            </w:pPr>
          </w:p>
          <w:p>
            <w:pPr>
              <w:pStyle w:val="TableParagraph"/>
              <w:ind w:left="197" w:right="178"/>
              <w:jc w:val="center"/>
              <w:rPr>
                <w:sz w:val="22"/>
              </w:rPr>
            </w:pPr>
            <w:r>
              <w:rPr>
                <w:spacing w:val="-2"/>
                <w:sz w:val="22"/>
              </w:rPr>
              <w:t>$10,756.33</w:t>
            </w:r>
          </w:p>
        </w:tc>
        <w:tc>
          <w:tcPr>
            <w:tcW w:w="1403" w:type="dxa"/>
          </w:tcPr>
          <w:p>
            <w:pPr>
              <w:pStyle w:val="TableParagraph"/>
              <w:spacing w:before="9"/>
              <w:rPr>
                <w:sz w:val="22"/>
              </w:rPr>
            </w:pPr>
          </w:p>
          <w:p>
            <w:pPr>
              <w:pStyle w:val="TableParagraph"/>
              <w:ind w:left="199" w:right="178"/>
              <w:jc w:val="center"/>
              <w:rPr>
                <w:sz w:val="22"/>
              </w:rPr>
            </w:pPr>
            <w:r>
              <w:rPr>
                <w:spacing w:val="-2"/>
                <w:sz w:val="22"/>
              </w:rPr>
              <w:t>$11,358.69</w:t>
            </w:r>
          </w:p>
        </w:tc>
        <w:tc>
          <w:tcPr>
            <w:tcW w:w="1403" w:type="dxa"/>
          </w:tcPr>
          <w:p>
            <w:pPr>
              <w:pStyle w:val="TableParagraph"/>
              <w:spacing w:before="9"/>
              <w:rPr>
                <w:sz w:val="22"/>
              </w:rPr>
            </w:pPr>
          </w:p>
          <w:p>
            <w:pPr>
              <w:pStyle w:val="TableParagraph"/>
              <w:ind w:left="200" w:right="176"/>
              <w:jc w:val="center"/>
              <w:rPr>
                <w:sz w:val="22"/>
              </w:rPr>
            </w:pPr>
            <w:r>
              <w:rPr>
                <w:spacing w:val="-2"/>
                <w:sz w:val="22"/>
              </w:rPr>
              <w:t>$11,994.77</w:t>
            </w:r>
          </w:p>
        </w:tc>
        <w:tc>
          <w:tcPr>
            <w:tcW w:w="1403" w:type="dxa"/>
          </w:tcPr>
          <w:p>
            <w:pPr>
              <w:pStyle w:val="TableParagraph"/>
              <w:spacing w:before="9"/>
              <w:rPr>
                <w:sz w:val="22"/>
              </w:rPr>
            </w:pPr>
          </w:p>
          <w:p>
            <w:pPr>
              <w:pStyle w:val="TableParagraph"/>
              <w:ind w:left="200" w:right="174"/>
              <w:jc w:val="center"/>
              <w:rPr>
                <w:sz w:val="22"/>
              </w:rPr>
            </w:pPr>
            <w:r>
              <w:rPr>
                <w:spacing w:val="-2"/>
                <w:sz w:val="22"/>
              </w:rPr>
              <w:t>$12,666.48</w:t>
            </w:r>
          </w:p>
        </w:tc>
      </w:tr>
    </w:tbl>
    <w:p>
      <w:pPr>
        <w:pStyle w:val="BodyText"/>
        <w:rPr>
          <w:sz w:val="20"/>
        </w:rPr>
      </w:pPr>
    </w:p>
    <w:p>
      <w:pPr>
        <w:pStyle w:val="BodyText"/>
        <w:rPr>
          <w:sz w:val="20"/>
        </w:rPr>
      </w:pPr>
    </w:p>
    <w:p>
      <w:pPr>
        <w:pStyle w:val="BodyText"/>
        <w:spacing w:before="11"/>
        <w:rPr>
          <w:sz w:val="17"/>
        </w:rPr>
      </w:pPr>
    </w:p>
    <w:p>
      <w:pPr>
        <w:pStyle w:val="BodyText"/>
        <w:spacing w:before="89"/>
        <w:ind w:left="871" w:right="105"/>
      </w:pPr>
      <w:r>
        <w:rPr/>
        <w:drawing>
          <wp:anchor distT="0" distB="0" distL="0" distR="0" allowOverlap="1" layoutInCell="1" locked="0" behindDoc="0" simplePos="0" relativeHeight="16114176">
            <wp:simplePos x="0" y="0"/>
            <wp:positionH relativeFrom="page">
              <wp:posOffset>832103</wp:posOffset>
            </wp:positionH>
            <wp:positionV relativeFrom="paragraph">
              <wp:posOffset>92127</wp:posOffset>
            </wp:positionV>
            <wp:extent cx="359663" cy="112763"/>
            <wp:effectExtent l="0" t="0" r="0" b="0"/>
            <wp:wrapNone/>
            <wp:docPr id="779" name="Image 779"/>
            <wp:cNvGraphicFramePr>
              <a:graphicFrameLocks/>
            </wp:cNvGraphicFramePr>
            <a:graphic>
              <a:graphicData uri="http://schemas.openxmlformats.org/drawingml/2006/picture">
                <pic:pic>
                  <pic:nvPicPr>
                    <pic:cNvPr id="779" name="Image 779"/>
                    <pic:cNvPicPr/>
                  </pic:nvPicPr>
                  <pic:blipFill>
                    <a:blip r:embed="rId306" cstate="print"/>
                    <a:stretch>
                      <a:fillRect/>
                    </a:stretch>
                  </pic:blipFill>
                  <pic:spPr>
                    <a:xfrm>
                      <a:off x="0" y="0"/>
                      <a:ext cx="359663" cy="112763"/>
                    </a:xfrm>
                    <a:prstGeom prst="rect">
                      <a:avLst/>
                    </a:prstGeom>
                  </pic:spPr>
                </pic:pic>
              </a:graphicData>
            </a:graphic>
          </wp:anchor>
        </w:drawing>
      </w:r>
      <w:r>
        <w:rPr>
          <w:b/>
        </w:rPr>
        <w:t>Hypothetical Budget Neutrality Test 6: SMI IMD Services </w:t>
      </w:r>
      <w:r>
        <w:rPr/>
        <w:t>The table below identifies the MEGs that are used for Hypothetical</w:t>
      </w:r>
      <w:r>
        <w:rPr>
          <w:spacing w:val="-2"/>
        </w:rPr>
        <w:t> </w:t>
      </w:r>
      <w:r>
        <w:rPr/>
        <w:t>Budget</w:t>
      </w:r>
      <w:r>
        <w:rPr>
          <w:spacing w:val="-2"/>
        </w:rPr>
        <w:t> </w:t>
      </w:r>
      <w:r>
        <w:rPr/>
        <w:t>Neutrality</w:t>
      </w:r>
      <w:r>
        <w:rPr>
          <w:spacing w:val="-7"/>
        </w:rPr>
        <w:t> </w:t>
      </w:r>
      <w:r>
        <w:rPr/>
        <w:t>Test</w:t>
      </w:r>
      <w:r>
        <w:rPr>
          <w:spacing w:val="-2"/>
        </w:rPr>
        <w:t> </w:t>
      </w:r>
      <w:r>
        <w:rPr/>
        <w:t>6.</w:t>
      </w:r>
      <w:r>
        <w:rPr>
          <w:spacing w:val="-2"/>
        </w:rPr>
        <w:t> </w:t>
      </w:r>
      <w:r>
        <w:rPr/>
        <w:t>MEGs</w:t>
      </w:r>
      <w:r>
        <w:rPr>
          <w:spacing w:val="-2"/>
        </w:rPr>
        <w:t> </w:t>
      </w:r>
      <w:r>
        <w:rPr/>
        <w:t>that are</w:t>
      </w:r>
      <w:r>
        <w:rPr>
          <w:spacing w:val="-3"/>
        </w:rPr>
        <w:t> </w:t>
      </w:r>
      <w:r>
        <w:rPr/>
        <w:t>designated</w:t>
      </w:r>
      <w:r>
        <w:rPr>
          <w:spacing w:val="-2"/>
        </w:rPr>
        <w:t> </w:t>
      </w:r>
      <w:r>
        <w:rPr/>
        <w:t>“WOW</w:t>
      </w:r>
      <w:r>
        <w:rPr>
          <w:spacing w:val="-1"/>
        </w:rPr>
        <w:t> </w:t>
      </w:r>
      <w:r>
        <w:rPr/>
        <w:t>Only”</w:t>
      </w:r>
      <w:r>
        <w:rPr>
          <w:spacing w:val="-3"/>
        </w:rPr>
        <w:t> </w:t>
      </w:r>
      <w:r>
        <w:rPr/>
        <w:t>or</w:t>
      </w:r>
      <w:r>
        <w:rPr>
          <w:spacing w:val="-1"/>
        </w:rPr>
        <w:t> </w:t>
      </w:r>
      <w:r>
        <w:rPr/>
        <w:t>“Both”</w:t>
      </w:r>
      <w:r>
        <w:rPr>
          <w:spacing w:val="-3"/>
        </w:rPr>
        <w:t> </w:t>
      </w:r>
      <w:r>
        <w:rPr/>
        <w:t>are</w:t>
      </w:r>
      <w:r>
        <w:rPr>
          <w:spacing w:val="-3"/>
        </w:rPr>
        <w:t> </w:t>
      </w:r>
      <w:r>
        <w:rPr/>
        <w:t>the</w:t>
      </w:r>
      <w:r>
        <w:rPr>
          <w:spacing w:val="-3"/>
        </w:rPr>
        <w:t> </w:t>
      </w:r>
      <w:r>
        <w:rPr/>
        <w:t>components</w:t>
      </w:r>
      <w:r>
        <w:rPr>
          <w:spacing w:val="-2"/>
        </w:rPr>
        <w:t> </w:t>
      </w:r>
      <w:r>
        <w:rPr/>
        <w:t>used</w:t>
      </w:r>
      <w:r>
        <w:rPr>
          <w:spacing w:val="-2"/>
        </w:rPr>
        <w:t> </w:t>
      </w:r>
      <w:r>
        <w:rPr/>
        <w:t>to</w:t>
      </w:r>
      <w:r>
        <w:rPr>
          <w:spacing w:val="-2"/>
        </w:rPr>
        <w:t> </w:t>
      </w:r>
      <w:r>
        <w:rPr/>
        <w:t>calculate the budget neutrality</w:t>
      </w:r>
      <w:r>
        <w:rPr>
          <w:spacing w:val="-3"/>
        </w:rPr>
        <w:t> </w:t>
      </w:r>
      <w:r>
        <w:rPr/>
        <w:t>expenditure limit.</w:t>
      </w:r>
      <w:r>
        <w:rPr>
          <w:spacing w:val="40"/>
        </w:rPr>
        <w:t> </w:t>
      </w:r>
      <w:r>
        <w:rPr/>
        <w:t>The Composite Federal Share for the Hypothetical Budget Neutrality</w:t>
      </w:r>
      <w:r>
        <w:rPr>
          <w:spacing w:val="-1"/>
        </w:rPr>
        <w:t> </w:t>
      </w:r>
      <w:r>
        <w:rPr/>
        <w:t>Test is calculated based on all MEGs indicated as “WW Only” or “Both.”</w:t>
      </w:r>
      <w:r>
        <w:rPr>
          <w:spacing w:val="40"/>
        </w:rPr>
        <w:t> </w:t>
      </w:r>
      <w:r>
        <w:rPr/>
        <w:t>MEGs that are indicated as “WW Only” or “Both” are counted as expenditures</w:t>
      </w:r>
      <w:r>
        <w:rPr>
          <w:spacing w:val="-1"/>
        </w:rPr>
        <w:t> </w:t>
      </w:r>
      <w:r>
        <w:rPr/>
        <w:t>against</w:t>
      </w:r>
      <w:r>
        <w:rPr>
          <w:spacing w:val="-1"/>
        </w:rPr>
        <w:t> </w:t>
      </w:r>
      <w:r>
        <w:rPr/>
        <w:t>this</w:t>
      </w:r>
      <w:r>
        <w:rPr>
          <w:spacing w:val="-1"/>
        </w:rPr>
        <w:t> </w:t>
      </w:r>
      <w:r>
        <w:rPr/>
        <w:t>budget</w:t>
      </w:r>
      <w:r>
        <w:rPr>
          <w:spacing w:val="-1"/>
        </w:rPr>
        <w:t> </w:t>
      </w:r>
      <w:r>
        <w:rPr/>
        <w:t>neutrality</w:t>
      </w:r>
      <w:r>
        <w:rPr>
          <w:spacing w:val="-4"/>
        </w:rPr>
        <w:t> </w:t>
      </w:r>
      <w:r>
        <w:rPr/>
        <w:t>expenditure</w:t>
      </w:r>
      <w:r>
        <w:rPr>
          <w:spacing w:val="-2"/>
        </w:rPr>
        <w:t> </w:t>
      </w:r>
      <w:r>
        <w:rPr/>
        <w:t>limit.</w:t>
      </w:r>
      <w:r>
        <w:rPr>
          <w:spacing w:val="40"/>
        </w:rPr>
        <w:t> </w:t>
      </w:r>
      <w:r>
        <w:rPr/>
        <w:t>Any</w:t>
      </w:r>
      <w:r>
        <w:rPr>
          <w:spacing w:val="-6"/>
        </w:rPr>
        <w:t> </w:t>
      </w:r>
      <w:r>
        <w:rPr/>
        <w:t>expenditures</w:t>
      </w:r>
      <w:r>
        <w:rPr>
          <w:spacing w:val="-1"/>
        </w:rPr>
        <w:t> </w:t>
      </w:r>
      <w:r>
        <w:rPr/>
        <w:t>in</w:t>
      </w:r>
      <w:r>
        <w:rPr>
          <w:spacing w:val="-1"/>
        </w:rPr>
        <w:t> </w:t>
      </w:r>
      <w:r>
        <w:rPr/>
        <w:t>excess</w:t>
      </w:r>
      <w:r>
        <w:rPr>
          <w:spacing w:val="-1"/>
        </w:rPr>
        <w:t> </w:t>
      </w:r>
      <w:r>
        <w:rPr/>
        <w:t>of</w:t>
      </w:r>
      <w:r>
        <w:rPr>
          <w:spacing w:val="-2"/>
        </w:rPr>
        <w:t> </w:t>
      </w:r>
      <w:r>
        <w:rPr/>
        <w:t>the</w:t>
      </w:r>
      <w:r>
        <w:rPr>
          <w:spacing w:val="-2"/>
        </w:rPr>
        <w:t> </w:t>
      </w:r>
      <w:r>
        <w:rPr/>
        <w:t>limit</w:t>
      </w:r>
      <w:r>
        <w:rPr>
          <w:spacing w:val="-1"/>
        </w:rPr>
        <w:t> </w:t>
      </w:r>
      <w:r>
        <w:rPr/>
        <w:t>from</w:t>
      </w:r>
      <w:r>
        <w:rPr>
          <w:spacing w:val="-1"/>
        </w:rPr>
        <w:t> </w:t>
      </w:r>
      <w:r>
        <w:rPr/>
        <w:t>Hypothetical</w:t>
      </w:r>
      <w:r>
        <w:rPr>
          <w:spacing w:val="-1"/>
        </w:rPr>
        <w:t> </w:t>
      </w:r>
      <w:r>
        <w:rPr/>
        <w:t>Budget Neutrality Test 6 are counted as WW expenditures under the Main Budget Neutrality Test.</w:t>
      </w:r>
    </w:p>
    <w:p>
      <w:pPr>
        <w:pStyle w:val="BodyText"/>
        <w:rPr>
          <w:sz w:val="21"/>
        </w:rPr>
      </w:pPr>
    </w:p>
    <w:tbl>
      <w:tblPr>
        <w:tblW w:w="0" w:type="auto"/>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1"/>
        <w:gridCol w:w="861"/>
        <w:gridCol w:w="1190"/>
        <w:gridCol w:w="861"/>
        <w:gridCol w:w="969"/>
        <w:gridCol w:w="1295"/>
        <w:gridCol w:w="1295"/>
        <w:gridCol w:w="1293"/>
        <w:gridCol w:w="1295"/>
        <w:gridCol w:w="1293"/>
        <w:gridCol w:w="1300"/>
      </w:tblGrid>
      <w:tr>
        <w:trPr>
          <w:trHeight w:val="477" w:hRule="atLeast"/>
        </w:trPr>
        <w:tc>
          <w:tcPr>
            <w:tcW w:w="12943" w:type="dxa"/>
            <w:gridSpan w:val="11"/>
            <w:shd w:val="clear" w:color="auto" w:fill="DBE4F0"/>
          </w:tcPr>
          <w:p>
            <w:pPr>
              <w:pStyle w:val="TableParagraph"/>
              <w:spacing w:before="61"/>
              <w:ind w:left="4214" w:right="4195"/>
              <w:jc w:val="center"/>
              <w:rPr>
                <w:b/>
                <w:sz w:val="22"/>
              </w:rPr>
            </w:pPr>
            <w:r>
              <w:rPr>
                <w:b/>
                <w:sz w:val="22"/>
              </w:rPr>
              <w:t>Table</w:t>
            </w:r>
            <w:r>
              <w:rPr>
                <w:b/>
                <w:spacing w:val="-5"/>
                <w:sz w:val="22"/>
              </w:rPr>
              <w:t> </w:t>
            </w:r>
            <w:r>
              <w:rPr>
                <w:b/>
                <w:sz w:val="22"/>
              </w:rPr>
              <w:t>26:</w:t>
            </w:r>
            <w:r>
              <w:rPr>
                <w:b/>
                <w:spacing w:val="-6"/>
                <w:sz w:val="22"/>
              </w:rPr>
              <w:t> </w:t>
            </w:r>
            <w:r>
              <w:rPr>
                <w:b/>
                <w:sz w:val="22"/>
              </w:rPr>
              <w:t>Hypothetical</w:t>
            </w:r>
            <w:r>
              <w:rPr>
                <w:b/>
                <w:spacing w:val="-7"/>
                <w:sz w:val="22"/>
              </w:rPr>
              <w:t> </w:t>
            </w:r>
            <w:r>
              <w:rPr>
                <w:b/>
                <w:sz w:val="22"/>
              </w:rPr>
              <w:t>Budget</w:t>
            </w:r>
            <w:r>
              <w:rPr>
                <w:b/>
                <w:spacing w:val="-3"/>
                <w:sz w:val="22"/>
              </w:rPr>
              <w:t> </w:t>
            </w:r>
            <w:r>
              <w:rPr>
                <w:b/>
                <w:sz w:val="22"/>
              </w:rPr>
              <w:t>Neutrality</w:t>
            </w:r>
            <w:r>
              <w:rPr>
                <w:b/>
                <w:spacing w:val="-5"/>
                <w:sz w:val="22"/>
              </w:rPr>
              <w:t> </w:t>
            </w:r>
            <w:r>
              <w:rPr>
                <w:b/>
                <w:sz w:val="22"/>
              </w:rPr>
              <w:t>Test</w:t>
            </w:r>
            <w:r>
              <w:rPr>
                <w:b/>
                <w:spacing w:val="-3"/>
                <w:sz w:val="22"/>
              </w:rPr>
              <w:t> </w:t>
            </w:r>
            <w:r>
              <w:rPr>
                <w:b/>
                <w:spacing w:val="-10"/>
                <w:sz w:val="22"/>
              </w:rPr>
              <w:t>6</w:t>
            </w:r>
          </w:p>
        </w:tc>
      </w:tr>
      <w:tr>
        <w:trPr>
          <w:trHeight w:val="1528" w:hRule="atLeast"/>
        </w:trPr>
        <w:tc>
          <w:tcPr>
            <w:tcW w:w="1291" w:type="dxa"/>
            <w:shd w:val="clear" w:color="auto" w:fill="DBE4F0"/>
          </w:tcPr>
          <w:p>
            <w:pPr>
              <w:pStyle w:val="TableParagraph"/>
              <w:rPr>
                <w:sz w:val="24"/>
              </w:rPr>
            </w:pPr>
          </w:p>
          <w:p>
            <w:pPr>
              <w:pStyle w:val="TableParagraph"/>
              <w:spacing w:before="6"/>
              <w:rPr>
                <w:sz w:val="31"/>
              </w:rPr>
            </w:pPr>
          </w:p>
          <w:p>
            <w:pPr>
              <w:pStyle w:val="TableParagraph"/>
              <w:ind w:left="381"/>
              <w:rPr>
                <w:b/>
                <w:sz w:val="22"/>
              </w:rPr>
            </w:pPr>
            <w:r>
              <w:rPr>
                <w:b/>
                <w:spacing w:val="-5"/>
                <w:sz w:val="22"/>
              </w:rPr>
              <w:t>MEG</w:t>
            </w:r>
          </w:p>
        </w:tc>
        <w:tc>
          <w:tcPr>
            <w:tcW w:w="861" w:type="dxa"/>
            <w:shd w:val="clear" w:color="auto" w:fill="DBE4F0"/>
          </w:tcPr>
          <w:p>
            <w:pPr>
              <w:pStyle w:val="TableParagraph"/>
              <w:rPr>
                <w:sz w:val="24"/>
              </w:rPr>
            </w:pPr>
          </w:p>
          <w:p>
            <w:pPr>
              <w:pStyle w:val="TableParagraph"/>
              <w:spacing w:before="3"/>
              <w:rPr>
                <w:sz w:val="20"/>
              </w:rPr>
            </w:pPr>
          </w:p>
          <w:p>
            <w:pPr>
              <w:pStyle w:val="TableParagraph"/>
              <w:spacing w:line="244" w:lineRule="auto"/>
              <w:ind w:left="240" w:right="138" w:hanging="89"/>
              <w:rPr>
                <w:b/>
                <w:sz w:val="22"/>
              </w:rPr>
            </w:pPr>
            <w:r>
              <w:rPr>
                <w:b/>
                <w:sz w:val="22"/>
              </w:rPr>
              <w:t>PC</w:t>
            </w:r>
            <w:r>
              <w:rPr>
                <w:b/>
                <w:spacing w:val="-14"/>
                <w:sz w:val="22"/>
              </w:rPr>
              <w:t> </w:t>
            </w:r>
            <w:r>
              <w:rPr>
                <w:b/>
                <w:sz w:val="22"/>
              </w:rPr>
              <w:t>or </w:t>
            </w:r>
            <w:r>
              <w:rPr>
                <w:b/>
                <w:spacing w:val="-4"/>
                <w:sz w:val="22"/>
              </w:rPr>
              <w:t>Agg</w:t>
            </w:r>
          </w:p>
        </w:tc>
        <w:tc>
          <w:tcPr>
            <w:tcW w:w="1190" w:type="dxa"/>
            <w:shd w:val="clear" w:color="auto" w:fill="DBE4F0"/>
          </w:tcPr>
          <w:p>
            <w:pPr>
              <w:pStyle w:val="TableParagraph"/>
              <w:spacing w:line="252" w:lineRule="exact" w:before="130"/>
              <w:ind w:left="286"/>
              <w:rPr>
                <w:b/>
                <w:sz w:val="22"/>
              </w:rPr>
            </w:pPr>
            <w:r>
              <w:rPr>
                <w:b/>
                <w:spacing w:val="-5"/>
                <w:sz w:val="22"/>
              </w:rPr>
              <w:t>WOW</w:t>
            </w:r>
          </w:p>
          <w:p>
            <w:pPr>
              <w:pStyle w:val="TableParagraph"/>
              <w:ind w:left="372" w:right="317" w:hanging="39"/>
              <w:rPr>
                <w:b/>
                <w:sz w:val="22"/>
              </w:rPr>
            </w:pPr>
            <w:r>
              <w:rPr>
                <w:b/>
                <w:spacing w:val="-2"/>
                <w:sz w:val="22"/>
              </w:rPr>
              <w:t>Only, </w:t>
            </w:r>
            <w:r>
              <w:rPr>
                <w:b/>
                <w:spacing w:val="-6"/>
                <w:sz w:val="22"/>
              </w:rPr>
              <w:t>WW</w:t>
            </w:r>
          </w:p>
          <w:p>
            <w:pPr>
              <w:pStyle w:val="TableParagraph"/>
              <w:spacing w:line="244" w:lineRule="auto"/>
              <w:ind w:left="367" w:right="190" w:hanging="166"/>
              <w:rPr>
                <w:b/>
                <w:sz w:val="22"/>
              </w:rPr>
            </w:pPr>
            <w:r>
              <w:rPr>
                <w:b/>
                <w:sz w:val="22"/>
              </w:rPr>
              <w:t>Only,</w:t>
            </w:r>
            <w:r>
              <w:rPr>
                <w:b/>
                <w:spacing w:val="-14"/>
                <w:sz w:val="22"/>
              </w:rPr>
              <w:t> </w:t>
            </w:r>
            <w:r>
              <w:rPr>
                <w:b/>
                <w:sz w:val="22"/>
              </w:rPr>
              <w:t>or </w:t>
            </w:r>
            <w:r>
              <w:rPr>
                <w:b/>
                <w:spacing w:val="-4"/>
                <w:sz w:val="22"/>
              </w:rPr>
              <w:t>Both</w:t>
            </w:r>
          </w:p>
        </w:tc>
        <w:tc>
          <w:tcPr>
            <w:tcW w:w="861" w:type="dxa"/>
            <w:shd w:val="clear" w:color="auto" w:fill="DBE4F0"/>
          </w:tcPr>
          <w:p>
            <w:pPr>
              <w:pStyle w:val="TableParagraph"/>
              <w:rPr>
                <w:sz w:val="24"/>
              </w:rPr>
            </w:pPr>
          </w:p>
          <w:p>
            <w:pPr>
              <w:pStyle w:val="TableParagraph"/>
              <w:spacing w:before="3"/>
              <w:rPr>
                <w:sz w:val="20"/>
              </w:rPr>
            </w:pPr>
          </w:p>
          <w:p>
            <w:pPr>
              <w:pStyle w:val="TableParagraph"/>
              <w:ind w:left="200" w:right="182" w:firstLine="9"/>
              <w:rPr>
                <w:b/>
                <w:sz w:val="22"/>
              </w:rPr>
            </w:pPr>
            <w:r>
              <w:rPr>
                <w:b/>
                <w:spacing w:val="-4"/>
                <w:sz w:val="22"/>
              </w:rPr>
              <w:t>Base Year</w:t>
            </w:r>
          </w:p>
        </w:tc>
        <w:tc>
          <w:tcPr>
            <w:tcW w:w="969" w:type="dxa"/>
            <w:shd w:val="clear" w:color="auto" w:fill="DBE4F0"/>
            <w:textDirection w:val="tbRl"/>
          </w:tcPr>
          <w:p>
            <w:pPr>
              <w:pStyle w:val="TableParagraph"/>
              <w:spacing w:before="1"/>
              <w:rPr>
                <w:sz w:val="30"/>
              </w:rPr>
            </w:pPr>
          </w:p>
          <w:p>
            <w:pPr>
              <w:pStyle w:val="TableParagraph"/>
              <w:ind w:left="223"/>
              <w:rPr>
                <w:b/>
                <w:sz w:val="22"/>
              </w:rPr>
            </w:pPr>
            <w:r>
              <w:rPr>
                <w:b/>
                <w:sz w:val="22"/>
              </w:rPr>
              <w:t>Trend</w:t>
            </w:r>
            <w:r>
              <w:rPr>
                <w:b/>
                <w:spacing w:val="-3"/>
                <w:sz w:val="22"/>
              </w:rPr>
              <w:t> </w:t>
            </w:r>
            <w:r>
              <w:rPr>
                <w:b/>
                <w:spacing w:val="-4"/>
                <w:sz w:val="22"/>
              </w:rPr>
              <w:t>Rate</w:t>
            </w:r>
          </w:p>
        </w:tc>
        <w:tc>
          <w:tcPr>
            <w:tcW w:w="1295" w:type="dxa"/>
            <w:shd w:val="clear" w:color="auto" w:fill="DBE4F0"/>
          </w:tcPr>
          <w:p>
            <w:pPr>
              <w:pStyle w:val="TableParagraph"/>
              <w:rPr>
                <w:sz w:val="24"/>
              </w:rPr>
            </w:pPr>
          </w:p>
          <w:p>
            <w:pPr>
              <w:pStyle w:val="TableParagraph"/>
              <w:spacing w:before="6"/>
              <w:rPr>
                <w:sz w:val="31"/>
              </w:rPr>
            </w:pPr>
          </w:p>
          <w:p>
            <w:pPr>
              <w:pStyle w:val="TableParagraph"/>
              <w:ind w:left="196" w:right="181"/>
              <w:jc w:val="center"/>
              <w:rPr>
                <w:b/>
                <w:sz w:val="22"/>
              </w:rPr>
            </w:pPr>
            <w:r>
              <w:rPr>
                <w:b/>
                <w:sz w:val="22"/>
              </w:rPr>
              <w:t>DY</w:t>
            </w:r>
            <w:r>
              <w:rPr>
                <w:b/>
                <w:spacing w:val="-1"/>
                <w:sz w:val="22"/>
              </w:rPr>
              <w:t> </w:t>
            </w:r>
            <w:r>
              <w:rPr>
                <w:b/>
                <w:spacing w:val="-5"/>
                <w:sz w:val="22"/>
              </w:rPr>
              <w:t>27</w:t>
            </w:r>
          </w:p>
        </w:tc>
        <w:tc>
          <w:tcPr>
            <w:tcW w:w="1295" w:type="dxa"/>
            <w:shd w:val="clear" w:color="auto" w:fill="DBE4F0"/>
          </w:tcPr>
          <w:p>
            <w:pPr>
              <w:pStyle w:val="TableParagraph"/>
              <w:rPr>
                <w:sz w:val="24"/>
              </w:rPr>
            </w:pPr>
          </w:p>
          <w:p>
            <w:pPr>
              <w:pStyle w:val="TableParagraph"/>
              <w:spacing w:before="6"/>
              <w:rPr>
                <w:sz w:val="31"/>
              </w:rPr>
            </w:pPr>
          </w:p>
          <w:p>
            <w:pPr>
              <w:pStyle w:val="TableParagraph"/>
              <w:ind w:left="198" w:right="181"/>
              <w:jc w:val="center"/>
              <w:rPr>
                <w:b/>
                <w:sz w:val="22"/>
              </w:rPr>
            </w:pPr>
            <w:r>
              <w:rPr>
                <w:b/>
                <w:sz w:val="22"/>
              </w:rPr>
              <w:t>DY</w:t>
            </w:r>
            <w:r>
              <w:rPr>
                <w:b/>
                <w:spacing w:val="-1"/>
                <w:sz w:val="22"/>
              </w:rPr>
              <w:t> </w:t>
            </w:r>
            <w:r>
              <w:rPr>
                <w:b/>
                <w:spacing w:val="-5"/>
                <w:sz w:val="22"/>
              </w:rPr>
              <w:t>28</w:t>
            </w:r>
          </w:p>
        </w:tc>
        <w:tc>
          <w:tcPr>
            <w:tcW w:w="1293" w:type="dxa"/>
            <w:shd w:val="clear" w:color="auto" w:fill="DBE4F0"/>
          </w:tcPr>
          <w:p>
            <w:pPr>
              <w:pStyle w:val="TableParagraph"/>
              <w:rPr>
                <w:sz w:val="24"/>
              </w:rPr>
            </w:pPr>
          </w:p>
          <w:p>
            <w:pPr>
              <w:pStyle w:val="TableParagraph"/>
              <w:spacing w:before="6"/>
              <w:rPr>
                <w:sz w:val="31"/>
              </w:rPr>
            </w:pPr>
          </w:p>
          <w:p>
            <w:pPr>
              <w:pStyle w:val="TableParagraph"/>
              <w:ind w:left="195" w:right="179"/>
              <w:jc w:val="center"/>
              <w:rPr>
                <w:b/>
                <w:sz w:val="22"/>
              </w:rPr>
            </w:pPr>
            <w:r>
              <w:rPr>
                <w:b/>
                <w:sz w:val="22"/>
              </w:rPr>
              <w:t>DY</w:t>
            </w:r>
            <w:r>
              <w:rPr>
                <w:b/>
                <w:spacing w:val="-1"/>
                <w:sz w:val="22"/>
              </w:rPr>
              <w:t> </w:t>
            </w:r>
            <w:r>
              <w:rPr>
                <w:b/>
                <w:spacing w:val="-5"/>
                <w:sz w:val="22"/>
              </w:rPr>
              <w:t>29</w:t>
            </w:r>
          </w:p>
        </w:tc>
        <w:tc>
          <w:tcPr>
            <w:tcW w:w="1295" w:type="dxa"/>
            <w:shd w:val="clear" w:color="auto" w:fill="DBE4F0"/>
          </w:tcPr>
          <w:p>
            <w:pPr>
              <w:pStyle w:val="TableParagraph"/>
              <w:rPr>
                <w:sz w:val="24"/>
              </w:rPr>
            </w:pPr>
          </w:p>
          <w:p>
            <w:pPr>
              <w:pStyle w:val="TableParagraph"/>
              <w:spacing w:before="6"/>
              <w:rPr>
                <w:sz w:val="31"/>
              </w:rPr>
            </w:pPr>
          </w:p>
          <w:p>
            <w:pPr>
              <w:pStyle w:val="TableParagraph"/>
              <w:ind w:left="198" w:right="178"/>
              <w:jc w:val="center"/>
              <w:rPr>
                <w:b/>
                <w:sz w:val="22"/>
              </w:rPr>
            </w:pPr>
            <w:r>
              <w:rPr>
                <w:b/>
                <w:sz w:val="22"/>
              </w:rPr>
              <w:t>DY</w:t>
            </w:r>
            <w:r>
              <w:rPr>
                <w:b/>
                <w:spacing w:val="-1"/>
                <w:sz w:val="22"/>
              </w:rPr>
              <w:t> </w:t>
            </w:r>
            <w:r>
              <w:rPr>
                <w:b/>
                <w:spacing w:val="-5"/>
                <w:sz w:val="22"/>
              </w:rPr>
              <w:t>30</w:t>
            </w:r>
          </w:p>
        </w:tc>
        <w:tc>
          <w:tcPr>
            <w:tcW w:w="1293" w:type="dxa"/>
            <w:shd w:val="clear" w:color="auto" w:fill="DBE4F0"/>
          </w:tcPr>
          <w:p>
            <w:pPr>
              <w:pStyle w:val="TableParagraph"/>
              <w:rPr>
                <w:sz w:val="24"/>
              </w:rPr>
            </w:pPr>
          </w:p>
          <w:p>
            <w:pPr>
              <w:pStyle w:val="TableParagraph"/>
              <w:spacing w:before="6"/>
              <w:rPr>
                <w:sz w:val="31"/>
              </w:rPr>
            </w:pPr>
          </w:p>
          <w:p>
            <w:pPr>
              <w:pStyle w:val="TableParagraph"/>
              <w:ind w:left="198" w:right="174"/>
              <w:jc w:val="center"/>
              <w:rPr>
                <w:b/>
                <w:sz w:val="22"/>
              </w:rPr>
            </w:pPr>
            <w:r>
              <w:rPr>
                <w:b/>
                <w:sz w:val="22"/>
              </w:rPr>
              <w:t>DY</w:t>
            </w:r>
            <w:r>
              <w:rPr>
                <w:b/>
                <w:spacing w:val="-1"/>
                <w:sz w:val="22"/>
              </w:rPr>
              <w:t> </w:t>
            </w:r>
            <w:r>
              <w:rPr>
                <w:b/>
                <w:spacing w:val="-5"/>
                <w:sz w:val="22"/>
              </w:rPr>
              <w:t>31</w:t>
            </w:r>
          </w:p>
        </w:tc>
        <w:tc>
          <w:tcPr>
            <w:tcW w:w="1300" w:type="dxa"/>
            <w:shd w:val="clear" w:color="auto" w:fill="DBE4F0"/>
          </w:tcPr>
          <w:p>
            <w:pPr>
              <w:pStyle w:val="TableParagraph"/>
              <w:rPr>
                <w:sz w:val="24"/>
              </w:rPr>
            </w:pPr>
          </w:p>
          <w:p>
            <w:pPr>
              <w:pStyle w:val="TableParagraph"/>
              <w:spacing w:before="6"/>
              <w:rPr>
                <w:sz w:val="31"/>
              </w:rPr>
            </w:pPr>
          </w:p>
          <w:p>
            <w:pPr>
              <w:pStyle w:val="TableParagraph"/>
              <w:ind w:left="205" w:right="182"/>
              <w:jc w:val="center"/>
              <w:rPr>
                <w:b/>
                <w:sz w:val="22"/>
              </w:rPr>
            </w:pPr>
            <w:r>
              <w:rPr>
                <w:b/>
                <w:sz w:val="22"/>
              </w:rPr>
              <w:t>DY</w:t>
            </w:r>
            <w:r>
              <w:rPr>
                <w:b/>
                <w:spacing w:val="-1"/>
                <w:sz w:val="22"/>
              </w:rPr>
              <w:t> </w:t>
            </w:r>
            <w:r>
              <w:rPr>
                <w:b/>
                <w:spacing w:val="-5"/>
                <w:sz w:val="22"/>
              </w:rPr>
              <w:t>32</w:t>
            </w:r>
          </w:p>
        </w:tc>
      </w:tr>
      <w:tr>
        <w:trPr>
          <w:trHeight w:val="781" w:hRule="atLeast"/>
        </w:trPr>
        <w:tc>
          <w:tcPr>
            <w:tcW w:w="1291" w:type="dxa"/>
          </w:tcPr>
          <w:p>
            <w:pPr>
              <w:pStyle w:val="TableParagraph"/>
              <w:spacing w:line="252" w:lineRule="exact" w:before="137"/>
              <w:ind w:left="107"/>
              <w:rPr>
                <w:sz w:val="22"/>
              </w:rPr>
            </w:pPr>
            <w:r>
              <w:rPr>
                <w:sz w:val="22"/>
              </w:rPr>
              <w:t>SMI</w:t>
            </w:r>
            <w:r>
              <w:rPr>
                <w:spacing w:val="-5"/>
                <w:sz w:val="22"/>
              </w:rPr>
              <w:t> IMD</w:t>
            </w:r>
          </w:p>
          <w:p>
            <w:pPr>
              <w:pStyle w:val="TableParagraph"/>
              <w:spacing w:line="252" w:lineRule="exact"/>
              <w:ind w:left="107"/>
              <w:rPr>
                <w:sz w:val="22"/>
              </w:rPr>
            </w:pPr>
            <w:r>
              <w:rPr>
                <w:spacing w:val="-2"/>
                <w:sz w:val="22"/>
              </w:rPr>
              <w:t>Services</w:t>
            </w:r>
          </w:p>
        </w:tc>
        <w:tc>
          <w:tcPr>
            <w:tcW w:w="861" w:type="dxa"/>
          </w:tcPr>
          <w:p>
            <w:pPr>
              <w:pStyle w:val="TableParagraph"/>
              <w:rPr>
                <w:sz w:val="23"/>
              </w:rPr>
            </w:pPr>
          </w:p>
          <w:p>
            <w:pPr>
              <w:pStyle w:val="TableParagraph"/>
              <w:ind w:left="279" w:right="271"/>
              <w:jc w:val="center"/>
              <w:rPr>
                <w:sz w:val="22"/>
              </w:rPr>
            </w:pPr>
            <w:r>
              <w:rPr>
                <w:spacing w:val="-5"/>
                <w:sz w:val="22"/>
              </w:rPr>
              <w:t>PC</w:t>
            </w:r>
          </w:p>
        </w:tc>
        <w:tc>
          <w:tcPr>
            <w:tcW w:w="1190" w:type="dxa"/>
          </w:tcPr>
          <w:p>
            <w:pPr>
              <w:pStyle w:val="TableParagraph"/>
              <w:rPr>
                <w:sz w:val="23"/>
              </w:rPr>
            </w:pPr>
          </w:p>
          <w:p>
            <w:pPr>
              <w:pStyle w:val="TableParagraph"/>
              <w:ind w:left="379"/>
              <w:rPr>
                <w:sz w:val="22"/>
              </w:rPr>
            </w:pPr>
            <w:r>
              <w:rPr>
                <w:spacing w:val="-4"/>
                <w:sz w:val="22"/>
              </w:rPr>
              <w:t>Both</w:t>
            </w:r>
          </w:p>
        </w:tc>
        <w:tc>
          <w:tcPr>
            <w:tcW w:w="861" w:type="dxa"/>
          </w:tcPr>
          <w:p>
            <w:pPr>
              <w:pStyle w:val="TableParagraph"/>
              <w:rPr>
                <w:sz w:val="23"/>
              </w:rPr>
            </w:pPr>
          </w:p>
          <w:p>
            <w:pPr>
              <w:pStyle w:val="TableParagraph"/>
              <w:ind w:left="212"/>
              <w:rPr>
                <w:sz w:val="22"/>
              </w:rPr>
            </w:pPr>
            <w:r>
              <w:rPr>
                <w:spacing w:val="-4"/>
                <w:sz w:val="22"/>
              </w:rPr>
              <w:t>2019</w:t>
            </w:r>
          </w:p>
        </w:tc>
        <w:tc>
          <w:tcPr>
            <w:tcW w:w="969" w:type="dxa"/>
          </w:tcPr>
          <w:p>
            <w:pPr>
              <w:pStyle w:val="TableParagraph"/>
              <w:rPr>
                <w:sz w:val="23"/>
              </w:rPr>
            </w:pPr>
          </w:p>
          <w:p>
            <w:pPr>
              <w:pStyle w:val="TableParagraph"/>
              <w:ind w:left="203"/>
              <w:rPr>
                <w:sz w:val="22"/>
              </w:rPr>
            </w:pPr>
            <w:r>
              <w:rPr>
                <w:spacing w:val="-2"/>
                <w:sz w:val="22"/>
              </w:rPr>
              <w:t>5.60%</w:t>
            </w:r>
          </w:p>
        </w:tc>
        <w:tc>
          <w:tcPr>
            <w:tcW w:w="1295" w:type="dxa"/>
          </w:tcPr>
          <w:p>
            <w:pPr>
              <w:pStyle w:val="TableParagraph"/>
              <w:rPr>
                <w:sz w:val="23"/>
              </w:rPr>
            </w:pPr>
          </w:p>
          <w:p>
            <w:pPr>
              <w:pStyle w:val="TableParagraph"/>
              <w:ind w:left="196" w:right="181"/>
              <w:jc w:val="center"/>
              <w:rPr>
                <w:sz w:val="22"/>
              </w:rPr>
            </w:pPr>
            <w:r>
              <w:rPr>
                <w:spacing w:val="-2"/>
                <w:sz w:val="22"/>
              </w:rPr>
              <w:t>$4,167.70</w:t>
            </w:r>
          </w:p>
        </w:tc>
        <w:tc>
          <w:tcPr>
            <w:tcW w:w="1295" w:type="dxa"/>
          </w:tcPr>
          <w:p>
            <w:pPr>
              <w:pStyle w:val="TableParagraph"/>
              <w:rPr>
                <w:sz w:val="23"/>
              </w:rPr>
            </w:pPr>
          </w:p>
          <w:p>
            <w:pPr>
              <w:pStyle w:val="TableParagraph"/>
              <w:ind w:left="197" w:right="181"/>
              <w:jc w:val="center"/>
              <w:rPr>
                <w:sz w:val="22"/>
              </w:rPr>
            </w:pPr>
            <w:r>
              <w:rPr>
                <w:spacing w:val="-2"/>
                <w:sz w:val="22"/>
              </w:rPr>
              <w:t>$4,312.08</w:t>
            </w:r>
          </w:p>
        </w:tc>
        <w:tc>
          <w:tcPr>
            <w:tcW w:w="1293" w:type="dxa"/>
          </w:tcPr>
          <w:p>
            <w:pPr>
              <w:pStyle w:val="TableParagraph"/>
              <w:rPr>
                <w:sz w:val="23"/>
              </w:rPr>
            </w:pPr>
          </w:p>
          <w:p>
            <w:pPr>
              <w:pStyle w:val="TableParagraph"/>
              <w:ind w:left="195" w:right="179"/>
              <w:jc w:val="center"/>
              <w:rPr>
                <w:sz w:val="22"/>
              </w:rPr>
            </w:pPr>
            <w:r>
              <w:rPr>
                <w:spacing w:val="-2"/>
                <w:sz w:val="22"/>
              </w:rPr>
              <w:t>$4,553.55</w:t>
            </w:r>
          </w:p>
        </w:tc>
        <w:tc>
          <w:tcPr>
            <w:tcW w:w="1295" w:type="dxa"/>
          </w:tcPr>
          <w:p>
            <w:pPr>
              <w:pStyle w:val="TableParagraph"/>
              <w:rPr>
                <w:sz w:val="23"/>
              </w:rPr>
            </w:pPr>
          </w:p>
          <w:p>
            <w:pPr>
              <w:pStyle w:val="TableParagraph"/>
              <w:ind w:left="198" w:right="178"/>
              <w:jc w:val="center"/>
              <w:rPr>
                <w:sz w:val="22"/>
              </w:rPr>
            </w:pPr>
            <w:r>
              <w:rPr>
                <w:spacing w:val="-2"/>
                <w:sz w:val="22"/>
              </w:rPr>
              <w:t>$4,808.55</w:t>
            </w:r>
          </w:p>
        </w:tc>
        <w:tc>
          <w:tcPr>
            <w:tcW w:w="1293" w:type="dxa"/>
          </w:tcPr>
          <w:p>
            <w:pPr>
              <w:pStyle w:val="TableParagraph"/>
              <w:rPr>
                <w:sz w:val="23"/>
              </w:rPr>
            </w:pPr>
          </w:p>
          <w:p>
            <w:pPr>
              <w:pStyle w:val="TableParagraph"/>
              <w:ind w:left="198" w:right="175"/>
              <w:jc w:val="center"/>
              <w:rPr>
                <w:sz w:val="22"/>
              </w:rPr>
            </w:pPr>
            <w:r>
              <w:rPr>
                <w:spacing w:val="-2"/>
                <w:sz w:val="22"/>
              </w:rPr>
              <w:t>$5,077.83</w:t>
            </w:r>
          </w:p>
        </w:tc>
        <w:tc>
          <w:tcPr>
            <w:tcW w:w="1300" w:type="dxa"/>
          </w:tcPr>
          <w:p>
            <w:pPr>
              <w:pStyle w:val="TableParagraph"/>
              <w:rPr>
                <w:sz w:val="23"/>
              </w:rPr>
            </w:pPr>
          </w:p>
          <w:p>
            <w:pPr>
              <w:pStyle w:val="TableParagraph"/>
              <w:ind w:left="205" w:right="183"/>
              <w:jc w:val="center"/>
              <w:rPr>
                <w:sz w:val="22"/>
              </w:rPr>
            </w:pPr>
            <w:r>
              <w:rPr>
                <w:spacing w:val="-2"/>
                <w:sz w:val="22"/>
              </w:rPr>
              <w:t>$5,362.19</w:t>
            </w:r>
          </w:p>
        </w:tc>
      </w:tr>
    </w:tbl>
    <w:p>
      <w:pPr>
        <w:spacing w:after="0"/>
        <w:jc w:val="center"/>
        <w:rPr>
          <w:sz w:val="22"/>
        </w:rPr>
        <w:sectPr>
          <w:pgSz w:w="15840" w:h="12240" w:orient="landscape"/>
          <w:pgMar w:header="0" w:footer="1201" w:top="1380" w:bottom="1400" w:left="1200" w:right="1340"/>
        </w:sectPr>
      </w:pPr>
    </w:p>
    <w:p>
      <w:pPr>
        <w:pStyle w:val="BodyText"/>
        <w:spacing w:before="79"/>
        <w:ind w:left="871" w:right="159"/>
      </w:pPr>
      <w:r>
        <w:rPr/>
        <w:drawing>
          <wp:anchor distT="0" distB="0" distL="0" distR="0" allowOverlap="1" layoutInCell="1" locked="0" behindDoc="0" simplePos="0" relativeHeight="16114688">
            <wp:simplePos x="0" y="0"/>
            <wp:positionH relativeFrom="page">
              <wp:posOffset>832103</wp:posOffset>
            </wp:positionH>
            <wp:positionV relativeFrom="paragraph">
              <wp:posOffset>85777</wp:posOffset>
            </wp:positionV>
            <wp:extent cx="359663" cy="112763"/>
            <wp:effectExtent l="0" t="0" r="0" b="0"/>
            <wp:wrapNone/>
            <wp:docPr id="780" name="Image 780"/>
            <wp:cNvGraphicFramePr>
              <a:graphicFrameLocks/>
            </wp:cNvGraphicFramePr>
            <a:graphic>
              <a:graphicData uri="http://schemas.openxmlformats.org/drawingml/2006/picture">
                <pic:pic>
                  <pic:nvPicPr>
                    <pic:cNvPr id="780" name="Image 780"/>
                    <pic:cNvPicPr/>
                  </pic:nvPicPr>
                  <pic:blipFill>
                    <a:blip r:embed="rId307" cstate="print"/>
                    <a:stretch>
                      <a:fillRect/>
                    </a:stretch>
                  </pic:blipFill>
                  <pic:spPr>
                    <a:xfrm>
                      <a:off x="0" y="0"/>
                      <a:ext cx="359663" cy="112763"/>
                    </a:xfrm>
                    <a:prstGeom prst="rect">
                      <a:avLst/>
                    </a:prstGeom>
                  </pic:spPr>
                </pic:pic>
              </a:graphicData>
            </a:graphic>
          </wp:anchor>
        </w:drawing>
      </w:r>
      <w:bookmarkStart w:name="19.12. Hypothetical Budget Neutrality Te" w:id="1082"/>
      <w:bookmarkEnd w:id="1082"/>
      <w:r>
        <w:rPr/>
      </w:r>
      <w:r>
        <w:rPr>
          <w:b/>
        </w:rPr>
        <w:t>Hypothetical Budget Neutrality Test 7: Continuous Eligibility.</w:t>
      </w:r>
      <w:r>
        <w:rPr>
          <w:b/>
          <w:spacing w:val="40"/>
        </w:rPr>
        <w:t> </w:t>
      </w:r>
      <w:r>
        <w:rPr/>
        <w:t>The table below identifies the MEGs that are used for Hypothetical Budget Neutrality Test 7.</w:t>
      </w:r>
      <w:r>
        <w:rPr>
          <w:spacing w:val="40"/>
        </w:rPr>
        <w:t> </w:t>
      </w:r>
      <w:r>
        <w:rPr/>
        <w:t>MEGs that are designated “WOW Only” or “Both” are the components used to calculate</w:t>
      </w:r>
      <w:r>
        <w:rPr>
          <w:spacing w:val="-3"/>
        </w:rPr>
        <w:t> </w:t>
      </w:r>
      <w:r>
        <w:rPr/>
        <w:t>the</w:t>
      </w:r>
      <w:r>
        <w:rPr>
          <w:spacing w:val="-3"/>
        </w:rPr>
        <w:t> </w:t>
      </w:r>
      <w:r>
        <w:rPr/>
        <w:t>budget</w:t>
      </w:r>
      <w:r>
        <w:rPr>
          <w:spacing w:val="-2"/>
        </w:rPr>
        <w:t> </w:t>
      </w:r>
      <w:r>
        <w:rPr/>
        <w:t>neutrality</w:t>
      </w:r>
      <w:r>
        <w:rPr>
          <w:spacing w:val="-7"/>
        </w:rPr>
        <w:t> </w:t>
      </w:r>
      <w:r>
        <w:rPr/>
        <w:t>expenditure</w:t>
      </w:r>
      <w:r>
        <w:rPr>
          <w:spacing w:val="-3"/>
        </w:rPr>
        <w:t> </w:t>
      </w:r>
      <w:r>
        <w:rPr/>
        <w:t>limit.</w:t>
      </w:r>
      <w:r>
        <w:rPr>
          <w:spacing w:val="40"/>
        </w:rPr>
        <w:t> </w:t>
      </w:r>
      <w:r>
        <w:rPr/>
        <w:t>The</w:t>
      </w:r>
      <w:r>
        <w:rPr>
          <w:spacing w:val="-3"/>
        </w:rPr>
        <w:t> </w:t>
      </w:r>
      <w:r>
        <w:rPr/>
        <w:t>Composite</w:t>
      </w:r>
      <w:r>
        <w:rPr>
          <w:spacing w:val="-3"/>
        </w:rPr>
        <w:t> </w:t>
      </w:r>
      <w:r>
        <w:rPr/>
        <w:t>Federal</w:t>
      </w:r>
      <w:r>
        <w:rPr>
          <w:spacing w:val="-2"/>
        </w:rPr>
        <w:t> </w:t>
      </w:r>
      <w:r>
        <w:rPr/>
        <w:t>Share</w:t>
      </w:r>
      <w:r>
        <w:rPr>
          <w:spacing w:val="-3"/>
        </w:rPr>
        <w:t> </w:t>
      </w:r>
      <w:r>
        <w:rPr/>
        <w:t>for</w:t>
      </w:r>
      <w:r>
        <w:rPr>
          <w:spacing w:val="-3"/>
        </w:rPr>
        <w:t> </w:t>
      </w:r>
      <w:r>
        <w:rPr/>
        <w:t>the</w:t>
      </w:r>
      <w:r>
        <w:rPr>
          <w:spacing w:val="-3"/>
        </w:rPr>
        <w:t> </w:t>
      </w:r>
      <w:r>
        <w:rPr/>
        <w:t>Hypothetical</w:t>
      </w:r>
      <w:r>
        <w:rPr>
          <w:spacing w:val="-2"/>
        </w:rPr>
        <w:t> </w:t>
      </w:r>
      <w:r>
        <w:rPr/>
        <w:t>Budget</w:t>
      </w:r>
      <w:r>
        <w:rPr>
          <w:spacing w:val="-2"/>
        </w:rPr>
        <w:t> </w:t>
      </w:r>
      <w:r>
        <w:rPr/>
        <w:t>Neutrality</w:t>
      </w:r>
      <w:r>
        <w:rPr>
          <w:spacing w:val="-7"/>
        </w:rPr>
        <w:t> </w:t>
      </w:r>
      <w:r>
        <w:rPr/>
        <w:t>Test</w:t>
      </w:r>
      <w:r>
        <w:rPr>
          <w:spacing w:val="-2"/>
        </w:rPr>
        <w:t> </w:t>
      </w:r>
      <w:r>
        <w:rPr/>
        <w:t>is calculated based on all MEGs indicated as “WW Only” or “Both.”</w:t>
      </w:r>
      <w:r>
        <w:rPr>
          <w:spacing w:val="40"/>
        </w:rPr>
        <w:t> </w:t>
      </w:r>
      <w:r>
        <w:rPr/>
        <w:t>MEGs that are indicated as “WW Only” or “Both” are counted as expenditures against this budget neutrality expenditure limit.</w:t>
      </w:r>
      <w:r>
        <w:rPr>
          <w:spacing w:val="40"/>
        </w:rPr>
        <w:t> </w:t>
      </w:r>
      <w:r>
        <w:rPr/>
        <w:t>Any expenditures in excess of the limit from Hypothetical Budget Neutrality Test 7 are counted as WW expenditures under the Main Budget Neutrality Test.</w:t>
      </w:r>
    </w:p>
    <w:p>
      <w:pPr>
        <w:pStyle w:val="BodyText"/>
        <w:spacing w:before="11"/>
        <w:rPr>
          <w:sz w:val="20"/>
        </w:rPr>
      </w:pPr>
    </w:p>
    <w:tbl>
      <w:tblPr>
        <w:tblW w:w="0" w:type="auto"/>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02"/>
        <w:gridCol w:w="866"/>
        <w:gridCol w:w="1207"/>
        <w:gridCol w:w="842"/>
        <w:gridCol w:w="1101"/>
        <w:gridCol w:w="950"/>
        <w:gridCol w:w="1296"/>
        <w:gridCol w:w="1294"/>
        <w:gridCol w:w="1296"/>
        <w:gridCol w:w="1294"/>
        <w:gridCol w:w="1301"/>
      </w:tblGrid>
      <w:tr>
        <w:trPr>
          <w:trHeight w:val="477" w:hRule="atLeast"/>
        </w:trPr>
        <w:tc>
          <w:tcPr>
            <w:tcW w:w="12949" w:type="dxa"/>
            <w:gridSpan w:val="11"/>
            <w:shd w:val="clear" w:color="auto" w:fill="DBE4F0"/>
          </w:tcPr>
          <w:p>
            <w:pPr>
              <w:pStyle w:val="TableParagraph"/>
              <w:spacing w:before="61"/>
              <w:ind w:left="4215" w:right="4202"/>
              <w:jc w:val="center"/>
              <w:rPr>
                <w:b/>
                <w:sz w:val="22"/>
              </w:rPr>
            </w:pPr>
            <w:r>
              <w:rPr>
                <w:b/>
                <w:sz w:val="22"/>
              </w:rPr>
              <w:t>Table</w:t>
            </w:r>
            <w:r>
              <w:rPr>
                <w:b/>
                <w:spacing w:val="-5"/>
                <w:sz w:val="22"/>
              </w:rPr>
              <w:t> </w:t>
            </w:r>
            <w:r>
              <w:rPr>
                <w:b/>
                <w:sz w:val="22"/>
              </w:rPr>
              <w:t>27:</w:t>
            </w:r>
            <w:r>
              <w:rPr>
                <w:b/>
                <w:spacing w:val="-6"/>
                <w:sz w:val="22"/>
              </w:rPr>
              <w:t> </w:t>
            </w:r>
            <w:r>
              <w:rPr>
                <w:b/>
                <w:sz w:val="22"/>
              </w:rPr>
              <w:t>Hypothetical</w:t>
            </w:r>
            <w:r>
              <w:rPr>
                <w:b/>
                <w:spacing w:val="-7"/>
                <w:sz w:val="22"/>
              </w:rPr>
              <w:t> </w:t>
            </w:r>
            <w:r>
              <w:rPr>
                <w:b/>
                <w:sz w:val="22"/>
              </w:rPr>
              <w:t>Budget</w:t>
            </w:r>
            <w:r>
              <w:rPr>
                <w:b/>
                <w:spacing w:val="-3"/>
                <w:sz w:val="22"/>
              </w:rPr>
              <w:t> </w:t>
            </w:r>
            <w:r>
              <w:rPr>
                <w:b/>
                <w:sz w:val="22"/>
              </w:rPr>
              <w:t>Neutrality</w:t>
            </w:r>
            <w:r>
              <w:rPr>
                <w:b/>
                <w:spacing w:val="-5"/>
                <w:sz w:val="22"/>
              </w:rPr>
              <w:t> </w:t>
            </w:r>
            <w:r>
              <w:rPr>
                <w:b/>
                <w:sz w:val="22"/>
              </w:rPr>
              <w:t>Test</w:t>
            </w:r>
            <w:r>
              <w:rPr>
                <w:b/>
                <w:spacing w:val="-4"/>
                <w:sz w:val="22"/>
              </w:rPr>
              <w:t> </w:t>
            </w:r>
            <w:r>
              <w:rPr>
                <w:b/>
                <w:spacing w:val="-10"/>
                <w:sz w:val="22"/>
              </w:rPr>
              <w:t>7</w:t>
            </w:r>
          </w:p>
        </w:tc>
      </w:tr>
      <w:tr>
        <w:trPr>
          <w:trHeight w:val="1530" w:hRule="atLeast"/>
        </w:trPr>
        <w:tc>
          <w:tcPr>
            <w:tcW w:w="1502" w:type="dxa"/>
            <w:shd w:val="clear" w:color="auto" w:fill="DBE4F0"/>
          </w:tcPr>
          <w:p>
            <w:pPr>
              <w:pStyle w:val="TableParagraph"/>
              <w:rPr>
                <w:sz w:val="24"/>
              </w:rPr>
            </w:pPr>
          </w:p>
          <w:p>
            <w:pPr>
              <w:pStyle w:val="TableParagraph"/>
              <w:spacing w:before="6"/>
              <w:rPr>
                <w:sz w:val="31"/>
              </w:rPr>
            </w:pPr>
          </w:p>
          <w:p>
            <w:pPr>
              <w:pStyle w:val="TableParagraph"/>
              <w:ind w:left="486"/>
              <w:rPr>
                <w:b/>
                <w:sz w:val="22"/>
              </w:rPr>
            </w:pPr>
            <w:r>
              <w:rPr>
                <w:b/>
                <w:spacing w:val="-5"/>
                <w:sz w:val="22"/>
              </w:rPr>
              <w:t>MEG</w:t>
            </w:r>
          </w:p>
        </w:tc>
        <w:tc>
          <w:tcPr>
            <w:tcW w:w="866" w:type="dxa"/>
            <w:shd w:val="clear" w:color="auto" w:fill="DBE4F0"/>
          </w:tcPr>
          <w:p>
            <w:pPr>
              <w:pStyle w:val="TableParagraph"/>
              <w:rPr>
                <w:sz w:val="24"/>
              </w:rPr>
            </w:pPr>
          </w:p>
          <w:p>
            <w:pPr>
              <w:pStyle w:val="TableParagraph"/>
              <w:spacing w:before="3"/>
              <w:rPr>
                <w:sz w:val="20"/>
              </w:rPr>
            </w:pPr>
          </w:p>
          <w:p>
            <w:pPr>
              <w:pStyle w:val="TableParagraph"/>
              <w:spacing w:line="244" w:lineRule="auto"/>
              <w:ind w:left="242" w:hanging="92"/>
              <w:rPr>
                <w:b/>
                <w:sz w:val="22"/>
              </w:rPr>
            </w:pPr>
            <w:r>
              <w:rPr>
                <w:b/>
                <w:sz w:val="22"/>
              </w:rPr>
              <w:t>PC</w:t>
            </w:r>
            <w:r>
              <w:rPr>
                <w:b/>
                <w:spacing w:val="-14"/>
                <w:sz w:val="22"/>
              </w:rPr>
              <w:t> </w:t>
            </w:r>
            <w:r>
              <w:rPr>
                <w:b/>
                <w:sz w:val="22"/>
              </w:rPr>
              <w:t>or </w:t>
            </w:r>
            <w:r>
              <w:rPr>
                <w:b/>
                <w:spacing w:val="-4"/>
                <w:sz w:val="22"/>
              </w:rPr>
              <w:t>Agg</w:t>
            </w:r>
          </w:p>
        </w:tc>
        <w:tc>
          <w:tcPr>
            <w:tcW w:w="1207" w:type="dxa"/>
            <w:shd w:val="clear" w:color="auto" w:fill="DBE4F0"/>
          </w:tcPr>
          <w:p>
            <w:pPr>
              <w:pStyle w:val="TableParagraph"/>
              <w:spacing w:before="130"/>
              <w:ind w:left="295"/>
              <w:rPr>
                <w:b/>
                <w:sz w:val="22"/>
              </w:rPr>
            </w:pPr>
            <w:r>
              <w:rPr>
                <w:b/>
                <w:spacing w:val="-5"/>
                <w:sz w:val="22"/>
              </w:rPr>
              <w:t>WOW</w:t>
            </w:r>
          </w:p>
          <w:p>
            <w:pPr>
              <w:pStyle w:val="TableParagraph"/>
              <w:spacing w:before="2"/>
              <w:ind w:left="382" w:right="324" w:hanging="39"/>
              <w:rPr>
                <w:b/>
                <w:sz w:val="22"/>
              </w:rPr>
            </w:pPr>
            <w:r>
              <w:rPr>
                <w:b/>
                <w:spacing w:val="-2"/>
                <w:sz w:val="22"/>
              </w:rPr>
              <w:t>Only, </w:t>
            </w:r>
            <w:r>
              <w:rPr>
                <w:b/>
                <w:spacing w:val="-6"/>
                <w:sz w:val="22"/>
              </w:rPr>
              <w:t>WW</w:t>
            </w:r>
          </w:p>
          <w:p>
            <w:pPr>
              <w:pStyle w:val="TableParagraph"/>
              <w:spacing w:line="244" w:lineRule="auto"/>
              <w:ind w:left="377" w:right="197" w:hanging="166"/>
              <w:rPr>
                <w:b/>
                <w:sz w:val="22"/>
              </w:rPr>
            </w:pPr>
            <w:r>
              <w:rPr>
                <w:b/>
                <w:sz w:val="22"/>
              </w:rPr>
              <w:t>Only,</w:t>
            </w:r>
            <w:r>
              <w:rPr>
                <w:b/>
                <w:spacing w:val="-14"/>
                <w:sz w:val="22"/>
              </w:rPr>
              <w:t> </w:t>
            </w:r>
            <w:r>
              <w:rPr>
                <w:b/>
                <w:sz w:val="22"/>
              </w:rPr>
              <w:t>or </w:t>
            </w:r>
            <w:r>
              <w:rPr>
                <w:b/>
                <w:spacing w:val="-4"/>
                <w:sz w:val="22"/>
              </w:rPr>
              <w:t>Both</w:t>
            </w:r>
          </w:p>
        </w:tc>
        <w:tc>
          <w:tcPr>
            <w:tcW w:w="842" w:type="dxa"/>
            <w:shd w:val="clear" w:color="auto" w:fill="DBE4F0"/>
          </w:tcPr>
          <w:p>
            <w:pPr>
              <w:pStyle w:val="TableParagraph"/>
              <w:rPr>
                <w:sz w:val="24"/>
              </w:rPr>
            </w:pPr>
          </w:p>
          <w:p>
            <w:pPr>
              <w:pStyle w:val="TableParagraph"/>
              <w:spacing w:before="3"/>
              <w:rPr>
                <w:sz w:val="20"/>
              </w:rPr>
            </w:pPr>
          </w:p>
          <w:p>
            <w:pPr>
              <w:pStyle w:val="TableParagraph"/>
              <w:ind w:left="190" w:right="173" w:firstLine="9"/>
              <w:rPr>
                <w:b/>
                <w:sz w:val="22"/>
              </w:rPr>
            </w:pPr>
            <w:r>
              <w:rPr>
                <w:b/>
                <w:spacing w:val="-4"/>
                <w:sz w:val="22"/>
              </w:rPr>
              <w:t>Base Year</w:t>
            </w:r>
          </w:p>
        </w:tc>
        <w:tc>
          <w:tcPr>
            <w:tcW w:w="1101" w:type="dxa"/>
            <w:shd w:val="clear" w:color="auto" w:fill="DBE4F0"/>
            <w:textDirection w:val="tbRl"/>
          </w:tcPr>
          <w:p>
            <w:pPr>
              <w:pStyle w:val="TableParagraph"/>
              <w:spacing w:before="9"/>
              <w:rPr>
                <w:sz w:val="35"/>
              </w:rPr>
            </w:pPr>
          </w:p>
          <w:p>
            <w:pPr>
              <w:pStyle w:val="TableParagraph"/>
              <w:ind w:left="223"/>
              <w:rPr>
                <w:b/>
                <w:sz w:val="22"/>
              </w:rPr>
            </w:pPr>
            <w:r>
              <w:rPr>
                <w:b/>
                <w:sz w:val="22"/>
              </w:rPr>
              <w:t>Trend</w:t>
            </w:r>
            <w:r>
              <w:rPr>
                <w:b/>
                <w:spacing w:val="-3"/>
                <w:sz w:val="22"/>
              </w:rPr>
              <w:t> </w:t>
            </w:r>
            <w:r>
              <w:rPr>
                <w:b/>
                <w:spacing w:val="-4"/>
                <w:sz w:val="22"/>
              </w:rPr>
              <w:t>Rate</w:t>
            </w:r>
          </w:p>
        </w:tc>
        <w:tc>
          <w:tcPr>
            <w:tcW w:w="950" w:type="dxa"/>
            <w:shd w:val="clear" w:color="auto" w:fill="DBE4F0"/>
          </w:tcPr>
          <w:p>
            <w:pPr>
              <w:pStyle w:val="TableParagraph"/>
              <w:rPr>
                <w:sz w:val="24"/>
              </w:rPr>
            </w:pPr>
          </w:p>
          <w:p>
            <w:pPr>
              <w:pStyle w:val="TableParagraph"/>
              <w:spacing w:before="6"/>
              <w:rPr>
                <w:sz w:val="31"/>
              </w:rPr>
            </w:pPr>
          </w:p>
          <w:p>
            <w:pPr>
              <w:pStyle w:val="TableParagraph"/>
              <w:ind w:left="165" w:right="152"/>
              <w:jc w:val="center"/>
              <w:rPr>
                <w:b/>
                <w:sz w:val="22"/>
              </w:rPr>
            </w:pPr>
            <w:r>
              <w:rPr>
                <w:b/>
                <w:sz w:val="22"/>
              </w:rPr>
              <w:t>DY</w:t>
            </w:r>
            <w:r>
              <w:rPr>
                <w:b/>
                <w:spacing w:val="-1"/>
                <w:sz w:val="22"/>
              </w:rPr>
              <w:t> </w:t>
            </w:r>
            <w:r>
              <w:rPr>
                <w:b/>
                <w:spacing w:val="-5"/>
                <w:sz w:val="22"/>
              </w:rPr>
              <w:t>27</w:t>
            </w:r>
          </w:p>
        </w:tc>
        <w:tc>
          <w:tcPr>
            <w:tcW w:w="1296" w:type="dxa"/>
            <w:shd w:val="clear" w:color="auto" w:fill="DBE4F0"/>
          </w:tcPr>
          <w:p>
            <w:pPr>
              <w:pStyle w:val="TableParagraph"/>
              <w:rPr>
                <w:sz w:val="24"/>
              </w:rPr>
            </w:pPr>
          </w:p>
          <w:p>
            <w:pPr>
              <w:pStyle w:val="TableParagraph"/>
              <w:spacing w:before="6"/>
              <w:rPr>
                <w:sz w:val="31"/>
              </w:rPr>
            </w:pPr>
          </w:p>
          <w:p>
            <w:pPr>
              <w:pStyle w:val="TableParagraph"/>
              <w:ind w:left="198" w:right="184"/>
              <w:jc w:val="center"/>
              <w:rPr>
                <w:b/>
                <w:sz w:val="22"/>
              </w:rPr>
            </w:pPr>
            <w:r>
              <w:rPr>
                <w:b/>
                <w:sz w:val="22"/>
              </w:rPr>
              <w:t>DY</w:t>
            </w:r>
            <w:r>
              <w:rPr>
                <w:b/>
                <w:spacing w:val="-1"/>
                <w:sz w:val="22"/>
              </w:rPr>
              <w:t> </w:t>
            </w:r>
            <w:r>
              <w:rPr>
                <w:b/>
                <w:spacing w:val="-5"/>
                <w:sz w:val="22"/>
              </w:rPr>
              <w:t>28</w:t>
            </w:r>
          </w:p>
        </w:tc>
        <w:tc>
          <w:tcPr>
            <w:tcW w:w="1294" w:type="dxa"/>
            <w:shd w:val="clear" w:color="auto" w:fill="DBE4F0"/>
          </w:tcPr>
          <w:p>
            <w:pPr>
              <w:pStyle w:val="TableParagraph"/>
              <w:rPr>
                <w:sz w:val="24"/>
              </w:rPr>
            </w:pPr>
          </w:p>
          <w:p>
            <w:pPr>
              <w:pStyle w:val="TableParagraph"/>
              <w:spacing w:before="6"/>
              <w:rPr>
                <w:sz w:val="31"/>
              </w:rPr>
            </w:pPr>
          </w:p>
          <w:p>
            <w:pPr>
              <w:pStyle w:val="TableParagraph"/>
              <w:ind w:left="194" w:right="183"/>
              <w:jc w:val="center"/>
              <w:rPr>
                <w:b/>
                <w:sz w:val="22"/>
              </w:rPr>
            </w:pPr>
            <w:r>
              <w:rPr>
                <w:b/>
                <w:sz w:val="22"/>
              </w:rPr>
              <w:t>DY</w:t>
            </w:r>
            <w:r>
              <w:rPr>
                <w:b/>
                <w:spacing w:val="-1"/>
                <w:sz w:val="22"/>
              </w:rPr>
              <w:t> </w:t>
            </w:r>
            <w:r>
              <w:rPr>
                <w:b/>
                <w:spacing w:val="-5"/>
                <w:sz w:val="22"/>
              </w:rPr>
              <w:t>29</w:t>
            </w:r>
          </w:p>
        </w:tc>
        <w:tc>
          <w:tcPr>
            <w:tcW w:w="1296" w:type="dxa"/>
            <w:shd w:val="clear" w:color="auto" w:fill="DBE4F0"/>
          </w:tcPr>
          <w:p>
            <w:pPr>
              <w:pStyle w:val="TableParagraph"/>
              <w:rPr>
                <w:sz w:val="24"/>
              </w:rPr>
            </w:pPr>
          </w:p>
          <w:p>
            <w:pPr>
              <w:pStyle w:val="TableParagraph"/>
              <w:spacing w:before="6"/>
              <w:rPr>
                <w:sz w:val="31"/>
              </w:rPr>
            </w:pPr>
          </w:p>
          <w:p>
            <w:pPr>
              <w:pStyle w:val="TableParagraph"/>
              <w:ind w:left="198" w:right="185"/>
              <w:jc w:val="center"/>
              <w:rPr>
                <w:b/>
                <w:sz w:val="22"/>
              </w:rPr>
            </w:pPr>
            <w:r>
              <w:rPr>
                <w:b/>
                <w:sz w:val="22"/>
              </w:rPr>
              <w:t>DY</w:t>
            </w:r>
            <w:r>
              <w:rPr>
                <w:b/>
                <w:spacing w:val="-1"/>
                <w:sz w:val="22"/>
              </w:rPr>
              <w:t> </w:t>
            </w:r>
            <w:r>
              <w:rPr>
                <w:b/>
                <w:spacing w:val="-5"/>
                <w:sz w:val="22"/>
              </w:rPr>
              <w:t>30</w:t>
            </w:r>
          </w:p>
        </w:tc>
        <w:tc>
          <w:tcPr>
            <w:tcW w:w="1294" w:type="dxa"/>
            <w:shd w:val="clear" w:color="auto" w:fill="DBE4F0"/>
          </w:tcPr>
          <w:p>
            <w:pPr>
              <w:pStyle w:val="TableParagraph"/>
              <w:rPr>
                <w:sz w:val="24"/>
              </w:rPr>
            </w:pPr>
          </w:p>
          <w:p>
            <w:pPr>
              <w:pStyle w:val="TableParagraph"/>
              <w:spacing w:before="6"/>
              <w:rPr>
                <w:sz w:val="31"/>
              </w:rPr>
            </w:pPr>
          </w:p>
          <w:p>
            <w:pPr>
              <w:pStyle w:val="TableParagraph"/>
              <w:ind w:left="197" w:right="182"/>
              <w:jc w:val="center"/>
              <w:rPr>
                <w:b/>
                <w:sz w:val="22"/>
              </w:rPr>
            </w:pPr>
            <w:r>
              <w:rPr>
                <w:b/>
                <w:sz w:val="22"/>
              </w:rPr>
              <w:t>DY</w:t>
            </w:r>
            <w:r>
              <w:rPr>
                <w:b/>
                <w:spacing w:val="-1"/>
                <w:sz w:val="22"/>
              </w:rPr>
              <w:t> </w:t>
            </w:r>
            <w:r>
              <w:rPr>
                <w:b/>
                <w:spacing w:val="-5"/>
                <w:sz w:val="22"/>
              </w:rPr>
              <w:t>31</w:t>
            </w:r>
          </w:p>
        </w:tc>
        <w:tc>
          <w:tcPr>
            <w:tcW w:w="1301" w:type="dxa"/>
            <w:shd w:val="clear" w:color="auto" w:fill="DBE4F0"/>
          </w:tcPr>
          <w:p>
            <w:pPr>
              <w:pStyle w:val="TableParagraph"/>
              <w:rPr>
                <w:sz w:val="24"/>
              </w:rPr>
            </w:pPr>
          </w:p>
          <w:p>
            <w:pPr>
              <w:pStyle w:val="TableParagraph"/>
              <w:spacing w:before="6"/>
              <w:rPr>
                <w:sz w:val="31"/>
              </w:rPr>
            </w:pPr>
          </w:p>
          <w:p>
            <w:pPr>
              <w:pStyle w:val="TableParagraph"/>
              <w:ind w:left="93" w:right="81"/>
              <w:jc w:val="center"/>
              <w:rPr>
                <w:b/>
                <w:sz w:val="22"/>
              </w:rPr>
            </w:pPr>
            <w:r>
              <w:rPr>
                <w:b/>
                <w:sz w:val="22"/>
              </w:rPr>
              <w:t>DY</w:t>
            </w:r>
            <w:r>
              <w:rPr>
                <w:b/>
                <w:spacing w:val="-1"/>
                <w:sz w:val="22"/>
              </w:rPr>
              <w:t> </w:t>
            </w:r>
            <w:r>
              <w:rPr>
                <w:b/>
                <w:spacing w:val="-5"/>
                <w:sz w:val="22"/>
              </w:rPr>
              <w:t>32</w:t>
            </w:r>
          </w:p>
        </w:tc>
      </w:tr>
      <w:tr>
        <w:trPr>
          <w:trHeight w:val="1403" w:hRule="atLeast"/>
        </w:trPr>
        <w:tc>
          <w:tcPr>
            <w:tcW w:w="1502" w:type="dxa"/>
          </w:tcPr>
          <w:p>
            <w:pPr>
              <w:pStyle w:val="TableParagraph"/>
              <w:spacing w:before="9"/>
              <w:rPr>
                <w:sz w:val="27"/>
              </w:rPr>
            </w:pPr>
          </w:p>
          <w:p>
            <w:pPr>
              <w:pStyle w:val="TableParagraph"/>
              <w:ind w:left="107" w:right="138"/>
              <w:jc w:val="both"/>
              <w:rPr>
                <w:sz w:val="22"/>
              </w:rPr>
            </w:pPr>
            <w:r>
              <w:rPr>
                <w:sz w:val="22"/>
              </w:rPr>
              <w:t>CE Formerly </w:t>
            </w:r>
            <w:r>
              <w:rPr>
                <w:spacing w:val="-2"/>
                <w:sz w:val="22"/>
              </w:rPr>
              <w:t>Incarcerated/ </w:t>
            </w:r>
            <w:r>
              <w:rPr>
                <w:sz w:val="22"/>
              </w:rPr>
              <w:t>Base</w:t>
            </w:r>
            <w:r>
              <w:rPr>
                <w:spacing w:val="-3"/>
                <w:sz w:val="22"/>
              </w:rPr>
              <w:t> </w:t>
            </w:r>
            <w:r>
              <w:rPr>
                <w:spacing w:val="-2"/>
                <w:sz w:val="22"/>
              </w:rPr>
              <w:t>Families</w:t>
            </w:r>
          </w:p>
        </w:tc>
        <w:tc>
          <w:tcPr>
            <w:tcW w:w="866" w:type="dxa"/>
          </w:tcPr>
          <w:p>
            <w:pPr>
              <w:pStyle w:val="TableParagraph"/>
              <w:rPr>
                <w:sz w:val="24"/>
              </w:rPr>
            </w:pPr>
          </w:p>
          <w:p>
            <w:pPr>
              <w:pStyle w:val="TableParagraph"/>
              <w:spacing w:before="8"/>
              <w:rPr>
                <w:sz w:val="25"/>
              </w:rPr>
            </w:pPr>
          </w:p>
          <w:p>
            <w:pPr>
              <w:pStyle w:val="TableParagraph"/>
              <w:ind w:left="282" w:right="274"/>
              <w:jc w:val="center"/>
              <w:rPr>
                <w:sz w:val="22"/>
              </w:rPr>
            </w:pPr>
            <w:r>
              <w:rPr>
                <w:spacing w:val="-5"/>
                <w:sz w:val="22"/>
              </w:rPr>
              <w:t>PC</w:t>
            </w:r>
          </w:p>
        </w:tc>
        <w:tc>
          <w:tcPr>
            <w:tcW w:w="1207" w:type="dxa"/>
          </w:tcPr>
          <w:p>
            <w:pPr>
              <w:pStyle w:val="TableParagraph"/>
              <w:rPr>
                <w:sz w:val="24"/>
              </w:rPr>
            </w:pPr>
          </w:p>
          <w:p>
            <w:pPr>
              <w:pStyle w:val="TableParagraph"/>
              <w:spacing w:before="8"/>
              <w:rPr>
                <w:sz w:val="25"/>
              </w:rPr>
            </w:pPr>
          </w:p>
          <w:p>
            <w:pPr>
              <w:pStyle w:val="TableParagraph"/>
              <w:ind w:left="378" w:right="367"/>
              <w:jc w:val="center"/>
              <w:rPr>
                <w:sz w:val="22"/>
              </w:rPr>
            </w:pPr>
            <w:r>
              <w:rPr>
                <w:spacing w:val="-4"/>
                <w:sz w:val="22"/>
              </w:rPr>
              <w:t>Both</w:t>
            </w:r>
          </w:p>
        </w:tc>
        <w:tc>
          <w:tcPr>
            <w:tcW w:w="842" w:type="dxa"/>
          </w:tcPr>
          <w:p>
            <w:pPr>
              <w:pStyle w:val="TableParagraph"/>
              <w:rPr>
                <w:sz w:val="24"/>
              </w:rPr>
            </w:pPr>
          </w:p>
          <w:p>
            <w:pPr>
              <w:pStyle w:val="TableParagraph"/>
              <w:spacing w:before="8"/>
              <w:rPr>
                <w:sz w:val="25"/>
              </w:rPr>
            </w:pPr>
          </w:p>
          <w:p>
            <w:pPr>
              <w:pStyle w:val="TableParagraph"/>
              <w:ind w:left="191" w:right="177"/>
              <w:jc w:val="center"/>
              <w:rPr>
                <w:sz w:val="22"/>
              </w:rPr>
            </w:pPr>
            <w:r>
              <w:rPr>
                <w:spacing w:val="-4"/>
                <w:sz w:val="22"/>
              </w:rPr>
              <w:t>2023</w:t>
            </w:r>
          </w:p>
        </w:tc>
        <w:tc>
          <w:tcPr>
            <w:tcW w:w="1101" w:type="dxa"/>
          </w:tcPr>
          <w:p>
            <w:pPr>
              <w:pStyle w:val="TableParagraph"/>
              <w:rPr>
                <w:sz w:val="24"/>
              </w:rPr>
            </w:pPr>
          </w:p>
          <w:p>
            <w:pPr>
              <w:pStyle w:val="TableParagraph"/>
              <w:spacing w:before="8"/>
              <w:rPr>
                <w:sz w:val="25"/>
              </w:rPr>
            </w:pPr>
          </w:p>
          <w:p>
            <w:pPr>
              <w:pStyle w:val="TableParagraph"/>
              <w:ind w:right="250"/>
              <w:jc w:val="right"/>
              <w:rPr>
                <w:sz w:val="22"/>
              </w:rPr>
            </w:pPr>
            <w:r>
              <w:rPr>
                <w:spacing w:val="-2"/>
                <w:sz w:val="22"/>
              </w:rPr>
              <w:t>4.80%</w:t>
            </w:r>
          </w:p>
        </w:tc>
        <w:tc>
          <w:tcPr>
            <w:tcW w:w="950" w:type="dxa"/>
          </w:tcPr>
          <w:p>
            <w:pPr>
              <w:pStyle w:val="TableParagraph"/>
              <w:rPr>
                <w:sz w:val="24"/>
              </w:rPr>
            </w:pPr>
          </w:p>
          <w:p>
            <w:pPr>
              <w:pStyle w:val="TableParagraph"/>
              <w:spacing w:before="8"/>
              <w:rPr>
                <w:sz w:val="25"/>
              </w:rPr>
            </w:pPr>
          </w:p>
          <w:p>
            <w:pPr>
              <w:pStyle w:val="TableParagraph"/>
              <w:ind w:left="11"/>
              <w:jc w:val="center"/>
              <w:rPr>
                <w:sz w:val="22"/>
              </w:rPr>
            </w:pPr>
            <w:r>
              <w:rPr>
                <w:w w:val="100"/>
                <w:sz w:val="22"/>
              </w:rPr>
              <w:t>-</w:t>
            </w:r>
          </w:p>
        </w:tc>
        <w:tc>
          <w:tcPr>
            <w:tcW w:w="1296" w:type="dxa"/>
          </w:tcPr>
          <w:p>
            <w:pPr>
              <w:pStyle w:val="TableParagraph"/>
              <w:rPr>
                <w:sz w:val="24"/>
              </w:rPr>
            </w:pPr>
          </w:p>
          <w:p>
            <w:pPr>
              <w:pStyle w:val="TableParagraph"/>
              <w:spacing w:before="8"/>
              <w:rPr>
                <w:sz w:val="25"/>
              </w:rPr>
            </w:pPr>
          </w:p>
          <w:p>
            <w:pPr>
              <w:pStyle w:val="TableParagraph"/>
              <w:ind w:left="198" w:right="181"/>
              <w:jc w:val="center"/>
              <w:rPr>
                <w:sz w:val="22"/>
              </w:rPr>
            </w:pPr>
            <w:r>
              <w:rPr>
                <w:spacing w:val="-2"/>
                <w:sz w:val="22"/>
              </w:rPr>
              <w:t>$465.17</w:t>
            </w:r>
          </w:p>
        </w:tc>
        <w:tc>
          <w:tcPr>
            <w:tcW w:w="1294" w:type="dxa"/>
          </w:tcPr>
          <w:p>
            <w:pPr>
              <w:pStyle w:val="TableParagraph"/>
              <w:rPr>
                <w:sz w:val="24"/>
              </w:rPr>
            </w:pPr>
          </w:p>
          <w:p>
            <w:pPr>
              <w:pStyle w:val="TableParagraph"/>
              <w:spacing w:before="8"/>
              <w:rPr>
                <w:sz w:val="25"/>
              </w:rPr>
            </w:pPr>
          </w:p>
          <w:p>
            <w:pPr>
              <w:pStyle w:val="TableParagraph"/>
              <w:ind w:left="197" w:right="183"/>
              <w:jc w:val="center"/>
              <w:rPr>
                <w:sz w:val="22"/>
              </w:rPr>
            </w:pPr>
            <w:r>
              <w:rPr>
                <w:spacing w:val="-2"/>
                <w:sz w:val="22"/>
              </w:rPr>
              <w:t>$487.50</w:t>
            </w:r>
          </w:p>
        </w:tc>
        <w:tc>
          <w:tcPr>
            <w:tcW w:w="1296" w:type="dxa"/>
          </w:tcPr>
          <w:p>
            <w:pPr>
              <w:pStyle w:val="TableParagraph"/>
              <w:rPr>
                <w:sz w:val="24"/>
              </w:rPr>
            </w:pPr>
          </w:p>
          <w:p>
            <w:pPr>
              <w:pStyle w:val="TableParagraph"/>
              <w:spacing w:before="8"/>
              <w:rPr>
                <w:sz w:val="25"/>
              </w:rPr>
            </w:pPr>
          </w:p>
          <w:p>
            <w:pPr>
              <w:pStyle w:val="TableParagraph"/>
              <w:ind w:left="198" w:right="182"/>
              <w:jc w:val="center"/>
              <w:rPr>
                <w:sz w:val="22"/>
              </w:rPr>
            </w:pPr>
            <w:r>
              <w:rPr>
                <w:spacing w:val="-2"/>
                <w:sz w:val="22"/>
              </w:rPr>
              <w:t>$510.90</w:t>
            </w:r>
          </w:p>
        </w:tc>
        <w:tc>
          <w:tcPr>
            <w:tcW w:w="1294" w:type="dxa"/>
          </w:tcPr>
          <w:p>
            <w:pPr>
              <w:pStyle w:val="TableParagraph"/>
              <w:rPr>
                <w:sz w:val="24"/>
              </w:rPr>
            </w:pPr>
          </w:p>
          <w:p>
            <w:pPr>
              <w:pStyle w:val="TableParagraph"/>
              <w:spacing w:before="8"/>
              <w:rPr>
                <w:sz w:val="25"/>
              </w:rPr>
            </w:pPr>
          </w:p>
          <w:p>
            <w:pPr>
              <w:pStyle w:val="TableParagraph"/>
              <w:ind w:left="197" w:right="180"/>
              <w:jc w:val="center"/>
              <w:rPr>
                <w:sz w:val="22"/>
              </w:rPr>
            </w:pPr>
            <w:r>
              <w:rPr>
                <w:spacing w:val="-2"/>
                <w:sz w:val="22"/>
              </w:rPr>
              <w:t>$535.42</w:t>
            </w:r>
          </w:p>
        </w:tc>
        <w:tc>
          <w:tcPr>
            <w:tcW w:w="1301" w:type="dxa"/>
          </w:tcPr>
          <w:p>
            <w:pPr>
              <w:pStyle w:val="TableParagraph"/>
              <w:rPr>
                <w:sz w:val="24"/>
              </w:rPr>
            </w:pPr>
          </w:p>
          <w:p>
            <w:pPr>
              <w:pStyle w:val="TableParagraph"/>
              <w:spacing w:before="8"/>
              <w:rPr>
                <w:sz w:val="25"/>
              </w:rPr>
            </w:pPr>
          </w:p>
          <w:p>
            <w:pPr>
              <w:pStyle w:val="TableParagraph"/>
              <w:ind w:left="93" w:right="79"/>
              <w:jc w:val="center"/>
              <w:rPr>
                <w:sz w:val="22"/>
              </w:rPr>
            </w:pPr>
            <w:r>
              <w:rPr>
                <w:spacing w:val="-2"/>
                <w:sz w:val="22"/>
              </w:rPr>
              <w:t>$561.12</w:t>
            </w:r>
          </w:p>
        </w:tc>
      </w:tr>
      <w:tr>
        <w:trPr>
          <w:trHeight w:val="1610" w:hRule="atLeast"/>
        </w:trPr>
        <w:tc>
          <w:tcPr>
            <w:tcW w:w="1502" w:type="dxa"/>
          </w:tcPr>
          <w:p>
            <w:pPr>
              <w:pStyle w:val="TableParagraph"/>
              <w:rPr>
                <w:sz w:val="24"/>
              </w:rPr>
            </w:pPr>
          </w:p>
          <w:p>
            <w:pPr>
              <w:pStyle w:val="TableParagraph"/>
              <w:spacing w:before="147"/>
              <w:ind w:left="107" w:right="114"/>
              <w:jc w:val="both"/>
              <w:rPr>
                <w:sz w:val="22"/>
              </w:rPr>
            </w:pPr>
            <w:r>
              <w:rPr>
                <w:sz w:val="22"/>
              </w:rPr>
              <w:t>CE Formerly </w:t>
            </w:r>
            <w:r>
              <w:rPr>
                <w:spacing w:val="-2"/>
                <w:sz w:val="22"/>
              </w:rPr>
              <w:t>Incarcerated/ </w:t>
            </w:r>
            <w:r>
              <w:rPr>
                <w:sz w:val="22"/>
              </w:rPr>
              <w:t>Base</w:t>
            </w:r>
            <w:r>
              <w:rPr>
                <w:spacing w:val="-1"/>
                <w:sz w:val="22"/>
              </w:rPr>
              <w:t> </w:t>
            </w:r>
            <w:r>
              <w:rPr>
                <w:spacing w:val="-2"/>
                <w:sz w:val="22"/>
              </w:rPr>
              <w:t>Disabled</w:t>
            </w:r>
          </w:p>
        </w:tc>
        <w:tc>
          <w:tcPr>
            <w:tcW w:w="866" w:type="dxa"/>
          </w:tcPr>
          <w:p>
            <w:pPr>
              <w:pStyle w:val="TableParagraph"/>
              <w:rPr>
                <w:sz w:val="24"/>
              </w:rPr>
            </w:pPr>
          </w:p>
          <w:p>
            <w:pPr>
              <w:pStyle w:val="TableParagraph"/>
              <w:spacing w:before="10"/>
              <w:rPr>
                <w:sz w:val="34"/>
              </w:rPr>
            </w:pPr>
          </w:p>
          <w:p>
            <w:pPr>
              <w:pStyle w:val="TableParagraph"/>
              <w:ind w:left="282" w:right="274"/>
              <w:jc w:val="center"/>
              <w:rPr>
                <w:sz w:val="22"/>
              </w:rPr>
            </w:pPr>
            <w:r>
              <w:rPr>
                <w:spacing w:val="-5"/>
                <w:sz w:val="22"/>
              </w:rPr>
              <w:t>PC</w:t>
            </w:r>
          </w:p>
        </w:tc>
        <w:tc>
          <w:tcPr>
            <w:tcW w:w="1207" w:type="dxa"/>
          </w:tcPr>
          <w:p>
            <w:pPr>
              <w:pStyle w:val="TableParagraph"/>
              <w:rPr>
                <w:sz w:val="24"/>
              </w:rPr>
            </w:pPr>
          </w:p>
          <w:p>
            <w:pPr>
              <w:pStyle w:val="TableParagraph"/>
              <w:spacing w:before="10"/>
              <w:rPr>
                <w:sz w:val="34"/>
              </w:rPr>
            </w:pPr>
          </w:p>
          <w:p>
            <w:pPr>
              <w:pStyle w:val="TableParagraph"/>
              <w:ind w:left="378" w:right="367"/>
              <w:jc w:val="center"/>
              <w:rPr>
                <w:sz w:val="22"/>
              </w:rPr>
            </w:pPr>
            <w:r>
              <w:rPr>
                <w:spacing w:val="-4"/>
                <w:sz w:val="22"/>
              </w:rPr>
              <w:t>Both</w:t>
            </w:r>
          </w:p>
        </w:tc>
        <w:tc>
          <w:tcPr>
            <w:tcW w:w="842" w:type="dxa"/>
          </w:tcPr>
          <w:p>
            <w:pPr>
              <w:pStyle w:val="TableParagraph"/>
              <w:rPr>
                <w:sz w:val="24"/>
              </w:rPr>
            </w:pPr>
          </w:p>
          <w:p>
            <w:pPr>
              <w:pStyle w:val="TableParagraph"/>
              <w:spacing w:before="10"/>
              <w:rPr>
                <w:sz w:val="34"/>
              </w:rPr>
            </w:pPr>
          </w:p>
          <w:p>
            <w:pPr>
              <w:pStyle w:val="TableParagraph"/>
              <w:ind w:left="191" w:right="177"/>
              <w:jc w:val="center"/>
              <w:rPr>
                <w:sz w:val="22"/>
              </w:rPr>
            </w:pPr>
            <w:r>
              <w:rPr>
                <w:spacing w:val="-4"/>
                <w:sz w:val="22"/>
              </w:rPr>
              <w:t>2023</w:t>
            </w:r>
          </w:p>
        </w:tc>
        <w:tc>
          <w:tcPr>
            <w:tcW w:w="1101" w:type="dxa"/>
          </w:tcPr>
          <w:p>
            <w:pPr>
              <w:pStyle w:val="TableParagraph"/>
              <w:rPr>
                <w:sz w:val="24"/>
              </w:rPr>
            </w:pPr>
          </w:p>
          <w:p>
            <w:pPr>
              <w:pStyle w:val="TableParagraph"/>
              <w:spacing w:before="10"/>
              <w:rPr>
                <w:sz w:val="34"/>
              </w:rPr>
            </w:pPr>
          </w:p>
          <w:p>
            <w:pPr>
              <w:pStyle w:val="TableParagraph"/>
              <w:ind w:right="250"/>
              <w:jc w:val="right"/>
              <w:rPr>
                <w:sz w:val="22"/>
              </w:rPr>
            </w:pPr>
            <w:r>
              <w:rPr>
                <w:spacing w:val="-2"/>
                <w:sz w:val="22"/>
              </w:rPr>
              <w:t>4.80%</w:t>
            </w:r>
          </w:p>
        </w:tc>
        <w:tc>
          <w:tcPr>
            <w:tcW w:w="950" w:type="dxa"/>
          </w:tcPr>
          <w:p>
            <w:pPr>
              <w:pStyle w:val="TableParagraph"/>
              <w:rPr>
                <w:sz w:val="24"/>
              </w:rPr>
            </w:pPr>
          </w:p>
          <w:p>
            <w:pPr>
              <w:pStyle w:val="TableParagraph"/>
              <w:spacing w:before="10"/>
              <w:rPr>
                <w:sz w:val="34"/>
              </w:rPr>
            </w:pPr>
          </w:p>
          <w:p>
            <w:pPr>
              <w:pStyle w:val="TableParagraph"/>
              <w:ind w:left="11"/>
              <w:jc w:val="center"/>
              <w:rPr>
                <w:sz w:val="22"/>
              </w:rPr>
            </w:pPr>
            <w:r>
              <w:rPr>
                <w:w w:val="100"/>
                <w:sz w:val="22"/>
              </w:rPr>
              <w:t>-</w:t>
            </w:r>
          </w:p>
        </w:tc>
        <w:tc>
          <w:tcPr>
            <w:tcW w:w="1296" w:type="dxa"/>
          </w:tcPr>
          <w:p>
            <w:pPr>
              <w:pStyle w:val="TableParagraph"/>
              <w:rPr>
                <w:sz w:val="24"/>
              </w:rPr>
            </w:pPr>
          </w:p>
          <w:p>
            <w:pPr>
              <w:pStyle w:val="TableParagraph"/>
              <w:spacing w:before="10"/>
              <w:rPr>
                <w:sz w:val="34"/>
              </w:rPr>
            </w:pPr>
          </w:p>
          <w:p>
            <w:pPr>
              <w:pStyle w:val="TableParagraph"/>
              <w:ind w:left="198" w:right="184"/>
              <w:jc w:val="center"/>
              <w:rPr>
                <w:sz w:val="22"/>
              </w:rPr>
            </w:pPr>
            <w:r>
              <w:rPr>
                <w:spacing w:val="-2"/>
                <w:sz w:val="22"/>
              </w:rPr>
              <w:t>$1,354.45</w:t>
            </w:r>
          </w:p>
        </w:tc>
        <w:tc>
          <w:tcPr>
            <w:tcW w:w="1294" w:type="dxa"/>
          </w:tcPr>
          <w:p>
            <w:pPr>
              <w:pStyle w:val="TableParagraph"/>
              <w:rPr>
                <w:sz w:val="24"/>
              </w:rPr>
            </w:pPr>
          </w:p>
          <w:p>
            <w:pPr>
              <w:pStyle w:val="TableParagraph"/>
              <w:spacing w:before="10"/>
              <w:rPr>
                <w:sz w:val="34"/>
              </w:rPr>
            </w:pPr>
          </w:p>
          <w:p>
            <w:pPr>
              <w:pStyle w:val="TableParagraph"/>
              <w:ind w:left="195" w:right="183"/>
              <w:jc w:val="center"/>
              <w:rPr>
                <w:sz w:val="22"/>
              </w:rPr>
            </w:pPr>
            <w:r>
              <w:rPr>
                <w:spacing w:val="-2"/>
                <w:sz w:val="22"/>
              </w:rPr>
              <w:t>$1,419.47</w:t>
            </w:r>
          </w:p>
        </w:tc>
        <w:tc>
          <w:tcPr>
            <w:tcW w:w="1296" w:type="dxa"/>
          </w:tcPr>
          <w:p>
            <w:pPr>
              <w:pStyle w:val="TableParagraph"/>
              <w:rPr>
                <w:sz w:val="24"/>
              </w:rPr>
            </w:pPr>
          </w:p>
          <w:p>
            <w:pPr>
              <w:pStyle w:val="TableParagraph"/>
              <w:spacing w:before="10"/>
              <w:rPr>
                <w:sz w:val="34"/>
              </w:rPr>
            </w:pPr>
          </w:p>
          <w:p>
            <w:pPr>
              <w:pStyle w:val="TableParagraph"/>
              <w:ind w:left="198" w:right="185"/>
              <w:jc w:val="center"/>
              <w:rPr>
                <w:sz w:val="22"/>
              </w:rPr>
            </w:pPr>
            <w:r>
              <w:rPr>
                <w:spacing w:val="-2"/>
                <w:sz w:val="22"/>
              </w:rPr>
              <w:t>$1,487.60</w:t>
            </w:r>
          </w:p>
        </w:tc>
        <w:tc>
          <w:tcPr>
            <w:tcW w:w="1294" w:type="dxa"/>
          </w:tcPr>
          <w:p>
            <w:pPr>
              <w:pStyle w:val="TableParagraph"/>
              <w:rPr>
                <w:sz w:val="24"/>
              </w:rPr>
            </w:pPr>
          </w:p>
          <w:p>
            <w:pPr>
              <w:pStyle w:val="TableParagraph"/>
              <w:spacing w:before="10"/>
              <w:rPr>
                <w:sz w:val="34"/>
              </w:rPr>
            </w:pPr>
          </w:p>
          <w:p>
            <w:pPr>
              <w:pStyle w:val="TableParagraph"/>
              <w:ind w:left="197" w:right="182"/>
              <w:jc w:val="center"/>
              <w:rPr>
                <w:sz w:val="22"/>
              </w:rPr>
            </w:pPr>
            <w:r>
              <w:rPr>
                <w:spacing w:val="-2"/>
                <w:sz w:val="22"/>
              </w:rPr>
              <w:t>$1,559.01</w:t>
            </w:r>
          </w:p>
        </w:tc>
        <w:tc>
          <w:tcPr>
            <w:tcW w:w="1301" w:type="dxa"/>
          </w:tcPr>
          <w:p>
            <w:pPr>
              <w:pStyle w:val="TableParagraph"/>
              <w:rPr>
                <w:sz w:val="24"/>
              </w:rPr>
            </w:pPr>
          </w:p>
          <w:p>
            <w:pPr>
              <w:pStyle w:val="TableParagraph"/>
              <w:spacing w:before="10"/>
              <w:rPr>
                <w:sz w:val="34"/>
              </w:rPr>
            </w:pPr>
          </w:p>
          <w:p>
            <w:pPr>
              <w:pStyle w:val="TableParagraph"/>
              <w:ind w:left="93" w:right="81"/>
              <w:jc w:val="center"/>
              <w:rPr>
                <w:sz w:val="22"/>
              </w:rPr>
            </w:pPr>
            <w:r>
              <w:rPr>
                <w:spacing w:val="-2"/>
                <w:sz w:val="22"/>
              </w:rPr>
              <w:t>$1,633.84</w:t>
            </w:r>
          </w:p>
        </w:tc>
      </w:tr>
      <w:tr>
        <w:trPr>
          <w:trHeight w:val="1521" w:hRule="atLeast"/>
        </w:trPr>
        <w:tc>
          <w:tcPr>
            <w:tcW w:w="1502" w:type="dxa"/>
          </w:tcPr>
          <w:p>
            <w:pPr>
              <w:pStyle w:val="TableParagraph"/>
              <w:rPr>
                <w:sz w:val="24"/>
              </w:rPr>
            </w:pPr>
          </w:p>
          <w:p>
            <w:pPr>
              <w:pStyle w:val="TableParagraph"/>
              <w:spacing w:before="1"/>
              <w:rPr>
                <w:sz w:val="20"/>
              </w:rPr>
            </w:pPr>
          </w:p>
          <w:p>
            <w:pPr>
              <w:pStyle w:val="TableParagraph"/>
              <w:ind w:left="107" w:right="114"/>
              <w:rPr>
                <w:sz w:val="22"/>
              </w:rPr>
            </w:pPr>
            <w:r>
              <w:rPr>
                <w:sz w:val="22"/>
              </w:rPr>
              <w:t>CE</w:t>
            </w:r>
            <w:r>
              <w:rPr>
                <w:spacing w:val="-14"/>
                <w:sz w:val="22"/>
              </w:rPr>
              <w:t> </w:t>
            </w:r>
            <w:r>
              <w:rPr>
                <w:sz w:val="22"/>
              </w:rPr>
              <w:t>Homeless/ Base</w:t>
            </w:r>
            <w:r>
              <w:rPr>
                <w:spacing w:val="-3"/>
                <w:sz w:val="22"/>
              </w:rPr>
              <w:t> </w:t>
            </w:r>
            <w:r>
              <w:rPr>
                <w:spacing w:val="-2"/>
                <w:sz w:val="22"/>
              </w:rPr>
              <w:t>Families</w:t>
            </w:r>
          </w:p>
        </w:tc>
        <w:tc>
          <w:tcPr>
            <w:tcW w:w="866" w:type="dxa"/>
          </w:tcPr>
          <w:p>
            <w:pPr>
              <w:pStyle w:val="TableParagraph"/>
              <w:rPr>
                <w:sz w:val="24"/>
              </w:rPr>
            </w:pPr>
          </w:p>
          <w:p>
            <w:pPr>
              <w:pStyle w:val="TableParagraph"/>
              <w:spacing w:before="11"/>
              <w:rPr>
                <w:sz w:val="30"/>
              </w:rPr>
            </w:pPr>
          </w:p>
          <w:p>
            <w:pPr>
              <w:pStyle w:val="TableParagraph"/>
              <w:ind w:left="282" w:right="274"/>
              <w:jc w:val="center"/>
              <w:rPr>
                <w:sz w:val="22"/>
              </w:rPr>
            </w:pPr>
            <w:r>
              <w:rPr>
                <w:spacing w:val="-5"/>
                <w:sz w:val="22"/>
              </w:rPr>
              <w:t>PC</w:t>
            </w:r>
          </w:p>
        </w:tc>
        <w:tc>
          <w:tcPr>
            <w:tcW w:w="1207" w:type="dxa"/>
          </w:tcPr>
          <w:p>
            <w:pPr>
              <w:pStyle w:val="TableParagraph"/>
              <w:rPr>
                <w:sz w:val="24"/>
              </w:rPr>
            </w:pPr>
          </w:p>
          <w:p>
            <w:pPr>
              <w:pStyle w:val="TableParagraph"/>
              <w:spacing w:before="11"/>
              <w:rPr>
                <w:sz w:val="30"/>
              </w:rPr>
            </w:pPr>
          </w:p>
          <w:p>
            <w:pPr>
              <w:pStyle w:val="TableParagraph"/>
              <w:ind w:left="378" w:right="367"/>
              <w:jc w:val="center"/>
              <w:rPr>
                <w:sz w:val="22"/>
              </w:rPr>
            </w:pPr>
            <w:r>
              <w:rPr>
                <w:spacing w:val="-4"/>
                <w:sz w:val="22"/>
              </w:rPr>
              <w:t>Both</w:t>
            </w:r>
          </w:p>
        </w:tc>
        <w:tc>
          <w:tcPr>
            <w:tcW w:w="842" w:type="dxa"/>
          </w:tcPr>
          <w:p>
            <w:pPr>
              <w:pStyle w:val="TableParagraph"/>
              <w:rPr>
                <w:sz w:val="24"/>
              </w:rPr>
            </w:pPr>
          </w:p>
          <w:p>
            <w:pPr>
              <w:pStyle w:val="TableParagraph"/>
              <w:spacing w:before="11"/>
              <w:rPr>
                <w:sz w:val="30"/>
              </w:rPr>
            </w:pPr>
          </w:p>
          <w:p>
            <w:pPr>
              <w:pStyle w:val="TableParagraph"/>
              <w:ind w:left="191" w:right="177"/>
              <w:jc w:val="center"/>
              <w:rPr>
                <w:sz w:val="22"/>
              </w:rPr>
            </w:pPr>
            <w:r>
              <w:rPr>
                <w:spacing w:val="-4"/>
                <w:sz w:val="22"/>
              </w:rPr>
              <w:t>2023</w:t>
            </w:r>
          </w:p>
        </w:tc>
        <w:tc>
          <w:tcPr>
            <w:tcW w:w="1101" w:type="dxa"/>
          </w:tcPr>
          <w:p>
            <w:pPr>
              <w:pStyle w:val="TableParagraph"/>
              <w:rPr>
                <w:sz w:val="24"/>
              </w:rPr>
            </w:pPr>
          </w:p>
          <w:p>
            <w:pPr>
              <w:pStyle w:val="TableParagraph"/>
              <w:spacing w:before="11"/>
              <w:rPr>
                <w:sz w:val="30"/>
              </w:rPr>
            </w:pPr>
          </w:p>
          <w:p>
            <w:pPr>
              <w:pStyle w:val="TableParagraph"/>
              <w:ind w:right="250"/>
              <w:jc w:val="right"/>
              <w:rPr>
                <w:sz w:val="22"/>
              </w:rPr>
            </w:pPr>
            <w:r>
              <w:rPr>
                <w:spacing w:val="-2"/>
                <w:sz w:val="22"/>
              </w:rPr>
              <w:t>4.80%</w:t>
            </w:r>
          </w:p>
        </w:tc>
        <w:tc>
          <w:tcPr>
            <w:tcW w:w="950" w:type="dxa"/>
          </w:tcPr>
          <w:p>
            <w:pPr>
              <w:pStyle w:val="TableParagraph"/>
              <w:rPr>
                <w:sz w:val="24"/>
              </w:rPr>
            </w:pPr>
          </w:p>
          <w:p>
            <w:pPr>
              <w:pStyle w:val="TableParagraph"/>
              <w:spacing w:before="11"/>
              <w:rPr>
                <w:sz w:val="30"/>
              </w:rPr>
            </w:pPr>
          </w:p>
          <w:p>
            <w:pPr>
              <w:pStyle w:val="TableParagraph"/>
              <w:ind w:left="11"/>
              <w:jc w:val="center"/>
              <w:rPr>
                <w:sz w:val="22"/>
              </w:rPr>
            </w:pPr>
            <w:r>
              <w:rPr>
                <w:w w:val="100"/>
                <w:sz w:val="22"/>
              </w:rPr>
              <w:t>-</w:t>
            </w:r>
          </w:p>
        </w:tc>
        <w:tc>
          <w:tcPr>
            <w:tcW w:w="1296" w:type="dxa"/>
          </w:tcPr>
          <w:p>
            <w:pPr>
              <w:pStyle w:val="TableParagraph"/>
              <w:rPr>
                <w:sz w:val="24"/>
              </w:rPr>
            </w:pPr>
          </w:p>
          <w:p>
            <w:pPr>
              <w:pStyle w:val="TableParagraph"/>
              <w:spacing w:before="11"/>
              <w:rPr>
                <w:sz w:val="30"/>
              </w:rPr>
            </w:pPr>
          </w:p>
          <w:p>
            <w:pPr>
              <w:pStyle w:val="TableParagraph"/>
              <w:ind w:left="198" w:right="181"/>
              <w:jc w:val="center"/>
              <w:rPr>
                <w:sz w:val="22"/>
              </w:rPr>
            </w:pPr>
            <w:r>
              <w:rPr>
                <w:spacing w:val="-2"/>
                <w:sz w:val="22"/>
              </w:rPr>
              <w:t>$465.17</w:t>
            </w:r>
          </w:p>
        </w:tc>
        <w:tc>
          <w:tcPr>
            <w:tcW w:w="1294" w:type="dxa"/>
          </w:tcPr>
          <w:p>
            <w:pPr>
              <w:pStyle w:val="TableParagraph"/>
              <w:rPr>
                <w:sz w:val="24"/>
              </w:rPr>
            </w:pPr>
          </w:p>
          <w:p>
            <w:pPr>
              <w:pStyle w:val="TableParagraph"/>
              <w:spacing w:before="11"/>
              <w:rPr>
                <w:sz w:val="30"/>
              </w:rPr>
            </w:pPr>
          </w:p>
          <w:p>
            <w:pPr>
              <w:pStyle w:val="TableParagraph"/>
              <w:ind w:left="197" w:right="183"/>
              <w:jc w:val="center"/>
              <w:rPr>
                <w:sz w:val="22"/>
              </w:rPr>
            </w:pPr>
            <w:r>
              <w:rPr>
                <w:spacing w:val="-2"/>
                <w:sz w:val="22"/>
              </w:rPr>
              <w:t>$487.50</w:t>
            </w:r>
          </w:p>
        </w:tc>
        <w:tc>
          <w:tcPr>
            <w:tcW w:w="1296" w:type="dxa"/>
          </w:tcPr>
          <w:p>
            <w:pPr>
              <w:pStyle w:val="TableParagraph"/>
              <w:rPr>
                <w:sz w:val="24"/>
              </w:rPr>
            </w:pPr>
          </w:p>
          <w:p>
            <w:pPr>
              <w:pStyle w:val="TableParagraph"/>
              <w:spacing w:before="11"/>
              <w:rPr>
                <w:sz w:val="30"/>
              </w:rPr>
            </w:pPr>
          </w:p>
          <w:p>
            <w:pPr>
              <w:pStyle w:val="TableParagraph"/>
              <w:ind w:left="198" w:right="182"/>
              <w:jc w:val="center"/>
              <w:rPr>
                <w:sz w:val="22"/>
              </w:rPr>
            </w:pPr>
            <w:r>
              <w:rPr>
                <w:spacing w:val="-2"/>
                <w:sz w:val="22"/>
              </w:rPr>
              <w:t>$510.90</w:t>
            </w:r>
          </w:p>
        </w:tc>
        <w:tc>
          <w:tcPr>
            <w:tcW w:w="1294" w:type="dxa"/>
          </w:tcPr>
          <w:p>
            <w:pPr>
              <w:pStyle w:val="TableParagraph"/>
              <w:rPr>
                <w:sz w:val="24"/>
              </w:rPr>
            </w:pPr>
          </w:p>
          <w:p>
            <w:pPr>
              <w:pStyle w:val="TableParagraph"/>
              <w:spacing w:before="11"/>
              <w:rPr>
                <w:sz w:val="30"/>
              </w:rPr>
            </w:pPr>
          </w:p>
          <w:p>
            <w:pPr>
              <w:pStyle w:val="TableParagraph"/>
              <w:ind w:left="197" w:right="180"/>
              <w:jc w:val="center"/>
              <w:rPr>
                <w:sz w:val="22"/>
              </w:rPr>
            </w:pPr>
            <w:r>
              <w:rPr>
                <w:spacing w:val="-2"/>
                <w:sz w:val="22"/>
              </w:rPr>
              <w:t>$535.42</w:t>
            </w:r>
          </w:p>
        </w:tc>
        <w:tc>
          <w:tcPr>
            <w:tcW w:w="1301" w:type="dxa"/>
          </w:tcPr>
          <w:p>
            <w:pPr>
              <w:pStyle w:val="TableParagraph"/>
              <w:rPr>
                <w:sz w:val="24"/>
              </w:rPr>
            </w:pPr>
          </w:p>
          <w:p>
            <w:pPr>
              <w:pStyle w:val="TableParagraph"/>
              <w:spacing w:before="11"/>
              <w:rPr>
                <w:sz w:val="30"/>
              </w:rPr>
            </w:pPr>
          </w:p>
          <w:p>
            <w:pPr>
              <w:pStyle w:val="TableParagraph"/>
              <w:ind w:left="93" w:right="79"/>
              <w:jc w:val="center"/>
              <w:rPr>
                <w:sz w:val="22"/>
              </w:rPr>
            </w:pPr>
            <w:r>
              <w:rPr>
                <w:spacing w:val="-2"/>
                <w:sz w:val="22"/>
              </w:rPr>
              <w:t>$561.12</w:t>
            </w:r>
          </w:p>
        </w:tc>
      </w:tr>
    </w:tbl>
    <w:p>
      <w:pPr>
        <w:spacing w:after="0"/>
        <w:jc w:val="center"/>
        <w:rPr>
          <w:sz w:val="22"/>
        </w:rPr>
        <w:sectPr>
          <w:pgSz w:w="15840" w:h="12240" w:orient="landscape"/>
          <w:pgMar w:header="0" w:footer="1201" w:top="1360" w:bottom="1400" w:left="1200" w:right="1340"/>
        </w:sectPr>
      </w:pPr>
    </w:p>
    <w:p>
      <w:pPr>
        <w:pStyle w:val="BodyText"/>
        <w:spacing w:before="2"/>
        <w:rPr>
          <w:sz w:val="5"/>
        </w:rPr>
      </w:pPr>
    </w:p>
    <w:tbl>
      <w:tblPr>
        <w:tblW w:w="0" w:type="auto"/>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02"/>
        <w:gridCol w:w="866"/>
        <w:gridCol w:w="1207"/>
        <w:gridCol w:w="842"/>
        <w:gridCol w:w="1101"/>
        <w:gridCol w:w="950"/>
        <w:gridCol w:w="1296"/>
        <w:gridCol w:w="1294"/>
        <w:gridCol w:w="1296"/>
        <w:gridCol w:w="1294"/>
        <w:gridCol w:w="1301"/>
      </w:tblGrid>
      <w:tr>
        <w:trPr>
          <w:trHeight w:val="477" w:hRule="atLeast"/>
        </w:trPr>
        <w:tc>
          <w:tcPr>
            <w:tcW w:w="12949" w:type="dxa"/>
            <w:gridSpan w:val="11"/>
            <w:shd w:val="clear" w:color="auto" w:fill="DBE4F0"/>
          </w:tcPr>
          <w:p>
            <w:pPr>
              <w:pStyle w:val="TableParagraph"/>
              <w:spacing w:before="61"/>
              <w:ind w:left="4215" w:right="4202"/>
              <w:jc w:val="center"/>
              <w:rPr>
                <w:b/>
                <w:sz w:val="22"/>
              </w:rPr>
            </w:pPr>
            <w:r>
              <w:rPr>
                <w:b/>
                <w:sz w:val="22"/>
              </w:rPr>
              <w:t>Table</w:t>
            </w:r>
            <w:r>
              <w:rPr>
                <w:b/>
                <w:spacing w:val="-5"/>
                <w:sz w:val="22"/>
              </w:rPr>
              <w:t> </w:t>
            </w:r>
            <w:r>
              <w:rPr>
                <w:b/>
                <w:sz w:val="22"/>
              </w:rPr>
              <w:t>27:</w:t>
            </w:r>
            <w:r>
              <w:rPr>
                <w:b/>
                <w:spacing w:val="-6"/>
                <w:sz w:val="22"/>
              </w:rPr>
              <w:t> </w:t>
            </w:r>
            <w:r>
              <w:rPr>
                <w:b/>
                <w:sz w:val="22"/>
              </w:rPr>
              <w:t>Hypothetical</w:t>
            </w:r>
            <w:r>
              <w:rPr>
                <w:b/>
                <w:spacing w:val="-7"/>
                <w:sz w:val="22"/>
              </w:rPr>
              <w:t> </w:t>
            </w:r>
            <w:r>
              <w:rPr>
                <w:b/>
                <w:sz w:val="22"/>
              </w:rPr>
              <w:t>Budget</w:t>
            </w:r>
            <w:r>
              <w:rPr>
                <w:b/>
                <w:spacing w:val="-3"/>
                <w:sz w:val="22"/>
              </w:rPr>
              <w:t> </w:t>
            </w:r>
            <w:r>
              <w:rPr>
                <w:b/>
                <w:sz w:val="22"/>
              </w:rPr>
              <w:t>Neutrality</w:t>
            </w:r>
            <w:r>
              <w:rPr>
                <w:b/>
                <w:spacing w:val="-5"/>
                <w:sz w:val="22"/>
              </w:rPr>
              <w:t> </w:t>
            </w:r>
            <w:r>
              <w:rPr>
                <w:b/>
                <w:sz w:val="22"/>
              </w:rPr>
              <w:t>Test</w:t>
            </w:r>
            <w:r>
              <w:rPr>
                <w:b/>
                <w:spacing w:val="-4"/>
                <w:sz w:val="22"/>
              </w:rPr>
              <w:t> </w:t>
            </w:r>
            <w:r>
              <w:rPr>
                <w:b/>
                <w:spacing w:val="-10"/>
                <w:sz w:val="22"/>
              </w:rPr>
              <w:t>7</w:t>
            </w:r>
          </w:p>
        </w:tc>
      </w:tr>
      <w:tr>
        <w:trPr>
          <w:trHeight w:val="1530" w:hRule="atLeast"/>
        </w:trPr>
        <w:tc>
          <w:tcPr>
            <w:tcW w:w="1502" w:type="dxa"/>
            <w:shd w:val="clear" w:color="auto" w:fill="DBE4F0"/>
          </w:tcPr>
          <w:p>
            <w:pPr>
              <w:pStyle w:val="TableParagraph"/>
              <w:rPr>
                <w:sz w:val="24"/>
              </w:rPr>
            </w:pPr>
          </w:p>
          <w:p>
            <w:pPr>
              <w:pStyle w:val="TableParagraph"/>
              <w:spacing w:before="6"/>
              <w:rPr>
                <w:sz w:val="31"/>
              </w:rPr>
            </w:pPr>
          </w:p>
          <w:p>
            <w:pPr>
              <w:pStyle w:val="TableParagraph"/>
              <w:ind w:left="486"/>
              <w:rPr>
                <w:b/>
                <w:sz w:val="22"/>
              </w:rPr>
            </w:pPr>
            <w:r>
              <w:rPr>
                <w:b/>
                <w:spacing w:val="-5"/>
                <w:sz w:val="22"/>
              </w:rPr>
              <w:t>MEG</w:t>
            </w:r>
          </w:p>
        </w:tc>
        <w:tc>
          <w:tcPr>
            <w:tcW w:w="866" w:type="dxa"/>
            <w:shd w:val="clear" w:color="auto" w:fill="DBE4F0"/>
          </w:tcPr>
          <w:p>
            <w:pPr>
              <w:pStyle w:val="TableParagraph"/>
              <w:rPr>
                <w:sz w:val="24"/>
              </w:rPr>
            </w:pPr>
          </w:p>
          <w:p>
            <w:pPr>
              <w:pStyle w:val="TableParagraph"/>
              <w:spacing w:before="3"/>
              <w:rPr>
                <w:sz w:val="20"/>
              </w:rPr>
            </w:pPr>
          </w:p>
          <w:p>
            <w:pPr>
              <w:pStyle w:val="TableParagraph"/>
              <w:spacing w:line="244" w:lineRule="auto"/>
              <w:ind w:left="242" w:hanging="92"/>
              <w:rPr>
                <w:b/>
                <w:sz w:val="22"/>
              </w:rPr>
            </w:pPr>
            <w:r>
              <w:rPr>
                <w:b/>
                <w:sz w:val="22"/>
              </w:rPr>
              <w:t>PC</w:t>
            </w:r>
            <w:r>
              <w:rPr>
                <w:b/>
                <w:spacing w:val="-14"/>
                <w:sz w:val="22"/>
              </w:rPr>
              <w:t> </w:t>
            </w:r>
            <w:r>
              <w:rPr>
                <w:b/>
                <w:sz w:val="22"/>
              </w:rPr>
              <w:t>or </w:t>
            </w:r>
            <w:r>
              <w:rPr>
                <w:b/>
                <w:spacing w:val="-4"/>
                <w:sz w:val="22"/>
              </w:rPr>
              <w:t>Agg</w:t>
            </w:r>
          </w:p>
        </w:tc>
        <w:tc>
          <w:tcPr>
            <w:tcW w:w="1207" w:type="dxa"/>
            <w:shd w:val="clear" w:color="auto" w:fill="DBE4F0"/>
          </w:tcPr>
          <w:p>
            <w:pPr>
              <w:pStyle w:val="TableParagraph"/>
              <w:spacing w:before="130"/>
              <w:ind w:left="295"/>
              <w:rPr>
                <w:b/>
                <w:sz w:val="22"/>
              </w:rPr>
            </w:pPr>
            <w:r>
              <w:rPr>
                <w:b/>
                <w:spacing w:val="-5"/>
                <w:sz w:val="22"/>
              </w:rPr>
              <w:t>WOW</w:t>
            </w:r>
          </w:p>
          <w:p>
            <w:pPr>
              <w:pStyle w:val="TableParagraph"/>
              <w:spacing w:before="2"/>
              <w:ind w:left="382" w:right="324" w:hanging="39"/>
              <w:rPr>
                <w:b/>
                <w:sz w:val="22"/>
              </w:rPr>
            </w:pPr>
            <w:r>
              <w:rPr>
                <w:b/>
                <w:spacing w:val="-2"/>
                <w:sz w:val="22"/>
              </w:rPr>
              <w:t>Only, </w:t>
            </w:r>
            <w:r>
              <w:rPr>
                <w:b/>
                <w:spacing w:val="-6"/>
                <w:sz w:val="22"/>
              </w:rPr>
              <w:t>WW</w:t>
            </w:r>
          </w:p>
          <w:p>
            <w:pPr>
              <w:pStyle w:val="TableParagraph"/>
              <w:ind w:left="377" w:right="197" w:hanging="166"/>
              <w:rPr>
                <w:b/>
                <w:sz w:val="22"/>
              </w:rPr>
            </w:pPr>
            <w:r>
              <w:rPr>
                <w:b/>
                <w:sz w:val="22"/>
              </w:rPr>
              <w:t>Only,</w:t>
            </w:r>
            <w:r>
              <w:rPr>
                <w:b/>
                <w:spacing w:val="-14"/>
                <w:sz w:val="22"/>
              </w:rPr>
              <w:t> </w:t>
            </w:r>
            <w:r>
              <w:rPr>
                <w:b/>
                <w:sz w:val="22"/>
              </w:rPr>
              <w:t>or </w:t>
            </w:r>
            <w:r>
              <w:rPr>
                <w:b/>
                <w:spacing w:val="-4"/>
                <w:sz w:val="22"/>
              </w:rPr>
              <w:t>Both</w:t>
            </w:r>
          </w:p>
        </w:tc>
        <w:tc>
          <w:tcPr>
            <w:tcW w:w="842" w:type="dxa"/>
            <w:shd w:val="clear" w:color="auto" w:fill="DBE4F0"/>
          </w:tcPr>
          <w:p>
            <w:pPr>
              <w:pStyle w:val="TableParagraph"/>
              <w:rPr>
                <w:sz w:val="24"/>
              </w:rPr>
            </w:pPr>
          </w:p>
          <w:p>
            <w:pPr>
              <w:pStyle w:val="TableParagraph"/>
              <w:spacing w:before="3"/>
              <w:rPr>
                <w:sz w:val="20"/>
              </w:rPr>
            </w:pPr>
          </w:p>
          <w:p>
            <w:pPr>
              <w:pStyle w:val="TableParagraph"/>
              <w:ind w:left="190" w:right="173" w:firstLine="9"/>
              <w:rPr>
                <w:b/>
                <w:sz w:val="22"/>
              </w:rPr>
            </w:pPr>
            <w:r>
              <w:rPr>
                <w:b/>
                <w:spacing w:val="-4"/>
                <w:sz w:val="22"/>
              </w:rPr>
              <w:t>Base Year</w:t>
            </w:r>
          </w:p>
        </w:tc>
        <w:tc>
          <w:tcPr>
            <w:tcW w:w="1101" w:type="dxa"/>
            <w:shd w:val="clear" w:color="auto" w:fill="DBE4F0"/>
            <w:textDirection w:val="tbRl"/>
          </w:tcPr>
          <w:p>
            <w:pPr>
              <w:pStyle w:val="TableParagraph"/>
              <w:spacing w:before="9"/>
              <w:rPr>
                <w:sz w:val="35"/>
              </w:rPr>
            </w:pPr>
          </w:p>
          <w:p>
            <w:pPr>
              <w:pStyle w:val="TableParagraph"/>
              <w:ind w:left="222"/>
              <w:rPr>
                <w:b/>
                <w:sz w:val="22"/>
              </w:rPr>
            </w:pPr>
            <w:r>
              <w:rPr>
                <w:b/>
                <w:sz w:val="22"/>
              </w:rPr>
              <w:t>Trend</w:t>
            </w:r>
            <w:r>
              <w:rPr>
                <w:b/>
                <w:spacing w:val="-3"/>
                <w:sz w:val="22"/>
              </w:rPr>
              <w:t> </w:t>
            </w:r>
            <w:r>
              <w:rPr>
                <w:b/>
                <w:spacing w:val="-4"/>
                <w:sz w:val="22"/>
              </w:rPr>
              <w:t>Rate</w:t>
            </w:r>
          </w:p>
        </w:tc>
        <w:tc>
          <w:tcPr>
            <w:tcW w:w="950" w:type="dxa"/>
            <w:shd w:val="clear" w:color="auto" w:fill="DBE4F0"/>
          </w:tcPr>
          <w:p>
            <w:pPr>
              <w:pStyle w:val="TableParagraph"/>
              <w:rPr>
                <w:sz w:val="24"/>
              </w:rPr>
            </w:pPr>
          </w:p>
          <w:p>
            <w:pPr>
              <w:pStyle w:val="TableParagraph"/>
              <w:spacing w:before="6"/>
              <w:rPr>
                <w:sz w:val="31"/>
              </w:rPr>
            </w:pPr>
          </w:p>
          <w:p>
            <w:pPr>
              <w:pStyle w:val="TableParagraph"/>
              <w:ind w:left="165" w:right="152"/>
              <w:jc w:val="center"/>
              <w:rPr>
                <w:b/>
                <w:sz w:val="22"/>
              </w:rPr>
            </w:pPr>
            <w:r>
              <w:rPr>
                <w:b/>
                <w:sz w:val="22"/>
              </w:rPr>
              <w:t>DY</w:t>
            </w:r>
            <w:r>
              <w:rPr>
                <w:b/>
                <w:spacing w:val="-1"/>
                <w:sz w:val="22"/>
              </w:rPr>
              <w:t> </w:t>
            </w:r>
            <w:r>
              <w:rPr>
                <w:b/>
                <w:spacing w:val="-5"/>
                <w:sz w:val="22"/>
              </w:rPr>
              <w:t>27</w:t>
            </w:r>
          </w:p>
        </w:tc>
        <w:tc>
          <w:tcPr>
            <w:tcW w:w="1296" w:type="dxa"/>
            <w:shd w:val="clear" w:color="auto" w:fill="DBE4F0"/>
          </w:tcPr>
          <w:p>
            <w:pPr>
              <w:pStyle w:val="TableParagraph"/>
              <w:rPr>
                <w:sz w:val="24"/>
              </w:rPr>
            </w:pPr>
          </w:p>
          <w:p>
            <w:pPr>
              <w:pStyle w:val="TableParagraph"/>
              <w:spacing w:before="6"/>
              <w:rPr>
                <w:sz w:val="31"/>
              </w:rPr>
            </w:pPr>
          </w:p>
          <w:p>
            <w:pPr>
              <w:pStyle w:val="TableParagraph"/>
              <w:ind w:left="198" w:right="184"/>
              <w:jc w:val="center"/>
              <w:rPr>
                <w:b/>
                <w:sz w:val="22"/>
              </w:rPr>
            </w:pPr>
            <w:r>
              <w:rPr>
                <w:b/>
                <w:sz w:val="22"/>
              </w:rPr>
              <w:t>DY</w:t>
            </w:r>
            <w:r>
              <w:rPr>
                <w:b/>
                <w:spacing w:val="-1"/>
                <w:sz w:val="22"/>
              </w:rPr>
              <w:t> </w:t>
            </w:r>
            <w:r>
              <w:rPr>
                <w:b/>
                <w:spacing w:val="-5"/>
                <w:sz w:val="22"/>
              </w:rPr>
              <w:t>28</w:t>
            </w:r>
          </w:p>
        </w:tc>
        <w:tc>
          <w:tcPr>
            <w:tcW w:w="1294" w:type="dxa"/>
            <w:shd w:val="clear" w:color="auto" w:fill="DBE4F0"/>
          </w:tcPr>
          <w:p>
            <w:pPr>
              <w:pStyle w:val="TableParagraph"/>
              <w:rPr>
                <w:sz w:val="24"/>
              </w:rPr>
            </w:pPr>
          </w:p>
          <w:p>
            <w:pPr>
              <w:pStyle w:val="TableParagraph"/>
              <w:spacing w:before="6"/>
              <w:rPr>
                <w:sz w:val="31"/>
              </w:rPr>
            </w:pPr>
          </w:p>
          <w:p>
            <w:pPr>
              <w:pStyle w:val="TableParagraph"/>
              <w:ind w:left="194" w:right="183"/>
              <w:jc w:val="center"/>
              <w:rPr>
                <w:b/>
                <w:sz w:val="22"/>
              </w:rPr>
            </w:pPr>
            <w:r>
              <w:rPr>
                <w:b/>
                <w:sz w:val="22"/>
              </w:rPr>
              <w:t>DY</w:t>
            </w:r>
            <w:r>
              <w:rPr>
                <w:b/>
                <w:spacing w:val="-1"/>
                <w:sz w:val="22"/>
              </w:rPr>
              <w:t> </w:t>
            </w:r>
            <w:r>
              <w:rPr>
                <w:b/>
                <w:spacing w:val="-5"/>
                <w:sz w:val="22"/>
              </w:rPr>
              <w:t>29</w:t>
            </w:r>
          </w:p>
        </w:tc>
        <w:tc>
          <w:tcPr>
            <w:tcW w:w="1296" w:type="dxa"/>
            <w:shd w:val="clear" w:color="auto" w:fill="DBE4F0"/>
          </w:tcPr>
          <w:p>
            <w:pPr>
              <w:pStyle w:val="TableParagraph"/>
              <w:rPr>
                <w:sz w:val="24"/>
              </w:rPr>
            </w:pPr>
          </w:p>
          <w:p>
            <w:pPr>
              <w:pStyle w:val="TableParagraph"/>
              <w:spacing w:before="6"/>
              <w:rPr>
                <w:sz w:val="31"/>
              </w:rPr>
            </w:pPr>
          </w:p>
          <w:p>
            <w:pPr>
              <w:pStyle w:val="TableParagraph"/>
              <w:ind w:left="198" w:right="185"/>
              <w:jc w:val="center"/>
              <w:rPr>
                <w:b/>
                <w:sz w:val="22"/>
              </w:rPr>
            </w:pPr>
            <w:r>
              <w:rPr>
                <w:b/>
                <w:sz w:val="22"/>
              </w:rPr>
              <w:t>DY</w:t>
            </w:r>
            <w:r>
              <w:rPr>
                <w:b/>
                <w:spacing w:val="-1"/>
                <w:sz w:val="22"/>
              </w:rPr>
              <w:t> </w:t>
            </w:r>
            <w:r>
              <w:rPr>
                <w:b/>
                <w:spacing w:val="-5"/>
                <w:sz w:val="22"/>
              </w:rPr>
              <w:t>30</w:t>
            </w:r>
          </w:p>
        </w:tc>
        <w:tc>
          <w:tcPr>
            <w:tcW w:w="1294" w:type="dxa"/>
            <w:shd w:val="clear" w:color="auto" w:fill="DBE4F0"/>
          </w:tcPr>
          <w:p>
            <w:pPr>
              <w:pStyle w:val="TableParagraph"/>
              <w:rPr>
                <w:sz w:val="24"/>
              </w:rPr>
            </w:pPr>
          </w:p>
          <w:p>
            <w:pPr>
              <w:pStyle w:val="TableParagraph"/>
              <w:spacing w:before="6"/>
              <w:rPr>
                <w:sz w:val="31"/>
              </w:rPr>
            </w:pPr>
          </w:p>
          <w:p>
            <w:pPr>
              <w:pStyle w:val="TableParagraph"/>
              <w:ind w:left="197" w:right="182"/>
              <w:jc w:val="center"/>
              <w:rPr>
                <w:b/>
                <w:sz w:val="22"/>
              </w:rPr>
            </w:pPr>
            <w:r>
              <w:rPr>
                <w:b/>
                <w:sz w:val="22"/>
              </w:rPr>
              <w:t>DY</w:t>
            </w:r>
            <w:r>
              <w:rPr>
                <w:b/>
                <w:spacing w:val="-1"/>
                <w:sz w:val="22"/>
              </w:rPr>
              <w:t> </w:t>
            </w:r>
            <w:r>
              <w:rPr>
                <w:b/>
                <w:spacing w:val="-5"/>
                <w:sz w:val="22"/>
              </w:rPr>
              <w:t>31</w:t>
            </w:r>
          </w:p>
        </w:tc>
        <w:tc>
          <w:tcPr>
            <w:tcW w:w="1301" w:type="dxa"/>
            <w:shd w:val="clear" w:color="auto" w:fill="DBE4F0"/>
          </w:tcPr>
          <w:p>
            <w:pPr>
              <w:pStyle w:val="TableParagraph"/>
              <w:rPr>
                <w:sz w:val="24"/>
              </w:rPr>
            </w:pPr>
          </w:p>
          <w:p>
            <w:pPr>
              <w:pStyle w:val="TableParagraph"/>
              <w:spacing w:before="6"/>
              <w:rPr>
                <w:sz w:val="31"/>
              </w:rPr>
            </w:pPr>
          </w:p>
          <w:p>
            <w:pPr>
              <w:pStyle w:val="TableParagraph"/>
              <w:ind w:left="93" w:right="81"/>
              <w:jc w:val="center"/>
              <w:rPr>
                <w:b/>
                <w:sz w:val="22"/>
              </w:rPr>
            </w:pPr>
            <w:r>
              <w:rPr>
                <w:b/>
                <w:sz w:val="22"/>
              </w:rPr>
              <w:t>DY</w:t>
            </w:r>
            <w:r>
              <w:rPr>
                <w:b/>
                <w:spacing w:val="-1"/>
                <w:sz w:val="22"/>
              </w:rPr>
              <w:t> </w:t>
            </w:r>
            <w:r>
              <w:rPr>
                <w:b/>
                <w:spacing w:val="-5"/>
                <w:sz w:val="22"/>
              </w:rPr>
              <w:t>32</w:t>
            </w:r>
          </w:p>
        </w:tc>
      </w:tr>
      <w:tr>
        <w:trPr>
          <w:trHeight w:val="1619" w:hRule="atLeast"/>
        </w:trPr>
        <w:tc>
          <w:tcPr>
            <w:tcW w:w="1502" w:type="dxa"/>
          </w:tcPr>
          <w:p>
            <w:pPr>
              <w:pStyle w:val="TableParagraph"/>
              <w:rPr>
                <w:sz w:val="24"/>
              </w:rPr>
            </w:pPr>
          </w:p>
          <w:p>
            <w:pPr>
              <w:pStyle w:val="TableParagraph"/>
              <w:spacing w:before="3"/>
              <w:rPr>
                <w:sz w:val="24"/>
              </w:rPr>
            </w:pPr>
          </w:p>
          <w:p>
            <w:pPr>
              <w:pStyle w:val="TableParagraph"/>
              <w:ind w:left="107"/>
              <w:rPr>
                <w:sz w:val="22"/>
              </w:rPr>
            </w:pPr>
            <w:r>
              <w:rPr>
                <w:sz w:val="22"/>
              </w:rPr>
              <w:t>CE</w:t>
            </w:r>
            <w:r>
              <w:rPr>
                <w:spacing w:val="-14"/>
                <w:sz w:val="22"/>
              </w:rPr>
              <w:t> </w:t>
            </w:r>
            <w:r>
              <w:rPr>
                <w:sz w:val="22"/>
              </w:rPr>
              <w:t>Homeless/ Base</w:t>
            </w:r>
            <w:r>
              <w:rPr>
                <w:spacing w:val="-1"/>
                <w:sz w:val="22"/>
              </w:rPr>
              <w:t> </w:t>
            </w:r>
            <w:r>
              <w:rPr>
                <w:spacing w:val="-2"/>
                <w:sz w:val="22"/>
              </w:rPr>
              <w:t>Disabled</w:t>
            </w:r>
          </w:p>
        </w:tc>
        <w:tc>
          <w:tcPr>
            <w:tcW w:w="866" w:type="dxa"/>
          </w:tcPr>
          <w:p>
            <w:pPr>
              <w:pStyle w:val="TableParagraph"/>
              <w:rPr>
                <w:sz w:val="24"/>
              </w:rPr>
            </w:pPr>
          </w:p>
          <w:p>
            <w:pPr>
              <w:pStyle w:val="TableParagraph"/>
              <w:spacing w:before="3"/>
              <w:rPr>
                <w:sz w:val="35"/>
              </w:rPr>
            </w:pPr>
          </w:p>
          <w:p>
            <w:pPr>
              <w:pStyle w:val="TableParagraph"/>
              <w:spacing w:before="1"/>
              <w:ind w:left="282" w:right="274"/>
              <w:jc w:val="center"/>
              <w:rPr>
                <w:sz w:val="22"/>
              </w:rPr>
            </w:pPr>
            <w:r>
              <w:rPr>
                <w:spacing w:val="-5"/>
                <w:sz w:val="22"/>
              </w:rPr>
              <w:t>PC</w:t>
            </w:r>
          </w:p>
        </w:tc>
        <w:tc>
          <w:tcPr>
            <w:tcW w:w="1207" w:type="dxa"/>
          </w:tcPr>
          <w:p>
            <w:pPr>
              <w:pStyle w:val="TableParagraph"/>
              <w:rPr>
                <w:sz w:val="24"/>
              </w:rPr>
            </w:pPr>
          </w:p>
          <w:p>
            <w:pPr>
              <w:pStyle w:val="TableParagraph"/>
              <w:spacing w:before="3"/>
              <w:rPr>
                <w:sz w:val="35"/>
              </w:rPr>
            </w:pPr>
          </w:p>
          <w:p>
            <w:pPr>
              <w:pStyle w:val="TableParagraph"/>
              <w:spacing w:before="1"/>
              <w:ind w:left="378" w:right="367"/>
              <w:jc w:val="center"/>
              <w:rPr>
                <w:sz w:val="22"/>
              </w:rPr>
            </w:pPr>
            <w:r>
              <w:rPr>
                <w:spacing w:val="-4"/>
                <w:sz w:val="22"/>
              </w:rPr>
              <w:t>Both</w:t>
            </w:r>
          </w:p>
        </w:tc>
        <w:tc>
          <w:tcPr>
            <w:tcW w:w="842" w:type="dxa"/>
          </w:tcPr>
          <w:p>
            <w:pPr>
              <w:pStyle w:val="TableParagraph"/>
              <w:rPr>
                <w:sz w:val="24"/>
              </w:rPr>
            </w:pPr>
          </w:p>
          <w:p>
            <w:pPr>
              <w:pStyle w:val="TableParagraph"/>
              <w:spacing w:before="3"/>
              <w:rPr>
                <w:sz w:val="35"/>
              </w:rPr>
            </w:pPr>
          </w:p>
          <w:p>
            <w:pPr>
              <w:pStyle w:val="TableParagraph"/>
              <w:spacing w:before="1"/>
              <w:ind w:left="191" w:right="177"/>
              <w:jc w:val="center"/>
              <w:rPr>
                <w:sz w:val="22"/>
              </w:rPr>
            </w:pPr>
            <w:r>
              <w:rPr>
                <w:spacing w:val="-4"/>
                <w:sz w:val="22"/>
              </w:rPr>
              <w:t>2023</w:t>
            </w:r>
          </w:p>
        </w:tc>
        <w:tc>
          <w:tcPr>
            <w:tcW w:w="1101" w:type="dxa"/>
          </w:tcPr>
          <w:p>
            <w:pPr>
              <w:pStyle w:val="TableParagraph"/>
              <w:rPr>
                <w:sz w:val="24"/>
              </w:rPr>
            </w:pPr>
          </w:p>
          <w:p>
            <w:pPr>
              <w:pStyle w:val="TableParagraph"/>
              <w:spacing w:before="3"/>
              <w:rPr>
                <w:sz w:val="35"/>
              </w:rPr>
            </w:pPr>
          </w:p>
          <w:p>
            <w:pPr>
              <w:pStyle w:val="TableParagraph"/>
              <w:spacing w:before="1"/>
              <w:ind w:right="250"/>
              <w:jc w:val="right"/>
              <w:rPr>
                <w:sz w:val="22"/>
              </w:rPr>
            </w:pPr>
            <w:r>
              <w:rPr>
                <w:spacing w:val="-2"/>
                <w:sz w:val="22"/>
              </w:rPr>
              <w:t>4.80%</w:t>
            </w:r>
          </w:p>
        </w:tc>
        <w:tc>
          <w:tcPr>
            <w:tcW w:w="950" w:type="dxa"/>
          </w:tcPr>
          <w:p>
            <w:pPr>
              <w:pStyle w:val="TableParagraph"/>
              <w:rPr>
                <w:sz w:val="24"/>
              </w:rPr>
            </w:pPr>
          </w:p>
          <w:p>
            <w:pPr>
              <w:pStyle w:val="TableParagraph"/>
              <w:spacing w:before="3"/>
              <w:rPr>
                <w:sz w:val="35"/>
              </w:rPr>
            </w:pPr>
          </w:p>
          <w:p>
            <w:pPr>
              <w:pStyle w:val="TableParagraph"/>
              <w:spacing w:before="1"/>
              <w:ind w:left="11"/>
              <w:jc w:val="center"/>
              <w:rPr>
                <w:sz w:val="22"/>
              </w:rPr>
            </w:pPr>
            <w:r>
              <w:rPr>
                <w:w w:val="100"/>
                <w:sz w:val="22"/>
              </w:rPr>
              <w:t>-</w:t>
            </w:r>
          </w:p>
        </w:tc>
        <w:tc>
          <w:tcPr>
            <w:tcW w:w="1296" w:type="dxa"/>
          </w:tcPr>
          <w:p>
            <w:pPr>
              <w:pStyle w:val="TableParagraph"/>
              <w:rPr>
                <w:sz w:val="24"/>
              </w:rPr>
            </w:pPr>
          </w:p>
          <w:p>
            <w:pPr>
              <w:pStyle w:val="TableParagraph"/>
              <w:spacing w:before="3"/>
              <w:rPr>
                <w:sz w:val="35"/>
              </w:rPr>
            </w:pPr>
          </w:p>
          <w:p>
            <w:pPr>
              <w:pStyle w:val="TableParagraph"/>
              <w:spacing w:before="1"/>
              <w:ind w:left="198" w:right="184"/>
              <w:jc w:val="center"/>
              <w:rPr>
                <w:sz w:val="22"/>
              </w:rPr>
            </w:pPr>
            <w:r>
              <w:rPr>
                <w:spacing w:val="-2"/>
                <w:sz w:val="22"/>
              </w:rPr>
              <w:t>$1,354.45</w:t>
            </w:r>
          </w:p>
        </w:tc>
        <w:tc>
          <w:tcPr>
            <w:tcW w:w="1294" w:type="dxa"/>
          </w:tcPr>
          <w:p>
            <w:pPr>
              <w:pStyle w:val="TableParagraph"/>
              <w:rPr>
                <w:sz w:val="24"/>
              </w:rPr>
            </w:pPr>
          </w:p>
          <w:p>
            <w:pPr>
              <w:pStyle w:val="TableParagraph"/>
              <w:spacing w:before="3"/>
              <w:rPr>
                <w:sz w:val="35"/>
              </w:rPr>
            </w:pPr>
          </w:p>
          <w:p>
            <w:pPr>
              <w:pStyle w:val="TableParagraph"/>
              <w:spacing w:before="1"/>
              <w:ind w:left="195" w:right="183"/>
              <w:jc w:val="center"/>
              <w:rPr>
                <w:sz w:val="22"/>
              </w:rPr>
            </w:pPr>
            <w:r>
              <w:rPr>
                <w:spacing w:val="-2"/>
                <w:sz w:val="22"/>
              </w:rPr>
              <w:t>$1,419.47</w:t>
            </w:r>
          </w:p>
        </w:tc>
        <w:tc>
          <w:tcPr>
            <w:tcW w:w="1296" w:type="dxa"/>
          </w:tcPr>
          <w:p>
            <w:pPr>
              <w:pStyle w:val="TableParagraph"/>
              <w:rPr>
                <w:sz w:val="24"/>
              </w:rPr>
            </w:pPr>
          </w:p>
          <w:p>
            <w:pPr>
              <w:pStyle w:val="TableParagraph"/>
              <w:spacing w:before="3"/>
              <w:rPr>
                <w:sz w:val="35"/>
              </w:rPr>
            </w:pPr>
          </w:p>
          <w:p>
            <w:pPr>
              <w:pStyle w:val="TableParagraph"/>
              <w:spacing w:before="1"/>
              <w:ind w:left="198" w:right="185"/>
              <w:jc w:val="center"/>
              <w:rPr>
                <w:sz w:val="22"/>
              </w:rPr>
            </w:pPr>
            <w:r>
              <w:rPr>
                <w:spacing w:val="-2"/>
                <w:sz w:val="22"/>
              </w:rPr>
              <w:t>$1,487.60</w:t>
            </w:r>
          </w:p>
        </w:tc>
        <w:tc>
          <w:tcPr>
            <w:tcW w:w="1294" w:type="dxa"/>
          </w:tcPr>
          <w:p>
            <w:pPr>
              <w:pStyle w:val="TableParagraph"/>
              <w:rPr>
                <w:sz w:val="24"/>
              </w:rPr>
            </w:pPr>
          </w:p>
          <w:p>
            <w:pPr>
              <w:pStyle w:val="TableParagraph"/>
              <w:spacing w:before="3"/>
              <w:rPr>
                <w:sz w:val="35"/>
              </w:rPr>
            </w:pPr>
          </w:p>
          <w:p>
            <w:pPr>
              <w:pStyle w:val="TableParagraph"/>
              <w:spacing w:before="1"/>
              <w:ind w:left="197" w:right="182"/>
              <w:jc w:val="center"/>
              <w:rPr>
                <w:sz w:val="22"/>
              </w:rPr>
            </w:pPr>
            <w:r>
              <w:rPr>
                <w:spacing w:val="-2"/>
                <w:sz w:val="22"/>
              </w:rPr>
              <w:t>$1,559.01</w:t>
            </w:r>
          </w:p>
        </w:tc>
        <w:tc>
          <w:tcPr>
            <w:tcW w:w="1301" w:type="dxa"/>
          </w:tcPr>
          <w:p>
            <w:pPr>
              <w:pStyle w:val="TableParagraph"/>
              <w:rPr>
                <w:sz w:val="24"/>
              </w:rPr>
            </w:pPr>
          </w:p>
          <w:p>
            <w:pPr>
              <w:pStyle w:val="TableParagraph"/>
              <w:spacing w:before="3"/>
              <w:rPr>
                <w:sz w:val="35"/>
              </w:rPr>
            </w:pPr>
          </w:p>
          <w:p>
            <w:pPr>
              <w:pStyle w:val="TableParagraph"/>
              <w:spacing w:before="1"/>
              <w:ind w:left="93" w:right="81"/>
              <w:jc w:val="center"/>
              <w:rPr>
                <w:sz w:val="22"/>
              </w:rPr>
            </w:pPr>
            <w:r>
              <w:rPr>
                <w:spacing w:val="-2"/>
                <w:sz w:val="22"/>
              </w:rPr>
              <w:t>$1,633.84</w:t>
            </w:r>
          </w:p>
        </w:tc>
      </w:tr>
      <w:tr>
        <w:trPr>
          <w:trHeight w:val="1521" w:hRule="atLeast"/>
        </w:trPr>
        <w:tc>
          <w:tcPr>
            <w:tcW w:w="1502" w:type="dxa"/>
          </w:tcPr>
          <w:p>
            <w:pPr>
              <w:pStyle w:val="TableParagraph"/>
              <w:rPr>
                <w:sz w:val="33"/>
              </w:rPr>
            </w:pPr>
          </w:p>
          <w:p>
            <w:pPr>
              <w:pStyle w:val="TableParagraph"/>
              <w:ind w:left="107" w:right="114"/>
              <w:rPr>
                <w:sz w:val="22"/>
              </w:rPr>
            </w:pPr>
            <w:r>
              <w:rPr>
                <w:sz w:val="22"/>
              </w:rPr>
              <w:t>CE</w:t>
            </w:r>
            <w:r>
              <w:rPr>
                <w:spacing w:val="-14"/>
                <w:sz w:val="22"/>
              </w:rPr>
              <w:t> </w:t>
            </w:r>
            <w:r>
              <w:rPr>
                <w:sz w:val="22"/>
              </w:rPr>
              <w:t>Homeless/ </w:t>
            </w:r>
            <w:r>
              <w:rPr>
                <w:spacing w:val="-2"/>
                <w:sz w:val="22"/>
              </w:rPr>
              <w:t>1902(r)2</w:t>
            </w:r>
          </w:p>
          <w:p>
            <w:pPr>
              <w:pStyle w:val="TableParagraph"/>
              <w:spacing w:line="251" w:lineRule="exact"/>
              <w:ind w:left="107"/>
              <w:rPr>
                <w:sz w:val="22"/>
              </w:rPr>
            </w:pPr>
            <w:r>
              <w:rPr>
                <w:spacing w:val="-2"/>
                <w:sz w:val="22"/>
              </w:rPr>
              <w:t>Children</w:t>
            </w:r>
          </w:p>
        </w:tc>
        <w:tc>
          <w:tcPr>
            <w:tcW w:w="866" w:type="dxa"/>
          </w:tcPr>
          <w:p>
            <w:pPr>
              <w:pStyle w:val="TableParagraph"/>
              <w:rPr>
                <w:sz w:val="24"/>
              </w:rPr>
            </w:pPr>
          </w:p>
          <w:p>
            <w:pPr>
              <w:pStyle w:val="TableParagraph"/>
              <w:spacing w:before="11"/>
              <w:rPr>
                <w:sz w:val="30"/>
              </w:rPr>
            </w:pPr>
          </w:p>
          <w:p>
            <w:pPr>
              <w:pStyle w:val="TableParagraph"/>
              <w:ind w:left="282" w:right="274"/>
              <w:jc w:val="center"/>
              <w:rPr>
                <w:sz w:val="22"/>
              </w:rPr>
            </w:pPr>
            <w:r>
              <w:rPr>
                <w:spacing w:val="-5"/>
                <w:sz w:val="22"/>
              </w:rPr>
              <w:t>PC</w:t>
            </w:r>
          </w:p>
        </w:tc>
        <w:tc>
          <w:tcPr>
            <w:tcW w:w="1207" w:type="dxa"/>
          </w:tcPr>
          <w:p>
            <w:pPr>
              <w:pStyle w:val="TableParagraph"/>
              <w:rPr>
                <w:sz w:val="24"/>
              </w:rPr>
            </w:pPr>
          </w:p>
          <w:p>
            <w:pPr>
              <w:pStyle w:val="TableParagraph"/>
              <w:spacing w:before="11"/>
              <w:rPr>
                <w:sz w:val="30"/>
              </w:rPr>
            </w:pPr>
          </w:p>
          <w:p>
            <w:pPr>
              <w:pStyle w:val="TableParagraph"/>
              <w:ind w:left="378" w:right="367"/>
              <w:jc w:val="center"/>
              <w:rPr>
                <w:sz w:val="22"/>
              </w:rPr>
            </w:pPr>
            <w:r>
              <w:rPr>
                <w:spacing w:val="-4"/>
                <w:sz w:val="22"/>
              </w:rPr>
              <w:t>Both</w:t>
            </w:r>
          </w:p>
        </w:tc>
        <w:tc>
          <w:tcPr>
            <w:tcW w:w="842" w:type="dxa"/>
          </w:tcPr>
          <w:p>
            <w:pPr>
              <w:pStyle w:val="TableParagraph"/>
              <w:rPr>
                <w:sz w:val="24"/>
              </w:rPr>
            </w:pPr>
          </w:p>
          <w:p>
            <w:pPr>
              <w:pStyle w:val="TableParagraph"/>
              <w:spacing w:before="11"/>
              <w:rPr>
                <w:sz w:val="30"/>
              </w:rPr>
            </w:pPr>
          </w:p>
          <w:p>
            <w:pPr>
              <w:pStyle w:val="TableParagraph"/>
              <w:ind w:left="191" w:right="177"/>
              <w:jc w:val="center"/>
              <w:rPr>
                <w:sz w:val="22"/>
              </w:rPr>
            </w:pPr>
            <w:r>
              <w:rPr>
                <w:spacing w:val="-4"/>
                <w:sz w:val="22"/>
              </w:rPr>
              <w:t>2023</w:t>
            </w:r>
          </w:p>
        </w:tc>
        <w:tc>
          <w:tcPr>
            <w:tcW w:w="1101" w:type="dxa"/>
          </w:tcPr>
          <w:p>
            <w:pPr>
              <w:pStyle w:val="TableParagraph"/>
              <w:rPr>
                <w:sz w:val="24"/>
              </w:rPr>
            </w:pPr>
          </w:p>
          <w:p>
            <w:pPr>
              <w:pStyle w:val="TableParagraph"/>
              <w:spacing w:before="11"/>
              <w:rPr>
                <w:sz w:val="30"/>
              </w:rPr>
            </w:pPr>
          </w:p>
          <w:p>
            <w:pPr>
              <w:pStyle w:val="TableParagraph"/>
              <w:ind w:right="250"/>
              <w:jc w:val="right"/>
              <w:rPr>
                <w:sz w:val="22"/>
              </w:rPr>
            </w:pPr>
            <w:r>
              <w:rPr>
                <w:spacing w:val="-2"/>
                <w:sz w:val="22"/>
              </w:rPr>
              <w:t>4.80%</w:t>
            </w:r>
          </w:p>
        </w:tc>
        <w:tc>
          <w:tcPr>
            <w:tcW w:w="950" w:type="dxa"/>
          </w:tcPr>
          <w:p>
            <w:pPr>
              <w:pStyle w:val="TableParagraph"/>
              <w:rPr>
                <w:sz w:val="24"/>
              </w:rPr>
            </w:pPr>
          </w:p>
          <w:p>
            <w:pPr>
              <w:pStyle w:val="TableParagraph"/>
              <w:spacing w:before="11"/>
              <w:rPr>
                <w:sz w:val="30"/>
              </w:rPr>
            </w:pPr>
          </w:p>
          <w:p>
            <w:pPr>
              <w:pStyle w:val="TableParagraph"/>
              <w:ind w:left="11"/>
              <w:jc w:val="center"/>
              <w:rPr>
                <w:sz w:val="22"/>
              </w:rPr>
            </w:pPr>
            <w:r>
              <w:rPr>
                <w:w w:val="100"/>
                <w:sz w:val="22"/>
              </w:rPr>
              <w:t>-</w:t>
            </w:r>
          </w:p>
        </w:tc>
        <w:tc>
          <w:tcPr>
            <w:tcW w:w="1296" w:type="dxa"/>
          </w:tcPr>
          <w:p>
            <w:pPr>
              <w:pStyle w:val="TableParagraph"/>
              <w:rPr>
                <w:sz w:val="24"/>
              </w:rPr>
            </w:pPr>
          </w:p>
          <w:p>
            <w:pPr>
              <w:pStyle w:val="TableParagraph"/>
              <w:spacing w:before="11"/>
              <w:rPr>
                <w:sz w:val="30"/>
              </w:rPr>
            </w:pPr>
          </w:p>
          <w:p>
            <w:pPr>
              <w:pStyle w:val="TableParagraph"/>
              <w:ind w:left="198" w:right="181"/>
              <w:jc w:val="center"/>
              <w:rPr>
                <w:sz w:val="22"/>
              </w:rPr>
            </w:pPr>
            <w:r>
              <w:rPr>
                <w:spacing w:val="-2"/>
                <w:sz w:val="22"/>
              </w:rPr>
              <w:t>$474.68</w:t>
            </w:r>
          </w:p>
        </w:tc>
        <w:tc>
          <w:tcPr>
            <w:tcW w:w="1294" w:type="dxa"/>
          </w:tcPr>
          <w:p>
            <w:pPr>
              <w:pStyle w:val="TableParagraph"/>
              <w:rPr>
                <w:sz w:val="24"/>
              </w:rPr>
            </w:pPr>
          </w:p>
          <w:p>
            <w:pPr>
              <w:pStyle w:val="TableParagraph"/>
              <w:spacing w:before="11"/>
              <w:rPr>
                <w:sz w:val="30"/>
              </w:rPr>
            </w:pPr>
          </w:p>
          <w:p>
            <w:pPr>
              <w:pStyle w:val="TableParagraph"/>
              <w:ind w:left="197" w:right="183"/>
              <w:jc w:val="center"/>
              <w:rPr>
                <w:sz w:val="22"/>
              </w:rPr>
            </w:pPr>
            <w:r>
              <w:rPr>
                <w:spacing w:val="-2"/>
                <w:sz w:val="22"/>
              </w:rPr>
              <w:t>$497.46</w:t>
            </w:r>
          </w:p>
        </w:tc>
        <w:tc>
          <w:tcPr>
            <w:tcW w:w="1296" w:type="dxa"/>
          </w:tcPr>
          <w:p>
            <w:pPr>
              <w:pStyle w:val="TableParagraph"/>
              <w:rPr>
                <w:sz w:val="24"/>
              </w:rPr>
            </w:pPr>
          </w:p>
          <w:p>
            <w:pPr>
              <w:pStyle w:val="TableParagraph"/>
              <w:spacing w:before="11"/>
              <w:rPr>
                <w:sz w:val="30"/>
              </w:rPr>
            </w:pPr>
          </w:p>
          <w:p>
            <w:pPr>
              <w:pStyle w:val="TableParagraph"/>
              <w:ind w:left="198" w:right="182"/>
              <w:jc w:val="center"/>
              <w:rPr>
                <w:sz w:val="22"/>
              </w:rPr>
            </w:pPr>
            <w:r>
              <w:rPr>
                <w:spacing w:val="-2"/>
                <w:sz w:val="22"/>
              </w:rPr>
              <w:t>$521.34</w:t>
            </w:r>
          </w:p>
        </w:tc>
        <w:tc>
          <w:tcPr>
            <w:tcW w:w="1294" w:type="dxa"/>
          </w:tcPr>
          <w:p>
            <w:pPr>
              <w:pStyle w:val="TableParagraph"/>
              <w:rPr>
                <w:sz w:val="24"/>
              </w:rPr>
            </w:pPr>
          </w:p>
          <w:p>
            <w:pPr>
              <w:pStyle w:val="TableParagraph"/>
              <w:spacing w:before="11"/>
              <w:rPr>
                <w:sz w:val="30"/>
              </w:rPr>
            </w:pPr>
          </w:p>
          <w:p>
            <w:pPr>
              <w:pStyle w:val="TableParagraph"/>
              <w:ind w:left="197" w:right="180"/>
              <w:jc w:val="center"/>
              <w:rPr>
                <w:sz w:val="22"/>
              </w:rPr>
            </w:pPr>
            <w:r>
              <w:rPr>
                <w:spacing w:val="-2"/>
                <w:sz w:val="22"/>
              </w:rPr>
              <w:t>$546.36</w:t>
            </w:r>
          </w:p>
        </w:tc>
        <w:tc>
          <w:tcPr>
            <w:tcW w:w="1301" w:type="dxa"/>
          </w:tcPr>
          <w:p>
            <w:pPr>
              <w:pStyle w:val="TableParagraph"/>
              <w:rPr>
                <w:sz w:val="24"/>
              </w:rPr>
            </w:pPr>
          </w:p>
          <w:p>
            <w:pPr>
              <w:pStyle w:val="TableParagraph"/>
              <w:spacing w:before="11"/>
              <w:rPr>
                <w:sz w:val="30"/>
              </w:rPr>
            </w:pPr>
          </w:p>
          <w:p>
            <w:pPr>
              <w:pStyle w:val="TableParagraph"/>
              <w:ind w:left="93" w:right="79"/>
              <w:jc w:val="center"/>
              <w:rPr>
                <w:sz w:val="22"/>
              </w:rPr>
            </w:pPr>
            <w:r>
              <w:rPr>
                <w:spacing w:val="-2"/>
                <w:sz w:val="22"/>
              </w:rPr>
              <w:t>$572.59</w:t>
            </w:r>
          </w:p>
        </w:tc>
      </w:tr>
      <w:tr>
        <w:trPr>
          <w:trHeight w:val="1701" w:hRule="atLeast"/>
        </w:trPr>
        <w:tc>
          <w:tcPr>
            <w:tcW w:w="1502" w:type="dxa"/>
          </w:tcPr>
          <w:p>
            <w:pPr>
              <w:pStyle w:val="TableParagraph"/>
              <w:rPr>
                <w:sz w:val="24"/>
              </w:rPr>
            </w:pPr>
          </w:p>
          <w:p>
            <w:pPr>
              <w:pStyle w:val="TableParagraph"/>
              <w:spacing w:before="193"/>
              <w:ind w:left="107" w:right="114"/>
              <w:rPr>
                <w:sz w:val="22"/>
              </w:rPr>
            </w:pPr>
            <w:r>
              <w:rPr>
                <w:sz w:val="22"/>
              </w:rPr>
              <w:t>CE</w:t>
            </w:r>
            <w:r>
              <w:rPr>
                <w:spacing w:val="-14"/>
                <w:sz w:val="22"/>
              </w:rPr>
              <w:t> </w:t>
            </w:r>
            <w:r>
              <w:rPr>
                <w:sz w:val="22"/>
              </w:rPr>
              <w:t>Homeless/ </w:t>
            </w:r>
            <w:r>
              <w:rPr>
                <w:spacing w:val="-2"/>
                <w:sz w:val="22"/>
              </w:rPr>
              <w:t>1902(r)2</w:t>
            </w:r>
          </w:p>
          <w:p>
            <w:pPr>
              <w:pStyle w:val="TableParagraph"/>
              <w:ind w:left="107"/>
              <w:rPr>
                <w:sz w:val="22"/>
              </w:rPr>
            </w:pPr>
            <w:r>
              <w:rPr>
                <w:spacing w:val="-2"/>
                <w:sz w:val="22"/>
              </w:rPr>
              <w:t>Disabled</w:t>
            </w:r>
          </w:p>
        </w:tc>
        <w:tc>
          <w:tcPr>
            <w:tcW w:w="866" w:type="dxa"/>
          </w:tcPr>
          <w:p>
            <w:pPr>
              <w:pStyle w:val="TableParagraph"/>
              <w:rPr>
                <w:sz w:val="24"/>
              </w:rPr>
            </w:pPr>
          </w:p>
          <w:p>
            <w:pPr>
              <w:pStyle w:val="TableParagraph"/>
              <w:rPr>
                <w:sz w:val="24"/>
              </w:rPr>
            </w:pPr>
          </w:p>
          <w:p>
            <w:pPr>
              <w:pStyle w:val="TableParagraph"/>
              <w:spacing w:before="171"/>
              <w:ind w:left="282" w:right="274"/>
              <w:jc w:val="center"/>
              <w:rPr>
                <w:sz w:val="22"/>
              </w:rPr>
            </w:pPr>
            <w:r>
              <w:rPr>
                <w:spacing w:val="-5"/>
                <w:sz w:val="22"/>
              </w:rPr>
              <w:t>PC</w:t>
            </w:r>
          </w:p>
        </w:tc>
        <w:tc>
          <w:tcPr>
            <w:tcW w:w="1207" w:type="dxa"/>
          </w:tcPr>
          <w:p>
            <w:pPr>
              <w:pStyle w:val="TableParagraph"/>
              <w:rPr>
                <w:sz w:val="24"/>
              </w:rPr>
            </w:pPr>
          </w:p>
          <w:p>
            <w:pPr>
              <w:pStyle w:val="TableParagraph"/>
              <w:rPr>
                <w:sz w:val="24"/>
              </w:rPr>
            </w:pPr>
          </w:p>
          <w:p>
            <w:pPr>
              <w:pStyle w:val="TableParagraph"/>
              <w:spacing w:before="171"/>
              <w:ind w:left="378" w:right="367"/>
              <w:jc w:val="center"/>
              <w:rPr>
                <w:sz w:val="22"/>
              </w:rPr>
            </w:pPr>
            <w:r>
              <w:rPr>
                <w:spacing w:val="-4"/>
                <w:sz w:val="22"/>
              </w:rPr>
              <w:t>Both</w:t>
            </w:r>
          </w:p>
        </w:tc>
        <w:tc>
          <w:tcPr>
            <w:tcW w:w="842" w:type="dxa"/>
          </w:tcPr>
          <w:p>
            <w:pPr>
              <w:pStyle w:val="TableParagraph"/>
              <w:rPr>
                <w:sz w:val="24"/>
              </w:rPr>
            </w:pPr>
          </w:p>
          <w:p>
            <w:pPr>
              <w:pStyle w:val="TableParagraph"/>
              <w:rPr>
                <w:sz w:val="24"/>
              </w:rPr>
            </w:pPr>
          </w:p>
          <w:p>
            <w:pPr>
              <w:pStyle w:val="TableParagraph"/>
              <w:spacing w:before="171"/>
              <w:ind w:left="191" w:right="177"/>
              <w:jc w:val="center"/>
              <w:rPr>
                <w:sz w:val="22"/>
              </w:rPr>
            </w:pPr>
            <w:r>
              <w:rPr>
                <w:spacing w:val="-4"/>
                <w:sz w:val="22"/>
              </w:rPr>
              <w:t>2023</w:t>
            </w:r>
          </w:p>
        </w:tc>
        <w:tc>
          <w:tcPr>
            <w:tcW w:w="1101" w:type="dxa"/>
          </w:tcPr>
          <w:p>
            <w:pPr>
              <w:pStyle w:val="TableParagraph"/>
              <w:rPr>
                <w:sz w:val="24"/>
              </w:rPr>
            </w:pPr>
          </w:p>
          <w:p>
            <w:pPr>
              <w:pStyle w:val="TableParagraph"/>
              <w:rPr>
                <w:sz w:val="24"/>
              </w:rPr>
            </w:pPr>
          </w:p>
          <w:p>
            <w:pPr>
              <w:pStyle w:val="TableParagraph"/>
              <w:spacing w:before="171"/>
              <w:ind w:right="250"/>
              <w:jc w:val="right"/>
              <w:rPr>
                <w:sz w:val="22"/>
              </w:rPr>
            </w:pPr>
            <w:r>
              <w:rPr>
                <w:spacing w:val="-2"/>
                <w:sz w:val="22"/>
              </w:rPr>
              <w:t>4.80%</w:t>
            </w:r>
          </w:p>
        </w:tc>
        <w:tc>
          <w:tcPr>
            <w:tcW w:w="950" w:type="dxa"/>
          </w:tcPr>
          <w:p>
            <w:pPr>
              <w:pStyle w:val="TableParagraph"/>
              <w:rPr>
                <w:sz w:val="24"/>
              </w:rPr>
            </w:pPr>
          </w:p>
          <w:p>
            <w:pPr>
              <w:pStyle w:val="TableParagraph"/>
              <w:rPr>
                <w:sz w:val="24"/>
              </w:rPr>
            </w:pPr>
          </w:p>
          <w:p>
            <w:pPr>
              <w:pStyle w:val="TableParagraph"/>
              <w:spacing w:before="171"/>
              <w:ind w:left="11"/>
              <w:jc w:val="center"/>
              <w:rPr>
                <w:sz w:val="22"/>
              </w:rPr>
            </w:pPr>
            <w:r>
              <w:rPr>
                <w:w w:val="100"/>
                <w:sz w:val="22"/>
              </w:rPr>
              <w:t>-</w:t>
            </w:r>
          </w:p>
        </w:tc>
        <w:tc>
          <w:tcPr>
            <w:tcW w:w="1296" w:type="dxa"/>
          </w:tcPr>
          <w:p>
            <w:pPr>
              <w:pStyle w:val="TableParagraph"/>
              <w:rPr>
                <w:sz w:val="24"/>
              </w:rPr>
            </w:pPr>
          </w:p>
          <w:p>
            <w:pPr>
              <w:pStyle w:val="TableParagraph"/>
              <w:rPr>
                <w:sz w:val="24"/>
              </w:rPr>
            </w:pPr>
          </w:p>
          <w:p>
            <w:pPr>
              <w:pStyle w:val="TableParagraph"/>
              <w:spacing w:before="171"/>
              <w:ind w:left="198" w:right="181"/>
              <w:jc w:val="center"/>
              <w:rPr>
                <w:sz w:val="22"/>
              </w:rPr>
            </w:pPr>
            <w:r>
              <w:rPr>
                <w:spacing w:val="-2"/>
                <w:sz w:val="22"/>
              </w:rPr>
              <w:t>$604.16</w:t>
            </w:r>
          </w:p>
        </w:tc>
        <w:tc>
          <w:tcPr>
            <w:tcW w:w="1294" w:type="dxa"/>
          </w:tcPr>
          <w:p>
            <w:pPr>
              <w:pStyle w:val="TableParagraph"/>
              <w:rPr>
                <w:sz w:val="24"/>
              </w:rPr>
            </w:pPr>
          </w:p>
          <w:p>
            <w:pPr>
              <w:pStyle w:val="TableParagraph"/>
              <w:rPr>
                <w:sz w:val="24"/>
              </w:rPr>
            </w:pPr>
          </w:p>
          <w:p>
            <w:pPr>
              <w:pStyle w:val="TableParagraph"/>
              <w:spacing w:before="171"/>
              <w:ind w:left="197" w:right="183"/>
              <w:jc w:val="center"/>
              <w:rPr>
                <w:sz w:val="22"/>
              </w:rPr>
            </w:pPr>
            <w:r>
              <w:rPr>
                <w:spacing w:val="-2"/>
                <w:sz w:val="22"/>
              </w:rPr>
              <w:t>$633.16</w:t>
            </w:r>
          </w:p>
        </w:tc>
        <w:tc>
          <w:tcPr>
            <w:tcW w:w="1296" w:type="dxa"/>
          </w:tcPr>
          <w:p>
            <w:pPr>
              <w:pStyle w:val="TableParagraph"/>
              <w:rPr>
                <w:sz w:val="24"/>
              </w:rPr>
            </w:pPr>
          </w:p>
          <w:p>
            <w:pPr>
              <w:pStyle w:val="TableParagraph"/>
              <w:rPr>
                <w:sz w:val="24"/>
              </w:rPr>
            </w:pPr>
          </w:p>
          <w:p>
            <w:pPr>
              <w:pStyle w:val="TableParagraph"/>
              <w:spacing w:before="171"/>
              <w:ind w:left="198" w:right="182"/>
              <w:jc w:val="center"/>
              <w:rPr>
                <w:sz w:val="22"/>
              </w:rPr>
            </w:pPr>
            <w:r>
              <w:rPr>
                <w:spacing w:val="-2"/>
                <w:sz w:val="22"/>
              </w:rPr>
              <w:t>$663.55</w:t>
            </w:r>
          </w:p>
        </w:tc>
        <w:tc>
          <w:tcPr>
            <w:tcW w:w="1294" w:type="dxa"/>
          </w:tcPr>
          <w:p>
            <w:pPr>
              <w:pStyle w:val="TableParagraph"/>
              <w:rPr>
                <w:sz w:val="24"/>
              </w:rPr>
            </w:pPr>
          </w:p>
          <w:p>
            <w:pPr>
              <w:pStyle w:val="TableParagraph"/>
              <w:rPr>
                <w:sz w:val="24"/>
              </w:rPr>
            </w:pPr>
          </w:p>
          <w:p>
            <w:pPr>
              <w:pStyle w:val="TableParagraph"/>
              <w:spacing w:before="171"/>
              <w:ind w:left="197" w:right="180"/>
              <w:jc w:val="center"/>
              <w:rPr>
                <w:sz w:val="22"/>
              </w:rPr>
            </w:pPr>
            <w:r>
              <w:rPr>
                <w:spacing w:val="-2"/>
                <w:sz w:val="22"/>
              </w:rPr>
              <w:t>$695.40</w:t>
            </w:r>
          </w:p>
        </w:tc>
        <w:tc>
          <w:tcPr>
            <w:tcW w:w="1301" w:type="dxa"/>
          </w:tcPr>
          <w:p>
            <w:pPr>
              <w:pStyle w:val="TableParagraph"/>
              <w:rPr>
                <w:sz w:val="24"/>
              </w:rPr>
            </w:pPr>
          </w:p>
          <w:p>
            <w:pPr>
              <w:pStyle w:val="TableParagraph"/>
              <w:rPr>
                <w:sz w:val="24"/>
              </w:rPr>
            </w:pPr>
          </w:p>
          <w:p>
            <w:pPr>
              <w:pStyle w:val="TableParagraph"/>
              <w:spacing w:before="171"/>
              <w:ind w:left="93" w:right="79"/>
              <w:jc w:val="center"/>
              <w:rPr>
                <w:sz w:val="22"/>
              </w:rPr>
            </w:pPr>
            <w:r>
              <w:rPr>
                <w:spacing w:val="-2"/>
                <w:sz w:val="22"/>
              </w:rPr>
              <w:t>$728.78</w:t>
            </w:r>
          </w:p>
        </w:tc>
      </w:tr>
      <w:tr>
        <w:trPr>
          <w:trHeight w:val="2051" w:hRule="atLeast"/>
        </w:trPr>
        <w:tc>
          <w:tcPr>
            <w:tcW w:w="1502" w:type="dxa"/>
          </w:tcPr>
          <w:p>
            <w:pPr>
              <w:pStyle w:val="TableParagraph"/>
              <w:rPr>
                <w:sz w:val="24"/>
              </w:rPr>
            </w:pPr>
          </w:p>
          <w:p>
            <w:pPr>
              <w:pStyle w:val="TableParagraph"/>
              <w:rPr>
                <w:sz w:val="32"/>
              </w:rPr>
            </w:pPr>
          </w:p>
          <w:p>
            <w:pPr>
              <w:pStyle w:val="TableParagraph"/>
              <w:ind w:left="107" w:right="114"/>
              <w:rPr>
                <w:sz w:val="22"/>
              </w:rPr>
            </w:pPr>
            <w:r>
              <w:rPr>
                <w:sz w:val="22"/>
              </w:rPr>
              <w:t>CE</w:t>
            </w:r>
            <w:r>
              <w:rPr>
                <w:spacing w:val="-14"/>
                <w:sz w:val="22"/>
              </w:rPr>
              <w:t> </w:t>
            </w:r>
            <w:r>
              <w:rPr>
                <w:sz w:val="22"/>
              </w:rPr>
              <w:t>Homeless/ </w:t>
            </w:r>
            <w:r>
              <w:rPr>
                <w:spacing w:val="-2"/>
                <w:sz w:val="22"/>
              </w:rPr>
              <w:t>1902(r)2 BCCDP</w:t>
            </w:r>
          </w:p>
        </w:tc>
        <w:tc>
          <w:tcPr>
            <w:tcW w:w="866" w:type="dxa"/>
          </w:tcPr>
          <w:p>
            <w:pPr>
              <w:pStyle w:val="TableParagraph"/>
              <w:rPr>
                <w:sz w:val="24"/>
              </w:rPr>
            </w:pPr>
          </w:p>
          <w:p>
            <w:pPr>
              <w:pStyle w:val="TableParagraph"/>
              <w:rPr>
                <w:sz w:val="24"/>
              </w:rPr>
            </w:pPr>
          </w:p>
          <w:p>
            <w:pPr>
              <w:pStyle w:val="TableParagraph"/>
              <w:spacing w:before="1"/>
              <w:rPr>
                <w:sz w:val="30"/>
              </w:rPr>
            </w:pPr>
          </w:p>
          <w:p>
            <w:pPr>
              <w:pStyle w:val="TableParagraph"/>
              <w:ind w:left="282" w:right="274"/>
              <w:jc w:val="center"/>
              <w:rPr>
                <w:sz w:val="22"/>
              </w:rPr>
            </w:pPr>
            <w:r>
              <w:rPr>
                <w:spacing w:val="-5"/>
                <w:sz w:val="22"/>
              </w:rPr>
              <w:t>PC</w:t>
            </w:r>
          </w:p>
        </w:tc>
        <w:tc>
          <w:tcPr>
            <w:tcW w:w="1207" w:type="dxa"/>
          </w:tcPr>
          <w:p>
            <w:pPr>
              <w:pStyle w:val="TableParagraph"/>
              <w:rPr>
                <w:sz w:val="24"/>
              </w:rPr>
            </w:pPr>
          </w:p>
          <w:p>
            <w:pPr>
              <w:pStyle w:val="TableParagraph"/>
              <w:rPr>
                <w:sz w:val="24"/>
              </w:rPr>
            </w:pPr>
          </w:p>
          <w:p>
            <w:pPr>
              <w:pStyle w:val="TableParagraph"/>
              <w:spacing w:before="1"/>
              <w:rPr>
                <w:sz w:val="30"/>
              </w:rPr>
            </w:pPr>
          </w:p>
          <w:p>
            <w:pPr>
              <w:pStyle w:val="TableParagraph"/>
              <w:ind w:left="378" w:right="367"/>
              <w:jc w:val="center"/>
              <w:rPr>
                <w:sz w:val="22"/>
              </w:rPr>
            </w:pPr>
            <w:r>
              <w:rPr>
                <w:spacing w:val="-4"/>
                <w:sz w:val="22"/>
              </w:rPr>
              <w:t>Both</w:t>
            </w:r>
          </w:p>
        </w:tc>
        <w:tc>
          <w:tcPr>
            <w:tcW w:w="842" w:type="dxa"/>
          </w:tcPr>
          <w:p>
            <w:pPr>
              <w:pStyle w:val="TableParagraph"/>
              <w:rPr>
                <w:sz w:val="24"/>
              </w:rPr>
            </w:pPr>
          </w:p>
          <w:p>
            <w:pPr>
              <w:pStyle w:val="TableParagraph"/>
              <w:rPr>
                <w:sz w:val="24"/>
              </w:rPr>
            </w:pPr>
          </w:p>
          <w:p>
            <w:pPr>
              <w:pStyle w:val="TableParagraph"/>
              <w:spacing w:before="1"/>
              <w:rPr>
                <w:sz w:val="30"/>
              </w:rPr>
            </w:pPr>
          </w:p>
          <w:p>
            <w:pPr>
              <w:pStyle w:val="TableParagraph"/>
              <w:ind w:left="191" w:right="177"/>
              <w:jc w:val="center"/>
              <w:rPr>
                <w:sz w:val="22"/>
              </w:rPr>
            </w:pPr>
            <w:r>
              <w:rPr>
                <w:spacing w:val="-4"/>
                <w:sz w:val="22"/>
              </w:rPr>
              <w:t>2023</w:t>
            </w:r>
          </w:p>
        </w:tc>
        <w:tc>
          <w:tcPr>
            <w:tcW w:w="1101" w:type="dxa"/>
          </w:tcPr>
          <w:p>
            <w:pPr>
              <w:pStyle w:val="TableParagraph"/>
              <w:rPr>
                <w:sz w:val="24"/>
              </w:rPr>
            </w:pPr>
          </w:p>
          <w:p>
            <w:pPr>
              <w:pStyle w:val="TableParagraph"/>
              <w:rPr>
                <w:sz w:val="24"/>
              </w:rPr>
            </w:pPr>
          </w:p>
          <w:p>
            <w:pPr>
              <w:pStyle w:val="TableParagraph"/>
              <w:spacing w:before="1"/>
              <w:rPr>
                <w:sz w:val="30"/>
              </w:rPr>
            </w:pPr>
          </w:p>
          <w:p>
            <w:pPr>
              <w:pStyle w:val="TableParagraph"/>
              <w:ind w:right="250"/>
              <w:jc w:val="right"/>
              <w:rPr>
                <w:sz w:val="22"/>
              </w:rPr>
            </w:pPr>
            <w:r>
              <w:rPr>
                <w:spacing w:val="-2"/>
                <w:sz w:val="22"/>
              </w:rPr>
              <w:t>5.50%</w:t>
            </w:r>
          </w:p>
        </w:tc>
        <w:tc>
          <w:tcPr>
            <w:tcW w:w="950" w:type="dxa"/>
          </w:tcPr>
          <w:p>
            <w:pPr>
              <w:pStyle w:val="TableParagraph"/>
              <w:rPr>
                <w:sz w:val="24"/>
              </w:rPr>
            </w:pPr>
          </w:p>
          <w:p>
            <w:pPr>
              <w:pStyle w:val="TableParagraph"/>
              <w:rPr>
                <w:sz w:val="24"/>
              </w:rPr>
            </w:pPr>
          </w:p>
          <w:p>
            <w:pPr>
              <w:pStyle w:val="TableParagraph"/>
              <w:spacing w:before="1"/>
              <w:rPr>
                <w:sz w:val="30"/>
              </w:rPr>
            </w:pPr>
          </w:p>
          <w:p>
            <w:pPr>
              <w:pStyle w:val="TableParagraph"/>
              <w:ind w:left="11"/>
              <w:jc w:val="center"/>
              <w:rPr>
                <w:sz w:val="22"/>
              </w:rPr>
            </w:pPr>
            <w:r>
              <w:rPr>
                <w:w w:val="100"/>
                <w:sz w:val="22"/>
              </w:rPr>
              <w:t>-</w:t>
            </w:r>
          </w:p>
        </w:tc>
        <w:tc>
          <w:tcPr>
            <w:tcW w:w="1296" w:type="dxa"/>
          </w:tcPr>
          <w:p>
            <w:pPr>
              <w:pStyle w:val="TableParagraph"/>
              <w:rPr>
                <w:sz w:val="24"/>
              </w:rPr>
            </w:pPr>
          </w:p>
          <w:p>
            <w:pPr>
              <w:pStyle w:val="TableParagraph"/>
              <w:rPr>
                <w:sz w:val="24"/>
              </w:rPr>
            </w:pPr>
          </w:p>
          <w:p>
            <w:pPr>
              <w:pStyle w:val="TableParagraph"/>
              <w:spacing w:before="1"/>
              <w:rPr>
                <w:sz w:val="30"/>
              </w:rPr>
            </w:pPr>
          </w:p>
          <w:p>
            <w:pPr>
              <w:pStyle w:val="TableParagraph"/>
              <w:ind w:left="198" w:right="184"/>
              <w:jc w:val="center"/>
              <w:rPr>
                <w:sz w:val="22"/>
              </w:rPr>
            </w:pPr>
            <w:r>
              <w:rPr>
                <w:spacing w:val="-2"/>
                <w:sz w:val="22"/>
              </w:rPr>
              <w:t>$2,197.58</w:t>
            </w:r>
          </w:p>
        </w:tc>
        <w:tc>
          <w:tcPr>
            <w:tcW w:w="1294" w:type="dxa"/>
          </w:tcPr>
          <w:p>
            <w:pPr>
              <w:pStyle w:val="TableParagraph"/>
              <w:rPr>
                <w:sz w:val="24"/>
              </w:rPr>
            </w:pPr>
          </w:p>
          <w:p>
            <w:pPr>
              <w:pStyle w:val="TableParagraph"/>
              <w:rPr>
                <w:sz w:val="24"/>
              </w:rPr>
            </w:pPr>
          </w:p>
          <w:p>
            <w:pPr>
              <w:pStyle w:val="TableParagraph"/>
              <w:spacing w:before="1"/>
              <w:rPr>
                <w:sz w:val="30"/>
              </w:rPr>
            </w:pPr>
          </w:p>
          <w:p>
            <w:pPr>
              <w:pStyle w:val="TableParagraph"/>
              <w:ind w:left="195" w:right="183"/>
              <w:jc w:val="center"/>
              <w:rPr>
                <w:sz w:val="22"/>
              </w:rPr>
            </w:pPr>
            <w:r>
              <w:rPr>
                <w:spacing w:val="-2"/>
                <w:sz w:val="22"/>
              </w:rPr>
              <w:t>$2,318.45</w:t>
            </w:r>
          </w:p>
        </w:tc>
        <w:tc>
          <w:tcPr>
            <w:tcW w:w="1296" w:type="dxa"/>
          </w:tcPr>
          <w:p>
            <w:pPr>
              <w:pStyle w:val="TableParagraph"/>
              <w:rPr>
                <w:sz w:val="24"/>
              </w:rPr>
            </w:pPr>
          </w:p>
          <w:p>
            <w:pPr>
              <w:pStyle w:val="TableParagraph"/>
              <w:rPr>
                <w:sz w:val="24"/>
              </w:rPr>
            </w:pPr>
          </w:p>
          <w:p>
            <w:pPr>
              <w:pStyle w:val="TableParagraph"/>
              <w:spacing w:before="1"/>
              <w:rPr>
                <w:sz w:val="30"/>
              </w:rPr>
            </w:pPr>
          </w:p>
          <w:p>
            <w:pPr>
              <w:pStyle w:val="TableParagraph"/>
              <w:ind w:left="198" w:right="185"/>
              <w:jc w:val="center"/>
              <w:rPr>
                <w:sz w:val="22"/>
              </w:rPr>
            </w:pPr>
            <w:r>
              <w:rPr>
                <w:spacing w:val="-2"/>
                <w:sz w:val="22"/>
              </w:rPr>
              <w:t>$2,445.96</w:t>
            </w:r>
          </w:p>
        </w:tc>
        <w:tc>
          <w:tcPr>
            <w:tcW w:w="1294" w:type="dxa"/>
          </w:tcPr>
          <w:p>
            <w:pPr>
              <w:pStyle w:val="TableParagraph"/>
              <w:rPr>
                <w:sz w:val="24"/>
              </w:rPr>
            </w:pPr>
          </w:p>
          <w:p>
            <w:pPr>
              <w:pStyle w:val="TableParagraph"/>
              <w:rPr>
                <w:sz w:val="24"/>
              </w:rPr>
            </w:pPr>
          </w:p>
          <w:p>
            <w:pPr>
              <w:pStyle w:val="TableParagraph"/>
              <w:spacing w:before="1"/>
              <w:rPr>
                <w:sz w:val="30"/>
              </w:rPr>
            </w:pPr>
          </w:p>
          <w:p>
            <w:pPr>
              <w:pStyle w:val="TableParagraph"/>
              <w:ind w:left="197" w:right="182"/>
              <w:jc w:val="center"/>
              <w:rPr>
                <w:sz w:val="22"/>
              </w:rPr>
            </w:pPr>
            <w:r>
              <w:rPr>
                <w:spacing w:val="-2"/>
                <w:sz w:val="22"/>
              </w:rPr>
              <w:t>$2,580.49</w:t>
            </w:r>
          </w:p>
        </w:tc>
        <w:tc>
          <w:tcPr>
            <w:tcW w:w="1301" w:type="dxa"/>
          </w:tcPr>
          <w:p>
            <w:pPr>
              <w:pStyle w:val="TableParagraph"/>
              <w:rPr>
                <w:sz w:val="24"/>
              </w:rPr>
            </w:pPr>
          </w:p>
          <w:p>
            <w:pPr>
              <w:pStyle w:val="TableParagraph"/>
              <w:rPr>
                <w:sz w:val="24"/>
              </w:rPr>
            </w:pPr>
          </w:p>
          <w:p>
            <w:pPr>
              <w:pStyle w:val="TableParagraph"/>
              <w:spacing w:before="1"/>
              <w:rPr>
                <w:sz w:val="30"/>
              </w:rPr>
            </w:pPr>
          </w:p>
          <w:p>
            <w:pPr>
              <w:pStyle w:val="TableParagraph"/>
              <w:ind w:left="93" w:right="81"/>
              <w:jc w:val="center"/>
              <w:rPr>
                <w:sz w:val="22"/>
              </w:rPr>
            </w:pPr>
            <w:r>
              <w:rPr>
                <w:spacing w:val="-2"/>
                <w:sz w:val="22"/>
              </w:rPr>
              <w:t>$2,722.42</w:t>
            </w:r>
          </w:p>
        </w:tc>
      </w:tr>
    </w:tbl>
    <w:p>
      <w:pPr>
        <w:spacing w:after="0"/>
        <w:jc w:val="center"/>
        <w:rPr>
          <w:sz w:val="22"/>
        </w:rPr>
        <w:sectPr>
          <w:pgSz w:w="15840" w:h="12240" w:orient="landscape"/>
          <w:pgMar w:header="0" w:footer="1201" w:top="1380" w:bottom="1400" w:left="1200" w:right="1340"/>
        </w:sectPr>
      </w:pPr>
    </w:p>
    <w:p>
      <w:pPr>
        <w:pStyle w:val="BodyText"/>
        <w:rPr>
          <w:sz w:val="20"/>
        </w:rPr>
      </w:pPr>
    </w:p>
    <w:p>
      <w:pPr>
        <w:pStyle w:val="BodyText"/>
        <w:spacing w:before="2"/>
        <w:rPr>
          <w:sz w:val="22"/>
        </w:rPr>
      </w:pPr>
    </w:p>
    <w:p>
      <w:pPr>
        <w:pStyle w:val="BodyText"/>
        <w:spacing w:before="90"/>
        <w:ind w:left="871" w:right="105"/>
      </w:pPr>
      <w:r>
        <w:rPr/>
        <w:drawing>
          <wp:anchor distT="0" distB="0" distL="0" distR="0" allowOverlap="1" layoutInCell="1" locked="0" behindDoc="0" simplePos="0" relativeHeight="16115200">
            <wp:simplePos x="0" y="0"/>
            <wp:positionH relativeFrom="page">
              <wp:posOffset>832103</wp:posOffset>
            </wp:positionH>
            <wp:positionV relativeFrom="paragraph">
              <wp:posOffset>92749</wp:posOffset>
            </wp:positionV>
            <wp:extent cx="359663" cy="112775"/>
            <wp:effectExtent l="0" t="0" r="0" b="0"/>
            <wp:wrapNone/>
            <wp:docPr id="781" name="Image 781"/>
            <wp:cNvGraphicFramePr>
              <a:graphicFrameLocks/>
            </wp:cNvGraphicFramePr>
            <a:graphic>
              <a:graphicData uri="http://schemas.openxmlformats.org/drawingml/2006/picture">
                <pic:pic>
                  <pic:nvPicPr>
                    <pic:cNvPr id="781" name="Image 781"/>
                    <pic:cNvPicPr/>
                  </pic:nvPicPr>
                  <pic:blipFill>
                    <a:blip r:embed="rId308" cstate="print"/>
                    <a:stretch>
                      <a:fillRect/>
                    </a:stretch>
                  </pic:blipFill>
                  <pic:spPr>
                    <a:xfrm>
                      <a:off x="0" y="0"/>
                      <a:ext cx="359663" cy="112775"/>
                    </a:xfrm>
                    <a:prstGeom prst="rect">
                      <a:avLst/>
                    </a:prstGeom>
                  </pic:spPr>
                </pic:pic>
              </a:graphicData>
            </a:graphic>
          </wp:anchor>
        </w:drawing>
      </w:r>
      <w:bookmarkStart w:name="19.13. Capped Hypothetical Budget Neutra" w:id="1083"/>
      <w:bookmarkEnd w:id="1083"/>
      <w:r>
        <w:rPr/>
      </w:r>
      <w:r>
        <w:rPr>
          <w:b/>
        </w:rPr>
        <w:t>Capped</w:t>
      </w:r>
      <w:r>
        <w:rPr>
          <w:b/>
          <w:spacing w:val="-1"/>
        </w:rPr>
        <w:t> </w:t>
      </w:r>
      <w:r>
        <w:rPr>
          <w:b/>
        </w:rPr>
        <w:t>Hypothetical</w:t>
      </w:r>
      <w:r>
        <w:rPr>
          <w:b/>
          <w:spacing w:val="-1"/>
        </w:rPr>
        <w:t> </w:t>
      </w:r>
      <w:r>
        <w:rPr>
          <w:b/>
        </w:rPr>
        <w:t>Budget</w:t>
      </w:r>
      <w:r>
        <w:rPr>
          <w:b/>
          <w:spacing w:val="-2"/>
        </w:rPr>
        <w:t> </w:t>
      </w:r>
      <w:r>
        <w:rPr>
          <w:b/>
        </w:rPr>
        <w:t>Neutrality</w:t>
      </w:r>
      <w:r>
        <w:rPr>
          <w:b/>
          <w:spacing w:val="-1"/>
        </w:rPr>
        <w:t> </w:t>
      </w:r>
      <w:r>
        <w:rPr>
          <w:b/>
        </w:rPr>
        <w:t>for</w:t>
      </w:r>
      <w:r>
        <w:rPr>
          <w:b/>
          <w:spacing w:val="-2"/>
        </w:rPr>
        <w:t> </w:t>
      </w:r>
      <w:r>
        <w:rPr>
          <w:b/>
        </w:rPr>
        <w:t>Evidence-Based HRSN</w:t>
      </w:r>
      <w:r>
        <w:rPr>
          <w:b/>
          <w:spacing w:val="-2"/>
        </w:rPr>
        <w:t> </w:t>
      </w:r>
      <w:r>
        <w:rPr>
          <w:b/>
        </w:rPr>
        <w:t>Initiatives.</w:t>
      </w:r>
      <w:r>
        <w:rPr>
          <w:b/>
          <w:spacing w:val="40"/>
        </w:rPr>
        <w:t> </w:t>
      </w:r>
      <w:r>
        <w:rPr/>
        <w:t>When</w:t>
      </w:r>
      <w:r>
        <w:rPr>
          <w:spacing w:val="-1"/>
        </w:rPr>
        <w:t> </w:t>
      </w:r>
      <w:r>
        <w:rPr/>
        <w:t>expenditure</w:t>
      </w:r>
      <w:r>
        <w:rPr>
          <w:spacing w:val="-2"/>
        </w:rPr>
        <w:t> </w:t>
      </w:r>
      <w:r>
        <w:rPr/>
        <w:t>authority</w:t>
      </w:r>
      <w:r>
        <w:rPr>
          <w:spacing w:val="-6"/>
        </w:rPr>
        <w:t> </w:t>
      </w:r>
      <w:r>
        <w:rPr/>
        <w:t>is</w:t>
      </w:r>
      <w:r>
        <w:rPr>
          <w:spacing w:val="-1"/>
        </w:rPr>
        <w:t> </w:t>
      </w:r>
      <w:r>
        <w:rPr/>
        <w:t>provided for specified HRSN</w:t>
      </w:r>
      <w:r>
        <w:rPr>
          <w:spacing w:val="-1"/>
        </w:rPr>
        <w:t> </w:t>
      </w:r>
      <w:r>
        <w:rPr/>
        <w:t>initiatives in the</w:t>
      </w:r>
      <w:r>
        <w:rPr>
          <w:spacing w:val="-1"/>
        </w:rPr>
        <w:t> </w:t>
      </w:r>
      <w:r>
        <w:rPr/>
        <w:t>demonstration (in this approval, as specified in section 15), CMS considers these</w:t>
      </w:r>
      <w:r>
        <w:rPr>
          <w:spacing w:val="-1"/>
        </w:rPr>
        <w:t> </w:t>
      </w:r>
      <w:r>
        <w:rPr/>
        <w:t>expenditures to be “capped hypothetical” expenditures; that is, the expenditures are eligible to receive FFP up to a specific aggregate spending cap per demonstration year, based on the state’s expected expenditures.</w:t>
      </w:r>
      <w:r>
        <w:rPr>
          <w:spacing w:val="40"/>
        </w:rPr>
        <w:t> </w:t>
      </w:r>
      <w:r>
        <w:rPr/>
        <w:t>States can also receive FFP for capacity- building, infrastructure, and operational costs for the HRSN initiatives; this FFP is limited by a sub-cap of the aggregate spending cap and is determined by CMS based on the amount the state expects to spend.</w:t>
      </w:r>
      <w:r>
        <w:rPr>
          <w:spacing w:val="40"/>
        </w:rPr>
        <w:t> </w:t>
      </w:r>
      <w:r>
        <w:rPr/>
        <w:t>Like all hypothetical expenditures, capped hypothetical expenditures do not need to be offset by savings, and cannot produce savings; however, unspent expenditure authority allocated for HRSN infrastructure in a given demonstration year can be applied to HRSN services in the same demonstration year. Any unspent HRSN services expenditure authority may not be used to fund HRSN infrastructure. To allow for capped hypothetical expenditures and to prevent them from resulting in savings that would apply to the rest of the demonstration, CMS currently applies a separate, independent Capped Hypothetical Budget Neutrality Test, which subjects capped</w:t>
      </w:r>
      <w:r>
        <w:rPr>
          <w:spacing w:val="-3"/>
        </w:rPr>
        <w:t> </w:t>
      </w:r>
      <w:r>
        <w:rPr/>
        <w:t>hypothetical</w:t>
      </w:r>
      <w:r>
        <w:rPr>
          <w:spacing w:val="-3"/>
        </w:rPr>
        <w:t> </w:t>
      </w:r>
      <w:r>
        <w:rPr/>
        <w:t>expenditures</w:t>
      </w:r>
      <w:r>
        <w:rPr>
          <w:spacing w:val="-3"/>
        </w:rPr>
        <w:t> </w:t>
      </w:r>
      <w:r>
        <w:rPr/>
        <w:t>to</w:t>
      </w:r>
      <w:r>
        <w:rPr>
          <w:spacing w:val="-3"/>
        </w:rPr>
        <w:t> </w:t>
      </w:r>
      <w:r>
        <w:rPr/>
        <w:t>pre-determined</w:t>
      </w:r>
      <w:r>
        <w:rPr>
          <w:spacing w:val="-3"/>
        </w:rPr>
        <w:t> </w:t>
      </w:r>
      <w:r>
        <w:rPr/>
        <w:t>aggregate</w:t>
      </w:r>
      <w:r>
        <w:rPr>
          <w:spacing w:val="-4"/>
        </w:rPr>
        <w:t> </w:t>
      </w:r>
      <w:r>
        <w:rPr/>
        <w:t>limits</w:t>
      </w:r>
      <w:r>
        <w:rPr>
          <w:spacing w:val="-3"/>
        </w:rPr>
        <w:t> </w:t>
      </w:r>
      <w:r>
        <w:rPr/>
        <w:t>to</w:t>
      </w:r>
      <w:r>
        <w:rPr>
          <w:spacing w:val="-3"/>
        </w:rPr>
        <w:t> </w:t>
      </w:r>
      <w:r>
        <w:rPr/>
        <w:t>which</w:t>
      </w:r>
      <w:r>
        <w:rPr>
          <w:spacing w:val="-3"/>
        </w:rPr>
        <w:t> </w:t>
      </w:r>
      <w:r>
        <w:rPr/>
        <w:t>the</w:t>
      </w:r>
      <w:r>
        <w:rPr>
          <w:spacing w:val="-4"/>
        </w:rPr>
        <w:t> </w:t>
      </w:r>
      <w:r>
        <w:rPr/>
        <w:t>state</w:t>
      </w:r>
      <w:r>
        <w:rPr>
          <w:spacing w:val="-4"/>
        </w:rPr>
        <w:t> </w:t>
      </w:r>
      <w:r>
        <w:rPr/>
        <w:t>and</w:t>
      </w:r>
      <w:r>
        <w:rPr>
          <w:spacing w:val="-3"/>
        </w:rPr>
        <w:t> </w:t>
      </w:r>
      <w:r>
        <w:rPr/>
        <w:t>CMS</w:t>
      </w:r>
      <w:r>
        <w:rPr>
          <w:spacing w:val="-3"/>
        </w:rPr>
        <w:t> </w:t>
      </w:r>
      <w:r>
        <w:rPr/>
        <w:t>agree,</w:t>
      </w:r>
      <w:r>
        <w:rPr>
          <w:spacing w:val="-3"/>
        </w:rPr>
        <w:t> </w:t>
      </w:r>
      <w:r>
        <w:rPr/>
        <w:t>and</w:t>
      </w:r>
      <w:r>
        <w:rPr>
          <w:spacing w:val="-3"/>
        </w:rPr>
        <w:t> </w:t>
      </w:r>
      <w:r>
        <w:rPr/>
        <w:t>that</w:t>
      </w:r>
      <w:r>
        <w:rPr>
          <w:spacing w:val="-3"/>
        </w:rPr>
        <w:t> </w:t>
      </w:r>
      <w:r>
        <w:rPr/>
        <w:t>CMS</w:t>
      </w:r>
      <w:r>
        <w:rPr>
          <w:spacing w:val="-3"/>
        </w:rPr>
        <w:t> </w:t>
      </w:r>
      <w:r>
        <w:rPr/>
        <w:t>approves, as a part of this demonstration approval.</w:t>
      </w:r>
      <w:r>
        <w:rPr>
          <w:spacing w:val="40"/>
        </w:rPr>
        <w:t> </w:t>
      </w:r>
      <w:r>
        <w:rPr/>
        <w:t>If actual HRSN initiative spending is less than the Capped Hypothetical Budget Neutrality Test’s expenditure limit for a given demonstration year, the difference is not considered demonstration savings.</w:t>
      </w:r>
    </w:p>
    <w:p>
      <w:pPr>
        <w:pStyle w:val="BodyText"/>
        <w:ind w:left="871" w:right="105"/>
      </w:pPr>
      <w:r>
        <w:rPr/>
        <w:t>Unspent HRSN expenditure authority under the cap for each demonstration year can be carried, shifted, or transferred across future demonstration years. However, unspent HRSN expenditure authority</w:t>
      </w:r>
      <w:r>
        <w:rPr>
          <w:spacing w:val="-2"/>
        </w:rPr>
        <w:t> </w:t>
      </w:r>
      <w:r>
        <w:rPr/>
        <w:t>cannot roll over to the next demonstration approval period.</w:t>
      </w:r>
      <w:r>
        <w:rPr>
          <w:spacing w:val="-1"/>
        </w:rPr>
        <w:t> </w:t>
      </w:r>
      <w:r>
        <w:rPr/>
        <w:t>If</w:t>
      </w:r>
      <w:r>
        <w:rPr>
          <w:spacing w:val="-3"/>
        </w:rPr>
        <w:t> </w:t>
      </w:r>
      <w:r>
        <w:rPr/>
        <w:t>the</w:t>
      </w:r>
      <w:r>
        <w:rPr>
          <w:spacing w:val="-3"/>
        </w:rPr>
        <w:t> </w:t>
      </w:r>
      <w:r>
        <w:rPr/>
        <w:t>state’s</w:t>
      </w:r>
      <w:r>
        <w:rPr>
          <w:spacing w:val="-2"/>
        </w:rPr>
        <w:t> </w:t>
      </w:r>
      <w:r>
        <w:rPr/>
        <w:t>capped</w:t>
      </w:r>
      <w:r>
        <w:rPr>
          <w:spacing w:val="-2"/>
        </w:rPr>
        <w:t> </w:t>
      </w:r>
      <w:r>
        <w:rPr/>
        <w:t>hypothetical</w:t>
      </w:r>
      <w:r>
        <w:rPr>
          <w:spacing w:val="-2"/>
        </w:rPr>
        <w:t> </w:t>
      </w:r>
      <w:r>
        <w:rPr/>
        <w:t>spending</w:t>
      </w:r>
      <w:r>
        <w:rPr>
          <w:spacing w:val="-2"/>
        </w:rPr>
        <w:t> </w:t>
      </w:r>
      <w:r>
        <w:rPr/>
        <w:t>exceeds</w:t>
      </w:r>
      <w:r>
        <w:rPr>
          <w:spacing w:val="-2"/>
        </w:rPr>
        <w:t> </w:t>
      </w:r>
      <w:r>
        <w:rPr/>
        <w:t>the</w:t>
      </w:r>
      <w:r>
        <w:rPr>
          <w:spacing w:val="-3"/>
        </w:rPr>
        <w:t> </w:t>
      </w:r>
      <w:r>
        <w:rPr/>
        <w:t>Capped</w:t>
      </w:r>
      <w:r>
        <w:rPr>
          <w:spacing w:val="-2"/>
        </w:rPr>
        <w:t> </w:t>
      </w:r>
      <w:r>
        <w:rPr/>
        <w:t>Hypothetical</w:t>
      </w:r>
      <w:r>
        <w:rPr>
          <w:spacing w:val="-2"/>
        </w:rPr>
        <w:t> </w:t>
      </w:r>
      <w:r>
        <w:rPr/>
        <w:t>Budget</w:t>
      </w:r>
      <w:r>
        <w:rPr>
          <w:spacing w:val="-2"/>
        </w:rPr>
        <w:t> </w:t>
      </w:r>
      <w:r>
        <w:rPr/>
        <w:t>Neutrality</w:t>
      </w:r>
      <w:r>
        <w:rPr>
          <w:spacing w:val="-7"/>
        </w:rPr>
        <w:t> </w:t>
      </w:r>
      <w:r>
        <w:rPr/>
        <w:t>Test’s</w:t>
      </w:r>
      <w:r>
        <w:rPr>
          <w:spacing w:val="-1"/>
        </w:rPr>
        <w:t> </w:t>
      </w:r>
      <w:r>
        <w:rPr/>
        <w:t>expenditure</w:t>
      </w:r>
      <w:r>
        <w:rPr>
          <w:spacing w:val="-3"/>
        </w:rPr>
        <w:t> </w:t>
      </w:r>
      <w:r>
        <w:rPr/>
        <w:t>limit, the state agrees (as a condition of CMS approval) to refund any</w:t>
      </w:r>
      <w:r>
        <w:rPr>
          <w:spacing w:val="-1"/>
        </w:rPr>
        <w:t> </w:t>
      </w:r>
      <w:r>
        <w:rPr/>
        <w:t>FFP in excess of the cap to CMS.</w:t>
      </w:r>
      <w:r>
        <w:rPr>
          <w:spacing w:val="40"/>
        </w:rPr>
        <w:t> </w:t>
      </w:r>
      <w:r>
        <w:rPr/>
        <w:t>Demonstration savings from the Main Budget Neutrality Test cannot be used to offset excess spending for the capped hypothetical.</w:t>
      </w:r>
    </w:p>
    <w:p>
      <w:pPr>
        <w:pStyle w:val="BodyText"/>
        <w:spacing w:before="10"/>
        <w:rPr>
          <w:sz w:val="20"/>
        </w:rPr>
      </w:pPr>
    </w:p>
    <w:p>
      <w:pPr>
        <w:pStyle w:val="BodyText"/>
        <w:ind w:left="871" w:right="105"/>
      </w:pPr>
      <w:r>
        <w:rPr/>
        <w:drawing>
          <wp:anchor distT="0" distB="0" distL="0" distR="0" allowOverlap="1" layoutInCell="1" locked="0" behindDoc="0" simplePos="0" relativeHeight="16115712">
            <wp:simplePos x="0" y="0"/>
            <wp:positionH relativeFrom="page">
              <wp:posOffset>832103</wp:posOffset>
            </wp:positionH>
            <wp:positionV relativeFrom="paragraph">
              <wp:posOffset>35599</wp:posOffset>
            </wp:positionV>
            <wp:extent cx="359663" cy="112775"/>
            <wp:effectExtent l="0" t="0" r="0" b="0"/>
            <wp:wrapNone/>
            <wp:docPr id="782" name="Image 782"/>
            <wp:cNvGraphicFramePr>
              <a:graphicFrameLocks/>
            </wp:cNvGraphicFramePr>
            <a:graphic>
              <a:graphicData uri="http://schemas.openxmlformats.org/drawingml/2006/picture">
                <pic:pic>
                  <pic:nvPicPr>
                    <pic:cNvPr id="782" name="Image 782"/>
                    <pic:cNvPicPr/>
                  </pic:nvPicPr>
                  <pic:blipFill>
                    <a:blip r:embed="rId309" cstate="print"/>
                    <a:stretch>
                      <a:fillRect/>
                    </a:stretch>
                  </pic:blipFill>
                  <pic:spPr>
                    <a:xfrm>
                      <a:off x="0" y="0"/>
                      <a:ext cx="359663" cy="112775"/>
                    </a:xfrm>
                    <a:prstGeom prst="rect">
                      <a:avLst/>
                    </a:prstGeom>
                  </pic:spPr>
                </pic:pic>
              </a:graphicData>
            </a:graphic>
          </wp:anchor>
        </w:drawing>
      </w:r>
      <w:bookmarkStart w:name="19.14. Capped Hypothetical Budget Neutra" w:id="1084"/>
      <w:bookmarkEnd w:id="1084"/>
      <w:r>
        <w:rPr/>
      </w:r>
      <w:r>
        <w:rPr>
          <w:b/>
        </w:rPr>
        <w:t>Capped Hypothetical Budget Neutrality Test: HRSN. </w:t>
      </w:r>
      <w:r>
        <w:rPr/>
        <w:t>The table below identifies the MEGs that are used for the Capped Hypothetical</w:t>
      </w:r>
      <w:r>
        <w:rPr>
          <w:spacing w:val="-2"/>
        </w:rPr>
        <w:t> </w:t>
      </w:r>
      <w:r>
        <w:rPr/>
        <w:t>Budget</w:t>
      </w:r>
      <w:r>
        <w:rPr>
          <w:spacing w:val="-2"/>
        </w:rPr>
        <w:t> </w:t>
      </w:r>
      <w:r>
        <w:rPr/>
        <w:t>Neutrality</w:t>
      </w:r>
      <w:r>
        <w:rPr>
          <w:spacing w:val="-7"/>
        </w:rPr>
        <w:t> </w:t>
      </w:r>
      <w:r>
        <w:rPr/>
        <w:t>Test.</w:t>
      </w:r>
      <w:r>
        <w:rPr>
          <w:spacing w:val="40"/>
        </w:rPr>
        <w:t> </w:t>
      </w:r>
      <w:r>
        <w:rPr/>
        <w:t>MEGs</w:t>
      </w:r>
      <w:r>
        <w:rPr>
          <w:spacing w:val="-2"/>
        </w:rPr>
        <w:t> </w:t>
      </w:r>
      <w:r>
        <w:rPr/>
        <w:t>that are</w:t>
      </w:r>
      <w:r>
        <w:rPr>
          <w:spacing w:val="-3"/>
        </w:rPr>
        <w:t> </w:t>
      </w:r>
      <w:r>
        <w:rPr/>
        <w:t>designated “WOW</w:t>
      </w:r>
      <w:r>
        <w:rPr>
          <w:spacing w:val="-1"/>
        </w:rPr>
        <w:t> </w:t>
      </w:r>
      <w:r>
        <w:rPr/>
        <w:t>Only”</w:t>
      </w:r>
      <w:r>
        <w:rPr>
          <w:spacing w:val="-3"/>
        </w:rPr>
        <w:t> </w:t>
      </w:r>
      <w:r>
        <w:rPr/>
        <w:t>or</w:t>
      </w:r>
      <w:r>
        <w:rPr>
          <w:spacing w:val="-1"/>
        </w:rPr>
        <w:t> </w:t>
      </w:r>
      <w:r>
        <w:rPr/>
        <w:t>“Both”</w:t>
      </w:r>
      <w:r>
        <w:rPr>
          <w:spacing w:val="-3"/>
        </w:rPr>
        <w:t> </w:t>
      </w:r>
      <w:r>
        <w:rPr/>
        <w:t>are</w:t>
      </w:r>
      <w:r>
        <w:rPr>
          <w:spacing w:val="-3"/>
        </w:rPr>
        <w:t> </w:t>
      </w:r>
      <w:r>
        <w:rPr/>
        <w:t>the</w:t>
      </w:r>
      <w:r>
        <w:rPr>
          <w:spacing w:val="-3"/>
        </w:rPr>
        <w:t> </w:t>
      </w:r>
      <w:r>
        <w:rPr/>
        <w:t>components</w:t>
      </w:r>
      <w:r>
        <w:rPr>
          <w:spacing w:val="-2"/>
        </w:rPr>
        <w:t> </w:t>
      </w:r>
      <w:r>
        <w:rPr/>
        <w:t>used</w:t>
      </w:r>
      <w:r>
        <w:rPr>
          <w:spacing w:val="-2"/>
        </w:rPr>
        <w:t> </w:t>
      </w:r>
      <w:r>
        <w:rPr/>
        <w:t>to</w:t>
      </w:r>
      <w:r>
        <w:rPr>
          <w:spacing w:val="-2"/>
        </w:rPr>
        <w:t> </w:t>
      </w:r>
      <w:r>
        <w:rPr/>
        <w:t>calculate the budget neutrality expenditure limit.</w:t>
      </w:r>
      <w:r>
        <w:rPr>
          <w:spacing w:val="40"/>
        </w:rPr>
        <w:t> </w:t>
      </w:r>
      <w:r>
        <w:rPr/>
        <w:t>The Composite Federal Share for the Capped Hypothetical Budget Neutrality Test is calculated based on all MEGs indicated as “WW Only” or “Both.”</w:t>
      </w:r>
      <w:r>
        <w:rPr>
          <w:spacing w:val="40"/>
        </w:rPr>
        <w:t> </w:t>
      </w:r>
      <w:r>
        <w:rPr/>
        <w:t>MEGs that are indicated as “WW Only” or “Both” are counted as expenditures against this budget neutrality expenditure limit.</w:t>
      </w:r>
      <w:r>
        <w:rPr>
          <w:spacing w:val="40"/>
        </w:rPr>
        <w:t> </w:t>
      </w:r>
      <w:r>
        <w:rPr/>
        <w:t>Any expenditures in excess of the limit from the Capped Hypothetical Budget Neutrality Test cannot be offset by savings under the Main Budget Neutrality Test or the Hypothetical Budget Neutrality Tests.</w:t>
      </w:r>
    </w:p>
    <w:p>
      <w:pPr>
        <w:spacing w:after="0"/>
        <w:sectPr>
          <w:pgSz w:w="15840" w:h="12240" w:orient="landscape"/>
          <w:pgMar w:header="0" w:footer="1201" w:top="1380" w:bottom="1400" w:left="1200" w:right="1340"/>
        </w:sectPr>
      </w:pPr>
    </w:p>
    <w:p>
      <w:pPr>
        <w:pStyle w:val="BodyText"/>
        <w:spacing w:before="2"/>
        <w:rPr>
          <w:sz w:val="5"/>
        </w:rPr>
      </w:pPr>
    </w:p>
    <w:tbl>
      <w:tblPr>
        <w:tblW w:w="0" w:type="auto"/>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4"/>
        <w:gridCol w:w="878"/>
        <w:gridCol w:w="1317"/>
        <w:gridCol w:w="988"/>
        <w:gridCol w:w="1535"/>
        <w:gridCol w:w="1645"/>
        <w:gridCol w:w="1645"/>
        <w:gridCol w:w="1647"/>
        <w:gridCol w:w="1642"/>
      </w:tblGrid>
      <w:tr>
        <w:trPr>
          <w:trHeight w:val="450" w:hRule="atLeast"/>
        </w:trPr>
        <w:tc>
          <w:tcPr>
            <w:tcW w:w="12941" w:type="dxa"/>
            <w:gridSpan w:val="9"/>
            <w:shd w:val="clear" w:color="auto" w:fill="DBE4F0"/>
          </w:tcPr>
          <w:p>
            <w:pPr>
              <w:pStyle w:val="TableParagraph"/>
              <w:spacing w:before="99"/>
              <w:ind w:left="3907" w:right="3886"/>
              <w:jc w:val="center"/>
              <w:rPr>
                <w:b/>
                <w:sz w:val="22"/>
              </w:rPr>
            </w:pPr>
            <w:r>
              <w:rPr>
                <w:b/>
                <w:sz w:val="22"/>
              </w:rPr>
              <w:t>Table</w:t>
            </w:r>
            <w:r>
              <w:rPr>
                <w:b/>
                <w:spacing w:val="-5"/>
                <w:sz w:val="22"/>
              </w:rPr>
              <w:t> </w:t>
            </w:r>
            <w:r>
              <w:rPr>
                <w:b/>
                <w:sz w:val="22"/>
              </w:rPr>
              <w:t>28:</w:t>
            </w:r>
            <w:r>
              <w:rPr>
                <w:b/>
                <w:spacing w:val="-4"/>
                <w:sz w:val="22"/>
              </w:rPr>
              <w:t> </w:t>
            </w:r>
            <w:r>
              <w:rPr>
                <w:b/>
                <w:sz w:val="22"/>
              </w:rPr>
              <w:t>Capped</w:t>
            </w:r>
            <w:r>
              <w:rPr>
                <w:b/>
                <w:spacing w:val="-8"/>
                <w:sz w:val="22"/>
              </w:rPr>
              <w:t> </w:t>
            </w:r>
            <w:r>
              <w:rPr>
                <w:b/>
                <w:sz w:val="22"/>
              </w:rPr>
              <w:t>Hypothetical</w:t>
            </w:r>
            <w:r>
              <w:rPr>
                <w:b/>
                <w:spacing w:val="-7"/>
                <w:sz w:val="22"/>
              </w:rPr>
              <w:t> </w:t>
            </w:r>
            <w:r>
              <w:rPr>
                <w:b/>
                <w:sz w:val="22"/>
              </w:rPr>
              <w:t>Budget</w:t>
            </w:r>
            <w:r>
              <w:rPr>
                <w:b/>
                <w:spacing w:val="-4"/>
                <w:sz w:val="22"/>
              </w:rPr>
              <w:t> </w:t>
            </w:r>
            <w:r>
              <w:rPr>
                <w:b/>
                <w:sz w:val="22"/>
              </w:rPr>
              <w:t>Neutrality</w:t>
            </w:r>
            <w:r>
              <w:rPr>
                <w:b/>
                <w:spacing w:val="-4"/>
                <w:sz w:val="22"/>
              </w:rPr>
              <w:t> Test</w:t>
            </w:r>
          </w:p>
        </w:tc>
      </w:tr>
      <w:tr>
        <w:trPr>
          <w:trHeight w:val="1312" w:hRule="atLeast"/>
        </w:trPr>
        <w:tc>
          <w:tcPr>
            <w:tcW w:w="1644" w:type="dxa"/>
            <w:shd w:val="clear" w:color="auto" w:fill="DBE4F0"/>
          </w:tcPr>
          <w:p>
            <w:pPr>
              <w:pStyle w:val="TableParagraph"/>
              <w:rPr>
                <w:sz w:val="24"/>
              </w:rPr>
            </w:pPr>
          </w:p>
          <w:p>
            <w:pPr>
              <w:pStyle w:val="TableParagraph"/>
              <w:spacing w:before="2"/>
              <w:rPr>
                <w:sz w:val="22"/>
              </w:rPr>
            </w:pPr>
          </w:p>
          <w:p>
            <w:pPr>
              <w:pStyle w:val="TableParagraph"/>
              <w:ind w:left="100" w:right="90"/>
              <w:jc w:val="center"/>
              <w:rPr>
                <w:b/>
                <w:sz w:val="22"/>
              </w:rPr>
            </w:pPr>
            <w:r>
              <w:rPr>
                <w:b/>
                <w:spacing w:val="-5"/>
                <w:sz w:val="22"/>
              </w:rPr>
              <w:t>MEG</w:t>
            </w:r>
          </w:p>
        </w:tc>
        <w:tc>
          <w:tcPr>
            <w:tcW w:w="878" w:type="dxa"/>
            <w:shd w:val="clear" w:color="auto" w:fill="DBE4F0"/>
          </w:tcPr>
          <w:p>
            <w:pPr>
              <w:pStyle w:val="TableParagraph"/>
              <w:rPr>
                <w:sz w:val="24"/>
              </w:rPr>
            </w:pPr>
          </w:p>
          <w:p>
            <w:pPr>
              <w:pStyle w:val="TableParagraph"/>
              <w:spacing w:before="2"/>
              <w:rPr>
                <w:sz w:val="22"/>
              </w:rPr>
            </w:pPr>
          </w:p>
          <w:p>
            <w:pPr>
              <w:pStyle w:val="TableParagraph"/>
              <w:ind w:left="249"/>
              <w:rPr>
                <w:b/>
                <w:sz w:val="22"/>
              </w:rPr>
            </w:pPr>
            <w:r>
              <w:rPr>
                <w:b/>
                <w:spacing w:val="-5"/>
                <w:sz w:val="22"/>
              </w:rPr>
              <w:t>Agg</w:t>
            </w:r>
          </w:p>
        </w:tc>
        <w:tc>
          <w:tcPr>
            <w:tcW w:w="1317" w:type="dxa"/>
            <w:shd w:val="clear" w:color="auto" w:fill="DBE4F0"/>
          </w:tcPr>
          <w:p>
            <w:pPr>
              <w:pStyle w:val="TableParagraph"/>
              <w:spacing w:line="252" w:lineRule="exact" w:before="149"/>
              <w:ind w:left="143" w:right="140"/>
              <w:jc w:val="center"/>
              <w:rPr>
                <w:b/>
                <w:sz w:val="22"/>
              </w:rPr>
            </w:pPr>
            <w:r>
              <w:rPr>
                <w:b/>
                <w:spacing w:val="-5"/>
                <w:sz w:val="22"/>
              </w:rPr>
              <w:t>WOW</w:t>
            </w:r>
          </w:p>
          <w:p>
            <w:pPr>
              <w:pStyle w:val="TableParagraph"/>
              <w:ind w:left="146" w:right="140"/>
              <w:jc w:val="center"/>
              <w:rPr>
                <w:b/>
                <w:sz w:val="22"/>
              </w:rPr>
            </w:pPr>
            <w:r>
              <w:rPr>
                <w:b/>
                <w:sz w:val="22"/>
              </w:rPr>
              <w:t>Only,</w:t>
            </w:r>
            <w:r>
              <w:rPr>
                <w:b/>
                <w:spacing w:val="-14"/>
                <w:sz w:val="22"/>
              </w:rPr>
              <w:t> </w:t>
            </w:r>
            <w:r>
              <w:rPr>
                <w:b/>
                <w:sz w:val="22"/>
              </w:rPr>
              <w:t>WW Only, or </w:t>
            </w:r>
            <w:r>
              <w:rPr>
                <w:b/>
                <w:spacing w:val="-4"/>
                <w:sz w:val="22"/>
              </w:rPr>
              <w:t>Both</w:t>
            </w:r>
          </w:p>
        </w:tc>
        <w:tc>
          <w:tcPr>
            <w:tcW w:w="988" w:type="dxa"/>
            <w:shd w:val="clear" w:color="auto" w:fill="DBE4F0"/>
          </w:tcPr>
          <w:p>
            <w:pPr>
              <w:pStyle w:val="TableParagraph"/>
              <w:rPr>
                <w:sz w:val="24"/>
              </w:rPr>
            </w:pPr>
          </w:p>
          <w:p>
            <w:pPr>
              <w:pStyle w:val="TableParagraph"/>
              <w:spacing w:before="11"/>
              <w:rPr>
                <w:sz w:val="21"/>
              </w:rPr>
            </w:pPr>
          </w:p>
          <w:p>
            <w:pPr>
              <w:pStyle w:val="TableParagraph"/>
              <w:ind w:left="108"/>
              <w:rPr>
                <w:b/>
                <w:sz w:val="22"/>
              </w:rPr>
            </w:pPr>
            <w:r>
              <w:rPr>
                <w:b/>
                <w:sz w:val="22"/>
              </w:rPr>
              <w:t>DY</w:t>
            </w:r>
            <w:r>
              <w:rPr>
                <w:b/>
                <w:spacing w:val="-1"/>
                <w:sz w:val="22"/>
              </w:rPr>
              <w:t> </w:t>
            </w:r>
            <w:r>
              <w:rPr>
                <w:b/>
                <w:spacing w:val="-5"/>
                <w:sz w:val="22"/>
              </w:rPr>
              <w:t>27</w:t>
            </w:r>
          </w:p>
        </w:tc>
        <w:tc>
          <w:tcPr>
            <w:tcW w:w="1535" w:type="dxa"/>
            <w:shd w:val="clear" w:color="auto" w:fill="DBE4F0"/>
          </w:tcPr>
          <w:p>
            <w:pPr>
              <w:pStyle w:val="TableParagraph"/>
              <w:rPr>
                <w:sz w:val="24"/>
              </w:rPr>
            </w:pPr>
          </w:p>
          <w:p>
            <w:pPr>
              <w:pStyle w:val="TableParagraph"/>
              <w:spacing w:before="2"/>
              <w:rPr>
                <w:sz w:val="22"/>
              </w:rPr>
            </w:pPr>
          </w:p>
          <w:p>
            <w:pPr>
              <w:pStyle w:val="TableParagraph"/>
              <w:ind w:left="209" w:right="195"/>
              <w:jc w:val="center"/>
              <w:rPr>
                <w:b/>
                <w:sz w:val="22"/>
              </w:rPr>
            </w:pPr>
            <w:r>
              <w:rPr>
                <w:b/>
                <w:sz w:val="22"/>
              </w:rPr>
              <w:t>DY</w:t>
            </w:r>
            <w:r>
              <w:rPr>
                <w:b/>
                <w:spacing w:val="-1"/>
                <w:sz w:val="22"/>
              </w:rPr>
              <w:t> </w:t>
            </w:r>
            <w:r>
              <w:rPr>
                <w:b/>
                <w:spacing w:val="-5"/>
                <w:sz w:val="22"/>
              </w:rPr>
              <w:t>28</w:t>
            </w:r>
          </w:p>
        </w:tc>
        <w:tc>
          <w:tcPr>
            <w:tcW w:w="1645" w:type="dxa"/>
            <w:shd w:val="clear" w:color="auto" w:fill="DBE4F0"/>
          </w:tcPr>
          <w:p>
            <w:pPr>
              <w:pStyle w:val="TableParagraph"/>
              <w:rPr>
                <w:sz w:val="24"/>
              </w:rPr>
            </w:pPr>
          </w:p>
          <w:p>
            <w:pPr>
              <w:pStyle w:val="TableParagraph"/>
              <w:spacing w:before="2"/>
              <w:rPr>
                <w:sz w:val="22"/>
              </w:rPr>
            </w:pPr>
          </w:p>
          <w:p>
            <w:pPr>
              <w:pStyle w:val="TableParagraph"/>
              <w:ind w:left="210" w:right="194"/>
              <w:jc w:val="center"/>
              <w:rPr>
                <w:b/>
                <w:sz w:val="22"/>
              </w:rPr>
            </w:pPr>
            <w:r>
              <w:rPr>
                <w:b/>
                <w:sz w:val="22"/>
              </w:rPr>
              <w:t>DY</w:t>
            </w:r>
            <w:r>
              <w:rPr>
                <w:b/>
                <w:spacing w:val="-1"/>
                <w:sz w:val="22"/>
              </w:rPr>
              <w:t> </w:t>
            </w:r>
            <w:r>
              <w:rPr>
                <w:b/>
                <w:spacing w:val="-5"/>
                <w:sz w:val="22"/>
              </w:rPr>
              <w:t>29</w:t>
            </w:r>
          </w:p>
        </w:tc>
        <w:tc>
          <w:tcPr>
            <w:tcW w:w="1645" w:type="dxa"/>
            <w:shd w:val="clear" w:color="auto" w:fill="DBE4F0"/>
          </w:tcPr>
          <w:p>
            <w:pPr>
              <w:pStyle w:val="TableParagraph"/>
              <w:rPr>
                <w:sz w:val="24"/>
              </w:rPr>
            </w:pPr>
          </w:p>
          <w:p>
            <w:pPr>
              <w:pStyle w:val="TableParagraph"/>
              <w:spacing w:before="2"/>
              <w:rPr>
                <w:sz w:val="22"/>
              </w:rPr>
            </w:pPr>
          </w:p>
          <w:p>
            <w:pPr>
              <w:pStyle w:val="TableParagraph"/>
              <w:ind w:left="213" w:right="194"/>
              <w:jc w:val="center"/>
              <w:rPr>
                <w:b/>
                <w:sz w:val="22"/>
              </w:rPr>
            </w:pPr>
            <w:r>
              <w:rPr>
                <w:b/>
                <w:sz w:val="22"/>
              </w:rPr>
              <w:t>DY</w:t>
            </w:r>
            <w:r>
              <w:rPr>
                <w:b/>
                <w:spacing w:val="-1"/>
                <w:sz w:val="22"/>
              </w:rPr>
              <w:t> </w:t>
            </w:r>
            <w:r>
              <w:rPr>
                <w:b/>
                <w:spacing w:val="-5"/>
                <w:sz w:val="22"/>
              </w:rPr>
              <w:t>30</w:t>
            </w:r>
          </w:p>
        </w:tc>
        <w:tc>
          <w:tcPr>
            <w:tcW w:w="1647" w:type="dxa"/>
            <w:shd w:val="clear" w:color="auto" w:fill="DBE4F0"/>
          </w:tcPr>
          <w:p>
            <w:pPr>
              <w:pStyle w:val="TableParagraph"/>
              <w:rPr>
                <w:sz w:val="24"/>
              </w:rPr>
            </w:pPr>
          </w:p>
          <w:p>
            <w:pPr>
              <w:pStyle w:val="TableParagraph"/>
              <w:spacing w:before="2"/>
              <w:rPr>
                <w:sz w:val="22"/>
              </w:rPr>
            </w:pPr>
          </w:p>
          <w:p>
            <w:pPr>
              <w:pStyle w:val="TableParagraph"/>
              <w:ind w:left="215" w:right="195"/>
              <w:jc w:val="center"/>
              <w:rPr>
                <w:b/>
                <w:sz w:val="22"/>
              </w:rPr>
            </w:pPr>
            <w:r>
              <w:rPr>
                <w:b/>
                <w:sz w:val="22"/>
              </w:rPr>
              <w:t>DY</w:t>
            </w:r>
            <w:r>
              <w:rPr>
                <w:b/>
                <w:spacing w:val="-1"/>
                <w:sz w:val="22"/>
              </w:rPr>
              <w:t> </w:t>
            </w:r>
            <w:r>
              <w:rPr>
                <w:b/>
                <w:spacing w:val="-5"/>
                <w:sz w:val="22"/>
              </w:rPr>
              <w:t>31</w:t>
            </w:r>
          </w:p>
        </w:tc>
        <w:tc>
          <w:tcPr>
            <w:tcW w:w="1642" w:type="dxa"/>
            <w:shd w:val="clear" w:color="auto" w:fill="DBE4F0"/>
          </w:tcPr>
          <w:p>
            <w:pPr>
              <w:pStyle w:val="TableParagraph"/>
              <w:rPr>
                <w:sz w:val="24"/>
              </w:rPr>
            </w:pPr>
          </w:p>
          <w:p>
            <w:pPr>
              <w:pStyle w:val="TableParagraph"/>
              <w:spacing w:before="2"/>
              <w:rPr>
                <w:sz w:val="22"/>
              </w:rPr>
            </w:pPr>
          </w:p>
          <w:p>
            <w:pPr>
              <w:pStyle w:val="TableParagraph"/>
              <w:ind w:left="213" w:right="190"/>
              <w:jc w:val="center"/>
              <w:rPr>
                <w:b/>
                <w:sz w:val="22"/>
              </w:rPr>
            </w:pPr>
            <w:r>
              <w:rPr>
                <w:b/>
                <w:sz w:val="22"/>
              </w:rPr>
              <w:t>DY</w:t>
            </w:r>
            <w:r>
              <w:rPr>
                <w:b/>
                <w:spacing w:val="-1"/>
                <w:sz w:val="22"/>
              </w:rPr>
              <w:t> </w:t>
            </w:r>
            <w:r>
              <w:rPr>
                <w:b/>
                <w:spacing w:val="-5"/>
                <w:sz w:val="22"/>
              </w:rPr>
              <w:t>32</w:t>
            </w:r>
          </w:p>
        </w:tc>
      </w:tr>
      <w:tr>
        <w:trPr>
          <w:trHeight w:val="712" w:hRule="atLeast"/>
        </w:trPr>
        <w:tc>
          <w:tcPr>
            <w:tcW w:w="1644" w:type="dxa"/>
          </w:tcPr>
          <w:p>
            <w:pPr>
              <w:pStyle w:val="TableParagraph"/>
              <w:spacing w:before="10"/>
              <w:rPr>
                <w:sz w:val="19"/>
              </w:rPr>
            </w:pPr>
          </w:p>
          <w:p>
            <w:pPr>
              <w:pStyle w:val="TableParagraph"/>
              <w:ind w:left="100" w:right="126"/>
              <w:jc w:val="center"/>
              <w:rPr>
                <w:sz w:val="22"/>
              </w:rPr>
            </w:pPr>
            <w:r>
              <w:rPr>
                <w:sz w:val="22"/>
              </w:rPr>
              <w:t>HRSN</w:t>
            </w:r>
            <w:r>
              <w:rPr>
                <w:spacing w:val="-5"/>
                <w:sz w:val="22"/>
              </w:rPr>
              <w:t> </w:t>
            </w:r>
            <w:r>
              <w:rPr>
                <w:spacing w:val="-2"/>
                <w:sz w:val="22"/>
              </w:rPr>
              <w:t>Services</w:t>
            </w:r>
          </w:p>
        </w:tc>
        <w:tc>
          <w:tcPr>
            <w:tcW w:w="878" w:type="dxa"/>
          </w:tcPr>
          <w:p>
            <w:pPr>
              <w:pStyle w:val="TableParagraph"/>
              <w:spacing w:before="10"/>
              <w:rPr>
                <w:sz w:val="19"/>
              </w:rPr>
            </w:pPr>
          </w:p>
          <w:p>
            <w:pPr>
              <w:pStyle w:val="TableParagraph"/>
              <w:ind w:left="249"/>
              <w:rPr>
                <w:sz w:val="22"/>
              </w:rPr>
            </w:pPr>
            <w:r>
              <w:rPr>
                <w:spacing w:val="-5"/>
                <w:sz w:val="22"/>
              </w:rPr>
              <w:t>Agg</w:t>
            </w:r>
          </w:p>
        </w:tc>
        <w:tc>
          <w:tcPr>
            <w:tcW w:w="1317" w:type="dxa"/>
          </w:tcPr>
          <w:p>
            <w:pPr>
              <w:pStyle w:val="TableParagraph"/>
              <w:spacing w:before="10"/>
              <w:rPr>
                <w:sz w:val="19"/>
              </w:rPr>
            </w:pPr>
          </w:p>
          <w:p>
            <w:pPr>
              <w:pStyle w:val="TableParagraph"/>
              <w:ind w:left="441"/>
              <w:rPr>
                <w:sz w:val="22"/>
              </w:rPr>
            </w:pPr>
            <w:r>
              <w:rPr>
                <w:spacing w:val="-4"/>
                <w:sz w:val="22"/>
              </w:rPr>
              <w:t>Both</w:t>
            </w:r>
          </w:p>
        </w:tc>
        <w:tc>
          <w:tcPr>
            <w:tcW w:w="988" w:type="dxa"/>
          </w:tcPr>
          <w:p>
            <w:pPr>
              <w:pStyle w:val="TableParagraph"/>
              <w:spacing w:before="10"/>
              <w:rPr>
                <w:sz w:val="19"/>
              </w:rPr>
            </w:pPr>
          </w:p>
          <w:p>
            <w:pPr>
              <w:pStyle w:val="TableParagraph"/>
              <w:ind w:left="8"/>
              <w:jc w:val="center"/>
              <w:rPr>
                <w:sz w:val="22"/>
              </w:rPr>
            </w:pPr>
            <w:r>
              <w:rPr>
                <w:w w:val="100"/>
                <w:sz w:val="22"/>
              </w:rPr>
              <w:t>-</w:t>
            </w:r>
          </w:p>
        </w:tc>
        <w:tc>
          <w:tcPr>
            <w:tcW w:w="1535" w:type="dxa"/>
          </w:tcPr>
          <w:p>
            <w:pPr>
              <w:pStyle w:val="TableParagraph"/>
              <w:spacing w:before="10"/>
              <w:rPr>
                <w:sz w:val="19"/>
              </w:rPr>
            </w:pPr>
          </w:p>
          <w:p>
            <w:pPr>
              <w:pStyle w:val="TableParagraph"/>
              <w:ind w:left="211" w:right="195"/>
              <w:jc w:val="center"/>
              <w:rPr>
                <w:sz w:val="22"/>
              </w:rPr>
            </w:pPr>
            <w:r>
              <w:rPr>
                <w:spacing w:val="-2"/>
                <w:sz w:val="22"/>
              </w:rPr>
              <w:t>$71,903,277</w:t>
            </w:r>
          </w:p>
        </w:tc>
        <w:tc>
          <w:tcPr>
            <w:tcW w:w="1645" w:type="dxa"/>
          </w:tcPr>
          <w:p>
            <w:pPr>
              <w:pStyle w:val="TableParagraph"/>
              <w:spacing w:before="10"/>
              <w:rPr>
                <w:sz w:val="19"/>
              </w:rPr>
            </w:pPr>
          </w:p>
          <w:p>
            <w:pPr>
              <w:pStyle w:val="TableParagraph"/>
              <w:ind w:left="212" w:right="194"/>
              <w:jc w:val="center"/>
              <w:rPr>
                <w:sz w:val="22"/>
              </w:rPr>
            </w:pPr>
            <w:r>
              <w:rPr>
                <w:spacing w:val="-2"/>
                <w:sz w:val="22"/>
              </w:rPr>
              <w:t>$124,899,764</w:t>
            </w:r>
          </w:p>
        </w:tc>
        <w:tc>
          <w:tcPr>
            <w:tcW w:w="1645" w:type="dxa"/>
          </w:tcPr>
          <w:p>
            <w:pPr>
              <w:pStyle w:val="TableParagraph"/>
              <w:spacing w:before="10"/>
              <w:rPr>
                <w:sz w:val="19"/>
              </w:rPr>
            </w:pPr>
          </w:p>
          <w:p>
            <w:pPr>
              <w:pStyle w:val="TableParagraph"/>
              <w:ind w:left="213" w:right="192"/>
              <w:jc w:val="center"/>
              <w:rPr>
                <w:sz w:val="22"/>
              </w:rPr>
            </w:pPr>
            <w:r>
              <w:rPr>
                <w:spacing w:val="-2"/>
                <w:sz w:val="22"/>
              </w:rPr>
              <w:t>$163,699,764</w:t>
            </w:r>
          </w:p>
        </w:tc>
        <w:tc>
          <w:tcPr>
            <w:tcW w:w="1647" w:type="dxa"/>
          </w:tcPr>
          <w:p>
            <w:pPr>
              <w:pStyle w:val="TableParagraph"/>
              <w:spacing w:before="10"/>
              <w:rPr>
                <w:sz w:val="19"/>
              </w:rPr>
            </w:pPr>
          </w:p>
          <w:p>
            <w:pPr>
              <w:pStyle w:val="TableParagraph"/>
              <w:ind w:left="216" w:right="195"/>
              <w:jc w:val="center"/>
              <w:rPr>
                <w:sz w:val="22"/>
              </w:rPr>
            </w:pPr>
            <w:r>
              <w:rPr>
                <w:spacing w:val="-2"/>
                <w:sz w:val="22"/>
              </w:rPr>
              <w:t>$163,699,764</w:t>
            </w:r>
          </w:p>
        </w:tc>
        <w:tc>
          <w:tcPr>
            <w:tcW w:w="1642" w:type="dxa"/>
          </w:tcPr>
          <w:p>
            <w:pPr>
              <w:pStyle w:val="TableParagraph"/>
              <w:spacing w:before="10"/>
              <w:rPr>
                <w:sz w:val="19"/>
              </w:rPr>
            </w:pPr>
          </w:p>
          <w:p>
            <w:pPr>
              <w:pStyle w:val="TableParagraph"/>
              <w:ind w:left="213" w:right="193"/>
              <w:jc w:val="center"/>
              <w:rPr>
                <w:sz w:val="22"/>
              </w:rPr>
            </w:pPr>
            <w:r>
              <w:rPr>
                <w:spacing w:val="-2"/>
                <w:sz w:val="22"/>
              </w:rPr>
              <w:t>$163,699,764</w:t>
            </w:r>
          </w:p>
        </w:tc>
      </w:tr>
      <w:tr>
        <w:trPr>
          <w:trHeight w:val="621" w:hRule="atLeast"/>
        </w:trPr>
        <w:tc>
          <w:tcPr>
            <w:tcW w:w="1644" w:type="dxa"/>
          </w:tcPr>
          <w:p>
            <w:pPr>
              <w:pStyle w:val="TableParagraph"/>
              <w:spacing w:line="252" w:lineRule="exact" w:before="56"/>
              <w:ind w:left="107"/>
              <w:rPr>
                <w:sz w:val="22"/>
              </w:rPr>
            </w:pPr>
            <w:r>
              <w:rPr>
                <w:spacing w:val="-4"/>
                <w:sz w:val="22"/>
              </w:rPr>
              <w:t>HRSN</w:t>
            </w:r>
          </w:p>
          <w:p>
            <w:pPr>
              <w:pStyle w:val="TableParagraph"/>
              <w:spacing w:line="252" w:lineRule="exact"/>
              <w:ind w:left="107"/>
              <w:rPr>
                <w:sz w:val="22"/>
              </w:rPr>
            </w:pPr>
            <w:r>
              <w:rPr>
                <w:spacing w:val="-2"/>
                <w:sz w:val="22"/>
              </w:rPr>
              <w:t>Infrastructure</w:t>
            </w:r>
          </w:p>
        </w:tc>
        <w:tc>
          <w:tcPr>
            <w:tcW w:w="878" w:type="dxa"/>
          </w:tcPr>
          <w:p>
            <w:pPr>
              <w:pStyle w:val="TableParagraph"/>
              <w:spacing w:before="183"/>
              <w:ind w:left="249"/>
              <w:rPr>
                <w:sz w:val="22"/>
              </w:rPr>
            </w:pPr>
            <w:r>
              <w:rPr>
                <w:spacing w:val="-5"/>
                <w:sz w:val="22"/>
              </w:rPr>
              <w:t>Agg</w:t>
            </w:r>
          </w:p>
        </w:tc>
        <w:tc>
          <w:tcPr>
            <w:tcW w:w="1317" w:type="dxa"/>
          </w:tcPr>
          <w:p>
            <w:pPr>
              <w:pStyle w:val="TableParagraph"/>
              <w:spacing w:before="183"/>
              <w:ind w:left="441"/>
              <w:rPr>
                <w:sz w:val="22"/>
              </w:rPr>
            </w:pPr>
            <w:r>
              <w:rPr>
                <w:spacing w:val="-4"/>
                <w:sz w:val="22"/>
              </w:rPr>
              <w:t>Both</w:t>
            </w:r>
          </w:p>
        </w:tc>
        <w:tc>
          <w:tcPr>
            <w:tcW w:w="988" w:type="dxa"/>
          </w:tcPr>
          <w:p>
            <w:pPr>
              <w:pStyle w:val="TableParagraph"/>
              <w:spacing w:before="183"/>
              <w:ind w:left="8"/>
              <w:jc w:val="center"/>
              <w:rPr>
                <w:sz w:val="22"/>
              </w:rPr>
            </w:pPr>
            <w:r>
              <w:rPr>
                <w:w w:val="100"/>
                <w:sz w:val="22"/>
              </w:rPr>
              <w:t>-</w:t>
            </w:r>
          </w:p>
        </w:tc>
        <w:tc>
          <w:tcPr>
            <w:tcW w:w="1535" w:type="dxa"/>
          </w:tcPr>
          <w:p>
            <w:pPr>
              <w:pStyle w:val="TableParagraph"/>
              <w:spacing w:before="183"/>
              <w:ind w:left="208" w:right="195"/>
              <w:jc w:val="center"/>
              <w:rPr>
                <w:sz w:val="22"/>
              </w:rPr>
            </w:pPr>
            <w:r>
              <w:rPr>
                <w:spacing w:val="-2"/>
                <w:sz w:val="22"/>
              </w:rPr>
              <w:t>$4,000,000</w:t>
            </w:r>
          </w:p>
        </w:tc>
        <w:tc>
          <w:tcPr>
            <w:tcW w:w="1645" w:type="dxa"/>
          </w:tcPr>
          <w:p>
            <w:pPr>
              <w:pStyle w:val="TableParagraph"/>
              <w:spacing w:before="183"/>
              <w:ind w:left="210" w:right="194"/>
              <w:jc w:val="center"/>
              <w:rPr>
                <w:sz w:val="22"/>
              </w:rPr>
            </w:pPr>
            <w:r>
              <w:rPr>
                <w:spacing w:val="-2"/>
                <w:sz w:val="22"/>
              </w:rPr>
              <w:t>$3,000,000</w:t>
            </w:r>
          </w:p>
        </w:tc>
        <w:tc>
          <w:tcPr>
            <w:tcW w:w="1645" w:type="dxa"/>
          </w:tcPr>
          <w:p>
            <w:pPr>
              <w:pStyle w:val="TableParagraph"/>
              <w:spacing w:before="183"/>
              <w:ind w:left="212" w:right="194"/>
              <w:jc w:val="center"/>
              <w:rPr>
                <w:sz w:val="22"/>
              </w:rPr>
            </w:pPr>
            <w:r>
              <w:rPr>
                <w:spacing w:val="-2"/>
                <w:sz w:val="22"/>
              </w:rPr>
              <w:t>$1,000,000</w:t>
            </w:r>
          </w:p>
        </w:tc>
        <w:tc>
          <w:tcPr>
            <w:tcW w:w="1647" w:type="dxa"/>
          </w:tcPr>
          <w:p>
            <w:pPr>
              <w:pStyle w:val="TableParagraph"/>
              <w:spacing w:before="183"/>
              <w:ind w:left="15"/>
              <w:jc w:val="center"/>
              <w:rPr>
                <w:sz w:val="22"/>
              </w:rPr>
            </w:pPr>
            <w:r>
              <w:rPr>
                <w:w w:val="100"/>
                <w:sz w:val="22"/>
              </w:rPr>
              <w:t>-</w:t>
            </w:r>
          </w:p>
        </w:tc>
        <w:tc>
          <w:tcPr>
            <w:tcW w:w="1642" w:type="dxa"/>
          </w:tcPr>
          <w:p>
            <w:pPr>
              <w:pStyle w:val="TableParagraph"/>
              <w:spacing w:before="183"/>
              <w:ind w:left="19"/>
              <w:jc w:val="center"/>
              <w:rPr>
                <w:sz w:val="22"/>
              </w:rPr>
            </w:pPr>
            <w:r>
              <w:rPr>
                <w:w w:val="100"/>
                <w:sz w:val="22"/>
              </w:rPr>
              <w:t>-</w:t>
            </w:r>
          </w:p>
        </w:tc>
      </w:tr>
    </w:tbl>
    <w:p>
      <w:pPr>
        <w:spacing w:after="0"/>
        <w:jc w:val="center"/>
        <w:rPr>
          <w:sz w:val="22"/>
        </w:rPr>
        <w:sectPr>
          <w:pgSz w:w="15840" w:h="12240" w:orient="landscape"/>
          <w:pgMar w:header="0" w:footer="1201" w:top="1380" w:bottom="1400" w:left="1200" w:right="1340"/>
        </w:sectPr>
      </w:pPr>
    </w:p>
    <w:p>
      <w:pPr>
        <w:pStyle w:val="BodyText"/>
        <w:spacing w:before="79"/>
        <w:ind w:left="1851" w:right="1111"/>
      </w:pPr>
      <w:r>
        <w:rPr/>
        <w:drawing>
          <wp:anchor distT="0" distB="0" distL="0" distR="0" allowOverlap="1" layoutInCell="1" locked="0" behindDoc="0" simplePos="0" relativeHeight="16116224">
            <wp:simplePos x="0" y="0"/>
            <wp:positionH relativeFrom="page">
              <wp:posOffset>832103</wp:posOffset>
            </wp:positionH>
            <wp:positionV relativeFrom="paragraph">
              <wp:posOffset>85777</wp:posOffset>
            </wp:positionV>
            <wp:extent cx="359663" cy="112763"/>
            <wp:effectExtent l="0" t="0" r="0" b="0"/>
            <wp:wrapNone/>
            <wp:docPr id="785" name="Image 785"/>
            <wp:cNvGraphicFramePr>
              <a:graphicFrameLocks/>
            </wp:cNvGraphicFramePr>
            <a:graphic>
              <a:graphicData uri="http://schemas.openxmlformats.org/drawingml/2006/picture">
                <pic:pic>
                  <pic:nvPicPr>
                    <pic:cNvPr id="785" name="Image 785"/>
                    <pic:cNvPicPr/>
                  </pic:nvPicPr>
                  <pic:blipFill>
                    <a:blip r:embed="rId311" cstate="print"/>
                    <a:stretch>
                      <a:fillRect/>
                    </a:stretch>
                  </pic:blipFill>
                  <pic:spPr>
                    <a:xfrm>
                      <a:off x="0" y="0"/>
                      <a:ext cx="359663" cy="112763"/>
                    </a:xfrm>
                    <a:prstGeom prst="rect">
                      <a:avLst/>
                    </a:prstGeom>
                  </pic:spPr>
                </pic:pic>
              </a:graphicData>
            </a:graphic>
          </wp:anchor>
        </w:drawing>
      </w:r>
      <w:bookmarkStart w:name="19.15. Composite Federal Share. The Comp" w:id="1085"/>
      <w:bookmarkEnd w:id="1085"/>
      <w:r>
        <w:rPr/>
      </w:r>
      <w:r>
        <w:rPr>
          <w:b/>
        </w:rPr>
        <w:t>Composite Federal Share. </w:t>
      </w:r>
      <w:r>
        <w:rPr/>
        <w:t>The Composite Federal Share is the ratio that will be used to convert the total computable budget neutrality limit to federal share. The Composite Federal Share is the ratio calculated by</w:t>
      </w:r>
      <w:r>
        <w:rPr>
          <w:spacing w:val="-3"/>
        </w:rPr>
        <w:t> </w:t>
      </w:r>
      <w:r>
        <w:rPr/>
        <w:t>dividing</w:t>
      </w:r>
      <w:r>
        <w:rPr>
          <w:spacing w:val="-1"/>
        </w:rPr>
        <w:t> </w:t>
      </w:r>
      <w:r>
        <w:rPr/>
        <w:t>the sum total of FFP received by</w:t>
      </w:r>
      <w:r>
        <w:rPr>
          <w:spacing w:val="-3"/>
        </w:rPr>
        <w:t> </w:t>
      </w:r>
      <w:r>
        <w:rPr/>
        <w:t>the state on actual demonstration expenditures during the approval period by total computable demonstration expenditures for the same period, as reported through MBES/CBES and summarized on Schedule C. Since the actual final Composite Federal Share will not be known until the end of the demonstration’s approval period, for the purpose of interim monitoring</w:t>
      </w:r>
      <w:r>
        <w:rPr>
          <w:spacing w:val="-6"/>
        </w:rPr>
        <w:t> </w:t>
      </w:r>
      <w:r>
        <w:rPr/>
        <w:t>of</w:t>
      </w:r>
      <w:r>
        <w:rPr>
          <w:spacing w:val="-4"/>
        </w:rPr>
        <w:t> </w:t>
      </w:r>
      <w:r>
        <w:rPr/>
        <w:t>budget</w:t>
      </w:r>
      <w:r>
        <w:rPr>
          <w:spacing w:val="-3"/>
        </w:rPr>
        <w:t> </w:t>
      </w:r>
      <w:r>
        <w:rPr/>
        <w:t>neutrality,</w:t>
      </w:r>
      <w:r>
        <w:rPr>
          <w:spacing w:val="-3"/>
        </w:rPr>
        <w:t> </w:t>
      </w:r>
      <w:r>
        <w:rPr/>
        <w:t>a</w:t>
      </w:r>
      <w:r>
        <w:rPr>
          <w:spacing w:val="-2"/>
        </w:rPr>
        <w:t> </w:t>
      </w:r>
      <w:r>
        <w:rPr/>
        <w:t>reasonable</w:t>
      </w:r>
      <w:r>
        <w:rPr>
          <w:spacing w:val="-4"/>
        </w:rPr>
        <w:t> </w:t>
      </w:r>
      <w:r>
        <w:rPr/>
        <w:t>estimate</w:t>
      </w:r>
      <w:r>
        <w:rPr>
          <w:spacing w:val="-4"/>
        </w:rPr>
        <w:t> </w:t>
      </w:r>
      <w:r>
        <w:rPr/>
        <w:t>of</w:t>
      </w:r>
      <w:r>
        <w:rPr>
          <w:spacing w:val="-4"/>
        </w:rPr>
        <w:t> </w:t>
      </w:r>
      <w:r>
        <w:rPr/>
        <w:t>Composite</w:t>
      </w:r>
      <w:r>
        <w:rPr>
          <w:spacing w:val="-4"/>
        </w:rPr>
        <w:t> </w:t>
      </w:r>
      <w:r>
        <w:rPr/>
        <w:t>Federal</w:t>
      </w:r>
      <w:r>
        <w:rPr>
          <w:spacing w:val="-3"/>
        </w:rPr>
        <w:t> </w:t>
      </w:r>
      <w:r>
        <w:rPr/>
        <w:t>Share</w:t>
      </w:r>
      <w:r>
        <w:rPr>
          <w:spacing w:val="-4"/>
        </w:rPr>
        <w:t> </w:t>
      </w:r>
      <w:r>
        <w:rPr/>
        <w:t>may</w:t>
      </w:r>
      <w:r>
        <w:rPr>
          <w:spacing w:val="-7"/>
        </w:rPr>
        <w:t> </w:t>
      </w:r>
      <w:r>
        <w:rPr/>
        <w:t>be developed</w:t>
      </w:r>
      <w:r>
        <w:rPr>
          <w:spacing w:val="-1"/>
        </w:rPr>
        <w:t> </w:t>
      </w:r>
      <w:r>
        <w:rPr/>
        <w:t>and</w:t>
      </w:r>
      <w:r>
        <w:rPr>
          <w:spacing w:val="-1"/>
        </w:rPr>
        <w:t> </w:t>
      </w:r>
      <w:r>
        <w:rPr/>
        <w:t>used</w:t>
      </w:r>
      <w:r>
        <w:rPr>
          <w:spacing w:val="-1"/>
        </w:rPr>
        <w:t> </w:t>
      </w:r>
      <w:r>
        <w:rPr/>
        <w:t>through</w:t>
      </w:r>
      <w:r>
        <w:rPr>
          <w:spacing w:val="-1"/>
        </w:rPr>
        <w:t> </w:t>
      </w:r>
      <w:r>
        <w:rPr/>
        <w:t>the</w:t>
      </w:r>
      <w:r>
        <w:rPr>
          <w:spacing w:val="-2"/>
        </w:rPr>
        <w:t> </w:t>
      </w:r>
      <w:r>
        <w:rPr/>
        <w:t>same</w:t>
      </w:r>
      <w:r>
        <w:rPr>
          <w:spacing w:val="-2"/>
        </w:rPr>
        <w:t> </w:t>
      </w:r>
      <w:r>
        <w:rPr/>
        <w:t>process</w:t>
      </w:r>
      <w:r>
        <w:rPr>
          <w:spacing w:val="-1"/>
        </w:rPr>
        <w:t> </w:t>
      </w:r>
      <w:r>
        <w:rPr/>
        <w:t>or</w:t>
      </w:r>
      <w:r>
        <w:rPr>
          <w:spacing w:val="-2"/>
        </w:rPr>
        <w:t> </w:t>
      </w:r>
      <w:r>
        <w:rPr/>
        <w:t>through an</w:t>
      </w:r>
      <w:r>
        <w:rPr>
          <w:spacing w:val="-1"/>
        </w:rPr>
        <w:t> </w:t>
      </w:r>
      <w:r>
        <w:rPr/>
        <w:t>alternative</w:t>
      </w:r>
      <w:r>
        <w:rPr>
          <w:spacing w:val="-2"/>
        </w:rPr>
        <w:t> </w:t>
      </w:r>
      <w:r>
        <w:rPr/>
        <w:t>mutually</w:t>
      </w:r>
      <w:r>
        <w:rPr>
          <w:spacing w:val="-6"/>
        </w:rPr>
        <w:t> </w:t>
      </w:r>
      <w:r>
        <w:rPr/>
        <w:t>agreed</w:t>
      </w:r>
      <w:r>
        <w:rPr>
          <w:spacing w:val="-1"/>
        </w:rPr>
        <w:t> </w:t>
      </w:r>
      <w:r>
        <w:rPr/>
        <w:t>to method. Each Budget Neutrality Test has its own Composite Federal Share, as defined in the paragraph pertaining to each particular test.</w:t>
      </w:r>
    </w:p>
    <w:p>
      <w:pPr>
        <w:pStyle w:val="BodyText"/>
        <w:spacing w:before="10"/>
        <w:rPr>
          <w:sz w:val="20"/>
        </w:rPr>
      </w:pPr>
    </w:p>
    <w:p>
      <w:pPr>
        <w:pStyle w:val="BodyText"/>
        <w:ind w:left="1851" w:right="1126"/>
      </w:pPr>
      <w:r>
        <w:rPr/>
        <w:drawing>
          <wp:anchor distT="0" distB="0" distL="0" distR="0" allowOverlap="1" layoutInCell="1" locked="0" behindDoc="0" simplePos="0" relativeHeight="16116736">
            <wp:simplePos x="0" y="0"/>
            <wp:positionH relativeFrom="page">
              <wp:posOffset>832103</wp:posOffset>
            </wp:positionH>
            <wp:positionV relativeFrom="paragraph">
              <wp:posOffset>35612</wp:posOffset>
            </wp:positionV>
            <wp:extent cx="359663" cy="112763"/>
            <wp:effectExtent l="0" t="0" r="0" b="0"/>
            <wp:wrapNone/>
            <wp:docPr id="786" name="Image 786"/>
            <wp:cNvGraphicFramePr>
              <a:graphicFrameLocks/>
            </wp:cNvGraphicFramePr>
            <a:graphic>
              <a:graphicData uri="http://schemas.openxmlformats.org/drawingml/2006/picture">
                <pic:pic>
                  <pic:nvPicPr>
                    <pic:cNvPr id="786" name="Image 786"/>
                    <pic:cNvPicPr/>
                  </pic:nvPicPr>
                  <pic:blipFill>
                    <a:blip r:embed="rId312" cstate="print"/>
                    <a:stretch>
                      <a:fillRect/>
                    </a:stretch>
                  </pic:blipFill>
                  <pic:spPr>
                    <a:xfrm>
                      <a:off x="0" y="0"/>
                      <a:ext cx="359663" cy="112763"/>
                    </a:xfrm>
                    <a:prstGeom prst="rect">
                      <a:avLst/>
                    </a:prstGeom>
                  </pic:spPr>
                </pic:pic>
              </a:graphicData>
            </a:graphic>
          </wp:anchor>
        </w:drawing>
      </w:r>
      <w:bookmarkStart w:name="19.16. Exceeding Budget Neutrality. CMS " w:id="1086"/>
      <w:bookmarkEnd w:id="1086"/>
      <w:r>
        <w:rPr/>
      </w:r>
      <w:r>
        <w:rPr>
          <w:b/>
        </w:rPr>
        <w:t>Exceeding Budget Neutrality</w:t>
      </w:r>
      <w:r>
        <w:rPr/>
        <w:t>. CMS will enforce the budget neutrality agreement over</w:t>
      </w:r>
      <w:r>
        <w:rPr>
          <w:spacing w:val="40"/>
        </w:rPr>
        <w:t> </w:t>
      </w:r>
      <w:r>
        <w:rPr/>
        <w:t>the</w:t>
      </w:r>
      <w:r>
        <w:rPr>
          <w:spacing w:val="-4"/>
        </w:rPr>
        <w:t> </w:t>
      </w:r>
      <w:r>
        <w:rPr/>
        <w:t>demonstration</w:t>
      </w:r>
      <w:r>
        <w:rPr>
          <w:spacing w:val="-3"/>
        </w:rPr>
        <w:t> </w:t>
      </w:r>
      <w:r>
        <w:rPr/>
        <w:t>period,</w:t>
      </w:r>
      <w:r>
        <w:rPr>
          <w:spacing w:val="-3"/>
        </w:rPr>
        <w:t> </w:t>
      </w:r>
      <w:r>
        <w:rPr/>
        <w:t>which</w:t>
      </w:r>
      <w:r>
        <w:rPr>
          <w:spacing w:val="-3"/>
        </w:rPr>
        <w:t> </w:t>
      </w:r>
      <w:r>
        <w:rPr/>
        <w:t>extends</w:t>
      </w:r>
      <w:r>
        <w:rPr>
          <w:spacing w:val="-3"/>
        </w:rPr>
        <w:t> </w:t>
      </w:r>
      <w:r>
        <w:rPr/>
        <w:t>from</w:t>
      </w:r>
      <w:r>
        <w:rPr>
          <w:spacing w:val="-3"/>
        </w:rPr>
        <w:t> </w:t>
      </w:r>
      <w:r>
        <w:rPr/>
        <w:t>October</w:t>
      </w:r>
      <w:r>
        <w:rPr>
          <w:spacing w:val="-4"/>
        </w:rPr>
        <w:t> </w:t>
      </w:r>
      <w:r>
        <w:rPr/>
        <w:t>1,</w:t>
      </w:r>
      <w:r>
        <w:rPr>
          <w:spacing w:val="-3"/>
        </w:rPr>
        <w:t> </w:t>
      </w:r>
      <w:r>
        <w:rPr/>
        <w:t>2022</w:t>
      </w:r>
      <w:r>
        <w:rPr>
          <w:spacing w:val="-3"/>
        </w:rPr>
        <w:t> </w:t>
      </w:r>
      <w:r>
        <w:rPr/>
        <w:t>to</w:t>
      </w:r>
      <w:r>
        <w:rPr>
          <w:spacing w:val="-3"/>
        </w:rPr>
        <w:t> </w:t>
      </w:r>
      <w:r>
        <w:rPr/>
        <w:t>December</w:t>
      </w:r>
      <w:r>
        <w:rPr>
          <w:spacing w:val="-4"/>
        </w:rPr>
        <w:t> </w:t>
      </w:r>
      <w:r>
        <w:rPr/>
        <w:t>31,</w:t>
      </w:r>
      <w:r>
        <w:rPr>
          <w:spacing w:val="-3"/>
        </w:rPr>
        <w:t> </w:t>
      </w:r>
      <w:r>
        <w:rPr/>
        <w:t>2027.</w:t>
      </w:r>
      <w:r>
        <w:rPr>
          <w:spacing w:val="-3"/>
        </w:rPr>
        <w:t> </w:t>
      </w:r>
      <w:r>
        <w:rPr/>
        <w:t>The Main Budget Neutrality Test for this demonstration period may incorporate carry-forward savings, that is, net savings from up to 10 years of the immediately prior demonstration approval period(s) (July 1, 2012 to June 30, 2022). If at the end of the demonstration approval period the Main Budget Neutrality Test or a Capped Hypothetical Budget Neutrality Test has been exceeded, the excess federal funds will be returned to CMS. If</w:t>
      </w:r>
      <w:r>
        <w:rPr>
          <w:spacing w:val="40"/>
        </w:rPr>
        <w:t> </w:t>
      </w:r>
      <w:r>
        <w:rPr/>
        <w:t>the Demonstration is terminated prior to the end of the budget neutrality agreement, the budget neutrality test shall be based on the time elapsed through the termination date.</w:t>
      </w:r>
    </w:p>
    <w:p>
      <w:pPr>
        <w:pStyle w:val="BodyText"/>
        <w:spacing w:before="10"/>
        <w:rPr>
          <w:sz w:val="20"/>
        </w:rPr>
      </w:pPr>
    </w:p>
    <w:p>
      <w:pPr>
        <w:pStyle w:val="BodyText"/>
        <w:ind w:left="1851" w:right="1178"/>
      </w:pPr>
      <w:r>
        <w:rPr/>
        <w:drawing>
          <wp:anchor distT="0" distB="0" distL="0" distR="0" allowOverlap="1" layoutInCell="1" locked="0" behindDoc="0" simplePos="0" relativeHeight="16117248">
            <wp:simplePos x="0" y="0"/>
            <wp:positionH relativeFrom="page">
              <wp:posOffset>832103</wp:posOffset>
            </wp:positionH>
            <wp:positionV relativeFrom="paragraph">
              <wp:posOffset>35599</wp:posOffset>
            </wp:positionV>
            <wp:extent cx="359663" cy="112775"/>
            <wp:effectExtent l="0" t="0" r="0" b="0"/>
            <wp:wrapNone/>
            <wp:docPr id="787" name="Image 787"/>
            <wp:cNvGraphicFramePr>
              <a:graphicFrameLocks/>
            </wp:cNvGraphicFramePr>
            <a:graphic>
              <a:graphicData uri="http://schemas.openxmlformats.org/drawingml/2006/picture">
                <pic:pic>
                  <pic:nvPicPr>
                    <pic:cNvPr id="787" name="Image 787"/>
                    <pic:cNvPicPr/>
                  </pic:nvPicPr>
                  <pic:blipFill>
                    <a:blip r:embed="rId313" cstate="print"/>
                    <a:stretch>
                      <a:fillRect/>
                    </a:stretch>
                  </pic:blipFill>
                  <pic:spPr>
                    <a:xfrm>
                      <a:off x="0" y="0"/>
                      <a:ext cx="359663" cy="112775"/>
                    </a:xfrm>
                    <a:prstGeom prst="rect">
                      <a:avLst/>
                    </a:prstGeom>
                  </pic:spPr>
                </pic:pic>
              </a:graphicData>
            </a:graphic>
          </wp:anchor>
        </w:drawing>
      </w:r>
      <w:bookmarkStart w:name="19.17. Budget Neutrality Savings Cap. Th" w:id="1087"/>
      <w:bookmarkEnd w:id="1087"/>
      <w:r>
        <w:rPr/>
      </w:r>
      <w:r>
        <w:rPr>
          <w:b/>
        </w:rPr>
        <w:t>Budget Neutrality Savings Cap. </w:t>
      </w:r>
      <w:r>
        <w:rPr/>
        <w:t>The amount of savings available for use by the state during</w:t>
      </w:r>
      <w:r>
        <w:rPr>
          <w:spacing w:val="-2"/>
        </w:rPr>
        <w:t> </w:t>
      </w:r>
      <w:r>
        <w:rPr/>
        <w:t>this demonstration period will be limited to the lower of these two amounts: 1) the savings amount the state has available in the current demonstration period, including carry-forward savings as described in STC 19.16, or 2) 15 percent of the state’s projected total Medicaid expenditures in aggregate for this demonstration period. This projection will</w:t>
      </w:r>
      <w:r>
        <w:rPr>
          <w:spacing w:val="-2"/>
        </w:rPr>
        <w:t> </w:t>
      </w:r>
      <w:r>
        <w:rPr/>
        <w:t>be</w:t>
      </w:r>
      <w:r>
        <w:rPr>
          <w:spacing w:val="-3"/>
        </w:rPr>
        <w:t> </w:t>
      </w:r>
      <w:r>
        <w:rPr/>
        <w:t>determined</w:t>
      </w:r>
      <w:r>
        <w:rPr>
          <w:spacing w:val="-2"/>
        </w:rPr>
        <w:t> </w:t>
      </w:r>
      <w:r>
        <w:rPr/>
        <w:t>by</w:t>
      </w:r>
      <w:r>
        <w:rPr>
          <w:spacing w:val="-7"/>
        </w:rPr>
        <w:t> </w:t>
      </w:r>
      <w:r>
        <w:rPr/>
        <w:t>taking</w:t>
      </w:r>
      <w:r>
        <w:rPr>
          <w:spacing w:val="-5"/>
        </w:rPr>
        <w:t> </w:t>
      </w:r>
      <w:r>
        <w:rPr/>
        <w:t>the</w:t>
      </w:r>
      <w:r>
        <w:rPr>
          <w:spacing w:val="-3"/>
        </w:rPr>
        <w:t> </w:t>
      </w:r>
      <w:r>
        <w:rPr/>
        <w:t>state’s</w:t>
      </w:r>
      <w:r>
        <w:rPr>
          <w:spacing w:val="-2"/>
        </w:rPr>
        <w:t> </w:t>
      </w:r>
      <w:r>
        <w:rPr/>
        <w:t>total</w:t>
      </w:r>
      <w:r>
        <w:rPr>
          <w:spacing w:val="-2"/>
        </w:rPr>
        <w:t> </w:t>
      </w:r>
      <w:r>
        <w:rPr/>
        <w:t>Medicaid</w:t>
      </w:r>
      <w:r>
        <w:rPr>
          <w:spacing w:val="-3"/>
        </w:rPr>
        <w:t> </w:t>
      </w:r>
      <w:r>
        <w:rPr/>
        <w:t>spending</w:t>
      </w:r>
      <w:r>
        <w:rPr>
          <w:spacing w:val="-5"/>
        </w:rPr>
        <w:t> </w:t>
      </w:r>
      <w:r>
        <w:rPr/>
        <w:t>amount</w:t>
      </w:r>
      <w:r>
        <w:rPr>
          <w:spacing w:val="-2"/>
        </w:rPr>
        <w:t> </w:t>
      </w:r>
      <w:r>
        <w:rPr/>
        <w:t>in</w:t>
      </w:r>
      <w:r>
        <w:rPr>
          <w:spacing w:val="-2"/>
        </w:rPr>
        <w:t> </w:t>
      </w:r>
      <w:r>
        <w:rPr/>
        <w:t>its</w:t>
      </w:r>
      <w:r>
        <w:rPr>
          <w:spacing w:val="-2"/>
        </w:rPr>
        <w:t> </w:t>
      </w:r>
      <w:r>
        <w:rPr/>
        <w:t>most</w:t>
      </w:r>
      <w:r>
        <w:rPr>
          <w:spacing w:val="-2"/>
        </w:rPr>
        <w:t> </w:t>
      </w:r>
      <w:r>
        <w:rPr/>
        <w:t>recent year with completed data and trending it forward by</w:t>
      </w:r>
      <w:r>
        <w:rPr>
          <w:spacing w:val="-1"/>
        </w:rPr>
        <w:t> </w:t>
      </w:r>
      <w:r>
        <w:rPr/>
        <w:t>the President’s Budget trend rate for this demonstration period. Fifteen percent of the state’s total projected Medicaid expenditures for this demonstration period is $18,699,799,972.</w:t>
      </w:r>
    </w:p>
    <w:p>
      <w:pPr>
        <w:spacing w:after="0"/>
        <w:sectPr>
          <w:footerReference w:type="default" r:id="rId310"/>
          <w:pgSz w:w="12240" w:h="15840"/>
          <w:pgMar w:footer="1201" w:header="0" w:top="1360" w:bottom="1400" w:left="220" w:right="340"/>
        </w:sectPr>
      </w:pPr>
    </w:p>
    <w:p>
      <w:pPr>
        <w:pStyle w:val="BodyText"/>
        <w:spacing w:before="79"/>
        <w:ind w:left="1851" w:right="1111"/>
      </w:pPr>
      <w:r>
        <w:rPr/>
        <w:drawing>
          <wp:anchor distT="0" distB="0" distL="0" distR="0" allowOverlap="1" layoutInCell="1" locked="0" behindDoc="0" simplePos="0" relativeHeight="16117760">
            <wp:simplePos x="0" y="0"/>
            <wp:positionH relativeFrom="page">
              <wp:posOffset>832103</wp:posOffset>
            </wp:positionH>
            <wp:positionV relativeFrom="paragraph">
              <wp:posOffset>85777</wp:posOffset>
            </wp:positionV>
            <wp:extent cx="359663" cy="112763"/>
            <wp:effectExtent l="0" t="0" r="0" b="0"/>
            <wp:wrapNone/>
            <wp:docPr id="788" name="Image 788"/>
            <wp:cNvGraphicFramePr>
              <a:graphicFrameLocks/>
            </wp:cNvGraphicFramePr>
            <a:graphic>
              <a:graphicData uri="http://schemas.openxmlformats.org/drawingml/2006/picture">
                <pic:pic>
                  <pic:nvPicPr>
                    <pic:cNvPr id="788" name="Image 788"/>
                    <pic:cNvPicPr/>
                  </pic:nvPicPr>
                  <pic:blipFill>
                    <a:blip r:embed="rId314" cstate="print"/>
                    <a:stretch>
                      <a:fillRect/>
                    </a:stretch>
                  </pic:blipFill>
                  <pic:spPr>
                    <a:xfrm>
                      <a:off x="0" y="0"/>
                      <a:ext cx="359663" cy="112763"/>
                    </a:xfrm>
                    <a:prstGeom prst="rect">
                      <a:avLst/>
                    </a:prstGeom>
                  </pic:spPr>
                </pic:pic>
              </a:graphicData>
            </a:graphic>
          </wp:anchor>
        </w:drawing>
      </w:r>
      <w:bookmarkStart w:name="19.18. Corrective Action Plan. If at any" w:id="1088"/>
      <w:bookmarkEnd w:id="1088"/>
      <w:r>
        <w:rPr/>
      </w:r>
      <w:r>
        <w:rPr>
          <w:b/>
        </w:rPr>
        <w:t>Corrective Action Plan. </w:t>
      </w:r>
      <w:r>
        <w:rPr/>
        <w:t>If at any time during the demonstration approval period CMS determines that the demonstration is on course to exceed its budget neutrality expenditure limit, CMS will require the state to submit a corrective action plan for CMS review and approval.</w:t>
      </w:r>
      <w:r>
        <w:rPr>
          <w:spacing w:val="40"/>
        </w:rPr>
        <w:t> </w:t>
      </w:r>
      <w:r>
        <w:rPr/>
        <w:t>CMS</w:t>
      </w:r>
      <w:r>
        <w:rPr>
          <w:spacing w:val="-3"/>
        </w:rPr>
        <w:t> </w:t>
      </w:r>
      <w:r>
        <w:rPr/>
        <w:t>will</w:t>
      </w:r>
      <w:r>
        <w:rPr>
          <w:spacing w:val="-3"/>
        </w:rPr>
        <w:t> </w:t>
      </w:r>
      <w:r>
        <w:rPr/>
        <w:t>use</w:t>
      </w:r>
      <w:r>
        <w:rPr>
          <w:spacing w:val="-4"/>
        </w:rPr>
        <w:t> </w:t>
      </w:r>
      <w:r>
        <w:rPr/>
        <w:t>the</w:t>
      </w:r>
      <w:r>
        <w:rPr>
          <w:spacing w:val="-4"/>
        </w:rPr>
        <w:t> </w:t>
      </w:r>
      <w:r>
        <w:rPr/>
        <w:t>threshold</w:t>
      </w:r>
      <w:r>
        <w:rPr>
          <w:spacing w:val="-3"/>
        </w:rPr>
        <w:t> </w:t>
      </w:r>
      <w:r>
        <w:rPr/>
        <w:t>levels</w:t>
      </w:r>
      <w:r>
        <w:rPr>
          <w:spacing w:val="-3"/>
        </w:rPr>
        <w:t> </w:t>
      </w:r>
      <w:r>
        <w:rPr/>
        <w:t>in</w:t>
      </w:r>
      <w:r>
        <w:rPr>
          <w:spacing w:val="-3"/>
        </w:rPr>
        <w:t> </w:t>
      </w:r>
      <w:r>
        <w:rPr/>
        <w:t>the</w:t>
      </w:r>
      <w:r>
        <w:rPr>
          <w:spacing w:val="-4"/>
        </w:rPr>
        <w:t> </w:t>
      </w:r>
      <w:r>
        <w:rPr/>
        <w:t>tables</w:t>
      </w:r>
      <w:r>
        <w:rPr>
          <w:spacing w:val="-3"/>
        </w:rPr>
        <w:t> </w:t>
      </w:r>
      <w:r>
        <w:rPr/>
        <w:t>below</w:t>
      </w:r>
      <w:r>
        <w:rPr>
          <w:spacing w:val="-4"/>
        </w:rPr>
        <w:t> </w:t>
      </w:r>
      <w:r>
        <w:rPr/>
        <w:t>as</w:t>
      </w:r>
      <w:r>
        <w:rPr>
          <w:spacing w:val="-1"/>
        </w:rPr>
        <w:t> </w:t>
      </w:r>
      <w:r>
        <w:rPr/>
        <w:t>a</w:t>
      </w:r>
      <w:r>
        <w:rPr>
          <w:spacing w:val="-2"/>
        </w:rPr>
        <w:t> </w:t>
      </w:r>
      <w:r>
        <w:rPr/>
        <w:t>guide</w:t>
      </w:r>
      <w:r>
        <w:rPr>
          <w:spacing w:val="-2"/>
        </w:rPr>
        <w:t> </w:t>
      </w:r>
      <w:r>
        <w:rPr/>
        <w:t>for</w:t>
      </w:r>
      <w:r>
        <w:rPr>
          <w:spacing w:val="-4"/>
        </w:rPr>
        <w:t> </w:t>
      </w:r>
      <w:r>
        <w:rPr/>
        <w:t>determining when corrective action is required.</w:t>
      </w:r>
    </w:p>
    <w:p>
      <w:pPr>
        <w:pStyle w:val="BodyText"/>
        <w:spacing w:before="11"/>
        <w:rPr>
          <w:sz w:val="20"/>
        </w:rPr>
      </w:pPr>
    </w:p>
    <w:tbl>
      <w:tblPr>
        <w:tblW w:w="0" w:type="auto"/>
        <w:jc w:val="left"/>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75"/>
        <w:gridCol w:w="3871"/>
        <w:gridCol w:w="2604"/>
      </w:tblGrid>
      <w:tr>
        <w:trPr>
          <w:trHeight w:val="457" w:hRule="atLeast"/>
        </w:trPr>
        <w:tc>
          <w:tcPr>
            <w:tcW w:w="9350" w:type="dxa"/>
            <w:gridSpan w:val="3"/>
            <w:shd w:val="clear" w:color="auto" w:fill="DBE4F0"/>
          </w:tcPr>
          <w:p>
            <w:pPr>
              <w:pStyle w:val="TableParagraph"/>
              <w:spacing w:before="61"/>
              <w:ind w:left="1458" w:right="1448"/>
              <w:jc w:val="center"/>
              <w:rPr>
                <w:b/>
                <w:sz w:val="22"/>
              </w:rPr>
            </w:pPr>
            <w:r>
              <w:rPr>
                <w:b/>
                <w:sz w:val="22"/>
              </w:rPr>
              <w:t>Table</w:t>
            </w:r>
            <w:r>
              <w:rPr>
                <w:b/>
                <w:spacing w:val="-6"/>
                <w:sz w:val="22"/>
              </w:rPr>
              <w:t> </w:t>
            </w:r>
            <w:r>
              <w:rPr>
                <w:b/>
                <w:sz w:val="22"/>
              </w:rPr>
              <w:t>29:</w:t>
            </w:r>
            <w:r>
              <w:rPr>
                <w:b/>
                <w:spacing w:val="-6"/>
                <w:sz w:val="22"/>
              </w:rPr>
              <w:t> </w:t>
            </w:r>
            <w:r>
              <w:rPr>
                <w:b/>
                <w:sz w:val="22"/>
              </w:rPr>
              <w:t>Budget</w:t>
            </w:r>
            <w:r>
              <w:rPr>
                <w:b/>
                <w:spacing w:val="-2"/>
                <w:sz w:val="22"/>
              </w:rPr>
              <w:t> </w:t>
            </w:r>
            <w:r>
              <w:rPr>
                <w:b/>
                <w:sz w:val="22"/>
              </w:rPr>
              <w:t>Neutrality</w:t>
            </w:r>
            <w:r>
              <w:rPr>
                <w:b/>
                <w:spacing w:val="-4"/>
                <w:sz w:val="22"/>
              </w:rPr>
              <w:t> </w:t>
            </w:r>
            <w:r>
              <w:rPr>
                <w:b/>
                <w:sz w:val="22"/>
              </w:rPr>
              <w:t>Test</w:t>
            </w:r>
            <w:r>
              <w:rPr>
                <w:b/>
                <w:spacing w:val="-3"/>
                <w:sz w:val="22"/>
              </w:rPr>
              <w:t> </w:t>
            </w:r>
            <w:r>
              <w:rPr>
                <w:b/>
                <w:sz w:val="22"/>
              </w:rPr>
              <w:t>Corrective</w:t>
            </w:r>
            <w:r>
              <w:rPr>
                <w:b/>
                <w:spacing w:val="-5"/>
                <w:sz w:val="22"/>
              </w:rPr>
              <w:t> </w:t>
            </w:r>
            <w:r>
              <w:rPr>
                <w:b/>
                <w:sz w:val="22"/>
              </w:rPr>
              <w:t>Action</w:t>
            </w:r>
            <w:r>
              <w:rPr>
                <w:b/>
                <w:spacing w:val="-7"/>
                <w:sz w:val="22"/>
              </w:rPr>
              <w:t> </w:t>
            </w:r>
            <w:r>
              <w:rPr>
                <w:b/>
                <w:sz w:val="22"/>
              </w:rPr>
              <w:t>Plan</w:t>
            </w:r>
            <w:r>
              <w:rPr>
                <w:b/>
                <w:spacing w:val="-4"/>
                <w:sz w:val="22"/>
              </w:rPr>
              <w:t> </w:t>
            </w:r>
            <w:r>
              <w:rPr>
                <w:b/>
                <w:spacing w:val="-2"/>
                <w:sz w:val="22"/>
              </w:rPr>
              <w:t>Calculation</w:t>
            </w:r>
          </w:p>
        </w:tc>
      </w:tr>
      <w:tr>
        <w:trPr>
          <w:trHeight w:val="510" w:hRule="atLeast"/>
        </w:trPr>
        <w:tc>
          <w:tcPr>
            <w:tcW w:w="2875" w:type="dxa"/>
            <w:shd w:val="clear" w:color="auto" w:fill="DBE4F0"/>
          </w:tcPr>
          <w:p>
            <w:pPr>
              <w:pStyle w:val="TableParagraph"/>
              <w:spacing w:before="61"/>
              <w:ind w:left="472"/>
              <w:rPr>
                <w:b/>
                <w:sz w:val="22"/>
              </w:rPr>
            </w:pPr>
            <w:r>
              <w:rPr>
                <w:b/>
                <w:sz w:val="22"/>
              </w:rPr>
              <w:t>Demonstration</w:t>
            </w:r>
            <w:r>
              <w:rPr>
                <w:b/>
                <w:spacing w:val="-14"/>
                <w:sz w:val="22"/>
              </w:rPr>
              <w:t> </w:t>
            </w:r>
            <w:r>
              <w:rPr>
                <w:b/>
                <w:spacing w:val="-4"/>
                <w:sz w:val="22"/>
              </w:rPr>
              <w:t>Year</w:t>
            </w:r>
          </w:p>
        </w:tc>
        <w:tc>
          <w:tcPr>
            <w:tcW w:w="3871" w:type="dxa"/>
            <w:shd w:val="clear" w:color="auto" w:fill="DBE4F0"/>
          </w:tcPr>
          <w:p>
            <w:pPr>
              <w:pStyle w:val="TableParagraph"/>
              <w:spacing w:before="61"/>
              <w:ind w:left="542"/>
              <w:rPr>
                <w:b/>
                <w:sz w:val="22"/>
              </w:rPr>
            </w:pPr>
            <w:r>
              <w:rPr>
                <w:b/>
                <w:sz w:val="22"/>
              </w:rPr>
              <w:t>Cumulative</w:t>
            </w:r>
            <w:r>
              <w:rPr>
                <w:b/>
                <w:spacing w:val="-6"/>
                <w:sz w:val="22"/>
              </w:rPr>
              <w:t> </w:t>
            </w:r>
            <w:r>
              <w:rPr>
                <w:b/>
                <w:sz w:val="22"/>
              </w:rPr>
              <w:t>Target</w:t>
            </w:r>
            <w:r>
              <w:rPr>
                <w:b/>
                <w:spacing w:val="-5"/>
                <w:sz w:val="22"/>
              </w:rPr>
              <w:t> </w:t>
            </w:r>
            <w:r>
              <w:rPr>
                <w:b/>
                <w:spacing w:val="-2"/>
                <w:sz w:val="22"/>
              </w:rPr>
              <w:t>Definition</w:t>
            </w:r>
          </w:p>
        </w:tc>
        <w:tc>
          <w:tcPr>
            <w:tcW w:w="2604" w:type="dxa"/>
            <w:shd w:val="clear" w:color="auto" w:fill="DBE4F0"/>
          </w:tcPr>
          <w:p>
            <w:pPr>
              <w:pStyle w:val="TableParagraph"/>
              <w:spacing w:before="61"/>
              <w:ind w:left="780"/>
              <w:rPr>
                <w:b/>
                <w:sz w:val="22"/>
              </w:rPr>
            </w:pPr>
            <w:r>
              <w:rPr>
                <w:b/>
                <w:spacing w:val="-2"/>
                <w:sz w:val="22"/>
              </w:rPr>
              <w:t>Percentage</w:t>
            </w:r>
          </w:p>
        </w:tc>
      </w:tr>
      <w:tr>
        <w:trPr>
          <w:trHeight w:val="434" w:hRule="atLeast"/>
        </w:trPr>
        <w:tc>
          <w:tcPr>
            <w:tcW w:w="2875" w:type="dxa"/>
          </w:tcPr>
          <w:p>
            <w:pPr>
              <w:pStyle w:val="TableParagraph"/>
              <w:spacing w:before="89"/>
              <w:ind w:left="107"/>
              <w:rPr>
                <w:sz w:val="22"/>
              </w:rPr>
            </w:pPr>
            <w:r>
              <w:rPr>
                <w:sz w:val="22"/>
              </w:rPr>
              <w:t>DY</w:t>
            </w:r>
            <w:r>
              <w:rPr>
                <w:spacing w:val="-4"/>
                <w:sz w:val="22"/>
              </w:rPr>
              <w:t> </w:t>
            </w:r>
            <w:r>
              <w:rPr>
                <w:sz w:val="22"/>
              </w:rPr>
              <w:t>27</w:t>
            </w:r>
            <w:r>
              <w:rPr>
                <w:spacing w:val="-2"/>
                <w:sz w:val="22"/>
              </w:rPr>
              <w:t> </w:t>
            </w:r>
            <w:r>
              <w:rPr>
                <w:sz w:val="22"/>
              </w:rPr>
              <w:t>through</w:t>
            </w:r>
            <w:r>
              <w:rPr>
                <w:spacing w:val="-2"/>
                <w:sz w:val="22"/>
              </w:rPr>
              <w:t> </w:t>
            </w:r>
            <w:r>
              <w:rPr>
                <w:sz w:val="22"/>
              </w:rPr>
              <w:t>DY</w:t>
            </w:r>
            <w:r>
              <w:rPr>
                <w:spacing w:val="-3"/>
                <w:sz w:val="22"/>
              </w:rPr>
              <w:t> </w:t>
            </w:r>
            <w:r>
              <w:rPr>
                <w:spacing w:val="-5"/>
                <w:sz w:val="22"/>
              </w:rPr>
              <w:t>28</w:t>
            </w:r>
          </w:p>
        </w:tc>
        <w:tc>
          <w:tcPr>
            <w:tcW w:w="3871" w:type="dxa"/>
          </w:tcPr>
          <w:p>
            <w:pPr>
              <w:pStyle w:val="TableParagraph"/>
              <w:spacing w:before="89"/>
              <w:ind w:left="108"/>
              <w:rPr>
                <w:sz w:val="22"/>
              </w:rPr>
            </w:pPr>
            <w:r>
              <w:rPr>
                <w:sz w:val="22"/>
              </w:rPr>
              <w:t>Cumulative</w:t>
            </w:r>
            <w:r>
              <w:rPr>
                <w:spacing w:val="-5"/>
                <w:sz w:val="22"/>
              </w:rPr>
              <w:t> </w:t>
            </w:r>
            <w:r>
              <w:rPr>
                <w:sz w:val="22"/>
              </w:rPr>
              <w:t>budget</w:t>
            </w:r>
            <w:r>
              <w:rPr>
                <w:spacing w:val="-3"/>
                <w:sz w:val="22"/>
              </w:rPr>
              <w:t> </w:t>
            </w:r>
            <w:r>
              <w:rPr>
                <w:sz w:val="22"/>
              </w:rPr>
              <w:t>neutrality</w:t>
            </w:r>
            <w:r>
              <w:rPr>
                <w:spacing w:val="-6"/>
                <w:sz w:val="22"/>
              </w:rPr>
              <w:t> </w:t>
            </w:r>
            <w:r>
              <w:rPr>
                <w:sz w:val="22"/>
              </w:rPr>
              <w:t>limit</w:t>
            </w:r>
            <w:r>
              <w:rPr>
                <w:spacing w:val="-3"/>
                <w:sz w:val="22"/>
              </w:rPr>
              <w:t> </w:t>
            </w:r>
            <w:r>
              <w:rPr>
                <w:spacing w:val="-4"/>
                <w:sz w:val="22"/>
              </w:rPr>
              <w:t>plus:</w:t>
            </w:r>
          </w:p>
        </w:tc>
        <w:tc>
          <w:tcPr>
            <w:tcW w:w="2604" w:type="dxa"/>
          </w:tcPr>
          <w:p>
            <w:pPr>
              <w:pStyle w:val="TableParagraph"/>
              <w:spacing w:before="89"/>
              <w:ind w:left="105"/>
              <w:rPr>
                <w:sz w:val="22"/>
              </w:rPr>
            </w:pPr>
            <w:r>
              <w:rPr>
                <w:sz w:val="22"/>
              </w:rPr>
              <w:t>2.0 </w:t>
            </w:r>
            <w:r>
              <w:rPr>
                <w:spacing w:val="-2"/>
                <w:sz w:val="22"/>
              </w:rPr>
              <w:t>percent</w:t>
            </w:r>
          </w:p>
        </w:tc>
      </w:tr>
      <w:tr>
        <w:trPr>
          <w:trHeight w:val="431" w:hRule="atLeast"/>
        </w:trPr>
        <w:tc>
          <w:tcPr>
            <w:tcW w:w="2875" w:type="dxa"/>
          </w:tcPr>
          <w:p>
            <w:pPr>
              <w:pStyle w:val="TableParagraph"/>
              <w:spacing w:before="87"/>
              <w:ind w:left="107"/>
              <w:rPr>
                <w:sz w:val="22"/>
              </w:rPr>
            </w:pPr>
            <w:r>
              <w:rPr>
                <w:sz w:val="22"/>
              </w:rPr>
              <w:t>DY</w:t>
            </w:r>
            <w:r>
              <w:rPr>
                <w:spacing w:val="-4"/>
                <w:sz w:val="22"/>
              </w:rPr>
              <w:t> </w:t>
            </w:r>
            <w:r>
              <w:rPr>
                <w:sz w:val="22"/>
              </w:rPr>
              <w:t>27</w:t>
            </w:r>
            <w:r>
              <w:rPr>
                <w:spacing w:val="-2"/>
                <w:sz w:val="22"/>
              </w:rPr>
              <w:t> </w:t>
            </w:r>
            <w:r>
              <w:rPr>
                <w:sz w:val="22"/>
              </w:rPr>
              <w:t>through</w:t>
            </w:r>
            <w:r>
              <w:rPr>
                <w:spacing w:val="-2"/>
                <w:sz w:val="22"/>
              </w:rPr>
              <w:t> </w:t>
            </w:r>
            <w:r>
              <w:rPr>
                <w:sz w:val="22"/>
              </w:rPr>
              <w:t>DY</w:t>
            </w:r>
            <w:r>
              <w:rPr>
                <w:spacing w:val="-3"/>
                <w:sz w:val="22"/>
              </w:rPr>
              <w:t> </w:t>
            </w:r>
            <w:r>
              <w:rPr>
                <w:spacing w:val="-5"/>
                <w:sz w:val="22"/>
              </w:rPr>
              <w:t>29</w:t>
            </w:r>
          </w:p>
        </w:tc>
        <w:tc>
          <w:tcPr>
            <w:tcW w:w="3871" w:type="dxa"/>
          </w:tcPr>
          <w:p>
            <w:pPr>
              <w:pStyle w:val="TableParagraph"/>
              <w:spacing w:before="87"/>
              <w:ind w:left="108"/>
              <w:rPr>
                <w:sz w:val="22"/>
              </w:rPr>
            </w:pPr>
            <w:r>
              <w:rPr>
                <w:sz w:val="22"/>
              </w:rPr>
              <w:t>Cumulative</w:t>
            </w:r>
            <w:r>
              <w:rPr>
                <w:spacing w:val="-5"/>
                <w:sz w:val="22"/>
              </w:rPr>
              <w:t> </w:t>
            </w:r>
            <w:r>
              <w:rPr>
                <w:sz w:val="22"/>
              </w:rPr>
              <w:t>budget</w:t>
            </w:r>
            <w:r>
              <w:rPr>
                <w:spacing w:val="-3"/>
                <w:sz w:val="22"/>
              </w:rPr>
              <w:t> </w:t>
            </w:r>
            <w:r>
              <w:rPr>
                <w:sz w:val="22"/>
              </w:rPr>
              <w:t>neutrality</w:t>
            </w:r>
            <w:r>
              <w:rPr>
                <w:spacing w:val="-6"/>
                <w:sz w:val="22"/>
              </w:rPr>
              <w:t> </w:t>
            </w:r>
            <w:r>
              <w:rPr>
                <w:sz w:val="22"/>
              </w:rPr>
              <w:t>limit</w:t>
            </w:r>
            <w:r>
              <w:rPr>
                <w:spacing w:val="-3"/>
                <w:sz w:val="22"/>
              </w:rPr>
              <w:t> </w:t>
            </w:r>
            <w:r>
              <w:rPr>
                <w:spacing w:val="-2"/>
                <w:sz w:val="22"/>
              </w:rPr>
              <w:t>plus:</w:t>
            </w:r>
          </w:p>
        </w:tc>
        <w:tc>
          <w:tcPr>
            <w:tcW w:w="2604" w:type="dxa"/>
          </w:tcPr>
          <w:p>
            <w:pPr>
              <w:pStyle w:val="TableParagraph"/>
              <w:spacing w:before="87"/>
              <w:ind w:left="105"/>
              <w:rPr>
                <w:sz w:val="22"/>
              </w:rPr>
            </w:pPr>
            <w:r>
              <w:rPr>
                <w:sz w:val="22"/>
              </w:rPr>
              <w:t>1.5 </w:t>
            </w:r>
            <w:r>
              <w:rPr>
                <w:spacing w:val="-2"/>
                <w:sz w:val="22"/>
              </w:rPr>
              <w:t>percent</w:t>
            </w:r>
          </w:p>
        </w:tc>
      </w:tr>
      <w:tr>
        <w:trPr>
          <w:trHeight w:val="431" w:hRule="atLeast"/>
        </w:trPr>
        <w:tc>
          <w:tcPr>
            <w:tcW w:w="2875" w:type="dxa"/>
          </w:tcPr>
          <w:p>
            <w:pPr>
              <w:pStyle w:val="TableParagraph"/>
              <w:spacing w:before="87"/>
              <w:ind w:left="107"/>
              <w:rPr>
                <w:sz w:val="22"/>
              </w:rPr>
            </w:pPr>
            <w:r>
              <w:rPr>
                <w:sz w:val="22"/>
              </w:rPr>
              <w:t>DY</w:t>
            </w:r>
            <w:r>
              <w:rPr>
                <w:spacing w:val="-4"/>
                <w:sz w:val="22"/>
              </w:rPr>
              <w:t> </w:t>
            </w:r>
            <w:r>
              <w:rPr>
                <w:sz w:val="22"/>
              </w:rPr>
              <w:t>27</w:t>
            </w:r>
            <w:r>
              <w:rPr>
                <w:spacing w:val="-2"/>
                <w:sz w:val="22"/>
              </w:rPr>
              <w:t> </w:t>
            </w:r>
            <w:r>
              <w:rPr>
                <w:sz w:val="22"/>
              </w:rPr>
              <w:t>through</w:t>
            </w:r>
            <w:r>
              <w:rPr>
                <w:spacing w:val="-2"/>
                <w:sz w:val="22"/>
              </w:rPr>
              <w:t> </w:t>
            </w:r>
            <w:r>
              <w:rPr>
                <w:sz w:val="22"/>
              </w:rPr>
              <w:t>DY</w:t>
            </w:r>
            <w:r>
              <w:rPr>
                <w:spacing w:val="-3"/>
                <w:sz w:val="22"/>
              </w:rPr>
              <w:t> </w:t>
            </w:r>
            <w:r>
              <w:rPr>
                <w:spacing w:val="-5"/>
                <w:sz w:val="22"/>
              </w:rPr>
              <w:t>30</w:t>
            </w:r>
          </w:p>
        </w:tc>
        <w:tc>
          <w:tcPr>
            <w:tcW w:w="3871" w:type="dxa"/>
          </w:tcPr>
          <w:p>
            <w:pPr>
              <w:pStyle w:val="TableParagraph"/>
              <w:spacing w:before="87"/>
              <w:ind w:left="108"/>
              <w:rPr>
                <w:sz w:val="22"/>
              </w:rPr>
            </w:pPr>
            <w:r>
              <w:rPr>
                <w:sz w:val="22"/>
              </w:rPr>
              <w:t>Cumulative</w:t>
            </w:r>
            <w:r>
              <w:rPr>
                <w:spacing w:val="-5"/>
                <w:sz w:val="22"/>
              </w:rPr>
              <w:t> </w:t>
            </w:r>
            <w:r>
              <w:rPr>
                <w:sz w:val="22"/>
              </w:rPr>
              <w:t>budget</w:t>
            </w:r>
            <w:r>
              <w:rPr>
                <w:spacing w:val="-3"/>
                <w:sz w:val="22"/>
              </w:rPr>
              <w:t> </w:t>
            </w:r>
            <w:r>
              <w:rPr>
                <w:sz w:val="22"/>
              </w:rPr>
              <w:t>neutrality</w:t>
            </w:r>
            <w:r>
              <w:rPr>
                <w:spacing w:val="-6"/>
                <w:sz w:val="22"/>
              </w:rPr>
              <w:t> </w:t>
            </w:r>
            <w:r>
              <w:rPr>
                <w:sz w:val="22"/>
              </w:rPr>
              <w:t>limit</w:t>
            </w:r>
            <w:r>
              <w:rPr>
                <w:spacing w:val="-3"/>
                <w:sz w:val="22"/>
              </w:rPr>
              <w:t> </w:t>
            </w:r>
            <w:r>
              <w:rPr>
                <w:spacing w:val="-4"/>
                <w:sz w:val="22"/>
              </w:rPr>
              <w:t>plus:</w:t>
            </w:r>
          </w:p>
        </w:tc>
        <w:tc>
          <w:tcPr>
            <w:tcW w:w="2604" w:type="dxa"/>
          </w:tcPr>
          <w:p>
            <w:pPr>
              <w:pStyle w:val="TableParagraph"/>
              <w:spacing w:before="87"/>
              <w:ind w:left="105"/>
              <w:rPr>
                <w:sz w:val="22"/>
              </w:rPr>
            </w:pPr>
            <w:r>
              <w:rPr>
                <w:sz w:val="22"/>
              </w:rPr>
              <w:t>1.0 </w:t>
            </w:r>
            <w:r>
              <w:rPr>
                <w:spacing w:val="-2"/>
                <w:sz w:val="22"/>
              </w:rPr>
              <w:t>percent</w:t>
            </w:r>
          </w:p>
        </w:tc>
      </w:tr>
      <w:tr>
        <w:trPr>
          <w:trHeight w:val="431" w:hRule="atLeast"/>
        </w:trPr>
        <w:tc>
          <w:tcPr>
            <w:tcW w:w="2875" w:type="dxa"/>
          </w:tcPr>
          <w:p>
            <w:pPr>
              <w:pStyle w:val="TableParagraph"/>
              <w:spacing w:before="87"/>
              <w:ind w:left="107"/>
              <w:rPr>
                <w:sz w:val="22"/>
              </w:rPr>
            </w:pPr>
            <w:r>
              <w:rPr>
                <w:sz w:val="22"/>
              </w:rPr>
              <w:t>DY</w:t>
            </w:r>
            <w:r>
              <w:rPr>
                <w:spacing w:val="-4"/>
                <w:sz w:val="22"/>
              </w:rPr>
              <w:t> </w:t>
            </w:r>
            <w:r>
              <w:rPr>
                <w:sz w:val="22"/>
              </w:rPr>
              <w:t>27</w:t>
            </w:r>
            <w:r>
              <w:rPr>
                <w:spacing w:val="-2"/>
                <w:sz w:val="22"/>
              </w:rPr>
              <w:t> </w:t>
            </w:r>
            <w:r>
              <w:rPr>
                <w:sz w:val="22"/>
              </w:rPr>
              <w:t>through</w:t>
            </w:r>
            <w:r>
              <w:rPr>
                <w:spacing w:val="-2"/>
                <w:sz w:val="22"/>
              </w:rPr>
              <w:t> </w:t>
            </w:r>
            <w:r>
              <w:rPr>
                <w:sz w:val="22"/>
              </w:rPr>
              <w:t>DY</w:t>
            </w:r>
            <w:r>
              <w:rPr>
                <w:spacing w:val="-3"/>
                <w:sz w:val="22"/>
              </w:rPr>
              <w:t> </w:t>
            </w:r>
            <w:r>
              <w:rPr>
                <w:spacing w:val="-5"/>
                <w:sz w:val="22"/>
              </w:rPr>
              <w:t>31</w:t>
            </w:r>
          </w:p>
        </w:tc>
        <w:tc>
          <w:tcPr>
            <w:tcW w:w="3871" w:type="dxa"/>
          </w:tcPr>
          <w:p>
            <w:pPr>
              <w:pStyle w:val="TableParagraph"/>
              <w:spacing w:before="87"/>
              <w:ind w:left="108"/>
              <w:rPr>
                <w:sz w:val="22"/>
              </w:rPr>
            </w:pPr>
            <w:r>
              <w:rPr>
                <w:sz w:val="22"/>
              </w:rPr>
              <w:t>Cumulative</w:t>
            </w:r>
            <w:r>
              <w:rPr>
                <w:spacing w:val="-5"/>
                <w:sz w:val="22"/>
              </w:rPr>
              <w:t> </w:t>
            </w:r>
            <w:r>
              <w:rPr>
                <w:sz w:val="22"/>
              </w:rPr>
              <w:t>budget</w:t>
            </w:r>
            <w:r>
              <w:rPr>
                <w:spacing w:val="-3"/>
                <w:sz w:val="22"/>
              </w:rPr>
              <w:t> </w:t>
            </w:r>
            <w:r>
              <w:rPr>
                <w:sz w:val="22"/>
              </w:rPr>
              <w:t>neutrality</w:t>
            </w:r>
            <w:r>
              <w:rPr>
                <w:spacing w:val="-6"/>
                <w:sz w:val="22"/>
              </w:rPr>
              <w:t> </w:t>
            </w:r>
            <w:r>
              <w:rPr>
                <w:sz w:val="22"/>
              </w:rPr>
              <w:t>limit</w:t>
            </w:r>
            <w:r>
              <w:rPr>
                <w:spacing w:val="-3"/>
                <w:sz w:val="22"/>
              </w:rPr>
              <w:t> </w:t>
            </w:r>
            <w:r>
              <w:rPr>
                <w:spacing w:val="-4"/>
                <w:sz w:val="22"/>
              </w:rPr>
              <w:t>plus:</w:t>
            </w:r>
          </w:p>
        </w:tc>
        <w:tc>
          <w:tcPr>
            <w:tcW w:w="2604" w:type="dxa"/>
          </w:tcPr>
          <w:p>
            <w:pPr>
              <w:pStyle w:val="TableParagraph"/>
              <w:spacing w:before="87"/>
              <w:ind w:left="105"/>
              <w:rPr>
                <w:sz w:val="22"/>
              </w:rPr>
            </w:pPr>
            <w:r>
              <w:rPr>
                <w:sz w:val="22"/>
              </w:rPr>
              <w:t>0.5 </w:t>
            </w:r>
            <w:r>
              <w:rPr>
                <w:spacing w:val="-2"/>
                <w:sz w:val="22"/>
              </w:rPr>
              <w:t>percent</w:t>
            </w:r>
          </w:p>
        </w:tc>
      </w:tr>
      <w:tr>
        <w:trPr>
          <w:trHeight w:val="431" w:hRule="atLeast"/>
        </w:trPr>
        <w:tc>
          <w:tcPr>
            <w:tcW w:w="2875" w:type="dxa"/>
          </w:tcPr>
          <w:p>
            <w:pPr>
              <w:pStyle w:val="TableParagraph"/>
              <w:spacing w:before="89"/>
              <w:ind w:left="107"/>
              <w:rPr>
                <w:sz w:val="22"/>
              </w:rPr>
            </w:pPr>
            <w:r>
              <w:rPr>
                <w:sz w:val="22"/>
              </w:rPr>
              <w:t>DY</w:t>
            </w:r>
            <w:r>
              <w:rPr>
                <w:spacing w:val="-4"/>
                <w:sz w:val="22"/>
              </w:rPr>
              <w:t> </w:t>
            </w:r>
            <w:r>
              <w:rPr>
                <w:sz w:val="22"/>
              </w:rPr>
              <w:t>27</w:t>
            </w:r>
            <w:r>
              <w:rPr>
                <w:spacing w:val="-2"/>
                <w:sz w:val="22"/>
              </w:rPr>
              <w:t> </w:t>
            </w:r>
            <w:r>
              <w:rPr>
                <w:sz w:val="22"/>
              </w:rPr>
              <w:t>through</w:t>
            </w:r>
            <w:r>
              <w:rPr>
                <w:spacing w:val="-2"/>
                <w:sz w:val="22"/>
              </w:rPr>
              <w:t> </w:t>
            </w:r>
            <w:r>
              <w:rPr>
                <w:sz w:val="22"/>
              </w:rPr>
              <w:t>DY</w:t>
            </w:r>
            <w:r>
              <w:rPr>
                <w:spacing w:val="-3"/>
                <w:sz w:val="22"/>
              </w:rPr>
              <w:t> </w:t>
            </w:r>
            <w:r>
              <w:rPr>
                <w:spacing w:val="-5"/>
                <w:sz w:val="22"/>
              </w:rPr>
              <w:t>32</w:t>
            </w:r>
          </w:p>
        </w:tc>
        <w:tc>
          <w:tcPr>
            <w:tcW w:w="3871" w:type="dxa"/>
          </w:tcPr>
          <w:p>
            <w:pPr>
              <w:pStyle w:val="TableParagraph"/>
              <w:spacing w:before="89"/>
              <w:ind w:left="108"/>
              <w:rPr>
                <w:sz w:val="22"/>
              </w:rPr>
            </w:pPr>
            <w:r>
              <w:rPr>
                <w:sz w:val="22"/>
              </w:rPr>
              <w:t>Cumulative</w:t>
            </w:r>
            <w:r>
              <w:rPr>
                <w:spacing w:val="-5"/>
                <w:sz w:val="22"/>
              </w:rPr>
              <w:t> </w:t>
            </w:r>
            <w:r>
              <w:rPr>
                <w:sz w:val="22"/>
              </w:rPr>
              <w:t>budget</w:t>
            </w:r>
            <w:r>
              <w:rPr>
                <w:spacing w:val="-3"/>
                <w:sz w:val="22"/>
              </w:rPr>
              <w:t> </w:t>
            </w:r>
            <w:r>
              <w:rPr>
                <w:sz w:val="22"/>
              </w:rPr>
              <w:t>neutrality</w:t>
            </w:r>
            <w:r>
              <w:rPr>
                <w:spacing w:val="-6"/>
                <w:sz w:val="22"/>
              </w:rPr>
              <w:t> </w:t>
            </w:r>
            <w:r>
              <w:rPr>
                <w:sz w:val="22"/>
              </w:rPr>
              <w:t>limit</w:t>
            </w:r>
            <w:r>
              <w:rPr>
                <w:spacing w:val="-3"/>
                <w:sz w:val="22"/>
              </w:rPr>
              <w:t> </w:t>
            </w:r>
            <w:r>
              <w:rPr>
                <w:spacing w:val="-4"/>
                <w:sz w:val="22"/>
              </w:rPr>
              <w:t>plus:</w:t>
            </w:r>
          </w:p>
        </w:tc>
        <w:tc>
          <w:tcPr>
            <w:tcW w:w="2604" w:type="dxa"/>
          </w:tcPr>
          <w:p>
            <w:pPr>
              <w:pStyle w:val="TableParagraph"/>
              <w:spacing w:before="89"/>
              <w:ind w:left="105"/>
              <w:rPr>
                <w:sz w:val="22"/>
              </w:rPr>
            </w:pPr>
            <w:r>
              <w:rPr>
                <w:sz w:val="22"/>
              </w:rPr>
              <w:t>0.0 </w:t>
            </w:r>
            <w:r>
              <w:rPr>
                <w:spacing w:val="-2"/>
                <w:sz w:val="22"/>
              </w:rPr>
              <w:t>percent</w:t>
            </w:r>
          </w:p>
        </w:tc>
      </w:tr>
    </w:tbl>
    <w:p>
      <w:pPr>
        <w:pStyle w:val="BodyText"/>
        <w:rPr>
          <w:sz w:val="20"/>
        </w:rPr>
      </w:pPr>
    </w:p>
    <w:p>
      <w:pPr>
        <w:pStyle w:val="BodyText"/>
        <w:rPr>
          <w:sz w:val="20"/>
        </w:rPr>
      </w:pPr>
    </w:p>
    <w:p>
      <w:pPr>
        <w:pStyle w:val="BodyText"/>
        <w:spacing w:before="2"/>
        <w:rPr>
          <w:sz w:val="18"/>
        </w:rPr>
      </w:pPr>
    </w:p>
    <w:p>
      <w:pPr>
        <w:pStyle w:val="Heading4"/>
        <w:numPr>
          <w:ilvl w:val="0"/>
          <w:numId w:val="3"/>
        </w:numPr>
        <w:tabs>
          <w:tab w:pos="1580" w:val="left" w:leader="none"/>
        </w:tabs>
        <w:spacing w:line="240" w:lineRule="auto" w:before="90" w:after="0"/>
        <w:ind w:left="1580" w:right="0" w:hanging="480"/>
        <w:jc w:val="left"/>
      </w:pPr>
      <w:bookmarkStart w:name="20. MONITORING ALLOTMENT NEUTRALITY" w:id="1089"/>
      <w:bookmarkEnd w:id="1089"/>
      <w:r>
        <w:rPr>
          <w:b w:val="0"/>
        </w:rPr>
      </w:r>
      <w:r>
        <w:rPr/>
        <w:t>MONITORING</w:t>
      </w:r>
      <w:r>
        <w:rPr>
          <w:spacing w:val="-6"/>
        </w:rPr>
        <w:t> </w:t>
      </w:r>
      <w:r>
        <w:rPr/>
        <w:t>ALLOTMENT</w:t>
      </w:r>
      <w:r>
        <w:rPr>
          <w:spacing w:val="-3"/>
        </w:rPr>
        <w:t> </w:t>
      </w:r>
      <w:r>
        <w:rPr>
          <w:spacing w:val="-2"/>
        </w:rPr>
        <w:t>NEUTRALITY</w:t>
      </w:r>
    </w:p>
    <w:p>
      <w:pPr>
        <w:pStyle w:val="BodyText"/>
        <w:spacing w:before="10"/>
        <w:rPr>
          <w:b/>
          <w:sz w:val="20"/>
        </w:rPr>
      </w:pPr>
    </w:p>
    <w:p>
      <w:pPr>
        <w:pStyle w:val="BodyText"/>
        <w:ind w:left="1851" w:right="1111"/>
      </w:pPr>
      <w:r>
        <w:rPr/>
        <w:drawing>
          <wp:anchor distT="0" distB="0" distL="0" distR="0" allowOverlap="1" layoutInCell="1" locked="0" behindDoc="0" simplePos="0" relativeHeight="16118272">
            <wp:simplePos x="0" y="0"/>
            <wp:positionH relativeFrom="page">
              <wp:posOffset>894587</wp:posOffset>
            </wp:positionH>
            <wp:positionV relativeFrom="paragraph">
              <wp:posOffset>35599</wp:posOffset>
            </wp:positionV>
            <wp:extent cx="297179" cy="112775"/>
            <wp:effectExtent l="0" t="0" r="0" b="0"/>
            <wp:wrapNone/>
            <wp:docPr id="789" name="Image 789"/>
            <wp:cNvGraphicFramePr>
              <a:graphicFrameLocks/>
            </wp:cNvGraphicFramePr>
            <a:graphic>
              <a:graphicData uri="http://schemas.openxmlformats.org/drawingml/2006/picture">
                <pic:pic>
                  <pic:nvPicPr>
                    <pic:cNvPr id="789" name="Image 789"/>
                    <pic:cNvPicPr/>
                  </pic:nvPicPr>
                  <pic:blipFill>
                    <a:blip r:embed="rId315" cstate="print"/>
                    <a:stretch>
                      <a:fillRect/>
                    </a:stretch>
                  </pic:blipFill>
                  <pic:spPr>
                    <a:xfrm>
                      <a:off x="0" y="0"/>
                      <a:ext cx="297179" cy="112775"/>
                    </a:xfrm>
                    <a:prstGeom prst="rect">
                      <a:avLst/>
                    </a:prstGeom>
                  </pic:spPr>
                </pic:pic>
              </a:graphicData>
            </a:graphic>
          </wp:anchor>
        </w:drawing>
      </w:r>
      <w:bookmarkStart w:name="20.1. Reporting Expenditures Subject to " w:id="1090"/>
      <w:bookmarkEnd w:id="1090"/>
      <w:r>
        <w:rPr/>
      </w:r>
      <w:r>
        <w:rPr/>
        <w:t>Reporting</w:t>
      </w:r>
      <w:r>
        <w:rPr>
          <w:spacing w:val="-6"/>
        </w:rPr>
        <w:t> </w:t>
      </w:r>
      <w:r>
        <w:rPr/>
        <w:t>Expenditures</w:t>
      </w:r>
      <w:r>
        <w:rPr>
          <w:spacing w:val="-1"/>
        </w:rPr>
        <w:t> </w:t>
      </w:r>
      <w:r>
        <w:rPr/>
        <w:t>Subject</w:t>
      </w:r>
      <w:r>
        <w:rPr>
          <w:spacing w:val="-3"/>
        </w:rPr>
        <w:t> </w:t>
      </w:r>
      <w:r>
        <w:rPr/>
        <w:t>to</w:t>
      </w:r>
      <w:r>
        <w:rPr>
          <w:spacing w:val="-3"/>
        </w:rPr>
        <w:t> </w:t>
      </w:r>
      <w:r>
        <w:rPr/>
        <w:t>the</w:t>
      </w:r>
      <w:r>
        <w:rPr>
          <w:spacing w:val="-4"/>
        </w:rPr>
        <w:t> </w:t>
      </w:r>
      <w:r>
        <w:rPr/>
        <w:t>Title</w:t>
      </w:r>
      <w:r>
        <w:rPr>
          <w:spacing w:val="-4"/>
        </w:rPr>
        <w:t> </w:t>
      </w:r>
      <w:r>
        <w:rPr/>
        <w:t>XXI</w:t>
      </w:r>
      <w:r>
        <w:rPr>
          <w:spacing w:val="-4"/>
        </w:rPr>
        <w:t> </w:t>
      </w:r>
      <w:r>
        <w:rPr/>
        <w:t>Allotment</w:t>
      </w:r>
      <w:r>
        <w:rPr>
          <w:spacing w:val="-3"/>
        </w:rPr>
        <w:t> </w:t>
      </w:r>
      <w:r>
        <w:rPr/>
        <w:t>Neutrality</w:t>
      </w:r>
      <w:r>
        <w:rPr>
          <w:spacing w:val="-8"/>
        </w:rPr>
        <w:t> </w:t>
      </w:r>
      <w:r>
        <w:rPr/>
        <w:t>Agreement.</w:t>
      </w:r>
      <w:r>
        <w:rPr>
          <w:spacing w:val="40"/>
        </w:rPr>
        <w:t> </w:t>
      </w:r>
      <w:r>
        <w:rPr/>
        <w:t>The following describes the reporting of expenditures subject to the allotment neutrality agreement for this demonstration:</w:t>
      </w:r>
    </w:p>
    <w:p>
      <w:pPr>
        <w:pStyle w:val="BodyText"/>
        <w:spacing w:before="10"/>
        <w:rPr>
          <w:sz w:val="20"/>
        </w:rPr>
      </w:pPr>
    </w:p>
    <w:p>
      <w:pPr>
        <w:pStyle w:val="BodyText"/>
        <w:ind w:left="2391" w:right="1178"/>
      </w:pPr>
      <w:r>
        <w:rPr/>
        <w:drawing>
          <wp:anchor distT="0" distB="0" distL="0" distR="0" allowOverlap="1" layoutInCell="1" locked="0" behindDoc="0" simplePos="0" relativeHeight="16118784">
            <wp:simplePos x="0" y="0"/>
            <wp:positionH relativeFrom="page">
              <wp:posOffset>1431036</wp:posOffset>
            </wp:positionH>
            <wp:positionV relativeFrom="paragraph">
              <wp:posOffset>67603</wp:posOffset>
            </wp:positionV>
            <wp:extent cx="96011" cy="80771"/>
            <wp:effectExtent l="0" t="0" r="0" b="0"/>
            <wp:wrapNone/>
            <wp:docPr id="790" name="Image 790"/>
            <wp:cNvGraphicFramePr>
              <a:graphicFrameLocks/>
            </wp:cNvGraphicFramePr>
            <a:graphic>
              <a:graphicData uri="http://schemas.openxmlformats.org/drawingml/2006/picture">
                <pic:pic>
                  <pic:nvPicPr>
                    <pic:cNvPr id="790" name="Image 790"/>
                    <pic:cNvPicPr/>
                  </pic:nvPicPr>
                  <pic:blipFill>
                    <a:blip r:embed="rId40" cstate="print"/>
                    <a:stretch>
                      <a:fillRect/>
                    </a:stretch>
                  </pic:blipFill>
                  <pic:spPr>
                    <a:xfrm>
                      <a:off x="0" y="0"/>
                      <a:ext cx="96011" cy="80771"/>
                    </a:xfrm>
                    <a:prstGeom prst="rect">
                      <a:avLst/>
                    </a:prstGeom>
                  </pic:spPr>
                </pic:pic>
              </a:graphicData>
            </a:graphic>
          </wp:anchor>
        </w:drawing>
      </w:r>
      <w:bookmarkStart w:name="a. Tracking Expenditures.  In order to t" w:id="1091"/>
      <w:bookmarkEnd w:id="1091"/>
      <w:r>
        <w:rPr/>
      </w:r>
      <w:r>
        <w:rPr>
          <w:b/>
        </w:rPr>
        <w:t>Tracking</w:t>
      </w:r>
      <w:r>
        <w:rPr>
          <w:b/>
          <w:spacing w:val="-4"/>
        </w:rPr>
        <w:t> </w:t>
      </w:r>
      <w:r>
        <w:rPr>
          <w:b/>
        </w:rPr>
        <w:t>Expenditures.</w:t>
      </w:r>
      <w:r>
        <w:rPr>
          <w:b/>
          <w:spacing w:val="40"/>
        </w:rPr>
        <w:t> </w:t>
      </w:r>
      <w:r>
        <w:rPr/>
        <w:t>In</w:t>
      </w:r>
      <w:r>
        <w:rPr>
          <w:spacing w:val="-4"/>
        </w:rPr>
        <w:t> </w:t>
      </w:r>
      <w:r>
        <w:rPr/>
        <w:t>order</w:t>
      </w:r>
      <w:r>
        <w:rPr>
          <w:spacing w:val="-5"/>
        </w:rPr>
        <w:t> </w:t>
      </w:r>
      <w:r>
        <w:rPr/>
        <w:t>to</w:t>
      </w:r>
      <w:r>
        <w:rPr>
          <w:spacing w:val="-4"/>
        </w:rPr>
        <w:t> </w:t>
      </w:r>
      <w:r>
        <w:rPr/>
        <w:t>track</w:t>
      </w:r>
      <w:r>
        <w:rPr>
          <w:spacing w:val="-4"/>
        </w:rPr>
        <w:t> </w:t>
      </w:r>
      <w:r>
        <w:rPr/>
        <w:t>expenditures</w:t>
      </w:r>
      <w:r>
        <w:rPr>
          <w:spacing w:val="-4"/>
        </w:rPr>
        <w:t> </w:t>
      </w:r>
      <w:r>
        <w:rPr/>
        <w:t>under</w:t>
      </w:r>
      <w:r>
        <w:rPr>
          <w:spacing w:val="-5"/>
        </w:rPr>
        <w:t> </w:t>
      </w:r>
      <w:r>
        <w:rPr/>
        <w:t>this</w:t>
      </w:r>
      <w:r>
        <w:rPr>
          <w:spacing w:val="-4"/>
        </w:rPr>
        <w:t> </w:t>
      </w:r>
      <w:r>
        <w:rPr/>
        <w:t>demonstration, the state must report demonstration expenditures through the Medicaid and State Children’s Health Insurance Program Budget and Expenditure System (MBES/CBES), following routine CMS-21 and CMS 64 reporting instructions as outlined in section 2115 of the State Medicaid Manual.</w:t>
      </w:r>
    </w:p>
    <w:p>
      <w:pPr>
        <w:pStyle w:val="BodyText"/>
        <w:spacing w:before="10"/>
        <w:rPr>
          <w:sz w:val="20"/>
        </w:rPr>
      </w:pPr>
    </w:p>
    <w:p>
      <w:pPr>
        <w:pStyle w:val="BodyText"/>
        <w:ind w:left="2391" w:right="1111"/>
      </w:pPr>
      <w:r>
        <w:rPr/>
        <w:drawing>
          <wp:anchor distT="0" distB="0" distL="0" distR="0" allowOverlap="1" layoutInCell="1" locked="0" behindDoc="0" simplePos="0" relativeHeight="16119296">
            <wp:simplePos x="0" y="0"/>
            <wp:positionH relativeFrom="page">
              <wp:posOffset>1424939</wp:posOffset>
            </wp:positionH>
            <wp:positionV relativeFrom="paragraph">
              <wp:posOffset>32551</wp:posOffset>
            </wp:positionV>
            <wp:extent cx="111251" cy="115823"/>
            <wp:effectExtent l="0" t="0" r="0" b="0"/>
            <wp:wrapNone/>
            <wp:docPr id="791" name="Image 791"/>
            <wp:cNvGraphicFramePr>
              <a:graphicFrameLocks/>
            </wp:cNvGraphicFramePr>
            <a:graphic>
              <a:graphicData uri="http://schemas.openxmlformats.org/drawingml/2006/picture">
                <pic:pic>
                  <pic:nvPicPr>
                    <pic:cNvPr id="791" name="Image 791"/>
                    <pic:cNvPicPr/>
                  </pic:nvPicPr>
                  <pic:blipFill>
                    <a:blip r:embed="rId34" cstate="print"/>
                    <a:stretch>
                      <a:fillRect/>
                    </a:stretch>
                  </pic:blipFill>
                  <pic:spPr>
                    <a:xfrm>
                      <a:off x="0" y="0"/>
                      <a:ext cx="111251" cy="115823"/>
                    </a:xfrm>
                    <a:prstGeom prst="rect">
                      <a:avLst/>
                    </a:prstGeom>
                  </pic:spPr>
                </pic:pic>
              </a:graphicData>
            </a:graphic>
          </wp:anchor>
        </w:drawing>
      </w:r>
      <w:bookmarkStart w:name="b. Use of Waiver Forms.  Title XXI demon" w:id="1092"/>
      <w:bookmarkEnd w:id="1092"/>
      <w:r>
        <w:rPr/>
      </w:r>
      <w:r>
        <w:rPr>
          <w:b/>
        </w:rPr>
        <w:t>Use of Waiver Forms.</w:t>
      </w:r>
      <w:r>
        <w:rPr>
          <w:b/>
          <w:spacing w:val="80"/>
        </w:rPr>
        <w:t> </w:t>
      </w:r>
      <w:r>
        <w:rPr/>
        <w:t>Title XXI demonstration expenditures will be reported on the</w:t>
      </w:r>
      <w:r>
        <w:rPr>
          <w:spacing w:val="-4"/>
        </w:rPr>
        <w:t> </w:t>
      </w:r>
      <w:r>
        <w:rPr/>
        <w:t>following</w:t>
      </w:r>
      <w:r>
        <w:rPr>
          <w:spacing w:val="-6"/>
        </w:rPr>
        <w:t> </w:t>
      </w:r>
      <w:r>
        <w:rPr/>
        <w:t>separate</w:t>
      </w:r>
      <w:r>
        <w:rPr>
          <w:spacing w:val="-4"/>
        </w:rPr>
        <w:t> </w:t>
      </w:r>
      <w:r>
        <w:rPr/>
        <w:t>forms</w:t>
      </w:r>
      <w:r>
        <w:rPr>
          <w:spacing w:val="-3"/>
        </w:rPr>
        <w:t> </w:t>
      </w:r>
      <w:r>
        <w:rPr/>
        <w:t>designated</w:t>
      </w:r>
      <w:r>
        <w:rPr>
          <w:spacing w:val="-3"/>
        </w:rPr>
        <w:t> </w:t>
      </w:r>
      <w:r>
        <w:rPr/>
        <w:t>for</w:t>
      </w:r>
      <w:r>
        <w:rPr>
          <w:spacing w:val="-4"/>
        </w:rPr>
        <w:t> </w:t>
      </w:r>
      <w:r>
        <w:rPr/>
        <w:t>the</w:t>
      </w:r>
      <w:r>
        <w:rPr>
          <w:spacing w:val="-4"/>
        </w:rPr>
        <w:t> </w:t>
      </w:r>
      <w:r>
        <w:rPr/>
        <w:t>title</w:t>
      </w:r>
      <w:r>
        <w:rPr>
          <w:spacing w:val="-4"/>
        </w:rPr>
        <w:t> </w:t>
      </w:r>
      <w:r>
        <w:rPr/>
        <w:t>XXI</w:t>
      </w:r>
      <w:r>
        <w:rPr>
          <w:spacing w:val="-7"/>
        </w:rPr>
        <w:t> </w:t>
      </w:r>
      <w:r>
        <w:rPr/>
        <w:t>funded</w:t>
      </w:r>
      <w:r>
        <w:rPr>
          <w:spacing w:val="-3"/>
        </w:rPr>
        <w:t> </w:t>
      </w:r>
      <w:r>
        <w:rPr/>
        <w:t>Medicaid</w:t>
      </w:r>
      <w:r>
        <w:rPr>
          <w:spacing w:val="-3"/>
        </w:rPr>
        <w:t> </w:t>
      </w:r>
      <w:r>
        <w:rPr/>
        <w:t>expansion population (i.e., Forms 64.21U Waiver and/or CMS-64.21UP Waiver) and the title XXI funded separate CHIP population (i.e., Forms CMS-21 Waiver and/or CMS- 21P Waiver), identified by the demonstration project number assigned by CMS (including project number extension, which indicates the demonstration year in which services were rendered or for which capitation payments were made).</w:t>
      </w:r>
      <w:r>
        <w:rPr>
          <w:spacing w:val="40"/>
        </w:rPr>
        <w:t> </w:t>
      </w:r>
      <w:r>
        <w:rPr/>
        <w:t>The state must submit separate CMS-21 and CMS-64.21U waiver forms for each title XXI demonstration population.</w:t>
      </w:r>
    </w:p>
    <w:p>
      <w:pPr>
        <w:pStyle w:val="BodyText"/>
        <w:spacing w:before="10"/>
        <w:rPr>
          <w:sz w:val="20"/>
        </w:rPr>
      </w:pPr>
    </w:p>
    <w:p>
      <w:pPr>
        <w:pStyle w:val="BodyText"/>
        <w:ind w:left="2391" w:right="1111" w:firstLine="60"/>
      </w:pPr>
      <w:r>
        <w:rPr/>
        <w:drawing>
          <wp:anchor distT="0" distB="0" distL="0" distR="0" allowOverlap="1" layoutInCell="1" locked="0" behindDoc="0" simplePos="0" relativeHeight="16119808">
            <wp:simplePos x="0" y="0"/>
            <wp:positionH relativeFrom="page">
              <wp:posOffset>1431036</wp:posOffset>
            </wp:positionH>
            <wp:positionV relativeFrom="paragraph">
              <wp:posOffset>67616</wp:posOffset>
            </wp:positionV>
            <wp:extent cx="96011" cy="80759"/>
            <wp:effectExtent l="0" t="0" r="0" b="0"/>
            <wp:wrapNone/>
            <wp:docPr id="792" name="Image 792"/>
            <wp:cNvGraphicFramePr>
              <a:graphicFrameLocks/>
            </wp:cNvGraphicFramePr>
            <a:graphic>
              <a:graphicData uri="http://schemas.openxmlformats.org/drawingml/2006/picture">
                <pic:pic>
                  <pic:nvPicPr>
                    <pic:cNvPr id="792" name="Image 792"/>
                    <pic:cNvPicPr/>
                  </pic:nvPicPr>
                  <pic:blipFill>
                    <a:blip r:embed="rId41" cstate="print"/>
                    <a:stretch>
                      <a:fillRect/>
                    </a:stretch>
                  </pic:blipFill>
                  <pic:spPr>
                    <a:xfrm>
                      <a:off x="0" y="0"/>
                      <a:ext cx="96011" cy="80759"/>
                    </a:xfrm>
                    <a:prstGeom prst="rect">
                      <a:avLst/>
                    </a:prstGeom>
                  </pic:spPr>
                </pic:pic>
              </a:graphicData>
            </a:graphic>
          </wp:anchor>
        </w:drawing>
      </w:r>
      <w:bookmarkStart w:name="c.  Premiums.  Any premium contributions" w:id="1093"/>
      <w:bookmarkEnd w:id="1093"/>
      <w:r>
        <w:rPr/>
      </w:r>
      <w:r>
        <w:rPr>
          <w:b/>
        </w:rPr>
        <w:t>Premiums</w:t>
      </w:r>
      <w:r>
        <w:rPr/>
        <w:t>.</w:t>
      </w:r>
      <w:r>
        <w:rPr>
          <w:spacing w:val="40"/>
        </w:rPr>
        <w:t> </w:t>
      </w:r>
      <w:r>
        <w:rPr/>
        <w:t>Any</w:t>
      </w:r>
      <w:r>
        <w:rPr>
          <w:spacing w:val="-9"/>
        </w:rPr>
        <w:t> </w:t>
      </w:r>
      <w:r>
        <w:rPr/>
        <w:t>premium</w:t>
      </w:r>
      <w:r>
        <w:rPr>
          <w:spacing w:val="-4"/>
        </w:rPr>
        <w:t> </w:t>
      </w:r>
      <w:r>
        <w:rPr/>
        <w:t>contributions</w:t>
      </w:r>
      <w:r>
        <w:rPr>
          <w:spacing w:val="-4"/>
        </w:rPr>
        <w:t> </w:t>
      </w:r>
      <w:r>
        <w:rPr/>
        <w:t>collected</w:t>
      </w:r>
      <w:r>
        <w:rPr>
          <w:spacing w:val="-4"/>
        </w:rPr>
        <w:t> </w:t>
      </w:r>
      <w:r>
        <w:rPr/>
        <w:t>under</w:t>
      </w:r>
      <w:r>
        <w:rPr>
          <w:spacing w:val="-5"/>
        </w:rPr>
        <w:t> </w:t>
      </w:r>
      <w:r>
        <w:rPr/>
        <w:t>the</w:t>
      </w:r>
      <w:r>
        <w:rPr>
          <w:spacing w:val="-5"/>
        </w:rPr>
        <w:t> </w:t>
      </w:r>
      <w:r>
        <w:rPr/>
        <w:t>demonstration</w:t>
      </w:r>
      <w:r>
        <w:rPr>
          <w:spacing w:val="-2"/>
        </w:rPr>
        <w:t> </w:t>
      </w:r>
      <w:r>
        <w:rPr/>
        <w:t>shall</w:t>
      </w:r>
      <w:r>
        <w:rPr>
          <w:spacing w:val="-4"/>
        </w:rPr>
        <w:t> </w:t>
      </w:r>
      <w:r>
        <w:rPr/>
        <w:t>be reported to CMS on the CMS-21 Waiver and the CMS-64.21U Waiver forms (specifically lines 1A through 1D as applicable) for each title XXI demonstration</w:t>
      </w:r>
    </w:p>
    <w:p>
      <w:pPr>
        <w:spacing w:after="0"/>
        <w:sectPr>
          <w:pgSz w:w="12240" w:h="15840"/>
          <w:pgMar w:header="0" w:footer="1201" w:top="1360" w:bottom="1400" w:left="220" w:right="340"/>
        </w:sectPr>
      </w:pPr>
    </w:p>
    <w:p>
      <w:pPr>
        <w:pStyle w:val="BodyText"/>
        <w:spacing w:before="79"/>
        <w:ind w:left="2391" w:right="1111"/>
      </w:pPr>
      <w:r>
        <w:rPr/>
        <w:t>population</w:t>
      </w:r>
      <w:r>
        <w:rPr>
          <w:spacing w:val="-3"/>
        </w:rPr>
        <w:t> </w:t>
      </w:r>
      <w:r>
        <w:rPr/>
        <w:t>that</w:t>
      </w:r>
      <w:r>
        <w:rPr>
          <w:spacing w:val="-3"/>
        </w:rPr>
        <w:t> </w:t>
      </w:r>
      <w:r>
        <w:rPr/>
        <w:t>is</w:t>
      </w:r>
      <w:r>
        <w:rPr>
          <w:spacing w:val="-3"/>
        </w:rPr>
        <w:t> </w:t>
      </w:r>
      <w:r>
        <w:rPr/>
        <w:t>subject</w:t>
      </w:r>
      <w:r>
        <w:rPr>
          <w:spacing w:val="-3"/>
        </w:rPr>
        <w:t> </w:t>
      </w:r>
      <w:r>
        <w:rPr/>
        <w:t>to</w:t>
      </w:r>
      <w:r>
        <w:rPr>
          <w:spacing w:val="-3"/>
        </w:rPr>
        <w:t> </w:t>
      </w:r>
      <w:r>
        <w:rPr/>
        <w:t>premiums,</w:t>
      </w:r>
      <w:r>
        <w:rPr>
          <w:spacing w:val="-3"/>
        </w:rPr>
        <w:t> </w:t>
      </w:r>
      <w:r>
        <w:rPr/>
        <w:t>in</w:t>
      </w:r>
      <w:r>
        <w:rPr>
          <w:spacing w:val="-3"/>
        </w:rPr>
        <w:t> </w:t>
      </w:r>
      <w:r>
        <w:rPr/>
        <w:t>order</w:t>
      </w:r>
      <w:r>
        <w:rPr>
          <w:spacing w:val="-4"/>
        </w:rPr>
        <w:t> </w:t>
      </w:r>
      <w:r>
        <w:rPr/>
        <w:t>to</w:t>
      </w:r>
      <w:r>
        <w:rPr>
          <w:spacing w:val="-3"/>
        </w:rPr>
        <w:t> </w:t>
      </w:r>
      <w:r>
        <w:rPr/>
        <w:t>assure</w:t>
      </w:r>
      <w:r>
        <w:rPr>
          <w:spacing w:val="-4"/>
        </w:rPr>
        <w:t> </w:t>
      </w:r>
      <w:r>
        <w:rPr/>
        <w:t>that</w:t>
      </w:r>
      <w:r>
        <w:rPr>
          <w:spacing w:val="-3"/>
        </w:rPr>
        <w:t> </w:t>
      </w:r>
      <w:r>
        <w:rPr/>
        <w:t>the</w:t>
      </w:r>
      <w:r>
        <w:rPr>
          <w:spacing w:val="-4"/>
        </w:rPr>
        <w:t> </w:t>
      </w:r>
      <w:r>
        <w:rPr/>
        <w:t>demonstration</w:t>
      </w:r>
      <w:r>
        <w:rPr>
          <w:spacing w:val="-3"/>
        </w:rPr>
        <w:t> </w:t>
      </w:r>
      <w:r>
        <w:rPr/>
        <w:t>is properly credited with the premium collections.</w:t>
      </w:r>
    </w:p>
    <w:p>
      <w:pPr>
        <w:pStyle w:val="BodyText"/>
        <w:spacing w:before="10"/>
        <w:rPr>
          <w:sz w:val="20"/>
        </w:rPr>
      </w:pPr>
    </w:p>
    <w:p>
      <w:pPr>
        <w:pStyle w:val="BodyText"/>
        <w:ind w:left="2391" w:right="1178"/>
      </w:pPr>
      <w:r>
        <w:rPr/>
        <w:drawing>
          <wp:anchor distT="0" distB="0" distL="0" distR="0" allowOverlap="1" layoutInCell="1" locked="0" behindDoc="0" simplePos="0" relativeHeight="16120320">
            <wp:simplePos x="0" y="0"/>
            <wp:positionH relativeFrom="page">
              <wp:posOffset>1431036</wp:posOffset>
            </wp:positionH>
            <wp:positionV relativeFrom="paragraph">
              <wp:posOffset>32551</wp:posOffset>
            </wp:positionV>
            <wp:extent cx="105155" cy="115823"/>
            <wp:effectExtent l="0" t="0" r="0" b="0"/>
            <wp:wrapNone/>
            <wp:docPr id="793" name="Image 793"/>
            <wp:cNvGraphicFramePr>
              <a:graphicFrameLocks/>
            </wp:cNvGraphicFramePr>
            <a:graphic>
              <a:graphicData uri="http://schemas.openxmlformats.org/drawingml/2006/picture">
                <pic:pic>
                  <pic:nvPicPr>
                    <pic:cNvPr id="793" name="Image 793"/>
                    <pic:cNvPicPr/>
                  </pic:nvPicPr>
                  <pic:blipFill>
                    <a:blip r:embed="rId36" cstate="print"/>
                    <a:stretch>
                      <a:fillRect/>
                    </a:stretch>
                  </pic:blipFill>
                  <pic:spPr>
                    <a:xfrm>
                      <a:off x="0" y="0"/>
                      <a:ext cx="105155" cy="115823"/>
                    </a:xfrm>
                    <a:prstGeom prst="rect">
                      <a:avLst/>
                    </a:prstGeom>
                  </pic:spPr>
                </pic:pic>
              </a:graphicData>
            </a:graphic>
          </wp:anchor>
        </w:drawing>
      </w:r>
      <w:bookmarkStart w:name="d. Claiming Period.  All claims for expe" w:id="1094"/>
      <w:bookmarkEnd w:id="1094"/>
      <w:r>
        <w:rPr/>
      </w:r>
      <w:r>
        <w:rPr>
          <w:b/>
        </w:rPr>
        <w:t>Claiming Period</w:t>
      </w:r>
      <w:r>
        <w:rPr/>
        <w:t>.</w:t>
      </w:r>
      <w:r>
        <w:rPr>
          <w:spacing w:val="40"/>
        </w:rPr>
        <w:t> </w:t>
      </w:r>
      <w:r>
        <w:rPr/>
        <w:t>All claims for expenditures related to the demonstration (including any cost settlements) must be made within two years after the calendar quarter in which the state made the expenditures.</w:t>
      </w:r>
      <w:r>
        <w:rPr>
          <w:spacing w:val="40"/>
        </w:rPr>
        <w:t> </w:t>
      </w:r>
      <w:r>
        <w:rPr/>
        <w:t>Furthermore, all claims for services</w:t>
      </w:r>
      <w:r>
        <w:rPr>
          <w:spacing w:val="-3"/>
        </w:rPr>
        <w:t> </w:t>
      </w:r>
      <w:r>
        <w:rPr/>
        <w:t>during</w:t>
      </w:r>
      <w:r>
        <w:rPr>
          <w:spacing w:val="-6"/>
        </w:rPr>
        <w:t> </w:t>
      </w:r>
      <w:r>
        <w:rPr/>
        <w:t>the</w:t>
      </w:r>
      <w:r>
        <w:rPr>
          <w:spacing w:val="-4"/>
        </w:rPr>
        <w:t> </w:t>
      </w:r>
      <w:r>
        <w:rPr/>
        <w:t>demonstration</w:t>
      </w:r>
      <w:r>
        <w:rPr>
          <w:spacing w:val="-3"/>
        </w:rPr>
        <w:t> </w:t>
      </w:r>
      <w:r>
        <w:rPr/>
        <w:t>period</w:t>
      </w:r>
      <w:r>
        <w:rPr>
          <w:spacing w:val="-3"/>
        </w:rPr>
        <w:t> </w:t>
      </w:r>
      <w:r>
        <w:rPr/>
        <w:t>(including</w:t>
      </w:r>
      <w:r>
        <w:rPr>
          <w:spacing w:val="-6"/>
        </w:rPr>
        <w:t> </w:t>
      </w:r>
      <w:r>
        <w:rPr/>
        <w:t>cost</w:t>
      </w:r>
      <w:r>
        <w:rPr>
          <w:spacing w:val="-3"/>
        </w:rPr>
        <w:t> </w:t>
      </w:r>
      <w:r>
        <w:rPr/>
        <w:t>settlements)</w:t>
      </w:r>
      <w:r>
        <w:rPr>
          <w:spacing w:val="-4"/>
        </w:rPr>
        <w:t> </w:t>
      </w:r>
      <w:r>
        <w:rPr/>
        <w:t>must</w:t>
      </w:r>
      <w:r>
        <w:rPr>
          <w:spacing w:val="-2"/>
        </w:rPr>
        <w:t> </w:t>
      </w:r>
      <w:r>
        <w:rPr/>
        <w:t>be</w:t>
      </w:r>
      <w:r>
        <w:rPr>
          <w:spacing w:val="-4"/>
        </w:rPr>
        <w:t> </w:t>
      </w:r>
      <w:r>
        <w:rPr/>
        <w:t>made within two years after the conclusion or termination of the demonstration.</w:t>
      </w:r>
      <w:r>
        <w:rPr>
          <w:spacing w:val="40"/>
        </w:rPr>
        <w:t> </w:t>
      </w:r>
      <w:r>
        <w:rPr/>
        <w:t>During the latter two-year period, the state must continue to identify separately, on the</w:t>
      </w:r>
    </w:p>
    <w:p>
      <w:pPr>
        <w:pStyle w:val="BodyText"/>
        <w:ind w:left="2391" w:right="1111"/>
      </w:pPr>
      <w:r>
        <w:rPr/>
        <w:t>CMS-21</w:t>
      </w:r>
      <w:r>
        <w:rPr>
          <w:spacing w:val="-4"/>
        </w:rPr>
        <w:t> </w:t>
      </w:r>
      <w:r>
        <w:rPr/>
        <w:t>and</w:t>
      </w:r>
      <w:r>
        <w:rPr>
          <w:spacing w:val="-4"/>
        </w:rPr>
        <w:t> </w:t>
      </w:r>
      <w:r>
        <w:rPr/>
        <w:t>CMS-64.21U</w:t>
      </w:r>
      <w:r>
        <w:rPr>
          <w:spacing w:val="-5"/>
        </w:rPr>
        <w:t> </w:t>
      </w:r>
      <w:r>
        <w:rPr/>
        <w:t>waiver</w:t>
      </w:r>
      <w:r>
        <w:rPr>
          <w:spacing w:val="-3"/>
        </w:rPr>
        <w:t> </w:t>
      </w:r>
      <w:r>
        <w:rPr/>
        <w:t>forms,</w:t>
      </w:r>
      <w:r>
        <w:rPr>
          <w:spacing w:val="-4"/>
        </w:rPr>
        <w:t> </w:t>
      </w:r>
      <w:r>
        <w:rPr/>
        <w:t>net</w:t>
      </w:r>
      <w:r>
        <w:rPr>
          <w:spacing w:val="-4"/>
        </w:rPr>
        <w:t> </w:t>
      </w:r>
      <w:r>
        <w:rPr/>
        <w:t>expenditures</w:t>
      </w:r>
      <w:r>
        <w:rPr>
          <w:spacing w:val="-4"/>
        </w:rPr>
        <w:t> </w:t>
      </w:r>
      <w:r>
        <w:rPr/>
        <w:t>related</w:t>
      </w:r>
      <w:r>
        <w:rPr>
          <w:spacing w:val="-4"/>
        </w:rPr>
        <w:t> </w:t>
      </w:r>
      <w:r>
        <w:rPr/>
        <w:t>to</w:t>
      </w:r>
      <w:r>
        <w:rPr>
          <w:spacing w:val="-4"/>
        </w:rPr>
        <w:t> </w:t>
      </w:r>
      <w:r>
        <w:rPr/>
        <w:t>dates</w:t>
      </w:r>
      <w:r>
        <w:rPr>
          <w:spacing w:val="-2"/>
        </w:rPr>
        <w:t> </w:t>
      </w:r>
      <w:r>
        <w:rPr/>
        <w:t>of</w:t>
      </w:r>
      <w:r>
        <w:rPr>
          <w:spacing w:val="-5"/>
        </w:rPr>
        <w:t> </w:t>
      </w:r>
      <w:r>
        <w:rPr/>
        <w:t>service during the operation of the demonstration.</w:t>
      </w:r>
    </w:p>
    <w:p>
      <w:pPr>
        <w:pStyle w:val="BodyText"/>
        <w:spacing w:before="10"/>
        <w:rPr>
          <w:sz w:val="20"/>
        </w:rPr>
      </w:pPr>
    </w:p>
    <w:p>
      <w:pPr>
        <w:pStyle w:val="BodyText"/>
        <w:ind w:left="1851" w:right="1111"/>
      </w:pPr>
      <w:r>
        <w:rPr/>
        <w:drawing>
          <wp:anchor distT="0" distB="0" distL="0" distR="0" allowOverlap="1" layoutInCell="1" locked="0" behindDoc="0" simplePos="0" relativeHeight="16120832">
            <wp:simplePos x="0" y="0"/>
            <wp:positionH relativeFrom="page">
              <wp:posOffset>894588</wp:posOffset>
            </wp:positionH>
            <wp:positionV relativeFrom="paragraph">
              <wp:posOffset>35612</wp:posOffset>
            </wp:positionV>
            <wp:extent cx="297179" cy="112763"/>
            <wp:effectExtent l="0" t="0" r="0" b="0"/>
            <wp:wrapNone/>
            <wp:docPr id="794" name="Image 794"/>
            <wp:cNvGraphicFramePr>
              <a:graphicFrameLocks/>
            </wp:cNvGraphicFramePr>
            <a:graphic>
              <a:graphicData uri="http://schemas.openxmlformats.org/drawingml/2006/picture">
                <pic:pic>
                  <pic:nvPicPr>
                    <pic:cNvPr id="794" name="Image 794"/>
                    <pic:cNvPicPr/>
                  </pic:nvPicPr>
                  <pic:blipFill>
                    <a:blip r:embed="rId316" cstate="print"/>
                    <a:stretch>
                      <a:fillRect/>
                    </a:stretch>
                  </pic:blipFill>
                  <pic:spPr>
                    <a:xfrm>
                      <a:off x="0" y="0"/>
                      <a:ext cx="297179" cy="112763"/>
                    </a:xfrm>
                    <a:prstGeom prst="rect">
                      <a:avLst/>
                    </a:prstGeom>
                  </pic:spPr>
                </pic:pic>
              </a:graphicData>
            </a:graphic>
          </wp:anchor>
        </w:drawing>
      </w:r>
      <w:bookmarkStart w:name="20.2. Standard CHIP Funding Process.  Th" w:id="1095"/>
      <w:bookmarkEnd w:id="1095"/>
      <w:r>
        <w:rPr/>
      </w:r>
      <w:r>
        <w:rPr>
          <w:b/>
        </w:rPr>
        <w:t>Standard CHIP Funding Process.</w:t>
      </w:r>
      <w:r>
        <w:rPr>
          <w:b/>
          <w:spacing w:val="40"/>
        </w:rPr>
        <w:t> </w:t>
      </w:r>
      <w:r>
        <w:rPr/>
        <w:t>The standard CHIP funding process will be used during the demonstration.</w:t>
      </w:r>
      <w:r>
        <w:rPr>
          <w:spacing w:val="40"/>
        </w:rPr>
        <w:t> </w:t>
      </w:r>
      <w:r>
        <w:rPr/>
        <w:t>The state will estimate matchable CHIP expenditures on the quarterly Forms CMS-21B for the title XXI funded separate CHIP population and CMS- 37 for the title XXI funded Medicaid expansion population.</w:t>
      </w:r>
      <w:r>
        <w:rPr>
          <w:spacing w:val="40"/>
        </w:rPr>
        <w:t> </w:t>
      </w:r>
      <w:r>
        <w:rPr/>
        <w:t>On these forms estimating expenditures</w:t>
      </w:r>
      <w:r>
        <w:rPr>
          <w:spacing w:val="-3"/>
        </w:rPr>
        <w:t> </w:t>
      </w:r>
      <w:r>
        <w:rPr/>
        <w:t>for</w:t>
      </w:r>
      <w:r>
        <w:rPr>
          <w:spacing w:val="-4"/>
        </w:rPr>
        <w:t> </w:t>
      </w:r>
      <w:r>
        <w:rPr/>
        <w:t>the</w:t>
      </w:r>
      <w:r>
        <w:rPr>
          <w:spacing w:val="-4"/>
        </w:rPr>
        <w:t> </w:t>
      </w:r>
      <w:r>
        <w:rPr/>
        <w:t>title</w:t>
      </w:r>
      <w:r>
        <w:rPr>
          <w:spacing w:val="-4"/>
        </w:rPr>
        <w:t> </w:t>
      </w:r>
      <w:r>
        <w:rPr/>
        <w:t>XXI</w:t>
      </w:r>
      <w:r>
        <w:rPr>
          <w:spacing w:val="-7"/>
        </w:rPr>
        <w:t> </w:t>
      </w:r>
      <w:r>
        <w:rPr/>
        <w:t>funded</w:t>
      </w:r>
      <w:r>
        <w:rPr>
          <w:spacing w:val="-3"/>
        </w:rPr>
        <w:t> </w:t>
      </w:r>
      <w:r>
        <w:rPr/>
        <w:t>demonstration</w:t>
      </w:r>
      <w:r>
        <w:rPr>
          <w:spacing w:val="-3"/>
        </w:rPr>
        <w:t> </w:t>
      </w:r>
      <w:r>
        <w:rPr/>
        <w:t>populations,</w:t>
      </w:r>
      <w:r>
        <w:rPr>
          <w:spacing w:val="-3"/>
        </w:rPr>
        <w:t> </w:t>
      </w:r>
      <w:r>
        <w:rPr/>
        <w:t>the</w:t>
      </w:r>
      <w:r>
        <w:rPr>
          <w:spacing w:val="-4"/>
        </w:rPr>
        <w:t> </w:t>
      </w:r>
      <w:r>
        <w:rPr/>
        <w:t>state</w:t>
      </w:r>
      <w:r>
        <w:rPr>
          <w:spacing w:val="-4"/>
        </w:rPr>
        <w:t> </w:t>
      </w:r>
      <w:r>
        <w:rPr/>
        <w:t>shall</w:t>
      </w:r>
      <w:r>
        <w:rPr>
          <w:spacing w:val="-3"/>
        </w:rPr>
        <w:t> </w:t>
      </w:r>
      <w:r>
        <w:rPr/>
        <w:t>separately identify</w:t>
      </w:r>
      <w:r>
        <w:rPr>
          <w:spacing w:val="-7"/>
        </w:rPr>
        <w:t> </w:t>
      </w:r>
      <w:r>
        <w:rPr/>
        <w:t>estimates</w:t>
      </w:r>
      <w:r>
        <w:rPr>
          <w:spacing w:val="-1"/>
        </w:rPr>
        <w:t> </w:t>
      </w:r>
      <w:r>
        <w:rPr/>
        <w:t>of</w:t>
      </w:r>
      <w:r>
        <w:rPr>
          <w:spacing w:val="-2"/>
        </w:rPr>
        <w:t> </w:t>
      </w:r>
      <w:r>
        <w:rPr/>
        <w:t>expenditures</w:t>
      </w:r>
      <w:r>
        <w:rPr>
          <w:spacing w:val="-1"/>
        </w:rPr>
        <w:t> </w:t>
      </w:r>
      <w:r>
        <w:rPr/>
        <w:t>for each</w:t>
      </w:r>
      <w:r>
        <w:rPr>
          <w:spacing w:val="1"/>
        </w:rPr>
        <w:t> </w:t>
      </w:r>
      <w:r>
        <w:rPr/>
        <w:t>applicable</w:t>
      </w:r>
      <w:r>
        <w:rPr>
          <w:spacing w:val="-2"/>
        </w:rPr>
        <w:t> </w:t>
      </w:r>
      <w:r>
        <w:rPr/>
        <w:t>title</w:t>
      </w:r>
      <w:r>
        <w:rPr>
          <w:spacing w:val="-2"/>
        </w:rPr>
        <w:t> </w:t>
      </w:r>
      <w:r>
        <w:rPr/>
        <w:t>XXI</w:t>
      </w:r>
      <w:r>
        <w:rPr>
          <w:spacing w:val="-5"/>
        </w:rPr>
        <w:t> </w:t>
      </w:r>
      <w:r>
        <w:rPr/>
        <w:t>demonstration</w:t>
      </w:r>
      <w:r>
        <w:rPr>
          <w:spacing w:val="-1"/>
        </w:rPr>
        <w:t> </w:t>
      </w:r>
      <w:r>
        <w:rPr>
          <w:spacing w:val="-2"/>
        </w:rPr>
        <w:t>population.</w:t>
      </w:r>
    </w:p>
    <w:p>
      <w:pPr>
        <w:pStyle w:val="BodyText"/>
        <w:spacing w:before="10"/>
        <w:rPr>
          <w:sz w:val="20"/>
        </w:rPr>
      </w:pPr>
    </w:p>
    <w:p>
      <w:pPr>
        <w:pStyle w:val="BodyText"/>
        <w:ind w:left="2391" w:right="1178"/>
      </w:pPr>
      <w:r>
        <w:rPr/>
        <w:drawing>
          <wp:anchor distT="0" distB="0" distL="0" distR="0" allowOverlap="1" layoutInCell="1" locked="0" behindDoc="0" simplePos="0" relativeHeight="16121344">
            <wp:simplePos x="0" y="0"/>
            <wp:positionH relativeFrom="page">
              <wp:posOffset>1431036</wp:posOffset>
            </wp:positionH>
            <wp:positionV relativeFrom="paragraph">
              <wp:posOffset>67603</wp:posOffset>
            </wp:positionV>
            <wp:extent cx="96011" cy="80771"/>
            <wp:effectExtent l="0" t="0" r="0" b="0"/>
            <wp:wrapNone/>
            <wp:docPr id="795" name="Image 795"/>
            <wp:cNvGraphicFramePr>
              <a:graphicFrameLocks/>
            </wp:cNvGraphicFramePr>
            <a:graphic>
              <a:graphicData uri="http://schemas.openxmlformats.org/drawingml/2006/picture">
                <pic:pic>
                  <pic:nvPicPr>
                    <pic:cNvPr id="795" name="Image 795"/>
                    <pic:cNvPicPr/>
                  </pic:nvPicPr>
                  <pic:blipFill>
                    <a:blip r:embed="rId40" cstate="print"/>
                    <a:stretch>
                      <a:fillRect/>
                    </a:stretch>
                  </pic:blipFill>
                  <pic:spPr>
                    <a:xfrm>
                      <a:off x="0" y="0"/>
                      <a:ext cx="96011" cy="80771"/>
                    </a:xfrm>
                    <a:prstGeom prst="rect">
                      <a:avLst/>
                    </a:prstGeom>
                  </pic:spPr>
                </pic:pic>
              </a:graphicData>
            </a:graphic>
          </wp:anchor>
        </w:drawing>
      </w:r>
      <w:bookmarkStart w:name="a. CMS will make federal funds available" w:id="1096"/>
      <w:bookmarkEnd w:id="1096"/>
      <w:r>
        <w:rPr/>
      </w:r>
      <w:r>
        <w:rPr/>
        <w:t>CMS</w:t>
      </w:r>
      <w:r>
        <w:rPr>
          <w:spacing w:val="-4"/>
        </w:rPr>
        <w:t> </w:t>
      </w:r>
      <w:r>
        <w:rPr/>
        <w:t>will</w:t>
      </w:r>
      <w:r>
        <w:rPr>
          <w:spacing w:val="-4"/>
        </w:rPr>
        <w:t> </w:t>
      </w:r>
      <w:r>
        <w:rPr/>
        <w:t>make</w:t>
      </w:r>
      <w:r>
        <w:rPr>
          <w:spacing w:val="-5"/>
        </w:rPr>
        <w:t> </w:t>
      </w:r>
      <w:r>
        <w:rPr/>
        <w:t>federal</w:t>
      </w:r>
      <w:r>
        <w:rPr>
          <w:spacing w:val="-4"/>
        </w:rPr>
        <w:t> </w:t>
      </w:r>
      <w:r>
        <w:rPr/>
        <w:t>funds</w:t>
      </w:r>
      <w:r>
        <w:rPr>
          <w:spacing w:val="-4"/>
        </w:rPr>
        <w:t> </w:t>
      </w:r>
      <w:r>
        <w:rPr/>
        <w:t>available</w:t>
      </w:r>
      <w:r>
        <w:rPr>
          <w:spacing w:val="-5"/>
        </w:rPr>
        <w:t> </w:t>
      </w:r>
      <w:r>
        <w:rPr/>
        <w:t>based</w:t>
      </w:r>
      <w:r>
        <w:rPr>
          <w:spacing w:val="-4"/>
        </w:rPr>
        <w:t> </w:t>
      </w:r>
      <w:r>
        <w:rPr/>
        <w:t>upon</w:t>
      </w:r>
      <w:r>
        <w:rPr>
          <w:spacing w:val="-4"/>
        </w:rPr>
        <w:t> </w:t>
      </w:r>
      <w:r>
        <w:rPr/>
        <w:t>the</w:t>
      </w:r>
      <w:r>
        <w:rPr>
          <w:spacing w:val="-5"/>
        </w:rPr>
        <w:t> </w:t>
      </w:r>
      <w:r>
        <w:rPr/>
        <w:t>state’s</w:t>
      </w:r>
      <w:r>
        <w:rPr>
          <w:spacing w:val="-4"/>
        </w:rPr>
        <w:t> </w:t>
      </w:r>
      <w:r>
        <w:rPr/>
        <w:t>estimate,</w:t>
      </w:r>
      <w:r>
        <w:rPr>
          <w:spacing w:val="-4"/>
        </w:rPr>
        <w:t> </w:t>
      </w:r>
      <w:r>
        <w:rPr/>
        <w:t>as</w:t>
      </w:r>
      <w:r>
        <w:rPr>
          <w:spacing w:val="-2"/>
        </w:rPr>
        <w:t> </w:t>
      </w:r>
      <w:r>
        <w:rPr/>
        <w:t>approved by CMS.</w:t>
      </w:r>
      <w:r>
        <w:rPr>
          <w:spacing w:val="40"/>
        </w:rPr>
        <w:t> </w:t>
      </w:r>
      <w:r>
        <w:rPr/>
        <w:t>Within 30 days after the end of each quarter, the state must report demonstration expenditures through Form CMS-21W and/or CMS-21P Waiver for the title XXI funded separate CHIP population and report demonstration expenditures</w:t>
      </w:r>
      <w:r>
        <w:rPr>
          <w:spacing w:val="-1"/>
        </w:rPr>
        <w:t> </w:t>
      </w:r>
      <w:r>
        <w:rPr/>
        <w:t>for</w:t>
      </w:r>
      <w:r>
        <w:rPr>
          <w:spacing w:val="-2"/>
        </w:rPr>
        <w:t> </w:t>
      </w:r>
      <w:r>
        <w:rPr/>
        <w:t>the</w:t>
      </w:r>
      <w:r>
        <w:rPr>
          <w:spacing w:val="-2"/>
        </w:rPr>
        <w:t> </w:t>
      </w:r>
      <w:r>
        <w:rPr/>
        <w:t>title</w:t>
      </w:r>
      <w:r>
        <w:rPr>
          <w:spacing w:val="-2"/>
        </w:rPr>
        <w:t> </w:t>
      </w:r>
      <w:r>
        <w:rPr/>
        <w:t>XXI</w:t>
      </w:r>
      <w:r>
        <w:rPr>
          <w:spacing w:val="-5"/>
        </w:rPr>
        <w:t> </w:t>
      </w:r>
      <w:r>
        <w:rPr/>
        <w:t>funded</w:t>
      </w:r>
      <w:r>
        <w:rPr>
          <w:spacing w:val="-1"/>
        </w:rPr>
        <w:t> </w:t>
      </w:r>
      <w:r>
        <w:rPr/>
        <w:t>Medicaid expansion</w:t>
      </w:r>
      <w:r>
        <w:rPr>
          <w:spacing w:val="-1"/>
        </w:rPr>
        <w:t> </w:t>
      </w:r>
      <w:r>
        <w:rPr/>
        <w:t>population</w:t>
      </w:r>
      <w:r>
        <w:rPr>
          <w:spacing w:val="-1"/>
        </w:rPr>
        <w:t> </w:t>
      </w:r>
      <w:r>
        <w:rPr/>
        <w:t>through Form</w:t>
      </w:r>
    </w:p>
    <w:p>
      <w:pPr>
        <w:pStyle w:val="BodyText"/>
        <w:ind w:left="2391" w:right="1111"/>
      </w:pPr>
      <w:r>
        <w:rPr/>
        <w:t>64.21U Waiver and/or CMS-64.21UP Waiver.</w:t>
      </w:r>
      <w:r>
        <w:rPr>
          <w:spacing w:val="40"/>
        </w:rPr>
        <w:t> </w:t>
      </w:r>
      <w:r>
        <w:rPr/>
        <w:t>Expenditures reported on the waiver forms must be identified by the demonstration project number assigned by CMS (including project number extension, which indicates the demonstration year in which services were rendered or for which capitation payments were made). CMS will reconcile expenditures reported on the CMS-21W/CMS-21P Waiver and the CMS 64.21U Waiver/CMS-64.21UP Waiver forms with federal funding previously made</w:t>
      </w:r>
      <w:r>
        <w:rPr>
          <w:spacing w:val="-4"/>
        </w:rPr>
        <w:t> </w:t>
      </w:r>
      <w:r>
        <w:rPr/>
        <w:t>available</w:t>
      </w:r>
      <w:r>
        <w:rPr>
          <w:spacing w:val="-4"/>
        </w:rPr>
        <w:t> </w:t>
      </w:r>
      <w:r>
        <w:rPr/>
        <w:t>to</w:t>
      </w:r>
      <w:r>
        <w:rPr>
          <w:spacing w:val="-3"/>
        </w:rPr>
        <w:t> </w:t>
      </w:r>
      <w:r>
        <w:rPr/>
        <w:t>the</w:t>
      </w:r>
      <w:r>
        <w:rPr>
          <w:spacing w:val="-4"/>
        </w:rPr>
        <w:t> </w:t>
      </w:r>
      <w:r>
        <w:rPr/>
        <w:t>state,</w:t>
      </w:r>
      <w:r>
        <w:rPr>
          <w:spacing w:val="-3"/>
        </w:rPr>
        <w:t> </w:t>
      </w:r>
      <w:r>
        <w:rPr/>
        <w:t>and</w:t>
      </w:r>
      <w:r>
        <w:rPr>
          <w:spacing w:val="-3"/>
        </w:rPr>
        <w:t> </w:t>
      </w:r>
      <w:r>
        <w:rPr/>
        <w:t>include</w:t>
      </w:r>
      <w:r>
        <w:rPr>
          <w:spacing w:val="-4"/>
        </w:rPr>
        <w:t> </w:t>
      </w:r>
      <w:r>
        <w:rPr/>
        <w:t>the</w:t>
      </w:r>
      <w:r>
        <w:rPr>
          <w:spacing w:val="-2"/>
        </w:rPr>
        <w:t> </w:t>
      </w:r>
      <w:r>
        <w:rPr/>
        <w:t>reconciling</w:t>
      </w:r>
      <w:r>
        <w:rPr>
          <w:spacing w:val="-6"/>
        </w:rPr>
        <w:t> </w:t>
      </w:r>
      <w:r>
        <w:rPr/>
        <w:t>adjustment</w:t>
      </w:r>
      <w:r>
        <w:rPr>
          <w:spacing w:val="-3"/>
        </w:rPr>
        <w:t> </w:t>
      </w:r>
      <w:r>
        <w:rPr/>
        <w:t>in</w:t>
      </w:r>
      <w:r>
        <w:rPr>
          <w:spacing w:val="-3"/>
        </w:rPr>
        <w:t> </w:t>
      </w:r>
      <w:r>
        <w:rPr/>
        <w:t>the</w:t>
      </w:r>
      <w:r>
        <w:rPr>
          <w:spacing w:val="-4"/>
        </w:rPr>
        <w:t> </w:t>
      </w:r>
      <w:r>
        <w:rPr/>
        <w:t>finalization of the grant award to the state.</w:t>
      </w:r>
    </w:p>
    <w:p>
      <w:pPr>
        <w:pStyle w:val="BodyText"/>
        <w:spacing w:before="10"/>
        <w:rPr>
          <w:sz w:val="20"/>
        </w:rPr>
      </w:pPr>
    </w:p>
    <w:p>
      <w:pPr>
        <w:pStyle w:val="BodyText"/>
        <w:spacing w:before="1"/>
        <w:ind w:left="1851" w:right="1148"/>
      </w:pPr>
      <w:r>
        <w:rPr/>
        <w:drawing>
          <wp:anchor distT="0" distB="0" distL="0" distR="0" allowOverlap="1" layoutInCell="1" locked="0" behindDoc="0" simplePos="0" relativeHeight="16121856">
            <wp:simplePos x="0" y="0"/>
            <wp:positionH relativeFrom="page">
              <wp:posOffset>894588</wp:posOffset>
            </wp:positionH>
            <wp:positionV relativeFrom="paragraph">
              <wp:posOffset>36247</wp:posOffset>
            </wp:positionV>
            <wp:extent cx="297179" cy="112762"/>
            <wp:effectExtent l="0" t="0" r="0" b="0"/>
            <wp:wrapNone/>
            <wp:docPr id="796" name="Image 796"/>
            <wp:cNvGraphicFramePr>
              <a:graphicFrameLocks/>
            </wp:cNvGraphicFramePr>
            <a:graphic>
              <a:graphicData uri="http://schemas.openxmlformats.org/drawingml/2006/picture">
                <pic:pic>
                  <pic:nvPicPr>
                    <pic:cNvPr id="796" name="Image 796"/>
                    <pic:cNvPicPr/>
                  </pic:nvPicPr>
                  <pic:blipFill>
                    <a:blip r:embed="rId317" cstate="print"/>
                    <a:stretch>
                      <a:fillRect/>
                    </a:stretch>
                  </pic:blipFill>
                  <pic:spPr>
                    <a:xfrm>
                      <a:off x="0" y="0"/>
                      <a:ext cx="297179" cy="112762"/>
                    </a:xfrm>
                    <a:prstGeom prst="rect">
                      <a:avLst/>
                    </a:prstGeom>
                  </pic:spPr>
                </pic:pic>
              </a:graphicData>
            </a:graphic>
          </wp:anchor>
        </w:drawing>
      </w:r>
      <w:bookmarkStart w:name="20.3. Title XXI Administrative Costs.  A" w:id="1097"/>
      <w:bookmarkEnd w:id="1097"/>
      <w:r>
        <w:rPr/>
      </w:r>
      <w:r>
        <w:rPr>
          <w:b/>
        </w:rPr>
        <w:t>Title XXI Administrative Costs.</w:t>
      </w:r>
      <w:r>
        <w:rPr>
          <w:b/>
          <w:spacing w:val="40"/>
        </w:rPr>
        <w:t> </w:t>
      </w:r>
      <w:r>
        <w:rPr/>
        <w:t>Administrative costs will not be included in the allotment</w:t>
      </w:r>
      <w:r>
        <w:rPr>
          <w:spacing w:val="-3"/>
        </w:rPr>
        <w:t> </w:t>
      </w:r>
      <w:r>
        <w:rPr/>
        <w:t>neutrality</w:t>
      </w:r>
      <w:r>
        <w:rPr>
          <w:spacing w:val="-7"/>
        </w:rPr>
        <w:t> </w:t>
      </w:r>
      <w:r>
        <w:rPr/>
        <w:t>limit.</w:t>
      </w:r>
      <w:r>
        <w:rPr>
          <w:spacing w:val="40"/>
        </w:rPr>
        <w:t> </w:t>
      </w:r>
      <w:r>
        <w:rPr/>
        <w:t>All</w:t>
      </w:r>
      <w:r>
        <w:rPr>
          <w:spacing w:val="-3"/>
        </w:rPr>
        <w:t> </w:t>
      </w:r>
      <w:r>
        <w:rPr/>
        <w:t>administrative</w:t>
      </w:r>
      <w:r>
        <w:rPr>
          <w:spacing w:val="-4"/>
        </w:rPr>
        <w:t> </w:t>
      </w:r>
      <w:r>
        <w:rPr/>
        <w:t>costs</w:t>
      </w:r>
      <w:r>
        <w:rPr>
          <w:spacing w:val="-3"/>
        </w:rPr>
        <w:t> </w:t>
      </w:r>
      <w:r>
        <w:rPr/>
        <w:t>(i.e.,</w:t>
      </w:r>
      <w:r>
        <w:rPr>
          <w:spacing w:val="-3"/>
        </w:rPr>
        <w:t> </w:t>
      </w:r>
      <w:r>
        <w:rPr/>
        <w:t>costs</w:t>
      </w:r>
      <w:r>
        <w:rPr>
          <w:spacing w:val="-3"/>
        </w:rPr>
        <w:t> </w:t>
      </w:r>
      <w:r>
        <w:rPr/>
        <w:t>associated</w:t>
      </w:r>
      <w:r>
        <w:rPr>
          <w:spacing w:val="-1"/>
        </w:rPr>
        <w:t> </w:t>
      </w:r>
      <w:r>
        <w:rPr/>
        <w:t>with</w:t>
      </w:r>
      <w:r>
        <w:rPr>
          <w:spacing w:val="-3"/>
        </w:rPr>
        <w:t> </w:t>
      </w:r>
      <w:r>
        <w:rPr/>
        <w:t>the</w:t>
      </w:r>
      <w:r>
        <w:rPr>
          <w:spacing w:val="-4"/>
        </w:rPr>
        <w:t> </w:t>
      </w:r>
      <w:r>
        <w:rPr/>
        <w:t>title</w:t>
      </w:r>
      <w:r>
        <w:rPr>
          <w:spacing w:val="-4"/>
        </w:rPr>
        <w:t> </w:t>
      </w:r>
      <w:r>
        <w:rPr/>
        <w:t>XXI state plan and the title XXI funded demonstration populations identified in these STCs)</w:t>
      </w:r>
      <w:r>
        <w:rPr>
          <w:spacing w:val="40"/>
        </w:rPr>
        <w:t> </w:t>
      </w:r>
      <w:r>
        <w:rPr/>
        <w:t>are subject to the title XXI 10 percent administrative cap described in section 2105(c)(2)(A) of the Act.</w:t>
      </w:r>
    </w:p>
    <w:p>
      <w:pPr>
        <w:pStyle w:val="BodyText"/>
        <w:spacing w:before="10"/>
        <w:rPr>
          <w:sz w:val="20"/>
        </w:rPr>
      </w:pPr>
    </w:p>
    <w:p>
      <w:pPr>
        <w:pStyle w:val="BodyText"/>
        <w:ind w:left="1851" w:right="1126"/>
      </w:pPr>
      <w:r>
        <w:rPr/>
        <w:drawing>
          <wp:anchor distT="0" distB="0" distL="0" distR="0" allowOverlap="1" layoutInCell="1" locked="0" behindDoc="0" simplePos="0" relativeHeight="16122368">
            <wp:simplePos x="0" y="0"/>
            <wp:positionH relativeFrom="page">
              <wp:posOffset>894588</wp:posOffset>
            </wp:positionH>
            <wp:positionV relativeFrom="paragraph">
              <wp:posOffset>35612</wp:posOffset>
            </wp:positionV>
            <wp:extent cx="297179" cy="112762"/>
            <wp:effectExtent l="0" t="0" r="0" b="0"/>
            <wp:wrapNone/>
            <wp:docPr id="797" name="Image 797"/>
            <wp:cNvGraphicFramePr>
              <a:graphicFrameLocks/>
            </wp:cNvGraphicFramePr>
            <a:graphic>
              <a:graphicData uri="http://schemas.openxmlformats.org/drawingml/2006/picture">
                <pic:pic>
                  <pic:nvPicPr>
                    <pic:cNvPr id="797" name="Image 797"/>
                    <pic:cNvPicPr/>
                  </pic:nvPicPr>
                  <pic:blipFill>
                    <a:blip r:embed="rId318" cstate="print"/>
                    <a:stretch>
                      <a:fillRect/>
                    </a:stretch>
                  </pic:blipFill>
                  <pic:spPr>
                    <a:xfrm>
                      <a:off x="0" y="0"/>
                      <a:ext cx="297179" cy="112762"/>
                    </a:xfrm>
                    <a:prstGeom prst="rect">
                      <a:avLst/>
                    </a:prstGeom>
                  </pic:spPr>
                </pic:pic>
              </a:graphicData>
            </a:graphic>
          </wp:anchor>
        </w:drawing>
      </w:r>
      <w:bookmarkStart w:name="20.4. Limit on Title XXI Funding.  The s" w:id="1098"/>
      <w:bookmarkEnd w:id="1098"/>
      <w:r>
        <w:rPr/>
      </w:r>
      <w:r>
        <w:rPr>
          <w:b/>
        </w:rPr>
        <w:t>Limit</w:t>
      </w:r>
      <w:r>
        <w:rPr>
          <w:b/>
          <w:spacing w:val="-3"/>
        </w:rPr>
        <w:t> </w:t>
      </w:r>
      <w:r>
        <w:rPr>
          <w:b/>
        </w:rPr>
        <w:t>on</w:t>
      </w:r>
      <w:r>
        <w:rPr>
          <w:b/>
          <w:spacing w:val="-2"/>
        </w:rPr>
        <w:t> </w:t>
      </w:r>
      <w:r>
        <w:rPr>
          <w:b/>
        </w:rPr>
        <w:t>Title</w:t>
      </w:r>
      <w:r>
        <w:rPr>
          <w:b/>
          <w:spacing w:val="-3"/>
        </w:rPr>
        <w:t> </w:t>
      </w:r>
      <w:r>
        <w:rPr>
          <w:b/>
        </w:rPr>
        <w:t>XXI Funding.</w:t>
      </w:r>
      <w:r>
        <w:rPr>
          <w:b/>
          <w:spacing w:val="40"/>
        </w:rPr>
        <w:t> </w:t>
      </w:r>
      <w:r>
        <w:rPr/>
        <w:t>The</w:t>
      </w:r>
      <w:r>
        <w:rPr>
          <w:spacing w:val="-3"/>
        </w:rPr>
        <w:t> </w:t>
      </w:r>
      <w:r>
        <w:rPr/>
        <w:t>state</w:t>
      </w:r>
      <w:r>
        <w:rPr>
          <w:spacing w:val="-3"/>
        </w:rPr>
        <w:t> </w:t>
      </w:r>
      <w:r>
        <w:rPr/>
        <w:t>will</w:t>
      </w:r>
      <w:r>
        <w:rPr>
          <w:spacing w:val="-2"/>
        </w:rPr>
        <w:t> </w:t>
      </w:r>
      <w:r>
        <w:rPr/>
        <w:t>be</w:t>
      </w:r>
      <w:r>
        <w:rPr>
          <w:spacing w:val="-3"/>
        </w:rPr>
        <w:t> </w:t>
      </w:r>
      <w:r>
        <w:rPr/>
        <w:t>subject</w:t>
      </w:r>
      <w:r>
        <w:rPr>
          <w:spacing w:val="-2"/>
        </w:rPr>
        <w:t> </w:t>
      </w:r>
      <w:r>
        <w:rPr/>
        <w:t>to</w:t>
      </w:r>
      <w:r>
        <w:rPr>
          <w:spacing w:val="-3"/>
        </w:rPr>
        <w:t> </w:t>
      </w:r>
      <w:r>
        <w:rPr/>
        <w:t>a</w:t>
      </w:r>
      <w:r>
        <w:rPr>
          <w:spacing w:val="-3"/>
        </w:rPr>
        <w:t> </w:t>
      </w:r>
      <w:r>
        <w:rPr/>
        <w:t>limit</w:t>
      </w:r>
      <w:r>
        <w:rPr>
          <w:spacing w:val="-2"/>
        </w:rPr>
        <w:t> </w:t>
      </w:r>
      <w:r>
        <w:rPr/>
        <w:t>on</w:t>
      </w:r>
      <w:r>
        <w:rPr>
          <w:spacing w:val="-2"/>
        </w:rPr>
        <w:t> </w:t>
      </w:r>
      <w:r>
        <w:rPr/>
        <w:t>the</w:t>
      </w:r>
      <w:r>
        <w:rPr>
          <w:spacing w:val="-3"/>
        </w:rPr>
        <w:t> </w:t>
      </w:r>
      <w:r>
        <w:rPr/>
        <w:t>amount</w:t>
      </w:r>
      <w:r>
        <w:rPr>
          <w:spacing w:val="-2"/>
        </w:rPr>
        <w:t> </w:t>
      </w:r>
      <w:r>
        <w:rPr/>
        <w:t>of</w:t>
      </w:r>
      <w:r>
        <w:rPr>
          <w:spacing w:val="-3"/>
        </w:rPr>
        <w:t> </w:t>
      </w:r>
      <w:r>
        <w:rPr/>
        <w:t>federal title XXI funding that the state may receive on eligible CHIP state plan populations and the CHIP demonstration populations described in STC 18.12 during the demonstration period.</w:t>
      </w:r>
      <w:r>
        <w:rPr>
          <w:spacing w:val="40"/>
        </w:rPr>
        <w:t> </w:t>
      </w:r>
      <w:r>
        <w:rPr/>
        <w:t>Federal title XXI funds for the state’s CHIP program (i.e., the approved title XXI state plan and the demonstration populations identified in these STCs) are restricted to the state’s available allotment and reallocated funds.</w:t>
      </w:r>
      <w:r>
        <w:rPr>
          <w:spacing w:val="40"/>
        </w:rPr>
        <w:t> </w:t>
      </w:r>
      <w:r>
        <w:rPr/>
        <w:t>Title XXI funds (i.e., the allotment or</w:t>
      </w:r>
    </w:p>
    <w:p>
      <w:pPr>
        <w:spacing w:after="0"/>
        <w:sectPr>
          <w:pgSz w:w="12240" w:h="15840"/>
          <w:pgMar w:header="0" w:footer="1201" w:top="1360" w:bottom="1400" w:left="220" w:right="340"/>
        </w:sectPr>
      </w:pPr>
    </w:p>
    <w:p>
      <w:pPr>
        <w:pStyle w:val="BodyText"/>
        <w:spacing w:before="79"/>
        <w:ind w:left="1851" w:right="1111"/>
      </w:pPr>
      <w:r>
        <w:rPr/>
        <w:t>reallocated</w:t>
      </w:r>
      <w:r>
        <w:rPr>
          <w:spacing w:val="-3"/>
        </w:rPr>
        <w:t> </w:t>
      </w:r>
      <w:r>
        <w:rPr/>
        <w:t>funds)</w:t>
      </w:r>
      <w:r>
        <w:rPr>
          <w:spacing w:val="-4"/>
        </w:rPr>
        <w:t> </w:t>
      </w:r>
      <w:r>
        <w:rPr/>
        <w:t>must</w:t>
      </w:r>
      <w:r>
        <w:rPr>
          <w:spacing w:val="-3"/>
        </w:rPr>
        <w:t> </w:t>
      </w:r>
      <w:r>
        <w:rPr/>
        <w:t>first</w:t>
      </w:r>
      <w:r>
        <w:rPr>
          <w:spacing w:val="-3"/>
        </w:rPr>
        <w:t> </w:t>
      </w:r>
      <w:r>
        <w:rPr/>
        <w:t>be</w:t>
      </w:r>
      <w:r>
        <w:rPr>
          <w:spacing w:val="-4"/>
        </w:rPr>
        <w:t> </w:t>
      </w:r>
      <w:r>
        <w:rPr/>
        <w:t>used</w:t>
      </w:r>
      <w:r>
        <w:rPr>
          <w:spacing w:val="-3"/>
        </w:rPr>
        <w:t> </w:t>
      </w:r>
      <w:r>
        <w:rPr/>
        <w:t>to</w:t>
      </w:r>
      <w:r>
        <w:rPr>
          <w:spacing w:val="-3"/>
        </w:rPr>
        <w:t> </w:t>
      </w:r>
      <w:r>
        <w:rPr/>
        <w:t>fully</w:t>
      </w:r>
      <w:r>
        <w:rPr>
          <w:spacing w:val="-8"/>
        </w:rPr>
        <w:t> </w:t>
      </w:r>
      <w:r>
        <w:rPr/>
        <w:t>fund</w:t>
      </w:r>
      <w:r>
        <w:rPr>
          <w:spacing w:val="-1"/>
        </w:rPr>
        <w:t> </w:t>
      </w:r>
      <w:r>
        <w:rPr/>
        <w:t>costs</w:t>
      </w:r>
      <w:r>
        <w:rPr>
          <w:spacing w:val="-3"/>
        </w:rPr>
        <w:t> </w:t>
      </w:r>
      <w:r>
        <w:rPr/>
        <w:t>associated</w:t>
      </w:r>
      <w:r>
        <w:rPr>
          <w:spacing w:val="-3"/>
        </w:rPr>
        <w:t> </w:t>
      </w:r>
      <w:r>
        <w:rPr/>
        <w:t>with</w:t>
      </w:r>
      <w:r>
        <w:rPr>
          <w:spacing w:val="-3"/>
        </w:rPr>
        <w:t> </w:t>
      </w:r>
      <w:r>
        <w:rPr/>
        <w:t>CHIP</w:t>
      </w:r>
      <w:r>
        <w:rPr>
          <w:spacing w:val="-3"/>
        </w:rPr>
        <w:t> </w:t>
      </w:r>
      <w:r>
        <w:rPr/>
        <w:t>state</w:t>
      </w:r>
      <w:r>
        <w:rPr>
          <w:spacing w:val="-4"/>
        </w:rPr>
        <w:t> </w:t>
      </w:r>
      <w:r>
        <w:rPr/>
        <w:t>plan populations.</w:t>
      </w:r>
      <w:r>
        <w:rPr>
          <w:spacing w:val="40"/>
        </w:rPr>
        <w:t> </w:t>
      </w:r>
      <w:r>
        <w:rPr/>
        <w:t>Demonstration expenditures are limited to remaining funds.</w:t>
      </w:r>
    </w:p>
    <w:p>
      <w:pPr>
        <w:pStyle w:val="BodyText"/>
        <w:spacing w:before="10"/>
        <w:rPr>
          <w:sz w:val="20"/>
        </w:rPr>
      </w:pPr>
    </w:p>
    <w:p>
      <w:pPr>
        <w:pStyle w:val="BodyText"/>
        <w:ind w:left="1851" w:right="1111"/>
      </w:pPr>
      <w:r>
        <w:rPr/>
        <w:drawing>
          <wp:anchor distT="0" distB="0" distL="0" distR="0" allowOverlap="1" layoutInCell="1" locked="0" behindDoc="0" simplePos="0" relativeHeight="16122880">
            <wp:simplePos x="0" y="0"/>
            <wp:positionH relativeFrom="page">
              <wp:posOffset>894588</wp:posOffset>
            </wp:positionH>
            <wp:positionV relativeFrom="paragraph">
              <wp:posOffset>35612</wp:posOffset>
            </wp:positionV>
            <wp:extent cx="297179" cy="112763"/>
            <wp:effectExtent l="0" t="0" r="0" b="0"/>
            <wp:wrapNone/>
            <wp:docPr id="798" name="Image 798"/>
            <wp:cNvGraphicFramePr>
              <a:graphicFrameLocks/>
            </wp:cNvGraphicFramePr>
            <a:graphic>
              <a:graphicData uri="http://schemas.openxmlformats.org/drawingml/2006/picture">
                <pic:pic>
                  <pic:nvPicPr>
                    <pic:cNvPr id="798" name="Image 798"/>
                    <pic:cNvPicPr/>
                  </pic:nvPicPr>
                  <pic:blipFill>
                    <a:blip r:embed="rId319" cstate="print"/>
                    <a:stretch>
                      <a:fillRect/>
                    </a:stretch>
                  </pic:blipFill>
                  <pic:spPr>
                    <a:xfrm>
                      <a:off x="0" y="0"/>
                      <a:ext cx="297179" cy="112763"/>
                    </a:xfrm>
                    <a:prstGeom prst="rect">
                      <a:avLst/>
                    </a:prstGeom>
                  </pic:spPr>
                </pic:pic>
              </a:graphicData>
            </a:graphic>
          </wp:anchor>
        </w:drawing>
      </w:r>
      <w:bookmarkStart w:name="20.5. Exhaustion of Title XXI Allotment " w:id="1099"/>
      <w:bookmarkEnd w:id="1099"/>
      <w:r>
        <w:rPr/>
      </w:r>
      <w:r>
        <w:rPr>
          <w:b/>
        </w:rPr>
        <w:t>Exhaustion of Title XXI Allotment for CHIP Populations.</w:t>
      </w:r>
      <w:r>
        <w:rPr>
          <w:b/>
          <w:spacing w:val="40"/>
        </w:rPr>
        <w:t> </w:t>
      </w:r>
      <w:r>
        <w:rPr/>
        <w:t>If the state has exhausted title</w:t>
      </w:r>
      <w:r>
        <w:rPr>
          <w:spacing w:val="-3"/>
        </w:rPr>
        <w:t> </w:t>
      </w:r>
      <w:r>
        <w:rPr/>
        <w:t>XXI</w:t>
      </w:r>
      <w:r>
        <w:rPr>
          <w:spacing w:val="-6"/>
        </w:rPr>
        <w:t> </w:t>
      </w:r>
      <w:r>
        <w:rPr/>
        <w:t>funds,</w:t>
      </w:r>
      <w:r>
        <w:rPr>
          <w:spacing w:val="-3"/>
        </w:rPr>
        <w:t> </w:t>
      </w:r>
      <w:r>
        <w:rPr/>
        <w:t>expenditures</w:t>
      </w:r>
      <w:r>
        <w:rPr>
          <w:spacing w:val="-3"/>
        </w:rPr>
        <w:t> </w:t>
      </w:r>
      <w:r>
        <w:rPr/>
        <w:t>for</w:t>
      </w:r>
      <w:r>
        <w:rPr>
          <w:spacing w:val="-3"/>
        </w:rPr>
        <w:t> </w:t>
      </w:r>
      <w:r>
        <w:rPr/>
        <w:t>the</w:t>
      </w:r>
      <w:r>
        <w:rPr>
          <w:spacing w:val="-3"/>
        </w:rPr>
        <w:t> </w:t>
      </w:r>
      <w:r>
        <w:rPr/>
        <w:t>title</w:t>
      </w:r>
      <w:r>
        <w:rPr>
          <w:spacing w:val="-3"/>
        </w:rPr>
        <w:t> </w:t>
      </w:r>
      <w:r>
        <w:rPr/>
        <w:t>XXI</w:t>
      </w:r>
      <w:r>
        <w:rPr>
          <w:spacing w:val="-6"/>
        </w:rPr>
        <w:t> </w:t>
      </w:r>
      <w:r>
        <w:rPr/>
        <w:t>funded</w:t>
      </w:r>
      <w:r>
        <w:rPr>
          <w:spacing w:val="-3"/>
        </w:rPr>
        <w:t> </w:t>
      </w:r>
      <w:r>
        <w:rPr/>
        <w:t>CHIP</w:t>
      </w:r>
      <w:r>
        <w:rPr>
          <w:spacing w:val="-3"/>
        </w:rPr>
        <w:t> </w:t>
      </w:r>
      <w:r>
        <w:rPr/>
        <w:t>populations</w:t>
      </w:r>
      <w:r>
        <w:rPr>
          <w:spacing w:val="-3"/>
        </w:rPr>
        <w:t> </w:t>
      </w:r>
      <w:r>
        <w:rPr/>
        <w:t>described</w:t>
      </w:r>
      <w:r>
        <w:rPr>
          <w:spacing w:val="-3"/>
        </w:rPr>
        <w:t> </w:t>
      </w:r>
      <w:r>
        <w:rPr/>
        <w:t>in</w:t>
      </w:r>
      <w:r>
        <w:rPr>
          <w:spacing w:val="-3"/>
        </w:rPr>
        <w:t> </w:t>
      </w:r>
      <w:r>
        <w:rPr/>
        <w:t>STC 18.12, and as approved within the CHIP state plan, may be claimed as title XIX expenditures.</w:t>
      </w:r>
      <w:r>
        <w:rPr>
          <w:spacing w:val="40"/>
        </w:rPr>
        <w:t> </w:t>
      </w:r>
      <w:r>
        <w:rPr/>
        <w:t>The state must notify</w:t>
      </w:r>
      <w:r>
        <w:rPr>
          <w:spacing w:val="-2"/>
        </w:rPr>
        <w:t> </w:t>
      </w:r>
      <w:r>
        <w:rPr/>
        <w:t>CMS in writing at least 90 days prior to an expected change in claiming of expenditures for the CHIP populations.</w:t>
      </w:r>
      <w:r>
        <w:rPr>
          <w:spacing w:val="40"/>
        </w:rPr>
        <w:t> </w:t>
      </w:r>
      <w:r>
        <w:rPr/>
        <w:t>The state shall report demonstration expenditures for these individuals on the Forms CMS 64.9W and/or CMS</w:t>
      </w:r>
    </w:p>
    <w:p>
      <w:pPr>
        <w:pStyle w:val="BodyText"/>
        <w:ind w:left="1851"/>
      </w:pPr>
      <w:r>
        <w:rPr/>
        <w:t>64.9P</w:t>
      </w:r>
      <w:r>
        <w:rPr>
          <w:spacing w:val="-4"/>
        </w:rPr>
        <w:t> </w:t>
      </w:r>
      <w:r>
        <w:rPr>
          <w:spacing w:val="-5"/>
        </w:rPr>
        <w:t>W.</w:t>
      </w:r>
    </w:p>
    <w:p>
      <w:pPr>
        <w:pStyle w:val="BodyText"/>
        <w:spacing w:before="10"/>
        <w:rPr>
          <w:sz w:val="20"/>
        </w:rPr>
      </w:pPr>
    </w:p>
    <w:p>
      <w:pPr>
        <w:pStyle w:val="Heading4"/>
        <w:numPr>
          <w:ilvl w:val="0"/>
          <w:numId w:val="3"/>
        </w:numPr>
        <w:tabs>
          <w:tab w:pos="1580" w:val="left" w:leader="none"/>
        </w:tabs>
        <w:spacing w:line="240" w:lineRule="auto" w:before="0" w:after="0"/>
        <w:ind w:left="1580" w:right="0" w:hanging="480"/>
        <w:jc w:val="left"/>
      </w:pPr>
      <w:bookmarkStart w:name="21. PROVIDER RATE INCREASE REQUIREMENTS" w:id="1100"/>
      <w:bookmarkEnd w:id="1100"/>
      <w:r>
        <w:rPr>
          <w:b w:val="0"/>
        </w:rPr>
      </w:r>
      <w:r>
        <w:rPr/>
        <w:t>PROVIDER</w:t>
      </w:r>
      <w:r>
        <w:rPr>
          <w:spacing w:val="-4"/>
        </w:rPr>
        <w:t> </w:t>
      </w:r>
      <w:r>
        <w:rPr/>
        <w:t>RATE</w:t>
      </w:r>
      <w:r>
        <w:rPr>
          <w:spacing w:val="-4"/>
        </w:rPr>
        <w:t> </w:t>
      </w:r>
      <w:r>
        <w:rPr/>
        <w:t>INCREASE</w:t>
      </w:r>
      <w:r>
        <w:rPr>
          <w:spacing w:val="-3"/>
        </w:rPr>
        <w:t> </w:t>
      </w:r>
      <w:r>
        <w:rPr>
          <w:spacing w:val="-2"/>
        </w:rPr>
        <w:t>REQUIREMENTS</w:t>
      </w:r>
    </w:p>
    <w:p>
      <w:pPr>
        <w:pStyle w:val="BodyText"/>
        <w:spacing w:before="10"/>
        <w:rPr>
          <w:b/>
          <w:sz w:val="20"/>
        </w:rPr>
      </w:pPr>
    </w:p>
    <w:p>
      <w:pPr>
        <w:pStyle w:val="BodyText"/>
        <w:ind w:left="1851" w:right="1111"/>
      </w:pPr>
      <w:r>
        <w:rPr/>
        <w:drawing>
          <wp:anchor distT="0" distB="0" distL="0" distR="0" allowOverlap="1" layoutInCell="1" locked="0" behindDoc="0" simplePos="0" relativeHeight="16123392">
            <wp:simplePos x="0" y="0"/>
            <wp:positionH relativeFrom="page">
              <wp:posOffset>894587</wp:posOffset>
            </wp:positionH>
            <wp:positionV relativeFrom="paragraph">
              <wp:posOffset>35600</wp:posOffset>
            </wp:positionV>
            <wp:extent cx="297179" cy="112775"/>
            <wp:effectExtent l="0" t="0" r="0" b="0"/>
            <wp:wrapNone/>
            <wp:docPr id="799" name="Image 799"/>
            <wp:cNvGraphicFramePr>
              <a:graphicFrameLocks/>
            </wp:cNvGraphicFramePr>
            <a:graphic>
              <a:graphicData uri="http://schemas.openxmlformats.org/drawingml/2006/picture">
                <pic:pic>
                  <pic:nvPicPr>
                    <pic:cNvPr id="799" name="Image 799"/>
                    <pic:cNvPicPr/>
                  </pic:nvPicPr>
                  <pic:blipFill>
                    <a:blip r:embed="rId320" cstate="print"/>
                    <a:stretch>
                      <a:fillRect/>
                    </a:stretch>
                  </pic:blipFill>
                  <pic:spPr>
                    <a:xfrm>
                      <a:off x="0" y="0"/>
                      <a:ext cx="297179" cy="112775"/>
                    </a:xfrm>
                    <a:prstGeom prst="rect">
                      <a:avLst/>
                    </a:prstGeom>
                  </pic:spPr>
                </pic:pic>
              </a:graphicData>
            </a:graphic>
          </wp:anchor>
        </w:drawing>
      </w:r>
      <w:bookmarkStart w:name="21.1. The provider payment rate increase" w:id="1101"/>
      <w:bookmarkEnd w:id="1101"/>
      <w:r>
        <w:rPr/>
      </w:r>
      <w:r>
        <w:rPr/>
        <w:t>The</w:t>
      </w:r>
      <w:r>
        <w:rPr>
          <w:spacing w:val="-4"/>
        </w:rPr>
        <w:t> </w:t>
      </w:r>
      <w:r>
        <w:rPr/>
        <w:t>provider</w:t>
      </w:r>
      <w:r>
        <w:rPr>
          <w:spacing w:val="-4"/>
        </w:rPr>
        <w:t> </w:t>
      </w:r>
      <w:r>
        <w:rPr/>
        <w:t>payment</w:t>
      </w:r>
      <w:r>
        <w:rPr>
          <w:spacing w:val="-3"/>
        </w:rPr>
        <w:t> </w:t>
      </w:r>
      <w:r>
        <w:rPr/>
        <w:t>rate</w:t>
      </w:r>
      <w:r>
        <w:rPr>
          <w:spacing w:val="-4"/>
        </w:rPr>
        <w:t> </w:t>
      </w:r>
      <w:r>
        <w:rPr/>
        <w:t>increase</w:t>
      </w:r>
      <w:r>
        <w:rPr>
          <w:spacing w:val="-4"/>
        </w:rPr>
        <w:t> </w:t>
      </w:r>
      <w:r>
        <w:rPr/>
        <w:t>requirements</w:t>
      </w:r>
      <w:r>
        <w:rPr>
          <w:spacing w:val="-3"/>
        </w:rPr>
        <w:t> </w:t>
      </w:r>
      <w:r>
        <w:rPr/>
        <w:t>described</w:t>
      </w:r>
      <w:r>
        <w:rPr>
          <w:spacing w:val="-3"/>
        </w:rPr>
        <w:t> </w:t>
      </w:r>
      <w:r>
        <w:rPr/>
        <w:t>hereafter</w:t>
      </w:r>
      <w:r>
        <w:rPr>
          <w:spacing w:val="-3"/>
        </w:rPr>
        <w:t> </w:t>
      </w:r>
      <w:r>
        <w:rPr/>
        <w:t>are</w:t>
      </w:r>
      <w:r>
        <w:rPr>
          <w:spacing w:val="-4"/>
        </w:rPr>
        <w:t> </w:t>
      </w:r>
      <w:r>
        <w:rPr/>
        <w:t>a</w:t>
      </w:r>
      <w:r>
        <w:rPr>
          <w:spacing w:val="-4"/>
        </w:rPr>
        <w:t> </w:t>
      </w:r>
      <w:r>
        <w:rPr/>
        <w:t>condition</w:t>
      </w:r>
      <w:r>
        <w:rPr>
          <w:spacing w:val="-3"/>
        </w:rPr>
        <w:t> </w:t>
      </w:r>
      <w:r>
        <w:rPr/>
        <w:t>for both the Hospital Quality and Equity Initiative and HRSN expenditure authorities, as referenced in expenditure authorities #25 and #22, respectively.</w:t>
      </w:r>
    </w:p>
    <w:p>
      <w:pPr>
        <w:pStyle w:val="BodyText"/>
        <w:spacing w:before="10"/>
        <w:rPr>
          <w:sz w:val="20"/>
        </w:rPr>
      </w:pPr>
    </w:p>
    <w:p>
      <w:pPr>
        <w:pStyle w:val="BodyText"/>
        <w:ind w:left="1851" w:right="1104"/>
      </w:pPr>
      <w:bookmarkStart w:name="As a condition of approval and ongoing p" w:id="1102"/>
      <w:bookmarkEnd w:id="1102"/>
      <w:r>
        <w:rPr/>
      </w:r>
      <w:r>
        <w:rPr/>
        <w:t>As a condition of approval and ongoing provision of FFP for the Hospital Quality and Equity Initiative</w:t>
      </w:r>
      <w:r>
        <w:rPr>
          <w:spacing w:val="40"/>
        </w:rPr>
        <w:t> </w:t>
      </w:r>
      <w:r>
        <w:rPr/>
        <w:t>and HRSN expenditures over this demonstration period of performance, DY 27 through DY 32, the Commonwealth will in accordance with these STCs increase and (at least) subsequently sustain Medicaid fee-for-service provider base rates, and require any relevant Medicaid managed care plan to increase and (at least) subsequently sustain network provider payment rates by at least two percentage points in the ratio of Medicaid to Medicare provider rates for each of the services that comprise the Commonwealth’s definition of primary care, behavioral health care, or obstetric care, as relevant, if the average Medicaid to Medicare provider payment rate ratio for a representative</w:t>
      </w:r>
      <w:r>
        <w:rPr>
          <w:spacing w:val="-4"/>
        </w:rPr>
        <w:t> </w:t>
      </w:r>
      <w:r>
        <w:rPr/>
        <w:t>sample</w:t>
      </w:r>
      <w:r>
        <w:rPr>
          <w:spacing w:val="-4"/>
        </w:rPr>
        <w:t> </w:t>
      </w:r>
      <w:r>
        <w:rPr/>
        <w:t>of</w:t>
      </w:r>
      <w:r>
        <w:rPr>
          <w:spacing w:val="-2"/>
        </w:rPr>
        <w:t> </w:t>
      </w:r>
      <w:r>
        <w:rPr/>
        <w:t>these</w:t>
      </w:r>
      <w:r>
        <w:rPr>
          <w:spacing w:val="-4"/>
        </w:rPr>
        <w:t> </w:t>
      </w:r>
      <w:r>
        <w:rPr/>
        <w:t>services</w:t>
      </w:r>
      <w:r>
        <w:rPr>
          <w:spacing w:val="-3"/>
        </w:rPr>
        <w:t> </w:t>
      </w:r>
      <w:r>
        <w:rPr/>
        <w:t>for</w:t>
      </w:r>
      <w:r>
        <w:rPr>
          <w:spacing w:val="-2"/>
        </w:rPr>
        <w:t> </w:t>
      </w:r>
      <w:r>
        <w:rPr/>
        <w:t>any</w:t>
      </w:r>
      <w:r>
        <w:rPr>
          <w:spacing w:val="-8"/>
        </w:rPr>
        <w:t> </w:t>
      </w:r>
      <w:r>
        <w:rPr/>
        <w:t>of</w:t>
      </w:r>
      <w:r>
        <w:rPr>
          <w:spacing w:val="-2"/>
        </w:rPr>
        <w:t> </w:t>
      </w:r>
      <w:r>
        <w:rPr/>
        <w:t>these</w:t>
      </w:r>
      <w:r>
        <w:rPr>
          <w:spacing w:val="-4"/>
        </w:rPr>
        <w:t> </w:t>
      </w:r>
      <w:r>
        <w:rPr/>
        <w:t>three</w:t>
      </w:r>
      <w:r>
        <w:rPr>
          <w:spacing w:val="-2"/>
        </w:rPr>
        <w:t> </w:t>
      </w:r>
      <w:r>
        <w:rPr/>
        <w:t>categories</w:t>
      </w:r>
      <w:r>
        <w:rPr>
          <w:spacing w:val="-3"/>
        </w:rPr>
        <w:t> </w:t>
      </w:r>
      <w:r>
        <w:rPr/>
        <w:t>of</w:t>
      </w:r>
      <w:r>
        <w:rPr>
          <w:spacing w:val="-2"/>
        </w:rPr>
        <w:t> </w:t>
      </w:r>
      <w:r>
        <w:rPr/>
        <w:t>service</w:t>
      </w:r>
      <w:r>
        <w:rPr>
          <w:spacing w:val="-4"/>
        </w:rPr>
        <w:t> </w:t>
      </w:r>
      <w:r>
        <w:rPr/>
        <w:t>is</w:t>
      </w:r>
      <w:r>
        <w:rPr>
          <w:spacing w:val="-3"/>
        </w:rPr>
        <w:t> </w:t>
      </w:r>
      <w:r>
        <w:rPr/>
        <w:t>below 80 percent.</w:t>
      </w:r>
    </w:p>
    <w:p>
      <w:pPr>
        <w:pStyle w:val="BodyText"/>
        <w:spacing w:before="10"/>
        <w:rPr>
          <w:sz w:val="20"/>
        </w:rPr>
      </w:pPr>
    </w:p>
    <w:p>
      <w:pPr>
        <w:pStyle w:val="BodyText"/>
        <w:ind w:left="1851" w:right="1111"/>
      </w:pPr>
      <w:bookmarkStart w:name="The Commonwealth may not decrease provid" w:id="1103"/>
      <w:bookmarkEnd w:id="1103"/>
      <w:r>
        <w:rPr/>
      </w:r>
      <w:r>
        <w:rPr/>
        <w:t>The Commonwealth may not decrease provider payment rates for other Medicaid or demonstration</w:t>
      </w:r>
      <w:r>
        <w:rPr>
          <w:spacing w:val="-4"/>
        </w:rPr>
        <w:t> </w:t>
      </w:r>
      <w:r>
        <w:rPr/>
        <w:t>covered</w:t>
      </w:r>
      <w:r>
        <w:rPr>
          <w:spacing w:val="-4"/>
        </w:rPr>
        <w:t> </w:t>
      </w:r>
      <w:r>
        <w:rPr/>
        <w:t>services</w:t>
      </w:r>
      <w:r>
        <w:rPr>
          <w:spacing w:val="-4"/>
        </w:rPr>
        <w:t> </w:t>
      </w:r>
      <w:r>
        <w:rPr/>
        <w:t>to</w:t>
      </w:r>
      <w:r>
        <w:rPr>
          <w:spacing w:val="-4"/>
        </w:rPr>
        <w:t> </w:t>
      </w:r>
      <w:r>
        <w:rPr/>
        <w:t>make</w:t>
      </w:r>
      <w:r>
        <w:rPr>
          <w:spacing w:val="-5"/>
        </w:rPr>
        <w:t> </w:t>
      </w:r>
      <w:r>
        <w:rPr/>
        <w:t>state</w:t>
      </w:r>
      <w:r>
        <w:rPr>
          <w:spacing w:val="-3"/>
        </w:rPr>
        <w:t> </w:t>
      </w:r>
      <w:r>
        <w:rPr/>
        <w:t>funds</w:t>
      </w:r>
      <w:r>
        <w:rPr>
          <w:spacing w:val="-4"/>
        </w:rPr>
        <w:t> </w:t>
      </w:r>
      <w:r>
        <w:rPr/>
        <w:t>available</w:t>
      </w:r>
      <w:r>
        <w:rPr>
          <w:spacing w:val="-5"/>
        </w:rPr>
        <w:t> </w:t>
      </w:r>
      <w:r>
        <w:rPr/>
        <w:t>to</w:t>
      </w:r>
      <w:r>
        <w:rPr>
          <w:spacing w:val="-4"/>
        </w:rPr>
        <w:t> </w:t>
      </w:r>
      <w:r>
        <w:rPr/>
        <w:t>finance</w:t>
      </w:r>
      <w:r>
        <w:rPr>
          <w:spacing w:val="-5"/>
        </w:rPr>
        <w:t> </w:t>
      </w:r>
      <w:r>
        <w:rPr/>
        <w:t>provider</w:t>
      </w:r>
      <w:r>
        <w:rPr>
          <w:spacing w:val="-5"/>
        </w:rPr>
        <w:t> </w:t>
      </w:r>
      <w:r>
        <w:rPr/>
        <w:t>rate increases required under this STC.</w:t>
      </w:r>
    </w:p>
    <w:p>
      <w:pPr>
        <w:pStyle w:val="BodyText"/>
        <w:spacing w:before="10"/>
        <w:rPr>
          <w:sz w:val="20"/>
        </w:rPr>
      </w:pPr>
    </w:p>
    <w:p>
      <w:pPr>
        <w:pStyle w:val="BodyText"/>
        <w:spacing w:before="1"/>
        <w:ind w:left="1851" w:right="1111"/>
      </w:pPr>
      <w:bookmarkStart w:name="The Commonwealth will, for the purpose o" w:id="1104"/>
      <w:bookmarkEnd w:id="1104"/>
      <w:r>
        <w:rPr/>
      </w:r>
      <w:r>
        <w:rPr/>
        <w:t>The Commonwealth will, for the purpose of complying with these requirements to derive the Medicaid to Medicare provider payment rate ratio and to apply the rate increases as may be required under this section 21, identify the applicable service codes and provider types for each of the primary care, behavioral health, and obstetric care services, as relevant,</w:t>
      </w:r>
      <w:r>
        <w:rPr>
          <w:spacing w:val="-4"/>
        </w:rPr>
        <w:t> </w:t>
      </w:r>
      <w:r>
        <w:rPr/>
        <w:t>in</w:t>
      </w:r>
      <w:r>
        <w:rPr>
          <w:spacing w:val="-4"/>
        </w:rPr>
        <w:t> </w:t>
      </w:r>
      <w:r>
        <w:rPr/>
        <w:t>a</w:t>
      </w:r>
      <w:r>
        <w:rPr>
          <w:spacing w:val="-5"/>
        </w:rPr>
        <w:t> </w:t>
      </w:r>
      <w:r>
        <w:rPr/>
        <w:t>manner</w:t>
      </w:r>
      <w:r>
        <w:rPr>
          <w:spacing w:val="-5"/>
        </w:rPr>
        <w:t> </w:t>
      </w:r>
      <w:r>
        <w:rPr/>
        <w:t>consistent</w:t>
      </w:r>
      <w:r>
        <w:rPr>
          <w:spacing w:val="-4"/>
        </w:rPr>
        <w:t> </w:t>
      </w:r>
      <w:r>
        <w:rPr/>
        <w:t>with</w:t>
      </w:r>
      <w:r>
        <w:rPr>
          <w:spacing w:val="-4"/>
        </w:rPr>
        <w:t> </w:t>
      </w:r>
      <w:r>
        <w:rPr/>
        <w:t>other</w:t>
      </w:r>
      <w:r>
        <w:rPr>
          <w:spacing w:val="-5"/>
        </w:rPr>
        <w:t> </w:t>
      </w:r>
      <w:r>
        <w:rPr/>
        <w:t>Commonwealth</w:t>
      </w:r>
      <w:r>
        <w:rPr>
          <w:spacing w:val="-4"/>
        </w:rPr>
        <w:t> </w:t>
      </w:r>
      <w:r>
        <w:rPr/>
        <w:t>and</w:t>
      </w:r>
      <w:r>
        <w:rPr>
          <w:spacing w:val="-4"/>
        </w:rPr>
        <w:t> </w:t>
      </w:r>
      <w:r>
        <w:rPr/>
        <w:t>federal</w:t>
      </w:r>
      <w:r>
        <w:rPr>
          <w:spacing w:val="-4"/>
        </w:rPr>
        <w:t> </w:t>
      </w:r>
      <w:r>
        <w:rPr/>
        <w:t>Medicaid</w:t>
      </w:r>
      <w:r>
        <w:rPr>
          <w:spacing w:val="-4"/>
        </w:rPr>
        <w:t> </w:t>
      </w:r>
      <w:r>
        <w:rPr/>
        <w:t>program requirements, except that inpatient behavioral health services may be excluded from the Commonwealth’s definition of behavioral health care services.</w:t>
      </w:r>
    </w:p>
    <w:p>
      <w:pPr>
        <w:pStyle w:val="BodyText"/>
        <w:spacing w:before="10"/>
        <w:rPr>
          <w:sz w:val="20"/>
        </w:rPr>
      </w:pPr>
    </w:p>
    <w:p>
      <w:pPr>
        <w:pStyle w:val="BodyText"/>
        <w:ind w:left="1851" w:right="1158"/>
      </w:pPr>
      <w:bookmarkStart w:name="No later than 90 days of the demonstrati" w:id="1105"/>
      <w:bookmarkEnd w:id="1105"/>
      <w:r>
        <w:rPr/>
      </w:r>
      <w:r>
        <w:rPr/>
        <w:t>No later than 90 days of the demonstration effective date, and if the Commonwealth makes</w:t>
      </w:r>
      <w:r>
        <w:rPr>
          <w:spacing w:val="-3"/>
        </w:rPr>
        <w:t> </w:t>
      </w:r>
      <w:r>
        <w:rPr/>
        <w:t>fee</w:t>
      </w:r>
      <w:r>
        <w:rPr>
          <w:spacing w:val="-4"/>
        </w:rPr>
        <w:t> </w:t>
      </w:r>
      <w:r>
        <w:rPr/>
        <w:t>for</w:t>
      </w:r>
      <w:r>
        <w:rPr>
          <w:spacing w:val="-4"/>
        </w:rPr>
        <w:t> </w:t>
      </w:r>
      <w:r>
        <w:rPr/>
        <w:t>service</w:t>
      </w:r>
      <w:r>
        <w:rPr>
          <w:spacing w:val="-4"/>
        </w:rPr>
        <w:t> </w:t>
      </w:r>
      <w:r>
        <w:rPr/>
        <w:t>payments,</w:t>
      </w:r>
      <w:r>
        <w:rPr>
          <w:spacing w:val="-3"/>
        </w:rPr>
        <w:t> </w:t>
      </w:r>
      <w:r>
        <w:rPr/>
        <w:t>the</w:t>
      </w:r>
      <w:r>
        <w:rPr>
          <w:spacing w:val="-4"/>
        </w:rPr>
        <w:t> </w:t>
      </w:r>
      <w:r>
        <w:rPr/>
        <w:t>Commonwealth</w:t>
      </w:r>
      <w:r>
        <w:rPr>
          <w:spacing w:val="-3"/>
        </w:rPr>
        <w:t> </w:t>
      </w:r>
      <w:r>
        <w:rPr/>
        <w:t>must</w:t>
      </w:r>
      <w:r>
        <w:rPr>
          <w:spacing w:val="-3"/>
        </w:rPr>
        <w:t> </w:t>
      </w:r>
      <w:r>
        <w:rPr/>
        <w:t>establish</w:t>
      </w:r>
      <w:r>
        <w:rPr>
          <w:spacing w:val="-3"/>
        </w:rPr>
        <w:t> </w:t>
      </w:r>
      <w:r>
        <w:rPr/>
        <w:t>and</w:t>
      </w:r>
      <w:r>
        <w:rPr>
          <w:spacing w:val="-3"/>
        </w:rPr>
        <w:t> </w:t>
      </w:r>
      <w:r>
        <w:rPr/>
        <w:t>report</w:t>
      </w:r>
      <w:r>
        <w:rPr>
          <w:spacing w:val="-3"/>
        </w:rPr>
        <w:t> </w:t>
      </w:r>
      <w:r>
        <w:rPr/>
        <w:t>to</w:t>
      </w:r>
      <w:r>
        <w:rPr>
          <w:spacing w:val="-3"/>
        </w:rPr>
        <w:t> </w:t>
      </w:r>
      <w:r>
        <w:rPr/>
        <w:t>CMS</w:t>
      </w:r>
      <w:r>
        <w:rPr>
          <w:spacing w:val="-3"/>
        </w:rPr>
        <w:t> </w:t>
      </w:r>
      <w:r>
        <w:rPr/>
        <w:t>the Commonwealth’s average Medicaid to Medicare fee-for-service provider rate ratio for each of the three service categories – primary care, behavioral health and obstetric care, using either of the methodologies below:</w:t>
      </w:r>
    </w:p>
    <w:p>
      <w:pPr>
        <w:spacing w:after="0"/>
        <w:sectPr>
          <w:pgSz w:w="12240" w:h="15840"/>
          <w:pgMar w:header="0" w:footer="1201" w:top="1360" w:bottom="1400" w:left="220" w:right="340"/>
        </w:sectPr>
      </w:pPr>
    </w:p>
    <w:p>
      <w:pPr>
        <w:pStyle w:val="BodyText"/>
        <w:spacing w:before="79"/>
        <w:ind w:left="2391" w:right="1178"/>
      </w:pPr>
      <w:r>
        <w:rPr/>
        <w:drawing>
          <wp:anchor distT="0" distB="0" distL="0" distR="0" allowOverlap="1" layoutInCell="1" locked="0" behindDoc="0" simplePos="0" relativeHeight="16123904">
            <wp:simplePos x="0" y="0"/>
            <wp:positionH relativeFrom="page">
              <wp:posOffset>1431036</wp:posOffset>
            </wp:positionH>
            <wp:positionV relativeFrom="paragraph">
              <wp:posOffset>117781</wp:posOffset>
            </wp:positionV>
            <wp:extent cx="96011" cy="80759"/>
            <wp:effectExtent l="0" t="0" r="0" b="0"/>
            <wp:wrapNone/>
            <wp:docPr id="800" name="Image 800"/>
            <wp:cNvGraphicFramePr>
              <a:graphicFrameLocks/>
            </wp:cNvGraphicFramePr>
            <a:graphic>
              <a:graphicData uri="http://schemas.openxmlformats.org/drawingml/2006/picture">
                <pic:pic>
                  <pic:nvPicPr>
                    <pic:cNvPr id="800" name="Image 800"/>
                    <pic:cNvPicPr/>
                  </pic:nvPicPr>
                  <pic:blipFill>
                    <a:blip r:embed="rId29" cstate="print"/>
                    <a:stretch>
                      <a:fillRect/>
                    </a:stretch>
                  </pic:blipFill>
                  <pic:spPr>
                    <a:xfrm>
                      <a:off x="0" y="0"/>
                      <a:ext cx="96011" cy="80759"/>
                    </a:xfrm>
                    <a:prstGeom prst="rect">
                      <a:avLst/>
                    </a:prstGeom>
                  </pic:spPr>
                </pic:pic>
              </a:graphicData>
            </a:graphic>
          </wp:anchor>
        </w:drawing>
      </w:r>
      <w:bookmarkStart w:name="a. Provide to CMS the average Medicaid t" w:id="1106"/>
      <w:bookmarkEnd w:id="1106"/>
      <w:r>
        <w:rPr/>
      </w:r>
      <w:r>
        <w:rPr/>
        <w:t>Provide to CMS the average Medicaid to Medicare provider rate ratios for each of the</w:t>
      </w:r>
      <w:r>
        <w:rPr>
          <w:spacing w:val="-4"/>
        </w:rPr>
        <w:t> </w:t>
      </w:r>
      <w:r>
        <w:rPr/>
        <w:t>three</w:t>
      </w:r>
      <w:r>
        <w:rPr>
          <w:spacing w:val="-4"/>
        </w:rPr>
        <w:t> </w:t>
      </w:r>
      <w:r>
        <w:rPr/>
        <w:t>categories</w:t>
      </w:r>
      <w:r>
        <w:rPr>
          <w:spacing w:val="-3"/>
        </w:rPr>
        <w:t> </w:t>
      </w:r>
      <w:r>
        <w:rPr/>
        <w:t>of</w:t>
      </w:r>
      <w:r>
        <w:rPr>
          <w:spacing w:val="-4"/>
        </w:rPr>
        <w:t> </w:t>
      </w:r>
      <w:r>
        <w:rPr/>
        <w:t>services</w:t>
      </w:r>
      <w:r>
        <w:rPr>
          <w:spacing w:val="-3"/>
        </w:rPr>
        <w:t> </w:t>
      </w:r>
      <w:r>
        <w:rPr/>
        <w:t>as</w:t>
      </w:r>
      <w:r>
        <w:rPr>
          <w:spacing w:val="-3"/>
        </w:rPr>
        <w:t> </w:t>
      </w:r>
      <w:r>
        <w:rPr/>
        <w:t>these</w:t>
      </w:r>
      <w:r>
        <w:rPr>
          <w:spacing w:val="-4"/>
        </w:rPr>
        <w:t> </w:t>
      </w:r>
      <w:r>
        <w:rPr/>
        <w:t>ratios</w:t>
      </w:r>
      <w:r>
        <w:rPr>
          <w:spacing w:val="-3"/>
        </w:rPr>
        <w:t> </w:t>
      </w:r>
      <w:r>
        <w:rPr/>
        <w:t>are</w:t>
      </w:r>
      <w:r>
        <w:rPr>
          <w:spacing w:val="-3"/>
        </w:rPr>
        <w:t> </w:t>
      </w:r>
      <w:r>
        <w:rPr/>
        <w:t>calculated</w:t>
      </w:r>
      <w:r>
        <w:rPr>
          <w:spacing w:val="-2"/>
        </w:rPr>
        <w:t> </w:t>
      </w:r>
      <w:r>
        <w:rPr/>
        <w:t>for</w:t>
      </w:r>
      <w:r>
        <w:rPr>
          <w:spacing w:val="-4"/>
        </w:rPr>
        <w:t> </w:t>
      </w:r>
      <w:r>
        <w:rPr/>
        <w:t>the</w:t>
      </w:r>
      <w:r>
        <w:rPr>
          <w:spacing w:val="-4"/>
        </w:rPr>
        <w:t> </w:t>
      </w:r>
      <w:r>
        <w:rPr/>
        <w:t>Commonwealth and the service category as noted in the following sources:</w:t>
      </w:r>
    </w:p>
    <w:p>
      <w:pPr>
        <w:pStyle w:val="BodyText"/>
        <w:spacing w:before="10"/>
        <w:rPr>
          <w:sz w:val="20"/>
        </w:rPr>
      </w:pPr>
    </w:p>
    <w:p>
      <w:pPr>
        <w:pStyle w:val="BodyText"/>
        <w:ind w:left="3020" w:right="1111"/>
      </w:pPr>
      <w:r>
        <w:rPr/>
        <w:drawing>
          <wp:anchor distT="0" distB="0" distL="0" distR="0" allowOverlap="1" layoutInCell="1" locked="0" behindDoc="0" simplePos="0" relativeHeight="16124416">
            <wp:simplePos x="0" y="0"/>
            <wp:positionH relativeFrom="page">
              <wp:posOffset>1862327</wp:posOffset>
            </wp:positionH>
            <wp:positionV relativeFrom="paragraph">
              <wp:posOffset>32551</wp:posOffset>
            </wp:positionV>
            <wp:extent cx="73151" cy="115823"/>
            <wp:effectExtent l="0" t="0" r="0" b="0"/>
            <wp:wrapNone/>
            <wp:docPr id="801" name="Image 801"/>
            <wp:cNvGraphicFramePr>
              <a:graphicFrameLocks/>
            </wp:cNvGraphicFramePr>
            <a:graphic>
              <a:graphicData uri="http://schemas.openxmlformats.org/drawingml/2006/picture">
                <pic:pic>
                  <pic:nvPicPr>
                    <pic:cNvPr id="801" name="Image 801"/>
                    <pic:cNvPicPr/>
                  </pic:nvPicPr>
                  <pic:blipFill>
                    <a:blip r:embed="rId61" cstate="print"/>
                    <a:stretch>
                      <a:fillRect/>
                    </a:stretch>
                  </pic:blipFill>
                  <pic:spPr>
                    <a:xfrm>
                      <a:off x="0" y="0"/>
                      <a:ext cx="73151" cy="115823"/>
                    </a:xfrm>
                    <a:prstGeom prst="rect">
                      <a:avLst/>
                    </a:prstGeom>
                  </pic:spPr>
                </pic:pic>
              </a:graphicData>
            </a:graphic>
          </wp:anchor>
        </w:drawing>
      </w:r>
      <w:bookmarkStart w:name="i. for primary care and obstetric care s" w:id="1107"/>
      <w:bookmarkEnd w:id="1107"/>
      <w:r>
        <w:rPr/>
      </w:r>
      <w:r>
        <w:rPr/>
        <w:t>for primary care and obstetric care services in Zuckerman, </w:t>
      </w:r>
      <w:r>
        <w:rPr>
          <w:i/>
        </w:rPr>
        <w:t>et al. </w:t>
      </w:r>
      <w:r>
        <w:rPr/>
        <w:t>2021. "Medicaid</w:t>
      </w:r>
      <w:r>
        <w:rPr>
          <w:spacing w:val="-5"/>
        </w:rPr>
        <w:t> </w:t>
      </w:r>
      <w:r>
        <w:rPr/>
        <w:t>Physician</w:t>
      </w:r>
      <w:r>
        <w:rPr>
          <w:spacing w:val="-3"/>
        </w:rPr>
        <w:t> </w:t>
      </w:r>
      <w:r>
        <w:rPr/>
        <w:t>Fees</w:t>
      </w:r>
      <w:r>
        <w:rPr>
          <w:spacing w:val="-5"/>
        </w:rPr>
        <w:t> </w:t>
      </w:r>
      <w:r>
        <w:rPr/>
        <w:t>Remained</w:t>
      </w:r>
      <w:r>
        <w:rPr>
          <w:spacing w:val="-5"/>
        </w:rPr>
        <w:t> </w:t>
      </w:r>
      <w:r>
        <w:rPr/>
        <w:t>Substantially</w:t>
      </w:r>
      <w:r>
        <w:rPr>
          <w:spacing w:val="-8"/>
        </w:rPr>
        <w:t> </w:t>
      </w:r>
      <w:r>
        <w:rPr/>
        <w:t>Below</w:t>
      </w:r>
      <w:r>
        <w:rPr>
          <w:spacing w:val="-4"/>
        </w:rPr>
        <w:t> </w:t>
      </w:r>
      <w:r>
        <w:rPr/>
        <w:t>Fees</w:t>
      </w:r>
      <w:r>
        <w:rPr>
          <w:spacing w:val="-5"/>
        </w:rPr>
        <w:t> </w:t>
      </w:r>
      <w:r>
        <w:rPr/>
        <w:t>Paid</w:t>
      </w:r>
      <w:r>
        <w:rPr>
          <w:spacing w:val="-5"/>
        </w:rPr>
        <w:t> </w:t>
      </w:r>
      <w:r>
        <w:rPr/>
        <w:t>by Medicare in 2019." </w:t>
      </w:r>
      <w:r>
        <w:rPr>
          <w:i/>
        </w:rPr>
        <w:t>Health Affairs </w:t>
      </w:r>
      <w:r>
        <w:rPr/>
        <w:t>40(2): 343–348 (Exhibit 3); AND</w:t>
      </w:r>
    </w:p>
    <w:p>
      <w:pPr>
        <w:pStyle w:val="BodyText"/>
        <w:spacing w:before="161"/>
        <w:ind w:left="3020" w:right="1111"/>
      </w:pPr>
      <w:r>
        <w:rPr/>
        <w:drawing>
          <wp:anchor distT="0" distB="0" distL="0" distR="0" allowOverlap="1" layoutInCell="1" locked="0" behindDoc="0" simplePos="0" relativeHeight="16124928">
            <wp:simplePos x="0" y="0"/>
            <wp:positionH relativeFrom="page">
              <wp:posOffset>1819655</wp:posOffset>
            </wp:positionH>
            <wp:positionV relativeFrom="paragraph">
              <wp:posOffset>134786</wp:posOffset>
            </wp:positionV>
            <wp:extent cx="115823" cy="115823"/>
            <wp:effectExtent l="0" t="0" r="0" b="0"/>
            <wp:wrapNone/>
            <wp:docPr id="802" name="Image 802"/>
            <wp:cNvGraphicFramePr>
              <a:graphicFrameLocks/>
            </wp:cNvGraphicFramePr>
            <a:graphic>
              <a:graphicData uri="http://schemas.openxmlformats.org/drawingml/2006/picture">
                <pic:pic>
                  <pic:nvPicPr>
                    <pic:cNvPr id="802" name="Image 802"/>
                    <pic:cNvPicPr/>
                  </pic:nvPicPr>
                  <pic:blipFill>
                    <a:blip r:embed="rId62" cstate="print"/>
                    <a:stretch>
                      <a:fillRect/>
                    </a:stretch>
                  </pic:blipFill>
                  <pic:spPr>
                    <a:xfrm>
                      <a:off x="0" y="0"/>
                      <a:ext cx="115823" cy="115823"/>
                    </a:xfrm>
                    <a:prstGeom prst="rect">
                      <a:avLst/>
                    </a:prstGeom>
                  </pic:spPr>
                </pic:pic>
              </a:graphicData>
            </a:graphic>
          </wp:anchor>
        </w:drawing>
      </w:r>
      <w:bookmarkStart w:name="ii. for behavioral health services (the " w:id="1108"/>
      <w:bookmarkEnd w:id="1108"/>
      <w:r>
        <w:rPr/>
      </w:r>
      <w:r>
        <w:rPr/>
        <w:t>for behavioral health services (the category called, ‘Psychotherapy’</w:t>
      </w:r>
      <w:r>
        <w:rPr>
          <w:spacing w:val="40"/>
        </w:rPr>
        <w:t> </w:t>
      </w:r>
      <w:r>
        <w:rPr/>
        <w:t>in Clemans</w:t>
      </w:r>
      <w:r>
        <w:rPr>
          <w:rFonts w:ascii="Cambria Math" w:hAnsi="Cambria Math"/>
        </w:rPr>
        <w:t>‑</w:t>
      </w:r>
      <w:r>
        <w:rPr/>
        <w:t>Cope, </w:t>
      </w:r>
      <w:r>
        <w:rPr>
          <w:i/>
        </w:rPr>
        <w:t>et al. </w:t>
      </w:r>
      <w:r>
        <w:rPr/>
        <w:t>2022. "Medicaid Professional Fees for Treatment of Opioid</w:t>
      </w:r>
      <w:r>
        <w:rPr>
          <w:spacing w:val="-4"/>
        </w:rPr>
        <w:t> </w:t>
      </w:r>
      <w:r>
        <w:rPr/>
        <w:t>Use</w:t>
      </w:r>
      <w:r>
        <w:rPr>
          <w:spacing w:val="-5"/>
        </w:rPr>
        <w:t> </w:t>
      </w:r>
      <w:r>
        <w:rPr/>
        <w:t>Disorder</w:t>
      </w:r>
      <w:r>
        <w:rPr>
          <w:spacing w:val="-5"/>
        </w:rPr>
        <w:t> </w:t>
      </w:r>
      <w:r>
        <w:rPr/>
        <w:t>Varied</w:t>
      </w:r>
      <w:r>
        <w:rPr>
          <w:spacing w:val="-4"/>
        </w:rPr>
        <w:t> </w:t>
      </w:r>
      <w:r>
        <w:rPr/>
        <w:t>Widely</w:t>
      </w:r>
      <w:r>
        <w:rPr>
          <w:spacing w:val="-9"/>
        </w:rPr>
        <w:t> </w:t>
      </w:r>
      <w:r>
        <w:rPr/>
        <w:t>Across</w:t>
      </w:r>
      <w:r>
        <w:rPr>
          <w:spacing w:val="-4"/>
        </w:rPr>
        <w:t> </w:t>
      </w:r>
      <w:r>
        <w:rPr/>
        <w:t>States</w:t>
      </w:r>
      <w:r>
        <w:rPr>
          <w:spacing w:val="-2"/>
        </w:rPr>
        <w:t> </w:t>
      </w:r>
      <w:r>
        <w:rPr/>
        <w:t>and</w:t>
      </w:r>
      <w:r>
        <w:rPr>
          <w:spacing w:val="-4"/>
        </w:rPr>
        <w:t> </w:t>
      </w:r>
      <w:r>
        <w:rPr/>
        <w:t>Were</w:t>
      </w:r>
      <w:r>
        <w:rPr>
          <w:spacing w:val="-5"/>
        </w:rPr>
        <w:t> </w:t>
      </w:r>
      <w:r>
        <w:rPr/>
        <w:t>Substantially Below Fees Paid by Medicare in 2021." </w:t>
      </w:r>
      <w:r>
        <w:rPr>
          <w:i/>
        </w:rPr>
        <w:t>Substance Abuse Treatment,</w:t>
      </w:r>
      <w:r>
        <w:rPr>
          <w:i/>
        </w:rPr>
        <w:t> Prevention, and Policy </w:t>
      </w:r>
      <w:r>
        <w:rPr/>
        <w:t>(2022) 17:49 (Table 3)); OR</w:t>
      </w:r>
    </w:p>
    <w:p>
      <w:pPr>
        <w:pStyle w:val="BodyText"/>
        <w:spacing w:before="199"/>
        <w:ind w:left="2391" w:right="1178"/>
      </w:pPr>
      <w:r>
        <w:rPr/>
        <w:drawing>
          <wp:anchor distT="0" distB="0" distL="0" distR="0" allowOverlap="1" layoutInCell="1" locked="0" behindDoc="0" simplePos="0" relativeHeight="16125440">
            <wp:simplePos x="0" y="0"/>
            <wp:positionH relativeFrom="page">
              <wp:posOffset>1424939</wp:posOffset>
            </wp:positionH>
            <wp:positionV relativeFrom="paragraph">
              <wp:posOffset>158916</wp:posOffset>
            </wp:positionV>
            <wp:extent cx="111251" cy="115823"/>
            <wp:effectExtent l="0" t="0" r="0" b="0"/>
            <wp:wrapNone/>
            <wp:docPr id="803" name="Image 803"/>
            <wp:cNvGraphicFramePr>
              <a:graphicFrameLocks/>
            </wp:cNvGraphicFramePr>
            <a:graphic>
              <a:graphicData uri="http://schemas.openxmlformats.org/drawingml/2006/picture">
                <pic:pic>
                  <pic:nvPicPr>
                    <pic:cNvPr id="803" name="Image 803"/>
                    <pic:cNvPicPr/>
                  </pic:nvPicPr>
                  <pic:blipFill>
                    <a:blip r:embed="rId34" cstate="print"/>
                    <a:stretch>
                      <a:fillRect/>
                    </a:stretch>
                  </pic:blipFill>
                  <pic:spPr>
                    <a:xfrm>
                      <a:off x="0" y="0"/>
                      <a:ext cx="111251" cy="115823"/>
                    </a:xfrm>
                    <a:prstGeom prst="rect">
                      <a:avLst/>
                    </a:prstGeom>
                  </pic:spPr>
                </pic:pic>
              </a:graphicData>
            </a:graphic>
          </wp:anchor>
        </w:drawing>
      </w:r>
      <w:bookmarkStart w:name="b. Provide to CMS for approval for any o" w:id="1109"/>
      <w:bookmarkEnd w:id="1109"/>
      <w:r>
        <w:rPr/>
      </w:r>
      <w:r>
        <w:rPr/>
        <w:t>Provide to CMS for approval for any of the three services categories the average ratio, as well as the code sets, code level Medicaid utilization, Medicaid and Medicare</w:t>
      </w:r>
      <w:r>
        <w:rPr>
          <w:spacing w:val="-4"/>
        </w:rPr>
        <w:t> </w:t>
      </w:r>
      <w:r>
        <w:rPr/>
        <w:t>rates,</w:t>
      </w:r>
      <w:r>
        <w:rPr>
          <w:spacing w:val="-1"/>
        </w:rPr>
        <w:t> </w:t>
      </w:r>
      <w:r>
        <w:rPr/>
        <w:t>and</w:t>
      </w:r>
      <w:r>
        <w:rPr>
          <w:spacing w:val="-3"/>
        </w:rPr>
        <w:t> </w:t>
      </w:r>
      <w:r>
        <w:rPr/>
        <w:t>other</w:t>
      </w:r>
      <w:r>
        <w:rPr>
          <w:spacing w:val="-2"/>
        </w:rPr>
        <w:t> </w:t>
      </w:r>
      <w:r>
        <w:rPr/>
        <w:t>data</w:t>
      </w:r>
      <w:r>
        <w:rPr>
          <w:spacing w:val="-4"/>
        </w:rPr>
        <w:t> </w:t>
      </w:r>
      <w:r>
        <w:rPr/>
        <w:t>used</w:t>
      </w:r>
      <w:r>
        <w:rPr>
          <w:spacing w:val="-3"/>
        </w:rPr>
        <w:t> </w:t>
      </w:r>
      <w:r>
        <w:rPr/>
        <w:t>to</w:t>
      </w:r>
      <w:r>
        <w:rPr>
          <w:spacing w:val="-3"/>
        </w:rPr>
        <w:t> </w:t>
      </w:r>
      <w:r>
        <w:rPr/>
        <w:t>calculate</w:t>
      </w:r>
      <w:r>
        <w:rPr>
          <w:spacing w:val="-4"/>
        </w:rPr>
        <w:t> </w:t>
      </w:r>
      <w:r>
        <w:rPr/>
        <w:t>the</w:t>
      </w:r>
      <w:r>
        <w:rPr>
          <w:spacing w:val="-4"/>
        </w:rPr>
        <w:t> </w:t>
      </w:r>
      <w:r>
        <w:rPr/>
        <w:t>ratio,</w:t>
      </w:r>
      <w:r>
        <w:rPr>
          <w:spacing w:val="-3"/>
        </w:rPr>
        <w:t> </w:t>
      </w:r>
      <w:r>
        <w:rPr/>
        <w:t>and</w:t>
      </w:r>
      <w:r>
        <w:rPr>
          <w:spacing w:val="-3"/>
        </w:rPr>
        <w:t> </w:t>
      </w:r>
      <w:r>
        <w:rPr/>
        <w:t>the</w:t>
      </w:r>
      <w:r>
        <w:rPr>
          <w:spacing w:val="-4"/>
        </w:rPr>
        <w:t> </w:t>
      </w:r>
      <w:r>
        <w:rPr/>
        <w:t>methodology</w:t>
      </w:r>
      <w:r>
        <w:rPr>
          <w:spacing w:val="-8"/>
        </w:rPr>
        <w:t> </w:t>
      </w:r>
      <w:r>
        <w:rPr/>
        <w:t>for the calculation of the ratio under this alternative approach</w:t>
      </w:r>
      <w:r>
        <w:rPr>
          <w:spacing w:val="40"/>
        </w:rPr>
        <w:t> </w:t>
      </w:r>
      <w:r>
        <w:rPr/>
        <w:t>as specified below:</w:t>
      </w:r>
    </w:p>
    <w:p>
      <w:pPr>
        <w:pStyle w:val="BodyText"/>
        <w:spacing w:before="9"/>
        <w:rPr>
          <w:sz w:val="20"/>
        </w:rPr>
      </w:pPr>
    </w:p>
    <w:p>
      <w:pPr>
        <w:pStyle w:val="BodyText"/>
        <w:spacing w:before="1"/>
        <w:ind w:left="3020" w:right="1111"/>
      </w:pPr>
      <w:r>
        <w:rPr/>
        <w:drawing>
          <wp:anchor distT="0" distB="0" distL="0" distR="0" allowOverlap="1" layoutInCell="1" locked="0" behindDoc="0" simplePos="0" relativeHeight="16125952">
            <wp:simplePos x="0" y="0"/>
            <wp:positionH relativeFrom="page">
              <wp:posOffset>1862327</wp:posOffset>
            </wp:positionH>
            <wp:positionV relativeFrom="paragraph">
              <wp:posOffset>33186</wp:posOffset>
            </wp:positionV>
            <wp:extent cx="73151" cy="115823"/>
            <wp:effectExtent l="0" t="0" r="0" b="0"/>
            <wp:wrapNone/>
            <wp:docPr id="804" name="Image 804"/>
            <wp:cNvGraphicFramePr>
              <a:graphicFrameLocks/>
            </wp:cNvGraphicFramePr>
            <a:graphic>
              <a:graphicData uri="http://schemas.openxmlformats.org/drawingml/2006/picture">
                <pic:pic>
                  <pic:nvPicPr>
                    <pic:cNvPr id="804" name="Image 804"/>
                    <pic:cNvPicPr/>
                  </pic:nvPicPr>
                  <pic:blipFill>
                    <a:blip r:embed="rId61" cstate="print"/>
                    <a:stretch>
                      <a:fillRect/>
                    </a:stretch>
                  </pic:blipFill>
                  <pic:spPr>
                    <a:xfrm>
                      <a:off x="0" y="0"/>
                      <a:ext cx="73151" cy="115823"/>
                    </a:xfrm>
                    <a:prstGeom prst="rect">
                      <a:avLst/>
                    </a:prstGeom>
                  </pic:spPr>
                </pic:pic>
              </a:graphicData>
            </a:graphic>
          </wp:anchor>
        </w:drawing>
      </w:r>
      <w:bookmarkStart w:name="i. Service codes must be representative " w:id="1110"/>
      <w:bookmarkEnd w:id="1110"/>
      <w:r>
        <w:rPr/>
      </w:r>
      <w:r>
        <w:rPr/>
        <w:t>Service</w:t>
      </w:r>
      <w:r>
        <w:rPr>
          <w:spacing w:val="-4"/>
        </w:rPr>
        <w:t> </w:t>
      </w:r>
      <w:r>
        <w:rPr/>
        <w:t>codes</w:t>
      </w:r>
      <w:r>
        <w:rPr>
          <w:spacing w:val="-4"/>
        </w:rPr>
        <w:t> </w:t>
      </w:r>
      <w:r>
        <w:rPr/>
        <w:t>must</w:t>
      </w:r>
      <w:r>
        <w:rPr>
          <w:spacing w:val="-4"/>
        </w:rPr>
        <w:t> </w:t>
      </w:r>
      <w:r>
        <w:rPr/>
        <w:t>be</w:t>
      </w:r>
      <w:r>
        <w:rPr>
          <w:spacing w:val="-4"/>
        </w:rPr>
        <w:t> </w:t>
      </w:r>
      <w:r>
        <w:rPr/>
        <w:t>representative</w:t>
      </w:r>
      <w:r>
        <w:rPr>
          <w:spacing w:val="-4"/>
        </w:rPr>
        <w:t> </w:t>
      </w:r>
      <w:r>
        <w:rPr/>
        <w:t>of</w:t>
      </w:r>
      <w:r>
        <w:rPr>
          <w:spacing w:val="-3"/>
        </w:rPr>
        <w:t> </w:t>
      </w:r>
      <w:r>
        <w:rPr/>
        <w:t>each</w:t>
      </w:r>
      <w:r>
        <w:rPr>
          <w:spacing w:val="-4"/>
        </w:rPr>
        <w:t> </w:t>
      </w:r>
      <w:r>
        <w:rPr/>
        <w:t>service</w:t>
      </w:r>
      <w:r>
        <w:rPr>
          <w:spacing w:val="-4"/>
        </w:rPr>
        <w:t> </w:t>
      </w:r>
      <w:r>
        <w:rPr/>
        <w:t>category</w:t>
      </w:r>
      <w:r>
        <w:rPr>
          <w:spacing w:val="-8"/>
        </w:rPr>
        <w:t> </w:t>
      </w:r>
      <w:r>
        <w:rPr/>
        <w:t>as</w:t>
      </w:r>
      <w:r>
        <w:rPr>
          <w:spacing w:val="-4"/>
        </w:rPr>
        <w:t> </w:t>
      </w:r>
      <w:r>
        <w:rPr/>
        <w:t>defined</w:t>
      </w:r>
      <w:r>
        <w:rPr>
          <w:spacing w:val="-4"/>
        </w:rPr>
        <w:t> </w:t>
      </w:r>
      <w:r>
        <w:rPr/>
        <w:t>in STC 21.4;</w:t>
      </w:r>
    </w:p>
    <w:p>
      <w:pPr>
        <w:pStyle w:val="BodyText"/>
        <w:spacing w:before="160"/>
        <w:ind w:left="3020" w:right="1111"/>
      </w:pPr>
      <w:r>
        <w:rPr/>
        <w:drawing>
          <wp:anchor distT="0" distB="0" distL="0" distR="0" allowOverlap="1" layoutInCell="1" locked="0" behindDoc="0" simplePos="0" relativeHeight="16126464">
            <wp:simplePos x="0" y="0"/>
            <wp:positionH relativeFrom="page">
              <wp:posOffset>1819655</wp:posOffset>
            </wp:positionH>
            <wp:positionV relativeFrom="paragraph">
              <wp:posOffset>134151</wp:posOffset>
            </wp:positionV>
            <wp:extent cx="115823" cy="115823"/>
            <wp:effectExtent l="0" t="0" r="0" b="0"/>
            <wp:wrapNone/>
            <wp:docPr id="805" name="Image 805"/>
            <wp:cNvGraphicFramePr>
              <a:graphicFrameLocks/>
            </wp:cNvGraphicFramePr>
            <a:graphic>
              <a:graphicData uri="http://schemas.openxmlformats.org/drawingml/2006/picture">
                <pic:pic>
                  <pic:nvPicPr>
                    <pic:cNvPr id="805" name="Image 805"/>
                    <pic:cNvPicPr/>
                  </pic:nvPicPr>
                  <pic:blipFill>
                    <a:blip r:embed="rId62" cstate="print"/>
                    <a:stretch>
                      <a:fillRect/>
                    </a:stretch>
                  </pic:blipFill>
                  <pic:spPr>
                    <a:xfrm>
                      <a:off x="0" y="0"/>
                      <a:ext cx="115823" cy="115823"/>
                    </a:xfrm>
                    <a:prstGeom prst="rect">
                      <a:avLst/>
                    </a:prstGeom>
                  </pic:spPr>
                </pic:pic>
              </a:graphicData>
            </a:graphic>
          </wp:anchor>
        </w:drawing>
      </w:r>
      <w:bookmarkStart w:name="ii. Medicaid and Medicare data must be f" w:id="1111"/>
      <w:bookmarkEnd w:id="1111"/>
      <w:r>
        <w:rPr/>
      </w:r>
      <w:r>
        <w:rPr/>
        <w:t>Medicaid</w:t>
      </w:r>
      <w:r>
        <w:rPr>
          <w:spacing w:val="-3"/>
        </w:rPr>
        <w:t> </w:t>
      </w:r>
      <w:r>
        <w:rPr/>
        <w:t>and</w:t>
      </w:r>
      <w:r>
        <w:rPr>
          <w:spacing w:val="-3"/>
        </w:rPr>
        <w:t> </w:t>
      </w:r>
      <w:r>
        <w:rPr/>
        <w:t>Medicare</w:t>
      </w:r>
      <w:r>
        <w:rPr>
          <w:spacing w:val="-2"/>
        </w:rPr>
        <w:t> </w:t>
      </w:r>
      <w:r>
        <w:rPr/>
        <w:t>data</w:t>
      </w:r>
      <w:r>
        <w:rPr>
          <w:spacing w:val="-4"/>
        </w:rPr>
        <w:t> </w:t>
      </w:r>
      <w:r>
        <w:rPr/>
        <w:t>must</w:t>
      </w:r>
      <w:r>
        <w:rPr>
          <w:spacing w:val="-3"/>
        </w:rPr>
        <w:t> </w:t>
      </w:r>
      <w:r>
        <w:rPr/>
        <w:t>be</w:t>
      </w:r>
      <w:r>
        <w:rPr>
          <w:spacing w:val="-4"/>
        </w:rPr>
        <w:t> </w:t>
      </w:r>
      <w:r>
        <w:rPr/>
        <w:t>from</w:t>
      </w:r>
      <w:r>
        <w:rPr>
          <w:spacing w:val="-3"/>
        </w:rPr>
        <w:t> </w:t>
      </w:r>
      <w:r>
        <w:rPr/>
        <w:t>the</w:t>
      </w:r>
      <w:r>
        <w:rPr>
          <w:spacing w:val="-4"/>
        </w:rPr>
        <w:t> </w:t>
      </w:r>
      <w:r>
        <w:rPr/>
        <w:t>same</w:t>
      </w:r>
      <w:r>
        <w:rPr>
          <w:spacing w:val="-2"/>
        </w:rPr>
        <w:t> </w:t>
      </w:r>
      <w:r>
        <w:rPr/>
        <w:t>year</w:t>
      </w:r>
      <w:r>
        <w:rPr>
          <w:spacing w:val="-2"/>
        </w:rPr>
        <w:t> </w:t>
      </w:r>
      <w:r>
        <w:rPr/>
        <w:t>and</w:t>
      </w:r>
      <w:r>
        <w:rPr>
          <w:spacing w:val="-3"/>
        </w:rPr>
        <w:t> </w:t>
      </w:r>
      <w:r>
        <w:rPr/>
        <w:t>not</w:t>
      </w:r>
      <w:r>
        <w:rPr>
          <w:spacing w:val="-3"/>
        </w:rPr>
        <w:t> </w:t>
      </w:r>
      <w:r>
        <w:rPr/>
        <w:t>older</w:t>
      </w:r>
      <w:r>
        <w:rPr>
          <w:spacing w:val="-4"/>
        </w:rPr>
        <w:t> </w:t>
      </w:r>
      <w:r>
        <w:rPr/>
        <w:t>than </w:t>
      </w:r>
      <w:r>
        <w:rPr>
          <w:spacing w:val="-2"/>
        </w:rPr>
        <w:t>2019.</w:t>
      </w:r>
    </w:p>
    <w:p>
      <w:pPr>
        <w:pStyle w:val="BodyText"/>
        <w:spacing w:before="159"/>
        <w:ind w:left="3019" w:right="1111"/>
      </w:pPr>
      <w:r>
        <w:rPr/>
        <w:drawing>
          <wp:anchor distT="0" distB="0" distL="0" distR="0" allowOverlap="1" layoutInCell="1" locked="0" behindDoc="0" simplePos="0" relativeHeight="16126976">
            <wp:simplePos x="0" y="0"/>
            <wp:positionH relativeFrom="page">
              <wp:posOffset>1778507</wp:posOffset>
            </wp:positionH>
            <wp:positionV relativeFrom="paragraph">
              <wp:posOffset>133516</wp:posOffset>
            </wp:positionV>
            <wp:extent cx="158495" cy="115823"/>
            <wp:effectExtent l="0" t="0" r="0" b="0"/>
            <wp:wrapNone/>
            <wp:docPr id="806" name="Image 806"/>
            <wp:cNvGraphicFramePr>
              <a:graphicFrameLocks/>
            </wp:cNvGraphicFramePr>
            <a:graphic>
              <a:graphicData uri="http://schemas.openxmlformats.org/drawingml/2006/picture">
                <pic:pic>
                  <pic:nvPicPr>
                    <pic:cNvPr id="806" name="Image 806"/>
                    <pic:cNvPicPr/>
                  </pic:nvPicPr>
                  <pic:blipFill>
                    <a:blip r:embed="rId65" cstate="print"/>
                    <a:stretch>
                      <a:fillRect/>
                    </a:stretch>
                  </pic:blipFill>
                  <pic:spPr>
                    <a:xfrm>
                      <a:off x="0" y="0"/>
                      <a:ext cx="158495" cy="115823"/>
                    </a:xfrm>
                    <a:prstGeom prst="rect">
                      <a:avLst/>
                    </a:prstGeom>
                  </pic:spPr>
                </pic:pic>
              </a:graphicData>
            </a:graphic>
          </wp:anchor>
        </w:drawing>
      </w:r>
      <w:bookmarkStart w:name="iii. The Commonwealth’s methodology for " w:id="1112"/>
      <w:bookmarkEnd w:id="1112"/>
      <w:r>
        <w:rPr/>
      </w:r>
      <w:r>
        <w:rPr/>
        <w:t>The</w:t>
      </w:r>
      <w:r>
        <w:rPr>
          <w:spacing w:val="-5"/>
        </w:rPr>
        <w:t> </w:t>
      </w:r>
      <w:r>
        <w:rPr/>
        <w:t>Commonwealth’s</w:t>
      </w:r>
      <w:r>
        <w:rPr>
          <w:spacing w:val="-4"/>
        </w:rPr>
        <w:t> </w:t>
      </w:r>
      <w:r>
        <w:rPr/>
        <w:t>methodology</w:t>
      </w:r>
      <w:r>
        <w:rPr>
          <w:spacing w:val="-8"/>
        </w:rPr>
        <w:t> </w:t>
      </w:r>
      <w:r>
        <w:rPr/>
        <w:t>for</w:t>
      </w:r>
      <w:r>
        <w:rPr>
          <w:spacing w:val="-5"/>
        </w:rPr>
        <w:t> </w:t>
      </w:r>
      <w:r>
        <w:rPr/>
        <w:t>selecting</w:t>
      </w:r>
      <w:r>
        <w:rPr>
          <w:spacing w:val="-4"/>
        </w:rPr>
        <w:t> </w:t>
      </w:r>
      <w:r>
        <w:rPr/>
        <w:t>the</w:t>
      </w:r>
      <w:r>
        <w:rPr>
          <w:spacing w:val="-3"/>
        </w:rPr>
        <w:t> </w:t>
      </w:r>
      <w:r>
        <w:rPr/>
        <w:t>year</w:t>
      </w:r>
      <w:r>
        <w:rPr>
          <w:spacing w:val="-5"/>
        </w:rPr>
        <w:t> </w:t>
      </w:r>
      <w:r>
        <w:rPr/>
        <w:t>of</w:t>
      </w:r>
      <w:r>
        <w:rPr>
          <w:spacing w:val="-5"/>
        </w:rPr>
        <w:t> </w:t>
      </w:r>
      <w:r>
        <w:rPr/>
        <w:t>data,</w:t>
      </w:r>
      <w:r>
        <w:rPr>
          <w:spacing w:val="-4"/>
        </w:rPr>
        <w:t> </w:t>
      </w:r>
      <w:r>
        <w:rPr/>
        <w:t>determining Medicaid code-level utilization, the service codes within the category, geographic rate differentials for Medicaid and/or Medicare services and their incorporation</w:t>
      </w:r>
      <w:r>
        <w:rPr>
          <w:spacing w:val="-1"/>
        </w:rPr>
        <w:t> </w:t>
      </w:r>
      <w:r>
        <w:rPr/>
        <w:t>into</w:t>
      </w:r>
      <w:r>
        <w:rPr>
          <w:spacing w:val="-1"/>
        </w:rPr>
        <w:t> </w:t>
      </w:r>
      <w:r>
        <w:rPr/>
        <w:t>the</w:t>
      </w:r>
      <w:r>
        <w:rPr>
          <w:spacing w:val="-2"/>
        </w:rPr>
        <w:t> </w:t>
      </w:r>
      <w:r>
        <w:rPr/>
        <w:t>determination</w:t>
      </w:r>
      <w:r>
        <w:rPr>
          <w:spacing w:val="-1"/>
        </w:rPr>
        <w:t> </w:t>
      </w:r>
      <w:r>
        <w:rPr/>
        <w:t>of</w:t>
      </w:r>
      <w:r>
        <w:rPr>
          <w:spacing w:val="-2"/>
        </w:rPr>
        <w:t> </w:t>
      </w:r>
      <w:r>
        <w:rPr/>
        <w:t>the</w:t>
      </w:r>
      <w:r>
        <w:rPr>
          <w:spacing w:val="-2"/>
        </w:rPr>
        <w:t> </w:t>
      </w:r>
      <w:r>
        <w:rPr/>
        <w:t>category</w:t>
      </w:r>
      <w:r>
        <w:rPr>
          <w:spacing w:val="-4"/>
        </w:rPr>
        <w:t> </w:t>
      </w:r>
      <w:r>
        <w:rPr/>
        <w:t>average</w:t>
      </w:r>
      <w:r>
        <w:rPr>
          <w:spacing w:val="-2"/>
        </w:rPr>
        <w:t> </w:t>
      </w:r>
      <w:r>
        <w:rPr/>
        <w:t>rate,</w:t>
      </w:r>
      <w:r>
        <w:rPr>
          <w:spacing w:val="-1"/>
        </w:rPr>
        <w:t> </w:t>
      </w:r>
      <w:r>
        <w:rPr/>
        <w:t>the</w:t>
      </w:r>
      <w:r>
        <w:rPr>
          <w:spacing w:val="-2"/>
        </w:rPr>
        <w:t> </w:t>
      </w:r>
      <w:r>
        <w:rPr/>
        <w:t>selection of the same or similar Medicare service codes for comparison, and the timeframes of data and how alignment is ensured should be comprehensively discussed in the methodology as provided to CMS for approval.</w:t>
      </w:r>
    </w:p>
    <w:p>
      <w:pPr>
        <w:pStyle w:val="BodyText"/>
        <w:spacing w:before="10"/>
        <w:rPr>
          <w:sz w:val="20"/>
        </w:rPr>
      </w:pPr>
    </w:p>
    <w:p>
      <w:pPr>
        <w:pStyle w:val="BodyText"/>
        <w:ind w:left="1851" w:right="1111"/>
      </w:pPr>
      <w:r>
        <w:rPr/>
        <w:drawing>
          <wp:anchor distT="0" distB="0" distL="0" distR="0" allowOverlap="1" layoutInCell="1" locked="0" behindDoc="0" simplePos="0" relativeHeight="16127488">
            <wp:simplePos x="0" y="0"/>
            <wp:positionH relativeFrom="page">
              <wp:posOffset>894587</wp:posOffset>
            </wp:positionH>
            <wp:positionV relativeFrom="paragraph">
              <wp:posOffset>35599</wp:posOffset>
            </wp:positionV>
            <wp:extent cx="297179" cy="112775"/>
            <wp:effectExtent l="0" t="0" r="0" b="0"/>
            <wp:wrapNone/>
            <wp:docPr id="807" name="Image 807"/>
            <wp:cNvGraphicFramePr>
              <a:graphicFrameLocks/>
            </wp:cNvGraphicFramePr>
            <a:graphic>
              <a:graphicData uri="http://schemas.openxmlformats.org/drawingml/2006/picture">
                <pic:pic>
                  <pic:nvPicPr>
                    <pic:cNvPr id="807" name="Image 807"/>
                    <pic:cNvPicPr/>
                  </pic:nvPicPr>
                  <pic:blipFill>
                    <a:blip r:embed="rId321" cstate="print"/>
                    <a:stretch>
                      <a:fillRect/>
                    </a:stretch>
                  </pic:blipFill>
                  <pic:spPr>
                    <a:xfrm>
                      <a:off x="0" y="0"/>
                      <a:ext cx="297179" cy="112775"/>
                    </a:xfrm>
                    <a:prstGeom prst="rect">
                      <a:avLst/>
                    </a:prstGeom>
                  </pic:spPr>
                </pic:pic>
              </a:graphicData>
            </a:graphic>
          </wp:anchor>
        </w:drawing>
      </w:r>
      <w:bookmarkStart w:name="21.2. To establish the Commonwealth’s ra" w:id="1113"/>
      <w:bookmarkEnd w:id="1113"/>
      <w:r>
        <w:rPr/>
      </w:r>
      <w:r>
        <w:rPr/>
        <w:t>To</w:t>
      </w:r>
      <w:r>
        <w:rPr>
          <w:spacing w:val="-3"/>
        </w:rPr>
        <w:t> </w:t>
      </w:r>
      <w:r>
        <w:rPr/>
        <w:t>establish</w:t>
      </w:r>
      <w:r>
        <w:rPr>
          <w:spacing w:val="-3"/>
        </w:rPr>
        <w:t> </w:t>
      </w:r>
      <w:r>
        <w:rPr/>
        <w:t>the</w:t>
      </w:r>
      <w:r>
        <w:rPr>
          <w:spacing w:val="-4"/>
        </w:rPr>
        <w:t> </w:t>
      </w:r>
      <w:r>
        <w:rPr/>
        <w:t>Commonwealth’s</w:t>
      </w:r>
      <w:r>
        <w:rPr>
          <w:spacing w:val="-3"/>
        </w:rPr>
        <w:t> </w:t>
      </w:r>
      <w:r>
        <w:rPr/>
        <w:t>ratio</w:t>
      </w:r>
      <w:r>
        <w:rPr>
          <w:spacing w:val="-3"/>
        </w:rPr>
        <w:t> </w:t>
      </w:r>
      <w:r>
        <w:rPr/>
        <w:t>for</w:t>
      </w:r>
      <w:r>
        <w:rPr>
          <w:spacing w:val="-4"/>
        </w:rPr>
        <w:t> </w:t>
      </w:r>
      <w:r>
        <w:rPr/>
        <w:t>each</w:t>
      </w:r>
      <w:r>
        <w:rPr>
          <w:spacing w:val="-3"/>
        </w:rPr>
        <w:t> </w:t>
      </w:r>
      <w:r>
        <w:rPr/>
        <w:t>service</w:t>
      </w:r>
      <w:r>
        <w:rPr>
          <w:spacing w:val="-2"/>
        </w:rPr>
        <w:t> </w:t>
      </w:r>
      <w:r>
        <w:rPr/>
        <w:t>category</w:t>
      </w:r>
      <w:r>
        <w:rPr>
          <w:spacing w:val="-8"/>
        </w:rPr>
        <w:t> </w:t>
      </w:r>
      <w:r>
        <w:rPr/>
        <w:t>identified</w:t>
      </w:r>
      <w:r>
        <w:rPr>
          <w:spacing w:val="-1"/>
        </w:rPr>
        <w:t> </w:t>
      </w:r>
      <w:r>
        <w:rPr/>
        <w:t>in</w:t>
      </w:r>
      <w:r>
        <w:rPr>
          <w:spacing w:val="-3"/>
        </w:rPr>
        <w:t> </w:t>
      </w:r>
      <w:r>
        <w:rPr/>
        <w:t>STC</w:t>
      </w:r>
      <w:r>
        <w:rPr>
          <w:spacing w:val="-3"/>
        </w:rPr>
        <w:t> </w:t>
      </w:r>
      <w:r>
        <w:rPr/>
        <w:t>21.4</w:t>
      </w:r>
      <w:r>
        <w:rPr>
          <w:spacing w:val="-3"/>
        </w:rPr>
        <w:t> </w:t>
      </w:r>
      <w:r>
        <w:rPr/>
        <w:t>as it pertains to managed care plans’ provider payment rates in the Commonwealth, the Commonwealth must provide to CMS either:</w:t>
      </w:r>
    </w:p>
    <w:p>
      <w:pPr>
        <w:pStyle w:val="BodyText"/>
        <w:spacing w:before="10"/>
        <w:rPr>
          <w:sz w:val="20"/>
        </w:rPr>
      </w:pPr>
    </w:p>
    <w:p>
      <w:pPr>
        <w:pStyle w:val="BodyText"/>
        <w:ind w:left="2391" w:right="1111"/>
      </w:pPr>
      <w:r>
        <w:rPr/>
        <w:drawing>
          <wp:anchor distT="0" distB="0" distL="0" distR="0" allowOverlap="1" layoutInCell="1" locked="0" behindDoc="0" simplePos="0" relativeHeight="16128000">
            <wp:simplePos x="0" y="0"/>
            <wp:positionH relativeFrom="page">
              <wp:posOffset>1431036</wp:posOffset>
            </wp:positionH>
            <wp:positionV relativeFrom="paragraph">
              <wp:posOffset>67616</wp:posOffset>
            </wp:positionV>
            <wp:extent cx="96011" cy="80759"/>
            <wp:effectExtent l="0" t="0" r="0" b="0"/>
            <wp:wrapNone/>
            <wp:docPr id="808" name="Image 808"/>
            <wp:cNvGraphicFramePr>
              <a:graphicFrameLocks/>
            </wp:cNvGraphicFramePr>
            <a:graphic>
              <a:graphicData uri="http://schemas.openxmlformats.org/drawingml/2006/picture">
                <pic:pic>
                  <pic:nvPicPr>
                    <pic:cNvPr id="808" name="Image 808"/>
                    <pic:cNvPicPr/>
                  </pic:nvPicPr>
                  <pic:blipFill>
                    <a:blip r:embed="rId40" cstate="print"/>
                    <a:stretch>
                      <a:fillRect/>
                    </a:stretch>
                  </pic:blipFill>
                  <pic:spPr>
                    <a:xfrm>
                      <a:off x="0" y="0"/>
                      <a:ext cx="96011" cy="80759"/>
                    </a:xfrm>
                    <a:prstGeom prst="rect">
                      <a:avLst/>
                    </a:prstGeom>
                  </pic:spPr>
                </pic:pic>
              </a:graphicData>
            </a:graphic>
          </wp:anchor>
        </w:drawing>
      </w:r>
      <w:bookmarkStart w:name="a. The average fee-for-service ratio as " w:id="1114"/>
      <w:bookmarkEnd w:id="1114"/>
      <w:r>
        <w:rPr/>
      </w:r>
      <w:r>
        <w:rPr/>
        <w:t>The</w:t>
      </w:r>
      <w:r>
        <w:rPr>
          <w:spacing w:val="-5"/>
        </w:rPr>
        <w:t> </w:t>
      </w:r>
      <w:r>
        <w:rPr/>
        <w:t>average</w:t>
      </w:r>
      <w:r>
        <w:rPr>
          <w:spacing w:val="-3"/>
        </w:rPr>
        <w:t> </w:t>
      </w:r>
      <w:r>
        <w:rPr/>
        <w:t>fee-for-service</w:t>
      </w:r>
      <w:r>
        <w:rPr>
          <w:spacing w:val="-5"/>
        </w:rPr>
        <w:t> </w:t>
      </w:r>
      <w:r>
        <w:rPr/>
        <w:t>ratio</w:t>
      </w:r>
      <w:r>
        <w:rPr>
          <w:spacing w:val="-4"/>
        </w:rPr>
        <w:t> </w:t>
      </w:r>
      <w:r>
        <w:rPr/>
        <w:t>as</w:t>
      </w:r>
      <w:r>
        <w:rPr>
          <w:spacing w:val="-4"/>
        </w:rPr>
        <w:t> </w:t>
      </w:r>
      <w:r>
        <w:rPr/>
        <w:t>provided</w:t>
      </w:r>
      <w:r>
        <w:rPr>
          <w:spacing w:val="-4"/>
        </w:rPr>
        <w:t> </w:t>
      </w:r>
      <w:r>
        <w:rPr/>
        <w:t>in</w:t>
      </w:r>
      <w:r>
        <w:rPr>
          <w:spacing w:val="-4"/>
        </w:rPr>
        <w:t> </w:t>
      </w:r>
      <w:r>
        <w:rPr/>
        <w:t>STC</w:t>
      </w:r>
      <w:r>
        <w:rPr>
          <w:spacing w:val="-4"/>
        </w:rPr>
        <w:t> </w:t>
      </w:r>
      <w:r>
        <w:rPr/>
        <w:t>21.5(a),</w:t>
      </w:r>
      <w:r>
        <w:rPr>
          <w:spacing w:val="-4"/>
        </w:rPr>
        <w:t> </w:t>
      </w:r>
      <w:r>
        <w:rPr/>
        <w:t>if</w:t>
      </w:r>
      <w:r>
        <w:rPr>
          <w:spacing w:val="-5"/>
        </w:rPr>
        <w:t> </w:t>
      </w:r>
      <w:r>
        <w:rPr/>
        <w:t>the</w:t>
      </w:r>
      <w:r>
        <w:rPr>
          <w:spacing w:val="-5"/>
        </w:rPr>
        <w:t> </w:t>
      </w:r>
      <w:r>
        <w:rPr/>
        <w:t>Commonwealth and CMS determine it to be a reasonable and appropriate estimate of, or proxy</w:t>
      </w:r>
      <w:r>
        <w:rPr>
          <w:spacing w:val="-4"/>
        </w:rPr>
        <w:t> </w:t>
      </w:r>
      <w:r>
        <w:rPr/>
        <w:t>for, the average provider rates paid by managed care plans (e.g., where managed care plans in the Commonwealth pay providers based on state plan fee-for-service payment rate schedules); OR</w:t>
      </w:r>
    </w:p>
    <w:p>
      <w:pPr>
        <w:pStyle w:val="BodyText"/>
        <w:spacing w:before="10"/>
        <w:rPr>
          <w:sz w:val="20"/>
        </w:rPr>
      </w:pPr>
    </w:p>
    <w:p>
      <w:pPr>
        <w:pStyle w:val="BodyText"/>
        <w:ind w:left="2391" w:right="1111"/>
      </w:pPr>
      <w:r>
        <w:rPr/>
        <w:drawing>
          <wp:anchor distT="0" distB="0" distL="0" distR="0" allowOverlap="1" layoutInCell="1" locked="0" behindDoc="0" simplePos="0" relativeHeight="16128512">
            <wp:simplePos x="0" y="0"/>
            <wp:positionH relativeFrom="page">
              <wp:posOffset>1424939</wp:posOffset>
            </wp:positionH>
            <wp:positionV relativeFrom="paragraph">
              <wp:posOffset>32551</wp:posOffset>
            </wp:positionV>
            <wp:extent cx="111251" cy="115823"/>
            <wp:effectExtent l="0" t="0" r="0" b="0"/>
            <wp:wrapNone/>
            <wp:docPr id="809" name="Image 809"/>
            <wp:cNvGraphicFramePr>
              <a:graphicFrameLocks/>
            </wp:cNvGraphicFramePr>
            <a:graphic>
              <a:graphicData uri="http://schemas.openxmlformats.org/drawingml/2006/picture">
                <pic:pic>
                  <pic:nvPicPr>
                    <pic:cNvPr id="809" name="Image 809"/>
                    <pic:cNvPicPr/>
                  </pic:nvPicPr>
                  <pic:blipFill>
                    <a:blip r:embed="rId30" cstate="print"/>
                    <a:stretch>
                      <a:fillRect/>
                    </a:stretch>
                  </pic:blipFill>
                  <pic:spPr>
                    <a:xfrm>
                      <a:off x="0" y="0"/>
                      <a:ext cx="111251" cy="115823"/>
                    </a:xfrm>
                    <a:prstGeom prst="rect">
                      <a:avLst/>
                    </a:prstGeom>
                  </pic:spPr>
                </pic:pic>
              </a:graphicData>
            </a:graphic>
          </wp:anchor>
        </w:drawing>
      </w:r>
      <w:bookmarkStart w:name="b. The data and methodology for any or a" w:id="1115"/>
      <w:bookmarkEnd w:id="1115"/>
      <w:r>
        <w:rPr/>
      </w:r>
      <w:r>
        <w:rPr/>
        <w:t>The</w:t>
      </w:r>
      <w:r>
        <w:rPr>
          <w:spacing w:val="-3"/>
        </w:rPr>
        <w:t> </w:t>
      </w:r>
      <w:r>
        <w:rPr/>
        <w:t>data</w:t>
      </w:r>
      <w:r>
        <w:rPr>
          <w:spacing w:val="-3"/>
        </w:rPr>
        <w:t> </w:t>
      </w:r>
      <w:r>
        <w:rPr/>
        <w:t>and</w:t>
      </w:r>
      <w:r>
        <w:rPr>
          <w:spacing w:val="-2"/>
        </w:rPr>
        <w:t> </w:t>
      </w:r>
      <w:r>
        <w:rPr/>
        <w:t>methodology</w:t>
      </w:r>
      <w:r>
        <w:rPr>
          <w:spacing w:val="-5"/>
        </w:rPr>
        <w:t> </w:t>
      </w:r>
      <w:r>
        <w:rPr/>
        <w:t>for</w:t>
      </w:r>
      <w:r>
        <w:rPr>
          <w:spacing w:val="-3"/>
        </w:rPr>
        <w:t> </w:t>
      </w:r>
      <w:r>
        <w:rPr/>
        <w:t>any</w:t>
      </w:r>
      <w:r>
        <w:rPr>
          <w:spacing w:val="-7"/>
        </w:rPr>
        <w:t> </w:t>
      </w:r>
      <w:r>
        <w:rPr/>
        <w:t>or</w:t>
      </w:r>
      <w:r>
        <w:rPr>
          <w:spacing w:val="-1"/>
        </w:rPr>
        <w:t> </w:t>
      </w:r>
      <w:r>
        <w:rPr/>
        <w:t>all</w:t>
      </w:r>
      <w:r>
        <w:rPr>
          <w:spacing w:val="-2"/>
        </w:rPr>
        <w:t> </w:t>
      </w:r>
      <w:r>
        <w:rPr/>
        <w:t>of</w:t>
      </w:r>
      <w:r>
        <w:rPr>
          <w:spacing w:val="-3"/>
        </w:rPr>
        <w:t> </w:t>
      </w:r>
      <w:r>
        <w:rPr/>
        <w:t>the</w:t>
      </w:r>
      <w:r>
        <w:rPr>
          <w:spacing w:val="-3"/>
        </w:rPr>
        <w:t> </w:t>
      </w:r>
      <w:r>
        <w:rPr/>
        <w:t>service</w:t>
      </w:r>
      <w:r>
        <w:rPr>
          <w:spacing w:val="-3"/>
        </w:rPr>
        <w:t> </w:t>
      </w:r>
      <w:r>
        <w:rPr/>
        <w:t>categories</w:t>
      </w:r>
      <w:r>
        <w:rPr>
          <w:spacing w:val="-2"/>
        </w:rPr>
        <w:t> </w:t>
      </w:r>
      <w:r>
        <w:rPr/>
        <w:t>as</w:t>
      </w:r>
      <w:r>
        <w:rPr>
          <w:spacing w:val="-2"/>
        </w:rPr>
        <w:t> </w:t>
      </w:r>
      <w:r>
        <w:rPr/>
        <w:t>provided</w:t>
      </w:r>
      <w:r>
        <w:rPr>
          <w:spacing w:val="-2"/>
        </w:rPr>
        <w:t> </w:t>
      </w:r>
      <w:r>
        <w:rPr/>
        <w:t>in</w:t>
      </w:r>
      <w:r>
        <w:rPr>
          <w:spacing w:val="-2"/>
        </w:rPr>
        <w:t> </w:t>
      </w:r>
      <w:r>
        <w:rPr/>
        <w:t>STC 21.5(b) using Medicaid managed care provider payment rate and utilization data.</w:t>
      </w:r>
    </w:p>
    <w:p>
      <w:pPr>
        <w:pStyle w:val="BodyText"/>
        <w:spacing w:before="10"/>
        <w:rPr>
          <w:sz w:val="20"/>
        </w:rPr>
      </w:pPr>
    </w:p>
    <w:p>
      <w:pPr>
        <w:pStyle w:val="BodyText"/>
        <w:ind w:left="1851" w:right="1111"/>
      </w:pPr>
      <w:r>
        <w:rPr/>
        <w:drawing>
          <wp:anchor distT="0" distB="0" distL="0" distR="0" allowOverlap="1" layoutInCell="1" locked="0" behindDoc="0" simplePos="0" relativeHeight="16129024">
            <wp:simplePos x="0" y="0"/>
            <wp:positionH relativeFrom="page">
              <wp:posOffset>894588</wp:posOffset>
            </wp:positionH>
            <wp:positionV relativeFrom="paragraph">
              <wp:posOffset>35612</wp:posOffset>
            </wp:positionV>
            <wp:extent cx="297179" cy="112763"/>
            <wp:effectExtent l="0" t="0" r="0" b="0"/>
            <wp:wrapNone/>
            <wp:docPr id="810" name="Image 810"/>
            <wp:cNvGraphicFramePr>
              <a:graphicFrameLocks/>
            </wp:cNvGraphicFramePr>
            <a:graphic>
              <a:graphicData uri="http://schemas.openxmlformats.org/drawingml/2006/picture">
                <pic:pic>
                  <pic:nvPicPr>
                    <pic:cNvPr id="810" name="Image 810"/>
                    <pic:cNvPicPr/>
                  </pic:nvPicPr>
                  <pic:blipFill>
                    <a:blip r:embed="rId322" cstate="print"/>
                    <a:stretch>
                      <a:fillRect/>
                    </a:stretch>
                  </pic:blipFill>
                  <pic:spPr>
                    <a:xfrm>
                      <a:off x="0" y="0"/>
                      <a:ext cx="297179" cy="112763"/>
                    </a:xfrm>
                    <a:prstGeom prst="rect">
                      <a:avLst/>
                    </a:prstGeom>
                  </pic:spPr>
                </pic:pic>
              </a:graphicData>
            </a:graphic>
          </wp:anchor>
        </w:drawing>
      </w:r>
      <w:bookmarkStart w:name="21.3. In determining the ratios required" w:id="1116"/>
      <w:bookmarkEnd w:id="1116"/>
      <w:r>
        <w:rPr/>
      </w:r>
      <w:r>
        <w:rPr/>
        <w:t>In determining the ratios required under STC 21.5 and 21.6, the Commonwealth may not incorporate</w:t>
      </w:r>
      <w:r>
        <w:rPr>
          <w:spacing w:val="-4"/>
        </w:rPr>
        <w:t> </w:t>
      </w:r>
      <w:r>
        <w:rPr/>
        <w:t>fee-for-service</w:t>
      </w:r>
      <w:r>
        <w:rPr>
          <w:spacing w:val="-6"/>
        </w:rPr>
        <w:t> </w:t>
      </w:r>
      <w:r>
        <w:rPr/>
        <w:t>supplemental</w:t>
      </w:r>
      <w:r>
        <w:rPr>
          <w:spacing w:val="-5"/>
        </w:rPr>
        <w:t> </w:t>
      </w:r>
      <w:r>
        <w:rPr/>
        <w:t>payments</w:t>
      </w:r>
      <w:r>
        <w:rPr>
          <w:spacing w:val="-5"/>
        </w:rPr>
        <w:t> </w:t>
      </w:r>
      <w:r>
        <w:rPr/>
        <w:t>that</w:t>
      </w:r>
      <w:r>
        <w:rPr>
          <w:spacing w:val="-5"/>
        </w:rPr>
        <w:t> </w:t>
      </w:r>
      <w:r>
        <w:rPr/>
        <w:t>the</w:t>
      </w:r>
      <w:r>
        <w:rPr>
          <w:spacing w:val="-6"/>
        </w:rPr>
        <w:t> </w:t>
      </w:r>
      <w:r>
        <w:rPr/>
        <w:t>Commonwealth</w:t>
      </w:r>
      <w:r>
        <w:rPr>
          <w:spacing w:val="-5"/>
        </w:rPr>
        <w:t> </w:t>
      </w:r>
      <w:r>
        <w:rPr/>
        <w:t>made</w:t>
      </w:r>
      <w:r>
        <w:rPr>
          <w:spacing w:val="-6"/>
        </w:rPr>
        <w:t> </w:t>
      </w:r>
      <w:r>
        <w:rPr/>
        <w:t>or</w:t>
      </w:r>
      <w:r>
        <w:rPr>
          <w:spacing w:val="-6"/>
        </w:rPr>
        <w:t> </w:t>
      </w:r>
      <w:r>
        <w:rPr/>
        <w:t>plans</w:t>
      </w:r>
    </w:p>
    <w:p>
      <w:pPr>
        <w:spacing w:after="0"/>
        <w:sectPr>
          <w:pgSz w:w="12240" w:h="15840"/>
          <w:pgMar w:header="0" w:footer="1201" w:top="1360" w:bottom="1400" w:left="220" w:right="340"/>
        </w:sectPr>
      </w:pPr>
    </w:p>
    <w:p>
      <w:pPr>
        <w:pStyle w:val="BodyText"/>
        <w:spacing w:before="79"/>
        <w:ind w:left="1851" w:right="1178"/>
      </w:pPr>
      <w:r>
        <w:rPr/>
        <w:t>to</w:t>
      </w:r>
      <w:r>
        <w:rPr>
          <w:spacing w:val="-4"/>
        </w:rPr>
        <w:t> </w:t>
      </w:r>
      <w:r>
        <w:rPr/>
        <w:t>make</w:t>
      </w:r>
      <w:r>
        <w:rPr>
          <w:spacing w:val="-5"/>
        </w:rPr>
        <w:t> </w:t>
      </w:r>
      <w:r>
        <w:rPr/>
        <w:t>to</w:t>
      </w:r>
      <w:r>
        <w:rPr>
          <w:spacing w:val="-4"/>
        </w:rPr>
        <w:t> </w:t>
      </w:r>
      <w:r>
        <w:rPr/>
        <w:t>providers,</w:t>
      </w:r>
      <w:r>
        <w:rPr>
          <w:spacing w:val="-4"/>
        </w:rPr>
        <w:t> </w:t>
      </w:r>
      <w:r>
        <w:rPr/>
        <w:t>or</w:t>
      </w:r>
      <w:r>
        <w:rPr>
          <w:spacing w:val="-3"/>
        </w:rPr>
        <w:t> </w:t>
      </w:r>
      <w:r>
        <w:rPr/>
        <w:t>Medicaid</w:t>
      </w:r>
      <w:r>
        <w:rPr>
          <w:spacing w:val="-4"/>
        </w:rPr>
        <w:t> </w:t>
      </w:r>
      <w:r>
        <w:rPr/>
        <w:t>managed</w:t>
      </w:r>
      <w:r>
        <w:rPr>
          <w:spacing w:val="-4"/>
        </w:rPr>
        <w:t> </w:t>
      </w:r>
      <w:r>
        <w:rPr/>
        <w:t>care</w:t>
      </w:r>
      <w:r>
        <w:rPr>
          <w:spacing w:val="-3"/>
        </w:rPr>
        <w:t> </w:t>
      </w:r>
      <w:r>
        <w:rPr/>
        <w:t>pass-through</w:t>
      </w:r>
      <w:r>
        <w:rPr>
          <w:spacing w:val="-4"/>
        </w:rPr>
        <w:t> </w:t>
      </w:r>
      <w:r>
        <w:rPr/>
        <w:t>payments</w:t>
      </w:r>
      <w:r>
        <w:rPr>
          <w:spacing w:val="-4"/>
        </w:rPr>
        <w:t> </w:t>
      </w:r>
      <w:r>
        <w:rPr/>
        <w:t>in</w:t>
      </w:r>
      <w:r>
        <w:rPr>
          <w:spacing w:val="-4"/>
        </w:rPr>
        <w:t> </w:t>
      </w:r>
      <w:r>
        <w:rPr/>
        <w:t>accordance with 42 CFR § 438.6(a) and 438.6(d).</w:t>
      </w:r>
    </w:p>
    <w:p>
      <w:pPr>
        <w:pStyle w:val="BodyText"/>
        <w:spacing w:before="10"/>
        <w:rPr>
          <w:sz w:val="20"/>
        </w:rPr>
      </w:pPr>
    </w:p>
    <w:p>
      <w:pPr>
        <w:pStyle w:val="BodyText"/>
        <w:ind w:left="1851" w:right="1178"/>
      </w:pPr>
      <w:r>
        <w:rPr/>
        <w:drawing>
          <wp:anchor distT="0" distB="0" distL="0" distR="0" allowOverlap="1" layoutInCell="1" locked="0" behindDoc="0" simplePos="0" relativeHeight="16129536">
            <wp:simplePos x="0" y="0"/>
            <wp:positionH relativeFrom="page">
              <wp:posOffset>894588</wp:posOffset>
            </wp:positionH>
            <wp:positionV relativeFrom="paragraph">
              <wp:posOffset>35612</wp:posOffset>
            </wp:positionV>
            <wp:extent cx="297179" cy="112763"/>
            <wp:effectExtent l="0" t="0" r="0" b="0"/>
            <wp:wrapNone/>
            <wp:docPr id="811" name="Image 811"/>
            <wp:cNvGraphicFramePr>
              <a:graphicFrameLocks/>
            </wp:cNvGraphicFramePr>
            <a:graphic>
              <a:graphicData uri="http://schemas.openxmlformats.org/drawingml/2006/picture">
                <pic:pic>
                  <pic:nvPicPr>
                    <pic:cNvPr id="811" name="Image 811"/>
                    <pic:cNvPicPr/>
                  </pic:nvPicPr>
                  <pic:blipFill>
                    <a:blip r:embed="rId323" cstate="print"/>
                    <a:stretch>
                      <a:fillRect/>
                    </a:stretch>
                  </pic:blipFill>
                  <pic:spPr>
                    <a:xfrm>
                      <a:off x="0" y="0"/>
                      <a:ext cx="297179" cy="112763"/>
                    </a:xfrm>
                    <a:prstGeom prst="rect">
                      <a:avLst/>
                    </a:prstGeom>
                  </pic:spPr>
                </pic:pic>
              </a:graphicData>
            </a:graphic>
          </wp:anchor>
        </w:drawing>
      </w:r>
      <w:bookmarkStart w:name="21.4. If the Commonwealth is required to" w:id="1117"/>
      <w:bookmarkEnd w:id="1117"/>
      <w:r>
        <w:rPr/>
      </w:r>
      <w:r>
        <w:rPr/>
        <w:t>If</w:t>
      </w:r>
      <w:r>
        <w:rPr>
          <w:spacing w:val="-3"/>
        </w:rPr>
        <w:t> </w:t>
      </w:r>
      <w:r>
        <w:rPr/>
        <w:t>the</w:t>
      </w:r>
      <w:r>
        <w:rPr>
          <w:spacing w:val="-5"/>
        </w:rPr>
        <w:t> </w:t>
      </w:r>
      <w:r>
        <w:rPr/>
        <w:t>Commonwealth</w:t>
      </w:r>
      <w:r>
        <w:rPr>
          <w:spacing w:val="-4"/>
        </w:rPr>
        <w:t> </w:t>
      </w:r>
      <w:r>
        <w:rPr/>
        <w:t>is</w:t>
      </w:r>
      <w:r>
        <w:rPr>
          <w:spacing w:val="-4"/>
        </w:rPr>
        <w:t> </w:t>
      </w:r>
      <w:r>
        <w:rPr/>
        <w:t>required</w:t>
      </w:r>
      <w:r>
        <w:rPr>
          <w:spacing w:val="-4"/>
        </w:rPr>
        <w:t> </w:t>
      </w:r>
      <w:r>
        <w:rPr/>
        <w:t>to</w:t>
      </w:r>
      <w:r>
        <w:rPr>
          <w:spacing w:val="-4"/>
        </w:rPr>
        <w:t> </w:t>
      </w:r>
      <w:r>
        <w:rPr/>
        <w:t>increase</w:t>
      </w:r>
      <w:r>
        <w:rPr>
          <w:spacing w:val="-5"/>
        </w:rPr>
        <w:t> </w:t>
      </w:r>
      <w:r>
        <w:rPr/>
        <w:t>provider</w:t>
      </w:r>
      <w:r>
        <w:rPr>
          <w:spacing w:val="-5"/>
        </w:rPr>
        <w:t> </w:t>
      </w:r>
      <w:r>
        <w:rPr/>
        <w:t>payment</w:t>
      </w:r>
      <w:r>
        <w:rPr>
          <w:spacing w:val="-4"/>
        </w:rPr>
        <w:t> </w:t>
      </w:r>
      <w:r>
        <w:rPr/>
        <w:t>rates</w:t>
      </w:r>
      <w:r>
        <w:rPr>
          <w:spacing w:val="-4"/>
        </w:rPr>
        <w:t> </w:t>
      </w:r>
      <w:r>
        <w:rPr/>
        <w:t>for</w:t>
      </w:r>
      <w:r>
        <w:rPr>
          <w:spacing w:val="-5"/>
        </w:rPr>
        <w:t> </w:t>
      </w:r>
      <w:r>
        <w:rPr/>
        <w:t>managed</w:t>
      </w:r>
      <w:r>
        <w:rPr>
          <w:spacing w:val="-2"/>
        </w:rPr>
        <w:t> </w:t>
      </w:r>
      <w:r>
        <w:rPr/>
        <w:t>care plans per STC 21.2 and 21.6, the Commonwealth must:</w:t>
      </w:r>
    </w:p>
    <w:p>
      <w:pPr>
        <w:pStyle w:val="BodyText"/>
        <w:spacing w:before="10"/>
        <w:rPr>
          <w:sz w:val="20"/>
        </w:rPr>
      </w:pPr>
    </w:p>
    <w:p>
      <w:pPr>
        <w:pStyle w:val="BodyText"/>
        <w:ind w:left="2391" w:right="1178"/>
      </w:pPr>
      <w:r>
        <w:rPr/>
        <w:drawing>
          <wp:anchor distT="0" distB="0" distL="0" distR="0" allowOverlap="1" layoutInCell="1" locked="0" behindDoc="0" simplePos="0" relativeHeight="16130048">
            <wp:simplePos x="0" y="0"/>
            <wp:positionH relativeFrom="page">
              <wp:posOffset>1431036</wp:posOffset>
            </wp:positionH>
            <wp:positionV relativeFrom="paragraph">
              <wp:posOffset>67616</wp:posOffset>
            </wp:positionV>
            <wp:extent cx="96011" cy="80759"/>
            <wp:effectExtent l="0" t="0" r="0" b="0"/>
            <wp:wrapNone/>
            <wp:docPr id="812" name="Image 812"/>
            <wp:cNvGraphicFramePr>
              <a:graphicFrameLocks/>
            </wp:cNvGraphicFramePr>
            <a:graphic>
              <a:graphicData uri="http://schemas.openxmlformats.org/drawingml/2006/picture">
                <pic:pic>
                  <pic:nvPicPr>
                    <pic:cNvPr id="812" name="Image 812"/>
                    <pic:cNvPicPr/>
                  </pic:nvPicPr>
                  <pic:blipFill>
                    <a:blip r:embed="rId29" cstate="print"/>
                    <a:stretch>
                      <a:fillRect/>
                    </a:stretch>
                  </pic:blipFill>
                  <pic:spPr>
                    <a:xfrm>
                      <a:off x="0" y="0"/>
                      <a:ext cx="96011" cy="80759"/>
                    </a:xfrm>
                    <a:prstGeom prst="rect">
                      <a:avLst/>
                    </a:prstGeom>
                  </pic:spPr>
                </pic:pic>
              </a:graphicData>
            </a:graphic>
          </wp:anchor>
        </w:drawing>
      </w:r>
      <w:bookmarkStart w:name="a. Comply with the requirements for stat" w:id="1118"/>
      <w:bookmarkEnd w:id="1118"/>
      <w:r>
        <w:rPr/>
      </w:r>
      <w:r>
        <w:rPr/>
        <w:t>Comply</w:t>
      </w:r>
      <w:r>
        <w:rPr>
          <w:spacing w:val="-8"/>
        </w:rPr>
        <w:t> </w:t>
      </w:r>
      <w:r>
        <w:rPr/>
        <w:t>with</w:t>
      </w:r>
      <w:r>
        <w:rPr>
          <w:spacing w:val="-3"/>
        </w:rPr>
        <w:t> </w:t>
      </w:r>
      <w:r>
        <w:rPr/>
        <w:t>the</w:t>
      </w:r>
      <w:r>
        <w:rPr>
          <w:spacing w:val="-4"/>
        </w:rPr>
        <w:t> </w:t>
      </w:r>
      <w:r>
        <w:rPr/>
        <w:t>requirements</w:t>
      </w:r>
      <w:r>
        <w:rPr>
          <w:spacing w:val="-3"/>
        </w:rPr>
        <w:t> </w:t>
      </w:r>
      <w:r>
        <w:rPr/>
        <w:t>for</w:t>
      </w:r>
      <w:r>
        <w:rPr>
          <w:spacing w:val="-4"/>
        </w:rPr>
        <w:t> </w:t>
      </w:r>
      <w:r>
        <w:rPr/>
        <w:t>state</w:t>
      </w:r>
      <w:r>
        <w:rPr>
          <w:spacing w:val="-4"/>
        </w:rPr>
        <w:t> </w:t>
      </w:r>
      <w:r>
        <w:rPr/>
        <w:t>directed</w:t>
      </w:r>
      <w:r>
        <w:rPr>
          <w:spacing w:val="-3"/>
        </w:rPr>
        <w:t> </w:t>
      </w:r>
      <w:r>
        <w:rPr/>
        <w:t>payments</w:t>
      </w:r>
      <w:r>
        <w:rPr>
          <w:spacing w:val="-3"/>
        </w:rPr>
        <w:t> </w:t>
      </w:r>
      <w:r>
        <w:rPr/>
        <w:t>in</w:t>
      </w:r>
      <w:r>
        <w:rPr>
          <w:spacing w:val="-3"/>
        </w:rPr>
        <w:t> </w:t>
      </w:r>
      <w:r>
        <w:rPr/>
        <w:t>accordance</w:t>
      </w:r>
      <w:r>
        <w:rPr>
          <w:spacing w:val="-4"/>
        </w:rPr>
        <w:t> </w:t>
      </w:r>
      <w:r>
        <w:rPr/>
        <w:t>with</w:t>
      </w:r>
      <w:r>
        <w:rPr>
          <w:spacing w:val="-3"/>
        </w:rPr>
        <w:t> </w:t>
      </w:r>
      <w:r>
        <w:rPr/>
        <w:t>42 CFR 438.6(c), as applicable; and</w:t>
      </w:r>
    </w:p>
    <w:p>
      <w:pPr>
        <w:pStyle w:val="BodyText"/>
        <w:spacing w:before="10"/>
        <w:rPr>
          <w:sz w:val="20"/>
        </w:rPr>
      </w:pPr>
    </w:p>
    <w:p>
      <w:pPr>
        <w:pStyle w:val="BodyText"/>
        <w:ind w:left="2391" w:right="1178"/>
      </w:pPr>
      <w:r>
        <w:rPr/>
        <w:drawing>
          <wp:anchor distT="0" distB="0" distL="0" distR="0" allowOverlap="1" layoutInCell="1" locked="0" behindDoc="0" simplePos="0" relativeHeight="16130560">
            <wp:simplePos x="0" y="0"/>
            <wp:positionH relativeFrom="page">
              <wp:posOffset>1424939</wp:posOffset>
            </wp:positionH>
            <wp:positionV relativeFrom="paragraph">
              <wp:posOffset>32551</wp:posOffset>
            </wp:positionV>
            <wp:extent cx="111251" cy="115823"/>
            <wp:effectExtent l="0" t="0" r="0" b="0"/>
            <wp:wrapNone/>
            <wp:docPr id="813" name="Image 813"/>
            <wp:cNvGraphicFramePr>
              <a:graphicFrameLocks/>
            </wp:cNvGraphicFramePr>
            <a:graphic>
              <a:graphicData uri="http://schemas.openxmlformats.org/drawingml/2006/picture">
                <pic:pic>
                  <pic:nvPicPr>
                    <pic:cNvPr id="813" name="Image 813"/>
                    <pic:cNvPicPr/>
                  </pic:nvPicPr>
                  <pic:blipFill>
                    <a:blip r:embed="rId34" cstate="print"/>
                    <a:stretch>
                      <a:fillRect/>
                    </a:stretch>
                  </pic:blipFill>
                  <pic:spPr>
                    <a:xfrm>
                      <a:off x="0" y="0"/>
                      <a:ext cx="111251" cy="115823"/>
                    </a:xfrm>
                    <a:prstGeom prst="rect">
                      <a:avLst/>
                    </a:prstGeom>
                  </pic:spPr>
                </pic:pic>
              </a:graphicData>
            </a:graphic>
          </wp:anchor>
        </w:drawing>
      </w:r>
      <w:bookmarkStart w:name="b. Ensure that the entirety of a two per" w:id="1119"/>
      <w:bookmarkEnd w:id="1119"/>
      <w:r>
        <w:rPr/>
      </w:r>
      <w:r>
        <w:rPr/>
        <w:t>Ensure</w:t>
      </w:r>
      <w:r>
        <w:rPr>
          <w:spacing w:val="-4"/>
        </w:rPr>
        <w:t> </w:t>
      </w:r>
      <w:r>
        <w:rPr/>
        <w:t>that</w:t>
      </w:r>
      <w:r>
        <w:rPr>
          <w:spacing w:val="-3"/>
        </w:rPr>
        <w:t> </w:t>
      </w:r>
      <w:r>
        <w:rPr/>
        <w:t>the</w:t>
      </w:r>
      <w:r>
        <w:rPr>
          <w:spacing w:val="-4"/>
        </w:rPr>
        <w:t> </w:t>
      </w:r>
      <w:r>
        <w:rPr/>
        <w:t>entirety</w:t>
      </w:r>
      <w:r>
        <w:rPr>
          <w:spacing w:val="-7"/>
        </w:rPr>
        <w:t> </w:t>
      </w:r>
      <w:r>
        <w:rPr/>
        <w:t>of</w:t>
      </w:r>
      <w:r>
        <w:rPr>
          <w:spacing w:val="-4"/>
        </w:rPr>
        <w:t> </w:t>
      </w:r>
      <w:r>
        <w:rPr/>
        <w:t>a</w:t>
      </w:r>
      <w:r>
        <w:rPr>
          <w:spacing w:val="-4"/>
        </w:rPr>
        <w:t> </w:t>
      </w:r>
      <w:r>
        <w:rPr/>
        <w:t>two</w:t>
      </w:r>
      <w:r>
        <w:rPr>
          <w:spacing w:val="-3"/>
        </w:rPr>
        <w:t> </w:t>
      </w:r>
      <w:r>
        <w:rPr/>
        <w:t>percentage</w:t>
      </w:r>
      <w:r>
        <w:rPr>
          <w:spacing w:val="-4"/>
        </w:rPr>
        <w:t> </w:t>
      </w:r>
      <w:r>
        <w:rPr/>
        <w:t>point</w:t>
      </w:r>
      <w:r>
        <w:rPr>
          <w:spacing w:val="-3"/>
        </w:rPr>
        <w:t> </w:t>
      </w:r>
      <w:r>
        <w:rPr/>
        <w:t>increase</w:t>
      </w:r>
      <w:r>
        <w:rPr>
          <w:spacing w:val="-4"/>
        </w:rPr>
        <w:t> </w:t>
      </w:r>
      <w:r>
        <w:rPr/>
        <w:t>applied</w:t>
      </w:r>
      <w:r>
        <w:rPr>
          <w:spacing w:val="-3"/>
        </w:rPr>
        <w:t> </w:t>
      </w:r>
      <w:r>
        <w:rPr/>
        <w:t>to</w:t>
      </w:r>
      <w:r>
        <w:rPr>
          <w:spacing w:val="-3"/>
        </w:rPr>
        <w:t> </w:t>
      </w:r>
      <w:r>
        <w:rPr/>
        <w:t>the</w:t>
      </w:r>
      <w:r>
        <w:rPr>
          <w:spacing w:val="-4"/>
        </w:rPr>
        <w:t> </w:t>
      </w:r>
      <w:r>
        <w:rPr/>
        <w:t>provider payments rates in the service category whose Medicaid to Medicare average payment rate ratio is below 80 percent is paid to providers, and none of such payment rate increase is retained by managed care plans.</w:t>
      </w:r>
    </w:p>
    <w:p>
      <w:pPr>
        <w:pStyle w:val="BodyText"/>
        <w:spacing w:before="10"/>
        <w:rPr>
          <w:sz w:val="20"/>
        </w:rPr>
      </w:pPr>
    </w:p>
    <w:p>
      <w:pPr>
        <w:pStyle w:val="BodyText"/>
        <w:ind w:left="1851" w:right="1178"/>
      </w:pPr>
      <w:r>
        <w:rPr/>
        <w:drawing>
          <wp:anchor distT="0" distB="0" distL="0" distR="0" allowOverlap="1" layoutInCell="1" locked="0" behindDoc="0" simplePos="0" relativeHeight="16131072">
            <wp:simplePos x="0" y="0"/>
            <wp:positionH relativeFrom="page">
              <wp:posOffset>894587</wp:posOffset>
            </wp:positionH>
            <wp:positionV relativeFrom="paragraph">
              <wp:posOffset>35600</wp:posOffset>
            </wp:positionV>
            <wp:extent cx="297179" cy="112775"/>
            <wp:effectExtent l="0" t="0" r="0" b="0"/>
            <wp:wrapNone/>
            <wp:docPr id="814" name="Image 814"/>
            <wp:cNvGraphicFramePr>
              <a:graphicFrameLocks/>
            </wp:cNvGraphicFramePr>
            <a:graphic>
              <a:graphicData uri="http://schemas.openxmlformats.org/drawingml/2006/picture">
                <pic:pic>
                  <pic:nvPicPr>
                    <pic:cNvPr id="814" name="Image 814"/>
                    <pic:cNvPicPr/>
                  </pic:nvPicPr>
                  <pic:blipFill>
                    <a:blip r:embed="rId324" cstate="print"/>
                    <a:stretch>
                      <a:fillRect/>
                    </a:stretch>
                  </pic:blipFill>
                  <pic:spPr>
                    <a:xfrm>
                      <a:off x="0" y="0"/>
                      <a:ext cx="297179" cy="112775"/>
                    </a:xfrm>
                    <a:prstGeom prst="rect">
                      <a:avLst/>
                    </a:prstGeom>
                  </pic:spPr>
                </pic:pic>
              </a:graphicData>
            </a:graphic>
          </wp:anchor>
        </w:drawing>
      </w:r>
      <w:bookmarkStart w:name="21.5. For the entirety of DY 30 through " w:id="1120"/>
      <w:bookmarkEnd w:id="1120"/>
      <w:r>
        <w:rPr/>
      </w:r>
      <w:r>
        <w:rPr/>
        <w:t>For the entirety of DY 30 through DY 32, the provider payment rate increase for each service</w:t>
      </w:r>
      <w:r>
        <w:rPr>
          <w:spacing w:val="-3"/>
        </w:rPr>
        <w:t> </w:t>
      </w:r>
      <w:r>
        <w:rPr/>
        <w:t>in</w:t>
      </w:r>
      <w:r>
        <w:rPr>
          <w:spacing w:val="-2"/>
        </w:rPr>
        <w:t> </w:t>
      </w:r>
      <w:r>
        <w:rPr/>
        <w:t>a</w:t>
      </w:r>
      <w:r>
        <w:rPr>
          <w:spacing w:val="-3"/>
        </w:rPr>
        <w:t> </w:t>
      </w:r>
      <w:r>
        <w:rPr/>
        <w:t>service</w:t>
      </w:r>
      <w:r>
        <w:rPr>
          <w:spacing w:val="-3"/>
        </w:rPr>
        <w:t> </w:t>
      </w:r>
      <w:r>
        <w:rPr/>
        <w:t>category</w:t>
      </w:r>
      <w:r>
        <w:rPr>
          <w:spacing w:val="-5"/>
        </w:rPr>
        <w:t> </w:t>
      </w:r>
      <w:r>
        <w:rPr/>
        <w:t>for</w:t>
      </w:r>
      <w:r>
        <w:rPr>
          <w:spacing w:val="-3"/>
        </w:rPr>
        <w:t> </w:t>
      </w:r>
      <w:r>
        <w:rPr/>
        <w:t>which</w:t>
      </w:r>
      <w:r>
        <w:rPr>
          <w:spacing w:val="-2"/>
        </w:rPr>
        <w:t> </w:t>
      </w:r>
      <w:r>
        <w:rPr/>
        <w:t>the</w:t>
      </w:r>
      <w:r>
        <w:rPr>
          <w:spacing w:val="-3"/>
        </w:rPr>
        <w:t> </w:t>
      </w:r>
      <w:r>
        <w:rPr/>
        <w:t>average</w:t>
      </w:r>
      <w:r>
        <w:rPr>
          <w:spacing w:val="-3"/>
        </w:rPr>
        <w:t> </w:t>
      </w:r>
      <w:r>
        <w:rPr/>
        <w:t>ratio</w:t>
      </w:r>
      <w:r>
        <w:rPr>
          <w:spacing w:val="-2"/>
        </w:rPr>
        <w:t> </w:t>
      </w:r>
      <w:r>
        <w:rPr/>
        <w:t>is</w:t>
      </w:r>
      <w:r>
        <w:rPr>
          <w:spacing w:val="-2"/>
        </w:rPr>
        <w:t> </w:t>
      </w:r>
      <w:r>
        <w:rPr/>
        <w:t>less</w:t>
      </w:r>
      <w:r>
        <w:rPr>
          <w:spacing w:val="-2"/>
        </w:rPr>
        <w:t> </w:t>
      </w:r>
      <w:r>
        <w:rPr/>
        <w:t>than</w:t>
      </w:r>
      <w:r>
        <w:rPr>
          <w:spacing w:val="-2"/>
        </w:rPr>
        <w:t> </w:t>
      </w:r>
      <w:r>
        <w:rPr/>
        <w:t>80</w:t>
      </w:r>
      <w:r>
        <w:rPr>
          <w:spacing w:val="-2"/>
        </w:rPr>
        <w:t> </w:t>
      </w:r>
      <w:r>
        <w:rPr/>
        <w:t>percent</w:t>
      </w:r>
      <w:r>
        <w:rPr>
          <w:spacing w:val="-2"/>
        </w:rPr>
        <w:t> </w:t>
      </w:r>
      <w:r>
        <w:rPr/>
        <w:t>will</w:t>
      </w:r>
      <w:r>
        <w:rPr>
          <w:spacing w:val="-2"/>
        </w:rPr>
        <w:t> </w:t>
      </w:r>
      <w:r>
        <w:rPr/>
        <w:t>be</w:t>
      </w:r>
      <w:r>
        <w:rPr>
          <w:spacing w:val="-3"/>
        </w:rPr>
        <w:t> </w:t>
      </w:r>
      <w:r>
        <w:rPr/>
        <w:t>no lower</w:t>
      </w:r>
      <w:r>
        <w:rPr>
          <w:spacing w:val="-2"/>
        </w:rPr>
        <w:t> </w:t>
      </w:r>
      <w:r>
        <w:rPr/>
        <w:t>than</w:t>
      </w:r>
      <w:r>
        <w:rPr>
          <w:spacing w:val="-1"/>
        </w:rPr>
        <w:t> </w:t>
      </w:r>
      <w:r>
        <w:rPr/>
        <w:t>the</w:t>
      </w:r>
      <w:r>
        <w:rPr>
          <w:spacing w:val="-2"/>
        </w:rPr>
        <w:t> </w:t>
      </w:r>
      <w:r>
        <w:rPr/>
        <w:t>highest</w:t>
      </w:r>
      <w:r>
        <w:rPr>
          <w:spacing w:val="-1"/>
        </w:rPr>
        <w:t> </w:t>
      </w:r>
      <w:r>
        <w:rPr/>
        <w:t>rate</w:t>
      </w:r>
      <w:r>
        <w:rPr>
          <w:spacing w:val="-2"/>
        </w:rPr>
        <w:t> </w:t>
      </w:r>
      <w:r>
        <w:rPr/>
        <w:t>in</w:t>
      </w:r>
      <w:r>
        <w:rPr>
          <w:spacing w:val="-1"/>
        </w:rPr>
        <w:t> </w:t>
      </w:r>
      <w:r>
        <w:rPr/>
        <w:t>DY</w:t>
      </w:r>
      <w:r>
        <w:rPr>
          <w:spacing w:val="-2"/>
        </w:rPr>
        <w:t> </w:t>
      </w:r>
      <w:r>
        <w:rPr/>
        <w:t>28</w:t>
      </w:r>
      <w:r>
        <w:rPr>
          <w:spacing w:val="-1"/>
        </w:rPr>
        <w:t> </w:t>
      </w:r>
      <w:r>
        <w:rPr/>
        <w:t>for</w:t>
      </w:r>
      <w:r>
        <w:rPr>
          <w:spacing w:val="-2"/>
        </w:rPr>
        <w:t> </w:t>
      </w:r>
      <w:r>
        <w:rPr/>
        <w:t>that</w:t>
      </w:r>
      <w:r>
        <w:rPr>
          <w:spacing w:val="-1"/>
        </w:rPr>
        <w:t> </w:t>
      </w:r>
      <w:r>
        <w:rPr/>
        <w:t>service</w:t>
      </w:r>
      <w:r>
        <w:rPr>
          <w:spacing w:val="-2"/>
        </w:rPr>
        <w:t> </w:t>
      </w:r>
      <w:r>
        <w:rPr/>
        <w:t>plus</w:t>
      </w:r>
      <w:r>
        <w:rPr>
          <w:spacing w:val="-1"/>
        </w:rPr>
        <w:t> </w:t>
      </w:r>
      <w:r>
        <w:rPr/>
        <w:t>a</w:t>
      </w:r>
      <w:r>
        <w:rPr>
          <w:spacing w:val="-2"/>
        </w:rPr>
        <w:t> </w:t>
      </w:r>
      <w:r>
        <w:rPr/>
        <w:t>two</w:t>
      </w:r>
      <w:r>
        <w:rPr>
          <w:spacing w:val="-1"/>
        </w:rPr>
        <w:t> </w:t>
      </w:r>
      <w:r>
        <w:rPr/>
        <w:t>percentage</w:t>
      </w:r>
      <w:r>
        <w:rPr>
          <w:spacing w:val="-2"/>
        </w:rPr>
        <w:t> </w:t>
      </w:r>
      <w:r>
        <w:rPr/>
        <w:t>point</w:t>
      </w:r>
      <w:r>
        <w:rPr>
          <w:spacing w:val="-1"/>
        </w:rPr>
        <w:t> </w:t>
      </w:r>
      <w:r>
        <w:rPr/>
        <w:t>increase relative to the rate for the same or comparable Medicare service code rate in the same year, and such rate will be in effect on the first day of DY 30.</w:t>
      </w:r>
      <w:r>
        <w:rPr>
          <w:spacing w:val="40"/>
        </w:rPr>
        <w:t> </w:t>
      </w:r>
      <w:r>
        <w:rPr/>
        <w:t>A required payment rate increase shall apply to all services in a service category as defined under STC 21.4.</w:t>
      </w:r>
    </w:p>
    <w:p>
      <w:pPr>
        <w:pStyle w:val="BodyText"/>
        <w:spacing w:before="10"/>
        <w:rPr>
          <w:sz w:val="20"/>
        </w:rPr>
      </w:pPr>
    </w:p>
    <w:p>
      <w:pPr>
        <w:pStyle w:val="BodyText"/>
        <w:ind w:left="1851" w:right="1178"/>
      </w:pPr>
      <w:r>
        <w:rPr/>
        <w:drawing>
          <wp:anchor distT="0" distB="0" distL="0" distR="0" allowOverlap="1" layoutInCell="1" locked="0" behindDoc="0" simplePos="0" relativeHeight="16131584">
            <wp:simplePos x="0" y="0"/>
            <wp:positionH relativeFrom="page">
              <wp:posOffset>894588</wp:posOffset>
            </wp:positionH>
            <wp:positionV relativeFrom="paragraph">
              <wp:posOffset>35612</wp:posOffset>
            </wp:positionV>
            <wp:extent cx="297179" cy="112763"/>
            <wp:effectExtent l="0" t="0" r="0" b="0"/>
            <wp:wrapNone/>
            <wp:docPr id="815" name="Image 815"/>
            <wp:cNvGraphicFramePr>
              <a:graphicFrameLocks/>
            </wp:cNvGraphicFramePr>
            <a:graphic>
              <a:graphicData uri="http://schemas.openxmlformats.org/drawingml/2006/picture">
                <pic:pic>
                  <pic:nvPicPr>
                    <pic:cNvPr id="815" name="Image 815"/>
                    <pic:cNvPicPr/>
                  </pic:nvPicPr>
                  <pic:blipFill>
                    <a:blip r:embed="rId325" cstate="print"/>
                    <a:stretch>
                      <a:fillRect/>
                    </a:stretch>
                  </pic:blipFill>
                  <pic:spPr>
                    <a:xfrm>
                      <a:off x="0" y="0"/>
                      <a:ext cx="297179" cy="112763"/>
                    </a:xfrm>
                    <a:prstGeom prst="rect">
                      <a:avLst/>
                    </a:prstGeom>
                  </pic:spPr>
                </pic:pic>
              </a:graphicData>
            </a:graphic>
          </wp:anchor>
        </w:drawing>
      </w:r>
      <w:bookmarkStart w:name="21.6. If the Commonwealth uses a managed" w:id="1121"/>
      <w:bookmarkEnd w:id="1121"/>
      <w:r>
        <w:rPr/>
      </w:r>
      <w:r>
        <w:rPr/>
        <w:t>If the Commonwealth uses a managed care delivery system for any of the service categories defined in STC 21.4, for the beginning of the first rating period, as defined in 42 CFR 438.2(a), that starts in each demonstration year from DY 30 through DY 32, the managed care plans’ provider payment rate increase for each service in the affected categories will be no lower than the highest rate in DY 28 plus a two percentage point increase.</w:t>
      </w:r>
      <w:r>
        <w:rPr>
          <w:spacing w:val="40"/>
        </w:rPr>
        <w:t> </w:t>
      </w:r>
      <w:r>
        <w:rPr/>
        <w:t>The</w:t>
      </w:r>
      <w:r>
        <w:rPr>
          <w:spacing w:val="-4"/>
        </w:rPr>
        <w:t> </w:t>
      </w:r>
      <w:r>
        <w:rPr/>
        <w:t>payment</w:t>
      </w:r>
      <w:r>
        <w:rPr>
          <w:spacing w:val="-3"/>
        </w:rPr>
        <w:t> </w:t>
      </w:r>
      <w:r>
        <w:rPr/>
        <w:t>increase</w:t>
      </w:r>
      <w:r>
        <w:rPr>
          <w:spacing w:val="-4"/>
        </w:rPr>
        <w:t> </w:t>
      </w:r>
      <w:r>
        <w:rPr/>
        <w:t>shall</w:t>
      </w:r>
      <w:r>
        <w:rPr>
          <w:spacing w:val="-3"/>
        </w:rPr>
        <w:t> </w:t>
      </w:r>
      <w:r>
        <w:rPr/>
        <w:t>apply</w:t>
      </w:r>
      <w:r>
        <w:rPr>
          <w:spacing w:val="-7"/>
        </w:rPr>
        <w:t> </w:t>
      </w:r>
      <w:r>
        <w:rPr/>
        <w:t>to</w:t>
      </w:r>
      <w:r>
        <w:rPr>
          <w:spacing w:val="-3"/>
        </w:rPr>
        <w:t> </w:t>
      </w:r>
      <w:r>
        <w:rPr/>
        <w:t>all</w:t>
      </w:r>
      <w:r>
        <w:rPr>
          <w:spacing w:val="-1"/>
        </w:rPr>
        <w:t> </w:t>
      </w:r>
      <w:r>
        <w:rPr/>
        <w:t>services</w:t>
      </w:r>
      <w:r>
        <w:rPr>
          <w:spacing w:val="-3"/>
        </w:rPr>
        <w:t> </w:t>
      </w:r>
      <w:r>
        <w:rPr/>
        <w:t>in</w:t>
      </w:r>
      <w:r>
        <w:rPr>
          <w:spacing w:val="-3"/>
        </w:rPr>
        <w:t> </w:t>
      </w:r>
      <w:r>
        <w:rPr/>
        <w:t>a</w:t>
      </w:r>
      <w:r>
        <w:rPr>
          <w:spacing w:val="-4"/>
        </w:rPr>
        <w:t> </w:t>
      </w:r>
      <w:r>
        <w:rPr/>
        <w:t>service</w:t>
      </w:r>
      <w:r>
        <w:rPr>
          <w:spacing w:val="-2"/>
        </w:rPr>
        <w:t> </w:t>
      </w:r>
      <w:r>
        <w:rPr/>
        <w:t>category</w:t>
      </w:r>
      <w:r>
        <w:rPr>
          <w:spacing w:val="-5"/>
        </w:rPr>
        <w:t> </w:t>
      </w:r>
      <w:r>
        <w:rPr/>
        <w:t>as</w:t>
      </w:r>
      <w:r>
        <w:rPr>
          <w:spacing w:val="-3"/>
        </w:rPr>
        <w:t> </w:t>
      </w:r>
      <w:r>
        <w:rPr/>
        <w:t>defined under STC 21.4.</w:t>
      </w:r>
    </w:p>
    <w:p>
      <w:pPr>
        <w:pStyle w:val="BodyText"/>
        <w:spacing w:before="10"/>
        <w:rPr>
          <w:sz w:val="20"/>
        </w:rPr>
      </w:pPr>
    </w:p>
    <w:p>
      <w:pPr>
        <w:pStyle w:val="BodyText"/>
        <w:ind w:left="1851" w:right="1130"/>
      </w:pPr>
      <w:r>
        <w:rPr/>
        <w:drawing>
          <wp:anchor distT="0" distB="0" distL="0" distR="0" allowOverlap="1" layoutInCell="1" locked="0" behindDoc="0" simplePos="0" relativeHeight="16132096">
            <wp:simplePos x="0" y="0"/>
            <wp:positionH relativeFrom="page">
              <wp:posOffset>894587</wp:posOffset>
            </wp:positionH>
            <wp:positionV relativeFrom="paragraph">
              <wp:posOffset>35599</wp:posOffset>
            </wp:positionV>
            <wp:extent cx="297179" cy="112775"/>
            <wp:effectExtent l="0" t="0" r="0" b="0"/>
            <wp:wrapNone/>
            <wp:docPr id="816" name="Image 816"/>
            <wp:cNvGraphicFramePr>
              <a:graphicFrameLocks/>
            </wp:cNvGraphicFramePr>
            <a:graphic>
              <a:graphicData uri="http://schemas.openxmlformats.org/drawingml/2006/picture">
                <pic:pic>
                  <pic:nvPicPr>
                    <pic:cNvPr id="816" name="Image 816"/>
                    <pic:cNvPicPr/>
                  </pic:nvPicPr>
                  <pic:blipFill>
                    <a:blip r:embed="rId326" cstate="print"/>
                    <a:stretch>
                      <a:fillRect/>
                    </a:stretch>
                  </pic:blipFill>
                  <pic:spPr>
                    <a:xfrm>
                      <a:off x="0" y="0"/>
                      <a:ext cx="297179" cy="112775"/>
                    </a:xfrm>
                    <a:prstGeom prst="rect">
                      <a:avLst/>
                    </a:prstGeom>
                  </pic:spPr>
                </pic:pic>
              </a:graphicData>
            </a:graphic>
          </wp:anchor>
        </w:drawing>
      </w:r>
      <w:bookmarkStart w:name="21.7. If the Commonwealth has a biennial" w:id="1122"/>
      <w:bookmarkEnd w:id="1122"/>
      <w:r>
        <w:rPr/>
      </w:r>
      <w:r>
        <w:rPr/>
        <w:t>If</w:t>
      </w:r>
      <w:r>
        <w:rPr>
          <w:spacing w:val="-2"/>
        </w:rPr>
        <w:t> </w:t>
      </w:r>
      <w:r>
        <w:rPr/>
        <w:t>the</w:t>
      </w:r>
      <w:r>
        <w:rPr>
          <w:spacing w:val="-4"/>
        </w:rPr>
        <w:t> </w:t>
      </w:r>
      <w:r>
        <w:rPr/>
        <w:t>Commonwealth</w:t>
      </w:r>
      <w:r>
        <w:rPr>
          <w:spacing w:val="-3"/>
        </w:rPr>
        <w:t> </w:t>
      </w:r>
      <w:r>
        <w:rPr/>
        <w:t>has</w:t>
      </w:r>
      <w:r>
        <w:rPr>
          <w:spacing w:val="-3"/>
        </w:rPr>
        <w:t> </w:t>
      </w:r>
      <w:r>
        <w:rPr/>
        <w:t>a</w:t>
      </w:r>
      <w:r>
        <w:rPr>
          <w:spacing w:val="-4"/>
        </w:rPr>
        <w:t> </w:t>
      </w:r>
      <w:r>
        <w:rPr/>
        <w:t>biennial</w:t>
      </w:r>
      <w:r>
        <w:rPr>
          <w:spacing w:val="-3"/>
        </w:rPr>
        <w:t> </w:t>
      </w:r>
      <w:r>
        <w:rPr/>
        <w:t>legislative</w:t>
      </w:r>
      <w:r>
        <w:rPr>
          <w:spacing w:val="-4"/>
        </w:rPr>
        <w:t> </w:t>
      </w:r>
      <w:r>
        <w:rPr/>
        <w:t>session</w:t>
      </w:r>
      <w:r>
        <w:rPr>
          <w:spacing w:val="-3"/>
        </w:rPr>
        <w:t> </w:t>
      </w:r>
      <w:r>
        <w:rPr/>
        <w:t>that</w:t>
      </w:r>
      <w:r>
        <w:rPr>
          <w:spacing w:val="-3"/>
        </w:rPr>
        <w:t> </w:t>
      </w:r>
      <w:r>
        <w:rPr/>
        <w:t>requires</w:t>
      </w:r>
      <w:r>
        <w:rPr>
          <w:spacing w:val="-3"/>
        </w:rPr>
        <w:t> </w:t>
      </w:r>
      <w:r>
        <w:rPr/>
        <w:t>provider</w:t>
      </w:r>
      <w:r>
        <w:rPr>
          <w:spacing w:val="-4"/>
        </w:rPr>
        <w:t> </w:t>
      </w:r>
      <w:r>
        <w:rPr/>
        <w:t>payment</w:t>
      </w:r>
      <w:r>
        <w:rPr>
          <w:spacing w:val="-3"/>
        </w:rPr>
        <w:t> </w:t>
      </w:r>
      <w:r>
        <w:rPr/>
        <w:t>rate approval and the timing of that session precludes the Commonwealth from implementing</w:t>
      </w:r>
      <w:r>
        <w:rPr>
          <w:spacing w:val="40"/>
        </w:rPr>
        <w:t> </w:t>
      </w:r>
      <w:r>
        <w:rPr/>
        <w:t>a required payment rate increase by the first day of DY 30 (or, as applicable, the first day of the first rating period that starts in DY 30), the Commonwealth will provide an alternative effective date and rationale for CMS review and approval.</w:t>
      </w:r>
    </w:p>
    <w:p>
      <w:pPr>
        <w:pStyle w:val="BodyText"/>
        <w:spacing w:before="10"/>
        <w:rPr>
          <w:sz w:val="20"/>
        </w:rPr>
      </w:pPr>
    </w:p>
    <w:p>
      <w:pPr>
        <w:pStyle w:val="BodyText"/>
        <w:spacing w:before="1"/>
        <w:ind w:left="1851" w:right="1111"/>
      </w:pPr>
      <w:r>
        <w:rPr/>
        <w:drawing>
          <wp:anchor distT="0" distB="0" distL="0" distR="0" allowOverlap="1" layoutInCell="1" locked="0" behindDoc="0" simplePos="0" relativeHeight="16132608">
            <wp:simplePos x="0" y="0"/>
            <wp:positionH relativeFrom="page">
              <wp:posOffset>894587</wp:posOffset>
            </wp:positionH>
            <wp:positionV relativeFrom="paragraph">
              <wp:posOffset>36234</wp:posOffset>
            </wp:positionV>
            <wp:extent cx="297179" cy="112775"/>
            <wp:effectExtent l="0" t="0" r="0" b="0"/>
            <wp:wrapNone/>
            <wp:docPr id="817" name="Image 817"/>
            <wp:cNvGraphicFramePr>
              <a:graphicFrameLocks/>
            </wp:cNvGraphicFramePr>
            <a:graphic>
              <a:graphicData uri="http://schemas.openxmlformats.org/drawingml/2006/picture">
                <pic:pic>
                  <pic:nvPicPr>
                    <pic:cNvPr id="817" name="Image 817"/>
                    <pic:cNvPicPr/>
                  </pic:nvPicPr>
                  <pic:blipFill>
                    <a:blip r:embed="rId327" cstate="print"/>
                    <a:stretch>
                      <a:fillRect/>
                    </a:stretch>
                  </pic:blipFill>
                  <pic:spPr>
                    <a:xfrm>
                      <a:off x="0" y="0"/>
                      <a:ext cx="297179" cy="112775"/>
                    </a:xfrm>
                    <a:prstGeom prst="rect">
                      <a:avLst/>
                    </a:prstGeom>
                  </pic:spPr>
                </pic:pic>
              </a:graphicData>
            </a:graphic>
          </wp:anchor>
        </w:drawing>
      </w:r>
      <w:bookmarkStart w:name="21.8. Massachusetts will provide the inf" w:id="1123"/>
      <w:bookmarkEnd w:id="1123"/>
      <w:r>
        <w:rPr/>
      </w:r>
      <w:r>
        <w:rPr/>
        <w:t>Massachusetts</w:t>
      </w:r>
      <w:r>
        <w:rPr>
          <w:spacing w:val="-4"/>
        </w:rPr>
        <w:t> </w:t>
      </w:r>
      <w:r>
        <w:rPr/>
        <w:t>will</w:t>
      </w:r>
      <w:r>
        <w:rPr>
          <w:spacing w:val="-4"/>
        </w:rPr>
        <w:t> </w:t>
      </w:r>
      <w:r>
        <w:rPr/>
        <w:t>provide</w:t>
      </w:r>
      <w:r>
        <w:rPr>
          <w:spacing w:val="-5"/>
        </w:rPr>
        <w:t> </w:t>
      </w:r>
      <w:r>
        <w:rPr/>
        <w:t>the</w:t>
      </w:r>
      <w:r>
        <w:rPr>
          <w:spacing w:val="-5"/>
        </w:rPr>
        <w:t> </w:t>
      </w:r>
      <w:r>
        <w:rPr/>
        <w:t>information</w:t>
      </w:r>
      <w:r>
        <w:rPr>
          <w:spacing w:val="-4"/>
        </w:rPr>
        <w:t> </w:t>
      </w:r>
      <w:r>
        <w:rPr/>
        <w:t>to</w:t>
      </w:r>
      <w:r>
        <w:rPr>
          <w:spacing w:val="-4"/>
        </w:rPr>
        <w:t> </w:t>
      </w:r>
      <w:r>
        <w:rPr/>
        <w:t>document</w:t>
      </w:r>
      <w:r>
        <w:rPr>
          <w:spacing w:val="-4"/>
        </w:rPr>
        <w:t> </w:t>
      </w:r>
      <w:r>
        <w:rPr/>
        <w:t>the</w:t>
      </w:r>
      <w:r>
        <w:rPr>
          <w:spacing w:val="-5"/>
        </w:rPr>
        <w:t> </w:t>
      </w:r>
      <w:r>
        <w:rPr/>
        <w:t>payment</w:t>
      </w:r>
      <w:r>
        <w:rPr>
          <w:spacing w:val="-4"/>
        </w:rPr>
        <w:t> </w:t>
      </w:r>
      <w:r>
        <w:rPr/>
        <w:t>rate</w:t>
      </w:r>
      <w:r>
        <w:rPr>
          <w:spacing w:val="-3"/>
        </w:rPr>
        <w:t> </w:t>
      </w:r>
      <w:r>
        <w:rPr/>
        <w:t>ratio</w:t>
      </w:r>
      <w:r>
        <w:rPr>
          <w:spacing w:val="-4"/>
        </w:rPr>
        <w:t> </w:t>
      </w:r>
      <w:r>
        <w:rPr/>
        <w:t>required under STC 21.5 and 21.6, via submission to the Performance Metrics Database and Analytics (PDMA) portal for CMS review and approval.</w:t>
      </w:r>
    </w:p>
    <w:p>
      <w:pPr>
        <w:pStyle w:val="BodyText"/>
        <w:spacing w:before="10"/>
        <w:rPr>
          <w:sz w:val="20"/>
        </w:rPr>
      </w:pPr>
    </w:p>
    <w:p>
      <w:pPr>
        <w:pStyle w:val="BodyText"/>
        <w:ind w:left="1851" w:right="1111"/>
      </w:pPr>
      <w:r>
        <w:rPr/>
        <w:drawing>
          <wp:anchor distT="0" distB="0" distL="0" distR="0" allowOverlap="1" layoutInCell="1" locked="0" behindDoc="0" simplePos="0" relativeHeight="16133120">
            <wp:simplePos x="0" y="0"/>
            <wp:positionH relativeFrom="page">
              <wp:posOffset>894588</wp:posOffset>
            </wp:positionH>
            <wp:positionV relativeFrom="paragraph">
              <wp:posOffset>35612</wp:posOffset>
            </wp:positionV>
            <wp:extent cx="297179" cy="112763"/>
            <wp:effectExtent l="0" t="0" r="0" b="0"/>
            <wp:wrapNone/>
            <wp:docPr id="818" name="Image 818"/>
            <wp:cNvGraphicFramePr>
              <a:graphicFrameLocks/>
            </wp:cNvGraphicFramePr>
            <a:graphic>
              <a:graphicData uri="http://schemas.openxmlformats.org/drawingml/2006/picture">
                <pic:pic>
                  <pic:nvPicPr>
                    <pic:cNvPr id="818" name="Image 818"/>
                    <pic:cNvPicPr/>
                  </pic:nvPicPr>
                  <pic:blipFill>
                    <a:blip r:embed="rId328" cstate="print"/>
                    <a:stretch>
                      <a:fillRect/>
                    </a:stretch>
                  </pic:blipFill>
                  <pic:spPr>
                    <a:xfrm>
                      <a:off x="0" y="0"/>
                      <a:ext cx="297179" cy="112763"/>
                    </a:xfrm>
                    <a:prstGeom prst="rect">
                      <a:avLst/>
                    </a:prstGeom>
                  </pic:spPr>
                </pic:pic>
              </a:graphicData>
            </a:graphic>
          </wp:anchor>
        </w:drawing>
      </w:r>
      <w:bookmarkStart w:name="21.9. For demonstration years following " w:id="1124"/>
      <w:bookmarkEnd w:id="1124"/>
      <w:r>
        <w:rPr/>
      </w:r>
      <w:r>
        <w:rPr/>
        <w:t>For</w:t>
      </w:r>
      <w:r>
        <w:rPr>
          <w:spacing w:val="-5"/>
        </w:rPr>
        <w:t> </w:t>
      </w:r>
      <w:r>
        <w:rPr/>
        <w:t>demonstration</w:t>
      </w:r>
      <w:r>
        <w:rPr>
          <w:spacing w:val="-2"/>
        </w:rPr>
        <w:t> </w:t>
      </w:r>
      <w:r>
        <w:rPr/>
        <w:t>years</w:t>
      </w:r>
      <w:r>
        <w:rPr>
          <w:spacing w:val="-2"/>
        </w:rPr>
        <w:t> </w:t>
      </w:r>
      <w:r>
        <w:rPr/>
        <w:t>following</w:t>
      </w:r>
      <w:r>
        <w:rPr>
          <w:spacing w:val="-7"/>
        </w:rPr>
        <w:t> </w:t>
      </w:r>
      <w:r>
        <w:rPr/>
        <w:t>the</w:t>
      </w:r>
      <w:r>
        <w:rPr>
          <w:spacing w:val="-5"/>
        </w:rPr>
        <w:t> </w:t>
      </w:r>
      <w:r>
        <w:rPr/>
        <w:t>first year</w:t>
      </w:r>
      <w:r>
        <w:rPr>
          <w:spacing w:val="-5"/>
        </w:rPr>
        <w:t> </w:t>
      </w:r>
      <w:r>
        <w:rPr/>
        <w:t>of</w:t>
      </w:r>
      <w:r>
        <w:rPr>
          <w:spacing w:val="-5"/>
        </w:rPr>
        <w:t> </w:t>
      </w:r>
      <w:r>
        <w:rPr/>
        <w:t>provider</w:t>
      </w:r>
      <w:r>
        <w:rPr>
          <w:spacing w:val="-5"/>
        </w:rPr>
        <w:t> </w:t>
      </w:r>
      <w:r>
        <w:rPr/>
        <w:t>payment</w:t>
      </w:r>
      <w:r>
        <w:rPr>
          <w:spacing w:val="-4"/>
        </w:rPr>
        <w:t> </w:t>
      </w:r>
      <w:r>
        <w:rPr/>
        <w:t>rate</w:t>
      </w:r>
      <w:r>
        <w:rPr>
          <w:spacing w:val="-5"/>
        </w:rPr>
        <w:t> </w:t>
      </w:r>
      <w:r>
        <w:rPr/>
        <w:t>increases,</w:t>
      </w:r>
      <w:r>
        <w:rPr>
          <w:spacing w:val="-4"/>
        </w:rPr>
        <w:t> </w:t>
      </w:r>
      <w:r>
        <w:rPr/>
        <w:t>if</w:t>
      </w:r>
      <w:r>
        <w:rPr>
          <w:spacing w:val="-5"/>
        </w:rPr>
        <w:t> </w:t>
      </w:r>
      <w:r>
        <w:rPr/>
        <w:t>any, Massachusetts will provide an annual attestation within the Commonwealth’s annual demonstration monitoring report that the provider payment rate increases subject to these STCs were at least sustained from, if not higher than, in the previous year.</w:t>
      </w:r>
    </w:p>
    <w:p>
      <w:pPr>
        <w:pStyle w:val="BodyText"/>
        <w:spacing w:before="10"/>
        <w:rPr>
          <w:sz w:val="20"/>
        </w:rPr>
      </w:pPr>
    </w:p>
    <w:p>
      <w:pPr>
        <w:pStyle w:val="BodyText"/>
        <w:ind w:left="1851" w:right="1111"/>
      </w:pPr>
      <w:r>
        <w:rPr/>
        <w:drawing>
          <wp:anchor distT="0" distB="0" distL="0" distR="0" allowOverlap="1" layoutInCell="1" locked="0" behindDoc="0" simplePos="0" relativeHeight="16133632">
            <wp:simplePos x="0" y="0"/>
            <wp:positionH relativeFrom="page">
              <wp:posOffset>818387</wp:posOffset>
            </wp:positionH>
            <wp:positionV relativeFrom="paragraph">
              <wp:posOffset>35599</wp:posOffset>
            </wp:positionV>
            <wp:extent cx="373379" cy="112775"/>
            <wp:effectExtent l="0" t="0" r="0" b="0"/>
            <wp:wrapNone/>
            <wp:docPr id="819" name="Image 819"/>
            <wp:cNvGraphicFramePr>
              <a:graphicFrameLocks/>
            </wp:cNvGraphicFramePr>
            <a:graphic>
              <a:graphicData uri="http://schemas.openxmlformats.org/drawingml/2006/picture">
                <pic:pic>
                  <pic:nvPicPr>
                    <pic:cNvPr id="819" name="Image 819"/>
                    <pic:cNvPicPr/>
                  </pic:nvPicPr>
                  <pic:blipFill>
                    <a:blip r:embed="rId329" cstate="print"/>
                    <a:stretch>
                      <a:fillRect/>
                    </a:stretch>
                  </pic:blipFill>
                  <pic:spPr>
                    <a:xfrm>
                      <a:off x="0" y="0"/>
                      <a:ext cx="373379" cy="112775"/>
                    </a:xfrm>
                    <a:prstGeom prst="rect">
                      <a:avLst/>
                    </a:prstGeom>
                  </pic:spPr>
                </pic:pic>
              </a:graphicData>
            </a:graphic>
          </wp:anchor>
        </w:drawing>
      </w:r>
      <w:bookmarkStart w:name="21.10. No later than 90 days following t" w:id="1125"/>
      <w:bookmarkEnd w:id="1125"/>
      <w:r>
        <w:rPr/>
      </w:r>
      <w:r>
        <w:rPr/>
        <w:t>No later than 90 days following</w:t>
      </w:r>
      <w:r>
        <w:rPr>
          <w:spacing w:val="-1"/>
        </w:rPr>
        <w:t> </w:t>
      </w:r>
      <w:r>
        <w:rPr/>
        <w:t>the demonstration effective date, the Commonwealth will provide to CMS the following information and Attestation Table signed by the State Medicaid</w:t>
      </w:r>
      <w:r>
        <w:rPr>
          <w:spacing w:val="-3"/>
        </w:rPr>
        <w:t> </w:t>
      </w:r>
      <w:r>
        <w:rPr/>
        <w:t>Director,</w:t>
      </w:r>
      <w:r>
        <w:rPr>
          <w:spacing w:val="-3"/>
        </w:rPr>
        <w:t> </w:t>
      </w:r>
      <w:r>
        <w:rPr/>
        <w:t>or</w:t>
      </w:r>
      <w:r>
        <w:rPr>
          <w:spacing w:val="-4"/>
        </w:rPr>
        <w:t> </w:t>
      </w:r>
      <w:r>
        <w:rPr/>
        <w:t>by</w:t>
      </w:r>
      <w:r>
        <w:rPr>
          <w:spacing w:val="-6"/>
        </w:rPr>
        <w:t> </w:t>
      </w:r>
      <w:r>
        <w:rPr/>
        <w:t>the</w:t>
      </w:r>
      <w:r>
        <w:rPr>
          <w:spacing w:val="-4"/>
        </w:rPr>
        <w:t> </w:t>
      </w:r>
      <w:r>
        <w:rPr/>
        <w:t>Director’s</w:t>
      </w:r>
      <w:r>
        <w:rPr>
          <w:spacing w:val="-3"/>
        </w:rPr>
        <w:t> </w:t>
      </w:r>
      <w:r>
        <w:rPr/>
        <w:t>Chief</w:t>
      </w:r>
      <w:r>
        <w:rPr>
          <w:spacing w:val="-4"/>
        </w:rPr>
        <w:t> </w:t>
      </w:r>
      <w:r>
        <w:rPr/>
        <w:t>Financial</w:t>
      </w:r>
      <w:r>
        <w:rPr>
          <w:spacing w:val="-3"/>
        </w:rPr>
        <w:t> </w:t>
      </w:r>
      <w:r>
        <w:rPr/>
        <w:t>Officer</w:t>
      </w:r>
      <w:r>
        <w:rPr>
          <w:spacing w:val="-4"/>
        </w:rPr>
        <w:t> </w:t>
      </w:r>
      <w:r>
        <w:rPr/>
        <w:t>(or</w:t>
      </w:r>
      <w:r>
        <w:rPr>
          <w:spacing w:val="-4"/>
        </w:rPr>
        <w:t> </w:t>
      </w:r>
      <w:r>
        <w:rPr/>
        <w:t>equivalent</w:t>
      </w:r>
      <w:r>
        <w:rPr>
          <w:spacing w:val="-3"/>
        </w:rPr>
        <w:t> </w:t>
      </w:r>
      <w:r>
        <w:rPr/>
        <w:t>position),</w:t>
      </w:r>
      <w:r>
        <w:rPr>
          <w:spacing w:val="-3"/>
        </w:rPr>
        <w:t> </w:t>
      </w:r>
      <w:r>
        <w:rPr/>
        <w:t>to</w:t>
      </w:r>
    </w:p>
    <w:p>
      <w:pPr>
        <w:spacing w:after="0"/>
        <w:sectPr>
          <w:pgSz w:w="12240" w:h="15840"/>
          <w:pgMar w:header="0" w:footer="1201" w:top="1360" w:bottom="1400" w:left="220" w:right="340"/>
        </w:sectPr>
      </w:pPr>
    </w:p>
    <w:p>
      <w:pPr>
        <w:pStyle w:val="BodyText"/>
        <w:spacing w:before="79"/>
        <w:ind w:left="1851" w:right="1111"/>
      </w:pPr>
      <w:r>
        <w:rPr/>
        <w:t>PMDA, along with a description of the Commonwealth’s methodology and the Commonwealth’s supporting data for establishing ratios for each of the three service categories</w:t>
      </w:r>
      <w:r>
        <w:rPr>
          <w:spacing w:val="-3"/>
        </w:rPr>
        <w:t> </w:t>
      </w:r>
      <w:r>
        <w:rPr/>
        <w:t>in</w:t>
      </w:r>
      <w:r>
        <w:rPr>
          <w:spacing w:val="-1"/>
        </w:rPr>
        <w:t> </w:t>
      </w:r>
      <w:r>
        <w:rPr/>
        <w:t>accordance</w:t>
      </w:r>
      <w:r>
        <w:rPr>
          <w:spacing w:val="-2"/>
        </w:rPr>
        <w:t> </w:t>
      </w:r>
      <w:r>
        <w:rPr/>
        <w:t>with</w:t>
      </w:r>
      <w:r>
        <w:rPr>
          <w:spacing w:val="-3"/>
        </w:rPr>
        <w:t> </w:t>
      </w:r>
      <w:r>
        <w:rPr/>
        <w:t>STC</w:t>
      </w:r>
      <w:r>
        <w:rPr>
          <w:spacing w:val="-3"/>
        </w:rPr>
        <w:t> </w:t>
      </w:r>
      <w:r>
        <w:rPr/>
        <w:t>21.5</w:t>
      </w:r>
      <w:r>
        <w:rPr>
          <w:spacing w:val="-3"/>
        </w:rPr>
        <w:t> </w:t>
      </w:r>
      <w:r>
        <w:rPr/>
        <w:t>and</w:t>
      </w:r>
      <w:r>
        <w:rPr>
          <w:spacing w:val="-3"/>
        </w:rPr>
        <w:t> </w:t>
      </w:r>
      <w:r>
        <w:rPr/>
        <w:t>21.6</w:t>
      </w:r>
      <w:r>
        <w:rPr>
          <w:spacing w:val="-3"/>
        </w:rPr>
        <w:t> </w:t>
      </w:r>
      <w:r>
        <w:rPr/>
        <w:t>for</w:t>
      </w:r>
      <w:r>
        <w:rPr>
          <w:spacing w:val="-4"/>
        </w:rPr>
        <w:t> </w:t>
      </w:r>
      <w:r>
        <w:rPr/>
        <w:t>CMS</w:t>
      </w:r>
      <w:r>
        <w:rPr>
          <w:spacing w:val="-3"/>
        </w:rPr>
        <w:t> </w:t>
      </w:r>
      <w:r>
        <w:rPr/>
        <w:t>review</w:t>
      </w:r>
      <w:r>
        <w:rPr>
          <w:spacing w:val="-4"/>
        </w:rPr>
        <w:t> </w:t>
      </w:r>
      <w:r>
        <w:rPr/>
        <w:t>and</w:t>
      </w:r>
      <w:r>
        <w:rPr>
          <w:spacing w:val="-3"/>
        </w:rPr>
        <w:t> </w:t>
      </w:r>
      <w:r>
        <w:rPr/>
        <w:t>approval,</w:t>
      </w:r>
      <w:r>
        <w:rPr>
          <w:spacing w:val="-3"/>
        </w:rPr>
        <w:t> </w:t>
      </w:r>
      <w:r>
        <w:rPr/>
        <w:t>at</w:t>
      </w:r>
      <w:r>
        <w:rPr>
          <w:spacing w:val="-3"/>
        </w:rPr>
        <w:t> </w:t>
      </w:r>
      <w:r>
        <w:rPr/>
        <w:t>which time the Attestation Table will be appended to the STCs as Attachment V:</w:t>
      </w:r>
    </w:p>
    <w:p>
      <w:pPr>
        <w:pStyle w:val="BodyText"/>
        <w:spacing w:before="11"/>
        <w:rPr>
          <w:sz w:val="20"/>
        </w:rPr>
      </w:pPr>
    </w:p>
    <w:tbl>
      <w:tblPr>
        <w:tblW w:w="0" w:type="auto"/>
        <w:jc w:val="left"/>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15"/>
        <w:gridCol w:w="3117"/>
        <w:gridCol w:w="3117"/>
      </w:tblGrid>
      <w:tr>
        <w:trPr>
          <w:trHeight w:val="671" w:hRule="atLeast"/>
        </w:trPr>
        <w:tc>
          <w:tcPr>
            <w:tcW w:w="9349" w:type="dxa"/>
            <w:gridSpan w:val="3"/>
            <w:shd w:val="clear" w:color="auto" w:fill="DBE4F0"/>
          </w:tcPr>
          <w:p>
            <w:pPr>
              <w:pStyle w:val="TableParagraph"/>
              <w:spacing w:before="59"/>
              <w:ind w:left="2613" w:hanging="2045"/>
              <w:rPr>
                <w:b/>
                <w:sz w:val="24"/>
              </w:rPr>
            </w:pPr>
            <w:r>
              <w:rPr>
                <w:b/>
                <w:sz w:val="24"/>
              </w:rPr>
              <w:t>Massachusetts</w:t>
            </w:r>
            <w:r>
              <w:rPr>
                <w:b/>
                <w:spacing w:val="-5"/>
                <w:sz w:val="24"/>
              </w:rPr>
              <w:t> </w:t>
            </w:r>
            <w:r>
              <w:rPr>
                <w:b/>
                <w:sz w:val="24"/>
              </w:rPr>
              <w:t>Hospital</w:t>
            </w:r>
            <w:r>
              <w:rPr>
                <w:b/>
                <w:spacing w:val="-5"/>
                <w:sz w:val="24"/>
              </w:rPr>
              <w:t> </w:t>
            </w:r>
            <w:r>
              <w:rPr>
                <w:b/>
                <w:sz w:val="24"/>
              </w:rPr>
              <w:t>Quality</w:t>
            </w:r>
            <w:r>
              <w:rPr>
                <w:b/>
                <w:spacing w:val="-5"/>
                <w:sz w:val="24"/>
              </w:rPr>
              <w:t> </w:t>
            </w:r>
            <w:r>
              <w:rPr>
                <w:b/>
                <w:sz w:val="24"/>
              </w:rPr>
              <w:t>and</w:t>
            </w:r>
            <w:r>
              <w:rPr>
                <w:b/>
                <w:spacing w:val="-7"/>
                <w:sz w:val="24"/>
              </w:rPr>
              <w:t> </w:t>
            </w:r>
            <w:r>
              <w:rPr>
                <w:b/>
                <w:sz w:val="24"/>
              </w:rPr>
              <w:t>Equity</w:t>
            </w:r>
            <w:r>
              <w:rPr>
                <w:b/>
                <w:spacing w:val="-5"/>
                <w:sz w:val="24"/>
              </w:rPr>
              <w:t> </w:t>
            </w:r>
            <w:r>
              <w:rPr>
                <w:b/>
                <w:sz w:val="24"/>
              </w:rPr>
              <w:t>Initiative</w:t>
            </w:r>
            <w:r>
              <w:rPr>
                <w:b/>
                <w:spacing w:val="-6"/>
                <w:sz w:val="24"/>
              </w:rPr>
              <w:t> </w:t>
            </w:r>
            <w:r>
              <w:rPr>
                <w:b/>
                <w:sz w:val="24"/>
              </w:rPr>
              <w:t>Related</w:t>
            </w:r>
            <w:r>
              <w:rPr>
                <w:b/>
                <w:spacing w:val="-5"/>
                <w:sz w:val="24"/>
              </w:rPr>
              <w:t> </w:t>
            </w:r>
            <w:r>
              <w:rPr>
                <w:b/>
                <w:sz w:val="24"/>
              </w:rPr>
              <w:t>Provider</w:t>
            </w:r>
            <w:r>
              <w:rPr>
                <w:b/>
                <w:spacing w:val="-4"/>
                <w:sz w:val="24"/>
              </w:rPr>
              <w:t> </w:t>
            </w:r>
            <w:r>
              <w:rPr>
                <w:b/>
                <w:sz w:val="24"/>
              </w:rPr>
              <w:t>Payment Increase Assessment – Attestation Table</w:t>
            </w:r>
          </w:p>
        </w:tc>
      </w:tr>
      <w:tr>
        <w:trPr>
          <w:trHeight w:val="827" w:hRule="atLeast"/>
        </w:trPr>
        <w:tc>
          <w:tcPr>
            <w:tcW w:w="9349" w:type="dxa"/>
            <w:gridSpan w:val="3"/>
            <w:shd w:val="clear" w:color="auto" w:fill="DBE4F0"/>
          </w:tcPr>
          <w:p>
            <w:pPr>
              <w:pStyle w:val="TableParagraph"/>
              <w:spacing w:line="276" w:lineRule="exact"/>
              <w:ind w:left="107" w:right="140"/>
              <w:rPr>
                <w:sz w:val="24"/>
              </w:rPr>
            </w:pPr>
            <w:r>
              <w:rPr>
                <w:sz w:val="24"/>
              </w:rPr>
              <w:t>The reported data and attestations pertain to Hospital Quality and Equity Initiative related provider</w:t>
            </w:r>
            <w:r>
              <w:rPr>
                <w:spacing w:val="-4"/>
                <w:sz w:val="24"/>
              </w:rPr>
              <w:t> </w:t>
            </w:r>
            <w:r>
              <w:rPr>
                <w:sz w:val="24"/>
              </w:rPr>
              <w:t>payment</w:t>
            </w:r>
            <w:r>
              <w:rPr>
                <w:spacing w:val="-3"/>
                <w:sz w:val="24"/>
              </w:rPr>
              <w:t> </w:t>
            </w:r>
            <w:r>
              <w:rPr>
                <w:sz w:val="24"/>
              </w:rPr>
              <w:t>increase</w:t>
            </w:r>
            <w:r>
              <w:rPr>
                <w:spacing w:val="-4"/>
                <w:sz w:val="24"/>
              </w:rPr>
              <w:t> </w:t>
            </w:r>
            <w:r>
              <w:rPr>
                <w:sz w:val="24"/>
              </w:rPr>
              <w:t>requirements</w:t>
            </w:r>
            <w:r>
              <w:rPr>
                <w:spacing w:val="-3"/>
                <w:sz w:val="24"/>
              </w:rPr>
              <w:t> </w:t>
            </w:r>
            <w:r>
              <w:rPr>
                <w:sz w:val="24"/>
              </w:rPr>
              <w:t>for</w:t>
            </w:r>
            <w:r>
              <w:rPr>
                <w:spacing w:val="-4"/>
                <w:sz w:val="24"/>
              </w:rPr>
              <w:t> </w:t>
            </w:r>
            <w:r>
              <w:rPr>
                <w:sz w:val="24"/>
              </w:rPr>
              <w:t>the</w:t>
            </w:r>
            <w:r>
              <w:rPr>
                <w:spacing w:val="-4"/>
                <w:sz w:val="24"/>
              </w:rPr>
              <w:t> </w:t>
            </w:r>
            <w:r>
              <w:rPr>
                <w:sz w:val="24"/>
              </w:rPr>
              <w:t>demonstration</w:t>
            </w:r>
            <w:r>
              <w:rPr>
                <w:spacing w:val="-3"/>
                <w:sz w:val="24"/>
              </w:rPr>
              <w:t> </w:t>
            </w:r>
            <w:r>
              <w:rPr>
                <w:sz w:val="24"/>
              </w:rPr>
              <w:t>period</w:t>
            </w:r>
            <w:r>
              <w:rPr>
                <w:spacing w:val="-3"/>
                <w:sz w:val="24"/>
              </w:rPr>
              <w:t> </w:t>
            </w:r>
            <w:r>
              <w:rPr>
                <w:sz w:val="24"/>
              </w:rPr>
              <w:t>of</w:t>
            </w:r>
            <w:r>
              <w:rPr>
                <w:spacing w:val="-4"/>
                <w:sz w:val="24"/>
              </w:rPr>
              <w:t> </w:t>
            </w:r>
            <w:r>
              <w:rPr>
                <w:sz w:val="24"/>
              </w:rPr>
              <w:t>performance</w:t>
            </w:r>
            <w:r>
              <w:rPr>
                <w:spacing w:val="-4"/>
                <w:sz w:val="24"/>
              </w:rPr>
              <w:t> </w:t>
            </w:r>
            <w:r>
              <w:rPr>
                <w:sz w:val="24"/>
              </w:rPr>
              <w:t>DY</w:t>
            </w:r>
            <w:r>
              <w:rPr>
                <w:spacing w:val="-4"/>
                <w:sz w:val="24"/>
              </w:rPr>
              <w:t> </w:t>
            </w:r>
            <w:r>
              <w:rPr>
                <w:sz w:val="24"/>
              </w:rPr>
              <w:t>27 thru DY 32</w:t>
            </w:r>
          </w:p>
        </w:tc>
      </w:tr>
      <w:tr>
        <w:trPr>
          <w:trHeight w:val="947" w:hRule="atLeast"/>
        </w:trPr>
        <w:tc>
          <w:tcPr>
            <w:tcW w:w="3115" w:type="dxa"/>
            <w:shd w:val="clear" w:color="auto" w:fill="DBE4F0"/>
          </w:tcPr>
          <w:p>
            <w:pPr>
              <w:pStyle w:val="TableParagraph"/>
              <w:spacing w:before="58"/>
              <w:ind w:left="549"/>
              <w:rPr>
                <w:b/>
                <w:sz w:val="24"/>
              </w:rPr>
            </w:pPr>
            <w:r>
              <w:rPr>
                <w:b/>
                <w:sz w:val="24"/>
              </w:rPr>
              <w:t>Category</w:t>
            </w:r>
            <w:r>
              <w:rPr>
                <w:b/>
                <w:spacing w:val="-2"/>
                <w:sz w:val="24"/>
              </w:rPr>
              <w:t> </w:t>
            </w:r>
            <w:r>
              <w:rPr>
                <w:b/>
                <w:sz w:val="24"/>
              </w:rPr>
              <w:t>of</w:t>
            </w:r>
            <w:r>
              <w:rPr>
                <w:b/>
                <w:spacing w:val="-1"/>
                <w:sz w:val="24"/>
              </w:rPr>
              <w:t> </w:t>
            </w:r>
            <w:r>
              <w:rPr>
                <w:b/>
                <w:spacing w:val="-2"/>
                <w:sz w:val="24"/>
              </w:rPr>
              <w:t>Service</w:t>
            </w:r>
          </w:p>
        </w:tc>
        <w:tc>
          <w:tcPr>
            <w:tcW w:w="3117" w:type="dxa"/>
            <w:shd w:val="clear" w:color="auto" w:fill="DBE4F0"/>
          </w:tcPr>
          <w:p>
            <w:pPr>
              <w:pStyle w:val="TableParagraph"/>
              <w:spacing w:before="58"/>
              <w:ind w:left="134" w:right="121"/>
              <w:jc w:val="center"/>
              <w:rPr>
                <w:b/>
                <w:sz w:val="24"/>
              </w:rPr>
            </w:pPr>
            <w:r>
              <w:rPr>
                <w:b/>
                <w:sz w:val="24"/>
              </w:rPr>
              <w:t>Medicaid</w:t>
            </w:r>
            <w:r>
              <w:rPr>
                <w:b/>
                <w:spacing w:val="-15"/>
                <w:sz w:val="24"/>
              </w:rPr>
              <w:t> </w:t>
            </w:r>
            <w:r>
              <w:rPr>
                <w:b/>
                <w:sz w:val="24"/>
              </w:rPr>
              <w:t>Fee-for-Service</w:t>
            </w:r>
            <w:r>
              <w:rPr>
                <w:b/>
                <w:spacing w:val="-15"/>
                <w:sz w:val="24"/>
              </w:rPr>
              <w:t> </w:t>
            </w:r>
            <w:r>
              <w:rPr>
                <w:b/>
                <w:sz w:val="24"/>
              </w:rPr>
              <w:t>to Medicare Fee-for-service </w:t>
            </w:r>
            <w:r>
              <w:rPr>
                <w:b/>
                <w:spacing w:val="-2"/>
                <w:sz w:val="24"/>
              </w:rPr>
              <w:t>Ratio</w:t>
            </w:r>
          </w:p>
        </w:tc>
        <w:tc>
          <w:tcPr>
            <w:tcW w:w="3117" w:type="dxa"/>
            <w:shd w:val="clear" w:color="auto" w:fill="DBE4F0"/>
          </w:tcPr>
          <w:p>
            <w:pPr>
              <w:pStyle w:val="TableParagraph"/>
              <w:spacing w:before="58"/>
              <w:ind w:left="134" w:right="121"/>
              <w:jc w:val="center"/>
              <w:rPr>
                <w:b/>
                <w:sz w:val="24"/>
              </w:rPr>
            </w:pPr>
            <w:r>
              <w:rPr>
                <w:b/>
                <w:sz w:val="24"/>
              </w:rPr>
              <w:t>Medicaid</w:t>
            </w:r>
            <w:r>
              <w:rPr>
                <w:b/>
                <w:spacing w:val="-13"/>
                <w:sz w:val="24"/>
              </w:rPr>
              <w:t> </w:t>
            </w:r>
            <w:r>
              <w:rPr>
                <w:b/>
                <w:sz w:val="24"/>
              </w:rPr>
              <w:t>Managed</w:t>
            </w:r>
            <w:r>
              <w:rPr>
                <w:b/>
                <w:spacing w:val="-13"/>
                <w:sz w:val="24"/>
              </w:rPr>
              <w:t> </w:t>
            </w:r>
            <w:r>
              <w:rPr>
                <w:b/>
                <w:sz w:val="24"/>
              </w:rPr>
              <w:t>Care</w:t>
            </w:r>
            <w:r>
              <w:rPr>
                <w:b/>
                <w:spacing w:val="-14"/>
                <w:sz w:val="24"/>
              </w:rPr>
              <w:t> </w:t>
            </w:r>
            <w:r>
              <w:rPr>
                <w:b/>
                <w:sz w:val="24"/>
              </w:rPr>
              <w:t>to Medicare Fee-for-service </w:t>
            </w:r>
            <w:r>
              <w:rPr>
                <w:b/>
                <w:spacing w:val="-2"/>
                <w:sz w:val="24"/>
              </w:rPr>
              <w:t>Ratio</w:t>
            </w:r>
          </w:p>
        </w:tc>
      </w:tr>
      <w:tr>
        <w:trPr>
          <w:trHeight w:val="1382" w:hRule="atLeast"/>
        </w:trPr>
        <w:tc>
          <w:tcPr>
            <w:tcW w:w="3115" w:type="dxa"/>
            <w:vMerge w:val="restart"/>
          </w:tcPr>
          <w:p>
            <w:pPr>
              <w:pStyle w:val="TableParagraph"/>
              <w:spacing w:before="1"/>
              <w:ind w:left="107"/>
              <w:rPr>
                <w:sz w:val="24"/>
              </w:rPr>
            </w:pPr>
            <w:r>
              <w:rPr>
                <w:sz w:val="24"/>
              </w:rPr>
              <w:t>Primary</w:t>
            </w:r>
            <w:r>
              <w:rPr>
                <w:spacing w:val="-8"/>
                <w:sz w:val="24"/>
              </w:rPr>
              <w:t> </w:t>
            </w:r>
            <w:r>
              <w:rPr>
                <w:sz w:val="24"/>
              </w:rPr>
              <w:t>Care</w:t>
            </w:r>
            <w:r>
              <w:rPr>
                <w:spacing w:val="-1"/>
                <w:sz w:val="24"/>
              </w:rPr>
              <w:t> </w:t>
            </w:r>
            <w:r>
              <w:rPr>
                <w:spacing w:val="-2"/>
                <w:sz w:val="24"/>
              </w:rPr>
              <w:t>Services</w:t>
            </w:r>
          </w:p>
        </w:tc>
        <w:tc>
          <w:tcPr>
            <w:tcW w:w="3117" w:type="dxa"/>
          </w:tcPr>
          <w:p>
            <w:pPr>
              <w:pStyle w:val="TableParagraph"/>
              <w:spacing w:before="1"/>
              <w:ind w:left="108" w:right="115"/>
              <w:rPr>
                <w:sz w:val="24"/>
              </w:rPr>
            </w:pPr>
            <w:r>
              <w:rPr>
                <w:sz w:val="24"/>
              </w:rPr>
              <w:t>[</w:t>
            </w:r>
            <w:r>
              <w:rPr>
                <w:i/>
                <w:sz w:val="24"/>
              </w:rPr>
              <w:t>insert</w:t>
            </w:r>
            <w:r>
              <w:rPr>
                <w:i/>
                <w:spacing w:val="-7"/>
                <w:sz w:val="24"/>
              </w:rPr>
              <w:t> </w:t>
            </w:r>
            <w:r>
              <w:rPr>
                <w:i/>
                <w:sz w:val="24"/>
              </w:rPr>
              <w:t>percent,</w:t>
            </w:r>
            <w:r>
              <w:rPr>
                <w:i/>
                <w:spacing w:val="-7"/>
                <w:sz w:val="24"/>
              </w:rPr>
              <w:t> </w:t>
            </w:r>
            <w:r>
              <w:rPr>
                <w:i/>
                <w:sz w:val="24"/>
              </w:rPr>
              <w:t>or</w:t>
            </w:r>
            <w:r>
              <w:rPr>
                <w:i/>
                <w:spacing w:val="-7"/>
                <w:sz w:val="24"/>
              </w:rPr>
              <w:t> </w:t>
            </w:r>
            <w:r>
              <w:rPr>
                <w:i/>
                <w:sz w:val="24"/>
              </w:rPr>
              <w:t>N/A</w:t>
            </w:r>
            <w:r>
              <w:rPr>
                <w:i/>
                <w:spacing w:val="-8"/>
                <w:sz w:val="24"/>
              </w:rPr>
              <w:t> </w:t>
            </w:r>
            <w:r>
              <w:rPr>
                <w:i/>
                <w:sz w:val="24"/>
              </w:rPr>
              <w:t>if</w:t>
            </w:r>
            <w:r>
              <w:rPr>
                <w:i/>
                <w:spacing w:val="-9"/>
                <w:sz w:val="24"/>
              </w:rPr>
              <w:t> </w:t>
            </w:r>
            <w:r>
              <w:rPr>
                <w:i/>
                <w:sz w:val="24"/>
              </w:rPr>
              <w:t>state</w:t>
            </w:r>
            <w:r>
              <w:rPr>
                <w:i/>
                <w:sz w:val="24"/>
              </w:rPr>
              <w:t> does not make Medicaid fee- for-service payments</w:t>
            </w:r>
            <w:r>
              <w:rPr>
                <w:sz w:val="24"/>
              </w:rPr>
              <w:t>]</w:t>
            </w:r>
          </w:p>
        </w:tc>
        <w:tc>
          <w:tcPr>
            <w:tcW w:w="3117" w:type="dxa"/>
          </w:tcPr>
          <w:p>
            <w:pPr>
              <w:pStyle w:val="TableParagraph"/>
              <w:spacing w:line="270" w:lineRule="atLeast"/>
              <w:ind w:left="108" w:right="121"/>
              <w:rPr>
                <w:sz w:val="24"/>
              </w:rPr>
            </w:pPr>
            <w:r>
              <w:rPr>
                <w:sz w:val="24"/>
              </w:rPr>
              <w:t>[</w:t>
            </w:r>
            <w:r>
              <w:rPr>
                <w:i/>
                <w:sz w:val="24"/>
              </w:rPr>
              <w:t>insert</w:t>
            </w:r>
            <w:r>
              <w:rPr>
                <w:i/>
                <w:spacing w:val="-4"/>
                <w:sz w:val="24"/>
              </w:rPr>
              <w:t> </w:t>
            </w:r>
            <w:r>
              <w:rPr>
                <w:i/>
                <w:sz w:val="24"/>
              </w:rPr>
              <w:t>percent,</w:t>
            </w:r>
            <w:r>
              <w:rPr>
                <w:i/>
                <w:spacing w:val="-4"/>
                <w:sz w:val="24"/>
              </w:rPr>
              <w:t> </w:t>
            </w:r>
            <w:r>
              <w:rPr>
                <w:i/>
                <w:sz w:val="24"/>
              </w:rPr>
              <w:t>or</w:t>
            </w:r>
            <w:r>
              <w:rPr>
                <w:i/>
                <w:spacing w:val="-4"/>
                <w:sz w:val="24"/>
              </w:rPr>
              <w:t> </w:t>
            </w:r>
            <w:r>
              <w:rPr>
                <w:i/>
                <w:sz w:val="24"/>
              </w:rPr>
              <w:t>N/A</w:t>
            </w:r>
            <w:r>
              <w:rPr>
                <w:i/>
                <w:spacing w:val="-5"/>
                <w:sz w:val="24"/>
              </w:rPr>
              <w:t> </w:t>
            </w:r>
            <w:r>
              <w:rPr>
                <w:i/>
                <w:sz w:val="24"/>
              </w:rPr>
              <w:t>if</w:t>
            </w:r>
            <w:r>
              <w:rPr>
                <w:i/>
                <w:spacing w:val="-6"/>
                <w:sz w:val="24"/>
              </w:rPr>
              <w:t> </w:t>
            </w:r>
            <w:r>
              <w:rPr>
                <w:i/>
                <w:sz w:val="24"/>
              </w:rPr>
              <w:t>state</w:t>
            </w:r>
            <w:r>
              <w:rPr>
                <w:i/>
                <w:sz w:val="24"/>
              </w:rPr>
              <w:t> does not utilize a Medicaid managed</w:t>
            </w:r>
            <w:r>
              <w:rPr>
                <w:i/>
                <w:spacing w:val="-13"/>
                <w:sz w:val="24"/>
              </w:rPr>
              <w:t> </w:t>
            </w:r>
            <w:r>
              <w:rPr>
                <w:i/>
                <w:sz w:val="24"/>
              </w:rPr>
              <w:t>care</w:t>
            </w:r>
            <w:r>
              <w:rPr>
                <w:i/>
                <w:spacing w:val="-14"/>
                <w:sz w:val="24"/>
              </w:rPr>
              <w:t> </w:t>
            </w:r>
            <w:r>
              <w:rPr>
                <w:i/>
                <w:sz w:val="24"/>
              </w:rPr>
              <w:t>delivery</w:t>
            </w:r>
            <w:r>
              <w:rPr>
                <w:i/>
                <w:spacing w:val="-14"/>
                <w:sz w:val="24"/>
              </w:rPr>
              <w:t> </w:t>
            </w:r>
            <w:r>
              <w:rPr>
                <w:i/>
                <w:sz w:val="24"/>
              </w:rPr>
              <w:t>system for applicable covered</w:t>
            </w:r>
            <w:r>
              <w:rPr>
                <w:i/>
                <w:spacing w:val="40"/>
                <w:sz w:val="24"/>
              </w:rPr>
              <w:t> </w:t>
            </w:r>
            <w:r>
              <w:rPr>
                <w:i/>
                <w:sz w:val="24"/>
              </w:rPr>
              <w:t>service categories</w:t>
            </w:r>
            <w:r>
              <w:rPr>
                <w:sz w:val="24"/>
              </w:rPr>
              <w:t>]</w:t>
            </w:r>
          </w:p>
        </w:tc>
      </w:tr>
      <w:tr>
        <w:trPr>
          <w:trHeight w:val="2207" w:hRule="atLeast"/>
        </w:trPr>
        <w:tc>
          <w:tcPr>
            <w:tcW w:w="3115" w:type="dxa"/>
            <w:vMerge/>
            <w:tcBorders>
              <w:top w:val="nil"/>
            </w:tcBorders>
          </w:tcPr>
          <w:p>
            <w:pPr>
              <w:rPr>
                <w:sz w:val="2"/>
                <w:szCs w:val="2"/>
              </w:rPr>
            </w:pPr>
          </w:p>
        </w:tc>
        <w:tc>
          <w:tcPr>
            <w:tcW w:w="3117" w:type="dxa"/>
          </w:tcPr>
          <w:p>
            <w:pPr>
              <w:pStyle w:val="TableParagraph"/>
              <w:ind w:left="107" w:right="153"/>
              <w:jc w:val="both"/>
              <w:rPr>
                <w:sz w:val="24"/>
              </w:rPr>
            </w:pPr>
            <w:r>
              <w:rPr>
                <w:sz w:val="24"/>
              </w:rPr>
              <w:t>[</w:t>
            </w:r>
            <w:r>
              <w:rPr>
                <w:i/>
                <w:sz w:val="24"/>
              </w:rPr>
              <w:t>insert</w:t>
            </w:r>
            <w:r>
              <w:rPr>
                <w:i/>
                <w:spacing w:val="-3"/>
                <w:sz w:val="24"/>
              </w:rPr>
              <w:t> </w:t>
            </w:r>
            <w:r>
              <w:rPr>
                <w:i/>
                <w:sz w:val="24"/>
              </w:rPr>
              <w:t>approach,</w:t>
            </w:r>
            <w:r>
              <w:rPr>
                <w:i/>
                <w:spacing w:val="-3"/>
                <w:sz w:val="24"/>
              </w:rPr>
              <w:t> </w:t>
            </w:r>
            <w:r>
              <w:rPr>
                <w:i/>
                <w:sz w:val="24"/>
              </w:rPr>
              <w:t>either</w:t>
            </w:r>
            <w:r>
              <w:rPr>
                <w:i/>
                <w:spacing w:val="-3"/>
                <w:sz w:val="24"/>
              </w:rPr>
              <w:t> </w:t>
            </w:r>
            <w:r>
              <w:rPr>
                <w:i/>
                <w:sz w:val="24"/>
              </w:rPr>
              <w:t>ratio</w:t>
            </w:r>
            <w:r>
              <w:rPr>
                <w:i/>
                <w:sz w:val="24"/>
              </w:rPr>
              <w:t> derived</w:t>
            </w:r>
            <w:r>
              <w:rPr>
                <w:i/>
                <w:spacing w:val="-10"/>
                <w:sz w:val="24"/>
              </w:rPr>
              <w:t> </w:t>
            </w:r>
            <w:r>
              <w:rPr>
                <w:i/>
                <w:sz w:val="24"/>
              </w:rPr>
              <w:t>under</w:t>
            </w:r>
            <w:r>
              <w:rPr>
                <w:i/>
                <w:spacing w:val="-10"/>
                <w:sz w:val="24"/>
              </w:rPr>
              <w:t> </w:t>
            </w:r>
            <w:r>
              <w:rPr>
                <w:i/>
                <w:sz w:val="24"/>
              </w:rPr>
              <w:t>STC</w:t>
            </w:r>
            <w:r>
              <w:rPr>
                <w:i/>
                <w:spacing w:val="-10"/>
                <w:sz w:val="24"/>
              </w:rPr>
              <w:t> </w:t>
            </w:r>
            <w:r>
              <w:rPr>
                <w:i/>
                <w:sz w:val="24"/>
              </w:rPr>
              <w:t>21.5(a)</w:t>
            </w:r>
            <w:r>
              <w:rPr>
                <w:i/>
                <w:spacing w:val="-13"/>
                <w:sz w:val="24"/>
              </w:rPr>
              <w:t> </w:t>
            </w:r>
            <w:r>
              <w:rPr>
                <w:i/>
                <w:sz w:val="24"/>
              </w:rPr>
              <w:t>or STC 21.5(b)</w:t>
            </w:r>
            <w:r>
              <w:rPr>
                <w:sz w:val="24"/>
              </w:rPr>
              <w:t>]</w:t>
            </w:r>
          </w:p>
        </w:tc>
        <w:tc>
          <w:tcPr>
            <w:tcW w:w="3117" w:type="dxa"/>
          </w:tcPr>
          <w:p>
            <w:pPr>
              <w:pStyle w:val="TableParagraph"/>
              <w:spacing w:line="276" w:lineRule="exact"/>
              <w:ind w:left="108" w:right="115"/>
              <w:rPr>
                <w:sz w:val="24"/>
              </w:rPr>
            </w:pPr>
            <w:r>
              <w:rPr>
                <w:sz w:val="24"/>
              </w:rPr>
              <w:t>[</w:t>
            </w:r>
            <w:r>
              <w:rPr>
                <w:i/>
                <w:sz w:val="24"/>
              </w:rPr>
              <w:t>insert</w:t>
            </w:r>
            <w:r>
              <w:rPr>
                <w:i/>
                <w:spacing w:val="-3"/>
                <w:sz w:val="24"/>
              </w:rPr>
              <w:t> </w:t>
            </w:r>
            <w:r>
              <w:rPr>
                <w:i/>
                <w:sz w:val="24"/>
              </w:rPr>
              <w:t>approach,</w:t>
            </w:r>
            <w:r>
              <w:rPr>
                <w:i/>
                <w:spacing w:val="-3"/>
                <w:sz w:val="24"/>
              </w:rPr>
              <w:t> </w:t>
            </w:r>
            <w:r>
              <w:rPr>
                <w:i/>
                <w:sz w:val="24"/>
              </w:rPr>
              <w:t>either</w:t>
            </w:r>
            <w:r>
              <w:rPr>
                <w:i/>
                <w:spacing w:val="-3"/>
                <w:sz w:val="24"/>
              </w:rPr>
              <w:t> </w:t>
            </w:r>
            <w:r>
              <w:rPr>
                <w:i/>
                <w:sz w:val="24"/>
              </w:rPr>
              <w:t>ratio</w:t>
            </w:r>
            <w:r>
              <w:rPr>
                <w:i/>
                <w:sz w:val="24"/>
              </w:rPr>
              <w:t> derived</w:t>
            </w:r>
            <w:r>
              <w:rPr>
                <w:i/>
                <w:spacing w:val="-10"/>
                <w:sz w:val="24"/>
              </w:rPr>
              <w:t> </w:t>
            </w:r>
            <w:r>
              <w:rPr>
                <w:i/>
                <w:sz w:val="24"/>
              </w:rPr>
              <w:t>under</w:t>
            </w:r>
            <w:r>
              <w:rPr>
                <w:i/>
                <w:spacing w:val="-10"/>
                <w:sz w:val="24"/>
              </w:rPr>
              <w:t> </w:t>
            </w:r>
            <w:r>
              <w:rPr>
                <w:i/>
                <w:sz w:val="24"/>
              </w:rPr>
              <w:t>STC</w:t>
            </w:r>
            <w:r>
              <w:rPr>
                <w:i/>
                <w:spacing w:val="-10"/>
                <w:sz w:val="24"/>
              </w:rPr>
              <w:t> </w:t>
            </w:r>
            <w:r>
              <w:rPr>
                <w:i/>
                <w:sz w:val="24"/>
              </w:rPr>
              <w:t>21.6(a)</w:t>
            </w:r>
            <w:r>
              <w:rPr>
                <w:i/>
                <w:spacing w:val="-13"/>
                <w:sz w:val="24"/>
              </w:rPr>
              <w:t> </w:t>
            </w:r>
            <w:r>
              <w:rPr>
                <w:i/>
                <w:sz w:val="24"/>
              </w:rPr>
              <w:t>or STC 21.6(b) insert data source and time period (e.g., applicable 12-month rating period) for each of Medicaid and Medicare to derive the </w:t>
            </w:r>
            <w:r>
              <w:rPr>
                <w:i/>
                <w:spacing w:val="-2"/>
                <w:sz w:val="24"/>
              </w:rPr>
              <w:t>ratio</w:t>
            </w:r>
            <w:r>
              <w:rPr>
                <w:spacing w:val="-2"/>
                <w:sz w:val="24"/>
              </w:rPr>
              <w:t>]</w:t>
            </w:r>
          </w:p>
        </w:tc>
      </w:tr>
      <w:tr>
        <w:trPr>
          <w:trHeight w:val="1379" w:hRule="atLeast"/>
        </w:trPr>
        <w:tc>
          <w:tcPr>
            <w:tcW w:w="3115" w:type="dxa"/>
            <w:vMerge w:val="restart"/>
          </w:tcPr>
          <w:p>
            <w:pPr>
              <w:pStyle w:val="TableParagraph"/>
              <w:spacing w:line="275" w:lineRule="exact"/>
              <w:ind w:left="107"/>
              <w:rPr>
                <w:sz w:val="24"/>
              </w:rPr>
            </w:pPr>
            <w:r>
              <w:rPr>
                <w:sz w:val="24"/>
              </w:rPr>
              <w:t>Obstetric</w:t>
            </w:r>
            <w:r>
              <w:rPr>
                <w:spacing w:val="-4"/>
                <w:sz w:val="24"/>
              </w:rPr>
              <w:t> </w:t>
            </w:r>
            <w:r>
              <w:rPr>
                <w:sz w:val="24"/>
              </w:rPr>
              <w:t>Care</w:t>
            </w:r>
            <w:r>
              <w:rPr>
                <w:spacing w:val="-3"/>
                <w:sz w:val="24"/>
              </w:rPr>
              <w:t> </w:t>
            </w:r>
            <w:r>
              <w:rPr>
                <w:spacing w:val="-2"/>
                <w:sz w:val="24"/>
              </w:rPr>
              <w:t>Services</w:t>
            </w:r>
          </w:p>
        </w:tc>
        <w:tc>
          <w:tcPr>
            <w:tcW w:w="3117" w:type="dxa"/>
          </w:tcPr>
          <w:p>
            <w:pPr>
              <w:pStyle w:val="TableParagraph"/>
              <w:ind w:left="108" w:right="115"/>
              <w:jc w:val="both"/>
              <w:rPr>
                <w:sz w:val="24"/>
              </w:rPr>
            </w:pPr>
            <w:r>
              <w:rPr>
                <w:sz w:val="24"/>
              </w:rPr>
              <w:t>[</w:t>
            </w:r>
            <w:r>
              <w:rPr>
                <w:i/>
                <w:sz w:val="24"/>
              </w:rPr>
              <w:t>insert</w:t>
            </w:r>
            <w:r>
              <w:rPr>
                <w:i/>
                <w:spacing w:val="-7"/>
                <w:sz w:val="24"/>
              </w:rPr>
              <w:t> </w:t>
            </w:r>
            <w:r>
              <w:rPr>
                <w:i/>
                <w:sz w:val="24"/>
              </w:rPr>
              <w:t>percent,</w:t>
            </w:r>
            <w:r>
              <w:rPr>
                <w:i/>
                <w:spacing w:val="-7"/>
                <w:sz w:val="24"/>
              </w:rPr>
              <w:t> </w:t>
            </w:r>
            <w:r>
              <w:rPr>
                <w:i/>
                <w:sz w:val="24"/>
              </w:rPr>
              <w:t>or</w:t>
            </w:r>
            <w:r>
              <w:rPr>
                <w:i/>
                <w:spacing w:val="-7"/>
                <w:sz w:val="24"/>
              </w:rPr>
              <w:t> </w:t>
            </w:r>
            <w:r>
              <w:rPr>
                <w:i/>
                <w:sz w:val="24"/>
              </w:rPr>
              <w:t>N/A</w:t>
            </w:r>
            <w:r>
              <w:rPr>
                <w:i/>
                <w:spacing w:val="-8"/>
                <w:sz w:val="24"/>
              </w:rPr>
              <w:t> </w:t>
            </w:r>
            <w:r>
              <w:rPr>
                <w:i/>
                <w:sz w:val="24"/>
              </w:rPr>
              <w:t>if</w:t>
            </w:r>
            <w:r>
              <w:rPr>
                <w:i/>
                <w:spacing w:val="-9"/>
                <w:sz w:val="24"/>
              </w:rPr>
              <w:t> </w:t>
            </w:r>
            <w:r>
              <w:rPr>
                <w:i/>
                <w:sz w:val="24"/>
              </w:rPr>
              <w:t>state</w:t>
            </w:r>
            <w:r>
              <w:rPr>
                <w:i/>
                <w:sz w:val="24"/>
              </w:rPr>
              <w:t> does not make fee-for-service </w:t>
            </w:r>
            <w:r>
              <w:rPr>
                <w:i/>
                <w:spacing w:val="-2"/>
                <w:sz w:val="24"/>
              </w:rPr>
              <w:t>payments</w:t>
            </w:r>
            <w:r>
              <w:rPr>
                <w:spacing w:val="-2"/>
                <w:sz w:val="24"/>
              </w:rPr>
              <w:t>]</w:t>
            </w:r>
          </w:p>
        </w:tc>
        <w:tc>
          <w:tcPr>
            <w:tcW w:w="3117" w:type="dxa"/>
          </w:tcPr>
          <w:p>
            <w:pPr>
              <w:pStyle w:val="TableParagraph"/>
              <w:spacing w:line="276" w:lineRule="exact"/>
              <w:ind w:left="108"/>
              <w:rPr>
                <w:sz w:val="24"/>
              </w:rPr>
            </w:pPr>
            <w:r>
              <w:rPr>
                <w:sz w:val="24"/>
              </w:rPr>
              <w:t>[</w:t>
            </w:r>
            <w:r>
              <w:rPr>
                <w:i/>
                <w:sz w:val="24"/>
              </w:rPr>
              <w:t>insert</w:t>
            </w:r>
            <w:r>
              <w:rPr>
                <w:i/>
                <w:spacing w:val="-4"/>
                <w:sz w:val="24"/>
              </w:rPr>
              <w:t> </w:t>
            </w:r>
            <w:r>
              <w:rPr>
                <w:i/>
                <w:sz w:val="24"/>
              </w:rPr>
              <w:t>percent,</w:t>
            </w:r>
            <w:r>
              <w:rPr>
                <w:i/>
                <w:spacing w:val="-4"/>
                <w:sz w:val="24"/>
              </w:rPr>
              <w:t> </w:t>
            </w:r>
            <w:r>
              <w:rPr>
                <w:i/>
                <w:sz w:val="24"/>
              </w:rPr>
              <w:t>or</w:t>
            </w:r>
            <w:r>
              <w:rPr>
                <w:i/>
                <w:spacing w:val="-4"/>
                <w:sz w:val="24"/>
              </w:rPr>
              <w:t> </w:t>
            </w:r>
            <w:r>
              <w:rPr>
                <w:i/>
                <w:sz w:val="24"/>
              </w:rPr>
              <w:t>N/A</w:t>
            </w:r>
            <w:r>
              <w:rPr>
                <w:i/>
                <w:spacing w:val="-5"/>
                <w:sz w:val="24"/>
              </w:rPr>
              <w:t> </w:t>
            </w:r>
            <w:r>
              <w:rPr>
                <w:i/>
                <w:sz w:val="24"/>
              </w:rPr>
              <w:t>if</w:t>
            </w:r>
            <w:r>
              <w:rPr>
                <w:i/>
                <w:spacing w:val="-6"/>
                <w:sz w:val="24"/>
              </w:rPr>
              <w:t> </w:t>
            </w:r>
            <w:r>
              <w:rPr>
                <w:i/>
                <w:sz w:val="24"/>
              </w:rPr>
              <w:t>state</w:t>
            </w:r>
            <w:r>
              <w:rPr>
                <w:i/>
                <w:sz w:val="24"/>
              </w:rPr>
              <w:t> does not utilize a Medicaid managed</w:t>
            </w:r>
            <w:r>
              <w:rPr>
                <w:i/>
                <w:spacing w:val="-13"/>
                <w:sz w:val="24"/>
              </w:rPr>
              <w:t> </w:t>
            </w:r>
            <w:r>
              <w:rPr>
                <w:i/>
                <w:sz w:val="24"/>
              </w:rPr>
              <w:t>care</w:t>
            </w:r>
            <w:r>
              <w:rPr>
                <w:i/>
                <w:spacing w:val="-14"/>
                <w:sz w:val="24"/>
              </w:rPr>
              <w:t> </w:t>
            </w:r>
            <w:r>
              <w:rPr>
                <w:i/>
                <w:sz w:val="24"/>
              </w:rPr>
              <w:t>delivery</w:t>
            </w:r>
            <w:r>
              <w:rPr>
                <w:i/>
                <w:spacing w:val="-14"/>
                <w:sz w:val="24"/>
              </w:rPr>
              <w:t> </w:t>
            </w:r>
            <w:r>
              <w:rPr>
                <w:i/>
                <w:sz w:val="24"/>
              </w:rPr>
              <w:t>system for providers for covered service categories</w:t>
            </w:r>
            <w:r>
              <w:rPr>
                <w:sz w:val="24"/>
              </w:rPr>
              <w:t>]</w:t>
            </w:r>
          </w:p>
        </w:tc>
      </w:tr>
      <w:tr>
        <w:trPr>
          <w:trHeight w:val="2206" w:hRule="atLeast"/>
        </w:trPr>
        <w:tc>
          <w:tcPr>
            <w:tcW w:w="3115" w:type="dxa"/>
            <w:vMerge/>
            <w:tcBorders>
              <w:top w:val="nil"/>
            </w:tcBorders>
          </w:tcPr>
          <w:p>
            <w:pPr>
              <w:rPr>
                <w:sz w:val="2"/>
                <w:szCs w:val="2"/>
              </w:rPr>
            </w:pPr>
          </w:p>
        </w:tc>
        <w:tc>
          <w:tcPr>
            <w:tcW w:w="3117" w:type="dxa"/>
          </w:tcPr>
          <w:p>
            <w:pPr>
              <w:pStyle w:val="TableParagraph"/>
              <w:ind w:left="107" w:right="153"/>
              <w:jc w:val="both"/>
              <w:rPr>
                <w:sz w:val="24"/>
              </w:rPr>
            </w:pPr>
            <w:r>
              <w:rPr>
                <w:sz w:val="24"/>
              </w:rPr>
              <w:t>[</w:t>
            </w:r>
            <w:r>
              <w:rPr>
                <w:i/>
                <w:sz w:val="24"/>
              </w:rPr>
              <w:t>insert</w:t>
            </w:r>
            <w:r>
              <w:rPr>
                <w:i/>
                <w:spacing w:val="-3"/>
                <w:sz w:val="24"/>
              </w:rPr>
              <w:t> </w:t>
            </w:r>
            <w:r>
              <w:rPr>
                <w:i/>
                <w:sz w:val="24"/>
              </w:rPr>
              <w:t>approach,</w:t>
            </w:r>
            <w:r>
              <w:rPr>
                <w:i/>
                <w:spacing w:val="-3"/>
                <w:sz w:val="24"/>
              </w:rPr>
              <w:t> </w:t>
            </w:r>
            <w:r>
              <w:rPr>
                <w:i/>
                <w:sz w:val="24"/>
              </w:rPr>
              <w:t>either</w:t>
            </w:r>
            <w:r>
              <w:rPr>
                <w:i/>
                <w:spacing w:val="-3"/>
                <w:sz w:val="24"/>
              </w:rPr>
              <w:t> </w:t>
            </w:r>
            <w:r>
              <w:rPr>
                <w:i/>
                <w:sz w:val="24"/>
              </w:rPr>
              <w:t>ratio</w:t>
            </w:r>
            <w:r>
              <w:rPr>
                <w:i/>
                <w:sz w:val="24"/>
              </w:rPr>
              <w:t> derived</w:t>
            </w:r>
            <w:r>
              <w:rPr>
                <w:i/>
                <w:spacing w:val="-10"/>
                <w:sz w:val="24"/>
              </w:rPr>
              <w:t> </w:t>
            </w:r>
            <w:r>
              <w:rPr>
                <w:i/>
                <w:sz w:val="24"/>
              </w:rPr>
              <w:t>under</w:t>
            </w:r>
            <w:r>
              <w:rPr>
                <w:i/>
                <w:spacing w:val="-10"/>
                <w:sz w:val="24"/>
              </w:rPr>
              <w:t> </w:t>
            </w:r>
            <w:r>
              <w:rPr>
                <w:i/>
                <w:sz w:val="24"/>
              </w:rPr>
              <w:t>STC</w:t>
            </w:r>
            <w:r>
              <w:rPr>
                <w:i/>
                <w:spacing w:val="-10"/>
                <w:sz w:val="24"/>
              </w:rPr>
              <w:t> </w:t>
            </w:r>
            <w:r>
              <w:rPr>
                <w:i/>
                <w:sz w:val="24"/>
              </w:rPr>
              <w:t>21.5(a)</w:t>
            </w:r>
            <w:r>
              <w:rPr>
                <w:i/>
                <w:spacing w:val="-13"/>
                <w:sz w:val="24"/>
              </w:rPr>
              <w:t> </w:t>
            </w:r>
            <w:r>
              <w:rPr>
                <w:i/>
                <w:sz w:val="24"/>
              </w:rPr>
              <w:t>or STC 5(b) </w:t>
            </w:r>
            <w:r>
              <w:rPr>
                <w:sz w:val="24"/>
              </w:rPr>
              <w:t>]</w:t>
            </w:r>
          </w:p>
        </w:tc>
        <w:tc>
          <w:tcPr>
            <w:tcW w:w="3117" w:type="dxa"/>
          </w:tcPr>
          <w:p>
            <w:pPr>
              <w:pStyle w:val="TableParagraph"/>
              <w:spacing w:line="276" w:lineRule="exact"/>
              <w:ind w:left="108" w:right="115"/>
              <w:rPr>
                <w:sz w:val="24"/>
              </w:rPr>
            </w:pPr>
            <w:r>
              <w:rPr>
                <w:sz w:val="24"/>
              </w:rPr>
              <w:t>[</w:t>
            </w:r>
            <w:r>
              <w:rPr>
                <w:i/>
                <w:sz w:val="24"/>
              </w:rPr>
              <w:t>insert</w:t>
            </w:r>
            <w:r>
              <w:rPr>
                <w:i/>
                <w:spacing w:val="-3"/>
                <w:sz w:val="24"/>
              </w:rPr>
              <w:t> </w:t>
            </w:r>
            <w:r>
              <w:rPr>
                <w:i/>
                <w:sz w:val="24"/>
              </w:rPr>
              <w:t>approach,</w:t>
            </w:r>
            <w:r>
              <w:rPr>
                <w:i/>
                <w:spacing w:val="-3"/>
                <w:sz w:val="24"/>
              </w:rPr>
              <w:t> </w:t>
            </w:r>
            <w:r>
              <w:rPr>
                <w:i/>
                <w:sz w:val="24"/>
              </w:rPr>
              <w:t>either</w:t>
            </w:r>
            <w:r>
              <w:rPr>
                <w:i/>
                <w:spacing w:val="-3"/>
                <w:sz w:val="24"/>
              </w:rPr>
              <w:t> </w:t>
            </w:r>
            <w:r>
              <w:rPr>
                <w:i/>
                <w:sz w:val="24"/>
              </w:rPr>
              <w:t>ratio</w:t>
            </w:r>
            <w:r>
              <w:rPr>
                <w:i/>
                <w:sz w:val="24"/>
              </w:rPr>
              <w:t> derived</w:t>
            </w:r>
            <w:r>
              <w:rPr>
                <w:i/>
                <w:spacing w:val="-10"/>
                <w:sz w:val="24"/>
              </w:rPr>
              <w:t> </w:t>
            </w:r>
            <w:r>
              <w:rPr>
                <w:i/>
                <w:sz w:val="24"/>
              </w:rPr>
              <w:t>under</w:t>
            </w:r>
            <w:r>
              <w:rPr>
                <w:i/>
                <w:spacing w:val="-10"/>
                <w:sz w:val="24"/>
              </w:rPr>
              <w:t> </w:t>
            </w:r>
            <w:r>
              <w:rPr>
                <w:i/>
                <w:sz w:val="24"/>
              </w:rPr>
              <w:t>STC</w:t>
            </w:r>
            <w:r>
              <w:rPr>
                <w:i/>
                <w:spacing w:val="-10"/>
                <w:sz w:val="24"/>
              </w:rPr>
              <w:t> </w:t>
            </w:r>
            <w:r>
              <w:rPr>
                <w:i/>
                <w:sz w:val="24"/>
              </w:rPr>
              <w:t>21.6(a)</w:t>
            </w:r>
            <w:r>
              <w:rPr>
                <w:i/>
                <w:spacing w:val="-13"/>
                <w:sz w:val="24"/>
              </w:rPr>
              <w:t> </w:t>
            </w:r>
            <w:r>
              <w:rPr>
                <w:i/>
                <w:sz w:val="24"/>
              </w:rPr>
              <w:t>or STC 21.6(b) insert data source and time period (e.g., applicable 12-month rating period) for each of Medicaid and Medicare to derive the </w:t>
            </w:r>
            <w:r>
              <w:rPr>
                <w:i/>
                <w:spacing w:val="-2"/>
                <w:sz w:val="24"/>
              </w:rPr>
              <w:t>ratio</w:t>
            </w:r>
            <w:r>
              <w:rPr>
                <w:spacing w:val="-2"/>
                <w:sz w:val="24"/>
              </w:rPr>
              <w:t>]</w:t>
            </w:r>
          </w:p>
        </w:tc>
      </w:tr>
      <w:tr>
        <w:trPr>
          <w:trHeight w:val="1378" w:hRule="atLeast"/>
        </w:trPr>
        <w:tc>
          <w:tcPr>
            <w:tcW w:w="3115" w:type="dxa"/>
          </w:tcPr>
          <w:p>
            <w:pPr>
              <w:pStyle w:val="TableParagraph"/>
              <w:ind w:left="107"/>
              <w:rPr>
                <w:sz w:val="24"/>
              </w:rPr>
            </w:pPr>
            <w:r>
              <w:rPr>
                <w:sz w:val="24"/>
              </w:rPr>
              <w:t>Behavioral</w:t>
            </w:r>
            <w:r>
              <w:rPr>
                <w:spacing w:val="-15"/>
                <w:sz w:val="24"/>
              </w:rPr>
              <w:t> </w:t>
            </w:r>
            <w:r>
              <w:rPr>
                <w:sz w:val="24"/>
              </w:rPr>
              <w:t>Health</w:t>
            </w:r>
            <w:r>
              <w:rPr>
                <w:spacing w:val="-15"/>
                <w:sz w:val="24"/>
              </w:rPr>
              <w:t> </w:t>
            </w:r>
            <w:r>
              <w:rPr>
                <w:sz w:val="24"/>
              </w:rPr>
              <w:t>Care </w:t>
            </w:r>
            <w:r>
              <w:rPr>
                <w:spacing w:val="-2"/>
                <w:sz w:val="24"/>
              </w:rPr>
              <w:t>Services</w:t>
            </w:r>
          </w:p>
        </w:tc>
        <w:tc>
          <w:tcPr>
            <w:tcW w:w="3117" w:type="dxa"/>
          </w:tcPr>
          <w:p>
            <w:pPr>
              <w:pStyle w:val="TableParagraph"/>
              <w:ind w:left="108" w:right="115"/>
              <w:jc w:val="both"/>
              <w:rPr>
                <w:sz w:val="24"/>
              </w:rPr>
            </w:pPr>
            <w:r>
              <w:rPr>
                <w:sz w:val="24"/>
              </w:rPr>
              <w:t>[</w:t>
            </w:r>
            <w:r>
              <w:rPr>
                <w:i/>
                <w:sz w:val="24"/>
              </w:rPr>
              <w:t>insert</w:t>
            </w:r>
            <w:r>
              <w:rPr>
                <w:i/>
                <w:spacing w:val="-7"/>
                <w:sz w:val="24"/>
              </w:rPr>
              <w:t> </w:t>
            </w:r>
            <w:r>
              <w:rPr>
                <w:i/>
                <w:sz w:val="24"/>
              </w:rPr>
              <w:t>percent,</w:t>
            </w:r>
            <w:r>
              <w:rPr>
                <w:i/>
                <w:spacing w:val="-7"/>
                <w:sz w:val="24"/>
              </w:rPr>
              <w:t> </w:t>
            </w:r>
            <w:r>
              <w:rPr>
                <w:i/>
                <w:sz w:val="24"/>
              </w:rPr>
              <w:t>or</w:t>
            </w:r>
            <w:r>
              <w:rPr>
                <w:i/>
                <w:spacing w:val="-7"/>
                <w:sz w:val="24"/>
              </w:rPr>
              <w:t> </w:t>
            </w:r>
            <w:r>
              <w:rPr>
                <w:i/>
                <w:sz w:val="24"/>
              </w:rPr>
              <w:t>N/A</w:t>
            </w:r>
            <w:r>
              <w:rPr>
                <w:i/>
                <w:spacing w:val="-8"/>
                <w:sz w:val="24"/>
              </w:rPr>
              <w:t> </w:t>
            </w:r>
            <w:r>
              <w:rPr>
                <w:i/>
                <w:sz w:val="24"/>
              </w:rPr>
              <w:t>if</w:t>
            </w:r>
            <w:r>
              <w:rPr>
                <w:i/>
                <w:spacing w:val="-9"/>
                <w:sz w:val="24"/>
              </w:rPr>
              <w:t> </w:t>
            </w:r>
            <w:r>
              <w:rPr>
                <w:i/>
                <w:sz w:val="24"/>
              </w:rPr>
              <w:t>state</w:t>
            </w:r>
            <w:r>
              <w:rPr>
                <w:i/>
                <w:sz w:val="24"/>
              </w:rPr>
              <w:t> does not make fee-for-service </w:t>
            </w:r>
            <w:r>
              <w:rPr>
                <w:i/>
                <w:spacing w:val="-2"/>
                <w:sz w:val="24"/>
              </w:rPr>
              <w:t>payments</w:t>
            </w:r>
            <w:r>
              <w:rPr>
                <w:spacing w:val="-2"/>
                <w:sz w:val="24"/>
              </w:rPr>
              <w:t>]</w:t>
            </w:r>
          </w:p>
        </w:tc>
        <w:tc>
          <w:tcPr>
            <w:tcW w:w="3117" w:type="dxa"/>
          </w:tcPr>
          <w:p>
            <w:pPr>
              <w:pStyle w:val="TableParagraph"/>
              <w:spacing w:line="276" w:lineRule="exact"/>
              <w:ind w:left="108" w:right="121"/>
              <w:rPr>
                <w:i/>
                <w:sz w:val="24"/>
              </w:rPr>
            </w:pPr>
            <w:r>
              <w:rPr>
                <w:sz w:val="24"/>
              </w:rPr>
              <w:t>[</w:t>
            </w:r>
            <w:r>
              <w:rPr>
                <w:i/>
                <w:sz w:val="24"/>
              </w:rPr>
              <w:t>insert</w:t>
            </w:r>
            <w:r>
              <w:rPr>
                <w:i/>
                <w:spacing w:val="-4"/>
                <w:sz w:val="24"/>
              </w:rPr>
              <w:t> </w:t>
            </w:r>
            <w:r>
              <w:rPr>
                <w:i/>
                <w:sz w:val="24"/>
              </w:rPr>
              <w:t>percent,</w:t>
            </w:r>
            <w:r>
              <w:rPr>
                <w:i/>
                <w:spacing w:val="-4"/>
                <w:sz w:val="24"/>
              </w:rPr>
              <w:t> </w:t>
            </w:r>
            <w:r>
              <w:rPr>
                <w:i/>
                <w:sz w:val="24"/>
              </w:rPr>
              <w:t>or</w:t>
            </w:r>
            <w:r>
              <w:rPr>
                <w:i/>
                <w:spacing w:val="-4"/>
                <w:sz w:val="24"/>
              </w:rPr>
              <w:t> </w:t>
            </w:r>
            <w:r>
              <w:rPr>
                <w:i/>
                <w:sz w:val="24"/>
              </w:rPr>
              <w:t>N/A</w:t>
            </w:r>
            <w:r>
              <w:rPr>
                <w:i/>
                <w:spacing w:val="-5"/>
                <w:sz w:val="24"/>
              </w:rPr>
              <w:t> </w:t>
            </w:r>
            <w:r>
              <w:rPr>
                <w:i/>
                <w:sz w:val="24"/>
              </w:rPr>
              <w:t>if</w:t>
            </w:r>
            <w:r>
              <w:rPr>
                <w:i/>
                <w:spacing w:val="-6"/>
                <w:sz w:val="24"/>
              </w:rPr>
              <w:t> </w:t>
            </w:r>
            <w:r>
              <w:rPr>
                <w:i/>
                <w:sz w:val="24"/>
              </w:rPr>
              <w:t>state</w:t>
            </w:r>
            <w:r>
              <w:rPr>
                <w:i/>
                <w:sz w:val="24"/>
              </w:rPr>
              <w:t> does not utilize a Medicaid managed</w:t>
            </w:r>
            <w:r>
              <w:rPr>
                <w:i/>
                <w:spacing w:val="-13"/>
                <w:sz w:val="24"/>
              </w:rPr>
              <w:t> </w:t>
            </w:r>
            <w:r>
              <w:rPr>
                <w:i/>
                <w:sz w:val="24"/>
              </w:rPr>
              <w:t>care</w:t>
            </w:r>
            <w:r>
              <w:rPr>
                <w:i/>
                <w:spacing w:val="-14"/>
                <w:sz w:val="24"/>
              </w:rPr>
              <w:t> </w:t>
            </w:r>
            <w:r>
              <w:rPr>
                <w:i/>
                <w:sz w:val="24"/>
              </w:rPr>
              <w:t>delivery</w:t>
            </w:r>
            <w:r>
              <w:rPr>
                <w:i/>
                <w:spacing w:val="-14"/>
                <w:sz w:val="24"/>
              </w:rPr>
              <w:t> </w:t>
            </w:r>
            <w:r>
              <w:rPr>
                <w:i/>
                <w:sz w:val="24"/>
              </w:rPr>
              <w:t>system for applicable covered</w:t>
            </w:r>
            <w:r>
              <w:rPr>
                <w:i/>
                <w:spacing w:val="40"/>
                <w:sz w:val="24"/>
              </w:rPr>
              <w:t> </w:t>
            </w:r>
            <w:r>
              <w:rPr>
                <w:i/>
                <w:sz w:val="24"/>
              </w:rPr>
              <w:t>service categories]</w:t>
            </w:r>
          </w:p>
        </w:tc>
      </w:tr>
    </w:tbl>
    <w:p>
      <w:pPr>
        <w:spacing w:after="0" w:line="276" w:lineRule="exact"/>
        <w:rPr>
          <w:sz w:val="24"/>
        </w:rPr>
        <w:sectPr>
          <w:pgSz w:w="12240" w:h="15840"/>
          <w:pgMar w:header="0" w:footer="1201" w:top="1360" w:bottom="1400" w:left="220" w:right="340"/>
        </w:sectPr>
      </w:pPr>
    </w:p>
    <w:tbl>
      <w:tblPr>
        <w:tblW w:w="0" w:type="auto"/>
        <w:jc w:val="left"/>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15"/>
        <w:gridCol w:w="3117"/>
        <w:gridCol w:w="3117"/>
      </w:tblGrid>
      <w:tr>
        <w:trPr>
          <w:trHeight w:val="2207" w:hRule="atLeast"/>
        </w:trPr>
        <w:tc>
          <w:tcPr>
            <w:tcW w:w="3115" w:type="dxa"/>
          </w:tcPr>
          <w:p>
            <w:pPr>
              <w:pStyle w:val="TableParagraph"/>
              <w:rPr>
                <w:sz w:val="22"/>
              </w:rPr>
            </w:pPr>
          </w:p>
        </w:tc>
        <w:tc>
          <w:tcPr>
            <w:tcW w:w="3117" w:type="dxa"/>
          </w:tcPr>
          <w:p>
            <w:pPr>
              <w:pStyle w:val="TableParagraph"/>
              <w:ind w:left="107" w:right="153"/>
              <w:jc w:val="both"/>
              <w:rPr>
                <w:sz w:val="24"/>
              </w:rPr>
            </w:pPr>
            <w:r>
              <w:rPr>
                <w:sz w:val="24"/>
              </w:rPr>
              <w:t>[</w:t>
            </w:r>
            <w:r>
              <w:rPr>
                <w:i/>
                <w:sz w:val="24"/>
              </w:rPr>
              <w:t>insert</w:t>
            </w:r>
            <w:r>
              <w:rPr>
                <w:i/>
                <w:spacing w:val="-3"/>
                <w:sz w:val="24"/>
              </w:rPr>
              <w:t> </w:t>
            </w:r>
            <w:r>
              <w:rPr>
                <w:i/>
                <w:sz w:val="24"/>
              </w:rPr>
              <w:t>approach,</w:t>
            </w:r>
            <w:r>
              <w:rPr>
                <w:i/>
                <w:spacing w:val="-3"/>
                <w:sz w:val="24"/>
              </w:rPr>
              <w:t> </w:t>
            </w:r>
            <w:r>
              <w:rPr>
                <w:i/>
                <w:sz w:val="24"/>
              </w:rPr>
              <w:t>either</w:t>
            </w:r>
            <w:r>
              <w:rPr>
                <w:i/>
                <w:spacing w:val="-3"/>
                <w:sz w:val="24"/>
              </w:rPr>
              <w:t> </w:t>
            </w:r>
            <w:r>
              <w:rPr>
                <w:i/>
                <w:sz w:val="24"/>
              </w:rPr>
              <w:t>ratio</w:t>
            </w:r>
            <w:r>
              <w:rPr>
                <w:i/>
                <w:sz w:val="24"/>
              </w:rPr>
              <w:t> derived</w:t>
            </w:r>
            <w:r>
              <w:rPr>
                <w:i/>
                <w:spacing w:val="-10"/>
                <w:sz w:val="24"/>
              </w:rPr>
              <w:t> </w:t>
            </w:r>
            <w:r>
              <w:rPr>
                <w:i/>
                <w:sz w:val="24"/>
              </w:rPr>
              <w:t>under</w:t>
            </w:r>
            <w:r>
              <w:rPr>
                <w:i/>
                <w:spacing w:val="-10"/>
                <w:sz w:val="24"/>
              </w:rPr>
              <w:t> </w:t>
            </w:r>
            <w:r>
              <w:rPr>
                <w:i/>
                <w:sz w:val="24"/>
              </w:rPr>
              <w:t>STC</w:t>
            </w:r>
            <w:r>
              <w:rPr>
                <w:i/>
                <w:spacing w:val="-10"/>
                <w:sz w:val="24"/>
              </w:rPr>
              <w:t> </w:t>
            </w:r>
            <w:r>
              <w:rPr>
                <w:i/>
                <w:sz w:val="24"/>
              </w:rPr>
              <w:t>21.5(a)</w:t>
            </w:r>
            <w:r>
              <w:rPr>
                <w:i/>
                <w:spacing w:val="-13"/>
                <w:sz w:val="24"/>
              </w:rPr>
              <w:t> </w:t>
            </w:r>
            <w:r>
              <w:rPr>
                <w:i/>
                <w:sz w:val="24"/>
              </w:rPr>
              <w:t>or STC 21.5(b)</w:t>
            </w:r>
            <w:r>
              <w:rPr>
                <w:sz w:val="24"/>
              </w:rPr>
              <w:t>]</w:t>
            </w:r>
          </w:p>
        </w:tc>
        <w:tc>
          <w:tcPr>
            <w:tcW w:w="3117" w:type="dxa"/>
          </w:tcPr>
          <w:p>
            <w:pPr>
              <w:pStyle w:val="TableParagraph"/>
              <w:spacing w:line="276" w:lineRule="exact"/>
              <w:ind w:left="108" w:right="115"/>
              <w:rPr>
                <w:sz w:val="24"/>
              </w:rPr>
            </w:pPr>
            <w:r>
              <w:rPr>
                <w:sz w:val="24"/>
              </w:rPr>
              <w:t>[</w:t>
            </w:r>
            <w:r>
              <w:rPr>
                <w:i/>
                <w:sz w:val="24"/>
              </w:rPr>
              <w:t>insert</w:t>
            </w:r>
            <w:r>
              <w:rPr>
                <w:i/>
                <w:spacing w:val="-3"/>
                <w:sz w:val="24"/>
              </w:rPr>
              <w:t> </w:t>
            </w:r>
            <w:r>
              <w:rPr>
                <w:i/>
                <w:sz w:val="24"/>
              </w:rPr>
              <w:t>approach,</w:t>
            </w:r>
            <w:r>
              <w:rPr>
                <w:i/>
                <w:spacing w:val="-3"/>
                <w:sz w:val="24"/>
              </w:rPr>
              <w:t> </w:t>
            </w:r>
            <w:r>
              <w:rPr>
                <w:i/>
                <w:sz w:val="24"/>
              </w:rPr>
              <w:t>either</w:t>
            </w:r>
            <w:r>
              <w:rPr>
                <w:i/>
                <w:spacing w:val="-3"/>
                <w:sz w:val="24"/>
              </w:rPr>
              <w:t> </w:t>
            </w:r>
            <w:r>
              <w:rPr>
                <w:i/>
                <w:sz w:val="24"/>
              </w:rPr>
              <w:t>ratio</w:t>
            </w:r>
            <w:r>
              <w:rPr>
                <w:i/>
                <w:sz w:val="24"/>
              </w:rPr>
              <w:t> derived</w:t>
            </w:r>
            <w:r>
              <w:rPr>
                <w:i/>
                <w:spacing w:val="-10"/>
                <w:sz w:val="24"/>
              </w:rPr>
              <w:t> </w:t>
            </w:r>
            <w:r>
              <w:rPr>
                <w:i/>
                <w:sz w:val="24"/>
              </w:rPr>
              <w:t>under</w:t>
            </w:r>
            <w:r>
              <w:rPr>
                <w:i/>
                <w:spacing w:val="-10"/>
                <w:sz w:val="24"/>
              </w:rPr>
              <w:t> </w:t>
            </w:r>
            <w:r>
              <w:rPr>
                <w:i/>
                <w:sz w:val="24"/>
              </w:rPr>
              <w:t>STC</w:t>
            </w:r>
            <w:r>
              <w:rPr>
                <w:i/>
                <w:spacing w:val="-10"/>
                <w:sz w:val="24"/>
              </w:rPr>
              <w:t> </w:t>
            </w:r>
            <w:r>
              <w:rPr>
                <w:i/>
                <w:sz w:val="24"/>
              </w:rPr>
              <w:t>21.6(a)</w:t>
            </w:r>
            <w:r>
              <w:rPr>
                <w:i/>
                <w:spacing w:val="-13"/>
                <w:sz w:val="24"/>
              </w:rPr>
              <w:t> </w:t>
            </w:r>
            <w:r>
              <w:rPr>
                <w:i/>
                <w:sz w:val="24"/>
              </w:rPr>
              <w:t>or STC 21.6(b)</w:t>
            </w:r>
            <w:r>
              <w:rPr>
                <w:sz w:val="24"/>
              </w:rPr>
              <w:t>]; insert data source and time period (e.g., applicable 12-month rating period) for each of Medicaid and Medicare to derive the ratio ]</w:t>
            </w:r>
          </w:p>
        </w:tc>
      </w:tr>
      <w:tr>
        <w:trPr>
          <w:trHeight w:val="9729" w:hRule="atLeast"/>
        </w:trPr>
        <w:tc>
          <w:tcPr>
            <w:tcW w:w="9349" w:type="dxa"/>
            <w:gridSpan w:val="3"/>
          </w:tcPr>
          <w:p>
            <w:pPr>
              <w:pStyle w:val="TableParagraph"/>
              <w:ind w:left="107" w:right="140"/>
              <w:rPr>
                <w:sz w:val="24"/>
              </w:rPr>
            </w:pPr>
            <w:r>
              <w:rPr>
                <w:sz w:val="24"/>
              </w:rPr>
              <w:t>In accordance with STCs 21.1 through 21.12, including that the Medicaid provider payment rates used to establish the ratios do not reflect fee-for-service supplemental payments or Medicaid</w:t>
            </w:r>
            <w:r>
              <w:rPr>
                <w:spacing w:val="-3"/>
                <w:sz w:val="24"/>
              </w:rPr>
              <w:t> </w:t>
            </w:r>
            <w:r>
              <w:rPr>
                <w:sz w:val="24"/>
              </w:rPr>
              <w:t>managed</w:t>
            </w:r>
            <w:r>
              <w:rPr>
                <w:spacing w:val="-3"/>
                <w:sz w:val="24"/>
              </w:rPr>
              <w:t> </w:t>
            </w:r>
            <w:r>
              <w:rPr>
                <w:sz w:val="24"/>
              </w:rPr>
              <w:t>care</w:t>
            </w:r>
            <w:r>
              <w:rPr>
                <w:spacing w:val="-2"/>
                <w:sz w:val="24"/>
              </w:rPr>
              <w:t> </w:t>
            </w:r>
            <w:r>
              <w:rPr>
                <w:sz w:val="24"/>
              </w:rPr>
              <w:t>pass-through</w:t>
            </w:r>
            <w:r>
              <w:rPr>
                <w:spacing w:val="-3"/>
                <w:sz w:val="24"/>
              </w:rPr>
              <w:t> </w:t>
            </w:r>
            <w:r>
              <w:rPr>
                <w:sz w:val="24"/>
              </w:rPr>
              <w:t>payments</w:t>
            </w:r>
            <w:r>
              <w:rPr>
                <w:spacing w:val="-3"/>
                <w:sz w:val="24"/>
              </w:rPr>
              <w:t> </w:t>
            </w:r>
            <w:r>
              <w:rPr>
                <w:sz w:val="24"/>
              </w:rPr>
              <w:t>under</w:t>
            </w:r>
            <w:r>
              <w:rPr>
                <w:spacing w:val="-4"/>
                <w:sz w:val="24"/>
              </w:rPr>
              <w:t> </w:t>
            </w:r>
            <w:r>
              <w:rPr>
                <w:sz w:val="24"/>
              </w:rPr>
              <w:t>42</w:t>
            </w:r>
            <w:r>
              <w:rPr>
                <w:spacing w:val="-3"/>
                <w:sz w:val="24"/>
              </w:rPr>
              <w:t> </w:t>
            </w:r>
            <w:r>
              <w:rPr>
                <w:sz w:val="24"/>
              </w:rPr>
              <w:t>CFR</w:t>
            </w:r>
            <w:r>
              <w:rPr>
                <w:spacing w:val="-3"/>
                <w:sz w:val="24"/>
              </w:rPr>
              <w:t> </w:t>
            </w:r>
            <w:r>
              <w:rPr>
                <w:sz w:val="24"/>
              </w:rPr>
              <w:t>§</w:t>
            </w:r>
            <w:r>
              <w:rPr>
                <w:spacing w:val="-3"/>
                <w:sz w:val="24"/>
              </w:rPr>
              <w:t> </w:t>
            </w:r>
            <w:r>
              <w:rPr>
                <w:sz w:val="24"/>
              </w:rPr>
              <w:t>438.6(a)</w:t>
            </w:r>
            <w:r>
              <w:rPr>
                <w:spacing w:val="-4"/>
                <w:sz w:val="24"/>
              </w:rPr>
              <w:t> </w:t>
            </w:r>
            <w:r>
              <w:rPr>
                <w:sz w:val="24"/>
              </w:rPr>
              <w:t>and</w:t>
            </w:r>
            <w:r>
              <w:rPr>
                <w:spacing w:val="-3"/>
                <w:sz w:val="24"/>
              </w:rPr>
              <w:t> </w:t>
            </w:r>
            <w:r>
              <w:rPr>
                <w:sz w:val="24"/>
              </w:rPr>
              <w:t>438.6(d),</w:t>
            </w:r>
            <w:r>
              <w:rPr>
                <w:spacing w:val="-1"/>
                <w:sz w:val="24"/>
              </w:rPr>
              <w:t> </w:t>
            </w:r>
            <w:r>
              <w:rPr>
                <w:sz w:val="24"/>
              </w:rPr>
              <w:t>I</w:t>
            </w:r>
            <w:r>
              <w:rPr>
                <w:spacing w:val="-7"/>
                <w:sz w:val="24"/>
              </w:rPr>
              <w:t> </w:t>
            </w:r>
            <w:r>
              <w:rPr>
                <w:sz w:val="24"/>
              </w:rPr>
              <w:t>attest that at least a two percentage point payment rate increase will be applied to each of the services in each of the three categories with a ratio below 80 percent in both fee-for-service and managed care delivery systems as applicable to the Commonwealth’s Medicaid or demonstration service delivery model.</w:t>
            </w:r>
            <w:r>
              <w:rPr>
                <w:spacing w:val="40"/>
                <w:sz w:val="24"/>
              </w:rPr>
              <w:t> </w:t>
            </w:r>
            <w:r>
              <w:rPr>
                <w:sz w:val="24"/>
              </w:rPr>
              <w:t>Such provider payment increases for each service will be effective beginning on [</w:t>
            </w:r>
            <w:r>
              <w:rPr>
                <w:i/>
                <w:sz w:val="24"/>
              </w:rPr>
              <w:t>insert date</w:t>
            </w:r>
            <w:r>
              <w:rPr>
                <w:sz w:val="24"/>
              </w:rPr>
              <w:t>] and will not be lower than the highest rate for that service code in DY 28 plus a two percentage point increase relative to the rate for the same or similar Medicare billing code through at least [</w:t>
            </w:r>
            <w:r>
              <w:rPr>
                <w:i/>
                <w:sz w:val="24"/>
              </w:rPr>
              <w:t>insert date</w:t>
            </w:r>
            <w:r>
              <w:rPr>
                <w:sz w:val="24"/>
              </w:rPr>
              <w:t>].</w:t>
            </w:r>
          </w:p>
          <w:p>
            <w:pPr>
              <w:pStyle w:val="TableParagraph"/>
              <w:spacing w:before="10"/>
              <w:rPr>
                <w:sz w:val="23"/>
              </w:rPr>
            </w:pPr>
          </w:p>
          <w:p>
            <w:pPr>
              <w:pStyle w:val="TableParagraph"/>
              <w:ind w:left="107" w:right="168"/>
              <w:rPr>
                <w:sz w:val="24"/>
              </w:rPr>
            </w:pPr>
            <w:r>
              <w:rPr>
                <w:sz w:val="24"/>
              </w:rPr>
              <w:t>For the purpose of deriving the Medicaid to Medicare provider payment rate ratio, and to apply the rate increase as may be required under a fee-for-service delivery system or under managed care delivery system, as applicable, the Commonwealth agrees to define primary care, behavioral health and obstetric care, and to identify applicable service codes and providers</w:t>
            </w:r>
            <w:r>
              <w:rPr>
                <w:spacing w:val="-3"/>
                <w:sz w:val="24"/>
              </w:rPr>
              <w:t> </w:t>
            </w:r>
            <w:r>
              <w:rPr>
                <w:sz w:val="24"/>
              </w:rPr>
              <w:t>types</w:t>
            </w:r>
            <w:r>
              <w:rPr>
                <w:spacing w:val="-3"/>
                <w:sz w:val="24"/>
              </w:rPr>
              <w:t> </w:t>
            </w:r>
            <w:r>
              <w:rPr>
                <w:sz w:val="24"/>
              </w:rPr>
              <w:t>for</w:t>
            </w:r>
            <w:r>
              <w:rPr>
                <w:spacing w:val="-2"/>
                <w:sz w:val="24"/>
              </w:rPr>
              <w:t> </w:t>
            </w:r>
            <w:r>
              <w:rPr>
                <w:sz w:val="24"/>
              </w:rPr>
              <w:t>each</w:t>
            </w:r>
            <w:r>
              <w:rPr>
                <w:spacing w:val="-1"/>
                <w:sz w:val="24"/>
              </w:rPr>
              <w:t> </w:t>
            </w:r>
            <w:r>
              <w:rPr>
                <w:sz w:val="24"/>
              </w:rPr>
              <w:t>of</w:t>
            </w:r>
            <w:r>
              <w:rPr>
                <w:spacing w:val="-4"/>
                <w:sz w:val="24"/>
              </w:rPr>
              <w:t> </w:t>
            </w:r>
            <w:r>
              <w:rPr>
                <w:sz w:val="24"/>
              </w:rPr>
              <w:t>these</w:t>
            </w:r>
            <w:r>
              <w:rPr>
                <w:spacing w:val="-4"/>
                <w:sz w:val="24"/>
              </w:rPr>
              <w:t> </w:t>
            </w:r>
            <w:r>
              <w:rPr>
                <w:sz w:val="24"/>
              </w:rPr>
              <w:t>service</w:t>
            </w:r>
            <w:r>
              <w:rPr>
                <w:spacing w:val="-4"/>
                <w:sz w:val="24"/>
              </w:rPr>
              <w:t> </w:t>
            </w:r>
            <w:r>
              <w:rPr>
                <w:sz w:val="24"/>
              </w:rPr>
              <w:t>categories</w:t>
            </w:r>
            <w:r>
              <w:rPr>
                <w:spacing w:val="-3"/>
                <w:sz w:val="24"/>
              </w:rPr>
              <w:t> </w:t>
            </w:r>
            <w:r>
              <w:rPr>
                <w:sz w:val="24"/>
              </w:rPr>
              <w:t>in</w:t>
            </w:r>
            <w:r>
              <w:rPr>
                <w:spacing w:val="-3"/>
                <w:sz w:val="24"/>
              </w:rPr>
              <w:t> </w:t>
            </w:r>
            <w:r>
              <w:rPr>
                <w:sz w:val="24"/>
              </w:rPr>
              <w:t>a</w:t>
            </w:r>
            <w:r>
              <w:rPr>
                <w:spacing w:val="-4"/>
                <w:sz w:val="24"/>
              </w:rPr>
              <w:t> </w:t>
            </w:r>
            <w:r>
              <w:rPr>
                <w:sz w:val="24"/>
              </w:rPr>
              <w:t>manner</w:t>
            </w:r>
            <w:r>
              <w:rPr>
                <w:spacing w:val="-4"/>
                <w:sz w:val="24"/>
              </w:rPr>
              <w:t> </w:t>
            </w:r>
            <w:r>
              <w:rPr>
                <w:sz w:val="24"/>
              </w:rPr>
              <w:t>consistent</w:t>
            </w:r>
            <w:r>
              <w:rPr>
                <w:spacing w:val="-1"/>
                <w:sz w:val="24"/>
              </w:rPr>
              <w:t> </w:t>
            </w:r>
            <w:r>
              <w:rPr>
                <w:sz w:val="24"/>
              </w:rPr>
              <w:t>with</w:t>
            </w:r>
            <w:r>
              <w:rPr>
                <w:spacing w:val="-3"/>
                <w:sz w:val="24"/>
              </w:rPr>
              <w:t> </w:t>
            </w:r>
            <w:r>
              <w:rPr>
                <w:sz w:val="24"/>
              </w:rPr>
              <w:t>other</w:t>
            </w:r>
            <w:r>
              <w:rPr>
                <w:spacing w:val="-4"/>
                <w:sz w:val="24"/>
              </w:rPr>
              <w:t> </w:t>
            </w:r>
            <w:r>
              <w:rPr>
                <w:sz w:val="24"/>
              </w:rPr>
              <w:t>state</w:t>
            </w:r>
            <w:r>
              <w:rPr>
                <w:spacing w:val="-4"/>
                <w:sz w:val="24"/>
              </w:rPr>
              <w:t> </w:t>
            </w:r>
            <w:r>
              <w:rPr>
                <w:sz w:val="24"/>
              </w:rPr>
              <w:t>and federal Medicaid program requirements, except that inpatient behavioral health services may be excluded from the Commonwealth’s definition.</w:t>
            </w:r>
          </w:p>
          <w:p>
            <w:pPr>
              <w:pStyle w:val="TableParagraph"/>
              <w:rPr>
                <w:sz w:val="24"/>
              </w:rPr>
            </w:pPr>
          </w:p>
          <w:p>
            <w:pPr>
              <w:pStyle w:val="TableParagraph"/>
              <w:ind w:left="107" w:right="446"/>
              <w:jc w:val="both"/>
              <w:rPr>
                <w:sz w:val="24"/>
              </w:rPr>
            </w:pPr>
            <w:r>
              <w:rPr>
                <w:sz w:val="24"/>
              </w:rPr>
              <w:t>The</w:t>
            </w:r>
            <w:r>
              <w:rPr>
                <w:spacing w:val="-3"/>
                <w:sz w:val="24"/>
              </w:rPr>
              <w:t> </w:t>
            </w:r>
            <w:r>
              <w:rPr>
                <w:sz w:val="24"/>
              </w:rPr>
              <w:t>services</w:t>
            </w:r>
            <w:r>
              <w:rPr>
                <w:spacing w:val="-2"/>
                <w:sz w:val="24"/>
              </w:rPr>
              <w:t> </w:t>
            </w:r>
            <w:r>
              <w:rPr>
                <w:sz w:val="24"/>
              </w:rPr>
              <w:t>that</w:t>
            </w:r>
            <w:r>
              <w:rPr>
                <w:spacing w:val="-2"/>
                <w:sz w:val="24"/>
              </w:rPr>
              <w:t> </w:t>
            </w:r>
            <w:r>
              <w:rPr>
                <w:sz w:val="24"/>
              </w:rPr>
              <w:t>comprise</w:t>
            </w:r>
            <w:r>
              <w:rPr>
                <w:spacing w:val="-3"/>
                <w:sz w:val="24"/>
              </w:rPr>
              <w:t> </w:t>
            </w:r>
            <w:r>
              <w:rPr>
                <w:sz w:val="24"/>
              </w:rPr>
              <w:t>each</w:t>
            </w:r>
            <w:r>
              <w:rPr>
                <w:spacing w:val="-2"/>
                <w:sz w:val="24"/>
              </w:rPr>
              <w:t> </w:t>
            </w:r>
            <w:r>
              <w:rPr>
                <w:sz w:val="24"/>
              </w:rPr>
              <w:t>service</w:t>
            </w:r>
            <w:r>
              <w:rPr>
                <w:spacing w:val="-3"/>
                <w:sz w:val="24"/>
              </w:rPr>
              <w:t> </w:t>
            </w:r>
            <w:r>
              <w:rPr>
                <w:sz w:val="24"/>
              </w:rPr>
              <w:t>category</w:t>
            </w:r>
            <w:r>
              <w:rPr>
                <w:spacing w:val="-7"/>
                <w:sz w:val="24"/>
              </w:rPr>
              <w:t> </w:t>
            </w:r>
            <w:r>
              <w:rPr>
                <w:sz w:val="24"/>
              </w:rPr>
              <w:t>to</w:t>
            </w:r>
            <w:r>
              <w:rPr>
                <w:spacing w:val="-3"/>
                <w:sz w:val="24"/>
              </w:rPr>
              <w:t> </w:t>
            </w:r>
            <w:r>
              <w:rPr>
                <w:sz w:val="24"/>
              </w:rPr>
              <w:t>which</w:t>
            </w:r>
            <w:r>
              <w:rPr>
                <w:spacing w:val="-2"/>
                <w:sz w:val="24"/>
              </w:rPr>
              <w:t> </w:t>
            </w:r>
            <w:r>
              <w:rPr>
                <w:sz w:val="24"/>
              </w:rPr>
              <w:t>the</w:t>
            </w:r>
            <w:r>
              <w:rPr>
                <w:spacing w:val="-3"/>
                <w:sz w:val="24"/>
              </w:rPr>
              <w:t> </w:t>
            </w:r>
            <w:r>
              <w:rPr>
                <w:sz w:val="24"/>
              </w:rPr>
              <w:t>rate</w:t>
            </w:r>
            <w:r>
              <w:rPr>
                <w:spacing w:val="-3"/>
                <w:sz w:val="24"/>
              </w:rPr>
              <w:t> </w:t>
            </w:r>
            <w:r>
              <w:rPr>
                <w:sz w:val="24"/>
              </w:rPr>
              <w:t>increase</w:t>
            </w:r>
            <w:r>
              <w:rPr>
                <w:spacing w:val="-1"/>
                <w:sz w:val="24"/>
              </w:rPr>
              <w:t> </w:t>
            </w:r>
            <w:r>
              <w:rPr>
                <w:sz w:val="24"/>
              </w:rPr>
              <w:t>must</w:t>
            </w:r>
            <w:r>
              <w:rPr>
                <w:spacing w:val="-2"/>
                <w:sz w:val="24"/>
              </w:rPr>
              <w:t> </w:t>
            </w:r>
            <w:r>
              <w:rPr>
                <w:sz w:val="24"/>
              </w:rPr>
              <w:t>be</w:t>
            </w:r>
            <w:r>
              <w:rPr>
                <w:spacing w:val="-3"/>
                <w:sz w:val="24"/>
              </w:rPr>
              <w:t> </w:t>
            </w:r>
            <w:r>
              <w:rPr>
                <w:sz w:val="24"/>
              </w:rPr>
              <w:t>applied will</w:t>
            </w:r>
            <w:r>
              <w:rPr>
                <w:spacing w:val="-1"/>
                <w:sz w:val="24"/>
              </w:rPr>
              <w:t> </w:t>
            </w:r>
            <w:r>
              <w:rPr>
                <w:sz w:val="24"/>
              </w:rPr>
              <w:t>include</w:t>
            </w:r>
            <w:r>
              <w:rPr>
                <w:spacing w:val="-2"/>
                <w:sz w:val="24"/>
              </w:rPr>
              <w:t> </w:t>
            </w:r>
            <w:r>
              <w:rPr>
                <w:sz w:val="24"/>
              </w:rPr>
              <w:t>all</w:t>
            </w:r>
            <w:r>
              <w:rPr>
                <w:spacing w:val="-1"/>
                <w:sz w:val="24"/>
              </w:rPr>
              <w:t> </w:t>
            </w:r>
            <w:r>
              <w:rPr>
                <w:sz w:val="24"/>
              </w:rPr>
              <w:t>service</w:t>
            </w:r>
            <w:r>
              <w:rPr>
                <w:spacing w:val="-2"/>
                <w:sz w:val="24"/>
              </w:rPr>
              <w:t> </w:t>
            </w:r>
            <w:r>
              <w:rPr>
                <w:sz w:val="24"/>
              </w:rPr>
              <w:t>codes</w:t>
            </w:r>
            <w:r>
              <w:rPr>
                <w:spacing w:val="-1"/>
                <w:sz w:val="24"/>
              </w:rPr>
              <w:t> </w:t>
            </w:r>
            <w:r>
              <w:rPr>
                <w:sz w:val="24"/>
              </w:rPr>
              <w:t>that</w:t>
            </w:r>
            <w:r>
              <w:rPr>
                <w:spacing w:val="-1"/>
                <w:sz w:val="24"/>
              </w:rPr>
              <w:t> </w:t>
            </w:r>
            <w:r>
              <w:rPr>
                <w:sz w:val="24"/>
              </w:rPr>
              <w:t>fit</w:t>
            </w:r>
            <w:r>
              <w:rPr>
                <w:spacing w:val="-1"/>
                <w:sz w:val="24"/>
              </w:rPr>
              <w:t> </w:t>
            </w:r>
            <w:r>
              <w:rPr>
                <w:sz w:val="24"/>
              </w:rPr>
              <w:t>under</w:t>
            </w:r>
            <w:r>
              <w:rPr>
                <w:spacing w:val="-2"/>
                <w:sz w:val="24"/>
              </w:rPr>
              <w:t> </w:t>
            </w:r>
            <w:r>
              <w:rPr>
                <w:sz w:val="24"/>
              </w:rPr>
              <w:t>the</w:t>
            </w:r>
            <w:r>
              <w:rPr>
                <w:spacing w:val="-2"/>
                <w:sz w:val="24"/>
              </w:rPr>
              <w:t> </w:t>
            </w:r>
            <w:r>
              <w:rPr>
                <w:sz w:val="24"/>
              </w:rPr>
              <w:t>Commonwealth’s</w:t>
            </w:r>
            <w:r>
              <w:rPr>
                <w:spacing w:val="-1"/>
                <w:sz w:val="24"/>
              </w:rPr>
              <w:t> </w:t>
            </w:r>
            <w:r>
              <w:rPr>
                <w:sz w:val="24"/>
              </w:rPr>
              <w:t>definition</w:t>
            </w:r>
            <w:r>
              <w:rPr>
                <w:spacing w:val="-1"/>
                <w:sz w:val="24"/>
              </w:rPr>
              <w:t> </w:t>
            </w:r>
            <w:r>
              <w:rPr>
                <w:sz w:val="24"/>
              </w:rPr>
              <w:t>of</w:t>
            </w:r>
            <w:r>
              <w:rPr>
                <w:spacing w:val="-2"/>
                <w:sz w:val="24"/>
              </w:rPr>
              <w:t> </w:t>
            </w:r>
            <w:r>
              <w:rPr>
                <w:sz w:val="24"/>
              </w:rPr>
              <w:t>the</w:t>
            </w:r>
            <w:r>
              <w:rPr>
                <w:spacing w:val="-2"/>
                <w:sz w:val="24"/>
              </w:rPr>
              <w:t> </w:t>
            </w:r>
            <w:r>
              <w:rPr>
                <w:sz w:val="24"/>
              </w:rPr>
              <w:t>category, except the behavioral health codes do not have to include inpatient care services.</w:t>
            </w:r>
          </w:p>
          <w:p>
            <w:pPr>
              <w:pStyle w:val="TableParagraph"/>
              <w:rPr>
                <w:sz w:val="24"/>
              </w:rPr>
            </w:pPr>
          </w:p>
          <w:p>
            <w:pPr>
              <w:pStyle w:val="TableParagraph"/>
              <w:ind w:left="107" w:right="61"/>
              <w:rPr>
                <w:sz w:val="24"/>
              </w:rPr>
            </w:pPr>
            <w:r>
              <w:rPr>
                <w:sz w:val="24"/>
              </w:rPr>
              <w:t>For provider payment rates paid under managed care delivery system, the data and methodology</w:t>
            </w:r>
            <w:r>
              <w:rPr>
                <w:spacing w:val="-7"/>
                <w:sz w:val="24"/>
              </w:rPr>
              <w:t> </w:t>
            </w:r>
            <w:r>
              <w:rPr>
                <w:sz w:val="24"/>
              </w:rPr>
              <w:t>for</w:t>
            </w:r>
            <w:r>
              <w:rPr>
                <w:spacing w:val="-1"/>
                <w:sz w:val="24"/>
              </w:rPr>
              <w:t> </w:t>
            </w:r>
            <w:r>
              <w:rPr>
                <w:sz w:val="24"/>
              </w:rPr>
              <w:t>any</w:t>
            </w:r>
            <w:r>
              <w:rPr>
                <w:spacing w:val="-7"/>
                <w:sz w:val="24"/>
              </w:rPr>
              <w:t> </w:t>
            </w:r>
            <w:r>
              <w:rPr>
                <w:sz w:val="24"/>
              </w:rPr>
              <w:t>one</w:t>
            </w:r>
            <w:r>
              <w:rPr>
                <w:spacing w:val="-1"/>
                <w:sz w:val="24"/>
              </w:rPr>
              <w:t> </w:t>
            </w:r>
            <w:r>
              <w:rPr>
                <w:sz w:val="24"/>
              </w:rPr>
              <w:t>of</w:t>
            </w:r>
            <w:r>
              <w:rPr>
                <w:spacing w:val="-3"/>
                <w:sz w:val="24"/>
              </w:rPr>
              <w:t> </w:t>
            </w:r>
            <w:r>
              <w:rPr>
                <w:sz w:val="24"/>
              </w:rPr>
              <w:t>the</w:t>
            </w:r>
            <w:r>
              <w:rPr>
                <w:spacing w:val="-3"/>
                <w:sz w:val="24"/>
              </w:rPr>
              <w:t> </w:t>
            </w:r>
            <w:r>
              <w:rPr>
                <w:sz w:val="24"/>
              </w:rPr>
              <w:t>service</w:t>
            </w:r>
            <w:r>
              <w:rPr>
                <w:spacing w:val="-3"/>
                <w:sz w:val="24"/>
              </w:rPr>
              <w:t> </w:t>
            </w:r>
            <w:r>
              <w:rPr>
                <w:sz w:val="24"/>
              </w:rPr>
              <w:t>categories as</w:t>
            </w:r>
            <w:r>
              <w:rPr>
                <w:spacing w:val="-2"/>
                <w:sz w:val="24"/>
              </w:rPr>
              <w:t> </w:t>
            </w:r>
            <w:r>
              <w:rPr>
                <w:sz w:val="24"/>
              </w:rPr>
              <w:t>provided</w:t>
            </w:r>
            <w:r>
              <w:rPr>
                <w:spacing w:val="-2"/>
                <w:sz w:val="24"/>
              </w:rPr>
              <w:t> </w:t>
            </w:r>
            <w:r>
              <w:rPr>
                <w:sz w:val="24"/>
              </w:rPr>
              <w:t>in</w:t>
            </w:r>
            <w:r>
              <w:rPr>
                <w:spacing w:val="-2"/>
                <w:sz w:val="24"/>
              </w:rPr>
              <w:t> </w:t>
            </w:r>
            <w:r>
              <w:rPr>
                <w:sz w:val="24"/>
              </w:rPr>
              <w:t>STC</w:t>
            </w:r>
            <w:r>
              <w:rPr>
                <w:spacing w:val="-2"/>
                <w:sz w:val="24"/>
              </w:rPr>
              <w:t> </w:t>
            </w:r>
            <w:r>
              <w:rPr>
                <w:sz w:val="24"/>
              </w:rPr>
              <w:t>21.6(b)</w:t>
            </w:r>
            <w:r>
              <w:rPr>
                <w:spacing w:val="-3"/>
                <w:sz w:val="24"/>
              </w:rPr>
              <w:t> </w:t>
            </w:r>
            <w:r>
              <w:rPr>
                <w:sz w:val="24"/>
              </w:rPr>
              <w:t>will</w:t>
            </w:r>
            <w:r>
              <w:rPr>
                <w:spacing w:val="-2"/>
                <w:sz w:val="24"/>
              </w:rPr>
              <w:t> </w:t>
            </w:r>
            <w:r>
              <w:rPr>
                <w:sz w:val="24"/>
              </w:rPr>
              <w:t>be</w:t>
            </w:r>
            <w:r>
              <w:rPr>
                <w:spacing w:val="-3"/>
                <w:sz w:val="24"/>
              </w:rPr>
              <w:t> </w:t>
            </w:r>
            <w:r>
              <w:rPr>
                <w:sz w:val="24"/>
              </w:rPr>
              <w:t>based</w:t>
            </w:r>
            <w:r>
              <w:rPr>
                <w:spacing w:val="-2"/>
                <w:sz w:val="24"/>
              </w:rPr>
              <w:t> </w:t>
            </w:r>
            <w:r>
              <w:rPr>
                <w:sz w:val="24"/>
              </w:rPr>
              <w:t>on Medicaid managed care provider payment rate and utilization data.</w:t>
            </w:r>
          </w:p>
          <w:p>
            <w:pPr>
              <w:pStyle w:val="TableParagraph"/>
              <w:rPr>
                <w:sz w:val="24"/>
              </w:rPr>
            </w:pPr>
          </w:p>
          <w:p>
            <w:pPr>
              <w:pStyle w:val="TableParagraph"/>
              <w:ind w:left="107"/>
              <w:jc w:val="both"/>
              <w:rPr>
                <w:sz w:val="24"/>
              </w:rPr>
            </w:pPr>
            <w:r>
              <w:rPr>
                <w:sz w:val="24"/>
              </w:rPr>
              <w:t>[</w:t>
            </w:r>
            <w:r>
              <w:rPr>
                <w:i/>
                <w:sz w:val="24"/>
              </w:rPr>
              <w:t>Select</w:t>
            </w:r>
            <w:r>
              <w:rPr>
                <w:i/>
                <w:spacing w:val="-4"/>
                <w:sz w:val="24"/>
              </w:rPr>
              <w:t> </w:t>
            </w:r>
            <w:r>
              <w:rPr>
                <w:i/>
                <w:sz w:val="24"/>
              </w:rPr>
              <w:t>the</w:t>
            </w:r>
            <w:r>
              <w:rPr>
                <w:i/>
                <w:spacing w:val="-2"/>
                <w:sz w:val="24"/>
              </w:rPr>
              <w:t> </w:t>
            </w:r>
            <w:r>
              <w:rPr>
                <w:i/>
                <w:sz w:val="24"/>
              </w:rPr>
              <w:t>applicable</w:t>
            </w:r>
            <w:r>
              <w:rPr>
                <w:i/>
                <w:spacing w:val="-2"/>
                <w:sz w:val="24"/>
              </w:rPr>
              <w:t> </w:t>
            </w:r>
            <w:r>
              <w:rPr>
                <w:i/>
                <w:sz w:val="24"/>
              </w:rPr>
              <w:t>effective</w:t>
            </w:r>
            <w:r>
              <w:rPr>
                <w:i/>
                <w:spacing w:val="-2"/>
                <w:sz w:val="24"/>
              </w:rPr>
              <w:t> </w:t>
            </w:r>
            <w:r>
              <w:rPr>
                <w:i/>
                <w:sz w:val="24"/>
              </w:rPr>
              <w:t>date,</w:t>
            </w:r>
            <w:r>
              <w:rPr>
                <w:i/>
                <w:spacing w:val="1"/>
                <w:sz w:val="24"/>
              </w:rPr>
              <w:t> </w:t>
            </w:r>
            <w:r>
              <w:rPr>
                <w:i/>
                <w:sz w:val="24"/>
              </w:rPr>
              <w:t>must</w:t>
            </w:r>
            <w:r>
              <w:rPr>
                <w:i/>
                <w:spacing w:val="-1"/>
                <w:sz w:val="24"/>
              </w:rPr>
              <w:t> </w:t>
            </w:r>
            <w:r>
              <w:rPr>
                <w:i/>
                <w:sz w:val="24"/>
              </w:rPr>
              <w:t>check</w:t>
            </w:r>
            <w:r>
              <w:rPr>
                <w:i/>
                <w:spacing w:val="-2"/>
                <w:sz w:val="24"/>
              </w:rPr>
              <w:t> </w:t>
            </w:r>
            <w:r>
              <w:rPr>
                <w:i/>
                <w:sz w:val="24"/>
              </w:rPr>
              <w:t>either</w:t>
            </w:r>
            <w:r>
              <w:rPr>
                <w:i/>
                <w:spacing w:val="-1"/>
                <w:sz w:val="24"/>
              </w:rPr>
              <w:t> </w:t>
            </w:r>
            <w:r>
              <w:rPr>
                <w:i/>
                <w:sz w:val="24"/>
              </w:rPr>
              <w:t>a.</w:t>
            </w:r>
            <w:r>
              <w:rPr>
                <w:i/>
                <w:spacing w:val="-1"/>
                <w:sz w:val="24"/>
              </w:rPr>
              <w:t> </w:t>
            </w:r>
            <w:r>
              <w:rPr>
                <w:i/>
                <w:sz w:val="24"/>
              </w:rPr>
              <w:t>or</w:t>
            </w:r>
            <w:r>
              <w:rPr>
                <w:i/>
                <w:spacing w:val="-1"/>
                <w:sz w:val="24"/>
              </w:rPr>
              <w:t> </w:t>
            </w:r>
            <w:r>
              <w:rPr>
                <w:i/>
                <w:sz w:val="24"/>
              </w:rPr>
              <w:t>b</w:t>
            </w:r>
            <w:r>
              <w:rPr>
                <w:sz w:val="24"/>
              </w:rPr>
              <w:t>.</w:t>
            </w:r>
            <w:r>
              <w:rPr>
                <w:spacing w:val="-1"/>
                <w:sz w:val="24"/>
              </w:rPr>
              <w:t> </w:t>
            </w:r>
            <w:r>
              <w:rPr>
                <w:i/>
                <w:spacing w:val="-2"/>
                <w:sz w:val="24"/>
              </w:rPr>
              <w:t>below</w:t>
            </w:r>
            <w:r>
              <w:rPr>
                <w:spacing w:val="-2"/>
                <w:sz w:val="24"/>
              </w:rPr>
              <w:t>]</w:t>
            </w:r>
          </w:p>
          <w:p>
            <w:pPr>
              <w:pStyle w:val="TableParagraph"/>
              <w:numPr>
                <w:ilvl w:val="0"/>
                <w:numId w:val="48"/>
              </w:numPr>
              <w:tabs>
                <w:tab w:pos="347" w:val="left" w:leader="none"/>
              </w:tabs>
              <w:spacing w:line="240" w:lineRule="auto" w:before="4" w:after="0"/>
              <w:ind w:left="107" w:right="274" w:firstLine="0"/>
              <w:jc w:val="both"/>
              <w:rPr>
                <w:sz w:val="24"/>
              </w:rPr>
            </w:pPr>
            <w:r>
              <w:rPr>
                <w:sz w:val="24"/>
              </w:rPr>
              <w:t>a.</w:t>
            </w:r>
            <w:r>
              <w:rPr>
                <w:spacing w:val="-2"/>
                <w:sz w:val="24"/>
              </w:rPr>
              <w:t> </w:t>
            </w:r>
            <w:r>
              <w:rPr>
                <w:sz w:val="24"/>
              </w:rPr>
              <w:t>The</w:t>
            </w:r>
            <w:r>
              <w:rPr>
                <w:spacing w:val="-3"/>
                <w:sz w:val="24"/>
              </w:rPr>
              <w:t> </w:t>
            </w:r>
            <w:r>
              <w:rPr>
                <w:sz w:val="24"/>
              </w:rPr>
              <w:t>effective</w:t>
            </w:r>
            <w:r>
              <w:rPr>
                <w:spacing w:val="-3"/>
                <w:sz w:val="24"/>
              </w:rPr>
              <w:t> </w:t>
            </w:r>
            <w:r>
              <w:rPr>
                <w:sz w:val="24"/>
              </w:rPr>
              <w:t>date</w:t>
            </w:r>
            <w:r>
              <w:rPr>
                <w:spacing w:val="-3"/>
                <w:sz w:val="24"/>
              </w:rPr>
              <w:t> </w:t>
            </w:r>
            <w:r>
              <w:rPr>
                <w:sz w:val="24"/>
              </w:rPr>
              <w:t>of</w:t>
            </w:r>
            <w:r>
              <w:rPr>
                <w:spacing w:val="-3"/>
                <w:sz w:val="24"/>
              </w:rPr>
              <w:t> </w:t>
            </w:r>
            <w:r>
              <w:rPr>
                <w:sz w:val="24"/>
              </w:rPr>
              <w:t>the</w:t>
            </w:r>
            <w:r>
              <w:rPr>
                <w:spacing w:val="-3"/>
                <w:sz w:val="24"/>
              </w:rPr>
              <w:t> </w:t>
            </w:r>
            <w:r>
              <w:rPr>
                <w:sz w:val="24"/>
              </w:rPr>
              <w:t>rate</w:t>
            </w:r>
            <w:r>
              <w:rPr>
                <w:spacing w:val="-3"/>
                <w:sz w:val="24"/>
              </w:rPr>
              <w:t> </w:t>
            </w:r>
            <w:r>
              <w:rPr>
                <w:sz w:val="24"/>
              </w:rPr>
              <w:t>increases</w:t>
            </w:r>
            <w:r>
              <w:rPr>
                <w:spacing w:val="-2"/>
                <w:sz w:val="24"/>
              </w:rPr>
              <w:t> </w:t>
            </w:r>
            <w:r>
              <w:rPr>
                <w:sz w:val="24"/>
              </w:rPr>
              <w:t>is</w:t>
            </w:r>
            <w:r>
              <w:rPr>
                <w:spacing w:val="-2"/>
                <w:sz w:val="24"/>
              </w:rPr>
              <w:t> </w:t>
            </w:r>
            <w:r>
              <w:rPr>
                <w:sz w:val="24"/>
              </w:rPr>
              <w:t>the</w:t>
            </w:r>
            <w:r>
              <w:rPr>
                <w:spacing w:val="-1"/>
                <w:sz w:val="24"/>
              </w:rPr>
              <w:t> </w:t>
            </w:r>
            <w:r>
              <w:rPr>
                <w:sz w:val="24"/>
              </w:rPr>
              <w:t>first</w:t>
            </w:r>
            <w:r>
              <w:rPr>
                <w:spacing w:val="-2"/>
                <w:sz w:val="24"/>
              </w:rPr>
              <w:t> </w:t>
            </w:r>
            <w:r>
              <w:rPr>
                <w:sz w:val="24"/>
              </w:rPr>
              <w:t>day</w:t>
            </w:r>
            <w:r>
              <w:rPr>
                <w:spacing w:val="-5"/>
                <w:sz w:val="24"/>
              </w:rPr>
              <w:t> </w:t>
            </w:r>
            <w:r>
              <w:rPr>
                <w:sz w:val="24"/>
              </w:rPr>
              <w:t>of</w:t>
            </w:r>
            <w:r>
              <w:rPr>
                <w:spacing w:val="-3"/>
                <w:sz w:val="24"/>
              </w:rPr>
              <w:t> </w:t>
            </w:r>
            <w:r>
              <w:rPr>
                <w:sz w:val="24"/>
              </w:rPr>
              <w:t>DY</w:t>
            </w:r>
            <w:r>
              <w:rPr>
                <w:spacing w:val="-3"/>
                <w:sz w:val="24"/>
              </w:rPr>
              <w:t> </w:t>
            </w:r>
            <w:r>
              <w:rPr>
                <w:sz w:val="24"/>
              </w:rPr>
              <w:t>[</w:t>
            </w:r>
            <w:r>
              <w:rPr>
                <w:i/>
                <w:sz w:val="24"/>
              </w:rPr>
              <w:t>3,</w:t>
            </w:r>
            <w:r>
              <w:rPr>
                <w:i/>
                <w:spacing w:val="-2"/>
                <w:sz w:val="24"/>
              </w:rPr>
              <w:t> </w:t>
            </w:r>
            <w:r>
              <w:rPr>
                <w:i/>
                <w:sz w:val="24"/>
              </w:rPr>
              <w:t>provide</w:t>
            </w:r>
            <w:r>
              <w:rPr>
                <w:i/>
                <w:spacing w:val="-3"/>
                <w:sz w:val="24"/>
              </w:rPr>
              <w:t> </w:t>
            </w:r>
            <w:r>
              <w:rPr>
                <w:i/>
                <w:sz w:val="24"/>
              </w:rPr>
              <w:t>the</w:t>
            </w:r>
            <w:r>
              <w:rPr>
                <w:i/>
                <w:spacing w:val="-3"/>
                <w:sz w:val="24"/>
              </w:rPr>
              <w:t> </w:t>
            </w:r>
            <w:r>
              <w:rPr>
                <w:i/>
                <w:sz w:val="24"/>
              </w:rPr>
              <w:t>actual</w:t>
            </w:r>
            <w:r>
              <w:rPr>
                <w:i/>
                <w:spacing w:val="-2"/>
                <w:sz w:val="24"/>
              </w:rPr>
              <w:t> </w:t>
            </w:r>
            <w:r>
              <w:rPr>
                <w:i/>
                <w:sz w:val="24"/>
              </w:rPr>
              <w:t>year</w:t>
            </w:r>
            <w:r>
              <w:rPr>
                <w:sz w:val="24"/>
              </w:rPr>
              <w:t>] and will be at least sustained, if not higher, through DY [</w:t>
            </w:r>
            <w:r>
              <w:rPr>
                <w:i/>
                <w:sz w:val="24"/>
              </w:rPr>
              <w:t>5, provide the actual year</w:t>
            </w:r>
            <w:r>
              <w:rPr>
                <w:sz w:val="24"/>
              </w:rPr>
              <w:t>]</w:t>
            </w:r>
          </w:p>
          <w:p>
            <w:pPr>
              <w:pStyle w:val="TableParagraph"/>
              <w:numPr>
                <w:ilvl w:val="0"/>
                <w:numId w:val="48"/>
              </w:numPr>
              <w:tabs>
                <w:tab w:pos="347" w:val="left" w:leader="none"/>
              </w:tabs>
              <w:spacing w:line="240" w:lineRule="auto" w:before="2" w:after="0"/>
              <w:ind w:left="107" w:right="218" w:firstLine="0"/>
              <w:jc w:val="both"/>
              <w:rPr>
                <w:sz w:val="24"/>
              </w:rPr>
            </w:pPr>
            <w:r>
              <w:rPr>
                <w:sz w:val="24"/>
              </w:rPr>
              <w:t>b. Massachusetts has a biennial legislative session that requires provider payment approval and the timing of that session precludes the Commonwealth from implementing the payment increase</w:t>
            </w:r>
            <w:r>
              <w:rPr>
                <w:spacing w:val="-4"/>
                <w:sz w:val="24"/>
              </w:rPr>
              <w:t> </w:t>
            </w:r>
            <w:r>
              <w:rPr>
                <w:sz w:val="24"/>
              </w:rPr>
              <w:t>on</w:t>
            </w:r>
            <w:r>
              <w:rPr>
                <w:spacing w:val="-1"/>
                <w:sz w:val="24"/>
              </w:rPr>
              <w:t> </w:t>
            </w:r>
            <w:r>
              <w:rPr>
                <w:sz w:val="24"/>
              </w:rPr>
              <w:t>the</w:t>
            </w:r>
            <w:r>
              <w:rPr>
                <w:spacing w:val="-2"/>
                <w:sz w:val="24"/>
              </w:rPr>
              <w:t> </w:t>
            </w:r>
            <w:r>
              <w:rPr>
                <w:sz w:val="24"/>
              </w:rPr>
              <w:t>first</w:t>
            </w:r>
            <w:r>
              <w:rPr>
                <w:spacing w:val="-1"/>
                <w:sz w:val="24"/>
              </w:rPr>
              <w:t> </w:t>
            </w:r>
            <w:r>
              <w:rPr>
                <w:sz w:val="24"/>
              </w:rPr>
              <w:t>day</w:t>
            </w:r>
            <w:r>
              <w:rPr>
                <w:spacing w:val="-4"/>
                <w:sz w:val="24"/>
              </w:rPr>
              <w:t> </w:t>
            </w:r>
            <w:r>
              <w:rPr>
                <w:sz w:val="24"/>
              </w:rPr>
              <w:t>of</w:t>
            </w:r>
            <w:r>
              <w:rPr>
                <w:spacing w:val="-1"/>
                <w:sz w:val="24"/>
              </w:rPr>
              <w:t> </w:t>
            </w:r>
            <w:r>
              <w:rPr>
                <w:sz w:val="24"/>
              </w:rPr>
              <w:t>DY</w:t>
            </w:r>
            <w:r>
              <w:rPr>
                <w:spacing w:val="-2"/>
                <w:sz w:val="24"/>
              </w:rPr>
              <w:t> </w:t>
            </w:r>
            <w:r>
              <w:rPr>
                <w:sz w:val="24"/>
              </w:rPr>
              <w:t>[</w:t>
            </w:r>
            <w:r>
              <w:rPr>
                <w:i/>
                <w:sz w:val="24"/>
              </w:rPr>
              <w:t>3,</w:t>
            </w:r>
            <w:r>
              <w:rPr>
                <w:i/>
                <w:spacing w:val="-1"/>
                <w:sz w:val="24"/>
              </w:rPr>
              <w:t> </w:t>
            </w:r>
            <w:r>
              <w:rPr>
                <w:i/>
                <w:sz w:val="24"/>
              </w:rPr>
              <w:t>provide</w:t>
            </w:r>
            <w:r>
              <w:rPr>
                <w:i/>
                <w:spacing w:val="-2"/>
                <w:sz w:val="24"/>
              </w:rPr>
              <w:t> </w:t>
            </w:r>
            <w:r>
              <w:rPr>
                <w:i/>
                <w:sz w:val="24"/>
              </w:rPr>
              <w:t>the</w:t>
            </w:r>
            <w:r>
              <w:rPr>
                <w:i/>
                <w:spacing w:val="-2"/>
                <w:sz w:val="24"/>
              </w:rPr>
              <w:t> </w:t>
            </w:r>
            <w:r>
              <w:rPr>
                <w:i/>
                <w:sz w:val="24"/>
              </w:rPr>
              <w:t>actual year</w:t>
            </w:r>
            <w:r>
              <w:rPr>
                <w:sz w:val="24"/>
              </w:rPr>
              <w:t>].</w:t>
            </w:r>
            <w:r>
              <w:rPr>
                <w:spacing w:val="58"/>
                <w:sz w:val="24"/>
              </w:rPr>
              <w:t> </w:t>
            </w:r>
            <w:r>
              <w:rPr>
                <w:sz w:val="24"/>
              </w:rPr>
              <w:t>Massachusetts</w:t>
            </w:r>
            <w:r>
              <w:rPr>
                <w:spacing w:val="1"/>
                <w:sz w:val="24"/>
              </w:rPr>
              <w:t> </w:t>
            </w:r>
            <w:r>
              <w:rPr>
                <w:sz w:val="24"/>
              </w:rPr>
              <w:t>will</w:t>
            </w:r>
            <w:r>
              <w:rPr>
                <w:spacing w:val="-1"/>
                <w:sz w:val="24"/>
              </w:rPr>
              <w:t> </w:t>
            </w:r>
            <w:r>
              <w:rPr>
                <w:sz w:val="24"/>
              </w:rPr>
              <w:t>effectuate</w:t>
            </w:r>
            <w:r>
              <w:rPr>
                <w:spacing w:val="-1"/>
                <w:sz w:val="24"/>
              </w:rPr>
              <w:t> </w:t>
            </w:r>
            <w:r>
              <w:rPr>
                <w:spacing w:val="-5"/>
                <w:sz w:val="24"/>
              </w:rPr>
              <w:t>the</w:t>
            </w:r>
          </w:p>
          <w:p>
            <w:pPr>
              <w:pStyle w:val="TableParagraph"/>
              <w:spacing w:line="270" w:lineRule="atLeast"/>
              <w:ind w:left="107" w:right="657"/>
              <w:jc w:val="both"/>
              <w:rPr>
                <w:sz w:val="24"/>
              </w:rPr>
            </w:pPr>
            <w:r>
              <w:rPr>
                <w:sz w:val="24"/>
              </w:rPr>
              <w:t>rate</w:t>
            </w:r>
            <w:r>
              <w:rPr>
                <w:spacing w:val="-4"/>
                <w:sz w:val="24"/>
              </w:rPr>
              <w:t> </w:t>
            </w:r>
            <w:r>
              <w:rPr>
                <w:sz w:val="24"/>
              </w:rPr>
              <w:t>increases</w:t>
            </w:r>
            <w:r>
              <w:rPr>
                <w:spacing w:val="-3"/>
                <w:sz w:val="24"/>
              </w:rPr>
              <w:t> </w:t>
            </w:r>
            <w:r>
              <w:rPr>
                <w:sz w:val="24"/>
              </w:rPr>
              <w:t>no</w:t>
            </w:r>
            <w:r>
              <w:rPr>
                <w:spacing w:val="-3"/>
                <w:sz w:val="24"/>
              </w:rPr>
              <w:t> </w:t>
            </w:r>
            <w:r>
              <w:rPr>
                <w:sz w:val="24"/>
              </w:rPr>
              <w:t>later</w:t>
            </w:r>
            <w:r>
              <w:rPr>
                <w:spacing w:val="-4"/>
                <w:sz w:val="24"/>
              </w:rPr>
              <w:t> </w:t>
            </w:r>
            <w:r>
              <w:rPr>
                <w:sz w:val="24"/>
              </w:rPr>
              <w:t>than</w:t>
            </w:r>
            <w:r>
              <w:rPr>
                <w:spacing w:val="-3"/>
                <w:sz w:val="24"/>
              </w:rPr>
              <w:t> </w:t>
            </w:r>
            <w:r>
              <w:rPr>
                <w:sz w:val="24"/>
              </w:rPr>
              <w:t>the</w:t>
            </w:r>
            <w:r>
              <w:rPr>
                <w:spacing w:val="-4"/>
                <w:sz w:val="24"/>
              </w:rPr>
              <w:t> </w:t>
            </w:r>
            <w:r>
              <w:rPr>
                <w:sz w:val="24"/>
              </w:rPr>
              <w:t>CMS</w:t>
            </w:r>
            <w:r>
              <w:rPr>
                <w:spacing w:val="-3"/>
                <w:sz w:val="24"/>
              </w:rPr>
              <w:t> </w:t>
            </w:r>
            <w:r>
              <w:rPr>
                <w:sz w:val="24"/>
              </w:rPr>
              <w:t>approved</w:t>
            </w:r>
            <w:r>
              <w:rPr>
                <w:spacing w:val="-3"/>
                <w:sz w:val="24"/>
              </w:rPr>
              <w:t> </w:t>
            </w:r>
            <w:r>
              <w:rPr>
                <w:sz w:val="24"/>
              </w:rPr>
              <w:t>date</w:t>
            </w:r>
            <w:r>
              <w:rPr>
                <w:spacing w:val="-2"/>
                <w:sz w:val="24"/>
              </w:rPr>
              <w:t> </w:t>
            </w:r>
            <w:r>
              <w:rPr>
                <w:sz w:val="24"/>
              </w:rPr>
              <w:t>of</w:t>
            </w:r>
            <w:r>
              <w:rPr>
                <w:spacing w:val="-4"/>
                <w:sz w:val="24"/>
              </w:rPr>
              <w:t> </w:t>
            </w:r>
            <w:r>
              <w:rPr>
                <w:sz w:val="24"/>
              </w:rPr>
              <w:t>[</w:t>
            </w:r>
            <w:r>
              <w:rPr>
                <w:i/>
                <w:sz w:val="24"/>
              </w:rPr>
              <w:t>insert</w:t>
            </w:r>
            <w:r>
              <w:rPr>
                <w:i/>
                <w:spacing w:val="-3"/>
                <w:sz w:val="24"/>
              </w:rPr>
              <w:t> </w:t>
            </w:r>
            <w:r>
              <w:rPr>
                <w:i/>
                <w:sz w:val="24"/>
              </w:rPr>
              <w:t>date</w:t>
            </w:r>
            <w:r>
              <w:rPr>
                <w:sz w:val="24"/>
              </w:rPr>
              <w:t>],</w:t>
            </w:r>
            <w:r>
              <w:rPr>
                <w:spacing w:val="-3"/>
                <w:sz w:val="24"/>
              </w:rPr>
              <w:t> </w:t>
            </w:r>
            <w:r>
              <w:rPr>
                <w:sz w:val="24"/>
              </w:rPr>
              <w:t>and</w:t>
            </w:r>
            <w:r>
              <w:rPr>
                <w:spacing w:val="-3"/>
                <w:sz w:val="24"/>
              </w:rPr>
              <w:t> </w:t>
            </w:r>
            <w:r>
              <w:rPr>
                <w:sz w:val="24"/>
              </w:rPr>
              <w:t>will</w:t>
            </w:r>
            <w:r>
              <w:rPr>
                <w:spacing w:val="-5"/>
                <w:sz w:val="24"/>
              </w:rPr>
              <w:t> </w:t>
            </w:r>
            <w:r>
              <w:rPr>
                <w:sz w:val="24"/>
              </w:rPr>
              <w:t>sustain</w:t>
            </w:r>
            <w:r>
              <w:rPr>
                <w:spacing w:val="-3"/>
                <w:sz w:val="24"/>
              </w:rPr>
              <w:t> </w:t>
            </w:r>
            <w:r>
              <w:rPr>
                <w:sz w:val="24"/>
              </w:rPr>
              <w:t>these rates, if not made higher, through DY [</w:t>
            </w:r>
            <w:r>
              <w:rPr>
                <w:i/>
                <w:sz w:val="24"/>
              </w:rPr>
              <w:t>5, provide the accrual year</w:t>
            </w:r>
            <w:r>
              <w:rPr>
                <w:sz w:val="24"/>
              </w:rPr>
              <w:t>].</w:t>
            </w:r>
          </w:p>
        </w:tc>
      </w:tr>
    </w:tbl>
    <w:p>
      <w:pPr>
        <w:spacing w:after="0" w:line="270" w:lineRule="atLeast"/>
        <w:jc w:val="both"/>
        <w:rPr>
          <w:sz w:val="24"/>
        </w:rPr>
        <w:sectPr>
          <w:type w:val="continuous"/>
          <w:pgSz w:w="12240" w:h="15840"/>
          <w:pgMar w:header="0" w:footer="1201" w:top="1420" w:bottom="1400" w:left="220" w:right="340"/>
        </w:sectPr>
      </w:pPr>
    </w:p>
    <w:tbl>
      <w:tblPr>
        <w:tblW w:w="0" w:type="auto"/>
        <w:jc w:val="left"/>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50"/>
      </w:tblGrid>
      <w:tr>
        <w:trPr>
          <w:trHeight w:val="4139" w:hRule="atLeast"/>
        </w:trPr>
        <w:tc>
          <w:tcPr>
            <w:tcW w:w="9350" w:type="dxa"/>
          </w:tcPr>
          <w:p>
            <w:pPr>
              <w:pStyle w:val="TableParagraph"/>
              <w:ind w:left="107" w:right="117"/>
              <w:rPr>
                <w:sz w:val="24"/>
              </w:rPr>
            </w:pPr>
            <w:r>
              <w:rPr>
                <w:sz w:val="24"/>
              </w:rPr>
              <w:t>Massachusetts</w:t>
            </w:r>
            <w:r>
              <w:rPr>
                <w:spacing w:val="-3"/>
                <w:sz w:val="24"/>
              </w:rPr>
              <w:t> </w:t>
            </w:r>
            <w:r>
              <w:rPr>
                <w:sz w:val="24"/>
              </w:rPr>
              <w:t>[</w:t>
            </w:r>
            <w:r>
              <w:rPr>
                <w:i/>
                <w:sz w:val="24"/>
              </w:rPr>
              <w:t>insert</w:t>
            </w:r>
            <w:r>
              <w:rPr>
                <w:i/>
                <w:spacing w:val="-3"/>
                <w:sz w:val="24"/>
              </w:rPr>
              <w:t> </w:t>
            </w:r>
            <w:r>
              <w:rPr>
                <w:i/>
                <w:sz w:val="24"/>
              </w:rPr>
              <w:t>does</w:t>
            </w:r>
            <w:r>
              <w:rPr>
                <w:i/>
                <w:spacing w:val="-3"/>
                <w:sz w:val="24"/>
              </w:rPr>
              <w:t> </w:t>
            </w:r>
            <w:r>
              <w:rPr>
                <w:i/>
                <w:sz w:val="24"/>
              </w:rPr>
              <w:t>or</w:t>
            </w:r>
            <w:r>
              <w:rPr>
                <w:i/>
                <w:spacing w:val="-3"/>
                <w:sz w:val="24"/>
              </w:rPr>
              <w:t> </w:t>
            </w:r>
            <w:r>
              <w:rPr>
                <w:i/>
                <w:sz w:val="24"/>
              </w:rPr>
              <w:t>does</w:t>
            </w:r>
            <w:r>
              <w:rPr>
                <w:i/>
                <w:spacing w:val="-3"/>
                <w:sz w:val="24"/>
              </w:rPr>
              <w:t> </w:t>
            </w:r>
            <w:r>
              <w:rPr>
                <w:i/>
                <w:sz w:val="24"/>
              </w:rPr>
              <w:t>not</w:t>
            </w:r>
            <w:r>
              <w:rPr>
                <w:sz w:val="24"/>
              </w:rPr>
              <w:t>]</w:t>
            </w:r>
            <w:r>
              <w:rPr>
                <w:spacing w:val="-2"/>
                <w:sz w:val="24"/>
              </w:rPr>
              <w:t> </w:t>
            </w:r>
            <w:r>
              <w:rPr>
                <w:sz w:val="24"/>
              </w:rPr>
              <w:t>make</w:t>
            </w:r>
            <w:r>
              <w:rPr>
                <w:spacing w:val="-4"/>
                <w:sz w:val="24"/>
              </w:rPr>
              <w:t> </w:t>
            </w:r>
            <w:r>
              <w:rPr>
                <w:sz w:val="24"/>
              </w:rPr>
              <w:t>Medicaid</w:t>
            </w:r>
            <w:r>
              <w:rPr>
                <w:spacing w:val="-3"/>
                <w:sz w:val="24"/>
              </w:rPr>
              <w:t> </w:t>
            </w:r>
            <w:r>
              <w:rPr>
                <w:sz w:val="24"/>
              </w:rPr>
              <w:t>state</w:t>
            </w:r>
            <w:r>
              <w:rPr>
                <w:spacing w:val="-4"/>
                <w:sz w:val="24"/>
              </w:rPr>
              <w:t> </w:t>
            </w:r>
            <w:r>
              <w:rPr>
                <w:sz w:val="24"/>
              </w:rPr>
              <w:t>plan</w:t>
            </w:r>
            <w:r>
              <w:rPr>
                <w:spacing w:val="-4"/>
                <w:sz w:val="24"/>
              </w:rPr>
              <w:t> </w:t>
            </w:r>
            <w:r>
              <w:rPr>
                <w:sz w:val="24"/>
              </w:rPr>
              <w:t>fee-for-service</w:t>
            </w:r>
            <w:r>
              <w:rPr>
                <w:spacing w:val="-4"/>
                <w:sz w:val="24"/>
              </w:rPr>
              <w:t> </w:t>
            </w:r>
            <w:r>
              <w:rPr>
                <w:sz w:val="24"/>
              </w:rPr>
              <w:t>payments</w:t>
            </w:r>
            <w:r>
              <w:rPr>
                <w:spacing w:val="-3"/>
                <w:sz w:val="24"/>
              </w:rPr>
              <w:t> </w:t>
            </w:r>
            <w:r>
              <w:rPr>
                <w:sz w:val="24"/>
              </w:rPr>
              <w:t>for the following categories of service for at least some populations: primary care, behavioral health, and / or obstetric care.</w:t>
            </w:r>
          </w:p>
          <w:p>
            <w:pPr>
              <w:pStyle w:val="TableParagraph"/>
              <w:spacing w:before="2"/>
              <w:rPr>
                <w:sz w:val="22"/>
              </w:rPr>
            </w:pPr>
          </w:p>
          <w:p>
            <w:pPr>
              <w:pStyle w:val="TableParagraph"/>
              <w:spacing w:line="270" w:lineRule="atLeast" w:before="1"/>
              <w:ind w:left="107" w:right="117"/>
              <w:rPr>
                <w:sz w:val="24"/>
              </w:rPr>
            </w:pPr>
            <w:r>
              <w:rPr>
                <w:sz w:val="24"/>
              </w:rPr>
              <w:t>For any</w:t>
            </w:r>
            <w:r>
              <w:rPr>
                <w:spacing w:val="-4"/>
                <w:sz w:val="24"/>
              </w:rPr>
              <w:t> </w:t>
            </w:r>
            <w:r>
              <w:rPr>
                <w:sz w:val="24"/>
              </w:rPr>
              <w:t>such payments, as necessary</w:t>
            </w:r>
            <w:r>
              <w:rPr>
                <w:spacing w:val="-4"/>
                <w:sz w:val="24"/>
              </w:rPr>
              <w:t> </w:t>
            </w:r>
            <w:r>
              <w:rPr>
                <w:sz w:val="24"/>
              </w:rPr>
              <w:t>to comply</w:t>
            </w:r>
            <w:r>
              <w:rPr>
                <w:spacing w:val="-2"/>
                <w:sz w:val="24"/>
              </w:rPr>
              <w:t> </w:t>
            </w:r>
            <w:r>
              <w:rPr>
                <w:sz w:val="24"/>
              </w:rPr>
              <w:t>with the</w:t>
            </w:r>
            <w:r>
              <w:rPr>
                <w:spacing w:val="-1"/>
                <w:sz w:val="24"/>
              </w:rPr>
              <w:t> </w:t>
            </w:r>
            <w:r>
              <w:rPr>
                <w:sz w:val="24"/>
              </w:rPr>
              <w:t>Hospital Quality</w:t>
            </w:r>
            <w:r>
              <w:rPr>
                <w:spacing w:val="-4"/>
                <w:sz w:val="24"/>
              </w:rPr>
              <w:t> </w:t>
            </w:r>
            <w:r>
              <w:rPr>
                <w:sz w:val="24"/>
              </w:rPr>
              <w:t>and Equity</w:t>
            </w:r>
            <w:r>
              <w:rPr>
                <w:spacing w:val="-2"/>
                <w:sz w:val="24"/>
              </w:rPr>
              <w:t> </w:t>
            </w:r>
            <w:r>
              <w:rPr>
                <w:sz w:val="24"/>
              </w:rPr>
              <w:t>Initiative STCs, I agree to submit by no later than [</w:t>
            </w:r>
            <w:r>
              <w:rPr>
                <w:i/>
                <w:sz w:val="24"/>
              </w:rPr>
              <w:t>insert date</w:t>
            </w:r>
            <w:r>
              <w:rPr>
                <w:sz w:val="24"/>
              </w:rPr>
              <w:t>] for CMS review and approval the Medicaid state plan fee-for-service payment increase methodology, including the Medicaid code</w:t>
            </w:r>
            <w:r>
              <w:rPr>
                <w:spacing w:val="-2"/>
                <w:sz w:val="24"/>
              </w:rPr>
              <w:t> </w:t>
            </w:r>
            <w:r>
              <w:rPr>
                <w:sz w:val="24"/>
              </w:rPr>
              <w:t>set</w:t>
            </w:r>
            <w:r>
              <w:rPr>
                <w:spacing w:val="-1"/>
                <w:sz w:val="24"/>
              </w:rPr>
              <w:t> </w:t>
            </w:r>
            <w:r>
              <w:rPr>
                <w:sz w:val="24"/>
              </w:rPr>
              <w:t>to</w:t>
            </w:r>
            <w:r>
              <w:rPr>
                <w:spacing w:val="-1"/>
                <w:sz w:val="24"/>
              </w:rPr>
              <w:t> </w:t>
            </w:r>
            <w:r>
              <w:rPr>
                <w:sz w:val="24"/>
              </w:rPr>
              <w:t>which</w:t>
            </w:r>
            <w:r>
              <w:rPr>
                <w:spacing w:val="-1"/>
                <w:sz w:val="24"/>
              </w:rPr>
              <w:t> </w:t>
            </w:r>
            <w:r>
              <w:rPr>
                <w:sz w:val="24"/>
              </w:rPr>
              <w:t>the</w:t>
            </w:r>
            <w:r>
              <w:rPr>
                <w:spacing w:val="-2"/>
                <w:sz w:val="24"/>
              </w:rPr>
              <w:t> </w:t>
            </w:r>
            <w:r>
              <w:rPr>
                <w:sz w:val="24"/>
              </w:rPr>
              <w:t>payment</w:t>
            </w:r>
            <w:r>
              <w:rPr>
                <w:spacing w:val="-1"/>
                <w:sz w:val="24"/>
              </w:rPr>
              <w:t> </w:t>
            </w:r>
            <w:r>
              <w:rPr>
                <w:sz w:val="24"/>
              </w:rPr>
              <w:t>rate</w:t>
            </w:r>
            <w:r>
              <w:rPr>
                <w:spacing w:val="-2"/>
                <w:sz w:val="24"/>
              </w:rPr>
              <w:t> </w:t>
            </w:r>
            <w:r>
              <w:rPr>
                <w:sz w:val="24"/>
              </w:rPr>
              <w:t>increases are</w:t>
            </w:r>
            <w:r>
              <w:rPr>
                <w:spacing w:val="-2"/>
                <w:sz w:val="24"/>
              </w:rPr>
              <w:t> </w:t>
            </w:r>
            <w:r>
              <w:rPr>
                <w:sz w:val="24"/>
              </w:rPr>
              <w:t>to be</w:t>
            </w:r>
            <w:r>
              <w:rPr>
                <w:spacing w:val="-2"/>
                <w:sz w:val="24"/>
              </w:rPr>
              <w:t> </w:t>
            </w:r>
            <w:r>
              <w:rPr>
                <w:sz w:val="24"/>
              </w:rPr>
              <w:t>applied,</w:t>
            </w:r>
            <w:r>
              <w:rPr>
                <w:spacing w:val="-1"/>
                <w:sz w:val="24"/>
              </w:rPr>
              <w:t> </w:t>
            </w:r>
            <w:r>
              <w:rPr>
                <w:sz w:val="24"/>
              </w:rPr>
              <w:t>code</w:t>
            </w:r>
            <w:r>
              <w:rPr>
                <w:spacing w:val="-2"/>
                <w:sz w:val="24"/>
              </w:rPr>
              <w:t> </w:t>
            </w:r>
            <w:r>
              <w:rPr>
                <w:sz w:val="24"/>
              </w:rPr>
              <w:t>level</w:t>
            </w:r>
            <w:r>
              <w:rPr>
                <w:spacing w:val="-1"/>
                <w:sz w:val="24"/>
              </w:rPr>
              <w:t> </w:t>
            </w:r>
            <w:r>
              <w:rPr>
                <w:sz w:val="24"/>
              </w:rPr>
              <w:t>Medicaid</w:t>
            </w:r>
            <w:r>
              <w:rPr>
                <w:spacing w:val="-2"/>
                <w:sz w:val="24"/>
              </w:rPr>
              <w:t> </w:t>
            </w:r>
            <w:r>
              <w:rPr>
                <w:sz w:val="24"/>
              </w:rPr>
              <w:t>utilization, Medicaid and Medicare rates for the same or similar Medicare billing codes, and other data used to calculate the ratio, and the methodology, as well as other documents and supporting information (e.g., state responses to Medicaid financing questions) as required by applicable statutes, regulations and CMS policy, through the submission of a new state plan amendment, following the normal SPA process including publishing timely tribal and public notice and submitting</w:t>
            </w:r>
            <w:r>
              <w:rPr>
                <w:spacing w:val="-6"/>
                <w:sz w:val="24"/>
              </w:rPr>
              <w:t> </w:t>
            </w:r>
            <w:r>
              <w:rPr>
                <w:sz w:val="24"/>
              </w:rPr>
              <w:t>to</w:t>
            </w:r>
            <w:r>
              <w:rPr>
                <w:spacing w:val="-3"/>
                <w:sz w:val="24"/>
              </w:rPr>
              <w:t> </w:t>
            </w:r>
            <w:r>
              <w:rPr>
                <w:sz w:val="24"/>
              </w:rPr>
              <w:t>CMS</w:t>
            </w:r>
            <w:r>
              <w:rPr>
                <w:spacing w:val="-3"/>
                <w:sz w:val="24"/>
              </w:rPr>
              <w:t> </w:t>
            </w:r>
            <w:r>
              <w:rPr>
                <w:sz w:val="24"/>
              </w:rPr>
              <w:t>all</w:t>
            </w:r>
            <w:r>
              <w:rPr>
                <w:spacing w:val="-3"/>
                <w:sz w:val="24"/>
              </w:rPr>
              <w:t> </w:t>
            </w:r>
            <w:r>
              <w:rPr>
                <w:sz w:val="24"/>
              </w:rPr>
              <w:t>required</w:t>
            </w:r>
            <w:r>
              <w:rPr>
                <w:spacing w:val="-3"/>
                <w:sz w:val="24"/>
              </w:rPr>
              <w:t> </w:t>
            </w:r>
            <w:r>
              <w:rPr>
                <w:sz w:val="24"/>
              </w:rPr>
              <w:t>SPA</w:t>
            </w:r>
            <w:r>
              <w:rPr>
                <w:spacing w:val="-4"/>
                <w:sz w:val="24"/>
              </w:rPr>
              <w:t> </w:t>
            </w:r>
            <w:r>
              <w:rPr>
                <w:sz w:val="24"/>
              </w:rPr>
              <w:t>forms</w:t>
            </w:r>
            <w:r>
              <w:rPr>
                <w:spacing w:val="-3"/>
                <w:sz w:val="24"/>
              </w:rPr>
              <w:t> </w:t>
            </w:r>
            <w:r>
              <w:rPr>
                <w:sz w:val="24"/>
              </w:rPr>
              <w:t>(e.g.,</w:t>
            </w:r>
            <w:r>
              <w:rPr>
                <w:spacing w:val="-1"/>
                <w:sz w:val="24"/>
              </w:rPr>
              <w:t> </w:t>
            </w:r>
            <w:r>
              <w:rPr>
                <w:sz w:val="24"/>
              </w:rPr>
              <w:t>SPA</w:t>
            </w:r>
            <w:r>
              <w:rPr>
                <w:spacing w:val="-4"/>
                <w:sz w:val="24"/>
              </w:rPr>
              <w:t> </w:t>
            </w:r>
            <w:r>
              <w:rPr>
                <w:sz w:val="24"/>
              </w:rPr>
              <w:t>transmittal</w:t>
            </w:r>
            <w:r>
              <w:rPr>
                <w:spacing w:val="-3"/>
                <w:sz w:val="24"/>
              </w:rPr>
              <w:t> </w:t>
            </w:r>
            <w:r>
              <w:rPr>
                <w:sz w:val="24"/>
              </w:rPr>
              <w:t>letter,</w:t>
            </w:r>
            <w:r>
              <w:rPr>
                <w:spacing w:val="-3"/>
                <w:sz w:val="24"/>
              </w:rPr>
              <w:t> </w:t>
            </w:r>
            <w:r>
              <w:rPr>
                <w:sz w:val="24"/>
              </w:rPr>
              <w:t>CMS-179,</w:t>
            </w:r>
            <w:r>
              <w:rPr>
                <w:spacing w:val="-3"/>
                <w:sz w:val="24"/>
              </w:rPr>
              <w:t> </w:t>
            </w:r>
            <w:r>
              <w:rPr>
                <w:sz w:val="24"/>
              </w:rPr>
              <w:t>Attachment 4.19-B pages from the state), by no later than [</w:t>
            </w:r>
            <w:r>
              <w:rPr>
                <w:i/>
                <w:sz w:val="24"/>
              </w:rPr>
              <w:t>insert date</w:t>
            </w:r>
            <w:r>
              <w:rPr>
                <w:sz w:val="24"/>
              </w:rPr>
              <w:t>]</w:t>
            </w:r>
          </w:p>
        </w:tc>
      </w:tr>
      <w:tr>
        <w:trPr>
          <w:trHeight w:val="2759" w:hRule="atLeast"/>
        </w:trPr>
        <w:tc>
          <w:tcPr>
            <w:tcW w:w="9350" w:type="dxa"/>
          </w:tcPr>
          <w:p>
            <w:pPr>
              <w:pStyle w:val="TableParagraph"/>
              <w:ind w:left="107" w:right="117"/>
              <w:rPr>
                <w:sz w:val="24"/>
              </w:rPr>
            </w:pPr>
            <w:r>
              <w:rPr>
                <w:sz w:val="24"/>
              </w:rPr>
              <w:t>Massachusetts [</w:t>
            </w:r>
            <w:r>
              <w:rPr>
                <w:i/>
                <w:sz w:val="24"/>
              </w:rPr>
              <w:t>insert does or does not</w:t>
            </w:r>
            <w:r>
              <w:rPr>
                <w:sz w:val="24"/>
              </w:rPr>
              <w:t>] include the following service categories within a Medicaid</w:t>
            </w:r>
            <w:r>
              <w:rPr>
                <w:spacing w:val="-3"/>
                <w:sz w:val="24"/>
              </w:rPr>
              <w:t> </w:t>
            </w:r>
            <w:r>
              <w:rPr>
                <w:sz w:val="24"/>
              </w:rPr>
              <w:t>managed</w:t>
            </w:r>
            <w:r>
              <w:rPr>
                <w:spacing w:val="-3"/>
                <w:sz w:val="24"/>
              </w:rPr>
              <w:t> </w:t>
            </w:r>
            <w:r>
              <w:rPr>
                <w:sz w:val="24"/>
              </w:rPr>
              <w:t>care</w:t>
            </w:r>
            <w:r>
              <w:rPr>
                <w:spacing w:val="-2"/>
                <w:sz w:val="24"/>
              </w:rPr>
              <w:t> </w:t>
            </w:r>
            <w:r>
              <w:rPr>
                <w:sz w:val="24"/>
              </w:rPr>
              <w:t>delivery</w:t>
            </w:r>
            <w:r>
              <w:rPr>
                <w:spacing w:val="-8"/>
                <w:sz w:val="24"/>
              </w:rPr>
              <w:t> </w:t>
            </w:r>
            <w:r>
              <w:rPr>
                <w:sz w:val="24"/>
              </w:rPr>
              <w:t>system</w:t>
            </w:r>
            <w:r>
              <w:rPr>
                <w:spacing w:val="-3"/>
                <w:sz w:val="24"/>
              </w:rPr>
              <w:t> </w:t>
            </w:r>
            <w:r>
              <w:rPr>
                <w:sz w:val="24"/>
              </w:rPr>
              <w:t>for</w:t>
            </w:r>
            <w:r>
              <w:rPr>
                <w:spacing w:val="-4"/>
                <w:sz w:val="24"/>
              </w:rPr>
              <w:t> </w:t>
            </w:r>
            <w:r>
              <w:rPr>
                <w:sz w:val="24"/>
              </w:rPr>
              <w:t>which</w:t>
            </w:r>
            <w:r>
              <w:rPr>
                <w:spacing w:val="-3"/>
                <w:sz w:val="24"/>
              </w:rPr>
              <w:t> </w:t>
            </w:r>
            <w:r>
              <w:rPr>
                <w:sz w:val="24"/>
              </w:rPr>
              <w:t>the</w:t>
            </w:r>
            <w:r>
              <w:rPr>
                <w:spacing w:val="-4"/>
                <w:sz w:val="24"/>
              </w:rPr>
              <w:t> </w:t>
            </w:r>
            <w:r>
              <w:rPr>
                <w:sz w:val="24"/>
              </w:rPr>
              <w:t>managed</w:t>
            </w:r>
            <w:r>
              <w:rPr>
                <w:spacing w:val="-1"/>
                <w:sz w:val="24"/>
              </w:rPr>
              <w:t> </w:t>
            </w:r>
            <w:r>
              <w:rPr>
                <w:sz w:val="24"/>
              </w:rPr>
              <w:t>care</w:t>
            </w:r>
            <w:r>
              <w:rPr>
                <w:spacing w:val="-4"/>
                <w:sz w:val="24"/>
              </w:rPr>
              <w:t> </w:t>
            </w:r>
            <w:r>
              <w:rPr>
                <w:sz w:val="24"/>
              </w:rPr>
              <w:t>plans</w:t>
            </w:r>
            <w:r>
              <w:rPr>
                <w:spacing w:val="-1"/>
                <w:sz w:val="24"/>
              </w:rPr>
              <w:t> </w:t>
            </w:r>
            <w:r>
              <w:rPr>
                <w:sz w:val="24"/>
              </w:rPr>
              <w:t>make</w:t>
            </w:r>
            <w:r>
              <w:rPr>
                <w:spacing w:val="-4"/>
                <w:sz w:val="24"/>
              </w:rPr>
              <w:t> </w:t>
            </w:r>
            <w:r>
              <w:rPr>
                <w:sz w:val="24"/>
              </w:rPr>
              <w:t>payments</w:t>
            </w:r>
            <w:r>
              <w:rPr>
                <w:spacing w:val="-3"/>
                <w:sz w:val="24"/>
              </w:rPr>
              <w:t> </w:t>
            </w:r>
            <w:r>
              <w:rPr>
                <w:sz w:val="24"/>
              </w:rPr>
              <w:t>to applicable providers for at least some populations: primary care, behavioral health, and or obstetric care.</w:t>
            </w:r>
          </w:p>
          <w:p>
            <w:pPr>
              <w:pStyle w:val="TableParagraph"/>
              <w:spacing w:before="2"/>
              <w:rPr>
                <w:sz w:val="22"/>
              </w:rPr>
            </w:pPr>
          </w:p>
          <w:p>
            <w:pPr>
              <w:pStyle w:val="TableParagraph"/>
              <w:spacing w:line="270" w:lineRule="atLeast" w:before="1"/>
              <w:ind w:left="107"/>
              <w:rPr>
                <w:sz w:val="24"/>
              </w:rPr>
            </w:pPr>
            <w:r>
              <w:rPr>
                <w:sz w:val="24"/>
              </w:rPr>
              <w:t>For any</w:t>
            </w:r>
            <w:r>
              <w:rPr>
                <w:spacing w:val="-4"/>
                <w:sz w:val="24"/>
              </w:rPr>
              <w:t> </w:t>
            </w:r>
            <w:r>
              <w:rPr>
                <w:sz w:val="24"/>
              </w:rPr>
              <w:t>such payments, as necessary</w:t>
            </w:r>
            <w:r>
              <w:rPr>
                <w:spacing w:val="-4"/>
                <w:sz w:val="24"/>
              </w:rPr>
              <w:t> </w:t>
            </w:r>
            <w:r>
              <w:rPr>
                <w:sz w:val="24"/>
              </w:rPr>
              <w:t>to comply</w:t>
            </w:r>
            <w:r>
              <w:rPr>
                <w:spacing w:val="-2"/>
                <w:sz w:val="24"/>
              </w:rPr>
              <w:t> </w:t>
            </w:r>
            <w:r>
              <w:rPr>
                <w:sz w:val="24"/>
              </w:rPr>
              <w:t>with the Hospital Quality</w:t>
            </w:r>
            <w:r>
              <w:rPr>
                <w:spacing w:val="-4"/>
                <w:sz w:val="24"/>
              </w:rPr>
              <w:t> </w:t>
            </w:r>
            <w:r>
              <w:rPr>
                <w:sz w:val="24"/>
              </w:rPr>
              <w:t>and Equity</w:t>
            </w:r>
            <w:r>
              <w:rPr>
                <w:spacing w:val="-2"/>
                <w:sz w:val="24"/>
              </w:rPr>
              <w:t> </w:t>
            </w:r>
            <w:r>
              <w:rPr>
                <w:sz w:val="24"/>
              </w:rPr>
              <w:t>Initiative STCs, I agree to submit the Medicaid managed care plans’ provider payment increase methodology,</w:t>
            </w:r>
            <w:r>
              <w:rPr>
                <w:spacing w:val="-3"/>
                <w:sz w:val="24"/>
              </w:rPr>
              <w:t> </w:t>
            </w:r>
            <w:r>
              <w:rPr>
                <w:sz w:val="24"/>
              </w:rPr>
              <w:t>including</w:t>
            </w:r>
            <w:r>
              <w:rPr>
                <w:spacing w:val="-6"/>
                <w:sz w:val="24"/>
              </w:rPr>
              <w:t> </w:t>
            </w:r>
            <w:r>
              <w:rPr>
                <w:sz w:val="24"/>
              </w:rPr>
              <w:t>the</w:t>
            </w:r>
            <w:r>
              <w:rPr>
                <w:spacing w:val="-4"/>
                <w:sz w:val="24"/>
              </w:rPr>
              <w:t> </w:t>
            </w:r>
            <w:r>
              <w:rPr>
                <w:sz w:val="24"/>
              </w:rPr>
              <w:t>information</w:t>
            </w:r>
            <w:r>
              <w:rPr>
                <w:spacing w:val="-3"/>
                <w:sz w:val="24"/>
              </w:rPr>
              <w:t> </w:t>
            </w:r>
            <w:r>
              <w:rPr>
                <w:sz w:val="24"/>
              </w:rPr>
              <w:t>listed</w:t>
            </w:r>
            <w:r>
              <w:rPr>
                <w:spacing w:val="-3"/>
                <w:sz w:val="24"/>
              </w:rPr>
              <w:t> </w:t>
            </w:r>
            <w:r>
              <w:rPr>
                <w:sz w:val="24"/>
              </w:rPr>
              <w:t>in</w:t>
            </w:r>
            <w:r>
              <w:rPr>
                <w:spacing w:val="-3"/>
                <w:sz w:val="24"/>
              </w:rPr>
              <w:t> </w:t>
            </w:r>
            <w:r>
              <w:rPr>
                <w:sz w:val="24"/>
              </w:rPr>
              <w:t>STC</w:t>
            </w:r>
            <w:r>
              <w:rPr>
                <w:spacing w:val="-3"/>
                <w:sz w:val="24"/>
              </w:rPr>
              <w:t> </w:t>
            </w:r>
            <w:r>
              <w:rPr>
                <w:sz w:val="24"/>
              </w:rPr>
              <w:t>21.7</w:t>
            </w:r>
            <w:r>
              <w:rPr>
                <w:spacing w:val="-3"/>
                <w:sz w:val="24"/>
              </w:rPr>
              <w:t> </w:t>
            </w:r>
            <w:r>
              <w:rPr>
                <w:sz w:val="24"/>
              </w:rPr>
              <w:t>through</w:t>
            </w:r>
            <w:r>
              <w:rPr>
                <w:spacing w:val="-3"/>
                <w:sz w:val="24"/>
              </w:rPr>
              <w:t> </w:t>
            </w:r>
            <w:r>
              <w:rPr>
                <w:sz w:val="24"/>
              </w:rPr>
              <w:t>the</w:t>
            </w:r>
            <w:r>
              <w:rPr>
                <w:spacing w:val="-4"/>
                <w:sz w:val="24"/>
              </w:rPr>
              <w:t> </w:t>
            </w:r>
            <w:r>
              <w:rPr>
                <w:sz w:val="24"/>
              </w:rPr>
              <w:t>state</w:t>
            </w:r>
            <w:r>
              <w:rPr>
                <w:spacing w:val="-2"/>
                <w:sz w:val="24"/>
              </w:rPr>
              <w:t> </w:t>
            </w:r>
            <w:r>
              <w:rPr>
                <w:sz w:val="24"/>
              </w:rPr>
              <w:t>directed</w:t>
            </w:r>
            <w:r>
              <w:rPr>
                <w:spacing w:val="-3"/>
                <w:sz w:val="24"/>
              </w:rPr>
              <w:t> </w:t>
            </w:r>
            <w:r>
              <w:rPr>
                <w:sz w:val="24"/>
              </w:rPr>
              <w:t>payments submission process and in accordance with 42 CFR 438.6(c), as applicable, by no later than </w:t>
            </w:r>
            <w:r>
              <w:rPr>
                <w:i/>
                <w:sz w:val="24"/>
              </w:rPr>
              <w:t>[insert date</w:t>
            </w:r>
            <w:r>
              <w:rPr>
                <w:sz w:val="24"/>
              </w:rPr>
              <w:t>]</w:t>
            </w:r>
          </w:p>
        </w:tc>
      </w:tr>
      <w:tr>
        <w:trPr>
          <w:trHeight w:val="1379" w:hRule="atLeast"/>
        </w:trPr>
        <w:tc>
          <w:tcPr>
            <w:tcW w:w="9350" w:type="dxa"/>
          </w:tcPr>
          <w:p>
            <w:pPr>
              <w:pStyle w:val="TableParagraph"/>
              <w:spacing w:line="276" w:lineRule="exact"/>
              <w:ind w:left="107" w:right="488"/>
              <w:rPr>
                <w:sz w:val="24"/>
              </w:rPr>
            </w:pPr>
            <w:r>
              <w:rPr>
                <w:sz w:val="24"/>
              </w:rPr>
              <w:t>If the Commonwealth utilizes a managed care delivery system for the applicable service categories,</w:t>
            </w:r>
            <w:r>
              <w:rPr>
                <w:spacing w:val="-1"/>
                <w:sz w:val="24"/>
              </w:rPr>
              <w:t> </w:t>
            </w:r>
            <w:r>
              <w:rPr>
                <w:sz w:val="24"/>
              </w:rPr>
              <w:t>then</w:t>
            </w:r>
            <w:r>
              <w:rPr>
                <w:spacing w:val="-1"/>
                <w:sz w:val="24"/>
              </w:rPr>
              <w:t> </w:t>
            </w:r>
            <w:r>
              <w:rPr>
                <w:sz w:val="24"/>
              </w:rPr>
              <w:t>in</w:t>
            </w:r>
            <w:r>
              <w:rPr>
                <w:spacing w:val="-1"/>
                <w:sz w:val="24"/>
              </w:rPr>
              <w:t> </w:t>
            </w:r>
            <w:r>
              <w:rPr>
                <w:sz w:val="24"/>
              </w:rPr>
              <w:t>accordance</w:t>
            </w:r>
            <w:r>
              <w:rPr>
                <w:spacing w:val="-2"/>
                <w:sz w:val="24"/>
              </w:rPr>
              <w:t> </w:t>
            </w:r>
            <w:r>
              <w:rPr>
                <w:sz w:val="24"/>
              </w:rPr>
              <w:t>with</w:t>
            </w:r>
            <w:r>
              <w:rPr>
                <w:spacing w:val="-1"/>
                <w:sz w:val="24"/>
              </w:rPr>
              <w:t> </w:t>
            </w:r>
            <w:r>
              <w:rPr>
                <w:sz w:val="24"/>
              </w:rPr>
              <w:t>STC</w:t>
            </w:r>
            <w:r>
              <w:rPr>
                <w:spacing w:val="-1"/>
                <w:sz w:val="24"/>
              </w:rPr>
              <w:t> </w:t>
            </w:r>
            <w:r>
              <w:rPr>
                <w:sz w:val="24"/>
              </w:rPr>
              <w:t>21.8, I</w:t>
            </w:r>
            <w:r>
              <w:rPr>
                <w:spacing w:val="-5"/>
                <w:sz w:val="24"/>
              </w:rPr>
              <w:t> </w:t>
            </w:r>
            <w:r>
              <w:rPr>
                <w:sz w:val="24"/>
              </w:rPr>
              <w:t>attest</w:t>
            </w:r>
            <w:r>
              <w:rPr>
                <w:spacing w:val="-1"/>
                <w:sz w:val="24"/>
              </w:rPr>
              <w:t> </w:t>
            </w:r>
            <w:r>
              <w:rPr>
                <w:sz w:val="24"/>
              </w:rPr>
              <w:t>that</w:t>
            </w:r>
            <w:r>
              <w:rPr>
                <w:spacing w:val="-1"/>
                <w:sz w:val="24"/>
              </w:rPr>
              <w:t> </w:t>
            </w:r>
            <w:r>
              <w:rPr>
                <w:sz w:val="24"/>
              </w:rPr>
              <w:t>necessary</w:t>
            </w:r>
            <w:r>
              <w:rPr>
                <w:spacing w:val="-6"/>
                <w:sz w:val="24"/>
              </w:rPr>
              <w:t> </w:t>
            </w:r>
            <w:r>
              <w:rPr>
                <w:sz w:val="24"/>
              </w:rPr>
              <w:t>arrangements</w:t>
            </w:r>
            <w:r>
              <w:rPr>
                <w:spacing w:val="-1"/>
                <w:sz w:val="24"/>
              </w:rPr>
              <w:t> </w:t>
            </w:r>
            <w:r>
              <w:rPr>
                <w:sz w:val="24"/>
              </w:rPr>
              <w:t>will</w:t>
            </w:r>
            <w:r>
              <w:rPr>
                <w:spacing w:val="-1"/>
                <w:sz w:val="24"/>
              </w:rPr>
              <w:t> </w:t>
            </w:r>
            <w:r>
              <w:rPr>
                <w:sz w:val="24"/>
              </w:rPr>
              <w:t>be made</w:t>
            </w:r>
            <w:r>
              <w:rPr>
                <w:spacing w:val="-3"/>
                <w:sz w:val="24"/>
              </w:rPr>
              <w:t> </w:t>
            </w:r>
            <w:r>
              <w:rPr>
                <w:sz w:val="24"/>
              </w:rPr>
              <w:t>to</w:t>
            </w:r>
            <w:r>
              <w:rPr>
                <w:spacing w:val="-2"/>
                <w:sz w:val="24"/>
              </w:rPr>
              <w:t> </w:t>
            </w:r>
            <w:r>
              <w:rPr>
                <w:sz w:val="24"/>
              </w:rPr>
              <w:t>assure</w:t>
            </w:r>
            <w:r>
              <w:rPr>
                <w:spacing w:val="-3"/>
                <w:sz w:val="24"/>
              </w:rPr>
              <w:t> </w:t>
            </w:r>
            <w:r>
              <w:rPr>
                <w:sz w:val="24"/>
              </w:rPr>
              <w:t>that</w:t>
            </w:r>
            <w:r>
              <w:rPr>
                <w:spacing w:val="-2"/>
                <w:sz w:val="24"/>
              </w:rPr>
              <w:t> </w:t>
            </w:r>
            <w:r>
              <w:rPr>
                <w:sz w:val="24"/>
              </w:rPr>
              <w:t>100</w:t>
            </w:r>
            <w:r>
              <w:rPr>
                <w:spacing w:val="-2"/>
                <w:sz w:val="24"/>
              </w:rPr>
              <w:t> </w:t>
            </w:r>
            <w:r>
              <w:rPr>
                <w:sz w:val="24"/>
              </w:rPr>
              <w:t>percent</w:t>
            </w:r>
            <w:r>
              <w:rPr>
                <w:spacing w:val="-2"/>
                <w:sz w:val="24"/>
              </w:rPr>
              <w:t> </w:t>
            </w:r>
            <w:r>
              <w:rPr>
                <w:sz w:val="24"/>
              </w:rPr>
              <w:t>of</w:t>
            </w:r>
            <w:r>
              <w:rPr>
                <w:spacing w:val="-3"/>
                <w:sz w:val="24"/>
              </w:rPr>
              <w:t> </w:t>
            </w:r>
            <w:r>
              <w:rPr>
                <w:sz w:val="24"/>
              </w:rPr>
              <w:t>the</w:t>
            </w:r>
            <w:r>
              <w:rPr>
                <w:spacing w:val="-3"/>
                <w:sz w:val="24"/>
              </w:rPr>
              <w:t> </w:t>
            </w:r>
            <w:r>
              <w:rPr>
                <w:sz w:val="24"/>
              </w:rPr>
              <w:t>two</w:t>
            </w:r>
            <w:r>
              <w:rPr>
                <w:spacing w:val="-2"/>
                <w:sz w:val="24"/>
              </w:rPr>
              <w:t> </w:t>
            </w:r>
            <w:r>
              <w:rPr>
                <w:sz w:val="24"/>
              </w:rPr>
              <w:t>percentage</w:t>
            </w:r>
            <w:r>
              <w:rPr>
                <w:spacing w:val="-3"/>
                <w:sz w:val="24"/>
              </w:rPr>
              <w:t> </w:t>
            </w:r>
            <w:r>
              <w:rPr>
                <w:sz w:val="24"/>
              </w:rPr>
              <w:t>point</w:t>
            </w:r>
            <w:r>
              <w:rPr>
                <w:spacing w:val="-2"/>
                <w:sz w:val="24"/>
              </w:rPr>
              <w:t> </w:t>
            </w:r>
            <w:r>
              <w:rPr>
                <w:sz w:val="24"/>
              </w:rPr>
              <w:t>managed care</w:t>
            </w:r>
            <w:r>
              <w:rPr>
                <w:spacing w:val="-3"/>
                <w:sz w:val="24"/>
              </w:rPr>
              <w:t> </w:t>
            </w:r>
            <w:r>
              <w:rPr>
                <w:sz w:val="24"/>
              </w:rPr>
              <w:t>plans’</w:t>
            </w:r>
            <w:r>
              <w:rPr>
                <w:spacing w:val="-3"/>
                <w:sz w:val="24"/>
              </w:rPr>
              <w:t> </w:t>
            </w:r>
            <w:r>
              <w:rPr>
                <w:sz w:val="24"/>
              </w:rPr>
              <w:t>provider payment</w:t>
            </w:r>
            <w:r>
              <w:rPr>
                <w:spacing w:val="-3"/>
                <w:sz w:val="24"/>
              </w:rPr>
              <w:t> </w:t>
            </w:r>
            <w:r>
              <w:rPr>
                <w:sz w:val="24"/>
              </w:rPr>
              <w:t>increase</w:t>
            </w:r>
            <w:r>
              <w:rPr>
                <w:spacing w:val="-4"/>
                <w:sz w:val="24"/>
              </w:rPr>
              <w:t> </w:t>
            </w:r>
            <w:r>
              <w:rPr>
                <w:sz w:val="24"/>
              </w:rPr>
              <w:t>will</w:t>
            </w:r>
            <w:r>
              <w:rPr>
                <w:spacing w:val="-3"/>
                <w:sz w:val="24"/>
              </w:rPr>
              <w:t> </w:t>
            </w:r>
            <w:r>
              <w:rPr>
                <w:sz w:val="24"/>
              </w:rPr>
              <w:t>be</w:t>
            </w:r>
            <w:r>
              <w:rPr>
                <w:spacing w:val="-2"/>
                <w:sz w:val="24"/>
              </w:rPr>
              <w:t> </w:t>
            </w:r>
            <w:r>
              <w:rPr>
                <w:sz w:val="24"/>
              </w:rPr>
              <w:t>paid</w:t>
            </w:r>
            <w:r>
              <w:rPr>
                <w:spacing w:val="-3"/>
                <w:sz w:val="24"/>
              </w:rPr>
              <w:t> </w:t>
            </w:r>
            <w:r>
              <w:rPr>
                <w:sz w:val="24"/>
              </w:rPr>
              <w:t>to</w:t>
            </w:r>
            <w:r>
              <w:rPr>
                <w:spacing w:val="-3"/>
                <w:sz w:val="24"/>
              </w:rPr>
              <w:t> </w:t>
            </w:r>
            <w:r>
              <w:rPr>
                <w:sz w:val="24"/>
              </w:rPr>
              <w:t>the</w:t>
            </w:r>
            <w:r>
              <w:rPr>
                <w:spacing w:val="-4"/>
                <w:sz w:val="24"/>
              </w:rPr>
              <w:t> </w:t>
            </w:r>
            <w:r>
              <w:rPr>
                <w:sz w:val="24"/>
              </w:rPr>
              <w:t>providers</w:t>
            </w:r>
            <w:r>
              <w:rPr>
                <w:spacing w:val="-3"/>
                <w:sz w:val="24"/>
              </w:rPr>
              <w:t> </w:t>
            </w:r>
            <w:r>
              <w:rPr>
                <w:sz w:val="24"/>
              </w:rPr>
              <w:t>of</w:t>
            </w:r>
            <w:r>
              <w:rPr>
                <w:spacing w:val="-4"/>
                <w:sz w:val="24"/>
              </w:rPr>
              <w:t> </w:t>
            </w:r>
            <w:r>
              <w:rPr>
                <w:sz w:val="24"/>
              </w:rPr>
              <w:t>those</w:t>
            </w:r>
            <w:r>
              <w:rPr>
                <w:spacing w:val="-4"/>
                <w:sz w:val="24"/>
              </w:rPr>
              <w:t> </w:t>
            </w:r>
            <w:r>
              <w:rPr>
                <w:sz w:val="24"/>
              </w:rPr>
              <w:t>service</w:t>
            </w:r>
            <w:r>
              <w:rPr>
                <w:spacing w:val="-2"/>
                <w:sz w:val="24"/>
              </w:rPr>
              <w:t> </w:t>
            </w:r>
            <w:r>
              <w:rPr>
                <w:sz w:val="24"/>
              </w:rPr>
              <w:t>categories</w:t>
            </w:r>
            <w:r>
              <w:rPr>
                <w:spacing w:val="-3"/>
                <w:sz w:val="24"/>
              </w:rPr>
              <w:t> </w:t>
            </w:r>
            <w:r>
              <w:rPr>
                <w:sz w:val="24"/>
              </w:rPr>
              <w:t>and</w:t>
            </w:r>
            <w:r>
              <w:rPr>
                <w:spacing w:val="-3"/>
                <w:sz w:val="24"/>
              </w:rPr>
              <w:t> </w:t>
            </w:r>
            <w:r>
              <w:rPr>
                <w:sz w:val="24"/>
              </w:rPr>
              <w:t>none</w:t>
            </w:r>
            <w:r>
              <w:rPr>
                <w:spacing w:val="-4"/>
                <w:sz w:val="24"/>
              </w:rPr>
              <w:t> </w:t>
            </w:r>
            <w:r>
              <w:rPr>
                <w:sz w:val="24"/>
              </w:rPr>
              <w:t>of</w:t>
            </w:r>
            <w:r>
              <w:rPr>
                <w:spacing w:val="-4"/>
                <w:sz w:val="24"/>
              </w:rPr>
              <w:t> </w:t>
            </w:r>
            <w:r>
              <w:rPr>
                <w:sz w:val="24"/>
              </w:rPr>
              <w:t>this payment rate increase is retained by the managed care plans.</w:t>
            </w:r>
          </w:p>
        </w:tc>
      </w:tr>
      <w:tr>
        <w:trPr>
          <w:trHeight w:val="1103" w:hRule="atLeast"/>
        </w:trPr>
        <w:tc>
          <w:tcPr>
            <w:tcW w:w="9350" w:type="dxa"/>
          </w:tcPr>
          <w:p>
            <w:pPr>
              <w:pStyle w:val="TableParagraph"/>
              <w:ind w:left="107" w:right="488"/>
              <w:rPr>
                <w:sz w:val="24"/>
              </w:rPr>
            </w:pPr>
            <w:r>
              <w:rPr>
                <w:sz w:val="24"/>
              </w:rPr>
              <w:t>Massachusetts</w:t>
            </w:r>
            <w:r>
              <w:rPr>
                <w:spacing w:val="-4"/>
                <w:sz w:val="24"/>
              </w:rPr>
              <w:t> </w:t>
            </w:r>
            <w:r>
              <w:rPr>
                <w:sz w:val="24"/>
              </w:rPr>
              <w:t>further</w:t>
            </w:r>
            <w:r>
              <w:rPr>
                <w:spacing w:val="-4"/>
                <w:sz w:val="24"/>
              </w:rPr>
              <w:t> </w:t>
            </w:r>
            <w:r>
              <w:rPr>
                <w:sz w:val="24"/>
              </w:rPr>
              <w:t>agrees</w:t>
            </w:r>
            <w:r>
              <w:rPr>
                <w:spacing w:val="-3"/>
                <w:sz w:val="24"/>
              </w:rPr>
              <w:t> </w:t>
            </w:r>
            <w:r>
              <w:rPr>
                <w:sz w:val="24"/>
              </w:rPr>
              <w:t>not</w:t>
            </w:r>
            <w:r>
              <w:rPr>
                <w:spacing w:val="-3"/>
                <w:sz w:val="24"/>
              </w:rPr>
              <w:t> </w:t>
            </w:r>
            <w:r>
              <w:rPr>
                <w:sz w:val="24"/>
              </w:rPr>
              <w:t>to</w:t>
            </w:r>
            <w:r>
              <w:rPr>
                <w:spacing w:val="-3"/>
                <w:sz w:val="24"/>
              </w:rPr>
              <w:t> </w:t>
            </w:r>
            <w:r>
              <w:rPr>
                <w:sz w:val="24"/>
              </w:rPr>
              <w:t>decrease</w:t>
            </w:r>
            <w:r>
              <w:rPr>
                <w:spacing w:val="-4"/>
                <w:sz w:val="24"/>
              </w:rPr>
              <w:t> </w:t>
            </w:r>
            <w:r>
              <w:rPr>
                <w:sz w:val="24"/>
              </w:rPr>
              <w:t>provider</w:t>
            </w:r>
            <w:r>
              <w:rPr>
                <w:spacing w:val="-4"/>
                <w:sz w:val="24"/>
              </w:rPr>
              <w:t> </w:t>
            </w:r>
            <w:r>
              <w:rPr>
                <w:sz w:val="24"/>
              </w:rPr>
              <w:t>payment</w:t>
            </w:r>
            <w:r>
              <w:rPr>
                <w:spacing w:val="-3"/>
                <w:sz w:val="24"/>
              </w:rPr>
              <w:t> </w:t>
            </w:r>
            <w:r>
              <w:rPr>
                <w:sz w:val="24"/>
              </w:rPr>
              <w:t>rates</w:t>
            </w:r>
            <w:r>
              <w:rPr>
                <w:spacing w:val="-3"/>
                <w:sz w:val="24"/>
              </w:rPr>
              <w:t> </w:t>
            </w:r>
            <w:r>
              <w:rPr>
                <w:sz w:val="24"/>
              </w:rPr>
              <w:t>for</w:t>
            </w:r>
            <w:r>
              <w:rPr>
                <w:spacing w:val="-4"/>
                <w:sz w:val="24"/>
              </w:rPr>
              <w:t> </w:t>
            </w:r>
            <w:r>
              <w:rPr>
                <w:sz w:val="24"/>
              </w:rPr>
              <w:t>other</w:t>
            </w:r>
            <w:r>
              <w:rPr>
                <w:spacing w:val="-4"/>
                <w:sz w:val="24"/>
              </w:rPr>
              <w:t> </w:t>
            </w:r>
            <w:r>
              <w:rPr>
                <w:sz w:val="24"/>
              </w:rPr>
              <w:t>Medicaid-</w:t>
            </w:r>
            <w:r>
              <w:rPr>
                <w:spacing w:val="-4"/>
                <w:sz w:val="24"/>
              </w:rPr>
              <w:t> </w:t>
            </w:r>
            <w:r>
              <w:rPr>
                <w:sz w:val="24"/>
              </w:rPr>
              <w:t>or demonstration-covered services to make state funds available to finance provider rate increases required under this STC Section 21.</w:t>
            </w:r>
          </w:p>
        </w:tc>
      </w:tr>
      <w:tr>
        <w:trPr>
          <w:trHeight w:val="1106" w:hRule="atLeast"/>
        </w:trPr>
        <w:tc>
          <w:tcPr>
            <w:tcW w:w="9350" w:type="dxa"/>
          </w:tcPr>
          <w:p>
            <w:pPr>
              <w:pStyle w:val="TableParagraph"/>
              <w:ind w:left="107" w:right="117"/>
              <w:rPr>
                <w:sz w:val="24"/>
              </w:rPr>
            </w:pPr>
            <w:r>
              <w:rPr>
                <w:sz w:val="24"/>
              </w:rPr>
              <w:t>I,</w:t>
            </w:r>
            <w:r>
              <w:rPr>
                <w:spacing w:val="-3"/>
                <w:sz w:val="24"/>
              </w:rPr>
              <w:t> </w:t>
            </w:r>
            <w:r>
              <w:rPr>
                <w:i/>
                <w:sz w:val="24"/>
              </w:rPr>
              <w:t>[insert</w:t>
            </w:r>
            <w:r>
              <w:rPr>
                <w:i/>
                <w:spacing w:val="-3"/>
                <w:sz w:val="24"/>
              </w:rPr>
              <w:t> </w:t>
            </w:r>
            <w:r>
              <w:rPr>
                <w:i/>
                <w:sz w:val="24"/>
              </w:rPr>
              <w:t>name</w:t>
            </w:r>
            <w:r>
              <w:rPr>
                <w:i/>
                <w:spacing w:val="-4"/>
                <w:sz w:val="24"/>
              </w:rPr>
              <w:t> </w:t>
            </w:r>
            <w:r>
              <w:rPr>
                <w:i/>
                <w:sz w:val="24"/>
              </w:rPr>
              <w:t>of</w:t>
            </w:r>
            <w:r>
              <w:rPr>
                <w:i/>
                <w:spacing w:val="-3"/>
                <w:sz w:val="24"/>
              </w:rPr>
              <w:t> </w:t>
            </w:r>
            <w:r>
              <w:rPr>
                <w:i/>
                <w:sz w:val="24"/>
              </w:rPr>
              <w:t>SMD</w:t>
            </w:r>
            <w:r>
              <w:rPr>
                <w:i/>
                <w:spacing w:val="-4"/>
                <w:sz w:val="24"/>
              </w:rPr>
              <w:t> </w:t>
            </w:r>
            <w:r>
              <w:rPr>
                <w:i/>
                <w:sz w:val="24"/>
              </w:rPr>
              <w:t>or</w:t>
            </w:r>
            <w:r>
              <w:rPr>
                <w:i/>
                <w:spacing w:val="-3"/>
                <w:sz w:val="24"/>
              </w:rPr>
              <w:t> </w:t>
            </w:r>
            <w:r>
              <w:rPr>
                <w:i/>
                <w:sz w:val="24"/>
              </w:rPr>
              <w:t>CFO(or</w:t>
            </w:r>
            <w:r>
              <w:rPr>
                <w:i/>
                <w:spacing w:val="-1"/>
                <w:sz w:val="24"/>
              </w:rPr>
              <w:t> </w:t>
            </w:r>
            <w:r>
              <w:rPr>
                <w:i/>
                <w:sz w:val="24"/>
              </w:rPr>
              <w:t>equivalent</w:t>
            </w:r>
            <w:r>
              <w:rPr>
                <w:i/>
                <w:spacing w:val="-3"/>
                <w:sz w:val="24"/>
              </w:rPr>
              <w:t> </w:t>
            </w:r>
            <w:r>
              <w:rPr>
                <w:i/>
                <w:sz w:val="24"/>
              </w:rPr>
              <w:t>position</w:t>
            </w:r>
            <w:r>
              <w:rPr>
                <w:sz w:val="24"/>
              </w:rPr>
              <w:t>]</w:t>
            </w:r>
            <w:r>
              <w:rPr>
                <w:spacing w:val="-4"/>
                <w:sz w:val="24"/>
              </w:rPr>
              <w:t> </w:t>
            </w:r>
            <w:r>
              <w:rPr>
                <w:sz w:val="24"/>
              </w:rPr>
              <w:t>[</w:t>
            </w:r>
            <w:r>
              <w:rPr>
                <w:i/>
                <w:sz w:val="24"/>
              </w:rPr>
              <w:t>insert</w:t>
            </w:r>
            <w:r>
              <w:rPr>
                <w:i/>
                <w:spacing w:val="-3"/>
                <w:sz w:val="24"/>
              </w:rPr>
              <w:t> </w:t>
            </w:r>
            <w:r>
              <w:rPr>
                <w:i/>
                <w:sz w:val="24"/>
              </w:rPr>
              <w:t>title</w:t>
            </w:r>
            <w:r>
              <w:rPr>
                <w:sz w:val="24"/>
              </w:rPr>
              <w:t>],</w:t>
            </w:r>
            <w:r>
              <w:rPr>
                <w:spacing w:val="-3"/>
                <w:sz w:val="24"/>
              </w:rPr>
              <w:t> </w:t>
            </w:r>
            <w:r>
              <w:rPr>
                <w:sz w:val="24"/>
              </w:rPr>
              <w:t>attest</w:t>
            </w:r>
            <w:r>
              <w:rPr>
                <w:spacing w:val="-3"/>
                <w:sz w:val="24"/>
              </w:rPr>
              <w:t> </w:t>
            </w:r>
            <w:r>
              <w:rPr>
                <w:sz w:val="24"/>
              </w:rPr>
              <w:t>that</w:t>
            </w:r>
            <w:r>
              <w:rPr>
                <w:spacing w:val="-3"/>
                <w:sz w:val="24"/>
              </w:rPr>
              <w:t> </w:t>
            </w:r>
            <w:r>
              <w:rPr>
                <w:sz w:val="24"/>
              </w:rPr>
              <w:t>the</w:t>
            </w:r>
            <w:r>
              <w:rPr>
                <w:spacing w:val="-4"/>
                <w:sz w:val="24"/>
              </w:rPr>
              <w:t> </w:t>
            </w:r>
            <w:r>
              <w:rPr>
                <w:sz w:val="24"/>
              </w:rPr>
              <w:t>above information is complete and accurate.</w:t>
            </w:r>
          </w:p>
          <w:p>
            <w:pPr>
              <w:pStyle w:val="TableParagraph"/>
              <w:tabs>
                <w:tab w:pos="6234" w:val="left" w:leader="none"/>
                <w:tab w:pos="8886" w:val="left" w:leader="none"/>
              </w:tabs>
              <w:spacing w:line="270" w:lineRule="atLeast"/>
              <w:ind w:left="107" w:right="371"/>
              <w:rPr>
                <w:sz w:val="24"/>
              </w:rPr>
            </w:pPr>
            <w:r>
              <w:rPr>
                <w:sz w:val="24"/>
              </w:rPr>
              <w:t>[</w:t>
            </w:r>
            <w:r>
              <w:rPr>
                <w:i/>
                <w:sz w:val="24"/>
              </w:rPr>
              <w:t>Provide signature</w:t>
            </w:r>
            <w:r>
              <w:rPr>
                <w:sz w:val="24"/>
                <w:u w:val="single"/>
              </w:rPr>
              <w:tab/>
            </w:r>
            <w:r>
              <w:rPr>
                <w:sz w:val="24"/>
              </w:rPr>
              <w:t>] [</w:t>
            </w:r>
            <w:r>
              <w:rPr>
                <w:i/>
                <w:sz w:val="24"/>
              </w:rPr>
              <w:t>Provide date</w:t>
            </w:r>
            <w:r>
              <w:rPr>
                <w:sz w:val="24"/>
                <w:u w:val="single"/>
              </w:rPr>
              <w:tab/>
            </w:r>
            <w:r>
              <w:rPr>
                <w:spacing w:val="-10"/>
                <w:sz w:val="24"/>
              </w:rPr>
              <w:t>] </w:t>
            </w:r>
            <w:r>
              <w:rPr>
                <w:sz w:val="24"/>
              </w:rPr>
              <w:t>[</w:t>
            </w:r>
            <w:r>
              <w:rPr>
                <w:i/>
                <w:sz w:val="24"/>
              </w:rPr>
              <w:t>Provide printed name of signator</w:t>
            </w:r>
            <w:r>
              <w:rPr>
                <w:sz w:val="24"/>
              </w:rPr>
              <w:t>]</w:t>
            </w:r>
          </w:p>
        </w:tc>
      </w:tr>
    </w:tbl>
    <w:p>
      <w:pPr>
        <w:spacing w:after="0" w:line="270" w:lineRule="atLeast"/>
        <w:rPr>
          <w:sz w:val="24"/>
        </w:rPr>
        <w:sectPr>
          <w:type w:val="continuous"/>
          <w:pgSz w:w="12240" w:h="15840"/>
          <w:pgMar w:header="0" w:footer="1201" w:top="1420" w:bottom="1400" w:left="220" w:right="340"/>
        </w:sectPr>
      </w:pPr>
    </w:p>
    <w:p>
      <w:pPr>
        <w:pStyle w:val="Heading4"/>
        <w:numPr>
          <w:ilvl w:val="0"/>
          <w:numId w:val="3"/>
        </w:numPr>
        <w:tabs>
          <w:tab w:pos="1580" w:val="left" w:leader="none"/>
        </w:tabs>
        <w:spacing w:line="240" w:lineRule="auto" w:before="79" w:after="0"/>
        <w:ind w:left="1580" w:right="0" w:hanging="480"/>
        <w:jc w:val="left"/>
      </w:pPr>
      <w:bookmarkStart w:name="22. SCHEDULE OF DELIVERABLES FOR THE DEM" w:id="1126"/>
      <w:bookmarkEnd w:id="1126"/>
      <w:r>
        <w:rPr>
          <w:b w:val="0"/>
        </w:rPr>
      </w:r>
      <w:r>
        <w:rPr/>
        <w:t>SCHEDULE</w:t>
      </w:r>
      <w:r>
        <w:rPr>
          <w:spacing w:val="-5"/>
        </w:rPr>
        <w:t> </w:t>
      </w:r>
      <w:r>
        <w:rPr/>
        <w:t>OF</w:t>
      </w:r>
      <w:r>
        <w:rPr>
          <w:spacing w:val="-5"/>
        </w:rPr>
        <w:t> </w:t>
      </w:r>
      <w:r>
        <w:rPr/>
        <w:t>DELIVERABLES</w:t>
      </w:r>
      <w:r>
        <w:rPr>
          <w:spacing w:val="-3"/>
        </w:rPr>
        <w:t> </w:t>
      </w:r>
      <w:r>
        <w:rPr/>
        <w:t>FOR</w:t>
      </w:r>
      <w:r>
        <w:rPr>
          <w:spacing w:val="-4"/>
        </w:rPr>
        <w:t> </w:t>
      </w:r>
      <w:r>
        <w:rPr/>
        <w:t>THE</w:t>
      </w:r>
      <w:r>
        <w:rPr>
          <w:spacing w:val="-4"/>
        </w:rPr>
        <w:t> </w:t>
      </w:r>
      <w:r>
        <w:rPr/>
        <w:t>DEMONSTRATION</w:t>
      </w:r>
      <w:r>
        <w:rPr>
          <w:spacing w:val="-3"/>
        </w:rPr>
        <w:t> </w:t>
      </w:r>
      <w:r>
        <w:rPr>
          <w:spacing w:val="-2"/>
        </w:rPr>
        <w:t>PERIOD</w:t>
      </w:r>
    </w:p>
    <w:p>
      <w:pPr>
        <w:pStyle w:val="BodyText"/>
        <w:spacing w:before="10"/>
        <w:rPr>
          <w:b/>
          <w:sz w:val="20"/>
        </w:rPr>
      </w:pPr>
    </w:p>
    <w:p>
      <w:pPr>
        <w:pStyle w:val="BodyText"/>
        <w:ind w:left="1220" w:right="1219"/>
      </w:pPr>
      <w:r>
        <w:rPr/>
        <w:t>The</w:t>
      </w:r>
      <w:r>
        <w:rPr>
          <w:spacing w:val="-4"/>
        </w:rPr>
        <w:t> </w:t>
      </w:r>
      <w:r>
        <w:rPr/>
        <w:t>Commonwealth</w:t>
      </w:r>
      <w:r>
        <w:rPr>
          <w:spacing w:val="-3"/>
        </w:rPr>
        <w:t> </w:t>
      </w:r>
      <w:r>
        <w:rPr/>
        <w:t>is</w:t>
      </w:r>
      <w:r>
        <w:rPr>
          <w:spacing w:val="-3"/>
        </w:rPr>
        <w:t> </w:t>
      </w:r>
      <w:r>
        <w:rPr/>
        <w:t>held</w:t>
      </w:r>
      <w:r>
        <w:rPr>
          <w:spacing w:val="-3"/>
        </w:rPr>
        <w:t> </w:t>
      </w:r>
      <w:r>
        <w:rPr/>
        <w:t>to</w:t>
      </w:r>
      <w:r>
        <w:rPr>
          <w:spacing w:val="-3"/>
        </w:rPr>
        <w:t> </w:t>
      </w:r>
      <w:r>
        <w:rPr/>
        <w:t>all</w:t>
      </w:r>
      <w:r>
        <w:rPr>
          <w:spacing w:val="-3"/>
        </w:rPr>
        <w:t> </w:t>
      </w:r>
      <w:r>
        <w:rPr/>
        <w:t>reporting</w:t>
      </w:r>
      <w:r>
        <w:rPr>
          <w:spacing w:val="-6"/>
        </w:rPr>
        <w:t> </w:t>
      </w:r>
      <w:r>
        <w:rPr/>
        <w:t>requirements</w:t>
      </w:r>
      <w:r>
        <w:rPr>
          <w:spacing w:val="-3"/>
        </w:rPr>
        <w:t> </w:t>
      </w:r>
      <w:r>
        <w:rPr/>
        <w:t>as</w:t>
      </w:r>
      <w:r>
        <w:rPr>
          <w:spacing w:val="-3"/>
        </w:rPr>
        <w:t> </w:t>
      </w:r>
      <w:r>
        <w:rPr/>
        <w:t>outlined</w:t>
      </w:r>
      <w:r>
        <w:rPr>
          <w:spacing w:val="-4"/>
        </w:rPr>
        <w:t> </w:t>
      </w:r>
      <w:r>
        <w:rPr/>
        <w:t>in</w:t>
      </w:r>
      <w:r>
        <w:rPr>
          <w:spacing w:val="-3"/>
        </w:rPr>
        <w:t> </w:t>
      </w:r>
      <w:r>
        <w:rPr/>
        <w:t>the</w:t>
      </w:r>
      <w:r>
        <w:rPr>
          <w:spacing w:val="-4"/>
        </w:rPr>
        <w:t> </w:t>
      </w:r>
      <w:r>
        <w:rPr/>
        <w:t>STCs;</w:t>
      </w:r>
      <w:r>
        <w:rPr>
          <w:spacing w:val="-3"/>
        </w:rPr>
        <w:t> </w:t>
      </w:r>
      <w:r>
        <w:rPr/>
        <w:t>this</w:t>
      </w:r>
      <w:r>
        <w:rPr>
          <w:spacing w:val="-3"/>
        </w:rPr>
        <w:t> </w:t>
      </w:r>
      <w:r>
        <w:rPr/>
        <w:t>schedule of deliverables should serve only as a tool for informational purposes only.</w:t>
      </w:r>
    </w:p>
    <w:p>
      <w:pPr>
        <w:pStyle w:val="BodyText"/>
        <w:spacing w:after="1"/>
        <w:rPr>
          <w:sz w:val="14"/>
        </w:rPr>
      </w:pPr>
    </w:p>
    <w:tbl>
      <w:tblPr>
        <w:tblW w:w="0" w:type="auto"/>
        <w:jc w:val="left"/>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95"/>
        <w:gridCol w:w="3420"/>
        <w:gridCol w:w="2335"/>
      </w:tblGrid>
      <w:tr>
        <w:trPr>
          <w:trHeight w:val="551" w:hRule="atLeast"/>
        </w:trPr>
        <w:tc>
          <w:tcPr>
            <w:tcW w:w="3595" w:type="dxa"/>
            <w:shd w:val="clear" w:color="auto" w:fill="DBE6F1"/>
          </w:tcPr>
          <w:p>
            <w:pPr>
              <w:pStyle w:val="TableParagraph"/>
              <w:spacing w:before="135"/>
              <w:ind w:left="1036"/>
              <w:rPr>
                <w:b/>
                <w:sz w:val="24"/>
              </w:rPr>
            </w:pPr>
            <w:r>
              <w:rPr>
                <w:b/>
                <w:sz w:val="24"/>
              </w:rPr>
              <w:t>Date</w:t>
            </w:r>
            <w:r>
              <w:rPr>
                <w:b/>
                <w:spacing w:val="-4"/>
                <w:sz w:val="24"/>
              </w:rPr>
              <w:t> </w:t>
            </w:r>
            <w:r>
              <w:rPr>
                <w:b/>
                <w:sz w:val="24"/>
              </w:rPr>
              <w:t>–</w:t>
            </w:r>
            <w:r>
              <w:rPr>
                <w:b/>
                <w:spacing w:val="-1"/>
                <w:sz w:val="24"/>
              </w:rPr>
              <w:t> </w:t>
            </w:r>
            <w:r>
              <w:rPr>
                <w:b/>
                <w:spacing w:val="-2"/>
                <w:sz w:val="24"/>
              </w:rPr>
              <w:t>Specific</w:t>
            </w:r>
          </w:p>
        </w:tc>
        <w:tc>
          <w:tcPr>
            <w:tcW w:w="3420" w:type="dxa"/>
            <w:shd w:val="clear" w:color="auto" w:fill="DBE6F1"/>
          </w:tcPr>
          <w:p>
            <w:pPr>
              <w:pStyle w:val="TableParagraph"/>
              <w:spacing w:before="135"/>
              <w:ind w:left="1123"/>
              <w:rPr>
                <w:b/>
                <w:sz w:val="24"/>
              </w:rPr>
            </w:pPr>
            <w:r>
              <w:rPr>
                <w:b/>
                <w:spacing w:val="-2"/>
                <w:sz w:val="24"/>
              </w:rPr>
              <w:t>Deliverable</w:t>
            </w:r>
          </w:p>
        </w:tc>
        <w:tc>
          <w:tcPr>
            <w:tcW w:w="2335" w:type="dxa"/>
            <w:shd w:val="clear" w:color="auto" w:fill="DBE6F1"/>
          </w:tcPr>
          <w:p>
            <w:pPr>
              <w:pStyle w:val="TableParagraph"/>
              <w:spacing w:line="276" w:lineRule="exact"/>
              <w:ind w:left="655" w:hanging="130"/>
              <w:rPr>
                <w:b/>
                <w:sz w:val="24"/>
              </w:rPr>
            </w:pPr>
            <w:r>
              <w:rPr>
                <w:b/>
                <w:spacing w:val="-2"/>
                <w:sz w:val="24"/>
              </w:rPr>
              <w:t>STC/Section Reference</w:t>
            </w:r>
          </w:p>
        </w:tc>
      </w:tr>
      <w:tr>
        <w:trPr>
          <w:trHeight w:val="551" w:hRule="atLeast"/>
        </w:trPr>
        <w:tc>
          <w:tcPr>
            <w:tcW w:w="3595" w:type="dxa"/>
          </w:tcPr>
          <w:p>
            <w:pPr>
              <w:pStyle w:val="TableParagraph"/>
              <w:spacing w:line="276" w:lineRule="exact"/>
              <w:ind w:left="107"/>
              <w:rPr>
                <w:sz w:val="24"/>
              </w:rPr>
            </w:pPr>
            <w:r>
              <w:rPr>
                <w:sz w:val="24"/>
              </w:rPr>
              <w:t>180 calendar days from demonstration</w:t>
            </w:r>
            <w:r>
              <w:rPr>
                <w:spacing w:val="-15"/>
                <w:sz w:val="24"/>
              </w:rPr>
              <w:t> </w:t>
            </w:r>
            <w:r>
              <w:rPr>
                <w:sz w:val="24"/>
              </w:rPr>
              <w:t>approval</w:t>
            </w:r>
            <w:r>
              <w:rPr>
                <w:spacing w:val="-15"/>
                <w:sz w:val="24"/>
              </w:rPr>
              <w:t> </w:t>
            </w:r>
            <w:r>
              <w:rPr>
                <w:sz w:val="24"/>
              </w:rPr>
              <w:t>date</w:t>
            </w:r>
          </w:p>
        </w:tc>
        <w:tc>
          <w:tcPr>
            <w:tcW w:w="3420" w:type="dxa"/>
          </w:tcPr>
          <w:p>
            <w:pPr>
              <w:pStyle w:val="TableParagraph"/>
              <w:spacing w:before="135"/>
              <w:ind w:left="107"/>
              <w:rPr>
                <w:sz w:val="24"/>
              </w:rPr>
            </w:pPr>
            <w:r>
              <w:rPr>
                <w:sz w:val="24"/>
              </w:rPr>
              <w:t>Draft</w:t>
            </w:r>
            <w:r>
              <w:rPr>
                <w:spacing w:val="-3"/>
                <w:sz w:val="24"/>
              </w:rPr>
              <w:t> </w:t>
            </w:r>
            <w:r>
              <w:rPr>
                <w:sz w:val="24"/>
              </w:rPr>
              <w:t>Evaluation</w:t>
            </w:r>
            <w:r>
              <w:rPr>
                <w:spacing w:val="-2"/>
                <w:sz w:val="24"/>
              </w:rPr>
              <w:t> Design</w:t>
            </w:r>
          </w:p>
        </w:tc>
        <w:tc>
          <w:tcPr>
            <w:tcW w:w="2335" w:type="dxa"/>
          </w:tcPr>
          <w:p>
            <w:pPr>
              <w:pStyle w:val="TableParagraph"/>
              <w:spacing w:before="135"/>
              <w:ind w:left="107"/>
              <w:rPr>
                <w:sz w:val="24"/>
              </w:rPr>
            </w:pPr>
            <w:r>
              <w:rPr>
                <w:sz w:val="24"/>
              </w:rPr>
              <w:t>STC</w:t>
            </w:r>
            <w:r>
              <w:rPr>
                <w:spacing w:val="-1"/>
                <w:sz w:val="24"/>
              </w:rPr>
              <w:t> </w:t>
            </w:r>
            <w:r>
              <w:rPr>
                <w:spacing w:val="-4"/>
                <w:sz w:val="24"/>
              </w:rPr>
              <w:t>17.4</w:t>
            </w:r>
          </w:p>
        </w:tc>
      </w:tr>
      <w:tr>
        <w:trPr>
          <w:trHeight w:val="550" w:hRule="atLeast"/>
        </w:trPr>
        <w:tc>
          <w:tcPr>
            <w:tcW w:w="3595" w:type="dxa"/>
          </w:tcPr>
          <w:p>
            <w:pPr>
              <w:pStyle w:val="TableParagraph"/>
              <w:spacing w:line="276" w:lineRule="exact"/>
              <w:ind w:left="107"/>
              <w:rPr>
                <w:sz w:val="24"/>
              </w:rPr>
            </w:pPr>
            <w:r>
              <w:rPr>
                <w:sz w:val="24"/>
              </w:rPr>
              <w:t>Within</w:t>
            </w:r>
            <w:r>
              <w:rPr>
                <w:spacing w:val="-7"/>
                <w:sz w:val="24"/>
              </w:rPr>
              <w:t> </w:t>
            </w:r>
            <w:r>
              <w:rPr>
                <w:sz w:val="24"/>
              </w:rPr>
              <w:t>60</w:t>
            </w:r>
            <w:r>
              <w:rPr>
                <w:spacing w:val="-7"/>
                <w:sz w:val="24"/>
              </w:rPr>
              <w:t> </w:t>
            </w:r>
            <w:r>
              <w:rPr>
                <w:sz w:val="24"/>
              </w:rPr>
              <w:t>days</w:t>
            </w:r>
            <w:r>
              <w:rPr>
                <w:spacing w:val="-7"/>
                <w:sz w:val="24"/>
              </w:rPr>
              <w:t> </w:t>
            </w:r>
            <w:r>
              <w:rPr>
                <w:sz w:val="24"/>
              </w:rPr>
              <w:t>of</w:t>
            </w:r>
            <w:r>
              <w:rPr>
                <w:spacing w:val="-6"/>
                <w:sz w:val="24"/>
              </w:rPr>
              <w:t> </w:t>
            </w:r>
            <w:r>
              <w:rPr>
                <w:sz w:val="24"/>
              </w:rPr>
              <w:t>receipt</w:t>
            </w:r>
            <w:r>
              <w:rPr>
                <w:spacing w:val="-7"/>
                <w:sz w:val="24"/>
              </w:rPr>
              <w:t> </w:t>
            </w:r>
            <w:r>
              <w:rPr>
                <w:sz w:val="24"/>
              </w:rPr>
              <w:t>of</w:t>
            </w:r>
            <w:r>
              <w:rPr>
                <w:spacing w:val="-8"/>
                <w:sz w:val="24"/>
              </w:rPr>
              <w:t> </w:t>
            </w:r>
            <w:r>
              <w:rPr>
                <w:sz w:val="24"/>
              </w:rPr>
              <w:t>CMS </w:t>
            </w:r>
            <w:r>
              <w:rPr>
                <w:spacing w:val="-2"/>
                <w:sz w:val="24"/>
              </w:rPr>
              <w:t>comments</w:t>
            </w:r>
          </w:p>
        </w:tc>
        <w:tc>
          <w:tcPr>
            <w:tcW w:w="3420" w:type="dxa"/>
          </w:tcPr>
          <w:p>
            <w:pPr>
              <w:pStyle w:val="TableParagraph"/>
              <w:spacing w:before="137"/>
              <w:ind w:left="107"/>
              <w:rPr>
                <w:sz w:val="24"/>
              </w:rPr>
            </w:pPr>
            <w:r>
              <w:rPr>
                <w:sz w:val="24"/>
              </w:rPr>
              <w:t>Revised</w:t>
            </w:r>
            <w:r>
              <w:rPr>
                <w:spacing w:val="-3"/>
                <w:sz w:val="24"/>
              </w:rPr>
              <w:t> </w:t>
            </w:r>
            <w:r>
              <w:rPr>
                <w:sz w:val="24"/>
              </w:rPr>
              <w:t>Evaluation</w:t>
            </w:r>
            <w:r>
              <w:rPr>
                <w:spacing w:val="-2"/>
                <w:sz w:val="24"/>
              </w:rPr>
              <w:t> Design</w:t>
            </w:r>
          </w:p>
        </w:tc>
        <w:tc>
          <w:tcPr>
            <w:tcW w:w="2335" w:type="dxa"/>
          </w:tcPr>
          <w:p>
            <w:pPr>
              <w:pStyle w:val="TableParagraph"/>
              <w:spacing w:before="137"/>
              <w:ind w:left="107"/>
              <w:rPr>
                <w:sz w:val="24"/>
              </w:rPr>
            </w:pPr>
            <w:r>
              <w:rPr>
                <w:sz w:val="24"/>
              </w:rPr>
              <w:t>STC</w:t>
            </w:r>
            <w:r>
              <w:rPr>
                <w:spacing w:val="-1"/>
                <w:sz w:val="24"/>
              </w:rPr>
              <w:t> </w:t>
            </w:r>
            <w:r>
              <w:rPr>
                <w:spacing w:val="-4"/>
                <w:sz w:val="24"/>
              </w:rPr>
              <w:t>17.5</w:t>
            </w:r>
          </w:p>
        </w:tc>
      </w:tr>
      <w:tr>
        <w:trPr>
          <w:trHeight w:val="826" w:hRule="atLeast"/>
        </w:trPr>
        <w:tc>
          <w:tcPr>
            <w:tcW w:w="3595" w:type="dxa"/>
          </w:tcPr>
          <w:p>
            <w:pPr>
              <w:pStyle w:val="TableParagraph"/>
              <w:spacing w:line="276" w:lineRule="exact"/>
              <w:ind w:left="107"/>
              <w:rPr>
                <w:sz w:val="24"/>
              </w:rPr>
            </w:pPr>
            <w:r>
              <w:rPr>
                <w:sz w:val="24"/>
              </w:rPr>
              <w:t>One</w:t>
            </w:r>
            <w:r>
              <w:rPr>
                <w:spacing w:val="-8"/>
                <w:sz w:val="24"/>
              </w:rPr>
              <w:t> </w:t>
            </w:r>
            <w:r>
              <w:rPr>
                <w:sz w:val="24"/>
              </w:rPr>
              <w:t>year</w:t>
            </w:r>
            <w:r>
              <w:rPr>
                <w:spacing w:val="-11"/>
                <w:sz w:val="24"/>
              </w:rPr>
              <w:t> </w:t>
            </w:r>
            <w:r>
              <w:rPr>
                <w:sz w:val="24"/>
              </w:rPr>
              <w:t>prior</w:t>
            </w:r>
            <w:r>
              <w:rPr>
                <w:spacing w:val="-11"/>
                <w:sz w:val="24"/>
              </w:rPr>
              <w:t> </w:t>
            </w:r>
            <w:r>
              <w:rPr>
                <w:sz w:val="24"/>
              </w:rPr>
              <w:t>to</w:t>
            </w:r>
            <w:r>
              <w:rPr>
                <w:spacing w:val="-10"/>
                <w:sz w:val="24"/>
              </w:rPr>
              <w:t> </w:t>
            </w:r>
            <w:r>
              <w:rPr>
                <w:sz w:val="24"/>
              </w:rPr>
              <w:t>demonstration expiration or with extension </w:t>
            </w:r>
            <w:r>
              <w:rPr>
                <w:spacing w:val="-2"/>
                <w:sz w:val="24"/>
              </w:rPr>
              <w:t>application</w:t>
            </w:r>
          </w:p>
        </w:tc>
        <w:tc>
          <w:tcPr>
            <w:tcW w:w="3420" w:type="dxa"/>
          </w:tcPr>
          <w:p>
            <w:pPr>
              <w:pStyle w:val="TableParagraph"/>
              <w:spacing w:before="9"/>
              <w:rPr>
                <w:sz w:val="23"/>
              </w:rPr>
            </w:pPr>
          </w:p>
          <w:p>
            <w:pPr>
              <w:pStyle w:val="TableParagraph"/>
              <w:ind w:left="107"/>
              <w:rPr>
                <w:sz w:val="24"/>
              </w:rPr>
            </w:pPr>
            <w:r>
              <w:rPr>
                <w:sz w:val="24"/>
              </w:rPr>
              <w:t>Draft</w:t>
            </w:r>
            <w:r>
              <w:rPr>
                <w:spacing w:val="-2"/>
                <w:sz w:val="24"/>
              </w:rPr>
              <w:t> </w:t>
            </w:r>
            <w:r>
              <w:rPr>
                <w:sz w:val="24"/>
              </w:rPr>
              <w:t>Interim</w:t>
            </w:r>
            <w:r>
              <w:rPr>
                <w:spacing w:val="-4"/>
                <w:sz w:val="24"/>
              </w:rPr>
              <w:t> </w:t>
            </w:r>
            <w:r>
              <w:rPr>
                <w:sz w:val="24"/>
              </w:rPr>
              <w:t>Evaluation</w:t>
            </w:r>
            <w:r>
              <w:rPr>
                <w:spacing w:val="-1"/>
                <w:sz w:val="24"/>
              </w:rPr>
              <w:t> </w:t>
            </w:r>
            <w:r>
              <w:rPr>
                <w:spacing w:val="-2"/>
                <w:sz w:val="24"/>
              </w:rPr>
              <w:t>Report</w:t>
            </w:r>
          </w:p>
        </w:tc>
        <w:tc>
          <w:tcPr>
            <w:tcW w:w="2335" w:type="dxa"/>
          </w:tcPr>
          <w:p>
            <w:pPr>
              <w:pStyle w:val="TableParagraph"/>
              <w:spacing w:before="9"/>
              <w:rPr>
                <w:sz w:val="23"/>
              </w:rPr>
            </w:pPr>
          </w:p>
          <w:p>
            <w:pPr>
              <w:pStyle w:val="TableParagraph"/>
              <w:ind w:left="107"/>
              <w:rPr>
                <w:sz w:val="24"/>
              </w:rPr>
            </w:pPr>
            <w:r>
              <w:rPr>
                <w:sz w:val="24"/>
              </w:rPr>
              <w:t>STC</w:t>
            </w:r>
            <w:r>
              <w:rPr>
                <w:spacing w:val="-1"/>
                <w:sz w:val="24"/>
              </w:rPr>
              <w:t> </w:t>
            </w:r>
            <w:r>
              <w:rPr>
                <w:spacing w:val="-4"/>
                <w:sz w:val="24"/>
              </w:rPr>
              <w:t>17.7</w:t>
            </w:r>
          </w:p>
        </w:tc>
      </w:tr>
      <w:tr>
        <w:trPr>
          <w:trHeight w:val="549" w:hRule="atLeast"/>
        </w:trPr>
        <w:tc>
          <w:tcPr>
            <w:tcW w:w="3595" w:type="dxa"/>
          </w:tcPr>
          <w:p>
            <w:pPr>
              <w:pStyle w:val="TableParagraph"/>
              <w:spacing w:line="276" w:lineRule="exact"/>
              <w:ind w:left="107"/>
              <w:rPr>
                <w:sz w:val="24"/>
              </w:rPr>
            </w:pPr>
            <w:r>
              <w:rPr>
                <w:sz w:val="24"/>
              </w:rPr>
              <w:t>Within</w:t>
            </w:r>
            <w:r>
              <w:rPr>
                <w:spacing w:val="-7"/>
                <w:sz w:val="24"/>
              </w:rPr>
              <w:t> </w:t>
            </w:r>
            <w:r>
              <w:rPr>
                <w:sz w:val="24"/>
              </w:rPr>
              <w:t>60</w:t>
            </w:r>
            <w:r>
              <w:rPr>
                <w:spacing w:val="-7"/>
                <w:sz w:val="24"/>
              </w:rPr>
              <w:t> </w:t>
            </w:r>
            <w:r>
              <w:rPr>
                <w:sz w:val="24"/>
              </w:rPr>
              <w:t>days</w:t>
            </w:r>
            <w:r>
              <w:rPr>
                <w:spacing w:val="-7"/>
                <w:sz w:val="24"/>
              </w:rPr>
              <w:t> </w:t>
            </w:r>
            <w:r>
              <w:rPr>
                <w:sz w:val="24"/>
              </w:rPr>
              <w:t>of</w:t>
            </w:r>
            <w:r>
              <w:rPr>
                <w:spacing w:val="-6"/>
                <w:sz w:val="24"/>
              </w:rPr>
              <w:t> </w:t>
            </w:r>
            <w:r>
              <w:rPr>
                <w:sz w:val="24"/>
              </w:rPr>
              <w:t>receipt</w:t>
            </w:r>
            <w:r>
              <w:rPr>
                <w:spacing w:val="-7"/>
                <w:sz w:val="24"/>
              </w:rPr>
              <w:t> </w:t>
            </w:r>
            <w:r>
              <w:rPr>
                <w:sz w:val="24"/>
              </w:rPr>
              <w:t>of</w:t>
            </w:r>
            <w:r>
              <w:rPr>
                <w:spacing w:val="-8"/>
                <w:sz w:val="24"/>
              </w:rPr>
              <w:t> </w:t>
            </w:r>
            <w:r>
              <w:rPr>
                <w:sz w:val="24"/>
              </w:rPr>
              <w:t>CMS </w:t>
            </w:r>
            <w:r>
              <w:rPr>
                <w:spacing w:val="-2"/>
                <w:sz w:val="24"/>
              </w:rPr>
              <w:t>comments</w:t>
            </w:r>
          </w:p>
        </w:tc>
        <w:tc>
          <w:tcPr>
            <w:tcW w:w="3420" w:type="dxa"/>
          </w:tcPr>
          <w:p>
            <w:pPr>
              <w:pStyle w:val="TableParagraph"/>
              <w:spacing w:line="276" w:lineRule="exact"/>
              <w:ind w:left="107" w:right="134"/>
              <w:rPr>
                <w:sz w:val="24"/>
              </w:rPr>
            </w:pPr>
            <w:r>
              <w:rPr>
                <w:sz w:val="24"/>
              </w:rPr>
              <w:t>Revised</w:t>
            </w:r>
            <w:r>
              <w:rPr>
                <w:spacing w:val="-15"/>
                <w:sz w:val="24"/>
              </w:rPr>
              <w:t> </w:t>
            </w:r>
            <w:r>
              <w:rPr>
                <w:sz w:val="24"/>
              </w:rPr>
              <w:t>Interim</w:t>
            </w:r>
            <w:r>
              <w:rPr>
                <w:spacing w:val="-15"/>
                <w:sz w:val="24"/>
              </w:rPr>
              <w:t> </w:t>
            </w:r>
            <w:r>
              <w:rPr>
                <w:sz w:val="24"/>
              </w:rPr>
              <w:t>Evaluation </w:t>
            </w:r>
            <w:r>
              <w:rPr>
                <w:spacing w:val="-2"/>
                <w:sz w:val="24"/>
              </w:rPr>
              <w:t>Report</w:t>
            </w:r>
          </w:p>
        </w:tc>
        <w:tc>
          <w:tcPr>
            <w:tcW w:w="2335" w:type="dxa"/>
          </w:tcPr>
          <w:p>
            <w:pPr>
              <w:pStyle w:val="TableParagraph"/>
              <w:spacing w:before="136"/>
              <w:ind w:left="107"/>
              <w:rPr>
                <w:sz w:val="24"/>
              </w:rPr>
            </w:pPr>
            <w:r>
              <w:rPr>
                <w:sz w:val="24"/>
              </w:rPr>
              <w:t>STC</w:t>
            </w:r>
            <w:r>
              <w:rPr>
                <w:spacing w:val="-1"/>
                <w:sz w:val="24"/>
              </w:rPr>
              <w:t> </w:t>
            </w:r>
            <w:r>
              <w:rPr>
                <w:spacing w:val="-4"/>
                <w:sz w:val="24"/>
              </w:rPr>
              <w:t>17.7</w:t>
            </w:r>
          </w:p>
        </w:tc>
      </w:tr>
      <w:tr>
        <w:trPr>
          <w:trHeight w:val="828" w:hRule="atLeast"/>
        </w:trPr>
        <w:tc>
          <w:tcPr>
            <w:tcW w:w="3595" w:type="dxa"/>
          </w:tcPr>
          <w:p>
            <w:pPr>
              <w:pStyle w:val="TableParagraph"/>
              <w:spacing w:line="276" w:lineRule="exact"/>
              <w:ind w:left="107"/>
              <w:rPr>
                <w:sz w:val="24"/>
              </w:rPr>
            </w:pPr>
            <w:r>
              <w:rPr>
                <w:sz w:val="24"/>
              </w:rPr>
              <w:t>Within 18 months after the expiration</w:t>
            </w:r>
            <w:r>
              <w:rPr>
                <w:spacing w:val="-13"/>
                <w:sz w:val="24"/>
              </w:rPr>
              <w:t> </w:t>
            </w:r>
            <w:r>
              <w:rPr>
                <w:sz w:val="24"/>
              </w:rPr>
              <w:t>of</w:t>
            </w:r>
            <w:r>
              <w:rPr>
                <w:spacing w:val="-14"/>
                <w:sz w:val="24"/>
              </w:rPr>
              <w:t> </w:t>
            </w:r>
            <w:r>
              <w:rPr>
                <w:sz w:val="24"/>
              </w:rPr>
              <w:t>this</w:t>
            </w:r>
            <w:r>
              <w:rPr>
                <w:spacing w:val="-13"/>
                <w:sz w:val="24"/>
              </w:rPr>
              <w:t> </w:t>
            </w:r>
            <w:r>
              <w:rPr>
                <w:sz w:val="24"/>
              </w:rPr>
              <w:t>demonstration </w:t>
            </w:r>
            <w:r>
              <w:rPr>
                <w:spacing w:val="-2"/>
                <w:sz w:val="24"/>
              </w:rPr>
              <w:t>period</w:t>
            </w:r>
          </w:p>
        </w:tc>
        <w:tc>
          <w:tcPr>
            <w:tcW w:w="3420" w:type="dxa"/>
          </w:tcPr>
          <w:p>
            <w:pPr>
              <w:pStyle w:val="TableParagraph"/>
              <w:spacing w:before="136"/>
              <w:ind w:left="107"/>
              <w:rPr>
                <w:sz w:val="24"/>
              </w:rPr>
            </w:pPr>
            <w:r>
              <w:rPr>
                <w:sz w:val="24"/>
              </w:rPr>
              <w:t>Draft</w:t>
            </w:r>
            <w:r>
              <w:rPr>
                <w:spacing w:val="-15"/>
                <w:sz w:val="24"/>
              </w:rPr>
              <w:t> </w:t>
            </w:r>
            <w:r>
              <w:rPr>
                <w:sz w:val="24"/>
              </w:rPr>
              <w:t>Summative</w:t>
            </w:r>
            <w:r>
              <w:rPr>
                <w:spacing w:val="-15"/>
                <w:sz w:val="24"/>
              </w:rPr>
              <w:t> </w:t>
            </w:r>
            <w:r>
              <w:rPr>
                <w:sz w:val="24"/>
              </w:rPr>
              <w:t>Evaluation </w:t>
            </w:r>
            <w:r>
              <w:rPr>
                <w:spacing w:val="-2"/>
                <w:sz w:val="24"/>
              </w:rPr>
              <w:t>Report</w:t>
            </w:r>
          </w:p>
        </w:tc>
        <w:tc>
          <w:tcPr>
            <w:tcW w:w="2335" w:type="dxa"/>
          </w:tcPr>
          <w:p>
            <w:pPr>
              <w:pStyle w:val="TableParagraph"/>
              <w:spacing w:before="10"/>
              <w:rPr>
                <w:sz w:val="23"/>
              </w:rPr>
            </w:pPr>
          </w:p>
          <w:p>
            <w:pPr>
              <w:pStyle w:val="TableParagraph"/>
              <w:spacing w:before="1"/>
              <w:ind w:left="107"/>
              <w:rPr>
                <w:sz w:val="24"/>
              </w:rPr>
            </w:pPr>
            <w:r>
              <w:rPr>
                <w:sz w:val="24"/>
              </w:rPr>
              <w:t>STC</w:t>
            </w:r>
            <w:r>
              <w:rPr>
                <w:spacing w:val="-1"/>
                <w:sz w:val="24"/>
              </w:rPr>
              <w:t> </w:t>
            </w:r>
            <w:r>
              <w:rPr>
                <w:spacing w:val="-4"/>
                <w:sz w:val="24"/>
              </w:rPr>
              <w:t>17.8</w:t>
            </w:r>
          </w:p>
        </w:tc>
      </w:tr>
      <w:tr>
        <w:trPr>
          <w:trHeight w:val="551" w:hRule="atLeast"/>
        </w:trPr>
        <w:tc>
          <w:tcPr>
            <w:tcW w:w="3595" w:type="dxa"/>
          </w:tcPr>
          <w:p>
            <w:pPr>
              <w:pStyle w:val="TableParagraph"/>
              <w:spacing w:line="276" w:lineRule="exact"/>
              <w:ind w:left="107"/>
              <w:rPr>
                <w:sz w:val="24"/>
              </w:rPr>
            </w:pPr>
            <w:r>
              <w:rPr>
                <w:sz w:val="24"/>
              </w:rPr>
              <w:t>Within</w:t>
            </w:r>
            <w:r>
              <w:rPr>
                <w:spacing w:val="-7"/>
                <w:sz w:val="24"/>
              </w:rPr>
              <w:t> </w:t>
            </w:r>
            <w:r>
              <w:rPr>
                <w:sz w:val="24"/>
              </w:rPr>
              <w:t>60</w:t>
            </w:r>
            <w:r>
              <w:rPr>
                <w:spacing w:val="-7"/>
                <w:sz w:val="24"/>
              </w:rPr>
              <w:t> </w:t>
            </w:r>
            <w:r>
              <w:rPr>
                <w:sz w:val="24"/>
              </w:rPr>
              <w:t>days</w:t>
            </w:r>
            <w:r>
              <w:rPr>
                <w:spacing w:val="-7"/>
                <w:sz w:val="24"/>
              </w:rPr>
              <w:t> </w:t>
            </w:r>
            <w:r>
              <w:rPr>
                <w:sz w:val="24"/>
              </w:rPr>
              <w:t>of</w:t>
            </w:r>
            <w:r>
              <w:rPr>
                <w:spacing w:val="-6"/>
                <w:sz w:val="24"/>
              </w:rPr>
              <w:t> </w:t>
            </w:r>
            <w:r>
              <w:rPr>
                <w:sz w:val="24"/>
              </w:rPr>
              <w:t>receipt</w:t>
            </w:r>
            <w:r>
              <w:rPr>
                <w:spacing w:val="-7"/>
                <w:sz w:val="24"/>
              </w:rPr>
              <w:t> </w:t>
            </w:r>
            <w:r>
              <w:rPr>
                <w:sz w:val="24"/>
              </w:rPr>
              <w:t>of</w:t>
            </w:r>
            <w:r>
              <w:rPr>
                <w:spacing w:val="-8"/>
                <w:sz w:val="24"/>
              </w:rPr>
              <w:t> </w:t>
            </w:r>
            <w:r>
              <w:rPr>
                <w:sz w:val="24"/>
              </w:rPr>
              <w:t>CMS </w:t>
            </w:r>
            <w:r>
              <w:rPr>
                <w:spacing w:val="-2"/>
                <w:sz w:val="24"/>
              </w:rPr>
              <w:t>comments</w:t>
            </w:r>
          </w:p>
        </w:tc>
        <w:tc>
          <w:tcPr>
            <w:tcW w:w="3420" w:type="dxa"/>
          </w:tcPr>
          <w:p>
            <w:pPr>
              <w:pStyle w:val="TableParagraph"/>
              <w:spacing w:line="276" w:lineRule="exact"/>
              <w:ind w:left="107"/>
              <w:rPr>
                <w:sz w:val="24"/>
              </w:rPr>
            </w:pPr>
            <w:r>
              <w:rPr>
                <w:sz w:val="24"/>
              </w:rPr>
              <w:t>Revised</w:t>
            </w:r>
            <w:r>
              <w:rPr>
                <w:spacing w:val="-15"/>
                <w:sz w:val="24"/>
              </w:rPr>
              <w:t> </w:t>
            </w:r>
            <w:r>
              <w:rPr>
                <w:sz w:val="24"/>
              </w:rPr>
              <w:t>Summative</w:t>
            </w:r>
            <w:r>
              <w:rPr>
                <w:spacing w:val="-15"/>
                <w:sz w:val="24"/>
              </w:rPr>
              <w:t> </w:t>
            </w:r>
            <w:r>
              <w:rPr>
                <w:sz w:val="24"/>
              </w:rPr>
              <w:t>Evaluation </w:t>
            </w:r>
            <w:r>
              <w:rPr>
                <w:spacing w:val="-2"/>
                <w:sz w:val="24"/>
              </w:rPr>
              <w:t>Report</w:t>
            </w:r>
          </w:p>
        </w:tc>
        <w:tc>
          <w:tcPr>
            <w:tcW w:w="2335" w:type="dxa"/>
          </w:tcPr>
          <w:p>
            <w:pPr>
              <w:pStyle w:val="TableParagraph"/>
              <w:spacing w:before="135"/>
              <w:ind w:left="107"/>
              <w:rPr>
                <w:sz w:val="24"/>
              </w:rPr>
            </w:pPr>
            <w:r>
              <w:rPr>
                <w:sz w:val="24"/>
              </w:rPr>
              <w:t>STC</w:t>
            </w:r>
            <w:r>
              <w:rPr>
                <w:spacing w:val="-1"/>
                <w:sz w:val="24"/>
              </w:rPr>
              <w:t> </w:t>
            </w:r>
            <w:r>
              <w:rPr>
                <w:spacing w:val="-4"/>
                <w:sz w:val="24"/>
              </w:rPr>
              <w:t>17.8</w:t>
            </w:r>
          </w:p>
        </w:tc>
      </w:tr>
      <w:tr>
        <w:trPr>
          <w:trHeight w:val="551" w:hRule="atLeast"/>
        </w:trPr>
        <w:tc>
          <w:tcPr>
            <w:tcW w:w="3595" w:type="dxa"/>
          </w:tcPr>
          <w:p>
            <w:pPr>
              <w:pStyle w:val="TableParagraph"/>
              <w:spacing w:line="276" w:lineRule="exact"/>
              <w:ind w:left="107" w:right="220"/>
              <w:rPr>
                <w:sz w:val="24"/>
              </w:rPr>
            </w:pPr>
            <w:r>
              <w:rPr>
                <w:sz w:val="24"/>
              </w:rPr>
              <w:t>Within</w:t>
            </w:r>
            <w:r>
              <w:rPr>
                <w:spacing w:val="-7"/>
                <w:sz w:val="24"/>
              </w:rPr>
              <w:t> </w:t>
            </w:r>
            <w:r>
              <w:rPr>
                <w:sz w:val="24"/>
              </w:rPr>
              <w:t>120</w:t>
            </w:r>
            <w:r>
              <w:rPr>
                <w:spacing w:val="-7"/>
                <w:sz w:val="24"/>
              </w:rPr>
              <w:t> </w:t>
            </w:r>
            <w:r>
              <w:rPr>
                <w:sz w:val="24"/>
              </w:rPr>
              <w:t>days</w:t>
            </w:r>
            <w:r>
              <w:rPr>
                <w:spacing w:val="-7"/>
                <w:sz w:val="24"/>
              </w:rPr>
              <w:t> </w:t>
            </w:r>
            <w:r>
              <w:rPr>
                <w:sz w:val="24"/>
              </w:rPr>
              <w:t>after</w:t>
            </w:r>
            <w:r>
              <w:rPr>
                <w:spacing w:val="-8"/>
                <w:sz w:val="24"/>
              </w:rPr>
              <w:t> </w:t>
            </w:r>
            <w:r>
              <w:rPr>
                <w:sz w:val="24"/>
              </w:rPr>
              <w:t>the</w:t>
            </w:r>
            <w:r>
              <w:rPr>
                <w:spacing w:val="-6"/>
                <w:sz w:val="24"/>
              </w:rPr>
              <w:t> </w:t>
            </w:r>
            <w:r>
              <w:rPr>
                <w:sz w:val="24"/>
              </w:rPr>
              <w:t>end</w:t>
            </w:r>
            <w:r>
              <w:rPr>
                <w:spacing w:val="-7"/>
                <w:sz w:val="24"/>
              </w:rPr>
              <w:t> </w:t>
            </w:r>
            <w:r>
              <w:rPr>
                <w:sz w:val="24"/>
              </w:rPr>
              <w:t>of the demonstration</w:t>
            </w:r>
          </w:p>
        </w:tc>
        <w:tc>
          <w:tcPr>
            <w:tcW w:w="3420" w:type="dxa"/>
          </w:tcPr>
          <w:p>
            <w:pPr>
              <w:pStyle w:val="TableParagraph"/>
              <w:spacing w:before="135"/>
              <w:ind w:left="107"/>
              <w:rPr>
                <w:sz w:val="24"/>
              </w:rPr>
            </w:pPr>
            <w:r>
              <w:rPr>
                <w:sz w:val="24"/>
              </w:rPr>
              <w:t>Draft</w:t>
            </w:r>
            <w:r>
              <w:rPr>
                <w:spacing w:val="-3"/>
                <w:sz w:val="24"/>
              </w:rPr>
              <w:t> </w:t>
            </w:r>
            <w:r>
              <w:rPr>
                <w:sz w:val="24"/>
              </w:rPr>
              <w:t>Close</w:t>
            </w:r>
            <w:r>
              <w:rPr>
                <w:spacing w:val="-2"/>
                <w:sz w:val="24"/>
              </w:rPr>
              <w:t> </w:t>
            </w:r>
            <w:r>
              <w:rPr>
                <w:sz w:val="24"/>
              </w:rPr>
              <w:t>Out</w:t>
            </w:r>
            <w:r>
              <w:rPr>
                <w:spacing w:val="-2"/>
                <w:sz w:val="24"/>
              </w:rPr>
              <w:t> Report</w:t>
            </w:r>
          </w:p>
        </w:tc>
        <w:tc>
          <w:tcPr>
            <w:tcW w:w="2335" w:type="dxa"/>
          </w:tcPr>
          <w:p>
            <w:pPr>
              <w:pStyle w:val="TableParagraph"/>
              <w:spacing w:before="135"/>
              <w:ind w:left="107"/>
              <w:rPr>
                <w:sz w:val="24"/>
              </w:rPr>
            </w:pPr>
            <w:r>
              <w:rPr>
                <w:sz w:val="24"/>
              </w:rPr>
              <w:t>STC</w:t>
            </w:r>
            <w:r>
              <w:rPr>
                <w:spacing w:val="-1"/>
                <w:sz w:val="24"/>
              </w:rPr>
              <w:t> </w:t>
            </w:r>
            <w:r>
              <w:rPr>
                <w:spacing w:val="-2"/>
                <w:sz w:val="24"/>
              </w:rPr>
              <w:t>17.11</w:t>
            </w:r>
          </w:p>
        </w:tc>
      </w:tr>
      <w:tr>
        <w:trPr>
          <w:trHeight w:val="550" w:hRule="atLeast"/>
        </w:trPr>
        <w:tc>
          <w:tcPr>
            <w:tcW w:w="3595" w:type="dxa"/>
          </w:tcPr>
          <w:p>
            <w:pPr>
              <w:pStyle w:val="TableParagraph"/>
              <w:spacing w:line="276" w:lineRule="exact"/>
              <w:ind w:left="107" w:right="220"/>
              <w:rPr>
                <w:sz w:val="24"/>
              </w:rPr>
            </w:pPr>
            <w:r>
              <w:rPr>
                <w:sz w:val="24"/>
              </w:rPr>
              <w:t>Within</w:t>
            </w:r>
            <w:r>
              <w:rPr>
                <w:spacing w:val="-8"/>
                <w:sz w:val="24"/>
              </w:rPr>
              <w:t> </w:t>
            </w:r>
            <w:r>
              <w:rPr>
                <w:sz w:val="24"/>
              </w:rPr>
              <w:t>30</w:t>
            </w:r>
            <w:r>
              <w:rPr>
                <w:spacing w:val="-8"/>
                <w:sz w:val="24"/>
              </w:rPr>
              <w:t> </w:t>
            </w:r>
            <w:r>
              <w:rPr>
                <w:sz w:val="24"/>
              </w:rPr>
              <w:t>days</w:t>
            </w:r>
            <w:r>
              <w:rPr>
                <w:spacing w:val="-8"/>
                <w:sz w:val="24"/>
              </w:rPr>
              <w:t> </w:t>
            </w:r>
            <w:r>
              <w:rPr>
                <w:sz w:val="24"/>
              </w:rPr>
              <w:t>after</w:t>
            </w:r>
            <w:r>
              <w:rPr>
                <w:spacing w:val="-7"/>
                <w:sz w:val="24"/>
              </w:rPr>
              <w:t> </w:t>
            </w:r>
            <w:r>
              <w:rPr>
                <w:sz w:val="24"/>
              </w:rPr>
              <w:t>receipt</w:t>
            </w:r>
            <w:r>
              <w:rPr>
                <w:spacing w:val="-8"/>
                <w:sz w:val="24"/>
              </w:rPr>
              <w:t> </w:t>
            </w:r>
            <w:r>
              <w:rPr>
                <w:sz w:val="24"/>
              </w:rPr>
              <w:t>of CMS comments</w:t>
            </w:r>
          </w:p>
        </w:tc>
        <w:tc>
          <w:tcPr>
            <w:tcW w:w="3420" w:type="dxa"/>
          </w:tcPr>
          <w:p>
            <w:pPr>
              <w:pStyle w:val="TableParagraph"/>
              <w:spacing w:before="135"/>
              <w:ind w:left="107"/>
              <w:rPr>
                <w:sz w:val="24"/>
              </w:rPr>
            </w:pPr>
            <w:r>
              <w:rPr>
                <w:sz w:val="24"/>
              </w:rPr>
              <w:t>Revised</w:t>
            </w:r>
            <w:r>
              <w:rPr>
                <w:spacing w:val="-2"/>
                <w:sz w:val="24"/>
              </w:rPr>
              <w:t> </w:t>
            </w:r>
            <w:r>
              <w:rPr>
                <w:sz w:val="24"/>
              </w:rPr>
              <w:t>Close</w:t>
            </w:r>
            <w:r>
              <w:rPr>
                <w:spacing w:val="-2"/>
                <w:sz w:val="24"/>
              </w:rPr>
              <w:t> </w:t>
            </w:r>
            <w:r>
              <w:rPr>
                <w:sz w:val="24"/>
              </w:rPr>
              <w:t>Out</w:t>
            </w:r>
            <w:r>
              <w:rPr>
                <w:spacing w:val="-1"/>
                <w:sz w:val="24"/>
              </w:rPr>
              <w:t> </w:t>
            </w:r>
            <w:r>
              <w:rPr>
                <w:spacing w:val="-2"/>
                <w:sz w:val="24"/>
              </w:rPr>
              <w:t>Report</w:t>
            </w:r>
          </w:p>
        </w:tc>
        <w:tc>
          <w:tcPr>
            <w:tcW w:w="2335" w:type="dxa"/>
          </w:tcPr>
          <w:p>
            <w:pPr>
              <w:pStyle w:val="TableParagraph"/>
              <w:spacing w:before="135"/>
              <w:ind w:left="107"/>
              <w:rPr>
                <w:sz w:val="24"/>
              </w:rPr>
            </w:pPr>
            <w:r>
              <w:rPr>
                <w:sz w:val="24"/>
              </w:rPr>
              <w:t>STC</w:t>
            </w:r>
            <w:r>
              <w:rPr>
                <w:spacing w:val="-1"/>
                <w:sz w:val="24"/>
              </w:rPr>
              <w:t> </w:t>
            </w:r>
            <w:r>
              <w:rPr>
                <w:spacing w:val="-2"/>
                <w:sz w:val="24"/>
              </w:rPr>
              <w:t>17.11</w:t>
            </w:r>
          </w:p>
        </w:tc>
      </w:tr>
      <w:tr>
        <w:trPr>
          <w:trHeight w:val="550" w:hRule="atLeast"/>
        </w:trPr>
        <w:tc>
          <w:tcPr>
            <w:tcW w:w="3595" w:type="dxa"/>
          </w:tcPr>
          <w:p>
            <w:pPr>
              <w:pStyle w:val="TableParagraph"/>
              <w:spacing w:line="276" w:lineRule="exact"/>
              <w:ind w:left="107"/>
              <w:rPr>
                <w:sz w:val="24"/>
              </w:rPr>
            </w:pPr>
            <w:r>
              <w:rPr>
                <w:sz w:val="24"/>
              </w:rPr>
              <w:t>90</w:t>
            </w:r>
            <w:r>
              <w:rPr>
                <w:spacing w:val="-8"/>
                <w:sz w:val="24"/>
              </w:rPr>
              <w:t> </w:t>
            </w:r>
            <w:r>
              <w:rPr>
                <w:sz w:val="24"/>
              </w:rPr>
              <w:t>calendar</w:t>
            </w:r>
            <w:r>
              <w:rPr>
                <w:spacing w:val="-9"/>
                <w:sz w:val="24"/>
              </w:rPr>
              <w:t> </w:t>
            </w:r>
            <w:r>
              <w:rPr>
                <w:sz w:val="24"/>
              </w:rPr>
              <w:t>days</w:t>
            </w:r>
            <w:r>
              <w:rPr>
                <w:spacing w:val="-8"/>
                <w:sz w:val="24"/>
              </w:rPr>
              <w:t> </w:t>
            </w:r>
            <w:r>
              <w:rPr>
                <w:sz w:val="24"/>
              </w:rPr>
              <w:t>after</w:t>
            </w:r>
            <w:r>
              <w:rPr>
                <w:spacing w:val="-7"/>
                <w:sz w:val="24"/>
              </w:rPr>
              <w:t> </w:t>
            </w:r>
            <w:r>
              <w:rPr>
                <w:sz w:val="24"/>
              </w:rPr>
              <w:t>approval</w:t>
            </w:r>
            <w:r>
              <w:rPr>
                <w:spacing w:val="-8"/>
                <w:sz w:val="24"/>
              </w:rPr>
              <w:t> </w:t>
            </w:r>
            <w:r>
              <w:rPr>
                <w:sz w:val="24"/>
              </w:rPr>
              <w:t>of this demonstration</w:t>
            </w:r>
          </w:p>
        </w:tc>
        <w:tc>
          <w:tcPr>
            <w:tcW w:w="3420" w:type="dxa"/>
          </w:tcPr>
          <w:p>
            <w:pPr>
              <w:pStyle w:val="TableParagraph"/>
              <w:spacing w:line="276" w:lineRule="exact"/>
              <w:ind w:left="107"/>
              <w:rPr>
                <w:sz w:val="24"/>
              </w:rPr>
            </w:pPr>
            <w:r>
              <w:rPr>
                <w:sz w:val="24"/>
              </w:rPr>
              <w:t>Continuous</w:t>
            </w:r>
            <w:r>
              <w:rPr>
                <w:spacing w:val="-15"/>
                <w:sz w:val="24"/>
              </w:rPr>
              <w:t> </w:t>
            </w:r>
            <w:r>
              <w:rPr>
                <w:sz w:val="24"/>
              </w:rPr>
              <w:t>Eligibility Implementation Plan</w:t>
            </w:r>
          </w:p>
        </w:tc>
        <w:tc>
          <w:tcPr>
            <w:tcW w:w="2335" w:type="dxa"/>
          </w:tcPr>
          <w:p>
            <w:pPr>
              <w:pStyle w:val="TableParagraph"/>
              <w:spacing w:before="137"/>
              <w:ind w:left="107"/>
              <w:rPr>
                <w:sz w:val="24"/>
              </w:rPr>
            </w:pPr>
            <w:r>
              <w:rPr>
                <w:sz w:val="24"/>
              </w:rPr>
              <w:t>STC</w:t>
            </w:r>
            <w:r>
              <w:rPr>
                <w:spacing w:val="-1"/>
                <w:sz w:val="24"/>
              </w:rPr>
              <w:t> </w:t>
            </w:r>
            <w:r>
              <w:rPr>
                <w:spacing w:val="-4"/>
                <w:sz w:val="24"/>
              </w:rPr>
              <w:t>4.13</w:t>
            </w:r>
          </w:p>
        </w:tc>
      </w:tr>
      <w:tr>
        <w:trPr>
          <w:trHeight w:val="825" w:hRule="atLeast"/>
        </w:trPr>
        <w:tc>
          <w:tcPr>
            <w:tcW w:w="3595" w:type="dxa"/>
          </w:tcPr>
          <w:p>
            <w:pPr>
              <w:pStyle w:val="TableParagraph"/>
              <w:spacing w:line="276" w:lineRule="exact"/>
              <w:ind w:left="107" w:right="220"/>
              <w:rPr>
                <w:sz w:val="24"/>
              </w:rPr>
            </w:pPr>
            <w:r>
              <w:rPr>
                <w:sz w:val="24"/>
              </w:rPr>
              <w:t>90 calendar days after approval date</w:t>
            </w:r>
            <w:r>
              <w:rPr>
                <w:spacing w:val="-10"/>
                <w:sz w:val="24"/>
              </w:rPr>
              <w:t> </w:t>
            </w:r>
            <w:r>
              <w:rPr>
                <w:sz w:val="24"/>
              </w:rPr>
              <w:t>of</w:t>
            </w:r>
            <w:r>
              <w:rPr>
                <w:spacing w:val="-10"/>
                <w:sz w:val="24"/>
              </w:rPr>
              <w:t> </w:t>
            </w:r>
            <w:r>
              <w:rPr>
                <w:sz w:val="24"/>
              </w:rPr>
              <w:t>SMI/SED</w:t>
            </w:r>
            <w:r>
              <w:rPr>
                <w:spacing w:val="-10"/>
                <w:sz w:val="24"/>
              </w:rPr>
              <w:t> </w:t>
            </w:r>
            <w:r>
              <w:rPr>
                <w:sz w:val="24"/>
              </w:rPr>
              <w:t>amendment</w:t>
            </w:r>
            <w:r>
              <w:rPr>
                <w:spacing w:val="-9"/>
                <w:sz w:val="24"/>
              </w:rPr>
              <w:t> </w:t>
            </w:r>
            <w:r>
              <w:rPr>
                <w:sz w:val="24"/>
              </w:rPr>
              <w:t>to this Demonstration</w:t>
            </w:r>
          </w:p>
        </w:tc>
        <w:tc>
          <w:tcPr>
            <w:tcW w:w="3420" w:type="dxa"/>
          </w:tcPr>
          <w:p>
            <w:pPr>
              <w:pStyle w:val="TableParagraph"/>
              <w:spacing w:line="276" w:lineRule="exact"/>
              <w:ind w:left="107" w:right="285"/>
              <w:jc w:val="both"/>
              <w:rPr>
                <w:sz w:val="24"/>
              </w:rPr>
            </w:pPr>
            <w:r>
              <w:rPr>
                <w:sz w:val="24"/>
              </w:rPr>
              <w:t>SMI/SED</w:t>
            </w:r>
            <w:r>
              <w:rPr>
                <w:spacing w:val="-15"/>
                <w:sz w:val="24"/>
              </w:rPr>
              <w:t> </w:t>
            </w:r>
            <w:r>
              <w:rPr>
                <w:sz w:val="24"/>
              </w:rPr>
              <w:t>Implementation</w:t>
            </w:r>
            <w:r>
              <w:rPr>
                <w:spacing w:val="-15"/>
                <w:sz w:val="24"/>
              </w:rPr>
              <w:t> </w:t>
            </w:r>
            <w:r>
              <w:rPr>
                <w:sz w:val="24"/>
              </w:rPr>
              <w:t>Plan (including Health IT Plans and Financing Plan)</w:t>
            </w:r>
          </w:p>
        </w:tc>
        <w:tc>
          <w:tcPr>
            <w:tcW w:w="2335" w:type="dxa"/>
          </w:tcPr>
          <w:p>
            <w:pPr>
              <w:pStyle w:val="TableParagraph"/>
              <w:spacing w:before="8"/>
              <w:rPr>
                <w:sz w:val="23"/>
              </w:rPr>
            </w:pPr>
          </w:p>
          <w:p>
            <w:pPr>
              <w:pStyle w:val="TableParagraph"/>
              <w:spacing w:before="1"/>
              <w:ind w:left="168"/>
              <w:rPr>
                <w:sz w:val="24"/>
              </w:rPr>
            </w:pPr>
            <w:r>
              <w:rPr>
                <w:sz w:val="24"/>
              </w:rPr>
              <w:t>STC</w:t>
            </w:r>
            <w:r>
              <w:rPr>
                <w:spacing w:val="-1"/>
                <w:sz w:val="24"/>
              </w:rPr>
              <w:t> </w:t>
            </w:r>
            <w:r>
              <w:rPr>
                <w:spacing w:val="-2"/>
                <w:sz w:val="24"/>
              </w:rPr>
              <w:t>7.15(a)</w:t>
            </w:r>
          </w:p>
        </w:tc>
      </w:tr>
      <w:tr>
        <w:trPr>
          <w:trHeight w:val="1101" w:hRule="atLeast"/>
        </w:trPr>
        <w:tc>
          <w:tcPr>
            <w:tcW w:w="3595" w:type="dxa"/>
          </w:tcPr>
          <w:p>
            <w:pPr>
              <w:pStyle w:val="TableParagraph"/>
              <w:spacing w:before="136"/>
              <w:ind w:left="107"/>
              <w:rPr>
                <w:sz w:val="24"/>
              </w:rPr>
            </w:pPr>
            <w:r>
              <w:rPr>
                <w:sz w:val="24"/>
              </w:rPr>
              <w:t>60</w:t>
            </w:r>
            <w:r>
              <w:rPr>
                <w:spacing w:val="-8"/>
                <w:sz w:val="24"/>
              </w:rPr>
              <w:t> </w:t>
            </w:r>
            <w:r>
              <w:rPr>
                <w:sz w:val="24"/>
              </w:rPr>
              <w:t>calendar</w:t>
            </w:r>
            <w:r>
              <w:rPr>
                <w:spacing w:val="-8"/>
                <w:sz w:val="24"/>
              </w:rPr>
              <w:t> </w:t>
            </w:r>
            <w:r>
              <w:rPr>
                <w:sz w:val="24"/>
              </w:rPr>
              <w:t>days</w:t>
            </w:r>
            <w:r>
              <w:rPr>
                <w:spacing w:val="-8"/>
                <w:sz w:val="24"/>
              </w:rPr>
              <w:t> </w:t>
            </w:r>
            <w:r>
              <w:rPr>
                <w:sz w:val="24"/>
              </w:rPr>
              <w:t>after</w:t>
            </w:r>
            <w:r>
              <w:rPr>
                <w:spacing w:val="-8"/>
                <w:sz w:val="24"/>
              </w:rPr>
              <w:t> </w:t>
            </w:r>
            <w:r>
              <w:rPr>
                <w:sz w:val="24"/>
              </w:rPr>
              <w:t>receipt</w:t>
            </w:r>
            <w:r>
              <w:rPr>
                <w:spacing w:val="-8"/>
                <w:sz w:val="24"/>
              </w:rPr>
              <w:t> </w:t>
            </w:r>
            <w:r>
              <w:rPr>
                <w:sz w:val="24"/>
              </w:rPr>
              <w:t>of CMS comments on SMI/SED Implementation Plans</w:t>
            </w:r>
          </w:p>
        </w:tc>
        <w:tc>
          <w:tcPr>
            <w:tcW w:w="3420" w:type="dxa"/>
          </w:tcPr>
          <w:p>
            <w:pPr>
              <w:pStyle w:val="TableParagraph"/>
              <w:spacing w:line="276" w:lineRule="exact"/>
              <w:ind w:left="107" w:right="134"/>
              <w:rPr>
                <w:sz w:val="24"/>
              </w:rPr>
            </w:pPr>
            <w:r>
              <w:rPr>
                <w:sz w:val="24"/>
              </w:rPr>
              <w:t>Revised SMI/SED Implementation</w:t>
            </w:r>
            <w:r>
              <w:rPr>
                <w:spacing w:val="-15"/>
                <w:sz w:val="24"/>
              </w:rPr>
              <w:t> </w:t>
            </w:r>
            <w:r>
              <w:rPr>
                <w:sz w:val="24"/>
              </w:rPr>
              <w:t>Plans</w:t>
            </w:r>
            <w:r>
              <w:rPr>
                <w:spacing w:val="-15"/>
                <w:sz w:val="24"/>
              </w:rPr>
              <w:t> </w:t>
            </w:r>
            <w:r>
              <w:rPr>
                <w:sz w:val="24"/>
              </w:rPr>
              <w:t>(including Health IT Plans and Financing </w:t>
            </w:r>
            <w:r>
              <w:rPr>
                <w:spacing w:val="-2"/>
                <w:sz w:val="24"/>
              </w:rPr>
              <w:t>Plan)</w:t>
            </w:r>
          </w:p>
        </w:tc>
        <w:tc>
          <w:tcPr>
            <w:tcW w:w="2335" w:type="dxa"/>
          </w:tcPr>
          <w:p>
            <w:pPr>
              <w:pStyle w:val="TableParagraph"/>
              <w:spacing w:before="9"/>
              <w:rPr>
                <w:sz w:val="35"/>
              </w:rPr>
            </w:pPr>
          </w:p>
          <w:p>
            <w:pPr>
              <w:pStyle w:val="TableParagraph"/>
              <w:ind w:left="107"/>
              <w:rPr>
                <w:sz w:val="24"/>
              </w:rPr>
            </w:pPr>
            <w:r>
              <w:rPr>
                <w:sz w:val="24"/>
              </w:rPr>
              <w:t>STC</w:t>
            </w:r>
            <w:r>
              <w:rPr>
                <w:spacing w:val="-1"/>
                <w:sz w:val="24"/>
              </w:rPr>
              <w:t> </w:t>
            </w:r>
            <w:r>
              <w:rPr>
                <w:spacing w:val="-2"/>
                <w:sz w:val="24"/>
              </w:rPr>
              <w:t>7.15(a)</w:t>
            </w:r>
          </w:p>
        </w:tc>
      </w:tr>
      <w:tr>
        <w:trPr>
          <w:trHeight w:val="825" w:hRule="atLeast"/>
        </w:trPr>
        <w:tc>
          <w:tcPr>
            <w:tcW w:w="3595" w:type="dxa"/>
          </w:tcPr>
          <w:p>
            <w:pPr>
              <w:pStyle w:val="TableParagraph"/>
              <w:spacing w:line="275" w:lineRule="exact"/>
              <w:ind w:left="107"/>
              <w:rPr>
                <w:sz w:val="24"/>
              </w:rPr>
            </w:pPr>
            <w:r>
              <w:rPr>
                <w:sz w:val="24"/>
              </w:rPr>
              <w:t>150</w:t>
            </w:r>
            <w:r>
              <w:rPr>
                <w:spacing w:val="-2"/>
                <w:sz w:val="24"/>
              </w:rPr>
              <w:t> </w:t>
            </w:r>
            <w:r>
              <w:rPr>
                <w:sz w:val="24"/>
              </w:rPr>
              <w:t>calendar</w:t>
            </w:r>
            <w:r>
              <w:rPr>
                <w:spacing w:val="-2"/>
                <w:sz w:val="24"/>
              </w:rPr>
              <w:t> </w:t>
            </w:r>
            <w:r>
              <w:rPr>
                <w:sz w:val="24"/>
              </w:rPr>
              <w:t>days</w:t>
            </w:r>
            <w:r>
              <w:rPr>
                <w:spacing w:val="-1"/>
                <w:sz w:val="24"/>
              </w:rPr>
              <w:t> </w:t>
            </w:r>
            <w:r>
              <w:rPr>
                <w:sz w:val="24"/>
              </w:rPr>
              <w:t>after </w:t>
            </w:r>
            <w:r>
              <w:rPr>
                <w:spacing w:val="-2"/>
                <w:sz w:val="24"/>
              </w:rPr>
              <w:t>approval</w:t>
            </w:r>
          </w:p>
          <w:p>
            <w:pPr>
              <w:pStyle w:val="TableParagraph"/>
              <w:spacing w:line="274" w:lineRule="exact"/>
              <w:ind w:left="107" w:right="220"/>
              <w:rPr>
                <w:sz w:val="24"/>
              </w:rPr>
            </w:pPr>
            <w:r>
              <w:rPr>
                <w:sz w:val="24"/>
              </w:rPr>
              <w:t>date</w:t>
            </w:r>
            <w:r>
              <w:rPr>
                <w:spacing w:val="-10"/>
                <w:sz w:val="24"/>
              </w:rPr>
              <w:t> </w:t>
            </w:r>
            <w:r>
              <w:rPr>
                <w:sz w:val="24"/>
              </w:rPr>
              <w:t>of</w:t>
            </w:r>
            <w:r>
              <w:rPr>
                <w:spacing w:val="-10"/>
                <w:sz w:val="24"/>
              </w:rPr>
              <w:t> </w:t>
            </w:r>
            <w:r>
              <w:rPr>
                <w:sz w:val="24"/>
              </w:rPr>
              <w:t>SMI/SED</w:t>
            </w:r>
            <w:r>
              <w:rPr>
                <w:spacing w:val="-10"/>
                <w:sz w:val="24"/>
              </w:rPr>
              <w:t> </w:t>
            </w:r>
            <w:r>
              <w:rPr>
                <w:sz w:val="24"/>
              </w:rPr>
              <w:t>amendment</w:t>
            </w:r>
            <w:r>
              <w:rPr>
                <w:spacing w:val="-9"/>
                <w:sz w:val="24"/>
              </w:rPr>
              <w:t> </w:t>
            </w:r>
            <w:r>
              <w:rPr>
                <w:sz w:val="24"/>
              </w:rPr>
              <w:t>to this Demonstration</w:t>
            </w:r>
          </w:p>
        </w:tc>
        <w:tc>
          <w:tcPr>
            <w:tcW w:w="3420" w:type="dxa"/>
          </w:tcPr>
          <w:p>
            <w:pPr>
              <w:pStyle w:val="TableParagraph"/>
              <w:spacing w:before="10"/>
              <w:rPr>
                <w:sz w:val="23"/>
              </w:rPr>
            </w:pPr>
          </w:p>
          <w:p>
            <w:pPr>
              <w:pStyle w:val="TableParagraph"/>
              <w:ind w:left="107"/>
              <w:rPr>
                <w:sz w:val="24"/>
              </w:rPr>
            </w:pPr>
            <w:r>
              <w:rPr>
                <w:sz w:val="24"/>
              </w:rPr>
              <w:t>SMI/SED</w:t>
            </w:r>
            <w:r>
              <w:rPr>
                <w:spacing w:val="-5"/>
                <w:sz w:val="24"/>
              </w:rPr>
              <w:t> </w:t>
            </w:r>
            <w:r>
              <w:rPr>
                <w:sz w:val="24"/>
              </w:rPr>
              <w:t>Monitoring</w:t>
            </w:r>
            <w:r>
              <w:rPr>
                <w:spacing w:val="-5"/>
                <w:sz w:val="24"/>
              </w:rPr>
              <w:t> </w:t>
            </w:r>
            <w:r>
              <w:rPr>
                <w:spacing w:val="-2"/>
                <w:sz w:val="24"/>
              </w:rPr>
              <w:t>Protocol</w:t>
            </w:r>
          </w:p>
        </w:tc>
        <w:tc>
          <w:tcPr>
            <w:tcW w:w="2335" w:type="dxa"/>
          </w:tcPr>
          <w:p>
            <w:pPr>
              <w:pStyle w:val="TableParagraph"/>
              <w:spacing w:before="10"/>
              <w:rPr>
                <w:sz w:val="23"/>
              </w:rPr>
            </w:pPr>
          </w:p>
          <w:p>
            <w:pPr>
              <w:pStyle w:val="TableParagraph"/>
              <w:ind w:left="107"/>
              <w:rPr>
                <w:sz w:val="24"/>
              </w:rPr>
            </w:pPr>
            <w:r>
              <w:rPr>
                <w:sz w:val="24"/>
              </w:rPr>
              <w:t>STC</w:t>
            </w:r>
            <w:r>
              <w:rPr>
                <w:spacing w:val="-1"/>
                <w:sz w:val="24"/>
              </w:rPr>
              <w:t> </w:t>
            </w:r>
            <w:r>
              <w:rPr>
                <w:spacing w:val="-5"/>
                <w:sz w:val="24"/>
              </w:rPr>
              <w:t>7.5</w:t>
            </w:r>
          </w:p>
        </w:tc>
      </w:tr>
      <w:tr>
        <w:trPr>
          <w:trHeight w:val="830" w:hRule="atLeast"/>
        </w:trPr>
        <w:tc>
          <w:tcPr>
            <w:tcW w:w="3595" w:type="dxa"/>
          </w:tcPr>
          <w:p>
            <w:pPr>
              <w:pStyle w:val="TableParagraph"/>
              <w:spacing w:line="270" w:lineRule="atLeast"/>
              <w:ind w:left="107"/>
              <w:rPr>
                <w:sz w:val="24"/>
              </w:rPr>
            </w:pPr>
            <w:r>
              <w:rPr>
                <w:sz w:val="24"/>
              </w:rPr>
              <w:t>60</w:t>
            </w:r>
            <w:r>
              <w:rPr>
                <w:spacing w:val="-8"/>
                <w:sz w:val="24"/>
              </w:rPr>
              <w:t> </w:t>
            </w:r>
            <w:r>
              <w:rPr>
                <w:sz w:val="24"/>
              </w:rPr>
              <w:t>calendar</w:t>
            </w:r>
            <w:r>
              <w:rPr>
                <w:spacing w:val="-8"/>
                <w:sz w:val="24"/>
              </w:rPr>
              <w:t> </w:t>
            </w:r>
            <w:r>
              <w:rPr>
                <w:sz w:val="24"/>
              </w:rPr>
              <w:t>days</w:t>
            </w:r>
            <w:r>
              <w:rPr>
                <w:spacing w:val="-8"/>
                <w:sz w:val="24"/>
              </w:rPr>
              <w:t> </w:t>
            </w:r>
            <w:r>
              <w:rPr>
                <w:sz w:val="24"/>
              </w:rPr>
              <w:t>after</w:t>
            </w:r>
            <w:r>
              <w:rPr>
                <w:spacing w:val="-8"/>
                <w:sz w:val="24"/>
              </w:rPr>
              <w:t> </w:t>
            </w:r>
            <w:r>
              <w:rPr>
                <w:sz w:val="24"/>
              </w:rPr>
              <w:t>receipt</w:t>
            </w:r>
            <w:r>
              <w:rPr>
                <w:spacing w:val="-8"/>
                <w:sz w:val="24"/>
              </w:rPr>
              <w:t> </w:t>
            </w:r>
            <w:r>
              <w:rPr>
                <w:sz w:val="24"/>
              </w:rPr>
              <w:t>of CMS comments on SMI/SED Monitoring Protocol</w:t>
            </w:r>
          </w:p>
        </w:tc>
        <w:tc>
          <w:tcPr>
            <w:tcW w:w="3420" w:type="dxa"/>
          </w:tcPr>
          <w:p>
            <w:pPr>
              <w:pStyle w:val="TableParagraph"/>
              <w:spacing w:before="138"/>
              <w:ind w:left="107"/>
              <w:rPr>
                <w:sz w:val="24"/>
              </w:rPr>
            </w:pPr>
            <w:r>
              <w:rPr>
                <w:sz w:val="24"/>
              </w:rPr>
              <w:t>Revised</w:t>
            </w:r>
            <w:r>
              <w:rPr>
                <w:spacing w:val="-15"/>
                <w:sz w:val="24"/>
              </w:rPr>
              <w:t> </w:t>
            </w:r>
            <w:r>
              <w:rPr>
                <w:sz w:val="24"/>
              </w:rPr>
              <w:t>SMI/SED</w:t>
            </w:r>
            <w:r>
              <w:rPr>
                <w:spacing w:val="-15"/>
                <w:sz w:val="24"/>
              </w:rPr>
              <w:t> </w:t>
            </w:r>
            <w:r>
              <w:rPr>
                <w:sz w:val="24"/>
              </w:rPr>
              <w:t>Monitoring </w:t>
            </w:r>
            <w:r>
              <w:rPr>
                <w:spacing w:val="-2"/>
                <w:sz w:val="24"/>
              </w:rPr>
              <w:t>Protocol</w:t>
            </w:r>
          </w:p>
        </w:tc>
        <w:tc>
          <w:tcPr>
            <w:tcW w:w="2335" w:type="dxa"/>
          </w:tcPr>
          <w:p>
            <w:pPr>
              <w:pStyle w:val="TableParagraph"/>
              <w:spacing w:before="1"/>
              <w:rPr>
                <w:sz w:val="24"/>
              </w:rPr>
            </w:pPr>
          </w:p>
          <w:p>
            <w:pPr>
              <w:pStyle w:val="TableParagraph"/>
              <w:ind w:left="107"/>
              <w:rPr>
                <w:sz w:val="24"/>
              </w:rPr>
            </w:pPr>
            <w:r>
              <w:rPr>
                <w:sz w:val="24"/>
              </w:rPr>
              <w:t>STC</w:t>
            </w:r>
            <w:r>
              <w:rPr>
                <w:spacing w:val="-1"/>
                <w:sz w:val="24"/>
              </w:rPr>
              <w:t> </w:t>
            </w:r>
            <w:r>
              <w:rPr>
                <w:spacing w:val="-5"/>
                <w:sz w:val="24"/>
              </w:rPr>
              <w:t>7.5</w:t>
            </w:r>
          </w:p>
        </w:tc>
      </w:tr>
      <w:tr>
        <w:trPr>
          <w:trHeight w:val="551" w:hRule="atLeast"/>
        </w:trPr>
        <w:tc>
          <w:tcPr>
            <w:tcW w:w="3595" w:type="dxa"/>
          </w:tcPr>
          <w:p>
            <w:pPr>
              <w:pStyle w:val="TableParagraph"/>
              <w:spacing w:line="276" w:lineRule="exact"/>
              <w:ind w:left="107" w:right="220"/>
              <w:rPr>
                <w:sz w:val="24"/>
              </w:rPr>
            </w:pPr>
            <w:r>
              <w:rPr>
                <w:sz w:val="24"/>
              </w:rPr>
              <w:t>No</w:t>
            </w:r>
            <w:r>
              <w:rPr>
                <w:spacing w:val="-8"/>
                <w:sz w:val="24"/>
              </w:rPr>
              <w:t> </w:t>
            </w:r>
            <w:r>
              <w:rPr>
                <w:sz w:val="24"/>
              </w:rPr>
              <w:t>later</w:t>
            </w:r>
            <w:r>
              <w:rPr>
                <w:spacing w:val="-9"/>
                <w:sz w:val="24"/>
              </w:rPr>
              <w:t> </w:t>
            </w:r>
            <w:r>
              <w:rPr>
                <w:sz w:val="24"/>
              </w:rPr>
              <w:t>than</w:t>
            </w:r>
            <w:r>
              <w:rPr>
                <w:spacing w:val="-8"/>
                <w:sz w:val="24"/>
              </w:rPr>
              <w:t> </w:t>
            </w:r>
            <w:r>
              <w:rPr>
                <w:sz w:val="24"/>
              </w:rPr>
              <w:t>60</w:t>
            </w:r>
            <w:r>
              <w:rPr>
                <w:spacing w:val="-8"/>
                <w:sz w:val="24"/>
              </w:rPr>
              <w:t> </w:t>
            </w:r>
            <w:r>
              <w:rPr>
                <w:sz w:val="24"/>
              </w:rPr>
              <w:t>calendar</w:t>
            </w:r>
            <w:r>
              <w:rPr>
                <w:spacing w:val="-8"/>
                <w:sz w:val="24"/>
              </w:rPr>
              <w:t> </w:t>
            </w:r>
            <w:r>
              <w:rPr>
                <w:sz w:val="24"/>
              </w:rPr>
              <w:t>days after September 30, 2024</w:t>
            </w:r>
          </w:p>
        </w:tc>
        <w:tc>
          <w:tcPr>
            <w:tcW w:w="3420" w:type="dxa"/>
          </w:tcPr>
          <w:p>
            <w:pPr>
              <w:pStyle w:val="TableParagraph"/>
              <w:spacing w:before="135"/>
              <w:ind w:left="107"/>
              <w:rPr>
                <w:sz w:val="24"/>
              </w:rPr>
            </w:pPr>
            <w:r>
              <w:rPr>
                <w:sz w:val="24"/>
              </w:rPr>
              <w:t>SMI/SED</w:t>
            </w:r>
            <w:r>
              <w:rPr>
                <w:spacing w:val="-4"/>
                <w:sz w:val="24"/>
              </w:rPr>
              <w:t> </w:t>
            </w:r>
            <w:r>
              <w:rPr>
                <w:sz w:val="24"/>
              </w:rPr>
              <w:t>Mid-Point</w:t>
            </w:r>
            <w:r>
              <w:rPr>
                <w:spacing w:val="-3"/>
                <w:sz w:val="24"/>
              </w:rPr>
              <w:t> </w:t>
            </w:r>
            <w:r>
              <w:rPr>
                <w:spacing w:val="-2"/>
                <w:sz w:val="24"/>
              </w:rPr>
              <w:t>Assessment</w:t>
            </w:r>
          </w:p>
        </w:tc>
        <w:tc>
          <w:tcPr>
            <w:tcW w:w="2335" w:type="dxa"/>
          </w:tcPr>
          <w:p>
            <w:pPr>
              <w:pStyle w:val="TableParagraph"/>
              <w:spacing w:before="135"/>
              <w:ind w:left="107"/>
              <w:rPr>
                <w:sz w:val="24"/>
              </w:rPr>
            </w:pPr>
            <w:r>
              <w:rPr>
                <w:sz w:val="24"/>
              </w:rPr>
              <w:t>STC</w:t>
            </w:r>
            <w:r>
              <w:rPr>
                <w:spacing w:val="-1"/>
                <w:sz w:val="24"/>
              </w:rPr>
              <w:t> </w:t>
            </w:r>
            <w:r>
              <w:rPr>
                <w:spacing w:val="-5"/>
                <w:sz w:val="24"/>
              </w:rPr>
              <w:t>7.8</w:t>
            </w:r>
          </w:p>
        </w:tc>
      </w:tr>
      <w:tr>
        <w:trPr>
          <w:trHeight w:val="551" w:hRule="atLeast"/>
        </w:trPr>
        <w:tc>
          <w:tcPr>
            <w:tcW w:w="3595" w:type="dxa"/>
          </w:tcPr>
          <w:p>
            <w:pPr>
              <w:pStyle w:val="TableParagraph"/>
              <w:spacing w:line="276" w:lineRule="exact"/>
              <w:ind w:left="107" w:right="220"/>
              <w:rPr>
                <w:sz w:val="24"/>
              </w:rPr>
            </w:pPr>
            <w:r>
              <w:rPr>
                <w:sz w:val="24"/>
              </w:rPr>
              <w:t>150</w:t>
            </w:r>
            <w:r>
              <w:rPr>
                <w:spacing w:val="-10"/>
                <w:sz w:val="24"/>
              </w:rPr>
              <w:t> </w:t>
            </w:r>
            <w:r>
              <w:rPr>
                <w:sz w:val="24"/>
              </w:rPr>
              <w:t>calendar</w:t>
            </w:r>
            <w:r>
              <w:rPr>
                <w:spacing w:val="-11"/>
                <w:sz w:val="24"/>
              </w:rPr>
              <w:t> </w:t>
            </w:r>
            <w:r>
              <w:rPr>
                <w:sz w:val="24"/>
              </w:rPr>
              <w:t>days</w:t>
            </w:r>
            <w:r>
              <w:rPr>
                <w:spacing w:val="-10"/>
                <w:sz w:val="24"/>
              </w:rPr>
              <w:t> </w:t>
            </w:r>
            <w:r>
              <w:rPr>
                <w:sz w:val="24"/>
              </w:rPr>
              <w:t>after</w:t>
            </w:r>
            <w:r>
              <w:rPr>
                <w:spacing w:val="-9"/>
                <w:sz w:val="24"/>
              </w:rPr>
              <w:t> </w:t>
            </w:r>
            <w:r>
              <w:rPr>
                <w:sz w:val="24"/>
              </w:rPr>
              <w:t>approva</w:t>
            </w:r>
            <w:r>
              <w:rPr>
                <w:sz w:val="24"/>
              </w:rPr>
              <w:t>l of the demonstration</w:t>
            </w:r>
          </w:p>
        </w:tc>
        <w:tc>
          <w:tcPr>
            <w:tcW w:w="3420" w:type="dxa"/>
          </w:tcPr>
          <w:p>
            <w:pPr>
              <w:pStyle w:val="TableParagraph"/>
              <w:spacing w:line="275" w:lineRule="exact"/>
              <w:ind w:left="107"/>
              <w:rPr>
                <w:sz w:val="24"/>
              </w:rPr>
            </w:pPr>
            <w:r>
              <w:rPr>
                <w:sz w:val="24"/>
              </w:rPr>
              <w:t>SUD</w:t>
            </w:r>
            <w:r>
              <w:rPr>
                <w:spacing w:val="-3"/>
                <w:sz w:val="24"/>
              </w:rPr>
              <w:t> </w:t>
            </w:r>
            <w:r>
              <w:rPr>
                <w:sz w:val="24"/>
              </w:rPr>
              <w:t>Monitoring</w:t>
            </w:r>
            <w:r>
              <w:rPr>
                <w:spacing w:val="-3"/>
                <w:sz w:val="24"/>
              </w:rPr>
              <w:t> </w:t>
            </w:r>
            <w:r>
              <w:rPr>
                <w:spacing w:val="-2"/>
                <w:sz w:val="24"/>
              </w:rPr>
              <w:t>Protocol</w:t>
            </w:r>
          </w:p>
        </w:tc>
        <w:tc>
          <w:tcPr>
            <w:tcW w:w="2335" w:type="dxa"/>
          </w:tcPr>
          <w:p>
            <w:pPr>
              <w:pStyle w:val="TableParagraph"/>
              <w:spacing w:before="135"/>
              <w:ind w:left="107"/>
              <w:rPr>
                <w:sz w:val="24"/>
              </w:rPr>
            </w:pPr>
            <w:r>
              <w:rPr>
                <w:sz w:val="24"/>
              </w:rPr>
              <w:t>STC</w:t>
            </w:r>
            <w:r>
              <w:rPr>
                <w:spacing w:val="-1"/>
                <w:sz w:val="24"/>
              </w:rPr>
              <w:t> </w:t>
            </w:r>
            <w:r>
              <w:rPr>
                <w:spacing w:val="-5"/>
                <w:sz w:val="24"/>
              </w:rPr>
              <w:t>6.7</w:t>
            </w:r>
          </w:p>
        </w:tc>
      </w:tr>
    </w:tbl>
    <w:p>
      <w:pPr>
        <w:spacing w:after="0"/>
        <w:rPr>
          <w:sz w:val="24"/>
        </w:rPr>
        <w:sectPr>
          <w:pgSz w:w="12240" w:h="15840"/>
          <w:pgMar w:header="0" w:footer="1201" w:top="1360" w:bottom="1972" w:left="220" w:right="340"/>
        </w:sectPr>
      </w:pPr>
    </w:p>
    <w:tbl>
      <w:tblPr>
        <w:tblW w:w="0" w:type="auto"/>
        <w:jc w:val="left"/>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95"/>
        <w:gridCol w:w="3420"/>
        <w:gridCol w:w="2335"/>
      </w:tblGrid>
      <w:tr>
        <w:trPr>
          <w:trHeight w:val="551" w:hRule="atLeast"/>
        </w:trPr>
        <w:tc>
          <w:tcPr>
            <w:tcW w:w="3595" w:type="dxa"/>
            <w:shd w:val="clear" w:color="auto" w:fill="DBE6F1"/>
          </w:tcPr>
          <w:p>
            <w:pPr>
              <w:pStyle w:val="TableParagraph"/>
              <w:spacing w:before="138"/>
              <w:ind w:left="1036"/>
              <w:rPr>
                <w:b/>
                <w:sz w:val="24"/>
              </w:rPr>
            </w:pPr>
            <w:r>
              <w:rPr>
                <w:b/>
                <w:sz w:val="24"/>
              </w:rPr>
              <w:t>Date</w:t>
            </w:r>
            <w:r>
              <w:rPr>
                <w:b/>
                <w:spacing w:val="-4"/>
                <w:sz w:val="24"/>
              </w:rPr>
              <w:t> </w:t>
            </w:r>
            <w:r>
              <w:rPr>
                <w:b/>
                <w:sz w:val="24"/>
              </w:rPr>
              <w:t>–</w:t>
            </w:r>
            <w:r>
              <w:rPr>
                <w:b/>
                <w:spacing w:val="-1"/>
                <w:sz w:val="24"/>
              </w:rPr>
              <w:t> </w:t>
            </w:r>
            <w:r>
              <w:rPr>
                <w:b/>
                <w:spacing w:val="-2"/>
                <w:sz w:val="24"/>
              </w:rPr>
              <w:t>Specific</w:t>
            </w:r>
          </w:p>
        </w:tc>
        <w:tc>
          <w:tcPr>
            <w:tcW w:w="3420" w:type="dxa"/>
            <w:shd w:val="clear" w:color="auto" w:fill="DBE6F1"/>
          </w:tcPr>
          <w:p>
            <w:pPr>
              <w:pStyle w:val="TableParagraph"/>
              <w:spacing w:before="138"/>
              <w:ind w:left="1123"/>
              <w:rPr>
                <w:b/>
                <w:sz w:val="24"/>
              </w:rPr>
            </w:pPr>
            <w:r>
              <w:rPr>
                <w:b/>
                <w:spacing w:val="-2"/>
                <w:sz w:val="24"/>
              </w:rPr>
              <w:t>Deliverable</w:t>
            </w:r>
          </w:p>
        </w:tc>
        <w:tc>
          <w:tcPr>
            <w:tcW w:w="2335" w:type="dxa"/>
            <w:shd w:val="clear" w:color="auto" w:fill="DBE6F1"/>
          </w:tcPr>
          <w:p>
            <w:pPr>
              <w:pStyle w:val="TableParagraph"/>
              <w:spacing w:line="276" w:lineRule="exact"/>
              <w:ind w:left="655" w:hanging="130"/>
              <w:rPr>
                <w:b/>
                <w:sz w:val="24"/>
              </w:rPr>
            </w:pPr>
            <w:r>
              <w:rPr>
                <w:b/>
                <w:spacing w:val="-2"/>
                <w:sz w:val="24"/>
              </w:rPr>
              <w:t>STC/Section Reference</w:t>
            </w:r>
          </w:p>
        </w:tc>
      </w:tr>
      <w:tr>
        <w:trPr>
          <w:trHeight w:val="827" w:hRule="atLeast"/>
        </w:trPr>
        <w:tc>
          <w:tcPr>
            <w:tcW w:w="3595" w:type="dxa"/>
          </w:tcPr>
          <w:p>
            <w:pPr>
              <w:pStyle w:val="TableParagraph"/>
              <w:spacing w:line="276" w:lineRule="exact"/>
              <w:ind w:left="107" w:right="220"/>
              <w:rPr>
                <w:sz w:val="24"/>
              </w:rPr>
            </w:pPr>
            <w:r>
              <w:rPr>
                <w:sz w:val="24"/>
              </w:rPr>
              <w:t>60</w:t>
            </w:r>
            <w:r>
              <w:rPr>
                <w:spacing w:val="-8"/>
                <w:sz w:val="24"/>
              </w:rPr>
              <w:t> </w:t>
            </w:r>
            <w:r>
              <w:rPr>
                <w:sz w:val="24"/>
              </w:rPr>
              <w:t>calendar</w:t>
            </w:r>
            <w:r>
              <w:rPr>
                <w:spacing w:val="-8"/>
                <w:sz w:val="24"/>
              </w:rPr>
              <w:t> </w:t>
            </w:r>
            <w:r>
              <w:rPr>
                <w:sz w:val="24"/>
              </w:rPr>
              <w:t>days</w:t>
            </w:r>
            <w:r>
              <w:rPr>
                <w:spacing w:val="-8"/>
                <w:sz w:val="24"/>
              </w:rPr>
              <w:t> </w:t>
            </w:r>
            <w:r>
              <w:rPr>
                <w:sz w:val="24"/>
              </w:rPr>
              <w:t>after</w:t>
            </w:r>
            <w:r>
              <w:rPr>
                <w:spacing w:val="-8"/>
                <w:sz w:val="24"/>
              </w:rPr>
              <w:t> </w:t>
            </w:r>
            <w:r>
              <w:rPr>
                <w:sz w:val="24"/>
              </w:rPr>
              <w:t>receipt</w:t>
            </w:r>
            <w:r>
              <w:rPr>
                <w:spacing w:val="-8"/>
                <w:sz w:val="24"/>
              </w:rPr>
              <w:t> </w:t>
            </w:r>
            <w:r>
              <w:rPr>
                <w:sz w:val="24"/>
              </w:rPr>
              <w:t>of CMS comments on SUD Monitoring Protocol</w:t>
            </w:r>
          </w:p>
        </w:tc>
        <w:tc>
          <w:tcPr>
            <w:tcW w:w="3420" w:type="dxa"/>
          </w:tcPr>
          <w:p>
            <w:pPr>
              <w:pStyle w:val="TableParagraph"/>
              <w:ind w:left="107" w:right="134"/>
              <w:rPr>
                <w:sz w:val="24"/>
              </w:rPr>
            </w:pPr>
            <w:r>
              <w:rPr>
                <w:sz w:val="24"/>
              </w:rPr>
              <w:t>Revised</w:t>
            </w:r>
            <w:r>
              <w:rPr>
                <w:spacing w:val="-15"/>
                <w:sz w:val="24"/>
              </w:rPr>
              <w:t> </w:t>
            </w:r>
            <w:r>
              <w:rPr>
                <w:sz w:val="24"/>
              </w:rPr>
              <w:t>SUD</w:t>
            </w:r>
            <w:r>
              <w:rPr>
                <w:spacing w:val="-15"/>
                <w:sz w:val="24"/>
              </w:rPr>
              <w:t> </w:t>
            </w:r>
            <w:r>
              <w:rPr>
                <w:sz w:val="24"/>
              </w:rPr>
              <w:t>Monitoring </w:t>
            </w:r>
            <w:r>
              <w:rPr>
                <w:spacing w:val="-2"/>
                <w:sz w:val="24"/>
              </w:rPr>
              <w:t>Protocol</w:t>
            </w:r>
          </w:p>
        </w:tc>
        <w:tc>
          <w:tcPr>
            <w:tcW w:w="2335" w:type="dxa"/>
          </w:tcPr>
          <w:p>
            <w:pPr>
              <w:pStyle w:val="TableParagraph"/>
              <w:spacing w:before="10"/>
              <w:rPr>
                <w:sz w:val="23"/>
              </w:rPr>
            </w:pPr>
          </w:p>
          <w:p>
            <w:pPr>
              <w:pStyle w:val="TableParagraph"/>
              <w:ind w:left="107"/>
              <w:rPr>
                <w:sz w:val="24"/>
              </w:rPr>
            </w:pPr>
            <w:r>
              <w:rPr>
                <w:sz w:val="24"/>
              </w:rPr>
              <w:t>STC</w:t>
            </w:r>
            <w:r>
              <w:rPr>
                <w:spacing w:val="-1"/>
                <w:sz w:val="24"/>
              </w:rPr>
              <w:t> </w:t>
            </w:r>
            <w:r>
              <w:rPr>
                <w:spacing w:val="-5"/>
                <w:sz w:val="24"/>
              </w:rPr>
              <w:t>6.7</w:t>
            </w:r>
          </w:p>
        </w:tc>
      </w:tr>
      <w:tr>
        <w:trPr>
          <w:trHeight w:val="550" w:hRule="atLeast"/>
        </w:trPr>
        <w:tc>
          <w:tcPr>
            <w:tcW w:w="3595" w:type="dxa"/>
          </w:tcPr>
          <w:p>
            <w:pPr>
              <w:pStyle w:val="TableParagraph"/>
              <w:spacing w:line="276" w:lineRule="exact"/>
              <w:ind w:left="107" w:right="220"/>
              <w:rPr>
                <w:sz w:val="24"/>
              </w:rPr>
            </w:pPr>
            <w:r>
              <w:rPr>
                <w:sz w:val="24"/>
              </w:rPr>
              <w:t>No</w:t>
            </w:r>
            <w:r>
              <w:rPr>
                <w:spacing w:val="-8"/>
                <w:sz w:val="24"/>
              </w:rPr>
              <w:t> </w:t>
            </w:r>
            <w:r>
              <w:rPr>
                <w:sz w:val="24"/>
              </w:rPr>
              <w:t>later</w:t>
            </w:r>
            <w:r>
              <w:rPr>
                <w:spacing w:val="-9"/>
                <w:sz w:val="24"/>
              </w:rPr>
              <w:t> </w:t>
            </w:r>
            <w:r>
              <w:rPr>
                <w:sz w:val="24"/>
              </w:rPr>
              <w:t>than</w:t>
            </w:r>
            <w:r>
              <w:rPr>
                <w:spacing w:val="-8"/>
                <w:sz w:val="24"/>
              </w:rPr>
              <w:t> </w:t>
            </w:r>
            <w:r>
              <w:rPr>
                <w:sz w:val="24"/>
              </w:rPr>
              <w:t>60</w:t>
            </w:r>
            <w:r>
              <w:rPr>
                <w:spacing w:val="-8"/>
                <w:sz w:val="24"/>
              </w:rPr>
              <w:t> </w:t>
            </w:r>
            <w:r>
              <w:rPr>
                <w:sz w:val="24"/>
              </w:rPr>
              <w:t>calendar</w:t>
            </w:r>
            <w:r>
              <w:rPr>
                <w:spacing w:val="-8"/>
                <w:sz w:val="24"/>
              </w:rPr>
              <w:t> </w:t>
            </w:r>
            <w:r>
              <w:rPr>
                <w:sz w:val="24"/>
              </w:rPr>
              <w:t>days after September 30, 2025</w:t>
            </w:r>
          </w:p>
        </w:tc>
        <w:tc>
          <w:tcPr>
            <w:tcW w:w="3420" w:type="dxa"/>
          </w:tcPr>
          <w:p>
            <w:pPr>
              <w:pStyle w:val="TableParagraph"/>
              <w:spacing w:line="274" w:lineRule="exact"/>
              <w:ind w:left="107"/>
              <w:rPr>
                <w:sz w:val="24"/>
              </w:rPr>
            </w:pPr>
            <w:r>
              <w:rPr>
                <w:sz w:val="24"/>
              </w:rPr>
              <w:t>SUD</w:t>
            </w:r>
            <w:r>
              <w:rPr>
                <w:spacing w:val="-2"/>
                <w:sz w:val="24"/>
              </w:rPr>
              <w:t> </w:t>
            </w:r>
            <w:r>
              <w:rPr>
                <w:sz w:val="24"/>
              </w:rPr>
              <w:t>Mid-Point</w:t>
            </w:r>
            <w:r>
              <w:rPr>
                <w:spacing w:val="-1"/>
                <w:sz w:val="24"/>
              </w:rPr>
              <w:t> </w:t>
            </w:r>
            <w:r>
              <w:rPr>
                <w:spacing w:val="-2"/>
                <w:sz w:val="24"/>
              </w:rPr>
              <w:t>Assessment</w:t>
            </w:r>
          </w:p>
        </w:tc>
        <w:tc>
          <w:tcPr>
            <w:tcW w:w="2335" w:type="dxa"/>
          </w:tcPr>
          <w:p>
            <w:pPr>
              <w:pStyle w:val="TableParagraph"/>
              <w:spacing w:line="274" w:lineRule="exact"/>
              <w:ind w:left="107"/>
              <w:rPr>
                <w:sz w:val="24"/>
              </w:rPr>
            </w:pPr>
            <w:r>
              <w:rPr>
                <w:sz w:val="24"/>
              </w:rPr>
              <w:t>STC</w:t>
            </w:r>
            <w:r>
              <w:rPr>
                <w:spacing w:val="-1"/>
                <w:sz w:val="24"/>
              </w:rPr>
              <w:t> </w:t>
            </w:r>
            <w:r>
              <w:rPr>
                <w:spacing w:val="-5"/>
                <w:sz w:val="24"/>
              </w:rPr>
              <w:t>6.8</w:t>
            </w:r>
          </w:p>
        </w:tc>
      </w:tr>
      <w:tr>
        <w:trPr>
          <w:trHeight w:val="553" w:hRule="atLeast"/>
        </w:trPr>
        <w:tc>
          <w:tcPr>
            <w:tcW w:w="3595" w:type="dxa"/>
          </w:tcPr>
          <w:p>
            <w:pPr>
              <w:pStyle w:val="TableParagraph"/>
              <w:spacing w:line="270" w:lineRule="atLeast"/>
              <w:ind w:left="107"/>
              <w:rPr>
                <w:sz w:val="24"/>
              </w:rPr>
            </w:pPr>
            <w:r>
              <w:rPr>
                <w:sz w:val="24"/>
              </w:rPr>
              <w:t>No later than 60 days after demonstration</w:t>
            </w:r>
            <w:r>
              <w:rPr>
                <w:spacing w:val="-15"/>
                <w:sz w:val="24"/>
              </w:rPr>
              <w:t> </w:t>
            </w:r>
            <w:r>
              <w:rPr>
                <w:sz w:val="24"/>
              </w:rPr>
              <w:t>effective</w:t>
            </w:r>
            <w:r>
              <w:rPr>
                <w:spacing w:val="-15"/>
                <w:sz w:val="24"/>
              </w:rPr>
              <w:t> </w:t>
            </w:r>
            <w:r>
              <w:rPr>
                <w:sz w:val="24"/>
              </w:rPr>
              <w:t>date</w:t>
            </w:r>
          </w:p>
        </w:tc>
        <w:tc>
          <w:tcPr>
            <w:tcW w:w="3420" w:type="dxa"/>
          </w:tcPr>
          <w:p>
            <w:pPr>
              <w:pStyle w:val="TableParagraph"/>
              <w:spacing w:before="137"/>
              <w:ind w:left="107"/>
              <w:rPr>
                <w:sz w:val="24"/>
              </w:rPr>
            </w:pPr>
            <w:r>
              <w:rPr>
                <w:sz w:val="24"/>
              </w:rPr>
              <w:t>SUD</w:t>
            </w:r>
            <w:r>
              <w:rPr>
                <w:spacing w:val="-3"/>
                <w:sz w:val="24"/>
              </w:rPr>
              <w:t> </w:t>
            </w:r>
            <w:r>
              <w:rPr>
                <w:sz w:val="24"/>
              </w:rPr>
              <w:t>HIT</w:t>
            </w:r>
            <w:r>
              <w:rPr>
                <w:spacing w:val="-3"/>
                <w:sz w:val="24"/>
              </w:rPr>
              <w:t> </w:t>
            </w:r>
            <w:r>
              <w:rPr>
                <w:spacing w:val="-4"/>
                <w:sz w:val="24"/>
              </w:rPr>
              <w:t>Plan</w:t>
            </w:r>
          </w:p>
        </w:tc>
        <w:tc>
          <w:tcPr>
            <w:tcW w:w="2335" w:type="dxa"/>
          </w:tcPr>
          <w:p>
            <w:pPr>
              <w:pStyle w:val="TableParagraph"/>
              <w:spacing w:before="137"/>
              <w:ind w:left="107"/>
              <w:rPr>
                <w:sz w:val="24"/>
              </w:rPr>
            </w:pPr>
            <w:r>
              <w:rPr>
                <w:sz w:val="24"/>
              </w:rPr>
              <w:t>STC</w:t>
            </w:r>
            <w:r>
              <w:rPr>
                <w:spacing w:val="-1"/>
                <w:sz w:val="24"/>
              </w:rPr>
              <w:t> </w:t>
            </w:r>
            <w:r>
              <w:rPr>
                <w:spacing w:val="-5"/>
                <w:sz w:val="24"/>
              </w:rPr>
              <w:t>6.7</w:t>
            </w:r>
          </w:p>
        </w:tc>
      </w:tr>
      <w:tr>
        <w:trPr>
          <w:trHeight w:val="275" w:hRule="atLeast"/>
        </w:trPr>
        <w:tc>
          <w:tcPr>
            <w:tcW w:w="3595" w:type="dxa"/>
          </w:tcPr>
          <w:p>
            <w:pPr>
              <w:pStyle w:val="TableParagraph"/>
              <w:spacing w:line="256" w:lineRule="exact"/>
              <w:ind w:left="107"/>
              <w:rPr>
                <w:sz w:val="24"/>
              </w:rPr>
            </w:pPr>
            <w:r>
              <w:rPr>
                <w:sz w:val="24"/>
              </w:rPr>
              <w:t>Prior</w:t>
            </w:r>
            <w:r>
              <w:rPr>
                <w:spacing w:val="-2"/>
                <w:sz w:val="24"/>
              </w:rPr>
              <w:t> </w:t>
            </w:r>
            <w:r>
              <w:rPr>
                <w:sz w:val="24"/>
              </w:rPr>
              <w:t>to</w:t>
            </w:r>
            <w:r>
              <w:rPr>
                <w:spacing w:val="-2"/>
                <w:sz w:val="24"/>
              </w:rPr>
              <w:t> </w:t>
            </w:r>
            <w:r>
              <w:rPr>
                <w:sz w:val="24"/>
              </w:rPr>
              <w:t>claiming</w:t>
            </w:r>
            <w:r>
              <w:rPr>
                <w:spacing w:val="-3"/>
                <w:sz w:val="24"/>
              </w:rPr>
              <w:t> </w:t>
            </w:r>
            <w:r>
              <w:rPr>
                <w:sz w:val="24"/>
              </w:rPr>
              <w:t>UC</w:t>
            </w:r>
            <w:r>
              <w:rPr>
                <w:spacing w:val="-1"/>
                <w:sz w:val="24"/>
              </w:rPr>
              <w:t> </w:t>
            </w:r>
            <w:r>
              <w:rPr>
                <w:spacing w:val="-5"/>
                <w:sz w:val="24"/>
              </w:rPr>
              <w:t>FFP</w:t>
            </w:r>
          </w:p>
        </w:tc>
        <w:tc>
          <w:tcPr>
            <w:tcW w:w="3420" w:type="dxa"/>
          </w:tcPr>
          <w:p>
            <w:pPr>
              <w:pStyle w:val="TableParagraph"/>
              <w:spacing w:line="256" w:lineRule="exact"/>
              <w:ind w:left="107"/>
              <w:rPr>
                <w:sz w:val="24"/>
              </w:rPr>
            </w:pPr>
            <w:r>
              <w:rPr>
                <w:sz w:val="24"/>
              </w:rPr>
              <w:t>UC</w:t>
            </w:r>
            <w:r>
              <w:rPr>
                <w:spacing w:val="-3"/>
                <w:sz w:val="24"/>
              </w:rPr>
              <w:t> </w:t>
            </w:r>
            <w:r>
              <w:rPr>
                <w:sz w:val="24"/>
              </w:rPr>
              <w:t>Payment</w:t>
            </w:r>
            <w:r>
              <w:rPr>
                <w:spacing w:val="-3"/>
                <w:sz w:val="24"/>
              </w:rPr>
              <w:t> </w:t>
            </w:r>
            <w:r>
              <w:rPr>
                <w:spacing w:val="-2"/>
                <w:sz w:val="24"/>
              </w:rPr>
              <w:t>Protocol</w:t>
            </w:r>
          </w:p>
        </w:tc>
        <w:tc>
          <w:tcPr>
            <w:tcW w:w="2335" w:type="dxa"/>
          </w:tcPr>
          <w:p>
            <w:pPr>
              <w:pStyle w:val="TableParagraph"/>
              <w:spacing w:line="256" w:lineRule="exact"/>
              <w:ind w:left="107"/>
              <w:rPr>
                <w:sz w:val="24"/>
              </w:rPr>
            </w:pPr>
            <w:r>
              <w:rPr>
                <w:sz w:val="24"/>
              </w:rPr>
              <w:t>STC</w:t>
            </w:r>
            <w:r>
              <w:rPr>
                <w:spacing w:val="-1"/>
                <w:sz w:val="24"/>
              </w:rPr>
              <w:t> </w:t>
            </w:r>
            <w:r>
              <w:rPr>
                <w:spacing w:val="-4"/>
                <w:sz w:val="24"/>
              </w:rPr>
              <w:t>10.3</w:t>
            </w:r>
          </w:p>
        </w:tc>
      </w:tr>
      <w:tr>
        <w:trPr>
          <w:trHeight w:val="551" w:hRule="atLeast"/>
        </w:trPr>
        <w:tc>
          <w:tcPr>
            <w:tcW w:w="3595" w:type="dxa"/>
          </w:tcPr>
          <w:p>
            <w:pPr>
              <w:pStyle w:val="TableParagraph"/>
              <w:spacing w:before="135"/>
              <w:ind w:left="107"/>
              <w:rPr>
                <w:sz w:val="24"/>
              </w:rPr>
            </w:pPr>
            <w:r>
              <w:rPr>
                <w:sz w:val="24"/>
              </w:rPr>
              <w:t>Prior</w:t>
            </w:r>
            <w:r>
              <w:rPr>
                <w:spacing w:val="-2"/>
                <w:sz w:val="24"/>
              </w:rPr>
              <w:t> </w:t>
            </w:r>
            <w:r>
              <w:rPr>
                <w:sz w:val="24"/>
              </w:rPr>
              <w:t>to</w:t>
            </w:r>
            <w:r>
              <w:rPr>
                <w:spacing w:val="-2"/>
                <w:sz w:val="24"/>
              </w:rPr>
              <w:t> </w:t>
            </w:r>
            <w:r>
              <w:rPr>
                <w:sz w:val="24"/>
              </w:rPr>
              <w:t>claiming</w:t>
            </w:r>
            <w:r>
              <w:rPr>
                <w:spacing w:val="-3"/>
                <w:sz w:val="24"/>
              </w:rPr>
              <w:t> </w:t>
            </w:r>
            <w:r>
              <w:rPr>
                <w:spacing w:val="-5"/>
                <w:sz w:val="24"/>
              </w:rPr>
              <w:t>FFP</w:t>
            </w:r>
          </w:p>
        </w:tc>
        <w:tc>
          <w:tcPr>
            <w:tcW w:w="3420" w:type="dxa"/>
          </w:tcPr>
          <w:p>
            <w:pPr>
              <w:pStyle w:val="TableParagraph"/>
              <w:spacing w:line="276" w:lineRule="exact"/>
              <w:ind w:left="107"/>
              <w:rPr>
                <w:sz w:val="24"/>
              </w:rPr>
            </w:pPr>
            <w:r>
              <w:rPr>
                <w:sz w:val="24"/>
              </w:rPr>
              <w:t>Hospital</w:t>
            </w:r>
            <w:r>
              <w:rPr>
                <w:spacing w:val="-10"/>
                <w:sz w:val="24"/>
              </w:rPr>
              <w:t> </w:t>
            </w:r>
            <w:r>
              <w:rPr>
                <w:sz w:val="24"/>
              </w:rPr>
              <w:t>Quality</w:t>
            </w:r>
            <w:r>
              <w:rPr>
                <w:spacing w:val="-15"/>
                <w:sz w:val="24"/>
              </w:rPr>
              <w:t> </w:t>
            </w:r>
            <w:r>
              <w:rPr>
                <w:sz w:val="24"/>
              </w:rPr>
              <w:t>and</w:t>
            </w:r>
            <w:r>
              <w:rPr>
                <w:spacing w:val="-10"/>
                <w:sz w:val="24"/>
              </w:rPr>
              <w:t> </w:t>
            </w:r>
            <w:r>
              <w:rPr>
                <w:sz w:val="24"/>
              </w:rPr>
              <w:t>Equity Implementation Plan</w:t>
            </w:r>
          </w:p>
        </w:tc>
        <w:tc>
          <w:tcPr>
            <w:tcW w:w="2335" w:type="dxa"/>
          </w:tcPr>
          <w:p>
            <w:pPr>
              <w:pStyle w:val="TableParagraph"/>
              <w:spacing w:before="135"/>
              <w:ind w:left="107"/>
              <w:rPr>
                <w:sz w:val="24"/>
              </w:rPr>
            </w:pPr>
            <w:r>
              <w:rPr>
                <w:sz w:val="24"/>
              </w:rPr>
              <w:t>STC</w:t>
            </w:r>
            <w:r>
              <w:rPr>
                <w:spacing w:val="-1"/>
                <w:sz w:val="24"/>
              </w:rPr>
              <w:t> </w:t>
            </w:r>
            <w:r>
              <w:rPr>
                <w:spacing w:val="-4"/>
                <w:sz w:val="24"/>
              </w:rPr>
              <w:t>14.8</w:t>
            </w:r>
          </w:p>
        </w:tc>
      </w:tr>
      <w:tr>
        <w:trPr>
          <w:trHeight w:val="1103" w:hRule="atLeast"/>
        </w:trPr>
        <w:tc>
          <w:tcPr>
            <w:tcW w:w="3595" w:type="dxa"/>
          </w:tcPr>
          <w:p>
            <w:pPr>
              <w:pStyle w:val="TableParagraph"/>
              <w:spacing w:before="137"/>
              <w:ind w:left="107" w:right="29"/>
              <w:rPr>
                <w:sz w:val="24"/>
              </w:rPr>
            </w:pPr>
            <w:r>
              <w:rPr>
                <w:sz w:val="24"/>
              </w:rPr>
              <w:t>No later than 90 days after demonstration</w:t>
            </w:r>
            <w:r>
              <w:rPr>
                <w:spacing w:val="-13"/>
                <w:sz w:val="24"/>
              </w:rPr>
              <w:t> </w:t>
            </w:r>
            <w:r>
              <w:rPr>
                <w:sz w:val="24"/>
              </w:rPr>
              <w:t>effective</w:t>
            </w:r>
            <w:r>
              <w:rPr>
                <w:spacing w:val="-14"/>
                <w:sz w:val="24"/>
              </w:rPr>
              <w:t> </w:t>
            </w:r>
            <w:r>
              <w:rPr>
                <w:sz w:val="24"/>
              </w:rPr>
              <w:t>date</w:t>
            </w:r>
            <w:r>
              <w:rPr>
                <w:spacing w:val="-14"/>
                <w:sz w:val="24"/>
              </w:rPr>
              <w:t> </w:t>
            </w:r>
            <w:r>
              <w:rPr>
                <w:sz w:val="24"/>
              </w:rPr>
              <w:t>(prior to claiming FFP)</w:t>
            </w:r>
          </w:p>
        </w:tc>
        <w:tc>
          <w:tcPr>
            <w:tcW w:w="3420" w:type="dxa"/>
          </w:tcPr>
          <w:p>
            <w:pPr>
              <w:pStyle w:val="TableParagraph"/>
              <w:spacing w:line="276" w:lineRule="exact"/>
              <w:ind w:left="107" w:right="134"/>
              <w:rPr>
                <w:sz w:val="24"/>
              </w:rPr>
            </w:pPr>
            <w:r>
              <w:rPr>
                <w:sz w:val="24"/>
              </w:rPr>
              <w:t>Protocol for Assessment of Beneficiary Eligibility and Needs,</w:t>
            </w:r>
            <w:r>
              <w:rPr>
                <w:spacing w:val="-15"/>
                <w:sz w:val="24"/>
              </w:rPr>
              <w:t> </w:t>
            </w:r>
            <w:r>
              <w:rPr>
                <w:sz w:val="24"/>
              </w:rPr>
              <w:t>Infrastructure</w:t>
            </w:r>
            <w:r>
              <w:rPr>
                <w:spacing w:val="-15"/>
                <w:sz w:val="24"/>
              </w:rPr>
              <w:t> </w:t>
            </w:r>
            <w:r>
              <w:rPr>
                <w:sz w:val="24"/>
              </w:rPr>
              <w:t>Planning and Provider Qualifications</w:t>
            </w:r>
          </w:p>
        </w:tc>
        <w:tc>
          <w:tcPr>
            <w:tcW w:w="2335" w:type="dxa"/>
          </w:tcPr>
          <w:p>
            <w:pPr>
              <w:pStyle w:val="TableParagraph"/>
              <w:spacing w:before="11"/>
              <w:rPr>
                <w:sz w:val="35"/>
              </w:rPr>
            </w:pPr>
          </w:p>
          <w:p>
            <w:pPr>
              <w:pStyle w:val="TableParagraph"/>
              <w:ind w:left="107"/>
              <w:rPr>
                <w:sz w:val="24"/>
              </w:rPr>
            </w:pPr>
            <w:r>
              <w:rPr>
                <w:sz w:val="24"/>
              </w:rPr>
              <w:t>STC</w:t>
            </w:r>
            <w:r>
              <w:rPr>
                <w:spacing w:val="-1"/>
                <w:sz w:val="24"/>
              </w:rPr>
              <w:t> </w:t>
            </w:r>
            <w:r>
              <w:rPr>
                <w:spacing w:val="-4"/>
                <w:sz w:val="24"/>
              </w:rPr>
              <w:t>15.5</w:t>
            </w:r>
          </w:p>
        </w:tc>
      </w:tr>
      <w:tr>
        <w:trPr>
          <w:trHeight w:val="550" w:hRule="atLeast"/>
        </w:trPr>
        <w:tc>
          <w:tcPr>
            <w:tcW w:w="3595" w:type="dxa"/>
          </w:tcPr>
          <w:p>
            <w:pPr>
              <w:pStyle w:val="TableParagraph"/>
              <w:spacing w:line="276" w:lineRule="exact"/>
              <w:ind w:left="107" w:right="220"/>
              <w:rPr>
                <w:sz w:val="24"/>
              </w:rPr>
            </w:pPr>
            <w:r>
              <w:rPr>
                <w:sz w:val="24"/>
              </w:rPr>
              <w:t>90 calendar days after demonstration</w:t>
            </w:r>
            <w:r>
              <w:rPr>
                <w:spacing w:val="-15"/>
                <w:sz w:val="24"/>
              </w:rPr>
              <w:t> </w:t>
            </w:r>
            <w:r>
              <w:rPr>
                <w:sz w:val="24"/>
              </w:rPr>
              <w:t>effective</w:t>
            </w:r>
            <w:r>
              <w:rPr>
                <w:spacing w:val="-15"/>
                <w:sz w:val="24"/>
              </w:rPr>
              <w:t> </w:t>
            </w:r>
            <w:r>
              <w:rPr>
                <w:sz w:val="24"/>
              </w:rPr>
              <w:t>date</w:t>
            </w:r>
          </w:p>
        </w:tc>
        <w:tc>
          <w:tcPr>
            <w:tcW w:w="3420" w:type="dxa"/>
          </w:tcPr>
          <w:p>
            <w:pPr>
              <w:pStyle w:val="TableParagraph"/>
              <w:spacing w:before="137"/>
              <w:ind w:left="107"/>
              <w:rPr>
                <w:sz w:val="24"/>
              </w:rPr>
            </w:pPr>
            <w:r>
              <w:rPr>
                <w:sz w:val="24"/>
              </w:rPr>
              <w:t>HRSN</w:t>
            </w:r>
            <w:r>
              <w:rPr>
                <w:spacing w:val="-5"/>
                <w:sz w:val="24"/>
              </w:rPr>
              <w:t> </w:t>
            </w:r>
            <w:r>
              <w:rPr>
                <w:sz w:val="24"/>
              </w:rPr>
              <w:t>Implementation</w:t>
            </w:r>
            <w:r>
              <w:rPr>
                <w:spacing w:val="-4"/>
                <w:sz w:val="24"/>
              </w:rPr>
              <w:t> Plan</w:t>
            </w:r>
          </w:p>
        </w:tc>
        <w:tc>
          <w:tcPr>
            <w:tcW w:w="2335" w:type="dxa"/>
          </w:tcPr>
          <w:p>
            <w:pPr>
              <w:pStyle w:val="TableParagraph"/>
              <w:spacing w:before="137"/>
              <w:ind w:left="107"/>
              <w:rPr>
                <w:sz w:val="24"/>
              </w:rPr>
            </w:pPr>
            <w:r>
              <w:rPr>
                <w:sz w:val="24"/>
              </w:rPr>
              <w:t>STC</w:t>
            </w:r>
            <w:r>
              <w:rPr>
                <w:spacing w:val="-1"/>
                <w:sz w:val="24"/>
              </w:rPr>
              <w:t> </w:t>
            </w:r>
            <w:r>
              <w:rPr>
                <w:spacing w:val="-2"/>
                <w:sz w:val="24"/>
              </w:rPr>
              <w:t>15.12</w:t>
            </w:r>
          </w:p>
        </w:tc>
      </w:tr>
      <w:tr>
        <w:trPr>
          <w:trHeight w:val="826" w:hRule="atLeast"/>
        </w:trPr>
        <w:tc>
          <w:tcPr>
            <w:tcW w:w="3595" w:type="dxa"/>
          </w:tcPr>
          <w:p>
            <w:pPr>
              <w:pStyle w:val="TableParagraph"/>
              <w:spacing w:line="276" w:lineRule="exact"/>
              <w:ind w:left="107"/>
              <w:rPr>
                <w:sz w:val="24"/>
              </w:rPr>
            </w:pPr>
            <w:r>
              <w:rPr>
                <w:sz w:val="24"/>
              </w:rPr>
              <w:t>60</w:t>
            </w:r>
            <w:r>
              <w:rPr>
                <w:spacing w:val="-8"/>
                <w:sz w:val="24"/>
              </w:rPr>
              <w:t> </w:t>
            </w:r>
            <w:r>
              <w:rPr>
                <w:sz w:val="24"/>
              </w:rPr>
              <w:t>calendar</w:t>
            </w:r>
            <w:r>
              <w:rPr>
                <w:spacing w:val="-8"/>
                <w:sz w:val="24"/>
              </w:rPr>
              <w:t> </w:t>
            </w:r>
            <w:r>
              <w:rPr>
                <w:sz w:val="24"/>
              </w:rPr>
              <w:t>days</w:t>
            </w:r>
            <w:r>
              <w:rPr>
                <w:spacing w:val="-8"/>
                <w:sz w:val="24"/>
              </w:rPr>
              <w:t> </w:t>
            </w:r>
            <w:r>
              <w:rPr>
                <w:sz w:val="24"/>
              </w:rPr>
              <w:t>after</w:t>
            </w:r>
            <w:r>
              <w:rPr>
                <w:spacing w:val="-8"/>
                <w:sz w:val="24"/>
              </w:rPr>
              <w:t> </w:t>
            </w:r>
            <w:r>
              <w:rPr>
                <w:sz w:val="24"/>
              </w:rPr>
              <w:t>receipt</w:t>
            </w:r>
            <w:r>
              <w:rPr>
                <w:spacing w:val="-8"/>
                <w:sz w:val="24"/>
              </w:rPr>
              <w:t> </w:t>
            </w:r>
            <w:r>
              <w:rPr>
                <w:sz w:val="24"/>
              </w:rPr>
              <w:t>of CMS comments on HRSN Implementation Plan</w:t>
            </w:r>
          </w:p>
        </w:tc>
        <w:tc>
          <w:tcPr>
            <w:tcW w:w="3420" w:type="dxa"/>
          </w:tcPr>
          <w:p>
            <w:pPr>
              <w:pStyle w:val="TableParagraph"/>
              <w:spacing w:before="137"/>
              <w:ind w:left="107"/>
              <w:rPr>
                <w:sz w:val="24"/>
              </w:rPr>
            </w:pPr>
            <w:r>
              <w:rPr>
                <w:sz w:val="24"/>
              </w:rPr>
              <w:t>Revised</w:t>
            </w:r>
            <w:r>
              <w:rPr>
                <w:spacing w:val="-15"/>
                <w:sz w:val="24"/>
              </w:rPr>
              <w:t> </w:t>
            </w:r>
            <w:r>
              <w:rPr>
                <w:sz w:val="24"/>
              </w:rPr>
              <w:t>HRSN</w:t>
            </w:r>
            <w:r>
              <w:rPr>
                <w:spacing w:val="-15"/>
                <w:sz w:val="24"/>
              </w:rPr>
              <w:t> </w:t>
            </w:r>
            <w:r>
              <w:rPr>
                <w:sz w:val="24"/>
              </w:rPr>
              <w:t>Implementation </w:t>
            </w:r>
            <w:r>
              <w:rPr>
                <w:spacing w:val="-4"/>
                <w:sz w:val="24"/>
              </w:rPr>
              <w:t>Plan</w:t>
            </w:r>
          </w:p>
        </w:tc>
        <w:tc>
          <w:tcPr>
            <w:tcW w:w="2335" w:type="dxa"/>
          </w:tcPr>
          <w:p>
            <w:pPr>
              <w:pStyle w:val="TableParagraph"/>
              <w:spacing w:before="9"/>
              <w:rPr>
                <w:sz w:val="23"/>
              </w:rPr>
            </w:pPr>
          </w:p>
          <w:p>
            <w:pPr>
              <w:pStyle w:val="TableParagraph"/>
              <w:ind w:left="107"/>
              <w:rPr>
                <w:sz w:val="24"/>
              </w:rPr>
            </w:pPr>
            <w:r>
              <w:rPr>
                <w:sz w:val="24"/>
              </w:rPr>
              <w:t>STC</w:t>
            </w:r>
            <w:r>
              <w:rPr>
                <w:spacing w:val="-1"/>
                <w:sz w:val="24"/>
              </w:rPr>
              <w:t> </w:t>
            </w:r>
            <w:r>
              <w:rPr>
                <w:spacing w:val="-2"/>
                <w:sz w:val="24"/>
              </w:rPr>
              <w:t>15.12</w:t>
            </w:r>
          </w:p>
        </w:tc>
      </w:tr>
      <w:tr>
        <w:trPr>
          <w:trHeight w:val="549" w:hRule="atLeast"/>
        </w:trPr>
        <w:tc>
          <w:tcPr>
            <w:tcW w:w="3595" w:type="dxa"/>
          </w:tcPr>
          <w:p>
            <w:pPr>
              <w:pStyle w:val="TableParagraph"/>
              <w:spacing w:line="276" w:lineRule="exact"/>
              <w:ind w:left="107"/>
              <w:rPr>
                <w:sz w:val="24"/>
              </w:rPr>
            </w:pPr>
            <w:r>
              <w:rPr>
                <w:sz w:val="24"/>
              </w:rPr>
              <w:t>No</w:t>
            </w:r>
            <w:r>
              <w:rPr>
                <w:spacing w:val="-6"/>
                <w:sz w:val="24"/>
              </w:rPr>
              <w:t> </w:t>
            </w:r>
            <w:r>
              <w:rPr>
                <w:sz w:val="24"/>
              </w:rPr>
              <w:t>later</w:t>
            </w:r>
            <w:r>
              <w:rPr>
                <w:spacing w:val="-6"/>
                <w:sz w:val="24"/>
              </w:rPr>
              <w:t> </w:t>
            </w:r>
            <w:r>
              <w:rPr>
                <w:sz w:val="24"/>
              </w:rPr>
              <w:t>than</w:t>
            </w:r>
            <w:r>
              <w:rPr>
                <w:spacing w:val="-6"/>
                <w:sz w:val="24"/>
              </w:rPr>
              <w:t> </w:t>
            </w:r>
            <w:r>
              <w:rPr>
                <w:sz w:val="24"/>
              </w:rPr>
              <w:t>90</w:t>
            </w:r>
            <w:r>
              <w:rPr>
                <w:spacing w:val="-6"/>
                <w:sz w:val="24"/>
              </w:rPr>
              <w:t> </w:t>
            </w:r>
            <w:r>
              <w:rPr>
                <w:sz w:val="24"/>
              </w:rPr>
              <w:t>days</w:t>
            </w:r>
            <w:r>
              <w:rPr>
                <w:spacing w:val="-6"/>
                <w:sz w:val="24"/>
              </w:rPr>
              <w:t> </w:t>
            </w:r>
            <w:r>
              <w:rPr>
                <w:sz w:val="24"/>
              </w:rPr>
              <w:t>prior</w:t>
            </w:r>
            <w:r>
              <w:rPr>
                <w:spacing w:val="-6"/>
                <w:sz w:val="24"/>
              </w:rPr>
              <w:t> </w:t>
            </w:r>
            <w:r>
              <w:rPr>
                <w:sz w:val="24"/>
              </w:rPr>
              <w:t>to</w:t>
            </w:r>
            <w:r>
              <w:rPr>
                <w:spacing w:val="-6"/>
                <w:sz w:val="24"/>
              </w:rPr>
              <w:t> </w:t>
            </w:r>
            <w:r>
              <w:rPr>
                <w:sz w:val="24"/>
              </w:rPr>
              <w:t>the effective date</w:t>
            </w:r>
          </w:p>
        </w:tc>
        <w:tc>
          <w:tcPr>
            <w:tcW w:w="3420" w:type="dxa"/>
          </w:tcPr>
          <w:p>
            <w:pPr>
              <w:pStyle w:val="TableParagraph"/>
              <w:spacing w:before="136"/>
              <w:ind w:left="107"/>
              <w:rPr>
                <w:sz w:val="24"/>
              </w:rPr>
            </w:pPr>
            <w:r>
              <w:rPr>
                <w:sz w:val="24"/>
              </w:rPr>
              <w:t>Primary</w:t>
            </w:r>
            <w:r>
              <w:rPr>
                <w:spacing w:val="-7"/>
                <w:sz w:val="24"/>
              </w:rPr>
              <w:t> </w:t>
            </w:r>
            <w:r>
              <w:rPr>
                <w:sz w:val="24"/>
              </w:rPr>
              <w:t>Care</w:t>
            </w:r>
            <w:r>
              <w:rPr>
                <w:spacing w:val="-2"/>
                <w:sz w:val="24"/>
              </w:rPr>
              <w:t> </w:t>
            </w:r>
            <w:r>
              <w:rPr>
                <w:sz w:val="24"/>
              </w:rPr>
              <w:t>Payment</w:t>
            </w:r>
            <w:r>
              <w:rPr>
                <w:spacing w:val="-1"/>
                <w:sz w:val="24"/>
              </w:rPr>
              <w:t> </w:t>
            </w:r>
            <w:r>
              <w:rPr>
                <w:spacing w:val="-2"/>
                <w:sz w:val="24"/>
              </w:rPr>
              <w:t>Protocol</w:t>
            </w:r>
          </w:p>
        </w:tc>
        <w:tc>
          <w:tcPr>
            <w:tcW w:w="2335" w:type="dxa"/>
          </w:tcPr>
          <w:p>
            <w:pPr>
              <w:pStyle w:val="TableParagraph"/>
              <w:spacing w:before="136"/>
              <w:ind w:left="107"/>
              <w:rPr>
                <w:sz w:val="24"/>
              </w:rPr>
            </w:pPr>
            <w:r>
              <w:rPr>
                <w:sz w:val="24"/>
              </w:rPr>
              <w:t>STC</w:t>
            </w:r>
            <w:r>
              <w:rPr>
                <w:spacing w:val="-1"/>
                <w:sz w:val="24"/>
              </w:rPr>
              <w:t> </w:t>
            </w:r>
            <w:r>
              <w:rPr>
                <w:spacing w:val="-5"/>
                <w:sz w:val="24"/>
              </w:rPr>
              <w:t>8.5</w:t>
            </w:r>
          </w:p>
        </w:tc>
      </w:tr>
      <w:tr>
        <w:trPr>
          <w:trHeight w:val="552" w:hRule="atLeast"/>
        </w:trPr>
        <w:tc>
          <w:tcPr>
            <w:tcW w:w="3595" w:type="dxa"/>
          </w:tcPr>
          <w:p>
            <w:pPr>
              <w:pStyle w:val="TableParagraph"/>
              <w:spacing w:line="276" w:lineRule="exact"/>
              <w:ind w:left="107"/>
              <w:rPr>
                <w:sz w:val="24"/>
              </w:rPr>
            </w:pPr>
            <w:r>
              <w:rPr>
                <w:sz w:val="24"/>
              </w:rPr>
              <w:t>No later than 90 days after demonstration</w:t>
            </w:r>
            <w:r>
              <w:rPr>
                <w:spacing w:val="-15"/>
                <w:sz w:val="24"/>
              </w:rPr>
              <w:t> </w:t>
            </w:r>
            <w:r>
              <w:rPr>
                <w:sz w:val="24"/>
              </w:rPr>
              <w:t>effective</w:t>
            </w:r>
            <w:r>
              <w:rPr>
                <w:spacing w:val="-15"/>
                <w:sz w:val="24"/>
              </w:rPr>
              <w:t> </w:t>
            </w:r>
            <w:r>
              <w:rPr>
                <w:sz w:val="24"/>
              </w:rPr>
              <w:t>date</w:t>
            </w:r>
          </w:p>
        </w:tc>
        <w:tc>
          <w:tcPr>
            <w:tcW w:w="3420" w:type="dxa"/>
          </w:tcPr>
          <w:p>
            <w:pPr>
              <w:pStyle w:val="TableParagraph"/>
              <w:spacing w:line="276" w:lineRule="exact"/>
              <w:ind w:left="107"/>
              <w:rPr>
                <w:sz w:val="24"/>
              </w:rPr>
            </w:pPr>
            <w:r>
              <w:rPr>
                <w:sz w:val="24"/>
              </w:rPr>
              <w:t>Provider</w:t>
            </w:r>
            <w:r>
              <w:rPr>
                <w:spacing w:val="-14"/>
                <w:sz w:val="24"/>
              </w:rPr>
              <w:t> </w:t>
            </w:r>
            <w:r>
              <w:rPr>
                <w:sz w:val="24"/>
              </w:rPr>
              <w:t>Payment</w:t>
            </w:r>
            <w:r>
              <w:rPr>
                <w:spacing w:val="-13"/>
                <w:sz w:val="24"/>
              </w:rPr>
              <w:t> </w:t>
            </w:r>
            <w:r>
              <w:rPr>
                <w:sz w:val="24"/>
              </w:rPr>
              <w:t>Rate</w:t>
            </w:r>
            <w:r>
              <w:rPr>
                <w:spacing w:val="-12"/>
                <w:sz w:val="24"/>
              </w:rPr>
              <w:t> </w:t>
            </w:r>
            <w:r>
              <w:rPr>
                <w:sz w:val="24"/>
              </w:rPr>
              <w:t>Increase Assessment Attestation Table</w:t>
            </w:r>
          </w:p>
        </w:tc>
        <w:tc>
          <w:tcPr>
            <w:tcW w:w="2335" w:type="dxa"/>
          </w:tcPr>
          <w:p>
            <w:pPr>
              <w:pStyle w:val="TableParagraph"/>
              <w:spacing w:before="136"/>
              <w:ind w:left="107"/>
              <w:rPr>
                <w:sz w:val="24"/>
              </w:rPr>
            </w:pPr>
            <w:r>
              <w:rPr>
                <w:sz w:val="24"/>
              </w:rPr>
              <w:t>STC</w:t>
            </w:r>
            <w:r>
              <w:rPr>
                <w:spacing w:val="-1"/>
                <w:sz w:val="24"/>
              </w:rPr>
              <w:t> </w:t>
            </w:r>
            <w:r>
              <w:rPr>
                <w:spacing w:val="-2"/>
                <w:sz w:val="24"/>
              </w:rPr>
              <w:t>21.14</w:t>
            </w:r>
          </w:p>
        </w:tc>
      </w:tr>
      <w:tr>
        <w:trPr>
          <w:trHeight w:val="827" w:hRule="atLeast"/>
        </w:trPr>
        <w:tc>
          <w:tcPr>
            <w:tcW w:w="3595" w:type="dxa"/>
          </w:tcPr>
          <w:p>
            <w:pPr>
              <w:pStyle w:val="TableParagraph"/>
              <w:spacing w:before="135"/>
              <w:ind w:left="107"/>
              <w:rPr>
                <w:sz w:val="24"/>
              </w:rPr>
            </w:pPr>
            <w:r>
              <w:rPr>
                <w:sz w:val="24"/>
              </w:rPr>
              <w:t>No later than 90 days of the demonstration</w:t>
            </w:r>
            <w:r>
              <w:rPr>
                <w:spacing w:val="-4"/>
                <w:sz w:val="24"/>
              </w:rPr>
              <w:t> </w:t>
            </w:r>
            <w:r>
              <w:rPr>
                <w:sz w:val="24"/>
              </w:rPr>
              <w:t>effective</w:t>
            </w:r>
            <w:r>
              <w:rPr>
                <w:spacing w:val="-4"/>
                <w:sz w:val="24"/>
              </w:rPr>
              <w:t> </w:t>
            </w:r>
            <w:r>
              <w:rPr>
                <w:spacing w:val="-4"/>
                <w:sz w:val="24"/>
              </w:rPr>
              <w:t>date</w:t>
            </w:r>
          </w:p>
        </w:tc>
        <w:tc>
          <w:tcPr>
            <w:tcW w:w="3420" w:type="dxa"/>
          </w:tcPr>
          <w:p>
            <w:pPr>
              <w:pStyle w:val="TableParagraph"/>
              <w:spacing w:line="276" w:lineRule="exact"/>
              <w:ind w:left="107" w:right="311"/>
              <w:rPr>
                <w:sz w:val="24"/>
              </w:rPr>
            </w:pPr>
            <w:r>
              <w:rPr>
                <w:sz w:val="24"/>
              </w:rPr>
              <w:t>Average</w:t>
            </w:r>
            <w:r>
              <w:rPr>
                <w:spacing w:val="-14"/>
                <w:sz w:val="24"/>
              </w:rPr>
              <w:t> </w:t>
            </w:r>
            <w:r>
              <w:rPr>
                <w:sz w:val="24"/>
              </w:rPr>
              <w:t>Medicaid</w:t>
            </w:r>
            <w:r>
              <w:rPr>
                <w:spacing w:val="-14"/>
                <w:sz w:val="24"/>
              </w:rPr>
              <w:t> </w:t>
            </w:r>
            <w:r>
              <w:rPr>
                <w:sz w:val="24"/>
              </w:rPr>
              <w:t>to</w:t>
            </w:r>
            <w:r>
              <w:rPr>
                <w:spacing w:val="-14"/>
                <w:sz w:val="24"/>
              </w:rPr>
              <w:t> </w:t>
            </w:r>
            <w:r>
              <w:rPr>
                <w:sz w:val="24"/>
              </w:rPr>
              <w:t>Medicare fee-for-service provider rate </w:t>
            </w:r>
            <w:r>
              <w:rPr>
                <w:spacing w:val="-2"/>
                <w:sz w:val="24"/>
              </w:rPr>
              <w:t>ratio</w:t>
            </w:r>
          </w:p>
        </w:tc>
        <w:tc>
          <w:tcPr>
            <w:tcW w:w="2335" w:type="dxa"/>
          </w:tcPr>
          <w:p>
            <w:pPr>
              <w:pStyle w:val="TableParagraph"/>
              <w:spacing w:before="10"/>
              <w:rPr>
                <w:sz w:val="23"/>
              </w:rPr>
            </w:pPr>
          </w:p>
          <w:p>
            <w:pPr>
              <w:pStyle w:val="TableParagraph"/>
              <w:ind w:left="107"/>
              <w:rPr>
                <w:sz w:val="24"/>
              </w:rPr>
            </w:pPr>
            <w:r>
              <w:rPr>
                <w:sz w:val="24"/>
              </w:rPr>
              <w:t>STCs</w:t>
            </w:r>
            <w:r>
              <w:rPr>
                <w:spacing w:val="-1"/>
                <w:sz w:val="24"/>
              </w:rPr>
              <w:t> </w:t>
            </w:r>
            <w:r>
              <w:rPr>
                <w:sz w:val="24"/>
              </w:rPr>
              <w:t>21.5</w:t>
            </w:r>
            <w:r>
              <w:rPr>
                <w:spacing w:val="-1"/>
                <w:sz w:val="24"/>
              </w:rPr>
              <w:t> </w:t>
            </w:r>
            <w:r>
              <w:rPr>
                <w:sz w:val="24"/>
              </w:rPr>
              <w:t>and </w:t>
            </w:r>
            <w:r>
              <w:rPr>
                <w:spacing w:val="-2"/>
                <w:sz w:val="24"/>
              </w:rPr>
              <w:t>21.12</w:t>
            </w:r>
          </w:p>
        </w:tc>
      </w:tr>
      <w:tr>
        <w:trPr>
          <w:trHeight w:val="275" w:hRule="atLeast"/>
        </w:trPr>
        <w:tc>
          <w:tcPr>
            <w:tcW w:w="9350" w:type="dxa"/>
            <w:gridSpan w:val="3"/>
            <w:shd w:val="clear" w:color="auto" w:fill="DBE6F1"/>
          </w:tcPr>
          <w:p>
            <w:pPr>
              <w:pStyle w:val="TableParagraph"/>
              <w:spacing w:line="255" w:lineRule="exact"/>
              <w:ind w:left="1456" w:right="1448"/>
              <w:jc w:val="center"/>
              <w:rPr>
                <w:i/>
                <w:sz w:val="24"/>
              </w:rPr>
            </w:pPr>
            <w:r>
              <w:rPr>
                <w:i/>
                <w:spacing w:val="-2"/>
                <w:sz w:val="24"/>
              </w:rPr>
              <w:t>Annually</w:t>
            </w:r>
          </w:p>
        </w:tc>
      </w:tr>
      <w:tr>
        <w:trPr>
          <w:trHeight w:val="1103" w:hRule="atLeast"/>
        </w:trPr>
        <w:tc>
          <w:tcPr>
            <w:tcW w:w="3595" w:type="dxa"/>
          </w:tcPr>
          <w:p>
            <w:pPr>
              <w:pStyle w:val="TableParagraph"/>
              <w:rPr>
                <w:sz w:val="36"/>
              </w:rPr>
            </w:pPr>
          </w:p>
          <w:p>
            <w:pPr>
              <w:pStyle w:val="TableParagraph"/>
              <w:ind w:left="107"/>
              <w:rPr>
                <w:sz w:val="24"/>
              </w:rPr>
            </w:pPr>
            <w:r>
              <w:rPr>
                <w:sz w:val="24"/>
              </w:rPr>
              <w:t>90</w:t>
            </w:r>
            <w:r>
              <w:rPr>
                <w:spacing w:val="-1"/>
                <w:sz w:val="24"/>
              </w:rPr>
              <w:t> </w:t>
            </w:r>
            <w:r>
              <w:rPr>
                <w:sz w:val="24"/>
              </w:rPr>
              <w:t>days after</w:t>
            </w:r>
            <w:r>
              <w:rPr>
                <w:spacing w:val="-1"/>
                <w:sz w:val="24"/>
              </w:rPr>
              <w:t> </w:t>
            </w:r>
            <w:r>
              <w:rPr>
                <w:sz w:val="24"/>
              </w:rPr>
              <w:t>the</w:t>
            </w:r>
            <w:r>
              <w:rPr>
                <w:spacing w:val="-2"/>
                <w:sz w:val="24"/>
              </w:rPr>
              <w:t> </w:t>
            </w:r>
            <w:r>
              <w:rPr>
                <w:sz w:val="24"/>
              </w:rPr>
              <w:t>end</w:t>
            </w:r>
            <w:r>
              <w:rPr>
                <w:spacing w:val="-1"/>
                <w:sz w:val="24"/>
              </w:rPr>
              <w:t> </w:t>
            </w:r>
            <w:r>
              <w:rPr>
                <w:sz w:val="24"/>
              </w:rPr>
              <w:t>of each</w:t>
            </w:r>
            <w:r>
              <w:rPr>
                <w:spacing w:val="-1"/>
                <w:sz w:val="24"/>
              </w:rPr>
              <w:t> </w:t>
            </w:r>
            <w:r>
              <w:rPr>
                <w:spacing w:val="-5"/>
                <w:sz w:val="24"/>
              </w:rPr>
              <w:t>DY</w:t>
            </w:r>
          </w:p>
        </w:tc>
        <w:tc>
          <w:tcPr>
            <w:tcW w:w="3420" w:type="dxa"/>
          </w:tcPr>
          <w:p>
            <w:pPr>
              <w:pStyle w:val="TableParagraph"/>
              <w:spacing w:line="276" w:lineRule="exact"/>
              <w:ind w:left="107" w:right="134"/>
              <w:rPr>
                <w:sz w:val="24"/>
              </w:rPr>
            </w:pPr>
            <w:r>
              <w:rPr>
                <w:sz w:val="24"/>
              </w:rPr>
              <w:t>Annual</w:t>
            </w:r>
            <w:r>
              <w:rPr>
                <w:spacing w:val="-15"/>
                <w:sz w:val="24"/>
              </w:rPr>
              <w:t> </w:t>
            </w:r>
            <w:r>
              <w:rPr>
                <w:sz w:val="24"/>
              </w:rPr>
              <w:t>Monitoring</w:t>
            </w:r>
            <w:r>
              <w:rPr>
                <w:spacing w:val="-15"/>
                <w:sz w:val="24"/>
              </w:rPr>
              <w:t> </w:t>
            </w:r>
            <w:r>
              <w:rPr>
                <w:sz w:val="24"/>
              </w:rPr>
              <w:t>Report (including Q4 monitoring information and budget </w:t>
            </w:r>
            <w:r>
              <w:rPr>
                <w:spacing w:val="-2"/>
                <w:sz w:val="24"/>
              </w:rPr>
              <w:t>neutrality)</w:t>
            </w:r>
          </w:p>
        </w:tc>
        <w:tc>
          <w:tcPr>
            <w:tcW w:w="2335" w:type="dxa"/>
          </w:tcPr>
          <w:p>
            <w:pPr>
              <w:pStyle w:val="TableParagraph"/>
              <w:rPr>
                <w:sz w:val="36"/>
              </w:rPr>
            </w:pPr>
          </w:p>
          <w:p>
            <w:pPr>
              <w:pStyle w:val="TableParagraph"/>
              <w:ind w:left="107"/>
              <w:rPr>
                <w:sz w:val="24"/>
              </w:rPr>
            </w:pPr>
            <w:r>
              <w:rPr>
                <w:sz w:val="24"/>
              </w:rPr>
              <w:t>STC</w:t>
            </w:r>
            <w:r>
              <w:rPr>
                <w:spacing w:val="-1"/>
                <w:sz w:val="24"/>
              </w:rPr>
              <w:t> </w:t>
            </w:r>
            <w:r>
              <w:rPr>
                <w:spacing w:val="-4"/>
                <w:sz w:val="24"/>
              </w:rPr>
              <w:t>16.5</w:t>
            </w:r>
          </w:p>
        </w:tc>
      </w:tr>
      <w:tr>
        <w:trPr>
          <w:trHeight w:val="827" w:hRule="atLeast"/>
        </w:trPr>
        <w:tc>
          <w:tcPr>
            <w:tcW w:w="3595" w:type="dxa"/>
          </w:tcPr>
          <w:p>
            <w:pPr>
              <w:pStyle w:val="TableParagraph"/>
              <w:spacing w:before="2"/>
              <w:rPr>
                <w:sz w:val="22"/>
              </w:rPr>
            </w:pPr>
          </w:p>
          <w:p>
            <w:pPr>
              <w:pStyle w:val="TableParagraph"/>
              <w:spacing w:line="270" w:lineRule="atLeast"/>
              <w:ind w:left="107"/>
              <w:rPr>
                <w:sz w:val="24"/>
              </w:rPr>
            </w:pPr>
            <w:r>
              <w:rPr>
                <w:sz w:val="24"/>
              </w:rPr>
              <w:t>30</w:t>
            </w:r>
            <w:r>
              <w:rPr>
                <w:spacing w:val="-6"/>
                <w:sz w:val="24"/>
              </w:rPr>
              <w:t> </w:t>
            </w:r>
            <w:r>
              <w:rPr>
                <w:sz w:val="24"/>
              </w:rPr>
              <w:t>days</w:t>
            </w:r>
            <w:r>
              <w:rPr>
                <w:spacing w:val="-6"/>
                <w:sz w:val="24"/>
              </w:rPr>
              <w:t> </w:t>
            </w:r>
            <w:r>
              <w:rPr>
                <w:sz w:val="24"/>
              </w:rPr>
              <w:t>of</w:t>
            </w:r>
            <w:r>
              <w:rPr>
                <w:spacing w:val="-7"/>
                <w:sz w:val="24"/>
              </w:rPr>
              <w:t> </w:t>
            </w:r>
            <w:r>
              <w:rPr>
                <w:sz w:val="24"/>
              </w:rPr>
              <w:t>the</w:t>
            </w:r>
            <w:r>
              <w:rPr>
                <w:spacing w:val="-7"/>
                <w:sz w:val="24"/>
              </w:rPr>
              <w:t> </w:t>
            </w:r>
            <w:r>
              <w:rPr>
                <w:sz w:val="24"/>
              </w:rPr>
              <w:t>receipt</w:t>
            </w:r>
            <w:r>
              <w:rPr>
                <w:spacing w:val="-6"/>
                <w:sz w:val="24"/>
              </w:rPr>
              <w:t> </w:t>
            </w:r>
            <w:r>
              <w:rPr>
                <w:sz w:val="24"/>
              </w:rPr>
              <w:t>of</w:t>
            </w:r>
            <w:r>
              <w:rPr>
                <w:spacing w:val="-5"/>
                <w:sz w:val="24"/>
              </w:rPr>
              <w:t> </w:t>
            </w:r>
            <w:r>
              <w:rPr>
                <w:sz w:val="24"/>
              </w:rPr>
              <w:t>CMS </w:t>
            </w:r>
            <w:r>
              <w:rPr>
                <w:spacing w:val="-2"/>
                <w:sz w:val="24"/>
              </w:rPr>
              <w:t>comments</w:t>
            </w:r>
          </w:p>
        </w:tc>
        <w:tc>
          <w:tcPr>
            <w:tcW w:w="3420" w:type="dxa"/>
          </w:tcPr>
          <w:p>
            <w:pPr>
              <w:pStyle w:val="TableParagraph"/>
              <w:spacing w:before="137"/>
              <w:ind w:left="107" w:right="134"/>
              <w:rPr>
                <w:sz w:val="24"/>
              </w:rPr>
            </w:pPr>
            <w:r>
              <w:rPr>
                <w:sz w:val="24"/>
              </w:rPr>
              <w:t>Revised</w:t>
            </w:r>
            <w:r>
              <w:rPr>
                <w:spacing w:val="-15"/>
                <w:sz w:val="24"/>
              </w:rPr>
              <w:t> </w:t>
            </w:r>
            <w:r>
              <w:rPr>
                <w:sz w:val="24"/>
              </w:rPr>
              <w:t>Annual</w:t>
            </w:r>
            <w:r>
              <w:rPr>
                <w:spacing w:val="-15"/>
                <w:sz w:val="24"/>
              </w:rPr>
              <w:t> </w:t>
            </w:r>
            <w:r>
              <w:rPr>
                <w:sz w:val="24"/>
              </w:rPr>
              <w:t>Monitoring </w:t>
            </w:r>
            <w:r>
              <w:rPr>
                <w:spacing w:val="-2"/>
                <w:sz w:val="24"/>
              </w:rPr>
              <w:t>Report</w:t>
            </w:r>
          </w:p>
        </w:tc>
        <w:tc>
          <w:tcPr>
            <w:tcW w:w="2335" w:type="dxa"/>
          </w:tcPr>
          <w:p>
            <w:pPr>
              <w:pStyle w:val="TableParagraph"/>
              <w:spacing w:before="10"/>
              <w:rPr>
                <w:sz w:val="23"/>
              </w:rPr>
            </w:pPr>
          </w:p>
          <w:p>
            <w:pPr>
              <w:pStyle w:val="TableParagraph"/>
              <w:ind w:left="107"/>
              <w:rPr>
                <w:sz w:val="24"/>
              </w:rPr>
            </w:pPr>
            <w:r>
              <w:rPr>
                <w:sz w:val="24"/>
              </w:rPr>
              <w:t>STC</w:t>
            </w:r>
            <w:r>
              <w:rPr>
                <w:spacing w:val="-1"/>
                <w:sz w:val="24"/>
              </w:rPr>
              <w:t> </w:t>
            </w:r>
            <w:r>
              <w:rPr>
                <w:spacing w:val="-4"/>
                <w:sz w:val="24"/>
              </w:rPr>
              <w:t>16.5</w:t>
            </w:r>
          </w:p>
        </w:tc>
      </w:tr>
      <w:tr>
        <w:trPr>
          <w:trHeight w:val="1655" w:hRule="atLeast"/>
        </w:trPr>
        <w:tc>
          <w:tcPr>
            <w:tcW w:w="3595" w:type="dxa"/>
          </w:tcPr>
          <w:p>
            <w:pPr>
              <w:pStyle w:val="TableParagraph"/>
              <w:rPr>
                <w:sz w:val="36"/>
              </w:rPr>
            </w:pPr>
          </w:p>
          <w:p>
            <w:pPr>
              <w:pStyle w:val="TableParagraph"/>
              <w:ind w:left="107"/>
              <w:rPr>
                <w:sz w:val="24"/>
              </w:rPr>
            </w:pPr>
            <w:r>
              <w:rPr>
                <w:sz w:val="24"/>
              </w:rPr>
              <w:t>No later than 45 days after enactment</w:t>
            </w:r>
            <w:r>
              <w:rPr>
                <w:spacing w:val="-7"/>
                <w:sz w:val="24"/>
              </w:rPr>
              <w:t> </w:t>
            </w:r>
            <w:r>
              <w:rPr>
                <w:sz w:val="24"/>
              </w:rPr>
              <w:t>of</w:t>
            </w:r>
            <w:r>
              <w:rPr>
                <w:spacing w:val="-8"/>
                <w:sz w:val="24"/>
              </w:rPr>
              <w:t> </w:t>
            </w:r>
            <w:r>
              <w:rPr>
                <w:sz w:val="24"/>
              </w:rPr>
              <w:t>the</w:t>
            </w:r>
            <w:r>
              <w:rPr>
                <w:spacing w:val="-8"/>
                <w:sz w:val="24"/>
              </w:rPr>
              <w:t> </w:t>
            </w:r>
            <w:r>
              <w:rPr>
                <w:sz w:val="24"/>
              </w:rPr>
              <w:t>state</w:t>
            </w:r>
            <w:r>
              <w:rPr>
                <w:spacing w:val="-8"/>
                <w:sz w:val="24"/>
              </w:rPr>
              <w:t> </w:t>
            </w:r>
            <w:r>
              <w:rPr>
                <w:sz w:val="24"/>
              </w:rPr>
              <w:t>budget</w:t>
            </w:r>
            <w:r>
              <w:rPr>
                <w:spacing w:val="-7"/>
                <w:sz w:val="24"/>
              </w:rPr>
              <w:t> </w:t>
            </w:r>
            <w:r>
              <w:rPr>
                <w:sz w:val="24"/>
              </w:rPr>
              <w:t>for each SFY</w:t>
            </w:r>
          </w:p>
        </w:tc>
        <w:tc>
          <w:tcPr>
            <w:tcW w:w="3420" w:type="dxa"/>
          </w:tcPr>
          <w:p>
            <w:pPr>
              <w:pStyle w:val="TableParagraph"/>
              <w:spacing w:line="276" w:lineRule="exact"/>
              <w:ind w:left="107" w:right="253"/>
              <w:rPr>
                <w:sz w:val="24"/>
              </w:rPr>
            </w:pPr>
            <w:r>
              <w:rPr>
                <w:sz w:val="24"/>
              </w:rPr>
              <w:t>Updates to Charts A-B of Attachment E that reflect projected annual SNCP expenditures and identify the non-</w:t>
            </w:r>
            <w:r>
              <w:rPr>
                <w:spacing w:val="-8"/>
                <w:sz w:val="24"/>
              </w:rPr>
              <w:t> </w:t>
            </w:r>
            <w:r>
              <w:rPr>
                <w:sz w:val="24"/>
              </w:rPr>
              <w:t>Federal</w:t>
            </w:r>
            <w:r>
              <w:rPr>
                <w:spacing w:val="-7"/>
                <w:sz w:val="24"/>
              </w:rPr>
              <w:t> </w:t>
            </w:r>
            <w:r>
              <w:rPr>
                <w:sz w:val="24"/>
              </w:rPr>
              <w:t>share</w:t>
            </w:r>
            <w:r>
              <w:rPr>
                <w:spacing w:val="-7"/>
                <w:sz w:val="24"/>
              </w:rPr>
              <w:t> </w:t>
            </w:r>
            <w:r>
              <w:rPr>
                <w:sz w:val="24"/>
              </w:rPr>
              <w:t>for</w:t>
            </w:r>
            <w:r>
              <w:rPr>
                <w:spacing w:val="-8"/>
                <w:sz w:val="24"/>
              </w:rPr>
              <w:t> </w:t>
            </w:r>
            <w:r>
              <w:rPr>
                <w:sz w:val="24"/>
              </w:rPr>
              <w:t>each</w:t>
            </w:r>
            <w:r>
              <w:rPr>
                <w:spacing w:val="-7"/>
                <w:sz w:val="24"/>
              </w:rPr>
              <w:t> </w:t>
            </w:r>
            <w:r>
              <w:rPr>
                <w:sz w:val="24"/>
              </w:rPr>
              <w:t>line </w:t>
            </w:r>
            <w:r>
              <w:rPr>
                <w:spacing w:val="-4"/>
                <w:sz w:val="24"/>
              </w:rPr>
              <w:t>item</w:t>
            </w:r>
          </w:p>
        </w:tc>
        <w:tc>
          <w:tcPr>
            <w:tcW w:w="2335" w:type="dxa"/>
          </w:tcPr>
          <w:p>
            <w:pPr>
              <w:pStyle w:val="TableParagraph"/>
              <w:rPr>
                <w:sz w:val="26"/>
              </w:rPr>
            </w:pPr>
          </w:p>
          <w:p>
            <w:pPr>
              <w:pStyle w:val="TableParagraph"/>
              <w:rPr>
                <w:sz w:val="34"/>
              </w:rPr>
            </w:pPr>
          </w:p>
          <w:p>
            <w:pPr>
              <w:pStyle w:val="TableParagraph"/>
              <w:ind w:left="107"/>
              <w:rPr>
                <w:sz w:val="24"/>
              </w:rPr>
            </w:pPr>
            <w:r>
              <w:rPr>
                <w:sz w:val="24"/>
              </w:rPr>
              <w:t>Section</w:t>
            </w:r>
            <w:r>
              <w:rPr>
                <w:spacing w:val="-1"/>
                <w:sz w:val="24"/>
              </w:rPr>
              <w:t> </w:t>
            </w:r>
            <w:r>
              <w:rPr>
                <w:sz w:val="24"/>
              </w:rPr>
              <w:t>14,</w:t>
            </w:r>
            <w:r>
              <w:rPr>
                <w:spacing w:val="-1"/>
                <w:sz w:val="24"/>
              </w:rPr>
              <w:t> </w:t>
            </w:r>
            <w:r>
              <w:rPr>
                <w:spacing w:val="-5"/>
                <w:sz w:val="24"/>
              </w:rPr>
              <w:t>15</w:t>
            </w:r>
          </w:p>
        </w:tc>
      </w:tr>
      <w:tr>
        <w:trPr>
          <w:trHeight w:val="553" w:hRule="atLeast"/>
        </w:trPr>
        <w:tc>
          <w:tcPr>
            <w:tcW w:w="3595" w:type="dxa"/>
          </w:tcPr>
          <w:p>
            <w:pPr>
              <w:pStyle w:val="TableParagraph"/>
              <w:spacing w:line="276" w:lineRule="exact"/>
              <w:ind w:left="107" w:right="29"/>
              <w:rPr>
                <w:sz w:val="24"/>
              </w:rPr>
            </w:pPr>
            <w:r>
              <w:rPr>
                <w:sz w:val="24"/>
              </w:rPr>
              <w:t>No</w:t>
            </w:r>
            <w:r>
              <w:rPr>
                <w:spacing w:val="-6"/>
                <w:sz w:val="24"/>
              </w:rPr>
              <w:t> </w:t>
            </w:r>
            <w:r>
              <w:rPr>
                <w:sz w:val="24"/>
              </w:rPr>
              <w:t>later</w:t>
            </w:r>
            <w:r>
              <w:rPr>
                <w:spacing w:val="-7"/>
                <w:sz w:val="24"/>
              </w:rPr>
              <w:t> </w:t>
            </w:r>
            <w:r>
              <w:rPr>
                <w:sz w:val="24"/>
              </w:rPr>
              <w:t>than</w:t>
            </w:r>
            <w:r>
              <w:rPr>
                <w:spacing w:val="-6"/>
                <w:sz w:val="24"/>
              </w:rPr>
              <w:t> </w:t>
            </w:r>
            <w:r>
              <w:rPr>
                <w:sz w:val="24"/>
              </w:rPr>
              <w:t>90</w:t>
            </w:r>
            <w:r>
              <w:rPr>
                <w:spacing w:val="-6"/>
                <w:sz w:val="24"/>
              </w:rPr>
              <w:t> </w:t>
            </w:r>
            <w:r>
              <w:rPr>
                <w:sz w:val="24"/>
              </w:rPr>
              <w:t>days</w:t>
            </w:r>
            <w:r>
              <w:rPr>
                <w:spacing w:val="-4"/>
                <w:sz w:val="24"/>
              </w:rPr>
              <w:t> </w:t>
            </w:r>
            <w:r>
              <w:rPr>
                <w:sz w:val="24"/>
              </w:rPr>
              <w:t>after</w:t>
            </w:r>
            <w:r>
              <w:rPr>
                <w:spacing w:val="-7"/>
                <w:sz w:val="24"/>
              </w:rPr>
              <w:t> </w:t>
            </w:r>
            <w:r>
              <w:rPr>
                <w:sz w:val="24"/>
              </w:rPr>
              <w:t>the</w:t>
            </w:r>
            <w:r>
              <w:rPr>
                <w:spacing w:val="-7"/>
                <w:sz w:val="24"/>
              </w:rPr>
              <w:t> </w:t>
            </w:r>
            <w:r>
              <w:rPr>
                <w:sz w:val="24"/>
              </w:rPr>
              <w:t>end of each DY</w:t>
            </w:r>
          </w:p>
        </w:tc>
        <w:tc>
          <w:tcPr>
            <w:tcW w:w="3420" w:type="dxa"/>
          </w:tcPr>
          <w:p>
            <w:pPr>
              <w:pStyle w:val="TableParagraph"/>
              <w:spacing w:before="137"/>
              <w:ind w:left="107"/>
              <w:rPr>
                <w:sz w:val="24"/>
              </w:rPr>
            </w:pPr>
            <w:r>
              <w:rPr>
                <w:sz w:val="24"/>
              </w:rPr>
              <w:t>Report</w:t>
            </w:r>
            <w:r>
              <w:rPr>
                <w:spacing w:val="-2"/>
                <w:sz w:val="24"/>
              </w:rPr>
              <w:t> </w:t>
            </w:r>
            <w:r>
              <w:rPr>
                <w:sz w:val="24"/>
              </w:rPr>
              <w:t>of</w:t>
            </w:r>
            <w:r>
              <w:rPr>
                <w:spacing w:val="-2"/>
                <w:sz w:val="24"/>
              </w:rPr>
              <w:t> </w:t>
            </w:r>
            <w:r>
              <w:rPr>
                <w:sz w:val="24"/>
              </w:rPr>
              <w:t>actual</w:t>
            </w:r>
            <w:r>
              <w:rPr>
                <w:spacing w:val="-2"/>
                <w:sz w:val="24"/>
              </w:rPr>
              <w:t> </w:t>
            </w:r>
            <w:r>
              <w:rPr>
                <w:sz w:val="24"/>
              </w:rPr>
              <w:t>UC</w:t>
            </w:r>
            <w:r>
              <w:rPr>
                <w:spacing w:val="-1"/>
                <w:sz w:val="24"/>
              </w:rPr>
              <w:t> </w:t>
            </w:r>
            <w:r>
              <w:rPr>
                <w:spacing w:val="-2"/>
                <w:sz w:val="24"/>
              </w:rPr>
              <w:t>payments</w:t>
            </w:r>
          </w:p>
        </w:tc>
        <w:tc>
          <w:tcPr>
            <w:tcW w:w="2335" w:type="dxa"/>
          </w:tcPr>
          <w:p>
            <w:pPr>
              <w:pStyle w:val="TableParagraph"/>
              <w:spacing w:before="137"/>
              <w:ind w:left="107"/>
              <w:rPr>
                <w:sz w:val="24"/>
              </w:rPr>
            </w:pPr>
            <w:r>
              <w:rPr>
                <w:sz w:val="24"/>
              </w:rPr>
              <w:t>Section</w:t>
            </w:r>
            <w:r>
              <w:rPr>
                <w:spacing w:val="-2"/>
                <w:sz w:val="24"/>
              </w:rPr>
              <w:t> </w:t>
            </w:r>
            <w:r>
              <w:rPr>
                <w:spacing w:val="-5"/>
                <w:sz w:val="24"/>
              </w:rPr>
              <w:t>11</w:t>
            </w:r>
          </w:p>
        </w:tc>
      </w:tr>
    </w:tbl>
    <w:p>
      <w:pPr>
        <w:spacing w:after="0"/>
        <w:rPr>
          <w:sz w:val="24"/>
        </w:rPr>
        <w:sectPr>
          <w:type w:val="continuous"/>
          <w:pgSz w:w="12240" w:h="15840"/>
          <w:pgMar w:header="0" w:footer="1201" w:top="1420" w:bottom="1829" w:left="220" w:right="340"/>
        </w:sectPr>
      </w:pPr>
    </w:p>
    <w:tbl>
      <w:tblPr>
        <w:tblW w:w="0" w:type="auto"/>
        <w:jc w:val="left"/>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95"/>
        <w:gridCol w:w="3420"/>
        <w:gridCol w:w="2335"/>
      </w:tblGrid>
      <w:tr>
        <w:trPr>
          <w:trHeight w:val="551" w:hRule="atLeast"/>
        </w:trPr>
        <w:tc>
          <w:tcPr>
            <w:tcW w:w="3595" w:type="dxa"/>
            <w:shd w:val="clear" w:color="auto" w:fill="DBE6F1"/>
          </w:tcPr>
          <w:p>
            <w:pPr>
              <w:pStyle w:val="TableParagraph"/>
              <w:spacing w:before="138"/>
              <w:ind w:left="1036"/>
              <w:rPr>
                <w:b/>
                <w:sz w:val="24"/>
              </w:rPr>
            </w:pPr>
            <w:r>
              <w:rPr>
                <w:b/>
                <w:sz w:val="24"/>
              </w:rPr>
              <w:t>Date</w:t>
            </w:r>
            <w:r>
              <w:rPr>
                <w:b/>
                <w:spacing w:val="-4"/>
                <w:sz w:val="24"/>
              </w:rPr>
              <w:t> </w:t>
            </w:r>
            <w:r>
              <w:rPr>
                <w:b/>
                <w:sz w:val="24"/>
              </w:rPr>
              <w:t>–</w:t>
            </w:r>
            <w:r>
              <w:rPr>
                <w:b/>
                <w:spacing w:val="-1"/>
                <w:sz w:val="24"/>
              </w:rPr>
              <w:t> </w:t>
            </w:r>
            <w:r>
              <w:rPr>
                <w:b/>
                <w:spacing w:val="-2"/>
                <w:sz w:val="24"/>
              </w:rPr>
              <w:t>Specific</w:t>
            </w:r>
          </w:p>
        </w:tc>
        <w:tc>
          <w:tcPr>
            <w:tcW w:w="3420" w:type="dxa"/>
            <w:shd w:val="clear" w:color="auto" w:fill="DBE6F1"/>
          </w:tcPr>
          <w:p>
            <w:pPr>
              <w:pStyle w:val="TableParagraph"/>
              <w:spacing w:before="138"/>
              <w:ind w:left="1123"/>
              <w:rPr>
                <w:b/>
                <w:sz w:val="24"/>
              </w:rPr>
            </w:pPr>
            <w:r>
              <w:rPr>
                <w:b/>
                <w:spacing w:val="-2"/>
                <w:sz w:val="24"/>
              </w:rPr>
              <w:t>Deliverable</w:t>
            </w:r>
          </w:p>
        </w:tc>
        <w:tc>
          <w:tcPr>
            <w:tcW w:w="2335" w:type="dxa"/>
            <w:shd w:val="clear" w:color="auto" w:fill="DBE6F1"/>
          </w:tcPr>
          <w:p>
            <w:pPr>
              <w:pStyle w:val="TableParagraph"/>
              <w:spacing w:line="276" w:lineRule="exact"/>
              <w:ind w:left="655" w:hanging="130"/>
              <w:rPr>
                <w:b/>
                <w:sz w:val="24"/>
              </w:rPr>
            </w:pPr>
            <w:r>
              <w:rPr>
                <w:b/>
                <w:spacing w:val="-2"/>
                <w:sz w:val="24"/>
              </w:rPr>
              <w:t>STC/Section Reference</w:t>
            </w:r>
          </w:p>
        </w:tc>
      </w:tr>
      <w:tr>
        <w:trPr>
          <w:trHeight w:val="551" w:hRule="atLeast"/>
        </w:trPr>
        <w:tc>
          <w:tcPr>
            <w:tcW w:w="3595" w:type="dxa"/>
          </w:tcPr>
          <w:p>
            <w:pPr>
              <w:pStyle w:val="TableParagraph"/>
              <w:spacing w:before="137"/>
              <w:ind w:left="107"/>
              <w:rPr>
                <w:sz w:val="24"/>
              </w:rPr>
            </w:pPr>
            <w:r>
              <w:rPr>
                <w:sz w:val="24"/>
              </w:rPr>
              <w:t>By</w:t>
            </w:r>
            <w:r>
              <w:rPr>
                <w:spacing w:val="-5"/>
                <w:sz w:val="24"/>
              </w:rPr>
              <w:t> </w:t>
            </w:r>
            <w:r>
              <w:rPr>
                <w:sz w:val="24"/>
              </w:rPr>
              <w:t>December</w:t>
            </w:r>
            <w:r>
              <w:rPr>
                <w:spacing w:val="-1"/>
                <w:sz w:val="24"/>
              </w:rPr>
              <w:t> </w:t>
            </w:r>
            <w:r>
              <w:rPr>
                <w:sz w:val="24"/>
              </w:rPr>
              <w:t>31 of</w:t>
            </w:r>
            <w:r>
              <w:rPr>
                <w:spacing w:val="-1"/>
                <w:sz w:val="24"/>
              </w:rPr>
              <w:t> </w:t>
            </w:r>
            <w:r>
              <w:rPr>
                <w:sz w:val="24"/>
              </w:rPr>
              <w:t>each</w:t>
            </w:r>
            <w:r>
              <w:rPr>
                <w:spacing w:val="3"/>
                <w:sz w:val="24"/>
              </w:rPr>
              <w:t> </w:t>
            </w:r>
            <w:r>
              <w:rPr>
                <w:spacing w:val="-5"/>
                <w:sz w:val="24"/>
              </w:rPr>
              <w:t>DY</w:t>
            </w:r>
          </w:p>
        </w:tc>
        <w:tc>
          <w:tcPr>
            <w:tcW w:w="3420" w:type="dxa"/>
          </w:tcPr>
          <w:p>
            <w:pPr>
              <w:pStyle w:val="TableParagraph"/>
              <w:spacing w:line="276" w:lineRule="exact"/>
              <w:ind w:left="107" w:right="311"/>
              <w:rPr>
                <w:sz w:val="24"/>
              </w:rPr>
            </w:pPr>
            <w:r>
              <w:rPr>
                <w:sz w:val="24"/>
              </w:rPr>
              <w:t>Report</w:t>
            </w:r>
            <w:r>
              <w:rPr>
                <w:spacing w:val="-13"/>
                <w:sz w:val="24"/>
              </w:rPr>
              <w:t> </w:t>
            </w:r>
            <w:r>
              <w:rPr>
                <w:sz w:val="24"/>
              </w:rPr>
              <w:t>of</w:t>
            </w:r>
            <w:r>
              <w:rPr>
                <w:spacing w:val="-14"/>
                <w:sz w:val="24"/>
              </w:rPr>
              <w:t> </w:t>
            </w:r>
            <w:r>
              <w:rPr>
                <w:sz w:val="24"/>
              </w:rPr>
              <w:t>projected</w:t>
            </w:r>
            <w:r>
              <w:rPr>
                <w:spacing w:val="-13"/>
                <w:sz w:val="24"/>
              </w:rPr>
              <w:t> </w:t>
            </w:r>
            <w:r>
              <w:rPr>
                <w:sz w:val="24"/>
              </w:rPr>
              <w:t>UC </w:t>
            </w:r>
            <w:r>
              <w:rPr>
                <w:spacing w:val="-2"/>
                <w:sz w:val="24"/>
              </w:rPr>
              <w:t>payments</w:t>
            </w:r>
          </w:p>
        </w:tc>
        <w:tc>
          <w:tcPr>
            <w:tcW w:w="2335" w:type="dxa"/>
          </w:tcPr>
          <w:p>
            <w:pPr>
              <w:pStyle w:val="TableParagraph"/>
              <w:spacing w:before="137"/>
              <w:ind w:left="107"/>
              <w:rPr>
                <w:sz w:val="24"/>
              </w:rPr>
            </w:pPr>
            <w:r>
              <w:rPr>
                <w:sz w:val="24"/>
              </w:rPr>
              <w:t>Section</w:t>
            </w:r>
            <w:r>
              <w:rPr>
                <w:spacing w:val="-2"/>
                <w:sz w:val="24"/>
              </w:rPr>
              <w:t> </w:t>
            </w:r>
            <w:r>
              <w:rPr>
                <w:spacing w:val="-5"/>
                <w:sz w:val="24"/>
              </w:rPr>
              <w:t>11</w:t>
            </w:r>
          </w:p>
        </w:tc>
      </w:tr>
      <w:tr>
        <w:trPr>
          <w:trHeight w:val="1102" w:hRule="atLeast"/>
        </w:trPr>
        <w:tc>
          <w:tcPr>
            <w:tcW w:w="3595" w:type="dxa"/>
          </w:tcPr>
          <w:p>
            <w:pPr>
              <w:pStyle w:val="TableParagraph"/>
              <w:spacing w:before="9"/>
              <w:rPr>
                <w:sz w:val="23"/>
              </w:rPr>
            </w:pPr>
          </w:p>
          <w:p>
            <w:pPr>
              <w:pStyle w:val="TableParagraph"/>
              <w:ind w:left="107" w:right="220"/>
              <w:rPr>
                <w:sz w:val="24"/>
              </w:rPr>
            </w:pPr>
            <w:r>
              <w:rPr>
                <w:sz w:val="24"/>
              </w:rPr>
              <w:t>180</w:t>
            </w:r>
            <w:r>
              <w:rPr>
                <w:spacing w:val="-7"/>
                <w:sz w:val="24"/>
              </w:rPr>
              <w:t> </w:t>
            </w:r>
            <w:r>
              <w:rPr>
                <w:sz w:val="24"/>
              </w:rPr>
              <w:t>days</w:t>
            </w:r>
            <w:r>
              <w:rPr>
                <w:spacing w:val="-5"/>
                <w:sz w:val="24"/>
              </w:rPr>
              <w:t> </w:t>
            </w:r>
            <w:r>
              <w:rPr>
                <w:sz w:val="24"/>
              </w:rPr>
              <w:t>after</w:t>
            </w:r>
            <w:r>
              <w:rPr>
                <w:spacing w:val="-6"/>
                <w:sz w:val="24"/>
              </w:rPr>
              <w:t> </w:t>
            </w:r>
            <w:r>
              <w:rPr>
                <w:sz w:val="24"/>
              </w:rPr>
              <w:t>the</w:t>
            </w:r>
            <w:r>
              <w:rPr>
                <w:spacing w:val="-8"/>
                <w:sz w:val="24"/>
              </w:rPr>
              <w:t> </w:t>
            </w:r>
            <w:r>
              <w:rPr>
                <w:sz w:val="24"/>
              </w:rPr>
              <w:t>close</w:t>
            </w:r>
            <w:r>
              <w:rPr>
                <w:spacing w:val="-8"/>
                <w:sz w:val="24"/>
              </w:rPr>
              <w:t> </w:t>
            </w:r>
            <w:r>
              <w:rPr>
                <w:sz w:val="24"/>
              </w:rPr>
              <w:t>of</w:t>
            </w:r>
            <w:r>
              <w:rPr>
                <w:spacing w:val="-8"/>
                <w:sz w:val="24"/>
              </w:rPr>
              <w:t> </w:t>
            </w:r>
            <w:r>
              <w:rPr>
                <w:sz w:val="24"/>
              </w:rPr>
              <w:t>the SFY (December 31)</w:t>
            </w:r>
          </w:p>
        </w:tc>
        <w:tc>
          <w:tcPr>
            <w:tcW w:w="3420" w:type="dxa"/>
          </w:tcPr>
          <w:p>
            <w:pPr>
              <w:pStyle w:val="TableParagraph"/>
              <w:spacing w:line="276" w:lineRule="exact"/>
              <w:ind w:left="107" w:right="134"/>
              <w:rPr>
                <w:sz w:val="24"/>
              </w:rPr>
            </w:pPr>
            <w:r>
              <w:rPr>
                <w:sz w:val="24"/>
              </w:rPr>
              <w:t>Updates to Charts A-B of Attachment</w:t>
            </w:r>
            <w:r>
              <w:rPr>
                <w:spacing w:val="-11"/>
                <w:sz w:val="24"/>
              </w:rPr>
              <w:t> </w:t>
            </w:r>
            <w:r>
              <w:rPr>
                <w:sz w:val="24"/>
              </w:rPr>
              <w:t>E</w:t>
            </w:r>
            <w:r>
              <w:rPr>
                <w:spacing w:val="-12"/>
                <w:sz w:val="24"/>
              </w:rPr>
              <w:t> </w:t>
            </w:r>
            <w:r>
              <w:rPr>
                <w:sz w:val="24"/>
              </w:rPr>
              <w:t>that</w:t>
            </w:r>
            <w:r>
              <w:rPr>
                <w:spacing w:val="-11"/>
                <w:sz w:val="24"/>
              </w:rPr>
              <w:t> </w:t>
            </w:r>
            <w:r>
              <w:rPr>
                <w:sz w:val="24"/>
              </w:rPr>
              <w:t>reflect</w:t>
            </w:r>
            <w:r>
              <w:rPr>
                <w:spacing w:val="-9"/>
                <w:sz w:val="24"/>
              </w:rPr>
              <w:t> </w:t>
            </w:r>
            <w:r>
              <w:rPr>
                <w:sz w:val="24"/>
              </w:rPr>
              <w:t>actual SNCP payments and </w:t>
            </w:r>
            <w:r>
              <w:rPr>
                <w:spacing w:val="-2"/>
                <w:sz w:val="24"/>
              </w:rPr>
              <w:t>expenditures</w:t>
            </w:r>
          </w:p>
        </w:tc>
        <w:tc>
          <w:tcPr>
            <w:tcW w:w="2335" w:type="dxa"/>
          </w:tcPr>
          <w:p>
            <w:pPr>
              <w:pStyle w:val="TableParagraph"/>
              <w:spacing w:before="10"/>
              <w:rPr>
                <w:sz w:val="35"/>
              </w:rPr>
            </w:pPr>
          </w:p>
          <w:p>
            <w:pPr>
              <w:pStyle w:val="TableParagraph"/>
              <w:spacing w:before="1"/>
              <w:ind w:left="107"/>
              <w:rPr>
                <w:sz w:val="24"/>
              </w:rPr>
            </w:pPr>
            <w:r>
              <w:rPr>
                <w:sz w:val="24"/>
              </w:rPr>
              <w:t>Section</w:t>
            </w:r>
            <w:r>
              <w:rPr>
                <w:spacing w:val="-1"/>
                <w:sz w:val="24"/>
              </w:rPr>
              <w:t> </w:t>
            </w:r>
            <w:r>
              <w:rPr>
                <w:sz w:val="24"/>
              </w:rPr>
              <w:t>14,</w:t>
            </w:r>
            <w:r>
              <w:rPr>
                <w:spacing w:val="-1"/>
                <w:sz w:val="24"/>
              </w:rPr>
              <w:t> </w:t>
            </w:r>
            <w:r>
              <w:rPr>
                <w:spacing w:val="-5"/>
                <w:sz w:val="24"/>
              </w:rPr>
              <w:t>15</w:t>
            </w:r>
          </w:p>
        </w:tc>
      </w:tr>
      <w:tr>
        <w:trPr>
          <w:trHeight w:val="552" w:hRule="atLeast"/>
        </w:trPr>
        <w:tc>
          <w:tcPr>
            <w:tcW w:w="3595" w:type="dxa"/>
          </w:tcPr>
          <w:p>
            <w:pPr>
              <w:pStyle w:val="TableParagraph"/>
              <w:spacing w:before="127"/>
              <w:ind w:left="107"/>
              <w:rPr>
                <w:sz w:val="24"/>
              </w:rPr>
            </w:pPr>
            <w:r>
              <w:rPr>
                <w:sz w:val="24"/>
              </w:rPr>
              <w:t>Updated</w:t>
            </w:r>
            <w:r>
              <w:rPr>
                <w:spacing w:val="-2"/>
                <w:sz w:val="24"/>
              </w:rPr>
              <w:t> </w:t>
            </w:r>
            <w:r>
              <w:rPr>
                <w:sz w:val="24"/>
              </w:rPr>
              <w:t>at</w:t>
            </w:r>
            <w:r>
              <w:rPr>
                <w:spacing w:val="-1"/>
                <w:sz w:val="24"/>
              </w:rPr>
              <w:t> </w:t>
            </w:r>
            <w:r>
              <w:rPr>
                <w:sz w:val="24"/>
              </w:rPr>
              <w:t>least</w:t>
            </w:r>
            <w:r>
              <w:rPr>
                <w:spacing w:val="-1"/>
                <w:sz w:val="24"/>
              </w:rPr>
              <w:t> </w:t>
            </w:r>
            <w:r>
              <w:rPr>
                <w:spacing w:val="-2"/>
                <w:sz w:val="24"/>
              </w:rPr>
              <w:t>annually</w:t>
            </w:r>
          </w:p>
        </w:tc>
        <w:tc>
          <w:tcPr>
            <w:tcW w:w="3420" w:type="dxa"/>
          </w:tcPr>
          <w:p>
            <w:pPr>
              <w:pStyle w:val="TableParagraph"/>
              <w:spacing w:line="270" w:lineRule="atLeast"/>
              <w:ind w:left="107"/>
              <w:rPr>
                <w:sz w:val="24"/>
              </w:rPr>
            </w:pPr>
            <w:r>
              <w:rPr>
                <w:sz w:val="24"/>
              </w:rPr>
              <w:t>Update</w:t>
            </w:r>
            <w:r>
              <w:rPr>
                <w:spacing w:val="-10"/>
                <w:sz w:val="24"/>
              </w:rPr>
              <w:t> </w:t>
            </w:r>
            <w:r>
              <w:rPr>
                <w:sz w:val="24"/>
              </w:rPr>
              <w:t>to</w:t>
            </w:r>
            <w:r>
              <w:rPr>
                <w:spacing w:val="-9"/>
                <w:sz w:val="24"/>
              </w:rPr>
              <w:t> </w:t>
            </w:r>
            <w:r>
              <w:rPr>
                <w:sz w:val="24"/>
              </w:rPr>
              <w:t>Primary</w:t>
            </w:r>
            <w:r>
              <w:rPr>
                <w:spacing w:val="-13"/>
                <w:sz w:val="24"/>
              </w:rPr>
              <w:t> </w:t>
            </w:r>
            <w:r>
              <w:rPr>
                <w:sz w:val="24"/>
              </w:rPr>
              <w:t>Care</w:t>
            </w:r>
            <w:r>
              <w:rPr>
                <w:spacing w:val="-8"/>
                <w:sz w:val="24"/>
              </w:rPr>
              <w:t> </w:t>
            </w:r>
            <w:r>
              <w:rPr>
                <w:sz w:val="24"/>
              </w:rPr>
              <w:t>Payment </w:t>
            </w:r>
            <w:r>
              <w:rPr>
                <w:spacing w:val="-2"/>
                <w:sz w:val="24"/>
              </w:rPr>
              <w:t>Protocol</w:t>
            </w:r>
          </w:p>
        </w:tc>
        <w:tc>
          <w:tcPr>
            <w:tcW w:w="2335" w:type="dxa"/>
          </w:tcPr>
          <w:p>
            <w:pPr>
              <w:pStyle w:val="TableParagraph"/>
              <w:spacing w:before="137"/>
              <w:ind w:left="107"/>
              <w:rPr>
                <w:sz w:val="24"/>
              </w:rPr>
            </w:pPr>
            <w:r>
              <w:rPr>
                <w:sz w:val="24"/>
              </w:rPr>
              <w:t>STC</w:t>
            </w:r>
            <w:r>
              <w:rPr>
                <w:spacing w:val="-1"/>
                <w:sz w:val="24"/>
              </w:rPr>
              <w:t> </w:t>
            </w:r>
            <w:r>
              <w:rPr>
                <w:spacing w:val="-5"/>
                <w:sz w:val="24"/>
              </w:rPr>
              <w:t>8.5</w:t>
            </w:r>
          </w:p>
        </w:tc>
      </w:tr>
      <w:tr>
        <w:trPr>
          <w:trHeight w:val="275" w:hRule="atLeast"/>
        </w:trPr>
        <w:tc>
          <w:tcPr>
            <w:tcW w:w="9350" w:type="dxa"/>
            <w:gridSpan w:val="3"/>
            <w:shd w:val="clear" w:color="auto" w:fill="DBE6F1"/>
          </w:tcPr>
          <w:p>
            <w:pPr>
              <w:pStyle w:val="TableParagraph"/>
              <w:spacing w:line="256" w:lineRule="exact"/>
              <w:ind w:left="1458" w:right="1448"/>
              <w:jc w:val="center"/>
              <w:rPr>
                <w:i/>
                <w:sz w:val="24"/>
              </w:rPr>
            </w:pPr>
            <w:r>
              <w:rPr>
                <w:i/>
                <w:spacing w:val="-2"/>
                <w:sz w:val="24"/>
              </w:rPr>
              <w:t>Quarterly</w:t>
            </w:r>
          </w:p>
        </w:tc>
      </w:tr>
      <w:tr>
        <w:trPr>
          <w:trHeight w:val="827" w:hRule="atLeast"/>
        </w:trPr>
        <w:tc>
          <w:tcPr>
            <w:tcW w:w="3595" w:type="dxa"/>
          </w:tcPr>
          <w:p>
            <w:pPr>
              <w:pStyle w:val="TableParagraph"/>
              <w:spacing w:before="135"/>
              <w:ind w:left="107"/>
              <w:rPr>
                <w:sz w:val="24"/>
              </w:rPr>
            </w:pPr>
            <w:r>
              <w:rPr>
                <w:sz w:val="24"/>
              </w:rPr>
              <w:t>60</w:t>
            </w:r>
            <w:r>
              <w:rPr>
                <w:spacing w:val="-6"/>
                <w:sz w:val="24"/>
              </w:rPr>
              <w:t> </w:t>
            </w:r>
            <w:r>
              <w:rPr>
                <w:sz w:val="24"/>
              </w:rPr>
              <w:t>days</w:t>
            </w:r>
            <w:r>
              <w:rPr>
                <w:spacing w:val="-5"/>
                <w:sz w:val="24"/>
              </w:rPr>
              <w:t> </w:t>
            </w:r>
            <w:r>
              <w:rPr>
                <w:sz w:val="24"/>
              </w:rPr>
              <w:t>following</w:t>
            </w:r>
            <w:r>
              <w:rPr>
                <w:spacing w:val="-9"/>
                <w:sz w:val="24"/>
              </w:rPr>
              <w:t> </w:t>
            </w:r>
            <w:r>
              <w:rPr>
                <w:sz w:val="24"/>
              </w:rPr>
              <w:t>the</w:t>
            </w:r>
            <w:r>
              <w:rPr>
                <w:spacing w:val="-5"/>
                <w:sz w:val="24"/>
              </w:rPr>
              <w:t> </w:t>
            </w:r>
            <w:r>
              <w:rPr>
                <w:sz w:val="24"/>
              </w:rPr>
              <w:t>end</w:t>
            </w:r>
            <w:r>
              <w:rPr>
                <w:spacing w:val="-6"/>
                <w:sz w:val="24"/>
              </w:rPr>
              <w:t> </w:t>
            </w:r>
            <w:r>
              <w:rPr>
                <w:sz w:val="24"/>
              </w:rPr>
              <w:t>of</w:t>
            </w:r>
            <w:r>
              <w:rPr>
                <w:spacing w:val="-7"/>
                <w:sz w:val="24"/>
              </w:rPr>
              <w:t> </w:t>
            </w:r>
            <w:r>
              <w:rPr>
                <w:sz w:val="24"/>
              </w:rPr>
              <w:t>the </w:t>
            </w:r>
            <w:r>
              <w:rPr>
                <w:spacing w:val="-2"/>
                <w:sz w:val="24"/>
              </w:rPr>
              <w:t>quarter</w:t>
            </w:r>
          </w:p>
        </w:tc>
        <w:tc>
          <w:tcPr>
            <w:tcW w:w="3420" w:type="dxa"/>
          </w:tcPr>
          <w:p>
            <w:pPr>
              <w:pStyle w:val="TableParagraph"/>
              <w:spacing w:line="276" w:lineRule="exact"/>
              <w:ind w:left="107" w:right="360"/>
              <w:jc w:val="both"/>
              <w:rPr>
                <w:sz w:val="24"/>
              </w:rPr>
            </w:pPr>
            <w:r>
              <w:rPr>
                <w:sz w:val="24"/>
              </w:rPr>
              <w:t>Quarterly</w:t>
            </w:r>
            <w:r>
              <w:rPr>
                <w:spacing w:val="-15"/>
                <w:sz w:val="24"/>
              </w:rPr>
              <w:t> </w:t>
            </w:r>
            <w:r>
              <w:rPr>
                <w:sz w:val="24"/>
              </w:rPr>
              <w:t>Monitoring</w:t>
            </w:r>
            <w:r>
              <w:rPr>
                <w:spacing w:val="-15"/>
                <w:sz w:val="24"/>
              </w:rPr>
              <w:t> </w:t>
            </w:r>
            <w:r>
              <w:rPr>
                <w:sz w:val="24"/>
              </w:rPr>
              <w:t>Reports, including</w:t>
            </w:r>
            <w:r>
              <w:rPr>
                <w:spacing w:val="-1"/>
                <w:sz w:val="24"/>
              </w:rPr>
              <w:t> </w:t>
            </w:r>
            <w:r>
              <w:rPr>
                <w:sz w:val="24"/>
              </w:rPr>
              <w:t>metrics described in STC 16.5</w:t>
            </w:r>
          </w:p>
        </w:tc>
        <w:tc>
          <w:tcPr>
            <w:tcW w:w="2335" w:type="dxa"/>
          </w:tcPr>
          <w:p>
            <w:pPr>
              <w:pStyle w:val="TableParagraph"/>
              <w:spacing w:before="10"/>
              <w:rPr>
                <w:sz w:val="23"/>
              </w:rPr>
            </w:pPr>
          </w:p>
          <w:p>
            <w:pPr>
              <w:pStyle w:val="TableParagraph"/>
              <w:ind w:left="107"/>
              <w:rPr>
                <w:sz w:val="24"/>
              </w:rPr>
            </w:pPr>
            <w:r>
              <w:rPr>
                <w:sz w:val="24"/>
              </w:rPr>
              <w:t>STC</w:t>
            </w:r>
            <w:r>
              <w:rPr>
                <w:spacing w:val="-1"/>
                <w:sz w:val="24"/>
              </w:rPr>
              <w:t> </w:t>
            </w:r>
            <w:r>
              <w:rPr>
                <w:spacing w:val="-4"/>
                <w:sz w:val="24"/>
              </w:rPr>
              <w:t>16.5</w:t>
            </w:r>
          </w:p>
        </w:tc>
      </w:tr>
      <w:tr>
        <w:trPr>
          <w:trHeight w:val="551" w:hRule="atLeast"/>
        </w:trPr>
        <w:tc>
          <w:tcPr>
            <w:tcW w:w="3595" w:type="dxa"/>
          </w:tcPr>
          <w:p>
            <w:pPr>
              <w:pStyle w:val="TableParagraph"/>
              <w:spacing w:line="276" w:lineRule="exact"/>
              <w:ind w:left="107"/>
              <w:rPr>
                <w:sz w:val="24"/>
              </w:rPr>
            </w:pPr>
            <w:r>
              <w:rPr>
                <w:sz w:val="24"/>
              </w:rPr>
              <w:t>30</w:t>
            </w:r>
            <w:r>
              <w:rPr>
                <w:spacing w:val="-6"/>
                <w:sz w:val="24"/>
              </w:rPr>
              <w:t> </w:t>
            </w:r>
            <w:r>
              <w:rPr>
                <w:sz w:val="24"/>
              </w:rPr>
              <w:t>days</w:t>
            </w:r>
            <w:r>
              <w:rPr>
                <w:spacing w:val="-5"/>
                <w:sz w:val="24"/>
              </w:rPr>
              <w:t> </w:t>
            </w:r>
            <w:r>
              <w:rPr>
                <w:sz w:val="24"/>
              </w:rPr>
              <w:t>following</w:t>
            </w:r>
            <w:r>
              <w:rPr>
                <w:spacing w:val="-9"/>
                <w:sz w:val="24"/>
              </w:rPr>
              <w:t> </w:t>
            </w:r>
            <w:r>
              <w:rPr>
                <w:sz w:val="24"/>
              </w:rPr>
              <w:t>the</w:t>
            </w:r>
            <w:r>
              <w:rPr>
                <w:spacing w:val="-5"/>
                <w:sz w:val="24"/>
              </w:rPr>
              <w:t> </w:t>
            </w:r>
            <w:r>
              <w:rPr>
                <w:sz w:val="24"/>
              </w:rPr>
              <w:t>end</w:t>
            </w:r>
            <w:r>
              <w:rPr>
                <w:spacing w:val="-6"/>
                <w:sz w:val="24"/>
              </w:rPr>
              <w:t> </w:t>
            </w:r>
            <w:r>
              <w:rPr>
                <w:sz w:val="24"/>
              </w:rPr>
              <w:t>of</w:t>
            </w:r>
            <w:r>
              <w:rPr>
                <w:spacing w:val="-7"/>
                <w:sz w:val="24"/>
              </w:rPr>
              <w:t> </w:t>
            </w:r>
            <w:r>
              <w:rPr>
                <w:sz w:val="24"/>
              </w:rPr>
              <w:t>the </w:t>
            </w:r>
            <w:r>
              <w:rPr>
                <w:spacing w:val="-2"/>
                <w:sz w:val="24"/>
              </w:rPr>
              <w:t>quarter</w:t>
            </w:r>
          </w:p>
        </w:tc>
        <w:tc>
          <w:tcPr>
            <w:tcW w:w="3420" w:type="dxa"/>
          </w:tcPr>
          <w:p>
            <w:pPr>
              <w:pStyle w:val="TableParagraph"/>
              <w:spacing w:line="275" w:lineRule="exact"/>
              <w:ind w:left="107"/>
              <w:rPr>
                <w:sz w:val="24"/>
              </w:rPr>
            </w:pPr>
            <w:r>
              <w:rPr>
                <w:sz w:val="24"/>
              </w:rPr>
              <w:t>Quarterly</w:t>
            </w:r>
            <w:r>
              <w:rPr>
                <w:spacing w:val="-6"/>
                <w:sz w:val="24"/>
              </w:rPr>
              <w:t> </w:t>
            </w:r>
            <w:r>
              <w:rPr>
                <w:sz w:val="24"/>
              </w:rPr>
              <w:t>Expenditure</w:t>
            </w:r>
            <w:r>
              <w:rPr>
                <w:spacing w:val="-1"/>
                <w:sz w:val="24"/>
              </w:rPr>
              <w:t> </w:t>
            </w:r>
            <w:r>
              <w:rPr>
                <w:spacing w:val="-2"/>
                <w:sz w:val="24"/>
              </w:rPr>
              <w:t>Reports</w:t>
            </w:r>
          </w:p>
        </w:tc>
        <w:tc>
          <w:tcPr>
            <w:tcW w:w="2335" w:type="dxa"/>
          </w:tcPr>
          <w:p>
            <w:pPr>
              <w:pStyle w:val="TableParagraph"/>
              <w:spacing w:before="137"/>
              <w:ind w:left="107"/>
              <w:rPr>
                <w:sz w:val="24"/>
              </w:rPr>
            </w:pPr>
            <w:r>
              <w:rPr>
                <w:sz w:val="24"/>
              </w:rPr>
              <w:t>Section</w:t>
            </w:r>
            <w:r>
              <w:rPr>
                <w:spacing w:val="-2"/>
                <w:sz w:val="24"/>
              </w:rPr>
              <w:t> </w:t>
            </w:r>
            <w:r>
              <w:rPr>
                <w:spacing w:val="-5"/>
                <w:sz w:val="24"/>
              </w:rPr>
              <w:t>13</w:t>
            </w:r>
          </w:p>
        </w:tc>
      </w:tr>
      <w:tr>
        <w:trPr>
          <w:trHeight w:val="826" w:hRule="atLeast"/>
        </w:trPr>
        <w:tc>
          <w:tcPr>
            <w:tcW w:w="3595" w:type="dxa"/>
          </w:tcPr>
          <w:p>
            <w:pPr>
              <w:pStyle w:val="TableParagraph"/>
              <w:spacing w:line="276" w:lineRule="exact"/>
              <w:ind w:left="107"/>
              <w:rPr>
                <w:sz w:val="24"/>
              </w:rPr>
            </w:pPr>
            <w:r>
              <w:rPr>
                <w:sz w:val="24"/>
              </w:rPr>
              <w:t>60</w:t>
            </w:r>
            <w:r>
              <w:rPr>
                <w:spacing w:val="-6"/>
                <w:sz w:val="24"/>
              </w:rPr>
              <w:t> </w:t>
            </w:r>
            <w:r>
              <w:rPr>
                <w:sz w:val="24"/>
              </w:rPr>
              <w:t>days</w:t>
            </w:r>
            <w:r>
              <w:rPr>
                <w:spacing w:val="-5"/>
                <w:sz w:val="24"/>
              </w:rPr>
              <w:t> </w:t>
            </w:r>
            <w:r>
              <w:rPr>
                <w:sz w:val="24"/>
              </w:rPr>
              <w:t>following</w:t>
            </w:r>
            <w:r>
              <w:rPr>
                <w:spacing w:val="-9"/>
                <w:sz w:val="24"/>
              </w:rPr>
              <w:t> </w:t>
            </w:r>
            <w:r>
              <w:rPr>
                <w:sz w:val="24"/>
              </w:rPr>
              <w:t>the</w:t>
            </w:r>
            <w:r>
              <w:rPr>
                <w:spacing w:val="-5"/>
                <w:sz w:val="24"/>
              </w:rPr>
              <w:t> </w:t>
            </w:r>
            <w:r>
              <w:rPr>
                <w:sz w:val="24"/>
              </w:rPr>
              <w:t>end</w:t>
            </w:r>
            <w:r>
              <w:rPr>
                <w:spacing w:val="-6"/>
                <w:sz w:val="24"/>
              </w:rPr>
              <w:t> </w:t>
            </w:r>
            <w:r>
              <w:rPr>
                <w:sz w:val="24"/>
              </w:rPr>
              <w:t>of</w:t>
            </w:r>
            <w:r>
              <w:rPr>
                <w:spacing w:val="-7"/>
                <w:sz w:val="24"/>
              </w:rPr>
              <w:t> </w:t>
            </w:r>
            <w:r>
              <w:rPr>
                <w:sz w:val="24"/>
              </w:rPr>
              <w:t>the quarter, except for Q4 which is submitted with Annual Report</w:t>
            </w:r>
          </w:p>
        </w:tc>
        <w:tc>
          <w:tcPr>
            <w:tcW w:w="3420" w:type="dxa"/>
          </w:tcPr>
          <w:p>
            <w:pPr>
              <w:pStyle w:val="TableParagraph"/>
              <w:ind w:left="107" w:right="134"/>
              <w:rPr>
                <w:sz w:val="24"/>
              </w:rPr>
            </w:pPr>
            <w:r>
              <w:rPr>
                <w:sz w:val="24"/>
              </w:rPr>
              <w:t>Quarterly</w:t>
            </w:r>
            <w:r>
              <w:rPr>
                <w:spacing w:val="-15"/>
                <w:sz w:val="24"/>
              </w:rPr>
              <w:t> </w:t>
            </w:r>
            <w:r>
              <w:rPr>
                <w:sz w:val="24"/>
              </w:rPr>
              <w:t>Budget</w:t>
            </w:r>
            <w:r>
              <w:rPr>
                <w:spacing w:val="-15"/>
                <w:sz w:val="24"/>
              </w:rPr>
              <w:t> </w:t>
            </w:r>
            <w:r>
              <w:rPr>
                <w:sz w:val="24"/>
              </w:rPr>
              <w:t>Neutrality </w:t>
            </w:r>
            <w:r>
              <w:rPr>
                <w:spacing w:val="-2"/>
                <w:sz w:val="24"/>
              </w:rPr>
              <w:t>Report</w:t>
            </w:r>
          </w:p>
        </w:tc>
        <w:tc>
          <w:tcPr>
            <w:tcW w:w="2335" w:type="dxa"/>
          </w:tcPr>
          <w:p>
            <w:pPr>
              <w:pStyle w:val="TableParagraph"/>
              <w:spacing w:before="9"/>
              <w:rPr>
                <w:sz w:val="23"/>
              </w:rPr>
            </w:pPr>
          </w:p>
          <w:p>
            <w:pPr>
              <w:pStyle w:val="TableParagraph"/>
              <w:ind w:left="107"/>
              <w:rPr>
                <w:sz w:val="24"/>
              </w:rPr>
            </w:pPr>
            <w:r>
              <w:rPr>
                <w:sz w:val="24"/>
              </w:rPr>
              <w:t>Section</w:t>
            </w:r>
            <w:r>
              <w:rPr>
                <w:spacing w:val="-2"/>
                <w:sz w:val="24"/>
              </w:rPr>
              <w:t> </w:t>
            </w:r>
            <w:r>
              <w:rPr>
                <w:spacing w:val="-5"/>
                <w:sz w:val="24"/>
              </w:rPr>
              <w:t>14</w:t>
            </w:r>
          </w:p>
        </w:tc>
      </w:tr>
    </w:tbl>
    <w:p>
      <w:pPr>
        <w:spacing w:after="0"/>
        <w:rPr>
          <w:sz w:val="24"/>
        </w:rPr>
        <w:sectPr>
          <w:type w:val="continuous"/>
          <w:pgSz w:w="12240" w:h="15840"/>
          <w:pgMar w:header="0" w:footer="1201" w:top="1420" w:bottom="1400" w:left="220" w:right="340"/>
        </w:sectPr>
      </w:pPr>
    </w:p>
    <w:p>
      <w:pPr>
        <w:spacing w:before="80"/>
        <w:ind w:left="1220" w:right="0" w:firstLine="0"/>
        <w:jc w:val="left"/>
        <w:rPr>
          <w:sz w:val="20"/>
        </w:rPr>
      </w:pPr>
      <w:bookmarkStart w:name="Final Attachments (combined)" w:id="1127"/>
      <w:bookmarkEnd w:id="1127"/>
      <w:r>
        <w:rPr/>
      </w:r>
      <w:bookmarkStart w:name="Attachment A Preparing the Evaluation De" w:id="1128"/>
      <w:bookmarkEnd w:id="1128"/>
      <w:r>
        <w:rPr/>
      </w:r>
      <w:r>
        <w:rPr>
          <w:sz w:val="20"/>
        </w:rPr>
        <w:t>Attachment</w:t>
      </w:r>
      <w:r>
        <w:rPr>
          <w:spacing w:val="-12"/>
          <w:sz w:val="20"/>
        </w:rPr>
        <w:t> </w:t>
      </w:r>
      <w:r>
        <w:rPr>
          <w:spacing w:val="-10"/>
          <w:sz w:val="20"/>
        </w:rPr>
        <w:t>A</w:t>
      </w:r>
    </w:p>
    <w:p>
      <w:pPr>
        <w:pStyle w:val="BodyText"/>
        <w:rPr>
          <w:sz w:val="20"/>
        </w:rPr>
      </w:pPr>
    </w:p>
    <w:p>
      <w:pPr>
        <w:spacing w:after="0"/>
        <w:rPr>
          <w:sz w:val="20"/>
        </w:rPr>
        <w:sectPr>
          <w:footerReference w:type="default" r:id="rId330"/>
          <w:pgSz w:w="12240" w:h="15840"/>
          <w:pgMar w:footer="1223" w:header="0" w:top="640" w:bottom="1420" w:left="220" w:right="340"/>
          <w:pgNumType w:start="1"/>
        </w:sectPr>
      </w:pPr>
    </w:p>
    <w:p>
      <w:pPr>
        <w:pStyle w:val="BodyText"/>
        <w:rPr>
          <w:sz w:val="26"/>
        </w:rPr>
      </w:pPr>
    </w:p>
    <w:p>
      <w:pPr>
        <w:pStyle w:val="BodyText"/>
        <w:rPr>
          <w:sz w:val="26"/>
        </w:rPr>
      </w:pPr>
    </w:p>
    <w:p>
      <w:pPr>
        <w:pStyle w:val="Heading5"/>
        <w:spacing w:before="213"/>
        <w:ind w:left="1220"/>
      </w:pPr>
      <w:bookmarkStart w:name="ATTACHMENT A" w:id="1129"/>
      <w:bookmarkEnd w:id="1129"/>
      <w:r>
        <w:rPr>
          <w:b w:val="0"/>
        </w:rPr>
      </w:r>
      <w:bookmarkStart w:name="Preparing the Evaluation Design" w:id="1130"/>
      <w:bookmarkEnd w:id="1130"/>
      <w:r>
        <w:rPr>
          <w:b w:val="0"/>
        </w:rPr>
      </w:r>
      <w:bookmarkStart w:name="Introduction" w:id="1131"/>
      <w:bookmarkEnd w:id="1131"/>
      <w:r>
        <w:rPr>
          <w:b w:val="0"/>
        </w:rPr>
      </w:r>
      <w:r>
        <w:rPr>
          <w:spacing w:val="-2"/>
        </w:rPr>
        <w:t>Introduction</w:t>
      </w:r>
    </w:p>
    <w:p>
      <w:pPr>
        <w:spacing w:line="240" w:lineRule="auto" w:before="6"/>
        <w:rPr>
          <w:b/>
          <w:sz w:val="22"/>
        </w:rPr>
      </w:pPr>
      <w:r>
        <w:rPr/>
        <w:br w:type="column"/>
      </w:r>
      <w:r>
        <w:rPr>
          <w:b/>
          <w:sz w:val="22"/>
        </w:rPr>
      </w:r>
    </w:p>
    <w:p>
      <w:pPr>
        <w:pStyle w:val="Heading4"/>
        <w:ind w:left="1894" w:right="4776"/>
        <w:jc w:val="center"/>
      </w:pPr>
      <w:r>
        <w:rPr/>
        <w:t>ATTACHMENT</w:t>
      </w:r>
      <w:r>
        <w:rPr>
          <w:spacing w:val="-5"/>
        </w:rPr>
        <w:t> </w:t>
      </w:r>
      <w:r>
        <w:rPr>
          <w:spacing w:val="-10"/>
        </w:rPr>
        <w:t>A</w:t>
      </w:r>
    </w:p>
    <w:p>
      <w:pPr>
        <w:pStyle w:val="Heading5"/>
        <w:ind w:left="1211" w:right="4092"/>
        <w:jc w:val="center"/>
      </w:pPr>
      <w:r>
        <w:rPr/>
        <w:t>Preparing</w:t>
      </w:r>
      <w:r>
        <w:rPr>
          <w:spacing w:val="-3"/>
        </w:rPr>
        <w:t> </w:t>
      </w:r>
      <w:r>
        <w:rPr/>
        <w:t>the</w:t>
      </w:r>
      <w:r>
        <w:rPr>
          <w:spacing w:val="-3"/>
        </w:rPr>
        <w:t> </w:t>
      </w:r>
      <w:r>
        <w:rPr/>
        <w:t>Evaluation</w:t>
      </w:r>
      <w:r>
        <w:rPr>
          <w:spacing w:val="-2"/>
        </w:rPr>
        <w:t> Design</w:t>
      </w:r>
    </w:p>
    <w:p>
      <w:pPr>
        <w:spacing w:after="0"/>
        <w:jc w:val="center"/>
        <w:sectPr>
          <w:type w:val="continuous"/>
          <w:pgSz w:w="12240" w:h="15840"/>
          <w:pgMar w:header="0" w:footer="1223" w:top="320" w:bottom="280" w:left="220" w:right="340"/>
          <w:cols w:num="2" w:equalWidth="0">
            <w:col w:w="2568" w:space="435"/>
            <w:col w:w="8677"/>
          </w:cols>
        </w:sectPr>
      </w:pPr>
    </w:p>
    <w:p>
      <w:pPr>
        <w:pStyle w:val="BodyText"/>
        <w:ind w:left="1220" w:right="1111"/>
      </w:pPr>
      <w:r>
        <w:rPr/>
        <w:t>Both</w:t>
      </w:r>
      <w:r>
        <w:rPr>
          <w:spacing w:val="-4"/>
        </w:rPr>
        <w:t> </w:t>
      </w:r>
      <w:r>
        <w:rPr/>
        <w:t>state</w:t>
      </w:r>
      <w:r>
        <w:rPr>
          <w:spacing w:val="-5"/>
        </w:rPr>
        <w:t> </w:t>
      </w:r>
      <w:r>
        <w:rPr/>
        <w:t>and</w:t>
      </w:r>
      <w:r>
        <w:rPr>
          <w:spacing w:val="-4"/>
        </w:rPr>
        <w:t> </w:t>
      </w:r>
      <w:r>
        <w:rPr/>
        <w:t>federal</w:t>
      </w:r>
      <w:r>
        <w:rPr>
          <w:spacing w:val="-2"/>
        </w:rPr>
        <w:t> </w:t>
      </w:r>
      <w:r>
        <w:rPr/>
        <w:t>governments</w:t>
      </w:r>
      <w:r>
        <w:rPr>
          <w:spacing w:val="-4"/>
        </w:rPr>
        <w:t> </w:t>
      </w:r>
      <w:r>
        <w:rPr/>
        <w:t>need</w:t>
      </w:r>
      <w:r>
        <w:rPr>
          <w:spacing w:val="-2"/>
        </w:rPr>
        <w:t> </w:t>
      </w:r>
      <w:r>
        <w:rPr/>
        <w:t>rigorous</w:t>
      </w:r>
      <w:r>
        <w:rPr>
          <w:spacing w:val="-2"/>
        </w:rPr>
        <w:t> </w:t>
      </w:r>
      <w:r>
        <w:rPr/>
        <w:t>quantitative</w:t>
      </w:r>
      <w:r>
        <w:rPr>
          <w:spacing w:val="-5"/>
        </w:rPr>
        <w:t> </w:t>
      </w:r>
      <w:r>
        <w:rPr/>
        <w:t>and</w:t>
      </w:r>
      <w:r>
        <w:rPr>
          <w:spacing w:val="-4"/>
        </w:rPr>
        <w:t> </w:t>
      </w:r>
      <w:r>
        <w:rPr/>
        <w:t>qualitative</w:t>
      </w:r>
      <w:r>
        <w:rPr>
          <w:spacing w:val="-5"/>
        </w:rPr>
        <w:t> </w:t>
      </w:r>
      <w:r>
        <w:rPr/>
        <w:t>evidence</w:t>
      </w:r>
      <w:r>
        <w:rPr>
          <w:spacing w:val="-5"/>
        </w:rPr>
        <w:t> </w:t>
      </w:r>
      <w:r>
        <w:rPr/>
        <w:t>to</w:t>
      </w:r>
      <w:r>
        <w:rPr>
          <w:spacing w:val="-4"/>
        </w:rPr>
        <w:t> </w:t>
      </w:r>
      <w:r>
        <w:rPr/>
        <w:t>inform policy decisions.</w:t>
      </w:r>
      <w:r>
        <w:rPr>
          <w:spacing w:val="40"/>
        </w:rPr>
        <w:t> </w:t>
      </w:r>
      <w:r>
        <w:rPr/>
        <w:t>To that end, for states that are testing new approaches and flexibilities in their Medicaid programs through section 1115 demonstrations, evaluations are crucial to understand and disseminate information about these policies.</w:t>
      </w:r>
      <w:r>
        <w:rPr>
          <w:spacing w:val="40"/>
        </w:rPr>
        <w:t> </w:t>
      </w:r>
      <w:r>
        <w:rPr/>
        <w:t>The evaluations of new initiatives seek to produce new knowledge and direction for programs and inform Medicaid policy for the future.</w:t>
      </w:r>
    </w:p>
    <w:p>
      <w:pPr>
        <w:pStyle w:val="BodyText"/>
        <w:ind w:left="1220" w:right="1111"/>
      </w:pPr>
      <w:r>
        <w:rPr/>
        <w:t>While</w:t>
      </w:r>
      <w:r>
        <w:rPr>
          <w:spacing w:val="-5"/>
        </w:rPr>
        <w:t> </w:t>
      </w:r>
      <w:r>
        <w:rPr/>
        <w:t>a</w:t>
      </w:r>
      <w:r>
        <w:rPr>
          <w:spacing w:val="-5"/>
        </w:rPr>
        <w:t> </w:t>
      </w:r>
      <w:r>
        <w:rPr/>
        <w:t>narrative</w:t>
      </w:r>
      <w:r>
        <w:rPr>
          <w:spacing w:val="-5"/>
        </w:rPr>
        <w:t> </w:t>
      </w:r>
      <w:r>
        <w:rPr/>
        <w:t>about</w:t>
      </w:r>
      <w:r>
        <w:rPr>
          <w:spacing w:val="-2"/>
        </w:rPr>
        <w:t> </w:t>
      </w:r>
      <w:r>
        <w:rPr/>
        <w:t>what</w:t>
      </w:r>
      <w:r>
        <w:rPr>
          <w:spacing w:val="-4"/>
        </w:rPr>
        <w:t> </w:t>
      </w:r>
      <w:r>
        <w:rPr/>
        <w:t>happened</w:t>
      </w:r>
      <w:r>
        <w:rPr>
          <w:spacing w:val="-4"/>
        </w:rPr>
        <w:t> </w:t>
      </w:r>
      <w:r>
        <w:rPr/>
        <w:t>during</w:t>
      </w:r>
      <w:r>
        <w:rPr>
          <w:spacing w:val="-7"/>
        </w:rPr>
        <w:t> </w:t>
      </w:r>
      <w:r>
        <w:rPr/>
        <w:t>a</w:t>
      </w:r>
      <w:r>
        <w:rPr>
          <w:spacing w:val="-3"/>
        </w:rPr>
        <w:t> </w:t>
      </w:r>
      <w:r>
        <w:rPr/>
        <w:t>demonstration</w:t>
      </w:r>
      <w:r>
        <w:rPr>
          <w:spacing w:val="-4"/>
        </w:rPr>
        <w:t> </w:t>
      </w:r>
      <w:r>
        <w:rPr/>
        <w:t>provides</w:t>
      </w:r>
      <w:r>
        <w:rPr>
          <w:spacing w:val="-4"/>
        </w:rPr>
        <w:t> </w:t>
      </w:r>
      <w:r>
        <w:rPr/>
        <w:t>important</w:t>
      </w:r>
      <w:r>
        <w:rPr>
          <w:spacing w:val="-4"/>
        </w:rPr>
        <w:t> </w:t>
      </w:r>
      <w:r>
        <w:rPr/>
        <w:t>information, the principal focus of the evaluation of a section 1115 demonstration should be obtaining and analyzing data.</w:t>
      </w:r>
      <w:r>
        <w:rPr>
          <w:spacing w:val="40"/>
        </w:rPr>
        <w:t> </w:t>
      </w:r>
      <w:r>
        <w:rPr/>
        <w:t>Evaluations should include findings about the process (e.g., whether the demonstration</w:t>
      </w:r>
      <w:r>
        <w:rPr>
          <w:spacing w:val="-1"/>
        </w:rPr>
        <w:t> </w:t>
      </w:r>
      <w:r>
        <w:rPr/>
        <w:t>is</w:t>
      </w:r>
      <w:r>
        <w:rPr>
          <w:spacing w:val="-1"/>
        </w:rPr>
        <w:t> </w:t>
      </w:r>
      <w:r>
        <w:rPr/>
        <w:t>being</w:t>
      </w:r>
      <w:r>
        <w:rPr>
          <w:spacing w:val="-4"/>
        </w:rPr>
        <w:t> </w:t>
      </w:r>
      <w:r>
        <w:rPr/>
        <w:t>implemented</w:t>
      </w:r>
      <w:r>
        <w:rPr>
          <w:spacing w:val="-1"/>
        </w:rPr>
        <w:t> </w:t>
      </w:r>
      <w:r>
        <w:rPr/>
        <w:t>as</w:t>
      </w:r>
      <w:r>
        <w:rPr>
          <w:spacing w:val="-1"/>
        </w:rPr>
        <w:t> </w:t>
      </w:r>
      <w:r>
        <w:rPr/>
        <w:t>intended),</w:t>
      </w:r>
      <w:r>
        <w:rPr>
          <w:spacing w:val="-1"/>
        </w:rPr>
        <w:t> </w:t>
      </w:r>
      <w:r>
        <w:rPr/>
        <w:t>outcomes</w:t>
      </w:r>
      <w:r>
        <w:rPr>
          <w:spacing w:val="-1"/>
        </w:rPr>
        <w:t> </w:t>
      </w:r>
      <w:r>
        <w:rPr/>
        <w:t>(e.g.,</w:t>
      </w:r>
      <w:r>
        <w:rPr>
          <w:spacing w:val="-1"/>
        </w:rPr>
        <w:t> </w:t>
      </w:r>
      <w:r>
        <w:rPr/>
        <w:t>whether the</w:t>
      </w:r>
      <w:r>
        <w:rPr>
          <w:spacing w:val="-2"/>
        </w:rPr>
        <w:t> </w:t>
      </w:r>
      <w:r>
        <w:rPr/>
        <w:t>demonstration</w:t>
      </w:r>
      <w:r>
        <w:rPr>
          <w:spacing w:val="-1"/>
        </w:rPr>
        <w:t> </w:t>
      </w:r>
      <w:r>
        <w:rPr/>
        <w:t>is having the intended effects on the target population), and impacts of the demonstration (e.g., whether the outcomes observed in the targeted population differ from outcomes in similar populations not affected by the demonstration).</w:t>
      </w:r>
    </w:p>
    <w:p>
      <w:pPr>
        <w:pStyle w:val="BodyText"/>
      </w:pPr>
    </w:p>
    <w:p>
      <w:pPr>
        <w:pStyle w:val="Heading5"/>
        <w:ind w:left="1220"/>
      </w:pPr>
      <w:r>
        <w:rPr/>
        <w:t>Submission</w:t>
      </w:r>
      <w:r>
        <w:rPr>
          <w:spacing w:val="-4"/>
        </w:rPr>
        <w:t> </w:t>
      </w:r>
      <w:r>
        <w:rPr>
          <w:spacing w:val="-2"/>
        </w:rPr>
        <w:t>Timelines</w:t>
      </w:r>
    </w:p>
    <w:p>
      <w:pPr>
        <w:pStyle w:val="BodyText"/>
        <w:ind w:left="1220" w:right="1178"/>
      </w:pPr>
      <w:r>
        <w:rPr/>
        <w:t>There is a specified timeline for the state’s submission of its draft Evaluation Design and subsequent</w:t>
      </w:r>
      <w:r>
        <w:rPr>
          <w:spacing w:val="-3"/>
        </w:rPr>
        <w:t> </w:t>
      </w:r>
      <w:r>
        <w:rPr/>
        <w:t>evaluation</w:t>
      </w:r>
      <w:r>
        <w:rPr>
          <w:spacing w:val="-3"/>
        </w:rPr>
        <w:t> </w:t>
      </w:r>
      <w:r>
        <w:rPr/>
        <w:t>reports.</w:t>
      </w:r>
      <w:r>
        <w:rPr>
          <w:spacing w:val="40"/>
        </w:rPr>
        <w:t> </w:t>
      </w:r>
      <w:r>
        <w:rPr/>
        <w:t>The</w:t>
      </w:r>
      <w:r>
        <w:rPr>
          <w:spacing w:val="-2"/>
        </w:rPr>
        <w:t> </w:t>
      </w:r>
      <w:r>
        <w:rPr/>
        <w:t>graphic</w:t>
      </w:r>
      <w:r>
        <w:rPr>
          <w:spacing w:val="-4"/>
        </w:rPr>
        <w:t> </w:t>
      </w:r>
      <w:r>
        <w:rPr/>
        <w:t>below</w:t>
      </w:r>
      <w:r>
        <w:rPr>
          <w:spacing w:val="-4"/>
        </w:rPr>
        <w:t> </w:t>
      </w:r>
      <w:r>
        <w:rPr/>
        <w:t>depicts</w:t>
      </w:r>
      <w:r>
        <w:rPr>
          <w:spacing w:val="-3"/>
        </w:rPr>
        <w:t> </w:t>
      </w:r>
      <w:r>
        <w:rPr/>
        <w:t>an</w:t>
      </w:r>
      <w:r>
        <w:rPr>
          <w:spacing w:val="-3"/>
        </w:rPr>
        <w:t> </w:t>
      </w:r>
      <w:r>
        <w:rPr/>
        <w:t>example</w:t>
      </w:r>
      <w:r>
        <w:rPr>
          <w:spacing w:val="-4"/>
        </w:rPr>
        <w:t> </w:t>
      </w:r>
      <w:r>
        <w:rPr/>
        <w:t>of</w:t>
      </w:r>
      <w:r>
        <w:rPr>
          <w:spacing w:val="-2"/>
        </w:rPr>
        <w:t> </w:t>
      </w:r>
      <w:r>
        <w:rPr/>
        <w:t>this</w:t>
      </w:r>
      <w:r>
        <w:rPr>
          <w:spacing w:val="-3"/>
        </w:rPr>
        <w:t> </w:t>
      </w:r>
      <w:r>
        <w:rPr/>
        <w:t>timeline</w:t>
      </w:r>
      <w:r>
        <w:rPr>
          <w:spacing w:val="-4"/>
        </w:rPr>
        <w:t> </w:t>
      </w:r>
      <w:r>
        <w:rPr/>
        <w:t>for</w:t>
      </w:r>
      <w:r>
        <w:rPr>
          <w:spacing w:val="-4"/>
        </w:rPr>
        <w:t> </w:t>
      </w:r>
      <w:r>
        <w:rPr/>
        <w:t>a</w:t>
      </w:r>
      <w:r>
        <w:rPr>
          <w:spacing w:val="-4"/>
        </w:rPr>
        <w:t> </w:t>
      </w:r>
      <w:r>
        <w:rPr/>
        <w:t>5- year demonstration.</w:t>
      </w:r>
      <w:r>
        <w:rPr>
          <w:spacing w:val="40"/>
        </w:rPr>
        <w:t> </w:t>
      </w:r>
      <w:r>
        <w:rPr/>
        <w:t>In addition, the state should be aware that section 1115 evaluation documents are public records.</w:t>
      </w:r>
      <w:r>
        <w:rPr>
          <w:spacing w:val="40"/>
        </w:rPr>
        <w:t> </w:t>
      </w:r>
      <w:r>
        <w:rPr/>
        <w:t>The state is required to publish the Evaluation Design to the state’s website within thirty (30) calendar days of CMS approval, as per 42 CFR 431.424(e). CMS will also publish a copy to the Medicaid.gov website.</w:t>
      </w:r>
    </w:p>
    <w:p>
      <w:pPr>
        <w:pStyle w:val="BodyText"/>
        <w:rPr>
          <w:sz w:val="20"/>
        </w:rPr>
      </w:pPr>
    </w:p>
    <w:p>
      <w:pPr>
        <w:pStyle w:val="BodyText"/>
        <w:rPr>
          <w:sz w:val="20"/>
        </w:rPr>
      </w:pPr>
    </w:p>
    <w:p>
      <w:pPr>
        <w:pStyle w:val="BodyText"/>
        <w:rPr>
          <w:sz w:val="17"/>
        </w:rPr>
      </w:pPr>
    </w:p>
    <w:p>
      <w:pPr>
        <w:spacing w:after="0"/>
        <w:rPr>
          <w:sz w:val="17"/>
        </w:rPr>
        <w:sectPr>
          <w:type w:val="continuous"/>
          <w:pgSz w:w="12240" w:h="15840"/>
          <w:pgMar w:header="0" w:footer="1223" w:top="320" w:bottom="280" w:left="220" w:right="340"/>
        </w:sectPr>
      </w:pPr>
    </w:p>
    <w:p>
      <w:pPr>
        <w:pStyle w:val="BodyText"/>
        <w:rPr>
          <w:sz w:val="18"/>
        </w:rPr>
      </w:pPr>
    </w:p>
    <w:p>
      <w:pPr>
        <w:pStyle w:val="BodyText"/>
        <w:spacing w:before="3"/>
        <w:rPr>
          <w:sz w:val="23"/>
        </w:rPr>
      </w:pPr>
    </w:p>
    <w:p>
      <w:pPr>
        <w:spacing w:line="218" w:lineRule="auto" w:before="0"/>
        <w:ind w:left="1622" w:right="29" w:hanging="178"/>
        <w:jc w:val="left"/>
        <w:rPr>
          <w:rFonts w:ascii="Calibri"/>
          <w:sz w:val="18"/>
        </w:rPr>
      </w:pPr>
      <w:r>
        <w:rPr>
          <w:rFonts w:ascii="Calibri"/>
          <w:sz w:val="18"/>
        </w:rPr>
        <w:t>Demo</w:t>
      </w:r>
      <w:r>
        <w:rPr>
          <w:rFonts w:ascii="Calibri"/>
          <w:spacing w:val="-11"/>
          <w:sz w:val="18"/>
        </w:rPr>
        <w:t> </w:t>
      </w:r>
      <w:r>
        <w:rPr>
          <w:rFonts w:ascii="Calibri"/>
          <w:sz w:val="18"/>
        </w:rPr>
        <w:t>approved Jan 1, 2017</w:t>
      </w:r>
    </w:p>
    <w:p>
      <w:pPr>
        <w:spacing w:line="216" w:lineRule="auto" w:before="81"/>
        <w:ind w:left="1444" w:right="38" w:firstLine="0"/>
        <w:jc w:val="center"/>
        <w:rPr>
          <w:rFonts w:ascii="Calibri"/>
          <w:sz w:val="18"/>
        </w:rPr>
      </w:pPr>
      <w:r>
        <w:rPr/>
        <w:br w:type="column"/>
      </w:r>
      <w:r>
        <w:rPr>
          <w:rFonts w:ascii="Calibri"/>
          <w:sz w:val="18"/>
        </w:rPr>
        <w:t>Interim</w:t>
      </w:r>
      <w:r>
        <w:rPr>
          <w:rFonts w:ascii="Calibri"/>
          <w:spacing w:val="-11"/>
          <w:sz w:val="18"/>
        </w:rPr>
        <w:t> </w:t>
      </w:r>
      <w:r>
        <w:rPr>
          <w:rFonts w:ascii="Calibri"/>
          <w:sz w:val="18"/>
        </w:rPr>
        <w:t>Evaluation Report</w:t>
      </w:r>
      <w:r>
        <w:rPr>
          <w:rFonts w:ascii="Calibri"/>
          <w:spacing w:val="-6"/>
          <w:sz w:val="18"/>
        </w:rPr>
        <w:t> </w:t>
      </w:r>
      <w:r>
        <w:rPr>
          <w:rFonts w:ascii="Calibri"/>
          <w:sz w:val="18"/>
        </w:rPr>
        <w:t>(data</w:t>
      </w:r>
      <w:r>
        <w:rPr>
          <w:rFonts w:ascii="Calibri"/>
          <w:spacing w:val="-5"/>
          <w:sz w:val="18"/>
        </w:rPr>
        <w:t> </w:t>
      </w:r>
      <w:r>
        <w:rPr>
          <w:rFonts w:ascii="Calibri"/>
          <w:sz w:val="18"/>
        </w:rPr>
        <w:t>from </w:t>
      </w:r>
      <w:r>
        <w:rPr>
          <w:rFonts w:ascii="Calibri"/>
          <w:spacing w:val="-2"/>
          <w:sz w:val="18"/>
        </w:rPr>
        <w:t>DY1-2.5)</w:t>
      </w:r>
    </w:p>
    <w:p>
      <w:pPr>
        <w:spacing w:line="202" w:lineRule="exact" w:before="0"/>
        <w:ind w:left="1444" w:right="37" w:firstLine="0"/>
        <w:jc w:val="center"/>
        <w:rPr>
          <w:rFonts w:ascii="Calibri"/>
          <w:sz w:val="18"/>
        </w:rPr>
      </w:pPr>
      <w:r>
        <w:rPr/>
        <mc:AlternateContent>
          <mc:Choice Requires="wps">
            <w:drawing>
              <wp:anchor distT="0" distB="0" distL="0" distR="0" allowOverlap="1" layoutInCell="1" locked="0" behindDoc="1" simplePos="0" relativeHeight="473930752">
                <wp:simplePos x="0" y="0"/>
                <wp:positionH relativeFrom="page">
                  <wp:posOffset>914400</wp:posOffset>
                </wp:positionH>
                <wp:positionV relativeFrom="paragraph">
                  <wp:posOffset>21393</wp:posOffset>
                </wp:positionV>
                <wp:extent cx="5943600" cy="686435"/>
                <wp:effectExtent l="0" t="0" r="0" b="0"/>
                <wp:wrapNone/>
                <wp:docPr id="822" name="Group 822"/>
                <wp:cNvGraphicFramePr>
                  <a:graphicFrameLocks/>
                </wp:cNvGraphicFramePr>
                <a:graphic>
                  <a:graphicData uri="http://schemas.microsoft.com/office/word/2010/wordprocessingGroup">
                    <wpg:wgp>
                      <wpg:cNvPr id="822" name="Group 822"/>
                      <wpg:cNvGrpSpPr/>
                      <wpg:grpSpPr>
                        <a:xfrm>
                          <a:off x="0" y="0"/>
                          <a:ext cx="5943600" cy="686435"/>
                          <a:chExt cx="5943600" cy="686435"/>
                        </a:xfrm>
                      </wpg:grpSpPr>
                      <wps:wsp>
                        <wps:cNvPr id="823" name="Graphic 823"/>
                        <wps:cNvSpPr/>
                        <wps:spPr>
                          <a:xfrm>
                            <a:off x="0" y="0"/>
                            <a:ext cx="5943600" cy="686435"/>
                          </a:xfrm>
                          <a:custGeom>
                            <a:avLst/>
                            <a:gdLst/>
                            <a:ahLst/>
                            <a:cxnLst/>
                            <a:rect l="l" t="t" r="r" b="b"/>
                            <a:pathLst>
                              <a:path w="5943600" h="686435">
                                <a:moveTo>
                                  <a:pt x="5600573" y="0"/>
                                </a:moveTo>
                                <a:lnTo>
                                  <a:pt x="5600573" y="171513"/>
                                </a:lnTo>
                                <a:lnTo>
                                  <a:pt x="0" y="171513"/>
                                </a:lnTo>
                                <a:lnTo>
                                  <a:pt x="171513" y="343027"/>
                                </a:lnTo>
                                <a:lnTo>
                                  <a:pt x="0" y="514540"/>
                                </a:lnTo>
                                <a:lnTo>
                                  <a:pt x="5600573" y="514540"/>
                                </a:lnTo>
                                <a:lnTo>
                                  <a:pt x="5600573" y="686054"/>
                                </a:lnTo>
                                <a:lnTo>
                                  <a:pt x="5943600" y="343027"/>
                                </a:lnTo>
                                <a:lnTo>
                                  <a:pt x="5600573" y="0"/>
                                </a:lnTo>
                                <a:close/>
                              </a:path>
                            </a:pathLst>
                          </a:custGeom>
                          <a:solidFill>
                            <a:srgbClr val="CFD4EA"/>
                          </a:solidFill>
                        </wps:spPr>
                        <wps:bodyPr wrap="square" lIns="0" tIns="0" rIns="0" bIns="0" rtlCol="0">
                          <a:prstTxWarp prst="textNoShape">
                            <a:avLst/>
                          </a:prstTxWarp>
                          <a:noAutofit/>
                        </wps:bodyPr>
                      </wps:wsp>
                      <pic:pic>
                        <pic:nvPicPr>
                          <pic:cNvPr id="824" name="Image 824"/>
                          <pic:cNvPicPr/>
                        </pic:nvPicPr>
                        <pic:blipFill>
                          <a:blip r:embed="rId331" cstate="print"/>
                          <a:stretch>
                            <a:fillRect/>
                          </a:stretch>
                        </pic:blipFill>
                        <pic:spPr>
                          <a:xfrm>
                            <a:off x="424140" y="250922"/>
                            <a:ext cx="184213" cy="184213"/>
                          </a:xfrm>
                          <a:prstGeom prst="rect">
                            <a:avLst/>
                          </a:prstGeom>
                        </pic:spPr>
                      </pic:pic>
                      <pic:pic>
                        <pic:nvPicPr>
                          <pic:cNvPr id="825" name="Image 825"/>
                          <pic:cNvPicPr/>
                        </pic:nvPicPr>
                        <pic:blipFill>
                          <a:blip r:embed="rId332" cstate="print"/>
                          <a:stretch>
                            <a:fillRect/>
                          </a:stretch>
                        </pic:blipFill>
                        <pic:spPr>
                          <a:xfrm>
                            <a:off x="1503326" y="250922"/>
                            <a:ext cx="184213" cy="184213"/>
                          </a:xfrm>
                          <a:prstGeom prst="rect">
                            <a:avLst/>
                          </a:prstGeom>
                        </pic:spPr>
                      </pic:pic>
                      <pic:pic>
                        <pic:nvPicPr>
                          <pic:cNvPr id="826" name="Image 826"/>
                          <pic:cNvPicPr/>
                        </pic:nvPicPr>
                        <pic:blipFill>
                          <a:blip r:embed="rId331" cstate="print"/>
                          <a:stretch>
                            <a:fillRect/>
                          </a:stretch>
                        </pic:blipFill>
                        <pic:spPr>
                          <a:xfrm>
                            <a:off x="2582513" y="250922"/>
                            <a:ext cx="184213" cy="184213"/>
                          </a:xfrm>
                          <a:prstGeom prst="rect">
                            <a:avLst/>
                          </a:prstGeom>
                        </pic:spPr>
                      </pic:pic>
                      <pic:pic>
                        <pic:nvPicPr>
                          <pic:cNvPr id="827" name="Image 827"/>
                          <pic:cNvPicPr/>
                        </pic:nvPicPr>
                        <pic:blipFill>
                          <a:blip r:embed="rId331" cstate="print"/>
                          <a:stretch>
                            <a:fillRect/>
                          </a:stretch>
                        </pic:blipFill>
                        <pic:spPr>
                          <a:xfrm>
                            <a:off x="3661698" y="250922"/>
                            <a:ext cx="184213" cy="184213"/>
                          </a:xfrm>
                          <a:prstGeom prst="rect">
                            <a:avLst/>
                          </a:prstGeom>
                        </pic:spPr>
                      </pic:pic>
                      <pic:pic>
                        <pic:nvPicPr>
                          <pic:cNvPr id="828" name="Image 828"/>
                          <pic:cNvPicPr/>
                        </pic:nvPicPr>
                        <pic:blipFill>
                          <a:blip r:embed="rId331" cstate="print"/>
                          <a:stretch>
                            <a:fillRect/>
                          </a:stretch>
                        </pic:blipFill>
                        <pic:spPr>
                          <a:xfrm>
                            <a:off x="4740883" y="250922"/>
                            <a:ext cx="184213" cy="184213"/>
                          </a:xfrm>
                          <a:prstGeom prst="rect">
                            <a:avLst/>
                          </a:prstGeom>
                        </pic:spPr>
                      </pic:pic>
                    </wpg:wgp>
                  </a:graphicData>
                </a:graphic>
              </wp:anchor>
            </w:drawing>
          </mc:Choice>
          <mc:Fallback>
            <w:pict>
              <v:group style="position:absolute;margin-left:72pt;margin-top:1.684508pt;width:468pt;height:54.05pt;mso-position-horizontal-relative:page;mso-position-vertical-relative:paragraph;z-index:-29385728" id="docshapegroup43" coordorigin="1440,34" coordsize="9360,1081">
                <v:shape style="position:absolute;left:1440;top:33;width:9360;height:1081" id="docshape44" coordorigin="1440,34" coordsize="9360,1081" path="m10260,34l10260,304,1440,304,1710,574,1440,844,10260,844,10260,1114,10800,574,10260,34xe" filled="true" fillcolor="#cfd4ea" stroked="false">
                  <v:path arrowok="t"/>
                  <v:fill type="solid"/>
                </v:shape>
                <v:shape style="position:absolute;left:2107;top:428;width:291;height:291" type="#_x0000_t75" id="docshape45" stroked="false">
                  <v:imagedata r:id="rId331" o:title=""/>
                </v:shape>
                <v:shape style="position:absolute;left:3807;top:428;width:291;height:291" type="#_x0000_t75" id="docshape46" stroked="false">
                  <v:imagedata r:id="rId332" o:title=""/>
                </v:shape>
                <v:shape style="position:absolute;left:5506;top:428;width:291;height:291" type="#_x0000_t75" id="docshape47" stroked="false">
                  <v:imagedata r:id="rId331" o:title=""/>
                </v:shape>
                <v:shape style="position:absolute;left:7206;top:428;width:291;height:291" type="#_x0000_t75" id="docshape48" stroked="false">
                  <v:imagedata r:id="rId331" o:title=""/>
                </v:shape>
                <v:shape style="position:absolute;left:8905;top:428;width:291;height:291" type="#_x0000_t75" id="docshape49" stroked="false">
                  <v:imagedata r:id="rId331" o:title=""/>
                </v:shape>
                <w10:wrap type="none"/>
              </v:group>
            </w:pict>
          </mc:Fallback>
        </mc:AlternateContent>
      </w:r>
      <w:r>
        <w:rPr>
          <w:rFonts w:ascii="Calibri"/>
          <w:sz w:val="18"/>
        </w:rPr>
        <w:t>Dec</w:t>
      </w:r>
      <w:r>
        <w:rPr>
          <w:rFonts w:ascii="Calibri"/>
          <w:spacing w:val="-1"/>
          <w:sz w:val="18"/>
        </w:rPr>
        <w:t> </w:t>
      </w:r>
      <w:r>
        <w:rPr>
          <w:rFonts w:ascii="Calibri"/>
          <w:sz w:val="18"/>
        </w:rPr>
        <w:t>31,</w:t>
      </w:r>
      <w:r>
        <w:rPr>
          <w:rFonts w:ascii="Calibri"/>
          <w:spacing w:val="-1"/>
          <w:sz w:val="18"/>
        </w:rPr>
        <w:t> </w:t>
      </w:r>
      <w:r>
        <w:rPr>
          <w:rFonts w:ascii="Calibri"/>
          <w:spacing w:val="-4"/>
          <w:sz w:val="18"/>
        </w:rPr>
        <w:t>2020</w:t>
      </w:r>
    </w:p>
    <w:p>
      <w:pPr>
        <w:spacing w:line="216" w:lineRule="auto" w:before="81"/>
        <w:ind w:left="1444" w:right="2192" w:firstLine="3"/>
        <w:jc w:val="center"/>
        <w:rPr>
          <w:rFonts w:ascii="Calibri"/>
          <w:sz w:val="18"/>
        </w:rPr>
      </w:pPr>
      <w:r>
        <w:rPr/>
        <w:br w:type="column"/>
      </w:r>
      <w:r>
        <w:rPr>
          <w:rFonts w:ascii="Calibri"/>
          <w:spacing w:val="-2"/>
          <w:sz w:val="18"/>
        </w:rPr>
        <w:t>Summative</w:t>
      </w:r>
      <w:r>
        <w:rPr>
          <w:rFonts w:ascii="Calibri"/>
          <w:sz w:val="18"/>
        </w:rPr>
        <w:t> Evaluation</w:t>
      </w:r>
      <w:r>
        <w:rPr>
          <w:rFonts w:ascii="Calibri"/>
          <w:spacing w:val="-11"/>
          <w:sz w:val="18"/>
        </w:rPr>
        <w:t> </w:t>
      </w:r>
      <w:r>
        <w:rPr>
          <w:rFonts w:ascii="Calibri"/>
          <w:sz w:val="18"/>
        </w:rPr>
        <w:t>Report (data</w:t>
      </w:r>
      <w:r>
        <w:rPr>
          <w:rFonts w:ascii="Calibri"/>
          <w:spacing w:val="-11"/>
          <w:sz w:val="18"/>
        </w:rPr>
        <w:t> </w:t>
      </w:r>
      <w:r>
        <w:rPr>
          <w:rFonts w:ascii="Calibri"/>
          <w:sz w:val="18"/>
        </w:rPr>
        <w:t>from</w:t>
      </w:r>
      <w:r>
        <w:rPr>
          <w:rFonts w:ascii="Calibri"/>
          <w:spacing w:val="-10"/>
          <w:sz w:val="18"/>
        </w:rPr>
        <w:t> </w:t>
      </w:r>
      <w:r>
        <w:rPr>
          <w:rFonts w:ascii="Calibri"/>
          <w:sz w:val="18"/>
        </w:rPr>
        <w:t>DY1-5) June 30, 2023</w:t>
      </w:r>
    </w:p>
    <w:p>
      <w:pPr>
        <w:spacing w:after="0" w:line="216" w:lineRule="auto"/>
        <w:jc w:val="center"/>
        <w:rPr>
          <w:rFonts w:ascii="Calibri"/>
          <w:sz w:val="18"/>
        </w:rPr>
        <w:sectPr>
          <w:type w:val="continuous"/>
          <w:pgSz w:w="12240" w:h="15840"/>
          <w:pgMar w:header="0" w:footer="1223" w:top="320" w:bottom="280" w:left="220" w:right="340"/>
          <w:cols w:num="3" w:equalWidth="0">
            <w:col w:w="2661" w:space="652"/>
            <w:col w:w="2832" w:space="583"/>
            <w:col w:w="4952"/>
          </w:cols>
        </w:sectPr>
      </w:pPr>
    </w:p>
    <w:p>
      <w:pPr>
        <w:pStyle w:val="BodyText"/>
        <w:rPr>
          <w:rFonts w:ascii="Calibri"/>
          <w:sz w:val="20"/>
        </w:rPr>
      </w:pPr>
    </w:p>
    <w:p>
      <w:pPr>
        <w:pStyle w:val="BodyText"/>
        <w:rPr>
          <w:rFonts w:ascii="Calibri"/>
          <w:sz w:val="20"/>
        </w:rPr>
      </w:pPr>
    </w:p>
    <w:p>
      <w:pPr>
        <w:spacing w:after="0"/>
        <w:rPr>
          <w:rFonts w:ascii="Calibri"/>
          <w:sz w:val="20"/>
        </w:rPr>
        <w:sectPr>
          <w:type w:val="continuous"/>
          <w:pgSz w:w="12240" w:h="15840"/>
          <w:pgMar w:header="0" w:footer="1223" w:top="320" w:bottom="280" w:left="220" w:right="340"/>
        </w:sectPr>
      </w:pPr>
    </w:p>
    <w:p>
      <w:pPr>
        <w:pStyle w:val="BodyText"/>
        <w:spacing w:before="3"/>
        <w:rPr>
          <w:rFonts w:ascii="Calibri"/>
          <w:sz w:val="20"/>
        </w:rPr>
      </w:pPr>
    </w:p>
    <w:p>
      <w:pPr>
        <w:spacing w:line="218" w:lineRule="auto" w:before="0"/>
        <w:ind w:left="3487" w:right="-9" w:hanging="348"/>
        <w:jc w:val="left"/>
        <w:rPr>
          <w:rFonts w:ascii="Calibri"/>
          <w:sz w:val="18"/>
        </w:rPr>
      </w:pPr>
      <w:r>
        <w:rPr>
          <w:rFonts w:ascii="Calibri"/>
          <w:sz w:val="18"/>
        </w:rPr>
        <w:t>Draft</w:t>
      </w:r>
      <w:r>
        <w:rPr>
          <w:rFonts w:ascii="Calibri"/>
          <w:spacing w:val="-11"/>
          <w:sz w:val="18"/>
        </w:rPr>
        <w:t> </w:t>
      </w:r>
      <w:r>
        <w:rPr>
          <w:rFonts w:ascii="Calibri"/>
          <w:sz w:val="18"/>
        </w:rPr>
        <w:t>Evaluation </w:t>
      </w:r>
      <w:r>
        <w:rPr>
          <w:rFonts w:ascii="Calibri"/>
          <w:spacing w:val="-2"/>
          <w:sz w:val="18"/>
        </w:rPr>
        <w:t>Design</w:t>
      </w:r>
    </w:p>
    <w:p>
      <w:pPr>
        <w:spacing w:line="200" w:lineRule="exact" w:before="0"/>
        <w:ind w:left="3225" w:right="0" w:firstLine="0"/>
        <w:jc w:val="left"/>
        <w:rPr>
          <w:rFonts w:ascii="Calibri"/>
          <w:sz w:val="18"/>
        </w:rPr>
      </w:pPr>
      <w:r>
        <w:rPr>
          <w:rFonts w:ascii="Calibri"/>
          <w:sz w:val="18"/>
        </w:rPr>
        <w:t>June</w:t>
      </w:r>
      <w:r>
        <w:rPr>
          <w:rFonts w:ascii="Calibri"/>
          <w:spacing w:val="-1"/>
          <w:sz w:val="18"/>
        </w:rPr>
        <w:t> </w:t>
      </w:r>
      <w:r>
        <w:rPr>
          <w:rFonts w:ascii="Calibri"/>
          <w:sz w:val="18"/>
        </w:rPr>
        <w:t>30, </w:t>
      </w:r>
      <w:r>
        <w:rPr>
          <w:rFonts w:ascii="Calibri"/>
          <w:spacing w:val="-4"/>
          <w:sz w:val="18"/>
        </w:rPr>
        <w:t>2017</w:t>
      </w:r>
    </w:p>
    <w:p>
      <w:pPr>
        <w:spacing w:line="240" w:lineRule="auto" w:before="3"/>
        <w:rPr>
          <w:rFonts w:ascii="Calibri"/>
          <w:sz w:val="20"/>
        </w:rPr>
      </w:pPr>
      <w:r>
        <w:rPr/>
        <w:br w:type="column"/>
      </w:r>
      <w:r>
        <w:rPr>
          <w:rFonts w:ascii="Calibri"/>
          <w:sz w:val="20"/>
        </w:rPr>
      </w:r>
    </w:p>
    <w:p>
      <w:pPr>
        <w:spacing w:line="218" w:lineRule="auto" w:before="0"/>
        <w:ind w:left="2357" w:right="3767" w:hanging="185"/>
        <w:jc w:val="left"/>
        <w:rPr>
          <w:rFonts w:ascii="Calibri"/>
          <w:sz w:val="18"/>
        </w:rPr>
      </w:pPr>
      <w:r>
        <w:rPr>
          <w:rFonts w:ascii="Calibri"/>
          <w:spacing w:val="-2"/>
          <w:sz w:val="18"/>
        </w:rPr>
        <w:t>Demo</w:t>
      </w:r>
      <w:r>
        <w:rPr>
          <w:rFonts w:ascii="Calibri"/>
          <w:spacing w:val="-9"/>
          <w:sz w:val="18"/>
        </w:rPr>
        <w:t> </w:t>
      </w:r>
      <w:r>
        <w:rPr>
          <w:rFonts w:ascii="Calibri"/>
          <w:spacing w:val="-2"/>
          <w:sz w:val="18"/>
        </w:rPr>
        <w:t>extension</w:t>
      </w:r>
      <w:r>
        <w:rPr>
          <w:rFonts w:ascii="Calibri"/>
          <w:sz w:val="18"/>
        </w:rPr>
        <w:t> Jan 1, 2022</w:t>
      </w:r>
    </w:p>
    <w:p>
      <w:pPr>
        <w:spacing w:after="0" w:line="218" w:lineRule="auto"/>
        <w:jc w:val="left"/>
        <w:rPr>
          <w:rFonts w:ascii="Calibri"/>
          <w:sz w:val="18"/>
        </w:rPr>
        <w:sectPr>
          <w:type w:val="continuous"/>
          <w:pgSz w:w="12240" w:h="15840"/>
          <w:pgMar w:header="0" w:footer="1223" w:top="320" w:bottom="280" w:left="220" w:right="340"/>
          <w:cols w:num="2" w:equalWidth="0">
            <w:col w:w="4324" w:space="40"/>
            <w:col w:w="7316"/>
          </w:cols>
        </w:sectPr>
      </w:pPr>
    </w:p>
    <w:p>
      <w:pPr>
        <w:pStyle w:val="BodyText"/>
        <w:spacing w:before="2"/>
        <w:rPr>
          <w:rFonts w:ascii="Calibri"/>
        </w:rPr>
      </w:pPr>
    </w:p>
    <w:p>
      <w:pPr>
        <w:pStyle w:val="Heading5"/>
        <w:spacing w:before="90"/>
        <w:ind w:left="1220"/>
      </w:pPr>
      <w:bookmarkStart w:name="Expectations for Evaluation Designs" w:id="1132"/>
      <w:bookmarkEnd w:id="1132"/>
      <w:r>
        <w:rPr>
          <w:b w:val="0"/>
        </w:rPr>
      </w:r>
      <w:r>
        <w:rPr/>
        <w:t>Expectations</w:t>
      </w:r>
      <w:r>
        <w:rPr>
          <w:spacing w:val="-4"/>
        </w:rPr>
        <w:t> </w:t>
      </w:r>
      <w:r>
        <w:rPr/>
        <w:t>for</w:t>
      </w:r>
      <w:r>
        <w:rPr>
          <w:spacing w:val="-3"/>
        </w:rPr>
        <w:t> </w:t>
      </w:r>
      <w:r>
        <w:rPr/>
        <w:t>Evaluation</w:t>
      </w:r>
      <w:r>
        <w:rPr>
          <w:spacing w:val="-3"/>
        </w:rPr>
        <w:t> </w:t>
      </w:r>
      <w:r>
        <w:rPr>
          <w:spacing w:val="-2"/>
        </w:rPr>
        <w:t>Designs</w:t>
      </w:r>
    </w:p>
    <w:p>
      <w:pPr>
        <w:pStyle w:val="BodyText"/>
        <w:ind w:left="1220" w:right="1122"/>
      </w:pPr>
      <w:bookmarkStart w:name="CMS expects Evaluation Designs to be rig" w:id="1133"/>
      <w:bookmarkEnd w:id="1133"/>
      <w:r>
        <w:rPr/>
      </w:r>
      <w:r>
        <w:rPr/>
        <w:t>CMS expects Evaluation Designs to be rigorous, incorporate baseline and comparison group assessments, as well as statistical significance testing.</w:t>
      </w:r>
      <w:r>
        <w:rPr>
          <w:spacing w:val="40"/>
        </w:rPr>
        <w:t> </w:t>
      </w:r>
      <w:r>
        <w:rPr/>
        <w:t>Technical assistance resources for constructing</w:t>
      </w:r>
      <w:r>
        <w:rPr>
          <w:spacing w:val="-5"/>
        </w:rPr>
        <w:t> </w:t>
      </w:r>
      <w:r>
        <w:rPr/>
        <w:t>comparison</w:t>
      </w:r>
      <w:r>
        <w:rPr>
          <w:spacing w:val="-3"/>
        </w:rPr>
        <w:t> </w:t>
      </w:r>
      <w:r>
        <w:rPr/>
        <w:t>groups</w:t>
      </w:r>
      <w:r>
        <w:rPr>
          <w:spacing w:val="-3"/>
        </w:rPr>
        <w:t> </w:t>
      </w:r>
      <w:r>
        <w:rPr/>
        <w:t>and</w:t>
      </w:r>
      <w:r>
        <w:rPr>
          <w:spacing w:val="-5"/>
        </w:rPr>
        <w:t> </w:t>
      </w:r>
      <w:r>
        <w:rPr/>
        <w:t>identifying</w:t>
      </w:r>
      <w:r>
        <w:rPr>
          <w:spacing w:val="-5"/>
        </w:rPr>
        <w:t> </w:t>
      </w:r>
      <w:r>
        <w:rPr/>
        <w:t>causal</w:t>
      </w:r>
      <w:r>
        <w:rPr>
          <w:spacing w:val="-5"/>
        </w:rPr>
        <w:t> </w:t>
      </w:r>
      <w:r>
        <w:rPr/>
        <w:t>inferences</w:t>
      </w:r>
      <w:r>
        <w:rPr>
          <w:spacing w:val="-5"/>
        </w:rPr>
        <w:t> </w:t>
      </w:r>
      <w:r>
        <w:rPr/>
        <w:t>are</w:t>
      </w:r>
      <w:r>
        <w:rPr>
          <w:spacing w:val="-6"/>
        </w:rPr>
        <w:t> </w:t>
      </w:r>
      <w:r>
        <w:rPr/>
        <w:t>available</w:t>
      </w:r>
      <w:r>
        <w:rPr>
          <w:spacing w:val="-6"/>
        </w:rPr>
        <w:t> </w:t>
      </w:r>
      <w:r>
        <w:rPr/>
        <w:t>on</w:t>
      </w:r>
      <w:r>
        <w:rPr>
          <w:spacing w:val="-5"/>
        </w:rPr>
        <w:t> </w:t>
      </w:r>
      <w:r>
        <w:rPr/>
        <w:t>Medicaid.gov: </w:t>
      </w:r>
      <w:hyperlink r:id="rId333">
        <w:r>
          <w:rPr>
            <w:color w:val="1F3863"/>
            <w:spacing w:val="-2"/>
            <w:u w:val="single" w:color="1F3863"/>
          </w:rPr>
          <w:t>https://www.medicaid.gov/medicaid/section-1115-demonstrations/1115-demonstration-</w:t>
        </w:r>
      </w:hyperlink>
      <w:r>
        <w:rPr>
          <w:color w:val="1F3863"/>
          <w:spacing w:val="-2"/>
        </w:rPr>
        <w:t> </w:t>
      </w:r>
      <w:hyperlink r:id="rId333">
        <w:r>
          <w:rPr>
            <w:color w:val="1F3863"/>
            <w:u w:val="single" w:color="1F3863"/>
          </w:rPr>
          <w:t>monitoring-evaluation/1115-demonstration-state-monitoring-evaluation-resources/index.html</w:t>
        </w:r>
      </w:hyperlink>
      <w:r>
        <w:rPr>
          <w:color w:val="1F3863"/>
          <w:u w:val="single" w:color="1F3863"/>
        </w:rPr>
        <w:t>.</w:t>
      </w:r>
      <w:r>
        <w:rPr>
          <w:color w:val="1F3863"/>
          <w:spacing w:val="40"/>
          <w:u w:val="single" w:color="1F3863"/>
        </w:rPr>
        <w:t> </w:t>
      </w:r>
      <w:r>
        <w:rPr>
          <w:color w:val="1F3863"/>
          <w:u w:val="single" w:color="1F3863"/>
        </w:rPr>
        <w:t>If</w:t>
      </w:r>
      <w:r>
        <w:rPr>
          <w:color w:val="1F3863"/>
        </w:rPr>
        <w:t> </w:t>
      </w:r>
      <w:r>
        <w:rPr>
          <w:color w:val="1F3863"/>
          <w:u w:val="single" w:color="1F3863"/>
        </w:rPr>
        <w:t>the state needs technical assistance using this outline or developing the Evaluation Design, the</w:t>
      </w:r>
      <w:r>
        <w:rPr>
          <w:color w:val="1F3863"/>
        </w:rPr>
        <w:t> </w:t>
      </w:r>
      <w:r>
        <w:rPr>
          <w:color w:val="1F3863"/>
          <w:u w:val="single" w:color="1F3863"/>
        </w:rPr>
        <w:t>state should contact its demonstration team.</w:t>
      </w:r>
    </w:p>
    <w:p>
      <w:pPr>
        <w:pStyle w:val="BodyText"/>
        <w:spacing w:before="2"/>
        <w:rPr>
          <w:sz w:val="16"/>
        </w:rPr>
      </w:pPr>
    </w:p>
    <w:p>
      <w:pPr>
        <w:pStyle w:val="BodyText"/>
        <w:spacing w:before="90"/>
        <w:ind w:left="1220" w:right="1111"/>
      </w:pPr>
      <w:bookmarkStart w:name="All states with section 1115 demonstrati" w:id="1134"/>
      <w:bookmarkEnd w:id="1134"/>
      <w:r>
        <w:rPr/>
      </w:r>
      <w:r>
        <w:rPr/>
        <w:t>All states with section 1115 demonstrations are required to conduct Interim and Summative Evaluation</w:t>
      </w:r>
      <w:r>
        <w:rPr>
          <w:spacing w:val="-4"/>
        </w:rPr>
        <w:t> </w:t>
      </w:r>
      <w:r>
        <w:rPr/>
        <w:t>Reports,</w:t>
      </w:r>
      <w:r>
        <w:rPr>
          <w:spacing w:val="-4"/>
        </w:rPr>
        <w:t> </w:t>
      </w:r>
      <w:r>
        <w:rPr/>
        <w:t>and</w:t>
      </w:r>
      <w:r>
        <w:rPr>
          <w:spacing w:val="-4"/>
        </w:rPr>
        <w:t> </w:t>
      </w:r>
      <w:r>
        <w:rPr/>
        <w:t>the</w:t>
      </w:r>
      <w:r>
        <w:rPr>
          <w:spacing w:val="-4"/>
        </w:rPr>
        <w:t> </w:t>
      </w:r>
      <w:r>
        <w:rPr/>
        <w:t>Evaluation</w:t>
      </w:r>
      <w:r>
        <w:rPr>
          <w:spacing w:val="-4"/>
        </w:rPr>
        <w:t> </w:t>
      </w:r>
      <w:r>
        <w:rPr/>
        <w:t>Design</w:t>
      </w:r>
      <w:r>
        <w:rPr>
          <w:spacing w:val="-4"/>
        </w:rPr>
        <w:t> </w:t>
      </w:r>
      <w:r>
        <w:rPr/>
        <w:t>is</w:t>
      </w:r>
      <w:r>
        <w:rPr>
          <w:spacing w:val="-4"/>
        </w:rPr>
        <w:t> </w:t>
      </w:r>
      <w:r>
        <w:rPr/>
        <w:t>the</w:t>
      </w:r>
      <w:r>
        <w:rPr>
          <w:spacing w:val="-4"/>
        </w:rPr>
        <w:t> </w:t>
      </w:r>
      <w:r>
        <w:rPr/>
        <w:t>roadmap</w:t>
      </w:r>
      <w:r>
        <w:rPr>
          <w:spacing w:val="-2"/>
        </w:rPr>
        <w:t> </w:t>
      </w:r>
      <w:r>
        <w:rPr/>
        <w:t>for</w:t>
      </w:r>
      <w:r>
        <w:rPr>
          <w:spacing w:val="-4"/>
        </w:rPr>
        <w:t> </w:t>
      </w:r>
      <w:r>
        <w:rPr/>
        <w:t>conducting</w:t>
      </w:r>
      <w:r>
        <w:rPr>
          <w:spacing w:val="-6"/>
        </w:rPr>
        <w:t> </w:t>
      </w:r>
      <w:r>
        <w:rPr/>
        <w:t>these</w:t>
      </w:r>
      <w:r>
        <w:rPr>
          <w:spacing w:val="-3"/>
        </w:rPr>
        <w:t> </w:t>
      </w:r>
      <w:r>
        <w:rPr/>
        <w:t>evaluations.</w:t>
      </w:r>
    </w:p>
    <w:p>
      <w:pPr>
        <w:spacing w:after="0"/>
        <w:sectPr>
          <w:type w:val="continuous"/>
          <w:pgSz w:w="12240" w:h="15840"/>
          <w:pgMar w:header="0" w:footer="1223" w:top="320" w:bottom="280" w:left="220" w:right="340"/>
        </w:sectPr>
      </w:pPr>
    </w:p>
    <w:p>
      <w:pPr>
        <w:spacing w:before="80"/>
        <w:ind w:left="1220" w:right="0" w:firstLine="0"/>
        <w:jc w:val="left"/>
        <w:rPr>
          <w:sz w:val="20"/>
        </w:rPr>
      </w:pPr>
      <w:r>
        <w:rPr>
          <w:sz w:val="20"/>
        </w:rPr>
        <w:t>Attachment</w:t>
      </w:r>
      <w:r>
        <w:rPr>
          <w:spacing w:val="-12"/>
          <w:sz w:val="20"/>
        </w:rPr>
        <w:t> </w:t>
      </w:r>
      <w:r>
        <w:rPr>
          <w:spacing w:val="-10"/>
          <w:sz w:val="20"/>
        </w:rPr>
        <w:t>A</w:t>
      </w:r>
    </w:p>
    <w:p>
      <w:pPr>
        <w:pStyle w:val="BodyText"/>
        <w:rPr>
          <w:sz w:val="20"/>
        </w:rPr>
      </w:pPr>
    </w:p>
    <w:p>
      <w:pPr>
        <w:pStyle w:val="BodyText"/>
        <w:spacing w:before="6"/>
        <w:rPr>
          <w:sz w:val="22"/>
        </w:rPr>
      </w:pPr>
    </w:p>
    <w:p>
      <w:pPr>
        <w:pStyle w:val="BodyText"/>
        <w:ind w:left="1220" w:right="1111"/>
      </w:pPr>
      <w:r>
        <w:rPr/>
        <w:t>The roadmap begins with the stated goals for the demonstration, followed by the measurable evaluation questions and quantifiable hypotheses, all to support a determination of the extent to which the demonstration has achieved its goals.</w:t>
      </w:r>
      <w:r>
        <w:rPr>
          <w:spacing w:val="40"/>
        </w:rPr>
        <w:t> </w:t>
      </w:r>
      <w:r>
        <w:rPr/>
        <w:t>When conducting analyses and developing</w:t>
      </w:r>
      <w:r>
        <w:rPr>
          <w:spacing w:val="-1"/>
        </w:rPr>
        <w:t> </w:t>
      </w:r>
      <w:r>
        <w:rPr/>
        <w:t>the evaluation</w:t>
      </w:r>
      <w:r>
        <w:rPr>
          <w:spacing w:val="-3"/>
        </w:rPr>
        <w:t> </w:t>
      </w:r>
      <w:r>
        <w:rPr/>
        <w:t>reports,</w:t>
      </w:r>
      <w:r>
        <w:rPr>
          <w:spacing w:val="-3"/>
        </w:rPr>
        <w:t> </w:t>
      </w:r>
      <w:r>
        <w:rPr/>
        <w:t>every</w:t>
      </w:r>
      <w:r>
        <w:rPr>
          <w:spacing w:val="-6"/>
        </w:rPr>
        <w:t> </w:t>
      </w:r>
      <w:r>
        <w:rPr/>
        <w:t>effort</w:t>
      </w:r>
      <w:r>
        <w:rPr>
          <w:spacing w:val="-3"/>
        </w:rPr>
        <w:t> </w:t>
      </w:r>
      <w:r>
        <w:rPr/>
        <w:t>should</w:t>
      </w:r>
      <w:r>
        <w:rPr>
          <w:spacing w:val="-3"/>
        </w:rPr>
        <w:t> </w:t>
      </w:r>
      <w:r>
        <w:rPr/>
        <w:t>be</w:t>
      </w:r>
      <w:r>
        <w:rPr>
          <w:spacing w:val="-4"/>
        </w:rPr>
        <w:t> </w:t>
      </w:r>
      <w:r>
        <w:rPr/>
        <w:t>made</w:t>
      </w:r>
      <w:r>
        <w:rPr>
          <w:spacing w:val="-4"/>
        </w:rPr>
        <w:t> </w:t>
      </w:r>
      <w:r>
        <w:rPr/>
        <w:t>to</w:t>
      </w:r>
      <w:r>
        <w:rPr>
          <w:spacing w:val="-1"/>
        </w:rPr>
        <w:t> </w:t>
      </w:r>
      <w:r>
        <w:rPr/>
        <w:t>follow</w:t>
      </w:r>
      <w:r>
        <w:rPr>
          <w:spacing w:val="-4"/>
        </w:rPr>
        <w:t> </w:t>
      </w:r>
      <w:r>
        <w:rPr/>
        <w:t>the</w:t>
      </w:r>
      <w:r>
        <w:rPr>
          <w:spacing w:val="-4"/>
        </w:rPr>
        <w:t> </w:t>
      </w:r>
      <w:r>
        <w:rPr/>
        <w:t>approved</w:t>
      </w:r>
      <w:r>
        <w:rPr>
          <w:spacing w:val="-3"/>
        </w:rPr>
        <w:t> </w:t>
      </w:r>
      <w:r>
        <w:rPr/>
        <w:t>methodology.</w:t>
      </w:r>
      <w:r>
        <w:rPr>
          <w:spacing w:val="40"/>
        </w:rPr>
        <w:t> </w:t>
      </w:r>
      <w:r>
        <w:rPr/>
        <w:t>However, the state may request, and CMS may agree to, changes in the methodology in appropriate </w:t>
      </w:r>
      <w:r>
        <w:rPr>
          <w:spacing w:val="-2"/>
        </w:rPr>
        <w:t>circumstances.</w:t>
      </w:r>
    </w:p>
    <w:p>
      <w:pPr>
        <w:pStyle w:val="BodyText"/>
      </w:pPr>
    </w:p>
    <w:p>
      <w:pPr>
        <w:pStyle w:val="BodyText"/>
        <w:ind w:left="1220"/>
      </w:pPr>
      <w:bookmarkStart w:name="The format for the Evaluation Design is " w:id="1135"/>
      <w:bookmarkEnd w:id="1135"/>
      <w:r>
        <w:rPr/>
      </w:r>
      <w:r>
        <w:rPr/>
        <w:t>The</w:t>
      </w:r>
      <w:r>
        <w:rPr>
          <w:spacing w:val="-5"/>
        </w:rPr>
        <w:t> </w:t>
      </w:r>
      <w:r>
        <w:rPr/>
        <w:t>format</w:t>
      </w:r>
      <w:r>
        <w:rPr>
          <w:spacing w:val="-1"/>
        </w:rPr>
        <w:t> </w:t>
      </w:r>
      <w:r>
        <w:rPr/>
        <w:t>for</w:t>
      </w:r>
      <w:r>
        <w:rPr>
          <w:spacing w:val="-2"/>
        </w:rPr>
        <w:t> </w:t>
      </w:r>
      <w:r>
        <w:rPr/>
        <w:t>the</w:t>
      </w:r>
      <w:r>
        <w:rPr>
          <w:spacing w:val="-2"/>
        </w:rPr>
        <w:t> </w:t>
      </w:r>
      <w:r>
        <w:rPr/>
        <w:t>Evaluation</w:t>
      </w:r>
      <w:r>
        <w:rPr>
          <w:spacing w:val="-2"/>
        </w:rPr>
        <w:t> </w:t>
      </w:r>
      <w:r>
        <w:rPr/>
        <w:t>Design</w:t>
      </w:r>
      <w:r>
        <w:rPr>
          <w:spacing w:val="-1"/>
        </w:rPr>
        <w:t> </w:t>
      </w:r>
      <w:r>
        <w:rPr/>
        <w:t>is</w:t>
      </w:r>
      <w:r>
        <w:rPr>
          <w:spacing w:val="-1"/>
        </w:rPr>
        <w:t> </w:t>
      </w:r>
      <w:r>
        <w:rPr/>
        <w:t>as</w:t>
      </w:r>
      <w:r>
        <w:rPr>
          <w:spacing w:val="1"/>
        </w:rPr>
        <w:t> </w:t>
      </w:r>
      <w:r>
        <w:rPr>
          <w:spacing w:val="-2"/>
        </w:rPr>
        <w:t>follows:</w:t>
      </w:r>
    </w:p>
    <w:p>
      <w:pPr>
        <w:pStyle w:val="ListParagraph"/>
        <w:numPr>
          <w:ilvl w:val="0"/>
          <w:numId w:val="49"/>
        </w:numPr>
        <w:tabs>
          <w:tab w:pos="2299" w:val="left" w:leader="none"/>
        </w:tabs>
        <w:spacing w:line="240" w:lineRule="auto" w:before="0" w:after="0"/>
        <w:ind w:left="2299" w:right="0" w:hanging="359"/>
        <w:jc w:val="left"/>
        <w:rPr>
          <w:sz w:val="24"/>
        </w:rPr>
      </w:pPr>
      <w:r>
        <w:rPr>
          <w:sz w:val="24"/>
        </w:rPr>
        <w:t>General</w:t>
      </w:r>
      <w:r>
        <w:rPr>
          <w:spacing w:val="-4"/>
          <w:sz w:val="24"/>
        </w:rPr>
        <w:t> </w:t>
      </w:r>
      <w:r>
        <w:rPr>
          <w:sz w:val="24"/>
        </w:rPr>
        <w:t>Background</w:t>
      </w:r>
      <w:r>
        <w:rPr>
          <w:spacing w:val="1"/>
          <w:sz w:val="24"/>
        </w:rPr>
        <w:t> </w:t>
      </w:r>
      <w:r>
        <w:rPr>
          <w:spacing w:val="-2"/>
          <w:sz w:val="24"/>
        </w:rPr>
        <w:t>Information;</w:t>
      </w:r>
    </w:p>
    <w:p>
      <w:pPr>
        <w:pStyle w:val="ListParagraph"/>
        <w:numPr>
          <w:ilvl w:val="0"/>
          <w:numId w:val="49"/>
        </w:numPr>
        <w:tabs>
          <w:tab w:pos="2299" w:val="left" w:leader="none"/>
        </w:tabs>
        <w:spacing w:line="240" w:lineRule="auto" w:before="0" w:after="0"/>
        <w:ind w:left="2299" w:right="0" w:hanging="359"/>
        <w:jc w:val="left"/>
        <w:rPr>
          <w:sz w:val="24"/>
        </w:rPr>
      </w:pPr>
      <w:r>
        <w:rPr>
          <w:sz w:val="24"/>
        </w:rPr>
        <w:t>Evaluation</w:t>
      </w:r>
      <w:r>
        <w:rPr>
          <w:spacing w:val="-2"/>
          <w:sz w:val="24"/>
        </w:rPr>
        <w:t> </w:t>
      </w:r>
      <w:r>
        <w:rPr>
          <w:sz w:val="24"/>
        </w:rPr>
        <w:t>Questions</w:t>
      </w:r>
      <w:r>
        <w:rPr>
          <w:spacing w:val="-2"/>
          <w:sz w:val="24"/>
        </w:rPr>
        <w:t> </w:t>
      </w:r>
      <w:r>
        <w:rPr>
          <w:sz w:val="24"/>
        </w:rPr>
        <w:t>and</w:t>
      </w:r>
      <w:r>
        <w:rPr>
          <w:spacing w:val="-2"/>
          <w:sz w:val="24"/>
        </w:rPr>
        <w:t> Hypotheses;</w:t>
      </w:r>
    </w:p>
    <w:p>
      <w:pPr>
        <w:pStyle w:val="ListParagraph"/>
        <w:numPr>
          <w:ilvl w:val="0"/>
          <w:numId w:val="49"/>
        </w:numPr>
        <w:tabs>
          <w:tab w:pos="2299" w:val="left" w:leader="none"/>
        </w:tabs>
        <w:spacing w:line="240" w:lineRule="auto" w:before="0" w:after="0"/>
        <w:ind w:left="2299" w:right="0" w:hanging="359"/>
        <w:jc w:val="left"/>
        <w:rPr>
          <w:sz w:val="24"/>
        </w:rPr>
      </w:pPr>
      <w:r>
        <w:rPr>
          <w:spacing w:val="-2"/>
          <w:sz w:val="24"/>
        </w:rPr>
        <w:t>Methodology;</w:t>
      </w:r>
    </w:p>
    <w:p>
      <w:pPr>
        <w:pStyle w:val="ListParagraph"/>
        <w:numPr>
          <w:ilvl w:val="0"/>
          <w:numId w:val="49"/>
        </w:numPr>
        <w:tabs>
          <w:tab w:pos="2299" w:val="left" w:leader="none"/>
        </w:tabs>
        <w:spacing w:line="240" w:lineRule="auto" w:before="0" w:after="0"/>
        <w:ind w:left="2299" w:right="0" w:hanging="359"/>
        <w:jc w:val="left"/>
        <w:rPr>
          <w:sz w:val="24"/>
        </w:rPr>
      </w:pPr>
      <w:r>
        <w:rPr>
          <w:sz w:val="24"/>
        </w:rPr>
        <w:t>Methodological</w:t>
      </w:r>
      <w:r>
        <w:rPr>
          <w:spacing w:val="-4"/>
          <w:sz w:val="24"/>
        </w:rPr>
        <w:t> </w:t>
      </w:r>
      <w:r>
        <w:rPr>
          <w:spacing w:val="-2"/>
          <w:sz w:val="24"/>
        </w:rPr>
        <w:t>Limitations;</w:t>
      </w:r>
    </w:p>
    <w:p>
      <w:pPr>
        <w:pStyle w:val="ListParagraph"/>
        <w:numPr>
          <w:ilvl w:val="0"/>
          <w:numId w:val="49"/>
        </w:numPr>
        <w:tabs>
          <w:tab w:pos="2299" w:val="left" w:leader="none"/>
        </w:tabs>
        <w:spacing w:line="240" w:lineRule="auto" w:before="0" w:after="0"/>
        <w:ind w:left="2299" w:right="0" w:hanging="359"/>
        <w:jc w:val="left"/>
        <w:rPr>
          <w:sz w:val="24"/>
        </w:rPr>
      </w:pPr>
      <w:r>
        <w:rPr>
          <w:spacing w:val="-2"/>
          <w:sz w:val="24"/>
        </w:rPr>
        <w:t>Attachments.</w:t>
      </w:r>
    </w:p>
    <w:p>
      <w:pPr>
        <w:pStyle w:val="BodyText"/>
      </w:pPr>
    </w:p>
    <w:p>
      <w:pPr>
        <w:pStyle w:val="ListParagraph"/>
        <w:numPr>
          <w:ilvl w:val="0"/>
          <w:numId w:val="50"/>
        </w:numPr>
        <w:tabs>
          <w:tab w:pos="1580" w:val="left" w:leader="none"/>
        </w:tabs>
        <w:spacing w:line="240" w:lineRule="auto" w:before="0" w:after="0"/>
        <w:ind w:left="1580" w:right="2111" w:hanging="360"/>
        <w:jc w:val="left"/>
        <w:rPr>
          <w:sz w:val="24"/>
        </w:rPr>
      </w:pPr>
      <w:bookmarkStart w:name="A. General Background Information – In t" w:id="1136"/>
      <w:bookmarkEnd w:id="1136"/>
      <w:r>
        <w:rPr/>
      </w:r>
      <w:r>
        <w:rPr>
          <w:b/>
          <w:sz w:val="24"/>
        </w:rPr>
        <w:t>General</w:t>
      </w:r>
      <w:r>
        <w:rPr>
          <w:b/>
          <w:spacing w:val="-4"/>
          <w:sz w:val="24"/>
        </w:rPr>
        <w:t> </w:t>
      </w:r>
      <w:r>
        <w:rPr>
          <w:b/>
          <w:sz w:val="24"/>
        </w:rPr>
        <w:t>Background</w:t>
      </w:r>
      <w:r>
        <w:rPr>
          <w:b/>
          <w:spacing w:val="-4"/>
          <w:sz w:val="24"/>
        </w:rPr>
        <w:t> </w:t>
      </w:r>
      <w:r>
        <w:rPr>
          <w:b/>
          <w:sz w:val="24"/>
        </w:rPr>
        <w:t>Information</w:t>
      </w:r>
      <w:r>
        <w:rPr>
          <w:b/>
          <w:spacing w:val="-4"/>
          <w:sz w:val="24"/>
        </w:rPr>
        <w:t> </w:t>
      </w:r>
      <w:r>
        <w:rPr>
          <w:sz w:val="24"/>
        </w:rPr>
        <w:t>–</w:t>
      </w:r>
      <w:r>
        <w:rPr>
          <w:spacing w:val="-2"/>
          <w:sz w:val="24"/>
        </w:rPr>
        <w:t> </w:t>
      </w:r>
      <w:r>
        <w:rPr>
          <w:sz w:val="24"/>
        </w:rPr>
        <w:t>In</w:t>
      </w:r>
      <w:r>
        <w:rPr>
          <w:spacing w:val="-4"/>
          <w:sz w:val="24"/>
        </w:rPr>
        <w:t> </w:t>
      </w:r>
      <w:r>
        <w:rPr>
          <w:sz w:val="24"/>
        </w:rPr>
        <w:t>this</w:t>
      </w:r>
      <w:r>
        <w:rPr>
          <w:spacing w:val="-4"/>
          <w:sz w:val="24"/>
        </w:rPr>
        <w:t> </w:t>
      </w:r>
      <w:r>
        <w:rPr>
          <w:sz w:val="24"/>
        </w:rPr>
        <w:t>section,</w:t>
      </w:r>
      <w:r>
        <w:rPr>
          <w:spacing w:val="-4"/>
          <w:sz w:val="24"/>
        </w:rPr>
        <w:t> </w:t>
      </w:r>
      <w:r>
        <w:rPr>
          <w:sz w:val="24"/>
        </w:rPr>
        <w:t>the</w:t>
      </w:r>
      <w:r>
        <w:rPr>
          <w:spacing w:val="-5"/>
          <w:sz w:val="24"/>
        </w:rPr>
        <w:t> </w:t>
      </w:r>
      <w:r>
        <w:rPr>
          <w:sz w:val="24"/>
        </w:rPr>
        <w:t>state</w:t>
      </w:r>
      <w:r>
        <w:rPr>
          <w:spacing w:val="-5"/>
          <w:sz w:val="24"/>
        </w:rPr>
        <w:t> </w:t>
      </w:r>
      <w:r>
        <w:rPr>
          <w:sz w:val="24"/>
        </w:rPr>
        <w:t>should</w:t>
      </w:r>
      <w:r>
        <w:rPr>
          <w:spacing w:val="-4"/>
          <w:sz w:val="24"/>
        </w:rPr>
        <w:t> </w:t>
      </w:r>
      <w:r>
        <w:rPr>
          <w:sz w:val="24"/>
        </w:rPr>
        <w:t>include</w:t>
      </w:r>
      <w:r>
        <w:rPr>
          <w:spacing w:val="-5"/>
          <w:sz w:val="24"/>
        </w:rPr>
        <w:t> </w:t>
      </w:r>
      <w:r>
        <w:rPr>
          <w:sz w:val="24"/>
        </w:rPr>
        <w:t>basic information about the demonstration, such as:</w:t>
      </w:r>
    </w:p>
    <w:p>
      <w:pPr>
        <w:pStyle w:val="ListParagraph"/>
        <w:numPr>
          <w:ilvl w:val="1"/>
          <w:numId w:val="50"/>
        </w:numPr>
        <w:tabs>
          <w:tab w:pos="1940" w:val="left" w:leader="none"/>
        </w:tabs>
        <w:spacing w:line="240" w:lineRule="auto" w:before="60" w:after="0"/>
        <w:ind w:left="1940" w:right="1172" w:hanging="360"/>
        <w:jc w:val="left"/>
        <w:rPr>
          <w:sz w:val="24"/>
        </w:rPr>
      </w:pPr>
      <w:bookmarkStart w:name="1. The issue/s that the state is trying " w:id="1137"/>
      <w:bookmarkEnd w:id="1137"/>
      <w:r>
        <w:rPr/>
      </w:r>
      <w:r>
        <w:rPr>
          <w:sz w:val="24"/>
        </w:rPr>
        <w:t>The issue/s that the state is trying to address with its section 1115 demonstration and/or expenditure</w:t>
      </w:r>
      <w:r>
        <w:rPr>
          <w:spacing w:val="-1"/>
          <w:sz w:val="24"/>
        </w:rPr>
        <w:t> </w:t>
      </w:r>
      <w:r>
        <w:rPr>
          <w:sz w:val="24"/>
        </w:rPr>
        <w:t>authorities, the</w:t>
      </w:r>
      <w:r>
        <w:rPr>
          <w:spacing w:val="-1"/>
          <w:sz w:val="24"/>
        </w:rPr>
        <w:t> </w:t>
      </w:r>
      <w:r>
        <w:rPr>
          <w:sz w:val="24"/>
        </w:rPr>
        <w:t>potential magnitude</w:t>
      </w:r>
      <w:r>
        <w:rPr>
          <w:spacing w:val="-1"/>
          <w:sz w:val="24"/>
        </w:rPr>
        <w:t> </w:t>
      </w:r>
      <w:r>
        <w:rPr>
          <w:sz w:val="24"/>
        </w:rPr>
        <w:t>of</w:t>
      </w:r>
      <w:r>
        <w:rPr>
          <w:spacing w:val="-1"/>
          <w:sz w:val="24"/>
        </w:rPr>
        <w:t> </w:t>
      </w:r>
      <w:r>
        <w:rPr>
          <w:sz w:val="24"/>
        </w:rPr>
        <w:t>the</w:t>
      </w:r>
      <w:r>
        <w:rPr>
          <w:spacing w:val="-1"/>
          <w:sz w:val="24"/>
        </w:rPr>
        <w:t> </w:t>
      </w:r>
      <w:r>
        <w:rPr>
          <w:sz w:val="24"/>
        </w:rPr>
        <w:t>issue/s, and why</w:t>
      </w:r>
      <w:r>
        <w:rPr>
          <w:spacing w:val="-5"/>
          <w:sz w:val="24"/>
        </w:rPr>
        <w:t> </w:t>
      </w:r>
      <w:r>
        <w:rPr>
          <w:sz w:val="24"/>
        </w:rPr>
        <w:t>the state</w:t>
      </w:r>
      <w:r>
        <w:rPr>
          <w:spacing w:val="-1"/>
          <w:sz w:val="24"/>
        </w:rPr>
        <w:t> </w:t>
      </w:r>
      <w:r>
        <w:rPr>
          <w:sz w:val="24"/>
        </w:rPr>
        <w:t>selected this</w:t>
      </w:r>
      <w:r>
        <w:rPr>
          <w:spacing w:val="-2"/>
          <w:sz w:val="24"/>
        </w:rPr>
        <w:t> </w:t>
      </w:r>
      <w:r>
        <w:rPr>
          <w:sz w:val="24"/>
        </w:rPr>
        <w:t>course</w:t>
      </w:r>
      <w:r>
        <w:rPr>
          <w:spacing w:val="-3"/>
          <w:sz w:val="24"/>
        </w:rPr>
        <w:t> </w:t>
      </w:r>
      <w:r>
        <w:rPr>
          <w:sz w:val="24"/>
        </w:rPr>
        <w:t>of</w:t>
      </w:r>
      <w:r>
        <w:rPr>
          <w:spacing w:val="-3"/>
          <w:sz w:val="24"/>
        </w:rPr>
        <w:t> </w:t>
      </w:r>
      <w:r>
        <w:rPr>
          <w:sz w:val="24"/>
        </w:rPr>
        <w:t>action</w:t>
      </w:r>
      <w:r>
        <w:rPr>
          <w:spacing w:val="-2"/>
          <w:sz w:val="24"/>
        </w:rPr>
        <w:t> </w:t>
      </w:r>
      <w:r>
        <w:rPr>
          <w:sz w:val="24"/>
        </w:rPr>
        <w:t>to</w:t>
      </w:r>
      <w:r>
        <w:rPr>
          <w:spacing w:val="-2"/>
          <w:sz w:val="24"/>
        </w:rPr>
        <w:t> </w:t>
      </w:r>
      <w:r>
        <w:rPr>
          <w:sz w:val="24"/>
        </w:rPr>
        <w:t>address</w:t>
      </w:r>
      <w:r>
        <w:rPr>
          <w:spacing w:val="-2"/>
          <w:sz w:val="24"/>
        </w:rPr>
        <w:t> </w:t>
      </w:r>
      <w:r>
        <w:rPr>
          <w:sz w:val="24"/>
        </w:rPr>
        <w:t>the</w:t>
      </w:r>
      <w:r>
        <w:rPr>
          <w:spacing w:val="-3"/>
          <w:sz w:val="24"/>
        </w:rPr>
        <w:t> </w:t>
      </w:r>
      <w:r>
        <w:rPr>
          <w:sz w:val="24"/>
        </w:rPr>
        <w:t>issue/s</w:t>
      </w:r>
      <w:r>
        <w:rPr>
          <w:spacing w:val="-2"/>
          <w:sz w:val="24"/>
        </w:rPr>
        <w:t> </w:t>
      </w:r>
      <w:r>
        <w:rPr>
          <w:sz w:val="24"/>
        </w:rPr>
        <w:t>(e.g., a</w:t>
      </w:r>
      <w:r>
        <w:rPr>
          <w:spacing w:val="-1"/>
          <w:sz w:val="24"/>
        </w:rPr>
        <w:t> </w:t>
      </w:r>
      <w:r>
        <w:rPr>
          <w:sz w:val="24"/>
        </w:rPr>
        <w:t>narrative</w:t>
      </w:r>
      <w:r>
        <w:rPr>
          <w:spacing w:val="-3"/>
          <w:sz w:val="24"/>
        </w:rPr>
        <w:t> </w:t>
      </w:r>
      <w:r>
        <w:rPr>
          <w:sz w:val="24"/>
        </w:rPr>
        <w:t>on why</w:t>
      </w:r>
      <w:r>
        <w:rPr>
          <w:spacing w:val="-7"/>
          <w:sz w:val="24"/>
        </w:rPr>
        <w:t> </w:t>
      </w:r>
      <w:r>
        <w:rPr>
          <w:sz w:val="24"/>
        </w:rPr>
        <w:t>the</w:t>
      </w:r>
      <w:r>
        <w:rPr>
          <w:spacing w:val="-3"/>
          <w:sz w:val="24"/>
        </w:rPr>
        <w:t> </w:t>
      </w:r>
      <w:r>
        <w:rPr>
          <w:sz w:val="24"/>
        </w:rPr>
        <w:t>state</w:t>
      </w:r>
      <w:r>
        <w:rPr>
          <w:spacing w:val="-3"/>
          <w:sz w:val="24"/>
        </w:rPr>
        <w:t> </w:t>
      </w:r>
      <w:r>
        <w:rPr>
          <w:sz w:val="24"/>
        </w:rPr>
        <w:t>submitted</w:t>
      </w:r>
      <w:r>
        <w:rPr>
          <w:spacing w:val="-2"/>
          <w:sz w:val="24"/>
        </w:rPr>
        <w:t> </w:t>
      </w:r>
      <w:r>
        <w:rPr>
          <w:sz w:val="24"/>
        </w:rPr>
        <w:t>an 1115 demonstration proposal).</w:t>
      </w:r>
    </w:p>
    <w:p>
      <w:pPr>
        <w:pStyle w:val="ListParagraph"/>
        <w:numPr>
          <w:ilvl w:val="1"/>
          <w:numId w:val="50"/>
        </w:numPr>
        <w:tabs>
          <w:tab w:pos="1940" w:val="left" w:leader="none"/>
        </w:tabs>
        <w:spacing w:line="240" w:lineRule="auto" w:before="60" w:after="0"/>
        <w:ind w:left="1940" w:right="1387" w:hanging="360"/>
        <w:jc w:val="left"/>
        <w:rPr>
          <w:sz w:val="24"/>
        </w:rPr>
      </w:pPr>
      <w:bookmarkStart w:name="2. The name of the demonstration, approv" w:id="1138"/>
      <w:bookmarkEnd w:id="1138"/>
      <w:r>
        <w:rPr/>
      </w:r>
      <w:r>
        <w:rPr>
          <w:sz w:val="24"/>
        </w:rPr>
        <w:t>The</w:t>
      </w:r>
      <w:r>
        <w:rPr>
          <w:spacing w:val="-4"/>
          <w:sz w:val="24"/>
        </w:rPr>
        <w:t> </w:t>
      </w:r>
      <w:r>
        <w:rPr>
          <w:sz w:val="24"/>
        </w:rPr>
        <w:t>name</w:t>
      </w:r>
      <w:r>
        <w:rPr>
          <w:spacing w:val="-4"/>
          <w:sz w:val="24"/>
        </w:rPr>
        <w:t> </w:t>
      </w:r>
      <w:r>
        <w:rPr>
          <w:sz w:val="24"/>
        </w:rPr>
        <w:t>of</w:t>
      </w:r>
      <w:r>
        <w:rPr>
          <w:spacing w:val="-4"/>
          <w:sz w:val="24"/>
        </w:rPr>
        <w:t> </w:t>
      </w:r>
      <w:r>
        <w:rPr>
          <w:sz w:val="24"/>
        </w:rPr>
        <w:t>the</w:t>
      </w:r>
      <w:r>
        <w:rPr>
          <w:spacing w:val="-4"/>
          <w:sz w:val="24"/>
        </w:rPr>
        <w:t> </w:t>
      </w:r>
      <w:r>
        <w:rPr>
          <w:sz w:val="24"/>
        </w:rPr>
        <w:t>demonstration,</w:t>
      </w:r>
      <w:r>
        <w:rPr>
          <w:spacing w:val="-3"/>
          <w:sz w:val="24"/>
        </w:rPr>
        <w:t> </w:t>
      </w:r>
      <w:r>
        <w:rPr>
          <w:sz w:val="24"/>
        </w:rPr>
        <w:t>approval</w:t>
      </w:r>
      <w:r>
        <w:rPr>
          <w:spacing w:val="-3"/>
          <w:sz w:val="24"/>
        </w:rPr>
        <w:t> </w:t>
      </w:r>
      <w:r>
        <w:rPr>
          <w:sz w:val="24"/>
        </w:rPr>
        <w:t>date</w:t>
      </w:r>
      <w:r>
        <w:rPr>
          <w:spacing w:val="-4"/>
          <w:sz w:val="24"/>
        </w:rPr>
        <w:t> </w:t>
      </w:r>
      <w:r>
        <w:rPr>
          <w:sz w:val="24"/>
        </w:rPr>
        <w:t>of</w:t>
      </w:r>
      <w:r>
        <w:rPr>
          <w:spacing w:val="-4"/>
          <w:sz w:val="24"/>
        </w:rPr>
        <w:t> </w:t>
      </w:r>
      <w:r>
        <w:rPr>
          <w:sz w:val="24"/>
        </w:rPr>
        <w:t>the</w:t>
      </w:r>
      <w:r>
        <w:rPr>
          <w:spacing w:val="-4"/>
          <w:sz w:val="24"/>
        </w:rPr>
        <w:t> </w:t>
      </w:r>
      <w:r>
        <w:rPr>
          <w:sz w:val="24"/>
        </w:rPr>
        <w:t>demonstration,</w:t>
      </w:r>
      <w:r>
        <w:rPr>
          <w:spacing w:val="-3"/>
          <w:sz w:val="24"/>
        </w:rPr>
        <w:t> </w:t>
      </w:r>
      <w:r>
        <w:rPr>
          <w:sz w:val="24"/>
        </w:rPr>
        <w:t>and</w:t>
      </w:r>
      <w:r>
        <w:rPr>
          <w:spacing w:val="-3"/>
          <w:sz w:val="24"/>
        </w:rPr>
        <w:t> </w:t>
      </w:r>
      <w:r>
        <w:rPr>
          <w:sz w:val="24"/>
        </w:rPr>
        <w:t>period</w:t>
      </w:r>
      <w:r>
        <w:rPr>
          <w:spacing w:val="-3"/>
          <w:sz w:val="24"/>
        </w:rPr>
        <w:t> </w:t>
      </w:r>
      <w:r>
        <w:rPr>
          <w:sz w:val="24"/>
        </w:rPr>
        <w:t>of</w:t>
      </w:r>
      <w:r>
        <w:rPr>
          <w:spacing w:val="-4"/>
          <w:sz w:val="24"/>
        </w:rPr>
        <w:t> </w:t>
      </w:r>
      <w:r>
        <w:rPr>
          <w:sz w:val="24"/>
        </w:rPr>
        <w:t>time covered by the evaluation.</w:t>
      </w:r>
    </w:p>
    <w:p>
      <w:pPr>
        <w:pStyle w:val="ListParagraph"/>
        <w:numPr>
          <w:ilvl w:val="1"/>
          <w:numId w:val="50"/>
        </w:numPr>
        <w:tabs>
          <w:tab w:pos="1940" w:val="left" w:leader="none"/>
        </w:tabs>
        <w:spacing w:line="240" w:lineRule="auto" w:before="60" w:after="0"/>
        <w:ind w:left="1940" w:right="0" w:hanging="360"/>
        <w:jc w:val="left"/>
        <w:rPr>
          <w:sz w:val="24"/>
        </w:rPr>
      </w:pPr>
      <w:bookmarkStart w:name="3. A description of the population group" w:id="1139"/>
      <w:bookmarkEnd w:id="1139"/>
      <w:r>
        <w:rPr/>
      </w:r>
      <w:r>
        <w:rPr>
          <w:sz w:val="24"/>
        </w:rPr>
        <w:t>A</w:t>
      </w:r>
      <w:r>
        <w:rPr>
          <w:spacing w:val="-4"/>
          <w:sz w:val="24"/>
        </w:rPr>
        <w:t> </w:t>
      </w:r>
      <w:r>
        <w:rPr>
          <w:sz w:val="24"/>
        </w:rPr>
        <w:t>description</w:t>
      </w:r>
      <w:r>
        <w:rPr>
          <w:spacing w:val="-1"/>
          <w:sz w:val="24"/>
        </w:rPr>
        <w:t> </w:t>
      </w:r>
      <w:r>
        <w:rPr>
          <w:sz w:val="24"/>
        </w:rPr>
        <w:t>of</w:t>
      </w:r>
      <w:r>
        <w:rPr>
          <w:spacing w:val="-2"/>
          <w:sz w:val="24"/>
        </w:rPr>
        <w:t> </w:t>
      </w:r>
      <w:r>
        <w:rPr>
          <w:sz w:val="24"/>
        </w:rPr>
        <w:t>the</w:t>
      </w:r>
      <w:r>
        <w:rPr>
          <w:spacing w:val="-2"/>
          <w:sz w:val="24"/>
        </w:rPr>
        <w:t> </w:t>
      </w:r>
      <w:r>
        <w:rPr>
          <w:sz w:val="24"/>
        </w:rPr>
        <w:t>population</w:t>
      </w:r>
      <w:r>
        <w:rPr>
          <w:spacing w:val="-1"/>
          <w:sz w:val="24"/>
        </w:rPr>
        <w:t> </w:t>
      </w:r>
      <w:r>
        <w:rPr>
          <w:sz w:val="24"/>
        </w:rPr>
        <w:t>groups</w:t>
      </w:r>
      <w:r>
        <w:rPr>
          <w:spacing w:val="-1"/>
          <w:sz w:val="24"/>
        </w:rPr>
        <w:t> </w:t>
      </w:r>
      <w:r>
        <w:rPr>
          <w:sz w:val="24"/>
        </w:rPr>
        <w:t>impacted</w:t>
      </w:r>
      <w:r>
        <w:rPr>
          <w:spacing w:val="-1"/>
          <w:sz w:val="24"/>
        </w:rPr>
        <w:t> </w:t>
      </w:r>
      <w:r>
        <w:rPr>
          <w:sz w:val="24"/>
        </w:rPr>
        <w:t>by</w:t>
      </w:r>
      <w:r>
        <w:rPr>
          <w:spacing w:val="-4"/>
          <w:sz w:val="24"/>
        </w:rPr>
        <w:t> </w:t>
      </w:r>
      <w:r>
        <w:rPr>
          <w:sz w:val="24"/>
        </w:rPr>
        <w:t>the</w:t>
      </w:r>
      <w:r>
        <w:rPr>
          <w:spacing w:val="-1"/>
          <w:sz w:val="24"/>
        </w:rPr>
        <w:t> </w:t>
      </w:r>
      <w:r>
        <w:rPr>
          <w:spacing w:val="-2"/>
          <w:sz w:val="24"/>
        </w:rPr>
        <w:t>demonstration.</w:t>
      </w:r>
    </w:p>
    <w:p>
      <w:pPr>
        <w:pStyle w:val="ListParagraph"/>
        <w:numPr>
          <w:ilvl w:val="1"/>
          <w:numId w:val="50"/>
        </w:numPr>
        <w:tabs>
          <w:tab w:pos="1940" w:val="left" w:leader="none"/>
        </w:tabs>
        <w:spacing w:line="240" w:lineRule="auto" w:before="60" w:after="0"/>
        <w:ind w:left="1940" w:right="981" w:hanging="360"/>
        <w:jc w:val="both"/>
        <w:rPr>
          <w:sz w:val="24"/>
        </w:rPr>
      </w:pPr>
      <w:bookmarkStart w:name="4. A brief description of the demonstrat" w:id="1140"/>
      <w:bookmarkEnd w:id="1140"/>
      <w:r>
        <w:rPr/>
      </w:r>
      <w:r>
        <w:rPr>
          <w:sz w:val="24"/>
        </w:rPr>
        <w:t>A</w:t>
      </w:r>
      <w:r>
        <w:rPr>
          <w:spacing w:val="-4"/>
          <w:sz w:val="24"/>
        </w:rPr>
        <w:t> </w:t>
      </w:r>
      <w:r>
        <w:rPr>
          <w:sz w:val="24"/>
        </w:rPr>
        <w:t>brief</w:t>
      </w:r>
      <w:r>
        <w:rPr>
          <w:spacing w:val="-4"/>
          <w:sz w:val="24"/>
        </w:rPr>
        <w:t> </w:t>
      </w:r>
      <w:r>
        <w:rPr>
          <w:sz w:val="24"/>
        </w:rPr>
        <w:t>description</w:t>
      </w:r>
      <w:r>
        <w:rPr>
          <w:spacing w:val="-3"/>
          <w:sz w:val="24"/>
        </w:rPr>
        <w:t> </w:t>
      </w:r>
      <w:r>
        <w:rPr>
          <w:sz w:val="24"/>
        </w:rPr>
        <w:t>of</w:t>
      </w:r>
      <w:r>
        <w:rPr>
          <w:spacing w:val="-4"/>
          <w:sz w:val="24"/>
        </w:rPr>
        <w:t> </w:t>
      </w:r>
      <w:r>
        <w:rPr>
          <w:sz w:val="24"/>
        </w:rPr>
        <w:t>the</w:t>
      </w:r>
      <w:r>
        <w:rPr>
          <w:spacing w:val="-2"/>
          <w:sz w:val="24"/>
        </w:rPr>
        <w:t> </w:t>
      </w:r>
      <w:r>
        <w:rPr>
          <w:sz w:val="24"/>
        </w:rPr>
        <w:t>demonstration</w:t>
      </w:r>
      <w:r>
        <w:rPr>
          <w:spacing w:val="-3"/>
          <w:sz w:val="24"/>
        </w:rPr>
        <w:t> </w:t>
      </w:r>
      <w:r>
        <w:rPr>
          <w:sz w:val="24"/>
        </w:rPr>
        <w:t>and</w:t>
      </w:r>
      <w:r>
        <w:rPr>
          <w:spacing w:val="-3"/>
          <w:sz w:val="24"/>
        </w:rPr>
        <w:t> </w:t>
      </w:r>
      <w:r>
        <w:rPr>
          <w:sz w:val="24"/>
        </w:rPr>
        <w:t>history</w:t>
      </w:r>
      <w:r>
        <w:rPr>
          <w:spacing w:val="-6"/>
          <w:sz w:val="24"/>
        </w:rPr>
        <w:t> </w:t>
      </w:r>
      <w:r>
        <w:rPr>
          <w:sz w:val="24"/>
        </w:rPr>
        <w:t>of</w:t>
      </w:r>
      <w:r>
        <w:rPr>
          <w:spacing w:val="-4"/>
          <w:sz w:val="24"/>
        </w:rPr>
        <w:t> </w:t>
      </w:r>
      <w:r>
        <w:rPr>
          <w:sz w:val="24"/>
        </w:rPr>
        <w:t>its</w:t>
      </w:r>
      <w:r>
        <w:rPr>
          <w:spacing w:val="-3"/>
          <w:sz w:val="24"/>
        </w:rPr>
        <w:t> </w:t>
      </w:r>
      <w:r>
        <w:rPr>
          <w:sz w:val="24"/>
        </w:rPr>
        <w:t>implementation,</w:t>
      </w:r>
      <w:r>
        <w:rPr>
          <w:spacing w:val="-3"/>
          <w:sz w:val="24"/>
        </w:rPr>
        <w:t> </w:t>
      </w:r>
      <w:r>
        <w:rPr>
          <w:sz w:val="24"/>
        </w:rPr>
        <w:t>and</w:t>
      </w:r>
      <w:r>
        <w:rPr>
          <w:spacing w:val="-3"/>
          <w:sz w:val="24"/>
        </w:rPr>
        <w:t> </w:t>
      </w:r>
      <w:r>
        <w:rPr>
          <w:sz w:val="24"/>
        </w:rPr>
        <w:t>whether</w:t>
      </w:r>
      <w:r>
        <w:rPr>
          <w:spacing w:val="-4"/>
          <w:sz w:val="24"/>
        </w:rPr>
        <w:t> </w:t>
      </w:r>
      <w:r>
        <w:rPr>
          <w:sz w:val="24"/>
        </w:rPr>
        <w:t>the draft Evaluation Design applies to an amendment, extension, renewal, or expansion of, the </w:t>
      </w:r>
      <w:r>
        <w:rPr>
          <w:spacing w:val="-2"/>
          <w:sz w:val="24"/>
        </w:rPr>
        <w:t>demonstration.</w:t>
      </w:r>
    </w:p>
    <w:p>
      <w:pPr>
        <w:pStyle w:val="ListParagraph"/>
        <w:numPr>
          <w:ilvl w:val="1"/>
          <w:numId w:val="50"/>
        </w:numPr>
        <w:tabs>
          <w:tab w:pos="1940" w:val="left" w:leader="none"/>
        </w:tabs>
        <w:spacing w:line="240" w:lineRule="auto" w:before="61" w:after="0"/>
        <w:ind w:left="1940" w:right="1183" w:hanging="360"/>
        <w:jc w:val="left"/>
        <w:rPr>
          <w:sz w:val="24"/>
        </w:rPr>
      </w:pPr>
      <w:bookmarkStart w:name="5. For renewals, amendments, and major o" w:id="1141"/>
      <w:bookmarkEnd w:id="1141"/>
      <w:r>
        <w:rPr/>
      </w:r>
      <w:r>
        <w:rPr>
          <w:sz w:val="24"/>
        </w:rPr>
        <w:t>For</w:t>
      </w:r>
      <w:r>
        <w:rPr>
          <w:spacing w:val="-4"/>
          <w:sz w:val="24"/>
        </w:rPr>
        <w:t> </w:t>
      </w:r>
      <w:r>
        <w:rPr>
          <w:sz w:val="24"/>
        </w:rPr>
        <w:t>renewals,</w:t>
      </w:r>
      <w:r>
        <w:rPr>
          <w:spacing w:val="-4"/>
          <w:sz w:val="24"/>
        </w:rPr>
        <w:t> </w:t>
      </w:r>
      <w:r>
        <w:rPr>
          <w:sz w:val="24"/>
        </w:rPr>
        <w:t>amendments,</w:t>
      </w:r>
      <w:r>
        <w:rPr>
          <w:spacing w:val="-4"/>
          <w:sz w:val="24"/>
        </w:rPr>
        <w:t> </w:t>
      </w:r>
      <w:r>
        <w:rPr>
          <w:sz w:val="24"/>
        </w:rPr>
        <w:t>and</w:t>
      </w:r>
      <w:r>
        <w:rPr>
          <w:spacing w:val="-4"/>
          <w:sz w:val="24"/>
        </w:rPr>
        <w:t> </w:t>
      </w:r>
      <w:r>
        <w:rPr>
          <w:sz w:val="24"/>
        </w:rPr>
        <w:t>major</w:t>
      </w:r>
      <w:r>
        <w:rPr>
          <w:spacing w:val="-4"/>
          <w:sz w:val="24"/>
        </w:rPr>
        <w:t> </w:t>
      </w:r>
      <w:r>
        <w:rPr>
          <w:sz w:val="24"/>
        </w:rPr>
        <w:t>operational</w:t>
      </w:r>
      <w:r>
        <w:rPr>
          <w:spacing w:val="-2"/>
          <w:sz w:val="24"/>
        </w:rPr>
        <w:t> </w:t>
      </w:r>
      <w:r>
        <w:rPr>
          <w:sz w:val="24"/>
        </w:rPr>
        <w:t>changes:</w:t>
      </w:r>
      <w:r>
        <w:rPr>
          <w:spacing w:val="40"/>
          <w:sz w:val="24"/>
        </w:rPr>
        <w:t> </w:t>
      </w:r>
      <w:r>
        <w:rPr>
          <w:sz w:val="24"/>
        </w:rPr>
        <w:t>a</w:t>
      </w:r>
      <w:r>
        <w:rPr>
          <w:spacing w:val="-4"/>
          <w:sz w:val="24"/>
        </w:rPr>
        <w:t> </w:t>
      </w:r>
      <w:r>
        <w:rPr>
          <w:sz w:val="24"/>
        </w:rPr>
        <w:t>description</w:t>
      </w:r>
      <w:r>
        <w:rPr>
          <w:spacing w:val="-4"/>
          <w:sz w:val="24"/>
        </w:rPr>
        <w:t> </w:t>
      </w:r>
      <w:r>
        <w:rPr>
          <w:sz w:val="24"/>
        </w:rPr>
        <w:t>of</w:t>
      </w:r>
      <w:r>
        <w:rPr>
          <w:spacing w:val="-3"/>
          <w:sz w:val="24"/>
        </w:rPr>
        <w:t> </w:t>
      </w:r>
      <w:r>
        <w:rPr>
          <w:sz w:val="24"/>
        </w:rPr>
        <w:t>any</w:t>
      </w:r>
      <w:r>
        <w:rPr>
          <w:spacing w:val="-6"/>
          <w:sz w:val="24"/>
        </w:rPr>
        <w:t> </w:t>
      </w:r>
      <w:r>
        <w:rPr>
          <w:sz w:val="24"/>
        </w:rPr>
        <w:t>changes to the demonstration during the approval period; the primary reason or reasons for the change; and how the Evaluation Design was altered or augmented to address these </w:t>
      </w:r>
      <w:r>
        <w:rPr>
          <w:spacing w:val="-2"/>
          <w:sz w:val="24"/>
        </w:rPr>
        <w:t>changes.</w:t>
      </w:r>
    </w:p>
    <w:p>
      <w:pPr>
        <w:pStyle w:val="BodyText"/>
        <w:spacing w:before="2"/>
        <w:rPr>
          <w:sz w:val="29"/>
        </w:rPr>
      </w:pPr>
    </w:p>
    <w:p>
      <w:pPr>
        <w:pStyle w:val="ListParagraph"/>
        <w:numPr>
          <w:ilvl w:val="0"/>
          <w:numId w:val="50"/>
        </w:numPr>
        <w:tabs>
          <w:tab w:pos="1578" w:val="left" w:leader="none"/>
        </w:tabs>
        <w:spacing w:line="240" w:lineRule="auto" w:before="0" w:after="0"/>
        <w:ind w:left="1578" w:right="0" w:hanging="359"/>
        <w:jc w:val="left"/>
        <w:rPr>
          <w:sz w:val="24"/>
        </w:rPr>
      </w:pPr>
      <w:r>
        <w:rPr>
          <w:b/>
          <w:sz w:val="24"/>
        </w:rPr>
        <w:t>Evaluation</w:t>
      </w:r>
      <w:r>
        <w:rPr>
          <w:b/>
          <w:spacing w:val="-4"/>
          <w:sz w:val="24"/>
        </w:rPr>
        <w:t> </w:t>
      </w:r>
      <w:r>
        <w:rPr>
          <w:b/>
          <w:sz w:val="24"/>
        </w:rPr>
        <w:t>Questions</w:t>
      </w:r>
      <w:r>
        <w:rPr>
          <w:b/>
          <w:spacing w:val="-2"/>
          <w:sz w:val="24"/>
        </w:rPr>
        <w:t> </w:t>
      </w:r>
      <w:r>
        <w:rPr>
          <w:b/>
          <w:sz w:val="24"/>
        </w:rPr>
        <w:t>and</w:t>
      </w:r>
      <w:r>
        <w:rPr>
          <w:b/>
          <w:spacing w:val="-2"/>
          <w:sz w:val="24"/>
        </w:rPr>
        <w:t> </w:t>
      </w:r>
      <w:r>
        <w:rPr>
          <w:b/>
          <w:sz w:val="24"/>
        </w:rPr>
        <w:t>Hypotheses</w:t>
      </w:r>
      <w:r>
        <w:rPr>
          <w:b/>
          <w:spacing w:val="-2"/>
          <w:sz w:val="24"/>
        </w:rPr>
        <w:t> </w:t>
      </w:r>
      <w:r>
        <w:rPr>
          <w:sz w:val="24"/>
        </w:rPr>
        <w:t>– In</w:t>
      </w:r>
      <w:r>
        <w:rPr>
          <w:spacing w:val="-1"/>
          <w:sz w:val="24"/>
        </w:rPr>
        <w:t> </w:t>
      </w:r>
      <w:r>
        <w:rPr>
          <w:sz w:val="24"/>
        </w:rPr>
        <w:t>this</w:t>
      </w:r>
      <w:r>
        <w:rPr>
          <w:spacing w:val="-2"/>
          <w:sz w:val="24"/>
        </w:rPr>
        <w:t> </w:t>
      </w:r>
      <w:r>
        <w:rPr>
          <w:sz w:val="24"/>
        </w:rPr>
        <w:t>section,</w:t>
      </w:r>
      <w:r>
        <w:rPr>
          <w:spacing w:val="-2"/>
          <w:sz w:val="24"/>
        </w:rPr>
        <w:t> </w:t>
      </w:r>
      <w:r>
        <w:rPr>
          <w:sz w:val="24"/>
        </w:rPr>
        <w:t>the</w:t>
      </w:r>
      <w:r>
        <w:rPr>
          <w:spacing w:val="-3"/>
          <w:sz w:val="24"/>
        </w:rPr>
        <w:t> </w:t>
      </w:r>
      <w:r>
        <w:rPr>
          <w:sz w:val="24"/>
        </w:rPr>
        <w:t>state</w:t>
      </w:r>
      <w:r>
        <w:rPr>
          <w:spacing w:val="-2"/>
          <w:sz w:val="24"/>
        </w:rPr>
        <w:t> should:</w:t>
      </w:r>
    </w:p>
    <w:p>
      <w:pPr>
        <w:pStyle w:val="ListParagraph"/>
        <w:numPr>
          <w:ilvl w:val="1"/>
          <w:numId w:val="50"/>
        </w:numPr>
        <w:tabs>
          <w:tab w:pos="1940" w:val="left" w:leader="none"/>
        </w:tabs>
        <w:spacing w:line="240" w:lineRule="auto" w:before="0" w:after="0"/>
        <w:ind w:left="1940" w:right="1159" w:hanging="360"/>
        <w:jc w:val="left"/>
        <w:rPr>
          <w:sz w:val="24"/>
        </w:rPr>
      </w:pPr>
      <w:bookmarkStart w:name="1. Identify the state’s hypotheses about" w:id="1142"/>
      <w:bookmarkEnd w:id="1142"/>
      <w:r>
        <w:rPr/>
      </w:r>
      <w:r>
        <w:rPr>
          <w:sz w:val="24"/>
        </w:rPr>
        <w:t>Identify</w:t>
      </w:r>
      <w:r>
        <w:rPr>
          <w:spacing w:val="-8"/>
          <w:sz w:val="24"/>
        </w:rPr>
        <w:t> </w:t>
      </w:r>
      <w:r>
        <w:rPr>
          <w:sz w:val="24"/>
        </w:rPr>
        <w:t>the</w:t>
      </w:r>
      <w:r>
        <w:rPr>
          <w:spacing w:val="-4"/>
          <w:sz w:val="24"/>
        </w:rPr>
        <w:t> </w:t>
      </w:r>
      <w:r>
        <w:rPr>
          <w:sz w:val="24"/>
        </w:rPr>
        <w:t>state’s</w:t>
      </w:r>
      <w:r>
        <w:rPr>
          <w:spacing w:val="-3"/>
          <w:sz w:val="24"/>
        </w:rPr>
        <w:t> </w:t>
      </w:r>
      <w:r>
        <w:rPr>
          <w:sz w:val="24"/>
        </w:rPr>
        <w:t>hypotheses</w:t>
      </w:r>
      <w:r>
        <w:rPr>
          <w:spacing w:val="-3"/>
          <w:sz w:val="24"/>
        </w:rPr>
        <w:t> </w:t>
      </w:r>
      <w:r>
        <w:rPr>
          <w:sz w:val="24"/>
        </w:rPr>
        <w:t>about</w:t>
      </w:r>
      <w:r>
        <w:rPr>
          <w:spacing w:val="-3"/>
          <w:sz w:val="24"/>
        </w:rPr>
        <w:t> </w:t>
      </w:r>
      <w:r>
        <w:rPr>
          <w:sz w:val="24"/>
        </w:rPr>
        <w:t>the</w:t>
      </w:r>
      <w:r>
        <w:rPr>
          <w:spacing w:val="-4"/>
          <w:sz w:val="24"/>
        </w:rPr>
        <w:t> </w:t>
      </w:r>
      <w:r>
        <w:rPr>
          <w:sz w:val="24"/>
        </w:rPr>
        <w:t>outcomes</w:t>
      </w:r>
      <w:r>
        <w:rPr>
          <w:spacing w:val="-1"/>
          <w:sz w:val="24"/>
        </w:rPr>
        <w:t> </w:t>
      </w:r>
      <w:r>
        <w:rPr>
          <w:sz w:val="24"/>
        </w:rPr>
        <w:t>of</w:t>
      </w:r>
      <w:r>
        <w:rPr>
          <w:spacing w:val="-4"/>
          <w:sz w:val="24"/>
        </w:rPr>
        <w:t> </w:t>
      </w:r>
      <w:r>
        <w:rPr>
          <w:sz w:val="24"/>
        </w:rPr>
        <w:t>the</w:t>
      </w:r>
      <w:r>
        <w:rPr>
          <w:spacing w:val="-4"/>
          <w:sz w:val="24"/>
        </w:rPr>
        <w:t> </w:t>
      </w:r>
      <w:r>
        <w:rPr>
          <w:sz w:val="24"/>
        </w:rPr>
        <w:t>demonstration,</w:t>
      </w:r>
      <w:r>
        <w:rPr>
          <w:spacing w:val="-3"/>
          <w:sz w:val="24"/>
        </w:rPr>
        <w:t> </w:t>
      </w:r>
      <w:r>
        <w:rPr>
          <w:sz w:val="24"/>
        </w:rPr>
        <w:t>and</w:t>
      </w:r>
      <w:r>
        <w:rPr>
          <w:spacing w:val="-3"/>
          <w:sz w:val="24"/>
        </w:rPr>
        <w:t> </w:t>
      </w:r>
      <w:r>
        <w:rPr>
          <w:sz w:val="24"/>
        </w:rPr>
        <w:t>discuss</w:t>
      </w:r>
      <w:r>
        <w:rPr>
          <w:spacing w:val="-3"/>
          <w:sz w:val="24"/>
        </w:rPr>
        <w:t> </w:t>
      </w:r>
      <w:r>
        <w:rPr>
          <w:sz w:val="24"/>
        </w:rPr>
        <w:t>how the evaluation questions align with the hypotheses and the goals of the demonstration.</w:t>
      </w:r>
    </w:p>
    <w:p>
      <w:pPr>
        <w:pStyle w:val="ListParagraph"/>
        <w:numPr>
          <w:ilvl w:val="1"/>
          <w:numId w:val="50"/>
        </w:numPr>
        <w:tabs>
          <w:tab w:pos="1940" w:val="left" w:leader="none"/>
        </w:tabs>
        <w:spacing w:line="240" w:lineRule="auto" w:before="60" w:after="0"/>
        <w:ind w:left="1940" w:right="1167" w:hanging="360"/>
        <w:jc w:val="left"/>
        <w:rPr>
          <w:sz w:val="24"/>
        </w:rPr>
      </w:pPr>
      <w:bookmarkStart w:name="2. Address how the hypotheses and resear" w:id="1143"/>
      <w:bookmarkEnd w:id="1143"/>
      <w:r>
        <w:rPr/>
      </w:r>
      <w:r>
        <w:rPr>
          <w:sz w:val="24"/>
        </w:rPr>
        <w:t>Address</w:t>
      </w:r>
      <w:r>
        <w:rPr>
          <w:spacing w:val="-3"/>
          <w:sz w:val="24"/>
        </w:rPr>
        <w:t> </w:t>
      </w:r>
      <w:r>
        <w:rPr>
          <w:sz w:val="24"/>
        </w:rPr>
        <w:t>how</w:t>
      </w:r>
      <w:r>
        <w:rPr>
          <w:spacing w:val="-4"/>
          <w:sz w:val="24"/>
        </w:rPr>
        <w:t> </w:t>
      </w:r>
      <w:r>
        <w:rPr>
          <w:sz w:val="24"/>
        </w:rPr>
        <w:t>the</w:t>
      </w:r>
      <w:r>
        <w:rPr>
          <w:spacing w:val="-4"/>
          <w:sz w:val="24"/>
        </w:rPr>
        <w:t> </w:t>
      </w:r>
      <w:r>
        <w:rPr>
          <w:sz w:val="24"/>
        </w:rPr>
        <w:t>hypotheses</w:t>
      </w:r>
      <w:r>
        <w:rPr>
          <w:spacing w:val="-3"/>
          <w:sz w:val="24"/>
        </w:rPr>
        <w:t> </w:t>
      </w:r>
      <w:r>
        <w:rPr>
          <w:sz w:val="24"/>
        </w:rPr>
        <w:t>and</w:t>
      </w:r>
      <w:r>
        <w:rPr>
          <w:spacing w:val="-3"/>
          <w:sz w:val="24"/>
        </w:rPr>
        <w:t> </w:t>
      </w:r>
      <w:r>
        <w:rPr>
          <w:sz w:val="24"/>
        </w:rPr>
        <w:t>research</w:t>
      </w:r>
      <w:r>
        <w:rPr>
          <w:spacing w:val="-3"/>
          <w:sz w:val="24"/>
        </w:rPr>
        <w:t> </w:t>
      </w:r>
      <w:r>
        <w:rPr>
          <w:sz w:val="24"/>
        </w:rPr>
        <w:t>questions</w:t>
      </w:r>
      <w:r>
        <w:rPr>
          <w:spacing w:val="-3"/>
          <w:sz w:val="24"/>
        </w:rPr>
        <w:t> </w:t>
      </w:r>
      <w:r>
        <w:rPr>
          <w:sz w:val="24"/>
        </w:rPr>
        <w:t>promote</w:t>
      </w:r>
      <w:r>
        <w:rPr>
          <w:spacing w:val="-4"/>
          <w:sz w:val="24"/>
        </w:rPr>
        <w:t> </w:t>
      </w:r>
      <w:r>
        <w:rPr>
          <w:sz w:val="24"/>
        </w:rPr>
        <w:t>the</w:t>
      </w:r>
      <w:r>
        <w:rPr>
          <w:spacing w:val="-4"/>
          <w:sz w:val="24"/>
        </w:rPr>
        <w:t> </w:t>
      </w:r>
      <w:r>
        <w:rPr>
          <w:sz w:val="24"/>
        </w:rPr>
        <w:t>objectives</w:t>
      </w:r>
      <w:r>
        <w:rPr>
          <w:spacing w:val="-2"/>
          <w:sz w:val="24"/>
        </w:rPr>
        <w:t> </w:t>
      </w:r>
      <w:r>
        <w:rPr>
          <w:sz w:val="24"/>
        </w:rPr>
        <w:t>of</w:t>
      </w:r>
      <w:r>
        <w:rPr>
          <w:spacing w:val="-4"/>
          <w:sz w:val="24"/>
        </w:rPr>
        <w:t> </w:t>
      </w:r>
      <w:r>
        <w:rPr>
          <w:sz w:val="24"/>
        </w:rPr>
        <w:t>Titles</w:t>
      </w:r>
      <w:r>
        <w:rPr>
          <w:spacing w:val="-3"/>
          <w:sz w:val="24"/>
        </w:rPr>
        <w:t> </w:t>
      </w:r>
      <w:r>
        <w:rPr>
          <w:sz w:val="24"/>
        </w:rPr>
        <w:t>XIX and/or XXI.</w:t>
      </w:r>
    </w:p>
    <w:p>
      <w:pPr>
        <w:pStyle w:val="ListParagraph"/>
        <w:numPr>
          <w:ilvl w:val="1"/>
          <w:numId w:val="50"/>
        </w:numPr>
        <w:tabs>
          <w:tab w:pos="1940" w:val="left" w:leader="none"/>
        </w:tabs>
        <w:spacing w:line="240" w:lineRule="auto" w:before="60" w:after="0"/>
        <w:ind w:left="1940" w:right="1148" w:hanging="360"/>
        <w:jc w:val="left"/>
        <w:rPr>
          <w:sz w:val="24"/>
        </w:rPr>
      </w:pPr>
      <w:bookmarkStart w:name="3. Describe how the state’s demonstratio" w:id="1144"/>
      <w:bookmarkEnd w:id="1144"/>
      <w:r>
        <w:rPr/>
      </w:r>
      <w:r>
        <w:rPr>
          <w:sz w:val="24"/>
        </w:rPr>
        <w:t>Describe how the state’s demonstration goals are translated into quantifiable targets for improvement,</w:t>
      </w:r>
      <w:r>
        <w:rPr>
          <w:spacing w:val="-3"/>
          <w:sz w:val="24"/>
        </w:rPr>
        <w:t> </w:t>
      </w:r>
      <w:r>
        <w:rPr>
          <w:sz w:val="24"/>
        </w:rPr>
        <w:t>so</w:t>
      </w:r>
      <w:r>
        <w:rPr>
          <w:spacing w:val="-3"/>
          <w:sz w:val="24"/>
        </w:rPr>
        <w:t> </w:t>
      </w:r>
      <w:r>
        <w:rPr>
          <w:sz w:val="24"/>
        </w:rPr>
        <w:t>that</w:t>
      </w:r>
      <w:r>
        <w:rPr>
          <w:spacing w:val="-3"/>
          <w:sz w:val="24"/>
        </w:rPr>
        <w:t> </w:t>
      </w:r>
      <w:r>
        <w:rPr>
          <w:sz w:val="24"/>
        </w:rPr>
        <w:t>the</w:t>
      </w:r>
      <w:r>
        <w:rPr>
          <w:spacing w:val="-4"/>
          <w:sz w:val="24"/>
        </w:rPr>
        <w:t> </w:t>
      </w:r>
      <w:r>
        <w:rPr>
          <w:sz w:val="24"/>
        </w:rPr>
        <w:t>performance</w:t>
      </w:r>
      <w:r>
        <w:rPr>
          <w:spacing w:val="-4"/>
          <w:sz w:val="24"/>
        </w:rPr>
        <w:t> </w:t>
      </w:r>
      <w:r>
        <w:rPr>
          <w:sz w:val="24"/>
        </w:rPr>
        <w:t>of</w:t>
      </w:r>
      <w:r>
        <w:rPr>
          <w:spacing w:val="-4"/>
          <w:sz w:val="24"/>
        </w:rPr>
        <w:t> </w:t>
      </w:r>
      <w:r>
        <w:rPr>
          <w:sz w:val="24"/>
        </w:rPr>
        <w:t>the</w:t>
      </w:r>
      <w:r>
        <w:rPr>
          <w:spacing w:val="-4"/>
          <w:sz w:val="24"/>
        </w:rPr>
        <w:t> </w:t>
      </w:r>
      <w:r>
        <w:rPr>
          <w:sz w:val="24"/>
        </w:rPr>
        <w:t>demonstration</w:t>
      </w:r>
      <w:r>
        <w:rPr>
          <w:spacing w:val="-3"/>
          <w:sz w:val="24"/>
        </w:rPr>
        <w:t> </w:t>
      </w:r>
      <w:r>
        <w:rPr>
          <w:sz w:val="24"/>
        </w:rPr>
        <w:t>in</w:t>
      </w:r>
      <w:r>
        <w:rPr>
          <w:spacing w:val="-3"/>
          <w:sz w:val="24"/>
        </w:rPr>
        <w:t> </w:t>
      </w:r>
      <w:r>
        <w:rPr>
          <w:sz w:val="24"/>
        </w:rPr>
        <w:t>achieving</w:t>
      </w:r>
      <w:r>
        <w:rPr>
          <w:spacing w:val="-6"/>
          <w:sz w:val="24"/>
        </w:rPr>
        <w:t> </w:t>
      </w:r>
      <w:r>
        <w:rPr>
          <w:sz w:val="24"/>
        </w:rPr>
        <w:t>these</w:t>
      </w:r>
      <w:r>
        <w:rPr>
          <w:spacing w:val="-4"/>
          <w:sz w:val="24"/>
        </w:rPr>
        <w:t> </w:t>
      </w:r>
      <w:r>
        <w:rPr>
          <w:sz w:val="24"/>
        </w:rPr>
        <w:t>targets</w:t>
      </w:r>
      <w:r>
        <w:rPr>
          <w:spacing w:val="-3"/>
          <w:sz w:val="24"/>
        </w:rPr>
        <w:t> </w:t>
      </w:r>
      <w:r>
        <w:rPr>
          <w:sz w:val="24"/>
        </w:rPr>
        <w:t>can be measured.</w:t>
      </w:r>
    </w:p>
    <w:p>
      <w:pPr>
        <w:pStyle w:val="ListParagraph"/>
        <w:numPr>
          <w:ilvl w:val="1"/>
          <w:numId w:val="50"/>
        </w:numPr>
        <w:tabs>
          <w:tab w:pos="1940" w:val="left" w:leader="none"/>
        </w:tabs>
        <w:spacing w:line="240" w:lineRule="auto" w:before="60" w:after="0"/>
        <w:ind w:left="1940" w:right="1107" w:hanging="360"/>
        <w:jc w:val="left"/>
        <w:rPr>
          <w:sz w:val="22"/>
        </w:rPr>
      </w:pPr>
      <w:bookmarkStart w:name="4. Include a Driver Diagram to visually " w:id="1145"/>
      <w:bookmarkEnd w:id="1145"/>
      <w:r>
        <w:rPr/>
      </w:r>
      <w:r>
        <w:rPr>
          <w:sz w:val="24"/>
        </w:rPr>
        <w:t>Include</w:t>
      </w:r>
      <w:r>
        <w:rPr>
          <w:spacing w:val="-4"/>
          <w:sz w:val="24"/>
        </w:rPr>
        <w:t> </w:t>
      </w:r>
      <w:r>
        <w:rPr>
          <w:sz w:val="24"/>
        </w:rPr>
        <w:t>a</w:t>
      </w:r>
      <w:r>
        <w:rPr>
          <w:spacing w:val="-4"/>
          <w:sz w:val="24"/>
        </w:rPr>
        <w:t> </w:t>
      </w:r>
      <w:r>
        <w:rPr>
          <w:sz w:val="24"/>
        </w:rPr>
        <w:t>Driver</w:t>
      </w:r>
      <w:r>
        <w:rPr>
          <w:spacing w:val="-2"/>
          <w:sz w:val="24"/>
        </w:rPr>
        <w:t> </w:t>
      </w:r>
      <w:r>
        <w:rPr>
          <w:sz w:val="24"/>
        </w:rPr>
        <w:t>Diagram</w:t>
      </w:r>
      <w:r>
        <w:rPr>
          <w:spacing w:val="-3"/>
          <w:sz w:val="24"/>
        </w:rPr>
        <w:t> </w:t>
      </w:r>
      <w:r>
        <w:rPr>
          <w:sz w:val="24"/>
        </w:rPr>
        <w:t>to</w:t>
      </w:r>
      <w:r>
        <w:rPr>
          <w:spacing w:val="-3"/>
          <w:sz w:val="24"/>
        </w:rPr>
        <w:t> </w:t>
      </w:r>
      <w:r>
        <w:rPr>
          <w:sz w:val="24"/>
        </w:rPr>
        <w:t>visually</w:t>
      </w:r>
      <w:r>
        <w:rPr>
          <w:spacing w:val="-8"/>
          <w:sz w:val="24"/>
        </w:rPr>
        <w:t> </w:t>
      </w:r>
      <w:r>
        <w:rPr>
          <w:sz w:val="24"/>
        </w:rPr>
        <w:t>aid</w:t>
      </w:r>
      <w:r>
        <w:rPr>
          <w:spacing w:val="-3"/>
          <w:sz w:val="24"/>
        </w:rPr>
        <w:t> </w:t>
      </w:r>
      <w:r>
        <w:rPr>
          <w:sz w:val="24"/>
        </w:rPr>
        <w:t>readers</w:t>
      </w:r>
      <w:r>
        <w:rPr>
          <w:spacing w:val="-1"/>
          <w:sz w:val="24"/>
        </w:rPr>
        <w:t> </w:t>
      </w:r>
      <w:r>
        <w:rPr>
          <w:sz w:val="24"/>
        </w:rPr>
        <w:t>in</w:t>
      </w:r>
      <w:r>
        <w:rPr>
          <w:spacing w:val="-3"/>
          <w:sz w:val="24"/>
        </w:rPr>
        <w:t> </w:t>
      </w:r>
      <w:r>
        <w:rPr>
          <w:sz w:val="24"/>
        </w:rPr>
        <w:t>understanding</w:t>
      </w:r>
      <w:r>
        <w:rPr>
          <w:spacing w:val="-6"/>
          <w:sz w:val="24"/>
        </w:rPr>
        <w:t> </w:t>
      </w:r>
      <w:r>
        <w:rPr>
          <w:sz w:val="24"/>
        </w:rPr>
        <w:t>the</w:t>
      </w:r>
      <w:r>
        <w:rPr>
          <w:spacing w:val="-4"/>
          <w:sz w:val="24"/>
        </w:rPr>
        <w:t> </w:t>
      </w:r>
      <w:r>
        <w:rPr>
          <w:sz w:val="24"/>
        </w:rPr>
        <w:t>rationale</w:t>
      </w:r>
      <w:r>
        <w:rPr>
          <w:spacing w:val="-4"/>
          <w:sz w:val="24"/>
        </w:rPr>
        <w:t> </w:t>
      </w:r>
      <w:r>
        <w:rPr>
          <w:sz w:val="24"/>
        </w:rPr>
        <w:t>behind</w:t>
      </w:r>
      <w:r>
        <w:rPr>
          <w:spacing w:val="-3"/>
          <w:sz w:val="24"/>
        </w:rPr>
        <w:t> </w:t>
      </w:r>
      <w:r>
        <w:rPr>
          <w:sz w:val="24"/>
        </w:rPr>
        <w:t>the cause</w:t>
      </w:r>
      <w:r>
        <w:rPr>
          <w:spacing w:val="-4"/>
          <w:sz w:val="24"/>
        </w:rPr>
        <w:t> </w:t>
      </w:r>
      <w:r>
        <w:rPr>
          <w:sz w:val="24"/>
        </w:rPr>
        <w:t>and</w:t>
      </w:r>
      <w:r>
        <w:rPr>
          <w:spacing w:val="-2"/>
          <w:sz w:val="24"/>
        </w:rPr>
        <w:t> </w:t>
      </w:r>
      <w:r>
        <w:rPr>
          <w:sz w:val="24"/>
        </w:rPr>
        <w:t>effect</w:t>
      </w:r>
      <w:r>
        <w:rPr>
          <w:spacing w:val="-3"/>
          <w:sz w:val="24"/>
        </w:rPr>
        <w:t> </w:t>
      </w:r>
      <w:r>
        <w:rPr>
          <w:sz w:val="24"/>
        </w:rPr>
        <w:t>of</w:t>
      </w:r>
      <w:r>
        <w:rPr>
          <w:spacing w:val="-4"/>
          <w:sz w:val="24"/>
        </w:rPr>
        <w:t> </w:t>
      </w:r>
      <w:r>
        <w:rPr>
          <w:sz w:val="24"/>
        </w:rPr>
        <w:t>the</w:t>
      </w:r>
      <w:r>
        <w:rPr>
          <w:spacing w:val="-4"/>
          <w:sz w:val="24"/>
        </w:rPr>
        <w:t> </w:t>
      </w:r>
      <w:r>
        <w:rPr>
          <w:sz w:val="24"/>
        </w:rPr>
        <w:t>variants</w:t>
      </w:r>
      <w:r>
        <w:rPr>
          <w:spacing w:val="-3"/>
          <w:sz w:val="24"/>
        </w:rPr>
        <w:t> </w:t>
      </w:r>
      <w:r>
        <w:rPr>
          <w:sz w:val="24"/>
        </w:rPr>
        <w:t>behind</w:t>
      </w:r>
      <w:r>
        <w:rPr>
          <w:spacing w:val="-3"/>
          <w:sz w:val="24"/>
        </w:rPr>
        <w:t> </w:t>
      </w:r>
      <w:r>
        <w:rPr>
          <w:sz w:val="24"/>
        </w:rPr>
        <w:t>the</w:t>
      </w:r>
      <w:r>
        <w:rPr>
          <w:spacing w:val="-4"/>
          <w:sz w:val="24"/>
        </w:rPr>
        <w:t> </w:t>
      </w:r>
      <w:r>
        <w:rPr>
          <w:sz w:val="24"/>
        </w:rPr>
        <w:t>demonstration</w:t>
      </w:r>
      <w:r>
        <w:rPr>
          <w:spacing w:val="-3"/>
          <w:sz w:val="24"/>
        </w:rPr>
        <w:t> </w:t>
      </w:r>
      <w:r>
        <w:rPr>
          <w:sz w:val="24"/>
        </w:rPr>
        <w:t>features</w:t>
      </w:r>
      <w:r>
        <w:rPr>
          <w:spacing w:val="-3"/>
          <w:sz w:val="24"/>
        </w:rPr>
        <w:t> </w:t>
      </w:r>
      <w:r>
        <w:rPr>
          <w:sz w:val="24"/>
        </w:rPr>
        <w:t>and</w:t>
      </w:r>
      <w:r>
        <w:rPr>
          <w:spacing w:val="-3"/>
          <w:sz w:val="24"/>
        </w:rPr>
        <w:t> </w:t>
      </w:r>
      <w:r>
        <w:rPr>
          <w:sz w:val="24"/>
        </w:rPr>
        <w:t>intended</w:t>
      </w:r>
      <w:r>
        <w:rPr>
          <w:spacing w:val="-3"/>
          <w:sz w:val="24"/>
        </w:rPr>
        <w:t> </w:t>
      </w:r>
      <w:r>
        <w:rPr>
          <w:sz w:val="24"/>
        </w:rPr>
        <w:t>outcomes. A driver diagram, which includes information about the goals and features of the demonstration, is a particularly effective modeling tool when working to improve health and health care through specific interventions.</w:t>
      </w:r>
      <w:r>
        <w:rPr>
          <w:spacing w:val="40"/>
          <w:sz w:val="24"/>
        </w:rPr>
        <w:t> </w:t>
      </w:r>
      <w:r>
        <w:rPr>
          <w:sz w:val="24"/>
        </w:rPr>
        <w:t>A driver diagram depicts the relationship</w:t>
      </w:r>
    </w:p>
    <w:p>
      <w:pPr>
        <w:spacing w:after="0" w:line="240" w:lineRule="auto"/>
        <w:jc w:val="left"/>
        <w:rPr>
          <w:sz w:val="22"/>
        </w:rPr>
        <w:sectPr>
          <w:pgSz w:w="12240" w:h="15840"/>
          <w:pgMar w:header="0" w:footer="1223" w:top="640" w:bottom="1420" w:left="220" w:right="340"/>
        </w:sectPr>
      </w:pPr>
    </w:p>
    <w:p>
      <w:pPr>
        <w:spacing w:before="80"/>
        <w:ind w:left="1220" w:right="0" w:firstLine="0"/>
        <w:jc w:val="left"/>
        <w:rPr>
          <w:sz w:val="20"/>
        </w:rPr>
      </w:pPr>
      <w:bookmarkStart w:name="C." w:id="1146"/>
      <w:bookmarkEnd w:id="1146"/>
      <w:r>
        <w:rPr/>
      </w:r>
      <w:r>
        <w:rPr>
          <w:sz w:val="20"/>
        </w:rPr>
        <w:t>Attachment</w:t>
      </w:r>
      <w:r>
        <w:rPr>
          <w:spacing w:val="-12"/>
          <w:sz w:val="20"/>
        </w:rPr>
        <w:t> </w:t>
      </w:r>
      <w:r>
        <w:rPr>
          <w:spacing w:val="-10"/>
          <w:sz w:val="20"/>
        </w:rPr>
        <w:t>A</w:t>
      </w:r>
    </w:p>
    <w:p>
      <w:pPr>
        <w:pStyle w:val="BodyText"/>
        <w:rPr>
          <w:sz w:val="20"/>
        </w:rPr>
      </w:pPr>
    </w:p>
    <w:p>
      <w:pPr>
        <w:pStyle w:val="BodyText"/>
        <w:spacing w:before="6"/>
        <w:rPr>
          <w:sz w:val="22"/>
        </w:rPr>
      </w:pPr>
    </w:p>
    <w:p>
      <w:pPr>
        <w:pStyle w:val="BodyText"/>
        <w:ind w:left="1940" w:right="1111"/>
      </w:pPr>
      <w:r>
        <w:rPr/>
        <w:t>between</w:t>
      </w:r>
      <w:r>
        <w:rPr>
          <w:spacing w:val="-2"/>
        </w:rPr>
        <w:t> </w:t>
      </w:r>
      <w:r>
        <w:rPr/>
        <w:t>the</w:t>
      </w:r>
      <w:r>
        <w:rPr>
          <w:spacing w:val="-1"/>
        </w:rPr>
        <w:t> </w:t>
      </w:r>
      <w:r>
        <w:rPr/>
        <w:t>aim,</w:t>
      </w:r>
      <w:r>
        <w:rPr>
          <w:spacing w:val="-2"/>
        </w:rPr>
        <w:t> </w:t>
      </w:r>
      <w:r>
        <w:rPr/>
        <w:t>the</w:t>
      </w:r>
      <w:r>
        <w:rPr>
          <w:spacing w:val="-3"/>
        </w:rPr>
        <w:t> </w:t>
      </w:r>
      <w:r>
        <w:rPr/>
        <w:t>primary</w:t>
      </w:r>
      <w:r>
        <w:rPr>
          <w:spacing w:val="-7"/>
        </w:rPr>
        <w:t> </w:t>
      </w:r>
      <w:r>
        <w:rPr/>
        <w:t>drivers</w:t>
      </w:r>
      <w:r>
        <w:rPr>
          <w:spacing w:val="-2"/>
        </w:rPr>
        <w:t> </w:t>
      </w:r>
      <w:r>
        <w:rPr/>
        <w:t>that contribute</w:t>
      </w:r>
      <w:r>
        <w:rPr>
          <w:spacing w:val="-3"/>
        </w:rPr>
        <w:t> </w:t>
      </w:r>
      <w:r>
        <w:rPr/>
        <w:t>directly</w:t>
      </w:r>
      <w:r>
        <w:rPr>
          <w:spacing w:val="-7"/>
        </w:rPr>
        <w:t> </w:t>
      </w:r>
      <w:r>
        <w:rPr/>
        <w:t>to</w:t>
      </w:r>
      <w:r>
        <w:rPr>
          <w:spacing w:val="-2"/>
        </w:rPr>
        <w:t> </w:t>
      </w:r>
      <w:r>
        <w:rPr/>
        <w:t>achieving</w:t>
      </w:r>
      <w:r>
        <w:rPr>
          <w:spacing w:val="-5"/>
        </w:rPr>
        <w:t> </w:t>
      </w:r>
      <w:r>
        <w:rPr/>
        <w:t>the</w:t>
      </w:r>
      <w:r>
        <w:rPr>
          <w:spacing w:val="-3"/>
        </w:rPr>
        <w:t> </w:t>
      </w:r>
      <w:r>
        <w:rPr/>
        <w:t>aim,</w:t>
      </w:r>
      <w:r>
        <w:rPr>
          <w:spacing w:val="-2"/>
        </w:rPr>
        <w:t> </w:t>
      </w:r>
      <w:r>
        <w:rPr/>
        <w:t>and</w:t>
      </w:r>
      <w:r>
        <w:rPr>
          <w:spacing w:val="-2"/>
        </w:rPr>
        <w:t> </w:t>
      </w:r>
      <w:r>
        <w:rPr/>
        <w:t>the secondary</w:t>
      </w:r>
      <w:r>
        <w:rPr>
          <w:spacing w:val="-5"/>
        </w:rPr>
        <w:t> </w:t>
      </w:r>
      <w:r>
        <w:rPr/>
        <w:t>drivers that are</w:t>
      </w:r>
      <w:r>
        <w:rPr>
          <w:spacing w:val="-1"/>
        </w:rPr>
        <w:t> </w:t>
      </w:r>
      <w:r>
        <w:rPr/>
        <w:t>necessary</w:t>
      </w:r>
      <w:r>
        <w:rPr>
          <w:spacing w:val="-5"/>
        </w:rPr>
        <w:t> </w:t>
      </w:r>
      <w:r>
        <w:rPr/>
        <w:t>to achieve</w:t>
      </w:r>
      <w:r>
        <w:rPr>
          <w:spacing w:val="-1"/>
        </w:rPr>
        <w:t> </w:t>
      </w:r>
      <w:r>
        <w:rPr/>
        <w:t>the</w:t>
      </w:r>
      <w:r>
        <w:rPr>
          <w:spacing w:val="-1"/>
        </w:rPr>
        <w:t> </w:t>
      </w:r>
      <w:r>
        <w:rPr/>
        <w:t>primary</w:t>
      </w:r>
      <w:r>
        <w:rPr>
          <w:spacing w:val="-5"/>
        </w:rPr>
        <w:t> </w:t>
      </w:r>
      <w:r>
        <w:rPr/>
        <w:t>drivers for</w:t>
      </w:r>
      <w:r>
        <w:rPr>
          <w:spacing w:val="-1"/>
        </w:rPr>
        <w:t> </w:t>
      </w:r>
      <w:r>
        <w:rPr/>
        <w:t>the demonstration. For an example and more information on driver diagrams: </w:t>
      </w:r>
      <w:hyperlink r:id="rId334">
        <w:r>
          <w:rPr>
            <w:color w:val="428AC9"/>
            <w:spacing w:val="-2"/>
          </w:rPr>
          <w:t>https://innovation.cms.gov/files/x/hciatwoaimsdrvrs.pdf</w:t>
        </w:r>
        <w:r>
          <w:rPr>
            <w:spacing w:val="-2"/>
          </w:rPr>
          <w:t>.</w:t>
        </w:r>
      </w:hyperlink>
    </w:p>
    <w:p>
      <w:pPr>
        <w:pStyle w:val="BodyText"/>
        <w:spacing w:before="2"/>
        <w:rPr>
          <w:sz w:val="29"/>
        </w:rPr>
      </w:pPr>
    </w:p>
    <w:p>
      <w:pPr>
        <w:pStyle w:val="ListParagraph"/>
        <w:numPr>
          <w:ilvl w:val="0"/>
          <w:numId w:val="51"/>
        </w:numPr>
        <w:tabs>
          <w:tab w:pos="1580" w:val="left" w:leader="none"/>
        </w:tabs>
        <w:spacing w:line="240" w:lineRule="auto" w:before="1" w:after="0"/>
        <w:ind w:left="1580" w:right="1240" w:hanging="360"/>
        <w:jc w:val="left"/>
        <w:rPr>
          <w:sz w:val="24"/>
        </w:rPr>
      </w:pPr>
      <w:r>
        <w:rPr>
          <w:b/>
          <w:sz w:val="24"/>
        </w:rPr>
        <w:t>Methodology – </w:t>
      </w:r>
      <w:r>
        <w:rPr>
          <w:sz w:val="24"/>
        </w:rPr>
        <w:t>In this section, the state is to describe in detail the proposed research methodology.</w:t>
      </w:r>
      <w:r>
        <w:rPr>
          <w:spacing w:val="40"/>
          <w:sz w:val="24"/>
        </w:rPr>
        <w:t> </w:t>
      </w:r>
      <w:r>
        <w:rPr>
          <w:sz w:val="24"/>
        </w:rPr>
        <w:t>The</w:t>
      </w:r>
      <w:r>
        <w:rPr>
          <w:spacing w:val="-2"/>
          <w:sz w:val="24"/>
        </w:rPr>
        <w:t> </w:t>
      </w:r>
      <w:r>
        <w:rPr>
          <w:sz w:val="24"/>
        </w:rPr>
        <w:t>focus</w:t>
      </w:r>
      <w:r>
        <w:rPr>
          <w:spacing w:val="-1"/>
          <w:sz w:val="24"/>
        </w:rPr>
        <w:t> </w:t>
      </w:r>
      <w:r>
        <w:rPr>
          <w:sz w:val="24"/>
        </w:rPr>
        <w:t>is</w:t>
      </w:r>
      <w:r>
        <w:rPr>
          <w:spacing w:val="-3"/>
          <w:sz w:val="24"/>
        </w:rPr>
        <w:t> </w:t>
      </w:r>
      <w:r>
        <w:rPr>
          <w:sz w:val="24"/>
        </w:rPr>
        <w:t>on</w:t>
      </w:r>
      <w:r>
        <w:rPr>
          <w:spacing w:val="-3"/>
          <w:sz w:val="24"/>
        </w:rPr>
        <w:t> </w:t>
      </w:r>
      <w:r>
        <w:rPr>
          <w:sz w:val="24"/>
        </w:rPr>
        <w:t>showing</w:t>
      </w:r>
      <w:r>
        <w:rPr>
          <w:spacing w:val="-6"/>
          <w:sz w:val="24"/>
        </w:rPr>
        <w:t> </w:t>
      </w:r>
      <w:r>
        <w:rPr>
          <w:sz w:val="24"/>
        </w:rPr>
        <w:t>that</w:t>
      </w:r>
      <w:r>
        <w:rPr>
          <w:spacing w:val="-3"/>
          <w:sz w:val="24"/>
        </w:rPr>
        <w:t> </w:t>
      </w:r>
      <w:r>
        <w:rPr>
          <w:sz w:val="24"/>
        </w:rPr>
        <w:t>the</w:t>
      </w:r>
      <w:r>
        <w:rPr>
          <w:spacing w:val="-4"/>
          <w:sz w:val="24"/>
        </w:rPr>
        <w:t> </w:t>
      </w:r>
      <w:r>
        <w:rPr>
          <w:sz w:val="24"/>
        </w:rPr>
        <w:t>evaluation</w:t>
      </w:r>
      <w:r>
        <w:rPr>
          <w:spacing w:val="-3"/>
          <w:sz w:val="24"/>
        </w:rPr>
        <w:t> </w:t>
      </w:r>
      <w:r>
        <w:rPr>
          <w:sz w:val="24"/>
        </w:rPr>
        <w:t>meets</w:t>
      </w:r>
      <w:r>
        <w:rPr>
          <w:spacing w:val="-3"/>
          <w:sz w:val="24"/>
        </w:rPr>
        <w:t> </w:t>
      </w:r>
      <w:r>
        <w:rPr>
          <w:sz w:val="24"/>
        </w:rPr>
        <w:t>the</w:t>
      </w:r>
      <w:r>
        <w:rPr>
          <w:spacing w:val="-4"/>
          <w:sz w:val="24"/>
        </w:rPr>
        <w:t> </w:t>
      </w:r>
      <w:r>
        <w:rPr>
          <w:sz w:val="24"/>
        </w:rPr>
        <w:t>prevailing</w:t>
      </w:r>
      <w:r>
        <w:rPr>
          <w:spacing w:val="-6"/>
          <w:sz w:val="24"/>
        </w:rPr>
        <w:t> </w:t>
      </w:r>
      <w:r>
        <w:rPr>
          <w:sz w:val="24"/>
        </w:rPr>
        <w:t>standards</w:t>
      </w:r>
      <w:r>
        <w:rPr>
          <w:spacing w:val="-3"/>
          <w:sz w:val="24"/>
        </w:rPr>
        <w:t> </w:t>
      </w:r>
      <w:r>
        <w:rPr>
          <w:sz w:val="24"/>
        </w:rPr>
        <w:t>of scientific and academic rigor, that the results are statistically valid and reliable, and that it builds upon other published research, using references where appropriate.</w:t>
      </w:r>
    </w:p>
    <w:p>
      <w:pPr>
        <w:pStyle w:val="BodyText"/>
        <w:spacing w:before="60"/>
        <w:ind w:left="1579" w:right="1104"/>
      </w:pPr>
      <w:r>
        <w:rPr/>
        <w:t>This section also provides evidence that the demonstration evaluation will use the best available data.</w:t>
      </w:r>
      <w:r>
        <w:rPr>
          <w:spacing w:val="40"/>
        </w:rPr>
        <w:t> </w:t>
      </w:r>
      <w:r>
        <w:rPr/>
        <w:t>The state should report on, control for, and make appropriate adjustments for the limitations of the data and their effects on results, and discuss the generalizability of results.</w:t>
      </w:r>
      <w:r>
        <w:rPr>
          <w:spacing w:val="40"/>
        </w:rPr>
        <w:t> </w:t>
      </w:r>
      <w:r>
        <w:rPr/>
        <w:t>This section should provide enough transparency to explain what will be measured and how, in sufficient detail so that another party could replicate the results.</w:t>
      </w:r>
      <w:r>
        <w:rPr>
          <w:spacing w:val="75"/>
        </w:rPr>
        <w:t> </w:t>
      </w:r>
      <w:r>
        <w:rPr/>
        <w:t>Table A below is</w:t>
      </w:r>
      <w:r>
        <w:rPr>
          <w:spacing w:val="-2"/>
        </w:rPr>
        <w:t> </w:t>
      </w:r>
      <w:r>
        <w:rPr/>
        <w:t>an</w:t>
      </w:r>
      <w:r>
        <w:rPr>
          <w:spacing w:val="-2"/>
        </w:rPr>
        <w:t> </w:t>
      </w:r>
      <w:r>
        <w:rPr/>
        <w:t>example</w:t>
      </w:r>
      <w:r>
        <w:rPr>
          <w:spacing w:val="-3"/>
        </w:rPr>
        <w:t> </w:t>
      </w:r>
      <w:r>
        <w:rPr/>
        <w:t>of</w:t>
      </w:r>
      <w:r>
        <w:rPr>
          <w:spacing w:val="-3"/>
        </w:rPr>
        <w:t> </w:t>
      </w:r>
      <w:r>
        <w:rPr/>
        <w:t>how</w:t>
      </w:r>
      <w:r>
        <w:rPr>
          <w:spacing w:val="-3"/>
        </w:rPr>
        <w:t> </w:t>
      </w:r>
      <w:r>
        <w:rPr/>
        <w:t>the</w:t>
      </w:r>
      <w:r>
        <w:rPr>
          <w:spacing w:val="-2"/>
        </w:rPr>
        <w:t> </w:t>
      </w:r>
      <w:r>
        <w:rPr/>
        <w:t>state</w:t>
      </w:r>
      <w:r>
        <w:rPr>
          <w:spacing w:val="-3"/>
        </w:rPr>
        <w:t> </w:t>
      </w:r>
      <w:r>
        <w:rPr/>
        <w:t>might</w:t>
      </w:r>
      <w:r>
        <w:rPr>
          <w:spacing w:val="-2"/>
        </w:rPr>
        <w:t> </w:t>
      </w:r>
      <w:r>
        <w:rPr/>
        <w:t>want</w:t>
      </w:r>
      <w:r>
        <w:rPr>
          <w:spacing w:val="-2"/>
        </w:rPr>
        <w:t> </w:t>
      </w:r>
      <w:r>
        <w:rPr/>
        <w:t>to</w:t>
      </w:r>
      <w:r>
        <w:rPr>
          <w:spacing w:val="-3"/>
        </w:rPr>
        <w:t> </w:t>
      </w:r>
      <w:r>
        <w:rPr/>
        <w:t>articulate</w:t>
      </w:r>
      <w:r>
        <w:rPr>
          <w:spacing w:val="-3"/>
        </w:rPr>
        <w:t> </w:t>
      </w:r>
      <w:r>
        <w:rPr/>
        <w:t>the</w:t>
      </w:r>
      <w:r>
        <w:rPr>
          <w:spacing w:val="-3"/>
        </w:rPr>
        <w:t> </w:t>
      </w:r>
      <w:r>
        <w:rPr/>
        <w:t>analytic</w:t>
      </w:r>
      <w:r>
        <w:rPr>
          <w:spacing w:val="-3"/>
        </w:rPr>
        <w:t> </w:t>
      </w:r>
      <w:r>
        <w:rPr/>
        <w:t>methods</w:t>
      </w:r>
      <w:r>
        <w:rPr>
          <w:spacing w:val="-2"/>
        </w:rPr>
        <w:t> </w:t>
      </w:r>
      <w:r>
        <w:rPr/>
        <w:t>for</w:t>
      </w:r>
      <w:r>
        <w:rPr>
          <w:spacing w:val="-3"/>
        </w:rPr>
        <w:t> </w:t>
      </w:r>
      <w:r>
        <w:rPr/>
        <w:t>each</w:t>
      </w:r>
      <w:r>
        <w:rPr>
          <w:spacing w:val="-3"/>
        </w:rPr>
        <w:t> </w:t>
      </w:r>
      <w:r>
        <w:rPr/>
        <w:t>research question and measure.</w:t>
      </w:r>
    </w:p>
    <w:p>
      <w:pPr>
        <w:pStyle w:val="BodyText"/>
        <w:spacing w:before="60"/>
        <w:ind w:left="1580"/>
      </w:pPr>
      <w:r>
        <w:rPr/>
        <w:t>Specifically,</w:t>
      </w:r>
      <w:r>
        <w:rPr>
          <w:spacing w:val="-3"/>
        </w:rPr>
        <w:t> </w:t>
      </w:r>
      <w:r>
        <w:rPr/>
        <w:t>this</w:t>
      </w:r>
      <w:r>
        <w:rPr>
          <w:spacing w:val="-2"/>
        </w:rPr>
        <w:t> </w:t>
      </w:r>
      <w:r>
        <w:rPr/>
        <w:t>section</w:t>
      </w:r>
      <w:r>
        <w:rPr>
          <w:spacing w:val="-2"/>
        </w:rPr>
        <w:t> establishes:</w:t>
      </w:r>
    </w:p>
    <w:p>
      <w:pPr>
        <w:pStyle w:val="ListParagraph"/>
        <w:numPr>
          <w:ilvl w:val="1"/>
          <w:numId w:val="51"/>
        </w:numPr>
        <w:tabs>
          <w:tab w:pos="1940" w:val="left" w:leader="none"/>
        </w:tabs>
        <w:spacing w:line="240" w:lineRule="auto" w:before="60" w:after="0"/>
        <w:ind w:left="1940" w:right="1419" w:hanging="360"/>
        <w:jc w:val="left"/>
        <w:rPr>
          <w:sz w:val="24"/>
        </w:rPr>
      </w:pPr>
      <w:r>
        <w:rPr>
          <w:i/>
          <w:sz w:val="24"/>
        </w:rPr>
        <w:t>Methodological</w:t>
      </w:r>
      <w:r>
        <w:rPr>
          <w:i/>
          <w:spacing w:val="-4"/>
          <w:sz w:val="24"/>
        </w:rPr>
        <w:t> </w:t>
      </w:r>
      <w:r>
        <w:rPr>
          <w:i/>
          <w:sz w:val="24"/>
        </w:rPr>
        <w:t>Design</w:t>
      </w:r>
      <w:r>
        <w:rPr>
          <w:i/>
          <w:spacing w:val="-4"/>
          <w:sz w:val="24"/>
        </w:rPr>
        <w:t> </w:t>
      </w:r>
      <w:r>
        <w:rPr>
          <w:i/>
          <w:sz w:val="24"/>
        </w:rPr>
        <w:t>–</w:t>
      </w:r>
      <w:r>
        <w:rPr>
          <w:i/>
          <w:spacing w:val="-2"/>
          <w:sz w:val="24"/>
        </w:rPr>
        <w:t> </w:t>
      </w:r>
      <w:r>
        <w:rPr>
          <w:sz w:val="24"/>
        </w:rPr>
        <w:t>Provide</w:t>
      </w:r>
      <w:r>
        <w:rPr>
          <w:spacing w:val="-5"/>
          <w:sz w:val="24"/>
        </w:rPr>
        <w:t> </w:t>
      </w:r>
      <w:r>
        <w:rPr>
          <w:sz w:val="24"/>
        </w:rPr>
        <w:t>information</w:t>
      </w:r>
      <w:r>
        <w:rPr>
          <w:spacing w:val="-4"/>
          <w:sz w:val="24"/>
        </w:rPr>
        <w:t> </w:t>
      </w:r>
      <w:r>
        <w:rPr>
          <w:sz w:val="24"/>
        </w:rPr>
        <w:t>on</w:t>
      </w:r>
      <w:r>
        <w:rPr>
          <w:spacing w:val="-4"/>
          <w:sz w:val="24"/>
        </w:rPr>
        <w:t> </w:t>
      </w:r>
      <w:r>
        <w:rPr>
          <w:sz w:val="24"/>
        </w:rPr>
        <w:t>how</w:t>
      </w:r>
      <w:r>
        <w:rPr>
          <w:spacing w:val="-5"/>
          <w:sz w:val="24"/>
        </w:rPr>
        <w:t> </w:t>
      </w:r>
      <w:r>
        <w:rPr>
          <w:sz w:val="24"/>
        </w:rPr>
        <w:t>the</w:t>
      </w:r>
      <w:r>
        <w:rPr>
          <w:spacing w:val="-5"/>
          <w:sz w:val="24"/>
        </w:rPr>
        <w:t> </w:t>
      </w:r>
      <w:r>
        <w:rPr>
          <w:sz w:val="24"/>
        </w:rPr>
        <w:t>evaluation</w:t>
      </w:r>
      <w:r>
        <w:rPr>
          <w:spacing w:val="-4"/>
          <w:sz w:val="24"/>
        </w:rPr>
        <w:t> </w:t>
      </w:r>
      <w:r>
        <w:rPr>
          <w:sz w:val="24"/>
        </w:rPr>
        <w:t>will</w:t>
      </w:r>
      <w:r>
        <w:rPr>
          <w:spacing w:val="-4"/>
          <w:sz w:val="24"/>
        </w:rPr>
        <w:t> </w:t>
      </w:r>
      <w:r>
        <w:rPr>
          <w:sz w:val="24"/>
        </w:rPr>
        <w:t>be</w:t>
      </w:r>
      <w:r>
        <w:rPr>
          <w:spacing w:val="-5"/>
          <w:sz w:val="24"/>
        </w:rPr>
        <w:t> </w:t>
      </w:r>
      <w:r>
        <w:rPr>
          <w:sz w:val="24"/>
        </w:rPr>
        <w:t>designed. For</w:t>
      </w:r>
      <w:r>
        <w:rPr>
          <w:spacing w:val="-1"/>
          <w:sz w:val="24"/>
        </w:rPr>
        <w:t> </w:t>
      </w:r>
      <w:r>
        <w:rPr>
          <w:sz w:val="24"/>
        </w:rPr>
        <w:t>example, whether</w:t>
      </w:r>
      <w:r>
        <w:rPr>
          <w:spacing w:val="-1"/>
          <w:sz w:val="24"/>
        </w:rPr>
        <w:t> </w:t>
      </w:r>
      <w:r>
        <w:rPr>
          <w:sz w:val="24"/>
        </w:rPr>
        <w:t>the evaluation will utilize</w:t>
      </w:r>
      <w:r>
        <w:rPr>
          <w:spacing w:val="-1"/>
          <w:sz w:val="24"/>
        </w:rPr>
        <w:t> </w:t>
      </w:r>
      <w:r>
        <w:rPr>
          <w:sz w:val="24"/>
        </w:rPr>
        <w:t>pre/post data</w:t>
      </w:r>
      <w:r>
        <w:rPr>
          <w:spacing w:val="-1"/>
          <w:sz w:val="24"/>
        </w:rPr>
        <w:t> </w:t>
      </w:r>
      <w:r>
        <w:rPr>
          <w:sz w:val="24"/>
        </w:rPr>
        <w:t>comparisons, pre-test or post-test only assessments. If qualitative analysis methods will be used, they must be described in detail.</w:t>
      </w:r>
    </w:p>
    <w:p>
      <w:pPr>
        <w:pStyle w:val="ListParagraph"/>
        <w:numPr>
          <w:ilvl w:val="1"/>
          <w:numId w:val="51"/>
        </w:numPr>
        <w:tabs>
          <w:tab w:pos="1940" w:val="left" w:leader="none"/>
        </w:tabs>
        <w:spacing w:line="240" w:lineRule="auto" w:before="60" w:after="0"/>
        <w:ind w:left="1940" w:right="1413" w:hanging="360"/>
        <w:jc w:val="left"/>
        <w:rPr>
          <w:sz w:val="24"/>
        </w:rPr>
      </w:pPr>
      <w:r>
        <w:rPr>
          <w:i/>
          <w:sz w:val="24"/>
        </w:rPr>
        <w:t>Target and Comparison Populations </w:t>
      </w:r>
      <w:r>
        <w:rPr>
          <w:sz w:val="24"/>
        </w:rPr>
        <w:t>– Describe the characteristics of the target and comparison populations, incorporating the inclusion and exclusion criteria.</w:t>
      </w:r>
      <w:r>
        <w:rPr>
          <w:spacing w:val="40"/>
          <w:sz w:val="24"/>
        </w:rPr>
        <w:t> </w:t>
      </w:r>
      <w:r>
        <w:rPr>
          <w:sz w:val="24"/>
        </w:rPr>
        <w:t>Include information</w:t>
      </w:r>
      <w:r>
        <w:rPr>
          <w:spacing w:val="-3"/>
          <w:sz w:val="24"/>
        </w:rPr>
        <w:t> </w:t>
      </w:r>
      <w:r>
        <w:rPr>
          <w:sz w:val="24"/>
        </w:rPr>
        <w:t>about</w:t>
      </w:r>
      <w:r>
        <w:rPr>
          <w:spacing w:val="-3"/>
          <w:sz w:val="24"/>
        </w:rPr>
        <w:t> </w:t>
      </w:r>
      <w:r>
        <w:rPr>
          <w:sz w:val="24"/>
        </w:rPr>
        <w:t>the</w:t>
      </w:r>
      <w:r>
        <w:rPr>
          <w:spacing w:val="-4"/>
          <w:sz w:val="24"/>
        </w:rPr>
        <w:t> </w:t>
      </w:r>
      <w:r>
        <w:rPr>
          <w:sz w:val="24"/>
        </w:rPr>
        <w:t>level</w:t>
      </w:r>
      <w:r>
        <w:rPr>
          <w:spacing w:val="-3"/>
          <w:sz w:val="24"/>
        </w:rPr>
        <w:t> </w:t>
      </w:r>
      <w:r>
        <w:rPr>
          <w:sz w:val="24"/>
        </w:rPr>
        <w:t>of</w:t>
      </w:r>
      <w:r>
        <w:rPr>
          <w:spacing w:val="-4"/>
          <w:sz w:val="24"/>
        </w:rPr>
        <w:t> </w:t>
      </w:r>
      <w:r>
        <w:rPr>
          <w:sz w:val="24"/>
        </w:rPr>
        <w:t>analysis</w:t>
      </w:r>
      <w:r>
        <w:rPr>
          <w:spacing w:val="-3"/>
          <w:sz w:val="24"/>
        </w:rPr>
        <w:t> </w:t>
      </w:r>
      <w:r>
        <w:rPr>
          <w:sz w:val="24"/>
        </w:rPr>
        <w:t>(beneficiary,</w:t>
      </w:r>
      <w:r>
        <w:rPr>
          <w:spacing w:val="-2"/>
          <w:sz w:val="24"/>
        </w:rPr>
        <w:t> </w:t>
      </w:r>
      <w:r>
        <w:rPr>
          <w:sz w:val="24"/>
        </w:rPr>
        <w:t>provider,</w:t>
      </w:r>
      <w:r>
        <w:rPr>
          <w:spacing w:val="-3"/>
          <w:sz w:val="24"/>
        </w:rPr>
        <w:t> </w:t>
      </w:r>
      <w:r>
        <w:rPr>
          <w:sz w:val="24"/>
        </w:rPr>
        <w:t>or</w:t>
      </w:r>
      <w:r>
        <w:rPr>
          <w:spacing w:val="-4"/>
          <w:sz w:val="24"/>
        </w:rPr>
        <w:t> </w:t>
      </w:r>
      <w:r>
        <w:rPr>
          <w:sz w:val="24"/>
        </w:rPr>
        <w:t>program</w:t>
      </w:r>
      <w:r>
        <w:rPr>
          <w:spacing w:val="-3"/>
          <w:sz w:val="24"/>
        </w:rPr>
        <w:t> </w:t>
      </w:r>
      <w:r>
        <w:rPr>
          <w:sz w:val="24"/>
        </w:rPr>
        <w:t>level),</w:t>
      </w:r>
      <w:r>
        <w:rPr>
          <w:spacing w:val="-3"/>
          <w:sz w:val="24"/>
        </w:rPr>
        <w:t> </w:t>
      </w:r>
      <w:r>
        <w:rPr>
          <w:sz w:val="24"/>
        </w:rPr>
        <w:t>and</w:t>
      </w:r>
      <w:r>
        <w:rPr>
          <w:spacing w:val="-3"/>
          <w:sz w:val="24"/>
        </w:rPr>
        <w:t> </w:t>
      </w:r>
      <w:r>
        <w:rPr>
          <w:sz w:val="24"/>
        </w:rPr>
        <w:t>if populations will be stratified into subgroups.</w:t>
      </w:r>
      <w:r>
        <w:rPr>
          <w:spacing w:val="40"/>
          <w:sz w:val="24"/>
        </w:rPr>
        <w:t> </w:t>
      </w:r>
      <w:r>
        <w:rPr>
          <w:sz w:val="24"/>
        </w:rPr>
        <w:t>Additionally, discuss the sampling methodology for the populations, as well as support that a statistically reliable sample size is available.</w:t>
      </w:r>
    </w:p>
    <w:p>
      <w:pPr>
        <w:pStyle w:val="ListParagraph"/>
        <w:numPr>
          <w:ilvl w:val="1"/>
          <w:numId w:val="51"/>
        </w:numPr>
        <w:tabs>
          <w:tab w:pos="1940" w:val="left" w:leader="none"/>
        </w:tabs>
        <w:spacing w:line="240" w:lineRule="auto" w:before="60" w:after="0"/>
        <w:ind w:left="1940" w:right="0" w:hanging="360"/>
        <w:jc w:val="left"/>
        <w:rPr>
          <w:sz w:val="24"/>
        </w:rPr>
      </w:pPr>
      <w:r>
        <w:rPr>
          <w:i/>
          <w:sz w:val="24"/>
        </w:rPr>
        <w:t>Evaluation</w:t>
      </w:r>
      <w:r>
        <w:rPr>
          <w:i/>
          <w:spacing w:val="-4"/>
          <w:sz w:val="24"/>
        </w:rPr>
        <w:t> </w:t>
      </w:r>
      <w:r>
        <w:rPr>
          <w:i/>
          <w:sz w:val="24"/>
        </w:rPr>
        <w:t>Period</w:t>
      </w:r>
      <w:r>
        <w:rPr>
          <w:i/>
          <w:spacing w:val="-1"/>
          <w:sz w:val="24"/>
        </w:rPr>
        <w:t> </w:t>
      </w:r>
      <w:r>
        <w:rPr>
          <w:i/>
          <w:sz w:val="24"/>
        </w:rPr>
        <w:t>–</w:t>
      </w:r>
      <w:r>
        <w:rPr>
          <w:i/>
          <w:spacing w:val="-1"/>
          <w:sz w:val="24"/>
        </w:rPr>
        <w:t> </w:t>
      </w:r>
      <w:r>
        <w:rPr>
          <w:sz w:val="24"/>
        </w:rPr>
        <w:t>Describe</w:t>
      </w:r>
      <w:r>
        <w:rPr>
          <w:spacing w:val="-2"/>
          <w:sz w:val="24"/>
        </w:rPr>
        <w:t> </w:t>
      </w:r>
      <w:r>
        <w:rPr>
          <w:sz w:val="24"/>
        </w:rPr>
        <w:t>the</w:t>
      </w:r>
      <w:r>
        <w:rPr>
          <w:spacing w:val="-3"/>
          <w:sz w:val="24"/>
        </w:rPr>
        <w:t> </w:t>
      </w:r>
      <w:r>
        <w:rPr>
          <w:sz w:val="24"/>
        </w:rPr>
        <w:t>time</w:t>
      </w:r>
      <w:r>
        <w:rPr>
          <w:spacing w:val="-2"/>
          <w:sz w:val="24"/>
        </w:rPr>
        <w:t> </w:t>
      </w:r>
      <w:r>
        <w:rPr>
          <w:sz w:val="24"/>
        </w:rPr>
        <w:t>periods</w:t>
      </w:r>
      <w:r>
        <w:rPr>
          <w:spacing w:val="1"/>
          <w:sz w:val="24"/>
        </w:rPr>
        <w:t> </w:t>
      </w:r>
      <w:r>
        <w:rPr>
          <w:sz w:val="24"/>
        </w:rPr>
        <w:t>for</w:t>
      </w:r>
      <w:r>
        <w:rPr>
          <w:spacing w:val="-1"/>
          <w:sz w:val="24"/>
        </w:rPr>
        <w:t> </w:t>
      </w:r>
      <w:r>
        <w:rPr>
          <w:sz w:val="24"/>
        </w:rPr>
        <w:t>which</w:t>
      </w:r>
      <w:r>
        <w:rPr>
          <w:spacing w:val="-1"/>
          <w:sz w:val="24"/>
        </w:rPr>
        <w:t> </w:t>
      </w:r>
      <w:r>
        <w:rPr>
          <w:sz w:val="24"/>
        </w:rPr>
        <w:t>data</w:t>
      </w:r>
      <w:r>
        <w:rPr>
          <w:spacing w:val="-3"/>
          <w:sz w:val="24"/>
        </w:rPr>
        <w:t> </w:t>
      </w:r>
      <w:r>
        <w:rPr>
          <w:sz w:val="24"/>
        </w:rPr>
        <w:t>will</w:t>
      </w:r>
      <w:r>
        <w:rPr>
          <w:spacing w:val="-1"/>
          <w:sz w:val="24"/>
        </w:rPr>
        <w:t> </w:t>
      </w:r>
      <w:r>
        <w:rPr>
          <w:sz w:val="24"/>
        </w:rPr>
        <w:t>be</w:t>
      </w:r>
      <w:r>
        <w:rPr>
          <w:spacing w:val="-2"/>
          <w:sz w:val="24"/>
        </w:rPr>
        <w:t> included.</w:t>
      </w:r>
    </w:p>
    <w:p>
      <w:pPr>
        <w:pStyle w:val="ListParagraph"/>
        <w:numPr>
          <w:ilvl w:val="1"/>
          <w:numId w:val="51"/>
        </w:numPr>
        <w:tabs>
          <w:tab w:pos="1940" w:val="left" w:leader="none"/>
        </w:tabs>
        <w:spacing w:line="240" w:lineRule="auto" w:before="60" w:after="0"/>
        <w:ind w:left="1940" w:right="1138" w:hanging="360"/>
        <w:jc w:val="left"/>
        <w:rPr>
          <w:sz w:val="24"/>
        </w:rPr>
      </w:pPr>
      <w:r>
        <w:rPr>
          <w:i/>
          <w:sz w:val="24"/>
        </w:rPr>
        <w:t>Evaluation Measures – </w:t>
      </w:r>
      <w:r>
        <w:rPr>
          <w:sz w:val="24"/>
        </w:rPr>
        <w:t>List all measures that will be calculated to evaluate the demonstration.</w:t>
      </w:r>
      <w:r>
        <w:rPr>
          <w:spacing w:val="40"/>
          <w:sz w:val="24"/>
        </w:rPr>
        <w:t> </w:t>
      </w:r>
      <w:r>
        <w:rPr>
          <w:sz w:val="24"/>
        </w:rPr>
        <w:t>The state also should include information about how it will define the numerators</w:t>
      </w:r>
      <w:r>
        <w:rPr>
          <w:spacing w:val="-4"/>
          <w:sz w:val="24"/>
        </w:rPr>
        <w:t> </w:t>
      </w:r>
      <w:r>
        <w:rPr>
          <w:sz w:val="24"/>
        </w:rPr>
        <w:t>and</w:t>
      </w:r>
      <w:r>
        <w:rPr>
          <w:spacing w:val="-4"/>
          <w:sz w:val="24"/>
        </w:rPr>
        <w:t> </w:t>
      </w:r>
      <w:r>
        <w:rPr>
          <w:sz w:val="24"/>
        </w:rPr>
        <w:t>denominators.</w:t>
      </w:r>
      <w:r>
        <w:rPr>
          <w:spacing w:val="40"/>
          <w:sz w:val="24"/>
        </w:rPr>
        <w:t> </w:t>
      </w:r>
      <w:r>
        <w:rPr>
          <w:sz w:val="24"/>
        </w:rPr>
        <w:t>Furthermore,</w:t>
      </w:r>
      <w:r>
        <w:rPr>
          <w:spacing w:val="-4"/>
          <w:sz w:val="24"/>
        </w:rPr>
        <w:t> </w:t>
      </w:r>
      <w:r>
        <w:rPr>
          <w:sz w:val="24"/>
        </w:rPr>
        <w:t>the</w:t>
      </w:r>
      <w:r>
        <w:rPr>
          <w:spacing w:val="-5"/>
          <w:sz w:val="24"/>
        </w:rPr>
        <w:t> </w:t>
      </w:r>
      <w:r>
        <w:rPr>
          <w:sz w:val="24"/>
        </w:rPr>
        <w:t>state</w:t>
      </w:r>
      <w:r>
        <w:rPr>
          <w:spacing w:val="-5"/>
          <w:sz w:val="24"/>
        </w:rPr>
        <w:t> </w:t>
      </w:r>
      <w:r>
        <w:rPr>
          <w:sz w:val="24"/>
        </w:rPr>
        <w:t>should</w:t>
      </w:r>
      <w:r>
        <w:rPr>
          <w:spacing w:val="-4"/>
          <w:sz w:val="24"/>
        </w:rPr>
        <w:t> </w:t>
      </w:r>
      <w:r>
        <w:rPr>
          <w:sz w:val="24"/>
        </w:rPr>
        <w:t>ensure</w:t>
      </w:r>
      <w:r>
        <w:rPr>
          <w:spacing w:val="-5"/>
          <w:sz w:val="24"/>
        </w:rPr>
        <w:t> </w:t>
      </w:r>
      <w:r>
        <w:rPr>
          <w:sz w:val="24"/>
        </w:rPr>
        <w:t>the</w:t>
      </w:r>
      <w:r>
        <w:rPr>
          <w:spacing w:val="-5"/>
          <w:sz w:val="24"/>
        </w:rPr>
        <w:t> </w:t>
      </w:r>
      <w:r>
        <w:rPr>
          <w:sz w:val="24"/>
        </w:rPr>
        <w:t>measures</w:t>
      </w:r>
      <w:r>
        <w:rPr>
          <w:spacing w:val="-4"/>
          <w:sz w:val="24"/>
        </w:rPr>
        <w:t> </w:t>
      </w:r>
      <w:r>
        <w:rPr>
          <w:sz w:val="24"/>
        </w:rPr>
        <w:t>contain assessments of both process and outcomes to evaluate</w:t>
      </w:r>
      <w:r>
        <w:rPr>
          <w:spacing w:val="-5"/>
          <w:sz w:val="24"/>
        </w:rPr>
        <w:t> </w:t>
      </w:r>
      <w:r>
        <w:rPr>
          <w:sz w:val="24"/>
        </w:rPr>
        <w:t>the effects of the demonstration during the period of approval.</w:t>
      </w:r>
      <w:r>
        <w:rPr>
          <w:spacing w:val="40"/>
          <w:sz w:val="24"/>
        </w:rPr>
        <w:t> </w:t>
      </w:r>
      <w:r>
        <w:rPr>
          <w:sz w:val="24"/>
        </w:rPr>
        <w:t>When selecting metrics, the state shall identify opportunities for improving quality of care and health outcomes, and controlling cost of care.</w:t>
      </w:r>
      <w:r>
        <w:rPr>
          <w:spacing w:val="40"/>
          <w:sz w:val="24"/>
        </w:rPr>
        <w:t> </w:t>
      </w:r>
      <w:r>
        <w:rPr>
          <w:sz w:val="24"/>
        </w:rPr>
        <w:t>The state also should incorporate benchmarking and comparisons to national and state standards, where appropriate.</w:t>
      </w:r>
    </w:p>
    <w:p>
      <w:pPr>
        <w:pStyle w:val="BodyText"/>
        <w:spacing w:before="60"/>
        <w:ind w:left="1940" w:right="1111"/>
      </w:pPr>
      <w:r>
        <w:rPr/>
        <w:t>The state also should include the measure stewards (i.e., the organization(s) responsible for the evaluation data elements/sets by “owning”, defining, validating, securing, and submitting for endorsement, etc.)</w:t>
      </w:r>
      <w:r>
        <w:rPr>
          <w:spacing w:val="40"/>
        </w:rPr>
        <w:t> </w:t>
      </w:r>
      <w:r>
        <w:rPr/>
        <w:t>Proposed health measures could include CMS’s Core Set of Health Care Quality Measures for Children in Medicaid and CHIP, Consumer Assessment of Health Care Providers and Systems (CAHPS), the Initial Core Set of Health</w:t>
      </w:r>
      <w:r>
        <w:rPr>
          <w:spacing w:val="-3"/>
        </w:rPr>
        <w:t> </w:t>
      </w:r>
      <w:r>
        <w:rPr/>
        <w:t>Care</w:t>
      </w:r>
      <w:r>
        <w:rPr>
          <w:spacing w:val="-2"/>
        </w:rPr>
        <w:t> </w:t>
      </w:r>
      <w:r>
        <w:rPr/>
        <w:t>Quality</w:t>
      </w:r>
      <w:r>
        <w:rPr>
          <w:spacing w:val="-8"/>
        </w:rPr>
        <w:t> </w:t>
      </w:r>
      <w:r>
        <w:rPr/>
        <w:t>Measures</w:t>
      </w:r>
      <w:r>
        <w:rPr>
          <w:spacing w:val="-3"/>
        </w:rPr>
        <w:t> </w:t>
      </w:r>
      <w:r>
        <w:rPr/>
        <w:t>for</w:t>
      </w:r>
      <w:r>
        <w:rPr>
          <w:spacing w:val="-4"/>
        </w:rPr>
        <w:t> </w:t>
      </w:r>
      <w:r>
        <w:rPr/>
        <w:t>Medicaid-Eligible</w:t>
      </w:r>
      <w:r>
        <w:rPr>
          <w:spacing w:val="-4"/>
        </w:rPr>
        <w:t> </w:t>
      </w:r>
      <w:r>
        <w:rPr/>
        <w:t>Adults</w:t>
      </w:r>
      <w:r>
        <w:rPr>
          <w:spacing w:val="-3"/>
        </w:rPr>
        <w:t> </w:t>
      </w:r>
      <w:r>
        <w:rPr/>
        <w:t>and/or</w:t>
      </w:r>
      <w:r>
        <w:rPr>
          <w:spacing w:val="-4"/>
        </w:rPr>
        <w:t> </w:t>
      </w:r>
      <w:r>
        <w:rPr/>
        <w:t>measures</w:t>
      </w:r>
      <w:r>
        <w:rPr>
          <w:spacing w:val="-3"/>
        </w:rPr>
        <w:t> </w:t>
      </w:r>
      <w:r>
        <w:rPr/>
        <w:t>endorsed</w:t>
      </w:r>
      <w:r>
        <w:rPr>
          <w:spacing w:val="-3"/>
        </w:rPr>
        <w:t> </w:t>
      </w:r>
      <w:r>
        <w:rPr/>
        <w:t>by National Quality Forum.</w:t>
      </w:r>
      <w:r>
        <w:rPr>
          <w:spacing w:val="40"/>
        </w:rPr>
        <w:t> </w:t>
      </w:r>
      <w:r>
        <w:rPr/>
        <w:t>Proposed performance metrics can be selected from nationally recognized metrics, for example from sets developed by the Center for Medicare and</w:t>
      </w:r>
    </w:p>
    <w:p>
      <w:pPr>
        <w:spacing w:after="0"/>
        <w:sectPr>
          <w:pgSz w:w="12240" w:h="15840"/>
          <w:pgMar w:header="0" w:footer="1223" w:top="640" w:bottom="1420" w:left="220" w:right="340"/>
        </w:sectPr>
      </w:pPr>
    </w:p>
    <w:p>
      <w:pPr>
        <w:spacing w:before="80"/>
        <w:ind w:left="1220" w:right="0" w:firstLine="0"/>
        <w:jc w:val="left"/>
        <w:rPr>
          <w:sz w:val="20"/>
        </w:rPr>
      </w:pPr>
      <w:r>
        <w:rPr>
          <w:sz w:val="20"/>
        </w:rPr>
        <w:t>Attachment</w:t>
      </w:r>
      <w:r>
        <w:rPr>
          <w:spacing w:val="-12"/>
          <w:sz w:val="20"/>
        </w:rPr>
        <w:t> </w:t>
      </w:r>
      <w:r>
        <w:rPr>
          <w:spacing w:val="-10"/>
          <w:sz w:val="20"/>
        </w:rPr>
        <w:t>A</w:t>
      </w:r>
    </w:p>
    <w:p>
      <w:pPr>
        <w:pStyle w:val="BodyText"/>
        <w:rPr>
          <w:sz w:val="20"/>
        </w:rPr>
      </w:pPr>
    </w:p>
    <w:p>
      <w:pPr>
        <w:pStyle w:val="BodyText"/>
        <w:spacing w:before="6"/>
        <w:rPr>
          <w:sz w:val="22"/>
        </w:rPr>
      </w:pPr>
    </w:p>
    <w:p>
      <w:pPr>
        <w:pStyle w:val="BodyText"/>
        <w:ind w:left="1940"/>
      </w:pPr>
      <w:r>
        <w:rPr/>
        <w:t>Medicaid</w:t>
      </w:r>
      <w:r>
        <w:rPr>
          <w:spacing w:val="-3"/>
        </w:rPr>
        <w:t> </w:t>
      </w:r>
      <w:r>
        <w:rPr/>
        <w:t>Innovation</w:t>
      </w:r>
      <w:r>
        <w:rPr>
          <w:spacing w:val="-2"/>
        </w:rPr>
        <w:t> </w:t>
      </w:r>
      <w:r>
        <w:rPr/>
        <w:t>or</w:t>
      </w:r>
      <w:r>
        <w:rPr>
          <w:spacing w:val="-1"/>
        </w:rPr>
        <w:t> </w:t>
      </w:r>
      <w:r>
        <w:rPr/>
        <w:t>for</w:t>
      </w:r>
      <w:r>
        <w:rPr>
          <w:spacing w:val="-3"/>
        </w:rPr>
        <w:t> </w:t>
      </w:r>
      <w:r>
        <w:rPr/>
        <w:t>meaningful</w:t>
      </w:r>
      <w:r>
        <w:rPr>
          <w:spacing w:val="-2"/>
        </w:rPr>
        <w:t> </w:t>
      </w:r>
      <w:r>
        <w:rPr/>
        <w:t>use</w:t>
      </w:r>
      <w:r>
        <w:rPr>
          <w:spacing w:val="-3"/>
        </w:rPr>
        <w:t> </w:t>
      </w:r>
      <w:r>
        <w:rPr/>
        <w:t>under</w:t>
      </w:r>
      <w:r>
        <w:rPr>
          <w:spacing w:val="-1"/>
        </w:rPr>
        <w:t> </w:t>
      </w:r>
      <w:r>
        <w:rPr/>
        <w:t>Health Information</w:t>
      </w:r>
      <w:r>
        <w:rPr>
          <w:spacing w:val="-2"/>
        </w:rPr>
        <w:t> Technology.</w:t>
      </w:r>
    </w:p>
    <w:p>
      <w:pPr>
        <w:pStyle w:val="ListParagraph"/>
        <w:numPr>
          <w:ilvl w:val="1"/>
          <w:numId w:val="51"/>
        </w:numPr>
        <w:tabs>
          <w:tab w:pos="1939" w:val="left" w:leader="none"/>
        </w:tabs>
        <w:spacing w:line="240" w:lineRule="auto" w:before="60" w:after="0"/>
        <w:ind w:left="1939" w:right="1213" w:hanging="360"/>
        <w:jc w:val="left"/>
        <w:rPr>
          <w:sz w:val="24"/>
        </w:rPr>
      </w:pPr>
      <w:r>
        <w:rPr>
          <w:i/>
          <w:sz w:val="24"/>
        </w:rPr>
        <w:t>Data Sources – </w:t>
      </w:r>
      <w:r>
        <w:rPr>
          <w:sz w:val="24"/>
        </w:rPr>
        <w:t>Explain from where the data will be obtained, describe any efforts to validate</w:t>
      </w:r>
      <w:r>
        <w:rPr>
          <w:spacing w:val="-4"/>
          <w:sz w:val="24"/>
        </w:rPr>
        <w:t> </w:t>
      </w:r>
      <w:r>
        <w:rPr>
          <w:sz w:val="24"/>
        </w:rPr>
        <w:t>and</w:t>
      </w:r>
      <w:r>
        <w:rPr>
          <w:spacing w:val="-3"/>
          <w:sz w:val="24"/>
        </w:rPr>
        <w:t> </w:t>
      </w:r>
      <w:r>
        <w:rPr>
          <w:sz w:val="24"/>
        </w:rPr>
        <w:t>clean</w:t>
      </w:r>
      <w:r>
        <w:rPr>
          <w:spacing w:val="-3"/>
          <w:sz w:val="24"/>
        </w:rPr>
        <w:t> </w:t>
      </w:r>
      <w:r>
        <w:rPr>
          <w:sz w:val="24"/>
        </w:rPr>
        <w:t>the</w:t>
      </w:r>
      <w:r>
        <w:rPr>
          <w:spacing w:val="-4"/>
          <w:sz w:val="24"/>
        </w:rPr>
        <w:t> </w:t>
      </w:r>
      <w:r>
        <w:rPr>
          <w:sz w:val="24"/>
        </w:rPr>
        <w:t>data,</w:t>
      </w:r>
      <w:r>
        <w:rPr>
          <w:spacing w:val="-3"/>
          <w:sz w:val="24"/>
        </w:rPr>
        <w:t> </w:t>
      </w:r>
      <w:r>
        <w:rPr>
          <w:sz w:val="24"/>
        </w:rPr>
        <w:t>and</w:t>
      </w:r>
      <w:r>
        <w:rPr>
          <w:spacing w:val="-3"/>
          <w:sz w:val="24"/>
        </w:rPr>
        <w:t> </w:t>
      </w:r>
      <w:r>
        <w:rPr>
          <w:sz w:val="24"/>
        </w:rPr>
        <w:t>discuss</w:t>
      </w:r>
      <w:r>
        <w:rPr>
          <w:spacing w:val="-3"/>
          <w:sz w:val="24"/>
        </w:rPr>
        <w:t> </w:t>
      </w:r>
      <w:r>
        <w:rPr>
          <w:sz w:val="24"/>
        </w:rPr>
        <w:t>the</w:t>
      </w:r>
      <w:r>
        <w:rPr>
          <w:spacing w:val="-4"/>
          <w:sz w:val="24"/>
        </w:rPr>
        <w:t> </w:t>
      </w:r>
      <w:r>
        <w:rPr>
          <w:sz w:val="24"/>
        </w:rPr>
        <w:t>quality</w:t>
      </w:r>
      <w:r>
        <w:rPr>
          <w:spacing w:val="-6"/>
          <w:sz w:val="24"/>
        </w:rPr>
        <w:t> </w:t>
      </w:r>
      <w:r>
        <w:rPr>
          <w:sz w:val="24"/>
        </w:rPr>
        <w:t>and</w:t>
      </w:r>
      <w:r>
        <w:rPr>
          <w:spacing w:val="-3"/>
          <w:sz w:val="24"/>
        </w:rPr>
        <w:t> </w:t>
      </w:r>
      <w:r>
        <w:rPr>
          <w:sz w:val="24"/>
        </w:rPr>
        <w:t>limitations</w:t>
      </w:r>
      <w:r>
        <w:rPr>
          <w:spacing w:val="-3"/>
          <w:sz w:val="24"/>
        </w:rPr>
        <w:t> </w:t>
      </w:r>
      <w:r>
        <w:rPr>
          <w:sz w:val="24"/>
        </w:rPr>
        <w:t>of</w:t>
      </w:r>
      <w:r>
        <w:rPr>
          <w:spacing w:val="-4"/>
          <w:sz w:val="24"/>
        </w:rPr>
        <w:t> </w:t>
      </w:r>
      <w:r>
        <w:rPr>
          <w:sz w:val="24"/>
        </w:rPr>
        <w:t>the</w:t>
      </w:r>
      <w:r>
        <w:rPr>
          <w:spacing w:val="-4"/>
          <w:sz w:val="24"/>
        </w:rPr>
        <w:t> </w:t>
      </w:r>
      <w:r>
        <w:rPr>
          <w:sz w:val="24"/>
        </w:rPr>
        <w:t>data</w:t>
      </w:r>
      <w:r>
        <w:rPr>
          <w:spacing w:val="-4"/>
          <w:sz w:val="24"/>
        </w:rPr>
        <w:t> </w:t>
      </w:r>
      <w:r>
        <w:rPr>
          <w:sz w:val="24"/>
        </w:rPr>
        <w:t>sources.</w:t>
      </w:r>
      <w:r>
        <w:rPr>
          <w:spacing w:val="40"/>
          <w:sz w:val="24"/>
        </w:rPr>
        <w:t> </w:t>
      </w:r>
      <w:r>
        <w:rPr>
          <w:sz w:val="24"/>
        </w:rPr>
        <w:t>If the</w:t>
      </w:r>
      <w:r>
        <w:rPr>
          <w:spacing w:val="-3"/>
          <w:sz w:val="24"/>
        </w:rPr>
        <w:t> </w:t>
      </w:r>
      <w:r>
        <w:rPr>
          <w:sz w:val="24"/>
        </w:rPr>
        <w:t>state</w:t>
      </w:r>
      <w:r>
        <w:rPr>
          <w:spacing w:val="-4"/>
          <w:sz w:val="24"/>
        </w:rPr>
        <w:t> </w:t>
      </w:r>
      <w:r>
        <w:rPr>
          <w:sz w:val="24"/>
        </w:rPr>
        <w:t>plans</w:t>
      </w:r>
      <w:r>
        <w:rPr>
          <w:spacing w:val="-3"/>
          <w:sz w:val="24"/>
        </w:rPr>
        <w:t> </w:t>
      </w:r>
      <w:r>
        <w:rPr>
          <w:sz w:val="24"/>
        </w:rPr>
        <w:t>to</w:t>
      </w:r>
      <w:r>
        <w:rPr>
          <w:spacing w:val="-3"/>
          <w:sz w:val="24"/>
        </w:rPr>
        <w:t> </w:t>
      </w:r>
      <w:r>
        <w:rPr>
          <w:sz w:val="24"/>
        </w:rPr>
        <w:t>collect primary</w:t>
      </w:r>
      <w:r>
        <w:rPr>
          <w:spacing w:val="-7"/>
          <w:sz w:val="24"/>
        </w:rPr>
        <w:t> </w:t>
      </w:r>
      <w:r>
        <w:rPr>
          <w:sz w:val="24"/>
        </w:rPr>
        <w:t>data</w:t>
      </w:r>
      <w:r>
        <w:rPr>
          <w:spacing w:val="-3"/>
          <w:sz w:val="24"/>
        </w:rPr>
        <w:t> </w:t>
      </w:r>
      <w:r>
        <w:rPr>
          <w:sz w:val="24"/>
        </w:rPr>
        <w:t>(i.e.,</w:t>
      </w:r>
      <w:r>
        <w:rPr>
          <w:spacing w:val="-3"/>
          <w:sz w:val="24"/>
        </w:rPr>
        <w:t> </w:t>
      </w:r>
      <w:r>
        <w:rPr>
          <w:sz w:val="24"/>
        </w:rPr>
        <w:t>data</w:t>
      </w:r>
      <w:r>
        <w:rPr>
          <w:spacing w:val="-2"/>
          <w:sz w:val="24"/>
        </w:rPr>
        <w:t> </w:t>
      </w:r>
      <w:r>
        <w:rPr>
          <w:sz w:val="24"/>
        </w:rPr>
        <w:t>collected</w:t>
      </w:r>
      <w:r>
        <w:rPr>
          <w:spacing w:val="-3"/>
          <w:sz w:val="24"/>
        </w:rPr>
        <w:t> </w:t>
      </w:r>
      <w:r>
        <w:rPr>
          <w:sz w:val="24"/>
        </w:rPr>
        <w:t>specifically</w:t>
      </w:r>
      <w:r>
        <w:rPr>
          <w:spacing w:val="-5"/>
          <w:sz w:val="24"/>
        </w:rPr>
        <w:t> </w:t>
      </w:r>
      <w:r>
        <w:rPr>
          <w:sz w:val="24"/>
        </w:rPr>
        <w:t>for</w:t>
      </w:r>
      <w:r>
        <w:rPr>
          <w:spacing w:val="-3"/>
          <w:sz w:val="24"/>
        </w:rPr>
        <w:t> </w:t>
      </w:r>
      <w:r>
        <w:rPr>
          <w:sz w:val="24"/>
        </w:rPr>
        <w:t>the</w:t>
      </w:r>
      <w:r>
        <w:rPr>
          <w:spacing w:val="-4"/>
          <w:sz w:val="24"/>
        </w:rPr>
        <w:t> </w:t>
      </w:r>
      <w:r>
        <w:rPr>
          <w:sz w:val="24"/>
        </w:rPr>
        <w:t>evaluation), include the methods by which the data will be collected, the source of the proposed questions and responses, and the frequency and timing of data collection.</w:t>
      </w:r>
      <w:r>
        <w:rPr>
          <w:spacing w:val="40"/>
          <w:sz w:val="24"/>
        </w:rPr>
        <w:t> </w:t>
      </w:r>
      <w:r>
        <w:rPr>
          <w:sz w:val="24"/>
        </w:rPr>
        <w:t>Additionally, copies of any proposed surveys must be provided to CMS for approval before </w:t>
      </w:r>
      <w:r>
        <w:rPr>
          <w:spacing w:val="-2"/>
          <w:sz w:val="24"/>
        </w:rPr>
        <w:t>implementation.</w:t>
      </w:r>
    </w:p>
    <w:p>
      <w:pPr>
        <w:pStyle w:val="ListParagraph"/>
        <w:numPr>
          <w:ilvl w:val="1"/>
          <w:numId w:val="51"/>
        </w:numPr>
        <w:tabs>
          <w:tab w:pos="1940" w:val="left" w:leader="none"/>
        </w:tabs>
        <w:spacing w:line="240" w:lineRule="auto" w:before="60" w:after="0"/>
        <w:ind w:left="1940" w:right="1435" w:hanging="360"/>
        <w:jc w:val="left"/>
        <w:rPr>
          <w:sz w:val="24"/>
        </w:rPr>
      </w:pPr>
      <w:bookmarkStart w:name="6. Analytic Methods – This section inclu" w:id="1147"/>
      <w:bookmarkEnd w:id="1147"/>
      <w:r>
        <w:rPr/>
      </w:r>
      <w:r>
        <w:rPr>
          <w:i/>
          <w:sz w:val="24"/>
        </w:rPr>
        <w:t>Analytic</w:t>
      </w:r>
      <w:r>
        <w:rPr>
          <w:i/>
          <w:spacing w:val="-4"/>
          <w:sz w:val="24"/>
        </w:rPr>
        <w:t> </w:t>
      </w:r>
      <w:r>
        <w:rPr>
          <w:i/>
          <w:sz w:val="24"/>
        </w:rPr>
        <w:t>Methods</w:t>
      </w:r>
      <w:r>
        <w:rPr>
          <w:i/>
          <w:spacing w:val="-3"/>
          <w:sz w:val="24"/>
        </w:rPr>
        <w:t> </w:t>
      </w:r>
      <w:r>
        <w:rPr>
          <w:i/>
          <w:sz w:val="24"/>
        </w:rPr>
        <w:t>–</w:t>
      </w:r>
      <w:r>
        <w:rPr>
          <w:i/>
          <w:spacing w:val="-3"/>
          <w:sz w:val="24"/>
        </w:rPr>
        <w:t> </w:t>
      </w:r>
      <w:r>
        <w:rPr>
          <w:sz w:val="24"/>
        </w:rPr>
        <w:t>This</w:t>
      </w:r>
      <w:r>
        <w:rPr>
          <w:spacing w:val="-3"/>
          <w:sz w:val="24"/>
        </w:rPr>
        <w:t> </w:t>
      </w:r>
      <w:r>
        <w:rPr>
          <w:sz w:val="24"/>
        </w:rPr>
        <w:t>section</w:t>
      </w:r>
      <w:r>
        <w:rPr>
          <w:spacing w:val="-3"/>
          <w:sz w:val="24"/>
        </w:rPr>
        <w:t> </w:t>
      </w:r>
      <w:r>
        <w:rPr>
          <w:sz w:val="24"/>
        </w:rPr>
        <w:t>includes</w:t>
      </w:r>
      <w:r>
        <w:rPr>
          <w:spacing w:val="-3"/>
          <w:sz w:val="24"/>
        </w:rPr>
        <w:t> </w:t>
      </w:r>
      <w:r>
        <w:rPr>
          <w:sz w:val="24"/>
        </w:rPr>
        <w:t>the</w:t>
      </w:r>
      <w:r>
        <w:rPr>
          <w:spacing w:val="-4"/>
          <w:sz w:val="24"/>
        </w:rPr>
        <w:t> </w:t>
      </w:r>
      <w:r>
        <w:rPr>
          <w:sz w:val="24"/>
        </w:rPr>
        <w:t>details</w:t>
      </w:r>
      <w:r>
        <w:rPr>
          <w:spacing w:val="-3"/>
          <w:sz w:val="24"/>
        </w:rPr>
        <w:t> </w:t>
      </w:r>
      <w:r>
        <w:rPr>
          <w:sz w:val="24"/>
        </w:rPr>
        <w:t>of</w:t>
      </w:r>
      <w:r>
        <w:rPr>
          <w:spacing w:val="-4"/>
          <w:sz w:val="24"/>
        </w:rPr>
        <w:t> </w:t>
      </w:r>
      <w:r>
        <w:rPr>
          <w:sz w:val="24"/>
        </w:rPr>
        <w:t>the</w:t>
      </w:r>
      <w:r>
        <w:rPr>
          <w:spacing w:val="-4"/>
          <w:sz w:val="24"/>
        </w:rPr>
        <w:t> </w:t>
      </w:r>
      <w:r>
        <w:rPr>
          <w:sz w:val="24"/>
        </w:rPr>
        <w:t>selected</w:t>
      </w:r>
      <w:r>
        <w:rPr>
          <w:spacing w:val="-3"/>
          <w:sz w:val="24"/>
        </w:rPr>
        <w:t> </w:t>
      </w:r>
      <w:r>
        <w:rPr>
          <w:sz w:val="24"/>
        </w:rPr>
        <w:t>quantitative</w:t>
      </w:r>
      <w:r>
        <w:rPr>
          <w:spacing w:val="-4"/>
          <w:sz w:val="24"/>
        </w:rPr>
        <w:t> </w:t>
      </w:r>
      <w:r>
        <w:rPr>
          <w:sz w:val="24"/>
        </w:rPr>
        <w:t>and/or qualitative analysis measures that will adequately assess the effectiveness of the demonstration.</w:t>
      </w:r>
      <w:r>
        <w:rPr>
          <w:spacing w:val="40"/>
          <w:sz w:val="24"/>
        </w:rPr>
        <w:t> </w:t>
      </w:r>
      <w:r>
        <w:rPr>
          <w:sz w:val="24"/>
        </w:rPr>
        <w:t>This section should:</w:t>
      </w:r>
    </w:p>
    <w:p>
      <w:pPr>
        <w:pStyle w:val="ListParagraph"/>
        <w:numPr>
          <w:ilvl w:val="2"/>
          <w:numId w:val="51"/>
        </w:numPr>
        <w:tabs>
          <w:tab w:pos="2660" w:val="left" w:leader="none"/>
        </w:tabs>
        <w:spacing w:line="240" w:lineRule="auto" w:before="60" w:after="0"/>
        <w:ind w:left="2660" w:right="1243" w:hanging="360"/>
        <w:jc w:val="left"/>
        <w:rPr>
          <w:sz w:val="24"/>
        </w:rPr>
      </w:pPr>
      <w:bookmarkStart w:name="a. Identify the specific statistical tes" w:id="1148"/>
      <w:bookmarkEnd w:id="1148"/>
      <w:r>
        <w:rPr/>
      </w:r>
      <w:r>
        <w:rPr>
          <w:sz w:val="24"/>
        </w:rPr>
        <w:t>Identify</w:t>
      </w:r>
      <w:r>
        <w:rPr>
          <w:spacing w:val="-8"/>
          <w:sz w:val="24"/>
        </w:rPr>
        <w:t> </w:t>
      </w:r>
      <w:r>
        <w:rPr>
          <w:sz w:val="24"/>
        </w:rPr>
        <w:t>the</w:t>
      </w:r>
      <w:r>
        <w:rPr>
          <w:spacing w:val="-4"/>
          <w:sz w:val="24"/>
        </w:rPr>
        <w:t> </w:t>
      </w:r>
      <w:r>
        <w:rPr>
          <w:sz w:val="24"/>
        </w:rPr>
        <w:t>specific</w:t>
      </w:r>
      <w:r>
        <w:rPr>
          <w:spacing w:val="-4"/>
          <w:sz w:val="24"/>
        </w:rPr>
        <w:t> </w:t>
      </w:r>
      <w:r>
        <w:rPr>
          <w:sz w:val="24"/>
        </w:rPr>
        <w:t>statistical</w:t>
      </w:r>
      <w:r>
        <w:rPr>
          <w:spacing w:val="-3"/>
          <w:sz w:val="24"/>
        </w:rPr>
        <w:t> </w:t>
      </w:r>
      <w:r>
        <w:rPr>
          <w:sz w:val="24"/>
        </w:rPr>
        <w:t>testing</w:t>
      </w:r>
      <w:r>
        <w:rPr>
          <w:spacing w:val="-6"/>
          <w:sz w:val="24"/>
        </w:rPr>
        <w:t> </w:t>
      </w:r>
      <w:r>
        <w:rPr>
          <w:sz w:val="24"/>
        </w:rPr>
        <w:t>which</w:t>
      </w:r>
      <w:r>
        <w:rPr>
          <w:spacing w:val="-3"/>
          <w:sz w:val="24"/>
        </w:rPr>
        <w:t> </w:t>
      </w:r>
      <w:r>
        <w:rPr>
          <w:sz w:val="24"/>
        </w:rPr>
        <w:t>will</w:t>
      </w:r>
      <w:r>
        <w:rPr>
          <w:spacing w:val="-2"/>
          <w:sz w:val="24"/>
        </w:rPr>
        <w:t> </w:t>
      </w:r>
      <w:r>
        <w:rPr>
          <w:sz w:val="24"/>
        </w:rPr>
        <w:t>be</w:t>
      </w:r>
      <w:r>
        <w:rPr>
          <w:spacing w:val="-4"/>
          <w:sz w:val="24"/>
        </w:rPr>
        <w:t> </w:t>
      </w:r>
      <w:r>
        <w:rPr>
          <w:sz w:val="24"/>
        </w:rPr>
        <w:t>undertaken</w:t>
      </w:r>
      <w:r>
        <w:rPr>
          <w:spacing w:val="-3"/>
          <w:sz w:val="24"/>
        </w:rPr>
        <w:t> </w:t>
      </w:r>
      <w:r>
        <w:rPr>
          <w:sz w:val="24"/>
        </w:rPr>
        <w:t>for</w:t>
      </w:r>
      <w:r>
        <w:rPr>
          <w:spacing w:val="-3"/>
          <w:sz w:val="24"/>
        </w:rPr>
        <w:t> </w:t>
      </w:r>
      <w:r>
        <w:rPr>
          <w:sz w:val="24"/>
        </w:rPr>
        <w:t>each</w:t>
      </w:r>
      <w:r>
        <w:rPr>
          <w:spacing w:val="-3"/>
          <w:sz w:val="24"/>
        </w:rPr>
        <w:t> </w:t>
      </w:r>
      <w:r>
        <w:rPr>
          <w:sz w:val="24"/>
        </w:rPr>
        <w:t>measure (e.g., t-tests, chi-square, odds ratio, ANOVA, regression).</w:t>
      </w:r>
    </w:p>
    <w:p>
      <w:pPr>
        <w:pStyle w:val="ListParagraph"/>
        <w:numPr>
          <w:ilvl w:val="2"/>
          <w:numId w:val="51"/>
        </w:numPr>
        <w:tabs>
          <w:tab w:pos="2660" w:val="left" w:leader="none"/>
        </w:tabs>
        <w:spacing w:line="240" w:lineRule="auto" w:before="60" w:after="0"/>
        <w:ind w:left="2660" w:right="1645" w:hanging="360"/>
        <w:jc w:val="left"/>
        <w:rPr>
          <w:sz w:val="24"/>
        </w:rPr>
      </w:pPr>
      <w:r>
        <w:rPr>
          <w:sz w:val="24"/>
        </w:rPr>
        <w:t>Explain</w:t>
      </w:r>
      <w:r>
        <w:rPr>
          <w:spacing w:val="-3"/>
          <w:sz w:val="24"/>
        </w:rPr>
        <w:t> </w:t>
      </w:r>
      <w:r>
        <w:rPr>
          <w:sz w:val="24"/>
        </w:rPr>
        <w:t>how</w:t>
      </w:r>
      <w:r>
        <w:rPr>
          <w:spacing w:val="-4"/>
          <w:sz w:val="24"/>
        </w:rPr>
        <w:t> </w:t>
      </w:r>
      <w:r>
        <w:rPr>
          <w:sz w:val="24"/>
        </w:rPr>
        <w:t>the</w:t>
      </w:r>
      <w:r>
        <w:rPr>
          <w:spacing w:val="-4"/>
          <w:sz w:val="24"/>
        </w:rPr>
        <w:t> </w:t>
      </w:r>
      <w:r>
        <w:rPr>
          <w:sz w:val="24"/>
        </w:rPr>
        <w:t>state</w:t>
      </w:r>
      <w:r>
        <w:rPr>
          <w:spacing w:val="-4"/>
          <w:sz w:val="24"/>
        </w:rPr>
        <w:t> </w:t>
      </w:r>
      <w:r>
        <w:rPr>
          <w:sz w:val="24"/>
        </w:rPr>
        <w:t>will</w:t>
      </w:r>
      <w:r>
        <w:rPr>
          <w:spacing w:val="-3"/>
          <w:sz w:val="24"/>
        </w:rPr>
        <w:t> </w:t>
      </w:r>
      <w:r>
        <w:rPr>
          <w:sz w:val="24"/>
        </w:rPr>
        <w:t>isolate</w:t>
      </w:r>
      <w:r>
        <w:rPr>
          <w:spacing w:val="-4"/>
          <w:sz w:val="24"/>
        </w:rPr>
        <w:t> </w:t>
      </w:r>
      <w:r>
        <w:rPr>
          <w:sz w:val="24"/>
        </w:rPr>
        <w:t>the</w:t>
      </w:r>
      <w:r>
        <w:rPr>
          <w:spacing w:val="-4"/>
          <w:sz w:val="24"/>
        </w:rPr>
        <w:t> </w:t>
      </w:r>
      <w:r>
        <w:rPr>
          <w:sz w:val="24"/>
        </w:rPr>
        <w:t>effects</w:t>
      </w:r>
      <w:r>
        <w:rPr>
          <w:spacing w:val="-3"/>
          <w:sz w:val="24"/>
        </w:rPr>
        <w:t> </w:t>
      </w:r>
      <w:r>
        <w:rPr>
          <w:sz w:val="24"/>
        </w:rPr>
        <w:t>of</w:t>
      </w:r>
      <w:r>
        <w:rPr>
          <w:spacing w:val="-4"/>
          <w:sz w:val="24"/>
        </w:rPr>
        <w:t> </w:t>
      </w:r>
      <w:r>
        <w:rPr>
          <w:sz w:val="24"/>
        </w:rPr>
        <w:t>the</w:t>
      </w:r>
      <w:r>
        <w:rPr>
          <w:spacing w:val="-2"/>
          <w:sz w:val="24"/>
        </w:rPr>
        <w:t> </w:t>
      </w:r>
      <w:r>
        <w:rPr>
          <w:sz w:val="24"/>
        </w:rPr>
        <w:t>demonstration</w:t>
      </w:r>
      <w:r>
        <w:rPr>
          <w:spacing w:val="-3"/>
          <w:sz w:val="24"/>
        </w:rPr>
        <w:t> </w:t>
      </w:r>
      <w:r>
        <w:rPr>
          <w:sz w:val="24"/>
        </w:rPr>
        <w:t>from</w:t>
      </w:r>
      <w:r>
        <w:rPr>
          <w:spacing w:val="-3"/>
          <w:sz w:val="24"/>
        </w:rPr>
        <w:t> </w:t>
      </w:r>
      <w:r>
        <w:rPr>
          <w:sz w:val="24"/>
        </w:rPr>
        <w:t>other initiatives occurring in the state at the same time (e.g., through the use of comparison groups).</w:t>
      </w:r>
    </w:p>
    <w:p>
      <w:pPr>
        <w:pStyle w:val="ListParagraph"/>
        <w:numPr>
          <w:ilvl w:val="2"/>
          <w:numId w:val="51"/>
        </w:numPr>
        <w:tabs>
          <w:tab w:pos="2660" w:val="left" w:leader="none"/>
        </w:tabs>
        <w:spacing w:line="240" w:lineRule="auto" w:before="60" w:after="0"/>
        <w:ind w:left="2660" w:right="1963" w:hanging="360"/>
        <w:jc w:val="left"/>
        <w:rPr>
          <w:sz w:val="24"/>
        </w:rPr>
      </w:pPr>
      <w:r>
        <w:rPr>
          <w:sz w:val="24"/>
        </w:rPr>
        <w:t>Include</w:t>
      </w:r>
      <w:r>
        <w:rPr>
          <w:spacing w:val="-5"/>
          <w:sz w:val="24"/>
        </w:rPr>
        <w:t> </w:t>
      </w:r>
      <w:r>
        <w:rPr>
          <w:sz w:val="24"/>
        </w:rPr>
        <w:t>a</w:t>
      </w:r>
      <w:r>
        <w:rPr>
          <w:spacing w:val="-5"/>
          <w:sz w:val="24"/>
        </w:rPr>
        <w:t> </w:t>
      </w:r>
      <w:r>
        <w:rPr>
          <w:sz w:val="24"/>
        </w:rPr>
        <w:t>discussion</w:t>
      </w:r>
      <w:r>
        <w:rPr>
          <w:spacing w:val="-4"/>
          <w:sz w:val="24"/>
        </w:rPr>
        <w:t> </w:t>
      </w:r>
      <w:r>
        <w:rPr>
          <w:sz w:val="24"/>
        </w:rPr>
        <w:t>of</w:t>
      </w:r>
      <w:r>
        <w:rPr>
          <w:spacing w:val="-5"/>
          <w:sz w:val="24"/>
        </w:rPr>
        <w:t> </w:t>
      </w:r>
      <w:r>
        <w:rPr>
          <w:sz w:val="24"/>
        </w:rPr>
        <w:t>how</w:t>
      </w:r>
      <w:r>
        <w:rPr>
          <w:spacing w:val="-5"/>
          <w:sz w:val="24"/>
        </w:rPr>
        <w:t> </w:t>
      </w:r>
      <w:r>
        <w:rPr>
          <w:sz w:val="24"/>
        </w:rPr>
        <w:t>propensity</w:t>
      </w:r>
      <w:r>
        <w:rPr>
          <w:spacing w:val="-9"/>
          <w:sz w:val="24"/>
        </w:rPr>
        <w:t> </w:t>
      </w:r>
      <w:r>
        <w:rPr>
          <w:sz w:val="24"/>
        </w:rPr>
        <w:t>score</w:t>
      </w:r>
      <w:r>
        <w:rPr>
          <w:spacing w:val="-5"/>
          <w:sz w:val="24"/>
        </w:rPr>
        <w:t> </w:t>
      </w:r>
      <w:r>
        <w:rPr>
          <w:sz w:val="24"/>
        </w:rPr>
        <w:t>matching</w:t>
      </w:r>
      <w:r>
        <w:rPr>
          <w:spacing w:val="-4"/>
          <w:sz w:val="24"/>
        </w:rPr>
        <w:t> </w:t>
      </w:r>
      <w:r>
        <w:rPr>
          <w:sz w:val="24"/>
        </w:rPr>
        <w:t>and</w:t>
      </w:r>
      <w:r>
        <w:rPr>
          <w:spacing w:val="-4"/>
          <w:sz w:val="24"/>
        </w:rPr>
        <w:t> </w:t>
      </w:r>
      <w:r>
        <w:rPr>
          <w:sz w:val="24"/>
        </w:rPr>
        <w:t>difference-in- differences designs may be used to adjust for differences in comparison populations over time, if applicable.</w:t>
      </w:r>
    </w:p>
    <w:p>
      <w:pPr>
        <w:pStyle w:val="ListParagraph"/>
        <w:numPr>
          <w:ilvl w:val="2"/>
          <w:numId w:val="51"/>
        </w:numPr>
        <w:tabs>
          <w:tab w:pos="2660" w:val="left" w:leader="none"/>
        </w:tabs>
        <w:spacing w:line="240" w:lineRule="auto" w:before="60" w:after="0"/>
        <w:ind w:left="2660" w:right="0" w:hanging="360"/>
        <w:jc w:val="left"/>
        <w:rPr>
          <w:sz w:val="24"/>
        </w:rPr>
      </w:pPr>
      <w:r>
        <w:rPr>
          <w:sz w:val="24"/>
        </w:rPr>
        <w:t>Consider</w:t>
      </w:r>
      <w:r>
        <w:rPr>
          <w:spacing w:val="-5"/>
          <w:sz w:val="24"/>
        </w:rPr>
        <w:t> </w:t>
      </w:r>
      <w:r>
        <w:rPr>
          <w:sz w:val="24"/>
        </w:rPr>
        <w:t>the</w:t>
      </w:r>
      <w:r>
        <w:rPr>
          <w:spacing w:val="-2"/>
          <w:sz w:val="24"/>
        </w:rPr>
        <w:t> </w:t>
      </w:r>
      <w:r>
        <w:rPr>
          <w:sz w:val="24"/>
        </w:rPr>
        <w:t>application of</w:t>
      </w:r>
      <w:r>
        <w:rPr>
          <w:spacing w:val="-2"/>
          <w:sz w:val="24"/>
        </w:rPr>
        <w:t> </w:t>
      </w:r>
      <w:r>
        <w:rPr>
          <w:sz w:val="24"/>
        </w:rPr>
        <w:t>sensitivity</w:t>
      </w:r>
      <w:r>
        <w:rPr>
          <w:spacing w:val="-7"/>
          <w:sz w:val="24"/>
        </w:rPr>
        <w:t> </w:t>
      </w:r>
      <w:r>
        <w:rPr>
          <w:sz w:val="24"/>
        </w:rPr>
        <w:t>analyses,</w:t>
      </w:r>
      <w:r>
        <w:rPr>
          <w:spacing w:val="1"/>
          <w:sz w:val="24"/>
        </w:rPr>
        <w:t> </w:t>
      </w:r>
      <w:r>
        <w:rPr>
          <w:sz w:val="24"/>
        </w:rPr>
        <w:t>as</w:t>
      </w:r>
      <w:r>
        <w:rPr>
          <w:spacing w:val="1"/>
          <w:sz w:val="24"/>
        </w:rPr>
        <w:t> </w:t>
      </w:r>
      <w:r>
        <w:rPr>
          <w:spacing w:val="-2"/>
          <w:sz w:val="24"/>
        </w:rPr>
        <w:t>appropriate.</w:t>
      </w:r>
    </w:p>
    <w:p>
      <w:pPr>
        <w:pStyle w:val="ListParagraph"/>
        <w:numPr>
          <w:ilvl w:val="1"/>
          <w:numId w:val="51"/>
        </w:numPr>
        <w:tabs>
          <w:tab w:pos="1940" w:val="left" w:leader="none"/>
        </w:tabs>
        <w:spacing w:line="240" w:lineRule="auto" w:before="60" w:after="0"/>
        <w:ind w:left="1940" w:right="2150" w:hanging="360"/>
        <w:jc w:val="left"/>
        <w:rPr>
          <w:sz w:val="24"/>
        </w:rPr>
      </w:pPr>
      <w:r>
        <w:rPr>
          <w:i/>
          <w:sz w:val="24"/>
        </w:rPr>
        <w:t>Other</w:t>
      </w:r>
      <w:r>
        <w:rPr>
          <w:i/>
          <w:spacing w:val="-3"/>
          <w:sz w:val="24"/>
        </w:rPr>
        <w:t> </w:t>
      </w:r>
      <w:r>
        <w:rPr>
          <w:i/>
          <w:sz w:val="24"/>
        </w:rPr>
        <w:t>Additions</w:t>
      </w:r>
      <w:r>
        <w:rPr>
          <w:i/>
          <w:spacing w:val="-3"/>
          <w:sz w:val="24"/>
        </w:rPr>
        <w:t> </w:t>
      </w:r>
      <w:r>
        <w:rPr>
          <w:sz w:val="24"/>
        </w:rPr>
        <w:t>–</w:t>
      </w:r>
      <w:r>
        <w:rPr>
          <w:spacing w:val="-3"/>
          <w:sz w:val="24"/>
        </w:rPr>
        <w:t> </w:t>
      </w:r>
      <w:r>
        <w:rPr>
          <w:sz w:val="24"/>
        </w:rPr>
        <w:t>The</w:t>
      </w:r>
      <w:r>
        <w:rPr>
          <w:spacing w:val="-4"/>
          <w:sz w:val="24"/>
        </w:rPr>
        <w:t> </w:t>
      </w:r>
      <w:r>
        <w:rPr>
          <w:sz w:val="24"/>
        </w:rPr>
        <w:t>state</w:t>
      </w:r>
      <w:r>
        <w:rPr>
          <w:spacing w:val="-4"/>
          <w:sz w:val="24"/>
        </w:rPr>
        <w:t> </w:t>
      </w:r>
      <w:r>
        <w:rPr>
          <w:sz w:val="24"/>
        </w:rPr>
        <w:t>may</w:t>
      </w:r>
      <w:r>
        <w:rPr>
          <w:spacing w:val="-7"/>
          <w:sz w:val="24"/>
        </w:rPr>
        <w:t> </w:t>
      </w:r>
      <w:r>
        <w:rPr>
          <w:sz w:val="24"/>
        </w:rPr>
        <w:t>provide</w:t>
      </w:r>
      <w:r>
        <w:rPr>
          <w:spacing w:val="-2"/>
          <w:sz w:val="24"/>
        </w:rPr>
        <w:t> </w:t>
      </w:r>
      <w:r>
        <w:rPr>
          <w:sz w:val="24"/>
        </w:rPr>
        <w:t>any</w:t>
      </w:r>
      <w:r>
        <w:rPr>
          <w:spacing w:val="-7"/>
          <w:sz w:val="24"/>
        </w:rPr>
        <w:t> </w:t>
      </w:r>
      <w:r>
        <w:rPr>
          <w:sz w:val="24"/>
        </w:rPr>
        <w:t>other</w:t>
      </w:r>
      <w:r>
        <w:rPr>
          <w:spacing w:val="-4"/>
          <w:sz w:val="24"/>
        </w:rPr>
        <w:t> </w:t>
      </w:r>
      <w:r>
        <w:rPr>
          <w:sz w:val="24"/>
        </w:rPr>
        <w:t>information</w:t>
      </w:r>
      <w:r>
        <w:rPr>
          <w:spacing w:val="-3"/>
          <w:sz w:val="24"/>
        </w:rPr>
        <w:t> </w:t>
      </w:r>
      <w:r>
        <w:rPr>
          <w:sz w:val="24"/>
        </w:rPr>
        <w:t>pertinent</w:t>
      </w:r>
      <w:r>
        <w:rPr>
          <w:spacing w:val="-3"/>
          <w:sz w:val="24"/>
        </w:rPr>
        <w:t> </w:t>
      </w:r>
      <w:r>
        <w:rPr>
          <w:sz w:val="24"/>
        </w:rPr>
        <w:t>to</w:t>
      </w:r>
      <w:r>
        <w:rPr>
          <w:spacing w:val="-1"/>
          <w:sz w:val="24"/>
        </w:rPr>
        <w:t> </w:t>
      </w:r>
      <w:r>
        <w:rPr>
          <w:sz w:val="24"/>
        </w:rPr>
        <w:t>the Evaluation Design for the demonstration.</w:t>
      </w:r>
    </w:p>
    <w:p>
      <w:pPr>
        <w:spacing w:after="0" w:line="240" w:lineRule="auto"/>
        <w:jc w:val="left"/>
        <w:rPr>
          <w:sz w:val="24"/>
        </w:rPr>
        <w:sectPr>
          <w:pgSz w:w="12240" w:h="15840"/>
          <w:pgMar w:header="0" w:footer="1223" w:top="640" w:bottom="1420" w:left="220" w:right="340"/>
        </w:sectPr>
      </w:pPr>
    </w:p>
    <w:p>
      <w:pPr>
        <w:spacing w:before="80"/>
        <w:ind w:left="1220" w:right="0" w:firstLine="0"/>
        <w:jc w:val="left"/>
        <w:rPr>
          <w:sz w:val="20"/>
        </w:rPr>
      </w:pPr>
      <w:r>
        <w:rPr>
          <w:sz w:val="20"/>
        </w:rPr>
        <w:t>Attachment</w:t>
      </w:r>
      <w:r>
        <w:rPr>
          <w:spacing w:val="-12"/>
          <w:sz w:val="20"/>
        </w:rPr>
        <w:t> </w:t>
      </w:r>
      <w:r>
        <w:rPr>
          <w:spacing w:val="-10"/>
          <w:sz w:val="20"/>
        </w:rPr>
        <w:t>A</w:t>
      </w:r>
    </w:p>
    <w:p>
      <w:pPr>
        <w:pStyle w:val="BodyText"/>
        <w:rPr>
          <w:sz w:val="20"/>
        </w:rPr>
      </w:pPr>
    </w:p>
    <w:p>
      <w:pPr>
        <w:pStyle w:val="BodyText"/>
        <w:spacing w:before="6"/>
        <w:rPr>
          <w:sz w:val="22"/>
        </w:rPr>
      </w:pPr>
    </w:p>
    <w:p>
      <w:pPr>
        <w:pStyle w:val="Heading5"/>
        <w:ind w:left="722" w:right="1112"/>
        <w:jc w:val="center"/>
      </w:pPr>
      <w:bookmarkStart w:name="8. Table A. Example Design Table for the" w:id="1149"/>
      <w:bookmarkEnd w:id="1149"/>
      <w:r>
        <w:rPr>
          <w:b w:val="0"/>
        </w:rPr>
      </w:r>
      <w:r>
        <w:rPr/>
        <w:t>Table</w:t>
      </w:r>
      <w:r>
        <w:rPr>
          <w:spacing w:val="-5"/>
        </w:rPr>
        <w:t> </w:t>
      </w:r>
      <w:r>
        <w:rPr/>
        <w:t>A.</w:t>
      </w:r>
      <w:r>
        <w:rPr>
          <w:spacing w:val="-1"/>
        </w:rPr>
        <w:t> </w:t>
      </w:r>
      <w:r>
        <w:rPr/>
        <w:t>Example</w:t>
      </w:r>
      <w:r>
        <w:rPr>
          <w:spacing w:val="-3"/>
        </w:rPr>
        <w:t> </w:t>
      </w:r>
      <w:r>
        <w:rPr/>
        <w:t>Design</w:t>
      </w:r>
      <w:r>
        <w:rPr>
          <w:spacing w:val="-1"/>
        </w:rPr>
        <w:t> </w:t>
      </w:r>
      <w:r>
        <w:rPr/>
        <w:t>Table</w:t>
      </w:r>
      <w:r>
        <w:rPr>
          <w:spacing w:val="-5"/>
        </w:rPr>
        <w:t> </w:t>
      </w:r>
      <w:r>
        <w:rPr/>
        <w:t>for</w:t>
      </w:r>
      <w:r>
        <w:rPr>
          <w:spacing w:val="-3"/>
        </w:rPr>
        <w:t> </w:t>
      </w:r>
      <w:r>
        <w:rPr/>
        <w:t>the</w:t>
      </w:r>
      <w:r>
        <w:rPr>
          <w:spacing w:val="-2"/>
        </w:rPr>
        <w:t> </w:t>
      </w:r>
      <w:r>
        <w:rPr/>
        <w:t>Evaluation</w:t>
      </w:r>
      <w:r>
        <w:rPr>
          <w:spacing w:val="-2"/>
        </w:rPr>
        <w:t> </w:t>
      </w:r>
      <w:r>
        <w:rPr/>
        <w:t>of the</w:t>
      </w:r>
      <w:r>
        <w:rPr>
          <w:spacing w:val="-2"/>
        </w:rPr>
        <w:t> Demonstration</w:t>
      </w:r>
    </w:p>
    <w:tbl>
      <w:tblPr>
        <w:tblW w:w="0" w:type="auto"/>
        <w:jc w:val="left"/>
        <w:tblInd w:w="1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14"/>
        <w:gridCol w:w="1987"/>
        <w:gridCol w:w="2429"/>
        <w:gridCol w:w="1980"/>
        <w:gridCol w:w="1711"/>
      </w:tblGrid>
      <w:tr>
        <w:trPr>
          <w:trHeight w:val="1103" w:hRule="atLeast"/>
        </w:trPr>
        <w:tc>
          <w:tcPr>
            <w:tcW w:w="1514" w:type="dxa"/>
            <w:shd w:val="clear" w:color="auto" w:fill="DEEAF6"/>
          </w:tcPr>
          <w:p>
            <w:pPr>
              <w:pStyle w:val="TableParagraph"/>
              <w:rPr>
                <w:b/>
                <w:sz w:val="26"/>
              </w:rPr>
            </w:pPr>
          </w:p>
          <w:p>
            <w:pPr>
              <w:pStyle w:val="TableParagraph"/>
              <w:spacing w:line="270" w:lineRule="atLeast" w:before="232"/>
              <w:ind w:left="107" w:right="503"/>
              <w:rPr>
                <w:sz w:val="24"/>
              </w:rPr>
            </w:pPr>
            <w:r>
              <w:rPr>
                <w:spacing w:val="-2"/>
                <w:sz w:val="24"/>
              </w:rPr>
              <w:t>Research Question</w:t>
            </w:r>
          </w:p>
        </w:tc>
        <w:tc>
          <w:tcPr>
            <w:tcW w:w="1987" w:type="dxa"/>
            <w:shd w:val="clear" w:color="auto" w:fill="DEEAF6"/>
          </w:tcPr>
          <w:p>
            <w:pPr>
              <w:pStyle w:val="TableParagraph"/>
              <w:spacing w:line="276" w:lineRule="exact"/>
              <w:ind w:left="156" w:right="138" w:firstLine="5"/>
              <w:jc w:val="center"/>
              <w:rPr>
                <w:sz w:val="24"/>
              </w:rPr>
            </w:pPr>
            <w:r>
              <w:rPr>
                <w:spacing w:val="-2"/>
                <w:sz w:val="24"/>
              </w:rPr>
              <w:t>Outcome </w:t>
            </w:r>
            <w:r>
              <w:rPr>
                <w:sz w:val="24"/>
              </w:rPr>
              <w:t>measures</w:t>
            </w:r>
            <w:r>
              <w:rPr>
                <w:spacing w:val="-4"/>
                <w:sz w:val="24"/>
              </w:rPr>
              <w:t> </w:t>
            </w:r>
            <w:r>
              <w:rPr>
                <w:sz w:val="24"/>
              </w:rPr>
              <w:t>used</w:t>
            </w:r>
            <w:r>
              <w:rPr>
                <w:spacing w:val="-4"/>
                <w:sz w:val="24"/>
              </w:rPr>
              <w:t> </w:t>
            </w:r>
            <w:r>
              <w:rPr>
                <w:sz w:val="24"/>
              </w:rPr>
              <w:t>to address the research</w:t>
            </w:r>
            <w:r>
              <w:rPr>
                <w:spacing w:val="-15"/>
                <w:sz w:val="24"/>
              </w:rPr>
              <w:t> </w:t>
            </w:r>
            <w:r>
              <w:rPr>
                <w:sz w:val="24"/>
              </w:rPr>
              <w:t>question</w:t>
            </w:r>
          </w:p>
        </w:tc>
        <w:tc>
          <w:tcPr>
            <w:tcW w:w="2429" w:type="dxa"/>
            <w:shd w:val="clear" w:color="auto" w:fill="DEEAF6"/>
          </w:tcPr>
          <w:p>
            <w:pPr>
              <w:pStyle w:val="TableParagraph"/>
              <w:spacing w:before="2"/>
              <w:rPr>
                <w:b/>
                <w:sz w:val="22"/>
              </w:rPr>
            </w:pPr>
          </w:p>
          <w:p>
            <w:pPr>
              <w:pStyle w:val="TableParagraph"/>
              <w:spacing w:line="270" w:lineRule="atLeast"/>
              <w:ind w:left="177" w:right="162"/>
              <w:jc w:val="center"/>
              <w:rPr>
                <w:sz w:val="24"/>
              </w:rPr>
            </w:pPr>
            <w:r>
              <w:rPr>
                <w:sz w:val="24"/>
              </w:rPr>
              <w:t>Sample</w:t>
            </w:r>
            <w:r>
              <w:rPr>
                <w:spacing w:val="-15"/>
                <w:sz w:val="24"/>
              </w:rPr>
              <w:t> </w:t>
            </w:r>
            <w:r>
              <w:rPr>
                <w:sz w:val="24"/>
              </w:rPr>
              <w:t>or</w:t>
            </w:r>
            <w:r>
              <w:rPr>
                <w:spacing w:val="-15"/>
                <w:sz w:val="24"/>
              </w:rPr>
              <w:t> </w:t>
            </w:r>
            <w:r>
              <w:rPr>
                <w:sz w:val="24"/>
              </w:rPr>
              <w:t>population subgroups to be </w:t>
            </w:r>
            <w:r>
              <w:rPr>
                <w:spacing w:val="-2"/>
                <w:sz w:val="24"/>
              </w:rPr>
              <w:t>compared</w:t>
            </w:r>
          </w:p>
        </w:tc>
        <w:tc>
          <w:tcPr>
            <w:tcW w:w="1980" w:type="dxa"/>
            <w:shd w:val="clear" w:color="auto" w:fill="DEEAF6"/>
          </w:tcPr>
          <w:p>
            <w:pPr>
              <w:pStyle w:val="TableParagraph"/>
              <w:rPr>
                <w:b/>
                <w:sz w:val="26"/>
              </w:rPr>
            </w:pPr>
          </w:p>
          <w:p>
            <w:pPr>
              <w:pStyle w:val="TableParagraph"/>
              <w:rPr>
                <w:b/>
                <w:sz w:val="26"/>
              </w:rPr>
            </w:pPr>
          </w:p>
          <w:p>
            <w:pPr>
              <w:pStyle w:val="TableParagraph"/>
              <w:spacing w:line="256" w:lineRule="exact" w:before="228"/>
              <w:ind w:left="352"/>
              <w:rPr>
                <w:sz w:val="24"/>
              </w:rPr>
            </w:pPr>
            <w:r>
              <w:rPr>
                <w:sz w:val="24"/>
              </w:rPr>
              <w:t>Data</w:t>
            </w:r>
            <w:r>
              <w:rPr>
                <w:spacing w:val="-3"/>
                <w:sz w:val="24"/>
              </w:rPr>
              <w:t> </w:t>
            </w:r>
            <w:r>
              <w:rPr>
                <w:spacing w:val="-2"/>
                <w:sz w:val="24"/>
              </w:rPr>
              <w:t>Sources</w:t>
            </w:r>
          </w:p>
        </w:tc>
        <w:tc>
          <w:tcPr>
            <w:tcW w:w="1711" w:type="dxa"/>
            <w:shd w:val="clear" w:color="auto" w:fill="DEEAF6"/>
          </w:tcPr>
          <w:p>
            <w:pPr>
              <w:pStyle w:val="TableParagraph"/>
              <w:rPr>
                <w:b/>
                <w:sz w:val="26"/>
              </w:rPr>
            </w:pPr>
          </w:p>
          <w:p>
            <w:pPr>
              <w:pStyle w:val="TableParagraph"/>
              <w:spacing w:line="270" w:lineRule="atLeast" w:before="232"/>
              <w:ind w:left="434" w:right="411" w:firstLine="7"/>
              <w:rPr>
                <w:sz w:val="24"/>
              </w:rPr>
            </w:pPr>
            <w:r>
              <w:rPr>
                <w:spacing w:val="-2"/>
                <w:sz w:val="24"/>
              </w:rPr>
              <w:t>Analytic Methods</w:t>
            </w:r>
          </w:p>
        </w:tc>
      </w:tr>
      <w:tr>
        <w:trPr>
          <w:trHeight w:val="276" w:hRule="atLeast"/>
        </w:trPr>
        <w:tc>
          <w:tcPr>
            <w:tcW w:w="9621" w:type="dxa"/>
            <w:gridSpan w:val="5"/>
          </w:tcPr>
          <w:p>
            <w:pPr>
              <w:pStyle w:val="TableParagraph"/>
              <w:spacing w:line="256" w:lineRule="exact"/>
              <w:ind w:left="107"/>
              <w:rPr>
                <w:b/>
                <w:sz w:val="24"/>
              </w:rPr>
            </w:pPr>
            <w:r>
              <w:rPr>
                <w:b/>
                <w:sz w:val="24"/>
              </w:rPr>
              <w:t>Hypothesis</w:t>
            </w:r>
            <w:r>
              <w:rPr>
                <w:b/>
                <w:spacing w:val="-3"/>
                <w:sz w:val="24"/>
              </w:rPr>
              <w:t> </w:t>
            </w:r>
            <w:r>
              <w:rPr>
                <w:b/>
                <w:spacing w:val="-10"/>
                <w:sz w:val="24"/>
              </w:rPr>
              <w:t>1</w:t>
            </w:r>
          </w:p>
        </w:tc>
      </w:tr>
      <w:tr>
        <w:trPr>
          <w:trHeight w:val="279" w:hRule="atLeast"/>
        </w:trPr>
        <w:tc>
          <w:tcPr>
            <w:tcW w:w="1514" w:type="dxa"/>
            <w:tcBorders>
              <w:bottom w:val="nil"/>
            </w:tcBorders>
          </w:tcPr>
          <w:p>
            <w:pPr>
              <w:pStyle w:val="TableParagraph"/>
              <w:spacing w:line="260" w:lineRule="exact"/>
              <w:ind w:left="107"/>
              <w:rPr>
                <w:sz w:val="24"/>
              </w:rPr>
            </w:pPr>
            <w:r>
              <w:rPr>
                <w:spacing w:val="-2"/>
                <w:sz w:val="24"/>
              </w:rPr>
              <w:t>Research</w:t>
            </w:r>
          </w:p>
        </w:tc>
        <w:tc>
          <w:tcPr>
            <w:tcW w:w="1987" w:type="dxa"/>
            <w:tcBorders>
              <w:bottom w:val="nil"/>
            </w:tcBorders>
          </w:tcPr>
          <w:p>
            <w:pPr>
              <w:pStyle w:val="TableParagraph"/>
              <w:spacing w:line="260" w:lineRule="exact"/>
              <w:ind w:left="108"/>
              <w:rPr>
                <w:sz w:val="24"/>
              </w:rPr>
            </w:pPr>
            <w:r>
              <w:rPr>
                <w:sz w:val="24"/>
              </w:rPr>
              <w:t>-Measure</w:t>
            </w:r>
            <w:r>
              <w:rPr>
                <w:spacing w:val="-3"/>
                <w:sz w:val="24"/>
              </w:rPr>
              <w:t> </w:t>
            </w:r>
            <w:r>
              <w:rPr>
                <w:spacing w:val="-10"/>
                <w:sz w:val="24"/>
              </w:rPr>
              <w:t>1</w:t>
            </w:r>
          </w:p>
        </w:tc>
        <w:tc>
          <w:tcPr>
            <w:tcW w:w="2429" w:type="dxa"/>
            <w:tcBorders>
              <w:bottom w:val="nil"/>
            </w:tcBorders>
          </w:tcPr>
          <w:p>
            <w:pPr>
              <w:pStyle w:val="TableParagraph"/>
              <w:spacing w:line="260" w:lineRule="exact"/>
              <w:ind w:left="105"/>
              <w:rPr>
                <w:sz w:val="24"/>
              </w:rPr>
            </w:pPr>
            <w:r>
              <w:rPr>
                <w:sz w:val="24"/>
              </w:rPr>
              <w:t>-Sample</w:t>
            </w:r>
            <w:r>
              <w:rPr>
                <w:spacing w:val="-3"/>
                <w:sz w:val="24"/>
              </w:rPr>
              <w:t> </w:t>
            </w:r>
            <w:r>
              <w:rPr>
                <w:sz w:val="24"/>
              </w:rPr>
              <w:t>e.g.</w:t>
            </w:r>
            <w:r>
              <w:rPr>
                <w:spacing w:val="-2"/>
                <w:sz w:val="24"/>
              </w:rPr>
              <w:t> </w:t>
            </w:r>
            <w:r>
              <w:rPr>
                <w:spacing w:val="-5"/>
                <w:sz w:val="24"/>
              </w:rPr>
              <w:t>All</w:t>
            </w:r>
          </w:p>
        </w:tc>
        <w:tc>
          <w:tcPr>
            <w:tcW w:w="1980" w:type="dxa"/>
            <w:tcBorders>
              <w:bottom w:val="nil"/>
            </w:tcBorders>
          </w:tcPr>
          <w:p>
            <w:pPr>
              <w:pStyle w:val="TableParagraph"/>
              <w:spacing w:line="260" w:lineRule="exact"/>
              <w:ind w:left="107"/>
              <w:rPr>
                <w:sz w:val="24"/>
              </w:rPr>
            </w:pPr>
            <w:r>
              <w:rPr>
                <w:sz w:val="24"/>
              </w:rPr>
              <w:t>-Medicaid</w:t>
            </w:r>
            <w:r>
              <w:rPr>
                <w:spacing w:val="-6"/>
                <w:sz w:val="24"/>
              </w:rPr>
              <w:t> </w:t>
            </w:r>
            <w:r>
              <w:rPr>
                <w:spacing w:val="-4"/>
                <w:sz w:val="24"/>
              </w:rPr>
              <w:t>fee-</w:t>
            </w:r>
          </w:p>
        </w:tc>
        <w:tc>
          <w:tcPr>
            <w:tcW w:w="1711" w:type="dxa"/>
            <w:tcBorders>
              <w:bottom w:val="nil"/>
            </w:tcBorders>
          </w:tcPr>
          <w:p>
            <w:pPr>
              <w:pStyle w:val="TableParagraph"/>
              <w:spacing w:line="260" w:lineRule="exact"/>
              <w:ind w:left="107"/>
              <w:rPr>
                <w:sz w:val="24"/>
              </w:rPr>
            </w:pPr>
            <w:r>
              <w:rPr>
                <w:sz w:val="24"/>
              </w:rPr>
              <w:t>-</w:t>
            </w:r>
            <w:r>
              <w:rPr>
                <w:spacing w:val="-2"/>
                <w:sz w:val="24"/>
              </w:rPr>
              <w:t>Interrupted</w:t>
            </w:r>
          </w:p>
        </w:tc>
      </w:tr>
      <w:tr>
        <w:trPr>
          <w:trHeight w:val="275" w:hRule="atLeast"/>
        </w:trPr>
        <w:tc>
          <w:tcPr>
            <w:tcW w:w="1514" w:type="dxa"/>
            <w:tcBorders>
              <w:top w:val="nil"/>
              <w:bottom w:val="nil"/>
            </w:tcBorders>
          </w:tcPr>
          <w:p>
            <w:pPr>
              <w:pStyle w:val="TableParagraph"/>
              <w:spacing w:line="256" w:lineRule="exact"/>
              <w:ind w:left="107"/>
              <w:rPr>
                <w:sz w:val="24"/>
              </w:rPr>
            </w:pPr>
            <w:r>
              <w:rPr>
                <w:sz w:val="24"/>
              </w:rPr>
              <w:t>question</w:t>
            </w:r>
            <w:r>
              <w:rPr>
                <w:spacing w:val="-1"/>
                <w:sz w:val="24"/>
              </w:rPr>
              <w:t> </w:t>
            </w:r>
            <w:r>
              <w:rPr>
                <w:spacing w:val="-5"/>
                <w:sz w:val="24"/>
              </w:rPr>
              <w:t>1a</w:t>
            </w:r>
          </w:p>
        </w:tc>
        <w:tc>
          <w:tcPr>
            <w:tcW w:w="1987" w:type="dxa"/>
            <w:tcBorders>
              <w:top w:val="nil"/>
              <w:bottom w:val="nil"/>
            </w:tcBorders>
          </w:tcPr>
          <w:p>
            <w:pPr>
              <w:pStyle w:val="TableParagraph"/>
              <w:spacing w:line="256" w:lineRule="exact"/>
              <w:ind w:left="108"/>
              <w:rPr>
                <w:sz w:val="24"/>
              </w:rPr>
            </w:pPr>
            <w:r>
              <w:rPr>
                <w:sz w:val="24"/>
              </w:rPr>
              <w:t>-Measure</w:t>
            </w:r>
            <w:r>
              <w:rPr>
                <w:spacing w:val="-3"/>
                <w:sz w:val="24"/>
              </w:rPr>
              <w:t> </w:t>
            </w:r>
            <w:r>
              <w:rPr>
                <w:spacing w:val="-10"/>
                <w:sz w:val="24"/>
              </w:rPr>
              <w:t>2</w:t>
            </w:r>
          </w:p>
        </w:tc>
        <w:tc>
          <w:tcPr>
            <w:tcW w:w="2429" w:type="dxa"/>
            <w:tcBorders>
              <w:top w:val="nil"/>
              <w:bottom w:val="nil"/>
            </w:tcBorders>
          </w:tcPr>
          <w:p>
            <w:pPr>
              <w:pStyle w:val="TableParagraph"/>
              <w:spacing w:line="256" w:lineRule="exact"/>
              <w:ind w:left="105"/>
              <w:rPr>
                <w:sz w:val="24"/>
              </w:rPr>
            </w:pPr>
            <w:r>
              <w:rPr>
                <w:sz w:val="24"/>
              </w:rPr>
              <w:t>attributed</w:t>
            </w:r>
            <w:r>
              <w:rPr>
                <w:spacing w:val="-5"/>
                <w:sz w:val="24"/>
              </w:rPr>
              <w:t> </w:t>
            </w:r>
            <w:r>
              <w:rPr>
                <w:spacing w:val="-2"/>
                <w:sz w:val="24"/>
              </w:rPr>
              <w:t>Medicaid</w:t>
            </w:r>
          </w:p>
        </w:tc>
        <w:tc>
          <w:tcPr>
            <w:tcW w:w="1980" w:type="dxa"/>
            <w:tcBorders>
              <w:top w:val="nil"/>
              <w:bottom w:val="nil"/>
            </w:tcBorders>
          </w:tcPr>
          <w:p>
            <w:pPr>
              <w:pStyle w:val="TableParagraph"/>
              <w:spacing w:line="256" w:lineRule="exact"/>
              <w:ind w:left="107"/>
              <w:rPr>
                <w:sz w:val="24"/>
              </w:rPr>
            </w:pPr>
            <w:r>
              <w:rPr>
                <w:sz w:val="24"/>
              </w:rPr>
              <w:t>for-service</w:t>
            </w:r>
            <w:r>
              <w:rPr>
                <w:spacing w:val="-5"/>
                <w:sz w:val="24"/>
              </w:rPr>
              <w:t> and</w:t>
            </w:r>
          </w:p>
        </w:tc>
        <w:tc>
          <w:tcPr>
            <w:tcW w:w="1711" w:type="dxa"/>
            <w:tcBorders>
              <w:top w:val="nil"/>
              <w:bottom w:val="nil"/>
            </w:tcBorders>
          </w:tcPr>
          <w:p>
            <w:pPr>
              <w:pStyle w:val="TableParagraph"/>
              <w:spacing w:line="256" w:lineRule="exact"/>
              <w:ind w:left="107"/>
              <w:rPr>
                <w:sz w:val="24"/>
              </w:rPr>
            </w:pPr>
            <w:r>
              <w:rPr>
                <w:sz w:val="24"/>
              </w:rPr>
              <w:t>time</w:t>
            </w:r>
            <w:r>
              <w:rPr>
                <w:spacing w:val="-1"/>
                <w:sz w:val="24"/>
              </w:rPr>
              <w:t> </w:t>
            </w:r>
            <w:r>
              <w:rPr>
                <w:spacing w:val="-2"/>
                <w:sz w:val="24"/>
              </w:rPr>
              <w:t>series</w:t>
            </w:r>
          </w:p>
        </w:tc>
      </w:tr>
      <w:tr>
        <w:trPr>
          <w:trHeight w:val="275" w:hRule="atLeast"/>
        </w:trPr>
        <w:tc>
          <w:tcPr>
            <w:tcW w:w="1514" w:type="dxa"/>
            <w:tcBorders>
              <w:top w:val="nil"/>
              <w:bottom w:val="nil"/>
            </w:tcBorders>
          </w:tcPr>
          <w:p>
            <w:pPr>
              <w:pStyle w:val="TableParagraph"/>
              <w:rPr>
                <w:sz w:val="20"/>
              </w:rPr>
            </w:pPr>
          </w:p>
        </w:tc>
        <w:tc>
          <w:tcPr>
            <w:tcW w:w="1987" w:type="dxa"/>
            <w:tcBorders>
              <w:top w:val="nil"/>
              <w:bottom w:val="nil"/>
            </w:tcBorders>
          </w:tcPr>
          <w:p>
            <w:pPr>
              <w:pStyle w:val="TableParagraph"/>
              <w:spacing w:line="256" w:lineRule="exact"/>
              <w:ind w:left="108"/>
              <w:rPr>
                <w:sz w:val="24"/>
              </w:rPr>
            </w:pPr>
            <w:r>
              <w:rPr>
                <w:sz w:val="24"/>
              </w:rPr>
              <w:t>-Measure</w:t>
            </w:r>
            <w:r>
              <w:rPr>
                <w:spacing w:val="-3"/>
                <w:sz w:val="24"/>
              </w:rPr>
              <w:t> </w:t>
            </w:r>
            <w:r>
              <w:rPr>
                <w:spacing w:val="-10"/>
                <w:sz w:val="24"/>
              </w:rPr>
              <w:t>3</w:t>
            </w:r>
          </w:p>
        </w:tc>
        <w:tc>
          <w:tcPr>
            <w:tcW w:w="2429" w:type="dxa"/>
            <w:tcBorders>
              <w:top w:val="nil"/>
              <w:bottom w:val="nil"/>
            </w:tcBorders>
          </w:tcPr>
          <w:p>
            <w:pPr>
              <w:pStyle w:val="TableParagraph"/>
              <w:spacing w:line="256" w:lineRule="exact"/>
              <w:ind w:left="105"/>
              <w:rPr>
                <w:sz w:val="24"/>
              </w:rPr>
            </w:pPr>
            <w:r>
              <w:rPr>
                <w:spacing w:val="-2"/>
                <w:sz w:val="24"/>
              </w:rPr>
              <w:t>beneficiaries</w:t>
            </w:r>
          </w:p>
        </w:tc>
        <w:tc>
          <w:tcPr>
            <w:tcW w:w="1980" w:type="dxa"/>
            <w:tcBorders>
              <w:top w:val="nil"/>
              <w:bottom w:val="nil"/>
            </w:tcBorders>
          </w:tcPr>
          <w:p>
            <w:pPr>
              <w:pStyle w:val="TableParagraph"/>
              <w:spacing w:line="256" w:lineRule="exact"/>
              <w:ind w:left="107"/>
              <w:rPr>
                <w:sz w:val="24"/>
              </w:rPr>
            </w:pPr>
            <w:r>
              <w:rPr>
                <w:sz w:val="24"/>
              </w:rPr>
              <w:t>encounter</w:t>
            </w:r>
            <w:r>
              <w:rPr>
                <w:spacing w:val="-2"/>
                <w:sz w:val="24"/>
              </w:rPr>
              <w:t> claims</w:t>
            </w:r>
          </w:p>
        </w:tc>
        <w:tc>
          <w:tcPr>
            <w:tcW w:w="1711" w:type="dxa"/>
            <w:tcBorders>
              <w:top w:val="nil"/>
              <w:bottom w:val="nil"/>
            </w:tcBorders>
          </w:tcPr>
          <w:p>
            <w:pPr>
              <w:pStyle w:val="TableParagraph"/>
              <w:rPr>
                <w:sz w:val="20"/>
              </w:rPr>
            </w:pPr>
          </w:p>
        </w:tc>
      </w:tr>
      <w:tr>
        <w:trPr>
          <w:trHeight w:val="276" w:hRule="atLeast"/>
        </w:trPr>
        <w:tc>
          <w:tcPr>
            <w:tcW w:w="1514" w:type="dxa"/>
            <w:tcBorders>
              <w:top w:val="nil"/>
              <w:bottom w:val="nil"/>
            </w:tcBorders>
          </w:tcPr>
          <w:p>
            <w:pPr>
              <w:pStyle w:val="TableParagraph"/>
              <w:rPr>
                <w:sz w:val="20"/>
              </w:rPr>
            </w:pPr>
          </w:p>
        </w:tc>
        <w:tc>
          <w:tcPr>
            <w:tcW w:w="1987" w:type="dxa"/>
            <w:tcBorders>
              <w:top w:val="nil"/>
              <w:bottom w:val="nil"/>
            </w:tcBorders>
          </w:tcPr>
          <w:p>
            <w:pPr>
              <w:pStyle w:val="TableParagraph"/>
              <w:rPr>
                <w:sz w:val="20"/>
              </w:rPr>
            </w:pPr>
          </w:p>
        </w:tc>
        <w:tc>
          <w:tcPr>
            <w:tcW w:w="2429" w:type="dxa"/>
            <w:tcBorders>
              <w:top w:val="nil"/>
              <w:bottom w:val="nil"/>
            </w:tcBorders>
          </w:tcPr>
          <w:p>
            <w:pPr>
              <w:pStyle w:val="TableParagraph"/>
              <w:spacing w:line="256" w:lineRule="exact"/>
              <w:ind w:left="105"/>
              <w:rPr>
                <w:sz w:val="24"/>
              </w:rPr>
            </w:pPr>
            <w:r>
              <w:rPr>
                <w:sz w:val="24"/>
              </w:rPr>
              <w:t>-Beneficiaries</w:t>
            </w:r>
            <w:r>
              <w:rPr>
                <w:spacing w:val="-8"/>
                <w:sz w:val="24"/>
              </w:rPr>
              <w:t> </w:t>
            </w:r>
            <w:r>
              <w:rPr>
                <w:spacing w:val="-4"/>
                <w:sz w:val="24"/>
              </w:rPr>
              <w:t>with</w:t>
            </w:r>
          </w:p>
        </w:tc>
        <w:tc>
          <w:tcPr>
            <w:tcW w:w="1980" w:type="dxa"/>
            <w:tcBorders>
              <w:top w:val="nil"/>
              <w:bottom w:val="nil"/>
            </w:tcBorders>
          </w:tcPr>
          <w:p>
            <w:pPr>
              <w:pStyle w:val="TableParagraph"/>
              <w:spacing w:line="256" w:lineRule="exact"/>
              <w:ind w:left="107"/>
              <w:rPr>
                <w:sz w:val="24"/>
              </w:rPr>
            </w:pPr>
            <w:r>
              <w:rPr>
                <w:spacing w:val="-2"/>
                <w:sz w:val="24"/>
              </w:rPr>
              <w:t>records</w:t>
            </w:r>
          </w:p>
        </w:tc>
        <w:tc>
          <w:tcPr>
            <w:tcW w:w="1711" w:type="dxa"/>
            <w:tcBorders>
              <w:top w:val="nil"/>
              <w:bottom w:val="nil"/>
            </w:tcBorders>
          </w:tcPr>
          <w:p>
            <w:pPr>
              <w:pStyle w:val="TableParagraph"/>
              <w:rPr>
                <w:sz w:val="20"/>
              </w:rPr>
            </w:pPr>
          </w:p>
        </w:tc>
      </w:tr>
      <w:tr>
        <w:trPr>
          <w:trHeight w:val="271" w:hRule="atLeast"/>
        </w:trPr>
        <w:tc>
          <w:tcPr>
            <w:tcW w:w="1514" w:type="dxa"/>
            <w:tcBorders>
              <w:top w:val="nil"/>
            </w:tcBorders>
          </w:tcPr>
          <w:p>
            <w:pPr>
              <w:pStyle w:val="TableParagraph"/>
              <w:rPr>
                <w:sz w:val="20"/>
              </w:rPr>
            </w:pPr>
          </w:p>
        </w:tc>
        <w:tc>
          <w:tcPr>
            <w:tcW w:w="1987" w:type="dxa"/>
            <w:tcBorders>
              <w:top w:val="nil"/>
            </w:tcBorders>
          </w:tcPr>
          <w:p>
            <w:pPr>
              <w:pStyle w:val="TableParagraph"/>
              <w:rPr>
                <w:sz w:val="20"/>
              </w:rPr>
            </w:pPr>
          </w:p>
        </w:tc>
        <w:tc>
          <w:tcPr>
            <w:tcW w:w="2429" w:type="dxa"/>
            <w:tcBorders>
              <w:top w:val="nil"/>
            </w:tcBorders>
          </w:tcPr>
          <w:p>
            <w:pPr>
              <w:pStyle w:val="TableParagraph"/>
              <w:spacing w:line="251" w:lineRule="exact"/>
              <w:ind w:left="105"/>
              <w:rPr>
                <w:sz w:val="24"/>
              </w:rPr>
            </w:pPr>
            <w:r>
              <w:rPr>
                <w:sz w:val="24"/>
              </w:rPr>
              <w:t>diabetes</w:t>
            </w:r>
            <w:r>
              <w:rPr>
                <w:spacing w:val="-5"/>
                <w:sz w:val="24"/>
              </w:rPr>
              <w:t> </w:t>
            </w:r>
            <w:r>
              <w:rPr>
                <w:spacing w:val="-2"/>
                <w:sz w:val="24"/>
              </w:rPr>
              <w:t>diagnosis</w:t>
            </w:r>
          </w:p>
        </w:tc>
        <w:tc>
          <w:tcPr>
            <w:tcW w:w="1980" w:type="dxa"/>
            <w:tcBorders>
              <w:top w:val="nil"/>
            </w:tcBorders>
          </w:tcPr>
          <w:p>
            <w:pPr>
              <w:pStyle w:val="TableParagraph"/>
              <w:rPr>
                <w:sz w:val="20"/>
              </w:rPr>
            </w:pPr>
          </w:p>
        </w:tc>
        <w:tc>
          <w:tcPr>
            <w:tcW w:w="1711" w:type="dxa"/>
            <w:tcBorders>
              <w:top w:val="nil"/>
            </w:tcBorders>
          </w:tcPr>
          <w:p>
            <w:pPr>
              <w:pStyle w:val="TableParagraph"/>
              <w:rPr>
                <w:sz w:val="20"/>
              </w:rPr>
            </w:pPr>
          </w:p>
        </w:tc>
      </w:tr>
      <w:tr>
        <w:trPr>
          <w:trHeight w:val="279" w:hRule="atLeast"/>
        </w:trPr>
        <w:tc>
          <w:tcPr>
            <w:tcW w:w="1514" w:type="dxa"/>
            <w:tcBorders>
              <w:bottom w:val="nil"/>
            </w:tcBorders>
          </w:tcPr>
          <w:p>
            <w:pPr>
              <w:pStyle w:val="TableParagraph"/>
              <w:spacing w:line="260" w:lineRule="exact"/>
              <w:ind w:left="107"/>
              <w:rPr>
                <w:sz w:val="24"/>
              </w:rPr>
            </w:pPr>
            <w:r>
              <w:rPr>
                <w:spacing w:val="-2"/>
                <w:sz w:val="24"/>
              </w:rPr>
              <w:t>Research</w:t>
            </w:r>
          </w:p>
        </w:tc>
        <w:tc>
          <w:tcPr>
            <w:tcW w:w="1987" w:type="dxa"/>
            <w:tcBorders>
              <w:bottom w:val="nil"/>
            </w:tcBorders>
          </w:tcPr>
          <w:p>
            <w:pPr>
              <w:pStyle w:val="TableParagraph"/>
              <w:spacing w:line="260" w:lineRule="exact"/>
              <w:ind w:left="108"/>
              <w:rPr>
                <w:sz w:val="24"/>
              </w:rPr>
            </w:pPr>
            <w:r>
              <w:rPr>
                <w:sz w:val="24"/>
              </w:rPr>
              <w:t>-Measure</w:t>
            </w:r>
            <w:r>
              <w:rPr>
                <w:spacing w:val="-3"/>
                <w:sz w:val="24"/>
              </w:rPr>
              <w:t> </w:t>
            </w:r>
            <w:r>
              <w:rPr>
                <w:spacing w:val="-10"/>
                <w:sz w:val="24"/>
              </w:rPr>
              <w:t>1</w:t>
            </w:r>
          </w:p>
        </w:tc>
        <w:tc>
          <w:tcPr>
            <w:tcW w:w="2429" w:type="dxa"/>
            <w:tcBorders>
              <w:bottom w:val="nil"/>
            </w:tcBorders>
          </w:tcPr>
          <w:p>
            <w:pPr>
              <w:pStyle w:val="TableParagraph"/>
              <w:spacing w:line="260" w:lineRule="exact"/>
              <w:ind w:left="105"/>
              <w:rPr>
                <w:sz w:val="24"/>
              </w:rPr>
            </w:pPr>
            <w:r>
              <w:rPr>
                <w:sz w:val="24"/>
              </w:rPr>
              <w:t>-Sample,</w:t>
            </w:r>
            <w:r>
              <w:rPr>
                <w:spacing w:val="-3"/>
                <w:sz w:val="24"/>
              </w:rPr>
              <w:t> </w:t>
            </w:r>
            <w:r>
              <w:rPr>
                <w:sz w:val="24"/>
              </w:rPr>
              <w:t>e.g.,</w:t>
            </w:r>
            <w:r>
              <w:rPr>
                <w:spacing w:val="-2"/>
                <w:sz w:val="24"/>
              </w:rPr>
              <w:t> </w:t>
            </w:r>
            <w:r>
              <w:rPr>
                <w:spacing w:val="-5"/>
                <w:sz w:val="24"/>
              </w:rPr>
              <w:t>PPS</w:t>
            </w:r>
          </w:p>
        </w:tc>
        <w:tc>
          <w:tcPr>
            <w:tcW w:w="1980" w:type="dxa"/>
            <w:tcBorders>
              <w:bottom w:val="nil"/>
            </w:tcBorders>
          </w:tcPr>
          <w:p>
            <w:pPr>
              <w:pStyle w:val="TableParagraph"/>
              <w:spacing w:line="260" w:lineRule="exact"/>
              <w:ind w:left="107"/>
              <w:rPr>
                <w:sz w:val="24"/>
              </w:rPr>
            </w:pPr>
            <w:r>
              <w:rPr>
                <w:sz w:val="24"/>
              </w:rPr>
              <w:t>-Patient</w:t>
            </w:r>
            <w:r>
              <w:rPr>
                <w:spacing w:val="-3"/>
                <w:sz w:val="24"/>
              </w:rPr>
              <w:t> </w:t>
            </w:r>
            <w:r>
              <w:rPr>
                <w:spacing w:val="-2"/>
                <w:sz w:val="24"/>
              </w:rPr>
              <w:t>survey</w:t>
            </w:r>
          </w:p>
        </w:tc>
        <w:tc>
          <w:tcPr>
            <w:tcW w:w="1711" w:type="dxa"/>
            <w:tcBorders>
              <w:bottom w:val="nil"/>
            </w:tcBorders>
          </w:tcPr>
          <w:p>
            <w:pPr>
              <w:pStyle w:val="TableParagraph"/>
              <w:spacing w:line="260" w:lineRule="exact"/>
              <w:ind w:left="107"/>
              <w:rPr>
                <w:sz w:val="24"/>
              </w:rPr>
            </w:pPr>
            <w:r>
              <w:rPr>
                <w:spacing w:val="-2"/>
                <w:sz w:val="24"/>
              </w:rPr>
              <w:t>Descriptive</w:t>
            </w:r>
          </w:p>
        </w:tc>
      </w:tr>
      <w:tr>
        <w:trPr>
          <w:trHeight w:val="276" w:hRule="atLeast"/>
        </w:trPr>
        <w:tc>
          <w:tcPr>
            <w:tcW w:w="1514" w:type="dxa"/>
            <w:tcBorders>
              <w:top w:val="nil"/>
              <w:bottom w:val="nil"/>
            </w:tcBorders>
          </w:tcPr>
          <w:p>
            <w:pPr>
              <w:pStyle w:val="TableParagraph"/>
              <w:spacing w:line="256" w:lineRule="exact"/>
              <w:ind w:left="107"/>
              <w:rPr>
                <w:sz w:val="24"/>
              </w:rPr>
            </w:pPr>
            <w:r>
              <w:rPr>
                <w:sz w:val="24"/>
              </w:rPr>
              <w:t>question</w:t>
            </w:r>
            <w:r>
              <w:rPr>
                <w:spacing w:val="-1"/>
                <w:sz w:val="24"/>
              </w:rPr>
              <w:t> </w:t>
            </w:r>
            <w:r>
              <w:rPr>
                <w:spacing w:val="-5"/>
                <w:sz w:val="24"/>
              </w:rPr>
              <w:t>1b</w:t>
            </w:r>
          </w:p>
        </w:tc>
        <w:tc>
          <w:tcPr>
            <w:tcW w:w="1987" w:type="dxa"/>
            <w:tcBorders>
              <w:top w:val="nil"/>
              <w:bottom w:val="nil"/>
            </w:tcBorders>
          </w:tcPr>
          <w:p>
            <w:pPr>
              <w:pStyle w:val="TableParagraph"/>
              <w:spacing w:line="256" w:lineRule="exact"/>
              <w:ind w:left="108"/>
              <w:rPr>
                <w:sz w:val="24"/>
              </w:rPr>
            </w:pPr>
            <w:r>
              <w:rPr>
                <w:sz w:val="24"/>
              </w:rPr>
              <w:t>-Measure</w:t>
            </w:r>
            <w:r>
              <w:rPr>
                <w:spacing w:val="-3"/>
                <w:sz w:val="24"/>
              </w:rPr>
              <w:t> </w:t>
            </w:r>
            <w:r>
              <w:rPr>
                <w:spacing w:val="-10"/>
                <w:sz w:val="24"/>
              </w:rPr>
              <w:t>2</w:t>
            </w:r>
          </w:p>
        </w:tc>
        <w:tc>
          <w:tcPr>
            <w:tcW w:w="2429" w:type="dxa"/>
            <w:tcBorders>
              <w:top w:val="nil"/>
              <w:bottom w:val="nil"/>
            </w:tcBorders>
          </w:tcPr>
          <w:p>
            <w:pPr>
              <w:pStyle w:val="TableParagraph"/>
              <w:spacing w:line="256" w:lineRule="exact"/>
              <w:ind w:left="105"/>
              <w:rPr>
                <w:sz w:val="24"/>
              </w:rPr>
            </w:pPr>
            <w:r>
              <w:rPr>
                <w:sz w:val="24"/>
              </w:rPr>
              <w:t>patients</w:t>
            </w:r>
            <w:r>
              <w:rPr>
                <w:spacing w:val="-4"/>
                <w:sz w:val="24"/>
              </w:rPr>
              <w:t> </w:t>
            </w:r>
            <w:r>
              <w:rPr>
                <w:sz w:val="24"/>
              </w:rPr>
              <w:t>who</w:t>
            </w:r>
            <w:r>
              <w:rPr>
                <w:spacing w:val="-1"/>
                <w:sz w:val="24"/>
              </w:rPr>
              <w:t> </w:t>
            </w:r>
            <w:r>
              <w:rPr>
                <w:spacing w:val="-4"/>
                <w:sz w:val="24"/>
              </w:rPr>
              <w:t>meet</w:t>
            </w:r>
          </w:p>
        </w:tc>
        <w:tc>
          <w:tcPr>
            <w:tcW w:w="1980" w:type="dxa"/>
            <w:tcBorders>
              <w:top w:val="nil"/>
              <w:bottom w:val="nil"/>
            </w:tcBorders>
          </w:tcPr>
          <w:p>
            <w:pPr>
              <w:pStyle w:val="TableParagraph"/>
              <w:rPr>
                <w:sz w:val="20"/>
              </w:rPr>
            </w:pPr>
          </w:p>
        </w:tc>
        <w:tc>
          <w:tcPr>
            <w:tcW w:w="1711" w:type="dxa"/>
            <w:tcBorders>
              <w:top w:val="nil"/>
              <w:bottom w:val="nil"/>
            </w:tcBorders>
          </w:tcPr>
          <w:p>
            <w:pPr>
              <w:pStyle w:val="TableParagraph"/>
              <w:spacing w:line="256" w:lineRule="exact"/>
              <w:ind w:left="107"/>
              <w:rPr>
                <w:sz w:val="24"/>
              </w:rPr>
            </w:pPr>
            <w:r>
              <w:rPr>
                <w:spacing w:val="-2"/>
                <w:sz w:val="24"/>
              </w:rPr>
              <w:t>statistics</w:t>
            </w:r>
          </w:p>
        </w:tc>
      </w:tr>
      <w:tr>
        <w:trPr>
          <w:trHeight w:val="275" w:hRule="atLeast"/>
        </w:trPr>
        <w:tc>
          <w:tcPr>
            <w:tcW w:w="1514" w:type="dxa"/>
            <w:tcBorders>
              <w:top w:val="nil"/>
              <w:bottom w:val="nil"/>
            </w:tcBorders>
          </w:tcPr>
          <w:p>
            <w:pPr>
              <w:pStyle w:val="TableParagraph"/>
              <w:rPr>
                <w:sz w:val="20"/>
              </w:rPr>
            </w:pPr>
          </w:p>
        </w:tc>
        <w:tc>
          <w:tcPr>
            <w:tcW w:w="1987" w:type="dxa"/>
            <w:tcBorders>
              <w:top w:val="nil"/>
              <w:bottom w:val="nil"/>
            </w:tcBorders>
          </w:tcPr>
          <w:p>
            <w:pPr>
              <w:pStyle w:val="TableParagraph"/>
              <w:spacing w:line="256" w:lineRule="exact"/>
              <w:ind w:left="108"/>
              <w:rPr>
                <w:sz w:val="24"/>
              </w:rPr>
            </w:pPr>
            <w:r>
              <w:rPr>
                <w:sz w:val="24"/>
              </w:rPr>
              <w:t>-Measure</w:t>
            </w:r>
            <w:r>
              <w:rPr>
                <w:spacing w:val="-3"/>
                <w:sz w:val="24"/>
              </w:rPr>
              <w:t> </w:t>
            </w:r>
            <w:r>
              <w:rPr>
                <w:spacing w:val="-10"/>
                <w:sz w:val="24"/>
              </w:rPr>
              <w:t>3</w:t>
            </w:r>
          </w:p>
        </w:tc>
        <w:tc>
          <w:tcPr>
            <w:tcW w:w="2429" w:type="dxa"/>
            <w:tcBorders>
              <w:top w:val="nil"/>
              <w:bottom w:val="nil"/>
            </w:tcBorders>
          </w:tcPr>
          <w:p>
            <w:pPr>
              <w:pStyle w:val="TableParagraph"/>
              <w:spacing w:line="256" w:lineRule="exact"/>
              <w:ind w:left="105"/>
              <w:rPr>
                <w:sz w:val="24"/>
              </w:rPr>
            </w:pPr>
            <w:r>
              <w:rPr>
                <w:sz w:val="24"/>
              </w:rPr>
              <w:t>survey</w:t>
            </w:r>
            <w:r>
              <w:rPr>
                <w:spacing w:val="-5"/>
                <w:sz w:val="24"/>
              </w:rPr>
              <w:t> </w:t>
            </w:r>
            <w:r>
              <w:rPr>
                <w:spacing w:val="-2"/>
                <w:sz w:val="24"/>
              </w:rPr>
              <w:t>selection</w:t>
            </w:r>
          </w:p>
        </w:tc>
        <w:tc>
          <w:tcPr>
            <w:tcW w:w="1980" w:type="dxa"/>
            <w:tcBorders>
              <w:top w:val="nil"/>
              <w:bottom w:val="nil"/>
            </w:tcBorders>
          </w:tcPr>
          <w:p>
            <w:pPr>
              <w:pStyle w:val="TableParagraph"/>
              <w:rPr>
                <w:sz w:val="20"/>
              </w:rPr>
            </w:pPr>
          </w:p>
        </w:tc>
        <w:tc>
          <w:tcPr>
            <w:tcW w:w="1711" w:type="dxa"/>
            <w:tcBorders>
              <w:top w:val="nil"/>
              <w:bottom w:val="nil"/>
            </w:tcBorders>
          </w:tcPr>
          <w:p>
            <w:pPr>
              <w:pStyle w:val="TableParagraph"/>
              <w:rPr>
                <w:sz w:val="20"/>
              </w:rPr>
            </w:pPr>
          </w:p>
        </w:tc>
      </w:tr>
      <w:tr>
        <w:trPr>
          <w:trHeight w:val="276" w:hRule="atLeast"/>
        </w:trPr>
        <w:tc>
          <w:tcPr>
            <w:tcW w:w="1514" w:type="dxa"/>
            <w:tcBorders>
              <w:top w:val="nil"/>
              <w:bottom w:val="nil"/>
            </w:tcBorders>
          </w:tcPr>
          <w:p>
            <w:pPr>
              <w:pStyle w:val="TableParagraph"/>
              <w:rPr>
                <w:sz w:val="20"/>
              </w:rPr>
            </w:pPr>
          </w:p>
        </w:tc>
        <w:tc>
          <w:tcPr>
            <w:tcW w:w="1987" w:type="dxa"/>
            <w:tcBorders>
              <w:top w:val="nil"/>
              <w:bottom w:val="nil"/>
            </w:tcBorders>
          </w:tcPr>
          <w:p>
            <w:pPr>
              <w:pStyle w:val="TableParagraph"/>
              <w:spacing w:line="256" w:lineRule="exact"/>
              <w:ind w:left="108"/>
              <w:rPr>
                <w:sz w:val="24"/>
              </w:rPr>
            </w:pPr>
            <w:r>
              <w:rPr>
                <w:sz w:val="24"/>
              </w:rPr>
              <w:t>-Measure</w:t>
            </w:r>
            <w:r>
              <w:rPr>
                <w:spacing w:val="-3"/>
                <w:sz w:val="24"/>
              </w:rPr>
              <w:t> </w:t>
            </w:r>
            <w:r>
              <w:rPr>
                <w:spacing w:val="-10"/>
                <w:sz w:val="24"/>
              </w:rPr>
              <w:t>4</w:t>
            </w:r>
          </w:p>
        </w:tc>
        <w:tc>
          <w:tcPr>
            <w:tcW w:w="2429" w:type="dxa"/>
            <w:tcBorders>
              <w:top w:val="nil"/>
              <w:bottom w:val="nil"/>
            </w:tcBorders>
          </w:tcPr>
          <w:p>
            <w:pPr>
              <w:pStyle w:val="TableParagraph"/>
              <w:spacing w:line="256" w:lineRule="exact"/>
              <w:ind w:left="105"/>
              <w:rPr>
                <w:sz w:val="24"/>
              </w:rPr>
            </w:pPr>
            <w:r>
              <w:rPr>
                <w:sz w:val="24"/>
              </w:rPr>
              <w:t>requirements</w:t>
            </w:r>
            <w:r>
              <w:rPr>
                <w:spacing w:val="-5"/>
                <w:sz w:val="24"/>
              </w:rPr>
              <w:t> </w:t>
            </w:r>
            <w:r>
              <w:rPr>
                <w:spacing w:val="-2"/>
                <w:sz w:val="24"/>
              </w:rPr>
              <w:t>(used</w:t>
            </w:r>
          </w:p>
        </w:tc>
        <w:tc>
          <w:tcPr>
            <w:tcW w:w="1980" w:type="dxa"/>
            <w:tcBorders>
              <w:top w:val="nil"/>
              <w:bottom w:val="nil"/>
            </w:tcBorders>
          </w:tcPr>
          <w:p>
            <w:pPr>
              <w:pStyle w:val="TableParagraph"/>
              <w:rPr>
                <w:sz w:val="20"/>
              </w:rPr>
            </w:pPr>
          </w:p>
        </w:tc>
        <w:tc>
          <w:tcPr>
            <w:tcW w:w="1711" w:type="dxa"/>
            <w:tcBorders>
              <w:top w:val="nil"/>
              <w:bottom w:val="nil"/>
            </w:tcBorders>
          </w:tcPr>
          <w:p>
            <w:pPr>
              <w:pStyle w:val="TableParagraph"/>
              <w:rPr>
                <w:sz w:val="20"/>
              </w:rPr>
            </w:pPr>
          </w:p>
        </w:tc>
      </w:tr>
      <w:tr>
        <w:trPr>
          <w:trHeight w:val="275" w:hRule="atLeast"/>
        </w:trPr>
        <w:tc>
          <w:tcPr>
            <w:tcW w:w="1514" w:type="dxa"/>
            <w:tcBorders>
              <w:top w:val="nil"/>
              <w:bottom w:val="nil"/>
            </w:tcBorders>
          </w:tcPr>
          <w:p>
            <w:pPr>
              <w:pStyle w:val="TableParagraph"/>
              <w:rPr>
                <w:sz w:val="20"/>
              </w:rPr>
            </w:pPr>
          </w:p>
        </w:tc>
        <w:tc>
          <w:tcPr>
            <w:tcW w:w="1987" w:type="dxa"/>
            <w:tcBorders>
              <w:top w:val="nil"/>
              <w:bottom w:val="nil"/>
            </w:tcBorders>
          </w:tcPr>
          <w:p>
            <w:pPr>
              <w:pStyle w:val="TableParagraph"/>
              <w:rPr>
                <w:sz w:val="20"/>
              </w:rPr>
            </w:pPr>
          </w:p>
        </w:tc>
        <w:tc>
          <w:tcPr>
            <w:tcW w:w="2429" w:type="dxa"/>
            <w:tcBorders>
              <w:top w:val="nil"/>
              <w:bottom w:val="nil"/>
            </w:tcBorders>
          </w:tcPr>
          <w:p>
            <w:pPr>
              <w:pStyle w:val="TableParagraph"/>
              <w:spacing w:line="256" w:lineRule="exact"/>
              <w:ind w:left="105"/>
              <w:rPr>
                <w:sz w:val="24"/>
              </w:rPr>
            </w:pPr>
            <w:r>
              <w:rPr>
                <w:sz w:val="24"/>
              </w:rPr>
              <w:t>services</w:t>
            </w:r>
            <w:r>
              <w:rPr>
                <w:spacing w:val="-4"/>
                <w:sz w:val="24"/>
              </w:rPr>
              <w:t> </w:t>
            </w:r>
            <w:r>
              <w:rPr>
                <w:sz w:val="24"/>
              </w:rPr>
              <w:t>within</w:t>
            </w:r>
            <w:r>
              <w:rPr>
                <w:spacing w:val="-2"/>
                <w:sz w:val="24"/>
              </w:rPr>
              <w:t> </w:t>
            </w:r>
            <w:r>
              <w:rPr>
                <w:sz w:val="24"/>
              </w:rPr>
              <w:t>the</w:t>
            </w:r>
            <w:r>
              <w:rPr>
                <w:spacing w:val="-2"/>
                <w:sz w:val="24"/>
              </w:rPr>
              <w:t> </w:t>
            </w:r>
            <w:r>
              <w:rPr>
                <w:spacing w:val="-4"/>
                <w:sz w:val="24"/>
              </w:rPr>
              <w:t>last</w:t>
            </w:r>
          </w:p>
        </w:tc>
        <w:tc>
          <w:tcPr>
            <w:tcW w:w="1980" w:type="dxa"/>
            <w:tcBorders>
              <w:top w:val="nil"/>
              <w:bottom w:val="nil"/>
            </w:tcBorders>
          </w:tcPr>
          <w:p>
            <w:pPr>
              <w:pStyle w:val="TableParagraph"/>
              <w:rPr>
                <w:sz w:val="20"/>
              </w:rPr>
            </w:pPr>
          </w:p>
        </w:tc>
        <w:tc>
          <w:tcPr>
            <w:tcW w:w="1711" w:type="dxa"/>
            <w:tcBorders>
              <w:top w:val="nil"/>
              <w:bottom w:val="nil"/>
            </w:tcBorders>
          </w:tcPr>
          <w:p>
            <w:pPr>
              <w:pStyle w:val="TableParagraph"/>
              <w:rPr>
                <w:sz w:val="20"/>
              </w:rPr>
            </w:pPr>
          </w:p>
        </w:tc>
      </w:tr>
      <w:tr>
        <w:trPr>
          <w:trHeight w:val="271" w:hRule="atLeast"/>
        </w:trPr>
        <w:tc>
          <w:tcPr>
            <w:tcW w:w="1514" w:type="dxa"/>
            <w:tcBorders>
              <w:top w:val="nil"/>
            </w:tcBorders>
          </w:tcPr>
          <w:p>
            <w:pPr>
              <w:pStyle w:val="TableParagraph"/>
              <w:rPr>
                <w:sz w:val="20"/>
              </w:rPr>
            </w:pPr>
          </w:p>
        </w:tc>
        <w:tc>
          <w:tcPr>
            <w:tcW w:w="1987" w:type="dxa"/>
            <w:tcBorders>
              <w:top w:val="nil"/>
            </w:tcBorders>
          </w:tcPr>
          <w:p>
            <w:pPr>
              <w:pStyle w:val="TableParagraph"/>
              <w:rPr>
                <w:sz w:val="20"/>
              </w:rPr>
            </w:pPr>
          </w:p>
        </w:tc>
        <w:tc>
          <w:tcPr>
            <w:tcW w:w="2429" w:type="dxa"/>
            <w:tcBorders>
              <w:top w:val="nil"/>
            </w:tcBorders>
          </w:tcPr>
          <w:p>
            <w:pPr>
              <w:pStyle w:val="TableParagraph"/>
              <w:spacing w:line="251" w:lineRule="exact"/>
              <w:ind w:left="105"/>
              <w:rPr>
                <w:sz w:val="24"/>
              </w:rPr>
            </w:pPr>
            <w:r>
              <w:rPr>
                <w:sz w:val="24"/>
              </w:rPr>
              <w:t>6 </w:t>
            </w:r>
            <w:r>
              <w:rPr>
                <w:spacing w:val="-2"/>
                <w:sz w:val="24"/>
              </w:rPr>
              <w:t>months)</w:t>
            </w:r>
          </w:p>
        </w:tc>
        <w:tc>
          <w:tcPr>
            <w:tcW w:w="1980" w:type="dxa"/>
            <w:tcBorders>
              <w:top w:val="nil"/>
            </w:tcBorders>
          </w:tcPr>
          <w:p>
            <w:pPr>
              <w:pStyle w:val="TableParagraph"/>
              <w:rPr>
                <w:sz w:val="20"/>
              </w:rPr>
            </w:pPr>
          </w:p>
        </w:tc>
        <w:tc>
          <w:tcPr>
            <w:tcW w:w="1711" w:type="dxa"/>
            <w:tcBorders>
              <w:top w:val="nil"/>
            </w:tcBorders>
          </w:tcPr>
          <w:p>
            <w:pPr>
              <w:pStyle w:val="TableParagraph"/>
              <w:rPr>
                <w:sz w:val="20"/>
              </w:rPr>
            </w:pPr>
          </w:p>
        </w:tc>
      </w:tr>
      <w:tr>
        <w:trPr>
          <w:trHeight w:val="275" w:hRule="atLeast"/>
        </w:trPr>
        <w:tc>
          <w:tcPr>
            <w:tcW w:w="9621" w:type="dxa"/>
            <w:gridSpan w:val="5"/>
          </w:tcPr>
          <w:p>
            <w:pPr>
              <w:pStyle w:val="TableParagraph"/>
              <w:spacing w:line="255" w:lineRule="exact"/>
              <w:ind w:left="107"/>
              <w:rPr>
                <w:b/>
                <w:sz w:val="24"/>
              </w:rPr>
            </w:pPr>
            <w:r>
              <w:rPr>
                <w:b/>
                <w:sz w:val="24"/>
              </w:rPr>
              <w:t>Hypothesis</w:t>
            </w:r>
            <w:r>
              <w:rPr>
                <w:b/>
                <w:spacing w:val="-3"/>
                <w:sz w:val="24"/>
              </w:rPr>
              <w:t> </w:t>
            </w:r>
            <w:r>
              <w:rPr>
                <w:b/>
                <w:spacing w:val="-10"/>
                <w:sz w:val="24"/>
              </w:rPr>
              <w:t>2</w:t>
            </w:r>
          </w:p>
        </w:tc>
      </w:tr>
      <w:tr>
        <w:trPr>
          <w:trHeight w:val="282" w:hRule="atLeast"/>
        </w:trPr>
        <w:tc>
          <w:tcPr>
            <w:tcW w:w="1514" w:type="dxa"/>
            <w:tcBorders>
              <w:bottom w:val="nil"/>
            </w:tcBorders>
          </w:tcPr>
          <w:p>
            <w:pPr>
              <w:pStyle w:val="TableParagraph"/>
              <w:spacing w:line="261" w:lineRule="exact" w:before="1"/>
              <w:ind w:left="107"/>
              <w:rPr>
                <w:sz w:val="24"/>
              </w:rPr>
            </w:pPr>
            <w:r>
              <w:rPr>
                <w:spacing w:val="-2"/>
                <w:sz w:val="24"/>
              </w:rPr>
              <w:t>Research</w:t>
            </w:r>
          </w:p>
        </w:tc>
        <w:tc>
          <w:tcPr>
            <w:tcW w:w="1987" w:type="dxa"/>
            <w:tcBorders>
              <w:bottom w:val="nil"/>
            </w:tcBorders>
          </w:tcPr>
          <w:p>
            <w:pPr>
              <w:pStyle w:val="TableParagraph"/>
              <w:spacing w:line="261" w:lineRule="exact" w:before="1"/>
              <w:ind w:left="108"/>
              <w:rPr>
                <w:sz w:val="24"/>
              </w:rPr>
            </w:pPr>
            <w:r>
              <w:rPr>
                <w:sz w:val="24"/>
              </w:rPr>
              <w:t>-Measure</w:t>
            </w:r>
            <w:r>
              <w:rPr>
                <w:spacing w:val="-3"/>
                <w:sz w:val="24"/>
              </w:rPr>
              <w:t> </w:t>
            </w:r>
            <w:r>
              <w:rPr>
                <w:spacing w:val="-10"/>
                <w:sz w:val="24"/>
              </w:rPr>
              <w:t>1</w:t>
            </w:r>
          </w:p>
        </w:tc>
        <w:tc>
          <w:tcPr>
            <w:tcW w:w="2429" w:type="dxa"/>
            <w:tcBorders>
              <w:bottom w:val="nil"/>
            </w:tcBorders>
          </w:tcPr>
          <w:p>
            <w:pPr>
              <w:pStyle w:val="TableParagraph"/>
              <w:spacing w:line="261" w:lineRule="exact" w:before="1"/>
              <w:ind w:left="105"/>
              <w:rPr>
                <w:sz w:val="24"/>
              </w:rPr>
            </w:pPr>
            <w:r>
              <w:rPr>
                <w:sz w:val="24"/>
              </w:rPr>
              <w:t>-Sample,</w:t>
            </w:r>
            <w:r>
              <w:rPr>
                <w:spacing w:val="-3"/>
                <w:sz w:val="24"/>
              </w:rPr>
              <w:t> </w:t>
            </w:r>
            <w:r>
              <w:rPr>
                <w:sz w:val="24"/>
              </w:rPr>
              <w:t>e.g.,</w:t>
            </w:r>
            <w:r>
              <w:rPr>
                <w:spacing w:val="-2"/>
                <w:sz w:val="24"/>
              </w:rPr>
              <w:t> </w:t>
            </w:r>
            <w:r>
              <w:rPr>
                <w:spacing w:val="-5"/>
                <w:sz w:val="24"/>
              </w:rPr>
              <w:t>PPS</w:t>
            </w:r>
          </w:p>
        </w:tc>
        <w:tc>
          <w:tcPr>
            <w:tcW w:w="1980" w:type="dxa"/>
            <w:tcBorders>
              <w:bottom w:val="nil"/>
            </w:tcBorders>
          </w:tcPr>
          <w:p>
            <w:pPr>
              <w:pStyle w:val="TableParagraph"/>
              <w:spacing w:line="261" w:lineRule="exact" w:before="1"/>
              <w:ind w:left="107"/>
              <w:rPr>
                <w:sz w:val="24"/>
              </w:rPr>
            </w:pPr>
            <w:r>
              <w:rPr>
                <w:sz w:val="24"/>
              </w:rPr>
              <w:t>-Key</w:t>
            </w:r>
            <w:r>
              <w:rPr>
                <w:spacing w:val="-6"/>
                <w:sz w:val="24"/>
              </w:rPr>
              <w:t> </w:t>
            </w:r>
            <w:r>
              <w:rPr>
                <w:spacing w:val="-2"/>
                <w:sz w:val="24"/>
              </w:rPr>
              <w:t>informants</w:t>
            </w:r>
          </w:p>
        </w:tc>
        <w:tc>
          <w:tcPr>
            <w:tcW w:w="1711" w:type="dxa"/>
            <w:tcBorders>
              <w:bottom w:val="nil"/>
            </w:tcBorders>
          </w:tcPr>
          <w:p>
            <w:pPr>
              <w:pStyle w:val="TableParagraph"/>
              <w:spacing w:line="261" w:lineRule="exact" w:before="1"/>
              <w:ind w:left="107"/>
              <w:rPr>
                <w:sz w:val="24"/>
              </w:rPr>
            </w:pPr>
            <w:r>
              <w:rPr>
                <w:spacing w:val="-2"/>
                <w:sz w:val="24"/>
              </w:rPr>
              <w:t>Qualitative</w:t>
            </w:r>
          </w:p>
        </w:tc>
      </w:tr>
      <w:tr>
        <w:trPr>
          <w:trHeight w:val="275" w:hRule="atLeast"/>
        </w:trPr>
        <w:tc>
          <w:tcPr>
            <w:tcW w:w="1514" w:type="dxa"/>
            <w:tcBorders>
              <w:top w:val="nil"/>
              <w:bottom w:val="nil"/>
            </w:tcBorders>
          </w:tcPr>
          <w:p>
            <w:pPr>
              <w:pStyle w:val="TableParagraph"/>
              <w:spacing w:line="256" w:lineRule="exact"/>
              <w:ind w:left="107"/>
              <w:rPr>
                <w:sz w:val="24"/>
              </w:rPr>
            </w:pPr>
            <w:r>
              <w:rPr>
                <w:sz w:val="24"/>
              </w:rPr>
              <w:t>question</w:t>
            </w:r>
            <w:r>
              <w:rPr>
                <w:spacing w:val="-1"/>
                <w:sz w:val="24"/>
              </w:rPr>
              <w:t> </w:t>
            </w:r>
            <w:r>
              <w:rPr>
                <w:spacing w:val="-5"/>
                <w:sz w:val="24"/>
              </w:rPr>
              <w:t>2a</w:t>
            </w:r>
          </w:p>
        </w:tc>
        <w:tc>
          <w:tcPr>
            <w:tcW w:w="1987" w:type="dxa"/>
            <w:tcBorders>
              <w:top w:val="nil"/>
              <w:bottom w:val="nil"/>
            </w:tcBorders>
          </w:tcPr>
          <w:p>
            <w:pPr>
              <w:pStyle w:val="TableParagraph"/>
              <w:spacing w:line="256" w:lineRule="exact"/>
              <w:ind w:left="108"/>
              <w:rPr>
                <w:sz w:val="24"/>
              </w:rPr>
            </w:pPr>
            <w:r>
              <w:rPr>
                <w:sz w:val="24"/>
              </w:rPr>
              <w:t>-Measure</w:t>
            </w:r>
            <w:r>
              <w:rPr>
                <w:spacing w:val="-3"/>
                <w:sz w:val="24"/>
              </w:rPr>
              <w:t> </w:t>
            </w:r>
            <w:r>
              <w:rPr>
                <w:spacing w:val="-10"/>
                <w:sz w:val="24"/>
              </w:rPr>
              <w:t>2</w:t>
            </w:r>
          </w:p>
        </w:tc>
        <w:tc>
          <w:tcPr>
            <w:tcW w:w="2429" w:type="dxa"/>
            <w:tcBorders>
              <w:top w:val="nil"/>
              <w:bottom w:val="nil"/>
            </w:tcBorders>
          </w:tcPr>
          <w:p>
            <w:pPr>
              <w:pStyle w:val="TableParagraph"/>
              <w:spacing w:line="256" w:lineRule="exact"/>
              <w:ind w:left="105"/>
              <w:rPr>
                <w:sz w:val="24"/>
              </w:rPr>
            </w:pPr>
            <w:r>
              <w:rPr>
                <w:spacing w:val="-2"/>
                <w:sz w:val="24"/>
              </w:rPr>
              <w:t>administrators</w:t>
            </w:r>
          </w:p>
        </w:tc>
        <w:tc>
          <w:tcPr>
            <w:tcW w:w="1980" w:type="dxa"/>
            <w:tcBorders>
              <w:top w:val="nil"/>
              <w:bottom w:val="nil"/>
            </w:tcBorders>
          </w:tcPr>
          <w:p>
            <w:pPr>
              <w:pStyle w:val="TableParagraph"/>
              <w:rPr>
                <w:sz w:val="20"/>
              </w:rPr>
            </w:pPr>
          </w:p>
        </w:tc>
        <w:tc>
          <w:tcPr>
            <w:tcW w:w="1711" w:type="dxa"/>
            <w:tcBorders>
              <w:top w:val="nil"/>
              <w:bottom w:val="nil"/>
            </w:tcBorders>
          </w:tcPr>
          <w:p>
            <w:pPr>
              <w:pStyle w:val="TableParagraph"/>
              <w:spacing w:line="256" w:lineRule="exact"/>
              <w:ind w:left="107"/>
              <w:rPr>
                <w:sz w:val="24"/>
              </w:rPr>
            </w:pPr>
            <w:r>
              <w:rPr>
                <w:sz w:val="24"/>
              </w:rPr>
              <w:t>analysis</w:t>
            </w:r>
            <w:r>
              <w:rPr>
                <w:spacing w:val="-5"/>
                <w:sz w:val="24"/>
              </w:rPr>
              <w:t> of</w:t>
            </w:r>
          </w:p>
        </w:tc>
      </w:tr>
      <w:tr>
        <w:trPr>
          <w:trHeight w:val="276" w:hRule="atLeast"/>
        </w:trPr>
        <w:tc>
          <w:tcPr>
            <w:tcW w:w="1514" w:type="dxa"/>
            <w:tcBorders>
              <w:top w:val="nil"/>
              <w:bottom w:val="nil"/>
            </w:tcBorders>
          </w:tcPr>
          <w:p>
            <w:pPr>
              <w:pStyle w:val="TableParagraph"/>
              <w:rPr>
                <w:sz w:val="20"/>
              </w:rPr>
            </w:pPr>
          </w:p>
        </w:tc>
        <w:tc>
          <w:tcPr>
            <w:tcW w:w="1987" w:type="dxa"/>
            <w:tcBorders>
              <w:top w:val="nil"/>
              <w:bottom w:val="nil"/>
            </w:tcBorders>
          </w:tcPr>
          <w:p>
            <w:pPr>
              <w:pStyle w:val="TableParagraph"/>
              <w:rPr>
                <w:sz w:val="20"/>
              </w:rPr>
            </w:pPr>
          </w:p>
        </w:tc>
        <w:tc>
          <w:tcPr>
            <w:tcW w:w="2429" w:type="dxa"/>
            <w:tcBorders>
              <w:top w:val="nil"/>
              <w:bottom w:val="nil"/>
            </w:tcBorders>
          </w:tcPr>
          <w:p>
            <w:pPr>
              <w:pStyle w:val="TableParagraph"/>
              <w:rPr>
                <w:sz w:val="20"/>
              </w:rPr>
            </w:pPr>
          </w:p>
        </w:tc>
        <w:tc>
          <w:tcPr>
            <w:tcW w:w="1980" w:type="dxa"/>
            <w:tcBorders>
              <w:top w:val="nil"/>
              <w:bottom w:val="nil"/>
            </w:tcBorders>
          </w:tcPr>
          <w:p>
            <w:pPr>
              <w:pStyle w:val="TableParagraph"/>
              <w:rPr>
                <w:sz w:val="20"/>
              </w:rPr>
            </w:pPr>
          </w:p>
        </w:tc>
        <w:tc>
          <w:tcPr>
            <w:tcW w:w="1711" w:type="dxa"/>
            <w:tcBorders>
              <w:top w:val="nil"/>
              <w:bottom w:val="nil"/>
            </w:tcBorders>
          </w:tcPr>
          <w:p>
            <w:pPr>
              <w:pStyle w:val="TableParagraph"/>
              <w:spacing w:line="256" w:lineRule="exact"/>
              <w:ind w:left="107"/>
              <w:rPr>
                <w:sz w:val="24"/>
              </w:rPr>
            </w:pPr>
            <w:r>
              <w:rPr>
                <w:spacing w:val="-2"/>
                <w:sz w:val="24"/>
              </w:rPr>
              <w:t>interview</w:t>
            </w:r>
          </w:p>
        </w:tc>
      </w:tr>
      <w:tr>
        <w:trPr>
          <w:trHeight w:val="271" w:hRule="atLeast"/>
        </w:trPr>
        <w:tc>
          <w:tcPr>
            <w:tcW w:w="1514" w:type="dxa"/>
            <w:tcBorders>
              <w:top w:val="nil"/>
            </w:tcBorders>
          </w:tcPr>
          <w:p>
            <w:pPr>
              <w:pStyle w:val="TableParagraph"/>
              <w:rPr>
                <w:sz w:val="20"/>
              </w:rPr>
            </w:pPr>
          </w:p>
        </w:tc>
        <w:tc>
          <w:tcPr>
            <w:tcW w:w="1987" w:type="dxa"/>
            <w:tcBorders>
              <w:top w:val="nil"/>
            </w:tcBorders>
          </w:tcPr>
          <w:p>
            <w:pPr>
              <w:pStyle w:val="TableParagraph"/>
              <w:rPr>
                <w:sz w:val="20"/>
              </w:rPr>
            </w:pPr>
          </w:p>
        </w:tc>
        <w:tc>
          <w:tcPr>
            <w:tcW w:w="2429" w:type="dxa"/>
            <w:tcBorders>
              <w:top w:val="nil"/>
            </w:tcBorders>
          </w:tcPr>
          <w:p>
            <w:pPr>
              <w:pStyle w:val="TableParagraph"/>
              <w:rPr>
                <w:sz w:val="20"/>
              </w:rPr>
            </w:pPr>
          </w:p>
        </w:tc>
        <w:tc>
          <w:tcPr>
            <w:tcW w:w="1980" w:type="dxa"/>
            <w:tcBorders>
              <w:top w:val="nil"/>
            </w:tcBorders>
          </w:tcPr>
          <w:p>
            <w:pPr>
              <w:pStyle w:val="TableParagraph"/>
              <w:rPr>
                <w:sz w:val="20"/>
              </w:rPr>
            </w:pPr>
          </w:p>
        </w:tc>
        <w:tc>
          <w:tcPr>
            <w:tcW w:w="1711" w:type="dxa"/>
            <w:tcBorders>
              <w:top w:val="nil"/>
            </w:tcBorders>
          </w:tcPr>
          <w:p>
            <w:pPr>
              <w:pStyle w:val="TableParagraph"/>
              <w:spacing w:line="251" w:lineRule="exact"/>
              <w:ind w:left="107"/>
              <w:rPr>
                <w:sz w:val="24"/>
              </w:rPr>
            </w:pPr>
            <w:r>
              <w:rPr>
                <w:spacing w:val="-2"/>
                <w:sz w:val="24"/>
              </w:rPr>
              <w:t>material</w:t>
            </w:r>
          </w:p>
        </w:tc>
      </w:tr>
    </w:tbl>
    <w:p>
      <w:pPr>
        <w:pStyle w:val="BodyText"/>
        <w:spacing w:before="7"/>
        <w:rPr>
          <w:b/>
        </w:rPr>
      </w:pPr>
    </w:p>
    <w:p>
      <w:pPr>
        <w:pStyle w:val="BodyText"/>
        <w:ind w:left="1219" w:right="1111"/>
      </w:pPr>
      <w:bookmarkStart w:name="D. Methodological Limitations – This sec" w:id="1150"/>
      <w:bookmarkEnd w:id="1150"/>
      <w:r>
        <w:rPr/>
      </w:r>
      <w:r>
        <w:rPr>
          <w:b/>
        </w:rPr>
        <w:t>D. Methodological Limitations </w:t>
      </w:r>
      <w:r>
        <w:rPr/>
        <w:t>– This section provides more detailed information about the limitations</w:t>
      </w:r>
      <w:r>
        <w:rPr>
          <w:spacing w:val="-3"/>
        </w:rPr>
        <w:t> </w:t>
      </w:r>
      <w:r>
        <w:rPr/>
        <w:t>of</w:t>
      </w:r>
      <w:r>
        <w:rPr>
          <w:spacing w:val="-4"/>
        </w:rPr>
        <w:t> </w:t>
      </w:r>
      <w:r>
        <w:rPr/>
        <w:t>the</w:t>
      </w:r>
      <w:r>
        <w:rPr>
          <w:spacing w:val="-4"/>
        </w:rPr>
        <w:t> </w:t>
      </w:r>
      <w:r>
        <w:rPr/>
        <w:t>evaluation.</w:t>
      </w:r>
      <w:r>
        <w:rPr>
          <w:spacing w:val="40"/>
        </w:rPr>
        <w:t> </w:t>
      </w:r>
      <w:r>
        <w:rPr/>
        <w:t>This</w:t>
      </w:r>
      <w:r>
        <w:rPr>
          <w:spacing w:val="-3"/>
        </w:rPr>
        <w:t> </w:t>
      </w:r>
      <w:r>
        <w:rPr/>
        <w:t>could</w:t>
      </w:r>
      <w:r>
        <w:rPr>
          <w:spacing w:val="-3"/>
        </w:rPr>
        <w:t> </w:t>
      </w:r>
      <w:r>
        <w:rPr/>
        <w:t>include</w:t>
      </w:r>
      <w:r>
        <w:rPr>
          <w:spacing w:val="-4"/>
        </w:rPr>
        <w:t> </w:t>
      </w:r>
      <w:r>
        <w:rPr/>
        <w:t>limitations</w:t>
      </w:r>
      <w:r>
        <w:rPr>
          <w:spacing w:val="-3"/>
        </w:rPr>
        <w:t> </w:t>
      </w:r>
      <w:r>
        <w:rPr/>
        <w:t>about</w:t>
      </w:r>
      <w:r>
        <w:rPr>
          <w:spacing w:val="-3"/>
        </w:rPr>
        <w:t> </w:t>
      </w:r>
      <w:r>
        <w:rPr/>
        <w:t>the</w:t>
      </w:r>
      <w:r>
        <w:rPr>
          <w:spacing w:val="-4"/>
        </w:rPr>
        <w:t> </w:t>
      </w:r>
      <w:r>
        <w:rPr/>
        <w:t>design,</w:t>
      </w:r>
      <w:r>
        <w:rPr>
          <w:spacing w:val="-3"/>
        </w:rPr>
        <w:t> </w:t>
      </w:r>
      <w:r>
        <w:rPr/>
        <w:t>the</w:t>
      </w:r>
      <w:r>
        <w:rPr>
          <w:spacing w:val="-4"/>
        </w:rPr>
        <w:t> </w:t>
      </w:r>
      <w:r>
        <w:rPr/>
        <w:t>data</w:t>
      </w:r>
      <w:r>
        <w:rPr>
          <w:spacing w:val="-4"/>
        </w:rPr>
        <w:t> </w:t>
      </w:r>
      <w:r>
        <w:rPr/>
        <w:t>sources</w:t>
      </w:r>
      <w:r>
        <w:rPr>
          <w:spacing w:val="-3"/>
        </w:rPr>
        <w:t> </w:t>
      </w:r>
      <w:r>
        <w:rPr/>
        <w:t>or collection process, or analytic methods.</w:t>
      </w:r>
      <w:r>
        <w:rPr>
          <w:spacing w:val="40"/>
        </w:rPr>
        <w:t> </w:t>
      </w:r>
      <w:r>
        <w:rPr/>
        <w:t>The state should also identify any efforts to minimize these</w:t>
      </w:r>
      <w:r>
        <w:rPr>
          <w:spacing w:val="-2"/>
        </w:rPr>
        <w:t> </w:t>
      </w:r>
      <w:r>
        <w:rPr/>
        <w:t>limitations.</w:t>
      </w:r>
      <w:r>
        <w:rPr>
          <w:spacing w:val="40"/>
        </w:rPr>
        <w:t> </w:t>
      </w:r>
      <w:r>
        <w:rPr/>
        <w:t>Additionally,</w:t>
      </w:r>
      <w:r>
        <w:rPr>
          <w:spacing w:val="-1"/>
        </w:rPr>
        <w:t> </w:t>
      </w:r>
      <w:r>
        <w:rPr/>
        <w:t>this</w:t>
      </w:r>
      <w:r>
        <w:rPr>
          <w:spacing w:val="-1"/>
        </w:rPr>
        <w:t> </w:t>
      </w:r>
      <w:r>
        <w:rPr/>
        <w:t>section</w:t>
      </w:r>
      <w:r>
        <w:rPr>
          <w:spacing w:val="-1"/>
        </w:rPr>
        <w:t> </w:t>
      </w:r>
      <w:r>
        <w:rPr/>
        <w:t>should</w:t>
      </w:r>
      <w:r>
        <w:rPr>
          <w:spacing w:val="-1"/>
        </w:rPr>
        <w:t> </w:t>
      </w:r>
      <w:r>
        <w:rPr/>
        <w:t>include</w:t>
      </w:r>
      <w:r>
        <w:rPr>
          <w:spacing w:val="-2"/>
        </w:rPr>
        <w:t> </w:t>
      </w:r>
      <w:r>
        <w:rPr/>
        <w:t>any</w:t>
      </w:r>
      <w:r>
        <w:rPr>
          <w:spacing w:val="-6"/>
        </w:rPr>
        <w:t> </w:t>
      </w:r>
      <w:r>
        <w:rPr/>
        <w:t>information</w:t>
      </w:r>
      <w:r>
        <w:rPr>
          <w:spacing w:val="-1"/>
        </w:rPr>
        <w:t> </w:t>
      </w:r>
      <w:r>
        <w:rPr/>
        <w:t>about</w:t>
      </w:r>
      <w:r>
        <w:rPr>
          <w:spacing w:val="-1"/>
        </w:rPr>
        <w:t> </w:t>
      </w:r>
      <w:r>
        <w:rPr/>
        <w:t>features</w:t>
      </w:r>
      <w:r>
        <w:rPr>
          <w:spacing w:val="-1"/>
        </w:rPr>
        <w:t> </w:t>
      </w:r>
      <w:r>
        <w:rPr/>
        <w:t>of</w:t>
      </w:r>
      <w:r>
        <w:rPr>
          <w:spacing w:val="-2"/>
        </w:rPr>
        <w:t> </w:t>
      </w:r>
      <w:r>
        <w:rPr/>
        <w:t>the demonstration that effectively present methodological constraints that the state would like CMS to take into consideration in its review.</w:t>
      </w:r>
    </w:p>
    <w:p>
      <w:pPr>
        <w:pStyle w:val="BodyText"/>
      </w:pPr>
    </w:p>
    <w:p>
      <w:pPr>
        <w:pStyle w:val="BodyText"/>
        <w:ind w:left="1219" w:right="1124"/>
      </w:pPr>
      <w:bookmarkStart w:name="CMS also recognizes that there may be ce" w:id="1151"/>
      <w:bookmarkEnd w:id="1151"/>
      <w:r>
        <w:rPr/>
      </w:r>
      <w:r>
        <w:rPr/>
        <w:t>CMS also recognizes that there may be certain instances where a state cannot meet the rigor of</w:t>
      </w:r>
      <w:r>
        <w:rPr>
          <w:spacing w:val="40"/>
        </w:rPr>
        <w:t> </w:t>
      </w:r>
      <w:r>
        <w:rPr/>
        <w:t>an evaluation as expected by CMS.</w:t>
      </w:r>
      <w:r>
        <w:rPr>
          <w:spacing w:val="77"/>
        </w:rPr>
        <w:t> </w:t>
      </w:r>
      <w:r>
        <w:rPr/>
        <w:t>In these instances, the state should document for CMS why it is not able to incorporate key components of a rigorous evaluation, including comparison groups and baseline data analyses.</w:t>
      </w:r>
      <w:r>
        <w:rPr>
          <w:spacing w:val="40"/>
        </w:rPr>
        <w:t> </w:t>
      </w:r>
      <w:r>
        <w:rPr/>
        <w:t>For example, if a demonstration is long-standing, it may be difficult</w:t>
      </w:r>
      <w:r>
        <w:rPr>
          <w:spacing w:val="-2"/>
        </w:rPr>
        <w:t> </w:t>
      </w:r>
      <w:r>
        <w:rPr/>
        <w:t>for</w:t>
      </w:r>
      <w:r>
        <w:rPr>
          <w:spacing w:val="-3"/>
        </w:rPr>
        <w:t> </w:t>
      </w:r>
      <w:r>
        <w:rPr/>
        <w:t>the</w:t>
      </w:r>
      <w:r>
        <w:rPr>
          <w:spacing w:val="-3"/>
        </w:rPr>
        <w:t> </w:t>
      </w:r>
      <w:r>
        <w:rPr/>
        <w:t>state</w:t>
      </w:r>
      <w:r>
        <w:rPr>
          <w:spacing w:val="-3"/>
        </w:rPr>
        <w:t> </w:t>
      </w:r>
      <w:r>
        <w:rPr/>
        <w:t>to</w:t>
      </w:r>
      <w:r>
        <w:rPr>
          <w:spacing w:val="-2"/>
        </w:rPr>
        <w:t> </w:t>
      </w:r>
      <w:r>
        <w:rPr/>
        <w:t>include</w:t>
      </w:r>
      <w:r>
        <w:rPr>
          <w:spacing w:val="-3"/>
        </w:rPr>
        <w:t> </w:t>
      </w:r>
      <w:r>
        <w:rPr/>
        <w:t>baseline</w:t>
      </w:r>
      <w:r>
        <w:rPr>
          <w:spacing w:val="-3"/>
        </w:rPr>
        <w:t> </w:t>
      </w:r>
      <w:r>
        <w:rPr/>
        <w:t>data</w:t>
      </w:r>
      <w:r>
        <w:rPr>
          <w:spacing w:val="-3"/>
        </w:rPr>
        <w:t> </w:t>
      </w:r>
      <w:r>
        <w:rPr/>
        <w:t>because</w:t>
      </w:r>
      <w:r>
        <w:rPr>
          <w:spacing w:val="-3"/>
        </w:rPr>
        <w:t> </w:t>
      </w:r>
      <w:r>
        <w:rPr/>
        <w:t>any</w:t>
      </w:r>
      <w:r>
        <w:rPr>
          <w:spacing w:val="-7"/>
        </w:rPr>
        <w:t> </w:t>
      </w:r>
      <w:r>
        <w:rPr/>
        <w:t>pre-test</w:t>
      </w:r>
      <w:r>
        <w:rPr>
          <w:spacing w:val="-2"/>
        </w:rPr>
        <w:t> </w:t>
      </w:r>
      <w:r>
        <w:rPr/>
        <w:t>data</w:t>
      </w:r>
      <w:r>
        <w:rPr>
          <w:spacing w:val="-3"/>
        </w:rPr>
        <w:t> </w:t>
      </w:r>
      <w:r>
        <w:rPr/>
        <w:t>points</w:t>
      </w:r>
      <w:r>
        <w:rPr>
          <w:spacing w:val="-2"/>
        </w:rPr>
        <w:t> </w:t>
      </w:r>
      <w:r>
        <w:rPr/>
        <w:t>may</w:t>
      </w:r>
      <w:r>
        <w:rPr>
          <w:spacing w:val="-7"/>
        </w:rPr>
        <w:t> </w:t>
      </w:r>
      <w:r>
        <w:rPr/>
        <w:t>not</w:t>
      </w:r>
      <w:r>
        <w:rPr>
          <w:spacing w:val="-2"/>
        </w:rPr>
        <w:t> </w:t>
      </w:r>
      <w:r>
        <w:rPr/>
        <w:t>be</w:t>
      </w:r>
      <w:r>
        <w:rPr>
          <w:spacing w:val="-3"/>
        </w:rPr>
        <w:t> </w:t>
      </w:r>
      <w:r>
        <w:rPr/>
        <w:t>relevant or comparable.</w:t>
      </w:r>
      <w:r>
        <w:rPr>
          <w:spacing w:val="40"/>
        </w:rPr>
        <w:t> </w:t>
      </w:r>
      <w:r>
        <w:rPr/>
        <w:t>Other examples of considerations include:</w:t>
      </w:r>
    </w:p>
    <w:p>
      <w:pPr>
        <w:pStyle w:val="ListParagraph"/>
        <w:numPr>
          <w:ilvl w:val="0"/>
          <w:numId w:val="52"/>
        </w:numPr>
        <w:tabs>
          <w:tab w:pos="1939" w:val="left" w:leader="none"/>
        </w:tabs>
        <w:spacing w:line="240" w:lineRule="auto" w:before="60" w:after="0"/>
        <w:ind w:left="1939" w:right="0" w:hanging="360"/>
        <w:jc w:val="left"/>
        <w:rPr>
          <w:sz w:val="24"/>
        </w:rPr>
      </w:pPr>
      <w:r>
        <w:rPr>
          <w:sz w:val="24"/>
        </w:rPr>
        <w:t>When</w:t>
      </w:r>
      <w:r>
        <w:rPr>
          <w:spacing w:val="-2"/>
          <w:sz w:val="24"/>
        </w:rPr>
        <w:t> </w:t>
      </w:r>
      <w:r>
        <w:rPr>
          <w:sz w:val="24"/>
        </w:rPr>
        <w:t>the</w:t>
      </w:r>
      <w:r>
        <w:rPr>
          <w:spacing w:val="-3"/>
          <w:sz w:val="24"/>
        </w:rPr>
        <w:t> </w:t>
      </w:r>
      <w:r>
        <w:rPr>
          <w:sz w:val="24"/>
        </w:rPr>
        <w:t>demonstration</w:t>
      </w:r>
      <w:r>
        <w:rPr>
          <w:spacing w:val="-1"/>
          <w:sz w:val="24"/>
        </w:rPr>
        <w:t> </w:t>
      </w:r>
      <w:r>
        <w:rPr>
          <w:spacing w:val="-5"/>
          <w:sz w:val="24"/>
        </w:rPr>
        <w:t>is:</w:t>
      </w:r>
    </w:p>
    <w:p>
      <w:pPr>
        <w:pStyle w:val="ListParagraph"/>
        <w:numPr>
          <w:ilvl w:val="1"/>
          <w:numId w:val="52"/>
        </w:numPr>
        <w:tabs>
          <w:tab w:pos="2569" w:val="left" w:leader="none"/>
          <w:tab w:pos="2571" w:val="left" w:leader="none"/>
        </w:tabs>
        <w:spacing w:line="240" w:lineRule="auto" w:before="60" w:after="0"/>
        <w:ind w:left="2571" w:right="1287" w:hanging="272"/>
        <w:jc w:val="left"/>
        <w:rPr>
          <w:sz w:val="24"/>
        </w:rPr>
      </w:pPr>
      <w:r>
        <w:rPr>
          <w:sz w:val="24"/>
        </w:rPr>
        <w:t>Non-complex,</w:t>
      </w:r>
      <w:r>
        <w:rPr>
          <w:spacing w:val="-4"/>
          <w:sz w:val="24"/>
        </w:rPr>
        <w:t> </w:t>
      </w:r>
      <w:r>
        <w:rPr>
          <w:sz w:val="24"/>
        </w:rPr>
        <w:t>unchanged,</w:t>
      </w:r>
      <w:r>
        <w:rPr>
          <w:spacing w:val="-4"/>
          <w:sz w:val="24"/>
        </w:rPr>
        <w:t> </w:t>
      </w:r>
      <w:r>
        <w:rPr>
          <w:sz w:val="24"/>
        </w:rPr>
        <w:t>or</w:t>
      </w:r>
      <w:r>
        <w:rPr>
          <w:spacing w:val="-5"/>
          <w:sz w:val="24"/>
        </w:rPr>
        <w:t> </w:t>
      </w:r>
      <w:r>
        <w:rPr>
          <w:sz w:val="24"/>
        </w:rPr>
        <w:t>has</w:t>
      </w:r>
      <w:r>
        <w:rPr>
          <w:spacing w:val="-4"/>
          <w:sz w:val="24"/>
        </w:rPr>
        <w:t> </w:t>
      </w:r>
      <w:r>
        <w:rPr>
          <w:sz w:val="24"/>
        </w:rPr>
        <w:t>previously</w:t>
      </w:r>
      <w:r>
        <w:rPr>
          <w:spacing w:val="-9"/>
          <w:sz w:val="24"/>
        </w:rPr>
        <w:t> </w:t>
      </w:r>
      <w:r>
        <w:rPr>
          <w:sz w:val="24"/>
        </w:rPr>
        <w:t>been</w:t>
      </w:r>
      <w:r>
        <w:rPr>
          <w:spacing w:val="-2"/>
          <w:sz w:val="24"/>
        </w:rPr>
        <w:t> </w:t>
      </w:r>
      <w:r>
        <w:rPr>
          <w:sz w:val="24"/>
        </w:rPr>
        <w:t>rigorously</w:t>
      </w:r>
      <w:r>
        <w:rPr>
          <w:spacing w:val="-7"/>
          <w:sz w:val="24"/>
        </w:rPr>
        <w:t> </w:t>
      </w:r>
      <w:r>
        <w:rPr>
          <w:sz w:val="24"/>
        </w:rPr>
        <w:t>evaluated</w:t>
      </w:r>
      <w:r>
        <w:rPr>
          <w:spacing w:val="-2"/>
          <w:sz w:val="24"/>
        </w:rPr>
        <w:t> </w:t>
      </w:r>
      <w:r>
        <w:rPr>
          <w:sz w:val="24"/>
        </w:rPr>
        <w:t>and</w:t>
      </w:r>
      <w:r>
        <w:rPr>
          <w:spacing w:val="-2"/>
          <w:sz w:val="24"/>
        </w:rPr>
        <w:t> </w:t>
      </w:r>
      <w:r>
        <w:rPr>
          <w:sz w:val="24"/>
        </w:rPr>
        <w:t>found to be successful; or</w:t>
      </w:r>
    </w:p>
    <w:p>
      <w:pPr>
        <w:pStyle w:val="ListParagraph"/>
        <w:numPr>
          <w:ilvl w:val="1"/>
          <w:numId w:val="52"/>
        </w:numPr>
        <w:tabs>
          <w:tab w:pos="2571" w:val="left" w:leader="none"/>
        </w:tabs>
        <w:spacing w:line="240" w:lineRule="auto" w:before="60" w:after="0"/>
        <w:ind w:left="2571" w:right="1135" w:hanging="272"/>
        <w:jc w:val="left"/>
        <w:rPr>
          <w:sz w:val="24"/>
        </w:rPr>
      </w:pPr>
      <w:r>
        <w:rPr>
          <w:sz w:val="24"/>
        </w:rPr>
        <w:t>Could</w:t>
      </w:r>
      <w:r>
        <w:rPr>
          <w:spacing w:val="-4"/>
          <w:sz w:val="24"/>
        </w:rPr>
        <w:t> </w:t>
      </w:r>
      <w:r>
        <w:rPr>
          <w:sz w:val="24"/>
        </w:rPr>
        <w:t>now</w:t>
      </w:r>
      <w:r>
        <w:rPr>
          <w:spacing w:val="-5"/>
          <w:sz w:val="24"/>
        </w:rPr>
        <w:t> </w:t>
      </w:r>
      <w:r>
        <w:rPr>
          <w:sz w:val="24"/>
        </w:rPr>
        <w:t>be</w:t>
      </w:r>
      <w:r>
        <w:rPr>
          <w:spacing w:val="-5"/>
          <w:sz w:val="24"/>
        </w:rPr>
        <w:t> </w:t>
      </w:r>
      <w:r>
        <w:rPr>
          <w:sz w:val="24"/>
        </w:rPr>
        <w:t>considered</w:t>
      </w:r>
      <w:r>
        <w:rPr>
          <w:spacing w:val="-2"/>
          <w:sz w:val="24"/>
        </w:rPr>
        <w:t> </w:t>
      </w:r>
      <w:r>
        <w:rPr>
          <w:sz w:val="24"/>
        </w:rPr>
        <w:t>standard</w:t>
      </w:r>
      <w:r>
        <w:rPr>
          <w:spacing w:val="-4"/>
          <w:sz w:val="24"/>
        </w:rPr>
        <w:t> </w:t>
      </w:r>
      <w:r>
        <w:rPr>
          <w:sz w:val="24"/>
        </w:rPr>
        <w:t>Medicaid</w:t>
      </w:r>
      <w:r>
        <w:rPr>
          <w:spacing w:val="-4"/>
          <w:sz w:val="24"/>
        </w:rPr>
        <w:t> </w:t>
      </w:r>
      <w:r>
        <w:rPr>
          <w:sz w:val="24"/>
        </w:rPr>
        <w:t>policy</w:t>
      </w:r>
      <w:r>
        <w:rPr>
          <w:spacing w:val="-7"/>
          <w:sz w:val="24"/>
        </w:rPr>
        <w:t> </w:t>
      </w:r>
      <w:r>
        <w:rPr>
          <w:sz w:val="24"/>
        </w:rPr>
        <w:t>(CMS</w:t>
      </w:r>
      <w:r>
        <w:rPr>
          <w:spacing w:val="-4"/>
          <w:sz w:val="24"/>
        </w:rPr>
        <w:t> </w:t>
      </w:r>
      <w:r>
        <w:rPr>
          <w:sz w:val="24"/>
        </w:rPr>
        <w:t>published</w:t>
      </w:r>
      <w:r>
        <w:rPr>
          <w:spacing w:val="-4"/>
          <w:sz w:val="24"/>
        </w:rPr>
        <w:t> </w:t>
      </w:r>
      <w:r>
        <w:rPr>
          <w:sz w:val="24"/>
        </w:rPr>
        <w:t>regulations</w:t>
      </w:r>
      <w:r>
        <w:rPr>
          <w:spacing w:val="-4"/>
          <w:sz w:val="24"/>
        </w:rPr>
        <w:t> </w:t>
      </w:r>
      <w:r>
        <w:rPr>
          <w:sz w:val="24"/>
        </w:rPr>
        <w:t>or </w:t>
      </w:r>
      <w:r>
        <w:rPr>
          <w:spacing w:val="-2"/>
          <w:sz w:val="24"/>
        </w:rPr>
        <w:t>guidance).</w:t>
      </w:r>
    </w:p>
    <w:p>
      <w:pPr>
        <w:pStyle w:val="ListParagraph"/>
        <w:numPr>
          <w:ilvl w:val="0"/>
          <w:numId w:val="52"/>
        </w:numPr>
        <w:tabs>
          <w:tab w:pos="1939" w:val="left" w:leader="none"/>
        </w:tabs>
        <w:spacing w:line="240" w:lineRule="auto" w:before="60" w:after="0"/>
        <w:ind w:left="1939" w:right="1549" w:hanging="360"/>
        <w:jc w:val="left"/>
        <w:rPr>
          <w:sz w:val="24"/>
        </w:rPr>
      </w:pPr>
      <w:r>
        <w:rPr>
          <w:sz w:val="24"/>
        </w:rPr>
        <w:t>When</w:t>
      </w:r>
      <w:r>
        <w:rPr>
          <w:spacing w:val="-4"/>
          <w:sz w:val="24"/>
        </w:rPr>
        <w:t> </w:t>
      </w:r>
      <w:r>
        <w:rPr>
          <w:sz w:val="24"/>
        </w:rPr>
        <w:t>the</w:t>
      </w:r>
      <w:r>
        <w:rPr>
          <w:spacing w:val="-5"/>
          <w:sz w:val="24"/>
        </w:rPr>
        <w:t> </w:t>
      </w:r>
      <w:r>
        <w:rPr>
          <w:sz w:val="24"/>
        </w:rPr>
        <w:t>demonstration</w:t>
      </w:r>
      <w:r>
        <w:rPr>
          <w:spacing w:val="-4"/>
          <w:sz w:val="24"/>
        </w:rPr>
        <w:t> </w:t>
      </w:r>
      <w:r>
        <w:rPr>
          <w:sz w:val="24"/>
        </w:rPr>
        <w:t>is</w:t>
      </w:r>
      <w:r>
        <w:rPr>
          <w:spacing w:val="-4"/>
          <w:sz w:val="24"/>
        </w:rPr>
        <w:t> </w:t>
      </w:r>
      <w:r>
        <w:rPr>
          <w:sz w:val="24"/>
        </w:rPr>
        <w:t>also</w:t>
      </w:r>
      <w:r>
        <w:rPr>
          <w:spacing w:val="-4"/>
          <w:sz w:val="24"/>
        </w:rPr>
        <w:t> </w:t>
      </w:r>
      <w:r>
        <w:rPr>
          <w:sz w:val="24"/>
        </w:rPr>
        <w:t>considered</w:t>
      </w:r>
      <w:r>
        <w:rPr>
          <w:spacing w:val="-4"/>
          <w:sz w:val="24"/>
        </w:rPr>
        <w:t> </w:t>
      </w:r>
      <w:r>
        <w:rPr>
          <w:sz w:val="24"/>
        </w:rPr>
        <w:t>successful</w:t>
      </w:r>
      <w:r>
        <w:rPr>
          <w:spacing w:val="-4"/>
          <w:sz w:val="24"/>
        </w:rPr>
        <w:t> </w:t>
      </w:r>
      <w:r>
        <w:rPr>
          <w:sz w:val="24"/>
        </w:rPr>
        <w:t>without</w:t>
      </w:r>
      <w:r>
        <w:rPr>
          <w:spacing w:val="-4"/>
          <w:sz w:val="24"/>
        </w:rPr>
        <w:t> </w:t>
      </w:r>
      <w:r>
        <w:rPr>
          <w:sz w:val="24"/>
        </w:rPr>
        <w:t>issues</w:t>
      </w:r>
      <w:r>
        <w:rPr>
          <w:spacing w:val="-4"/>
          <w:sz w:val="24"/>
        </w:rPr>
        <w:t> </w:t>
      </w:r>
      <w:r>
        <w:rPr>
          <w:sz w:val="24"/>
        </w:rPr>
        <w:t>or</w:t>
      </w:r>
      <w:r>
        <w:rPr>
          <w:spacing w:val="-5"/>
          <w:sz w:val="24"/>
        </w:rPr>
        <w:t> </w:t>
      </w:r>
      <w:r>
        <w:rPr>
          <w:sz w:val="24"/>
        </w:rPr>
        <w:t>concerns</w:t>
      </w:r>
      <w:r>
        <w:rPr>
          <w:spacing w:val="-4"/>
          <w:sz w:val="24"/>
        </w:rPr>
        <w:t> </w:t>
      </w:r>
      <w:r>
        <w:rPr>
          <w:sz w:val="24"/>
        </w:rPr>
        <w:t>that would require more regular reporting, such as:</w:t>
      </w:r>
    </w:p>
    <w:p>
      <w:pPr>
        <w:pStyle w:val="ListParagraph"/>
        <w:numPr>
          <w:ilvl w:val="1"/>
          <w:numId w:val="52"/>
        </w:numPr>
        <w:tabs>
          <w:tab w:pos="2570" w:val="left" w:leader="none"/>
        </w:tabs>
        <w:spacing w:line="240" w:lineRule="auto" w:before="61" w:after="0"/>
        <w:ind w:left="2570" w:right="0" w:hanging="359"/>
        <w:jc w:val="left"/>
        <w:rPr>
          <w:sz w:val="24"/>
        </w:rPr>
      </w:pPr>
      <w:r>
        <w:rPr>
          <w:sz w:val="24"/>
        </w:rPr>
        <w:t>Operating</w:t>
      </w:r>
      <w:r>
        <w:rPr>
          <w:spacing w:val="-4"/>
          <w:sz w:val="24"/>
        </w:rPr>
        <w:t> </w:t>
      </w:r>
      <w:r>
        <w:rPr>
          <w:sz w:val="24"/>
        </w:rPr>
        <w:t>smoothly</w:t>
      </w:r>
      <w:r>
        <w:rPr>
          <w:spacing w:val="-5"/>
          <w:sz w:val="24"/>
        </w:rPr>
        <w:t> </w:t>
      </w:r>
      <w:r>
        <w:rPr>
          <w:sz w:val="24"/>
        </w:rPr>
        <w:t>without</w:t>
      </w:r>
      <w:r>
        <w:rPr>
          <w:spacing w:val="-1"/>
          <w:sz w:val="24"/>
        </w:rPr>
        <w:t> </w:t>
      </w:r>
      <w:r>
        <w:rPr>
          <w:sz w:val="24"/>
        </w:rPr>
        <w:t>administrative</w:t>
      </w:r>
      <w:r>
        <w:rPr>
          <w:spacing w:val="-1"/>
          <w:sz w:val="24"/>
        </w:rPr>
        <w:t> </w:t>
      </w:r>
      <w:r>
        <w:rPr>
          <w:spacing w:val="-2"/>
          <w:sz w:val="24"/>
        </w:rPr>
        <w:t>changes;</w:t>
      </w:r>
    </w:p>
    <w:p>
      <w:pPr>
        <w:spacing w:after="0" w:line="240" w:lineRule="auto"/>
        <w:jc w:val="left"/>
        <w:rPr>
          <w:sz w:val="24"/>
        </w:rPr>
        <w:sectPr>
          <w:pgSz w:w="12240" w:h="15840"/>
          <w:pgMar w:header="0" w:footer="1223" w:top="640" w:bottom="1420" w:left="220" w:right="340"/>
        </w:sectPr>
      </w:pPr>
    </w:p>
    <w:p>
      <w:pPr>
        <w:spacing w:before="80"/>
        <w:ind w:left="1220" w:right="0" w:firstLine="0"/>
        <w:jc w:val="left"/>
        <w:rPr>
          <w:sz w:val="20"/>
        </w:rPr>
      </w:pPr>
      <w:r>
        <w:rPr>
          <w:sz w:val="20"/>
        </w:rPr>
        <w:t>Attachment</w:t>
      </w:r>
      <w:r>
        <w:rPr>
          <w:spacing w:val="-12"/>
          <w:sz w:val="20"/>
        </w:rPr>
        <w:t> </w:t>
      </w:r>
      <w:r>
        <w:rPr>
          <w:spacing w:val="-10"/>
          <w:sz w:val="20"/>
        </w:rPr>
        <w:t>A</w:t>
      </w:r>
    </w:p>
    <w:p>
      <w:pPr>
        <w:pStyle w:val="BodyText"/>
        <w:rPr>
          <w:sz w:val="20"/>
        </w:rPr>
      </w:pPr>
    </w:p>
    <w:p>
      <w:pPr>
        <w:pStyle w:val="BodyText"/>
        <w:spacing w:before="6"/>
        <w:rPr>
          <w:sz w:val="22"/>
        </w:rPr>
      </w:pPr>
    </w:p>
    <w:p>
      <w:pPr>
        <w:pStyle w:val="ListParagraph"/>
        <w:numPr>
          <w:ilvl w:val="1"/>
          <w:numId w:val="52"/>
        </w:numPr>
        <w:tabs>
          <w:tab w:pos="2571" w:val="left" w:leader="none"/>
        </w:tabs>
        <w:spacing w:line="240" w:lineRule="auto" w:before="0" w:after="0"/>
        <w:ind w:left="2571" w:right="0" w:hanging="360"/>
        <w:jc w:val="left"/>
        <w:rPr>
          <w:sz w:val="24"/>
        </w:rPr>
      </w:pPr>
      <w:r>
        <w:rPr>
          <w:sz w:val="24"/>
        </w:rPr>
        <w:t>No</w:t>
      </w:r>
      <w:r>
        <w:rPr>
          <w:spacing w:val="-1"/>
          <w:sz w:val="24"/>
        </w:rPr>
        <w:t> </w:t>
      </w:r>
      <w:r>
        <w:rPr>
          <w:sz w:val="24"/>
        </w:rPr>
        <w:t>or</w:t>
      </w:r>
      <w:r>
        <w:rPr>
          <w:spacing w:val="-2"/>
          <w:sz w:val="24"/>
        </w:rPr>
        <w:t> </w:t>
      </w:r>
      <w:r>
        <w:rPr>
          <w:sz w:val="24"/>
        </w:rPr>
        <w:t>minimal</w:t>
      </w:r>
      <w:r>
        <w:rPr>
          <w:spacing w:val="-1"/>
          <w:sz w:val="24"/>
        </w:rPr>
        <w:t> </w:t>
      </w:r>
      <w:r>
        <w:rPr>
          <w:sz w:val="24"/>
        </w:rPr>
        <w:t>appeals</w:t>
      </w:r>
      <w:r>
        <w:rPr>
          <w:spacing w:val="-1"/>
          <w:sz w:val="24"/>
        </w:rPr>
        <w:t> </w:t>
      </w:r>
      <w:r>
        <w:rPr>
          <w:sz w:val="24"/>
        </w:rPr>
        <w:t>and </w:t>
      </w:r>
      <w:r>
        <w:rPr>
          <w:spacing w:val="-2"/>
          <w:sz w:val="24"/>
        </w:rPr>
        <w:t>grievances;</w:t>
      </w:r>
    </w:p>
    <w:p>
      <w:pPr>
        <w:pStyle w:val="ListParagraph"/>
        <w:numPr>
          <w:ilvl w:val="1"/>
          <w:numId w:val="52"/>
        </w:numPr>
        <w:tabs>
          <w:tab w:pos="2570" w:val="left" w:leader="none"/>
        </w:tabs>
        <w:spacing w:line="240" w:lineRule="auto" w:before="60" w:after="0"/>
        <w:ind w:left="2570" w:right="0" w:hanging="359"/>
        <w:jc w:val="left"/>
        <w:rPr>
          <w:sz w:val="24"/>
        </w:rPr>
      </w:pPr>
      <w:r>
        <w:rPr>
          <w:sz w:val="24"/>
        </w:rPr>
        <w:t>No</w:t>
      </w:r>
      <w:r>
        <w:rPr>
          <w:spacing w:val="-4"/>
          <w:sz w:val="24"/>
        </w:rPr>
        <w:t> </w:t>
      </w:r>
      <w:r>
        <w:rPr>
          <w:sz w:val="24"/>
        </w:rPr>
        <w:t>state</w:t>
      </w:r>
      <w:r>
        <w:rPr>
          <w:spacing w:val="-3"/>
          <w:sz w:val="24"/>
        </w:rPr>
        <w:t> </w:t>
      </w:r>
      <w:r>
        <w:rPr>
          <w:sz w:val="24"/>
        </w:rPr>
        <w:t>issues</w:t>
      </w:r>
      <w:r>
        <w:rPr>
          <w:spacing w:val="-1"/>
          <w:sz w:val="24"/>
        </w:rPr>
        <w:t> </w:t>
      </w:r>
      <w:r>
        <w:rPr>
          <w:sz w:val="24"/>
        </w:rPr>
        <w:t>with</w:t>
      </w:r>
      <w:r>
        <w:rPr>
          <w:spacing w:val="-2"/>
          <w:sz w:val="24"/>
        </w:rPr>
        <w:t> </w:t>
      </w:r>
      <w:r>
        <w:rPr>
          <w:sz w:val="24"/>
        </w:rPr>
        <w:t>CMS-64</w:t>
      </w:r>
      <w:r>
        <w:rPr>
          <w:spacing w:val="-1"/>
          <w:sz w:val="24"/>
        </w:rPr>
        <w:t> </w:t>
      </w:r>
      <w:r>
        <w:rPr>
          <w:sz w:val="24"/>
        </w:rPr>
        <w:t>reporting</w:t>
      </w:r>
      <w:r>
        <w:rPr>
          <w:spacing w:val="-5"/>
          <w:sz w:val="24"/>
        </w:rPr>
        <w:t> </w:t>
      </w:r>
      <w:r>
        <w:rPr>
          <w:sz w:val="24"/>
        </w:rPr>
        <w:t>or</w:t>
      </w:r>
      <w:r>
        <w:rPr>
          <w:spacing w:val="-2"/>
          <w:sz w:val="24"/>
        </w:rPr>
        <w:t> </w:t>
      </w:r>
      <w:r>
        <w:rPr>
          <w:sz w:val="24"/>
        </w:rPr>
        <w:t>budget neutrality;</w:t>
      </w:r>
      <w:r>
        <w:rPr>
          <w:spacing w:val="-1"/>
          <w:sz w:val="24"/>
        </w:rPr>
        <w:t> </w:t>
      </w:r>
      <w:r>
        <w:rPr>
          <w:spacing w:val="-5"/>
          <w:sz w:val="24"/>
        </w:rPr>
        <w:t>and</w:t>
      </w:r>
    </w:p>
    <w:p>
      <w:pPr>
        <w:pStyle w:val="ListParagraph"/>
        <w:numPr>
          <w:ilvl w:val="1"/>
          <w:numId w:val="52"/>
        </w:numPr>
        <w:tabs>
          <w:tab w:pos="2571" w:val="left" w:leader="none"/>
        </w:tabs>
        <w:spacing w:line="240" w:lineRule="auto" w:before="60" w:after="0"/>
        <w:ind w:left="2571" w:right="0" w:hanging="360"/>
        <w:jc w:val="left"/>
        <w:rPr>
          <w:sz w:val="24"/>
        </w:rPr>
      </w:pPr>
      <w:r>
        <w:rPr>
          <w:sz w:val="24"/>
        </w:rPr>
        <w:t>No</w:t>
      </w:r>
      <w:r>
        <w:rPr>
          <w:spacing w:val="-2"/>
          <w:sz w:val="24"/>
        </w:rPr>
        <w:t> </w:t>
      </w:r>
      <w:r>
        <w:rPr>
          <w:sz w:val="24"/>
        </w:rPr>
        <w:t>Corrective</w:t>
      </w:r>
      <w:r>
        <w:rPr>
          <w:spacing w:val="-1"/>
          <w:sz w:val="24"/>
        </w:rPr>
        <w:t> </w:t>
      </w:r>
      <w:r>
        <w:rPr>
          <w:sz w:val="24"/>
        </w:rPr>
        <w:t>Action</w:t>
      </w:r>
      <w:r>
        <w:rPr>
          <w:spacing w:val="-2"/>
          <w:sz w:val="24"/>
        </w:rPr>
        <w:t> </w:t>
      </w:r>
      <w:r>
        <w:rPr>
          <w:sz w:val="24"/>
        </w:rPr>
        <w:t>Plans</w:t>
      </w:r>
      <w:r>
        <w:rPr>
          <w:spacing w:val="-1"/>
          <w:sz w:val="24"/>
        </w:rPr>
        <w:t> </w:t>
      </w:r>
      <w:r>
        <w:rPr>
          <w:sz w:val="24"/>
        </w:rPr>
        <w:t>for</w:t>
      </w:r>
      <w:r>
        <w:rPr>
          <w:spacing w:val="-3"/>
          <w:sz w:val="24"/>
        </w:rPr>
        <w:t> </w:t>
      </w:r>
      <w:r>
        <w:rPr>
          <w:sz w:val="24"/>
        </w:rPr>
        <w:t>the</w:t>
      </w:r>
      <w:r>
        <w:rPr>
          <w:spacing w:val="-2"/>
          <w:sz w:val="24"/>
        </w:rPr>
        <w:t> demonstration.</w:t>
      </w:r>
    </w:p>
    <w:p>
      <w:pPr>
        <w:pStyle w:val="BodyText"/>
        <w:spacing w:before="2"/>
        <w:rPr>
          <w:sz w:val="29"/>
        </w:rPr>
      </w:pPr>
    </w:p>
    <w:p>
      <w:pPr>
        <w:pStyle w:val="Heading5"/>
        <w:ind w:left="1219"/>
      </w:pPr>
      <w:bookmarkStart w:name="E. Attachments" w:id="1152"/>
      <w:bookmarkEnd w:id="1152"/>
      <w:r>
        <w:rPr>
          <w:b w:val="0"/>
        </w:rPr>
      </w:r>
      <w:r>
        <w:rPr/>
        <w:t>E. </w:t>
      </w:r>
      <w:r>
        <w:rPr>
          <w:spacing w:val="-2"/>
        </w:rPr>
        <w:t>Attachments</w:t>
      </w:r>
    </w:p>
    <w:p>
      <w:pPr>
        <w:pStyle w:val="ListParagraph"/>
        <w:numPr>
          <w:ilvl w:val="0"/>
          <w:numId w:val="53"/>
        </w:numPr>
        <w:tabs>
          <w:tab w:pos="1939" w:val="left" w:leader="none"/>
        </w:tabs>
        <w:spacing w:line="240" w:lineRule="auto" w:before="61" w:after="0"/>
        <w:ind w:left="1939" w:right="1187" w:hanging="360"/>
        <w:jc w:val="left"/>
        <w:rPr>
          <w:sz w:val="24"/>
        </w:rPr>
      </w:pPr>
      <w:bookmarkStart w:name="1) Independent Evaluator.  This includes" w:id="1153"/>
      <w:bookmarkEnd w:id="1153"/>
      <w:r>
        <w:rPr/>
      </w:r>
      <w:r>
        <w:rPr>
          <w:b/>
          <w:sz w:val="24"/>
        </w:rPr>
        <w:t>Independent Evaluator.</w:t>
      </w:r>
      <w:r>
        <w:rPr>
          <w:b/>
          <w:spacing w:val="40"/>
          <w:sz w:val="24"/>
        </w:rPr>
        <w:t> </w:t>
      </w:r>
      <w:r>
        <w:rPr>
          <w:sz w:val="24"/>
        </w:rPr>
        <w:t>This includes a discussion of the state’s process for obtaining an independent entity to conduct the evaluation, including a description of the qualifications that the selected entity must possess, and how the state will assure no conflict</w:t>
      </w:r>
      <w:r>
        <w:rPr>
          <w:spacing w:val="-3"/>
          <w:sz w:val="24"/>
        </w:rPr>
        <w:t> </w:t>
      </w:r>
      <w:r>
        <w:rPr>
          <w:sz w:val="24"/>
        </w:rPr>
        <w:t>of</w:t>
      </w:r>
      <w:r>
        <w:rPr>
          <w:spacing w:val="-4"/>
          <w:sz w:val="24"/>
        </w:rPr>
        <w:t> </w:t>
      </w:r>
      <w:r>
        <w:rPr>
          <w:sz w:val="24"/>
        </w:rPr>
        <w:t>interest.</w:t>
      </w:r>
      <w:r>
        <w:rPr>
          <w:spacing w:val="40"/>
          <w:sz w:val="24"/>
        </w:rPr>
        <w:t> </w:t>
      </w:r>
      <w:r>
        <w:rPr>
          <w:sz w:val="24"/>
        </w:rPr>
        <w:t>Explain</w:t>
      </w:r>
      <w:r>
        <w:rPr>
          <w:spacing w:val="-3"/>
          <w:sz w:val="24"/>
        </w:rPr>
        <w:t> </w:t>
      </w:r>
      <w:r>
        <w:rPr>
          <w:sz w:val="24"/>
        </w:rPr>
        <w:t>how</w:t>
      </w:r>
      <w:r>
        <w:rPr>
          <w:spacing w:val="-4"/>
          <w:sz w:val="24"/>
        </w:rPr>
        <w:t> </w:t>
      </w:r>
      <w:r>
        <w:rPr>
          <w:sz w:val="24"/>
        </w:rPr>
        <w:t>the</w:t>
      </w:r>
      <w:r>
        <w:rPr>
          <w:spacing w:val="-4"/>
          <w:sz w:val="24"/>
        </w:rPr>
        <w:t> </w:t>
      </w:r>
      <w:r>
        <w:rPr>
          <w:sz w:val="24"/>
        </w:rPr>
        <w:t>state</w:t>
      </w:r>
      <w:r>
        <w:rPr>
          <w:spacing w:val="-4"/>
          <w:sz w:val="24"/>
        </w:rPr>
        <w:t> </w:t>
      </w:r>
      <w:r>
        <w:rPr>
          <w:sz w:val="24"/>
        </w:rPr>
        <w:t>will</w:t>
      </w:r>
      <w:r>
        <w:rPr>
          <w:spacing w:val="-3"/>
          <w:sz w:val="24"/>
        </w:rPr>
        <w:t> </w:t>
      </w:r>
      <w:r>
        <w:rPr>
          <w:sz w:val="24"/>
        </w:rPr>
        <w:t>assure</w:t>
      </w:r>
      <w:r>
        <w:rPr>
          <w:spacing w:val="-4"/>
          <w:sz w:val="24"/>
        </w:rPr>
        <w:t> </w:t>
      </w:r>
      <w:r>
        <w:rPr>
          <w:sz w:val="24"/>
        </w:rPr>
        <w:t>that</w:t>
      </w:r>
      <w:r>
        <w:rPr>
          <w:spacing w:val="-3"/>
          <w:sz w:val="24"/>
        </w:rPr>
        <w:t> </w:t>
      </w:r>
      <w:r>
        <w:rPr>
          <w:sz w:val="24"/>
        </w:rPr>
        <w:t>the</w:t>
      </w:r>
      <w:r>
        <w:rPr>
          <w:spacing w:val="-2"/>
          <w:sz w:val="24"/>
        </w:rPr>
        <w:t> </w:t>
      </w:r>
      <w:r>
        <w:rPr>
          <w:sz w:val="24"/>
        </w:rPr>
        <w:t>Independent</w:t>
      </w:r>
      <w:r>
        <w:rPr>
          <w:spacing w:val="-1"/>
          <w:sz w:val="24"/>
        </w:rPr>
        <w:t> </w:t>
      </w:r>
      <w:r>
        <w:rPr>
          <w:sz w:val="24"/>
        </w:rPr>
        <w:t>Evaluator</w:t>
      </w:r>
      <w:r>
        <w:rPr>
          <w:spacing w:val="-4"/>
          <w:sz w:val="24"/>
        </w:rPr>
        <w:t> </w:t>
      </w:r>
      <w:r>
        <w:rPr>
          <w:sz w:val="24"/>
        </w:rPr>
        <w:t>will conduct a fair and impartial evaluation and prepare objective Evaluation Reports.</w:t>
      </w:r>
      <w:r>
        <w:rPr>
          <w:spacing w:val="40"/>
          <w:sz w:val="24"/>
        </w:rPr>
        <w:t> </w:t>
      </w:r>
      <w:r>
        <w:rPr>
          <w:sz w:val="24"/>
        </w:rPr>
        <w:t>The Evaluation Design should include a “No Conflict of Interest” statement signed by the independent evaluator.</w:t>
      </w:r>
    </w:p>
    <w:p>
      <w:pPr>
        <w:pStyle w:val="ListParagraph"/>
        <w:numPr>
          <w:ilvl w:val="0"/>
          <w:numId w:val="53"/>
        </w:numPr>
        <w:tabs>
          <w:tab w:pos="1939" w:val="left" w:leader="none"/>
        </w:tabs>
        <w:spacing w:line="240" w:lineRule="auto" w:before="60" w:after="0"/>
        <w:ind w:left="1939" w:right="1100" w:hanging="360"/>
        <w:jc w:val="left"/>
        <w:rPr>
          <w:sz w:val="24"/>
        </w:rPr>
      </w:pPr>
      <w:bookmarkStart w:name="2) Evaluation Budget.  A budget for impl" w:id="1154"/>
      <w:bookmarkEnd w:id="1154"/>
      <w:r>
        <w:rPr/>
      </w:r>
      <w:r>
        <w:rPr>
          <w:b/>
          <w:sz w:val="24"/>
        </w:rPr>
        <w:t>Evaluation Budget.</w:t>
      </w:r>
      <w:r>
        <w:rPr>
          <w:b/>
          <w:spacing w:val="80"/>
          <w:sz w:val="24"/>
        </w:rPr>
        <w:t> </w:t>
      </w:r>
      <w:r>
        <w:rPr>
          <w:sz w:val="24"/>
        </w:rPr>
        <w:t>A budget for implementing the evaluation shall be provided with the draft Evaluation Design.</w:t>
      </w:r>
      <w:r>
        <w:rPr>
          <w:spacing w:val="40"/>
          <w:sz w:val="24"/>
        </w:rPr>
        <w:t> </w:t>
      </w:r>
      <w:r>
        <w:rPr>
          <w:sz w:val="24"/>
        </w:rPr>
        <w:t>It will include the total estimated costs, as well as a breakdown of estimated staff, administrative, and other costs for all aspects of the evaluation.</w:t>
      </w:r>
      <w:r>
        <w:rPr>
          <w:spacing w:val="40"/>
          <w:sz w:val="24"/>
        </w:rPr>
        <w:t> </w:t>
      </w:r>
      <w:r>
        <w:rPr>
          <w:sz w:val="24"/>
        </w:rPr>
        <w:t>Examples include, but are not limited to:</w:t>
      </w:r>
      <w:r>
        <w:rPr>
          <w:spacing w:val="40"/>
          <w:sz w:val="24"/>
        </w:rPr>
        <w:t> </w:t>
      </w:r>
      <w:r>
        <w:rPr>
          <w:sz w:val="24"/>
        </w:rPr>
        <w:t>the development of all survey and measurement instruments; quantitative and qualitative data collection; data cleaning and analyses; and reports generation.</w:t>
      </w:r>
      <w:r>
        <w:rPr>
          <w:spacing w:val="40"/>
          <w:sz w:val="24"/>
        </w:rPr>
        <w:t> </w:t>
      </w:r>
      <w:r>
        <w:rPr>
          <w:sz w:val="24"/>
        </w:rPr>
        <w:t>A justification of the costs may be required by CMS if the</w:t>
      </w:r>
      <w:r>
        <w:rPr>
          <w:spacing w:val="-3"/>
          <w:sz w:val="24"/>
        </w:rPr>
        <w:t> </w:t>
      </w:r>
      <w:r>
        <w:rPr>
          <w:sz w:val="24"/>
        </w:rPr>
        <w:t>estimates</w:t>
      </w:r>
      <w:r>
        <w:rPr>
          <w:spacing w:val="-2"/>
          <w:sz w:val="24"/>
        </w:rPr>
        <w:t> </w:t>
      </w:r>
      <w:r>
        <w:rPr>
          <w:sz w:val="24"/>
        </w:rPr>
        <w:t>provided</w:t>
      </w:r>
      <w:r>
        <w:rPr>
          <w:spacing w:val="-2"/>
          <w:sz w:val="24"/>
        </w:rPr>
        <w:t> </w:t>
      </w:r>
      <w:r>
        <w:rPr>
          <w:sz w:val="24"/>
        </w:rPr>
        <w:t>do</w:t>
      </w:r>
      <w:r>
        <w:rPr>
          <w:spacing w:val="-2"/>
          <w:sz w:val="24"/>
        </w:rPr>
        <w:t> </w:t>
      </w:r>
      <w:r>
        <w:rPr>
          <w:sz w:val="24"/>
        </w:rPr>
        <w:t>not</w:t>
      </w:r>
      <w:r>
        <w:rPr>
          <w:spacing w:val="-2"/>
          <w:sz w:val="24"/>
        </w:rPr>
        <w:t> </w:t>
      </w:r>
      <w:r>
        <w:rPr>
          <w:sz w:val="24"/>
        </w:rPr>
        <w:t>appear</w:t>
      </w:r>
      <w:r>
        <w:rPr>
          <w:spacing w:val="-3"/>
          <w:sz w:val="24"/>
        </w:rPr>
        <w:t> </w:t>
      </w:r>
      <w:r>
        <w:rPr>
          <w:sz w:val="24"/>
        </w:rPr>
        <w:t>to</w:t>
      </w:r>
      <w:r>
        <w:rPr>
          <w:spacing w:val="-2"/>
          <w:sz w:val="24"/>
        </w:rPr>
        <w:t> </w:t>
      </w:r>
      <w:r>
        <w:rPr>
          <w:sz w:val="24"/>
        </w:rPr>
        <w:t>sufficiently</w:t>
      </w:r>
      <w:r>
        <w:rPr>
          <w:spacing w:val="-7"/>
          <w:sz w:val="24"/>
        </w:rPr>
        <w:t> </w:t>
      </w:r>
      <w:r>
        <w:rPr>
          <w:sz w:val="24"/>
        </w:rPr>
        <w:t>cover</w:t>
      </w:r>
      <w:r>
        <w:rPr>
          <w:spacing w:val="-3"/>
          <w:sz w:val="24"/>
        </w:rPr>
        <w:t> </w:t>
      </w:r>
      <w:r>
        <w:rPr>
          <w:sz w:val="24"/>
        </w:rPr>
        <w:t>the</w:t>
      </w:r>
      <w:r>
        <w:rPr>
          <w:spacing w:val="-3"/>
          <w:sz w:val="24"/>
        </w:rPr>
        <w:t> </w:t>
      </w:r>
      <w:r>
        <w:rPr>
          <w:sz w:val="24"/>
        </w:rPr>
        <w:t>costs</w:t>
      </w:r>
      <w:r>
        <w:rPr>
          <w:spacing w:val="-2"/>
          <w:sz w:val="24"/>
        </w:rPr>
        <w:t> </w:t>
      </w:r>
      <w:r>
        <w:rPr>
          <w:sz w:val="24"/>
        </w:rPr>
        <w:t>of</w:t>
      </w:r>
      <w:r>
        <w:rPr>
          <w:spacing w:val="-3"/>
          <w:sz w:val="24"/>
        </w:rPr>
        <w:t> </w:t>
      </w:r>
      <w:r>
        <w:rPr>
          <w:sz w:val="24"/>
        </w:rPr>
        <w:t>the</w:t>
      </w:r>
      <w:r>
        <w:rPr>
          <w:spacing w:val="-2"/>
          <w:sz w:val="24"/>
        </w:rPr>
        <w:t> </w:t>
      </w:r>
      <w:r>
        <w:rPr>
          <w:sz w:val="24"/>
        </w:rPr>
        <w:t>draft</w:t>
      </w:r>
      <w:r>
        <w:rPr>
          <w:spacing w:val="-2"/>
          <w:sz w:val="24"/>
        </w:rPr>
        <w:t> </w:t>
      </w:r>
      <w:r>
        <w:rPr>
          <w:sz w:val="24"/>
        </w:rPr>
        <w:t>Evaluation Design, if CMS finds that the draft Evaluation Design is not sufficiently developed, or if the estimates appear to be excessive.</w:t>
      </w:r>
    </w:p>
    <w:p>
      <w:pPr>
        <w:pStyle w:val="ListParagraph"/>
        <w:numPr>
          <w:ilvl w:val="0"/>
          <w:numId w:val="53"/>
        </w:numPr>
        <w:tabs>
          <w:tab w:pos="1939" w:val="left" w:leader="none"/>
        </w:tabs>
        <w:spacing w:line="240" w:lineRule="auto" w:before="60" w:after="0"/>
        <w:ind w:left="1939" w:right="1182" w:hanging="360"/>
        <w:jc w:val="left"/>
        <w:rPr>
          <w:sz w:val="24"/>
        </w:rPr>
      </w:pPr>
      <w:bookmarkStart w:name="3) Timeline and Major Milestones.  Descr" w:id="1155"/>
      <w:bookmarkEnd w:id="1155"/>
      <w:r>
        <w:rPr/>
      </w:r>
      <w:r>
        <w:rPr>
          <w:b/>
          <w:sz w:val="24"/>
        </w:rPr>
        <w:t>Timeline and Major Milestones.</w:t>
      </w:r>
      <w:r>
        <w:rPr>
          <w:b/>
          <w:spacing w:val="40"/>
          <w:sz w:val="24"/>
        </w:rPr>
        <w:t> </w:t>
      </w:r>
      <w:r>
        <w:rPr>
          <w:sz w:val="24"/>
        </w:rPr>
        <w:t>Describe the timeline for conducting the various evaluation activities, including dates for evaluation-related milestones, including those related</w:t>
      </w:r>
      <w:r>
        <w:rPr>
          <w:spacing w:val="-3"/>
          <w:sz w:val="24"/>
        </w:rPr>
        <w:t> </w:t>
      </w:r>
      <w:r>
        <w:rPr>
          <w:sz w:val="24"/>
        </w:rPr>
        <w:t>to</w:t>
      </w:r>
      <w:r>
        <w:rPr>
          <w:spacing w:val="-3"/>
          <w:sz w:val="24"/>
        </w:rPr>
        <w:t> </w:t>
      </w:r>
      <w:r>
        <w:rPr>
          <w:sz w:val="24"/>
        </w:rPr>
        <w:t>procurement</w:t>
      </w:r>
      <w:r>
        <w:rPr>
          <w:spacing w:val="-3"/>
          <w:sz w:val="24"/>
        </w:rPr>
        <w:t> </w:t>
      </w:r>
      <w:r>
        <w:rPr>
          <w:sz w:val="24"/>
        </w:rPr>
        <w:t>of</w:t>
      </w:r>
      <w:r>
        <w:rPr>
          <w:spacing w:val="-2"/>
          <w:sz w:val="24"/>
        </w:rPr>
        <w:t> </w:t>
      </w:r>
      <w:r>
        <w:rPr>
          <w:sz w:val="24"/>
        </w:rPr>
        <w:t>an</w:t>
      </w:r>
      <w:r>
        <w:rPr>
          <w:spacing w:val="-3"/>
          <w:sz w:val="24"/>
        </w:rPr>
        <w:t> </w:t>
      </w:r>
      <w:r>
        <w:rPr>
          <w:sz w:val="24"/>
        </w:rPr>
        <w:t>outside</w:t>
      </w:r>
      <w:r>
        <w:rPr>
          <w:spacing w:val="-4"/>
          <w:sz w:val="24"/>
        </w:rPr>
        <w:t> </w:t>
      </w:r>
      <w:r>
        <w:rPr>
          <w:sz w:val="24"/>
        </w:rPr>
        <w:t>contractor,</w:t>
      </w:r>
      <w:r>
        <w:rPr>
          <w:spacing w:val="-3"/>
          <w:sz w:val="24"/>
        </w:rPr>
        <w:t> </w:t>
      </w:r>
      <w:r>
        <w:rPr>
          <w:sz w:val="24"/>
        </w:rPr>
        <w:t>if</w:t>
      </w:r>
      <w:r>
        <w:rPr>
          <w:spacing w:val="-2"/>
          <w:sz w:val="24"/>
        </w:rPr>
        <w:t> </w:t>
      </w:r>
      <w:r>
        <w:rPr>
          <w:sz w:val="24"/>
        </w:rPr>
        <w:t>applicable,</w:t>
      </w:r>
      <w:r>
        <w:rPr>
          <w:spacing w:val="-3"/>
          <w:sz w:val="24"/>
        </w:rPr>
        <w:t> </w:t>
      </w:r>
      <w:r>
        <w:rPr>
          <w:sz w:val="24"/>
        </w:rPr>
        <w:t>and</w:t>
      </w:r>
      <w:r>
        <w:rPr>
          <w:spacing w:val="-3"/>
          <w:sz w:val="24"/>
        </w:rPr>
        <w:t> </w:t>
      </w:r>
      <w:r>
        <w:rPr>
          <w:sz w:val="24"/>
        </w:rPr>
        <w:t>deliverables.</w:t>
      </w:r>
      <w:r>
        <w:rPr>
          <w:spacing w:val="40"/>
          <w:sz w:val="24"/>
        </w:rPr>
        <w:t> </w:t>
      </w:r>
      <w:r>
        <w:rPr>
          <w:sz w:val="24"/>
        </w:rPr>
        <w:t>The</w:t>
      </w:r>
      <w:r>
        <w:rPr>
          <w:spacing w:val="-4"/>
          <w:sz w:val="24"/>
        </w:rPr>
        <w:t> </w:t>
      </w:r>
      <w:r>
        <w:rPr>
          <w:sz w:val="24"/>
        </w:rPr>
        <w:t>final Evaluation Design shall incorporate milestones for the development and submission of the Interim and Summative Evaluation Reports.</w:t>
      </w:r>
      <w:r>
        <w:rPr>
          <w:spacing w:val="40"/>
          <w:sz w:val="24"/>
        </w:rPr>
        <w:t> </w:t>
      </w:r>
      <w:r>
        <w:rPr>
          <w:sz w:val="24"/>
        </w:rPr>
        <w:t>Pursuant to 42 CFR 431.424(c)(v), this timeline</w:t>
      </w:r>
      <w:r>
        <w:rPr>
          <w:spacing w:val="-3"/>
          <w:sz w:val="24"/>
        </w:rPr>
        <w:t> </w:t>
      </w:r>
      <w:r>
        <w:rPr>
          <w:sz w:val="24"/>
        </w:rPr>
        <w:t>should</w:t>
      </w:r>
      <w:r>
        <w:rPr>
          <w:spacing w:val="-2"/>
          <w:sz w:val="24"/>
        </w:rPr>
        <w:t> </w:t>
      </w:r>
      <w:r>
        <w:rPr>
          <w:sz w:val="24"/>
        </w:rPr>
        <w:t>also</w:t>
      </w:r>
      <w:r>
        <w:rPr>
          <w:spacing w:val="-2"/>
          <w:sz w:val="24"/>
        </w:rPr>
        <w:t> </w:t>
      </w:r>
      <w:r>
        <w:rPr>
          <w:sz w:val="24"/>
        </w:rPr>
        <w:t>include</w:t>
      </w:r>
      <w:r>
        <w:rPr>
          <w:spacing w:val="-3"/>
          <w:sz w:val="24"/>
        </w:rPr>
        <w:t> </w:t>
      </w:r>
      <w:r>
        <w:rPr>
          <w:sz w:val="24"/>
        </w:rPr>
        <w:t>the</w:t>
      </w:r>
      <w:r>
        <w:rPr>
          <w:spacing w:val="-3"/>
          <w:sz w:val="24"/>
        </w:rPr>
        <w:t> </w:t>
      </w:r>
      <w:r>
        <w:rPr>
          <w:sz w:val="24"/>
        </w:rPr>
        <w:t>date</w:t>
      </w:r>
      <w:r>
        <w:rPr>
          <w:spacing w:val="-3"/>
          <w:sz w:val="24"/>
        </w:rPr>
        <w:t> </w:t>
      </w:r>
      <w:r>
        <w:rPr>
          <w:sz w:val="24"/>
        </w:rPr>
        <w:t>by</w:t>
      </w:r>
      <w:r>
        <w:rPr>
          <w:spacing w:val="-7"/>
          <w:sz w:val="24"/>
        </w:rPr>
        <w:t> </w:t>
      </w:r>
      <w:r>
        <w:rPr>
          <w:sz w:val="24"/>
        </w:rPr>
        <w:t>which</w:t>
      </w:r>
      <w:r>
        <w:rPr>
          <w:spacing w:val="-2"/>
          <w:sz w:val="24"/>
        </w:rPr>
        <w:t> </w:t>
      </w:r>
      <w:r>
        <w:rPr>
          <w:sz w:val="24"/>
        </w:rPr>
        <w:t>the</w:t>
      </w:r>
      <w:r>
        <w:rPr>
          <w:spacing w:val="-3"/>
          <w:sz w:val="24"/>
        </w:rPr>
        <w:t> </w:t>
      </w:r>
      <w:r>
        <w:rPr>
          <w:sz w:val="24"/>
        </w:rPr>
        <w:t>Final</w:t>
      </w:r>
      <w:r>
        <w:rPr>
          <w:spacing w:val="-2"/>
          <w:sz w:val="24"/>
        </w:rPr>
        <w:t> </w:t>
      </w:r>
      <w:r>
        <w:rPr>
          <w:sz w:val="24"/>
        </w:rPr>
        <w:t>Summative</w:t>
      </w:r>
      <w:r>
        <w:rPr>
          <w:spacing w:val="-3"/>
          <w:sz w:val="24"/>
        </w:rPr>
        <w:t> </w:t>
      </w:r>
      <w:r>
        <w:rPr>
          <w:sz w:val="24"/>
        </w:rPr>
        <w:t>Evaluation</w:t>
      </w:r>
      <w:r>
        <w:rPr>
          <w:spacing w:val="-2"/>
          <w:sz w:val="24"/>
        </w:rPr>
        <w:t> </w:t>
      </w:r>
      <w:r>
        <w:rPr>
          <w:sz w:val="24"/>
        </w:rPr>
        <w:t>Report</w:t>
      </w:r>
      <w:r>
        <w:rPr>
          <w:spacing w:val="-2"/>
          <w:sz w:val="24"/>
        </w:rPr>
        <w:t> </w:t>
      </w:r>
      <w:r>
        <w:rPr>
          <w:sz w:val="24"/>
        </w:rPr>
        <w:t>is </w:t>
      </w:r>
      <w:r>
        <w:rPr>
          <w:spacing w:val="-4"/>
          <w:sz w:val="24"/>
        </w:rPr>
        <w:t>due.</w:t>
      </w:r>
    </w:p>
    <w:p>
      <w:pPr>
        <w:spacing w:after="0" w:line="240" w:lineRule="auto"/>
        <w:jc w:val="left"/>
        <w:rPr>
          <w:sz w:val="24"/>
        </w:rPr>
        <w:sectPr>
          <w:pgSz w:w="12240" w:h="15840"/>
          <w:pgMar w:header="0" w:footer="1223" w:top="640" w:bottom="1420" w:left="220" w:right="340"/>
        </w:sectPr>
      </w:pPr>
    </w:p>
    <w:p>
      <w:pPr>
        <w:spacing w:before="80"/>
        <w:ind w:left="1220" w:right="0" w:firstLine="0"/>
        <w:jc w:val="left"/>
        <w:rPr>
          <w:sz w:val="20"/>
        </w:rPr>
      </w:pPr>
      <w:bookmarkStart w:name="Attachment B Preparing the Interim and S" w:id="1156"/>
      <w:bookmarkEnd w:id="1156"/>
      <w:r>
        <w:rPr/>
      </w:r>
      <w:r>
        <w:rPr>
          <w:spacing w:val="-2"/>
          <w:sz w:val="20"/>
        </w:rPr>
        <w:t>Attachment</w:t>
      </w:r>
      <w:r>
        <w:rPr>
          <w:spacing w:val="6"/>
          <w:sz w:val="20"/>
        </w:rPr>
        <w:t> </w:t>
      </w:r>
      <w:r>
        <w:rPr>
          <w:spacing w:val="-10"/>
          <w:sz w:val="20"/>
        </w:rPr>
        <w:t>B</w:t>
      </w:r>
    </w:p>
    <w:p>
      <w:pPr>
        <w:pStyle w:val="BodyText"/>
        <w:rPr>
          <w:sz w:val="20"/>
        </w:rPr>
      </w:pPr>
    </w:p>
    <w:p>
      <w:pPr>
        <w:spacing w:after="0"/>
        <w:rPr>
          <w:sz w:val="20"/>
        </w:rPr>
        <w:sectPr>
          <w:footerReference w:type="default" r:id="rId335"/>
          <w:pgSz w:w="12240" w:h="15840"/>
          <w:pgMar w:footer="971" w:header="0" w:top="640" w:bottom="1160" w:left="220" w:right="340"/>
          <w:pgNumType w:start="1"/>
        </w:sectPr>
      </w:pPr>
    </w:p>
    <w:p>
      <w:pPr>
        <w:pStyle w:val="BodyText"/>
        <w:rPr>
          <w:sz w:val="26"/>
        </w:rPr>
      </w:pPr>
    </w:p>
    <w:p>
      <w:pPr>
        <w:pStyle w:val="BodyText"/>
        <w:rPr>
          <w:sz w:val="26"/>
        </w:rPr>
      </w:pPr>
    </w:p>
    <w:p>
      <w:pPr>
        <w:pStyle w:val="BodyText"/>
        <w:rPr>
          <w:sz w:val="26"/>
        </w:rPr>
      </w:pPr>
    </w:p>
    <w:p>
      <w:pPr>
        <w:pStyle w:val="Heading5"/>
        <w:spacing w:before="166"/>
        <w:ind w:left="1220"/>
      </w:pPr>
      <w:bookmarkStart w:name="ATTACHMENT B" w:id="1157"/>
      <w:bookmarkEnd w:id="1157"/>
      <w:r>
        <w:rPr>
          <w:b w:val="0"/>
        </w:rPr>
      </w:r>
      <w:bookmarkStart w:name="Preparing the Interim and Summative Eval" w:id="1158"/>
      <w:bookmarkEnd w:id="1158"/>
      <w:r>
        <w:rPr>
          <w:b w:val="0"/>
        </w:rPr>
      </w:r>
      <w:bookmarkStart w:name="Introduction" w:id="1159"/>
      <w:bookmarkEnd w:id="1159"/>
      <w:r>
        <w:rPr>
          <w:b w:val="0"/>
        </w:rPr>
      </w:r>
      <w:r>
        <w:rPr>
          <w:spacing w:val="-2"/>
        </w:rPr>
        <w:t>Introduction</w:t>
      </w:r>
    </w:p>
    <w:p>
      <w:pPr>
        <w:spacing w:line="240" w:lineRule="auto" w:before="6"/>
        <w:rPr>
          <w:b/>
          <w:sz w:val="22"/>
        </w:rPr>
      </w:pPr>
      <w:r>
        <w:rPr/>
        <w:br w:type="column"/>
      </w:r>
      <w:r>
        <w:rPr>
          <w:b/>
          <w:sz w:val="22"/>
        </w:rPr>
      </w:r>
    </w:p>
    <w:p>
      <w:pPr>
        <w:pStyle w:val="Heading4"/>
        <w:ind w:left="2337" w:right="4783"/>
        <w:jc w:val="center"/>
      </w:pPr>
      <w:r>
        <w:rPr/>
        <w:t>ATTACHMENT</w:t>
      </w:r>
      <w:r>
        <w:rPr>
          <w:spacing w:val="-5"/>
        </w:rPr>
        <w:t> </w:t>
      </w:r>
      <w:r>
        <w:rPr>
          <w:spacing w:val="-10"/>
        </w:rPr>
        <w:t>B</w:t>
      </w:r>
    </w:p>
    <w:p>
      <w:pPr>
        <w:pStyle w:val="Heading5"/>
        <w:ind w:left="336" w:right="2781"/>
        <w:jc w:val="center"/>
      </w:pPr>
      <w:r>
        <w:rPr/>
        <w:t>Preparing</w:t>
      </w:r>
      <w:r>
        <w:rPr>
          <w:spacing w:val="-3"/>
        </w:rPr>
        <w:t> </w:t>
      </w:r>
      <w:r>
        <w:rPr/>
        <w:t>the</w:t>
      </w:r>
      <w:r>
        <w:rPr>
          <w:spacing w:val="-3"/>
        </w:rPr>
        <w:t> </w:t>
      </w:r>
      <w:r>
        <w:rPr/>
        <w:t>Interim</w:t>
      </w:r>
      <w:r>
        <w:rPr>
          <w:spacing w:val="-5"/>
        </w:rPr>
        <w:t> </w:t>
      </w:r>
      <w:r>
        <w:rPr/>
        <w:t>and</w:t>
      </w:r>
      <w:r>
        <w:rPr>
          <w:spacing w:val="-2"/>
        </w:rPr>
        <w:t> </w:t>
      </w:r>
      <w:r>
        <w:rPr/>
        <w:t>Summative</w:t>
      </w:r>
      <w:r>
        <w:rPr>
          <w:spacing w:val="-3"/>
        </w:rPr>
        <w:t> </w:t>
      </w:r>
      <w:r>
        <w:rPr/>
        <w:t>Evaluation</w:t>
      </w:r>
      <w:r>
        <w:rPr>
          <w:spacing w:val="-2"/>
        </w:rPr>
        <w:t> Reports</w:t>
      </w:r>
    </w:p>
    <w:p>
      <w:pPr>
        <w:spacing w:after="0"/>
        <w:jc w:val="center"/>
        <w:sectPr>
          <w:type w:val="continuous"/>
          <w:pgSz w:w="12240" w:h="15840"/>
          <w:pgMar w:header="0" w:footer="971" w:top="320" w:bottom="280" w:left="220" w:right="340"/>
          <w:cols w:num="2" w:equalWidth="0">
            <w:col w:w="2528" w:space="40"/>
            <w:col w:w="9112"/>
          </w:cols>
        </w:sectPr>
      </w:pPr>
    </w:p>
    <w:p>
      <w:pPr>
        <w:pStyle w:val="BodyText"/>
        <w:ind w:left="1220" w:right="1111"/>
      </w:pPr>
      <w:r>
        <w:rPr/>
        <w:t>Both</w:t>
      </w:r>
      <w:r>
        <w:rPr>
          <w:spacing w:val="-4"/>
        </w:rPr>
        <w:t> </w:t>
      </w:r>
      <w:r>
        <w:rPr/>
        <w:t>state</w:t>
      </w:r>
      <w:r>
        <w:rPr>
          <w:spacing w:val="-5"/>
        </w:rPr>
        <w:t> </w:t>
      </w:r>
      <w:r>
        <w:rPr/>
        <w:t>and</w:t>
      </w:r>
      <w:r>
        <w:rPr>
          <w:spacing w:val="-4"/>
        </w:rPr>
        <w:t> </w:t>
      </w:r>
      <w:r>
        <w:rPr/>
        <w:t>federal</w:t>
      </w:r>
      <w:r>
        <w:rPr>
          <w:spacing w:val="-2"/>
        </w:rPr>
        <w:t> </w:t>
      </w:r>
      <w:r>
        <w:rPr/>
        <w:t>governments</w:t>
      </w:r>
      <w:r>
        <w:rPr>
          <w:spacing w:val="-4"/>
        </w:rPr>
        <w:t> </w:t>
      </w:r>
      <w:r>
        <w:rPr/>
        <w:t>need</w:t>
      </w:r>
      <w:r>
        <w:rPr>
          <w:spacing w:val="-2"/>
        </w:rPr>
        <w:t> </w:t>
      </w:r>
      <w:r>
        <w:rPr/>
        <w:t>rigorous</w:t>
      </w:r>
      <w:r>
        <w:rPr>
          <w:spacing w:val="-2"/>
        </w:rPr>
        <w:t> </w:t>
      </w:r>
      <w:r>
        <w:rPr/>
        <w:t>quantitative</w:t>
      </w:r>
      <w:r>
        <w:rPr>
          <w:spacing w:val="-5"/>
        </w:rPr>
        <w:t> </w:t>
      </w:r>
      <w:r>
        <w:rPr/>
        <w:t>and</w:t>
      </w:r>
      <w:r>
        <w:rPr>
          <w:spacing w:val="-4"/>
        </w:rPr>
        <w:t> </w:t>
      </w:r>
      <w:r>
        <w:rPr/>
        <w:t>qualitative</w:t>
      </w:r>
      <w:r>
        <w:rPr>
          <w:spacing w:val="-5"/>
        </w:rPr>
        <w:t> </w:t>
      </w:r>
      <w:r>
        <w:rPr/>
        <w:t>evidence</w:t>
      </w:r>
      <w:r>
        <w:rPr>
          <w:spacing w:val="-5"/>
        </w:rPr>
        <w:t> </w:t>
      </w:r>
      <w:r>
        <w:rPr/>
        <w:t>to</w:t>
      </w:r>
      <w:r>
        <w:rPr>
          <w:spacing w:val="-4"/>
        </w:rPr>
        <w:t> </w:t>
      </w:r>
      <w:r>
        <w:rPr/>
        <w:t>inform policy decisions.</w:t>
      </w:r>
      <w:r>
        <w:rPr>
          <w:spacing w:val="40"/>
        </w:rPr>
        <w:t> </w:t>
      </w:r>
      <w:r>
        <w:rPr/>
        <w:t>To that end, for states that are testing new approaches and flexibilities in their Medicaid programs through section 1115 demonstrations, evaluations are crucial to understand and disseminate information about these policies.</w:t>
      </w:r>
      <w:r>
        <w:rPr>
          <w:spacing w:val="40"/>
        </w:rPr>
        <w:t> </w:t>
      </w:r>
      <w:r>
        <w:rPr/>
        <w:t>The evaluations of new initiatives seek to produce new knowledge and direction for programs and inform Medicaid policy for the future.</w:t>
      </w:r>
    </w:p>
    <w:p>
      <w:pPr>
        <w:pStyle w:val="BodyText"/>
        <w:ind w:left="1220" w:right="1111"/>
      </w:pPr>
      <w:r>
        <w:rPr/>
        <w:t>While</w:t>
      </w:r>
      <w:r>
        <w:rPr>
          <w:spacing w:val="-5"/>
        </w:rPr>
        <w:t> </w:t>
      </w:r>
      <w:r>
        <w:rPr/>
        <w:t>a</w:t>
      </w:r>
      <w:r>
        <w:rPr>
          <w:spacing w:val="-5"/>
        </w:rPr>
        <w:t> </w:t>
      </w:r>
      <w:r>
        <w:rPr/>
        <w:t>narrative</w:t>
      </w:r>
      <w:r>
        <w:rPr>
          <w:spacing w:val="-5"/>
        </w:rPr>
        <w:t> </w:t>
      </w:r>
      <w:r>
        <w:rPr/>
        <w:t>about</w:t>
      </w:r>
      <w:r>
        <w:rPr>
          <w:spacing w:val="-2"/>
        </w:rPr>
        <w:t> </w:t>
      </w:r>
      <w:r>
        <w:rPr/>
        <w:t>what</w:t>
      </w:r>
      <w:r>
        <w:rPr>
          <w:spacing w:val="-4"/>
        </w:rPr>
        <w:t> </w:t>
      </w:r>
      <w:r>
        <w:rPr/>
        <w:t>happened</w:t>
      </w:r>
      <w:r>
        <w:rPr>
          <w:spacing w:val="-4"/>
        </w:rPr>
        <w:t> </w:t>
      </w:r>
      <w:r>
        <w:rPr/>
        <w:t>during</w:t>
      </w:r>
      <w:r>
        <w:rPr>
          <w:spacing w:val="-7"/>
        </w:rPr>
        <w:t> </w:t>
      </w:r>
      <w:r>
        <w:rPr/>
        <w:t>a</w:t>
      </w:r>
      <w:r>
        <w:rPr>
          <w:spacing w:val="-3"/>
        </w:rPr>
        <w:t> </w:t>
      </w:r>
      <w:r>
        <w:rPr/>
        <w:t>demonstration</w:t>
      </w:r>
      <w:r>
        <w:rPr>
          <w:spacing w:val="-4"/>
        </w:rPr>
        <w:t> </w:t>
      </w:r>
      <w:r>
        <w:rPr/>
        <w:t>provides</w:t>
      </w:r>
      <w:r>
        <w:rPr>
          <w:spacing w:val="-4"/>
        </w:rPr>
        <w:t> </w:t>
      </w:r>
      <w:r>
        <w:rPr/>
        <w:t>important</w:t>
      </w:r>
      <w:r>
        <w:rPr>
          <w:spacing w:val="-4"/>
        </w:rPr>
        <w:t> </w:t>
      </w:r>
      <w:r>
        <w:rPr/>
        <w:t>information, the principal focus of the evaluation of a section 1115 demonstration should be obtaining and analyzing data.</w:t>
      </w:r>
      <w:r>
        <w:rPr>
          <w:spacing w:val="40"/>
        </w:rPr>
        <w:t> </w:t>
      </w:r>
      <w:r>
        <w:rPr/>
        <w:t>Evaluations should include findings about the process (e.g., whether the demonstration</w:t>
      </w:r>
      <w:r>
        <w:rPr>
          <w:spacing w:val="-1"/>
        </w:rPr>
        <w:t> </w:t>
      </w:r>
      <w:r>
        <w:rPr/>
        <w:t>is</w:t>
      </w:r>
      <w:r>
        <w:rPr>
          <w:spacing w:val="-1"/>
        </w:rPr>
        <w:t> </w:t>
      </w:r>
      <w:r>
        <w:rPr/>
        <w:t>being</w:t>
      </w:r>
      <w:r>
        <w:rPr>
          <w:spacing w:val="-4"/>
        </w:rPr>
        <w:t> </w:t>
      </w:r>
      <w:r>
        <w:rPr/>
        <w:t>implemented</w:t>
      </w:r>
      <w:r>
        <w:rPr>
          <w:spacing w:val="-1"/>
        </w:rPr>
        <w:t> </w:t>
      </w:r>
      <w:r>
        <w:rPr/>
        <w:t>as</w:t>
      </w:r>
      <w:r>
        <w:rPr>
          <w:spacing w:val="-1"/>
        </w:rPr>
        <w:t> </w:t>
      </w:r>
      <w:r>
        <w:rPr/>
        <w:t>intended),</w:t>
      </w:r>
      <w:r>
        <w:rPr>
          <w:spacing w:val="-1"/>
        </w:rPr>
        <w:t> </w:t>
      </w:r>
      <w:r>
        <w:rPr/>
        <w:t>outcomes</w:t>
      </w:r>
      <w:r>
        <w:rPr>
          <w:spacing w:val="-1"/>
        </w:rPr>
        <w:t> </w:t>
      </w:r>
      <w:r>
        <w:rPr/>
        <w:t>(e.g.,</w:t>
      </w:r>
      <w:r>
        <w:rPr>
          <w:spacing w:val="-1"/>
        </w:rPr>
        <w:t> </w:t>
      </w:r>
      <w:r>
        <w:rPr/>
        <w:t>whether the</w:t>
      </w:r>
      <w:r>
        <w:rPr>
          <w:spacing w:val="-2"/>
        </w:rPr>
        <w:t> </w:t>
      </w:r>
      <w:r>
        <w:rPr/>
        <w:t>demonstration</w:t>
      </w:r>
      <w:r>
        <w:rPr>
          <w:spacing w:val="-1"/>
        </w:rPr>
        <w:t> </w:t>
      </w:r>
      <w:r>
        <w:rPr/>
        <w:t>is having the intended effects on the target population), and impacts of the demonstration (e.g., whether the outcomes observed in the targeted population differ from outcomes in similar populations not affected by the demonstration).</w:t>
      </w:r>
    </w:p>
    <w:p>
      <w:pPr>
        <w:pStyle w:val="BodyText"/>
        <w:spacing w:before="1"/>
        <w:rPr>
          <w:sz w:val="22"/>
        </w:rPr>
      </w:pPr>
    </w:p>
    <w:p>
      <w:pPr>
        <w:pStyle w:val="Heading5"/>
        <w:spacing w:before="1"/>
        <w:ind w:left="1220"/>
      </w:pPr>
      <w:r>
        <w:rPr/>
        <w:t>Submission</w:t>
      </w:r>
      <w:r>
        <w:rPr>
          <w:spacing w:val="-4"/>
        </w:rPr>
        <w:t> </w:t>
      </w:r>
      <w:r>
        <w:rPr>
          <w:spacing w:val="-2"/>
        </w:rPr>
        <w:t>Timelines</w:t>
      </w:r>
    </w:p>
    <w:p>
      <w:pPr>
        <w:pStyle w:val="BodyText"/>
        <w:ind w:left="1220" w:right="1111"/>
      </w:pPr>
      <w:r>
        <w:rPr/>
        <w:t>There is a specified timeline for the state’s submission of Evaluation Designs and Evaluation Reports.</w:t>
      </w:r>
      <w:r>
        <w:rPr>
          <w:spacing w:val="40"/>
        </w:rPr>
        <w:t> </w:t>
      </w:r>
      <w:r>
        <w:rPr/>
        <w:t>These dates are specified in the demonstration Special Terms and Conditions (STCs). The graphic below depicts an example of a deliverable’s timeline for a 5-year demonstration.</w:t>
      </w:r>
      <w:r>
        <w:rPr>
          <w:spacing w:val="40"/>
        </w:rPr>
        <w:t> </w:t>
      </w:r>
      <w:r>
        <w:rPr/>
        <w:t>In addition,</w:t>
      </w:r>
      <w:r>
        <w:rPr>
          <w:spacing w:val="-3"/>
        </w:rPr>
        <w:t> </w:t>
      </w:r>
      <w:r>
        <w:rPr/>
        <w:t>the</w:t>
      </w:r>
      <w:r>
        <w:rPr>
          <w:spacing w:val="-4"/>
        </w:rPr>
        <w:t> </w:t>
      </w:r>
      <w:r>
        <w:rPr/>
        <w:t>state</w:t>
      </w:r>
      <w:r>
        <w:rPr>
          <w:spacing w:val="-4"/>
        </w:rPr>
        <w:t> </w:t>
      </w:r>
      <w:r>
        <w:rPr/>
        <w:t>should</w:t>
      </w:r>
      <w:r>
        <w:rPr>
          <w:spacing w:val="-3"/>
        </w:rPr>
        <w:t> </w:t>
      </w:r>
      <w:r>
        <w:rPr/>
        <w:t>be</w:t>
      </w:r>
      <w:r>
        <w:rPr>
          <w:spacing w:val="-4"/>
        </w:rPr>
        <w:t> </w:t>
      </w:r>
      <w:r>
        <w:rPr/>
        <w:t>aware</w:t>
      </w:r>
      <w:r>
        <w:rPr>
          <w:spacing w:val="-4"/>
        </w:rPr>
        <w:t> </w:t>
      </w:r>
      <w:r>
        <w:rPr/>
        <w:t>that</w:t>
      </w:r>
      <w:r>
        <w:rPr>
          <w:spacing w:val="-3"/>
        </w:rPr>
        <w:t> </w:t>
      </w:r>
      <w:r>
        <w:rPr/>
        <w:t>section</w:t>
      </w:r>
      <w:r>
        <w:rPr>
          <w:spacing w:val="-3"/>
        </w:rPr>
        <w:t> </w:t>
      </w:r>
      <w:r>
        <w:rPr/>
        <w:t>1115</w:t>
      </w:r>
      <w:r>
        <w:rPr>
          <w:spacing w:val="-3"/>
        </w:rPr>
        <w:t> </w:t>
      </w:r>
      <w:r>
        <w:rPr/>
        <w:t>evaluation</w:t>
      </w:r>
      <w:r>
        <w:rPr>
          <w:spacing w:val="-3"/>
        </w:rPr>
        <w:t> </w:t>
      </w:r>
      <w:r>
        <w:rPr/>
        <w:t>documents</w:t>
      </w:r>
      <w:r>
        <w:rPr>
          <w:spacing w:val="-1"/>
        </w:rPr>
        <w:t> </w:t>
      </w:r>
      <w:r>
        <w:rPr/>
        <w:t>are</w:t>
      </w:r>
      <w:r>
        <w:rPr>
          <w:spacing w:val="-4"/>
        </w:rPr>
        <w:t> </w:t>
      </w:r>
      <w:r>
        <w:rPr/>
        <w:t>public</w:t>
      </w:r>
      <w:r>
        <w:rPr>
          <w:spacing w:val="-4"/>
        </w:rPr>
        <w:t> </w:t>
      </w:r>
      <w:r>
        <w:rPr/>
        <w:t>records.</w:t>
      </w:r>
      <w:r>
        <w:rPr>
          <w:spacing w:val="40"/>
        </w:rPr>
        <w:t> </w:t>
      </w:r>
      <w:r>
        <w:rPr/>
        <w:t>In order to assure the dissemination of the evaluation findings, lessons learned, and recommendations, the</w:t>
      </w:r>
      <w:r>
        <w:rPr>
          <w:spacing w:val="-1"/>
        </w:rPr>
        <w:t> </w:t>
      </w:r>
      <w:r>
        <w:rPr/>
        <w:t>state</w:t>
      </w:r>
      <w:r>
        <w:rPr>
          <w:spacing w:val="-1"/>
        </w:rPr>
        <w:t> </w:t>
      </w:r>
      <w:r>
        <w:rPr/>
        <w:t>is required to publish the Interim and Summative</w:t>
      </w:r>
      <w:r>
        <w:rPr>
          <w:spacing w:val="-1"/>
        </w:rPr>
        <w:t> </w:t>
      </w:r>
      <w:r>
        <w:rPr/>
        <w:t>Evaluation Reports to the state’s website within thirty (30) calendar days of CMS approval, as per 42 CFR 431.424(d).</w:t>
      </w:r>
      <w:r>
        <w:rPr>
          <w:spacing w:val="40"/>
        </w:rPr>
        <w:t> </w:t>
      </w:r>
      <w:r>
        <w:rPr/>
        <w:t>CMS will also publish a copy to the Medicaid.gov website.</w:t>
      </w:r>
    </w:p>
    <w:p>
      <w:pPr>
        <w:pStyle w:val="BodyText"/>
        <w:rPr>
          <w:sz w:val="20"/>
        </w:rPr>
      </w:pPr>
    </w:p>
    <w:p>
      <w:pPr>
        <w:spacing w:after="0"/>
        <w:rPr>
          <w:sz w:val="20"/>
        </w:rPr>
        <w:sectPr>
          <w:type w:val="continuous"/>
          <w:pgSz w:w="12240" w:h="15840"/>
          <w:pgMar w:header="0" w:footer="971" w:top="320" w:bottom="280" w:left="220" w:right="340"/>
        </w:sectPr>
      </w:pPr>
    </w:p>
    <w:p>
      <w:pPr>
        <w:pStyle w:val="BodyText"/>
        <w:rPr>
          <w:sz w:val="18"/>
        </w:rPr>
      </w:pPr>
    </w:p>
    <w:p>
      <w:pPr>
        <w:pStyle w:val="BodyText"/>
        <w:rPr>
          <w:sz w:val="18"/>
        </w:rPr>
      </w:pPr>
    </w:p>
    <w:p>
      <w:pPr>
        <w:pStyle w:val="BodyText"/>
        <w:spacing w:before="2"/>
        <w:rPr>
          <w:sz w:val="18"/>
        </w:rPr>
      </w:pPr>
    </w:p>
    <w:p>
      <w:pPr>
        <w:spacing w:line="218" w:lineRule="auto" w:before="0"/>
        <w:ind w:left="1622" w:right="29" w:hanging="178"/>
        <w:jc w:val="left"/>
        <w:rPr>
          <w:rFonts w:ascii="Calibri"/>
          <w:sz w:val="18"/>
        </w:rPr>
      </w:pPr>
      <w:r>
        <w:rPr>
          <w:rFonts w:ascii="Calibri"/>
          <w:sz w:val="18"/>
        </w:rPr>
        <w:t>Demo</w:t>
      </w:r>
      <w:r>
        <w:rPr>
          <w:rFonts w:ascii="Calibri"/>
          <w:spacing w:val="-11"/>
          <w:sz w:val="18"/>
        </w:rPr>
        <w:t> </w:t>
      </w:r>
      <w:r>
        <w:rPr>
          <w:rFonts w:ascii="Calibri"/>
          <w:sz w:val="18"/>
        </w:rPr>
        <w:t>approved Jan 1, 2017</w:t>
      </w:r>
    </w:p>
    <w:p>
      <w:pPr>
        <w:spacing w:line="240" w:lineRule="auto" w:before="9"/>
        <w:rPr>
          <w:rFonts w:ascii="Calibri"/>
          <w:sz w:val="18"/>
        </w:rPr>
      </w:pPr>
      <w:r>
        <w:rPr/>
        <w:br w:type="column"/>
      </w:r>
      <w:r>
        <w:rPr>
          <w:rFonts w:ascii="Calibri"/>
          <w:sz w:val="18"/>
        </w:rPr>
      </w:r>
    </w:p>
    <w:p>
      <w:pPr>
        <w:spacing w:line="216" w:lineRule="auto" w:before="0"/>
        <w:ind w:left="1444" w:right="38" w:firstLine="0"/>
        <w:jc w:val="center"/>
        <w:rPr>
          <w:rFonts w:ascii="Calibri"/>
          <w:sz w:val="18"/>
        </w:rPr>
      </w:pPr>
      <w:r>
        <w:rPr>
          <w:rFonts w:ascii="Calibri"/>
          <w:sz w:val="18"/>
        </w:rPr>
        <w:t>Interim</w:t>
      </w:r>
      <w:r>
        <w:rPr>
          <w:rFonts w:ascii="Calibri"/>
          <w:spacing w:val="-11"/>
          <w:sz w:val="18"/>
        </w:rPr>
        <w:t> </w:t>
      </w:r>
      <w:r>
        <w:rPr>
          <w:rFonts w:ascii="Calibri"/>
          <w:sz w:val="18"/>
        </w:rPr>
        <w:t>Evaluation Report</w:t>
      </w:r>
      <w:r>
        <w:rPr>
          <w:rFonts w:ascii="Calibri"/>
          <w:spacing w:val="-6"/>
          <w:sz w:val="18"/>
        </w:rPr>
        <w:t> </w:t>
      </w:r>
      <w:r>
        <w:rPr>
          <w:rFonts w:ascii="Calibri"/>
          <w:sz w:val="18"/>
        </w:rPr>
        <w:t>(data</w:t>
      </w:r>
      <w:r>
        <w:rPr>
          <w:rFonts w:ascii="Calibri"/>
          <w:spacing w:val="-5"/>
          <w:sz w:val="18"/>
        </w:rPr>
        <w:t> </w:t>
      </w:r>
      <w:r>
        <w:rPr>
          <w:rFonts w:ascii="Calibri"/>
          <w:sz w:val="18"/>
        </w:rPr>
        <w:t>from </w:t>
      </w:r>
      <w:r>
        <w:rPr>
          <w:rFonts w:ascii="Calibri"/>
          <w:spacing w:val="-2"/>
          <w:sz w:val="18"/>
        </w:rPr>
        <w:t>DY1-2.5)</w:t>
      </w:r>
    </w:p>
    <w:p>
      <w:pPr>
        <w:spacing w:line="202" w:lineRule="exact" w:before="0"/>
        <w:ind w:left="1444" w:right="37" w:firstLine="0"/>
        <w:jc w:val="center"/>
        <w:rPr>
          <w:rFonts w:ascii="Calibri"/>
          <w:sz w:val="18"/>
        </w:rPr>
      </w:pPr>
      <w:r>
        <w:rPr/>
        <mc:AlternateContent>
          <mc:Choice Requires="wps">
            <w:drawing>
              <wp:anchor distT="0" distB="0" distL="0" distR="0" allowOverlap="1" layoutInCell="1" locked="0" behindDoc="1" simplePos="0" relativeHeight="473931264">
                <wp:simplePos x="0" y="0"/>
                <wp:positionH relativeFrom="page">
                  <wp:posOffset>914400</wp:posOffset>
                </wp:positionH>
                <wp:positionV relativeFrom="paragraph">
                  <wp:posOffset>21393</wp:posOffset>
                </wp:positionV>
                <wp:extent cx="5943600" cy="686435"/>
                <wp:effectExtent l="0" t="0" r="0" b="0"/>
                <wp:wrapNone/>
                <wp:docPr id="831" name="Group 831"/>
                <wp:cNvGraphicFramePr>
                  <a:graphicFrameLocks/>
                </wp:cNvGraphicFramePr>
                <a:graphic>
                  <a:graphicData uri="http://schemas.microsoft.com/office/word/2010/wordprocessingGroup">
                    <wpg:wgp>
                      <wpg:cNvPr id="831" name="Group 831"/>
                      <wpg:cNvGrpSpPr/>
                      <wpg:grpSpPr>
                        <a:xfrm>
                          <a:off x="0" y="0"/>
                          <a:ext cx="5943600" cy="686435"/>
                          <a:chExt cx="5943600" cy="686435"/>
                        </a:xfrm>
                      </wpg:grpSpPr>
                      <wps:wsp>
                        <wps:cNvPr id="832" name="Graphic 832"/>
                        <wps:cNvSpPr/>
                        <wps:spPr>
                          <a:xfrm>
                            <a:off x="0" y="0"/>
                            <a:ext cx="5943600" cy="686435"/>
                          </a:xfrm>
                          <a:custGeom>
                            <a:avLst/>
                            <a:gdLst/>
                            <a:ahLst/>
                            <a:cxnLst/>
                            <a:rect l="l" t="t" r="r" b="b"/>
                            <a:pathLst>
                              <a:path w="5943600" h="686435">
                                <a:moveTo>
                                  <a:pt x="5600573" y="0"/>
                                </a:moveTo>
                                <a:lnTo>
                                  <a:pt x="5600573" y="171513"/>
                                </a:lnTo>
                                <a:lnTo>
                                  <a:pt x="0" y="171513"/>
                                </a:lnTo>
                                <a:lnTo>
                                  <a:pt x="171513" y="343027"/>
                                </a:lnTo>
                                <a:lnTo>
                                  <a:pt x="0" y="514540"/>
                                </a:lnTo>
                                <a:lnTo>
                                  <a:pt x="5600573" y="514540"/>
                                </a:lnTo>
                                <a:lnTo>
                                  <a:pt x="5600573" y="686054"/>
                                </a:lnTo>
                                <a:lnTo>
                                  <a:pt x="5943600" y="343027"/>
                                </a:lnTo>
                                <a:lnTo>
                                  <a:pt x="5600573" y="0"/>
                                </a:lnTo>
                                <a:close/>
                              </a:path>
                            </a:pathLst>
                          </a:custGeom>
                          <a:solidFill>
                            <a:srgbClr val="CFD4EA"/>
                          </a:solidFill>
                        </wps:spPr>
                        <wps:bodyPr wrap="square" lIns="0" tIns="0" rIns="0" bIns="0" rtlCol="0">
                          <a:prstTxWarp prst="textNoShape">
                            <a:avLst/>
                          </a:prstTxWarp>
                          <a:noAutofit/>
                        </wps:bodyPr>
                      </wps:wsp>
                      <pic:pic>
                        <pic:nvPicPr>
                          <pic:cNvPr id="833" name="Image 833"/>
                          <pic:cNvPicPr/>
                        </pic:nvPicPr>
                        <pic:blipFill>
                          <a:blip r:embed="rId336" cstate="print"/>
                          <a:stretch>
                            <a:fillRect/>
                          </a:stretch>
                        </pic:blipFill>
                        <pic:spPr>
                          <a:xfrm>
                            <a:off x="424140" y="250922"/>
                            <a:ext cx="184213" cy="184213"/>
                          </a:xfrm>
                          <a:prstGeom prst="rect">
                            <a:avLst/>
                          </a:prstGeom>
                        </pic:spPr>
                      </pic:pic>
                      <pic:pic>
                        <pic:nvPicPr>
                          <pic:cNvPr id="834" name="Image 834"/>
                          <pic:cNvPicPr/>
                        </pic:nvPicPr>
                        <pic:blipFill>
                          <a:blip r:embed="rId337" cstate="print"/>
                          <a:stretch>
                            <a:fillRect/>
                          </a:stretch>
                        </pic:blipFill>
                        <pic:spPr>
                          <a:xfrm>
                            <a:off x="1503326" y="250922"/>
                            <a:ext cx="184213" cy="184213"/>
                          </a:xfrm>
                          <a:prstGeom prst="rect">
                            <a:avLst/>
                          </a:prstGeom>
                        </pic:spPr>
                      </pic:pic>
                      <pic:pic>
                        <pic:nvPicPr>
                          <pic:cNvPr id="835" name="Image 835"/>
                          <pic:cNvPicPr/>
                        </pic:nvPicPr>
                        <pic:blipFill>
                          <a:blip r:embed="rId336" cstate="print"/>
                          <a:stretch>
                            <a:fillRect/>
                          </a:stretch>
                        </pic:blipFill>
                        <pic:spPr>
                          <a:xfrm>
                            <a:off x="2582513" y="250922"/>
                            <a:ext cx="184213" cy="184213"/>
                          </a:xfrm>
                          <a:prstGeom prst="rect">
                            <a:avLst/>
                          </a:prstGeom>
                        </pic:spPr>
                      </pic:pic>
                      <pic:pic>
                        <pic:nvPicPr>
                          <pic:cNvPr id="836" name="Image 836"/>
                          <pic:cNvPicPr/>
                        </pic:nvPicPr>
                        <pic:blipFill>
                          <a:blip r:embed="rId336" cstate="print"/>
                          <a:stretch>
                            <a:fillRect/>
                          </a:stretch>
                        </pic:blipFill>
                        <pic:spPr>
                          <a:xfrm>
                            <a:off x="3661698" y="250922"/>
                            <a:ext cx="184213" cy="184213"/>
                          </a:xfrm>
                          <a:prstGeom prst="rect">
                            <a:avLst/>
                          </a:prstGeom>
                        </pic:spPr>
                      </pic:pic>
                      <pic:pic>
                        <pic:nvPicPr>
                          <pic:cNvPr id="837" name="Image 837"/>
                          <pic:cNvPicPr/>
                        </pic:nvPicPr>
                        <pic:blipFill>
                          <a:blip r:embed="rId336" cstate="print"/>
                          <a:stretch>
                            <a:fillRect/>
                          </a:stretch>
                        </pic:blipFill>
                        <pic:spPr>
                          <a:xfrm>
                            <a:off x="4740883" y="250922"/>
                            <a:ext cx="184213" cy="184213"/>
                          </a:xfrm>
                          <a:prstGeom prst="rect">
                            <a:avLst/>
                          </a:prstGeom>
                        </pic:spPr>
                      </pic:pic>
                    </wpg:wgp>
                  </a:graphicData>
                </a:graphic>
              </wp:anchor>
            </w:drawing>
          </mc:Choice>
          <mc:Fallback>
            <w:pict>
              <v:group style="position:absolute;margin-left:72pt;margin-top:1.684526pt;width:468pt;height:54.05pt;mso-position-horizontal-relative:page;mso-position-vertical-relative:paragraph;z-index:-29385216" id="docshapegroup52" coordorigin="1440,34" coordsize="9360,1081">
                <v:shape style="position:absolute;left:1440;top:33;width:9360;height:1081" id="docshape53" coordorigin="1440,34" coordsize="9360,1081" path="m10260,34l10260,304,1440,304,1710,574,1440,844,10260,844,10260,1114,10800,574,10260,34xe" filled="true" fillcolor="#cfd4ea" stroked="false">
                  <v:path arrowok="t"/>
                  <v:fill type="solid"/>
                </v:shape>
                <v:shape style="position:absolute;left:2107;top:428;width:291;height:291" type="#_x0000_t75" id="docshape54" stroked="false">
                  <v:imagedata r:id="rId336" o:title=""/>
                </v:shape>
                <v:shape style="position:absolute;left:3807;top:428;width:291;height:291" type="#_x0000_t75" id="docshape55" stroked="false">
                  <v:imagedata r:id="rId337" o:title=""/>
                </v:shape>
                <v:shape style="position:absolute;left:5506;top:428;width:291;height:291" type="#_x0000_t75" id="docshape56" stroked="false">
                  <v:imagedata r:id="rId336" o:title=""/>
                </v:shape>
                <v:shape style="position:absolute;left:7206;top:428;width:291;height:291" type="#_x0000_t75" id="docshape57" stroked="false">
                  <v:imagedata r:id="rId336" o:title=""/>
                </v:shape>
                <v:shape style="position:absolute;left:8905;top:428;width:291;height:291" type="#_x0000_t75" id="docshape58" stroked="false">
                  <v:imagedata r:id="rId336" o:title=""/>
                </v:shape>
                <w10:wrap type="none"/>
              </v:group>
            </w:pict>
          </mc:Fallback>
        </mc:AlternateContent>
      </w:r>
      <w:r>
        <w:rPr>
          <w:rFonts w:ascii="Calibri"/>
          <w:sz w:val="18"/>
        </w:rPr>
        <w:t>Dec</w:t>
      </w:r>
      <w:r>
        <w:rPr>
          <w:rFonts w:ascii="Calibri"/>
          <w:spacing w:val="-1"/>
          <w:sz w:val="18"/>
        </w:rPr>
        <w:t> </w:t>
      </w:r>
      <w:r>
        <w:rPr>
          <w:rFonts w:ascii="Calibri"/>
          <w:sz w:val="18"/>
        </w:rPr>
        <w:t>31,</w:t>
      </w:r>
      <w:r>
        <w:rPr>
          <w:rFonts w:ascii="Calibri"/>
          <w:spacing w:val="-1"/>
          <w:sz w:val="18"/>
        </w:rPr>
        <w:t> </w:t>
      </w:r>
      <w:r>
        <w:rPr>
          <w:rFonts w:ascii="Calibri"/>
          <w:spacing w:val="-4"/>
          <w:sz w:val="18"/>
        </w:rPr>
        <w:t>2020</w:t>
      </w:r>
    </w:p>
    <w:p>
      <w:pPr>
        <w:spacing w:line="240" w:lineRule="auto" w:before="9"/>
        <w:rPr>
          <w:rFonts w:ascii="Calibri"/>
          <w:sz w:val="18"/>
        </w:rPr>
      </w:pPr>
      <w:r>
        <w:rPr/>
        <w:br w:type="column"/>
      </w:r>
      <w:r>
        <w:rPr>
          <w:rFonts w:ascii="Calibri"/>
          <w:sz w:val="18"/>
        </w:rPr>
      </w:r>
    </w:p>
    <w:p>
      <w:pPr>
        <w:spacing w:line="216" w:lineRule="auto" w:before="0"/>
        <w:ind w:left="1444" w:right="2192" w:firstLine="3"/>
        <w:jc w:val="center"/>
        <w:rPr>
          <w:rFonts w:ascii="Calibri"/>
          <w:sz w:val="18"/>
        </w:rPr>
      </w:pPr>
      <w:r>
        <w:rPr>
          <w:rFonts w:ascii="Calibri"/>
          <w:spacing w:val="-2"/>
          <w:sz w:val="18"/>
        </w:rPr>
        <w:t>Summative</w:t>
      </w:r>
      <w:r>
        <w:rPr>
          <w:rFonts w:ascii="Calibri"/>
          <w:sz w:val="18"/>
        </w:rPr>
        <w:t> Evaluation</w:t>
      </w:r>
      <w:r>
        <w:rPr>
          <w:rFonts w:ascii="Calibri"/>
          <w:spacing w:val="-11"/>
          <w:sz w:val="18"/>
        </w:rPr>
        <w:t> </w:t>
      </w:r>
      <w:r>
        <w:rPr>
          <w:rFonts w:ascii="Calibri"/>
          <w:sz w:val="18"/>
        </w:rPr>
        <w:t>Report (data</w:t>
      </w:r>
      <w:r>
        <w:rPr>
          <w:rFonts w:ascii="Calibri"/>
          <w:spacing w:val="-11"/>
          <w:sz w:val="18"/>
        </w:rPr>
        <w:t> </w:t>
      </w:r>
      <w:r>
        <w:rPr>
          <w:rFonts w:ascii="Calibri"/>
          <w:sz w:val="18"/>
        </w:rPr>
        <w:t>from</w:t>
      </w:r>
      <w:r>
        <w:rPr>
          <w:rFonts w:ascii="Calibri"/>
          <w:spacing w:val="-10"/>
          <w:sz w:val="18"/>
        </w:rPr>
        <w:t> </w:t>
      </w:r>
      <w:r>
        <w:rPr>
          <w:rFonts w:ascii="Calibri"/>
          <w:sz w:val="18"/>
        </w:rPr>
        <w:t>DY1-5) June 30, 2023</w:t>
      </w:r>
    </w:p>
    <w:p>
      <w:pPr>
        <w:spacing w:after="0" w:line="216" w:lineRule="auto"/>
        <w:jc w:val="center"/>
        <w:rPr>
          <w:rFonts w:ascii="Calibri"/>
          <w:sz w:val="18"/>
        </w:rPr>
        <w:sectPr>
          <w:type w:val="continuous"/>
          <w:pgSz w:w="12240" w:h="15840"/>
          <w:pgMar w:header="0" w:footer="971" w:top="320" w:bottom="280" w:left="220" w:right="340"/>
          <w:cols w:num="3" w:equalWidth="0">
            <w:col w:w="2661" w:space="652"/>
            <w:col w:w="2832" w:space="583"/>
            <w:col w:w="4952"/>
          </w:cols>
        </w:sectPr>
      </w:pPr>
    </w:p>
    <w:p>
      <w:pPr>
        <w:pStyle w:val="BodyText"/>
        <w:rPr>
          <w:rFonts w:ascii="Calibri"/>
          <w:sz w:val="20"/>
        </w:rPr>
      </w:pPr>
    </w:p>
    <w:p>
      <w:pPr>
        <w:pStyle w:val="BodyText"/>
        <w:rPr>
          <w:rFonts w:ascii="Calibri"/>
          <w:sz w:val="20"/>
        </w:rPr>
      </w:pPr>
    </w:p>
    <w:p>
      <w:pPr>
        <w:spacing w:after="0"/>
        <w:rPr>
          <w:rFonts w:ascii="Calibri"/>
          <w:sz w:val="20"/>
        </w:rPr>
        <w:sectPr>
          <w:type w:val="continuous"/>
          <w:pgSz w:w="12240" w:h="15840"/>
          <w:pgMar w:header="0" w:footer="971" w:top="320" w:bottom="280" w:left="220" w:right="340"/>
        </w:sectPr>
      </w:pPr>
    </w:p>
    <w:p>
      <w:pPr>
        <w:pStyle w:val="BodyText"/>
        <w:spacing w:before="3"/>
        <w:rPr>
          <w:rFonts w:ascii="Calibri"/>
          <w:sz w:val="20"/>
        </w:rPr>
      </w:pPr>
    </w:p>
    <w:p>
      <w:pPr>
        <w:spacing w:line="218" w:lineRule="auto" w:before="1"/>
        <w:ind w:left="3487" w:right="-9" w:hanging="348"/>
        <w:jc w:val="left"/>
        <w:rPr>
          <w:rFonts w:ascii="Calibri"/>
          <w:sz w:val="18"/>
        </w:rPr>
      </w:pPr>
      <w:r>
        <w:rPr>
          <w:rFonts w:ascii="Calibri"/>
          <w:sz w:val="18"/>
        </w:rPr>
        <w:t>Draft</w:t>
      </w:r>
      <w:r>
        <w:rPr>
          <w:rFonts w:ascii="Calibri"/>
          <w:spacing w:val="-11"/>
          <w:sz w:val="18"/>
        </w:rPr>
        <w:t> </w:t>
      </w:r>
      <w:r>
        <w:rPr>
          <w:rFonts w:ascii="Calibri"/>
          <w:sz w:val="18"/>
        </w:rPr>
        <w:t>Evaluation </w:t>
      </w:r>
      <w:r>
        <w:rPr>
          <w:rFonts w:ascii="Calibri"/>
          <w:spacing w:val="-2"/>
          <w:sz w:val="18"/>
        </w:rPr>
        <w:t>Design</w:t>
      </w:r>
    </w:p>
    <w:p>
      <w:pPr>
        <w:spacing w:line="200" w:lineRule="exact" w:before="0"/>
        <w:ind w:left="3225" w:right="0" w:firstLine="0"/>
        <w:jc w:val="left"/>
        <w:rPr>
          <w:rFonts w:ascii="Calibri"/>
          <w:sz w:val="18"/>
        </w:rPr>
      </w:pPr>
      <w:r>
        <w:rPr>
          <w:rFonts w:ascii="Calibri"/>
          <w:sz w:val="18"/>
        </w:rPr>
        <w:t>June</w:t>
      </w:r>
      <w:r>
        <w:rPr>
          <w:rFonts w:ascii="Calibri"/>
          <w:spacing w:val="-1"/>
          <w:sz w:val="18"/>
        </w:rPr>
        <w:t> </w:t>
      </w:r>
      <w:r>
        <w:rPr>
          <w:rFonts w:ascii="Calibri"/>
          <w:sz w:val="18"/>
        </w:rPr>
        <w:t>30, </w:t>
      </w:r>
      <w:r>
        <w:rPr>
          <w:rFonts w:ascii="Calibri"/>
          <w:spacing w:val="-4"/>
          <w:sz w:val="18"/>
        </w:rPr>
        <w:t>2017</w:t>
      </w:r>
    </w:p>
    <w:p>
      <w:pPr>
        <w:spacing w:line="240" w:lineRule="auto" w:before="3"/>
        <w:rPr>
          <w:rFonts w:ascii="Calibri"/>
          <w:sz w:val="20"/>
        </w:rPr>
      </w:pPr>
      <w:r>
        <w:rPr/>
        <w:br w:type="column"/>
      </w:r>
      <w:r>
        <w:rPr>
          <w:rFonts w:ascii="Calibri"/>
          <w:sz w:val="20"/>
        </w:rPr>
      </w:r>
    </w:p>
    <w:p>
      <w:pPr>
        <w:spacing w:line="218" w:lineRule="auto" w:before="1"/>
        <w:ind w:left="2357" w:right="3767" w:hanging="185"/>
        <w:jc w:val="left"/>
        <w:rPr>
          <w:rFonts w:ascii="Calibri"/>
          <w:sz w:val="18"/>
        </w:rPr>
      </w:pPr>
      <w:r>
        <w:rPr>
          <w:rFonts w:ascii="Calibri"/>
          <w:spacing w:val="-2"/>
          <w:sz w:val="18"/>
        </w:rPr>
        <w:t>Demo</w:t>
      </w:r>
      <w:r>
        <w:rPr>
          <w:rFonts w:ascii="Calibri"/>
          <w:spacing w:val="-9"/>
          <w:sz w:val="18"/>
        </w:rPr>
        <w:t> </w:t>
      </w:r>
      <w:r>
        <w:rPr>
          <w:rFonts w:ascii="Calibri"/>
          <w:spacing w:val="-2"/>
          <w:sz w:val="18"/>
        </w:rPr>
        <w:t>extension</w:t>
      </w:r>
      <w:r>
        <w:rPr>
          <w:rFonts w:ascii="Calibri"/>
          <w:sz w:val="18"/>
        </w:rPr>
        <w:t> Jan 1, 2022</w:t>
      </w:r>
    </w:p>
    <w:p>
      <w:pPr>
        <w:spacing w:after="0" w:line="218" w:lineRule="auto"/>
        <w:jc w:val="left"/>
        <w:rPr>
          <w:rFonts w:ascii="Calibri"/>
          <w:sz w:val="18"/>
        </w:rPr>
        <w:sectPr>
          <w:type w:val="continuous"/>
          <w:pgSz w:w="12240" w:h="15840"/>
          <w:pgMar w:header="0" w:footer="971" w:top="320" w:bottom="280" w:left="220" w:right="340"/>
          <w:cols w:num="2" w:equalWidth="0">
            <w:col w:w="4324" w:space="40"/>
            <w:col w:w="7316"/>
          </w:cols>
        </w:sectPr>
      </w:pPr>
    </w:p>
    <w:p>
      <w:pPr>
        <w:pStyle w:val="BodyText"/>
        <w:spacing w:before="2"/>
        <w:rPr>
          <w:rFonts w:ascii="Calibri"/>
        </w:rPr>
      </w:pPr>
    </w:p>
    <w:p>
      <w:pPr>
        <w:pStyle w:val="Heading5"/>
        <w:spacing w:before="90"/>
        <w:ind w:left="1220"/>
      </w:pPr>
      <w:bookmarkStart w:name="Expectations for Evaluation Reports" w:id="1160"/>
      <w:bookmarkEnd w:id="1160"/>
      <w:r>
        <w:rPr>
          <w:b w:val="0"/>
        </w:rPr>
      </w:r>
      <w:bookmarkStart w:name="All states with Medicaid section 1115 de" w:id="1161"/>
      <w:bookmarkEnd w:id="1161"/>
      <w:r>
        <w:rPr>
          <w:b w:val="0"/>
        </w:rPr>
      </w:r>
      <w:r>
        <w:rPr/>
        <w:t>Expectations</w:t>
      </w:r>
      <w:r>
        <w:rPr>
          <w:spacing w:val="-4"/>
        </w:rPr>
        <w:t> </w:t>
      </w:r>
      <w:r>
        <w:rPr/>
        <w:t>for</w:t>
      </w:r>
      <w:r>
        <w:rPr>
          <w:spacing w:val="-3"/>
        </w:rPr>
        <w:t> </w:t>
      </w:r>
      <w:r>
        <w:rPr/>
        <w:t>Evaluation</w:t>
      </w:r>
      <w:r>
        <w:rPr>
          <w:spacing w:val="-3"/>
        </w:rPr>
        <w:t> </w:t>
      </w:r>
      <w:r>
        <w:rPr>
          <w:spacing w:val="-2"/>
        </w:rPr>
        <w:t>Reports</w:t>
      </w:r>
    </w:p>
    <w:p>
      <w:pPr>
        <w:pStyle w:val="BodyText"/>
        <w:ind w:left="1220" w:right="1178"/>
      </w:pPr>
      <w:r>
        <w:rPr/>
        <w:t>All states with Medicaid section 1115 demonstrations are required to conduct evaluations that are valid (the extent to which the evaluation measures what it is intended to measure), and reliable (the extent to which the evaluation could produce the same results when used repeatedly).</w:t>
      </w:r>
      <w:r>
        <w:rPr>
          <w:spacing w:val="40"/>
        </w:rPr>
        <w:t> </w:t>
      </w:r>
      <w:r>
        <w:rPr/>
        <w:t>The already-approved Evaluation Design is a map that begins with the demonstration</w:t>
      </w:r>
      <w:r>
        <w:rPr>
          <w:spacing w:val="-4"/>
        </w:rPr>
        <w:t> </w:t>
      </w:r>
      <w:r>
        <w:rPr/>
        <w:t>goals,</w:t>
      </w:r>
      <w:r>
        <w:rPr>
          <w:spacing w:val="-4"/>
        </w:rPr>
        <w:t> </w:t>
      </w:r>
      <w:r>
        <w:rPr/>
        <w:t>then</w:t>
      </w:r>
      <w:r>
        <w:rPr>
          <w:spacing w:val="-4"/>
        </w:rPr>
        <w:t> </w:t>
      </w:r>
      <w:r>
        <w:rPr/>
        <w:t>transitions</w:t>
      </w:r>
      <w:r>
        <w:rPr>
          <w:spacing w:val="-4"/>
        </w:rPr>
        <w:t> </w:t>
      </w:r>
      <w:r>
        <w:rPr/>
        <w:t>to</w:t>
      </w:r>
      <w:r>
        <w:rPr>
          <w:spacing w:val="-4"/>
        </w:rPr>
        <w:t> </w:t>
      </w:r>
      <w:r>
        <w:rPr/>
        <w:t>the</w:t>
      </w:r>
      <w:r>
        <w:rPr>
          <w:spacing w:val="-4"/>
        </w:rPr>
        <w:t> </w:t>
      </w:r>
      <w:r>
        <w:rPr/>
        <w:t>evaluation</w:t>
      </w:r>
      <w:r>
        <w:rPr>
          <w:spacing w:val="-4"/>
        </w:rPr>
        <w:t> </w:t>
      </w:r>
      <w:r>
        <w:rPr/>
        <w:t>questions,</w:t>
      </w:r>
      <w:r>
        <w:rPr>
          <w:spacing w:val="-4"/>
        </w:rPr>
        <w:t> </w:t>
      </w:r>
      <w:r>
        <w:rPr/>
        <w:t>and</w:t>
      </w:r>
      <w:r>
        <w:rPr>
          <w:spacing w:val="-4"/>
        </w:rPr>
        <w:t> </w:t>
      </w:r>
      <w:r>
        <w:rPr/>
        <w:t>to</w:t>
      </w:r>
      <w:r>
        <w:rPr>
          <w:spacing w:val="-4"/>
        </w:rPr>
        <w:t> </w:t>
      </w:r>
      <w:r>
        <w:rPr/>
        <w:t>the</w:t>
      </w:r>
      <w:r>
        <w:rPr>
          <w:spacing w:val="-4"/>
        </w:rPr>
        <w:t> </w:t>
      </w:r>
      <w:r>
        <w:rPr/>
        <w:t>specific</w:t>
      </w:r>
      <w:r>
        <w:rPr>
          <w:spacing w:val="-4"/>
        </w:rPr>
        <w:t> </w:t>
      </w:r>
      <w:r>
        <w:rPr/>
        <w:t>hypotheses, which will be used to investigate whether the demonstration has achieved its goals.</w:t>
      </w:r>
      <w:r>
        <w:rPr>
          <w:spacing w:val="40"/>
        </w:rPr>
        <w:t> </w:t>
      </w:r>
      <w:r>
        <w:rPr/>
        <w:t>When</w:t>
      </w:r>
    </w:p>
    <w:p>
      <w:pPr>
        <w:pStyle w:val="BodyText"/>
        <w:ind w:left="1220" w:right="1104"/>
      </w:pPr>
      <w:r>
        <w:rPr/>
        <w:t>conducting</w:t>
      </w:r>
      <w:r>
        <w:rPr>
          <w:spacing w:val="-3"/>
        </w:rPr>
        <w:t> </w:t>
      </w:r>
      <w:r>
        <w:rPr/>
        <w:t>analyses</w:t>
      </w:r>
      <w:r>
        <w:rPr>
          <w:spacing w:val="-1"/>
        </w:rPr>
        <w:t> </w:t>
      </w:r>
      <w:r>
        <w:rPr/>
        <w:t>and</w:t>
      </w:r>
      <w:r>
        <w:rPr>
          <w:spacing w:val="-1"/>
        </w:rPr>
        <w:t> </w:t>
      </w:r>
      <w:r>
        <w:rPr/>
        <w:t>developing</w:t>
      </w:r>
      <w:r>
        <w:rPr>
          <w:spacing w:val="-6"/>
        </w:rPr>
        <w:t> </w:t>
      </w:r>
      <w:r>
        <w:rPr/>
        <w:t>the</w:t>
      </w:r>
      <w:r>
        <w:rPr>
          <w:spacing w:val="-4"/>
        </w:rPr>
        <w:t> </w:t>
      </w:r>
      <w:r>
        <w:rPr/>
        <w:t>evaluation</w:t>
      </w:r>
      <w:r>
        <w:rPr>
          <w:spacing w:val="-3"/>
        </w:rPr>
        <w:t> </w:t>
      </w:r>
      <w:r>
        <w:rPr/>
        <w:t>reports,</w:t>
      </w:r>
      <w:r>
        <w:rPr>
          <w:spacing w:val="-3"/>
        </w:rPr>
        <w:t> </w:t>
      </w:r>
      <w:r>
        <w:rPr/>
        <w:t>every</w:t>
      </w:r>
      <w:r>
        <w:rPr>
          <w:spacing w:val="-8"/>
        </w:rPr>
        <w:t> </w:t>
      </w:r>
      <w:r>
        <w:rPr/>
        <w:t>effort</w:t>
      </w:r>
      <w:r>
        <w:rPr>
          <w:spacing w:val="-3"/>
        </w:rPr>
        <w:t> </w:t>
      </w:r>
      <w:r>
        <w:rPr/>
        <w:t>should</w:t>
      </w:r>
      <w:r>
        <w:rPr>
          <w:spacing w:val="-3"/>
        </w:rPr>
        <w:t> </w:t>
      </w:r>
      <w:r>
        <w:rPr/>
        <w:t>be</w:t>
      </w:r>
      <w:r>
        <w:rPr>
          <w:spacing w:val="-4"/>
        </w:rPr>
        <w:t> </w:t>
      </w:r>
      <w:r>
        <w:rPr/>
        <w:t>made</w:t>
      </w:r>
      <w:r>
        <w:rPr>
          <w:spacing w:val="-4"/>
        </w:rPr>
        <w:t> </w:t>
      </w:r>
      <w:r>
        <w:rPr/>
        <w:t>to</w:t>
      </w:r>
      <w:r>
        <w:rPr>
          <w:spacing w:val="-3"/>
        </w:rPr>
        <w:t> </w:t>
      </w:r>
      <w:r>
        <w:rPr/>
        <w:t>follow the methodology outlined in the approved Evaluation Design.</w:t>
      </w:r>
      <w:r>
        <w:rPr>
          <w:spacing w:val="40"/>
        </w:rPr>
        <w:t> </w:t>
      </w:r>
      <w:r>
        <w:rPr/>
        <w:t>However, the state may request,</w:t>
      </w:r>
    </w:p>
    <w:p>
      <w:pPr>
        <w:spacing w:after="0"/>
        <w:sectPr>
          <w:type w:val="continuous"/>
          <w:pgSz w:w="12240" w:h="15840"/>
          <w:pgMar w:header="0" w:footer="971" w:top="320" w:bottom="280" w:left="220" w:right="340"/>
        </w:sectPr>
      </w:pPr>
    </w:p>
    <w:p>
      <w:pPr>
        <w:spacing w:before="80"/>
        <w:ind w:left="1220" w:right="0" w:firstLine="0"/>
        <w:jc w:val="left"/>
        <w:rPr>
          <w:sz w:val="20"/>
        </w:rPr>
      </w:pPr>
      <w:r>
        <w:rPr>
          <w:spacing w:val="-2"/>
          <w:sz w:val="20"/>
        </w:rPr>
        <w:t>Attachment</w:t>
      </w:r>
      <w:r>
        <w:rPr>
          <w:spacing w:val="6"/>
          <w:sz w:val="20"/>
        </w:rPr>
        <w:t> </w:t>
      </w:r>
      <w:r>
        <w:rPr>
          <w:spacing w:val="-10"/>
          <w:sz w:val="20"/>
        </w:rPr>
        <w:t>B</w:t>
      </w:r>
    </w:p>
    <w:p>
      <w:pPr>
        <w:pStyle w:val="BodyText"/>
        <w:rPr>
          <w:sz w:val="20"/>
        </w:rPr>
      </w:pPr>
    </w:p>
    <w:p>
      <w:pPr>
        <w:pStyle w:val="BodyText"/>
        <w:spacing w:before="6"/>
        <w:rPr>
          <w:sz w:val="22"/>
        </w:rPr>
      </w:pPr>
    </w:p>
    <w:p>
      <w:pPr>
        <w:pStyle w:val="BodyText"/>
        <w:ind w:left="1220"/>
      </w:pPr>
      <w:r>
        <w:rPr/>
        <w:t>and</w:t>
      </w:r>
      <w:r>
        <w:rPr>
          <w:spacing w:val="-3"/>
        </w:rPr>
        <w:t> </w:t>
      </w:r>
      <w:r>
        <w:rPr/>
        <w:t>CMS may</w:t>
      </w:r>
      <w:r>
        <w:rPr>
          <w:spacing w:val="-5"/>
        </w:rPr>
        <w:t> </w:t>
      </w:r>
      <w:r>
        <w:rPr/>
        <w:t>agree</w:t>
      </w:r>
      <w:r>
        <w:rPr>
          <w:spacing w:val="-2"/>
        </w:rPr>
        <w:t> </w:t>
      </w:r>
      <w:r>
        <w:rPr/>
        <w:t>to, changes in the</w:t>
      </w:r>
      <w:r>
        <w:rPr>
          <w:spacing w:val="-2"/>
        </w:rPr>
        <w:t> </w:t>
      </w:r>
      <w:r>
        <w:rPr/>
        <w:t>methodology</w:t>
      </w:r>
      <w:r>
        <w:rPr>
          <w:spacing w:val="-5"/>
        </w:rPr>
        <w:t> </w:t>
      </w:r>
      <w:r>
        <w:rPr/>
        <w:t>in appropriate</w:t>
      </w:r>
      <w:r>
        <w:rPr>
          <w:spacing w:val="1"/>
        </w:rPr>
        <w:t> </w:t>
      </w:r>
      <w:r>
        <w:rPr>
          <w:spacing w:val="-2"/>
        </w:rPr>
        <w:t>circumstances.</w:t>
      </w:r>
    </w:p>
    <w:p>
      <w:pPr>
        <w:pStyle w:val="BodyText"/>
      </w:pPr>
    </w:p>
    <w:p>
      <w:pPr>
        <w:pStyle w:val="BodyText"/>
        <w:ind w:left="1219" w:right="1111"/>
      </w:pPr>
      <w:bookmarkStart w:name="When submitting an application for renew" w:id="1162"/>
      <w:bookmarkEnd w:id="1162"/>
      <w:r>
        <w:rPr/>
      </w:r>
      <w:r>
        <w:rPr/>
        <w:t>When submitting an application for renewal, the Interim Evaluation Report should be posted on the</w:t>
      </w:r>
      <w:r>
        <w:rPr>
          <w:spacing w:val="-4"/>
        </w:rPr>
        <w:t> </w:t>
      </w:r>
      <w:r>
        <w:rPr/>
        <w:t>state’s</w:t>
      </w:r>
      <w:r>
        <w:rPr>
          <w:spacing w:val="-3"/>
        </w:rPr>
        <w:t> </w:t>
      </w:r>
      <w:r>
        <w:rPr/>
        <w:t>website</w:t>
      </w:r>
      <w:r>
        <w:rPr>
          <w:spacing w:val="-4"/>
        </w:rPr>
        <w:t> </w:t>
      </w:r>
      <w:r>
        <w:rPr/>
        <w:t>with</w:t>
      </w:r>
      <w:r>
        <w:rPr>
          <w:spacing w:val="-3"/>
        </w:rPr>
        <w:t> </w:t>
      </w:r>
      <w:r>
        <w:rPr/>
        <w:t>the</w:t>
      </w:r>
      <w:r>
        <w:rPr>
          <w:spacing w:val="-4"/>
        </w:rPr>
        <w:t> </w:t>
      </w:r>
      <w:r>
        <w:rPr/>
        <w:t>application</w:t>
      </w:r>
      <w:r>
        <w:rPr>
          <w:spacing w:val="-3"/>
        </w:rPr>
        <w:t> </w:t>
      </w:r>
      <w:r>
        <w:rPr/>
        <w:t>for</w:t>
      </w:r>
      <w:r>
        <w:rPr>
          <w:spacing w:val="-4"/>
        </w:rPr>
        <w:t> </w:t>
      </w:r>
      <w:r>
        <w:rPr/>
        <w:t>public</w:t>
      </w:r>
      <w:r>
        <w:rPr>
          <w:spacing w:val="-2"/>
        </w:rPr>
        <w:t> </w:t>
      </w:r>
      <w:r>
        <w:rPr/>
        <w:t>comment.</w:t>
      </w:r>
      <w:r>
        <w:rPr>
          <w:spacing w:val="40"/>
        </w:rPr>
        <w:t> </w:t>
      </w:r>
      <w:r>
        <w:rPr/>
        <w:t>Additionally,</w:t>
      </w:r>
      <w:r>
        <w:rPr>
          <w:spacing w:val="-1"/>
        </w:rPr>
        <w:t> </w:t>
      </w:r>
      <w:r>
        <w:rPr/>
        <w:t>the</w:t>
      </w:r>
      <w:r>
        <w:rPr>
          <w:spacing w:val="-3"/>
        </w:rPr>
        <w:t> </w:t>
      </w:r>
      <w:r>
        <w:rPr/>
        <w:t>Interim</w:t>
      </w:r>
      <w:r>
        <w:rPr>
          <w:spacing w:val="-3"/>
        </w:rPr>
        <w:t> </w:t>
      </w:r>
      <w:r>
        <w:rPr/>
        <w:t>Evaluation Report must be included in its entirety with the application submitted to CMS.</w:t>
      </w:r>
    </w:p>
    <w:p>
      <w:pPr>
        <w:pStyle w:val="BodyText"/>
      </w:pPr>
    </w:p>
    <w:p>
      <w:pPr>
        <w:pStyle w:val="BodyText"/>
        <w:ind w:left="1219" w:right="1473"/>
      </w:pPr>
      <w:bookmarkStart w:name="CMS expects Interim and Summative Evalua" w:id="1163"/>
      <w:bookmarkEnd w:id="1163"/>
      <w:r>
        <w:rPr/>
      </w:r>
      <w:r>
        <w:rPr/>
        <w:t>CMS</w:t>
      </w:r>
      <w:r>
        <w:rPr>
          <w:spacing w:val="-2"/>
        </w:rPr>
        <w:t> </w:t>
      </w:r>
      <w:r>
        <w:rPr/>
        <w:t>expects</w:t>
      </w:r>
      <w:r>
        <w:rPr>
          <w:spacing w:val="-2"/>
        </w:rPr>
        <w:t> </w:t>
      </w:r>
      <w:r>
        <w:rPr/>
        <w:t>Interim</w:t>
      </w:r>
      <w:r>
        <w:rPr>
          <w:spacing w:val="-2"/>
        </w:rPr>
        <w:t> </w:t>
      </w:r>
      <w:r>
        <w:rPr/>
        <w:t>and</w:t>
      </w:r>
      <w:r>
        <w:rPr>
          <w:spacing w:val="-2"/>
        </w:rPr>
        <w:t> </w:t>
      </w:r>
      <w:r>
        <w:rPr/>
        <w:t>Summative</w:t>
      </w:r>
      <w:r>
        <w:rPr>
          <w:spacing w:val="-3"/>
        </w:rPr>
        <w:t> </w:t>
      </w:r>
      <w:r>
        <w:rPr/>
        <w:t>Evaluation</w:t>
      </w:r>
      <w:r>
        <w:rPr>
          <w:spacing w:val="-2"/>
        </w:rPr>
        <w:t> </w:t>
      </w:r>
      <w:r>
        <w:rPr/>
        <w:t>Reports</w:t>
      </w:r>
      <w:r>
        <w:rPr>
          <w:spacing w:val="-2"/>
        </w:rPr>
        <w:t> </w:t>
      </w:r>
      <w:r>
        <w:rPr/>
        <w:t>to</w:t>
      </w:r>
      <w:r>
        <w:rPr>
          <w:spacing w:val="-2"/>
        </w:rPr>
        <w:t> </w:t>
      </w:r>
      <w:r>
        <w:rPr/>
        <w:t>be</w:t>
      </w:r>
      <w:r>
        <w:rPr>
          <w:spacing w:val="-3"/>
        </w:rPr>
        <w:t> </w:t>
      </w:r>
      <w:r>
        <w:rPr/>
        <w:t>rigorous,</w:t>
      </w:r>
      <w:r>
        <w:rPr>
          <w:spacing w:val="-2"/>
        </w:rPr>
        <w:t> </w:t>
      </w:r>
      <w:r>
        <w:rPr/>
        <w:t>incorporate</w:t>
      </w:r>
      <w:r>
        <w:rPr>
          <w:spacing w:val="-3"/>
        </w:rPr>
        <w:t> </w:t>
      </w:r>
      <w:r>
        <w:rPr/>
        <w:t>baseline and comparison group assessments, as well as statistical significance testing.</w:t>
      </w:r>
      <w:r>
        <w:rPr>
          <w:spacing w:val="40"/>
        </w:rPr>
        <w:t> </w:t>
      </w:r>
      <w:r>
        <w:rPr/>
        <w:t>Technical assistance</w:t>
      </w:r>
      <w:r>
        <w:rPr>
          <w:spacing w:val="-5"/>
        </w:rPr>
        <w:t> </w:t>
      </w:r>
      <w:r>
        <w:rPr/>
        <w:t>resources</w:t>
      </w:r>
      <w:r>
        <w:rPr>
          <w:spacing w:val="-4"/>
        </w:rPr>
        <w:t> </w:t>
      </w:r>
      <w:r>
        <w:rPr/>
        <w:t>for</w:t>
      </w:r>
      <w:r>
        <w:rPr>
          <w:spacing w:val="-3"/>
        </w:rPr>
        <w:t> </w:t>
      </w:r>
      <w:r>
        <w:rPr/>
        <w:t>constructing</w:t>
      </w:r>
      <w:r>
        <w:rPr>
          <w:spacing w:val="-7"/>
        </w:rPr>
        <w:t> </w:t>
      </w:r>
      <w:r>
        <w:rPr/>
        <w:t>comparison</w:t>
      </w:r>
      <w:r>
        <w:rPr>
          <w:spacing w:val="-2"/>
        </w:rPr>
        <w:t> </w:t>
      </w:r>
      <w:r>
        <w:rPr/>
        <w:t>groups</w:t>
      </w:r>
      <w:r>
        <w:rPr>
          <w:spacing w:val="-4"/>
        </w:rPr>
        <w:t> </w:t>
      </w:r>
      <w:r>
        <w:rPr/>
        <w:t>and</w:t>
      </w:r>
      <w:r>
        <w:rPr>
          <w:spacing w:val="-4"/>
        </w:rPr>
        <w:t> </w:t>
      </w:r>
      <w:r>
        <w:rPr/>
        <w:t>identifying</w:t>
      </w:r>
      <w:r>
        <w:rPr>
          <w:spacing w:val="-4"/>
        </w:rPr>
        <w:t> </w:t>
      </w:r>
      <w:r>
        <w:rPr/>
        <w:t>causal</w:t>
      </w:r>
      <w:r>
        <w:rPr>
          <w:spacing w:val="-4"/>
        </w:rPr>
        <w:t> </w:t>
      </w:r>
      <w:r>
        <w:rPr/>
        <w:t>inferences</w:t>
      </w:r>
      <w:r>
        <w:rPr>
          <w:spacing w:val="-4"/>
        </w:rPr>
        <w:t> </w:t>
      </w:r>
      <w:r>
        <w:rPr/>
        <w:t>are available on Medicaid.gov: </w:t>
      </w:r>
      <w:hyperlink r:id="rId333">
        <w:r>
          <w:rPr>
            <w:color w:val="1F3863"/>
            <w:u w:val="single" w:color="1F3863"/>
          </w:rPr>
          <w:t>https://www.medicaid.gov/medicaid/section-1115-</w:t>
        </w:r>
      </w:hyperlink>
      <w:r>
        <w:rPr>
          <w:color w:val="1F3863"/>
        </w:rPr>
        <w:t> </w:t>
      </w:r>
      <w:hyperlink r:id="rId333">
        <w:r>
          <w:rPr>
            <w:color w:val="1F3863"/>
            <w:spacing w:val="-2"/>
            <w:u w:val="single" w:color="1F3863"/>
          </w:rPr>
          <w:t>demonstrations/1115-demonstration-monitoring-evaluation/1115-demonstration-state-</w:t>
        </w:r>
      </w:hyperlink>
      <w:r>
        <w:rPr>
          <w:color w:val="1F3863"/>
          <w:spacing w:val="-2"/>
        </w:rPr>
        <w:t> </w:t>
      </w:r>
      <w:hyperlink r:id="rId333">
        <w:r>
          <w:rPr>
            <w:color w:val="1F3863"/>
            <w:u w:val="single" w:color="1F3863"/>
          </w:rPr>
          <w:t>monitoring-evaluation-resources/index.html</w:t>
        </w:r>
      </w:hyperlink>
      <w:r>
        <w:rPr>
          <w:color w:val="1F3863"/>
          <w:u w:val="single" w:color="1F3863"/>
        </w:rPr>
        <w:t>.</w:t>
      </w:r>
      <w:r>
        <w:rPr>
          <w:color w:val="1F3863"/>
          <w:spacing w:val="40"/>
          <w:u w:val="single" w:color="1F3863"/>
        </w:rPr>
        <w:t> </w:t>
      </w:r>
      <w:r>
        <w:rPr>
          <w:color w:val="1F3863"/>
          <w:u w:val="single" w:color="1F3863"/>
        </w:rPr>
        <w:t>If</w:t>
      </w:r>
      <w:r>
        <w:rPr>
          <w:color w:val="1F3863"/>
          <w:spacing w:val="-3"/>
          <w:u w:val="single" w:color="1F3863"/>
        </w:rPr>
        <w:t> </w:t>
      </w:r>
      <w:r>
        <w:rPr>
          <w:color w:val="1F3863"/>
          <w:u w:val="single" w:color="1F3863"/>
        </w:rPr>
        <w:t>the</w:t>
      </w:r>
      <w:r>
        <w:rPr>
          <w:color w:val="1F3863"/>
          <w:spacing w:val="-3"/>
          <w:u w:val="single" w:color="1F3863"/>
        </w:rPr>
        <w:t> </w:t>
      </w:r>
      <w:r>
        <w:rPr>
          <w:color w:val="1F3863"/>
          <w:u w:val="single" w:color="1F3863"/>
        </w:rPr>
        <w:t>state</w:t>
      </w:r>
      <w:r>
        <w:rPr>
          <w:color w:val="1F3863"/>
          <w:spacing w:val="-3"/>
          <w:u w:val="single" w:color="1F3863"/>
        </w:rPr>
        <w:t> </w:t>
      </w:r>
      <w:r>
        <w:rPr>
          <w:color w:val="1F3863"/>
          <w:u w:val="single" w:color="1F3863"/>
        </w:rPr>
        <w:t>needs</w:t>
      </w:r>
      <w:r>
        <w:rPr>
          <w:color w:val="1F3863"/>
          <w:spacing w:val="-2"/>
          <w:u w:val="single" w:color="1F3863"/>
        </w:rPr>
        <w:t> </w:t>
      </w:r>
      <w:r>
        <w:rPr>
          <w:color w:val="1F3863"/>
          <w:u w:val="single" w:color="1F3863"/>
        </w:rPr>
        <w:t>technical assistance</w:t>
      </w:r>
      <w:r>
        <w:rPr>
          <w:color w:val="1F3863"/>
          <w:spacing w:val="-3"/>
          <w:u w:val="single" w:color="1F3863"/>
        </w:rPr>
        <w:t> </w:t>
      </w:r>
      <w:r>
        <w:rPr>
          <w:color w:val="1F3863"/>
          <w:u w:val="single" w:color="1F3863"/>
        </w:rPr>
        <w:t>using</w:t>
      </w:r>
      <w:r>
        <w:rPr>
          <w:color w:val="1F3863"/>
          <w:spacing w:val="-5"/>
          <w:u w:val="single" w:color="1F3863"/>
        </w:rPr>
        <w:t> </w:t>
      </w:r>
      <w:r>
        <w:rPr>
          <w:color w:val="1F3863"/>
          <w:u w:val="single" w:color="1F3863"/>
        </w:rPr>
        <w:t>this</w:t>
      </w:r>
      <w:r>
        <w:rPr>
          <w:color w:val="1F3863"/>
        </w:rPr>
        <w:t> </w:t>
      </w:r>
      <w:r>
        <w:rPr>
          <w:color w:val="1F3863"/>
          <w:u w:val="single" w:color="1F3863"/>
        </w:rPr>
        <w:t>outline or developing the evaluation reports, the state should contact its demonstration team.</w:t>
      </w:r>
    </w:p>
    <w:p>
      <w:pPr>
        <w:pStyle w:val="BodyText"/>
        <w:spacing w:before="11"/>
        <w:rPr>
          <w:sz w:val="21"/>
        </w:rPr>
      </w:pPr>
    </w:p>
    <w:p>
      <w:pPr>
        <w:pStyle w:val="Heading5"/>
        <w:ind w:left="1220"/>
      </w:pPr>
      <w:r>
        <w:rPr/>
        <w:t>Intent</w:t>
      </w:r>
      <w:r>
        <w:rPr>
          <w:spacing w:val="-2"/>
        </w:rPr>
        <w:t> </w:t>
      </w:r>
      <w:r>
        <w:rPr/>
        <w:t>of this</w:t>
      </w:r>
      <w:r>
        <w:rPr>
          <w:spacing w:val="-1"/>
        </w:rPr>
        <w:t> </w:t>
      </w:r>
      <w:r>
        <w:rPr>
          <w:spacing w:val="-2"/>
        </w:rPr>
        <w:t>Attachment</w:t>
      </w:r>
    </w:p>
    <w:p>
      <w:pPr>
        <w:pStyle w:val="BodyText"/>
        <w:ind w:left="1220" w:right="1111"/>
      </w:pPr>
      <w:r>
        <w:rPr/>
        <w:t>Title XIX of the Social Security Act (the Act) requires an evaluation of every section 1115 demonstration.</w:t>
      </w:r>
      <w:r>
        <w:rPr>
          <w:spacing w:val="40"/>
        </w:rPr>
        <w:t> </w:t>
      </w:r>
      <w:r>
        <w:rPr/>
        <w:t>In</w:t>
      </w:r>
      <w:r>
        <w:rPr>
          <w:spacing w:val="-3"/>
        </w:rPr>
        <w:t> </w:t>
      </w:r>
      <w:r>
        <w:rPr/>
        <w:t>order</w:t>
      </w:r>
      <w:r>
        <w:rPr>
          <w:spacing w:val="-4"/>
        </w:rPr>
        <w:t> </w:t>
      </w:r>
      <w:r>
        <w:rPr/>
        <w:t>to</w:t>
      </w:r>
      <w:r>
        <w:rPr>
          <w:spacing w:val="-3"/>
        </w:rPr>
        <w:t> </w:t>
      </w:r>
      <w:r>
        <w:rPr/>
        <w:t>fulfill</w:t>
      </w:r>
      <w:r>
        <w:rPr>
          <w:spacing w:val="-3"/>
        </w:rPr>
        <w:t> </w:t>
      </w:r>
      <w:r>
        <w:rPr/>
        <w:t>this</w:t>
      </w:r>
      <w:r>
        <w:rPr>
          <w:spacing w:val="-3"/>
        </w:rPr>
        <w:t> </w:t>
      </w:r>
      <w:r>
        <w:rPr/>
        <w:t>requirement,</w:t>
      </w:r>
      <w:r>
        <w:rPr>
          <w:spacing w:val="-3"/>
        </w:rPr>
        <w:t> </w:t>
      </w:r>
      <w:r>
        <w:rPr/>
        <w:t>the</w:t>
      </w:r>
      <w:r>
        <w:rPr>
          <w:spacing w:val="-4"/>
        </w:rPr>
        <w:t> </w:t>
      </w:r>
      <w:r>
        <w:rPr/>
        <w:t>state’s</w:t>
      </w:r>
      <w:r>
        <w:rPr>
          <w:spacing w:val="-3"/>
        </w:rPr>
        <w:t> </w:t>
      </w:r>
      <w:r>
        <w:rPr/>
        <w:t>evaluation</w:t>
      </w:r>
      <w:r>
        <w:rPr>
          <w:spacing w:val="-3"/>
        </w:rPr>
        <w:t> </w:t>
      </w:r>
      <w:r>
        <w:rPr/>
        <w:t>report</w:t>
      </w:r>
      <w:r>
        <w:rPr>
          <w:spacing w:val="-3"/>
        </w:rPr>
        <w:t> </w:t>
      </w:r>
      <w:r>
        <w:rPr/>
        <w:t>submissions</w:t>
      </w:r>
      <w:r>
        <w:rPr>
          <w:spacing w:val="-3"/>
        </w:rPr>
        <w:t> </w:t>
      </w:r>
      <w:r>
        <w:rPr/>
        <w:t>must provide comprehensive written presentations of all key components of the demonstration, and include all required elements specified in the approved Evaluation Design.</w:t>
      </w:r>
      <w:r>
        <w:rPr>
          <w:spacing w:val="40"/>
        </w:rPr>
        <w:t> </w:t>
      </w:r>
      <w:r>
        <w:rPr/>
        <w:t>This Attachment is intended to assist states with organizing the required information in a standardized format and understanding the criteria that CMS will use in reviewing the submitted Interim and Summative Evaluation Reports.</w:t>
      </w:r>
    </w:p>
    <w:p>
      <w:pPr>
        <w:pStyle w:val="BodyText"/>
      </w:pPr>
    </w:p>
    <w:p>
      <w:pPr>
        <w:pStyle w:val="Heading5"/>
        <w:ind w:left="1220"/>
      </w:pPr>
      <w:bookmarkStart w:name="Required Core Components of Interim and " w:id="1164"/>
      <w:bookmarkEnd w:id="1164"/>
      <w:r>
        <w:rPr>
          <w:b w:val="0"/>
        </w:rPr>
      </w:r>
      <w:r>
        <w:rPr/>
        <w:t>Required</w:t>
      </w:r>
      <w:r>
        <w:rPr>
          <w:spacing w:val="-4"/>
        </w:rPr>
        <w:t> </w:t>
      </w:r>
      <w:r>
        <w:rPr/>
        <w:t>Core</w:t>
      </w:r>
      <w:r>
        <w:rPr>
          <w:spacing w:val="-3"/>
        </w:rPr>
        <w:t> </w:t>
      </w:r>
      <w:r>
        <w:rPr/>
        <w:t>Components</w:t>
      </w:r>
      <w:r>
        <w:rPr>
          <w:spacing w:val="-2"/>
        </w:rPr>
        <w:t> </w:t>
      </w:r>
      <w:r>
        <w:rPr/>
        <w:t>of</w:t>
      </w:r>
      <w:r>
        <w:rPr>
          <w:spacing w:val="-1"/>
        </w:rPr>
        <w:t> </w:t>
      </w:r>
      <w:r>
        <w:rPr/>
        <w:t>Interim</w:t>
      </w:r>
      <w:r>
        <w:rPr>
          <w:spacing w:val="-6"/>
        </w:rPr>
        <w:t> </w:t>
      </w:r>
      <w:r>
        <w:rPr/>
        <w:t>and</w:t>
      </w:r>
      <w:r>
        <w:rPr>
          <w:spacing w:val="-2"/>
        </w:rPr>
        <w:t> </w:t>
      </w:r>
      <w:r>
        <w:rPr/>
        <w:t>Summative</w:t>
      </w:r>
      <w:r>
        <w:rPr>
          <w:spacing w:val="-3"/>
        </w:rPr>
        <w:t> </w:t>
      </w:r>
      <w:r>
        <w:rPr/>
        <w:t>Evaluation</w:t>
      </w:r>
      <w:r>
        <w:rPr>
          <w:spacing w:val="-1"/>
        </w:rPr>
        <w:t> </w:t>
      </w:r>
      <w:r>
        <w:rPr>
          <w:spacing w:val="-2"/>
        </w:rPr>
        <w:t>Reports</w:t>
      </w:r>
    </w:p>
    <w:p>
      <w:pPr>
        <w:pStyle w:val="BodyText"/>
        <w:ind w:left="1219" w:right="1113"/>
      </w:pPr>
      <w:bookmarkStart w:name="The Interim and Summative Evaluation Rep" w:id="1165"/>
      <w:bookmarkEnd w:id="1165"/>
      <w:r>
        <w:rPr/>
      </w:r>
      <w:r>
        <w:rPr/>
        <w:t>The Interim and Summative Evaluation Reports present research and findings about the section 1115 demonstration.</w:t>
      </w:r>
      <w:r>
        <w:rPr>
          <w:spacing w:val="80"/>
        </w:rPr>
        <w:t> </w:t>
      </w:r>
      <w:r>
        <w:rPr/>
        <w:t>It is important that the reports incorporate a discussion about the structure of</w:t>
      </w:r>
      <w:r>
        <w:rPr>
          <w:spacing w:val="-4"/>
        </w:rPr>
        <w:t> </w:t>
      </w:r>
      <w:r>
        <w:rPr/>
        <w:t>the</w:t>
      </w:r>
      <w:r>
        <w:rPr>
          <w:spacing w:val="-4"/>
        </w:rPr>
        <w:t> </w:t>
      </w:r>
      <w:r>
        <w:rPr/>
        <w:t>Evaluation</w:t>
      </w:r>
      <w:r>
        <w:rPr>
          <w:spacing w:val="-3"/>
        </w:rPr>
        <w:t> </w:t>
      </w:r>
      <w:r>
        <w:rPr/>
        <w:t>Design</w:t>
      </w:r>
      <w:r>
        <w:rPr>
          <w:spacing w:val="-1"/>
        </w:rPr>
        <w:t> </w:t>
      </w:r>
      <w:r>
        <w:rPr/>
        <w:t>to</w:t>
      </w:r>
      <w:r>
        <w:rPr>
          <w:spacing w:val="-3"/>
        </w:rPr>
        <w:t> </w:t>
      </w:r>
      <w:r>
        <w:rPr/>
        <w:t>explain</w:t>
      </w:r>
      <w:r>
        <w:rPr>
          <w:spacing w:val="-3"/>
        </w:rPr>
        <w:t> </w:t>
      </w:r>
      <w:r>
        <w:rPr/>
        <w:t>the</w:t>
      </w:r>
      <w:r>
        <w:rPr>
          <w:spacing w:val="-4"/>
        </w:rPr>
        <w:t> </w:t>
      </w:r>
      <w:r>
        <w:rPr/>
        <w:t>goals</w:t>
      </w:r>
      <w:r>
        <w:rPr>
          <w:spacing w:val="-3"/>
        </w:rPr>
        <w:t> </w:t>
      </w:r>
      <w:r>
        <w:rPr/>
        <w:t>and</w:t>
      </w:r>
      <w:r>
        <w:rPr>
          <w:spacing w:val="-1"/>
        </w:rPr>
        <w:t> </w:t>
      </w:r>
      <w:r>
        <w:rPr/>
        <w:t>objectives</w:t>
      </w:r>
      <w:r>
        <w:rPr>
          <w:spacing w:val="-3"/>
        </w:rPr>
        <w:t> </w:t>
      </w:r>
      <w:r>
        <w:rPr/>
        <w:t>of</w:t>
      </w:r>
      <w:r>
        <w:rPr>
          <w:spacing w:val="-4"/>
        </w:rPr>
        <w:t> </w:t>
      </w:r>
      <w:r>
        <w:rPr/>
        <w:t>the</w:t>
      </w:r>
      <w:r>
        <w:rPr>
          <w:spacing w:val="-4"/>
        </w:rPr>
        <w:t> </w:t>
      </w:r>
      <w:r>
        <w:rPr/>
        <w:t>demonstration,</w:t>
      </w:r>
      <w:r>
        <w:rPr>
          <w:spacing w:val="-3"/>
        </w:rPr>
        <w:t> </w:t>
      </w:r>
      <w:r>
        <w:rPr/>
        <w:t>the</w:t>
      </w:r>
      <w:r>
        <w:rPr>
          <w:spacing w:val="-4"/>
        </w:rPr>
        <w:t> </w:t>
      </w:r>
      <w:r>
        <w:rPr/>
        <w:t>hypotheses related to the demonstration, and the methodology for the evaluation.</w:t>
      </w:r>
      <w:r>
        <w:rPr>
          <w:spacing w:val="40"/>
        </w:rPr>
        <w:t> </w:t>
      </w:r>
      <w:r>
        <w:rPr/>
        <w:t>The evaluation reports should present the relevant data and an interpretation of the findings; assess the outcomes (what worked and what did not work); explain the limitations of the design, data, and analyses; offer recommendations regarding what (in hindsight) the state would further advance, or do differently, and why; and discuss the implications on future Medicaid policy.</w:t>
      </w:r>
    </w:p>
    <w:p>
      <w:pPr>
        <w:pStyle w:val="ListParagraph"/>
        <w:numPr>
          <w:ilvl w:val="0"/>
          <w:numId w:val="54"/>
        </w:numPr>
        <w:tabs>
          <w:tab w:pos="1939" w:val="left" w:leader="none"/>
        </w:tabs>
        <w:spacing w:line="240" w:lineRule="auto" w:before="0" w:after="0"/>
        <w:ind w:left="1939" w:right="1472" w:hanging="360"/>
        <w:jc w:val="left"/>
        <w:rPr>
          <w:sz w:val="24"/>
        </w:rPr>
      </w:pPr>
      <w:r>
        <w:rPr>
          <w:sz w:val="24"/>
        </w:rPr>
        <w:t>The</w:t>
      </w:r>
      <w:r>
        <w:rPr>
          <w:spacing w:val="-4"/>
          <w:sz w:val="24"/>
        </w:rPr>
        <w:t> </w:t>
      </w:r>
      <w:r>
        <w:rPr>
          <w:sz w:val="24"/>
        </w:rPr>
        <w:t>format</w:t>
      </w:r>
      <w:r>
        <w:rPr>
          <w:spacing w:val="-3"/>
          <w:sz w:val="24"/>
        </w:rPr>
        <w:t> </w:t>
      </w:r>
      <w:r>
        <w:rPr>
          <w:sz w:val="24"/>
        </w:rPr>
        <w:t>for</w:t>
      </w:r>
      <w:r>
        <w:rPr>
          <w:spacing w:val="-4"/>
          <w:sz w:val="24"/>
        </w:rPr>
        <w:t> </w:t>
      </w:r>
      <w:r>
        <w:rPr>
          <w:sz w:val="24"/>
        </w:rPr>
        <w:t>the</w:t>
      </w:r>
      <w:r>
        <w:rPr>
          <w:spacing w:val="-2"/>
          <w:sz w:val="24"/>
        </w:rPr>
        <w:t> </w:t>
      </w:r>
      <w:r>
        <w:rPr>
          <w:sz w:val="24"/>
        </w:rPr>
        <w:t>Interim</w:t>
      </w:r>
      <w:r>
        <w:rPr>
          <w:spacing w:val="-3"/>
          <w:sz w:val="24"/>
        </w:rPr>
        <w:t> </w:t>
      </w:r>
      <w:r>
        <w:rPr>
          <w:sz w:val="24"/>
        </w:rPr>
        <w:t>and</w:t>
      </w:r>
      <w:r>
        <w:rPr>
          <w:spacing w:val="-3"/>
          <w:sz w:val="24"/>
        </w:rPr>
        <w:t> </w:t>
      </w:r>
      <w:r>
        <w:rPr>
          <w:sz w:val="24"/>
        </w:rPr>
        <w:t>Summative</w:t>
      </w:r>
      <w:r>
        <w:rPr>
          <w:spacing w:val="-4"/>
          <w:sz w:val="24"/>
        </w:rPr>
        <w:t> </w:t>
      </w:r>
      <w:r>
        <w:rPr>
          <w:sz w:val="24"/>
        </w:rPr>
        <w:t>Evaluation</w:t>
      </w:r>
      <w:r>
        <w:rPr>
          <w:spacing w:val="-3"/>
          <w:sz w:val="24"/>
        </w:rPr>
        <w:t> </w:t>
      </w:r>
      <w:r>
        <w:rPr>
          <w:sz w:val="24"/>
        </w:rPr>
        <w:t>reports</w:t>
      </w:r>
      <w:r>
        <w:rPr>
          <w:spacing w:val="-3"/>
          <w:sz w:val="24"/>
        </w:rPr>
        <w:t> </w:t>
      </w:r>
      <w:r>
        <w:rPr>
          <w:sz w:val="24"/>
        </w:rPr>
        <w:t>is</w:t>
      </w:r>
      <w:r>
        <w:rPr>
          <w:spacing w:val="-3"/>
          <w:sz w:val="24"/>
        </w:rPr>
        <w:t> </w:t>
      </w:r>
      <w:r>
        <w:rPr>
          <w:sz w:val="24"/>
        </w:rPr>
        <w:t>as</w:t>
      </w:r>
      <w:r>
        <w:rPr>
          <w:spacing w:val="-3"/>
          <w:sz w:val="24"/>
        </w:rPr>
        <w:t> </w:t>
      </w:r>
      <w:r>
        <w:rPr>
          <w:sz w:val="24"/>
        </w:rPr>
        <w:t>follows:</w:t>
      </w:r>
      <w:r>
        <w:rPr>
          <w:spacing w:val="-3"/>
          <w:sz w:val="24"/>
        </w:rPr>
        <w:t> </w:t>
      </w:r>
      <w:r>
        <w:rPr>
          <w:sz w:val="24"/>
        </w:rPr>
        <w:t>Executive </w:t>
      </w:r>
      <w:r>
        <w:rPr>
          <w:spacing w:val="-2"/>
          <w:sz w:val="24"/>
        </w:rPr>
        <w:t>Summary;</w:t>
      </w:r>
    </w:p>
    <w:p>
      <w:pPr>
        <w:pStyle w:val="ListParagraph"/>
        <w:numPr>
          <w:ilvl w:val="0"/>
          <w:numId w:val="54"/>
        </w:numPr>
        <w:tabs>
          <w:tab w:pos="1938" w:val="left" w:leader="none"/>
        </w:tabs>
        <w:spacing w:line="240" w:lineRule="auto" w:before="0" w:after="0"/>
        <w:ind w:left="1938" w:right="0" w:hanging="359"/>
        <w:jc w:val="left"/>
        <w:rPr>
          <w:sz w:val="24"/>
        </w:rPr>
      </w:pPr>
      <w:r>
        <w:rPr>
          <w:sz w:val="24"/>
        </w:rPr>
        <w:t>General</w:t>
      </w:r>
      <w:r>
        <w:rPr>
          <w:spacing w:val="-4"/>
          <w:sz w:val="24"/>
        </w:rPr>
        <w:t> </w:t>
      </w:r>
      <w:r>
        <w:rPr>
          <w:sz w:val="24"/>
        </w:rPr>
        <w:t>Background</w:t>
      </w:r>
      <w:r>
        <w:rPr>
          <w:spacing w:val="1"/>
          <w:sz w:val="24"/>
        </w:rPr>
        <w:t> </w:t>
      </w:r>
      <w:r>
        <w:rPr>
          <w:spacing w:val="-2"/>
          <w:sz w:val="24"/>
        </w:rPr>
        <w:t>Information;</w:t>
      </w:r>
    </w:p>
    <w:p>
      <w:pPr>
        <w:pStyle w:val="ListParagraph"/>
        <w:numPr>
          <w:ilvl w:val="0"/>
          <w:numId w:val="54"/>
        </w:numPr>
        <w:tabs>
          <w:tab w:pos="1938" w:val="left" w:leader="none"/>
        </w:tabs>
        <w:spacing w:line="240" w:lineRule="auto" w:before="0" w:after="0"/>
        <w:ind w:left="1938" w:right="0" w:hanging="359"/>
        <w:jc w:val="left"/>
        <w:rPr>
          <w:sz w:val="24"/>
        </w:rPr>
      </w:pPr>
      <w:r>
        <w:rPr>
          <w:sz w:val="24"/>
        </w:rPr>
        <w:t>Evaluation</w:t>
      </w:r>
      <w:r>
        <w:rPr>
          <w:spacing w:val="-2"/>
          <w:sz w:val="24"/>
        </w:rPr>
        <w:t> </w:t>
      </w:r>
      <w:r>
        <w:rPr>
          <w:sz w:val="24"/>
        </w:rPr>
        <w:t>Questions</w:t>
      </w:r>
      <w:r>
        <w:rPr>
          <w:spacing w:val="-2"/>
          <w:sz w:val="24"/>
        </w:rPr>
        <w:t> </w:t>
      </w:r>
      <w:r>
        <w:rPr>
          <w:sz w:val="24"/>
        </w:rPr>
        <w:t>and</w:t>
      </w:r>
      <w:r>
        <w:rPr>
          <w:spacing w:val="-2"/>
          <w:sz w:val="24"/>
        </w:rPr>
        <w:t> Hypotheses;</w:t>
      </w:r>
    </w:p>
    <w:p>
      <w:pPr>
        <w:pStyle w:val="ListParagraph"/>
        <w:numPr>
          <w:ilvl w:val="0"/>
          <w:numId w:val="54"/>
        </w:numPr>
        <w:tabs>
          <w:tab w:pos="1939" w:val="left" w:leader="none"/>
        </w:tabs>
        <w:spacing w:line="240" w:lineRule="auto" w:before="0" w:after="0"/>
        <w:ind w:left="1939" w:right="0" w:hanging="359"/>
        <w:jc w:val="left"/>
        <w:rPr>
          <w:sz w:val="24"/>
        </w:rPr>
      </w:pPr>
      <w:r>
        <w:rPr>
          <w:spacing w:val="-2"/>
          <w:sz w:val="24"/>
        </w:rPr>
        <w:t>Methodology;</w:t>
      </w:r>
    </w:p>
    <w:p>
      <w:pPr>
        <w:pStyle w:val="ListParagraph"/>
        <w:numPr>
          <w:ilvl w:val="0"/>
          <w:numId w:val="54"/>
        </w:numPr>
        <w:tabs>
          <w:tab w:pos="1938" w:val="left" w:leader="none"/>
        </w:tabs>
        <w:spacing w:line="240" w:lineRule="auto" w:before="0" w:after="0"/>
        <w:ind w:left="1938" w:right="0" w:hanging="358"/>
        <w:jc w:val="left"/>
        <w:rPr>
          <w:sz w:val="24"/>
        </w:rPr>
      </w:pPr>
      <w:r>
        <w:rPr>
          <w:sz w:val="24"/>
        </w:rPr>
        <w:t>Methodological</w:t>
      </w:r>
      <w:r>
        <w:rPr>
          <w:spacing w:val="-4"/>
          <w:sz w:val="24"/>
        </w:rPr>
        <w:t> </w:t>
      </w:r>
      <w:r>
        <w:rPr>
          <w:spacing w:val="-2"/>
          <w:sz w:val="24"/>
        </w:rPr>
        <w:t>Limitations;</w:t>
      </w:r>
    </w:p>
    <w:p>
      <w:pPr>
        <w:pStyle w:val="ListParagraph"/>
        <w:numPr>
          <w:ilvl w:val="0"/>
          <w:numId w:val="54"/>
        </w:numPr>
        <w:tabs>
          <w:tab w:pos="1938" w:val="left" w:leader="none"/>
        </w:tabs>
        <w:spacing w:line="240" w:lineRule="auto" w:before="0" w:after="0"/>
        <w:ind w:left="1938" w:right="0" w:hanging="358"/>
        <w:jc w:val="left"/>
        <w:rPr>
          <w:sz w:val="24"/>
        </w:rPr>
      </w:pPr>
      <w:r>
        <w:rPr>
          <w:spacing w:val="-2"/>
          <w:sz w:val="24"/>
        </w:rPr>
        <w:t>Results;</w:t>
      </w:r>
    </w:p>
    <w:p>
      <w:pPr>
        <w:pStyle w:val="ListParagraph"/>
        <w:numPr>
          <w:ilvl w:val="0"/>
          <w:numId w:val="54"/>
        </w:numPr>
        <w:tabs>
          <w:tab w:pos="1938" w:val="left" w:leader="none"/>
        </w:tabs>
        <w:spacing w:line="240" w:lineRule="auto" w:before="0" w:after="0"/>
        <w:ind w:left="1938" w:right="0" w:hanging="359"/>
        <w:jc w:val="left"/>
        <w:rPr>
          <w:sz w:val="24"/>
        </w:rPr>
      </w:pPr>
      <w:r>
        <w:rPr>
          <w:spacing w:val="-2"/>
          <w:sz w:val="24"/>
        </w:rPr>
        <w:t>Conclusions;</w:t>
      </w:r>
    </w:p>
    <w:p>
      <w:pPr>
        <w:pStyle w:val="ListParagraph"/>
        <w:numPr>
          <w:ilvl w:val="0"/>
          <w:numId w:val="54"/>
        </w:numPr>
        <w:tabs>
          <w:tab w:pos="1938" w:val="left" w:leader="none"/>
        </w:tabs>
        <w:spacing w:line="240" w:lineRule="auto" w:before="0" w:after="0"/>
        <w:ind w:left="1938" w:right="0" w:hanging="359"/>
        <w:jc w:val="left"/>
        <w:rPr>
          <w:sz w:val="24"/>
        </w:rPr>
      </w:pPr>
      <w:r>
        <w:rPr>
          <w:sz w:val="24"/>
        </w:rPr>
        <w:t>Interpretations,</w:t>
      </w:r>
      <w:r>
        <w:rPr>
          <w:spacing w:val="-5"/>
          <w:sz w:val="24"/>
        </w:rPr>
        <w:t> </w:t>
      </w:r>
      <w:r>
        <w:rPr>
          <w:sz w:val="24"/>
        </w:rPr>
        <w:t>and</w:t>
      </w:r>
      <w:r>
        <w:rPr>
          <w:spacing w:val="-2"/>
          <w:sz w:val="24"/>
        </w:rPr>
        <w:t> </w:t>
      </w:r>
      <w:r>
        <w:rPr>
          <w:sz w:val="24"/>
        </w:rPr>
        <w:t>Policy</w:t>
      </w:r>
      <w:r>
        <w:rPr>
          <w:spacing w:val="-3"/>
          <w:sz w:val="24"/>
        </w:rPr>
        <w:t> </w:t>
      </w:r>
      <w:r>
        <w:rPr>
          <w:sz w:val="24"/>
        </w:rPr>
        <w:t>Implications</w:t>
      </w:r>
      <w:r>
        <w:rPr>
          <w:spacing w:val="-2"/>
          <w:sz w:val="24"/>
        </w:rPr>
        <w:t> </w:t>
      </w:r>
      <w:r>
        <w:rPr>
          <w:sz w:val="24"/>
        </w:rPr>
        <w:t>and</w:t>
      </w:r>
      <w:r>
        <w:rPr>
          <w:spacing w:val="1"/>
          <w:sz w:val="24"/>
        </w:rPr>
        <w:t> </w:t>
      </w:r>
      <w:r>
        <w:rPr>
          <w:sz w:val="24"/>
        </w:rPr>
        <w:t>Interactions</w:t>
      </w:r>
      <w:r>
        <w:rPr>
          <w:spacing w:val="-2"/>
          <w:sz w:val="24"/>
        </w:rPr>
        <w:t> </w:t>
      </w:r>
      <w:r>
        <w:rPr>
          <w:sz w:val="24"/>
        </w:rPr>
        <w:t>with</w:t>
      </w:r>
      <w:r>
        <w:rPr>
          <w:spacing w:val="-3"/>
          <w:sz w:val="24"/>
        </w:rPr>
        <w:t> </w:t>
      </w:r>
      <w:r>
        <w:rPr>
          <w:sz w:val="24"/>
        </w:rPr>
        <w:t>Other</w:t>
      </w:r>
      <w:r>
        <w:rPr>
          <w:spacing w:val="-3"/>
          <w:sz w:val="24"/>
        </w:rPr>
        <w:t> </w:t>
      </w:r>
      <w:r>
        <w:rPr>
          <w:sz w:val="24"/>
        </w:rPr>
        <w:t>State</w:t>
      </w:r>
      <w:r>
        <w:rPr>
          <w:spacing w:val="-1"/>
          <w:sz w:val="24"/>
        </w:rPr>
        <w:t> </w:t>
      </w:r>
      <w:r>
        <w:rPr>
          <w:spacing w:val="-2"/>
          <w:sz w:val="24"/>
        </w:rPr>
        <w:t>Initiatives;</w:t>
      </w:r>
    </w:p>
    <w:p>
      <w:pPr>
        <w:pStyle w:val="ListParagraph"/>
        <w:numPr>
          <w:ilvl w:val="0"/>
          <w:numId w:val="54"/>
        </w:numPr>
        <w:tabs>
          <w:tab w:pos="1939" w:val="left" w:leader="none"/>
        </w:tabs>
        <w:spacing w:line="240" w:lineRule="auto" w:before="0" w:after="0"/>
        <w:ind w:left="1939" w:right="0" w:hanging="360"/>
        <w:jc w:val="left"/>
        <w:rPr>
          <w:sz w:val="24"/>
        </w:rPr>
      </w:pPr>
      <w:r>
        <w:rPr>
          <w:sz w:val="24"/>
        </w:rPr>
        <w:t>Lessons</w:t>
      </w:r>
      <w:r>
        <w:rPr>
          <w:spacing w:val="-2"/>
          <w:sz w:val="24"/>
        </w:rPr>
        <w:t> </w:t>
      </w:r>
      <w:r>
        <w:rPr>
          <w:sz w:val="24"/>
        </w:rPr>
        <w:t>Learned</w:t>
      </w:r>
      <w:r>
        <w:rPr>
          <w:spacing w:val="-4"/>
          <w:sz w:val="24"/>
        </w:rPr>
        <w:t> </w:t>
      </w:r>
      <w:r>
        <w:rPr>
          <w:sz w:val="24"/>
        </w:rPr>
        <w:t>and</w:t>
      </w:r>
      <w:r>
        <w:rPr>
          <w:spacing w:val="-3"/>
          <w:sz w:val="24"/>
        </w:rPr>
        <w:t> </w:t>
      </w:r>
      <w:r>
        <w:rPr>
          <w:sz w:val="24"/>
        </w:rPr>
        <w:t>Recommendations;</w:t>
      </w:r>
      <w:r>
        <w:rPr>
          <w:spacing w:val="-3"/>
          <w:sz w:val="24"/>
        </w:rPr>
        <w:t> </w:t>
      </w:r>
      <w:r>
        <w:rPr>
          <w:spacing w:val="-5"/>
          <w:sz w:val="24"/>
        </w:rPr>
        <w:t>and</w:t>
      </w:r>
    </w:p>
    <w:p>
      <w:pPr>
        <w:pStyle w:val="ListParagraph"/>
        <w:numPr>
          <w:ilvl w:val="0"/>
          <w:numId w:val="54"/>
        </w:numPr>
        <w:tabs>
          <w:tab w:pos="1939" w:val="left" w:leader="none"/>
        </w:tabs>
        <w:spacing w:line="240" w:lineRule="auto" w:before="0" w:after="0"/>
        <w:ind w:left="1939" w:right="0" w:hanging="360"/>
        <w:jc w:val="left"/>
        <w:rPr>
          <w:sz w:val="24"/>
        </w:rPr>
      </w:pPr>
      <w:r>
        <w:rPr>
          <w:spacing w:val="-2"/>
          <w:sz w:val="24"/>
        </w:rPr>
        <w:t>Attachment(s).</w:t>
      </w:r>
    </w:p>
    <w:p>
      <w:pPr>
        <w:pStyle w:val="BodyText"/>
        <w:rPr>
          <w:sz w:val="26"/>
        </w:rPr>
      </w:pPr>
    </w:p>
    <w:p>
      <w:pPr>
        <w:pStyle w:val="BodyText"/>
        <w:rPr>
          <w:sz w:val="22"/>
        </w:rPr>
      </w:pPr>
    </w:p>
    <w:p>
      <w:pPr>
        <w:pStyle w:val="ListParagraph"/>
        <w:numPr>
          <w:ilvl w:val="0"/>
          <w:numId w:val="55"/>
        </w:numPr>
        <w:tabs>
          <w:tab w:pos="1939" w:val="left" w:leader="none"/>
        </w:tabs>
        <w:spacing w:line="240" w:lineRule="auto" w:before="0" w:after="0"/>
        <w:ind w:left="1939" w:right="2177" w:hanging="360"/>
        <w:jc w:val="left"/>
        <w:rPr>
          <w:sz w:val="24"/>
        </w:rPr>
      </w:pPr>
      <w:bookmarkStart w:name="A. Executive Summary – A summary of the " w:id="1166"/>
      <w:bookmarkEnd w:id="1166"/>
      <w:r>
        <w:rPr/>
      </w:r>
      <w:r>
        <w:rPr>
          <w:b/>
          <w:sz w:val="24"/>
        </w:rPr>
        <w:t>Executive</w:t>
      </w:r>
      <w:r>
        <w:rPr>
          <w:b/>
          <w:spacing w:val="-4"/>
          <w:sz w:val="24"/>
        </w:rPr>
        <w:t> </w:t>
      </w:r>
      <w:r>
        <w:rPr>
          <w:b/>
          <w:sz w:val="24"/>
        </w:rPr>
        <w:t>Summary</w:t>
      </w:r>
      <w:r>
        <w:rPr>
          <w:b/>
          <w:spacing w:val="-3"/>
          <w:sz w:val="24"/>
        </w:rPr>
        <w:t> </w:t>
      </w:r>
      <w:r>
        <w:rPr>
          <w:sz w:val="24"/>
        </w:rPr>
        <w:t>–</w:t>
      </w:r>
      <w:r>
        <w:rPr>
          <w:spacing w:val="-1"/>
          <w:sz w:val="24"/>
        </w:rPr>
        <w:t> </w:t>
      </w:r>
      <w:r>
        <w:rPr>
          <w:sz w:val="24"/>
        </w:rPr>
        <w:t>A</w:t>
      </w:r>
      <w:r>
        <w:rPr>
          <w:spacing w:val="-4"/>
          <w:sz w:val="24"/>
        </w:rPr>
        <w:t> </w:t>
      </w:r>
      <w:r>
        <w:rPr>
          <w:sz w:val="24"/>
        </w:rPr>
        <w:t>summary</w:t>
      </w:r>
      <w:r>
        <w:rPr>
          <w:spacing w:val="-8"/>
          <w:sz w:val="24"/>
        </w:rPr>
        <w:t> </w:t>
      </w:r>
      <w:r>
        <w:rPr>
          <w:sz w:val="24"/>
        </w:rPr>
        <w:t>of</w:t>
      </w:r>
      <w:r>
        <w:rPr>
          <w:spacing w:val="-4"/>
          <w:sz w:val="24"/>
        </w:rPr>
        <w:t> </w:t>
      </w:r>
      <w:r>
        <w:rPr>
          <w:sz w:val="24"/>
        </w:rPr>
        <w:t>the</w:t>
      </w:r>
      <w:r>
        <w:rPr>
          <w:spacing w:val="-4"/>
          <w:sz w:val="24"/>
        </w:rPr>
        <w:t> </w:t>
      </w:r>
      <w:r>
        <w:rPr>
          <w:sz w:val="24"/>
        </w:rPr>
        <w:t>demonstration,</w:t>
      </w:r>
      <w:r>
        <w:rPr>
          <w:spacing w:val="-3"/>
          <w:sz w:val="24"/>
        </w:rPr>
        <w:t> </w:t>
      </w:r>
      <w:r>
        <w:rPr>
          <w:sz w:val="24"/>
        </w:rPr>
        <w:t>the</w:t>
      </w:r>
      <w:r>
        <w:rPr>
          <w:spacing w:val="-4"/>
          <w:sz w:val="24"/>
        </w:rPr>
        <w:t> </w:t>
      </w:r>
      <w:r>
        <w:rPr>
          <w:sz w:val="24"/>
        </w:rPr>
        <w:t>principal</w:t>
      </w:r>
      <w:r>
        <w:rPr>
          <w:spacing w:val="-3"/>
          <w:sz w:val="24"/>
        </w:rPr>
        <w:t> </w:t>
      </w:r>
      <w:r>
        <w:rPr>
          <w:sz w:val="24"/>
        </w:rPr>
        <w:t>results, interpretations, and recommendations of the evaluation.</w:t>
      </w:r>
    </w:p>
    <w:p>
      <w:pPr>
        <w:spacing w:after="0" w:line="240" w:lineRule="auto"/>
        <w:jc w:val="left"/>
        <w:rPr>
          <w:sz w:val="24"/>
        </w:rPr>
        <w:sectPr>
          <w:pgSz w:w="12240" w:h="15840"/>
          <w:pgMar w:header="0" w:footer="971" w:top="640" w:bottom="1160" w:left="220" w:right="340"/>
        </w:sectPr>
      </w:pPr>
    </w:p>
    <w:p>
      <w:pPr>
        <w:spacing w:before="80"/>
        <w:ind w:left="1220" w:right="0" w:firstLine="0"/>
        <w:jc w:val="left"/>
        <w:rPr>
          <w:sz w:val="20"/>
        </w:rPr>
      </w:pPr>
      <w:r>
        <w:rPr>
          <w:spacing w:val="-2"/>
          <w:sz w:val="20"/>
        </w:rPr>
        <w:t>Attachment</w:t>
      </w:r>
      <w:r>
        <w:rPr>
          <w:spacing w:val="6"/>
          <w:sz w:val="20"/>
        </w:rPr>
        <w:t> </w:t>
      </w:r>
      <w:r>
        <w:rPr>
          <w:spacing w:val="-10"/>
          <w:sz w:val="20"/>
        </w:rPr>
        <w:t>B</w:t>
      </w:r>
    </w:p>
    <w:p>
      <w:pPr>
        <w:pStyle w:val="BodyText"/>
        <w:rPr>
          <w:sz w:val="20"/>
        </w:rPr>
      </w:pPr>
    </w:p>
    <w:p>
      <w:pPr>
        <w:pStyle w:val="BodyText"/>
        <w:rPr>
          <w:sz w:val="20"/>
        </w:rPr>
      </w:pPr>
    </w:p>
    <w:p>
      <w:pPr>
        <w:pStyle w:val="BodyText"/>
        <w:spacing w:before="8"/>
        <w:rPr>
          <w:sz w:val="18"/>
        </w:rPr>
      </w:pPr>
    </w:p>
    <w:p>
      <w:pPr>
        <w:pStyle w:val="ListParagraph"/>
        <w:numPr>
          <w:ilvl w:val="0"/>
          <w:numId w:val="55"/>
        </w:numPr>
        <w:tabs>
          <w:tab w:pos="1940" w:val="left" w:leader="none"/>
        </w:tabs>
        <w:spacing w:line="240" w:lineRule="auto" w:before="90" w:after="0"/>
        <w:ind w:left="1940" w:right="1152" w:hanging="360"/>
        <w:jc w:val="left"/>
        <w:rPr>
          <w:sz w:val="24"/>
        </w:rPr>
      </w:pPr>
      <w:bookmarkStart w:name="B. General Background Information about " w:id="1167"/>
      <w:bookmarkEnd w:id="1167"/>
      <w:r>
        <w:rPr/>
      </w:r>
      <w:r>
        <w:rPr>
          <w:b/>
          <w:sz w:val="24"/>
        </w:rPr>
        <w:t>General</w:t>
      </w:r>
      <w:r>
        <w:rPr>
          <w:b/>
          <w:spacing w:val="-4"/>
          <w:sz w:val="24"/>
        </w:rPr>
        <w:t> </w:t>
      </w:r>
      <w:r>
        <w:rPr>
          <w:b/>
          <w:sz w:val="24"/>
        </w:rPr>
        <w:t>Background</w:t>
      </w:r>
      <w:r>
        <w:rPr>
          <w:b/>
          <w:spacing w:val="-4"/>
          <w:sz w:val="24"/>
        </w:rPr>
        <w:t> </w:t>
      </w:r>
      <w:r>
        <w:rPr>
          <w:b/>
          <w:sz w:val="24"/>
        </w:rPr>
        <w:t>Information</w:t>
      </w:r>
      <w:r>
        <w:rPr>
          <w:b/>
          <w:spacing w:val="-4"/>
          <w:sz w:val="24"/>
        </w:rPr>
        <w:t> </w:t>
      </w:r>
      <w:r>
        <w:rPr>
          <w:b/>
          <w:sz w:val="24"/>
        </w:rPr>
        <w:t>about</w:t>
      </w:r>
      <w:r>
        <w:rPr>
          <w:b/>
          <w:spacing w:val="-5"/>
          <w:sz w:val="24"/>
        </w:rPr>
        <w:t> </w:t>
      </w:r>
      <w:r>
        <w:rPr>
          <w:b/>
          <w:sz w:val="24"/>
        </w:rPr>
        <w:t>the</w:t>
      </w:r>
      <w:r>
        <w:rPr>
          <w:b/>
          <w:spacing w:val="-5"/>
          <w:sz w:val="24"/>
        </w:rPr>
        <w:t> </w:t>
      </w:r>
      <w:r>
        <w:rPr>
          <w:b/>
          <w:sz w:val="24"/>
        </w:rPr>
        <w:t>Demonstration</w:t>
      </w:r>
      <w:r>
        <w:rPr>
          <w:b/>
          <w:spacing w:val="-3"/>
          <w:sz w:val="24"/>
        </w:rPr>
        <w:t> </w:t>
      </w:r>
      <w:r>
        <w:rPr>
          <w:sz w:val="24"/>
        </w:rPr>
        <w:t>–</w:t>
      </w:r>
      <w:r>
        <w:rPr>
          <w:spacing w:val="-2"/>
          <w:sz w:val="24"/>
        </w:rPr>
        <w:t> </w:t>
      </w:r>
      <w:r>
        <w:rPr>
          <w:sz w:val="24"/>
        </w:rPr>
        <w:t>In</w:t>
      </w:r>
      <w:r>
        <w:rPr>
          <w:spacing w:val="-4"/>
          <w:sz w:val="24"/>
        </w:rPr>
        <w:t> </w:t>
      </w:r>
      <w:r>
        <w:rPr>
          <w:sz w:val="24"/>
        </w:rPr>
        <w:t>this</w:t>
      </w:r>
      <w:r>
        <w:rPr>
          <w:spacing w:val="-4"/>
          <w:sz w:val="24"/>
        </w:rPr>
        <w:t> </w:t>
      </w:r>
      <w:r>
        <w:rPr>
          <w:sz w:val="24"/>
        </w:rPr>
        <w:t>section,</w:t>
      </w:r>
      <w:r>
        <w:rPr>
          <w:spacing w:val="-4"/>
          <w:sz w:val="24"/>
        </w:rPr>
        <w:t> </w:t>
      </w:r>
      <w:r>
        <w:rPr>
          <w:sz w:val="24"/>
        </w:rPr>
        <w:t>the</w:t>
      </w:r>
      <w:r>
        <w:rPr>
          <w:spacing w:val="-5"/>
          <w:sz w:val="24"/>
        </w:rPr>
        <w:t> </w:t>
      </w:r>
      <w:r>
        <w:rPr>
          <w:sz w:val="24"/>
        </w:rPr>
        <w:t>state should include basic information about the demonstration, such as:</w:t>
      </w:r>
    </w:p>
    <w:p>
      <w:pPr>
        <w:pStyle w:val="ListParagraph"/>
        <w:numPr>
          <w:ilvl w:val="1"/>
          <w:numId w:val="55"/>
        </w:numPr>
        <w:tabs>
          <w:tab w:pos="2211" w:val="left" w:leader="none"/>
        </w:tabs>
        <w:spacing w:line="240" w:lineRule="auto" w:before="60" w:after="0"/>
        <w:ind w:left="2211" w:right="1080" w:hanging="360"/>
        <w:jc w:val="left"/>
        <w:rPr>
          <w:sz w:val="24"/>
        </w:rPr>
      </w:pPr>
      <w:r>
        <w:rPr>
          <w:sz w:val="24"/>
        </w:rPr>
        <w:t>The</w:t>
      </w:r>
      <w:r>
        <w:rPr>
          <w:spacing w:val="-4"/>
          <w:sz w:val="24"/>
        </w:rPr>
        <w:t> </w:t>
      </w:r>
      <w:r>
        <w:rPr>
          <w:sz w:val="24"/>
        </w:rPr>
        <w:t>issue/s</w:t>
      </w:r>
      <w:r>
        <w:rPr>
          <w:spacing w:val="-3"/>
          <w:sz w:val="24"/>
        </w:rPr>
        <w:t> </w:t>
      </w:r>
      <w:r>
        <w:rPr>
          <w:sz w:val="24"/>
        </w:rPr>
        <w:t>that</w:t>
      </w:r>
      <w:r>
        <w:rPr>
          <w:spacing w:val="-3"/>
          <w:sz w:val="24"/>
        </w:rPr>
        <w:t> </w:t>
      </w:r>
      <w:r>
        <w:rPr>
          <w:sz w:val="24"/>
        </w:rPr>
        <w:t>the</w:t>
      </w:r>
      <w:r>
        <w:rPr>
          <w:spacing w:val="-4"/>
          <w:sz w:val="24"/>
        </w:rPr>
        <w:t> </w:t>
      </w:r>
      <w:r>
        <w:rPr>
          <w:sz w:val="24"/>
        </w:rPr>
        <w:t>state</w:t>
      </w:r>
      <w:r>
        <w:rPr>
          <w:spacing w:val="-2"/>
          <w:sz w:val="24"/>
        </w:rPr>
        <w:t> </w:t>
      </w:r>
      <w:r>
        <w:rPr>
          <w:sz w:val="24"/>
        </w:rPr>
        <w:t>is</w:t>
      </w:r>
      <w:r>
        <w:rPr>
          <w:spacing w:val="-3"/>
          <w:sz w:val="24"/>
        </w:rPr>
        <w:t> </w:t>
      </w:r>
      <w:r>
        <w:rPr>
          <w:sz w:val="24"/>
        </w:rPr>
        <w:t>trying</w:t>
      </w:r>
      <w:r>
        <w:rPr>
          <w:spacing w:val="-6"/>
          <w:sz w:val="24"/>
        </w:rPr>
        <w:t> </w:t>
      </w:r>
      <w:r>
        <w:rPr>
          <w:sz w:val="24"/>
        </w:rPr>
        <w:t>to</w:t>
      </w:r>
      <w:r>
        <w:rPr>
          <w:spacing w:val="-3"/>
          <w:sz w:val="24"/>
        </w:rPr>
        <w:t> </w:t>
      </w:r>
      <w:r>
        <w:rPr>
          <w:sz w:val="24"/>
        </w:rPr>
        <w:t>address</w:t>
      </w:r>
      <w:r>
        <w:rPr>
          <w:spacing w:val="-1"/>
          <w:sz w:val="24"/>
        </w:rPr>
        <w:t> </w:t>
      </w:r>
      <w:r>
        <w:rPr>
          <w:sz w:val="24"/>
        </w:rPr>
        <w:t>with</w:t>
      </w:r>
      <w:r>
        <w:rPr>
          <w:spacing w:val="-3"/>
          <w:sz w:val="24"/>
        </w:rPr>
        <w:t> </w:t>
      </w:r>
      <w:r>
        <w:rPr>
          <w:sz w:val="24"/>
        </w:rPr>
        <w:t>its</w:t>
      </w:r>
      <w:r>
        <w:rPr>
          <w:spacing w:val="-3"/>
          <w:sz w:val="24"/>
        </w:rPr>
        <w:t> </w:t>
      </w:r>
      <w:r>
        <w:rPr>
          <w:sz w:val="24"/>
        </w:rPr>
        <w:t>section</w:t>
      </w:r>
      <w:r>
        <w:rPr>
          <w:spacing w:val="-3"/>
          <w:sz w:val="24"/>
        </w:rPr>
        <w:t> </w:t>
      </w:r>
      <w:r>
        <w:rPr>
          <w:sz w:val="24"/>
        </w:rPr>
        <w:t>1115</w:t>
      </w:r>
      <w:r>
        <w:rPr>
          <w:spacing w:val="-3"/>
          <w:sz w:val="24"/>
        </w:rPr>
        <w:t> </w:t>
      </w:r>
      <w:r>
        <w:rPr>
          <w:sz w:val="24"/>
        </w:rPr>
        <w:t>demonstration</w:t>
      </w:r>
      <w:r>
        <w:rPr>
          <w:spacing w:val="-3"/>
          <w:sz w:val="24"/>
        </w:rPr>
        <w:t> </w:t>
      </w:r>
      <w:r>
        <w:rPr>
          <w:sz w:val="24"/>
        </w:rPr>
        <w:t>and/or expenditure authorities, how the state became aware of the issue, the potential magnitude of the issue, and why the state selected this course of action to address the </w:t>
      </w:r>
      <w:r>
        <w:rPr>
          <w:spacing w:val="-2"/>
          <w:sz w:val="24"/>
        </w:rPr>
        <w:t>issues.</w:t>
      </w:r>
    </w:p>
    <w:p>
      <w:pPr>
        <w:pStyle w:val="ListParagraph"/>
        <w:numPr>
          <w:ilvl w:val="1"/>
          <w:numId w:val="55"/>
        </w:numPr>
        <w:tabs>
          <w:tab w:pos="2211" w:val="left" w:leader="none"/>
        </w:tabs>
        <w:spacing w:line="240" w:lineRule="auto" w:before="60" w:after="0"/>
        <w:ind w:left="2211" w:right="1116" w:hanging="360"/>
        <w:jc w:val="left"/>
        <w:rPr>
          <w:sz w:val="24"/>
        </w:rPr>
      </w:pPr>
      <w:bookmarkStart w:name="2. The name of the demonstration, approv" w:id="1168"/>
      <w:bookmarkEnd w:id="1168"/>
      <w:r>
        <w:rPr/>
      </w:r>
      <w:r>
        <w:rPr>
          <w:sz w:val="24"/>
        </w:rPr>
        <w:t>The</w:t>
      </w:r>
      <w:r>
        <w:rPr>
          <w:spacing w:val="-4"/>
          <w:sz w:val="24"/>
        </w:rPr>
        <w:t> </w:t>
      </w:r>
      <w:r>
        <w:rPr>
          <w:sz w:val="24"/>
        </w:rPr>
        <w:t>name</w:t>
      </w:r>
      <w:r>
        <w:rPr>
          <w:spacing w:val="-4"/>
          <w:sz w:val="24"/>
        </w:rPr>
        <w:t> </w:t>
      </w:r>
      <w:r>
        <w:rPr>
          <w:sz w:val="24"/>
        </w:rPr>
        <w:t>of</w:t>
      </w:r>
      <w:r>
        <w:rPr>
          <w:spacing w:val="-4"/>
          <w:sz w:val="24"/>
        </w:rPr>
        <w:t> </w:t>
      </w:r>
      <w:r>
        <w:rPr>
          <w:sz w:val="24"/>
        </w:rPr>
        <w:t>the</w:t>
      </w:r>
      <w:r>
        <w:rPr>
          <w:spacing w:val="-4"/>
          <w:sz w:val="24"/>
        </w:rPr>
        <w:t> </w:t>
      </w:r>
      <w:r>
        <w:rPr>
          <w:sz w:val="24"/>
        </w:rPr>
        <w:t>demonstration,</w:t>
      </w:r>
      <w:r>
        <w:rPr>
          <w:spacing w:val="-3"/>
          <w:sz w:val="24"/>
        </w:rPr>
        <w:t> </w:t>
      </w:r>
      <w:r>
        <w:rPr>
          <w:sz w:val="24"/>
        </w:rPr>
        <w:t>approval</w:t>
      </w:r>
      <w:r>
        <w:rPr>
          <w:spacing w:val="-3"/>
          <w:sz w:val="24"/>
        </w:rPr>
        <w:t> </w:t>
      </w:r>
      <w:r>
        <w:rPr>
          <w:sz w:val="24"/>
        </w:rPr>
        <w:t>date</w:t>
      </w:r>
      <w:r>
        <w:rPr>
          <w:spacing w:val="-4"/>
          <w:sz w:val="24"/>
        </w:rPr>
        <w:t> </w:t>
      </w:r>
      <w:r>
        <w:rPr>
          <w:sz w:val="24"/>
        </w:rPr>
        <w:t>of</w:t>
      </w:r>
      <w:r>
        <w:rPr>
          <w:spacing w:val="-4"/>
          <w:sz w:val="24"/>
        </w:rPr>
        <w:t> </w:t>
      </w:r>
      <w:r>
        <w:rPr>
          <w:sz w:val="24"/>
        </w:rPr>
        <w:t>the</w:t>
      </w:r>
      <w:r>
        <w:rPr>
          <w:spacing w:val="-4"/>
          <w:sz w:val="24"/>
        </w:rPr>
        <w:t> </w:t>
      </w:r>
      <w:r>
        <w:rPr>
          <w:sz w:val="24"/>
        </w:rPr>
        <w:t>demonstration,</w:t>
      </w:r>
      <w:r>
        <w:rPr>
          <w:spacing w:val="-3"/>
          <w:sz w:val="24"/>
        </w:rPr>
        <w:t> </w:t>
      </w:r>
      <w:r>
        <w:rPr>
          <w:sz w:val="24"/>
        </w:rPr>
        <w:t>and</w:t>
      </w:r>
      <w:r>
        <w:rPr>
          <w:spacing w:val="-3"/>
          <w:sz w:val="24"/>
        </w:rPr>
        <w:t> </w:t>
      </w:r>
      <w:r>
        <w:rPr>
          <w:sz w:val="24"/>
        </w:rPr>
        <w:t>period</w:t>
      </w:r>
      <w:r>
        <w:rPr>
          <w:spacing w:val="-3"/>
          <w:sz w:val="24"/>
        </w:rPr>
        <w:t> </w:t>
      </w:r>
      <w:r>
        <w:rPr>
          <w:sz w:val="24"/>
        </w:rPr>
        <w:t>of</w:t>
      </w:r>
      <w:r>
        <w:rPr>
          <w:spacing w:val="-4"/>
          <w:sz w:val="24"/>
        </w:rPr>
        <w:t> </w:t>
      </w:r>
      <w:r>
        <w:rPr>
          <w:sz w:val="24"/>
        </w:rPr>
        <w:t>time covered by the evaluation.</w:t>
      </w:r>
    </w:p>
    <w:p>
      <w:pPr>
        <w:pStyle w:val="ListParagraph"/>
        <w:numPr>
          <w:ilvl w:val="1"/>
          <w:numId w:val="55"/>
        </w:numPr>
        <w:tabs>
          <w:tab w:pos="2211" w:val="left" w:leader="none"/>
        </w:tabs>
        <w:spacing w:line="240" w:lineRule="auto" w:before="60" w:after="0"/>
        <w:ind w:left="2211" w:right="0" w:hanging="360"/>
        <w:jc w:val="left"/>
        <w:rPr>
          <w:sz w:val="24"/>
        </w:rPr>
      </w:pPr>
      <w:r>
        <w:rPr>
          <w:sz w:val="24"/>
        </w:rPr>
        <w:t>A</w:t>
      </w:r>
      <w:r>
        <w:rPr>
          <w:spacing w:val="-4"/>
          <w:sz w:val="24"/>
        </w:rPr>
        <w:t> </w:t>
      </w:r>
      <w:r>
        <w:rPr>
          <w:sz w:val="24"/>
        </w:rPr>
        <w:t>description</w:t>
      </w:r>
      <w:r>
        <w:rPr>
          <w:spacing w:val="-1"/>
          <w:sz w:val="24"/>
        </w:rPr>
        <w:t> </w:t>
      </w:r>
      <w:r>
        <w:rPr>
          <w:sz w:val="24"/>
        </w:rPr>
        <w:t>of</w:t>
      </w:r>
      <w:r>
        <w:rPr>
          <w:spacing w:val="-2"/>
          <w:sz w:val="24"/>
        </w:rPr>
        <w:t> </w:t>
      </w:r>
      <w:r>
        <w:rPr>
          <w:sz w:val="24"/>
        </w:rPr>
        <w:t>the</w:t>
      </w:r>
      <w:r>
        <w:rPr>
          <w:spacing w:val="-2"/>
          <w:sz w:val="24"/>
        </w:rPr>
        <w:t> </w:t>
      </w:r>
      <w:r>
        <w:rPr>
          <w:sz w:val="24"/>
        </w:rPr>
        <w:t>population</w:t>
      </w:r>
      <w:r>
        <w:rPr>
          <w:spacing w:val="-1"/>
          <w:sz w:val="24"/>
        </w:rPr>
        <w:t> </w:t>
      </w:r>
      <w:r>
        <w:rPr>
          <w:sz w:val="24"/>
        </w:rPr>
        <w:t>groups</w:t>
      </w:r>
      <w:r>
        <w:rPr>
          <w:spacing w:val="-1"/>
          <w:sz w:val="24"/>
        </w:rPr>
        <w:t> </w:t>
      </w:r>
      <w:r>
        <w:rPr>
          <w:sz w:val="24"/>
        </w:rPr>
        <w:t>impacted</w:t>
      </w:r>
      <w:r>
        <w:rPr>
          <w:spacing w:val="-1"/>
          <w:sz w:val="24"/>
        </w:rPr>
        <w:t> </w:t>
      </w:r>
      <w:r>
        <w:rPr>
          <w:sz w:val="24"/>
        </w:rPr>
        <w:t>by</w:t>
      </w:r>
      <w:r>
        <w:rPr>
          <w:spacing w:val="-4"/>
          <w:sz w:val="24"/>
        </w:rPr>
        <w:t> </w:t>
      </w:r>
      <w:r>
        <w:rPr>
          <w:sz w:val="24"/>
        </w:rPr>
        <w:t>the</w:t>
      </w:r>
      <w:r>
        <w:rPr>
          <w:spacing w:val="-1"/>
          <w:sz w:val="24"/>
        </w:rPr>
        <w:t> </w:t>
      </w:r>
      <w:r>
        <w:rPr>
          <w:spacing w:val="-2"/>
          <w:sz w:val="24"/>
        </w:rPr>
        <w:t>demonstration.</w:t>
      </w:r>
    </w:p>
    <w:p>
      <w:pPr>
        <w:pStyle w:val="ListParagraph"/>
        <w:numPr>
          <w:ilvl w:val="1"/>
          <w:numId w:val="55"/>
        </w:numPr>
        <w:tabs>
          <w:tab w:pos="2211" w:val="left" w:leader="none"/>
        </w:tabs>
        <w:spacing w:line="240" w:lineRule="auto" w:before="60" w:after="0"/>
        <w:ind w:left="2211" w:right="1001" w:hanging="360"/>
        <w:jc w:val="left"/>
        <w:rPr>
          <w:sz w:val="24"/>
        </w:rPr>
      </w:pPr>
      <w:r>
        <w:rPr>
          <w:sz w:val="24"/>
        </w:rPr>
        <w:t>A brief description of the demonstration and history of the implementation, and if the evaluation</w:t>
      </w:r>
      <w:r>
        <w:rPr>
          <w:spacing w:val="-4"/>
          <w:sz w:val="24"/>
        </w:rPr>
        <w:t> </w:t>
      </w:r>
      <w:r>
        <w:rPr>
          <w:sz w:val="24"/>
        </w:rPr>
        <w:t>is</w:t>
      </w:r>
      <w:r>
        <w:rPr>
          <w:spacing w:val="-4"/>
          <w:sz w:val="24"/>
        </w:rPr>
        <w:t> </w:t>
      </w:r>
      <w:r>
        <w:rPr>
          <w:sz w:val="24"/>
        </w:rPr>
        <w:t>for</w:t>
      </w:r>
      <w:r>
        <w:rPr>
          <w:spacing w:val="-5"/>
          <w:sz w:val="24"/>
        </w:rPr>
        <w:t> </w:t>
      </w:r>
      <w:r>
        <w:rPr>
          <w:sz w:val="24"/>
        </w:rPr>
        <w:t>an</w:t>
      </w:r>
      <w:r>
        <w:rPr>
          <w:spacing w:val="-2"/>
          <w:sz w:val="24"/>
        </w:rPr>
        <w:t> </w:t>
      </w:r>
      <w:r>
        <w:rPr>
          <w:sz w:val="24"/>
        </w:rPr>
        <w:t>amendment,</w:t>
      </w:r>
      <w:r>
        <w:rPr>
          <w:spacing w:val="-4"/>
          <w:sz w:val="24"/>
        </w:rPr>
        <w:t> </w:t>
      </w:r>
      <w:r>
        <w:rPr>
          <w:sz w:val="24"/>
        </w:rPr>
        <w:t>extension,</w:t>
      </w:r>
      <w:r>
        <w:rPr>
          <w:spacing w:val="-4"/>
          <w:sz w:val="24"/>
        </w:rPr>
        <w:t> </w:t>
      </w:r>
      <w:r>
        <w:rPr>
          <w:sz w:val="24"/>
        </w:rPr>
        <w:t>renewal,</w:t>
      </w:r>
      <w:r>
        <w:rPr>
          <w:spacing w:val="-4"/>
          <w:sz w:val="24"/>
        </w:rPr>
        <w:t> </w:t>
      </w:r>
      <w:r>
        <w:rPr>
          <w:sz w:val="24"/>
        </w:rPr>
        <w:t>or</w:t>
      </w:r>
      <w:r>
        <w:rPr>
          <w:spacing w:val="-5"/>
          <w:sz w:val="24"/>
        </w:rPr>
        <w:t> </w:t>
      </w:r>
      <w:r>
        <w:rPr>
          <w:sz w:val="24"/>
        </w:rPr>
        <w:t>expansion</w:t>
      </w:r>
      <w:r>
        <w:rPr>
          <w:spacing w:val="-4"/>
          <w:sz w:val="24"/>
        </w:rPr>
        <w:t> </w:t>
      </w:r>
      <w:r>
        <w:rPr>
          <w:sz w:val="24"/>
        </w:rPr>
        <w:t>of,</w:t>
      </w:r>
      <w:r>
        <w:rPr>
          <w:spacing w:val="-4"/>
          <w:sz w:val="24"/>
        </w:rPr>
        <w:t> </w:t>
      </w:r>
      <w:r>
        <w:rPr>
          <w:sz w:val="24"/>
        </w:rPr>
        <w:t>the</w:t>
      </w:r>
      <w:r>
        <w:rPr>
          <w:spacing w:val="-5"/>
          <w:sz w:val="24"/>
        </w:rPr>
        <w:t> </w:t>
      </w:r>
      <w:r>
        <w:rPr>
          <w:sz w:val="24"/>
        </w:rPr>
        <w:t>demonstration.</w:t>
      </w:r>
    </w:p>
    <w:p>
      <w:pPr>
        <w:pStyle w:val="ListParagraph"/>
        <w:numPr>
          <w:ilvl w:val="1"/>
          <w:numId w:val="55"/>
        </w:numPr>
        <w:tabs>
          <w:tab w:pos="2211" w:val="left" w:leader="none"/>
        </w:tabs>
        <w:spacing w:line="240" w:lineRule="auto" w:before="60" w:after="0"/>
        <w:ind w:left="2211" w:right="1307" w:hanging="360"/>
        <w:jc w:val="left"/>
        <w:rPr>
          <w:sz w:val="24"/>
        </w:rPr>
      </w:pPr>
      <w:r>
        <w:rPr>
          <w:sz w:val="24"/>
        </w:rPr>
        <w:t>For renewals, amendments, and major operational changes:</w:t>
      </w:r>
      <w:r>
        <w:rPr>
          <w:spacing w:val="40"/>
          <w:sz w:val="24"/>
        </w:rPr>
        <w:t> </w:t>
      </w:r>
      <w:r>
        <w:rPr>
          <w:sz w:val="24"/>
        </w:rPr>
        <w:t>A description of any changes to the demonstration during</w:t>
      </w:r>
      <w:r>
        <w:rPr>
          <w:spacing w:val="-2"/>
          <w:sz w:val="24"/>
        </w:rPr>
        <w:t> </w:t>
      </w:r>
      <w:r>
        <w:rPr>
          <w:sz w:val="24"/>
        </w:rPr>
        <w:t>the approval period; whether the motivation for change was due to political, economic, and fiscal factors at the state and/or federal level; whether the programmatic changes were implemented to improve beneficiary health, provider/health plan performance, or administrative efficiency; and how the Evaluation</w:t>
      </w:r>
      <w:r>
        <w:rPr>
          <w:spacing w:val="-4"/>
          <w:sz w:val="24"/>
        </w:rPr>
        <w:t> </w:t>
      </w:r>
      <w:r>
        <w:rPr>
          <w:sz w:val="24"/>
        </w:rPr>
        <w:t>Design</w:t>
      </w:r>
      <w:r>
        <w:rPr>
          <w:spacing w:val="-4"/>
          <w:sz w:val="24"/>
        </w:rPr>
        <w:t> </w:t>
      </w:r>
      <w:r>
        <w:rPr>
          <w:sz w:val="24"/>
        </w:rPr>
        <w:t>was</w:t>
      </w:r>
      <w:r>
        <w:rPr>
          <w:spacing w:val="-4"/>
          <w:sz w:val="24"/>
        </w:rPr>
        <w:t> </w:t>
      </w:r>
      <w:r>
        <w:rPr>
          <w:sz w:val="24"/>
        </w:rPr>
        <w:t>altered</w:t>
      </w:r>
      <w:r>
        <w:rPr>
          <w:spacing w:val="-4"/>
          <w:sz w:val="24"/>
        </w:rPr>
        <w:t> </w:t>
      </w:r>
      <w:r>
        <w:rPr>
          <w:sz w:val="24"/>
        </w:rPr>
        <w:t>or</w:t>
      </w:r>
      <w:r>
        <w:rPr>
          <w:spacing w:val="-3"/>
          <w:sz w:val="24"/>
        </w:rPr>
        <w:t> </w:t>
      </w:r>
      <w:r>
        <w:rPr>
          <w:sz w:val="24"/>
        </w:rPr>
        <w:t>augmented</w:t>
      </w:r>
      <w:r>
        <w:rPr>
          <w:spacing w:val="-4"/>
          <w:sz w:val="24"/>
        </w:rPr>
        <w:t> </w:t>
      </w:r>
      <w:r>
        <w:rPr>
          <w:sz w:val="24"/>
        </w:rPr>
        <w:t>to</w:t>
      </w:r>
      <w:r>
        <w:rPr>
          <w:spacing w:val="-4"/>
          <w:sz w:val="24"/>
        </w:rPr>
        <w:t> </w:t>
      </w:r>
      <w:r>
        <w:rPr>
          <w:sz w:val="24"/>
        </w:rPr>
        <w:t>address</w:t>
      </w:r>
      <w:r>
        <w:rPr>
          <w:spacing w:val="-4"/>
          <w:sz w:val="24"/>
        </w:rPr>
        <w:t> </w:t>
      </w:r>
      <w:r>
        <w:rPr>
          <w:sz w:val="24"/>
        </w:rPr>
        <w:t>these</w:t>
      </w:r>
      <w:r>
        <w:rPr>
          <w:spacing w:val="-5"/>
          <w:sz w:val="24"/>
        </w:rPr>
        <w:t> </w:t>
      </w:r>
      <w:r>
        <w:rPr>
          <w:sz w:val="24"/>
        </w:rPr>
        <w:t>changes.</w:t>
      </w:r>
      <w:r>
        <w:rPr>
          <w:spacing w:val="40"/>
          <w:sz w:val="24"/>
        </w:rPr>
        <w:t> </w:t>
      </w:r>
      <w:r>
        <w:rPr>
          <w:sz w:val="24"/>
        </w:rPr>
        <w:t>Additionally, the state should explain how this Evaluation Report builds upon and expands earlier demonstration evaluation findings (if applicable).</w:t>
      </w:r>
    </w:p>
    <w:p>
      <w:pPr>
        <w:pStyle w:val="BodyText"/>
      </w:pPr>
    </w:p>
    <w:p>
      <w:pPr>
        <w:pStyle w:val="ListParagraph"/>
        <w:numPr>
          <w:ilvl w:val="0"/>
          <w:numId w:val="55"/>
        </w:numPr>
        <w:tabs>
          <w:tab w:pos="1939" w:val="left" w:leader="none"/>
        </w:tabs>
        <w:spacing w:line="240" w:lineRule="auto" w:before="0" w:after="0"/>
        <w:ind w:left="1939" w:right="0" w:hanging="359"/>
        <w:jc w:val="left"/>
        <w:rPr>
          <w:sz w:val="24"/>
        </w:rPr>
      </w:pPr>
      <w:bookmarkStart w:name="C. Evaluation Questions and Hypotheses –" w:id="1169"/>
      <w:bookmarkEnd w:id="1169"/>
      <w:r>
        <w:rPr/>
      </w:r>
      <w:r>
        <w:rPr>
          <w:b/>
          <w:sz w:val="24"/>
        </w:rPr>
        <w:t>Evaluation</w:t>
      </w:r>
      <w:r>
        <w:rPr>
          <w:b/>
          <w:spacing w:val="-4"/>
          <w:sz w:val="24"/>
        </w:rPr>
        <w:t> </w:t>
      </w:r>
      <w:r>
        <w:rPr>
          <w:b/>
          <w:sz w:val="24"/>
        </w:rPr>
        <w:t>Questions</w:t>
      </w:r>
      <w:r>
        <w:rPr>
          <w:b/>
          <w:spacing w:val="-2"/>
          <w:sz w:val="24"/>
        </w:rPr>
        <w:t> </w:t>
      </w:r>
      <w:r>
        <w:rPr>
          <w:b/>
          <w:sz w:val="24"/>
        </w:rPr>
        <w:t>and</w:t>
      </w:r>
      <w:r>
        <w:rPr>
          <w:b/>
          <w:spacing w:val="-2"/>
          <w:sz w:val="24"/>
        </w:rPr>
        <w:t> </w:t>
      </w:r>
      <w:r>
        <w:rPr>
          <w:b/>
          <w:sz w:val="24"/>
        </w:rPr>
        <w:t>Hypotheses</w:t>
      </w:r>
      <w:r>
        <w:rPr>
          <w:b/>
          <w:spacing w:val="-2"/>
          <w:sz w:val="24"/>
        </w:rPr>
        <w:t> </w:t>
      </w:r>
      <w:r>
        <w:rPr>
          <w:sz w:val="24"/>
        </w:rPr>
        <w:t>– In</w:t>
      </w:r>
      <w:r>
        <w:rPr>
          <w:spacing w:val="-1"/>
          <w:sz w:val="24"/>
        </w:rPr>
        <w:t> </w:t>
      </w:r>
      <w:r>
        <w:rPr>
          <w:sz w:val="24"/>
        </w:rPr>
        <w:t>this</w:t>
      </w:r>
      <w:r>
        <w:rPr>
          <w:spacing w:val="-2"/>
          <w:sz w:val="24"/>
        </w:rPr>
        <w:t> </w:t>
      </w:r>
      <w:r>
        <w:rPr>
          <w:sz w:val="24"/>
        </w:rPr>
        <w:t>section,</w:t>
      </w:r>
      <w:r>
        <w:rPr>
          <w:spacing w:val="-2"/>
          <w:sz w:val="24"/>
        </w:rPr>
        <w:t> </w:t>
      </w:r>
      <w:r>
        <w:rPr>
          <w:sz w:val="24"/>
        </w:rPr>
        <w:t>the</w:t>
      </w:r>
      <w:r>
        <w:rPr>
          <w:spacing w:val="-3"/>
          <w:sz w:val="24"/>
        </w:rPr>
        <w:t> </w:t>
      </w:r>
      <w:r>
        <w:rPr>
          <w:sz w:val="24"/>
        </w:rPr>
        <w:t>state</w:t>
      </w:r>
      <w:r>
        <w:rPr>
          <w:spacing w:val="-2"/>
          <w:sz w:val="24"/>
        </w:rPr>
        <w:t> should:</w:t>
      </w:r>
    </w:p>
    <w:p>
      <w:pPr>
        <w:pStyle w:val="ListParagraph"/>
        <w:numPr>
          <w:ilvl w:val="1"/>
          <w:numId w:val="55"/>
        </w:numPr>
        <w:tabs>
          <w:tab w:pos="2211" w:val="left" w:leader="none"/>
        </w:tabs>
        <w:spacing w:line="240" w:lineRule="auto" w:before="0" w:after="0"/>
        <w:ind w:left="2211" w:right="1361" w:hanging="360"/>
        <w:jc w:val="left"/>
        <w:rPr>
          <w:sz w:val="24"/>
        </w:rPr>
      </w:pPr>
      <w:r>
        <w:rPr>
          <w:sz w:val="24"/>
        </w:rPr>
        <w:t>Identify</w:t>
      </w:r>
      <w:r>
        <w:rPr>
          <w:spacing w:val="-8"/>
          <w:sz w:val="24"/>
        </w:rPr>
        <w:t> </w:t>
      </w:r>
      <w:r>
        <w:rPr>
          <w:sz w:val="24"/>
        </w:rPr>
        <w:t>the</w:t>
      </w:r>
      <w:r>
        <w:rPr>
          <w:spacing w:val="-4"/>
          <w:sz w:val="24"/>
        </w:rPr>
        <w:t> </w:t>
      </w:r>
      <w:r>
        <w:rPr>
          <w:sz w:val="24"/>
        </w:rPr>
        <w:t>state’s</w:t>
      </w:r>
      <w:r>
        <w:rPr>
          <w:spacing w:val="-3"/>
          <w:sz w:val="24"/>
        </w:rPr>
        <w:t> </w:t>
      </w:r>
      <w:r>
        <w:rPr>
          <w:sz w:val="24"/>
        </w:rPr>
        <w:t>hypotheses</w:t>
      </w:r>
      <w:r>
        <w:rPr>
          <w:spacing w:val="-3"/>
          <w:sz w:val="24"/>
        </w:rPr>
        <w:t> </w:t>
      </w:r>
      <w:r>
        <w:rPr>
          <w:sz w:val="24"/>
        </w:rPr>
        <w:t>about</w:t>
      </w:r>
      <w:r>
        <w:rPr>
          <w:spacing w:val="-3"/>
          <w:sz w:val="24"/>
        </w:rPr>
        <w:t> </w:t>
      </w:r>
      <w:r>
        <w:rPr>
          <w:sz w:val="24"/>
        </w:rPr>
        <w:t>the</w:t>
      </w:r>
      <w:r>
        <w:rPr>
          <w:spacing w:val="-4"/>
          <w:sz w:val="24"/>
        </w:rPr>
        <w:t> </w:t>
      </w:r>
      <w:r>
        <w:rPr>
          <w:sz w:val="24"/>
        </w:rPr>
        <w:t>outcomes</w:t>
      </w:r>
      <w:r>
        <w:rPr>
          <w:spacing w:val="-1"/>
          <w:sz w:val="24"/>
        </w:rPr>
        <w:t> </w:t>
      </w:r>
      <w:r>
        <w:rPr>
          <w:sz w:val="24"/>
        </w:rPr>
        <w:t>of</w:t>
      </w:r>
      <w:r>
        <w:rPr>
          <w:spacing w:val="-4"/>
          <w:sz w:val="24"/>
        </w:rPr>
        <w:t> </w:t>
      </w:r>
      <w:r>
        <w:rPr>
          <w:sz w:val="24"/>
        </w:rPr>
        <w:t>the</w:t>
      </w:r>
      <w:r>
        <w:rPr>
          <w:spacing w:val="-4"/>
          <w:sz w:val="24"/>
        </w:rPr>
        <w:t> </w:t>
      </w:r>
      <w:r>
        <w:rPr>
          <w:sz w:val="24"/>
        </w:rPr>
        <w:t>demonstration,</w:t>
      </w:r>
      <w:r>
        <w:rPr>
          <w:spacing w:val="-3"/>
          <w:sz w:val="24"/>
        </w:rPr>
        <w:t> </w:t>
      </w:r>
      <w:r>
        <w:rPr>
          <w:sz w:val="24"/>
        </w:rPr>
        <w:t>and</w:t>
      </w:r>
      <w:r>
        <w:rPr>
          <w:spacing w:val="-3"/>
          <w:sz w:val="24"/>
        </w:rPr>
        <w:t> </w:t>
      </w:r>
      <w:r>
        <w:rPr>
          <w:sz w:val="24"/>
        </w:rPr>
        <w:t>discuss how the goals of the demonstration align with the evaluation questions and </w:t>
      </w:r>
      <w:r>
        <w:rPr>
          <w:spacing w:val="-2"/>
          <w:sz w:val="24"/>
        </w:rPr>
        <w:t>hypotheses.</w:t>
      </w:r>
    </w:p>
    <w:p>
      <w:pPr>
        <w:pStyle w:val="ListParagraph"/>
        <w:numPr>
          <w:ilvl w:val="1"/>
          <w:numId w:val="55"/>
        </w:numPr>
        <w:tabs>
          <w:tab w:pos="2211" w:val="left" w:leader="none"/>
        </w:tabs>
        <w:spacing w:line="240" w:lineRule="auto" w:before="60" w:after="0"/>
        <w:ind w:left="2211" w:right="1461" w:hanging="360"/>
        <w:jc w:val="left"/>
        <w:rPr>
          <w:sz w:val="24"/>
        </w:rPr>
      </w:pPr>
      <w:r>
        <w:rPr>
          <w:sz w:val="24"/>
        </w:rPr>
        <w:t>Address</w:t>
      </w:r>
      <w:r>
        <w:rPr>
          <w:spacing w:val="-4"/>
          <w:sz w:val="24"/>
        </w:rPr>
        <w:t> </w:t>
      </w:r>
      <w:r>
        <w:rPr>
          <w:sz w:val="24"/>
        </w:rPr>
        <w:t>how</w:t>
      </w:r>
      <w:r>
        <w:rPr>
          <w:spacing w:val="-5"/>
          <w:sz w:val="24"/>
        </w:rPr>
        <w:t> </w:t>
      </w:r>
      <w:r>
        <w:rPr>
          <w:sz w:val="24"/>
        </w:rPr>
        <w:t>the</w:t>
      </w:r>
      <w:r>
        <w:rPr>
          <w:spacing w:val="-5"/>
          <w:sz w:val="24"/>
        </w:rPr>
        <w:t> </w:t>
      </w:r>
      <w:r>
        <w:rPr>
          <w:sz w:val="24"/>
        </w:rPr>
        <w:t>research</w:t>
      </w:r>
      <w:r>
        <w:rPr>
          <w:spacing w:val="-4"/>
          <w:sz w:val="24"/>
        </w:rPr>
        <w:t> </w:t>
      </w:r>
      <w:r>
        <w:rPr>
          <w:sz w:val="24"/>
        </w:rPr>
        <w:t>questions</w:t>
      </w:r>
      <w:r>
        <w:rPr>
          <w:spacing w:val="-4"/>
          <w:sz w:val="24"/>
        </w:rPr>
        <w:t> </w:t>
      </w:r>
      <w:r>
        <w:rPr>
          <w:sz w:val="24"/>
        </w:rPr>
        <w:t>/</w:t>
      </w:r>
      <w:r>
        <w:rPr>
          <w:spacing w:val="-4"/>
          <w:sz w:val="24"/>
        </w:rPr>
        <w:t> </w:t>
      </w:r>
      <w:r>
        <w:rPr>
          <w:sz w:val="24"/>
        </w:rPr>
        <w:t>hypotheses</w:t>
      </w:r>
      <w:r>
        <w:rPr>
          <w:spacing w:val="-2"/>
          <w:sz w:val="24"/>
        </w:rPr>
        <w:t> </w:t>
      </w:r>
      <w:r>
        <w:rPr>
          <w:sz w:val="24"/>
        </w:rPr>
        <w:t>of</w:t>
      </w:r>
      <w:r>
        <w:rPr>
          <w:spacing w:val="-5"/>
          <w:sz w:val="24"/>
        </w:rPr>
        <w:t> </w:t>
      </w:r>
      <w:r>
        <w:rPr>
          <w:sz w:val="24"/>
        </w:rPr>
        <w:t>this</w:t>
      </w:r>
      <w:r>
        <w:rPr>
          <w:spacing w:val="-4"/>
          <w:sz w:val="24"/>
        </w:rPr>
        <w:t> </w:t>
      </w:r>
      <w:r>
        <w:rPr>
          <w:sz w:val="24"/>
        </w:rPr>
        <w:t>demonstration</w:t>
      </w:r>
      <w:r>
        <w:rPr>
          <w:spacing w:val="-4"/>
          <w:sz w:val="24"/>
        </w:rPr>
        <w:t> </w:t>
      </w:r>
      <w:r>
        <w:rPr>
          <w:sz w:val="24"/>
        </w:rPr>
        <w:t>promote</w:t>
      </w:r>
      <w:r>
        <w:rPr>
          <w:spacing w:val="-5"/>
          <w:sz w:val="24"/>
        </w:rPr>
        <w:t> </w:t>
      </w:r>
      <w:r>
        <w:rPr>
          <w:sz w:val="24"/>
        </w:rPr>
        <w:t>the objectives of Titles XIX and XXI.</w:t>
      </w:r>
    </w:p>
    <w:p>
      <w:pPr>
        <w:pStyle w:val="ListParagraph"/>
        <w:numPr>
          <w:ilvl w:val="1"/>
          <w:numId w:val="55"/>
        </w:numPr>
        <w:tabs>
          <w:tab w:pos="2211" w:val="left" w:leader="none"/>
        </w:tabs>
        <w:spacing w:line="240" w:lineRule="auto" w:before="61" w:after="0"/>
        <w:ind w:left="2211" w:right="1259" w:hanging="360"/>
        <w:jc w:val="left"/>
        <w:rPr>
          <w:sz w:val="24"/>
        </w:rPr>
      </w:pPr>
      <w:r>
        <w:rPr>
          <w:sz w:val="24"/>
        </w:rPr>
        <w:t>Describe</w:t>
      </w:r>
      <w:r>
        <w:rPr>
          <w:spacing w:val="-5"/>
          <w:sz w:val="24"/>
        </w:rPr>
        <w:t> </w:t>
      </w:r>
      <w:r>
        <w:rPr>
          <w:sz w:val="24"/>
        </w:rPr>
        <w:t>how</w:t>
      </w:r>
      <w:r>
        <w:rPr>
          <w:spacing w:val="-5"/>
          <w:sz w:val="24"/>
        </w:rPr>
        <w:t> </w:t>
      </w:r>
      <w:r>
        <w:rPr>
          <w:sz w:val="24"/>
        </w:rPr>
        <w:t>the</w:t>
      </w:r>
      <w:r>
        <w:rPr>
          <w:spacing w:val="-5"/>
          <w:sz w:val="24"/>
        </w:rPr>
        <w:t> </w:t>
      </w:r>
      <w:r>
        <w:rPr>
          <w:sz w:val="24"/>
        </w:rPr>
        <w:t>state’s</w:t>
      </w:r>
      <w:r>
        <w:rPr>
          <w:spacing w:val="-2"/>
          <w:sz w:val="24"/>
        </w:rPr>
        <w:t> </w:t>
      </w:r>
      <w:r>
        <w:rPr>
          <w:sz w:val="24"/>
        </w:rPr>
        <w:t>demonstration</w:t>
      </w:r>
      <w:r>
        <w:rPr>
          <w:spacing w:val="-4"/>
          <w:sz w:val="24"/>
        </w:rPr>
        <w:t> </w:t>
      </w:r>
      <w:r>
        <w:rPr>
          <w:sz w:val="24"/>
        </w:rPr>
        <w:t>goals</w:t>
      </w:r>
      <w:r>
        <w:rPr>
          <w:spacing w:val="-4"/>
          <w:sz w:val="24"/>
        </w:rPr>
        <w:t> </w:t>
      </w:r>
      <w:r>
        <w:rPr>
          <w:sz w:val="24"/>
        </w:rPr>
        <w:t>were</w:t>
      </w:r>
      <w:r>
        <w:rPr>
          <w:spacing w:val="-5"/>
          <w:sz w:val="24"/>
        </w:rPr>
        <w:t> </w:t>
      </w:r>
      <w:r>
        <w:rPr>
          <w:sz w:val="24"/>
        </w:rPr>
        <w:t>translated</w:t>
      </w:r>
      <w:r>
        <w:rPr>
          <w:spacing w:val="-4"/>
          <w:sz w:val="24"/>
        </w:rPr>
        <w:t> </w:t>
      </w:r>
      <w:r>
        <w:rPr>
          <w:sz w:val="24"/>
        </w:rPr>
        <w:t>into</w:t>
      </w:r>
      <w:r>
        <w:rPr>
          <w:spacing w:val="-4"/>
          <w:sz w:val="24"/>
        </w:rPr>
        <w:t> </w:t>
      </w:r>
      <w:r>
        <w:rPr>
          <w:sz w:val="24"/>
        </w:rPr>
        <w:t>quantifiable</w:t>
      </w:r>
      <w:r>
        <w:rPr>
          <w:spacing w:val="-5"/>
          <w:sz w:val="24"/>
        </w:rPr>
        <w:t> </w:t>
      </w:r>
      <w:r>
        <w:rPr>
          <w:sz w:val="24"/>
        </w:rPr>
        <w:t>targets for improvement, so that the performance of the demonstration in achieving these targets could be measured.</w:t>
      </w:r>
    </w:p>
    <w:p>
      <w:pPr>
        <w:pStyle w:val="ListParagraph"/>
        <w:numPr>
          <w:ilvl w:val="1"/>
          <w:numId w:val="55"/>
        </w:numPr>
        <w:tabs>
          <w:tab w:pos="2211" w:val="left" w:leader="none"/>
        </w:tabs>
        <w:spacing w:line="240" w:lineRule="auto" w:before="60" w:after="0"/>
        <w:ind w:left="2211" w:right="1352" w:hanging="360"/>
        <w:jc w:val="left"/>
        <w:rPr>
          <w:sz w:val="24"/>
        </w:rPr>
      </w:pPr>
      <w:r>
        <w:rPr>
          <w:sz w:val="24"/>
        </w:rPr>
        <w:t>The</w:t>
      </w:r>
      <w:r>
        <w:rPr>
          <w:spacing w:val="-4"/>
          <w:sz w:val="24"/>
        </w:rPr>
        <w:t> </w:t>
      </w:r>
      <w:r>
        <w:rPr>
          <w:sz w:val="24"/>
        </w:rPr>
        <w:t>inclusion</w:t>
      </w:r>
      <w:r>
        <w:rPr>
          <w:spacing w:val="-3"/>
          <w:sz w:val="24"/>
        </w:rPr>
        <w:t> </w:t>
      </w:r>
      <w:r>
        <w:rPr>
          <w:sz w:val="24"/>
        </w:rPr>
        <w:t>of</w:t>
      </w:r>
      <w:r>
        <w:rPr>
          <w:spacing w:val="-4"/>
          <w:sz w:val="24"/>
        </w:rPr>
        <w:t> </w:t>
      </w:r>
      <w:r>
        <w:rPr>
          <w:sz w:val="24"/>
        </w:rPr>
        <w:t>a</w:t>
      </w:r>
      <w:r>
        <w:rPr>
          <w:spacing w:val="-4"/>
          <w:sz w:val="24"/>
        </w:rPr>
        <w:t> </w:t>
      </w:r>
      <w:r>
        <w:rPr>
          <w:sz w:val="24"/>
        </w:rPr>
        <w:t>Driver</w:t>
      </w:r>
      <w:r>
        <w:rPr>
          <w:spacing w:val="-2"/>
          <w:sz w:val="24"/>
        </w:rPr>
        <w:t> </w:t>
      </w:r>
      <w:r>
        <w:rPr>
          <w:sz w:val="24"/>
        </w:rPr>
        <w:t>Diagram</w:t>
      </w:r>
      <w:r>
        <w:rPr>
          <w:spacing w:val="-3"/>
          <w:sz w:val="24"/>
        </w:rPr>
        <w:t> </w:t>
      </w:r>
      <w:r>
        <w:rPr>
          <w:sz w:val="24"/>
        </w:rPr>
        <w:t>in</w:t>
      </w:r>
      <w:r>
        <w:rPr>
          <w:spacing w:val="-3"/>
          <w:sz w:val="24"/>
        </w:rPr>
        <w:t> </w:t>
      </w:r>
      <w:r>
        <w:rPr>
          <w:sz w:val="24"/>
        </w:rPr>
        <w:t>the</w:t>
      </w:r>
      <w:r>
        <w:rPr>
          <w:spacing w:val="-4"/>
          <w:sz w:val="24"/>
        </w:rPr>
        <w:t> </w:t>
      </w:r>
      <w:r>
        <w:rPr>
          <w:sz w:val="24"/>
        </w:rPr>
        <w:t>Evaluation</w:t>
      </w:r>
      <w:r>
        <w:rPr>
          <w:spacing w:val="-3"/>
          <w:sz w:val="24"/>
        </w:rPr>
        <w:t> </w:t>
      </w:r>
      <w:r>
        <w:rPr>
          <w:sz w:val="24"/>
        </w:rPr>
        <w:t>Report</w:t>
      </w:r>
      <w:r>
        <w:rPr>
          <w:spacing w:val="-3"/>
          <w:sz w:val="24"/>
        </w:rPr>
        <w:t> </w:t>
      </w:r>
      <w:r>
        <w:rPr>
          <w:sz w:val="24"/>
        </w:rPr>
        <w:t>is</w:t>
      </w:r>
      <w:r>
        <w:rPr>
          <w:spacing w:val="-3"/>
          <w:sz w:val="24"/>
        </w:rPr>
        <w:t> </w:t>
      </w:r>
      <w:r>
        <w:rPr>
          <w:sz w:val="24"/>
        </w:rPr>
        <w:t>highly</w:t>
      </w:r>
      <w:r>
        <w:rPr>
          <w:spacing w:val="-6"/>
          <w:sz w:val="24"/>
        </w:rPr>
        <w:t> </w:t>
      </w:r>
      <w:r>
        <w:rPr>
          <w:sz w:val="24"/>
        </w:rPr>
        <w:t>encouraged,</w:t>
      </w:r>
      <w:r>
        <w:rPr>
          <w:spacing w:val="-3"/>
          <w:sz w:val="24"/>
        </w:rPr>
        <w:t> </w:t>
      </w:r>
      <w:r>
        <w:rPr>
          <w:sz w:val="24"/>
        </w:rPr>
        <w:t>as the visual can aid readers in understanding the rationale behind the demonstration features and intended outcomes.</w:t>
      </w:r>
    </w:p>
    <w:p>
      <w:pPr>
        <w:pStyle w:val="BodyText"/>
        <w:spacing w:before="11"/>
        <w:rPr>
          <w:sz w:val="23"/>
        </w:rPr>
      </w:pPr>
    </w:p>
    <w:p>
      <w:pPr>
        <w:pStyle w:val="ListParagraph"/>
        <w:numPr>
          <w:ilvl w:val="0"/>
          <w:numId w:val="55"/>
        </w:numPr>
        <w:tabs>
          <w:tab w:pos="1940" w:val="left" w:leader="none"/>
        </w:tabs>
        <w:spacing w:line="240" w:lineRule="auto" w:before="0" w:after="0"/>
        <w:ind w:left="1940" w:right="1046" w:hanging="360"/>
        <w:jc w:val="left"/>
        <w:rPr>
          <w:sz w:val="24"/>
        </w:rPr>
      </w:pPr>
      <w:bookmarkStart w:name="D. Methodology – In this section, the st" w:id="1170"/>
      <w:bookmarkEnd w:id="1170"/>
      <w:r>
        <w:rPr/>
      </w:r>
      <w:r>
        <w:rPr>
          <w:b/>
          <w:sz w:val="24"/>
        </w:rPr>
        <w:t>Methodology</w:t>
      </w:r>
      <w:r>
        <w:rPr>
          <w:b/>
          <w:spacing w:val="-1"/>
          <w:sz w:val="24"/>
        </w:rPr>
        <w:t> </w:t>
      </w:r>
      <w:r>
        <w:rPr>
          <w:sz w:val="24"/>
        </w:rPr>
        <w:t>– In</w:t>
      </w:r>
      <w:r>
        <w:rPr>
          <w:spacing w:val="-1"/>
          <w:sz w:val="24"/>
        </w:rPr>
        <w:t> </w:t>
      </w:r>
      <w:r>
        <w:rPr>
          <w:sz w:val="24"/>
        </w:rPr>
        <w:t>this</w:t>
      </w:r>
      <w:r>
        <w:rPr>
          <w:spacing w:val="-1"/>
          <w:sz w:val="24"/>
        </w:rPr>
        <w:t> </w:t>
      </w:r>
      <w:r>
        <w:rPr>
          <w:sz w:val="24"/>
        </w:rPr>
        <w:t>section,</w:t>
      </w:r>
      <w:r>
        <w:rPr>
          <w:spacing w:val="-1"/>
          <w:sz w:val="24"/>
        </w:rPr>
        <w:t> </w:t>
      </w:r>
      <w:r>
        <w:rPr>
          <w:sz w:val="24"/>
        </w:rPr>
        <w:t>the</w:t>
      </w:r>
      <w:r>
        <w:rPr>
          <w:spacing w:val="-2"/>
          <w:sz w:val="24"/>
        </w:rPr>
        <w:t> </w:t>
      </w:r>
      <w:r>
        <w:rPr>
          <w:sz w:val="24"/>
        </w:rPr>
        <w:t>state</w:t>
      </w:r>
      <w:r>
        <w:rPr>
          <w:spacing w:val="-2"/>
          <w:sz w:val="24"/>
        </w:rPr>
        <w:t> </w:t>
      </w:r>
      <w:r>
        <w:rPr>
          <w:sz w:val="24"/>
        </w:rPr>
        <w:t>is</w:t>
      </w:r>
      <w:r>
        <w:rPr>
          <w:spacing w:val="-1"/>
          <w:sz w:val="24"/>
        </w:rPr>
        <w:t> </w:t>
      </w:r>
      <w:r>
        <w:rPr>
          <w:sz w:val="24"/>
        </w:rPr>
        <w:t>to</w:t>
      </w:r>
      <w:r>
        <w:rPr>
          <w:spacing w:val="-1"/>
          <w:sz w:val="24"/>
        </w:rPr>
        <w:t> </w:t>
      </w:r>
      <w:r>
        <w:rPr>
          <w:sz w:val="24"/>
        </w:rPr>
        <w:t>provide</w:t>
      </w:r>
      <w:r>
        <w:rPr>
          <w:spacing w:val="-2"/>
          <w:sz w:val="24"/>
        </w:rPr>
        <w:t> </w:t>
      </w:r>
      <w:r>
        <w:rPr>
          <w:sz w:val="24"/>
        </w:rPr>
        <w:t>an</w:t>
      </w:r>
      <w:r>
        <w:rPr>
          <w:spacing w:val="-1"/>
          <w:sz w:val="24"/>
        </w:rPr>
        <w:t> </w:t>
      </w:r>
      <w:r>
        <w:rPr>
          <w:sz w:val="24"/>
        </w:rPr>
        <w:t>overview</w:t>
      </w:r>
      <w:r>
        <w:rPr>
          <w:spacing w:val="-2"/>
          <w:sz w:val="24"/>
        </w:rPr>
        <w:t> </w:t>
      </w:r>
      <w:r>
        <w:rPr>
          <w:sz w:val="24"/>
        </w:rPr>
        <w:t>of</w:t>
      </w:r>
      <w:r>
        <w:rPr>
          <w:spacing w:val="-2"/>
          <w:sz w:val="24"/>
        </w:rPr>
        <w:t> </w:t>
      </w:r>
      <w:r>
        <w:rPr>
          <w:sz w:val="24"/>
        </w:rPr>
        <w:t>the research</w:t>
      </w:r>
      <w:r>
        <w:rPr>
          <w:spacing w:val="-1"/>
          <w:sz w:val="24"/>
        </w:rPr>
        <w:t> </w:t>
      </w:r>
      <w:r>
        <w:rPr>
          <w:sz w:val="24"/>
        </w:rPr>
        <w:t>that</w:t>
      </w:r>
      <w:r>
        <w:rPr>
          <w:spacing w:val="-1"/>
          <w:sz w:val="24"/>
        </w:rPr>
        <w:t> </w:t>
      </w:r>
      <w:r>
        <w:rPr>
          <w:sz w:val="24"/>
        </w:rPr>
        <w:t>was conducted to evaluate the section 1115 demonstration, consistent with the approved Evaluation</w:t>
      </w:r>
      <w:r>
        <w:rPr>
          <w:spacing w:val="-4"/>
          <w:sz w:val="24"/>
        </w:rPr>
        <w:t> </w:t>
      </w:r>
      <w:r>
        <w:rPr>
          <w:sz w:val="24"/>
        </w:rPr>
        <w:t>Design.</w:t>
      </w:r>
      <w:r>
        <w:rPr>
          <w:spacing w:val="-4"/>
          <w:sz w:val="24"/>
        </w:rPr>
        <w:t> </w:t>
      </w:r>
      <w:r>
        <w:rPr>
          <w:sz w:val="24"/>
        </w:rPr>
        <w:t>The</w:t>
      </w:r>
      <w:r>
        <w:rPr>
          <w:spacing w:val="-3"/>
          <w:sz w:val="24"/>
        </w:rPr>
        <w:t> </w:t>
      </w:r>
      <w:r>
        <w:rPr>
          <w:sz w:val="24"/>
        </w:rPr>
        <w:t>Evaluation</w:t>
      </w:r>
      <w:r>
        <w:rPr>
          <w:spacing w:val="-4"/>
          <w:sz w:val="24"/>
        </w:rPr>
        <w:t> </w:t>
      </w:r>
      <w:r>
        <w:rPr>
          <w:sz w:val="24"/>
        </w:rPr>
        <w:t>Design</w:t>
      </w:r>
      <w:r>
        <w:rPr>
          <w:spacing w:val="-4"/>
          <w:sz w:val="24"/>
        </w:rPr>
        <w:t> </w:t>
      </w:r>
      <w:r>
        <w:rPr>
          <w:sz w:val="24"/>
        </w:rPr>
        <w:t>should</w:t>
      </w:r>
      <w:r>
        <w:rPr>
          <w:spacing w:val="-4"/>
          <w:sz w:val="24"/>
        </w:rPr>
        <w:t> </w:t>
      </w:r>
      <w:r>
        <w:rPr>
          <w:sz w:val="24"/>
        </w:rPr>
        <w:t>also</w:t>
      </w:r>
      <w:r>
        <w:rPr>
          <w:spacing w:val="-4"/>
          <w:sz w:val="24"/>
        </w:rPr>
        <w:t> </w:t>
      </w:r>
      <w:r>
        <w:rPr>
          <w:sz w:val="24"/>
        </w:rPr>
        <w:t>be</w:t>
      </w:r>
      <w:r>
        <w:rPr>
          <w:spacing w:val="-4"/>
          <w:sz w:val="24"/>
        </w:rPr>
        <w:t> </w:t>
      </w:r>
      <w:r>
        <w:rPr>
          <w:sz w:val="24"/>
        </w:rPr>
        <w:t>included</w:t>
      </w:r>
      <w:r>
        <w:rPr>
          <w:spacing w:val="-4"/>
          <w:sz w:val="24"/>
        </w:rPr>
        <w:t> </w:t>
      </w:r>
      <w:r>
        <w:rPr>
          <w:sz w:val="24"/>
        </w:rPr>
        <w:t>as</w:t>
      </w:r>
      <w:r>
        <w:rPr>
          <w:spacing w:val="-2"/>
          <w:sz w:val="24"/>
        </w:rPr>
        <w:t> </w:t>
      </w:r>
      <w:r>
        <w:rPr>
          <w:sz w:val="24"/>
        </w:rPr>
        <w:t>an</w:t>
      </w:r>
      <w:r>
        <w:rPr>
          <w:spacing w:val="-4"/>
          <w:sz w:val="24"/>
        </w:rPr>
        <w:t> </w:t>
      </w:r>
      <w:r>
        <w:rPr>
          <w:sz w:val="24"/>
        </w:rPr>
        <w:t>attachment</w:t>
      </w:r>
      <w:r>
        <w:rPr>
          <w:spacing w:val="-4"/>
          <w:sz w:val="24"/>
        </w:rPr>
        <w:t> </w:t>
      </w:r>
      <w:r>
        <w:rPr>
          <w:sz w:val="24"/>
        </w:rPr>
        <w:t>to</w:t>
      </w:r>
      <w:r>
        <w:rPr>
          <w:spacing w:val="-4"/>
          <w:sz w:val="24"/>
        </w:rPr>
        <w:t> </w:t>
      </w:r>
      <w:r>
        <w:rPr>
          <w:sz w:val="24"/>
        </w:rPr>
        <w:t>the report.</w:t>
      </w:r>
      <w:r>
        <w:rPr>
          <w:spacing w:val="40"/>
          <w:sz w:val="24"/>
        </w:rPr>
        <w:t> </w:t>
      </w:r>
      <w:r>
        <w:rPr>
          <w:sz w:val="24"/>
        </w:rPr>
        <w:t>The focus is on showing that the evaluation builds upon other published research, (using</w:t>
      </w:r>
      <w:r>
        <w:rPr>
          <w:spacing w:val="-5"/>
          <w:sz w:val="24"/>
        </w:rPr>
        <w:t> </w:t>
      </w:r>
      <w:r>
        <w:rPr>
          <w:sz w:val="24"/>
        </w:rPr>
        <w:t>references),</w:t>
      </w:r>
      <w:r>
        <w:rPr>
          <w:spacing w:val="-2"/>
          <w:sz w:val="24"/>
        </w:rPr>
        <w:t> </w:t>
      </w:r>
      <w:r>
        <w:rPr>
          <w:sz w:val="24"/>
        </w:rPr>
        <w:t>meets</w:t>
      </w:r>
      <w:r>
        <w:rPr>
          <w:spacing w:val="-2"/>
          <w:sz w:val="24"/>
        </w:rPr>
        <w:t> </w:t>
      </w:r>
      <w:r>
        <w:rPr>
          <w:sz w:val="24"/>
        </w:rPr>
        <w:t>the</w:t>
      </w:r>
      <w:r>
        <w:rPr>
          <w:spacing w:val="-3"/>
          <w:sz w:val="24"/>
        </w:rPr>
        <w:t> </w:t>
      </w:r>
      <w:r>
        <w:rPr>
          <w:sz w:val="24"/>
        </w:rPr>
        <w:t>prevailing</w:t>
      </w:r>
      <w:r>
        <w:rPr>
          <w:spacing w:val="-5"/>
          <w:sz w:val="24"/>
        </w:rPr>
        <w:t> </w:t>
      </w:r>
      <w:r>
        <w:rPr>
          <w:sz w:val="24"/>
        </w:rPr>
        <w:t>standards of</w:t>
      </w:r>
      <w:r>
        <w:rPr>
          <w:spacing w:val="-3"/>
          <w:sz w:val="24"/>
        </w:rPr>
        <w:t> </w:t>
      </w:r>
      <w:r>
        <w:rPr>
          <w:sz w:val="24"/>
        </w:rPr>
        <w:t>scientific</w:t>
      </w:r>
      <w:r>
        <w:rPr>
          <w:spacing w:val="-3"/>
          <w:sz w:val="24"/>
        </w:rPr>
        <w:t> </w:t>
      </w:r>
      <w:r>
        <w:rPr>
          <w:sz w:val="24"/>
        </w:rPr>
        <w:t>and academic</w:t>
      </w:r>
      <w:r>
        <w:rPr>
          <w:spacing w:val="-3"/>
          <w:sz w:val="24"/>
        </w:rPr>
        <w:t> </w:t>
      </w:r>
      <w:r>
        <w:rPr>
          <w:sz w:val="24"/>
        </w:rPr>
        <w:t>rigor,</w:t>
      </w:r>
      <w:r>
        <w:rPr>
          <w:spacing w:val="-2"/>
          <w:sz w:val="24"/>
        </w:rPr>
        <w:t> </w:t>
      </w:r>
      <w:r>
        <w:rPr>
          <w:sz w:val="24"/>
        </w:rPr>
        <w:t>and</w:t>
      </w:r>
      <w:r>
        <w:rPr>
          <w:spacing w:val="-2"/>
          <w:sz w:val="24"/>
        </w:rPr>
        <w:t> </w:t>
      </w:r>
      <w:r>
        <w:rPr>
          <w:sz w:val="24"/>
        </w:rPr>
        <w:t>the results are statistically valid and reliable.</w:t>
      </w:r>
    </w:p>
    <w:p>
      <w:pPr>
        <w:pStyle w:val="BodyText"/>
      </w:pPr>
    </w:p>
    <w:p>
      <w:pPr>
        <w:pStyle w:val="BodyText"/>
        <w:ind w:left="1940" w:right="1111"/>
      </w:pPr>
      <w:r>
        <w:rPr/>
        <w:t>An Interim Evaluation Report should provide any available data to date, including both quantitative and qualitative assessments. The Evaluation Design should assure there is appropriate</w:t>
      </w:r>
      <w:r>
        <w:rPr>
          <w:spacing w:val="-4"/>
        </w:rPr>
        <w:t> </w:t>
      </w:r>
      <w:r>
        <w:rPr/>
        <w:t>data</w:t>
      </w:r>
      <w:r>
        <w:rPr>
          <w:spacing w:val="-4"/>
        </w:rPr>
        <w:t> </w:t>
      </w:r>
      <w:r>
        <w:rPr/>
        <w:t>development</w:t>
      </w:r>
      <w:r>
        <w:rPr>
          <w:spacing w:val="-3"/>
        </w:rPr>
        <w:t> </w:t>
      </w:r>
      <w:r>
        <w:rPr/>
        <w:t>and</w:t>
      </w:r>
      <w:r>
        <w:rPr>
          <w:spacing w:val="-3"/>
        </w:rPr>
        <w:t> </w:t>
      </w:r>
      <w:r>
        <w:rPr/>
        <w:t>collection</w:t>
      </w:r>
      <w:r>
        <w:rPr>
          <w:spacing w:val="-3"/>
        </w:rPr>
        <w:t> </w:t>
      </w:r>
      <w:r>
        <w:rPr/>
        <w:t>in</w:t>
      </w:r>
      <w:r>
        <w:rPr>
          <w:spacing w:val="-3"/>
        </w:rPr>
        <w:t> </w:t>
      </w:r>
      <w:r>
        <w:rPr/>
        <w:t>a</w:t>
      </w:r>
      <w:r>
        <w:rPr>
          <w:spacing w:val="-4"/>
        </w:rPr>
        <w:t> </w:t>
      </w:r>
      <w:r>
        <w:rPr/>
        <w:t>timely</w:t>
      </w:r>
      <w:r>
        <w:rPr>
          <w:spacing w:val="-8"/>
        </w:rPr>
        <w:t> </w:t>
      </w:r>
      <w:r>
        <w:rPr/>
        <w:t>manner</w:t>
      </w:r>
      <w:r>
        <w:rPr>
          <w:spacing w:val="-4"/>
        </w:rPr>
        <w:t> </w:t>
      </w:r>
      <w:r>
        <w:rPr/>
        <w:t>to</w:t>
      </w:r>
      <w:r>
        <w:rPr>
          <w:spacing w:val="-3"/>
        </w:rPr>
        <w:t> </w:t>
      </w:r>
      <w:r>
        <w:rPr/>
        <w:t>support</w:t>
      </w:r>
      <w:r>
        <w:rPr>
          <w:spacing w:val="-3"/>
        </w:rPr>
        <w:t> </w:t>
      </w:r>
      <w:r>
        <w:rPr/>
        <w:t>developing</w:t>
      </w:r>
      <w:r>
        <w:rPr>
          <w:spacing w:val="-3"/>
        </w:rPr>
        <w:t> </w:t>
      </w:r>
      <w:r>
        <w:rPr/>
        <w:t>an Interim Evaluation Report.</w:t>
      </w:r>
    </w:p>
    <w:p>
      <w:pPr>
        <w:spacing w:after="0"/>
        <w:sectPr>
          <w:pgSz w:w="12240" w:h="15840"/>
          <w:pgMar w:header="0" w:footer="971" w:top="640" w:bottom="1160" w:left="220" w:right="340"/>
        </w:sectPr>
      </w:pPr>
    </w:p>
    <w:p>
      <w:pPr>
        <w:spacing w:before="80"/>
        <w:ind w:left="1220" w:right="0" w:firstLine="0"/>
        <w:jc w:val="left"/>
        <w:rPr>
          <w:sz w:val="20"/>
        </w:rPr>
      </w:pPr>
      <w:r>
        <w:rPr>
          <w:spacing w:val="-2"/>
          <w:sz w:val="20"/>
        </w:rPr>
        <w:t>Attachment</w:t>
      </w:r>
      <w:r>
        <w:rPr>
          <w:spacing w:val="6"/>
          <w:sz w:val="20"/>
        </w:rPr>
        <w:t> </w:t>
      </w:r>
      <w:r>
        <w:rPr>
          <w:spacing w:val="-10"/>
          <w:sz w:val="20"/>
        </w:rPr>
        <w:t>B</w:t>
      </w:r>
    </w:p>
    <w:p>
      <w:pPr>
        <w:pStyle w:val="BodyText"/>
        <w:rPr>
          <w:sz w:val="20"/>
        </w:rPr>
      </w:pPr>
    </w:p>
    <w:p>
      <w:pPr>
        <w:pStyle w:val="BodyText"/>
        <w:rPr>
          <w:sz w:val="20"/>
        </w:rPr>
      </w:pPr>
    </w:p>
    <w:p>
      <w:pPr>
        <w:pStyle w:val="BodyText"/>
        <w:spacing w:before="8"/>
        <w:rPr>
          <w:sz w:val="18"/>
        </w:rPr>
      </w:pPr>
    </w:p>
    <w:p>
      <w:pPr>
        <w:pStyle w:val="BodyText"/>
        <w:spacing w:before="90"/>
        <w:ind w:left="1939" w:right="1111"/>
      </w:pPr>
      <w:r>
        <w:rPr/>
        <w:t>This section provides the evidence that the demonstration evaluation used the best available data and describes why potential alternative data sources were not used.</w:t>
      </w:r>
      <w:r>
        <w:rPr>
          <w:spacing w:val="40"/>
        </w:rPr>
        <w:t> </w:t>
      </w:r>
      <w:r>
        <w:rPr/>
        <w:t>The state also should report on, control for, and make appropriate adjustments for the limitations of the data and their effects on results, and discusses the generalizability of results.</w:t>
      </w:r>
      <w:r>
        <w:rPr>
          <w:spacing w:val="40"/>
        </w:rPr>
        <w:t> </w:t>
      </w:r>
      <w:r>
        <w:rPr/>
        <w:t>This section should provide enough transparency to explain what was measured and</w:t>
      </w:r>
      <w:r>
        <w:rPr>
          <w:spacing w:val="-3"/>
        </w:rPr>
        <w:t> </w:t>
      </w:r>
      <w:r>
        <w:rPr/>
        <w:t>how,</w:t>
      </w:r>
      <w:r>
        <w:rPr>
          <w:spacing w:val="-3"/>
        </w:rPr>
        <w:t> </w:t>
      </w:r>
      <w:r>
        <w:rPr/>
        <w:t>in</w:t>
      </w:r>
      <w:r>
        <w:rPr>
          <w:spacing w:val="-3"/>
        </w:rPr>
        <w:t> </w:t>
      </w:r>
      <w:r>
        <w:rPr/>
        <w:t>sufficient</w:t>
      </w:r>
      <w:r>
        <w:rPr>
          <w:spacing w:val="-3"/>
        </w:rPr>
        <w:t> </w:t>
      </w:r>
      <w:r>
        <w:rPr/>
        <w:t>detail</w:t>
      </w:r>
      <w:r>
        <w:rPr>
          <w:spacing w:val="-3"/>
        </w:rPr>
        <w:t> </w:t>
      </w:r>
      <w:r>
        <w:rPr/>
        <w:t>so</w:t>
      </w:r>
      <w:r>
        <w:rPr>
          <w:spacing w:val="-3"/>
        </w:rPr>
        <w:t> </w:t>
      </w:r>
      <w:r>
        <w:rPr/>
        <w:t>that</w:t>
      </w:r>
      <w:r>
        <w:rPr>
          <w:spacing w:val="-3"/>
        </w:rPr>
        <w:t> </w:t>
      </w:r>
      <w:r>
        <w:rPr/>
        <w:t>another</w:t>
      </w:r>
      <w:r>
        <w:rPr>
          <w:spacing w:val="-4"/>
        </w:rPr>
        <w:t> </w:t>
      </w:r>
      <w:r>
        <w:rPr/>
        <w:t>party</w:t>
      </w:r>
      <w:r>
        <w:rPr>
          <w:spacing w:val="-6"/>
        </w:rPr>
        <w:t> </w:t>
      </w:r>
      <w:r>
        <w:rPr/>
        <w:t>could</w:t>
      </w:r>
      <w:r>
        <w:rPr>
          <w:spacing w:val="-3"/>
        </w:rPr>
        <w:t> </w:t>
      </w:r>
      <w:r>
        <w:rPr/>
        <w:t>replicate</w:t>
      </w:r>
      <w:r>
        <w:rPr>
          <w:spacing w:val="-4"/>
        </w:rPr>
        <w:t> </w:t>
      </w:r>
      <w:r>
        <w:rPr/>
        <w:t>the</w:t>
      </w:r>
      <w:r>
        <w:rPr>
          <w:spacing w:val="-2"/>
        </w:rPr>
        <w:t> </w:t>
      </w:r>
      <w:r>
        <w:rPr/>
        <w:t>results.</w:t>
      </w:r>
      <w:r>
        <w:rPr>
          <w:spacing w:val="40"/>
        </w:rPr>
        <w:t> </w:t>
      </w:r>
      <w:r>
        <w:rPr/>
        <w:t>Specifically, this section establishes that the approved Evaluation Design was followed by</w:t>
      </w:r>
      <w:r>
        <w:rPr>
          <w:spacing w:val="-1"/>
        </w:rPr>
        <w:t> </w:t>
      </w:r>
      <w:r>
        <w:rPr/>
        <w:t>describing:</w:t>
      </w:r>
    </w:p>
    <w:p>
      <w:pPr>
        <w:pStyle w:val="ListParagraph"/>
        <w:numPr>
          <w:ilvl w:val="0"/>
          <w:numId w:val="56"/>
        </w:numPr>
        <w:tabs>
          <w:tab w:pos="2300" w:val="left" w:leader="none"/>
        </w:tabs>
        <w:spacing w:line="240" w:lineRule="auto" w:before="60" w:after="0"/>
        <w:ind w:left="2300" w:right="1244" w:hanging="360"/>
        <w:jc w:val="left"/>
        <w:rPr>
          <w:sz w:val="24"/>
        </w:rPr>
      </w:pPr>
      <w:bookmarkStart w:name="1) Methodological Design – Whether the e" w:id="1171"/>
      <w:bookmarkEnd w:id="1171"/>
      <w:r>
        <w:rPr/>
      </w:r>
      <w:r>
        <w:rPr>
          <w:i/>
          <w:sz w:val="24"/>
        </w:rPr>
        <w:t>Methodological</w:t>
      </w:r>
      <w:r>
        <w:rPr>
          <w:i/>
          <w:spacing w:val="-4"/>
          <w:sz w:val="24"/>
        </w:rPr>
        <w:t> </w:t>
      </w:r>
      <w:r>
        <w:rPr>
          <w:i/>
          <w:sz w:val="24"/>
        </w:rPr>
        <w:t>Design</w:t>
      </w:r>
      <w:r>
        <w:rPr>
          <w:i/>
          <w:spacing w:val="-4"/>
          <w:sz w:val="24"/>
        </w:rPr>
        <w:t> </w:t>
      </w:r>
      <w:r>
        <w:rPr>
          <w:sz w:val="24"/>
        </w:rPr>
        <w:t>–</w:t>
      </w:r>
      <w:r>
        <w:rPr>
          <w:spacing w:val="-2"/>
          <w:sz w:val="24"/>
        </w:rPr>
        <w:t> </w:t>
      </w:r>
      <w:r>
        <w:rPr>
          <w:sz w:val="24"/>
        </w:rPr>
        <w:t>Whether</w:t>
      </w:r>
      <w:r>
        <w:rPr>
          <w:spacing w:val="-5"/>
          <w:sz w:val="24"/>
        </w:rPr>
        <w:t> </w:t>
      </w:r>
      <w:r>
        <w:rPr>
          <w:sz w:val="24"/>
        </w:rPr>
        <w:t>the</w:t>
      </w:r>
      <w:r>
        <w:rPr>
          <w:spacing w:val="-5"/>
          <w:sz w:val="24"/>
        </w:rPr>
        <w:t> </w:t>
      </w:r>
      <w:r>
        <w:rPr>
          <w:sz w:val="24"/>
        </w:rPr>
        <w:t>evaluation</w:t>
      </w:r>
      <w:r>
        <w:rPr>
          <w:spacing w:val="-4"/>
          <w:sz w:val="24"/>
        </w:rPr>
        <w:t> </w:t>
      </w:r>
      <w:r>
        <w:rPr>
          <w:sz w:val="24"/>
        </w:rPr>
        <w:t>included</w:t>
      </w:r>
      <w:r>
        <w:rPr>
          <w:spacing w:val="-4"/>
          <w:sz w:val="24"/>
        </w:rPr>
        <w:t> </w:t>
      </w:r>
      <w:r>
        <w:rPr>
          <w:sz w:val="24"/>
        </w:rPr>
        <w:t>an</w:t>
      </w:r>
      <w:r>
        <w:rPr>
          <w:spacing w:val="-4"/>
          <w:sz w:val="24"/>
        </w:rPr>
        <w:t> </w:t>
      </w:r>
      <w:r>
        <w:rPr>
          <w:sz w:val="24"/>
        </w:rPr>
        <w:t>assessment</w:t>
      </w:r>
      <w:r>
        <w:rPr>
          <w:spacing w:val="-4"/>
          <w:sz w:val="24"/>
        </w:rPr>
        <w:t> </w:t>
      </w:r>
      <w:r>
        <w:rPr>
          <w:sz w:val="24"/>
        </w:rPr>
        <w:t>of</w:t>
      </w:r>
      <w:r>
        <w:rPr>
          <w:spacing w:val="-3"/>
          <w:sz w:val="24"/>
        </w:rPr>
        <w:t> </w:t>
      </w:r>
      <w:r>
        <w:rPr>
          <w:sz w:val="24"/>
        </w:rPr>
        <w:t>pre/post or post-only data, with or without comparison groups, etc.</w:t>
      </w:r>
    </w:p>
    <w:p>
      <w:pPr>
        <w:pStyle w:val="ListParagraph"/>
        <w:numPr>
          <w:ilvl w:val="0"/>
          <w:numId w:val="56"/>
        </w:numPr>
        <w:tabs>
          <w:tab w:pos="2300" w:val="left" w:leader="none"/>
        </w:tabs>
        <w:spacing w:line="240" w:lineRule="auto" w:before="0" w:after="0"/>
        <w:ind w:left="2300" w:right="2214" w:hanging="360"/>
        <w:jc w:val="left"/>
        <w:rPr>
          <w:sz w:val="24"/>
        </w:rPr>
      </w:pPr>
      <w:bookmarkStart w:name="2) Target and Comparison Populations – D" w:id="1172"/>
      <w:bookmarkEnd w:id="1172"/>
      <w:r>
        <w:rPr/>
      </w:r>
      <w:r>
        <w:rPr>
          <w:i/>
          <w:sz w:val="24"/>
        </w:rPr>
        <w:t>Target</w:t>
      </w:r>
      <w:r>
        <w:rPr>
          <w:i/>
          <w:spacing w:val="-5"/>
          <w:sz w:val="24"/>
        </w:rPr>
        <w:t> </w:t>
      </w:r>
      <w:r>
        <w:rPr>
          <w:i/>
          <w:sz w:val="24"/>
        </w:rPr>
        <w:t>and</w:t>
      </w:r>
      <w:r>
        <w:rPr>
          <w:i/>
          <w:spacing w:val="-5"/>
          <w:sz w:val="24"/>
        </w:rPr>
        <w:t> </w:t>
      </w:r>
      <w:r>
        <w:rPr>
          <w:i/>
          <w:sz w:val="24"/>
        </w:rPr>
        <w:t>Comparison</w:t>
      </w:r>
      <w:r>
        <w:rPr>
          <w:i/>
          <w:spacing w:val="-7"/>
          <w:sz w:val="24"/>
        </w:rPr>
        <w:t> </w:t>
      </w:r>
      <w:r>
        <w:rPr>
          <w:i/>
          <w:sz w:val="24"/>
        </w:rPr>
        <w:t>Populations</w:t>
      </w:r>
      <w:r>
        <w:rPr>
          <w:i/>
          <w:spacing w:val="-5"/>
          <w:sz w:val="24"/>
        </w:rPr>
        <w:t> </w:t>
      </w:r>
      <w:r>
        <w:rPr>
          <w:sz w:val="24"/>
        </w:rPr>
        <w:t>–</w:t>
      </w:r>
      <w:r>
        <w:rPr>
          <w:spacing w:val="-5"/>
          <w:sz w:val="24"/>
        </w:rPr>
        <w:t> </w:t>
      </w:r>
      <w:r>
        <w:rPr>
          <w:sz w:val="24"/>
        </w:rPr>
        <w:t>Describe</w:t>
      </w:r>
      <w:r>
        <w:rPr>
          <w:spacing w:val="-6"/>
          <w:sz w:val="24"/>
        </w:rPr>
        <w:t> </w:t>
      </w:r>
      <w:r>
        <w:rPr>
          <w:sz w:val="24"/>
        </w:rPr>
        <w:t>the</w:t>
      </w:r>
      <w:r>
        <w:rPr>
          <w:spacing w:val="-6"/>
          <w:sz w:val="24"/>
        </w:rPr>
        <w:t> </w:t>
      </w:r>
      <w:r>
        <w:rPr>
          <w:sz w:val="24"/>
        </w:rPr>
        <w:t>target</w:t>
      </w:r>
      <w:r>
        <w:rPr>
          <w:spacing w:val="-5"/>
          <w:sz w:val="24"/>
        </w:rPr>
        <w:t> </w:t>
      </w:r>
      <w:r>
        <w:rPr>
          <w:sz w:val="24"/>
        </w:rPr>
        <w:t>and</w:t>
      </w:r>
      <w:r>
        <w:rPr>
          <w:spacing w:val="-3"/>
          <w:sz w:val="24"/>
        </w:rPr>
        <w:t> </w:t>
      </w:r>
      <w:r>
        <w:rPr>
          <w:sz w:val="24"/>
        </w:rPr>
        <w:t>comparison populations, describing inclusion and exclusion criteria.</w:t>
      </w:r>
    </w:p>
    <w:p>
      <w:pPr>
        <w:pStyle w:val="ListParagraph"/>
        <w:numPr>
          <w:ilvl w:val="0"/>
          <w:numId w:val="56"/>
        </w:numPr>
        <w:tabs>
          <w:tab w:pos="2299" w:val="left" w:leader="none"/>
        </w:tabs>
        <w:spacing w:line="240" w:lineRule="auto" w:before="0" w:after="0"/>
        <w:ind w:left="2299" w:right="0" w:hanging="359"/>
        <w:jc w:val="left"/>
        <w:rPr>
          <w:sz w:val="24"/>
        </w:rPr>
      </w:pPr>
      <w:bookmarkStart w:name="3) Evaluation Period – Describe the time" w:id="1173"/>
      <w:bookmarkEnd w:id="1173"/>
      <w:r>
        <w:rPr/>
      </w:r>
      <w:bookmarkStart w:name="4) Evaluation Measures – List the measur" w:id="1174"/>
      <w:bookmarkEnd w:id="1174"/>
      <w:r>
        <w:rPr/>
      </w:r>
      <w:r>
        <w:rPr>
          <w:i/>
          <w:sz w:val="24"/>
        </w:rPr>
        <w:t>Evaluation</w:t>
      </w:r>
      <w:r>
        <w:rPr>
          <w:i/>
          <w:spacing w:val="-4"/>
          <w:sz w:val="24"/>
        </w:rPr>
        <w:t> </w:t>
      </w:r>
      <w:r>
        <w:rPr>
          <w:i/>
          <w:sz w:val="24"/>
        </w:rPr>
        <w:t>Period</w:t>
      </w:r>
      <w:r>
        <w:rPr>
          <w:i/>
          <w:spacing w:val="-1"/>
          <w:sz w:val="24"/>
        </w:rPr>
        <w:t> </w:t>
      </w:r>
      <w:r>
        <w:rPr>
          <w:sz w:val="24"/>
        </w:rPr>
        <w:t>–</w:t>
      </w:r>
      <w:r>
        <w:rPr>
          <w:spacing w:val="-1"/>
          <w:sz w:val="24"/>
        </w:rPr>
        <w:t> </w:t>
      </w:r>
      <w:r>
        <w:rPr>
          <w:sz w:val="24"/>
        </w:rPr>
        <w:t>Describe</w:t>
      </w:r>
      <w:r>
        <w:rPr>
          <w:spacing w:val="-2"/>
          <w:sz w:val="24"/>
        </w:rPr>
        <w:t> </w:t>
      </w:r>
      <w:r>
        <w:rPr>
          <w:sz w:val="24"/>
        </w:rPr>
        <w:t>the</w:t>
      </w:r>
      <w:r>
        <w:rPr>
          <w:spacing w:val="-2"/>
          <w:sz w:val="24"/>
        </w:rPr>
        <w:t> </w:t>
      </w:r>
      <w:r>
        <w:rPr>
          <w:sz w:val="24"/>
        </w:rPr>
        <w:t>time</w:t>
      </w:r>
      <w:r>
        <w:rPr>
          <w:spacing w:val="-2"/>
          <w:sz w:val="24"/>
        </w:rPr>
        <w:t> </w:t>
      </w:r>
      <w:r>
        <w:rPr>
          <w:sz w:val="24"/>
        </w:rPr>
        <w:t>periods</w:t>
      </w:r>
      <w:r>
        <w:rPr>
          <w:spacing w:val="1"/>
          <w:sz w:val="24"/>
        </w:rPr>
        <w:t> </w:t>
      </w:r>
      <w:r>
        <w:rPr>
          <w:sz w:val="24"/>
        </w:rPr>
        <w:t>for which</w:t>
      </w:r>
      <w:r>
        <w:rPr>
          <w:spacing w:val="-1"/>
          <w:sz w:val="24"/>
        </w:rPr>
        <w:t> </w:t>
      </w:r>
      <w:r>
        <w:rPr>
          <w:sz w:val="24"/>
        </w:rPr>
        <w:t>data</w:t>
      </w:r>
      <w:r>
        <w:rPr>
          <w:spacing w:val="-2"/>
          <w:sz w:val="24"/>
        </w:rPr>
        <w:t> </w:t>
      </w:r>
      <w:r>
        <w:rPr>
          <w:sz w:val="24"/>
        </w:rPr>
        <w:t>will</w:t>
      </w:r>
      <w:r>
        <w:rPr>
          <w:spacing w:val="-1"/>
          <w:sz w:val="24"/>
        </w:rPr>
        <w:t> </w:t>
      </w:r>
      <w:r>
        <w:rPr>
          <w:sz w:val="24"/>
        </w:rPr>
        <w:t>be</w:t>
      </w:r>
      <w:r>
        <w:rPr>
          <w:spacing w:val="-2"/>
          <w:sz w:val="24"/>
        </w:rPr>
        <w:t> collected.</w:t>
      </w:r>
    </w:p>
    <w:p>
      <w:pPr>
        <w:pStyle w:val="ListParagraph"/>
        <w:numPr>
          <w:ilvl w:val="0"/>
          <w:numId w:val="56"/>
        </w:numPr>
        <w:tabs>
          <w:tab w:pos="2300" w:val="left" w:leader="none"/>
        </w:tabs>
        <w:spacing w:line="240" w:lineRule="auto" w:before="0" w:after="0"/>
        <w:ind w:left="2300" w:right="1113" w:hanging="360"/>
        <w:jc w:val="left"/>
        <w:rPr>
          <w:sz w:val="24"/>
        </w:rPr>
      </w:pPr>
      <w:r>
        <w:rPr>
          <w:i/>
          <w:sz w:val="24"/>
        </w:rPr>
        <w:t>Evaluation</w:t>
      </w:r>
      <w:r>
        <w:rPr>
          <w:i/>
          <w:spacing w:val="-4"/>
          <w:sz w:val="24"/>
        </w:rPr>
        <w:t> </w:t>
      </w:r>
      <w:r>
        <w:rPr>
          <w:i/>
          <w:sz w:val="24"/>
        </w:rPr>
        <w:t>Measures</w:t>
      </w:r>
      <w:r>
        <w:rPr>
          <w:i/>
          <w:spacing w:val="-4"/>
          <w:sz w:val="24"/>
        </w:rPr>
        <w:t> </w:t>
      </w:r>
      <w:r>
        <w:rPr>
          <w:sz w:val="24"/>
        </w:rPr>
        <w:t>–</w:t>
      </w:r>
      <w:r>
        <w:rPr>
          <w:spacing w:val="-2"/>
          <w:sz w:val="24"/>
        </w:rPr>
        <w:t> </w:t>
      </w:r>
      <w:r>
        <w:rPr>
          <w:sz w:val="24"/>
        </w:rPr>
        <w:t>List</w:t>
      </w:r>
      <w:r>
        <w:rPr>
          <w:spacing w:val="-4"/>
          <w:sz w:val="24"/>
        </w:rPr>
        <w:t> </w:t>
      </w:r>
      <w:r>
        <w:rPr>
          <w:sz w:val="24"/>
        </w:rPr>
        <w:t>the</w:t>
      </w:r>
      <w:r>
        <w:rPr>
          <w:spacing w:val="-5"/>
          <w:sz w:val="24"/>
        </w:rPr>
        <w:t> </w:t>
      </w:r>
      <w:r>
        <w:rPr>
          <w:sz w:val="24"/>
        </w:rPr>
        <w:t>measures</w:t>
      </w:r>
      <w:r>
        <w:rPr>
          <w:spacing w:val="-4"/>
          <w:sz w:val="24"/>
        </w:rPr>
        <w:t> </w:t>
      </w:r>
      <w:r>
        <w:rPr>
          <w:sz w:val="24"/>
        </w:rPr>
        <w:t>used</w:t>
      </w:r>
      <w:r>
        <w:rPr>
          <w:spacing w:val="-4"/>
          <w:sz w:val="24"/>
        </w:rPr>
        <w:t> </w:t>
      </w:r>
      <w:r>
        <w:rPr>
          <w:sz w:val="24"/>
        </w:rPr>
        <w:t>to</w:t>
      </w:r>
      <w:r>
        <w:rPr>
          <w:spacing w:val="-4"/>
          <w:sz w:val="24"/>
        </w:rPr>
        <w:t> </w:t>
      </w:r>
      <w:r>
        <w:rPr>
          <w:sz w:val="24"/>
        </w:rPr>
        <w:t>evaluate</w:t>
      </w:r>
      <w:r>
        <w:rPr>
          <w:spacing w:val="-5"/>
          <w:sz w:val="24"/>
        </w:rPr>
        <w:t> </w:t>
      </w:r>
      <w:r>
        <w:rPr>
          <w:sz w:val="24"/>
        </w:rPr>
        <w:t>the</w:t>
      </w:r>
      <w:r>
        <w:rPr>
          <w:spacing w:val="-5"/>
          <w:sz w:val="24"/>
        </w:rPr>
        <w:t> </w:t>
      </w:r>
      <w:r>
        <w:rPr>
          <w:sz w:val="24"/>
        </w:rPr>
        <w:t>demonstration</w:t>
      </w:r>
      <w:r>
        <w:rPr>
          <w:spacing w:val="-4"/>
          <w:sz w:val="24"/>
        </w:rPr>
        <w:t> </w:t>
      </w:r>
      <w:r>
        <w:rPr>
          <w:sz w:val="24"/>
        </w:rPr>
        <w:t>and</w:t>
      </w:r>
      <w:r>
        <w:rPr>
          <w:spacing w:val="-4"/>
          <w:sz w:val="24"/>
        </w:rPr>
        <w:t> </w:t>
      </w:r>
      <w:r>
        <w:rPr>
          <w:sz w:val="24"/>
        </w:rPr>
        <w:t>their respective measure stewards.</w:t>
      </w:r>
    </w:p>
    <w:p>
      <w:pPr>
        <w:pStyle w:val="ListParagraph"/>
        <w:numPr>
          <w:ilvl w:val="0"/>
          <w:numId w:val="56"/>
        </w:numPr>
        <w:tabs>
          <w:tab w:pos="2300" w:val="left" w:leader="none"/>
        </w:tabs>
        <w:spacing w:line="240" w:lineRule="auto" w:before="0" w:after="0"/>
        <w:ind w:left="2300" w:right="1473" w:hanging="360"/>
        <w:jc w:val="left"/>
        <w:rPr>
          <w:sz w:val="24"/>
        </w:rPr>
      </w:pPr>
      <w:bookmarkStart w:name="5) Data Sources – Explain from where the" w:id="1175"/>
      <w:bookmarkEnd w:id="1175"/>
      <w:r>
        <w:rPr/>
      </w:r>
      <w:r>
        <w:rPr>
          <w:i/>
          <w:sz w:val="24"/>
        </w:rPr>
        <w:t>Data</w:t>
      </w:r>
      <w:r>
        <w:rPr>
          <w:i/>
          <w:spacing w:val="-3"/>
          <w:sz w:val="24"/>
        </w:rPr>
        <w:t> </w:t>
      </w:r>
      <w:r>
        <w:rPr>
          <w:i/>
          <w:sz w:val="24"/>
        </w:rPr>
        <w:t>Sources</w:t>
      </w:r>
      <w:r>
        <w:rPr>
          <w:i/>
          <w:spacing w:val="-3"/>
          <w:sz w:val="24"/>
        </w:rPr>
        <w:t> </w:t>
      </w:r>
      <w:r>
        <w:rPr>
          <w:sz w:val="24"/>
        </w:rPr>
        <w:t>–</w:t>
      </w:r>
      <w:r>
        <w:rPr>
          <w:spacing w:val="-3"/>
          <w:sz w:val="24"/>
        </w:rPr>
        <w:t> </w:t>
      </w:r>
      <w:r>
        <w:rPr>
          <w:sz w:val="24"/>
        </w:rPr>
        <w:t>Explain</w:t>
      </w:r>
      <w:r>
        <w:rPr>
          <w:spacing w:val="-3"/>
          <w:sz w:val="24"/>
        </w:rPr>
        <w:t> </w:t>
      </w:r>
      <w:r>
        <w:rPr>
          <w:sz w:val="24"/>
        </w:rPr>
        <w:t>from</w:t>
      </w:r>
      <w:r>
        <w:rPr>
          <w:spacing w:val="-3"/>
          <w:sz w:val="24"/>
        </w:rPr>
        <w:t> </w:t>
      </w:r>
      <w:r>
        <w:rPr>
          <w:sz w:val="24"/>
        </w:rPr>
        <w:t>where</w:t>
      </w:r>
      <w:r>
        <w:rPr>
          <w:spacing w:val="-4"/>
          <w:sz w:val="24"/>
        </w:rPr>
        <w:t> </w:t>
      </w:r>
      <w:r>
        <w:rPr>
          <w:sz w:val="24"/>
        </w:rPr>
        <w:t>the</w:t>
      </w:r>
      <w:r>
        <w:rPr>
          <w:spacing w:val="-4"/>
          <w:sz w:val="24"/>
        </w:rPr>
        <w:t> </w:t>
      </w:r>
      <w:r>
        <w:rPr>
          <w:sz w:val="24"/>
        </w:rPr>
        <w:t>data</w:t>
      </w:r>
      <w:r>
        <w:rPr>
          <w:spacing w:val="-4"/>
          <w:sz w:val="24"/>
        </w:rPr>
        <w:t> </w:t>
      </w:r>
      <w:r>
        <w:rPr>
          <w:sz w:val="24"/>
        </w:rPr>
        <w:t>were</w:t>
      </w:r>
      <w:r>
        <w:rPr>
          <w:spacing w:val="-2"/>
          <w:sz w:val="24"/>
        </w:rPr>
        <w:t> </w:t>
      </w:r>
      <w:r>
        <w:rPr>
          <w:sz w:val="24"/>
        </w:rPr>
        <w:t>obtained,</w:t>
      </w:r>
      <w:r>
        <w:rPr>
          <w:spacing w:val="-3"/>
          <w:sz w:val="24"/>
        </w:rPr>
        <w:t> </w:t>
      </w:r>
      <w:r>
        <w:rPr>
          <w:sz w:val="24"/>
        </w:rPr>
        <w:t>and</w:t>
      </w:r>
      <w:r>
        <w:rPr>
          <w:spacing w:val="-3"/>
          <w:sz w:val="24"/>
        </w:rPr>
        <w:t> </w:t>
      </w:r>
      <w:r>
        <w:rPr>
          <w:sz w:val="24"/>
        </w:rPr>
        <w:t>efforts</w:t>
      </w:r>
      <w:r>
        <w:rPr>
          <w:spacing w:val="-3"/>
          <w:sz w:val="24"/>
        </w:rPr>
        <w:t> </w:t>
      </w:r>
      <w:r>
        <w:rPr>
          <w:sz w:val="24"/>
        </w:rPr>
        <w:t>to</w:t>
      </w:r>
      <w:r>
        <w:rPr>
          <w:spacing w:val="-3"/>
          <w:sz w:val="24"/>
        </w:rPr>
        <w:t> </w:t>
      </w:r>
      <w:r>
        <w:rPr>
          <w:sz w:val="24"/>
        </w:rPr>
        <w:t>validate and clean the data.</w:t>
      </w:r>
    </w:p>
    <w:p>
      <w:pPr>
        <w:pStyle w:val="ListParagraph"/>
        <w:numPr>
          <w:ilvl w:val="0"/>
          <w:numId w:val="56"/>
        </w:numPr>
        <w:tabs>
          <w:tab w:pos="2300" w:val="left" w:leader="none"/>
        </w:tabs>
        <w:spacing w:line="240" w:lineRule="auto" w:before="0" w:after="0"/>
        <w:ind w:left="2300" w:right="1176" w:hanging="360"/>
        <w:jc w:val="left"/>
        <w:rPr>
          <w:sz w:val="24"/>
        </w:rPr>
      </w:pPr>
      <w:bookmarkStart w:name="6) Analytic Methods – Identify specific " w:id="1176"/>
      <w:bookmarkEnd w:id="1176"/>
      <w:r>
        <w:rPr/>
      </w:r>
      <w:r>
        <w:rPr>
          <w:i/>
          <w:sz w:val="24"/>
        </w:rPr>
        <w:t>Analytic</w:t>
      </w:r>
      <w:r>
        <w:rPr>
          <w:i/>
          <w:spacing w:val="-4"/>
          <w:sz w:val="24"/>
        </w:rPr>
        <w:t> </w:t>
      </w:r>
      <w:r>
        <w:rPr>
          <w:i/>
          <w:sz w:val="24"/>
        </w:rPr>
        <w:t>Methods</w:t>
      </w:r>
      <w:r>
        <w:rPr>
          <w:i/>
          <w:spacing w:val="-3"/>
          <w:sz w:val="24"/>
        </w:rPr>
        <w:t> </w:t>
      </w:r>
      <w:r>
        <w:rPr>
          <w:sz w:val="24"/>
        </w:rPr>
        <w:t>–</w:t>
      </w:r>
      <w:r>
        <w:rPr>
          <w:spacing w:val="-1"/>
          <w:sz w:val="24"/>
        </w:rPr>
        <w:t> </w:t>
      </w:r>
      <w:r>
        <w:rPr>
          <w:sz w:val="24"/>
        </w:rPr>
        <w:t>Identify</w:t>
      </w:r>
      <w:r>
        <w:rPr>
          <w:spacing w:val="-8"/>
          <w:sz w:val="24"/>
        </w:rPr>
        <w:t> </w:t>
      </w:r>
      <w:r>
        <w:rPr>
          <w:sz w:val="24"/>
        </w:rPr>
        <w:t>specific</w:t>
      </w:r>
      <w:r>
        <w:rPr>
          <w:spacing w:val="-4"/>
          <w:sz w:val="24"/>
        </w:rPr>
        <w:t> </w:t>
      </w:r>
      <w:r>
        <w:rPr>
          <w:sz w:val="24"/>
        </w:rPr>
        <w:t>statistical</w:t>
      </w:r>
      <w:r>
        <w:rPr>
          <w:spacing w:val="-3"/>
          <w:sz w:val="24"/>
        </w:rPr>
        <w:t> </w:t>
      </w:r>
      <w:r>
        <w:rPr>
          <w:sz w:val="24"/>
        </w:rPr>
        <w:t>testing</w:t>
      </w:r>
      <w:r>
        <w:rPr>
          <w:spacing w:val="-6"/>
          <w:sz w:val="24"/>
        </w:rPr>
        <w:t> </w:t>
      </w:r>
      <w:r>
        <w:rPr>
          <w:sz w:val="24"/>
        </w:rPr>
        <w:t>which</w:t>
      </w:r>
      <w:r>
        <w:rPr>
          <w:spacing w:val="-3"/>
          <w:sz w:val="24"/>
        </w:rPr>
        <w:t> </w:t>
      </w:r>
      <w:r>
        <w:rPr>
          <w:sz w:val="24"/>
        </w:rPr>
        <w:t>was</w:t>
      </w:r>
      <w:r>
        <w:rPr>
          <w:spacing w:val="-3"/>
          <w:sz w:val="24"/>
        </w:rPr>
        <w:t> </w:t>
      </w:r>
      <w:r>
        <w:rPr>
          <w:sz w:val="24"/>
        </w:rPr>
        <w:t>undertaken</w:t>
      </w:r>
      <w:r>
        <w:rPr>
          <w:spacing w:val="-3"/>
          <w:sz w:val="24"/>
        </w:rPr>
        <w:t> </w:t>
      </w:r>
      <w:r>
        <w:rPr>
          <w:sz w:val="24"/>
        </w:rPr>
        <w:t>for</w:t>
      </w:r>
      <w:r>
        <w:rPr>
          <w:spacing w:val="-4"/>
          <w:sz w:val="24"/>
        </w:rPr>
        <w:t> </w:t>
      </w:r>
      <w:r>
        <w:rPr>
          <w:sz w:val="24"/>
        </w:rPr>
        <w:t>each </w:t>
      </w:r>
      <w:bookmarkStart w:name="7) Other Additions – The state may provi" w:id="1177"/>
      <w:bookmarkEnd w:id="1177"/>
      <w:r>
        <w:rPr>
          <w:sz w:val="24"/>
        </w:rPr>
        <w:t>m</w:t>
      </w:r>
      <w:r>
        <w:rPr>
          <w:sz w:val="24"/>
        </w:rPr>
        <w:t>easure (t-tests, chi-square, odds ratio, ANOVA, regression, etc.).</w:t>
      </w:r>
    </w:p>
    <w:p>
      <w:pPr>
        <w:pStyle w:val="ListParagraph"/>
        <w:numPr>
          <w:ilvl w:val="0"/>
          <w:numId w:val="56"/>
        </w:numPr>
        <w:tabs>
          <w:tab w:pos="2299" w:val="left" w:leader="none"/>
        </w:tabs>
        <w:spacing w:line="240" w:lineRule="auto" w:before="0" w:after="0"/>
        <w:ind w:left="2299" w:right="1790" w:hanging="360"/>
        <w:jc w:val="left"/>
        <w:rPr>
          <w:sz w:val="24"/>
        </w:rPr>
      </w:pPr>
      <w:r>
        <w:rPr>
          <w:i/>
          <w:sz w:val="24"/>
        </w:rPr>
        <w:t>Other</w:t>
      </w:r>
      <w:r>
        <w:rPr>
          <w:i/>
          <w:spacing w:val="-3"/>
          <w:sz w:val="24"/>
        </w:rPr>
        <w:t> </w:t>
      </w:r>
      <w:r>
        <w:rPr>
          <w:i/>
          <w:sz w:val="24"/>
        </w:rPr>
        <w:t>Additions</w:t>
      </w:r>
      <w:r>
        <w:rPr>
          <w:i/>
          <w:spacing w:val="-3"/>
          <w:sz w:val="24"/>
        </w:rPr>
        <w:t> </w:t>
      </w:r>
      <w:r>
        <w:rPr>
          <w:sz w:val="24"/>
        </w:rPr>
        <w:t>–</w:t>
      </w:r>
      <w:r>
        <w:rPr>
          <w:spacing w:val="-3"/>
          <w:sz w:val="24"/>
        </w:rPr>
        <w:t> </w:t>
      </w:r>
      <w:r>
        <w:rPr>
          <w:sz w:val="24"/>
        </w:rPr>
        <w:t>The</w:t>
      </w:r>
      <w:r>
        <w:rPr>
          <w:spacing w:val="-3"/>
          <w:sz w:val="24"/>
        </w:rPr>
        <w:t> </w:t>
      </w:r>
      <w:r>
        <w:rPr>
          <w:sz w:val="24"/>
        </w:rPr>
        <w:t>state</w:t>
      </w:r>
      <w:r>
        <w:rPr>
          <w:spacing w:val="-3"/>
          <w:sz w:val="24"/>
        </w:rPr>
        <w:t> </w:t>
      </w:r>
      <w:r>
        <w:rPr>
          <w:sz w:val="24"/>
        </w:rPr>
        <w:t>may</w:t>
      </w:r>
      <w:r>
        <w:rPr>
          <w:spacing w:val="-7"/>
          <w:sz w:val="24"/>
        </w:rPr>
        <w:t> </w:t>
      </w:r>
      <w:r>
        <w:rPr>
          <w:sz w:val="24"/>
        </w:rPr>
        <w:t>provide</w:t>
      </w:r>
      <w:r>
        <w:rPr>
          <w:spacing w:val="-2"/>
          <w:sz w:val="24"/>
        </w:rPr>
        <w:t> </w:t>
      </w:r>
      <w:r>
        <w:rPr>
          <w:sz w:val="24"/>
        </w:rPr>
        <w:t>any</w:t>
      </w:r>
      <w:r>
        <w:rPr>
          <w:spacing w:val="-7"/>
          <w:sz w:val="24"/>
        </w:rPr>
        <w:t> </w:t>
      </w:r>
      <w:r>
        <w:rPr>
          <w:sz w:val="24"/>
        </w:rPr>
        <w:t>other</w:t>
      </w:r>
      <w:r>
        <w:rPr>
          <w:spacing w:val="-3"/>
          <w:sz w:val="24"/>
        </w:rPr>
        <w:t> </w:t>
      </w:r>
      <w:r>
        <w:rPr>
          <w:sz w:val="24"/>
        </w:rPr>
        <w:t>information</w:t>
      </w:r>
      <w:r>
        <w:rPr>
          <w:spacing w:val="-3"/>
          <w:sz w:val="24"/>
        </w:rPr>
        <w:t> </w:t>
      </w:r>
      <w:r>
        <w:rPr>
          <w:sz w:val="24"/>
        </w:rPr>
        <w:t>pertinent</w:t>
      </w:r>
      <w:r>
        <w:rPr>
          <w:spacing w:val="-3"/>
          <w:sz w:val="24"/>
        </w:rPr>
        <w:t> </w:t>
      </w:r>
      <w:r>
        <w:rPr>
          <w:sz w:val="24"/>
        </w:rPr>
        <w:t>to</w:t>
      </w:r>
      <w:r>
        <w:rPr>
          <w:spacing w:val="-1"/>
          <w:sz w:val="24"/>
        </w:rPr>
        <w:t> </w:t>
      </w:r>
      <w:r>
        <w:rPr>
          <w:sz w:val="24"/>
        </w:rPr>
        <w:t>the evaluation of the demonstration.</w:t>
      </w:r>
    </w:p>
    <w:p>
      <w:pPr>
        <w:pStyle w:val="BodyText"/>
        <w:spacing w:before="3"/>
        <w:rPr>
          <w:sz w:val="29"/>
        </w:rPr>
      </w:pPr>
    </w:p>
    <w:p>
      <w:pPr>
        <w:pStyle w:val="ListParagraph"/>
        <w:numPr>
          <w:ilvl w:val="0"/>
          <w:numId w:val="55"/>
        </w:numPr>
        <w:tabs>
          <w:tab w:pos="1939" w:val="left" w:leader="none"/>
        </w:tabs>
        <w:spacing w:line="240" w:lineRule="auto" w:before="0" w:after="0"/>
        <w:ind w:left="1939" w:right="1052" w:hanging="360"/>
        <w:jc w:val="left"/>
        <w:rPr>
          <w:sz w:val="24"/>
        </w:rPr>
      </w:pPr>
      <w:bookmarkStart w:name="E. Methodological Limitations – This sec" w:id="1178"/>
      <w:bookmarkEnd w:id="1178"/>
      <w:r>
        <w:rPr/>
      </w:r>
      <w:r>
        <w:rPr>
          <w:b/>
          <w:sz w:val="24"/>
        </w:rPr>
        <w:t>Methodological</w:t>
      </w:r>
      <w:r>
        <w:rPr>
          <w:b/>
          <w:spacing w:val="-4"/>
          <w:sz w:val="24"/>
        </w:rPr>
        <w:t> </w:t>
      </w:r>
      <w:r>
        <w:rPr>
          <w:b/>
          <w:sz w:val="24"/>
        </w:rPr>
        <w:t>Limitations</w:t>
      </w:r>
      <w:r>
        <w:rPr>
          <w:b/>
          <w:spacing w:val="-4"/>
          <w:sz w:val="24"/>
        </w:rPr>
        <w:t> </w:t>
      </w:r>
      <w:r>
        <w:rPr>
          <w:sz w:val="24"/>
        </w:rPr>
        <w:t>–</w:t>
      </w:r>
      <w:r>
        <w:rPr>
          <w:spacing w:val="-4"/>
          <w:sz w:val="24"/>
        </w:rPr>
        <w:t> </w:t>
      </w:r>
      <w:r>
        <w:rPr>
          <w:sz w:val="24"/>
        </w:rPr>
        <w:t>This</w:t>
      </w:r>
      <w:r>
        <w:rPr>
          <w:spacing w:val="-4"/>
          <w:sz w:val="24"/>
        </w:rPr>
        <w:t> </w:t>
      </w:r>
      <w:r>
        <w:rPr>
          <w:sz w:val="24"/>
        </w:rPr>
        <w:t>section</w:t>
      </w:r>
      <w:r>
        <w:rPr>
          <w:spacing w:val="-4"/>
          <w:sz w:val="24"/>
        </w:rPr>
        <w:t> </w:t>
      </w:r>
      <w:r>
        <w:rPr>
          <w:sz w:val="24"/>
        </w:rPr>
        <w:t>provides</w:t>
      </w:r>
      <w:r>
        <w:rPr>
          <w:spacing w:val="-4"/>
          <w:sz w:val="24"/>
        </w:rPr>
        <w:t> </w:t>
      </w:r>
      <w:r>
        <w:rPr>
          <w:sz w:val="24"/>
        </w:rPr>
        <w:t>sufficient</w:t>
      </w:r>
      <w:r>
        <w:rPr>
          <w:spacing w:val="-4"/>
          <w:sz w:val="24"/>
        </w:rPr>
        <w:t> </w:t>
      </w:r>
      <w:r>
        <w:rPr>
          <w:sz w:val="24"/>
        </w:rPr>
        <w:t>information</w:t>
      </w:r>
      <w:r>
        <w:rPr>
          <w:spacing w:val="-4"/>
          <w:sz w:val="24"/>
        </w:rPr>
        <w:t> </w:t>
      </w:r>
      <w:r>
        <w:rPr>
          <w:sz w:val="24"/>
        </w:rPr>
        <w:t>for</w:t>
      </w:r>
      <w:r>
        <w:rPr>
          <w:spacing w:val="-5"/>
          <w:sz w:val="24"/>
        </w:rPr>
        <w:t> </w:t>
      </w:r>
      <w:r>
        <w:rPr>
          <w:sz w:val="24"/>
        </w:rPr>
        <w:t>discerning the strengths and weaknesses of the study design, data sources/collection, and analyses.</w:t>
      </w:r>
    </w:p>
    <w:p>
      <w:pPr>
        <w:pStyle w:val="BodyText"/>
      </w:pPr>
    </w:p>
    <w:p>
      <w:pPr>
        <w:pStyle w:val="ListParagraph"/>
        <w:numPr>
          <w:ilvl w:val="0"/>
          <w:numId w:val="55"/>
        </w:numPr>
        <w:tabs>
          <w:tab w:pos="1939" w:val="left" w:leader="none"/>
        </w:tabs>
        <w:spacing w:line="240" w:lineRule="auto" w:before="0" w:after="0"/>
        <w:ind w:left="1939" w:right="1032" w:hanging="360"/>
        <w:jc w:val="left"/>
        <w:rPr>
          <w:sz w:val="24"/>
        </w:rPr>
      </w:pPr>
      <w:bookmarkStart w:name="F. Results – In this section, the state " w:id="1179"/>
      <w:bookmarkEnd w:id="1179"/>
      <w:r>
        <w:rPr/>
      </w:r>
      <w:r>
        <w:rPr>
          <w:b/>
          <w:sz w:val="24"/>
        </w:rPr>
        <w:t>Results</w:t>
      </w:r>
      <w:r>
        <w:rPr>
          <w:b/>
          <w:spacing w:val="-3"/>
          <w:sz w:val="24"/>
        </w:rPr>
        <w:t> </w:t>
      </w:r>
      <w:r>
        <w:rPr>
          <w:sz w:val="24"/>
        </w:rPr>
        <w:t>–</w:t>
      </w:r>
      <w:r>
        <w:rPr>
          <w:spacing w:val="-1"/>
          <w:sz w:val="24"/>
        </w:rPr>
        <w:t> </w:t>
      </w:r>
      <w:r>
        <w:rPr>
          <w:sz w:val="24"/>
        </w:rPr>
        <w:t>In</w:t>
      </w:r>
      <w:r>
        <w:rPr>
          <w:spacing w:val="-3"/>
          <w:sz w:val="24"/>
        </w:rPr>
        <w:t> </w:t>
      </w:r>
      <w:r>
        <w:rPr>
          <w:sz w:val="24"/>
        </w:rPr>
        <w:t>this</w:t>
      </w:r>
      <w:r>
        <w:rPr>
          <w:spacing w:val="-3"/>
          <w:sz w:val="24"/>
        </w:rPr>
        <w:t> </w:t>
      </w:r>
      <w:r>
        <w:rPr>
          <w:sz w:val="24"/>
        </w:rPr>
        <w:t>section,</w:t>
      </w:r>
      <w:r>
        <w:rPr>
          <w:spacing w:val="-3"/>
          <w:sz w:val="24"/>
        </w:rPr>
        <w:t> </w:t>
      </w:r>
      <w:r>
        <w:rPr>
          <w:sz w:val="24"/>
        </w:rPr>
        <w:t>the</w:t>
      </w:r>
      <w:r>
        <w:rPr>
          <w:spacing w:val="-4"/>
          <w:sz w:val="24"/>
        </w:rPr>
        <w:t> </w:t>
      </w:r>
      <w:r>
        <w:rPr>
          <w:sz w:val="24"/>
        </w:rPr>
        <w:t>state</w:t>
      </w:r>
      <w:r>
        <w:rPr>
          <w:spacing w:val="-4"/>
          <w:sz w:val="24"/>
        </w:rPr>
        <w:t> </w:t>
      </w:r>
      <w:r>
        <w:rPr>
          <w:sz w:val="24"/>
        </w:rPr>
        <w:t>presents</w:t>
      </w:r>
      <w:r>
        <w:rPr>
          <w:spacing w:val="-1"/>
          <w:sz w:val="24"/>
        </w:rPr>
        <w:t> </w:t>
      </w:r>
      <w:r>
        <w:rPr>
          <w:sz w:val="24"/>
        </w:rPr>
        <w:t>and</w:t>
      </w:r>
      <w:r>
        <w:rPr>
          <w:spacing w:val="-3"/>
          <w:sz w:val="24"/>
        </w:rPr>
        <w:t> </w:t>
      </w:r>
      <w:r>
        <w:rPr>
          <w:sz w:val="24"/>
        </w:rPr>
        <w:t>uses</w:t>
      </w:r>
      <w:r>
        <w:rPr>
          <w:spacing w:val="-3"/>
          <w:sz w:val="24"/>
        </w:rPr>
        <w:t> </w:t>
      </w:r>
      <w:r>
        <w:rPr>
          <w:sz w:val="24"/>
        </w:rPr>
        <w:t>the</w:t>
      </w:r>
      <w:r>
        <w:rPr>
          <w:spacing w:val="-4"/>
          <w:sz w:val="24"/>
        </w:rPr>
        <w:t> </w:t>
      </w:r>
      <w:r>
        <w:rPr>
          <w:sz w:val="24"/>
        </w:rPr>
        <w:t>quantitative</w:t>
      </w:r>
      <w:r>
        <w:rPr>
          <w:spacing w:val="-4"/>
          <w:sz w:val="24"/>
        </w:rPr>
        <w:t> </w:t>
      </w:r>
      <w:r>
        <w:rPr>
          <w:sz w:val="24"/>
        </w:rPr>
        <w:t>and</w:t>
      </w:r>
      <w:r>
        <w:rPr>
          <w:spacing w:val="-3"/>
          <w:sz w:val="24"/>
        </w:rPr>
        <w:t> </w:t>
      </w:r>
      <w:r>
        <w:rPr>
          <w:sz w:val="24"/>
        </w:rPr>
        <w:t>qualitative</w:t>
      </w:r>
      <w:r>
        <w:rPr>
          <w:spacing w:val="-4"/>
          <w:sz w:val="24"/>
        </w:rPr>
        <w:t> </w:t>
      </w:r>
      <w:r>
        <w:rPr>
          <w:sz w:val="24"/>
        </w:rPr>
        <w:t>data</w:t>
      </w:r>
      <w:r>
        <w:rPr>
          <w:spacing w:val="-4"/>
          <w:sz w:val="24"/>
        </w:rPr>
        <w:t> </w:t>
      </w:r>
      <w:r>
        <w:rPr>
          <w:sz w:val="24"/>
        </w:rPr>
        <w:t>to demonstrate whether and to what degree the evaluation questions and hypotheses of the demonstration were addressed.</w:t>
      </w:r>
      <w:r>
        <w:rPr>
          <w:spacing w:val="40"/>
          <w:sz w:val="24"/>
        </w:rPr>
        <w:t> </w:t>
      </w:r>
      <w:r>
        <w:rPr>
          <w:sz w:val="24"/>
        </w:rPr>
        <w:t>The findings should visually depict the demonstration results, using tables, charts, and graphs, where appropriate.</w:t>
      </w:r>
      <w:r>
        <w:rPr>
          <w:spacing w:val="40"/>
          <w:sz w:val="24"/>
        </w:rPr>
        <w:t> </w:t>
      </w:r>
      <w:r>
        <w:rPr>
          <w:sz w:val="24"/>
        </w:rPr>
        <w:t>This section should include findings from the statistical tests conducted.</w:t>
      </w:r>
    </w:p>
    <w:p>
      <w:pPr>
        <w:pStyle w:val="BodyText"/>
      </w:pPr>
    </w:p>
    <w:p>
      <w:pPr>
        <w:pStyle w:val="ListParagraph"/>
        <w:numPr>
          <w:ilvl w:val="0"/>
          <w:numId w:val="55"/>
        </w:numPr>
        <w:tabs>
          <w:tab w:pos="1939" w:val="left" w:leader="none"/>
        </w:tabs>
        <w:spacing w:line="240" w:lineRule="auto" w:before="0" w:after="0"/>
        <w:ind w:left="1939" w:right="1033" w:hanging="360"/>
        <w:jc w:val="left"/>
        <w:rPr>
          <w:sz w:val="24"/>
        </w:rPr>
      </w:pPr>
      <w:bookmarkStart w:name="G. Conclusions – In this section, the st" w:id="1180"/>
      <w:bookmarkEnd w:id="1180"/>
      <w:r>
        <w:rPr/>
      </w:r>
      <w:r>
        <w:rPr>
          <w:b/>
          <w:sz w:val="24"/>
        </w:rPr>
        <w:t>Conclusions </w:t>
      </w:r>
      <w:r>
        <w:rPr>
          <w:sz w:val="24"/>
        </w:rPr>
        <w:t>– In this section, the state will present the conclusions about the evaluation results.</w:t>
      </w:r>
      <w:r>
        <w:rPr>
          <w:spacing w:val="40"/>
          <w:sz w:val="24"/>
        </w:rPr>
        <w:t> </w:t>
      </w:r>
      <w:r>
        <w:rPr>
          <w:sz w:val="24"/>
        </w:rPr>
        <w:t>Based</w:t>
      </w:r>
      <w:r>
        <w:rPr>
          <w:spacing w:val="-3"/>
          <w:sz w:val="24"/>
        </w:rPr>
        <w:t> </w:t>
      </w:r>
      <w:r>
        <w:rPr>
          <w:sz w:val="24"/>
        </w:rPr>
        <w:t>on</w:t>
      </w:r>
      <w:r>
        <w:rPr>
          <w:spacing w:val="-3"/>
          <w:sz w:val="24"/>
        </w:rPr>
        <w:t> </w:t>
      </w:r>
      <w:r>
        <w:rPr>
          <w:sz w:val="24"/>
        </w:rPr>
        <w:t>the</w:t>
      </w:r>
      <w:r>
        <w:rPr>
          <w:spacing w:val="-4"/>
          <w:sz w:val="24"/>
        </w:rPr>
        <w:t> </w:t>
      </w:r>
      <w:r>
        <w:rPr>
          <w:sz w:val="24"/>
        </w:rPr>
        <w:t>findings,</w:t>
      </w:r>
      <w:r>
        <w:rPr>
          <w:spacing w:val="-3"/>
          <w:sz w:val="24"/>
        </w:rPr>
        <w:t> </w:t>
      </w:r>
      <w:r>
        <w:rPr>
          <w:sz w:val="24"/>
        </w:rPr>
        <w:t>discuss</w:t>
      </w:r>
      <w:r>
        <w:rPr>
          <w:spacing w:val="-3"/>
          <w:sz w:val="24"/>
        </w:rPr>
        <w:t> </w:t>
      </w:r>
      <w:r>
        <w:rPr>
          <w:sz w:val="24"/>
        </w:rPr>
        <w:t>the</w:t>
      </w:r>
      <w:r>
        <w:rPr>
          <w:spacing w:val="-4"/>
          <w:sz w:val="24"/>
        </w:rPr>
        <w:t> </w:t>
      </w:r>
      <w:r>
        <w:rPr>
          <w:sz w:val="24"/>
        </w:rPr>
        <w:t>outcomes</w:t>
      </w:r>
      <w:r>
        <w:rPr>
          <w:spacing w:val="-3"/>
          <w:sz w:val="24"/>
        </w:rPr>
        <w:t> </w:t>
      </w:r>
      <w:r>
        <w:rPr>
          <w:sz w:val="24"/>
        </w:rPr>
        <w:t>and</w:t>
      </w:r>
      <w:r>
        <w:rPr>
          <w:spacing w:val="-3"/>
          <w:sz w:val="24"/>
        </w:rPr>
        <w:t> </w:t>
      </w:r>
      <w:r>
        <w:rPr>
          <w:sz w:val="24"/>
        </w:rPr>
        <w:t>impacts</w:t>
      </w:r>
      <w:r>
        <w:rPr>
          <w:spacing w:val="-3"/>
          <w:sz w:val="24"/>
        </w:rPr>
        <w:t> </w:t>
      </w:r>
      <w:r>
        <w:rPr>
          <w:sz w:val="24"/>
        </w:rPr>
        <w:t>of</w:t>
      </w:r>
      <w:r>
        <w:rPr>
          <w:spacing w:val="-4"/>
          <w:sz w:val="24"/>
        </w:rPr>
        <w:t> </w:t>
      </w:r>
      <w:r>
        <w:rPr>
          <w:sz w:val="24"/>
        </w:rPr>
        <w:t>the</w:t>
      </w:r>
      <w:r>
        <w:rPr>
          <w:spacing w:val="-4"/>
          <w:sz w:val="24"/>
        </w:rPr>
        <w:t> </w:t>
      </w:r>
      <w:r>
        <w:rPr>
          <w:sz w:val="24"/>
        </w:rPr>
        <w:t>demonstration</w:t>
      </w:r>
      <w:r>
        <w:rPr>
          <w:spacing w:val="-3"/>
          <w:sz w:val="24"/>
        </w:rPr>
        <w:t> </w:t>
      </w:r>
      <w:r>
        <w:rPr>
          <w:sz w:val="24"/>
        </w:rPr>
        <w:t>and identify the opportunities for improvements.</w:t>
      </w:r>
      <w:r>
        <w:rPr>
          <w:spacing w:val="40"/>
          <w:sz w:val="24"/>
        </w:rPr>
        <w:t> </w:t>
      </w:r>
      <w:r>
        <w:rPr>
          <w:sz w:val="24"/>
        </w:rPr>
        <w:t>Specifically, the state should answer the following questions:</w:t>
      </w:r>
    </w:p>
    <w:p>
      <w:pPr>
        <w:pStyle w:val="BodyText"/>
      </w:pPr>
    </w:p>
    <w:p>
      <w:pPr>
        <w:pStyle w:val="ListParagraph"/>
        <w:numPr>
          <w:ilvl w:val="1"/>
          <w:numId w:val="55"/>
        </w:numPr>
        <w:tabs>
          <w:tab w:pos="2299" w:val="left" w:leader="none"/>
        </w:tabs>
        <w:spacing w:line="240" w:lineRule="auto" w:before="0" w:after="0"/>
        <w:ind w:left="2299" w:right="1202" w:hanging="360"/>
        <w:jc w:val="left"/>
        <w:rPr>
          <w:sz w:val="24"/>
        </w:rPr>
      </w:pPr>
      <w:r>
        <w:rPr>
          <w:sz w:val="24"/>
        </w:rPr>
        <w:t>In general, did the results show that the demonstration was/was not effective in achieving</w:t>
      </w:r>
      <w:r>
        <w:rPr>
          <w:spacing w:val="-6"/>
          <w:sz w:val="24"/>
        </w:rPr>
        <w:t> </w:t>
      </w:r>
      <w:r>
        <w:rPr>
          <w:sz w:val="24"/>
        </w:rPr>
        <w:t>the</w:t>
      </w:r>
      <w:r>
        <w:rPr>
          <w:spacing w:val="-2"/>
          <w:sz w:val="24"/>
        </w:rPr>
        <w:t> </w:t>
      </w:r>
      <w:r>
        <w:rPr>
          <w:sz w:val="24"/>
        </w:rPr>
        <w:t>goals</w:t>
      </w:r>
      <w:r>
        <w:rPr>
          <w:spacing w:val="-3"/>
          <w:sz w:val="24"/>
        </w:rPr>
        <w:t> </w:t>
      </w:r>
      <w:r>
        <w:rPr>
          <w:sz w:val="24"/>
        </w:rPr>
        <w:t>and</w:t>
      </w:r>
      <w:r>
        <w:rPr>
          <w:spacing w:val="-3"/>
          <w:sz w:val="24"/>
        </w:rPr>
        <w:t> </w:t>
      </w:r>
      <w:r>
        <w:rPr>
          <w:sz w:val="24"/>
        </w:rPr>
        <w:t>objectives</w:t>
      </w:r>
      <w:r>
        <w:rPr>
          <w:spacing w:val="-3"/>
          <w:sz w:val="24"/>
        </w:rPr>
        <w:t> </w:t>
      </w:r>
      <w:r>
        <w:rPr>
          <w:sz w:val="24"/>
        </w:rPr>
        <w:t>established</w:t>
      </w:r>
      <w:r>
        <w:rPr>
          <w:spacing w:val="-3"/>
          <w:sz w:val="24"/>
        </w:rPr>
        <w:t> </w:t>
      </w:r>
      <w:r>
        <w:rPr>
          <w:sz w:val="24"/>
        </w:rPr>
        <w:t>at</w:t>
      </w:r>
      <w:r>
        <w:rPr>
          <w:spacing w:val="-3"/>
          <w:sz w:val="24"/>
        </w:rPr>
        <w:t> </w:t>
      </w:r>
      <w:r>
        <w:rPr>
          <w:sz w:val="24"/>
        </w:rPr>
        <w:t>the</w:t>
      </w:r>
      <w:r>
        <w:rPr>
          <w:spacing w:val="-4"/>
          <w:sz w:val="24"/>
        </w:rPr>
        <w:t> </w:t>
      </w:r>
      <w:r>
        <w:rPr>
          <w:sz w:val="24"/>
        </w:rPr>
        <w:t>beginning</w:t>
      </w:r>
      <w:r>
        <w:rPr>
          <w:spacing w:val="-6"/>
          <w:sz w:val="24"/>
        </w:rPr>
        <w:t> </w:t>
      </w:r>
      <w:r>
        <w:rPr>
          <w:sz w:val="24"/>
        </w:rPr>
        <w:t>of</w:t>
      </w:r>
      <w:r>
        <w:rPr>
          <w:spacing w:val="-4"/>
          <w:sz w:val="24"/>
        </w:rPr>
        <w:t> </w:t>
      </w:r>
      <w:r>
        <w:rPr>
          <w:sz w:val="24"/>
        </w:rPr>
        <w:t>the</w:t>
      </w:r>
      <w:r>
        <w:rPr>
          <w:spacing w:val="-4"/>
          <w:sz w:val="24"/>
        </w:rPr>
        <w:t> </w:t>
      </w:r>
      <w:r>
        <w:rPr>
          <w:sz w:val="24"/>
        </w:rPr>
        <w:t>demonstration?</w:t>
      </w:r>
    </w:p>
    <w:p>
      <w:pPr>
        <w:pStyle w:val="ListParagraph"/>
        <w:numPr>
          <w:ilvl w:val="2"/>
          <w:numId w:val="55"/>
        </w:numPr>
        <w:tabs>
          <w:tab w:pos="2930" w:val="left" w:leader="none"/>
        </w:tabs>
        <w:spacing w:line="240" w:lineRule="auto" w:before="60" w:after="0"/>
        <w:ind w:left="2930" w:right="0" w:hanging="359"/>
        <w:jc w:val="left"/>
        <w:rPr>
          <w:sz w:val="24"/>
        </w:rPr>
      </w:pPr>
      <w:r>
        <w:rPr>
          <w:sz w:val="24"/>
        </w:rPr>
        <w:t>If</w:t>
      </w:r>
      <w:r>
        <w:rPr>
          <w:spacing w:val="-2"/>
          <w:sz w:val="24"/>
        </w:rPr>
        <w:t> </w:t>
      </w:r>
      <w:r>
        <w:rPr>
          <w:sz w:val="24"/>
        </w:rPr>
        <w:t>the</w:t>
      </w:r>
      <w:r>
        <w:rPr>
          <w:spacing w:val="-2"/>
          <w:sz w:val="24"/>
        </w:rPr>
        <w:t> </w:t>
      </w:r>
      <w:r>
        <w:rPr>
          <w:sz w:val="24"/>
        </w:rPr>
        <w:t>state</w:t>
      </w:r>
      <w:r>
        <w:rPr>
          <w:spacing w:val="-1"/>
          <w:sz w:val="24"/>
        </w:rPr>
        <w:t> </w:t>
      </w:r>
      <w:r>
        <w:rPr>
          <w:sz w:val="24"/>
        </w:rPr>
        <w:t>did</w:t>
      </w:r>
      <w:r>
        <w:rPr>
          <w:spacing w:val="-1"/>
          <w:sz w:val="24"/>
        </w:rPr>
        <w:t> </w:t>
      </w:r>
      <w:r>
        <w:rPr>
          <w:sz w:val="24"/>
        </w:rPr>
        <w:t>not</w:t>
      </w:r>
      <w:r>
        <w:rPr>
          <w:spacing w:val="-1"/>
          <w:sz w:val="24"/>
        </w:rPr>
        <w:t> </w:t>
      </w:r>
      <w:r>
        <w:rPr>
          <w:sz w:val="24"/>
        </w:rPr>
        <w:t>fully</w:t>
      </w:r>
      <w:r>
        <w:rPr>
          <w:spacing w:val="-5"/>
          <w:sz w:val="24"/>
        </w:rPr>
        <w:t> </w:t>
      </w:r>
      <w:r>
        <w:rPr>
          <w:sz w:val="24"/>
        </w:rPr>
        <w:t>achieve</w:t>
      </w:r>
      <w:r>
        <w:rPr>
          <w:spacing w:val="-2"/>
          <w:sz w:val="24"/>
        </w:rPr>
        <w:t> </w:t>
      </w:r>
      <w:r>
        <w:rPr>
          <w:sz w:val="24"/>
        </w:rPr>
        <w:t>its</w:t>
      </w:r>
      <w:r>
        <w:rPr>
          <w:spacing w:val="-1"/>
          <w:sz w:val="24"/>
        </w:rPr>
        <w:t> </w:t>
      </w:r>
      <w:r>
        <w:rPr>
          <w:sz w:val="24"/>
        </w:rPr>
        <w:t>intended</w:t>
      </w:r>
      <w:r>
        <w:rPr>
          <w:spacing w:val="2"/>
          <w:sz w:val="24"/>
        </w:rPr>
        <w:t> </w:t>
      </w:r>
      <w:r>
        <w:rPr>
          <w:sz w:val="24"/>
        </w:rPr>
        <w:t>goals,</w:t>
      </w:r>
      <w:r>
        <w:rPr>
          <w:spacing w:val="1"/>
          <w:sz w:val="24"/>
        </w:rPr>
        <w:t> </w:t>
      </w:r>
      <w:r>
        <w:rPr>
          <w:sz w:val="24"/>
        </w:rPr>
        <w:t>why</w:t>
      </w:r>
      <w:r>
        <w:rPr>
          <w:spacing w:val="-5"/>
          <w:sz w:val="24"/>
        </w:rPr>
        <w:t> </w:t>
      </w:r>
      <w:r>
        <w:rPr>
          <w:spacing w:val="-4"/>
          <w:sz w:val="24"/>
        </w:rPr>
        <w:t>not?</w:t>
      </w:r>
    </w:p>
    <w:p>
      <w:pPr>
        <w:pStyle w:val="ListParagraph"/>
        <w:numPr>
          <w:ilvl w:val="2"/>
          <w:numId w:val="55"/>
        </w:numPr>
        <w:tabs>
          <w:tab w:pos="2931" w:val="left" w:leader="none"/>
        </w:tabs>
        <w:spacing w:line="240" w:lineRule="auto" w:before="60" w:after="0"/>
        <w:ind w:left="2931" w:right="1589" w:hanging="360"/>
        <w:jc w:val="left"/>
        <w:rPr>
          <w:sz w:val="24"/>
        </w:rPr>
      </w:pPr>
      <w:r>
        <w:rPr>
          <w:sz w:val="24"/>
        </w:rPr>
        <w:t>What</w:t>
      </w:r>
      <w:r>
        <w:rPr>
          <w:spacing w:val="-3"/>
          <w:sz w:val="24"/>
        </w:rPr>
        <w:t> </w:t>
      </w:r>
      <w:r>
        <w:rPr>
          <w:sz w:val="24"/>
        </w:rPr>
        <w:t>could</w:t>
      </w:r>
      <w:r>
        <w:rPr>
          <w:spacing w:val="-3"/>
          <w:sz w:val="24"/>
        </w:rPr>
        <w:t> </w:t>
      </w:r>
      <w:r>
        <w:rPr>
          <w:sz w:val="24"/>
        </w:rPr>
        <w:t>be</w:t>
      </w:r>
      <w:r>
        <w:rPr>
          <w:spacing w:val="-4"/>
          <w:sz w:val="24"/>
        </w:rPr>
        <w:t> </w:t>
      </w:r>
      <w:r>
        <w:rPr>
          <w:sz w:val="24"/>
        </w:rPr>
        <w:t>done</w:t>
      </w:r>
      <w:r>
        <w:rPr>
          <w:spacing w:val="-4"/>
          <w:sz w:val="24"/>
        </w:rPr>
        <w:t> </w:t>
      </w:r>
      <w:r>
        <w:rPr>
          <w:sz w:val="24"/>
        </w:rPr>
        <w:t>in</w:t>
      </w:r>
      <w:r>
        <w:rPr>
          <w:spacing w:val="-3"/>
          <w:sz w:val="24"/>
        </w:rPr>
        <w:t> </w:t>
      </w:r>
      <w:r>
        <w:rPr>
          <w:sz w:val="24"/>
        </w:rPr>
        <w:t>the</w:t>
      </w:r>
      <w:r>
        <w:rPr>
          <w:spacing w:val="-4"/>
          <w:sz w:val="24"/>
        </w:rPr>
        <w:t> </w:t>
      </w:r>
      <w:r>
        <w:rPr>
          <w:sz w:val="24"/>
        </w:rPr>
        <w:t>future</w:t>
      </w:r>
      <w:r>
        <w:rPr>
          <w:spacing w:val="-4"/>
          <w:sz w:val="24"/>
        </w:rPr>
        <w:t> </w:t>
      </w:r>
      <w:r>
        <w:rPr>
          <w:sz w:val="24"/>
        </w:rPr>
        <w:t>that</w:t>
      </w:r>
      <w:r>
        <w:rPr>
          <w:spacing w:val="-3"/>
          <w:sz w:val="24"/>
        </w:rPr>
        <w:t> </w:t>
      </w:r>
      <w:r>
        <w:rPr>
          <w:sz w:val="24"/>
        </w:rPr>
        <w:t>would</w:t>
      </w:r>
      <w:r>
        <w:rPr>
          <w:spacing w:val="-3"/>
          <w:sz w:val="24"/>
        </w:rPr>
        <w:t> </w:t>
      </w:r>
      <w:r>
        <w:rPr>
          <w:sz w:val="24"/>
        </w:rPr>
        <w:t>better</w:t>
      </w:r>
      <w:r>
        <w:rPr>
          <w:spacing w:val="-2"/>
          <w:sz w:val="24"/>
        </w:rPr>
        <w:t> </w:t>
      </w:r>
      <w:r>
        <w:rPr>
          <w:sz w:val="24"/>
        </w:rPr>
        <w:t>enable</w:t>
      </w:r>
      <w:r>
        <w:rPr>
          <w:spacing w:val="-4"/>
          <w:sz w:val="24"/>
        </w:rPr>
        <w:t> </w:t>
      </w:r>
      <w:r>
        <w:rPr>
          <w:sz w:val="24"/>
        </w:rPr>
        <w:t>such</w:t>
      </w:r>
      <w:r>
        <w:rPr>
          <w:spacing w:val="-1"/>
          <w:sz w:val="24"/>
        </w:rPr>
        <w:t> </w:t>
      </w:r>
      <w:r>
        <w:rPr>
          <w:sz w:val="24"/>
        </w:rPr>
        <w:t>an</w:t>
      </w:r>
      <w:r>
        <w:rPr>
          <w:spacing w:val="-3"/>
          <w:sz w:val="24"/>
        </w:rPr>
        <w:t> </w:t>
      </w:r>
      <w:r>
        <w:rPr>
          <w:sz w:val="24"/>
        </w:rPr>
        <w:t>effort</w:t>
      </w:r>
      <w:r>
        <w:rPr>
          <w:spacing w:val="-3"/>
          <w:sz w:val="24"/>
        </w:rPr>
        <w:t> </w:t>
      </w:r>
      <w:r>
        <w:rPr>
          <w:sz w:val="24"/>
        </w:rPr>
        <w:t>to more fully achieve those purposes, aims, objectives, and goals?</w:t>
      </w:r>
    </w:p>
    <w:p>
      <w:pPr>
        <w:pStyle w:val="BodyText"/>
        <w:spacing w:before="3"/>
        <w:rPr>
          <w:sz w:val="29"/>
        </w:rPr>
      </w:pPr>
    </w:p>
    <w:p>
      <w:pPr>
        <w:pStyle w:val="ListParagraph"/>
        <w:numPr>
          <w:ilvl w:val="0"/>
          <w:numId w:val="55"/>
        </w:numPr>
        <w:tabs>
          <w:tab w:pos="1937" w:val="left" w:leader="none"/>
          <w:tab w:pos="1939" w:val="left" w:leader="none"/>
        </w:tabs>
        <w:spacing w:line="240" w:lineRule="auto" w:before="0" w:after="0"/>
        <w:ind w:left="1939" w:right="1179" w:hanging="360"/>
        <w:jc w:val="both"/>
        <w:rPr>
          <w:sz w:val="24"/>
        </w:rPr>
      </w:pPr>
      <w:bookmarkStart w:name="H. Interpretations, Policy Implications " w:id="1181"/>
      <w:bookmarkEnd w:id="1181"/>
      <w:r>
        <w:rPr/>
      </w:r>
      <w:r>
        <w:rPr>
          <w:sz w:val="24"/>
        </w:rPr>
        <w:t>Interpretations, Policy</w:t>
      </w:r>
      <w:r>
        <w:rPr>
          <w:spacing w:val="-1"/>
          <w:sz w:val="24"/>
        </w:rPr>
        <w:t> </w:t>
      </w:r>
      <w:r>
        <w:rPr>
          <w:sz w:val="24"/>
        </w:rPr>
        <w:t>Implications and Interactions with Other State Initiatives – In this section, the state will discuss the section 1115 demonstration within an overall Medicaid context</w:t>
      </w:r>
      <w:r>
        <w:rPr>
          <w:spacing w:val="-4"/>
          <w:sz w:val="24"/>
        </w:rPr>
        <w:t> </w:t>
      </w:r>
      <w:r>
        <w:rPr>
          <w:sz w:val="24"/>
        </w:rPr>
        <w:t>and</w:t>
      </w:r>
      <w:r>
        <w:rPr>
          <w:spacing w:val="-4"/>
          <w:sz w:val="24"/>
        </w:rPr>
        <w:t> </w:t>
      </w:r>
      <w:r>
        <w:rPr>
          <w:sz w:val="24"/>
        </w:rPr>
        <w:t>long-range</w:t>
      </w:r>
      <w:r>
        <w:rPr>
          <w:spacing w:val="-5"/>
          <w:sz w:val="24"/>
        </w:rPr>
        <w:t> </w:t>
      </w:r>
      <w:r>
        <w:rPr>
          <w:sz w:val="24"/>
        </w:rPr>
        <w:t>planning.</w:t>
      </w:r>
      <w:r>
        <w:rPr>
          <w:spacing w:val="40"/>
          <w:sz w:val="24"/>
        </w:rPr>
        <w:t> </w:t>
      </w:r>
      <w:r>
        <w:rPr>
          <w:sz w:val="24"/>
        </w:rPr>
        <w:t>This</w:t>
      </w:r>
      <w:r>
        <w:rPr>
          <w:spacing w:val="-4"/>
          <w:sz w:val="24"/>
        </w:rPr>
        <w:t> </w:t>
      </w:r>
      <w:r>
        <w:rPr>
          <w:sz w:val="24"/>
        </w:rPr>
        <w:t>should</w:t>
      </w:r>
      <w:r>
        <w:rPr>
          <w:spacing w:val="-4"/>
          <w:sz w:val="24"/>
        </w:rPr>
        <w:t> </w:t>
      </w:r>
      <w:r>
        <w:rPr>
          <w:sz w:val="24"/>
        </w:rPr>
        <w:t>include</w:t>
      </w:r>
      <w:r>
        <w:rPr>
          <w:spacing w:val="-5"/>
          <w:sz w:val="24"/>
        </w:rPr>
        <w:t> </w:t>
      </w:r>
      <w:r>
        <w:rPr>
          <w:sz w:val="24"/>
        </w:rPr>
        <w:t>interrelations</w:t>
      </w:r>
      <w:r>
        <w:rPr>
          <w:spacing w:val="-4"/>
          <w:sz w:val="24"/>
        </w:rPr>
        <w:t> </w:t>
      </w:r>
      <w:r>
        <w:rPr>
          <w:sz w:val="24"/>
        </w:rPr>
        <w:t>of</w:t>
      </w:r>
      <w:r>
        <w:rPr>
          <w:spacing w:val="-5"/>
          <w:sz w:val="24"/>
        </w:rPr>
        <w:t> </w:t>
      </w:r>
      <w:r>
        <w:rPr>
          <w:sz w:val="24"/>
        </w:rPr>
        <w:t>the</w:t>
      </w:r>
      <w:r>
        <w:rPr>
          <w:spacing w:val="-3"/>
          <w:sz w:val="24"/>
        </w:rPr>
        <w:t> </w:t>
      </w:r>
      <w:r>
        <w:rPr>
          <w:sz w:val="24"/>
        </w:rPr>
        <w:t>demonstration</w:t>
      </w:r>
    </w:p>
    <w:p>
      <w:pPr>
        <w:spacing w:after="0" w:line="240" w:lineRule="auto"/>
        <w:jc w:val="both"/>
        <w:rPr>
          <w:sz w:val="24"/>
        </w:rPr>
        <w:sectPr>
          <w:pgSz w:w="12240" w:h="15840"/>
          <w:pgMar w:header="0" w:footer="971" w:top="640" w:bottom="1160" w:left="220" w:right="340"/>
        </w:sectPr>
      </w:pPr>
    </w:p>
    <w:p>
      <w:pPr>
        <w:spacing w:before="80"/>
        <w:ind w:left="1220" w:right="0" w:firstLine="0"/>
        <w:jc w:val="left"/>
        <w:rPr>
          <w:sz w:val="20"/>
        </w:rPr>
      </w:pPr>
      <w:r>
        <w:rPr>
          <w:spacing w:val="-2"/>
          <w:sz w:val="20"/>
        </w:rPr>
        <w:t>Attachment</w:t>
      </w:r>
      <w:r>
        <w:rPr>
          <w:spacing w:val="6"/>
          <w:sz w:val="20"/>
        </w:rPr>
        <w:t> </w:t>
      </w:r>
      <w:r>
        <w:rPr>
          <w:spacing w:val="-10"/>
          <w:sz w:val="20"/>
        </w:rPr>
        <w:t>B</w:t>
      </w:r>
    </w:p>
    <w:p>
      <w:pPr>
        <w:pStyle w:val="BodyText"/>
        <w:rPr>
          <w:sz w:val="20"/>
        </w:rPr>
      </w:pPr>
    </w:p>
    <w:p>
      <w:pPr>
        <w:pStyle w:val="BodyText"/>
        <w:spacing w:before="6"/>
        <w:rPr>
          <w:sz w:val="22"/>
        </w:rPr>
      </w:pPr>
    </w:p>
    <w:p>
      <w:pPr>
        <w:pStyle w:val="BodyText"/>
        <w:ind w:left="1939" w:right="975"/>
      </w:pPr>
      <w:r>
        <w:rPr/>
        <w:t>with other aspects of the state’s Medicaid program, interactions with other Medicaid demonstrations, and other federal awards affecting service delivery, health outcomes and the cost of care under Medicaid.</w:t>
      </w:r>
      <w:r>
        <w:rPr>
          <w:spacing w:val="40"/>
        </w:rPr>
        <w:t> </w:t>
      </w:r>
      <w:r>
        <w:rPr/>
        <w:t>This section provides the state with an opportunity to provide</w:t>
      </w:r>
      <w:r>
        <w:rPr>
          <w:spacing w:val="-4"/>
        </w:rPr>
        <w:t> </w:t>
      </w:r>
      <w:r>
        <w:rPr/>
        <w:t>interpretations</w:t>
      </w:r>
      <w:r>
        <w:rPr>
          <w:spacing w:val="-3"/>
        </w:rPr>
        <w:t> </w:t>
      </w:r>
      <w:r>
        <w:rPr/>
        <w:t>of</w:t>
      </w:r>
      <w:r>
        <w:rPr>
          <w:spacing w:val="-4"/>
        </w:rPr>
        <w:t> </w:t>
      </w:r>
      <w:r>
        <w:rPr/>
        <w:t>the</w:t>
      </w:r>
      <w:r>
        <w:rPr>
          <w:spacing w:val="-4"/>
        </w:rPr>
        <w:t> </w:t>
      </w:r>
      <w:r>
        <w:rPr/>
        <w:t>data</w:t>
      </w:r>
      <w:r>
        <w:rPr>
          <w:spacing w:val="-4"/>
        </w:rPr>
        <w:t> </w:t>
      </w:r>
      <w:r>
        <w:rPr/>
        <w:t>using</w:t>
      </w:r>
      <w:r>
        <w:rPr>
          <w:spacing w:val="-3"/>
        </w:rPr>
        <w:t> </w:t>
      </w:r>
      <w:r>
        <w:rPr/>
        <w:t>evaluative</w:t>
      </w:r>
      <w:r>
        <w:rPr>
          <w:spacing w:val="-2"/>
        </w:rPr>
        <w:t> </w:t>
      </w:r>
      <w:r>
        <w:rPr/>
        <w:t>reasoning</w:t>
      </w:r>
      <w:r>
        <w:rPr>
          <w:spacing w:val="-6"/>
        </w:rPr>
        <w:t> </w:t>
      </w:r>
      <w:r>
        <w:rPr/>
        <w:t>to</w:t>
      </w:r>
      <w:r>
        <w:rPr>
          <w:spacing w:val="-3"/>
        </w:rPr>
        <w:t> </w:t>
      </w:r>
      <w:r>
        <w:rPr/>
        <w:t>make</w:t>
      </w:r>
      <w:r>
        <w:rPr>
          <w:spacing w:val="-4"/>
        </w:rPr>
        <w:t> </w:t>
      </w:r>
      <w:r>
        <w:rPr/>
        <w:t>judgments</w:t>
      </w:r>
      <w:r>
        <w:rPr>
          <w:spacing w:val="-3"/>
        </w:rPr>
        <w:t> </w:t>
      </w:r>
      <w:r>
        <w:rPr/>
        <w:t>about</w:t>
      </w:r>
      <w:r>
        <w:rPr>
          <w:spacing w:val="-3"/>
        </w:rPr>
        <w:t> </w:t>
      </w:r>
      <w:r>
        <w:rPr/>
        <w:t>the demonstration.</w:t>
      </w:r>
      <w:r>
        <w:rPr>
          <w:spacing w:val="40"/>
        </w:rPr>
        <w:t> </w:t>
      </w:r>
      <w:r>
        <w:rPr/>
        <w:t>This section should also include a discussion of the implications of the findings at both the state and national levels.</w:t>
      </w:r>
    </w:p>
    <w:p>
      <w:pPr>
        <w:pStyle w:val="BodyText"/>
      </w:pPr>
    </w:p>
    <w:p>
      <w:pPr>
        <w:pStyle w:val="ListParagraph"/>
        <w:numPr>
          <w:ilvl w:val="0"/>
          <w:numId w:val="55"/>
        </w:numPr>
        <w:tabs>
          <w:tab w:pos="1940" w:val="left" w:leader="none"/>
        </w:tabs>
        <w:spacing w:line="240" w:lineRule="auto" w:before="0" w:after="0"/>
        <w:ind w:left="1940" w:right="1028" w:hanging="360"/>
        <w:jc w:val="left"/>
        <w:rPr>
          <w:sz w:val="24"/>
        </w:rPr>
      </w:pPr>
      <w:bookmarkStart w:name="I. Lessons Learned and Recommendations –" w:id="1182"/>
      <w:bookmarkEnd w:id="1182"/>
      <w:r>
        <w:rPr/>
      </w:r>
      <w:r>
        <w:rPr>
          <w:b/>
          <w:sz w:val="24"/>
        </w:rPr>
        <w:t>Lessons</w:t>
      </w:r>
      <w:r>
        <w:rPr>
          <w:b/>
          <w:spacing w:val="-4"/>
          <w:sz w:val="24"/>
        </w:rPr>
        <w:t> </w:t>
      </w:r>
      <w:r>
        <w:rPr>
          <w:b/>
          <w:sz w:val="24"/>
        </w:rPr>
        <w:t>Learned</w:t>
      </w:r>
      <w:r>
        <w:rPr>
          <w:b/>
          <w:spacing w:val="-3"/>
          <w:sz w:val="24"/>
        </w:rPr>
        <w:t> </w:t>
      </w:r>
      <w:r>
        <w:rPr>
          <w:b/>
          <w:sz w:val="24"/>
        </w:rPr>
        <w:t>and</w:t>
      </w:r>
      <w:r>
        <w:rPr>
          <w:b/>
          <w:spacing w:val="-4"/>
          <w:sz w:val="24"/>
        </w:rPr>
        <w:t> </w:t>
      </w:r>
      <w:r>
        <w:rPr>
          <w:b/>
          <w:sz w:val="24"/>
        </w:rPr>
        <w:t>Recommendations</w:t>
      </w:r>
      <w:r>
        <w:rPr>
          <w:b/>
          <w:spacing w:val="-4"/>
          <w:sz w:val="24"/>
        </w:rPr>
        <w:t> </w:t>
      </w:r>
      <w:r>
        <w:rPr>
          <w:sz w:val="24"/>
        </w:rPr>
        <w:t>–</w:t>
      </w:r>
      <w:r>
        <w:rPr>
          <w:spacing w:val="-4"/>
          <w:sz w:val="24"/>
        </w:rPr>
        <w:t> </w:t>
      </w:r>
      <w:r>
        <w:rPr>
          <w:sz w:val="24"/>
        </w:rPr>
        <w:t>This</w:t>
      </w:r>
      <w:r>
        <w:rPr>
          <w:spacing w:val="-7"/>
          <w:sz w:val="24"/>
        </w:rPr>
        <w:t> </w:t>
      </w:r>
      <w:r>
        <w:rPr>
          <w:sz w:val="24"/>
        </w:rPr>
        <w:t>section</w:t>
      </w:r>
      <w:r>
        <w:rPr>
          <w:spacing w:val="-4"/>
          <w:sz w:val="24"/>
        </w:rPr>
        <w:t> </w:t>
      </w:r>
      <w:r>
        <w:rPr>
          <w:sz w:val="24"/>
        </w:rPr>
        <w:t>of</w:t>
      </w:r>
      <w:r>
        <w:rPr>
          <w:spacing w:val="-5"/>
          <w:sz w:val="24"/>
        </w:rPr>
        <w:t> </w:t>
      </w:r>
      <w:r>
        <w:rPr>
          <w:sz w:val="24"/>
        </w:rPr>
        <w:t>the</w:t>
      </w:r>
      <w:r>
        <w:rPr>
          <w:spacing w:val="-5"/>
          <w:sz w:val="24"/>
        </w:rPr>
        <w:t> </w:t>
      </w:r>
      <w:r>
        <w:rPr>
          <w:sz w:val="24"/>
        </w:rPr>
        <w:t>evaluation</w:t>
      </w:r>
      <w:r>
        <w:rPr>
          <w:spacing w:val="-4"/>
          <w:sz w:val="24"/>
        </w:rPr>
        <w:t> </w:t>
      </w:r>
      <w:r>
        <w:rPr>
          <w:sz w:val="24"/>
        </w:rPr>
        <w:t>report</w:t>
      </w:r>
      <w:r>
        <w:rPr>
          <w:spacing w:val="-4"/>
          <w:sz w:val="24"/>
        </w:rPr>
        <w:t> </w:t>
      </w:r>
      <w:r>
        <w:rPr>
          <w:sz w:val="24"/>
        </w:rPr>
        <w:t>involves the transfer of knowledge.</w:t>
      </w:r>
      <w:r>
        <w:rPr>
          <w:spacing w:val="40"/>
          <w:sz w:val="24"/>
        </w:rPr>
        <w:t> </w:t>
      </w:r>
      <w:r>
        <w:rPr>
          <w:sz w:val="24"/>
        </w:rPr>
        <w:t>Specifically, it should include potential “opportunities” for future or revised demonstrations to inform Medicaid policymakers, advocates, and stakeholders.</w:t>
      </w:r>
      <w:r>
        <w:rPr>
          <w:spacing w:val="40"/>
          <w:sz w:val="24"/>
        </w:rPr>
        <w:t> </w:t>
      </w:r>
      <w:r>
        <w:rPr>
          <w:sz w:val="24"/>
        </w:rPr>
        <w:t>Recommendations for improvement can be just as significant as identifying current successful strategies.</w:t>
      </w:r>
      <w:r>
        <w:rPr>
          <w:spacing w:val="40"/>
          <w:sz w:val="24"/>
        </w:rPr>
        <w:t> </w:t>
      </w:r>
      <w:r>
        <w:rPr>
          <w:sz w:val="24"/>
        </w:rPr>
        <w:t>Based on the evaluation results, the state should address the following questions:</w:t>
      </w:r>
    </w:p>
    <w:p>
      <w:pPr>
        <w:pStyle w:val="ListParagraph"/>
        <w:numPr>
          <w:ilvl w:val="1"/>
          <w:numId w:val="55"/>
        </w:numPr>
        <w:tabs>
          <w:tab w:pos="2300" w:val="left" w:leader="none"/>
        </w:tabs>
        <w:spacing w:line="240" w:lineRule="auto" w:before="0" w:after="0"/>
        <w:ind w:left="2300" w:right="0" w:hanging="360"/>
        <w:jc w:val="left"/>
        <w:rPr>
          <w:sz w:val="24"/>
        </w:rPr>
      </w:pPr>
      <w:r>
        <w:rPr>
          <w:sz w:val="24"/>
        </w:rPr>
        <w:t>What</w:t>
      </w:r>
      <w:r>
        <w:rPr>
          <w:spacing w:val="-3"/>
          <w:sz w:val="24"/>
        </w:rPr>
        <w:t> </w:t>
      </w:r>
      <w:r>
        <w:rPr>
          <w:sz w:val="24"/>
        </w:rPr>
        <w:t>lessons</w:t>
      </w:r>
      <w:r>
        <w:rPr>
          <w:spacing w:val="-1"/>
          <w:sz w:val="24"/>
        </w:rPr>
        <w:t> </w:t>
      </w:r>
      <w:r>
        <w:rPr>
          <w:sz w:val="24"/>
        </w:rPr>
        <w:t>were</w:t>
      </w:r>
      <w:r>
        <w:rPr>
          <w:spacing w:val="-2"/>
          <w:sz w:val="24"/>
        </w:rPr>
        <w:t> </w:t>
      </w:r>
      <w:r>
        <w:rPr>
          <w:sz w:val="24"/>
        </w:rPr>
        <w:t>learned</w:t>
      </w:r>
      <w:r>
        <w:rPr>
          <w:spacing w:val="-1"/>
          <w:sz w:val="24"/>
        </w:rPr>
        <w:t> </w:t>
      </w:r>
      <w:r>
        <w:rPr>
          <w:sz w:val="24"/>
        </w:rPr>
        <w:t>as a</w:t>
      </w:r>
      <w:r>
        <w:rPr>
          <w:spacing w:val="-2"/>
          <w:sz w:val="24"/>
        </w:rPr>
        <w:t> </w:t>
      </w:r>
      <w:r>
        <w:rPr>
          <w:sz w:val="24"/>
        </w:rPr>
        <w:t>result</w:t>
      </w:r>
      <w:r>
        <w:rPr>
          <w:spacing w:val="-1"/>
          <w:sz w:val="24"/>
        </w:rPr>
        <w:t> </w:t>
      </w:r>
      <w:r>
        <w:rPr>
          <w:sz w:val="24"/>
        </w:rPr>
        <w:t>of</w:t>
      </w:r>
      <w:r>
        <w:rPr>
          <w:spacing w:val="-2"/>
          <w:sz w:val="24"/>
        </w:rPr>
        <w:t> </w:t>
      </w:r>
      <w:r>
        <w:rPr>
          <w:sz w:val="24"/>
        </w:rPr>
        <w:t>the</w:t>
      </w:r>
      <w:r>
        <w:rPr>
          <w:spacing w:val="-1"/>
          <w:sz w:val="24"/>
        </w:rPr>
        <w:t> </w:t>
      </w:r>
      <w:r>
        <w:rPr>
          <w:spacing w:val="-2"/>
          <w:sz w:val="24"/>
        </w:rPr>
        <w:t>demonstration?</w:t>
      </w:r>
    </w:p>
    <w:p>
      <w:pPr>
        <w:pStyle w:val="ListParagraph"/>
        <w:numPr>
          <w:ilvl w:val="1"/>
          <w:numId w:val="55"/>
        </w:numPr>
        <w:tabs>
          <w:tab w:pos="2300" w:val="left" w:leader="none"/>
        </w:tabs>
        <w:spacing w:line="240" w:lineRule="auto" w:before="60" w:after="0"/>
        <w:ind w:left="2300" w:right="1155" w:hanging="360"/>
        <w:jc w:val="left"/>
        <w:rPr>
          <w:sz w:val="24"/>
        </w:rPr>
      </w:pPr>
      <w:r>
        <w:rPr>
          <w:sz w:val="24"/>
        </w:rPr>
        <w:t>What</w:t>
      </w:r>
      <w:r>
        <w:rPr>
          <w:spacing w:val="-4"/>
          <w:sz w:val="24"/>
        </w:rPr>
        <w:t> </w:t>
      </w:r>
      <w:r>
        <w:rPr>
          <w:sz w:val="24"/>
        </w:rPr>
        <w:t>would</w:t>
      </w:r>
      <w:r>
        <w:rPr>
          <w:spacing w:val="-2"/>
          <w:sz w:val="24"/>
        </w:rPr>
        <w:t> </w:t>
      </w:r>
      <w:r>
        <w:rPr>
          <w:sz w:val="24"/>
        </w:rPr>
        <w:t>you</w:t>
      </w:r>
      <w:r>
        <w:rPr>
          <w:spacing w:val="-4"/>
          <w:sz w:val="24"/>
        </w:rPr>
        <w:t> </w:t>
      </w:r>
      <w:r>
        <w:rPr>
          <w:sz w:val="24"/>
        </w:rPr>
        <w:t>recommend</w:t>
      </w:r>
      <w:r>
        <w:rPr>
          <w:spacing w:val="-4"/>
          <w:sz w:val="24"/>
        </w:rPr>
        <w:t> </w:t>
      </w:r>
      <w:r>
        <w:rPr>
          <w:sz w:val="24"/>
        </w:rPr>
        <w:t>to</w:t>
      </w:r>
      <w:r>
        <w:rPr>
          <w:spacing w:val="-4"/>
          <w:sz w:val="24"/>
        </w:rPr>
        <w:t> </w:t>
      </w:r>
      <w:r>
        <w:rPr>
          <w:sz w:val="24"/>
        </w:rPr>
        <w:t>other</w:t>
      </w:r>
      <w:r>
        <w:rPr>
          <w:spacing w:val="-5"/>
          <w:sz w:val="24"/>
        </w:rPr>
        <w:t> </w:t>
      </w:r>
      <w:r>
        <w:rPr>
          <w:sz w:val="24"/>
        </w:rPr>
        <w:t>states</w:t>
      </w:r>
      <w:r>
        <w:rPr>
          <w:spacing w:val="-4"/>
          <w:sz w:val="24"/>
        </w:rPr>
        <w:t> </w:t>
      </w:r>
      <w:r>
        <w:rPr>
          <w:sz w:val="24"/>
        </w:rPr>
        <w:t>which</w:t>
      </w:r>
      <w:r>
        <w:rPr>
          <w:spacing w:val="-2"/>
          <w:sz w:val="24"/>
        </w:rPr>
        <w:t> </w:t>
      </w:r>
      <w:r>
        <w:rPr>
          <w:sz w:val="24"/>
        </w:rPr>
        <w:t>may</w:t>
      </w:r>
      <w:r>
        <w:rPr>
          <w:spacing w:val="-8"/>
          <w:sz w:val="24"/>
        </w:rPr>
        <w:t> </w:t>
      </w:r>
      <w:r>
        <w:rPr>
          <w:sz w:val="24"/>
        </w:rPr>
        <w:t>be</w:t>
      </w:r>
      <w:r>
        <w:rPr>
          <w:spacing w:val="-5"/>
          <w:sz w:val="24"/>
        </w:rPr>
        <w:t> </w:t>
      </w:r>
      <w:r>
        <w:rPr>
          <w:sz w:val="24"/>
        </w:rPr>
        <w:t>interested</w:t>
      </w:r>
      <w:r>
        <w:rPr>
          <w:spacing w:val="-4"/>
          <w:sz w:val="24"/>
        </w:rPr>
        <w:t> </w:t>
      </w:r>
      <w:r>
        <w:rPr>
          <w:sz w:val="24"/>
        </w:rPr>
        <w:t>in</w:t>
      </w:r>
      <w:r>
        <w:rPr>
          <w:spacing w:val="-4"/>
          <w:sz w:val="24"/>
        </w:rPr>
        <w:t> </w:t>
      </w:r>
      <w:r>
        <w:rPr>
          <w:sz w:val="24"/>
        </w:rPr>
        <w:t>implementing a similar approach?</w:t>
      </w:r>
    </w:p>
    <w:p>
      <w:pPr>
        <w:pStyle w:val="BodyText"/>
        <w:spacing w:before="3"/>
        <w:rPr>
          <w:sz w:val="29"/>
        </w:rPr>
      </w:pPr>
    </w:p>
    <w:p>
      <w:pPr>
        <w:spacing w:before="0"/>
        <w:ind w:left="1580" w:right="0" w:firstLine="0"/>
        <w:jc w:val="left"/>
        <w:rPr>
          <w:b/>
          <w:sz w:val="24"/>
        </w:rPr>
      </w:pPr>
      <w:bookmarkStart w:name="a. Attachment(s)" w:id="1183"/>
      <w:bookmarkEnd w:id="1183"/>
      <w:r>
        <w:rPr/>
      </w:r>
      <w:bookmarkStart w:name="1) Evaluation Design: Provide the CMS-ap" w:id="1184"/>
      <w:bookmarkEnd w:id="1184"/>
      <w:r>
        <w:rPr/>
      </w:r>
      <w:r>
        <w:rPr>
          <w:sz w:val="24"/>
        </w:rPr>
        <w:t>a.</w:t>
      </w:r>
      <w:r>
        <w:rPr>
          <w:spacing w:val="36"/>
          <w:sz w:val="24"/>
        </w:rPr>
        <w:t>  </w:t>
      </w:r>
      <w:r>
        <w:rPr>
          <w:b/>
          <w:spacing w:val="-2"/>
          <w:sz w:val="24"/>
        </w:rPr>
        <w:t>Attachment(s)</w:t>
      </w:r>
    </w:p>
    <w:p>
      <w:pPr>
        <w:pStyle w:val="BodyText"/>
        <w:ind w:left="1939"/>
      </w:pPr>
      <w:r>
        <w:rPr/>
        <w:t>1)</w:t>
      </w:r>
      <w:r>
        <w:rPr>
          <w:spacing w:val="64"/>
          <w:w w:val="150"/>
        </w:rPr>
        <w:t> </w:t>
      </w:r>
      <w:r>
        <w:rPr/>
        <w:t>Evaluation</w:t>
      </w:r>
      <w:r>
        <w:rPr>
          <w:spacing w:val="-2"/>
        </w:rPr>
        <w:t> </w:t>
      </w:r>
      <w:r>
        <w:rPr/>
        <w:t>Design:</w:t>
      </w:r>
      <w:r>
        <w:rPr>
          <w:spacing w:val="-1"/>
        </w:rPr>
        <w:t> </w:t>
      </w:r>
      <w:r>
        <w:rPr/>
        <w:t>Provide</w:t>
      </w:r>
      <w:r>
        <w:rPr>
          <w:spacing w:val="-2"/>
        </w:rPr>
        <w:t> </w:t>
      </w:r>
      <w:r>
        <w:rPr/>
        <w:t>the</w:t>
      </w:r>
      <w:r>
        <w:rPr>
          <w:spacing w:val="-3"/>
        </w:rPr>
        <w:t> </w:t>
      </w:r>
      <w:r>
        <w:rPr/>
        <w:t>CMS-approved</w:t>
      </w:r>
      <w:r>
        <w:rPr>
          <w:spacing w:val="-1"/>
        </w:rPr>
        <w:t> </w:t>
      </w:r>
      <w:r>
        <w:rPr/>
        <w:t>Evaluation</w:t>
      </w:r>
      <w:r>
        <w:rPr>
          <w:spacing w:val="-1"/>
        </w:rPr>
        <w:t> </w:t>
      </w:r>
      <w:r>
        <w:rPr>
          <w:spacing w:val="-2"/>
        </w:rPr>
        <w:t>Design</w:t>
      </w:r>
    </w:p>
    <w:p>
      <w:pPr>
        <w:spacing w:after="0"/>
        <w:sectPr>
          <w:pgSz w:w="12240" w:h="15840"/>
          <w:pgMar w:header="0" w:footer="971" w:top="640" w:bottom="1160" w:left="220" w:right="340"/>
        </w:sectPr>
      </w:pPr>
    </w:p>
    <w:p>
      <w:pPr>
        <w:spacing w:before="80"/>
        <w:ind w:left="1220" w:right="0" w:firstLine="0"/>
        <w:jc w:val="left"/>
        <w:rPr>
          <w:sz w:val="20"/>
        </w:rPr>
      </w:pPr>
      <w:bookmarkStart w:name="Attachment C Cost Sharing (final for pac" w:id="1185"/>
      <w:bookmarkEnd w:id="1185"/>
      <w:r>
        <w:rPr/>
      </w:r>
      <w:r>
        <w:rPr>
          <w:spacing w:val="-2"/>
          <w:sz w:val="20"/>
        </w:rPr>
        <w:t>Attachment</w:t>
      </w:r>
      <w:r>
        <w:rPr>
          <w:spacing w:val="6"/>
          <w:sz w:val="20"/>
        </w:rPr>
        <w:t> </w:t>
      </w:r>
      <w:r>
        <w:rPr>
          <w:spacing w:val="-10"/>
          <w:sz w:val="20"/>
        </w:rPr>
        <w:t>C</w:t>
      </w:r>
    </w:p>
    <w:p>
      <w:pPr>
        <w:pStyle w:val="BodyText"/>
        <w:rPr>
          <w:sz w:val="20"/>
        </w:rPr>
      </w:pPr>
    </w:p>
    <w:p>
      <w:pPr>
        <w:pStyle w:val="BodyText"/>
        <w:spacing w:before="6"/>
        <w:rPr>
          <w:sz w:val="22"/>
        </w:rPr>
      </w:pPr>
    </w:p>
    <w:p>
      <w:pPr>
        <w:pStyle w:val="Heading4"/>
        <w:ind w:left="1230" w:right="1112"/>
        <w:jc w:val="center"/>
      </w:pPr>
      <w:bookmarkStart w:name="ATTACHMENT C" w:id="1186"/>
      <w:bookmarkEnd w:id="1186"/>
      <w:r>
        <w:rPr>
          <w:b w:val="0"/>
        </w:rPr>
      </w:r>
      <w:r>
        <w:rPr/>
        <w:t>ATTACHMENT</w:t>
      </w:r>
      <w:r>
        <w:rPr>
          <w:spacing w:val="-5"/>
        </w:rPr>
        <w:t> </w:t>
      </w:r>
      <w:r>
        <w:rPr>
          <w:spacing w:val="-10"/>
        </w:rPr>
        <w:t>C</w:t>
      </w:r>
    </w:p>
    <w:p>
      <w:pPr>
        <w:pStyle w:val="Heading5"/>
        <w:ind w:left="1235" w:right="1112"/>
        <w:jc w:val="center"/>
      </w:pPr>
      <w:bookmarkStart w:name="Cost Sharing" w:id="1187"/>
      <w:bookmarkEnd w:id="1187"/>
      <w:r>
        <w:rPr>
          <w:b w:val="0"/>
        </w:rPr>
      </w:r>
      <w:r>
        <w:rPr/>
        <w:t>Cost</w:t>
      </w:r>
      <w:r>
        <w:rPr>
          <w:spacing w:val="-4"/>
        </w:rPr>
        <w:t> </w:t>
      </w:r>
      <w:r>
        <w:rPr>
          <w:spacing w:val="-2"/>
        </w:rPr>
        <w:t>Sharing</w:t>
      </w:r>
    </w:p>
    <w:p>
      <w:pPr>
        <w:pStyle w:val="BodyText"/>
        <w:spacing w:before="11"/>
        <w:rPr>
          <w:b/>
          <w:sz w:val="36"/>
        </w:rPr>
      </w:pPr>
    </w:p>
    <w:p>
      <w:pPr>
        <w:spacing w:before="0"/>
        <w:ind w:left="1340" w:right="0" w:firstLine="0"/>
        <w:jc w:val="left"/>
        <w:rPr>
          <w:b/>
          <w:sz w:val="24"/>
        </w:rPr>
      </w:pPr>
      <w:r>
        <w:rPr>
          <w:b/>
          <w:sz w:val="24"/>
        </w:rPr>
        <w:t>Cost-sharing</w:t>
      </w:r>
      <w:r>
        <w:rPr>
          <w:b/>
          <w:spacing w:val="-4"/>
          <w:sz w:val="24"/>
        </w:rPr>
        <w:t> </w:t>
      </w:r>
      <w:r>
        <w:rPr>
          <w:b/>
          <w:sz w:val="24"/>
        </w:rPr>
        <w:t>currently in</w:t>
      </w:r>
      <w:r>
        <w:rPr>
          <w:b/>
          <w:spacing w:val="-2"/>
          <w:sz w:val="24"/>
        </w:rPr>
        <w:t> </w:t>
      </w:r>
      <w:r>
        <w:rPr>
          <w:b/>
          <w:sz w:val="24"/>
        </w:rPr>
        <w:t>effect</w:t>
      </w:r>
      <w:r>
        <w:rPr>
          <w:b/>
          <w:spacing w:val="-2"/>
          <w:sz w:val="24"/>
        </w:rPr>
        <w:t> </w:t>
      </w:r>
      <w:r>
        <w:rPr>
          <w:b/>
          <w:sz w:val="24"/>
        </w:rPr>
        <w:t>unless</w:t>
      </w:r>
      <w:r>
        <w:rPr>
          <w:b/>
          <w:spacing w:val="-2"/>
          <w:sz w:val="24"/>
        </w:rPr>
        <w:t> </w:t>
      </w:r>
      <w:r>
        <w:rPr>
          <w:b/>
          <w:sz w:val="24"/>
        </w:rPr>
        <w:t>changed</w:t>
      </w:r>
      <w:r>
        <w:rPr>
          <w:b/>
          <w:spacing w:val="-4"/>
          <w:sz w:val="24"/>
        </w:rPr>
        <w:t> </w:t>
      </w:r>
      <w:r>
        <w:rPr>
          <w:b/>
          <w:sz w:val="24"/>
        </w:rPr>
        <w:t>by</w:t>
      </w:r>
      <w:r>
        <w:rPr>
          <w:b/>
          <w:spacing w:val="-1"/>
          <w:sz w:val="24"/>
        </w:rPr>
        <w:t> </w:t>
      </w:r>
      <w:r>
        <w:rPr>
          <w:b/>
          <w:sz w:val="24"/>
        </w:rPr>
        <w:t>a</w:t>
      </w:r>
      <w:r>
        <w:rPr>
          <w:b/>
          <w:spacing w:val="-2"/>
          <w:sz w:val="24"/>
        </w:rPr>
        <w:t> </w:t>
      </w:r>
      <w:r>
        <w:rPr>
          <w:b/>
          <w:sz w:val="24"/>
        </w:rPr>
        <w:t>state</w:t>
      </w:r>
      <w:r>
        <w:rPr>
          <w:b/>
          <w:spacing w:val="-3"/>
          <w:sz w:val="24"/>
        </w:rPr>
        <w:t> </w:t>
      </w:r>
      <w:r>
        <w:rPr>
          <w:b/>
          <w:sz w:val="24"/>
        </w:rPr>
        <w:t>plan</w:t>
      </w:r>
      <w:r>
        <w:rPr>
          <w:b/>
          <w:spacing w:val="-1"/>
          <w:sz w:val="24"/>
        </w:rPr>
        <w:t> </w:t>
      </w:r>
      <w:r>
        <w:rPr>
          <w:b/>
          <w:spacing w:val="-2"/>
          <w:sz w:val="24"/>
        </w:rPr>
        <w:t>amendment.</w:t>
      </w:r>
    </w:p>
    <w:p>
      <w:pPr>
        <w:pStyle w:val="BodyText"/>
        <w:spacing w:before="163"/>
        <w:ind w:left="1340" w:right="1473"/>
      </w:pPr>
      <w:r>
        <w:rPr/>
        <w:t>Cost-sharing imposed upon individuals enrolled in the demonstration may vary across delivery systems, coverage types and by Federal Poverty Level (FPL).</w:t>
      </w:r>
      <w:r>
        <w:rPr>
          <w:spacing w:val="40"/>
        </w:rPr>
        <w:t> </w:t>
      </w:r>
      <w:r>
        <w:rPr/>
        <w:t>However, no co- payments are charged for any benefits rendered to individuals under age 21, pregnant women, individuals living in an institution or receiving hospice, and American Indian/Alaska Natives who receive services through an IHS, tribal 638 or the IHS/tribal Purchased and Referred Care program.</w:t>
      </w:r>
      <w:r>
        <w:rPr>
          <w:spacing w:val="40"/>
        </w:rPr>
        <w:t> </w:t>
      </w:r>
      <w:r>
        <w:rPr/>
        <w:t>Additionally, no premiums are charged to any individual enrolled in the</w:t>
      </w:r>
      <w:r>
        <w:rPr>
          <w:spacing w:val="-1"/>
        </w:rPr>
        <w:t> </w:t>
      </w:r>
      <w:r>
        <w:rPr/>
        <w:t>demonstration whose gross income</w:t>
      </w:r>
      <w:r>
        <w:rPr>
          <w:spacing w:val="-1"/>
        </w:rPr>
        <w:t> </w:t>
      </w:r>
      <w:r>
        <w:rPr/>
        <w:t>is less than 150 percent of</w:t>
      </w:r>
      <w:r>
        <w:rPr>
          <w:spacing w:val="-1"/>
        </w:rPr>
        <w:t> </w:t>
      </w:r>
      <w:r>
        <w:rPr/>
        <w:t>the FPL,</w:t>
      </w:r>
      <w:r>
        <w:rPr>
          <w:spacing w:val="-3"/>
        </w:rPr>
        <w:t> </w:t>
      </w:r>
      <w:r>
        <w:rPr/>
        <w:t>or</w:t>
      </w:r>
      <w:r>
        <w:rPr>
          <w:spacing w:val="-4"/>
        </w:rPr>
        <w:t> </w:t>
      </w:r>
      <w:r>
        <w:rPr/>
        <w:t>to</w:t>
      </w:r>
      <w:r>
        <w:rPr>
          <w:spacing w:val="-3"/>
        </w:rPr>
        <w:t> </w:t>
      </w:r>
      <w:r>
        <w:rPr/>
        <w:t>any</w:t>
      </w:r>
      <w:r>
        <w:rPr>
          <w:spacing w:val="-8"/>
        </w:rPr>
        <w:t> </w:t>
      </w:r>
      <w:r>
        <w:rPr/>
        <w:t>American</w:t>
      </w:r>
      <w:r>
        <w:rPr>
          <w:spacing w:val="-1"/>
        </w:rPr>
        <w:t> </w:t>
      </w:r>
      <w:r>
        <w:rPr/>
        <w:t>Indian/Alaska</w:t>
      </w:r>
      <w:r>
        <w:rPr>
          <w:spacing w:val="-4"/>
        </w:rPr>
        <w:t> </w:t>
      </w:r>
      <w:r>
        <w:rPr/>
        <w:t>Natives</w:t>
      </w:r>
      <w:r>
        <w:rPr>
          <w:spacing w:val="-3"/>
        </w:rPr>
        <w:t> </w:t>
      </w:r>
      <w:r>
        <w:rPr/>
        <w:t>who</w:t>
      </w:r>
      <w:r>
        <w:rPr>
          <w:spacing w:val="-3"/>
        </w:rPr>
        <w:t> </w:t>
      </w:r>
      <w:r>
        <w:rPr/>
        <w:t>receive</w:t>
      </w:r>
      <w:r>
        <w:rPr>
          <w:spacing w:val="-4"/>
        </w:rPr>
        <w:t> </w:t>
      </w:r>
      <w:r>
        <w:rPr/>
        <w:t>services</w:t>
      </w:r>
      <w:r>
        <w:rPr>
          <w:spacing w:val="-3"/>
        </w:rPr>
        <w:t> </w:t>
      </w:r>
      <w:r>
        <w:rPr/>
        <w:t>through</w:t>
      </w:r>
      <w:r>
        <w:rPr>
          <w:spacing w:val="-3"/>
        </w:rPr>
        <w:t> </w:t>
      </w:r>
      <w:r>
        <w:rPr/>
        <w:t>an IHS,</w:t>
      </w:r>
      <w:r>
        <w:rPr>
          <w:spacing w:val="-3"/>
        </w:rPr>
        <w:t> </w:t>
      </w:r>
      <w:r>
        <w:rPr/>
        <w:t>tribal 638 or the IHS/tribal Purchased and Referred Care program.</w:t>
      </w:r>
      <w:r>
        <w:rPr>
          <w:spacing w:val="40"/>
        </w:rPr>
        <w:t> </w:t>
      </w:r>
      <w:r>
        <w:rPr/>
        <w:t>In the event a family group contains at least two members who are eligible for different coverage types and who would otherwise</w:t>
      </w:r>
      <w:r>
        <w:rPr>
          <w:spacing w:val="-1"/>
        </w:rPr>
        <w:t> </w:t>
      </w:r>
      <w:r>
        <w:rPr/>
        <w:t>be assessed two different premiums, the</w:t>
      </w:r>
      <w:r>
        <w:rPr>
          <w:spacing w:val="-1"/>
        </w:rPr>
        <w:t> </w:t>
      </w:r>
      <w:r>
        <w:rPr/>
        <w:t>family</w:t>
      </w:r>
      <w:r>
        <w:rPr>
          <w:spacing w:val="-5"/>
        </w:rPr>
        <w:t> </w:t>
      </w:r>
      <w:r>
        <w:rPr/>
        <w:t>shall be assessed only</w:t>
      </w:r>
      <w:r>
        <w:rPr>
          <w:spacing w:val="-5"/>
        </w:rPr>
        <w:t> </w:t>
      </w:r>
      <w:r>
        <w:rPr/>
        <w:t>the</w:t>
      </w:r>
      <w:r>
        <w:rPr>
          <w:spacing w:val="-1"/>
        </w:rPr>
        <w:t> </w:t>
      </w:r>
      <w:r>
        <w:rPr/>
        <w:t>highest applicable premium.</w:t>
      </w:r>
      <w:r>
        <w:rPr>
          <w:spacing w:val="40"/>
        </w:rPr>
        <w:t> </w:t>
      </w:r>
      <w:r>
        <w:rPr/>
        <w:t>Family group will be determined using MassHealth rules for the purposes of assessing premiums as described in STC</w:t>
      </w:r>
      <w:r>
        <w:rPr>
          <w:spacing w:val="-12"/>
        </w:rPr>
        <w:t> </w:t>
      </w:r>
      <w:r>
        <w:rPr/>
        <w:t>4.3.</w:t>
      </w:r>
    </w:p>
    <w:p>
      <w:pPr>
        <w:pStyle w:val="BodyText"/>
        <w:rPr>
          <w:sz w:val="20"/>
        </w:rPr>
      </w:pPr>
    </w:p>
    <w:p>
      <w:pPr>
        <w:pStyle w:val="BodyText"/>
        <w:spacing w:before="1"/>
        <w:rPr>
          <w:sz w:val="18"/>
        </w:rPr>
      </w:pPr>
    </w:p>
    <w:tbl>
      <w:tblPr>
        <w:tblW w:w="0" w:type="auto"/>
        <w:jc w:val="left"/>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6"/>
        <w:gridCol w:w="3508"/>
        <w:gridCol w:w="3234"/>
      </w:tblGrid>
      <w:tr>
        <w:trPr>
          <w:trHeight w:val="1045" w:hRule="atLeast"/>
        </w:trPr>
        <w:tc>
          <w:tcPr>
            <w:tcW w:w="2606" w:type="dxa"/>
            <w:shd w:val="clear" w:color="auto" w:fill="D9E1F3"/>
          </w:tcPr>
          <w:p>
            <w:pPr>
              <w:pStyle w:val="TableParagraph"/>
              <w:spacing w:before="5"/>
              <w:rPr>
                <w:sz w:val="34"/>
              </w:rPr>
            </w:pPr>
          </w:p>
          <w:p>
            <w:pPr>
              <w:pStyle w:val="TableParagraph"/>
              <w:spacing w:before="1"/>
              <w:ind w:left="40" w:right="34"/>
              <w:jc w:val="center"/>
              <w:rPr>
                <w:b/>
                <w:sz w:val="22"/>
              </w:rPr>
            </w:pPr>
            <w:r>
              <w:rPr>
                <w:b/>
                <w:sz w:val="22"/>
              </w:rPr>
              <w:t>Demonstration</w:t>
            </w:r>
            <w:r>
              <w:rPr>
                <w:b/>
                <w:spacing w:val="-12"/>
                <w:sz w:val="22"/>
              </w:rPr>
              <w:t> </w:t>
            </w:r>
            <w:r>
              <w:rPr>
                <w:b/>
                <w:spacing w:val="-2"/>
                <w:sz w:val="22"/>
              </w:rPr>
              <w:t>Program</w:t>
            </w:r>
          </w:p>
        </w:tc>
        <w:tc>
          <w:tcPr>
            <w:tcW w:w="3508" w:type="dxa"/>
            <w:shd w:val="clear" w:color="auto" w:fill="D9E1F3"/>
          </w:tcPr>
          <w:p>
            <w:pPr>
              <w:pStyle w:val="TableParagraph"/>
              <w:spacing w:before="116"/>
              <w:ind w:left="32" w:right="21"/>
              <w:jc w:val="center"/>
              <w:rPr>
                <w:b/>
                <w:sz w:val="22"/>
              </w:rPr>
            </w:pPr>
            <w:r>
              <w:rPr>
                <w:b/>
                <w:spacing w:val="-2"/>
                <w:sz w:val="22"/>
              </w:rPr>
              <w:t>Premiums</w:t>
            </w:r>
          </w:p>
          <w:p>
            <w:pPr>
              <w:pStyle w:val="TableParagraph"/>
              <w:spacing w:before="56"/>
              <w:ind w:left="33" w:right="21"/>
              <w:jc w:val="center"/>
              <w:rPr>
                <w:b/>
                <w:sz w:val="22"/>
              </w:rPr>
            </w:pPr>
            <w:r>
              <w:rPr>
                <w:b/>
                <w:sz w:val="22"/>
              </w:rPr>
              <w:t>(only</w:t>
            </w:r>
            <w:r>
              <w:rPr>
                <w:b/>
                <w:spacing w:val="-9"/>
                <w:sz w:val="22"/>
              </w:rPr>
              <w:t> </w:t>
            </w:r>
            <w:r>
              <w:rPr>
                <w:b/>
                <w:sz w:val="22"/>
              </w:rPr>
              <w:t>for</w:t>
            </w:r>
            <w:r>
              <w:rPr>
                <w:b/>
                <w:spacing w:val="-6"/>
                <w:sz w:val="22"/>
              </w:rPr>
              <w:t> </w:t>
            </w:r>
            <w:r>
              <w:rPr>
                <w:b/>
                <w:sz w:val="22"/>
              </w:rPr>
              <w:t>persons</w:t>
            </w:r>
            <w:r>
              <w:rPr>
                <w:b/>
                <w:spacing w:val="-8"/>
                <w:sz w:val="22"/>
              </w:rPr>
              <w:t> </w:t>
            </w:r>
            <w:r>
              <w:rPr>
                <w:b/>
                <w:sz w:val="22"/>
              </w:rPr>
              <w:t>with</w:t>
            </w:r>
            <w:r>
              <w:rPr>
                <w:b/>
                <w:spacing w:val="-9"/>
                <w:sz w:val="22"/>
              </w:rPr>
              <w:t> </w:t>
            </w:r>
            <w:r>
              <w:rPr>
                <w:b/>
                <w:sz w:val="22"/>
              </w:rPr>
              <w:t>family</w:t>
            </w:r>
            <w:r>
              <w:rPr>
                <w:b/>
                <w:spacing w:val="-6"/>
                <w:sz w:val="22"/>
              </w:rPr>
              <w:t> </w:t>
            </w:r>
            <w:r>
              <w:rPr>
                <w:b/>
                <w:sz w:val="22"/>
              </w:rPr>
              <w:t>income above 150 percent of the FPL)</w:t>
            </w:r>
          </w:p>
        </w:tc>
        <w:tc>
          <w:tcPr>
            <w:tcW w:w="3234" w:type="dxa"/>
            <w:shd w:val="clear" w:color="auto" w:fill="D9E1F3"/>
          </w:tcPr>
          <w:p>
            <w:pPr>
              <w:pStyle w:val="TableParagraph"/>
              <w:spacing w:before="5"/>
              <w:rPr>
                <w:sz w:val="34"/>
              </w:rPr>
            </w:pPr>
          </w:p>
          <w:p>
            <w:pPr>
              <w:pStyle w:val="TableParagraph"/>
              <w:spacing w:before="1"/>
              <w:ind w:left="994"/>
              <w:rPr>
                <w:b/>
                <w:sz w:val="22"/>
              </w:rPr>
            </w:pPr>
            <w:r>
              <w:rPr>
                <w:b/>
                <w:spacing w:val="-2"/>
                <w:sz w:val="22"/>
              </w:rPr>
              <w:t>Co-payments</w:t>
            </w:r>
          </w:p>
        </w:tc>
      </w:tr>
      <w:tr>
        <w:trPr>
          <w:trHeight w:val="1070" w:hRule="atLeast"/>
        </w:trPr>
        <w:tc>
          <w:tcPr>
            <w:tcW w:w="2606" w:type="dxa"/>
          </w:tcPr>
          <w:p>
            <w:pPr>
              <w:pStyle w:val="TableParagraph"/>
              <w:spacing w:before="5"/>
              <w:rPr>
                <w:sz w:val="24"/>
              </w:rPr>
            </w:pPr>
          </w:p>
          <w:p>
            <w:pPr>
              <w:pStyle w:val="TableParagraph"/>
              <w:ind w:left="247" w:right="234" w:firstLine="527"/>
              <w:rPr>
                <w:sz w:val="22"/>
              </w:rPr>
            </w:pPr>
            <w:r>
              <w:rPr>
                <w:spacing w:val="-2"/>
                <w:sz w:val="22"/>
              </w:rPr>
              <w:t>MassHealth </w:t>
            </w:r>
            <w:r>
              <w:rPr>
                <w:sz w:val="22"/>
              </w:rPr>
              <w:t>Standard/Standard</w:t>
            </w:r>
            <w:r>
              <w:rPr>
                <w:spacing w:val="-14"/>
                <w:sz w:val="22"/>
              </w:rPr>
              <w:t> </w:t>
            </w:r>
            <w:r>
              <w:rPr>
                <w:sz w:val="22"/>
              </w:rPr>
              <w:t>ABP</w:t>
            </w:r>
          </w:p>
        </w:tc>
        <w:tc>
          <w:tcPr>
            <w:tcW w:w="3508" w:type="dxa"/>
          </w:tcPr>
          <w:p>
            <w:pPr>
              <w:pStyle w:val="TableParagraph"/>
              <w:spacing w:before="3"/>
              <w:rPr>
                <w:sz w:val="35"/>
              </w:rPr>
            </w:pPr>
          </w:p>
          <w:p>
            <w:pPr>
              <w:pStyle w:val="TableParagraph"/>
              <w:spacing w:before="1"/>
              <w:ind w:left="32" w:right="21"/>
              <w:jc w:val="center"/>
              <w:rPr>
                <w:sz w:val="22"/>
              </w:rPr>
            </w:pPr>
            <w:r>
              <w:rPr>
                <w:spacing w:val="-5"/>
                <w:sz w:val="22"/>
              </w:rPr>
              <w:t>$0</w:t>
            </w:r>
          </w:p>
        </w:tc>
        <w:tc>
          <w:tcPr>
            <w:tcW w:w="3234" w:type="dxa"/>
          </w:tcPr>
          <w:p>
            <w:pPr>
              <w:pStyle w:val="TableParagraph"/>
              <w:spacing w:before="154"/>
              <w:ind w:left="116" w:right="103" w:hanging="2"/>
              <w:jc w:val="center"/>
              <w:rPr>
                <w:sz w:val="22"/>
              </w:rPr>
            </w:pPr>
            <w:r>
              <w:rPr>
                <w:sz w:val="22"/>
              </w:rPr>
              <w:t>All co-payments and co-payment caps</w:t>
            </w:r>
            <w:r>
              <w:rPr>
                <w:spacing w:val="-7"/>
                <w:sz w:val="22"/>
              </w:rPr>
              <w:t> </w:t>
            </w:r>
            <w:r>
              <w:rPr>
                <w:sz w:val="22"/>
              </w:rPr>
              <w:t>are</w:t>
            </w:r>
            <w:r>
              <w:rPr>
                <w:spacing w:val="-7"/>
                <w:sz w:val="22"/>
              </w:rPr>
              <w:t> </w:t>
            </w:r>
            <w:r>
              <w:rPr>
                <w:sz w:val="22"/>
              </w:rPr>
              <w:t>specified</w:t>
            </w:r>
            <w:r>
              <w:rPr>
                <w:spacing w:val="-8"/>
                <w:sz w:val="22"/>
              </w:rPr>
              <w:t> </w:t>
            </w:r>
            <w:r>
              <w:rPr>
                <w:sz w:val="22"/>
              </w:rPr>
              <w:t>in</w:t>
            </w:r>
            <w:r>
              <w:rPr>
                <w:spacing w:val="-8"/>
                <w:sz w:val="22"/>
              </w:rPr>
              <w:t> </w:t>
            </w:r>
            <w:r>
              <w:rPr>
                <w:sz w:val="22"/>
              </w:rPr>
              <w:t>the</w:t>
            </w:r>
            <w:r>
              <w:rPr>
                <w:spacing w:val="-7"/>
                <w:sz w:val="22"/>
              </w:rPr>
              <w:t> </w:t>
            </w:r>
            <w:r>
              <w:rPr>
                <w:sz w:val="22"/>
              </w:rPr>
              <w:t>Medicaid state plan.</w:t>
            </w:r>
          </w:p>
        </w:tc>
      </w:tr>
      <w:tr>
        <w:trPr>
          <w:trHeight w:val="981" w:hRule="atLeast"/>
        </w:trPr>
        <w:tc>
          <w:tcPr>
            <w:tcW w:w="2606" w:type="dxa"/>
          </w:tcPr>
          <w:p>
            <w:pPr>
              <w:pStyle w:val="TableParagraph"/>
              <w:spacing w:before="6"/>
              <w:rPr>
                <w:sz w:val="31"/>
              </w:rPr>
            </w:pPr>
          </w:p>
          <w:p>
            <w:pPr>
              <w:pStyle w:val="TableParagraph"/>
              <w:ind w:left="41" w:right="34"/>
              <w:jc w:val="center"/>
              <w:rPr>
                <w:sz w:val="22"/>
              </w:rPr>
            </w:pPr>
            <w:r>
              <w:rPr>
                <w:sz w:val="22"/>
              </w:rPr>
              <w:t>MassHealth</w:t>
            </w:r>
            <w:r>
              <w:rPr>
                <w:spacing w:val="-7"/>
                <w:sz w:val="22"/>
              </w:rPr>
              <w:t> </w:t>
            </w:r>
            <w:r>
              <w:rPr>
                <w:spacing w:val="-2"/>
                <w:sz w:val="22"/>
              </w:rPr>
              <w:t>CarePlus</w:t>
            </w:r>
          </w:p>
        </w:tc>
        <w:tc>
          <w:tcPr>
            <w:tcW w:w="3508" w:type="dxa"/>
          </w:tcPr>
          <w:p>
            <w:pPr>
              <w:pStyle w:val="TableParagraph"/>
              <w:spacing w:before="6"/>
              <w:rPr>
                <w:sz w:val="31"/>
              </w:rPr>
            </w:pPr>
          </w:p>
          <w:p>
            <w:pPr>
              <w:pStyle w:val="TableParagraph"/>
              <w:ind w:left="32" w:right="21"/>
              <w:jc w:val="center"/>
              <w:rPr>
                <w:sz w:val="22"/>
              </w:rPr>
            </w:pPr>
            <w:r>
              <w:rPr>
                <w:spacing w:val="-5"/>
                <w:sz w:val="22"/>
              </w:rPr>
              <w:t>$0</w:t>
            </w:r>
          </w:p>
        </w:tc>
        <w:tc>
          <w:tcPr>
            <w:tcW w:w="3234" w:type="dxa"/>
          </w:tcPr>
          <w:p>
            <w:pPr>
              <w:pStyle w:val="TableParagraph"/>
              <w:spacing w:before="6"/>
              <w:rPr>
                <w:sz w:val="20"/>
              </w:rPr>
            </w:pPr>
          </w:p>
          <w:p>
            <w:pPr>
              <w:pStyle w:val="TableParagraph"/>
              <w:ind w:left="1344" w:hanging="1260"/>
              <w:rPr>
                <w:sz w:val="22"/>
              </w:rPr>
            </w:pPr>
            <w:r>
              <w:rPr>
                <w:sz w:val="22"/>
              </w:rPr>
              <w:t>MassHealth</w:t>
            </w:r>
            <w:r>
              <w:rPr>
                <w:spacing w:val="-14"/>
                <w:sz w:val="22"/>
              </w:rPr>
              <w:t> </w:t>
            </w:r>
            <w:r>
              <w:rPr>
                <w:sz w:val="22"/>
              </w:rPr>
              <w:t>Standard</w:t>
            </w:r>
            <w:r>
              <w:rPr>
                <w:spacing w:val="-14"/>
                <w:sz w:val="22"/>
              </w:rPr>
              <w:t> </w:t>
            </w:r>
            <w:r>
              <w:rPr>
                <w:sz w:val="22"/>
              </w:rPr>
              <w:t>co-payments </w:t>
            </w:r>
            <w:r>
              <w:rPr>
                <w:spacing w:val="-2"/>
                <w:sz w:val="22"/>
              </w:rPr>
              <w:t>apply.</w:t>
            </w:r>
          </w:p>
        </w:tc>
      </w:tr>
      <w:tr>
        <w:trPr>
          <w:trHeight w:val="827" w:hRule="atLeast"/>
        </w:trPr>
        <w:tc>
          <w:tcPr>
            <w:tcW w:w="2606" w:type="dxa"/>
          </w:tcPr>
          <w:p>
            <w:pPr>
              <w:pStyle w:val="TableParagraph"/>
              <w:spacing w:before="34"/>
              <w:ind w:left="41" w:right="32"/>
              <w:jc w:val="center"/>
              <w:rPr>
                <w:sz w:val="22"/>
              </w:rPr>
            </w:pPr>
            <w:r>
              <w:rPr>
                <w:sz w:val="22"/>
              </w:rPr>
              <w:t>MassHealth Breast and Cervical</w:t>
            </w:r>
            <w:r>
              <w:rPr>
                <w:spacing w:val="-14"/>
                <w:sz w:val="22"/>
              </w:rPr>
              <w:t> </w:t>
            </w:r>
            <w:r>
              <w:rPr>
                <w:sz w:val="22"/>
              </w:rPr>
              <w:t>Cancer</w:t>
            </w:r>
            <w:r>
              <w:rPr>
                <w:spacing w:val="-14"/>
                <w:sz w:val="22"/>
              </w:rPr>
              <w:t> </w:t>
            </w:r>
            <w:r>
              <w:rPr>
                <w:sz w:val="22"/>
              </w:rPr>
              <w:t>Treatment </w:t>
            </w:r>
            <w:r>
              <w:rPr>
                <w:spacing w:val="-2"/>
                <w:sz w:val="22"/>
              </w:rPr>
              <w:t>Program</w:t>
            </w:r>
          </w:p>
        </w:tc>
        <w:tc>
          <w:tcPr>
            <w:tcW w:w="3508" w:type="dxa"/>
          </w:tcPr>
          <w:p>
            <w:pPr>
              <w:pStyle w:val="TableParagraph"/>
              <w:spacing w:before="10"/>
              <w:rPr>
                <w:sz w:val="24"/>
              </w:rPr>
            </w:pPr>
          </w:p>
          <w:p>
            <w:pPr>
              <w:pStyle w:val="TableParagraph"/>
              <w:ind w:left="29" w:right="21"/>
              <w:jc w:val="center"/>
              <w:rPr>
                <w:sz w:val="22"/>
              </w:rPr>
            </w:pPr>
            <w:r>
              <w:rPr>
                <w:sz w:val="22"/>
              </w:rPr>
              <w:t>$15-$72</w:t>
            </w:r>
            <w:r>
              <w:rPr>
                <w:spacing w:val="-2"/>
                <w:sz w:val="22"/>
              </w:rPr>
              <w:t> </w:t>
            </w:r>
            <w:r>
              <w:rPr>
                <w:sz w:val="22"/>
              </w:rPr>
              <w:t>depending</w:t>
            </w:r>
            <w:r>
              <w:rPr>
                <w:spacing w:val="-4"/>
                <w:sz w:val="22"/>
              </w:rPr>
              <w:t> </w:t>
            </w:r>
            <w:r>
              <w:rPr>
                <w:sz w:val="22"/>
              </w:rPr>
              <w:t>on</w:t>
            </w:r>
            <w:r>
              <w:rPr>
                <w:spacing w:val="-3"/>
                <w:sz w:val="22"/>
              </w:rPr>
              <w:t> </w:t>
            </w:r>
            <w:r>
              <w:rPr>
                <w:spacing w:val="-2"/>
                <w:sz w:val="22"/>
              </w:rPr>
              <w:t>income</w:t>
            </w:r>
          </w:p>
        </w:tc>
        <w:tc>
          <w:tcPr>
            <w:tcW w:w="3234" w:type="dxa"/>
          </w:tcPr>
          <w:p>
            <w:pPr>
              <w:pStyle w:val="TableParagraph"/>
              <w:spacing w:before="159"/>
              <w:ind w:left="1344" w:hanging="1260"/>
              <w:rPr>
                <w:sz w:val="22"/>
              </w:rPr>
            </w:pPr>
            <w:r>
              <w:rPr>
                <w:sz w:val="22"/>
              </w:rPr>
              <w:t>MassHealth</w:t>
            </w:r>
            <w:r>
              <w:rPr>
                <w:spacing w:val="-14"/>
                <w:sz w:val="22"/>
              </w:rPr>
              <w:t> </w:t>
            </w:r>
            <w:r>
              <w:rPr>
                <w:sz w:val="22"/>
              </w:rPr>
              <w:t>Standard</w:t>
            </w:r>
            <w:r>
              <w:rPr>
                <w:spacing w:val="-14"/>
                <w:sz w:val="22"/>
              </w:rPr>
              <w:t> </w:t>
            </w:r>
            <w:r>
              <w:rPr>
                <w:sz w:val="22"/>
              </w:rPr>
              <w:t>co-payments </w:t>
            </w:r>
            <w:r>
              <w:rPr>
                <w:spacing w:val="-2"/>
                <w:sz w:val="22"/>
              </w:rPr>
              <w:t>apply.</w:t>
            </w:r>
          </w:p>
        </w:tc>
      </w:tr>
      <w:tr>
        <w:trPr>
          <w:trHeight w:val="827" w:hRule="atLeast"/>
        </w:trPr>
        <w:tc>
          <w:tcPr>
            <w:tcW w:w="2606" w:type="dxa"/>
          </w:tcPr>
          <w:p>
            <w:pPr>
              <w:pStyle w:val="TableParagraph"/>
              <w:spacing w:before="10"/>
              <w:rPr>
                <w:sz w:val="24"/>
              </w:rPr>
            </w:pPr>
          </w:p>
          <w:p>
            <w:pPr>
              <w:pStyle w:val="TableParagraph"/>
              <w:ind w:left="41" w:right="34"/>
              <w:jc w:val="center"/>
              <w:rPr>
                <w:sz w:val="22"/>
              </w:rPr>
            </w:pPr>
            <w:r>
              <w:rPr>
                <w:sz w:val="22"/>
              </w:rPr>
              <w:t>MassHealth</w:t>
            </w:r>
            <w:r>
              <w:rPr>
                <w:spacing w:val="-7"/>
                <w:sz w:val="22"/>
              </w:rPr>
              <w:t> </w:t>
            </w:r>
            <w:r>
              <w:rPr>
                <w:spacing w:val="-2"/>
                <w:sz w:val="22"/>
              </w:rPr>
              <w:t>CommonHealth</w:t>
            </w:r>
          </w:p>
        </w:tc>
        <w:tc>
          <w:tcPr>
            <w:tcW w:w="3508" w:type="dxa"/>
          </w:tcPr>
          <w:p>
            <w:pPr>
              <w:pStyle w:val="TableParagraph"/>
              <w:spacing w:before="159"/>
              <w:ind w:left="796" w:hanging="660"/>
              <w:rPr>
                <w:sz w:val="22"/>
              </w:rPr>
            </w:pPr>
            <w:r>
              <w:rPr>
                <w:sz w:val="22"/>
              </w:rPr>
              <w:t>$15</w:t>
            </w:r>
            <w:r>
              <w:rPr>
                <w:spacing w:val="-7"/>
                <w:sz w:val="22"/>
              </w:rPr>
              <w:t> </w:t>
            </w:r>
            <w:r>
              <w:rPr>
                <w:sz w:val="22"/>
              </w:rPr>
              <w:t>and</w:t>
            </w:r>
            <w:r>
              <w:rPr>
                <w:spacing w:val="-9"/>
                <w:sz w:val="22"/>
              </w:rPr>
              <w:t> </w:t>
            </w:r>
            <w:r>
              <w:rPr>
                <w:sz w:val="22"/>
              </w:rPr>
              <w:t>above</w:t>
            </w:r>
            <w:r>
              <w:rPr>
                <w:spacing w:val="-7"/>
                <w:sz w:val="22"/>
              </w:rPr>
              <w:t> </w:t>
            </w:r>
            <w:r>
              <w:rPr>
                <w:sz w:val="22"/>
              </w:rPr>
              <w:t>depending</w:t>
            </w:r>
            <w:r>
              <w:rPr>
                <w:spacing w:val="-9"/>
                <w:sz w:val="22"/>
              </w:rPr>
              <w:t> </w:t>
            </w:r>
            <w:r>
              <w:rPr>
                <w:sz w:val="22"/>
              </w:rPr>
              <w:t>on</w:t>
            </w:r>
            <w:r>
              <w:rPr>
                <w:spacing w:val="-7"/>
                <w:sz w:val="22"/>
              </w:rPr>
              <w:t> </w:t>
            </w:r>
            <w:r>
              <w:rPr>
                <w:sz w:val="22"/>
              </w:rPr>
              <w:t>income and family group size</w:t>
            </w:r>
          </w:p>
        </w:tc>
        <w:tc>
          <w:tcPr>
            <w:tcW w:w="3234" w:type="dxa"/>
          </w:tcPr>
          <w:p>
            <w:pPr>
              <w:pStyle w:val="TableParagraph"/>
              <w:spacing w:before="159"/>
              <w:ind w:left="1344" w:hanging="1260"/>
              <w:rPr>
                <w:sz w:val="22"/>
              </w:rPr>
            </w:pPr>
            <w:r>
              <w:rPr>
                <w:sz w:val="22"/>
              </w:rPr>
              <w:t>MassHealth</w:t>
            </w:r>
            <w:r>
              <w:rPr>
                <w:spacing w:val="-14"/>
                <w:sz w:val="22"/>
              </w:rPr>
              <w:t> </w:t>
            </w:r>
            <w:r>
              <w:rPr>
                <w:sz w:val="22"/>
              </w:rPr>
              <w:t>Standard</w:t>
            </w:r>
            <w:r>
              <w:rPr>
                <w:spacing w:val="-14"/>
                <w:sz w:val="22"/>
              </w:rPr>
              <w:t> </w:t>
            </w:r>
            <w:r>
              <w:rPr>
                <w:sz w:val="22"/>
              </w:rPr>
              <w:t>co-payments </w:t>
            </w:r>
            <w:r>
              <w:rPr>
                <w:spacing w:val="-2"/>
                <w:sz w:val="22"/>
              </w:rPr>
              <w:t>apply.</w:t>
            </w:r>
          </w:p>
        </w:tc>
      </w:tr>
      <w:tr>
        <w:trPr>
          <w:trHeight w:val="2006" w:hRule="atLeast"/>
        </w:trPr>
        <w:tc>
          <w:tcPr>
            <w:tcW w:w="2606" w:type="dxa"/>
          </w:tcPr>
          <w:p>
            <w:pPr>
              <w:pStyle w:val="TableParagraph"/>
              <w:spacing w:before="116"/>
              <w:ind w:left="41" w:right="34"/>
              <w:jc w:val="center"/>
              <w:rPr>
                <w:sz w:val="22"/>
              </w:rPr>
            </w:pPr>
            <w:r>
              <w:rPr>
                <w:sz w:val="22"/>
              </w:rPr>
              <w:t>CommonHealth</w:t>
            </w:r>
            <w:r>
              <w:rPr>
                <w:spacing w:val="-14"/>
                <w:sz w:val="22"/>
              </w:rPr>
              <w:t> </w:t>
            </w:r>
            <w:r>
              <w:rPr>
                <w:sz w:val="22"/>
              </w:rPr>
              <w:t>Children through 300% FPL</w:t>
            </w:r>
          </w:p>
          <w:p>
            <w:pPr>
              <w:pStyle w:val="TableParagraph"/>
              <w:spacing w:before="1"/>
              <w:rPr>
                <w:sz w:val="22"/>
              </w:rPr>
            </w:pPr>
          </w:p>
          <w:p>
            <w:pPr>
              <w:pStyle w:val="TableParagraph"/>
              <w:spacing w:before="1"/>
              <w:ind w:left="41" w:right="34"/>
              <w:jc w:val="center"/>
              <w:rPr>
                <w:sz w:val="22"/>
              </w:rPr>
            </w:pPr>
            <w:r>
              <w:rPr>
                <w:sz w:val="22"/>
              </w:rPr>
              <w:t>Children</w:t>
            </w:r>
            <w:r>
              <w:rPr>
                <w:spacing w:val="-12"/>
                <w:sz w:val="22"/>
              </w:rPr>
              <w:t> </w:t>
            </w:r>
            <w:r>
              <w:rPr>
                <w:sz w:val="22"/>
              </w:rPr>
              <w:t>with</w:t>
            </w:r>
            <w:r>
              <w:rPr>
                <w:spacing w:val="-14"/>
                <w:sz w:val="22"/>
              </w:rPr>
              <w:t> </w:t>
            </w:r>
            <w:r>
              <w:rPr>
                <w:sz w:val="22"/>
              </w:rPr>
              <w:t>income</w:t>
            </w:r>
            <w:r>
              <w:rPr>
                <w:spacing w:val="-11"/>
                <w:sz w:val="22"/>
              </w:rPr>
              <w:t> </w:t>
            </w:r>
            <w:r>
              <w:rPr>
                <w:sz w:val="22"/>
              </w:rPr>
              <w:t>above 300% FPL adhere to the regular CommonHealth </w:t>
            </w:r>
            <w:r>
              <w:rPr>
                <w:spacing w:val="-2"/>
                <w:sz w:val="22"/>
              </w:rPr>
              <w:t>schedule</w:t>
            </w:r>
          </w:p>
        </w:tc>
        <w:tc>
          <w:tcPr>
            <w:tcW w:w="3508" w:type="dxa"/>
          </w:tcPr>
          <w:p>
            <w:pPr>
              <w:pStyle w:val="TableParagraph"/>
              <w:rPr>
                <w:sz w:val="24"/>
              </w:rPr>
            </w:pPr>
          </w:p>
          <w:p>
            <w:pPr>
              <w:pStyle w:val="TableParagraph"/>
              <w:rPr>
                <w:sz w:val="24"/>
              </w:rPr>
            </w:pPr>
          </w:p>
          <w:p>
            <w:pPr>
              <w:pStyle w:val="TableParagraph"/>
              <w:spacing w:before="197"/>
              <w:ind w:left="991" w:hanging="766"/>
              <w:rPr>
                <w:sz w:val="22"/>
              </w:rPr>
            </w:pPr>
            <w:r>
              <w:rPr>
                <w:sz w:val="22"/>
              </w:rPr>
              <w:t>$12-$84</w:t>
            </w:r>
            <w:r>
              <w:rPr>
                <w:spacing w:val="-8"/>
                <w:sz w:val="22"/>
              </w:rPr>
              <w:t> </w:t>
            </w:r>
            <w:r>
              <w:rPr>
                <w:sz w:val="22"/>
              </w:rPr>
              <w:t>depending</w:t>
            </w:r>
            <w:r>
              <w:rPr>
                <w:spacing w:val="-11"/>
                <w:sz w:val="22"/>
              </w:rPr>
              <w:t> </w:t>
            </w:r>
            <w:r>
              <w:rPr>
                <w:sz w:val="22"/>
              </w:rPr>
              <w:t>on</w:t>
            </w:r>
            <w:r>
              <w:rPr>
                <w:spacing w:val="-11"/>
                <w:sz w:val="22"/>
              </w:rPr>
              <w:t> </w:t>
            </w:r>
            <w:r>
              <w:rPr>
                <w:sz w:val="22"/>
              </w:rPr>
              <w:t>income</w:t>
            </w:r>
            <w:r>
              <w:rPr>
                <w:spacing w:val="-8"/>
                <w:sz w:val="22"/>
              </w:rPr>
              <w:t> </w:t>
            </w:r>
            <w:r>
              <w:rPr>
                <w:sz w:val="22"/>
              </w:rPr>
              <w:t>and family group size</w:t>
            </w:r>
          </w:p>
        </w:tc>
        <w:tc>
          <w:tcPr>
            <w:tcW w:w="3234" w:type="dxa"/>
          </w:tcPr>
          <w:p>
            <w:pPr>
              <w:pStyle w:val="TableParagraph"/>
              <w:rPr>
                <w:sz w:val="24"/>
              </w:rPr>
            </w:pPr>
          </w:p>
          <w:p>
            <w:pPr>
              <w:pStyle w:val="TableParagraph"/>
              <w:rPr>
                <w:sz w:val="24"/>
              </w:rPr>
            </w:pPr>
          </w:p>
          <w:p>
            <w:pPr>
              <w:pStyle w:val="TableParagraph"/>
              <w:spacing w:before="197"/>
              <w:ind w:left="1344" w:hanging="1260"/>
              <w:rPr>
                <w:sz w:val="22"/>
              </w:rPr>
            </w:pPr>
            <w:r>
              <w:rPr>
                <w:sz w:val="22"/>
              </w:rPr>
              <w:t>MassHealth</w:t>
            </w:r>
            <w:r>
              <w:rPr>
                <w:spacing w:val="-14"/>
                <w:sz w:val="22"/>
              </w:rPr>
              <w:t> </w:t>
            </w:r>
            <w:r>
              <w:rPr>
                <w:sz w:val="22"/>
              </w:rPr>
              <w:t>Standard</w:t>
            </w:r>
            <w:r>
              <w:rPr>
                <w:spacing w:val="-14"/>
                <w:sz w:val="22"/>
              </w:rPr>
              <w:t> </w:t>
            </w:r>
            <w:r>
              <w:rPr>
                <w:sz w:val="22"/>
              </w:rPr>
              <w:t>co-payments </w:t>
            </w:r>
            <w:r>
              <w:rPr>
                <w:spacing w:val="-2"/>
                <w:sz w:val="22"/>
              </w:rPr>
              <w:t>apply.</w:t>
            </w:r>
          </w:p>
        </w:tc>
      </w:tr>
    </w:tbl>
    <w:p>
      <w:pPr>
        <w:spacing w:after="0"/>
        <w:rPr>
          <w:sz w:val="22"/>
        </w:rPr>
        <w:sectPr>
          <w:footerReference w:type="default" r:id="rId338"/>
          <w:pgSz w:w="12240" w:h="15840"/>
          <w:pgMar w:footer="971" w:header="0" w:top="640" w:bottom="1160" w:left="220" w:right="340"/>
          <w:pgNumType w:start="1"/>
        </w:sectPr>
      </w:pPr>
    </w:p>
    <w:p>
      <w:pPr>
        <w:spacing w:before="80"/>
        <w:ind w:left="1220" w:right="0" w:firstLine="0"/>
        <w:jc w:val="left"/>
        <w:rPr>
          <w:sz w:val="20"/>
        </w:rPr>
      </w:pPr>
      <w:r>
        <w:rPr>
          <w:spacing w:val="-2"/>
          <w:sz w:val="20"/>
        </w:rPr>
        <w:t>Attachment</w:t>
      </w:r>
      <w:r>
        <w:rPr>
          <w:spacing w:val="6"/>
          <w:sz w:val="20"/>
        </w:rPr>
        <w:t> </w:t>
      </w:r>
      <w:r>
        <w:rPr>
          <w:spacing w:val="-10"/>
          <w:sz w:val="20"/>
        </w:rPr>
        <w:t>C</w:t>
      </w:r>
    </w:p>
    <w:p>
      <w:pPr>
        <w:pStyle w:val="BodyText"/>
        <w:rPr>
          <w:sz w:val="20"/>
        </w:rPr>
      </w:pPr>
    </w:p>
    <w:p>
      <w:pPr>
        <w:pStyle w:val="BodyText"/>
        <w:spacing w:before="7"/>
        <w:rPr>
          <w:sz w:val="22"/>
        </w:rPr>
      </w:pPr>
    </w:p>
    <w:tbl>
      <w:tblPr>
        <w:tblW w:w="0" w:type="auto"/>
        <w:jc w:val="left"/>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6"/>
        <w:gridCol w:w="3508"/>
        <w:gridCol w:w="3234"/>
      </w:tblGrid>
      <w:tr>
        <w:trPr>
          <w:trHeight w:val="1043" w:hRule="atLeast"/>
        </w:trPr>
        <w:tc>
          <w:tcPr>
            <w:tcW w:w="2606" w:type="dxa"/>
            <w:shd w:val="clear" w:color="auto" w:fill="D9E1F3"/>
          </w:tcPr>
          <w:p>
            <w:pPr>
              <w:pStyle w:val="TableParagraph"/>
              <w:spacing w:before="5"/>
              <w:rPr>
                <w:sz w:val="34"/>
              </w:rPr>
            </w:pPr>
          </w:p>
          <w:p>
            <w:pPr>
              <w:pStyle w:val="TableParagraph"/>
              <w:spacing w:before="1"/>
              <w:ind w:left="148"/>
              <w:rPr>
                <w:b/>
                <w:sz w:val="22"/>
              </w:rPr>
            </w:pPr>
            <w:r>
              <w:rPr>
                <w:b/>
                <w:sz w:val="22"/>
              </w:rPr>
              <w:t>Demonstration</w:t>
            </w:r>
            <w:r>
              <w:rPr>
                <w:b/>
                <w:spacing w:val="-12"/>
                <w:sz w:val="22"/>
              </w:rPr>
              <w:t> </w:t>
            </w:r>
            <w:r>
              <w:rPr>
                <w:b/>
                <w:spacing w:val="-2"/>
                <w:sz w:val="22"/>
              </w:rPr>
              <w:t>Program</w:t>
            </w:r>
          </w:p>
        </w:tc>
        <w:tc>
          <w:tcPr>
            <w:tcW w:w="3508" w:type="dxa"/>
            <w:shd w:val="clear" w:color="auto" w:fill="D9E1F3"/>
          </w:tcPr>
          <w:p>
            <w:pPr>
              <w:pStyle w:val="TableParagraph"/>
              <w:spacing w:before="113"/>
              <w:ind w:left="32" w:right="21"/>
              <w:jc w:val="center"/>
              <w:rPr>
                <w:b/>
                <w:sz w:val="22"/>
              </w:rPr>
            </w:pPr>
            <w:r>
              <w:rPr>
                <w:b/>
                <w:spacing w:val="-2"/>
                <w:sz w:val="22"/>
              </w:rPr>
              <w:t>Premiums</w:t>
            </w:r>
          </w:p>
          <w:p>
            <w:pPr>
              <w:pStyle w:val="TableParagraph"/>
              <w:spacing w:line="244" w:lineRule="auto" w:before="57"/>
              <w:ind w:left="33" w:right="21"/>
              <w:jc w:val="center"/>
              <w:rPr>
                <w:b/>
                <w:sz w:val="22"/>
              </w:rPr>
            </w:pPr>
            <w:r>
              <w:rPr>
                <w:b/>
                <w:sz w:val="22"/>
              </w:rPr>
              <w:t>(only</w:t>
            </w:r>
            <w:r>
              <w:rPr>
                <w:b/>
                <w:spacing w:val="-9"/>
                <w:sz w:val="22"/>
              </w:rPr>
              <w:t> </w:t>
            </w:r>
            <w:r>
              <w:rPr>
                <w:b/>
                <w:sz w:val="22"/>
              </w:rPr>
              <w:t>for</w:t>
            </w:r>
            <w:r>
              <w:rPr>
                <w:b/>
                <w:spacing w:val="-6"/>
                <w:sz w:val="22"/>
              </w:rPr>
              <w:t> </w:t>
            </w:r>
            <w:r>
              <w:rPr>
                <w:b/>
                <w:sz w:val="22"/>
              </w:rPr>
              <w:t>persons</w:t>
            </w:r>
            <w:r>
              <w:rPr>
                <w:b/>
                <w:spacing w:val="-8"/>
                <w:sz w:val="22"/>
              </w:rPr>
              <w:t> </w:t>
            </w:r>
            <w:r>
              <w:rPr>
                <w:b/>
                <w:sz w:val="22"/>
              </w:rPr>
              <w:t>with</w:t>
            </w:r>
            <w:r>
              <w:rPr>
                <w:b/>
                <w:spacing w:val="-9"/>
                <w:sz w:val="22"/>
              </w:rPr>
              <w:t> </w:t>
            </w:r>
            <w:r>
              <w:rPr>
                <w:b/>
                <w:sz w:val="22"/>
              </w:rPr>
              <w:t>family</w:t>
            </w:r>
            <w:r>
              <w:rPr>
                <w:b/>
                <w:spacing w:val="-6"/>
                <w:sz w:val="22"/>
              </w:rPr>
              <w:t> </w:t>
            </w:r>
            <w:r>
              <w:rPr>
                <w:b/>
                <w:sz w:val="22"/>
              </w:rPr>
              <w:t>income above 150 percent of the FPL)</w:t>
            </w:r>
          </w:p>
        </w:tc>
        <w:tc>
          <w:tcPr>
            <w:tcW w:w="3234" w:type="dxa"/>
            <w:shd w:val="clear" w:color="auto" w:fill="D9E1F3"/>
          </w:tcPr>
          <w:p>
            <w:pPr>
              <w:pStyle w:val="TableParagraph"/>
              <w:spacing w:before="5"/>
              <w:rPr>
                <w:sz w:val="34"/>
              </w:rPr>
            </w:pPr>
          </w:p>
          <w:p>
            <w:pPr>
              <w:pStyle w:val="TableParagraph"/>
              <w:spacing w:before="1"/>
              <w:ind w:left="102" w:right="91"/>
              <w:jc w:val="center"/>
              <w:rPr>
                <w:b/>
                <w:sz w:val="22"/>
              </w:rPr>
            </w:pPr>
            <w:r>
              <w:rPr>
                <w:b/>
                <w:spacing w:val="-2"/>
                <w:sz w:val="22"/>
              </w:rPr>
              <w:t>Co-payments</w:t>
            </w:r>
          </w:p>
        </w:tc>
      </w:tr>
      <w:tr>
        <w:trPr>
          <w:trHeight w:val="1007" w:hRule="atLeast"/>
        </w:trPr>
        <w:tc>
          <w:tcPr>
            <w:tcW w:w="2606" w:type="dxa"/>
          </w:tcPr>
          <w:p>
            <w:pPr>
              <w:pStyle w:val="TableParagraph"/>
              <w:spacing w:before="8"/>
              <w:rPr>
                <w:sz w:val="21"/>
              </w:rPr>
            </w:pPr>
          </w:p>
          <w:p>
            <w:pPr>
              <w:pStyle w:val="TableParagraph"/>
              <w:spacing w:before="1"/>
              <w:ind w:left="290" w:right="277" w:firstLine="146"/>
              <w:rPr>
                <w:sz w:val="22"/>
              </w:rPr>
            </w:pPr>
            <w:r>
              <w:rPr>
                <w:sz w:val="22"/>
              </w:rPr>
              <w:t>MassHealth Family Assistance:</w:t>
            </w:r>
            <w:r>
              <w:rPr>
                <w:spacing w:val="-14"/>
                <w:sz w:val="22"/>
              </w:rPr>
              <w:t> </w:t>
            </w:r>
            <w:r>
              <w:rPr>
                <w:sz w:val="22"/>
              </w:rPr>
              <w:t>HIV/AIDS</w:t>
            </w:r>
          </w:p>
        </w:tc>
        <w:tc>
          <w:tcPr>
            <w:tcW w:w="3508" w:type="dxa"/>
          </w:tcPr>
          <w:p>
            <w:pPr>
              <w:pStyle w:val="TableParagraph"/>
              <w:spacing w:before="9"/>
              <w:rPr>
                <w:sz w:val="32"/>
              </w:rPr>
            </w:pPr>
          </w:p>
          <w:p>
            <w:pPr>
              <w:pStyle w:val="TableParagraph"/>
              <w:ind w:left="413"/>
              <w:rPr>
                <w:sz w:val="22"/>
              </w:rPr>
            </w:pPr>
            <w:r>
              <w:rPr>
                <w:sz w:val="22"/>
              </w:rPr>
              <w:t>$15-$35</w:t>
            </w:r>
            <w:r>
              <w:rPr>
                <w:spacing w:val="-2"/>
                <w:sz w:val="22"/>
              </w:rPr>
              <w:t> </w:t>
            </w:r>
            <w:r>
              <w:rPr>
                <w:sz w:val="22"/>
              </w:rPr>
              <w:t>depending</w:t>
            </w:r>
            <w:r>
              <w:rPr>
                <w:spacing w:val="-4"/>
                <w:sz w:val="22"/>
              </w:rPr>
              <w:t> </w:t>
            </w:r>
            <w:r>
              <w:rPr>
                <w:sz w:val="22"/>
              </w:rPr>
              <w:t>on</w:t>
            </w:r>
            <w:r>
              <w:rPr>
                <w:spacing w:val="-3"/>
                <w:sz w:val="22"/>
              </w:rPr>
              <w:t> </w:t>
            </w:r>
            <w:r>
              <w:rPr>
                <w:spacing w:val="-2"/>
                <w:sz w:val="22"/>
              </w:rPr>
              <w:t>income</w:t>
            </w:r>
          </w:p>
        </w:tc>
        <w:tc>
          <w:tcPr>
            <w:tcW w:w="3234" w:type="dxa"/>
          </w:tcPr>
          <w:p>
            <w:pPr>
              <w:pStyle w:val="TableParagraph"/>
              <w:spacing w:before="8"/>
              <w:rPr>
                <w:sz w:val="21"/>
              </w:rPr>
            </w:pPr>
          </w:p>
          <w:p>
            <w:pPr>
              <w:pStyle w:val="TableParagraph"/>
              <w:spacing w:before="1"/>
              <w:ind w:left="1344" w:hanging="1260"/>
              <w:rPr>
                <w:sz w:val="22"/>
              </w:rPr>
            </w:pPr>
            <w:r>
              <w:rPr>
                <w:sz w:val="22"/>
              </w:rPr>
              <w:t>MassHealth</w:t>
            </w:r>
            <w:r>
              <w:rPr>
                <w:spacing w:val="-14"/>
                <w:sz w:val="22"/>
              </w:rPr>
              <w:t> </w:t>
            </w:r>
            <w:r>
              <w:rPr>
                <w:sz w:val="22"/>
              </w:rPr>
              <w:t>Standard</w:t>
            </w:r>
            <w:r>
              <w:rPr>
                <w:spacing w:val="-14"/>
                <w:sz w:val="22"/>
              </w:rPr>
              <w:t> </w:t>
            </w:r>
            <w:r>
              <w:rPr>
                <w:sz w:val="22"/>
              </w:rPr>
              <w:t>co-payments </w:t>
            </w:r>
            <w:r>
              <w:rPr>
                <w:spacing w:val="-2"/>
                <w:sz w:val="22"/>
              </w:rPr>
              <w:t>apply.</w:t>
            </w:r>
          </w:p>
        </w:tc>
      </w:tr>
      <w:tr>
        <w:trPr>
          <w:trHeight w:val="1494" w:hRule="atLeast"/>
        </w:trPr>
        <w:tc>
          <w:tcPr>
            <w:tcW w:w="2606" w:type="dxa"/>
          </w:tcPr>
          <w:p>
            <w:pPr>
              <w:pStyle w:val="TableParagraph"/>
              <w:rPr>
                <w:sz w:val="32"/>
              </w:rPr>
            </w:pPr>
          </w:p>
          <w:p>
            <w:pPr>
              <w:pStyle w:val="TableParagraph"/>
              <w:ind w:left="41" w:right="30"/>
              <w:jc w:val="center"/>
              <w:rPr>
                <w:sz w:val="22"/>
              </w:rPr>
            </w:pPr>
            <w:r>
              <w:rPr>
                <w:sz w:val="22"/>
              </w:rPr>
              <w:t>MassHealth Family Assistance:</w:t>
            </w:r>
            <w:r>
              <w:rPr>
                <w:spacing w:val="-14"/>
                <w:sz w:val="22"/>
              </w:rPr>
              <w:t> </w:t>
            </w:r>
            <w:r>
              <w:rPr>
                <w:sz w:val="22"/>
              </w:rPr>
              <w:t>Premium </w:t>
            </w:r>
            <w:r>
              <w:rPr>
                <w:spacing w:val="-2"/>
                <w:sz w:val="22"/>
              </w:rPr>
              <w:t>Assistance</w:t>
            </w:r>
          </w:p>
        </w:tc>
        <w:tc>
          <w:tcPr>
            <w:tcW w:w="3508" w:type="dxa"/>
          </w:tcPr>
          <w:p>
            <w:pPr>
              <w:pStyle w:val="TableParagraph"/>
              <w:rPr>
                <w:sz w:val="24"/>
              </w:rPr>
            </w:pPr>
          </w:p>
          <w:p>
            <w:pPr>
              <w:pStyle w:val="TableParagraph"/>
              <w:spacing w:before="9"/>
              <w:rPr>
                <w:sz w:val="18"/>
              </w:rPr>
            </w:pPr>
          </w:p>
          <w:p>
            <w:pPr>
              <w:pStyle w:val="TableParagraph"/>
              <w:spacing w:before="1"/>
              <w:ind w:left="1497" w:hanging="1244"/>
              <w:rPr>
                <w:sz w:val="22"/>
              </w:rPr>
            </w:pPr>
            <w:r>
              <w:rPr>
                <w:sz w:val="22"/>
              </w:rPr>
              <w:t>$12</w:t>
            </w:r>
            <w:r>
              <w:rPr>
                <w:spacing w:val="-5"/>
                <w:sz w:val="22"/>
              </w:rPr>
              <w:t> </w:t>
            </w:r>
            <w:r>
              <w:rPr>
                <w:sz w:val="22"/>
              </w:rPr>
              <w:t>per</w:t>
            </w:r>
            <w:r>
              <w:rPr>
                <w:spacing w:val="-4"/>
                <w:sz w:val="22"/>
              </w:rPr>
              <w:t> </w:t>
            </w:r>
            <w:r>
              <w:rPr>
                <w:sz w:val="22"/>
              </w:rPr>
              <w:t>child,</w:t>
            </w:r>
            <w:r>
              <w:rPr>
                <w:spacing w:val="-8"/>
                <w:sz w:val="22"/>
              </w:rPr>
              <w:t> </w:t>
            </w:r>
            <w:r>
              <w:rPr>
                <w:sz w:val="22"/>
              </w:rPr>
              <w:t>$36</w:t>
            </w:r>
            <w:r>
              <w:rPr>
                <w:spacing w:val="-5"/>
                <w:sz w:val="22"/>
              </w:rPr>
              <w:t> </w:t>
            </w:r>
            <w:r>
              <w:rPr>
                <w:sz w:val="22"/>
              </w:rPr>
              <w:t>max</w:t>
            </w:r>
            <w:r>
              <w:rPr>
                <w:spacing w:val="-5"/>
                <w:sz w:val="22"/>
              </w:rPr>
              <w:t> </w:t>
            </w:r>
            <w:r>
              <w:rPr>
                <w:sz w:val="22"/>
              </w:rPr>
              <w:t>per</w:t>
            </w:r>
            <w:r>
              <w:rPr>
                <w:spacing w:val="-7"/>
                <w:sz w:val="22"/>
              </w:rPr>
              <w:t> </w:t>
            </w:r>
            <w:r>
              <w:rPr>
                <w:sz w:val="22"/>
              </w:rPr>
              <w:t>family </w:t>
            </w:r>
            <w:r>
              <w:rPr>
                <w:spacing w:val="-4"/>
                <w:sz w:val="22"/>
              </w:rPr>
              <w:t>group</w:t>
            </w:r>
          </w:p>
        </w:tc>
        <w:tc>
          <w:tcPr>
            <w:tcW w:w="3234" w:type="dxa"/>
          </w:tcPr>
          <w:p>
            <w:pPr>
              <w:pStyle w:val="TableParagraph"/>
              <w:spacing w:before="10"/>
              <w:rPr>
                <w:sz w:val="20"/>
              </w:rPr>
            </w:pPr>
          </w:p>
          <w:p>
            <w:pPr>
              <w:pStyle w:val="TableParagraph"/>
              <w:spacing w:before="1"/>
              <w:ind w:left="107" w:right="91"/>
              <w:jc w:val="center"/>
              <w:rPr>
                <w:sz w:val="22"/>
              </w:rPr>
            </w:pPr>
            <w:r>
              <w:rPr>
                <w:sz w:val="22"/>
              </w:rPr>
              <w:t>Member is responsible for all co- payments required under private insurance</w:t>
            </w:r>
            <w:r>
              <w:rPr>
                <w:spacing w:val="-7"/>
                <w:sz w:val="22"/>
              </w:rPr>
              <w:t> </w:t>
            </w:r>
            <w:r>
              <w:rPr>
                <w:sz w:val="22"/>
              </w:rPr>
              <w:t>with</w:t>
            </w:r>
            <w:r>
              <w:rPr>
                <w:spacing w:val="-7"/>
                <w:sz w:val="22"/>
              </w:rPr>
              <w:t> </w:t>
            </w:r>
            <w:r>
              <w:rPr>
                <w:sz w:val="22"/>
              </w:rPr>
              <w:t>a</w:t>
            </w:r>
            <w:r>
              <w:rPr>
                <w:spacing w:val="-9"/>
                <w:sz w:val="22"/>
              </w:rPr>
              <w:t> </w:t>
            </w:r>
            <w:r>
              <w:rPr>
                <w:sz w:val="22"/>
              </w:rPr>
              <w:t>cost</w:t>
            </w:r>
            <w:r>
              <w:rPr>
                <w:spacing w:val="-6"/>
                <w:sz w:val="22"/>
              </w:rPr>
              <w:t> </w:t>
            </w:r>
            <w:r>
              <w:rPr>
                <w:sz w:val="22"/>
              </w:rPr>
              <w:t>sharing</w:t>
            </w:r>
            <w:r>
              <w:rPr>
                <w:spacing w:val="-10"/>
                <w:sz w:val="22"/>
              </w:rPr>
              <w:t> </w:t>
            </w:r>
            <w:r>
              <w:rPr>
                <w:sz w:val="22"/>
              </w:rPr>
              <w:t>limit of 5 percent of family income</w:t>
            </w:r>
          </w:p>
        </w:tc>
      </w:tr>
      <w:tr>
        <w:trPr>
          <w:trHeight w:val="1007" w:hRule="atLeast"/>
        </w:trPr>
        <w:tc>
          <w:tcPr>
            <w:tcW w:w="2606" w:type="dxa"/>
          </w:tcPr>
          <w:p>
            <w:pPr>
              <w:pStyle w:val="TableParagraph"/>
              <w:spacing w:before="8"/>
              <w:rPr>
                <w:sz w:val="21"/>
              </w:rPr>
            </w:pPr>
          </w:p>
          <w:p>
            <w:pPr>
              <w:pStyle w:val="TableParagraph"/>
              <w:spacing w:before="1"/>
              <w:ind w:left="47" w:firstLine="388"/>
              <w:rPr>
                <w:sz w:val="22"/>
              </w:rPr>
            </w:pPr>
            <w:r>
              <w:rPr>
                <w:sz w:val="22"/>
              </w:rPr>
              <w:t>MassHealth Family Assistance:</w:t>
            </w:r>
            <w:r>
              <w:rPr>
                <w:spacing w:val="-14"/>
                <w:sz w:val="22"/>
              </w:rPr>
              <w:t> </w:t>
            </w:r>
            <w:r>
              <w:rPr>
                <w:sz w:val="22"/>
              </w:rPr>
              <w:t>Direct</w:t>
            </w:r>
            <w:r>
              <w:rPr>
                <w:spacing w:val="-14"/>
                <w:sz w:val="22"/>
              </w:rPr>
              <w:t> </w:t>
            </w:r>
            <w:r>
              <w:rPr>
                <w:sz w:val="22"/>
              </w:rPr>
              <w:t>Coverage</w:t>
            </w:r>
          </w:p>
        </w:tc>
        <w:tc>
          <w:tcPr>
            <w:tcW w:w="3508" w:type="dxa"/>
          </w:tcPr>
          <w:p>
            <w:pPr>
              <w:pStyle w:val="TableParagraph"/>
              <w:spacing w:before="8"/>
              <w:rPr>
                <w:sz w:val="21"/>
              </w:rPr>
            </w:pPr>
          </w:p>
          <w:p>
            <w:pPr>
              <w:pStyle w:val="TableParagraph"/>
              <w:spacing w:before="1"/>
              <w:ind w:left="1497" w:hanging="1244"/>
              <w:rPr>
                <w:sz w:val="22"/>
              </w:rPr>
            </w:pPr>
            <w:r>
              <w:rPr>
                <w:sz w:val="22"/>
              </w:rPr>
              <w:t>$12</w:t>
            </w:r>
            <w:r>
              <w:rPr>
                <w:spacing w:val="-5"/>
                <w:sz w:val="22"/>
              </w:rPr>
              <w:t> </w:t>
            </w:r>
            <w:r>
              <w:rPr>
                <w:sz w:val="22"/>
              </w:rPr>
              <w:t>per</w:t>
            </w:r>
            <w:r>
              <w:rPr>
                <w:spacing w:val="-4"/>
                <w:sz w:val="22"/>
              </w:rPr>
              <w:t> </w:t>
            </w:r>
            <w:r>
              <w:rPr>
                <w:sz w:val="22"/>
              </w:rPr>
              <w:t>child,</w:t>
            </w:r>
            <w:r>
              <w:rPr>
                <w:spacing w:val="-8"/>
                <w:sz w:val="22"/>
              </w:rPr>
              <w:t> </w:t>
            </w:r>
            <w:r>
              <w:rPr>
                <w:sz w:val="22"/>
              </w:rPr>
              <w:t>$36</w:t>
            </w:r>
            <w:r>
              <w:rPr>
                <w:spacing w:val="-5"/>
                <w:sz w:val="22"/>
              </w:rPr>
              <w:t> </w:t>
            </w:r>
            <w:r>
              <w:rPr>
                <w:sz w:val="22"/>
              </w:rPr>
              <w:t>max</w:t>
            </w:r>
            <w:r>
              <w:rPr>
                <w:spacing w:val="-5"/>
                <w:sz w:val="22"/>
              </w:rPr>
              <w:t> </w:t>
            </w:r>
            <w:r>
              <w:rPr>
                <w:sz w:val="22"/>
              </w:rPr>
              <w:t>per</w:t>
            </w:r>
            <w:r>
              <w:rPr>
                <w:spacing w:val="-7"/>
                <w:sz w:val="22"/>
              </w:rPr>
              <w:t> </w:t>
            </w:r>
            <w:r>
              <w:rPr>
                <w:sz w:val="22"/>
              </w:rPr>
              <w:t>family </w:t>
            </w:r>
            <w:r>
              <w:rPr>
                <w:spacing w:val="-4"/>
                <w:sz w:val="22"/>
              </w:rPr>
              <w:t>group</w:t>
            </w:r>
          </w:p>
        </w:tc>
        <w:tc>
          <w:tcPr>
            <w:tcW w:w="3234" w:type="dxa"/>
          </w:tcPr>
          <w:p>
            <w:pPr>
              <w:pStyle w:val="TableParagraph"/>
              <w:spacing w:before="7"/>
              <w:rPr>
                <w:sz w:val="32"/>
              </w:rPr>
            </w:pPr>
          </w:p>
          <w:p>
            <w:pPr>
              <w:pStyle w:val="TableParagraph"/>
              <w:ind w:left="103" w:right="91"/>
              <w:jc w:val="center"/>
              <w:rPr>
                <w:sz w:val="22"/>
              </w:rPr>
            </w:pPr>
            <w:r>
              <w:rPr>
                <w:sz w:val="22"/>
              </w:rPr>
              <w:t>Children</w:t>
            </w:r>
            <w:r>
              <w:rPr>
                <w:spacing w:val="-6"/>
                <w:sz w:val="22"/>
              </w:rPr>
              <w:t> </w:t>
            </w:r>
            <w:r>
              <w:rPr>
                <w:sz w:val="22"/>
              </w:rPr>
              <w:t>only-no</w:t>
            </w:r>
            <w:r>
              <w:rPr>
                <w:spacing w:val="-5"/>
                <w:sz w:val="22"/>
              </w:rPr>
              <w:t> </w:t>
            </w:r>
            <w:r>
              <w:rPr>
                <w:spacing w:val="-2"/>
                <w:sz w:val="22"/>
              </w:rPr>
              <w:t>copayments.</w:t>
            </w:r>
          </w:p>
        </w:tc>
      </w:tr>
    </w:tbl>
    <w:p>
      <w:pPr>
        <w:pStyle w:val="BodyText"/>
        <w:rPr>
          <w:sz w:val="20"/>
        </w:rPr>
      </w:pPr>
    </w:p>
    <w:p>
      <w:pPr>
        <w:pStyle w:val="BodyText"/>
        <w:spacing w:before="4"/>
        <w:rPr>
          <w:sz w:val="18"/>
        </w:rPr>
      </w:pPr>
    </w:p>
    <w:tbl>
      <w:tblPr>
        <w:tblW w:w="0" w:type="auto"/>
        <w:jc w:val="left"/>
        <w:tblInd w:w="3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2105"/>
      </w:tblGrid>
      <w:tr>
        <w:trPr>
          <w:trHeight w:val="621" w:hRule="atLeast"/>
        </w:trPr>
        <w:tc>
          <w:tcPr>
            <w:tcW w:w="4553" w:type="dxa"/>
            <w:gridSpan w:val="2"/>
            <w:shd w:val="clear" w:color="auto" w:fill="D9E1F3"/>
          </w:tcPr>
          <w:p>
            <w:pPr>
              <w:pStyle w:val="TableParagraph"/>
              <w:spacing w:line="244" w:lineRule="auto" w:before="58"/>
              <w:ind w:left="938" w:hanging="497"/>
              <w:rPr>
                <w:b/>
                <w:sz w:val="22"/>
              </w:rPr>
            </w:pPr>
            <w:r>
              <w:rPr>
                <w:b/>
                <w:sz w:val="22"/>
              </w:rPr>
              <w:t>Breast</w:t>
            </w:r>
            <w:r>
              <w:rPr>
                <w:b/>
                <w:spacing w:val="-10"/>
                <w:sz w:val="22"/>
              </w:rPr>
              <w:t> </w:t>
            </w:r>
            <w:r>
              <w:rPr>
                <w:b/>
                <w:sz w:val="22"/>
              </w:rPr>
              <w:t>and</w:t>
            </w:r>
            <w:r>
              <w:rPr>
                <w:b/>
                <w:spacing w:val="-9"/>
                <w:sz w:val="22"/>
              </w:rPr>
              <w:t> </w:t>
            </w:r>
            <w:r>
              <w:rPr>
                <w:b/>
                <w:sz w:val="22"/>
              </w:rPr>
              <w:t>Cervical</w:t>
            </w:r>
            <w:r>
              <w:rPr>
                <w:b/>
                <w:spacing w:val="-8"/>
                <w:sz w:val="22"/>
              </w:rPr>
              <w:t> </w:t>
            </w:r>
            <w:r>
              <w:rPr>
                <w:b/>
                <w:sz w:val="22"/>
              </w:rPr>
              <w:t>Cancer</w:t>
            </w:r>
            <w:r>
              <w:rPr>
                <w:b/>
                <w:spacing w:val="-9"/>
                <w:sz w:val="22"/>
              </w:rPr>
              <w:t> </w:t>
            </w:r>
            <w:r>
              <w:rPr>
                <w:b/>
                <w:sz w:val="22"/>
              </w:rPr>
              <w:t>Treatment Program Premium Schedule</w:t>
            </w:r>
          </w:p>
        </w:tc>
      </w:tr>
      <w:tr>
        <w:trPr>
          <w:trHeight w:val="352" w:hRule="atLeast"/>
        </w:trPr>
        <w:tc>
          <w:tcPr>
            <w:tcW w:w="2448" w:type="dxa"/>
            <w:shd w:val="clear" w:color="auto" w:fill="D9E1F3"/>
          </w:tcPr>
          <w:p>
            <w:pPr>
              <w:pStyle w:val="TableParagraph"/>
              <w:spacing w:before="61"/>
              <w:ind w:left="418" w:right="413"/>
              <w:jc w:val="center"/>
              <w:rPr>
                <w:b/>
                <w:sz w:val="22"/>
              </w:rPr>
            </w:pPr>
            <w:r>
              <w:rPr>
                <w:b/>
                <w:sz w:val="22"/>
              </w:rPr>
              <w:t>Percent</w:t>
            </w:r>
            <w:r>
              <w:rPr>
                <w:b/>
                <w:spacing w:val="-4"/>
                <w:sz w:val="22"/>
              </w:rPr>
              <w:t> </w:t>
            </w:r>
            <w:r>
              <w:rPr>
                <w:b/>
                <w:sz w:val="22"/>
              </w:rPr>
              <w:t>of</w:t>
            </w:r>
            <w:r>
              <w:rPr>
                <w:b/>
                <w:spacing w:val="-5"/>
                <w:sz w:val="22"/>
              </w:rPr>
              <w:t> FPL</w:t>
            </w:r>
          </w:p>
        </w:tc>
        <w:tc>
          <w:tcPr>
            <w:tcW w:w="2105" w:type="dxa"/>
            <w:shd w:val="clear" w:color="auto" w:fill="D9E1F3"/>
          </w:tcPr>
          <w:p>
            <w:pPr>
              <w:pStyle w:val="TableParagraph"/>
              <w:spacing w:before="61"/>
              <w:ind w:left="364" w:right="351"/>
              <w:jc w:val="center"/>
              <w:rPr>
                <w:b/>
                <w:sz w:val="22"/>
              </w:rPr>
            </w:pPr>
            <w:r>
              <w:rPr>
                <w:b/>
                <w:sz w:val="22"/>
              </w:rPr>
              <w:t>Premium</w:t>
            </w:r>
            <w:r>
              <w:rPr>
                <w:b/>
                <w:spacing w:val="-7"/>
                <w:sz w:val="22"/>
              </w:rPr>
              <w:t> </w:t>
            </w:r>
            <w:r>
              <w:rPr>
                <w:b/>
                <w:spacing w:val="-4"/>
                <w:sz w:val="22"/>
              </w:rPr>
              <w:t>Cost</w:t>
            </w:r>
          </w:p>
        </w:tc>
      </w:tr>
      <w:tr>
        <w:trPr>
          <w:trHeight w:val="278" w:hRule="atLeast"/>
        </w:trPr>
        <w:tc>
          <w:tcPr>
            <w:tcW w:w="2448" w:type="dxa"/>
          </w:tcPr>
          <w:p>
            <w:pPr>
              <w:pStyle w:val="TableParagraph"/>
              <w:spacing w:line="248" w:lineRule="exact" w:before="10"/>
              <w:ind w:left="422" w:right="413"/>
              <w:jc w:val="center"/>
              <w:rPr>
                <w:sz w:val="22"/>
              </w:rPr>
            </w:pPr>
            <w:r>
              <w:rPr>
                <w:sz w:val="22"/>
              </w:rPr>
              <w:t>Above</w:t>
            </w:r>
            <w:r>
              <w:rPr>
                <w:spacing w:val="-4"/>
                <w:sz w:val="22"/>
              </w:rPr>
              <w:t> </w:t>
            </w:r>
            <w:r>
              <w:rPr>
                <w:sz w:val="22"/>
              </w:rPr>
              <w:t>150</w:t>
            </w:r>
            <w:r>
              <w:rPr>
                <w:spacing w:val="-1"/>
                <w:sz w:val="22"/>
              </w:rPr>
              <w:t> </w:t>
            </w:r>
            <w:r>
              <w:rPr>
                <w:sz w:val="22"/>
              </w:rPr>
              <w:t>to</w:t>
            </w:r>
            <w:r>
              <w:rPr>
                <w:spacing w:val="-1"/>
                <w:sz w:val="22"/>
              </w:rPr>
              <w:t> </w:t>
            </w:r>
            <w:r>
              <w:rPr>
                <w:spacing w:val="-5"/>
                <w:sz w:val="22"/>
              </w:rPr>
              <w:t>160</w:t>
            </w:r>
          </w:p>
        </w:tc>
        <w:tc>
          <w:tcPr>
            <w:tcW w:w="2105" w:type="dxa"/>
          </w:tcPr>
          <w:p>
            <w:pPr>
              <w:pStyle w:val="TableParagraph"/>
              <w:spacing w:line="248" w:lineRule="exact" w:before="10"/>
              <w:ind w:left="362" w:right="351"/>
              <w:jc w:val="center"/>
              <w:rPr>
                <w:sz w:val="22"/>
              </w:rPr>
            </w:pPr>
            <w:r>
              <w:rPr>
                <w:spacing w:val="-5"/>
                <w:sz w:val="22"/>
              </w:rPr>
              <w:t>$15</w:t>
            </w:r>
          </w:p>
        </w:tc>
      </w:tr>
      <w:tr>
        <w:trPr>
          <w:trHeight w:val="275" w:hRule="atLeast"/>
        </w:trPr>
        <w:tc>
          <w:tcPr>
            <w:tcW w:w="2448" w:type="dxa"/>
          </w:tcPr>
          <w:p>
            <w:pPr>
              <w:pStyle w:val="TableParagraph"/>
              <w:spacing w:line="245" w:lineRule="exact" w:before="10"/>
              <w:ind w:left="422" w:right="413"/>
              <w:jc w:val="center"/>
              <w:rPr>
                <w:sz w:val="22"/>
              </w:rPr>
            </w:pPr>
            <w:r>
              <w:rPr>
                <w:sz w:val="22"/>
              </w:rPr>
              <w:t>Above</w:t>
            </w:r>
            <w:r>
              <w:rPr>
                <w:spacing w:val="-4"/>
                <w:sz w:val="22"/>
              </w:rPr>
              <w:t> </w:t>
            </w:r>
            <w:r>
              <w:rPr>
                <w:sz w:val="22"/>
              </w:rPr>
              <w:t>160</w:t>
            </w:r>
            <w:r>
              <w:rPr>
                <w:spacing w:val="-1"/>
                <w:sz w:val="22"/>
              </w:rPr>
              <w:t> </w:t>
            </w:r>
            <w:r>
              <w:rPr>
                <w:sz w:val="22"/>
              </w:rPr>
              <w:t>to</w:t>
            </w:r>
            <w:r>
              <w:rPr>
                <w:spacing w:val="-1"/>
                <w:sz w:val="22"/>
              </w:rPr>
              <w:t> </w:t>
            </w:r>
            <w:r>
              <w:rPr>
                <w:spacing w:val="-5"/>
                <w:sz w:val="22"/>
              </w:rPr>
              <w:t>170</w:t>
            </w:r>
          </w:p>
        </w:tc>
        <w:tc>
          <w:tcPr>
            <w:tcW w:w="2105" w:type="dxa"/>
          </w:tcPr>
          <w:p>
            <w:pPr>
              <w:pStyle w:val="TableParagraph"/>
              <w:spacing w:line="245" w:lineRule="exact" w:before="10"/>
              <w:ind w:left="362" w:right="351"/>
              <w:jc w:val="center"/>
              <w:rPr>
                <w:sz w:val="22"/>
              </w:rPr>
            </w:pPr>
            <w:r>
              <w:rPr>
                <w:spacing w:val="-5"/>
                <w:sz w:val="22"/>
              </w:rPr>
              <w:t>$20</w:t>
            </w:r>
          </w:p>
        </w:tc>
      </w:tr>
      <w:tr>
        <w:trPr>
          <w:trHeight w:val="275" w:hRule="atLeast"/>
        </w:trPr>
        <w:tc>
          <w:tcPr>
            <w:tcW w:w="2448" w:type="dxa"/>
          </w:tcPr>
          <w:p>
            <w:pPr>
              <w:pStyle w:val="TableParagraph"/>
              <w:spacing w:line="245" w:lineRule="exact" w:before="10"/>
              <w:ind w:left="422" w:right="413"/>
              <w:jc w:val="center"/>
              <w:rPr>
                <w:sz w:val="22"/>
              </w:rPr>
            </w:pPr>
            <w:r>
              <w:rPr>
                <w:sz w:val="22"/>
              </w:rPr>
              <w:t>Above</w:t>
            </w:r>
            <w:r>
              <w:rPr>
                <w:spacing w:val="-4"/>
                <w:sz w:val="22"/>
              </w:rPr>
              <w:t> </w:t>
            </w:r>
            <w:r>
              <w:rPr>
                <w:sz w:val="22"/>
              </w:rPr>
              <w:t>170</w:t>
            </w:r>
            <w:r>
              <w:rPr>
                <w:spacing w:val="-1"/>
                <w:sz w:val="22"/>
              </w:rPr>
              <w:t> </w:t>
            </w:r>
            <w:r>
              <w:rPr>
                <w:sz w:val="22"/>
              </w:rPr>
              <w:t>to</w:t>
            </w:r>
            <w:r>
              <w:rPr>
                <w:spacing w:val="-1"/>
                <w:sz w:val="22"/>
              </w:rPr>
              <w:t> </w:t>
            </w:r>
            <w:r>
              <w:rPr>
                <w:spacing w:val="-5"/>
                <w:sz w:val="22"/>
              </w:rPr>
              <w:t>180</w:t>
            </w:r>
          </w:p>
        </w:tc>
        <w:tc>
          <w:tcPr>
            <w:tcW w:w="2105" w:type="dxa"/>
          </w:tcPr>
          <w:p>
            <w:pPr>
              <w:pStyle w:val="TableParagraph"/>
              <w:spacing w:line="245" w:lineRule="exact" w:before="10"/>
              <w:ind w:left="362" w:right="351"/>
              <w:jc w:val="center"/>
              <w:rPr>
                <w:sz w:val="22"/>
              </w:rPr>
            </w:pPr>
            <w:r>
              <w:rPr>
                <w:spacing w:val="-5"/>
                <w:sz w:val="22"/>
              </w:rPr>
              <w:t>$25</w:t>
            </w:r>
          </w:p>
        </w:tc>
      </w:tr>
      <w:tr>
        <w:trPr>
          <w:trHeight w:val="275" w:hRule="atLeast"/>
        </w:trPr>
        <w:tc>
          <w:tcPr>
            <w:tcW w:w="2448" w:type="dxa"/>
          </w:tcPr>
          <w:p>
            <w:pPr>
              <w:pStyle w:val="TableParagraph"/>
              <w:spacing w:line="245" w:lineRule="exact" w:before="10"/>
              <w:ind w:left="422" w:right="413"/>
              <w:jc w:val="center"/>
              <w:rPr>
                <w:sz w:val="22"/>
              </w:rPr>
            </w:pPr>
            <w:r>
              <w:rPr>
                <w:sz w:val="22"/>
              </w:rPr>
              <w:t>Above</w:t>
            </w:r>
            <w:r>
              <w:rPr>
                <w:spacing w:val="-4"/>
                <w:sz w:val="22"/>
              </w:rPr>
              <w:t> </w:t>
            </w:r>
            <w:r>
              <w:rPr>
                <w:sz w:val="22"/>
              </w:rPr>
              <w:t>180</w:t>
            </w:r>
            <w:r>
              <w:rPr>
                <w:spacing w:val="-1"/>
                <w:sz w:val="22"/>
              </w:rPr>
              <w:t> </w:t>
            </w:r>
            <w:r>
              <w:rPr>
                <w:sz w:val="22"/>
              </w:rPr>
              <w:t>to</w:t>
            </w:r>
            <w:r>
              <w:rPr>
                <w:spacing w:val="-1"/>
                <w:sz w:val="22"/>
              </w:rPr>
              <w:t> </w:t>
            </w:r>
            <w:r>
              <w:rPr>
                <w:spacing w:val="-5"/>
                <w:sz w:val="22"/>
              </w:rPr>
              <w:t>190</w:t>
            </w:r>
          </w:p>
        </w:tc>
        <w:tc>
          <w:tcPr>
            <w:tcW w:w="2105" w:type="dxa"/>
          </w:tcPr>
          <w:p>
            <w:pPr>
              <w:pStyle w:val="TableParagraph"/>
              <w:spacing w:line="245" w:lineRule="exact" w:before="10"/>
              <w:ind w:left="362" w:right="351"/>
              <w:jc w:val="center"/>
              <w:rPr>
                <w:sz w:val="22"/>
              </w:rPr>
            </w:pPr>
            <w:r>
              <w:rPr>
                <w:spacing w:val="-5"/>
                <w:sz w:val="22"/>
              </w:rPr>
              <w:t>$30</w:t>
            </w:r>
          </w:p>
        </w:tc>
      </w:tr>
      <w:tr>
        <w:trPr>
          <w:trHeight w:val="275" w:hRule="atLeast"/>
        </w:trPr>
        <w:tc>
          <w:tcPr>
            <w:tcW w:w="2448" w:type="dxa"/>
          </w:tcPr>
          <w:p>
            <w:pPr>
              <w:pStyle w:val="TableParagraph"/>
              <w:spacing w:line="245" w:lineRule="exact" w:before="10"/>
              <w:ind w:left="422" w:right="413"/>
              <w:jc w:val="center"/>
              <w:rPr>
                <w:sz w:val="22"/>
              </w:rPr>
            </w:pPr>
            <w:r>
              <w:rPr>
                <w:sz w:val="22"/>
              </w:rPr>
              <w:t>Above</w:t>
            </w:r>
            <w:r>
              <w:rPr>
                <w:spacing w:val="-4"/>
                <w:sz w:val="22"/>
              </w:rPr>
              <w:t> </w:t>
            </w:r>
            <w:r>
              <w:rPr>
                <w:sz w:val="22"/>
              </w:rPr>
              <w:t>190</w:t>
            </w:r>
            <w:r>
              <w:rPr>
                <w:spacing w:val="-1"/>
                <w:sz w:val="22"/>
              </w:rPr>
              <w:t> </w:t>
            </w:r>
            <w:r>
              <w:rPr>
                <w:sz w:val="22"/>
              </w:rPr>
              <w:t>to</w:t>
            </w:r>
            <w:r>
              <w:rPr>
                <w:spacing w:val="-1"/>
                <w:sz w:val="22"/>
              </w:rPr>
              <w:t> </w:t>
            </w:r>
            <w:r>
              <w:rPr>
                <w:spacing w:val="-5"/>
                <w:sz w:val="22"/>
              </w:rPr>
              <w:t>200</w:t>
            </w:r>
          </w:p>
        </w:tc>
        <w:tc>
          <w:tcPr>
            <w:tcW w:w="2105" w:type="dxa"/>
          </w:tcPr>
          <w:p>
            <w:pPr>
              <w:pStyle w:val="TableParagraph"/>
              <w:spacing w:line="245" w:lineRule="exact" w:before="10"/>
              <w:ind w:left="362" w:right="351"/>
              <w:jc w:val="center"/>
              <w:rPr>
                <w:sz w:val="22"/>
              </w:rPr>
            </w:pPr>
            <w:r>
              <w:rPr>
                <w:spacing w:val="-5"/>
                <w:sz w:val="22"/>
              </w:rPr>
              <w:t>$35</w:t>
            </w:r>
          </w:p>
        </w:tc>
      </w:tr>
      <w:tr>
        <w:trPr>
          <w:trHeight w:val="277" w:hRule="atLeast"/>
        </w:trPr>
        <w:tc>
          <w:tcPr>
            <w:tcW w:w="2448" w:type="dxa"/>
          </w:tcPr>
          <w:p>
            <w:pPr>
              <w:pStyle w:val="TableParagraph"/>
              <w:spacing w:line="245" w:lineRule="exact" w:before="13"/>
              <w:ind w:left="422" w:right="413"/>
              <w:jc w:val="center"/>
              <w:rPr>
                <w:sz w:val="22"/>
              </w:rPr>
            </w:pPr>
            <w:r>
              <w:rPr>
                <w:sz w:val="22"/>
              </w:rPr>
              <w:t>Above</w:t>
            </w:r>
            <w:r>
              <w:rPr>
                <w:spacing w:val="-4"/>
                <w:sz w:val="22"/>
              </w:rPr>
              <w:t> </w:t>
            </w:r>
            <w:r>
              <w:rPr>
                <w:sz w:val="22"/>
              </w:rPr>
              <w:t>200</w:t>
            </w:r>
            <w:r>
              <w:rPr>
                <w:spacing w:val="-1"/>
                <w:sz w:val="22"/>
              </w:rPr>
              <w:t> </w:t>
            </w:r>
            <w:r>
              <w:rPr>
                <w:sz w:val="22"/>
              </w:rPr>
              <w:t>to</w:t>
            </w:r>
            <w:r>
              <w:rPr>
                <w:spacing w:val="-1"/>
                <w:sz w:val="22"/>
              </w:rPr>
              <w:t> </w:t>
            </w:r>
            <w:r>
              <w:rPr>
                <w:spacing w:val="-5"/>
                <w:sz w:val="22"/>
              </w:rPr>
              <w:t>210</w:t>
            </w:r>
          </w:p>
        </w:tc>
        <w:tc>
          <w:tcPr>
            <w:tcW w:w="2105" w:type="dxa"/>
          </w:tcPr>
          <w:p>
            <w:pPr>
              <w:pStyle w:val="TableParagraph"/>
              <w:spacing w:line="245" w:lineRule="exact" w:before="13"/>
              <w:ind w:left="362" w:right="351"/>
              <w:jc w:val="center"/>
              <w:rPr>
                <w:sz w:val="22"/>
              </w:rPr>
            </w:pPr>
            <w:r>
              <w:rPr>
                <w:spacing w:val="-5"/>
                <w:sz w:val="22"/>
              </w:rPr>
              <w:t>$40</w:t>
            </w:r>
          </w:p>
        </w:tc>
      </w:tr>
      <w:tr>
        <w:trPr>
          <w:trHeight w:val="278" w:hRule="atLeast"/>
        </w:trPr>
        <w:tc>
          <w:tcPr>
            <w:tcW w:w="2448" w:type="dxa"/>
          </w:tcPr>
          <w:p>
            <w:pPr>
              <w:pStyle w:val="TableParagraph"/>
              <w:spacing w:line="245" w:lineRule="exact" w:before="13"/>
              <w:ind w:left="422" w:right="413"/>
              <w:jc w:val="center"/>
              <w:rPr>
                <w:sz w:val="22"/>
              </w:rPr>
            </w:pPr>
            <w:r>
              <w:rPr>
                <w:sz w:val="22"/>
              </w:rPr>
              <w:t>Above</w:t>
            </w:r>
            <w:r>
              <w:rPr>
                <w:spacing w:val="-4"/>
                <w:sz w:val="22"/>
              </w:rPr>
              <w:t> </w:t>
            </w:r>
            <w:r>
              <w:rPr>
                <w:sz w:val="22"/>
              </w:rPr>
              <w:t>210</w:t>
            </w:r>
            <w:r>
              <w:rPr>
                <w:spacing w:val="-1"/>
                <w:sz w:val="22"/>
              </w:rPr>
              <w:t> </w:t>
            </w:r>
            <w:r>
              <w:rPr>
                <w:sz w:val="22"/>
              </w:rPr>
              <w:t>to</w:t>
            </w:r>
            <w:r>
              <w:rPr>
                <w:spacing w:val="-1"/>
                <w:sz w:val="22"/>
              </w:rPr>
              <w:t> </w:t>
            </w:r>
            <w:r>
              <w:rPr>
                <w:spacing w:val="-5"/>
                <w:sz w:val="22"/>
              </w:rPr>
              <w:t>220</w:t>
            </w:r>
          </w:p>
        </w:tc>
        <w:tc>
          <w:tcPr>
            <w:tcW w:w="2105" w:type="dxa"/>
          </w:tcPr>
          <w:p>
            <w:pPr>
              <w:pStyle w:val="TableParagraph"/>
              <w:spacing w:line="245" w:lineRule="exact" w:before="13"/>
              <w:ind w:left="362" w:right="351"/>
              <w:jc w:val="center"/>
              <w:rPr>
                <w:sz w:val="22"/>
              </w:rPr>
            </w:pPr>
            <w:r>
              <w:rPr>
                <w:spacing w:val="-5"/>
                <w:sz w:val="22"/>
              </w:rPr>
              <w:t>$48</w:t>
            </w:r>
          </w:p>
        </w:tc>
      </w:tr>
      <w:tr>
        <w:trPr>
          <w:trHeight w:val="275" w:hRule="atLeast"/>
        </w:trPr>
        <w:tc>
          <w:tcPr>
            <w:tcW w:w="2448" w:type="dxa"/>
          </w:tcPr>
          <w:p>
            <w:pPr>
              <w:pStyle w:val="TableParagraph"/>
              <w:spacing w:line="245" w:lineRule="exact" w:before="10"/>
              <w:ind w:left="422" w:right="413"/>
              <w:jc w:val="center"/>
              <w:rPr>
                <w:sz w:val="22"/>
              </w:rPr>
            </w:pPr>
            <w:r>
              <w:rPr>
                <w:sz w:val="22"/>
              </w:rPr>
              <w:t>Above</w:t>
            </w:r>
            <w:r>
              <w:rPr>
                <w:spacing w:val="-4"/>
                <w:sz w:val="22"/>
              </w:rPr>
              <w:t> </w:t>
            </w:r>
            <w:r>
              <w:rPr>
                <w:sz w:val="22"/>
              </w:rPr>
              <w:t>220</w:t>
            </w:r>
            <w:r>
              <w:rPr>
                <w:spacing w:val="-1"/>
                <w:sz w:val="22"/>
              </w:rPr>
              <w:t> </w:t>
            </w:r>
            <w:r>
              <w:rPr>
                <w:sz w:val="22"/>
              </w:rPr>
              <w:t>to</w:t>
            </w:r>
            <w:r>
              <w:rPr>
                <w:spacing w:val="-1"/>
                <w:sz w:val="22"/>
              </w:rPr>
              <w:t> </w:t>
            </w:r>
            <w:r>
              <w:rPr>
                <w:spacing w:val="-5"/>
                <w:sz w:val="22"/>
              </w:rPr>
              <w:t>230</w:t>
            </w:r>
          </w:p>
        </w:tc>
        <w:tc>
          <w:tcPr>
            <w:tcW w:w="2105" w:type="dxa"/>
          </w:tcPr>
          <w:p>
            <w:pPr>
              <w:pStyle w:val="TableParagraph"/>
              <w:spacing w:line="245" w:lineRule="exact" w:before="10"/>
              <w:ind w:left="362" w:right="351"/>
              <w:jc w:val="center"/>
              <w:rPr>
                <w:sz w:val="22"/>
              </w:rPr>
            </w:pPr>
            <w:r>
              <w:rPr>
                <w:spacing w:val="-5"/>
                <w:sz w:val="22"/>
              </w:rPr>
              <w:t>$56</w:t>
            </w:r>
          </w:p>
        </w:tc>
      </w:tr>
      <w:tr>
        <w:trPr>
          <w:trHeight w:val="277" w:hRule="atLeast"/>
        </w:trPr>
        <w:tc>
          <w:tcPr>
            <w:tcW w:w="2448" w:type="dxa"/>
          </w:tcPr>
          <w:p>
            <w:pPr>
              <w:pStyle w:val="TableParagraph"/>
              <w:spacing w:line="248" w:lineRule="exact" w:before="10"/>
              <w:ind w:left="422" w:right="413"/>
              <w:jc w:val="center"/>
              <w:rPr>
                <w:sz w:val="22"/>
              </w:rPr>
            </w:pPr>
            <w:r>
              <w:rPr>
                <w:sz w:val="22"/>
              </w:rPr>
              <w:t>Above</w:t>
            </w:r>
            <w:r>
              <w:rPr>
                <w:spacing w:val="-4"/>
                <w:sz w:val="22"/>
              </w:rPr>
              <w:t> </w:t>
            </w:r>
            <w:r>
              <w:rPr>
                <w:sz w:val="22"/>
              </w:rPr>
              <w:t>230</w:t>
            </w:r>
            <w:r>
              <w:rPr>
                <w:spacing w:val="-1"/>
                <w:sz w:val="22"/>
              </w:rPr>
              <w:t> </w:t>
            </w:r>
            <w:r>
              <w:rPr>
                <w:sz w:val="22"/>
              </w:rPr>
              <w:t>to</w:t>
            </w:r>
            <w:r>
              <w:rPr>
                <w:spacing w:val="-1"/>
                <w:sz w:val="22"/>
              </w:rPr>
              <w:t> </w:t>
            </w:r>
            <w:r>
              <w:rPr>
                <w:spacing w:val="-5"/>
                <w:sz w:val="22"/>
              </w:rPr>
              <w:t>240</w:t>
            </w:r>
          </w:p>
        </w:tc>
        <w:tc>
          <w:tcPr>
            <w:tcW w:w="2105" w:type="dxa"/>
          </w:tcPr>
          <w:p>
            <w:pPr>
              <w:pStyle w:val="TableParagraph"/>
              <w:spacing w:line="248" w:lineRule="exact" w:before="10"/>
              <w:ind w:left="362" w:right="351"/>
              <w:jc w:val="center"/>
              <w:rPr>
                <w:sz w:val="22"/>
              </w:rPr>
            </w:pPr>
            <w:r>
              <w:rPr>
                <w:spacing w:val="-5"/>
                <w:sz w:val="22"/>
              </w:rPr>
              <w:t>$64</w:t>
            </w:r>
          </w:p>
        </w:tc>
      </w:tr>
      <w:tr>
        <w:trPr>
          <w:trHeight w:val="275" w:hRule="atLeast"/>
        </w:trPr>
        <w:tc>
          <w:tcPr>
            <w:tcW w:w="2448" w:type="dxa"/>
          </w:tcPr>
          <w:p>
            <w:pPr>
              <w:pStyle w:val="TableParagraph"/>
              <w:spacing w:line="245" w:lineRule="exact" w:before="10"/>
              <w:ind w:left="422" w:right="413"/>
              <w:jc w:val="center"/>
              <w:rPr>
                <w:sz w:val="22"/>
              </w:rPr>
            </w:pPr>
            <w:r>
              <w:rPr>
                <w:sz w:val="22"/>
              </w:rPr>
              <w:t>Above</w:t>
            </w:r>
            <w:r>
              <w:rPr>
                <w:spacing w:val="-4"/>
                <w:sz w:val="22"/>
              </w:rPr>
              <w:t> </w:t>
            </w:r>
            <w:r>
              <w:rPr>
                <w:sz w:val="22"/>
              </w:rPr>
              <w:t>240</w:t>
            </w:r>
            <w:r>
              <w:rPr>
                <w:spacing w:val="-1"/>
                <w:sz w:val="22"/>
              </w:rPr>
              <w:t> </w:t>
            </w:r>
            <w:r>
              <w:rPr>
                <w:sz w:val="22"/>
              </w:rPr>
              <w:t>to</w:t>
            </w:r>
            <w:r>
              <w:rPr>
                <w:spacing w:val="-1"/>
                <w:sz w:val="22"/>
              </w:rPr>
              <w:t> </w:t>
            </w:r>
            <w:r>
              <w:rPr>
                <w:spacing w:val="-5"/>
                <w:sz w:val="22"/>
              </w:rPr>
              <w:t>250</w:t>
            </w:r>
          </w:p>
        </w:tc>
        <w:tc>
          <w:tcPr>
            <w:tcW w:w="2105" w:type="dxa"/>
          </w:tcPr>
          <w:p>
            <w:pPr>
              <w:pStyle w:val="TableParagraph"/>
              <w:spacing w:line="245" w:lineRule="exact" w:before="10"/>
              <w:ind w:left="362" w:right="351"/>
              <w:jc w:val="center"/>
              <w:rPr>
                <w:sz w:val="22"/>
              </w:rPr>
            </w:pPr>
            <w:r>
              <w:rPr>
                <w:spacing w:val="-5"/>
                <w:sz w:val="22"/>
              </w:rPr>
              <w:t>$72</w:t>
            </w:r>
          </w:p>
        </w:tc>
      </w:tr>
    </w:tbl>
    <w:p>
      <w:pPr>
        <w:pStyle w:val="BodyText"/>
        <w:rPr>
          <w:sz w:val="20"/>
        </w:rPr>
      </w:pPr>
    </w:p>
    <w:p>
      <w:pPr>
        <w:pStyle w:val="BodyText"/>
        <w:spacing w:before="6"/>
      </w:pPr>
    </w:p>
    <w:tbl>
      <w:tblPr>
        <w:tblW w:w="0" w:type="auto"/>
        <w:jc w:val="left"/>
        <w:tblInd w:w="1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77"/>
        <w:gridCol w:w="4371"/>
        <w:gridCol w:w="1796"/>
      </w:tblGrid>
      <w:tr>
        <w:trPr>
          <w:trHeight w:val="441" w:hRule="atLeast"/>
        </w:trPr>
        <w:tc>
          <w:tcPr>
            <w:tcW w:w="9544" w:type="dxa"/>
            <w:gridSpan w:val="3"/>
            <w:shd w:val="clear" w:color="auto" w:fill="D9E1F3"/>
          </w:tcPr>
          <w:p>
            <w:pPr>
              <w:pStyle w:val="TableParagraph"/>
              <w:spacing w:before="94"/>
              <w:ind w:left="2882" w:right="2873"/>
              <w:jc w:val="center"/>
              <w:rPr>
                <w:b/>
                <w:sz w:val="22"/>
              </w:rPr>
            </w:pPr>
            <w:r>
              <w:rPr>
                <w:b/>
                <w:sz w:val="22"/>
              </w:rPr>
              <w:t>CommonHealth</w:t>
            </w:r>
            <w:r>
              <w:rPr>
                <w:b/>
                <w:spacing w:val="-8"/>
                <w:sz w:val="22"/>
              </w:rPr>
              <w:t> </w:t>
            </w:r>
            <w:r>
              <w:rPr>
                <w:b/>
                <w:sz w:val="22"/>
              </w:rPr>
              <w:t>Full</w:t>
            </w:r>
            <w:r>
              <w:rPr>
                <w:b/>
                <w:spacing w:val="-6"/>
                <w:sz w:val="22"/>
              </w:rPr>
              <w:t> </w:t>
            </w:r>
            <w:r>
              <w:rPr>
                <w:b/>
                <w:sz w:val="22"/>
              </w:rPr>
              <w:t>Premium</w:t>
            </w:r>
            <w:r>
              <w:rPr>
                <w:b/>
                <w:spacing w:val="-3"/>
                <w:sz w:val="22"/>
              </w:rPr>
              <w:t> </w:t>
            </w:r>
            <w:r>
              <w:rPr>
                <w:b/>
                <w:spacing w:val="-2"/>
                <w:sz w:val="22"/>
              </w:rPr>
              <w:t>Schedule</w:t>
            </w:r>
          </w:p>
        </w:tc>
      </w:tr>
      <w:tr>
        <w:trPr>
          <w:trHeight w:val="710" w:hRule="atLeast"/>
        </w:trPr>
        <w:tc>
          <w:tcPr>
            <w:tcW w:w="3377" w:type="dxa"/>
            <w:shd w:val="clear" w:color="auto" w:fill="D9E1F3"/>
          </w:tcPr>
          <w:p>
            <w:pPr>
              <w:pStyle w:val="TableParagraph"/>
              <w:spacing w:before="10"/>
              <w:rPr>
                <w:sz w:val="19"/>
              </w:rPr>
            </w:pPr>
          </w:p>
          <w:p>
            <w:pPr>
              <w:pStyle w:val="TableParagraph"/>
              <w:ind w:left="179" w:right="169"/>
              <w:jc w:val="center"/>
              <w:rPr>
                <w:b/>
                <w:sz w:val="22"/>
              </w:rPr>
            </w:pPr>
            <w:r>
              <w:rPr>
                <w:b/>
                <w:sz w:val="22"/>
              </w:rPr>
              <w:t>Base</w:t>
            </w:r>
            <w:r>
              <w:rPr>
                <w:b/>
                <w:spacing w:val="-3"/>
                <w:sz w:val="22"/>
              </w:rPr>
              <w:t> </w:t>
            </w:r>
            <w:r>
              <w:rPr>
                <w:b/>
                <w:spacing w:val="-2"/>
                <w:sz w:val="22"/>
              </w:rPr>
              <w:t>Premium</w:t>
            </w:r>
          </w:p>
        </w:tc>
        <w:tc>
          <w:tcPr>
            <w:tcW w:w="4371" w:type="dxa"/>
            <w:shd w:val="clear" w:color="auto" w:fill="D9E1F3"/>
          </w:tcPr>
          <w:p>
            <w:pPr>
              <w:pStyle w:val="TableParagraph"/>
              <w:spacing w:before="10"/>
              <w:rPr>
                <w:sz w:val="19"/>
              </w:rPr>
            </w:pPr>
          </w:p>
          <w:p>
            <w:pPr>
              <w:pStyle w:val="TableParagraph"/>
              <w:ind w:left="974"/>
              <w:rPr>
                <w:b/>
                <w:sz w:val="22"/>
              </w:rPr>
            </w:pPr>
            <w:r>
              <w:rPr>
                <w:b/>
                <w:sz w:val="22"/>
              </w:rPr>
              <w:t>Additional</w:t>
            </w:r>
            <w:r>
              <w:rPr>
                <w:b/>
                <w:spacing w:val="-8"/>
                <w:sz w:val="22"/>
              </w:rPr>
              <w:t> </w:t>
            </w:r>
            <w:r>
              <w:rPr>
                <w:b/>
                <w:sz w:val="22"/>
              </w:rPr>
              <w:t>Premium</w:t>
            </w:r>
            <w:r>
              <w:rPr>
                <w:b/>
                <w:spacing w:val="-4"/>
                <w:sz w:val="22"/>
              </w:rPr>
              <w:t> Cost</w:t>
            </w:r>
          </w:p>
        </w:tc>
        <w:tc>
          <w:tcPr>
            <w:tcW w:w="1796" w:type="dxa"/>
            <w:shd w:val="clear" w:color="auto" w:fill="D9E1F3"/>
          </w:tcPr>
          <w:p>
            <w:pPr>
              <w:pStyle w:val="TableParagraph"/>
              <w:spacing w:before="101"/>
              <w:ind w:left="683" w:hanging="675"/>
              <w:rPr>
                <w:b/>
                <w:sz w:val="22"/>
              </w:rPr>
            </w:pPr>
            <w:r>
              <w:rPr>
                <w:b/>
                <w:sz w:val="22"/>
              </w:rPr>
              <w:t>Range</w:t>
            </w:r>
            <w:r>
              <w:rPr>
                <w:b/>
                <w:spacing w:val="-14"/>
                <w:sz w:val="22"/>
              </w:rPr>
              <w:t> </w:t>
            </w:r>
            <w:r>
              <w:rPr>
                <w:b/>
                <w:sz w:val="22"/>
              </w:rPr>
              <w:t>of</w:t>
            </w:r>
            <w:r>
              <w:rPr>
                <w:b/>
                <w:spacing w:val="-14"/>
                <w:sz w:val="22"/>
              </w:rPr>
              <w:t> </w:t>
            </w:r>
            <w:r>
              <w:rPr>
                <w:b/>
                <w:sz w:val="22"/>
              </w:rPr>
              <w:t>Premium </w:t>
            </w:r>
            <w:r>
              <w:rPr>
                <w:b/>
                <w:spacing w:val="-4"/>
                <w:sz w:val="22"/>
              </w:rPr>
              <w:t>Cost</w:t>
            </w:r>
          </w:p>
        </w:tc>
      </w:tr>
      <w:tr>
        <w:trPr>
          <w:trHeight w:val="553" w:hRule="atLeast"/>
        </w:trPr>
        <w:tc>
          <w:tcPr>
            <w:tcW w:w="3377" w:type="dxa"/>
          </w:tcPr>
          <w:p>
            <w:pPr>
              <w:pStyle w:val="TableParagraph"/>
              <w:spacing w:before="149"/>
              <w:ind w:left="180" w:right="169"/>
              <w:jc w:val="center"/>
              <w:rPr>
                <w:sz w:val="22"/>
              </w:rPr>
            </w:pPr>
            <w:r>
              <w:rPr>
                <w:sz w:val="22"/>
              </w:rPr>
              <w:t>Above</w:t>
            </w:r>
            <w:r>
              <w:rPr>
                <w:spacing w:val="-4"/>
                <w:sz w:val="22"/>
              </w:rPr>
              <w:t> </w:t>
            </w:r>
            <w:r>
              <w:rPr>
                <w:sz w:val="22"/>
              </w:rPr>
              <w:t>150%</w:t>
            </w:r>
            <w:r>
              <w:rPr>
                <w:spacing w:val="-2"/>
                <w:sz w:val="22"/>
              </w:rPr>
              <w:t> </w:t>
            </w:r>
            <w:r>
              <w:rPr>
                <w:sz w:val="22"/>
              </w:rPr>
              <w:t>FPL—start</w:t>
            </w:r>
            <w:r>
              <w:rPr>
                <w:spacing w:val="-5"/>
                <w:sz w:val="22"/>
              </w:rPr>
              <w:t> </w:t>
            </w:r>
            <w:r>
              <w:rPr>
                <w:sz w:val="22"/>
              </w:rPr>
              <w:t>at</w:t>
            </w:r>
            <w:r>
              <w:rPr>
                <w:spacing w:val="-4"/>
                <w:sz w:val="22"/>
              </w:rPr>
              <w:t> </w:t>
            </w:r>
            <w:r>
              <w:rPr>
                <w:spacing w:val="-5"/>
                <w:sz w:val="22"/>
              </w:rPr>
              <w:t>$15</w:t>
            </w:r>
          </w:p>
        </w:tc>
        <w:tc>
          <w:tcPr>
            <w:tcW w:w="4371" w:type="dxa"/>
          </w:tcPr>
          <w:p>
            <w:pPr>
              <w:pStyle w:val="TableParagraph"/>
              <w:spacing w:before="22"/>
              <w:ind w:left="1994" w:hanging="1952"/>
              <w:rPr>
                <w:sz w:val="22"/>
              </w:rPr>
            </w:pPr>
            <w:r>
              <w:rPr>
                <w:sz w:val="22"/>
              </w:rPr>
              <w:t>Add</w:t>
            </w:r>
            <w:r>
              <w:rPr>
                <w:spacing w:val="-5"/>
                <w:sz w:val="22"/>
              </w:rPr>
              <w:t> </w:t>
            </w:r>
            <w:r>
              <w:rPr>
                <w:sz w:val="22"/>
              </w:rPr>
              <w:t>$5</w:t>
            </w:r>
            <w:r>
              <w:rPr>
                <w:spacing w:val="-5"/>
                <w:sz w:val="22"/>
              </w:rPr>
              <w:t> </w:t>
            </w:r>
            <w:r>
              <w:rPr>
                <w:sz w:val="22"/>
              </w:rPr>
              <w:t>for</w:t>
            </w:r>
            <w:r>
              <w:rPr>
                <w:spacing w:val="-4"/>
                <w:sz w:val="22"/>
              </w:rPr>
              <w:t> </w:t>
            </w:r>
            <w:r>
              <w:rPr>
                <w:sz w:val="22"/>
              </w:rPr>
              <w:t>each</w:t>
            </w:r>
            <w:r>
              <w:rPr>
                <w:spacing w:val="-5"/>
                <w:sz w:val="22"/>
              </w:rPr>
              <w:t> </w:t>
            </w:r>
            <w:r>
              <w:rPr>
                <w:sz w:val="22"/>
              </w:rPr>
              <w:t>additional</w:t>
            </w:r>
            <w:r>
              <w:rPr>
                <w:spacing w:val="-7"/>
                <w:sz w:val="22"/>
              </w:rPr>
              <w:t> </w:t>
            </w:r>
            <w:r>
              <w:rPr>
                <w:sz w:val="22"/>
              </w:rPr>
              <w:t>10%</w:t>
            </w:r>
            <w:r>
              <w:rPr>
                <w:spacing w:val="-4"/>
                <w:sz w:val="22"/>
              </w:rPr>
              <w:t> </w:t>
            </w:r>
            <w:r>
              <w:rPr>
                <w:sz w:val="22"/>
              </w:rPr>
              <w:t>FPL</w:t>
            </w:r>
            <w:r>
              <w:rPr>
                <w:spacing w:val="-6"/>
                <w:sz w:val="22"/>
              </w:rPr>
              <w:t> </w:t>
            </w:r>
            <w:r>
              <w:rPr>
                <w:sz w:val="22"/>
              </w:rPr>
              <w:t>until</w:t>
            </w:r>
            <w:r>
              <w:rPr>
                <w:spacing w:val="-4"/>
                <w:sz w:val="22"/>
              </w:rPr>
              <w:t> </w:t>
            </w:r>
            <w:r>
              <w:rPr>
                <w:sz w:val="22"/>
              </w:rPr>
              <w:t>200% </w:t>
            </w:r>
            <w:r>
              <w:rPr>
                <w:spacing w:val="-4"/>
                <w:sz w:val="22"/>
              </w:rPr>
              <w:t>FPL</w:t>
            </w:r>
          </w:p>
        </w:tc>
        <w:tc>
          <w:tcPr>
            <w:tcW w:w="1796" w:type="dxa"/>
          </w:tcPr>
          <w:p>
            <w:pPr>
              <w:pStyle w:val="TableParagraph"/>
              <w:spacing w:before="137"/>
              <w:ind w:left="267" w:right="260"/>
              <w:jc w:val="center"/>
              <w:rPr>
                <w:sz w:val="22"/>
              </w:rPr>
            </w:pPr>
            <w:r>
              <w:rPr>
                <w:sz w:val="22"/>
              </w:rPr>
              <w:t>$15 -</w:t>
            </w:r>
            <w:r>
              <w:rPr>
                <w:spacing w:val="-2"/>
                <w:sz w:val="22"/>
              </w:rPr>
              <w:t> </w:t>
            </w:r>
            <w:r>
              <w:rPr>
                <w:spacing w:val="-5"/>
                <w:sz w:val="22"/>
              </w:rPr>
              <w:t>$35</w:t>
            </w:r>
          </w:p>
        </w:tc>
      </w:tr>
      <w:tr>
        <w:trPr>
          <w:trHeight w:val="551" w:hRule="atLeast"/>
        </w:trPr>
        <w:tc>
          <w:tcPr>
            <w:tcW w:w="3377" w:type="dxa"/>
          </w:tcPr>
          <w:p>
            <w:pPr>
              <w:pStyle w:val="TableParagraph"/>
              <w:spacing w:before="149"/>
              <w:ind w:left="180" w:right="169"/>
              <w:jc w:val="center"/>
              <w:rPr>
                <w:sz w:val="22"/>
              </w:rPr>
            </w:pPr>
            <w:r>
              <w:rPr>
                <w:sz w:val="22"/>
              </w:rPr>
              <w:t>Above</w:t>
            </w:r>
            <w:r>
              <w:rPr>
                <w:spacing w:val="-4"/>
                <w:sz w:val="22"/>
              </w:rPr>
              <w:t> </w:t>
            </w:r>
            <w:r>
              <w:rPr>
                <w:sz w:val="22"/>
              </w:rPr>
              <w:t>200%</w:t>
            </w:r>
            <w:r>
              <w:rPr>
                <w:spacing w:val="-2"/>
                <w:sz w:val="22"/>
              </w:rPr>
              <w:t> </w:t>
            </w:r>
            <w:r>
              <w:rPr>
                <w:sz w:val="22"/>
              </w:rPr>
              <w:t>FPL—start</w:t>
            </w:r>
            <w:r>
              <w:rPr>
                <w:spacing w:val="-5"/>
                <w:sz w:val="22"/>
              </w:rPr>
              <w:t> </w:t>
            </w:r>
            <w:r>
              <w:rPr>
                <w:sz w:val="22"/>
              </w:rPr>
              <w:t>at</w:t>
            </w:r>
            <w:r>
              <w:rPr>
                <w:spacing w:val="-4"/>
                <w:sz w:val="22"/>
              </w:rPr>
              <w:t> </w:t>
            </w:r>
            <w:r>
              <w:rPr>
                <w:spacing w:val="-5"/>
                <w:sz w:val="22"/>
              </w:rPr>
              <w:t>$40</w:t>
            </w:r>
          </w:p>
        </w:tc>
        <w:tc>
          <w:tcPr>
            <w:tcW w:w="4371" w:type="dxa"/>
          </w:tcPr>
          <w:p>
            <w:pPr>
              <w:pStyle w:val="TableParagraph"/>
              <w:spacing w:before="22"/>
              <w:ind w:left="1994" w:hanging="1952"/>
              <w:rPr>
                <w:sz w:val="22"/>
              </w:rPr>
            </w:pPr>
            <w:r>
              <w:rPr>
                <w:sz w:val="22"/>
              </w:rPr>
              <w:t>Add</w:t>
            </w:r>
            <w:r>
              <w:rPr>
                <w:spacing w:val="-5"/>
                <w:sz w:val="22"/>
              </w:rPr>
              <w:t> </w:t>
            </w:r>
            <w:r>
              <w:rPr>
                <w:sz w:val="22"/>
              </w:rPr>
              <w:t>$8</w:t>
            </w:r>
            <w:r>
              <w:rPr>
                <w:spacing w:val="-5"/>
                <w:sz w:val="22"/>
              </w:rPr>
              <w:t> </w:t>
            </w:r>
            <w:r>
              <w:rPr>
                <w:sz w:val="22"/>
              </w:rPr>
              <w:t>for</w:t>
            </w:r>
            <w:r>
              <w:rPr>
                <w:spacing w:val="-4"/>
                <w:sz w:val="22"/>
              </w:rPr>
              <w:t> </w:t>
            </w:r>
            <w:r>
              <w:rPr>
                <w:sz w:val="22"/>
              </w:rPr>
              <w:t>each</w:t>
            </w:r>
            <w:r>
              <w:rPr>
                <w:spacing w:val="-5"/>
                <w:sz w:val="22"/>
              </w:rPr>
              <w:t> </w:t>
            </w:r>
            <w:r>
              <w:rPr>
                <w:sz w:val="22"/>
              </w:rPr>
              <w:t>additional</w:t>
            </w:r>
            <w:r>
              <w:rPr>
                <w:spacing w:val="-7"/>
                <w:sz w:val="22"/>
              </w:rPr>
              <w:t> </w:t>
            </w:r>
            <w:r>
              <w:rPr>
                <w:sz w:val="22"/>
              </w:rPr>
              <w:t>10%</w:t>
            </w:r>
            <w:r>
              <w:rPr>
                <w:spacing w:val="-4"/>
                <w:sz w:val="22"/>
              </w:rPr>
              <w:t> </w:t>
            </w:r>
            <w:r>
              <w:rPr>
                <w:sz w:val="22"/>
              </w:rPr>
              <w:t>FPL</w:t>
            </w:r>
            <w:r>
              <w:rPr>
                <w:spacing w:val="-6"/>
                <w:sz w:val="22"/>
              </w:rPr>
              <w:t> </w:t>
            </w:r>
            <w:r>
              <w:rPr>
                <w:sz w:val="22"/>
              </w:rPr>
              <w:t>until</w:t>
            </w:r>
            <w:r>
              <w:rPr>
                <w:spacing w:val="-4"/>
                <w:sz w:val="22"/>
              </w:rPr>
              <w:t> </w:t>
            </w:r>
            <w:r>
              <w:rPr>
                <w:sz w:val="22"/>
              </w:rPr>
              <w:t>400% </w:t>
            </w:r>
            <w:r>
              <w:rPr>
                <w:spacing w:val="-4"/>
                <w:sz w:val="22"/>
              </w:rPr>
              <w:t>FPL</w:t>
            </w:r>
          </w:p>
        </w:tc>
        <w:tc>
          <w:tcPr>
            <w:tcW w:w="1796" w:type="dxa"/>
          </w:tcPr>
          <w:p>
            <w:pPr>
              <w:pStyle w:val="TableParagraph"/>
              <w:spacing w:before="137"/>
              <w:ind w:left="267" w:right="258"/>
              <w:jc w:val="center"/>
              <w:rPr>
                <w:sz w:val="22"/>
              </w:rPr>
            </w:pPr>
            <w:r>
              <w:rPr>
                <w:sz w:val="22"/>
              </w:rPr>
              <w:t>$40 -</w:t>
            </w:r>
            <w:r>
              <w:rPr>
                <w:spacing w:val="-2"/>
                <w:sz w:val="22"/>
              </w:rPr>
              <w:t> </w:t>
            </w:r>
            <w:r>
              <w:rPr>
                <w:spacing w:val="-4"/>
                <w:sz w:val="22"/>
              </w:rPr>
              <w:t>$192</w:t>
            </w:r>
          </w:p>
        </w:tc>
      </w:tr>
      <w:tr>
        <w:trPr>
          <w:trHeight w:val="551" w:hRule="atLeast"/>
        </w:trPr>
        <w:tc>
          <w:tcPr>
            <w:tcW w:w="3377" w:type="dxa"/>
          </w:tcPr>
          <w:p>
            <w:pPr>
              <w:pStyle w:val="TableParagraph"/>
              <w:spacing w:before="149"/>
              <w:ind w:left="180" w:right="169"/>
              <w:jc w:val="center"/>
              <w:rPr>
                <w:sz w:val="22"/>
              </w:rPr>
            </w:pPr>
            <w:r>
              <w:rPr>
                <w:sz w:val="22"/>
              </w:rPr>
              <w:t>Above</w:t>
            </w:r>
            <w:r>
              <w:rPr>
                <w:spacing w:val="-4"/>
                <w:sz w:val="22"/>
              </w:rPr>
              <w:t> </w:t>
            </w:r>
            <w:r>
              <w:rPr>
                <w:sz w:val="22"/>
              </w:rPr>
              <w:t>400%</w:t>
            </w:r>
            <w:r>
              <w:rPr>
                <w:spacing w:val="-2"/>
                <w:sz w:val="22"/>
              </w:rPr>
              <w:t> </w:t>
            </w:r>
            <w:r>
              <w:rPr>
                <w:sz w:val="22"/>
              </w:rPr>
              <w:t>FPL—start</w:t>
            </w:r>
            <w:r>
              <w:rPr>
                <w:spacing w:val="-5"/>
                <w:sz w:val="22"/>
              </w:rPr>
              <w:t> </w:t>
            </w:r>
            <w:r>
              <w:rPr>
                <w:sz w:val="22"/>
              </w:rPr>
              <w:t>at</w:t>
            </w:r>
            <w:r>
              <w:rPr>
                <w:spacing w:val="-4"/>
                <w:sz w:val="22"/>
              </w:rPr>
              <w:t> $202</w:t>
            </w:r>
          </w:p>
        </w:tc>
        <w:tc>
          <w:tcPr>
            <w:tcW w:w="4371" w:type="dxa"/>
          </w:tcPr>
          <w:p>
            <w:pPr>
              <w:pStyle w:val="TableParagraph"/>
              <w:spacing w:before="22"/>
              <w:ind w:left="1710" w:hanging="1438"/>
              <w:rPr>
                <w:sz w:val="22"/>
              </w:rPr>
            </w:pPr>
            <w:r>
              <w:rPr>
                <w:sz w:val="22"/>
              </w:rPr>
              <w:t>Add</w:t>
            </w:r>
            <w:r>
              <w:rPr>
                <w:spacing w:val="-6"/>
                <w:sz w:val="22"/>
              </w:rPr>
              <w:t> </w:t>
            </w:r>
            <w:r>
              <w:rPr>
                <w:sz w:val="22"/>
              </w:rPr>
              <w:t>$10</w:t>
            </w:r>
            <w:r>
              <w:rPr>
                <w:spacing w:val="-6"/>
                <w:sz w:val="22"/>
              </w:rPr>
              <w:t> </w:t>
            </w:r>
            <w:r>
              <w:rPr>
                <w:sz w:val="22"/>
              </w:rPr>
              <w:t>for</w:t>
            </w:r>
            <w:r>
              <w:rPr>
                <w:spacing w:val="-5"/>
                <w:sz w:val="22"/>
              </w:rPr>
              <w:t> </w:t>
            </w:r>
            <w:r>
              <w:rPr>
                <w:sz w:val="22"/>
              </w:rPr>
              <w:t>each</w:t>
            </w:r>
            <w:r>
              <w:rPr>
                <w:spacing w:val="-6"/>
                <w:sz w:val="22"/>
              </w:rPr>
              <w:t> </w:t>
            </w:r>
            <w:r>
              <w:rPr>
                <w:sz w:val="22"/>
              </w:rPr>
              <w:t>additional</w:t>
            </w:r>
            <w:r>
              <w:rPr>
                <w:spacing w:val="-5"/>
                <w:sz w:val="22"/>
              </w:rPr>
              <w:t> </w:t>
            </w:r>
            <w:r>
              <w:rPr>
                <w:sz w:val="22"/>
              </w:rPr>
              <w:t>10%</w:t>
            </w:r>
            <w:r>
              <w:rPr>
                <w:spacing w:val="-5"/>
                <w:sz w:val="22"/>
              </w:rPr>
              <w:t> </w:t>
            </w:r>
            <w:r>
              <w:rPr>
                <w:sz w:val="22"/>
              </w:rPr>
              <w:t>FPL</w:t>
            </w:r>
            <w:r>
              <w:rPr>
                <w:spacing w:val="-7"/>
                <w:sz w:val="22"/>
              </w:rPr>
              <w:t> </w:t>
            </w:r>
            <w:r>
              <w:rPr>
                <w:sz w:val="22"/>
              </w:rPr>
              <w:t>until 600% FPL</w:t>
            </w:r>
          </w:p>
        </w:tc>
        <w:tc>
          <w:tcPr>
            <w:tcW w:w="1796" w:type="dxa"/>
          </w:tcPr>
          <w:p>
            <w:pPr>
              <w:pStyle w:val="TableParagraph"/>
              <w:spacing w:before="149"/>
              <w:ind w:left="267" w:right="260"/>
              <w:jc w:val="center"/>
              <w:rPr>
                <w:sz w:val="22"/>
              </w:rPr>
            </w:pPr>
            <w:r>
              <w:rPr>
                <w:sz w:val="22"/>
              </w:rPr>
              <w:t>$202 -</w:t>
            </w:r>
            <w:r>
              <w:rPr>
                <w:spacing w:val="-2"/>
                <w:sz w:val="22"/>
              </w:rPr>
              <w:t> </w:t>
            </w:r>
            <w:r>
              <w:rPr>
                <w:spacing w:val="-4"/>
                <w:sz w:val="22"/>
              </w:rPr>
              <w:t>$392</w:t>
            </w:r>
          </w:p>
        </w:tc>
      </w:tr>
      <w:tr>
        <w:trPr>
          <w:trHeight w:val="553" w:hRule="atLeast"/>
        </w:trPr>
        <w:tc>
          <w:tcPr>
            <w:tcW w:w="3377" w:type="dxa"/>
          </w:tcPr>
          <w:p>
            <w:pPr>
              <w:pStyle w:val="TableParagraph"/>
              <w:spacing w:before="1"/>
              <w:ind w:left="180" w:right="169"/>
              <w:jc w:val="center"/>
              <w:rPr>
                <w:sz w:val="22"/>
              </w:rPr>
            </w:pPr>
            <w:r>
              <w:rPr>
                <w:sz w:val="22"/>
              </w:rPr>
              <w:t>Above</w:t>
            </w:r>
            <w:r>
              <w:rPr>
                <w:spacing w:val="-4"/>
                <w:sz w:val="22"/>
              </w:rPr>
              <w:t> </w:t>
            </w:r>
            <w:r>
              <w:rPr>
                <w:sz w:val="22"/>
              </w:rPr>
              <w:t>600%</w:t>
            </w:r>
            <w:r>
              <w:rPr>
                <w:spacing w:val="-2"/>
                <w:sz w:val="22"/>
              </w:rPr>
              <w:t> </w:t>
            </w:r>
            <w:r>
              <w:rPr>
                <w:sz w:val="22"/>
              </w:rPr>
              <w:t>FPL—start</w:t>
            </w:r>
            <w:r>
              <w:rPr>
                <w:spacing w:val="-5"/>
                <w:sz w:val="22"/>
              </w:rPr>
              <w:t> </w:t>
            </w:r>
            <w:r>
              <w:rPr>
                <w:sz w:val="22"/>
              </w:rPr>
              <w:t>at</w:t>
            </w:r>
            <w:r>
              <w:rPr>
                <w:spacing w:val="-4"/>
                <w:sz w:val="22"/>
              </w:rPr>
              <w:t> $404</w:t>
            </w:r>
          </w:p>
        </w:tc>
        <w:tc>
          <w:tcPr>
            <w:tcW w:w="4371" w:type="dxa"/>
          </w:tcPr>
          <w:p>
            <w:pPr>
              <w:pStyle w:val="TableParagraph"/>
              <w:spacing w:before="22"/>
              <w:ind w:left="1710" w:hanging="1438"/>
              <w:rPr>
                <w:sz w:val="22"/>
              </w:rPr>
            </w:pPr>
            <w:r>
              <w:rPr>
                <w:sz w:val="22"/>
              </w:rPr>
              <w:t>Add</w:t>
            </w:r>
            <w:r>
              <w:rPr>
                <w:spacing w:val="-6"/>
                <w:sz w:val="22"/>
              </w:rPr>
              <w:t> </w:t>
            </w:r>
            <w:r>
              <w:rPr>
                <w:sz w:val="22"/>
              </w:rPr>
              <w:t>$12</w:t>
            </w:r>
            <w:r>
              <w:rPr>
                <w:spacing w:val="-6"/>
                <w:sz w:val="22"/>
              </w:rPr>
              <w:t> </w:t>
            </w:r>
            <w:r>
              <w:rPr>
                <w:sz w:val="22"/>
              </w:rPr>
              <w:t>for</w:t>
            </w:r>
            <w:r>
              <w:rPr>
                <w:spacing w:val="-5"/>
                <w:sz w:val="22"/>
              </w:rPr>
              <w:t> </w:t>
            </w:r>
            <w:r>
              <w:rPr>
                <w:sz w:val="22"/>
              </w:rPr>
              <w:t>each</w:t>
            </w:r>
            <w:r>
              <w:rPr>
                <w:spacing w:val="-6"/>
                <w:sz w:val="22"/>
              </w:rPr>
              <w:t> </w:t>
            </w:r>
            <w:r>
              <w:rPr>
                <w:sz w:val="22"/>
              </w:rPr>
              <w:t>additional</w:t>
            </w:r>
            <w:r>
              <w:rPr>
                <w:spacing w:val="-5"/>
                <w:sz w:val="22"/>
              </w:rPr>
              <w:t> </w:t>
            </w:r>
            <w:r>
              <w:rPr>
                <w:sz w:val="22"/>
              </w:rPr>
              <w:t>10%</w:t>
            </w:r>
            <w:r>
              <w:rPr>
                <w:spacing w:val="-5"/>
                <w:sz w:val="22"/>
              </w:rPr>
              <w:t> </w:t>
            </w:r>
            <w:r>
              <w:rPr>
                <w:sz w:val="22"/>
              </w:rPr>
              <w:t>FPL</w:t>
            </w:r>
            <w:r>
              <w:rPr>
                <w:spacing w:val="-7"/>
                <w:sz w:val="22"/>
              </w:rPr>
              <w:t> </w:t>
            </w:r>
            <w:r>
              <w:rPr>
                <w:sz w:val="22"/>
              </w:rPr>
              <w:t>until 800% FPL</w:t>
            </w:r>
          </w:p>
        </w:tc>
        <w:tc>
          <w:tcPr>
            <w:tcW w:w="1796" w:type="dxa"/>
          </w:tcPr>
          <w:p>
            <w:pPr>
              <w:pStyle w:val="TableParagraph"/>
              <w:spacing w:before="137"/>
              <w:ind w:left="267" w:right="258"/>
              <w:jc w:val="center"/>
              <w:rPr>
                <w:sz w:val="22"/>
              </w:rPr>
            </w:pPr>
            <w:r>
              <w:rPr>
                <w:sz w:val="22"/>
              </w:rPr>
              <w:t>$404 -</w:t>
            </w:r>
            <w:r>
              <w:rPr>
                <w:spacing w:val="-2"/>
                <w:sz w:val="22"/>
              </w:rPr>
              <w:t> </w:t>
            </w:r>
            <w:r>
              <w:rPr>
                <w:spacing w:val="-4"/>
                <w:sz w:val="22"/>
              </w:rPr>
              <w:t>$632</w:t>
            </w:r>
          </w:p>
        </w:tc>
      </w:tr>
    </w:tbl>
    <w:p>
      <w:pPr>
        <w:spacing w:after="0"/>
        <w:jc w:val="center"/>
        <w:rPr>
          <w:sz w:val="22"/>
        </w:rPr>
        <w:sectPr>
          <w:pgSz w:w="12240" w:h="15840"/>
          <w:pgMar w:header="0" w:footer="971" w:top="640" w:bottom="1160" w:left="220" w:right="340"/>
        </w:sectPr>
      </w:pPr>
    </w:p>
    <w:p>
      <w:pPr>
        <w:spacing w:before="80"/>
        <w:ind w:left="1220" w:right="0" w:firstLine="0"/>
        <w:jc w:val="left"/>
        <w:rPr>
          <w:sz w:val="20"/>
        </w:rPr>
      </w:pPr>
      <w:r>
        <w:rPr>
          <w:spacing w:val="-2"/>
          <w:sz w:val="20"/>
        </w:rPr>
        <w:t>Attachment</w:t>
      </w:r>
      <w:r>
        <w:rPr>
          <w:spacing w:val="6"/>
          <w:sz w:val="20"/>
        </w:rPr>
        <w:t> </w:t>
      </w:r>
      <w:r>
        <w:rPr>
          <w:spacing w:val="-10"/>
          <w:sz w:val="20"/>
        </w:rPr>
        <w:t>C</w:t>
      </w:r>
    </w:p>
    <w:p>
      <w:pPr>
        <w:pStyle w:val="BodyText"/>
        <w:rPr>
          <w:sz w:val="20"/>
        </w:rPr>
      </w:pPr>
    </w:p>
    <w:p>
      <w:pPr>
        <w:pStyle w:val="BodyText"/>
        <w:spacing w:before="7"/>
        <w:rPr>
          <w:sz w:val="22"/>
        </w:rPr>
      </w:pPr>
    </w:p>
    <w:tbl>
      <w:tblPr>
        <w:tblW w:w="0" w:type="auto"/>
        <w:jc w:val="left"/>
        <w:tblInd w:w="1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77"/>
        <w:gridCol w:w="4371"/>
        <w:gridCol w:w="1796"/>
      </w:tblGrid>
      <w:tr>
        <w:trPr>
          <w:trHeight w:val="441" w:hRule="atLeast"/>
        </w:trPr>
        <w:tc>
          <w:tcPr>
            <w:tcW w:w="9544" w:type="dxa"/>
            <w:gridSpan w:val="3"/>
            <w:shd w:val="clear" w:color="auto" w:fill="D9E1F3"/>
          </w:tcPr>
          <w:p>
            <w:pPr>
              <w:pStyle w:val="TableParagraph"/>
              <w:spacing w:before="94"/>
              <w:ind w:left="2882" w:right="2873"/>
              <w:jc w:val="center"/>
              <w:rPr>
                <w:b/>
                <w:sz w:val="22"/>
              </w:rPr>
            </w:pPr>
            <w:r>
              <w:rPr>
                <w:b/>
                <w:sz w:val="22"/>
              </w:rPr>
              <w:t>CommonHealth</w:t>
            </w:r>
            <w:r>
              <w:rPr>
                <w:b/>
                <w:spacing w:val="-8"/>
                <w:sz w:val="22"/>
              </w:rPr>
              <w:t> </w:t>
            </w:r>
            <w:r>
              <w:rPr>
                <w:b/>
                <w:sz w:val="22"/>
              </w:rPr>
              <w:t>Full</w:t>
            </w:r>
            <w:r>
              <w:rPr>
                <w:b/>
                <w:spacing w:val="-6"/>
                <w:sz w:val="22"/>
              </w:rPr>
              <w:t> </w:t>
            </w:r>
            <w:r>
              <w:rPr>
                <w:b/>
                <w:sz w:val="22"/>
              </w:rPr>
              <w:t>Premium</w:t>
            </w:r>
            <w:r>
              <w:rPr>
                <w:b/>
                <w:spacing w:val="-3"/>
                <w:sz w:val="22"/>
              </w:rPr>
              <w:t> </w:t>
            </w:r>
            <w:r>
              <w:rPr>
                <w:b/>
                <w:spacing w:val="-2"/>
                <w:sz w:val="22"/>
              </w:rPr>
              <w:t>Schedule</w:t>
            </w:r>
          </w:p>
        </w:tc>
      </w:tr>
      <w:tr>
        <w:trPr>
          <w:trHeight w:val="710" w:hRule="atLeast"/>
        </w:trPr>
        <w:tc>
          <w:tcPr>
            <w:tcW w:w="3377" w:type="dxa"/>
            <w:shd w:val="clear" w:color="auto" w:fill="D9E1F3"/>
          </w:tcPr>
          <w:p>
            <w:pPr>
              <w:pStyle w:val="TableParagraph"/>
              <w:spacing w:before="1"/>
              <w:rPr>
                <w:sz w:val="20"/>
              </w:rPr>
            </w:pPr>
          </w:p>
          <w:p>
            <w:pPr>
              <w:pStyle w:val="TableParagraph"/>
              <w:ind w:left="179" w:right="169"/>
              <w:jc w:val="center"/>
              <w:rPr>
                <w:b/>
                <w:sz w:val="22"/>
              </w:rPr>
            </w:pPr>
            <w:r>
              <w:rPr>
                <w:b/>
                <w:sz w:val="22"/>
              </w:rPr>
              <w:t>Base</w:t>
            </w:r>
            <w:r>
              <w:rPr>
                <w:b/>
                <w:spacing w:val="-3"/>
                <w:sz w:val="22"/>
              </w:rPr>
              <w:t> </w:t>
            </w:r>
            <w:r>
              <w:rPr>
                <w:b/>
                <w:spacing w:val="-2"/>
                <w:sz w:val="22"/>
              </w:rPr>
              <w:t>Premium</w:t>
            </w:r>
          </w:p>
        </w:tc>
        <w:tc>
          <w:tcPr>
            <w:tcW w:w="4371" w:type="dxa"/>
            <w:shd w:val="clear" w:color="auto" w:fill="D9E1F3"/>
          </w:tcPr>
          <w:p>
            <w:pPr>
              <w:pStyle w:val="TableParagraph"/>
              <w:spacing w:before="1"/>
              <w:rPr>
                <w:sz w:val="20"/>
              </w:rPr>
            </w:pPr>
          </w:p>
          <w:p>
            <w:pPr>
              <w:pStyle w:val="TableParagraph"/>
              <w:ind w:left="497" w:right="490"/>
              <w:jc w:val="center"/>
              <w:rPr>
                <w:b/>
                <w:sz w:val="22"/>
              </w:rPr>
            </w:pPr>
            <w:r>
              <w:rPr>
                <w:b/>
                <w:sz w:val="22"/>
              </w:rPr>
              <w:t>Additional</w:t>
            </w:r>
            <w:r>
              <w:rPr>
                <w:b/>
                <w:spacing w:val="-8"/>
                <w:sz w:val="22"/>
              </w:rPr>
              <w:t> </w:t>
            </w:r>
            <w:r>
              <w:rPr>
                <w:b/>
                <w:sz w:val="22"/>
              </w:rPr>
              <w:t>Premium</w:t>
            </w:r>
            <w:r>
              <w:rPr>
                <w:b/>
                <w:spacing w:val="-4"/>
                <w:sz w:val="22"/>
              </w:rPr>
              <w:t> Cost</w:t>
            </w:r>
          </w:p>
        </w:tc>
        <w:tc>
          <w:tcPr>
            <w:tcW w:w="1796" w:type="dxa"/>
            <w:shd w:val="clear" w:color="auto" w:fill="D9E1F3"/>
          </w:tcPr>
          <w:p>
            <w:pPr>
              <w:pStyle w:val="TableParagraph"/>
              <w:spacing w:before="101"/>
              <w:ind w:left="683" w:hanging="675"/>
              <w:rPr>
                <w:b/>
                <w:sz w:val="22"/>
              </w:rPr>
            </w:pPr>
            <w:r>
              <w:rPr>
                <w:b/>
                <w:sz w:val="22"/>
              </w:rPr>
              <w:t>Range</w:t>
            </w:r>
            <w:r>
              <w:rPr>
                <w:b/>
                <w:spacing w:val="-14"/>
                <w:sz w:val="22"/>
              </w:rPr>
              <w:t> </w:t>
            </w:r>
            <w:r>
              <w:rPr>
                <w:b/>
                <w:sz w:val="22"/>
              </w:rPr>
              <w:t>of</w:t>
            </w:r>
            <w:r>
              <w:rPr>
                <w:b/>
                <w:spacing w:val="-14"/>
                <w:sz w:val="22"/>
              </w:rPr>
              <w:t> </w:t>
            </w:r>
            <w:r>
              <w:rPr>
                <w:b/>
                <w:sz w:val="22"/>
              </w:rPr>
              <w:t>Premium </w:t>
            </w:r>
            <w:r>
              <w:rPr>
                <w:b/>
                <w:spacing w:val="-4"/>
                <w:sz w:val="22"/>
              </w:rPr>
              <w:t>Cost</w:t>
            </w:r>
          </w:p>
        </w:tc>
      </w:tr>
      <w:tr>
        <w:trPr>
          <w:trHeight w:val="554" w:hRule="atLeast"/>
        </w:trPr>
        <w:tc>
          <w:tcPr>
            <w:tcW w:w="3377" w:type="dxa"/>
          </w:tcPr>
          <w:p>
            <w:pPr>
              <w:pStyle w:val="TableParagraph"/>
              <w:spacing w:before="149"/>
              <w:ind w:left="180" w:right="169"/>
              <w:jc w:val="center"/>
              <w:rPr>
                <w:sz w:val="22"/>
              </w:rPr>
            </w:pPr>
            <w:r>
              <w:rPr>
                <w:sz w:val="22"/>
              </w:rPr>
              <w:t>Above</w:t>
            </w:r>
            <w:r>
              <w:rPr>
                <w:spacing w:val="-4"/>
                <w:sz w:val="22"/>
              </w:rPr>
              <w:t> </w:t>
            </w:r>
            <w:r>
              <w:rPr>
                <w:sz w:val="22"/>
              </w:rPr>
              <w:t>800%</w:t>
            </w:r>
            <w:r>
              <w:rPr>
                <w:spacing w:val="-2"/>
                <w:sz w:val="22"/>
              </w:rPr>
              <w:t> </w:t>
            </w:r>
            <w:r>
              <w:rPr>
                <w:sz w:val="22"/>
              </w:rPr>
              <w:t>FPL—start</w:t>
            </w:r>
            <w:r>
              <w:rPr>
                <w:spacing w:val="-5"/>
                <w:sz w:val="22"/>
              </w:rPr>
              <w:t> </w:t>
            </w:r>
            <w:r>
              <w:rPr>
                <w:sz w:val="22"/>
              </w:rPr>
              <w:t>at</w:t>
            </w:r>
            <w:r>
              <w:rPr>
                <w:spacing w:val="-4"/>
                <w:sz w:val="22"/>
              </w:rPr>
              <w:t> $646</w:t>
            </w:r>
          </w:p>
        </w:tc>
        <w:tc>
          <w:tcPr>
            <w:tcW w:w="4371" w:type="dxa"/>
          </w:tcPr>
          <w:p>
            <w:pPr>
              <w:pStyle w:val="TableParagraph"/>
              <w:spacing w:before="22"/>
              <w:ind w:left="1655" w:hanging="1383"/>
              <w:rPr>
                <w:sz w:val="22"/>
              </w:rPr>
            </w:pPr>
            <w:r>
              <w:rPr>
                <w:sz w:val="22"/>
              </w:rPr>
              <w:t>Add</w:t>
            </w:r>
            <w:r>
              <w:rPr>
                <w:spacing w:val="-6"/>
                <w:sz w:val="22"/>
              </w:rPr>
              <w:t> </w:t>
            </w:r>
            <w:r>
              <w:rPr>
                <w:sz w:val="22"/>
              </w:rPr>
              <w:t>$14</w:t>
            </w:r>
            <w:r>
              <w:rPr>
                <w:spacing w:val="-6"/>
                <w:sz w:val="22"/>
              </w:rPr>
              <w:t> </w:t>
            </w:r>
            <w:r>
              <w:rPr>
                <w:sz w:val="22"/>
              </w:rPr>
              <w:t>for</w:t>
            </w:r>
            <w:r>
              <w:rPr>
                <w:spacing w:val="-5"/>
                <w:sz w:val="22"/>
              </w:rPr>
              <w:t> </w:t>
            </w:r>
            <w:r>
              <w:rPr>
                <w:sz w:val="22"/>
              </w:rPr>
              <w:t>each</w:t>
            </w:r>
            <w:r>
              <w:rPr>
                <w:spacing w:val="-6"/>
                <w:sz w:val="22"/>
              </w:rPr>
              <w:t> </w:t>
            </w:r>
            <w:r>
              <w:rPr>
                <w:sz w:val="22"/>
              </w:rPr>
              <w:t>additional</w:t>
            </w:r>
            <w:r>
              <w:rPr>
                <w:spacing w:val="-5"/>
                <w:sz w:val="22"/>
              </w:rPr>
              <w:t> </w:t>
            </w:r>
            <w:r>
              <w:rPr>
                <w:sz w:val="22"/>
              </w:rPr>
              <w:t>10%</w:t>
            </w:r>
            <w:r>
              <w:rPr>
                <w:spacing w:val="-5"/>
                <w:sz w:val="22"/>
              </w:rPr>
              <w:t> </w:t>
            </w:r>
            <w:r>
              <w:rPr>
                <w:sz w:val="22"/>
              </w:rPr>
              <w:t>FPL</w:t>
            </w:r>
            <w:r>
              <w:rPr>
                <w:spacing w:val="-7"/>
                <w:sz w:val="22"/>
              </w:rPr>
              <w:t> </w:t>
            </w:r>
            <w:r>
              <w:rPr>
                <w:sz w:val="22"/>
              </w:rPr>
              <w:t>until 1000% FPL</w:t>
            </w:r>
          </w:p>
        </w:tc>
        <w:tc>
          <w:tcPr>
            <w:tcW w:w="1796" w:type="dxa"/>
          </w:tcPr>
          <w:p>
            <w:pPr>
              <w:pStyle w:val="TableParagraph"/>
              <w:spacing w:before="137"/>
              <w:ind w:left="267" w:right="258"/>
              <w:jc w:val="center"/>
              <w:rPr>
                <w:sz w:val="22"/>
              </w:rPr>
            </w:pPr>
            <w:r>
              <w:rPr>
                <w:sz w:val="22"/>
              </w:rPr>
              <w:t>$646 -</w:t>
            </w:r>
            <w:r>
              <w:rPr>
                <w:spacing w:val="-2"/>
                <w:sz w:val="22"/>
              </w:rPr>
              <w:t> </w:t>
            </w:r>
            <w:r>
              <w:rPr>
                <w:spacing w:val="-4"/>
                <w:sz w:val="22"/>
              </w:rPr>
              <w:t>$912</w:t>
            </w:r>
          </w:p>
        </w:tc>
      </w:tr>
      <w:tr>
        <w:trPr>
          <w:trHeight w:val="424" w:hRule="atLeast"/>
        </w:trPr>
        <w:tc>
          <w:tcPr>
            <w:tcW w:w="3377" w:type="dxa"/>
          </w:tcPr>
          <w:p>
            <w:pPr>
              <w:pStyle w:val="TableParagraph"/>
              <w:spacing w:before="82"/>
              <w:ind w:left="180" w:right="169"/>
              <w:jc w:val="center"/>
              <w:rPr>
                <w:sz w:val="22"/>
              </w:rPr>
            </w:pPr>
            <w:r>
              <w:rPr>
                <w:sz w:val="22"/>
              </w:rPr>
              <w:t>Above</w:t>
            </w:r>
            <w:r>
              <w:rPr>
                <w:spacing w:val="-5"/>
                <w:sz w:val="22"/>
              </w:rPr>
              <w:t> </w:t>
            </w:r>
            <w:r>
              <w:rPr>
                <w:sz w:val="22"/>
              </w:rPr>
              <w:t>1000%</w:t>
            </w:r>
            <w:r>
              <w:rPr>
                <w:spacing w:val="-3"/>
                <w:sz w:val="22"/>
              </w:rPr>
              <w:t> </w:t>
            </w:r>
            <w:r>
              <w:rPr>
                <w:sz w:val="22"/>
              </w:rPr>
              <w:t>FPL—start</w:t>
            </w:r>
            <w:r>
              <w:rPr>
                <w:spacing w:val="-3"/>
                <w:sz w:val="22"/>
              </w:rPr>
              <w:t> </w:t>
            </w:r>
            <w:r>
              <w:rPr>
                <w:sz w:val="22"/>
              </w:rPr>
              <w:t>at</w:t>
            </w:r>
            <w:r>
              <w:rPr>
                <w:spacing w:val="-3"/>
                <w:sz w:val="22"/>
              </w:rPr>
              <w:t> </w:t>
            </w:r>
            <w:r>
              <w:rPr>
                <w:spacing w:val="-4"/>
                <w:sz w:val="22"/>
              </w:rPr>
              <w:t>$928</w:t>
            </w:r>
          </w:p>
        </w:tc>
        <w:tc>
          <w:tcPr>
            <w:tcW w:w="4371" w:type="dxa"/>
          </w:tcPr>
          <w:p>
            <w:pPr>
              <w:pStyle w:val="TableParagraph"/>
              <w:spacing w:before="82"/>
              <w:ind w:left="499" w:right="490"/>
              <w:jc w:val="center"/>
              <w:rPr>
                <w:sz w:val="22"/>
              </w:rPr>
            </w:pPr>
            <w:r>
              <w:rPr>
                <w:sz w:val="22"/>
              </w:rPr>
              <w:t>Add</w:t>
            </w:r>
            <w:r>
              <w:rPr>
                <w:spacing w:val="-3"/>
                <w:sz w:val="22"/>
              </w:rPr>
              <w:t> </w:t>
            </w:r>
            <w:r>
              <w:rPr>
                <w:sz w:val="22"/>
              </w:rPr>
              <w:t>$16</w:t>
            </w:r>
            <w:r>
              <w:rPr>
                <w:spacing w:val="-3"/>
                <w:sz w:val="22"/>
              </w:rPr>
              <w:t> </w:t>
            </w:r>
            <w:r>
              <w:rPr>
                <w:sz w:val="22"/>
              </w:rPr>
              <w:t>for</w:t>
            </w:r>
            <w:r>
              <w:rPr>
                <w:spacing w:val="-2"/>
                <w:sz w:val="22"/>
              </w:rPr>
              <w:t> </w:t>
            </w:r>
            <w:r>
              <w:rPr>
                <w:sz w:val="22"/>
              </w:rPr>
              <w:t>each</w:t>
            </w:r>
            <w:r>
              <w:rPr>
                <w:spacing w:val="-3"/>
                <w:sz w:val="22"/>
              </w:rPr>
              <w:t> </w:t>
            </w:r>
            <w:r>
              <w:rPr>
                <w:sz w:val="22"/>
              </w:rPr>
              <w:t>additional</w:t>
            </w:r>
            <w:r>
              <w:rPr>
                <w:spacing w:val="-2"/>
                <w:sz w:val="22"/>
              </w:rPr>
              <w:t> </w:t>
            </w:r>
            <w:r>
              <w:rPr>
                <w:sz w:val="22"/>
              </w:rPr>
              <w:t>10%</w:t>
            </w:r>
            <w:r>
              <w:rPr>
                <w:spacing w:val="-1"/>
                <w:sz w:val="22"/>
              </w:rPr>
              <w:t> </w:t>
            </w:r>
            <w:r>
              <w:rPr>
                <w:spacing w:val="-5"/>
                <w:sz w:val="22"/>
              </w:rPr>
              <w:t>FPL</w:t>
            </w:r>
          </w:p>
        </w:tc>
        <w:tc>
          <w:tcPr>
            <w:tcW w:w="1796" w:type="dxa"/>
          </w:tcPr>
          <w:p>
            <w:pPr>
              <w:pStyle w:val="TableParagraph"/>
              <w:spacing w:before="70"/>
              <w:ind w:left="267" w:right="263"/>
              <w:jc w:val="center"/>
              <w:rPr>
                <w:sz w:val="22"/>
              </w:rPr>
            </w:pPr>
            <w:r>
              <w:rPr>
                <w:sz w:val="22"/>
              </w:rPr>
              <w:t>$928</w:t>
            </w:r>
            <w:r>
              <w:rPr>
                <w:spacing w:val="-2"/>
                <w:sz w:val="22"/>
              </w:rPr>
              <w:t> </w:t>
            </w:r>
            <w:r>
              <w:rPr>
                <w:sz w:val="22"/>
              </w:rPr>
              <w:t>-</w:t>
            </w:r>
            <w:r>
              <w:rPr>
                <w:spacing w:val="-2"/>
                <w:sz w:val="22"/>
              </w:rPr>
              <w:t> greater</w:t>
            </w:r>
          </w:p>
        </w:tc>
      </w:tr>
    </w:tbl>
    <w:p>
      <w:pPr>
        <w:pStyle w:val="BodyText"/>
        <w:rPr>
          <w:sz w:val="20"/>
        </w:rPr>
      </w:pPr>
    </w:p>
    <w:p>
      <w:pPr>
        <w:pStyle w:val="BodyText"/>
        <w:spacing w:before="2"/>
        <w:rPr>
          <w:sz w:val="27"/>
        </w:rPr>
      </w:pPr>
    </w:p>
    <w:tbl>
      <w:tblPr>
        <w:tblW w:w="0" w:type="auto"/>
        <w:jc w:val="left"/>
        <w:tblInd w:w="2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92"/>
        <w:gridCol w:w="5465"/>
      </w:tblGrid>
      <w:tr>
        <w:trPr>
          <w:trHeight w:val="405" w:hRule="atLeast"/>
        </w:trPr>
        <w:tc>
          <w:tcPr>
            <w:tcW w:w="8057" w:type="dxa"/>
            <w:gridSpan w:val="2"/>
            <w:tcBorders>
              <w:bottom w:val="single" w:sz="6" w:space="0" w:color="000000"/>
            </w:tcBorders>
            <w:shd w:val="clear" w:color="auto" w:fill="D9E1F3"/>
          </w:tcPr>
          <w:p>
            <w:pPr>
              <w:pStyle w:val="TableParagraph"/>
              <w:spacing w:before="77"/>
              <w:ind w:left="1685" w:right="1674"/>
              <w:jc w:val="center"/>
              <w:rPr>
                <w:b/>
                <w:sz w:val="22"/>
              </w:rPr>
            </w:pPr>
            <w:r>
              <w:rPr>
                <w:b/>
                <w:sz w:val="22"/>
              </w:rPr>
              <w:t>CommonHealth</w:t>
            </w:r>
            <w:r>
              <w:rPr>
                <w:b/>
                <w:spacing w:val="-8"/>
                <w:sz w:val="22"/>
              </w:rPr>
              <w:t> </w:t>
            </w:r>
            <w:r>
              <w:rPr>
                <w:b/>
                <w:sz w:val="22"/>
              </w:rPr>
              <w:t>Supplemental</w:t>
            </w:r>
            <w:r>
              <w:rPr>
                <w:b/>
                <w:spacing w:val="-11"/>
                <w:sz w:val="22"/>
              </w:rPr>
              <w:t> </w:t>
            </w:r>
            <w:r>
              <w:rPr>
                <w:b/>
                <w:sz w:val="22"/>
              </w:rPr>
              <w:t>Premium</w:t>
            </w:r>
            <w:r>
              <w:rPr>
                <w:b/>
                <w:spacing w:val="-5"/>
                <w:sz w:val="22"/>
              </w:rPr>
              <w:t> </w:t>
            </w:r>
            <w:r>
              <w:rPr>
                <w:b/>
                <w:spacing w:val="-2"/>
                <w:sz w:val="22"/>
              </w:rPr>
              <w:t>Schedule</w:t>
            </w:r>
          </w:p>
        </w:tc>
      </w:tr>
      <w:tr>
        <w:trPr>
          <w:trHeight w:val="349" w:hRule="atLeast"/>
        </w:trPr>
        <w:tc>
          <w:tcPr>
            <w:tcW w:w="2592" w:type="dxa"/>
            <w:tcBorders>
              <w:top w:val="single" w:sz="6" w:space="0" w:color="000000"/>
            </w:tcBorders>
            <w:shd w:val="clear" w:color="auto" w:fill="D9E1F3"/>
          </w:tcPr>
          <w:p>
            <w:pPr>
              <w:pStyle w:val="TableParagraph"/>
              <w:spacing w:before="60"/>
              <w:ind w:left="258" w:right="248"/>
              <w:jc w:val="center"/>
              <w:rPr>
                <w:b/>
                <w:sz w:val="22"/>
              </w:rPr>
            </w:pPr>
            <w:r>
              <w:rPr>
                <w:b/>
                <w:sz w:val="22"/>
              </w:rPr>
              <w:t>%</w:t>
            </w:r>
            <w:r>
              <w:rPr>
                <w:b/>
                <w:spacing w:val="-3"/>
                <w:sz w:val="22"/>
              </w:rPr>
              <w:t> </w:t>
            </w:r>
            <w:r>
              <w:rPr>
                <w:b/>
                <w:sz w:val="22"/>
              </w:rPr>
              <w:t>of</w:t>
            </w:r>
            <w:r>
              <w:rPr>
                <w:b/>
                <w:spacing w:val="1"/>
                <w:sz w:val="22"/>
              </w:rPr>
              <w:t> </w:t>
            </w:r>
            <w:r>
              <w:rPr>
                <w:b/>
                <w:spacing w:val="-5"/>
                <w:sz w:val="22"/>
              </w:rPr>
              <w:t>FPL</w:t>
            </w:r>
          </w:p>
        </w:tc>
        <w:tc>
          <w:tcPr>
            <w:tcW w:w="5465" w:type="dxa"/>
            <w:tcBorders>
              <w:top w:val="single" w:sz="6" w:space="0" w:color="000000"/>
            </w:tcBorders>
            <w:shd w:val="clear" w:color="auto" w:fill="D9E1F3"/>
          </w:tcPr>
          <w:p>
            <w:pPr>
              <w:pStyle w:val="TableParagraph"/>
              <w:spacing w:before="60"/>
              <w:ind w:left="411" w:right="398"/>
              <w:jc w:val="center"/>
              <w:rPr>
                <w:b/>
                <w:sz w:val="22"/>
              </w:rPr>
            </w:pPr>
            <w:r>
              <w:rPr>
                <w:b/>
                <w:sz w:val="22"/>
              </w:rPr>
              <w:t>Premium</w:t>
            </w:r>
            <w:r>
              <w:rPr>
                <w:b/>
                <w:spacing w:val="-6"/>
                <w:sz w:val="22"/>
              </w:rPr>
              <w:t> </w:t>
            </w:r>
            <w:r>
              <w:rPr>
                <w:b/>
                <w:spacing w:val="-2"/>
                <w:sz w:val="22"/>
              </w:rPr>
              <w:t>requirement</w:t>
            </w:r>
          </w:p>
        </w:tc>
      </w:tr>
      <w:tr>
        <w:trPr>
          <w:trHeight w:val="278" w:hRule="atLeast"/>
        </w:trPr>
        <w:tc>
          <w:tcPr>
            <w:tcW w:w="2592" w:type="dxa"/>
          </w:tcPr>
          <w:p>
            <w:pPr>
              <w:pStyle w:val="TableParagraph"/>
              <w:spacing w:line="245" w:lineRule="exact" w:before="13"/>
              <w:ind w:left="258" w:right="252"/>
              <w:jc w:val="center"/>
              <w:rPr>
                <w:sz w:val="22"/>
              </w:rPr>
            </w:pPr>
            <w:r>
              <w:rPr>
                <w:sz w:val="22"/>
              </w:rPr>
              <w:t>Above</w:t>
            </w:r>
            <w:r>
              <w:rPr>
                <w:spacing w:val="-5"/>
                <w:sz w:val="22"/>
              </w:rPr>
              <w:t> </w:t>
            </w:r>
            <w:r>
              <w:rPr>
                <w:sz w:val="22"/>
              </w:rPr>
              <w:t>150%</w:t>
            </w:r>
            <w:r>
              <w:rPr>
                <w:spacing w:val="-1"/>
                <w:sz w:val="22"/>
              </w:rPr>
              <w:t> </w:t>
            </w:r>
            <w:r>
              <w:rPr>
                <w:sz w:val="22"/>
              </w:rPr>
              <w:t>to</w:t>
            </w:r>
            <w:r>
              <w:rPr>
                <w:spacing w:val="-2"/>
                <w:sz w:val="22"/>
              </w:rPr>
              <w:t> </w:t>
            </w:r>
            <w:r>
              <w:rPr>
                <w:spacing w:val="-4"/>
                <w:sz w:val="22"/>
              </w:rPr>
              <w:t>200%</w:t>
            </w:r>
          </w:p>
        </w:tc>
        <w:tc>
          <w:tcPr>
            <w:tcW w:w="5465" w:type="dxa"/>
          </w:tcPr>
          <w:p>
            <w:pPr>
              <w:pStyle w:val="TableParagraph"/>
              <w:spacing w:line="245" w:lineRule="exact" w:before="13"/>
              <w:ind w:left="411" w:right="402"/>
              <w:jc w:val="center"/>
              <w:rPr>
                <w:sz w:val="22"/>
              </w:rPr>
            </w:pPr>
            <w:r>
              <w:rPr>
                <w:sz w:val="22"/>
              </w:rPr>
              <w:t>60%</w:t>
            </w:r>
            <w:r>
              <w:rPr>
                <w:spacing w:val="-2"/>
                <w:sz w:val="22"/>
              </w:rPr>
              <w:t> </w:t>
            </w:r>
            <w:r>
              <w:rPr>
                <w:sz w:val="22"/>
              </w:rPr>
              <w:t>of</w:t>
            </w:r>
            <w:r>
              <w:rPr>
                <w:spacing w:val="-1"/>
                <w:sz w:val="22"/>
              </w:rPr>
              <w:t> </w:t>
            </w:r>
            <w:r>
              <w:rPr>
                <w:sz w:val="22"/>
              </w:rPr>
              <w:t>full</w:t>
            </w:r>
            <w:r>
              <w:rPr>
                <w:spacing w:val="-4"/>
                <w:sz w:val="22"/>
              </w:rPr>
              <w:t> </w:t>
            </w:r>
            <w:r>
              <w:rPr>
                <w:sz w:val="22"/>
              </w:rPr>
              <w:t>premium</w:t>
            </w:r>
            <w:r>
              <w:rPr>
                <w:spacing w:val="-5"/>
                <w:sz w:val="22"/>
              </w:rPr>
              <w:t> </w:t>
            </w:r>
            <w:r>
              <w:rPr>
                <w:sz w:val="22"/>
              </w:rPr>
              <w:t>per</w:t>
            </w:r>
            <w:r>
              <w:rPr>
                <w:spacing w:val="-2"/>
                <w:sz w:val="22"/>
              </w:rPr>
              <w:t> </w:t>
            </w:r>
            <w:r>
              <w:rPr>
                <w:sz w:val="22"/>
              </w:rPr>
              <w:t>listed</w:t>
            </w:r>
            <w:r>
              <w:rPr>
                <w:spacing w:val="-2"/>
                <w:sz w:val="22"/>
              </w:rPr>
              <w:t> </w:t>
            </w:r>
            <w:r>
              <w:rPr>
                <w:sz w:val="22"/>
              </w:rPr>
              <w:t>premium</w:t>
            </w:r>
            <w:r>
              <w:rPr>
                <w:spacing w:val="-5"/>
                <w:sz w:val="22"/>
              </w:rPr>
              <w:t> </w:t>
            </w:r>
            <w:r>
              <w:rPr>
                <w:sz w:val="22"/>
              </w:rPr>
              <w:t>costs</w:t>
            </w:r>
            <w:r>
              <w:rPr>
                <w:spacing w:val="-2"/>
                <w:sz w:val="22"/>
              </w:rPr>
              <w:t> </w:t>
            </w:r>
            <w:r>
              <w:rPr>
                <w:spacing w:val="-4"/>
                <w:sz w:val="22"/>
              </w:rPr>
              <w:t>above</w:t>
            </w:r>
          </w:p>
        </w:tc>
      </w:tr>
      <w:tr>
        <w:trPr>
          <w:trHeight w:val="275" w:hRule="atLeast"/>
        </w:trPr>
        <w:tc>
          <w:tcPr>
            <w:tcW w:w="2592" w:type="dxa"/>
          </w:tcPr>
          <w:p>
            <w:pPr>
              <w:pStyle w:val="TableParagraph"/>
              <w:spacing w:line="245" w:lineRule="exact" w:before="10"/>
              <w:ind w:left="258" w:right="252"/>
              <w:jc w:val="center"/>
              <w:rPr>
                <w:sz w:val="22"/>
              </w:rPr>
            </w:pPr>
            <w:r>
              <w:rPr>
                <w:sz w:val="22"/>
              </w:rPr>
              <w:t>Above</w:t>
            </w:r>
            <w:r>
              <w:rPr>
                <w:spacing w:val="-5"/>
                <w:sz w:val="22"/>
              </w:rPr>
              <w:t> </w:t>
            </w:r>
            <w:r>
              <w:rPr>
                <w:sz w:val="22"/>
              </w:rPr>
              <w:t>200%</w:t>
            </w:r>
            <w:r>
              <w:rPr>
                <w:spacing w:val="-1"/>
                <w:sz w:val="22"/>
              </w:rPr>
              <w:t> </w:t>
            </w:r>
            <w:r>
              <w:rPr>
                <w:sz w:val="22"/>
              </w:rPr>
              <w:t>to</w:t>
            </w:r>
            <w:r>
              <w:rPr>
                <w:spacing w:val="-2"/>
                <w:sz w:val="22"/>
              </w:rPr>
              <w:t> </w:t>
            </w:r>
            <w:r>
              <w:rPr>
                <w:spacing w:val="-4"/>
                <w:sz w:val="22"/>
              </w:rPr>
              <w:t>400%</w:t>
            </w:r>
          </w:p>
        </w:tc>
        <w:tc>
          <w:tcPr>
            <w:tcW w:w="5465" w:type="dxa"/>
          </w:tcPr>
          <w:p>
            <w:pPr>
              <w:pStyle w:val="TableParagraph"/>
              <w:spacing w:line="245" w:lineRule="exact" w:before="10"/>
              <w:ind w:left="411" w:right="400"/>
              <w:jc w:val="center"/>
              <w:rPr>
                <w:sz w:val="22"/>
              </w:rPr>
            </w:pPr>
            <w:r>
              <w:rPr>
                <w:sz w:val="22"/>
              </w:rPr>
              <w:t>65%</w:t>
            </w:r>
            <w:r>
              <w:rPr>
                <w:spacing w:val="-3"/>
                <w:sz w:val="22"/>
              </w:rPr>
              <w:t> </w:t>
            </w:r>
            <w:r>
              <w:rPr>
                <w:sz w:val="22"/>
              </w:rPr>
              <w:t>per </w:t>
            </w:r>
            <w:r>
              <w:rPr>
                <w:spacing w:val="-2"/>
                <w:sz w:val="22"/>
              </w:rPr>
              <w:t>above</w:t>
            </w:r>
          </w:p>
        </w:tc>
      </w:tr>
      <w:tr>
        <w:trPr>
          <w:trHeight w:val="275" w:hRule="atLeast"/>
        </w:trPr>
        <w:tc>
          <w:tcPr>
            <w:tcW w:w="2592" w:type="dxa"/>
          </w:tcPr>
          <w:p>
            <w:pPr>
              <w:pStyle w:val="TableParagraph"/>
              <w:spacing w:line="245" w:lineRule="exact" w:before="10"/>
              <w:ind w:left="258" w:right="252"/>
              <w:jc w:val="center"/>
              <w:rPr>
                <w:sz w:val="22"/>
              </w:rPr>
            </w:pPr>
            <w:r>
              <w:rPr>
                <w:sz w:val="22"/>
              </w:rPr>
              <w:t>Above</w:t>
            </w:r>
            <w:r>
              <w:rPr>
                <w:spacing w:val="-5"/>
                <w:sz w:val="22"/>
              </w:rPr>
              <w:t> </w:t>
            </w:r>
            <w:r>
              <w:rPr>
                <w:sz w:val="22"/>
              </w:rPr>
              <w:t>400%</w:t>
            </w:r>
            <w:r>
              <w:rPr>
                <w:spacing w:val="-1"/>
                <w:sz w:val="22"/>
              </w:rPr>
              <w:t> </w:t>
            </w:r>
            <w:r>
              <w:rPr>
                <w:sz w:val="22"/>
              </w:rPr>
              <w:t>to</w:t>
            </w:r>
            <w:r>
              <w:rPr>
                <w:spacing w:val="-2"/>
                <w:sz w:val="22"/>
              </w:rPr>
              <w:t> </w:t>
            </w:r>
            <w:r>
              <w:rPr>
                <w:spacing w:val="-4"/>
                <w:sz w:val="22"/>
              </w:rPr>
              <w:t>600%</w:t>
            </w:r>
          </w:p>
        </w:tc>
        <w:tc>
          <w:tcPr>
            <w:tcW w:w="5465" w:type="dxa"/>
          </w:tcPr>
          <w:p>
            <w:pPr>
              <w:pStyle w:val="TableParagraph"/>
              <w:spacing w:line="245" w:lineRule="exact" w:before="10"/>
              <w:ind w:left="411" w:right="400"/>
              <w:jc w:val="center"/>
              <w:rPr>
                <w:sz w:val="22"/>
              </w:rPr>
            </w:pPr>
            <w:r>
              <w:rPr>
                <w:sz w:val="22"/>
              </w:rPr>
              <w:t>70%</w:t>
            </w:r>
            <w:r>
              <w:rPr>
                <w:spacing w:val="-3"/>
                <w:sz w:val="22"/>
              </w:rPr>
              <w:t> </w:t>
            </w:r>
            <w:r>
              <w:rPr>
                <w:sz w:val="22"/>
              </w:rPr>
              <w:t>per </w:t>
            </w:r>
            <w:r>
              <w:rPr>
                <w:spacing w:val="-2"/>
                <w:sz w:val="22"/>
              </w:rPr>
              <w:t>above</w:t>
            </w:r>
          </w:p>
        </w:tc>
      </w:tr>
      <w:tr>
        <w:trPr>
          <w:trHeight w:val="278" w:hRule="atLeast"/>
        </w:trPr>
        <w:tc>
          <w:tcPr>
            <w:tcW w:w="2592" w:type="dxa"/>
          </w:tcPr>
          <w:p>
            <w:pPr>
              <w:pStyle w:val="TableParagraph"/>
              <w:spacing w:line="245" w:lineRule="exact" w:before="13"/>
              <w:ind w:left="258" w:right="252"/>
              <w:jc w:val="center"/>
              <w:rPr>
                <w:sz w:val="22"/>
              </w:rPr>
            </w:pPr>
            <w:r>
              <w:rPr>
                <w:sz w:val="22"/>
              </w:rPr>
              <w:t>Above</w:t>
            </w:r>
            <w:r>
              <w:rPr>
                <w:spacing w:val="-5"/>
                <w:sz w:val="22"/>
              </w:rPr>
              <w:t> </w:t>
            </w:r>
            <w:r>
              <w:rPr>
                <w:sz w:val="22"/>
              </w:rPr>
              <w:t>600%</w:t>
            </w:r>
            <w:r>
              <w:rPr>
                <w:spacing w:val="-1"/>
                <w:sz w:val="22"/>
              </w:rPr>
              <w:t> </w:t>
            </w:r>
            <w:r>
              <w:rPr>
                <w:sz w:val="22"/>
              </w:rPr>
              <w:t>to</w:t>
            </w:r>
            <w:r>
              <w:rPr>
                <w:spacing w:val="-2"/>
                <w:sz w:val="22"/>
              </w:rPr>
              <w:t> </w:t>
            </w:r>
            <w:r>
              <w:rPr>
                <w:spacing w:val="-4"/>
                <w:sz w:val="22"/>
              </w:rPr>
              <w:t>800%</w:t>
            </w:r>
          </w:p>
        </w:tc>
        <w:tc>
          <w:tcPr>
            <w:tcW w:w="5465" w:type="dxa"/>
          </w:tcPr>
          <w:p>
            <w:pPr>
              <w:pStyle w:val="TableParagraph"/>
              <w:spacing w:line="245" w:lineRule="exact" w:before="13"/>
              <w:ind w:left="411" w:right="400"/>
              <w:jc w:val="center"/>
              <w:rPr>
                <w:sz w:val="22"/>
              </w:rPr>
            </w:pPr>
            <w:r>
              <w:rPr>
                <w:sz w:val="22"/>
              </w:rPr>
              <w:t>75%</w:t>
            </w:r>
            <w:r>
              <w:rPr>
                <w:spacing w:val="-3"/>
                <w:sz w:val="22"/>
              </w:rPr>
              <w:t> </w:t>
            </w:r>
            <w:r>
              <w:rPr>
                <w:sz w:val="22"/>
              </w:rPr>
              <w:t>per </w:t>
            </w:r>
            <w:r>
              <w:rPr>
                <w:spacing w:val="-2"/>
                <w:sz w:val="22"/>
              </w:rPr>
              <w:t>above</w:t>
            </w:r>
          </w:p>
        </w:tc>
      </w:tr>
      <w:tr>
        <w:trPr>
          <w:trHeight w:val="277" w:hRule="atLeast"/>
        </w:trPr>
        <w:tc>
          <w:tcPr>
            <w:tcW w:w="2592" w:type="dxa"/>
          </w:tcPr>
          <w:p>
            <w:pPr>
              <w:pStyle w:val="TableParagraph"/>
              <w:spacing w:line="245" w:lineRule="exact" w:before="13"/>
              <w:ind w:left="258" w:right="252"/>
              <w:jc w:val="center"/>
              <w:rPr>
                <w:sz w:val="22"/>
              </w:rPr>
            </w:pPr>
            <w:r>
              <w:rPr>
                <w:sz w:val="22"/>
              </w:rPr>
              <w:t>Above</w:t>
            </w:r>
            <w:r>
              <w:rPr>
                <w:spacing w:val="-5"/>
                <w:sz w:val="22"/>
              </w:rPr>
              <w:t> </w:t>
            </w:r>
            <w:r>
              <w:rPr>
                <w:sz w:val="22"/>
              </w:rPr>
              <w:t>800%</w:t>
            </w:r>
            <w:r>
              <w:rPr>
                <w:spacing w:val="-1"/>
                <w:sz w:val="22"/>
              </w:rPr>
              <w:t> </w:t>
            </w:r>
            <w:r>
              <w:rPr>
                <w:sz w:val="22"/>
              </w:rPr>
              <w:t>to</w:t>
            </w:r>
            <w:r>
              <w:rPr>
                <w:spacing w:val="-2"/>
                <w:sz w:val="22"/>
              </w:rPr>
              <w:t> </w:t>
            </w:r>
            <w:r>
              <w:rPr>
                <w:spacing w:val="-4"/>
                <w:sz w:val="22"/>
              </w:rPr>
              <w:t>1000%</w:t>
            </w:r>
          </w:p>
        </w:tc>
        <w:tc>
          <w:tcPr>
            <w:tcW w:w="5465" w:type="dxa"/>
          </w:tcPr>
          <w:p>
            <w:pPr>
              <w:pStyle w:val="TableParagraph"/>
              <w:spacing w:line="245" w:lineRule="exact" w:before="13"/>
              <w:ind w:left="411" w:right="400"/>
              <w:jc w:val="center"/>
              <w:rPr>
                <w:sz w:val="22"/>
              </w:rPr>
            </w:pPr>
            <w:r>
              <w:rPr>
                <w:sz w:val="22"/>
              </w:rPr>
              <w:t>80%</w:t>
            </w:r>
            <w:r>
              <w:rPr>
                <w:spacing w:val="1"/>
                <w:sz w:val="22"/>
              </w:rPr>
              <w:t> </w:t>
            </w:r>
            <w:r>
              <w:rPr>
                <w:spacing w:val="-2"/>
                <w:sz w:val="22"/>
              </w:rPr>
              <w:t>above</w:t>
            </w:r>
          </w:p>
        </w:tc>
      </w:tr>
      <w:tr>
        <w:trPr>
          <w:trHeight w:val="278" w:hRule="atLeast"/>
        </w:trPr>
        <w:tc>
          <w:tcPr>
            <w:tcW w:w="2592" w:type="dxa"/>
          </w:tcPr>
          <w:p>
            <w:pPr>
              <w:pStyle w:val="TableParagraph"/>
              <w:spacing w:line="245" w:lineRule="exact" w:before="13"/>
              <w:ind w:left="258" w:right="250"/>
              <w:jc w:val="center"/>
              <w:rPr>
                <w:sz w:val="22"/>
              </w:rPr>
            </w:pPr>
            <w:r>
              <w:rPr>
                <w:sz w:val="22"/>
              </w:rPr>
              <w:t>Above</w:t>
            </w:r>
            <w:r>
              <w:rPr>
                <w:spacing w:val="-5"/>
                <w:sz w:val="22"/>
              </w:rPr>
              <w:t> </w:t>
            </w:r>
            <w:r>
              <w:rPr>
                <w:spacing w:val="-2"/>
                <w:sz w:val="22"/>
              </w:rPr>
              <w:t>1000%</w:t>
            </w:r>
          </w:p>
        </w:tc>
        <w:tc>
          <w:tcPr>
            <w:tcW w:w="5465" w:type="dxa"/>
          </w:tcPr>
          <w:p>
            <w:pPr>
              <w:pStyle w:val="TableParagraph"/>
              <w:spacing w:line="245" w:lineRule="exact" w:before="13"/>
              <w:ind w:left="411" w:right="400"/>
              <w:jc w:val="center"/>
              <w:rPr>
                <w:sz w:val="22"/>
              </w:rPr>
            </w:pPr>
            <w:r>
              <w:rPr>
                <w:sz w:val="22"/>
              </w:rPr>
              <w:t>85%</w:t>
            </w:r>
            <w:r>
              <w:rPr>
                <w:spacing w:val="1"/>
                <w:sz w:val="22"/>
              </w:rPr>
              <w:t> </w:t>
            </w:r>
            <w:r>
              <w:rPr>
                <w:spacing w:val="-2"/>
                <w:sz w:val="22"/>
              </w:rPr>
              <w:t>above</w:t>
            </w:r>
          </w:p>
        </w:tc>
      </w:tr>
    </w:tbl>
    <w:p>
      <w:pPr>
        <w:pStyle w:val="BodyText"/>
        <w:rPr>
          <w:sz w:val="20"/>
        </w:rPr>
      </w:pPr>
    </w:p>
    <w:p>
      <w:pPr>
        <w:pStyle w:val="BodyText"/>
        <w:spacing w:before="8"/>
        <w:rPr>
          <w:sz w:val="29"/>
        </w:rPr>
      </w:pPr>
    </w:p>
    <w:tbl>
      <w:tblPr>
        <w:tblW w:w="0" w:type="auto"/>
        <w:jc w:val="left"/>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82"/>
        <w:gridCol w:w="2637"/>
        <w:gridCol w:w="1756"/>
        <w:gridCol w:w="1773"/>
      </w:tblGrid>
      <w:tr>
        <w:trPr>
          <w:trHeight w:val="945" w:hRule="atLeast"/>
        </w:trPr>
        <w:tc>
          <w:tcPr>
            <w:tcW w:w="3182" w:type="dxa"/>
            <w:shd w:val="clear" w:color="auto" w:fill="D9E1F3"/>
          </w:tcPr>
          <w:p>
            <w:pPr>
              <w:pStyle w:val="TableParagraph"/>
              <w:spacing w:before="92"/>
              <w:ind w:left="122" w:right="112"/>
              <w:jc w:val="center"/>
              <w:rPr>
                <w:b/>
                <w:sz w:val="22"/>
              </w:rPr>
            </w:pPr>
            <w:r>
              <w:rPr>
                <w:b/>
                <w:sz w:val="22"/>
              </w:rPr>
              <w:t>Small Business Employee Premium</w:t>
            </w:r>
            <w:r>
              <w:rPr>
                <w:b/>
                <w:spacing w:val="-14"/>
                <w:sz w:val="22"/>
              </w:rPr>
              <w:t> </w:t>
            </w:r>
            <w:r>
              <w:rPr>
                <w:b/>
                <w:sz w:val="22"/>
              </w:rPr>
              <w:t>Assistance*</w:t>
            </w:r>
            <w:r>
              <w:rPr>
                <w:b/>
                <w:spacing w:val="-14"/>
                <w:sz w:val="22"/>
              </w:rPr>
              <w:t> </w:t>
            </w:r>
            <w:r>
              <w:rPr>
                <w:b/>
                <w:sz w:val="22"/>
              </w:rPr>
              <w:t>(effective January 1, 2014)</w:t>
            </w:r>
          </w:p>
        </w:tc>
        <w:tc>
          <w:tcPr>
            <w:tcW w:w="2637" w:type="dxa"/>
            <w:shd w:val="clear" w:color="auto" w:fill="D9E1F3"/>
          </w:tcPr>
          <w:p>
            <w:pPr>
              <w:pStyle w:val="TableParagraph"/>
              <w:spacing w:before="3"/>
              <w:rPr>
                <w:sz w:val="30"/>
              </w:rPr>
            </w:pPr>
          </w:p>
          <w:p>
            <w:pPr>
              <w:pStyle w:val="TableParagraph"/>
              <w:spacing w:before="1"/>
              <w:ind w:left="335" w:right="321"/>
              <w:jc w:val="center"/>
              <w:rPr>
                <w:b/>
                <w:sz w:val="22"/>
              </w:rPr>
            </w:pPr>
            <w:r>
              <w:rPr>
                <w:b/>
                <w:sz w:val="22"/>
              </w:rPr>
              <w:t>%</w:t>
            </w:r>
            <w:r>
              <w:rPr>
                <w:b/>
                <w:spacing w:val="-3"/>
                <w:sz w:val="22"/>
              </w:rPr>
              <w:t> </w:t>
            </w:r>
            <w:r>
              <w:rPr>
                <w:b/>
                <w:sz w:val="22"/>
              </w:rPr>
              <w:t>of</w:t>
            </w:r>
            <w:r>
              <w:rPr>
                <w:b/>
                <w:spacing w:val="1"/>
                <w:sz w:val="22"/>
              </w:rPr>
              <w:t> </w:t>
            </w:r>
            <w:r>
              <w:rPr>
                <w:b/>
                <w:spacing w:val="-5"/>
                <w:sz w:val="22"/>
              </w:rPr>
              <w:t>FPL</w:t>
            </w:r>
          </w:p>
        </w:tc>
        <w:tc>
          <w:tcPr>
            <w:tcW w:w="1756" w:type="dxa"/>
            <w:shd w:val="clear" w:color="auto" w:fill="D9E1F3"/>
          </w:tcPr>
          <w:p>
            <w:pPr>
              <w:pStyle w:val="TableParagraph"/>
              <w:spacing w:before="92"/>
              <w:ind w:left="92" w:right="80" w:firstLine="1"/>
              <w:jc w:val="center"/>
              <w:rPr>
                <w:b/>
                <w:sz w:val="22"/>
              </w:rPr>
            </w:pPr>
            <w:r>
              <w:rPr>
                <w:b/>
                <w:spacing w:val="-2"/>
                <w:sz w:val="22"/>
              </w:rPr>
              <w:t>Premium </w:t>
            </w:r>
            <w:r>
              <w:rPr>
                <w:b/>
                <w:sz w:val="22"/>
              </w:rPr>
              <w:t>Requirement</w:t>
            </w:r>
            <w:r>
              <w:rPr>
                <w:b/>
                <w:spacing w:val="-14"/>
                <w:sz w:val="22"/>
              </w:rPr>
              <w:t> </w:t>
            </w:r>
            <w:r>
              <w:rPr>
                <w:b/>
                <w:sz w:val="22"/>
              </w:rPr>
              <w:t>for </w:t>
            </w:r>
            <w:r>
              <w:rPr>
                <w:b/>
                <w:spacing w:val="-2"/>
                <w:sz w:val="22"/>
              </w:rPr>
              <w:t>Individual</w:t>
            </w:r>
          </w:p>
        </w:tc>
        <w:tc>
          <w:tcPr>
            <w:tcW w:w="1773" w:type="dxa"/>
            <w:shd w:val="clear" w:color="auto" w:fill="D9E1F3"/>
          </w:tcPr>
          <w:p>
            <w:pPr>
              <w:pStyle w:val="TableParagraph"/>
              <w:spacing w:before="92"/>
              <w:ind w:left="102" w:right="86" w:firstLine="1"/>
              <w:jc w:val="center"/>
              <w:rPr>
                <w:b/>
                <w:sz w:val="22"/>
              </w:rPr>
            </w:pPr>
            <w:r>
              <w:rPr>
                <w:b/>
                <w:spacing w:val="-2"/>
                <w:sz w:val="22"/>
              </w:rPr>
              <w:t>Premium </w:t>
            </w:r>
            <w:r>
              <w:rPr>
                <w:b/>
                <w:sz w:val="22"/>
              </w:rPr>
              <w:t>Requirement</w:t>
            </w:r>
            <w:r>
              <w:rPr>
                <w:b/>
                <w:spacing w:val="-14"/>
                <w:sz w:val="22"/>
              </w:rPr>
              <w:t> </w:t>
            </w:r>
            <w:r>
              <w:rPr>
                <w:b/>
                <w:sz w:val="22"/>
              </w:rPr>
              <w:t>for </w:t>
            </w:r>
            <w:r>
              <w:rPr>
                <w:b/>
                <w:spacing w:val="-2"/>
                <w:sz w:val="22"/>
              </w:rPr>
              <w:t>Couples</w:t>
            </w:r>
          </w:p>
        </w:tc>
      </w:tr>
      <w:tr>
        <w:trPr>
          <w:trHeight w:val="522" w:hRule="atLeast"/>
        </w:trPr>
        <w:tc>
          <w:tcPr>
            <w:tcW w:w="3182" w:type="dxa"/>
            <w:vMerge w:val="restart"/>
          </w:tcPr>
          <w:p>
            <w:pPr>
              <w:pStyle w:val="TableParagraph"/>
              <w:spacing w:before="73"/>
              <w:ind w:left="150" w:right="142" w:firstLine="1"/>
              <w:jc w:val="center"/>
              <w:rPr>
                <w:sz w:val="22"/>
              </w:rPr>
            </w:pPr>
            <w:r>
              <w:rPr>
                <w:b/>
                <w:sz w:val="22"/>
              </w:rPr>
              <w:t>Small Business Employee Premium Assistance* </w:t>
            </w:r>
            <w:r>
              <w:rPr>
                <w:sz w:val="22"/>
              </w:rPr>
              <w:t>provides premium assistance to certain employees</w:t>
            </w:r>
            <w:r>
              <w:rPr>
                <w:spacing w:val="-7"/>
                <w:sz w:val="22"/>
              </w:rPr>
              <w:t> </w:t>
            </w:r>
            <w:r>
              <w:rPr>
                <w:sz w:val="22"/>
              </w:rPr>
              <w:t>who</w:t>
            </w:r>
            <w:r>
              <w:rPr>
                <w:spacing w:val="-7"/>
                <w:sz w:val="22"/>
              </w:rPr>
              <w:t> </w:t>
            </w:r>
            <w:r>
              <w:rPr>
                <w:sz w:val="22"/>
              </w:rPr>
              <w:t>work</w:t>
            </w:r>
            <w:r>
              <w:rPr>
                <w:spacing w:val="-9"/>
                <w:sz w:val="22"/>
              </w:rPr>
              <w:t> </w:t>
            </w:r>
            <w:r>
              <w:rPr>
                <w:sz w:val="22"/>
              </w:rPr>
              <w:t>for</w:t>
            </w:r>
            <w:r>
              <w:rPr>
                <w:spacing w:val="-6"/>
                <w:sz w:val="22"/>
              </w:rPr>
              <w:t> </w:t>
            </w:r>
            <w:r>
              <w:rPr>
                <w:sz w:val="22"/>
              </w:rPr>
              <w:t>a</w:t>
            </w:r>
            <w:r>
              <w:rPr>
                <w:spacing w:val="-11"/>
                <w:sz w:val="22"/>
              </w:rPr>
              <w:t> </w:t>
            </w:r>
            <w:r>
              <w:rPr>
                <w:sz w:val="22"/>
              </w:rPr>
              <w:t>small </w:t>
            </w:r>
            <w:r>
              <w:rPr>
                <w:spacing w:val="-2"/>
                <w:sz w:val="22"/>
              </w:rPr>
              <w:t>employer</w:t>
            </w:r>
          </w:p>
        </w:tc>
        <w:tc>
          <w:tcPr>
            <w:tcW w:w="2637" w:type="dxa"/>
          </w:tcPr>
          <w:p>
            <w:pPr>
              <w:pStyle w:val="TableParagraph"/>
              <w:spacing w:before="132"/>
              <w:ind w:left="334" w:right="325"/>
              <w:jc w:val="center"/>
              <w:rPr>
                <w:sz w:val="22"/>
              </w:rPr>
            </w:pPr>
            <w:r>
              <w:rPr>
                <w:sz w:val="22"/>
              </w:rPr>
              <w:t>Above</w:t>
            </w:r>
            <w:r>
              <w:rPr>
                <w:spacing w:val="-5"/>
                <w:sz w:val="22"/>
              </w:rPr>
              <w:t> </w:t>
            </w:r>
            <w:r>
              <w:rPr>
                <w:sz w:val="22"/>
              </w:rPr>
              <w:t>150%</w:t>
            </w:r>
            <w:r>
              <w:rPr>
                <w:spacing w:val="-1"/>
                <w:sz w:val="22"/>
              </w:rPr>
              <w:t> </w:t>
            </w:r>
            <w:r>
              <w:rPr>
                <w:sz w:val="22"/>
              </w:rPr>
              <w:t>to</w:t>
            </w:r>
            <w:r>
              <w:rPr>
                <w:spacing w:val="-2"/>
                <w:sz w:val="22"/>
              </w:rPr>
              <w:t> </w:t>
            </w:r>
            <w:r>
              <w:rPr>
                <w:spacing w:val="-4"/>
                <w:sz w:val="22"/>
              </w:rPr>
              <w:t>200%</w:t>
            </w:r>
          </w:p>
        </w:tc>
        <w:tc>
          <w:tcPr>
            <w:tcW w:w="1756" w:type="dxa"/>
          </w:tcPr>
          <w:p>
            <w:pPr>
              <w:pStyle w:val="TableParagraph"/>
              <w:spacing w:before="132"/>
              <w:ind w:right="560"/>
              <w:jc w:val="right"/>
              <w:rPr>
                <w:sz w:val="22"/>
              </w:rPr>
            </w:pPr>
            <w:r>
              <w:rPr>
                <w:spacing w:val="-2"/>
                <w:sz w:val="22"/>
              </w:rPr>
              <w:t>$40.00</w:t>
            </w:r>
          </w:p>
        </w:tc>
        <w:tc>
          <w:tcPr>
            <w:tcW w:w="1773" w:type="dxa"/>
          </w:tcPr>
          <w:p>
            <w:pPr>
              <w:pStyle w:val="TableParagraph"/>
              <w:spacing w:before="132"/>
              <w:ind w:right="569"/>
              <w:jc w:val="right"/>
              <w:rPr>
                <w:sz w:val="22"/>
              </w:rPr>
            </w:pPr>
            <w:r>
              <w:rPr>
                <w:spacing w:val="-2"/>
                <w:sz w:val="22"/>
              </w:rPr>
              <w:t>$80.00</w:t>
            </w:r>
          </w:p>
        </w:tc>
      </w:tr>
      <w:tr>
        <w:trPr>
          <w:trHeight w:val="450" w:hRule="atLeast"/>
        </w:trPr>
        <w:tc>
          <w:tcPr>
            <w:tcW w:w="3182" w:type="dxa"/>
            <w:vMerge/>
            <w:tcBorders>
              <w:top w:val="nil"/>
            </w:tcBorders>
          </w:tcPr>
          <w:p>
            <w:pPr>
              <w:rPr>
                <w:sz w:val="2"/>
                <w:szCs w:val="2"/>
              </w:rPr>
            </w:pPr>
          </w:p>
        </w:tc>
        <w:tc>
          <w:tcPr>
            <w:tcW w:w="2637" w:type="dxa"/>
          </w:tcPr>
          <w:p>
            <w:pPr>
              <w:pStyle w:val="TableParagraph"/>
              <w:spacing w:before="97"/>
              <w:ind w:left="335" w:right="325"/>
              <w:jc w:val="center"/>
              <w:rPr>
                <w:sz w:val="22"/>
              </w:rPr>
            </w:pPr>
            <w:r>
              <w:rPr>
                <w:sz w:val="22"/>
              </w:rPr>
              <w:t>Above</w:t>
            </w:r>
            <w:r>
              <w:rPr>
                <w:spacing w:val="-5"/>
                <w:sz w:val="22"/>
              </w:rPr>
              <w:t> </w:t>
            </w:r>
            <w:r>
              <w:rPr>
                <w:sz w:val="22"/>
              </w:rPr>
              <w:t>200%</w:t>
            </w:r>
            <w:r>
              <w:rPr>
                <w:spacing w:val="-1"/>
                <w:sz w:val="22"/>
              </w:rPr>
              <w:t> </w:t>
            </w:r>
            <w:r>
              <w:rPr>
                <w:sz w:val="22"/>
              </w:rPr>
              <w:t>to</w:t>
            </w:r>
            <w:r>
              <w:rPr>
                <w:spacing w:val="-2"/>
                <w:sz w:val="22"/>
              </w:rPr>
              <w:t> </w:t>
            </w:r>
            <w:r>
              <w:rPr>
                <w:spacing w:val="-4"/>
                <w:sz w:val="22"/>
              </w:rPr>
              <w:t>250%</w:t>
            </w:r>
          </w:p>
        </w:tc>
        <w:tc>
          <w:tcPr>
            <w:tcW w:w="1756" w:type="dxa"/>
          </w:tcPr>
          <w:p>
            <w:pPr>
              <w:pStyle w:val="TableParagraph"/>
              <w:spacing w:before="97"/>
              <w:ind w:right="561"/>
              <w:jc w:val="right"/>
              <w:rPr>
                <w:sz w:val="22"/>
              </w:rPr>
            </w:pPr>
            <w:r>
              <w:rPr>
                <w:spacing w:val="-2"/>
                <w:sz w:val="22"/>
              </w:rPr>
              <w:t>$78.00</w:t>
            </w:r>
          </w:p>
        </w:tc>
        <w:tc>
          <w:tcPr>
            <w:tcW w:w="1773" w:type="dxa"/>
          </w:tcPr>
          <w:p>
            <w:pPr>
              <w:pStyle w:val="TableParagraph"/>
              <w:spacing w:before="97"/>
              <w:ind w:right="513"/>
              <w:jc w:val="right"/>
              <w:rPr>
                <w:sz w:val="22"/>
              </w:rPr>
            </w:pPr>
            <w:r>
              <w:rPr>
                <w:spacing w:val="-2"/>
                <w:sz w:val="22"/>
              </w:rPr>
              <w:t>$156.00</w:t>
            </w:r>
          </w:p>
        </w:tc>
      </w:tr>
      <w:tr>
        <w:trPr>
          <w:trHeight w:val="422" w:hRule="atLeast"/>
        </w:trPr>
        <w:tc>
          <w:tcPr>
            <w:tcW w:w="3182" w:type="dxa"/>
            <w:vMerge/>
            <w:tcBorders>
              <w:top w:val="nil"/>
            </w:tcBorders>
          </w:tcPr>
          <w:p>
            <w:pPr>
              <w:rPr>
                <w:sz w:val="2"/>
                <w:szCs w:val="2"/>
              </w:rPr>
            </w:pPr>
          </w:p>
        </w:tc>
        <w:tc>
          <w:tcPr>
            <w:tcW w:w="2637" w:type="dxa"/>
          </w:tcPr>
          <w:p>
            <w:pPr>
              <w:pStyle w:val="TableParagraph"/>
              <w:spacing w:before="82"/>
              <w:ind w:left="335" w:right="325"/>
              <w:jc w:val="center"/>
              <w:rPr>
                <w:sz w:val="22"/>
              </w:rPr>
            </w:pPr>
            <w:r>
              <w:rPr>
                <w:sz w:val="22"/>
              </w:rPr>
              <w:t>Above</w:t>
            </w:r>
            <w:r>
              <w:rPr>
                <w:spacing w:val="-5"/>
                <w:sz w:val="22"/>
              </w:rPr>
              <w:t> </w:t>
            </w:r>
            <w:r>
              <w:rPr>
                <w:sz w:val="22"/>
              </w:rPr>
              <w:t>250%</w:t>
            </w:r>
            <w:r>
              <w:rPr>
                <w:spacing w:val="-1"/>
                <w:sz w:val="22"/>
              </w:rPr>
              <w:t> </w:t>
            </w:r>
            <w:r>
              <w:rPr>
                <w:sz w:val="22"/>
              </w:rPr>
              <w:t>to</w:t>
            </w:r>
            <w:r>
              <w:rPr>
                <w:spacing w:val="-2"/>
                <w:sz w:val="22"/>
              </w:rPr>
              <w:t> </w:t>
            </w:r>
            <w:r>
              <w:rPr>
                <w:spacing w:val="-4"/>
                <w:sz w:val="22"/>
              </w:rPr>
              <w:t>300%</w:t>
            </w:r>
          </w:p>
        </w:tc>
        <w:tc>
          <w:tcPr>
            <w:tcW w:w="1756" w:type="dxa"/>
          </w:tcPr>
          <w:p>
            <w:pPr>
              <w:pStyle w:val="TableParagraph"/>
              <w:spacing w:before="82"/>
              <w:ind w:right="504"/>
              <w:jc w:val="right"/>
              <w:rPr>
                <w:sz w:val="22"/>
              </w:rPr>
            </w:pPr>
            <w:r>
              <w:rPr>
                <w:spacing w:val="-2"/>
                <w:sz w:val="22"/>
              </w:rPr>
              <w:t>$118.00</w:t>
            </w:r>
          </w:p>
        </w:tc>
        <w:tc>
          <w:tcPr>
            <w:tcW w:w="1773" w:type="dxa"/>
          </w:tcPr>
          <w:p>
            <w:pPr>
              <w:pStyle w:val="TableParagraph"/>
              <w:spacing w:before="82"/>
              <w:ind w:right="513"/>
              <w:jc w:val="right"/>
              <w:rPr>
                <w:sz w:val="22"/>
              </w:rPr>
            </w:pPr>
            <w:r>
              <w:rPr>
                <w:spacing w:val="-2"/>
                <w:sz w:val="22"/>
              </w:rPr>
              <w:t>$236.00</w:t>
            </w:r>
          </w:p>
        </w:tc>
      </w:tr>
    </w:tbl>
    <w:p>
      <w:pPr>
        <w:spacing w:before="0"/>
        <w:ind w:left="1219" w:right="1126" w:firstLine="0"/>
        <w:jc w:val="left"/>
        <w:rPr>
          <w:sz w:val="22"/>
        </w:rPr>
      </w:pPr>
      <w:r>
        <w:rPr>
          <w:sz w:val="22"/>
        </w:rPr>
        <w:t>*Premium requirements for individuals participating in the Small Business Employee Premium Assistance program are tied to the state affordability schedule, as reflected in the minimum premium requirement</w:t>
      </w:r>
      <w:r>
        <w:rPr>
          <w:spacing w:val="-4"/>
          <w:sz w:val="22"/>
        </w:rPr>
        <w:t> </w:t>
      </w:r>
      <w:r>
        <w:rPr>
          <w:sz w:val="22"/>
        </w:rPr>
        <w:t>for</w:t>
      </w:r>
      <w:r>
        <w:rPr>
          <w:spacing w:val="-4"/>
          <w:sz w:val="22"/>
        </w:rPr>
        <w:t> </w:t>
      </w:r>
      <w:r>
        <w:rPr>
          <w:sz w:val="22"/>
        </w:rPr>
        <w:t>individuals</w:t>
      </w:r>
      <w:r>
        <w:rPr>
          <w:spacing w:val="-4"/>
          <w:sz w:val="22"/>
        </w:rPr>
        <w:t> </w:t>
      </w:r>
      <w:r>
        <w:rPr>
          <w:sz w:val="22"/>
        </w:rPr>
        <w:t>enrolled</w:t>
      </w:r>
      <w:r>
        <w:rPr>
          <w:spacing w:val="-2"/>
          <w:sz w:val="22"/>
        </w:rPr>
        <w:t> </w:t>
      </w:r>
      <w:r>
        <w:rPr>
          <w:sz w:val="22"/>
        </w:rPr>
        <w:t>in</w:t>
      </w:r>
      <w:r>
        <w:rPr>
          <w:spacing w:val="-5"/>
          <w:sz w:val="22"/>
        </w:rPr>
        <w:t> </w:t>
      </w:r>
      <w:r>
        <w:rPr>
          <w:sz w:val="22"/>
        </w:rPr>
        <w:t>QHP</w:t>
      </w:r>
      <w:r>
        <w:rPr>
          <w:spacing w:val="-3"/>
          <w:sz w:val="22"/>
        </w:rPr>
        <w:t> </w:t>
      </w:r>
      <w:r>
        <w:rPr>
          <w:sz w:val="22"/>
        </w:rPr>
        <w:t>Wrap</w:t>
      </w:r>
      <w:r>
        <w:rPr>
          <w:spacing w:val="-2"/>
          <w:sz w:val="22"/>
        </w:rPr>
        <w:t> </w:t>
      </w:r>
      <w:r>
        <w:rPr>
          <w:sz w:val="22"/>
        </w:rPr>
        <w:t>coverage</w:t>
      </w:r>
      <w:r>
        <w:rPr>
          <w:spacing w:val="-2"/>
          <w:sz w:val="22"/>
        </w:rPr>
        <w:t> </w:t>
      </w:r>
      <w:r>
        <w:rPr>
          <w:sz w:val="22"/>
        </w:rPr>
        <w:t>through</w:t>
      </w:r>
      <w:r>
        <w:rPr>
          <w:spacing w:val="-2"/>
          <w:sz w:val="22"/>
        </w:rPr>
        <w:t> </w:t>
      </w:r>
      <w:r>
        <w:rPr>
          <w:sz w:val="22"/>
        </w:rPr>
        <w:t>the</w:t>
      </w:r>
      <w:r>
        <w:rPr>
          <w:spacing w:val="-2"/>
          <w:sz w:val="22"/>
        </w:rPr>
        <w:t> </w:t>
      </w:r>
      <w:r>
        <w:rPr>
          <w:sz w:val="22"/>
        </w:rPr>
        <w:t>Health</w:t>
      </w:r>
      <w:r>
        <w:rPr>
          <w:spacing w:val="-2"/>
          <w:sz w:val="22"/>
        </w:rPr>
        <w:t> </w:t>
      </w:r>
      <w:r>
        <w:rPr>
          <w:sz w:val="22"/>
        </w:rPr>
        <w:t>Connector.</w:t>
      </w:r>
      <w:r>
        <w:rPr>
          <w:spacing w:val="40"/>
          <w:sz w:val="22"/>
        </w:rPr>
        <w:t> </w:t>
      </w:r>
      <w:r>
        <w:rPr>
          <w:sz w:val="22"/>
        </w:rPr>
        <w:t>The</w:t>
      </w:r>
      <w:r>
        <w:rPr>
          <w:spacing w:val="-2"/>
          <w:sz w:val="22"/>
        </w:rPr>
        <w:t> </w:t>
      </w:r>
      <w:r>
        <w:rPr>
          <w:sz w:val="22"/>
        </w:rPr>
        <w:t>premium amounts listed in this table reflect the 2013 state affordability schedule and are subject to change without any amendment to the demonstration.</w:t>
      </w:r>
    </w:p>
    <w:p>
      <w:pPr>
        <w:spacing w:after="0"/>
        <w:jc w:val="left"/>
        <w:rPr>
          <w:sz w:val="22"/>
        </w:rPr>
        <w:sectPr>
          <w:pgSz w:w="12240" w:h="15840"/>
          <w:pgMar w:header="0" w:footer="971" w:top="640" w:bottom="1160" w:left="220" w:right="340"/>
        </w:sectPr>
      </w:pPr>
    </w:p>
    <w:p>
      <w:pPr>
        <w:spacing w:before="78"/>
        <w:ind w:left="1220" w:right="0" w:firstLine="0"/>
        <w:jc w:val="left"/>
        <w:rPr>
          <w:sz w:val="22"/>
        </w:rPr>
      </w:pPr>
      <w:bookmarkStart w:name="Attachment D SUD HIT Plan (reserved)" w:id="1188"/>
      <w:bookmarkEnd w:id="1188"/>
      <w:r>
        <w:rPr/>
      </w:r>
      <w:r>
        <w:rPr>
          <w:sz w:val="22"/>
        </w:rPr>
        <w:t>Attachment</w:t>
      </w:r>
      <w:r>
        <w:rPr>
          <w:spacing w:val="-5"/>
          <w:sz w:val="22"/>
        </w:rPr>
        <w:t> </w:t>
      </w:r>
      <w:r>
        <w:rPr>
          <w:spacing w:val="-12"/>
          <w:sz w:val="22"/>
        </w:rPr>
        <w:t>D</w:t>
      </w:r>
    </w:p>
    <w:p>
      <w:pPr>
        <w:pStyle w:val="BodyText"/>
        <w:rPr>
          <w:sz w:val="20"/>
        </w:rPr>
      </w:pPr>
    </w:p>
    <w:p>
      <w:pPr>
        <w:pStyle w:val="BodyText"/>
        <w:spacing w:before="8"/>
        <w:rPr>
          <w:sz w:val="20"/>
        </w:rPr>
      </w:pPr>
    </w:p>
    <w:p>
      <w:pPr>
        <w:pStyle w:val="Heading4"/>
        <w:ind w:left="1230" w:right="1112"/>
        <w:jc w:val="center"/>
      </w:pPr>
      <w:bookmarkStart w:name="ATTACHMENT D" w:id="1189"/>
      <w:bookmarkEnd w:id="1189"/>
      <w:r>
        <w:rPr>
          <w:b w:val="0"/>
        </w:rPr>
      </w:r>
      <w:r>
        <w:rPr/>
        <w:t>ATTACHMENT</w:t>
      </w:r>
      <w:r>
        <w:rPr>
          <w:spacing w:val="-5"/>
        </w:rPr>
        <w:t> </w:t>
      </w:r>
      <w:r>
        <w:rPr>
          <w:spacing w:val="-10"/>
        </w:rPr>
        <w:t>D</w:t>
      </w:r>
    </w:p>
    <w:p>
      <w:pPr>
        <w:pStyle w:val="Heading5"/>
        <w:ind w:left="1232" w:right="1112"/>
        <w:jc w:val="center"/>
      </w:pPr>
      <w:bookmarkStart w:name="SUD HIT Plan (Reserved)" w:id="1190"/>
      <w:bookmarkEnd w:id="1190"/>
      <w:r>
        <w:rPr>
          <w:b w:val="0"/>
        </w:rPr>
      </w:r>
      <w:r>
        <w:rPr/>
        <w:t>SUD</w:t>
      </w:r>
      <w:r>
        <w:rPr>
          <w:spacing w:val="-3"/>
        </w:rPr>
        <w:t> </w:t>
      </w:r>
      <w:r>
        <w:rPr/>
        <w:t>HIT</w:t>
      </w:r>
      <w:r>
        <w:rPr>
          <w:spacing w:val="-1"/>
        </w:rPr>
        <w:t> </w:t>
      </w:r>
      <w:r>
        <w:rPr/>
        <w:t>Plan</w:t>
      </w:r>
      <w:r>
        <w:rPr>
          <w:spacing w:val="-1"/>
        </w:rPr>
        <w:t> </w:t>
      </w:r>
      <w:r>
        <w:rPr>
          <w:spacing w:val="-2"/>
        </w:rPr>
        <w:t>(Reserved)</w:t>
      </w:r>
    </w:p>
    <w:p>
      <w:pPr>
        <w:spacing w:after="0"/>
        <w:jc w:val="center"/>
        <w:sectPr>
          <w:footerReference w:type="default" r:id="rId339"/>
          <w:pgSz w:w="12240" w:h="15840"/>
          <w:pgMar w:footer="1247" w:header="0" w:top="640" w:bottom="1440" w:left="220" w:right="340"/>
        </w:sectPr>
      </w:pPr>
    </w:p>
    <w:p>
      <w:pPr>
        <w:spacing w:before="78"/>
        <w:ind w:left="1220" w:right="0" w:firstLine="0"/>
        <w:jc w:val="left"/>
        <w:rPr>
          <w:sz w:val="22"/>
        </w:rPr>
      </w:pPr>
      <w:bookmarkStart w:name="Attachment E SNCP Payments (reserved)" w:id="1191"/>
      <w:bookmarkEnd w:id="1191"/>
      <w:r>
        <w:rPr/>
      </w:r>
      <w:r>
        <w:rPr>
          <w:sz w:val="22"/>
        </w:rPr>
        <w:t>Attachment</w:t>
      </w:r>
      <w:r>
        <w:rPr>
          <w:spacing w:val="-5"/>
          <w:sz w:val="22"/>
        </w:rPr>
        <w:t> </w:t>
      </w:r>
      <w:r>
        <w:rPr>
          <w:spacing w:val="-10"/>
          <w:sz w:val="22"/>
        </w:rPr>
        <w:t>E</w:t>
      </w:r>
    </w:p>
    <w:p>
      <w:pPr>
        <w:pStyle w:val="BodyText"/>
        <w:rPr>
          <w:sz w:val="20"/>
        </w:rPr>
      </w:pPr>
    </w:p>
    <w:p>
      <w:pPr>
        <w:pStyle w:val="BodyText"/>
        <w:spacing w:before="8"/>
        <w:rPr>
          <w:sz w:val="20"/>
        </w:rPr>
      </w:pPr>
    </w:p>
    <w:p>
      <w:pPr>
        <w:pStyle w:val="Heading4"/>
        <w:ind w:left="1231" w:right="1112"/>
        <w:jc w:val="center"/>
      </w:pPr>
      <w:bookmarkStart w:name="ATTACHMENT E" w:id="1192"/>
      <w:bookmarkEnd w:id="1192"/>
      <w:r>
        <w:rPr>
          <w:b w:val="0"/>
        </w:rPr>
      </w:r>
      <w:r>
        <w:rPr/>
        <w:t>ATTACHMENT</w:t>
      </w:r>
      <w:r>
        <w:rPr>
          <w:spacing w:val="-5"/>
        </w:rPr>
        <w:t> </w:t>
      </w:r>
      <w:r>
        <w:rPr>
          <w:spacing w:val="-10"/>
        </w:rPr>
        <w:t>E</w:t>
      </w:r>
    </w:p>
    <w:p>
      <w:pPr>
        <w:pStyle w:val="Heading5"/>
        <w:ind w:left="1230" w:right="1112"/>
        <w:jc w:val="center"/>
      </w:pPr>
      <w:bookmarkStart w:name="Safety Net Care Pool Payments (Reserved)" w:id="1193"/>
      <w:bookmarkEnd w:id="1193"/>
      <w:r>
        <w:rPr>
          <w:b w:val="0"/>
        </w:rPr>
      </w:r>
      <w:r>
        <w:rPr/>
        <w:t>Safety</w:t>
      </w:r>
      <w:r>
        <w:rPr>
          <w:spacing w:val="-2"/>
        </w:rPr>
        <w:t> </w:t>
      </w:r>
      <w:r>
        <w:rPr/>
        <w:t>Net</w:t>
      </w:r>
      <w:r>
        <w:rPr>
          <w:spacing w:val="-3"/>
        </w:rPr>
        <w:t> </w:t>
      </w:r>
      <w:r>
        <w:rPr/>
        <w:t>Care</w:t>
      </w:r>
      <w:r>
        <w:rPr>
          <w:spacing w:val="-1"/>
        </w:rPr>
        <w:t> </w:t>
      </w:r>
      <w:r>
        <w:rPr/>
        <w:t>Pool</w:t>
      </w:r>
      <w:r>
        <w:rPr>
          <w:spacing w:val="-1"/>
        </w:rPr>
        <w:t> </w:t>
      </w:r>
      <w:r>
        <w:rPr/>
        <w:t>Payments</w:t>
      </w:r>
      <w:r>
        <w:rPr>
          <w:spacing w:val="-1"/>
        </w:rPr>
        <w:t> </w:t>
      </w:r>
      <w:r>
        <w:rPr>
          <w:spacing w:val="-2"/>
        </w:rPr>
        <w:t>(Reserved)</w:t>
      </w:r>
    </w:p>
    <w:p>
      <w:pPr>
        <w:spacing w:after="0"/>
        <w:jc w:val="center"/>
        <w:sectPr>
          <w:pgSz w:w="12240" w:h="15840"/>
          <w:pgMar w:header="0" w:footer="1247" w:top="640" w:bottom="1440" w:left="220" w:right="340"/>
        </w:sectPr>
      </w:pPr>
    </w:p>
    <w:p>
      <w:pPr>
        <w:spacing w:before="78"/>
        <w:ind w:left="1220" w:right="0" w:firstLine="0"/>
        <w:jc w:val="left"/>
        <w:rPr>
          <w:sz w:val="22"/>
        </w:rPr>
      </w:pPr>
      <w:bookmarkStart w:name="Attachment F SMI Implementation Plan (re" w:id="1194"/>
      <w:bookmarkEnd w:id="1194"/>
      <w:r>
        <w:rPr/>
      </w:r>
      <w:r>
        <w:rPr>
          <w:sz w:val="22"/>
        </w:rPr>
        <w:t>Attachment</w:t>
      </w:r>
      <w:r>
        <w:rPr>
          <w:spacing w:val="-5"/>
          <w:sz w:val="22"/>
        </w:rPr>
        <w:t> </w:t>
      </w:r>
      <w:r>
        <w:rPr>
          <w:spacing w:val="-10"/>
          <w:sz w:val="22"/>
        </w:rPr>
        <w:t>F</w:t>
      </w:r>
    </w:p>
    <w:p>
      <w:pPr>
        <w:pStyle w:val="BodyText"/>
        <w:rPr>
          <w:sz w:val="20"/>
        </w:rPr>
      </w:pPr>
    </w:p>
    <w:p>
      <w:pPr>
        <w:pStyle w:val="BodyText"/>
        <w:spacing w:before="8"/>
        <w:rPr>
          <w:sz w:val="20"/>
        </w:rPr>
      </w:pPr>
    </w:p>
    <w:p>
      <w:pPr>
        <w:pStyle w:val="Heading4"/>
        <w:ind w:left="1232" w:right="1112"/>
        <w:jc w:val="center"/>
      </w:pPr>
      <w:bookmarkStart w:name="ATTACHMENT F" w:id="1195"/>
      <w:bookmarkEnd w:id="1195"/>
      <w:r>
        <w:rPr>
          <w:b w:val="0"/>
        </w:rPr>
      </w:r>
      <w:r>
        <w:rPr/>
        <w:t>ATTACHMENT</w:t>
      </w:r>
      <w:r>
        <w:rPr>
          <w:spacing w:val="-5"/>
        </w:rPr>
        <w:t> </w:t>
      </w:r>
      <w:r>
        <w:rPr>
          <w:spacing w:val="-10"/>
        </w:rPr>
        <w:t>F</w:t>
      </w:r>
    </w:p>
    <w:p>
      <w:pPr>
        <w:pStyle w:val="Heading5"/>
        <w:ind w:left="1227" w:right="1112"/>
        <w:jc w:val="center"/>
      </w:pPr>
      <w:bookmarkStart w:name="SMI/SED Implementation Plan (Reserved)" w:id="1196"/>
      <w:bookmarkEnd w:id="1196"/>
      <w:r>
        <w:rPr>
          <w:b w:val="0"/>
        </w:rPr>
      </w:r>
      <w:r>
        <w:rPr/>
        <w:t>SMI/SED</w:t>
      </w:r>
      <w:r>
        <w:rPr>
          <w:spacing w:val="-5"/>
        </w:rPr>
        <w:t> </w:t>
      </w:r>
      <w:r>
        <w:rPr/>
        <w:t>Implementation</w:t>
      </w:r>
      <w:r>
        <w:rPr>
          <w:spacing w:val="-3"/>
        </w:rPr>
        <w:t> </w:t>
      </w:r>
      <w:r>
        <w:rPr/>
        <w:t>Plan</w:t>
      </w:r>
      <w:r>
        <w:rPr>
          <w:spacing w:val="-3"/>
        </w:rPr>
        <w:t> </w:t>
      </w:r>
      <w:r>
        <w:rPr>
          <w:spacing w:val="-2"/>
        </w:rPr>
        <w:t>(Reserved)</w:t>
      </w:r>
    </w:p>
    <w:p>
      <w:pPr>
        <w:spacing w:after="0"/>
        <w:jc w:val="center"/>
        <w:sectPr>
          <w:pgSz w:w="12240" w:h="15840"/>
          <w:pgMar w:header="0" w:footer="1247" w:top="640" w:bottom="1440" w:left="220" w:right="340"/>
        </w:sectPr>
      </w:pPr>
    </w:p>
    <w:p>
      <w:pPr>
        <w:spacing w:before="78"/>
        <w:ind w:left="1220" w:right="0" w:firstLine="0"/>
        <w:jc w:val="left"/>
        <w:rPr>
          <w:sz w:val="22"/>
        </w:rPr>
      </w:pPr>
      <w:bookmarkStart w:name="Attachment G SUD Monitoring Protocol (re" w:id="1197"/>
      <w:bookmarkEnd w:id="1197"/>
      <w:r>
        <w:rPr/>
      </w:r>
      <w:r>
        <w:rPr>
          <w:sz w:val="22"/>
        </w:rPr>
        <w:t>Attachment</w:t>
      </w:r>
      <w:r>
        <w:rPr>
          <w:spacing w:val="-5"/>
          <w:sz w:val="22"/>
        </w:rPr>
        <w:t> </w:t>
      </w:r>
      <w:r>
        <w:rPr>
          <w:spacing w:val="-12"/>
          <w:sz w:val="22"/>
        </w:rPr>
        <w:t>G</w:t>
      </w:r>
    </w:p>
    <w:p>
      <w:pPr>
        <w:pStyle w:val="BodyText"/>
        <w:rPr>
          <w:sz w:val="20"/>
        </w:rPr>
      </w:pPr>
    </w:p>
    <w:p>
      <w:pPr>
        <w:pStyle w:val="BodyText"/>
        <w:spacing w:before="8"/>
        <w:rPr>
          <w:sz w:val="20"/>
        </w:rPr>
      </w:pPr>
    </w:p>
    <w:p>
      <w:pPr>
        <w:pStyle w:val="Heading4"/>
        <w:ind w:left="1229" w:right="1112"/>
        <w:jc w:val="center"/>
      </w:pPr>
      <w:bookmarkStart w:name="ATTACHMENT G" w:id="1198"/>
      <w:bookmarkEnd w:id="1198"/>
      <w:r>
        <w:rPr>
          <w:b w:val="0"/>
        </w:rPr>
      </w:r>
      <w:r>
        <w:rPr/>
        <w:t>ATTACHMENT</w:t>
      </w:r>
      <w:r>
        <w:rPr>
          <w:spacing w:val="-5"/>
        </w:rPr>
        <w:t> </w:t>
      </w:r>
      <w:r>
        <w:rPr>
          <w:spacing w:val="-10"/>
        </w:rPr>
        <w:t>G</w:t>
      </w:r>
    </w:p>
    <w:p>
      <w:pPr>
        <w:pStyle w:val="Heading5"/>
        <w:ind w:left="1230" w:right="1112"/>
        <w:jc w:val="center"/>
      </w:pPr>
      <w:bookmarkStart w:name="SUD Monitoring Protocol (Reserved)" w:id="1199"/>
      <w:bookmarkEnd w:id="1199"/>
      <w:r>
        <w:rPr>
          <w:b w:val="0"/>
        </w:rPr>
      </w:r>
      <w:r>
        <w:rPr/>
        <w:t>SUD</w:t>
      </w:r>
      <w:r>
        <w:rPr>
          <w:spacing w:val="-4"/>
        </w:rPr>
        <w:t> </w:t>
      </w:r>
      <w:r>
        <w:rPr/>
        <w:t>Monitoring</w:t>
      </w:r>
      <w:r>
        <w:rPr>
          <w:spacing w:val="-2"/>
        </w:rPr>
        <w:t> </w:t>
      </w:r>
      <w:r>
        <w:rPr/>
        <w:t>Protocol</w:t>
      </w:r>
      <w:r>
        <w:rPr>
          <w:spacing w:val="-2"/>
        </w:rPr>
        <w:t> (Reserved)</w:t>
      </w:r>
    </w:p>
    <w:p>
      <w:pPr>
        <w:spacing w:after="0"/>
        <w:jc w:val="center"/>
        <w:sectPr>
          <w:pgSz w:w="12240" w:h="15840"/>
          <w:pgMar w:header="0" w:footer="1247" w:top="640" w:bottom="1440" w:left="220" w:right="340"/>
        </w:sectPr>
      </w:pPr>
    </w:p>
    <w:p>
      <w:pPr>
        <w:spacing w:before="78"/>
        <w:ind w:left="1220" w:right="0" w:firstLine="0"/>
        <w:jc w:val="left"/>
        <w:rPr>
          <w:sz w:val="22"/>
        </w:rPr>
      </w:pPr>
      <w:bookmarkStart w:name="Attachment H SNCP UC Cost Limit Protocol" w:id="1200"/>
      <w:bookmarkEnd w:id="1200"/>
      <w:r>
        <w:rPr/>
      </w:r>
      <w:r>
        <w:rPr>
          <w:sz w:val="22"/>
        </w:rPr>
        <w:t>Attachment</w:t>
      </w:r>
      <w:r>
        <w:rPr>
          <w:spacing w:val="-5"/>
          <w:sz w:val="22"/>
        </w:rPr>
        <w:t> </w:t>
      </w:r>
      <w:r>
        <w:rPr>
          <w:spacing w:val="-12"/>
          <w:sz w:val="22"/>
        </w:rPr>
        <w:t>H</w:t>
      </w:r>
    </w:p>
    <w:p>
      <w:pPr>
        <w:pStyle w:val="BodyText"/>
        <w:rPr>
          <w:sz w:val="20"/>
        </w:rPr>
      </w:pPr>
    </w:p>
    <w:p>
      <w:pPr>
        <w:pStyle w:val="BodyText"/>
        <w:spacing w:before="8"/>
        <w:rPr>
          <w:sz w:val="20"/>
        </w:rPr>
      </w:pPr>
    </w:p>
    <w:p>
      <w:pPr>
        <w:pStyle w:val="Heading4"/>
        <w:ind w:left="1229" w:right="1112"/>
        <w:jc w:val="center"/>
      </w:pPr>
      <w:bookmarkStart w:name="ATTACHMENT H" w:id="1201"/>
      <w:bookmarkEnd w:id="1201"/>
      <w:r>
        <w:rPr>
          <w:b w:val="0"/>
        </w:rPr>
      </w:r>
      <w:r>
        <w:rPr/>
        <w:t>ATTACHMENT</w:t>
      </w:r>
      <w:r>
        <w:rPr>
          <w:spacing w:val="-5"/>
        </w:rPr>
        <w:t> </w:t>
      </w:r>
      <w:r>
        <w:rPr>
          <w:spacing w:val="-10"/>
        </w:rPr>
        <w:t>H</w:t>
      </w:r>
    </w:p>
    <w:p>
      <w:pPr>
        <w:pStyle w:val="Heading5"/>
        <w:ind w:left="1230" w:right="1112"/>
        <w:jc w:val="center"/>
      </w:pPr>
      <w:bookmarkStart w:name="Safety Net Care Pool Uncompensated Care " w:id="1202"/>
      <w:bookmarkEnd w:id="1202"/>
      <w:r>
        <w:rPr>
          <w:b w:val="0"/>
        </w:rPr>
      </w:r>
      <w:r>
        <w:rPr/>
        <w:t>Safety</w:t>
      </w:r>
      <w:r>
        <w:rPr>
          <w:spacing w:val="-6"/>
        </w:rPr>
        <w:t> </w:t>
      </w:r>
      <w:r>
        <w:rPr/>
        <w:t>Net</w:t>
      </w:r>
      <w:r>
        <w:rPr>
          <w:spacing w:val="-4"/>
        </w:rPr>
        <w:t> </w:t>
      </w:r>
      <w:r>
        <w:rPr/>
        <w:t>Care</w:t>
      </w:r>
      <w:r>
        <w:rPr>
          <w:spacing w:val="-2"/>
        </w:rPr>
        <w:t> </w:t>
      </w:r>
      <w:r>
        <w:rPr/>
        <w:t>Pool</w:t>
      </w:r>
      <w:r>
        <w:rPr>
          <w:spacing w:val="-3"/>
        </w:rPr>
        <w:t> </w:t>
      </w:r>
      <w:r>
        <w:rPr/>
        <w:t>Uncompensated</w:t>
      </w:r>
      <w:r>
        <w:rPr>
          <w:spacing w:val="-3"/>
        </w:rPr>
        <w:t> </w:t>
      </w:r>
      <w:r>
        <w:rPr/>
        <w:t>Care</w:t>
      </w:r>
      <w:r>
        <w:rPr>
          <w:spacing w:val="-4"/>
        </w:rPr>
        <w:t> </w:t>
      </w:r>
      <w:r>
        <w:rPr/>
        <w:t>Cost</w:t>
      </w:r>
      <w:r>
        <w:rPr>
          <w:spacing w:val="-4"/>
        </w:rPr>
        <w:t> </w:t>
      </w:r>
      <w:r>
        <w:rPr/>
        <w:t>Limit</w:t>
      </w:r>
      <w:r>
        <w:rPr>
          <w:spacing w:val="-6"/>
        </w:rPr>
        <w:t> </w:t>
      </w:r>
      <w:r>
        <w:rPr/>
        <w:t>Protocol</w:t>
      </w:r>
      <w:r>
        <w:rPr>
          <w:spacing w:val="-3"/>
        </w:rPr>
        <w:t> </w:t>
      </w:r>
      <w:r>
        <w:rPr>
          <w:spacing w:val="-2"/>
        </w:rPr>
        <w:t>(Reserved)</w:t>
      </w:r>
    </w:p>
    <w:p>
      <w:pPr>
        <w:spacing w:after="0"/>
        <w:jc w:val="center"/>
        <w:sectPr>
          <w:pgSz w:w="12240" w:h="15840"/>
          <w:pgMar w:header="0" w:footer="1247" w:top="640" w:bottom="1440" w:left="220" w:right="340"/>
        </w:sectPr>
      </w:pPr>
    </w:p>
    <w:p>
      <w:pPr>
        <w:spacing w:before="78"/>
        <w:ind w:left="1220" w:right="0" w:firstLine="0"/>
        <w:jc w:val="left"/>
        <w:rPr>
          <w:sz w:val="22"/>
        </w:rPr>
      </w:pPr>
      <w:bookmarkStart w:name="Attachment I UC Payment Protocol (reserv" w:id="1203"/>
      <w:bookmarkEnd w:id="1203"/>
      <w:r>
        <w:rPr/>
      </w:r>
      <w:r>
        <w:rPr>
          <w:sz w:val="22"/>
        </w:rPr>
        <w:t>Attachment</w:t>
      </w:r>
      <w:r>
        <w:rPr>
          <w:spacing w:val="-5"/>
          <w:sz w:val="22"/>
        </w:rPr>
        <w:t> </w:t>
      </w:r>
      <w:r>
        <w:rPr>
          <w:spacing w:val="-10"/>
          <w:sz w:val="22"/>
        </w:rPr>
        <w:t>I</w:t>
      </w:r>
    </w:p>
    <w:p>
      <w:pPr>
        <w:pStyle w:val="BodyText"/>
        <w:rPr>
          <w:sz w:val="20"/>
        </w:rPr>
      </w:pPr>
    </w:p>
    <w:p>
      <w:pPr>
        <w:pStyle w:val="BodyText"/>
        <w:spacing w:before="8"/>
        <w:rPr>
          <w:sz w:val="20"/>
        </w:rPr>
      </w:pPr>
    </w:p>
    <w:p>
      <w:pPr>
        <w:pStyle w:val="Heading4"/>
        <w:ind w:left="1232" w:right="1112"/>
        <w:jc w:val="center"/>
      </w:pPr>
      <w:bookmarkStart w:name="ATTACHMENT I" w:id="1204"/>
      <w:bookmarkEnd w:id="1204"/>
      <w:r>
        <w:rPr>
          <w:b w:val="0"/>
        </w:rPr>
      </w:r>
      <w:r>
        <w:rPr/>
        <w:t>ATTACHMENT</w:t>
      </w:r>
      <w:r>
        <w:rPr>
          <w:spacing w:val="-5"/>
        </w:rPr>
        <w:t> </w:t>
      </w:r>
      <w:r>
        <w:rPr>
          <w:spacing w:val="-10"/>
        </w:rPr>
        <w:t>I</w:t>
      </w:r>
    </w:p>
    <w:p>
      <w:pPr>
        <w:pStyle w:val="Heading5"/>
        <w:ind w:left="1230" w:right="1112"/>
        <w:jc w:val="center"/>
      </w:pPr>
      <w:bookmarkStart w:name="Uncompensated Care Payment Protocol (Res" w:id="1205"/>
      <w:bookmarkEnd w:id="1205"/>
      <w:r>
        <w:rPr>
          <w:b w:val="0"/>
        </w:rPr>
      </w:r>
      <w:r>
        <w:rPr/>
        <w:t>Uncompensated</w:t>
      </w:r>
      <w:r>
        <w:rPr>
          <w:spacing w:val="-4"/>
        </w:rPr>
        <w:t> </w:t>
      </w:r>
      <w:r>
        <w:rPr/>
        <w:t>Care</w:t>
      </w:r>
      <w:r>
        <w:rPr>
          <w:spacing w:val="-3"/>
        </w:rPr>
        <w:t> </w:t>
      </w:r>
      <w:r>
        <w:rPr/>
        <w:t>Payment</w:t>
      </w:r>
      <w:r>
        <w:rPr>
          <w:spacing w:val="-4"/>
        </w:rPr>
        <w:t> </w:t>
      </w:r>
      <w:r>
        <w:rPr/>
        <w:t>Protocol</w:t>
      </w:r>
      <w:r>
        <w:rPr>
          <w:spacing w:val="-3"/>
        </w:rPr>
        <w:t> </w:t>
      </w:r>
      <w:r>
        <w:rPr>
          <w:spacing w:val="-2"/>
        </w:rPr>
        <w:t>(Reserved)</w:t>
      </w:r>
    </w:p>
    <w:p>
      <w:pPr>
        <w:spacing w:after="0"/>
        <w:jc w:val="center"/>
        <w:sectPr>
          <w:pgSz w:w="12240" w:h="15840"/>
          <w:pgMar w:header="0" w:footer="1247" w:top="640" w:bottom="1440" w:left="220" w:right="340"/>
        </w:sectPr>
      </w:pPr>
    </w:p>
    <w:p>
      <w:pPr>
        <w:spacing w:before="78"/>
        <w:ind w:left="1220" w:right="0" w:firstLine="0"/>
        <w:jc w:val="left"/>
        <w:rPr>
          <w:sz w:val="22"/>
        </w:rPr>
      </w:pPr>
      <w:bookmarkStart w:name="Attachment J Hospital Quality and Equity" w:id="1206"/>
      <w:bookmarkEnd w:id="1206"/>
      <w:r>
        <w:rPr/>
      </w:r>
      <w:r>
        <w:rPr>
          <w:sz w:val="22"/>
        </w:rPr>
        <w:t>Attachment</w:t>
      </w:r>
      <w:r>
        <w:rPr>
          <w:spacing w:val="-8"/>
          <w:sz w:val="22"/>
        </w:rPr>
        <w:t> </w:t>
      </w:r>
      <w:r>
        <w:rPr>
          <w:spacing w:val="-10"/>
          <w:sz w:val="22"/>
        </w:rPr>
        <w:t>J</w:t>
      </w:r>
    </w:p>
    <w:p>
      <w:pPr>
        <w:pStyle w:val="BodyText"/>
        <w:rPr>
          <w:sz w:val="20"/>
        </w:rPr>
      </w:pPr>
    </w:p>
    <w:p>
      <w:pPr>
        <w:pStyle w:val="BodyText"/>
        <w:spacing w:before="8"/>
        <w:rPr>
          <w:sz w:val="20"/>
        </w:rPr>
      </w:pPr>
    </w:p>
    <w:p>
      <w:pPr>
        <w:pStyle w:val="Heading4"/>
        <w:ind w:left="1229" w:right="1112"/>
        <w:jc w:val="center"/>
      </w:pPr>
      <w:bookmarkStart w:name="ATTACHMENT J" w:id="1207"/>
      <w:bookmarkEnd w:id="1207"/>
      <w:r>
        <w:rPr>
          <w:b w:val="0"/>
        </w:rPr>
      </w:r>
      <w:r>
        <w:rPr/>
        <w:t>ATTACHMENT</w:t>
      </w:r>
      <w:r>
        <w:rPr>
          <w:spacing w:val="-5"/>
        </w:rPr>
        <w:t> </w:t>
      </w:r>
      <w:r>
        <w:rPr>
          <w:spacing w:val="-10"/>
        </w:rPr>
        <w:t>J</w:t>
      </w:r>
    </w:p>
    <w:p>
      <w:pPr>
        <w:pStyle w:val="Heading5"/>
        <w:ind w:left="1232" w:right="1112"/>
        <w:jc w:val="center"/>
      </w:pPr>
      <w:bookmarkStart w:name="Hospital Quality and Equity Initiative I" w:id="1208"/>
      <w:bookmarkEnd w:id="1208"/>
      <w:r>
        <w:rPr>
          <w:b w:val="0"/>
        </w:rPr>
      </w:r>
      <w:r>
        <w:rPr/>
        <w:t>Hospital</w:t>
      </w:r>
      <w:r>
        <w:rPr>
          <w:spacing w:val="-4"/>
        </w:rPr>
        <w:t> </w:t>
      </w:r>
      <w:r>
        <w:rPr/>
        <w:t>Quality</w:t>
      </w:r>
      <w:r>
        <w:rPr>
          <w:spacing w:val="-3"/>
        </w:rPr>
        <w:t> </w:t>
      </w:r>
      <w:r>
        <w:rPr/>
        <w:t>and</w:t>
      </w:r>
      <w:r>
        <w:rPr>
          <w:spacing w:val="-5"/>
        </w:rPr>
        <w:t> </w:t>
      </w:r>
      <w:r>
        <w:rPr/>
        <w:t>Equity</w:t>
      </w:r>
      <w:r>
        <w:rPr>
          <w:spacing w:val="-3"/>
        </w:rPr>
        <w:t> </w:t>
      </w:r>
      <w:r>
        <w:rPr/>
        <w:t>Initiative</w:t>
      </w:r>
      <w:r>
        <w:rPr>
          <w:spacing w:val="-4"/>
        </w:rPr>
        <w:t> </w:t>
      </w:r>
      <w:r>
        <w:rPr/>
        <w:t>Implementation</w:t>
      </w:r>
      <w:r>
        <w:rPr>
          <w:spacing w:val="-3"/>
        </w:rPr>
        <w:t> </w:t>
      </w:r>
      <w:r>
        <w:rPr/>
        <w:t>Plan</w:t>
      </w:r>
      <w:r>
        <w:rPr>
          <w:spacing w:val="-2"/>
        </w:rPr>
        <w:t> (Reserved)</w:t>
      </w:r>
    </w:p>
    <w:p>
      <w:pPr>
        <w:spacing w:after="0"/>
        <w:jc w:val="center"/>
        <w:sectPr>
          <w:pgSz w:w="12240" w:h="15840"/>
          <w:pgMar w:header="0" w:footer="1247" w:top="640" w:bottom="1440" w:left="220" w:right="340"/>
        </w:sectPr>
      </w:pPr>
    </w:p>
    <w:p>
      <w:pPr>
        <w:spacing w:before="78"/>
        <w:ind w:left="1220" w:right="0" w:firstLine="0"/>
        <w:jc w:val="left"/>
        <w:rPr>
          <w:sz w:val="22"/>
        </w:rPr>
      </w:pPr>
      <w:bookmarkStart w:name="Attachment K SMI Monitoring Protocol (re" w:id="1209"/>
      <w:bookmarkEnd w:id="1209"/>
      <w:r>
        <w:rPr/>
      </w:r>
      <w:r>
        <w:rPr>
          <w:sz w:val="22"/>
        </w:rPr>
        <w:t>Attachment</w:t>
      </w:r>
      <w:r>
        <w:rPr>
          <w:spacing w:val="-5"/>
          <w:sz w:val="22"/>
        </w:rPr>
        <w:t> </w:t>
      </w:r>
      <w:r>
        <w:rPr>
          <w:spacing w:val="-12"/>
          <w:sz w:val="22"/>
        </w:rPr>
        <w:t>K</w:t>
      </w:r>
    </w:p>
    <w:p>
      <w:pPr>
        <w:pStyle w:val="BodyText"/>
        <w:rPr>
          <w:sz w:val="20"/>
        </w:rPr>
      </w:pPr>
    </w:p>
    <w:p>
      <w:pPr>
        <w:pStyle w:val="BodyText"/>
        <w:spacing w:before="8"/>
        <w:rPr>
          <w:sz w:val="20"/>
        </w:rPr>
      </w:pPr>
    </w:p>
    <w:p>
      <w:pPr>
        <w:pStyle w:val="Heading4"/>
        <w:ind w:left="1229" w:right="1112"/>
        <w:jc w:val="center"/>
      </w:pPr>
      <w:bookmarkStart w:name="ATTACHMENT K" w:id="1210"/>
      <w:bookmarkEnd w:id="1210"/>
      <w:r>
        <w:rPr>
          <w:b w:val="0"/>
        </w:rPr>
      </w:r>
      <w:r>
        <w:rPr/>
        <w:t>ATTACHMENT</w:t>
      </w:r>
      <w:r>
        <w:rPr>
          <w:spacing w:val="-5"/>
        </w:rPr>
        <w:t> </w:t>
      </w:r>
      <w:r>
        <w:rPr>
          <w:spacing w:val="-10"/>
        </w:rPr>
        <w:t>K</w:t>
      </w:r>
    </w:p>
    <w:p>
      <w:pPr>
        <w:pStyle w:val="Heading5"/>
        <w:ind w:left="1227" w:right="1112"/>
        <w:jc w:val="center"/>
      </w:pPr>
      <w:bookmarkStart w:name="SMI/SED Monitoring Protocol (Reserved)" w:id="1211"/>
      <w:bookmarkEnd w:id="1211"/>
      <w:r>
        <w:rPr>
          <w:b w:val="0"/>
        </w:rPr>
      </w:r>
      <w:r>
        <w:rPr/>
        <w:t>SMI/SED</w:t>
      </w:r>
      <w:r>
        <w:rPr>
          <w:spacing w:val="-5"/>
        </w:rPr>
        <w:t> </w:t>
      </w:r>
      <w:r>
        <w:rPr/>
        <w:t>Monitoring</w:t>
      </w:r>
      <w:r>
        <w:rPr>
          <w:spacing w:val="-4"/>
        </w:rPr>
        <w:t> </w:t>
      </w:r>
      <w:r>
        <w:rPr/>
        <w:t>Protocol</w:t>
      </w:r>
      <w:r>
        <w:rPr>
          <w:spacing w:val="-3"/>
        </w:rPr>
        <w:t> </w:t>
      </w:r>
      <w:r>
        <w:rPr>
          <w:spacing w:val="-2"/>
        </w:rPr>
        <w:t>(Reserved)</w:t>
      </w:r>
    </w:p>
    <w:p>
      <w:pPr>
        <w:spacing w:after="0"/>
        <w:jc w:val="center"/>
        <w:sectPr>
          <w:pgSz w:w="12240" w:h="15840"/>
          <w:pgMar w:header="0" w:footer="1247" w:top="640" w:bottom="1440" w:left="220" w:right="340"/>
        </w:sectPr>
      </w:pPr>
    </w:p>
    <w:p>
      <w:pPr>
        <w:spacing w:before="78"/>
        <w:ind w:left="1220" w:right="0" w:firstLine="0"/>
        <w:jc w:val="left"/>
        <w:rPr>
          <w:sz w:val="22"/>
        </w:rPr>
      </w:pPr>
      <w:bookmarkStart w:name="Attachment L ACO Payment Methodology (re" w:id="1212"/>
      <w:bookmarkEnd w:id="1212"/>
      <w:r>
        <w:rPr/>
      </w:r>
      <w:r>
        <w:rPr>
          <w:sz w:val="22"/>
        </w:rPr>
        <w:t>Attachment</w:t>
      </w:r>
      <w:r>
        <w:rPr>
          <w:spacing w:val="-5"/>
          <w:sz w:val="22"/>
        </w:rPr>
        <w:t> </w:t>
      </w:r>
      <w:r>
        <w:rPr>
          <w:spacing w:val="-10"/>
          <w:sz w:val="22"/>
        </w:rPr>
        <w:t>L</w:t>
      </w:r>
    </w:p>
    <w:p>
      <w:pPr>
        <w:pStyle w:val="BodyText"/>
        <w:rPr>
          <w:sz w:val="20"/>
        </w:rPr>
      </w:pPr>
    </w:p>
    <w:p>
      <w:pPr>
        <w:pStyle w:val="BodyText"/>
        <w:spacing w:before="8"/>
        <w:rPr>
          <w:sz w:val="20"/>
        </w:rPr>
      </w:pPr>
    </w:p>
    <w:p>
      <w:pPr>
        <w:pStyle w:val="Heading4"/>
        <w:ind w:left="1231" w:right="1112"/>
        <w:jc w:val="center"/>
      </w:pPr>
      <w:bookmarkStart w:name="ATTACHMENT L" w:id="1213"/>
      <w:bookmarkEnd w:id="1213"/>
      <w:r>
        <w:rPr>
          <w:b w:val="0"/>
        </w:rPr>
      </w:r>
      <w:r>
        <w:rPr/>
        <w:t>ATTACHMENT</w:t>
      </w:r>
      <w:r>
        <w:rPr>
          <w:spacing w:val="-5"/>
        </w:rPr>
        <w:t> </w:t>
      </w:r>
      <w:r>
        <w:rPr>
          <w:spacing w:val="-10"/>
        </w:rPr>
        <w:t>L</w:t>
      </w:r>
    </w:p>
    <w:p>
      <w:pPr>
        <w:spacing w:before="0"/>
        <w:ind w:left="1232" w:right="1112" w:firstLine="0"/>
        <w:jc w:val="center"/>
        <w:rPr>
          <w:b/>
          <w:sz w:val="24"/>
        </w:rPr>
      </w:pPr>
      <w:bookmarkStart w:name="Accountable Care Organization (ACO) Paym" w:id="1214"/>
      <w:bookmarkEnd w:id="1214"/>
      <w:r>
        <w:rPr/>
      </w:r>
      <w:r>
        <w:rPr>
          <w:b/>
          <w:sz w:val="24"/>
        </w:rPr>
        <w:t>Accountable</w:t>
      </w:r>
      <w:r>
        <w:rPr>
          <w:b/>
          <w:spacing w:val="-6"/>
          <w:sz w:val="24"/>
        </w:rPr>
        <w:t> </w:t>
      </w:r>
      <w:r>
        <w:rPr>
          <w:b/>
          <w:sz w:val="24"/>
        </w:rPr>
        <w:t>Care</w:t>
      </w:r>
      <w:r>
        <w:rPr>
          <w:b/>
          <w:spacing w:val="-4"/>
          <w:sz w:val="24"/>
        </w:rPr>
        <w:t> </w:t>
      </w:r>
      <w:r>
        <w:rPr>
          <w:b/>
          <w:sz w:val="24"/>
        </w:rPr>
        <w:t>Organization</w:t>
      </w:r>
      <w:r>
        <w:rPr>
          <w:b/>
          <w:spacing w:val="-2"/>
          <w:sz w:val="24"/>
        </w:rPr>
        <w:t> </w:t>
      </w:r>
      <w:r>
        <w:rPr>
          <w:b/>
          <w:sz w:val="24"/>
        </w:rPr>
        <w:t>(ACO)</w:t>
      </w:r>
      <w:r>
        <w:rPr>
          <w:b/>
          <w:spacing w:val="-4"/>
          <w:sz w:val="24"/>
        </w:rPr>
        <w:t> </w:t>
      </w:r>
      <w:r>
        <w:rPr>
          <w:b/>
          <w:sz w:val="24"/>
        </w:rPr>
        <w:t>Payment</w:t>
      </w:r>
      <w:r>
        <w:rPr>
          <w:b/>
          <w:spacing w:val="-4"/>
          <w:sz w:val="24"/>
        </w:rPr>
        <w:t> </w:t>
      </w:r>
      <w:r>
        <w:rPr>
          <w:b/>
          <w:sz w:val="24"/>
        </w:rPr>
        <w:t>Methodology</w:t>
      </w:r>
      <w:r>
        <w:rPr>
          <w:b/>
          <w:spacing w:val="-2"/>
          <w:sz w:val="24"/>
        </w:rPr>
        <w:t> (Reserved)</w:t>
      </w:r>
    </w:p>
    <w:p>
      <w:pPr>
        <w:spacing w:after="0"/>
        <w:jc w:val="center"/>
        <w:rPr>
          <w:sz w:val="24"/>
        </w:rPr>
        <w:sectPr>
          <w:pgSz w:w="12240" w:h="15840"/>
          <w:pgMar w:header="0" w:footer="1247" w:top="640" w:bottom="1440" w:left="220" w:right="340"/>
        </w:sectPr>
      </w:pPr>
    </w:p>
    <w:p>
      <w:pPr>
        <w:spacing w:before="60"/>
        <w:ind w:left="1220" w:right="0" w:firstLine="0"/>
        <w:jc w:val="left"/>
        <w:rPr>
          <w:b/>
          <w:sz w:val="28"/>
        </w:rPr>
      </w:pPr>
      <w:bookmarkStart w:name="Attachment M - MA 1115 DSRIP Protocol 06" w:id="1215"/>
      <w:bookmarkEnd w:id="1215"/>
      <w:r>
        <w:rPr/>
      </w:r>
      <w:r>
        <w:rPr>
          <w:b/>
          <w:color w:val="2E5395"/>
          <w:sz w:val="28"/>
        </w:rPr>
        <w:t>Attachment</w:t>
      </w:r>
      <w:r>
        <w:rPr>
          <w:b/>
          <w:color w:val="2E5395"/>
          <w:spacing w:val="-6"/>
          <w:sz w:val="28"/>
        </w:rPr>
        <w:t> </w:t>
      </w:r>
      <w:r>
        <w:rPr>
          <w:b/>
          <w:color w:val="2E5395"/>
          <w:spacing w:val="-10"/>
          <w:sz w:val="28"/>
        </w:rPr>
        <w:t>M</w:t>
      </w:r>
    </w:p>
    <w:p>
      <w:pPr>
        <w:spacing w:before="184"/>
        <w:ind w:left="1220" w:right="0" w:firstLine="0"/>
        <w:jc w:val="left"/>
        <w:rPr>
          <w:b/>
          <w:sz w:val="28"/>
        </w:rPr>
      </w:pPr>
      <w:r>
        <w:rPr>
          <w:b/>
          <w:color w:val="2E5395"/>
          <w:sz w:val="28"/>
        </w:rPr>
        <w:t>Massachusetts</w:t>
      </w:r>
      <w:r>
        <w:rPr>
          <w:b/>
          <w:color w:val="2E5395"/>
          <w:spacing w:val="-8"/>
          <w:sz w:val="28"/>
        </w:rPr>
        <w:t> </w:t>
      </w:r>
      <w:r>
        <w:rPr>
          <w:b/>
          <w:color w:val="2E5395"/>
          <w:sz w:val="28"/>
        </w:rPr>
        <w:t>Delivery</w:t>
      </w:r>
      <w:r>
        <w:rPr>
          <w:b/>
          <w:color w:val="2E5395"/>
          <w:spacing w:val="-6"/>
          <w:sz w:val="28"/>
        </w:rPr>
        <w:t> </w:t>
      </w:r>
      <w:r>
        <w:rPr>
          <w:b/>
          <w:color w:val="2E5395"/>
          <w:sz w:val="28"/>
        </w:rPr>
        <w:t>System</w:t>
      </w:r>
      <w:r>
        <w:rPr>
          <w:b/>
          <w:color w:val="2E5395"/>
          <w:spacing w:val="-10"/>
          <w:sz w:val="28"/>
        </w:rPr>
        <w:t> </w:t>
      </w:r>
      <w:r>
        <w:rPr>
          <w:b/>
          <w:color w:val="2E5395"/>
          <w:sz w:val="28"/>
        </w:rPr>
        <w:t>Reform</w:t>
      </w:r>
      <w:r>
        <w:rPr>
          <w:b/>
          <w:color w:val="2E5395"/>
          <w:spacing w:val="-7"/>
          <w:sz w:val="28"/>
        </w:rPr>
        <w:t> </w:t>
      </w:r>
      <w:r>
        <w:rPr>
          <w:b/>
          <w:color w:val="2E5395"/>
          <w:sz w:val="28"/>
        </w:rPr>
        <w:t>Incentive</w:t>
      </w:r>
      <w:r>
        <w:rPr>
          <w:b/>
          <w:color w:val="2E5395"/>
          <w:spacing w:val="-7"/>
          <w:sz w:val="28"/>
        </w:rPr>
        <w:t> </w:t>
      </w:r>
      <w:r>
        <w:rPr>
          <w:b/>
          <w:color w:val="2E5395"/>
          <w:sz w:val="28"/>
        </w:rPr>
        <w:t>Payment</w:t>
      </w:r>
      <w:r>
        <w:rPr>
          <w:b/>
          <w:color w:val="2E5395"/>
          <w:spacing w:val="-7"/>
          <w:sz w:val="28"/>
        </w:rPr>
        <w:t> </w:t>
      </w:r>
      <w:r>
        <w:rPr>
          <w:b/>
          <w:color w:val="2E5395"/>
          <w:sz w:val="28"/>
        </w:rPr>
        <w:t>(DSRIP)</w:t>
      </w:r>
      <w:r>
        <w:rPr>
          <w:b/>
          <w:color w:val="2E5395"/>
          <w:spacing w:val="-6"/>
          <w:sz w:val="28"/>
        </w:rPr>
        <w:t> </w:t>
      </w:r>
      <w:r>
        <w:rPr>
          <w:b/>
          <w:color w:val="2E5395"/>
          <w:spacing w:val="-2"/>
          <w:sz w:val="28"/>
        </w:rPr>
        <w:t>Protocol</w:t>
      </w:r>
    </w:p>
    <w:p>
      <w:pPr>
        <w:pStyle w:val="BodyText"/>
        <w:rPr>
          <w:b/>
          <w:sz w:val="44"/>
        </w:rPr>
      </w:pPr>
    </w:p>
    <w:p>
      <w:pPr>
        <w:spacing w:line="321" w:lineRule="exact" w:before="0"/>
        <w:ind w:left="1220" w:right="0" w:firstLine="0"/>
        <w:jc w:val="left"/>
        <w:rPr>
          <w:b/>
          <w:sz w:val="28"/>
        </w:rPr>
      </w:pPr>
      <w:r>
        <w:rPr>
          <w:b/>
          <w:color w:val="2E5395"/>
          <w:spacing w:val="-2"/>
          <w:sz w:val="28"/>
        </w:rPr>
        <w:t>Contents</w:t>
      </w:r>
    </w:p>
    <w:p>
      <w:pPr>
        <w:spacing w:after="0" w:line="321" w:lineRule="exact"/>
        <w:jc w:val="left"/>
        <w:rPr>
          <w:sz w:val="28"/>
        </w:rPr>
        <w:sectPr>
          <w:footerReference w:type="default" r:id="rId340"/>
          <w:pgSz w:w="12240" w:h="15840"/>
          <w:pgMar w:footer="967" w:header="0" w:top="1380" w:bottom="1437" w:left="220" w:right="340"/>
          <w:pgNumType w:start="1"/>
        </w:sectPr>
      </w:pPr>
    </w:p>
    <w:sdt>
      <w:sdtPr>
        <w:docPartObj>
          <w:docPartGallery w:val="Table of Contents"/>
          <w:docPartUnique/>
        </w:docPartObj>
      </w:sdtPr>
      <w:sdtEndPr/>
      <w:sdtContent>
        <w:p>
          <w:pPr>
            <w:pStyle w:val="TOC1"/>
            <w:tabs>
              <w:tab w:pos="2539" w:val="left" w:leader="none"/>
              <w:tab w:pos="10459" w:val="left" w:leader="dot"/>
            </w:tabs>
            <w:spacing w:line="268" w:lineRule="exact" w:before="0"/>
            <w:rPr>
              <w:rFonts w:ascii="Calibri"/>
            </w:rPr>
          </w:pPr>
          <w:hyperlink w:history="true" w:anchor="_bookmark8">
            <w:r>
              <w:rPr/>
              <w:t>Section</w:t>
            </w:r>
            <w:r>
              <w:rPr>
                <w:spacing w:val="-2"/>
              </w:rPr>
              <w:t> </w:t>
            </w:r>
            <w:r>
              <w:rPr>
                <w:spacing w:val="-5"/>
              </w:rPr>
              <w:t>1.</w:t>
            </w:r>
            <w:r>
              <w:rPr/>
              <w:tab/>
              <w:t>DSRIP</w:t>
            </w:r>
            <w:r>
              <w:rPr>
                <w:spacing w:val="-5"/>
              </w:rPr>
              <w:t> </w:t>
            </w:r>
            <w:r>
              <w:rPr/>
              <w:t>Overview</w:t>
            </w:r>
            <w:r>
              <w:rPr>
                <w:spacing w:val="-4"/>
              </w:rPr>
              <w:t> </w:t>
            </w:r>
            <w:r>
              <w:rPr/>
              <w:t>and</w:t>
            </w:r>
            <w:r>
              <w:rPr>
                <w:spacing w:val="-3"/>
              </w:rPr>
              <w:t> </w:t>
            </w:r>
            <w:r>
              <w:rPr>
                <w:spacing w:val="-4"/>
              </w:rPr>
              <w:t>Goals</w:t>
            </w:r>
            <w:r>
              <w:rPr/>
              <w:tab/>
            </w:r>
            <w:r>
              <w:rPr>
                <w:rFonts w:ascii="Calibri"/>
                <w:spacing w:val="-10"/>
              </w:rPr>
              <w:t>6</w:t>
            </w:r>
          </w:hyperlink>
        </w:p>
        <w:p>
          <w:pPr>
            <w:pStyle w:val="TOC2"/>
            <w:numPr>
              <w:ilvl w:val="1"/>
              <w:numId w:val="57"/>
            </w:numPr>
            <w:tabs>
              <w:tab w:pos="1771" w:val="left" w:leader="none"/>
              <w:tab w:pos="10459" w:val="left" w:leader="dot"/>
            </w:tabs>
            <w:spacing w:line="240" w:lineRule="auto" w:before="142" w:after="0"/>
            <w:ind w:left="1771" w:right="0" w:hanging="331"/>
            <w:jc w:val="left"/>
            <w:rPr>
              <w:rFonts w:ascii="Calibri"/>
            </w:rPr>
          </w:pPr>
          <w:hyperlink w:history="true" w:anchor="_bookmark9">
            <w:r>
              <w:rPr/>
              <w:t>MassHealth</w:t>
            </w:r>
            <w:r>
              <w:rPr>
                <w:spacing w:val="-5"/>
              </w:rPr>
              <w:t> </w:t>
            </w:r>
            <w:r>
              <w:rPr/>
              <w:t>Medicaid</w:t>
            </w:r>
            <w:r>
              <w:rPr>
                <w:spacing w:val="-6"/>
              </w:rPr>
              <w:t> </w:t>
            </w:r>
            <w:r>
              <w:rPr/>
              <w:t>Section</w:t>
            </w:r>
            <w:r>
              <w:rPr>
                <w:spacing w:val="-4"/>
              </w:rPr>
              <w:t> </w:t>
            </w:r>
            <w:r>
              <w:rPr/>
              <w:t>1115</w:t>
            </w:r>
            <w:r>
              <w:rPr>
                <w:spacing w:val="-4"/>
              </w:rPr>
              <w:t> </w:t>
            </w:r>
            <w:r>
              <w:rPr>
                <w:spacing w:val="-2"/>
              </w:rPr>
              <w:t>Demonstration</w:t>
            </w:r>
            <w:r>
              <w:rPr/>
              <w:tab/>
            </w:r>
            <w:r>
              <w:rPr>
                <w:rFonts w:ascii="Calibri"/>
                <w:spacing w:val="-10"/>
              </w:rPr>
              <w:t>6</w:t>
            </w:r>
          </w:hyperlink>
        </w:p>
        <w:p>
          <w:pPr>
            <w:pStyle w:val="TOC2"/>
            <w:numPr>
              <w:ilvl w:val="1"/>
              <w:numId w:val="57"/>
            </w:numPr>
            <w:tabs>
              <w:tab w:pos="1771" w:val="left" w:leader="none"/>
              <w:tab w:pos="10459" w:val="left" w:leader="dot"/>
            </w:tabs>
            <w:spacing w:line="240" w:lineRule="auto" w:before="140" w:after="0"/>
            <w:ind w:left="1771" w:right="0" w:hanging="331"/>
            <w:jc w:val="left"/>
            <w:rPr>
              <w:rFonts w:ascii="Calibri"/>
            </w:rPr>
          </w:pPr>
          <w:hyperlink w:history="true" w:anchor="_bookmark10">
            <w:r>
              <w:rPr/>
              <w:t>Overview</w:t>
            </w:r>
            <w:r>
              <w:rPr>
                <w:spacing w:val="-7"/>
              </w:rPr>
              <w:t> </w:t>
            </w:r>
            <w:r>
              <w:rPr/>
              <w:t>-</w:t>
            </w:r>
            <w:r>
              <w:rPr>
                <w:spacing w:val="-6"/>
              </w:rPr>
              <w:t> </w:t>
            </w:r>
            <w:r>
              <w:rPr/>
              <w:t>Delivery</w:t>
            </w:r>
            <w:r>
              <w:rPr>
                <w:spacing w:val="-7"/>
              </w:rPr>
              <w:t> </w:t>
            </w:r>
            <w:r>
              <w:rPr/>
              <w:t>System</w:t>
            </w:r>
            <w:r>
              <w:rPr>
                <w:spacing w:val="-7"/>
              </w:rPr>
              <w:t> </w:t>
            </w:r>
            <w:r>
              <w:rPr/>
              <w:t>Reform</w:t>
            </w:r>
            <w:r>
              <w:rPr>
                <w:spacing w:val="-6"/>
              </w:rPr>
              <w:t> </w:t>
            </w:r>
            <w:r>
              <w:rPr/>
              <w:t>Incentive</w:t>
            </w:r>
            <w:r>
              <w:rPr>
                <w:spacing w:val="-4"/>
              </w:rPr>
              <w:t> </w:t>
            </w:r>
            <w:r>
              <w:rPr/>
              <w:t>Payment</w:t>
            </w:r>
            <w:r>
              <w:rPr>
                <w:spacing w:val="-3"/>
              </w:rPr>
              <w:t> </w:t>
            </w:r>
            <w:r>
              <w:rPr/>
              <w:t>Program</w:t>
            </w:r>
            <w:r>
              <w:rPr>
                <w:spacing w:val="-7"/>
              </w:rPr>
              <w:t> </w:t>
            </w:r>
            <w:r>
              <w:rPr>
                <w:spacing w:val="-2"/>
              </w:rPr>
              <w:t>(DSRIP)</w:t>
            </w:r>
            <w:r>
              <w:rPr/>
              <w:tab/>
            </w:r>
            <w:r>
              <w:rPr>
                <w:rFonts w:ascii="Calibri"/>
                <w:spacing w:val="-10"/>
              </w:rPr>
              <w:t>6</w:t>
            </w:r>
          </w:hyperlink>
        </w:p>
        <w:p>
          <w:pPr>
            <w:pStyle w:val="TOC2"/>
            <w:numPr>
              <w:ilvl w:val="1"/>
              <w:numId w:val="57"/>
            </w:numPr>
            <w:tabs>
              <w:tab w:pos="1771" w:val="left" w:leader="none"/>
              <w:tab w:pos="10459" w:val="left" w:leader="dot"/>
            </w:tabs>
            <w:spacing w:line="240" w:lineRule="auto" w:before="139" w:after="0"/>
            <w:ind w:left="1771" w:right="0" w:hanging="331"/>
            <w:jc w:val="left"/>
            <w:rPr>
              <w:rFonts w:ascii="Calibri"/>
            </w:rPr>
          </w:pPr>
          <w:hyperlink w:history="true" w:anchor="_bookmark11">
            <w:r>
              <w:rPr/>
              <w:t>Goals</w:t>
            </w:r>
            <w:r>
              <w:rPr>
                <w:spacing w:val="-4"/>
              </w:rPr>
              <w:t> </w:t>
            </w:r>
            <w:r>
              <w:rPr/>
              <w:t>of</w:t>
            </w:r>
            <w:r>
              <w:rPr>
                <w:spacing w:val="-4"/>
              </w:rPr>
              <w:t> </w:t>
            </w:r>
            <w:r>
              <w:rPr/>
              <w:t>DSRIP</w:t>
            </w:r>
            <w:r>
              <w:rPr>
                <w:spacing w:val="-4"/>
              </w:rPr>
              <w:t> </w:t>
            </w:r>
            <w:r>
              <w:rPr>
                <w:spacing w:val="-2"/>
              </w:rPr>
              <w:t>Program</w:t>
            </w:r>
            <w:r>
              <w:rPr/>
              <w:tab/>
            </w:r>
            <w:r>
              <w:rPr>
                <w:rFonts w:ascii="Calibri"/>
                <w:spacing w:val="-10"/>
              </w:rPr>
              <w:t>6</w:t>
            </w:r>
          </w:hyperlink>
        </w:p>
        <w:p>
          <w:pPr>
            <w:pStyle w:val="TOC2"/>
            <w:numPr>
              <w:ilvl w:val="1"/>
              <w:numId w:val="57"/>
            </w:numPr>
            <w:tabs>
              <w:tab w:pos="1771" w:val="left" w:leader="none"/>
              <w:tab w:pos="10460" w:val="left" w:leader="dot"/>
            </w:tabs>
            <w:spacing w:line="240" w:lineRule="auto" w:before="142" w:after="0"/>
            <w:ind w:left="1771" w:right="0" w:hanging="331"/>
            <w:jc w:val="left"/>
            <w:rPr>
              <w:rFonts w:ascii="Calibri"/>
            </w:rPr>
          </w:pPr>
          <w:hyperlink w:history="true" w:anchor="_bookmark12">
            <w:r>
              <w:rPr/>
              <w:t>DSRIP</w:t>
            </w:r>
            <w:r>
              <w:rPr>
                <w:spacing w:val="-6"/>
              </w:rPr>
              <w:t> </w:t>
            </w:r>
            <w:r>
              <w:rPr/>
              <w:t>Funding</w:t>
            </w:r>
            <w:r>
              <w:rPr>
                <w:spacing w:val="-6"/>
              </w:rPr>
              <w:t> </w:t>
            </w:r>
            <w:r>
              <w:rPr>
                <w:spacing w:val="-2"/>
              </w:rPr>
              <w:t>Streams</w:t>
            </w:r>
            <w:r>
              <w:rPr/>
              <w:tab/>
            </w:r>
            <w:r>
              <w:rPr>
                <w:rFonts w:ascii="Calibri"/>
                <w:spacing w:val="-12"/>
              </w:rPr>
              <w:t>6</w:t>
            </w:r>
          </w:hyperlink>
        </w:p>
        <w:p>
          <w:pPr>
            <w:pStyle w:val="TOC3"/>
            <w:numPr>
              <w:ilvl w:val="2"/>
              <w:numId w:val="57"/>
            </w:numPr>
            <w:tabs>
              <w:tab w:pos="2540" w:val="left" w:leader="none"/>
              <w:tab w:pos="10460" w:val="left" w:leader="dot"/>
            </w:tabs>
            <w:spacing w:line="240" w:lineRule="auto" w:before="140" w:after="0"/>
            <w:ind w:left="2540" w:right="0" w:hanging="881"/>
            <w:jc w:val="left"/>
            <w:rPr>
              <w:rFonts w:ascii="Calibri"/>
            </w:rPr>
          </w:pPr>
          <w:hyperlink w:history="true" w:anchor="_bookmark13">
            <w:r>
              <w:rPr/>
              <w:t>Accountable</w:t>
            </w:r>
            <w:r>
              <w:rPr>
                <w:spacing w:val="-5"/>
              </w:rPr>
              <w:t> </w:t>
            </w:r>
            <w:r>
              <w:rPr/>
              <w:t>Care</w:t>
            </w:r>
            <w:r>
              <w:rPr>
                <w:spacing w:val="-4"/>
              </w:rPr>
              <w:t> </w:t>
            </w:r>
            <w:r>
              <w:rPr>
                <w:spacing w:val="-2"/>
              </w:rPr>
              <w:t>Organizations</w:t>
            </w:r>
            <w:r>
              <w:rPr/>
              <w:tab/>
            </w:r>
            <w:r>
              <w:rPr>
                <w:rFonts w:ascii="Calibri"/>
                <w:spacing w:val="-10"/>
              </w:rPr>
              <w:t>7</w:t>
            </w:r>
          </w:hyperlink>
        </w:p>
        <w:p>
          <w:pPr>
            <w:pStyle w:val="TOC3"/>
            <w:numPr>
              <w:ilvl w:val="2"/>
              <w:numId w:val="57"/>
            </w:numPr>
            <w:tabs>
              <w:tab w:pos="2540" w:val="left" w:leader="none"/>
              <w:tab w:pos="10460" w:val="left" w:leader="dot"/>
            </w:tabs>
            <w:spacing w:line="240" w:lineRule="auto" w:before="139" w:after="0"/>
            <w:ind w:left="2540" w:right="0" w:hanging="881"/>
            <w:jc w:val="left"/>
            <w:rPr>
              <w:rFonts w:ascii="Calibri"/>
            </w:rPr>
          </w:pPr>
          <w:hyperlink w:history="true" w:anchor="_bookmark14">
            <w:r>
              <w:rPr/>
              <w:t>Community</w:t>
            </w:r>
            <w:r>
              <w:rPr>
                <w:spacing w:val="-6"/>
              </w:rPr>
              <w:t> </w:t>
            </w:r>
            <w:r>
              <w:rPr/>
              <w:t>Partners</w:t>
            </w:r>
            <w:r>
              <w:rPr>
                <w:spacing w:val="-2"/>
              </w:rPr>
              <w:t> </w:t>
            </w:r>
            <w:r>
              <w:rPr/>
              <w:t>and</w:t>
            </w:r>
            <w:r>
              <w:rPr>
                <w:spacing w:val="-2"/>
              </w:rPr>
              <w:t> </w:t>
            </w:r>
            <w:r>
              <w:rPr>
                <w:spacing w:val="-4"/>
              </w:rPr>
              <w:t>CSAs</w:t>
            </w:r>
            <w:r>
              <w:rPr/>
              <w:tab/>
            </w:r>
            <w:r>
              <w:rPr>
                <w:rFonts w:ascii="Calibri"/>
                <w:spacing w:val="-10"/>
              </w:rPr>
              <w:t>7</w:t>
            </w:r>
          </w:hyperlink>
        </w:p>
        <w:p>
          <w:pPr>
            <w:pStyle w:val="TOC3"/>
            <w:numPr>
              <w:ilvl w:val="2"/>
              <w:numId w:val="57"/>
            </w:numPr>
            <w:tabs>
              <w:tab w:pos="2540" w:val="left" w:leader="none"/>
              <w:tab w:pos="10460" w:val="left" w:leader="dot"/>
            </w:tabs>
            <w:spacing w:line="240" w:lineRule="auto" w:before="142" w:after="0"/>
            <w:ind w:left="2540" w:right="0" w:hanging="881"/>
            <w:jc w:val="left"/>
            <w:rPr>
              <w:rFonts w:ascii="Calibri"/>
            </w:rPr>
          </w:pPr>
          <w:hyperlink w:history="true" w:anchor="_bookmark15">
            <w:r>
              <w:rPr/>
              <w:t>Statewide</w:t>
            </w:r>
            <w:r>
              <w:rPr>
                <w:spacing w:val="-5"/>
              </w:rPr>
              <w:t> </w:t>
            </w:r>
            <w:r>
              <w:rPr>
                <w:spacing w:val="-2"/>
              </w:rPr>
              <w:t>Investments</w:t>
            </w:r>
            <w:r>
              <w:rPr/>
              <w:tab/>
            </w:r>
            <w:r>
              <w:rPr>
                <w:rFonts w:ascii="Calibri"/>
                <w:spacing w:val="-10"/>
              </w:rPr>
              <w:t>8</w:t>
            </w:r>
          </w:hyperlink>
        </w:p>
        <w:p>
          <w:pPr>
            <w:pStyle w:val="TOC3"/>
            <w:numPr>
              <w:ilvl w:val="2"/>
              <w:numId w:val="57"/>
            </w:numPr>
            <w:tabs>
              <w:tab w:pos="2540" w:val="left" w:leader="none"/>
              <w:tab w:pos="10460" w:val="left" w:leader="dot"/>
            </w:tabs>
            <w:spacing w:line="240" w:lineRule="auto" w:before="140" w:after="0"/>
            <w:ind w:left="2540" w:right="0" w:hanging="881"/>
            <w:jc w:val="left"/>
            <w:rPr>
              <w:rFonts w:ascii="Calibri"/>
            </w:rPr>
          </w:pPr>
          <w:hyperlink w:history="true" w:anchor="_bookmark16">
            <w:r>
              <w:rPr/>
              <w:t>State</w:t>
            </w:r>
            <w:r>
              <w:rPr>
                <w:spacing w:val="-4"/>
              </w:rPr>
              <w:t> </w:t>
            </w:r>
            <w:r>
              <w:rPr/>
              <w:t>Operations</w:t>
            </w:r>
            <w:r>
              <w:rPr>
                <w:spacing w:val="-3"/>
              </w:rPr>
              <w:t> </w:t>
            </w:r>
            <w:r>
              <w:rPr/>
              <w:t>and</w:t>
            </w:r>
            <w:r>
              <w:rPr>
                <w:spacing w:val="-3"/>
              </w:rPr>
              <w:t> </w:t>
            </w:r>
            <w:r>
              <w:rPr>
                <w:spacing w:val="-2"/>
              </w:rPr>
              <w:t>Implementation</w:t>
            </w:r>
            <w:r>
              <w:rPr/>
              <w:tab/>
            </w:r>
            <w:r>
              <w:rPr>
                <w:rFonts w:ascii="Calibri"/>
                <w:spacing w:val="-10"/>
              </w:rPr>
              <w:t>8</w:t>
            </w:r>
          </w:hyperlink>
        </w:p>
        <w:p>
          <w:pPr>
            <w:pStyle w:val="TOC1"/>
            <w:tabs>
              <w:tab w:pos="2540" w:val="left" w:leader="none"/>
              <w:tab w:pos="10460" w:val="left" w:leader="dot"/>
            </w:tabs>
            <w:spacing w:before="141"/>
            <w:rPr>
              <w:rFonts w:ascii="Calibri"/>
            </w:rPr>
          </w:pPr>
          <w:hyperlink w:history="true" w:anchor="_bookmark17">
            <w:r>
              <w:rPr/>
              <w:t>Section</w:t>
            </w:r>
            <w:r>
              <w:rPr>
                <w:spacing w:val="-2"/>
              </w:rPr>
              <w:t> </w:t>
            </w:r>
            <w:r>
              <w:rPr>
                <w:spacing w:val="-5"/>
              </w:rPr>
              <w:t>2.</w:t>
            </w:r>
            <w:r>
              <w:rPr/>
              <w:tab/>
              <w:t>Delivery</w:t>
            </w:r>
            <w:r>
              <w:rPr>
                <w:spacing w:val="-7"/>
              </w:rPr>
              <w:t> </w:t>
            </w:r>
            <w:r>
              <w:rPr/>
              <w:t>System</w:t>
            </w:r>
            <w:r>
              <w:rPr>
                <w:spacing w:val="-6"/>
              </w:rPr>
              <w:t> </w:t>
            </w:r>
            <w:r>
              <w:rPr>
                <w:spacing w:val="-2"/>
              </w:rPr>
              <w:t>Models</w:t>
            </w:r>
            <w:r>
              <w:rPr/>
              <w:tab/>
            </w:r>
            <w:r>
              <w:rPr>
                <w:rFonts w:ascii="Calibri"/>
                <w:spacing w:val="-10"/>
              </w:rPr>
              <w:t>9</w:t>
            </w:r>
          </w:hyperlink>
        </w:p>
        <w:p>
          <w:pPr>
            <w:pStyle w:val="TOC1"/>
            <w:tabs>
              <w:tab w:pos="2540" w:val="left" w:leader="none"/>
              <w:tab w:pos="10460" w:val="left" w:leader="dot"/>
            </w:tabs>
            <w:spacing w:before="140"/>
            <w:rPr>
              <w:rFonts w:ascii="Calibri"/>
            </w:rPr>
          </w:pPr>
          <w:hyperlink w:history="true" w:anchor="_bookmark18">
            <w:r>
              <w:rPr/>
              <w:t>Section</w:t>
            </w:r>
            <w:r>
              <w:rPr>
                <w:spacing w:val="-2"/>
              </w:rPr>
              <w:t> </w:t>
            </w:r>
            <w:r>
              <w:rPr>
                <w:spacing w:val="-5"/>
              </w:rPr>
              <w:t>3.</w:t>
            </w:r>
            <w:r>
              <w:rPr/>
              <w:tab/>
              <w:t>Participation</w:t>
            </w:r>
            <w:r>
              <w:rPr>
                <w:spacing w:val="-6"/>
              </w:rPr>
              <w:t> </w:t>
            </w:r>
            <w:r>
              <w:rPr/>
              <w:t>Plans,</w:t>
            </w:r>
            <w:r>
              <w:rPr>
                <w:spacing w:val="-4"/>
              </w:rPr>
              <w:t> </w:t>
            </w:r>
            <w:r>
              <w:rPr/>
              <w:t>Budgets,</w:t>
            </w:r>
            <w:r>
              <w:rPr>
                <w:spacing w:val="-4"/>
              </w:rPr>
              <w:t> </w:t>
            </w:r>
            <w:r>
              <w:rPr/>
              <w:t>and</w:t>
            </w:r>
            <w:r>
              <w:rPr>
                <w:spacing w:val="-4"/>
              </w:rPr>
              <w:t> </w:t>
            </w:r>
            <w:r>
              <w:rPr/>
              <w:t>Budget</w:t>
            </w:r>
            <w:r>
              <w:rPr>
                <w:spacing w:val="-2"/>
              </w:rPr>
              <w:t> Narratives</w:t>
            </w:r>
            <w:r>
              <w:rPr/>
              <w:tab/>
            </w:r>
            <w:r>
              <w:rPr>
                <w:rFonts w:ascii="Calibri"/>
                <w:spacing w:val="-10"/>
              </w:rPr>
              <w:t>9</w:t>
            </w:r>
          </w:hyperlink>
        </w:p>
        <w:p>
          <w:pPr>
            <w:pStyle w:val="TOC2"/>
            <w:numPr>
              <w:ilvl w:val="1"/>
              <w:numId w:val="58"/>
            </w:numPr>
            <w:tabs>
              <w:tab w:pos="1772" w:val="left" w:leader="none"/>
              <w:tab w:pos="10460" w:val="left" w:leader="dot"/>
            </w:tabs>
            <w:spacing w:line="240" w:lineRule="auto" w:before="139" w:after="0"/>
            <w:ind w:left="1772" w:right="0" w:hanging="331"/>
            <w:jc w:val="left"/>
            <w:rPr>
              <w:rFonts w:ascii="Calibri"/>
            </w:rPr>
          </w:pPr>
          <w:hyperlink w:history="true" w:anchor="_bookmark19">
            <w:r>
              <w:rPr/>
              <w:t>DSRIP</w:t>
            </w:r>
            <w:r>
              <w:rPr>
                <w:spacing w:val="-6"/>
              </w:rPr>
              <w:t> </w:t>
            </w:r>
            <w:r>
              <w:rPr/>
              <w:t>Budget</w:t>
            </w:r>
            <w:r>
              <w:rPr>
                <w:spacing w:val="-4"/>
              </w:rPr>
              <w:t> </w:t>
            </w:r>
            <w:r>
              <w:rPr>
                <w:spacing w:val="-2"/>
              </w:rPr>
              <w:t>Periods</w:t>
            </w:r>
            <w:r>
              <w:rPr/>
              <w:tab/>
            </w:r>
            <w:r>
              <w:rPr>
                <w:rFonts w:ascii="Calibri"/>
                <w:spacing w:val="-10"/>
              </w:rPr>
              <w:t>9</w:t>
            </w:r>
          </w:hyperlink>
        </w:p>
        <w:p>
          <w:pPr>
            <w:pStyle w:val="TOC3"/>
            <w:numPr>
              <w:ilvl w:val="2"/>
              <w:numId w:val="58"/>
            </w:numPr>
            <w:tabs>
              <w:tab w:pos="2540" w:val="left" w:leader="none"/>
              <w:tab w:pos="10460" w:val="left" w:leader="dot"/>
            </w:tabs>
            <w:spacing w:line="240" w:lineRule="auto" w:before="142" w:after="0"/>
            <w:ind w:left="2540" w:right="0" w:hanging="881"/>
            <w:jc w:val="left"/>
            <w:rPr>
              <w:rFonts w:ascii="Calibri"/>
            </w:rPr>
          </w:pPr>
          <w:hyperlink w:history="true" w:anchor="_bookmark20">
            <w:r>
              <w:rPr/>
              <w:t>ACO</w:t>
            </w:r>
            <w:r>
              <w:rPr>
                <w:spacing w:val="-5"/>
              </w:rPr>
              <w:t> </w:t>
            </w:r>
            <w:r>
              <w:rPr/>
              <w:t>Budget</w:t>
            </w:r>
            <w:r>
              <w:rPr>
                <w:spacing w:val="-2"/>
              </w:rPr>
              <w:t> Periods</w:t>
            </w:r>
            <w:r>
              <w:rPr/>
              <w:tab/>
            </w:r>
            <w:r>
              <w:rPr>
                <w:rFonts w:ascii="Calibri"/>
                <w:spacing w:val="-10"/>
              </w:rPr>
              <w:t>9</w:t>
            </w:r>
          </w:hyperlink>
        </w:p>
        <w:p>
          <w:pPr>
            <w:pStyle w:val="TOC3"/>
            <w:numPr>
              <w:ilvl w:val="2"/>
              <w:numId w:val="58"/>
            </w:numPr>
            <w:tabs>
              <w:tab w:pos="2540" w:val="left" w:leader="none"/>
              <w:tab w:pos="10347" w:val="left" w:leader="dot"/>
            </w:tabs>
            <w:spacing w:line="240" w:lineRule="auto" w:before="140" w:after="0"/>
            <w:ind w:left="2540" w:right="0" w:hanging="881"/>
            <w:jc w:val="left"/>
            <w:rPr>
              <w:rFonts w:ascii="Calibri"/>
            </w:rPr>
          </w:pPr>
          <w:hyperlink w:history="true" w:anchor="_bookmark21">
            <w:r>
              <w:rPr/>
              <w:t>Community</w:t>
            </w:r>
            <w:r>
              <w:rPr>
                <w:spacing w:val="-8"/>
              </w:rPr>
              <w:t> </w:t>
            </w:r>
            <w:r>
              <w:rPr/>
              <w:t>Partner</w:t>
            </w:r>
            <w:r>
              <w:rPr>
                <w:spacing w:val="-5"/>
              </w:rPr>
              <w:t> </w:t>
            </w:r>
            <w:r>
              <w:rPr/>
              <w:t>and</w:t>
            </w:r>
            <w:r>
              <w:rPr>
                <w:spacing w:val="-2"/>
              </w:rPr>
              <w:t> </w:t>
            </w:r>
            <w:r>
              <w:rPr/>
              <w:t>CSA</w:t>
            </w:r>
            <w:r>
              <w:rPr>
                <w:spacing w:val="-4"/>
              </w:rPr>
              <w:t> </w:t>
            </w:r>
            <w:r>
              <w:rPr/>
              <w:t>Budget</w:t>
            </w:r>
            <w:r>
              <w:rPr>
                <w:spacing w:val="-1"/>
              </w:rPr>
              <w:t> </w:t>
            </w:r>
            <w:r>
              <w:rPr>
                <w:spacing w:val="-2"/>
              </w:rPr>
              <w:t>Periods</w:t>
            </w:r>
            <w:r>
              <w:rPr/>
              <w:tab/>
            </w:r>
            <w:r>
              <w:rPr>
                <w:rFonts w:ascii="Calibri"/>
                <w:spacing w:val="-5"/>
              </w:rPr>
              <w:t>10</w:t>
            </w:r>
          </w:hyperlink>
        </w:p>
        <w:p>
          <w:pPr>
            <w:pStyle w:val="TOC3"/>
            <w:numPr>
              <w:ilvl w:val="2"/>
              <w:numId w:val="58"/>
            </w:numPr>
            <w:tabs>
              <w:tab w:pos="2540" w:val="left" w:leader="none"/>
              <w:tab w:pos="10347" w:val="left" w:leader="dot"/>
            </w:tabs>
            <w:spacing w:line="240" w:lineRule="auto" w:before="139" w:after="0"/>
            <w:ind w:left="2540" w:right="0" w:hanging="881"/>
            <w:jc w:val="left"/>
            <w:rPr>
              <w:rFonts w:ascii="Calibri"/>
            </w:rPr>
          </w:pPr>
          <w:hyperlink w:history="true" w:anchor="_bookmark22">
            <w:r>
              <w:rPr/>
              <w:t>Funding</w:t>
            </w:r>
            <w:r>
              <w:rPr>
                <w:spacing w:val="-9"/>
              </w:rPr>
              <w:t> </w:t>
            </w:r>
            <w:r>
              <w:rPr/>
              <w:t>Adjustments</w:t>
            </w:r>
            <w:r>
              <w:rPr>
                <w:spacing w:val="-5"/>
              </w:rPr>
              <w:t> </w:t>
            </w:r>
            <w:r>
              <w:rPr/>
              <w:t>for</w:t>
            </w:r>
            <w:r>
              <w:rPr>
                <w:spacing w:val="-2"/>
              </w:rPr>
              <w:t> </w:t>
            </w:r>
            <w:r>
              <w:rPr/>
              <w:t>Budget</w:t>
            </w:r>
            <w:r>
              <w:rPr>
                <w:spacing w:val="-2"/>
              </w:rPr>
              <w:t> </w:t>
            </w:r>
            <w:r>
              <w:rPr/>
              <w:t>Period</w:t>
            </w:r>
            <w:r>
              <w:rPr>
                <w:spacing w:val="-4"/>
              </w:rPr>
              <w:t> </w:t>
            </w:r>
            <w:r>
              <w:rPr/>
              <w:t>5</w:t>
            </w:r>
            <w:r>
              <w:rPr>
                <w:spacing w:val="-6"/>
              </w:rPr>
              <w:t> </w:t>
            </w:r>
            <w:r>
              <w:rPr/>
              <w:t>and</w:t>
            </w:r>
            <w:r>
              <w:rPr>
                <w:spacing w:val="-3"/>
              </w:rPr>
              <w:t> </w:t>
            </w:r>
            <w:r>
              <w:rPr/>
              <w:t>Close-Out</w:t>
            </w:r>
            <w:r>
              <w:rPr>
                <w:spacing w:val="-2"/>
              </w:rPr>
              <w:t> Activities</w:t>
            </w:r>
            <w:r>
              <w:rPr/>
              <w:tab/>
            </w:r>
            <w:r>
              <w:rPr>
                <w:rFonts w:ascii="Calibri"/>
                <w:spacing w:val="-5"/>
              </w:rPr>
              <w:t>11</w:t>
            </w:r>
          </w:hyperlink>
        </w:p>
        <w:p>
          <w:pPr>
            <w:pStyle w:val="TOC2"/>
            <w:numPr>
              <w:ilvl w:val="1"/>
              <w:numId w:val="58"/>
            </w:numPr>
            <w:tabs>
              <w:tab w:pos="1772" w:val="left" w:leader="none"/>
              <w:tab w:pos="10347" w:val="left" w:leader="dot"/>
            </w:tabs>
            <w:spacing w:line="240" w:lineRule="auto" w:before="142" w:after="0"/>
            <w:ind w:left="1772" w:right="0" w:hanging="331"/>
            <w:jc w:val="left"/>
            <w:rPr>
              <w:rFonts w:ascii="Calibri"/>
            </w:rPr>
          </w:pPr>
          <w:hyperlink w:history="true" w:anchor="_bookmark23">
            <w:r>
              <w:rPr/>
              <w:t>Participation</w:t>
            </w:r>
            <w:r>
              <w:rPr>
                <w:spacing w:val="-9"/>
              </w:rPr>
              <w:t> </w:t>
            </w:r>
            <w:r>
              <w:rPr>
                <w:spacing w:val="-4"/>
              </w:rPr>
              <w:t>Plans</w:t>
            </w:r>
            <w:r>
              <w:rPr/>
              <w:tab/>
            </w:r>
            <w:r>
              <w:rPr>
                <w:rFonts w:ascii="Calibri"/>
                <w:spacing w:val="-5"/>
              </w:rPr>
              <w:t>12</w:t>
            </w:r>
          </w:hyperlink>
        </w:p>
        <w:p>
          <w:pPr>
            <w:pStyle w:val="TOC3"/>
            <w:numPr>
              <w:ilvl w:val="2"/>
              <w:numId w:val="58"/>
            </w:numPr>
            <w:tabs>
              <w:tab w:pos="2540" w:val="left" w:leader="none"/>
              <w:tab w:pos="10347" w:val="left" w:leader="dot"/>
            </w:tabs>
            <w:spacing w:line="240" w:lineRule="auto" w:before="140" w:after="0"/>
            <w:ind w:left="2540" w:right="0" w:hanging="881"/>
            <w:jc w:val="left"/>
            <w:rPr>
              <w:rFonts w:ascii="Calibri"/>
            </w:rPr>
          </w:pPr>
          <w:hyperlink w:history="true" w:anchor="_bookmark24">
            <w:r>
              <w:rPr/>
              <w:t>Preliminary</w:t>
            </w:r>
            <w:r>
              <w:rPr>
                <w:spacing w:val="-8"/>
              </w:rPr>
              <w:t> </w:t>
            </w:r>
            <w:r>
              <w:rPr/>
              <w:t>Participation</w:t>
            </w:r>
            <w:r>
              <w:rPr>
                <w:spacing w:val="-5"/>
              </w:rPr>
              <w:t> </w:t>
            </w:r>
            <w:r>
              <w:rPr>
                <w:spacing w:val="-4"/>
              </w:rPr>
              <w:t>Plans</w:t>
            </w:r>
            <w:r>
              <w:rPr/>
              <w:tab/>
            </w:r>
            <w:r>
              <w:rPr>
                <w:rFonts w:ascii="Calibri"/>
                <w:spacing w:val="-5"/>
              </w:rPr>
              <w:t>12</w:t>
            </w:r>
          </w:hyperlink>
        </w:p>
        <w:p>
          <w:pPr>
            <w:pStyle w:val="TOC3"/>
            <w:numPr>
              <w:ilvl w:val="2"/>
              <w:numId w:val="58"/>
            </w:numPr>
            <w:tabs>
              <w:tab w:pos="2540" w:val="left" w:leader="none"/>
              <w:tab w:pos="10347" w:val="left" w:leader="dot"/>
            </w:tabs>
            <w:spacing w:line="240" w:lineRule="auto" w:before="139" w:after="0"/>
            <w:ind w:left="2540" w:right="0" w:hanging="881"/>
            <w:jc w:val="left"/>
            <w:rPr>
              <w:rFonts w:ascii="Calibri"/>
            </w:rPr>
          </w:pPr>
          <w:hyperlink w:history="true" w:anchor="_bookmark26">
            <w:r>
              <w:rPr/>
              <w:t>Full</w:t>
            </w:r>
            <w:r>
              <w:rPr>
                <w:spacing w:val="-4"/>
              </w:rPr>
              <w:t> </w:t>
            </w:r>
            <w:r>
              <w:rPr/>
              <w:t>Participation</w:t>
            </w:r>
            <w:r>
              <w:rPr>
                <w:spacing w:val="-3"/>
              </w:rPr>
              <w:t> </w:t>
            </w:r>
            <w:r>
              <w:rPr>
                <w:spacing w:val="-4"/>
              </w:rPr>
              <w:t>Plans</w:t>
            </w:r>
            <w:r>
              <w:rPr/>
              <w:tab/>
            </w:r>
            <w:r>
              <w:rPr>
                <w:rFonts w:ascii="Calibri"/>
                <w:spacing w:val="-5"/>
              </w:rPr>
              <w:t>15</w:t>
            </w:r>
          </w:hyperlink>
        </w:p>
        <w:p>
          <w:pPr>
            <w:pStyle w:val="TOC2"/>
            <w:numPr>
              <w:ilvl w:val="1"/>
              <w:numId w:val="58"/>
            </w:numPr>
            <w:tabs>
              <w:tab w:pos="1772" w:val="left" w:leader="none"/>
              <w:tab w:pos="10347" w:val="left" w:leader="dot"/>
            </w:tabs>
            <w:spacing w:line="240" w:lineRule="auto" w:before="142" w:after="0"/>
            <w:ind w:left="1772" w:right="0" w:hanging="331"/>
            <w:jc w:val="left"/>
            <w:rPr>
              <w:rFonts w:ascii="Calibri"/>
            </w:rPr>
          </w:pPr>
          <w:hyperlink w:history="true" w:anchor="_bookmark27">
            <w:r>
              <w:rPr/>
              <w:t>Budgets</w:t>
            </w:r>
            <w:r>
              <w:rPr>
                <w:spacing w:val="-5"/>
              </w:rPr>
              <w:t> </w:t>
            </w:r>
            <w:r>
              <w:rPr/>
              <w:t>and</w:t>
            </w:r>
            <w:r>
              <w:rPr>
                <w:spacing w:val="-3"/>
              </w:rPr>
              <w:t> </w:t>
            </w:r>
            <w:r>
              <w:rPr/>
              <w:t>Budget</w:t>
            </w:r>
            <w:r>
              <w:rPr>
                <w:spacing w:val="-2"/>
              </w:rPr>
              <w:t> Narratives</w:t>
            </w:r>
            <w:r>
              <w:rPr/>
              <w:tab/>
            </w:r>
            <w:r>
              <w:rPr>
                <w:rFonts w:ascii="Calibri"/>
                <w:spacing w:val="-5"/>
              </w:rPr>
              <w:t>17</w:t>
            </w:r>
          </w:hyperlink>
        </w:p>
        <w:p>
          <w:pPr>
            <w:pStyle w:val="TOC2"/>
            <w:numPr>
              <w:ilvl w:val="1"/>
              <w:numId w:val="58"/>
            </w:numPr>
            <w:tabs>
              <w:tab w:pos="1772" w:val="left" w:leader="none"/>
              <w:tab w:pos="10347" w:val="left" w:leader="dot"/>
            </w:tabs>
            <w:spacing w:line="240" w:lineRule="auto" w:before="140" w:after="0"/>
            <w:ind w:left="1772" w:right="0" w:hanging="331"/>
            <w:jc w:val="left"/>
            <w:rPr>
              <w:rFonts w:ascii="Calibri"/>
            </w:rPr>
          </w:pPr>
          <w:hyperlink w:history="true" w:anchor="_bookmark28">
            <w:r>
              <w:rPr/>
              <w:t>Review</w:t>
            </w:r>
            <w:r>
              <w:rPr>
                <w:spacing w:val="-5"/>
              </w:rPr>
              <w:t> </w:t>
            </w:r>
            <w:r>
              <w:rPr/>
              <w:t>and</w:t>
            </w:r>
            <w:r>
              <w:rPr>
                <w:spacing w:val="-4"/>
              </w:rPr>
              <w:t> </w:t>
            </w:r>
            <w:r>
              <w:rPr/>
              <w:t>Approval</w:t>
            </w:r>
            <w:r>
              <w:rPr>
                <w:spacing w:val="-3"/>
              </w:rPr>
              <w:t> </w:t>
            </w:r>
            <w:r>
              <w:rPr/>
              <w:t>Process</w:t>
            </w:r>
            <w:r>
              <w:rPr>
                <w:spacing w:val="-4"/>
              </w:rPr>
              <w:t> </w:t>
            </w:r>
            <w:r>
              <w:rPr/>
              <w:t>and</w:t>
            </w:r>
            <w:r>
              <w:rPr>
                <w:spacing w:val="-6"/>
              </w:rPr>
              <w:t> </w:t>
            </w:r>
            <w:r>
              <w:rPr>
                <w:spacing w:val="-2"/>
              </w:rPr>
              <w:t>Timelines</w:t>
            </w:r>
            <w:r>
              <w:rPr/>
              <w:tab/>
            </w:r>
            <w:r>
              <w:rPr>
                <w:rFonts w:ascii="Calibri"/>
                <w:spacing w:val="-5"/>
              </w:rPr>
              <w:t>18</w:t>
            </w:r>
          </w:hyperlink>
        </w:p>
        <w:p>
          <w:pPr>
            <w:pStyle w:val="TOC3"/>
            <w:numPr>
              <w:ilvl w:val="2"/>
              <w:numId w:val="58"/>
            </w:numPr>
            <w:tabs>
              <w:tab w:pos="2540" w:val="left" w:leader="none"/>
              <w:tab w:pos="10347" w:val="left" w:leader="dot"/>
            </w:tabs>
            <w:spacing w:line="240" w:lineRule="auto" w:before="139" w:after="0"/>
            <w:ind w:left="2540" w:right="0" w:hanging="881"/>
            <w:jc w:val="left"/>
            <w:rPr>
              <w:rFonts w:ascii="Calibri"/>
            </w:rPr>
          </w:pPr>
          <w:hyperlink w:history="true" w:anchor="_bookmark29">
            <w:r>
              <w:rPr/>
              <w:t>Roles</w:t>
            </w:r>
            <w:r>
              <w:rPr>
                <w:spacing w:val="-2"/>
              </w:rPr>
              <w:t> </w:t>
            </w:r>
            <w:r>
              <w:rPr/>
              <w:t>and </w:t>
            </w:r>
            <w:r>
              <w:rPr>
                <w:spacing w:val="-2"/>
              </w:rPr>
              <w:t>Responsibilities</w:t>
            </w:r>
            <w:r>
              <w:rPr/>
              <w:tab/>
            </w:r>
            <w:r>
              <w:rPr>
                <w:rFonts w:ascii="Calibri"/>
                <w:spacing w:val="-5"/>
              </w:rPr>
              <w:t>18</w:t>
            </w:r>
          </w:hyperlink>
        </w:p>
        <w:p>
          <w:pPr>
            <w:pStyle w:val="TOC3"/>
            <w:numPr>
              <w:ilvl w:val="2"/>
              <w:numId w:val="58"/>
            </w:numPr>
            <w:tabs>
              <w:tab w:pos="2540" w:val="left" w:leader="none"/>
              <w:tab w:pos="10347" w:val="left" w:leader="dot"/>
            </w:tabs>
            <w:spacing w:line="240" w:lineRule="auto" w:before="142" w:after="0"/>
            <w:ind w:left="2540" w:right="0" w:hanging="881"/>
            <w:jc w:val="left"/>
            <w:rPr>
              <w:rFonts w:ascii="Calibri"/>
            </w:rPr>
          </w:pPr>
          <w:hyperlink w:history="true" w:anchor="_bookmark30">
            <w:r>
              <w:rPr/>
              <w:t>Process</w:t>
            </w:r>
            <w:r>
              <w:rPr>
                <w:spacing w:val="-4"/>
              </w:rPr>
              <w:t> </w:t>
            </w:r>
            <w:r>
              <w:rPr/>
              <w:t>for</w:t>
            </w:r>
            <w:r>
              <w:rPr>
                <w:spacing w:val="-3"/>
              </w:rPr>
              <w:t> </w:t>
            </w:r>
            <w:r>
              <w:rPr/>
              <w:t>State</w:t>
            </w:r>
            <w:r>
              <w:rPr>
                <w:spacing w:val="-3"/>
              </w:rPr>
              <w:t> </w:t>
            </w:r>
            <w:r>
              <w:rPr/>
              <w:t>Approval</w:t>
            </w:r>
            <w:r>
              <w:rPr>
                <w:spacing w:val="-6"/>
              </w:rPr>
              <w:t> </w:t>
            </w:r>
            <w:r>
              <w:rPr/>
              <w:t>of</w:t>
            </w:r>
            <w:r>
              <w:rPr>
                <w:spacing w:val="-2"/>
              </w:rPr>
              <w:t> </w:t>
            </w:r>
            <w:r>
              <w:rPr/>
              <w:t>ACO</w:t>
            </w:r>
            <w:r>
              <w:rPr>
                <w:spacing w:val="-5"/>
              </w:rPr>
              <w:t> </w:t>
            </w:r>
            <w:r>
              <w:rPr/>
              <w:t>Participation</w:t>
            </w:r>
            <w:r>
              <w:rPr>
                <w:spacing w:val="-3"/>
              </w:rPr>
              <w:t> </w:t>
            </w:r>
            <w:r>
              <w:rPr>
                <w:spacing w:val="-4"/>
              </w:rPr>
              <w:t>Plans</w:t>
            </w:r>
            <w:r>
              <w:rPr/>
              <w:tab/>
            </w:r>
            <w:r>
              <w:rPr>
                <w:rFonts w:ascii="Calibri"/>
                <w:spacing w:val="-5"/>
              </w:rPr>
              <w:t>18</w:t>
            </w:r>
          </w:hyperlink>
        </w:p>
        <w:p>
          <w:pPr>
            <w:pStyle w:val="TOC3"/>
            <w:numPr>
              <w:ilvl w:val="2"/>
              <w:numId w:val="58"/>
            </w:numPr>
            <w:tabs>
              <w:tab w:pos="2540" w:val="left" w:leader="none"/>
              <w:tab w:pos="10347" w:val="left" w:leader="dot"/>
            </w:tabs>
            <w:spacing w:line="240" w:lineRule="auto" w:before="139" w:after="0"/>
            <w:ind w:left="2540" w:right="0" w:hanging="881"/>
            <w:jc w:val="left"/>
            <w:rPr>
              <w:rFonts w:ascii="Calibri"/>
            </w:rPr>
          </w:pPr>
          <w:hyperlink w:history="true" w:anchor="_bookmark31">
            <w:r>
              <w:rPr/>
              <w:t>Process</w:t>
            </w:r>
            <w:r>
              <w:rPr>
                <w:spacing w:val="-6"/>
              </w:rPr>
              <w:t> </w:t>
            </w:r>
            <w:r>
              <w:rPr/>
              <w:t>for</w:t>
            </w:r>
            <w:r>
              <w:rPr>
                <w:spacing w:val="-3"/>
              </w:rPr>
              <w:t> </w:t>
            </w:r>
            <w:r>
              <w:rPr/>
              <w:t>State</w:t>
            </w:r>
            <w:r>
              <w:rPr>
                <w:spacing w:val="-3"/>
              </w:rPr>
              <w:t> </w:t>
            </w:r>
            <w:r>
              <w:rPr/>
              <w:t>Approval</w:t>
            </w:r>
            <w:r>
              <w:rPr>
                <w:spacing w:val="-6"/>
              </w:rPr>
              <w:t> </w:t>
            </w:r>
            <w:r>
              <w:rPr/>
              <w:t>of</w:t>
            </w:r>
            <w:r>
              <w:rPr>
                <w:spacing w:val="-2"/>
              </w:rPr>
              <w:t> </w:t>
            </w:r>
            <w:r>
              <w:rPr/>
              <w:t>CPs</w:t>
            </w:r>
            <w:r>
              <w:rPr>
                <w:spacing w:val="-4"/>
              </w:rPr>
              <w:t> </w:t>
            </w:r>
            <w:r>
              <w:rPr/>
              <w:t>and</w:t>
            </w:r>
            <w:r>
              <w:rPr>
                <w:spacing w:val="-3"/>
              </w:rPr>
              <w:t> </w:t>
            </w:r>
            <w:r>
              <w:rPr/>
              <w:t>CSAs</w:t>
            </w:r>
            <w:r>
              <w:rPr>
                <w:spacing w:val="-4"/>
              </w:rPr>
              <w:t> </w:t>
            </w:r>
            <w:r>
              <w:rPr/>
              <w:t>Participation</w:t>
            </w:r>
            <w:r>
              <w:rPr>
                <w:spacing w:val="-3"/>
              </w:rPr>
              <w:t> </w:t>
            </w:r>
            <w:r>
              <w:rPr>
                <w:spacing w:val="-2"/>
              </w:rPr>
              <w:t>Plans</w:t>
            </w:r>
            <w:r>
              <w:rPr/>
              <w:tab/>
            </w:r>
            <w:r>
              <w:rPr>
                <w:rFonts w:ascii="Calibri"/>
                <w:spacing w:val="-5"/>
              </w:rPr>
              <w:t>19</w:t>
            </w:r>
          </w:hyperlink>
        </w:p>
        <w:p>
          <w:pPr>
            <w:pStyle w:val="TOC3"/>
            <w:numPr>
              <w:ilvl w:val="2"/>
              <w:numId w:val="58"/>
            </w:numPr>
            <w:tabs>
              <w:tab w:pos="2540" w:val="left" w:leader="none"/>
              <w:tab w:pos="10347" w:val="left" w:leader="dot"/>
            </w:tabs>
            <w:spacing w:line="240" w:lineRule="auto" w:before="140" w:after="0"/>
            <w:ind w:left="2540" w:right="0" w:hanging="881"/>
            <w:jc w:val="left"/>
            <w:rPr>
              <w:rFonts w:ascii="Calibri"/>
            </w:rPr>
          </w:pPr>
          <w:hyperlink w:history="true" w:anchor="_bookmark32">
            <w:r>
              <w:rPr/>
              <w:t>Process</w:t>
            </w:r>
            <w:r>
              <w:rPr>
                <w:spacing w:val="-3"/>
              </w:rPr>
              <w:t> </w:t>
            </w:r>
            <w:r>
              <w:rPr/>
              <w:t>for</w:t>
            </w:r>
            <w:r>
              <w:rPr>
                <w:spacing w:val="-2"/>
              </w:rPr>
              <w:t> </w:t>
            </w:r>
            <w:r>
              <w:rPr/>
              <w:t>State</w:t>
            </w:r>
            <w:r>
              <w:rPr>
                <w:spacing w:val="-2"/>
              </w:rPr>
              <w:t> </w:t>
            </w:r>
            <w:r>
              <w:rPr/>
              <w:t>approval</w:t>
            </w:r>
            <w:r>
              <w:rPr>
                <w:spacing w:val="-5"/>
              </w:rPr>
              <w:t> </w:t>
            </w:r>
            <w:r>
              <w:rPr/>
              <w:t>of</w:t>
            </w:r>
            <w:r>
              <w:rPr>
                <w:spacing w:val="-2"/>
              </w:rPr>
              <w:t> </w:t>
            </w:r>
            <w:r>
              <w:rPr/>
              <w:t>Budgets</w:t>
            </w:r>
            <w:r>
              <w:rPr>
                <w:spacing w:val="-4"/>
              </w:rPr>
              <w:t> </w:t>
            </w:r>
            <w:r>
              <w:rPr/>
              <w:t>and</w:t>
            </w:r>
            <w:r>
              <w:rPr>
                <w:spacing w:val="-3"/>
              </w:rPr>
              <w:t> </w:t>
            </w:r>
            <w:r>
              <w:rPr/>
              <w:t>Budget</w:t>
            </w:r>
            <w:r>
              <w:rPr>
                <w:spacing w:val="-1"/>
              </w:rPr>
              <w:t> </w:t>
            </w:r>
            <w:r>
              <w:rPr>
                <w:spacing w:val="-2"/>
              </w:rPr>
              <w:t>Narratives</w:t>
            </w:r>
            <w:r>
              <w:rPr/>
              <w:tab/>
            </w:r>
            <w:r>
              <w:rPr>
                <w:rFonts w:ascii="Calibri"/>
                <w:spacing w:val="-5"/>
              </w:rPr>
              <w:t>20</w:t>
            </w:r>
          </w:hyperlink>
        </w:p>
        <w:p>
          <w:pPr>
            <w:pStyle w:val="TOC3"/>
            <w:numPr>
              <w:ilvl w:val="2"/>
              <w:numId w:val="58"/>
            </w:numPr>
            <w:tabs>
              <w:tab w:pos="2540" w:val="left" w:leader="none"/>
              <w:tab w:pos="10347" w:val="left" w:leader="dot"/>
            </w:tabs>
            <w:spacing w:line="273" w:lineRule="auto" w:before="144" w:after="0"/>
            <w:ind w:left="1659" w:right="1104" w:firstLine="0"/>
            <w:jc w:val="left"/>
            <w:rPr>
              <w:rFonts w:ascii="Calibri"/>
            </w:rPr>
          </w:pPr>
          <w:hyperlink w:history="true" w:anchor="_bookmark33">
            <w:r>
              <w:rPr/>
              <w:t>Process for State Approval of Modifications to Participation Plans, Budgets and Budget</w:t>
            </w:r>
          </w:hyperlink>
          <w:r>
            <w:rPr/>
            <w:t> </w:t>
          </w:r>
          <w:hyperlink w:history="true" w:anchor="_bookmark33">
            <w:r>
              <w:rPr>
                <w:spacing w:val="-2"/>
              </w:rPr>
              <w:t>Narratives</w:t>
            </w:r>
            <w:r>
              <w:rPr/>
              <w:tab/>
            </w:r>
            <w:r>
              <w:rPr>
                <w:rFonts w:ascii="Calibri"/>
                <w:spacing w:val="-5"/>
              </w:rPr>
              <w:t>22</w:t>
            </w:r>
          </w:hyperlink>
        </w:p>
        <w:p>
          <w:pPr>
            <w:pStyle w:val="TOC1"/>
            <w:tabs>
              <w:tab w:pos="2540" w:val="left" w:leader="none"/>
              <w:tab w:pos="10347" w:val="left" w:leader="dot"/>
            </w:tabs>
            <w:spacing w:before="102"/>
            <w:rPr>
              <w:rFonts w:ascii="Calibri"/>
            </w:rPr>
          </w:pPr>
          <w:hyperlink w:history="true" w:anchor="_bookmark34">
            <w:r>
              <w:rPr/>
              <w:t>Section</w:t>
            </w:r>
            <w:r>
              <w:rPr>
                <w:spacing w:val="-2"/>
              </w:rPr>
              <w:t> </w:t>
            </w:r>
            <w:r>
              <w:rPr>
                <w:spacing w:val="-5"/>
              </w:rPr>
              <w:t>4.</w:t>
            </w:r>
            <w:r>
              <w:rPr/>
              <w:tab/>
              <w:t>DSRIP</w:t>
            </w:r>
            <w:r>
              <w:rPr>
                <w:spacing w:val="-7"/>
              </w:rPr>
              <w:t> </w:t>
            </w:r>
            <w:r>
              <w:rPr/>
              <w:t>Payments</w:t>
            </w:r>
            <w:r>
              <w:rPr>
                <w:spacing w:val="-4"/>
              </w:rPr>
              <w:t> </w:t>
            </w:r>
            <w:r>
              <w:rPr/>
              <w:t>(ACOs,</w:t>
            </w:r>
            <w:r>
              <w:rPr>
                <w:spacing w:val="-4"/>
              </w:rPr>
              <w:t> </w:t>
            </w:r>
            <w:r>
              <w:rPr/>
              <w:t>CPs,</w:t>
            </w:r>
            <w:r>
              <w:rPr>
                <w:spacing w:val="-4"/>
              </w:rPr>
              <w:t> </w:t>
            </w:r>
            <w:r>
              <w:rPr/>
              <w:t>CSAs</w:t>
            </w:r>
            <w:r>
              <w:rPr>
                <w:spacing w:val="-4"/>
              </w:rPr>
              <w:t> </w:t>
            </w:r>
            <w:r>
              <w:rPr/>
              <w:t>and</w:t>
            </w:r>
            <w:r>
              <w:rPr>
                <w:spacing w:val="-4"/>
              </w:rPr>
              <w:t> </w:t>
            </w:r>
            <w:r>
              <w:rPr/>
              <w:t>Statewide</w:t>
            </w:r>
            <w:r>
              <w:rPr>
                <w:spacing w:val="-4"/>
              </w:rPr>
              <w:t> </w:t>
            </w:r>
            <w:r>
              <w:rPr>
                <w:spacing w:val="-2"/>
              </w:rPr>
              <w:t>Investments)</w:t>
            </w:r>
            <w:r>
              <w:rPr/>
              <w:tab/>
            </w:r>
            <w:r>
              <w:rPr>
                <w:rFonts w:ascii="Calibri"/>
                <w:spacing w:val="-5"/>
              </w:rPr>
              <w:t>23</w:t>
            </w:r>
          </w:hyperlink>
        </w:p>
        <w:p>
          <w:pPr>
            <w:pStyle w:val="TOC2"/>
            <w:numPr>
              <w:ilvl w:val="1"/>
              <w:numId w:val="59"/>
            </w:numPr>
            <w:tabs>
              <w:tab w:pos="1772" w:val="left" w:leader="none"/>
              <w:tab w:pos="10347" w:val="left" w:leader="dot"/>
            </w:tabs>
            <w:spacing w:line="240" w:lineRule="auto" w:before="142" w:after="115"/>
            <w:ind w:left="1772" w:right="0" w:hanging="331"/>
            <w:jc w:val="left"/>
            <w:rPr>
              <w:rFonts w:ascii="Calibri"/>
            </w:rPr>
          </w:pPr>
          <w:hyperlink w:history="true" w:anchor="_bookmark35">
            <w:r>
              <w:rPr/>
              <w:t>Overview</w:t>
            </w:r>
            <w:r>
              <w:rPr>
                <w:spacing w:val="-5"/>
              </w:rPr>
              <w:t> </w:t>
            </w:r>
            <w:r>
              <w:rPr/>
              <w:t>and</w:t>
            </w:r>
            <w:r>
              <w:rPr>
                <w:spacing w:val="-3"/>
              </w:rPr>
              <w:t> </w:t>
            </w:r>
            <w:r>
              <w:rPr>
                <w:spacing w:val="-2"/>
              </w:rPr>
              <w:t>Outline</w:t>
            </w:r>
            <w:r>
              <w:rPr/>
              <w:tab/>
            </w:r>
            <w:r>
              <w:rPr>
                <w:rFonts w:ascii="Calibri"/>
                <w:spacing w:val="-5"/>
              </w:rPr>
              <w:t>23</w:t>
            </w:r>
          </w:hyperlink>
        </w:p>
        <w:p>
          <w:pPr>
            <w:pStyle w:val="TOC2"/>
            <w:numPr>
              <w:ilvl w:val="1"/>
              <w:numId w:val="59"/>
            </w:numPr>
            <w:tabs>
              <w:tab w:pos="1771" w:val="left" w:leader="none"/>
              <w:tab w:pos="10572" w:val="right" w:leader="dot"/>
            </w:tabs>
            <w:spacing w:line="240" w:lineRule="auto" w:before="59" w:after="0"/>
            <w:ind w:left="1771" w:right="0" w:hanging="331"/>
            <w:jc w:val="left"/>
            <w:rPr>
              <w:rFonts w:ascii="Calibri"/>
            </w:rPr>
          </w:pPr>
          <w:hyperlink w:history="true" w:anchor="_bookmark36">
            <w:r>
              <w:rPr/>
              <w:t>Purpose</w:t>
            </w:r>
            <w:r>
              <w:rPr>
                <w:spacing w:val="-5"/>
              </w:rPr>
              <w:t> </w:t>
            </w:r>
            <w:r>
              <w:rPr/>
              <w:t>and</w:t>
            </w:r>
            <w:r>
              <w:rPr>
                <w:spacing w:val="-4"/>
              </w:rPr>
              <w:t> </w:t>
            </w:r>
            <w:r>
              <w:rPr/>
              <w:t>Allowable</w:t>
            </w:r>
            <w:r>
              <w:rPr>
                <w:spacing w:val="-6"/>
              </w:rPr>
              <w:t> </w:t>
            </w:r>
            <w:r>
              <w:rPr/>
              <w:t>Uses</w:t>
            </w:r>
            <w:r>
              <w:rPr>
                <w:spacing w:val="-4"/>
              </w:rPr>
              <w:t> </w:t>
            </w:r>
            <w:r>
              <w:rPr/>
              <w:t>for</w:t>
            </w:r>
            <w:r>
              <w:rPr>
                <w:spacing w:val="-3"/>
              </w:rPr>
              <w:t> </w:t>
            </w:r>
            <w:r>
              <w:rPr/>
              <w:t>ACO</w:t>
            </w:r>
            <w:r>
              <w:rPr>
                <w:spacing w:val="-5"/>
              </w:rPr>
              <w:t> </w:t>
            </w:r>
            <w:r>
              <w:rPr/>
              <w:t>Funding</w:t>
            </w:r>
            <w:r>
              <w:rPr>
                <w:spacing w:val="-6"/>
              </w:rPr>
              <w:t> </w:t>
            </w:r>
            <w:r>
              <w:rPr/>
              <w:t>Sub-</w:t>
            </w:r>
            <w:r>
              <w:rPr>
                <w:spacing w:val="-2"/>
              </w:rPr>
              <w:t>Streams</w:t>
            </w:r>
            <w:r>
              <w:rPr/>
              <w:tab/>
            </w:r>
            <w:r>
              <w:rPr>
                <w:rFonts w:ascii="Calibri"/>
                <w:spacing w:val="-5"/>
              </w:rPr>
              <w:t>25</w:t>
            </w:r>
          </w:hyperlink>
        </w:p>
        <w:p>
          <w:pPr>
            <w:pStyle w:val="TOC3"/>
            <w:numPr>
              <w:ilvl w:val="2"/>
              <w:numId w:val="59"/>
            </w:numPr>
            <w:tabs>
              <w:tab w:pos="2540" w:val="left" w:leader="none"/>
              <w:tab w:pos="10572" w:val="right" w:leader="dot"/>
            </w:tabs>
            <w:spacing w:line="240" w:lineRule="auto" w:before="139" w:after="0"/>
            <w:ind w:left="2540" w:right="0" w:hanging="881"/>
            <w:jc w:val="left"/>
            <w:rPr>
              <w:rFonts w:ascii="Calibri"/>
            </w:rPr>
          </w:pPr>
          <w:hyperlink w:history="true" w:anchor="_bookmark37">
            <w:r>
              <w:rPr/>
              <w:t>ACO</w:t>
            </w:r>
            <w:r>
              <w:rPr>
                <w:spacing w:val="-6"/>
              </w:rPr>
              <w:t> </w:t>
            </w:r>
            <w:r>
              <w:rPr/>
              <w:t>Sub-Streams</w:t>
            </w:r>
            <w:r>
              <w:rPr>
                <w:spacing w:val="-3"/>
              </w:rPr>
              <w:t> </w:t>
            </w:r>
            <w:r>
              <w:rPr/>
              <w:t>1</w:t>
            </w:r>
            <w:r>
              <w:rPr>
                <w:spacing w:val="-2"/>
              </w:rPr>
              <w:t> </w:t>
            </w:r>
            <w:r>
              <w:rPr/>
              <w:t>&amp;</w:t>
            </w:r>
            <w:r>
              <w:rPr>
                <w:spacing w:val="-5"/>
              </w:rPr>
              <w:t> </w:t>
            </w:r>
            <w:r>
              <w:rPr/>
              <w:t>2:</w:t>
            </w:r>
            <w:r>
              <w:rPr>
                <w:spacing w:val="-2"/>
              </w:rPr>
              <w:t> </w:t>
            </w:r>
            <w:r>
              <w:rPr/>
              <w:t>Startup/Ongoing</w:t>
            </w:r>
            <w:r>
              <w:rPr>
                <w:spacing w:val="-5"/>
              </w:rPr>
              <w:t> </w:t>
            </w:r>
            <w:r>
              <w:rPr/>
              <w:t>Funding</w:t>
            </w:r>
            <w:r>
              <w:rPr>
                <w:spacing w:val="-6"/>
              </w:rPr>
              <w:t> </w:t>
            </w:r>
            <w:r>
              <w:rPr/>
              <w:t>(Primary</w:t>
            </w:r>
            <w:r>
              <w:rPr>
                <w:spacing w:val="-5"/>
              </w:rPr>
              <w:t> </w:t>
            </w:r>
            <w:r>
              <w:rPr/>
              <w:t>Care</w:t>
            </w:r>
            <w:r>
              <w:rPr>
                <w:spacing w:val="-3"/>
              </w:rPr>
              <w:t> </w:t>
            </w:r>
            <w:r>
              <w:rPr/>
              <w:t>&amp;</w:t>
            </w:r>
            <w:r>
              <w:rPr>
                <w:spacing w:val="-4"/>
              </w:rPr>
              <w:t> </w:t>
            </w:r>
            <w:r>
              <w:rPr>
                <w:spacing w:val="-2"/>
              </w:rPr>
              <w:t>Discretionary)</w:t>
            </w:r>
            <w:r>
              <w:rPr/>
              <w:tab/>
            </w:r>
            <w:r>
              <w:rPr>
                <w:rFonts w:ascii="Calibri"/>
                <w:spacing w:val="-5"/>
              </w:rPr>
              <w:t>25</w:t>
            </w:r>
          </w:hyperlink>
        </w:p>
        <w:p>
          <w:pPr>
            <w:pStyle w:val="TOC3"/>
            <w:numPr>
              <w:ilvl w:val="2"/>
              <w:numId w:val="59"/>
            </w:numPr>
            <w:tabs>
              <w:tab w:pos="2540" w:val="left" w:leader="none"/>
              <w:tab w:pos="10572" w:val="right" w:leader="dot"/>
            </w:tabs>
            <w:spacing w:line="240" w:lineRule="auto" w:before="142" w:after="0"/>
            <w:ind w:left="2540" w:right="0" w:hanging="881"/>
            <w:jc w:val="left"/>
            <w:rPr>
              <w:rFonts w:ascii="Calibri"/>
            </w:rPr>
          </w:pPr>
          <w:hyperlink w:history="true" w:anchor="_bookmark38">
            <w:r>
              <w:rPr/>
              <w:t>ACO</w:t>
            </w:r>
            <w:r>
              <w:rPr>
                <w:spacing w:val="-4"/>
              </w:rPr>
              <w:t> </w:t>
            </w:r>
            <w:r>
              <w:rPr/>
              <w:t>Sub-Stream</w:t>
            </w:r>
            <w:r>
              <w:rPr>
                <w:spacing w:val="-7"/>
              </w:rPr>
              <w:t> </w:t>
            </w:r>
            <w:r>
              <w:rPr/>
              <w:t>3:</w:t>
            </w:r>
            <w:r>
              <w:rPr>
                <w:spacing w:val="-2"/>
              </w:rPr>
              <w:t> </w:t>
            </w:r>
            <w:r>
              <w:rPr/>
              <w:t>Flexible</w:t>
            </w:r>
            <w:r>
              <w:rPr>
                <w:spacing w:val="-3"/>
              </w:rPr>
              <w:t> </w:t>
            </w:r>
            <w:r>
              <w:rPr/>
              <w:t>Services</w:t>
            </w:r>
            <w:r>
              <w:rPr>
                <w:spacing w:val="-2"/>
              </w:rPr>
              <w:t> Funding</w:t>
            </w:r>
            <w:r>
              <w:rPr/>
              <w:tab/>
            </w:r>
            <w:r>
              <w:rPr>
                <w:rFonts w:ascii="Calibri"/>
                <w:spacing w:val="-5"/>
              </w:rPr>
              <w:t>26</w:t>
            </w:r>
          </w:hyperlink>
        </w:p>
        <w:p>
          <w:pPr>
            <w:pStyle w:val="TOC3"/>
            <w:numPr>
              <w:ilvl w:val="2"/>
              <w:numId w:val="59"/>
            </w:numPr>
            <w:tabs>
              <w:tab w:pos="2540" w:val="left" w:leader="none"/>
              <w:tab w:pos="10572" w:val="right" w:leader="dot"/>
            </w:tabs>
            <w:spacing w:line="240" w:lineRule="auto" w:before="140" w:after="0"/>
            <w:ind w:left="2540" w:right="0" w:hanging="881"/>
            <w:jc w:val="left"/>
            <w:rPr>
              <w:rFonts w:ascii="Calibri"/>
            </w:rPr>
          </w:pPr>
          <w:hyperlink w:history="true" w:anchor="_bookmark39">
            <w:r>
              <w:rPr/>
              <w:t>ACO</w:t>
            </w:r>
            <w:r>
              <w:rPr>
                <w:spacing w:val="-3"/>
              </w:rPr>
              <w:t> </w:t>
            </w:r>
            <w:r>
              <w:rPr/>
              <w:t>Sub-Stream</w:t>
            </w:r>
            <w:r>
              <w:rPr>
                <w:spacing w:val="-6"/>
              </w:rPr>
              <w:t> </w:t>
            </w:r>
            <w:r>
              <w:rPr/>
              <w:t>4:</w:t>
            </w:r>
            <w:r>
              <w:rPr>
                <w:spacing w:val="-1"/>
              </w:rPr>
              <w:t> </w:t>
            </w:r>
            <w:r>
              <w:rPr/>
              <w:t>DSTI</w:t>
            </w:r>
            <w:r>
              <w:rPr>
                <w:spacing w:val="-5"/>
              </w:rPr>
              <w:t> </w:t>
            </w:r>
            <w:r>
              <w:rPr/>
              <w:t>Glide</w:t>
            </w:r>
            <w:r>
              <w:rPr>
                <w:spacing w:val="-2"/>
              </w:rPr>
              <w:t> </w:t>
            </w:r>
            <w:r>
              <w:rPr/>
              <w:t>Path</w:t>
            </w:r>
            <w:r>
              <w:rPr>
                <w:spacing w:val="-4"/>
              </w:rPr>
              <w:t> </w:t>
            </w:r>
            <w:r>
              <w:rPr>
                <w:spacing w:val="-2"/>
              </w:rPr>
              <w:t>Funding</w:t>
            </w:r>
            <w:r>
              <w:rPr/>
              <w:tab/>
            </w:r>
            <w:r>
              <w:rPr>
                <w:rFonts w:ascii="Calibri"/>
                <w:spacing w:val="-5"/>
              </w:rPr>
              <w:t>26</w:t>
            </w:r>
          </w:hyperlink>
        </w:p>
        <w:p>
          <w:pPr>
            <w:pStyle w:val="TOC2"/>
            <w:numPr>
              <w:ilvl w:val="1"/>
              <w:numId w:val="59"/>
            </w:numPr>
            <w:tabs>
              <w:tab w:pos="1771" w:val="left" w:leader="none"/>
              <w:tab w:pos="10572" w:val="right" w:leader="dot"/>
            </w:tabs>
            <w:spacing w:line="240" w:lineRule="auto" w:before="139" w:after="0"/>
            <w:ind w:left="1771" w:right="0" w:hanging="331"/>
            <w:jc w:val="left"/>
            <w:rPr>
              <w:rFonts w:ascii="Calibri"/>
            </w:rPr>
          </w:pPr>
          <w:hyperlink w:history="true" w:anchor="_bookmark40">
            <w:r>
              <w:rPr/>
              <w:t>Purpose</w:t>
            </w:r>
            <w:r>
              <w:rPr>
                <w:spacing w:val="-6"/>
              </w:rPr>
              <w:t> </w:t>
            </w:r>
            <w:r>
              <w:rPr/>
              <w:t>and</w:t>
            </w:r>
            <w:r>
              <w:rPr>
                <w:spacing w:val="-4"/>
              </w:rPr>
              <w:t> </w:t>
            </w:r>
            <w:r>
              <w:rPr/>
              <w:t>Allowable</w:t>
            </w:r>
            <w:r>
              <w:rPr>
                <w:spacing w:val="-5"/>
              </w:rPr>
              <w:t> </w:t>
            </w:r>
            <w:r>
              <w:rPr/>
              <w:t>Uses</w:t>
            </w:r>
            <w:r>
              <w:rPr>
                <w:spacing w:val="-4"/>
              </w:rPr>
              <w:t> </w:t>
            </w:r>
            <w:r>
              <w:rPr/>
              <w:t>for</w:t>
            </w:r>
            <w:r>
              <w:rPr>
                <w:spacing w:val="-3"/>
              </w:rPr>
              <w:t> </w:t>
            </w:r>
            <w:r>
              <w:rPr/>
              <w:t>CP</w:t>
            </w:r>
            <w:r>
              <w:rPr>
                <w:spacing w:val="-5"/>
              </w:rPr>
              <w:t> </w:t>
            </w:r>
            <w:r>
              <w:rPr/>
              <w:t>and</w:t>
            </w:r>
            <w:r>
              <w:rPr>
                <w:spacing w:val="-3"/>
              </w:rPr>
              <w:t> </w:t>
            </w:r>
            <w:r>
              <w:rPr/>
              <w:t>CSA</w:t>
            </w:r>
            <w:r>
              <w:rPr>
                <w:spacing w:val="-5"/>
              </w:rPr>
              <w:t> </w:t>
            </w:r>
            <w:r>
              <w:rPr/>
              <w:t>Funding</w:t>
            </w:r>
            <w:r>
              <w:rPr>
                <w:spacing w:val="-6"/>
              </w:rPr>
              <w:t> </w:t>
            </w:r>
            <w:r>
              <w:rPr/>
              <w:t>Sub-</w:t>
            </w:r>
            <w:r>
              <w:rPr>
                <w:spacing w:val="-2"/>
              </w:rPr>
              <w:t>Streams</w:t>
            </w:r>
            <w:r>
              <w:rPr/>
              <w:tab/>
            </w:r>
            <w:r>
              <w:rPr>
                <w:rFonts w:ascii="Calibri"/>
                <w:spacing w:val="-5"/>
              </w:rPr>
              <w:t>27</w:t>
            </w:r>
          </w:hyperlink>
        </w:p>
        <w:p>
          <w:pPr>
            <w:pStyle w:val="TOC3"/>
            <w:numPr>
              <w:ilvl w:val="2"/>
              <w:numId w:val="59"/>
            </w:numPr>
            <w:tabs>
              <w:tab w:pos="2540" w:val="left" w:leader="none"/>
              <w:tab w:pos="10572" w:val="right" w:leader="dot"/>
            </w:tabs>
            <w:spacing w:line="240" w:lineRule="auto" w:before="142" w:after="0"/>
            <w:ind w:left="2540" w:right="0" w:hanging="881"/>
            <w:jc w:val="left"/>
            <w:rPr>
              <w:rFonts w:ascii="Calibri"/>
            </w:rPr>
          </w:pPr>
          <w:hyperlink w:history="true" w:anchor="_bookmark41">
            <w:r>
              <w:rPr/>
              <w:t>BH</w:t>
            </w:r>
            <w:r>
              <w:rPr>
                <w:spacing w:val="-4"/>
              </w:rPr>
              <w:t> </w:t>
            </w:r>
            <w:r>
              <w:rPr/>
              <w:t>CP</w:t>
            </w:r>
            <w:r>
              <w:rPr>
                <w:spacing w:val="-3"/>
              </w:rPr>
              <w:t> </w:t>
            </w:r>
            <w:r>
              <w:rPr/>
              <w:t>Sub-Stream</w:t>
            </w:r>
            <w:r>
              <w:rPr>
                <w:spacing w:val="-7"/>
              </w:rPr>
              <w:t> </w:t>
            </w:r>
            <w:r>
              <w:rPr/>
              <w:t>1:</w:t>
            </w:r>
            <w:r>
              <w:rPr>
                <w:spacing w:val="-1"/>
              </w:rPr>
              <w:t> </w:t>
            </w:r>
            <w:r>
              <w:rPr/>
              <w:t>Care</w:t>
            </w:r>
            <w:r>
              <w:rPr>
                <w:spacing w:val="-5"/>
              </w:rPr>
              <w:t> </w:t>
            </w:r>
            <w:r>
              <w:rPr/>
              <w:t>Coordination</w:t>
            </w:r>
            <w:r>
              <w:rPr>
                <w:spacing w:val="-2"/>
              </w:rPr>
              <w:t> </w:t>
            </w:r>
            <w:r>
              <w:rPr/>
              <w:t>Supports</w:t>
            </w:r>
            <w:r>
              <w:rPr>
                <w:spacing w:val="-2"/>
              </w:rPr>
              <w:t> Funding</w:t>
            </w:r>
            <w:r>
              <w:rPr/>
              <w:tab/>
            </w:r>
            <w:r>
              <w:rPr>
                <w:rFonts w:ascii="Calibri"/>
                <w:spacing w:val="-5"/>
              </w:rPr>
              <w:t>27</w:t>
            </w:r>
          </w:hyperlink>
        </w:p>
        <w:p>
          <w:pPr>
            <w:pStyle w:val="TOC3"/>
            <w:numPr>
              <w:ilvl w:val="2"/>
              <w:numId w:val="59"/>
            </w:numPr>
            <w:tabs>
              <w:tab w:pos="2540" w:val="left" w:leader="none"/>
              <w:tab w:pos="10572" w:val="right" w:leader="dot"/>
            </w:tabs>
            <w:spacing w:line="240" w:lineRule="auto" w:before="140" w:after="0"/>
            <w:ind w:left="2540" w:right="0" w:hanging="881"/>
            <w:jc w:val="left"/>
            <w:rPr>
              <w:rFonts w:ascii="Calibri"/>
            </w:rPr>
          </w:pPr>
          <w:hyperlink w:history="true" w:anchor="_bookmark42">
            <w:r>
              <w:rPr/>
              <w:t>BH</w:t>
            </w:r>
            <w:r>
              <w:rPr>
                <w:spacing w:val="-6"/>
              </w:rPr>
              <w:t> </w:t>
            </w:r>
            <w:r>
              <w:rPr/>
              <w:t>CP</w:t>
            </w:r>
            <w:r>
              <w:rPr>
                <w:spacing w:val="-4"/>
              </w:rPr>
              <w:t> </w:t>
            </w:r>
            <w:r>
              <w:rPr/>
              <w:t>Sub-Stream</w:t>
            </w:r>
            <w:r>
              <w:rPr>
                <w:spacing w:val="-6"/>
              </w:rPr>
              <w:t> </w:t>
            </w:r>
            <w:r>
              <w:rPr/>
              <w:t>2:</w:t>
            </w:r>
            <w:r>
              <w:rPr>
                <w:spacing w:val="-2"/>
              </w:rPr>
              <w:t> </w:t>
            </w:r>
            <w:r>
              <w:rPr/>
              <w:t>Infrastructure</w:t>
            </w:r>
            <w:r>
              <w:rPr>
                <w:spacing w:val="-4"/>
              </w:rPr>
              <w:t> </w:t>
            </w:r>
            <w:r>
              <w:rPr/>
              <w:t>and</w:t>
            </w:r>
            <w:r>
              <w:rPr>
                <w:spacing w:val="-3"/>
              </w:rPr>
              <w:t> </w:t>
            </w:r>
            <w:r>
              <w:rPr/>
              <w:t>Capacity</w:t>
            </w:r>
            <w:r>
              <w:rPr>
                <w:spacing w:val="-5"/>
              </w:rPr>
              <w:t> </w:t>
            </w:r>
            <w:r>
              <w:rPr/>
              <w:t>Building</w:t>
            </w:r>
            <w:r>
              <w:rPr>
                <w:spacing w:val="-5"/>
              </w:rPr>
              <w:t> </w:t>
            </w:r>
            <w:r>
              <w:rPr>
                <w:spacing w:val="-2"/>
              </w:rPr>
              <w:t>Funding</w:t>
            </w:r>
            <w:r>
              <w:rPr/>
              <w:tab/>
            </w:r>
            <w:r>
              <w:rPr>
                <w:rFonts w:ascii="Calibri"/>
                <w:spacing w:val="-5"/>
              </w:rPr>
              <w:t>27</w:t>
            </w:r>
          </w:hyperlink>
        </w:p>
        <w:p>
          <w:pPr>
            <w:pStyle w:val="TOC3"/>
            <w:numPr>
              <w:ilvl w:val="2"/>
              <w:numId w:val="59"/>
            </w:numPr>
            <w:tabs>
              <w:tab w:pos="2540" w:val="left" w:leader="none"/>
              <w:tab w:pos="10572" w:val="right" w:leader="dot"/>
            </w:tabs>
            <w:spacing w:line="240" w:lineRule="auto" w:before="139" w:after="0"/>
            <w:ind w:left="2540" w:right="0" w:hanging="881"/>
            <w:jc w:val="left"/>
            <w:rPr>
              <w:rFonts w:ascii="Calibri"/>
            </w:rPr>
          </w:pPr>
          <w:hyperlink w:history="true" w:anchor="_bookmark43">
            <w:r>
              <w:rPr/>
              <w:t>BH</w:t>
            </w:r>
            <w:r>
              <w:rPr>
                <w:spacing w:val="-5"/>
              </w:rPr>
              <w:t> </w:t>
            </w:r>
            <w:r>
              <w:rPr/>
              <w:t>CP</w:t>
            </w:r>
            <w:r>
              <w:rPr>
                <w:spacing w:val="-4"/>
              </w:rPr>
              <w:t> </w:t>
            </w:r>
            <w:r>
              <w:rPr/>
              <w:t>Sub-Stream</w:t>
            </w:r>
            <w:r>
              <w:rPr>
                <w:spacing w:val="-7"/>
              </w:rPr>
              <w:t> </w:t>
            </w:r>
            <w:r>
              <w:rPr/>
              <w:t>3:</w:t>
            </w:r>
            <w:r>
              <w:rPr>
                <w:spacing w:val="-2"/>
              </w:rPr>
              <w:t> </w:t>
            </w:r>
            <w:r>
              <w:rPr/>
              <w:t>Outcomes-Based</w:t>
            </w:r>
            <w:r>
              <w:rPr>
                <w:spacing w:val="-3"/>
              </w:rPr>
              <w:t> </w:t>
            </w:r>
            <w:r>
              <w:rPr>
                <w:spacing w:val="-2"/>
              </w:rPr>
              <w:t>Payments</w:t>
            </w:r>
            <w:r>
              <w:rPr/>
              <w:tab/>
            </w:r>
            <w:r>
              <w:rPr>
                <w:rFonts w:ascii="Calibri"/>
                <w:spacing w:val="-5"/>
              </w:rPr>
              <w:t>28</w:t>
            </w:r>
          </w:hyperlink>
        </w:p>
        <w:p>
          <w:pPr>
            <w:pStyle w:val="TOC3"/>
            <w:numPr>
              <w:ilvl w:val="2"/>
              <w:numId w:val="59"/>
            </w:numPr>
            <w:tabs>
              <w:tab w:pos="2539" w:val="left" w:leader="none"/>
              <w:tab w:pos="10572" w:val="right" w:leader="dot"/>
            </w:tabs>
            <w:spacing w:line="240" w:lineRule="auto" w:before="142" w:after="0"/>
            <w:ind w:left="2539" w:right="0" w:hanging="880"/>
            <w:jc w:val="left"/>
            <w:rPr>
              <w:rFonts w:ascii="Calibri"/>
            </w:rPr>
          </w:pPr>
          <w:hyperlink w:history="true" w:anchor="_bookmark44">
            <w:r>
              <w:rPr/>
              <w:t>LTSS</w:t>
            </w:r>
            <w:r>
              <w:rPr>
                <w:spacing w:val="-5"/>
              </w:rPr>
              <w:t> </w:t>
            </w:r>
            <w:r>
              <w:rPr/>
              <w:t>CP</w:t>
            </w:r>
            <w:r>
              <w:rPr>
                <w:spacing w:val="-4"/>
              </w:rPr>
              <w:t> </w:t>
            </w:r>
            <w:r>
              <w:rPr/>
              <w:t>Sub-Stream</w:t>
            </w:r>
            <w:r>
              <w:rPr>
                <w:spacing w:val="-6"/>
              </w:rPr>
              <w:t> </w:t>
            </w:r>
            <w:r>
              <w:rPr/>
              <w:t>1:</w:t>
            </w:r>
            <w:r>
              <w:rPr>
                <w:spacing w:val="-3"/>
              </w:rPr>
              <w:t> </w:t>
            </w:r>
            <w:r>
              <w:rPr/>
              <w:t>Care</w:t>
            </w:r>
            <w:r>
              <w:rPr>
                <w:spacing w:val="-3"/>
              </w:rPr>
              <w:t> </w:t>
            </w:r>
            <w:r>
              <w:rPr/>
              <w:t>Coordination</w:t>
            </w:r>
            <w:r>
              <w:rPr>
                <w:spacing w:val="-3"/>
              </w:rPr>
              <w:t> </w:t>
            </w:r>
            <w:r>
              <w:rPr/>
              <w:t>Supports</w:t>
            </w:r>
            <w:r>
              <w:rPr>
                <w:spacing w:val="-7"/>
              </w:rPr>
              <w:t> </w:t>
            </w:r>
            <w:r>
              <w:rPr>
                <w:spacing w:val="-2"/>
              </w:rPr>
              <w:t>Funding</w:t>
            </w:r>
            <w:r>
              <w:rPr/>
              <w:tab/>
            </w:r>
            <w:r>
              <w:rPr>
                <w:rFonts w:ascii="Calibri"/>
                <w:spacing w:val="-5"/>
              </w:rPr>
              <w:t>28</w:t>
            </w:r>
          </w:hyperlink>
        </w:p>
        <w:p>
          <w:pPr>
            <w:pStyle w:val="TOC3"/>
            <w:numPr>
              <w:ilvl w:val="2"/>
              <w:numId w:val="59"/>
            </w:numPr>
            <w:tabs>
              <w:tab w:pos="2539" w:val="left" w:leader="none"/>
              <w:tab w:pos="10572" w:val="right" w:leader="dot"/>
            </w:tabs>
            <w:spacing w:line="240" w:lineRule="auto" w:before="140" w:after="0"/>
            <w:ind w:left="2539" w:right="0" w:hanging="880"/>
            <w:jc w:val="left"/>
            <w:rPr>
              <w:rFonts w:ascii="Calibri"/>
            </w:rPr>
          </w:pPr>
          <w:hyperlink w:history="true" w:anchor="_bookmark45">
            <w:r>
              <w:rPr/>
              <w:t>LTSS</w:t>
            </w:r>
            <w:r>
              <w:rPr>
                <w:spacing w:val="-6"/>
              </w:rPr>
              <w:t> </w:t>
            </w:r>
            <w:r>
              <w:rPr/>
              <w:t>CP</w:t>
            </w:r>
            <w:r>
              <w:rPr>
                <w:spacing w:val="-4"/>
              </w:rPr>
              <w:t> </w:t>
            </w:r>
            <w:r>
              <w:rPr/>
              <w:t>Sub-Stream</w:t>
            </w:r>
            <w:r>
              <w:rPr>
                <w:spacing w:val="-7"/>
              </w:rPr>
              <w:t> </w:t>
            </w:r>
            <w:r>
              <w:rPr/>
              <w:t>2:</w:t>
            </w:r>
            <w:r>
              <w:rPr>
                <w:spacing w:val="-2"/>
              </w:rPr>
              <w:t> </w:t>
            </w:r>
            <w:r>
              <w:rPr/>
              <w:t>Infrastructure</w:t>
            </w:r>
            <w:r>
              <w:rPr>
                <w:spacing w:val="-2"/>
              </w:rPr>
              <w:t> </w:t>
            </w:r>
            <w:r>
              <w:rPr/>
              <w:t>and</w:t>
            </w:r>
            <w:r>
              <w:rPr>
                <w:spacing w:val="-3"/>
              </w:rPr>
              <w:t> </w:t>
            </w:r>
            <w:r>
              <w:rPr/>
              <w:t>Capacity</w:t>
            </w:r>
            <w:r>
              <w:rPr>
                <w:spacing w:val="-6"/>
              </w:rPr>
              <w:t> </w:t>
            </w:r>
            <w:r>
              <w:rPr/>
              <w:t>Building</w:t>
            </w:r>
            <w:r>
              <w:rPr>
                <w:spacing w:val="-5"/>
              </w:rPr>
              <w:t> </w:t>
            </w:r>
            <w:r>
              <w:rPr>
                <w:spacing w:val="-2"/>
              </w:rPr>
              <w:t>Funding</w:t>
            </w:r>
            <w:r>
              <w:rPr/>
              <w:tab/>
            </w:r>
            <w:r>
              <w:rPr>
                <w:rFonts w:ascii="Calibri"/>
                <w:spacing w:val="-5"/>
              </w:rPr>
              <w:t>28</w:t>
            </w:r>
          </w:hyperlink>
        </w:p>
        <w:p>
          <w:pPr>
            <w:pStyle w:val="TOC3"/>
            <w:numPr>
              <w:ilvl w:val="2"/>
              <w:numId w:val="59"/>
            </w:numPr>
            <w:tabs>
              <w:tab w:pos="2539" w:val="left" w:leader="none"/>
              <w:tab w:pos="10572" w:val="right" w:leader="dot"/>
            </w:tabs>
            <w:spacing w:line="240" w:lineRule="auto" w:before="139" w:after="0"/>
            <w:ind w:left="2539" w:right="0" w:hanging="880"/>
            <w:jc w:val="left"/>
            <w:rPr>
              <w:rFonts w:ascii="Calibri"/>
            </w:rPr>
          </w:pPr>
          <w:hyperlink w:history="true" w:anchor="_bookmark46">
            <w:r>
              <w:rPr/>
              <w:t>LTSS</w:t>
            </w:r>
            <w:r>
              <w:rPr>
                <w:spacing w:val="-5"/>
              </w:rPr>
              <w:t> </w:t>
            </w:r>
            <w:r>
              <w:rPr/>
              <w:t>CP</w:t>
            </w:r>
            <w:r>
              <w:rPr>
                <w:spacing w:val="-5"/>
              </w:rPr>
              <w:t> </w:t>
            </w:r>
            <w:r>
              <w:rPr/>
              <w:t>Sub-Stream</w:t>
            </w:r>
            <w:r>
              <w:rPr>
                <w:spacing w:val="-8"/>
              </w:rPr>
              <w:t> </w:t>
            </w:r>
            <w:r>
              <w:rPr/>
              <w:t>3:</w:t>
            </w:r>
            <w:r>
              <w:rPr>
                <w:spacing w:val="-3"/>
              </w:rPr>
              <w:t> </w:t>
            </w:r>
            <w:r>
              <w:rPr/>
              <w:t>Outcomes-Based</w:t>
            </w:r>
            <w:r>
              <w:rPr>
                <w:spacing w:val="-3"/>
              </w:rPr>
              <w:t> </w:t>
            </w:r>
            <w:r>
              <w:rPr>
                <w:spacing w:val="-2"/>
              </w:rPr>
              <w:t>Payments</w:t>
            </w:r>
            <w:r>
              <w:rPr/>
              <w:tab/>
            </w:r>
            <w:r>
              <w:rPr>
                <w:rFonts w:ascii="Calibri"/>
                <w:spacing w:val="-5"/>
              </w:rPr>
              <w:t>28</w:t>
            </w:r>
          </w:hyperlink>
        </w:p>
        <w:p>
          <w:pPr>
            <w:pStyle w:val="TOC3"/>
            <w:numPr>
              <w:ilvl w:val="2"/>
              <w:numId w:val="59"/>
            </w:numPr>
            <w:tabs>
              <w:tab w:pos="2539" w:val="left" w:leader="none"/>
              <w:tab w:pos="10572" w:val="right" w:leader="dot"/>
            </w:tabs>
            <w:spacing w:line="240" w:lineRule="auto" w:before="142" w:after="0"/>
            <w:ind w:left="2539" w:right="0" w:hanging="881"/>
            <w:jc w:val="left"/>
            <w:rPr>
              <w:rFonts w:ascii="Calibri"/>
            </w:rPr>
          </w:pPr>
          <w:hyperlink w:history="true" w:anchor="_bookmark47">
            <w:r>
              <w:rPr/>
              <w:t>CSA</w:t>
            </w:r>
            <w:r>
              <w:rPr>
                <w:spacing w:val="-7"/>
              </w:rPr>
              <w:t> </w:t>
            </w:r>
            <w:r>
              <w:rPr/>
              <w:t>Sub-Stream</w:t>
            </w:r>
            <w:r>
              <w:rPr>
                <w:spacing w:val="-8"/>
              </w:rPr>
              <w:t> </w:t>
            </w:r>
            <w:r>
              <w:rPr/>
              <w:t>1:</w:t>
            </w:r>
            <w:r>
              <w:rPr>
                <w:spacing w:val="-1"/>
              </w:rPr>
              <w:t> </w:t>
            </w:r>
            <w:r>
              <w:rPr/>
              <w:t>Infrastructure</w:t>
            </w:r>
            <w:r>
              <w:rPr>
                <w:spacing w:val="-4"/>
              </w:rPr>
              <w:t> </w:t>
            </w:r>
            <w:r>
              <w:rPr/>
              <w:t>and</w:t>
            </w:r>
            <w:r>
              <w:rPr>
                <w:spacing w:val="-4"/>
              </w:rPr>
              <w:t> </w:t>
            </w:r>
            <w:r>
              <w:rPr/>
              <w:t>Capacity</w:t>
            </w:r>
            <w:r>
              <w:rPr>
                <w:spacing w:val="-7"/>
              </w:rPr>
              <w:t> </w:t>
            </w:r>
            <w:r>
              <w:rPr/>
              <w:t>Building</w:t>
            </w:r>
            <w:r>
              <w:rPr>
                <w:spacing w:val="-6"/>
              </w:rPr>
              <w:t> </w:t>
            </w:r>
            <w:r>
              <w:rPr>
                <w:spacing w:val="-2"/>
              </w:rPr>
              <w:t>Funding</w:t>
            </w:r>
            <w:r>
              <w:rPr/>
              <w:tab/>
            </w:r>
            <w:r>
              <w:rPr>
                <w:rFonts w:ascii="Calibri"/>
                <w:spacing w:val="-5"/>
              </w:rPr>
              <w:t>29</w:t>
            </w:r>
          </w:hyperlink>
        </w:p>
        <w:p>
          <w:pPr>
            <w:pStyle w:val="TOC2"/>
            <w:numPr>
              <w:ilvl w:val="1"/>
              <w:numId w:val="59"/>
            </w:numPr>
            <w:tabs>
              <w:tab w:pos="1771" w:val="left" w:leader="none"/>
              <w:tab w:pos="10572" w:val="right" w:leader="dot"/>
            </w:tabs>
            <w:spacing w:line="240" w:lineRule="auto" w:before="139" w:after="0"/>
            <w:ind w:left="1771" w:right="0" w:hanging="331"/>
            <w:jc w:val="left"/>
            <w:rPr>
              <w:rFonts w:ascii="Calibri"/>
            </w:rPr>
          </w:pPr>
          <w:hyperlink w:history="true" w:anchor="_bookmark48">
            <w:r>
              <w:rPr/>
              <w:t>Payment</w:t>
            </w:r>
            <w:r>
              <w:rPr>
                <w:spacing w:val="-4"/>
              </w:rPr>
              <w:t> </w:t>
            </w:r>
            <w:r>
              <w:rPr/>
              <w:t>Calculation</w:t>
            </w:r>
            <w:r>
              <w:rPr>
                <w:spacing w:val="-7"/>
              </w:rPr>
              <w:t> </w:t>
            </w:r>
            <w:r>
              <w:rPr/>
              <w:t>and</w:t>
            </w:r>
            <w:r>
              <w:rPr>
                <w:spacing w:val="-5"/>
              </w:rPr>
              <w:t> </w:t>
            </w:r>
            <w:r>
              <w:rPr/>
              <w:t>Timing</w:t>
            </w:r>
            <w:r>
              <w:rPr>
                <w:spacing w:val="-7"/>
              </w:rPr>
              <w:t> </w:t>
            </w:r>
            <w:r>
              <w:rPr/>
              <w:t>for</w:t>
            </w:r>
            <w:r>
              <w:rPr>
                <w:spacing w:val="-3"/>
              </w:rPr>
              <w:t> </w:t>
            </w:r>
            <w:r>
              <w:rPr/>
              <w:t>ACO</w:t>
            </w:r>
            <w:r>
              <w:rPr>
                <w:spacing w:val="-5"/>
              </w:rPr>
              <w:t> </w:t>
            </w:r>
            <w:r>
              <w:rPr/>
              <w:t>Sub-</w:t>
            </w:r>
            <w:r>
              <w:rPr>
                <w:spacing w:val="-2"/>
              </w:rPr>
              <w:t>Streams</w:t>
            </w:r>
            <w:r>
              <w:rPr/>
              <w:tab/>
            </w:r>
            <w:r>
              <w:rPr>
                <w:rFonts w:ascii="Calibri"/>
                <w:spacing w:val="-5"/>
              </w:rPr>
              <w:t>29</w:t>
            </w:r>
          </w:hyperlink>
        </w:p>
        <w:p>
          <w:pPr>
            <w:pStyle w:val="TOC3"/>
            <w:numPr>
              <w:ilvl w:val="2"/>
              <w:numId w:val="59"/>
            </w:numPr>
            <w:tabs>
              <w:tab w:pos="2539" w:val="left" w:leader="none"/>
              <w:tab w:pos="10572" w:val="right" w:leader="dot"/>
            </w:tabs>
            <w:spacing w:line="240" w:lineRule="auto" w:before="142" w:after="0"/>
            <w:ind w:left="2539" w:right="0" w:hanging="881"/>
            <w:jc w:val="left"/>
            <w:rPr>
              <w:rFonts w:ascii="Calibri"/>
            </w:rPr>
          </w:pPr>
          <w:hyperlink w:history="true" w:anchor="_bookmark49">
            <w:r>
              <w:rPr/>
              <w:t>ACO</w:t>
            </w:r>
            <w:r>
              <w:rPr>
                <w:spacing w:val="-6"/>
              </w:rPr>
              <w:t> </w:t>
            </w:r>
            <w:r>
              <w:rPr/>
              <w:t>Sub-Streams</w:t>
            </w:r>
            <w:r>
              <w:rPr>
                <w:spacing w:val="-3"/>
              </w:rPr>
              <w:t> </w:t>
            </w:r>
            <w:r>
              <w:rPr/>
              <w:t>1</w:t>
            </w:r>
            <w:r>
              <w:rPr>
                <w:spacing w:val="-2"/>
              </w:rPr>
              <w:t> </w:t>
            </w:r>
            <w:r>
              <w:rPr/>
              <w:t>&amp;</w:t>
            </w:r>
            <w:r>
              <w:rPr>
                <w:spacing w:val="-5"/>
              </w:rPr>
              <w:t> </w:t>
            </w:r>
            <w:r>
              <w:rPr/>
              <w:t>2:</w:t>
            </w:r>
            <w:r>
              <w:rPr>
                <w:spacing w:val="-2"/>
              </w:rPr>
              <w:t> </w:t>
            </w:r>
            <w:r>
              <w:rPr/>
              <w:t>Startup/Ongoing</w:t>
            </w:r>
            <w:r>
              <w:rPr>
                <w:spacing w:val="-5"/>
              </w:rPr>
              <w:t> </w:t>
            </w:r>
            <w:r>
              <w:rPr/>
              <w:t>Funding</w:t>
            </w:r>
            <w:r>
              <w:rPr>
                <w:spacing w:val="-6"/>
              </w:rPr>
              <w:t> </w:t>
            </w:r>
            <w:r>
              <w:rPr/>
              <w:t>(Primary</w:t>
            </w:r>
            <w:r>
              <w:rPr>
                <w:spacing w:val="-5"/>
              </w:rPr>
              <w:t> </w:t>
            </w:r>
            <w:r>
              <w:rPr/>
              <w:t>Care</w:t>
            </w:r>
            <w:r>
              <w:rPr>
                <w:spacing w:val="-3"/>
              </w:rPr>
              <w:t> </w:t>
            </w:r>
            <w:r>
              <w:rPr/>
              <w:t>&amp;</w:t>
            </w:r>
            <w:r>
              <w:rPr>
                <w:spacing w:val="-4"/>
              </w:rPr>
              <w:t> </w:t>
            </w:r>
            <w:r>
              <w:rPr>
                <w:spacing w:val="-2"/>
              </w:rPr>
              <w:t>Discretionary)</w:t>
            </w:r>
            <w:r>
              <w:rPr/>
              <w:tab/>
            </w:r>
            <w:r>
              <w:rPr>
                <w:rFonts w:ascii="Calibri"/>
                <w:spacing w:val="-5"/>
              </w:rPr>
              <w:t>29</w:t>
            </w:r>
          </w:hyperlink>
        </w:p>
        <w:p>
          <w:pPr>
            <w:pStyle w:val="TOC3"/>
            <w:numPr>
              <w:ilvl w:val="2"/>
              <w:numId w:val="59"/>
            </w:numPr>
            <w:tabs>
              <w:tab w:pos="2539" w:val="left" w:leader="none"/>
              <w:tab w:pos="10572" w:val="right" w:leader="dot"/>
            </w:tabs>
            <w:spacing w:line="240" w:lineRule="auto" w:before="140" w:after="0"/>
            <w:ind w:left="2539" w:right="0" w:hanging="881"/>
            <w:jc w:val="left"/>
            <w:rPr>
              <w:rFonts w:ascii="Calibri"/>
            </w:rPr>
          </w:pPr>
          <w:hyperlink w:history="true" w:anchor="_bookmark50">
            <w:r>
              <w:rPr/>
              <w:t>ACO</w:t>
            </w:r>
            <w:r>
              <w:rPr>
                <w:spacing w:val="-4"/>
              </w:rPr>
              <w:t> </w:t>
            </w:r>
            <w:r>
              <w:rPr/>
              <w:t>Sub-Stream</w:t>
            </w:r>
            <w:r>
              <w:rPr>
                <w:spacing w:val="-7"/>
              </w:rPr>
              <w:t> </w:t>
            </w:r>
            <w:r>
              <w:rPr/>
              <w:t>3:</w:t>
            </w:r>
            <w:r>
              <w:rPr>
                <w:spacing w:val="-2"/>
              </w:rPr>
              <w:t> </w:t>
            </w:r>
            <w:r>
              <w:rPr/>
              <w:t>Flexible</w:t>
            </w:r>
            <w:r>
              <w:rPr>
                <w:spacing w:val="-3"/>
              </w:rPr>
              <w:t> </w:t>
            </w:r>
            <w:r>
              <w:rPr/>
              <w:t>Services</w:t>
            </w:r>
            <w:r>
              <w:rPr>
                <w:spacing w:val="-2"/>
              </w:rPr>
              <w:t> Funding</w:t>
            </w:r>
            <w:r>
              <w:rPr/>
              <w:tab/>
            </w:r>
            <w:r>
              <w:rPr>
                <w:rFonts w:ascii="Calibri"/>
                <w:spacing w:val="-5"/>
              </w:rPr>
              <w:t>31</w:t>
            </w:r>
          </w:hyperlink>
        </w:p>
        <w:p>
          <w:pPr>
            <w:pStyle w:val="TOC3"/>
            <w:numPr>
              <w:ilvl w:val="2"/>
              <w:numId w:val="59"/>
            </w:numPr>
            <w:tabs>
              <w:tab w:pos="2539" w:val="left" w:leader="none"/>
              <w:tab w:pos="10572" w:val="right" w:leader="dot"/>
            </w:tabs>
            <w:spacing w:line="240" w:lineRule="auto" w:before="139" w:after="0"/>
            <w:ind w:left="2539" w:right="0" w:hanging="881"/>
            <w:jc w:val="left"/>
            <w:rPr>
              <w:rFonts w:ascii="Calibri"/>
            </w:rPr>
          </w:pPr>
          <w:hyperlink w:history="true" w:anchor="_bookmark51">
            <w:r>
              <w:rPr/>
              <w:t>ACO</w:t>
            </w:r>
            <w:r>
              <w:rPr>
                <w:spacing w:val="-3"/>
              </w:rPr>
              <w:t> </w:t>
            </w:r>
            <w:r>
              <w:rPr/>
              <w:t>Sub-Stream</w:t>
            </w:r>
            <w:r>
              <w:rPr>
                <w:spacing w:val="-6"/>
              </w:rPr>
              <w:t> </w:t>
            </w:r>
            <w:r>
              <w:rPr/>
              <w:t>4:</w:t>
            </w:r>
            <w:r>
              <w:rPr>
                <w:spacing w:val="-1"/>
              </w:rPr>
              <w:t> </w:t>
            </w:r>
            <w:r>
              <w:rPr/>
              <w:t>DSTI</w:t>
            </w:r>
            <w:r>
              <w:rPr>
                <w:spacing w:val="-6"/>
              </w:rPr>
              <w:t> </w:t>
            </w:r>
            <w:r>
              <w:rPr/>
              <w:t>Glide</w:t>
            </w:r>
            <w:r>
              <w:rPr>
                <w:spacing w:val="-2"/>
              </w:rPr>
              <w:t> </w:t>
            </w:r>
            <w:r>
              <w:rPr/>
              <w:t>Path</w:t>
            </w:r>
            <w:r>
              <w:rPr>
                <w:spacing w:val="-4"/>
              </w:rPr>
              <w:t> </w:t>
            </w:r>
            <w:r>
              <w:rPr>
                <w:spacing w:val="-2"/>
              </w:rPr>
              <w:t>Funding</w:t>
            </w:r>
            <w:r>
              <w:rPr/>
              <w:tab/>
            </w:r>
            <w:r>
              <w:rPr>
                <w:rFonts w:ascii="Calibri"/>
                <w:spacing w:val="-5"/>
              </w:rPr>
              <w:t>32</w:t>
            </w:r>
          </w:hyperlink>
        </w:p>
        <w:p>
          <w:pPr>
            <w:pStyle w:val="TOC3"/>
            <w:numPr>
              <w:ilvl w:val="2"/>
              <w:numId w:val="59"/>
            </w:numPr>
            <w:tabs>
              <w:tab w:pos="2539" w:val="left" w:leader="none"/>
              <w:tab w:pos="10572" w:val="right" w:leader="dot"/>
            </w:tabs>
            <w:spacing w:line="240" w:lineRule="auto" w:before="142" w:after="0"/>
            <w:ind w:left="2539" w:right="0" w:hanging="881"/>
            <w:jc w:val="left"/>
            <w:rPr>
              <w:rFonts w:ascii="Calibri"/>
            </w:rPr>
          </w:pPr>
          <w:hyperlink w:history="true" w:anchor="_bookmark52">
            <w:r>
              <w:rPr/>
              <w:t>Detail</w:t>
            </w:r>
            <w:r>
              <w:rPr>
                <w:spacing w:val="-4"/>
              </w:rPr>
              <w:t> </w:t>
            </w:r>
            <w:r>
              <w:rPr/>
              <w:t>on</w:t>
            </w:r>
            <w:r>
              <w:rPr>
                <w:spacing w:val="-7"/>
              </w:rPr>
              <w:t> </w:t>
            </w:r>
            <w:r>
              <w:rPr/>
              <w:t>calculating</w:t>
            </w:r>
            <w:r>
              <w:rPr>
                <w:spacing w:val="-7"/>
              </w:rPr>
              <w:t> </w:t>
            </w:r>
            <w:r>
              <w:rPr/>
              <w:t>member-</w:t>
            </w:r>
            <w:r>
              <w:rPr>
                <w:spacing w:val="-2"/>
              </w:rPr>
              <w:t>months</w:t>
            </w:r>
            <w:r>
              <w:rPr/>
              <w:tab/>
            </w:r>
            <w:r>
              <w:rPr>
                <w:rFonts w:ascii="Calibri"/>
                <w:spacing w:val="-5"/>
              </w:rPr>
              <w:t>33</w:t>
            </w:r>
          </w:hyperlink>
        </w:p>
        <w:p>
          <w:pPr>
            <w:pStyle w:val="TOC2"/>
            <w:numPr>
              <w:ilvl w:val="1"/>
              <w:numId w:val="59"/>
            </w:numPr>
            <w:tabs>
              <w:tab w:pos="1771" w:val="left" w:leader="none"/>
              <w:tab w:pos="10572" w:val="right" w:leader="dot"/>
            </w:tabs>
            <w:spacing w:line="240" w:lineRule="auto" w:before="140" w:after="0"/>
            <w:ind w:left="1771" w:right="0" w:hanging="331"/>
            <w:jc w:val="left"/>
            <w:rPr>
              <w:rFonts w:ascii="Calibri"/>
            </w:rPr>
          </w:pPr>
          <w:hyperlink w:history="true" w:anchor="_bookmark53">
            <w:r>
              <w:rPr/>
              <w:t>Payment</w:t>
            </w:r>
            <w:r>
              <w:rPr>
                <w:spacing w:val="-3"/>
              </w:rPr>
              <w:t> </w:t>
            </w:r>
            <w:r>
              <w:rPr/>
              <w:t>Calculation</w:t>
            </w:r>
            <w:r>
              <w:rPr>
                <w:spacing w:val="-6"/>
              </w:rPr>
              <w:t> </w:t>
            </w:r>
            <w:r>
              <w:rPr/>
              <w:t>and</w:t>
            </w:r>
            <w:r>
              <w:rPr>
                <w:spacing w:val="-3"/>
              </w:rPr>
              <w:t> </w:t>
            </w:r>
            <w:r>
              <w:rPr/>
              <w:t>Timing</w:t>
            </w:r>
            <w:r>
              <w:rPr>
                <w:spacing w:val="-6"/>
              </w:rPr>
              <w:t> </w:t>
            </w:r>
            <w:r>
              <w:rPr/>
              <w:t>for</w:t>
            </w:r>
            <w:r>
              <w:rPr>
                <w:spacing w:val="-3"/>
              </w:rPr>
              <w:t> </w:t>
            </w:r>
            <w:r>
              <w:rPr/>
              <w:t>CP</w:t>
            </w:r>
            <w:r>
              <w:rPr>
                <w:spacing w:val="-4"/>
              </w:rPr>
              <w:t> </w:t>
            </w:r>
            <w:r>
              <w:rPr/>
              <w:t>and</w:t>
            </w:r>
            <w:r>
              <w:rPr>
                <w:spacing w:val="-3"/>
              </w:rPr>
              <w:t> </w:t>
            </w:r>
            <w:r>
              <w:rPr/>
              <w:t>CSA</w:t>
            </w:r>
            <w:r>
              <w:rPr>
                <w:spacing w:val="-7"/>
              </w:rPr>
              <w:t> </w:t>
            </w:r>
            <w:r>
              <w:rPr/>
              <w:t>Sub-</w:t>
            </w:r>
            <w:r>
              <w:rPr>
                <w:spacing w:val="-2"/>
              </w:rPr>
              <w:t>Streams</w:t>
            </w:r>
            <w:r>
              <w:rPr/>
              <w:tab/>
            </w:r>
            <w:r>
              <w:rPr>
                <w:rFonts w:ascii="Calibri"/>
                <w:spacing w:val="-5"/>
              </w:rPr>
              <w:t>34</w:t>
            </w:r>
          </w:hyperlink>
        </w:p>
        <w:p>
          <w:pPr>
            <w:pStyle w:val="TOC3"/>
            <w:numPr>
              <w:ilvl w:val="2"/>
              <w:numId w:val="59"/>
            </w:numPr>
            <w:tabs>
              <w:tab w:pos="2539" w:val="left" w:leader="none"/>
              <w:tab w:pos="10572" w:val="right" w:leader="dot"/>
            </w:tabs>
            <w:spacing w:line="240" w:lineRule="auto" w:before="139" w:after="0"/>
            <w:ind w:left="2539" w:right="0" w:hanging="881"/>
            <w:jc w:val="left"/>
            <w:rPr>
              <w:rFonts w:ascii="Calibri"/>
            </w:rPr>
          </w:pPr>
          <w:hyperlink w:history="true" w:anchor="_bookmark54">
            <w:r>
              <w:rPr/>
              <w:t>BH</w:t>
            </w:r>
            <w:r>
              <w:rPr>
                <w:spacing w:val="-4"/>
              </w:rPr>
              <w:t> </w:t>
            </w:r>
            <w:r>
              <w:rPr/>
              <w:t>CP</w:t>
            </w:r>
            <w:r>
              <w:rPr>
                <w:spacing w:val="-3"/>
              </w:rPr>
              <w:t> </w:t>
            </w:r>
            <w:r>
              <w:rPr/>
              <w:t>Sub-Stream</w:t>
            </w:r>
            <w:r>
              <w:rPr>
                <w:spacing w:val="-7"/>
              </w:rPr>
              <w:t> </w:t>
            </w:r>
            <w:r>
              <w:rPr/>
              <w:t>1:</w:t>
            </w:r>
            <w:r>
              <w:rPr>
                <w:spacing w:val="-1"/>
              </w:rPr>
              <w:t> </w:t>
            </w:r>
            <w:r>
              <w:rPr/>
              <w:t>Care</w:t>
            </w:r>
            <w:r>
              <w:rPr>
                <w:spacing w:val="-5"/>
              </w:rPr>
              <w:t> </w:t>
            </w:r>
            <w:r>
              <w:rPr/>
              <w:t>Coordination</w:t>
            </w:r>
            <w:r>
              <w:rPr>
                <w:spacing w:val="-2"/>
              </w:rPr>
              <w:t> </w:t>
            </w:r>
            <w:r>
              <w:rPr/>
              <w:t>Supports</w:t>
            </w:r>
            <w:r>
              <w:rPr>
                <w:spacing w:val="-2"/>
              </w:rPr>
              <w:t> Funding</w:t>
            </w:r>
            <w:r>
              <w:rPr/>
              <w:tab/>
            </w:r>
            <w:r>
              <w:rPr>
                <w:rFonts w:ascii="Calibri"/>
                <w:spacing w:val="-5"/>
              </w:rPr>
              <w:t>34</w:t>
            </w:r>
          </w:hyperlink>
        </w:p>
        <w:p>
          <w:pPr>
            <w:pStyle w:val="TOC3"/>
            <w:numPr>
              <w:ilvl w:val="2"/>
              <w:numId w:val="59"/>
            </w:numPr>
            <w:tabs>
              <w:tab w:pos="2539" w:val="left" w:leader="none"/>
              <w:tab w:pos="10572" w:val="right" w:leader="dot"/>
            </w:tabs>
            <w:spacing w:line="240" w:lineRule="auto" w:before="142" w:after="0"/>
            <w:ind w:left="2539" w:right="0" w:hanging="881"/>
            <w:jc w:val="left"/>
            <w:rPr>
              <w:rFonts w:ascii="Calibri"/>
            </w:rPr>
          </w:pPr>
          <w:hyperlink w:history="true" w:anchor="_bookmark55">
            <w:r>
              <w:rPr/>
              <w:t>BH</w:t>
            </w:r>
            <w:r>
              <w:rPr>
                <w:spacing w:val="-6"/>
              </w:rPr>
              <w:t> </w:t>
            </w:r>
            <w:r>
              <w:rPr/>
              <w:t>CP</w:t>
            </w:r>
            <w:r>
              <w:rPr>
                <w:spacing w:val="-4"/>
              </w:rPr>
              <w:t> </w:t>
            </w:r>
            <w:r>
              <w:rPr/>
              <w:t>Sub-Stream</w:t>
            </w:r>
            <w:r>
              <w:rPr>
                <w:spacing w:val="-6"/>
              </w:rPr>
              <w:t> </w:t>
            </w:r>
            <w:r>
              <w:rPr/>
              <w:t>2:</w:t>
            </w:r>
            <w:r>
              <w:rPr>
                <w:spacing w:val="-2"/>
              </w:rPr>
              <w:t> </w:t>
            </w:r>
            <w:r>
              <w:rPr/>
              <w:t>Infrastructure</w:t>
            </w:r>
            <w:r>
              <w:rPr>
                <w:spacing w:val="-4"/>
              </w:rPr>
              <w:t> </w:t>
            </w:r>
            <w:r>
              <w:rPr/>
              <w:t>and</w:t>
            </w:r>
            <w:r>
              <w:rPr>
                <w:spacing w:val="-3"/>
              </w:rPr>
              <w:t> </w:t>
            </w:r>
            <w:r>
              <w:rPr/>
              <w:t>Capacity</w:t>
            </w:r>
            <w:r>
              <w:rPr>
                <w:spacing w:val="-5"/>
              </w:rPr>
              <w:t> </w:t>
            </w:r>
            <w:r>
              <w:rPr/>
              <w:t>Building</w:t>
            </w:r>
            <w:r>
              <w:rPr>
                <w:spacing w:val="-5"/>
              </w:rPr>
              <w:t> </w:t>
            </w:r>
            <w:r>
              <w:rPr>
                <w:spacing w:val="-2"/>
              </w:rPr>
              <w:t>Funding</w:t>
            </w:r>
            <w:r>
              <w:rPr/>
              <w:tab/>
            </w:r>
            <w:r>
              <w:rPr>
                <w:rFonts w:ascii="Calibri"/>
                <w:spacing w:val="-5"/>
              </w:rPr>
              <w:t>35</w:t>
            </w:r>
          </w:hyperlink>
        </w:p>
        <w:p>
          <w:pPr>
            <w:pStyle w:val="TOC3"/>
            <w:numPr>
              <w:ilvl w:val="2"/>
              <w:numId w:val="59"/>
            </w:numPr>
            <w:tabs>
              <w:tab w:pos="2539" w:val="left" w:leader="none"/>
              <w:tab w:pos="10572" w:val="right" w:leader="dot"/>
            </w:tabs>
            <w:spacing w:line="240" w:lineRule="auto" w:before="140" w:after="0"/>
            <w:ind w:left="2539" w:right="0" w:hanging="881"/>
            <w:jc w:val="left"/>
            <w:rPr>
              <w:rFonts w:ascii="Calibri"/>
            </w:rPr>
          </w:pPr>
          <w:hyperlink w:history="true" w:anchor="_bookmark56">
            <w:r>
              <w:rPr/>
              <w:t>BH</w:t>
            </w:r>
            <w:r>
              <w:rPr>
                <w:spacing w:val="-5"/>
              </w:rPr>
              <w:t> </w:t>
            </w:r>
            <w:r>
              <w:rPr/>
              <w:t>CP</w:t>
            </w:r>
            <w:r>
              <w:rPr>
                <w:spacing w:val="-4"/>
              </w:rPr>
              <w:t> </w:t>
            </w:r>
            <w:r>
              <w:rPr/>
              <w:t>Sub-Stream</w:t>
            </w:r>
            <w:r>
              <w:rPr>
                <w:spacing w:val="-7"/>
              </w:rPr>
              <w:t> </w:t>
            </w:r>
            <w:r>
              <w:rPr/>
              <w:t>3:</w:t>
            </w:r>
            <w:r>
              <w:rPr>
                <w:spacing w:val="-2"/>
              </w:rPr>
              <w:t> </w:t>
            </w:r>
            <w:r>
              <w:rPr/>
              <w:t>Outcomes-Based</w:t>
            </w:r>
            <w:r>
              <w:rPr>
                <w:spacing w:val="-3"/>
              </w:rPr>
              <w:t> </w:t>
            </w:r>
            <w:r>
              <w:rPr>
                <w:spacing w:val="-2"/>
              </w:rPr>
              <w:t>Payments</w:t>
            </w:r>
            <w:r>
              <w:rPr/>
              <w:tab/>
            </w:r>
            <w:r>
              <w:rPr>
                <w:rFonts w:ascii="Calibri"/>
                <w:spacing w:val="-5"/>
              </w:rPr>
              <w:t>35</w:t>
            </w:r>
          </w:hyperlink>
        </w:p>
        <w:p>
          <w:pPr>
            <w:pStyle w:val="TOC3"/>
            <w:numPr>
              <w:ilvl w:val="2"/>
              <w:numId w:val="59"/>
            </w:numPr>
            <w:tabs>
              <w:tab w:pos="2539" w:val="left" w:leader="none"/>
              <w:tab w:pos="10572" w:val="right" w:leader="dot"/>
            </w:tabs>
            <w:spacing w:line="240" w:lineRule="auto" w:before="139" w:after="0"/>
            <w:ind w:left="2539" w:right="0" w:hanging="881"/>
            <w:jc w:val="left"/>
            <w:rPr>
              <w:rFonts w:ascii="Calibri"/>
            </w:rPr>
          </w:pPr>
          <w:hyperlink w:history="true" w:anchor="_bookmark57">
            <w:r>
              <w:rPr/>
              <w:t>LTSS</w:t>
            </w:r>
            <w:r>
              <w:rPr>
                <w:spacing w:val="-5"/>
              </w:rPr>
              <w:t> </w:t>
            </w:r>
            <w:r>
              <w:rPr/>
              <w:t>CP</w:t>
            </w:r>
            <w:r>
              <w:rPr>
                <w:spacing w:val="-4"/>
              </w:rPr>
              <w:t> </w:t>
            </w:r>
            <w:r>
              <w:rPr/>
              <w:t>Sub-Stream</w:t>
            </w:r>
            <w:r>
              <w:rPr>
                <w:spacing w:val="-6"/>
              </w:rPr>
              <w:t> </w:t>
            </w:r>
            <w:r>
              <w:rPr/>
              <w:t>1:</w:t>
            </w:r>
            <w:r>
              <w:rPr>
                <w:spacing w:val="-3"/>
              </w:rPr>
              <w:t> </w:t>
            </w:r>
            <w:r>
              <w:rPr/>
              <w:t>Care</w:t>
            </w:r>
            <w:r>
              <w:rPr>
                <w:spacing w:val="-3"/>
              </w:rPr>
              <w:t> </w:t>
            </w:r>
            <w:r>
              <w:rPr/>
              <w:t>Coordination</w:t>
            </w:r>
            <w:r>
              <w:rPr>
                <w:spacing w:val="-3"/>
              </w:rPr>
              <w:t> </w:t>
            </w:r>
            <w:r>
              <w:rPr/>
              <w:t>Supports</w:t>
            </w:r>
            <w:r>
              <w:rPr>
                <w:spacing w:val="-7"/>
              </w:rPr>
              <w:t> </w:t>
            </w:r>
            <w:r>
              <w:rPr>
                <w:spacing w:val="-2"/>
              </w:rPr>
              <w:t>Funding</w:t>
            </w:r>
            <w:r>
              <w:rPr/>
              <w:tab/>
            </w:r>
            <w:r>
              <w:rPr>
                <w:rFonts w:ascii="Calibri"/>
                <w:spacing w:val="-5"/>
              </w:rPr>
              <w:t>35</w:t>
            </w:r>
          </w:hyperlink>
        </w:p>
        <w:p>
          <w:pPr>
            <w:pStyle w:val="TOC3"/>
            <w:numPr>
              <w:ilvl w:val="2"/>
              <w:numId w:val="59"/>
            </w:numPr>
            <w:tabs>
              <w:tab w:pos="2539" w:val="left" w:leader="none"/>
              <w:tab w:pos="10572" w:val="right" w:leader="dot"/>
            </w:tabs>
            <w:spacing w:line="240" w:lineRule="auto" w:before="142" w:after="0"/>
            <w:ind w:left="2539" w:right="0" w:hanging="881"/>
            <w:jc w:val="left"/>
            <w:rPr>
              <w:rFonts w:ascii="Calibri"/>
            </w:rPr>
          </w:pPr>
          <w:hyperlink w:history="true" w:anchor="_bookmark58">
            <w:r>
              <w:rPr/>
              <w:t>LTSS</w:t>
            </w:r>
            <w:r>
              <w:rPr>
                <w:spacing w:val="-6"/>
              </w:rPr>
              <w:t> </w:t>
            </w:r>
            <w:r>
              <w:rPr/>
              <w:t>CP</w:t>
            </w:r>
            <w:r>
              <w:rPr>
                <w:spacing w:val="-4"/>
              </w:rPr>
              <w:t> </w:t>
            </w:r>
            <w:r>
              <w:rPr/>
              <w:t>Sub-Stream</w:t>
            </w:r>
            <w:r>
              <w:rPr>
                <w:spacing w:val="-7"/>
              </w:rPr>
              <w:t> </w:t>
            </w:r>
            <w:r>
              <w:rPr/>
              <w:t>2:</w:t>
            </w:r>
            <w:r>
              <w:rPr>
                <w:spacing w:val="-2"/>
              </w:rPr>
              <w:t> </w:t>
            </w:r>
            <w:r>
              <w:rPr/>
              <w:t>Infrastructure</w:t>
            </w:r>
            <w:r>
              <w:rPr>
                <w:spacing w:val="-2"/>
              </w:rPr>
              <w:t> </w:t>
            </w:r>
            <w:r>
              <w:rPr/>
              <w:t>and</w:t>
            </w:r>
            <w:r>
              <w:rPr>
                <w:spacing w:val="-3"/>
              </w:rPr>
              <w:t> </w:t>
            </w:r>
            <w:r>
              <w:rPr/>
              <w:t>Capacity</w:t>
            </w:r>
            <w:r>
              <w:rPr>
                <w:spacing w:val="-6"/>
              </w:rPr>
              <w:t> </w:t>
            </w:r>
            <w:r>
              <w:rPr/>
              <w:t>Building</w:t>
            </w:r>
            <w:r>
              <w:rPr>
                <w:spacing w:val="-5"/>
              </w:rPr>
              <w:t> </w:t>
            </w:r>
            <w:r>
              <w:rPr>
                <w:spacing w:val="-2"/>
              </w:rPr>
              <w:t>Funding</w:t>
            </w:r>
            <w:r>
              <w:rPr/>
              <w:tab/>
            </w:r>
            <w:r>
              <w:rPr>
                <w:rFonts w:ascii="Calibri"/>
                <w:spacing w:val="-5"/>
              </w:rPr>
              <w:t>36</w:t>
            </w:r>
          </w:hyperlink>
        </w:p>
        <w:p>
          <w:pPr>
            <w:pStyle w:val="TOC3"/>
            <w:numPr>
              <w:ilvl w:val="2"/>
              <w:numId w:val="59"/>
            </w:numPr>
            <w:tabs>
              <w:tab w:pos="2539" w:val="left" w:leader="none"/>
              <w:tab w:pos="10570" w:val="right" w:leader="dot"/>
            </w:tabs>
            <w:spacing w:line="240" w:lineRule="auto" w:before="140" w:after="0"/>
            <w:ind w:left="2539" w:right="0" w:hanging="881"/>
            <w:jc w:val="left"/>
            <w:rPr>
              <w:rFonts w:ascii="Calibri"/>
            </w:rPr>
          </w:pPr>
          <w:hyperlink w:history="true" w:anchor="_bookmark59">
            <w:r>
              <w:rPr/>
              <w:t>LTSS</w:t>
            </w:r>
            <w:r>
              <w:rPr>
                <w:spacing w:val="-5"/>
              </w:rPr>
              <w:t> </w:t>
            </w:r>
            <w:r>
              <w:rPr/>
              <w:t>CP</w:t>
            </w:r>
            <w:r>
              <w:rPr>
                <w:spacing w:val="-5"/>
              </w:rPr>
              <w:t> </w:t>
            </w:r>
            <w:r>
              <w:rPr/>
              <w:t>Sub-Stream</w:t>
            </w:r>
            <w:r>
              <w:rPr>
                <w:spacing w:val="-8"/>
              </w:rPr>
              <w:t> </w:t>
            </w:r>
            <w:r>
              <w:rPr/>
              <w:t>3:</w:t>
            </w:r>
            <w:r>
              <w:rPr>
                <w:spacing w:val="-3"/>
              </w:rPr>
              <w:t> </w:t>
            </w:r>
            <w:r>
              <w:rPr/>
              <w:t>Outcomes-Based</w:t>
            </w:r>
            <w:r>
              <w:rPr>
                <w:spacing w:val="-3"/>
              </w:rPr>
              <w:t> </w:t>
            </w:r>
            <w:r>
              <w:rPr>
                <w:spacing w:val="-2"/>
              </w:rPr>
              <w:t>Payments</w:t>
            </w:r>
            <w:r>
              <w:rPr/>
              <w:tab/>
            </w:r>
            <w:r>
              <w:rPr>
                <w:rFonts w:ascii="Calibri"/>
                <w:spacing w:val="-5"/>
              </w:rPr>
              <w:t>37</w:t>
            </w:r>
          </w:hyperlink>
        </w:p>
        <w:p>
          <w:pPr>
            <w:pStyle w:val="TOC3"/>
            <w:numPr>
              <w:ilvl w:val="2"/>
              <w:numId w:val="59"/>
            </w:numPr>
            <w:tabs>
              <w:tab w:pos="2538" w:val="left" w:leader="none"/>
              <w:tab w:pos="10571" w:val="right" w:leader="dot"/>
            </w:tabs>
            <w:spacing w:line="240" w:lineRule="auto" w:before="139" w:after="0"/>
            <w:ind w:left="2538" w:right="0" w:hanging="880"/>
            <w:jc w:val="left"/>
            <w:rPr>
              <w:rFonts w:ascii="Calibri"/>
            </w:rPr>
          </w:pPr>
          <w:hyperlink w:history="true" w:anchor="_bookmark60">
            <w:r>
              <w:rPr/>
              <w:t>CSA</w:t>
            </w:r>
            <w:r>
              <w:rPr>
                <w:spacing w:val="-6"/>
              </w:rPr>
              <w:t> </w:t>
            </w:r>
            <w:r>
              <w:rPr/>
              <w:t>Sub-Stream</w:t>
            </w:r>
            <w:r>
              <w:rPr>
                <w:spacing w:val="-7"/>
              </w:rPr>
              <w:t> </w:t>
            </w:r>
            <w:r>
              <w:rPr/>
              <w:t>1:</w:t>
            </w:r>
            <w:r>
              <w:rPr>
                <w:spacing w:val="-2"/>
              </w:rPr>
              <w:t> </w:t>
            </w:r>
            <w:r>
              <w:rPr/>
              <w:t>Infrastructure</w:t>
            </w:r>
            <w:r>
              <w:rPr>
                <w:spacing w:val="-4"/>
              </w:rPr>
              <w:t> </w:t>
            </w:r>
            <w:r>
              <w:rPr/>
              <w:t>and</w:t>
            </w:r>
            <w:r>
              <w:rPr>
                <w:spacing w:val="-4"/>
              </w:rPr>
              <w:t> </w:t>
            </w:r>
            <w:r>
              <w:rPr/>
              <w:t>Capacity</w:t>
            </w:r>
            <w:r>
              <w:rPr>
                <w:spacing w:val="-7"/>
              </w:rPr>
              <w:t> </w:t>
            </w:r>
            <w:r>
              <w:rPr/>
              <w:t>Building</w:t>
            </w:r>
            <w:r>
              <w:rPr>
                <w:spacing w:val="-6"/>
              </w:rPr>
              <w:t> </w:t>
            </w:r>
            <w:r>
              <w:rPr>
                <w:spacing w:val="-2"/>
              </w:rPr>
              <w:t>Funding</w:t>
            </w:r>
            <w:r>
              <w:rPr/>
              <w:tab/>
            </w:r>
            <w:r>
              <w:rPr>
                <w:rFonts w:ascii="Calibri"/>
                <w:spacing w:val="-5"/>
              </w:rPr>
              <w:t>37</w:t>
            </w:r>
          </w:hyperlink>
        </w:p>
        <w:p>
          <w:pPr>
            <w:pStyle w:val="TOC2"/>
            <w:numPr>
              <w:ilvl w:val="1"/>
              <w:numId w:val="59"/>
            </w:numPr>
            <w:tabs>
              <w:tab w:pos="1771" w:val="left" w:leader="none"/>
              <w:tab w:pos="10572" w:val="right" w:leader="dot"/>
            </w:tabs>
            <w:spacing w:line="240" w:lineRule="auto" w:before="141" w:after="0"/>
            <w:ind w:left="1771" w:right="0" w:hanging="331"/>
            <w:jc w:val="left"/>
            <w:rPr>
              <w:rFonts w:ascii="Calibri"/>
            </w:rPr>
          </w:pPr>
          <w:hyperlink w:history="true" w:anchor="_bookmark61">
            <w:r>
              <w:rPr/>
              <w:t>Statewide</w:t>
            </w:r>
            <w:r>
              <w:rPr>
                <w:spacing w:val="-6"/>
              </w:rPr>
              <w:t> </w:t>
            </w:r>
            <w:r>
              <w:rPr/>
              <w:t>Investments</w:t>
            </w:r>
            <w:r>
              <w:rPr>
                <w:spacing w:val="-5"/>
              </w:rPr>
              <w:t> </w:t>
            </w:r>
            <w:r>
              <w:rPr/>
              <w:t>Funding</w:t>
            </w:r>
            <w:r>
              <w:rPr>
                <w:spacing w:val="-8"/>
              </w:rPr>
              <w:t> </w:t>
            </w:r>
            <w:r>
              <w:rPr/>
              <w:t>Determination</w:t>
            </w:r>
            <w:r>
              <w:rPr>
                <w:spacing w:val="-7"/>
              </w:rPr>
              <w:t> </w:t>
            </w:r>
            <w:r>
              <w:rPr>
                <w:spacing w:val="-2"/>
              </w:rPr>
              <w:t>Methodology</w:t>
            </w:r>
            <w:r>
              <w:rPr/>
              <w:tab/>
            </w:r>
            <w:r>
              <w:rPr>
                <w:rFonts w:ascii="Calibri"/>
                <w:spacing w:val="-5"/>
              </w:rPr>
              <w:t>37</w:t>
            </w:r>
          </w:hyperlink>
        </w:p>
        <w:p>
          <w:pPr>
            <w:pStyle w:val="TOC3"/>
            <w:numPr>
              <w:ilvl w:val="2"/>
              <w:numId w:val="59"/>
            </w:numPr>
            <w:tabs>
              <w:tab w:pos="2539" w:val="left" w:leader="none"/>
              <w:tab w:pos="10572" w:val="right" w:leader="dot"/>
            </w:tabs>
            <w:spacing w:line="240" w:lineRule="auto" w:before="139" w:after="0"/>
            <w:ind w:left="2539" w:right="0" w:hanging="880"/>
            <w:jc w:val="left"/>
            <w:rPr>
              <w:rFonts w:ascii="Calibri"/>
            </w:rPr>
          </w:pPr>
          <w:hyperlink w:history="true" w:anchor="_bookmark62">
            <w:r>
              <w:rPr/>
              <w:t>Student</w:t>
            </w:r>
            <w:r>
              <w:rPr>
                <w:spacing w:val="-4"/>
              </w:rPr>
              <w:t> </w:t>
            </w:r>
            <w:r>
              <w:rPr/>
              <w:t>Loan</w:t>
            </w:r>
            <w:r>
              <w:rPr>
                <w:spacing w:val="-5"/>
              </w:rPr>
              <w:t> </w:t>
            </w:r>
            <w:r>
              <w:rPr/>
              <w:t>Repayment</w:t>
            </w:r>
            <w:r>
              <w:rPr>
                <w:spacing w:val="-3"/>
              </w:rPr>
              <w:t> </w:t>
            </w:r>
            <w:r>
              <w:rPr>
                <w:spacing w:val="-2"/>
              </w:rPr>
              <w:t>Program</w:t>
            </w:r>
            <w:r>
              <w:rPr/>
              <w:tab/>
            </w:r>
            <w:r>
              <w:rPr>
                <w:rFonts w:ascii="Calibri"/>
                <w:spacing w:val="-5"/>
              </w:rPr>
              <w:t>38</w:t>
            </w:r>
          </w:hyperlink>
        </w:p>
        <w:p>
          <w:pPr>
            <w:pStyle w:val="TOC3"/>
            <w:numPr>
              <w:ilvl w:val="2"/>
              <w:numId w:val="59"/>
            </w:numPr>
            <w:tabs>
              <w:tab w:pos="2539" w:val="left" w:leader="none"/>
              <w:tab w:pos="10572" w:val="right" w:leader="dot"/>
            </w:tabs>
            <w:spacing w:line="240" w:lineRule="auto" w:before="140" w:after="0"/>
            <w:ind w:left="2539" w:right="0" w:hanging="880"/>
            <w:jc w:val="left"/>
            <w:rPr>
              <w:rFonts w:ascii="Calibri"/>
            </w:rPr>
          </w:pPr>
          <w:hyperlink w:history="true" w:anchor="_bookmark63">
            <w:r>
              <w:rPr/>
              <w:t>Primary</w:t>
            </w:r>
            <w:r>
              <w:rPr>
                <w:spacing w:val="-6"/>
              </w:rPr>
              <w:t> </w:t>
            </w:r>
            <w:r>
              <w:rPr/>
              <w:t>Care</w:t>
            </w:r>
            <w:r>
              <w:rPr>
                <w:spacing w:val="-3"/>
              </w:rPr>
              <w:t> </w:t>
            </w:r>
            <w:r>
              <w:rPr/>
              <w:t>Integration</w:t>
            </w:r>
            <w:r>
              <w:rPr>
                <w:spacing w:val="-2"/>
              </w:rPr>
              <w:t> </w:t>
            </w:r>
            <w:r>
              <w:rPr/>
              <w:t>Models</w:t>
            </w:r>
            <w:r>
              <w:rPr>
                <w:spacing w:val="-5"/>
              </w:rPr>
              <w:t> </w:t>
            </w:r>
            <w:r>
              <w:rPr/>
              <w:t>and</w:t>
            </w:r>
            <w:r>
              <w:rPr>
                <w:spacing w:val="-2"/>
              </w:rPr>
              <w:t> Retention</w:t>
            </w:r>
            <w:r>
              <w:rPr/>
              <w:tab/>
            </w:r>
            <w:r>
              <w:rPr>
                <w:rFonts w:ascii="Calibri"/>
                <w:spacing w:val="-5"/>
              </w:rPr>
              <w:t>39</w:t>
            </w:r>
          </w:hyperlink>
        </w:p>
        <w:p>
          <w:pPr>
            <w:pStyle w:val="TOC3"/>
            <w:numPr>
              <w:ilvl w:val="2"/>
              <w:numId w:val="59"/>
            </w:numPr>
            <w:tabs>
              <w:tab w:pos="2539" w:val="left" w:leader="none"/>
              <w:tab w:pos="10572" w:val="right" w:leader="dot"/>
            </w:tabs>
            <w:spacing w:line="240" w:lineRule="auto" w:before="142" w:after="0"/>
            <w:ind w:left="2539" w:right="0" w:hanging="880"/>
            <w:jc w:val="left"/>
            <w:rPr>
              <w:rFonts w:ascii="Calibri"/>
            </w:rPr>
          </w:pPr>
          <w:hyperlink w:history="true" w:anchor="_bookmark64">
            <w:r>
              <w:rPr/>
              <w:t>Investment</w:t>
            </w:r>
            <w:r>
              <w:rPr>
                <w:spacing w:val="-3"/>
              </w:rPr>
              <w:t> </w:t>
            </w:r>
            <w:r>
              <w:rPr/>
              <w:t>in</w:t>
            </w:r>
            <w:r>
              <w:rPr>
                <w:spacing w:val="-3"/>
              </w:rPr>
              <w:t> </w:t>
            </w:r>
            <w:r>
              <w:rPr/>
              <w:t>Primary</w:t>
            </w:r>
            <w:r>
              <w:rPr>
                <w:spacing w:val="-7"/>
              </w:rPr>
              <w:t> </w:t>
            </w:r>
            <w:r>
              <w:rPr/>
              <w:t>Care</w:t>
            </w:r>
            <w:r>
              <w:rPr>
                <w:spacing w:val="-3"/>
              </w:rPr>
              <w:t> </w:t>
            </w:r>
            <w:r>
              <w:rPr/>
              <w:t>Residency</w:t>
            </w:r>
            <w:r>
              <w:rPr>
                <w:spacing w:val="-6"/>
              </w:rPr>
              <w:t> </w:t>
            </w:r>
            <w:r>
              <w:rPr>
                <w:spacing w:val="-2"/>
              </w:rPr>
              <w:t>Training</w:t>
            </w:r>
            <w:r>
              <w:rPr/>
              <w:tab/>
            </w:r>
            <w:r>
              <w:rPr>
                <w:rFonts w:ascii="Calibri"/>
                <w:spacing w:val="-5"/>
              </w:rPr>
              <w:t>39</w:t>
            </w:r>
          </w:hyperlink>
        </w:p>
        <w:p>
          <w:pPr>
            <w:pStyle w:val="TOC3"/>
            <w:numPr>
              <w:ilvl w:val="2"/>
              <w:numId w:val="59"/>
            </w:numPr>
            <w:tabs>
              <w:tab w:pos="2539" w:val="left" w:leader="none"/>
              <w:tab w:pos="10572" w:val="right" w:leader="dot"/>
            </w:tabs>
            <w:spacing w:line="240" w:lineRule="auto" w:before="139" w:after="0"/>
            <w:ind w:left="2539" w:right="0" w:hanging="880"/>
            <w:jc w:val="left"/>
            <w:rPr>
              <w:rFonts w:ascii="Calibri"/>
            </w:rPr>
          </w:pPr>
          <w:hyperlink w:history="true" w:anchor="_bookmark65">
            <w:r>
              <w:rPr/>
              <w:t>Workforce</w:t>
            </w:r>
            <w:r>
              <w:rPr>
                <w:spacing w:val="-9"/>
              </w:rPr>
              <w:t> </w:t>
            </w:r>
            <w:r>
              <w:rPr/>
              <w:t>Development</w:t>
            </w:r>
            <w:r>
              <w:rPr>
                <w:spacing w:val="-5"/>
              </w:rPr>
              <w:t> </w:t>
            </w:r>
            <w:r>
              <w:rPr/>
              <w:t>Grant</w:t>
            </w:r>
            <w:r>
              <w:rPr>
                <w:spacing w:val="-7"/>
              </w:rPr>
              <w:t> </w:t>
            </w:r>
            <w:r>
              <w:rPr>
                <w:spacing w:val="-2"/>
              </w:rPr>
              <w:t>Program</w:t>
            </w:r>
            <w:r>
              <w:rPr/>
              <w:tab/>
            </w:r>
            <w:r>
              <w:rPr>
                <w:rFonts w:ascii="Calibri"/>
                <w:spacing w:val="-5"/>
              </w:rPr>
              <w:t>39</w:t>
            </w:r>
          </w:hyperlink>
        </w:p>
        <w:p>
          <w:pPr>
            <w:pStyle w:val="TOC3"/>
            <w:numPr>
              <w:ilvl w:val="2"/>
              <w:numId w:val="59"/>
            </w:numPr>
            <w:tabs>
              <w:tab w:pos="2539" w:val="left" w:leader="none"/>
              <w:tab w:pos="10572" w:val="right" w:leader="dot"/>
            </w:tabs>
            <w:spacing w:line="240" w:lineRule="auto" w:before="140" w:after="0"/>
            <w:ind w:left="2539" w:right="0" w:hanging="880"/>
            <w:jc w:val="left"/>
            <w:rPr>
              <w:rFonts w:ascii="Calibri"/>
            </w:rPr>
          </w:pPr>
          <w:hyperlink w:history="true" w:anchor="_bookmark66">
            <w:r>
              <w:rPr/>
              <w:t>Technical</w:t>
            </w:r>
            <w:r>
              <w:rPr>
                <w:spacing w:val="-4"/>
              </w:rPr>
              <w:t> </w:t>
            </w:r>
            <w:r>
              <w:rPr/>
              <w:t>Assistance</w:t>
            </w:r>
            <w:r>
              <w:rPr>
                <w:spacing w:val="-4"/>
              </w:rPr>
              <w:t> </w:t>
            </w:r>
            <w:r>
              <w:rPr/>
              <w:t>for</w:t>
            </w:r>
            <w:r>
              <w:rPr>
                <w:spacing w:val="-3"/>
              </w:rPr>
              <w:t> </w:t>
            </w:r>
            <w:r>
              <w:rPr/>
              <w:t>ACOs,</w:t>
            </w:r>
            <w:r>
              <w:rPr>
                <w:spacing w:val="-4"/>
              </w:rPr>
              <w:t> </w:t>
            </w:r>
            <w:r>
              <w:rPr/>
              <w:t>CPs</w:t>
            </w:r>
            <w:r>
              <w:rPr>
                <w:spacing w:val="-4"/>
              </w:rPr>
              <w:t> </w:t>
            </w:r>
            <w:r>
              <w:rPr/>
              <w:t>and</w:t>
            </w:r>
            <w:r>
              <w:rPr>
                <w:spacing w:val="-3"/>
              </w:rPr>
              <w:t> </w:t>
            </w:r>
            <w:r>
              <w:rPr>
                <w:spacing w:val="-4"/>
              </w:rPr>
              <w:t>CSAs</w:t>
            </w:r>
            <w:r>
              <w:rPr/>
              <w:tab/>
            </w:r>
            <w:r>
              <w:rPr>
                <w:rFonts w:ascii="Calibri"/>
                <w:spacing w:val="-5"/>
              </w:rPr>
              <w:t>39</w:t>
            </w:r>
          </w:hyperlink>
        </w:p>
        <w:p>
          <w:pPr>
            <w:pStyle w:val="TOC3"/>
            <w:numPr>
              <w:ilvl w:val="2"/>
              <w:numId w:val="59"/>
            </w:numPr>
            <w:tabs>
              <w:tab w:pos="2539" w:val="left" w:leader="none"/>
              <w:tab w:pos="10572" w:val="right" w:leader="dot"/>
            </w:tabs>
            <w:spacing w:line="240" w:lineRule="auto" w:before="142" w:after="20"/>
            <w:ind w:left="2539" w:right="0" w:hanging="880"/>
            <w:jc w:val="left"/>
            <w:rPr>
              <w:rFonts w:ascii="Calibri"/>
            </w:rPr>
          </w:pPr>
          <w:hyperlink w:history="true" w:anchor="_bookmark67">
            <w:r>
              <w:rPr/>
              <w:t>Alternative</w:t>
            </w:r>
            <w:r>
              <w:rPr>
                <w:spacing w:val="-7"/>
              </w:rPr>
              <w:t> </w:t>
            </w:r>
            <w:r>
              <w:rPr/>
              <w:t>Payment</w:t>
            </w:r>
            <w:r>
              <w:rPr>
                <w:spacing w:val="-5"/>
              </w:rPr>
              <w:t> </w:t>
            </w:r>
            <w:r>
              <w:rPr/>
              <w:t>Methods</w:t>
            </w:r>
            <w:r>
              <w:rPr>
                <w:spacing w:val="-6"/>
              </w:rPr>
              <w:t> </w:t>
            </w:r>
            <w:r>
              <w:rPr/>
              <w:t>(APM)</w:t>
            </w:r>
            <w:r>
              <w:rPr>
                <w:spacing w:val="-5"/>
              </w:rPr>
              <w:t> </w:t>
            </w:r>
            <w:r>
              <w:rPr/>
              <w:t>Preparation</w:t>
            </w:r>
            <w:r>
              <w:rPr>
                <w:spacing w:val="-6"/>
              </w:rPr>
              <w:t> </w:t>
            </w:r>
            <w:r>
              <w:rPr>
                <w:spacing w:val="-4"/>
              </w:rPr>
              <w:t>Fund</w:t>
            </w:r>
            <w:r>
              <w:rPr/>
              <w:tab/>
            </w:r>
            <w:r>
              <w:rPr>
                <w:rFonts w:ascii="Calibri"/>
                <w:spacing w:val="-5"/>
              </w:rPr>
              <w:t>40</w:t>
            </w:r>
          </w:hyperlink>
        </w:p>
        <w:p>
          <w:pPr>
            <w:pStyle w:val="TOC3"/>
            <w:numPr>
              <w:ilvl w:val="2"/>
              <w:numId w:val="59"/>
            </w:numPr>
            <w:tabs>
              <w:tab w:pos="2539" w:val="left" w:leader="none"/>
              <w:tab w:pos="10347" w:val="left" w:leader="dot"/>
            </w:tabs>
            <w:spacing w:line="240" w:lineRule="auto" w:before="59" w:after="0"/>
            <w:ind w:left="2539" w:right="0" w:hanging="880"/>
            <w:jc w:val="left"/>
            <w:rPr>
              <w:rFonts w:ascii="Calibri"/>
            </w:rPr>
          </w:pPr>
          <w:hyperlink w:history="true" w:anchor="_bookmark68">
            <w:r>
              <w:rPr/>
              <w:t>Enhanced</w:t>
            </w:r>
            <w:r>
              <w:rPr>
                <w:spacing w:val="-5"/>
              </w:rPr>
              <w:t> </w:t>
            </w:r>
            <w:r>
              <w:rPr/>
              <w:t>Diversionary</w:t>
            </w:r>
            <w:r>
              <w:rPr>
                <w:spacing w:val="-7"/>
              </w:rPr>
              <w:t> </w:t>
            </w:r>
            <w:r>
              <w:rPr/>
              <w:t>Behavioral</w:t>
            </w:r>
            <w:r>
              <w:rPr>
                <w:spacing w:val="-4"/>
              </w:rPr>
              <w:t> </w:t>
            </w:r>
            <w:r>
              <w:rPr/>
              <w:t>Health</w:t>
            </w:r>
            <w:r>
              <w:rPr>
                <w:spacing w:val="-4"/>
              </w:rPr>
              <w:t> </w:t>
            </w:r>
            <w:r>
              <w:rPr>
                <w:spacing w:val="-2"/>
              </w:rPr>
              <w:t>Activities</w:t>
            </w:r>
            <w:r>
              <w:rPr/>
              <w:tab/>
            </w:r>
            <w:r>
              <w:rPr>
                <w:rFonts w:ascii="Calibri"/>
                <w:spacing w:val="-5"/>
              </w:rPr>
              <w:t>40</w:t>
            </w:r>
          </w:hyperlink>
        </w:p>
        <w:p>
          <w:pPr>
            <w:pStyle w:val="TOC3"/>
            <w:numPr>
              <w:ilvl w:val="2"/>
              <w:numId w:val="59"/>
            </w:numPr>
            <w:tabs>
              <w:tab w:pos="2539" w:val="left" w:leader="none"/>
            </w:tabs>
            <w:spacing w:line="276" w:lineRule="auto" w:before="141" w:after="0"/>
            <w:ind w:left="1659" w:right="1270" w:firstLine="0"/>
            <w:jc w:val="left"/>
            <w:rPr>
              <w:rFonts w:ascii="Calibri"/>
            </w:rPr>
          </w:pPr>
          <w:hyperlink w:history="true" w:anchor="_bookmark69">
            <w:r>
              <w:rPr/>
              <w:t>Improved</w:t>
            </w:r>
            <w:r>
              <w:rPr>
                <w:spacing w:val="-2"/>
              </w:rPr>
              <w:t> </w:t>
            </w:r>
            <w:r>
              <w:rPr/>
              <w:t>Accessibility</w:t>
            </w:r>
            <w:r>
              <w:rPr>
                <w:spacing w:val="-5"/>
              </w:rPr>
              <w:t> </w:t>
            </w:r>
            <w:r>
              <w:rPr/>
              <w:t>for</w:t>
            </w:r>
            <w:r>
              <w:rPr>
                <w:spacing w:val="-4"/>
              </w:rPr>
              <w:t> </w:t>
            </w:r>
            <w:r>
              <w:rPr/>
              <w:t>People</w:t>
            </w:r>
            <w:r>
              <w:rPr>
                <w:spacing w:val="-4"/>
              </w:rPr>
              <w:t> </w:t>
            </w:r>
            <w:r>
              <w:rPr/>
              <w:t>with</w:t>
            </w:r>
            <w:r>
              <w:rPr>
                <w:spacing w:val="-2"/>
              </w:rPr>
              <w:t> </w:t>
            </w:r>
            <w:r>
              <w:rPr/>
              <w:t>Disabilities</w:t>
            </w:r>
            <w:r>
              <w:rPr>
                <w:spacing w:val="-2"/>
              </w:rPr>
              <w:t> </w:t>
            </w:r>
            <w:r>
              <w:rPr/>
              <w:t>or</w:t>
            </w:r>
            <w:r>
              <w:rPr>
                <w:spacing w:val="-4"/>
              </w:rPr>
              <w:t> </w:t>
            </w:r>
            <w:r>
              <w:rPr/>
              <w:t>for</w:t>
            </w:r>
            <w:r>
              <w:rPr>
                <w:spacing w:val="-1"/>
              </w:rPr>
              <w:t> </w:t>
            </w:r>
            <w:r>
              <w:rPr/>
              <w:t>whom</w:t>
            </w:r>
            <w:r>
              <w:rPr>
                <w:spacing w:val="-6"/>
              </w:rPr>
              <w:t> </w:t>
            </w:r>
            <w:r>
              <w:rPr/>
              <w:t>English</w:t>
            </w:r>
            <w:r>
              <w:rPr>
                <w:spacing w:val="-5"/>
              </w:rPr>
              <w:t> </w:t>
            </w:r>
            <w:r>
              <w:rPr/>
              <w:t>is</w:t>
            </w:r>
            <w:r>
              <w:rPr>
                <w:spacing w:val="-2"/>
              </w:rPr>
              <w:t> </w:t>
            </w:r>
            <w:r>
              <w:rPr/>
              <w:t>not</w:t>
            </w:r>
            <w:r>
              <w:rPr>
                <w:spacing w:val="-1"/>
              </w:rPr>
              <w:t> </w:t>
            </w:r>
            <w:r>
              <w:rPr/>
              <w:t>a</w:t>
            </w:r>
            <w:r>
              <w:rPr>
                <w:spacing w:val="-4"/>
              </w:rPr>
              <w:t> </w:t>
            </w:r>
            <w:r>
              <w:rPr/>
              <w:t>Primary</w:t>
            </w:r>
          </w:hyperlink>
          <w:r>
            <w:rPr/>
            <w:t> </w:t>
          </w:r>
          <w:hyperlink w:history="true" w:anchor="_bookmark69">
            <w:r>
              <w:rPr/>
              <w:t>Language</w:t>
            </w:r>
            <w:r>
              <w:rPr>
                <w:spacing w:val="-41"/>
              </w:rPr>
              <w:t> </w:t>
            </w:r>
            <w:r>
              <w:rPr>
                <w:rFonts w:ascii="Calibri"/>
              </w:rPr>
              <w:t>41</w:t>
            </w:r>
          </w:hyperlink>
        </w:p>
        <w:p>
          <w:pPr>
            <w:pStyle w:val="TOC2"/>
            <w:numPr>
              <w:ilvl w:val="1"/>
              <w:numId w:val="59"/>
            </w:numPr>
            <w:tabs>
              <w:tab w:pos="1771" w:val="left" w:leader="none"/>
              <w:tab w:pos="10347" w:val="left" w:leader="dot"/>
            </w:tabs>
            <w:spacing w:line="240" w:lineRule="auto" w:before="100" w:after="0"/>
            <w:ind w:left="1771" w:right="0" w:hanging="331"/>
            <w:jc w:val="left"/>
            <w:rPr>
              <w:rFonts w:ascii="Calibri"/>
            </w:rPr>
          </w:pPr>
          <w:hyperlink w:history="true" w:anchor="_bookmark70">
            <w:r>
              <w:rPr/>
              <w:t>DSRIP</w:t>
            </w:r>
            <w:r>
              <w:rPr>
                <w:spacing w:val="-6"/>
              </w:rPr>
              <w:t> </w:t>
            </w:r>
            <w:r>
              <w:rPr/>
              <w:t>Carry</w:t>
            </w:r>
            <w:r>
              <w:rPr>
                <w:spacing w:val="-7"/>
              </w:rPr>
              <w:t> </w:t>
            </w:r>
            <w:r>
              <w:rPr>
                <w:spacing w:val="-2"/>
              </w:rPr>
              <w:t>Forward</w:t>
            </w:r>
            <w:r>
              <w:rPr/>
              <w:tab/>
            </w:r>
            <w:r>
              <w:rPr>
                <w:rFonts w:ascii="Calibri"/>
                <w:spacing w:val="-5"/>
              </w:rPr>
              <w:t>41</w:t>
            </w:r>
          </w:hyperlink>
        </w:p>
        <w:p>
          <w:pPr>
            <w:pStyle w:val="TOC1"/>
            <w:tabs>
              <w:tab w:pos="2539" w:val="left" w:leader="none"/>
              <w:tab w:pos="10347" w:val="left" w:leader="dot"/>
            </w:tabs>
            <w:spacing w:line="273" w:lineRule="auto" w:before="141"/>
            <w:ind w:left="1219" w:right="1104"/>
            <w:rPr>
              <w:rFonts w:ascii="Calibri"/>
            </w:rPr>
          </w:pPr>
          <w:hyperlink w:history="true" w:anchor="_bookmark71">
            <w:r>
              <w:rPr/>
              <w:t>Section 5.</w:t>
              <w:tab/>
              <w:t>DSRIP Accountability Framework (State Accountability to CMS; ACO, CP and CSA</w:t>
            </w:r>
          </w:hyperlink>
          <w:r>
            <w:rPr/>
            <w:t> </w:t>
          </w:r>
          <w:hyperlink w:history="true" w:anchor="_bookmark71">
            <w:r>
              <w:rPr/>
              <w:t>Accountability</w:t>
            </w:r>
            <w:r>
              <w:rPr>
                <w:spacing w:val="-8"/>
              </w:rPr>
              <w:t> </w:t>
            </w:r>
            <w:r>
              <w:rPr/>
              <w:t>to</w:t>
            </w:r>
            <w:r>
              <w:rPr>
                <w:spacing w:val="-2"/>
              </w:rPr>
              <w:t> State)</w:t>
            </w:r>
            <w:r>
              <w:rPr/>
              <w:tab/>
            </w:r>
            <w:r>
              <w:rPr>
                <w:rFonts w:ascii="Calibri"/>
                <w:spacing w:val="-5"/>
              </w:rPr>
              <w:t>42</w:t>
            </w:r>
          </w:hyperlink>
        </w:p>
        <w:p>
          <w:pPr>
            <w:pStyle w:val="TOC2"/>
            <w:numPr>
              <w:ilvl w:val="1"/>
              <w:numId w:val="60"/>
            </w:numPr>
            <w:tabs>
              <w:tab w:pos="1771" w:val="left" w:leader="none"/>
              <w:tab w:pos="10347" w:val="left" w:leader="dot"/>
            </w:tabs>
            <w:spacing w:line="240" w:lineRule="auto" w:before="104" w:after="0"/>
            <w:ind w:left="1771" w:right="0" w:hanging="331"/>
            <w:jc w:val="left"/>
            <w:rPr>
              <w:rFonts w:ascii="Calibri"/>
            </w:rPr>
          </w:pPr>
          <w:hyperlink w:history="true" w:anchor="_bookmark72">
            <w:r>
              <w:rPr>
                <w:spacing w:val="-2"/>
              </w:rPr>
              <w:t>Overview</w:t>
            </w:r>
            <w:r>
              <w:rPr/>
              <w:tab/>
            </w:r>
            <w:r>
              <w:rPr>
                <w:rFonts w:ascii="Calibri"/>
                <w:spacing w:val="-5"/>
              </w:rPr>
              <w:t>42</w:t>
            </w:r>
          </w:hyperlink>
        </w:p>
        <w:p>
          <w:pPr>
            <w:pStyle w:val="TOC3"/>
            <w:numPr>
              <w:ilvl w:val="2"/>
              <w:numId w:val="60"/>
            </w:numPr>
            <w:tabs>
              <w:tab w:pos="2540" w:val="left" w:leader="none"/>
              <w:tab w:pos="10347" w:val="left" w:leader="dot"/>
            </w:tabs>
            <w:spacing w:line="240" w:lineRule="auto" w:before="140" w:after="0"/>
            <w:ind w:left="2540" w:right="0" w:hanging="881"/>
            <w:jc w:val="left"/>
            <w:rPr>
              <w:rFonts w:ascii="Calibri"/>
            </w:rPr>
          </w:pPr>
          <w:hyperlink w:history="true" w:anchor="_bookmark73">
            <w:r>
              <w:rPr/>
              <w:t>State</w:t>
            </w:r>
            <w:r>
              <w:rPr>
                <w:spacing w:val="-4"/>
              </w:rPr>
              <w:t> </w:t>
            </w:r>
            <w:r>
              <w:rPr/>
              <w:t>Accountability</w:t>
            </w:r>
            <w:r>
              <w:rPr>
                <w:spacing w:val="-6"/>
              </w:rPr>
              <w:t> </w:t>
            </w:r>
            <w:r>
              <w:rPr/>
              <w:t>to</w:t>
            </w:r>
            <w:r>
              <w:rPr>
                <w:spacing w:val="-3"/>
              </w:rPr>
              <w:t> </w:t>
            </w:r>
            <w:r>
              <w:rPr>
                <w:spacing w:val="-5"/>
              </w:rPr>
              <w:t>CMS</w:t>
            </w:r>
            <w:r>
              <w:rPr/>
              <w:tab/>
            </w:r>
            <w:r>
              <w:rPr>
                <w:rFonts w:ascii="Calibri"/>
                <w:spacing w:val="-5"/>
              </w:rPr>
              <w:t>43</w:t>
            </w:r>
          </w:hyperlink>
        </w:p>
        <w:p>
          <w:pPr>
            <w:pStyle w:val="TOC3"/>
            <w:numPr>
              <w:ilvl w:val="2"/>
              <w:numId w:val="60"/>
            </w:numPr>
            <w:tabs>
              <w:tab w:pos="2540" w:val="left" w:leader="none"/>
              <w:tab w:pos="10347" w:val="left" w:leader="dot"/>
            </w:tabs>
            <w:spacing w:line="240" w:lineRule="auto" w:before="142" w:after="0"/>
            <w:ind w:left="2540" w:right="0" w:hanging="881"/>
            <w:jc w:val="left"/>
            <w:rPr>
              <w:rFonts w:ascii="Calibri"/>
            </w:rPr>
          </w:pPr>
          <w:hyperlink w:history="true" w:anchor="_bookmark74">
            <w:r>
              <w:rPr/>
              <w:t>ACO,</w:t>
            </w:r>
            <w:r>
              <w:rPr>
                <w:spacing w:val="-2"/>
              </w:rPr>
              <w:t> </w:t>
            </w:r>
            <w:r>
              <w:rPr/>
              <w:t>CP</w:t>
            </w:r>
            <w:r>
              <w:rPr>
                <w:spacing w:val="-3"/>
              </w:rPr>
              <w:t> </w:t>
            </w:r>
            <w:r>
              <w:rPr/>
              <w:t>and</w:t>
            </w:r>
            <w:r>
              <w:rPr>
                <w:spacing w:val="-2"/>
              </w:rPr>
              <w:t> </w:t>
            </w:r>
            <w:r>
              <w:rPr/>
              <w:t>CSA</w:t>
            </w:r>
            <w:r>
              <w:rPr>
                <w:spacing w:val="-2"/>
              </w:rPr>
              <w:t> </w:t>
            </w:r>
            <w:r>
              <w:rPr/>
              <w:t>Accountability</w:t>
            </w:r>
            <w:r>
              <w:rPr>
                <w:spacing w:val="-5"/>
              </w:rPr>
              <w:t> </w:t>
            </w:r>
            <w:r>
              <w:rPr/>
              <w:t>to</w:t>
            </w:r>
            <w:r>
              <w:rPr>
                <w:spacing w:val="-5"/>
              </w:rPr>
              <w:t> </w:t>
            </w:r>
            <w:r>
              <w:rPr/>
              <w:t>the</w:t>
            </w:r>
            <w:r>
              <w:rPr>
                <w:spacing w:val="-1"/>
              </w:rPr>
              <w:t> </w:t>
            </w:r>
            <w:r>
              <w:rPr>
                <w:spacing w:val="-4"/>
              </w:rPr>
              <w:t>State</w:t>
            </w:r>
            <w:r>
              <w:rPr/>
              <w:tab/>
            </w:r>
            <w:r>
              <w:rPr>
                <w:rFonts w:ascii="Calibri"/>
                <w:spacing w:val="-5"/>
              </w:rPr>
              <w:t>46</w:t>
            </w:r>
          </w:hyperlink>
        </w:p>
        <w:p>
          <w:pPr>
            <w:pStyle w:val="TOC3"/>
            <w:numPr>
              <w:ilvl w:val="2"/>
              <w:numId w:val="60"/>
            </w:numPr>
            <w:tabs>
              <w:tab w:pos="2540" w:val="left" w:leader="none"/>
              <w:tab w:pos="10347" w:val="left" w:leader="dot"/>
            </w:tabs>
            <w:spacing w:line="240" w:lineRule="auto" w:before="139" w:after="0"/>
            <w:ind w:left="2540" w:right="0" w:hanging="881"/>
            <w:jc w:val="left"/>
            <w:rPr>
              <w:rFonts w:ascii="Calibri"/>
            </w:rPr>
          </w:pPr>
          <w:hyperlink w:history="true" w:anchor="_bookmark75">
            <w:r>
              <w:rPr/>
              <w:t>Distribution</w:t>
            </w:r>
            <w:r>
              <w:rPr>
                <w:spacing w:val="-4"/>
              </w:rPr>
              <w:t> </w:t>
            </w:r>
            <w:r>
              <w:rPr/>
              <w:t>of</w:t>
            </w:r>
            <w:r>
              <w:rPr>
                <w:spacing w:val="-2"/>
              </w:rPr>
              <w:t> </w:t>
            </w:r>
            <w:r>
              <w:rPr/>
              <w:t>Funds</w:t>
            </w:r>
            <w:r>
              <w:rPr>
                <w:spacing w:val="-3"/>
              </w:rPr>
              <w:t> </w:t>
            </w:r>
            <w:r>
              <w:rPr/>
              <w:t>Based</w:t>
            </w:r>
            <w:r>
              <w:rPr>
                <w:spacing w:val="-3"/>
              </w:rPr>
              <w:t> </w:t>
            </w:r>
            <w:r>
              <w:rPr/>
              <w:t>on</w:t>
            </w:r>
            <w:r>
              <w:rPr>
                <w:spacing w:val="-3"/>
              </w:rPr>
              <w:t> </w:t>
            </w:r>
            <w:r>
              <w:rPr>
                <w:spacing w:val="-2"/>
              </w:rPr>
              <w:t>Accountability</w:t>
            </w:r>
            <w:r>
              <w:rPr/>
              <w:tab/>
            </w:r>
            <w:r>
              <w:rPr>
                <w:rFonts w:ascii="Calibri"/>
                <w:spacing w:val="-5"/>
              </w:rPr>
              <w:t>49</w:t>
            </w:r>
          </w:hyperlink>
        </w:p>
        <w:p>
          <w:pPr>
            <w:pStyle w:val="TOC2"/>
            <w:numPr>
              <w:ilvl w:val="1"/>
              <w:numId w:val="60"/>
            </w:numPr>
            <w:tabs>
              <w:tab w:pos="1771" w:val="left" w:leader="none"/>
              <w:tab w:pos="10347" w:val="left" w:leader="dot"/>
            </w:tabs>
            <w:spacing w:line="240" w:lineRule="auto" w:before="140" w:after="0"/>
            <w:ind w:left="1771" w:right="0" w:hanging="331"/>
            <w:jc w:val="left"/>
            <w:rPr>
              <w:rFonts w:ascii="Calibri"/>
            </w:rPr>
          </w:pPr>
          <w:hyperlink w:history="true" w:anchor="_bookmark76">
            <w:r>
              <w:rPr/>
              <w:t>State</w:t>
            </w:r>
            <w:r>
              <w:rPr>
                <w:spacing w:val="-6"/>
              </w:rPr>
              <w:t> </w:t>
            </w:r>
            <w:r>
              <w:rPr/>
              <w:t>Accountability</w:t>
            </w:r>
            <w:r>
              <w:rPr>
                <w:spacing w:val="-6"/>
              </w:rPr>
              <w:t> </w:t>
            </w:r>
            <w:r>
              <w:rPr/>
              <w:t>to</w:t>
            </w:r>
            <w:r>
              <w:rPr>
                <w:spacing w:val="-5"/>
              </w:rPr>
              <w:t> CMS</w:t>
            </w:r>
            <w:r>
              <w:rPr/>
              <w:tab/>
            </w:r>
            <w:r>
              <w:rPr>
                <w:rFonts w:ascii="Calibri"/>
                <w:spacing w:val="-5"/>
              </w:rPr>
              <w:t>51</w:t>
            </w:r>
          </w:hyperlink>
        </w:p>
        <w:p>
          <w:pPr>
            <w:pStyle w:val="TOC3"/>
            <w:numPr>
              <w:ilvl w:val="2"/>
              <w:numId w:val="60"/>
            </w:numPr>
            <w:tabs>
              <w:tab w:pos="2540" w:val="left" w:leader="none"/>
              <w:tab w:pos="10347" w:val="left" w:leader="dot"/>
            </w:tabs>
            <w:spacing w:line="240" w:lineRule="auto" w:before="142" w:after="0"/>
            <w:ind w:left="2540" w:right="0" w:hanging="881"/>
            <w:jc w:val="left"/>
            <w:rPr>
              <w:rFonts w:ascii="Calibri"/>
            </w:rPr>
          </w:pPr>
          <w:hyperlink w:history="true" w:anchor="_bookmark77">
            <w:r>
              <w:rPr/>
              <w:t>Calculating</w:t>
            </w:r>
            <w:r>
              <w:rPr>
                <w:spacing w:val="-6"/>
              </w:rPr>
              <w:t> </w:t>
            </w:r>
            <w:r>
              <w:rPr/>
              <w:t>the</w:t>
            </w:r>
            <w:r>
              <w:rPr>
                <w:spacing w:val="-5"/>
              </w:rPr>
              <w:t> </w:t>
            </w:r>
            <w:r>
              <w:rPr/>
              <w:t>State</w:t>
            </w:r>
            <w:r>
              <w:rPr>
                <w:spacing w:val="-4"/>
              </w:rPr>
              <w:t> </w:t>
            </w:r>
            <w:r>
              <w:rPr/>
              <w:t>DSRIP</w:t>
            </w:r>
            <w:r>
              <w:rPr>
                <w:spacing w:val="-4"/>
              </w:rPr>
              <w:t> </w:t>
            </w:r>
            <w:r>
              <w:rPr/>
              <w:t>Accountability</w:t>
            </w:r>
            <w:r>
              <w:rPr>
                <w:spacing w:val="-5"/>
              </w:rPr>
              <w:t> </w:t>
            </w:r>
            <w:r>
              <w:rPr>
                <w:spacing w:val="-4"/>
              </w:rPr>
              <w:t>Score</w:t>
            </w:r>
            <w:r>
              <w:rPr/>
              <w:tab/>
            </w:r>
            <w:r>
              <w:rPr>
                <w:rFonts w:ascii="Calibri"/>
                <w:spacing w:val="-5"/>
              </w:rPr>
              <w:t>51</w:t>
            </w:r>
          </w:hyperlink>
        </w:p>
        <w:p>
          <w:pPr>
            <w:pStyle w:val="TOC3"/>
            <w:numPr>
              <w:ilvl w:val="2"/>
              <w:numId w:val="60"/>
            </w:numPr>
            <w:tabs>
              <w:tab w:pos="2540" w:val="left" w:leader="none"/>
              <w:tab w:pos="10347" w:val="left" w:leader="dot"/>
            </w:tabs>
            <w:spacing w:line="240" w:lineRule="auto" w:before="139" w:after="0"/>
            <w:ind w:left="2540" w:right="0" w:hanging="881"/>
            <w:jc w:val="left"/>
            <w:rPr>
              <w:rFonts w:ascii="Calibri"/>
            </w:rPr>
          </w:pPr>
          <w:hyperlink w:history="true" w:anchor="_bookmark78">
            <w:r>
              <w:rPr/>
              <w:t>DSRIP</w:t>
            </w:r>
            <w:r>
              <w:rPr>
                <w:spacing w:val="-6"/>
              </w:rPr>
              <w:t> </w:t>
            </w:r>
            <w:r>
              <w:rPr/>
              <w:t>Expenditure</w:t>
            </w:r>
            <w:r>
              <w:rPr>
                <w:spacing w:val="-4"/>
              </w:rPr>
              <w:t> </w:t>
            </w:r>
            <w:r>
              <w:rPr/>
              <w:t>Authority</w:t>
            </w:r>
            <w:r>
              <w:rPr>
                <w:spacing w:val="-7"/>
              </w:rPr>
              <w:t> </w:t>
            </w:r>
            <w:r>
              <w:rPr/>
              <w:t>and</w:t>
            </w:r>
            <w:r>
              <w:rPr>
                <w:spacing w:val="-4"/>
              </w:rPr>
              <w:t> </w:t>
            </w:r>
            <w:r>
              <w:rPr/>
              <w:t>Claiming</w:t>
            </w:r>
            <w:r>
              <w:rPr>
                <w:spacing w:val="-6"/>
              </w:rPr>
              <w:t> </w:t>
            </w:r>
            <w:r>
              <w:rPr>
                <w:spacing w:val="-5"/>
              </w:rPr>
              <w:t>FFP</w:t>
            </w:r>
            <w:r>
              <w:rPr/>
              <w:tab/>
            </w:r>
            <w:r>
              <w:rPr>
                <w:rFonts w:ascii="Calibri"/>
                <w:spacing w:val="-5"/>
              </w:rPr>
              <w:t>59</w:t>
            </w:r>
          </w:hyperlink>
        </w:p>
        <w:p>
          <w:pPr>
            <w:pStyle w:val="TOC3"/>
            <w:numPr>
              <w:ilvl w:val="2"/>
              <w:numId w:val="60"/>
            </w:numPr>
            <w:tabs>
              <w:tab w:pos="2540" w:val="left" w:leader="none"/>
              <w:tab w:pos="10347" w:val="left" w:leader="dot"/>
            </w:tabs>
            <w:spacing w:line="240" w:lineRule="auto" w:before="140" w:after="0"/>
            <w:ind w:left="2540" w:right="0" w:hanging="881"/>
            <w:jc w:val="left"/>
            <w:rPr>
              <w:rFonts w:ascii="Calibri"/>
            </w:rPr>
          </w:pPr>
          <w:hyperlink w:history="true" w:anchor="_bookmark79">
            <w:r>
              <w:rPr/>
              <w:t>Modification</w:t>
            </w:r>
            <w:r>
              <w:rPr>
                <w:spacing w:val="-8"/>
              </w:rPr>
              <w:t> </w:t>
            </w:r>
            <w:r>
              <w:rPr/>
              <w:t>to</w:t>
            </w:r>
            <w:r>
              <w:rPr>
                <w:spacing w:val="-4"/>
              </w:rPr>
              <w:t> </w:t>
            </w:r>
            <w:r>
              <w:rPr/>
              <w:t>State</w:t>
            </w:r>
            <w:r>
              <w:rPr>
                <w:spacing w:val="-4"/>
              </w:rPr>
              <w:t> </w:t>
            </w:r>
            <w:r>
              <w:rPr/>
              <w:t>Account</w:t>
            </w:r>
            <w:r>
              <w:rPr>
                <w:rFonts w:ascii="Calibri"/>
              </w:rPr>
              <w:t>a</w:t>
            </w:r>
            <w:r>
              <w:rPr/>
              <w:t>bility</w:t>
            </w:r>
            <w:r>
              <w:rPr>
                <w:spacing w:val="-7"/>
              </w:rPr>
              <w:t> </w:t>
            </w:r>
            <w:r>
              <w:rPr>
                <w:spacing w:val="-2"/>
              </w:rPr>
              <w:t>Targets</w:t>
            </w:r>
            <w:r>
              <w:rPr/>
              <w:tab/>
            </w:r>
            <w:r>
              <w:rPr>
                <w:rFonts w:ascii="Calibri"/>
                <w:spacing w:val="-5"/>
              </w:rPr>
              <w:t>59</w:t>
            </w:r>
          </w:hyperlink>
        </w:p>
        <w:p>
          <w:pPr>
            <w:pStyle w:val="TOC2"/>
            <w:numPr>
              <w:ilvl w:val="1"/>
              <w:numId w:val="60"/>
            </w:numPr>
            <w:tabs>
              <w:tab w:pos="1771" w:val="left" w:leader="none"/>
              <w:tab w:pos="10347" w:val="left" w:leader="dot"/>
            </w:tabs>
            <w:spacing w:line="240" w:lineRule="auto" w:before="141" w:after="0"/>
            <w:ind w:left="1771" w:right="0" w:hanging="331"/>
            <w:jc w:val="left"/>
            <w:rPr>
              <w:rFonts w:ascii="Calibri"/>
            </w:rPr>
          </w:pPr>
          <w:hyperlink w:history="true" w:anchor="_bookmark80">
            <w:r>
              <w:rPr/>
              <w:t>Accountability</w:t>
            </w:r>
            <w:r>
              <w:rPr>
                <w:spacing w:val="-8"/>
              </w:rPr>
              <w:t> </w:t>
            </w:r>
            <w:r>
              <w:rPr/>
              <w:t>Framework</w:t>
            </w:r>
            <w:r>
              <w:rPr>
                <w:spacing w:val="-7"/>
              </w:rPr>
              <w:t> </w:t>
            </w:r>
            <w:r>
              <w:rPr/>
              <w:t>&amp;</w:t>
            </w:r>
            <w:r>
              <w:rPr>
                <w:spacing w:val="-6"/>
              </w:rPr>
              <w:t> </w:t>
            </w:r>
            <w:r>
              <w:rPr/>
              <w:t>Performance</w:t>
            </w:r>
            <w:r>
              <w:rPr>
                <w:spacing w:val="-4"/>
              </w:rPr>
              <w:t> </w:t>
            </w:r>
            <w:r>
              <w:rPr/>
              <w:t>Based</w:t>
            </w:r>
            <w:r>
              <w:rPr>
                <w:spacing w:val="-7"/>
              </w:rPr>
              <w:t> </w:t>
            </w:r>
            <w:r>
              <w:rPr/>
              <w:t>Payments</w:t>
            </w:r>
            <w:r>
              <w:rPr>
                <w:spacing w:val="-4"/>
              </w:rPr>
              <w:t> </w:t>
            </w:r>
            <w:r>
              <w:rPr/>
              <w:t>for</w:t>
            </w:r>
            <w:r>
              <w:rPr>
                <w:spacing w:val="-3"/>
              </w:rPr>
              <w:t> </w:t>
            </w:r>
            <w:r>
              <w:rPr>
                <w:spacing w:val="-4"/>
              </w:rPr>
              <w:t>ACOs</w:t>
            </w:r>
            <w:r>
              <w:rPr/>
              <w:tab/>
            </w:r>
            <w:r>
              <w:rPr>
                <w:rFonts w:ascii="Calibri"/>
                <w:spacing w:val="-5"/>
              </w:rPr>
              <w:t>59</w:t>
            </w:r>
          </w:hyperlink>
        </w:p>
        <w:p>
          <w:pPr>
            <w:pStyle w:val="TOC3"/>
            <w:numPr>
              <w:ilvl w:val="2"/>
              <w:numId w:val="60"/>
            </w:numPr>
            <w:tabs>
              <w:tab w:pos="2540" w:val="left" w:leader="none"/>
              <w:tab w:pos="10347" w:val="left" w:leader="dot"/>
            </w:tabs>
            <w:spacing w:line="240" w:lineRule="auto" w:before="140" w:after="0"/>
            <w:ind w:left="2540" w:right="0" w:hanging="881"/>
            <w:jc w:val="left"/>
            <w:rPr>
              <w:rFonts w:ascii="Calibri"/>
            </w:rPr>
          </w:pPr>
          <w:hyperlink w:history="true" w:anchor="_bookmark81">
            <w:r>
              <w:rPr/>
              <w:t>Quality</w:t>
            </w:r>
            <w:r>
              <w:rPr>
                <w:spacing w:val="-6"/>
              </w:rPr>
              <w:t> </w:t>
            </w:r>
            <w:r>
              <w:rPr/>
              <w:t>and</w:t>
            </w:r>
            <w:r>
              <w:rPr>
                <w:spacing w:val="-5"/>
              </w:rPr>
              <w:t> </w:t>
            </w:r>
            <w:r>
              <w:rPr/>
              <w:t>TCOC</w:t>
            </w:r>
            <w:r>
              <w:rPr>
                <w:spacing w:val="-3"/>
              </w:rPr>
              <w:t> </w:t>
            </w:r>
            <w:r>
              <w:rPr/>
              <w:t>Components</w:t>
            </w:r>
            <w:r>
              <w:rPr>
                <w:spacing w:val="-4"/>
              </w:rPr>
              <w:t> </w:t>
            </w:r>
            <w:r>
              <w:rPr/>
              <w:t>of</w:t>
            </w:r>
            <w:r>
              <w:rPr>
                <w:spacing w:val="-4"/>
              </w:rPr>
              <w:t> </w:t>
            </w:r>
            <w:r>
              <w:rPr/>
              <w:t>the</w:t>
            </w:r>
            <w:r>
              <w:rPr>
                <w:spacing w:val="-2"/>
              </w:rPr>
              <w:t> </w:t>
            </w:r>
            <w:r>
              <w:rPr/>
              <w:t>ACO</w:t>
            </w:r>
            <w:r>
              <w:rPr>
                <w:spacing w:val="-3"/>
              </w:rPr>
              <w:t> </w:t>
            </w:r>
            <w:r>
              <w:rPr/>
              <w:t>DSRIP</w:t>
            </w:r>
            <w:r>
              <w:rPr>
                <w:spacing w:val="-3"/>
              </w:rPr>
              <w:t> </w:t>
            </w:r>
            <w:r>
              <w:rPr/>
              <w:t>Accountability</w:t>
            </w:r>
            <w:r>
              <w:rPr>
                <w:spacing w:val="-5"/>
              </w:rPr>
              <w:t> </w:t>
            </w:r>
            <w:r>
              <w:rPr>
                <w:spacing w:val="-2"/>
              </w:rPr>
              <w:t>Score</w:t>
            </w:r>
            <w:r>
              <w:rPr/>
              <w:tab/>
            </w:r>
            <w:r>
              <w:rPr>
                <w:rFonts w:ascii="Calibri"/>
                <w:spacing w:val="-5"/>
              </w:rPr>
              <w:t>61</w:t>
            </w:r>
          </w:hyperlink>
        </w:p>
        <w:p>
          <w:pPr>
            <w:pStyle w:val="TOC3"/>
            <w:numPr>
              <w:ilvl w:val="2"/>
              <w:numId w:val="60"/>
            </w:numPr>
            <w:tabs>
              <w:tab w:pos="2540" w:val="left" w:leader="none"/>
              <w:tab w:pos="10347" w:val="left" w:leader="dot"/>
            </w:tabs>
            <w:spacing w:line="240" w:lineRule="auto" w:before="139" w:after="0"/>
            <w:ind w:left="2540" w:right="0" w:hanging="881"/>
            <w:jc w:val="left"/>
            <w:rPr>
              <w:rFonts w:ascii="Calibri"/>
            </w:rPr>
          </w:pPr>
          <w:hyperlink w:history="true" w:anchor="_bookmark82">
            <w:r>
              <w:rPr/>
              <w:t>TCOC</w:t>
            </w:r>
            <w:r>
              <w:rPr>
                <w:spacing w:val="-5"/>
              </w:rPr>
              <w:t> </w:t>
            </w:r>
            <w:r>
              <w:rPr/>
              <w:t>component</w:t>
            </w:r>
            <w:r>
              <w:rPr>
                <w:spacing w:val="-2"/>
              </w:rPr>
              <w:t> </w:t>
            </w:r>
            <w:r>
              <w:rPr/>
              <w:t>of</w:t>
            </w:r>
            <w:r>
              <w:rPr>
                <w:spacing w:val="-5"/>
              </w:rPr>
              <w:t> </w:t>
            </w:r>
            <w:r>
              <w:rPr/>
              <w:t>the</w:t>
            </w:r>
            <w:r>
              <w:rPr>
                <w:spacing w:val="-3"/>
              </w:rPr>
              <w:t> </w:t>
            </w:r>
            <w:r>
              <w:rPr/>
              <w:t>ACO</w:t>
            </w:r>
            <w:r>
              <w:rPr>
                <w:spacing w:val="-4"/>
              </w:rPr>
              <w:t> </w:t>
            </w:r>
            <w:r>
              <w:rPr/>
              <w:t>DSRIP</w:t>
            </w:r>
            <w:r>
              <w:rPr>
                <w:spacing w:val="-4"/>
              </w:rPr>
              <w:t> </w:t>
            </w:r>
            <w:r>
              <w:rPr/>
              <w:t>Accountability</w:t>
            </w:r>
            <w:r>
              <w:rPr>
                <w:spacing w:val="-6"/>
              </w:rPr>
              <w:t> </w:t>
            </w:r>
            <w:r>
              <w:rPr>
                <w:spacing w:val="-2"/>
              </w:rPr>
              <w:t>Score</w:t>
            </w:r>
            <w:r>
              <w:rPr/>
              <w:tab/>
            </w:r>
            <w:r>
              <w:rPr>
                <w:rFonts w:ascii="Calibri"/>
                <w:spacing w:val="-5"/>
              </w:rPr>
              <w:t>77</w:t>
            </w:r>
          </w:hyperlink>
        </w:p>
        <w:p>
          <w:pPr>
            <w:pStyle w:val="TOC3"/>
            <w:numPr>
              <w:ilvl w:val="2"/>
              <w:numId w:val="60"/>
            </w:numPr>
            <w:tabs>
              <w:tab w:pos="2540" w:val="left" w:leader="none"/>
              <w:tab w:pos="10347" w:val="left" w:leader="dot"/>
            </w:tabs>
            <w:spacing w:line="240" w:lineRule="auto" w:before="142" w:after="0"/>
            <w:ind w:left="2540" w:right="0" w:hanging="881"/>
            <w:jc w:val="left"/>
            <w:rPr>
              <w:rFonts w:ascii="Calibri"/>
            </w:rPr>
          </w:pPr>
          <w:hyperlink w:history="true" w:anchor="_bookmark83">
            <w:r>
              <w:rPr/>
              <w:t>Impact</w:t>
            </w:r>
            <w:r>
              <w:rPr>
                <w:spacing w:val="-3"/>
              </w:rPr>
              <w:t> </w:t>
            </w:r>
            <w:r>
              <w:rPr/>
              <w:t>of</w:t>
            </w:r>
            <w:r>
              <w:rPr>
                <w:spacing w:val="-3"/>
              </w:rPr>
              <w:t> </w:t>
            </w:r>
            <w:r>
              <w:rPr/>
              <w:t>DSRIP</w:t>
            </w:r>
            <w:r>
              <w:rPr>
                <w:spacing w:val="-5"/>
              </w:rPr>
              <w:t> </w:t>
            </w:r>
            <w:r>
              <w:rPr/>
              <w:t>Accountability</w:t>
            </w:r>
            <w:r>
              <w:rPr>
                <w:spacing w:val="-6"/>
              </w:rPr>
              <w:t> </w:t>
            </w:r>
            <w:r>
              <w:rPr/>
              <w:t>Scores</w:t>
            </w:r>
            <w:r>
              <w:rPr>
                <w:spacing w:val="-4"/>
              </w:rPr>
              <w:t> </w:t>
            </w:r>
            <w:r>
              <w:rPr/>
              <w:t>on</w:t>
            </w:r>
            <w:r>
              <w:rPr>
                <w:spacing w:val="-4"/>
              </w:rPr>
              <w:t> </w:t>
            </w:r>
            <w:r>
              <w:rPr/>
              <w:t>Payments</w:t>
            </w:r>
            <w:r>
              <w:rPr>
                <w:spacing w:val="-4"/>
              </w:rPr>
              <w:t> </w:t>
            </w:r>
            <w:r>
              <w:rPr/>
              <w:t>to</w:t>
            </w:r>
            <w:r>
              <w:rPr>
                <w:spacing w:val="-3"/>
              </w:rPr>
              <w:t> </w:t>
            </w:r>
            <w:r>
              <w:rPr>
                <w:spacing w:val="-4"/>
              </w:rPr>
              <w:t>ACOs</w:t>
            </w:r>
            <w:r>
              <w:rPr/>
              <w:tab/>
            </w:r>
            <w:r>
              <w:rPr>
                <w:rFonts w:ascii="Calibri"/>
                <w:spacing w:val="-5"/>
              </w:rPr>
              <w:t>79</w:t>
            </w:r>
          </w:hyperlink>
        </w:p>
        <w:p>
          <w:pPr>
            <w:pStyle w:val="TOC3"/>
            <w:numPr>
              <w:ilvl w:val="2"/>
              <w:numId w:val="60"/>
            </w:numPr>
            <w:tabs>
              <w:tab w:pos="2540" w:val="left" w:leader="none"/>
            </w:tabs>
            <w:spacing w:line="240" w:lineRule="auto" w:before="141" w:after="0"/>
            <w:ind w:left="2540" w:right="0" w:hanging="881"/>
            <w:jc w:val="left"/>
          </w:pPr>
          <w:hyperlink w:history="true" w:anchor="_bookmark84">
            <w:r>
              <w:rPr/>
              <w:t>Process,</w:t>
            </w:r>
            <w:r>
              <w:rPr>
                <w:spacing w:val="-4"/>
              </w:rPr>
              <w:t> </w:t>
            </w:r>
            <w:r>
              <w:rPr/>
              <w:t>Roles,</w:t>
            </w:r>
            <w:r>
              <w:rPr>
                <w:spacing w:val="-7"/>
              </w:rPr>
              <w:t> </w:t>
            </w:r>
            <w:r>
              <w:rPr/>
              <w:t>and</w:t>
            </w:r>
            <w:r>
              <w:rPr>
                <w:spacing w:val="-3"/>
              </w:rPr>
              <w:t> </w:t>
            </w:r>
            <w:r>
              <w:rPr/>
              <w:t>Responsibilities</w:t>
            </w:r>
            <w:r>
              <w:rPr>
                <w:spacing w:val="-6"/>
              </w:rPr>
              <w:t> </w:t>
            </w:r>
            <w:r>
              <w:rPr/>
              <w:t>for</w:t>
            </w:r>
            <w:r>
              <w:rPr>
                <w:spacing w:val="-5"/>
              </w:rPr>
              <w:t> </w:t>
            </w:r>
            <w:r>
              <w:rPr/>
              <w:t>calculating</w:t>
            </w:r>
            <w:r>
              <w:rPr>
                <w:spacing w:val="-7"/>
              </w:rPr>
              <w:t> </w:t>
            </w:r>
            <w:r>
              <w:rPr/>
              <w:t>the</w:t>
            </w:r>
            <w:r>
              <w:rPr>
                <w:spacing w:val="-5"/>
              </w:rPr>
              <w:t> </w:t>
            </w:r>
            <w:r>
              <w:rPr/>
              <w:t>ACO</w:t>
            </w:r>
            <w:r>
              <w:rPr>
                <w:spacing w:val="-5"/>
              </w:rPr>
              <w:t> </w:t>
            </w:r>
            <w:r>
              <w:rPr/>
              <w:t>DSRIP</w:t>
            </w:r>
            <w:r>
              <w:rPr>
                <w:spacing w:val="-4"/>
              </w:rPr>
              <w:t> </w:t>
            </w:r>
            <w:r>
              <w:rPr/>
              <w:t>Accountability</w:t>
            </w:r>
            <w:r>
              <w:rPr>
                <w:spacing w:val="-6"/>
              </w:rPr>
              <w:t> </w:t>
            </w:r>
            <w:r>
              <w:rPr>
                <w:spacing w:val="-2"/>
              </w:rPr>
              <w:t>Score</w:t>
            </w:r>
          </w:hyperlink>
        </w:p>
        <w:p>
          <w:pPr>
            <w:pStyle w:val="TOC5"/>
          </w:pPr>
          <w:hyperlink w:history="true" w:anchor="_bookmark84">
            <w:r>
              <w:rPr>
                <w:spacing w:val="-5"/>
              </w:rPr>
              <w:t>79</w:t>
            </w:r>
          </w:hyperlink>
        </w:p>
        <w:p>
          <w:pPr>
            <w:pStyle w:val="TOC3"/>
            <w:numPr>
              <w:ilvl w:val="2"/>
              <w:numId w:val="60"/>
            </w:numPr>
            <w:tabs>
              <w:tab w:pos="2540" w:val="left" w:leader="none"/>
              <w:tab w:pos="10347" w:val="left" w:leader="dot"/>
            </w:tabs>
            <w:spacing w:line="273" w:lineRule="auto" w:before="144" w:after="0"/>
            <w:ind w:left="1659" w:right="1104" w:firstLine="0"/>
            <w:jc w:val="left"/>
            <w:rPr>
              <w:rFonts w:ascii="Calibri"/>
            </w:rPr>
          </w:pPr>
          <w:hyperlink w:history="true" w:anchor="_bookmark85">
            <w:r>
              <w:rPr/>
              <w:t>Timeline of ACO DSRIP Accountability Score data collection, calculation, and</w:t>
            </w:r>
          </w:hyperlink>
          <w:r>
            <w:rPr/>
            <w:t> </w:t>
          </w:r>
          <w:hyperlink w:history="true" w:anchor="_bookmark85">
            <w:r>
              <w:rPr/>
              <w:t>disbursement</w:t>
            </w:r>
            <w:r>
              <w:rPr>
                <w:spacing w:val="-5"/>
              </w:rPr>
              <w:t> </w:t>
            </w:r>
            <w:r>
              <w:rPr/>
              <w:t>of</w:t>
            </w:r>
            <w:r>
              <w:rPr>
                <w:spacing w:val="-5"/>
              </w:rPr>
              <w:t> </w:t>
            </w:r>
            <w:r>
              <w:rPr/>
              <w:t>DSRIP</w:t>
            </w:r>
            <w:r>
              <w:rPr>
                <w:spacing w:val="-6"/>
              </w:rPr>
              <w:t> </w:t>
            </w:r>
            <w:r>
              <w:rPr>
                <w:spacing w:val="-2"/>
              </w:rPr>
              <w:t>payments</w:t>
            </w:r>
            <w:r>
              <w:rPr/>
              <w:tab/>
            </w:r>
            <w:r>
              <w:rPr>
                <w:rFonts w:ascii="Calibri"/>
                <w:spacing w:val="-5"/>
              </w:rPr>
              <w:t>81</w:t>
            </w:r>
          </w:hyperlink>
        </w:p>
        <w:p>
          <w:pPr>
            <w:pStyle w:val="TOC3"/>
            <w:numPr>
              <w:ilvl w:val="2"/>
              <w:numId w:val="60"/>
            </w:numPr>
            <w:tabs>
              <w:tab w:pos="2540" w:val="left" w:leader="none"/>
              <w:tab w:pos="10347" w:val="left" w:leader="dot"/>
            </w:tabs>
            <w:spacing w:line="240" w:lineRule="auto" w:before="102" w:after="0"/>
            <w:ind w:left="2540" w:right="0" w:hanging="881"/>
            <w:jc w:val="left"/>
            <w:rPr>
              <w:rFonts w:ascii="Calibri"/>
            </w:rPr>
          </w:pPr>
          <w:hyperlink w:history="true" w:anchor="_bookmark86">
            <w:r>
              <w:rPr/>
              <w:t>ACO</w:t>
            </w:r>
            <w:r>
              <w:rPr>
                <w:spacing w:val="-4"/>
              </w:rPr>
              <w:t> </w:t>
            </w:r>
            <w:r>
              <w:rPr/>
              <w:t>Exit</w:t>
            </w:r>
            <w:r>
              <w:rPr>
                <w:spacing w:val="-1"/>
              </w:rPr>
              <w:t> </w:t>
            </w:r>
            <w:r>
              <w:rPr/>
              <w:t>from</w:t>
            </w:r>
            <w:r>
              <w:rPr>
                <w:spacing w:val="-7"/>
              </w:rPr>
              <w:t> </w:t>
            </w:r>
            <w:r>
              <w:rPr/>
              <w:t>the</w:t>
            </w:r>
            <w:r>
              <w:rPr>
                <w:spacing w:val="-2"/>
              </w:rPr>
              <w:t> </w:t>
            </w:r>
            <w:r>
              <w:rPr/>
              <w:t>DSRIP </w:t>
            </w:r>
            <w:r>
              <w:rPr>
                <w:spacing w:val="-2"/>
              </w:rPr>
              <w:t>Program</w:t>
            </w:r>
            <w:r>
              <w:rPr/>
              <w:tab/>
            </w:r>
            <w:r>
              <w:rPr>
                <w:rFonts w:ascii="Calibri"/>
                <w:spacing w:val="-5"/>
              </w:rPr>
              <w:t>81</w:t>
            </w:r>
          </w:hyperlink>
        </w:p>
        <w:p>
          <w:pPr>
            <w:pStyle w:val="TOC2"/>
            <w:numPr>
              <w:ilvl w:val="1"/>
              <w:numId w:val="60"/>
            </w:numPr>
            <w:tabs>
              <w:tab w:pos="1772" w:val="left" w:leader="none"/>
              <w:tab w:pos="10347" w:val="left" w:leader="dot"/>
            </w:tabs>
            <w:spacing w:line="240" w:lineRule="auto" w:before="142" w:after="0"/>
            <w:ind w:left="1772" w:right="0" w:hanging="331"/>
            <w:jc w:val="left"/>
            <w:rPr>
              <w:rFonts w:ascii="Calibri"/>
            </w:rPr>
          </w:pPr>
          <w:hyperlink w:history="true" w:anchor="_bookmark87">
            <w:r>
              <w:rPr/>
              <w:t>Accountability</w:t>
            </w:r>
            <w:r>
              <w:rPr>
                <w:spacing w:val="-9"/>
              </w:rPr>
              <w:t> </w:t>
            </w:r>
            <w:r>
              <w:rPr/>
              <w:t>Framework</w:t>
            </w:r>
            <w:r>
              <w:rPr>
                <w:spacing w:val="-7"/>
              </w:rPr>
              <w:t> </w:t>
            </w:r>
            <w:r>
              <w:rPr/>
              <w:t>&amp;</w:t>
            </w:r>
            <w:r>
              <w:rPr>
                <w:spacing w:val="-5"/>
              </w:rPr>
              <w:t> </w:t>
            </w:r>
            <w:r>
              <w:rPr/>
              <w:t>Performance</w:t>
            </w:r>
            <w:r>
              <w:rPr>
                <w:spacing w:val="-4"/>
              </w:rPr>
              <w:t> </w:t>
            </w:r>
            <w:r>
              <w:rPr/>
              <w:t>Based</w:t>
            </w:r>
            <w:r>
              <w:rPr>
                <w:spacing w:val="-7"/>
              </w:rPr>
              <w:t> </w:t>
            </w:r>
            <w:r>
              <w:rPr/>
              <w:t>Payments</w:t>
            </w:r>
            <w:r>
              <w:rPr>
                <w:spacing w:val="-4"/>
              </w:rPr>
              <w:t> </w:t>
            </w:r>
            <w:r>
              <w:rPr/>
              <w:t>for</w:t>
            </w:r>
            <w:r>
              <w:rPr>
                <w:spacing w:val="-3"/>
              </w:rPr>
              <w:t> </w:t>
            </w:r>
            <w:r>
              <w:rPr/>
              <w:t>CPs</w:t>
            </w:r>
            <w:r>
              <w:rPr>
                <w:spacing w:val="-4"/>
              </w:rPr>
              <w:t> </w:t>
            </w:r>
            <w:r>
              <w:rPr/>
              <w:t>and</w:t>
            </w:r>
            <w:r>
              <w:rPr>
                <w:spacing w:val="-3"/>
              </w:rPr>
              <w:t> </w:t>
            </w:r>
            <w:r>
              <w:rPr>
                <w:spacing w:val="-4"/>
              </w:rPr>
              <w:t>CSAs</w:t>
            </w:r>
            <w:r>
              <w:rPr/>
              <w:tab/>
            </w:r>
            <w:r>
              <w:rPr>
                <w:rFonts w:ascii="Calibri"/>
                <w:spacing w:val="-5"/>
              </w:rPr>
              <w:t>82</w:t>
            </w:r>
          </w:hyperlink>
        </w:p>
        <w:p>
          <w:pPr>
            <w:pStyle w:val="TOC3"/>
            <w:numPr>
              <w:ilvl w:val="2"/>
              <w:numId w:val="60"/>
            </w:numPr>
            <w:tabs>
              <w:tab w:pos="2540" w:val="left" w:leader="none"/>
              <w:tab w:pos="10347" w:val="left" w:leader="dot"/>
            </w:tabs>
            <w:spacing w:line="240" w:lineRule="auto" w:before="139" w:after="0"/>
            <w:ind w:left="2540" w:right="0" w:hanging="881"/>
            <w:jc w:val="left"/>
            <w:rPr>
              <w:rFonts w:ascii="Calibri"/>
            </w:rPr>
          </w:pPr>
          <w:hyperlink w:history="true" w:anchor="_bookmark88">
            <w:r>
              <w:rPr>
                <w:spacing w:val="-2"/>
              </w:rPr>
              <w:t>Overview</w:t>
            </w:r>
            <w:r>
              <w:rPr/>
              <w:tab/>
            </w:r>
            <w:r>
              <w:rPr>
                <w:rFonts w:ascii="Calibri"/>
                <w:spacing w:val="-5"/>
              </w:rPr>
              <w:t>82</w:t>
            </w:r>
          </w:hyperlink>
        </w:p>
        <w:p>
          <w:pPr>
            <w:pStyle w:val="TOC3"/>
            <w:numPr>
              <w:ilvl w:val="2"/>
              <w:numId w:val="60"/>
            </w:numPr>
            <w:tabs>
              <w:tab w:pos="2540" w:val="left" w:leader="none"/>
              <w:tab w:pos="10347" w:val="left" w:leader="dot"/>
            </w:tabs>
            <w:spacing w:line="240" w:lineRule="auto" w:before="140" w:after="0"/>
            <w:ind w:left="2540" w:right="0" w:hanging="881"/>
            <w:jc w:val="left"/>
            <w:rPr>
              <w:rFonts w:ascii="Calibri"/>
            </w:rPr>
          </w:pPr>
          <w:hyperlink w:history="true" w:anchor="_bookmark89">
            <w:r>
              <w:rPr/>
              <w:t>Alignment</w:t>
            </w:r>
            <w:r>
              <w:rPr>
                <w:spacing w:val="-5"/>
              </w:rPr>
              <w:t> </w:t>
            </w:r>
            <w:r>
              <w:rPr/>
              <w:t>of</w:t>
            </w:r>
            <w:r>
              <w:rPr>
                <w:spacing w:val="-3"/>
              </w:rPr>
              <w:t> </w:t>
            </w:r>
            <w:r>
              <w:rPr/>
              <w:t>Quality</w:t>
            </w:r>
            <w:r>
              <w:rPr>
                <w:spacing w:val="-7"/>
              </w:rPr>
              <w:t> </w:t>
            </w:r>
            <w:r>
              <w:rPr/>
              <w:t>Measure</w:t>
            </w:r>
            <w:r>
              <w:rPr>
                <w:spacing w:val="-3"/>
              </w:rPr>
              <w:t> </w:t>
            </w:r>
            <w:r>
              <w:rPr/>
              <w:t>Slate</w:t>
            </w:r>
            <w:r>
              <w:rPr>
                <w:spacing w:val="-4"/>
              </w:rPr>
              <w:t> </w:t>
            </w:r>
            <w:r>
              <w:rPr/>
              <w:t>with</w:t>
            </w:r>
            <w:r>
              <w:rPr>
                <w:spacing w:val="-4"/>
              </w:rPr>
              <w:t> </w:t>
            </w:r>
            <w:r>
              <w:rPr/>
              <w:t>Overall</w:t>
            </w:r>
            <w:r>
              <w:rPr>
                <w:spacing w:val="-3"/>
              </w:rPr>
              <w:t> </w:t>
            </w:r>
            <w:r>
              <w:rPr/>
              <w:t>Goals</w:t>
            </w:r>
            <w:r>
              <w:rPr>
                <w:spacing w:val="-3"/>
              </w:rPr>
              <w:t> </w:t>
            </w:r>
            <w:r>
              <w:rPr/>
              <w:t>of</w:t>
            </w:r>
            <w:r>
              <w:rPr>
                <w:spacing w:val="-6"/>
              </w:rPr>
              <w:t> </w:t>
            </w:r>
            <w:r>
              <w:rPr/>
              <w:t>the</w:t>
            </w:r>
            <w:r>
              <w:rPr>
                <w:spacing w:val="-4"/>
              </w:rPr>
              <w:t> </w:t>
            </w:r>
            <w:r>
              <w:rPr/>
              <w:t>DSRIP</w:t>
            </w:r>
            <w:r>
              <w:rPr>
                <w:spacing w:val="-4"/>
              </w:rPr>
              <w:t> </w:t>
            </w:r>
            <w:r>
              <w:rPr>
                <w:spacing w:val="-2"/>
              </w:rPr>
              <w:t>program</w:t>
            </w:r>
            <w:r>
              <w:rPr/>
              <w:tab/>
            </w:r>
            <w:r>
              <w:rPr>
                <w:rFonts w:ascii="Calibri"/>
                <w:spacing w:val="-5"/>
              </w:rPr>
              <w:t>83</w:t>
            </w:r>
          </w:hyperlink>
        </w:p>
        <w:p>
          <w:pPr>
            <w:pStyle w:val="TOC3"/>
            <w:numPr>
              <w:ilvl w:val="2"/>
              <w:numId w:val="60"/>
            </w:numPr>
            <w:tabs>
              <w:tab w:pos="2540" w:val="left" w:leader="none"/>
              <w:tab w:pos="10347" w:val="left" w:leader="dot"/>
            </w:tabs>
            <w:spacing w:line="240" w:lineRule="auto" w:before="142" w:after="0"/>
            <w:ind w:left="2540" w:right="0" w:hanging="881"/>
            <w:jc w:val="left"/>
            <w:rPr>
              <w:rFonts w:ascii="Calibri"/>
            </w:rPr>
          </w:pPr>
          <w:hyperlink w:history="true" w:anchor="_bookmark90">
            <w:r>
              <w:rPr/>
              <w:t>Pay</w:t>
            </w:r>
            <w:r>
              <w:rPr>
                <w:spacing w:val="-5"/>
              </w:rPr>
              <w:t> </w:t>
            </w:r>
            <w:r>
              <w:rPr/>
              <w:t>for</w:t>
            </w:r>
            <w:r>
              <w:rPr>
                <w:spacing w:val="-1"/>
              </w:rPr>
              <w:t> </w:t>
            </w:r>
            <w:r>
              <w:rPr/>
              <w:t>Reporting</w:t>
            </w:r>
            <w:r>
              <w:rPr>
                <w:spacing w:val="-4"/>
              </w:rPr>
              <w:t> </w:t>
            </w:r>
            <w:r>
              <w:rPr/>
              <w:t>vs.</w:t>
            </w:r>
            <w:r>
              <w:rPr>
                <w:spacing w:val="-2"/>
              </w:rPr>
              <w:t> </w:t>
            </w:r>
            <w:r>
              <w:rPr/>
              <w:t>Pay</w:t>
            </w:r>
            <w:r>
              <w:rPr>
                <w:spacing w:val="-5"/>
              </w:rPr>
              <w:t> </w:t>
            </w:r>
            <w:r>
              <w:rPr/>
              <w:t>for </w:t>
            </w:r>
            <w:r>
              <w:rPr>
                <w:spacing w:val="-2"/>
              </w:rPr>
              <w:t>Performance</w:t>
            </w:r>
            <w:r>
              <w:rPr/>
              <w:tab/>
            </w:r>
            <w:r>
              <w:rPr>
                <w:rFonts w:ascii="Calibri"/>
                <w:spacing w:val="-5"/>
              </w:rPr>
              <w:t>83</w:t>
            </w:r>
          </w:hyperlink>
        </w:p>
        <w:p>
          <w:pPr>
            <w:pStyle w:val="TOC3"/>
            <w:numPr>
              <w:ilvl w:val="2"/>
              <w:numId w:val="60"/>
            </w:numPr>
            <w:tabs>
              <w:tab w:pos="2540" w:val="left" w:leader="none"/>
              <w:tab w:pos="10347" w:val="left" w:leader="dot"/>
            </w:tabs>
            <w:spacing w:line="240" w:lineRule="auto" w:before="139" w:after="0"/>
            <w:ind w:left="2540" w:right="0" w:hanging="881"/>
            <w:jc w:val="left"/>
            <w:rPr>
              <w:rFonts w:ascii="Calibri"/>
            </w:rPr>
          </w:pPr>
          <w:hyperlink w:history="true" w:anchor="_bookmark91">
            <w:r>
              <w:rPr/>
              <w:t>Calculating</w:t>
            </w:r>
            <w:r>
              <w:rPr>
                <w:spacing w:val="-7"/>
              </w:rPr>
              <w:t> </w:t>
            </w:r>
            <w:r>
              <w:rPr/>
              <w:t>the</w:t>
            </w:r>
            <w:r>
              <w:rPr>
                <w:spacing w:val="-5"/>
              </w:rPr>
              <w:t> </w:t>
            </w:r>
            <w:r>
              <w:rPr/>
              <w:t>CP/CSA</w:t>
            </w:r>
            <w:r>
              <w:rPr>
                <w:spacing w:val="-4"/>
              </w:rPr>
              <w:t> </w:t>
            </w:r>
            <w:r>
              <w:rPr/>
              <w:t>DSRIP</w:t>
            </w:r>
            <w:r>
              <w:rPr>
                <w:spacing w:val="-4"/>
              </w:rPr>
              <w:t> </w:t>
            </w:r>
            <w:r>
              <w:rPr/>
              <w:t>Accountability</w:t>
            </w:r>
            <w:r>
              <w:rPr>
                <w:spacing w:val="-6"/>
              </w:rPr>
              <w:t> </w:t>
            </w:r>
            <w:r>
              <w:rPr>
                <w:spacing w:val="-4"/>
              </w:rPr>
              <w:t>Score</w:t>
            </w:r>
            <w:r>
              <w:rPr/>
              <w:tab/>
            </w:r>
            <w:r>
              <w:rPr>
                <w:rFonts w:ascii="Calibri"/>
                <w:spacing w:val="-5"/>
              </w:rPr>
              <w:t>83</w:t>
            </w:r>
          </w:hyperlink>
        </w:p>
        <w:p>
          <w:pPr>
            <w:pStyle w:val="TOC3"/>
            <w:numPr>
              <w:ilvl w:val="2"/>
              <w:numId w:val="60"/>
            </w:numPr>
            <w:tabs>
              <w:tab w:pos="2540" w:val="left" w:leader="none"/>
              <w:tab w:pos="10347" w:val="left" w:leader="dot"/>
            </w:tabs>
            <w:spacing w:line="240" w:lineRule="auto" w:before="140" w:after="0"/>
            <w:ind w:left="2540" w:right="0" w:hanging="881"/>
            <w:jc w:val="left"/>
            <w:rPr>
              <w:rFonts w:ascii="Calibri"/>
            </w:rPr>
          </w:pPr>
          <w:hyperlink w:history="true" w:anchor="_bookmark92">
            <w:r>
              <w:rPr/>
              <w:t>Outcomes</w:t>
            </w:r>
            <w:r>
              <w:rPr>
                <w:spacing w:val="-3"/>
              </w:rPr>
              <w:t> </w:t>
            </w:r>
            <w:r>
              <w:rPr/>
              <w:t>Based</w:t>
            </w:r>
            <w:r>
              <w:rPr>
                <w:spacing w:val="-3"/>
              </w:rPr>
              <w:t> </w:t>
            </w:r>
            <w:r>
              <w:rPr>
                <w:spacing w:val="-2"/>
              </w:rPr>
              <w:t>Payments</w:t>
            </w:r>
            <w:r>
              <w:rPr/>
              <w:tab/>
            </w:r>
            <w:r>
              <w:rPr>
                <w:rFonts w:ascii="Calibri"/>
                <w:spacing w:val="-5"/>
              </w:rPr>
              <w:t>89</w:t>
            </w:r>
          </w:hyperlink>
        </w:p>
        <w:p>
          <w:pPr>
            <w:pStyle w:val="TOC3"/>
            <w:numPr>
              <w:ilvl w:val="2"/>
              <w:numId w:val="60"/>
            </w:numPr>
            <w:tabs>
              <w:tab w:pos="2540" w:val="left" w:leader="none"/>
              <w:tab w:pos="10347" w:val="left" w:leader="dot"/>
            </w:tabs>
            <w:spacing w:line="240" w:lineRule="auto" w:before="142" w:after="0"/>
            <w:ind w:left="2540" w:right="0" w:hanging="881"/>
            <w:jc w:val="left"/>
            <w:rPr>
              <w:rFonts w:ascii="Calibri"/>
            </w:rPr>
          </w:pPr>
          <w:hyperlink w:history="true" w:anchor="_bookmark93">
            <w:r>
              <w:rPr/>
              <w:t>Process</w:t>
            </w:r>
            <w:r>
              <w:rPr>
                <w:spacing w:val="-5"/>
              </w:rPr>
              <w:t> </w:t>
            </w:r>
            <w:r>
              <w:rPr/>
              <w:t>for</w:t>
            </w:r>
            <w:r>
              <w:rPr>
                <w:spacing w:val="-7"/>
              </w:rPr>
              <w:t> </w:t>
            </w:r>
            <w:r>
              <w:rPr/>
              <w:t>calculating</w:t>
            </w:r>
            <w:r>
              <w:rPr>
                <w:spacing w:val="-7"/>
              </w:rPr>
              <w:t> </w:t>
            </w:r>
            <w:r>
              <w:rPr/>
              <w:t>CP/CSA</w:t>
            </w:r>
            <w:r>
              <w:rPr>
                <w:spacing w:val="-6"/>
              </w:rPr>
              <w:t> </w:t>
            </w:r>
            <w:r>
              <w:rPr/>
              <w:t>DSRIP</w:t>
            </w:r>
            <w:r>
              <w:rPr>
                <w:spacing w:val="-6"/>
              </w:rPr>
              <w:t> </w:t>
            </w:r>
            <w:r>
              <w:rPr/>
              <w:t>Accountability</w:t>
            </w:r>
            <w:r>
              <w:rPr>
                <w:spacing w:val="-7"/>
              </w:rPr>
              <w:t> </w:t>
            </w:r>
            <w:r>
              <w:rPr>
                <w:spacing w:val="-2"/>
              </w:rPr>
              <w:t>Scores</w:t>
            </w:r>
            <w:r>
              <w:rPr/>
              <w:tab/>
            </w:r>
            <w:r>
              <w:rPr>
                <w:rFonts w:ascii="Calibri"/>
                <w:spacing w:val="-5"/>
              </w:rPr>
              <w:t>89</w:t>
            </w:r>
          </w:hyperlink>
        </w:p>
        <w:p>
          <w:pPr>
            <w:pStyle w:val="TOC3"/>
            <w:numPr>
              <w:ilvl w:val="2"/>
              <w:numId w:val="60"/>
            </w:numPr>
            <w:tabs>
              <w:tab w:pos="2540" w:val="left" w:leader="none"/>
              <w:tab w:pos="10347" w:val="left" w:leader="dot"/>
            </w:tabs>
            <w:spacing w:line="273" w:lineRule="auto" w:before="141" w:after="0"/>
            <w:ind w:left="1659" w:right="1104" w:firstLine="0"/>
            <w:jc w:val="left"/>
            <w:rPr>
              <w:rFonts w:ascii="Calibri"/>
            </w:rPr>
          </w:pPr>
          <w:hyperlink w:history="true" w:anchor="_bookmark94">
            <w:r>
              <w:rPr/>
              <w:t>Timeline</w:t>
            </w:r>
            <w:r>
              <w:rPr>
                <w:spacing w:val="-3"/>
              </w:rPr>
              <w:t> </w:t>
            </w:r>
            <w:r>
              <w:rPr/>
              <w:t>of</w:t>
            </w:r>
            <w:r>
              <w:rPr>
                <w:spacing w:val="-2"/>
              </w:rPr>
              <w:t> </w:t>
            </w:r>
            <w:r>
              <w:rPr/>
              <w:t>CP</w:t>
            </w:r>
            <w:r>
              <w:rPr>
                <w:spacing w:val="-4"/>
              </w:rPr>
              <w:t> </w:t>
            </w:r>
            <w:r>
              <w:rPr/>
              <w:t>DSRIP</w:t>
            </w:r>
            <w:r>
              <w:rPr>
                <w:spacing w:val="-4"/>
              </w:rPr>
              <w:t> </w:t>
            </w:r>
            <w:r>
              <w:rPr/>
              <w:t>Accountability</w:t>
            </w:r>
            <w:r>
              <w:rPr>
                <w:spacing w:val="-6"/>
              </w:rPr>
              <w:t> </w:t>
            </w:r>
            <w:r>
              <w:rPr/>
              <w:t>Score</w:t>
            </w:r>
            <w:r>
              <w:rPr>
                <w:spacing w:val="-3"/>
              </w:rPr>
              <w:t> </w:t>
            </w:r>
            <w:r>
              <w:rPr/>
              <w:t>data</w:t>
            </w:r>
            <w:r>
              <w:rPr>
                <w:spacing w:val="-3"/>
              </w:rPr>
              <w:t> </w:t>
            </w:r>
            <w:r>
              <w:rPr/>
              <w:t>collection,</w:t>
            </w:r>
            <w:r>
              <w:rPr>
                <w:spacing w:val="-3"/>
              </w:rPr>
              <w:t> </w:t>
            </w:r>
            <w:r>
              <w:rPr/>
              <w:t>calculation,</w:t>
            </w:r>
            <w:r>
              <w:rPr>
                <w:spacing w:val="-3"/>
              </w:rPr>
              <w:t> </w:t>
            </w:r>
            <w:r>
              <w:rPr/>
              <w:t>and</w:t>
            </w:r>
            <w:r>
              <w:rPr>
                <w:spacing w:val="-3"/>
              </w:rPr>
              <w:t> </w:t>
            </w:r>
            <w:r>
              <w:rPr/>
              <w:t>disbursement</w:t>
            </w:r>
          </w:hyperlink>
          <w:r>
            <w:rPr/>
            <w:t> </w:t>
          </w:r>
          <w:hyperlink w:history="true" w:anchor="_bookmark94">
            <w:r>
              <w:rPr/>
              <w:t>of</w:t>
            </w:r>
            <w:r>
              <w:rPr>
                <w:spacing w:val="-4"/>
              </w:rPr>
              <w:t> </w:t>
            </w:r>
            <w:r>
              <w:rPr/>
              <w:t>DSRIP</w:t>
            </w:r>
            <w:r>
              <w:rPr>
                <w:spacing w:val="-4"/>
              </w:rPr>
              <w:t> </w:t>
            </w:r>
            <w:r>
              <w:rPr>
                <w:spacing w:val="-2"/>
              </w:rPr>
              <w:t>payments</w:t>
            </w:r>
            <w:r>
              <w:rPr/>
              <w:tab/>
            </w:r>
            <w:r>
              <w:rPr>
                <w:rFonts w:ascii="Calibri"/>
                <w:spacing w:val="-5"/>
              </w:rPr>
              <w:t>91</w:t>
            </w:r>
          </w:hyperlink>
        </w:p>
        <w:p>
          <w:pPr>
            <w:pStyle w:val="TOC2"/>
            <w:numPr>
              <w:ilvl w:val="1"/>
              <w:numId w:val="60"/>
            </w:numPr>
            <w:tabs>
              <w:tab w:pos="1772" w:val="left" w:leader="none"/>
              <w:tab w:pos="10347" w:val="left" w:leader="dot"/>
            </w:tabs>
            <w:spacing w:line="240" w:lineRule="auto" w:before="104" w:after="199"/>
            <w:ind w:left="1772" w:right="0" w:hanging="331"/>
            <w:jc w:val="left"/>
            <w:rPr>
              <w:rFonts w:ascii="Calibri"/>
            </w:rPr>
          </w:pPr>
          <w:hyperlink w:history="true" w:anchor="_bookmark95">
            <w:r>
              <w:rPr/>
              <w:t>Reporting</w:t>
            </w:r>
            <w:r>
              <w:rPr>
                <w:spacing w:val="-7"/>
              </w:rPr>
              <w:t> </w:t>
            </w:r>
            <w:r>
              <w:rPr/>
              <w:t>Requirements</w:t>
            </w:r>
            <w:r>
              <w:rPr>
                <w:spacing w:val="-3"/>
              </w:rPr>
              <w:t> </w:t>
            </w:r>
            <w:r>
              <w:rPr/>
              <w:t>for</w:t>
            </w:r>
            <w:r>
              <w:rPr>
                <w:spacing w:val="-2"/>
              </w:rPr>
              <w:t> </w:t>
            </w:r>
            <w:r>
              <w:rPr/>
              <w:t>ACOs,</w:t>
            </w:r>
            <w:r>
              <w:rPr>
                <w:spacing w:val="-3"/>
              </w:rPr>
              <w:t> </w:t>
            </w:r>
            <w:r>
              <w:rPr/>
              <w:t>CPs</w:t>
            </w:r>
            <w:r>
              <w:rPr>
                <w:spacing w:val="-3"/>
              </w:rPr>
              <w:t> </w:t>
            </w:r>
            <w:r>
              <w:rPr/>
              <w:t>and</w:t>
            </w:r>
            <w:r>
              <w:rPr>
                <w:spacing w:val="-6"/>
              </w:rPr>
              <w:t> </w:t>
            </w:r>
            <w:r>
              <w:rPr>
                <w:spacing w:val="-4"/>
              </w:rPr>
              <w:t>CSAs</w:t>
            </w:r>
            <w:r>
              <w:rPr/>
              <w:tab/>
            </w:r>
            <w:r>
              <w:rPr>
                <w:rFonts w:ascii="Calibri"/>
                <w:spacing w:val="-5"/>
              </w:rPr>
              <w:t>92</w:t>
            </w:r>
          </w:hyperlink>
        </w:p>
        <w:p>
          <w:pPr>
            <w:pStyle w:val="TOC3"/>
            <w:numPr>
              <w:ilvl w:val="2"/>
              <w:numId w:val="60"/>
            </w:numPr>
            <w:tabs>
              <w:tab w:pos="2539" w:val="left" w:leader="none"/>
              <w:tab w:pos="10572" w:val="right" w:leader="dot"/>
            </w:tabs>
            <w:spacing w:line="240" w:lineRule="auto" w:before="59" w:after="0"/>
            <w:ind w:left="2539" w:right="0" w:hanging="880"/>
            <w:jc w:val="left"/>
            <w:rPr>
              <w:rFonts w:ascii="Calibri"/>
            </w:rPr>
          </w:pPr>
          <w:hyperlink w:history="true" w:anchor="_bookmark96">
            <w:r>
              <w:rPr/>
              <w:t>Semiannual</w:t>
            </w:r>
            <w:r>
              <w:rPr>
                <w:spacing w:val="-6"/>
              </w:rPr>
              <w:t> </w:t>
            </w:r>
            <w:r>
              <w:rPr/>
              <w:t>Participation</w:t>
            </w:r>
            <w:r>
              <w:rPr>
                <w:spacing w:val="-5"/>
              </w:rPr>
              <w:t> </w:t>
            </w:r>
            <w:r>
              <w:rPr/>
              <w:t>Plan</w:t>
            </w:r>
            <w:r>
              <w:rPr>
                <w:spacing w:val="-5"/>
              </w:rPr>
              <w:t> </w:t>
            </w:r>
            <w:r>
              <w:rPr/>
              <w:t>Progress</w:t>
            </w:r>
            <w:r>
              <w:rPr>
                <w:spacing w:val="-4"/>
              </w:rPr>
              <w:t> </w:t>
            </w:r>
            <w:r>
              <w:rPr>
                <w:spacing w:val="-2"/>
              </w:rPr>
              <w:t>Reports</w:t>
            </w:r>
            <w:r>
              <w:rPr/>
              <w:tab/>
            </w:r>
            <w:r>
              <w:rPr>
                <w:rFonts w:ascii="Calibri"/>
                <w:spacing w:val="-5"/>
              </w:rPr>
              <w:t>92</w:t>
            </w:r>
          </w:hyperlink>
        </w:p>
        <w:p>
          <w:pPr>
            <w:pStyle w:val="TOC3"/>
            <w:numPr>
              <w:ilvl w:val="2"/>
              <w:numId w:val="60"/>
            </w:numPr>
            <w:tabs>
              <w:tab w:pos="2539" w:val="left" w:leader="none"/>
              <w:tab w:pos="10572" w:val="right" w:leader="dot"/>
            </w:tabs>
            <w:spacing w:line="240" w:lineRule="auto" w:before="139" w:after="0"/>
            <w:ind w:left="2539" w:right="0" w:hanging="880"/>
            <w:jc w:val="left"/>
            <w:rPr>
              <w:rFonts w:ascii="Calibri"/>
            </w:rPr>
          </w:pPr>
          <w:hyperlink w:history="true" w:anchor="_bookmark97">
            <w:r>
              <w:rPr/>
              <w:t>Review</w:t>
            </w:r>
            <w:r>
              <w:rPr>
                <w:spacing w:val="-5"/>
              </w:rPr>
              <w:t> </w:t>
            </w:r>
            <w:r>
              <w:rPr/>
              <w:t>and</w:t>
            </w:r>
            <w:r>
              <w:rPr>
                <w:spacing w:val="-4"/>
              </w:rPr>
              <w:t> </w:t>
            </w:r>
            <w:r>
              <w:rPr/>
              <w:t>Approval</w:t>
            </w:r>
            <w:r>
              <w:rPr>
                <w:spacing w:val="-3"/>
              </w:rPr>
              <w:t> </w:t>
            </w:r>
            <w:r>
              <w:rPr/>
              <w:t>of</w:t>
            </w:r>
            <w:r>
              <w:rPr>
                <w:spacing w:val="-3"/>
              </w:rPr>
              <w:t> </w:t>
            </w:r>
            <w:r>
              <w:rPr/>
              <w:t>Semiannual</w:t>
            </w:r>
            <w:r>
              <w:rPr>
                <w:spacing w:val="-4"/>
              </w:rPr>
              <w:t> </w:t>
            </w:r>
            <w:r>
              <w:rPr/>
              <w:t>Progress</w:t>
            </w:r>
            <w:r>
              <w:rPr>
                <w:spacing w:val="-3"/>
              </w:rPr>
              <w:t> </w:t>
            </w:r>
            <w:r>
              <w:rPr>
                <w:spacing w:val="-2"/>
              </w:rPr>
              <w:t>Reports</w:t>
            </w:r>
            <w:r>
              <w:rPr/>
              <w:tab/>
            </w:r>
            <w:r>
              <w:rPr>
                <w:rFonts w:ascii="Calibri"/>
                <w:spacing w:val="-5"/>
              </w:rPr>
              <w:t>93</w:t>
            </w:r>
          </w:hyperlink>
        </w:p>
        <w:p>
          <w:pPr>
            <w:pStyle w:val="TOC3"/>
            <w:numPr>
              <w:ilvl w:val="2"/>
              <w:numId w:val="60"/>
            </w:numPr>
            <w:tabs>
              <w:tab w:pos="2539" w:val="left" w:leader="none"/>
              <w:tab w:pos="10572" w:val="right" w:leader="dot"/>
            </w:tabs>
            <w:spacing w:line="240" w:lineRule="auto" w:before="142" w:after="0"/>
            <w:ind w:left="2539" w:right="0" w:hanging="880"/>
            <w:jc w:val="left"/>
            <w:rPr>
              <w:rFonts w:ascii="Calibri"/>
            </w:rPr>
          </w:pPr>
          <w:hyperlink w:history="true" w:anchor="_bookmark98">
            <w:r>
              <w:rPr/>
              <w:t>Additional</w:t>
            </w:r>
            <w:r>
              <w:rPr>
                <w:spacing w:val="-4"/>
              </w:rPr>
              <w:t> </w:t>
            </w:r>
            <w:r>
              <w:rPr/>
              <w:t>Reporting</w:t>
            </w:r>
            <w:r>
              <w:rPr>
                <w:spacing w:val="-7"/>
              </w:rPr>
              <w:t> </w:t>
            </w:r>
            <w:r>
              <w:rPr>
                <w:spacing w:val="-2"/>
              </w:rPr>
              <w:t>Requirements</w:t>
            </w:r>
            <w:r>
              <w:rPr/>
              <w:tab/>
            </w:r>
            <w:r>
              <w:rPr>
                <w:rFonts w:ascii="Calibri"/>
                <w:spacing w:val="-5"/>
              </w:rPr>
              <w:t>93</w:t>
            </w:r>
          </w:hyperlink>
        </w:p>
        <w:p>
          <w:pPr>
            <w:pStyle w:val="TOC1"/>
            <w:tabs>
              <w:tab w:pos="2539" w:val="left" w:leader="none"/>
              <w:tab w:pos="10572" w:val="right" w:leader="dot"/>
            </w:tabs>
            <w:spacing w:before="140"/>
            <w:ind w:left="1219"/>
            <w:rPr>
              <w:rFonts w:ascii="Calibri"/>
            </w:rPr>
          </w:pPr>
          <w:hyperlink w:history="true" w:anchor="_bookmark99">
            <w:r>
              <w:rPr/>
              <w:t>Section</w:t>
            </w:r>
            <w:r>
              <w:rPr>
                <w:spacing w:val="-2"/>
              </w:rPr>
              <w:t> </w:t>
            </w:r>
            <w:r>
              <w:rPr>
                <w:spacing w:val="-5"/>
              </w:rPr>
              <w:t>6.</w:t>
            </w:r>
            <w:r>
              <w:rPr/>
              <w:tab/>
              <w:t>State</w:t>
            </w:r>
            <w:r>
              <w:rPr>
                <w:spacing w:val="-6"/>
              </w:rPr>
              <w:t> </w:t>
            </w:r>
            <w:r>
              <w:rPr/>
              <w:t>Operations,</w:t>
            </w:r>
            <w:r>
              <w:rPr>
                <w:spacing w:val="-5"/>
              </w:rPr>
              <w:t> </w:t>
            </w:r>
            <w:r>
              <w:rPr/>
              <w:t>Implementation,</w:t>
            </w:r>
            <w:r>
              <w:rPr>
                <w:spacing w:val="-8"/>
              </w:rPr>
              <w:t> </w:t>
            </w:r>
            <w:r>
              <w:rPr/>
              <w:t>Governance,</w:t>
            </w:r>
            <w:r>
              <w:rPr>
                <w:spacing w:val="-6"/>
              </w:rPr>
              <w:t> </w:t>
            </w:r>
            <w:r>
              <w:rPr/>
              <w:t>Oversight</w:t>
            </w:r>
            <w:r>
              <w:rPr>
                <w:spacing w:val="-4"/>
              </w:rPr>
              <w:t> </w:t>
            </w:r>
            <w:r>
              <w:rPr/>
              <w:t>and</w:t>
            </w:r>
            <w:r>
              <w:rPr>
                <w:spacing w:val="-5"/>
              </w:rPr>
              <w:t> </w:t>
            </w:r>
            <w:r>
              <w:rPr>
                <w:spacing w:val="-2"/>
              </w:rPr>
              <w:t>Reporting</w:t>
            </w:r>
            <w:r>
              <w:rPr/>
              <w:tab/>
            </w:r>
            <w:r>
              <w:rPr>
                <w:rFonts w:ascii="Calibri"/>
                <w:spacing w:val="-5"/>
              </w:rPr>
              <w:t>94</w:t>
            </w:r>
          </w:hyperlink>
        </w:p>
        <w:p>
          <w:pPr>
            <w:pStyle w:val="TOC2"/>
            <w:numPr>
              <w:ilvl w:val="1"/>
              <w:numId w:val="61"/>
            </w:numPr>
            <w:tabs>
              <w:tab w:pos="1771" w:val="left" w:leader="none"/>
              <w:tab w:pos="10572" w:val="right" w:leader="dot"/>
            </w:tabs>
            <w:spacing w:line="240" w:lineRule="auto" w:before="139" w:after="0"/>
            <w:ind w:left="1771" w:right="0" w:hanging="331"/>
            <w:jc w:val="left"/>
          </w:pPr>
          <w:hyperlink w:history="true" w:anchor="_bookmark100">
            <w:r>
              <w:rPr/>
              <w:t>Internal</w:t>
            </w:r>
            <w:r>
              <w:rPr>
                <w:spacing w:val="-6"/>
              </w:rPr>
              <w:t> </w:t>
            </w:r>
            <w:r>
              <w:rPr/>
              <w:t>Operations</w:t>
            </w:r>
            <w:r>
              <w:rPr>
                <w:spacing w:val="-5"/>
              </w:rPr>
              <w:t> </w:t>
            </w:r>
            <w:r>
              <w:rPr/>
              <w:t>and</w:t>
            </w:r>
            <w:r>
              <w:rPr>
                <w:spacing w:val="-6"/>
              </w:rPr>
              <w:t> </w:t>
            </w:r>
            <w:r>
              <w:rPr>
                <w:spacing w:val="-2"/>
              </w:rPr>
              <w:t>Implementation</w:t>
            </w:r>
            <w:r>
              <w:rPr/>
              <w:tab/>
            </w:r>
            <w:r>
              <w:rPr>
                <w:rFonts w:ascii="Calibri"/>
                <w:spacing w:val="-5"/>
              </w:rPr>
              <w:t>94</w:t>
            </w:r>
          </w:hyperlink>
        </w:p>
        <w:p>
          <w:pPr>
            <w:pStyle w:val="TOC2"/>
            <w:numPr>
              <w:ilvl w:val="1"/>
              <w:numId w:val="61"/>
            </w:numPr>
            <w:tabs>
              <w:tab w:pos="1771" w:val="left" w:leader="none"/>
              <w:tab w:pos="10572" w:val="right" w:leader="dot"/>
            </w:tabs>
            <w:spacing w:line="240" w:lineRule="auto" w:before="142" w:after="0"/>
            <w:ind w:left="1771" w:right="0" w:hanging="331"/>
            <w:jc w:val="left"/>
          </w:pPr>
          <w:hyperlink w:history="true" w:anchor="_bookmark101">
            <w:r>
              <w:rPr/>
              <w:t>Advisory</w:t>
            </w:r>
            <w:r>
              <w:rPr>
                <w:spacing w:val="-7"/>
              </w:rPr>
              <w:t> </w:t>
            </w:r>
            <w:r>
              <w:rPr>
                <w:spacing w:val="-2"/>
              </w:rPr>
              <w:t>Functions</w:t>
            </w:r>
            <w:r>
              <w:rPr/>
              <w:tab/>
            </w:r>
            <w:r>
              <w:rPr>
                <w:rFonts w:ascii="Calibri"/>
                <w:spacing w:val="-5"/>
              </w:rPr>
              <w:t>94</w:t>
            </w:r>
          </w:hyperlink>
        </w:p>
        <w:p>
          <w:pPr>
            <w:pStyle w:val="TOC3"/>
            <w:numPr>
              <w:ilvl w:val="2"/>
              <w:numId w:val="61"/>
            </w:numPr>
            <w:tabs>
              <w:tab w:pos="2540" w:val="left" w:leader="none"/>
              <w:tab w:pos="10572" w:val="right" w:leader="dot"/>
            </w:tabs>
            <w:spacing w:line="240" w:lineRule="auto" w:before="140" w:after="0"/>
            <w:ind w:left="2540" w:right="0" w:hanging="881"/>
            <w:jc w:val="left"/>
            <w:rPr>
              <w:rFonts w:ascii="Calibri"/>
            </w:rPr>
          </w:pPr>
          <w:hyperlink w:history="true" w:anchor="_bookmark102">
            <w:r>
              <w:rPr/>
              <w:t>DSRIP</w:t>
            </w:r>
            <w:r>
              <w:rPr>
                <w:spacing w:val="-4"/>
              </w:rPr>
              <w:t> </w:t>
            </w:r>
            <w:r>
              <w:rPr/>
              <w:t>Advisory</w:t>
            </w:r>
            <w:r>
              <w:rPr>
                <w:spacing w:val="-6"/>
              </w:rPr>
              <w:t> </w:t>
            </w:r>
            <w:r>
              <w:rPr/>
              <w:t>Committee</w:t>
            </w:r>
            <w:r>
              <w:rPr>
                <w:spacing w:val="-3"/>
              </w:rPr>
              <w:t> </w:t>
            </w:r>
            <w:r>
              <w:rPr/>
              <w:t>on</w:t>
            </w:r>
            <w:r>
              <w:rPr>
                <w:spacing w:val="-3"/>
              </w:rPr>
              <w:t> </w:t>
            </w:r>
            <w:r>
              <w:rPr>
                <w:spacing w:val="-2"/>
              </w:rPr>
              <w:t>Quality</w:t>
            </w:r>
            <w:r>
              <w:rPr/>
              <w:tab/>
            </w:r>
            <w:r>
              <w:rPr>
                <w:rFonts w:ascii="Calibri"/>
                <w:spacing w:val="-5"/>
              </w:rPr>
              <w:t>94</w:t>
            </w:r>
          </w:hyperlink>
        </w:p>
        <w:p>
          <w:pPr>
            <w:pStyle w:val="TOC3"/>
            <w:numPr>
              <w:ilvl w:val="2"/>
              <w:numId w:val="61"/>
            </w:numPr>
            <w:tabs>
              <w:tab w:pos="2540" w:val="left" w:leader="none"/>
              <w:tab w:pos="10572" w:val="right" w:leader="dot"/>
            </w:tabs>
            <w:spacing w:line="240" w:lineRule="auto" w:before="139" w:after="0"/>
            <w:ind w:left="2540" w:right="0" w:hanging="881"/>
            <w:jc w:val="left"/>
            <w:rPr>
              <w:rFonts w:ascii="Calibri"/>
            </w:rPr>
          </w:pPr>
          <w:hyperlink w:history="true" w:anchor="_bookmark104">
            <w:r>
              <w:rPr/>
              <w:t>Independent</w:t>
            </w:r>
            <w:r>
              <w:rPr>
                <w:spacing w:val="-3"/>
              </w:rPr>
              <w:t> </w:t>
            </w:r>
            <w:r>
              <w:rPr>
                <w:spacing w:val="-2"/>
              </w:rPr>
              <w:t>Assessor</w:t>
            </w:r>
            <w:r>
              <w:rPr/>
              <w:tab/>
            </w:r>
            <w:r>
              <w:rPr>
                <w:rFonts w:ascii="Calibri"/>
                <w:spacing w:val="-5"/>
              </w:rPr>
              <w:t>95</w:t>
            </w:r>
          </w:hyperlink>
        </w:p>
        <w:p>
          <w:pPr>
            <w:pStyle w:val="TOC2"/>
            <w:numPr>
              <w:ilvl w:val="1"/>
              <w:numId w:val="61"/>
            </w:numPr>
            <w:tabs>
              <w:tab w:pos="1771" w:val="left" w:leader="none"/>
              <w:tab w:pos="10572" w:val="right" w:leader="dot"/>
            </w:tabs>
            <w:spacing w:line="240" w:lineRule="auto" w:before="142" w:after="0"/>
            <w:ind w:left="1771" w:right="0" w:hanging="331"/>
            <w:jc w:val="left"/>
          </w:pPr>
          <w:hyperlink w:history="true" w:anchor="_bookmark105">
            <w:r>
              <w:rPr/>
              <w:t>Stakeholder</w:t>
            </w:r>
            <w:r>
              <w:rPr>
                <w:spacing w:val="-6"/>
              </w:rPr>
              <w:t> </w:t>
            </w:r>
            <w:r>
              <w:rPr>
                <w:spacing w:val="-2"/>
              </w:rPr>
              <w:t>Engagement</w:t>
            </w:r>
            <w:r>
              <w:rPr/>
              <w:tab/>
            </w:r>
            <w:r>
              <w:rPr>
                <w:rFonts w:ascii="Calibri"/>
                <w:spacing w:val="-5"/>
              </w:rPr>
              <w:t>96</w:t>
            </w:r>
          </w:hyperlink>
        </w:p>
        <w:p>
          <w:pPr>
            <w:pStyle w:val="TOC3"/>
            <w:numPr>
              <w:ilvl w:val="2"/>
              <w:numId w:val="61"/>
            </w:numPr>
            <w:tabs>
              <w:tab w:pos="2540" w:val="left" w:leader="none"/>
              <w:tab w:pos="10572" w:val="right" w:leader="dot"/>
            </w:tabs>
            <w:spacing w:line="240" w:lineRule="auto" w:before="140" w:after="0"/>
            <w:ind w:left="2540" w:right="0" w:hanging="881"/>
            <w:jc w:val="left"/>
            <w:rPr>
              <w:rFonts w:ascii="Calibri"/>
            </w:rPr>
          </w:pPr>
          <w:hyperlink w:history="true" w:anchor="_bookmark106">
            <w:r>
              <w:rPr/>
              <w:t>Independent</w:t>
            </w:r>
            <w:r>
              <w:rPr>
                <w:spacing w:val="-5"/>
              </w:rPr>
              <w:t> </w:t>
            </w:r>
            <w:r>
              <w:rPr/>
              <w:t>Consumer</w:t>
            </w:r>
            <w:r>
              <w:rPr>
                <w:spacing w:val="-5"/>
              </w:rPr>
              <w:t> </w:t>
            </w:r>
            <w:r>
              <w:rPr/>
              <w:t>Support</w:t>
            </w:r>
            <w:r>
              <w:rPr>
                <w:spacing w:val="-4"/>
              </w:rPr>
              <w:t> </w:t>
            </w:r>
            <w:r>
              <w:rPr>
                <w:spacing w:val="-2"/>
              </w:rPr>
              <w:t>Program</w:t>
            </w:r>
            <w:r>
              <w:rPr/>
              <w:tab/>
            </w:r>
            <w:r>
              <w:rPr>
                <w:rFonts w:ascii="Calibri"/>
                <w:spacing w:val="-5"/>
              </w:rPr>
              <w:t>96</w:t>
            </w:r>
          </w:hyperlink>
        </w:p>
        <w:p>
          <w:pPr>
            <w:pStyle w:val="TOC3"/>
            <w:numPr>
              <w:ilvl w:val="2"/>
              <w:numId w:val="61"/>
            </w:numPr>
            <w:tabs>
              <w:tab w:pos="2540" w:val="left" w:leader="none"/>
              <w:tab w:pos="10572" w:val="right" w:leader="dot"/>
            </w:tabs>
            <w:spacing w:line="240" w:lineRule="auto" w:before="139" w:after="0"/>
            <w:ind w:left="2540" w:right="0" w:hanging="881"/>
            <w:jc w:val="left"/>
            <w:rPr>
              <w:rFonts w:ascii="Calibri"/>
            </w:rPr>
          </w:pPr>
          <w:hyperlink w:history="true" w:anchor="_bookmark107">
            <w:r>
              <w:rPr/>
              <w:t>State</w:t>
            </w:r>
            <w:r>
              <w:rPr>
                <w:spacing w:val="-6"/>
              </w:rPr>
              <w:t> </w:t>
            </w:r>
            <w:r>
              <w:rPr/>
              <w:t>Public</w:t>
            </w:r>
            <w:r>
              <w:rPr>
                <w:spacing w:val="-6"/>
              </w:rPr>
              <w:t> </w:t>
            </w:r>
            <w:r>
              <w:rPr/>
              <w:t>Outreach</w:t>
            </w:r>
            <w:r>
              <w:rPr>
                <w:spacing w:val="-3"/>
              </w:rPr>
              <w:t> </w:t>
            </w:r>
            <w:r>
              <w:rPr/>
              <w:t>for</w:t>
            </w:r>
            <w:r>
              <w:rPr>
                <w:spacing w:val="-3"/>
              </w:rPr>
              <w:t> </w:t>
            </w:r>
            <w:r>
              <w:rPr/>
              <w:t>ACO</w:t>
            </w:r>
            <w:r>
              <w:rPr>
                <w:spacing w:val="-4"/>
              </w:rPr>
              <w:t> </w:t>
            </w:r>
            <w:r>
              <w:rPr>
                <w:spacing w:val="-2"/>
              </w:rPr>
              <w:t>Program</w:t>
            </w:r>
            <w:r>
              <w:rPr/>
              <w:tab/>
            </w:r>
            <w:r>
              <w:rPr>
                <w:rFonts w:ascii="Calibri"/>
                <w:spacing w:val="-5"/>
              </w:rPr>
              <w:t>96</w:t>
            </w:r>
          </w:hyperlink>
        </w:p>
        <w:p>
          <w:pPr>
            <w:pStyle w:val="TOC3"/>
            <w:numPr>
              <w:ilvl w:val="2"/>
              <w:numId w:val="61"/>
            </w:numPr>
            <w:tabs>
              <w:tab w:pos="2540" w:val="left" w:leader="none"/>
              <w:tab w:pos="10572" w:val="right" w:leader="dot"/>
            </w:tabs>
            <w:spacing w:line="240" w:lineRule="auto" w:before="142" w:after="0"/>
            <w:ind w:left="2540" w:right="0" w:hanging="881"/>
            <w:jc w:val="left"/>
            <w:rPr>
              <w:rFonts w:ascii="Calibri"/>
            </w:rPr>
          </w:pPr>
          <w:hyperlink w:history="true" w:anchor="_bookmark108">
            <w:r>
              <w:rPr/>
              <w:t>State</w:t>
            </w:r>
            <w:r>
              <w:rPr>
                <w:spacing w:val="-6"/>
              </w:rPr>
              <w:t> </w:t>
            </w:r>
            <w:r>
              <w:rPr/>
              <w:t>Reporting</w:t>
            </w:r>
            <w:r>
              <w:rPr>
                <w:spacing w:val="-7"/>
              </w:rPr>
              <w:t> </w:t>
            </w:r>
            <w:r>
              <w:rPr/>
              <w:t>to</w:t>
            </w:r>
            <w:r>
              <w:rPr>
                <w:spacing w:val="-4"/>
              </w:rPr>
              <w:t> </w:t>
            </w:r>
            <w:r>
              <w:rPr/>
              <w:t>External</w:t>
            </w:r>
            <w:r>
              <w:rPr>
                <w:spacing w:val="-7"/>
              </w:rPr>
              <w:t> </w:t>
            </w:r>
            <w:r>
              <w:rPr/>
              <w:t>Stakeholders</w:t>
            </w:r>
            <w:r>
              <w:rPr>
                <w:spacing w:val="-6"/>
              </w:rPr>
              <w:t> </w:t>
            </w:r>
            <w:r>
              <w:rPr/>
              <w:t>and</w:t>
            </w:r>
            <w:r>
              <w:rPr>
                <w:spacing w:val="-4"/>
              </w:rPr>
              <w:t> </w:t>
            </w:r>
            <w:r>
              <w:rPr/>
              <w:t>Stakeholder</w:t>
            </w:r>
            <w:r>
              <w:rPr>
                <w:spacing w:val="-2"/>
              </w:rPr>
              <w:t> Engagement</w:t>
            </w:r>
            <w:r>
              <w:rPr/>
              <w:tab/>
            </w:r>
            <w:r>
              <w:rPr>
                <w:rFonts w:ascii="Calibri"/>
                <w:spacing w:val="-5"/>
              </w:rPr>
              <w:t>96</w:t>
            </w:r>
          </w:hyperlink>
        </w:p>
        <w:p>
          <w:pPr>
            <w:pStyle w:val="TOC2"/>
            <w:numPr>
              <w:ilvl w:val="1"/>
              <w:numId w:val="61"/>
            </w:numPr>
            <w:tabs>
              <w:tab w:pos="1771" w:val="left" w:leader="none"/>
              <w:tab w:pos="10573" w:val="right" w:leader="dot"/>
            </w:tabs>
            <w:spacing w:line="240" w:lineRule="auto" w:before="139" w:after="0"/>
            <w:ind w:left="1771" w:right="0" w:hanging="331"/>
            <w:jc w:val="left"/>
          </w:pPr>
          <w:hyperlink w:history="true" w:anchor="_bookmark109">
            <w:r>
              <w:rPr/>
              <w:t>Evaluation</w:t>
            </w:r>
            <w:r>
              <w:rPr>
                <w:spacing w:val="-4"/>
              </w:rPr>
              <w:t> </w:t>
            </w:r>
            <w:r>
              <w:rPr/>
              <w:t>of</w:t>
            </w:r>
            <w:r>
              <w:rPr>
                <w:spacing w:val="-3"/>
              </w:rPr>
              <w:t> </w:t>
            </w:r>
            <w:r>
              <w:rPr/>
              <w:t>the</w:t>
            </w:r>
            <w:r>
              <w:rPr>
                <w:spacing w:val="-1"/>
              </w:rPr>
              <w:t> </w:t>
            </w:r>
            <w:r>
              <w:rPr>
                <w:spacing w:val="-2"/>
              </w:rPr>
              <w:t>Demonstration</w:t>
            </w:r>
            <w:r>
              <w:rPr/>
              <w:tab/>
            </w:r>
            <w:r>
              <w:rPr>
                <w:rFonts w:ascii="Calibri"/>
                <w:spacing w:val="-7"/>
              </w:rPr>
              <w:t>96</w:t>
            </w:r>
          </w:hyperlink>
        </w:p>
        <w:p>
          <w:pPr>
            <w:pStyle w:val="TOC3"/>
            <w:numPr>
              <w:ilvl w:val="2"/>
              <w:numId w:val="61"/>
            </w:numPr>
            <w:tabs>
              <w:tab w:pos="2540" w:val="left" w:leader="none"/>
              <w:tab w:pos="10573" w:val="right" w:leader="dot"/>
            </w:tabs>
            <w:spacing w:line="240" w:lineRule="auto" w:before="142" w:after="0"/>
            <w:ind w:left="2540" w:right="0" w:hanging="881"/>
            <w:jc w:val="left"/>
            <w:rPr>
              <w:rFonts w:ascii="Calibri"/>
            </w:rPr>
          </w:pPr>
          <w:hyperlink w:history="true" w:anchor="_bookmark110">
            <w:r>
              <w:rPr/>
              <w:t>Requirements</w:t>
            </w:r>
            <w:r>
              <w:rPr>
                <w:spacing w:val="-4"/>
              </w:rPr>
              <w:t> </w:t>
            </w:r>
            <w:r>
              <w:rPr/>
              <w:t>for</w:t>
            </w:r>
            <w:r>
              <w:rPr>
                <w:spacing w:val="-3"/>
              </w:rPr>
              <w:t> </w:t>
            </w:r>
            <w:r>
              <w:rPr/>
              <w:t>Interim</w:t>
            </w:r>
            <w:r>
              <w:rPr>
                <w:spacing w:val="-7"/>
              </w:rPr>
              <w:t> </w:t>
            </w:r>
            <w:r>
              <w:rPr>
                <w:spacing w:val="-2"/>
              </w:rPr>
              <w:t>Evaluation</w:t>
            </w:r>
            <w:r>
              <w:rPr/>
              <w:tab/>
            </w:r>
            <w:r>
              <w:rPr>
                <w:rFonts w:ascii="Calibri"/>
                <w:spacing w:val="-5"/>
              </w:rPr>
              <w:t>96</w:t>
            </w:r>
          </w:hyperlink>
        </w:p>
        <w:p>
          <w:pPr>
            <w:pStyle w:val="TOC3"/>
            <w:numPr>
              <w:ilvl w:val="2"/>
              <w:numId w:val="61"/>
            </w:numPr>
            <w:tabs>
              <w:tab w:pos="2540" w:val="left" w:leader="none"/>
              <w:tab w:pos="10573" w:val="right" w:leader="dot"/>
            </w:tabs>
            <w:spacing w:line="240" w:lineRule="auto" w:before="140" w:after="0"/>
            <w:ind w:left="2540" w:right="0" w:hanging="881"/>
            <w:jc w:val="left"/>
            <w:rPr>
              <w:rFonts w:ascii="Calibri"/>
            </w:rPr>
          </w:pPr>
          <w:hyperlink w:history="true" w:anchor="_bookmark111">
            <w:r>
              <w:rPr/>
              <w:t>Final</w:t>
            </w:r>
            <w:r>
              <w:rPr>
                <w:spacing w:val="-4"/>
              </w:rPr>
              <w:t> </w:t>
            </w:r>
            <w:r>
              <w:rPr>
                <w:spacing w:val="-2"/>
              </w:rPr>
              <w:t>Evaluation</w:t>
            </w:r>
            <w:r>
              <w:rPr/>
              <w:tab/>
            </w:r>
            <w:r>
              <w:rPr>
                <w:rFonts w:ascii="Calibri"/>
                <w:spacing w:val="-5"/>
              </w:rPr>
              <w:t>96</w:t>
            </w:r>
          </w:hyperlink>
        </w:p>
        <w:p>
          <w:pPr>
            <w:pStyle w:val="TOC2"/>
            <w:numPr>
              <w:ilvl w:val="1"/>
              <w:numId w:val="61"/>
            </w:numPr>
            <w:tabs>
              <w:tab w:pos="1770" w:val="left" w:leader="none"/>
              <w:tab w:pos="10573" w:val="right" w:leader="dot"/>
            </w:tabs>
            <w:spacing w:line="240" w:lineRule="auto" w:before="139" w:after="0"/>
            <w:ind w:left="1770" w:right="0" w:hanging="329"/>
            <w:jc w:val="left"/>
            <w:rPr>
              <w:rFonts w:ascii="Calibri"/>
            </w:rPr>
          </w:pPr>
          <w:hyperlink w:history="true" w:anchor="_bookmark112">
            <w:r>
              <w:rPr>
                <w:rFonts w:ascii="Calibri"/>
              </w:rPr>
              <w:t>CMS</w:t>
            </w:r>
            <w:r>
              <w:rPr>
                <w:rFonts w:ascii="Calibri"/>
                <w:spacing w:val="-4"/>
              </w:rPr>
              <w:t> </w:t>
            </w:r>
            <w:r>
              <w:rPr>
                <w:rFonts w:ascii="Calibri"/>
                <w:spacing w:val="-2"/>
              </w:rPr>
              <w:t>Oversight</w:t>
            </w:r>
            <w:r>
              <w:rPr>
                <w:rFonts w:ascii="Calibri"/>
              </w:rPr>
              <w:tab/>
            </w:r>
            <w:r>
              <w:rPr>
                <w:rFonts w:ascii="Calibri"/>
                <w:spacing w:val="-5"/>
              </w:rPr>
              <w:t>97</w:t>
            </w:r>
          </w:hyperlink>
        </w:p>
        <w:p>
          <w:pPr>
            <w:pStyle w:val="TOC3"/>
            <w:numPr>
              <w:ilvl w:val="2"/>
              <w:numId w:val="61"/>
            </w:numPr>
            <w:tabs>
              <w:tab w:pos="2540" w:val="left" w:leader="none"/>
              <w:tab w:pos="10573" w:val="right" w:leader="dot"/>
            </w:tabs>
            <w:spacing w:line="240" w:lineRule="auto" w:before="142" w:after="0"/>
            <w:ind w:left="2540" w:right="0" w:hanging="881"/>
            <w:jc w:val="left"/>
            <w:rPr>
              <w:rFonts w:ascii="Calibri"/>
            </w:rPr>
          </w:pPr>
          <w:hyperlink w:history="true" w:anchor="_bookmark113">
            <w:r>
              <w:rPr/>
              <w:t>State</w:t>
            </w:r>
            <w:r>
              <w:rPr>
                <w:spacing w:val="-5"/>
              </w:rPr>
              <w:t> </w:t>
            </w:r>
            <w:r>
              <w:rPr/>
              <w:t>Reporting</w:t>
            </w:r>
            <w:r>
              <w:rPr>
                <w:spacing w:val="-4"/>
              </w:rPr>
              <w:t> </w:t>
            </w:r>
            <w:r>
              <w:rPr/>
              <w:t>to</w:t>
            </w:r>
            <w:r>
              <w:rPr>
                <w:spacing w:val="-2"/>
              </w:rPr>
              <w:t> </w:t>
            </w:r>
            <w:r>
              <w:rPr>
                <w:spacing w:val="-5"/>
              </w:rPr>
              <w:t>CMS</w:t>
            </w:r>
            <w:r>
              <w:rPr/>
              <w:tab/>
            </w:r>
            <w:r>
              <w:rPr>
                <w:rFonts w:ascii="Calibri"/>
                <w:spacing w:val="-5"/>
              </w:rPr>
              <w:t>97</w:t>
            </w:r>
          </w:hyperlink>
        </w:p>
        <w:p>
          <w:pPr>
            <w:pStyle w:val="TOC3"/>
            <w:numPr>
              <w:ilvl w:val="2"/>
              <w:numId w:val="61"/>
            </w:numPr>
            <w:tabs>
              <w:tab w:pos="2540" w:val="left" w:leader="none"/>
              <w:tab w:pos="10573" w:val="right" w:leader="dot"/>
            </w:tabs>
            <w:spacing w:line="240" w:lineRule="auto" w:before="140" w:after="0"/>
            <w:ind w:left="2540" w:right="0" w:hanging="881"/>
            <w:jc w:val="left"/>
            <w:rPr>
              <w:rFonts w:ascii="Calibri"/>
            </w:rPr>
          </w:pPr>
          <w:hyperlink w:history="true" w:anchor="_bookmark114">
            <w:r>
              <w:rPr/>
              <w:t>Process</w:t>
            </w:r>
            <w:r>
              <w:rPr>
                <w:spacing w:val="-5"/>
              </w:rPr>
              <w:t> </w:t>
            </w:r>
            <w:r>
              <w:rPr/>
              <w:t>for</w:t>
            </w:r>
            <w:r>
              <w:rPr>
                <w:spacing w:val="-3"/>
              </w:rPr>
              <w:t> </w:t>
            </w:r>
            <w:r>
              <w:rPr/>
              <w:t>Review,</w:t>
            </w:r>
            <w:r>
              <w:rPr>
                <w:spacing w:val="-5"/>
              </w:rPr>
              <w:t> </w:t>
            </w:r>
            <w:r>
              <w:rPr/>
              <w:t>Approval,</w:t>
            </w:r>
            <w:r>
              <w:rPr>
                <w:spacing w:val="-4"/>
              </w:rPr>
              <w:t> </w:t>
            </w:r>
            <w:r>
              <w:rPr/>
              <w:t>and</w:t>
            </w:r>
            <w:r>
              <w:rPr>
                <w:spacing w:val="-5"/>
              </w:rPr>
              <w:t> </w:t>
            </w:r>
            <w:r>
              <w:rPr/>
              <w:t>Modification</w:t>
            </w:r>
            <w:r>
              <w:rPr>
                <w:spacing w:val="-4"/>
              </w:rPr>
              <w:t> </w:t>
            </w:r>
            <w:r>
              <w:rPr/>
              <w:t>of</w:t>
            </w:r>
            <w:r>
              <w:rPr>
                <w:spacing w:val="-3"/>
              </w:rPr>
              <w:t> </w:t>
            </w:r>
            <w:r>
              <w:rPr>
                <w:spacing w:val="-2"/>
              </w:rPr>
              <w:t>Protocol</w:t>
            </w:r>
            <w:r>
              <w:rPr/>
              <w:tab/>
            </w:r>
            <w:r>
              <w:rPr>
                <w:rFonts w:ascii="Calibri"/>
                <w:spacing w:val="-5"/>
              </w:rPr>
              <w:t>97</w:t>
            </w:r>
          </w:hyperlink>
        </w:p>
        <w:p>
          <w:pPr>
            <w:pStyle w:val="TOC1"/>
            <w:tabs>
              <w:tab w:pos="10573" w:val="right" w:leader="dot"/>
            </w:tabs>
            <w:rPr>
              <w:rFonts w:ascii="Calibri"/>
            </w:rPr>
          </w:pPr>
          <w:hyperlink w:history="true" w:anchor="_bookmark115">
            <w:r>
              <w:rPr/>
              <w:t>Appendix</w:t>
            </w:r>
            <w:r>
              <w:rPr>
                <w:spacing w:val="-6"/>
              </w:rPr>
              <w:t> </w:t>
            </w:r>
            <w:r>
              <w:rPr/>
              <w:t>A:</w:t>
            </w:r>
            <w:r>
              <w:rPr>
                <w:spacing w:val="-2"/>
              </w:rPr>
              <w:t> </w:t>
            </w:r>
            <w:r>
              <w:rPr/>
              <w:t>Description</w:t>
            </w:r>
            <w:r>
              <w:rPr>
                <w:spacing w:val="-3"/>
              </w:rPr>
              <w:t> </w:t>
            </w:r>
            <w:r>
              <w:rPr/>
              <w:t>of</w:t>
            </w:r>
            <w:r>
              <w:rPr>
                <w:spacing w:val="-2"/>
              </w:rPr>
              <w:t> </w:t>
            </w:r>
            <w:r>
              <w:rPr/>
              <w:t>ACOs</w:t>
            </w:r>
            <w:r>
              <w:rPr>
                <w:spacing w:val="-3"/>
              </w:rPr>
              <w:t> </w:t>
            </w:r>
            <w:r>
              <w:rPr/>
              <w:t>and</w:t>
            </w:r>
            <w:r>
              <w:rPr>
                <w:spacing w:val="-2"/>
              </w:rPr>
              <w:t> </w:t>
            </w:r>
            <w:r>
              <w:rPr>
                <w:spacing w:val="-5"/>
              </w:rPr>
              <w:t>CPs</w:t>
            </w:r>
            <w:r>
              <w:rPr/>
              <w:tab/>
            </w:r>
            <w:r>
              <w:rPr>
                <w:rFonts w:ascii="Calibri"/>
                <w:spacing w:val="-5"/>
              </w:rPr>
              <w:t>98</w:t>
            </w:r>
          </w:hyperlink>
        </w:p>
        <w:p>
          <w:pPr>
            <w:pStyle w:val="TOC2"/>
            <w:tabs>
              <w:tab w:pos="10573" w:val="right" w:leader="dot"/>
            </w:tabs>
            <w:spacing w:before="142"/>
            <w:ind w:left="1441" w:firstLine="0"/>
            <w:rPr>
              <w:rFonts w:ascii="Calibri"/>
            </w:rPr>
          </w:pPr>
          <w:hyperlink w:history="true" w:anchor="_bookmark116">
            <w:r>
              <w:rPr/>
              <w:t>Accountable</w:t>
            </w:r>
            <w:r>
              <w:rPr>
                <w:spacing w:val="-5"/>
              </w:rPr>
              <w:t> </w:t>
            </w:r>
            <w:r>
              <w:rPr/>
              <w:t>Care</w:t>
            </w:r>
            <w:r>
              <w:rPr>
                <w:spacing w:val="-4"/>
              </w:rPr>
              <w:t> </w:t>
            </w:r>
            <w:r>
              <w:rPr>
                <w:spacing w:val="-2"/>
              </w:rPr>
              <w:t>Organizations</w:t>
            </w:r>
            <w:r>
              <w:rPr/>
              <w:tab/>
            </w:r>
            <w:r>
              <w:rPr>
                <w:rFonts w:ascii="Calibri"/>
                <w:spacing w:val="-5"/>
              </w:rPr>
              <w:t>98</w:t>
            </w:r>
          </w:hyperlink>
        </w:p>
        <w:p>
          <w:pPr>
            <w:pStyle w:val="TOC3"/>
            <w:tabs>
              <w:tab w:pos="10573" w:val="right" w:leader="dot"/>
            </w:tabs>
            <w:ind w:left="1659" w:firstLine="0"/>
            <w:rPr>
              <w:rFonts w:ascii="Calibri"/>
            </w:rPr>
          </w:pPr>
          <w:hyperlink w:history="true" w:anchor="_bookmark117">
            <w:r>
              <w:rPr/>
              <w:t>Procurement</w:t>
            </w:r>
            <w:r>
              <w:rPr>
                <w:spacing w:val="-7"/>
              </w:rPr>
              <w:t> </w:t>
            </w:r>
            <w:r>
              <w:rPr>
                <w:spacing w:val="-2"/>
              </w:rPr>
              <w:t>Process</w:t>
            </w:r>
            <w:r>
              <w:rPr/>
              <w:tab/>
            </w:r>
            <w:r>
              <w:rPr>
                <w:rFonts w:ascii="Calibri"/>
                <w:spacing w:val="-5"/>
              </w:rPr>
              <w:t>98</w:t>
            </w:r>
          </w:hyperlink>
        </w:p>
        <w:p>
          <w:pPr>
            <w:pStyle w:val="TOC2"/>
            <w:tabs>
              <w:tab w:pos="10573" w:val="right" w:leader="dot"/>
            </w:tabs>
            <w:ind w:left="1441" w:firstLine="0"/>
            <w:rPr>
              <w:rFonts w:ascii="Calibri"/>
            </w:rPr>
          </w:pPr>
          <w:hyperlink w:history="true" w:anchor="_bookmark118">
            <w:r>
              <w:rPr/>
              <w:t>Community</w:t>
            </w:r>
            <w:r>
              <w:rPr>
                <w:spacing w:val="-9"/>
              </w:rPr>
              <w:t> </w:t>
            </w:r>
            <w:r>
              <w:rPr>
                <w:spacing w:val="-2"/>
              </w:rPr>
              <w:t>Partners</w:t>
            </w:r>
            <w:r>
              <w:rPr/>
              <w:tab/>
            </w:r>
            <w:r>
              <w:rPr>
                <w:rFonts w:ascii="Calibri"/>
                <w:spacing w:val="-5"/>
              </w:rPr>
              <w:t>99</w:t>
            </w:r>
          </w:hyperlink>
        </w:p>
        <w:p>
          <w:pPr>
            <w:pStyle w:val="TOC4"/>
            <w:tabs>
              <w:tab w:pos="10573" w:val="right" w:leader="dot"/>
            </w:tabs>
            <w:spacing w:before="142"/>
            <w:rPr>
              <w:rFonts w:ascii="Calibri"/>
            </w:rPr>
          </w:pPr>
          <w:hyperlink w:history="true" w:anchor="_bookmark119">
            <w:r>
              <w:rPr/>
              <w:t>CPs</w:t>
            </w:r>
            <w:r>
              <w:rPr>
                <w:spacing w:val="-4"/>
              </w:rPr>
              <w:t> </w:t>
            </w:r>
            <w:r>
              <w:rPr/>
              <w:t>will</w:t>
            </w:r>
            <w:r>
              <w:rPr>
                <w:spacing w:val="-2"/>
              </w:rPr>
              <w:t> </w:t>
            </w:r>
            <w:r>
              <w:rPr/>
              <w:t>not</w:t>
            </w:r>
            <w:r>
              <w:rPr>
                <w:spacing w:val="-2"/>
              </w:rPr>
              <w:t> </w:t>
            </w:r>
            <w:r>
              <w:rPr/>
              <w:t>be</w:t>
            </w:r>
            <w:r>
              <w:rPr>
                <w:spacing w:val="-5"/>
              </w:rPr>
              <w:t> </w:t>
            </w:r>
            <w:r>
              <w:rPr/>
              <w:t>able</w:t>
            </w:r>
            <w:r>
              <w:rPr>
                <w:spacing w:val="-3"/>
              </w:rPr>
              <w:t> </w:t>
            </w:r>
            <w:r>
              <w:rPr/>
              <w:t>to</w:t>
            </w:r>
            <w:r>
              <w:rPr>
                <w:spacing w:val="-6"/>
              </w:rPr>
              <w:t> </w:t>
            </w:r>
            <w:r>
              <w:rPr/>
              <w:t>authorize</w:t>
            </w:r>
            <w:r>
              <w:rPr>
                <w:spacing w:val="-3"/>
              </w:rPr>
              <w:t> </w:t>
            </w:r>
            <w:r>
              <w:rPr/>
              <w:t>services</w:t>
            </w:r>
            <w:r>
              <w:rPr>
                <w:spacing w:val="-3"/>
              </w:rPr>
              <w:t> </w:t>
            </w:r>
            <w:r>
              <w:rPr/>
              <w:t>for</w:t>
            </w:r>
            <w:r>
              <w:rPr>
                <w:spacing w:val="-2"/>
              </w:rPr>
              <w:t> </w:t>
            </w:r>
            <w:r>
              <w:rPr/>
              <w:t>members</w:t>
            </w:r>
            <w:r>
              <w:rPr>
                <w:spacing w:val="-3"/>
              </w:rPr>
              <w:t> </w:t>
            </w:r>
            <w:r>
              <w:rPr/>
              <w:t>under</w:t>
            </w:r>
            <w:r>
              <w:rPr>
                <w:spacing w:val="-5"/>
              </w:rPr>
              <w:t> </w:t>
            </w:r>
            <w:r>
              <w:rPr/>
              <w:t>either</w:t>
            </w:r>
            <w:r>
              <w:rPr>
                <w:spacing w:val="-2"/>
              </w:rPr>
              <w:t> model</w:t>
            </w:r>
            <w:r>
              <w:rPr/>
              <w:tab/>
            </w:r>
            <w:r>
              <w:rPr>
                <w:rFonts w:ascii="Calibri"/>
                <w:spacing w:val="-5"/>
              </w:rPr>
              <w:t>99</w:t>
            </w:r>
          </w:hyperlink>
        </w:p>
        <w:p>
          <w:pPr>
            <w:pStyle w:val="TOC4"/>
            <w:tabs>
              <w:tab w:pos="10573" w:val="right" w:leader="dot"/>
            </w:tabs>
            <w:rPr>
              <w:rFonts w:ascii="Calibri"/>
            </w:rPr>
          </w:pPr>
          <w:hyperlink w:history="true" w:anchor="_bookmark120">
            <w:r>
              <w:rPr/>
              <w:t>Procurement</w:t>
            </w:r>
            <w:r>
              <w:rPr>
                <w:spacing w:val="-7"/>
              </w:rPr>
              <w:t> </w:t>
            </w:r>
            <w:r>
              <w:rPr>
                <w:spacing w:val="-2"/>
              </w:rPr>
              <w:t>Process</w:t>
            </w:r>
            <w:r>
              <w:rPr/>
              <w:tab/>
            </w:r>
            <w:r>
              <w:rPr>
                <w:rFonts w:ascii="Calibri"/>
                <w:spacing w:val="-5"/>
              </w:rPr>
              <w:t>99</w:t>
            </w:r>
          </w:hyperlink>
        </w:p>
        <w:p>
          <w:pPr>
            <w:pStyle w:val="TOC2"/>
            <w:tabs>
              <w:tab w:pos="10571" w:val="right" w:leader="dot"/>
            </w:tabs>
            <w:ind w:left="1441" w:firstLine="0"/>
            <w:rPr>
              <w:rFonts w:ascii="Calibri"/>
            </w:rPr>
          </w:pPr>
          <w:hyperlink w:history="true" w:anchor="_bookmark121">
            <w:r>
              <w:rPr/>
              <w:t>Relationships</w:t>
            </w:r>
            <w:r>
              <w:rPr>
                <w:spacing w:val="-4"/>
              </w:rPr>
              <w:t> </w:t>
            </w:r>
            <w:r>
              <w:rPr/>
              <w:t>between</w:t>
            </w:r>
            <w:r>
              <w:rPr>
                <w:spacing w:val="-4"/>
              </w:rPr>
              <w:t> </w:t>
            </w:r>
            <w:r>
              <w:rPr/>
              <w:t>ACOs</w:t>
            </w:r>
            <w:r>
              <w:rPr>
                <w:spacing w:val="-4"/>
              </w:rPr>
              <w:t> </w:t>
            </w:r>
            <w:r>
              <w:rPr/>
              <w:t>and</w:t>
            </w:r>
            <w:r>
              <w:rPr>
                <w:spacing w:val="-3"/>
              </w:rPr>
              <w:t> </w:t>
            </w:r>
            <w:r>
              <w:rPr>
                <w:spacing w:val="-5"/>
              </w:rPr>
              <w:t>CPs</w:t>
            </w:r>
            <w:r>
              <w:rPr/>
              <w:tab/>
            </w:r>
            <w:r>
              <w:rPr>
                <w:rFonts w:ascii="Calibri"/>
                <w:spacing w:val="-5"/>
              </w:rPr>
              <w:t>100</w:t>
            </w:r>
          </w:hyperlink>
        </w:p>
        <w:p>
          <w:pPr>
            <w:pStyle w:val="TOC1"/>
            <w:tabs>
              <w:tab w:pos="10571" w:val="right" w:leader="dot"/>
            </w:tabs>
            <w:spacing w:before="142"/>
            <w:ind w:left="1221"/>
            <w:rPr>
              <w:rFonts w:ascii="Calibri"/>
            </w:rPr>
          </w:pPr>
          <w:hyperlink w:history="true" w:anchor="_bookmark122">
            <w:r>
              <w:rPr/>
              <w:t>Appendix</w:t>
            </w:r>
            <w:r>
              <w:rPr>
                <w:spacing w:val="-7"/>
              </w:rPr>
              <w:t> </w:t>
            </w:r>
            <w:r>
              <w:rPr/>
              <w:t>B:</w:t>
            </w:r>
            <w:r>
              <w:rPr>
                <w:spacing w:val="-3"/>
              </w:rPr>
              <w:t> </w:t>
            </w:r>
            <w:r>
              <w:rPr/>
              <w:t>Description</w:t>
            </w:r>
            <w:r>
              <w:rPr>
                <w:spacing w:val="-6"/>
              </w:rPr>
              <w:t> </w:t>
            </w:r>
            <w:r>
              <w:rPr/>
              <w:t>of</w:t>
            </w:r>
            <w:r>
              <w:rPr>
                <w:spacing w:val="-5"/>
              </w:rPr>
              <w:t> </w:t>
            </w:r>
            <w:r>
              <w:rPr/>
              <w:t>Statewide</w:t>
            </w:r>
            <w:r>
              <w:rPr>
                <w:spacing w:val="-4"/>
              </w:rPr>
              <w:t> </w:t>
            </w:r>
            <w:r>
              <w:rPr/>
              <w:t>Investments</w:t>
            </w:r>
            <w:r>
              <w:rPr>
                <w:spacing w:val="-3"/>
              </w:rPr>
              <w:t> </w:t>
            </w:r>
            <w:r>
              <w:rPr>
                <w:spacing w:val="-2"/>
              </w:rPr>
              <w:t>Initiatives</w:t>
            </w:r>
            <w:r>
              <w:rPr/>
              <w:tab/>
            </w:r>
            <w:r>
              <w:rPr>
                <w:rFonts w:ascii="Calibri"/>
                <w:spacing w:val="-5"/>
              </w:rPr>
              <w:t>103</w:t>
            </w:r>
          </w:hyperlink>
        </w:p>
        <w:p>
          <w:pPr>
            <w:pStyle w:val="TOC2"/>
            <w:tabs>
              <w:tab w:pos="10571" w:val="right" w:leader="dot"/>
            </w:tabs>
            <w:ind w:left="1442" w:firstLine="0"/>
            <w:rPr>
              <w:rFonts w:ascii="Calibri"/>
            </w:rPr>
          </w:pPr>
          <w:hyperlink w:history="true" w:anchor="_bookmark123">
            <w:r>
              <w:rPr/>
              <w:t>Student</w:t>
            </w:r>
            <w:r>
              <w:rPr>
                <w:spacing w:val="-3"/>
              </w:rPr>
              <w:t> </w:t>
            </w:r>
            <w:r>
              <w:rPr/>
              <w:t>Loan</w:t>
            </w:r>
            <w:r>
              <w:rPr>
                <w:spacing w:val="-3"/>
              </w:rPr>
              <w:t> </w:t>
            </w:r>
            <w:r>
              <w:rPr>
                <w:spacing w:val="-2"/>
              </w:rPr>
              <w:t>Repayment</w:t>
            </w:r>
            <w:r>
              <w:rPr/>
              <w:tab/>
            </w:r>
            <w:r>
              <w:rPr>
                <w:rFonts w:ascii="Calibri"/>
                <w:spacing w:val="-5"/>
              </w:rPr>
              <w:t>103</w:t>
            </w:r>
          </w:hyperlink>
        </w:p>
        <w:p>
          <w:pPr>
            <w:pStyle w:val="TOC2"/>
            <w:tabs>
              <w:tab w:pos="10571" w:val="right" w:leader="dot"/>
            </w:tabs>
            <w:spacing w:before="140"/>
            <w:ind w:left="1442" w:firstLine="0"/>
            <w:rPr>
              <w:rFonts w:ascii="Calibri"/>
            </w:rPr>
          </w:pPr>
          <w:hyperlink w:history="true" w:anchor="_bookmark124">
            <w:r>
              <w:rPr/>
              <w:t>Primary</w:t>
            </w:r>
            <w:r>
              <w:rPr>
                <w:spacing w:val="-6"/>
              </w:rPr>
              <w:t> </w:t>
            </w:r>
            <w:r>
              <w:rPr/>
              <w:t>Care</w:t>
            </w:r>
            <w:r>
              <w:rPr>
                <w:spacing w:val="-3"/>
              </w:rPr>
              <w:t> </w:t>
            </w:r>
            <w:r>
              <w:rPr/>
              <w:t>Integration</w:t>
            </w:r>
            <w:r>
              <w:rPr>
                <w:spacing w:val="-2"/>
              </w:rPr>
              <w:t> </w:t>
            </w:r>
            <w:r>
              <w:rPr/>
              <w:t>Models</w:t>
            </w:r>
            <w:r>
              <w:rPr>
                <w:spacing w:val="-5"/>
              </w:rPr>
              <w:t> </w:t>
            </w:r>
            <w:r>
              <w:rPr/>
              <w:t>and</w:t>
            </w:r>
            <w:r>
              <w:rPr>
                <w:spacing w:val="-2"/>
              </w:rPr>
              <w:t> Retention</w:t>
            </w:r>
            <w:r>
              <w:rPr/>
              <w:tab/>
            </w:r>
            <w:r>
              <w:rPr>
                <w:rFonts w:ascii="Calibri"/>
                <w:spacing w:val="-5"/>
              </w:rPr>
              <w:t>103</w:t>
            </w:r>
          </w:hyperlink>
        </w:p>
        <w:p>
          <w:pPr>
            <w:pStyle w:val="TOC2"/>
            <w:tabs>
              <w:tab w:pos="10571" w:val="right" w:leader="dot"/>
            </w:tabs>
            <w:spacing w:before="142"/>
            <w:ind w:left="1442" w:firstLine="0"/>
            <w:rPr>
              <w:rFonts w:ascii="Calibri"/>
            </w:rPr>
          </w:pPr>
          <w:hyperlink w:history="true" w:anchor="_bookmark125">
            <w:r>
              <w:rPr/>
              <w:t>Investment</w:t>
            </w:r>
            <w:r>
              <w:rPr>
                <w:spacing w:val="-3"/>
              </w:rPr>
              <w:t> </w:t>
            </w:r>
            <w:r>
              <w:rPr/>
              <w:t>in</w:t>
            </w:r>
            <w:r>
              <w:rPr>
                <w:spacing w:val="-3"/>
              </w:rPr>
              <w:t> </w:t>
            </w:r>
            <w:r>
              <w:rPr/>
              <w:t>Primary</w:t>
            </w:r>
            <w:r>
              <w:rPr>
                <w:spacing w:val="-7"/>
              </w:rPr>
              <w:t> </w:t>
            </w:r>
            <w:r>
              <w:rPr/>
              <w:t>Care</w:t>
            </w:r>
            <w:r>
              <w:rPr>
                <w:spacing w:val="-3"/>
              </w:rPr>
              <w:t> </w:t>
            </w:r>
            <w:r>
              <w:rPr/>
              <w:t>Residency</w:t>
            </w:r>
            <w:r>
              <w:rPr>
                <w:spacing w:val="-6"/>
              </w:rPr>
              <w:t> </w:t>
            </w:r>
            <w:r>
              <w:rPr>
                <w:spacing w:val="-2"/>
              </w:rPr>
              <w:t>Training</w:t>
            </w:r>
            <w:r>
              <w:rPr/>
              <w:tab/>
            </w:r>
            <w:r>
              <w:rPr>
                <w:rFonts w:ascii="Calibri"/>
                <w:spacing w:val="-5"/>
              </w:rPr>
              <w:t>104</w:t>
            </w:r>
          </w:hyperlink>
        </w:p>
        <w:p>
          <w:pPr>
            <w:pStyle w:val="TOC2"/>
            <w:tabs>
              <w:tab w:pos="10570" w:val="right" w:leader="dot"/>
            </w:tabs>
            <w:spacing w:before="138"/>
            <w:ind w:left="1440" w:firstLine="0"/>
            <w:rPr>
              <w:rFonts w:ascii="Calibri"/>
            </w:rPr>
          </w:pPr>
          <w:hyperlink w:history="true" w:anchor="_bookmark126">
            <w:r>
              <w:rPr/>
              <w:t>Workforce</w:t>
            </w:r>
            <w:r>
              <w:rPr>
                <w:spacing w:val="-9"/>
              </w:rPr>
              <w:t> </w:t>
            </w:r>
            <w:r>
              <w:rPr/>
              <w:t>Development</w:t>
            </w:r>
            <w:r>
              <w:rPr>
                <w:spacing w:val="-5"/>
              </w:rPr>
              <w:t> </w:t>
            </w:r>
            <w:r>
              <w:rPr/>
              <w:t>Grant</w:t>
            </w:r>
            <w:r>
              <w:rPr>
                <w:spacing w:val="-7"/>
              </w:rPr>
              <w:t> </w:t>
            </w:r>
            <w:r>
              <w:rPr>
                <w:spacing w:val="-2"/>
              </w:rPr>
              <w:t>Program</w:t>
            </w:r>
            <w:r>
              <w:rPr/>
              <w:tab/>
            </w:r>
            <w:r>
              <w:rPr>
                <w:rFonts w:ascii="Calibri"/>
                <w:spacing w:val="-5"/>
              </w:rPr>
              <w:t>104</w:t>
            </w:r>
          </w:hyperlink>
        </w:p>
        <w:p>
          <w:pPr>
            <w:pStyle w:val="TOC2"/>
            <w:tabs>
              <w:tab w:pos="10570" w:val="right" w:leader="dot"/>
            </w:tabs>
            <w:ind w:left="1440" w:firstLine="0"/>
            <w:rPr>
              <w:rFonts w:ascii="Calibri"/>
            </w:rPr>
          </w:pPr>
          <w:hyperlink w:history="true" w:anchor="_bookmark127">
            <w:r>
              <w:rPr/>
              <w:t>Technical</w:t>
            </w:r>
            <w:r>
              <w:rPr>
                <w:spacing w:val="-6"/>
              </w:rPr>
              <w:t> </w:t>
            </w:r>
            <w:r>
              <w:rPr>
                <w:spacing w:val="-2"/>
              </w:rPr>
              <w:t>Assistance</w:t>
            </w:r>
            <w:r>
              <w:rPr/>
              <w:tab/>
            </w:r>
            <w:r>
              <w:rPr>
                <w:rFonts w:ascii="Calibri"/>
                <w:spacing w:val="-5"/>
              </w:rPr>
              <w:t>104</w:t>
            </w:r>
          </w:hyperlink>
        </w:p>
        <w:p>
          <w:pPr>
            <w:pStyle w:val="TOC2"/>
            <w:tabs>
              <w:tab w:pos="10570" w:val="right" w:leader="dot"/>
            </w:tabs>
            <w:spacing w:before="142" w:after="20"/>
            <w:ind w:left="1440" w:firstLine="0"/>
            <w:rPr>
              <w:rFonts w:ascii="Calibri"/>
            </w:rPr>
          </w:pPr>
          <w:hyperlink w:history="true" w:anchor="_bookmark128">
            <w:r>
              <w:rPr/>
              <w:t>Alternative</w:t>
            </w:r>
            <w:r>
              <w:rPr>
                <w:spacing w:val="-7"/>
              </w:rPr>
              <w:t> </w:t>
            </w:r>
            <w:r>
              <w:rPr/>
              <w:t>Payment</w:t>
            </w:r>
            <w:r>
              <w:rPr>
                <w:spacing w:val="-5"/>
              </w:rPr>
              <w:t> </w:t>
            </w:r>
            <w:r>
              <w:rPr/>
              <w:t>Methods</w:t>
            </w:r>
            <w:r>
              <w:rPr>
                <w:spacing w:val="-6"/>
              </w:rPr>
              <w:t> </w:t>
            </w:r>
            <w:r>
              <w:rPr/>
              <w:t>(APM)</w:t>
            </w:r>
            <w:r>
              <w:rPr>
                <w:spacing w:val="-5"/>
              </w:rPr>
              <w:t> </w:t>
            </w:r>
            <w:r>
              <w:rPr/>
              <w:t>Preparation</w:t>
            </w:r>
            <w:r>
              <w:rPr>
                <w:spacing w:val="-6"/>
              </w:rPr>
              <w:t> </w:t>
            </w:r>
            <w:r>
              <w:rPr>
                <w:spacing w:val="-4"/>
              </w:rPr>
              <w:t>Fund</w:t>
            </w:r>
            <w:r>
              <w:rPr/>
              <w:tab/>
            </w:r>
            <w:r>
              <w:rPr>
                <w:rFonts w:ascii="Calibri"/>
                <w:spacing w:val="-5"/>
              </w:rPr>
              <w:t>106</w:t>
            </w:r>
          </w:hyperlink>
        </w:p>
        <w:p>
          <w:pPr>
            <w:pStyle w:val="TOC2"/>
            <w:tabs>
              <w:tab w:pos="10236" w:val="left" w:leader="dot"/>
            </w:tabs>
            <w:spacing w:before="59"/>
            <w:ind w:left="1440" w:firstLine="0"/>
            <w:rPr>
              <w:rFonts w:ascii="Calibri"/>
            </w:rPr>
          </w:pPr>
          <w:hyperlink w:history="true" w:anchor="_bookmark129">
            <w:r>
              <w:rPr/>
              <w:t>Enhanced</w:t>
            </w:r>
            <w:r>
              <w:rPr>
                <w:spacing w:val="-5"/>
              </w:rPr>
              <w:t> </w:t>
            </w:r>
            <w:r>
              <w:rPr/>
              <w:t>Diversionary</w:t>
            </w:r>
            <w:r>
              <w:rPr>
                <w:spacing w:val="-7"/>
              </w:rPr>
              <w:t> </w:t>
            </w:r>
            <w:r>
              <w:rPr/>
              <w:t>Behavioral</w:t>
            </w:r>
            <w:r>
              <w:rPr>
                <w:spacing w:val="-3"/>
              </w:rPr>
              <w:t> </w:t>
            </w:r>
            <w:r>
              <w:rPr/>
              <w:t>Health</w:t>
            </w:r>
            <w:r>
              <w:rPr>
                <w:spacing w:val="-4"/>
              </w:rPr>
              <w:t> </w:t>
            </w:r>
            <w:r>
              <w:rPr>
                <w:spacing w:val="-2"/>
              </w:rPr>
              <w:t>Activities</w:t>
            </w:r>
            <w:r>
              <w:rPr/>
              <w:tab/>
            </w:r>
            <w:r>
              <w:rPr>
                <w:rFonts w:ascii="Calibri"/>
                <w:spacing w:val="-5"/>
              </w:rPr>
              <w:t>106</w:t>
            </w:r>
          </w:hyperlink>
        </w:p>
        <w:p>
          <w:pPr>
            <w:pStyle w:val="TOC2"/>
            <w:tabs>
              <w:tab w:pos="10236" w:val="left" w:leader="dot"/>
            </w:tabs>
            <w:ind w:left="1440" w:firstLine="0"/>
            <w:rPr>
              <w:rFonts w:ascii="Calibri"/>
            </w:rPr>
          </w:pPr>
          <w:hyperlink w:history="true" w:anchor="_bookmark130">
            <w:r>
              <w:rPr/>
              <w:t>Improved</w:t>
            </w:r>
            <w:r>
              <w:rPr>
                <w:spacing w:val="-3"/>
              </w:rPr>
              <w:t> </w:t>
            </w:r>
            <w:r>
              <w:rPr/>
              <w:t>accessibility</w:t>
            </w:r>
            <w:r>
              <w:rPr>
                <w:spacing w:val="-6"/>
              </w:rPr>
              <w:t> </w:t>
            </w:r>
            <w:r>
              <w:rPr/>
              <w:t>for</w:t>
            </w:r>
            <w:r>
              <w:rPr>
                <w:spacing w:val="-4"/>
              </w:rPr>
              <w:t> </w:t>
            </w:r>
            <w:r>
              <w:rPr/>
              <w:t>people</w:t>
            </w:r>
            <w:r>
              <w:rPr>
                <w:spacing w:val="-3"/>
              </w:rPr>
              <w:t> </w:t>
            </w:r>
            <w:r>
              <w:rPr/>
              <w:t>with</w:t>
            </w:r>
            <w:r>
              <w:rPr>
                <w:spacing w:val="-3"/>
              </w:rPr>
              <w:t> </w:t>
            </w:r>
            <w:r>
              <w:rPr/>
              <w:t>disabilities</w:t>
            </w:r>
            <w:r>
              <w:rPr>
                <w:spacing w:val="-2"/>
              </w:rPr>
              <w:t> </w:t>
            </w:r>
            <w:r>
              <w:rPr/>
              <w:t>or</w:t>
            </w:r>
            <w:r>
              <w:rPr>
                <w:spacing w:val="-5"/>
              </w:rPr>
              <w:t> </w:t>
            </w:r>
            <w:r>
              <w:rPr/>
              <w:t>for</w:t>
            </w:r>
            <w:r>
              <w:rPr>
                <w:spacing w:val="-2"/>
              </w:rPr>
              <w:t> </w:t>
            </w:r>
            <w:r>
              <w:rPr/>
              <w:t>whom</w:t>
            </w:r>
            <w:r>
              <w:rPr>
                <w:spacing w:val="-6"/>
              </w:rPr>
              <w:t> </w:t>
            </w:r>
            <w:r>
              <w:rPr/>
              <w:t>English</w:t>
            </w:r>
            <w:r>
              <w:rPr>
                <w:spacing w:val="-3"/>
              </w:rPr>
              <w:t> </w:t>
            </w:r>
            <w:r>
              <w:rPr/>
              <w:t>is</w:t>
            </w:r>
            <w:r>
              <w:rPr>
                <w:spacing w:val="-5"/>
              </w:rPr>
              <w:t> </w:t>
            </w:r>
            <w:r>
              <w:rPr/>
              <w:t>not</w:t>
            </w:r>
            <w:r>
              <w:rPr>
                <w:spacing w:val="-4"/>
              </w:rPr>
              <w:t> </w:t>
            </w:r>
            <w:r>
              <w:rPr/>
              <w:t>a</w:t>
            </w:r>
            <w:r>
              <w:rPr>
                <w:spacing w:val="-3"/>
              </w:rPr>
              <w:t> </w:t>
            </w:r>
            <w:r>
              <w:rPr/>
              <w:t>primary</w:t>
            </w:r>
            <w:r>
              <w:rPr>
                <w:spacing w:val="-5"/>
              </w:rPr>
              <w:t> </w:t>
            </w:r>
            <w:r>
              <w:rPr>
                <w:spacing w:val="-2"/>
              </w:rPr>
              <w:t>language</w:t>
            </w:r>
            <w:r>
              <w:rPr/>
              <w:tab/>
            </w:r>
            <w:r>
              <w:rPr>
                <w:rFonts w:ascii="Calibri"/>
                <w:spacing w:val="-5"/>
              </w:rPr>
              <w:t>107</w:t>
            </w:r>
          </w:hyperlink>
        </w:p>
        <w:p>
          <w:pPr>
            <w:pStyle w:val="TOC1"/>
            <w:tabs>
              <w:tab w:pos="10236" w:val="left" w:leader="dot"/>
            </w:tabs>
            <w:spacing w:line="273" w:lineRule="auto" w:before="144"/>
            <w:ind w:right="1107"/>
            <w:rPr>
              <w:rFonts w:ascii="Calibri"/>
            </w:rPr>
          </w:pPr>
          <w:hyperlink w:history="true" w:anchor="_bookmark131">
            <w:r>
              <w:rPr/>
              <w:t>Appendix C: Example Calculation of State DSRIP Accountability Score by Accountability Domain for</w:t>
            </w:r>
          </w:hyperlink>
          <w:r>
            <w:rPr/>
            <w:t> </w:t>
          </w:r>
          <w:hyperlink w:history="true" w:anchor="_bookmark131">
            <w:r>
              <w:rPr/>
              <w:t>BP</w:t>
            </w:r>
            <w:r>
              <w:rPr>
                <w:spacing w:val="-2"/>
              </w:rPr>
              <w:t> </w:t>
            </w:r>
            <w:r>
              <w:rPr>
                <w:spacing w:val="-10"/>
              </w:rPr>
              <w:t>4</w:t>
            </w:r>
            <w:r>
              <w:rPr/>
              <w:tab/>
            </w:r>
            <w:r>
              <w:rPr>
                <w:rFonts w:ascii="Calibri"/>
                <w:spacing w:val="-5"/>
              </w:rPr>
              <w:t>109</w:t>
            </w:r>
          </w:hyperlink>
        </w:p>
        <w:p>
          <w:pPr>
            <w:pStyle w:val="TOC2"/>
            <w:tabs>
              <w:tab w:pos="10236" w:val="left" w:leader="dot"/>
            </w:tabs>
            <w:spacing w:before="102"/>
            <w:ind w:left="1440" w:firstLine="0"/>
            <w:rPr>
              <w:rFonts w:ascii="Calibri"/>
            </w:rPr>
          </w:pPr>
          <w:hyperlink w:history="true" w:anchor="_bookmark132">
            <w:r>
              <w:rPr/>
              <w:t>Step</w:t>
            </w:r>
            <w:r>
              <w:rPr>
                <w:spacing w:val="-6"/>
              </w:rPr>
              <w:t> </w:t>
            </w:r>
            <w:r>
              <w:rPr/>
              <w:t>1:</w:t>
            </w:r>
            <w:r>
              <w:rPr>
                <w:spacing w:val="-3"/>
              </w:rPr>
              <w:t> </w:t>
            </w:r>
            <w:r>
              <w:rPr/>
              <w:t>Calculate</w:t>
            </w:r>
            <w:r>
              <w:rPr>
                <w:spacing w:val="-4"/>
              </w:rPr>
              <w:t> </w:t>
            </w:r>
            <w:r>
              <w:rPr/>
              <w:t>the</w:t>
            </w:r>
            <w:r>
              <w:rPr>
                <w:spacing w:val="-4"/>
              </w:rPr>
              <w:t> </w:t>
            </w:r>
            <w:r>
              <w:rPr/>
              <w:t>MassHealth</w:t>
            </w:r>
            <w:r>
              <w:rPr>
                <w:spacing w:val="-4"/>
              </w:rPr>
              <w:t> </w:t>
            </w:r>
            <w:r>
              <w:rPr/>
              <w:t>ACO/APM</w:t>
            </w:r>
            <w:r>
              <w:rPr>
                <w:spacing w:val="-4"/>
              </w:rPr>
              <w:t> </w:t>
            </w:r>
            <w:r>
              <w:rPr/>
              <w:t>Adoption</w:t>
            </w:r>
            <w:r>
              <w:rPr>
                <w:spacing w:val="-4"/>
              </w:rPr>
              <w:t> </w:t>
            </w:r>
            <w:r>
              <w:rPr/>
              <w:t>Rate</w:t>
            </w:r>
            <w:r>
              <w:rPr>
                <w:spacing w:val="-4"/>
              </w:rPr>
              <w:t> </w:t>
            </w:r>
            <w:r>
              <w:rPr/>
              <w:t>Score</w:t>
            </w:r>
            <w:r>
              <w:rPr>
                <w:spacing w:val="-4"/>
              </w:rPr>
              <w:t> </w:t>
            </w:r>
            <w:r>
              <w:rPr/>
              <w:t>for</w:t>
            </w:r>
            <w:r>
              <w:rPr>
                <w:spacing w:val="-3"/>
              </w:rPr>
              <w:t> </w:t>
            </w:r>
            <w:r>
              <w:rPr/>
              <w:t>BP</w:t>
            </w:r>
            <w:r>
              <w:rPr>
                <w:spacing w:val="-4"/>
              </w:rPr>
              <w:t> </w:t>
            </w:r>
            <w:r>
              <w:rPr>
                <w:spacing w:val="-10"/>
              </w:rPr>
              <w:t>4</w:t>
            </w:r>
            <w:r>
              <w:rPr/>
              <w:tab/>
            </w:r>
            <w:r>
              <w:rPr>
                <w:rFonts w:ascii="Calibri"/>
                <w:spacing w:val="-5"/>
              </w:rPr>
              <w:t>109</w:t>
            </w:r>
          </w:hyperlink>
        </w:p>
        <w:p>
          <w:pPr>
            <w:pStyle w:val="TOC2"/>
            <w:tabs>
              <w:tab w:pos="10236" w:val="left" w:leader="dot"/>
            </w:tabs>
            <w:spacing w:before="142"/>
            <w:ind w:left="1440" w:firstLine="0"/>
            <w:rPr>
              <w:rFonts w:ascii="Calibri"/>
            </w:rPr>
          </w:pPr>
          <w:hyperlink w:history="true" w:anchor="_bookmark133">
            <w:r>
              <w:rPr/>
              <w:t>Step</w:t>
            </w:r>
            <w:r>
              <w:rPr>
                <w:spacing w:val="-5"/>
              </w:rPr>
              <w:t> </w:t>
            </w:r>
            <w:r>
              <w:rPr/>
              <w:t>2:</w:t>
            </w:r>
            <w:r>
              <w:rPr>
                <w:spacing w:val="-2"/>
              </w:rPr>
              <w:t> </w:t>
            </w:r>
            <w:r>
              <w:rPr/>
              <w:t>Calculate</w:t>
            </w:r>
            <w:r>
              <w:rPr>
                <w:spacing w:val="-2"/>
              </w:rPr>
              <w:t> </w:t>
            </w:r>
            <w:r>
              <w:rPr/>
              <w:t>the</w:t>
            </w:r>
            <w:r>
              <w:rPr>
                <w:spacing w:val="-3"/>
              </w:rPr>
              <w:t> </w:t>
            </w:r>
            <w:r>
              <w:rPr/>
              <w:t>Reduction</w:t>
            </w:r>
            <w:r>
              <w:rPr>
                <w:spacing w:val="-5"/>
              </w:rPr>
              <w:t> </w:t>
            </w:r>
            <w:r>
              <w:rPr/>
              <w:t>in</w:t>
            </w:r>
            <w:r>
              <w:rPr>
                <w:spacing w:val="-3"/>
              </w:rPr>
              <w:t> </w:t>
            </w:r>
            <w:r>
              <w:rPr/>
              <w:t>Spending</w:t>
            </w:r>
            <w:r>
              <w:rPr>
                <w:spacing w:val="-5"/>
              </w:rPr>
              <w:t> </w:t>
            </w:r>
            <w:r>
              <w:rPr/>
              <w:t>Growth</w:t>
            </w:r>
            <w:r>
              <w:rPr>
                <w:spacing w:val="-3"/>
              </w:rPr>
              <w:t> </w:t>
            </w:r>
            <w:r>
              <w:rPr/>
              <w:t>Score</w:t>
            </w:r>
            <w:r>
              <w:rPr>
                <w:spacing w:val="-4"/>
              </w:rPr>
              <w:t> </w:t>
            </w:r>
            <w:r>
              <w:rPr/>
              <w:t>for</w:t>
            </w:r>
            <w:r>
              <w:rPr>
                <w:spacing w:val="-5"/>
              </w:rPr>
              <w:t> </w:t>
            </w:r>
            <w:r>
              <w:rPr/>
              <w:t>BP</w:t>
            </w:r>
            <w:r>
              <w:rPr>
                <w:spacing w:val="-3"/>
              </w:rPr>
              <w:t> </w:t>
            </w:r>
            <w:r>
              <w:rPr>
                <w:spacing w:val="-10"/>
              </w:rPr>
              <w:t>4</w:t>
            </w:r>
            <w:r>
              <w:rPr/>
              <w:tab/>
            </w:r>
            <w:r>
              <w:rPr>
                <w:rFonts w:ascii="Calibri"/>
                <w:spacing w:val="-5"/>
              </w:rPr>
              <w:t>109</w:t>
            </w:r>
          </w:hyperlink>
        </w:p>
        <w:p>
          <w:pPr>
            <w:pStyle w:val="TOC2"/>
            <w:tabs>
              <w:tab w:pos="10236" w:val="left" w:leader="dot"/>
            </w:tabs>
            <w:spacing w:before="140"/>
            <w:ind w:left="1440" w:firstLine="0"/>
            <w:rPr>
              <w:rFonts w:ascii="Calibri"/>
            </w:rPr>
          </w:pPr>
          <w:hyperlink w:history="true" w:anchor="_bookmark134">
            <w:r>
              <w:rPr/>
              <w:t>Step</w:t>
            </w:r>
            <w:r>
              <w:rPr>
                <w:spacing w:val="-5"/>
              </w:rPr>
              <w:t> </w:t>
            </w:r>
            <w:r>
              <w:rPr/>
              <w:t>3:</w:t>
            </w:r>
            <w:r>
              <w:rPr>
                <w:spacing w:val="-3"/>
              </w:rPr>
              <w:t> </w:t>
            </w:r>
            <w:r>
              <w:rPr/>
              <w:t>Calculate</w:t>
            </w:r>
            <w:r>
              <w:rPr>
                <w:spacing w:val="-4"/>
              </w:rPr>
              <w:t> </w:t>
            </w:r>
            <w:r>
              <w:rPr/>
              <w:t>the</w:t>
            </w:r>
            <w:r>
              <w:rPr>
                <w:spacing w:val="-4"/>
              </w:rPr>
              <w:t> </w:t>
            </w:r>
            <w:r>
              <w:rPr/>
              <w:t>Overall</w:t>
            </w:r>
            <w:r>
              <w:rPr>
                <w:spacing w:val="-3"/>
              </w:rPr>
              <w:t> </w:t>
            </w:r>
            <w:r>
              <w:rPr/>
              <w:t>Statewide</w:t>
            </w:r>
            <w:r>
              <w:rPr>
                <w:spacing w:val="-4"/>
              </w:rPr>
              <w:t> </w:t>
            </w:r>
            <w:r>
              <w:rPr/>
              <w:t>Quality</w:t>
            </w:r>
            <w:r>
              <w:rPr>
                <w:spacing w:val="-7"/>
              </w:rPr>
              <w:t> </w:t>
            </w:r>
            <w:r>
              <w:rPr/>
              <w:t>Performance</w:t>
            </w:r>
            <w:r>
              <w:rPr>
                <w:spacing w:val="-4"/>
              </w:rPr>
              <w:t> </w:t>
            </w:r>
            <w:r>
              <w:rPr/>
              <w:t>for</w:t>
            </w:r>
            <w:r>
              <w:rPr>
                <w:spacing w:val="-3"/>
              </w:rPr>
              <w:t> </w:t>
            </w:r>
            <w:r>
              <w:rPr/>
              <w:t>BP</w:t>
            </w:r>
            <w:r>
              <w:rPr>
                <w:spacing w:val="-5"/>
              </w:rPr>
              <w:t> </w:t>
            </w:r>
            <w:r>
              <w:rPr>
                <w:spacing w:val="-10"/>
              </w:rPr>
              <w:t>4</w:t>
            </w:r>
            <w:r>
              <w:rPr/>
              <w:tab/>
            </w:r>
            <w:r>
              <w:rPr>
                <w:rFonts w:ascii="Calibri"/>
                <w:spacing w:val="-5"/>
              </w:rPr>
              <w:t>110</w:t>
            </w:r>
          </w:hyperlink>
        </w:p>
        <w:p>
          <w:pPr>
            <w:pStyle w:val="TOC2"/>
            <w:tabs>
              <w:tab w:pos="10236" w:val="left" w:leader="dot"/>
            </w:tabs>
            <w:ind w:left="1440" w:firstLine="0"/>
            <w:rPr>
              <w:rFonts w:ascii="Calibri"/>
            </w:rPr>
          </w:pPr>
          <w:hyperlink w:history="true" w:anchor="_bookmark135">
            <w:r>
              <w:rPr/>
              <w:t>Step</w:t>
            </w:r>
            <w:r>
              <w:rPr>
                <w:spacing w:val="-6"/>
              </w:rPr>
              <w:t> </w:t>
            </w:r>
            <w:r>
              <w:rPr/>
              <w:t>4:</w:t>
            </w:r>
            <w:r>
              <w:rPr>
                <w:spacing w:val="-3"/>
              </w:rPr>
              <w:t> </w:t>
            </w:r>
            <w:r>
              <w:rPr/>
              <w:t>Calculate</w:t>
            </w:r>
            <w:r>
              <w:rPr>
                <w:spacing w:val="-4"/>
              </w:rPr>
              <w:t> </w:t>
            </w:r>
            <w:r>
              <w:rPr/>
              <w:t>the</w:t>
            </w:r>
            <w:r>
              <w:rPr>
                <w:spacing w:val="-3"/>
              </w:rPr>
              <w:t> </w:t>
            </w:r>
            <w:r>
              <w:rPr/>
              <w:t>Overall</w:t>
            </w:r>
            <w:r>
              <w:rPr>
                <w:spacing w:val="-3"/>
              </w:rPr>
              <w:t> </w:t>
            </w:r>
            <w:r>
              <w:rPr/>
              <w:t>State</w:t>
            </w:r>
            <w:r>
              <w:rPr>
                <w:spacing w:val="-4"/>
              </w:rPr>
              <w:t> </w:t>
            </w:r>
            <w:r>
              <w:rPr/>
              <w:t>DSRIP</w:t>
            </w:r>
            <w:r>
              <w:rPr>
                <w:spacing w:val="-4"/>
              </w:rPr>
              <w:t> </w:t>
            </w:r>
            <w:r>
              <w:rPr/>
              <w:t>Accountability</w:t>
            </w:r>
            <w:r>
              <w:rPr>
                <w:spacing w:val="-7"/>
              </w:rPr>
              <w:t> </w:t>
            </w:r>
            <w:r>
              <w:rPr/>
              <w:t>Score</w:t>
            </w:r>
            <w:r>
              <w:rPr>
                <w:spacing w:val="-3"/>
              </w:rPr>
              <w:t> </w:t>
            </w:r>
            <w:r>
              <w:rPr/>
              <w:t>for</w:t>
            </w:r>
            <w:r>
              <w:rPr>
                <w:spacing w:val="-3"/>
              </w:rPr>
              <w:t> </w:t>
            </w:r>
            <w:r>
              <w:rPr/>
              <w:t>BP</w:t>
            </w:r>
            <w:r>
              <w:rPr>
                <w:spacing w:val="-4"/>
              </w:rPr>
              <w:t> </w:t>
            </w:r>
            <w:r>
              <w:rPr>
                <w:spacing w:val="-10"/>
              </w:rPr>
              <w:t>4</w:t>
            </w:r>
            <w:r>
              <w:rPr/>
              <w:tab/>
            </w:r>
            <w:r>
              <w:rPr>
                <w:rFonts w:ascii="Calibri"/>
                <w:spacing w:val="-5"/>
              </w:rPr>
              <w:t>113</w:t>
            </w:r>
          </w:hyperlink>
        </w:p>
        <w:p>
          <w:pPr>
            <w:pStyle w:val="TOC2"/>
            <w:tabs>
              <w:tab w:pos="10236" w:val="left" w:leader="dot"/>
            </w:tabs>
            <w:spacing w:before="142"/>
            <w:ind w:left="1440" w:firstLine="0"/>
            <w:rPr>
              <w:rFonts w:ascii="Calibri"/>
            </w:rPr>
          </w:pPr>
          <w:hyperlink w:history="true" w:anchor="_bookmark136">
            <w:r>
              <w:rPr/>
              <w:t>Step</w:t>
            </w:r>
            <w:r>
              <w:rPr>
                <w:spacing w:val="-6"/>
              </w:rPr>
              <w:t> </w:t>
            </w:r>
            <w:r>
              <w:rPr/>
              <w:t>5:</w:t>
            </w:r>
            <w:r>
              <w:rPr>
                <w:spacing w:val="-2"/>
              </w:rPr>
              <w:t> </w:t>
            </w:r>
            <w:r>
              <w:rPr/>
              <w:t>Determine</w:t>
            </w:r>
            <w:r>
              <w:rPr>
                <w:spacing w:val="-3"/>
              </w:rPr>
              <w:t> </w:t>
            </w:r>
            <w:r>
              <w:rPr/>
              <w:t>At-Risk</w:t>
            </w:r>
            <w:r>
              <w:rPr>
                <w:spacing w:val="-6"/>
              </w:rPr>
              <w:t> </w:t>
            </w:r>
            <w:r>
              <w:rPr/>
              <w:t>Funds</w:t>
            </w:r>
            <w:r>
              <w:rPr>
                <w:spacing w:val="-4"/>
              </w:rPr>
              <w:t> </w:t>
            </w:r>
            <w:r>
              <w:rPr/>
              <w:t>Lost</w:t>
            </w:r>
            <w:r>
              <w:rPr>
                <w:spacing w:val="-2"/>
              </w:rPr>
              <w:t> </w:t>
            </w:r>
            <w:r>
              <w:rPr/>
              <w:t>and</w:t>
            </w:r>
            <w:r>
              <w:rPr>
                <w:spacing w:val="-3"/>
              </w:rPr>
              <w:t> </w:t>
            </w:r>
            <w:r>
              <w:rPr/>
              <w:t>Earned</w:t>
            </w:r>
            <w:r>
              <w:rPr>
                <w:spacing w:val="-6"/>
              </w:rPr>
              <w:t> </w:t>
            </w:r>
            <w:r>
              <w:rPr/>
              <w:t>for</w:t>
            </w:r>
            <w:r>
              <w:rPr>
                <w:spacing w:val="-5"/>
              </w:rPr>
              <w:t> </w:t>
            </w:r>
            <w:r>
              <w:rPr/>
              <w:t>BP</w:t>
            </w:r>
            <w:r>
              <w:rPr>
                <w:spacing w:val="-4"/>
              </w:rPr>
              <w:t> </w:t>
            </w:r>
            <w:r>
              <w:rPr>
                <w:spacing w:val="-10"/>
              </w:rPr>
              <w:t>4</w:t>
            </w:r>
            <w:r>
              <w:rPr/>
              <w:tab/>
            </w:r>
            <w:r>
              <w:rPr>
                <w:rFonts w:ascii="Calibri"/>
                <w:spacing w:val="-5"/>
              </w:rPr>
              <w:t>113</w:t>
            </w:r>
          </w:hyperlink>
        </w:p>
        <w:p>
          <w:pPr>
            <w:pStyle w:val="TOC1"/>
            <w:tabs>
              <w:tab w:pos="10236" w:val="left" w:leader="dot"/>
            </w:tabs>
            <w:rPr>
              <w:rFonts w:ascii="Calibri"/>
            </w:rPr>
          </w:pPr>
          <w:hyperlink w:history="true" w:anchor="_bookmark137">
            <w:r>
              <w:rPr/>
              <w:t>Appendix</w:t>
            </w:r>
            <w:r>
              <w:rPr>
                <w:spacing w:val="-6"/>
              </w:rPr>
              <w:t> </w:t>
            </w:r>
            <w:r>
              <w:rPr/>
              <w:t>D:</w:t>
            </w:r>
            <w:r>
              <w:rPr>
                <w:spacing w:val="-1"/>
              </w:rPr>
              <w:t> </w:t>
            </w:r>
            <w:r>
              <w:rPr/>
              <w:t>Measure</w:t>
            </w:r>
            <w:r>
              <w:rPr>
                <w:spacing w:val="-4"/>
              </w:rPr>
              <w:t> </w:t>
            </w:r>
            <w:r>
              <w:rPr>
                <w:spacing w:val="-2"/>
              </w:rPr>
              <w:t>Tables</w:t>
            </w:r>
            <w:r>
              <w:rPr/>
              <w:tab/>
            </w:r>
            <w:r>
              <w:rPr>
                <w:rFonts w:ascii="Calibri"/>
                <w:spacing w:val="-5"/>
              </w:rPr>
              <w:t>115</w:t>
            </w:r>
          </w:hyperlink>
        </w:p>
      </w:sdtContent>
    </w:sdt>
    <w:p>
      <w:pPr>
        <w:spacing w:after="0"/>
        <w:rPr>
          <w:rFonts w:ascii="Calibri"/>
        </w:rPr>
        <w:sectPr>
          <w:type w:val="continuous"/>
          <w:pgSz w:w="12240" w:h="15840"/>
          <w:pgMar w:header="0" w:footer="967" w:top="1380" w:bottom="1437" w:left="220" w:right="340"/>
        </w:sectPr>
      </w:pPr>
    </w:p>
    <w:p>
      <w:pPr>
        <w:pStyle w:val="Heading1"/>
        <w:spacing w:before="100"/>
        <w:jc w:val="both"/>
      </w:pPr>
      <w:bookmarkStart w:name="Section 1.   DSRIP Overview and Goals" w:id="1216"/>
      <w:bookmarkEnd w:id="1216"/>
      <w:r>
        <w:rPr>
          <w:b w:val="0"/>
        </w:rPr>
      </w:r>
      <w:bookmarkStart w:name="1.1 MassHealth Medicaid Section 1115 Dem" w:id="1217"/>
      <w:bookmarkEnd w:id="1217"/>
      <w:r>
        <w:rPr>
          <w:b w:val="0"/>
        </w:rPr>
      </w:r>
      <w:bookmarkStart w:name="_bookmark8" w:id="1218"/>
      <w:bookmarkEnd w:id="1218"/>
      <w:r>
        <w:rPr>
          <w:b w:val="0"/>
        </w:rPr>
      </w:r>
      <w:bookmarkStart w:name="_bookmark9" w:id="1219"/>
      <w:bookmarkEnd w:id="1219"/>
      <w:r>
        <w:rPr>
          <w:b w:val="0"/>
        </w:rPr>
      </w:r>
      <w:r>
        <w:rPr>
          <w:color w:val="2E5395"/>
        </w:rPr>
        <w:t>Section</w:t>
      </w:r>
      <w:r>
        <w:rPr>
          <w:color w:val="2E5395"/>
          <w:spacing w:val="-6"/>
        </w:rPr>
        <w:t> </w:t>
      </w:r>
      <w:r>
        <w:rPr>
          <w:color w:val="2E5395"/>
        </w:rPr>
        <w:t>1.</w:t>
      </w:r>
      <w:r>
        <w:rPr>
          <w:color w:val="2E5395"/>
          <w:spacing w:val="70"/>
        </w:rPr>
        <w:t>  </w:t>
      </w:r>
      <w:r>
        <w:rPr>
          <w:color w:val="2E5395"/>
        </w:rPr>
        <w:t>DSRIP</w:t>
      </w:r>
      <w:r>
        <w:rPr>
          <w:color w:val="2E5395"/>
          <w:spacing w:val="-3"/>
        </w:rPr>
        <w:t> </w:t>
      </w:r>
      <w:r>
        <w:rPr>
          <w:color w:val="2E5395"/>
        </w:rPr>
        <w:t>Overview</w:t>
      </w:r>
      <w:r>
        <w:rPr>
          <w:color w:val="2E5395"/>
          <w:spacing w:val="-2"/>
        </w:rPr>
        <w:t> </w:t>
      </w:r>
      <w:r>
        <w:rPr>
          <w:color w:val="2E5395"/>
        </w:rPr>
        <w:t>and</w:t>
      </w:r>
      <w:r>
        <w:rPr>
          <w:color w:val="2E5395"/>
          <w:spacing w:val="-2"/>
        </w:rPr>
        <w:t> </w:t>
      </w:r>
      <w:r>
        <w:rPr>
          <w:color w:val="2E5395"/>
          <w:spacing w:val="-4"/>
        </w:rPr>
        <w:t>Goals</w:t>
      </w:r>
    </w:p>
    <w:p>
      <w:pPr>
        <w:pStyle w:val="Heading2"/>
        <w:numPr>
          <w:ilvl w:val="1"/>
          <w:numId w:val="62"/>
        </w:numPr>
        <w:tabs>
          <w:tab w:pos="1618" w:val="left" w:leader="none"/>
        </w:tabs>
        <w:spacing w:line="298" w:lineRule="exact" w:before="201" w:after="0"/>
        <w:ind w:left="1618" w:right="0" w:hanging="398"/>
        <w:jc w:val="both"/>
      </w:pPr>
      <w:r>
        <w:rPr>
          <w:color w:val="4471C4"/>
        </w:rPr>
        <w:t>MassHealth</w:t>
      </w:r>
      <w:r>
        <w:rPr>
          <w:color w:val="4471C4"/>
          <w:spacing w:val="-12"/>
        </w:rPr>
        <w:t> </w:t>
      </w:r>
      <w:r>
        <w:rPr>
          <w:color w:val="4471C4"/>
        </w:rPr>
        <w:t>Medicaid</w:t>
      </w:r>
      <w:r>
        <w:rPr>
          <w:color w:val="4471C4"/>
          <w:spacing w:val="-9"/>
        </w:rPr>
        <w:t> </w:t>
      </w:r>
      <w:r>
        <w:rPr>
          <w:color w:val="4471C4"/>
        </w:rPr>
        <w:t>Section</w:t>
      </w:r>
      <w:r>
        <w:rPr>
          <w:color w:val="4471C4"/>
          <w:spacing w:val="-12"/>
        </w:rPr>
        <w:t> </w:t>
      </w:r>
      <w:r>
        <w:rPr>
          <w:color w:val="4471C4"/>
        </w:rPr>
        <w:t>1115</w:t>
      </w:r>
      <w:r>
        <w:rPr>
          <w:color w:val="4471C4"/>
          <w:spacing w:val="-11"/>
        </w:rPr>
        <w:t> </w:t>
      </w:r>
      <w:r>
        <w:rPr>
          <w:color w:val="4471C4"/>
          <w:spacing w:val="-2"/>
        </w:rPr>
        <w:t>Demonstration</w:t>
      </w:r>
    </w:p>
    <w:p>
      <w:pPr>
        <w:spacing w:line="242" w:lineRule="auto" w:before="0"/>
        <w:ind w:left="1220" w:right="1092" w:firstLine="0"/>
        <w:jc w:val="both"/>
        <w:rPr>
          <w:sz w:val="22"/>
        </w:rPr>
      </w:pPr>
      <w:r>
        <w:rPr>
          <w:sz w:val="22"/>
        </w:rPr>
        <w:t>The</w:t>
      </w:r>
      <w:r>
        <w:rPr>
          <w:spacing w:val="-7"/>
          <w:sz w:val="22"/>
        </w:rPr>
        <w:t> </w:t>
      </w:r>
      <w:r>
        <w:rPr>
          <w:sz w:val="22"/>
        </w:rPr>
        <w:t>DSRIP</w:t>
      </w:r>
      <w:r>
        <w:rPr>
          <w:spacing w:val="-5"/>
          <w:sz w:val="22"/>
        </w:rPr>
        <w:t> </w:t>
      </w:r>
      <w:r>
        <w:rPr>
          <w:sz w:val="22"/>
        </w:rPr>
        <w:t>Protocol</w:t>
      </w:r>
      <w:r>
        <w:rPr>
          <w:spacing w:val="-6"/>
          <w:sz w:val="22"/>
        </w:rPr>
        <w:t> </w:t>
      </w:r>
      <w:r>
        <w:rPr>
          <w:sz w:val="22"/>
        </w:rPr>
        <w:t>provides</w:t>
      </w:r>
      <w:r>
        <w:rPr>
          <w:spacing w:val="-4"/>
          <w:sz w:val="22"/>
        </w:rPr>
        <w:t> </w:t>
      </w:r>
      <w:r>
        <w:rPr>
          <w:sz w:val="22"/>
        </w:rPr>
        <w:t>additional</w:t>
      </w:r>
      <w:r>
        <w:rPr>
          <w:spacing w:val="-4"/>
          <w:sz w:val="22"/>
        </w:rPr>
        <w:t> </w:t>
      </w:r>
      <w:r>
        <w:rPr>
          <w:sz w:val="22"/>
        </w:rPr>
        <w:t>detail</w:t>
      </w:r>
      <w:r>
        <w:rPr>
          <w:spacing w:val="-8"/>
          <w:sz w:val="22"/>
        </w:rPr>
        <w:t> </w:t>
      </w:r>
      <w:r>
        <w:rPr>
          <w:sz w:val="22"/>
        </w:rPr>
        <w:t>to</w:t>
      </w:r>
      <w:r>
        <w:rPr>
          <w:spacing w:val="-7"/>
          <w:sz w:val="22"/>
        </w:rPr>
        <w:t> </w:t>
      </w:r>
      <w:r>
        <w:rPr>
          <w:sz w:val="22"/>
        </w:rPr>
        <w:t>the</w:t>
      </w:r>
      <w:r>
        <w:rPr>
          <w:spacing w:val="-7"/>
          <w:sz w:val="22"/>
        </w:rPr>
        <w:t> </w:t>
      </w:r>
      <w:r>
        <w:rPr>
          <w:sz w:val="22"/>
        </w:rPr>
        <w:t>State’s</w:t>
      </w:r>
      <w:r>
        <w:rPr>
          <w:spacing w:val="-4"/>
          <w:sz w:val="22"/>
        </w:rPr>
        <w:t> </w:t>
      </w:r>
      <w:r>
        <w:rPr>
          <w:sz w:val="22"/>
        </w:rPr>
        <w:t>DSRIP</w:t>
      </w:r>
      <w:r>
        <w:rPr>
          <w:spacing w:val="-5"/>
          <w:sz w:val="22"/>
        </w:rPr>
        <w:t> </w:t>
      </w:r>
      <w:r>
        <w:rPr>
          <w:sz w:val="22"/>
        </w:rPr>
        <w:t>proposal,</w:t>
      </w:r>
      <w:r>
        <w:rPr>
          <w:spacing w:val="-5"/>
          <w:sz w:val="22"/>
        </w:rPr>
        <w:t> </w:t>
      </w:r>
      <w:r>
        <w:rPr>
          <w:sz w:val="22"/>
        </w:rPr>
        <w:t>beyond</w:t>
      </w:r>
      <w:r>
        <w:rPr>
          <w:spacing w:val="-5"/>
          <w:sz w:val="22"/>
        </w:rPr>
        <w:t> </w:t>
      </w:r>
      <w:r>
        <w:rPr>
          <w:sz w:val="22"/>
        </w:rPr>
        <w:t>those</w:t>
      </w:r>
      <w:r>
        <w:rPr>
          <w:spacing w:val="-7"/>
          <w:sz w:val="22"/>
        </w:rPr>
        <w:t> </w:t>
      </w:r>
      <w:r>
        <w:rPr>
          <w:sz w:val="22"/>
        </w:rPr>
        <w:t>set</w:t>
      </w:r>
      <w:r>
        <w:rPr>
          <w:spacing w:val="-6"/>
          <w:sz w:val="22"/>
        </w:rPr>
        <w:t> </w:t>
      </w:r>
      <w:r>
        <w:rPr>
          <w:sz w:val="22"/>
        </w:rPr>
        <w:t>forth</w:t>
      </w:r>
      <w:r>
        <w:rPr>
          <w:spacing w:val="-7"/>
          <w:sz w:val="22"/>
        </w:rPr>
        <w:t> </w:t>
      </w:r>
      <w:r>
        <w:rPr>
          <w:sz w:val="22"/>
        </w:rPr>
        <w:t>in</w:t>
      </w:r>
      <w:r>
        <w:rPr>
          <w:spacing w:val="-7"/>
          <w:sz w:val="22"/>
        </w:rPr>
        <w:t> </w:t>
      </w:r>
      <w:r>
        <w:rPr>
          <w:sz w:val="22"/>
        </w:rPr>
        <w:t>the Section</w:t>
      </w:r>
      <w:r>
        <w:rPr>
          <w:spacing w:val="-14"/>
          <w:sz w:val="22"/>
        </w:rPr>
        <w:t> </w:t>
      </w:r>
      <w:r>
        <w:rPr>
          <w:sz w:val="22"/>
        </w:rPr>
        <w:t>1115</w:t>
      </w:r>
      <w:r>
        <w:rPr>
          <w:spacing w:val="-14"/>
          <w:sz w:val="22"/>
        </w:rPr>
        <w:t> </w:t>
      </w:r>
      <w:r>
        <w:rPr>
          <w:sz w:val="22"/>
        </w:rPr>
        <w:t>Demonstration</w:t>
      </w:r>
      <w:r>
        <w:rPr>
          <w:spacing w:val="-14"/>
          <w:sz w:val="22"/>
        </w:rPr>
        <w:t> </w:t>
      </w:r>
      <w:r>
        <w:rPr>
          <w:sz w:val="22"/>
        </w:rPr>
        <w:t>and</w:t>
      </w:r>
      <w:r>
        <w:rPr>
          <w:spacing w:val="-13"/>
          <w:sz w:val="22"/>
        </w:rPr>
        <w:t> </w:t>
      </w:r>
      <w:r>
        <w:rPr>
          <w:sz w:val="22"/>
        </w:rPr>
        <w:t>Special</w:t>
      </w:r>
      <w:r>
        <w:rPr>
          <w:spacing w:val="-14"/>
          <w:sz w:val="22"/>
        </w:rPr>
        <w:t> </w:t>
      </w:r>
      <w:r>
        <w:rPr>
          <w:sz w:val="22"/>
        </w:rPr>
        <w:t>Terms</w:t>
      </w:r>
      <w:r>
        <w:rPr>
          <w:spacing w:val="-14"/>
          <w:sz w:val="22"/>
        </w:rPr>
        <w:t> </w:t>
      </w:r>
      <w:r>
        <w:rPr>
          <w:sz w:val="22"/>
        </w:rPr>
        <w:t>and</w:t>
      </w:r>
      <w:r>
        <w:rPr>
          <w:spacing w:val="-14"/>
          <w:sz w:val="22"/>
        </w:rPr>
        <w:t> </w:t>
      </w:r>
      <w:r>
        <w:rPr>
          <w:sz w:val="22"/>
        </w:rPr>
        <w:t>Conditions</w:t>
      </w:r>
      <w:r>
        <w:rPr>
          <w:spacing w:val="-13"/>
          <w:sz w:val="22"/>
        </w:rPr>
        <w:t> </w:t>
      </w:r>
      <w:r>
        <w:rPr>
          <w:sz w:val="22"/>
        </w:rPr>
        <w:t>(STCs).</w:t>
      </w:r>
      <w:r>
        <w:rPr>
          <w:spacing w:val="-14"/>
          <w:sz w:val="22"/>
        </w:rPr>
        <w:t> </w:t>
      </w:r>
      <w:r>
        <w:rPr>
          <w:sz w:val="22"/>
        </w:rPr>
        <w:t>The</w:t>
      </w:r>
      <w:r>
        <w:rPr>
          <w:spacing w:val="-14"/>
          <w:sz w:val="22"/>
        </w:rPr>
        <w:t> </w:t>
      </w:r>
      <w:r>
        <w:rPr>
          <w:sz w:val="22"/>
        </w:rPr>
        <w:t>DSRIP</w:t>
      </w:r>
      <w:r>
        <w:rPr>
          <w:spacing w:val="-14"/>
          <w:sz w:val="22"/>
        </w:rPr>
        <w:t> </w:t>
      </w:r>
      <w:r>
        <w:rPr>
          <w:sz w:val="22"/>
        </w:rPr>
        <w:t>Protocol</w:t>
      </w:r>
      <w:r>
        <w:rPr>
          <w:spacing w:val="-13"/>
          <w:sz w:val="22"/>
        </w:rPr>
        <w:t> </w:t>
      </w:r>
      <w:r>
        <w:rPr>
          <w:sz w:val="22"/>
        </w:rPr>
        <w:t>applies</w:t>
      </w:r>
      <w:r>
        <w:rPr>
          <w:spacing w:val="-14"/>
          <w:sz w:val="22"/>
        </w:rPr>
        <w:t> </w:t>
      </w:r>
      <w:r>
        <w:rPr>
          <w:sz w:val="22"/>
        </w:rPr>
        <w:t>during the demonstration Approval Period (July 1, 2017 - June 30, 2022).</w:t>
      </w:r>
    </w:p>
    <w:p>
      <w:pPr>
        <w:pStyle w:val="Heading2"/>
        <w:numPr>
          <w:ilvl w:val="1"/>
          <w:numId w:val="62"/>
        </w:numPr>
        <w:tabs>
          <w:tab w:pos="1618" w:val="left" w:leader="none"/>
        </w:tabs>
        <w:spacing w:line="298" w:lineRule="exact" w:before="193" w:after="0"/>
        <w:ind w:left="1618" w:right="0" w:hanging="398"/>
        <w:jc w:val="both"/>
      </w:pPr>
      <w:bookmarkStart w:name="1.2 Overview - Delivery System Reform In" w:id="1220"/>
      <w:bookmarkEnd w:id="1220"/>
      <w:r>
        <w:rPr>
          <w:b w:val="0"/>
        </w:rPr>
      </w:r>
      <w:bookmarkStart w:name="_bookmark10" w:id="1221"/>
      <w:bookmarkEnd w:id="1221"/>
      <w:r>
        <w:rPr>
          <w:b w:val="0"/>
        </w:rPr>
      </w:r>
      <w:r>
        <w:rPr>
          <w:color w:val="4471C4"/>
        </w:rPr>
        <w:t>Overview</w:t>
      </w:r>
      <w:r>
        <w:rPr>
          <w:color w:val="4471C4"/>
          <w:spacing w:val="-5"/>
        </w:rPr>
        <w:t> </w:t>
      </w:r>
      <w:r>
        <w:rPr>
          <w:color w:val="4471C4"/>
        </w:rPr>
        <w:t>-</w:t>
      </w:r>
      <w:r>
        <w:rPr>
          <w:color w:val="4471C4"/>
          <w:spacing w:val="-9"/>
        </w:rPr>
        <w:t> </w:t>
      </w:r>
      <w:r>
        <w:rPr>
          <w:color w:val="4471C4"/>
        </w:rPr>
        <w:t>Delivery</w:t>
      </w:r>
      <w:r>
        <w:rPr>
          <w:color w:val="4471C4"/>
          <w:spacing w:val="-6"/>
        </w:rPr>
        <w:t> </w:t>
      </w:r>
      <w:r>
        <w:rPr>
          <w:color w:val="4471C4"/>
        </w:rPr>
        <w:t>System</w:t>
      </w:r>
      <w:r>
        <w:rPr>
          <w:color w:val="4471C4"/>
          <w:spacing w:val="-11"/>
        </w:rPr>
        <w:t> </w:t>
      </w:r>
      <w:r>
        <w:rPr>
          <w:color w:val="4471C4"/>
        </w:rPr>
        <w:t>Reform</w:t>
      </w:r>
      <w:r>
        <w:rPr>
          <w:color w:val="4471C4"/>
          <w:spacing w:val="-9"/>
        </w:rPr>
        <w:t> </w:t>
      </w:r>
      <w:r>
        <w:rPr>
          <w:color w:val="4471C4"/>
        </w:rPr>
        <w:t>Incentive</w:t>
      </w:r>
      <w:r>
        <w:rPr>
          <w:color w:val="4471C4"/>
          <w:spacing w:val="-9"/>
        </w:rPr>
        <w:t> </w:t>
      </w:r>
      <w:r>
        <w:rPr>
          <w:color w:val="4471C4"/>
        </w:rPr>
        <w:t>Payment</w:t>
      </w:r>
      <w:r>
        <w:rPr>
          <w:color w:val="4471C4"/>
          <w:spacing w:val="-9"/>
        </w:rPr>
        <w:t> </w:t>
      </w:r>
      <w:r>
        <w:rPr>
          <w:color w:val="4471C4"/>
        </w:rPr>
        <w:t>Program</w:t>
      </w:r>
      <w:r>
        <w:rPr>
          <w:color w:val="4471C4"/>
          <w:spacing w:val="-6"/>
        </w:rPr>
        <w:t> </w:t>
      </w:r>
      <w:r>
        <w:rPr>
          <w:color w:val="4471C4"/>
          <w:spacing w:val="-2"/>
        </w:rPr>
        <w:t>(DSRIP)</w:t>
      </w:r>
    </w:p>
    <w:p>
      <w:pPr>
        <w:spacing w:before="0"/>
        <w:ind w:left="1220" w:right="1094" w:firstLine="0"/>
        <w:jc w:val="both"/>
        <w:rPr>
          <w:sz w:val="22"/>
        </w:rPr>
      </w:pPr>
      <w:r>
        <w:rPr>
          <w:sz w:val="22"/>
        </w:rPr>
        <w:t>In</w:t>
      </w:r>
      <w:r>
        <w:rPr>
          <w:spacing w:val="-6"/>
          <w:sz w:val="22"/>
        </w:rPr>
        <w:t> </w:t>
      </w:r>
      <w:r>
        <w:rPr>
          <w:sz w:val="22"/>
        </w:rPr>
        <w:t>accordance</w:t>
      </w:r>
      <w:r>
        <w:rPr>
          <w:spacing w:val="-8"/>
          <w:sz w:val="22"/>
        </w:rPr>
        <w:t> </w:t>
      </w:r>
      <w:r>
        <w:rPr>
          <w:sz w:val="22"/>
        </w:rPr>
        <w:t>with</w:t>
      </w:r>
      <w:r>
        <w:rPr>
          <w:spacing w:val="-9"/>
          <w:sz w:val="22"/>
        </w:rPr>
        <w:t> </w:t>
      </w:r>
      <w:r>
        <w:rPr>
          <w:sz w:val="22"/>
        </w:rPr>
        <w:t>STC</w:t>
      </w:r>
      <w:r>
        <w:rPr>
          <w:spacing w:val="-9"/>
          <w:sz w:val="22"/>
        </w:rPr>
        <w:t> </w:t>
      </w:r>
      <w:r>
        <w:rPr>
          <w:sz w:val="22"/>
        </w:rPr>
        <w:t>60(e)</w:t>
      </w:r>
      <w:r>
        <w:rPr>
          <w:spacing w:val="-8"/>
          <w:sz w:val="22"/>
        </w:rPr>
        <w:t> </w:t>
      </w:r>
      <w:r>
        <w:rPr>
          <w:sz w:val="22"/>
        </w:rPr>
        <w:t>and</w:t>
      </w:r>
      <w:r>
        <w:rPr>
          <w:spacing w:val="-9"/>
          <w:sz w:val="22"/>
        </w:rPr>
        <w:t> </w:t>
      </w:r>
      <w:r>
        <w:rPr>
          <w:sz w:val="22"/>
        </w:rPr>
        <w:t>as</w:t>
      </w:r>
      <w:r>
        <w:rPr>
          <w:spacing w:val="-8"/>
          <w:sz w:val="22"/>
        </w:rPr>
        <w:t> </w:t>
      </w:r>
      <w:r>
        <w:rPr>
          <w:sz w:val="22"/>
        </w:rPr>
        <w:t>set</w:t>
      </w:r>
      <w:r>
        <w:rPr>
          <w:spacing w:val="-10"/>
          <w:sz w:val="22"/>
        </w:rPr>
        <w:t> </w:t>
      </w:r>
      <w:r>
        <w:rPr>
          <w:sz w:val="22"/>
        </w:rPr>
        <w:t>forth</w:t>
      </w:r>
      <w:r>
        <w:rPr>
          <w:spacing w:val="-9"/>
          <w:sz w:val="22"/>
        </w:rPr>
        <w:t> </w:t>
      </w:r>
      <w:r>
        <w:rPr>
          <w:sz w:val="22"/>
        </w:rPr>
        <w:t>in</w:t>
      </w:r>
      <w:r>
        <w:rPr>
          <w:spacing w:val="-9"/>
          <w:sz w:val="22"/>
        </w:rPr>
        <w:t> </w:t>
      </w:r>
      <w:r>
        <w:rPr>
          <w:sz w:val="22"/>
        </w:rPr>
        <w:t>this</w:t>
      </w:r>
      <w:r>
        <w:rPr>
          <w:spacing w:val="-8"/>
          <w:sz w:val="22"/>
        </w:rPr>
        <w:t> </w:t>
      </w:r>
      <w:r>
        <w:rPr>
          <w:sz w:val="22"/>
        </w:rPr>
        <w:t>document,</w:t>
      </w:r>
      <w:r>
        <w:rPr>
          <w:spacing w:val="-9"/>
          <w:sz w:val="22"/>
        </w:rPr>
        <w:t> </w:t>
      </w:r>
      <w:r>
        <w:rPr>
          <w:sz w:val="22"/>
        </w:rPr>
        <w:t>the</w:t>
      </w:r>
      <w:r>
        <w:rPr>
          <w:spacing w:val="-8"/>
          <w:sz w:val="22"/>
        </w:rPr>
        <w:t> </w:t>
      </w:r>
      <w:r>
        <w:rPr>
          <w:sz w:val="22"/>
        </w:rPr>
        <w:t>State</w:t>
      </w:r>
      <w:r>
        <w:rPr>
          <w:spacing w:val="-8"/>
          <w:sz w:val="22"/>
        </w:rPr>
        <w:t> </w:t>
      </w:r>
      <w:r>
        <w:rPr>
          <w:sz w:val="22"/>
        </w:rPr>
        <w:t>may</w:t>
      </w:r>
      <w:r>
        <w:rPr>
          <w:spacing w:val="-11"/>
          <w:sz w:val="22"/>
        </w:rPr>
        <w:t> </w:t>
      </w:r>
      <w:r>
        <w:rPr>
          <w:sz w:val="22"/>
        </w:rPr>
        <w:t>allocate</w:t>
      </w:r>
      <w:r>
        <w:rPr>
          <w:spacing w:val="-8"/>
          <w:sz w:val="22"/>
        </w:rPr>
        <w:t> </w:t>
      </w:r>
      <w:r>
        <w:rPr>
          <w:sz w:val="22"/>
        </w:rPr>
        <w:t>DSRIP</w:t>
      </w:r>
      <w:r>
        <w:rPr>
          <w:spacing w:val="-9"/>
          <w:sz w:val="22"/>
        </w:rPr>
        <w:t> </w:t>
      </w:r>
      <w:r>
        <w:rPr>
          <w:sz w:val="22"/>
        </w:rPr>
        <w:t>funds</w:t>
      </w:r>
      <w:r>
        <w:rPr>
          <w:spacing w:val="-8"/>
          <w:sz w:val="22"/>
        </w:rPr>
        <w:t> </w:t>
      </w:r>
      <w:r>
        <w:rPr>
          <w:sz w:val="22"/>
        </w:rPr>
        <w:t>to</w:t>
      </w:r>
      <w:r>
        <w:rPr>
          <w:spacing w:val="-9"/>
          <w:sz w:val="22"/>
        </w:rPr>
        <w:t> </w:t>
      </w:r>
      <w:r>
        <w:rPr>
          <w:sz w:val="22"/>
        </w:rPr>
        <w:t>four purposes:</w:t>
      </w:r>
      <w:r>
        <w:rPr>
          <w:spacing w:val="-2"/>
          <w:sz w:val="22"/>
        </w:rPr>
        <w:t> </w:t>
      </w:r>
      <w:r>
        <w:rPr>
          <w:sz w:val="22"/>
        </w:rPr>
        <w:t>(1)</w:t>
      </w:r>
      <w:r>
        <w:rPr>
          <w:spacing w:val="-2"/>
          <w:sz w:val="22"/>
        </w:rPr>
        <w:t> </w:t>
      </w:r>
      <w:r>
        <w:rPr>
          <w:sz w:val="22"/>
        </w:rPr>
        <w:t>Accountable</w:t>
      </w:r>
      <w:r>
        <w:rPr>
          <w:spacing w:val="-4"/>
          <w:sz w:val="22"/>
        </w:rPr>
        <w:t> </w:t>
      </w:r>
      <w:r>
        <w:rPr>
          <w:sz w:val="22"/>
        </w:rPr>
        <w:t>Care Organization</w:t>
      </w:r>
      <w:r>
        <w:rPr>
          <w:spacing w:val="-3"/>
          <w:sz w:val="22"/>
        </w:rPr>
        <w:t> </w:t>
      </w:r>
      <w:r>
        <w:rPr>
          <w:sz w:val="22"/>
        </w:rPr>
        <w:t>(ACO)</w:t>
      </w:r>
      <w:r>
        <w:rPr>
          <w:spacing w:val="-2"/>
          <w:sz w:val="22"/>
        </w:rPr>
        <w:t> </w:t>
      </w:r>
      <w:r>
        <w:rPr>
          <w:sz w:val="22"/>
        </w:rPr>
        <w:t>funding,</w:t>
      </w:r>
      <w:r>
        <w:rPr>
          <w:spacing w:val="-1"/>
          <w:sz w:val="22"/>
        </w:rPr>
        <w:t> </w:t>
      </w:r>
      <w:r>
        <w:rPr>
          <w:sz w:val="22"/>
        </w:rPr>
        <w:t>which</w:t>
      </w:r>
      <w:r>
        <w:rPr>
          <w:spacing w:val="-3"/>
          <w:sz w:val="22"/>
        </w:rPr>
        <w:t> </w:t>
      </w:r>
      <w:r>
        <w:rPr>
          <w:sz w:val="22"/>
        </w:rPr>
        <w:t>supports</w:t>
      </w:r>
      <w:r>
        <w:rPr>
          <w:spacing w:val="-3"/>
          <w:sz w:val="22"/>
        </w:rPr>
        <w:t> </w:t>
      </w:r>
      <w:r>
        <w:rPr>
          <w:sz w:val="22"/>
        </w:rPr>
        <w:t>the</w:t>
      </w:r>
      <w:r>
        <w:rPr>
          <w:spacing w:val="-3"/>
          <w:sz w:val="22"/>
        </w:rPr>
        <w:t> </w:t>
      </w:r>
      <w:r>
        <w:rPr>
          <w:sz w:val="22"/>
        </w:rPr>
        <w:t>implementation</w:t>
      </w:r>
      <w:r>
        <w:rPr>
          <w:spacing w:val="-1"/>
          <w:sz w:val="22"/>
        </w:rPr>
        <w:t> </w:t>
      </w:r>
      <w:r>
        <w:rPr>
          <w:sz w:val="22"/>
        </w:rPr>
        <w:t>of</w:t>
      </w:r>
      <w:r>
        <w:rPr>
          <w:spacing w:val="-2"/>
          <w:sz w:val="22"/>
        </w:rPr>
        <w:t> </w:t>
      </w:r>
      <w:r>
        <w:rPr>
          <w:sz w:val="22"/>
        </w:rPr>
        <w:t>three ACO models, including</w:t>
      </w:r>
      <w:r>
        <w:rPr>
          <w:spacing w:val="-2"/>
          <w:sz w:val="22"/>
        </w:rPr>
        <w:t> </w:t>
      </w:r>
      <w:r>
        <w:rPr>
          <w:sz w:val="22"/>
        </w:rPr>
        <w:t>transitional funding</w:t>
      </w:r>
      <w:r>
        <w:rPr>
          <w:spacing w:val="-2"/>
          <w:sz w:val="22"/>
        </w:rPr>
        <w:t> </w:t>
      </w:r>
      <w:r>
        <w:rPr>
          <w:sz w:val="22"/>
        </w:rPr>
        <w:t>for certain safety net hospitals; (2) Community Partners (CP) funding, which supports the formation and payment of Behavioral Health (BH) and Long Term Services and Supports (LTSS) CPs and funding for Community Service Agencies (CSAs); (3) Statewide Investments, which are initiatives related to statewide infrastructure and workforce capacity to support successful</w:t>
      </w:r>
      <w:r>
        <w:rPr>
          <w:spacing w:val="-14"/>
          <w:sz w:val="22"/>
        </w:rPr>
        <w:t> </w:t>
      </w:r>
      <w:r>
        <w:rPr>
          <w:sz w:val="22"/>
        </w:rPr>
        <w:t>reform</w:t>
      </w:r>
      <w:r>
        <w:rPr>
          <w:spacing w:val="-14"/>
          <w:sz w:val="22"/>
        </w:rPr>
        <w:t> </w:t>
      </w:r>
      <w:r>
        <w:rPr>
          <w:sz w:val="22"/>
        </w:rPr>
        <w:t>implementation;</w:t>
      </w:r>
      <w:r>
        <w:rPr>
          <w:spacing w:val="-14"/>
          <w:sz w:val="22"/>
        </w:rPr>
        <w:t> </w:t>
      </w:r>
      <w:r>
        <w:rPr>
          <w:sz w:val="22"/>
        </w:rPr>
        <w:t>and</w:t>
      </w:r>
      <w:r>
        <w:rPr>
          <w:spacing w:val="-13"/>
          <w:sz w:val="22"/>
        </w:rPr>
        <w:t> </w:t>
      </w:r>
      <w:r>
        <w:rPr>
          <w:sz w:val="22"/>
        </w:rPr>
        <w:t>(4)</w:t>
      </w:r>
      <w:r>
        <w:rPr>
          <w:spacing w:val="-14"/>
          <w:sz w:val="22"/>
        </w:rPr>
        <w:t> </w:t>
      </w:r>
      <w:r>
        <w:rPr>
          <w:sz w:val="22"/>
        </w:rPr>
        <w:t>State</w:t>
      </w:r>
      <w:r>
        <w:rPr>
          <w:spacing w:val="-14"/>
          <w:sz w:val="22"/>
        </w:rPr>
        <w:t> </w:t>
      </w:r>
      <w:r>
        <w:rPr>
          <w:sz w:val="22"/>
        </w:rPr>
        <w:t>Operations</w:t>
      </w:r>
      <w:r>
        <w:rPr>
          <w:spacing w:val="-14"/>
          <w:sz w:val="22"/>
        </w:rPr>
        <w:t> </w:t>
      </w:r>
      <w:r>
        <w:rPr>
          <w:sz w:val="22"/>
        </w:rPr>
        <w:t>and</w:t>
      </w:r>
      <w:r>
        <w:rPr>
          <w:spacing w:val="-12"/>
          <w:sz w:val="22"/>
        </w:rPr>
        <w:t> </w:t>
      </w:r>
      <w:r>
        <w:rPr>
          <w:sz w:val="22"/>
        </w:rPr>
        <w:t>Implementation,</w:t>
      </w:r>
      <w:r>
        <w:rPr>
          <w:spacing w:val="-14"/>
          <w:sz w:val="22"/>
        </w:rPr>
        <w:t> </w:t>
      </w:r>
      <w:r>
        <w:rPr>
          <w:sz w:val="22"/>
        </w:rPr>
        <w:t>which</w:t>
      </w:r>
      <w:r>
        <w:rPr>
          <w:spacing w:val="-14"/>
          <w:sz w:val="22"/>
        </w:rPr>
        <w:t> </w:t>
      </w:r>
      <w:r>
        <w:rPr>
          <w:sz w:val="22"/>
        </w:rPr>
        <w:t>includes</w:t>
      </w:r>
      <w:r>
        <w:rPr>
          <w:spacing w:val="-13"/>
          <w:sz w:val="22"/>
        </w:rPr>
        <w:t> </w:t>
      </w:r>
      <w:r>
        <w:rPr>
          <w:sz w:val="22"/>
        </w:rPr>
        <w:t>the</w:t>
      </w:r>
      <w:r>
        <w:rPr>
          <w:spacing w:val="-13"/>
          <w:sz w:val="22"/>
        </w:rPr>
        <w:t> </w:t>
      </w:r>
      <w:r>
        <w:rPr>
          <w:sz w:val="22"/>
        </w:rPr>
        <w:t>State’s oversight of the DSRIP program.</w:t>
      </w:r>
    </w:p>
    <w:p>
      <w:pPr>
        <w:pStyle w:val="Heading2"/>
        <w:numPr>
          <w:ilvl w:val="1"/>
          <w:numId w:val="62"/>
        </w:numPr>
        <w:tabs>
          <w:tab w:pos="1618" w:val="left" w:leader="none"/>
        </w:tabs>
        <w:spacing w:line="298" w:lineRule="exact" w:before="201" w:after="0"/>
        <w:ind w:left="1618" w:right="0" w:hanging="398"/>
        <w:jc w:val="both"/>
      </w:pPr>
      <w:bookmarkStart w:name="1.3 Goals of DSRIP Program" w:id="1222"/>
      <w:bookmarkEnd w:id="1222"/>
      <w:r>
        <w:rPr>
          <w:b w:val="0"/>
        </w:rPr>
      </w:r>
      <w:bookmarkStart w:name="_bookmark11" w:id="1223"/>
      <w:bookmarkEnd w:id="1223"/>
      <w:r>
        <w:rPr>
          <w:b w:val="0"/>
        </w:rPr>
      </w:r>
      <w:r>
        <w:rPr>
          <w:color w:val="4471C4"/>
        </w:rPr>
        <w:t>Goals</w:t>
      </w:r>
      <w:r>
        <w:rPr>
          <w:color w:val="4471C4"/>
          <w:spacing w:val="-9"/>
        </w:rPr>
        <w:t> </w:t>
      </w:r>
      <w:r>
        <w:rPr>
          <w:color w:val="4471C4"/>
        </w:rPr>
        <w:t>of</w:t>
      </w:r>
      <w:r>
        <w:rPr>
          <w:color w:val="4471C4"/>
          <w:spacing w:val="-5"/>
        </w:rPr>
        <w:t> </w:t>
      </w:r>
      <w:r>
        <w:rPr>
          <w:color w:val="4471C4"/>
        </w:rPr>
        <w:t>DSRIP</w:t>
      </w:r>
      <w:r>
        <w:rPr>
          <w:color w:val="4471C4"/>
          <w:spacing w:val="-6"/>
        </w:rPr>
        <w:t> </w:t>
      </w:r>
      <w:r>
        <w:rPr>
          <w:color w:val="4471C4"/>
          <w:spacing w:val="-2"/>
        </w:rPr>
        <w:t>Program</w:t>
      </w:r>
    </w:p>
    <w:p>
      <w:pPr>
        <w:spacing w:line="240" w:lineRule="auto" w:before="0"/>
        <w:ind w:left="1219" w:right="1091" w:firstLine="0"/>
        <w:jc w:val="both"/>
        <w:rPr>
          <w:sz w:val="22"/>
        </w:rPr>
      </w:pPr>
      <w:r>
        <w:rPr>
          <w:sz w:val="22"/>
        </w:rPr>
        <w:t>Massachusetts’ DSRIP program</w:t>
      </w:r>
      <w:r>
        <w:rPr>
          <w:spacing w:val="-4"/>
          <w:sz w:val="22"/>
        </w:rPr>
        <w:t> </w:t>
      </w:r>
      <w:r>
        <w:rPr>
          <w:sz w:val="22"/>
        </w:rPr>
        <w:t>provides an opportunity</w:t>
      </w:r>
      <w:r>
        <w:rPr>
          <w:spacing w:val="-2"/>
          <w:sz w:val="22"/>
        </w:rPr>
        <w:t> </w:t>
      </w:r>
      <w:r>
        <w:rPr>
          <w:sz w:val="22"/>
        </w:rPr>
        <w:t>for</w:t>
      </w:r>
      <w:r>
        <w:rPr>
          <w:spacing w:val="-1"/>
          <w:sz w:val="22"/>
        </w:rPr>
        <w:t> </w:t>
      </w:r>
      <w:r>
        <w:rPr>
          <w:sz w:val="22"/>
        </w:rPr>
        <w:t>the State</w:t>
      </w:r>
      <w:r>
        <w:rPr>
          <w:spacing w:val="-2"/>
          <w:sz w:val="22"/>
        </w:rPr>
        <w:t> </w:t>
      </w:r>
      <w:r>
        <w:rPr>
          <w:sz w:val="22"/>
        </w:rPr>
        <w:t>to emphasize value</w:t>
      </w:r>
      <w:r>
        <w:rPr>
          <w:spacing w:val="-2"/>
          <w:sz w:val="22"/>
        </w:rPr>
        <w:t> </w:t>
      </w:r>
      <w:r>
        <w:rPr>
          <w:sz w:val="22"/>
        </w:rPr>
        <w:t>in care</w:t>
      </w:r>
      <w:r>
        <w:rPr>
          <w:spacing w:val="-2"/>
          <w:sz w:val="22"/>
        </w:rPr>
        <w:t> </w:t>
      </w:r>
      <w:r>
        <w:rPr>
          <w:sz w:val="22"/>
        </w:rPr>
        <w:t>delivery, better meet members’ needs through more integrated and coordinated care, and moderate the cost trend while maintaining the clinical quality of care. The State’s DSRIP goals are to (1)</w:t>
      </w:r>
      <w:r>
        <w:rPr>
          <w:spacing w:val="-1"/>
          <w:sz w:val="22"/>
        </w:rPr>
        <w:t> </w:t>
      </w:r>
      <w:r>
        <w:rPr>
          <w:sz w:val="22"/>
        </w:rPr>
        <w:t>implement payment and delivery system reforms that promote member-driven, integrated, coordinated care and hold providers accountable</w:t>
      </w:r>
      <w:r>
        <w:rPr>
          <w:spacing w:val="-11"/>
          <w:sz w:val="22"/>
        </w:rPr>
        <w:t> </w:t>
      </w:r>
      <w:r>
        <w:rPr>
          <w:sz w:val="22"/>
        </w:rPr>
        <w:t>for</w:t>
      </w:r>
      <w:r>
        <w:rPr>
          <w:spacing w:val="-10"/>
          <w:sz w:val="22"/>
        </w:rPr>
        <w:t> </w:t>
      </w:r>
      <w:r>
        <w:rPr>
          <w:sz w:val="22"/>
        </w:rPr>
        <w:t>the</w:t>
      </w:r>
      <w:r>
        <w:rPr>
          <w:spacing w:val="-11"/>
          <w:sz w:val="22"/>
        </w:rPr>
        <w:t> </w:t>
      </w:r>
      <w:r>
        <w:rPr>
          <w:sz w:val="22"/>
        </w:rPr>
        <w:t>quality</w:t>
      </w:r>
      <w:r>
        <w:rPr>
          <w:spacing w:val="-13"/>
          <w:sz w:val="22"/>
        </w:rPr>
        <w:t> </w:t>
      </w:r>
      <w:r>
        <w:rPr>
          <w:sz w:val="22"/>
        </w:rPr>
        <w:t>and</w:t>
      </w:r>
      <w:r>
        <w:rPr>
          <w:spacing w:val="-11"/>
          <w:sz w:val="22"/>
        </w:rPr>
        <w:t> </w:t>
      </w:r>
      <w:r>
        <w:rPr>
          <w:sz w:val="22"/>
        </w:rPr>
        <w:t>total</w:t>
      </w:r>
      <w:r>
        <w:rPr>
          <w:spacing w:val="-10"/>
          <w:sz w:val="22"/>
        </w:rPr>
        <w:t> </w:t>
      </w:r>
      <w:r>
        <w:rPr>
          <w:sz w:val="22"/>
        </w:rPr>
        <w:t>cost</w:t>
      </w:r>
      <w:r>
        <w:rPr>
          <w:spacing w:val="-10"/>
          <w:sz w:val="22"/>
        </w:rPr>
        <w:t> </w:t>
      </w:r>
      <w:r>
        <w:rPr>
          <w:sz w:val="22"/>
        </w:rPr>
        <w:t>of</w:t>
      </w:r>
      <w:r>
        <w:rPr>
          <w:spacing w:val="-10"/>
          <w:sz w:val="22"/>
        </w:rPr>
        <w:t> </w:t>
      </w:r>
      <w:r>
        <w:rPr>
          <w:sz w:val="22"/>
        </w:rPr>
        <w:t>care;</w:t>
      </w:r>
      <w:r>
        <w:rPr>
          <w:spacing w:val="-10"/>
          <w:sz w:val="22"/>
        </w:rPr>
        <w:t> </w:t>
      </w:r>
      <w:r>
        <w:rPr>
          <w:sz w:val="22"/>
        </w:rPr>
        <w:t>(2)</w:t>
      </w:r>
      <w:r>
        <w:rPr>
          <w:spacing w:val="-10"/>
          <w:sz w:val="22"/>
        </w:rPr>
        <w:t> </w:t>
      </w:r>
      <w:r>
        <w:rPr>
          <w:sz w:val="22"/>
        </w:rPr>
        <w:t>improve</w:t>
      </w:r>
      <w:r>
        <w:rPr>
          <w:spacing w:val="-8"/>
          <w:sz w:val="22"/>
        </w:rPr>
        <w:t> </w:t>
      </w:r>
      <w:r>
        <w:rPr>
          <w:sz w:val="22"/>
        </w:rPr>
        <w:t>integration</w:t>
      </w:r>
      <w:r>
        <w:rPr>
          <w:spacing w:val="-9"/>
          <w:sz w:val="22"/>
        </w:rPr>
        <w:t> </w:t>
      </w:r>
      <w:r>
        <w:rPr>
          <w:sz w:val="22"/>
        </w:rPr>
        <w:t>among</w:t>
      </w:r>
      <w:r>
        <w:rPr>
          <w:spacing w:val="-11"/>
          <w:sz w:val="22"/>
        </w:rPr>
        <w:t> </w:t>
      </w:r>
      <w:r>
        <w:rPr>
          <w:sz w:val="22"/>
        </w:rPr>
        <w:t>physical</w:t>
      </w:r>
      <w:r>
        <w:rPr>
          <w:spacing w:val="-10"/>
          <w:sz w:val="22"/>
        </w:rPr>
        <w:t> </w:t>
      </w:r>
      <w:r>
        <w:rPr>
          <w:sz w:val="22"/>
        </w:rPr>
        <w:t>health,</w:t>
      </w:r>
      <w:r>
        <w:rPr>
          <w:spacing w:val="-9"/>
          <w:sz w:val="22"/>
        </w:rPr>
        <w:t> </w:t>
      </w:r>
      <w:r>
        <w:rPr>
          <w:sz w:val="22"/>
        </w:rPr>
        <w:t>behavioral health,</w:t>
      </w:r>
      <w:r>
        <w:rPr>
          <w:spacing w:val="-14"/>
          <w:sz w:val="22"/>
        </w:rPr>
        <w:t> </w:t>
      </w:r>
      <w:r>
        <w:rPr>
          <w:sz w:val="22"/>
        </w:rPr>
        <w:t>long-term</w:t>
      </w:r>
      <w:r>
        <w:rPr>
          <w:spacing w:val="-14"/>
          <w:sz w:val="22"/>
        </w:rPr>
        <w:t> </w:t>
      </w:r>
      <w:r>
        <w:rPr>
          <w:sz w:val="22"/>
        </w:rPr>
        <w:t>services</w:t>
      </w:r>
      <w:r>
        <w:rPr>
          <w:spacing w:val="-14"/>
          <w:sz w:val="22"/>
        </w:rPr>
        <w:t> </w:t>
      </w:r>
      <w:r>
        <w:rPr>
          <w:sz w:val="22"/>
        </w:rPr>
        <w:t>and</w:t>
      </w:r>
      <w:r>
        <w:rPr>
          <w:spacing w:val="-13"/>
          <w:sz w:val="22"/>
        </w:rPr>
        <w:t> </w:t>
      </w:r>
      <w:r>
        <w:rPr>
          <w:sz w:val="22"/>
        </w:rPr>
        <w:t>supports</w:t>
      </w:r>
      <w:r>
        <w:rPr>
          <w:spacing w:val="-14"/>
          <w:sz w:val="22"/>
        </w:rPr>
        <w:t> </w:t>
      </w:r>
      <w:r>
        <w:rPr>
          <w:sz w:val="22"/>
        </w:rPr>
        <w:t>and</w:t>
      </w:r>
      <w:r>
        <w:rPr>
          <w:spacing w:val="-14"/>
          <w:sz w:val="22"/>
        </w:rPr>
        <w:t> </w:t>
      </w:r>
      <w:r>
        <w:rPr>
          <w:sz w:val="22"/>
        </w:rPr>
        <w:t>health-related</w:t>
      </w:r>
      <w:r>
        <w:rPr>
          <w:spacing w:val="-14"/>
          <w:sz w:val="22"/>
        </w:rPr>
        <w:t> </w:t>
      </w:r>
      <w:r>
        <w:rPr>
          <w:sz w:val="22"/>
        </w:rPr>
        <w:t>social</w:t>
      </w:r>
      <w:r>
        <w:rPr>
          <w:spacing w:val="-13"/>
          <w:sz w:val="22"/>
        </w:rPr>
        <w:t> </w:t>
      </w:r>
      <w:r>
        <w:rPr>
          <w:sz w:val="22"/>
        </w:rPr>
        <w:t>services;</w:t>
      </w:r>
      <w:r>
        <w:rPr>
          <w:spacing w:val="-14"/>
          <w:sz w:val="22"/>
        </w:rPr>
        <w:t> </w:t>
      </w:r>
      <w:r>
        <w:rPr>
          <w:sz w:val="22"/>
        </w:rPr>
        <w:t>and</w:t>
      </w:r>
      <w:r>
        <w:rPr>
          <w:spacing w:val="-14"/>
          <w:sz w:val="22"/>
        </w:rPr>
        <w:t> </w:t>
      </w:r>
      <w:r>
        <w:rPr>
          <w:sz w:val="22"/>
        </w:rPr>
        <w:t>(3)</w:t>
      </w:r>
      <w:r>
        <w:rPr>
          <w:spacing w:val="-13"/>
          <w:sz w:val="22"/>
        </w:rPr>
        <w:t> </w:t>
      </w:r>
      <w:r>
        <w:rPr>
          <w:sz w:val="22"/>
        </w:rPr>
        <w:t>sustainably</w:t>
      </w:r>
      <w:r>
        <w:rPr>
          <w:spacing w:val="-14"/>
          <w:sz w:val="22"/>
        </w:rPr>
        <w:t> </w:t>
      </w:r>
      <w:r>
        <w:rPr>
          <w:sz w:val="22"/>
        </w:rPr>
        <w:t>support</w:t>
      </w:r>
      <w:r>
        <w:rPr>
          <w:spacing w:val="-12"/>
          <w:sz w:val="22"/>
        </w:rPr>
        <w:t> </w:t>
      </w:r>
      <w:r>
        <w:rPr>
          <w:sz w:val="22"/>
        </w:rPr>
        <w:t>safety net providers to ensure continued access to care for Medicaid and low-income, uninsured individuals.</w:t>
      </w:r>
    </w:p>
    <w:p>
      <w:pPr>
        <w:pStyle w:val="Heading2"/>
        <w:numPr>
          <w:ilvl w:val="1"/>
          <w:numId w:val="62"/>
        </w:numPr>
        <w:tabs>
          <w:tab w:pos="1618" w:val="left" w:leader="none"/>
        </w:tabs>
        <w:spacing w:line="298" w:lineRule="exact" w:before="202" w:after="0"/>
        <w:ind w:left="1618" w:right="0" w:hanging="398"/>
        <w:jc w:val="both"/>
      </w:pPr>
      <w:bookmarkStart w:name="1.4 DSRIP Funding Streams" w:id="1224"/>
      <w:bookmarkEnd w:id="1224"/>
      <w:r>
        <w:rPr>
          <w:b w:val="0"/>
        </w:rPr>
      </w:r>
      <w:bookmarkStart w:name="_bookmark12" w:id="1225"/>
      <w:bookmarkEnd w:id="1225"/>
      <w:r>
        <w:rPr>
          <w:b w:val="0"/>
        </w:rPr>
      </w:r>
      <w:r>
        <w:rPr>
          <w:color w:val="4471C4"/>
        </w:rPr>
        <w:t>DSRIP</w:t>
      </w:r>
      <w:r>
        <w:rPr>
          <w:color w:val="4471C4"/>
          <w:spacing w:val="-10"/>
        </w:rPr>
        <w:t> </w:t>
      </w:r>
      <w:r>
        <w:rPr>
          <w:color w:val="4471C4"/>
        </w:rPr>
        <w:t>Funding</w:t>
      </w:r>
      <w:r>
        <w:rPr>
          <w:color w:val="4471C4"/>
          <w:spacing w:val="-10"/>
        </w:rPr>
        <w:t> </w:t>
      </w:r>
      <w:r>
        <w:rPr>
          <w:color w:val="4471C4"/>
          <w:spacing w:val="-2"/>
        </w:rPr>
        <w:t>Streams</w:t>
      </w:r>
    </w:p>
    <w:p>
      <w:pPr>
        <w:spacing w:line="244" w:lineRule="auto" w:before="0"/>
        <w:ind w:left="1220" w:right="1100" w:firstLine="0"/>
        <w:jc w:val="both"/>
        <w:rPr>
          <w:sz w:val="22"/>
        </w:rPr>
      </w:pPr>
      <w:r>
        <w:rPr>
          <w:sz w:val="22"/>
        </w:rPr>
        <w:t>To accomplish the goals of the DSRIP program, Massachusetts plans to launch and support with DSRIP funding the following initiatives:</w:t>
      </w:r>
    </w:p>
    <w:p>
      <w:pPr>
        <w:pStyle w:val="ListParagraph"/>
        <w:numPr>
          <w:ilvl w:val="0"/>
          <w:numId w:val="63"/>
        </w:numPr>
        <w:tabs>
          <w:tab w:pos="1938" w:val="left" w:leader="none"/>
          <w:tab w:pos="1940" w:val="left" w:leader="none"/>
        </w:tabs>
        <w:spacing w:line="240" w:lineRule="auto" w:before="150" w:after="0"/>
        <w:ind w:left="1940" w:right="1092" w:hanging="361"/>
        <w:jc w:val="both"/>
        <w:rPr>
          <w:sz w:val="22"/>
        </w:rPr>
      </w:pPr>
      <w:r>
        <w:rPr>
          <w:b/>
          <w:sz w:val="22"/>
        </w:rPr>
        <w:t>Accountable Care Organizations </w:t>
      </w:r>
      <w:r>
        <w:rPr>
          <w:sz w:val="22"/>
        </w:rPr>
        <w:t>– Generally provider-led health systems or organizations with an explicit focus on integration of physical health, behavioral health, long term services and supports</w:t>
      </w:r>
      <w:r>
        <w:rPr>
          <w:spacing w:val="-4"/>
          <w:sz w:val="22"/>
        </w:rPr>
        <w:t> </w:t>
      </w:r>
      <w:r>
        <w:rPr>
          <w:sz w:val="22"/>
        </w:rPr>
        <w:t>and</w:t>
      </w:r>
      <w:r>
        <w:rPr>
          <w:spacing w:val="-5"/>
          <w:sz w:val="22"/>
        </w:rPr>
        <w:t> </w:t>
      </w:r>
      <w:r>
        <w:rPr>
          <w:sz w:val="22"/>
        </w:rPr>
        <w:t>health-related</w:t>
      </w:r>
      <w:r>
        <w:rPr>
          <w:spacing w:val="-5"/>
          <w:sz w:val="22"/>
        </w:rPr>
        <w:t> </w:t>
      </w:r>
      <w:r>
        <w:rPr>
          <w:sz w:val="22"/>
        </w:rPr>
        <w:t>social</w:t>
      </w:r>
      <w:r>
        <w:rPr>
          <w:spacing w:val="-4"/>
          <w:sz w:val="22"/>
        </w:rPr>
        <w:t> </w:t>
      </w:r>
      <w:r>
        <w:rPr>
          <w:sz w:val="22"/>
        </w:rPr>
        <w:t>service</w:t>
      </w:r>
      <w:r>
        <w:rPr>
          <w:spacing w:val="-4"/>
          <w:sz w:val="22"/>
        </w:rPr>
        <w:t> </w:t>
      </w:r>
      <w:r>
        <w:rPr>
          <w:sz w:val="22"/>
        </w:rPr>
        <w:t>needs.</w:t>
      </w:r>
      <w:r>
        <w:rPr>
          <w:spacing w:val="-2"/>
          <w:sz w:val="22"/>
        </w:rPr>
        <w:t> </w:t>
      </w:r>
      <w:r>
        <w:rPr>
          <w:sz w:val="22"/>
        </w:rPr>
        <w:t>ACOs</w:t>
      </w:r>
      <w:r>
        <w:rPr>
          <w:spacing w:val="-4"/>
          <w:sz w:val="22"/>
        </w:rPr>
        <w:t> </w:t>
      </w:r>
      <w:r>
        <w:rPr>
          <w:sz w:val="22"/>
        </w:rPr>
        <w:t>will</w:t>
      </w:r>
      <w:r>
        <w:rPr>
          <w:spacing w:val="-1"/>
          <w:sz w:val="22"/>
        </w:rPr>
        <w:t> </w:t>
      </w:r>
      <w:r>
        <w:rPr>
          <w:sz w:val="22"/>
        </w:rPr>
        <w:t>be</w:t>
      </w:r>
      <w:r>
        <w:rPr>
          <w:spacing w:val="-4"/>
          <w:sz w:val="22"/>
        </w:rPr>
        <w:t> </w:t>
      </w:r>
      <w:r>
        <w:rPr>
          <w:sz w:val="22"/>
        </w:rPr>
        <w:t>financially</w:t>
      </w:r>
      <w:r>
        <w:rPr>
          <w:spacing w:val="-5"/>
          <w:sz w:val="22"/>
        </w:rPr>
        <w:t> </w:t>
      </w:r>
      <w:r>
        <w:rPr>
          <w:sz w:val="22"/>
        </w:rPr>
        <w:t>accountable</w:t>
      </w:r>
      <w:r>
        <w:rPr>
          <w:spacing w:val="-4"/>
          <w:sz w:val="22"/>
        </w:rPr>
        <w:t> </w:t>
      </w:r>
      <w:r>
        <w:rPr>
          <w:sz w:val="22"/>
        </w:rPr>
        <w:t>for</w:t>
      </w:r>
      <w:r>
        <w:rPr>
          <w:spacing w:val="-4"/>
          <w:sz w:val="22"/>
        </w:rPr>
        <w:t> </w:t>
      </w:r>
      <w:r>
        <w:rPr>
          <w:sz w:val="22"/>
        </w:rPr>
        <w:t>the</w:t>
      </w:r>
      <w:r>
        <w:rPr>
          <w:spacing w:val="-4"/>
          <w:sz w:val="22"/>
        </w:rPr>
        <w:t> </w:t>
      </w:r>
      <w:r>
        <w:rPr>
          <w:sz w:val="22"/>
        </w:rPr>
        <w:t>cost and quality of their members’ care.</w:t>
      </w:r>
    </w:p>
    <w:p>
      <w:pPr>
        <w:pStyle w:val="ListParagraph"/>
        <w:numPr>
          <w:ilvl w:val="0"/>
          <w:numId w:val="63"/>
        </w:numPr>
        <w:tabs>
          <w:tab w:pos="1938" w:val="left" w:leader="none"/>
          <w:tab w:pos="1940" w:val="left" w:leader="none"/>
        </w:tabs>
        <w:spacing w:line="240" w:lineRule="auto" w:before="198" w:after="0"/>
        <w:ind w:left="1940" w:right="1094" w:hanging="361"/>
        <w:jc w:val="both"/>
        <w:rPr>
          <w:sz w:val="22"/>
        </w:rPr>
      </w:pPr>
      <w:r>
        <w:rPr>
          <w:b/>
          <w:sz w:val="22"/>
        </w:rPr>
        <w:t>Community Partners / Community Service Agencies (CSAs) </w:t>
      </w:r>
      <w:r>
        <w:rPr>
          <w:sz w:val="22"/>
        </w:rPr>
        <w:t>– Community-based BH and LTSS organizations who support eligible members with BH and LTSS needs.</w:t>
      </w:r>
    </w:p>
    <w:p>
      <w:pPr>
        <w:pStyle w:val="ListParagraph"/>
        <w:numPr>
          <w:ilvl w:val="0"/>
          <w:numId w:val="63"/>
        </w:numPr>
        <w:tabs>
          <w:tab w:pos="1938" w:val="left" w:leader="none"/>
          <w:tab w:pos="1940" w:val="left" w:leader="none"/>
        </w:tabs>
        <w:spacing w:line="240" w:lineRule="auto" w:before="200" w:after="0"/>
        <w:ind w:left="1940" w:right="1095" w:hanging="361"/>
        <w:jc w:val="both"/>
        <w:rPr>
          <w:sz w:val="22"/>
        </w:rPr>
      </w:pPr>
      <w:r>
        <w:rPr>
          <w:b/>
          <w:sz w:val="22"/>
        </w:rPr>
        <w:t>Statewide Investments </w:t>
      </w:r>
      <w:r>
        <w:rPr>
          <w:sz w:val="22"/>
        </w:rPr>
        <w:t>– Set of direct state investments in scalable infrastructure and workforce </w:t>
      </w:r>
      <w:r>
        <w:rPr>
          <w:spacing w:val="-2"/>
          <w:sz w:val="22"/>
        </w:rPr>
        <w:t>capacity.</w:t>
      </w:r>
    </w:p>
    <w:p>
      <w:pPr>
        <w:spacing w:before="199"/>
        <w:ind w:left="1220" w:right="1094" w:firstLine="0"/>
        <w:jc w:val="both"/>
        <w:rPr>
          <w:sz w:val="22"/>
        </w:rPr>
      </w:pPr>
      <w:r>
        <w:rPr>
          <w:sz w:val="22"/>
        </w:rPr>
        <w:t>Additionally, the State will utilize DSRIP funding to support Statewide Operations and Implementation, including oversight, of the DSRIP program.</w:t>
      </w:r>
    </w:p>
    <w:p>
      <w:pPr>
        <w:spacing w:before="159"/>
        <w:ind w:left="1220" w:right="1094" w:firstLine="0"/>
        <w:jc w:val="both"/>
        <w:rPr>
          <w:sz w:val="22"/>
        </w:rPr>
      </w:pPr>
      <w:r>
        <w:rPr>
          <w:sz w:val="22"/>
        </w:rPr>
        <w:t>Exhibit 1 shows anticipated amounts of funding per DSRIP funding stream</w:t>
      </w:r>
      <w:r>
        <w:rPr>
          <w:spacing w:val="-1"/>
          <w:sz w:val="22"/>
        </w:rPr>
        <w:t> </w:t>
      </w:r>
      <w:r>
        <w:rPr>
          <w:sz w:val="22"/>
        </w:rPr>
        <w:t>by demonstration year as well as the overall anticipated percentage of funding distributed to each stream in total. Please see Section 4.7 for discussion of situations in which funding may be shifted between funding streams or carried forward from one demonstration year to the next.</w:t>
      </w:r>
    </w:p>
    <w:p>
      <w:pPr>
        <w:spacing w:after="0"/>
        <w:jc w:val="both"/>
        <w:rPr>
          <w:sz w:val="22"/>
        </w:rPr>
        <w:sectPr>
          <w:pgSz w:w="12240" w:h="15840"/>
          <w:pgMar w:header="0" w:footer="967" w:top="1820" w:bottom="1160" w:left="220" w:right="340"/>
        </w:sectPr>
      </w:pPr>
    </w:p>
    <w:p>
      <w:pPr>
        <w:spacing w:before="78" w:after="7"/>
        <w:ind w:left="1219" w:right="0" w:firstLine="0"/>
        <w:jc w:val="both"/>
        <w:rPr>
          <w:sz w:val="22"/>
        </w:rPr>
      </w:pPr>
      <w:r>
        <w:rPr>
          <w:sz w:val="22"/>
        </w:rPr>
        <w:t>EXHIBIT</w:t>
      </w:r>
      <w:r>
        <w:rPr>
          <w:spacing w:val="-3"/>
          <w:sz w:val="22"/>
        </w:rPr>
        <w:t> </w:t>
      </w:r>
      <w:r>
        <w:rPr>
          <w:sz w:val="22"/>
        </w:rPr>
        <w:t>1</w:t>
      </w:r>
      <w:r>
        <w:rPr>
          <w:spacing w:val="-4"/>
          <w:sz w:val="22"/>
        </w:rPr>
        <w:t> </w:t>
      </w:r>
      <w:r>
        <w:rPr>
          <w:sz w:val="22"/>
        </w:rPr>
        <w:t>–</w:t>
      </w:r>
      <w:r>
        <w:rPr>
          <w:spacing w:val="-4"/>
          <w:sz w:val="22"/>
        </w:rPr>
        <w:t> </w:t>
      </w:r>
      <w:r>
        <w:rPr>
          <w:sz w:val="22"/>
        </w:rPr>
        <w:t>DSRIP</w:t>
      </w:r>
      <w:r>
        <w:rPr>
          <w:spacing w:val="-5"/>
          <w:sz w:val="22"/>
        </w:rPr>
        <w:t> </w:t>
      </w:r>
      <w:r>
        <w:rPr>
          <w:sz w:val="22"/>
        </w:rPr>
        <w:t>Anticipated</w:t>
      </w:r>
      <w:r>
        <w:rPr>
          <w:spacing w:val="-4"/>
          <w:sz w:val="22"/>
        </w:rPr>
        <w:t> </w:t>
      </w:r>
      <w:r>
        <w:rPr>
          <w:sz w:val="22"/>
        </w:rPr>
        <w:t>Funding</w:t>
      </w:r>
      <w:r>
        <w:rPr>
          <w:spacing w:val="-7"/>
          <w:sz w:val="22"/>
        </w:rPr>
        <w:t> </w:t>
      </w:r>
      <w:r>
        <w:rPr>
          <w:sz w:val="22"/>
        </w:rPr>
        <w:t>Streams</w:t>
      </w:r>
      <w:r>
        <w:rPr>
          <w:spacing w:val="-4"/>
          <w:sz w:val="22"/>
        </w:rPr>
        <w:t> </w:t>
      </w:r>
      <w:r>
        <w:rPr>
          <w:sz w:val="22"/>
        </w:rPr>
        <w:t>By</w:t>
      </w:r>
      <w:r>
        <w:rPr>
          <w:spacing w:val="-4"/>
          <w:sz w:val="22"/>
        </w:rPr>
        <w:t> </w:t>
      </w:r>
      <w:r>
        <w:rPr>
          <w:sz w:val="22"/>
        </w:rPr>
        <w:t>Demonstration</w:t>
      </w:r>
      <w:r>
        <w:rPr>
          <w:spacing w:val="-4"/>
          <w:sz w:val="22"/>
        </w:rPr>
        <w:t> </w:t>
      </w:r>
      <w:r>
        <w:rPr>
          <w:sz w:val="22"/>
        </w:rPr>
        <w:t>Year</w:t>
      </w:r>
      <w:r>
        <w:rPr>
          <w:spacing w:val="-5"/>
          <w:sz w:val="22"/>
        </w:rPr>
        <w:t> </w:t>
      </w:r>
      <w:r>
        <w:rPr>
          <w:spacing w:val="-4"/>
          <w:sz w:val="22"/>
        </w:rPr>
        <w:t>($M)</w:t>
      </w:r>
    </w:p>
    <w:tbl>
      <w:tblPr>
        <w:tblW w:w="0" w:type="auto"/>
        <w:jc w:val="left"/>
        <w:tblInd w:w="1247" w:type="dxa"/>
        <w:tblBorders>
          <w:top w:val="thinThickMediumGap" w:sz="4" w:space="0" w:color="BEBEBE"/>
          <w:left w:val="thinThickMediumGap" w:sz="4" w:space="0" w:color="BEBEBE"/>
          <w:bottom w:val="thinThickMediumGap" w:sz="4" w:space="0" w:color="BEBEBE"/>
          <w:right w:val="thinThickMediumGap" w:sz="4" w:space="0" w:color="BEBEBE"/>
          <w:insideH w:val="thinThickMediumGap" w:sz="4" w:space="0" w:color="BEBEBE"/>
          <w:insideV w:val="thinThickMediumGap" w:sz="4" w:space="0" w:color="BEBEBE"/>
        </w:tblBorders>
        <w:tblLayout w:type="fixed"/>
        <w:tblCellMar>
          <w:top w:w="0" w:type="dxa"/>
          <w:left w:w="0" w:type="dxa"/>
          <w:bottom w:w="0" w:type="dxa"/>
          <w:right w:w="0" w:type="dxa"/>
        </w:tblCellMar>
        <w:tblLook w:val="01E0"/>
      </w:tblPr>
      <w:tblGrid>
        <w:gridCol w:w="2009"/>
        <w:gridCol w:w="1049"/>
        <w:gridCol w:w="1047"/>
        <w:gridCol w:w="1047"/>
        <w:gridCol w:w="1049"/>
        <w:gridCol w:w="1047"/>
        <w:gridCol w:w="1112"/>
        <w:gridCol w:w="1047"/>
      </w:tblGrid>
      <w:tr>
        <w:trPr>
          <w:trHeight w:val="590" w:hRule="atLeast"/>
        </w:trPr>
        <w:tc>
          <w:tcPr>
            <w:tcW w:w="2009" w:type="dxa"/>
            <w:tcBorders>
              <w:left w:val="single" w:sz="8" w:space="0" w:color="BEBEBE"/>
              <w:bottom w:val="single" w:sz="4" w:space="0" w:color="BEBEBE"/>
              <w:right w:val="single" w:sz="4" w:space="0" w:color="BEBEBE"/>
            </w:tcBorders>
            <w:shd w:val="clear" w:color="auto" w:fill="1F487C"/>
          </w:tcPr>
          <w:p>
            <w:pPr>
              <w:pStyle w:val="TableParagraph"/>
              <w:spacing w:before="176"/>
              <w:ind w:left="107"/>
              <w:rPr>
                <w:b/>
                <w:sz w:val="20"/>
              </w:rPr>
            </w:pPr>
            <w:r>
              <w:rPr>
                <w:b/>
                <w:color w:val="FFFFFF"/>
                <w:sz w:val="20"/>
              </w:rPr>
              <w:t>Funding</w:t>
            </w:r>
            <w:r>
              <w:rPr>
                <w:b/>
                <w:color w:val="FFFFFF"/>
                <w:spacing w:val="-12"/>
                <w:sz w:val="20"/>
              </w:rPr>
              <w:t> </w:t>
            </w:r>
            <w:r>
              <w:rPr>
                <w:b/>
                <w:color w:val="FFFFFF"/>
                <w:spacing w:val="-2"/>
                <w:sz w:val="20"/>
              </w:rPr>
              <w:t>Stream</w:t>
            </w:r>
          </w:p>
        </w:tc>
        <w:tc>
          <w:tcPr>
            <w:tcW w:w="1049" w:type="dxa"/>
            <w:tcBorders>
              <w:left w:val="single" w:sz="4" w:space="0" w:color="BEBEBE"/>
              <w:bottom w:val="single" w:sz="4" w:space="0" w:color="BEBEBE"/>
              <w:right w:val="single" w:sz="4" w:space="0" w:color="BEBEBE"/>
            </w:tcBorders>
            <w:shd w:val="clear" w:color="auto" w:fill="1F487C"/>
          </w:tcPr>
          <w:p>
            <w:pPr>
              <w:pStyle w:val="TableParagraph"/>
              <w:spacing w:before="176"/>
              <w:ind w:left="121" w:right="101"/>
              <w:jc w:val="center"/>
              <w:rPr>
                <w:b/>
                <w:sz w:val="20"/>
              </w:rPr>
            </w:pPr>
            <w:r>
              <w:rPr>
                <w:b/>
                <w:color w:val="FFFFFF"/>
                <w:sz w:val="20"/>
              </w:rPr>
              <w:t>Demo</w:t>
            </w:r>
            <w:r>
              <w:rPr>
                <w:b/>
                <w:color w:val="FFFFFF"/>
                <w:spacing w:val="-8"/>
                <w:sz w:val="20"/>
              </w:rPr>
              <w:t> </w:t>
            </w:r>
            <w:r>
              <w:rPr>
                <w:b/>
                <w:color w:val="FFFFFF"/>
                <w:spacing w:val="-5"/>
                <w:sz w:val="20"/>
              </w:rPr>
              <w:t>Y1</w:t>
            </w:r>
          </w:p>
        </w:tc>
        <w:tc>
          <w:tcPr>
            <w:tcW w:w="1047" w:type="dxa"/>
            <w:tcBorders>
              <w:left w:val="single" w:sz="4" w:space="0" w:color="BEBEBE"/>
              <w:bottom w:val="single" w:sz="4" w:space="0" w:color="BEBEBE"/>
              <w:right w:val="single" w:sz="4" w:space="0" w:color="BEBEBE"/>
            </w:tcBorders>
            <w:shd w:val="clear" w:color="auto" w:fill="1F487C"/>
          </w:tcPr>
          <w:p>
            <w:pPr>
              <w:pStyle w:val="TableParagraph"/>
              <w:spacing w:before="176"/>
              <w:ind w:left="142" w:right="126"/>
              <w:jc w:val="center"/>
              <w:rPr>
                <w:b/>
                <w:sz w:val="20"/>
              </w:rPr>
            </w:pPr>
            <w:r>
              <w:rPr>
                <w:b/>
                <w:color w:val="FFFFFF"/>
                <w:spacing w:val="-5"/>
                <w:sz w:val="20"/>
              </w:rPr>
              <w:t>DY2</w:t>
            </w:r>
          </w:p>
        </w:tc>
        <w:tc>
          <w:tcPr>
            <w:tcW w:w="1047" w:type="dxa"/>
            <w:tcBorders>
              <w:left w:val="single" w:sz="4" w:space="0" w:color="BEBEBE"/>
              <w:bottom w:val="single" w:sz="4" w:space="0" w:color="BEBEBE"/>
              <w:right w:val="single" w:sz="4" w:space="0" w:color="BEBEBE"/>
            </w:tcBorders>
            <w:shd w:val="clear" w:color="auto" w:fill="1F487C"/>
          </w:tcPr>
          <w:p>
            <w:pPr>
              <w:pStyle w:val="TableParagraph"/>
              <w:spacing w:before="176"/>
              <w:ind w:left="332"/>
              <w:rPr>
                <w:b/>
                <w:sz w:val="20"/>
              </w:rPr>
            </w:pPr>
            <w:r>
              <w:rPr>
                <w:b/>
                <w:color w:val="FFFFFF"/>
                <w:spacing w:val="-5"/>
                <w:sz w:val="20"/>
              </w:rPr>
              <w:t>DY3</w:t>
            </w:r>
          </w:p>
        </w:tc>
        <w:tc>
          <w:tcPr>
            <w:tcW w:w="1049" w:type="dxa"/>
            <w:tcBorders>
              <w:left w:val="single" w:sz="4" w:space="0" w:color="BEBEBE"/>
              <w:bottom w:val="single" w:sz="4" w:space="0" w:color="BEBEBE"/>
              <w:right w:val="single" w:sz="4" w:space="0" w:color="BEBEBE"/>
            </w:tcBorders>
            <w:shd w:val="clear" w:color="auto" w:fill="1F487C"/>
          </w:tcPr>
          <w:p>
            <w:pPr>
              <w:pStyle w:val="TableParagraph"/>
              <w:spacing w:before="176"/>
              <w:ind w:left="118" w:right="101"/>
              <w:jc w:val="center"/>
              <w:rPr>
                <w:b/>
                <w:sz w:val="20"/>
              </w:rPr>
            </w:pPr>
            <w:r>
              <w:rPr>
                <w:b/>
                <w:color w:val="FFFFFF"/>
                <w:spacing w:val="-5"/>
                <w:sz w:val="20"/>
              </w:rPr>
              <w:t>DY4</w:t>
            </w:r>
          </w:p>
        </w:tc>
        <w:tc>
          <w:tcPr>
            <w:tcW w:w="1047" w:type="dxa"/>
            <w:tcBorders>
              <w:left w:val="single" w:sz="4" w:space="0" w:color="BEBEBE"/>
              <w:bottom w:val="single" w:sz="4" w:space="0" w:color="BEBEBE"/>
              <w:right w:val="single" w:sz="4" w:space="0" w:color="BEBEBE"/>
            </w:tcBorders>
            <w:shd w:val="clear" w:color="auto" w:fill="1F487C"/>
          </w:tcPr>
          <w:p>
            <w:pPr>
              <w:pStyle w:val="TableParagraph"/>
              <w:spacing w:before="176"/>
              <w:ind w:left="142" w:right="128"/>
              <w:jc w:val="center"/>
              <w:rPr>
                <w:b/>
                <w:sz w:val="20"/>
              </w:rPr>
            </w:pPr>
            <w:r>
              <w:rPr>
                <w:b/>
                <w:color w:val="FFFFFF"/>
                <w:spacing w:val="-5"/>
                <w:sz w:val="20"/>
              </w:rPr>
              <w:t>DY5</w:t>
            </w:r>
          </w:p>
        </w:tc>
        <w:tc>
          <w:tcPr>
            <w:tcW w:w="1112" w:type="dxa"/>
            <w:tcBorders>
              <w:left w:val="single" w:sz="4" w:space="0" w:color="BEBEBE"/>
              <w:bottom w:val="single" w:sz="4" w:space="0" w:color="BEBEBE"/>
              <w:right w:val="single" w:sz="8" w:space="0" w:color="BEBEBE"/>
            </w:tcBorders>
            <w:shd w:val="clear" w:color="auto" w:fill="1F487C"/>
          </w:tcPr>
          <w:p>
            <w:pPr>
              <w:pStyle w:val="TableParagraph"/>
              <w:spacing w:before="176"/>
              <w:ind w:left="101" w:right="84"/>
              <w:jc w:val="center"/>
              <w:rPr>
                <w:b/>
                <w:sz w:val="20"/>
              </w:rPr>
            </w:pPr>
            <w:r>
              <w:rPr>
                <w:b/>
                <w:color w:val="FFFFFF"/>
                <w:spacing w:val="-2"/>
                <w:sz w:val="20"/>
              </w:rPr>
              <w:t>Total</w:t>
            </w:r>
          </w:p>
        </w:tc>
        <w:tc>
          <w:tcPr>
            <w:tcW w:w="1047" w:type="dxa"/>
            <w:tcBorders>
              <w:left w:val="single" w:sz="8" w:space="0" w:color="BEBEBE"/>
              <w:bottom w:val="single" w:sz="4" w:space="0" w:color="BEBEBE"/>
              <w:right w:val="single" w:sz="8" w:space="0" w:color="BEBEBE"/>
            </w:tcBorders>
            <w:shd w:val="clear" w:color="auto" w:fill="1F487C"/>
          </w:tcPr>
          <w:p>
            <w:pPr>
              <w:pStyle w:val="TableParagraph"/>
              <w:spacing w:before="60"/>
              <w:ind w:left="241" w:right="222" w:firstLine="69"/>
              <w:rPr>
                <w:b/>
                <w:sz w:val="20"/>
              </w:rPr>
            </w:pPr>
            <w:r>
              <w:rPr>
                <w:b/>
                <w:color w:val="FFFFFF"/>
                <w:sz w:val="20"/>
              </w:rPr>
              <w:t>% of </w:t>
            </w:r>
            <w:r>
              <w:rPr>
                <w:b/>
                <w:color w:val="FFFFFF"/>
                <w:spacing w:val="-2"/>
                <w:sz w:val="20"/>
              </w:rPr>
              <w:t>Total*</w:t>
            </w:r>
          </w:p>
        </w:tc>
      </w:tr>
      <w:tr>
        <w:trPr>
          <w:trHeight w:val="299" w:hRule="atLeast"/>
        </w:trPr>
        <w:tc>
          <w:tcPr>
            <w:tcW w:w="2009" w:type="dxa"/>
            <w:tcBorders>
              <w:top w:val="single" w:sz="4" w:space="0" w:color="BEBEBE"/>
              <w:left w:val="single" w:sz="8" w:space="0" w:color="BEBEBE"/>
              <w:bottom w:val="single" w:sz="4" w:space="0" w:color="BEBEBE"/>
              <w:right w:val="single" w:sz="4" w:space="0" w:color="BEBEBE"/>
            </w:tcBorders>
            <w:shd w:val="clear" w:color="auto" w:fill="DCE6F0"/>
          </w:tcPr>
          <w:p>
            <w:pPr>
              <w:pStyle w:val="TableParagraph"/>
              <w:spacing w:before="34"/>
              <w:ind w:left="107"/>
              <w:rPr>
                <w:sz w:val="20"/>
              </w:rPr>
            </w:pPr>
            <w:r>
              <w:rPr>
                <w:spacing w:val="-4"/>
                <w:sz w:val="20"/>
              </w:rPr>
              <w:t>ACOs</w:t>
            </w:r>
          </w:p>
        </w:tc>
        <w:tc>
          <w:tcPr>
            <w:tcW w:w="1049" w:type="dxa"/>
            <w:tcBorders>
              <w:top w:val="single" w:sz="4" w:space="0" w:color="BEBEBE"/>
              <w:left w:val="single" w:sz="4" w:space="0" w:color="BEBEBE"/>
              <w:bottom w:val="single" w:sz="4" w:space="0" w:color="BEBEBE"/>
              <w:right w:val="single" w:sz="4" w:space="0" w:color="BEBEBE"/>
            </w:tcBorders>
          </w:tcPr>
          <w:p>
            <w:pPr>
              <w:pStyle w:val="TableParagraph"/>
              <w:spacing w:before="34"/>
              <w:ind w:left="121" w:right="95"/>
              <w:jc w:val="center"/>
              <w:rPr>
                <w:sz w:val="20"/>
              </w:rPr>
            </w:pPr>
            <w:r>
              <w:rPr>
                <w:spacing w:val="-2"/>
                <w:sz w:val="20"/>
              </w:rPr>
              <w:t>$329.2M</w:t>
            </w:r>
          </w:p>
        </w:tc>
        <w:tc>
          <w:tcPr>
            <w:tcW w:w="1047" w:type="dxa"/>
            <w:tcBorders>
              <w:top w:val="single" w:sz="4" w:space="0" w:color="BEBEBE"/>
              <w:left w:val="single" w:sz="4" w:space="0" w:color="BEBEBE"/>
              <w:bottom w:val="single" w:sz="4" w:space="0" w:color="BEBEBE"/>
              <w:right w:val="single" w:sz="4" w:space="0" w:color="BEBEBE"/>
            </w:tcBorders>
          </w:tcPr>
          <w:p>
            <w:pPr>
              <w:pStyle w:val="TableParagraph"/>
              <w:spacing w:before="34"/>
              <w:ind w:left="142" w:right="124"/>
              <w:jc w:val="center"/>
              <w:rPr>
                <w:sz w:val="20"/>
              </w:rPr>
            </w:pPr>
            <w:r>
              <w:rPr>
                <w:spacing w:val="-2"/>
                <w:sz w:val="20"/>
              </w:rPr>
              <w:t>$289.9M</w:t>
            </w:r>
          </w:p>
        </w:tc>
        <w:tc>
          <w:tcPr>
            <w:tcW w:w="1047" w:type="dxa"/>
            <w:tcBorders>
              <w:top w:val="single" w:sz="4" w:space="0" w:color="BEBEBE"/>
              <w:left w:val="single" w:sz="4" w:space="0" w:color="BEBEBE"/>
              <w:bottom w:val="single" w:sz="4" w:space="0" w:color="BEBEBE"/>
              <w:right w:val="single" w:sz="4" w:space="0" w:color="BEBEBE"/>
            </w:tcBorders>
          </w:tcPr>
          <w:p>
            <w:pPr>
              <w:pStyle w:val="TableParagraph"/>
              <w:spacing w:before="34"/>
              <w:ind w:right="142"/>
              <w:jc w:val="right"/>
              <w:rPr>
                <w:sz w:val="20"/>
              </w:rPr>
            </w:pPr>
            <w:r>
              <w:rPr>
                <w:spacing w:val="-2"/>
                <w:sz w:val="20"/>
              </w:rPr>
              <w:t>$229.4M</w:t>
            </w:r>
          </w:p>
        </w:tc>
        <w:tc>
          <w:tcPr>
            <w:tcW w:w="1049" w:type="dxa"/>
            <w:tcBorders>
              <w:top w:val="single" w:sz="4" w:space="0" w:color="BEBEBE"/>
              <w:left w:val="single" w:sz="4" w:space="0" w:color="BEBEBE"/>
              <w:bottom w:val="single" w:sz="4" w:space="0" w:color="BEBEBE"/>
              <w:right w:val="single" w:sz="4" w:space="0" w:color="BEBEBE"/>
            </w:tcBorders>
          </w:tcPr>
          <w:p>
            <w:pPr>
              <w:pStyle w:val="TableParagraph"/>
              <w:spacing w:before="34"/>
              <w:ind w:left="119" w:right="101"/>
              <w:jc w:val="center"/>
              <w:rPr>
                <w:sz w:val="20"/>
              </w:rPr>
            </w:pPr>
            <w:r>
              <w:rPr>
                <w:spacing w:val="-2"/>
                <w:sz w:val="20"/>
              </w:rPr>
              <w:t>$152.0M</w:t>
            </w:r>
          </w:p>
        </w:tc>
        <w:tc>
          <w:tcPr>
            <w:tcW w:w="1047" w:type="dxa"/>
            <w:tcBorders>
              <w:top w:val="single" w:sz="4" w:space="0" w:color="BEBEBE"/>
              <w:left w:val="single" w:sz="4" w:space="0" w:color="BEBEBE"/>
              <w:bottom w:val="single" w:sz="4" w:space="0" w:color="BEBEBE"/>
              <w:right w:val="single" w:sz="4" w:space="0" w:color="BEBEBE"/>
            </w:tcBorders>
          </w:tcPr>
          <w:p>
            <w:pPr>
              <w:pStyle w:val="TableParagraph"/>
              <w:spacing w:before="34"/>
              <w:ind w:left="142" w:right="124"/>
              <w:jc w:val="center"/>
              <w:rPr>
                <w:sz w:val="20"/>
              </w:rPr>
            </w:pPr>
            <w:r>
              <w:rPr>
                <w:spacing w:val="-2"/>
                <w:sz w:val="20"/>
              </w:rPr>
              <w:t>$65.1M</w:t>
            </w:r>
          </w:p>
        </w:tc>
        <w:tc>
          <w:tcPr>
            <w:tcW w:w="1112" w:type="dxa"/>
            <w:tcBorders>
              <w:top w:val="single" w:sz="4" w:space="0" w:color="BEBEBE"/>
              <w:left w:val="single" w:sz="4" w:space="0" w:color="BEBEBE"/>
              <w:bottom w:val="single" w:sz="4" w:space="0" w:color="BEBEBE"/>
              <w:right w:val="single" w:sz="8" w:space="0" w:color="BEBEBE"/>
            </w:tcBorders>
          </w:tcPr>
          <w:p>
            <w:pPr>
              <w:pStyle w:val="TableParagraph"/>
              <w:spacing w:before="34"/>
              <w:ind w:left="100" w:right="84"/>
              <w:jc w:val="center"/>
              <w:rPr>
                <w:b/>
                <w:sz w:val="20"/>
              </w:rPr>
            </w:pPr>
            <w:r>
              <w:rPr>
                <w:b/>
                <w:spacing w:val="-2"/>
                <w:sz w:val="20"/>
              </w:rPr>
              <w:t>$1,065.6M</w:t>
            </w:r>
          </w:p>
        </w:tc>
        <w:tc>
          <w:tcPr>
            <w:tcW w:w="1047" w:type="dxa"/>
            <w:tcBorders>
              <w:top w:val="single" w:sz="4" w:space="0" w:color="BEBEBE"/>
              <w:left w:val="single" w:sz="8" w:space="0" w:color="BEBEBE"/>
              <w:bottom w:val="single" w:sz="4" w:space="0" w:color="BEBEBE"/>
              <w:right w:val="single" w:sz="8" w:space="0" w:color="BEBEBE"/>
            </w:tcBorders>
          </w:tcPr>
          <w:p>
            <w:pPr>
              <w:pStyle w:val="TableParagraph"/>
              <w:spacing w:before="34"/>
              <w:ind w:left="318"/>
              <w:rPr>
                <w:b/>
                <w:sz w:val="20"/>
              </w:rPr>
            </w:pPr>
            <w:r>
              <w:rPr>
                <w:b/>
                <w:spacing w:val="-5"/>
                <w:sz w:val="20"/>
              </w:rPr>
              <w:t>59%</w:t>
            </w:r>
          </w:p>
        </w:tc>
      </w:tr>
      <w:tr>
        <w:trPr>
          <w:trHeight w:val="599" w:hRule="atLeast"/>
        </w:trPr>
        <w:tc>
          <w:tcPr>
            <w:tcW w:w="2009" w:type="dxa"/>
            <w:tcBorders>
              <w:top w:val="single" w:sz="4" w:space="0" w:color="BEBEBE"/>
              <w:left w:val="single" w:sz="8" w:space="0" w:color="BEBEBE"/>
              <w:bottom w:val="single" w:sz="4" w:space="0" w:color="BEBEBE"/>
              <w:right w:val="single" w:sz="4" w:space="0" w:color="BEBEBE"/>
            </w:tcBorders>
            <w:shd w:val="clear" w:color="auto" w:fill="DCE6F0"/>
          </w:tcPr>
          <w:p>
            <w:pPr>
              <w:pStyle w:val="TableParagraph"/>
              <w:spacing w:before="70"/>
              <w:ind w:left="107" w:right="218"/>
              <w:rPr>
                <w:sz w:val="20"/>
              </w:rPr>
            </w:pPr>
            <w:r>
              <w:rPr>
                <w:sz w:val="20"/>
              </w:rPr>
              <w:t>Community</w:t>
            </w:r>
            <w:r>
              <w:rPr>
                <w:spacing w:val="-13"/>
                <w:sz w:val="20"/>
              </w:rPr>
              <w:t> </w:t>
            </w:r>
            <w:r>
              <w:rPr>
                <w:sz w:val="20"/>
              </w:rPr>
              <w:t>Partners (including CSAs)</w:t>
            </w:r>
          </w:p>
        </w:tc>
        <w:tc>
          <w:tcPr>
            <w:tcW w:w="1049" w:type="dxa"/>
            <w:tcBorders>
              <w:top w:val="single" w:sz="4" w:space="0" w:color="BEBEBE"/>
              <w:left w:val="single" w:sz="4" w:space="0" w:color="BEBEBE"/>
              <w:bottom w:val="single" w:sz="4" w:space="0" w:color="BEBEBE"/>
              <w:right w:val="single" w:sz="4" w:space="0" w:color="BEBEBE"/>
            </w:tcBorders>
          </w:tcPr>
          <w:p>
            <w:pPr>
              <w:pStyle w:val="TableParagraph"/>
              <w:spacing w:before="185"/>
              <w:ind w:left="121" w:right="97"/>
              <w:jc w:val="center"/>
              <w:rPr>
                <w:sz w:val="20"/>
              </w:rPr>
            </w:pPr>
            <w:r>
              <w:rPr>
                <w:spacing w:val="-2"/>
                <w:sz w:val="20"/>
              </w:rPr>
              <w:t>$57.0M</w:t>
            </w:r>
          </w:p>
        </w:tc>
        <w:tc>
          <w:tcPr>
            <w:tcW w:w="1047" w:type="dxa"/>
            <w:tcBorders>
              <w:top w:val="single" w:sz="4" w:space="0" w:color="BEBEBE"/>
              <w:left w:val="single" w:sz="4" w:space="0" w:color="BEBEBE"/>
              <w:bottom w:val="single" w:sz="4" w:space="0" w:color="BEBEBE"/>
              <w:right w:val="single" w:sz="4" w:space="0" w:color="BEBEBE"/>
            </w:tcBorders>
          </w:tcPr>
          <w:p>
            <w:pPr>
              <w:pStyle w:val="TableParagraph"/>
              <w:spacing w:before="185"/>
              <w:ind w:left="142" w:right="122"/>
              <w:jc w:val="center"/>
              <w:rPr>
                <w:sz w:val="20"/>
              </w:rPr>
            </w:pPr>
            <w:r>
              <w:rPr>
                <w:spacing w:val="-2"/>
                <w:sz w:val="20"/>
              </w:rPr>
              <w:t>$95.9M</w:t>
            </w:r>
          </w:p>
        </w:tc>
        <w:tc>
          <w:tcPr>
            <w:tcW w:w="1047" w:type="dxa"/>
            <w:tcBorders>
              <w:top w:val="single" w:sz="4" w:space="0" w:color="BEBEBE"/>
              <w:left w:val="single" w:sz="4" w:space="0" w:color="BEBEBE"/>
              <w:bottom w:val="single" w:sz="4" w:space="0" w:color="BEBEBE"/>
              <w:right w:val="single" w:sz="4" w:space="0" w:color="BEBEBE"/>
            </w:tcBorders>
          </w:tcPr>
          <w:p>
            <w:pPr>
              <w:pStyle w:val="TableParagraph"/>
              <w:spacing w:before="185"/>
              <w:ind w:right="142"/>
              <w:jc w:val="right"/>
              <w:rPr>
                <w:sz w:val="20"/>
              </w:rPr>
            </w:pPr>
            <w:r>
              <w:rPr>
                <w:spacing w:val="-2"/>
                <w:sz w:val="20"/>
              </w:rPr>
              <w:t>$132.2M</w:t>
            </w:r>
          </w:p>
        </w:tc>
        <w:tc>
          <w:tcPr>
            <w:tcW w:w="1049" w:type="dxa"/>
            <w:tcBorders>
              <w:top w:val="single" w:sz="4" w:space="0" w:color="BEBEBE"/>
              <w:left w:val="single" w:sz="4" w:space="0" w:color="BEBEBE"/>
              <w:bottom w:val="single" w:sz="4" w:space="0" w:color="BEBEBE"/>
              <w:right w:val="single" w:sz="4" w:space="0" w:color="BEBEBE"/>
            </w:tcBorders>
          </w:tcPr>
          <w:p>
            <w:pPr>
              <w:pStyle w:val="TableParagraph"/>
              <w:spacing w:before="185"/>
              <w:ind w:left="119" w:right="101"/>
              <w:jc w:val="center"/>
              <w:rPr>
                <w:sz w:val="20"/>
              </w:rPr>
            </w:pPr>
            <w:r>
              <w:rPr>
                <w:spacing w:val="-2"/>
                <w:sz w:val="20"/>
              </w:rPr>
              <w:t>$133.6M</w:t>
            </w:r>
          </w:p>
        </w:tc>
        <w:tc>
          <w:tcPr>
            <w:tcW w:w="1047" w:type="dxa"/>
            <w:tcBorders>
              <w:top w:val="single" w:sz="4" w:space="0" w:color="BEBEBE"/>
              <w:left w:val="single" w:sz="4" w:space="0" w:color="BEBEBE"/>
              <w:bottom w:val="single" w:sz="4" w:space="0" w:color="BEBEBE"/>
              <w:right w:val="single" w:sz="4" w:space="0" w:color="BEBEBE"/>
            </w:tcBorders>
          </w:tcPr>
          <w:p>
            <w:pPr>
              <w:pStyle w:val="TableParagraph"/>
              <w:spacing w:before="185"/>
              <w:ind w:left="142" w:right="127"/>
              <w:jc w:val="center"/>
              <w:rPr>
                <w:sz w:val="20"/>
              </w:rPr>
            </w:pPr>
            <w:r>
              <w:rPr>
                <w:spacing w:val="-2"/>
                <w:sz w:val="20"/>
              </w:rPr>
              <w:t>$128.0M</w:t>
            </w:r>
          </w:p>
        </w:tc>
        <w:tc>
          <w:tcPr>
            <w:tcW w:w="1112" w:type="dxa"/>
            <w:tcBorders>
              <w:top w:val="single" w:sz="4" w:space="0" w:color="BEBEBE"/>
              <w:left w:val="single" w:sz="4" w:space="0" w:color="BEBEBE"/>
              <w:bottom w:val="single" w:sz="4" w:space="0" w:color="BEBEBE"/>
              <w:right w:val="single" w:sz="8" w:space="0" w:color="BEBEBE"/>
            </w:tcBorders>
          </w:tcPr>
          <w:p>
            <w:pPr>
              <w:pStyle w:val="TableParagraph"/>
              <w:spacing w:before="185"/>
              <w:ind w:left="98" w:right="84"/>
              <w:jc w:val="center"/>
              <w:rPr>
                <w:b/>
                <w:sz w:val="20"/>
              </w:rPr>
            </w:pPr>
            <w:r>
              <w:rPr>
                <w:b/>
                <w:spacing w:val="-2"/>
                <w:sz w:val="20"/>
              </w:rPr>
              <w:t>$546.6M</w:t>
            </w:r>
          </w:p>
        </w:tc>
        <w:tc>
          <w:tcPr>
            <w:tcW w:w="1047" w:type="dxa"/>
            <w:tcBorders>
              <w:top w:val="single" w:sz="4" w:space="0" w:color="BEBEBE"/>
              <w:left w:val="single" w:sz="8" w:space="0" w:color="BEBEBE"/>
              <w:bottom w:val="single" w:sz="4" w:space="0" w:color="BEBEBE"/>
              <w:right w:val="single" w:sz="8" w:space="0" w:color="BEBEBE"/>
            </w:tcBorders>
          </w:tcPr>
          <w:p>
            <w:pPr>
              <w:pStyle w:val="TableParagraph"/>
              <w:spacing w:before="185"/>
              <w:ind w:left="318"/>
              <w:rPr>
                <w:b/>
                <w:sz w:val="20"/>
              </w:rPr>
            </w:pPr>
            <w:r>
              <w:rPr>
                <w:b/>
                <w:spacing w:val="-5"/>
                <w:sz w:val="20"/>
              </w:rPr>
              <w:t>30%</w:t>
            </w:r>
          </w:p>
        </w:tc>
      </w:tr>
      <w:tr>
        <w:trPr>
          <w:trHeight w:val="460" w:hRule="atLeast"/>
        </w:trPr>
        <w:tc>
          <w:tcPr>
            <w:tcW w:w="2009" w:type="dxa"/>
            <w:tcBorders>
              <w:top w:val="single" w:sz="4" w:space="0" w:color="BEBEBE"/>
              <w:left w:val="single" w:sz="8" w:space="0" w:color="BEBEBE"/>
              <w:bottom w:val="single" w:sz="4" w:space="0" w:color="BEBEBE"/>
              <w:right w:val="single" w:sz="4" w:space="0" w:color="BEBEBE"/>
            </w:tcBorders>
            <w:shd w:val="clear" w:color="auto" w:fill="DCE6F0"/>
          </w:tcPr>
          <w:p>
            <w:pPr>
              <w:pStyle w:val="TableParagraph"/>
              <w:spacing w:line="230" w:lineRule="atLeast"/>
              <w:ind w:left="107" w:right="218"/>
              <w:rPr>
                <w:sz w:val="20"/>
              </w:rPr>
            </w:pPr>
            <w:r>
              <w:rPr>
                <w:spacing w:val="-2"/>
                <w:sz w:val="20"/>
              </w:rPr>
              <w:t>Statewide Investments</w:t>
            </w:r>
          </w:p>
        </w:tc>
        <w:tc>
          <w:tcPr>
            <w:tcW w:w="1049" w:type="dxa"/>
            <w:tcBorders>
              <w:top w:val="single" w:sz="4" w:space="0" w:color="BEBEBE"/>
              <w:left w:val="single" w:sz="4" w:space="0" w:color="BEBEBE"/>
              <w:bottom w:val="single" w:sz="4" w:space="0" w:color="BEBEBE"/>
              <w:right w:val="single" w:sz="4" w:space="0" w:color="BEBEBE"/>
            </w:tcBorders>
          </w:tcPr>
          <w:p>
            <w:pPr>
              <w:pStyle w:val="TableParagraph"/>
              <w:spacing w:before="115"/>
              <w:ind w:left="121" w:right="97"/>
              <w:jc w:val="center"/>
              <w:rPr>
                <w:sz w:val="20"/>
              </w:rPr>
            </w:pPr>
            <w:r>
              <w:rPr>
                <w:spacing w:val="-2"/>
                <w:sz w:val="20"/>
              </w:rPr>
              <w:t>$24.2M</w:t>
            </w:r>
          </w:p>
        </w:tc>
        <w:tc>
          <w:tcPr>
            <w:tcW w:w="1047" w:type="dxa"/>
            <w:tcBorders>
              <w:top w:val="single" w:sz="4" w:space="0" w:color="BEBEBE"/>
              <w:left w:val="single" w:sz="4" w:space="0" w:color="BEBEBE"/>
              <w:bottom w:val="single" w:sz="4" w:space="0" w:color="BEBEBE"/>
              <w:right w:val="single" w:sz="4" w:space="0" w:color="BEBEBE"/>
            </w:tcBorders>
          </w:tcPr>
          <w:p>
            <w:pPr>
              <w:pStyle w:val="TableParagraph"/>
              <w:spacing w:before="115"/>
              <w:ind w:left="142" w:right="122"/>
              <w:jc w:val="center"/>
              <w:rPr>
                <w:sz w:val="20"/>
              </w:rPr>
            </w:pPr>
            <w:r>
              <w:rPr>
                <w:spacing w:val="-2"/>
                <w:sz w:val="20"/>
              </w:rPr>
              <w:t>$24.6M</w:t>
            </w:r>
          </w:p>
        </w:tc>
        <w:tc>
          <w:tcPr>
            <w:tcW w:w="1047" w:type="dxa"/>
            <w:tcBorders>
              <w:top w:val="single" w:sz="4" w:space="0" w:color="BEBEBE"/>
              <w:left w:val="single" w:sz="4" w:space="0" w:color="BEBEBE"/>
              <w:bottom w:val="single" w:sz="4" w:space="0" w:color="BEBEBE"/>
              <w:right w:val="single" w:sz="4" w:space="0" w:color="BEBEBE"/>
            </w:tcBorders>
          </w:tcPr>
          <w:p>
            <w:pPr>
              <w:pStyle w:val="TableParagraph"/>
              <w:spacing w:before="115"/>
              <w:ind w:right="190"/>
              <w:jc w:val="right"/>
              <w:rPr>
                <w:sz w:val="20"/>
              </w:rPr>
            </w:pPr>
            <w:r>
              <w:rPr>
                <w:spacing w:val="-2"/>
                <w:sz w:val="20"/>
              </w:rPr>
              <w:t>$23.8M</w:t>
            </w:r>
          </w:p>
        </w:tc>
        <w:tc>
          <w:tcPr>
            <w:tcW w:w="1049" w:type="dxa"/>
            <w:tcBorders>
              <w:top w:val="single" w:sz="4" w:space="0" w:color="BEBEBE"/>
              <w:left w:val="single" w:sz="4" w:space="0" w:color="BEBEBE"/>
              <w:bottom w:val="single" w:sz="4" w:space="0" w:color="BEBEBE"/>
              <w:right w:val="single" w:sz="4" w:space="0" w:color="BEBEBE"/>
            </w:tcBorders>
          </w:tcPr>
          <w:p>
            <w:pPr>
              <w:pStyle w:val="TableParagraph"/>
              <w:spacing w:before="115"/>
              <w:ind w:left="121" w:right="100"/>
              <w:jc w:val="center"/>
              <w:rPr>
                <w:sz w:val="20"/>
              </w:rPr>
            </w:pPr>
            <w:r>
              <w:rPr>
                <w:spacing w:val="-2"/>
                <w:sz w:val="20"/>
              </w:rPr>
              <w:t>$24.8M</w:t>
            </w:r>
          </w:p>
        </w:tc>
        <w:tc>
          <w:tcPr>
            <w:tcW w:w="1047" w:type="dxa"/>
            <w:tcBorders>
              <w:top w:val="single" w:sz="4" w:space="0" w:color="BEBEBE"/>
              <w:left w:val="single" w:sz="4" w:space="0" w:color="BEBEBE"/>
              <w:bottom w:val="single" w:sz="4" w:space="0" w:color="BEBEBE"/>
              <w:right w:val="single" w:sz="4" w:space="0" w:color="BEBEBE"/>
            </w:tcBorders>
          </w:tcPr>
          <w:p>
            <w:pPr>
              <w:pStyle w:val="TableParagraph"/>
              <w:spacing w:before="115"/>
              <w:ind w:left="142" w:right="125"/>
              <w:jc w:val="center"/>
              <w:rPr>
                <w:sz w:val="20"/>
              </w:rPr>
            </w:pPr>
            <w:r>
              <w:rPr>
                <w:spacing w:val="-2"/>
                <w:sz w:val="20"/>
              </w:rPr>
              <w:t>$17.4M</w:t>
            </w:r>
          </w:p>
        </w:tc>
        <w:tc>
          <w:tcPr>
            <w:tcW w:w="1112" w:type="dxa"/>
            <w:tcBorders>
              <w:top w:val="single" w:sz="4" w:space="0" w:color="BEBEBE"/>
              <w:left w:val="single" w:sz="4" w:space="0" w:color="BEBEBE"/>
              <w:bottom w:val="single" w:sz="4" w:space="0" w:color="BEBEBE"/>
              <w:right w:val="single" w:sz="8" w:space="0" w:color="BEBEBE"/>
            </w:tcBorders>
          </w:tcPr>
          <w:p>
            <w:pPr>
              <w:pStyle w:val="TableParagraph"/>
              <w:spacing w:before="115"/>
              <w:ind w:left="98" w:right="84"/>
              <w:jc w:val="center"/>
              <w:rPr>
                <w:b/>
                <w:sz w:val="20"/>
              </w:rPr>
            </w:pPr>
            <w:r>
              <w:rPr>
                <w:b/>
                <w:spacing w:val="-2"/>
                <w:sz w:val="20"/>
              </w:rPr>
              <w:t>$114.8M</w:t>
            </w:r>
          </w:p>
        </w:tc>
        <w:tc>
          <w:tcPr>
            <w:tcW w:w="1047" w:type="dxa"/>
            <w:tcBorders>
              <w:top w:val="single" w:sz="4" w:space="0" w:color="BEBEBE"/>
              <w:left w:val="single" w:sz="8" w:space="0" w:color="BEBEBE"/>
              <w:bottom w:val="single" w:sz="4" w:space="0" w:color="BEBEBE"/>
              <w:right w:val="single" w:sz="8" w:space="0" w:color="BEBEBE"/>
            </w:tcBorders>
          </w:tcPr>
          <w:p>
            <w:pPr>
              <w:pStyle w:val="TableParagraph"/>
              <w:spacing w:before="115"/>
              <w:ind w:left="368"/>
              <w:rPr>
                <w:b/>
                <w:sz w:val="20"/>
              </w:rPr>
            </w:pPr>
            <w:r>
              <w:rPr>
                <w:b/>
                <w:spacing w:val="-5"/>
                <w:sz w:val="20"/>
              </w:rPr>
              <w:t>6%</w:t>
            </w:r>
          </w:p>
        </w:tc>
      </w:tr>
      <w:tr>
        <w:trPr>
          <w:trHeight w:val="599" w:hRule="atLeast"/>
        </w:trPr>
        <w:tc>
          <w:tcPr>
            <w:tcW w:w="2009" w:type="dxa"/>
            <w:tcBorders>
              <w:top w:val="single" w:sz="4" w:space="0" w:color="BEBEBE"/>
              <w:left w:val="single" w:sz="8" w:space="0" w:color="BEBEBE"/>
              <w:bottom w:val="single" w:sz="4" w:space="0" w:color="BEBEBE"/>
              <w:right w:val="single" w:sz="4" w:space="0" w:color="BEBEBE"/>
            </w:tcBorders>
            <w:shd w:val="clear" w:color="auto" w:fill="DCE6F0"/>
          </w:tcPr>
          <w:p>
            <w:pPr>
              <w:pStyle w:val="TableParagraph"/>
              <w:spacing w:before="70"/>
              <w:ind w:left="107"/>
              <w:rPr>
                <w:sz w:val="20"/>
              </w:rPr>
            </w:pPr>
            <w:r>
              <w:rPr>
                <w:sz w:val="20"/>
              </w:rPr>
              <w:t>State</w:t>
            </w:r>
            <w:r>
              <w:rPr>
                <w:spacing w:val="-13"/>
                <w:sz w:val="20"/>
              </w:rPr>
              <w:t> </w:t>
            </w:r>
            <w:r>
              <w:rPr>
                <w:sz w:val="20"/>
              </w:rPr>
              <w:t>Operations</w:t>
            </w:r>
            <w:r>
              <w:rPr>
                <w:spacing w:val="-12"/>
                <w:sz w:val="20"/>
              </w:rPr>
              <w:t> </w:t>
            </w:r>
            <w:r>
              <w:rPr>
                <w:sz w:val="20"/>
              </w:rPr>
              <w:t>and </w:t>
            </w:r>
            <w:r>
              <w:rPr>
                <w:spacing w:val="-2"/>
                <w:sz w:val="20"/>
              </w:rPr>
              <w:t>Implementation</w:t>
            </w:r>
          </w:p>
        </w:tc>
        <w:tc>
          <w:tcPr>
            <w:tcW w:w="1049" w:type="dxa"/>
            <w:tcBorders>
              <w:top w:val="single" w:sz="4" w:space="0" w:color="BEBEBE"/>
              <w:left w:val="single" w:sz="4" w:space="0" w:color="BEBEBE"/>
              <w:bottom w:val="single" w:sz="4" w:space="0" w:color="BEBEBE"/>
              <w:right w:val="single" w:sz="4" w:space="0" w:color="BEBEBE"/>
            </w:tcBorders>
          </w:tcPr>
          <w:p>
            <w:pPr>
              <w:pStyle w:val="TableParagraph"/>
              <w:spacing w:before="185"/>
              <w:ind w:left="121" w:right="97"/>
              <w:jc w:val="center"/>
              <w:rPr>
                <w:sz w:val="20"/>
              </w:rPr>
            </w:pPr>
            <w:r>
              <w:rPr>
                <w:spacing w:val="-2"/>
                <w:sz w:val="20"/>
              </w:rPr>
              <w:t>$14.6M</w:t>
            </w:r>
          </w:p>
        </w:tc>
        <w:tc>
          <w:tcPr>
            <w:tcW w:w="1047" w:type="dxa"/>
            <w:tcBorders>
              <w:top w:val="single" w:sz="4" w:space="0" w:color="BEBEBE"/>
              <w:left w:val="single" w:sz="4" w:space="0" w:color="BEBEBE"/>
              <w:bottom w:val="single" w:sz="4" w:space="0" w:color="BEBEBE"/>
              <w:right w:val="single" w:sz="4" w:space="0" w:color="BEBEBE"/>
            </w:tcBorders>
          </w:tcPr>
          <w:p>
            <w:pPr>
              <w:pStyle w:val="TableParagraph"/>
              <w:spacing w:before="185"/>
              <w:ind w:left="142" w:right="122"/>
              <w:jc w:val="center"/>
              <w:rPr>
                <w:sz w:val="20"/>
              </w:rPr>
            </w:pPr>
            <w:r>
              <w:rPr>
                <w:spacing w:val="-2"/>
                <w:sz w:val="20"/>
              </w:rPr>
              <w:t>$14.6M</w:t>
            </w:r>
          </w:p>
        </w:tc>
        <w:tc>
          <w:tcPr>
            <w:tcW w:w="1047" w:type="dxa"/>
            <w:tcBorders>
              <w:top w:val="single" w:sz="4" w:space="0" w:color="BEBEBE"/>
              <w:left w:val="single" w:sz="4" w:space="0" w:color="BEBEBE"/>
              <w:bottom w:val="single" w:sz="4" w:space="0" w:color="BEBEBE"/>
              <w:right w:val="single" w:sz="4" w:space="0" w:color="BEBEBE"/>
            </w:tcBorders>
          </w:tcPr>
          <w:p>
            <w:pPr>
              <w:pStyle w:val="TableParagraph"/>
              <w:spacing w:before="185"/>
              <w:ind w:right="190"/>
              <w:jc w:val="right"/>
              <w:rPr>
                <w:sz w:val="20"/>
              </w:rPr>
            </w:pPr>
            <w:r>
              <w:rPr>
                <w:spacing w:val="-2"/>
                <w:sz w:val="20"/>
              </w:rPr>
              <w:t>$14.6M</w:t>
            </w:r>
          </w:p>
        </w:tc>
        <w:tc>
          <w:tcPr>
            <w:tcW w:w="1049" w:type="dxa"/>
            <w:tcBorders>
              <w:top w:val="single" w:sz="4" w:space="0" w:color="BEBEBE"/>
              <w:left w:val="single" w:sz="4" w:space="0" w:color="BEBEBE"/>
              <w:bottom w:val="single" w:sz="4" w:space="0" w:color="BEBEBE"/>
              <w:right w:val="single" w:sz="4" w:space="0" w:color="BEBEBE"/>
            </w:tcBorders>
          </w:tcPr>
          <w:p>
            <w:pPr>
              <w:pStyle w:val="TableParagraph"/>
              <w:spacing w:before="185"/>
              <w:ind w:left="121" w:right="100"/>
              <w:jc w:val="center"/>
              <w:rPr>
                <w:sz w:val="20"/>
              </w:rPr>
            </w:pPr>
            <w:r>
              <w:rPr>
                <w:spacing w:val="-2"/>
                <w:sz w:val="20"/>
              </w:rPr>
              <w:t>$14.6M</w:t>
            </w:r>
          </w:p>
        </w:tc>
        <w:tc>
          <w:tcPr>
            <w:tcW w:w="1047" w:type="dxa"/>
            <w:tcBorders>
              <w:top w:val="single" w:sz="4" w:space="0" w:color="BEBEBE"/>
              <w:left w:val="single" w:sz="4" w:space="0" w:color="BEBEBE"/>
              <w:bottom w:val="single" w:sz="4" w:space="0" w:color="BEBEBE"/>
              <w:right w:val="single" w:sz="4" w:space="0" w:color="BEBEBE"/>
            </w:tcBorders>
          </w:tcPr>
          <w:p>
            <w:pPr>
              <w:pStyle w:val="TableParagraph"/>
              <w:spacing w:before="185"/>
              <w:ind w:left="142" w:right="125"/>
              <w:jc w:val="center"/>
              <w:rPr>
                <w:sz w:val="20"/>
              </w:rPr>
            </w:pPr>
            <w:r>
              <w:rPr>
                <w:spacing w:val="-2"/>
                <w:sz w:val="20"/>
              </w:rPr>
              <w:t>$14.6M</w:t>
            </w:r>
          </w:p>
        </w:tc>
        <w:tc>
          <w:tcPr>
            <w:tcW w:w="1112" w:type="dxa"/>
            <w:tcBorders>
              <w:top w:val="single" w:sz="4" w:space="0" w:color="BEBEBE"/>
              <w:left w:val="single" w:sz="4" w:space="0" w:color="BEBEBE"/>
              <w:bottom w:val="single" w:sz="4" w:space="0" w:color="BEBEBE"/>
              <w:right w:val="single" w:sz="8" w:space="0" w:color="BEBEBE"/>
            </w:tcBorders>
          </w:tcPr>
          <w:p>
            <w:pPr>
              <w:pStyle w:val="TableParagraph"/>
              <w:spacing w:before="185"/>
              <w:ind w:left="101" w:right="84"/>
              <w:jc w:val="center"/>
              <w:rPr>
                <w:b/>
                <w:sz w:val="20"/>
              </w:rPr>
            </w:pPr>
            <w:r>
              <w:rPr>
                <w:b/>
                <w:spacing w:val="-2"/>
                <w:sz w:val="20"/>
              </w:rPr>
              <w:t>$73.0M</w:t>
            </w:r>
          </w:p>
        </w:tc>
        <w:tc>
          <w:tcPr>
            <w:tcW w:w="1047" w:type="dxa"/>
            <w:tcBorders>
              <w:top w:val="single" w:sz="4" w:space="0" w:color="BEBEBE"/>
              <w:left w:val="single" w:sz="8" w:space="0" w:color="BEBEBE"/>
              <w:bottom w:val="single" w:sz="4" w:space="0" w:color="BEBEBE"/>
              <w:right w:val="single" w:sz="8" w:space="0" w:color="BEBEBE"/>
            </w:tcBorders>
          </w:tcPr>
          <w:p>
            <w:pPr>
              <w:pStyle w:val="TableParagraph"/>
              <w:spacing w:before="185"/>
              <w:ind w:left="368"/>
              <w:rPr>
                <w:b/>
                <w:sz w:val="20"/>
              </w:rPr>
            </w:pPr>
            <w:r>
              <w:rPr>
                <w:b/>
                <w:spacing w:val="-5"/>
                <w:sz w:val="20"/>
              </w:rPr>
              <w:t>4%</w:t>
            </w:r>
          </w:p>
        </w:tc>
      </w:tr>
      <w:tr>
        <w:trPr>
          <w:trHeight w:val="308" w:hRule="atLeast"/>
        </w:trPr>
        <w:tc>
          <w:tcPr>
            <w:tcW w:w="2009" w:type="dxa"/>
            <w:tcBorders>
              <w:top w:val="single" w:sz="4" w:space="0" w:color="BEBEBE"/>
              <w:left w:val="single" w:sz="8" w:space="0" w:color="BEBEBE"/>
              <w:right w:val="single" w:sz="4" w:space="0" w:color="BEBEBE"/>
            </w:tcBorders>
            <w:shd w:val="clear" w:color="auto" w:fill="D9D9D9"/>
          </w:tcPr>
          <w:p>
            <w:pPr>
              <w:pStyle w:val="TableParagraph"/>
              <w:spacing w:before="43"/>
              <w:ind w:left="107"/>
              <w:rPr>
                <w:b/>
                <w:sz w:val="20"/>
              </w:rPr>
            </w:pPr>
            <w:r>
              <w:rPr>
                <w:b/>
                <w:spacing w:val="-2"/>
                <w:sz w:val="20"/>
              </w:rPr>
              <w:t>Total:</w:t>
            </w:r>
          </w:p>
        </w:tc>
        <w:tc>
          <w:tcPr>
            <w:tcW w:w="1049" w:type="dxa"/>
            <w:tcBorders>
              <w:top w:val="single" w:sz="4" w:space="0" w:color="BEBEBE"/>
              <w:left w:val="single" w:sz="4" w:space="0" w:color="BEBEBE"/>
              <w:right w:val="single" w:sz="4" w:space="0" w:color="BEBEBE"/>
            </w:tcBorders>
            <w:shd w:val="clear" w:color="auto" w:fill="D9D9D9"/>
          </w:tcPr>
          <w:p>
            <w:pPr>
              <w:pStyle w:val="TableParagraph"/>
              <w:spacing w:before="43"/>
              <w:ind w:left="120" w:right="101"/>
              <w:jc w:val="center"/>
              <w:rPr>
                <w:b/>
                <w:sz w:val="20"/>
              </w:rPr>
            </w:pPr>
            <w:r>
              <w:rPr>
                <w:b/>
                <w:spacing w:val="-2"/>
                <w:sz w:val="20"/>
              </w:rPr>
              <w:t>$425.0M</w:t>
            </w:r>
          </w:p>
        </w:tc>
        <w:tc>
          <w:tcPr>
            <w:tcW w:w="1047" w:type="dxa"/>
            <w:tcBorders>
              <w:top w:val="single" w:sz="4" w:space="0" w:color="BEBEBE"/>
              <w:left w:val="single" w:sz="4" w:space="0" w:color="BEBEBE"/>
              <w:right w:val="single" w:sz="4" w:space="0" w:color="BEBEBE"/>
            </w:tcBorders>
            <w:shd w:val="clear" w:color="auto" w:fill="D9D9D9"/>
          </w:tcPr>
          <w:p>
            <w:pPr>
              <w:pStyle w:val="TableParagraph"/>
              <w:spacing w:before="43"/>
              <w:ind w:left="142" w:right="126"/>
              <w:jc w:val="center"/>
              <w:rPr>
                <w:b/>
                <w:sz w:val="20"/>
              </w:rPr>
            </w:pPr>
            <w:r>
              <w:rPr>
                <w:b/>
                <w:spacing w:val="-2"/>
                <w:sz w:val="20"/>
              </w:rPr>
              <w:t>$425.0M</w:t>
            </w:r>
          </w:p>
        </w:tc>
        <w:tc>
          <w:tcPr>
            <w:tcW w:w="1047" w:type="dxa"/>
            <w:tcBorders>
              <w:top w:val="single" w:sz="4" w:space="0" w:color="BEBEBE"/>
              <w:left w:val="single" w:sz="4" w:space="0" w:color="BEBEBE"/>
              <w:right w:val="single" w:sz="4" w:space="0" w:color="BEBEBE"/>
            </w:tcBorders>
            <w:shd w:val="clear" w:color="auto" w:fill="D9D9D9"/>
          </w:tcPr>
          <w:p>
            <w:pPr>
              <w:pStyle w:val="TableParagraph"/>
              <w:spacing w:before="43"/>
              <w:ind w:right="140"/>
              <w:jc w:val="right"/>
              <w:rPr>
                <w:b/>
                <w:sz w:val="20"/>
              </w:rPr>
            </w:pPr>
            <w:r>
              <w:rPr>
                <w:b/>
                <w:spacing w:val="-2"/>
                <w:sz w:val="20"/>
              </w:rPr>
              <w:t>$400.0M</w:t>
            </w:r>
          </w:p>
        </w:tc>
        <w:tc>
          <w:tcPr>
            <w:tcW w:w="1049" w:type="dxa"/>
            <w:tcBorders>
              <w:top w:val="single" w:sz="4" w:space="0" w:color="BEBEBE"/>
              <w:left w:val="single" w:sz="4" w:space="0" w:color="BEBEBE"/>
              <w:right w:val="single" w:sz="4" w:space="0" w:color="BEBEBE"/>
            </w:tcBorders>
            <w:shd w:val="clear" w:color="auto" w:fill="D9D9D9"/>
          </w:tcPr>
          <w:p>
            <w:pPr>
              <w:pStyle w:val="TableParagraph"/>
              <w:spacing w:before="43"/>
              <w:ind w:left="117" w:right="101"/>
              <w:jc w:val="center"/>
              <w:rPr>
                <w:b/>
                <w:sz w:val="20"/>
              </w:rPr>
            </w:pPr>
            <w:r>
              <w:rPr>
                <w:b/>
                <w:spacing w:val="-2"/>
                <w:sz w:val="20"/>
              </w:rPr>
              <w:t>$325.0M</w:t>
            </w:r>
          </w:p>
        </w:tc>
        <w:tc>
          <w:tcPr>
            <w:tcW w:w="1047" w:type="dxa"/>
            <w:tcBorders>
              <w:top w:val="single" w:sz="4" w:space="0" w:color="BEBEBE"/>
              <w:left w:val="single" w:sz="4" w:space="0" w:color="BEBEBE"/>
              <w:right w:val="single" w:sz="4" w:space="0" w:color="BEBEBE"/>
            </w:tcBorders>
            <w:shd w:val="clear" w:color="auto" w:fill="D9D9D9"/>
          </w:tcPr>
          <w:p>
            <w:pPr>
              <w:pStyle w:val="TableParagraph"/>
              <w:spacing w:before="43"/>
              <w:ind w:left="141" w:right="128"/>
              <w:jc w:val="center"/>
              <w:rPr>
                <w:b/>
                <w:sz w:val="20"/>
              </w:rPr>
            </w:pPr>
            <w:r>
              <w:rPr>
                <w:b/>
                <w:spacing w:val="-2"/>
                <w:sz w:val="20"/>
              </w:rPr>
              <w:t>$225.0M</w:t>
            </w:r>
          </w:p>
        </w:tc>
        <w:tc>
          <w:tcPr>
            <w:tcW w:w="1112" w:type="dxa"/>
            <w:tcBorders>
              <w:top w:val="single" w:sz="4" w:space="0" w:color="BEBEBE"/>
              <w:left w:val="single" w:sz="4" w:space="0" w:color="BEBEBE"/>
              <w:right w:val="single" w:sz="8" w:space="0" w:color="BEBEBE"/>
            </w:tcBorders>
            <w:shd w:val="clear" w:color="auto" w:fill="D9D9D9"/>
          </w:tcPr>
          <w:p>
            <w:pPr>
              <w:pStyle w:val="TableParagraph"/>
              <w:spacing w:before="43"/>
              <w:ind w:left="101" w:right="84"/>
              <w:jc w:val="center"/>
              <w:rPr>
                <w:b/>
                <w:sz w:val="20"/>
              </w:rPr>
            </w:pPr>
            <w:r>
              <w:rPr>
                <w:b/>
                <w:spacing w:val="-2"/>
                <w:sz w:val="20"/>
              </w:rPr>
              <w:t>$1,800.0M</w:t>
            </w:r>
          </w:p>
        </w:tc>
        <w:tc>
          <w:tcPr>
            <w:tcW w:w="1047" w:type="dxa"/>
            <w:tcBorders>
              <w:top w:val="single" w:sz="4" w:space="0" w:color="BEBEBE"/>
              <w:left w:val="single" w:sz="8" w:space="0" w:color="BEBEBE"/>
              <w:right w:val="single" w:sz="8" w:space="0" w:color="BEBEBE"/>
            </w:tcBorders>
            <w:shd w:val="clear" w:color="auto" w:fill="D9D9D9"/>
          </w:tcPr>
          <w:p>
            <w:pPr>
              <w:pStyle w:val="TableParagraph"/>
              <w:rPr>
                <w:sz w:val="20"/>
              </w:rPr>
            </w:pPr>
          </w:p>
        </w:tc>
      </w:tr>
    </w:tbl>
    <w:p>
      <w:pPr>
        <w:spacing w:before="0"/>
        <w:ind w:left="1220" w:right="0" w:firstLine="0"/>
        <w:jc w:val="both"/>
        <w:rPr>
          <w:i/>
          <w:sz w:val="18"/>
        </w:rPr>
      </w:pPr>
      <w:r>
        <w:rPr>
          <w:sz w:val="18"/>
        </w:rPr>
        <w:t>*</w:t>
      </w:r>
      <w:r>
        <w:rPr>
          <w:i/>
          <w:sz w:val="18"/>
        </w:rPr>
        <w:t>Percentages</w:t>
      </w:r>
      <w:r>
        <w:rPr>
          <w:i/>
          <w:spacing w:val="-1"/>
          <w:sz w:val="18"/>
        </w:rPr>
        <w:t> </w:t>
      </w:r>
      <w:r>
        <w:rPr>
          <w:i/>
          <w:sz w:val="18"/>
        </w:rPr>
        <w:t>do</w:t>
      </w:r>
      <w:r>
        <w:rPr>
          <w:i/>
          <w:spacing w:val="-2"/>
          <w:sz w:val="18"/>
        </w:rPr>
        <w:t> </w:t>
      </w:r>
      <w:r>
        <w:rPr>
          <w:i/>
          <w:sz w:val="18"/>
        </w:rPr>
        <w:t>not</w:t>
      </w:r>
      <w:r>
        <w:rPr>
          <w:i/>
          <w:spacing w:val="-2"/>
          <w:sz w:val="18"/>
        </w:rPr>
        <w:t> </w:t>
      </w:r>
      <w:r>
        <w:rPr>
          <w:i/>
          <w:sz w:val="18"/>
        </w:rPr>
        <w:t>sum</w:t>
      </w:r>
      <w:r>
        <w:rPr>
          <w:i/>
          <w:spacing w:val="-1"/>
          <w:sz w:val="18"/>
        </w:rPr>
        <w:t> </w:t>
      </w:r>
      <w:r>
        <w:rPr>
          <w:i/>
          <w:sz w:val="18"/>
        </w:rPr>
        <w:t>to 100%</w:t>
      </w:r>
      <w:r>
        <w:rPr>
          <w:i/>
          <w:spacing w:val="-3"/>
          <w:sz w:val="18"/>
        </w:rPr>
        <w:t> </w:t>
      </w:r>
      <w:r>
        <w:rPr>
          <w:i/>
          <w:sz w:val="18"/>
        </w:rPr>
        <w:t>due</w:t>
      </w:r>
      <w:r>
        <w:rPr>
          <w:i/>
          <w:spacing w:val="-2"/>
          <w:sz w:val="18"/>
        </w:rPr>
        <w:t> </w:t>
      </w:r>
      <w:r>
        <w:rPr>
          <w:i/>
          <w:sz w:val="18"/>
        </w:rPr>
        <w:t>to</w:t>
      </w:r>
      <w:r>
        <w:rPr>
          <w:i/>
          <w:spacing w:val="1"/>
          <w:sz w:val="18"/>
        </w:rPr>
        <w:t> </w:t>
      </w:r>
      <w:r>
        <w:rPr>
          <w:i/>
          <w:spacing w:val="-2"/>
          <w:sz w:val="18"/>
        </w:rPr>
        <w:t>rounding</w:t>
      </w:r>
    </w:p>
    <w:p>
      <w:pPr>
        <w:pStyle w:val="BodyText"/>
        <w:rPr>
          <w:i/>
          <w:sz w:val="17"/>
        </w:rPr>
      </w:pPr>
    </w:p>
    <w:p>
      <w:pPr>
        <w:pStyle w:val="Heading5"/>
        <w:numPr>
          <w:ilvl w:val="2"/>
          <w:numId w:val="62"/>
        </w:numPr>
        <w:tabs>
          <w:tab w:pos="1940" w:val="left" w:leader="none"/>
        </w:tabs>
        <w:spacing w:line="240" w:lineRule="auto" w:before="1" w:after="0"/>
        <w:ind w:left="1940" w:right="0" w:hanging="720"/>
        <w:jc w:val="both"/>
      </w:pPr>
      <w:bookmarkStart w:name="1.4.1 Accountable Care Organizations" w:id="1226"/>
      <w:bookmarkEnd w:id="1226"/>
      <w:r>
        <w:rPr>
          <w:b w:val="0"/>
        </w:rPr>
      </w:r>
      <w:bookmarkStart w:name="_bookmark13" w:id="1227"/>
      <w:bookmarkEnd w:id="1227"/>
      <w:r>
        <w:rPr>
          <w:b w:val="0"/>
        </w:rPr>
      </w:r>
      <w:r>
        <w:rPr>
          <w:color w:val="4471C4"/>
        </w:rPr>
        <w:t>Accountable</w:t>
      </w:r>
      <w:r>
        <w:rPr>
          <w:color w:val="4471C4"/>
          <w:spacing w:val="-4"/>
        </w:rPr>
        <w:t> </w:t>
      </w:r>
      <w:r>
        <w:rPr>
          <w:color w:val="4471C4"/>
        </w:rPr>
        <w:t>Care</w:t>
      </w:r>
      <w:r>
        <w:rPr>
          <w:color w:val="4471C4"/>
          <w:spacing w:val="-4"/>
        </w:rPr>
        <w:t> </w:t>
      </w:r>
      <w:r>
        <w:rPr>
          <w:color w:val="4471C4"/>
          <w:spacing w:val="-2"/>
        </w:rPr>
        <w:t>Organizations</w:t>
      </w:r>
    </w:p>
    <w:p>
      <w:pPr>
        <w:spacing w:line="240" w:lineRule="auto" w:before="40"/>
        <w:ind w:left="1220" w:right="1094" w:firstLine="0"/>
        <w:jc w:val="both"/>
        <w:rPr>
          <w:sz w:val="22"/>
        </w:rPr>
      </w:pPr>
      <w:r>
        <w:rPr>
          <w:sz w:val="22"/>
        </w:rPr>
        <w:t>To</w:t>
      </w:r>
      <w:r>
        <w:rPr>
          <w:spacing w:val="-10"/>
          <w:sz w:val="22"/>
        </w:rPr>
        <w:t> </w:t>
      </w:r>
      <w:r>
        <w:rPr>
          <w:sz w:val="22"/>
        </w:rPr>
        <w:t>achieve</w:t>
      </w:r>
      <w:r>
        <w:rPr>
          <w:spacing w:val="-9"/>
          <w:sz w:val="22"/>
        </w:rPr>
        <w:t> </w:t>
      </w:r>
      <w:r>
        <w:rPr>
          <w:sz w:val="22"/>
        </w:rPr>
        <w:t>Massachusetts’</w:t>
      </w:r>
      <w:r>
        <w:rPr>
          <w:spacing w:val="-11"/>
          <w:sz w:val="22"/>
        </w:rPr>
        <w:t> </w:t>
      </w:r>
      <w:r>
        <w:rPr>
          <w:sz w:val="22"/>
        </w:rPr>
        <w:t>DSRIP</w:t>
      </w:r>
      <w:r>
        <w:rPr>
          <w:spacing w:val="-7"/>
          <w:sz w:val="22"/>
        </w:rPr>
        <w:t> </w:t>
      </w:r>
      <w:r>
        <w:rPr>
          <w:sz w:val="22"/>
        </w:rPr>
        <w:t>goals</w:t>
      </w:r>
      <w:r>
        <w:rPr>
          <w:spacing w:val="-9"/>
          <w:sz w:val="22"/>
        </w:rPr>
        <w:t> </w:t>
      </w:r>
      <w:r>
        <w:rPr>
          <w:sz w:val="22"/>
        </w:rPr>
        <w:t>as</w:t>
      </w:r>
      <w:r>
        <w:rPr>
          <w:spacing w:val="-9"/>
          <w:sz w:val="22"/>
        </w:rPr>
        <w:t> </w:t>
      </w:r>
      <w:r>
        <w:rPr>
          <w:sz w:val="22"/>
        </w:rPr>
        <w:t>described</w:t>
      </w:r>
      <w:r>
        <w:rPr>
          <w:spacing w:val="-10"/>
          <w:sz w:val="22"/>
        </w:rPr>
        <w:t> </w:t>
      </w:r>
      <w:r>
        <w:rPr>
          <w:sz w:val="22"/>
        </w:rPr>
        <w:t>above,</w:t>
      </w:r>
      <w:r>
        <w:rPr>
          <w:spacing w:val="-10"/>
          <w:sz w:val="22"/>
        </w:rPr>
        <w:t> </w:t>
      </w:r>
      <w:r>
        <w:rPr>
          <w:sz w:val="22"/>
        </w:rPr>
        <w:t>the</w:t>
      </w:r>
      <w:r>
        <w:rPr>
          <w:spacing w:val="-9"/>
          <w:sz w:val="22"/>
        </w:rPr>
        <w:t> </w:t>
      </w:r>
      <w:r>
        <w:rPr>
          <w:sz w:val="22"/>
        </w:rPr>
        <w:t>State</w:t>
      </w:r>
      <w:r>
        <w:rPr>
          <w:spacing w:val="-9"/>
          <w:sz w:val="22"/>
        </w:rPr>
        <w:t> </w:t>
      </w:r>
      <w:r>
        <w:rPr>
          <w:sz w:val="22"/>
        </w:rPr>
        <w:t>intends</w:t>
      </w:r>
      <w:r>
        <w:rPr>
          <w:spacing w:val="-9"/>
          <w:sz w:val="22"/>
        </w:rPr>
        <w:t> </w:t>
      </w:r>
      <w:r>
        <w:rPr>
          <w:sz w:val="22"/>
        </w:rPr>
        <w:t>to</w:t>
      </w:r>
      <w:r>
        <w:rPr>
          <w:spacing w:val="-10"/>
          <w:sz w:val="22"/>
        </w:rPr>
        <w:t> </w:t>
      </w:r>
      <w:r>
        <w:rPr>
          <w:sz w:val="22"/>
        </w:rPr>
        <w:t>launch</w:t>
      </w:r>
      <w:r>
        <w:rPr>
          <w:spacing w:val="-10"/>
          <w:sz w:val="22"/>
        </w:rPr>
        <w:t> </w:t>
      </w:r>
      <w:r>
        <w:rPr>
          <w:sz w:val="22"/>
        </w:rPr>
        <w:t>a</w:t>
      </w:r>
      <w:r>
        <w:rPr>
          <w:spacing w:val="-9"/>
          <w:sz w:val="22"/>
        </w:rPr>
        <w:t> </w:t>
      </w:r>
      <w:r>
        <w:rPr>
          <w:sz w:val="22"/>
        </w:rPr>
        <w:t>new</w:t>
      </w:r>
      <w:r>
        <w:rPr>
          <w:spacing w:val="-11"/>
          <w:sz w:val="22"/>
        </w:rPr>
        <w:t> </w:t>
      </w:r>
      <w:r>
        <w:rPr>
          <w:sz w:val="22"/>
        </w:rPr>
        <w:t>Accountable Care Organization program. Massachusetts has designed three ACO payment models that respond to the diversity of the State’s delivery system, and intends to select ACOs across all three models through a competitive procurement. Massachusetts intends to contract with ACOs across all three ACO models starting in 2017.</w:t>
      </w:r>
    </w:p>
    <w:p>
      <w:pPr>
        <w:spacing w:before="163"/>
        <w:ind w:left="1220" w:right="0" w:firstLine="0"/>
        <w:jc w:val="both"/>
        <w:rPr>
          <w:sz w:val="22"/>
        </w:rPr>
      </w:pPr>
      <w:r>
        <w:rPr>
          <w:sz w:val="22"/>
        </w:rPr>
        <w:t>Massachusetts’</w:t>
      </w:r>
      <w:r>
        <w:rPr>
          <w:spacing w:val="-4"/>
          <w:sz w:val="22"/>
        </w:rPr>
        <w:t> </w:t>
      </w:r>
      <w:r>
        <w:rPr>
          <w:sz w:val="22"/>
        </w:rPr>
        <w:t>three</w:t>
      </w:r>
      <w:r>
        <w:rPr>
          <w:spacing w:val="-5"/>
          <w:sz w:val="22"/>
        </w:rPr>
        <w:t> </w:t>
      </w:r>
      <w:r>
        <w:rPr>
          <w:sz w:val="22"/>
        </w:rPr>
        <w:t>ACO</w:t>
      </w:r>
      <w:r>
        <w:rPr>
          <w:spacing w:val="-5"/>
          <w:sz w:val="22"/>
        </w:rPr>
        <w:t> </w:t>
      </w:r>
      <w:r>
        <w:rPr>
          <w:sz w:val="22"/>
        </w:rPr>
        <w:t>models</w:t>
      </w:r>
      <w:r>
        <w:rPr>
          <w:spacing w:val="-4"/>
          <w:sz w:val="22"/>
        </w:rPr>
        <w:t> are:</w:t>
      </w:r>
    </w:p>
    <w:p>
      <w:pPr>
        <w:pStyle w:val="ListParagraph"/>
        <w:numPr>
          <w:ilvl w:val="3"/>
          <w:numId w:val="62"/>
        </w:numPr>
        <w:tabs>
          <w:tab w:pos="1938" w:val="left" w:leader="none"/>
          <w:tab w:pos="1940" w:val="left" w:leader="none"/>
        </w:tabs>
        <w:spacing w:line="240" w:lineRule="auto" w:before="158" w:after="0"/>
        <w:ind w:left="1940" w:right="1094" w:hanging="361"/>
        <w:jc w:val="both"/>
        <w:rPr>
          <w:sz w:val="22"/>
        </w:rPr>
      </w:pPr>
      <w:r>
        <w:rPr>
          <w:b/>
          <w:sz w:val="22"/>
        </w:rPr>
        <w:t>Accountable Care Partnership Plan (a Partnership Plan)</w:t>
      </w:r>
      <w:r>
        <w:rPr>
          <w:sz w:val="22"/>
        </w:rPr>
        <w:t>: either a MCO with a separate, designated ACO partner, or a single, integrated entity that meets the requirements of both. Partnership Plans are vertically integrated between the health plan and ACO delivery system, and take accountability for the cost and quality of care under prospective capitation</w:t>
      </w:r>
    </w:p>
    <w:p>
      <w:pPr>
        <w:pStyle w:val="ListParagraph"/>
        <w:numPr>
          <w:ilvl w:val="3"/>
          <w:numId w:val="62"/>
        </w:numPr>
        <w:tabs>
          <w:tab w:pos="1940" w:val="left" w:leader="none"/>
        </w:tabs>
        <w:spacing w:line="240" w:lineRule="auto" w:before="198" w:after="0"/>
        <w:ind w:left="1940" w:right="1095" w:hanging="360"/>
        <w:jc w:val="both"/>
        <w:rPr>
          <w:sz w:val="22"/>
        </w:rPr>
      </w:pPr>
      <w:r>
        <w:rPr>
          <w:b/>
          <w:sz w:val="22"/>
        </w:rPr>
        <w:t>Primary Care Accountable Care Organization</w:t>
      </w:r>
      <w:r>
        <w:rPr>
          <w:sz w:val="22"/>
        </w:rPr>
        <w:t>: a provider-led health care system or other provider-based organization, contracting directly with MassHealth, with savings and risk shared </w:t>
      </w:r>
      <w:r>
        <w:rPr>
          <w:spacing w:val="-2"/>
          <w:sz w:val="22"/>
        </w:rPr>
        <w:t>retrospectively</w:t>
      </w:r>
    </w:p>
    <w:p>
      <w:pPr>
        <w:pStyle w:val="ListParagraph"/>
        <w:numPr>
          <w:ilvl w:val="3"/>
          <w:numId w:val="62"/>
        </w:numPr>
        <w:tabs>
          <w:tab w:pos="1938" w:val="left" w:leader="none"/>
          <w:tab w:pos="1940" w:val="left" w:leader="none"/>
        </w:tabs>
        <w:spacing w:line="240" w:lineRule="auto" w:before="199" w:after="0"/>
        <w:ind w:left="1940" w:right="1095" w:hanging="361"/>
        <w:jc w:val="both"/>
        <w:rPr>
          <w:sz w:val="22"/>
        </w:rPr>
      </w:pPr>
      <w:r>
        <w:rPr>
          <w:b/>
          <w:sz w:val="22"/>
        </w:rPr>
        <w:t>MCO</w:t>
      </w:r>
      <w:r>
        <w:rPr>
          <w:sz w:val="22"/>
        </w:rPr>
        <w:t>-</w:t>
      </w:r>
      <w:r>
        <w:rPr>
          <w:b/>
          <w:sz w:val="22"/>
        </w:rPr>
        <w:t>Administered</w:t>
      </w:r>
      <w:r>
        <w:rPr>
          <w:b/>
          <w:spacing w:val="-14"/>
          <w:sz w:val="22"/>
        </w:rPr>
        <w:t> </w:t>
      </w:r>
      <w:r>
        <w:rPr>
          <w:b/>
          <w:sz w:val="22"/>
        </w:rPr>
        <w:t>ACO:</w:t>
      </w:r>
      <w:r>
        <w:rPr>
          <w:b/>
          <w:spacing w:val="-14"/>
          <w:sz w:val="22"/>
        </w:rPr>
        <w:t> </w:t>
      </w:r>
      <w:r>
        <w:rPr>
          <w:sz w:val="22"/>
        </w:rPr>
        <w:t>a</w:t>
      </w:r>
      <w:r>
        <w:rPr>
          <w:spacing w:val="-14"/>
          <w:sz w:val="22"/>
        </w:rPr>
        <w:t> </w:t>
      </w:r>
      <w:r>
        <w:rPr>
          <w:sz w:val="22"/>
        </w:rPr>
        <w:t>provider-led</w:t>
      </w:r>
      <w:r>
        <w:rPr>
          <w:spacing w:val="-13"/>
          <w:sz w:val="22"/>
        </w:rPr>
        <w:t> </w:t>
      </w:r>
      <w:r>
        <w:rPr>
          <w:sz w:val="22"/>
        </w:rPr>
        <w:t>health</w:t>
      </w:r>
      <w:r>
        <w:rPr>
          <w:spacing w:val="-14"/>
          <w:sz w:val="22"/>
        </w:rPr>
        <w:t> </w:t>
      </w:r>
      <w:r>
        <w:rPr>
          <w:sz w:val="22"/>
        </w:rPr>
        <w:t>care</w:t>
      </w:r>
      <w:r>
        <w:rPr>
          <w:spacing w:val="-14"/>
          <w:sz w:val="22"/>
        </w:rPr>
        <w:t> </w:t>
      </w:r>
      <w:r>
        <w:rPr>
          <w:sz w:val="22"/>
        </w:rPr>
        <w:t>system</w:t>
      </w:r>
      <w:r>
        <w:rPr>
          <w:spacing w:val="-14"/>
          <w:sz w:val="22"/>
        </w:rPr>
        <w:t> </w:t>
      </w:r>
      <w:r>
        <w:rPr>
          <w:sz w:val="22"/>
        </w:rPr>
        <w:t>or</w:t>
      </w:r>
      <w:r>
        <w:rPr>
          <w:spacing w:val="-13"/>
          <w:sz w:val="22"/>
        </w:rPr>
        <w:t> </w:t>
      </w:r>
      <w:r>
        <w:rPr>
          <w:sz w:val="22"/>
        </w:rPr>
        <w:t>other</w:t>
      </w:r>
      <w:r>
        <w:rPr>
          <w:spacing w:val="-14"/>
          <w:sz w:val="22"/>
        </w:rPr>
        <w:t> </w:t>
      </w:r>
      <w:r>
        <w:rPr>
          <w:sz w:val="22"/>
        </w:rPr>
        <w:t>provider-based</w:t>
      </w:r>
      <w:r>
        <w:rPr>
          <w:spacing w:val="-14"/>
          <w:sz w:val="22"/>
        </w:rPr>
        <w:t> </w:t>
      </w:r>
      <w:r>
        <w:rPr>
          <w:sz w:val="22"/>
        </w:rPr>
        <w:t>organization that contracts with MCOs and takes financial accountability for shared savings and risk as part of MCO networks</w:t>
      </w:r>
    </w:p>
    <w:p>
      <w:pPr>
        <w:pStyle w:val="Heading5"/>
        <w:numPr>
          <w:ilvl w:val="2"/>
          <w:numId w:val="62"/>
        </w:numPr>
        <w:tabs>
          <w:tab w:pos="1940" w:val="left" w:leader="none"/>
        </w:tabs>
        <w:spacing w:line="240" w:lineRule="auto" w:before="199" w:after="0"/>
        <w:ind w:left="1940" w:right="0" w:hanging="720"/>
        <w:jc w:val="both"/>
      </w:pPr>
      <w:bookmarkStart w:name="1.4.2 Community Partners and CSAs" w:id="1228"/>
      <w:bookmarkEnd w:id="1228"/>
      <w:r>
        <w:rPr>
          <w:b w:val="0"/>
        </w:rPr>
      </w:r>
      <w:bookmarkStart w:name="_bookmark14" w:id="1229"/>
      <w:bookmarkEnd w:id="1229"/>
      <w:r>
        <w:rPr>
          <w:b w:val="0"/>
        </w:rPr>
      </w:r>
      <w:r>
        <w:rPr>
          <w:color w:val="4471C4"/>
        </w:rPr>
        <w:t>Community</w:t>
      </w:r>
      <w:r>
        <w:rPr>
          <w:color w:val="4471C4"/>
          <w:spacing w:val="-2"/>
        </w:rPr>
        <w:t> </w:t>
      </w:r>
      <w:r>
        <w:rPr>
          <w:color w:val="4471C4"/>
        </w:rPr>
        <w:t>Partners</w:t>
      </w:r>
      <w:r>
        <w:rPr>
          <w:color w:val="4471C4"/>
          <w:spacing w:val="-2"/>
        </w:rPr>
        <w:t> </w:t>
      </w:r>
      <w:r>
        <w:rPr>
          <w:color w:val="4471C4"/>
        </w:rPr>
        <w:t>and</w:t>
      </w:r>
      <w:r>
        <w:rPr>
          <w:color w:val="4471C4"/>
          <w:spacing w:val="-1"/>
        </w:rPr>
        <w:t> </w:t>
      </w:r>
      <w:r>
        <w:rPr>
          <w:color w:val="4471C4"/>
          <w:spacing w:val="-4"/>
        </w:rPr>
        <w:t>CSAs</w:t>
      </w:r>
    </w:p>
    <w:p>
      <w:pPr>
        <w:spacing w:line="240" w:lineRule="auto" w:before="42"/>
        <w:ind w:left="1220" w:right="1094" w:firstLine="0"/>
        <w:jc w:val="both"/>
        <w:rPr>
          <w:sz w:val="22"/>
        </w:rPr>
      </w:pPr>
      <w:r>
        <w:rPr>
          <w:sz w:val="22"/>
        </w:rPr>
        <w:t>Community</w:t>
      </w:r>
      <w:r>
        <w:rPr>
          <w:spacing w:val="-14"/>
          <w:sz w:val="22"/>
        </w:rPr>
        <w:t> </w:t>
      </w:r>
      <w:r>
        <w:rPr>
          <w:sz w:val="22"/>
        </w:rPr>
        <w:t>Partners</w:t>
      </w:r>
      <w:r>
        <w:rPr>
          <w:spacing w:val="-14"/>
          <w:sz w:val="22"/>
        </w:rPr>
        <w:t> </w:t>
      </w:r>
      <w:r>
        <w:rPr>
          <w:sz w:val="22"/>
        </w:rPr>
        <w:t>will</w:t>
      </w:r>
      <w:r>
        <w:rPr>
          <w:spacing w:val="-14"/>
          <w:sz w:val="22"/>
        </w:rPr>
        <w:t> </w:t>
      </w:r>
      <w:r>
        <w:rPr>
          <w:sz w:val="22"/>
        </w:rPr>
        <w:t>provide</w:t>
      </w:r>
      <w:r>
        <w:rPr>
          <w:spacing w:val="-13"/>
          <w:sz w:val="22"/>
        </w:rPr>
        <w:t> </w:t>
      </w:r>
      <w:r>
        <w:rPr>
          <w:sz w:val="22"/>
        </w:rPr>
        <w:t>support</w:t>
      </w:r>
      <w:r>
        <w:rPr>
          <w:spacing w:val="-14"/>
          <w:sz w:val="22"/>
        </w:rPr>
        <w:t> </w:t>
      </w:r>
      <w:r>
        <w:rPr>
          <w:sz w:val="22"/>
        </w:rPr>
        <w:t>to</w:t>
      </w:r>
      <w:r>
        <w:rPr>
          <w:spacing w:val="-14"/>
          <w:sz w:val="22"/>
        </w:rPr>
        <w:t> </w:t>
      </w:r>
      <w:r>
        <w:rPr>
          <w:sz w:val="22"/>
        </w:rPr>
        <w:t>eligible</w:t>
      </w:r>
      <w:r>
        <w:rPr>
          <w:spacing w:val="-14"/>
          <w:sz w:val="22"/>
        </w:rPr>
        <w:t> </w:t>
      </w:r>
      <w:r>
        <w:rPr>
          <w:sz w:val="22"/>
        </w:rPr>
        <w:t>members</w:t>
      </w:r>
      <w:r>
        <w:rPr>
          <w:spacing w:val="-13"/>
          <w:sz w:val="22"/>
        </w:rPr>
        <w:t> </w:t>
      </w:r>
      <w:r>
        <w:rPr>
          <w:sz w:val="22"/>
        </w:rPr>
        <w:t>with</w:t>
      </w:r>
      <w:r>
        <w:rPr>
          <w:spacing w:val="-14"/>
          <w:sz w:val="22"/>
        </w:rPr>
        <w:t> </w:t>
      </w:r>
      <w:r>
        <w:rPr>
          <w:sz w:val="22"/>
        </w:rPr>
        <w:t>complex</w:t>
      </w:r>
      <w:r>
        <w:rPr>
          <w:spacing w:val="-14"/>
          <w:sz w:val="22"/>
        </w:rPr>
        <w:t> </w:t>
      </w:r>
      <w:r>
        <w:rPr>
          <w:sz w:val="22"/>
        </w:rPr>
        <w:t>BH</w:t>
      </w:r>
      <w:r>
        <w:rPr>
          <w:spacing w:val="-14"/>
          <w:sz w:val="22"/>
        </w:rPr>
        <w:t> </w:t>
      </w:r>
      <w:r>
        <w:rPr>
          <w:sz w:val="22"/>
        </w:rPr>
        <w:t>and</w:t>
      </w:r>
      <w:r>
        <w:rPr>
          <w:spacing w:val="-13"/>
          <w:sz w:val="22"/>
        </w:rPr>
        <w:t> </w:t>
      </w:r>
      <w:r>
        <w:rPr>
          <w:sz w:val="22"/>
        </w:rPr>
        <w:t>LTSS</w:t>
      </w:r>
      <w:r>
        <w:rPr>
          <w:spacing w:val="-14"/>
          <w:sz w:val="22"/>
        </w:rPr>
        <w:t> </w:t>
      </w:r>
      <w:r>
        <w:rPr>
          <w:sz w:val="22"/>
        </w:rPr>
        <w:t>needs,</w:t>
      </w:r>
      <w:r>
        <w:rPr>
          <w:spacing w:val="-14"/>
          <w:sz w:val="22"/>
        </w:rPr>
        <w:t> </w:t>
      </w:r>
      <w:r>
        <w:rPr>
          <w:sz w:val="22"/>
        </w:rPr>
        <w:t>including linkages to community resources, allowing providers to deliver comprehensive care for the whole person and improvement in member health outcomes. Community Partners (CPs) will receive DSRIP funds for care coordination activities, as well as to support infrastructure and workforce capacity building. CPs will be required to partner with the ACOs and MCOs. ACOs and MCOs will similarly be required to partner with both BH and LTSS CPs. The goals of Community Partners include:</w:t>
      </w:r>
    </w:p>
    <w:p>
      <w:pPr>
        <w:pStyle w:val="ListParagraph"/>
        <w:numPr>
          <w:ilvl w:val="3"/>
          <w:numId w:val="62"/>
        </w:numPr>
        <w:tabs>
          <w:tab w:pos="1938" w:val="left" w:leader="none"/>
          <w:tab w:pos="1940" w:val="left" w:leader="none"/>
        </w:tabs>
        <w:spacing w:line="240" w:lineRule="auto" w:before="161" w:after="0"/>
        <w:ind w:left="1940" w:right="1097" w:hanging="361"/>
        <w:jc w:val="both"/>
        <w:rPr>
          <w:sz w:val="22"/>
        </w:rPr>
      </w:pPr>
      <w:r>
        <w:rPr>
          <w:sz w:val="22"/>
        </w:rPr>
        <w:t>Creating explicit opportunities for ACOs and MCOs to leverage existing community-based expertise and capabilities to best support members with LTSS and BH needs</w:t>
      </w:r>
    </w:p>
    <w:p>
      <w:pPr>
        <w:pStyle w:val="ListParagraph"/>
        <w:numPr>
          <w:ilvl w:val="3"/>
          <w:numId w:val="62"/>
        </w:numPr>
        <w:tabs>
          <w:tab w:pos="1940" w:val="left" w:leader="none"/>
        </w:tabs>
        <w:spacing w:line="240" w:lineRule="auto" w:before="200" w:after="0"/>
        <w:ind w:left="1940" w:right="0" w:hanging="360"/>
        <w:jc w:val="left"/>
        <w:rPr>
          <w:sz w:val="22"/>
        </w:rPr>
      </w:pPr>
      <w:r>
        <w:rPr>
          <w:sz w:val="22"/>
        </w:rPr>
        <w:t>Breaking</w:t>
      </w:r>
      <w:r>
        <w:rPr>
          <w:spacing w:val="-6"/>
          <w:sz w:val="22"/>
        </w:rPr>
        <w:t> </w:t>
      </w:r>
      <w:r>
        <w:rPr>
          <w:sz w:val="22"/>
        </w:rPr>
        <w:t>down</w:t>
      </w:r>
      <w:r>
        <w:rPr>
          <w:spacing w:val="-2"/>
          <w:sz w:val="22"/>
        </w:rPr>
        <w:t> </w:t>
      </w:r>
      <w:r>
        <w:rPr>
          <w:sz w:val="22"/>
        </w:rPr>
        <w:t>existing</w:t>
      </w:r>
      <w:r>
        <w:rPr>
          <w:spacing w:val="-5"/>
          <w:sz w:val="22"/>
        </w:rPr>
        <w:t> </w:t>
      </w:r>
      <w:r>
        <w:rPr>
          <w:sz w:val="22"/>
        </w:rPr>
        <w:t>silos</w:t>
      </w:r>
      <w:r>
        <w:rPr>
          <w:spacing w:val="-3"/>
          <w:sz w:val="22"/>
        </w:rPr>
        <w:t> </w:t>
      </w:r>
      <w:r>
        <w:rPr>
          <w:sz w:val="22"/>
        </w:rPr>
        <w:t>in</w:t>
      </w:r>
      <w:r>
        <w:rPr>
          <w:spacing w:val="-5"/>
          <w:sz w:val="22"/>
        </w:rPr>
        <w:t> </w:t>
      </w:r>
      <w:r>
        <w:rPr>
          <w:sz w:val="22"/>
        </w:rPr>
        <w:t>the</w:t>
      </w:r>
      <w:r>
        <w:rPr>
          <w:spacing w:val="-4"/>
          <w:sz w:val="22"/>
        </w:rPr>
        <w:t> </w:t>
      </w:r>
      <w:r>
        <w:rPr>
          <w:sz w:val="22"/>
        </w:rPr>
        <w:t>care</w:t>
      </w:r>
      <w:r>
        <w:rPr>
          <w:spacing w:val="-2"/>
          <w:sz w:val="22"/>
        </w:rPr>
        <w:t> </w:t>
      </w:r>
      <w:r>
        <w:rPr>
          <w:sz w:val="22"/>
        </w:rPr>
        <w:t>delivery</w:t>
      </w:r>
      <w:r>
        <w:rPr>
          <w:spacing w:val="-6"/>
          <w:sz w:val="22"/>
        </w:rPr>
        <w:t> </w:t>
      </w:r>
      <w:r>
        <w:rPr>
          <w:sz w:val="22"/>
        </w:rPr>
        <w:t>system</w:t>
      </w:r>
      <w:r>
        <w:rPr>
          <w:spacing w:val="-6"/>
          <w:sz w:val="22"/>
        </w:rPr>
        <w:t> </w:t>
      </w:r>
      <w:r>
        <w:rPr>
          <w:sz w:val="22"/>
        </w:rPr>
        <w:t>across</w:t>
      </w:r>
      <w:r>
        <w:rPr>
          <w:spacing w:val="-2"/>
          <w:sz w:val="22"/>
        </w:rPr>
        <w:t> </w:t>
      </w:r>
      <w:r>
        <w:rPr>
          <w:sz w:val="22"/>
        </w:rPr>
        <w:t>BH,</w:t>
      </w:r>
      <w:r>
        <w:rPr>
          <w:spacing w:val="-3"/>
          <w:sz w:val="22"/>
        </w:rPr>
        <w:t> </w:t>
      </w:r>
      <w:r>
        <w:rPr>
          <w:sz w:val="22"/>
        </w:rPr>
        <w:t>LTSS</w:t>
      </w:r>
      <w:r>
        <w:rPr>
          <w:spacing w:val="-3"/>
          <w:sz w:val="22"/>
        </w:rPr>
        <w:t> </w:t>
      </w:r>
      <w:r>
        <w:rPr>
          <w:sz w:val="22"/>
        </w:rPr>
        <w:t>and</w:t>
      </w:r>
      <w:r>
        <w:rPr>
          <w:spacing w:val="-5"/>
          <w:sz w:val="22"/>
        </w:rPr>
        <w:t> </w:t>
      </w:r>
      <w:r>
        <w:rPr>
          <w:sz w:val="22"/>
        </w:rPr>
        <w:t>physical</w:t>
      </w:r>
      <w:r>
        <w:rPr>
          <w:spacing w:val="-1"/>
          <w:sz w:val="22"/>
        </w:rPr>
        <w:t> </w:t>
      </w:r>
      <w:r>
        <w:rPr>
          <w:spacing w:val="-2"/>
          <w:sz w:val="22"/>
        </w:rPr>
        <w:t>health</w:t>
      </w:r>
    </w:p>
    <w:p>
      <w:pPr>
        <w:pStyle w:val="ListParagraph"/>
        <w:numPr>
          <w:ilvl w:val="3"/>
          <w:numId w:val="62"/>
        </w:numPr>
        <w:tabs>
          <w:tab w:pos="1938" w:val="left" w:leader="none"/>
          <w:tab w:pos="1940" w:val="left" w:leader="none"/>
        </w:tabs>
        <w:spacing w:line="240" w:lineRule="auto" w:before="198" w:after="0"/>
        <w:ind w:left="1940" w:right="1094" w:hanging="361"/>
        <w:jc w:val="both"/>
        <w:rPr>
          <w:sz w:val="22"/>
        </w:rPr>
      </w:pPr>
      <w:r>
        <w:rPr>
          <w:sz w:val="22"/>
        </w:rPr>
        <w:t>Ensuring</w:t>
      </w:r>
      <w:r>
        <w:rPr>
          <w:spacing w:val="-16"/>
          <w:sz w:val="22"/>
        </w:rPr>
        <w:t> </w:t>
      </w:r>
      <w:r>
        <w:rPr>
          <w:sz w:val="22"/>
        </w:rPr>
        <w:t>care</w:t>
      </w:r>
      <w:r>
        <w:rPr>
          <w:spacing w:val="-14"/>
          <w:sz w:val="22"/>
        </w:rPr>
        <w:t> </w:t>
      </w:r>
      <w:r>
        <w:rPr>
          <w:sz w:val="22"/>
        </w:rPr>
        <w:t>is</w:t>
      </w:r>
      <w:r>
        <w:rPr>
          <w:spacing w:val="-14"/>
          <w:sz w:val="22"/>
        </w:rPr>
        <w:t> </w:t>
      </w:r>
      <w:r>
        <w:rPr>
          <w:sz w:val="22"/>
        </w:rPr>
        <w:t>person-centered,</w:t>
      </w:r>
      <w:r>
        <w:rPr>
          <w:spacing w:val="-13"/>
          <w:sz w:val="22"/>
        </w:rPr>
        <w:t> </w:t>
      </w:r>
      <w:r>
        <w:rPr>
          <w:sz w:val="22"/>
        </w:rPr>
        <w:t>and</w:t>
      </w:r>
      <w:r>
        <w:rPr>
          <w:spacing w:val="-14"/>
          <w:sz w:val="22"/>
        </w:rPr>
        <w:t> </w:t>
      </w:r>
      <w:r>
        <w:rPr>
          <w:sz w:val="22"/>
        </w:rPr>
        <w:t>avoiding</w:t>
      </w:r>
      <w:r>
        <w:rPr>
          <w:spacing w:val="-14"/>
          <w:sz w:val="22"/>
        </w:rPr>
        <w:t> </w:t>
      </w:r>
      <w:r>
        <w:rPr>
          <w:sz w:val="22"/>
        </w:rPr>
        <w:t>over-medicalization</w:t>
      </w:r>
      <w:r>
        <w:rPr>
          <w:spacing w:val="-14"/>
          <w:sz w:val="22"/>
        </w:rPr>
        <w:t> </w:t>
      </w:r>
      <w:r>
        <w:rPr>
          <w:sz w:val="22"/>
        </w:rPr>
        <w:t>of</w:t>
      </w:r>
      <w:r>
        <w:rPr>
          <w:spacing w:val="-13"/>
          <w:sz w:val="22"/>
        </w:rPr>
        <w:t> </w:t>
      </w:r>
      <w:r>
        <w:rPr>
          <w:sz w:val="22"/>
        </w:rPr>
        <w:t>care</w:t>
      </w:r>
      <w:r>
        <w:rPr>
          <w:spacing w:val="-14"/>
          <w:sz w:val="22"/>
        </w:rPr>
        <w:t> </w:t>
      </w:r>
      <w:r>
        <w:rPr>
          <w:sz w:val="22"/>
        </w:rPr>
        <w:t>for</w:t>
      </w:r>
      <w:r>
        <w:rPr>
          <w:spacing w:val="-14"/>
          <w:sz w:val="22"/>
        </w:rPr>
        <w:t> </w:t>
      </w:r>
      <w:r>
        <w:rPr>
          <w:sz w:val="22"/>
        </w:rPr>
        <w:t>members</w:t>
      </w:r>
      <w:r>
        <w:rPr>
          <w:spacing w:val="-14"/>
          <w:sz w:val="22"/>
        </w:rPr>
        <w:t> </w:t>
      </w:r>
      <w:r>
        <w:rPr>
          <w:sz w:val="22"/>
        </w:rPr>
        <w:t>with</w:t>
      </w:r>
      <w:r>
        <w:rPr>
          <w:spacing w:val="-13"/>
          <w:sz w:val="22"/>
        </w:rPr>
        <w:t> </w:t>
      </w:r>
      <w:r>
        <w:rPr>
          <w:sz w:val="22"/>
        </w:rPr>
        <w:t>LTSS </w:t>
      </w:r>
      <w:r>
        <w:rPr>
          <w:spacing w:val="-2"/>
          <w:sz w:val="22"/>
        </w:rPr>
        <w:t>needs</w:t>
      </w:r>
    </w:p>
    <w:p>
      <w:pPr>
        <w:spacing w:after="0" w:line="240" w:lineRule="auto"/>
        <w:jc w:val="both"/>
        <w:rPr>
          <w:sz w:val="22"/>
        </w:rPr>
        <w:sectPr>
          <w:pgSz w:w="12240" w:h="15840"/>
          <w:pgMar w:header="0" w:footer="967" w:top="1360" w:bottom="1160" w:left="220" w:right="340"/>
        </w:sectPr>
      </w:pPr>
    </w:p>
    <w:p>
      <w:pPr>
        <w:pStyle w:val="ListParagraph"/>
        <w:numPr>
          <w:ilvl w:val="3"/>
          <w:numId w:val="62"/>
        </w:numPr>
        <w:tabs>
          <w:tab w:pos="1940" w:val="left" w:leader="none"/>
        </w:tabs>
        <w:spacing w:line="240" w:lineRule="auto" w:before="79" w:after="0"/>
        <w:ind w:left="1940" w:right="1097" w:hanging="361"/>
        <w:jc w:val="left"/>
        <w:rPr>
          <w:sz w:val="22"/>
        </w:rPr>
      </w:pPr>
      <w:r>
        <w:rPr>
          <w:sz w:val="22"/>
        </w:rPr>
        <w:t>Preserving</w:t>
      </w:r>
      <w:r>
        <w:rPr>
          <w:spacing w:val="40"/>
          <w:sz w:val="22"/>
        </w:rPr>
        <w:t> </w:t>
      </w:r>
      <w:r>
        <w:rPr>
          <w:sz w:val="22"/>
        </w:rPr>
        <w:t>conflict-free</w:t>
      </w:r>
      <w:r>
        <w:rPr>
          <w:spacing w:val="40"/>
          <w:sz w:val="22"/>
        </w:rPr>
        <w:t> </w:t>
      </w:r>
      <w:r>
        <w:rPr>
          <w:sz w:val="22"/>
        </w:rPr>
        <w:t>principles</w:t>
      </w:r>
      <w:r>
        <w:rPr>
          <w:spacing w:val="40"/>
          <w:sz w:val="22"/>
        </w:rPr>
        <w:t> </w:t>
      </w:r>
      <w:r>
        <w:rPr>
          <w:sz w:val="22"/>
        </w:rPr>
        <w:t>including</w:t>
      </w:r>
      <w:r>
        <w:rPr>
          <w:spacing w:val="40"/>
          <w:sz w:val="22"/>
        </w:rPr>
        <w:t> </w:t>
      </w:r>
      <w:r>
        <w:rPr>
          <w:sz w:val="22"/>
        </w:rPr>
        <w:t>consideration</w:t>
      </w:r>
      <w:r>
        <w:rPr>
          <w:spacing w:val="40"/>
          <w:sz w:val="22"/>
        </w:rPr>
        <w:t> </w:t>
      </w:r>
      <w:r>
        <w:rPr>
          <w:sz w:val="22"/>
        </w:rPr>
        <w:t>of</w:t>
      </w:r>
      <w:r>
        <w:rPr>
          <w:spacing w:val="40"/>
          <w:sz w:val="22"/>
        </w:rPr>
        <w:t> </w:t>
      </w:r>
      <w:r>
        <w:rPr>
          <w:sz w:val="22"/>
        </w:rPr>
        <w:t>care</w:t>
      </w:r>
      <w:r>
        <w:rPr>
          <w:spacing w:val="40"/>
          <w:sz w:val="22"/>
        </w:rPr>
        <w:t> </w:t>
      </w:r>
      <w:r>
        <w:rPr>
          <w:sz w:val="22"/>
        </w:rPr>
        <w:t>options</w:t>
      </w:r>
      <w:r>
        <w:rPr>
          <w:spacing w:val="40"/>
          <w:sz w:val="22"/>
        </w:rPr>
        <w:t> </w:t>
      </w:r>
      <w:r>
        <w:rPr>
          <w:sz w:val="22"/>
        </w:rPr>
        <w:t>for</w:t>
      </w:r>
      <w:r>
        <w:rPr>
          <w:spacing w:val="40"/>
          <w:sz w:val="22"/>
        </w:rPr>
        <w:t> </w:t>
      </w:r>
      <w:r>
        <w:rPr>
          <w:sz w:val="22"/>
        </w:rPr>
        <w:t>members</w:t>
      </w:r>
      <w:r>
        <w:rPr>
          <w:spacing w:val="40"/>
          <w:sz w:val="22"/>
        </w:rPr>
        <w:t> </w:t>
      </w:r>
      <w:r>
        <w:rPr>
          <w:sz w:val="22"/>
        </w:rPr>
        <w:t>and limitations on self-referrals</w:t>
      </w:r>
    </w:p>
    <w:p>
      <w:pPr>
        <w:pStyle w:val="ListParagraph"/>
        <w:numPr>
          <w:ilvl w:val="3"/>
          <w:numId w:val="62"/>
        </w:numPr>
        <w:tabs>
          <w:tab w:pos="1940" w:val="left" w:leader="none"/>
        </w:tabs>
        <w:spacing w:line="240" w:lineRule="auto" w:before="0" w:after="0"/>
        <w:ind w:left="1940" w:right="1097" w:hanging="361"/>
        <w:jc w:val="left"/>
        <w:rPr>
          <w:sz w:val="22"/>
        </w:rPr>
      </w:pPr>
      <w:r>
        <w:rPr>
          <w:sz w:val="22"/>
        </w:rPr>
        <w:t>Making</w:t>
      </w:r>
      <w:r>
        <w:rPr>
          <w:spacing w:val="80"/>
          <w:sz w:val="22"/>
        </w:rPr>
        <w:t> </w:t>
      </w:r>
      <w:r>
        <w:rPr>
          <w:sz w:val="22"/>
        </w:rPr>
        <w:t>investments</w:t>
      </w:r>
      <w:r>
        <w:rPr>
          <w:spacing w:val="80"/>
          <w:sz w:val="22"/>
        </w:rPr>
        <w:t> </w:t>
      </w:r>
      <w:r>
        <w:rPr>
          <w:sz w:val="22"/>
        </w:rPr>
        <w:t>in</w:t>
      </w:r>
      <w:r>
        <w:rPr>
          <w:spacing w:val="80"/>
          <w:sz w:val="22"/>
        </w:rPr>
        <w:t> </w:t>
      </w:r>
      <w:r>
        <w:rPr>
          <w:sz w:val="22"/>
        </w:rPr>
        <w:t>community-based</w:t>
      </w:r>
      <w:r>
        <w:rPr>
          <w:spacing w:val="80"/>
          <w:sz w:val="22"/>
        </w:rPr>
        <w:t> </w:t>
      </w:r>
      <w:r>
        <w:rPr>
          <w:sz w:val="22"/>
        </w:rPr>
        <w:t>infrastructure</w:t>
      </w:r>
      <w:r>
        <w:rPr>
          <w:spacing w:val="80"/>
          <w:sz w:val="22"/>
        </w:rPr>
        <w:t> </w:t>
      </w:r>
      <w:r>
        <w:rPr>
          <w:sz w:val="22"/>
        </w:rPr>
        <w:t>within</w:t>
      </w:r>
      <w:r>
        <w:rPr>
          <w:spacing w:val="80"/>
          <w:sz w:val="22"/>
        </w:rPr>
        <w:t> </w:t>
      </w:r>
      <w:r>
        <w:rPr>
          <w:sz w:val="22"/>
        </w:rPr>
        <w:t>an</w:t>
      </w:r>
      <w:r>
        <w:rPr>
          <w:spacing w:val="80"/>
          <w:sz w:val="22"/>
        </w:rPr>
        <w:t> </w:t>
      </w:r>
      <w:r>
        <w:rPr>
          <w:sz w:val="22"/>
        </w:rPr>
        <w:t>overall</w:t>
      </w:r>
      <w:r>
        <w:rPr>
          <w:spacing w:val="80"/>
          <w:sz w:val="22"/>
        </w:rPr>
        <w:t> </w:t>
      </w:r>
      <w:r>
        <w:rPr>
          <w:sz w:val="22"/>
        </w:rPr>
        <w:t>framework</w:t>
      </w:r>
      <w:r>
        <w:rPr>
          <w:spacing w:val="80"/>
          <w:sz w:val="22"/>
        </w:rPr>
        <w:t> </w:t>
      </w:r>
      <w:r>
        <w:rPr>
          <w:sz w:val="22"/>
        </w:rPr>
        <w:t>of performance accountability</w:t>
      </w:r>
    </w:p>
    <w:p>
      <w:pPr>
        <w:pStyle w:val="ListParagraph"/>
        <w:numPr>
          <w:ilvl w:val="3"/>
          <w:numId w:val="62"/>
        </w:numPr>
        <w:tabs>
          <w:tab w:pos="1940" w:val="left" w:leader="none"/>
        </w:tabs>
        <w:spacing w:line="240" w:lineRule="auto" w:before="0" w:after="0"/>
        <w:ind w:left="1940" w:right="1095" w:hanging="361"/>
        <w:jc w:val="left"/>
        <w:rPr>
          <w:sz w:val="22"/>
        </w:rPr>
      </w:pPr>
      <w:r>
        <w:rPr>
          <w:sz w:val="22"/>
        </w:rPr>
        <w:t>Requiring ACOs, MCOs and Community Partners to formalize how they work together, e.g., for care coordination and performance management</w:t>
      </w:r>
    </w:p>
    <w:p>
      <w:pPr>
        <w:spacing w:before="200"/>
        <w:ind w:left="1220" w:right="0" w:firstLine="0"/>
        <w:jc w:val="both"/>
        <w:rPr>
          <w:sz w:val="22"/>
        </w:rPr>
      </w:pPr>
      <w:r>
        <w:rPr>
          <w:sz w:val="22"/>
        </w:rPr>
        <w:t>Massachusetts</w:t>
      </w:r>
      <w:r>
        <w:rPr>
          <w:spacing w:val="-4"/>
          <w:sz w:val="22"/>
        </w:rPr>
        <w:t> </w:t>
      </w:r>
      <w:r>
        <w:rPr>
          <w:sz w:val="22"/>
        </w:rPr>
        <w:t>will</w:t>
      </w:r>
      <w:r>
        <w:rPr>
          <w:spacing w:val="-3"/>
          <w:sz w:val="22"/>
        </w:rPr>
        <w:t> </w:t>
      </w:r>
      <w:r>
        <w:rPr>
          <w:sz w:val="22"/>
        </w:rPr>
        <w:t>selectively</w:t>
      </w:r>
      <w:r>
        <w:rPr>
          <w:spacing w:val="-7"/>
          <w:sz w:val="22"/>
        </w:rPr>
        <w:t> </w:t>
      </w:r>
      <w:r>
        <w:rPr>
          <w:sz w:val="22"/>
        </w:rPr>
        <w:t>procure</w:t>
      </w:r>
      <w:r>
        <w:rPr>
          <w:spacing w:val="-5"/>
          <w:sz w:val="22"/>
        </w:rPr>
        <w:t> </w:t>
      </w:r>
      <w:r>
        <w:rPr>
          <w:sz w:val="22"/>
        </w:rPr>
        <w:t>two</w:t>
      </w:r>
      <w:r>
        <w:rPr>
          <w:spacing w:val="-4"/>
          <w:sz w:val="22"/>
        </w:rPr>
        <w:t> </w:t>
      </w:r>
      <w:r>
        <w:rPr>
          <w:sz w:val="22"/>
        </w:rPr>
        <w:t>types</w:t>
      </w:r>
      <w:r>
        <w:rPr>
          <w:spacing w:val="-6"/>
          <w:sz w:val="22"/>
        </w:rPr>
        <w:t> </w:t>
      </w:r>
      <w:r>
        <w:rPr>
          <w:sz w:val="22"/>
        </w:rPr>
        <w:t>of</w:t>
      </w:r>
      <w:r>
        <w:rPr>
          <w:spacing w:val="-3"/>
          <w:sz w:val="22"/>
        </w:rPr>
        <w:t> </w:t>
      </w:r>
      <w:r>
        <w:rPr>
          <w:sz w:val="22"/>
        </w:rPr>
        <w:t>Community</w:t>
      </w:r>
      <w:r>
        <w:rPr>
          <w:spacing w:val="-6"/>
          <w:sz w:val="22"/>
        </w:rPr>
        <w:t> </w:t>
      </w:r>
      <w:r>
        <w:rPr>
          <w:spacing w:val="-2"/>
          <w:sz w:val="22"/>
        </w:rPr>
        <w:t>Partners:</w:t>
      </w:r>
    </w:p>
    <w:p>
      <w:pPr>
        <w:pStyle w:val="ListParagraph"/>
        <w:numPr>
          <w:ilvl w:val="3"/>
          <w:numId w:val="62"/>
        </w:numPr>
        <w:tabs>
          <w:tab w:pos="1938" w:val="left" w:leader="none"/>
          <w:tab w:pos="1940" w:val="left" w:leader="none"/>
        </w:tabs>
        <w:spacing w:line="240" w:lineRule="auto" w:before="159" w:after="0"/>
        <w:ind w:left="1940" w:right="1092" w:hanging="361"/>
        <w:jc w:val="both"/>
        <w:rPr>
          <w:sz w:val="22"/>
        </w:rPr>
      </w:pPr>
      <w:r>
        <w:rPr>
          <w:b/>
          <w:sz w:val="22"/>
        </w:rPr>
        <w:t>Behavioral</w:t>
      </w:r>
      <w:r>
        <w:rPr>
          <w:b/>
          <w:spacing w:val="-13"/>
          <w:sz w:val="22"/>
        </w:rPr>
        <w:t> </w:t>
      </w:r>
      <w:r>
        <w:rPr>
          <w:b/>
          <w:sz w:val="22"/>
        </w:rPr>
        <w:t>Health</w:t>
      </w:r>
      <w:r>
        <w:rPr>
          <w:b/>
          <w:spacing w:val="-12"/>
          <w:sz w:val="22"/>
        </w:rPr>
        <w:t> </w:t>
      </w:r>
      <w:r>
        <w:rPr>
          <w:b/>
          <w:sz w:val="22"/>
        </w:rPr>
        <w:t>Community</w:t>
      </w:r>
      <w:r>
        <w:rPr>
          <w:b/>
          <w:spacing w:val="-14"/>
          <w:sz w:val="22"/>
        </w:rPr>
        <w:t> </w:t>
      </w:r>
      <w:r>
        <w:rPr>
          <w:b/>
          <w:sz w:val="22"/>
        </w:rPr>
        <w:t>Partners</w:t>
      </w:r>
      <w:r>
        <w:rPr>
          <w:b/>
          <w:spacing w:val="-11"/>
          <w:sz w:val="22"/>
        </w:rPr>
        <w:t> </w:t>
      </w:r>
      <w:r>
        <w:rPr>
          <w:sz w:val="22"/>
        </w:rPr>
        <w:t>(BH</w:t>
      </w:r>
      <w:r>
        <w:rPr>
          <w:spacing w:val="-13"/>
          <w:sz w:val="22"/>
        </w:rPr>
        <w:t> </w:t>
      </w:r>
      <w:r>
        <w:rPr>
          <w:sz w:val="22"/>
        </w:rPr>
        <w:t>CPs):</w:t>
      </w:r>
      <w:r>
        <w:rPr>
          <w:spacing w:val="31"/>
          <w:sz w:val="22"/>
        </w:rPr>
        <w:t> </w:t>
      </w:r>
      <w:r>
        <w:rPr>
          <w:sz w:val="22"/>
        </w:rPr>
        <w:t>BH</w:t>
      </w:r>
      <w:r>
        <w:rPr>
          <w:spacing w:val="-13"/>
          <w:sz w:val="22"/>
        </w:rPr>
        <w:t> </w:t>
      </w:r>
      <w:r>
        <w:rPr>
          <w:sz w:val="22"/>
        </w:rPr>
        <w:t>CPs</w:t>
      </w:r>
      <w:r>
        <w:rPr>
          <w:spacing w:val="-11"/>
          <w:sz w:val="22"/>
        </w:rPr>
        <w:t> </w:t>
      </w:r>
      <w:r>
        <w:rPr>
          <w:sz w:val="22"/>
        </w:rPr>
        <w:t>will</w:t>
      </w:r>
      <w:r>
        <w:rPr>
          <w:spacing w:val="-11"/>
          <w:sz w:val="22"/>
        </w:rPr>
        <w:t> </w:t>
      </w:r>
      <w:r>
        <w:rPr>
          <w:sz w:val="22"/>
        </w:rPr>
        <w:t>support</w:t>
      </w:r>
      <w:r>
        <w:rPr>
          <w:spacing w:val="-11"/>
          <w:sz w:val="22"/>
        </w:rPr>
        <w:t> </w:t>
      </w:r>
      <w:r>
        <w:rPr>
          <w:sz w:val="22"/>
        </w:rPr>
        <w:t>eligible</w:t>
      </w:r>
      <w:r>
        <w:rPr>
          <w:spacing w:val="-11"/>
          <w:sz w:val="22"/>
        </w:rPr>
        <w:t> </w:t>
      </w:r>
      <w:r>
        <w:rPr>
          <w:sz w:val="22"/>
        </w:rPr>
        <w:t>adult</w:t>
      </w:r>
      <w:r>
        <w:rPr>
          <w:spacing w:val="-11"/>
          <w:sz w:val="22"/>
        </w:rPr>
        <w:t> </w:t>
      </w:r>
      <w:r>
        <w:rPr>
          <w:sz w:val="22"/>
        </w:rPr>
        <w:t>members with</w:t>
      </w:r>
      <w:r>
        <w:rPr>
          <w:spacing w:val="-7"/>
          <w:sz w:val="22"/>
        </w:rPr>
        <w:t> </w:t>
      </w:r>
      <w:r>
        <w:rPr>
          <w:sz w:val="22"/>
        </w:rPr>
        <w:t>a</w:t>
      </w:r>
      <w:r>
        <w:rPr>
          <w:spacing w:val="-7"/>
          <w:sz w:val="22"/>
        </w:rPr>
        <w:t> </w:t>
      </w:r>
      <w:r>
        <w:rPr>
          <w:sz w:val="22"/>
        </w:rPr>
        <w:t>diagnosis</w:t>
      </w:r>
      <w:r>
        <w:rPr>
          <w:spacing w:val="-7"/>
          <w:sz w:val="22"/>
        </w:rPr>
        <w:t> </w:t>
      </w:r>
      <w:r>
        <w:rPr>
          <w:sz w:val="22"/>
        </w:rPr>
        <w:t>of</w:t>
      </w:r>
      <w:r>
        <w:rPr>
          <w:spacing w:val="-6"/>
          <w:sz w:val="22"/>
        </w:rPr>
        <w:t> </w:t>
      </w:r>
      <w:r>
        <w:rPr>
          <w:sz w:val="22"/>
        </w:rPr>
        <w:t>Serious</w:t>
      </w:r>
      <w:r>
        <w:rPr>
          <w:spacing w:val="-9"/>
          <w:sz w:val="22"/>
        </w:rPr>
        <w:t> </w:t>
      </w:r>
      <w:r>
        <w:rPr>
          <w:sz w:val="22"/>
        </w:rPr>
        <w:t>Mental</w:t>
      </w:r>
      <w:r>
        <w:rPr>
          <w:spacing w:val="-6"/>
          <w:sz w:val="22"/>
        </w:rPr>
        <w:t> </w:t>
      </w:r>
      <w:r>
        <w:rPr>
          <w:sz w:val="22"/>
        </w:rPr>
        <w:t>Illness</w:t>
      </w:r>
      <w:r>
        <w:rPr>
          <w:spacing w:val="-7"/>
          <w:sz w:val="22"/>
        </w:rPr>
        <w:t> </w:t>
      </w:r>
      <w:r>
        <w:rPr>
          <w:sz w:val="22"/>
        </w:rPr>
        <w:t>(SMI)</w:t>
      </w:r>
      <w:r>
        <w:rPr>
          <w:spacing w:val="-6"/>
          <w:sz w:val="22"/>
        </w:rPr>
        <w:t> </w:t>
      </w:r>
      <w:r>
        <w:rPr>
          <w:sz w:val="22"/>
        </w:rPr>
        <w:t>and/or</w:t>
      </w:r>
      <w:r>
        <w:rPr>
          <w:spacing w:val="-9"/>
          <w:sz w:val="22"/>
        </w:rPr>
        <w:t> </w:t>
      </w:r>
      <w:r>
        <w:rPr>
          <w:sz w:val="22"/>
        </w:rPr>
        <w:t>Substance</w:t>
      </w:r>
      <w:r>
        <w:rPr>
          <w:spacing w:val="-7"/>
          <w:sz w:val="22"/>
        </w:rPr>
        <w:t> </w:t>
      </w:r>
      <w:r>
        <w:rPr>
          <w:sz w:val="22"/>
        </w:rPr>
        <w:t>Use</w:t>
      </w:r>
      <w:r>
        <w:rPr>
          <w:spacing w:val="-7"/>
          <w:sz w:val="22"/>
        </w:rPr>
        <w:t> </w:t>
      </w:r>
      <w:r>
        <w:rPr>
          <w:sz w:val="22"/>
        </w:rPr>
        <w:t>Disorders</w:t>
      </w:r>
      <w:r>
        <w:rPr>
          <w:spacing w:val="-9"/>
          <w:sz w:val="22"/>
        </w:rPr>
        <w:t> </w:t>
      </w:r>
      <w:r>
        <w:rPr>
          <w:sz w:val="22"/>
        </w:rPr>
        <w:t>(SUD)</w:t>
      </w:r>
      <w:r>
        <w:rPr>
          <w:spacing w:val="-6"/>
          <w:sz w:val="22"/>
        </w:rPr>
        <w:t> </w:t>
      </w:r>
      <w:r>
        <w:rPr>
          <w:sz w:val="22"/>
        </w:rPr>
        <w:t>as</w:t>
      </w:r>
      <w:r>
        <w:rPr>
          <w:spacing w:val="-7"/>
          <w:sz w:val="22"/>
        </w:rPr>
        <w:t> </w:t>
      </w:r>
      <w:r>
        <w:rPr>
          <w:sz w:val="22"/>
        </w:rPr>
        <w:t>well</w:t>
      </w:r>
      <w:r>
        <w:rPr>
          <w:spacing w:val="-6"/>
          <w:sz w:val="22"/>
        </w:rPr>
        <w:t> </w:t>
      </w:r>
      <w:r>
        <w:rPr>
          <w:sz w:val="22"/>
        </w:rPr>
        <w:t>as adult members who exhibit SMI and SUD needs, but have not been diagnosed, as defined by the </w:t>
      </w:r>
      <w:r>
        <w:rPr>
          <w:spacing w:val="-2"/>
          <w:sz w:val="22"/>
        </w:rPr>
        <w:t>State.</w:t>
      </w:r>
    </w:p>
    <w:p>
      <w:pPr>
        <w:pStyle w:val="ListParagraph"/>
        <w:numPr>
          <w:ilvl w:val="3"/>
          <w:numId w:val="62"/>
        </w:numPr>
        <w:tabs>
          <w:tab w:pos="1938" w:val="left" w:leader="none"/>
          <w:tab w:pos="1940" w:val="left" w:leader="none"/>
        </w:tabs>
        <w:spacing w:line="240" w:lineRule="auto" w:before="198" w:after="0"/>
        <w:ind w:left="1940" w:right="1093" w:hanging="361"/>
        <w:jc w:val="both"/>
        <w:rPr>
          <w:sz w:val="22"/>
        </w:rPr>
      </w:pPr>
      <w:r>
        <w:rPr>
          <w:b/>
          <w:sz w:val="22"/>
        </w:rPr>
        <w:t>LTSS</w:t>
      </w:r>
      <w:r>
        <w:rPr>
          <w:b/>
          <w:spacing w:val="-12"/>
          <w:sz w:val="22"/>
        </w:rPr>
        <w:t> </w:t>
      </w:r>
      <w:r>
        <w:rPr>
          <w:b/>
          <w:sz w:val="22"/>
        </w:rPr>
        <w:t>Community</w:t>
      </w:r>
      <w:r>
        <w:rPr>
          <w:b/>
          <w:spacing w:val="-14"/>
          <w:sz w:val="22"/>
        </w:rPr>
        <w:t> </w:t>
      </w:r>
      <w:r>
        <w:rPr>
          <w:b/>
          <w:sz w:val="22"/>
        </w:rPr>
        <w:t>Partners</w:t>
      </w:r>
      <w:r>
        <w:rPr>
          <w:b/>
          <w:spacing w:val="-11"/>
          <w:sz w:val="22"/>
        </w:rPr>
        <w:t> </w:t>
      </w:r>
      <w:r>
        <w:rPr>
          <w:sz w:val="22"/>
        </w:rPr>
        <w:t>(LTSS</w:t>
      </w:r>
      <w:r>
        <w:rPr>
          <w:spacing w:val="-12"/>
          <w:sz w:val="22"/>
        </w:rPr>
        <w:t> </w:t>
      </w:r>
      <w:r>
        <w:rPr>
          <w:sz w:val="22"/>
        </w:rPr>
        <w:t>CPs):</w:t>
      </w:r>
      <w:r>
        <w:rPr>
          <w:spacing w:val="-11"/>
          <w:sz w:val="22"/>
        </w:rPr>
        <w:t> </w:t>
      </w:r>
      <w:r>
        <w:rPr>
          <w:sz w:val="22"/>
        </w:rPr>
        <w:t>LTSS</w:t>
      </w:r>
      <w:r>
        <w:rPr>
          <w:spacing w:val="-12"/>
          <w:sz w:val="22"/>
        </w:rPr>
        <w:t> </w:t>
      </w:r>
      <w:r>
        <w:rPr>
          <w:sz w:val="22"/>
        </w:rPr>
        <w:t>CPs</w:t>
      </w:r>
      <w:r>
        <w:rPr>
          <w:spacing w:val="-14"/>
          <w:sz w:val="22"/>
        </w:rPr>
        <w:t> </w:t>
      </w:r>
      <w:r>
        <w:rPr>
          <w:sz w:val="22"/>
        </w:rPr>
        <w:t>will</w:t>
      </w:r>
      <w:r>
        <w:rPr>
          <w:spacing w:val="-13"/>
          <w:sz w:val="22"/>
        </w:rPr>
        <w:t> </w:t>
      </w:r>
      <w:r>
        <w:rPr>
          <w:sz w:val="22"/>
        </w:rPr>
        <w:t>support</w:t>
      </w:r>
      <w:r>
        <w:rPr>
          <w:spacing w:val="-11"/>
          <w:sz w:val="22"/>
        </w:rPr>
        <w:t> </w:t>
      </w:r>
      <w:r>
        <w:rPr>
          <w:sz w:val="22"/>
        </w:rPr>
        <w:t>eligible</w:t>
      </w:r>
      <w:r>
        <w:rPr>
          <w:spacing w:val="-11"/>
          <w:sz w:val="22"/>
        </w:rPr>
        <w:t> </w:t>
      </w:r>
      <w:r>
        <w:rPr>
          <w:sz w:val="22"/>
        </w:rPr>
        <w:t>members</w:t>
      </w:r>
      <w:r>
        <w:rPr>
          <w:spacing w:val="-11"/>
          <w:sz w:val="22"/>
        </w:rPr>
        <w:t> </w:t>
      </w:r>
      <w:r>
        <w:rPr>
          <w:sz w:val="22"/>
        </w:rPr>
        <w:t>ages</w:t>
      </w:r>
      <w:r>
        <w:rPr>
          <w:spacing w:val="-11"/>
          <w:sz w:val="22"/>
        </w:rPr>
        <w:t> </w:t>
      </w:r>
      <w:r>
        <w:rPr>
          <w:sz w:val="22"/>
        </w:rPr>
        <w:t>three</w:t>
      </w:r>
      <w:r>
        <w:rPr>
          <w:spacing w:val="-11"/>
          <w:sz w:val="22"/>
        </w:rPr>
        <w:t> </w:t>
      </w:r>
      <w:r>
        <w:rPr>
          <w:sz w:val="22"/>
        </w:rPr>
        <w:t>and older</w:t>
      </w:r>
      <w:r>
        <w:rPr>
          <w:spacing w:val="-2"/>
          <w:sz w:val="22"/>
        </w:rPr>
        <w:t> </w:t>
      </w:r>
      <w:r>
        <w:rPr>
          <w:sz w:val="22"/>
        </w:rPr>
        <w:t>with</w:t>
      </w:r>
      <w:r>
        <w:rPr>
          <w:spacing w:val="-3"/>
          <w:sz w:val="22"/>
        </w:rPr>
        <w:t> </w:t>
      </w:r>
      <w:r>
        <w:rPr>
          <w:sz w:val="22"/>
        </w:rPr>
        <w:t>complex</w:t>
      </w:r>
      <w:r>
        <w:rPr>
          <w:spacing w:val="-3"/>
          <w:sz w:val="22"/>
        </w:rPr>
        <w:t> </w:t>
      </w:r>
      <w:r>
        <w:rPr>
          <w:sz w:val="22"/>
        </w:rPr>
        <w:t>LTSS</w:t>
      </w:r>
      <w:r>
        <w:rPr>
          <w:spacing w:val="-4"/>
          <w:sz w:val="22"/>
        </w:rPr>
        <w:t> </w:t>
      </w:r>
      <w:r>
        <w:rPr>
          <w:sz w:val="22"/>
        </w:rPr>
        <w:t>needs,</w:t>
      </w:r>
      <w:r>
        <w:rPr>
          <w:spacing w:val="-3"/>
          <w:sz w:val="22"/>
        </w:rPr>
        <w:t> </w:t>
      </w:r>
      <w:r>
        <w:rPr>
          <w:sz w:val="22"/>
        </w:rPr>
        <w:t>which</w:t>
      </w:r>
      <w:r>
        <w:rPr>
          <w:spacing w:val="-3"/>
          <w:sz w:val="22"/>
        </w:rPr>
        <w:t> </w:t>
      </w:r>
      <w:r>
        <w:rPr>
          <w:sz w:val="22"/>
        </w:rPr>
        <w:t>may</w:t>
      </w:r>
      <w:r>
        <w:rPr>
          <w:spacing w:val="-6"/>
          <w:sz w:val="22"/>
        </w:rPr>
        <w:t> </w:t>
      </w:r>
      <w:r>
        <w:rPr>
          <w:sz w:val="22"/>
        </w:rPr>
        <w:t>include</w:t>
      </w:r>
      <w:r>
        <w:rPr>
          <w:spacing w:val="-3"/>
          <w:sz w:val="22"/>
        </w:rPr>
        <w:t> </w:t>
      </w:r>
      <w:r>
        <w:rPr>
          <w:sz w:val="22"/>
        </w:rPr>
        <w:t>members</w:t>
      </w:r>
      <w:r>
        <w:rPr>
          <w:spacing w:val="-3"/>
          <w:sz w:val="22"/>
        </w:rPr>
        <w:t> </w:t>
      </w:r>
      <w:r>
        <w:rPr>
          <w:sz w:val="22"/>
        </w:rPr>
        <w:t>with</w:t>
      </w:r>
      <w:r>
        <w:rPr>
          <w:spacing w:val="-6"/>
          <w:sz w:val="22"/>
        </w:rPr>
        <w:t> </w:t>
      </w:r>
      <w:r>
        <w:rPr>
          <w:sz w:val="22"/>
        </w:rPr>
        <w:t>physical</w:t>
      </w:r>
      <w:r>
        <w:rPr>
          <w:spacing w:val="-2"/>
          <w:sz w:val="22"/>
        </w:rPr>
        <w:t> </w:t>
      </w:r>
      <w:r>
        <w:rPr>
          <w:sz w:val="22"/>
        </w:rPr>
        <w:t>disabilities,</w:t>
      </w:r>
      <w:r>
        <w:rPr>
          <w:spacing w:val="-3"/>
          <w:sz w:val="22"/>
        </w:rPr>
        <w:t> </w:t>
      </w:r>
      <w:r>
        <w:rPr>
          <w:sz w:val="22"/>
        </w:rPr>
        <w:t>members with acquired or traumatic brain injury, members with intellectual or developmental disabilities (ID/DD) and others, as defined by the State.</w:t>
      </w:r>
    </w:p>
    <w:p>
      <w:pPr>
        <w:spacing w:before="199"/>
        <w:ind w:left="1220" w:right="1094" w:firstLine="0"/>
        <w:jc w:val="both"/>
        <w:rPr>
          <w:sz w:val="22"/>
        </w:rPr>
      </w:pPr>
      <w:r>
        <w:rPr>
          <w:b/>
          <w:sz w:val="22"/>
        </w:rPr>
        <w:t>Community Service Agencies </w:t>
      </w:r>
      <w:r>
        <w:rPr>
          <w:sz w:val="22"/>
        </w:rPr>
        <w:t>(CSAs): Additionally, existing provider entities, known as Community Service Agencies (CSAs) currently provide State Plan intensive care coordination services to eligible MassHealth</w:t>
      </w:r>
      <w:r>
        <w:rPr>
          <w:spacing w:val="-7"/>
          <w:sz w:val="22"/>
        </w:rPr>
        <w:t> </w:t>
      </w:r>
      <w:r>
        <w:rPr>
          <w:sz w:val="22"/>
        </w:rPr>
        <w:t>members</w:t>
      </w:r>
      <w:r>
        <w:rPr>
          <w:spacing w:val="-7"/>
          <w:sz w:val="22"/>
        </w:rPr>
        <w:t> </w:t>
      </w:r>
      <w:r>
        <w:rPr>
          <w:sz w:val="22"/>
        </w:rPr>
        <w:t>under</w:t>
      </w:r>
      <w:r>
        <w:rPr>
          <w:spacing w:val="-6"/>
          <w:sz w:val="22"/>
        </w:rPr>
        <w:t> </w:t>
      </w:r>
      <w:r>
        <w:rPr>
          <w:sz w:val="22"/>
        </w:rPr>
        <w:t>21</w:t>
      </w:r>
      <w:r>
        <w:rPr>
          <w:spacing w:val="-7"/>
          <w:sz w:val="22"/>
        </w:rPr>
        <w:t> </w:t>
      </w:r>
      <w:r>
        <w:rPr>
          <w:sz w:val="22"/>
        </w:rPr>
        <w:t>years</w:t>
      </w:r>
      <w:r>
        <w:rPr>
          <w:spacing w:val="-7"/>
          <w:sz w:val="22"/>
        </w:rPr>
        <w:t> </w:t>
      </w:r>
      <w:r>
        <w:rPr>
          <w:sz w:val="22"/>
        </w:rPr>
        <w:t>of</w:t>
      </w:r>
      <w:r>
        <w:rPr>
          <w:spacing w:val="-6"/>
          <w:sz w:val="22"/>
        </w:rPr>
        <w:t> </w:t>
      </w:r>
      <w:r>
        <w:rPr>
          <w:sz w:val="22"/>
        </w:rPr>
        <w:t>age</w:t>
      </w:r>
      <w:r>
        <w:rPr>
          <w:spacing w:val="-7"/>
          <w:sz w:val="22"/>
        </w:rPr>
        <w:t> </w:t>
      </w:r>
      <w:r>
        <w:rPr>
          <w:sz w:val="22"/>
        </w:rPr>
        <w:t>with</w:t>
      </w:r>
      <w:r>
        <w:rPr>
          <w:spacing w:val="-7"/>
          <w:sz w:val="22"/>
        </w:rPr>
        <w:t> </w:t>
      </w:r>
      <w:r>
        <w:rPr>
          <w:sz w:val="22"/>
        </w:rPr>
        <w:t>Serious</w:t>
      </w:r>
      <w:r>
        <w:rPr>
          <w:spacing w:val="-7"/>
          <w:sz w:val="22"/>
        </w:rPr>
        <w:t> </w:t>
      </w:r>
      <w:r>
        <w:rPr>
          <w:sz w:val="22"/>
        </w:rPr>
        <w:t>Emotional</w:t>
      </w:r>
      <w:r>
        <w:rPr>
          <w:spacing w:val="-6"/>
          <w:sz w:val="22"/>
        </w:rPr>
        <w:t> </w:t>
      </w:r>
      <w:r>
        <w:rPr>
          <w:sz w:val="22"/>
        </w:rPr>
        <w:t>Disturbances</w:t>
      </w:r>
      <w:r>
        <w:rPr>
          <w:spacing w:val="-9"/>
          <w:sz w:val="22"/>
        </w:rPr>
        <w:t> </w:t>
      </w:r>
      <w:r>
        <w:rPr>
          <w:sz w:val="22"/>
        </w:rPr>
        <w:t>(SED).</w:t>
      </w:r>
      <w:r>
        <w:rPr>
          <w:spacing w:val="-9"/>
          <w:sz w:val="22"/>
        </w:rPr>
        <w:t> </w:t>
      </w:r>
      <w:r>
        <w:rPr>
          <w:sz w:val="22"/>
        </w:rPr>
        <w:t>These</w:t>
      </w:r>
      <w:r>
        <w:rPr>
          <w:spacing w:val="-7"/>
          <w:sz w:val="22"/>
        </w:rPr>
        <w:t> </w:t>
      </w:r>
      <w:r>
        <w:rPr>
          <w:sz w:val="22"/>
        </w:rPr>
        <w:t>CSAs</w:t>
      </w:r>
      <w:r>
        <w:rPr>
          <w:spacing w:val="-7"/>
          <w:sz w:val="22"/>
        </w:rPr>
        <w:t> </w:t>
      </w:r>
      <w:r>
        <w:rPr>
          <w:sz w:val="22"/>
        </w:rPr>
        <w:t>will be eligible to receive DSRIP funds for infrastructure and workforce capacity building. CSAs will not receive DSRIP funds as payment for the provision of Massachusetts State Plan services.</w:t>
      </w:r>
    </w:p>
    <w:p>
      <w:pPr>
        <w:pStyle w:val="Heading5"/>
        <w:numPr>
          <w:ilvl w:val="2"/>
          <w:numId w:val="62"/>
        </w:numPr>
        <w:tabs>
          <w:tab w:pos="1940" w:val="left" w:leader="none"/>
        </w:tabs>
        <w:spacing w:line="276" w:lineRule="exact" w:before="200" w:after="0"/>
        <w:ind w:left="1940" w:right="0" w:hanging="720"/>
        <w:jc w:val="both"/>
      </w:pPr>
      <w:bookmarkStart w:name="1.4.3 Statewide Investments" w:id="1230"/>
      <w:bookmarkEnd w:id="1230"/>
      <w:r>
        <w:rPr>
          <w:b w:val="0"/>
        </w:rPr>
      </w:r>
      <w:bookmarkStart w:name="_bookmark15" w:id="1231"/>
      <w:bookmarkEnd w:id="1231"/>
      <w:r>
        <w:rPr>
          <w:b w:val="0"/>
        </w:rPr>
      </w:r>
      <w:r>
        <w:rPr>
          <w:color w:val="4471C4"/>
        </w:rPr>
        <w:t>Statewide</w:t>
      </w:r>
      <w:r>
        <w:rPr>
          <w:color w:val="4471C4"/>
          <w:spacing w:val="-3"/>
        </w:rPr>
        <w:t> </w:t>
      </w:r>
      <w:r>
        <w:rPr>
          <w:color w:val="4471C4"/>
          <w:spacing w:val="-2"/>
        </w:rPr>
        <w:t>Investments</w:t>
      </w:r>
    </w:p>
    <w:p>
      <w:pPr>
        <w:spacing w:before="0"/>
        <w:ind w:left="1220" w:right="1094" w:firstLine="0"/>
        <w:jc w:val="both"/>
        <w:rPr>
          <w:sz w:val="22"/>
        </w:rPr>
      </w:pPr>
      <w:r>
        <w:rPr>
          <w:sz w:val="22"/>
        </w:rPr>
        <w:t>Statewide Investments are part of the State’s strategy to efficiently scale up statewide infrastructure and workforce capacity, and will play a key role in moving Massachusetts towards achievement of its care delivery</w:t>
      </w:r>
      <w:r>
        <w:rPr>
          <w:spacing w:val="-10"/>
          <w:sz w:val="22"/>
        </w:rPr>
        <w:t> </w:t>
      </w:r>
      <w:r>
        <w:rPr>
          <w:sz w:val="22"/>
        </w:rPr>
        <w:t>and</w:t>
      </w:r>
      <w:r>
        <w:rPr>
          <w:spacing w:val="-7"/>
          <w:sz w:val="22"/>
        </w:rPr>
        <w:t> </w:t>
      </w:r>
      <w:r>
        <w:rPr>
          <w:sz w:val="22"/>
        </w:rPr>
        <w:t>payment</w:t>
      </w:r>
      <w:r>
        <w:rPr>
          <w:spacing w:val="-6"/>
          <w:sz w:val="22"/>
        </w:rPr>
        <w:t> </w:t>
      </w:r>
      <w:r>
        <w:rPr>
          <w:sz w:val="22"/>
        </w:rPr>
        <w:t>reform</w:t>
      </w:r>
      <w:r>
        <w:rPr>
          <w:spacing w:val="-8"/>
          <w:sz w:val="22"/>
        </w:rPr>
        <w:t> </w:t>
      </w:r>
      <w:r>
        <w:rPr>
          <w:sz w:val="22"/>
        </w:rPr>
        <w:t>goals.</w:t>
      </w:r>
      <w:r>
        <w:rPr>
          <w:spacing w:val="-9"/>
          <w:sz w:val="22"/>
        </w:rPr>
        <w:t> </w:t>
      </w:r>
      <w:r>
        <w:rPr>
          <w:sz w:val="22"/>
        </w:rPr>
        <w:t>Massachusetts</w:t>
      </w:r>
      <w:r>
        <w:rPr>
          <w:spacing w:val="-7"/>
          <w:sz w:val="22"/>
        </w:rPr>
        <w:t> </w:t>
      </w:r>
      <w:r>
        <w:rPr>
          <w:sz w:val="22"/>
        </w:rPr>
        <w:t>will</w:t>
      </w:r>
      <w:r>
        <w:rPr>
          <w:spacing w:val="-9"/>
          <w:sz w:val="22"/>
        </w:rPr>
        <w:t> </w:t>
      </w:r>
      <w:r>
        <w:rPr>
          <w:sz w:val="22"/>
        </w:rPr>
        <w:t>utilize</w:t>
      </w:r>
      <w:r>
        <w:rPr>
          <w:spacing w:val="-7"/>
          <w:sz w:val="22"/>
        </w:rPr>
        <w:t> </w:t>
      </w:r>
      <w:r>
        <w:rPr>
          <w:sz w:val="22"/>
        </w:rPr>
        <w:t>DSRIP</w:t>
      </w:r>
      <w:r>
        <w:rPr>
          <w:spacing w:val="-8"/>
          <w:sz w:val="22"/>
        </w:rPr>
        <w:t> </w:t>
      </w:r>
      <w:r>
        <w:rPr>
          <w:sz w:val="22"/>
        </w:rPr>
        <w:t>funds</w:t>
      </w:r>
      <w:r>
        <w:rPr>
          <w:spacing w:val="-9"/>
          <w:sz w:val="22"/>
        </w:rPr>
        <w:t> </w:t>
      </w:r>
      <w:r>
        <w:rPr>
          <w:sz w:val="22"/>
        </w:rPr>
        <w:t>to</w:t>
      </w:r>
      <w:r>
        <w:rPr>
          <w:spacing w:val="-9"/>
          <w:sz w:val="22"/>
        </w:rPr>
        <w:t> </w:t>
      </w:r>
      <w:r>
        <w:rPr>
          <w:sz w:val="22"/>
        </w:rPr>
        <w:t>invest</w:t>
      </w:r>
      <w:r>
        <w:rPr>
          <w:spacing w:val="-9"/>
          <w:sz w:val="22"/>
        </w:rPr>
        <w:t> </w:t>
      </w:r>
      <w:r>
        <w:rPr>
          <w:sz w:val="22"/>
        </w:rPr>
        <w:t>in</w:t>
      </w:r>
      <w:r>
        <w:rPr>
          <w:spacing w:val="-10"/>
          <w:sz w:val="22"/>
        </w:rPr>
        <w:t> </w:t>
      </w:r>
      <w:r>
        <w:rPr>
          <w:sz w:val="22"/>
        </w:rPr>
        <w:t>the</w:t>
      </w:r>
      <w:r>
        <w:rPr>
          <w:spacing w:val="-9"/>
          <w:sz w:val="22"/>
        </w:rPr>
        <w:t> </w:t>
      </w:r>
      <w:r>
        <w:rPr>
          <w:sz w:val="22"/>
        </w:rPr>
        <w:t>following</w:t>
      </w:r>
      <w:r>
        <w:rPr>
          <w:spacing w:val="-10"/>
          <w:sz w:val="22"/>
        </w:rPr>
        <w:t> </w:t>
      </w:r>
      <w:r>
        <w:rPr>
          <w:sz w:val="22"/>
        </w:rPr>
        <w:t>eight high priority initiatives:</w:t>
      </w:r>
    </w:p>
    <w:p>
      <w:pPr>
        <w:pStyle w:val="ListParagraph"/>
        <w:numPr>
          <w:ilvl w:val="0"/>
          <w:numId w:val="64"/>
        </w:numPr>
        <w:tabs>
          <w:tab w:pos="1938" w:val="left" w:leader="none"/>
        </w:tabs>
        <w:spacing w:line="240" w:lineRule="auto" w:before="161" w:after="0"/>
        <w:ind w:left="1938" w:right="0" w:hanging="359"/>
        <w:jc w:val="left"/>
        <w:rPr>
          <w:sz w:val="22"/>
        </w:rPr>
      </w:pPr>
      <w:r>
        <w:rPr>
          <w:sz w:val="22"/>
        </w:rPr>
        <w:t>Student</w:t>
      </w:r>
      <w:r>
        <w:rPr>
          <w:spacing w:val="-4"/>
          <w:sz w:val="22"/>
        </w:rPr>
        <w:t> </w:t>
      </w:r>
      <w:r>
        <w:rPr>
          <w:sz w:val="22"/>
        </w:rPr>
        <w:t>loan</w:t>
      </w:r>
      <w:r>
        <w:rPr>
          <w:spacing w:val="-6"/>
          <w:sz w:val="22"/>
        </w:rPr>
        <w:t> </w:t>
      </w:r>
      <w:r>
        <w:rPr>
          <w:sz w:val="22"/>
        </w:rPr>
        <w:t>repayment</w:t>
      </w:r>
      <w:r>
        <w:rPr>
          <w:spacing w:val="-3"/>
          <w:sz w:val="22"/>
        </w:rPr>
        <w:t> </w:t>
      </w:r>
      <w:r>
        <w:rPr>
          <w:spacing w:val="-2"/>
          <w:sz w:val="22"/>
        </w:rPr>
        <w:t>program</w:t>
      </w:r>
    </w:p>
    <w:p>
      <w:pPr>
        <w:pStyle w:val="ListParagraph"/>
        <w:numPr>
          <w:ilvl w:val="0"/>
          <w:numId w:val="64"/>
        </w:numPr>
        <w:tabs>
          <w:tab w:pos="1938" w:val="left" w:leader="none"/>
        </w:tabs>
        <w:spacing w:line="240" w:lineRule="auto" w:before="201" w:after="0"/>
        <w:ind w:left="1938" w:right="0" w:hanging="359"/>
        <w:jc w:val="left"/>
        <w:rPr>
          <w:sz w:val="22"/>
        </w:rPr>
      </w:pPr>
      <w:r>
        <w:rPr>
          <w:sz w:val="22"/>
        </w:rPr>
        <w:t>Primary</w:t>
      </w:r>
      <w:r>
        <w:rPr>
          <w:spacing w:val="-6"/>
          <w:sz w:val="22"/>
        </w:rPr>
        <w:t> </w:t>
      </w:r>
      <w:r>
        <w:rPr>
          <w:sz w:val="22"/>
        </w:rPr>
        <w:t>care</w:t>
      </w:r>
      <w:r>
        <w:rPr>
          <w:spacing w:val="-4"/>
          <w:sz w:val="22"/>
        </w:rPr>
        <w:t> </w:t>
      </w:r>
      <w:r>
        <w:rPr>
          <w:sz w:val="22"/>
        </w:rPr>
        <w:t>integration</w:t>
      </w:r>
      <w:r>
        <w:rPr>
          <w:spacing w:val="-3"/>
          <w:sz w:val="22"/>
        </w:rPr>
        <w:t> </w:t>
      </w:r>
      <w:r>
        <w:rPr>
          <w:sz w:val="22"/>
        </w:rPr>
        <w:t>models</w:t>
      </w:r>
      <w:r>
        <w:rPr>
          <w:spacing w:val="-5"/>
          <w:sz w:val="22"/>
        </w:rPr>
        <w:t> </w:t>
      </w:r>
      <w:r>
        <w:rPr>
          <w:sz w:val="22"/>
        </w:rPr>
        <w:t>and</w:t>
      </w:r>
      <w:r>
        <w:rPr>
          <w:spacing w:val="-5"/>
          <w:sz w:val="22"/>
        </w:rPr>
        <w:t> </w:t>
      </w:r>
      <w:r>
        <w:rPr>
          <w:sz w:val="22"/>
        </w:rPr>
        <w:t>retention</w:t>
      </w:r>
      <w:r>
        <w:rPr>
          <w:spacing w:val="-5"/>
          <w:sz w:val="22"/>
        </w:rPr>
        <w:t> </w:t>
      </w:r>
      <w:r>
        <w:rPr>
          <w:spacing w:val="-2"/>
          <w:sz w:val="22"/>
        </w:rPr>
        <w:t>program</w:t>
      </w:r>
    </w:p>
    <w:p>
      <w:pPr>
        <w:pStyle w:val="ListParagraph"/>
        <w:numPr>
          <w:ilvl w:val="0"/>
          <w:numId w:val="64"/>
        </w:numPr>
        <w:tabs>
          <w:tab w:pos="1938" w:val="left" w:leader="none"/>
        </w:tabs>
        <w:spacing w:line="240" w:lineRule="auto" w:before="200" w:after="0"/>
        <w:ind w:left="1938" w:right="0" w:hanging="359"/>
        <w:jc w:val="left"/>
        <w:rPr>
          <w:sz w:val="22"/>
        </w:rPr>
      </w:pPr>
      <w:r>
        <w:rPr>
          <w:sz w:val="22"/>
        </w:rPr>
        <w:t>Expanded</w:t>
      </w:r>
      <w:r>
        <w:rPr>
          <w:spacing w:val="-7"/>
          <w:sz w:val="22"/>
        </w:rPr>
        <w:t> </w:t>
      </w:r>
      <w:r>
        <w:rPr>
          <w:sz w:val="22"/>
        </w:rPr>
        <w:t>support</w:t>
      </w:r>
      <w:r>
        <w:rPr>
          <w:spacing w:val="-4"/>
          <w:sz w:val="22"/>
        </w:rPr>
        <w:t> </w:t>
      </w:r>
      <w:r>
        <w:rPr>
          <w:sz w:val="22"/>
        </w:rPr>
        <w:t>of</w:t>
      </w:r>
      <w:r>
        <w:rPr>
          <w:spacing w:val="-4"/>
          <w:sz w:val="22"/>
        </w:rPr>
        <w:t> </w:t>
      </w:r>
      <w:r>
        <w:rPr>
          <w:sz w:val="22"/>
        </w:rPr>
        <w:t>residency</w:t>
      </w:r>
      <w:r>
        <w:rPr>
          <w:spacing w:val="-4"/>
          <w:sz w:val="22"/>
        </w:rPr>
        <w:t> </w:t>
      </w:r>
      <w:r>
        <w:rPr>
          <w:sz w:val="22"/>
        </w:rPr>
        <w:t>slots</w:t>
      </w:r>
      <w:r>
        <w:rPr>
          <w:spacing w:val="-2"/>
          <w:sz w:val="22"/>
        </w:rPr>
        <w:t> </w:t>
      </w:r>
      <w:r>
        <w:rPr>
          <w:sz w:val="22"/>
        </w:rPr>
        <w:t>at</w:t>
      </w:r>
      <w:r>
        <w:rPr>
          <w:spacing w:val="-1"/>
          <w:sz w:val="22"/>
        </w:rPr>
        <w:t> </w:t>
      </w:r>
      <w:r>
        <w:rPr>
          <w:sz w:val="22"/>
        </w:rPr>
        <w:t>community</w:t>
      </w:r>
      <w:r>
        <w:rPr>
          <w:spacing w:val="-5"/>
          <w:sz w:val="22"/>
        </w:rPr>
        <w:t> </w:t>
      </w:r>
      <w:r>
        <w:rPr>
          <w:sz w:val="22"/>
        </w:rPr>
        <w:t>health</w:t>
      </w:r>
      <w:r>
        <w:rPr>
          <w:spacing w:val="-4"/>
          <w:sz w:val="22"/>
        </w:rPr>
        <w:t> </w:t>
      </w:r>
      <w:r>
        <w:rPr>
          <w:spacing w:val="-2"/>
          <w:sz w:val="22"/>
        </w:rPr>
        <w:t>centers</w:t>
      </w:r>
    </w:p>
    <w:p>
      <w:pPr>
        <w:pStyle w:val="ListParagraph"/>
        <w:numPr>
          <w:ilvl w:val="0"/>
          <w:numId w:val="64"/>
        </w:numPr>
        <w:tabs>
          <w:tab w:pos="1938" w:val="left" w:leader="none"/>
        </w:tabs>
        <w:spacing w:line="240" w:lineRule="auto" w:before="201" w:after="0"/>
        <w:ind w:left="1938" w:right="0" w:hanging="359"/>
        <w:jc w:val="left"/>
        <w:rPr>
          <w:sz w:val="22"/>
        </w:rPr>
      </w:pPr>
      <w:r>
        <w:rPr>
          <w:sz w:val="22"/>
        </w:rPr>
        <w:t>Workforce</w:t>
      </w:r>
      <w:r>
        <w:rPr>
          <w:spacing w:val="-7"/>
          <w:sz w:val="22"/>
        </w:rPr>
        <w:t> </w:t>
      </w:r>
      <w:r>
        <w:rPr>
          <w:sz w:val="22"/>
        </w:rPr>
        <w:t>professional</w:t>
      </w:r>
      <w:r>
        <w:rPr>
          <w:spacing w:val="-6"/>
          <w:sz w:val="22"/>
        </w:rPr>
        <w:t> </w:t>
      </w:r>
      <w:r>
        <w:rPr>
          <w:sz w:val="22"/>
        </w:rPr>
        <w:t>development</w:t>
      </w:r>
      <w:r>
        <w:rPr>
          <w:spacing w:val="-6"/>
          <w:sz w:val="22"/>
        </w:rPr>
        <w:t> </w:t>
      </w:r>
      <w:r>
        <w:rPr>
          <w:sz w:val="22"/>
        </w:rPr>
        <w:t>grant</w:t>
      </w:r>
      <w:r>
        <w:rPr>
          <w:spacing w:val="-6"/>
          <w:sz w:val="22"/>
        </w:rPr>
        <w:t> </w:t>
      </w:r>
      <w:r>
        <w:rPr>
          <w:spacing w:val="-2"/>
          <w:sz w:val="22"/>
        </w:rPr>
        <w:t>program</w:t>
      </w:r>
    </w:p>
    <w:p>
      <w:pPr>
        <w:pStyle w:val="ListParagraph"/>
        <w:numPr>
          <w:ilvl w:val="0"/>
          <w:numId w:val="64"/>
        </w:numPr>
        <w:tabs>
          <w:tab w:pos="1938" w:val="left" w:leader="none"/>
        </w:tabs>
        <w:spacing w:line="240" w:lineRule="auto" w:before="198" w:after="0"/>
        <w:ind w:left="1938" w:right="0" w:hanging="359"/>
        <w:jc w:val="left"/>
        <w:rPr>
          <w:sz w:val="22"/>
        </w:rPr>
      </w:pPr>
      <w:r>
        <w:rPr>
          <w:sz w:val="22"/>
        </w:rPr>
        <w:t>Technical</w:t>
      </w:r>
      <w:r>
        <w:rPr>
          <w:spacing w:val="-4"/>
          <w:sz w:val="22"/>
        </w:rPr>
        <w:t> </w:t>
      </w:r>
      <w:r>
        <w:rPr>
          <w:sz w:val="22"/>
        </w:rPr>
        <w:t>assistance</w:t>
      </w:r>
      <w:r>
        <w:rPr>
          <w:spacing w:val="-6"/>
          <w:sz w:val="22"/>
        </w:rPr>
        <w:t> </w:t>
      </w:r>
      <w:r>
        <w:rPr>
          <w:sz w:val="22"/>
        </w:rPr>
        <w:t>to</w:t>
      </w:r>
      <w:r>
        <w:rPr>
          <w:spacing w:val="-5"/>
          <w:sz w:val="22"/>
        </w:rPr>
        <w:t> </w:t>
      </w:r>
      <w:r>
        <w:rPr>
          <w:sz w:val="22"/>
        </w:rPr>
        <w:t>ACOs</w:t>
      </w:r>
      <w:r>
        <w:rPr>
          <w:spacing w:val="-4"/>
          <w:sz w:val="22"/>
        </w:rPr>
        <w:t> </w:t>
      </w:r>
      <w:r>
        <w:rPr>
          <w:sz w:val="22"/>
        </w:rPr>
        <w:t>and</w:t>
      </w:r>
      <w:r>
        <w:rPr>
          <w:spacing w:val="-5"/>
          <w:sz w:val="22"/>
        </w:rPr>
        <w:t> </w:t>
      </w:r>
      <w:r>
        <w:rPr>
          <w:sz w:val="22"/>
        </w:rPr>
        <w:t>CPs</w:t>
      </w:r>
      <w:r>
        <w:rPr>
          <w:spacing w:val="-6"/>
          <w:sz w:val="22"/>
        </w:rPr>
        <w:t> </w:t>
      </w:r>
      <w:r>
        <w:rPr>
          <w:sz w:val="22"/>
        </w:rPr>
        <w:t>(scalable,</w:t>
      </w:r>
      <w:r>
        <w:rPr>
          <w:spacing w:val="-4"/>
          <w:sz w:val="22"/>
        </w:rPr>
        <w:t> </w:t>
      </w:r>
      <w:r>
        <w:rPr>
          <w:sz w:val="22"/>
        </w:rPr>
        <w:t>state-procured</w:t>
      </w:r>
      <w:r>
        <w:rPr>
          <w:spacing w:val="-7"/>
          <w:sz w:val="22"/>
        </w:rPr>
        <w:t> </w:t>
      </w:r>
      <w:r>
        <w:rPr>
          <w:spacing w:val="-2"/>
          <w:sz w:val="22"/>
        </w:rPr>
        <w:t>approach)</w:t>
      </w:r>
    </w:p>
    <w:p>
      <w:pPr>
        <w:pStyle w:val="ListParagraph"/>
        <w:numPr>
          <w:ilvl w:val="0"/>
          <w:numId w:val="64"/>
        </w:numPr>
        <w:tabs>
          <w:tab w:pos="1938" w:val="left" w:leader="none"/>
        </w:tabs>
        <w:spacing w:line="240" w:lineRule="auto" w:before="201" w:after="0"/>
        <w:ind w:left="1938" w:right="0" w:hanging="359"/>
        <w:jc w:val="left"/>
        <w:rPr>
          <w:sz w:val="22"/>
        </w:rPr>
      </w:pPr>
      <w:r>
        <w:rPr>
          <w:sz w:val="22"/>
        </w:rPr>
        <w:t>Alternative</w:t>
      </w:r>
      <w:r>
        <w:rPr>
          <w:spacing w:val="-7"/>
          <w:sz w:val="22"/>
        </w:rPr>
        <w:t> </w:t>
      </w:r>
      <w:r>
        <w:rPr>
          <w:sz w:val="22"/>
        </w:rPr>
        <w:t>payment</w:t>
      </w:r>
      <w:r>
        <w:rPr>
          <w:spacing w:val="-5"/>
          <w:sz w:val="22"/>
        </w:rPr>
        <w:t> </w:t>
      </w:r>
      <w:r>
        <w:rPr>
          <w:sz w:val="22"/>
        </w:rPr>
        <w:t>methods</w:t>
      </w:r>
      <w:r>
        <w:rPr>
          <w:spacing w:val="-6"/>
          <w:sz w:val="22"/>
        </w:rPr>
        <w:t> </w:t>
      </w:r>
      <w:r>
        <w:rPr>
          <w:sz w:val="22"/>
        </w:rPr>
        <w:t>preparation</w:t>
      </w:r>
      <w:r>
        <w:rPr>
          <w:spacing w:val="-8"/>
          <w:sz w:val="22"/>
        </w:rPr>
        <w:t> </w:t>
      </w:r>
      <w:r>
        <w:rPr>
          <w:spacing w:val="-4"/>
          <w:sz w:val="22"/>
        </w:rPr>
        <w:t>fund</w:t>
      </w:r>
    </w:p>
    <w:p>
      <w:pPr>
        <w:pStyle w:val="ListParagraph"/>
        <w:numPr>
          <w:ilvl w:val="0"/>
          <w:numId w:val="64"/>
        </w:numPr>
        <w:tabs>
          <w:tab w:pos="1938" w:val="left" w:leader="none"/>
        </w:tabs>
        <w:spacing w:line="240" w:lineRule="auto" w:before="200" w:after="0"/>
        <w:ind w:left="1938" w:right="0" w:hanging="359"/>
        <w:jc w:val="both"/>
        <w:rPr>
          <w:sz w:val="22"/>
        </w:rPr>
      </w:pPr>
      <w:r>
        <w:rPr>
          <w:sz w:val="22"/>
        </w:rPr>
        <w:t>Enhanced</w:t>
      </w:r>
      <w:r>
        <w:rPr>
          <w:spacing w:val="-5"/>
          <w:sz w:val="22"/>
        </w:rPr>
        <w:t> </w:t>
      </w:r>
      <w:r>
        <w:rPr>
          <w:sz w:val="22"/>
        </w:rPr>
        <w:t>diversionary</w:t>
      </w:r>
      <w:r>
        <w:rPr>
          <w:spacing w:val="-8"/>
          <w:sz w:val="22"/>
        </w:rPr>
        <w:t> </w:t>
      </w:r>
      <w:r>
        <w:rPr>
          <w:sz w:val="22"/>
        </w:rPr>
        <w:t>behavioral</w:t>
      </w:r>
      <w:r>
        <w:rPr>
          <w:spacing w:val="-7"/>
          <w:sz w:val="22"/>
        </w:rPr>
        <w:t> </w:t>
      </w:r>
      <w:r>
        <w:rPr>
          <w:sz w:val="22"/>
        </w:rPr>
        <w:t>health</w:t>
      </w:r>
      <w:r>
        <w:rPr>
          <w:spacing w:val="-4"/>
          <w:sz w:val="22"/>
        </w:rPr>
        <w:t> </w:t>
      </w:r>
      <w:r>
        <w:rPr>
          <w:spacing w:val="-2"/>
          <w:sz w:val="22"/>
        </w:rPr>
        <w:t>services</w:t>
      </w:r>
    </w:p>
    <w:p>
      <w:pPr>
        <w:pStyle w:val="ListParagraph"/>
        <w:numPr>
          <w:ilvl w:val="0"/>
          <w:numId w:val="64"/>
        </w:numPr>
        <w:tabs>
          <w:tab w:pos="1938" w:val="left" w:leader="none"/>
        </w:tabs>
        <w:spacing w:line="427" w:lineRule="auto" w:before="201" w:after="0"/>
        <w:ind w:left="1219" w:right="1161" w:firstLine="360"/>
        <w:jc w:val="both"/>
        <w:rPr>
          <w:sz w:val="22"/>
        </w:rPr>
      </w:pPr>
      <w:r>
        <w:rPr>
          <w:sz w:val="22"/>
        </w:rPr>
        <w:t>Improved</w:t>
      </w:r>
      <w:r>
        <w:rPr>
          <w:spacing w:val="-2"/>
          <w:sz w:val="22"/>
        </w:rPr>
        <w:t> </w:t>
      </w:r>
      <w:r>
        <w:rPr>
          <w:sz w:val="22"/>
        </w:rPr>
        <w:t>accessibility</w:t>
      </w:r>
      <w:r>
        <w:rPr>
          <w:spacing w:val="-5"/>
          <w:sz w:val="22"/>
        </w:rPr>
        <w:t> </w:t>
      </w:r>
      <w:r>
        <w:rPr>
          <w:sz w:val="22"/>
        </w:rPr>
        <w:t>for</w:t>
      </w:r>
      <w:r>
        <w:rPr>
          <w:spacing w:val="-4"/>
          <w:sz w:val="22"/>
        </w:rPr>
        <w:t> </w:t>
      </w:r>
      <w:r>
        <w:rPr>
          <w:sz w:val="22"/>
        </w:rPr>
        <w:t>people</w:t>
      </w:r>
      <w:r>
        <w:rPr>
          <w:spacing w:val="-2"/>
          <w:sz w:val="22"/>
        </w:rPr>
        <w:t> </w:t>
      </w:r>
      <w:r>
        <w:rPr>
          <w:sz w:val="22"/>
        </w:rPr>
        <w:t>with</w:t>
      </w:r>
      <w:r>
        <w:rPr>
          <w:spacing w:val="-2"/>
          <w:sz w:val="22"/>
        </w:rPr>
        <w:t> </w:t>
      </w:r>
      <w:r>
        <w:rPr>
          <w:sz w:val="22"/>
        </w:rPr>
        <w:t>disabilities</w:t>
      </w:r>
      <w:r>
        <w:rPr>
          <w:spacing w:val="-2"/>
          <w:sz w:val="22"/>
        </w:rPr>
        <w:t> </w:t>
      </w:r>
      <w:r>
        <w:rPr>
          <w:sz w:val="22"/>
        </w:rPr>
        <w:t>or</w:t>
      </w:r>
      <w:r>
        <w:rPr>
          <w:spacing w:val="-4"/>
          <w:sz w:val="22"/>
        </w:rPr>
        <w:t> </w:t>
      </w:r>
      <w:r>
        <w:rPr>
          <w:sz w:val="22"/>
        </w:rPr>
        <w:t>for</w:t>
      </w:r>
      <w:r>
        <w:rPr>
          <w:spacing w:val="-1"/>
          <w:sz w:val="22"/>
        </w:rPr>
        <w:t> </w:t>
      </w:r>
      <w:r>
        <w:rPr>
          <w:sz w:val="22"/>
        </w:rPr>
        <w:t>whom</w:t>
      </w:r>
      <w:r>
        <w:rPr>
          <w:spacing w:val="-6"/>
          <w:sz w:val="22"/>
        </w:rPr>
        <w:t> </w:t>
      </w:r>
      <w:r>
        <w:rPr>
          <w:sz w:val="22"/>
        </w:rPr>
        <w:t>English</w:t>
      </w:r>
      <w:r>
        <w:rPr>
          <w:spacing w:val="-2"/>
          <w:sz w:val="22"/>
        </w:rPr>
        <w:t> </w:t>
      </w:r>
      <w:r>
        <w:rPr>
          <w:sz w:val="22"/>
        </w:rPr>
        <w:t>is</w:t>
      </w:r>
      <w:r>
        <w:rPr>
          <w:spacing w:val="-4"/>
          <w:sz w:val="22"/>
        </w:rPr>
        <w:t> </w:t>
      </w:r>
      <w:r>
        <w:rPr>
          <w:sz w:val="22"/>
        </w:rPr>
        <w:t>not</w:t>
      </w:r>
      <w:r>
        <w:rPr>
          <w:spacing w:val="-4"/>
          <w:sz w:val="22"/>
        </w:rPr>
        <w:t> </w:t>
      </w:r>
      <w:r>
        <w:rPr>
          <w:sz w:val="22"/>
        </w:rPr>
        <w:t>a</w:t>
      </w:r>
      <w:r>
        <w:rPr>
          <w:spacing w:val="-2"/>
          <w:sz w:val="22"/>
        </w:rPr>
        <w:t> </w:t>
      </w:r>
      <w:r>
        <w:rPr>
          <w:sz w:val="22"/>
        </w:rPr>
        <w:t>primary</w:t>
      </w:r>
      <w:r>
        <w:rPr>
          <w:spacing w:val="-5"/>
          <w:sz w:val="22"/>
        </w:rPr>
        <w:t> </w:t>
      </w:r>
      <w:r>
        <w:rPr>
          <w:sz w:val="22"/>
        </w:rPr>
        <w:t>language These eight initiatives are further detailed in Section 4.6.</w:t>
      </w:r>
    </w:p>
    <w:p>
      <w:pPr>
        <w:pStyle w:val="Heading5"/>
        <w:numPr>
          <w:ilvl w:val="2"/>
          <w:numId w:val="62"/>
        </w:numPr>
        <w:tabs>
          <w:tab w:pos="1940" w:val="left" w:leader="none"/>
        </w:tabs>
        <w:spacing w:line="240" w:lineRule="auto" w:before="3" w:after="0"/>
        <w:ind w:left="1940" w:right="0" w:hanging="720"/>
        <w:jc w:val="both"/>
      </w:pPr>
      <w:bookmarkStart w:name="1.4.4 State Operations and Implementatio" w:id="1232"/>
      <w:bookmarkEnd w:id="1232"/>
      <w:r>
        <w:rPr>
          <w:b w:val="0"/>
        </w:rPr>
      </w:r>
      <w:bookmarkStart w:name="_bookmark16" w:id="1233"/>
      <w:bookmarkEnd w:id="1233"/>
      <w:r>
        <w:rPr>
          <w:b w:val="0"/>
        </w:rPr>
      </w:r>
      <w:r>
        <w:rPr>
          <w:color w:val="4471C4"/>
        </w:rPr>
        <w:t>State</w:t>
      </w:r>
      <w:r>
        <w:rPr>
          <w:color w:val="4471C4"/>
          <w:spacing w:val="-3"/>
        </w:rPr>
        <w:t> </w:t>
      </w:r>
      <w:r>
        <w:rPr>
          <w:color w:val="4471C4"/>
        </w:rPr>
        <w:t>Operations</w:t>
      </w:r>
      <w:r>
        <w:rPr>
          <w:color w:val="4471C4"/>
          <w:spacing w:val="-1"/>
        </w:rPr>
        <w:t> </w:t>
      </w:r>
      <w:r>
        <w:rPr>
          <w:color w:val="4471C4"/>
        </w:rPr>
        <w:t>and</w:t>
      </w:r>
      <w:r>
        <w:rPr>
          <w:color w:val="4471C4"/>
          <w:spacing w:val="-1"/>
        </w:rPr>
        <w:t> </w:t>
      </w:r>
      <w:r>
        <w:rPr>
          <w:color w:val="4471C4"/>
          <w:spacing w:val="-2"/>
        </w:rPr>
        <w:t>Implementation</w:t>
      </w:r>
    </w:p>
    <w:p>
      <w:pPr>
        <w:spacing w:before="40"/>
        <w:ind w:left="1220" w:right="1095" w:firstLine="0"/>
        <w:jc w:val="both"/>
        <w:rPr>
          <w:sz w:val="22"/>
        </w:rPr>
      </w:pPr>
      <w:r>
        <w:rPr>
          <w:sz w:val="22"/>
        </w:rPr>
        <w:t>The State will allocate a portion of DSRIP funding to support robust operations, implementation and oversight of</w:t>
      </w:r>
      <w:r>
        <w:rPr>
          <w:spacing w:val="-1"/>
          <w:sz w:val="22"/>
        </w:rPr>
        <w:t> </w:t>
      </w:r>
      <w:r>
        <w:rPr>
          <w:sz w:val="22"/>
        </w:rPr>
        <w:t>the DSRIP program</w:t>
      </w:r>
      <w:r>
        <w:rPr>
          <w:spacing w:val="-4"/>
          <w:sz w:val="22"/>
        </w:rPr>
        <w:t> </w:t>
      </w:r>
      <w:r>
        <w:rPr>
          <w:sz w:val="22"/>
        </w:rPr>
        <w:t>(see Section 6</w:t>
      </w:r>
      <w:r>
        <w:rPr>
          <w:spacing w:val="-2"/>
          <w:sz w:val="22"/>
        </w:rPr>
        <w:t> </w:t>
      </w:r>
      <w:r>
        <w:rPr>
          <w:sz w:val="22"/>
        </w:rPr>
        <w:t>for</w:t>
      </w:r>
      <w:r>
        <w:rPr>
          <w:spacing w:val="-1"/>
          <w:sz w:val="22"/>
        </w:rPr>
        <w:t> </w:t>
      </w:r>
      <w:r>
        <w:rPr>
          <w:sz w:val="22"/>
        </w:rPr>
        <w:t>detail). An</w:t>
      </w:r>
      <w:r>
        <w:rPr>
          <w:spacing w:val="-2"/>
          <w:sz w:val="22"/>
        </w:rPr>
        <w:t> </w:t>
      </w:r>
      <w:r>
        <w:rPr>
          <w:sz w:val="22"/>
        </w:rPr>
        <w:t>integrated</w:t>
      </w:r>
      <w:r>
        <w:rPr>
          <w:spacing w:val="-2"/>
          <w:sz w:val="22"/>
        </w:rPr>
        <w:t> </w:t>
      </w:r>
      <w:r>
        <w:rPr>
          <w:sz w:val="22"/>
        </w:rPr>
        <w:t>team</w:t>
      </w:r>
      <w:r>
        <w:rPr>
          <w:spacing w:val="-4"/>
          <w:sz w:val="22"/>
        </w:rPr>
        <w:t> </w:t>
      </w:r>
      <w:r>
        <w:rPr>
          <w:sz w:val="22"/>
        </w:rPr>
        <w:t>of</w:t>
      </w:r>
      <w:r>
        <w:rPr>
          <w:spacing w:val="-1"/>
          <w:sz w:val="22"/>
        </w:rPr>
        <w:t> </w:t>
      </w:r>
      <w:r>
        <w:rPr>
          <w:sz w:val="22"/>
        </w:rPr>
        <w:t>state</w:t>
      </w:r>
      <w:r>
        <w:rPr>
          <w:spacing w:val="-2"/>
          <w:sz w:val="22"/>
        </w:rPr>
        <w:t> </w:t>
      </w:r>
      <w:r>
        <w:rPr>
          <w:sz w:val="22"/>
        </w:rPr>
        <w:t>administrative staff will implement and oversee general and day-to-day administration of ACOs, CPs and Statewide Investments</w:t>
      </w:r>
      <w:r>
        <w:rPr>
          <w:spacing w:val="-8"/>
          <w:sz w:val="22"/>
        </w:rPr>
        <w:t> </w:t>
      </w:r>
      <w:r>
        <w:rPr>
          <w:sz w:val="22"/>
        </w:rPr>
        <w:t>programs</w:t>
      </w:r>
      <w:r>
        <w:rPr>
          <w:spacing w:val="-5"/>
          <w:sz w:val="22"/>
        </w:rPr>
        <w:t> </w:t>
      </w:r>
      <w:r>
        <w:rPr>
          <w:sz w:val="22"/>
        </w:rPr>
        <w:t>to</w:t>
      </w:r>
      <w:r>
        <w:rPr>
          <w:spacing w:val="-9"/>
          <w:sz w:val="22"/>
        </w:rPr>
        <w:t> </w:t>
      </w:r>
      <w:r>
        <w:rPr>
          <w:sz w:val="22"/>
        </w:rPr>
        <w:t>ensure</w:t>
      </w:r>
      <w:r>
        <w:rPr>
          <w:spacing w:val="-8"/>
          <w:sz w:val="22"/>
        </w:rPr>
        <w:t> </w:t>
      </w:r>
      <w:r>
        <w:rPr>
          <w:sz w:val="22"/>
        </w:rPr>
        <w:t>success</w:t>
      </w:r>
      <w:r>
        <w:rPr>
          <w:spacing w:val="-5"/>
          <w:sz w:val="22"/>
        </w:rPr>
        <w:t> </w:t>
      </w:r>
      <w:r>
        <w:rPr>
          <w:sz w:val="22"/>
        </w:rPr>
        <w:t>and</w:t>
      </w:r>
      <w:r>
        <w:rPr>
          <w:spacing w:val="-7"/>
          <w:sz w:val="22"/>
        </w:rPr>
        <w:t> </w:t>
      </w:r>
      <w:r>
        <w:rPr>
          <w:sz w:val="22"/>
        </w:rPr>
        <w:t>movement</w:t>
      </w:r>
      <w:r>
        <w:rPr>
          <w:spacing w:val="-5"/>
          <w:sz w:val="22"/>
        </w:rPr>
        <w:t> </w:t>
      </w:r>
      <w:r>
        <w:rPr>
          <w:sz w:val="22"/>
        </w:rPr>
        <w:t>towards</w:t>
      </w:r>
      <w:r>
        <w:rPr>
          <w:spacing w:val="-9"/>
          <w:sz w:val="22"/>
        </w:rPr>
        <w:t> </w:t>
      </w:r>
      <w:r>
        <w:rPr>
          <w:sz w:val="22"/>
        </w:rPr>
        <w:t>state</w:t>
      </w:r>
      <w:r>
        <w:rPr>
          <w:spacing w:val="-8"/>
          <w:sz w:val="22"/>
        </w:rPr>
        <w:t> </w:t>
      </w:r>
      <w:r>
        <w:rPr>
          <w:sz w:val="22"/>
        </w:rPr>
        <w:t>goals.</w:t>
      </w:r>
      <w:r>
        <w:rPr>
          <w:spacing w:val="-10"/>
          <w:sz w:val="22"/>
        </w:rPr>
        <w:t> </w:t>
      </w:r>
      <w:r>
        <w:rPr>
          <w:sz w:val="22"/>
        </w:rPr>
        <w:t>This</w:t>
      </w:r>
      <w:r>
        <w:rPr>
          <w:spacing w:val="-8"/>
          <w:sz w:val="22"/>
        </w:rPr>
        <w:t> </w:t>
      </w:r>
      <w:r>
        <w:rPr>
          <w:sz w:val="22"/>
        </w:rPr>
        <w:t>team</w:t>
      </w:r>
      <w:r>
        <w:rPr>
          <w:spacing w:val="-10"/>
          <w:sz w:val="22"/>
        </w:rPr>
        <w:t> </w:t>
      </w:r>
      <w:r>
        <w:rPr>
          <w:sz w:val="22"/>
        </w:rPr>
        <w:t>will</w:t>
      </w:r>
      <w:r>
        <w:rPr>
          <w:spacing w:val="-5"/>
          <w:sz w:val="22"/>
        </w:rPr>
        <w:t> </w:t>
      </w:r>
      <w:r>
        <w:rPr>
          <w:sz w:val="22"/>
        </w:rPr>
        <w:t>manage</w:t>
      </w:r>
      <w:r>
        <w:rPr>
          <w:spacing w:val="-5"/>
          <w:sz w:val="22"/>
        </w:rPr>
        <w:t> </w:t>
      </w:r>
      <w:r>
        <w:rPr>
          <w:spacing w:val="-2"/>
          <w:sz w:val="22"/>
        </w:rPr>
        <w:t>several</w:t>
      </w:r>
    </w:p>
    <w:p>
      <w:pPr>
        <w:spacing w:after="0"/>
        <w:jc w:val="both"/>
        <w:rPr>
          <w:sz w:val="22"/>
        </w:rPr>
        <w:sectPr>
          <w:pgSz w:w="12240" w:h="15840"/>
          <w:pgMar w:header="0" w:footer="967" w:top="1360" w:bottom="1160" w:left="220" w:right="340"/>
        </w:sectPr>
      </w:pPr>
    </w:p>
    <w:p>
      <w:pPr>
        <w:spacing w:line="240" w:lineRule="auto" w:before="78"/>
        <w:ind w:left="1219" w:right="1095" w:firstLine="0"/>
        <w:jc w:val="both"/>
        <w:rPr>
          <w:sz w:val="22"/>
        </w:rPr>
      </w:pPr>
      <w:r>
        <w:rPr>
          <w:sz w:val="22"/>
        </w:rPr>
        <w:t>contracted vendors that support key aspects of program implementation. In addition, several independent entities</w:t>
      </w:r>
      <w:r>
        <w:rPr>
          <w:spacing w:val="-10"/>
          <w:sz w:val="22"/>
        </w:rPr>
        <w:t> </w:t>
      </w:r>
      <w:r>
        <w:rPr>
          <w:sz w:val="22"/>
        </w:rPr>
        <w:t>will</w:t>
      </w:r>
      <w:r>
        <w:rPr>
          <w:spacing w:val="-10"/>
          <w:sz w:val="22"/>
        </w:rPr>
        <w:t> </w:t>
      </w:r>
      <w:r>
        <w:rPr>
          <w:sz w:val="22"/>
        </w:rPr>
        <w:t>support</w:t>
      </w:r>
      <w:r>
        <w:rPr>
          <w:spacing w:val="-10"/>
          <w:sz w:val="22"/>
        </w:rPr>
        <w:t> </w:t>
      </w:r>
      <w:r>
        <w:rPr>
          <w:sz w:val="22"/>
        </w:rPr>
        <w:t>the</w:t>
      </w:r>
      <w:r>
        <w:rPr>
          <w:spacing w:val="-10"/>
          <w:sz w:val="22"/>
        </w:rPr>
        <w:t> </w:t>
      </w:r>
      <w:r>
        <w:rPr>
          <w:sz w:val="22"/>
        </w:rPr>
        <w:t>State’s</w:t>
      </w:r>
      <w:r>
        <w:rPr>
          <w:spacing w:val="-10"/>
          <w:sz w:val="22"/>
        </w:rPr>
        <w:t> </w:t>
      </w:r>
      <w:r>
        <w:rPr>
          <w:sz w:val="22"/>
        </w:rPr>
        <w:t>oversight</w:t>
      </w:r>
      <w:r>
        <w:rPr>
          <w:spacing w:val="-10"/>
          <w:sz w:val="22"/>
        </w:rPr>
        <w:t> </w:t>
      </w:r>
      <w:r>
        <w:rPr>
          <w:sz w:val="22"/>
        </w:rPr>
        <w:t>of</w:t>
      </w:r>
      <w:r>
        <w:rPr>
          <w:spacing w:val="-10"/>
          <w:sz w:val="22"/>
        </w:rPr>
        <w:t> </w:t>
      </w:r>
      <w:r>
        <w:rPr>
          <w:sz w:val="22"/>
        </w:rPr>
        <w:t>the</w:t>
      </w:r>
      <w:r>
        <w:rPr>
          <w:spacing w:val="-10"/>
          <w:sz w:val="22"/>
        </w:rPr>
        <w:t> </w:t>
      </w:r>
      <w:r>
        <w:rPr>
          <w:sz w:val="22"/>
        </w:rPr>
        <w:t>DSRIP</w:t>
      </w:r>
      <w:r>
        <w:rPr>
          <w:spacing w:val="-8"/>
          <w:sz w:val="22"/>
        </w:rPr>
        <w:t> </w:t>
      </w:r>
      <w:r>
        <w:rPr>
          <w:sz w:val="22"/>
        </w:rPr>
        <w:t>program,</w:t>
      </w:r>
      <w:r>
        <w:rPr>
          <w:spacing w:val="-11"/>
          <w:sz w:val="22"/>
        </w:rPr>
        <w:t> </w:t>
      </w:r>
      <w:r>
        <w:rPr>
          <w:sz w:val="22"/>
        </w:rPr>
        <w:t>including</w:t>
      </w:r>
      <w:r>
        <w:rPr>
          <w:spacing w:val="-12"/>
          <w:sz w:val="22"/>
        </w:rPr>
        <w:t> </w:t>
      </w:r>
      <w:r>
        <w:rPr>
          <w:sz w:val="22"/>
        </w:rPr>
        <w:t>the</w:t>
      </w:r>
      <w:r>
        <w:rPr>
          <w:spacing w:val="-10"/>
          <w:sz w:val="22"/>
        </w:rPr>
        <w:t> </w:t>
      </w:r>
      <w:r>
        <w:rPr>
          <w:sz w:val="22"/>
        </w:rPr>
        <w:t>DSRIP</w:t>
      </w:r>
      <w:r>
        <w:rPr>
          <w:spacing w:val="-11"/>
          <w:sz w:val="22"/>
        </w:rPr>
        <w:t> </w:t>
      </w:r>
      <w:r>
        <w:rPr>
          <w:sz w:val="22"/>
        </w:rPr>
        <w:t>Steering</w:t>
      </w:r>
      <w:r>
        <w:rPr>
          <w:spacing w:val="-12"/>
          <w:sz w:val="22"/>
        </w:rPr>
        <w:t> </w:t>
      </w:r>
      <w:r>
        <w:rPr>
          <w:sz w:val="22"/>
        </w:rPr>
        <w:t>Committee, DSRIP Advisory Committee on Quality, Independent Assessor and</w:t>
      </w:r>
      <w:r>
        <w:rPr>
          <w:spacing w:val="40"/>
          <w:sz w:val="22"/>
        </w:rPr>
        <w:t> </w:t>
      </w:r>
      <w:r>
        <w:rPr>
          <w:sz w:val="22"/>
        </w:rPr>
        <w:t>Independent Evaluator (see Sections 3.4.1.2 and 6.4 for further details on each). The State Operations and Implementation funding stream will support these personnel/fringe and contractual costs.</w:t>
      </w:r>
    </w:p>
    <w:p>
      <w:pPr>
        <w:pStyle w:val="BodyText"/>
      </w:pPr>
    </w:p>
    <w:p>
      <w:pPr>
        <w:pStyle w:val="Heading1"/>
        <w:spacing w:line="321" w:lineRule="exact" w:before="206"/>
        <w:jc w:val="both"/>
      </w:pPr>
      <w:bookmarkStart w:name="Section 2.   Delivery System Models" w:id="1234"/>
      <w:bookmarkEnd w:id="1234"/>
      <w:r>
        <w:rPr>
          <w:b w:val="0"/>
        </w:rPr>
      </w:r>
      <w:bookmarkStart w:name="_bookmark17" w:id="1235"/>
      <w:bookmarkEnd w:id="1235"/>
      <w:r>
        <w:rPr>
          <w:b w:val="0"/>
        </w:rPr>
      </w:r>
      <w:r>
        <w:rPr>
          <w:color w:val="2E5395"/>
        </w:rPr>
        <w:t>Section</w:t>
      </w:r>
      <w:r>
        <w:rPr>
          <w:color w:val="2E5395"/>
          <w:spacing w:val="-6"/>
        </w:rPr>
        <w:t> </w:t>
      </w:r>
      <w:r>
        <w:rPr>
          <w:color w:val="2E5395"/>
        </w:rPr>
        <w:t>2.</w:t>
      </w:r>
      <w:r>
        <w:rPr>
          <w:color w:val="2E5395"/>
          <w:spacing w:val="71"/>
        </w:rPr>
        <w:t>  </w:t>
      </w:r>
      <w:r>
        <w:rPr>
          <w:color w:val="2E5395"/>
        </w:rPr>
        <w:t>Delivery System</w:t>
      </w:r>
      <w:r>
        <w:rPr>
          <w:color w:val="2E5395"/>
          <w:spacing w:val="-5"/>
        </w:rPr>
        <w:t> </w:t>
      </w:r>
      <w:r>
        <w:rPr>
          <w:color w:val="2E5395"/>
          <w:spacing w:val="-2"/>
        </w:rPr>
        <w:t>Models</w:t>
      </w:r>
    </w:p>
    <w:p>
      <w:pPr>
        <w:spacing w:before="0"/>
        <w:ind w:left="1220" w:right="1094" w:firstLine="0"/>
        <w:jc w:val="both"/>
        <w:rPr>
          <w:sz w:val="22"/>
        </w:rPr>
      </w:pPr>
      <w:r>
        <w:rPr>
          <w:sz w:val="22"/>
        </w:rPr>
        <w:t>Please see Appendix A for discussion of Delivery System Models, including a description of the procurement process for ACOs and CPs, as well as a high-level description of selection criteria for these </w:t>
      </w:r>
      <w:r>
        <w:rPr>
          <w:spacing w:val="-2"/>
          <w:sz w:val="22"/>
        </w:rPr>
        <w:t>entities.</w:t>
      </w:r>
    </w:p>
    <w:p>
      <w:pPr>
        <w:pStyle w:val="BodyText"/>
      </w:pPr>
    </w:p>
    <w:p>
      <w:pPr>
        <w:pStyle w:val="Heading1"/>
        <w:spacing w:before="204"/>
        <w:jc w:val="both"/>
      </w:pPr>
      <w:bookmarkStart w:name="Section 3.   Participation Plans, Budget" w:id="1236"/>
      <w:bookmarkEnd w:id="1236"/>
      <w:r>
        <w:rPr>
          <w:b w:val="0"/>
        </w:rPr>
      </w:r>
      <w:bookmarkStart w:name="_bookmark18" w:id="1237"/>
      <w:bookmarkEnd w:id="1237"/>
      <w:r>
        <w:rPr>
          <w:b w:val="0"/>
        </w:rPr>
      </w:r>
      <w:r>
        <w:rPr>
          <w:color w:val="2E5395"/>
        </w:rPr>
        <w:t>Section</w:t>
      </w:r>
      <w:r>
        <w:rPr>
          <w:color w:val="2E5395"/>
          <w:spacing w:val="-9"/>
        </w:rPr>
        <w:t> </w:t>
      </w:r>
      <w:r>
        <w:rPr>
          <w:color w:val="2E5395"/>
        </w:rPr>
        <w:t>3.</w:t>
      </w:r>
      <w:r>
        <w:rPr>
          <w:color w:val="2E5395"/>
          <w:spacing w:val="68"/>
        </w:rPr>
        <w:t>  </w:t>
      </w:r>
      <w:r>
        <w:rPr>
          <w:color w:val="2E5395"/>
        </w:rPr>
        <w:t>Participation</w:t>
      </w:r>
      <w:r>
        <w:rPr>
          <w:color w:val="2E5395"/>
          <w:spacing w:val="-2"/>
        </w:rPr>
        <w:t> </w:t>
      </w:r>
      <w:r>
        <w:rPr>
          <w:color w:val="2E5395"/>
        </w:rPr>
        <w:t>Plans,</w:t>
      </w:r>
      <w:r>
        <w:rPr>
          <w:color w:val="2E5395"/>
          <w:spacing w:val="-6"/>
        </w:rPr>
        <w:t> </w:t>
      </w:r>
      <w:r>
        <w:rPr>
          <w:color w:val="2E5395"/>
        </w:rPr>
        <w:t>Budgets,</w:t>
      </w:r>
      <w:r>
        <w:rPr>
          <w:color w:val="2E5395"/>
          <w:spacing w:val="-4"/>
        </w:rPr>
        <w:t> </w:t>
      </w:r>
      <w:r>
        <w:rPr>
          <w:color w:val="2E5395"/>
        </w:rPr>
        <w:t>and</w:t>
      </w:r>
      <w:r>
        <w:rPr>
          <w:color w:val="2E5395"/>
          <w:spacing w:val="-3"/>
        </w:rPr>
        <w:t> </w:t>
      </w:r>
      <w:r>
        <w:rPr>
          <w:color w:val="2E5395"/>
        </w:rPr>
        <w:t>Budget</w:t>
      </w:r>
      <w:r>
        <w:rPr>
          <w:color w:val="2E5395"/>
          <w:spacing w:val="-3"/>
        </w:rPr>
        <w:t> </w:t>
      </w:r>
      <w:r>
        <w:rPr>
          <w:color w:val="2E5395"/>
          <w:spacing w:val="-2"/>
        </w:rPr>
        <w:t>Narratives</w:t>
      </w:r>
    </w:p>
    <w:p>
      <w:pPr>
        <w:spacing w:before="0"/>
        <w:ind w:left="1219" w:right="1093" w:firstLine="0"/>
        <w:jc w:val="both"/>
        <w:rPr>
          <w:sz w:val="22"/>
        </w:rPr>
      </w:pPr>
      <w:r>
        <w:rPr>
          <w:sz w:val="22"/>
        </w:rPr>
        <w:t>In order to receive DSRIP funding, each ACO, CP and CSA will be required to submit for the State’s approval: (1) a Participation Plan for the five-year demonstration period; and (2) a Budget and Budget Narrative for each annual budget period.</w:t>
      </w:r>
      <w:r>
        <w:rPr>
          <w:spacing w:val="-2"/>
          <w:sz w:val="22"/>
        </w:rPr>
        <w:t> </w:t>
      </w:r>
      <w:r>
        <w:rPr>
          <w:sz w:val="22"/>
        </w:rPr>
        <w:t>These documents will detail how ACOs, CPs and CSAs will use DSRIP</w:t>
      </w:r>
      <w:r>
        <w:rPr>
          <w:spacing w:val="-5"/>
          <w:sz w:val="22"/>
        </w:rPr>
        <w:t> </w:t>
      </w:r>
      <w:r>
        <w:rPr>
          <w:sz w:val="22"/>
        </w:rPr>
        <w:t>funding.</w:t>
      </w:r>
      <w:r>
        <w:rPr>
          <w:spacing w:val="-5"/>
          <w:sz w:val="22"/>
        </w:rPr>
        <w:t> </w:t>
      </w:r>
      <w:r>
        <w:rPr>
          <w:sz w:val="22"/>
        </w:rPr>
        <w:t>The</w:t>
      </w:r>
      <w:r>
        <w:rPr>
          <w:spacing w:val="-4"/>
          <w:sz w:val="22"/>
        </w:rPr>
        <w:t> </w:t>
      </w:r>
      <w:r>
        <w:rPr>
          <w:sz w:val="22"/>
        </w:rPr>
        <w:t>Participation</w:t>
      </w:r>
      <w:r>
        <w:rPr>
          <w:spacing w:val="-5"/>
          <w:sz w:val="22"/>
        </w:rPr>
        <w:t> </w:t>
      </w:r>
      <w:r>
        <w:rPr>
          <w:sz w:val="22"/>
        </w:rPr>
        <w:t>Plan</w:t>
      </w:r>
      <w:r>
        <w:rPr>
          <w:spacing w:val="-5"/>
          <w:sz w:val="22"/>
        </w:rPr>
        <w:t> </w:t>
      </w:r>
      <w:r>
        <w:rPr>
          <w:sz w:val="22"/>
        </w:rPr>
        <w:t>will</w:t>
      </w:r>
      <w:r>
        <w:rPr>
          <w:spacing w:val="-6"/>
          <w:sz w:val="22"/>
        </w:rPr>
        <w:t> </w:t>
      </w:r>
      <w:r>
        <w:rPr>
          <w:sz w:val="22"/>
        </w:rPr>
        <w:t>cover</w:t>
      </w:r>
      <w:r>
        <w:rPr>
          <w:spacing w:val="-4"/>
          <w:sz w:val="22"/>
        </w:rPr>
        <w:t> </w:t>
      </w:r>
      <w:r>
        <w:rPr>
          <w:sz w:val="22"/>
        </w:rPr>
        <w:t>the</w:t>
      </w:r>
      <w:r>
        <w:rPr>
          <w:spacing w:val="-4"/>
          <w:sz w:val="22"/>
        </w:rPr>
        <w:t> </w:t>
      </w:r>
      <w:r>
        <w:rPr>
          <w:sz w:val="22"/>
        </w:rPr>
        <w:t>five</w:t>
      </w:r>
      <w:r>
        <w:rPr>
          <w:spacing w:val="-4"/>
          <w:sz w:val="22"/>
        </w:rPr>
        <w:t> </w:t>
      </w:r>
      <w:r>
        <w:rPr>
          <w:sz w:val="22"/>
        </w:rPr>
        <w:t>years</w:t>
      </w:r>
      <w:r>
        <w:rPr>
          <w:spacing w:val="-4"/>
          <w:sz w:val="22"/>
        </w:rPr>
        <w:t> </w:t>
      </w:r>
      <w:r>
        <w:rPr>
          <w:sz w:val="22"/>
        </w:rPr>
        <w:t>of</w:t>
      </w:r>
      <w:r>
        <w:rPr>
          <w:spacing w:val="-4"/>
          <w:sz w:val="22"/>
        </w:rPr>
        <w:t> </w:t>
      </w:r>
      <w:r>
        <w:rPr>
          <w:sz w:val="22"/>
        </w:rPr>
        <w:t>the</w:t>
      </w:r>
      <w:r>
        <w:rPr>
          <w:spacing w:val="-4"/>
          <w:sz w:val="22"/>
        </w:rPr>
        <w:t> </w:t>
      </w:r>
      <w:r>
        <w:rPr>
          <w:sz w:val="22"/>
        </w:rPr>
        <w:t>demonstration</w:t>
      </w:r>
      <w:r>
        <w:rPr>
          <w:spacing w:val="-5"/>
          <w:sz w:val="22"/>
        </w:rPr>
        <w:t> </w:t>
      </w:r>
      <w:r>
        <w:rPr>
          <w:sz w:val="22"/>
        </w:rPr>
        <w:t>period.</w:t>
      </w:r>
      <w:r>
        <w:rPr>
          <w:spacing w:val="-7"/>
          <w:sz w:val="22"/>
        </w:rPr>
        <w:t> </w:t>
      </w:r>
      <w:r>
        <w:rPr>
          <w:sz w:val="22"/>
        </w:rPr>
        <w:t>There</w:t>
      </w:r>
      <w:r>
        <w:rPr>
          <w:spacing w:val="-4"/>
          <w:sz w:val="22"/>
        </w:rPr>
        <w:t> </w:t>
      </w:r>
      <w:r>
        <w:rPr>
          <w:sz w:val="22"/>
        </w:rPr>
        <w:t>will</w:t>
      </w:r>
      <w:r>
        <w:rPr>
          <w:spacing w:val="-4"/>
          <w:sz w:val="22"/>
        </w:rPr>
        <w:t> </w:t>
      </w:r>
      <w:r>
        <w:rPr>
          <w:sz w:val="22"/>
        </w:rPr>
        <w:t>be two Participation Plans submitted – (1) “Preliminary Participation Plan” – providing an initial five-year plan and (2) “Full Participation Plan” – submitted to provide a revised five-year plan based on refined estimates of projected funding amounts. The State will use its review and approval processes of these documents</w:t>
      </w:r>
      <w:r>
        <w:rPr>
          <w:spacing w:val="-10"/>
          <w:sz w:val="22"/>
        </w:rPr>
        <w:t> </w:t>
      </w:r>
      <w:r>
        <w:rPr>
          <w:sz w:val="22"/>
        </w:rPr>
        <w:t>to</w:t>
      </w:r>
      <w:r>
        <w:rPr>
          <w:spacing w:val="-11"/>
          <w:sz w:val="22"/>
        </w:rPr>
        <w:t> </w:t>
      </w:r>
      <w:r>
        <w:rPr>
          <w:sz w:val="22"/>
        </w:rPr>
        <w:t>align</w:t>
      </w:r>
      <w:r>
        <w:rPr>
          <w:spacing w:val="-10"/>
          <w:sz w:val="22"/>
        </w:rPr>
        <w:t> </w:t>
      </w:r>
      <w:r>
        <w:rPr>
          <w:sz w:val="22"/>
        </w:rPr>
        <w:t>with</w:t>
      </w:r>
      <w:r>
        <w:rPr>
          <w:spacing w:val="-10"/>
          <w:sz w:val="22"/>
        </w:rPr>
        <w:t> </w:t>
      </w:r>
      <w:r>
        <w:rPr>
          <w:sz w:val="22"/>
        </w:rPr>
        <w:t>ACOs,</w:t>
      </w:r>
      <w:r>
        <w:rPr>
          <w:spacing w:val="-10"/>
          <w:sz w:val="22"/>
        </w:rPr>
        <w:t> </w:t>
      </w:r>
      <w:r>
        <w:rPr>
          <w:sz w:val="22"/>
        </w:rPr>
        <w:t>CPs</w:t>
      </w:r>
      <w:r>
        <w:rPr>
          <w:spacing w:val="-10"/>
          <w:sz w:val="22"/>
        </w:rPr>
        <w:t> </w:t>
      </w:r>
      <w:r>
        <w:rPr>
          <w:sz w:val="22"/>
        </w:rPr>
        <w:t>and</w:t>
      </w:r>
      <w:r>
        <w:rPr>
          <w:spacing w:val="-10"/>
          <w:sz w:val="22"/>
        </w:rPr>
        <w:t> </w:t>
      </w:r>
      <w:r>
        <w:rPr>
          <w:sz w:val="22"/>
        </w:rPr>
        <w:t>CSAs</w:t>
      </w:r>
      <w:r>
        <w:rPr>
          <w:spacing w:val="-10"/>
          <w:sz w:val="22"/>
        </w:rPr>
        <w:t> </w:t>
      </w:r>
      <w:r>
        <w:rPr>
          <w:sz w:val="22"/>
        </w:rPr>
        <w:t>on</w:t>
      </w:r>
      <w:r>
        <w:rPr>
          <w:spacing w:val="-11"/>
          <w:sz w:val="22"/>
        </w:rPr>
        <w:t> </w:t>
      </w:r>
      <w:r>
        <w:rPr>
          <w:sz w:val="22"/>
        </w:rPr>
        <w:t>initiatives,</w:t>
      </w:r>
      <w:r>
        <w:rPr>
          <w:spacing w:val="-10"/>
          <w:sz w:val="22"/>
        </w:rPr>
        <w:t> </w:t>
      </w:r>
      <w:r>
        <w:rPr>
          <w:sz w:val="22"/>
        </w:rPr>
        <w:t>goals</w:t>
      </w:r>
      <w:r>
        <w:rPr>
          <w:spacing w:val="-11"/>
          <w:sz w:val="22"/>
        </w:rPr>
        <w:t> </w:t>
      </w:r>
      <w:r>
        <w:rPr>
          <w:sz w:val="22"/>
        </w:rPr>
        <w:t>and</w:t>
      </w:r>
      <w:r>
        <w:rPr>
          <w:spacing w:val="-11"/>
          <w:sz w:val="22"/>
        </w:rPr>
        <w:t> </w:t>
      </w:r>
      <w:r>
        <w:rPr>
          <w:sz w:val="22"/>
        </w:rPr>
        <w:t>investments</w:t>
      </w:r>
      <w:r>
        <w:rPr>
          <w:spacing w:val="-10"/>
          <w:sz w:val="22"/>
        </w:rPr>
        <w:t> </w:t>
      </w:r>
      <w:r>
        <w:rPr>
          <w:sz w:val="22"/>
        </w:rPr>
        <w:t>and</w:t>
      </w:r>
      <w:r>
        <w:rPr>
          <w:spacing w:val="-11"/>
          <w:sz w:val="22"/>
        </w:rPr>
        <w:t> </w:t>
      </w:r>
      <w:r>
        <w:rPr>
          <w:sz w:val="22"/>
        </w:rPr>
        <w:t>to</w:t>
      </w:r>
      <w:r>
        <w:rPr>
          <w:spacing w:val="-10"/>
          <w:sz w:val="22"/>
        </w:rPr>
        <w:t> </w:t>
      </w:r>
      <w:r>
        <w:rPr>
          <w:sz w:val="22"/>
        </w:rPr>
        <w:t>hold</w:t>
      </w:r>
      <w:r>
        <w:rPr>
          <w:spacing w:val="-11"/>
          <w:sz w:val="22"/>
        </w:rPr>
        <w:t> </w:t>
      </w:r>
      <w:r>
        <w:rPr>
          <w:sz w:val="22"/>
        </w:rPr>
        <w:t>ACOs,</w:t>
      </w:r>
      <w:r>
        <w:rPr>
          <w:spacing w:val="-10"/>
          <w:sz w:val="22"/>
        </w:rPr>
        <w:t> </w:t>
      </w:r>
      <w:r>
        <w:rPr>
          <w:sz w:val="22"/>
        </w:rPr>
        <w:t>CPs and</w:t>
      </w:r>
      <w:r>
        <w:rPr>
          <w:spacing w:val="-6"/>
          <w:sz w:val="22"/>
        </w:rPr>
        <w:t> </w:t>
      </w:r>
      <w:r>
        <w:rPr>
          <w:sz w:val="22"/>
        </w:rPr>
        <w:t>CSAs</w:t>
      </w:r>
      <w:r>
        <w:rPr>
          <w:spacing w:val="-6"/>
          <w:sz w:val="22"/>
        </w:rPr>
        <w:t> </w:t>
      </w:r>
      <w:r>
        <w:rPr>
          <w:sz w:val="22"/>
        </w:rPr>
        <w:t>accountable</w:t>
      </w:r>
      <w:r>
        <w:rPr>
          <w:spacing w:val="-6"/>
          <w:sz w:val="22"/>
        </w:rPr>
        <w:t> </w:t>
      </w:r>
      <w:r>
        <w:rPr>
          <w:sz w:val="22"/>
        </w:rPr>
        <w:t>to</w:t>
      </w:r>
      <w:r>
        <w:rPr>
          <w:spacing w:val="-6"/>
          <w:sz w:val="22"/>
        </w:rPr>
        <w:t> </w:t>
      </w:r>
      <w:r>
        <w:rPr>
          <w:sz w:val="22"/>
        </w:rPr>
        <w:t>the</w:t>
      </w:r>
      <w:r>
        <w:rPr>
          <w:spacing w:val="-6"/>
          <w:sz w:val="22"/>
        </w:rPr>
        <w:t> </w:t>
      </w:r>
      <w:r>
        <w:rPr>
          <w:sz w:val="22"/>
        </w:rPr>
        <w:t>State’s</w:t>
      </w:r>
      <w:r>
        <w:rPr>
          <w:spacing w:val="-6"/>
          <w:sz w:val="22"/>
        </w:rPr>
        <w:t> </w:t>
      </w:r>
      <w:r>
        <w:rPr>
          <w:sz w:val="22"/>
        </w:rPr>
        <w:t>delivery</w:t>
      </w:r>
      <w:r>
        <w:rPr>
          <w:spacing w:val="-9"/>
          <w:sz w:val="22"/>
        </w:rPr>
        <w:t> </w:t>
      </w:r>
      <w:r>
        <w:rPr>
          <w:sz w:val="22"/>
        </w:rPr>
        <w:t>system</w:t>
      </w:r>
      <w:r>
        <w:rPr>
          <w:spacing w:val="-10"/>
          <w:sz w:val="22"/>
        </w:rPr>
        <w:t> </w:t>
      </w:r>
      <w:r>
        <w:rPr>
          <w:sz w:val="22"/>
        </w:rPr>
        <w:t>reform</w:t>
      </w:r>
      <w:r>
        <w:rPr>
          <w:spacing w:val="-10"/>
          <w:sz w:val="22"/>
        </w:rPr>
        <w:t> </w:t>
      </w:r>
      <w:r>
        <w:rPr>
          <w:sz w:val="22"/>
        </w:rPr>
        <w:t>goals.</w:t>
      </w:r>
      <w:r>
        <w:rPr>
          <w:spacing w:val="-6"/>
          <w:sz w:val="22"/>
        </w:rPr>
        <w:t> </w:t>
      </w:r>
      <w:r>
        <w:rPr>
          <w:sz w:val="22"/>
        </w:rPr>
        <w:t>The</w:t>
      </w:r>
      <w:r>
        <w:rPr>
          <w:spacing w:val="-6"/>
          <w:sz w:val="22"/>
        </w:rPr>
        <w:t> </w:t>
      </w:r>
      <w:r>
        <w:rPr>
          <w:sz w:val="22"/>
        </w:rPr>
        <w:t>State</w:t>
      </w:r>
      <w:r>
        <w:rPr>
          <w:spacing w:val="-6"/>
          <w:sz w:val="22"/>
        </w:rPr>
        <w:t> </w:t>
      </w:r>
      <w:r>
        <w:rPr>
          <w:sz w:val="22"/>
        </w:rPr>
        <w:t>will</w:t>
      </w:r>
      <w:r>
        <w:rPr>
          <w:spacing w:val="-5"/>
          <w:sz w:val="22"/>
        </w:rPr>
        <w:t> </w:t>
      </w:r>
      <w:r>
        <w:rPr>
          <w:sz w:val="22"/>
        </w:rPr>
        <w:t>also</w:t>
      </w:r>
      <w:r>
        <w:rPr>
          <w:spacing w:val="-6"/>
          <w:sz w:val="22"/>
        </w:rPr>
        <w:t> </w:t>
      </w:r>
      <w:r>
        <w:rPr>
          <w:sz w:val="22"/>
        </w:rPr>
        <w:t>use</w:t>
      </w:r>
      <w:r>
        <w:rPr>
          <w:spacing w:val="-6"/>
          <w:sz w:val="22"/>
        </w:rPr>
        <w:t> </w:t>
      </w:r>
      <w:r>
        <w:rPr>
          <w:sz w:val="22"/>
        </w:rPr>
        <w:t>these</w:t>
      </w:r>
      <w:r>
        <w:rPr>
          <w:spacing w:val="-6"/>
          <w:sz w:val="22"/>
        </w:rPr>
        <w:t> </w:t>
      </w:r>
      <w:r>
        <w:rPr>
          <w:sz w:val="22"/>
        </w:rPr>
        <w:t>documents to report to CMS, as requested.</w:t>
      </w:r>
    </w:p>
    <w:p>
      <w:pPr>
        <w:spacing w:before="158"/>
        <w:ind w:left="1219" w:right="1095" w:firstLine="0"/>
        <w:jc w:val="both"/>
        <w:rPr>
          <w:sz w:val="22"/>
        </w:rPr>
      </w:pPr>
      <w:r>
        <w:rPr>
          <w:sz w:val="22"/>
        </w:rPr>
        <w:t>Because the DSRIP</w:t>
      </w:r>
      <w:r>
        <w:rPr>
          <w:spacing w:val="-1"/>
          <w:sz w:val="22"/>
        </w:rPr>
        <w:t> </w:t>
      </w:r>
      <w:r>
        <w:rPr>
          <w:sz w:val="22"/>
        </w:rPr>
        <w:t>Participation</w:t>
      </w:r>
      <w:r>
        <w:rPr>
          <w:spacing w:val="-1"/>
          <w:sz w:val="22"/>
        </w:rPr>
        <w:t> </w:t>
      </w:r>
      <w:r>
        <w:rPr>
          <w:sz w:val="22"/>
        </w:rPr>
        <w:t>Plans</w:t>
      </w:r>
      <w:r>
        <w:rPr>
          <w:spacing w:val="-3"/>
          <w:sz w:val="22"/>
        </w:rPr>
        <w:t> </w:t>
      </w:r>
      <w:r>
        <w:rPr>
          <w:sz w:val="22"/>
        </w:rPr>
        <w:t>are based</w:t>
      </w:r>
      <w:r>
        <w:rPr>
          <w:spacing w:val="-3"/>
          <w:sz w:val="22"/>
        </w:rPr>
        <w:t> </w:t>
      </w:r>
      <w:r>
        <w:rPr>
          <w:sz w:val="22"/>
        </w:rPr>
        <w:t>around</w:t>
      </w:r>
      <w:r>
        <w:rPr>
          <w:spacing w:val="-1"/>
          <w:sz w:val="22"/>
        </w:rPr>
        <w:t> </w:t>
      </w:r>
      <w:r>
        <w:rPr>
          <w:sz w:val="22"/>
        </w:rPr>
        <w:t>the ACOs’,</w:t>
      </w:r>
      <w:r>
        <w:rPr>
          <w:spacing w:val="-1"/>
          <w:sz w:val="22"/>
        </w:rPr>
        <w:t> </w:t>
      </w:r>
      <w:r>
        <w:rPr>
          <w:sz w:val="22"/>
        </w:rPr>
        <w:t>CPs’</w:t>
      </w:r>
      <w:r>
        <w:rPr>
          <w:spacing w:val="-2"/>
          <w:sz w:val="22"/>
        </w:rPr>
        <w:t> </w:t>
      </w:r>
      <w:r>
        <w:rPr>
          <w:sz w:val="22"/>
        </w:rPr>
        <w:t>and</w:t>
      </w:r>
      <w:r>
        <w:rPr>
          <w:spacing w:val="-1"/>
          <w:sz w:val="22"/>
        </w:rPr>
        <w:t> </w:t>
      </w:r>
      <w:r>
        <w:rPr>
          <w:sz w:val="22"/>
        </w:rPr>
        <w:t>CSAs’ budget</w:t>
      </w:r>
      <w:r>
        <w:rPr>
          <w:spacing w:val="-2"/>
          <w:sz w:val="22"/>
        </w:rPr>
        <w:t> </w:t>
      </w:r>
      <w:r>
        <w:rPr>
          <w:sz w:val="22"/>
        </w:rPr>
        <w:t>periods,</w:t>
      </w:r>
      <w:r>
        <w:rPr>
          <w:spacing w:val="-3"/>
          <w:sz w:val="22"/>
        </w:rPr>
        <w:t> </w:t>
      </w:r>
      <w:r>
        <w:rPr>
          <w:sz w:val="22"/>
        </w:rPr>
        <w:t>this section begins by explaining the DSRIP budget periods that will apply to these entities. The section then discusses the details of the Preliminary Participations Plans, Full Participation Plans, Budgets and Budget Narratives</w:t>
      </w:r>
      <w:r>
        <w:rPr>
          <w:spacing w:val="-7"/>
          <w:sz w:val="22"/>
        </w:rPr>
        <w:t> </w:t>
      </w:r>
      <w:r>
        <w:rPr>
          <w:sz w:val="22"/>
        </w:rPr>
        <w:t>that</w:t>
      </w:r>
      <w:r>
        <w:rPr>
          <w:spacing w:val="-4"/>
          <w:sz w:val="22"/>
        </w:rPr>
        <w:t> </w:t>
      </w:r>
      <w:r>
        <w:rPr>
          <w:sz w:val="22"/>
        </w:rPr>
        <w:t>ACOs,</w:t>
      </w:r>
      <w:r>
        <w:rPr>
          <w:spacing w:val="-5"/>
          <w:sz w:val="22"/>
        </w:rPr>
        <w:t> </w:t>
      </w:r>
      <w:r>
        <w:rPr>
          <w:sz w:val="22"/>
        </w:rPr>
        <w:t>CPs</w:t>
      </w:r>
      <w:r>
        <w:rPr>
          <w:spacing w:val="-7"/>
          <w:sz w:val="22"/>
        </w:rPr>
        <w:t> </w:t>
      </w:r>
      <w:r>
        <w:rPr>
          <w:sz w:val="22"/>
        </w:rPr>
        <w:t>and</w:t>
      </w:r>
      <w:r>
        <w:rPr>
          <w:spacing w:val="-5"/>
          <w:sz w:val="22"/>
        </w:rPr>
        <w:t> </w:t>
      </w:r>
      <w:r>
        <w:rPr>
          <w:sz w:val="22"/>
        </w:rPr>
        <w:t>CSAs</w:t>
      </w:r>
      <w:r>
        <w:rPr>
          <w:spacing w:val="-4"/>
          <w:sz w:val="22"/>
        </w:rPr>
        <w:t> </w:t>
      </w:r>
      <w:r>
        <w:rPr>
          <w:sz w:val="22"/>
        </w:rPr>
        <w:t>will</w:t>
      </w:r>
      <w:r>
        <w:rPr>
          <w:spacing w:val="-6"/>
          <w:sz w:val="22"/>
        </w:rPr>
        <w:t> </w:t>
      </w:r>
      <w:r>
        <w:rPr>
          <w:sz w:val="22"/>
        </w:rPr>
        <w:t>submit</w:t>
      </w:r>
      <w:r>
        <w:rPr>
          <w:spacing w:val="-4"/>
          <w:sz w:val="22"/>
        </w:rPr>
        <w:t> </w:t>
      </w:r>
      <w:r>
        <w:rPr>
          <w:sz w:val="22"/>
        </w:rPr>
        <w:t>to</w:t>
      </w:r>
      <w:r>
        <w:rPr>
          <w:spacing w:val="-7"/>
          <w:sz w:val="22"/>
        </w:rPr>
        <w:t> </w:t>
      </w:r>
      <w:r>
        <w:rPr>
          <w:sz w:val="22"/>
        </w:rPr>
        <w:t>the</w:t>
      </w:r>
      <w:r>
        <w:rPr>
          <w:spacing w:val="-4"/>
          <w:sz w:val="22"/>
        </w:rPr>
        <w:t> </w:t>
      </w:r>
      <w:r>
        <w:rPr>
          <w:sz w:val="22"/>
        </w:rPr>
        <w:t>State,</w:t>
      </w:r>
      <w:r>
        <w:rPr>
          <w:spacing w:val="-7"/>
          <w:sz w:val="22"/>
        </w:rPr>
        <w:t> </w:t>
      </w:r>
      <w:r>
        <w:rPr>
          <w:sz w:val="22"/>
        </w:rPr>
        <w:t>including</w:t>
      </w:r>
      <w:r>
        <w:rPr>
          <w:spacing w:val="-7"/>
          <w:sz w:val="22"/>
        </w:rPr>
        <w:t> </w:t>
      </w:r>
      <w:r>
        <w:rPr>
          <w:sz w:val="22"/>
        </w:rPr>
        <w:t>what</w:t>
      </w:r>
      <w:r>
        <w:rPr>
          <w:spacing w:val="-4"/>
          <w:sz w:val="22"/>
        </w:rPr>
        <w:t> </w:t>
      </w:r>
      <w:r>
        <w:rPr>
          <w:sz w:val="22"/>
        </w:rPr>
        <w:t>information</w:t>
      </w:r>
      <w:r>
        <w:rPr>
          <w:spacing w:val="-5"/>
          <w:sz w:val="22"/>
        </w:rPr>
        <w:t> </w:t>
      </w:r>
      <w:r>
        <w:rPr>
          <w:sz w:val="22"/>
        </w:rPr>
        <w:t>will</w:t>
      </w:r>
      <w:r>
        <w:rPr>
          <w:spacing w:val="-6"/>
          <w:sz w:val="22"/>
        </w:rPr>
        <w:t> </w:t>
      </w:r>
      <w:r>
        <w:rPr>
          <w:sz w:val="22"/>
        </w:rPr>
        <w:t>be</w:t>
      </w:r>
      <w:r>
        <w:rPr>
          <w:spacing w:val="-4"/>
          <w:sz w:val="22"/>
        </w:rPr>
        <w:t> </w:t>
      </w:r>
      <w:r>
        <w:rPr>
          <w:sz w:val="22"/>
        </w:rPr>
        <w:t>included in each. The Section then details the State’s review and approval process for each of these documents.</w:t>
      </w:r>
    </w:p>
    <w:p>
      <w:pPr>
        <w:pStyle w:val="Heading2"/>
        <w:numPr>
          <w:ilvl w:val="1"/>
          <w:numId w:val="65"/>
        </w:numPr>
        <w:tabs>
          <w:tab w:pos="1618" w:val="left" w:leader="none"/>
        </w:tabs>
        <w:spacing w:line="240" w:lineRule="auto" w:before="203" w:after="0"/>
        <w:ind w:left="1618" w:right="0" w:hanging="398"/>
        <w:jc w:val="both"/>
      </w:pPr>
      <w:bookmarkStart w:name="3.1 DSRIP Budget Periods" w:id="1238"/>
      <w:bookmarkEnd w:id="1238"/>
      <w:r>
        <w:rPr>
          <w:b w:val="0"/>
        </w:rPr>
      </w:r>
      <w:bookmarkStart w:name="3.1.1 ACO Budget Periods" w:id="1239"/>
      <w:bookmarkEnd w:id="1239"/>
      <w:r>
        <w:rPr>
          <w:b w:val="0"/>
        </w:rPr>
      </w:r>
      <w:bookmarkStart w:name="_bookmark19" w:id="1240"/>
      <w:bookmarkEnd w:id="1240"/>
      <w:r>
        <w:rPr>
          <w:b w:val="0"/>
        </w:rPr>
      </w:r>
      <w:bookmarkStart w:name="_bookmark20" w:id="1241"/>
      <w:bookmarkEnd w:id="1241"/>
      <w:r>
        <w:rPr>
          <w:b w:val="0"/>
        </w:rPr>
      </w:r>
      <w:r>
        <w:rPr>
          <w:color w:val="4471C4"/>
        </w:rPr>
        <w:t>DSRIP</w:t>
      </w:r>
      <w:r>
        <w:rPr>
          <w:color w:val="4471C4"/>
          <w:spacing w:val="-9"/>
        </w:rPr>
        <w:t> </w:t>
      </w:r>
      <w:r>
        <w:rPr>
          <w:color w:val="4471C4"/>
        </w:rPr>
        <w:t>Budget</w:t>
      </w:r>
      <w:r>
        <w:rPr>
          <w:color w:val="4471C4"/>
          <w:spacing w:val="-6"/>
        </w:rPr>
        <w:t> </w:t>
      </w:r>
      <w:r>
        <w:rPr>
          <w:color w:val="4471C4"/>
          <w:spacing w:val="-2"/>
        </w:rPr>
        <w:t>Periods</w:t>
      </w:r>
    </w:p>
    <w:p>
      <w:pPr>
        <w:pStyle w:val="Heading5"/>
        <w:numPr>
          <w:ilvl w:val="2"/>
          <w:numId w:val="65"/>
        </w:numPr>
        <w:tabs>
          <w:tab w:pos="1940" w:val="left" w:leader="none"/>
        </w:tabs>
        <w:spacing w:line="240" w:lineRule="auto" w:before="200" w:after="0"/>
        <w:ind w:left="1940" w:right="0" w:hanging="720"/>
        <w:jc w:val="both"/>
        <w:rPr>
          <w:color w:val="4471C4"/>
        </w:rPr>
      </w:pPr>
      <w:r>
        <w:rPr>
          <w:color w:val="4471C4"/>
        </w:rPr>
        <w:t>ACO</w:t>
      </w:r>
      <w:r>
        <w:rPr>
          <w:color w:val="4471C4"/>
          <w:spacing w:val="-4"/>
        </w:rPr>
        <w:t> </w:t>
      </w:r>
      <w:r>
        <w:rPr>
          <w:color w:val="4471C4"/>
        </w:rPr>
        <w:t>Budget</w:t>
      </w:r>
      <w:r>
        <w:rPr>
          <w:color w:val="4471C4"/>
          <w:spacing w:val="-2"/>
        </w:rPr>
        <w:t> Periods</w:t>
      </w:r>
    </w:p>
    <w:p>
      <w:pPr>
        <w:spacing w:before="40"/>
        <w:ind w:left="1219" w:right="1095" w:firstLine="0"/>
        <w:jc w:val="both"/>
        <w:rPr>
          <w:sz w:val="22"/>
        </w:rPr>
      </w:pPr>
      <w:r>
        <w:rPr>
          <w:sz w:val="22"/>
        </w:rPr>
        <w:t>The State’s 1115 demonstration aligns with the State’s fiscal year (July 1 to June 30). Performance years (PYs) for the State’s ACO Program (i.e., the time periods which the State will use to calculate cost and quality accountability for ACOs) align with the calendar year (January 1 to December 31), and are thus offset from the State’s demonstration years by 6 months.</w:t>
      </w:r>
    </w:p>
    <w:p>
      <w:pPr>
        <w:spacing w:before="159"/>
        <w:ind w:left="1219" w:right="1093" w:firstLine="0"/>
        <w:jc w:val="both"/>
        <w:rPr>
          <w:sz w:val="22"/>
        </w:rPr>
      </w:pPr>
      <w:r>
        <w:rPr>
          <w:sz w:val="22"/>
        </w:rPr>
        <w:t>The State will disburse DSRIP funding to ACOs using six “Budget Periods” (BPs) that align with ACO performance years. The State anticipates that the first BP, the “Preparation Budget Period,” will begin on July 1, 2017 or when contracts between the State and the ACOs are executed (whichever is later) and end December 31, 2017. ACOs</w:t>
      </w:r>
      <w:r>
        <w:rPr>
          <w:spacing w:val="-2"/>
          <w:sz w:val="22"/>
        </w:rPr>
        <w:t> </w:t>
      </w:r>
      <w:r>
        <w:rPr>
          <w:sz w:val="22"/>
        </w:rPr>
        <w:t>will therefore have completed their contracting</w:t>
      </w:r>
      <w:r>
        <w:rPr>
          <w:spacing w:val="-2"/>
          <w:sz w:val="22"/>
        </w:rPr>
        <w:t> </w:t>
      </w:r>
      <w:r>
        <w:rPr>
          <w:sz w:val="22"/>
        </w:rPr>
        <w:t>with the State prior</w:t>
      </w:r>
      <w:r>
        <w:rPr>
          <w:spacing w:val="-1"/>
          <w:sz w:val="22"/>
        </w:rPr>
        <w:t> </w:t>
      </w:r>
      <w:r>
        <w:rPr>
          <w:sz w:val="22"/>
        </w:rPr>
        <w:t>to the start of</w:t>
      </w:r>
      <w:r>
        <w:rPr>
          <w:spacing w:val="-3"/>
          <w:sz w:val="22"/>
        </w:rPr>
        <w:t> </w:t>
      </w:r>
      <w:r>
        <w:rPr>
          <w:sz w:val="22"/>
        </w:rPr>
        <w:t>the</w:t>
      </w:r>
      <w:r>
        <w:rPr>
          <w:spacing w:val="-3"/>
          <w:sz w:val="22"/>
        </w:rPr>
        <w:t> </w:t>
      </w:r>
      <w:r>
        <w:rPr>
          <w:sz w:val="22"/>
        </w:rPr>
        <w:t>Preparation</w:t>
      </w:r>
      <w:r>
        <w:rPr>
          <w:spacing w:val="-4"/>
          <w:sz w:val="22"/>
        </w:rPr>
        <w:t> </w:t>
      </w:r>
      <w:r>
        <w:rPr>
          <w:sz w:val="22"/>
        </w:rPr>
        <w:t>Budget</w:t>
      </w:r>
      <w:r>
        <w:rPr>
          <w:spacing w:val="-3"/>
          <w:sz w:val="22"/>
        </w:rPr>
        <w:t> </w:t>
      </w:r>
      <w:r>
        <w:rPr>
          <w:sz w:val="22"/>
        </w:rPr>
        <w:t>Period.</w:t>
      </w:r>
      <w:r>
        <w:rPr>
          <w:spacing w:val="40"/>
          <w:sz w:val="22"/>
        </w:rPr>
        <w:t> </w:t>
      </w:r>
      <w:r>
        <w:rPr>
          <w:sz w:val="22"/>
        </w:rPr>
        <w:t>During</w:t>
      </w:r>
      <w:r>
        <w:rPr>
          <w:spacing w:val="-6"/>
          <w:sz w:val="22"/>
        </w:rPr>
        <w:t> </w:t>
      </w:r>
      <w:r>
        <w:rPr>
          <w:sz w:val="22"/>
        </w:rPr>
        <w:t>this</w:t>
      </w:r>
      <w:r>
        <w:rPr>
          <w:spacing w:val="-3"/>
          <w:sz w:val="22"/>
        </w:rPr>
        <w:t> </w:t>
      </w:r>
      <w:r>
        <w:rPr>
          <w:sz w:val="22"/>
        </w:rPr>
        <w:t>Preparation</w:t>
      </w:r>
      <w:r>
        <w:rPr>
          <w:spacing w:val="-4"/>
          <w:sz w:val="22"/>
        </w:rPr>
        <w:t> </w:t>
      </w:r>
      <w:r>
        <w:rPr>
          <w:sz w:val="22"/>
        </w:rPr>
        <w:t>Budget</w:t>
      </w:r>
      <w:r>
        <w:rPr>
          <w:spacing w:val="-3"/>
          <w:sz w:val="22"/>
        </w:rPr>
        <w:t> </w:t>
      </w:r>
      <w:r>
        <w:rPr>
          <w:sz w:val="22"/>
        </w:rPr>
        <w:t>Period,</w:t>
      </w:r>
      <w:r>
        <w:rPr>
          <w:spacing w:val="-4"/>
          <w:sz w:val="22"/>
        </w:rPr>
        <w:t> </w:t>
      </w:r>
      <w:r>
        <w:rPr>
          <w:sz w:val="22"/>
        </w:rPr>
        <w:t>ACOs</w:t>
      </w:r>
      <w:r>
        <w:rPr>
          <w:spacing w:val="-3"/>
          <w:sz w:val="22"/>
        </w:rPr>
        <w:t> </w:t>
      </w:r>
      <w:r>
        <w:rPr>
          <w:sz w:val="22"/>
        </w:rPr>
        <w:t>will</w:t>
      </w:r>
      <w:r>
        <w:rPr>
          <w:spacing w:val="-3"/>
          <w:sz w:val="22"/>
        </w:rPr>
        <w:t> </w:t>
      </w:r>
      <w:r>
        <w:rPr>
          <w:sz w:val="22"/>
        </w:rPr>
        <w:t>have</w:t>
      </w:r>
      <w:r>
        <w:rPr>
          <w:spacing w:val="-3"/>
          <w:sz w:val="22"/>
        </w:rPr>
        <w:t> </w:t>
      </w:r>
      <w:r>
        <w:rPr>
          <w:sz w:val="22"/>
        </w:rPr>
        <w:t>the</w:t>
      </w:r>
      <w:r>
        <w:rPr>
          <w:spacing w:val="-3"/>
          <w:sz w:val="22"/>
        </w:rPr>
        <w:t> </w:t>
      </w:r>
      <w:r>
        <w:rPr>
          <w:sz w:val="22"/>
        </w:rPr>
        <w:t>opportunity to make investments and arrangements necessary to succeed as an ACO. Moving to a Total Cost of Care (TCOC) model is a significant undertaking</w:t>
      </w:r>
      <w:r>
        <w:rPr>
          <w:spacing w:val="-2"/>
          <w:sz w:val="22"/>
        </w:rPr>
        <w:t> </w:t>
      </w:r>
      <w:r>
        <w:rPr>
          <w:sz w:val="22"/>
        </w:rPr>
        <w:t>that</w:t>
      </w:r>
      <w:r>
        <w:rPr>
          <w:spacing w:val="-1"/>
          <w:sz w:val="22"/>
        </w:rPr>
        <w:t> </w:t>
      </w:r>
      <w:r>
        <w:rPr>
          <w:sz w:val="22"/>
        </w:rPr>
        <w:t>requires preparation and investment such</w:t>
      </w:r>
      <w:r>
        <w:rPr>
          <w:spacing w:val="-2"/>
          <w:sz w:val="22"/>
        </w:rPr>
        <w:t> </w:t>
      </w:r>
      <w:r>
        <w:rPr>
          <w:sz w:val="22"/>
        </w:rPr>
        <w:t>as training</w:t>
      </w:r>
      <w:r>
        <w:rPr>
          <w:spacing w:val="-2"/>
          <w:sz w:val="22"/>
        </w:rPr>
        <w:t> </w:t>
      </w:r>
      <w:r>
        <w:rPr>
          <w:sz w:val="22"/>
        </w:rPr>
        <w:t>staff, purchasing appropriate infrastructure, and setting up electronic, secure communications. The Preparation Budget Period</w:t>
      </w:r>
      <w:r>
        <w:rPr>
          <w:spacing w:val="-1"/>
          <w:sz w:val="22"/>
        </w:rPr>
        <w:t> </w:t>
      </w:r>
      <w:r>
        <w:rPr>
          <w:sz w:val="22"/>
        </w:rPr>
        <w:t>will allow</w:t>
      </w:r>
      <w:r>
        <w:rPr>
          <w:spacing w:val="-2"/>
          <w:sz w:val="22"/>
        </w:rPr>
        <w:t> </w:t>
      </w:r>
      <w:r>
        <w:rPr>
          <w:sz w:val="22"/>
        </w:rPr>
        <w:t>for such</w:t>
      </w:r>
      <w:r>
        <w:rPr>
          <w:spacing w:val="-1"/>
          <w:sz w:val="22"/>
        </w:rPr>
        <w:t> </w:t>
      </w:r>
      <w:r>
        <w:rPr>
          <w:sz w:val="22"/>
        </w:rPr>
        <w:t>actions</w:t>
      </w:r>
      <w:r>
        <w:rPr>
          <w:spacing w:val="-1"/>
          <w:sz w:val="22"/>
        </w:rPr>
        <w:t> </w:t>
      </w:r>
      <w:r>
        <w:rPr>
          <w:sz w:val="22"/>
        </w:rPr>
        <w:t>to</w:t>
      </w:r>
      <w:r>
        <w:rPr>
          <w:spacing w:val="-1"/>
          <w:sz w:val="22"/>
        </w:rPr>
        <w:t> </w:t>
      </w:r>
      <w:r>
        <w:rPr>
          <w:sz w:val="22"/>
        </w:rPr>
        <w:t>occur.</w:t>
      </w:r>
      <w:r>
        <w:rPr>
          <w:spacing w:val="-1"/>
          <w:sz w:val="22"/>
        </w:rPr>
        <w:t> </w:t>
      </w:r>
      <w:r>
        <w:rPr>
          <w:sz w:val="22"/>
        </w:rPr>
        <w:t>Investments</w:t>
      </w:r>
      <w:r>
        <w:rPr>
          <w:spacing w:val="-1"/>
          <w:sz w:val="22"/>
        </w:rPr>
        <w:t> </w:t>
      </w:r>
      <w:r>
        <w:rPr>
          <w:sz w:val="22"/>
        </w:rPr>
        <w:t>may</w:t>
      </w:r>
      <w:r>
        <w:rPr>
          <w:spacing w:val="-4"/>
          <w:sz w:val="22"/>
        </w:rPr>
        <w:t> </w:t>
      </w:r>
      <w:r>
        <w:rPr>
          <w:sz w:val="22"/>
        </w:rPr>
        <w:t>include,</w:t>
      </w:r>
      <w:r>
        <w:rPr>
          <w:spacing w:val="-1"/>
          <w:sz w:val="22"/>
        </w:rPr>
        <w:t> </w:t>
      </w:r>
      <w:r>
        <w:rPr>
          <w:sz w:val="22"/>
        </w:rPr>
        <w:t>but are</w:t>
      </w:r>
      <w:r>
        <w:rPr>
          <w:spacing w:val="-1"/>
          <w:sz w:val="22"/>
        </w:rPr>
        <w:t> </w:t>
      </w:r>
      <w:r>
        <w:rPr>
          <w:sz w:val="22"/>
        </w:rPr>
        <w:t>not limited</w:t>
      </w:r>
      <w:r>
        <w:rPr>
          <w:spacing w:val="-1"/>
          <w:sz w:val="22"/>
        </w:rPr>
        <w:t> </w:t>
      </w:r>
      <w:r>
        <w:rPr>
          <w:sz w:val="22"/>
        </w:rPr>
        <w:t>to: health information technology, performance management infrastructure, network development/contracting, project management, and care coordination/management investment.</w:t>
      </w:r>
    </w:p>
    <w:p>
      <w:pPr>
        <w:spacing w:after="0"/>
        <w:jc w:val="both"/>
        <w:rPr>
          <w:sz w:val="22"/>
        </w:rPr>
        <w:sectPr>
          <w:pgSz w:w="12240" w:h="15840"/>
          <w:pgMar w:header="0" w:footer="967" w:top="1360" w:bottom="1160" w:left="220" w:right="340"/>
        </w:sectPr>
      </w:pPr>
    </w:p>
    <w:p>
      <w:pPr>
        <w:spacing w:before="78"/>
        <w:ind w:left="1219" w:right="1094" w:firstLine="0"/>
        <w:jc w:val="both"/>
        <w:rPr>
          <w:sz w:val="22"/>
        </w:rPr>
      </w:pPr>
      <w:r>
        <w:rPr>
          <w:sz w:val="22"/>
        </w:rPr>
        <w:t>During this Preparation Budget Period, the State will work with ACOs to ensure they are ready for the responsibilities of the full TCOC model (e.g., enrolling members, taking financial risk, receiving data supports) including holding regular meetings with ACOs, performing a structured “readiness review” process similar to the one the State undertakes for its MCOs, and providing preliminary data supports. Additionally, ACOs will be</w:t>
      </w:r>
      <w:r>
        <w:rPr>
          <w:spacing w:val="-1"/>
          <w:sz w:val="22"/>
        </w:rPr>
        <w:t> </w:t>
      </w:r>
      <w:r>
        <w:rPr>
          <w:sz w:val="22"/>
        </w:rPr>
        <w:t>required to submit Budgets and Budget Narratives that lay</w:t>
      </w:r>
      <w:r>
        <w:rPr>
          <w:spacing w:val="-1"/>
          <w:sz w:val="22"/>
        </w:rPr>
        <w:t> </w:t>
      </w:r>
      <w:r>
        <w:rPr>
          <w:sz w:val="22"/>
        </w:rPr>
        <w:t>out their plans and goals</w:t>
      </w:r>
      <w:r>
        <w:rPr>
          <w:spacing w:val="-2"/>
          <w:sz w:val="22"/>
        </w:rPr>
        <w:t> </w:t>
      </w:r>
      <w:r>
        <w:rPr>
          <w:sz w:val="22"/>
        </w:rPr>
        <w:t>for</w:t>
      </w:r>
      <w:r>
        <w:rPr>
          <w:spacing w:val="-1"/>
          <w:sz w:val="22"/>
        </w:rPr>
        <w:t> </w:t>
      </w:r>
      <w:r>
        <w:rPr>
          <w:sz w:val="22"/>
        </w:rPr>
        <w:t>DSRIP</w:t>
      </w:r>
      <w:r>
        <w:rPr>
          <w:spacing w:val="-3"/>
          <w:sz w:val="22"/>
        </w:rPr>
        <w:t> </w:t>
      </w:r>
      <w:r>
        <w:rPr>
          <w:sz w:val="22"/>
        </w:rPr>
        <w:t>funding.</w:t>
      </w:r>
      <w:r>
        <w:rPr>
          <w:spacing w:val="-2"/>
          <w:sz w:val="22"/>
        </w:rPr>
        <w:t> </w:t>
      </w:r>
      <w:r>
        <w:rPr>
          <w:sz w:val="22"/>
        </w:rPr>
        <w:t>The</w:t>
      </w:r>
      <w:r>
        <w:rPr>
          <w:spacing w:val="-2"/>
          <w:sz w:val="22"/>
        </w:rPr>
        <w:t> </w:t>
      </w:r>
      <w:r>
        <w:rPr>
          <w:sz w:val="22"/>
        </w:rPr>
        <w:t>State</w:t>
      </w:r>
      <w:r>
        <w:rPr>
          <w:spacing w:val="-2"/>
          <w:sz w:val="22"/>
        </w:rPr>
        <w:t> </w:t>
      </w:r>
      <w:r>
        <w:rPr>
          <w:sz w:val="22"/>
        </w:rPr>
        <w:t>will</w:t>
      </w:r>
      <w:r>
        <w:rPr>
          <w:spacing w:val="-1"/>
          <w:sz w:val="22"/>
        </w:rPr>
        <w:t> </w:t>
      </w:r>
      <w:r>
        <w:rPr>
          <w:sz w:val="22"/>
        </w:rPr>
        <w:t>review</w:t>
      </w:r>
      <w:r>
        <w:rPr>
          <w:spacing w:val="-3"/>
          <w:sz w:val="22"/>
        </w:rPr>
        <w:t> </w:t>
      </w:r>
      <w:r>
        <w:rPr>
          <w:sz w:val="22"/>
        </w:rPr>
        <w:t>and</w:t>
      </w:r>
      <w:r>
        <w:rPr>
          <w:spacing w:val="-5"/>
          <w:sz w:val="22"/>
        </w:rPr>
        <w:t> </w:t>
      </w:r>
      <w:r>
        <w:rPr>
          <w:sz w:val="22"/>
        </w:rPr>
        <w:t>approve</w:t>
      </w:r>
      <w:r>
        <w:rPr>
          <w:spacing w:val="-2"/>
          <w:sz w:val="22"/>
        </w:rPr>
        <w:t> </w:t>
      </w:r>
      <w:r>
        <w:rPr>
          <w:sz w:val="22"/>
        </w:rPr>
        <w:t>such</w:t>
      </w:r>
      <w:r>
        <w:rPr>
          <w:spacing w:val="-5"/>
          <w:sz w:val="22"/>
        </w:rPr>
        <w:t> </w:t>
      </w:r>
      <w:r>
        <w:rPr>
          <w:sz w:val="22"/>
        </w:rPr>
        <w:t>plans,</w:t>
      </w:r>
      <w:r>
        <w:rPr>
          <w:spacing w:val="-5"/>
          <w:sz w:val="22"/>
        </w:rPr>
        <w:t> </w:t>
      </w:r>
      <w:r>
        <w:rPr>
          <w:sz w:val="22"/>
        </w:rPr>
        <w:t>requesting</w:t>
      </w:r>
      <w:r>
        <w:rPr>
          <w:spacing w:val="-5"/>
          <w:sz w:val="22"/>
        </w:rPr>
        <w:t> </w:t>
      </w:r>
      <w:r>
        <w:rPr>
          <w:sz w:val="22"/>
        </w:rPr>
        <w:t>additional</w:t>
      </w:r>
      <w:r>
        <w:rPr>
          <w:spacing w:val="-1"/>
          <w:sz w:val="22"/>
        </w:rPr>
        <w:t> </w:t>
      </w:r>
      <w:r>
        <w:rPr>
          <w:sz w:val="22"/>
        </w:rPr>
        <w:t>information where necessary.</w:t>
      </w:r>
    </w:p>
    <w:p>
      <w:pPr>
        <w:spacing w:before="161"/>
        <w:ind w:left="1219" w:right="1094" w:firstLine="0"/>
        <w:jc w:val="both"/>
        <w:rPr>
          <w:sz w:val="22"/>
        </w:rPr>
      </w:pPr>
      <w:r>
        <w:rPr>
          <w:sz w:val="22"/>
        </w:rPr>
        <w:t>Budget Periods 1-5 (BP 1-5) will each last for one full calendar year, with Budget Period 1 beginning January 1, 2018 and ending December 31, 2018, etc. Please see Exhibit 2 for the schedule of the DSRIP ACO Budget Periods.</w:t>
      </w:r>
    </w:p>
    <w:p>
      <w:pPr>
        <w:tabs>
          <w:tab w:pos="1219" w:val="left" w:leader="none"/>
          <w:tab w:pos="11035" w:val="left" w:leader="none"/>
        </w:tabs>
        <w:spacing w:before="199"/>
        <w:ind w:left="764" w:right="0" w:firstLine="0"/>
        <w:jc w:val="left"/>
        <w:rPr>
          <w:sz w:val="22"/>
        </w:rPr>
      </w:pPr>
      <w:r>
        <w:rPr>
          <w:sz w:val="22"/>
          <w:u w:val="single"/>
        </w:rPr>
        <w:tab/>
        <w:t>EXHIBIT</w:t>
      </w:r>
      <w:r>
        <w:rPr>
          <w:spacing w:val="-4"/>
          <w:sz w:val="22"/>
          <w:u w:val="single"/>
        </w:rPr>
        <w:t> </w:t>
      </w:r>
      <w:r>
        <w:rPr>
          <w:sz w:val="22"/>
          <w:u w:val="single"/>
        </w:rPr>
        <w:t>2</w:t>
      </w:r>
      <w:r>
        <w:rPr>
          <w:spacing w:val="-3"/>
          <w:sz w:val="22"/>
          <w:u w:val="single"/>
        </w:rPr>
        <w:t> </w:t>
      </w:r>
      <w:r>
        <w:rPr>
          <w:sz w:val="22"/>
          <w:u w:val="single"/>
        </w:rPr>
        <w:t>–</w:t>
      </w:r>
      <w:r>
        <w:rPr>
          <w:spacing w:val="-3"/>
          <w:sz w:val="22"/>
          <w:u w:val="single"/>
        </w:rPr>
        <w:t> </w:t>
      </w:r>
      <w:r>
        <w:rPr>
          <w:sz w:val="22"/>
          <w:u w:val="single"/>
        </w:rPr>
        <w:t>Schedule</w:t>
      </w:r>
      <w:r>
        <w:rPr>
          <w:spacing w:val="-4"/>
          <w:sz w:val="22"/>
          <w:u w:val="single"/>
        </w:rPr>
        <w:t> </w:t>
      </w:r>
      <w:r>
        <w:rPr>
          <w:sz w:val="22"/>
          <w:u w:val="single"/>
        </w:rPr>
        <w:t>of</w:t>
      </w:r>
      <w:r>
        <w:rPr>
          <w:spacing w:val="-5"/>
          <w:sz w:val="22"/>
          <w:u w:val="single"/>
        </w:rPr>
        <w:t> </w:t>
      </w:r>
      <w:r>
        <w:rPr>
          <w:sz w:val="22"/>
          <w:u w:val="single"/>
        </w:rPr>
        <w:t>DSRIP</w:t>
      </w:r>
      <w:r>
        <w:rPr>
          <w:spacing w:val="-4"/>
          <w:sz w:val="22"/>
          <w:u w:val="single"/>
        </w:rPr>
        <w:t> </w:t>
      </w:r>
      <w:r>
        <w:rPr>
          <w:sz w:val="22"/>
          <w:u w:val="single"/>
        </w:rPr>
        <w:t>ACO</w:t>
      </w:r>
      <w:r>
        <w:rPr>
          <w:spacing w:val="-4"/>
          <w:sz w:val="22"/>
          <w:u w:val="single"/>
        </w:rPr>
        <w:t> </w:t>
      </w:r>
      <w:r>
        <w:rPr>
          <w:sz w:val="22"/>
          <w:u w:val="single"/>
        </w:rPr>
        <w:t>Budget</w:t>
      </w:r>
      <w:r>
        <w:rPr>
          <w:spacing w:val="-2"/>
          <w:sz w:val="22"/>
          <w:u w:val="single"/>
        </w:rPr>
        <w:t> Periods</w:t>
      </w:r>
      <w:r>
        <w:rPr>
          <w:sz w:val="22"/>
          <w:u w:val="single"/>
        </w:rPr>
        <w:tab/>
      </w:r>
    </w:p>
    <w:p>
      <w:pPr>
        <w:pStyle w:val="BodyText"/>
        <w:spacing w:before="8"/>
        <w:rPr>
          <w:sz w:val="11"/>
        </w:rPr>
      </w:pPr>
    </w:p>
    <w:tbl>
      <w:tblPr>
        <w:tblW w:w="0" w:type="auto"/>
        <w:jc w:val="left"/>
        <w:tblInd w:w="1157"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CellMar>
          <w:top w:w="0" w:type="dxa"/>
          <w:left w:w="0" w:type="dxa"/>
          <w:bottom w:w="0" w:type="dxa"/>
          <w:right w:w="0" w:type="dxa"/>
        </w:tblCellMar>
        <w:tblLook w:val="01E0"/>
      </w:tblPr>
      <w:tblGrid>
        <w:gridCol w:w="424"/>
        <w:gridCol w:w="424"/>
        <w:gridCol w:w="189"/>
        <w:gridCol w:w="23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18"/>
      </w:tblGrid>
      <w:tr>
        <w:trPr>
          <w:trHeight w:val="207" w:hRule="atLeast"/>
        </w:trPr>
        <w:tc>
          <w:tcPr>
            <w:tcW w:w="848" w:type="dxa"/>
            <w:gridSpan w:val="2"/>
            <w:shd w:val="clear" w:color="auto" w:fill="1F487C"/>
          </w:tcPr>
          <w:p>
            <w:pPr>
              <w:pStyle w:val="TableParagraph"/>
              <w:spacing w:line="146" w:lineRule="exact" w:before="41"/>
              <w:ind w:left="232"/>
              <w:rPr>
                <w:rFonts w:ascii="Calibri"/>
                <w:b/>
                <w:sz w:val="13"/>
              </w:rPr>
            </w:pPr>
            <w:r>
              <w:rPr>
                <w:rFonts w:ascii="Calibri"/>
                <w:b/>
                <w:color w:val="FFFFFF"/>
                <w:spacing w:val="-2"/>
                <w:w w:val="105"/>
                <w:sz w:val="13"/>
              </w:rPr>
              <w:t>CY2017</w:t>
            </w:r>
          </w:p>
        </w:tc>
        <w:tc>
          <w:tcPr>
            <w:tcW w:w="1695" w:type="dxa"/>
            <w:gridSpan w:val="5"/>
            <w:shd w:val="clear" w:color="auto" w:fill="1F487C"/>
          </w:tcPr>
          <w:p>
            <w:pPr>
              <w:pStyle w:val="TableParagraph"/>
              <w:spacing w:line="146" w:lineRule="exact" w:before="41"/>
              <w:ind w:left="634" w:right="597"/>
              <w:jc w:val="center"/>
              <w:rPr>
                <w:rFonts w:ascii="Calibri"/>
                <w:b/>
                <w:sz w:val="13"/>
              </w:rPr>
            </w:pPr>
            <w:r>
              <w:rPr>
                <w:rFonts w:ascii="Calibri"/>
                <w:b/>
                <w:color w:val="FFFFFF"/>
                <w:spacing w:val="-2"/>
                <w:w w:val="105"/>
                <w:sz w:val="13"/>
              </w:rPr>
              <w:t>CY2018</w:t>
            </w:r>
          </w:p>
        </w:tc>
        <w:tc>
          <w:tcPr>
            <w:tcW w:w="1696" w:type="dxa"/>
            <w:gridSpan w:val="4"/>
            <w:shd w:val="clear" w:color="auto" w:fill="1F487C"/>
          </w:tcPr>
          <w:p>
            <w:pPr>
              <w:pStyle w:val="TableParagraph"/>
              <w:spacing w:line="146" w:lineRule="exact" w:before="41"/>
              <w:ind w:left="581" w:right="539"/>
              <w:jc w:val="center"/>
              <w:rPr>
                <w:rFonts w:ascii="Calibri"/>
                <w:b/>
                <w:sz w:val="13"/>
              </w:rPr>
            </w:pPr>
            <w:r>
              <w:rPr>
                <w:rFonts w:ascii="Calibri"/>
                <w:b/>
                <w:color w:val="FFFFFF"/>
                <w:spacing w:val="-2"/>
                <w:w w:val="105"/>
                <w:sz w:val="13"/>
              </w:rPr>
              <w:t>CY2019</w:t>
            </w:r>
          </w:p>
        </w:tc>
        <w:tc>
          <w:tcPr>
            <w:tcW w:w="1696" w:type="dxa"/>
            <w:gridSpan w:val="4"/>
            <w:shd w:val="clear" w:color="auto" w:fill="1F487C"/>
          </w:tcPr>
          <w:p>
            <w:pPr>
              <w:pStyle w:val="TableParagraph"/>
              <w:spacing w:line="146" w:lineRule="exact" w:before="41"/>
              <w:ind w:left="581" w:right="536"/>
              <w:jc w:val="center"/>
              <w:rPr>
                <w:rFonts w:ascii="Calibri"/>
                <w:b/>
                <w:sz w:val="13"/>
              </w:rPr>
            </w:pPr>
            <w:r>
              <w:rPr>
                <w:rFonts w:ascii="Calibri"/>
                <w:b/>
                <w:color w:val="FFFFFF"/>
                <w:spacing w:val="-2"/>
                <w:w w:val="105"/>
                <w:sz w:val="13"/>
              </w:rPr>
              <w:t>CY2020</w:t>
            </w:r>
          </w:p>
        </w:tc>
        <w:tc>
          <w:tcPr>
            <w:tcW w:w="1696" w:type="dxa"/>
            <w:gridSpan w:val="4"/>
            <w:shd w:val="clear" w:color="auto" w:fill="1F487C"/>
          </w:tcPr>
          <w:p>
            <w:pPr>
              <w:pStyle w:val="TableParagraph"/>
              <w:spacing w:line="146" w:lineRule="exact" w:before="41"/>
              <w:ind w:left="581" w:right="532"/>
              <w:jc w:val="center"/>
              <w:rPr>
                <w:rFonts w:ascii="Calibri"/>
                <w:b/>
                <w:sz w:val="13"/>
              </w:rPr>
            </w:pPr>
            <w:r>
              <w:rPr>
                <w:rFonts w:ascii="Calibri"/>
                <w:b/>
                <w:color w:val="FFFFFF"/>
                <w:spacing w:val="-2"/>
                <w:w w:val="105"/>
                <w:sz w:val="13"/>
              </w:rPr>
              <w:t>CY2021</w:t>
            </w:r>
          </w:p>
        </w:tc>
        <w:tc>
          <w:tcPr>
            <w:tcW w:w="1690" w:type="dxa"/>
            <w:gridSpan w:val="4"/>
            <w:tcBorders>
              <w:right w:val="single" w:sz="12" w:space="0" w:color="BEBEBE"/>
            </w:tcBorders>
            <w:shd w:val="clear" w:color="auto" w:fill="1F487C"/>
          </w:tcPr>
          <w:p>
            <w:pPr>
              <w:pStyle w:val="TableParagraph"/>
              <w:spacing w:line="146" w:lineRule="exact" w:before="41"/>
              <w:ind w:left="642" w:right="576"/>
              <w:jc w:val="center"/>
              <w:rPr>
                <w:rFonts w:ascii="Calibri"/>
                <w:b/>
                <w:sz w:val="13"/>
              </w:rPr>
            </w:pPr>
            <w:r>
              <w:rPr>
                <w:rFonts w:ascii="Calibri"/>
                <w:b/>
                <w:color w:val="FFFFFF"/>
                <w:spacing w:val="-2"/>
                <w:w w:val="105"/>
                <w:sz w:val="13"/>
              </w:rPr>
              <w:t>CY2022</w:t>
            </w:r>
          </w:p>
        </w:tc>
      </w:tr>
      <w:tr>
        <w:trPr>
          <w:trHeight w:val="207" w:hRule="atLeast"/>
        </w:trPr>
        <w:tc>
          <w:tcPr>
            <w:tcW w:w="424" w:type="dxa"/>
            <w:shd w:val="clear" w:color="auto" w:fill="D9D9D9"/>
          </w:tcPr>
          <w:p>
            <w:pPr>
              <w:pStyle w:val="TableParagraph"/>
              <w:spacing w:line="157" w:lineRule="exact" w:before="29"/>
              <w:ind w:left="132"/>
              <w:rPr>
                <w:rFonts w:ascii="Calibri"/>
                <w:sz w:val="13"/>
              </w:rPr>
            </w:pPr>
            <w:r>
              <w:rPr>
                <w:rFonts w:ascii="Calibri"/>
                <w:spacing w:val="-5"/>
                <w:w w:val="105"/>
                <w:sz w:val="13"/>
              </w:rPr>
              <w:t>Q3</w:t>
            </w:r>
          </w:p>
        </w:tc>
        <w:tc>
          <w:tcPr>
            <w:tcW w:w="424" w:type="dxa"/>
            <w:shd w:val="clear" w:color="auto" w:fill="D9D9D9"/>
          </w:tcPr>
          <w:p>
            <w:pPr>
              <w:pStyle w:val="TableParagraph"/>
              <w:spacing w:line="157" w:lineRule="exact" w:before="29"/>
              <w:ind w:left="132"/>
              <w:rPr>
                <w:rFonts w:ascii="Calibri"/>
                <w:sz w:val="13"/>
              </w:rPr>
            </w:pPr>
            <w:r>
              <w:rPr>
                <w:rFonts w:ascii="Calibri"/>
                <w:spacing w:val="-5"/>
                <w:w w:val="105"/>
                <w:sz w:val="13"/>
              </w:rPr>
              <w:t>Q4</w:t>
            </w:r>
          </w:p>
        </w:tc>
        <w:tc>
          <w:tcPr>
            <w:tcW w:w="423" w:type="dxa"/>
            <w:gridSpan w:val="2"/>
            <w:shd w:val="clear" w:color="auto" w:fill="D9D9D9"/>
          </w:tcPr>
          <w:p>
            <w:pPr>
              <w:pStyle w:val="TableParagraph"/>
              <w:spacing w:before="18"/>
              <w:ind w:left="132"/>
              <w:rPr>
                <w:rFonts w:ascii="Calibri"/>
                <w:sz w:val="13"/>
              </w:rPr>
            </w:pPr>
            <w:r>
              <w:rPr>
                <w:rFonts w:ascii="Calibri"/>
                <w:spacing w:val="-5"/>
                <w:w w:val="105"/>
                <w:sz w:val="13"/>
              </w:rPr>
              <w:t>Q1</w:t>
            </w:r>
          </w:p>
        </w:tc>
        <w:tc>
          <w:tcPr>
            <w:tcW w:w="424" w:type="dxa"/>
            <w:shd w:val="clear" w:color="auto" w:fill="D9D9D9"/>
          </w:tcPr>
          <w:p>
            <w:pPr>
              <w:pStyle w:val="TableParagraph"/>
              <w:spacing w:line="157" w:lineRule="exact" w:before="29"/>
              <w:ind w:left="134"/>
              <w:rPr>
                <w:rFonts w:ascii="Calibri"/>
                <w:sz w:val="13"/>
              </w:rPr>
            </w:pPr>
            <w:r>
              <w:rPr>
                <w:rFonts w:ascii="Calibri"/>
                <w:spacing w:val="-5"/>
                <w:w w:val="105"/>
                <w:sz w:val="13"/>
              </w:rPr>
              <w:t>Q2</w:t>
            </w:r>
          </w:p>
        </w:tc>
        <w:tc>
          <w:tcPr>
            <w:tcW w:w="424" w:type="dxa"/>
            <w:shd w:val="clear" w:color="auto" w:fill="D9D9D9"/>
          </w:tcPr>
          <w:p>
            <w:pPr>
              <w:pStyle w:val="TableParagraph"/>
              <w:spacing w:line="157" w:lineRule="exact" w:before="29"/>
              <w:ind w:left="134"/>
              <w:rPr>
                <w:rFonts w:ascii="Calibri"/>
                <w:sz w:val="13"/>
              </w:rPr>
            </w:pPr>
            <w:r>
              <w:rPr>
                <w:rFonts w:ascii="Calibri"/>
                <w:spacing w:val="-5"/>
                <w:w w:val="105"/>
                <w:sz w:val="13"/>
              </w:rPr>
              <w:t>Q3</w:t>
            </w:r>
          </w:p>
        </w:tc>
        <w:tc>
          <w:tcPr>
            <w:tcW w:w="424" w:type="dxa"/>
            <w:shd w:val="clear" w:color="auto" w:fill="D9D9D9"/>
          </w:tcPr>
          <w:p>
            <w:pPr>
              <w:pStyle w:val="TableParagraph"/>
              <w:spacing w:line="157" w:lineRule="exact" w:before="29"/>
              <w:ind w:left="135"/>
              <w:rPr>
                <w:rFonts w:ascii="Calibri"/>
                <w:sz w:val="13"/>
              </w:rPr>
            </w:pPr>
            <w:r>
              <w:rPr>
                <w:rFonts w:ascii="Calibri"/>
                <w:spacing w:val="-5"/>
                <w:w w:val="105"/>
                <w:sz w:val="13"/>
              </w:rPr>
              <w:t>Q4</w:t>
            </w:r>
          </w:p>
        </w:tc>
        <w:tc>
          <w:tcPr>
            <w:tcW w:w="424" w:type="dxa"/>
            <w:shd w:val="clear" w:color="auto" w:fill="D9D9D9"/>
          </w:tcPr>
          <w:p>
            <w:pPr>
              <w:pStyle w:val="TableParagraph"/>
              <w:spacing w:line="157" w:lineRule="exact" w:before="29"/>
              <w:ind w:left="135"/>
              <w:rPr>
                <w:rFonts w:ascii="Calibri"/>
                <w:sz w:val="13"/>
              </w:rPr>
            </w:pPr>
            <w:r>
              <w:rPr>
                <w:rFonts w:ascii="Calibri"/>
                <w:spacing w:val="-5"/>
                <w:w w:val="105"/>
                <w:sz w:val="13"/>
              </w:rPr>
              <w:t>Q1</w:t>
            </w:r>
          </w:p>
        </w:tc>
        <w:tc>
          <w:tcPr>
            <w:tcW w:w="424" w:type="dxa"/>
            <w:shd w:val="clear" w:color="auto" w:fill="D9D9D9"/>
          </w:tcPr>
          <w:p>
            <w:pPr>
              <w:pStyle w:val="TableParagraph"/>
              <w:spacing w:line="157" w:lineRule="exact" w:before="29"/>
              <w:ind w:left="136"/>
              <w:rPr>
                <w:rFonts w:ascii="Calibri"/>
                <w:sz w:val="13"/>
              </w:rPr>
            </w:pPr>
            <w:r>
              <w:rPr>
                <w:rFonts w:ascii="Calibri"/>
                <w:spacing w:val="-5"/>
                <w:w w:val="105"/>
                <w:sz w:val="13"/>
              </w:rPr>
              <w:t>Q2</w:t>
            </w:r>
          </w:p>
        </w:tc>
        <w:tc>
          <w:tcPr>
            <w:tcW w:w="424" w:type="dxa"/>
            <w:shd w:val="clear" w:color="auto" w:fill="D9D9D9"/>
          </w:tcPr>
          <w:p>
            <w:pPr>
              <w:pStyle w:val="TableParagraph"/>
              <w:spacing w:line="157" w:lineRule="exact" w:before="29"/>
              <w:ind w:left="136"/>
              <w:rPr>
                <w:rFonts w:ascii="Calibri"/>
                <w:sz w:val="13"/>
              </w:rPr>
            </w:pPr>
            <w:r>
              <w:rPr>
                <w:rFonts w:ascii="Calibri"/>
                <w:spacing w:val="-5"/>
                <w:w w:val="105"/>
                <w:sz w:val="13"/>
              </w:rPr>
              <w:t>Q3</w:t>
            </w:r>
          </w:p>
        </w:tc>
        <w:tc>
          <w:tcPr>
            <w:tcW w:w="424" w:type="dxa"/>
            <w:shd w:val="clear" w:color="auto" w:fill="D9D9D9"/>
          </w:tcPr>
          <w:p>
            <w:pPr>
              <w:pStyle w:val="TableParagraph"/>
              <w:spacing w:line="157" w:lineRule="exact" w:before="29"/>
              <w:ind w:left="136"/>
              <w:rPr>
                <w:rFonts w:ascii="Calibri"/>
                <w:sz w:val="13"/>
              </w:rPr>
            </w:pPr>
            <w:r>
              <w:rPr>
                <w:rFonts w:ascii="Calibri"/>
                <w:spacing w:val="-5"/>
                <w:w w:val="105"/>
                <w:sz w:val="13"/>
              </w:rPr>
              <w:t>Q4</w:t>
            </w:r>
          </w:p>
        </w:tc>
        <w:tc>
          <w:tcPr>
            <w:tcW w:w="424" w:type="dxa"/>
            <w:shd w:val="clear" w:color="auto" w:fill="D9D9D9"/>
          </w:tcPr>
          <w:p>
            <w:pPr>
              <w:pStyle w:val="TableParagraph"/>
              <w:spacing w:line="157" w:lineRule="exact" w:before="29"/>
              <w:ind w:left="137"/>
              <w:rPr>
                <w:rFonts w:ascii="Calibri"/>
                <w:sz w:val="13"/>
              </w:rPr>
            </w:pPr>
            <w:r>
              <w:rPr>
                <w:rFonts w:ascii="Calibri"/>
                <w:spacing w:val="-5"/>
                <w:w w:val="105"/>
                <w:sz w:val="13"/>
              </w:rPr>
              <w:t>Q1</w:t>
            </w:r>
          </w:p>
        </w:tc>
        <w:tc>
          <w:tcPr>
            <w:tcW w:w="424" w:type="dxa"/>
            <w:shd w:val="clear" w:color="auto" w:fill="D9D9D9"/>
          </w:tcPr>
          <w:p>
            <w:pPr>
              <w:pStyle w:val="TableParagraph"/>
              <w:spacing w:line="157" w:lineRule="exact" w:before="29"/>
              <w:ind w:left="137"/>
              <w:rPr>
                <w:rFonts w:ascii="Calibri"/>
                <w:sz w:val="13"/>
              </w:rPr>
            </w:pPr>
            <w:r>
              <w:rPr>
                <w:rFonts w:ascii="Calibri"/>
                <w:spacing w:val="-5"/>
                <w:w w:val="105"/>
                <w:sz w:val="13"/>
              </w:rPr>
              <w:t>Q2</w:t>
            </w:r>
          </w:p>
        </w:tc>
        <w:tc>
          <w:tcPr>
            <w:tcW w:w="424" w:type="dxa"/>
            <w:shd w:val="clear" w:color="auto" w:fill="D9D9D9"/>
          </w:tcPr>
          <w:p>
            <w:pPr>
              <w:pStyle w:val="TableParagraph"/>
              <w:spacing w:line="157" w:lineRule="exact" w:before="29"/>
              <w:ind w:left="138"/>
              <w:rPr>
                <w:rFonts w:ascii="Calibri"/>
                <w:sz w:val="13"/>
              </w:rPr>
            </w:pPr>
            <w:r>
              <w:rPr>
                <w:rFonts w:ascii="Calibri"/>
                <w:spacing w:val="-5"/>
                <w:w w:val="105"/>
                <w:sz w:val="13"/>
              </w:rPr>
              <w:t>Q3</w:t>
            </w:r>
          </w:p>
        </w:tc>
        <w:tc>
          <w:tcPr>
            <w:tcW w:w="424" w:type="dxa"/>
            <w:shd w:val="clear" w:color="auto" w:fill="D9D9D9"/>
          </w:tcPr>
          <w:p>
            <w:pPr>
              <w:pStyle w:val="TableParagraph"/>
              <w:spacing w:line="157" w:lineRule="exact" w:before="29"/>
              <w:ind w:left="138"/>
              <w:rPr>
                <w:rFonts w:ascii="Calibri"/>
                <w:sz w:val="13"/>
              </w:rPr>
            </w:pPr>
            <w:r>
              <w:rPr>
                <w:rFonts w:ascii="Calibri"/>
                <w:spacing w:val="-5"/>
                <w:w w:val="105"/>
                <w:sz w:val="13"/>
              </w:rPr>
              <w:t>Q4</w:t>
            </w:r>
          </w:p>
        </w:tc>
        <w:tc>
          <w:tcPr>
            <w:tcW w:w="424" w:type="dxa"/>
            <w:shd w:val="clear" w:color="auto" w:fill="D9D9D9"/>
          </w:tcPr>
          <w:p>
            <w:pPr>
              <w:pStyle w:val="TableParagraph"/>
              <w:spacing w:line="157" w:lineRule="exact" w:before="29"/>
              <w:ind w:left="139"/>
              <w:rPr>
                <w:rFonts w:ascii="Calibri"/>
                <w:sz w:val="13"/>
              </w:rPr>
            </w:pPr>
            <w:r>
              <w:rPr>
                <w:rFonts w:ascii="Calibri"/>
                <w:spacing w:val="-5"/>
                <w:w w:val="105"/>
                <w:sz w:val="13"/>
              </w:rPr>
              <w:t>Q1</w:t>
            </w:r>
          </w:p>
        </w:tc>
        <w:tc>
          <w:tcPr>
            <w:tcW w:w="424" w:type="dxa"/>
            <w:shd w:val="clear" w:color="auto" w:fill="D9D9D9"/>
          </w:tcPr>
          <w:p>
            <w:pPr>
              <w:pStyle w:val="TableParagraph"/>
              <w:spacing w:line="157" w:lineRule="exact" w:before="29"/>
              <w:ind w:left="139"/>
              <w:rPr>
                <w:rFonts w:ascii="Calibri"/>
                <w:sz w:val="13"/>
              </w:rPr>
            </w:pPr>
            <w:r>
              <w:rPr>
                <w:rFonts w:ascii="Calibri"/>
                <w:spacing w:val="-5"/>
                <w:w w:val="105"/>
                <w:sz w:val="13"/>
              </w:rPr>
              <w:t>Q2</w:t>
            </w:r>
          </w:p>
        </w:tc>
        <w:tc>
          <w:tcPr>
            <w:tcW w:w="424" w:type="dxa"/>
            <w:shd w:val="clear" w:color="auto" w:fill="D9D9D9"/>
          </w:tcPr>
          <w:p>
            <w:pPr>
              <w:pStyle w:val="TableParagraph"/>
              <w:spacing w:line="157" w:lineRule="exact" w:before="29"/>
              <w:ind w:left="139"/>
              <w:rPr>
                <w:rFonts w:ascii="Calibri"/>
                <w:sz w:val="13"/>
              </w:rPr>
            </w:pPr>
            <w:r>
              <w:rPr>
                <w:rFonts w:ascii="Calibri"/>
                <w:spacing w:val="-5"/>
                <w:w w:val="105"/>
                <w:sz w:val="13"/>
              </w:rPr>
              <w:t>Q3</w:t>
            </w:r>
          </w:p>
        </w:tc>
        <w:tc>
          <w:tcPr>
            <w:tcW w:w="424" w:type="dxa"/>
            <w:shd w:val="clear" w:color="auto" w:fill="D9D9D9"/>
          </w:tcPr>
          <w:p>
            <w:pPr>
              <w:pStyle w:val="TableParagraph"/>
              <w:spacing w:line="157" w:lineRule="exact" w:before="29"/>
              <w:ind w:left="140"/>
              <w:rPr>
                <w:rFonts w:ascii="Calibri"/>
                <w:sz w:val="13"/>
              </w:rPr>
            </w:pPr>
            <w:r>
              <w:rPr>
                <w:rFonts w:ascii="Calibri"/>
                <w:spacing w:val="-5"/>
                <w:w w:val="105"/>
                <w:sz w:val="13"/>
              </w:rPr>
              <w:t>Q4</w:t>
            </w:r>
          </w:p>
        </w:tc>
        <w:tc>
          <w:tcPr>
            <w:tcW w:w="424" w:type="dxa"/>
            <w:shd w:val="clear" w:color="auto" w:fill="D9D9D9"/>
          </w:tcPr>
          <w:p>
            <w:pPr>
              <w:pStyle w:val="TableParagraph"/>
              <w:spacing w:line="157" w:lineRule="exact" w:before="29"/>
              <w:ind w:left="140"/>
              <w:rPr>
                <w:rFonts w:ascii="Calibri"/>
                <w:sz w:val="13"/>
              </w:rPr>
            </w:pPr>
            <w:r>
              <w:rPr>
                <w:rFonts w:ascii="Calibri"/>
                <w:spacing w:val="-5"/>
                <w:w w:val="105"/>
                <w:sz w:val="13"/>
              </w:rPr>
              <w:t>Q1</w:t>
            </w:r>
          </w:p>
        </w:tc>
        <w:tc>
          <w:tcPr>
            <w:tcW w:w="424" w:type="dxa"/>
            <w:shd w:val="clear" w:color="auto" w:fill="D9D9D9"/>
          </w:tcPr>
          <w:p>
            <w:pPr>
              <w:pStyle w:val="TableParagraph"/>
              <w:spacing w:line="157" w:lineRule="exact" w:before="29"/>
              <w:ind w:left="141"/>
              <w:rPr>
                <w:rFonts w:ascii="Calibri"/>
                <w:sz w:val="13"/>
              </w:rPr>
            </w:pPr>
            <w:r>
              <w:rPr>
                <w:rFonts w:ascii="Calibri"/>
                <w:spacing w:val="-5"/>
                <w:w w:val="105"/>
                <w:sz w:val="13"/>
              </w:rPr>
              <w:t>Q2</w:t>
            </w:r>
          </w:p>
        </w:tc>
        <w:tc>
          <w:tcPr>
            <w:tcW w:w="424" w:type="dxa"/>
            <w:shd w:val="clear" w:color="auto" w:fill="D9D9D9"/>
          </w:tcPr>
          <w:p>
            <w:pPr>
              <w:pStyle w:val="TableParagraph"/>
              <w:spacing w:line="157" w:lineRule="exact" w:before="29"/>
              <w:ind w:left="141"/>
              <w:rPr>
                <w:rFonts w:ascii="Calibri"/>
                <w:sz w:val="13"/>
              </w:rPr>
            </w:pPr>
            <w:r>
              <w:rPr>
                <w:rFonts w:ascii="Calibri"/>
                <w:spacing w:val="-5"/>
                <w:w w:val="105"/>
                <w:sz w:val="13"/>
              </w:rPr>
              <w:t>Q3</w:t>
            </w:r>
          </w:p>
        </w:tc>
        <w:tc>
          <w:tcPr>
            <w:tcW w:w="418" w:type="dxa"/>
            <w:tcBorders>
              <w:right w:val="single" w:sz="12" w:space="0" w:color="BEBEBE"/>
            </w:tcBorders>
            <w:shd w:val="clear" w:color="auto" w:fill="D9D9D9"/>
          </w:tcPr>
          <w:p>
            <w:pPr>
              <w:pStyle w:val="TableParagraph"/>
              <w:spacing w:line="157" w:lineRule="exact" w:before="29"/>
              <w:ind w:left="142"/>
              <w:rPr>
                <w:rFonts w:ascii="Calibri"/>
                <w:sz w:val="13"/>
              </w:rPr>
            </w:pPr>
            <w:r>
              <w:rPr>
                <w:rFonts w:ascii="Calibri"/>
                <w:spacing w:val="-5"/>
                <w:w w:val="105"/>
                <w:sz w:val="13"/>
              </w:rPr>
              <w:t>Q4</w:t>
            </w:r>
          </w:p>
        </w:tc>
      </w:tr>
      <w:tr>
        <w:trPr>
          <w:trHeight w:val="429" w:hRule="atLeast"/>
        </w:trPr>
        <w:tc>
          <w:tcPr>
            <w:tcW w:w="1695" w:type="dxa"/>
            <w:gridSpan w:val="5"/>
          </w:tcPr>
          <w:p>
            <w:pPr>
              <w:pStyle w:val="TableParagraph"/>
              <w:spacing w:before="3"/>
              <w:rPr>
                <w:sz w:val="11"/>
              </w:rPr>
            </w:pPr>
          </w:p>
          <w:p>
            <w:pPr>
              <w:pStyle w:val="TableParagraph"/>
              <w:ind w:left="132"/>
              <w:rPr>
                <w:rFonts w:ascii="Calibri"/>
                <w:sz w:val="13"/>
              </w:rPr>
            </w:pPr>
            <w:r>
              <w:rPr>
                <w:rFonts w:ascii="Calibri"/>
                <w:w w:val="105"/>
                <w:sz w:val="13"/>
              </w:rPr>
              <w:t>Sta</w:t>
            </w:r>
            <w:r>
              <w:rPr>
                <w:rFonts w:ascii="Calibri"/>
                <w:spacing w:val="-16"/>
                <w:w w:val="105"/>
                <w:sz w:val="13"/>
              </w:rPr>
              <w:t> </w:t>
            </w:r>
            <w:r>
              <w:rPr>
                <w:rFonts w:ascii="Calibri"/>
                <w:w w:val="105"/>
                <w:sz w:val="13"/>
              </w:rPr>
              <w:t>te</w:t>
            </w:r>
            <w:r>
              <w:rPr>
                <w:rFonts w:ascii="Calibri"/>
                <w:spacing w:val="19"/>
                <w:w w:val="105"/>
                <w:sz w:val="13"/>
              </w:rPr>
              <w:t> </w:t>
            </w:r>
            <w:r>
              <w:rPr>
                <w:rFonts w:ascii="Calibri"/>
                <w:w w:val="105"/>
                <w:sz w:val="13"/>
              </w:rPr>
              <w:t>Demons</w:t>
            </w:r>
            <w:r>
              <w:rPr>
                <w:rFonts w:ascii="Calibri"/>
                <w:spacing w:val="-14"/>
                <w:w w:val="105"/>
                <w:sz w:val="13"/>
              </w:rPr>
              <w:t> </w:t>
            </w:r>
            <w:r>
              <w:rPr>
                <w:rFonts w:ascii="Calibri"/>
                <w:w w:val="105"/>
                <w:sz w:val="13"/>
              </w:rPr>
              <w:t>tra</w:t>
            </w:r>
            <w:r>
              <w:rPr>
                <w:rFonts w:ascii="Calibri"/>
                <w:spacing w:val="-16"/>
                <w:w w:val="105"/>
                <w:sz w:val="13"/>
              </w:rPr>
              <w:t> </w:t>
            </w:r>
            <w:r>
              <w:rPr>
                <w:rFonts w:ascii="Calibri"/>
                <w:w w:val="105"/>
                <w:sz w:val="13"/>
              </w:rPr>
              <w:t>ti</w:t>
            </w:r>
            <w:r>
              <w:rPr>
                <w:rFonts w:ascii="Calibri"/>
                <w:spacing w:val="-16"/>
                <w:w w:val="105"/>
                <w:sz w:val="13"/>
              </w:rPr>
              <w:t> </w:t>
            </w:r>
            <w:r>
              <w:rPr>
                <w:rFonts w:ascii="Calibri"/>
                <w:w w:val="105"/>
                <w:sz w:val="13"/>
              </w:rPr>
              <w:t>on</w:t>
            </w:r>
            <w:r>
              <w:rPr>
                <w:rFonts w:ascii="Calibri"/>
                <w:spacing w:val="15"/>
                <w:w w:val="105"/>
                <w:sz w:val="13"/>
              </w:rPr>
              <w:t> </w:t>
            </w:r>
            <w:r>
              <w:rPr>
                <w:rFonts w:ascii="Calibri"/>
                <w:spacing w:val="-5"/>
                <w:w w:val="105"/>
                <w:sz w:val="13"/>
              </w:rPr>
              <w:t>Y1</w:t>
            </w:r>
          </w:p>
        </w:tc>
        <w:tc>
          <w:tcPr>
            <w:tcW w:w="1696" w:type="dxa"/>
            <w:gridSpan w:val="4"/>
          </w:tcPr>
          <w:p>
            <w:pPr>
              <w:pStyle w:val="TableParagraph"/>
              <w:spacing w:before="3"/>
              <w:rPr>
                <w:sz w:val="11"/>
              </w:rPr>
            </w:pPr>
          </w:p>
          <w:p>
            <w:pPr>
              <w:pStyle w:val="TableParagraph"/>
              <w:ind w:left="581" w:right="549"/>
              <w:jc w:val="center"/>
              <w:rPr>
                <w:rFonts w:ascii="Calibri"/>
                <w:sz w:val="13"/>
              </w:rPr>
            </w:pPr>
            <w:r>
              <w:rPr>
                <w:rFonts w:ascii="Calibri"/>
                <w:w w:val="105"/>
                <w:sz w:val="13"/>
              </w:rPr>
              <w:t>Demo</w:t>
            </w:r>
            <w:r>
              <w:rPr>
                <w:rFonts w:ascii="Calibri"/>
                <w:spacing w:val="24"/>
                <w:w w:val="105"/>
                <w:sz w:val="13"/>
              </w:rPr>
              <w:t> </w:t>
            </w:r>
            <w:r>
              <w:rPr>
                <w:rFonts w:ascii="Calibri"/>
                <w:spacing w:val="-7"/>
                <w:w w:val="105"/>
                <w:sz w:val="13"/>
              </w:rPr>
              <w:t>Y2</w:t>
            </w:r>
          </w:p>
        </w:tc>
        <w:tc>
          <w:tcPr>
            <w:tcW w:w="1696" w:type="dxa"/>
            <w:gridSpan w:val="4"/>
          </w:tcPr>
          <w:p>
            <w:pPr>
              <w:pStyle w:val="TableParagraph"/>
              <w:spacing w:before="3"/>
              <w:rPr>
                <w:sz w:val="11"/>
              </w:rPr>
            </w:pPr>
          </w:p>
          <w:p>
            <w:pPr>
              <w:pStyle w:val="TableParagraph"/>
              <w:ind w:left="594"/>
              <w:rPr>
                <w:rFonts w:ascii="Calibri"/>
                <w:sz w:val="13"/>
              </w:rPr>
            </w:pPr>
            <w:r>
              <w:rPr>
                <w:rFonts w:ascii="Calibri"/>
                <w:w w:val="105"/>
                <w:sz w:val="13"/>
              </w:rPr>
              <w:t>Demo</w:t>
            </w:r>
            <w:r>
              <w:rPr>
                <w:rFonts w:ascii="Calibri"/>
                <w:spacing w:val="24"/>
                <w:w w:val="105"/>
                <w:sz w:val="13"/>
              </w:rPr>
              <w:t> </w:t>
            </w:r>
            <w:r>
              <w:rPr>
                <w:rFonts w:ascii="Calibri"/>
                <w:spacing w:val="-7"/>
                <w:w w:val="105"/>
                <w:sz w:val="13"/>
              </w:rPr>
              <w:t>Y3</w:t>
            </w:r>
          </w:p>
        </w:tc>
        <w:tc>
          <w:tcPr>
            <w:tcW w:w="1696" w:type="dxa"/>
            <w:gridSpan w:val="4"/>
          </w:tcPr>
          <w:p>
            <w:pPr>
              <w:pStyle w:val="TableParagraph"/>
              <w:spacing w:before="3"/>
              <w:rPr>
                <w:sz w:val="11"/>
              </w:rPr>
            </w:pPr>
          </w:p>
          <w:p>
            <w:pPr>
              <w:pStyle w:val="TableParagraph"/>
              <w:ind w:left="596"/>
              <w:rPr>
                <w:rFonts w:ascii="Calibri"/>
                <w:sz w:val="13"/>
              </w:rPr>
            </w:pPr>
            <w:r>
              <w:rPr>
                <w:rFonts w:ascii="Calibri"/>
                <w:w w:val="105"/>
                <w:sz w:val="13"/>
              </w:rPr>
              <w:t>Demo</w:t>
            </w:r>
            <w:r>
              <w:rPr>
                <w:rFonts w:ascii="Calibri"/>
                <w:spacing w:val="24"/>
                <w:w w:val="105"/>
                <w:sz w:val="13"/>
              </w:rPr>
              <w:t> </w:t>
            </w:r>
            <w:r>
              <w:rPr>
                <w:rFonts w:ascii="Calibri"/>
                <w:spacing w:val="-7"/>
                <w:w w:val="105"/>
                <w:sz w:val="13"/>
              </w:rPr>
              <w:t>Y4</w:t>
            </w:r>
          </w:p>
        </w:tc>
        <w:tc>
          <w:tcPr>
            <w:tcW w:w="1696" w:type="dxa"/>
            <w:gridSpan w:val="4"/>
          </w:tcPr>
          <w:p>
            <w:pPr>
              <w:pStyle w:val="TableParagraph"/>
              <w:spacing w:before="3"/>
              <w:rPr>
                <w:sz w:val="11"/>
              </w:rPr>
            </w:pPr>
          </w:p>
          <w:p>
            <w:pPr>
              <w:pStyle w:val="TableParagraph"/>
              <w:ind w:left="597"/>
              <w:rPr>
                <w:rFonts w:ascii="Calibri"/>
                <w:sz w:val="13"/>
              </w:rPr>
            </w:pPr>
            <w:r>
              <w:rPr>
                <w:rFonts w:ascii="Calibri"/>
                <w:w w:val="105"/>
                <w:sz w:val="13"/>
              </w:rPr>
              <w:t>Demo</w:t>
            </w:r>
            <w:r>
              <w:rPr>
                <w:rFonts w:ascii="Calibri"/>
                <w:spacing w:val="24"/>
                <w:w w:val="105"/>
                <w:sz w:val="13"/>
              </w:rPr>
              <w:t> </w:t>
            </w:r>
            <w:r>
              <w:rPr>
                <w:rFonts w:ascii="Calibri"/>
                <w:spacing w:val="-7"/>
                <w:w w:val="105"/>
                <w:sz w:val="13"/>
              </w:rPr>
              <w:t>Y5</w:t>
            </w:r>
          </w:p>
        </w:tc>
        <w:tc>
          <w:tcPr>
            <w:tcW w:w="842" w:type="dxa"/>
            <w:gridSpan w:val="2"/>
            <w:tcBorders>
              <w:right w:val="single" w:sz="12" w:space="0" w:color="BEBEBE"/>
            </w:tcBorders>
          </w:tcPr>
          <w:p>
            <w:pPr>
              <w:pStyle w:val="TableParagraph"/>
              <w:rPr>
                <w:sz w:val="20"/>
              </w:rPr>
            </w:pPr>
          </w:p>
        </w:tc>
      </w:tr>
      <w:tr>
        <w:trPr>
          <w:trHeight w:val="429" w:hRule="atLeast"/>
        </w:trPr>
        <w:tc>
          <w:tcPr>
            <w:tcW w:w="1037" w:type="dxa"/>
            <w:gridSpan w:val="3"/>
          </w:tcPr>
          <w:p>
            <w:pPr>
              <w:pStyle w:val="TableParagraph"/>
              <w:rPr>
                <w:sz w:val="20"/>
              </w:rPr>
            </w:pPr>
          </w:p>
        </w:tc>
        <w:tc>
          <w:tcPr>
            <w:tcW w:w="1506" w:type="dxa"/>
            <w:gridSpan w:val="4"/>
            <w:shd w:val="clear" w:color="auto" w:fill="DCE6F0"/>
          </w:tcPr>
          <w:p>
            <w:pPr>
              <w:pStyle w:val="TableParagraph"/>
              <w:spacing w:before="3"/>
              <w:rPr>
                <w:sz w:val="11"/>
              </w:rPr>
            </w:pPr>
          </w:p>
          <w:p>
            <w:pPr>
              <w:pStyle w:val="TableParagraph"/>
              <w:ind w:left="156"/>
              <w:rPr>
                <w:rFonts w:ascii="Calibri"/>
                <w:sz w:val="13"/>
              </w:rPr>
            </w:pPr>
            <w:r>
              <w:rPr>
                <w:rFonts w:ascii="Calibri"/>
                <w:w w:val="105"/>
                <w:sz w:val="13"/>
              </w:rPr>
              <w:t>ACO</w:t>
            </w:r>
            <w:r>
              <w:rPr>
                <w:rFonts w:ascii="Calibri"/>
                <w:spacing w:val="7"/>
                <w:w w:val="105"/>
                <w:sz w:val="13"/>
              </w:rPr>
              <w:t> </w:t>
            </w:r>
            <w:r>
              <w:rPr>
                <w:rFonts w:ascii="Calibri"/>
                <w:w w:val="105"/>
                <w:sz w:val="13"/>
              </w:rPr>
              <w:t>Performance</w:t>
            </w:r>
            <w:r>
              <w:rPr>
                <w:rFonts w:ascii="Calibri"/>
                <w:spacing w:val="20"/>
                <w:w w:val="105"/>
                <w:sz w:val="13"/>
              </w:rPr>
              <w:t> </w:t>
            </w:r>
            <w:r>
              <w:rPr>
                <w:rFonts w:ascii="Calibri"/>
                <w:spacing w:val="-5"/>
                <w:w w:val="105"/>
                <w:sz w:val="13"/>
              </w:rPr>
              <w:t>Y1</w:t>
            </w:r>
          </w:p>
        </w:tc>
        <w:tc>
          <w:tcPr>
            <w:tcW w:w="1696" w:type="dxa"/>
            <w:gridSpan w:val="4"/>
            <w:shd w:val="clear" w:color="auto" w:fill="DCE6F0"/>
          </w:tcPr>
          <w:p>
            <w:pPr>
              <w:pStyle w:val="TableParagraph"/>
              <w:spacing w:before="3"/>
              <w:rPr>
                <w:sz w:val="11"/>
              </w:rPr>
            </w:pPr>
          </w:p>
          <w:p>
            <w:pPr>
              <w:pStyle w:val="TableParagraph"/>
              <w:ind w:left="581" w:right="549"/>
              <w:jc w:val="center"/>
              <w:rPr>
                <w:rFonts w:ascii="Calibri"/>
                <w:sz w:val="13"/>
              </w:rPr>
            </w:pPr>
            <w:r>
              <w:rPr>
                <w:rFonts w:ascii="Calibri"/>
                <w:w w:val="105"/>
                <w:sz w:val="13"/>
              </w:rPr>
              <w:t>ACO</w:t>
            </w:r>
            <w:r>
              <w:rPr>
                <w:rFonts w:ascii="Calibri"/>
                <w:spacing w:val="-5"/>
                <w:w w:val="105"/>
                <w:sz w:val="13"/>
              </w:rPr>
              <w:t> </w:t>
            </w:r>
            <w:r>
              <w:rPr>
                <w:rFonts w:ascii="Calibri"/>
                <w:w w:val="105"/>
                <w:sz w:val="13"/>
              </w:rPr>
              <w:t>PY</w:t>
            </w:r>
            <w:r>
              <w:rPr>
                <w:rFonts w:ascii="Calibri"/>
                <w:spacing w:val="-5"/>
                <w:w w:val="105"/>
                <w:sz w:val="13"/>
              </w:rPr>
              <w:t> </w:t>
            </w:r>
            <w:r>
              <w:rPr>
                <w:rFonts w:ascii="Calibri"/>
                <w:spacing w:val="-10"/>
                <w:w w:val="105"/>
                <w:sz w:val="13"/>
              </w:rPr>
              <w:t>2</w:t>
            </w:r>
          </w:p>
        </w:tc>
        <w:tc>
          <w:tcPr>
            <w:tcW w:w="1696" w:type="dxa"/>
            <w:gridSpan w:val="4"/>
            <w:shd w:val="clear" w:color="auto" w:fill="DCE6F0"/>
          </w:tcPr>
          <w:p>
            <w:pPr>
              <w:pStyle w:val="TableParagraph"/>
              <w:spacing w:before="3"/>
              <w:rPr>
                <w:sz w:val="11"/>
              </w:rPr>
            </w:pPr>
          </w:p>
          <w:p>
            <w:pPr>
              <w:pStyle w:val="TableParagraph"/>
              <w:ind w:left="581" w:right="546"/>
              <w:jc w:val="center"/>
              <w:rPr>
                <w:rFonts w:ascii="Calibri"/>
                <w:sz w:val="13"/>
              </w:rPr>
            </w:pPr>
            <w:r>
              <w:rPr>
                <w:rFonts w:ascii="Calibri"/>
                <w:w w:val="105"/>
                <w:sz w:val="13"/>
              </w:rPr>
              <w:t>ACO</w:t>
            </w:r>
            <w:r>
              <w:rPr>
                <w:rFonts w:ascii="Calibri"/>
                <w:spacing w:val="-5"/>
                <w:w w:val="105"/>
                <w:sz w:val="13"/>
              </w:rPr>
              <w:t> </w:t>
            </w:r>
            <w:r>
              <w:rPr>
                <w:rFonts w:ascii="Calibri"/>
                <w:w w:val="105"/>
                <w:sz w:val="13"/>
              </w:rPr>
              <w:t>PY</w:t>
            </w:r>
            <w:r>
              <w:rPr>
                <w:rFonts w:ascii="Calibri"/>
                <w:spacing w:val="-5"/>
                <w:w w:val="105"/>
                <w:sz w:val="13"/>
              </w:rPr>
              <w:t> </w:t>
            </w:r>
            <w:r>
              <w:rPr>
                <w:rFonts w:ascii="Calibri"/>
                <w:spacing w:val="-10"/>
                <w:w w:val="105"/>
                <w:sz w:val="13"/>
              </w:rPr>
              <w:t>3</w:t>
            </w:r>
          </w:p>
        </w:tc>
        <w:tc>
          <w:tcPr>
            <w:tcW w:w="1696" w:type="dxa"/>
            <w:gridSpan w:val="4"/>
            <w:shd w:val="clear" w:color="auto" w:fill="DCE6F0"/>
          </w:tcPr>
          <w:p>
            <w:pPr>
              <w:pStyle w:val="TableParagraph"/>
              <w:spacing w:before="3"/>
              <w:rPr>
                <w:sz w:val="11"/>
              </w:rPr>
            </w:pPr>
          </w:p>
          <w:p>
            <w:pPr>
              <w:pStyle w:val="TableParagraph"/>
              <w:ind w:left="581" w:right="542"/>
              <w:jc w:val="center"/>
              <w:rPr>
                <w:rFonts w:ascii="Calibri"/>
                <w:sz w:val="13"/>
              </w:rPr>
            </w:pPr>
            <w:r>
              <w:rPr>
                <w:rFonts w:ascii="Calibri"/>
                <w:w w:val="105"/>
                <w:sz w:val="13"/>
              </w:rPr>
              <w:t>ACO</w:t>
            </w:r>
            <w:r>
              <w:rPr>
                <w:rFonts w:ascii="Calibri"/>
                <w:spacing w:val="-5"/>
                <w:w w:val="105"/>
                <w:sz w:val="13"/>
              </w:rPr>
              <w:t> </w:t>
            </w:r>
            <w:r>
              <w:rPr>
                <w:rFonts w:ascii="Calibri"/>
                <w:w w:val="105"/>
                <w:sz w:val="13"/>
              </w:rPr>
              <w:t>PY</w:t>
            </w:r>
            <w:r>
              <w:rPr>
                <w:rFonts w:ascii="Calibri"/>
                <w:spacing w:val="-5"/>
                <w:w w:val="105"/>
                <w:sz w:val="13"/>
              </w:rPr>
              <w:t> </w:t>
            </w:r>
            <w:r>
              <w:rPr>
                <w:rFonts w:ascii="Calibri"/>
                <w:spacing w:val="-10"/>
                <w:w w:val="105"/>
                <w:sz w:val="13"/>
              </w:rPr>
              <w:t>4</w:t>
            </w:r>
          </w:p>
        </w:tc>
        <w:tc>
          <w:tcPr>
            <w:tcW w:w="1690" w:type="dxa"/>
            <w:gridSpan w:val="4"/>
            <w:tcBorders>
              <w:right w:val="single" w:sz="12" w:space="0" w:color="BEBEBE"/>
            </w:tcBorders>
            <w:shd w:val="clear" w:color="auto" w:fill="DCE6F0"/>
          </w:tcPr>
          <w:p>
            <w:pPr>
              <w:pStyle w:val="TableParagraph"/>
              <w:spacing w:before="3"/>
              <w:rPr>
                <w:sz w:val="11"/>
              </w:rPr>
            </w:pPr>
          </w:p>
          <w:p>
            <w:pPr>
              <w:pStyle w:val="TableParagraph"/>
              <w:ind w:left="609"/>
              <w:rPr>
                <w:rFonts w:ascii="Calibri"/>
                <w:sz w:val="13"/>
              </w:rPr>
            </w:pPr>
            <w:r>
              <w:rPr>
                <w:rFonts w:ascii="Calibri"/>
                <w:w w:val="105"/>
                <w:sz w:val="13"/>
              </w:rPr>
              <w:t>ACO</w:t>
            </w:r>
            <w:r>
              <w:rPr>
                <w:rFonts w:ascii="Calibri"/>
                <w:spacing w:val="-5"/>
                <w:w w:val="105"/>
                <w:sz w:val="13"/>
              </w:rPr>
              <w:t> </w:t>
            </w:r>
            <w:r>
              <w:rPr>
                <w:rFonts w:ascii="Calibri"/>
                <w:w w:val="105"/>
                <w:sz w:val="13"/>
              </w:rPr>
              <w:t>PY</w:t>
            </w:r>
            <w:r>
              <w:rPr>
                <w:rFonts w:ascii="Calibri"/>
                <w:spacing w:val="-5"/>
                <w:w w:val="105"/>
                <w:sz w:val="13"/>
              </w:rPr>
              <w:t> </w:t>
            </w:r>
            <w:r>
              <w:rPr>
                <w:rFonts w:ascii="Calibri"/>
                <w:spacing w:val="-10"/>
                <w:w w:val="105"/>
                <w:sz w:val="13"/>
              </w:rPr>
              <w:t>5</w:t>
            </w:r>
          </w:p>
        </w:tc>
      </w:tr>
      <w:tr>
        <w:trPr>
          <w:trHeight w:val="416" w:hRule="atLeast"/>
        </w:trPr>
        <w:tc>
          <w:tcPr>
            <w:tcW w:w="848" w:type="dxa"/>
            <w:gridSpan w:val="2"/>
            <w:tcBorders>
              <w:bottom w:val="single" w:sz="12" w:space="0" w:color="BEBEBE"/>
            </w:tcBorders>
            <w:shd w:val="clear" w:color="auto" w:fill="FCE9D9"/>
          </w:tcPr>
          <w:p>
            <w:pPr>
              <w:pStyle w:val="TableParagraph"/>
              <w:spacing w:line="170" w:lineRule="atLeast" w:before="29"/>
              <w:ind w:left="232" w:hanging="168"/>
              <w:rPr>
                <w:rFonts w:ascii="Calibri"/>
                <w:sz w:val="13"/>
              </w:rPr>
            </w:pPr>
            <w:r>
              <w:rPr>
                <w:rFonts w:ascii="Calibri"/>
                <w:w w:val="105"/>
                <w:sz w:val="13"/>
              </w:rPr>
              <w:t>Prep Budget</w:t>
            </w:r>
            <w:r>
              <w:rPr>
                <w:rFonts w:ascii="Calibri"/>
                <w:spacing w:val="40"/>
                <w:w w:val="105"/>
                <w:sz w:val="13"/>
              </w:rPr>
              <w:t> </w:t>
            </w:r>
            <w:r>
              <w:rPr>
                <w:rFonts w:ascii="Calibri"/>
                <w:w w:val="105"/>
                <w:sz w:val="13"/>
              </w:rPr>
              <w:t>Peri</w:t>
            </w:r>
            <w:r>
              <w:rPr>
                <w:rFonts w:ascii="Calibri"/>
                <w:spacing w:val="-18"/>
                <w:w w:val="105"/>
                <w:sz w:val="13"/>
              </w:rPr>
              <w:t> </w:t>
            </w:r>
            <w:r>
              <w:rPr>
                <w:rFonts w:ascii="Calibri"/>
                <w:w w:val="105"/>
                <w:sz w:val="13"/>
              </w:rPr>
              <w:t>od</w:t>
            </w:r>
          </w:p>
        </w:tc>
        <w:tc>
          <w:tcPr>
            <w:tcW w:w="1695" w:type="dxa"/>
            <w:gridSpan w:val="5"/>
            <w:tcBorders>
              <w:bottom w:val="single" w:sz="12" w:space="0" w:color="BEBEBE"/>
            </w:tcBorders>
            <w:shd w:val="clear" w:color="auto" w:fill="FCE9D9"/>
          </w:tcPr>
          <w:p>
            <w:pPr>
              <w:pStyle w:val="TableParagraph"/>
              <w:spacing w:before="3"/>
              <w:rPr>
                <w:sz w:val="11"/>
              </w:rPr>
            </w:pPr>
          </w:p>
          <w:p>
            <w:pPr>
              <w:pStyle w:val="TableParagraph"/>
              <w:ind w:left="378"/>
              <w:rPr>
                <w:rFonts w:ascii="Calibri"/>
                <w:sz w:val="13"/>
              </w:rPr>
            </w:pPr>
            <w:r>
              <w:rPr>
                <w:rFonts w:ascii="Calibri"/>
                <w:w w:val="105"/>
                <w:sz w:val="13"/>
              </w:rPr>
              <w:t>Budget</w:t>
            </w:r>
            <w:r>
              <w:rPr>
                <w:rFonts w:ascii="Calibri"/>
                <w:spacing w:val="20"/>
                <w:w w:val="105"/>
                <w:sz w:val="13"/>
              </w:rPr>
              <w:t> </w:t>
            </w:r>
            <w:r>
              <w:rPr>
                <w:rFonts w:ascii="Calibri"/>
                <w:w w:val="105"/>
                <w:sz w:val="13"/>
              </w:rPr>
              <w:t>Period</w:t>
            </w:r>
            <w:r>
              <w:rPr>
                <w:rFonts w:ascii="Calibri"/>
                <w:spacing w:val="34"/>
                <w:w w:val="105"/>
                <w:sz w:val="13"/>
              </w:rPr>
              <w:t> </w:t>
            </w:r>
            <w:r>
              <w:rPr>
                <w:rFonts w:ascii="Calibri"/>
                <w:spacing w:val="-10"/>
                <w:w w:val="105"/>
                <w:sz w:val="13"/>
              </w:rPr>
              <w:t>1</w:t>
            </w:r>
          </w:p>
        </w:tc>
        <w:tc>
          <w:tcPr>
            <w:tcW w:w="1696" w:type="dxa"/>
            <w:gridSpan w:val="4"/>
            <w:tcBorders>
              <w:bottom w:val="single" w:sz="12" w:space="0" w:color="BEBEBE"/>
            </w:tcBorders>
            <w:shd w:val="clear" w:color="auto" w:fill="FCE9D9"/>
          </w:tcPr>
          <w:p>
            <w:pPr>
              <w:pStyle w:val="TableParagraph"/>
              <w:spacing w:before="3"/>
              <w:rPr>
                <w:sz w:val="11"/>
              </w:rPr>
            </w:pPr>
          </w:p>
          <w:p>
            <w:pPr>
              <w:pStyle w:val="TableParagraph"/>
              <w:ind w:left="569" w:right="549"/>
              <w:jc w:val="center"/>
              <w:rPr>
                <w:rFonts w:ascii="Calibri"/>
                <w:sz w:val="13"/>
              </w:rPr>
            </w:pPr>
            <w:r>
              <w:rPr>
                <w:rFonts w:ascii="Calibri"/>
                <w:w w:val="105"/>
                <w:sz w:val="13"/>
              </w:rPr>
              <w:t>BP</w:t>
            </w:r>
            <w:r>
              <w:rPr>
                <w:rFonts w:ascii="Calibri"/>
                <w:spacing w:val="1"/>
                <w:w w:val="105"/>
                <w:sz w:val="13"/>
              </w:rPr>
              <w:t> </w:t>
            </w:r>
            <w:r>
              <w:rPr>
                <w:rFonts w:ascii="Calibri"/>
                <w:spacing w:val="-10"/>
                <w:w w:val="105"/>
                <w:sz w:val="13"/>
              </w:rPr>
              <w:t>2</w:t>
            </w:r>
          </w:p>
        </w:tc>
        <w:tc>
          <w:tcPr>
            <w:tcW w:w="1696" w:type="dxa"/>
            <w:gridSpan w:val="4"/>
            <w:tcBorders>
              <w:bottom w:val="single" w:sz="12" w:space="0" w:color="BEBEBE"/>
            </w:tcBorders>
            <w:shd w:val="clear" w:color="auto" w:fill="FCE9D9"/>
          </w:tcPr>
          <w:p>
            <w:pPr>
              <w:pStyle w:val="TableParagraph"/>
              <w:spacing w:before="3"/>
              <w:rPr>
                <w:sz w:val="11"/>
              </w:rPr>
            </w:pPr>
          </w:p>
          <w:p>
            <w:pPr>
              <w:pStyle w:val="TableParagraph"/>
              <w:ind w:left="573" w:right="549"/>
              <w:jc w:val="center"/>
              <w:rPr>
                <w:rFonts w:ascii="Calibri"/>
                <w:sz w:val="13"/>
              </w:rPr>
            </w:pPr>
            <w:r>
              <w:rPr>
                <w:rFonts w:ascii="Calibri"/>
                <w:w w:val="105"/>
                <w:sz w:val="13"/>
              </w:rPr>
              <w:t>BP</w:t>
            </w:r>
            <w:r>
              <w:rPr>
                <w:rFonts w:ascii="Calibri"/>
                <w:spacing w:val="1"/>
                <w:w w:val="105"/>
                <w:sz w:val="13"/>
              </w:rPr>
              <w:t> </w:t>
            </w:r>
            <w:r>
              <w:rPr>
                <w:rFonts w:ascii="Calibri"/>
                <w:spacing w:val="-10"/>
                <w:w w:val="105"/>
                <w:sz w:val="13"/>
              </w:rPr>
              <w:t>3</w:t>
            </w:r>
          </w:p>
        </w:tc>
        <w:tc>
          <w:tcPr>
            <w:tcW w:w="1696" w:type="dxa"/>
            <w:gridSpan w:val="4"/>
            <w:tcBorders>
              <w:bottom w:val="single" w:sz="12" w:space="0" w:color="BEBEBE"/>
            </w:tcBorders>
            <w:shd w:val="clear" w:color="auto" w:fill="FCE9D9"/>
          </w:tcPr>
          <w:p>
            <w:pPr>
              <w:pStyle w:val="TableParagraph"/>
              <w:spacing w:before="3"/>
              <w:rPr>
                <w:sz w:val="11"/>
              </w:rPr>
            </w:pPr>
          </w:p>
          <w:p>
            <w:pPr>
              <w:pStyle w:val="TableParagraph"/>
              <w:ind w:left="576" w:right="549"/>
              <w:jc w:val="center"/>
              <w:rPr>
                <w:rFonts w:ascii="Calibri"/>
                <w:sz w:val="13"/>
              </w:rPr>
            </w:pPr>
            <w:r>
              <w:rPr>
                <w:rFonts w:ascii="Calibri"/>
                <w:w w:val="105"/>
                <w:sz w:val="13"/>
              </w:rPr>
              <w:t>BP</w:t>
            </w:r>
            <w:r>
              <w:rPr>
                <w:rFonts w:ascii="Calibri"/>
                <w:spacing w:val="1"/>
                <w:w w:val="105"/>
                <w:sz w:val="13"/>
              </w:rPr>
              <w:t> </w:t>
            </w:r>
            <w:r>
              <w:rPr>
                <w:rFonts w:ascii="Calibri"/>
                <w:spacing w:val="-10"/>
                <w:w w:val="105"/>
                <w:sz w:val="13"/>
              </w:rPr>
              <w:t>4</w:t>
            </w:r>
          </w:p>
        </w:tc>
        <w:tc>
          <w:tcPr>
            <w:tcW w:w="1690" w:type="dxa"/>
            <w:gridSpan w:val="4"/>
            <w:tcBorders>
              <w:bottom w:val="single" w:sz="12" w:space="0" w:color="BEBEBE"/>
              <w:right w:val="single" w:sz="12" w:space="0" w:color="BEBEBE"/>
            </w:tcBorders>
            <w:shd w:val="clear" w:color="auto" w:fill="FCE9D9"/>
          </w:tcPr>
          <w:p>
            <w:pPr>
              <w:pStyle w:val="TableParagraph"/>
              <w:spacing w:before="3"/>
              <w:rPr>
                <w:sz w:val="11"/>
              </w:rPr>
            </w:pPr>
          </w:p>
          <w:p>
            <w:pPr>
              <w:pStyle w:val="TableParagraph"/>
              <w:ind w:left="620" w:right="576"/>
              <w:jc w:val="center"/>
              <w:rPr>
                <w:rFonts w:ascii="Calibri"/>
                <w:sz w:val="13"/>
              </w:rPr>
            </w:pPr>
            <w:r>
              <w:rPr>
                <w:rFonts w:ascii="Calibri"/>
                <w:w w:val="105"/>
                <w:sz w:val="13"/>
              </w:rPr>
              <w:t>BP</w:t>
            </w:r>
            <w:r>
              <w:rPr>
                <w:rFonts w:ascii="Calibri"/>
                <w:spacing w:val="1"/>
                <w:w w:val="105"/>
                <w:sz w:val="13"/>
              </w:rPr>
              <w:t> </w:t>
            </w:r>
            <w:r>
              <w:rPr>
                <w:rFonts w:ascii="Calibri"/>
                <w:spacing w:val="-10"/>
                <w:w w:val="105"/>
                <w:sz w:val="13"/>
              </w:rPr>
              <w:t>5</w:t>
            </w:r>
          </w:p>
        </w:tc>
      </w:tr>
    </w:tbl>
    <w:p>
      <w:pPr>
        <w:pStyle w:val="BodyText"/>
        <w:spacing w:before="2"/>
        <w:rPr>
          <w:sz w:val="10"/>
        </w:rPr>
      </w:pPr>
      <w:r>
        <w:rPr/>
        <mc:AlternateContent>
          <mc:Choice Requires="wps">
            <w:drawing>
              <wp:anchor distT="0" distB="0" distL="0" distR="0" allowOverlap="1" layoutInCell="1" locked="0" behindDoc="1" simplePos="0" relativeHeight="487994368">
                <wp:simplePos x="0" y="0"/>
                <wp:positionH relativeFrom="page">
                  <wp:posOffset>615695</wp:posOffset>
                </wp:positionH>
                <wp:positionV relativeFrom="paragraph">
                  <wp:posOffset>90007</wp:posOffset>
                </wp:positionV>
                <wp:extent cx="6532245" cy="6350"/>
                <wp:effectExtent l="0" t="0" r="0" b="0"/>
                <wp:wrapTopAndBottom/>
                <wp:docPr id="844" name="Graphic 844"/>
                <wp:cNvGraphicFramePr>
                  <a:graphicFrameLocks/>
                </wp:cNvGraphicFramePr>
                <a:graphic>
                  <a:graphicData uri="http://schemas.microsoft.com/office/word/2010/wordprocessingShape">
                    <wps:wsp>
                      <wps:cNvPr id="844" name="Graphic 844"/>
                      <wps:cNvSpPr/>
                      <wps:spPr>
                        <a:xfrm>
                          <a:off x="0" y="0"/>
                          <a:ext cx="6532245" cy="6350"/>
                        </a:xfrm>
                        <a:custGeom>
                          <a:avLst/>
                          <a:gdLst/>
                          <a:ahLst/>
                          <a:cxnLst/>
                          <a:rect l="l" t="t" r="r" b="b"/>
                          <a:pathLst>
                            <a:path w="6532245" h="6350">
                              <a:moveTo>
                                <a:pt x="6531851" y="0"/>
                              </a:moveTo>
                              <a:lnTo>
                                <a:pt x="0" y="0"/>
                              </a:lnTo>
                              <a:lnTo>
                                <a:pt x="0" y="6096"/>
                              </a:lnTo>
                              <a:lnTo>
                                <a:pt x="6531851" y="6096"/>
                              </a:lnTo>
                              <a:lnTo>
                                <a:pt x="65318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48pt;margin-top:7.087185pt;width:514.3190pt;height:.48pt;mso-position-horizontal-relative:page;mso-position-vertical-relative:paragraph;z-index:-15322112;mso-wrap-distance-left:0;mso-wrap-distance-right:0" id="docshape65" filled="true" fillcolor="#000000" stroked="false">
                <v:fill type="solid"/>
                <w10:wrap type="topAndBottom"/>
              </v:rect>
            </w:pict>
          </mc:Fallback>
        </mc:AlternateContent>
      </w:r>
    </w:p>
    <w:p>
      <w:pPr>
        <w:pStyle w:val="BodyText"/>
        <w:spacing w:before="9"/>
        <w:rPr>
          <w:sz w:val="21"/>
        </w:rPr>
      </w:pPr>
    </w:p>
    <w:p>
      <w:pPr>
        <w:spacing w:before="0"/>
        <w:ind w:left="1220" w:right="1094" w:firstLine="0"/>
        <w:jc w:val="both"/>
        <w:rPr>
          <w:sz w:val="22"/>
        </w:rPr>
      </w:pPr>
      <w:r>
        <w:rPr>
          <w:sz w:val="22"/>
        </w:rPr>
        <w:t>The budget period approach will not change the amount of funding that an ACO receives for a given demonstration</w:t>
      </w:r>
      <w:r>
        <w:rPr>
          <w:spacing w:val="-3"/>
          <w:sz w:val="22"/>
        </w:rPr>
        <w:t> </w:t>
      </w:r>
      <w:r>
        <w:rPr>
          <w:sz w:val="22"/>
        </w:rPr>
        <w:t>year.</w:t>
      </w:r>
      <w:r>
        <w:rPr>
          <w:spacing w:val="-3"/>
          <w:sz w:val="22"/>
        </w:rPr>
        <w:t> </w:t>
      </w:r>
      <w:r>
        <w:rPr>
          <w:sz w:val="22"/>
        </w:rPr>
        <w:t>Specifically,</w:t>
      </w:r>
      <w:r>
        <w:rPr>
          <w:spacing w:val="-3"/>
          <w:sz w:val="22"/>
        </w:rPr>
        <w:t> </w:t>
      </w:r>
      <w:r>
        <w:rPr>
          <w:sz w:val="22"/>
        </w:rPr>
        <w:t>the</w:t>
      </w:r>
      <w:r>
        <w:rPr>
          <w:spacing w:val="-3"/>
          <w:sz w:val="22"/>
        </w:rPr>
        <w:t> </w:t>
      </w:r>
      <w:r>
        <w:rPr>
          <w:sz w:val="22"/>
        </w:rPr>
        <w:t>Preparation</w:t>
      </w:r>
      <w:r>
        <w:rPr>
          <w:spacing w:val="-3"/>
          <w:sz w:val="22"/>
        </w:rPr>
        <w:t> </w:t>
      </w:r>
      <w:r>
        <w:rPr>
          <w:sz w:val="22"/>
        </w:rPr>
        <w:t>Budget</w:t>
      </w:r>
      <w:r>
        <w:rPr>
          <w:spacing w:val="-2"/>
          <w:sz w:val="22"/>
        </w:rPr>
        <w:t> </w:t>
      </w:r>
      <w:r>
        <w:rPr>
          <w:sz w:val="22"/>
        </w:rPr>
        <w:t>Period</w:t>
      </w:r>
      <w:r>
        <w:rPr>
          <w:spacing w:val="-3"/>
          <w:sz w:val="22"/>
        </w:rPr>
        <w:t> </w:t>
      </w:r>
      <w:r>
        <w:rPr>
          <w:sz w:val="22"/>
        </w:rPr>
        <w:t>funds</w:t>
      </w:r>
      <w:r>
        <w:rPr>
          <w:spacing w:val="-3"/>
          <w:sz w:val="22"/>
        </w:rPr>
        <w:t> </w:t>
      </w:r>
      <w:r>
        <w:rPr>
          <w:sz w:val="22"/>
        </w:rPr>
        <w:t>will</w:t>
      </w:r>
      <w:r>
        <w:rPr>
          <w:spacing w:val="-5"/>
          <w:sz w:val="22"/>
        </w:rPr>
        <w:t> </w:t>
      </w:r>
      <w:r>
        <w:rPr>
          <w:sz w:val="22"/>
        </w:rPr>
        <w:t>be</w:t>
      </w:r>
      <w:r>
        <w:rPr>
          <w:spacing w:val="-3"/>
          <w:sz w:val="22"/>
        </w:rPr>
        <w:t> </w:t>
      </w:r>
      <w:r>
        <w:rPr>
          <w:sz w:val="22"/>
        </w:rPr>
        <w:t>sourced</w:t>
      </w:r>
      <w:r>
        <w:rPr>
          <w:spacing w:val="-3"/>
          <w:sz w:val="22"/>
        </w:rPr>
        <w:t> </w:t>
      </w:r>
      <w:r>
        <w:rPr>
          <w:sz w:val="22"/>
        </w:rPr>
        <w:t>from</w:t>
      </w:r>
      <w:r>
        <w:rPr>
          <w:spacing w:val="-7"/>
          <w:sz w:val="22"/>
        </w:rPr>
        <w:t> </w:t>
      </w:r>
      <w:r>
        <w:rPr>
          <w:sz w:val="22"/>
        </w:rPr>
        <w:t>demonstration year 1 funds. Budget Period 1 funds will be sourced from demonstration year 1 and year 2 funds. Budget Periods</w:t>
      </w:r>
      <w:r>
        <w:rPr>
          <w:spacing w:val="-6"/>
          <w:sz w:val="22"/>
        </w:rPr>
        <w:t> </w:t>
      </w:r>
      <w:r>
        <w:rPr>
          <w:sz w:val="22"/>
        </w:rPr>
        <w:t>2</w:t>
      </w:r>
      <w:r>
        <w:rPr>
          <w:spacing w:val="-8"/>
          <w:sz w:val="22"/>
        </w:rPr>
        <w:t> </w:t>
      </w:r>
      <w:r>
        <w:rPr>
          <w:sz w:val="22"/>
        </w:rPr>
        <w:t>through</w:t>
      </w:r>
      <w:r>
        <w:rPr>
          <w:spacing w:val="-6"/>
          <w:sz w:val="22"/>
        </w:rPr>
        <w:t> </w:t>
      </w:r>
      <w:r>
        <w:rPr>
          <w:sz w:val="22"/>
        </w:rPr>
        <w:t>4</w:t>
      </w:r>
      <w:r>
        <w:rPr>
          <w:spacing w:val="-6"/>
          <w:sz w:val="22"/>
        </w:rPr>
        <w:t> </w:t>
      </w:r>
      <w:r>
        <w:rPr>
          <w:sz w:val="22"/>
        </w:rPr>
        <w:t>will</w:t>
      </w:r>
      <w:r>
        <w:rPr>
          <w:spacing w:val="-7"/>
          <w:sz w:val="22"/>
        </w:rPr>
        <w:t> </w:t>
      </w:r>
      <w:r>
        <w:rPr>
          <w:sz w:val="22"/>
        </w:rPr>
        <w:t>be</w:t>
      </w:r>
      <w:r>
        <w:rPr>
          <w:spacing w:val="-8"/>
          <w:sz w:val="22"/>
        </w:rPr>
        <w:t> </w:t>
      </w:r>
      <w:r>
        <w:rPr>
          <w:sz w:val="22"/>
        </w:rPr>
        <w:t>sourced</w:t>
      </w:r>
      <w:r>
        <w:rPr>
          <w:spacing w:val="-6"/>
          <w:sz w:val="22"/>
        </w:rPr>
        <w:t> </w:t>
      </w:r>
      <w:r>
        <w:rPr>
          <w:sz w:val="22"/>
        </w:rPr>
        <w:t>by</w:t>
      </w:r>
      <w:r>
        <w:rPr>
          <w:spacing w:val="-9"/>
          <w:sz w:val="22"/>
        </w:rPr>
        <w:t> </w:t>
      </w:r>
      <w:r>
        <w:rPr>
          <w:sz w:val="22"/>
        </w:rPr>
        <w:t>the</w:t>
      </w:r>
      <w:r>
        <w:rPr>
          <w:spacing w:val="-6"/>
          <w:sz w:val="22"/>
        </w:rPr>
        <w:t> </w:t>
      </w:r>
      <w:r>
        <w:rPr>
          <w:sz w:val="22"/>
        </w:rPr>
        <w:t>same</w:t>
      </w:r>
      <w:r>
        <w:rPr>
          <w:spacing w:val="-6"/>
          <w:sz w:val="22"/>
        </w:rPr>
        <w:t> </w:t>
      </w:r>
      <w:r>
        <w:rPr>
          <w:sz w:val="22"/>
        </w:rPr>
        <w:t>funding</w:t>
      </w:r>
      <w:r>
        <w:rPr>
          <w:spacing w:val="-9"/>
          <w:sz w:val="22"/>
        </w:rPr>
        <w:t> </w:t>
      </w:r>
      <w:r>
        <w:rPr>
          <w:sz w:val="22"/>
        </w:rPr>
        <w:t>pattern</w:t>
      </w:r>
      <w:r>
        <w:rPr>
          <w:spacing w:val="-6"/>
          <w:sz w:val="22"/>
        </w:rPr>
        <w:t> </w:t>
      </w:r>
      <w:r>
        <w:rPr>
          <w:sz w:val="22"/>
        </w:rPr>
        <w:t>as</w:t>
      </w:r>
      <w:r>
        <w:rPr>
          <w:spacing w:val="-6"/>
          <w:sz w:val="22"/>
        </w:rPr>
        <w:t> </w:t>
      </w:r>
      <w:r>
        <w:rPr>
          <w:sz w:val="22"/>
        </w:rPr>
        <w:t>Budget</w:t>
      </w:r>
      <w:r>
        <w:rPr>
          <w:spacing w:val="-5"/>
          <w:sz w:val="22"/>
        </w:rPr>
        <w:t> </w:t>
      </w:r>
      <w:r>
        <w:rPr>
          <w:sz w:val="22"/>
        </w:rPr>
        <w:t>Period</w:t>
      </w:r>
      <w:r>
        <w:rPr>
          <w:spacing w:val="-8"/>
          <w:sz w:val="22"/>
        </w:rPr>
        <w:t> </w:t>
      </w:r>
      <w:r>
        <w:rPr>
          <w:sz w:val="22"/>
        </w:rPr>
        <w:t>1.</w:t>
      </w:r>
      <w:r>
        <w:rPr>
          <w:spacing w:val="-6"/>
          <w:sz w:val="22"/>
        </w:rPr>
        <w:t> </w:t>
      </w:r>
      <w:r>
        <w:rPr>
          <w:sz w:val="22"/>
        </w:rPr>
        <w:t>Budget</w:t>
      </w:r>
      <w:r>
        <w:rPr>
          <w:spacing w:val="-5"/>
          <w:sz w:val="22"/>
        </w:rPr>
        <w:t> </w:t>
      </w:r>
      <w:r>
        <w:rPr>
          <w:sz w:val="22"/>
        </w:rPr>
        <w:t>Period</w:t>
      </w:r>
      <w:r>
        <w:rPr>
          <w:spacing w:val="-6"/>
          <w:sz w:val="22"/>
        </w:rPr>
        <w:t> </w:t>
      </w:r>
      <w:r>
        <w:rPr>
          <w:sz w:val="22"/>
        </w:rPr>
        <w:t>5</w:t>
      </w:r>
      <w:r>
        <w:rPr>
          <w:spacing w:val="-8"/>
          <w:sz w:val="22"/>
        </w:rPr>
        <w:t> </w:t>
      </w:r>
      <w:r>
        <w:rPr>
          <w:sz w:val="22"/>
        </w:rPr>
        <w:t>funds will be sourced only from demonstration year 5 funds.</w:t>
      </w:r>
    </w:p>
    <w:p>
      <w:pPr>
        <w:pStyle w:val="Heading5"/>
        <w:numPr>
          <w:ilvl w:val="2"/>
          <w:numId w:val="65"/>
        </w:numPr>
        <w:tabs>
          <w:tab w:pos="1940" w:val="left" w:leader="none"/>
        </w:tabs>
        <w:spacing w:line="240" w:lineRule="auto" w:before="202" w:after="0"/>
        <w:ind w:left="1940" w:right="0" w:hanging="720"/>
        <w:jc w:val="both"/>
        <w:rPr>
          <w:color w:val="4471C4"/>
        </w:rPr>
      </w:pPr>
      <w:bookmarkStart w:name="3.1.2 Community Partner and CSA Budget P" w:id="1242"/>
      <w:bookmarkEnd w:id="1242"/>
      <w:r>
        <w:rPr>
          <w:b w:val="0"/>
        </w:rPr>
      </w:r>
      <w:bookmarkStart w:name="_bookmark21" w:id="1243"/>
      <w:bookmarkEnd w:id="1243"/>
      <w:r>
        <w:rPr>
          <w:b w:val="0"/>
        </w:rPr>
      </w:r>
      <w:r>
        <w:rPr>
          <w:color w:val="4471C4"/>
        </w:rPr>
        <w:t>Community</w:t>
      </w:r>
      <w:r>
        <w:rPr>
          <w:color w:val="4471C4"/>
          <w:spacing w:val="-4"/>
        </w:rPr>
        <w:t> </w:t>
      </w:r>
      <w:r>
        <w:rPr>
          <w:color w:val="4471C4"/>
        </w:rPr>
        <w:t>Partner</w:t>
      </w:r>
      <w:r>
        <w:rPr>
          <w:color w:val="4471C4"/>
          <w:spacing w:val="-1"/>
        </w:rPr>
        <w:t> </w:t>
      </w:r>
      <w:r>
        <w:rPr>
          <w:color w:val="4471C4"/>
        </w:rPr>
        <w:t>and</w:t>
      </w:r>
      <w:r>
        <w:rPr>
          <w:color w:val="4471C4"/>
          <w:spacing w:val="-2"/>
        </w:rPr>
        <w:t> </w:t>
      </w:r>
      <w:r>
        <w:rPr>
          <w:color w:val="4471C4"/>
        </w:rPr>
        <w:t>CSA</w:t>
      </w:r>
      <w:r>
        <w:rPr>
          <w:color w:val="4471C4"/>
          <w:spacing w:val="-1"/>
        </w:rPr>
        <w:t> </w:t>
      </w:r>
      <w:r>
        <w:rPr>
          <w:color w:val="4471C4"/>
        </w:rPr>
        <w:t>Budget</w:t>
      </w:r>
      <w:r>
        <w:rPr>
          <w:color w:val="4471C4"/>
          <w:spacing w:val="-2"/>
        </w:rPr>
        <w:t> Periods</w:t>
      </w:r>
    </w:p>
    <w:p>
      <w:pPr>
        <w:spacing w:line="240" w:lineRule="auto" w:before="40"/>
        <w:ind w:left="1220" w:right="1092" w:hanging="1"/>
        <w:jc w:val="both"/>
        <w:rPr>
          <w:sz w:val="22"/>
        </w:rPr>
      </w:pPr>
      <w:r>
        <w:rPr>
          <w:sz w:val="22"/>
        </w:rPr>
        <w:t>The State’s 1115 demonstration years align with the State’s fiscal year (July 1 to June 30). Performance years</w:t>
      </w:r>
      <w:r>
        <w:rPr>
          <w:spacing w:val="-12"/>
          <w:sz w:val="22"/>
        </w:rPr>
        <w:t> </w:t>
      </w:r>
      <w:r>
        <w:rPr>
          <w:sz w:val="22"/>
        </w:rPr>
        <w:t>for</w:t>
      </w:r>
      <w:r>
        <w:rPr>
          <w:spacing w:val="-11"/>
          <w:sz w:val="22"/>
        </w:rPr>
        <w:t> </w:t>
      </w:r>
      <w:r>
        <w:rPr>
          <w:sz w:val="22"/>
        </w:rPr>
        <w:t>the</w:t>
      </w:r>
      <w:r>
        <w:rPr>
          <w:spacing w:val="-11"/>
          <w:sz w:val="22"/>
        </w:rPr>
        <w:t> </w:t>
      </w:r>
      <w:r>
        <w:rPr>
          <w:sz w:val="22"/>
        </w:rPr>
        <w:t>State’s</w:t>
      </w:r>
      <w:r>
        <w:rPr>
          <w:spacing w:val="-11"/>
          <w:sz w:val="22"/>
        </w:rPr>
        <w:t> </w:t>
      </w:r>
      <w:r>
        <w:rPr>
          <w:sz w:val="22"/>
        </w:rPr>
        <w:t>CP</w:t>
      </w:r>
      <w:r>
        <w:rPr>
          <w:spacing w:val="-12"/>
          <w:sz w:val="22"/>
        </w:rPr>
        <w:t> </w:t>
      </w:r>
      <w:r>
        <w:rPr>
          <w:sz w:val="22"/>
        </w:rPr>
        <w:t>program</w:t>
      </w:r>
      <w:r>
        <w:rPr>
          <w:spacing w:val="-14"/>
          <w:sz w:val="22"/>
        </w:rPr>
        <w:t> </w:t>
      </w:r>
      <w:r>
        <w:rPr>
          <w:sz w:val="22"/>
        </w:rPr>
        <w:t>(i.e.,</w:t>
      </w:r>
      <w:r>
        <w:rPr>
          <w:spacing w:val="-12"/>
          <w:sz w:val="22"/>
        </w:rPr>
        <w:t> </w:t>
      </w:r>
      <w:r>
        <w:rPr>
          <w:sz w:val="22"/>
        </w:rPr>
        <w:t>the</w:t>
      </w:r>
      <w:r>
        <w:rPr>
          <w:spacing w:val="-11"/>
          <w:sz w:val="22"/>
        </w:rPr>
        <w:t> </w:t>
      </w:r>
      <w:r>
        <w:rPr>
          <w:sz w:val="22"/>
        </w:rPr>
        <w:t>time</w:t>
      </w:r>
      <w:r>
        <w:rPr>
          <w:spacing w:val="-11"/>
          <w:sz w:val="22"/>
        </w:rPr>
        <w:t> </w:t>
      </w:r>
      <w:r>
        <w:rPr>
          <w:sz w:val="22"/>
        </w:rPr>
        <w:t>periods</w:t>
      </w:r>
      <w:r>
        <w:rPr>
          <w:spacing w:val="-11"/>
          <w:sz w:val="22"/>
        </w:rPr>
        <w:t> </w:t>
      </w:r>
      <w:r>
        <w:rPr>
          <w:sz w:val="22"/>
        </w:rPr>
        <w:t>the</w:t>
      </w:r>
      <w:r>
        <w:rPr>
          <w:spacing w:val="-11"/>
          <w:sz w:val="22"/>
        </w:rPr>
        <w:t> </w:t>
      </w:r>
      <w:r>
        <w:rPr>
          <w:sz w:val="22"/>
        </w:rPr>
        <w:t>State</w:t>
      </w:r>
      <w:r>
        <w:rPr>
          <w:spacing w:val="-11"/>
          <w:sz w:val="22"/>
        </w:rPr>
        <w:t> </w:t>
      </w:r>
      <w:r>
        <w:rPr>
          <w:sz w:val="22"/>
        </w:rPr>
        <w:t>will</w:t>
      </w:r>
      <w:r>
        <w:rPr>
          <w:spacing w:val="-11"/>
          <w:sz w:val="22"/>
        </w:rPr>
        <w:t> </w:t>
      </w:r>
      <w:r>
        <w:rPr>
          <w:sz w:val="22"/>
        </w:rPr>
        <w:t>use</w:t>
      </w:r>
      <w:r>
        <w:rPr>
          <w:spacing w:val="-11"/>
          <w:sz w:val="22"/>
        </w:rPr>
        <w:t> </w:t>
      </w:r>
      <w:r>
        <w:rPr>
          <w:sz w:val="22"/>
        </w:rPr>
        <w:t>to</w:t>
      </w:r>
      <w:r>
        <w:rPr>
          <w:spacing w:val="-12"/>
          <w:sz w:val="22"/>
        </w:rPr>
        <w:t> </w:t>
      </w:r>
      <w:r>
        <w:rPr>
          <w:sz w:val="22"/>
        </w:rPr>
        <w:t>calculate</w:t>
      </w:r>
      <w:r>
        <w:rPr>
          <w:spacing w:val="-11"/>
          <w:sz w:val="22"/>
        </w:rPr>
        <w:t> </w:t>
      </w:r>
      <w:r>
        <w:rPr>
          <w:sz w:val="22"/>
        </w:rPr>
        <w:t>accountability</w:t>
      </w:r>
      <w:r>
        <w:rPr>
          <w:spacing w:val="-14"/>
          <w:sz w:val="22"/>
        </w:rPr>
        <w:t> </w:t>
      </w:r>
      <w:r>
        <w:rPr>
          <w:sz w:val="22"/>
        </w:rPr>
        <w:t>for</w:t>
      </w:r>
      <w:r>
        <w:rPr>
          <w:spacing w:val="-11"/>
          <w:sz w:val="22"/>
        </w:rPr>
        <w:t> </w:t>
      </w:r>
      <w:r>
        <w:rPr>
          <w:sz w:val="22"/>
        </w:rPr>
        <w:t>CPs) align</w:t>
      </w:r>
      <w:r>
        <w:rPr>
          <w:spacing w:val="-5"/>
          <w:sz w:val="22"/>
        </w:rPr>
        <w:t> </w:t>
      </w:r>
      <w:r>
        <w:rPr>
          <w:sz w:val="22"/>
        </w:rPr>
        <w:t>with</w:t>
      </w:r>
      <w:r>
        <w:rPr>
          <w:spacing w:val="-5"/>
          <w:sz w:val="22"/>
        </w:rPr>
        <w:t> </w:t>
      </w:r>
      <w:r>
        <w:rPr>
          <w:sz w:val="22"/>
        </w:rPr>
        <w:t>the</w:t>
      </w:r>
      <w:r>
        <w:rPr>
          <w:spacing w:val="-4"/>
          <w:sz w:val="22"/>
        </w:rPr>
        <w:t> </w:t>
      </w:r>
      <w:r>
        <w:rPr>
          <w:sz w:val="22"/>
        </w:rPr>
        <w:t>calendar</w:t>
      </w:r>
      <w:r>
        <w:rPr>
          <w:spacing w:val="-4"/>
          <w:sz w:val="22"/>
        </w:rPr>
        <w:t> </w:t>
      </w:r>
      <w:r>
        <w:rPr>
          <w:sz w:val="22"/>
        </w:rPr>
        <w:t>year</w:t>
      </w:r>
      <w:r>
        <w:rPr>
          <w:spacing w:val="-6"/>
          <w:sz w:val="22"/>
        </w:rPr>
        <w:t> </w:t>
      </w:r>
      <w:r>
        <w:rPr>
          <w:sz w:val="22"/>
        </w:rPr>
        <w:t>(January</w:t>
      </w:r>
      <w:r>
        <w:rPr>
          <w:spacing w:val="-7"/>
          <w:sz w:val="22"/>
        </w:rPr>
        <w:t> </w:t>
      </w:r>
      <w:r>
        <w:rPr>
          <w:sz w:val="22"/>
        </w:rPr>
        <w:t>1</w:t>
      </w:r>
      <w:r>
        <w:rPr>
          <w:spacing w:val="-5"/>
          <w:sz w:val="22"/>
        </w:rPr>
        <w:t> </w:t>
      </w:r>
      <w:r>
        <w:rPr>
          <w:sz w:val="22"/>
        </w:rPr>
        <w:t>to</w:t>
      </w:r>
      <w:r>
        <w:rPr>
          <w:spacing w:val="-5"/>
          <w:sz w:val="22"/>
        </w:rPr>
        <w:t> </w:t>
      </w:r>
      <w:r>
        <w:rPr>
          <w:sz w:val="22"/>
        </w:rPr>
        <w:t>December</w:t>
      </w:r>
      <w:r>
        <w:rPr>
          <w:spacing w:val="-4"/>
          <w:sz w:val="22"/>
        </w:rPr>
        <w:t> </w:t>
      </w:r>
      <w:r>
        <w:rPr>
          <w:sz w:val="22"/>
        </w:rPr>
        <w:t>31),</w:t>
      </w:r>
      <w:r>
        <w:rPr>
          <w:spacing w:val="-5"/>
          <w:sz w:val="22"/>
        </w:rPr>
        <w:t> </w:t>
      </w:r>
      <w:r>
        <w:rPr>
          <w:sz w:val="22"/>
        </w:rPr>
        <w:t>with</w:t>
      </w:r>
      <w:r>
        <w:rPr>
          <w:spacing w:val="-5"/>
          <w:sz w:val="22"/>
        </w:rPr>
        <w:t> </w:t>
      </w:r>
      <w:r>
        <w:rPr>
          <w:sz w:val="22"/>
        </w:rPr>
        <w:t>the</w:t>
      </w:r>
      <w:r>
        <w:rPr>
          <w:spacing w:val="-4"/>
          <w:sz w:val="22"/>
        </w:rPr>
        <w:t> </w:t>
      </w:r>
      <w:r>
        <w:rPr>
          <w:sz w:val="22"/>
        </w:rPr>
        <w:t>exception</w:t>
      </w:r>
      <w:r>
        <w:rPr>
          <w:spacing w:val="-7"/>
          <w:sz w:val="22"/>
        </w:rPr>
        <w:t> </w:t>
      </w:r>
      <w:r>
        <w:rPr>
          <w:sz w:val="22"/>
        </w:rPr>
        <w:t>of</w:t>
      </w:r>
      <w:r>
        <w:rPr>
          <w:spacing w:val="-4"/>
          <w:sz w:val="22"/>
        </w:rPr>
        <w:t> </w:t>
      </w:r>
      <w:r>
        <w:rPr>
          <w:sz w:val="22"/>
        </w:rPr>
        <w:t>Performance</w:t>
      </w:r>
      <w:r>
        <w:rPr>
          <w:spacing w:val="-4"/>
          <w:sz w:val="22"/>
        </w:rPr>
        <w:t> </w:t>
      </w:r>
      <w:r>
        <w:rPr>
          <w:sz w:val="22"/>
        </w:rPr>
        <w:t>Year</w:t>
      </w:r>
      <w:r>
        <w:rPr>
          <w:spacing w:val="-6"/>
          <w:sz w:val="22"/>
        </w:rPr>
        <w:t> </w:t>
      </w:r>
      <w:r>
        <w:rPr>
          <w:sz w:val="22"/>
        </w:rPr>
        <w:t>1,</w:t>
      </w:r>
      <w:r>
        <w:rPr>
          <w:spacing w:val="-5"/>
          <w:sz w:val="22"/>
        </w:rPr>
        <w:t> </w:t>
      </w:r>
      <w:r>
        <w:rPr>
          <w:sz w:val="22"/>
        </w:rPr>
        <w:t>which is</w:t>
      </w:r>
      <w:r>
        <w:rPr>
          <w:spacing w:val="-10"/>
          <w:sz w:val="22"/>
        </w:rPr>
        <w:t> </w:t>
      </w:r>
      <w:r>
        <w:rPr>
          <w:sz w:val="22"/>
        </w:rPr>
        <w:t>six</w:t>
      </w:r>
      <w:r>
        <w:rPr>
          <w:spacing w:val="-11"/>
          <w:sz w:val="22"/>
        </w:rPr>
        <w:t> </w:t>
      </w:r>
      <w:r>
        <w:rPr>
          <w:sz w:val="22"/>
        </w:rPr>
        <w:t>months</w:t>
      </w:r>
      <w:r>
        <w:rPr>
          <w:spacing w:val="-10"/>
          <w:sz w:val="22"/>
        </w:rPr>
        <w:t> </w:t>
      </w:r>
      <w:r>
        <w:rPr>
          <w:sz w:val="22"/>
        </w:rPr>
        <w:t>from</w:t>
      </w:r>
      <w:r>
        <w:rPr>
          <w:spacing w:val="-14"/>
          <w:sz w:val="22"/>
        </w:rPr>
        <w:t> </w:t>
      </w:r>
      <w:r>
        <w:rPr>
          <w:sz w:val="22"/>
        </w:rPr>
        <w:t>July</w:t>
      </w:r>
      <w:r>
        <w:rPr>
          <w:spacing w:val="-12"/>
          <w:sz w:val="22"/>
        </w:rPr>
        <w:t> </w:t>
      </w:r>
      <w:r>
        <w:rPr>
          <w:sz w:val="22"/>
        </w:rPr>
        <w:t>1,</w:t>
      </w:r>
      <w:r>
        <w:rPr>
          <w:spacing w:val="-11"/>
          <w:sz w:val="22"/>
        </w:rPr>
        <w:t> </w:t>
      </w:r>
      <w:r>
        <w:rPr>
          <w:sz w:val="22"/>
        </w:rPr>
        <w:t>2018</w:t>
      </w:r>
      <w:r>
        <w:rPr>
          <w:spacing w:val="-11"/>
          <w:sz w:val="22"/>
        </w:rPr>
        <w:t> </w:t>
      </w:r>
      <w:r>
        <w:rPr>
          <w:sz w:val="22"/>
        </w:rPr>
        <w:t>to</w:t>
      </w:r>
      <w:r>
        <w:rPr>
          <w:spacing w:val="-11"/>
          <w:sz w:val="22"/>
        </w:rPr>
        <w:t> </w:t>
      </w:r>
      <w:r>
        <w:rPr>
          <w:sz w:val="22"/>
        </w:rPr>
        <w:t>December</w:t>
      </w:r>
      <w:r>
        <w:rPr>
          <w:spacing w:val="-10"/>
          <w:sz w:val="22"/>
        </w:rPr>
        <w:t> </w:t>
      </w:r>
      <w:r>
        <w:rPr>
          <w:sz w:val="22"/>
        </w:rPr>
        <w:t>31,</w:t>
      </w:r>
      <w:r>
        <w:rPr>
          <w:spacing w:val="-11"/>
          <w:sz w:val="22"/>
        </w:rPr>
        <w:t> </w:t>
      </w:r>
      <w:r>
        <w:rPr>
          <w:sz w:val="22"/>
        </w:rPr>
        <w:t>2018.</w:t>
      </w:r>
      <w:r>
        <w:rPr>
          <w:spacing w:val="-13"/>
          <w:sz w:val="22"/>
        </w:rPr>
        <w:t> </w:t>
      </w:r>
      <w:r>
        <w:rPr>
          <w:sz w:val="22"/>
        </w:rPr>
        <w:t>CP</w:t>
      </w:r>
      <w:r>
        <w:rPr>
          <w:spacing w:val="-11"/>
          <w:sz w:val="22"/>
        </w:rPr>
        <w:t> </w:t>
      </w:r>
      <w:r>
        <w:rPr>
          <w:sz w:val="22"/>
        </w:rPr>
        <w:t>performance</w:t>
      </w:r>
      <w:r>
        <w:rPr>
          <w:spacing w:val="-11"/>
          <w:sz w:val="22"/>
        </w:rPr>
        <w:t> </w:t>
      </w:r>
      <w:r>
        <w:rPr>
          <w:sz w:val="22"/>
        </w:rPr>
        <w:t>years</w:t>
      </w:r>
      <w:r>
        <w:rPr>
          <w:spacing w:val="-10"/>
          <w:sz w:val="22"/>
        </w:rPr>
        <w:t> </w:t>
      </w:r>
      <w:r>
        <w:rPr>
          <w:sz w:val="22"/>
        </w:rPr>
        <w:t>are</w:t>
      </w:r>
      <w:r>
        <w:rPr>
          <w:spacing w:val="-11"/>
          <w:sz w:val="22"/>
        </w:rPr>
        <w:t> </w:t>
      </w:r>
      <w:r>
        <w:rPr>
          <w:sz w:val="22"/>
        </w:rPr>
        <w:t>thus</w:t>
      </w:r>
      <w:r>
        <w:rPr>
          <w:spacing w:val="-10"/>
          <w:sz w:val="22"/>
        </w:rPr>
        <w:t> </w:t>
      </w:r>
      <w:r>
        <w:rPr>
          <w:sz w:val="22"/>
        </w:rPr>
        <w:t>generally</w:t>
      </w:r>
      <w:r>
        <w:rPr>
          <w:spacing w:val="-13"/>
          <w:sz w:val="22"/>
        </w:rPr>
        <w:t> </w:t>
      </w:r>
      <w:r>
        <w:rPr>
          <w:sz w:val="22"/>
        </w:rPr>
        <w:t>offset</w:t>
      </w:r>
      <w:r>
        <w:rPr>
          <w:spacing w:val="-10"/>
          <w:sz w:val="22"/>
        </w:rPr>
        <w:t> </w:t>
      </w:r>
      <w:r>
        <w:rPr>
          <w:sz w:val="22"/>
        </w:rPr>
        <w:t>from the State’s demonstration years by six months.</w:t>
      </w:r>
    </w:p>
    <w:p>
      <w:pPr>
        <w:spacing w:before="161"/>
        <w:ind w:left="1220" w:right="1095" w:firstLine="0"/>
        <w:jc w:val="both"/>
        <w:rPr>
          <w:sz w:val="22"/>
        </w:rPr>
      </w:pPr>
      <w:r>
        <w:rPr>
          <w:sz w:val="22"/>
        </w:rPr>
        <w:t>The</w:t>
      </w:r>
      <w:r>
        <w:rPr>
          <w:spacing w:val="-1"/>
          <w:sz w:val="22"/>
        </w:rPr>
        <w:t> </w:t>
      </w:r>
      <w:r>
        <w:rPr>
          <w:sz w:val="22"/>
        </w:rPr>
        <w:t>State</w:t>
      </w:r>
      <w:r>
        <w:rPr>
          <w:spacing w:val="-1"/>
          <w:sz w:val="22"/>
        </w:rPr>
        <w:t> </w:t>
      </w:r>
      <w:r>
        <w:rPr>
          <w:sz w:val="22"/>
        </w:rPr>
        <w:t>will disburse</w:t>
      </w:r>
      <w:r>
        <w:rPr>
          <w:spacing w:val="-1"/>
          <w:sz w:val="22"/>
        </w:rPr>
        <w:t> </w:t>
      </w:r>
      <w:r>
        <w:rPr>
          <w:sz w:val="22"/>
        </w:rPr>
        <w:t>DSRIP</w:t>
      </w:r>
      <w:r>
        <w:rPr>
          <w:spacing w:val="-2"/>
          <w:sz w:val="22"/>
        </w:rPr>
        <w:t> </w:t>
      </w:r>
      <w:r>
        <w:rPr>
          <w:sz w:val="22"/>
        </w:rPr>
        <w:t>funding</w:t>
      </w:r>
      <w:r>
        <w:rPr>
          <w:spacing w:val="-4"/>
          <w:sz w:val="22"/>
        </w:rPr>
        <w:t> </w:t>
      </w:r>
      <w:r>
        <w:rPr>
          <w:sz w:val="22"/>
        </w:rPr>
        <w:t>to</w:t>
      </w:r>
      <w:r>
        <w:rPr>
          <w:spacing w:val="-1"/>
          <w:sz w:val="22"/>
        </w:rPr>
        <w:t> </w:t>
      </w:r>
      <w:r>
        <w:rPr>
          <w:sz w:val="22"/>
        </w:rPr>
        <w:t>CPs</w:t>
      </w:r>
      <w:r>
        <w:rPr>
          <w:spacing w:val="-1"/>
          <w:sz w:val="22"/>
        </w:rPr>
        <w:t> </w:t>
      </w:r>
      <w:r>
        <w:rPr>
          <w:sz w:val="22"/>
        </w:rPr>
        <w:t>and</w:t>
      </w:r>
      <w:r>
        <w:rPr>
          <w:spacing w:val="-1"/>
          <w:sz w:val="22"/>
        </w:rPr>
        <w:t> </w:t>
      </w:r>
      <w:r>
        <w:rPr>
          <w:sz w:val="22"/>
        </w:rPr>
        <w:t>CSAs</w:t>
      </w:r>
      <w:r>
        <w:rPr>
          <w:spacing w:val="-1"/>
          <w:sz w:val="22"/>
        </w:rPr>
        <w:t> </w:t>
      </w:r>
      <w:r>
        <w:rPr>
          <w:sz w:val="22"/>
        </w:rPr>
        <w:t>using</w:t>
      </w:r>
      <w:r>
        <w:rPr>
          <w:spacing w:val="-4"/>
          <w:sz w:val="22"/>
        </w:rPr>
        <w:t> </w:t>
      </w:r>
      <w:r>
        <w:rPr>
          <w:sz w:val="22"/>
        </w:rPr>
        <w:t>six</w:t>
      </w:r>
      <w:r>
        <w:rPr>
          <w:spacing w:val="-1"/>
          <w:sz w:val="22"/>
        </w:rPr>
        <w:t> </w:t>
      </w:r>
      <w:r>
        <w:rPr>
          <w:sz w:val="22"/>
        </w:rPr>
        <w:t>“Budget Periods”</w:t>
      </w:r>
      <w:r>
        <w:rPr>
          <w:spacing w:val="-1"/>
          <w:sz w:val="22"/>
        </w:rPr>
        <w:t> </w:t>
      </w:r>
      <w:r>
        <w:rPr>
          <w:sz w:val="22"/>
        </w:rPr>
        <w:t>(BPs) that align</w:t>
      </w:r>
      <w:r>
        <w:rPr>
          <w:spacing w:val="-1"/>
          <w:sz w:val="22"/>
        </w:rPr>
        <w:t> </w:t>
      </w:r>
      <w:r>
        <w:rPr>
          <w:sz w:val="22"/>
        </w:rPr>
        <w:t>with CP and</w:t>
      </w:r>
      <w:r>
        <w:rPr>
          <w:spacing w:val="-2"/>
          <w:sz w:val="22"/>
        </w:rPr>
        <w:t> </w:t>
      </w:r>
      <w:r>
        <w:rPr>
          <w:sz w:val="22"/>
        </w:rPr>
        <w:t>CSA</w:t>
      </w:r>
      <w:r>
        <w:rPr>
          <w:spacing w:val="-1"/>
          <w:sz w:val="22"/>
        </w:rPr>
        <w:t> </w:t>
      </w:r>
      <w:r>
        <w:rPr>
          <w:sz w:val="22"/>
        </w:rPr>
        <w:t>Performance</w:t>
      </w:r>
      <w:r>
        <w:rPr>
          <w:spacing w:val="-2"/>
          <w:sz w:val="22"/>
        </w:rPr>
        <w:t> </w:t>
      </w:r>
      <w:r>
        <w:rPr>
          <w:sz w:val="22"/>
        </w:rPr>
        <w:t>Years.</w:t>
      </w:r>
      <w:r>
        <w:rPr>
          <w:spacing w:val="-5"/>
          <w:sz w:val="22"/>
        </w:rPr>
        <w:t> </w:t>
      </w:r>
      <w:r>
        <w:rPr>
          <w:sz w:val="22"/>
        </w:rPr>
        <w:t>The</w:t>
      </w:r>
      <w:r>
        <w:rPr>
          <w:spacing w:val="-2"/>
          <w:sz w:val="22"/>
        </w:rPr>
        <w:t> </w:t>
      </w:r>
      <w:r>
        <w:rPr>
          <w:sz w:val="22"/>
        </w:rPr>
        <w:t>first</w:t>
      </w:r>
      <w:r>
        <w:rPr>
          <w:spacing w:val="-1"/>
          <w:sz w:val="22"/>
        </w:rPr>
        <w:t> </w:t>
      </w:r>
      <w:r>
        <w:rPr>
          <w:sz w:val="22"/>
        </w:rPr>
        <w:t>BP,</w:t>
      </w:r>
      <w:r>
        <w:rPr>
          <w:spacing w:val="-2"/>
          <w:sz w:val="22"/>
        </w:rPr>
        <w:t> </w:t>
      </w:r>
      <w:r>
        <w:rPr>
          <w:sz w:val="22"/>
        </w:rPr>
        <w:t>the</w:t>
      </w:r>
      <w:r>
        <w:rPr>
          <w:spacing w:val="-2"/>
          <w:sz w:val="22"/>
        </w:rPr>
        <w:t> </w:t>
      </w:r>
      <w:r>
        <w:rPr>
          <w:sz w:val="22"/>
        </w:rPr>
        <w:t>“Preparation</w:t>
      </w:r>
      <w:r>
        <w:rPr>
          <w:spacing w:val="-2"/>
          <w:sz w:val="22"/>
        </w:rPr>
        <w:t> </w:t>
      </w:r>
      <w:r>
        <w:rPr>
          <w:sz w:val="22"/>
        </w:rPr>
        <w:t>Budget Period”</w:t>
      </w:r>
      <w:r>
        <w:rPr>
          <w:spacing w:val="-2"/>
          <w:sz w:val="22"/>
        </w:rPr>
        <w:t> </w:t>
      </w:r>
      <w:r>
        <w:rPr>
          <w:sz w:val="22"/>
        </w:rPr>
        <w:t>will begin when contracts between</w:t>
      </w:r>
      <w:r>
        <w:rPr>
          <w:spacing w:val="-5"/>
          <w:sz w:val="22"/>
        </w:rPr>
        <w:t> </w:t>
      </w:r>
      <w:r>
        <w:rPr>
          <w:sz w:val="22"/>
        </w:rPr>
        <w:t>the</w:t>
      </w:r>
      <w:r>
        <w:rPr>
          <w:spacing w:val="-4"/>
          <w:sz w:val="22"/>
        </w:rPr>
        <w:t> </w:t>
      </w:r>
      <w:r>
        <w:rPr>
          <w:sz w:val="22"/>
        </w:rPr>
        <w:t>State</w:t>
      </w:r>
      <w:r>
        <w:rPr>
          <w:spacing w:val="-4"/>
          <w:sz w:val="22"/>
        </w:rPr>
        <w:t> </w:t>
      </w:r>
      <w:r>
        <w:rPr>
          <w:sz w:val="22"/>
        </w:rPr>
        <w:t>and</w:t>
      </w:r>
      <w:r>
        <w:rPr>
          <w:spacing w:val="-5"/>
          <w:sz w:val="22"/>
        </w:rPr>
        <w:t> </w:t>
      </w:r>
      <w:r>
        <w:rPr>
          <w:sz w:val="22"/>
        </w:rPr>
        <w:t>the</w:t>
      </w:r>
      <w:r>
        <w:rPr>
          <w:spacing w:val="-4"/>
          <w:sz w:val="22"/>
        </w:rPr>
        <w:t> </w:t>
      </w:r>
      <w:r>
        <w:rPr>
          <w:sz w:val="22"/>
        </w:rPr>
        <w:t>CPs</w:t>
      </w:r>
      <w:r>
        <w:rPr>
          <w:spacing w:val="-2"/>
          <w:sz w:val="22"/>
        </w:rPr>
        <w:t> </w:t>
      </w:r>
      <w:r>
        <w:rPr>
          <w:sz w:val="22"/>
        </w:rPr>
        <w:t>and</w:t>
      </w:r>
      <w:r>
        <w:rPr>
          <w:spacing w:val="-2"/>
          <w:sz w:val="22"/>
        </w:rPr>
        <w:t> </w:t>
      </w:r>
      <w:r>
        <w:rPr>
          <w:sz w:val="22"/>
        </w:rPr>
        <w:t>CSAs</w:t>
      </w:r>
      <w:r>
        <w:rPr>
          <w:spacing w:val="-4"/>
          <w:sz w:val="22"/>
        </w:rPr>
        <w:t> </w:t>
      </w:r>
      <w:r>
        <w:rPr>
          <w:sz w:val="22"/>
        </w:rPr>
        <w:t>are</w:t>
      </w:r>
      <w:r>
        <w:rPr>
          <w:spacing w:val="-4"/>
          <w:sz w:val="22"/>
        </w:rPr>
        <w:t> </w:t>
      </w:r>
      <w:r>
        <w:rPr>
          <w:sz w:val="22"/>
        </w:rPr>
        <w:t>executed</w:t>
      </w:r>
      <w:r>
        <w:rPr>
          <w:spacing w:val="-5"/>
          <w:sz w:val="22"/>
        </w:rPr>
        <w:t> </w:t>
      </w:r>
      <w:r>
        <w:rPr>
          <w:sz w:val="22"/>
        </w:rPr>
        <w:t>(anticipated</w:t>
      </w:r>
      <w:r>
        <w:rPr>
          <w:spacing w:val="-2"/>
          <w:sz w:val="22"/>
        </w:rPr>
        <w:t> </w:t>
      </w:r>
      <w:r>
        <w:rPr>
          <w:sz w:val="22"/>
        </w:rPr>
        <w:t>October/November</w:t>
      </w:r>
      <w:r>
        <w:rPr>
          <w:spacing w:val="-4"/>
          <w:sz w:val="22"/>
        </w:rPr>
        <w:t> </w:t>
      </w:r>
      <w:r>
        <w:rPr>
          <w:sz w:val="22"/>
        </w:rPr>
        <w:t>2017)</w:t>
      </w:r>
      <w:r>
        <w:rPr>
          <w:spacing w:val="-4"/>
          <w:sz w:val="22"/>
        </w:rPr>
        <w:t> </w:t>
      </w:r>
      <w:r>
        <w:rPr>
          <w:sz w:val="22"/>
        </w:rPr>
        <w:t>and</w:t>
      </w:r>
      <w:r>
        <w:rPr>
          <w:spacing w:val="-5"/>
          <w:sz w:val="22"/>
        </w:rPr>
        <w:t> </w:t>
      </w:r>
      <w:r>
        <w:rPr>
          <w:sz w:val="22"/>
        </w:rPr>
        <w:t>end</w:t>
      </w:r>
      <w:r>
        <w:rPr>
          <w:spacing w:val="-5"/>
          <w:sz w:val="22"/>
        </w:rPr>
        <w:t> </w:t>
      </w:r>
      <w:r>
        <w:rPr>
          <w:sz w:val="22"/>
        </w:rPr>
        <w:t>May 31, 2018. During the Preparation Budget Period, CPs will utilize infrastructure dollars to invest in technology, workforce development, business startup costs and/or operational infrastructure. During the Preparation Budget Period, CSAs will utilize infrastructure dollars to invest in technology, workforce development and/or operational infrastructure.</w:t>
      </w:r>
    </w:p>
    <w:p>
      <w:pPr>
        <w:spacing w:line="240" w:lineRule="auto" w:before="158"/>
        <w:ind w:left="1220" w:right="1091" w:firstLine="0"/>
        <w:jc w:val="both"/>
        <w:rPr>
          <w:sz w:val="22"/>
        </w:rPr>
      </w:pPr>
      <w:r>
        <w:rPr>
          <w:sz w:val="22"/>
        </w:rPr>
        <w:t>CP</w:t>
      </w:r>
      <w:r>
        <w:rPr>
          <w:spacing w:val="-14"/>
          <w:sz w:val="22"/>
        </w:rPr>
        <w:t> </w:t>
      </w:r>
      <w:r>
        <w:rPr>
          <w:sz w:val="22"/>
        </w:rPr>
        <w:t>and</w:t>
      </w:r>
      <w:r>
        <w:rPr>
          <w:spacing w:val="-14"/>
          <w:sz w:val="22"/>
        </w:rPr>
        <w:t> </w:t>
      </w:r>
      <w:r>
        <w:rPr>
          <w:sz w:val="22"/>
        </w:rPr>
        <w:t>CSA</w:t>
      </w:r>
      <w:r>
        <w:rPr>
          <w:spacing w:val="-14"/>
          <w:sz w:val="22"/>
        </w:rPr>
        <w:t> </w:t>
      </w:r>
      <w:r>
        <w:rPr>
          <w:sz w:val="22"/>
        </w:rPr>
        <w:t>Budget</w:t>
      </w:r>
      <w:r>
        <w:rPr>
          <w:spacing w:val="-13"/>
          <w:sz w:val="22"/>
        </w:rPr>
        <w:t> </w:t>
      </w:r>
      <w:r>
        <w:rPr>
          <w:sz w:val="22"/>
        </w:rPr>
        <w:t>Period</w:t>
      </w:r>
      <w:r>
        <w:rPr>
          <w:spacing w:val="-14"/>
          <w:sz w:val="22"/>
        </w:rPr>
        <w:t> </w:t>
      </w:r>
      <w:r>
        <w:rPr>
          <w:sz w:val="22"/>
        </w:rPr>
        <w:t>1</w:t>
      </w:r>
      <w:r>
        <w:rPr>
          <w:spacing w:val="-14"/>
          <w:sz w:val="22"/>
        </w:rPr>
        <w:t> </w:t>
      </w:r>
      <w:r>
        <w:rPr>
          <w:sz w:val="22"/>
        </w:rPr>
        <w:t>will</w:t>
      </w:r>
      <w:r>
        <w:rPr>
          <w:spacing w:val="-14"/>
          <w:sz w:val="22"/>
        </w:rPr>
        <w:t> </w:t>
      </w:r>
      <w:r>
        <w:rPr>
          <w:sz w:val="22"/>
        </w:rPr>
        <w:t>be</w:t>
      </w:r>
      <w:r>
        <w:rPr>
          <w:spacing w:val="-13"/>
          <w:sz w:val="22"/>
        </w:rPr>
        <w:t> </w:t>
      </w:r>
      <w:r>
        <w:rPr>
          <w:sz w:val="22"/>
        </w:rPr>
        <w:t>seven</w:t>
      </w:r>
      <w:r>
        <w:rPr>
          <w:spacing w:val="-14"/>
          <w:sz w:val="22"/>
        </w:rPr>
        <w:t> </w:t>
      </w:r>
      <w:r>
        <w:rPr>
          <w:sz w:val="22"/>
        </w:rPr>
        <w:t>months</w:t>
      </w:r>
      <w:r>
        <w:rPr>
          <w:spacing w:val="-14"/>
          <w:sz w:val="22"/>
        </w:rPr>
        <w:t> </w:t>
      </w:r>
      <w:r>
        <w:rPr>
          <w:sz w:val="22"/>
        </w:rPr>
        <w:t>from</w:t>
      </w:r>
      <w:r>
        <w:rPr>
          <w:spacing w:val="-14"/>
          <w:sz w:val="22"/>
        </w:rPr>
        <w:t> </w:t>
      </w:r>
      <w:r>
        <w:rPr>
          <w:sz w:val="22"/>
        </w:rPr>
        <w:t>June</w:t>
      </w:r>
      <w:r>
        <w:rPr>
          <w:spacing w:val="-13"/>
          <w:sz w:val="22"/>
        </w:rPr>
        <w:t> </w:t>
      </w:r>
      <w:r>
        <w:rPr>
          <w:sz w:val="22"/>
        </w:rPr>
        <w:t>1,</w:t>
      </w:r>
      <w:r>
        <w:rPr>
          <w:spacing w:val="-14"/>
          <w:sz w:val="22"/>
        </w:rPr>
        <w:t> </w:t>
      </w:r>
      <w:r>
        <w:rPr>
          <w:sz w:val="22"/>
        </w:rPr>
        <w:t>2018</w:t>
      </w:r>
      <w:r>
        <w:rPr>
          <w:spacing w:val="-14"/>
          <w:sz w:val="22"/>
        </w:rPr>
        <w:t> </w:t>
      </w:r>
      <w:r>
        <w:rPr>
          <w:sz w:val="22"/>
        </w:rPr>
        <w:t>to</w:t>
      </w:r>
      <w:r>
        <w:rPr>
          <w:spacing w:val="-14"/>
          <w:sz w:val="22"/>
        </w:rPr>
        <w:t> </w:t>
      </w:r>
      <w:r>
        <w:rPr>
          <w:sz w:val="22"/>
        </w:rPr>
        <w:t>December</w:t>
      </w:r>
      <w:r>
        <w:rPr>
          <w:spacing w:val="-13"/>
          <w:sz w:val="22"/>
        </w:rPr>
        <w:t> </w:t>
      </w:r>
      <w:r>
        <w:rPr>
          <w:sz w:val="22"/>
        </w:rPr>
        <w:t>31,</w:t>
      </w:r>
      <w:r>
        <w:rPr>
          <w:spacing w:val="-14"/>
          <w:sz w:val="22"/>
        </w:rPr>
        <w:t> </w:t>
      </w:r>
      <w:r>
        <w:rPr>
          <w:sz w:val="22"/>
        </w:rPr>
        <w:t>2018.</w:t>
      </w:r>
      <w:r>
        <w:rPr>
          <w:spacing w:val="-14"/>
          <w:sz w:val="22"/>
        </w:rPr>
        <w:t> </w:t>
      </w:r>
      <w:r>
        <w:rPr>
          <w:sz w:val="22"/>
        </w:rPr>
        <w:t>The</w:t>
      </w:r>
      <w:r>
        <w:rPr>
          <w:spacing w:val="-14"/>
          <w:sz w:val="22"/>
        </w:rPr>
        <w:t> </w:t>
      </w:r>
      <w:r>
        <w:rPr>
          <w:sz w:val="22"/>
        </w:rPr>
        <w:t>remaining four budget periods (BP 2-5) will each last for one full calendar year, with Budget Period 2 beginning January 1, 2019 and ending December 31, 2019, etc. If the State changes the schedule for CP and CSA performance years, the State may adjust the CP and CSA Budget Periods to align with the performance years. Please see Exhibit 3 for the anticipated schedule of the DSRIP CP and CSA Budget Periods.</w:t>
      </w:r>
    </w:p>
    <w:p>
      <w:pPr>
        <w:spacing w:after="0" w:line="240" w:lineRule="auto"/>
        <w:jc w:val="both"/>
        <w:rPr>
          <w:sz w:val="22"/>
        </w:rPr>
        <w:sectPr>
          <w:pgSz w:w="12240" w:h="15840"/>
          <w:pgMar w:header="0" w:footer="967" w:top="1360" w:bottom="1160" w:left="220" w:right="340"/>
        </w:sectPr>
      </w:pPr>
    </w:p>
    <w:p>
      <w:pPr>
        <w:tabs>
          <w:tab w:pos="1219" w:val="left" w:leader="none"/>
          <w:tab w:pos="11417" w:val="left" w:leader="none"/>
        </w:tabs>
        <w:spacing w:before="78"/>
        <w:ind w:left="382" w:right="0" w:firstLine="0"/>
        <w:jc w:val="left"/>
        <w:rPr>
          <w:sz w:val="22"/>
        </w:rPr>
      </w:pPr>
      <w:r>
        <w:rPr>
          <w:sz w:val="22"/>
          <w:u w:val="single"/>
        </w:rPr>
        <w:tab/>
        <w:t>EXHIBIT</w:t>
      </w:r>
      <w:r>
        <w:rPr>
          <w:spacing w:val="-4"/>
          <w:sz w:val="22"/>
          <w:u w:val="single"/>
        </w:rPr>
        <w:t> </w:t>
      </w:r>
      <w:r>
        <w:rPr>
          <w:sz w:val="22"/>
          <w:u w:val="single"/>
        </w:rPr>
        <w:t>3</w:t>
      </w:r>
      <w:r>
        <w:rPr>
          <w:spacing w:val="-4"/>
          <w:sz w:val="22"/>
          <w:u w:val="single"/>
        </w:rPr>
        <w:t> </w:t>
      </w:r>
      <w:r>
        <w:rPr>
          <w:sz w:val="22"/>
          <w:u w:val="single"/>
        </w:rPr>
        <w:t>–</w:t>
      </w:r>
      <w:r>
        <w:rPr>
          <w:spacing w:val="-4"/>
          <w:sz w:val="22"/>
          <w:u w:val="single"/>
        </w:rPr>
        <w:t> </w:t>
      </w:r>
      <w:r>
        <w:rPr>
          <w:sz w:val="22"/>
          <w:u w:val="single"/>
        </w:rPr>
        <w:t>Schedule</w:t>
      </w:r>
      <w:r>
        <w:rPr>
          <w:spacing w:val="-4"/>
          <w:sz w:val="22"/>
          <w:u w:val="single"/>
        </w:rPr>
        <w:t> </w:t>
      </w:r>
      <w:r>
        <w:rPr>
          <w:sz w:val="22"/>
          <w:u w:val="single"/>
        </w:rPr>
        <w:t>of</w:t>
      </w:r>
      <w:r>
        <w:rPr>
          <w:spacing w:val="-5"/>
          <w:sz w:val="22"/>
          <w:u w:val="single"/>
        </w:rPr>
        <w:t> </w:t>
      </w:r>
      <w:r>
        <w:rPr>
          <w:sz w:val="22"/>
          <w:u w:val="single"/>
        </w:rPr>
        <w:t>DSRIP</w:t>
      </w:r>
      <w:r>
        <w:rPr>
          <w:spacing w:val="-5"/>
          <w:sz w:val="22"/>
          <w:u w:val="single"/>
        </w:rPr>
        <w:t> </w:t>
      </w:r>
      <w:r>
        <w:rPr>
          <w:sz w:val="22"/>
          <w:u w:val="single"/>
        </w:rPr>
        <w:t>CP/CSAs</w:t>
      </w:r>
      <w:r>
        <w:rPr>
          <w:spacing w:val="-4"/>
          <w:sz w:val="22"/>
          <w:u w:val="single"/>
        </w:rPr>
        <w:t> </w:t>
      </w:r>
      <w:r>
        <w:rPr>
          <w:sz w:val="22"/>
          <w:u w:val="single"/>
        </w:rPr>
        <w:t>Budget</w:t>
      </w:r>
      <w:r>
        <w:rPr>
          <w:spacing w:val="-2"/>
          <w:sz w:val="22"/>
          <w:u w:val="single"/>
        </w:rPr>
        <w:t> Periods</w:t>
      </w:r>
      <w:r>
        <w:rPr>
          <w:sz w:val="22"/>
          <w:u w:val="single"/>
        </w:rPr>
        <w:tab/>
      </w:r>
    </w:p>
    <w:p>
      <w:pPr>
        <w:pStyle w:val="BodyText"/>
        <w:spacing w:before="5" w:after="1"/>
      </w:pPr>
    </w:p>
    <w:tbl>
      <w:tblPr>
        <w:tblW w:w="0" w:type="auto"/>
        <w:jc w:val="left"/>
        <w:tblInd w:w="535"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CellMar>
          <w:top w:w="0" w:type="dxa"/>
          <w:left w:w="0" w:type="dxa"/>
          <w:bottom w:w="0" w:type="dxa"/>
          <w:right w:w="0" w:type="dxa"/>
        </w:tblCellMar>
        <w:tblLook w:val="01E0"/>
      </w:tblPr>
      <w:tblGrid>
        <w:gridCol w:w="469"/>
        <w:gridCol w:w="469"/>
        <w:gridCol w:w="469"/>
        <w:gridCol w:w="321"/>
        <w:gridCol w:w="161"/>
        <w:gridCol w:w="593"/>
        <w:gridCol w:w="593"/>
        <w:gridCol w:w="470"/>
        <w:gridCol w:w="470"/>
        <w:gridCol w:w="470"/>
        <w:gridCol w:w="470"/>
        <w:gridCol w:w="470"/>
        <w:gridCol w:w="470"/>
        <w:gridCol w:w="470"/>
        <w:gridCol w:w="470"/>
        <w:gridCol w:w="470"/>
        <w:gridCol w:w="470"/>
        <w:gridCol w:w="470"/>
        <w:gridCol w:w="470"/>
        <w:gridCol w:w="470"/>
        <w:gridCol w:w="470"/>
        <w:gridCol w:w="470"/>
        <w:gridCol w:w="464"/>
      </w:tblGrid>
      <w:tr>
        <w:trPr>
          <w:trHeight w:val="230" w:hRule="atLeast"/>
        </w:trPr>
        <w:tc>
          <w:tcPr>
            <w:tcW w:w="938" w:type="dxa"/>
            <w:gridSpan w:val="2"/>
            <w:shd w:val="clear" w:color="auto" w:fill="1F487C"/>
          </w:tcPr>
          <w:p>
            <w:pPr>
              <w:pStyle w:val="TableParagraph"/>
              <w:spacing w:line="161" w:lineRule="exact" w:before="49"/>
              <w:ind w:left="257"/>
              <w:rPr>
                <w:rFonts w:ascii="Calibri"/>
                <w:b/>
                <w:sz w:val="14"/>
              </w:rPr>
            </w:pPr>
            <w:r>
              <w:rPr>
                <w:rFonts w:ascii="Calibri"/>
                <w:b/>
                <w:color w:val="FFFFFF"/>
                <w:spacing w:val="-2"/>
                <w:w w:val="105"/>
                <w:sz w:val="14"/>
              </w:rPr>
              <w:t>CY2017</w:t>
            </w:r>
          </w:p>
        </w:tc>
        <w:tc>
          <w:tcPr>
            <w:tcW w:w="2137" w:type="dxa"/>
            <w:gridSpan w:val="5"/>
            <w:shd w:val="clear" w:color="auto" w:fill="1F487C"/>
          </w:tcPr>
          <w:p>
            <w:pPr>
              <w:pStyle w:val="TableParagraph"/>
              <w:spacing w:line="161" w:lineRule="exact" w:before="49"/>
              <w:ind w:left="831" w:right="810"/>
              <w:jc w:val="center"/>
              <w:rPr>
                <w:rFonts w:ascii="Calibri"/>
                <w:b/>
                <w:sz w:val="14"/>
              </w:rPr>
            </w:pPr>
            <w:r>
              <w:rPr>
                <w:rFonts w:ascii="Calibri"/>
                <w:b/>
                <w:color w:val="FFFFFF"/>
                <w:spacing w:val="-2"/>
                <w:w w:val="105"/>
                <w:sz w:val="14"/>
              </w:rPr>
              <w:t>CY2018</w:t>
            </w:r>
          </w:p>
        </w:tc>
        <w:tc>
          <w:tcPr>
            <w:tcW w:w="1880" w:type="dxa"/>
            <w:gridSpan w:val="4"/>
            <w:shd w:val="clear" w:color="auto" w:fill="1F487C"/>
          </w:tcPr>
          <w:p>
            <w:pPr>
              <w:pStyle w:val="TableParagraph"/>
              <w:spacing w:line="161" w:lineRule="exact" w:before="49"/>
              <w:ind w:left="629" w:right="603"/>
              <w:jc w:val="center"/>
              <w:rPr>
                <w:rFonts w:ascii="Calibri"/>
                <w:b/>
                <w:sz w:val="14"/>
              </w:rPr>
            </w:pPr>
            <w:r>
              <w:rPr>
                <w:rFonts w:ascii="Calibri"/>
                <w:b/>
                <w:color w:val="FFFFFF"/>
                <w:spacing w:val="-2"/>
                <w:w w:val="105"/>
                <w:sz w:val="14"/>
              </w:rPr>
              <w:t>CY2019</w:t>
            </w:r>
          </w:p>
        </w:tc>
        <w:tc>
          <w:tcPr>
            <w:tcW w:w="1880" w:type="dxa"/>
            <w:gridSpan w:val="4"/>
            <w:shd w:val="clear" w:color="auto" w:fill="1F487C"/>
          </w:tcPr>
          <w:p>
            <w:pPr>
              <w:pStyle w:val="TableParagraph"/>
              <w:spacing w:line="161" w:lineRule="exact" w:before="49"/>
              <w:ind w:left="629" w:right="613"/>
              <w:jc w:val="center"/>
              <w:rPr>
                <w:rFonts w:ascii="Calibri"/>
                <w:b/>
                <w:sz w:val="14"/>
              </w:rPr>
            </w:pPr>
            <w:r>
              <w:rPr>
                <w:rFonts w:ascii="Calibri"/>
                <w:b/>
                <w:color w:val="FFFFFF"/>
                <w:spacing w:val="-2"/>
                <w:w w:val="105"/>
                <w:sz w:val="14"/>
              </w:rPr>
              <w:t>CY2020</w:t>
            </w:r>
          </w:p>
        </w:tc>
        <w:tc>
          <w:tcPr>
            <w:tcW w:w="1880" w:type="dxa"/>
            <w:gridSpan w:val="4"/>
            <w:shd w:val="clear" w:color="auto" w:fill="1F487C"/>
          </w:tcPr>
          <w:p>
            <w:pPr>
              <w:pStyle w:val="TableParagraph"/>
              <w:spacing w:line="161" w:lineRule="exact" w:before="49"/>
              <w:ind w:left="629" w:right="622"/>
              <w:jc w:val="center"/>
              <w:rPr>
                <w:rFonts w:ascii="Calibri"/>
                <w:b/>
                <w:sz w:val="14"/>
              </w:rPr>
            </w:pPr>
            <w:r>
              <w:rPr>
                <w:rFonts w:ascii="Calibri"/>
                <w:b/>
                <w:color w:val="FFFFFF"/>
                <w:spacing w:val="-2"/>
                <w:w w:val="105"/>
                <w:sz w:val="14"/>
              </w:rPr>
              <w:t>CY2021</w:t>
            </w:r>
          </w:p>
        </w:tc>
        <w:tc>
          <w:tcPr>
            <w:tcW w:w="1874" w:type="dxa"/>
            <w:gridSpan w:val="4"/>
            <w:tcBorders>
              <w:right w:val="single" w:sz="12" w:space="0" w:color="BEBEBE"/>
            </w:tcBorders>
            <w:shd w:val="clear" w:color="auto" w:fill="1F487C"/>
          </w:tcPr>
          <w:p>
            <w:pPr>
              <w:pStyle w:val="TableParagraph"/>
              <w:spacing w:line="161" w:lineRule="exact" w:before="49"/>
              <w:ind w:left="685" w:right="674"/>
              <w:jc w:val="center"/>
              <w:rPr>
                <w:rFonts w:ascii="Calibri"/>
                <w:b/>
                <w:sz w:val="14"/>
              </w:rPr>
            </w:pPr>
            <w:r>
              <w:rPr>
                <w:rFonts w:ascii="Calibri"/>
                <w:b/>
                <w:color w:val="FFFFFF"/>
                <w:spacing w:val="-2"/>
                <w:w w:val="105"/>
                <w:sz w:val="14"/>
              </w:rPr>
              <w:t>CY2022</w:t>
            </w:r>
          </w:p>
        </w:tc>
      </w:tr>
      <w:tr>
        <w:trPr>
          <w:trHeight w:val="230" w:hRule="atLeast"/>
        </w:trPr>
        <w:tc>
          <w:tcPr>
            <w:tcW w:w="469" w:type="dxa"/>
            <w:shd w:val="clear" w:color="auto" w:fill="D9D9D9"/>
          </w:tcPr>
          <w:p>
            <w:pPr>
              <w:pStyle w:val="TableParagraph"/>
              <w:spacing w:before="37"/>
              <w:ind w:left="146"/>
              <w:rPr>
                <w:rFonts w:ascii="Calibri"/>
                <w:sz w:val="14"/>
              </w:rPr>
            </w:pPr>
            <w:r>
              <w:rPr>
                <w:rFonts w:ascii="Calibri"/>
                <w:spacing w:val="-5"/>
                <w:w w:val="105"/>
                <w:sz w:val="14"/>
              </w:rPr>
              <w:t>Q3</w:t>
            </w:r>
          </w:p>
        </w:tc>
        <w:tc>
          <w:tcPr>
            <w:tcW w:w="469" w:type="dxa"/>
            <w:shd w:val="clear" w:color="auto" w:fill="D9D9D9"/>
          </w:tcPr>
          <w:p>
            <w:pPr>
              <w:pStyle w:val="TableParagraph"/>
              <w:spacing w:before="37"/>
              <w:ind w:left="146"/>
              <w:rPr>
                <w:rFonts w:ascii="Calibri"/>
                <w:sz w:val="14"/>
              </w:rPr>
            </w:pPr>
            <w:r>
              <w:rPr>
                <w:rFonts w:ascii="Calibri"/>
                <w:spacing w:val="-5"/>
                <w:w w:val="105"/>
                <w:sz w:val="14"/>
              </w:rPr>
              <w:t>Q4</w:t>
            </w:r>
          </w:p>
        </w:tc>
        <w:tc>
          <w:tcPr>
            <w:tcW w:w="469" w:type="dxa"/>
            <w:shd w:val="clear" w:color="auto" w:fill="D9D9D9"/>
          </w:tcPr>
          <w:p>
            <w:pPr>
              <w:pStyle w:val="TableParagraph"/>
              <w:spacing w:before="37"/>
              <w:ind w:left="146"/>
              <w:rPr>
                <w:rFonts w:ascii="Calibri"/>
                <w:sz w:val="14"/>
              </w:rPr>
            </w:pPr>
            <w:r>
              <w:rPr>
                <w:rFonts w:ascii="Calibri"/>
                <w:spacing w:val="-5"/>
                <w:w w:val="105"/>
                <w:sz w:val="14"/>
              </w:rPr>
              <w:t>Q1</w:t>
            </w:r>
          </w:p>
        </w:tc>
        <w:tc>
          <w:tcPr>
            <w:tcW w:w="482" w:type="dxa"/>
            <w:gridSpan w:val="2"/>
            <w:shd w:val="clear" w:color="auto" w:fill="D9D9D9"/>
          </w:tcPr>
          <w:p>
            <w:pPr>
              <w:pStyle w:val="TableParagraph"/>
              <w:spacing w:before="25"/>
              <w:ind w:left="158"/>
              <w:rPr>
                <w:rFonts w:ascii="Calibri"/>
                <w:sz w:val="14"/>
              </w:rPr>
            </w:pPr>
            <w:r>
              <w:rPr>
                <w:rFonts w:ascii="Calibri"/>
                <w:spacing w:val="-5"/>
                <w:w w:val="105"/>
                <w:sz w:val="14"/>
              </w:rPr>
              <w:t>Q2</w:t>
            </w:r>
          </w:p>
        </w:tc>
        <w:tc>
          <w:tcPr>
            <w:tcW w:w="593" w:type="dxa"/>
            <w:shd w:val="clear" w:color="auto" w:fill="D9D9D9"/>
          </w:tcPr>
          <w:p>
            <w:pPr>
              <w:pStyle w:val="TableParagraph"/>
              <w:spacing w:before="37"/>
              <w:ind w:left="190" w:right="181"/>
              <w:jc w:val="center"/>
              <w:rPr>
                <w:rFonts w:ascii="Calibri"/>
                <w:sz w:val="14"/>
              </w:rPr>
            </w:pPr>
            <w:r>
              <w:rPr>
                <w:rFonts w:ascii="Calibri"/>
                <w:spacing w:val="-5"/>
                <w:w w:val="105"/>
                <w:sz w:val="14"/>
              </w:rPr>
              <w:t>Q3</w:t>
            </w:r>
          </w:p>
        </w:tc>
        <w:tc>
          <w:tcPr>
            <w:tcW w:w="593" w:type="dxa"/>
            <w:shd w:val="clear" w:color="auto" w:fill="D9D9D9"/>
          </w:tcPr>
          <w:p>
            <w:pPr>
              <w:pStyle w:val="TableParagraph"/>
              <w:spacing w:before="37"/>
              <w:ind w:left="189" w:right="182"/>
              <w:jc w:val="center"/>
              <w:rPr>
                <w:rFonts w:ascii="Calibri"/>
                <w:sz w:val="14"/>
              </w:rPr>
            </w:pPr>
            <w:r>
              <w:rPr>
                <w:rFonts w:ascii="Calibri"/>
                <w:spacing w:val="-5"/>
                <w:w w:val="105"/>
                <w:sz w:val="14"/>
              </w:rPr>
              <w:t>Q4</w:t>
            </w:r>
          </w:p>
        </w:tc>
        <w:tc>
          <w:tcPr>
            <w:tcW w:w="470" w:type="dxa"/>
            <w:shd w:val="clear" w:color="auto" w:fill="D9D9D9"/>
          </w:tcPr>
          <w:p>
            <w:pPr>
              <w:pStyle w:val="TableParagraph"/>
              <w:spacing w:before="37"/>
              <w:ind w:left="143"/>
              <w:rPr>
                <w:rFonts w:ascii="Calibri"/>
                <w:sz w:val="14"/>
              </w:rPr>
            </w:pPr>
            <w:r>
              <w:rPr>
                <w:rFonts w:ascii="Calibri"/>
                <w:spacing w:val="-5"/>
                <w:w w:val="105"/>
                <w:sz w:val="14"/>
              </w:rPr>
              <w:t>Q1</w:t>
            </w:r>
          </w:p>
        </w:tc>
        <w:tc>
          <w:tcPr>
            <w:tcW w:w="470" w:type="dxa"/>
            <w:shd w:val="clear" w:color="auto" w:fill="D9D9D9"/>
          </w:tcPr>
          <w:p>
            <w:pPr>
              <w:pStyle w:val="TableParagraph"/>
              <w:spacing w:before="37"/>
              <w:ind w:left="142"/>
              <w:rPr>
                <w:rFonts w:ascii="Calibri"/>
                <w:sz w:val="14"/>
              </w:rPr>
            </w:pPr>
            <w:r>
              <w:rPr>
                <w:rFonts w:ascii="Calibri"/>
                <w:spacing w:val="-5"/>
                <w:w w:val="105"/>
                <w:sz w:val="14"/>
              </w:rPr>
              <w:t>Q2</w:t>
            </w:r>
          </w:p>
        </w:tc>
        <w:tc>
          <w:tcPr>
            <w:tcW w:w="470" w:type="dxa"/>
            <w:shd w:val="clear" w:color="auto" w:fill="D9D9D9"/>
          </w:tcPr>
          <w:p>
            <w:pPr>
              <w:pStyle w:val="TableParagraph"/>
              <w:spacing w:before="37"/>
              <w:ind w:left="141"/>
              <w:rPr>
                <w:rFonts w:ascii="Calibri"/>
                <w:sz w:val="14"/>
              </w:rPr>
            </w:pPr>
            <w:r>
              <w:rPr>
                <w:rFonts w:ascii="Calibri"/>
                <w:spacing w:val="-5"/>
                <w:w w:val="105"/>
                <w:sz w:val="14"/>
              </w:rPr>
              <w:t>Q3</w:t>
            </w:r>
          </w:p>
        </w:tc>
        <w:tc>
          <w:tcPr>
            <w:tcW w:w="470" w:type="dxa"/>
            <w:shd w:val="clear" w:color="auto" w:fill="D9D9D9"/>
          </w:tcPr>
          <w:p>
            <w:pPr>
              <w:pStyle w:val="TableParagraph"/>
              <w:spacing w:before="37"/>
              <w:ind w:left="140"/>
              <w:rPr>
                <w:rFonts w:ascii="Calibri"/>
                <w:sz w:val="14"/>
              </w:rPr>
            </w:pPr>
            <w:r>
              <w:rPr>
                <w:rFonts w:ascii="Calibri"/>
                <w:spacing w:val="-5"/>
                <w:w w:val="105"/>
                <w:sz w:val="14"/>
              </w:rPr>
              <w:t>Q4</w:t>
            </w:r>
          </w:p>
        </w:tc>
        <w:tc>
          <w:tcPr>
            <w:tcW w:w="470" w:type="dxa"/>
            <w:shd w:val="clear" w:color="auto" w:fill="D9D9D9"/>
          </w:tcPr>
          <w:p>
            <w:pPr>
              <w:pStyle w:val="TableParagraph"/>
              <w:spacing w:before="37"/>
              <w:ind w:left="139"/>
              <w:rPr>
                <w:rFonts w:ascii="Calibri"/>
                <w:sz w:val="14"/>
              </w:rPr>
            </w:pPr>
            <w:r>
              <w:rPr>
                <w:rFonts w:ascii="Calibri"/>
                <w:spacing w:val="-5"/>
                <w:w w:val="105"/>
                <w:sz w:val="14"/>
              </w:rPr>
              <w:t>Q1</w:t>
            </w:r>
          </w:p>
        </w:tc>
        <w:tc>
          <w:tcPr>
            <w:tcW w:w="470" w:type="dxa"/>
            <w:shd w:val="clear" w:color="auto" w:fill="D9D9D9"/>
          </w:tcPr>
          <w:p>
            <w:pPr>
              <w:pStyle w:val="TableParagraph"/>
              <w:spacing w:before="37"/>
              <w:ind w:left="137"/>
              <w:rPr>
                <w:rFonts w:ascii="Calibri"/>
                <w:sz w:val="14"/>
              </w:rPr>
            </w:pPr>
            <w:r>
              <w:rPr>
                <w:rFonts w:ascii="Calibri"/>
                <w:spacing w:val="-5"/>
                <w:w w:val="105"/>
                <w:sz w:val="14"/>
              </w:rPr>
              <w:t>Q2</w:t>
            </w:r>
          </w:p>
        </w:tc>
        <w:tc>
          <w:tcPr>
            <w:tcW w:w="470" w:type="dxa"/>
            <w:shd w:val="clear" w:color="auto" w:fill="D9D9D9"/>
          </w:tcPr>
          <w:p>
            <w:pPr>
              <w:pStyle w:val="TableParagraph"/>
              <w:spacing w:before="37"/>
              <w:ind w:left="136"/>
              <w:rPr>
                <w:rFonts w:ascii="Calibri"/>
                <w:sz w:val="14"/>
              </w:rPr>
            </w:pPr>
            <w:r>
              <w:rPr>
                <w:rFonts w:ascii="Calibri"/>
                <w:spacing w:val="-5"/>
                <w:w w:val="105"/>
                <w:sz w:val="14"/>
              </w:rPr>
              <w:t>Q3</w:t>
            </w:r>
          </w:p>
        </w:tc>
        <w:tc>
          <w:tcPr>
            <w:tcW w:w="470" w:type="dxa"/>
            <w:shd w:val="clear" w:color="auto" w:fill="D9D9D9"/>
          </w:tcPr>
          <w:p>
            <w:pPr>
              <w:pStyle w:val="TableParagraph"/>
              <w:spacing w:before="37"/>
              <w:ind w:left="135"/>
              <w:rPr>
                <w:rFonts w:ascii="Calibri"/>
                <w:sz w:val="14"/>
              </w:rPr>
            </w:pPr>
            <w:r>
              <w:rPr>
                <w:rFonts w:ascii="Calibri"/>
                <w:spacing w:val="-5"/>
                <w:w w:val="105"/>
                <w:sz w:val="14"/>
              </w:rPr>
              <w:t>Q4</w:t>
            </w:r>
          </w:p>
        </w:tc>
        <w:tc>
          <w:tcPr>
            <w:tcW w:w="470" w:type="dxa"/>
            <w:shd w:val="clear" w:color="auto" w:fill="D9D9D9"/>
          </w:tcPr>
          <w:p>
            <w:pPr>
              <w:pStyle w:val="TableParagraph"/>
              <w:spacing w:before="37"/>
              <w:ind w:left="134"/>
              <w:rPr>
                <w:rFonts w:ascii="Calibri"/>
                <w:sz w:val="14"/>
              </w:rPr>
            </w:pPr>
            <w:r>
              <w:rPr>
                <w:rFonts w:ascii="Calibri"/>
                <w:spacing w:val="-5"/>
                <w:w w:val="105"/>
                <w:sz w:val="14"/>
              </w:rPr>
              <w:t>Q1</w:t>
            </w:r>
          </w:p>
        </w:tc>
        <w:tc>
          <w:tcPr>
            <w:tcW w:w="470" w:type="dxa"/>
            <w:shd w:val="clear" w:color="auto" w:fill="D9D9D9"/>
          </w:tcPr>
          <w:p>
            <w:pPr>
              <w:pStyle w:val="TableParagraph"/>
              <w:spacing w:before="37"/>
              <w:ind w:left="133"/>
              <w:rPr>
                <w:rFonts w:ascii="Calibri"/>
                <w:sz w:val="14"/>
              </w:rPr>
            </w:pPr>
            <w:r>
              <w:rPr>
                <w:rFonts w:ascii="Calibri"/>
                <w:spacing w:val="-5"/>
                <w:w w:val="105"/>
                <w:sz w:val="14"/>
              </w:rPr>
              <w:t>Q2</w:t>
            </w:r>
          </w:p>
        </w:tc>
        <w:tc>
          <w:tcPr>
            <w:tcW w:w="470" w:type="dxa"/>
            <w:shd w:val="clear" w:color="auto" w:fill="D9D9D9"/>
          </w:tcPr>
          <w:p>
            <w:pPr>
              <w:pStyle w:val="TableParagraph"/>
              <w:spacing w:before="37"/>
              <w:ind w:left="132"/>
              <w:rPr>
                <w:rFonts w:ascii="Calibri"/>
                <w:sz w:val="14"/>
              </w:rPr>
            </w:pPr>
            <w:r>
              <w:rPr>
                <w:rFonts w:ascii="Calibri"/>
                <w:spacing w:val="-5"/>
                <w:w w:val="105"/>
                <w:sz w:val="14"/>
              </w:rPr>
              <w:t>Q3</w:t>
            </w:r>
          </w:p>
        </w:tc>
        <w:tc>
          <w:tcPr>
            <w:tcW w:w="470" w:type="dxa"/>
            <w:shd w:val="clear" w:color="auto" w:fill="D9D9D9"/>
          </w:tcPr>
          <w:p>
            <w:pPr>
              <w:pStyle w:val="TableParagraph"/>
              <w:spacing w:before="37"/>
              <w:ind w:left="130"/>
              <w:rPr>
                <w:rFonts w:ascii="Calibri"/>
                <w:sz w:val="14"/>
              </w:rPr>
            </w:pPr>
            <w:r>
              <w:rPr>
                <w:rFonts w:ascii="Calibri"/>
                <w:spacing w:val="-5"/>
                <w:w w:val="105"/>
                <w:sz w:val="14"/>
              </w:rPr>
              <w:t>Q4</w:t>
            </w:r>
          </w:p>
        </w:tc>
        <w:tc>
          <w:tcPr>
            <w:tcW w:w="470" w:type="dxa"/>
            <w:shd w:val="clear" w:color="auto" w:fill="D9D9D9"/>
          </w:tcPr>
          <w:p>
            <w:pPr>
              <w:pStyle w:val="TableParagraph"/>
              <w:spacing w:before="37"/>
              <w:ind w:left="129"/>
              <w:rPr>
                <w:rFonts w:ascii="Calibri"/>
                <w:sz w:val="14"/>
              </w:rPr>
            </w:pPr>
            <w:r>
              <w:rPr>
                <w:rFonts w:ascii="Calibri"/>
                <w:spacing w:val="-5"/>
                <w:w w:val="105"/>
                <w:sz w:val="14"/>
              </w:rPr>
              <w:t>Q1</w:t>
            </w:r>
          </w:p>
        </w:tc>
        <w:tc>
          <w:tcPr>
            <w:tcW w:w="470" w:type="dxa"/>
            <w:shd w:val="clear" w:color="auto" w:fill="D9D9D9"/>
          </w:tcPr>
          <w:p>
            <w:pPr>
              <w:pStyle w:val="TableParagraph"/>
              <w:spacing w:before="37"/>
              <w:ind w:left="128"/>
              <w:rPr>
                <w:rFonts w:ascii="Calibri"/>
                <w:sz w:val="14"/>
              </w:rPr>
            </w:pPr>
            <w:r>
              <w:rPr>
                <w:rFonts w:ascii="Calibri"/>
                <w:spacing w:val="-5"/>
                <w:w w:val="105"/>
                <w:sz w:val="14"/>
              </w:rPr>
              <w:t>Q2</w:t>
            </w:r>
          </w:p>
        </w:tc>
        <w:tc>
          <w:tcPr>
            <w:tcW w:w="470" w:type="dxa"/>
            <w:shd w:val="clear" w:color="auto" w:fill="D9D9D9"/>
          </w:tcPr>
          <w:p>
            <w:pPr>
              <w:pStyle w:val="TableParagraph"/>
              <w:spacing w:before="37"/>
              <w:ind w:left="127"/>
              <w:rPr>
                <w:rFonts w:ascii="Calibri"/>
                <w:sz w:val="14"/>
              </w:rPr>
            </w:pPr>
            <w:r>
              <w:rPr>
                <w:rFonts w:ascii="Calibri"/>
                <w:spacing w:val="-5"/>
                <w:w w:val="105"/>
                <w:sz w:val="14"/>
              </w:rPr>
              <w:t>Q3</w:t>
            </w:r>
          </w:p>
        </w:tc>
        <w:tc>
          <w:tcPr>
            <w:tcW w:w="464" w:type="dxa"/>
            <w:tcBorders>
              <w:right w:val="single" w:sz="12" w:space="0" w:color="BEBEBE"/>
            </w:tcBorders>
            <w:shd w:val="clear" w:color="auto" w:fill="D9D9D9"/>
          </w:tcPr>
          <w:p>
            <w:pPr>
              <w:pStyle w:val="TableParagraph"/>
              <w:spacing w:before="37"/>
              <w:ind w:left="126"/>
              <w:rPr>
                <w:rFonts w:ascii="Calibri"/>
                <w:sz w:val="14"/>
              </w:rPr>
            </w:pPr>
            <w:r>
              <w:rPr>
                <w:rFonts w:ascii="Calibri"/>
                <w:spacing w:val="-5"/>
                <w:w w:val="105"/>
                <w:sz w:val="14"/>
              </w:rPr>
              <w:t>Q4</w:t>
            </w:r>
          </w:p>
        </w:tc>
      </w:tr>
      <w:tr>
        <w:trPr>
          <w:trHeight w:val="476" w:hRule="atLeast"/>
        </w:trPr>
        <w:tc>
          <w:tcPr>
            <w:tcW w:w="1889" w:type="dxa"/>
            <w:gridSpan w:val="5"/>
          </w:tcPr>
          <w:p>
            <w:pPr>
              <w:pStyle w:val="TableParagraph"/>
              <w:spacing w:before="9"/>
              <w:rPr>
                <w:sz w:val="12"/>
              </w:rPr>
            </w:pPr>
          </w:p>
          <w:p>
            <w:pPr>
              <w:pStyle w:val="TableParagraph"/>
              <w:spacing w:before="1"/>
              <w:ind w:left="159"/>
              <w:rPr>
                <w:rFonts w:ascii="Calibri"/>
                <w:sz w:val="14"/>
              </w:rPr>
            </w:pPr>
            <w:r>
              <w:rPr>
                <w:rFonts w:ascii="Calibri"/>
                <w:w w:val="105"/>
                <w:sz w:val="14"/>
              </w:rPr>
              <w:t>Sta</w:t>
            </w:r>
            <w:r>
              <w:rPr>
                <w:rFonts w:ascii="Calibri"/>
                <w:spacing w:val="-15"/>
                <w:w w:val="105"/>
                <w:sz w:val="14"/>
              </w:rPr>
              <w:t> </w:t>
            </w:r>
            <w:r>
              <w:rPr>
                <w:rFonts w:ascii="Calibri"/>
                <w:w w:val="105"/>
                <w:sz w:val="14"/>
              </w:rPr>
              <w:t>te</w:t>
            </w:r>
            <w:r>
              <w:rPr>
                <w:rFonts w:ascii="Calibri"/>
                <w:spacing w:val="31"/>
                <w:w w:val="105"/>
                <w:sz w:val="14"/>
              </w:rPr>
              <w:t> </w:t>
            </w:r>
            <w:r>
              <w:rPr>
                <w:rFonts w:ascii="Calibri"/>
                <w:w w:val="105"/>
                <w:sz w:val="14"/>
              </w:rPr>
              <w:t>Demons</w:t>
            </w:r>
            <w:r>
              <w:rPr>
                <w:rFonts w:ascii="Calibri"/>
                <w:spacing w:val="-13"/>
                <w:w w:val="105"/>
                <w:sz w:val="14"/>
              </w:rPr>
              <w:t> </w:t>
            </w:r>
            <w:r>
              <w:rPr>
                <w:rFonts w:ascii="Calibri"/>
                <w:w w:val="105"/>
                <w:sz w:val="14"/>
              </w:rPr>
              <w:t>tra</w:t>
            </w:r>
            <w:r>
              <w:rPr>
                <w:rFonts w:ascii="Calibri"/>
                <w:spacing w:val="-14"/>
                <w:w w:val="105"/>
                <w:sz w:val="14"/>
              </w:rPr>
              <w:t> </w:t>
            </w:r>
            <w:r>
              <w:rPr>
                <w:rFonts w:ascii="Calibri"/>
                <w:w w:val="105"/>
                <w:sz w:val="14"/>
              </w:rPr>
              <w:t>ti</w:t>
            </w:r>
            <w:r>
              <w:rPr>
                <w:rFonts w:ascii="Calibri"/>
                <w:spacing w:val="-14"/>
                <w:w w:val="105"/>
                <w:sz w:val="14"/>
              </w:rPr>
              <w:t> </w:t>
            </w:r>
            <w:r>
              <w:rPr>
                <w:rFonts w:ascii="Calibri"/>
                <w:w w:val="105"/>
                <w:sz w:val="14"/>
              </w:rPr>
              <w:t>on</w:t>
            </w:r>
            <w:r>
              <w:rPr>
                <w:rFonts w:ascii="Calibri"/>
                <w:spacing w:val="25"/>
                <w:w w:val="105"/>
                <w:sz w:val="14"/>
              </w:rPr>
              <w:t> </w:t>
            </w:r>
            <w:r>
              <w:rPr>
                <w:rFonts w:ascii="Calibri"/>
                <w:spacing w:val="-5"/>
                <w:w w:val="105"/>
                <w:sz w:val="14"/>
              </w:rPr>
              <w:t>Y1</w:t>
            </w:r>
          </w:p>
        </w:tc>
        <w:tc>
          <w:tcPr>
            <w:tcW w:w="2126" w:type="dxa"/>
            <w:gridSpan w:val="4"/>
          </w:tcPr>
          <w:p>
            <w:pPr>
              <w:pStyle w:val="TableParagraph"/>
              <w:spacing w:before="9"/>
              <w:rPr>
                <w:sz w:val="12"/>
              </w:rPr>
            </w:pPr>
          </w:p>
          <w:p>
            <w:pPr>
              <w:pStyle w:val="TableParagraph"/>
              <w:spacing w:before="1"/>
              <w:ind w:left="764" w:right="744"/>
              <w:jc w:val="center"/>
              <w:rPr>
                <w:rFonts w:ascii="Calibri"/>
                <w:sz w:val="14"/>
              </w:rPr>
            </w:pPr>
            <w:r>
              <w:rPr>
                <w:rFonts w:ascii="Calibri"/>
                <w:w w:val="105"/>
                <w:sz w:val="14"/>
              </w:rPr>
              <w:t>Demo</w:t>
            </w:r>
            <w:r>
              <w:rPr>
                <w:rFonts w:ascii="Calibri"/>
                <w:spacing w:val="35"/>
                <w:w w:val="105"/>
                <w:sz w:val="14"/>
              </w:rPr>
              <w:t> </w:t>
            </w:r>
            <w:r>
              <w:rPr>
                <w:rFonts w:ascii="Calibri"/>
                <w:spacing w:val="-5"/>
                <w:w w:val="105"/>
                <w:sz w:val="14"/>
              </w:rPr>
              <w:t>Y2</w:t>
            </w:r>
          </w:p>
        </w:tc>
        <w:tc>
          <w:tcPr>
            <w:tcW w:w="1880" w:type="dxa"/>
            <w:gridSpan w:val="4"/>
          </w:tcPr>
          <w:p>
            <w:pPr>
              <w:pStyle w:val="TableParagraph"/>
              <w:spacing w:before="9"/>
              <w:rPr>
                <w:sz w:val="12"/>
              </w:rPr>
            </w:pPr>
          </w:p>
          <w:p>
            <w:pPr>
              <w:pStyle w:val="TableParagraph"/>
              <w:spacing w:before="1"/>
              <w:ind w:left="629" w:right="617"/>
              <w:jc w:val="center"/>
              <w:rPr>
                <w:rFonts w:ascii="Calibri"/>
                <w:sz w:val="14"/>
              </w:rPr>
            </w:pPr>
            <w:r>
              <w:rPr>
                <w:rFonts w:ascii="Calibri"/>
                <w:w w:val="105"/>
                <w:sz w:val="14"/>
              </w:rPr>
              <w:t>Demo</w:t>
            </w:r>
            <w:r>
              <w:rPr>
                <w:rFonts w:ascii="Calibri"/>
                <w:spacing w:val="35"/>
                <w:w w:val="105"/>
                <w:sz w:val="14"/>
              </w:rPr>
              <w:t> </w:t>
            </w:r>
            <w:r>
              <w:rPr>
                <w:rFonts w:ascii="Calibri"/>
                <w:spacing w:val="-5"/>
                <w:w w:val="105"/>
                <w:sz w:val="14"/>
              </w:rPr>
              <w:t>Y3</w:t>
            </w:r>
          </w:p>
        </w:tc>
        <w:tc>
          <w:tcPr>
            <w:tcW w:w="1880" w:type="dxa"/>
            <w:gridSpan w:val="4"/>
          </w:tcPr>
          <w:p>
            <w:pPr>
              <w:pStyle w:val="TableParagraph"/>
              <w:spacing w:before="9"/>
              <w:rPr>
                <w:sz w:val="12"/>
              </w:rPr>
            </w:pPr>
          </w:p>
          <w:p>
            <w:pPr>
              <w:pStyle w:val="TableParagraph"/>
              <w:spacing w:before="1"/>
              <w:ind w:left="627" w:right="625"/>
              <w:jc w:val="center"/>
              <w:rPr>
                <w:rFonts w:ascii="Calibri"/>
                <w:sz w:val="14"/>
              </w:rPr>
            </w:pPr>
            <w:r>
              <w:rPr>
                <w:rFonts w:ascii="Calibri"/>
                <w:w w:val="105"/>
                <w:sz w:val="14"/>
              </w:rPr>
              <w:t>Demo</w:t>
            </w:r>
            <w:r>
              <w:rPr>
                <w:rFonts w:ascii="Calibri"/>
                <w:spacing w:val="35"/>
                <w:w w:val="105"/>
                <w:sz w:val="14"/>
              </w:rPr>
              <w:t> </w:t>
            </w:r>
            <w:r>
              <w:rPr>
                <w:rFonts w:ascii="Calibri"/>
                <w:spacing w:val="-5"/>
                <w:w w:val="105"/>
                <w:sz w:val="14"/>
              </w:rPr>
              <w:t>Y4</w:t>
            </w:r>
          </w:p>
        </w:tc>
        <w:tc>
          <w:tcPr>
            <w:tcW w:w="1880" w:type="dxa"/>
            <w:gridSpan w:val="4"/>
          </w:tcPr>
          <w:p>
            <w:pPr>
              <w:pStyle w:val="TableParagraph"/>
              <w:spacing w:before="9"/>
              <w:rPr>
                <w:sz w:val="12"/>
              </w:rPr>
            </w:pPr>
          </w:p>
          <w:p>
            <w:pPr>
              <w:pStyle w:val="TableParagraph"/>
              <w:spacing w:before="1"/>
              <w:ind w:left="621" w:right="625"/>
              <w:jc w:val="center"/>
              <w:rPr>
                <w:rFonts w:ascii="Calibri"/>
                <w:sz w:val="14"/>
              </w:rPr>
            </w:pPr>
            <w:r>
              <w:rPr>
                <w:rFonts w:ascii="Calibri"/>
                <w:w w:val="105"/>
                <w:sz w:val="14"/>
              </w:rPr>
              <w:t>Demo</w:t>
            </w:r>
            <w:r>
              <w:rPr>
                <w:rFonts w:ascii="Calibri"/>
                <w:spacing w:val="35"/>
                <w:w w:val="105"/>
                <w:sz w:val="14"/>
              </w:rPr>
              <w:t> </w:t>
            </w:r>
            <w:r>
              <w:rPr>
                <w:rFonts w:ascii="Calibri"/>
                <w:spacing w:val="-5"/>
                <w:w w:val="105"/>
                <w:sz w:val="14"/>
              </w:rPr>
              <w:t>Y5</w:t>
            </w:r>
          </w:p>
        </w:tc>
        <w:tc>
          <w:tcPr>
            <w:tcW w:w="934" w:type="dxa"/>
            <w:gridSpan w:val="2"/>
            <w:tcBorders>
              <w:right w:val="single" w:sz="12" w:space="0" w:color="BEBEBE"/>
            </w:tcBorders>
          </w:tcPr>
          <w:p>
            <w:pPr>
              <w:pStyle w:val="TableParagraph"/>
              <w:rPr>
                <w:sz w:val="20"/>
              </w:rPr>
            </w:pPr>
          </w:p>
        </w:tc>
      </w:tr>
      <w:tr>
        <w:trPr>
          <w:trHeight w:val="476" w:hRule="atLeast"/>
        </w:trPr>
        <w:tc>
          <w:tcPr>
            <w:tcW w:w="1889" w:type="dxa"/>
            <w:gridSpan w:val="5"/>
          </w:tcPr>
          <w:p>
            <w:pPr>
              <w:pStyle w:val="TableParagraph"/>
              <w:rPr>
                <w:sz w:val="20"/>
              </w:rPr>
            </w:pPr>
          </w:p>
        </w:tc>
        <w:tc>
          <w:tcPr>
            <w:tcW w:w="1186" w:type="dxa"/>
            <w:gridSpan w:val="2"/>
            <w:shd w:val="clear" w:color="auto" w:fill="DCE6F0"/>
          </w:tcPr>
          <w:p>
            <w:pPr>
              <w:pStyle w:val="TableParagraph"/>
              <w:spacing w:line="276" w:lineRule="auto" w:before="49"/>
              <w:ind w:left="268" w:hanging="186"/>
              <w:rPr>
                <w:rFonts w:ascii="Calibri"/>
                <w:i/>
                <w:sz w:val="14"/>
              </w:rPr>
            </w:pPr>
            <w:r>
              <w:rPr>
                <w:rFonts w:ascii="Calibri"/>
                <w:w w:val="105"/>
                <w:sz w:val="14"/>
              </w:rPr>
              <w:t>CP</w:t>
            </w:r>
            <w:r>
              <w:rPr>
                <w:rFonts w:ascii="Calibri"/>
                <w:spacing w:val="-2"/>
                <w:w w:val="105"/>
                <w:sz w:val="14"/>
              </w:rPr>
              <w:t> </w:t>
            </w:r>
            <w:r>
              <w:rPr>
                <w:rFonts w:ascii="Calibri"/>
                <w:w w:val="105"/>
                <w:sz w:val="14"/>
              </w:rPr>
              <w:t>Performa</w:t>
            </w:r>
            <w:r>
              <w:rPr>
                <w:rFonts w:ascii="Calibri"/>
                <w:spacing w:val="-19"/>
                <w:w w:val="105"/>
                <w:sz w:val="14"/>
              </w:rPr>
              <w:t> </w:t>
            </w:r>
            <w:r>
              <w:rPr>
                <w:rFonts w:ascii="Calibri"/>
                <w:w w:val="105"/>
                <w:sz w:val="14"/>
              </w:rPr>
              <w:t>nce</w:t>
            </w:r>
            <w:r>
              <w:rPr>
                <w:rFonts w:ascii="Calibri"/>
                <w:spacing w:val="40"/>
                <w:w w:val="105"/>
                <w:sz w:val="14"/>
              </w:rPr>
              <w:t> </w:t>
            </w:r>
            <w:r>
              <w:rPr>
                <w:rFonts w:ascii="Calibri"/>
                <w:w w:val="105"/>
                <w:sz w:val="14"/>
              </w:rPr>
              <w:t>Y1 </w:t>
            </w:r>
            <w:r>
              <w:rPr>
                <w:rFonts w:ascii="Calibri"/>
                <w:i/>
                <w:w w:val="105"/>
                <w:sz w:val="14"/>
              </w:rPr>
              <w:t>(6 mo.)</w:t>
            </w:r>
          </w:p>
        </w:tc>
        <w:tc>
          <w:tcPr>
            <w:tcW w:w="1880" w:type="dxa"/>
            <w:gridSpan w:val="4"/>
            <w:shd w:val="clear" w:color="auto" w:fill="DCE6F0"/>
          </w:tcPr>
          <w:p>
            <w:pPr>
              <w:pStyle w:val="TableParagraph"/>
              <w:spacing w:before="9"/>
              <w:rPr>
                <w:sz w:val="12"/>
              </w:rPr>
            </w:pPr>
          </w:p>
          <w:p>
            <w:pPr>
              <w:pStyle w:val="TableParagraph"/>
              <w:spacing w:before="1"/>
              <w:ind w:left="627" w:right="625"/>
              <w:jc w:val="center"/>
              <w:rPr>
                <w:rFonts w:ascii="Calibri"/>
                <w:sz w:val="14"/>
              </w:rPr>
            </w:pPr>
            <w:r>
              <w:rPr>
                <w:rFonts w:ascii="Calibri"/>
                <w:w w:val="105"/>
                <w:sz w:val="14"/>
              </w:rPr>
              <w:t>CP</w:t>
            </w:r>
            <w:r>
              <w:rPr>
                <w:rFonts w:ascii="Calibri"/>
                <w:spacing w:val="-4"/>
                <w:w w:val="105"/>
                <w:sz w:val="14"/>
              </w:rPr>
              <w:t> </w:t>
            </w:r>
            <w:r>
              <w:rPr>
                <w:rFonts w:ascii="Calibri"/>
                <w:w w:val="105"/>
                <w:sz w:val="14"/>
              </w:rPr>
              <w:t>PY</w:t>
            </w:r>
            <w:r>
              <w:rPr>
                <w:rFonts w:ascii="Calibri"/>
                <w:spacing w:val="1"/>
                <w:w w:val="105"/>
                <w:sz w:val="14"/>
              </w:rPr>
              <w:t> </w:t>
            </w:r>
            <w:r>
              <w:rPr>
                <w:rFonts w:ascii="Calibri"/>
                <w:spacing w:val="-10"/>
                <w:w w:val="105"/>
                <w:sz w:val="14"/>
              </w:rPr>
              <w:t>2</w:t>
            </w:r>
          </w:p>
        </w:tc>
        <w:tc>
          <w:tcPr>
            <w:tcW w:w="1880" w:type="dxa"/>
            <w:gridSpan w:val="4"/>
            <w:shd w:val="clear" w:color="auto" w:fill="DCE6F0"/>
          </w:tcPr>
          <w:p>
            <w:pPr>
              <w:pStyle w:val="TableParagraph"/>
              <w:spacing w:before="9"/>
              <w:rPr>
                <w:sz w:val="12"/>
              </w:rPr>
            </w:pPr>
          </w:p>
          <w:p>
            <w:pPr>
              <w:pStyle w:val="TableParagraph"/>
              <w:spacing w:before="1"/>
              <w:ind w:left="621" w:right="625"/>
              <w:jc w:val="center"/>
              <w:rPr>
                <w:rFonts w:ascii="Calibri"/>
                <w:sz w:val="14"/>
              </w:rPr>
            </w:pPr>
            <w:r>
              <w:rPr>
                <w:rFonts w:ascii="Calibri"/>
                <w:w w:val="105"/>
                <w:sz w:val="14"/>
              </w:rPr>
              <w:t>CP</w:t>
            </w:r>
            <w:r>
              <w:rPr>
                <w:rFonts w:ascii="Calibri"/>
                <w:spacing w:val="-4"/>
                <w:w w:val="105"/>
                <w:sz w:val="14"/>
              </w:rPr>
              <w:t> </w:t>
            </w:r>
            <w:r>
              <w:rPr>
                <w:rFonts w:ascii="Calibri"/>
                <w:w w:val="105"/>
                <w:sz w:val="14"/>
              </w:rPr>
              <w:t>PY</w:t>
            </w:r>
            <w:r>
              <w:rPr>
                <w:rFonts w:ascii="Calibri"/>
                <w:spacing w:val="1"/>
                <w:w w:val="105"/>
                <w:sz w:val="14"/>
              </w:rPr>
              <w:t> </w:t>
            </w:r>
            <w:r>
              <w:rPr>
                <w:rFonts w:ascii="Calibri"/>
                <w:spacing w:val="-10"/>
                <w:w w:val="105"/>
                <w:sz w:val="14"/>
              </w:rPr>
              <w:t>3</w:t>
            </w:r>
          </w:p>
        </w:tc>
        <w:tc>
          <w:tcPr>
            <w:tcW w:w="1880" w:type="dxa"/>
            <w:gridSpan w:val="4"/>
            <w:shd w:val="clear" w:color="auto" w:fill="DCE6F0"/>
          </w:tcPr>
          <w:p>
            <w:pPr>
              <w:pStyle w:val="TableParagraph"/>
              <w:spacing w:before="9"/>
              <w:rPr>
                <w:sz w:val="12"/>
              </w:rPr>
            </w:pPr>
          </w:p>
          <w:p>
            <w:pPr>
              <w:pStyle w:val="TableParagraph"/>
              <w:spacing w:before="1"/>
              <w:ind w:left="611" w:right="625"/>
              <w:jc w:val="center"/>
              <w:rPr>
                <w:rFonts w:ascii="Calibri"/>
                <w:sz w:val="14"/>
              </w:rPr>
            </w:pPr>
            <w:r>
              <w:rPr>
                <w:rFonts w:ascii="Calibri"/>
                <w:w w:val="105"/>
                <w:sz w:val="14"/>
              </w:rPr>
              <w:t>CP</w:t>
            </w:r>
            <w:r>
              <w:rPr>
                <w:rFonts w:ascii="Calibri"/>
                <w:spacing w:val="-4"/>
                <w:w w:val="105"/>
                <w:sz w:val="14"/>
              </w:rPr>
              <w:t> </w:t>
            </w:r>
            <w:r>
              <w:rPr>
                <w:rFonts w:ascii="Calibri"/>
                <w:w w:val="105"/>
                <w:sz w:val="14"/>
              </w:rPr>
              <w:t>PY</w:t>
            </w:r>
            <w:r>
              <w:rPr>
                <w:rFonts w:ascii="Calibri"/>
                <w:spacing w:val="1"/>
                <w:w w:val="105"/>
                <w:sz w:val="14"/>
              </w:rPr>
              <w:t> </w:t>
            </w:r>
            <w:r>
              <w:rPr>
                <w:rFonts w:ascii="Calibri"/>
                <w:spacing w:val="-10"/>
                <w:w w:val="105"/>
                <w:sz w:val="14"/>
              </w:rPr>
              <w:t>4</w:t>
            </w:r>
          </w:p>
        </w:tc>
        <w:tc>
          <w:tcPr>
            <w:tcW w:w="1874" w:type="dxa"/>
            <w:gridSpan w:val="4"/>
            <w:tcBorders>
              <w:right w:val="single" w:sz="12" w:space="0" w:color="BEBEBE"/>
            </w:tcBorders>
            <w:shd w:val="clear" w:color="auto" w:fill="DCE6F0"/>
          </w:tcPr>
          <w:p>
            <w:pPr>
              <w:pStyle w:val="TableParagraph"/>
              <w:spacing w:before="9"/>
              <w:rPr>
                <w:sz w:val="12"/>
              </w:rPr>
            </w:pPr>
          </w:p>
          <w:p>
            <w:pPr>
              <w:pStyle w:val="TableParagraph"/>
              <w:spacing w:before="1"/>
              <w:ind w:left="670" w:right="680"/>
              <w:jc w:val="center"/>
              <w:rPr>
                <w:rFonts w:ascii="Calibri"/>
                <w:sz w:val="14"/>
              </w:rPr>
            </w:pPr>
            <w:r>
              <w:rPr>
                <w:rFonts w:ascii="Calibri"/>
                <w:w w:val="105"/>
                <w:sz w:val="14"/>
              </w:rPr>
              <w:t>CP</w:t>
            </w:r>
            <w:r>
              <w:rPr>
                <w:rFonts w:ascii="Calibri"/>
                <w:spacing w:val="-4"/>
                <w:w w:val="105"/>
                <w:sz w:val="14"/>
              </w:rPr>
              <w:t> </w:t>
            </w:r>
            <w:r>
              <w:rPr>
                <w:rFonts w:ascii="Calibri"/>
                <w:w w:val="105"/>
                <w:sz w:val="14"/>
              </w:rPr>
              <w:t>PY</w:t>
            </w:r>
            <w:r>
              <w:rPr>
                <w:rFonts w:ascii="Calibri"/>
                <w:spacing w:val="1"/>
                <w:w w:val="105"/>
                <w:sz w:val="14"/>
              </w:rPr>
              <w:t> </w:t>
            </w:r>
            <w:r>
              <w:rPr>
                <w:rFonts w:ascii="Calibri"/>
                <w:spacing w:val="-10"/>
                <w:w w:val="105"/>
                <w:sz w:val="14"/>
              </w:rPr>
              <w:t>5</w:t>
            </w:r>
          </w:p>
        </w:tc>
      </w:tr>
      <w:tr>
        <w:trPr>
          <w:trHeight w:val="462" w:hRule="atLeast"/>
        </w:trPr>
        <w:tc>
          <w:tcPr>
            <w:tcW w:w="469" w:type="dxa"/>
            <w:tcBorders>
              <w:bottom w:val="single" w:sz="12" w:space="0" w:color="BEBEBE"/>
            </w:tcBorders>
          </w:tcPr>
          <w:p>
            <w:pPr>
              <w:pStyle w:val="TableParagraph"/>
              <w:rPr>
                <w:sz w:val="20"/>
              </w:rPr>
            </w:pPr>
          </w:p>
        </w:tc>
        <w:tc>
          <w:tcPr>
            <w:tcW w:w="1259" w:type="dxa"/>
            <w:gridSpan w:val="3"/>
            <w:tcBorders>
              <w:bottom w:val="single" w:sz="12" w:space="0" w:color="BEBEBE"/>
            </w:tcBorders>
            <w:shd w:val="clear" w:color="auto" w:fill="FCE9D9"/>
          </w:tcPr>
          <w:p>
            <w:pPr>
              <w:pStyle w:val="TableParagraph"/>
              <w:spacing w:line="276" w:lineRule="auto" w:before="49"/>
              <w:ind w:left="417" w:right="62" w:hanging="186"/>
              <w:rPr>
                <w:rFonts w:ascii="Calibri"/>
                <w:sz w:val="14"/>
              </w:rPr>
            </w:pPr>
            <w:r>
              <w:rPr>
                <w:rFonts w:ascii="Calibri"/>
                <w:w w:val="105"/>
                <w:sz w:val="14"/>
              </w:rPr>
              <w:t>Prep Budget</w:t>
            </w:r>
            <w:r>
              <w:rPr>
                <w:rFonts w:ascii="Calibri"/>
                <w:spacing w:val="40"/>
                <w:w w:val="105"/>
                <w:sz w:val="14"/>
              </w:rPr>
              <w:t> </w:t>
            </w:r>
            <w:r>
              <w:rPr>
                <w:rFonts w:ascii="Calibri"/>
                <w:w w:val="105"/>
                <w:sz w:val="14"/>
              </w:rPr>
              <w:t>Peri</w:t>
            </w:r>
            <w:r>
              <w:rPr>
                <w:rFonts w:ascii="Calibri"/>
                <w:spacing w:val="-19"/>
                <w:w w:val="105"/>
                <w:sz w:val="14"/>
              </w:rPr>
              <w:t> </w:t>
            </w:r>
            <w:r>
              <w:rPr>
                <w:rFonts w:ascii="Calibri"/>
                <w:w w:val="105"/>
                <w:sz w:val="14"/>
              </w:rPr>
              <w:t>od</w:t>
            </w:r>
          </w:p>
        </w:tc>
        <w:tc>
          <w:tcPr>
            <w:tcW w:w="1347" w:type="dxa"/>
            <w:gridSpan w:val="3"/>
            <w:tcBorders>
              <w:bottom w:val="single" w:sz="12" w:space="0" w:color="BEBEBE"/>
            </w:tcBorders>
            <w:shd w:val="clear" w:color="auto" w:fill="FCE9D9"/>
          </w:tcPr>
          <w:p>
            <w:pPr>
              <w:pStyle w:val="TableParagraph"/>
              <w:spacing w:line="276" w:lineRule="auto" w:before="49"/>
              <w:ind w:left="442" w:right="132" w:hanging="297"/>
              <w:rPr>
                <w:rFonts w:ascii="Calibri"/>
                <w:sz w:val="14"/>
              </w:rPr>
            </w:pPr>
            <w:r>
              <w:rPr>
                <w:rFonts w:ascii="Calibri"/>
                <w:w w:val="105"/>
                <w:sz w:val="14"/>
              </w:rPr>
              <w:t>Budget Period 1</w:t>
            </w:r>
            <w:r>
              <w:rPr>
                <w:rFonts w:ascii="Calibri"/>
                <w:spacing w:val="40"/>
                <w:w w:val="105"/>
                <w:sz w:val="14"/>
              </w:rPr>
              <w:t> </w:t>
            </w:r>
            <w:r>
              <w:rPr>
                <w:rFonts w:ascii="Calibri"/>
                <w:w w:val="105"/>
                <w:sz w:val="14"/>
              </w:rPr>
              <w:t>(7 </w:t>
            </w:r>
            <w:r>
              <w:rPr>
                <w:rFonts w:ascii="Calibri"/>
                <w:i/>
                <w:w w:val="105"/>
                <w:sz w:val="14"/>
              </w:rPr>
              <w:t>mo.</w:t>
            </w:r>
            <w:r>
              <w:rPr>
                <w:rFonts w:ascii="Calibri"/>
                <w:i/>
                <w:spacing w:val="-2"/>
                <w:w w:val="105"/>
                <w:sz w:val="14"/>
              </w:rPr>
              <w:t> </w:t>
            </w:r>
            <w:r>
              <w:rPr>
                <w:rFonts w:ascii="Calibri"/>
                <w:w w:val="105"/>
                <w:sz w:val="14"/>
              </w:rPr>
              <w:t>)</w:t>
            </w:r>
          </w:p>
        </w:tc>
        <w:tc>
          <w:tcPr>
            <w:tcW w:w="1880" w:type="dxa"/>
            <w:gridSpan w:val="4"/>
            <w:tcBorders>
              <w:bottom w:val="single" w:sz="12" w:space="0" w:color="BEBEBE"/>
            </w:tcBorders>
            <w:shd w:val="clear" w:color="auto" w:fill="FCE9D9"/>
          </w:tcPr>
          <w:p>
            <w:pPr>
              <w:pStyle w:val="TableParagraph"/>
              <w:spacing w:before="9"/>
              <w:rPr>
                <w:sz w:val="12"/>
              </w:rPr>
            </w:pPr>
          </w:p>
          <w:p>
            <w:pPr>
              <w:pStyle w:val="TableParagraph"/>
              <w:spacing w:before="1"/>
              <w:ind w:left="627" w:right="625"/>
              <w:jc w:val="center"/>
              <w:rPr>
                <w:rFonts w:ascii="Calibri"/>
                <w:sz w:val="14"/>
              </w:rPr>
            </w:pPr>
            <w:r>
              <w:rPr>
                <w:rFonts w:ascii="Calibri"/>
                <w:w w:val="105"/>
                <w:sz w:val="14"/>
              </w:rPr>
              <w:t>BP</w:t>
            </w:r>
            <w:r>
              <w:rPr>
                <w:rFonts w:ascii="Calibri"/>
                <w:spacing w:val="5"/>
                <w:w w:val="105"/>
                <w:sz w:val="14"/>
              </w:rPr>
              <w:t> </w:t>
            </w:r>
            <w:r>
              <w:rPr>
                <w:rFonts w:ascii="Calibri"/>
                <w:spacing w:val="-10"/>
                <w:w w:val="105"/>
                <w:sz w:val="14"/>
              </w:rPr>
              <w:t>2</w:t>
            </w:r>
          </w:p>
        </w:tc>
        <w:tc>
          <w:tcPr>
            <w:tcW w:w="1880" w:type="dxa"/>
            <w:gridSpan w:val="4"/>
            <w:tcBorders>
              <w:bottom w:val="single" w:sz="12" w:space="0" w:color="BEBEBE"/>
            </w:tcBorders>
            <w:shd w:val="clear" w:color="auto" w:fill="FCE9D9"/>
          </w:tcPr>
          <w:p>
            <w:pPr>
              <w:pStyle w:val="TableParagraph"/>
              <w:spacing w:before="9"/>
              <w:rPr>
                <w:sz w:val="12"/>
              </w:rPr>
            </w:pPr>
          </w:p>
          <w:p>
            <w:pPr>
              <w:pStyle w:val="TableParagraph"/>
              <w:spacing w:before="1"/>
              <w:ind w:left="621" w:right="625"/>
              <w:jc w:val="center"/>
              <w:rPr>
                <w:rFonts w:ascii="Calibri"/>
                <w:sz w:val="14"/>
              </w:rPr>
            </w:pPr>
            <w:r>
              <w:rPr>
                <w:rFonts w:ascii="Calibri"/>
                <w:w w:val="105"/>
                <w:sz w:val="14"/>
              </w:rPr>
              <w:t>BP</w:t>
            </w:r>
            <w:r>
              <w:rPr>
                <w:rFonts w:ascii="Calibri"/>
                <w:spacing w:val="5"/>
                <w:w w:val="105"/>
                <w:sz w:val="14"/>
              </w:rPr>
              <w:t> </w:t>
            </w:r>
            <w:r>
              <w:rPr>
                <w:rFonts w:ascii="Calibri"/>
                <w:spacing w:val="-10"/>
                <w:w w:val="105"/>
                <w:sz w:val="14"/>
              </w:rPr>
              <w:t>3</w:t>
            </w:r>
          </w:p>
        </w:tc>
        <w:tc>
          <w:tcPr>
            <w:tcW w:w="1880" w:type="dxa"/>
            <w:gridSpan w:val="4"/>
            <w:tcBorders>
              <w:bottom w:val="single" w:sz="12" w:space="0" w:color="BEBEBE"/>
            </w:tcBorders>
            <w:shd w:val="clear" w:color="auto" w:fill="FCE9D9"/>
          </w:tcPr>
          <w:p>
            <w:pPr>
              <w:pStyle w:val="TableParagraph"/>
              <w:spacing w:before="9"/>
              <w:rPr>
                <w:sz w:val="12"/>
              </w:rPr>
            </w:pPr>
          </w:p>
          <w:p>
            <w:pPr>
              <w:pStyle w:val="TableParagraph"/>
              <w:spacing w:before="1"/>
              <w:ind w:left="611" w:right="625"/>
              <w:jc w:val="center"/>
              <w:rPr>
                <w:rFonts w:ascii="Calibri"/>
                <w:sz w:val="14"/>
              </w:rPr>
            </w:pPr>
            <w:r>
              <w:rPr>
                <w:rFonts w:ascii="Calibri"/>
                <w:w w:val="105"/>
                <w:sz w:val="14"/>
              </w:rPr>
              <w:t>BP</w:t>
            </w:r>
            <w:r>
              <w:rPr>
                <w:rFonts w:ascii="Calibri"/>
                <w:spacing w:val="5"/>
                <w:w w:val="105"/>
                <w:sz w:val="14"/>
              </w:rPr>
              <w:t> </w:t>
            </w:r>
            <w:r>
              <w:rPr>
                <w:rFonts w:ascii="Calibri"/>
                <w:spacing w:val="-10"/>
                <w:w w:val="105"/>
                <w:sz w:val="14"/>
              </w:rPr>
              <w:t>4</w:t>
            </w:r>
          </w:p>
        </w:tc>
        <w:tc>
          <w:tcPr>
            <w:tcW w:w="1874" w:type="dxa"/>
            <w:gridSpan w:val="4"/>
            <w:tcBorders>
              <w:bottom w:val="single" w:sz="12" w:space="0" w:color="BEBEBE"/>
              <w:right w:val="single" w:sz="12" w:space="0" w:color="BEBEBE"/>
            </w:tcBorders>
            <w:shd w:val="clear" w:color="auto" w:fill="FCE9D9"/>
          </w:tcPr>
          <w:p>
            <w:pPr>
              <w:pStyle w:val="TableParagraph"/>
              <w:spacing w:before="9"/>
              <w:rPr>
                <w:sz w:val="12"/>
              </w:rPr>
            </w:pPr>
          </w:p>
          <w:p>
            <w:pPr>
              <w:pStyle w:val="TableParagraph"/>
              <w:spacing w:before="1"/>
              <w:ind w:left="670" w:right="680"/>
              <w:jc w:val="center"/>
              <w:rPr>
                <w:rFonts w:ascii="Calibri"/>
                <w:sz w:val="14"/>
              </w:rPr>
            </w:pPr>
            <w:r>
              <w:rPr>
                <w:rFonts w:ascii="Calibri"/>
                <w:w w:val="105"/>
                <w:sz w:val="14"/>
              </w:rPr>
              <w:t>BP</w:t>
            </w:r>
            <w:r>
              <w:rPr>
                <w:rFonts w:ascii="Calibri"/>
                <w:spacing w:val="5"/>
                <w:w w:val="105"/>
                <w:sz w:val="14"/>
              </w:rPr>
              <w:t> </w:t>
            </w:r>
            <w:r>
              <w:rPr>
                <w:rFonts w:ascii="Calibri"/>
                <w:spacing w:val="-10"/>
                <w:w w:val="105"/>
                <w:sz w:val="14"/>
              </w:rPr>
              <w:t>5</w:t>
            </w:r>
          </w:p>
        </w:tc>
      </w:tr>
    </w:tbl>
    <w:p>
      <w:pPr>
        <w:pStyle w:val="BodyText"/>
        <w:spacing w:before="5"/>
        <w:rPr>
          <w:sz w:val="23"/>
        </w:rPr>
      </w:pPr>
      <w:r>
        <w:rPr/>
        <mc:AlternateContent>
          <mc:Choice Requires="wps">
            <w:drawing>
              <wp:anchor distT="0" distB="0" distL="0" distR="0" allowOverlap="1" layoutInCell="1" locked="0" behindDoc="1" simplePos="0" relativeHeight="487994880">
                <wp:simplePos x="0" y="0"/>
                <wp:positionH relativeFrom="page">
                  <wp:posOffset>373379</wp:posOffset>
                </wp:positionH>
                <wp:positionV relativeFrom="paragraph">
                  <wp:posOffset>186560</wp:posOffset>
                </wp:positionV>
                <wp:extent cx="7016750" cy="6350"/>
                <wp:effectExtent l="0" t="0" r="0" b="0"/>
                <wp:wrapTopAndBottom/>
                <wp:docPr id="845" name="Graphic 845"/>
                <wp:cNvGraphicFramePr>
                  <a:graphicFrameLocks/>
                </wp:cNvGraphicFramePr>
                <a:graphic>
                  <a:graphicData uri="http://schemas.microsoft.com/office/word/2010/wordprocessingShape">
                    <wps:wsp>
                      <wps:cNvPr id="845" name="Graphic 845"/>
                      <wps:cNvSpPr/>
                      <wps:spPr>
                        <a:xfrm>
                          <a:off x="0" y="0"/>
                          <a:ext cx="7016750" cy="6350"/>
                        </a:xfrm>
                        <a:custGeom>
                          <a:avLst/>
                          <a:gdLst/>
                          <a:ahLst/>
                          <a:cxnLst/>
                          <a:rect l="l" t="t" r="r" b="b"/>
                          <a:pathLst>
                            <a:path w="7016750" h="6350">
                              <a:moveTo>
                                <a:pt x="7016483" y="0"/>
                              </a:moveTo>
                              <a:lnTo>
                                <a:pt x="0" y="0"/>
                              </a:lnTo>
                              <a:lnTo>
                                <a:pt x="0" y="6096"/>
                              </a:lnTo>
                              <a:lnTo>
                                <a:pt x="7016483" y="6096"/>
                              </a:lnTo>
                              <a:lnTo>
                                <a:pt x="70164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4pt;margin-top:14.689795pt;width:552.479pt;height:.48pt;mso-position-horizontal-relative:page;mso-position-vertical-relative:paragraph;z-index:-15321600;mso-wrap-distance-left:0;mso-wrap-distance-right:0" id="docshape66" filled="true" fillcolor="#000000" stroked="false">
                <v:fill type="solid"/>
                <w10:wrap type="topAndBottom"/>
              </v:rect>
            </w:pict>
          </mc:Fallback>
        </mc:AlternateContent>
      </w:r>
    </w:p>
    <w:p>
      <w:pPr>
        <w:pStyle w:val="BodyText"/>
        <w:spacing w:before="9"/>
        <w:rPr>
          <w:sz w:val="21"/>
        </w:rPr>
      </w:pPr>
    </w:p>
    <w:p>
      <w:pPr>
        <w:spacing w:before="0"/>
        <w:ind w:left="1220" w:right="1094" w:firstLine="0"/>
        <w:jc w:val="both"/>
        <w:rPr>
          <w:sz w:val="22"/>
        </w:rPr>
      </w:pPr>
      <w:r>
        <w:rPr>
          <w:sz w:val="22"/>
        </w:rPr>
        <w:t>This budget period approach will not change the</w:t>
      </w:r>
      <w:r>
        <w:rPr>
          <w:spacing w:val="-2"/>
          <w:sz w:val="22"/>
        </w:rPr>
        <w:t> </w:t>
      </w:r>
      <w:r>
        <w:rPr>
          <w:sz w:val="22"/>
        </w:rPr>
        <w:t>amount of</w:t>
      </w:r>
      <w:r>
        <w:rPr>
          <w:spacing w:val="-1"/>
          <w:sz w:val="22"/>
        </w:rPr>
        <w:t> </w:t>
      </w:r>
      <w:r>
        <w:rPr>
          <w:sz w:val="22"/>
        </w:rPr>
        <w:t>funding</w:t>
      </w:r>
      <w:r>
        <w:rPr>
          <w:spacing w:val="-2"/>
          <w:sz w:val="22"/>
        </w:rPr>
        <w:t> </w:t>
      </w:r>
      <w:r>
        <w:rPr>
          <w:sz w:val="22"/>
        </w:rPr>
        <w:t>that</w:t>
      </w:r>
      <w:r>
        <w:rPr>
          <w:spacing w:val="-1"/>
          <w:sz w:val="22"/>
        </w:rPr>
        <w:t> </w:t>
      </w:r>
      <w:r>
        <w:rPr>
          <w:sz w:val="22"/>
        </w:rPr>
        <w:t>a CP or</w:t>
      </w:r>
      <w:r>
        <w:rPr>
          <w:spacing w:val="-1"/>
          <w:sz w:val="22"/>
        </w:rPr>
        <w:t> </w:t>
      </w:r>
      <w:r>
        <w:rPr>
          <w:sz w:val="22"/>
        </w:rPr>
        <w:t>CSA</w:t>
      </w:r>
      <w:r>
        <w:rPr>
          <w:spacing w:val="-1"/>
          <w:sz w:val="22"/>
        </w:rPr>
        <w:t> </w:t>
      </w:r>
      <w:r>
        <w:rPr>
          <w:sz w:val="22"/>
        </w:rPr>
        <w:t>receives for a given demonstration</w:t>
      </w:r>
      <w:r>
        <w:rPr>
          <w:spacing w:val="-3"/>
          <w:sz w:val="22"/>
        </w:rPr>
        <w:t> </w:t>
      </w:r>
      <w:r>
        <w:rPr>
          <w:sz w:val="22"/>
        </w:rPr>
        <w:t>year.</w:t>
      </w:r>
      <w:r>
        <w:rPr>
          <w:spacing w:val="-3"/>
          <w:sz w:val="22"/>
        </w:rPr>
        <w:t> </w:t>
      </w:r>
      <w:r>
        <w:rPr>
          <w:sz w:val="22"/>
        </w:rPr>
        <w:t>Specifically,</w:t>
      </w:r>
      <w:r>
        <w:rPr>
          <w:spacing w:val="-3"/>
          <w:sz w:val="22"/>
        </w:rPr>
        <w:t> </w:t>
      </w:r>
      <w:r>
        <w:rPr>
          <w:sz w:val="22"/>
        </w:rPr>
        <w:t>the</w:t>
      </w:r>
      <w:r>
        <w:rPr>
          <w:spacing w:val="-3"/>
          <w:sz w:val="22"/>
        </w:rPr>
        <w:t> </w:t>
      </w:r>
      <w:r>
        <w:rPr>
          <w:sz w:val="22"/>
        </w:rPr>
        <w:t>Preparation</w:t>
      </w:r>
      <w:r>
        <w:rPr>
          <w:spacing w:val="-3"/>
          <w:sz w:val="22"/>
        </w:rPr>
        <w:t> </w:t>
      </w:r>
      <w:r>
        <w:rPr>
          <w:sz w:val="22"/>
        </w:rPr>
        <w:t>Budget</w:t>
      </w:r>
      <w:r>
        <w:rPr>
          <w:spacing w:val="-2"/>
          <w:sz w:val="22"/>
        </w:rPr>
        <w:t> </w:t>
      </w:r>
      <w:r>
        <w:rPr>
          <w:sz w:val="22"/>
        </w:rPr>
        <w:t>Period</w:t>
      </w:r>
      <w:r>
        <w:rPr>
          <w:spacing w:val="-3"/>
          <w:sz w:val="22"/>
        </w:rPr>
        <w:t> </w:t>
      </w:r>
      <w:r>
        <w:rPr>
          <w:sz w:val="22"/>
        </w:rPr>
        <w:t>funds</w:t>
      </w:r>
      <w:r>
        <w:rPr>
          <w:spacing w:val="-3"/>
          <w:sz w:val="22"/>
        </w:rPr>
        <w:t> </w:t>
      </w:r>
      <w:r>
        <w:rPr>
          <w:sz w:val="22"/>
        </w:rPr>
        <w:t>will</w:t>
      </w:r>
      <w:r>
        <w:rPr>
          <w:spacing w:val="-5"/>
          <w:sz w:val="22"/>
        </w:rPr>
        <w:t> </w:t>
      </w:r>
      <w:r>
        <w:rPr>
          <w:sz w:val="22"/>
        </w:rPr>
        <w:t>be</w:t>
      </w:r>
      <w:r>
        <w:rPr>
          <w:spacing w:val="-3"/>
          <w:sz w:val="22"/>
        </w:rPr>
        <w:t> </w:t>
      </w:r>
      <w:r>
        <w:rPr>
          <w:sz w:val="22"/>
        </w:rPr>
        <w:t>sourced</w:t>
      </w:r>
      <w:r>
        <w:rPr>
          <w:spacing w:val="-3"/>
          <w:sz w:val="22"/>
        </w:rPr>
        <w:t> </w:t>
      </w:r>
      <w:r>
        <w:rPr>
          <w:sz w:val="22"/>
        </w:rPr>
        <w:t>from</w:t>
      </w:r>
      <w:r>
        <w:rPr>
          <w:spacing w:val="-7"/>
          <w:sz w:val="22"/>
        </w:rPr>
        <w:t> </w:t>
      </w:r>
      <w:r>
        <w:rPr>
          <w:sz w:val="22"/>
        </w:rPr>
        <w:t>demonstration year 1 funds. Budget Period 1 funds will be sourced from demonstration year 1 and year 2 funds. Budget Periods</w:t>
      </w:r>
      <w:r>
        <w:rPr>
          <w:spacing w:val="-6"/>
          <w:sz w:val="22"/>
        </w:rPr>
        <w:t> </w:t>
      </w:r>
      <w:r>
        <w:rPr>
          <w:sz w:val="22"/>
        </w:rPr>
        <w:t>2</w:t>
      </w:r>
      <w:r>
        <w:rPr>
          <w:spacing w:val="-8"/>
          <w:sz w:val="22"/>
        </w:rPr>
        <w:t> </w:t>
      </w:r>
      <w:r>
        <w:rPr>
          <w:sz w:val="22"/>
        </w:rPr>
        <w:t>through</w:t>
      </w:r>
      <w:r>
        <w:rPr>
          <w:spacing w:val="-6"/>
          <w:sz w:val="22"/>
        </w:rPr>
        <w:t> </w:t>
      </w:r>
      <w:r>
        <w:rPr>
          <w:sz w:val="22"/>
        </w:rPr>
        <w:t>4</w:t>
      </w:r>
      <w:r>
        <w:rPr>
          <w:spacing w:val="-6"/>
          <w:sz w:val="22"/>
        </w:rPr>
        <w:t> </w:t>
      </w:r>
      <w:r>
        <w:rPr>
          <w:sz w:val="22"/>
        </w:rPr>
        <w:t>will</w:t>
      </w:r>
      <w:r>
        <w:rPr>
          <w:spacing w:val="-7"/>
          <w:sz w:val="22"/>
        </w:rPr>
        <w:t> </w:t>
      </w:r>
      <w:r>
        <w:rPr>
          <w:sz w:val="22"/>
        </w:rPr>
        <w:t>be</w:t>
      </w:r>
      <w:r>
        <w:rPr>
          <w:spacing w:val="-8"/>
          <w:sz w:val="22"/>
        </w:rPr>
        <w:t> </w:t>
      </w:r>
      <w:r>
        <w:rPr>
          <w:sz w:val="22"/>
        </w:rPr>
        <w:t>sourced</w:t>
      </w:r>
      <w:r>
        <w:rPr>
          <w:spacing w:val="-6"/>
          <w:sz w:val="22"/>
        </w:rPr>
        <w:t> </w:t>
      </w:r>
      <w:r>
        <w:rPr>
          <w:sz w:val="22"/>
        </w:rPr>
        <w:t>by</w:t>
      </w:r>
      <w:r>
        <w:rPr>
          <w:spacing w:val="-9"/>
          <w:sz w:val="22"/>
        </w:rPr>
        <w:t> </w:t>
      </w:r>
      <w:r>
        <w:rPr>
          <w:sz w:val="22"/>
        </w:rPr>
        <w:t>the</w:t>
      </w:r>
      <w:r>
        <w:rPr>
          <w:spacing w:val="-6"/>
          <w:sz w:val="22"/>
        </w:rPr>
        <w:t> </w:t>
      </w:r>
      <w:r>
        <w:rPr>
          <w:sz w:val="22"/>
        </w:rPr>
        <w:t>same</w:t>
      </w:r>
      <w:r>
        <w:rPr>
          <w:spacing w:val="-6"/>
          <w:sz w:val="22"/>
        </w:rPr>
        <w:t> </w:t>
      </w:r>
      <w:r>
        <w:rPr>
          <w:sz w:val="22"/>
        </w:rPr>
        <w:t>funding</w:t>
      </w:r>
      <w:r>
        <w:rPr>
          <w:spacing w:val="-9"/>
          <w:sz w:val="22"/>
        </w:rPr>
        <w:t> </w:t>
      </w:r>
      <w:r>
        <w:rPr>
          <w:sz w:val="22"/>
        </w:rPr>
        <w:t>pattern</w:t>
      </w:r>
      <w:r>
        <w:rPr>
          <w:spacing w:val="-6"/>
          <w:sz w:val="22"/>
        </w:rPr>
        <w:t> </w:t>
      </w:r>
      <w:r>
        <w:rPr>
          <w:sz w:val="22"/>
        </w:rPr>
        <w:t>as</w:t>
      </w:r>
      <w:r>
        <w:rPr>
          <w:spacing w:val="-6"/>
          <w:sz w:val="22"/>
        </w:rPr>
        <w:t> </w:t>
      </w:r>
      <w:r>
        <w:rPr>
          <w:sz w:val="22"/>
        </w:rPr>
        <w:t>Budget</w:t>
      </w:r>
      <w:r>
        <w:rPr>
          <w:spacing w:val="-5"/>
          <w:sz w:val="22"/>
        </w:rPr>
        <w:t> </w:t>
      </w:r>
      <w:r>
        <w:rPr>
          <w:sz w:val="22"/>
        </w:rPr>
        <w:t>Period</w:t>
      </w:r>
      <w:r>
        <w:rPr>
          <w:spacing w:val="-8"/>
          <w:sz w:val="22"/>
        </w:rPr>
        <w:t> </w:t>
      </w:r>
      <w:r>
        <w:rPr>
          <w:sz w:val="22"/>
        </w:rPr>
        <w:t>1.</w:t>
      </w:r>
      <w:r>
        <w:rPr>
          <w:spacing w:val="-6"/>
          <w:sz w:val="22"/>
        </w:rPr>
        <w:t> </w:t>
      </w:r>
      <w:r>
        <w:rPr>
          <w:sz w:val="22"/>
        </w:rPr>
        <w:t>Budget</w:t>
      </w:r>
      <w:r>
        <w:rPr>
          <w:spacing w:val="-5"/>
          <w:sz w:val="22"/>
        </w:rPr>
        <w:t> </w:t>
      </w:r>
      <w:r>
        <w:rPr>
          <w:sz w:val="22"/>
        </w:rPr>
        <w:t>Period</w:t>
      </w:r>
      <w:r>
        <w:rPr>
          <w:spacing w:val="-6"/>
          <w:sz w:val="22"/>
        </w:rPr>
        <w:t> </w:t>
      </w:r>
      <w:r>
        <w:rPr>
          <w:sz w:val="22"/>
        </w:rPr>
        <w:t>5</w:t>
      </w:r>
      <w:r>
        <w:rPr>
          <w:spacing w:val="-8"/>
          <w:sz w:val="22"/>
        </w:rPr>
        <w:t> </w:t>
      </w:r>
      <w:r>
        <w:rPr>
          <w:sz w:val="22"/>
        </w:rPr>
        <w:t>funds will be sourced only from demonstration year 5 funds.</w:t>
      </w:r>
    </w:p>
    <w:p>
      <w:pPr>
        <w:pStyle w:val="Heading5"/>
        <w:numPr>
          <w:ilvl w:val="2"/>
          <w:numId w:val="65"/>
        </w:numPr>
        <w:tabs>
          <w:tab w:pos="1940" w:val="left" w:leader="none"/>
        </w:tabs>
        <w:spacing w:line="240" w:lineRule="auto" w:before="202" w:after="0"/>
        <w:ind w:left="1940" w:right="0" w:hanging="720"/>
        <w:jc w:val="both"/>
        <w:rPr>
          <w:color w:val="4471C4"/>
        </w:rPr>
      </w:pPr>
      <w:bookmarkStart w:name="3.1.3 Funding Adjustments for Budget Per" w:id="1244"/>
      <w:bookmarkEnd w:id="1244"/>
      <w:r>
        <w:rPr>
          <w:b w:val="0"/>
        </w:rPr>
      </w:r>
      <w:bookmarkStart w:name="_bookmark22" w:id="1245"/>
      <w:bookmarkEnd w:id="1245"/>
      <w:r>
        <w:rPr>
          <w:b w:val="0"/>
        </w:rPr>
      </w:r>
      <w:r>
        <w:rPr>
          <w:color w:val="4471C4"/>
        </w:rPr>
        <w:t>Funding</w:t>
      </w:r>
      <w:r>
        <w:rPr>
          <w:color w:val="4471C4"/>
          <w:spacing w:val="-5"/>
        </w:rPr>
        <w:t> </w:t>
      </w:r>
      <w:r>
        <w:rPr>
          <w:color w:val="4471C4"/>
        </w:rPr>
        <w:t>Adjustments</w:t>
      </w:r>
      <w:r>
        <w:rPr>
          <w:color w:val="4471C4"/>
          <w:spacing w:val="-2"/>
        </w:rPr>
        <w:t> </w:t>
      </w:r>
      <w:r>
        <w:rPr>
          <w:color w:val="4471C4"/>
        </w:rPr>
        <w:t>for</w:t>
      </w:r>
      <w:r>
        <w:rPr>
          <w:color w:val="4471C4"/>
          <w:spacing w:val="-3"/>
        </w:rPr>
        <w:t> </w:t>
      </w:r>
      <w:r>
        <w:rPr>
          <w:color w:val="4471C4"/>
        </w:rPr>
        <w:t>Budget</w:t>
      </w:r>
      <w:r>
        <w:rPr>
          <w:color w:val="4471C4"/>
          <w:spacing w:val="-3"/>
        </w:rPr>
        <w:t> </w:t>
      </w:r>
      <w:r>
        <w:rPr>
          <w:color w:val="4471C4"/>
        </w:rPr>
        <w:t>Period</w:t>
      </w:r>
      <w:r>
        <w:rPr>
          <w:color w:val="4471C4"/>
          <w:spacing w:val="-2"/>
        </w:rPr>
        <w:t> </w:t>
      </w:r>
      <w:r>
        <w:rPr>
          <w:color w:val="4471C4"/>
        </w:rPr>
        <w:t>5</w:t>
      </w:r>
      <w:r>
        <w:rPr>
          <w:color w:val="4471C4"/>
          <w:spacing w:val="-3"/>
        </w:rPr>
        <w:t> </w:t>
      </w:r>
      <w:r>
        <w:rPr>
          <w:color w:val="4471C4"/>
        </w:rPr>
        <w:t>and</w:t>
      </w:r>
      <w:r>
        <w:rPr>
          <w:color w:val="4471C4"/>
          <w:spacing w:val="-2"/>
        </w:rPr>
        <w:t> </w:t>
      </w:r>
      <w:r>
        <w:rPr>
          <w:color w:val="4471C4"/>
        </w:rPr>
        <w:t>Close-Out</w:t>
      </w:r>
      <w:r>
        <w:rPr>
          <w:color w:val="4471C4"/>
          <w:spacing w:val="-3"/>
        </w:rPr>
        <w:t> </w:t>
      </w:r>
      <w:r>
        <w:rPr>
          <w:color w:val="4471C4"/>
          <w:spacing w:val="-2"/>
        </w:rPr>
        <w:t>Activities</w:t>
      </w:r>
    </w:p>
    <w:p>
      <w:pPr>
        <w:spacing w:before="40"/>
        <w:ind w:left="1219" w:right="1095" w:firstLine="0"/>
        <w:jc w:val="both"/>
        <w:rPr>
          <w:sz w:val="22"/>
        </w:rPr>
      </w:pPr>
      <w:r>
        <w:rPr>
          <w:sz w:val="22"/>
        </w:rPr>
        <w:t>The</w:t>
      </w:r>
      <w:r>
        <w:rPr>
          <w:spacing w:val="-6"/>
          <w:sz w:val="22"/>
        </w:rPr>
        <w:t> </w:t>
      </w:r>
      <w:r>
        <w:rPr>
          <w:sz w:val="22"/>
        </w:rPr>
        <w:t>second</w:t>
      </w:r>
      <w:r>
        <w:rPr>
          <w:spacing w:val="-4"/>
          <w:sz w:val="22"/>
        </w:rPr>
        <w:t> </w:t>
      </w:r>
      <w:r>
        <w:rPr>
          <w:sz w:val="22"/>
        </w:rPr>
        <w:t>half</w:t>
      </w:r>
      <w:r>
        <w:rPr>
          <w:spacing w:val="-3"/>
          <w:sz w:val="22"/>
        </w:rPr>
        <w:t> </w:t>
      </w:r>
      <w:r>
        <w:rPr>
          <w:sz w:val="22"/>
        </w:rPr>
        <w:t>of</w:t>
      </w:r>
      <w:r>
        <w:rPr>
          <w:spacing w:val="-3"/>
          <w:sz w:val="22"/>
        </w:rPr>
        <w:t> </w:t>
      </w:r>
      <w:r>
        <w:rPr>
          <w:sz w:val="22"/>
        </w:rPr>
        <w:t>Budget</w:t>
      </w:r>
      <w:r>
        <w:rPr>
          <w:spacing w:val="-5"/>
          <w:sz w:val="22"/>
        </w:rPr>
        <w:t> </w:t>
      </w:r>
      <w:r>
        <w:rPr>
          <w:sz w:val="22"/>
        </w:rPr>
        <w:t>Period</w:t>
      </w:r>
      <w:r>
        <w:rPr>
          <w:spacing w:val="-4"/>
          <w:sz w:val="22"/>
        </w:rPr>
        <w:t> </w:t>
      </w:r>
      <w:r>
        <w:rPr>
          <w:sz w:val="22"/>
        </w:rPr>
        <w:t>5</w:t>
      </w:r>
      <w:r>
        <w:rPr>
          <w:spacing w:val="-4"/>
          <w:sz w:val="22"/>
        </w:rPr>
        <w:t> </w:t>
      </w:r>
      <w:r>
        <w:rPr>
          <w:sz w:val="22"/>
        </w:rPr>
        <w:t>(July</w:t>
      </w:r>
      <w:r>
        <w:rPr>
          <w:spacing w:val="-6"/>
          <w:sz w:val="22"/>
        </w:rPr>
        <w:t> </w:t>
      </w:r>
      <w:r>
        <w:rPr>
          <w:sz w:val="22"/>
        </w:rPr>
        <w:t>1,</w:t>
      </w:r>
      <w:r>
        <w:rPr>
          <w:spacing w:val="-4"/>
          <w:sz w:val="22"/>
        </w:rPr>
        <w:t> </w:t>
      </w:r>
      <w:r>
        <w:rPr>
          <w:sz w:val="22"/>
        </w:rPr>
        <w:t>2022</w:t>
      </w:r>
      <w:r>
        <w:rPr>
          <w:spacing w:val="-6"/>
          <w:sz w:val="22"/>
        </w:rPr>
        <w:t> </w:t>
      </w:r>
      <w:r>
        <w:rPr>
          <w:sz w:val="22"/>
        </w:rPr>
        <w:t>to</w:t>
      </w:r>
      <w:r>
        <w:rPr>
          <w:spacing w:val="-4"/>
          <w:sz w:val="22"/>
        </w:rPr>
        <w:t> </w:t>
      </w:r>
      <w:r>
        <w:rPr>
          <w:sz w:val="22"/>
        </w:rPr>
        <w:t>December</w:t>
      </w:r>
      <w:r>
        <w:rPr>
          <w:spacing w:val="-3"/>
          <w:sz w:val="22"/>
        </w:rPr>
        <w:t> </w:t>
      </w:r>
      <w:r>
        <w:rPr>
          <w:sz w:val="22"/>
        </w:rPr>
        <w:t>31,</w:t>
      </w:r>
      <w:r>
        <w:rPr>
          <w:spacing w:val="-4"/>
          <w:sz w:val="22"/>
        </w:rPr>
        <w:t> </w:t>
      </w:r>
      <w:r>
        <w:rPr>
          <w:sz w:val="22"/>
        </w:rPr>
        <w:t>2022),</w:t>
      </w:r>
      <w:r>
        <w:rPr>
          <w:spacing w:val="-4"/>
          <w:sz w:val="22"/>
        </w:rPr>
        <w:t> </w:t>
      </w:r>
      <w:r>
        <w:rPr>
          <w:sz w:val="22"/>
        </w:rPr>
        <w:t>as</w:t>
      </w:r>
      <w:r>
        <w:rPr>
          <w:spacing w:val="-3"/>
          <w:sz w:val="22"/>
        </w:rPr>
        <w:t> </w:t>
      </w:r>
      <w:r>
        <w:rPr>
          <w:sz w:val="22"/>
        </w:rPr>
        <w:t>well</w:t>
      </w:r>
      <w:r>
        <w:rPr>
          <w:spacing w:val="-5"/>
          <w:sz w:val="22"/>
        </w:rPr>
        <w:t> </w:t>
      </w:r>
      <w:r>
        <w:rPr>
          <w:sz w:val="22"/>
        </w:rPr>
        <w:t>as</w:t>
      </w:r>
      <w:r>
        <w:rPr>
          <w:spacing w:val="-3"/>
          <w:sz w:val="22"/>
        </w:rPr>
        <w:t> </w:t>
      </w:r>
      <w:r>
        <w:rPr>
          <w:sz w:val="22"/>
        </w:rPr>
        <w:t>the</w:t>
      </w:r>
      <w:r>
        <w:rPr>
          <w:spacing w:val="-3"/>
          <w:sz w:val="22"/>
        </w:rPr>
        <w:t> </w:t>
      </w:r>
      <w:r>
        <w:rPr>
          <w:sz w:val="22"/>
        </w:rPr>
        <w:t>time</w:t>
      </w:r>
      <w:r>
        <w:rPr>
          <w:spacing w:val="-3"/>
          <w:sz w:val="22"/>
        </w:rPr>
        <w:t> </w:t>
      </w:r>
      <w:r>
        <w:rPr>
          <w:sz w:val="22"/>
        </w:rPr>
        <w:t>period</w:t>
      </w:r>
      <w:r>
        <w:rPr>
          <w:spacing w:val="-6"/>
          <w:sz w:val="22"/>
        </w:rPr>
        <w:t> </w:t>
      </w:r>
      <w:r>
        <w:rPr>
          <w:sz w:val="22"/>
        </w:rPr>
        <w:t>during which DSRIP close-out activities will occur, falls outside of the approved demonstration period (July 1, 2017 to June 30, 2022).</w:t>
      </w:r>
      <w:r>
        <w:rPr>
          <w:spacing w:val="40"/>
          <w:sz w:val="22"/>
        </w:rPr>
        <w:t> </w:t>
      </w:r>
      <w:r>
        <w:rPr>
          <w:sz w:val="22"/>
        </w:rPr>
        <w:t>To account for this, the following programmatic and administrative close-out payments will be attributed to the relevant Budget Periods:</w:t>
      </w:r>
    </w:p>
    <w:p>
      <w:pPr>
        <w:spacing w:before="162"/>
        <w:ind w:left="1220" w:right="0" w:firstLine="0"/>
        <w:jc w:val="both"/>
        <w:rPr>
          <w:b/>
          <w:sz w:val="22"/>
        </w:rPr>
      </w:pPr>
      <w:r>
        <w:rPr>
          <w:b/>
          <w:sz w:val="22"/>
          <w:u w:val="single"/>
        </w:rPr>
        <w:t>Programmatic</w:t>
      </w:r>
      <w:r>
        <w:rPr>
          <w:b/>
          <w:spacing w:val="-10"/>
          <w:sz w:val="22"/>
          <w:u w:val="single"/>
        </w:rPr>
        <w:t> </w:t>
      </w:r>
      <w:r>
        <w:rPr>
          <w:b/>
          <w:spacing w:val="-2"/>
          <w:sz w:val="22"/>
          <w:u w:val="single"/>
        </w:rPr>
        <w:t>Payments</w:t>
      </w:r>
    </w:p>
    <w:p>
      <w:pPr>
        <w:pStyle w:val="ListParagraph"/>
        <w:numPr>
          <w:ilvl w:val="0"/>
          <w:numId w:val="66"/>
        </w:numPr>
        <w:tabs>
          <w:tab w:pos="1940" w:val="left" w:leader="none"/>
        </w:tabs>
        <w:spacing w:line="269" w:lineRule="exact" w:before="180" w:after="0"/>
        <w:ind w:left="1940" w:right="0" w:hanging="360"/>
        <w:jc w:val="left"/>
        <w:rPr>
          <w:sz w:val="22"/>
        </w:rPr>
      </w:pPr>
      <w:r>
        <w:rPr>
          <w:sz w:val="22"/>
        </w:rPr>
        <w:t>ACO</w:t>
      </w:r>
      <w:r>
        <w:rPr>
          <w:spacing w:val="-7"/>
          <w:sz w:val="22"/>
        </w:rPr>
        <w:t> </w:t>
      </w:r>
      <w:r>
        <w:rPr>
          <w:sz w:val="22"/>
        </w:rPr>
        <w:t>Startup/Ongoing</w:t>
      </w:r>
      <w:r>
        <w:rPr>
          <w:spacing w:val="-7"/>
          <w:sz w:val="22"/>
        </w:rPr>
        <w:t> </w:t>
      </w:r>
      <w:r>
        <w:rPr>
          <w:sz w:val="22"/>
        </w:rPr>
        <w:t>payments</w:t>
      </w:r>
      <w:r>
        <w:rPr>
          <w:spacing w:val="-4"/>
          <w:sz w:val="22"/>
        </w:rPr>
        <w:t> </w:t>
      </w:r>
      <w:r>
        <w:rPr>
          <w:sz w:val="22"/>
        </w:rPr>
        <w:t>(see</w:t>
      </w:r>
      <w:r>
        <w:rPr>
          <w:spacing w:val="-4"/>
          <w:sz w:val="22"/>
        </w:rPr>
        <w:t> </w:t>
      </w:r>
      <w:r>
        <w:rPr>
          <w:sz w:val="22"/>
        </w:rPr>
        <w:t>Section</w:t>
      </w:r>
      <w:r>
        <w:rPr>
          <w:spacing w:val="-4"/>
          <w:sz w:val="22"/>
        </w:rPr>
        <w:t> </w:t>
      </w:r>
      <w:r>
        <w:rPr>
          <w:spacing w:val="-2"/>
          <w:sz w:val="22"/>
        </w:rPr>
        <w:t>4.4.1)</w:t>
      </w:r>
    </w:p>
    <w:p>
      <w:pPr>
        <w:pStyle w:val="ListParagraph"/>
        <w:numPr>
          <w:ilvl w:val="0"/>
          <w:numId w:val="66"/>
        </w:numPr>
        <w:tabs>
          <w:tab w:pos="1940" w:val="left" w:leader="none"/>
        </w:tabs>
        <w:spacing w:line="269" w:lineRule="exact" w:before="0" w:after="0"/>
        <w:ind w:left="1940" w:right="0" w:hanging="360"/>
        <w:jc w:val="left"/>
        <w:rPr>
          <w:sz w:val="22"/>
        </w:rPr>
      </w:pPr>
      <w:r>
        <w:rPr>
          <w:sz w:val="22"/>
        </w:rPr>
        <w:t>ACO</w:t>
      </w:r>
      <w:r>
        <w:rPr>
          <w:spacing w:val="-6"/>
          <w:sz w:val="22"/>
        </w:rPr>
        <w:t> </w:t>
      </w:r>
      <w:r>
        <w:rPr>
          <w:sz w:val="22"/>
        </w:rPr>
        <w:t>DSTI</w:t>
      </w:r>
      <w:r>
        <w:rPr>
          <w:spacing w:val="-7"/>
          <w:sz w:val="22"/>
        </w:rPr>
        <w:t> </w:t>
      </w:r>
      <w:r>
        <w:rPr>
          <w:sz w:val="22"/>
        </w:rPr>
        <w:t>Glide</w:t>
      </w:r>
      <w:r>
        <w:rPr>
          <w:spacing w:val="-2"/>
          <w:sz w:val="22"/>
        </w:rPr>
        <w:t> </w:t>
      </w:r>
      <w:r>
        <w:rPr>
          <w:sz w:val="22"/>
        </w:rPr>
        <w:t>Path</w:t>
      </w:r>
      <w:r>
        <w:rPr>
          <w:spacing w:val="-6"/>
          <w:sz w:val="22"/>
        </w:rPr>
        <w:t> </w:t>
      </w:r>
      <w:r>
        <w:rPr>
          <w:sz w:val="22"/>
        </w:rPr>
        <w:t>payments</w:t>
      </w:r>
      <w:r>
        <w:rPr>
          <w:spacing w:val="-2"/>
          <w:sz w:val="22"/>
        </w:rPr>
        <w:t> </w:t>
      </w:r>
      <w:r>
        <w:rPr>
          <w:sz w:val="22"/>
        </w:rPr>
        <w:t>(see</w:t>
      </w:r>
      <w:r>
        <w:rPr>
          <w:spacing w:val="-3"/>
          <w:sz w:val="22"/>
        </w:rPr>
        <w:t> </w:t>
      </w:r>
      <w:r>
        <w:rPr>
          <w:sz w:val="22"/>
        </w:rPr>
        <w:t>Section</w:t>
      </w:r>
      <w:r>
        <w:rPr>
          <w:spacing w:val="-3"/>
          <w:sz w:val="22"/>
        </w:rPr>
        <w:t> </w:t>
      </w:r>
      <w:r>
        <w:rPr>
          <w:spacing w:val="-2"/>
          <w:sz w:val="22"/>
        </w:rPr>
        <w:t>4.4.3)</w:t>
      </w:r>
    </w:p>
    <w:p>
      <w:pPr>
        <w:pStyle w:val="ListParagraph"/>
        <w:numPr>
          <w:ilvl w:val="0"/>
          <w:numId w:val="66"/>
        </w:numPr>
        <w:tabs>
          <w:tab w:pos="1940" w:val="left" w:leader="none"/>
        </w:tabs>
        <w:spacing w:line="269" w:lineRule="exact" w:before="0" w:after="0"/>
        <w:ind w:left="1940" w:right="0" w:hanging="360"/>
        <w:jc w:val="left"/>
        <w:rPr>
          <w:sz w:val="22"/>
        </w:rPr>
      </w:pPr>
      <w:r>
        <w:rPr>
          <w:sz w:val="22"/>
        </w:rPr>
        <w:t>ACO</w:t>
      </w:r>
      <w:r>
        <w:rPr>
          <w:spacing w:val="-5"/>
          <w:sz w:val="22"/>
        </w:rPr>
        <w:t> </w:t>
      </w:r>
      <w:r>
        <w:rPr>
          <w:sz w:val="22"/>
        </w:rPr>
        <w:t>Flexible</w:t>
      </w:r>
      <w:r>
        <w:rPr>
          <w:spacing w:val="-4"/>
          <w:sz w:val="22"/>
        </w:rPr>
        <w:t> </w:t>
      </w:r>
      <w:r>
        <w:rPr>
          <w:sz w:val="22"/>
        </w:rPr>
        <w:t>Services</w:t>
      </w:r>
      <w:r>
        <w:rPr>
          <w:spacing w:val="-4"/>
          <w:sz w:val="22"/>
        </w:rPr>
        <w:t> </w:t>
      </w:r>
      <w:r>
        <w:rPr>
          <w:sz w:val="22"/>
        </w:rPr>
        <w:t>payments</w:t>
      </w:r>
      <w:r>
        <w:rPr>
          <w:spacing w:val="-4"/>
          <w:sz w:val="22"/>
        </w:rPr>
        <w:t> </w:t>
      </w:r>
      <w:r>
        <w:rPr>
          <w:sz w:val="22"/>
        </w:rPr>
        <w:t>(see</w:t>
      </w:r>
      <w:r>
        <w:rPr>
          <w:spacing w:val="-4"/>
          <w:sz w:val="22"/>
        </w:rPr>
        <w:t> </w:t>
      </w:r>
      <w:r>
        <w:rPr>
          <w:sz w:val="22"/>
        </w:rPr>
        <w:t>Section</w:t>
      </w:r>
      <w:r>
        <w:rPr>
          <w:spacing w:val="-3"/>
          <w:sz w:val="22"/>
        </w:rPr>
        <w:t> </w:t>
      </w:r>
      <w:r>
        <w:rPr>
          <w:spacing w:val="-2"/>
          <w:sz w:val="22"/>
        </w:rPr>
        <w:t>4.2.2)</w:t>
      </w:r>
    </w:p>
    <w:p>
      <w:pPr>
        <w:pStyle w:val="ListParagraph"/>
        <w:numPr>
          <w:ilvl w:val="0"/>
          <w:numId w:val="66"/>
        </w:numPr>
        <w:tabs>
          <w:tab w:pos="1940" w:val="left" w:leader="none"/>
        </w:tabs>
        <w:spacing w:line="269" w:lineRule="exact" w:before="0" w:after="0"/>
        <w:ind w:left="1940" w:right="0" w:hanging="360"/>
        <w:jc w:val="left"/>
        <w:rPr>
          <w:sz w:val="22"/>
        </w:rPr>
      </w:pPr>
      <w:r>
        <w:rPr>
          <w:sz w:val="22"/>
        </w:rPr>
        <w:t>CP</w:t>
      </w:r>
      <w:r>
        <w:rPr>
          <w:spacing w:val="-4"/>
          <w:sz w:val="22"/>
        </w:rPr>
        <w:t> </w:t>
      </w:r>
      <w:r>
        <w:rPr>
          <w:sz w:val="22"/>
        </w:rPr>
        <w:t>and</w:t>
      </w:r>
      <w:r>
        <w:rPr>
          <w:spacing w:val="-3"/>
          <w:sz w:val="22"/>
        </w:rPr>
        <w:t> </w:t>
      </w:r>
      <w:r>
        <w:rPr>
          <w:sz w:val="22"/>
        </w:rPr>
        <w:t>CSA</w:t>
      </w:r>
      <w:r>
        <w:rPr>
          <w:spacing w:val="-4"/>
          <w:sz w:val="22"/>
        </w:rPr>
        <w:t> </w:t>
      </w:r>
      <w:r>
        <w:rPr>
          <w:sz w:val="22"/>
        </w:rPr>
        <w:t>Infrastructure</w:t>
      </w:r>
      <w:r>
        <w:rPr>
          <w:spacing w:val="-5"/>
          <w:sz w:val="22"/>
        </w:rPr>
        <w:t> </w:t>
      </w:r>
      <w:r>
        <w:rPr>
          <w:sz w:val="22"/>
        </w:rPr>
        <w:t>and</w:t>
      </w:r>
      <w:r>
        <w:rPr>
          <w:spacing w:val="-2"/>
          <w:sz w:val="22"/>
        </w:rPr>
        <w:t> </w:t>
      </w:r>
      <w:r>
        <w:rPr>
          <w:sz w:val="22"/>
        </w:rPr>
        <w:t>Capacity</w:t>
      </w:r>
      <w:r>
        <w:rPr>
          <w:spacing w:val="-6"/>
          <w:sz w:val="22"/>
        </w:rPr>
        <w:t> </w:t>
      </w:r>
      <w:r>
        <w:rPr>
          <w:sz w:val="22"/>
        </w:rPr>
        <w:t>Building</w:t>
      </w:r>
      <w:r>
        <w:rPr>
          <w:spacing w:val="-6"/>
          <w:sz w:val="22"/>
        </w:rPr>
        <w:t> </w:t>
      </w:r>
      <w:r>
        <w:rPr>
          <w:sz w:val="22"/>
        </w:rPr>
        <w:t>payments</w:t>
      </w:r>
      <w:r>
        <w:rPr>
          <w:spacing w:val="-3"/>
          <w:sz w:val="22"/>
        </w:rPr>
        <w:t> </w:t>
      </w:r>
      <w:r>
        <w:rPr>
          <w:sz w:val="22"/>
        </w:rPr>
        <w:t>(see</w:t>
      </w:r>
      <w:r>
        <w:rPr>
          <w:spacing w:val="-2"/>
          <w:sz w:val="22"/>
        </w:rPr>
        <w:t> </w:t>
      </w:r>
      <w:r>
        <w:rPr>
          <w:sz w:val="22"/>
        </w:rPr>
        <w:t>Sections</w:t>
      </w:r>
      <w:r>
        <w:rPr>
          <w:spacing w:val="-3"/>
          <w:sz w:val="22"/>
        </w:rPr>
        <w:t> </w:t>
      </w:r>
      <w:r>
        <w:rPr>
          <w:sz w:val="22"/>
        </w:rPr>
        <w:t>4.5.2,</w:t>
      </w:r>
      <w:r>
        <w:rPr>
          <w:spacing w:val="-3"/>
          <w:sz w:val="22"/>
        </w:rPr>
        <w:t> </w:t>
      </w:r>
      <w:r>
        <w:rPr>
          <w:sz w:val="22"/>
        </w:rPr>
        <w:t>4.5.5,</w:t>
      </w:r>
      <w:r>
        <w:rPr>
          <w:spacing w:val="-3"/>
          <w:sz w:val="22"/>
        </w:rPr>
        <w:t> </w:t>
      </w:r>
      <w:r>
        <w:rPr>
          <w:sz w:val="22"/>
        </w:rPr>
        <w:t>and</w:t>
      </w:r>
      <w:r>
        <w:rPr>
          <w:spacing w:val="-5"/>
          <w:sz w:val="22"/>
        </w:rPr>
        <w:t> </w:t>
      </w:r>
      <w:r>
        <w:rPr>
          <w:spacing w:val="-2"/>
          <w:sz w:val="22"/>
        </w:rPr>
        <w:t>4.5.7)</w:t>
      </w:r>
    </w:p>
    <w:p>
      <w:pPr>
        <w:pStyle w:val="ListParagraph"/>
        <w:numPr>
          <w:ilvl w:val="0"/>
          <w:numId w:val="66"/>
        </w:numPr>
        <w:tabs>
          <w:tab w:pos="1940" w:val="left" w:leader="none"/>
        </w:tabs>
        <w:spacing w:line="269" w:lineRule="exact" w:before="0" w:after="0"/>
        <w:ind w:left="1940" w:right="0" w:hanging="360"/>
        <w:jc w:val="left"/>
        <w:rPr>
          <w:sz w:val="22"/>
        </w:rPr>
      </w:pPr>
      <w:r>
        <w:rPr>
          <w:sz w:val="22"/>
        </w:rPr>
        <w:t>CP</w:t>
      </w:r>
      <w:r>
        <w:rPr>
          <w:spacing w:val="-7"/>
          <w:sz w:val="22"/>
        </w:rPr>
        <w:t> </w:t>
      </w:r>
      <w:r>
        <w:rPr>
          <w:sz w:val="22"/>
        </w:rPr>
        <w:t>Care</w:t>
      </w:r>
      <w:r>
        <w:rPr>
          <w:spacing w:val="-4"/>
          <w:sz w:val="22"/>
        </w:rPr>
        <w:t> </w:t>
      </w:r>
      <w:r>
        <w:rPr>
          <w:sz w:val="22"/>
        </w:rPr>
        <w:t>Coordination</w:t>
      </w:r>
      <w:r>
        <w:rPr>
          <w:spacing w:val="-4"/>
          <w:sz w:val="22"/>
        </w:rPr>
        <w:t> </w:t>
      </w:r>
      <w:r>
        <w:rPr>
          <w:sz w:val="22"/>
        </w:rPr>
        <w:t>payments</w:t>
      </w:r>
      <w:r>
        <w:rPr>
          <w:spacing w:val="-3"/>
          <w:sz w:val="22"/>
        </w:rPr>
        <w:t> </w:t>
      </w:r>
      <w:r>
        <w:rPr>
          <w:sz w:val="22"/>
        </w:rPr>
        <w:t>(see</w:t>
      </w:r>
      <w:r>
        <w:rPr>
          <w:spacing w:val="-4"/>
          <w:sz w:val="22"/>
        </w:rPr>
        <w:t> </w:t>
      </w:r>
      <w:r>
        <w:rPr>
          <w:sz w:val="22"/>
        </w:rPr>
        <w:t>Sections</w:t>
      </w:r>
      <w:r>
        <w:rPr>
          <w:spacing w:val="-4"/>
          <w:sz w:val="22"/>
        </w:rPr>
        <w:t> </w:t>
      </w:r>
      <w:r>
        <w:rPr>
          <w:sz w:val="22"/>
        </w:rPr>
        <w:t>4.5.1</w:t>
      </w:r>
      <w:r>
        <w:rPr>
          <w:spacing w:val="-4"/>
          <w:sz w:val="22"/>
        </w:rPr>
        <w:t> </w:t>
      </w:r>
      <w:r>
        <w:rPr>
          <w:sz w:val="22"/>
        </w:rPr>
        <w:t>and</w:t>
      </w:r>
      <w:r>
        <w:rPr>
          <w:spacing w:val="-3"/>
          <w:sz w:val="22"/>
        </w:rPr>
        <w:t> </w:t>
      </w:r>
      <w:r>
        <w:rPr>
          <w:spacing w:val="-2"/>
          <w:sz w:val="22"/>
        </w:rPr>
        <w:t>4.5.4)</w:t>
      </w:r>
    </w:p>
    <w:p>
      <w:pPr>
        <w:pStyle w:val="ListParagraph"/>
        <w:numPr>
          <w:ilvl w:val="0"/>
          <w:numId w:val="66"/>
        </w:numPr>
        <w:tabs>
          <w:tab w:pos="1940" w:val="left" w:leader="none"/>
        </w:tabs>
        <w:spacing w:line="269" w:lineRule="exact" w:before="0" w:after="0"/>
        <w:ind w:left="1940" w:right="0" w:hanging="360"/>
        <w:jc w:val="left"/>
        <w:rPr>
          <w:sz w:val="22"/>
        </w:rPr>
      </w:pPr>
      <w:r>
        <w:rPr>
          <w:sz w:val="22"/>
        </w:rPr>
        <w:t>CP</w:t>
      </w:r>
      <w:r>
        <w:rPr>
          <w:spacing w:val="-5"/>
          <w:sz w:val="22"/>
        </w:rPr>
        <w:t> </w:t>
      </w:r>
      <w:r>
        <w:rPr>
          <w:sz w:val="22"/>
        </w:rPr>
        <w:t>Outcomes-Based</w:t>
      </w:r>
      <w:r>
        <w:rPr>
          <w:spacing w:val="-3"/>
          <w:sz w:val="22"/>
        </w:rPr>
        <w:t> </w:t>
      </w:r>
      <w:r>
        <w:rPr>
          <w:sz w:val="22"/>
        </w:rPr>
        <w:t>Payments</w:t>
      </w:r>
      <w:r>
        <w:rPr>
          <w:spacing w:val="-5"/>
          <w:sz w:val="22"/>
        </w:rPr>
        <w:t> </w:t>
      </w:r>
      <w:r>
        <w:rPr>
          <w:sz w:val="22"/>
        </w:rPr>
        <w:t>(see</w:t>
      </w:r>
      <w:r>
        <w:rPr>
          <w:spacing w:val="-4"/>
          <w:sz w:val="22"/>
        </w:rPr>
        <w:t> </w:t>
      </w:r>
      <w:r>
        <w:rPr>
          <w:sz w:val="22"/>
        </w:rPr>
        <w:t>Sections</w:t>
      </w:r>
      <w:r>
        <w:rPr>
          <w:spacing w:val="-6"/>
          <w:sz w:val="22"/>
        </w:rPr>
        <w:t> </w:t>
      </w:r>
      <w:r>
        <w:rPr>
          <w:sz w:val="22"/>
        </w:rPr>
        <w:t>4.5.3</w:t>
      </w:r>
      <w:r>
        <w:rPr>
          <w:spacing w:val="-3"/>
          <w:sz w:val="22"/>
        </w:rPr>
        <w:t> </w:t>
      </w:r>
      <w:r>
        <w:rPr>
          <w:sz w:val="22"/>
        </w:rPr>
        <w:t>and</w:t>
      </w:r>
      <w:r>
        <w:rPr>
          <w:spacing w:val="-6"/>
          <w:sz w:val="22"/>
        </w:rPr>
        <w:t> </w:t>
      </w:r>
      <w:r>
        <w:rPr>
          <w:spacing w:val="-2"/>
          <w:sz w:val="22"/>
        </w:rPr>
        <w:t>4.5.6)</w:t>
      </w:r>
    </w:p>
    <w:p>
      <w:pPr>
        <w:pStyle w:val="ListParagraph"/>
        <w:numPr>
          <w:ilvl w:val="0"/>
          <w:numId w:val="66"/>
        </w:numPr>
        <w:tabs>
          <w:tab w:pos="1940" w:val="left" w:leader="none"/>
        </w:tabs>
        <w:spacing w:line="269" w:lineRule="exact" w:before="0" w:after="0"/>
        <w:ind w:left="1940" w:right="0" w:hanging="360"/>
        <w:jc w:val="left"/>
        <w:rPr>
          <w:sz w:val="22"/>
        </w:rPr>
      </w:pPr>
      <w:r>
        <w:rPr>
          <w:sz w:val="22"/>
        </w:rPr>
        <w:t>ACO,</w:t>
      </w:r>
      <w:r>
        <w:rPr>
          <w:spacing w:val="-3"/>
          <w:sz w:val="22"/>
        </w:rPr>
        <w:t> </w:t>
      </w:r>
      <w:r>
        <w:rPr>
          <w:sz w:val="22"/>
        </w:rPr>
        <w:t>CP,</w:t>
      </w:r>
      <w:r>
        <w:rPr>
          <w:spacing w:val="-3"/>
          <w:sz w:val="22"/>
        </w:rPr>
        <w:t> </w:t>
      </w:r>
      <w:r>
        <w:rPr>
          <w:sz w:val="22"/>
        </w:rPr>
        <w:t>and</w:t>
      </w:r>
      <w:r>
        <w:rPr>
          <w:spacing w:val="-3"/>
          <w:sz w:val="22"/>
        </w:rPr>
        <w:t> </w:t>
      </w:r>
      <w:r>
        <w:rPr>
          <w:sz w:val="22"/>
        </w:rPr>
        <w:t>CSA</w:t>
      </w:r>
      <w:r>
        <w:rPr>
          <w:spacing w:val="-3"/>
          <w:sz w:val="22"/>
        </w:rPr>
        <w:t> </w:t>
      </w:r>
      <w:r>
        <w:rPr>
          <w:sz w:val="22"/>
        </w:rPr>
        <w:t>Earned</w:t>
      </w:r>
      <w:r>
        <w:rPr>
          <w:spacing w:val="-6"/>
          <w:sz w:val="22"/>
        </w:rPr>
        <w:t> </w:t>
      </w:r>
      <w:r>
        <w:rPr>
          <w:sz w:val="22"/>
        </w:rPr>
        <w:t>At-Risk</w:t>
      </w:r>
      <w:r>
        <w:rPr>
          <w:spacing w:val="-5"/>
          <w:sz w:val="22"/>
        </w:rPr>
        <w:t> </w:t>
      </w:r>
      <w:r>
        <w:rPr>
          <w:sz w:val="22"/>
        </w:rPr>
        <w:t>payments</w:t>
      </w:r>
      <w:r>
        <w:rPr>
          <w:spacing w:val="-3"/>
          <w:sz w:val="22"/>
        </w:rPr>
        <w:t> </w:t>
      </w:r>
      <w:r>
        <w:rPr>
          <w:sz w:val="22"/>
        </w:rPr>
        <w:t>(see</w:t>
      </w:r>
      <w:r>
        <w:rPr>
          <w:spacing w:val="-3"/>
          <w:sz w:val="22"/>
        </w:rPr>
        <w:t> </w:t>
      </w:r>
      <w:r>
        <w:rPr>
          <w:sz w:val="22"/>
        </w:rPr>
        <w:t>Section</w:t>
      </w:r>
      <w:r>
        <w:rPr>
          <w:spacing w:val="-5"/>
          <w:sz w:val="22"/>
        </w:rPr>
        <w:t> </w:t>
      </w:r>
      <w:r>
        <w:rPr>
          <w:spacing w:val="-2"/>
          <w:sz w:val="22"/>
        </w:rPr>
        <w:t>5.1.2)</w:t>
      </w:r>
    </w:p>
    <w:p>
      <w:pPr>
        <w:pStyle w:val="ListParagraph"/>
        <w:numPr>
          <w:ilvl w:val="0"/>
          <w:numId w:val="66"/>
        </w:numPr>
        <w:tabs>
          <w:tab w:pos="1940" w:val="left" w:leader="none"/>
        </w:tabs>
        <w:spacing w:line="269" w:lineRule="exact" w:before="0" w:after="0"/>
        <w:ind w:left="1940" w:right="0" w:hanging="360"/>
        <w:jc w:val="left"/>
        <w:rPr>
          <w:sz w:val="22"/>
        </w:rPr>
      </w:pPr>
      <w:r>
        <w:rPr>
          <w:sz w:val="22"/>
        </w:rPr>
        <w:t>ACO,</w:t>
      </w:r>
      <w:r>
        <w:rPr>
          <w:spacing w:val="-6"/>
          <w:sz w:val="22"/>
        </w:rPr>
        <w:t> </w:t>
      </w:r>
      <w:r>
        <w:rPr>
          <w:sz w:val="22"/>
        </w:rPr>
        <w:t>CP,</w:t>
      </w:r>
      <w:r>
        <w:rPr>
          <w:spacing w:val="-3"/>
          <w:sz w:val="22"/>
        </w:rPr>
        <w:t> </w:t>
      </w:r>
      <w:r>
        <w:rPr>
          <w:sz w:val="22"/>
        </w:rPr>
        <w:t>and</w:t>
      </w:r>
      <w:r>
        <w:rPr>
          <w:spacing w:val="-3"/>
          <w:sz w:val="22"/>
        </w:rPr>
        <w:t> </w:t>
      </w:r>
      <w:r>
        <w:rPr>
          <w:sz w:val="22"/>
        </w:rPr>
        <w:t>CSA</w:t>
      </w:r>
      <w:r>
        <w:rPr>
          <w:spacing w:val="-5"/>
          <w:sz w:val="22"/>
        </w:rPr>
        <w:t> </w:t>
      </w:r>
      <w:r>
        <w:rPr>
          <w:sz w:val="22"/>
        </w:rPr>
        <w:t>Performance</w:t>
      </w:r>
      <w:r>
        <w:rPr>
          <w:spacing w:val="-3"/>
          <w:sz w:val="22"/>
        </w:rPr>
        <w:t> </w:t>
      </w:r>
      <w:r>
        <w:rPr>
          <w:sz w:val="22"/>
        </w:rPr>
        <w:t>Remediation</w:t>
      </w:r>
      <w:r>
        <w:rPr>
          <w:spacing w:val="-6"/>
          <w:sz w:val="22"/>
        </w:rPr>
        <w:t> </w:t>
      </w:r>
      <w:r>
        <w:rPr>
          <w:sz w:val="22"/>
        </w:rPr>
        <w:t>Plan</w:t>
      </w:r>
      <w:r>
        <w:rPr>
          <w:spacing w:val="-3"/>
          <w:sz w:val="22"/>
        </w:rPr>
        <w:t> </w:t>
      </w:r>
      <w:r>
        <w:rPr>
          <w:sz w:val="22"/>
        </w:rPr>
        <w:t>payments</w:t>
      </w:r>
      <w:r>
        <w:rPr>
          <w:spacing w:val="-3"/>
          <w:sz w:val="22"/>
        </w:rPr>
        <w:t> </w:t>
      </w:r>
      <w:r>
        <w:rPr>
          <w:sz w:val="22"/>
        </w:rPr>
        <w:t>(see</w:t>
      </w:r>
      <w:r>
        <w:rPr>
          <w:spacing w:val="-4"/>
          <w:sz w:val="22"/>
        </w:rPr>
        <w:t> </w:t>
      </w:r>
      <w:r>
        <w:rPr>
          <w:sz w:val="22"/>
        </w:rPr>
        <w:t>Sections</w:t>
      </w:r>
      <w:r>
        <w:rPr>
          <w:spacing w:val="-5"/>
          <w:sz w:val="22"/>
        </w:rPr>
        <w:t> </w:t>
      </w:r>
      <w:r>
        <w:rPr>
          <w:sz w:val="22"/>
        </w:rPr>
        <w:t>5.3.4.2</w:t>
      </w:r>
      <w:r>
        <w:rPr>
          <w:spacing w:val="-3"/>
          <w:sz w:val="22"/>
        </w:rPr>
        <w:t> </w:t>
      </w:r>
      <w:r>
        <w:rPr>
          <w:sz w:val="22"/>
        </w:rPr>
        <w:t>and</w:t>
      </w:r>
      <w:r>
        <w:rPr>
          <w:spacing w:val="-3"/>
          <w:sz w:val="22"/>
        </w:rPr>
        <w:t> </w:t>
      </w:r>
      <w:r>
        <w:rPr>
          <w:spacing w:val="-2"/>
          <w:sz w:val="22"/>
        </w:rPr>
        <w:t>5.4.6.1)</w:t>
      </w:r>
    </w:p>
    <w:p>
      <w:pPr>
        <w:spacing w:line="240" w:lineRule="auto" w:before="197"/>
        <w:ind w:left="1219" w:right="1093" w:firstLine="0"/>
        <w:jc w:val="both"/>
        <w:rPr>
          <w:sz w:val="22"/>
        </w:rPr>
      </w:pPr>
      <w:r>
        <w:rPr>
          <w:sz w:val="22"/>
        </w:rPr>
        <w:t>The</w:t>
      </w:r>
      <w:r>
        <w:rPr>
          <w:spacing w:val="-6"/>
          <w:sz w:val="22"/>
        </w:rPr>
        <w:t> </w:t>
      </w:r>
      <w:r>
        <w:rPr>
          <w:sz w:val="22"/>
        </w:rPr>
        <w:t>ACO</w:t>
      </w:r>
      <w:r>
        <w:rPr>
          <w:spacing w:val="-5"/>
          <w:sz w:val="22"/>
        </w:rPr>
        <w:t> </w:t>
      </w:r>
      <w:r>
        <w:rPr>
          <w:sz w:val="22"/>
        </w:rPr>
        <w:t>Startup/Ongoing,</w:t>
      </w:r>
      <w:r>
        <w:rPr>
          <w:spacing w:val="-6"/>
          <w:sz w:val="22"/>
        </w:rPr>
        <w:t> </w:t>
      </w:r>
      <w:r>
        <w:rPr>
          <w:sz w:val="22"/>
        </w:rPr>
        <w:t>DSTI</w:t>
      </w:r>
      <w:r>
        <w:rPr>
          <w:spacing w:val="-8"/>
          <w:sz w:val="22"/>
        </w:rPr>
        <w:t> </w:t>
      </w:r>
      <w:r>
        <w:rPr>
          <w:sz w:val="22"/>
        </w:rPr>
        <w:t>Glide</w:t>
      </w:r>
      <w:r>
        <w:rPr>
          <w:spacing w:val="-6"/>
          <w:sz w:val="22"/>
        </w:rPr>
        <w:t> </w:t>
      </w:r>
      <w:r>
        <w:rPr>
          <w:sz w:val="22"/>
        </w:rPr>
        <w:t>Path,</w:t>
      </w:r>
      <w:r>
        <w:rPr>
          <w:spacing w:val="-6"/>
          <w:sz w:val="22"/>
        </w:rPr>
        <w:t> </w:t>
      </w:r>
      <w:r>
        <w:rPr>
          <w:sz w:val="22"/>
        </w:rPr>
        <w:t>and</w:t>
      </w:r>
      <w:r>
        <w:rPr>
          <w:spacing w:val="-5"/>
          <w:sz w:val="22"/>
        </w:rPr>
        <w:t> </w:t>
      </w:r>
      <w:r>
        <w:rPr>
          <w:sz w:val="22"/>
        </w:rPr>
        <w:t>CP/CSA</w:t>
      </w:r>
      <w:r>
        <w:rPr>
          <w:spacing w:val="-5"/>
          <w:sz w:val="22"/>
        </w:rPr>
        <w:t> </w:t>
      </w:r>
      <w:r>
        <w:rPr>
          <w:sz w:val="22"/>
        </w:rPr>
        <w:t>Infrastructure</w:t>
      </w:r>
      <w:r>
        <w:rPr>
          <w:spacing w:val="-6"/>
          <w:sz w:val="22"/>
        </w:rPr>
        <w:t> </w:t>
      </w:r>
      <w:r>
        <w:rPr>
          <w:sz w:val="22"/>
        </w:rPr>
        <w:t>and</w:t>
      </w:r>
      <w:r>
        <w:rPr>
          <w:spacing w:val="-6"/>
          <w:sz w:val="22"/>
        </w:rPr>
        <w:t> </w:t>
      </w:r>
      <w:r>
        <w:rPr>
          <w:sz w:val="22"/>
        </w:rPr>
        <w:t>Capacity</w:t>
      </w:r>
      <w:r>
        <w:rPr>
          <w:spacing w:val="-6"/>
          <w:sz w:val="22"/>
        </w:rPr>
        <w:t> </w:t>
      </w:r>
      <w:r>
        <w:rPr>
          <w:sz w:val="22"/>
        </w:rPr>
        <w:t>Building</w:t>
      </w:r>
      <w:r>
        <w:rPr>
          <w:spacing w:val="-6"/>
          <w:sz w:val="22"/>
        </w:rPr>
        <w:t> </w:t>
      </w:r>
      <w:r>
        <w:rPr>
          <w:sz w:val="22"/>
        </w:rPr>
        <w:t>payments attributed to the first half of BP5 will be twice the amount as what they would have been if payments had been attributed throughout the whole BP. For example, if an ACO had $100 total of non-at-risk startup/ongoing</w:t>
      </w:r>
      <w:r>
        <w:rPr>
          <w:spacing w:val="-6"/>
          <w:sz w:val="22"/>
        </w:rPr>
        <w:t> </w:t>
      </w:r>
      <w:r>
        <w:rPr>
          <w:sz w:val="22"/>
        </w:rPr>
        <w:t>funds</w:t>
      </w:r>
      <w:r>
        <w:rPr>
          <w:spacing w:val="-3"/>
          <w:sz w:val="22"/>
        </w:rPr>
        <w:t> </w:t>
      </w:r>
      <w:r>
        <w:rPr>
          <w:sz w:val="22"/>
        </w:rPr>
        <w:t>for</w:t>
      </w:r>
      <w:r>
        <w:rPr>
          <w:spacing w:val="-3"/>
          <w:sz w:val="22"/>
        </w:rPr>
        <w:t> </w:t>
      </w:r>
      <w:r>
        <w:rPr>
          <w:sz w:val="22"/>
        </w:rPr>
        <w:t>BP5,</w:t>
      </w:r>
      <w:r>
        <w:rPr>
          <w:spacing w:val="-4"/>
          <w:sz w:val="22"/>
        </w:rPr>
        <w:t> </w:t>
      </w:r>
      <w:r>
        <w:rPr>
          <w:sz w:val="22"/>
        </w:rPr>
        <w:t>payments</w:t>
      </w:r>
      <w:r>
        <w:rPr>
          <w:spacing w:val="-3"/>
          <w:sz w:val="22"/>
        </w:rPr>
        <w:t> </w:t>
      </w:r>
      <w:r>
        <w:rPr>
          <w:sz w:val="22"/>
        </w:rPr>
        <w:t>attributed</w:t>
      </w:r>
      <w:r>
        <w:rPr>
          <w:spacing w:val="-6"/>
          <w:sz w:val="22"/>
        </w:rPr>
        <w:t> </w:t>
      </w:r>
      <w:r>
        <w:rPr>
          <w:sz w:val="22"/>
        </w:rPr>
        <w:t>to</w:t>
      </w:r>
      <w:r>
        <w:rPr>
          <w:spacing w:val="-6"/>
          <w:sz w:val="22"/>
        </w:rPr>
        <w:t> </w:t>
      </w:r>
      <w:r>
        <w:rPr>
          <w:sz w:val="22"/>
        </w:rPr>
        <w:t>BP5</w:t>
      </w:r>
      <w:r>
        <w:rPr>
          <w:spacing w:val="-4"/>
          <w:sz w:val="22"/>
        </w:rPr>
        <w:t> </w:t>
      </w:r>
      <w:r>
        <w:rPr>
          <w:sz w:val="22"/>
        </w:rPr>
        <w:t>would</w:t>
      </w:r>
      <w:r>
        <w:rPr>
          <w:spacing w:val="-4"/>
          <w:sz w:val="22"/>
        </w:rPr>
        <w:t> </w:t>
      </w:r>
      <w:r>
        <w:rPr>
          <w:sz w:val="22"/>
        </w:rPr>
        <w:t>be</w:t>
      </w:r>
      <w:r>
        <w:rPr>
          <w:spacing w:val="-3"/>
          <w:sz w:val="22"/>
        </w:rPr>
        <w:t> </w:t>
      </w:r>
      <w:r>
        <w:rPr>
          <w:sz w:val="22"/>
        </w:rPr>
        <w:t>split</w:t>
      </w:r>
      <w:r>
        <w:rPr>
          <w:spacing w:val="-3"/>
          <w:sz w:val="22"/>
        </w:rPr>
        <w:t> </w:t>
      </w:r>
      <w:r>
        <w:rPr>
          <w:sz w:val="22"/>
        </w:rPr>
        <w:t>between</w:t>
      </w:r>
      <w:r>
        <w:rPr>
          <w:spacing w:val="-4"/>
          <w:sz w:val="22"/>
        </w:rPr>
        <w:t> </w:t>
      </w:r>
      <w:r>
        <w:rPr>
          <w:sz w:val="22"/>
        </w:rPr>
        <w:t>the</w:t>
      </w:r>
      <w:r>
        <w:rPr>
          <w:spacing w:val="-3"/>
          <w:sz w:val="22"/>
        </w:rPr>
        <w:t> </w:t>
      </w:r>
      <w:r>
        <w:rPr>
          <w:sz w:val="22"/>
        </w:rPr>
        <w:t>first</w:t>
      </w:r>
      <w:r>
        <w:rPr>
          <w:spacing w:val="-5"/>
          <w:sz w:val="22"/>
        </w:rPr>
        <w:t> </w:t>
      </w:r>
      <w:r>
        <w:rPr>
          <w:sz w:val="22"/>
        </w:rPr>
        <w:t>two</w:t>
      </w:r>
      <w:r>
        <w:rPr>
          <w:spacing w:val="-4"/>
          <w:sz w:val="22"/>
        </w:rPr>
        <w:t> </w:t>
      </w:r>
      <w:r>
        <w:rPr>
          <w:sz w:val="22"/>
        </w:rPr>
        <w:t>quarters</w:t>
      </w:r>
      <w:r>
        <w:rPr>
          <w:spacing w:val="-3"/>
          <w:sz w:val="22"/>
        </w:rPr>
        <w:t> </w:t>
      </w:r>
      <w:r>
        <w:rPr>
          <w:sz w:val="22"/>
        </w:rPr>
        <w:t>of BP5</w:t>
      </w:r>
      <w:r>
        <w:rPr>
          <w:spacing w:val="-1"/>
          <w:sz w:val="22"/>
        </w:rPr>
        <w:t> </w:t>
      </w:r>
      <w:r>
        <w:rPr>
          <w:sz w:val="22"/>
        </w:rPr>
        <w:t>($50</w:t>
      </w:r>
      <w:r>
        <w:rPr>
          <w:spacing w:val="-4"/>
          <w:sz w:val="22"/>
        </w:rPr>
        <w:t> </w:t>
      </w:r>
      <w:r>
        <w:rPr>
          <w:sz w:val="22"/>
        </w:rPr>
        <w:t>each),</w:t>
      </w:r>
      <w:r>
        <w:rPr>
          <w:spacing w:val="-4"/>
          <w:sz w:val="22"/>
        </w:rPr>
        <w:t> </w:t>
      </w:r>
      <w:r>
        <w:rPr>
          <w:sz w:val="22"/>
        </w:rPr>
        <w:t>as</w:t>
      </w:r>
      <w:r>
        <w:rPr>
          <w:spacing w:val="-3"/>
          <w:sz w:val="22"/>
        </w:rPr>
        <w:t> </w:t>
      </w:r>
      <w:r>
        <w:rPr>
          <w:sz w:val="22"/>
        </w:rPr>
        <w:t>opposed</w:t>
      </w:r>
      <w:r>
        <w:rPr>
          <w:spacing w:val="-4"/>
          <w:sz w:val="22"/>
        </w:rPr>
        <w:t> </w:t>
      </w:r>
      <w:r>
        <w:rPr>
          <w:sz w:val="22"/>
        </w:rPr>
        <w:t>to</w:t>
      </w:r>
      <w:r>
        <w:rPr>
          <w:spacing w:val="-4"/>
          <w:sz w:val="22"/>
        </w:rPr>
        <w:t> </w:t>
      </w:r>
      <w:r>
        <w:rPr>
          <w:sz w:val="22"/>
        </w:rPr>
        <w:t>$25</w:t>
      </w:r>
      <w:r>
        <w:rPr>
          <w:spacing w:val="-4"/>
          <w:sz w:val="22"/>
        </w:rPr>
        <w:t> </w:t>
      </w:r>
      <w:r>
        <w:rPr>
          <w:sz w:val="22"/>
        </w:rPr>
        <w:t>attributed</w:t>
      </w:r>
      <w:r>
        <w:rPr>
          <w:spacing w:val="-4"/>
          <w:sz w:val="22"/>
        </w:rPr>
        <w:t> </w:t>
      </w:r>
      <w:r>
        <w:rPr>
          <w:sz w:val="22"/>
        </w:rPr>
        <w:t>across</w:t>
      </w:r>
      <w:r>
        <w:rPr>
          <w:spacing w:val="-3"/>
          <w:sz w:val="22"/>
        </w:rPr>
        <w:t> </w:t>
      </w:r>
      <w:r>
        <w:rPr>
          <w:sz w:val="22"/>
        </w:rPr>
        <w:t>each</w:t>
      </w:r>
      <w:r>
        <w:rPr>
          <w:spacing w:val="-1"/>
          <w:sz w:val="22"/>
        </w:rPr>
        <w:t> </w:t>
      </w:r>
      <w:r>
        <w:rPr>
          <w:sz w:val="22"/>
        </w:rPr>
        <w:t>of</w:t>
      </w:r>
      <w:r>
        <w:rPr>
          <w:spacing w:val="-3"/>
          <w:sz w:val="22"/>
        </w:rPr>
        <w:t> </w:t>
      </w:r>
      <w:r>
        <w:rPr>
          <w:sz w:val="22"/>
        </w:rPr>
        <w:t>the</w:t>
      </w:r>
      <w:r>
        <w:rPr>
          <w:spacing w:val="-3"/>
          <w:sz w:val="22"/>
        </w:rPr>
        <w:t> </w:t>
      </w:r>
      <w:r>
        <w:rPr>
          <w:sz w:val="22"/>
        </w:rPr>
        <w:t>four</w:t>
      </w:r>
      <w:r>
        <w:rPr>
          <w:spacing w:val="-3"/>
          <w:sz w:val="22"/>
        </w:rPr>
        <w:t> </w:t>
      </w:r>
      <w:r>
        <w:rPr>
          <w:sz w:val="22"/>
        </w:rPr>
        <w:t>quarters</w:t>
      </w:r>
      <w:r>
        <w:rPr>
          <w:spacing w:val="-1"/>
          <w:sz w:val="22"/>
        </w:rPr>
        <w:t> </w:t>
      </w:r>
      <w:r>
        <w:rPr>
          <w:sz w:val="22"/>
        </w:rPr>
        <w:t>of</w:t>
      </w:r>
      <w:r>
        <w:rPr>
          <w:spacing w:val="-3"/>
          <w:sz w:val="22"/>
        </w:rPr>
        <w:t> </w:t>
      </w:r>
      <w:r>
        <w:rPr>
          <w:sz w:val="22"/>
        </w:rPr>
        <w:t>BP5</w:t>
      </w:r>
      <w:r>
        <w:rPr>
          <w:spacing w:val="-1"/>
          <w:sz w:val="22"/>
        </w:rPr>
        <w:t> </w:t>
      </w:r>
      <w:r>
        <w:rPr>
          <w:sz w:val="22"/>
        </w:rPr>
        <w:t>(see</w:t>
      </w:r>
      <w:r>
        <w:rPr>
          <w:spacing w:val="-1"/>
          <w:sz w:val="22"/>
        </w:rPr>
        <w:t> </w:t>
      </w:r>
      <w:r>
        <w:rPr>
          <w:sz w:val="22"/>
        </w:rPr>
        <w:t>Section</w:t>
      </w:r>
      <w:r>
        <w:rPr>
          <w:spacing w:val="-4"/>
          <w:sz w:val="22"/>
        </w:rPr>
        <w:t> </w:t>
      </w:r>
      <w:r>
        <w:rPr>
          <w:sz w:val="22"/>
        </w:rPr>
        <w:t>4.4.1</w:t>
      </w:r>
      <w:r>
        <w:rPr>
          <w:spacing w:val="-4"/>
          <w:sz w:val="22"/>
        </w:rPr>
        <w:t> </w:t>
      </w:r>
      <w:r>
        <w:rPr>
          <w:sz w:val="22"/>
        </w:rPr>
        <w:t>for more specific</w:t>
      </w:r>
      <w:r>
        <w:rPr>
          <w:spacing w:val="-1"/>
          <w:sz w:val="22"/>
        </w:rPr>
        <w:t> </w:t>
      </w:r>
      <w:r>
        <w:rPr>
          <w:sz w:val="22"/>
        </w:rPr>
        <w:t>funding</w:t>
      </w:r>
      <w:r>
        <w:rPr>
          <w:spacing w:val="-1"/>
          <w:sz w:val="22"/>
        </w:rPr>
        <w:t> </w:t>
      </w:r>
      <w:r>
        <w:rPr>
          <w:sz w:val="22"/>
        </w:rPr>
        <w:t>details).</w:t>
      </w:r>
      <w:r>
        <w:rPr>
          <w:spacing w:val="40"/>
          <w:sz w:val="22"/>
        </w:rPr>
        <w:t> </w:t>
      </w:r>
      <w:r>
        <w:rPr>
          <w:sz w:val="22"/>
        </w:rPr>
        <w:t>Similarly, if a CP had</w:t>
      </w:r>
      <w:r>
        <w:rPr>
          <w:spacing w:val="-1"/>
          <w:sz w:val="22"/>
        </w:rPr>
        <w:t> </w:t>
      </w:r>
      <w:r>
        <w:rPr>
          <w:sz w:val="22"/>
        </w:rPr>
        <w:t>$100 total of non-at-risk</w:t>
      </w:r>
      <w:r>
        <w:rPr>
          <w:spacing w:val="-1"/>
          <w:sz w:val="22"/>
        </w:rPr>
        <w:t> </w:t>
      </w:r>
      <w:r>
        <w:rPr>
          <w:sz w:val="22"/>
        </w:rPr>
        <w:t>infrastructure and capacity building funding for BP5, the total amount would be attributed to the first half of BP5 (see Section 4.5.2 for more specific funding details).</w:t>
      </w:r>
    </w:p>
    <w:p>
      <w:pPr>
        <w:spacing w:line="240" w:lineRule="auto" w:before="160"/>
        <w:ind w:left="1219" w:right="1095" w:firstLine="0"/>
        <w:jc w:val="both"/>
        <w:rPr>
          <w:sz w:val="22"/>
        </w:rPr>
      </w:pPr>
      <w:r>
        <w:rPr>
          <w:sz w:val="22"/>
        </w:rPr>
        <w:t>For</w:t>
      </w:r>
      <w:r>
        <w:rPr>
          <w:spacing w:val="-1"/>
          <w:sz w:val="22"/>
        </w:rPr>
        <w:t> </w:t>
      </w:r>
      <w:r>
        <w:rPr>
          <w:sz w:val="22"/>
        </w:rPr>
        <w:t>ACO</w:t>
      </w:r>
      <w:r>
        <w:rPr>
          <w:spacing w:val="-3"/>
          <w:sz w:val="22"/>
        </w:rPr>
        <w:t> </w:t>
      </w:r>
      <w:r>
        <w:rPr>
          <w:sz w:val="22"/>
        </w:rPr>
        <w:t>flexible</w:t>
      </w:r>
      <w:r>
        <w:rPr>
          <w:spacing w:val="-2"/>
          <w:sz w:val="22"/>
        </w:rPr>
        <w:t> </w:t>
      </w:r>
      <w:r>
        <w:rPr>
          <w:sz w:val="22"/>
        </w:rPr>
        <w:t>services</w:t>
      </w:r>
      <w:r>
        <w:rPr>
          <w:spacing w:val="-2"/>
          <w:sz w:val="22"/>
        </w:rPr>
        <w:t> </w:t>
      </w:r>
      <w:r>
        <w:rPr>
          <w:sz w:val="22"/>
        </w:rPr>
        <w:t>funding,</w:t>
      </w:r>
      <w:r>
        <w:rPr>
          <w:spacing w:val="-2"/>
          <w:sz w:val="22"/>
        </w:rPr>
        <w:t> </w:t>
      </w:r>
      <w:r>
        <w:rPr>
          <w:sz w:val="22"/>
        </w:rPr>
        <w:t>during</w:t>
      </w:r>
      <w:r>
        <w:rPr>
          <w:spacing w:val="-5"/>
          <w:sz w:val="22"/>
        </w:rPr>
        <w:t> </w:t>
      </w:r>
      <w:r>
        <w:rPr>
          <w:sz w:val="22"/>
        </w:rPr>
        <w:t>the</w:t>
      </w:r>
      <w:r>
        <w:rPr>
          <w:spacing w:val="-2"/>
          <w:sz w:val="22"/>
        </w:rPr>
        <w:t> </w:t>
      </w:r>
      <w:r>
        <w:rPr>
          <w:sz w:val="22"/>
        </w:rPr>
        <w:t>first</w:t>
      </w:r>
      <w:r>
        <w:rPr>
          <w:spacing w:val="-4"/>
          <w:sz w:val="22"/>
        </w:rPr>
        <w:t> </w:t>
      </w:r>
      <w:r>
        <w:rPr>
          <w:sz w:val="22"/>
        </w:rPr>
        <w:t>half</w:t>
      </w:r>
      <w:r>
        <w:rPr>
          <w:spacing w:val="-4"/>
          <w:sz w:val="22"/>
        </w:rPr>
        <w:t> </w:t>
      </w:r>
      <w:r>
        <w:rPr>
          <w:sz w:val="22"/>
        </w:rPr>
        <w:t>of</w:t>
      </w:r>
      <w:r>
        <w:rPr>
          <w:spacing w:val="-1"/>
          <w:sz w:val="22"/>
        </w:rPr>
        <w:t> </w:t>
      </w:r>
      <w:r>
        <w:rPr>
          <w:sz w:val="22"/>
        </w:rPr>
        <w:t>BP5,</w:t>
      </w:r>
      <w:r>
        <w:rPr>
          <w:spacing w:val="-5"/>
          <w:sz w:val="22"/>
        </w:rPr>
        <w:t> </w:t>
      </w:r>
      <w:r>
        <w:rPr>
          <w:sz w:val="22"/>
        </w:rPr>
        <w:t>the</w:t>
      </w:r>
      <w:r>
        <w:rPr>
          <w:spacing w:val="-4"/>
          <w:sz w:val="22"/>
        </w:rPr>
        <w:t> </w:t>
      </w:r>
      <w:r>
        <w:rPr>
          <w:sz w:val="22"/>
        </w:rPr>
        <w:t>State</w:t>
      </w:r>
      <w:r>
        <w:rPr>
          <w:spacing w:val="-4"/>
          <w:sz w:val="22"/>
        </w:rPr>
        <w:t> </w:t>
      </w:r>
      <w:r>
        <w:rPr>
          <w:sz w:val="22"/>
        </w:rPr>
        <w:t>will</w:t>
      </w:r>
      <w:r>
        <w:rPr>
          <w:spacing w:val="-1"/>
          <w:sz w:val="22"/>
        </w:rPr>
        <w:t> </w:t>
      </w:r>
      <w:r>
        <w:rPr>
          <w:sz w:val="22"/>
        </w:rPr>
        <w:t>pay</w:t>
      </w:r>
      <w:r>
        <w:rPr>
          <w:spacing w:val="-5"/>
          <w:sz w:val="22"/>
        </w:rPr>
        <w:t> </w:t>
      </w:r>
      <w:r>
        <w:rPr>
          <w:sz w:val="22"/>
        </w:rPr>
        <w:t>out</w:t>
      </w:r>
      <w:r>
        <w:rPr>
          <w:spacing w:val="-4"/>
          <w:sz w:val="22"/>
        </w:rPr>
        <w:t> </w:t>
      </w:r>
      <w:r>
        <w:rPr>
          <w:sz w:val="22"/>
        </w:rPr>
        <w:t>the</w:t>
      </w:r>
      <w:r>
        <w:rPr>
          <w:spacing w:val="-4"/>
          <w:sz w:val="22"/>
        </w:rPr>
        <w:t> </w:t>
      </w:r>
      <w:r>
        <w:rPr>
          <w:sz w:val="22"/>
        </w:rPr>
        <w:t>full</w:t>
      </w:r>
      <w:r>
        <w:rPr>
          <w:spacing w:val="-1"/>
          <w:sz w:val="22"/>
        </w:rPr>
        <w:t> </w:t>
      </w:r>
      <w:r>
        <w:rPr>
          <w:sz w:val="22"/>
        </w:rPr>
        <w:t>BP5</w:t>
      </w:r>
      <w:r>
        <w:rPr>
          <w:spacing w:val="-5"/>
          <w:sz w:val="22"/>
        </w:rPr>
        <w:t> </w:t>
      </w:r>
      <w:r>
        <w:rPr>
          <w:sz w:val="22"/>
        </w:rPr>
        <w:t>flexible services funding prospectively, based on the ACO’s approved BP5 flexible services budgets.</w:t>
      </w:r>
      <w:r>
        <w:rPr>
          <w:spacing w:val="40"/>
          <w:sz w:val="22"/>
        </w:rPr>
        <w:t> </w:t>
      </w:r>
      <w:r>
        <w:rPr>
          <w:sz w:val="22"/>
        </w:rPr>
        <w:t>ACOs will still need to submit their flexible services documentation and claims during BP5. If the ACOs do not use all of their flexible services allocation in BP5, or if the ACOs make expenditures that are deemed unacceptable by the State, then the ACOs will have to return the appropriate amount of flexible services funding to the State. See Section 4.2.2 for more specific funding details.</w:t>
      </w:r>
    </w:p>
    <w:p>
      <w:pPr>
        <w:spacing w:after="0" w:line="240" w:lineRule="auto"/>
        <w:jc w:val="both"/>
        <w:rPr>
          <w:sz w:val="22"/>
        </w:rPr>
        <w:sectPr>
          <w:pgSz w:w="12240" w:h="15840"/>
          <w:pgMar w:header="0" w:footer="967" w:top="1360" w:bottom="1160" w:left="220" w:right="340"/>
        </w:sectPr>
      </w:pPr>
    </w:p>
    <w:p>
      <w:pPr>
        <w:spacing w:line="259" w:lineRule="auto" w:before="81"/>
        <w:ind w:left="1219" w:right="1178" w:firstLine="0"/>
        <w:jc w:val="left"/>
        <w:rPr>
          <w:sz w:val="22"/>
        </w:rPr>
      </w:pPr>
      <w:r>
        <w:rPr>
          <w:sz w:val="22"/>
        </w:rPr>
        <w:t>The State pays CPs for care coordination supports provided on a monthly basis, based on qualifying activities submitted by the CPs.</w:t>
      </w:r>
      <w:r>
        <w:rPr>
          <w:spacing w:val="40"/>
          <w:sz w:val="22"/>
        </w:rPr>
        <w:t> </w:t>
      </w:r>
      <w:r>
        <w:rPr>
          <w:sz w:val="22"/>
        </w:rPr>
        <w:t>The CPs have a limited time period from the delivery of care coordination supports to submit a qualifying activity for payment, as determined by the State.</w:t>
      </w:r>
      <w:r>
        <w:rPr>
          <w:spacing w:val="40"/>
          <w:sz w:val="22"/>
        </w:rPr>
        <w:t> </w:t>
      </w:r>
      <w:r>
        <w:rPr>
          <w:sz w:val="22"/>
        </w:rPr>
        <w:t>All payments associated with qualifying activities submitted during this allowable time period will be attributed to the budget period during which the supports were provided.</w:t>
      </w:r>
      <w:r>
        <w:rPr>
          <w:spacing w:val="40"/>
          <w:sz w:val="22"/>
        </w:rPr>
        <w:t> </w:t>
      </w:r>
      <w:r>
        <w:rPr>
          <w:sz w:val="22"/>
        </w:rPr>
        <w:t>For example, payments associated</w:t>
      </w:r>
      <w:r>
        <w:rPr>
          <w:spacing w:val="-2"/>
          <w:sz w:val="22"/>
        </w:rPr>
        <w:t> </w:t>
      </w:r>
      <w:r>
        <w:rPr>
          <w:sz w:val="22"/>
        </w:rPr>
        <w:t>with</w:t>
      </w:r>
      <w:r>
        <w:rPr>
          <w:spacing w:val="-5"/>
          <w:sz w:val="22"/>
        </w:rPr>
        <w:t> </w:t>
      </w:r>
      <w:r>
        <w:rPr>
          <w:sz w:val="22"/>
        </w:rPr>
        <w:t>care</w:t>
      </w:r>
      <w:r>
        <w:rPr>
          <w:spacing w:val="-2"/>
          <w:sz w:val="22"/>
        </w:rPr>
        <w:t> </w:t>
      </w:r>
      <w:r>
        <w:rPr>
          <w:sz w:val="22"/>
        </w:rPr>
        <w:t>coordination</w:t>
      </w:r>
      <w:r>
        <w:rPr>
          <w:spacing w:val="-2"/>
          <w:sz w:val="22"/>
        </w:rPr>
        <w:t> </w:t>
      </w:r>
      <w:r>
        <w:rPr>
          <w:sz w:val="22"/>
        </w:rPr>
        <w:t>supports</w:t>
      </w:r>
      <w:r>
        <w:rPr>
          <w:spacing w:val="-2"/>
          <w:sz w:val="22"/>
        </w:rPr>
        <w:t> </w:t>
      </w:r>
      <w:r>
        <w:rPr>
          <w:sz w:val="22"/>
        </w:rPr>
        <w:t>provided</w:t>
      </w:r>
      <w:r>
        <w:rPr>
          <w:spacing w:val="-5"/>
          <w:sz w:val="22"/>
        </w:rPr>
        <w:t> </w:t>
      </w:r>
      <w:r>
        <w:rPr>
          <w:sz w:val="22"/>
        </w:rPr>
        <w:t>in</w:t>
      </w:r>
      <w:r>
        <w:rPr>
          <w:spacing w:val="-5"/>
          <w:sz w:val="22"/>
        </w:rPr>
        <w:t> </w:t>
      </w:r>
      <w:r>
        <w:rPr>
          <w:sz w:val="22"/>
        </w:rPr>
        <w:t>June</w:t>
      </w:r>
      <w:r>
        <w:rPr>
          <w:spacing w:val="-2"/>
          <w:sz w:val="22"/>
        </w:rPr>
        <w:t> </w:t>
      </w:r>
      <w:r>
        <w:rPr>
          <w:sz w:val="22"/>
        </w:rPr>
        <w:t>2022</w:t>
      </w:r>
      <w:r>
        <w:rPr>
          <w:spacing w:val="-2"/>
          <w:sz w:val="22"/>
        </w:rPr>
        <w:t> </w:t>
      </w:r>
      <w:r>
        <w:rPr>
          <w:sz w:val="22"/>
        </w:rPr>
        <w:t>will</w:t>
      </w:r>
      <w:r>
        <w:rPr>
          <w:spacing w:val="-1"/>
          <w:sz w:val="22"/>
        </w:rPr>
        <w:t> </w:t>
      </w:r>
      <w:r>
        <w:rPr>
          <w:sz w:val="22"/>
        </w:rPr>
        <w:t>be</w:t>
      </w:r>
      <w:r>
        <w:rPr>
          <w:spacing w:val="-2"/>
          <w:sz w:val="22"/>
        </w:rPr>
        <w:t> </w:t>
      </w:r>
      <w:r>
        <w:rPr>
          <w:sz w:val="22"/>
        </w:rPr>
        <w:t>attributed</w:t>
      </w:r>
      <w:r>
        <w:rPr>
          <w:spacing w:val="-2"/>
          <w:sz w:val="22"/>
        </w:rPr>
        <w:t> </w:t>
      </w:r>
      <w:r>
        <w:rPr>
          <w:sz w:val="22"/>
        </w:rPr>
        <w:t>to</w:t>
      </w:r>
      <w:r>
        <w:rPr>
          <w:spacing w:val="-2"/>
          <w:sz w:val="22"/>
        </w:rPr>
        <w:t> </w:t>
      </w:r>
      <w:r>
        <w:rPr>
          <w:sz w:val="22"/>
        </w:rPr>
        <w:t>BP5,</w:t>
      </w:r>
      <w:r>
        <w:rPr>
          <w:spacing w:val="-5"/>
          <w:sz w:val="22"/>
        </w:rPr>
        <w:t> </w:t>
      </w:r>
      <w:r>
        <w:rPr>
          <w:sz w:val="22"/>
        </w:rPr>
        <w:t>as</w:t>
      </w:r>
      <w:r>
        <w:rPr>
          <w:spacing w:val="-2"/>
          <w:sz w:val="22"/>
        </w:rPr>
        <w:t> </w:t>
      </w:r>
      <w:r>
        <w:rPr>
          <w:sz w:val="22"/>
        </w:rPr>
        <w:t>long</w:t>
      </w:r>
      <w:r>
        <w:rPr>
          <w:spacing w:val="-5"/>
          <w:sz w:val="22"/>
        </w:rPr>
        <w:t> </w:t>
      </w:r>
      <w:r>
        <w:rPr>
          <w:sz w:val="22"/>
        </w:rPr>
        <w:t>as</w:t>
      </w:r>
      <w:r>
        <w:rPr>
          <w:spacing w:val="-2"/>
          <w:sz w:val="22"/>
        </w:rPr>
        <w:t> </w:t>
      </w:r>
      <w:r>
        <w:rPr>
          <w:sz w:val="22"/>
        </w:rPr>
        <w:t>the qualifying activities are submitted during the allowable time period.</w:t>
      </w:r>
    </w:p>
    <w:p>
      <w:pPr>
        <w:spacing w:line="259" w:lineRule="auto" w:before="158"/>
        <w:ind w:left="1219" w:right="1219" w:firstLine="0"/>
        <w:jc w:val="left"/>
        <w:rPr>
          <w:sz w:val="22"/>
        </w:rPr>
      </w:pPr>
      <w:r>
        <w:rPr>
          <w:sz w:val="22"/>
        </w:rPr>
        <w:t>BH CP outcomes-based payments (see Section 4.5.3) and LTSS CP outcomes-based payments (see Section</w:t>
      </w:r>
      <w:r>
        <w:rPr>
          <w:spacing w:val="-2"/>
          <w:sz w:val="22"/>
        </w:rPr>
        <w:t> </w:t>
      </w:r>
      <w:r>
        <w:rPr>
          <w:sz w:val="22"/>
        </w:rPr>
        <w:t>4.5.6),</w:t>
      </w:r>
      <w:r>
        <w:rPr>
          <w:spacing w:val="-2"/>
          <w:sz w:val="22"/>
        </w:rPr>
        <w:t> </w:t>
      </w:r>
      <w:r>
        <w:rPr>
          <w:sz w:val="22"/>
        </w:rPr>
        <w:t>which</w:t>
      </w:r>
      <w:r>
        <w:rPr>
          <w:spacing w:val="-5"/>
          <w:sz w:val="22"/>
        </w:rPr>
        <w:t> </w:t>
      </w:r>
      <w:r>
        <w:rPr>
          <w:sz w:val="22"/>
        </w:rPr>
        <w:t>are</w:t>
      </w:r>
      <w:r>
        <w:rPr>
          <w:spacing w:val="-2"/>
          <w:sz w:val="22"/>
        </w:rPr>
        <w:t> </w:t>
      </w:r>
      <w:r>
        <w:rPr>
          <w:sz w:val="22"/>
        </w:rPr>
        <w:t>tied</w:t>
      </w:r>
      <w:r>
        <w:rPr>
          <w:spacing w:val="-2"/>
          <w:sz w:val="22"/>
        </w:rPr>
        <w:t> </w:t>
      </w:r>
      <w:r>
        <w:rPr>
          <w:sz w:val="22"/>
        </w:rPr>
        <w:t>to</w:t>
      </w:r>
      <w:r>
        <w:rPr>
          <w:spacing w:val="-2"/>
          <w:sz w:val="22"/>
        </w:rPr>
        <w:t> </w:t>
      </w:r>
      <w:r>
        <w:rPr>
          <w:sz w:val="22"/>
        </w:rPr>
        <w:t>performance</w:t>
      </w:r>
      <w:r>
        <w:rPr>
          <w:spacing w:val="-4"/>
          <w:sz w:val="22"/>
        </w:rPr>
        <w:t> </w:t>
      </w:r>
      <w:r>
        <w:rPr>
          <w:sz w:val="22"/>
        </w:rPr>
        <w:t>in</w:t>
      </w:r>
      <w:r>
        <w:rPr>
          <w:spacing w:val="-2"/>
          <w:sz w:val="22"/>
        </w:rPr>
        <w:t> </w:t>
      </w:r>
      <w:r>
        <w:rPr>
          <w:sz w:val="22"/>
        </w:rPr>
        <w:t>specific</w:t>
      </w:r>
      <w:r>
        <w:rPr>
          <w:spacing w:val="-2"/>
          <w:sz w:val="22"/>
        </w:rPr>
        <w:t> </w:t>
      </w:r>
      <w:r>
        <w:rPr>
          <w:sz w:val="22"/>
        </w:rPr>
        <w:t>budget</w:t>
      </w:r>
      <w:r>
        <w:rPr>
          <w:spacing w:val="-4"/>
          <w:sz w:val="22"/>
        </w:rPr>
        <w:t> </w:t>
      </w:r>
      <w:r>
        <w:rPr>
          <w:sz w:val="22"/>
        </w:rPr>
        <w:t>period,</w:t>
      </w:r>
      <w:r>
        <w:rPr>
          <w:spacing w:val="-5"/>
          <w:sz w:val="22"/>
        </w:rPr>
        <w:t> </w:t>
      </w:r>
      <w:r>
        <w:rPr>
          <w:sz w:val="22"/>
        </w:rPr>
        <w:t>starting</w:t>
      </w:r>
      <w:r>
        <w:rPr>
          <w:spacing w:val="-5"/>
          <w:sz w:val="22"/>
        </w:rPr>
        <w:t> </w:t>
      </w:r>
      <w:r>
        <w:rPr>
          <w:sz w:val="22"/>
        </w:rPr>
        <w:t>with</w:t>
      </w:r>
      <w:r>
        <w:rPr>
          <w:spacing w:val="-2"/>
          <w:sz w:val="22"/>
        </w:rPr>
        <w:t> </w:t>
      </w:r>
      <w:r>
        <w:rPr>
          <w:sz w:val="22"/>
        </w:rPr>
        <w:t>Budget</w:t>
      </w:r>
      <w:r>
        <w:rPr>
          <w:spacing w:val="-4"/>
          <w:sz w:val="22"/>
        </w:rPr>
        <w:t> </w:t>
      </w:r>
      <w:r>
        <w:rPr>
          <w:sz w:val="22"/>
        </w:rPr>
        <w:t>Period</w:t>
      </w:r>
      <w:r>
        <w:rPr>
          <w:spacing w:val="-2"/>
          <w:sz w:val="22"/>
        </w:rPr>
        <w:t> </w:t>
      </w:r>
      <w:r>
        <w:rPr>
          <w:sz w:val="22"/>
        </w:rPr>
        <w:t>3, will be attributed to that budget period.</w:t>
      </w:r>
    </w:p>
    <w:p>
      <w:pPr>
        <w:spacing w:line="242" w:lineRule="auto" w:before="157"/>
        <w:ind w:left="1219" w:right="1095" w:firstLine="0"/>
        <w:jc w:val="both"/>
        <w:rPr>
          <w:sz w:val="22"/>
        </w:rPr>
      </w:pPr>
      <w:r>
        <w:rPr>
          <w:sz w:val="22"/>
        </w:rPr>
        <w:t>ACO, CP, and CSA earned at-risk payments (see Section 5.1.2) and performance remediation plan payments</w:t>
      </w:r>
      <w:r>
        <w:rPr>
          <w:spacing w:val="-3"/>
          <w:sz w:val="22"/>
        </w:rPr>
        <w:t> </w:t>
      </w:r>
      <w:r>
        <w:rPr>
          <w:sz w:val="22"/>
        </w:rPr>
        <w:t>(see</w:t>
      </w:r>
      <w:r>
        <w:rPr>
          <w:spacing w:val="-6"/>
          <w:sz w:val="22"/>
        </w:rPr>
        <w:t> </w:t>
      </w:r>
      <w:r>
        <w:rPr>
          <w:sz w:val="22"/>
        </w:rPr>
        <w:t>Sections</w:t>
      </w:r>
      <w:r>
        <w:rPr>
          <w:spacing w:val="-6"/>
          <w:sz w:val="22"/>
        </w:rPr>
        <w:t> </w:t>
      </w:r>
      <w:r>
        <w:rPr>
          <w:sz w:val="22"/>
        </w:rPr>
        <w:t>5.3.4.2</w:t>
      </w:r>
      <w:r>
        <w:rPr>
          <w:spacing w:val="-4"/>
          <w:sz w:val="22"/>
        </w:rPr>
        <w:t> </w:t>
      </w:r>
      <w:r>
        <w:rPr>
          <w:sz w:val="22"/>
        </w:rPr>
        <w:t>and</w:t>
      </w:r>
      <w:r>
        <w:rPr>
          <w:spacing w:val="-6"/>
          <w:sz w:val="22"/>
        </w:rPr>
        <w:t> </w:t>
      </w:r>
      <w:r>
        <w:rPr>
          <w:sz w:val="22"/>
        </w:rPr>
        <w:t>5.4.6.1),</w:t>
      </w:r>
      <w:r>
        <w:rPr>
          <w:spacing w:val="-6"/>
          <w:sz w:val="22"/>
        </w:rPr>
        <w:t> </w:t>
      </w:r>
      <w:r>
        <w:rPr>
          <w:sz w:val="22"/>
        </w:rPr>
        <w:t>which</w:t>
      </w:r>
      <w:r>
        <w:rPr>
          <w:spacing w:val="-6"/>
          <w:sz w:val="22"/>
        </w:rPr>
        <w:t> </w:t>
      </w:r>
      <w:r>
        <w:rPr>
          <w:sz w:val="22"/>
        </w:rPr>
        <w:t>are</w:t>
      </w:r>
      <w:r>
        <w:rPr>
          <w:spacing w:val="-6"/>
          <w:sz w:val="22"/>
        </w:rPr>
        <w:t> </w:t>
      </w:r>
      <w:r>
        <w:rPr>
          <w:sz w:val="22"/>
        </w:rPr>
        <w:t>tied</w:t>
      </w:r>
      <w:r>
        <w:rPr>
          <w:spacing w:val="-6"/>
          <w:sz w:val="22"/>
        </w:rPr>
        <w:t> </w:t>
      </w:r>
      <w:r>
        <w:rPr>
          <w:sz w:val="22"/>
        </w:rPr>
        <w:t>to</w:t>
      </w:r>
      <w:r>
        <w:rPr>
          <w:spacing w:val="-6"/>
          <w:sz w:val="22"/>
        </w:rPr>
        <w:t> </w:t>
      </w:r>
      <w:r>
        <w:rPr>
          <w:sz w:val="22"/>
        </w:rPr>
        <w:t>performance</w:t>
      </w:r>
      <w:r>
        <w:rPr>
          <w:spacing w:val="-6"/>
          <w:sz w:val="22"/>
        </w:rPr>
        <w:t> </w:t>
      </w:r>
      <w:r>
        <w:rPr>
          <w:sz w:val="22"/>
        </w:rPr>
        <w:t>in</w:t>
      </w:r>
      <w:r>
        <w:rPr>
          <w:spacing w:val="-6"/>
          <w:sz w:val="22"/>
        </w:rPr>
        <w:t> </w:t>
      </w:r>
      <w:r>
        <w:rPr>
          <w:sz w:val="22"/>
        </w:rPr>
        <w:t>a</w:t>
      </w:r>
      <w:r>
        <w:rPr>
          <w:spacing w:val="-6"/>
          <w:sz w:val="22"/>
        </w:rPr>
        <w:t> </w:t>
      </w:r>
      <w:r>
        <w:rPr>
          <w:sz w:val="22"/>
        </w:rPr>
        <w:t>specific</w:t>
      </w:r>
      <w:r>
        <w:rPr>
          <w:spacing w:val="-6"/>
          <w:sz w:val="22"/>
        </w:rPr>
        <w:t> </w:t>
      </w:r>
      <w:r>
        <w:rPr>
          <w:sz w:val="22"/>
        </w:rPr>
        <w:t>budget</w:t>
      </w:r>
      <w:r>
        <w:rPr>
          <w:spacing w:val="-3"/>
          <w:sz w:val="22"/>
        </w:rPr>
        <w:t> </w:t>
      </w:r>
      <w:r>
        <w:rPr>
          <w:sz w:val="22"/>
        </w:rPr>
        <w:t>period,</w:t>
      </w:r>
      <w:r>
        <w:rPr>
          <w:spacing w:val="-6"/>
          <w:sz w:val="22"/>
        </w:rPr>
        <w:t> </w:t>
      </w:r>
      <w:r>
        <w:rPr>
          <w:sz w:val="22"/>
        </w:rPr>
        <w:t>will be attributed to that budget period.</w:t>
      </w:r>
    </w:p>
    <w:p>
      <w:pPr>
        <w:spacing w:before="156"/>
        <w:ind w:left="1220" w:right="0" w:firstLine="0"/>
        <w:jc w:val="both"/>
        <w:rPr>
          <w:b/>
          <w:sz w:val="22"/>
        </w:rPr>
      </w:pPr>
      <w:r>
        <w:rPr>
          <w:b/>
          <w:sz w:val="22"/>
          <w:u w:val="single"/>
        </w:rPr>
        <w:t>Administrative</w:t>
      </w:r>
      <w:r>
        <w:rPr>
          <w:b/>
          <w:spacing w:val="-9"/>
          <w:sz w:val="22"/>
          <w:u w:val="single"/>
        </w:rPr>
        <w:t> </w:t>
      </w:r>
      <w:r>
        <w:rPr>
          <w:b/>
          <w:sz w:val="22"/>
          <w:u w:val="single"/>
        </w:rPr>
        <w:t>Close-Out</w:t>
      </w:r>
      <w:r>
        <w:rPr>
          <w:b/>
          <w:spacing w:val="-9"/>
          <w:sz w:val="22"/>
          <w:u w:val="single"/>
        </w:rPr>
        <w:t> </w:t>
      </w:r>
      <w:r>
        <w:rPr>
          <w:b/>
          <w:spacing w:val="-2"/>
          <w:sz w:val="22"/>
          <w:u w:val="single"/>
        </w:rPr>
        <w:t>Activities</w:t>
      </w:r>
    </w:p>
    <w:p>
      <w:pPr>
        <w:pStyle w:val="ListParagraph"/>
        <w:numPr>
          <w:ilvl w:val="0"/>
          <w:numId w:val="66"/>
        </w:numPr>
        <w:tabs>
          <w:tab w:pos="1940" w:val="left" w:leader="none"/>
        </w:tabs>
        <w:spacing w:line="269" w:lineRule="exact" w:before="177" w:after="0"/>
        <w:ind w:left="1940" w:right="0" w:hanging="360"/>
        <w:jc w:val="left"/>
        <w:rPr>
          <w:sz w:val="22"/>
        </w:rPr>
      </w:pPr>
      <w:r>
        <w:rPr>
          <w:sz w:val="22"/>
        </w:rPr>
        <w:t>Work</w:t>
      </w:r>
      <w:r>
        <w:rPr>
          <w:spacing w:val="-8"/>
          <w:sz w:val="22"/>
        </w:rPr>
        <w:t> </w:t>
      </w:r>
      <w:r>
        <w:rPr>
          <w:sz w:val="22"/>
        </w:rPr>
        <w:t>of</w:t>
      </w:r>
      <w:r>
        <w:rPr>
          <w:spacing w:val="-2"/>
          <w:sz w:val="22"/>
        </w:rPr>
        <w:t> </w:t>
      </w:r>
      <w:r>
        <w:rPr>
          <w:sz w:val="22"/>
        </w:rPr>
        <w:t>Independent</w:t>
      </w:r>
      <w:r>
        <w:rPr>
          <w:spacing w:val="-2"/>
          <w:sz w:val="22"/>
        </w:rPr>
        <w:t> </w:t>
      </w:r>
      <w:r>
        <w:rPr>
          <w:sz w:val="22"/>
        </w:rPr>
        <w:t>Assessor</w:t>
      </w:r>
      <w:r>
        <w:rPr>
          <w:spacing w:val="-5"/>
          <w:sz w:val="22"/>
        </w:rPr>
        <w:t> </w:t>
      </w:r>
      <w:r>
        <w:rPr>
          <w:sz w:val="22"/>
        </w:rPr>
        <w:t>(see</w:t>
      </w:r>
      <w:r>
        <w:rPr>
          <w:spacing w:val="-5"/>
          <w:sz w:val="22"/>
        </w:rPr>
        <w:t> </w:t>
      </w:r>
      <w:r>
        <w:rPr>
          <w:sz w:val="22"/>
        </w:rPr>
        <w:t>Section</w:t>
      </w:r>
      <w:r>
        <w:rPr>
          <w:spacing w:val="-2"/>
          <w:sz w:val="22"/>
        </w:rPr>
        <w:t> 6.2.2)</w:t>
      </w:r>
    </w:p>
    <w:p>
      <w:pPr>
        <w:pStyle w:val="ListParagraph"/>
        <w:numPr>
          <w:ilvl w:val="0"/>
          <w:numId w:val="66"/>
        </w:numPr>
        <w:tabs>
          <w:tab w:pos="1940" w:val="left" w:leader="none"/>
        </w:tabs>
        <w:spacing w:line="269" w:lineRule="exact" w:before="0" w:after="0"/>
        <w:ind w:left="1940" w:right="0" w:hanging="360"/>
        <w:jc w:val="left"/>
        <w:rPr>
          <w:sz w:val="22"/>
        </w:rPr>
      </w:pPr>
      <w:r>
        <w:rPr>
          <w:sz w:val="22"/>
        </w:rPr>
        <w:t>Work</w:t>
      </w:r>
      <w:r>
        <w:rPr>
          <w:spacing w:val="-6"/>
          <w:sz w:val="22"/>
        </w:rPr>
        <w:t> </w:t>
      </w:r>
      <w:r>
        <w:rPr>
          <w:sz w:val="22"/>
        </w:rPr>
        <w:t>of</w:t>
      </w:r>
      <w:r>
        <w:rPr>
          <w:spacing w:val="-2"/>
          <w:sz w:val="22"/>
        </w:rPr>
        <w:t> </w:t>
      </w:r>
      <w:r>
        <w:rPr>
          <w:sz w:val="22"/>
        </w:rPr>
        <w:t>Independent</w:t>
      </w:r>
      <w:r>
        <w:rPr>
          <w:spacing w:val="-3"/>
          <w:sz w:val="22"/>
        </w:rPr>
        <w:t> </w:t>
      </w:r>
      <w:r>
        <w:rPr>
          <w:sz w:val="22"/>
        </w:rPr>
        <w:t>Evaluator</w:t>
      </w:r>
      <w:r>
        <w:rPr>
          <w:spacing w:val="-4"/>
          <w:sz w:val="22"/>
        </w:rPr>
        <w:t> </w:t>
      </w:r>
      <w:r>
        <w:rPr>
          <w:sz w:val="22"/>
        </w:rPr>
        <w:t>(see</w:t>
      </w:r>
      <w:r>
        <w:rPr>
          <w:spacing w:val="-3"/>
          <w:sz w:val="22"/>
        </w:rPr>
        <w:t> </w:t>
      </w:r>
      <w:r>
        <w:rPr>
          <w:sz w:val="22"/>
        </w:rPr>
        <w:t>Section</w:t>
      </w:r>
      <w:r>
        <w:rPr>
          <w:spacing w:val="-3"/>
          <w:sz w:val="22"/>
        </w:rPr>
        <w:t> </w:t>
      </w:r>
      <w:r>
        <w:rPr>
          <w:spacing w:val="-2"/>
          <w:sz w:val="22"/>
        </w:rPr>
        <w:t>6.4.2)</w:t>
      </w:r>
    </w:p>
    <w:p>
      <w:pPr>
        <w:pStyle w:val="ListParagraph"/>
        <w:numPr>
          <w:ilvl w:val="0"/>
          <w:numId w:val="66"/>
        </w:numPr>
        <w:tabs>
          <w:tab w:pos="1940" w:val="left" w:leader="none"/>
        </w:tabs>
        <w:spacing w:line="269" w:lineRule="exact" w:before="0" w:after="0"/>
        <w:ind w:left="1940" w:right="0" w:hanging="360"/>
        <w:jc w:val="left"/>
        <w:rPr>
          <w:sz w:val="22"/>
        </w:rPr>
      </w:pPr>
      <w:r>
        <w:rPr>
          <w:sz w:val="22"/>
        </w:rPr>
        <w:t>Work</w:t>
      </w:r>
      <w:r>
        <w:rPr>
          <w:spacing w:val="-9"/>
          <w:sz w:val="22"/>
        </w:rPr>
        <w:t> </w:t>
      </w:r>
      <w:r>
        <w:rPr>
          <w:sz w:val="22"/>
        </w:rPr>
        <w:t>of</w:t>
      </w:r>
      <w:r>
        <w:rPr>
          <w:spacing w:val="-5"/>
          <w:sz w:val="22"/>
        </w:rPr>
        <w:t> </w:t>
      </w:r>
      <w:r>
        <w:rPr>
          <w:sz w:val="22"/>
        </w:rPr>
        <w:t>Member</w:t>
      </w:r>
      <w:r>
        <w:rPr>
          <w:spacing w:val="-3"/>
          <w:sz w:val="22"/>
        </w:rPr>
        <w:t> </w:t>
      </w:r>
      <w:r>
        <w:rPr>
          <w:sz w:val="22"/>
        </w:rPr>
        <w:t>Experience</w:t>
      </w:r>
      <w:r>
        <w:rPr>
          <w:spacing w:val="-3"/>
          <w:sz w:val="22"/>
        </w:rPr>
        <w:t> </w:t>
      </w:r>
      <w:r>
        <w:rPr>
          <w:sz w:val="22"/>
        </w:rPr>
        <w:t>Survey</w:t>
      </w:r>
      <w:r>
        <w:rPr>
          <w:spacing w:val="-7"/>
          <w:sz w:val="22"/>
        </w:rPr>
        <w:t> </w:t>
      </w:r>
      <w:r>
        <w:rPr>
          <w:sz w:val="22"/>
        </w:rPr>
        <w:t>vendor</w:t>
      </w:r>
      <w:r>
        <w:rPr>
          <w:spacing w:val="-2"/>
          <w:sz w:val="22"/>
        </w:rPr>
        <w:t> </w:t>
      </w:r>
      <w:r>
        <w:rPr>
          <w:sz w:val="22"/>
        </w:rPr>
        <w:t>(see</w:t>
      </w:r>
      <w:r>
        <w:rPr>
          <w:spacing w:val="-4"/>
          <w:sz w:val="22"/>
        </w:rPr>
        <w:t> </w:t>
      </w:r>
      <w:r>
        <w:rPr>
          <w:sz w:val="22"/>
        </w:rPr>
        <w:t>Section</w:t>
      </w:r>
      <w:r>
        <w:rPr>
          <w:spacing w:val="-3"/>
          <w:sz w:val="22"/>
        </w:rPr>
        <w:t> </w:t>
      </w:r>
      <w:r>
        <w:rPr>
          <w:spacing w:val="-2"/>
          <w:sz w:val="22"/>
        </w:rPr>
        <w:t>5.5.3)</w:t>
      </w:r>
    </w:p>
    <w:p>
      <w:pPr>
        <w:pStyle w:val="ListParagraph"/>
        <w:numPr>
          <w:ilvl w:val="0"/>
          <w:numId w:val="66"/>
        </w:numPr>
        <w:tabs>
          <w:tab w:pos="1940" w:val="left" w:leader="none"/>
        </w:tabs>
        <w:spacing w:line="269" w:lineRule="exact" w:before="0" w:after="0"/>
        <w:ind w:left="1940" w:right="0" w:hanging="360"/>
        <w:jc w:val="left"/>
        <w:rPr>
          <w:sz w:val="22"/>
        </w:rPr>
      </w:pPr>
      <w:r>
        <w:rPr>
          <w:sz w:val="22"/>
        </w:rPr>
        <w:t>Work</w:t>
      </w:r>
      <w:r>
        <w:rPr>
          <w:spacing w:val="-7"/>
          <w:sz w:val="22"/>
        </w:rPr>
        <w:t> </w:t>
      </w:r>
      <w:r>
        <w:rPr>
          <w:sz w:val="22"/>
        </w:rPr>
        <w:t>of</w:t>
      </w:r>
      <w:r>
        <w:rPr>
          <w:spacing w:val="-2"/>
          <w:sz w:val="22"/>
        </w:rPr>
        <w:t> </w:t>
      </w:r>
      <w:r>
        <w:rPr>
          <w:sz w:val="22"/>
        </w:rPr>
        <w:t>Statewide</w:t>
      </w:r>
      <w:r>
        <w:rPr>
          <w:spacing w:val="-4"/>
          <w:sz w:val="22"/>
        </w:rPr>
        <w:t> </w:t>
      </w:r>
      <w:r>
        <w:rPr>
          <w:sz w:val="22"/>
        </w:rPr>
        <w:t>Investments</w:t>
      </w:r>
      <w:r>
        <w:rPr>
          <w:spacing w:val="-3"/>
          <w:sz w:val="22"/>
        </w:rPr>
        <w:t> </w:t>
      </w:r>
      <w:r>
        <w:rPr>
          <w:sz w:val="22"/>
        </w:rPr>
        <w:t>vendor</w:t>
      </w:r>
      <w:r>
        <w:rPr>
          <w:spacing w:val="-3"/>
          <w:sz w:val="22"/>
        </w:rPr>
        <w:t> </w:t>
      </w:r>
      <w:r>
        <w:rPr>
          <w:sz w:val="22"/>
        </w:rPr>
        <w:t>(see</w:t>
      </w:r>
      <w:r>
        <w:rPr>
          <w:spacing w:val="-3"/>
          <w:sz w:val="22"/>
        </w:rPr>
        <w:t> </w:t>
      </w:r>
      <w:r>
        <w:rPr>
          <w:sz w:val="22"/>
        </w:rPr>
        <w:t>Section</w:t>
      </w:r>
      <w:r>
        <w:rPr>
          <w:spacing w:val="-6"/>
          <w:sz w:val="22"/>
        </w:rPr>
        <w:t> </w:t>
      </w:r>
      <w:r>
        <w:rPr>
          <w:spacing w:val="-4"/>
          <w:sz w:val="22"/>
        </w:rPr>
        <w:t>4.6)</w:t>
      </w:r>
    </w:p>
    <w:p>
      <w:pPr>
        <w:spacing w:line="259" w:lineRule="auto" w:before="200"/>
        <w:ind w:left="1220" w:right="1150" w:firstLine="0"/>
        <w:jc w:val="left"/>
        <w:rPr>
          <w:sz w:val="22"/>
        </w:rPr>
      </w:pPr>
      <w:r>
        <w:rPr>
          <w:sz w:val="22"/>
        </w:rPr>
        <w:t>The Independent Assessor,</w:t>
      </w:r>
      <w:r>
        <w:rPr>
          <w:spacing w:val="-1"/>
          <w:sz w:val="22"/>
        </w:rPr>
        <w:t> </w:t>
      </w:r>
      <w:r>
        <w:rPr>
          <w:sz w:val="22"/>
        </w:rPr>
        <w:t>Independent Evaluator, member experience survey</w:t>
      </w:r>
      <w:r>
        <w:rPr>
          <w:spacing w:val="-1"/>
          <w:sz w:val="22"/>
        </w:rPr>
        <w:t> </w:t>
      </w:r>
      <w:r>
        <w:rPr>
          <w:sz w:val="22"/>
        </w:rPr>
        <w:t>vendor, and the Statewide Investments</w:t>
      </w:r>
      <w:r>
        <w:rPr>
          <w:spacing w:val="-3"/>
          <w:sz w:val="22"/>
        </w:rPr>
        <w:t> </w:t>
      </w:r>
      <w:r>
        <w:rPr>
          <w:sz w:val="22"/>
        </w:rPr>
        <w:t>vendors</w:t>
      </w:r>
      <w:r>
        <w:rPr>
          <w:spacing w:val="-3"/>
          <w:sz w:val="22"/>
        </w:rPr>
        <w:t> </w:t>
      </w:r>
      <w:r>
        <w:rPr>
          <w:sz w:val="22"/>
        </w:rPr>
        <w:t>all</w:t>
      </w:r>
      <w:r>
        <w:rPr>
          <w:spacing w:val="-2"/>
          <w:sz w:val="22"/>
        </w:rPr>
        <w:t> </w:t>
      </w:r>
      <w:r>
        <w:rPr>
          <w:sz w:val="22"/>
        </w:rPr>
        <w:t>will</w:t>
      </w:r>
      <w:r>
        <w:rPr>
          <w:spacing w:val="-2"/>
          <w:sz w:val="22"/>
        </w:rPr>
        <w:t> </w:t>
      </w:r>
      <w:r>
        <w:rPr>
          <w:sz w:val="22"/>
        </w:rPr>
        <w:t>perform</w:t>
      </w:r>
      <w:r>
        <w:rPr>
          <w:spacing w:val="-7"/>
          <w:sz w:val="22"/>
        </w:rPr>
        <w:t> </w:t>
      </w:r>
      <w:r>
        <w:rPr>
          <w:sz w:val="22"/>
        </w:rPr>
        <w:t>DSRIP</w:t>
      </w:r>
      <w:r>
        <w:rPr>
          <w:spacing w:val="-4"/>
          <w:sz w:val="22"/>
        </w:rPr>
        <w:t> </w:t>
      </w:r>
      <w:r>
        <w:rPr>
          <w:sz w:val="22"/>
        </w:rPr>
        <w:t>close-out</w:t>
      </w:r>
      <w:r>
        <w:rPr>
          <w:spacing w:val="-2"/>
          <w:sz w:val="22"/>
        </w:rPr>
        <w:t> </w:t>
      </w:r>
      <w:r>
        <w:rPr>
          <w:sz w:val="22"/>
        </w:rPr>
        <w:t>activities</w:t>
      </w:r>
      <w:r>
        <w:rPr>
          <w:spacing w:val="-3"/>
          <w:sz w:val="22"/>
        </w:rPr>
        <w:t> </w:t>
      </w:r>
      <w:r>
        <w:rPr>
          <w:sz w:val="22"/>
        </w:rPr>
        <w:t>occurring</w:t>
      </w:r>
      <w:r>
        <w:rPr>
          <w:spacing w:val="-6"/>
          <w:sz w:val="22"/>
        </w:rPr>
        <w:t> </w:t>
      </w:r>
      <w:r>
        <w:rPr>
          <w:sz w:val="22"/>
        </w:rPr>
        <w:t>after</w:t>
      </w:r>
      <w:r>
        <w:rPr>
          <w:spacing w:val="-5"/>
          <w:sz w:val="22"/>
        </w:rPr>
        <w:t> </w:t>
      </w:r>
      <w:r>
        <w:rPr>
          <w:sz w:val="22"/>
        </w:rPr>
        <w:t>the</w:t>
      </w:r>
      <w:r>
        <w:rPr>
          <w:spacing w:val="-3"/>
          <w:sz w:val="22"/>
        </w:rPr>
        <w:t> </w:t>
      </w:r>
      <w:r>
        <w:rPr>
          <w:sz w:val="22"/>
        </w:rPr>
        <w:t>demonstration</w:t>
      </w:r>
      <w:r>
        <w:rPr>
          <w:spacing w:val="-3"/>
          <w:sz w:val="22"/>
        </w:rPr>
        <w:t> </w:t>
      </w:r>
      <w:r>
        <w:rPr>
          <w:sz w:val="22"/>
        </w:rPr>
        <w:t>period. Associated payments will be attributed to either the relevant budget period or to the first half of Budget Period 5, as determined by the State.</w:t>
      </w:r>
      <w:r>
        <w:rPr>
          <w:spacing w:val="40"/>
          <w:sz w:val="22"/>
        </w:rPr>
        <w:t> </w:t>
      </w:r>
      <w:r>
        <w:rPr>
          <w:sz w:val="22"/>
        </w:rPr>
        <w:t>For example, if the member experience survey vendor is fielding a survey to assess BP4 member experience, then the associated payments for those activities will be attributed to BP4.</w:t>
      </w:r>
      <w:r>
        <w:rPr>
          <w:spacing w:val="40"/>
          <w:sz w:val="22"/>
        </w:rPr>
        <w:t> </w:t>
      </w:r>
      <w:r>
        <w:rPr>
          <w:sz w:val="22"/>
        </w:rPr>
        <w:t>As another example, payments to the Statewide Investments vendor administering close-out activities for the student loan repayment program will be attributed to the first half of BP5.</w:t>
      </w:r>
    </w:p>
    <w:p>
      <w:pPr>
        <w:pStyle w:val="BodyText"/>
      </w:pPr>
    </w:p>
    <w:p>
      <w:pPr>
        <w:pStyle w:val="BodyText"/>
        <w:spacing w:before="2"/>
        <w:rPr>
          <w:sz w:val="29"/>
        </w:rPr>
      </w:pPr>
    </w:p>
    <w:p>
      <w:pPr>
        <w:pStyle w:val="Heading2"/>
        <w:numPr>
          <w:ilvl w:val="1"/>
          <w:numId w:val="65"/>
        </w:numPr>
        <w:tabs>
          <w:tab w:pos="1618" w:val="left" w:leader="none"/>
        </w:tabs>
        <w:spacing w:line="240" w:lineRule="auto" w:before="0" w:after="0"/>
        <w:ind w:left="1618" w:right="0" w:hanging="398"/>
        <w:jc w:val="both"/>
      </w:pPr>
      <w:bookmarkStart w:name="3.2 Participation Plans" w:id="1246"/>
      <w:bookmarkEnd w:id="1246"/>
      <w:r>
        <w:rPr>
          <w:b w:val="0"/>
        </w:rPr>
      </w:r>
      <w:bookmarkStart w:name="_bookmark23" w:id="1247"/>
      <w:bookmarkEnd w:id="1247"/>
      <w:r>
        <w:rPr>
          <w:b w:val="0"/>
        </w:rPr>
      </w:r>
      <w:r>
        <w:rPr>
          <w:color w:val="4471C4"/>
          <w:spacing w:val="-2"/>
        </w:rPr>
        <w:t>Participation</w:t>
      </w:r>
      <w:r>
        <w:rPr>
          <w:color w:val="4471C4"/>
          <w:spacing w:val="3"/>
        </w:rPr>
        <w:t> </w:t>
      </w:r>
      <w:r>
        <w:rPr>
          <w:color w:val="4471C4"/>
          <w:spacing w:val="-2"/>
        </w:rPr>
        <w:t>Plans</w:t>
      </w:r>
    </w:p>
    <w:p>
      <w:pPr>
        <w:pStyle w:val="Heading5"/>
        <w:numPr>
          <w:ilvl w:val="2"/>
          <w:numId w:val="65"/>
        </w:numPr>
        <w:tabs>
          <w:tab w:pos="1940" w:val="left" w:leader="none"/>
        </w:tabs>
        <w:spacing w:line="240" w:lineRule="auto" w:before="202" w:after="0"/>
        <w:ind w:left="1940" w:right="0" w:hanging="720"/>
        <w:jc w:val="both"/>
        <w:rPr>
          <w:color w:val="4471C4"/>
        </w:rPr>
      </w:pPr>
      <w:bookmarkStart w:name="3.2.1 Preliminary Participation Plans" w:id="1248"/>
      <w:bookmarkEnd w:id="1248"/>
      <w:r>
        <w:rPr>
          <w:b w:val="0"/>
        </w:rPr>
      </w:r>
      <w:bookmarkStart w:name="_bookmark24" w:id="1249"/>
      <w:bookmarkEnd w:id="1249"/>
      <w:r>
        <w:rPr>
          <w:b w:val="0"/>
        </w:rPr>
      </w:r>
      <w:r>
        <w:rPr>
          <w:color w:val="4471C4"/>
        </w:rPr>
        <w:t>Preliminary</w:t>
      </w:r>
      <w:r>
        <w:rPr>
          <w:color w:val="4471C4"/>
          <w:spacing w:val="-5"/>
        </w:rPr>
        <w:t> </w:t>
      </w:r>
      <w:r>
        <w:rPr>
          <w:color w:val="4471C4"/>
        </w:rPr>
        <w:t>Participation</w:t>
      </w:r>
      <w:r>
        <w:rPr>
          <w:color w:val="4471C4"/>
          <w:spacing w:val="-5"/>
        </w:rPr>
        <w:t> </w:t>
      </w:r>
      <w:r>
        <w:rPr>
          <w:color w:val="4471C4"/>
          <w:spacing w:val="-2"/>
        </w:rPr>
        <w:t>Plans</w:t>
      </w:r>
    </w:p>
    <w:p>
      <w:pPr>
        <w:spacing w:before="38"/>
        <w:ind w:left="1220" w:right="1095" w:firstLine="0"/>
        <w:jc w:val="both"/>
        <w:rPr>
          <w:sz w:val="22"/>
        </w:rPr>
      </w:pPr>
      <w:r>
        <w:rPr>
          <w:sz w:val="22"/>
        </w:rPr>
        <w:t>Preliminary Participation Plans document ACOs’, CPs’ and CSAs’ plans for DSRIP expenditure. For the Preparation Budget Period and the first quarterly payment of Budget Period 1, the State will not disburse DSRIP funds to an ACO, CP or CSA that does not have a state-approved Preliminary Participation Plan. The</w:t>
      </w:r>
      <w:r>
        <w:rPr>
          <w:spacing w:val="-3"/>
          <w:sz w:val="22"/>
        </w:rPr>
        <w:t> </w:t>
      </w:r>
      <w:r>
        <w:rPr>
          <w:sz w:val="22"/>
        </w:rPr>
        <w:t>State</w:t>
      </w:r>
      <w:r>
        <w:rPr>
          <w:spacing w:val="-3"/>
          <w:sz w:val="22"/>
        </w:rPr>
        <w:t> </w:t>
      </w:r>
      <w:r>
        <w:rPr>
          <w:sz w:val="22"/>
        </w:rPr>
        <w:t>may</w:t>
      </w:r>
      <w:r>
        <w:rPr>
          <w:spacing w:val="-4"/>
          <w:sz w:val="22"/>
        </w:rPr>
        <w:t> </w:t>
      </w:r>
      <w:r>
        <w:rPr>
          <w:sz w:val="22"/>
        </w:rPr>
        <w:t>withhold</w:t>
      </w:r>
      <w:r>
        <w:rPr>
          <w:spacing w:val="-1"/>
          <w:sz w:val="22"/>
        </w:rPr>
        <w:t> </w:t>
      </w:r>
      <w:r>
        <w:rPr>
          <w:sz w:val="22"/>
        </w:rPr>
        <w:t>DSRIP</w:t>
      </w:r>
      <w:r>
        <w:rPr>
          <w:spacing w:val="-2"/>
          <w:sz w:val="22"/>
        </w:rPr>
        <w:t> </w:t>
      </w:r>
      <w:r>
        <w:rPr>
          <w:sz w:val="22"/>
        </w:rPr>
        <w:t>funds</w:t>
      </w:r>
      <w:r>
        <w:rPr>
          <w:spacing w:val="-3"/>
          <w:sz w:val="22"/>
        </w:rPr>
        <w:t> </w:t>
      </w:r>
      <w:r>
        <w:rPr>
          <w:sz w:val="22"/>
        </w:rPr>
        <w:t>from</w:t>
      </w:r>
      <w:r>
        <w:rPr>
          <w:spacing w:val="-5"/>
          <w:sz w:val="22"/>
        </w:rPr>
        <w:t> </w:t>
      </w:r>
      <w:r>
        <w:rPr>
          <w:sz w:val="22"/>
        </w:rPr>
        <w:t>an</w:t>
      </w:r>
      <w:r>
        <w:rPr>
          <w:spacing w:val="-1"/>
          <w:sz w:val="22"/>
        </w:rPr>
        <w:t> </w:t>
      </w:r>
      <w:r>
        <w:rPr>
          <w:sz w:val="22"/>
        </w:rPr>
        <w:t>ACO,</w:t>
      </w:r>
      <w:r>
        <w:rPr>
          <w:spacing w:val="-1"/>
          <w:sz w:val="22"/>
        </w:rPr>
        <w:t> </w:t>
      </w:r>
      <w:r>
        <w:rPr>
          <w:sz w:val="22"/>
        </w:rPr>
        <w:t>CP</w:t>
      </w:r>
      <w:r>
        <w:rPr>
          <w:spacing w:val="-2"/>
          <w:sz w:val="22"/>
        </w:rPr>
        <w:t> </w:t>
      </w:r>
      <w:r>
        <w:rPr>
          <w:sz w:val="22"/>
        </w:rPr>
        <w:t>or CSA</w:t>
      </w:r>
      <w:r>
        <w:rPr>
          <w:spacing w:val="-5"/>
          <w:sz w:val="22"/>
        </w:rPr>
        <w:t> </w:t>
      </w:r>
      <w:r>
        <w:rPr>
          <w:sz w:val="22"/>
        </w:rPr>
        <w:t>if</w:t>
      </w:r>
      <w:r>
        <w:rPr>
          <w:spacing w:val="-3"/>
          <w:sz w:val="22"/>
        </w:rPr>
        <w:t> </w:t>
      </w:r>
      <w:r>
        <w:rPr>
          <w:sz w:val="22"/>
        </w:rPr>
        <w:t>there</w:t>
      </w:r>
      <w:r>
        <w:rPr>
          <w:spacing w:val="-3"/>
          <w:sz w:val="22"/>
        </w:rPr>
        <w:t> </w:t>
      </w:r>
      <w:r>
        <w:rPr>
          <w:sz w:val="22"/>
        </w:rPr>
        <w:t>are</w:t>
      </w:r>
      <w:r>
        <w:rPr>
          <w:spacing w:val="-3"/>
          <w:sz w:val="22"/>
        </w:rPr>
        <w:t> </w:t>
      </w:r>
      <w:r>
        <w:rPr>
          <w:sz w:val="22"/>
        </w:rPr>
        <w:t>outstanding</w:t>
      </w:r>
      <w:r>
        <w:rPr>
          <w:spacing w:val="-4"/>
          <w:sz w:val="22"/>
        </w:rPr>
        <w:t> </w:t>
      </w:r>
      <w:r>
        <w:rPr>
          <w:sz w:val="22"/>
        </w:rPr>
        <w:t>State</w:t>
      </w:r>
      <w:r>
        <w:rPr>
          <w:spacing w:val="-3"/>
          <w:sz w:val="22"/>
        </w:rPr>
        <w:t> </w:t>
      </w:r>
      <w:r>
        <w:rPr>
          <w:sz w:val="22"/>
        </w:rPr>
        <w:t>requests</w:t>
      </w:r>
      <w:r>
        <w:rPr>
          <w:spacing w:val="-3"/>
          <w:sz w:val="22"/>
        </w:rPr>
        <w:t> </w:t>
      </w:r>
      <w:r>
        <w:rPr>
          <w:sz w:val="22"/>
        </w:rPr>
        <w:t>for amendments to its Preliminary Participation Plan.</w:t>
      </w:r>
    </w:p>
    <w:p>
      <w:pPr>
        <w:pStyle w:val="ListParagraph"/>
        <w:numPr>
          <w:ilvl w:val="3"/>
          <w:numId w:val="65"/>
        </w:numPr>
        <w:tabs>
          <w:tab w:pos="1939" w:val="left" w:leader="none"/>
        </w:tabs>
        <w:spacing w:line="252" w:lineRule="exact" w:before="201" w:after="0"/>
        <w:ind w:left="1939" w:right="0" w:hanging="719"/>
        <w:jc w:val="both"/>
        <w:rPr>
          <w:b/>
          <w:i/>
          <w:sz w:val="22"/>
        </w:rPr>
      </w:pPr>
      <w:bookmarkStart w:name="3.2.1.1 ACOs" w:id="1250"/>
      <w:bookmarkEnd w:id="1250"/>
      <w:r>
        <w:rPr/>
      </w:r>
      <w:r>
        <w:rPr>
          <w:b/>
          <w:i/>
          <w:color w:val="4471C4"/>
          <w:spacing w:val="-4"/>
          <w:sz w:val="22"/>
        </w:rPr>
        <w:t>ACOs</w:t>
      </w:r>
    </w:p>
    <w:p>
      <w:pPr>
        <w:spacing w:line="242" w:lineRule="auto" w:before="0"/>
        <w:ind w:left="1220" w:right="1093" w:firstLine="0"/>
        <w:jc w:val="both"/>
        <w:rPr>
          <w:sz w:val="22"/>
        </w:rPr>
      </w:pPr>
      <w:r>
        <w:rPr>
          <w:sz w:val="22"/>
        </w:rPr>
        <w:t>Each ACO will submit for the State’s approval a Preliminary Participation Plan with its response to the ACO</w:t>
      </w:r>
      <w:r>
        <w:rPr>
          <w:spacing w:val="-14"/>
          <w:sz w:val="22"/>
        </w:rPr>
        <w:t> </w:t>
      </w:r>
      <w:r>
        <w:rPr>
          <w:sz w:val="22"/>
        </w:rPr>
        <w:t>procurement.</w:t>
      </w:r>
      <w:r>
        <w:rPr>
          <w:spacing w:val="-14"/>
          <w:sz w:val="22"/>
        </w:rPr>
        <w:t> </w:t>
      </w:r>
      <w:r>
        <w:rPr>
          <w:sz w:val="22"/>
        </w:rPr>
        <w:t>Once</w:t>
      </w:r>
      <w:r>
        <w:rPr>
          <w:spacing w:val="-14"/>
          <w:sz w:val="22"/>
        </w:rPr>
        <w:t> </w:t>
      </w:r>
      <w:r>
        <w:rPr>
          <w:sz w:val="22"/>
        </w:rPr>
        <w:t>approved,</w:t>
      </w:r>
      <w:r>
        <w:rPr>
          <w:spacing w:val="-13"/>
          <w:sz w:val="22"/>
        </w:rPr>
        <w:t> </w:t>
      </w:r>
      <w:r>
        <w:rPr>
          <w:sz w:val="22"/>
        </w:rPr>
        <w:t>the</w:t>
      </w:r>
      <w:r>
        <w:rPr>
          <w:spacing w:val="-14"/>
          <w:sz w:val="22"/>
        </w:rPr>
        <w:t> </w:t>
      </w:r>
      <w:r>
        <w:rPr>
          <w:sz w:val="22"/>
        </w:rPr>
        <w:t>State</w:t>
      </w:r>
      <w:r>
        <w:rPr>
          <w:spacing w:val="-14"/>
          <w:sz w:val="22"/>
        </w:rPr>
        <w:t> </w:t>
      </w:r>
      <w:r>
        <w:rPr>
          <w:sz w:val="22"/>
        </w:rPr>
        <w:t>may</w:t>
      </w:r>
      <w:r>
        <w:rPr>
          <w:spacing w:val="-14"/>
          <w:sz w:val="22"/>
        </w:rPr>
        <w:t> </w:t>
      </w:r>
      <w:r>
        <w:rPr>
          <w:sz w:val="22"/>
        </w:rPr>
        <w:t>request</w:t>
      </w:r>
      <w:r>
        <w:rPr>
          <w:spacing w:val="-13"/>
          <w:sz w:val="22"/>
        </w:rPr>
        <w:t> </w:t>
      </w:r>
      <w:r>
        <w:rPr>
          <w:sz w:val="22"/>
        </w:rPr>
        <w:t>amendments</w:t>
      </w:r>
      <w:r>
        <w:rPr>
          <w:spacing w:val="-14"/>
          <w:sz w:val="22"/>
        </w:rPr>
        <w:t> </w:t>
      </w:r>
      <w:r>
        <w:rPr>
          <w:sz w:val="22"/>
        </w:rPr>
        <w:t>to</w:t>
      </w:r>
      <w:r>
        <w:rPr>
          <w:spacing w:val="-14"/>
          <w:sz w:val="22"/>
        </w:rPr>
        <w:t> </w:t>
      </w:r>
      <w:r>
        <w:rPr>
          <w:sz w:val="22"/>
        </w:rPr>
        <w:t>the</w:t>
      </w:r>
      <w:r>
        <w:rPr>
          <w:spacing w:val="-14"/>
          <w:sz w:val="22"/>
        </w:rPr>
        <w:t> </w:t>
      </w:r>
      <w:r>
        <w:rPr>
          <w:sz w:val="22"/>
        </w:rPr>
        <w:t>Preliminary</w:t>
      </w:r>
      <w:r>
        <w:rPr>
          <w:spacing w:val="-13"/>
          <w:sz w:val="22"/>
        </w:rPr>
        <w:t> </w:t>
      </w:r>
      <w:r>
        <w:rPr>
          <w:sz w:val="22"/>
        </w:rPr>
        <w:t>Participation</w:t>
      </w:r>
      <w:r>
        <w:rPr>
          <w:spacing w:val="-14"/>
          <w:sz w:val="22"/>
        </w:rPr>
        <w:t> </w:t>
      </w:r>
      <w:r>
        <w:rPr>
          <w:sz w:val="22"/>
        </w:rPr>
        <w:t>Plan as necessary. At a minimum, this Preliminary Participation Plan will include information such as:</w:t>
      </w:r>
    </w:p>
    <w:p>
      <w:pPr>
        <w:pStyle w:val="ListParagraph"/>
        <w:numPr>
          <w:ilvl w:val="4"/>
          <w:numId w:val="65"/>
        </w:numPr>
        <w:tabs>
          <w:tab w:pos="1939" w:val="left" w:leader="none"/>
        </w:tabs>
        <w:spacing w:line="240" w:lineRule="auto" w:before="153" w:after="0"/>
        <w:ind w:left="1939" w:right="1096" w:hanging="360"/>
        <w:jc w:val="left"/>
        <w:rPr>
          <w:sz w:val="22"/>
        </w:rPr>
      </w:pPr>
      <w:r>
        <w:rPr>
          <w:sz w:val="22"/>
        </w:rPr>
        <w:t>The</w:t>
      </w:r>
      <w:r>
        <w:rPr>
          <w:spacing w:val="-7"/>
          <w:sz w:val="22"/>
        </w:rPr>
        <w:t> </w:t>
      </w:r>
      <w:r>
        <w:rPr>
          <w:sz w:val="22"/>
        </w:rPr>
        <w:t>ACO’s</w:t>
      </w:r>
      <w:r>
        <w:rPr>
          <w:spacing w:val="-7"/>
          <w:sz w:val="22"/>
        </w:rPr>
        <w:t> </w:t>
      </w:r>
      <w:r>
        <w:rPr>
          <w:sz w:val="22"/>
        </w:rPr>
        <w:t>five-year</w:t>
      </w:r>
      <w:r>
        <w:rPr>
          <w:spacing w:val="-6"/>
          <w:sz w:val="22"/>
        </w:rPr>
        <w:t> </w:t>
      </w:r>
      <w:r>
        <w:rPr>
          <w:sz w:val="22"/>
        </w:rPr>
        <w:t>business</w:t>
      </w:r>
      <w:r>
        <w:rPr>
          <w:spacing w:val="-7"/>
          <w:sz w:val="22"/>
        </w:rPr>
        <w:t> </w:t>
      </w:r>
      <w:r>
        <w:rPr>
          <w:sz w:val="22"/>
        </w:rPr>
        <w:t>plan,</w:t>
      </w:r>
      <w:r>
        <w:rPr>
          <w:spacing w:val="-9"/>
          <w:sz w:val="22"/>
        </w:rPr>
        <w:t> </w:t>
      </w:r>
      <w:r>
        <w:rPr>
          <w:sz w:val="22"/>
        </w:rPr>
        <w:t>including</w:t>
      </w:r>
      <w:r>
        <w:rPr>
          <w:spacing w:val="-10"/>
          <w:sz w:val="22"/>
        </w:rPr>
        <w:t> </w:t>
      </w:r>
      <w:r>
        <w:rPr>
          <w:sz w:val="22"/>
        </w:rPr>
        <w:t>the</w:t>
      </w:r>
      <w:r>
        <w:rPr>
          <w:spacing w:val="-7"/>
          <w:sz w:val="22"/>
        </w:rPr>
        <w:t> </w:t>
      </w:r>
      <w:r>
        <w:rPr>
          <w:sz w:val="22"/>
        </w:rPr>
        <w:t>ACO’s</w:t>
      </w:r>
      <w:r>
        <w:rPr>
          <w:spacing w:val="-7"/>
          <w:sz w:val="22"/>
        </w:rPr>
        <w:t> </w:t>
      </w:r>
      <w:r>
        <w:rPr>
          <w:sz w:val="22"/>
        </w:rPr>
        <w:t>goals</w:t>
      </w:r>
      <w:r>
        <w:rPr>
          <w:spacing w:val="-7"/>
          <w:sz w:val="22"/>
        </w:rPr>
        <w:t> </w:t>
      </w:r>
      <w:r>
        <w:rPr>
          <w:sz w:val="22"/>
        </w:rPr>
        <w:t>and</w:t>
      </w:r>
      <w:r>
        <w:rPr>
          <w:spacing w:val="-7"/>
          <w:sz w:val="22"/>
        </w:rPr>
        <w:t> </w:t>
      </w:r>
      <w:r>
        <w:rPr>
          <w:sz w:val="22"/>
        </w:rPr>
        <w:t>identified</w:t>
      </w:r>
      <w:r>
        <w:rPr>
          <w:spacing w:val="-10"/>
          <w:sz w:val="22"/>
        </w:rPr>
        <w:t> </w:t>
      </w:r>
      <w:r>
        <w:rPr>
          <w:sz w:val="22"/>
        </w:rPr>
        <w:t>challenges</w:t>
      </w:r>
      <w:r>
        <w:rPr>
          <w:spacing w:val="-7"/>
          <w:sz w:val="22"/>
        </w:rPr>
        <w:t> </w:t>
      </w:r>
      <w:r>
        <w:rPr>
          <w:sz w:val="22"/>
        </w:rPr>
        <w:t>under</w:t>
      </w:r>
      <w:r>
        <w:rPr>
          <w:spacing w:val="-6"/>
          <w:sz w:val="22"/>
        </w:rPr>
        <w:t> </w:t>
      </w:r>
      <w:r>
        <w:rPr>
          <w:sz w:val="22"/>
        </w:rPr>
        <w:t>the ACO contract with MassHealth</w:t>
      </w:r>
    </w:p>
    <w:p>
      <w:pPr>
        <w:spacing w:after="0" w:line="240" w:lineRule="auto"/>
        <w:jc w:val="left"/>
        <w:rPr>
          <w:sz w:val="22"/>
        </w:rPr>
        <w:sectPr>
          <w:pgSz w:w="12240" w:h="15840"/>
          <w:pgMar w:header="0" w:footer="967" w:top="1360" w:bottom="1160" w:left="220" w:right="340"/>
        </w:sectPr>
      </w:pPr>
    </w:p>
    <w:p>
      <w:pPr>
        <w:pStyle w:val="ListParagraph"/>
        <w:numPr>
          <w:ilvl w:val="4"/>
          <w:numId w:val="65"/>
        </w:numPr>
        <w:tabs>
          <w:tab w:pos="1938" w:val="left" w:leader="none"/>
          <w:tab w:pos="1940" w:val="left" w:leader="none"/>
        </w:tabs>
        <w:spacing w:line="240" w:lineRule="auto" w:before="79" w:after="0"/>
        <w:ind w:left="1940" w:right="1096" w:hanging="361"/>
        <w:jc w:val="both"/>
        <w:rPr>
          <w:sz w:val="22"/>
        </w:rPr>
      </w:pPr>
      <w:r>
        <w:rPr>
          <w:sz w:val="22"/>
        </w:rPr>
        <w:t>The ACO’s planned investments and spending plan, including specific investments or programs the ACO anticipates supporting with DSRIP funds. Such investments and programs may include but are not limited to:</w:t>
      </w:r>
    </w:p>
    <w:p>
      <w:pPr>
        <w:pStyle w:val="ListParagraph"/>
        <w:numPr>
          <w:ilvl w:val="5"/>
          <w:numId w:val="65"/>
        </w:numPr>
        <w:tabs>
          <w:tab w:pos="2658" w:val="left" w:leader="none"/>
          <w:tab w:pos="2660" w:val="left" w:leader="none"/>
        </w:tabs>
        <w:spacing w:line="232" w:lineRule="auto" w:before="204" w:after="0"/>
        <w:ind w:left="2660" w:right="1096" w:hanging="361"/>
        <w:jc w:val="both"/>
        <w:rPr>
          <w:sz w:val="22"/>
        </w:rPr>
      </w:pPr>
      <w:r>
        <w:rPr>
          <w:sz w:val="22"/>
        </w:rPr>
        <w:t>Care</w:t>
      </w:r>
      <w:r>
        <w:rPr>
          <w:spacing w:val="-10"/>
          <w:sz w:val="22"/>
        </w:rPr>
        <w:t> </w:t>
      </w:r>
      <w:r>
        <w:rPr>
          <w:sz w:val="22"/>
        </w:rPr>
        <w:t>coordination</w:t>
      </w:r>
      <w:r>
        <w:rPr>
          <w:spacing w:val="-10"/>
          <w:sz w:val="22"/>
        </w:rPr>
        <w:t> </w:t>
      </w:r>
      <w:r>
        <w:rPr>
          <w:sz w:val="22"/>
        </w:rPr>
        <w:t>or</w:t>
      </w:r>
      <w:r>
        <w:rPr>
          <w:spacing w:val="-10"/>
          <w:sz w:val="22"/>
        </w:rPr>
        <w:t> </w:t>
      </w:r>
      <w:r>
        <w:rPr>
          <w:sz w:val="22"/>
        </w:rPr>
        <w:t>care</w:t>
      </w:r>
      <w:r>
        <w:rPr>
          <w:spacing w:val="-10"/>
          <w:sz w:val="22"/>
        </w:rPr>
        <w:t> </w:t>
      </w:r>
      <w:r>
        <w:rPr>
          <w:sz w:val="22"/>
        </w:rPr>
        <w:t>management</w:t>
      </w:r>
      <w:r>
        <w:rPr>
          <w:spacing w:val="-10"/>
          <w:sz w:val="22"/>
        </w:rPr>
        <w:t> </w:t>
      </w:r>
      <w:r>
        <w:rPr>
          <w:sz w:val="22"/>
        </w:rPr>
        <w:t>programs,</w:t>
      </w:r>
      <w:r>
        <w:rPr>
          <w:spacing w:val="-10"/>
          <w:sz w:val="22"/>
        </w:rPr>
        <w:t> </w:t>
      </w:r>
      <w:r>
        <w:rPr>
          <w:sz w:val="22"/>
        </w:rPr>
        <w:t>including</w:t>
      </w:r>
      <w:r>
        <w:rPr>
          <w:spacing w:val="-12"/>
          <w:sz w:val="22"/>
        </w:rPr>
        <w:t> </w:t>
      </w:r>
      <w:r>
        <w:rPr>
          <w:sz w:val="22"/>
        </w:rPr>
        <w:t>any</w:t>
      </w:r>
      <w:r>
        <w:rPr>
          <w:spacing w:val="-12"/>
          <w:sz w:val="22"/>
        </w:rPr>
        <w:t> </w:t>
      </w:r>
      <w:r>
        <w:rPr>
          <w:sz w:val="22"/>
        </w:rPr>
        <w:t>programs</w:t>
      </w:r>
      <w:r>
        <w:rPr>
          <w:spacing w:val="-10"/>
          <w:sz w:val="22"/>
        </w:rPr>
        <w:t> </w:t>
      </w:r>
      <w:r>
        <w:rPr>
          <w:sz w:val="22"/>
        </w:rPr>
        <w:t>to</w:t>
      </w:r>
      <w:r>
        <w:rPr>
          <w:spacing w:val="-8"/>
          <w:sz w:val="22"/>
        </w:rPr>
        <w:t> </w:t>
      </w:r>
      <w:r>
        <w:rPr>
          <w:sz w:val="22"/>
        </w:rPr>
        <w:t>manage</w:t>
      </w:r>
      <w:r>
        <w:rPr>
          <w:spacing w:val="-10"/>
          <w:sz w:val="22"/>
        </w:rPr>
        <w:t> </w:t>
      </w:r>
      <w:r>
        <w:rPr>
          <w:sz w:val="22"/>
        </w:rPr>
        <w:t>high- risk</w:t>
      </w:r>
      <w:r>
        <w:rPr>
          <w:spacing w:val="-11"/>
          <w:sz w:val="22"/>
        </w:rPr>
        <w:t> </w:t>
      </w:r>
      <w:r>
        <w:rPr>
          <w:sz w:val="22"/>
        </w:rPr>
        <w:t>populations</w:t>
      </w:r>
      <w:r>
        <w:rPr>
          <w:spacing w:val="-8"/>
          <w:sz w:val="22"/>
        </w:rPr>
        <w:t> </w:t>
      </w:r>
      <w:r>
        <w:rPr>
          <w:sz w:val="22"/>
        </w:rPr>
        <w:t>or</w:t>
      </w:r>
      <w:r>
        <w:rPr>
          <w:spacing w:val="-7"/>
          <w:sz w:val="22"/>
        </w:rPr>
        <w:t> </w:t>
      </w:r>
      <w:r>
        <w:rPr>
          <w:sz w:val="22"/>
        </w:rPr>
        <w:t>other</w:t>
      </w:r>
      <w:r>
        <w:rPr>
          <w:spacing w:val="-10"/>
          <w:sz w:val="22"/>
        </w:rPr>
        <w:t> </w:t>
      </w:r>
      <w:r>
        <w:rPr>
          <w:sz w:val="22"/>
        </w:rPr>
        <w:t>population</w:t>
      </w:r>
      <w:r>
        <w:rPr>
          <w:spacing w:val="-8"/>
          <w:sz w:val="22"/>
        </w:rPr>
        <w:t> </w:t>
      </w:r>
      <w:r>
        <w:rPr>
          <w:sz w:val="22"/>
        </w:rPr>
        <w:t>health</w:t>
      </w:r>
      <w:r>
        <w:rPr>
          <w:spacing w:val="-8"/>
          <w:sz w:val="22"/>
        </w:rPr>
        <w:t> </w:t>
      </w:r>
      <w:r>
        <w:rPr>
          <w:sz w:val="22"/>
        </w:rPr>
        <w:t>initiatives</w:t>
      </w:r>
      <w:r>
        <w:rPr>
          <w:spacing w:val="-10"/>
          <w:sz w:val="22"/>
        </w:rPr>
        <w:t> </w:t>
      </w:r>
      <w:r>
        <w:rPr>
          <w:sz w:val="22"/>
        </w:rPr>
        <w:t>and</w:t>
      </w:r>
      <w:r>
        <w:rPr>
          <w:spacing w:val="-8"/>
          <w:sz w:val="22"/>
        </w:rPr>
        <w:t> </w:t>
      </w:r>
      <w:r>
        <w:rPr>
          <w:sz w:val="22"/>
        </w:rPr>
        <w:t>including</w:t>
      </w:r>
      <w:r>
        <w:rPr>
          <w:spacing w:val="-11"/>
          <w:sz w:val="22"/>
        </w:rPr>
        <w:t> </w:t>
      </w:r>
      <w:r>
        <w:rPr>
          <w:sz w:val="22"/>
        </w:rPr>
        <w:t>the</w:t>
      </w:r>
      <w:r>
        <w:rPr>
          <w:spacing w:val="-8"/>
          <w:sz w:val="22"/>
        </w:rPr>
        <w:t> </w:t>
      </w:r>
      <w:r>
        <w:rPr>
          <w:sz w:val="22"/>
        </w:rPr>
        <w:t>ACO’s</w:t>
      </w:r>
      <w:r>
        <w:rPr>
          <w:spacing w:val="-8"/>
          <w:sz w:val="22"/>
        </w:rPr>
        <w:t> </w:t>
      </w:r>
      <w:r>
        <w:rPr>
          <w:sz w:val="22"/>
        </w:rPr>
        <w:t>transitional care management program</w:t>
      </w:r>
    </w:p>
    <w:p>
      <w:pPr>
        <w:pStyle w:val="ListParagraph"/>
        <w:numPr>
          <w:ilvl w:val="5"/>
          <w:numId w:val="65"/>
        </w:numPr>
        <w:tabs>
          <w:tab w:pos="2658" w:val="left" w:leader="none"/>
          <w:tab w:pos="2660" w:val="left" w:leader="none"/>
        </w:tabs>
        <w:spacing w:line="235" w:lineRule="auto" w:before="203" w:after="0"/>
        <w:ind w:left="2660" w:right="1093" w:hanging="361"/>
        <w:jc w:val="both"/>
        <w:rPr>
          <w:sz w:val="22"/>
        </w:rPr>
      </w:pPr>
      <w:r>
        <w:rPr>
          <w:sz w:val="22"/>
        </w:rPr>
        <w:t>Efforts to address members’ health-related social needs, including expanding community linkages between the ACO and providers, Community Partners or other social service organizations,</w:t>
      </w:r>
      <w:r>
        <w:rPr>
          <w:spacing w:val="-12"/>
          <w:sz w:val="22"/>
        </w:rPr>
        <w:t> </w:t>
      </w:r>
      <w:r>
        <w:rPr>
          <w:sz w:val="22"/>
        </w:rPr>
        <w:t>and</w:t>
      </w:r>
      <w:r>
        <w:rPr>
          <w:spacing w:val="-12"/>
          <w:sz w:val="22"/>
        </w:rPr>
        <w:t> </w:t>
      </w:r>
      <w:r>
        <w:rPr>
          <w:sz w:val="22"/>
        </w:rPr>
        <w:t>including</w:t>
      </w:r>
      <w:r>
        <w:rPr>
          <w:spacing w:val="-12"/>
          <w:sz w:val="22"/>
        </w:rPr>
        <w:t> </w:t>
      </w:r>
      <w:r>
        <w:rPr>
          <w:sz w:val="22"/>
        </w:rPr>
        <w:t>any</w:t>
      </w:r>
      <w:r>
        <w:rPr>
          <w:spacing w:val="-12"/>
          <w:sz w:val="22"/>
        </w:rPr>
        <w:t> </w:t>
      </w:r>
      <w:r>
        <w:rPr>
          <w:sz w:val="22"/>
        </w:rPr>
        <w:t>spending</w:t>
      </w:r>
      <w:r>
        <w:rPr>
          <w:spacing w:val="-12"/>
          <w:sz w:val="22"/>
        </w:rPr>
        <w:t> </w:t>
      </w:r>
      <w:r>
        <w:rPr>
          <w:sz w:val="22"/>
        </w:rPr>
        <w:t>on</w:t>
      </w:r>
      <w:r>
        <w:rPr>
          <w:spacing w:val="-10"/>
          <w:sz w:val="22"/>
        </w:rPr>
        <w:t> </w:t>
      </w:r>
      <w:r>
        <w:rPr>
          <w:sz w:val="22"/>
        </w:rPr>
        <w:t>allowable</w:t>
      </w:r>
      <w:r>
        <w:rPr>
          <w:spacing w:val="-9"/>
          <w:sz w:val="22"/>
        </w:rPr>
        <w:t> </w:t>
      </w:r>
      <w:r>
        <w:rPr>
          <w:sz w:val="22"/>
        </w:rPr>
        <w:t>flexible</w:t>
      </w:r>
      <w:r>
        <w:rPr>
          <w:spacing w:val="-9"/>
          <w:sz w:val="22"/>
        </w:rPr>
        <w:t> </w:t>
      </w:r>
      <w:r>
        <w:rPr>
          <w:sz w:val="22"/>
        </w:rPr>
        <w:t>services</w:t>
      </w:r>
      <w:r>
        <w:rPr>
          <w:spacing w:val="-9"/>
          <w:sz w:val="22"/>
        </w:rPr>
        <w:t> </w:t>
      </w:r>
      <w:r>
        <w:rPr>
          <w:sz w:val="22"/>
        </w:rPr>
        <w:t>to</w:t>
      </w:r>
      <w:r>
        <w:rPr>
          <w:spacing w:val="-12"/>
          <w:sz w:val="22"/>
        </w:rPr>
        <w:t> </w:t>
      </w:r>
      <w:r>
        <w:rPr>
          <w:sz w:val="22"/>
        </w:rPr>
        <w:t>address</w:t>
      </w:r>
      <w:r>
        <w:rPr>
          <w:spacing w:val="-9"/>
          <w:sz w:val="22"/>
        </w:rPr>
        <w:t> </w:t>
      </w:r>
      <w:r>
        <w:rPr>
          <w:sz w:val="22"/>
        </w:rPr>
        <w:t>health- related social needs</w:t>
      </w:r>
    </w:p>
    <w:p>
      <w:pPr>
        <w:pStyle w:val="ListParagraph"/>
        <w:numPr>
          <w:ilvl w:val="5"/>
          <w:numId w:val="65"/>
        </w:numPr>
        <w:tabs>
          <w:tab w:pos="2658" w:val="left" w:leader="none"/>
          <w:tab w:pos="2660" w:val="left" w:leader="none"/>
        </w:tabs>
        <w:spacing w:line="225" w:lineRule="auto" w:before="209" w:after="0"/>
        <w:ind w:left="2660" w:right="1092" w:hanging="361"/>
        <w:jc w:val="both"/>
        <w:rPr>
          <w:sz w:val="22"/>
        </w:rPr>
      </w:pPr>
      <w:r>
        <w:rPr>
          <w:sz w:val="22"/>
        </w:rPr>
        <w:t>Ensuring appropriate workforce capacity and professional development opportunities to meet increased expectations for care coordination, management and integration</w:t>
      </w:r>
    </w:p>
    <w:p>
      <w:pPr>
        <w:pStyle w:val="ListParagraph"/>
        <w:numPr>
          <w:ilvl w:val="5"/>
          <w:numId w:val="65"/>
        </w:numPr>
        <w:tabs>
          <w:tab w:pos="2659" w:val="left" w:leader="none"/>
        </w:tabs>
        <w:spacing w:line="240" w:lineRule="auto" w:before="203" w:after="0"/>
        <w:ind w:left="2659" w:right="0" w:hanging="359"/>
        <w:jc w:val="left"/>
        <w:rPr>
          <w:sz w:val="22"/>
        </w:rPr>
      </w:pPr>
      <w:r>
        <w:rPr>
          <w:sz w:val="22"/>
        </w:rPr>
        <w:t>Investments</w:t>
      </w:r>
      <w:r>
        <w:rPr>
          <w:spacing w:val="-6"/>
          <w:sz w:val="22"/>
        </w:rPr>
        <w:t> </w:t>
      </w:r>
      <w:r>
        <w:rPr>
          <w:sz w:val="22"/>
        </w:rPr>
        <w:t>in</w:t>
      </w:r>
      <w:r>
        <w:rPr>
          <w:spacing w:val="-3"/>
          <w:sz w:val="22"/>
        </w:rPr>
        <w:t> </w:t>
      </w:r>
      <w:r>
        <w:rPr>
          <w:sz w:val="22"/>
        </w:rPr>
        <w:t>the</w:t>
      </w:r>
      <w:r>
        <w:rPr>
          <w:spacing w:val="-4"/>
          <w:sz w:val="22"/>
        </w:rPr>
        <w:t> </w:t>
      </w:r>
      <w:r>
        <w:rPr>
          <w:sz w:val="22"/>
        </w:rPr>
        <w:t>ACO’s</w:t>
      </w:r>
      <w:r>
        <w:rPr>
          <w:spacing w:val="-5"/>
          <w:sz w:val="22"/>
        </w:rPr>
        <w:t> </w:t>
      </w:r>
      <w:r>
        <w:rPr>
          <w:sz w:val="22"/>
        </w:rPr>
        <w:t>and</w:t>
      </w:r>
      <w:r>
        <w:rPr>
          <w:spacing w:val="-3"/>
          <w:sz w:val="22"/>
        </w:rPr>
        <w:t> </w:t>
      </w:r>
      <w:r>
        <w:rPr>
          <w:sz w:val="22"/>
        </w:rPr>
        <w:t>providers’</w:t>
      </w:r>
      <w:r>
        <w:rPr>
          <w:spacing w:val="-2"/>
          <w:sz w:val="22"/>
        </w:rPr>
        <w:t> </w:t>
      </w:r>
      <w:r>
        <w:rPr>
          <w:sz w:val="22"/>
        </w:rPr>
        <w:t>data</w:t>
      </w:r>
      <w:r>
        <w:rPr>
          <w:spacing w:val="-4"/>
          <w:sz w:val="22"/>
        </w:rPr>
        <w:t> </w:t>
      </w:r>
      <w:r>
        <w:rPr>
          <w:sz w:val="22"/>
        </w:rPr>
        <w:t>and</w:t>
      </w:r>
      <w:r>
        <w:rPr>
          <w:spacing w:val="-3"/>
          <w:sz w:val="22"/>
        </w:rPr>
        <w:t> </w:t>
      </w:r>
      <w:r>
        <w:rPr>
          <w:sz w:val="22"/>
        </w:rPr>
        <w:t>analytics</w:t>
      </w:r>
      <w:r>
        <w:rPr>
          <w:spacing w:val="-3"/>
          <w:sz w:val="22"/>
        </w:rPr>
        <w:t> </w:t>
      </w:r>
      <w:r>
        <w:rPr>
          <w:spacing w:val="-2"/>
          <w:sz w:val="22"/>
        </w:rPr>
        <w:t>capabilities</w:t>
      </w:r>
    </w:p>
    <w:p>
      <w:pPr>
        <w:pStyle w:val="ListParagraph"/>
        <w:numPr>
          <w:ilvl w:val="5"/>
          <w:numId w:val="65"/>
        </w:numPr>
        <w:tabs>
          <w:tab w:pos="2660" w:val="left" w:leader="none"/>
        </w:tabs>
        <w:spacing w:line="237" w:lineRule="auto" w:before="181" w:after="0"/>
        <w:ind w:left="2660" w:right="1093" w:hanging="360"/>
        <w:jc w:val="both"/>
        <w:rPr>
          <w:sz w:val="22"/>
        </w:rPr>
      </w:pPr>
      <w:r>
        <w:rPr>
          <w:sz w:val="22"/>
        </w:rPr>
        <w:t>Programs to shift service volume or capital away from avoidable inpatient care toward outpatient, community-based primary and preventive care, or from institutional care towards community-based LTSS, including capital investments to downsize or repurpose inpatient or institutional capacity</w:t>
      </w:r>
      <w:hyperlink w:history="true" w:anchor="_bookmark25">
        <w:r>
          <w:rPr>
            <w:sz w:val="22"/>
            <w:vertAlign w:val="superscript"/>
          </w:rPr>
          <w:t>1</w:t>
        </w:r>
      </w:hyperlink>
      <w:r>
        <w:rPr>
          <w:sz w:val="22"/>
          <w:vertAlign w:val="baseline"/>
        </w:rPr>
        <w:t>, investments in expanding outpatient and community capacity and costs associated with piloting new care delivery models, such as those involving alternate settings of care and the use of telehealth or home-based services</w:t>
      </w:r>
    </w:p>
    <w:p>
      <w:pPr>
        <w:pStyle w:val="ListParagraph"/>
        <w:numPr>
          <w:ilvl w:val="5"/>
          <w:numId w:val="65"/>
        </w:numPr>
        <w:tabs>
          <w:tab w:pos="2658" w:val="left" w:leader="none"/>
          <w:tab w:pos="2660" w:val="left" w:leader="none"/>
        </w:tabs>
        <w:spacing w:line="228" w:lineRule="auto" w:before="203" w:after="0"/>
        <w:ind w:left="2660" w:right="1095" w:hanging="361"/>
        <w:jc w:val="both"/>
        <w:rPr>
          <w:sz w:val="22"/>
        </w:rPr>
      </w:pPr>
      <w:r>
        <w:rPr>
          <w:sz w:val="22"/>
        </w:rPr>
        <w:t>Investments in improved linguistic and cultural competency of care, including hiring translators and providers fluent in members’ preferred languages</w:t>
      </w:r>
    </w:p>
    <w:p>
      <w:pPr>
        <w:pStyle w:val="ListParagraph"/>
        <w:numPr>
          <w:ilvl w:val="5"/>
          <w:numId w:val="65"/>
        </w:numPr>
        <w:tabs>
          <w:tab w:pos="2658" w:val="left" w:leader="none"/>
          <w:tab w:pos="2660" w:val="left" w:leader="none"/>
        </w:tabs>
        <w:spacing w:line="228" w:lineRule="auto" w:before="207" w:after="0"/>
        <w:ind w:left="2660" w:right="1094" w:hanging="361"/>
        <w:jc w:val="both"/>
        <w:rPr>
          <w:sz w:val="22"/>
        </w:rPr>
      </w:pPr>
      <w:r>
        <w:rPr>
          <w:sz w:val="22"/>
        </w:rPr>
        <w:t>Other investments or programs identified and proposed by the ACO that align with other requirements that MassHealth will have of the ACO</w:t>
      </w:r>
    </w:p>
    <w:p>
      <w:pPr>
        <w:pStyle w:val="ListParagraph"/>
        <w:numPr>
          <w:ilvl w:val="3"/>
          <w:numId w:val="65"/>
        </w:numPr>
        <w:tabs>
          <w:tab w:pos="1939" w:val="left" w:leader="none"/>
        </w:tabs>
        <w:spacing w:line="252" w:lineRule="exact" w:before="199" w:after="0"/>
        <w:ind w:left="1939" w:right="0" w:hanging="719"/>
        <w:jc w:val="both"/>
        <w:rPr>
          <w:b/>
          <w:i/>
          <w:sz w:val="22"/>
        </w:rPr>
      </w:pPr>
      <w:bookmarkStart w:name="3.2.1.2 Community Partners/CSAs" w:id="1251"/>
      <w:bookmarkEnd w:id="1251"/>
      <w:r>
        <w:rPr/>
      </w:r>
      <w:r>
        <w:rPr>
          <w:b/>
          <w:i/>
          <w:color w:val="4471C4"/>
          <w:sz w:val="22"/>
        </w:rPr>
        <w:t>Community</w:t>
      </w:r>
      <w:r>
        <w:rPr>
          <w:b/>
          <w:i/>
          <w:color w:val="4471C4"/>
          <w:spacing w:val="-5"/>
          <w:sz w:val="22"/>
        </w:rPr>
        <w:t> </w:t>
      </w:r>
      <w:r>
        <w:rPr>
          <w:b/>
          <w:i/>
          <w:color w:val="4471C4"/>
          <w:spacing w:val="-2"/>
          <w:sz w:val="22"/>
        </w:rPr>
        <w:t>Partners/CSAs</w:t>
      </w:r>
    </w:p>
    <w:p>
      <w:pPr>
        <w:spacing w:before="0"/>
        <w:ind w:left="1220" w:right="1093" w:firstLine="0"/>
        <w:jc w:val="both"/>
        <w:rPr>
          <w:sz w:val="22"/>
        </w:rPr>
      </w:pPr>
      <w:r>
        <w:rPr>
          <w:sz w:val="22"/>
        </w:rPr>
        <w:t>Each CP and CSA will submit for the State’s approval a Preliminary Participation Plan with their procurement responses and requests for funding respectively. Once approved, the State may request amendments to Preliminary Participation Plans as necessary. The Preliminary Participation Plan may </w:t>
      </w:r>
      <w:r>
        <w:rPr>
          <w:spacing w:val="-2"/>
          <w:sz w:val="22"/>
        </w:rPr>
        <w:t>include:</w:t>
      </w:r>
    </w:p>
    <w:p>
      <w:pPr>
        <w:pStyle w:val="ListParagraph"/>
        <w:numPr>
          <w:ilvl w:val="4"/>
          <w:numId w:val="65"/>
        </w:numPr>
        <w:tabs>
          <w:tab w:pos="1938" w:val="left" w:leader="none"/>
          <w:tab w:pos="1940" w:val="left" w:leader="none"/>
        </w:tabs>
        <w:spacing w:line="240" w:lineRule="auto" w:before="160" w:after="0"/>
        <w:ind w:left="1940" w:right="1094" w:hanging="361"/>
        <w:jc w:val="both"/>
        <w:rPr>
          <w:sz w:val="22"/>
        </w:rPr>
      </w:pPr>
      <w:r>
        <w:rPr>
          <w:sz w:val="22"/>
        </w:rPr>
        <w:t>Executive</w:t>
      </w:r>
      <w:r>
        <w:rPr>
          <w:spacing w:val="-12"/>
          <w:sz w:val="22"/>
        </w:rPr>
        <w:t> </w:t>
      </w:r>
      <w:r>
        <w:rPr>
          <w:sz w:val="22"/>
        </w:rPr>
        <w:t>Summary:</w:t>
      </w:r>
      <w:r>
        <w:rPr>
          <w:spacing w:val="-12"/>
          <w:sz w:val="22"/>
        </w:rPr>
        <w:t> </w:t>
      </w:r>
      <w:r>
        <w:rPr>
          <w:sz w:val="22"/>
        </w:rPr>
        <w:t>This</w:t>
      </w:r>
      <w:r>
        <w:rPr>
          <w:spacing w:val="-12"/>
          <w:sz w:val="22"/>
        </w:rPr>
        <w:t> </w:t>
      </w:r>
      <w:r>
        <w:rPr>
          <w:sz w:val="22"/>
        </w:rPr>
        <w:t>section</w:t>
      </w:r>
      <w:r>
        <w:rPr>
          <w:spacing w:val="-13"/>
          <w:sz w:val="22"/>
        </w:rPr>
        <w:t> </w:t>
      </w:r>
      <w:r>
        <w:rPr>
          <w:sz w:val="22"/>
        </w:rPr>
        <w:t>will</w:t>
      </w:r>
      <w:r>
        <w:rPr>
          <w:spacing w:val="-12"/>
          <w:sz w:val="22"/>
        </w:rPr>
        <w:t> </w:t>
      </w:r>
      <w:r>
        <w:rPr>
          <w:sz w:val="22"/>
        </w:rPr>
        <w:t>summarize</w:t>
      </w:r>
      <w:r>
        <w:rPr>
          <w:spacing w:val="-12"/>
          <w:sz w:val="22"/>
        </w:rPr>
        <w:t> </w:t>
      </w:r>
      <w:r>
        <w:rPr>
          <w:sz w:val="22"/>
        </w:rPr>
        <w:t>the</w:t>
      </w:r>
      <w:r>
        <w:rPr>
          <w:spacing w:val="-12"/>
          <w:sz w:val="22"/>
        </w:rPr>
        <w:t> </w:t>
      </w:r>
      <w:r>
        <w:rPr>
          <w:sz w:val="22"/>
        </w:rPr>
        <w:t>CP’s</w:t>
      </w:r>
      <w:r>
        <w:rPr>
          <w:spacing w:val="-12"/>
          <w:sz w:val="22"/>
        </w:rPr>
        <w:t> </w:t>
      </w:r>
      <w:r>
        <w:rPr>
          <w:sz w:val="22"/>
        </w:rPr>
        <w:t>or</w:t>
      </w:r>
      <w:r>
        <w:rPr>
          <w:spacing w:val="-12"/>
          <w:sz w:val="22"/>
        </w:rPr>
        <w:t> </w:t>
      </w:r>
      <w:r>
        <w:rPr>
          <w:sz w:val="22"/>
        </w:rPr>
        <w:t>CSA’s</w:t>
      </w:r>
      <w:r>
        <w:rPr>
          <w:spacing w:val="-12"/>
          <w:sz w:val="22"/>
        </w:rPr>
        <w:t> </w:t>
      </w:r>
      <w:r>
        <w:rPr>
          <w:sz w:val="22"/>
        </w:rPr>
        <w:t>DSRIP</w:t>
      </w:r>
      <w:r>
        <w:rPr>
          <w:spacing w:val="-13"/>
          <w:sz w:val="22"/>
        </w:rPr>
        <w:t> </w:t>
      </w:r>
      <w:r>
        <w:rPr>
          <w:sz w:val="22"/>
        </w:rPr>
        <w:t>Participation</w:t>
      </w:r>
      <w:r>
        <w:rPr>
          <w:spacing w:val="-13"/>
          <w:sz w:val="22"/>
        </w:rPr>
        <w:t> </w:t>
      </w:r>
      <w:r>
        <w:rPr>
          <w:sz w:val="22"/>
        </w:rPr>
        <w:t>Plan</w:t>
      </w:r>
      <w:r>
        <w:rPr>
          <w:spacing w:val="-13"/>
          <w:sz w:val="22"/>
        </w:rPr>
        <w:t> </w:t>
      </w:r>
      <w:r>
        <w:rPr>
          <w:sz w:val="22"/>
        </w:rPr>
        <w:t>and describe the CP’s or CSA’s five-year business plan, goals and identified challenges.</w:t>
      </w:r>
    </w:p>
    <w:p>
      <w:pPr>
        <w:pStyle w:val="ListParagraph"/>
        <w:numPr>
          <w:ilvl w:val="4"/>
          <w:numId w:val="65"/>
        </w:numPr>
        <w:tabs>
          <w:tab w:pos="1939" w:val="left" w:leader="none"/>
          <w:tab w:pos="1941" w:val="left" w:leader="none"/>
        </w:tabs>
        <w:spacing w:line="240" w:lineRule="auto" w:before="0" w:after="0"/>
        <w:ind w:left="1941" w:right="1092" w:hanging="361"/>
        <w:jc w:val="both"/>
        <w:rPr>
          <w:sz w:val="22"/>
        </w:rPr>
      </w:pPr>
      <w:r>
        <w:rPr>
          <w:sz w:val="22"/>
        </w:rPr>
        <w:t>Partnerships: This section will list providers with which the CP or CSA will partner and describe these relationships and how they will align with the CP’s or CSA’s proposed investments and programs,</w:t>
      </w:r>
      <w:r>
        <w:rPr>
          <w:spacing w:val="-2"/>
          <w:sz w:val="22"/>
        </w:rPr>
        <w:t> </w:t>
      </w:r>
      <w:r>
        <w:rPr>
          <w:sz w:val="22"/>
        </w:rPr>
        <w:t>as</w:t>
      </w:r>
      <w:r>
        <w:rPr>
          <w:spacing w:val="-2"/>
          <w:sz w:val="22"/>
        </w:rPr>
        <w:t> </w:t>
      </w:r>
      <w:r>
        <w:rPr>
          <w:sz w:val="22"/>
        </w:rPr>
        <w:t>well</w:t>
      </w:r>
      <w:r>
        <w:rPr>
          <w:spacing w:val="-1"/>
          <w:sz w:val="22"/>
        </w:rPr>
        <w:t> </w:t>
      </w:r>
      <w:r>
        <w:rPr>
          <w:sz w:val="22"/>
        </w:rPr>
        <w:t>as</w:t>
      </w:r>
      <w:r>
        <w:rPr>
          <w:spacing w:val="-2"/>
          <w:sz w:val="22"/>
        </w:rPr>
        <w:t> </w:t>
      </w:r>
      <w:r>
        <w:rPr>
          <w:sz w:val="22"/>
        </w:rPr>
        <w:t>the</w:t>
      </w:r>
      <w:r>
        <w:rPr>
          <w:spacing w:val="-2"/>
          <w:sz w:val="22"/>
        </w:rPr>
        <w:t> </w:t>
      </w:r>
      <w:r>
        <w:rPr>
          <w:sz w:val="22"/>
        </w:rPr>
        <w:t>CP’s</w:t>
      </w:r>
      <w:r>
        <w:rPr>
          <w:spacing w:val="-2"/>
          <w:sz w:val="22"/>
        </w:rPr>
        <w:t> </w:t>
      </w:r>
      <w:r>
        <w:rPr>
          <w:sz w:val="22"/>
        </w:rPr>
        <w:t>or</w:t>
      </w:r>
      <w:r>
        <w:rPr>
          <w:spacing w:val="-1"/>
          <w:sz w:val="22"/>
        </w:rPr>
        <w:t> </w:t>
      </w:r>
      <w:r>
        <w:rPr>
          <w:sz w:val="22"/>
        </w:rPr>
        <w:t>CSA’s</w:t>
      </w:r>
      <w:r>
        <w:rPr>
          <w:spacing w:val="-2"/>
          <w:sz w:val="22"/>
        </w:rPr>
        <w:t> </w:t>
      </w:r>
      <w:r>
        <w:rPr>
          <w:sz w:val="22"/>
        </w:rPr>
        <w:t>core</w:t>
      </w:r>
      <w:r>
        <w:rPr>
          <w:spacing w:val="-2"/>
          <w:sz w:val="22"/>
        </w:rPr>
        <w:t> </w:t>
      </w:r>
      <w:r>
        <w:rPr>
          <w:sz w:val="22"/>
        </w:rPr>
        <w:t>goals,</w:t>
      </w:r>
      <w:r>
        <w:rPr>
          <w:spacing w:val="-2"/>
          <w:sz w:val="22"/>
        </w:rPr>
        <w:t> </w:t>
      </w:r>
      <w:r>
        <w:rPr>
          <w:sz w:val="22"/>
        </w:rPr>
        <w:t>such</w:t>
      </w:r>
      <w:r>
        <w:rPr>
          <w:spacing w:val="-2"/>
          <w:sz w:val="22"/>
        </w:rPr>
        <w:t> </w:t>
      </w:r>
      <w:r>
        <w:rPr>
          <w:sz w:val="22"/>
        </w:rPr>
        <w:t>as</w:t>
      </w:r>
      <w:r>
        <w:rPr>
          <w:spacing w:val="-2"/>
          <w:sz w:val="22"/>
        </w:rPr>
        <w:t> </w:t>
      </w:r>
      <w:r>
        <w:rPr>
          <w:sz w:val="22"/>
        </w:rPr>
        <w:t>improving</w:t>
      </w:r>
      <w:r>
        <w:rPr>
          <w:spacing w:val="-5"/>
          <w:sz w:val="22"/>
        </w:rPr>
        <w:t> </w:t>
      </w:r>
      <w:r>
        <w:rPr>
          <w:sz w:val="22"/>
        </w:rPr>
        <w:t>the</w:t>
      </w:r>
      <w:r>
        <w:rPr>
          <w:spacing w:val="-2"/>
          <w:sz w:val="22"/>
        </w:rPr>
        <w:t> </w:t>
      </w:r>
      <w:r>
        <w:rPr>
          <w:sz w:val="22"/>
        </w:rPr>
        <w:t>quality</w:t>
      </w:r>
      <w:r>
        <w:rPr>
          <w:spacing w:val="-7"/>
          <w:sz w:val="22"/>
        </w:rPr>
        <w:t> </w:t>
      </w:r>
      <w:r>
        <w:rPr>
          <w:sz w:val="22"/>
        </w:rPr>
        <w:t>of</w:t>
      </w:r>
      <w:r>
        <w:rPr>
          <w:spacing w:val="-1"/>
          <w:sz w:val="22"/>
        </w:rPr>
        <w:t> </w:t>
      </w:r>
      <w:r>
        <w:rPr>
          <w:sz w:val="22"/>
        </w:rPr>
        <w:t>member</w:t>
      </w:r>
      <w:r>
        <w:rPr>
          <w:spacing w:val="-1"/>
          <w:sz w:val="22"/>
        </w:rPr>
        <w:t> </w:t>
      </w:r>
      <w:r>
        <w:rPr>
          <w:sz w:val="22"/>
        </w:rPr>
        <w:t>care.</w:t>
      </w:r>
    </w:p>
    <w:p>
      <w:pPr>
        <w:pStyle w:val="ListParagraph"/>
        <w:numPr>
          <w:ilvl w:val="4"/>
          <w:numId w:val="65"/>
        </w:numPr>
        <w:tabs>
          <w:tab w:pos="1939" w:val="left" w:leader="none"/>
          <w:tab w:pos="1941" w:val="left" w:leader="none"/>
        </w:tabs>
        <w:spacing w:line="240" w:lineRule="auto" w:before="0" w:after="0"/>
        <w:ind w:left="1941" w:right="1093" w:hanging="361"/>
        <w:jc w:val="both"/>
        <w:rPr>
          <w:sz w:val="22"/>
        </w:rPr>
      </w:pPr>
      <w:r>
        <w:rPr>
          <w:sz w:val="22"/>
        </w:rPr>
        <w:t>Member</w:t>
      </w:r>
      <w:r>
        <w:rPr>
          <w:spacing w:val="-1"/>
          <w:sz w:val="22"/>
        </w:rPr>
        <w:t> </w:t>
      </w:r>
      <w:r>
        <w:rPr>
          <w:sz w:val="22"/>
        </w:rPr>
        <w:t>and</w:t>
      </w:r>
      <w:r>
        <w:rPr>
          <w:spacing w:val="-2"/>
          <w:sz w:val="22"/>
        </w:rPr>
        <w:t> </w:t>
      </w:r>
      <w:r>
        <w:rPr>
          <w:sz w:val="22"/>
        </w:rPr>
        <w:t>Community</w:t>
      </w:r>
      <w:r>
        <w:rPr>
          <w:spacing w:val="-4"/>
          <w:sz w:val="22"/>
        </w:rPr>
        <w:t> </w:t>
      </w:r>
      <w:r>
        <w:rPr>
          <w:sz w:val="22"/>
        </w:rPr>
        <w:t>Population:</w:t>
      </w:r>
      <w:r>
        <w:rPr>
          <w:spacing w:val="-3"/>
          <w:sz w:val="22"/>
        </w:rPr>
        <w:t> </w:t>
      </w:r>
      <w:r>
        <w:rPr>
          <w:sz w:val="22"/>
        </w:rPr>
        <w:t>This</w:t>
      </w:r>
      <w:r>
        <w:rPr>
          <w:spacing w:val="-2"/>
          <w:sz w:val="22"/>
        </w:rPr>
        <w:t> </w:t>
      </w:r>
      <w:r>
        <w:rPr>
          <w:sz w:val="22"/>
        </w:rPr>
        <w:t>section</w:t>
      </w:r>
      <w:r>
        <w:rPr>
          <w:spacing w:val="-2"/>
          <w:sz w:val="22"/>
        </w:rPr>
        <w:t> </w:t>
      </w:r>
      <w:r>
        <w:rPr>
          <w:sz w:val="22"/>
        </w:rPr>
        <w:t>will</w:t>
      </w:r>
      <w:r>
        <w:rPr>
          <w:spacing w:val="-3"/>
          <w:sz w:val="22"/>
        </w:rPr>
        <w:t> </w:t>
      </w:r>
      <w:r>
        <w:rPr>
          <w:sz w:val="22"/>
        </w:rPr>
        <w:t>include</w:t>
      </w:r>
      <w:r>
        <w:rPr>
          <w:spacing w:val="-2"/>
          <w:sz w:val="22"/>
        </w:rPr>
        <w:t> </w:t>
      </w:r>
      <w:r>
        <w:rPr>
          <w:sz w:val="22"/>
        </w:rPr>
        <w:t>a</w:t>
      </w:r>
      <w:r>
        <w:rPr>
          <w:spacing w:val="-2"/>
          <w:sz w:val="22"/>
        </w:rPr>
        <w:t> </w:t>
      </w:r>
      <w:r>
        <w:rPr>
          <w:sz w:val="22"/>
        </w:rPr>
        <w:t>description</w:t>
      </w:r>
      <w:r>
        <w:rPr>
          <w:spacing w:val="-2"/>
          <w:sz w:val="22"/>
        </w:rPr>
        <w:t> </w:t>
      </w:r>
      <w:r>
        <w:rPr>
          <w:sz w:val="22"/>
        </w:rPr>
        <w:t>of</w:t>
      </w:r>
      <w:r>
        <w:rPr>
          <w:spacing w:val="-1"/>
          <w:sz w:val="22"/>
        </w:rPr>
        <w:t> </w:t>
      </w:r>
      <w:r>
        <w:rPr>
          <w:sz w:val="22"/>
        </w:rPr>
        <w:t>the</w:t>
      </w:r>
      <w:r>
        <w:rPr>
          <w:spacing w:val="-3"/>
          <w:sz w:val="22"/>
        </w:rPr>
        <w:t> </w:t>
      </w:r>
      <w:r>
        <w:rPr>
          <w:sz w:val="22"/>
        </w:rPr>
        <w:t>CP’s</w:t>
      </w:r>
      <w:r>
        <w:rPr>
          <w:spacing w:val="-2"/>
          <w:sz w:val="22"/>
        </w:rPr>
        <w:t> </w:t>
      </w:r>
      <w:r>
        <w:rPr>
          <w:sz w:val="22"/>
        </w:rPr>
        <w:t>or</w:t>
      </w:r>
      <w:r>
        <w:rPr>
          <w:spacing w:val="-1"/>
          <w:sz w:val="22"/>
        </w:rPr>
        <w:t> </w:t>
      </w:r>
      <w:r>
        <w:rPr>
          <w:sz w:val="22"/>
        </w:rPr>
        <w:t>CSA’s member population</w:t>
      </w:r>
      <w:r>
        <w:rPr>
          <w:spacing w:val="-1"/>
          <w:sz w:val="22"/>
        </w:rPr>
        <w:t> </w:t>
      </w:r>
      <w:r>
        <w:rPr>
          <w:sz w:val="22"/>
        </w:rPr>
        <w:t>and</w:t>
      </w:r>
      <w:r>
        <w:rPr>
          <w:spacing w:val="-1"/>
          <w:sz w:val="22"/>
        </w:rPr>
        <w:t> </w:t>
      </w:r>
      <w:r>
        <w:rPr>
          <w:sz w:val="22"/>
        </w:rPr>
        <w:t>surrounding</w:t>
      </w:r>
      <w:r>
        <w:rPr>
          <w:spacing w:val="-1"/>
          <w:sz w:val="22"/>
        </w:rPr>
        <w:t> </w:t>
      </w:r>
      <w:r>
        <w:rPr>
          <w:sz w:val="22"/>
        </w:rPr>
        <w:t>communities,</w:t>
      </w:r>
      <w:r>
        <w:rPr>
          <w:spacing w:val="-1"/>
          <w:sz w:val="22"/>
        </w:rPr>
        <w:t> </w:t>
      </w:r>
      <w:r>
        <w:rPr>
          <w:sz w:val="22"/>
        </w:rPr>
        <w:t>regions and</w:t>
      </w:r>
      <w:r>
        <w:rPr>
          <w:spacing w:val="-1"/>
          <w:sz w:val="22"/>
        </w:rPr>
        <w:t> </w:t>
      </w:r>
      <w:r>
        <w:rPr>
          <w:sz w:val="22"/>
        </w:rPr>
        <w:t>service</w:t>
      </w:r>
      <w:r>
        <w:rPr>
          <w:spacing w:val="-1"/>
          <w:sz w:val="22"/>
        </w:rPr>
        <w:t> </w:t>
      </w:r>
      <w:r>
        <w:rPr>
          <w:sz w:val="22"/>
        </w:rPr>
        <w:t>areas covered and how the CP or CSA will both promote the health and well-being of these individuals, and also actively initiate and maintain engagement with them.</w:t>
      </w:r>
    </w:p>
    <w:p>
      <w:pPr>
        <w:pStyle w:val="ListParagraph"/>
        <w:numPr>
          <w:ilvl w:val="4"/>
          <w:numId w:val="65"/>
        </w:numPr>
        <w:tabs>
          <w:tab w:pos="1940" w:val="left" w:leader="none"/>
        </w:tabs>
        <w:spacing w:line="267" w:lineRule="exact" w:before="0" w:after="0"/>
        <w:ind w:left="1940" w:right="0" w:hanging="359"/>
        <w:jc w:val="both"/>
        <w:rPr>
          <w:sz w:val="22"/>
        </w:rPr>
      </w:pPr>
      <w:r>
        <w:rPr>
          <w:sz w:val="22"/>
        </w:rPr>
        <w:t>Narrative:</w:t>
      </w:r>
      <w:r>
        <w:rPr>
          <w:spacing w:val="-8"/>
          <w:sz w:val="22"/>
        </w:rPr>
        <w:t> </w:t>
      </w:r>
      <w:r>
        <w:rPr>
          <w:sz w:val="22"/>
        </w:rPr>
        <w:t>The</w:t>
      </w:r>
      <w:r>
        <w:rPr>
          <w:spacing w:val="-4"/>
          <w:sz w:val="22"/>
        </w:rPr>
        <w:t> </w:t>
      </w:r>
      <w:r>
        <w:rPr>
          <w:sz w:val="22"/>
        </w:rPr>
        <w:t>narrative</w:t>
      </w:r>
      <w:r>
        <w:rPr>
          <w:spacing w:val="-4"/>
          <w:sz w:val="22"/>
        </w:rPr>
        <w:t> </w:t>
      </w:r>
      <w:r>
        <w:rPr>
          <w:sz w:val="22"/>
        </w:rPr>
        <w:t>will</w:t>
      </w:r>
      <w:r>
        <w:rPr>
          <w:spacing w:val="-3"/>
          <w:sz w:val="22"/>
        </w:rPr>
        <w:t> </w:t>
      </w:r>
      <w:r>
        <w:rPr>
          <w:spacing w:val="-2"/>
          <w:sz w:val="22"/>
        </w:rPr>
        <w:t>describe</w:t>
      </w:r>
    </w:p>
    <w:p>
      <w:pPr>
        <w:pStyle w:val="ListParagraph"/>
        <w:numPr>
          <w:ilvl w:val="5"/>
          <w:numId w:val="65"/>
        </w:numPr>
        <w:tabs>
          <w:tab w:pos="414" w:val="left" w:leader="none"/>
        </w:tabs>
        <w:spacing w:line="262" w:lineRule="exact" w:before="0" w:after="0"/>
        <w:ind w:left="414" w:right="5969" w:hanging="414"/>
        <w:jc w:val="right"/>
        <w:rPr>
          <w:sz w:val="22"/>
        </w:rPr>
      </w:pPr>
      <w:r>
        <w:rPr>
          <w:sz w:val="22"/>
        </w:rPr>
        <w:t>The</w:t>
      </w:r>
      <w:r>
        <w:rPr>
          <w:spacing w:val="-3"/>
          <w:sz w:val="22"/>
        </w:rPr>
        <w:t> </w:t>
      </w:r>
      <w:r>
        <w:rPr>
          <w:sz w:val="22"/>
        </w:rPr>
        <w:t>CP’s</w:t>
      </w:r>
      <w:r>
        <w:rPr>
          <w:spacing w:val="-3"/>
          <w:sz w:val="22"/>
        </w:rPr>
        <w:t> </w:t>
      </w:r>
      <w:r>
        <w:rPr>
          <w:sz w:val="22"/>
        </w:rPr>
        <w:t>Care</w:t>
      </w:r>
      <w:r>
        <w:rPr>
          <w:spacing w:val="-4"/>
          <w:sz w:val="22"/>
        </w:rPr>
        <w:t> </w:t>
      </w:r>
      <w:r>
        <w:rPr>
          <w:sz w:val="22"/>
        </w:rPr>
        <w:t>Model</w:t>
      </w:r>
      <w:r>
        <w:rPr>
          <w:spacing w:val="-5"/>
          <w:sz w:val="22"/>
        </w:rPr>
        <w:t> </w:t>
      </w:r>
      <w:r>
        <w:rPr>
          <w:sz w:val="22"/>
        </w:rPr>
        <w:t>(CPs</w:t>
      </w:r>
      <w:r>
        <w:rPr>
          <w:spacing w:val="-2"/>
          <w:sz w:val="22"/>
        </w:rPr>
        <w:t> only):</w:t>
      </w:r>
    </w:p>
    <w:p>
      <w:pPr>
        <w:pStyle w:val="ListParagraph"/>
        <w:numPr>
          <w:ilvl w:val="6"/>
          <w:numId w:val="65"/>
        </w:numPr>
        <w:tabs>
          <w:tab w:pos="360" w:val="left" w:leader="none"/>
        </w:tabs>
        <w:spacing w:line="244" w:lineRule="exact" w:before="0" w:after="0"/>
        <w:ind w:left="360" w:right="6060" w:hanging="360"/>
        <w:jc w:val="right"/>
        <w:rPr>
          <w:sz w:val="22"/>
        </w:rPr>
      </w:pPr>
      <w:r>
        <w:rPr>
          <w:sz w:val="22"/>
        </w:rPr>
        <w:t>Proposed</w:t>
      </w:r>
      <w:r>
        <w:rPr>
          <w:spacing w:val="-6"/>
          <w:sz w:val="22"/>
        </w:rPr>
        <w:t> </w:t>
      </w:r>
      <w:r>
        <w:rPr>
          <w:sz w:val="22"/>
        </w:rPr>
        <w:t>staffing</w:t>
      </w:r>
      <w:r>
        <w:rPr>
          <w:spacing w:val="-8"/>
          <w:sz w:val="22"/>
        </w:rPr>
        <w:t> </w:t>
      </w:r>
      <w:r>
        <w:rPr>
          <w:spacing w:val="-2"/>
          <w:sz w:val="22"/>
        </w:rPr>
        <w:t>models</w:t>
      </w:r>
    </w:p>
    <w:p>
      <w:pPr>
        <w:pStyle w:val="BodyText"/>
        <w:rPr>
          <w:sz w:val="20"/>
        </w:rPr>
      </w:pPr>
    </w:p>
    <w:p>
      <w:pPr>
        <w:pStyle w:val="BodyText"/>
        <w:spacing w:before="11"/>
        <w:rPr>
          <w:sz w:val="14"/>
        </w:rPr>
      </w:pPr>
      <w:r>
        <w:rPr/>
        <mc:AlternateContent>
          <mc:Choice Requires="wps">
            <w:drawing>
              <wp:anchor distT="0" distB="0" distL="0" distR="0" allowOverlap="1" layoutInCell="1" locked="0" behindDoc="1" simplePos="0" relativeHeight="487995392">
                <wp:simplePos x="0" y="0"/>
                <wp:positionH relativeFrom="page">
                  <wp:posOffset>914400</wp:posOffset>
                </wp:positionH>
                <wp:positionV relativeFrom="paragraph">
                  <wp:posOffset>124726</wp:posOffset>
                </wp:positionV>
                <wp:extent cx="1828800" cy="9525"/>
                <wp:effectExtent l="0" t="0" r="0" b="0"/>
                <wp:wrapTopAndBottom/>
                <wp:docPr id="846" name="Graphic 846"/>
                <wp:cNvGraphicFramePr>
                  <a:graphicFrameLocks/>
                </wp:cNvGraphicFramePr>
                <a:graphic>
                  <a:graphicData uri="http://schemas.microsoft.com/office/word/2010/wordprocessingShape">
                    <wps:wsp>
                      <wps:cNvPr id="846" name="Graphic 846"/>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9.820989pt;width:144pt;height:.72pt;mso-position-horizontal-relative:page;mso-position-vertical-relative:paragraph;z-index:-15321088;mso-wrap-distance-left:0;mso-wrap-distance-right:0" id="docshape67" filled="true" fillcolor="#000000" stroked="false">
                <v:fill type="solid"/>
                <w10:wrap type="topAndBottom"/>
              </v:rect>
            </w:pict>
          </mc:Fallback>
        </mc:AlternateContent>
      </w:r>
    </w:p>
    <w:p>
      <w:pPr>
        <w:spacing w:before="101"/>
        <w:ind w:left="1220" w:right="1111" w:hanging="1"/>
        <w:jc w:val="left"/>
        <w:rPr>
          <w:sz w:val="20"/>
        </w:rPr>
      </w:pPr>
      <w:bookmarkStart w:name="_bookmark25" w:id="1252"/>
      <w:bookmarkEnd w:id="1252"/>
      <w:r>
        <w:rPr/>
      </w:r>
      <w:r>
        <w:rPr>
          <w:sz w:val="20"/>
          <w:vertAlign w:val="superscript"/>
        </w:rPr>
        <w:t>1</w:t>
      </w:r>
      <w:r>
        <w:rPr>
          <w:spacing w:val="-3"/>
          <w:sz w:val="20"/>
          <w:vertAlign w:val="baseline"/>
        </w:rPr>
        <w:t> </w:t>
      </w:r>
      <w:r>
        <w:rPr>
          <w:sz w:val="20"/>
          <w:vertAlign w:val="baseline"/>
        </w:rPr>
        <w:t>Payments</w:t>
      </w:r>
      <w:r>
        <w:rPr>
          <w:spacing w:val="-1"/>
          <w:sz w:val="20"/>
          <w:vertAlign w:val="baseline"/>
        </w:rPr>
        <w:t> </w:t>
      </w:r>
      <w:r>
        <w:rPr>
          <w:sz w:val="20"/>
          <w:vertAlign w:val="baseline"/>
        </w:rPr>
        <w:t>will</w:t>
      </w:r>
      <w:r>
        <w:rPr>
          <w:spacing w:val="-3"/>
          <w:sz w:val="20"/>
          <w:vertAlign w:val="baseline"/>
        </w:rPr>
        <w:t> </w:t>
      </w:r>
      <w:r>
        <w:rPr>
          <w:sz w:val="20"/>
          <w:vertAlign w:val="baseline"/>
        </w:rPr>
        <w:t>be made</w:t>
      </w:r>
      <w:r>
        <w:rPr>
          <w:spacing w:val="-3"/>
          <w:sz w:val="20"/>
          <w:vertAlign w:val="baseline"/>
        </w:rPr>
        <w:t> </w:t>
      </w:r>
      <w:r>
        <w:rPr>
          <w:sz w:val="20"/>
          <w:vertAlign w:val="baseline"/>
        </w:rPr>
        <w:t>to</w:t>
      </w:r>
      <w:r>
        <w:rPr>
          <w:spacing w:val="-2"/>
          <w:sz w:val="20"/>
          <w:vertAlign w:val="baseline"/>
        </w:rPr>
        <w:t> </w:t>
      </w:r>
      <w:r>
        <w:rPr>
          <w:sz w:val="20"/>
          <w:vertAlign w:val="baseline"/>
        </w:rPr>
        <w:t>support</w:t>
      </w:r>
      <w:r>
        <w:rPr>
          <w:spacing w:val="-3"/>
          <w:sz w:val="20"/>
          <w:vertAlign w:val="baseline"/>
        </w:rPr>
        <w:t> </w:t>
      </w:r>
      <w:r>
        <w:rPr>
          <w:sz w:val="20"/>
          <w:vertAlign w:val="baseline"/>
        </w:rPr>
        <w:t>providers’</w:t>
      </w:r>
      <w:r>
        <w:rPr>
          <w:spacing w:val="-5"/>
          <w:sz w:val="20"/>
          <w:vertAlign w:val="baseline"/>
        </w:rPr>
        <w:t> </w:t>
      </w:r>
      <w:r>
        <w:rPr>
          <w:sz w:val="20"/>
          <w:vertAlign w:val="baseline"/>
        </w:rPr>
        <w:t>reform</w:t>
      </w:r>
      <w:r>
        <w:rPr>
          <w:spacing w:val="-7"/>
          <w:sz w:val="20"/>
          <w:vertAlign w:val="baseline"/>
        </w:rPr>
        <w:t> </w:t>
      </w:r>
      <w:r>
        <w:rPr>
          <w:sz w:val="20"/>
          <w:vertAlign w:val="baseline"/>
        </w:rPr>
        <w:t>efforts</w:t>
      </w:r>
      <w:r>
        <w:rPr>
          <w:spacing w:val="-4"/>
          <w:sz w:val="20"/>
          <w:vertAlign w:val="baseline"/>
        </w:rPr>
        <w:t> </w:t>
      </w:r>
      <w:r>
        <w:rPr>
          <w:sz w:val="20"/>
          <w:vertAlign w:val="baseline"/>
        </w:rPr>
        <w:t>that</w:t>
      </w:r>
      <w:r>
        <w:rPr>
          <w:spacing w:val="-1"/>
          <w:sz w:val="20"/>
          <w:vertAlign w:val="baseline"/>
        </w:rPr>
        <w:t> </w:t>
      </w:r>
      <w:r>
        <w:rPr>
          <w:sz w:val="20"/>
          <w:vertAlign w:val="baseline"/>
        </w:rPr>
        <w:t>focus</w:t>
      </w:r>
      <w:r>
        <w:rPr>
          <w:spacing w:val="-4"/>
          <w:sz w:val="20"/>
          <w:vertAlign w:val="baseline"/>
        </w:rPr>
        <w:t> </w:t>
      </w:r>
      <w:r>
        <w:rPr>
          <w:sz w:val="20"/>
          <w:vertAlign w:val="baseline"/>
        </w:rPr>
        <w:t>on</w:t>
      </w:r>
      <w:r>
        <w:rPr>
          <w:spacing w:val="-4"/>
          <w:sz w:val="20"/>
          <w:vertAlign w:val="baseline"/>
        </w:rPr>
        <w:t> </w:t>
      </w:r>
      <w:r>
        <w:rPr>
          <w:sz w:val="20"/>
          <w:vertAlign w:val="baseline"/>
        </w:rPr>
        <w:t>the goals</w:t>
      </w:r>
      <w:r>
        <w:rPr>
          <w:spacing w:val="-4"/>
          <w:sz w:val="20"/>
          <w:vertAlign w:val="baseline"/>
        </w:rPr>
        <w:t> </w:t>
      </w:r>
      <w:r>
        <w:rPr>
          <w:sz w:val="20"/>
          <w:vertAlign w:val="baseline"/>
        </w:rPr>
        <w:t>of</w:t>
      </w:r>
      <w:r>
        <w:rPr>
          <w:spacing w:val="-5"/>
          <w:sz w:val="20"/>
          <w:vertAlign w:val="baseline"/>
        </w:rPr>
        <w:t> </w:t>
      </w:r>
      <w:r>
        <w:rPr>
          <w:sz w:val="20"/>
          <w:vertAlign w:val="baseline"/>
        </w:rPr>
        <w:t>reducing</w:t>
      </w:r>
      <w:r>
        <w:rPr>
          <w:spacing w:val="-2"/>
          <w:sz w:val="20"/>
          <w:vertAlign w:val="baseline"/>
        </w:rPr>
        <w:t> </w:t>
      </w:r>
      <w:r>
        <w:rPr>
          <w:sz w:val="20"/>
          <w:vertAlign w:val="baseline"/>
        </w:rPr>
        <w:t>hospitalization</w:t>
      </w:r>
      <w:r>
        <w:rPr>
          <w:spacing w:val="-4"/>
          <w:sz w:val="20"/>
          <w:vertAlign w:val="baseline"/>
        </w:rPr>
        <w:t> </w:t>
      </w:r>
      <w:r>
        <w:rPr>
          <w:sz w:val="20"/>
          <w:vertAlign w:val="baseline"/>
        </w:rPr>
        <w:t>and promotion of preventative care in the community, not directly to offset revenue from reduced hospital utilization.</w:t>
      </w:r>
    </w:p>
    <w:p>
      <w:pPr>
        <w:spacing w:after="0"/>
        <w:jc w:val="left"/>
        <w:rPr>
          <w:sz w:val="20"/>
        </w:rPr>
        <w:sectPr>
          <w:pgSz w:w="12240" w:h="15840"/>
          <w:pgMar w:header="0" w:footer="967" w:top="1360" w:bottom="1160" w:left="220" w:right="340"/>
        </w:sectPr>
      </w:pPr>
    </w:p>
    <w:p>
      <w:pPr>
        <w:pStyle w:val="ListParagraph"/>
        <w:numPr>
          <w:ilvl w:val="6"/>
          <w:numId w:val="65"/>
        </w:numPr>
        <w:tabs>
          <w:tab w:pos="3379" w:val="left" w:leader="none"/>
        </w:tabs>
        <w:spacing w:line="240" w:lineRule="auto" w:before="81" w:after="0"/>
        <w:ind w:left="3379" w:right="0" w:hanging="360"/>
        <w:jc w:val="left"/>
        <w:rPr>
          <w:sz w:val="22"/>
        </w:rPr>
      </w:pPr>
      <w:r>
        <w:rPr>
          <w:sz w:val="22"/>
        </w:rPr>
        <w:t>Proposed</w:t>
      </w:r>
      <w:r>
        <w:rPr>
          <w:spacing w:val="-6"/>
          <w:sz w:val="22"/>
        </w:rPr>
        <w:t> </w:t>
      </w:r>
      <w:r>
        <w:rPr>
          <w:sz w:val="22"/>
        </w:rPr>
        <w:t>outreach</w:t>
      </w:r>
      <w:r>
        <w:rPr>
          <w:spacing w:val="-8"/>
          <w:sz w:val="22"/>
        </w:rPr>
        <w:t> </w:t>
      </w:r>
      <w:r>
        <w:rPr>
          <w:sz w:val="22"/>
        </w:rPr>
        <w:t>and</w:t>
      </w:r>
      <w:r>
        <w:rPr>
          <w:spacing w:val="-5"/>
          <w:sz w:val="22"/>
        </w:rPr>
        <w:t> </w:t>
      </w:r>
      <w:r>
        <w:rPr>
          <w:sz w:val="22"/>
        </w:rPr>
        <w:t>engagement</w:t>
      </w:r>
      <w:r>
        <w:rPr>
          <w:spacing w:val="-4"/>
          <w:sz w:val="22"/>
        </w:rPr>
        <w:t> </w:t>
      </w:r>
      <w:r>
        <w:rPr>
          <w:spacing w:val="-2"/>
          <w:sz w:val="22"/>
        </w:rPr>
        <w:t>strategies</w:t>
      </w:r>
    </w:p>
    <w:p>
      <w:pPr>
        <w:pStyle w:val="ListParagraph"/>
        <w:numPr>
          <w:ilvl w:val="6"/>
          <w:numId w:val="65"/>
        </w:numPr>
        <w:tabs>
          <w:tab w:pos="3379" w:val="left" w:leader="none"/>
        </w:tabs>
        <w:spacing w:line="240" w:lineRule="auto" w:before="200" w:after="0"/>
        <w:ind w:left="3379" w:right="0" w:hanging="360"/>
        <w:jc w:val="left"/>
        <w:rPr>
          <w:sz w:val="22"/>
        </w:rPr>
      </w:pPr>
      <w:r>
        <w:rPr>
          <w:sz w:val="22"/>
        </w:rPr>
        <w:t>Proposed</w:t>
      </w:r>
      <w:r>
        <w:rPr>
          <w:spacing w:val="-7"/>
          <w:sz w:val="22"/>
        </w:rPr>
        <w:t> </w:t>
      </w:r>
      <w:r>
        <w:rPr>
          <w:sz w:val="22"/>
        </w:rPr>
        <w:t>process</w:t>
      </w:r>
      <w:r>
        <w:rPr>
          <w:spacing w:val="-4"/>
          <w:sz w:val="22"/>
        </w:rPr>
        <w:t> </w:t>
      </w:r>
      <w:r>
        <w:rPr>
          <w:sz w:val="22"/>
        </w:rPr>
        <w:t>for</w:t>
      </w:r>
      <w:r>
        <w:rPr>
          <w:spacing w:val="-6"/>
          <w:sz w:val="22"/>
        </w:rPr>
        <w:t> </w:t>
      </w:r>
      <w:r>
        <w:rPr>
          <w:sz w:val="22"/>
        </w:rPr>
        <w:t>assessment</w:t>
      </w:r>
      <w:r>
        <w:rPr>
          <w:spacing w:val="-4"/>
          <w:sz w:val="22"/>
        </w:rPr>
        <w:t> </w:t>
      </w:r>
      <w:r>
        <w:rPr>
          <w:sz w:val="22"/>
        </w:rPr>
        <w:t>and</w:t>
      </w:r>
      <w:r>
        <w:rPr>
          <w:spacing w:val="-4"/>
          <w:sz w:val="22"/>
        </w:rPr>
        <w:t> </w:t>
      </w:r>
      <w:r>
        <w:rPr>
          <w:sz w:val="22"/>
        </w:rPr>
        <w:t>person-centered</w:t>
      </w:r>
      <w:r>
        <w:rPr>
          <w:spacing w:val="-7"/>
          <w:sz w:val="22"/>
        </w:rPr>
        <w:t> </w:t>
      </w:r>
      <w:r>
        <w:rPr>
          <w:sz w:val="22"/>
        </w:rPr>
        <w:t>care</w:t>
      </w:r>
      <w:r>
        <w:rPr>
          <w:spacing w:val="-4"/>
          <w:sz w:val="22"/>
        </w:rPr>
        <w:t> </w:t>
      </w:r>
      <w:r>
        <w:rPr>
          <w:spacing w:val="-2"/>
          <w:sz w:val="22"/>
        </w:rPr>
        <w:t>planning</w:t>
      </w:r>
    </w:p>
    <w:p>
      <w:pPr>
        <w:pStyle w:val="ListParagraph"/>
        <w:numPr>
          <w:ilvl w:val="6"/>
          <w:numId w:val="65"/>
        </w:numPr>
        <w:tabs>
          <w:tab w:pos="3380" w:val="left" w:leader="none"/>
        </w:tabs>
        <w:spacing w:line="240" w:lineRule="auto" w:before="198" w:after="0"/>
        <w:ind w:left="3380" w:right="0" w:hanging="360"/>
        <w:jc w:val="left"/>
        <w:rPr>
          <w:sz w:val="22"/>
        </w:rPr>
      </w:pPr>
      <w:r>
        <w:rPr>
          <w:sz w:val="22"/>
        </w:rPr>
        <w:t>Proposed</w:t>
      </w:r>
      <w:r>
        <w:rPr>
          <w:spacing w:val="-5"/>
          <w:sz w:val="22"/>
        </w:rPr>
        <w:t> </w:t>
      </w:r>
      <w:r>
        <w:rPr>
          <w:sz w:val="22"/>
        </w:rPr>
        <w:t>process</w:t>
      </w:r>
      <w:r>
        <w:rPr>
          <w:spacing w:val="-5"/>
          <w:sz w:val="22"/>
        </w:rPr>
        <w:t> </w:t>
      </w:r>
      <w:r>
        <w:rPr>
          <w:sz w:val="22"/>
        </w:rPr>
        <w:t>for</w:t>
      </w:r>
      <w:r>
        <w:rPr>
          <w:spacing w:val="-4"/>
          <w:sz w:val="22"/>
        </w:rPr>
        <w:t> </w:t>
      </w:r>
      <w:r>
        <w:rPr>
          <w:sz w:val="22"/>
        </w:rPr>
        <w:t>managing</w:t>
      </w:r>
      <w:r>
        <w:rPr>
          <w:spacing w:val="-7"/>
          <w:sz w:val="22"/>
        </w:rPr>
        <w:t> </w:t>
      </w:r>
      <w:r>
        <w:rPr>
          <w:sz w:val="22"/>
        </w:rPr>
        <w:t>transitions</w:t>
      </w:r>
      <w:r>
        <w:rPr>
          <w:spacing w:val="-5"/>
          <w:sz w:val="22"/>
        </w:rPr>
        <w:t> </w:t>
      </w:r>
      <w:r>
        <w:rPr>
          <w:sz w:val="22"/>
        </w:rPr>
        <w:t>of</w:t>
      </w:r>
      <w:r>
        <w:rPr>
          <w:spacing w:val="-3"/>
          <w:sz w:val="22"/>
        </w:rPr>
        <w:t> </w:t>
      </w:r>
      <w:r>
        <w:rPr>
          <w:spacing w:val="-4"/>
          <w:sz w:val="22"/>
        </w:rPr>
        <w:t>care</w:t>
      </w:r>
    </w:p>
    <w:p>
      <w:pPr>
        <w:pStyle w:val="ListParagraph"/>
        <w:numPr>
          <w:ilvl w:val="6"/>
          <w:numId w:val="65"/>
        </w:numPr>
        <w:tabs>
          <w:tab w:pos="3380" w:val="left" w:leader="none"/>
        </w:tabs>
        <w:spacing w:line="244" w:lineRule="auto" w:before="198" w:after="0"/>
        <w:ind w:left="3380" w:right="1098" w:hanging="361"/>
        <w:jc w:val="left"/>
        <w:rPr>
          <w:sz w:val="22"/>
        </w:rPr>
      </w:pPr>
      <w:r>
        <w:rPr>
          <w:sz w:val="22"/>
        </w:rPr>
        <w:t>Proposed</w:t>
      </w:r>
      <w:r>
        <w:rPr>
          <w:spacing w:val="30"/>
          <w:sz w:val="22"/>
        </w:rPr>
        <w:t> </w:t>
      </w:r>
      <w:r>
        <w:rPr>
          <w:sz w:val="22"/>
        </w:rPr>
        <w:t>methods</w:t>
      </w:r>
      <w:r>
        <w:rPr>
          <w:spacing w:val="28"/>
          <w:sz w:val="22"/>
        </w:rPr>
        <w:t> </w:t>
      </w:r>
      <w:r>
        <w:rPr>
          <w:sz w:val="22"/>
        </w:rPr>
        <w:t>for</w:t>
      </w:r>
      <w:r>
        <w:rPr>
          <w:spacing w:val="31"/>
          <w:sz w:val="22"/>
        </w:rPr>
        <w:t> </w:t>
      </w:r>
      <w:r>
        <w:rPr>
          <w:sz w:val="22"/>
        </w:rPr>
        <w:t>how</w:t>
      </w:r>
      <w:r>
        <w:rPr>
          <w:spacing w:val="29"/>
          <w:sz w:val="22"/>
        </w:rPr>
        <w:t> </w:t>
      </w:r>
      <w:r>
        <w:rPr>
          <w:sz w:val="22"/>
        </w:rPr>
        <w:t>the</w:t>
      </w:r>
      <w:r>
        <w:rPr>
          <w:spacing w:val="31"/>
          <w:sz w:val="22"/>
        </w:rPr>
        <w:t> </w:t>
      </w:r>
      <w:r>
        <w:rPr>
          <w:sz w:val="22"/>
        </w:rPr>
        <w:t>CP</w:t>
      </w:r>
      <w:r>
        <w:rPr>
          <w:spacing w:val="27"/>
          <w:sz w:val="22"/>
        </w:rPr>
        <w:t> </w:t>
      </w:r>
      <w:r>
        <w:rPr>
          <w:sz w:val="22"/>
        </w:rPr>
        <w:t>will</w:t>
      </w:r>
      <w:r>
        <w:rPr>
          <w:spacing w:val="29"/>
          <w:sz w:val="22"/>
        </w:rPr>
        <w:t> </w:t>
      </w:r>
      <w:r>
        <w:rPr>
          <w:sz w:val="22"/>
        </w:rPr>
        <w:t>address</w:t>
      </w:r>
      <w:r>
        <w:rPr>
          <w:spacing w:val="28"/>
          <w:sz w:val="22"/>
        </w:rPr>
        <w:t> </w:t>
      </w:r>
      <w:r>
        <w:rPr>
          <w:sz w:val="22"/>
        </w:rPr>
        <w:t>members’</w:t>
      </w:r>
      <w:r>
        <w:rPr>
          <w:spacing w:val="31"/>
          <w:sz w:val="22"/>
        </w:rPr>
        <w:t> </w:t>
      </w:r>
      <w:r>
        <w:rPr>
          <w:sz w:val="22"/>
        </w:rPr>
        <w:t>health</w:t>
      </w:r>
      <w:r>
        <w:rPr>
          <w:spacing w:val="30"/>
          <w:sz w:val="22"/>
        </w:rPr>
        <w:t> </w:t>
      </w:r>
      <w:r>
        <w:rPr>
          <w:sz w:val="22"/>
        </w:rPr>
        <w:t>and</w:t>
      </w:r>
      <w:r>
        <w:rPr>
          <w:spacing w:val="30"/>
          <w:sz w:val="22"/>
        </w:rPr>
        <w:t> </w:t>
      </w:r>
      <w:r>
        <w:rPr>
          <w:sz w:val="22"/>
        </w:rPr>
        <w:t>wellness </w:t>
      </w:r>
      <w:r>
        <w:rPr>
          <w:spacing w:val="-2"/>
          <w:sz w:val="22"/>
        </w:rPr>
        <w:t>issues</w:t>
      </w:r>
    </w:p>
    <w:p>
      <w:pPr>
        <w:pStyle w:val="ListParagraph"/>
        <w:numPr>
          <w:ilvl w:val="6"/>
          <w:numId w:val="65"/>
        </w:numPr>
        <w:tabs>
          <w:tab w:pos="3380" w:val="left" w:leader="none"/>
        </w:tabs>
        <w:spacing w:line="244" w:lineRule="auto" w:before="190" w:after="0"/>
        <w:ind w:left="3380" w:right="1095" w:hanging="361"/>
        <w:jc w:val="left"/>
        <w:rPr>
          <w:sz w:val="22"/>
        </w:rPr>
      </w:pPr>
      <w:r>
        <w:rPr>
          <w:sz w:val="22"/>
        </w:rPr>
        <w:t>Proposed methods for how CP will connect the member to community resources and social services</w:t>
      </w:r>
    </w:p>
    <w:p>
      <w:pPr>
        <w:pStyle w:val="ListParagraph"/>
        <w:numPr>
          <w:ilvl w:val="6"/>
          <w:numId w:val="65"/>
        </w:numPr>
        <w:tabs>
          <w:tab w:pos="3380" w:val="left" w:leader="none"/>
        </w:tabs>
        <w:spacing w:line="240" w:lineRule="auto" w:before="192" w:after="0"/>
        <w:ind w:left="3380" w:right="1095" w:hanging="361"/>
        <w:jc w:val="both"/>
        <w:rPr>
          <w:sz w:val="22"/>
        </w:rPr>
      </w:pPr>
      <w:r>
        <w:rPr>
          <w:sz w:val="22"/>
        </w:rPr>
        <w:t>Proposed methods and processes for how the CP will enable continuous quality and member experience improvement</w:t>
      </w:r>
    </w:p>
    <w:p>
      <w:pPr>
        <w:pStyle w:val="ListParagraph"/>
        <w:numPr>
          <w:ilvl w:val="5"/>
          <w:numId w:val="65"/>
        </w:numPr>
        <w:tabs>
          <w:tab w:pos="2659" w:val="left" w:leader="none"/>
        </w:tabs>
        <w:spacing w:line="240" w:lineRule="auto" w:before="202" w:after="0"/>
        <w:ind w:left="2659" w:right="0" w:hanging="359"/>
        <w:jc w:val="left"/>
        <w:rPr>
          <w:sz w:val="22"/>
        </w:rPr>
      </w:pPr>
      <w:r>
        <w:rPr>
          <w:sz w:val="22"/>
        </w:rPr>
        <w:t>The</w:t>
      </w:r>
      <w:r>
        <w:rPr>
          <w:spacing w:val="-8"/>
          <w:sz w:val="22"/>
        </w:rPr>
        <w:t> </w:t>
      </w:r>
      <w:r>
        <w:rPr>
          <w:sz w:val="22"/>
        </w:rPr>
        <w:t>CP’s</w:t>
      </w:r>
      <w:r>
        <w:rPr>
          <w:spacing w:val="-4"/>
          <w:sz w:val="22"/>
        </w:rPr>
        <w:t> </w:t>
      </w:r>
      <w:r>
        <w:rPr>
          <w:sz w:val="22"/>
        </w:rPr>
        <w:t>or</w:t>
      </w:r>
      <w:r>
        <w:rPr>
          <w:spacing w:val="-2"/>
          <w:sz w:val="22"/>
        </w:rPr>
        <w:t> </w:t>
      </w:r>
      <w:r>
        <w:rPr>
          <w:sz w:val="22"/>
        </w:rPr>
        <w:t>CSA’s</w:t>
      </w:r>
      <w:r>
        <w:rPr>
          <w:spacing w:val="-6"/>
          <w:sz w:val="22"/>
        </w:rPr>
        <w:t> </w:t>
      </w:r>
      <w:r>
        <w:rPr>
          <w:sz w:val="22"/>
        </w:rPr>
        <w:t>investment</w:t>
      </w:r>
      <w:r>
        <w:rPr>
          <w:spacing w:val="-2"/>
          <w:sz w:val="22"/>
        </w:rPr>
        <w:t> plan:</w:t>
      </w:r>
    </w:p>
    <w:p>
      <w:pPr>
        <w:pStyle w:val="ListParagraph"/>
        <w:numPr>
          <w:ilvl w:val="6"/>
          <w:numId w:val="65"/>
        </w:numPr>
        <w:tabs>
          <w:tab w:pos="3380" w:val="left" w:leader="none"/>
        </w:tabs>
        <w:spacing w:line="244" w:lineRule="auto" w:before="177" w:after="0"/>
        <w:ind w:left="3380" w:right="1097" w:hanging="361"/>
        <w:jc w:val="left"/>
        <w:rPr>
          <w:sz w:val="22"/>
        </w:rPr>
      </w:pPr>
      <w:r>
        <w:rPr>
          <w:sz w:val="22"/>
        </w:rPr>
        <w:t>Identifying</w:t>
      </w:r>
      <w:r>
        <w:rPr>
          <w:spacing w:val="-11"/>
          <w:sz w:val="22"/>
        </w:rPr>
        <w:t> </w:t>
      </w:r>
      <w:r>
        <w:rPr>
          <w:sz w:val="22"/>
        </w:rPr>
        <w:t>specific</w:t>
      </w:r>
      <w:r>
        <w:rPr>
          <w:spacing w:val="-8"/>
          <w:sz w:val="22"/>
        </w:rPr>
        <w:t> </w:t>
      </w:r>
      <w:r>
        <w:rPr>
          <w:sz w:val="22"/>
        </w:rPr>
        <w:t>investments</w:t>
      </w:r>
      <w:r>
        <w:rPr>
          <w:spacing w:val="-8"/>
          <w:sz w:val="22"/>
        </w:rPr>
        <w:t> </w:t>
      </w:r>
      <w:r>
        <w:rPr>
          <w:sz w:val="22"/>
        </w:rPr>
        <w:t>or</w:t>
      </w:r>
      <w:r>
        <w:rPr>
          <w:spacing w:val="-7"/>
          <w:sz w:val="22"/>
        </w:rPr>
        <w:t> </w:t>
      </w:r>
      <w:r>
        <w:rPr>
          <w:sz w:val="22"/>
        </w:rPr>
        <w:t>programs</w:t>
      </w:r>
      <w:r>
        <w:rPr>
          <w:spacing w:val="-8"/>
          <w:sz w:val="22"/>
        </w:rPr>
        <w:t> </w:t>
      </w:r>
      <w:r>
        <w:rPr>
          <w:sz w:val="22"/>
        </w:rPr>
        <w:t>that</w:t>
      </w:r>
      <w:r>
        <w:rPr>
          <w:spacing w:val="-9"/>
          <w:sz w:val="22"/>
        </w:rPr>
        <w:t> </w:t>
      </w:r>
      <w:r>
        <w:rPr>
          <w:sz w:val="22"/>
        </w:rPr>
        <w:t>the</w:t>
      </w:r>
      <w:r>
        <w:rPr>
          <w:spacing w:val="-13"/>
          <w:sz w:val="22"/>
        </w:rPr>
        <w:t> </w:t>
      </w:r>
      <w:r>
        <w:rPr>
          <w:sz w:val="22"/>
        </w:rPr>
        <w:t>CP</w:t>
      </w:r>
      <w:r>
        <w:rPr>
          <w:spacing w:val="-9"/>
          <w:sz w:val="22"/>
        </w:rPr>
        <w:t> </w:t>
      </w:r>
      <w:r>
        <w:rPr>
          <w:sz w:val="22"/>
        </w:rPr>
        <w:t>or</w:t>
      </w:r>
      <w:r>
        <w:rPr>
          <w:spacing w:val="-7"/>
          <w:sz w:val="22"/>
        </w:rPr>
        <w:t> </w:t>
      </w:r>
      <w:r>
        <w:rPr>
          <w:sz w:val="22"/>
        </w:rPr>
        <w:t>CSA</w:t>
      </w:r>
      <w:r>
        <w:rPr>
          <w:spacing w:val="-9"/>
          <w:sz w:val="22"/>
        </w:rPr>
        <w:t> </w:t>
      </w:r>
      <w:r>
        <w:rPr>
          <w:sz w:val="22"/>
        </w:rPr>
        <w:t>will</w:t>
      </w:r>
      <w:r>
        <w:rPr>
          <w:spacing w:val="-7"/>
          <w:sz w:val="22"/>
        </w:rPr>
        <w:t> </w:t>
      </w:r>
      <w:r>
        <w:rPr>
          <w:sz w:val="22"/>
        </w:rPr>
        <w:t>support</w:t>
      </w:r>
      <w:r>
        <w:rPr>
          <w:spacing w:val="-7"/>
          <w:sz w:val="22"/>
        </w:rPr>
        <w:t> </w:t>
      </w:r>
      <w:r>
        <w:rPr>
          <w:sz w:val="22"/>
        </w:rPr>
        <w:t>with DSRIP funds</w:t>
      </w:r>
    </w:p>
    <w:p>
      <w:pPr>
        <w:pStyle w:val="ListParagraph"/>
        <w:numPr>
          <w:ilvl w:val="6"/>
          <w:numId w:val="65"/>
        </w:numPr>
        <w:tabs>
          <w:tab w:pos="3380" w:val="left" w:leader="none"/>
        </w:tabs>
        <w:spacing w:line="240" w:lineRule="auto" w:before="192" w:after="0"/>
        <w:ind w:left="3380" w:right="1094" w:hanging="360"/>
        <w:jc w:val="both"/>
        <w:rPr>
          <w:sz w:val="22"/>
        </w:rPr>
      </w:pPr>
      <w:r>
        <w:rPr>
          <w:sz w:val="22"/>
        </w:rPr>
        <w:t>Estimating</w:t>
      </w:r>
      <w:r>
        <w:rPr>
          <w:spacing w:val="-10"/>
          <w:sz w:val="22"/>
        </w:rPr>
        <w:t> </w:t>
      </w:r>
      <w:r>
        <w:rPr>
          <w:sz w:val="22"/>
        </w:rPr>
        <w:t>the</w:t>
      </w:r>
      <w:r>
        <w:rPr>
          <w:spacing w:val="-7"/>
          <w:sz w:val="22"/>
        </w:rPr>
        <w:t> </w:t>
      </w:r>
      <w:r>
        <w:rPr>
          <w:sz w:val="22"/>
        </w:rPr>
        <w:t>amount</w:t>
      </w:r>
      <w:r>
        <w:rPr>
          <w:spacing w:val="-6"/>
          <w:sz w:val="22"/>
        </w:rPr>
        <w:t> </w:t>
      </w:r>
      <w:r>
        <w:rPr>
          <w:sz w:val="22"/>
        </w:rPr>
        <w:t>and</w:t>
      </w:r>
      <w:r>
        <w:rPr>
          <w:spacing w:val="-7"/>
          <w:sz w:val="22"/>
        </w:rPr>
        <w:t> </w:t>
      </w:r>
      <w:r>
        <w:rPr>
          <w:sz w:val="22"/>
        </w:rPr>
        <w:t>structure</w:t>
      </w:r>
      <w:r>
        <w:rPr>
          <w:spacing w:val="-7"/>
          <w:sz w:val="22"/>
        </w:rPr>
        <w:t> </w:t>
      </w:r>
      <w:r>
        <w:rPr>
          <w:sz w:val="22"/>
        </w:rPr>
        <w:t>(e.g.,</w:t>
      </w:r>
      <w:r>
        <w:rPr>
          <w:spacing w:val="-7"/>
          <w:sz w:val="22"/>
        </w:rPr>
        <w:t> </w:t>
      </w:r>
      <w:r>
        <w:rPr>
          <w:sz w:val="22"/>
        </w:rPr>
        <w:t>one-time</w:t>
      </w:r>
      <w:r>
        <w:rPr>
          <w:spacing w:val="-7"/>
          <w:sz w:val="22"/>
        </w:rPr>
        <w:t> </w:t>
      </w:r>
      <w:r>
        <w:rPr>
          <w:sz w:val="22"/>
        </w:rPr>
        <w:t>vs.</w:t>
      </w:r>
      <w:r>
        <w:rPr>
          <w:spacing w:val="-5"/>
          <w:sz w:val="22"/>
        </w:rPr>
        <w:t> </w:t>
      </w:r>
      <w:r>
        <w:rPr>
          <w:sz w:val="22"/>
        </w:rPr>
        <w:t>annual)</w:t>
      </w:r>
      <w:r>
        <w:rPr>
          <w:spacing w:val="-6"/>
          <w:sz w:val="22"/>
        </w:rPr>
        <w:t> </w:t>
      </w:r>
      <w:r>
        <w:rPr>
          <w:sz w:val="22"/>
        </w:rPr>
        <w:t>of</w:t>
      </w:r>
      <w:r>
        <w:rPr>
          <w:spacing w:val="-6"/>
          <w:sz w:val="22"/>
        </w:rPr>
        <w:t> </w:t>
      </w:r>
      <w:r>
        <w:rPr>
          <w:sz w:val="22"/>
        </w:rPr>
        <w:t>costs</w:t>
      </w:r>
      <w:r>
        <w:rPr>
          <w:spacing w:val="-7"/>
          <w:sz w:val="22"/>
        </w:rPr>
        <w:t> </w:t>
      </w:r>
      <w:r>
        <w:rPr>
          <w:sz w:val="22"/>
        </w:rPr>
        <w:t>associated with each investment or program</w:t>
      </w:r>
    </w:p>
    <w:p>
      <w:pPr>
        <w:pStyle w:val="ListParagraph"/>
        <w:numPr>
          <w:ilvl w:val="6"/>
          <w:numId w:val="65"/>
        </w:numPr>
        <w:tabs>
          <w:tab w:pos="3380" w:val="left" w:leader="none"/>
        </w:tabs>
        <w:spacing w:line="242" w:lineRule="auto" w:before="199" w:after="0"/>
        <w:ind w:left="3380" w:right="1093" w:hanging="361"/>
        <w:jc w:val="both"/>
        <w:rPr>
          <w:sz w:val="22"/>
        </w:rPr>
      </w:pPr>
      <w:r>
        <w:rPr>
          <w:sz w:val="22"/>
        </w:rPr>
        <w:t>Explaining how each investment or program</w:t>
      </w:r>
      <w:r>
        <w:rPr>
          <w:spacing w:val="-1"/>
          <w:sz w:val="22"/>
        </w:rPr>
        <w:t> </w:t>
      </w:r>
      <w:r>
        <w:rPr>
          <w:sz w:val="22"/>
        </w:rPr>
        <w:t>will support the CP’s or CSA’s core goals, such as improving the quality of member care and ensuring integration of care across different settings of care</w:t>
      </w:r>
    </w:p>
    <w:p>
      <w:pPr>
        <w:pStyle w:val="ListParagraph"/>
        <w:numPr>
          <w:ilvl w:val="6"/>
          <w:numId w:val="65"/>
        </w:numPr>
        <w:tabs>
          <w:tab w:pos="3381" w:val="left" w:leader="none"/>
        </w:tabs>
        <w:spacing w:line="240" w:lineRule="auto" w:before="192" w:after="0"/>
        <w:ind w:left="3381" w:right="1094" w:hanging="361"/>
        <w:jc w:val="both"/>
        <w:rPr>
          <w:sz w:val="22"/>
        </w:rPr>
      </w:pPr>
      <w:r>
        <w:rPr>
          <w:sz w:val="22"/>
        </w:rPr>
        <w:t>Specifying goals, internal evaluation, measurement or performance management strategies the CP or CSA will apply to these investments or programs to demonstrate effectiveness and inform subsequent revisions to the Participation </w:t>
      </w:r>
      <w:r>
        <w:rPr>
          <w:spacing w:val="-4"/>
          <w:sz w:val="22"/>
        </w:rPr>
        <w:t>Plan</w:t>
      </w:r>
    </w:p>
    <w:p>
      <w:pPr>
        <w:pStyle w:val="ListParagraph"/>
        <w:numPr>
          <w:ilvl w:val="6"/>
          <w:numId w:val="65"/>
        </w:numPr>
        <w:tabs>
          <w:tab w:pos="3381" w:val="left" w:leader="none"/>
        </w:tabs>
        <w:spacing w:line="244" w:lineRule="auto" w:before="199" w:after="0"/>
        <w:ind w:left="3381" w:right="1092" w:hanging="361"/>
        <w:jc w:val="both"/>
        <w:rPr>
          <w:sz w:val="22"/>
        </w:rPr>
      </w:pPr>
      <w:r>
        <w:rPr>
          <w:sz w:val="22"/>
        </w:rPr>
        <w:t>Examples of domains for potential CP or CSA investments or programs include but are not limited to:</w:t>
      </w:r>
    </w:p>
    <w:p>
      <w:pPr>
        <w:pStyle w:val="ListParagraph"/>
        <w:numPr>
          <w:ilvl w:val="7"/>
          <w:numId w:val="65"/>
        </w:numPr>
        <w:tabs>
          <w:tab w:pos="4101" w:val="left" w:leader="none"/>
        </w:tabs>
        <w:spacing w:line="269" w:lineRule="exact" w:before="191" w:after="0"/>
        <w:ind w:left="4101" w:right="0" w:hanging="360"/>
        <w:jc w:val="left"/>
        <w:rPr>
          <w:sz w:val="22"/>
        </w:rPr>
      </w:pPr>
      <w:r>
        <w:rPr>
          <w:sz w:val="22"/>
        </w:rPr>
        <w:t>Workforce</w:t>
      </w:r>
      <w:r>
        <w:rPr>
          <w:spacing w:val="-6"/>
          <w:sz w:val="22"/>
        </w:rPr>
        <w:t> </w:t>
      </w:r>
      <w:r>
        <w:rPr>
          <w:sz w:val="22"/>
        </w:rPr>
        <w:t>capacity</w:t>
      </w:r>
      <w:r>
        <w:rPr>
          <w:spacing w:val="-7"/>
          <w:sz w:val="22"/>
        </w:rPr>
        <w:t> </w:t>
      </w:r>
      <w:r>
        <w:rPr>
          <w:spacing w:val="-2"/>
          <w:sz w:val="22"/>
        </w:rPr>
        <w:t>development</w:t>
      </w:r>
    </w:p>
    <w:p>
      <w:pPr>
        <w:pStyle w:val="ListParagraph"/>
        <w:numPr>
          <w:ilvl w:val="7"/>
          <w:numId w:val="65"/>
        </w:numPr>
        <w:tabs>
          <w:tab w:pos="4101" w:val="left" w:leader="none"/>
        </w:tabs>
        <w:spacing w:line="269" w:lineRule="exact" w:before="0" w:after="0"/>
        <w:ind w:left="4101" w:right="0" w:hanging="360"/>
        <w:jc w:val="left"/>
        <w:rPr>
          <w:sz w:val="22"/>
        </w:rPr>
      </w:pPr>
      <w:r>
        <w:rPr>
          <w:sz w:val="22"/>
        </w:rPr>
        <w:t>Data</w:t>
      </w:r>
      <w:r>
        <w:rPr>
          <w:spacing w:val="-2"/>
          <w:sz w:val="22"/>
        </w:rPr>
        <w:t> </w:t>
      </w:r>
      <w:r>
        <w:rPr>
          <w:sz w:val="22"/>
        </w:rPr>
        <w:t>and</w:t>
      </w:r>
      <w:r>
        <w:rPr>
          <w:spacing w:val="-1"/>
          <w:sz w:val="22"/>
        </w:rPr>
        <w:t> </w:t>
      </w:r>
      <w:r>
        <w:rPr>
          <w:spacing w:val="-2"/>
          <w:sz w:val="22"/>
        </w:rPr>
        <w:t>analytics</w:t>
      </w:r>
    </w:p>
    <w:p>
      <w:pPr>
        <w:pStyle w:val="ListParagraph"/>
        <w:numPr>
          <w:ilvl w:val="7"/>
          <w:numId w:val="65"/>
        </w:numPr>
        <w:tabs>
          <w:tab w:pos="4101" w:val="left" w:leader="none"/>
        </w:tabs>
        <w:spacing w:line="269" w:lineRule="exact" w:before="0" w:after="0"/>
        <w:ind w:left="4101" w:right="0" w:hanging="360"/>
        <w:jc w:val="left"/>
        <w:rPr>
          <w:sz w:val="22"/>
        </w:rPr>
      </w:pPr>
      <w:r>
        <w:rPr>
          <w:spacing w:val="-5"/>
          <w:sz w:val="22"/>
        </w:rPr>
        <w:t>HIT</w:t>
      </w:r>
    </w:p>
    <w:p>
      <w:pPr>
        <w:pStyle w:val="ListParagraph"/>
        <w:numPr>
          <w:ilvl w:val="7"/>
          <w:numId w:val="65"/>
        </w:numPr>
        <w:tabs>
          <w:tab w:pos="4101" w:val="left" w:leader="none"/>
        </w:tabs>
        <w:spacing w:line="269" w:lineRule="exact" w:before="0" w:after="0"/>
        <w:ind w:left="4101" w:right="0" w:hanging="360"/>
        <w:jc w:val="left"/>
        <w:rPr>
          <w:sz w:val="22"/>
        </w:rPr>
      </w:pPr>
      <w:r>
        <w:rPr>
          <w:sz w:val="22"/>
        </w:rPr>
        <w:t>Performance</w:t>
      </w:r>
      <w:r>
        <w:rPr>
          <w:spacing w:val="-9"/>
          <w:sz w:val="22"/>
        </w:rPr>
        <w:t> </w:t>
      </w:r>
      <w:r>
        <w:rPr>
          <w:sz w:val="22"/>
        </w:rPr>
        <w:t>management</w:t>
      </w:r>
      <w:r>
        <w:rPr>
          <w:spacing w:val="-7"/>
          <w:sz w:val="22"/>
        </w:rPr>
        <w:t> </w:t>
      </w:r>
      <w:r>
        <w:rPr>
          <w:spacing w:val="-2"/>
          <w:sz w:val="22"/>
        </w:rPr>
        <w:t>capabilities</w:t>
      </w:r>
    </w:p>
    <w:p>
      <w:pPr>
        <w:pStyle w:val="ListParagraph"/>
        <w:numPr>
          <w:ilvl w:val="7"/>
          <w:numId w:val="65"/>
        </w:numPr>
        <w:tabs>
          <w:tab w:pos="4101" w:val="left" w:leader="none"/>
        </w:tabs>
        <w:spacing w:line="269" w:lineRule="exact" w:before="0" w:after="0"/>
        <w:ind w:left="4101" w:right="0" w:hanging="360"/>
        <w:jc w:val="left"/>
        <w:rPr>
          <w:sz w:val="22"/>
        </w:rPr>
      </w:pPr>
      <w:r>
        <w:rPr>
          <w:sz w:val="22"/>
        </w:rPr>
        <w:t>Contracting/networking</w:t>
      </w:r>
      <w:r>
        <w:rPr>
          <w:spacing w:val="-13"/>
          <w:sz w:val="22"/>
        </w:rPr>
        <w:t> </w:t>
      </w:r>
      <w:r>
        <w:rPr>
          <w:spacing w:val="-2"/>
          <w:sz w:val="22"/>
        </w:rPr>
        <w:t>development</w:t>
      </w:r>
    </w:p>
    <w:p>
      <w:pPr>
        <w:pStyle w:val="ListParagraph"/>
        <w:numPr>
          <w:ilvl w:val="7"/>
          <w:numId w:val="65"/>
        </w:numPr>
        <w:tabs>
          <w:tab w:pos="4102" w:val="left" w:leader="none"/>
        </w:tabs>
        <w:spacing w:line="269" w:lineRule="exact" w:before="0" w:after="0"/>
        <w:ind w:left="4102" w:right="0" w:hanging="360"/>
        <w:jc w:val="left"/>
        <w:rPr>
          <w:sz w:val="22"/>
        </w:rPr>
      </w:pPr>
      <w:r>
        <w:rPr>
          <w:sz w:val="22"/>
        </w:rPr>
        <w:t>Project</w:t>
      </w:r>
      <w:r>
        <w:rPr>
          <w:spacing w:val="-6"/>
          <w:sz w:val="22"/>
        </w:rPr>
        <w:t> </w:t>
      </w:r>
      <w:r>
        <w:rPr>
          <w:sz w:val="22"/>
        </w:rPr>
        <w:t>management</w:t>
      </w:r>
      <w:r>
        <w:rPr>
          <w:spacing w:val="-6"/>
          <w:sz w:val="22"/>
        </w:rPr>
        <w:t> </w:t>
      </w:r>
      <w:r>
        <w:rPr>
          <w:spacing w:val="-2"/>
          <w:sz w:val="22"/>
        </w:rPr>
        <w:t>capabilities</w:t>
      </w:r>
    </w:p>
    <w:p>
      <w:pPr>
        <w:pStyle w:val="ListParagraph"/>
        <w:numPr>
          <w:ilvl w:val="7"/>
          <w:numId w:val="65"/>
        </w:numPr>
        <w:tabs>
          <w:tab w:pos="4102" w:val="left" w:leader="none"/>
        </w:tabs>
        <w:spacing w:line="269" w:lineRule="exact" w:before="0" w:after="0"/>
        <w:ind w:left="4102" w:right="0" w:hanging="360"/>
        <w:jc w:val="left"/>
        <w:rPr>
          <w:sz w:val="22"/>
        </w:rPr>
      </w:pPr>
      <w:r>
        <w:rPr>
          <w:sz w:val="22"/>
        </w:rPr>
        <w:t>Care</w:t>
      </w:r>
      <w:r>
        <w:rPr>
          <w:spacing w:val="-4"/>
          <w:sz w:val="22"/>
        </w:rPr>
        <w:t> </w:t>
      </w:r>
      <w:r>
        <w:rPr>
          <w:sz w:val="22"/>
        </w:rPr>
        <w:t>coordination</w:t>
      </w:r>
      <w:r>
        <w:rPr>
          <w:spacing w:val="-4"/>
          <w:sz w:val="22"/>
        </w:rPr>
        <w:t> </w:t>
      </w:r>
      <w:r>
        <w:rPr>
          <w:sz w:val="22"/>
        </w:rPr>
        <w:t>and</w:t>
      </w:r>
      <w:r>
        <w:rPr>
          <w:spacing w:val="-6"/>
          <w:sz w:val="22"/>
        </w:rPr>
        <w:t> </w:t>
      </w:r>
      <w:r>
        <w:rPr>
          <w:sz w:val="22"/>
        </w:rPr>
        <w:t>community</w:t>
      </w:r>
      <w:r>
        <w:rPr>
          <w:spacing w:val="-6"/>
          <w:sz w:val="22"/>
        </w:rPr>
        <w:t> </w:t>
      </w:r>
      <w:r>
        <w:rPr>
          <w:spacing w:val="-2"/>
          <w:sz w:val="22"/>
        </w:rPr>
        <w:t>linkages</w:t>
      </w:r>
    </w:p>
    <w:p>
      <w:pPr>
        <w:pStyle w:val="BodyText"/>
        <w:spacing w:before="2"/>
        <w:rPr>
          <w:sz w:val="22"/>
        </w:rPr>
      </w:pPr>
    </w:p>
    <w:p>
      <w:pPr>
        <w:pStyle w:val="ListParagraph"/>
        <w:numPr>
          <w:ilvl w:val="5"/>
          <w:numId w:val="65"/>
        </w:numPr>
        <w:tabs>
          <w:tab w:pos="2661" w:val="left" w:leader="none"/>
        </w:tabs>
        <w:spacing w:line="240" w:lineRule="auto" w:before="0" w:after="0"/>
        <w:ind w:left="2661" w:right="0" w:hanging="359"/>
        <w:jc w:val="left"/>
        <w:rPr>
          <w:sz w:val="22"/>
        </w:rPr>
      </w:pPr>
      <w:r>
        <w:rPr>
          <w:sz w:val="22"/>
        </w:rPr>
        <w:t>Implementation</w:t>
      </w:r>
      <w:r>
        <w:rPr>
          <w:spacing w:val="-4"/>
          <w:sz w:val="22"/>
        </w:rPr>
        <w:t> </w:t>
      </w:r>
      <w:r>
        <w:rPr>
          <w:sz w:val="22"/>
        </w:rPr>
        <w:t>of</w:t>
      </w:r>
      <w:r>
        <w:rPr>
          <w:spacing w:val="-5"/>
          <w:sz w:val="22"/>
        </w:rPr>
        <w:t> </w:t>
      </w:r>
      <w:r>
        <w:rPr>
          <w:sz w:val="22"/>
        </w:rPr>
        <w:t>care</w:t>
      </w:r>
      <w:r>
        <w:rPr>
          <w:spacing w:val="-4"/>
          <w:sz w:val="22"/>
        </w:rPr>
        <w:t> </w:t>
      </w:r>
      <w:r>
        <w:rPr>
          <w:sz w:val="22"/>
        </w:rPr>
        <w:t>model</w:t>
      </w:r>
      <w:r>
        <w:rPr>
          <w:spacing w:val="-5"/>
          <w:sz w:val="22"/>
        </w:rPr>
        <w:t> </w:t>
      </w:r>
      <w:r>
        <w:rPr>
          <w:spacing w:val="-2"/>
          <w:sz w:val="22"/>
        </w:rPr>
        <w:t>requirements</w:t>
      </w:r>
    </w:p>
    <w:p>
      <w:pPr>
        <w:pStyle w:val="ListParagraph"/>
        <w:numPr>
          <w:ilvl w:val="4"/>
          <w:numId w:val="65"/>
        </w:numPr>
        <w:tabs>
          <w:tab w:pos="1940" w:val="left" w:leader="none"/>
          <w:tab w:pos="1942" w:val="left" w:leader="none"/>
        </w:tabs>
        <w:spacing w:line="240" w:lineRule="auto" w:before="178" w:after="0"/>
        <w:ind w:left="1942" w:right="1092" w:hanging="361"/>
        <w:jc w:val="both"/>
        <w:rPr>
          <w:sz w:val="22"/>
        </w:rPr>
      </w:pPr>
      <w:r>
        <w:rPr>
          <w:sz w:val="22"/>
        </w:rPr>
        <w:t>Spending</w:t>
      </w:r>
      <w:r>
        <w:rPr>
          <w:spacing w:val="-2"/>
          <w:sz w:val="22"/>
        </w:rPr>
        <w:t> </w:t>
      </w:r>
      <w:r>
        <w:rPr>
          <w:sz w:val="22"/>
        </w:rPr>
        <w:t>Categories</w:t>
      </w:r>
      <w:r>
        <w:rPr>
          <w:spacing w:val="-2"/>
          <w:sz w:val="22"/>
        </w:rPr>
        <w:t> </w:t>
      </w:r>
      <w:r>
        <w:rPr>
          <w:sz w:val="22"/>
        </w:rPr>
        <w:t>and</w:t>
      </w:r>
      <w:r>
        <w:rPr>
          <w:spacing w:val="-2"/>
          <w:sz w:val="22"/>
        </w:rPr>
        <w:t> </w:t>
      </w:r>
      <w:r>
        <w:rPr>
          <w:sz w:val="22"/>
        </w:rPr>
        <w:t>Amounts:</w:t>
      </w:r>
      <w:r>
        <w:rPr>
          <w:spacing w:val="-1"/>
          <w:sz w:val="22"/>
        </w:rPr>
        <w:t> </w:t>
      </w:r>
      <w:r>
        <w:rPr>
          <w:sz w:val="22"/>
        </w:rPr>
        <w:t>This</w:t>
      </w:r>
      <w:r>
        <w:rPr>
          <w:spacing w:val="-2"/>
          <w:sz w:val="22"/>
        </w:rPr>
        <w:t> </w:t>
      </w:r>
      <w:r>
        <w:rPr>
          <w:sz w:val="22"/>
        </w:rPr>
        <w:t>section will</w:t>
      </w:r>
      <w:r>
        <w:rPr>
          <w:spacing w:val="-1"/>
          <w:sz w:val="22"/>
        </w:rPr>
        <w:t> </w:t>
      </w:r>
      <w:r>
        <w:rPr>
          <w:sz w:val="22"/>
        </w:rPr>
        <w:t>include</w:t>
      </w:r>
      <w:r>
        <w:rPr>
          <w:spacing w:val="-2"/>
          <w:sz w:val="22"/>
        </w:rPr>
        <w:t> </w:t>
      </w:r>
      <w:r>
        <w:rPr>
          <w:sz w:val="22"/>
        </w:rPr>
        <w:t>the</w:t>
      </w:r>
      <w:r>
        <w:rPr>
          <w:spacing w:val="-2"/>
          <w:sz w:val="22"/>
        </w:rPr>
        <w:t> </w:t>
      </w:r>
      <w:r>
        <w:rPr>
          <w:sz w:val="22"/>
        </w:rPr>
        <w:t>CP’s</w:t>
      </w:r>
      <w:r>
        <w:rPr>
          <w:spacing w:val="-2"/>
          <w:sz w:val="22"/>
        </w:rPr>
        <w:t> </w:t>
      </w:r>
      <w:r>
        <w:rPr>
          <w:sz w:val="22"/>
        </w:rPr>
        <w:t>or</w:t>
      </w:r>
      <w:r>
        <w:rPr>
          <w:spacing w:val="-1"/>
          <w:sz w:val="22"/>
        </w:rPr>
        <w:t> </w:t>
      </w:r>
      <w:r>
        <w:rPr>
          <w:sz w:val="22"/>
        </w:rPr>
        <w:t>CSA’s</w:t>
      </w:r>
      <w:r>
        <w:rPr>
          <w:spacing w:val="-2"/>
          <w:sz w:val="22"/>
        </w:rPr>
        <w:t> </w:t>
      </w:r>
      <w:r>
        <w:rPr>
          <w:sz w:val="22"/>
        </w:rPr>
        <w:t>anticipated spend over the five years in broad based funding categories.</w:t>
      </w:r>
    </w:p>
    <w:p>
      <w:pPr>
        <w:pStyle w:val="ListParagraph"/>
        <w:numPr>
          <w:ilvl w:val="4"/>
          <w:numId w:val="65"/>
        </w:numPr>
        <w:tabs>
          <w:tab w:pos="1940" w:val="left" w:leader="none"/>
          <w:tab w:pos="1942" w:val="left" w:leader="none"/>
        </w:tabs>
        <w:spacing w:line="240" w:lineRule="auto" w:before="1" w:after="0"/>
        <w:ind w:left="1942" w:right="1092" w:hanging="361"/>
        <w:jc w:val="both"/>
        <w:rPr>
          <w:sz w:val="22"/>
        </w:rPr>
      </w:pPr>
      <w:r>
        <w:rPr>
          <w:sz w:val="22"/>
        </w:rPr>
        <w:t>Timeline:</w:t>
      </w:r>
      <w:r>
        <w:rPr>
          <w:spacing w:val="-14"/>
          <w:sz w:val="22"/>
        </w:rPr>
        <w:t> </w:t>
      </w:r>
      <w:r>
        <w:rPr>
          <w:sz w:val="22"/>
        </w:rPr>
        <w:t>This</w:t>
      </w:r>
      <w:r>
        <w:rPr>
          <w:spacing w:val="-14"/>
          <w:sz w:val="22"/>
        </w:rPr>
        <w:t> </w:t>
      </w:r>
      <w:r>
        <w:rPr>
          <w:sz w:val="22"/>
        </w:rPr>
        <w:t>section</w:t>
      </w:r>
      <w:r>
        <w:rPr>
          <w:spacing w:val="-14"/>
          <w:sz w:val="22"/>
        </w:rPr>
        <w:t> </w:t>
      </w:r>
      <w:r>
        <w:rPr>
          <w:sz w:val="22"/>
        </w:rPr>
        <w:t>will</w:t>
      </w:r>
      <w:r>
        <w:rPr>
          <w:spacing w:val="-13"/>
          <w:sz w:val="22"/>
        </w:rPr>
        <w:t> </w:t>
      </w:r>
      <w:r>
        <w:rPr>
          <w:sz w:val="22"/>
        </w:rPr>
        <w:t>include</w:t>
      </w:r>
      <w:r>
        <w:rPr>
          <w:spacing w:val="-14"/>
          <w:sz w:val="22"/>
        </w:rPr>
        <w:t> </w:t>
      </w:r>
      <w:r>
        <w:rPr>
          <w:sz w:val="22"/>
        </w:rPr>
        <w:t>a</w:t>
      </w:r>
      <w:r>
        <w:rPr>
          <w:spacing w:val="-14"/>
          <w:sz w:val="22"/>
        </w:rPr>
        <w:t> </w:t>
      </w:r>
      <w:r>
        <w:rPr>
          <w:sz w:val="22"/>
        </w:rPr>
        <w:t>five-year</w:t>
      </w:r>
      <w:r>
        <w:rPr>
          <w:spacing w:val="-14"/>
          <w:sz w:val="22"/>
        </w:rPr>
        <w:t> </w:t>
      </w:r>
      <w:r>
        <w:rPr>
          <w:sz w:val="22"/>
        </w:rPr>
        <w:t>timeline</w:t>
      </w:r>
      <w:r>
        <w:rPr>
          <w:spacing w:val="-13"/>
          <w:sz w:val="22"/>
        </w:rPr>
        <w:t> </w:t>
      </w:r>
      <w:r>
        <w:rPr>
          <w:sz w:val="22"/>
        </w:rPr>
        <w:t>for</w:t>
      </w:r>
      <w:r>
        <w:rPr>
          <w:spacing w:val="-14"/>
          <w:sz w:val="22"/>
        </w:rPr>
        <w:t> </w:t>
      </w:r>
      <w:r>
        <w:rPr>
          <w:sz w:val="22"/>
        </w:rPr>
        <w:t>the</w:t>
      </w:r>
      <w:r>
        <w:rPr>
          <w:spacing w:val="-14"/>
          <w:sz w:val="22"/>
        </w:rPr>
        <w:t> </w:t>
      </w:r>
      <w:r>
        <w:rPr>
          <w:sz w:val="22"/>
        </w:rPr>
        <w:t>CP’s</w:t>
      </w:r>
      <w:r>
        <w:rPr>
          <w:spacing w:val="-14"/>
          <w:sz w:val="22"/>
        </w:rPr>
        <w:t> </w:t>
      </w:r>
      <w:r>
        <w:rPr>
          <w:sz w:val="22"/>
        </w:rPr>
        <w:t>or</w:t>
      </w:r>
      <w:r>
        <w:rPr>
          <w:spacing w:val="-13"/>
          <w:sz w:val="22"/>
        </w:rPr>
        <w:t> </w:t>
      </w:r>
      <w:r>
        <w:rPr>
          <w:sz w:val="22"/>
        </w:rPr>
        <w:t>CSA’s</w:t>
      </w:r>
      <w:r>
        <w:rPr>
          <w:spacing w:val="-14"/>
          <w:sz w:val="22"/>
        </w:rPr>
        <w:t> </w:t>
      </w:r>
      <w:r>
        <w:rPr>
          <w:sz w:val="22"/>
        </w:rPr>
        <w:t>proposed</w:t>
      </w:r>
      <w:r>
        <w:rPr>
          <w:spacing w:val="-14"/>
          <w:sz w:val="22"/>
        </w:rPr>
        <w:t> </w:t>
      </w:r>
      <w:r>
        <w:rPr>
          <w:sz w:val="22"/>
        </w:rPr>
        <w:t>investments and programs.</w:t>
      </w:r>
    </w:p>
    <w:p>
      <w:pPr>
        <w:pStyle w:val="ListParagraph"/>
        <w:numPr>
          <w:ilvl w:val="4"/>
          <w:numId w:val="65"/>
        </w:numPr>
        <w:tabs>
          <w:tab w:pos="1940" w:val="left" w:leader="none"/>
          <w:tab w:pos="1942" w:val="left" w:leader="none"/>
        </w:tabs>
        <w:spacing w:line="240" w:lineRule="auto" w:before="0" w:after="0"/>
        <w:ind w:left="1942" w:right="1094" w:hanging="361"/>
        <w:jc w:val="both"/>
        <w:rPr>
          <w:sz w:val="22"/>
        </w:rPr>
      </w:pPr>
      <w:r>
        <w:rPr>
          <w:sz w:val="22"/>
        </w:rPr>
        <w:t>Sustainability: This section will describe the CP’s or CSA’s plan to sustainably fund proposed investments and programs after the five-year period. This section may include information about other</w:t>
      </w:r>
      <w:r>
        <w:rPr>
          <w:spacing w:val="15"/>
          <w:sz w:val="22"/>
        </w:rPr>
        <w:t> </w:t>
      </w:r>
      <w:r>
        <w:rPr>
          <w:sz w:val="22"/>
        </w:rPr>
        <w:t>funding</w:t>
      </w:r>
      <w:r>
        <w:rPr>
          <w:spacing w:val="15"/>
          <w:sz w:val="22"/>
        </w:rPr>
        <w:t> </w:t>
      </w:r>
      <w:r>
        <w:rPr>
          <w:sz w:val="22"/>
        </w:rPr>
        <w:t>opportunities</w:t>
      </w:r>
      <w:r>
        <w:rPr>
          <w:spacing w:val="15"/>
          <w:sz w:val="22"/>
        </w:rPr>
        <w:t> </w:t>
      </w:r>
      <w:r>
        <w:rPr>
          <w:sz w:val="22"/>
        </w:rPr>
        <w:t>available</w:t>
      </w:r>
      <w:r>
        <w:rPr>
          <w:spacing w:val="15"/>
          <w:sz w:val="22"/>
        </w:rPr>
        <w:t> </w:t>
      </w:r>
      <w:r>
        <w:rPr>
          <w:sz w:val="22"/>
        </w:rPr>
        <w:t>to</w:t>
      </w:r>
      <w:r>
        <w:rPr>
          <w:spacing w:val="15"/>
          <w:sz w:val="22"/>
        </w:rPr>
        <w:t> </w:t>
      </w:r>
      <w:r>
        <w:rPr>
          <w:sz w:val="22"/>
        </w:rPr>
        <w:t>the</w:t>
      </w:r>
      <w:r>
        <w:rPr>
          <w:spacing w:val="15"/>
          <w:sz w:val="22"/>
        </w:rPr>
        <w:t> </w:t>
      </w:r>
      <w:r>
        <w:rPr>
          <w:sz w:val="22"/>
        </w:rPr>
        <w:t>CP</w:t>
      </w:r>
      <w:r>
        <w:rPr>
          <w:spacing w:val="17"/>
          <w:sz w:val="22"/>
        </w:rPr>
        <w:t> </w:t>
      </w:r>
      <w:r>
        <w:rPr>
          <w:sz w:val="22"/>
        </w:rPr>
        <w:t>or</w:t>
      </w:r>
      <w:r>
        <w:rPr>
          <w:spacing w:val="18"/>
          <w:sz w:val="22"/>
        </w:rPr>
        <w:t> </w:t>
      </w:r>
      <w:r>
        <w:rPr>
          <w:sz w:val="22"/>
        </w:rPr>
        <w:t>CSA,</w:t>
      </w:r>
      <w:r>
        <w:rPr>
          <w:spacing w:val="17"/>
          <w:sz w:val="22"/>
        </w:rPr>
        <w:t> </w:t>
      </w:r>
      <w:r>
        <w:rPr>
          <w:sz w:val="22"/>
        </w:rPr>
        <w:t>as</w:t>
      </w:r>
      <w:r>
        <w:rPr>
          <w:spacing w:val="17"/>
          <w:sz w:val="22"/>
        </w:rPr>
        <w:t> </w:t>
      </w:r>
      <w:r>
        <w:rPr>
          <w:sz w:val="22"/>
        </w:rPr>
        <w:t>well</w:t>
      </w:r>
      <w:r>
        <w:rPr>
          <w:spacing w:val="18"/>
          <w:sz w:val="22"/>
        </w:rPr>
        <w:t> </w:t>
      </w:r>
      <w:r>
        <w:rPr>
          <w:sz w:val="22"/>
        </w:rPr>
        <w:t>as</w:t>
      </w:r>
      <w:r>
        <w:rPr>
          <w:spacing w:val="15"/>
          <w:sz w:val="22"/>
        </w:rPr>
        <w:t> </w:t>
      </w:r>
      <w:r>
        <w:rPr>
          <w:sz w:val="22"/>
        </w:rPr>
        <w:t>information</w:t>
      </w:r>
      <w:r>
        <w:rPr>
          <w:spacing w:val="12"/>
          <w:sz w:val="22"/>
        </w:rPr>
        <w:t> </w:t>
      </w:r>
      <w:r>
        <w:rPr>
          <w:sz w:val="22"/>
        </w:rPr>
        <w:t>about</w:t>
      </w:r>
      <w:r>
        <w:rPr>
          <w:spacing w:val="16"/>
          <w:sz w:val="22"/>
        </w:rPr>
        <w:t> </w:t>
      </w:r>
      <w:r>
        <w:rPr>
          <w:sz w:val="22"/>
        </w:rPr>
        <w:t>any</w:t>
      </w:r>
      <w:r>
        <w:rPr>
          <w:spacing w:val="15"/>
          <w:sz w:val="22"/>
        </w:rPr>
        <w:t> </w:t>
      </w:r>
      <w:r>
        <w:rPr>
          <w:sz w:val="22"/>
        </w:rPr>
        <w:t>tools,</w:t>
      </w:r>
    </w:p>
    <w:p>
      <w:pPr>
        <w:spacing w:after="0" w:line="240" w:lineRule="auto"/>
        <w:jc w:val="both"/>
        <w:rPr>
          <w:sz w:val="22"/>
        </w:rPr>
        <w:sectPr>
          <w:pgSz w:w="12240" w:h="15840"/>
          <w:pgMar w:header="0" w:footer="967" w:top="1360" w:bottom="1160" w:left="220" w:right="340"/>
        </w:sectPr>
      </w:pPr>
    </w:p>
    <w:p>
      <w:pPr>
        <w:spacing w:before="78"/>
        <w:ind w:left="1939" w:right="1111" w:firstLine="0"/>
        <w:jc w:val="left"/>
        <w:rPr>
          <w:sz w:val="22"/>
        </w:rPr>
      </w:pPr>
      <w:r>
        <w:rPr>
          <w:sz w:val="22"/>
        </w:rPr>
        <w:t>resources or processes that the CP or CSA intends to develop using DSRIP funding and continue using after the end of the DSRIP investment.</w:t>
      </w:r>
    </w:p>
    <w:p>
      <w:pPr>
        <w:pStyle w:val="ListParagraph"/>
        <w:numPr>
          <w:ilvl w:val="4"/>
          <w:numId w:val="65"/>
        </w:numPr>
        <w:tabs>
          <w:tab w:pos="1938" w:val="left" w:leader="none"/>
          <w:tab w:pos="1940" w:val="left" w:leader="none"/>
        </w:tabs>
        <w:spacing w:line="240" w:lineRule="auto" w:before="2" w:after="0"/>
        <w:ind w:left="1940" w:right="1094" w:hanging="361"/>
        <w:jc w:val="both"/>
        <w:rPr>
          <w:sz w:val="22"/>
        </w:rPr>
      </w:pPr>
      <w:r>
        <w:rPr>
          <w:sz w:val="22"/>
        </w:rPr>
        <w:t>Metrics and Measures: This section will describe the CP’s or CSA’s plan to report on the various </w:t>
      </w:r>
      <w:bookmarkStart w:name="3.2.2 Full Participation Plans" w:id="1253"/>
      <w:bookmarkEnd w:id="1253"/>
      <w:r>
        <w:rPr>
          <w:sz w:val="22"/>
        </w:rPr>
      </w:r>
      <w:bookmarkStart w:name="_bookmark26" w:id="1254"/>
      <w:bookmarkEnd w:id="1254"/>
      <w:r>
        <w:rPr>
          <w:sz w:val="22"/>
        </w:rPr>
        <w:t>D</w:t>
      </w:r>
      <w:r>
        <w:rPr>
          <w:sz w:val="22"/>
        </w:rPr>
        <w:t>SRIP accountability metrics set forth in Appendix D.</w:t>
      </w:r>
    </w:p>
    <w:p>
      <w:pPr>
        <w:pStyle w:val="Heading5"/>
        <w:numPr>
          <w:ilvl w:val="2"/>
          <w:numId w:val="65"/>
        </w:numPr>
        <w:tabs>
          <w:tab w:pos="1940" w:val="left" w:leader="none"/>
        </w:tabs>
        <w:spacing w:line="240" w:lineRule="auto" w:before="199" w:after="0"/>
        <w:ind w:left="1940" w:right="0" w:hanging="720"/>
        <w:jc w:val="both"/>
        <w:rPr>
          <w:color w:val="4471C4"/>
        </w:rPr>
      </w:pPr>
      <w:r>
        <w:rPr>
          <w:color w:val="4471C4"/>
        </w:rPr>
        <w:t>Full</w:t>
      </w:r>
      <w:r>
        <w:rPr>
          <w:color w:val="4471C4"/>
          <w:spacing w:val="-4"/>
        </w:rPr>
        <w:t> </w:t>
      </w:r>
      <w:r>
        <w:rPr>
          <w:color w:val="4471C4"/>
        </w:rPr>
        <w:t>Participation</w:t>
      </w:r>
      <w:r>
        <w:rPr>
          <w:color w:val="4471C4"/>
          <w:spacing w:val="-4"/>
        </w:rPr>
        <w:t> </w:t>
      </w:r>
      <w:r>
        <w:rPr>
          <w:color w:val="4471C4"/>
          <w:spacing w:val="-2"/>
        </w:rPr>
        <w:t>Plans</w:t>
      </w:r>
    </w:p>
    <w:p>
      <w:pPr>
        <w:spacing w:before="40"/>
        <w:ind w:left="1220" w:right="1094" w:firstLine="0"/>
        <w:jc w:val="both"/>
        <w:rPr>
          <w:sz w:val="22"/>
        </w:rPr>
      </w:pPr>
      <w:r>
        <w:rPr>
          <w:sz w:val="22"/>
        </w:rPr>
        <w:t>Full Participation Plans build on the information contained in Preliminary Participation Plans. For all DSRIP</w:t>
      </w:r>
      <w:r>
        <w:rPr>
          <w:spacing w:val="-1"/>
          <w:sz w:val="22"/>
        </w:rPr>
        <w:t> </w:t>
      </w:r>
      <w:r>
        <w:rPr>
          <w:sz w:val="22"/>
        </w:rPr>
        <w:t>payments except</w:t>
      </w:r>
      <w:r>
        <w:rPr>
          <w:spacing w:val="-2"/>
          <w:sz w:val="22"/>
        </w:rPr>
        <w:t> </w:t>
      </w:r>
      <w:r>
        <w:rPr>
          <w:sz w:val="22"/>
        </w:rPr>
        <w:t>the Preparation</w:t>
      </w:r>
      <w:r>
        <w:rPr>
          <w:spacing w:val="-1"/>
          <w:sz w:val="22"/>
        </w:rPr>
        <w:t> </w:t>
      </w:r>
      <w:r>
        <w:rPr>
          <w:sz w:val="22"/>
        </w:rPr>
        <w:t>Budget Period</w:t>
      </w:r>
      <w:r>
        <w:rPr>
          <w:spacing w:val="-1"/>
          <w:sz w:val="22"/>
        </w:rPr>
        <w:t> </w:t>
      </w:r>
      <w:r>
        <w:rPr>
          <w:sz w:val="22"/>
        </w:rPr>
        <w:t>and</w:t>
      </w:r>
      <w:r>
        <w:rPr>
          <w:spacing w:val="-3"/>
          <w:sz w:val="22"/>
        </w:rPr>
        <w:t> </w:t>
      </w:r>
      <w:r>
        <w:rPr>
          <w:sz w:val="22"/>
        </w:rPr>
        <w:t>the first</w:t>
      </w:r>
      <w:r>
        <w:rPr>
          <w:spacing w:val="-2"/>
          <w:sz w:val="22"/>
        </w:rPr>
        <w:t> </w:t>
      </w:r>
      <w:r>
        <w:rPr>
          <w:sz w:val="22"/>
        </w:rPr>
        <w:t>quarter’s payments for</w:t>
      </w:r>
      <w:r>
        <w:rPr>
          <w:spacing w:val="-2"/>
          <w:sz w:val="22"/>
        </w:rPr>
        <w:t> </w:t>
      </w:r>
      <w:r>
        <w:rPr>
          <w:sz w:val="22"/>
        </w:rPr>
        <w:t>Budget Period 1,</w:t>
      </w:r>
      <w:r>
        <w:rPr>
          <w:spacing w:val="-5"/>
          <w:sz w:val="22"/>
        </w:rPr>
        <w:t> </w:t>
      </w:r>
      <w:r>
        <w:rPr>
          <w:sz w:val="22"/>
        </w:rPr>
        <w:t>the</w:t>
      </w:r>
      <w:r>
        <w:rPr>
          <w:spacing w:val="-4"/>
          <w:sz w:val="22"/>
        </w:rPr>
        <w:t> </w:t>
      </w:r>
      <w:r>
        <w:rPr>
          <w:sz w:val="22"/>
        </w:rPr>
        <w:t>State</w:t>
      </w:r>
      <w:r>
        <w:rPr>
          <w:spacing w:val="-4"/>
          <w:sz w:val="22"/>
        </w:rPr>
        <w:t> </w:t>
      </w:r>
      <w:r>
        <w:rPr>
          <w:sz w:val="22"/>
        </w:rPr>
        <w:t>will</w:t>
      </w:r>
      <w:r>
        <w:rPr>
          <w:spacing w:val="-4"/>
          <w:sz w:val="22"/>
        </w:rPr>
        <w:t> </w:t>
      </w:r>
      <w:r>
        <w:rPr>
          <w:sz w:val="22"/>
        </w:rPr>
        <w:t>not</w:t>
      </w:r>
      <w:r>
        <w:rPr>
          <w:spacing w:val="-4"/>
          <w:sz w:val="22"/>
        </w:rPr>
        <w:t> </w:t>
      </w:r>
      <w:r>
        <w:rPr>
          <w:sz w:val="22"/>
        </w:rPr>
        <w:t>disburse</w:t>
      </w:r>
      <w:r>
        <w:rPr>
          <w:spacing w:val="-4"/>
          <w:sz w:val="22"/>
        </w:rPr>
        <w:t> </w:t>
      </w:r>
      <w:r>
        <w:rPr>
          <w:sz w:val="22"/>
        </w:rPr>
        <w:t>DSRIP</w:t>
      </w:r>
      <w:r>
        <w:rPr>
          <w:spacing w:val="-5"/>
          <w:sz w:val="22"/>
        </w:rPr>
        <w:t> </w:t>
      </w:r>
      <w:r>
        <w:rPr>
          <w:sz w:val="22"/>
        </w:rPr>
        <w:t>funds</w:t>
      </w:r>
      <w:r>
        <w:rPr>
          <w:spacing w:val="-4"/>
          <w:sz w:val="22"/>
        </w:rPr>
        <w:t> </w:t>
      </w:r>
      <w:r>
        <w:rPr>
          <w:sz w:val="22"/>
        </w:rPr>
        <w:t>to</w:t>
      </w:r>
      <w:r>
        <w:rPr>
          <w:spacing w:val="-5"/>
          <w:sz w:val="22"/>
        </w:rPr>
        <w:t> </w:t>
      </w:r>
      <w:r>
        <w:rPr>
          <w:sz w:val="22"/>
        </w:rPr>
        <w:t>an</w:t>
      </w:r>
      <w:r>
        <w:rPr>
          <w:spacing w:val="-5"/>
          <w:sz w:val="22"/>
        </w:rPr>
        <w:t> </w:t>
      </w:r>
      <w:r>
        <w:rPr>
          <w:sz w:val="22"/>
        </w:rPr>
        <w:t>ACO,</w:t>
      </w:r>
      <w:r>
        <w:rPr>
          <w:spacing w:val="-7"/>
          <w:sz w:val="22"/>
        </w:rPr>
        <w:t> </w:t>
      </w:r>
      <w:r>
        <w:rPr>
          <w:sz w:val="22"/>
        </w:rPr>
        <w:t>CP</w:t>
      </w:r>
      <w:r>
        <w:rPr>
          <w:spacing w:val="-5"/>
          <w:sz w:val="22"/>
        </w:rPr>
        <w:t> </w:t>
      </w:r>
      <w:r>
        <w:rPr>
          <w:sz w:val="22"/>
        </w:rPr>
        <w:t>or</w:t>
      </w:r>
      <w:r>
        <w:rPr>
          <w:spacing w:val="-4"/>
          <w:sz w:val="22"/>
        </w:rPr>
        <w:t> </w:t>
      </w:r>
      <w:r>
        <w:rPr>
          <w:sz w:val="22"/>
        </w:rPr>
        <w:t>CSA</w:t>
      </w:r>
      <w:r>
        <w:rPr>
          <w:spacing w:val="-6"/>
          <w:sz w:val="22"/>
        </w:rPr>
        <w:t> </w:t>
      </w:r>
      <w:r>
        <w:rPr>
          <w:sz w:val="22"/>
        </w:rPr>
        <w:t>that</w:t>
      </w:r>
      <w:r>
        <w:rPr>
          <w:spacing w:val="-4"/>
          <w:sz w:val="22"/>
        </w:rPr>
        <w:t> </w:t>
      </w:r>
      <w:r>
        <w:rPr>
          <w:sz w:val="22"/>
        </w:rPr>
        <w:t>does</w:t>
      </w:r>
      <w:r>
        <w:rPr>
          <w:spacing w:val="-4"/>
          <w:sz w:val="22"/>
        </w:rPr>
        <w:t> </w:t>
      </w:r>
      <w:r>
        <w:rPr>
          <w:sz w:val="22"/>
        </w:rPr>
        <w:t>not</w:t>
      </w:r>
      <w:r>
        <w:rPr>
          <w:spacing w:val="-4"/>
          <w:sz w:val="22"/>
        </w:rPr>
        <w:t> </w:t>
      </w:r>
      <w:r>
        <w:rPr>
          <w:sz w:val="22"/>
        </w:rPr>
        <w:t>have</w:t>
      </w:r>
      <w:r>
        <w:rPr>
          <w:spacing w:val="-4"/>
          <w:sz w:val="22"/>
        </w:rPr>
        <w:t> </w:t>
      </w:r>
      <w:r>
        <w:rPr>
          <w:sz w:val="22"/>
        </w:rPr>
        <w:t>a</w:t>
      </w:r>
      <w:r>
        <w:rPr>
          <w:spacing w:val="-4"/>
          <w:sz w:val="22"/>
        </w:rPr>
        <w:t> </w:t>
      </w:r>
      <w:r>
        <w:rPr>
          <w:sz w:val="22"/>
        </w:rPr>
        <w:t>state-approved</w:t>
      </w:r>
      <w:r>
        <w:rPr>
          <w:spacing w:val="-5"/>
          <w:sz w:val="22"/>
        </w:rPr>
        <w:t> </w:t>
      </w:r>
      <w:r>
        <w:rPr>
          <w:sz w:val="22"/>
        </w:rPr>
        <w:t>Full Participation</w:t>
      </w:r>
      <w:r>
        <w:rPr>
          <w:spacing w:val="-9"/>
          <w:sz w:val="22"/>
        </w:rPr>
        <w:t> </w:t>
      </w:r>
      <w:r>
        <w:rPr>
          <w:sz w:val="22"/>
        </w:rPr>
        <w:t>Plan.</w:t>
      </w:r>
      <w:r>
        <w:rPr>
          <w:spacing w:val="-11"/>
          <w:sz w:val="22"/>
        </w:rPr>
        <w:t> </w:t>
      </w:r>
      <w:r>
        <w:rPr>
          <w:sz w:val="22"/>
        </w:rPr>
        <w:t>The</w:t>
      </w:r>
      <w:r>
        <w:rPr>
          <w:spacing w:val="-8"/>
          <w:sz w:val="22"/>
        </w:rPr>
        <w:t> </w:t>
      </w:r>
      <w:r>
        <w:rPr>
          <w:sz w:val="22"/>
        </w:rPr>
        <w:t>State</w:t>
      </w:r>
      <w:r>
        <w:rPr>
          <w:spacing w:val="-8"/>
          <w:sz w:val="22"/>
        </w:rPr>
        <w:t> </w:t>
      </w:r>
      <w:r>
        <w:rPr>
          <w:sz w:val="22"/>
        </w:rPr>
        <w:t>may</w:t>
      </w:r>
      <w:r>
        <w:rPr>
          <w:spacing w:val="-11"/>
          <w:sz w:val="22"/>
        </w:rPr>
        <w:t> </w:t>
      </w:r>
      <w:r>
        <w:rPr>
          <w:sz w:val="22"/>
        </w:rPr>
        <w:t>withhold</w:t>
      </w:r>
      <w:r>
        <w:rPr>
          <w:spacing w:val="-9"/>
          <w:sz w:val="22"/>
        </w:rPr>
        <w:t> </w:t>
      </w:r>
      <w:r>
        <w:rPr>
          <w:sz w:val="22"/>
        </w:rPr>
        <w:t>DSRIP</w:t>
      </w:r>
      <w:r>
        <w:rPr>
          <w:spacing w:val="-7"/>
          <w:sz w:val="22"/>
        </w:rPr>
        <w:t> </w:t>
      </w:r>
      <w:r>
        <w:rPr>
          <w:sz w:val="22"/>
        </w:rPr>
        <w:t>funds</w:t>
      </w:r>
      <w:r>
        <w:rPr>
          <w:spacing w:val="-8"/>
          <w:sz w:val="22"/>
        </w:rPr>
        <w:t> </w:t>
      </w:r>
      <w:r>
        <w:rPr>
          <w:sz w:val="22"/>
        </w:rPr>
        <w:t>from</w:t>
      </w:r>
      <w:r>
        <w:rPr>
          <w:spacing w:val="-12"/>
          <w:sz w:val="22"/>
        </w:rPr>
        <w:t> </w:t>
      </w:r>
      <w:r>
        <w:rPr>
          <w:sz w:val="22"/>
        </w:rPr>
        <w:t>an</w:t>
      </w:r>
      <w:r>
        <w:rPr>
          <w:spacing w:val="-9"/>
          <w:sz w:val="22"/>
        </w:rPr>
        <w:t> </w:t>
      </w:r>
      <w:r>
        <w:rPr>
          <w:sz w:val="22"/>
        </w:rPr>
        <w:t>ACO,</w:t>
      </w:r>
      <w:r>
        <w:rPr>
          <w:spacing w:val="-9"/>
          <w:sz w:val="22"/>
        </w:rPr>
        <w:t> </w:t>
      </w:r>
      <w:r>
        <w:rPr>
          <w:sz w:val="22"/>
        </w:rPr>
        <w:t>CP</w:t>
      </w:r>
      <w:r>
        <w:rPr>
          <w:spacing w:val="-7"/>
          <w:sz w:val="22"/>
        </w:rPr>
        <w:t> </w:t>
      </w:r>
      <w:r>
        <w:rPr>
          <w:sz w:val="22"/>
        </w:rPr>
        <w:t>or</w:t>
      </w:r>
      <w:r>
        <w:rPr>
          <w:spacing w:val="-8"/>
          <w:sz w:val="22"/>
        </w:rPr>
        <w:t> </w:t>
      </w:r>
      <w:r>
        <w:rPr>
          <w:sz w:val="22"/>
        </w:rPr>
        <w:t>CSA</w:t>
      </w:r>
      <w:r>
        <w:rPr>
          <w:spacing w:val="-10"/>
          <w:sz w:val="22"/>
        </w:rPr>
        <w:t> </w:t>
      </w:r>
      <w:r>
        <w:rPr>
          <w:sz w:val="22"/>
        </w:rPr>
        <w:t>if</w:t>
      </w:r>
      <w:r>
        <w:rPr>
          <w:spacing w:val="-8"/>
          <w:sz w:val="22"/>
        </w:rPr>
        <w:t> </w:t>
      </w:r>
      <w:r>
        <w:rPr>
          <w:sz w:val="22"/>
        </w:rPr>
        <w:t>there</w:t>
      </w:r>
      <w:r>
        <w:rPr>
          <w:spacing w:val="-8"/>
          <w:sz w:val="22"/>
        </w:rPr>
        <w:t> </w:t>
      </w:r>
      <w:r>
        <w:rPr>
          <w:sz w:val="22"/>
        </w:rPr>
        <w:t>are</w:t>
      </w:r>
      <w:r>
        <w:rPr>
          <w:spacing w:val="-8"/>
          <w:sz w:val="22"/>
        </w:rPr>
        <w:t> </w:t>
      </w:r>
      <w:r>
        <w:rPr>
          <w:sz w:val="22"/>
        </w:rPr>
        <w:t>outstanding State requests for amendments to its Full Participation Plans.</w:t>
      </w:r>
    </w:p>
    <w:p>
      <w:pPr>
        <w:pStyle w:val="ListParagraph"/>
        <w:numPr>
          <w:ilvl w:val="3"/>
          <w:numId w:val="65"/>
        </w:numPr>
        <w:tabs>
          <w:tab w:pos="1939" w:val="left" w:leader="none"/>
        </w:tabs>
        <w:spacing w:line="240" w:lineRule="auto" w:before="199" w:after="0"/>
        <w:ind w:left="1939" w:right="0" w:hanging="719"/>
        <w:jc w:val="both"/>
        <w:rPr>
          <w:b/>
          <w:i/>
          <w:sz w:val="22"/>
        </w:rPr>
      </w:pPr>
      <w:bookmarkStart w:name="3.2.2.1 ACOs" w:id="1255"/>
      <w:bookmarkEnd w:id="1255"/>
      <w:r>
        <w:rPr/>
      </w:r>
      <w:r>
        <w:rPr>
          <w:b/>
          <w:i/>
          <w:color w:val="4471C4"/>
          <w:spacing w:val="-4"/>
          <w:sz w:val="22"/>
        </w:rPr>
        <w:t>ACOs</w:t>
      </w:r>
    </w:p>
    <w:p>
      <w:pPr>
        <w:spacing w:line="240" w:lineRule="auto" w:before="2"/>
        <w:ind w:left="1219" w:right="1095" w:firstLine="0"/>
        <w:jc w:val="both"/>
        <w:rPr>
          <w:sz w:val="22"/>
        </w:rPr>
      </w:pPr>
      <w:r>
        <w:rPr>
          <w:sz w:val="22"/>
        </w:rPr>
        <w:t>Once each ACO is notified of (1) its anticipated amount of Budget Period 1 funds, and (2) its tentative amount of Budget Period 2 through 5 funds, the ACO will submit a Full Participation Plan (see section 3.4.2 for timeline). The Full Participation Plan will expand on the information submitted with the Preliminary Participation Plan, and will include information such as:</w:t>
      </w:r>
    </w:p>
    <w:p>
      <w:pPr>
        <w:pStyle w:val="ListParagraph"/>
        <w:numPr>
          <w:ilvl w:val="4"/>
          <w:numId w:val="65"/>
        </w:numPr>
        <w:tabs>
          <w:tab w:pos="1940" w:val="left" w:leader="none"/>
        </w:tabs>
        <w:spacing w:line="240" w:lineRule="auto" w:before="160" w:after="0"/>
        <w:ind w:left="1940" w:right="1096" w:hanging="360"/>
        <w:jc w:val="both"/>
        <w:rPr>
          <w:sz w:val="22"/>
        </w:rPr>
      </w:pPr>
      <w:r>
        <w:rPr>
          <w:sz w:val="22"/>
        </w:rPr>
        <w:t>The</w:t>
      </w:r>
      <w:r>
        <w:rPr>
          <w:spacing w:val="-7"/>
          <w:sz w:val="22"/>
        </w:rPr>
        <w:t> </w:t>
      </w:r>
      <w:r>
        <w:rPr>
          <w:sz w:val="22"/>
        </w:rPr>
        <w:t>ACO’s</w:t>
      </w:r>
      <w:r>
        <w:rPr>
          <w:spacing w:val="-7"/>
          <w:sz w:val="22"/>
        </w:rPr>
        <w:t> </w:t>
      </w:r>
      <w:r>
        <w:rPr>
          <w:sz w:val="22"/>
        </w:rPr>
        <w:t>five-year</w:t>
      </w:r>
      <w:r>
        <w:rPr>
          <w:spacing w:val="-6"/>
          <w:sz w:val="22"/>
        </w:rPr>
        <w:t> </w:t>
      </w:r>
      <w:r>
        <w:rPr>
          <w:sz w:val="22"/>
        </w:rPr>
        <w:t>business</w:t>
      </w:r>
      <w:r>
        <w:rPr>
          <w:spacing w:val="-7"/>
          <w:sz w:val="22"/>
        </w:rPr>
        <w:t> </w:t>
      </w:r>
      <w:r>
        <w:rPr>
          <w:sz w:val="22"/>
        </w:rPr>
        <w:t>plan,</w:t>
      </w:r>
      <w:r>
        <w:rPr>
          <w:spacing w:val="-9"/>
          <w:sz w:val="22"/>
        </w:rPr>
        <w:t> </w:t>
      </w:r>
      <w:r>
        <w:rPr>
          <w:sz w:val="22"/>
        </w:rPr>
        <w:t>including</w:t>
      </w:r>
      <w:r>
        <w:rPr>
          <w:spacing w:val="-10"/>
          <w:sz w:val="22"/>
        </w:rPr>
        <w:t> </w:t>
      </w:r>
      <w:r>
        <w:rPr>
          <w:sz w:val="22"/>
        </w:rPr>
        <w:t>the</w:t>
      </w:r>
      <w:r>
        <w:rPr>
          <w:spacing w:val="-7"/>
          <w:sz w:val="22"/>
        </w:rPr>
        <w:t> </w:t>
      </w:r>
      <w:r>
        <w:rPr>
          <w:sz w:val="22"/>
        </w:rPr>
        <w:t>ACO’s</w:t>
      </w:r>
      <w:r>
        <w:rPr>
          <w:spacing w:val="-7"/>
          <w:sz w:val="22"/>
        </w:rPr>
        <w:t> </w:t>
      </w:r>
      <w:r>
        <w:rPr>
          <w:sz w:val="22"/>
        </w:rPr>
        <w:t>goals</w:t>
      </w:r>
      <w:r>
        <w:rPr>
          <w:spacing w:val="-7"/>
          <w:sz w:val="22"/>
        </w:rPr>
        <w:t> </w:t>
      </w:r>
      <w:r>
        <w:rPr>
          <w:sz w:val="22"/>
        </w:rPr>
        <w:t>and</w:t>
      </w:r>
      <w:r>
        <w:rPr>
          <w:spacing w:val="-7"/>
          <w:sz w:val="22"/>
        </w:rPr>
        <w:t> </w:t>
      </w:r>
      <w:r>
        <w:rPr>
          <w:sz w:val="22"/>
        </w:rPr>
        <w:t>identified</w:t>
      </w:r>
      <w:r>
        <w:rPr>
          <w:spacing w:val="-10"/>
          <w:sz w:val="22"/>
        </w:rPr>
        <w:t> </w:t>
      </w:r>
      <w:r>
        <w:rPr>
          <w:sz w:val="22"/>
        </w:rPr>
        <w:t>challenges</w:t>
      </w:r>
      <w:r>
        <w:rPr>
          <w:spacing w:val="-7"/>
          <w:sz w:val="22"/>
        </w:rPr>
        <w:t> </w:t>
      </w:r>
      <w:r>
        <w:rPr>
          <w:sz w:val="22"/>
        </w:rPr>
        <w:t>under</w:t>
      </w:r>
      <w:r>
        <w:rPr>
          <w:spacing w:val="-6"/>
          <w:sz w:val="22"/>
        </w:rPr>
        <w:t> </w:t>
      </w:r>
      <w:r>
        <w:rPr>
          <w:sz w:val="22"/>
        </w:rPr>
        <w:t>the ACO contract with MassHealth</w:t>
      </w:r>
    </w:p>
    <w:p>
      <w:pPr>
        <w:pStyle w:val="ListParagraph"/>
        <w:numPr>
          <w:ilvl w:val="4"/>
          <w:numId w:val="65"/>
        </w:numPr>
        <w:tabs>
          <w:tab w:pos="1938" w:val="left" w:leader="none"/>
          <w:tab w:pos="1940" w:val="left" w:leader="none"/>
        </w:tabs>
        <w:spacing w:line="240" w:lineRule="auto" w:before="200" w:after="0"/>
        <w:ind w:left="1940" w:right="1094" w:hanging="361"/>
        <w:jc w:val="both"/>
        <w:rPr>
          <w:sz w:val="22"/>
        </w:rPr>
      </w:pPr>
      <w:r>
        <w:rPr>
          <w:sz w:val="22"/>
        </w:rPr>
        <w:t>The providers and organizations with which the ACO is partnering or plans to partner, the governance structure and a description of how</w:t>
      </w:r>
      <w:r>
        <w:rPr>
          <w:spacing w:val="-1"/>
          <w:sz w:val="22"/>
        </w:rPr>
        <w:t> </w:t>
      </w:r>
      <w:r>
        <w:rPr>
          <w:sz w:val="22"/>
        </w:rPr>
        <w:t>these partnerships will support the ACO’s planned activities and proposed investments</w:t>
      </w:r>
    </w:p>
    <w:p>
      <w:pPr>
        <w:pStyle w:val="ListParagraph"/>
        <w:numPr>
          <w:ilvl w:val="4"/>
          <w:numId w:val="65"/>
        </w:numPr>
        <w:tabs>
          <w:tab w:pos="1940" w:val="left" w:leader="none"/>
        </w:tabs>
        <w:spacing w:line="240" w:lineRule="auto" w:before="199" w:after="0"/>
        <w:ind w:left="1940" w:right="0" w:hanging="360"/>
        <w:jc w:val="left"/>
        <w:rPr>
          <w:sz w:val="22"/>
        </w:rPr>
      </w:pPr>
      <w:r>
        <w:rPr>
          <w:sz w:val="22"/>
        </w:rPr>
        <w:t>A</w:t>
      </w:r>
      <w:r>
        <w:rPr>
          <w:spacing w:val="-3"/>
          <w:sz w:val="22"/>
        </w:rPr>
        <w:t> </w:t>
      </w:r>
      <w:r>
        <w:rPr>
          <w:sz w:val="22"/>
        </w:rPr>
        <w:t>population</w:t>
      </w:r>
      <w:r>
        <w:rPr>
          <w:spacing w:val="-1"/>
          <w:sz w:val="22"/>
        </w:rPr>
        <w:t> </w:t>
      </w:r>
      <w:r>
        <w:rPr>
          <w:sz w:val="22"/>
        </w:rPr>
        <w:t>and</w:t>
      </w:r>
      <w:r>
        <w:rPr>
          <w:spacing w:val="-5"/>
          <w:sz w:val="22"/>
        </w:rPr>
        <w:t> </w:t>
      </w:r>
      <w:r>
        <w:rPr>
          <w:sz w:val="22"/>
        </w:rPr>
        <w:t>community</w:t>
      </w:r>
      <w:r>
        <w:rPr>
          <w:spacing w:val="-4"/>
          <w:sz w:val="22"/>
        </w:rPr>
        <w:t> </w:t>
      </w:r>
      <w:r>
        <w:rPr>
          <w:sz w:val="22"/>
        </w:rPr>
        <w:t>needs</w:t>
      </w:r>
      <w:r>
        <w:rPr>
          <w:spacing w:val="-1"/>
          <w:sz w:val="22"/>
        </w:rPr>
        <w:t> </w:t>
      </w:r>
      <w:r>
        <w:rPr>
          <w:spacing w:val="-2"/>
          <w:sz w:val="22"/>
        </w:rPr>
        <w:t>assessment</w:t>
      </w:r>
    </w:p>
    <w:p>
      <w:pPr>
        <w:pStyle w:val="ListParagraph"/>
        <w:numPr>
          <w:ilvl w:val="4"/>
          <w:numId w:val="65"/>
        </w:numPr>
        <w:tabs>
          <w:tab w:pos="1938" w:val="left" w:leader="none"/>
          <w:tab w:pos="1940" w:val="left" w:leader="none"/>
        </w:tabs>
        <w:spacing w:line="240" w:lineRule="auto" w:before="198" w:after="0"/>
        <w:ind w:left="1940" w:right="1096" w:hanging="361"/>
        <w:jc w:val="both"/>
        <w:rPr>
          <w:sz w:val="22"/>
        </w:rPr>
      </w:pPr>
      <w:r>
        <w:rPr>
          <w:sz w:val="22"/>
        </w:rPr>
        <w:t>The ACO’s planned investments and spending plan, including specific investments or programs the ACO anticipates supporting with DSRIP funds. Such investments and programs may include but are not limited to:</w:t>
      </w:r>
    </w:p>
    <w:p>
      <w:pPr>
        <w:pStyle w:val="ListParagraph"/>
        <w:numPr>
          <w:ilvl w:val="5"/>
          <w:numId w:val="65"/>
        </w:numPr>
        <w:tabs>
          <w:tab w:pos="2658" w:val="left" w:leader="none"/>
          <w:tab w:pos="2660" w:val="left" w:leader="none"/>
        </w:tabs>
        <w:spacing w:line="232" w:lineRule="auto" w:before="204" w:after="0"/>
        <w:ind w:left="2660" w:right="1095" w:hanging="361"/>
        <w:jc w:val="both"/>
        <w:rPr>
          <w:sz w:val="22"/>
        </w:rPr>
      </w:pPr>
      <w:r>
        <w:rPr>
          <w:sz w:val="22"/>
        </w:rPr>
        <w:t>Care</w:t>
      </w:r>
      <w:r>
        <w:rPr>
          <w:spacing w:val="-9"/>
          <w:sz w:val="22"/>
        </w:rPr>
        <w:t> </w:t>
      </w:r>
      <w:r>
        <w:rPr>
          <w:sz w:val="22"/>
        </w:rPr>
        <w:t>coordination</w:t>
      </w:r>
      <w:r>
        <w:rPr>
          <w:spacing w:val="-10"/>
          <w:sz w:val="22"/>
        </w:rPr>
        <w:t> </w:t>
      </w:r>
      <w:r>
        <w:rPr>
          <w:sz w:val="22"/>
        </w:rPr>
        <w:t>or</w:t>
      </w:r>
      <w:r>
        <w:rPr>
          <w:spacing w:val="-9"/>
          <w:sz w:val="22"/>
        </w:rPr>
        <w:t> </w:t>
      </w:r>
      <w:r>
        <w:rPr>
          <w:sz w:val="22"/>
        </w:rPr>
        <w:t>care</w:t>
      </w:r>
      <w:r>
        <w:rPr>
          <w:spacing w:val="-9"/>
          <w:sz w:val="22"/>
        </w:rPr>
        <w:t> </w:t>
      </w:r>
      <w:r>
        <w:rPr>
          <w:sz w:val="22"/>
        </w:rPr>
        <w:t>management</w:t>
      </w:r>
      <w:r>
        <w:rPr>
          <w:spacing w:val="-9"/>
          <w:sz w:val="22"/>
        </w:rPr>
        <w:t> </w:t>
      </w:r>
      <w:r>
        <w:rPr>
          <w:sz w:val="22"/>
        </w:rPr>
        <w:t>programs,</w:t>
      </w:r>
      <w:r>
        <w:rPr>
          <w:spacing w:val="-10"/>
          <w:sz w:val="22"/>
        </w:rPr>
        <w:t> </w:t>
      </w:r>
      <w:r>
        <w:rPr>
          <w:sz w:val="22"/>
        </w:rPr>
        <w:t>including</w:t>
      </w:r>
      <w:r>
        <w:rPr>
          <w:spacing w:val="-12"/>
          <w:sz w:val="22"/>
        </w:rPr>
        <w:t> </w:t>
      </w:r>
      <w:r>
        <w:rPr>
          <w:sz w:val="22"/>
        </w:rPr>
        <w:t>any</w:t>
      </w:r>
      <w:r>
        <w:rPr>
          <w:spacing w:val="-12"/>
          <w:sz w:val="22"/>
        </w:rPr>
        <w:t> </w:t>
      </w:r>
      <w:r>
        <w:rPr>
          <w:sz w:val="22"/>
        </w:rPr>
        <w:t>programs</w:t>
      </w:r>
      <w:r>
        <w:rPr>
          <w:spacing w:val="-9"/>
          <w:sz w:val="22"/>
        </w:rPr>
        <w:t> </w:t>
      </w:r>
      <w:r>
        <w:rPr>
          <w:sz w:val="22"/>
        </w:rPr>
        <w:t>to</w:t>
      </w:r>
      <w:r>
        <w:rPr>
          <w:spacing w:val="-7"/>
          <w:sz w:val="22"/>
        </w:rPr>
        <w:t> </w:t>
      </w:r>
      <w:r>
        <w:rPr>
          <w:sz w:val="22"/>
        </w:rPr>
        <w:t>manage</w:t>
      </w:r>
      <w:r>
        <w:rPr>
          <w:spacing w:val="-9"/>
          <w:sz w:val="22"/>
        </w:rPr>
        <w:t> </w:t>
      </w:r>
      <w:r>
        <w:rPr>
          <w:sz w:val="22"/>
        </w:rPr>
        <w:t>high- risk</w:t>
      </w:r>
      <w:r>
        <w:rPr>
          <w:spacing w:val="-11"/>
          <w:sz w:val="22"/>
        </w:rPr>
        <w:t> </w:t>
      </w:r>
      <w:r>
        <w:rPr>
          <w:sz w:val="22"/>
        </w:rPr>
        <w:t>populations</w:t>
      </w:r>
      <w:r>
        <w:rPr>
          <w:spacing w:val="-8"/>
          <w:sz w:val="22"/>
        </w:rPr>
        <w:t> </w:t>
      </w:r>
      <w:r>
        <w:rPr>
          <w:sz w:val="22"/>
        </w:rPr>
        <w:t>or</w:t>
      </w:r>
      <w:r>
        <w:rPr>
          <w:spacing w:val="-7"/>
          <w:sz w:val="22"/>
        </w:rPr>
        <w:t> </w:t>
      </w:r>
      <w:r>
        <w:rPr>
          <w:sz w:val="22"/>
        </w:rPr>
        <w:t>other</w:t>
      </w:r>
      <w:r>
        <w:rPr>
          <w:spacing w:val="-10"/>
          <w:sz w:val="22"/>
        </w:rPr>
        <w:t> </w:t>
      </w:r>
      <w:r>
        <w:rPr>
          <w:sz w:val="22"/>
        </w:rPr>
        <w:t>population</w:t>
      </w:r>
      <w:r>
        <w:rPr>
          <w:spacing w:val="-8"/>
          <w:sz w:val="22"/>
        </w:rPr>
        <w:t> </w:t>
      </w:r>
      <w:r>
        <w:rPr>
          <w:sz w:val="22"/>
        </w:rPr>
        <w:t>health</w:t>
      </w:r>
      <w:r>
        <w:rPr>
          <w:spacing w:val="-8"/>
          <w:sz w:val="22"/>
        </w:rPr>
        <w:t> </w:t>
      </w:r>
      <w:r>
        <w:rPr>
          <w:sz w:val="22"/>
        </w:rPr>
        <w:t>initiatives</w:t>
      </w:r>
      <w:r>
        <w:rPr>
          <w:spacing w:val="-10"/>
          <w:sz w:val="22"/>
        </w:rPr>
        <w:t> </w:t>
      </w:r>
      <w:r>
        <w:rPr>
          <w:sz w:val="22"/>
        </w:rPr>
        <w:t>and</w:t>
      </w:r>
      <w:r>
        <w:rPr>
          <w:spacing w:val="-8"/>
          <w:sz w:val="22"/>
        </w:rPr>
        <w:t> </w:t>
      </w:r>
      <w:r>
        <w:rPr>
          <w:sz w:val="22"/>
        </w:rPr>
        <w:t>including</w:t>
      </w:r>
      <w:r>
        <w:rPr>
          <w:spacing w:val="-11"/>
          <w:sz w:val="22"/>
        </w:rPr>
        <w:t> </w:t>
      </w:r>
      <w:r>
        <w:rPr>
          <w:sz w:val="22"/>
        </w:rPr>
        <w:t>the</w:t>
      </w:r>
      <w:r>
        <w:rPr>
          <w:spacing w:val="-8"/>
          <w:sz w:val="22"/>
        </w:rPr>
        <w:t> </w:t>
      </w:r>
      <w:r>
        <w:rPr>
          <w:sz w:val="22"/>
        </w:rPr>
        <w:t>ACO’s</w:t>
      </w:r>
      <w:r>
        <w:rPr>
          <w:spacing w:val="-8"/>
          <w:sz w:val="22"/>
        </w:rPr>
        <w:t> </w:t>
      </w:r>
      <w:r>
        <w:rPr>
          <w:sz w:val="22"/>
        </w:rPr>
        <w:t>transitional care management program</w:t>
      </w:r>
    </w:p>
    <w:p>
      <w:pPr>
        <w:pStyle w:val="ListParagraph"/>
        <w:numPr>
          <w:ilvl w:val="5"/>
          <w:numId w:val="65"/>
        </w:numPr>
        <w:tabs>
          <w:tab w:pos="2658" w:val="left" w:leader="none"/>
          <w:tab w:pos="2660" w:val="left" w:leader="none"/>
        </w:tabs>
        <w:spacing w:line="235" w:lineRule="auto" w:before="203" w:after="0"/>
        <w:ind w:left="2660" w:right="1093" w:hanging="361"/>
        <w:jc w:val="both"/>
        <w:rPr>
          <w:sz w:val="22"/>
        </w:rPr>
      </w:pPr>
      <w:r>
        <w:rPr>
          <w:sz w:val="22"/>
        </w:rPr>
        <w:t>Efforts to address members’ health-related social needs, including expanding community linkages between the ACO and providers, Community Partners or other social service organizations,</w:t>
      </w:r>
      <w:r>
        <w:rPr>
          <w:spacing w:val="-12"/>
          <w:sz w:val="22"/>
        </w:rPr>
        <w:t> </w:t>
      </w:r>
      <w:r>
        <w:rPr>
          <w:sz w:val="22"/>
        </w:rPr>
        <w:t>and</w:t>
      </w:r>
      <w:r>
        <w:rPr>
          <w:spacing w:val="-12"/>
          <w:sz w:val="22"/>
        </w:rPr>
        <w:t> </w:t>
      </w:r>
      <w:r>
        <w:rPr>
          <w:sz w:val="22"/>
        </w:rPr>
        <w:t>including</w:t>
      </w:r>
      <w:r>
        <w:rPr>
          <w:spacing w:val="-12"/>
          <w:sz w:val="22"/>
        </w:rPr>
        <w:t> </w:t>
      </w:r>
      <w:r>
        <w:rPr>
          <w:sz w:val="22"/>
        </w:rPr>
        <w:t>any</w:t>
      </w:r>
      <w:r>
        <w:rPr>
          <w:spacing w:val="-12"/>
          <w:sz w:val="22"/>
        </w:rPr>
        <w:t> </w:t>
      </w:r>
      <w:r>
        <w:rPr>
          <w:sz w:val="22"/>
        </w:rPr>
        <w:t>spending</w:t>
      </w:r>
      <w:r>
        <w:rPr>
          <w:spacing w:val="-12"/>
          <w:sz w:val="22"/>
        </w:rPr>
        <w:t> </w:t>
      </w:r>
      <w:r>
        <w:rPr>
          <w:sz w:val="22"/>
        </w:rPr>
        <w:t>on</w:t>
      </w:r>
      <w:r>
        <w:rPr>
          <w:spacing w:val="-10"/>
          <w:sz w:val="22"/>
        </w:rPr>
        <w:t> </w:t>
      </w:r>
      <w:r>
        <w:rPr>
          <w:sz w:val="22"/>
        </w:rPr>
        <w:t>allowable</w:t>
      </w:r>
      <w:r>
        <w:rPr>
          <w:spacing w:val="-9"/>
          <w:sz w:val="22"/>
        </w:rPr>
        <w:t> </w:t>
      </w:r>
      <w:r>
        <w:rPr>
          <w:sz w:val="22"/>
        </w:rPr>
        <w:t>flexible</w:t>
      </w:r>
      <w:r>
        <w:rPr>
          <w:spacing w:val="-9"/>
          <w:sz w:val="22"/>
        </w:rPr>
        <w:t> </w:t>
      </w:r>
      <w:r>
        <w:rPr>
          <w:sz w:val="22"/>
        </w:rPr>
        <w:t>services</w:t>
      </w:r>
      <w:r>
        <w:rPr>
          <w:spacing w:val="-9"/>
          <w:sz w:val="22"/>
        </w:rPr>
        <w:t> </w:t>
      </w:r>
      <w:r>
        <w:rPr>
          <w:sz w:val="22"/>
        </w:rPr>
        <w:t>to</w:t>
      </w:r>
      <w:r>
        <w:rPr>
          <w:spacing w:val="-12"/>
          <w:sz w:val="22"/>
        </w:rPr>
        <w:t> </w:t>
      </w:r>
      <w:r>
        <w:rPr>
          <w:sz w:val="22"/>
        </w:rPr>
        <w:t>address</w:t>
      </w:r>
      <w:r>
        <w:rPr>
          <w:spacing w:val="-9"/>
          <w:sz w:val="22"/>
        </w:rPr>
        <w:t> </w:t>
      </w:r>
      <w:r>
        <w:rPr>
          <w:sz w:val="22"/>
        </w:rPr>
        <w:t>health- related social needs</w:t>
      </w:r>
    </w:p>
    <w:p>
      <w:pPr>
        <w:pStyle w:val="ListParagraph"/>
        <w:numPr>
          <w:ilvl w:val="5"/>
          <w:numId w:val="65"/>
        </w:numPr>
        <w:tabs>
          <w:tab w:pos="2658" w:val="left" w:leader="none"/>
          <w:tab w:pos="2660" w:val="left" w:leader="none"/>
        </w:tabs>
        <w:spacing w:line="225" w:lineRule="auto" w:before="209" w:after="0"/>
        <w:ind w:left="2660" w:right="1091" w:hanging="361"/>
        <w:jc w:val="both"/>
        <w:rPr>
          <w:sz w:val="22"/>
        </w:rPr>
      </w:pPr>
      <w:r>
        <w:rPr>
          <w:sz w:val="22"/>
        </w:rPr>
        <w:t>Ensuring appropriate workforce capacity and professional development opportunities to meet increased expectations for care coordination, management and integration</w:t>
      </w:r>
    </w:p>
    <w:p>
      <w:pPr>
        <w:pStyle w:val="ListParagraph"/>
        <w:numPr>
          <w:ilvl w:val="5"/>
          <w:numId w:val="65"/>
        </w:numPr>
        <w:tabs>
          <w:tab w:pos="2659" w:val="left" w:leader="none"/>
        </w:tabs>
        <w:spacing w:line="240" w:lineRule="auto" w:before="203" w:after="0"/>
        <w:ind w:left="2659" w:right="0" w:hanging="359"/>
        <w:jc w:val="left"/>
        <w:rPr>
          <w:sz w:val="22"/>
        </w:rPr>
      </w:pPr>
      <w:r>
        <w:rPr>
          <w:sz w:val="22"/>
        </w:rPr>
        <w:t>Investments</w:t>
      </w:r>
      <w:r>
        <w:rPr>
          <w:spacing w:val="-6"/>
          <w:sz w:val="22"/>
        </w:rPr>
        <w:t> </w:t>
      </w:r>
      <w:r>
        <w:rPr>
          <w:sz w:val="22"/>
        </w:rPr>
        <w:t>in</w:t>
      </w:r>
      <w:r>
        <w:rPr>
          <w:spacing w:val="-3"/>
          <w:sz w:val="22"/>
        </w:rPr>
        <w:t> </w:t>
      </w:r>
      <w:r>
        <w:rPr>
          <w:sz w:val="22"/>
        </w:rPr>
        <w:t>the</w:t>
      </w:r>
      <w:r>
        <w:rPr>
          <w:spacing w:val="-4"/>
          <w:sz w:val="22"/>
        </w:rPr>
        <w:t> </w:t>
      </w:r>
      <w:r>
        <w:rPr>
          <w:sz w:val="22"/>
        </w:rPr>
        <w:t>ACO’s</w:t>
      </w:r>
      <w:r>
        <w:rPr>
          <w:spacing w:val="-5"/>
          <w:sz w:val="22"/>
        </w:rPr>
        <w:t> </w:t>
      </w:r>
      <w:r>
        <w:rPr>
          <w:sz w:val="22"/>
        </w:rPr>
        <w:t>and</w:t>
      </w:r>
      <w:r>
        <w:rPr>
          <w:spacing w:val="-4"/>
          <w:sz w:val="22"/>
        </w:rPr>
        <w:t> </w:t>
      </w:r>
      <w:r>
        <w:rPr>
          <w:sz w:val="22"/>
        </w:rPr>
        <w:t>providers’</w:t>
      </w:r>
      <w:r>
        <w:rPr>
          <w:spacing w:val="-2"/>
          <w:sz w:val="22"/>
        </w:rPr>
        <w:t> </w:t>
      </w:r>
      <w:r>
        <w:rPr>
          <w:sz w:val="22"/>
        </w:rPr>
        <w:t>data</w:t>
      </w:r>
      <w:r>
        <w:rPr>
          <w:spacing w:val="-4"/>
          <w:sz w:val="22"/>
        </w:rPr>
        <w:t> </w:t>
      </w:r>
      <w:r>
        <w:rPr>
          <w:sz w:val="22"/>
        </w:rPr>
        <w:t>and</w:t>
      </w:r>
      <w:r>
        <w:rPr>
          <w:spacing w:val="-3"/>
          <w:sz w:val="22"/>
        </w:rPr>
        <w:t> </w:t>
      </w:r>
      <w:r>
        <w:rPr>
          <w:sz w:val="22"/>
        </w:rPr>
        <w:t>analytics</w:t>
      </w:r>
      <w:r>
        <w:rPr>
          <w:spacing w:val="-3"/>
          <w:sz w:val="22"/>
        </w:rPr>
        <w:t> </w:t>
      </w:r>
      <w:r>
        <w:rPr>
          <w:spacing w:val="-2"/>
          <w:sz w:val="22"/>
        </w:rPr>
        <w:t>capabilities</w:t>
      </w:r>
    </w:p>
    <w:p>
      <w:pPr>
        <w:pStyle w:val="ListParagraph"/>
        <w:numPr>
          <w:ilvl w:val="5"/>
          <w:numId w:val="65"/>
        </w:numPr>
        <w:tabs>
          <w:tab w:pos="2659" w:val="left" w:leader="none"/>
          <w:tab w:pos="2661" w:val="left" w:leader="none"/>
        </w:tabs>
        <w:spacing w:line="237" w:lineRule="auto" w:before="181" w:after="0"/>
        <w:ind w:left="2661" w:right="1093" w:hanging="361"/>
        <w:jc w:val="both"/>
        <w:rPr>
          <w:sz w:val="22"/>
        </w:rPr>
      </w:pPr>
      <w:r>
        <w:rPr>
          <w:sz w:val="22"/>
        </w:rPr>
        <w:t>Programs to shift service volume or capital away from avoidable inpatient care toward outpatient, community-based primary and preventive care or from institutional care towards community-based LTSS, including capital investments to downsize or repurpose inpatient or institutional capacity, investments in expanding outpatient and community capacity and costs associated with piloting new care delivery models, such as those involving alternate settings of care and the use of telehealth or home-based services</w:t>
      </w:r>
    </w:p>
    <w:p>
      <w:pPr>
        <w:pStyle w:val="ListParagraph"/>
        <w:numPr>
          <w:ilvl w:val="5"/>
          <w:numId w:val="65"/>
        </w:numPr>
        <w:tabs>
          <w:tab w:pos="2660" w:val="left" w:leader="none"/>
        </w:tabs>
        <w:spacing w:line="240" w:lineRule="auto" w:before="193" w:after="0"/>
        <w:ind w:left="2660" w:right="0" w:hanging="359"/>
        <w:jc w:val="left"/>
        <w:rPr>
          <w:sz w:val="22"/>
        </w:rPr>
      </w:pPr>
      <w:r>
        <w:rPr>
          <w:sz w:val="22"/>
        </w:rPr>
        <w:t>Investments</w:t>
      </w:r>
      <w:r>
        <w:rPr>
          <w:spacing w:val="42"/>
          <w:sz w:val="22"/>
        </w:rPr>
        <w:t> </w:t>
      </w:r>
      <w:r>
        <w:rPr>
          <w:sz w:val="22"/>
        </w:rPr>
        <w:t>in</w:t>
      </w:r>
      <w:r>
        <w:rPr>
          <w:spacing w:val="41"/>
          <w:sz w:val="22"/>
        </w:rPr>
        <w:t> </w:t>
      </w:r>
      <w:r>
        <w:rPr>
          <w:sz w:val="22"/>
        </w:rPr>
        <w:t>improved</w:t>
      </w:r>
      <w:r>
        <w:rPr>
          <w:spacing w:val="42"/>
          <w:sz w:val="22"/>
        </w:rPr>
        <w:t> </w:t>
      </w:r>
      <w:r>
        <w:rPr>
          <w:sz w:val="22"/>
        </w:rPr>
        <w:t>linguistic</w:t>
      </w:r>
      <w:r>
        <w:rPr>
          <w:spacing w:val="42"/>
          <w:sz w:val="22"/>
        </w:rPr>
        <w:t> </w:t>
      </w:r>
      <w:r>
        <w:rPr>
          <w:sz w:val="22"/>
        </w:rPr>
        <w:t>and</w:t>
      </w:r>
      <w:r>
        <w:rPr>
          <w:spacing w:val="41"/>
          <w:sz w:val="22"/>
        </w:rPr>
        <w:t> </w:t>
      </w:r>
      <w:r>
        <w:rPr>
          <w:sz w:val="22"/>
        </w:rPr>
        <w:t>cultural</w:t>
      </w:r>
      <w:r>
        <w:rPr>
          <w:spacing w:val="43"/>
          <w:sz w:val="22"/>
        </w:rPr>
        <w:t> </w:t>
      </w:r>
      <w:r>
        <w:rPr>
          <w:sz w:val="22"/>
        </w:rPr>
        <w:t>competency</w:t>
      </w:r>
      <w:r>
        <w:rPr>
          <w:spacing w:val="39"/>
          <w:sz w:val="22"/>
        </w:rPr>
        <w:t> </w:t>
      </w:r>
      <w:r>
        <w:rPr>
          <w:sz w:val="22"/>
        </w:rPr>
        <w:t>of</w:t>
      </w:r>
      <w:r>
        <w:rPr>
          <w:spacing w:val="43"/>
          <w:sz w:val="22"/>
        </w:rPr>
        <w:t> </w:t>
      </w:r>
      <w:r>
        <w:rPr>
          <w:sz w:val="22"/>
        </w:rPr>
        <w:t>care,</w:t>
      </w:r>
      <w:r>
        <w:rPr>
          <w:spacing w:val="41"/>
          <w:sz w:val="22"/>
        </w:rPr>
        <w:t> </w:t>
      </w:r>
      <w:r>
        <w:rPr>
          <w:sz w:val="22"/>
        </w:rPr>
        <w:t>including</w:t>
      </w:r>
      <w:r>
        <w:rPr>
          <w:spacing w:val="40"/>
          <w:sz w:val="22"/>
        </w:rPr>
        <w:t> </w:t>
      </w:r>
      <w:r>
        <w:rPr>
          <w:spacing w:val="-2"/>
          <w:sz w:val="22"/>
        </w:rPr>
        <w:t>hiring</w:t>
      </w:r>
    </w:p>
    <w:p>
      <w:pPr>
        <w:spacing w:after="0" w:line="240" w:lineRule="auto"/>
        <w:jc w:val="left"/>
        <w:rPr>
          <w:sz w:val="22"/>
        </w:rPr>
        <w:sectPr>
          <w:pgSz w:w="12240" w:h="15840"/>
          <w:pgMar w:header="0" w:footer="967" w:top="1360" w:bottom="1160" w:left="220" w:right="340"/>
        </w:sectPr>
      </w:pPr>
    </w:p>
    <w:p>
      <w:pPr>
        <w:spacing w:before="81"/>
        <w:ind w:left="2659" w:right="0" w:firstLine="0"/>
        <w:jc w:val="left"/>
        <w:rPr>
          <w:sz w:val="22"/>
        </w:rPr>
      </w:pPr>
      <w:r>
        <w:rPr>
          <w:sz w:val="22"/>
        </w:rPr>
        <w:t>translators</w:t>
      </w:r>
      <w:r>
        <w:rPr>
          <w:spacing w:val="-7"/>
          <w:sz w:val="22"/>
        </w:rPr>
        <w:t> </w:t>
      </w:r>
      <w:r>
        <w:rPr>
          <w:sz w:val="22"/>
        </w:rPr>
        <w:t>and</w:t>
      </w:r>
      <w:r>
        <w:rPr>
          <w:spacing w:val="-4"/>
          <w:sz w:val="22"/>
        </w:rPr>
        <w:t> </w:t>
      </w:r>
      <w:r>
        <w:rPr>
          <w:sz w:val="22"/>
        </w:rPr>
        <w:t>providers</w:t>
      </w:r>
      <w:r>
        <w:rPr>
          <w:spacing w:val="-4"/>
          <w:sz w:val="22"/>
        </w:rPr>
        <w:t> </w:t>
      </w:r>
      <w:r>
        <w:rPr>
          <w:sz w:val="22"/>
        </w:rPr>
        <w:t>fluent</w:t>
      </w:r>
      <w:r>
        <w:rPr>
          <w:spacing w:val="-7"/>
          <w:sz w:val="22"/>
        </w:rPr>
        <w:t> </w:t>
      </w:r>
      <w:r>
        <w:rPr>
          <w:sz w:val="22"/>
        </w:rPr>
        <w:t>in</w:t>
      </w:r>
      <w:r>
        <w:rPr>
          <w:spacing w:val="-4"/>
          <w:sz w:val="22"/>
        </w:rPr>
        <w:t> </w:t>
      </w:r>
      <w:r>
        <w:rPr>
          <w:sz w:val="22"/>
        </w:rPr>
        <w:t>members’</w:t>
      </w:r>
      <w:r>
        <w:rPr>
          <w:spacing w:val="-3"/>
          <w:sz w:val="22"/>
        </w:rPr>
        <w:t> </w:t>
      </w:r>
      <w:r>
        <w:rPr>
          <w:sz w:val="22"/>
        </w:rPr>
        <w:t>preferred</w:t>
      </w:r>
      <w:r>
        <w:rPr>
          <w:spacing w:val="-7"/>
          <w:sz w:val="22"/>
        </w:rPr>
        <w:t> </w:t>
      </w:r>
      <w:r>
        <w:rPr>
          <w:spacing w:val="-2"/>
          <w:sz w:val="22"/>
        </w:rPr>
        <w:t>languages</w:t>
      </w:r>
    </w:p>
    <w:p>
      <w:pPr>
        <w:pStyle w:val="ListParagraph"/>
        <w:numPr>
          <w:ilvl w:val="5"/>
          <w:numId w:val="65"/>
        </w:numPr>
        <w:tabs>
          <w:tab w:pos="2658" w:val="left" w:leader="none"/>
          <w:tab w:pos="2660" w:val="left" w:leader="none"/>
        </w:tabs>
        <w:spacing w:line="225" w:lineRule="auto" w:before="209" w:after="0"/>
        <w:ind w:left="2660" w:right="1095" w:hanging="361"/>
        <w:jc w:val="both"/>
        <w:rPr>
          <w:sz w:val="22"/>
        </w:rPr>
      </w:pPr>
      <w:r>
        <w:rPr>
          <w:sz w:val="22"/>
        </w:rPr>
        <w:t>Other investments or programs identified and proposed by the ACO that align with other requirements that MassHealth will have of the ACO</w:t>
      </w:r>
    </w:p>
    <w:p>
      <w:pPr>
        <w:pStyle w:val="ListParagraph"/>
        <w:numPr>
          <w:ilvl w:val="4"/>
          <w:numId w:val="65"/>
        </w:numPr>
        <w:tabs>
          <w:tab w:pos="1940" w:val="left" w:leader="none"/>
        </w:tabs>
        <w:spacing w:line="240" w:lineRule="auto" w:before="201" w:after="0"/>
        <w:ind w:left="1940" w:right="1094" w:hanging="361"/>
        <w:jc w:val="left"/>
        <w:rPr>
          <w:sz w:val="22"/>
        </w:rPr>
      </w:pPr>
      <w:r>
        <w:rPr>
          <w:sz w:val="22"/>
        </w:rPr>
        <w:t>Estimates</w:t>
      </w:r>
      <w:r>
        <w:rPr>
          <w:spacing w:val="24"/>
          <w:sz w:val="22"/>
        </w:rPr>
        <w:t> </w:t>
      </w:r>
      <w:r>
        <w:rPr>
          <w:sz w:val="22"/>
        </w:rPr>
        <w:t>of</w:t>
      </w:r>
      <w:r>
        <w:rPr>
          <w:spacing w:val="22"/>
          <w:sz w:val="22"/>
        </w:rPr>
        <w:t> </w:t>
      </w:r>
      <w:r>
        <w:rPr>
          <w:sz w:val="22"/>
        </w:rPr>
        <w:t>the</w:t>
      </w:r>
      <w:r>
        <w:rPr>
          <w:spacing w:val="21"/>
          <w:sz w:val="22"/>
        </w:rPr>
        <w:t> </w:t>
      </w:r>
      <w:r>
        <w:rPr>
          <w:sz w:val="22"/>
        </w:rPr>
        <w:t>amount</w:t>
      </w:r>
      <w:r>
        <w:rPr>
          <w:spacing w:val="24"/>
          <w:sz w:val="22"/>
        </w:rPr>
        <w:t> </w:t>
      </w:r>
      <w:r>
        <w:rPr>
          <w:sz w:val="22"/>
        </w:rPr>
        <w:t>and</w:t>
      </w:r>
      <w:r>
        <w:rPr>
          <w:spacing w:val="23"/>
          <w:sz w:val="22"/>
        </w:rPr>
        <w:t> </w:t>
      </w:r>
      <w:r>
        <w:rPr>
          <w:sz w:val="22"/>
        </w:rPr>
        <w:t>structure</w:t>
      </w:r>
      <w:r>
        <w:rPr>
          <w:spacing w:val="21"/>
          <w:sz w:val="22"/>
        </w:rPr>
        <w:t> </w:t>
      </w:r>
      <w:r>
        <w:rPr>
          <w:sz w:val="22"/>
        </w:rPr>
        <w:t>(e.g.,</w:t>
      </w:r>
      <w:r>
        <w:rPr>
          <w:spacing w:val="23"/>
          <w:sz w:val="22"/>
        </w:rPr>
        <w:t> </w:t>
      </w:r>
      <w:r>
        <w:rPr>
          <w:sz w:val="22"/>
        </w:rPr>
        <w:t>one-time</w:t>
      </w:r>
      <w:r>
        <w:rPr>
          <w:spacing w:val="24"/>
          <w:sz w:val="22"/>
        </w:rPr>
        <w:t> </w:t>
      </w:r>
      <w:r>
        <w:rPr>
          <w:sz w:val="22"/>
        </w:rPr>
        <w:t>vs.</w:t>
      </w:r>
      <w:r>
        <w:rPr>
          <w:spacing w:val="23"/>
          <w:sz w:val="22"/>
        </w:rPr>
        <w:t> </w:t>
      </w:r>
      <w:r>
        <w:rPr>
          <w:sz w:val="22"/>
        </w:rPr>
        <w:t>annual)</w:t>
      </w:r>
      <w:r>
        <w:rPr>
          <w:spacing w:val="22"/>
          <w:sz w:val="22"/>
        </w:rPr>
        <w:t> </w:t>
      </w:r>
      <w:r>
        <w:rPr>
          <w:sz w:val="22"/>
        </w:rPr>
        <w:t>of</w:t>
      </w:r>
      <w:r>
        <w:rPr>
          <w:spacing w:val="22"/>
          <w:sz w:val="22"/>
        </w:rPr>
        <w:t> </w:t>
      </w:r>
      <w:r>
        <w:rPr>
          <w:sz w:val="22"/>
        </w:rPr>
        <w:t>costs</w:t>
      </w:r>
      <w:r>
        <w:rPr>
          <w:spacing w:val="21"/>
          <w:sz w:val="22"/>
        </w:rPr>
        <w:t> </w:t>
      </w:r>
      <w:r>
        <w:rPr>
          <w:sz w:val="22"/>
        </w:rPr>
        <w:t>associated</w:t>
      </w:r>
      <w:r>
        <w:rPr>
          <w:spacing w:val="21"/>
          <w:sz w:val="22"/>
        </w:rPr>
        <w:t> </w:t>
      </w:r>
      <w:r>
        <w:rPr>
          <w:sz w:val="22"/>
        </w:rPr>
        <w:t>with</w:t>
      </w:r>
      <w:r>
        <w:rPr>
          <w:spacing w:val="23"/>
          <w:sz w:val="22"/>
        </w:rPr>
        <w:t> </w:t>
      </w:r>
      <w:r>
        <w:rPr>
          <w:sz w:val="22"/>
        </w:rPr>
        <w:t>each investment or program identified in the ACO’s Participation Plan</w:t>
      </w:r>
    </w:p>
    <w:p>
      <w:pPr>
        <w:pStyle w:val="ListParagraph"/>
        <w:numPr>
          <w:ilvl w:val="4"/>
          <w:numId w:val="65"/>
        </w:numPr>
        <w:tabs>
          <w:tab w:pos="1940" w:val="left" w:leader="none"/>
        </w:tabs>
        <w:spacing w:line="240" w:lineRule="auto" w:before="200" w:after="0"/>
        <w:ind w:left="1940" w:right="0" w:hanging="360"/>
        <w:jc w:val="left"/>
        <w:rPr>
          <w:sz w:val="22"/>
        </w:rPr>
      </w:pPr>
      <w:r>
        <w:rPr>
          <w:sz w:val="22"/>
        </w:rPr>
        <w:t>Descriptions</w:t>
      </w:r>
      <w:r>
        <w:rPr>
          <w:spacing w:val="-5"/>
          <w:sz w:val="22"/>
        </w:rPr>
        <w:t> </w:t>
      </w:r>
      <w:r>
        <w:rPr>
          <w:sz w:val="22"/>
        </w:rPr>
        <w:t>of</w:t>
      </w:r>
      <w:r>
        <w:rPr>
          <w:spacing w:val="-5"/>
          <w:sz w:val="22"/>
        </w:rPr>
        <w:t> </w:t>
      </w:r>
      <w:r>
        <w:rPr>
          <w:sz w:val="22"/>
        </w:rPr>
        <w:t>how</w:t>
      </w:r>
      <w:r>
        <w:rPr>
          <w:spacing w:val="-4"/>
          <w:sz w:val="22"/>
        </w:rPr>
        <w:t> </w:t>
      </w:r>
      <w:r>
        <w:rPr>
          <w:sz w:val="22"/>
        </w:rPr>
        <w:t>each</w:t>
      </w:r>
      <w:r>
        <w:rPr>
          <w:spacing w:val="-3"/>
          <w:sz w:val="22"/>
        </w:rPr>
        <w:t> </w:t>
      </w:r>
      <w:r>
        <w:rPr>
          <w:sz w:val="22"/>
        </w:rPr>
        <w:t>investment</w:t>
      </w:r>
      <w:r>
        <w:rPr>
          <w:spacing w:val="-2"/>
          <w:sz w:val="22"/>
        </w:rPr>
        <w:t> </w:t>
      </w:r>
      <w:r>
        <w:rPr>
          <w:sz w:val="22"/>
        </w:rPr>
        <w:t>or</w:t>
      </w:r>
      <w:r>
        <w:rPr>
          <w:spacing w:val="-2"/>
          <w:sz w:val="22"/>
        </w:rPr>
        <w:t> </w:t>
      </w:r>
      <w:r>
        <w:rPr>
          <w:sz w:val="22"/>
        </w:rPr>
        <w:t>program</w:t>
      </w:r>
      <w:r>
        <w:rPr>
          <w:spacing w:val="-6"/>
          <w:sz w:val="22"/>
        </w:rPr>
        <w:t> </w:t>
      </w:r>
      <w:r>
        <w:rPr>
          <w:sz w:val="22"/>
        </w:rPr>
        <w:t>will</w:t>
      </w:r>
      <w:r>
        <w:rPr>
          <w:spacing w:val="-5"/>
          <w:sz w:val="22"/>
        </w:rPr>
        <w:t> </w:t>
      </w:r>
      <w:r>
        <w:rPr>
          <w:sz w:val="22"/>
        </w:rPr>
        <w:t>support</w:t>
      </w:r>
      <w:r>
        <w:rPr>
          <w:spacing w:val="-5"/>
          <w:sz w:val="22"/>
        </w:rPr>
        <w:t> </w:t>
      </w:r>
      <w:r>
        <w:rPr>
          <w:sz w:val="22"/>
        </w:rPr>
        <w:t>the</w:t>
      </w:r>
      <w:r>
        <w:rPr>
          <w:spacing w:val="-3"/>
          <w:sz w:val="22"/>
        </w:rPr>
        <w:t> </w:t>
      </w:r>
      <w:r>
        <w:rPr>
          <w:sz w:val="22"/>
        </w:rPr>
        <w:t>ACO’s</w:t>
      </w:r>
      <w:r>
        <w:rPr>
          <w:spacing w:val="-4"/>
          <w:sz w:val="22"/>
        </w:rPr>
        <w:t> </w:t>
      </w:r>
      <w:r>
        <w:rPr>
          <w:spacing w:val="-2"/>
          <w:sz w:val="22"/>
        </w:rPr>
        <w:t>performance</w:t>
      </w:r>
    </w:p>
    <w:p>
      <w:pPr>
        <w:pStyle w:val="ListParagraph"/>
        <w:numPr>
          <w:ilvl w:val="4"/>
          <w:numId w:val="65"/>
        </w:numPr>
        <w:tabs>
          <w:tab w:pos="1940" w:val="left" w:leader="none"/>
        </w:tabs>
        <w:spacing w:line="240" w:lineRule="auto" w:before="199" w:after="0"/>
        <w:ind w:left="1940" w:right="1094" w:hanging="361"/>
        <w:jc w:val="left"/>
        <w:rPr>
          <w:sz w:val="22"/>
        </w:rPr>
      </w:pPr>
      <w:r>
        <w:rPr>
          <w:sz w:val="22"/>
        </w:rPr>
        <w:t>Specific</w:t>
      </w:r>
      <w:r>
        <w:rPr>
          <w:spacing w:val="-11"/>
          <w:sz w:val="22"/>
        </w:rPr>
        <w:t> </w:t>
      </w:r>
      <w:r>
        <w:rPr>
          <w:sz w:val="22"/>
        </w:rPr>
        <w:t>goals,</w:t>
      </w:r>
      <w:r>
        <w:rPr>
          <w:spacing w:val="-13"/>
          <w:sz w:val="22"/>
        </w:rPr>
        <w:t> </w:t>
      </w:r>
      <w:r>
        <w:rPr>
          <w:sz w:val="22"/>
        </w:rPr>
        <w:t>evaluation</w:t>
      </w:r>
      <w:r>
        <w:rPr>
          <w:spacing w:val="-12"/>
          <w:sz w:val="22"/>
        </w:rPr>
        <w:t> </w:t>
      </w:r>
      <w:r>
        <w:rPr>
          <w:sz w:val="22"/>
        </w:rPr>
        <w:t>plans,</w:t>
      </w:r>
      <w:r>
        <w:rPr>
          <w:spacing w:val="-13"/>
          <w:sz w:val="22"/>
        </w:rPr>
        <w:t> </w:t>
      </w:r>
      <w:r>
        <w:rPr>
          <w:sz w:val="22"/>
        </w:rPr>
        <w:t>measurable</w:t>
      </w:r>
      <w:r>
        <w:rPr>
          <w:spacing w:val="-11"/>
          <w:sz w:val="22"/>
        </w:rPr>
        <w:t> </w:t>
      </w:r>
      <w:r>
        <w:rPr>
          <w:sz w:val="22"/>
        </w:rPr>
        <w:t>outcomes</w:t>
      </w:r>
      <w:r>
        <w:rPr>
          <w:spacing w:val="-12"/>
          <w:sz w:val="22"/>
        </w:rPr>
        <w:t> </w:t>
      </w:r>
      <w:r>
        <w:rPr>
          <w:sz w:val="22"/>
        </w:rPr>
        <w:t>and</w:t>
      </w:r>
      <w:r>
        <w:rPr>
          <w:spacing w:val="-12"/>
          <w:sz w:val="22"/>
        </w:rPr>
        <w:t> </w:t>
      </w:r>
      <w:r>
        <w:rPr>
          <w:sz w:val="22"/>
        </w:rPr>
        <w:t>performance</w:t>
      </w:r>
      <w:r>
        <w:rPr>
          <w:spacing w:val="-13"/>
          <w:sz w:val="22"/>
        </w:rPr>
        <w:t> </w:t>
      </w:r>
      <w:r>
        <w:rPr>
          <w:sz w:val="22"/>
        </w:rPr>
        <w:t>management</w:t>
      </w:r>
      <w:r>
        <w:rPr>
          <w:spacing w:val="-12"/>
          <w:sz w:val="22"/>
        </w:rPr>
        <w:t> </w:t>
      </w:r>
      <w:r>
        <w:rPr>
          <w:sz w:val="22"/>
        </w:rPr>
        <w:t>strategies</w:t>
      </w:r>
      <w:r>
        <w:rPr>
          <w:spacing w:val="-13"/>
          <w:sz w:val="22"/>
        </w:rPr>
        <w:t> </w:t>
      </w:r>
      <w:r>
        <w:rPr>
          <w:sz w:val="22"/>
        </w:rPr>
        <w:t>the ACO will apply to each investment or program</w:t>
      </w:r>
    </w:p>
    <w:p>
      <w:pPr>
        <w:pStyle w:val="ListParagraph"/>
        <w:numPr>
          <w:ilvl w:val="4"/>
          <w:numId w:val="65"/>
        </w:numPr>
        <w:tabs>
          <w:tab w:pos="1940" w:val="left" w:leader="none"/>
        </w:tabs>
        <w:spacing w:line="240" w:lineRule="auto" w:before="200" w:after="0"/>
        <w:ind w:left="1940" w:right="0" w:hanging="360"/>
        <w:jc w:val="left"/>
        <w:rPr>
          <w:sz w:val="22"/>
        </w:rPr>
      </w:pPr>
      <w:r>
        <w:rPr>
          <w:sz w:val="22"/>
        </w:rPr>
        <w:t>A</w:t>
      </w:r>
      <w:r>
        <w:rPr>
          <w:spacing w:val="-5"/>
          <w:sz w:val="22"/>
        </w:rPr>
        <w:t> </w:t>
      </w:r>
      <w:r>
        <w:rPr>
          <w:sz w:val="22"/>
        </w:rPr>
        <w:t>five-year</w:t>
      </w:r>
      <w:r>
        <w:rPr>
          <w:spacing w:val="-2"/>
          <w:sz w:val="22"/>
        </w:rPr>
        <w:t> </w:t>
      </w:r>
      <w:r>
        <w:rPr>
          <w:sz w:val="22"/>
        </w:rPr>
        <w:t>timeline</w:t>
      </w:r>
      <w:r>
        <w:rPr>
          <w:spacing w:val="-4"/>
          <w:sz w:val="22"/>
        </w:rPr>
        <w:t> </w:t>
      </w:r>
      <w:r>
        <w:rPr>
          <w:sz w:val="22"/>
        </w:rPr>
        <w:t>of</w:t>
      </w:r>
      <w:r>
        <w:rPr>
          <w:spacing w:val="-5"/>
          <w:sz w:val="22"/>
        </w:rPr>
        <w:t> </w:t>
      </w:r>
      <w:r>
        <w:rPr>
          <w:sz w:val="22"/>
        </w:rPr>
        <w:t>the</w:t>
      </w:r>
      <w:r>
        <w:rPr>
          <w:spacing w:val="-5"/>
          <w:sz w:val="22"/>
        </w:rPr>
        <w:t> </w:t>
      </w:r>
      <w:r>
        <w:rPr>
          <w:sz w:val="22"/>
        </w:rPr>
        <w:t>ACO’s</w:t>
      </w:r>
      <w:r>
        <w:rPr>
          <w:spacing w:val="-4"/>
          <w:sz w:val="22"/>
        </w:rPr>
        <w:t> </w:t>
      </w:r>
      <w:r>
        <w:rPr>
          <w:sz w:val="22"/>
        </w:rPr>
        <w:t>proposed</w:t>
      </w:r>
      <w:r>
        <w:rPr>
          <w:spacing w:val="-6"/>
          <w:sz w:val="22"/>
        </w:rPr>
        <w:t> </w:t>
      </w:r>
      <w:r>
        <w:rPr>
          <w:sz w:val="22"/>
        </w:rPr>
        <w:t>investments</w:t>
      </w:r>
      <w:r>
        <w:rPr>
          <w:spacing w:val="-3"/>
          <w:sz w:val="22"/>
        </w:rPr>
        <w:t> </w:t>
      </w:r>
      <w:r>
        <w:rPr>
          <w:sz w:val="22"/>
        </w:rPr>
        <w:t>and</w:t>
      </w:r>
      <w:r>
        <w:rPr>
          <w:spacing w:val="-3"/>
          <w:sz w:val="22"/>
        </w:rPr>
        <w:t> </w:t>
      </w:r>
      <w:r>
        <w:rPr>
          <w:spacing w:val="-2"/>
          <w:sz w:val="22"/>
        </w:rPr>
        <w:t>programs</w:t>
      </w:r>
    </w:p>
    <w:p>
      <w:pPr>
        <w:pStyle w:val="ListParagraph"/>
        <w:numPr>
          <w:ilvl w:val="4"/>
          <w:numId w:val="65"/>
        </w:numPr>
        <w:tabs>
          <w:tab w:pos="1940" w:val="left" w:leader="none"/>
        </w:tabs>
        <w:spacing w:line="240" w:lineRule="auto" w:before="198" w:after="0"/>
        <w:ind w:left="1940" w:right="1094" w:hanging="361"/>
        <w:jc w:val="left"/>
        <w:rPr>
          <w:sz w:val="22"/>
        </w:rPr>
      </w:pPr>
      <w:r>
        <w:rPr>
          <w:sz w:val="22"/>
        </w:rPr>
        <w:t>A description of the ACO’s</w:t>
      </w:r>
      <w:r>
        <w:rPr>
          <w:spacing w:val="-1"/>
          <w:sz w:val="22"/>
        </w:rPr>
        <w:t> </w:t>
      </w:r>
      <w:r>
        <w:rPr>
          <w:sz w:val="22"/>
        </w:rPr>
        <w:t>plan to sustainably</w:t>
      </w:r>
      <w:r>
        <w:rPr>
          <w:spacing w:val="-1"/>
          <w:sz w:val="22"/>
        </w:rPr>
        <w:t> </w:t>
      </w:r>
      <w:r>
        <w:rPr>
          <w:sz w:val="22"/>
        </w:rPr>
        <w:t>fund proposed investments and programs over the five-year period as DSRIP funding levels decrease</w:t>
      </w:r>
    </w:p>
    <w:p>
      <w:pPr>
        <w:pStyle w:val="ListParagraph"/>
        <w:numPr>
          <w:ilvl w:val="4"/>
          <w:numId w:val="65"/>
        </w:numPr>
        <w:tabs>
          <w:tab w:pos="1940" w:val="left" w:leader="none"/>
        </w:tabs>
        <w:spacing w:line="240" w:lineRule="auto" w:before="200" w:after="0"/>
        <w:ind w:left="1940" w:right="0" w:hanging="360"/>
        <w:jc w:val="left"/>
        <w:rPr>
          <w:sz w:val="22"/>
        </w:rPr>
      </w:pPr>
      <w:r>
        <w:rPr>
          <w:sz w:val="22"/>
        </w:rPr>
        <w:t>Descriptions</w:t>
      </w:r>
      <w:r>
        <w:rPr>
          <w:spacing w:val="-6"/>
          <w:sz w:val="22"/>
        </w:rPr>
        <w:t> </w:t>
      </w:r>
      <w:r>
        <w:rPr>
          <w:sz w:val="22"/>
        </w:rPr>
        <w:t>of</w:t>
      </w:r>
      <w:r>
        <w:rPr>
          <w:spacing w:val="-5"/>
          <w:sz w:val="22"/>
        </w:rPr>
        <w:t> </w:t>
      </w:r>
      <w:r>
        <w:rPr>
          <w:sz w:val="22"/>
        </w:rPr>
        <w:t>how</w:t>
      </w:r>
      <w:r>
        <w:rPr>
          <w:spacing w:val="-5"/>
          <w:sz w:val="22"/>
        </w:rPr>
        <w:t> </w:t>
      </w:r>
      <w:r>
        <w:rPr>
          <w:sz w:val="22"/>
        </w:rPr>
        <w:t>the</w:t>
      </w:r>
      <w:r>
        <w:rPr>
          <w:spacing w:val="-3"/>
          <w:sz w:val="22"/>
        </w:rPr>
        <w:t> </w:t>
      </w:r>
      <w:r>
        <w:rPr>
          <w:sz w:val="22"/>
        </w:rPr>
        <w:t>ACO</w:t>
      </w:r>
      <w:r>
        <w:rPr>
          <w:spacing w:val="-5"/>
          <w:sz w:val="22"/>
        </w:rPr>
        <w:t> </w:t>
      </w:r>
      <w:r>
        <w:rPr>
          <w:sz w:val="22"/>
        </w:rPr>
        <w:t>will</w:t>
      </w:r>
      <w:r>
        <w:rPr>
          <w:spacing w:val="-5"/>
          <w:sz w:val="22"/>
        </w:rPr>
        <w:t> </w:t>
      </w:r>
      <w:r>
        <w:rPr>
          <w:sz w:val="22"/>
        </w:rPr>
        <w:t>fulfill</w:t>
      </w:r>
      <w:r>
        <w:rPr>
          <w:spacing w:val="-5"/>
          <w:sz w:val="22"/>
        </w:rPr>
        <w:t> </w:t>
      </w:r>
      <w:r>
        <w:rPr>
          <w:sz w:val="22"/>
        </w:rPr>
        <w:t>its</w:t>
      </w:r>
      <w:r>
        <w:rPr>
          <w:spacing w:val="-4"/>
          <w:sz w:val="22"/>
        </w:rPr>
        <w:t> </w:t>
      </w:r>
      <w:r>
        <w:rPr>
          <w:sz w:val="22"/>
        </w:rPr>
        <w:t>contract</w:t>
      </w:r>
      <w:r>
        <w:rPr>
          <w:spacing w:val="-2"/>
          <w:sz w:val="22"/>
        </w:rPr>
        <w:t> </w:t>
      </w:r>
      <w:r>
        <w:rPr>
          <w:sz w:val="22"/>
        </w:rPr>
        <w:t>requirements,</w:t>
      </w:r>
      <w:r>
        <w:rPr>
          <w:spacing w:val="-6"/>
          <w:sz w:val="22"/>
        </w:rPr>
        <w:t> </w:t>
      </w:r>
      <w:r>
        <w:rPr>
          <w:spacing w:val="-2"/>
          <w:sz w:val="22"/>
        </w:rPr>
        <w:t>including:</w:t>
      </w:r>
    </w:p>
    <w:p>
      <w:pPr>
        <w:pStyle w:val="ListParagraph"/>
        <w:numPr>
          <w:ilvl w:val="5"/>
          <w:numId w:val="65"/>
        </w:numPr>
        <w:tabs>
          <w:tab w:pos="2659" w:val="left" w:leader="none"/>
          <w:tab w:pos="2661" w:val="left" w:leader="none"/>
        </w:tabs>
        <w:spacing w:line="225" w:lineRule="auto" w:before="209" w:after="0"/>
        <w:ind w:left="2661" w:right="1096" w:hanging="361"/>
        <w:jc w:val="both"/>
        <w:rPr>
          <w:sz w:val="22"/>
        </w:rPr>
      </w:pPr>
      <w:r>
        <w:rPr>
          <w:sz w:val="22"/>
        </w:rPr>
        <w:t>Investments, value-based payment arrangements and performance management for its primary care providers</w:t>
      </w:r>
    </w:p>
    <w:p>
      <w:pPr>
        <w:pStyle w:val="ListParagraph"/>
        <w:numPr>
          <w:ilvl w:val="5"/>
          <w:numId w:val="65"/>
        </w:numPr>
        <w:tabs>
          <w:tab w:pos="2659" w:val="left" w:leader="none"/>
        </w:tabs>
        <w:spacing w:line="240" w:lineRule="auto" w:before="203" w:after="0"/>
        <w:ind w:left="2659" w:right="0" w:hanging="359"/>
        <w:jc w:val="left"/>
        <w:rPr>
          <w:sz w:val="22"/>
        </w:rPr>
      </w:pPr>
      <w:r>
        <w:rPr>
          <w:sz w:val="22"/>
        </w:rPr>
        <w:t>Care</w:t>
      </w:r>
      <w:r>
        <w:rPr>
          <w:spacing w:val="-6"/>
          <w:sz w:val="22"/>
        </w:rPr>
        <w:t> </w:t>
      </w:r>
      <w:r>
        <w:rPr>
          <w:sz w:val="22"/>
        </w:rPr>
        <w:t>delivery</w:t>
      </w:r>
      <w:r>
        <w:rPr>
          <w:spacing w:val="-7"/>
          <w:sz w:val="22"/>
        </w:rPr>
        <w:t> </w:t>
      </w:r>
      <w:r>
        <w:rPr>
          <w:sz w:val="22"/>
        </w:rPr>
        <w:t>improvement</w:t>
      </w:r>
      <w:r>
        <w:rPr>
          <w:spacing w:val="-4"/>
          <w:sz w:val="22"/>
        </w:rPr>
        <w:t> </w:t>
      </w:r>
      <w:r>
        <w:rPr>
          <w:sz w:val="22"/>
        </w:rPr>
        <w:t>and</w:t>
      </w:r>
      <w:r>
        <w:rPr>
          <w:spacing w:val="-5"/>
          <w:sz w:val="22"/>
        </w:rPr>
        <w:t> </w:t>
      </w:r>
      <w:r>
        <w:rPr>
          <w:sz w:val="22"/>
        </w:rPr>
        <w:t>care</w:t>
      </w:r>
      <w:r>
        <w:rPr>
          <w:spacing w:val="-5"/>
          <w:sz w:val="22"/>
        </w:rPr>
        <w:t> </w:t>
      </w:r>
      <w:r>
        <w:rPr>
          <w:sz w:val="22"/>
        </w:rPr>
        <w:t>management</w:t>
      </w:r>
      <w:r>
        <w:rPr>
          <w:spacing w:val="-4"/>
          <w:sz w:val="22"/>
        </w:rPr>
        <w:t> </w:t>
      </w:r>
      <w:r>
        <w:rPr>
          <w:spacing w:val="-2"/>
          <w:sz w:val="22"/>
        </w:rPr>
        <w:t>strategies</w:t>
      </w:r>
    </w:p>
    <w:p>
      <w:pPr>
        <w:pStyle w:val="ListParagraph"/>
        <w:numPr>
          <w:ilvl w:val="5"/>
          <w:numId w:val="65"/>
        </w:numPr>
        <w:tabs>
          <w:tab w:pos="2659" w:val="left" w:leader="none"/>
          <w:tab w:pos="2661" w:val="left" w:leader="none"/>
        </w:tabs>
        <w:spacing w:line="225" w:lineRule="auto" w:before="190" w:after="0"/>
        <w:ind w:left="2661" w:right="1097" w:hanging="361"/>
        <w:jc w:val="both"/>
        <w:rPr>
          <w:sz w:val="22"/>
        </w:rPr>
      </w:pPr>
      <w:r>
        <w:rPr>
          <w:sz w:val="22"/>
        </w:rPr>
        <w:t>Relationships</w:t>
      </w:r>
      <w:r>
        <w:rPr>
          <w:spacing w:val="-4"/>
          <w:sz w:val="22"/>
        </w:rPr>
        <w:t> </w:t>
      </w:r>
      <w:r>
        <w:rPr>
          <w:sz w:val="22"/>
        </w:rPr>
        <w:t>with</w:t>
      </w:r>
      <w:r>
        <w:rPr>
          <w:spacing w:val="-7"/>
          <w:sz w:val="22"/>
        </w:rPr>
        <w:t> </w:t>
      </w:r>
      <w:r>
        <w:rPr>
          <w:sz w:val="22"/>
        </w:rPr>
        <w:t>other</w:t>
      </w:r>
      <w:r>
        <w:rPr>
          <w:spacing w:val="-4"/>
          <w:sz w:val="22"/>
        </w:rPr>
        <w:t> </w:t>
      </w:r>
      <w:r>
        <w:rPr>
          <w:sz w:val="22"/>
        </w:rPr>
        <w:t>providers,</w:t>
      </w:r>
      <w:r>
        <w:rPr>
          <w:spacing w:val="-7"/>
          <w:sz w:val="22"/>
        </w:rPr>
        <w:t> </w:t>
      </w:r>
      <w:r>
        <w:rPr>
          <w:sz w:val="22"/>
        </w:rPr>
        <w:t>state</w:t>
      </w:r>
      <w:r>
        <w:rPr>
          <w:spacing w:val="-7"/>
          <w:sz w:val="22"/>
        </w:rPr>
        <w:t> </w:t>
      </w:r>
      <w:r>
        <w:rPr>
          <w:sz w:val="22"/>
        </w:rPr>
        <w:t>agencies</w:t>
      </w:r>
      <w:r>
        <w:rPr>
          <w:spacing w:val="-7"/>
          <w:sz w:val="22"/>
        </w:rPr>
        <w:t> </w:t>
      </w:r>
      <w:r>
        <w:rPr>
          <w:sz w:val="22"/>
        </w:rPr>
        <w:t>and</w:t>
      </w:r>
      <w:r>
        <w:rPr>
          <w:spacing w:val="-9"/>
          <w:sz w:val="22"/>
        </w:rPr>
        <w:t> </w:t>
      </w:r>
      <w:r>
        <w:rPr>
          <w:sz w:val="22"/>
        </w:rPr>
        <w:t>other</w:t>
      </w:r>
      <w:r>
        <w:rPr>
          <w:spacing w:val="-6"/>
          <w:sz w:val="22"/>
        </w:rPr>
        <w:t> </w:t>
      </w:r>
      <w:r>
        <w:rPr>
          <w:sz w:val="22"/>
        </w:rPr>
        <w:t>entities</w:t>
      </w:r>
      <w:r>
        <w:rPr>
          <w:spacing w:val="-9"/>
          <w:sz w:val="22"/>
        </w:rPr>
        <w:t> </w:t>
      </w:r>
      <w:r>
        <w:rPr>
          <w:sz w:val="22"/>
        </w:rPr>
        <w:t>involved</w:t>
      </w:r>
      <w:r>
        <w:rPr>
          <w:spacing w:val="-5"/>
          <w:sz w:val="22"/>
        </w:rPr>
        <w:t> </w:t>
      </w:r>
      <w:r>
        <w:rPr>
          <w:sz w:val="22"/>
        </w:rPr>
        <w:t>in</w:t>
      </w:r>
      <w:r>
        <w:rPr>
          <w:spacing w:val="-9"/>
          <w:sz w:val="22"/>
        </w:rPr>
        <w:t> </w:t>
      </w:r>
      <w:r>
        <w:rPr>
          <w:sz w:val="22"/>
        </w:rPr>
        <w:t>the</w:t>
      </w:r>
      <w:r>
        <w:rPr>
          <w:spacing w:val="-4"/>
          <w:sz w:val="22"/>
        </w:rPr>
        <w:t> </w:t>
      </w:r>
      <w:r>
        <w:rPr>
          <w:sz w:val="22"/>
        </w:rPr>
        <w:t>care</w:t>
      </w:r>
      <w:r>
        <w:rPr>
          <w:spacing w:val="-7"/>
          <w:sz w:val="22"/>
        </w:rPr>
        <w:t> </w:t>
      </w:r>
      <w:r>
        <w:rPr>
          <w:sz w:val="22"/>
        </w:rPr>
        <w:t>of its members</w:t>
      </w:r>
    </w:p>
    <w:p>
      <w:pPr>
        <w:pStyle w:val="ListParagraph"/>
        <w:numPr>
          <w:ilvl w:val="5"/>
          <w:numId w:val="65"/>
        </w:numPr>
        <w:tabs>
          <w:tab w:pos="2660" w:val="left" w:leader="none"/>
        </w:tabs>
        <w:spacing w:line="240" w:lineRule="auto" w:before="203" w:after="0"/>
        <w:ind w:left="2660" w:right="0" w:hanging="359"/>
        <w:jc w:val="left"/>
        <w:rPr>
          <w:sz w:val="22"/>
        </w:rPr>
      </w:pPr>
      <w:r>
        <w:rPr>
          <w:sz w:val="22"/>
        </w:rPr>
        <w:t>Relationships</w:t>
      </w:r>
      <w:r>
        <w:rPr>
          <w:spacing w:val="-5"/>
          <w:sz w:val="22"/>
        </w:rPr>
        <w:t> </w:t>
      </w:r>
      <w:r>
        <w:rPr>
          <w:sz w:val="22"/>
        </w:rPr>
        <w:t>with</w:t>
      </w:r>
      <w:r>
        <w:rPr>
          <w:spacing w:val="-4"/>
          <w:sz w:val="22"/>
        </w:rPr>
        <w:t> </w:t>
      </w:r>
      <w:r>
        <w:rPr>
          <w:spacing w:val="-5"/>
          <w:sz w:val="22"/>
        </w:rPr>
        <w:t>CPs</w:t>
      </w:r>
    </w:p>
    <w:p>
      <w:pPr>
        <w:pStyle w:val="ListParagraph"/>
        <w:numPr>
          <w:ilvl w:val="5"/>
          <w:numId w:val="65"/>
        </w:numPr>
        <w:tabs>
          <w:tab w:pos="2659" w:val="left" w:leader="none"/>
          <w:tab w:pos="2661" w:val="left" w:leader="none"/>
        </w:tabs>
        <w:spacing w:line="225" w:lineRule="auto" w:before="191" w:after="0"/>
        <w:ind w:left="2661" w:right="1094" w:hanging="361"/>
        <w:jc w:val="both"/>
        <w:rPr>
          <w:sz w:val="22"/>
        </w:rPr>
      </w:pPr>
      <w:r>
        <w:rPr>
          <w:sz w:val="22"/>
        </w:rPr>
        <w:t>Activities to ensure the ACO’s compliance with contract management, reporting and administrative requirements described in the ACO contract</w:t>
      </w:r>
    </w:p>
    <w:p>
      <w:pPr>
        <w:pStyle w:val="ListParagraph"/>
        <w:numPr>
          <w:ilvl w:val="4"/>
          <w:numId w:val="65"/>
        </w:numPr>
        <w:tabs>
          <w:tab w:pos="1941" w:val="left" w:leader="none"/>
        </w:tabs>
        <w:spacing w:line="240" w:lineRule="auto" w:before="201" w:after="0"/>
        <w:ind w:left="1941" w:right="1093" w:hanging="361"/>
        <w:jc w:val="left"/>
        <w:rPr>
          <w:sz w:val="22"/>
        </w:rPr>
      </w:pPr>
      <w:r>
        <w:rPr>
          <w:sz w:val="22"/>
        </w:rPr>
        <w:t>A plan to increase the ACO’s capabilities to share information among providers involved in care of its members. Such plan will include, at a minimum:</w:t>
      </w:r>
    </w:p>
    <w:p>
      <w:pPr>
        <w:pStyle w:val="ListParagraph"/>
        <w:numPr>
          <w:ilvl w:val="5"/>
          <w:numId w:val="65"/>
        </w:numPr>
        <w:tabs>
          <w:tab w:pos="2659" w:val="left" w:leader="none"/>
          <w:tab w:pos="2661" w:val="left" w:leader="none"/>
        </w:tabs>
        <w:spacing w:line="232" w:lineRule="auto" w:before="205" w:after="0"/>
        <w:ind w:left="2661" w:right="1089" w:hanging="361"/>
        <w:jc w:val="both"/>
        <w:rPr>
          <w:sz w:val="22"/>
        </w:rPr>
      </w:pPr>
      <w:r>
        <w:rPr>
          <w:sz w:val="22"/>
        </w:rPr>
        <w:t>The</w:t>
      </w:r>
      <w:r>
        <w:rPr>
          <w:spacing w:val="-8"/>
          <w:sz w:val="22"/>
        </w:rPr>
        <w:t> </w:t>
      </w:r>
      <w:r>
        <w:rPr>
          <w:sz w:val="22"/>
        </w:rPr>
        <w:t>ACO’s</w:t>
      </w:r>
      <w:r>
        <w:rPr>
          <w:spacing w:val="-8"/>
          <w:sz w:val="22"/>
        </w:rPr>
        <w:t> </w:t>
      </w:r>
      <w:r>
        <w:rPr>
          <w:sz w:val="22"/>
        </w:rPr>
        <w:t>current</w:t>
      </w:r>
      <w:r>
        <w:rPr>
          <w:spacing w:val="-8"/>
          <w:sz w:val="22"/>
        </w:rPr>
        <w:t> </w:t>
      </w:r>
      <w:r>
        <w:rPr>
          <w:sz w:val="22"/>
        </w:rPr>
        <w:t>event</w:t>
      </w:r>
      <w:r>
        <w:rPr>
          <w:spacing w:val="-7"/>
          <w:sz w:val="22"/>
        </w:rPr>
        <w:t> </w:t>
      </w:r>
      <w:r>
        <w:rPr>
          <w:sz w:val="22"/>
        </w:rPr>
        <w:t>notification</w:t>
      </w:r>
      <w:r>
        <w:rPr>
          <w:spacing w:val="-9"/>
          <w:sz w:val="22"/>
        </w:rPr>
        <w:t> </w:t>
      </w:r>
      <w:r>
        <w:rPr>
          <w:sz w:val="22"/>
        </w:rPr>
        <w:t>capabilities</w:t>
      </w:r>
      <w:r>
        <w:rPr>
          <w:spacing w:val="-8"/>
          <w:sz w:val="22"/>
        </w:rPr>
        <w:t> </w:t>
      </w:r>
      <w:r>
        <w:rPr>
          <w:sz w:val="22"/>
        </w:rPr>
        <w:t>and</w:t>
      </w:r>
      <w:r>
        <w:rPr>
          <w:spacing w:val="-11"/>
          <w:sz w:val="22"/>
        </w:rPr>
        <w:t> </w:t>
      </w:r>
      <w:r>
        <w:rPr>
          <w:sz w:val="22"/>
        </w:rPr>
        <w:t>procedures</w:t>
      </w:r>
      <w:r>
        <w:rPr>
          <w:spacing w:val="-8"/>
          <w:sz w:val="22"/>
        </w:rPr>
        <w:t> </w:t>
      </w:r>
      <w:r>
        <w:rPr>
          <w:sz w:val="22"/>
        </w:rPr>
        <w:t>to</w:t>
      </w:r>
      <w:r>
        <w:rPr>
          <w:spacing w:val="-9"/>
          <w:sz w:val="22"/>
        </w:rPr>
        <w:t> </w:t>
      </w:r>
      <w:r>
        <w:rPr>
          <w:sz w:val="22"/>
        </w:rPr>
        <w:t>ensure</w:t>
      </w:r>
      <w:r>
        <w:rPr>
          <w:spacing w:val="-8"/>
          <w:sz w:val="22"/>
        </w:rPr>
        <w:t> </w:t>
      </w:r>
      <w:r>
        <w:rPr>
          <w:sz w:val="22"/>
        </w:rPr>
        <w:t>that</w:t>
      </w:r>
      <w:r>
        <w:rPr>
          <w:spacing w:val="-10"/>
          <w:sz w:val="22"/>
        </w:rPr>
        <w:t> </w:t>
      </w:r>
      <w:r>
        <w:rPr>
          <w:sz w:val="22"/>
        </w:rPr>
        <w:t>the</w:t>
      </w:r>
      <w:r>
        <w:rPr>
          <w:spacing w:val="-6"/>
          <w:sz w:val="22"/>
        </w:rPr>
        <w:t> </w:t>
      </w:r>
      <w:r>
        <w:rPr>
          <w:sz w:val="22"/>
        </w:rPr>
        <w:t>ACO’s primary care providers are aware of members’ inpatient admissions and emergency department visits</w:t>
      </w:r>
    </w:p>
    <w:p>
      <w:pPr>
        <w:pStyle w:val="ListParagraph"/>
        <w:numPr>
          <w:ilvl w:val="5"/>
          <w:numId w:val="65"/>
        </w:numPr>
        <w:tabs>
          <w:tab w:pos="2659" w:val="left" w:leader="none"/>
          <w:tab w:pos="2661" w:val="left" w:leader="none"/>
        </w:tabs>
        <w:spacing w:line="228" w:lineRule="auto" w:before="206" w:after="0"/>
        <w:ind w:left="2661" w:right="1094" w:hanging="361"/>
        <w:jc w:val="both"/>
        <w:rPr>
          <w:sz w:val="22"/>
        </w:rPr>
      </w:pPr>
      <w:r>
        <w:rPr>
          <w:sz w:val="22"/>
        </w:rPr>
        <w:t>The</w:t>
      </w:r>
      <w:r>
        <w:rPr>
          <w:spacing w:val="-12"/>
          <w:sz w:val="22"/>
        </w:rPr>
        <w:t> </w:t>
      </w:r>
      <w:r>
        <w:rPr>
          <w:sz w:val="22"/>
        </w:rPr>
        <w:t>ACO’s</w:t>
      </w:r>
      <w:r>
        <w:rPr>
          <w:spacing w:val="-12"/>
          <w:sz w:val="22"/>
        </w:rPr>
        <w:t> </w:t>
      </w:r>
      <w:r>
        <w:rPr>
          <w:sz w:val="22"/>
        </w:rPr>
        <w:t>self-assessed</w:t>
      </w:r>
      <w:r>
        <w:rPr>
          <w:spacing w:val="-12"/>
          <w:sz w:val="22"/>
        </w:rPr>
        <w:t> </w:t>
      </w:r>
      <w:r>
        <w:rPr>
          <w:sz w:val="22"/>
        </w:rPr>
        <w:t>gaps</w:t>
      </w:r>
      <w:r>
        <w:rPr>
          <w:spacing w:val="-11"/>
          <w:sz w:val="22"/>
        </w:rPr>
        <w:t> </w:t>
      </w:r>
      <w:r>
        <w:rPr>
          <w:sz w:val="22"/>
        </w:rPr>
        <w:t>in</w:t>
      </w:r>
      <w:r>
        <w:rPr>
          <w:spacing w:val="-12"/>
          <w:sz w:val="22"/>
        </w:rPr>
        <w:t> </w:t>
      </w:r>
      <w:r>
        <w:rPr>
          <w:sz w:val="22"/>
        </w:rPr>
        <w:t>such</w:t>
      </w:r>
      <w:r>
        <w:rPr>
          <w:spacing w:val="-12"/>
          <w:sz w:val="22"/>
        </w:rPr>
        <w:t> </w:t>
      </w:r>
      <w:r>
        <w:rPr>
          <w:sz w:val="22"/>
        </w:rPr>
        <w:t>capabilities</w:t>
      </w:r>
      <w:r>
        <w:rPr>
          <w:spacing w:val="-12"/>
          <w:sz w:val="22"/>
        </w:rPr>
        <w:t> </w:t>
      </w:r>
      <w:r>
        <w:rPr>
          <w:sz w:val="22"/>
        </w:rPr>
        <w:t>and</w:t>
      </w:r>
      <w:r>
        <w:rPr>
          <w:spacing w:val="-10"/>
          <w:sz w:val="22"/>
        </w:rPr>
        <w:t> </w:t>
      </w:r>
      <w:r>
        <w:rPr>
          <w:sz w:val="22"/>
        </w:rPr>
        <w:t>procedures,</w:t>
      </w:r>
      <w:r>
        <w:rPr>
          <w:spacing w:val="-12"/>
          <w:sz w:val="22"/>
        </w:rPr>
        <w:t> </w:t>
      </w:r>
      <w:r>
        <w:rPr>
          <w:sz w:val="22"/>
        </w:rPr>
        <w:t>and</w:t>
      </w:r>
      <w:r>
        <w:rPr>
          <w:spacing w:val="-12"/>
          <w:sz w:val="22"/>
        </w:rPr>
        <w:t> </w:t>
      </w:r>
      <w:r>
        <w:rPr>
          <w:sz w:val="22"/>
        </w:rPr>
        <w:t>how</w:t>
      </w:r>
      <w:r>
        <w:rPr>
          <w:spacing w:val="-13"/>
          <w:sz w:val="22"/>
        </w:rPr>
        <w:t> </w:t>
      </w:r>
      <w:r>
        <w:rPr>
          <w:sz w:val="22"/>
        </w:rPr>
        <w:t>the</w:t>
      </w:r>
      <w:r>
        <w:rPr>
          <w:spacing w:val="-12"/>
          <w:sz w:val="22"/>
        </w:rPr>
        <w:t> </w:t>
      </w:r>
      <w:r>
        <w:rPr>
          <w:sz w:val="22"/>
        </w:rPr>
        <w:t>ACO</w:t>
      </w:r>
      <w:r>
        <w:rPr>
          <w:spacing w:val="-11"/>
          <w:sz w:val="22"/>
        </w:rPr>
        <w:t> </w:t>
      </w:r>
      <w:r>
        <w:rPr>
          <w:sz w:val="22"/>
        </w:rPr>
        <w:t>plans to address such gaps</w:t>
      </w:r>
    </w:p>
    <w:p>
      <w:pPr>
        <w:pStyle w:val="ListParagraph"/>
        <w:numPr>
          <w:ilvl w:val="5"/>
          <w:numId w:val="65"/>
        </w:numPr>
        <w:tabs>
          <w:tab w:pos="2660" w:val="left" w:leader="none"/>
          <w:tab w:pos="2662" w:val="left" w:leader="none"/>
        </w:tabs>
        <w:spacing w:line="228" w:lineRule="auto" w:before="207" w:after="0"/>
        <w:ind w:left="2662" w:right="1093" w:hanging="361"/>
        <w:jc w:val="both"/>
        <w:rPr>
          <w:sz w:val="22"/>
        </w:rPr>
      </w:pPr>
      <w:r>
        <w:rPr>
          <w:sz w:val="22"/>
        </w:rPr>
        <w:t>A</w:t>
      </w:r>
      <w:r>
        <w:rPr>
          <w:spacing w:val="-7"/>
          <w:sz w:val="22"/>
        </w:rPr>
        <w:t> </w:t>
      </w:r>
      <w:r>
        <w:rPr>
          <w:sz w:val="22"/>
        </w:rPr>
        <w:t>description</w:t>
      </w:r>
      <w:r>
        <w:rPr>
          <w:spacing w:val="-6"/>
          <w:sz w:val="22"/>
        </w:rPr>
        <w:t> </w:t>
      </w:r>
      <w:r>
        <w:rPr>
          <w:sz w:val="22"/>
        </w:rPr>
        <w:t>of</w:t>
      </w:r>
      <w:r>
        <w:rPr>
          <w:spacing w:val="-5"/>
          <w:sz w:val="22"/>
        </w:rPr>
        <w:t> </w:t>
      </w:r>
      <w:r>
        <w:rPr>
          <w:sz w:val="22"/>
        </w:rPr>
        <w:t>the</w:t>
      </w:r>
      <w:r>
        <w:rPr>
          <w:spacing w:val="-6"/>
          <w:sz w:val="22"/>
        </w:rPr>
        <w:t> </w:t>
      </w:r>
      <w:r>
        <w:rPr>
          <w:sz w:val="22"/>
        </w:rPr>
        <w:t>ACO’s</w:t>
      </w:r>
      <w:r>
        <w:rPr>
          <w:spacing w:val="-8"/>
          <w:sz w:val="22"/>
        </w:rPr>
        <w:t> </w:t>
      </w:r>
      <w:r>
        <w:rPr>
          <w:sz w:val="22"/>
        </w:rPr>
        <w:t>plans,</w:t>
      </w:r>
      <w:r>
        <w:rPr>
          <w:spacing w:val="-9"/>
          <w:sz w:val="22"/>
        </w:rPr>
        <w:t> </w:t>
      </w:r>
      <w:r>
        <w:rPr>
          <w:sz w:val="22"/>
        </w:rPr>
        <w:t>if</w:t>
      </w:r>
      <w:r>
        <w:rPr>
          <w:spacing w:val="-8"/>
          <w:sz w:val="22"/>
        </w:rPr>
        <w:t> </w:t>
      </w:r>
      <w:r>
        <w:rPr>
          <w:sz w:val="22"/>
        </w:rPr>
        <w:t>any,</w:t>
      </w:r>
      <w:r>
        <w:rPr>
          <w:spacing w:val="-6"/>
          <w:sz w:val="22"/>
        </w:rPr>
        <w:t> </w:t>
      </w:r>
      <w:r>
        <w:rPr>
          <w:sz w:val="22"/>
        </w:rPr>
        <w:t>to</w:t>
      </w:r>
      <w:r>
        <w:rPr>
          <w:spacing w:val="-6"/>
          <w:sz w:val="22"/>
        </w:rPr>
        <w:t> </w:t>
      </w:r>
      <w:r>
        <w:rPr>
          <w:sz w:val="22"/>
        </w:rPr>
        <w:t>increase</w:t>
      </w:r>
      <w:r>
        <w:rPr>
          <w:spacing w:val="-8"/>
          <w:sz w:val="22"/>
        </w:rPr>
        <w:t> </w:t>
      </w:r>
      <w:r>
        <w:rPr>
          <w:sz w:val="22"/>
        </w:rPr>
        <w:t>the</w:t>
      </w:r>
      <w:r>
        <w:rPr>
          <w:spacing w:val="-6"/>
          <w:sz w:val="22"/>
        </w:rPr>
        <w:t> </w:t>
      </w:r>
      <w:r>
        <w:rPr>
          <w:sz w:val="22"/>
        </w:rPr>
        <w:t>use</w:t>
      </w:r>
      <w:r>
        <w:rPr>
          <w:spacing w:val="-6"/>
          <w:sz w:val="22"/>
        </w:rPr>
        <w:t> </w:t>
      </w:r>
      <w:r>
        <w:rPr>
          <w:sz w:val="22"/>
        </w:rPr>
        <w:t>of</w:t>
      </w:r>
      <w:r>
        <w:rPr>
          <w:spacing w:val="-5"/>
          <w:sz w:val="22"/>
        </w:rPr>
        <w:t> </w:t>
      </w:r>
      <w:r>
        <w:rPr>
          <w:sz w:val="22"/>
        </w:rPr>
        <w:t>EHR</w:t>
      </w:r>
      <w:r>
        <w:rPr>
          <w:spacing w:val="-7"/>
          <w:sz w:val="22"/>
        </w:rPr>
        <w:t> </w:t>
      </w:r>
      <w:r>
        <w:rPr>
          <w:sz w:val="22"/>
        </w:rPr>
        <w:t>technologies</w:t>
      </w:r>
      <w:r>
        <w:rPr>
          <w:spacing w:val="-6"/>
          <w:sz w:val="22"/>
        </w:rPr>
        <w:t> </w:t>
      </w:r>
      <w:r>
        <w:rPr>
          <w:sz w:val="22"/>
        </w:rPr>
        <w:t>certified by the Office of the National Coordinator (ONC)</w:t>
      </w:r>
    </w:p>
    <w:p>
      <w:pPr>
        <w:pStyle w:val="ListParagraph"/>
        <w:numPr>
          <w:ilvl w:val="5"/>
          <w:numId w:val="65"/>
        </w:numPr>
        <w:tabs>
          <w:tab w:pos="2660" w:val="left" w:leader="none"/>
          <w:tab w:pos="2662" w:val="left" w:leader="none"/>
        </w:tabs>
        <w:spacing w:line="232" w:lineRule="auto" w:before="205" w:after="0"/>
        <w:ind w:left="2662" w:right="1094" w:hanging="361"/>
        <w:jc w:val="both"/>
        <w:rPr>
          <w:sz w:val="22"/>
        </w:rPr>
      </w:pPr>
      <w:r>
        <w:rPr>
          <w:sz w:val="22"/>
        </w:rPr>
        <w:t>A description of how the ACO plans to ensure the ACO’s providers consistently use the statewide</w:t>
      </w:r>
      <w:r>
        <w:rPr>
          <w:spacing w:val="-8"/>
          <w:sz w:val="22"/>
        </w:rPr>
        <w:t> </w:t>
      </w:r>
      <w:r>
        <w:rPr>
          <w:sz w:val="22"/>
        </w:rPr>
        <w:t>health</w:t>
      </w:r>
      <w:r>
        <w:rPr>
          <w:spacing w:val="-8"/>
          <w:sz w:val="22"/>
        </w:rPr>
        <w:t> </w:t>
      </w:r>
      <w:r>
        <w:rPr>
          <w:sz w:val="22"/>
        </w:rPr>
        <w:t>information</w:t>
      </w:r>
      <w:r>
        <w:rPr>
          <w:spacing w:val="-8"/>
          <w:sz w:val="22"/>
        </w:rPr>
        <w:t> </w:t>
      </w:r>
      <w:r>
        <w:rPr>
          <w:sz w:val="22"/>
        </w:rPr>
        <w:t>exchange</w:t>
      </w:r>
      <w:r>
        <w:rPr>
          <w:spacing w:val="-8"/>
          <w:sz w:val="22"/>
        </w:rPr>
        <w:t> </w:t>
      </w:r>
      <w:r>
        <w:rPr>
          <w:sz w:val="22"/>
        </w:rPr>
        <w:t>to</w:t>
      </w:r>
      <w:r>
        <w:rPr>
          <w:spacing w:val="-8"/>
          <w:sz w:val="22"/>
        </w:rPr>
        <w:t> </w:t>
      </w:r>
      <w:r>
        <w:rPr>
          <w:sz w:val="22"/>
        </w:rPr>
        <w:t>send</w:t>
      </w:r>
      <w:r>
        <w:rPr>
          <w:spacing w:val="-8"/>
          <w:sz w:val="22"/>
        </w:rPr>
        <w:t> </w:t>
      </w:r>
      <w:r>
        <w:rPr>
          <w:sz w:val="22"/>
        </w:rPr>
        <w:t>or</w:t>
      </w:r>
      <w:r>
        <w:rPr>
          <w:spacing w:val="-7"/>
          <w:sz w:val="22"/>
        </w:rPr>
        <w:t> </w:t>
      </w:r>
      <w:r>
        <w:rPr>
          <w:sz w:val="22"/>
        </w:rPr>
        <w:t>receive</w:t>
      </w:r>
      <w:r>
        <w:rPr>
          <w:spacing w:val="-8"/>
          <w:sz w:val="22"/>
        </w:rPr>
        <w:t> </w:t>
      </w:r>
      <w:r>
        <w:rPr>
          <w:sz w:val="22"/>
        </w:rPr>
        <w:t>legally</w:t>
      </w:r>
      <w:r>
        <w:rPr>
          <w:spacing w:val="-11"/>
          <w:sz w:val="22"/>
        </w:rPr>
        <w:t> </w:t>
      </w:r>
      <w:r>
        <w:rPr>
          <w:sz w:val="22"/>
        </w:rPr>
        <w:t>and</w:t>
      </w:r>
      <w:r>
        <w:rPr>
          <w:spacing w:val="-8"/>
          <w:sz w:val="22"/>
        </w:rPr>
        <w:t> </w:t>
      </w:r>
      <w:r>
        <w:rPr>
          <w:sz w:val="22"/>
        </w:rPr>
        <w:t>clinically</w:t>
      </w:r>
      <w:r>
        <w:rPr>
          <w:spacing w:val="-11"/>
          <w:sz w:val="22"/>
        </w:rPr>
        <w:t> </w:t>
      </w:r>
      <w:r>
        <w:rPr>
          <w:sz w:val="22"/>
        </w:rPr>
        <w:t>appropriate patient clinical information and support transitions of care</w:t>
      </w:r>
    </w:p>
    <w:p>
      <w:pPr>
        <w:pStyle w:val="ListParagraph"/>
        <w:numPr>
          <w:ilvl w:val="4"/>
          <w:numId w:val="65"/>
        </w:numPr>
        <w:tabs>
          <w:tab w:pos="1942" w:val="left" w:leader="none"/>
        </w:tabs>
        <w:spacing w:line="240" w:lineRule="auto" w:before="198" w:after="0"/>
        <w:ind w:left="1942" w:right="0" w:hanging="360"/>
        <w:jc w:val="left"/>
        <w:rPr>
          <w:sz w:val="22"/>
        </w:rPr>
      </w:pPr>
      <w:r>
        <w:rPr>
          <w:sz w:val="22"/>
        </w:rPr>
        <w:t>Attestations</w:t>
      </w:r>
      <w:r>
        <w:rPr>
          <w:spacing w:val="-6"/>
          <w:sz w:val="22"/>
        </w:rPr>
        <w:t> </w:t>
      </w:r>
      <w:r>
        <w:rPr>
          <w:sz w:val="22"/>
        </w:rPr>
        <w:t>to</w:t>
      </w:r>
      <w:r>
        <w:rPr>
          <w:spacing w:val="-4"/>
          <w:sz w:val="22"/>
        </w:rPr>
        <w:t> </w:t>
      </w:r>
      <w:r>
        <w:rPr>
          <w:sz w:val="22"/>
        </w:rPr>
        <w:t>ensure</w:t>
      </w:r>
      <w:r>
        <w:rPr>
          <w:spacing w:val="-3"/>
          <w:sz w:val="22"/>
        </w:rPr>
        <w:t> </w:t>
      </w:r>
      <w:r>
        <w:rPr>
          <w:sz w:val="22"/>
        </w:rPr>
        <w:t>non-duplication</w:t>
      </w:r>
      <w:r>
        <w:rPr>
          <w:spacing w:val="-4"/>
          <w:sz w:val="22"/>
        </w:rPr>
        <w:t> </w:t>
      </w:r>
      <w:r>
        <w:rPr>
          <w:sz w:val="22"/>
        </w:rPr>
        <w:t>of</w:t>
      </w:r>
      <w:r>
        <w:rPr>
          <w:spacing w:val="-5"/>
          <w:sz w:val="22"/>
        </w:rPr>
        <w:t> </w:t>
      </w:r>
      <w:r>
        <w:rPr>
          <w:spacing w:val="-2"/>
          <w:sz w:val="22"/>
        </w:rPr>
        <w:t>funding</w:t>
      </w:r>
    </w:p>
    <w:p>
      <w:pPr>
        <w:spacing w:after="0" w:line="240" w:lineRule="auto"/>
        <w:jc w:val="left"/>
        <w:rPr>
          <w:sz w:val="22"/>
        </w:rPr>
        <w:sectPr>
          <w:pgSz w:w="12240" w:h="15840"/>
          <w:pgMar w:header="0" w:footer="967" w:top="1360" w:bottom="1160" w:left="220" w:right="340"/>
        </w:sectPr>
      </w:pPr>
    </w:p>
    <w:p>
      <w:pPr>
        <w:pStyle w:val="ListParagraph"/>
        <w:numPr>
          <w:ilvl w:val="3"/>
          <w:numId w:val="65"/>
        </w:numPr>
        <w:tabs>
          <w:tab w:pos="1938" w:val="left" w:leader="none"/>
        </w:tabs>
        <w:spacing w:line="252" w:lineRule="exact" w:before="78" w:after="0"/>
        <w:ind w:left="1938" w:right="0" w:hanging="719"/>
        <w:jc w:val="both"/>
        <w:rPr>
          <w:b/>
          <w:i/>
          <w:sz w:val="22"/>
        </w:rPr>
      </w:pPr>
      <w:bookmarkStart w:name="3.2.2.2 Community Partners" w:id="1256"/>
      <w:bookmarkEnd w:id="1256"/>
      <w:r>
        <w:rPr/>
      </w:r>
      <w:r>
        <w:rPr>
          <w:b/>
          <w:i/>
          <w:color w:val="4471C4"/>
          <w:sz w:val="22"/>
        </w:rPr>
        <w:t>Community</w:t>
      </w:r>
      <w:r>
        <w:rPr>
          <w:b/>
          <w:i/>
          <w:color w:val="4471C4"/>
          <w:spacing w:val="-5"/>
          <w:sz w:val="22"/>
        </w:rPr>
        <w:t> </w:t>
      </w:r>
      <w:r>
        <w:rPr>
          <w:b/>
          <w:i/>
          <w:color w:val="4471C4"/>
          <w:spacing w:val="-2"/>
          <w:sz w:val="22"/>
        </w:rPr>
        <w:t>Partners</w:t>
      </w:r>
    </w:p>
    <w:p>
      <w:pPr>
        <w:spacing w:before="0"/>
        <w:ind w:left="1219" w:right="1093" w:firstLine="0"/>
        <w:jc w:val="both"/>
        <w:rPr>
          <w:sz w:val="22"/>
        </w:rPr>
      </w:pPr>
      <w:r>
        <w:rPr>
          <w:sz w:val="22"/>
        </w:rPr>
        <w:t>Once the CP or CSA is notified of (1) the amount of Budget Period 1 funds, and (2) the tentative amount of Budget Period 2 through 5 funds, the CP or CSA will be required to submit a Full Participation Plan. The Full Participation Plan will expand on the information submitted within the Preliminary Participation Plan</w:t>
      </w:r>
      <w:r>
        <w:rPr>
          <w:spacing w:val="-10"/>
          <w:sz w:val="22"/>
        </w:rPr>
        <w:t> </w:t>
      </w:r>
      <w:r>
        <w:rPr>
          <w:sz w:val="22"/>
        </w:rPr>
        <w:t>and</w:t>
      </w:r>
      <w:r>
        <w:rPr>
          <w:spacing w:val="-10"/>
          <w:sz w:val="22"/>
        </w:rPr>
        <w:t> </w:t>
      </w:r>
      <w:r>
        <w:rPr>
          <w:sz w:val="22"/>
        </w:rPr>
        <w:t>will</w:t>
      </w:r>
      <w:r>
        <w:rPr>
          <w:spacing w:val="-9"/>
          <w:sz w:val="22"/>
        </w:rPr>
        <w:t> </w:t>
      </w:r>
      <w:r>
        <w:rPr>
          <w:sz w:val="22"/>
        </w:rPr>
        <w:t>reflect</w:t>
      </w:r>
      <w:r>
        <w:rPr>
          <w:spacing w:val="-9"/>
          <w:sz w:val="22"/>
        </w:rPr>
        <w:t> </w:t>
      </w:r>
      <w:r>
        <w:rPr>
          <w:sz w:val="22"/>
        </w:rPr>
        <w:t>the</w:t>
      </w:r>
      <w:r>
        <w:rPr>
          <w:spacing w:val="-9"/>
          <w:sz w:val="22"/>
        </w:rPr>
        <w:t> </w:t>
      </w:r>
      <w:r>
        <w:rPr>
          <w:sz w:val="22"/>
        </w:rPr>
        <w:t>new</w:t>
      </w:r>
      <w:r>
        <w:rPr>
          <w:spacing w:val="-10"/>
          <w:sz w:val="22"/>
        </w:rPr>
        <w:t> </w:t>
      </w:r>
      <w:r>
        <w:rPr>
          <w:sz w:val="22"/>
        </w:rPr>
        <w:t>information</w:t>
      </w:r>
      <w:r>
        <w:rPr>
          <w:spacing w:val="-10"/>
          <w:sz w:val="22"/>
        </w:rPr>
        <w:t> </w:t>
      </w:r>
      <w:r>
        <w:rPr>
          <w:sz w:val="22"/>
        </w:rPr>
        <w:t>available</w:t>
      </w:r>
      <w:r>
        <w:rPr>
          <w:spacing w:val="-10"/>
          <w:sz w:val="22"/>
        </w:rPr>
        <w:t> </w:t>
      </w:r>
      <w:r>
        <w:rPr>
          <w:sz w:val="22"/>
        </w:rPr>
        <w:t>to</w:t>
      </w:r>
      <w:r>
        <w:rPr>
          <w:spacing w:val="-11"/>
          <w:sz w:val="22"/>
        </w:rPr>
        <w:t> </w:t>
      </w:r>
      <w:r>
        <w:rPr>
          <w:sz w:val="22"/>
        </w:rPr>
        <w:t>CPs</w:t>
      </w:r>
      <w:r>
        <w:rPr>
          <w:spacing w:val="-9"/>
          <w:sz w:val="22"/>
        </w:rPr>
        <w:t> </w:t>
      </w:r>
      <w:r>
        <w:rPr>
          <w:sz w:val="22"/>
        </w:rPr>
        <w:t>or</w:t>
      </w:r>
      <w:r>
        <w:rPr>
          <w:spacing w:val="-9"/>
          <w:sz w:val="22"/>
        </w:rPr>
        <w:t> </w:t>
      </w:r>
      <w:r>
        <w:rPr>
          <w:sz w:val="22"/>
        </w:rPr>
        <w:t>CSAs</w:t>
      </w:r>
      <w:r>
        <w:rPr>
          <w:spacing w:val="-9"/>
          <w:sz w:val="22"/>
        </w:rPr>
        <w:t> </w:t>
      </w:r>
      <w:r>
        <w:rPr>
          <w:sz w:val="22"/>
        </w:rPr>
        <w:t>about</w:t>
      </w:r>
      <w:r>
        <w:rPr>
          <w:spacing w:val="-9"/>
          <w:sz w:val="22"/>
        </w:rPr>
        <w:t> </w:t>
      </w:r>
      <w:r>
        <w:rPr>
          <w:sz w:val="22"/>
        </w:rPr>
        <w:t>their</w:t>
      </w:r>
      <w:r>
        <w:rPr>
          <w:spacing w:val="-9"/>
          <w:sz w:val="22"/>
        </w:rPr>
        <w:t> </w:t>
      </w:r>
      <w:r>
        <w:rPr>
          <w:sz w:val="22"/>
        </w:rPr>
        <w:t>anticipated</w:t>
      </w:r>
      <w:r>
        <w:rPr>
          <w:spacing w:val="-10"/>
          <w:sz w:val="22"/>
        </w:rPr>
        <w:t> </w:t>
      </w:r>
      <w:r>
        <w:rPr>
          <w:sz w:val="22"/>
        </w:rPr>
        <w:t>funding</w:t>
      </w:r>
      <w:r>
        <w:rPr>
          <w:spacing w:val="-11"/>
          <w:sz w:val="22"/>
        </w:rPr>
        <w:t> </w:t>
      </w:r>
      <w:r>
        <w:rPr>
          <w:sz w:val="22"/>
        </w:rPr>
        <w:t>amounts (see section 3.4.3 for timeline). Examples of additional detail that CPs and CSAs will be contractually required to provide include:</w:t>
      </w:r>
    </w:p>
    <w:p>
      <w:pPr>
        <w:pStyle w:val="ListParagraph"/>
        <w:numPr>
          <w:ilvl w:val="4"/>
          <w:numId w:val="65"/>
        </w:numPr>
        <w:tabs>
          <w:tab w:pos="1938" w:val="left" w:leader="none"/>
          <w:tab w:pos="1940" w:val="left" w:leader="none"/>
        </w:tabs>
        <w:spacing w:line="240" w:lineRule="auto" w:before="163" w:after="0"/>
        <w:ind w:left="1940" w:right="1094" w:hanging="361"/>
        <w:jc w:val="both"/>
        <w:rPr>
          <w:sz w:val="22"/>
        </w:rPr>
      </w:pPr>
      <w:r>
        <w:rPr>
          <w:sz w:val="22"/>
        </w:rPr>
        <w:t>The</w:t>
      </w:r>
      <w:r>
        <w:rPr>
          <w:spacing w:val="-14"/>
          <w:sz w:val="22"/>
        </w:rPr>
        <w:t> </w:t>
      </w:r>
      <w:r>
        <w:rPr>
          <w:sz w:val="22"/>
        </w:rPr>
        <w:t>community-based</w:t>
      </w:r>
      <w:r>
        <w:rPr>
          <w:spacing w:val="-14"/>
          <w:sz w:val="22"/>
        </w:rPr>
        <w:t> </w:t>
      </w:r>
      <w:r>
        <w:rPr>
          <w:sz w:val="22"/>
        </w:rPr>
        <w:t>organizations</w:t>
      </w:r>
      <w:r>
        <w:rPr>
          <w:spacing w:val="-14"/>
          <w:sz w:val="22"/>
        </w:rPr>
        <w:t> </w:t>
      </w:r>
      <w:r>
        <w:rPr>
          <w:sz w:val="22"/>
        </w:rPr>
        <w:t>and</w:t>
      </w:r>
      <w:r>
        <w:rPr>
          <w:spacing w:val="-13"/>
          <w:sz w:val="22"/>
        </w:rPr>
        <w:t> </w:t>
      </w:r>
      <w:r>
        <w:rPr>
          <w:sz w:val="22"/>
        </w:rPr>
        <w:t>providers</w:t>
      </w:r>
      <w:r>
        <w:rPr>
          <w:spacing w:val="-14"/>
          <w:sz w:val="22"/>
        </w:rPr>
        <w:t> </w:t>
      </w:r>
      <w:r>
        <w:rPr>
          <w:sz w:val="22"/>
        </w:rPr>
        <w:t>with</w:t>
      </w:r>
      <w:r>
        <w:rPr>
          <w:spacing w:val="-14"/>
          <w:sz w:val="22"/>
        </w:rPr>
        <w:t> </w:t>
      </w:r>
      <w:r>
        <w:rPr>
          <w:sz w:val="22"/>
        </w:rPr>
        <w:t>which</w:t>
      </w:r>
      <w:r>
        <w:rPr>
          <w:spacing w:val="-14"/>
          <w:sz w:val="22"/>
        </w:rPr>
        <w:t> </w:t>
      </w:r>
      <w:r>
        <w:rPr>
          <w:sz w:val="22"/>
        </w:rPr>
        <w:t>the</w:t>
      </w:r>
      <w:r>
        <w:rPr>
          <w:spacing w:val="-13"/>
          <w:sz w:val="22"/>
        </w:rPr>
        <w:t> </w:t>
      </w:r>
      <w:r>
        <w:rPr>
          <w:sz w:val="22"/>
        </w:rPr>
        <w:t>CP</w:t>
      </w:r>
      <w:r>
        <w:rPr>
          <w:spacing w:val="-14"/>
          <w:sz w:val="22"/>
        </w:rPr>
        <w:t> </w:t>
      </w:r>
      <w:r>
        <w:rPr>
          <w:sz w:val="22"/>
        </w:rPr>
        <w:t>or</w:t>
      </w:r>
      <w:r>
        <w:rPr>
          <w:spacing w:val="-14"/>
          <w:sz w:val="22"/>
        </w:rPr>
        <w:t> </w:t>
      </w:r>
      <w:r>
        <w:rPr>
          <w:sz w:val="22"/>
        </w:rPr>
        <w:t>CSA</w:t>
      </w:r>
      <w:r>
        <w:rPr>
          <w:spacing w:val="-14"/>
          <w:sz w:val="22"/>
        </w:rPr>
        <w:t> </w:t>
      </w:r>
      <w:r>
        <w:rPr>
          <w:sz w:val="22"/>
        </w:rPr>
        <w:t>is</w:t>
      </w:r>
      <w:r>
        <w:rPr>
          <w:spacing w:val="-13"/>
          <w:sz w:val="22"/>
        </w:rPr>
        <w:t> </w:t>
      </w:r>
      <w:r>
        <w:rPr>
          <w:sz w:val="22"/>
        </w:rPr>
        <w:t>partnering</w:t>
      </w:r>
      <w:r>
        <w:rPr>
          <w:spacing w:val="-14"/>
          <w:sz w:val="22"/>
        </w:rPr>
        <w:t> </w:t>
      </w:r>
      <w:r>
        <w:rPr>
          <w:sz w:val="22"/>
        </w:rPr>
        <w:t>or</w:t>
      </w:r>
      <w:r>
        <w:rPr>
          <w:spacing w:val="-12"/>
          <w:sz w:val="22"/>
        </w:rPr>
        <w:t> </w:t>
      </w:r>
      <w:r>
        <w:rPr>
          <w:sz w:val="22"/>
        </w:rPr>
        <w:t>plans to partner, the CSA or CP consortium governance structure and a description of how these partnerships will support the CP’s or CSA’s planned activities and proposed investments</w:t>
      </w:r>
    </w:p>
    <w:p>
      <w:pPr>
        <w:pStyle w:val="ListParagraph"/>
        <w:numPr>
          <w:ilvl w:val="4"/>
          <w:numId w:val="65"/>
        </w:numPr>
        <w:tabs>
          <w:tab w:pos="1938" w:val="left" w:leader="none"/>
          <w:tab w:pos="1940" w:val="left" w:leader="none"/>
        </w:tabs>
        <w:spacing w:line="240" w:lineRule="auto" w:before="199" w:after="0"/>
        <w:ind w:left="1940" w:right="1094" w:hanging="361"/>
        <w:jc w:val="both"/>
        <w:rPr>
          <w:sz w:val="22"/>
        </w:rPr>
      </w:pPr>
      <w:r>
        <w:rPr>
          <w:sz w:val="22"/>
        </w:rPr>
        <w:t>Descriptions of specific investments or programs the CP or CSA will support with DSRIP funds, including</w:t>
      </w:r>
      <w:r>
        <w:rPr>
          <w:spacing w:val="-10"/>
          <w:sz w:val="22"/>
        </w:rPr>
        <w:t> </w:t>
      </w:r>
      <w:r>
        <w:rPr>
          <w:sz w:val="22"/>
        </w:rPr>
        <w:t>cost</w:t>
      </w:r>
      <w:r>
        <w:rPr>
          <w:spacing w:val="-6"/>
          <w:sz w:val="22"/>
        </w:rPr>
        <w:t> </w:t>
      </w:r>
      <w:r>
        <w:rPr>
          <w:sz w:val="22"/>
        </w:rPr>
        <w:t>estimates,</w:t>
      </w:r>
      <w:r>
        <w:rPr>
          <w:spacing w:val="-7"/>
          <w:sz w:val="22"/>
        </w:rPr>
        <w:t> </w:t>
      </w:r>
      <w:r>
        <w:rPr>
          <w:sz w:val="22"/>
        </w:rPr>
        <w:t>measures,</w:t>
      </w:r>
      <w:r>
        <w:rPr>
          <w:spacing w:val="-7"/>
          <w:sz w:val="22"/>
        </w:rPr>
        <w:t> </w:t>
      </w:r>
      <w:r>
        <w:rPr>
          <w:sz w:val="22"/>
        </w:rPr>
        <w:t>goals</w:t>
      </w:r>
      <w:r>
        <w:rPr>
          <w:spacing w:val="-7"/>
          <w:sz w:val="22"/>
        </w:rPr>
        <w:t> </w:t>
      </w:r>
      <w:r>
        <w:rPr>
          <w:sz w:val="22"/>
        </w:rPr>
        <w:t>and</w:t>
      </w:r>
      <w:r>
        <w:rPr>
          <w:spacing w:val="-7"/>
          <w:sz w:val="22"/>
        </w:rPr>
        <w:t> </w:t>
      </w:r>
      <w:r>
        <w:rPr>
          <w:sz w:val="22"/>
        </w:rPr>
        <w:t>performance</w:t>
      </w:r>
      <w:r>
        <w:rPr>
          <w:spacing w:val="-7"/>
          <w:sz w:val="22"/>
        </w:rPr>
        <w:t> </w:t>
      </w:r>
      <w:r>
        <w:rPr>
          <w:sz w:val="22"/>
        </w:rPr>
        <w:t>management</w:t>
      </w:r>
      <w:r>
        <w:rPr>
          <w:spacing w:val="-6"/>
          <w:sz w:val="22"/>
        </w:rPr>
        <w:t> </w:t>
      </w:r>
      <w:r>
        <w:rPr>
          <w:sz w:val="22"/>
        </w:rPr>
        <w:t>and</w:t>
      </w:r>
      <w:r>
        <w:rPr>
          <w:spacing w:val="-7"/>
          <w:sz w:val="22"/>
        </w:rPr>
        <w:t> </w:t>
      </w:r>
      <w:r>
        <w:rPr>
          <w:sz w:val="22"/>
        </w:rPr>
        <w:t>sustainability</w:t>
      </w:r>
      <w:r>
        <w:rPr>
          <w:spacing w:val="-10"/>
          <w:sz w:val="22"/>
        </w:rPr>
        <w:t> </w:t>
      </w:r>
      <w:r>
        <w:rPr>
          <w:sz w:val="22"/>
        </w:rPr>
        <w:t>plans</w:t>
      </w:r>
      <w:r>
        <w:rPr>
          <w:spacing w:val="-7"/>
          <w:sz w:val="22"/>
        </w:rPr>
        <w:t> </w:t>
      </w:r>
      <w:r>
        <w:rPr>
          <w:sz w:val="22"/>
        </w:rPr>
        <w:t>in the following areas:</w:t>
      </w:r>
    </w:p>
    <w:p>
      <w:pPr>
        <w:pStyle w:val="ListParagraph"/>
        <w:numPr>
          <w:ilvl w:val="5"/>
          <w:numId w:val="65"/>
        </w:numPr>
        <w:tabs>
          <w:tab w:pos="2658" w:val="left" w:leader="none"/>
          <w:tab w:pos="2660" w:val="left" w:leader="none"/>
        </w:tabs>
        <w:spacing w:line="225" w:lineRule="auto" w:before="209" w:after="0"/>
        <w:ind w:left="2660" w:right="1096" w:hanging="361"/>
        <w:jc w:val="both"/>
        <w:rPr>
          <w:sz w:val="22"/>
        </w:rPr>
      </w:pPr>
      <w:r>
        <w:rPr>
          <w:sz w:val="22"/>
        </w:rPr>
        <w:t>Relationships with state agencies, community-based organizations, providers and other entities involved in the care of its members</w:t>
      </w:r>
    </w:p>
    <w:p>
      <w:pPr>
        <w:pStyle w:val="ListParagraph"/>
        <w:numPr>
          <w:ilvl w:val="5"/>
          <w:numId w:val="65"/>
        </w:numPr>
        <w:tabs>
          <w:tab w:pos="2659" w:val="left" w:leader="none"/>
        </w:tabs>
        <w:spacing w:line="240" w:lineRule="auto" w:before="202" w:after="0"/>
        <w:ind w:left="2659" w:right="0" w:hanging="359"/>
        <w:jc w:val="left"/>
        <w:rPr>
          <w:sz w:val="22"/>
        </w:rPr>
      </w:pPr>
      <w:r>
        <w:rPr>
          <w:sz w:val="22"/>
        </w:rPr>
        <w:t>Relationships</w:t>
      </w:r>
      <w:r>
        <w:rPr>
          <w:spacing w:val="-4"/>
          <w:sz w:val="22"/>
        </w:rPr>
        <w:t> </w:t>
      </w:r>
      <w:r>
        <w:rPr>
          <w:sz w:val="22"/>
        </w:rPr>
        <w:t>with</w:t>
      </w:r>
      <w:r>
        <w:rPr>
          <w:spacing w:val="-4"/>
          <w:sz w:val="22"/>
        </w:rPr>
        <w:t> </w:t>
      </w:r>
      <w:r>
        <w:rPr>
          <w:sz w:val="22"/>
        </w:rPr>
        <w:t>ACOs</w:t>
      </w:r>
      <w:r>
        <w:rPr>
          <w:spacing w:val="-4"/>
          <w:sz w:val="22"/>
        </w:rPr>
        <w:t> </w:t>
      </w:r>
      <w:r>
        <w:rPr>
          <w:sz w:val="22"/>
        </w:rPr>
        <w:t>and</w:t>
      </w:r>
      <w:r>
        <w:rPr>
          <w:spacing w:val="-4"/>
          <w:sz w:val="22"/>
        </w:rPr>
        <w:t> MCOs</w:t>
      </w:r>
    </w:p>
    <w:p>
      <w:pPr>
        <w:pStyle w:val="ListParagraph"/>
        <w:numPr>
          <w:ilvl w:val="5"/>
          <w:numId w:val="65"/>
        </w:numPr>
        <w:tabs>
          <w:tab w:pos="2658" w:val="left" w:leader="none"/>
          <w:tab w:pos="2660" w:val="left" w:leader="none"/>
        </w:tabs>
        <w:spacing w:line="232" w:lineRule="auto" w:before="186" w:after="0"/>
        <w:ind w:left="2660" w:right="1094" w:hanging="361"/>
        <w:jc w:val="both"/>
        <w:rPr>
          <w:sz w:val="22"/>
        </w:rPr>
      </w:pPr>
      <w:r>
        <w:rPr>
          <w:sz w:val="22"/>
        </w:rPr>
        <w:t>Activities to ensure the CP’s or CSA’s compliance with contract management, reporting and</w:t>
      </w:r>
      <w:r>
        <w:rPr>
          <w:spacing w:val="-7"/>
          <w:sz w:val="22"/>
        </w:rPr>
        <w:t> </w:t>
      </w:r>
      <w:r>
        <w:rPr>
          <w:sz w:val="22"/>
        </w:rPr>
        <w:t>administrative</w:t>
      </w:r>
      <w:r>
        <w:rPr>
          <w:spacing w:val="-7"/>
          <w:sz w:val="22"/>
        </w:rPr>
        <w:t> </w:t>
      </w:r>
      <w:r>
        <w:rPr>
          <w:sz w:val="22"/>
        </w:rPr>
        <w:t>requirements</w:t>
      </w:r>
      <w:r>
        <w:rPr>
          <w:spacing w:val="-7"/>
          <w:sz w:val="22"/>
        </w:rPr>
        <w:t> </w:t>
      </w:r>
      <w:r>
        <w:rPr>
          <w:sz w:val="22"/>
        </w:rPr>
        <w:t>described</w:t>
      </w:r>
      <w:r>
        <w:rPr>
          <w:spacing w:val="-9"/>
          <w:sz w:val="22"/>
        </w:rPr>
        <w:t> </w:t>
      </w:r>
      <w:r>
        <w:rPr>
          <w:sz w:val="22"/>
        </w:rPr>
        <w:t>in</w:t>
      </w:r>
      <w:r>
        <w:rPr>
          <w:spacing w:val="-7"/>
          <w:sz w:val="22"/>
        </w:rPr>
        <w:t> </w:t>
      </w:r>
      <w:r>
        <w:rPr>
          <w:sz w:val="22"/>
        </w:rPr>
        <w:t>the</w:t>
      </w:r>
      <w:r>
        <w:rPr>
          <w:spacing w:val="-7"/>
          <w:sz w:val="22"/>
        </w:rPr>
        <w:t> </w:t>
      </w:r>
      <w:r>
        <w:rPr>
          <w:sz w:val="22"/>
        </w:rPr>
        <w:t>CP’s</w:t>
      </w:r>
      <w:r>
        <w:rPr>
          <w:spacing w:val="-9"/>
          <w:sz w:val="22"/>
        </w:rPr>
        <w:t> </w:t>
      </w:r>
      <w:r>
        <w:rPr>
          <w:sz w:val="22"/>
        </w:rPr>
        <w:t>or</w:t>
      </w:r>
      <w:r>
        <w:rPr>
          <w:spacing w:val="-6"/>
          <w:sz w:val="22"/>
        </w:rPr>
        <w:t> </w:t>
      </w:r>
      <w:r>
        <w:rPr>
          <w:sz w:val="22"/>
        </w:rPr>
        <w:t>CSA’s</w:t>
      </w:r>
      <w:r>
        <w:rPr>
          <w:spacing w:val="-7"/>
          <w:sz w:val="22"/>
        </w:rPr>
        <w:t> </w:t>
      </w:r>
      <w:r>
        <w:rPr>
          <w:sz w:val="22"/>
        </w:rPr>
        <w:t>contract</w:t>
      </w:r>
      <w:r>
        <w:rPr>
          <w:spacing w:val="-6"/>
          <w:sz w:val="22"/>
        </w:rPr>
        <w:t> </w:t>
      </w:r>
      <w:r>
        <w:rPr>
          <w:sz w:val="22"/>
        </w:rPr>
        <w:t>with</w:t>
      </w:r>
      <w:r>
        <w:rPr>
          <w:spacing w:val="-9"/>
          <w:sz w:val="22"/>
        </w:rPr>
        <w:t> </w:t>
      </w:r>
      <w:r>
        <w:rPr>
          <w:sz w:val="22"/>
        </w:rPr>
        <w:t>MassHealth and agreements with ACOs and MCOs</w:t>
      </w:r>
    </w:p>
    <w:p>
      <w:pPr>
        <w:pStyle w:val="ListParagraph"/>
        <w:numPr>
          <w:ilvl w:val="5"/>
          <w:numId w:val="65"/>
        </w:numPr>
        <w:tabs>
          <w:tab w:pos="2659" w:val="left" w:leader="none"/>
        </w:tabs>
        <w:spacing w:line="240" w:lineRule="auto" w:before="199" w:after="0"/>
        <w:ind w:left="2659" w:right="0" w:hanging="359"/>
        <w:jc w:val="left"/>
        <w:rPr>
          <w:sz w:val="22"/>
        </w:rPr>
      </w:pPr>
      <w:r>
        <w:rPr>
          <w:sz w:val="22"/>
        </w:rPr>
        <w:t>Workforce</w:t>
      </w:r>
      <w:r>
        <w:rPr>
          <w:spacing w:val="-6"/>
          <w:sz w:val="22"/>
        </w:rPr>
        <w:t> </w:t>
      </w:r>
      <w:r>
        <w:rPr>
          <w:sz w:val="22"/>
        </w:rPr>
        <w:t>development</w:t>
      </w:r>
      <w:r>
        <w:rPr>
          <w:spacing w:val="-5"/>
          <w:sz w:val="22"/>
        </w:rPr>
        <w:t> </w:t>
      </w:r>
      <w:r>
        <w:rPr>
          <w:sz w:val="22"/>
        </w:rPr>
        <w:t>and</w:t>
      </w:r>
      <w:r>
        <w:rPr>
          <w:spacing w:val="-5"/>
          <w:sz w:val="22"/>
        </w:rPr>
        <w:t> </w:t>
      </w:r>
      <w:r>
        <w:rPr>
          <w:spacing w:val="-2"/>
          <w:sz w:val="22"/>
        </w:rPr>
        <w:t>stability</w:t>
      </w:r>
    </w:p>
    <w:p>
      <w:pPr>
        <w:pStyle w:val="ListParagraph"/>
        <w:numPr>
          <w:ilvl w:val="4"/>
          <w:numId w:val="65"/>
        </w:numPr>
        <w:tabs>
          <w:tab w:pos="1939" w:val="left" w:leader="none"/>
          <w:tab w:pos="1941" w:val="left" w:leader="none"/>
        </w:tabs>
        <w:spacing w:line="240" w:lineRule="auto" w:before="181" w:after="0"/>
        <w:ind w:left="1941" w:right="1096" w:hanging="361"/>
        <w:jc w:val="both"/>
        <w:rPr>
          <w:sz w:val="22"/>
        </w:rPr>
      </w:pPr>
      <w:r>
        <w:rPr>
          <w:sz w:val="22"/>
        </w:rPr>
        <w:t>A</w:t>
      </w:r>
      <w:r>
        <w:rPr>
          <w:spacing w:val="-1"/>
          <w:sz w:val="22"/>
        </w:rPr>
        <w:t> </w:t>
      </w:r>
      <w:r>
        <w:rPr>
          <w:sz w:val="22"/>
        </w:rPr>
        <w:t>plan</w:t>
      </w:r>
      <w:r>
        <w:rPr>
          <w:spacing w:val="-2"/>
          <w:sz w:val="22"/>
        </w:rPr>
        <w:t> </w:t>
      </w:r>
      <w:r>
        <w:rPr>
          <w:sz w:val="22"/>
        </w:rPr>
        <w:t>to</w:t>
      </w:r>
      <w:r>
        <w:rPr>
          <w:spacing w:val="-2"/>
          <w:sz w:val="22"/>
        </w:rPr>
        <w:t> </w:t>
      </w:r>
      <w:r>
        <w:rPr>
          <w:sz w:val="22"/>
        </w:rPr>
        <w:t>increase</w:t>
      </w:r>
      <w:r>
        <w:rPr>
          <w:spacing w:val="-2"/>
          <w:sz w:val="22"/>
        </w:rPr>
        <w:t> </w:t>
      </w:r>
      <w:r>
        <w:rPr>
          <w:sz w:val="22"/>
        </w:rPr>
        <w:t>the</w:t>
      </w:r>
      <w:r>
        <w:rPr>
          <w:spacing w:val="-2"/>
          <w:sz w:val="22"/>
        </w:rPr>
        <w:t> </w:t>
      </w:r>
      <w:r>
        <w:rPr>
          <w:sz w:val="22"/>
        </w:rPr>
        <w:t>CP’s</w:t>
      </w:r>
      <w:r>
        <w:rPr>
          <w:spacing w:val="-2"/>
          <w:sz w:val="22"/>
        </w:rPr>
        <w:t> </w:t>
      </w:r>
      <w:r>
        <w:rPr>
          <w:sz w:val="22"/>
        </w:rPr>
        <w:t>or</w:t>
      </w:r>
      <w:r>
        <w:rPr>
          <w:spacing w:val="-1"/>
          <w:sz w:val="22"/>
        </w:rPr>
        <w:t> </w:t>
      </w:r>
      <w:r>
        <w:rPr>
          <w:sz w:val="22"/>
        </w:rPr>
        <w:t>CSA’s</w:t>
      </w:r>
      <w:r>
        <w:rPr>
          <w:spacing w:val="-2"/>
          <w:sz w:val="22"/>
        </w:rPr>
        <w:t> </w:t>
      </w:r>
      <w:r>
        <w:rPr>
          <w:sz w:val="22"/>
        </w:rPr>
        <w:t>capabilities</w:t>
      </w:r>
      <w:r>
        <w:rPr>
          <w:spacing w:val="-2"/>
          <w:sz w:val="22"/>
        </w:rPr>
        <w:t> </w:t>
      </w:r>
      <w:r>
        <w:rPr>
          <w:sz w:val="22"/>
        </w:rPr>
        <w:t>to</w:t>
      </w:r>
      <w:r>
        <w:rPr>
          <w:spacing w:val="-2"/>
          <w:sz w:val="22"/>
        </w:rPr>
        <w:t> </w:t>
      </w:r>
      <w:r>
        <w:rPr>
          <w:sz w:val="22"/>
        </w:rPr>
        <w:t>share</w:t>
      </w:r>
      <w:r>
        <w:rPr>
          <w:spacing w:val="-2"/>
          <w:sz w:val="22"/>
        </w:rPr>
        <w:t> </w:t>
      </w:r>
      <w:r>
        <w:rPr>
          <w:sz w:val="22"/>
        </w:rPr>
        <w:t>information with</w:t>
      </w:r>
      <w:r>
        <w:rPr>
          <w:spacing w:val="-2"/>
          <w:sz w:val="22"/>
        </w:rPr>
        <w:t> </w:t>
      </w:r>
      <w:r>
        <w:rPr>
          <w:sz w:val="22"/>
        </w:rPr>
        <w:t>ACOs and</w:t>
      </w:r>
      <w:r>
        <w:rPr>
          <w:spacing w:val="-2"/>
          <w:sz w:val="22"/>
        </w:rPr>
        <w:t> </w:t>
      </w:r>
      <w:r>
        <w:rPr>
          <w:sz w:val="22"/>
        </w:rPr>
        <w:t>MCOs</w:t>
      </w:r>
      <w:r>
        <w:rPr>
          <w:spacing w:val="-2"/>
          <w:sz w:val="22"/>
        </w:rPr>
        <w:t> </w:t>
      </w:r>
      <w:r>
        <w:rPr>
          <w:sz w:val="22"/>
        </w:rPr>
        <w:t>and among providers involved in care of its members. Such plan will include, at a minimum:</w:t>
      </w:r>
    </w:p>
    <w:p>
      <w:pPr>
        <w:pStyle w:val="ListParagraph"/>
        <w:numPr>
          <w:ilvl w:val="5"/>
          <w:numId w:val="65"/>
        </w:numPr>
        <w:tabs>
          <w:tab w:pos="2660" w:val="left" w:leader="none"/>
        </w:tabs>
        <w:spacing w:line="240" w:lineRule="auto" w:before="201" w:after="0"/>
        <w:ind w:left="2660" w:right="0" w:hanging="359"/>
        <w:jc w:val="left"/>
        <w:rPr>
          <w:sz w:val="22"/>
        </w:rPr>
      </w:pPr>
      <w:r>
        <w:rPr>
          <w:sz w:val="22"/>
        </w:rPr>
        <w:t>The</w:t>
      </w:r>
      <w:r>
        <w:rPr>
          <w:spacing w:val="-6"/>
          <w:sz w:val="22"/>
        </w:rPr>
        <w:t> </w:t>
      </w:r>
      <w:r>
        <w:rPr>
          <w:sz w:val="22"/>
        </w:rPr>
        <w:t>CP’s</w:t>
      </w:r>
      <w:r>
        <w:rPr>
          <w:spacing w:val="-3"/>
          <w:sz w:val="22"/>
        </w:rPr>
        <w:t> </w:t>
      </w:r>
      <w:r>
        <w:rPr>
          <w:sz w:val="22"/>
        </w:rPr>
        <w:t>or</w:t>
      </w:r>
      <w:r>
        <w:rPr>
          <w:spacing w:val="-2"/>
          <w:sz w:val="22"/>
        </w:rPr>
        <w:t> </w:t>
      </w:r>
      <w:r>
        <w:rPr>
          <w:sz w:val="22"/>
        </w:rPr>
        <w:t>CSA’s</w:t>
      </w:r>
      <w:r>
        <w:rPr>
          <w:spacing w:val="-5"/>
          <w:sz w:val="22"/>
        </w:rPr>
        <w:t> </w:t>
      </w:r>
      <w:r>
        <w:rPr>
          <w:sz w:val="22"/>
        </w:rPr>
        <w:t>current</w:t>
      </w:r>
      <w:r>
        <w:rPr>
          <w:spacing w:val="-6"/>
          <w:sz w:val="22"/>
        </w:rPr>
        <w:t> </w:t>
      </w:r>
      <w:r>
        <w:rPr>
          <w:sz w:val="22"/>
        </w:rPr>
        <w:t>communication</w:t>
      </w:r>
      <w:r>
        <w:rPr>
          <w:spacing w:val="-3"/>
          <w:sz w:val="22"/>
        </w:rPr>
        <w:t> </w:t>
      </w:r>
      <w:r>
        <w:rPr>
          <w:sz w:val="22"/>
        </w:rPr>
        <w:t>practices</w:t>
      </w:r>
      <w:r>
        <w:rPr>
          <w:spacing w:val="-3"/>
          <w:sz w:val="22"/>
        </w:rPr>
        <w:t> </w:t>
      </w:r>
      <w:r>
        <w:rPr>
          <w:sz w:val="22"/>
        </w:rPr>
        <w:t>and</w:t>
      </w:r>
      <w:r>
        <w:rPr>
          <w:spacing w:val="-3"/>
          <w:sz w:val="22"/>
        </w:rPr>
        <w:t> </w:t>
      </w:r>
      <w:r>
        <w:rPr>
          <w:spacing w:val="-2"/>
          <w:sz w:val="22"/>
        </w:rPr>
        <w:t>capabilities</w:t>
      </w:r>
    </w:p>
    <w:p>
      <w:pPr>
        <w:pStyle w:val="ListParagraph"/>
        <w:numPr>
          <w:ilvl w:val="5"/>
          <w:numId w:val="65"/>
        </w:numPr>
        <w:tabs>
          <w:tab w:pos="2659" w:val="left" w:leader="none"/>
          <w:tab w:pos="2661" w:val="left" w:leader="none"/>
        </w:tabs>
        <w:spacing w:line="228" w:lineRule="auto" w:before="187" w:after="0"/>
        <w:ind w:left="2661" w:right="1093" w:hanging="361"/>
        <w:jc w:val="both"/>
        <w:rPr>
          <w:sz w:val="22"/>
        </w:rPr>
      </w:pPr>
      <w:r>
        <w:rPr>
          <w:sz w:val="22"/>
        </w:rPr>
        <w:t>The</w:t>
      </w:r>
      <w:r>
        <w:rPr>
          <w:spacing w:val="-9"/>
          <w:sz w:val="22"/>
        </w:rPr>
        <w:t> </w:t>
      </w:r>
      <w:r>
        <w:rPr>
          <w:sz w:val="22"/>
        </w:rPr>
        <w:t>CP’s</w:t>
      </w:r>
      <w:r>
        <w:rPr>
          <w:spacing w:val="-7"/>
          <w:sz w:val="22"/>
        </w:rPr>
        <w:t> </w:t>
      </w:r>
      <w:r>
        <w:rPr>
          <w:sz w:val="22"/>
        </w:rPr>
        <w:t>or</w:t>
      </w:r>
      <w:r>
        <w:rPr>
          <w:spacing w:val="-6"/>
          <w:sz w:val="22"/>
        </w:rPr>
        <w:t> </w:t>
      </w:r>
      <w:r>
        <w:rPr>
          <w:sz w:val="22"/>
        </w:rPr>
        <w:t>CSA’s</w:t>
      </w:r>
      <w:r>
        <w:rPr>
          <w:spacing w:val="-9"/>
          <w:sz w:val="22"/>
        </w:rPr>
        <w:t> </w:t>
      </w:r>
      <w:r>
        <w:rPr>
          <w:sz w:val="22"/>
        </w:rPr>
        <w:t>self-assessed</w:t>
      </w:r>
      <w:r>
        <w:rPr>
          <w:spacing w:val="-10"/>
          <w:sz w:val="22"/>
        </w:rPr>
        <w:t> </w:t>
      </w:r>
      <w:r>
        <w:rPr>
          <w:sz w:val="22"/>
        </w:rPr>
        <w:t>gaps</w:t>
      </w:r>
      <w:r>
        <w:rPr>
          <w:spacing w:val="-9"/>
          <w:sz w:val="22"/>
        </w:rPr>
        <w:t> </w:t>
      </w:r>
      <w:r>
        <w:rPr>
          <w:sz w:val="22"/>
        </w:rPr>
        <w:t>in</w:t>
      </w:r>
      <w:r>
        <w:rPr>
          <w:spacing w:val="-9"/>
          <w:sz w:val="22"/>
        </w:rPr>
        <w:t> </w:t>
      </w:r>
      <w:r>
        <w:rPr>
          <w:sz w:val="22"/>
        </w:rPr>
        <w:t>such</w:t>
      </w:r>
      <w:r>
        <w:rPr>
          <w:spacing w:val="-10"/>
          <w:sz w:val="22"/>
        </w:rPr>
        <w:t> </w:t>
      </w:r>
      <w:r>
        <w:rPr>
          <w:sz w:val="22"/>
        </w:rPr>
        <w:t>capabilities</w:t>
      </w:r>
      <w:r>
        <w:rPr>
          <w:spacing w:val="-9"/>
          <w:sz w:val="22"/>
        </w:rPr>
        <w:t> </w:t>
      </w:r>
      <w:r>
        <w:rPr>
          <w:sz w:val="22"/>
        </w:rPr>
        <w:t>and</w:t>
      </w:r>
      <w:r>
        <w:rPr>
          <w:spacing w:val="-10"/>
          <w:sz w:val="22"/>
        </w:rPr>
        <w:t> </w:t>
      </w:r>
      <w:r>
        <w:rPr>
          <w:sz w:val="22"/>
        </w:rPr>
        <w:t>procedures,</w:t>
      </w:r>
      <w:r>
        <w:rPr>
          <w:spacing w:val="-7"/>
          <w:sz w:val="22"/>
        </w:rPr>
        <w:t> </w:t>
      </w:r>
      <w:r>
        <w:rPr>
          <w:sz w:val="22"/>
        </w:rPr>
        <w:t>and</w:t>
      </w:r>
      <w:r>
        <w:rPr>
          <w:spacing w:val="-7"/>
          <w:sz w:val="22"/>
        </w:rPr>
        <w:t> </w:t>
      </w:r>
      <w:r>
        <w:rPr>
          <w:sz w:val="22"/>
        </w:rPr>
        <w:t>how</w:t>
      </w:r>
      <w:r>
        <w:rPr>
          <w:spacing w:val="-8"/>
          <w:sz w:val="22"/>
        </w:rPr>
        <w:t> </w:t>
      </w:r>
      <w:r>
        <w:rPr>
          <w:sz w:val="22"/>
        </w:rPr>
        <w:t>the</w:t>
      </w:r>
      <w:r>
        <w:rPr>
          <w:spacing w:val="-9"/>
          <w:sz w:val="22"/>
        </w:rPr>
        <w:t> </w:t>
      </w:r>
      <w:r>
        <w:rPr>
          <w:sz w:val="22"/>
        </w:rPr>
        <w:t>CP or CSA plans to address such gaps</w:t>
      </w:r>
    </w:p>
    <w:p>
      <w:pPr>
        <w:pStyle w:val="ListParagraph"/>
        <w:numPr>
          <w:ilvl w:val="5"/>
          <w:numId w:val="65"/>
        </w:numPr>
        <w:tabs>
          <w:tab w:pos="2659" w:val="left" w:leader="none"/>
          <w:tab w:pos="2661" w:val="left" w:leader="none"/>
        </w:tabs>
        <w:spacing w:line="225" w:lineRule="auto" w:before="211" w:after="0"/>
        <w:ind w:left="2661" w:right="1091" w:hanging="361"/>
        <w:jc w:val="both"/>
        <w:rPr>
          <w:sz w:val="22"/>
        </w:rPr>
      </w:pPr>
      <w:r>
        <w:rPr>
          <w:sz w:val="22"/>
        </w:rPr>
        <w:t>A description of the CP’s or CSA’s plans, if any, to increase the use of Electronic Health Record and Care Management technology</w:t>
      </w:r>
    </w:p>
    <w:p>
      <w:pPr>
        <w:pStyle w:val="ListParagraph"/>
        <w:numPr>
          <w:ilvl w:val="5"/>
          <w:numId w:val="65"/>
        </w:numPr>
        <w:tabs>
          <w:tab w:pos="2659" w:val="left" w:leader="none"/>
          <w:tab w:pos="2661" w:val="left" w:leader="none"/>
        </w:tabs>
        <w:spacing w:line="232" w:lineRule="auto" w:before="205" w:after="0"/>
        <w:ind w:left="2661" w:right="1091" w:hanging="361"/>
        <w:jc w:val="both"/>
        <w:rPr>
          <w:sz w:val="22"/>
        </w:rPr>
      </w:pPr>
      <w:r>
        <w:rPr>
          <w:sz w:val="22"/>
        </w:rPr>
        <w:t>A description of how the CP or CSA plans to ensure the CP or CSA and its partners consistently use the statewide health information exchange to send or receive legally and clinically appropriate patient clinical information and support transitions of care</w:t>
      </w:r>
    </w:p>
    <w:p>
      <w:pPr>
        <w:pStyle w:val="ListParagraph"/>
        <w:numPr>
          <w:ilvl w:val="4"/>
          <w:numId w:val="65"/>
        </w:numPr>
        <w:tabs>
          <w:tab w:pos="1939" w:val="left" w:leader="none"/>
          <w:tab w:pos="1941" w:val="left" w:leader="none"/>
        </w:tabs>
        <w:spacing w:line="240" w:lineRule="auto" w:before="199" w:after="0"/>
        <w:ind w:left="1941" w:right="1093" w:hanging="361"/>
        <w:jc w:val="both"/>
        <w:rPr>
          <w:sz w:val="22"/>
        </w:rPr>
      </w:pPr>
      <w:r>
        <w:rPr>
          <w:sz w:val="22"/>
        </w:rPr>
        <w:t>Details about how the CP or CSA will not duplicate existing infrastructure with their planned DSRIP investments</w:t>
      </w:r>
    </w:p>
    <w:p>
      <w:pPr>
        <w:pStyle w:val="Heading2"/>
        <w:numPr>
          <w:ilvl w:val="1"/>
          <w:numId w:val="65"/>
        </w:numPr>
        <w:tabs>
          <w:tab w:pos="1618" w:val="left" w:leader="none"/>
        </w:tabs>
        <w:spacing w:line="298" w:lineRule="exact" w:before="203" w:after="0"/>
        <w:ind w:left="1618" w:right="0" w:hanging="398"/>
        <w:jc w:val="both"/>
      </w:pPr>
      <w:bookmarkStart w:name="3.3 Budgets and Budget Narratives" w:id="1257"/>
      <w:bookmarkEnd w:id="1257"/>
      <w:r>
        <w:rPr>
          <w:b w:val="0"/>
        </w:rPr>
      </w:r>
      <w:bookmarkStart w:name="_bookmark27" w:id="1258"/>
      <w:bookmarkEnd w:id="1258"/>
      <w:r>
        <w:rPr>
          <w:b w:val="0"/>
        </w:rPr>
      </w:r>
      <w:r>
        <w:rPr>
          <w:color w:val="4471C4"/>
        </w:rPr>
        <w:t>Budgets</w:t>
      </w:r>
      <w:r>
        <w:rPr>
          <w:color w:val="4471C4"/>
          <w:spacing w:val="-8"/>
        </w:rPr>
        <w:t> </w:t>
      </w:r>
      <w:r>
        <w:rPr>
          <w:color w:val="4471C4"/>
        </w:rPr>
        <w:t>and</w:t>
      </w:r>
      <w:r>
        <w:rPr>
          <w:color w:val="4471C4"/>
          <w:spacing w:val="-11"/>
        </w:rPr>
        <w:t> </w:t>
      </w:r>
      <w:r>
        <w:rPr>
          <w:color w:val="4471C4"/>
        </w:rPr>
        <w:t>Budget</w:t>
      </w:r>
      <w:r>
        <w:rPr>
          <w:color w:val="4471C4"/>
          <w:spacing w:val="-8"/>
        </w:rPr>
        <w:t> </w:t>
      </w:r>
      <w:r>
        <w:rPr>
          <w:color w:val="4471C4"/>
          <w:spacing w:val="-2"/>
        </w:rPr>
        <w:t>Narratives</w:t>
      </w:r>
    </w:p>
    <w:p>
      <w:pPr>
        <w:spacing w:before="0"/>
        <w:ind w:left="1219" w:right="1093" w:firstLine="0"/>
        <w:jc w:val="both"/>
        <w:rPr>
          <w:sz w:val="22"/>
        </w:rPr>
      </w:pPr>
      <w:r>
        <w:rPr>
          <w:sz w:val="22"/>
        </w:rPr>
        <w:t>Each ACO, CP and CSA will submit a Budget and Budget Narrative to MassHealth for approval for each budget period. ACOs will submit a Budget and Budget Narrative to the State prior to each budget period. CPs and CSAs may submit a Budget and Budget Narrative to the State after the start of a budget period. The</w:t>
      </w:r>
      <w:r>
        <w:rPr>
          <w:spacing w:val="-7"/>
          <w:sz w:val="22"/>
        </w:rPr>
        <w:t> </w:t>
      </w:r>
      <w:r>
        <w:rPr>
          <w:sz w:val="22"/>
        </w:rPr>
        <w:t>Budget</w:t>
      </w:r>
      <w:r>
        <w:rPr>
          <w:spacing w:val="-4"/>
          <w:sz w:val="22"/>
        </w:rPr>
        <w:t> </w:t>
      </w:r>
      <w:r>
        <w:rPr>
          <w:sz w:val="22"/>
        </w:rPr>
        <w:t>is</w:t>
      </w:r>
      <w:r>
        <w:rPr>
          <w:spacing w:val="-4"/>
          <w:sz w:val="22"/>
        </w:rPr>
        <w:t> </w:t>
      </w:r>
      <w:r>
        <w:rPr>
          <w:sz w:val="22"/>
        </w:rPr>
        <w:t>an</w:t>
      </w:r>
      <w:r>
        <w:rPr>
          <w:spacing w:val="-7"/>
          <w:sz w:val="22"/>
        </w:rPr>
        <w:t> </w:t>
      </w:r>
      <w:r>
        <w:rPr>
          <w:sz w:val="22"/>
        </w:rPr>
        <w:t>itemized</w:t>
      </w:r>
      <w:r>
        <w:rPr>
          <w:spacing w:val="-5"/>
          <w:sz w:val="22"/>
        </w:rPr>
        <w:t> </w:t>
      </w:r>
      <w:r>
        <w:rPr>
          <w:sz w:val="22"/>
        </w:rPr>
        <w:t>budget</w:t>
      </w:r>
      <w:r>
        <w:rPr>
          <w:spacing w:val="-4"/>
          <w:sz w:val="22"/>
        </w:rPr>
        <w:t> </w:t>
      </w:r>
      <w:r>
        <w:rPr>
          <w:sz w:val="22"/>
        </w:rPr>
        <w:t>for</w:t>
      </w:r>
      <w:r>
        <w:rPr>
          <w:spacing w:val="-4"/>
          <w:sz w:val="22"/>
        </w:rPr>
        <w:t> </w:t>
      </w:r>
      <w:r>
        <w:rPr>
          <w:sz w:val="22"/>
        </w:rPr>
        <w:t>the</w:t>
      </w:r>
      <w:r>
        <w:rPr>
          <w:spacing w:val="-4"/>
          <w:sz w:val="22"/>
        </w:rPr>
        <w:t> </w:t>
      </w:r>
      <w:r>
        <w:rPr>
          <w:sz w:val="22"/>
        </w:rPr>
        <w:t>ACO’s,</w:t>
      </w:r>
      <w:r>
        <w:rPr>
          <w:spacing w:val="-5"/>
          <w:sz w:val="22"/>
        </w:rPr>
        <w:t> </w:t>
      </w:r>
      <w:r>
        <w:rPr>
          <w:sz w:val="22"/>
        </w:rPr>
        <w:t>CP’s</w:t>
      </w:r>
      <w:r>
        <w:rPr>
          <w:spacing w:val="-7"/>
          <w:sz w:val="22"/>
        </w:rPr>
        <w:t> </w:t>
      </w:r>
      <w:r>
        <w:rPr>
          <w:sz w:val="22"/>
        </w:rPr>
        <w:t>or</w:t>
      </w:r>
      <w:r>
        <w:rPr>
          <w:spacing w:val="-4"/>
          <w:sz w:val="22"/>
        </w:rPr>
        <w:t> </w:t>
      </w:r>
      <w:r>
        <w:rPr>
          <w:sz w:val="22"/>
        </w:rPr>
        <w:t>CSA’s</w:t>
      </w:r>
      <w:r>
        <w:rPr>
          <w:spacing w:val="-7"/>
          <w:sz w:val="22"/>
        </w:rPr>
        <w:t> </w:t>
      </w:r>
      <w:r>
        <w:rPr>
          <w:sz w:val="22"/>
        </w:rPr>
        <w:t>proposed</w:t>
      </w:r>
      <w:r>
        <w:rPr>
          <w:spacing w:val="-7"/>
          <w:sz w:val="22"/>
        </w:rPr>
        <w:t> </w:t>
      </w:r>
      <w:r>
        <w:rPr>
          <w:sz w:val="22"/>
        </w:rPr>
        <w:t>DSRIP-funded</w:t>
      </w:r>
      <w:r>
        <w:rPr>
          <w:spacing w:val="-5"/>
          <w:sz w:val="22"/>
        </w:rPr>
        <w:t> </w:t>
      </w:r>
      <w:r>
        <w:rPr>
          <w:sz w:val="22"/>
        </w:rPr>
        <w:t>investments</w:t>
      </w:r>
      <w:r>
        <w:rPr>
          <w:spacing w:val="-7"/>
          <w:sz w:val="22"/>
        </w:rPr>
        <w:t> </w:t>
      </w:r>
      <w:r>
        <w:rPr>
          <w:sz w:val="22"/>
        </w:rPr>
        <w:t>and programs</w:t>
      </w:r>
      <w:r>
        <w:rPr>
          <w:spacing w:val="-2"/>
          <w:sz w:val="22"/>
        </w:rPr>
        <w:t> </w:t>
      </w:r>
      <w:r>
        <w:rPr>
          <w:sz w:val="22"/>
        </w:rPr>
        <w:t>for</w:t>
      </w:r>
      <w:r>
        <w:rPr>
          <w:spacing w:val="-4"/>
          <w:sz w:val="22"/>
        </w:rPr>
        <w:t> </w:t>
      </w:r>
      <w:r>
        <w:rPr>
          <w:sz w:val="22"/>
        </w:rPr>
        <w:t>the</w:t>
      </w:r>
      <w:r>
        <w:rPr>
          <w:spacing w:val="-2"/>
          <w:sz w:val="22"/>
        </w:rPr>
        <w:t> </w:t>
      </w:r>
      <w:r>
        <w:rPr>
          <w:sz w:val="22"/>
        </w:rPr>
        <w:t>Budget</w:t>
      </w:r>
      <w:r>
        <w:rPr>
          <w:spacing w:val="-1"/>
          <w:sz w:val="22"/>
        </w:rPr>
        <w:t> </w:t>
      </w:r>
      <w:r>
        <w:rPr>
          <w:sz w:val="22"/>
        </w:rPr>
        <w:t>Period;</w:t>
      </w:r>
      <w:r>
        <w:rPr>
          <w:spacing w:val="-1"/>
          <w:sz w:val="22"/>
        </w:rPr>
        <w:t> </w:t>
      </w:r>
      <w:r>
        <w:rPr>
          <w:sz w:val="22"/>
        </w:rPr>
        <w:t>the</w:t>
      </w:r>
      <w:r>
        <w:rPr>
          <w:spacing w:val="-2"/>
          <w:sz w:val="22"/>
        </w:rPr>
        <w:t> </w:t>
      </w:r>
      <w:r>
        <w:rPr>
          <w:sz w:val="22"/>
        </w:rPr>
        <w:t>accompanying</w:t>
      </w:r>
      <w:r>
        <w:rPr>
          <w:spacing w:val="-5"/>
          <w:sz w:val="22"/>
        </w:rPr>
        <w:t> </w:t>
      </w:r>
      <w:r>
        <w:rPr>
          <w:sz w:val="22"/>
        </w:rPr>
        <w:t>Budget</w:t>
      </w:r>
      <w:r>
        <w:rPr>
          <w:spacing w:val="-1"/>
          <w:sz w:val="22"/>
        </w:rPr>
        <w:t> </w:t>
      </w:r>
      <w:r>
        <w:rPr>
          <w:sz w:val="22"/>
        </w:rPr>
        <w:t>Narrative</w:t>
      </w:r>
      <w:r>
        <w:rPr>
          <w:spacing w:val="-2"/>
          <w:sz w:val="22"/>
        </w:rPr>
        <w:t> </w:t>
      </w:r>
      <w:r>
        <w:rPr>
          <w:sz w:val="22"/>
        </w:rPr>
        <w:t>explains</w:t>
      </w:r>
      <w:r>
        <w:rPr>
          <w:spacing w:val="-2"/>
          <w:sz w:val="22"/>
        </w:rPr>
        <w:t> </w:t>
      </w:r>
      <w:r>
        <w:rPr>
          <w:sz w:val="22"/>
        </w:rPr>
        <w:t>uses</w:t>
      </w:r>
      <w:r>
        <w:rPr>
          <w:spacing w:val="-2"/>
          <w:sz w:val="22"/>
        </w:rPr>
        <w:t> </w:t>
      </w:r>
      <w:r>
        <w:rPr>
          <w:sz w:val="22"/>
        </w:rPr>
        <w:t>of</w:t>
      </w:r>
      <w:r>
        <w:rPr>
          <w:spacing w:val="-4"/>
          <w:sz w:val="22"/>
        </w:rPr>
        <w:t> </w:t>
      </w:r>
      <w:r>
        <w:rPr>
          <w:sz w:val="22"/>
        </w:rPr>
        <w:t>the</w:t>
      </w:r>
      <w:r>
        <w:rPr>
          <w:spacing w:val="-4"/>
          <w:sz w:val="22"/>
        </w:rPr>
        <w:t> </w:t>
      </w:r>
      <w:r>
        <w:rPr>
          <w:sz w:val="22"/>
        </w:rPr>
        <w:t>funds.</w:t>
      </w:r>
      <w:r>
        <w:rPr>
          <w:spacing w:val="-5"/>
          <w:sz w:val="22"/>
        </w:rPr>
        <w:t> </w:t>
      </w:r>
      <w:r>
        <w:rPr>
          <w:sz w:val="22"/>
        </w:rPr>
        <w:t>The</w:t>
      </w:r>
      <w:r>
        <w:rPr>
          <w:spacing w:val="-2"/>
          <w:sz w:val="22"/>
        </w:rPr>
        <w:t> </w:t>
      </w:r>
      <w:r>
        <w:rPr>
          <w:sz w:val="22"/>
        </w:rPr>
        <w:t>State will</w:t>
      </w:r>
      <w:r>
        <w:rPr>
          <w:spacing w:val="-4"/>
          <w:sz w:val="22"/>
        </w:rPr>
        <w:t> </w:t>
      </w:r>
      <w:r>
        <w:rPr>
          <w:sz w:val="22"/>
        </w:rPr>
        <w:t>provide</w:t>
      </w:r>
      <w:r>
        <w:rPr>
          <w:spacing w:val="-2"/>
          <w:sz w:val="22"/>
        </w:rPr>
        <w:t> </w:t>
      </w:r>
      <w:r>
        <w:rPr>
          <w:sz w:val="22"/>
        </w:rPr>
        <w:t>a</w:t>
      </w:r>
      <w:r>
        <w:rPr>
          <w:spacing w:val="-4"/>
          <w:sz w:val="22"/>
        </w:rPr>
        <w:t> </w:t>
      </w:r>
      <w:r>
        <w:rPr>
          <w:sz w:val="22"/>
        </w:rPr>
        <w:t>budget</w:t>
      </w:r>
      <w:r>
        <w:rPr>
          <w:spacing w:val="-4"/>
          <w:sz w:val="22"/>
        </w:rPr>
        <w:t> </w:t>
      </w:r>
      <w:r>
        <w:rPr>
          <w:sz w:val="22"/>
        </w:rPr>
        <w:t>temple</w:t>
      </w:r>
      <w:r>
        <w:rPr>
          <w:spacing w:val="-2"/>
          <w:sz w:val="22"/>
        </w:rPr>
        <w:t> </w:t>
      </w:r>
      <w:r>
        <w:rPr>
          <w:sz w:val="22"/>
        </w:rPr>
        <w:t>for</w:t>
      </w:r>
      <w:r>
        <w:rPr>
          <w:spacing w:val="-1"/>
          <w:sz w:val="22"/>
        </w:rPr>
        <w:t> </w:t>
      </w:r>
      <w:r>
        <w:rPr>
          <w:sz w:val="22"/>
        </w:rPr>
        <w:t>ACOs,</w:t>
      </w:r>
      <w:r>
        <w:rPr>
          <w:spacing w:val="-2"/>
          <w:sz w:val="22"/>
        </w:rPr>
        <w:t> </w:t>
      </w:r>
      <w:r>
        <w:rPr>
          <w:sz w:val="22"/>
        </w:rPr>
        <w:t>CPs</w:t>
      </w:r>
      <w:r>
        <w:rPr>
          <w:spacing w:val="-2"/>
          <w:sz w:val="22"/>
        </w:rPr>
        <w:t> </w:t>
      </w:r>
      <w:r>
        <w:rPr>
          <w:sz w:val="22"/>
        </w:rPr>
        <w:t>and</w:t>
      </w:r>
      <w:r>
        <w:rPr>
          <w:spacing w:val="-2"/>
          <w:sz w:val="22"/>
        </w:rPr>
        <w:t> </w:t>
      </w:r>
      <w:r>
        <w:rPr>
          <w:sz w:val="22"/>
        </w:rPr>
        <w:t>CSAs</w:t>
      </w:r>
      <w:r>
        <w:rPr>
          <w:spacing w:val="-4"/>
          <w:sz w:val="22"/>
        </w:rPr>
        <w:t> </w:t>
      </w:r>
      <w:r>
        <w:rPr>
          <w:sz w:val="22"/>
        </w:rPr>
        <w:t>to</w:t>
      </w:r>
      <w:r>
        <w:rPr>
          <w:spacing w:val="-5"/>
          <w:sz w:val="22"/>
        </w:rPr>
        <w:t> </w:t>
      </w:r>
      <w:r>
        <w:rPr>
          <w:sz w:val="22"/>
        </w:rPr>
        <w:t>utilize.</w:t>
      </w:r>
      <w:r>
        <w:rPr>
          <w:spacing w:val="-5"/>
          <w:sz w:val="22"/>
        </w:rPr>
        <w:t> </w:t>
      </w:r>
      <w:r>
        <w:rPr>
          <w:sz w:val="22"/>
        </w:rPr>
        <w:t>The</w:t>
      </w:r>
      <w:r>
        <w:rPr>
          <w:spacing w:val="-4"/>
          <w:sz w:val="22"/>
        </w:rPr>
        <w:t> </w:t>
      </w:r>
      <w:r>
        <w:rPr>
          <w:sz w:val="22"/>
        </w:rPr>
        <w:t>State</w:t>
      </w:r>
      <w:r>
        <w:rPr>
          <w:spacing w:val="-4"/>
          <w:sz w:val="22"/>
        </w:rPr>
        <w:t> </w:t>
      </w:r>
      <w:r>
        <w:rPr>
          <w:sz w:val="22"/>
        </w:rPr>
        <w:t>will</w:t>
      </w:r>
      <w:r>
        <w:rPr>
          <w:spacing w:val="-4"/>
          <w:sz w:val="22"/>
        </w:rPr>
        <w:t> </w:t>
      </w:r>
      <w:r>
        <w:rPr>
          <w:sz w:val="22"/>
        </w:rPr>
        <w:t>not</w:t>
      </w:r>
      <w:r>
        <w:rPr>
          <w:spacing w:val="-1"/>
          <w:sz w:val="22"/>
        </w:rPr>
        <w:t> </w:t>
      </w:r>
      <w:r>
        <w:rPr>
          <w:sz w:val="22"/>
        </w:rPr>
        <w:t>disburse</w:t>
      </w:r>
      <w:r>
        <w:rPr>
          <w:spacing w:val="-4"/>
          <w:sz w:val="22"/>
        </w:rPr>
        <w:t> </w:t>
      </w:r>
      <w:r>
        <w:rPr>
          <w:sz w:val="22"/>
        </w:rPr>
        <w:t>DSRIP</w:t>
      </w:r>
      <w:r>
        <w:rPr>
          <w:spacing w:val="-3"/>
          <w:sz w:val="22"/>
        </w:rPr>
        <w:t> </w:t>
      </w:r>
      <w:r>
        <w:rPr>
          <w:sz w:val="22"/>
        </w:rPr>
        <w:t>funds for</w:t>
      </w:r>
      <w:r>
        <w:rPr>
          <w:spacing w:val="2"/>
          <w:sz w:val="22"/>
        </w:rPr>
        <w:t> </w:t>
      </w:r>
      <w:r>
        <w:rPr>
          <w:sz w:val="22"/>
        </w:rPr>
        <w:t>a</w:t>
      </w:r>
      <w:r>
        <w:rPr>
          <w:spacing w:val="4"/>
          <w:sz w:val="22"/>
        </w:rPr>
        <w:t> </w:t>
      </w:r>
      <w:r>
        <w:rPr>
          <w:sz w:val="22"/>
        </w:rPr>
        <w:t>given</w:t>
      </w:r>
      <w:r>
        <w:rPr>
          <w:spacing w:val="5"/>
          <w:sz w:val="22"/>
        </w:rPr>
        <w:t> </w:t>
      </w:r>
      <w:r>
        <w:rPr>
          <w:sz w:val="22"/>
        </w:rPr>
        <w:t>budget</w:t>
      </w:r>
      <w:r>
        <w:rPr>
          <w:spacing w:val="3"/>
          <w:sz w:val="22"/>
        </w:rPr>
        <w:t> </w:t>
      </w:r>
      <w:r>
        <w:rPr>
          <w:sz w:val="22"/>
        </w:rPr>
        <w:t>period</w:t>
      </w:r>
      <w:r>
        <w:rPr>
          <w:spacing w:val="2"/>
          <w:sz w:val="22"/>
        </w:rPr>
        <w:t> </w:t>
      </w:r>
      <w:r>
        <w:rPr>
          <w:sz w:val="22"/>
        </w:rPr>
        <w:t>to</w:t>
      </w:r>
      <w:r>
        <w:rPr>
          <w:spacing w:val="5"/>
          <w:sz w:val="22"/>
        </w:rPr>
        <w:t> </w:t>
      </w:r>
      <w:r>
        <w:rPr>
          <w:sz w:val="22"/>
        </w:rPr>
        <w:t>an</w:t>
      </w:r>
      <w:r>
        <w:rPr>
          <w:spacing w:val="4"/>
          <w:sz w:val="22"/>
        </w:rPr>
        <w:t> </w:t>
      </w:r>
      <w:r>
        <w:rPr>
          <w:sz w:val="22"/>
        </w:rPr>
        <w:t>ACO,</w:t>
      </w:r>
      <w:r>
        <w:rPr>
          <w:spacing w:val="4"/>
          <w:sz w:val="22"/>
        </w:rPr>
        <w:t> </w:t>
      </w:r>
      <w:r>
        <w:rPr>
          <w:sz w:val="22"/>
        </w:rPr>
        <w:t>CP</w:t>
      </w:r>
      <w:r>
        <w:rPr>
          <w:spacing w:val="2"/>
          <w:sz w:val="22"/>
        </w:rPr>
        <w:t> </w:t>
      </w:r>
      <w:r>
        <w:rPr>
          <w:sz w:val="22"/>
        </w:rPr>
        <w:t>or</w:t>
      </w:r>
      <w:r>
        <w:rPr>
          <w:spacing w:val="2"/>
          <w:sz w:val="22"/>
        </w:rPr>
        <w:t> </w:t>
      </w:r>
      <w:r>
        <w:rPr>
          <w:sz w:val="22"/>
        </w:rPr>
        <w:t>CSA</w:t>
      </w:r>
      <w:r>
        <w:rPr>
          <w:spacing w:val="4"/>
          <w:sz w:val="22"/>
        </w:rPr>
        <w:t> </w:t>
      </w:r>
      <w:r>
        <w:rPr>
          <w:sz w:val="22"/>
        </w:rPr>
        <w:t>that</w:t>
      </w:r>
      <w:r>
        <w:rPr>
          <w:spacing w:val="3"/>
          <w:sz w:val="22"/>
        </w:rPr>
        <w:t> </w:t>
      </w:r>
      <w:r>
        <w:rPr>
          <w:sz w:val="22"/>
        </w:rPr>
        <w:t>does</w:t>
      </w:r>
      <w:r>
        <w:rPr>
          <w:spacing w:val="2"/>
          <w:sz w:val="22"/>
        </w:rPr>
        <w:t> </w:t>
      </w:r>
      <w:r>
        <w:rPr>
          <w:sz w:val="22"/>
        </w:rPr>
        <w:t>not</w:t>
      </w:r>
      <w:r>
        <w:rPr>
          <w:spacing w:val="6"/>
          <w:sz w:val="22"/>
        </w:rPr>
        <w:t> </w:t>
      </w:r>
      <w:r>
        <w:rPr>
          <w:sz w:val="22"/>
        </w:rPr>
        <w:t>have</w:t>
      </w:r>
      <w:r>
        <w:rPr>
          <w:spacing w:val="4"/>
          <w:sz w:val="22"/>
        </w:rPr>
        <w:t> </w:t>
      </w:r>
      <w:r>
        <w:rPr>
          <w:sz w:val="22"/>
        </w:rPr>
        <w:t>a</w:t>
      </w:r>
      <w:r>
        <w:rPr>
          <w:spacing w:val="4"/>
          <w:sz w:val="22"/>
        </w:rPr>
        <w:t> </w:t>
      </w:r>
      <w:r>
        <w:rPr>
          <w:sz w:val="22"/>
        </w:rPr>
        <w:t>state-approved</w:t>
      </w:r>
      <w:r>
        <w:rPr>
          <w:spacing w:val="5"/>
          <w:sz w:val="22"/>
        </w:rPr>
        <w:t> </w:t>
      </w:r>
      <w:r>
        <w:rPr>
          <w:sz w:val="22"/>
        </w:rPr>
        <w:t>Budget</w:t>
      </w:r>
      <w:r>
        <w:rPr>
          <w:spacing w:val="5"/>
          <w:sz w:val="22"/>
        </w:rPr>
        <w:t> </w:t>
      </w:r>
      <w:r>
        <w:rPr>
          <w:sz w:val="22"/>
        </w:rPr>
        <w:t>and</w:t>
      </w:r>
      <w:r>
        <w:rPr>
          <w:spacing w:val="3"/>
          <w:sz w:val="22"/>
        </w:rPr>
        <w:t> </w:t>
      </w:r>
      <w:r>
        <w:rPr>
          <w:spacing w:val="-2"/>
          <w:sz w:val="22"/>
        </w:rPr>
        <w:t>Budget</w:t>
      </w:r>
    </w:p>
    <w:p>
      <w:pPr>
        <w:spacing w:after="0"/>
        <w:jc w:val="both"/>
        <w:rPr>
          <w:sz w:val="22"/>
        </w:rPr>
        <w:sectPr>
          <w:pgSz w:w="12240" w:h="15840"/>
          <w:pgMar w:header="0" w:footer="967" w:top="1360" w:bottom="1160" w:left="220" w:right="340"/>
        </w:sectPr>
      </w:pPr>
    </w:p>
    <w:p>
      <w:pPr>
        <w:spacing w:before="78"/>
        <w:ind w:left="1219" w:right="1094" w:firstLine="0"/>
        <w:jc w:val="both"/>
        <w:rPr>
          <w:sz w:val="22"/>
        </w:rPr>
      </w:pPr>
      <w:r>
        <w:rPr>
          <w:sz w:val="22"/>
        </w:rPr>
        <w:t>Narrative for that Budget Period, except that the State may make care coordination supports payments to CPs during the first three months of BP2 before the BP2 budgets have been approved.. The State may withhold</w:t>
      </w:r>
      <w:r>
        <w:rPr>
          <w:spacing w:val="-6"/>
          <w:sz w:val="22"/>
        </w:rPr>
        <w:t> </w:t>
      </w:r>
      <w:r>
        <w:rPr>
          <w:sz w:val="22"/>
        </w:rPr>
        <w:t>DSRIP</w:t>
      </w:r>
      <w:r>
        <w:rPr>
          <w:spacing w:val="-7"/>
          <w:sz w:val="22"/>
        </w:rPr>
        <w:t> </w:t>
      </w:r>
      <w:r>
        <w:rPr>
          <w:sz w:val="22"/>
        </w:rPr>
        <w:t>funds</w:t>
      </w:r>
      <w:r>
        <w:rPr>
          <w:spacing w:val="-6"/>
          <w:sz w:val="22"/>
        </w:rPr>
        <w:t> </w:t>
      </w:r>
      <w:r>
        <w:rPr>
          <w:sz w:val="22"/>
        </w:rPr>
        <w:t>from</w:t>
      </w:r>
      <w:r>
        <w:rPr>
          <w:spacing w:val="-10"/>
          <w:sz w:val="22"/>
        </w:rPr>
        <w:t> </w:t>
      </w:r>
      <w:r>
        <w:rPr>
          <w:sz w:val="22"/>
        </w:rPr>
        <w:t>an</w:t>
      </w:r>
      <w:r>
        <w:rPr>
          <w:spacing w:val="-6"/>
          <w:sz w:val="22"/>
        </w:rPr>
        <w:t> </w:t>
      </w:r>
      <w:r>
        <w:rPr>
          <w:sz w:val="22"/>
        </w:rPr>
        <w:t>ACO,</w:t>
      </w:r>
      <w:r>
        <w:rPr>
          <w:spacing w:val="-6"/>
          <w:sz w:val="22"/>
        </w:rPr>
        <w:t> </w:t>
      </w:r>
      <w:r>
        <w:rPr>
          <w:sz w:val="22"/>
        </w:rPr>
        <w:t>CP</w:t>
      </w:r>
      <w:r>
        <w:rPr>
          <w:spacing w:val="-7"/>
          <w:sz w:val="22"/>
        </w:rPr>
        <w:t> </w:t>
      </w:r>
      <w:r>
        <w:rPr>
          <w:sz w:val="22"/>
        </w:rPr>
        <w:t>or</w:t>
      </w:r>
      <w:r>
        <w:rPr>
          <w:spacing w:val="-5"/>
          <w:sz w:val="22"/>
        </w:rPr>
        <w:t> </w:t>
      </w:r>
      <w:r>
        <w:rPr>
          <w:sz w:val="22"/>
        </w:rPr>
        <w:t>CSA</w:t>
      </w:r>
      <w:r>
        <w:rPr>
          <w:spacing w:val="-7"/>
          <w:sz w:val="22"/>
        </w:rPr>
        <w:t> </w:t>
      </w:r>
      <w:r>
        <w:rPr>
          <w:sz w:val="22"/>
        </w:rPr>
        <w:t>if</w:t>
      </w:r>
      <w:r>
        <w:rPr>
          <w:spacing w:val="-5"/>
          <w:sz w:val="22"/>
        </w:rPr>
        <w:t> </w:t>
      </w:r>
      <w:r>
        <w:rPr>
          <w:sz w:val="22"/>
        </w:rPr>
        <w:t>there</w:t>
      </w:r>
      <w:r>
        <w:rPr>
          <w:spacing w:val="-6"/>
          <w:sz w:val="22"/>
        </w:rPr>
        <w:t> </w:t>
      </w:r>
      <w:r>
        <w:rPr>
          <w:sz w:val="22"/>
        </w:rPr>
        <w:t>are</w:t>
      </w:r>
      <w:r>
        <w:rPr>
          <w:spacing w:val="-6"/>
          <w:sz w:val="22"/>
        </w:rPr>
        <w:t> </w:t>
      </w:r>
      <w:r>
        <w:rPr>
          <w:sz w:val="22"/>
        </w:rPr>
        <w:t>outstanding</w:t>
      </w:r>
      <w:r>
        <w:rPr>
          <w:spacing w:val="-9"/>
          <w:sz w:val="22"/>
        </w:rPr>
        <w:t> </w:t>
      </w:r>
      <w:r>
        <w:rPr>
          <w:sz w:val="22"/>
        </w:rPr>
        <w:t>State</w:t>
      </w:r>
      <w:r>
        <w:rPr>
          <w:spacing w:val="-6"/>
          <w:sz w:val="22"/>
        </w:rPr>
        <w:t> </w:t>
      </w:r>
      <w:r>
        <w:rPr>
          <w:sz w:val="22"/>
        </w:rPr>
        <w:t>requests</w:t>
      </w:r>
      <w:r>
        <w:rPr>
          <w:spacing w:val="-6"/>
          <w:sz w:val="22"/>
        </w:rPr>
        <w:t> </w:t>
      </w:r>
      <w:r>
        <w:rPr>
          <w:sz w:val="22"/>
        </w:rPr>
        <w:t>for</w:t>
      </w:r>
      <w:r>
        <w:rPr>
          <w:spacing w:val="-5"/>
          <w:sz w:val="22"/>
        </w:rPr>
        <w:t> </w:t>
      </w:r>
      <w:r>
        <w:rPr>
          <w:sz w:val="22"/>
        </w:rPr>
        <w:t>amendments</w:t>
      </w:r>
      <w:r>
        <w:rPr>
          <w:spacing w:val="-6"/>
          <w:sz w:val="22"/>
        </w:rPr>
        <w:t> </w:t>
      </w:r>
      <w:r>
        <w:rPr>
          <w:sz w:val="22"/>
        </w:rPr>
        <w:t>to its Budgets or Budget Narratives.</w:t>
      </w:r>
    </w:p>
    <w:p>
      <w:pPr>
        <w:pStyle w:val="Heading2"/>
        <w:numPr>
          <w:ilvl w:val="1"/>
          <w:numId w:val="65"/>
        </w:numPr>
        <w:tabs>
          <w:tab w:pos="1618" w:val="left" w:leader="none"/>
        </w:tabs>
        <w:spacing w:line="240" w:lineRule="auto" w:before="201" w:after="0"/>
        <w:ind w:left="1618" w:right="0" w:hanging="398"/>
        <w:jc w:val="both"/>
      </w:pPr>
      <w:bookmarkStart w:name="3.4 Review and Approval Process and Time" w:id="1259"/>
      <w:bookmarkEnd w:id="1259"/>
      <w:r>
        <w:rPr>
          <w:b w:val="0"/>
        </w:rPr>
      </w:r>
      <w:bookmarkStart w:name="_bookmark28" w:id="1260"/>
      <w:bookmarkEnd w:id="1260"/>
      <w:r>
        <w:rPr>
          <w:b w:val="0"/>
        </w:rPr>
      </w:r>
      <w:r>
        <w:rPr>
          <w:color w:val="4471C4"/>
        </w:rPr>
        <w:t>Review</w:t>
      </w:r>
      <w:r>
        <w:rPr>
          <w:color w:val="4471C4"/>
          <w:spacing w:val="-7"/>
        </w:rPr>
        <w:t> </w:t>
      </w:r>
      <w:r>
        <w:rPr>
          <w:color w:val="4471C4"/>
        </w:rPr>
        <w:t>and</w:t>
      </w:r>
      <w:r>
        <w:rPr>
          <w:color w:val="4471C4"/>
          <w:spacing w:val="-11"/>
        </w:rPr>
        <w:t> </w:t>
      </w:r>
      <w:r>
        <w:rPr>
          <w:color w:val="4471C4"/>
        </w:rPr>
        <w:t>Approval</w:t>
      </w:r>
      <w:r>
        <w:rPr>
          <w:color w:val="4471C4"/>
          <w:spacing w:val="-8"/>
        </w:rPr>
        <w:t> </w:t>
      </w:r>
      <w:r>
        <w:rPr>
          <w:color w:val="4471C4"/>
        </w:rPr>
        <w:t>Process</w:t>
      </w:r>
      <w:r>
        <w:rPr>
          <w:color w:val="4471C4"/>
          <w:spacing w:val="-10"/>
        </w:rPr>
        <w:t> </w:t>
      </w:r>
      <w:r>
        <w:rPr>
          <w:color w:val="4471C4"/>
        </w:rPr>
        <w:t>and</w:t>
      </w:r>
      <w:r>
        <w:rPr>
          <w:color w:val="4471C4"/>
          <w:spacing w:val="-11"/>
        </w:rPr>
        <w:t> </w:t>
      </w:r>
      <w:r>
        <w:rPr>
          <w:color w:val="4471C4"/>
          <w:spacing w:val="-2"/>
        </w:rPr>
        <w:t>Timelines</w:t>
      </w:r>
    </w:p>
    <w:p>
      <w:pPr>
        <w:pStyle w:val="Heading5"/>
        <w:numPr>
          <w:ilvl w:val="2"/>
          <w:numId w:val="65"/>
        </w:numPr>
        <w:tabs>
          <w:tab w:pos="1940" w:val="left" w:leader="none"/>
        </w:tabs>
        <w:spacing w:line="240" w:lineRule="auto" w:before="203" w:after="0"/>
        <w:ind w:left="1940" w:right="0" w:hanging="720"/>
        <w:jc w:val="both"/>
        <w:rPr>
          <w:color w:val="4471C4"/>
        </w:rPr>
      </w:pPr>
      <w:bookmarkStart w:name="3.4.1 Roles and Responsibilities" w:id="1261"/>
      <w:bookmarkEnd w:id="1261"/>
      <w:r>
        <w:rPr>
          <w:b w:val="0"/>
        </w:rPr>
      </w:r>
      <w:bookmarkStart w:name="_bookmark29" w:id="1262"/>
      <w:bookmarkEnd w:id="1262"/>
      <w:r>
        <w:rPr>
          <w:b w:val="0"/>
        </w:rPr>
      </w:r>
      <w:r>
        <w:rPr>
          <w:color w:val="4471C4"/>
        </w:rPr>
        <w:t>Roles</w:t>
      </w:r>
      <w:r>
        <w:rPr>
          <w:color w:val="4471C4"/>
          <w:spacing w:val="-1"/>
        </w:rPr>
        <w:t> </w:t>
      </w:r>
      <w:r>
        <w:rPr>
          <w:color w:val="4471C4"/>
        </w:rPr>
        <w:t>and</w:t>
      </w:r>
      <w:r>
        <w:rPr>
          <w:color w:val="4471C4"/>
          <w:spacing w:val="-1"/>
        </w:rPr>
        <w:t> </w:t>
      </w:r>
      <w:r>
        <w:rPr>
          <w:color w:val="4471C4"/>
          <w:spacing w:val="-2"/>
        </w:rPr>
        <w:t>Responsibilities</w:t>
      </w:r>
    </w:p>
    <w:p>
      <w:pPr>
        <w:pStyle w:val="BodyText"/>
        <w:spacing w:before="9"/>
        <w:rPr>
          <w:b/>
          <w:sz w:val="20"/>
        </w:rPr>
      </w:pPr>
    </w:p>
    <w:p>
      <w:pPr>
        <w:pStyle w:val="ListParagraph"/>
        <w:numPr>
          <w:ilvl w:val="3"/>
          <w:numId w:val="65"/>
        </w:numPr>
        <w:tabs>
          <w:tab w:pos="1939" w:val="left" w:leader="none"/>
        </w:tabs>
        <w:spacing w:line="252" w:lineRule="exact" w:before="0" w:after="0"/>
        <w:ind w:left="1939" w:right="0" w:hanging="719"/>
        <w:jc w:val="both"/>
        <w:rPr>
          <w:b/>
          <w:i/>
          <w:sz w:val="22"/>
        </w:rPr>
      </w:pPr>
      <w:bookmarkStart w:name="3.4.1.1 State" w:id="1263"/>
      <w:bookmarkEnd w:id="1263"/>
      <w:r>
        <w:rPr/>
      </w:r>
      <w:r>
        <w:rPr>
          <w:b/>
          <w:i/>
          <w:color w:val="4471C4"/>
          <w:spacing w:val="-2"/>
          <w:sz w:val="22"/>
        </w:rPr>
        <w:t>State</w:t>
      </w:r>
    </w:p>
    <w:p>
      <w:pPr>
        <w:spacing w:line="242" w:lineRule="auto" w:before="0"/>
        <w:ind w:left="1219" w:right="1094" w:firstLine="0"/>
        <w:jc w:val="both"/>
        <w:rPr>
          <w:sz w:val="22"/>
        </w:rPr>
      </w:pPr>
      <w:r>
        <w:rPr>
          <w:sz w:val="22"/>
        </w:rPr>
        <w:t>The State will review, approve and/or request revisions to ACOs’, CPs’ and CSAs’ Preliminary and Full Participation Plans, Budgets and Budget Narratives. If necessary, the State will work collaboratively with ACOs, CPs and CSAs on revisions to Participation Plans, Budgets and Budget Narratives.</w:t>
      </w:r>
    </w:p>
    <w:p>
      <w:pPr>
        <w:pStyle w:val="ListParagraph"/>
        <w:numPr>
          <w:ilvl w:val="3"/>
          <w:numId w:val="65"/>
        </w:numPr>
        <w:tabs>
          <w:tab w:pos="1938" w:val="left" w:leader="none"/>
        </w:tabs>
        <w:spacing w:line="252" w:lineRule="exact" w:before="193" w:after="0"/>
        <w:ind w:left="1938" w:right="0" w:hanging="719"/>
        <w:jc w:val="both"/>
        <w:rPr>
          <w:b/>
          <w:i/>
          <w:sz w:val="22"/>
        </w:rPr>
      </w:pPr>
      <w:bookmarkStart w:name="3.4.1.2 Independent Assessor" w:id="1264"/>
      <w:bookmarkEnd w:id="1264"/>
      <w:r>
        <w:rPr/>
      </w:r>
      <w:r>
        <w:rPr>
          <w:b/>
          <w:i/>
          <w:color w:val="4471C4"/>
          <w:sz w:val="22"/>
        </w:rPr>
        <w:t>Independent</w:t>
      </w:r>
      <w:r>
        <w:rPr>
          <w:b/>
          <w:i/>
          <w:color w:val="4471C4"/>
          <w:spacing w:val="-5"/>
          <w:sz w:val="22"/>
        </w:rPr>
        <w:t> </w:t>
      </w:r>
      <w:r>
        <w:rPr>
          <w:b/>
          <w:i/>
          <w:color w:val="4471C4"/>
          <w:spacing w:val="-2"/>
          <w:sz w:val="22"/>
        </w:rPr>
        <w:t>Assessor</w:t>
      </w:r>
    </w:p>
    <w:p>
      <w:pPr>
        <w:spacing w:before="0"/>
        <w:ind w:left="1219" w:right="1094" w:firstLine="0"/>
        <w:jc w:val="both"/>
        <w:rPr>
          <w:sz w:val="22"/>
        </w:rPr>
      </w:pPr>
      <w:r>
        <w:rPr>
          <w:sz w:val="22"/>
        </w:rPr>
        <w:t>The</w:t>
      </w:r>
      <w:r>
        <w:rPr>
          <w:spacing w:val="-8"/>
          <w:sz w:val="22"/>
        </w:rPr>
        <w:t> </w:t>
      </w:r>
      <w:r>
        <w:rPr>
          <w:sz w:val="22"/>
        </w:rPr>
        <w:t>Independent</w:t>
      </w:r>
      <w:r>
        <w:rPr>
          <w:spacing w:val="-5"/>
          <w:sz w:val="22"/>
        </w:rPr>
        <w:t> </w:t>
      </w:r>
      <w:r>
        <w:rPr>
          <w:sz w:val="22"/>
        </w:rPr>
        <w:t>Assessor</w:t>
      </w:r>
      <w:r>
        <w:rPr>
          <w:spacing w:val="-8"/>
          <w:sz w:val="22"/>
        </w:rPr>
        <w:t> </w:t>
      </w:r>
      <w:r>
        <w:rPr>
          <w:sz w:val="22"/>
        </w:rPr>
        <w:t>will</w:t>
      </w:r>
      <w:r>
        <w:rPr>
          <w:spacing w:val="-8"/>
          <w:sz w:val="22"/>
        </w:rPr>
        <w:t> </w:t>
      </w:r>
      <w:r>
        <w:rPr>
          <w:sz w:val="22"/>
        </w:rPr>
        <w:t>review</w:t>
      </w:r>
      <w:r>
        <w:rPr>
          <w:spacing w:val="-10"/>
          <w:sz w:val="22"/>
        </w:rPr>
        <w:t> </w:t>
      </w:r>
      <w:r>
        <w:rPr>
          <w:sz w:val="22"/>
        </w:rPr>
        <w:t>ACOs’,</w:t>
      </w:r>
      <w:r>
        <w:rPr>
          <w:spacing w:val="-6"/>
          <w:sz w:val="22"/>
        </w:rPr>
        <w:t> </w:t>
      </w:r>
      <w:r>
        <w:rPr>
          <w:sz w:val="22"/>
        </w:rPr>
        <w:t>CPs’</w:t>
      </w:r>
      <w:r>
        <w:rPr>
          <w:spacing w:val="-8"/>
          <w:sz w:val="22"/>
        </w:rPr>
        <w:t> </w:t>
      </w:r>
      <w:r>
        <w:rPr>
          <w:sz w:val="22"/>
        </w:rPr>
        <w:t>and</w:t>
      </w:r>
      <w:r>
        <w:rPr>
          <w:spacing w:val="-6"/>
          <w:sz w:val="22"/>
        </w:rPr>
        <w:t> </w:t>
      </w:r>
      <w:r>
        <w:rPr>
          <w:sz w:val="22"/>
        </w:rPr>
        <w:t>CSAs’</w:t>
      </w:r>
      <w:r>
        <w:rPr>
          <w:spacing w:val="-5"/>
          <w:sz w:val="22"/>
        </w:rPr>
        <w:t> </w:t>
      </w:r>
      <w:r>
        <w:rPr>
          <w:sz w:val="22"/>
        </w:rPr>
        <w:t>Full</w:t>
      </w:r>
      <w:r>
        <w:rPr>
          <w:spacing w:val="-8"/>
          <w:sz w:val="22"/>
        </w:rPr>
        <w:t> </w:t>
      </w:r>
      <w:r>
        <w:rPr>
          <w:sz w:val="22"/>
        </w:rPr>
        <w:t>Participation</w:t>
      </w:r>
      <w:r>
        <w:rPr>
          <w:spacing w:val="-11"/>
          <w:sz w:val="22"/>
        </w:rPr>
        <w:t> </w:t>
      </w:r>
      <w:r>
        <w:rPr>
          <w:sz w:val="22"/>
        </w:rPr>
        <w:t>Plans,</w:t>
      </w:r>
      <w:r>
        <w:rPr>
          <w:spacing w:val="-9"/>
          <w:sz w:val="22"/>
        </w:rPr>
        <w:t> </w:t>
      </w:r>
      <w:r>
        <w:rPr>
          <w:sz w:val="22"/>
        </w:rPr>
        <w:t>Budgets</w:t>
      </w:r>
      <w:r>
        <w:rPr>
          <w:spacing w:val="-8"/>
          <w:sz w:val="22"/>
        </w:rPr>
        <w:t> </w:t>
      </w:r>
      <w:r>
        <w:rPr>
          <w:sz w:val="22"/>
        </w:rPr>
        <w:t>(from</w:t>
      </w:r>
      <w:r>
        <w:rPr>
          <w:spacing w:val="-10"/>
          <w:sz w:val="22"/>
        </w:rPr>
        <w:t> </w:t>
      </w:r>
      <w:r>
        <w:rPr>
          <w:sz w:val="22"/>
        </w:rPr>
        <w:t>BP 1</w:t>
      </w:r>
      <w:r>
        <w:rPr>
          <w:spacing w:val="-5"/>
          <w:sz w:val="22"/>
        </w:rPr>
        <w:t> </w:t>
      </w:r>
      <w:r>
        <w:rPr>
          <w:sz w:val="22"/>
        </w:rPr>
        <w:t>onwards)</w:t>
      </w:r>
      <w:r>
        <w:rPr>
          <w:spacing w:val="-6"/>
          <w:sz w:val="22"/>
        </w:rPr>
        <w:t> </w:t>
      </w:r>
      <w:r>
        <w:rPr>
          <w:sz w:val="22"/>
        </w:rPr>
        <w:t>and</w:t>
      </w:r>
      <w:r>
        <w:rPr>
          <w:spacing w:val="-5"/>
          <w:sz w:val="22"/>
        </w:rPr>
        <w:t> </w:t>
      </w:r>
      <w:r>
        <w:rPr>
          <w:sz w:val="22"/>
        </w:rPr>
        <w:t>Budget</w:t>
      </w:r>
      <w:r>
        <w:rPr>
          <w:spacing w:val="-4"/>
          <w:sz w:val="22"/>
        </w:rPr>
        <w:t> </w:t>
      </w:r>
      <w:r>
        <w:rPr>
          <w:sz w:val="22"/>
        </w:rPr>
        <w:t>Narratives</w:t>
      </w:r>
      <w:r>
        <w:rPr>
          <w:spacing w:val="-4"/>
          <w:sz w:val="22"/>
        </w:rPr>
        <w:t> </w:t>
      </w:r>
      <w:r>
        <w:rPr>
          <w:sz w:val="22"/>
        </w:rPr>
        <w:t>(from</w:t>
      </w:r>
      <w:r>
        <w:rPr>
          <w:spacing w:val="-8"/>
          <w:sz w:val="22"/>
        </w:rPr>
        <w:t> </w:t>
      </w:r>
      <w:r>
        <w:rPr>
          <w:sz w:val="22"/>
        </w:rPr>
        <w:t>BP</w:t>
      </w:r>
      <w:r>
        <w:rPr>
          <w:spacing w:val="-5"/>
          <w:sz w:val="22"/>
        </w:rPr>
        <w:t> </w:t>
      </w:r>
      <w:r>
        <w:rPr>
          <w:sz w:val="22"/>
        </w:rPr>
        <w:t>1</w:t>
      </w:r>
      <w:r>
        <w:rPr>
          <w:spacing w:val="-5"/>
          <w:sz w:val="22"/>
        </w:rPr>
        <w:t> </w:t>
      </w:r>
      <w:r>
        <w:rPr>
          <w:sz w:val="22"/>
        </w:rPr>
        <w:t>onwards),</w:t>
      </w:r>
      <w:r>
        <w:rPr>
          <w:spacing w:val="-5"/>
          <w:sz w:val="22"/>
        </w:rPr>
        <w:t> </w:t>
      </w:r>
      <w:r>
        <w:rPr>
          <w:sz w:val="22"/>
        </w:rPr>
        <w:t>as</w:t>
      </w:r>
      <w:r>
        <w:rPr>
          <w:spacing w:val="-7"/>
          <w:sz w:val="22"/>
        </w:rPr>
        <w:t> </w:t>
      </w:r>
      <w:r>
        <w:rPr>
          <w:sz w:val="22"/>
        </w:rPr>
        <w:t>well</w:t>
      </w:r>
      <w:r>
        <w:rPr>
          <w:spacing w:val="-4"/>
          <w:sz w:val="22"/>
        </w:rPr>
        <w:t> </w:t>
      </w:r>
      <w:r>
        <w:rPr>
          <w:sz w:val="22"/>
        </w:rPr>
        <w:t>as</w:t>
      </w:r>
      <w:r>
        <w:rPr>
          <w:spacing w:val="-4"/>
          <w:sz w:val="22"/>
        </w:rPr>
        <w:t> </w:t>
      </w:r>
      <w:r>
        <w:rPr>
          <w:sz w:val="22"/>
        </w:rPr>
        <w:t>any</w:t>
      </w:r>
      <w:r>
        <w:rPr>
          <w:spacing w:val="-7"/>
          <w:sz w:val="22"/>
        </w:rPr>
        <w:t> </w:t>
      </w:r>
      <w:r>
        <w:rPr>
          <w:sz w:val="22"/>
        </w:rPr>
        <w:t>formal</w:t>
      </w:r>
      <w:r>
        <w:rPr>
          <w:spacing w:val="-4"/>
          <w:sz w:val="22"/>
        </w:rPr>
        <w:t> </w:t>
      </w:r>
      <w:r>
        <w:rPr>
          <w:sz w:val="22"/>
        </w:rPr>
        <w:t>requests</w:t>
      </w:r>
      <w:r>
        <w:rPr>
          <w:spacing w:val="-4"/>
          <w:sz w:val="22"/>
        </w:rPr>
        <w:t> </w:t>
      </w:r>
      <w:r>
        <w:rPr>
          <w:sz w:val="22"/>
        </w:rPr>
        <w:t>for</w:t>
      </w:r>
      <w:r>
        <w:rPr>
          <w:spacing w:val="-4"/>
          <w:sz w:val="22"/>
        </w:rPr>
        <w:t> </w:t>
      </w:r>
      <w:r>
        <w:rPr>
          <w:sz w:val="22"/>
        </w:rPr>
        <w:t>modification</w:t>
      </w:r>
      <w:r>
        <w:rPr>
          <w:spacing w:val="-7"/>
          <w:sz w:val="22"/>
        </w:rPr>
        <w:t> </w:t>
      </w:r>
      <w:r>
        <w:rPr>
          <w:sz w:val="22"/>
        </w:rPr>
        <w:t>to these documents submitted by ACOs, CPs and CSAs. The Independent Assessor will make recommendations to the State for each such document or request; these recommendations may be recommendations to approve, deny or propose certain changes to these documents or requests. The State will work closely with the Independent Assessor, and consider its recommendations during the review process. The State retains final decision-making authority regarding approvals, denials or requests for changes to Participation Plans, Budgets and Budget Narratives, as well as to any</w:t>
      </w:r>
      <w:r>
        <w:rPr>
          <w:spacing w:val="-2"/>
          <w:sz w:val="22"/>
        </w:rPr>
        <w:t> </w:t>
      </w:r>
      <w:r>
        <w:rPr>
          <w:sz w:val="22"/>
        </w:rPr>
        <w:t>modification requests. If the</w:t>
      </w:r>
      <w:r>
        <w:rPr>
          <w:spacing w:val="-2"/>
          <w:sz w:val="22"/>
        </w:rPr>
        <w:t> </w:t>
      </w:r>
      <w:r>
        <w:rPr>
          <w:sz w:val="22"/>
        </w:rPr>
        <w:t>Independent</w:t>
      </w:r>
      <w:r>
        <w:rPr>
          <w:spacing w:val="-4"/>
          <w:sz w:val="22"/>
        </w:rPr>
        <w:t> </w:t>
      </w:r>
      <w:r>
        <w:rPr>
          <w:sz w:val="22"/>
        </w:rPr>
        <w:t>Assessor</w:t>
      </w:r>
      <w:r>
        <w:rPr>
          <w:spacing w:val="-4"/>
          <w:sz w:val="22"/>
        </w:rPr>
        <w:t> </w:t>
      </w:r>
      <w:r>
        <w:rPr>
          <w:sz w:val="22"/>
        </w:rPr>
        <w:t>makes</w:t>
      </w:r>
      <w:r>
        <w:rPr>
          <w:spacing w:val="-2"/>
          <w:sz w:val="22"/>
        </w:rPr>
        <w:t> </w:t>
      </w:r>
      <w:r>
        <w:rPr>
          <w:sz w:val="22"/>
        </w:rPr>
        <w:t>a</w:t>
      </w:r>
      <w:r>
        <w:rPr>
          <w:spacing w:val="-2"/>
          <w:sz w:val="22"/>
        </w:rPr>
        <w:t> </w:t>
      </w:r>
      <w:r>
        <w:rPr>
          <w:sz w:val="22"/>
        </w:rPr>
        <w:t>recommendation</w:t>
      </w:r>
      <w:r>
        <w:rPr>
          <w:spacing w:val="-5"/>
          <w:sz w:val="22"/>
        </w:rPr>
        <w:t> </w:t>
      </w:r>
      <w:r>
        <w:rPr>
          <w:sz w:val="22"/>
        </w:rPr>
        <w:t>to</w:t>
      </w:r>
      <w:r>
        <w:rPr>
          <w:spacing w:val="-2"/>
          <w:sz w:val="22"/>
        </w:rPr>
        <w:t> </w:t>
      </w:r>
      <w:r>
        <w:rPr>
          <w:sz w:val="22"/>
        </w:rPr>
        <w:t>the</w:t>
      </w:r>
      <w:r>
        <w:rPr>
          <w:spacing w:val="-2"/>
          <w:sz w:val="22"/>
        </w:rPr>
        <w:t> </w:t>
      </w:r>
      <w:r>
        <w:rPr>
          <w:sz w:val="22"/>
        </w:rPr>
        <w:t>State</w:t>
      </w:r>
      <w:r>
        <w:rPr>
          <w:spacing w:val="-4"/>
          <w:sz w:val="22"/>
        </w:rPr>
        <w:t> </w:t>
      </w:r>
      <w:r>
        <w:rPr>
          <w:sz w:val="22"/>
        </w:rPr>
        <w:t>that</w:t>
      </w:r>
      <w:r>
        <w:rPr>
          <w:spacing w:val="-1"/>
          <w:sz w:val="22"/>
        </w:rPr>
        <w:t> </w:t>
      </w:r>
      <w:r>
        <w:rPr>
          <w:sz w:val="22"/>
        </w:rPr>
        <w:t>differs</w:t>
      </w:r>
      <w:r>
        <w:rPr>
          <w:spacing w:val="-4"/>
          <w:sz w:val="22"/>
        </w:rPr>
        <w:t> </w:t>
      </w:r>
      <w:r>
        <w:rPr>
          <w:sz w:val="22"/>
        </w:rPr>
        <w:t>from</w:t>
      </w:r>
      <w:r>
        <w:rPr>
          <w:spacing w:val="-6"/>
          <w:sz w:val="22"/>
        </w:rPr>
        <w:t> </w:t>
      </w:r>
      <w:r>
        <w:rPr>
          <w:sz w:val="22"/>
        </w:rPr>
        <w:t>the</w:t>
      </w:r>
      <w:r>
        <w:rPr>
          <w:spacing w:val="-4"/>
          <w:sz w:val="22"/>
        </w:rPr>
        <w:t> </w:t>
      </w:r>
      <w:r>
        <w:rPr>
          <w:sz w:val="22"/>
        </w:rPr>
        <w:t>State’s</w:t>
      </w:r>
      <w:r>
        <w:rPr>
          <w:spacing w:val="-4"/>
          <w:sz w:val="22"/>
        </w:rPr>
        <w:t> </w:t>
      </w:r>
      <w:r>
        <w:rPr>
          <w:sz w:val="22"/>
        </w:rPr>
        <w:t>final</w:t>
      </w:r>
      <w:r>
        <w:rPr>
          <w:spacing w:val="-1"/>
          <w:sz w:val="22"/>
        </w:rPr>
        <w:t> </w:t>
      </w:r>
      <w:r>
        <w:rPr>
          <w:sz w:val="22"/>
        </w:rPr>
        <w:t>decision, the</w:t>
      </w:r>
      <w:r>
        <w:rPr>
          <w:spacing w:val="-8"/>
          <w:sz w:val="22"/>
        </w:rPr>
        <w:t> </w:t>
      </w:r>
      <w:r>
        <w:rPr>
          <w:sz w:val="22"/>
        </w:rPr>
        <w:t>State</w:t>
      </w:r>
      <w:r>
        <w:rPr>
          <w:spacing w:val="-8"/>
          <w:sz w:val="22"/>
        </w:rPr>
        <w:t> </w:t>
      </w:r>
      <w:r>
        <w:rPr>
          <w:sz w:val="22"/>
        </w:rPr>
        <w:t>will</w:t>
      </w:r>
      <w:r>
        <w:rPr>
          <w:spacing w:val="-10"/>
          <w:sz w:val="22"/>
        </w:rPr>
        <w:t> </w:t>
      </w:r>
      <w:r>
        <w:rPr>
          <w:sz w:val="22"/>
        </w:rPr>
        <w:t>document</w:t>
      </w:r>
      <w:r>
        <w:rPr>
          <w:spacing w:val="-8"/>
          <w:sz w:val="22"/>
        </w:rPr>
        <w:t> </w:t>
      </w:r>
      <w:r>
        <w:rPr>
          <w:sz w:val="22"/>
        </w:rPr>
        <w:t>its</w:t>
      </w:r>
      <w:r>
        <w:rPr>
          <w:spacing w:val="-10"/>
          <w:sz w:val="22"/>
        </w:rPr>
        <w:t> </w:t>
      </w:r>
      <w:r>
        <w:rPr>
          <w:sz w:val="22"/>
        </w:rPr>
        <w:t>decision</w:t>
      </w:r>
      <w:r>
        <w:rPr>
          <w:spacing w:val="-11"/>
          <w:sz w:val="22"/>
        </w:rPr>
        <w:t> </w:t>
      </w:r>
      <w:r>
        <w:rPr>
          <w:sz w:val="22"/>
        </w:rPr>
        <w:t>in</w:t>
      </w:r>
      <w:r>
        <w:rPr>
          <w:spacing w:val="-11"/>
          <w:sz w:val="22"/>
        </w:rPr>
        <w:t> </w:t>
      </w:r>
      <w:r>
        <w:rPr>
          <w:sz w:val="22"/>
        </w:rPr>
        <w:t>the</w:t>
      </w:r>
      <w:r>
        <w:rPr>
          <w:spacing w:val="-8"/>
          <w:sz w:val="22"/>
        </w:rPr>
        <w:t> </w:t>
      </w:r>
      <w:r>
        <w:rPr>
          <w:sz w:val="22"/>
        </w:rPr>
        <w:t>State’s</w:t>
      </w:r>
      <w:r>
        <w:rPr>
          <w:spacing w:val="-8"/>
          <w:sz w:val="22"/>
        </w:rPr>
        <w:t> </w:t>
      </w:r>
      <w:r>
        <w:rPr>
          <w:sz w:val="22"/>
        </w:rPr>
        <w:t>quarterly</w:t>
      </w:r>
      <w:r>
        <w:rPr>
          <w:spacing w:val="-11"/>
          <w:sz w:val="22"/>
        </w:rPr>
        <w:t> </w:t>
      </w:r>
      <w:r>
        <w:rPr>
          <w:sz w:val="22"/>
        </w:rPr>
        <w:t>reports</w:t>
      </w:r>
      <w:r>
        <w:rPr>
          <w:spacing w:val="-10"/>
          <w:sz w:val="22"/>
        </w:rPr>
        <w:t> </w:t>
      </w:r>
      <w:r>
        <w:rPr>
          <w:sz w:val="22"/>
        </w:rPr>
        <w:t>to</w:t>
      </w:r>
      <w:r>
        <w:rPr>
          <w:spacing w:val="-9"/>
          <w:sz w:val="22"/>
        </w:rPr>
        <w:t> </w:t>
      </w:r>
      <w:r>
        <w:rPr>
          <w:sz w:val="22"/>
        </w:rPr>
        <w:t>CMS.</w:t>
      </w:r>
      <w:r>
        <w:rPr>
          <w:spacing w:val="36"/>
          <w:sz w:val="22"/>
        </w:rPr>
        <w:t> </w:t>
      </w:r>
      <w:r>
        <w:rPr>
          <w:sz w:val="22"/>
        </w:rPr>
        <w:t>The</w:t>
      </w:r>
      <w:r>
        <w:rPr>
          <w:spacing w:val="-8"/>
          <w:sz w:val="22"/>
        </w:rPr>
        <w:t> </w:t>
      </w:r>
      <w:r>
        <w:rPr>
          <w:sz w:val="22"/>
        </w:rPr>
        <w:t>Independent</w:t>
      </w:r>
      <w:r>
        <w:rPr>
          <w:spacing w:val="-8"/>
          <w:sz w:val="22"/>
        </w:rPr>
        <w:t> </w:t>
      </w:r>
      <w:r>
        <w:rPr>
          <w:sz w:val="22"/>
        </w:rPr>
        <w:t>Assessor</w:t>
      </w:r>
      <w:r>
        <w:rPr>
          <w:spacing w:val="-10"/>
          <w:sz w:val="22"/>
        </w:rPr>
        <w:t> </w:t>
      </w:r>
      <w:r>
        <w:rPr>
          <w:sz w:val="22"/>
        </w:rPr>
        <w:t>will not determine whether a request</w:t>
      </w:r>
      <w:r>
        <w:rPr>
          <w:spacing w:val="-1"/>
          <w:sz w:val="22"/>
        </w:rPr>
        <w:t> </w:t>
      </w:r>
      <w:r>
        <w:rPr>
          <w:sz w:val="22"/>
        </w:rPr>
        <w:t>to amend a Participation Plan, Budget, Budget Narrative, or Performance Remediation Plan is a material deviation, as this is the responsibility solely of the State.</w:t>
      </w:r>
    </w:p>
    <w:p>
      <w:pPr>
        <w:pStyle w:val="ListParagraph"/>
        <w:numPr>
          <w:ilvl w:val="3"/>
          <w:numId w:val="65"/>
        </w:numPr>
        <w:tabs>
          <w:tab w:pos="1938" w:val="left" w:leader="none"/>
        </w:tabs>
        <w:spacing w:line="252" w:lineRule="exact" w:before="198" w:after="0"/>
        <w:ind w:left="1938" w:right="0" w:hanging="719"/>
        <w:jc w:val="both"/>
        <w:rPr>
          <w:b/>
          <w:i/>
          <w:sz w:val="22"/>
        </w:rPr>
      </w:pPr>
      <w:bookmarkStart w:name="3.4.1.3 CMS" w:id="1265"/>
      <w:bookmarkEnd w:id="1265"/>
      <w:r>
        <w:rPr/>
      </w:r>
      <w:r>
        <w:rPr>
          <w:b/>
          <w:i/>
          <w:color w:val="4471C4"/>
          <w:spacing w:val="-5"/>
          <w:sz w:val="22"/>
        </w:rPr>
        <w:t>CMS</w:t>
      </w:r>
    </w:p>
    <w:p>
      <w:pPr>
        <w:spacing w:before="0"/>
        <w:ind w:left="1219" w:right="1095" w:firstLine="0"/>
        <w:jc w:val="both"/>
        <w:rPr>
          <w:sz w:val="22"/>
        </w:rPr>
      </w:pPr>
      <w:r>
        <w:rPr>
          <w:sz w:val="22"/>
        </w:rPr>
        <w:t>CMS may request to review Participation Plans (Preliminary and Full), Budgets and Budget Narratives. The State will provide requested documents within 45 calendar days of receiving the request. All final approved Participation Plans, Budgets,</w:t>
      </w:r>
      <w:r>
        <w:rPr>
          <w:spacing w:val="-2"/>
          <w:sz w:val="22"/>
        </w:rPr>
        <w:t> </w:t>
      </w:r>
      <w:r>
        <w:rPr>
          <w:sz w:val="22"/>
        </w:rPr>
        <w:t>and</w:t>
      </w:r>
      <w:r>
        <w:rPr>
          <w:spacing w:val="-2"/>
          <w:sz w:val="22"/>
        </w:rPr>
        <w:t> </w:t>
      </w:r>
      <w:r>
        <w:rPr>
          <w:sz w:val="22"/>
        </w:rPr>
        <w:t>Budget</w:t>
      </w:r>
      <w:r>
        <w:rPr>
          <w:spacing w:val="-1"/>
          <w:sz w:val="22"/>
        </w:rPr>
        <w:t> </w:t>
      </w:r>
      <w:r>
        <w:rPr>
          <w:sz w:val="22"/>
        </w:rPr>
        <w:t>Narratives will</w:t>
      </w:r>
      <w:r>
        <w:rPr>
          <w:spacing w:val="-1"/>
          <w:sz w:val="22"/>
        </w:rPr>
        <w:t> </w:t>
      </w:r>
      <w:r>
        <w:rPr>
          <w:sz w:val="22"/>
        </w:rPr>
        <w:t>be</w:t>
      </w:r>
      <w:r>
        <w:rPr>
          <w:spacing w:val="-2"/>
          <w:sz w:val="22"/>
        </w:rPr>
        <w:t> </w:t>
      </w:r>
      <w:r>
        <w:rPr>
          <w:sz w:val="22"/>
        </w:rPr>
        <w:t>sent</w:t>
      </w:r>
      <w:r>
        <w:rPr>
          <w:spacing w:val="-1"/>
          <w:sz w:val="22"/>
        </w:rPr>
        <w:t> </w:t>
      </w:r>
      <w:r>
        <w:rPr>
          <w:sz w:val="22"/>
        </w:rPr>
        <w:t>to</w:t>
      </w:r>
      <w:r>
        <w:rPr>
          <w:spacing w:val="-2"/>
          <w:sz w:val="22"/>
        </w:rPr>
        <w:t> </w:t>
      </w:r>
      <w:r>
        <w:rPr>
          <w:sz w:val="22"/>
        </w:rPr>
        <w:t>CMS.</w:t>
      </w:r>
      <w:r>
        <w:rPr>
          <w:spacing w:val="-2"/>
          <w:sz w:val="22"/>
        </w:rPr>
        <w:t> </w:t>
      </w:r>
      <w:r>
        <w:rPr>
          <w:sz w:val="22"/>
        </w:rPr>
        <w:t>The State</w:t>
      </w:r>
      <w:r>
        <w:rPr>
          <w:spacing w:val="-2"/>
          <w:sz w:val="22"/>
        </w:rPr>
        <w:t> </w:t>
      </w:r>
      <w:r>
        <w:rPr>
          <w:sz w:val="22"/>
        </w:rPr>
        <w:t>will provide the following information to be posted on Medicaid.gov: (1) an executive summary of each ACO’s and CP’s</w:t>
      </w:r>
      <w:r>
        <w:rPr>
          <w:spacing w:val="-13"/>
          <w:sz w:val="22"/>
        </w:rPr>
        <w:t> </w:t>
      </w:r>
      <w:r>
        <w:rPr>
          <w:sz w:val="22"/>
        </w:rPr>
        <w:t>participation</w:t>
      </w:r>
      <w:r>
        <w:rPr>
          <w:spacing w:val="-12"/>
          <w:sz w:val="22"/>
        </w:rPr>
        <w:t> </w:t>
      </w:r>
      <w:r>
        <w:rPr>
          <w:sz w:val="22"/>
        </w:rPr>
        <w:t>plan;</w:t>
      </w:r>
      <w:r>
        <w:rPr>
          <w:spacing w:val="-12"/>
          <w:sz w:val="22"/>
        </w:rPr>
        <w:t> </w:t>
      </w:r>
      <w:r>
        <w:rPr>
          <w:sz w:val="22"/>
        </w:rPr>
        <w:t>(2)</w:t>
      </w:r>
      <w:r>
        <w:rPr>
          <w:spacing w:val="-13"/>
          <w:sz w:val="22"/>
        </w:rPr>
        <w:t> </w:t>
      </w:r>
      <w:r>
        <w:rPr>
          <w:sz w:val="22"/>
        </w:rPr>
        <w:t>list</w:t>
      </w:r>
      <w:r>
        <w:rPr>
          <w:spacing w:val="-10"/>
          <w:sz w:val="22"/>
        </w:rPr>
        <w:t> </w:t>
      </w:r>
      <w:r>
        <w:rPr>
          <w:sz w:val="22"/>
        </w:rPr>
        <w:t>of</w:t>
      </w:r>
      <w:r>
        <w:rPr>
          <w:spacing w:val="-11"/>
          <w:sz w:val="22"/>
        </w:rPr>
        <w:t> </w:t>
      </w:r>
      <w:r>
        <w:rPr>
          <w:sz w:val="22"/>
        </w:rPr>
        <w:t>each</w:t>
      </w:r>
      <w:r>
        <w:rPr>
          <w:spacing w:val="-11"/>
          <w:sz w:val="22"/>
        </w:rPr>
        <w:t> </w:t>
      </w:r>
      <w:r>
        <w:rPr>
          <w:sz w:val="22"/>
        </w:rPr>
        <w:t>ACO</w:t>
      </w:r>
      <w:r>
        <w:rPr>
          <w:spacing w:val="-13"/>
          <w:sz w:val="22"/>
        </w:rPr>
        <w:t> </w:t>
      </w:r>
      <w:r>
        <w:rPr>
          <w:sz w:val="22"/>
        </w:rPr>
        <w:t>and</w:t>
      </w:r>
      <w:r>
        <w:rPr>
          <w:spacing w:val="-11"/>
          <w:sz w:val="22"/>
        </w:rPr>
        <w:t> </w:t>
      </w:r>
      <w:r>
        <w:rPr>
          <w:sz w:val="22"/>
        </w:rPr>
        <w:t>CP</w:t>
      </w:r>
      <w:r>
        <w:rPr>
          <w:spacing w:val="-12"/>
          <w:sz w:val="22"/>
        </w:rPr>
        <w:t> </w:t>
      </w:r>
      <w:r>
        <w:rPr>
          <w:sz w:val="22"/>
        </w:rPr>
        <w:t>as</w:t>
      </w:r>
      <w:r>
        <w:rPr>
          <w:spacing w:val="-10"/>
          <w:sz w:val="22"/>
        </w:rPr>
        <w:t> </w:t>
      </w:r>
      <w:r>
        <w:rPr>
          <w:sz w:val="22"/>
        </w:rPr>
        <w:t>well</w:t>
      </w:r>
      <w:r>
        <w:rPr>
          <w:spacing w:val="-11"/>
          <w:sz w:val="22"/>
        </w:rPr>
        <w:t> </w:t>
      </w:r>
      <w:r>
        <w:rPr>
          <w:sz w:val="22"/>
        </w:rPr>
        <w:t>as</w:t>
      </w:r>
      <w:r>
        <w:rPr>
          <w:spacing w:val="-10"/>
          <w:sz w:val="22"/>
        </w:rPr>
        <w:t> </w:t>
      </w:r>
      <w:r>
        <w:rPr>
          <w:sz w:val="22"/>
        </w:rPr>
        <w:t>the</w:t>
      </w:r>
      <w:r>
        <w:rPr>
          <w:spacing w:val="-11"/>
          <w:sz w:val="22"/>
        </w:rPr>
        <w:t> </w:t>
      </w:r>
      <w:r>
        <w:rPr>
          <w:sz w:val="22"/>
        </w:rPr>
        <w:t>populations</w:t>
      </w:r>
      <w:r>
        <w:rPr>
          <w:spacing w:val="-10"/>
          <w:sz w:val="22"/>
        </w:rPr>
        <w:t> </w:t>
      </w:r>
      <w:r>
        <w:rPr>
          <w:sz w:val="22"/>
        </w:rPr>
        <w:t>they</w:t>
      </w:r>
      <w:r>
        <w:rPr>
          <w:spacing w:val="-14"/>
          <w:sz w:val="22"/>
        </w:rPr>
        <w:t> </w:t>
      </w:r>
      <w:r>
        <w:rPr>
          <w:sz w:val="22"/>
        </w:rPr>
        <w:t>serve</w:t>
      </w:r>
      <w:r>
        <w:rPr>
          <w:spacing w:val="-10"/>
          <w:sz w:val="22"/>
        </w:rPr>
        <w:t> </w:t>
      </w:r>
      <w:r>
        <w:rPr>
          <w:sz w:val="22"/>
        </w:rPr>
        <w:t>and</w:t>
      </w:r>
      <w:r>
        <w:rPr>
          <w:spacing w:val="-12"/>
          <w:sz w:val="22"/>
        </w:rPr>
        <w:t> </w:t>
      </w:r>
      <w:r>
        <w:rPr>
          <w:sz w:val="22"/>
        </w:rPr>
        <w:t>their</w:t>
      </w:r>
      <w:r>
        <w:rPr>
          <w:spacing w:val="-10"/>
          <w:sz w:val="22"/>
        </w:rPr>
        <w:t> </w:t>
      </w:r>
      <w:r>
        <w:rPr>
          <w:spacing w:val="-2"/>
          <w:sz w:val="22"/>
        </w:rPr>
        <w:t>website;</w:t>
      </w:r>
    </w:p>
    <w:p>
      <w:pPr>
        <w:spacing w:before="0"/>
        <w:ind w:left="1219" w:right="1100" w:firstLine="0"/>
        <w:jc w:val="both"/>
        <w:rPr>
          <w:sz w:val="22"/>
        </w:rPr>
      </w:pPr>
      <w:r>
        <w:rPr>
          <w:sz w:val="22"/>
        </w:rPr>
        <w:t>(3)</w:t>
      </w:r>
      <w:r>
        <w:rPr>
          <w:spacing w:val="-6"/>
          <w:sz w:val="22"/>
        </w:rPr>
        <w:t> </w:t>
      </w:r>
      <w:r>
        <w:rPr>
          <w:sz w:val="22"/>
        </w:rPr>
        <w:t>an</w:t>
      </w:r>
      <w:r>
        <w:rPr>
          <w:spacing w:val="-5"/>
          <w:sz w:val="22"/>
        </w:rPr>
        <w:t> </w:t>
      </w:r>
      <w:r>
        <w:rPr>
          <w:sz w:val="22"/>
        </w:rPr>
        <w:t>executive</w:t>
      </w:r>
      <w:r>
        <w:rPr>
          <w:spacing w:val="-4"/>
          <w:sz w:val="22"/>
        </w:rPr>
        <w:t> </w:t>
      </w:r>
      <w:r>
        <w:rPr>
          <w:sz w:val="22"/>
        </w:rPr>
        <w:t>summary</w:t>
      </w:r>
      <w:r>
        <w:rPr>
          <w:spacing w:val="-7"/>
          <w:sz w:val="22"/>
        </w:rPr>
        <w:t> </w:t>
      </w:r>
      <w:r>
        <w:rPr>
          <w:sz w:val="22"/>
        </w:rPr>
        <w:t>of</w:t>
      </w:r>
      <w:r>
        <w:rPr>
          <w:spacing w:val="-4"/>
          <w:sz w:val="22"/>
        </w:rPr>
        <w:t> </w:t>
      </w:r>
      <w:r>
        <w:rPr>
          <w:sz w:val="22"/>
        </w:rPr>
        <w:t>each</w:t>
      </w:r>
      <w:r>
        <w:rPr>
          <w:spacing w:val="-5"/>
          <w:sz w:val="22"/>
        </w:rPr>
        <w:t> </w:t>
      </w:r>
      <w:r>
        <w:rPr>
          <w:sz w:val="22"/>
        </w:rPr>
        <w:t>ACO’s</w:t>
      </w:r>
      <w:r>
        <w:rPr>
          <w:spacing w:val="-7"/>
          <w:sz w:val="22"/>
        </w:rPr>
        <w:t> </w:t>
      </w:r>
      <w:r>
        <w:rPr>
          <w:sz w:val="22"/>
        </w:rPr>
        <w:t>and</w:t>
      </w:r>
      <w:r>
        <w:rPr>
          <w:spacing w:val="-5"/>
          <w:sz w:val="22"/>
        </w:rPr>
        <w:t> </w:t>
      </w:r>
      <w:r>
        <w:rPr>
          <w:sz w:val="22"/>
        </w:rPr>
        <w:t>CP’s</w:t>
      </w:r>
      <w:r>
        <w:rPr>
          <w:spacing w:val="-4"/>
          <w:sz w:val="22"/>
        </w:rPr>
        <w:t> </w:t>
      </w:r>
      <w:r>
        <w:rPr>
          <w:sz w:val="22"/>
        </w:rPr>
        <w:t>progress</w:t>
      </w:r>
      <w:r>
        <w:rPr>
          <w:spacing w:val="-4"/>
          <w:sz w:val="22"/>
        </w:rPr>
        <w:t> </w:t>
      </w:r>
      <w:r>
        <w:rPr>
          <w:sz w:val="22"/>
        </w:rPr>
        <w:t>reports;</w:t>
      </w:r>
      <w:r>
        <w:rPr>
          <w:spacing w:val="-4"/>
          <w:sz w:val="22"/>
        </w:rPr>
        <w:t> </w:t>
      </w:r>
      <w:r>
        <w:rPr>
          <w:sz w:val="22"/>
        </w:rPr>
        <w:t>and</w:t>
      </w:r>
      <w:r>
        <w:rPr>
          <w:spacing w:val="-7"/>
          <w:sz w:val="22"/>
        </w:rPr>
        <w:t> </w:t>
      </w:r>
      <w:r>
        <w:rPr>
          <w:sz w:val="22"/>
        </w:rPr>
        <w:t>(4)</w:t>
      </w:r>
      <w:r>
        <w:rPr>
          <w:spacing w:val="-4"/>
          <w:sz w:val="22"/>
        </w:rPr>
        <w:t> </w:t>
      </w:r>
      <w:r>
        <w:rPr>
          <w:sz w:val="22"/>
        </w:rPr>
        <w:t>each</w:t>
      </w:r>
      <w:r>
        <w:rPr>
          <w:spacing w:val="-7"/>
          <w:sz w:val="22"/>
        </w:rPr>
        <w:t> </w:t>
      </w:r>
      <w:r>
        <w:rPr>
          <w:sz w:val="22"/>
        </w:rPr>
        <w:t>ACO’s</w:t>
      </w:r>
      <w:r>
        <w:rPr>
          <w:spacing w:val="-4"/>
          <w:sz w:val="22"/>
        </w:rPr>
        <w:t> </w:t>
      </w:r>
      <w:r>
        <w:rPr>
          <w:sz w:val="22"/>
        </w:rPr>
        <w:t>and</w:t>
      </w:r>
      <w:r>
        <w:rPr>
          <w:spacing w:val="-5"/>
          <w:sz w:val="22"/>
        </w:rPr>
        <w:t> </w:t>
      </w:r>
      <w:r>
        <w:rPr>
          <w:sz w:val="22"/>
        </w:rPr>
        <w:t>CP’s</w:t>
      </w:r>
      <w:r>
        <w:rPr>
          <w:spacing w:val="-4"/>
          <w:sz w:val="22"/>
        </w:rPr>
        <w:t> </w:t>
      </w:r>
      <w:r>
        <w:rPr>
          <w:sz w:val="22"/>
        </w:rPr>
        <w:t>DSRIP yearly funding amount.</w:t>
      </w:r>
    </w:p>
    <w:p>
      <w:pPr>
        <w:pStyle w:val="Heading5"/>
        <w:numPr>
          <w:ilvl w:val="2"/>
          <w:numId w:val="65"/>
        </w:numPr>
        <w:tabs>
          <w:tab w:pos="1940" w:val="left" w:leader="none"/>
        </w:tabs>
        <w:spacing w:line="240" w:lineRule="auto" w:before="203" w:after="0"/>
        <w:ind w:left="1940" w:right="0" w:hanging="720"/>
        <w:jc w:val="both"/>
        <w:rPr>
          <w:color w:val="4471C4"/>
        </w:rPr>
      </w:pPr>
      <w:bookmarkStart w:name="3.4.2 Process for State Approval of ACO " w:id="1266"/>
      <w:bookmarkEnd w:id="1266"/>
      <w:r>
        <w:rPr>
          <w:b w:val="0"/>
        </w:rPr>
      </w:r>
      <w:bookmarkStart w:name="_bookmark30" w:id="1267"/>
      <w:bookmarkEnd w:id="1267"/>
      <w:r>
        <w:rPr>
          <w:b w:val="0"/>
        </w:rPr>
      </w:r>
      <w:r>
        <w:rPr>
          <w:color w:val="4471C4"/>
        </w:rPr>
        <w:t>Process</w:t>
      </w:r>
      <w:r>
        <w:rPr>
          <w:color w:val="4471C4"/>
          <w:spacing w:val="-2"/>
        </w:rPr>
        <w:t> </w:t>
      </w:r>
      <w:r>
        <w:rPr>
          <w:color w:val="4471C4"/>
        </w:rPr>
        <w:t>for</w:t>
      </w:r>
      <w:r>
        <w:rPr>
          <w:color w:val="4471C4"/>
          <w:spacing w:val="-3"/>
        </w:rPr>
        <w:t> </w:t>
      </w:r>
      <w:r>
        <w:rPr>
          <w:color w:val="4471C4"/>
        </w:rPr>
        <w:t>State</w:t>
      </w:r>
      <w:r>
        <w:rPr>
          <w:color w:val="4471C4"/>
          <w:spacing w:val="-1"/>
        </w:rPr>
        <w:t> </w:t>
      </w:r>
      <w:r>
        <w:rPr>
          <w:color w:val="4471C4"/>
        </w:rPr>
        <w:t>Approval</w:t>
      </w:r>
      <w:r>
        <w:rPr>
          <w:color w:val="4471C4"/>
          <w:spacing w:val="-2"/>
        </w:rPr>
        <w:t> </w:t>
      </w:r>
      <w:r>
        <w:rPr>
          <w:color w:val="4471C4"/>
        </w:rPr>
        <w:t>of</w:t>
      </w:r>
      <w:r>
        <w:rPr>
          <w:color w:val="4471C4"/>
          <w:spacing w:val="-1"/>
        </w:rPr>
        <w:t> </w:t>
      </w:r>
      <w:r>
        <w:rPr>
          <w:color w:val="4471C4"/>
        </w:rPr>
        <w:t>ACO</w:t>
      </w:r>
      <w:r>
        <w:rPr>
          <w:color w:val="4471C4"/>
          <w:spacing w:val="-2"/>
        </w:rPr>
        <w:t> </w:t>
      </w:r>
      <w:r>
        <w:rPr>
          <w:color w:val="4471C4"/>
        </w:rPr>
        <w:t>Participation</w:t>
      </w:r>
      <w:r>
        <w:rPr>
          <w:color w:val="4471C4"/>
          <w:spacing w:val="-2"/>
        </w:rPr>
        <w:t> Plans</w:t>
      </w:r>
    </w:p>
    <w:p>
      <w:pPr>
        <w:pStyle w:val="BodyText"/>
        <w:rPr>
          <w:b/>
          <w:sz w:val="21"/>
        </w:rPr>
      </w:pPr>
    </w:p>
    <w:p>
      <w:pPr>
        <w:pStyle w:val="ListParagraph"/>
        <w:numPr>
          <w:ilvl w:val="3"/>
          <w:numId w:val="65"/>
        </w:numPr>
        <w:tabs>
          <w:tab w:pos="1939" w:val="left" w:leader="none"/>
        </w:tabs>
        <w:spacing w:line="252" w:lineRule="exact" w:before="1" w:after="0"/>
        <w:ind w:left="1939" w:right="0" w:hanging="719"/>
        <w:jc w:val="both"/>
        <w:rPr>
          <w:b/>
          <w:i/>
          <w:sz w:val="22"/>
        </w:rPr>
      </w:pPr>
      <w:bookmarkStart w:name="3.4.2.1 Preliminary Participation Plan A" w:id="1268"/>
      <w:bookmarkEnd w:id="1268"/>
      <w:r>
        <w:rPr/>
      </w:r>
      <w:r>
        <w:rPr>
          <w:b/>
          <w:i/>
          <w:color w:val="4471C4"/>
          <w:sz w:val="22"/>
        </w:rPr>
        <w:t>Preliminary</w:t>
      </w:r>
      <w:r>
        <w:rPr>
          <w:b/>
          <w:i/>
          <w:color w:val="4471C4"/>
          <w:spacing w:val="-6"/>
          <w:sz w:val="22"/>
        </w:rPr>
        <w:t> </w:t>
      </w:r>
      <w:r>
        <w:rPr>
          <w:b/>
          <w:i/>
          <w:color w:val="4471C4"/>
          <w:sz w:val="22"/>
        </w:rPr>
        <w:t>Participation</w:t>
      </w:r>
      <w:r>
        <w:rPr>
          <w:b/>
          <w:i/>
          <w:color w:val="4471C4"/>
          <w:spacing w:val="-8"/>
          <w:sz w:val="22"/>
        </w:rPr>
        <w:t> </w:t>
      </w:r>
      <w:r>
        <w:rPr>
          <w:b/>
          <w:i/>
          <w:color w:val="4471C4"/>
          <w:sz w:val="22"/>
        </w:rPr>
        <w:t>Plan</w:t>
      </w:r>
      <w:r>
        <w:rPr>
          <w:b/>
          <w:i/>
          <w:color w:val="4471C4"/>
          <w:spacing w:val="-6"/>
          <w:sz w:val="22"/>
        </w:rPr>
        <w:t> </w:t>
      </w:r>
      <w:r>
        <w:rPr>
          <w:b/>
          <w:i/>
          <w:color w:val="4471C4"/>
          <w:sz w:val="22"/>
        </w:rPr>
        <w:t>Approval</w:t>
      </w:r>
      <w:r>
        <w:rPr>
          <w:b/>
          <w:i/>
          <w:color w:val="4471C4"/>
          <w:spacing w:val="-7"/>
          <w:sz w:val="22"/>
        </w:rPr>
        <w:t> </w:t>
      </w:r>
      <w:r>
        <w:rPr>
          <w:b/>
          <w:i/>
          <w:color w:val="4471C4"/>
          <w:sz w:val="22"/>
        </w:rPr>
        <w:t>for</w:t>
      </w:r>
      <w:r>
        <w:rPr>
          <w:b/>
          <w:i/>
          <w:color w:val="4471C4"/>
          <w:spacing w:val="-5"/>
          <w:sz w:val="22"/>
        </w:rPr>
        <w:t> </w:t>
      </w:r>
      <w:r>
        <w:rPr>
          <w:b/>
          <w:i/>
          <w:color w:val="4471C4"/>
          <w:spacing w:val="-4"/>
          <w:sz w:val="22"/>
        </w:rPr>
        <w:t>ACOs</w:t>
      </w:r>
    </w:p>
    <w:p>
      <w:pPr>
        <w:spacing w:before="0"/>
        <w:ind w:left="1220" w:right="1095" w:firstLine="0"/>
        <w:jc w:val="both"/>
        <w:rPr>
          <w:sz w:val="22"/>
        </w:rPr>
      </w:pPr>
      <w:r>
        <w:rPr>
          <w:sz w:val="22"/>
        </w:rPr>
        <w:t>The</w:t>
      </w:r>
      <w:r>
        <w:rPr>
          <w:spacing w:val="-2"/>
          <w:sz w:val="22"/>
        </w:rPr>
        <w:t> </w:t>
      </w:r>
      <w:r>
        <w:rPr>
          <w:sz w:val="22"/>
        </w:rPr>
        <w:t>State’s</w:t>
      </w:r>
      <w:r>
        <w:rPr>
          <w:spacing w:val="-2"/>
          <w:sz w:val="22"/>
        </w:rPr>
        <w:t> </w:t>
      </w:r>
      <w:r>
        <w:rPr>
          <w:sz w:val="22"/>
        </w:rPr>
        <w:t>process</w:t>
      </w:r>
      <w:r>
        <w:rPr>
          <w:spacing w:val="-2"/>
          <w:sz w:val="22"/>
        </w:rPr>
        <w:t> </w:t>
      </w:r>
      <w:r>
        <w:rPr>
          <w:sz w:val="22"/>
        </w:rPr>
        <w:t>for submission, review</w:t>
      </w:r>
      <w:r>
        <w:rPr>
          <w:spacing w:val="-1"/>
          <w:sz w:val="22"/>
        </w:rPr>
        <w:t> </w:t>
      </w:r>
      <w:r>
        <w:rPr>
          <w:sz w:val="22"/>
        </w:rPr>
        <w:t>and</w:t>
      </w:r>
      <w:r>
        <w:rPr>
          <w:spacing w:val="-2"/>
          <w:sz w:val="22"/>
        </w:rPr>
        <w:t> </w:t>
      </w:r>
      <w:r>
        <w:rPr>
          <w:sz w:val="22"/>
        </w:rPr>
        <w:t>approval of Preliminary</w:t>
      </w:r>
      <w:r>
        <w:rPr>
          <w:spacing w:val="-2"/>
          <w:sz w:val="22"/>
        </w:rPr>
        <w:t> </w:t>
      </w:r>
      <w:r>
        <w:rPr>
          <w:sz w:val="22"/>
        </w:rPr>
        <w:t>Participation Plans</w:t>
      </w:r>
      <w:r>
        <w:rPr>
          <w:spacing w:val="-2"/>
          <w:sz w:val="22"/>
        </w:rPr>
        <w:t> </w:t>
      </w:r>
      <w:r>
        <w:rPr>
          <w:sz w:val="22"/>
        </w:rPr>
        <w:t>for ACOs will be as follows:</w:t>
      </w:r>
    </w:p>
    <w:p>
      <w:pPr>
        <w:pStyle w:val="ListParagraph"/>
        <w:numPr>
          <w:ilvl w:val="4"/>
          <w:numId w:val="65"/>
        </w:numPr>
        <w:tabs>
          <w:tab w:pos="1940" w:val="left" w:leader="none"/>
        </w:tabs>
        <w:spacing w:line="240" w:lineRule="auto" w:before="159" w:after="0"/>
        <w:ind w:left="1940" w:right="0" w:hanging="360"/>
        <w:jc w:val="left"/>
        <w:rPr>
          <w:sz w:val="22"/>
        </w:rPr>
      </w:pPr>
      <w:r>
        <w:rPr>
          <w:sz w:val="22"/>
        </w:rPr>
        <w:t>ACOs</w:t>
      </w:r>
      <w:r>
        <w:rPr>
          <w:spacing w:val="-5"/>
          <w:sz w:val="22"/>
        </w:rPr>
        <w:t> </w:t>
      </w:r>
      <w:r>
        <w:rPr>
          <w:sz w:val="22"/>
        </w:rPr>
        <w:t>submit</w:t>
      </w:r>
      <w:r>
        <w:rPr>
          <w:spacing w:val="-3"/>
          <w:sz w:val="22"/>
        </w:rPr>
        <w:t> </w:t>
      </w:r>
      <w:r>
        <w:rPr>
          <w:sz w:val="22"/>
        </w:rPr>
        <w:t>Preliminary</w:t>
      </w:r>
      <w:r>
        <w:rPr>
          <w:spacing w:val="-9"/>
          <w:sz w:val="22"/>
        </w:rPr>
        <w:t> </w:t>
      </w:r>
      <w:r>
        <w:rPr>
          <w:sz w:val="22"/>
        </w:rPr>
        <w:t>Participation</w:t>
      </w:r>
      <w:r>
        <w:rPr>
          <w:spacing w:val="-4"/>
          <w:sz w:val="22"/>
        </w:rPr>
        <w:t> </w:t>
      </w:r>
      <w:r>
        <w:rPr>
          <w:sz w:val="22"/>
        </w:rPr>
        <w:t>Plans</w:t>
      </w:r>
      <w:r>
        <w:rPr>
          <w:spacing w:val="-5"/>
          <w:sz w:val="22"/>
        </w:rPr>
        <w:t> </w:t>
      </w:r>
      <w:r>
        <w:rPr>
          <w:sz w:val="22"/>
        </w:rPr>
        <w:t>with</w:t>
      </w:r>
      <w:r>
        <w:rPr>
          <w:spacing w:val="-7"/>
          <w:sz w:val="22"/>
        </w:rPr>
        <w:t> </w:t>
      </w:r>
      <w:r>
        <w:rPr>
          <w:sz w:val="22"/>
        </w:rPr>
        <w:t>their</w:t>
      </w:r>
      <w:r>
        <w:rPr>
          <w:spacing w:val="-3"/>
          <w:sz w:val="22"/>
        </w:rPr>
        <w:t> </w:t>
      </w:r>
      <w:r>
        <w:rPr>
          <w:sz w:val="22"/>
        </w:rPr>
        <w:t>procurement</w:t>
      </w:r>
      <w:r>
        <w:rPr>
          <w:spacing w:val="-3"/>
          <w:sz w:val="22"/>
        </w:rPr>
        <w:t> </w:t>
      </w:r>
      <w:r>
        <w:rPr>
          <w:spacing w:val="-2"/>
          <w:sz w:val="22"/>
        </w:rPr>
        <w:t>response</w:t>
      </w:r>
    </w:p>
    <w:p>
      <w:pPr>
        <w:pStyle w:val="ListParagraph"/>
        <w:numPr>
          <w:ilvl w:val="4"/>
          <w:numId w:val="65"/>
        </w:numPr>
        <w:tabs>
          <w:tab w:pos="1940" w:val="left" w:leader="none"/>
        </w:tabs>
        <w:spacing w:line="240" w:lineRule="auto" w:before="198" w:after="0"/>
        <w:ind w:left="1940" w:right="0" w:hanging="360"/>
        <w:jc w:val="left"/>
        <w:rPr>
          <w:sz w:val="22"/>
        </w:rPr>
      </w:pPr>
      <w:r>
        <w:rPr>
          <w:sz w:val="22"/>
        </w:rPr>
        <w:t>The</w:t>
      </w:r>
      <w:r>
        <w:rPr>
          <w:spacing w:val="-9"/>
          <w:sz w:val="22"/>
        </w:rPr>
        <w:t> </w:t>
      </w:r>
      <w:r>
        <w:rPr>
          <w:sz w:val="22"/>
        </w:rPr>
        <w:t>State</w:t>
      </w:r>
      <w:r>
        <w:rPr>
          <w:spacing w:val="-6"/>
          <w:sz w:val="22"/>
        </w:rPr>
        <w:t> </w:t>
      </w:r>
      <w:r>
        <w:rPr>
          <w:sz w:val="22"/>
        </w:rPr>
        <w:t>reviews</w:t>
      </w:r>
      <w:r>
        <w:rPr>
          <w:spacing w:val="-4"/>
          <w:sz w:val="22"/>
        </w:rPr>
        <w:t> </w:t>
      </w:r>
      <w:r>
        <w:rPr>
          <w:sz w:val="22"/>
        </w:rPr>
        <w:t>Preliminary</w:t>
      </w:r>
      <w:r>
        <w:rPr>
          <w:spacing w:val="-7"/>
          <w:sz w:val="22"/>
        </w:rPr>
        <w:t> </w:t>
      </w:r>
      <w:r>
        <w:rPr>
          <w:sz w:val="22"/>
        </w:rPr>
        <w:t>Participation</w:t>
      </w:r>
      <w:r>
        <w:rPr>
          <w:spacing w:val="-4"/>
          <w:sz w:val="22"/>
        </w:rPr>
        <w:t> </w:t>
      </w:r>
      <w:r>
        <w:rPr>
          <w:sz w:val="22"/>
        </w:rPr>
        <w:t>Plans</w:t>
      </w:r>
      <w:r>
        <w:rPr>
          <w:spacing w:val="-4"/>
          <w:sz w:val="22"/>
        </w:rPr>
        <w:t> </w:t>
      </w:r>
      <w:r>
        <w:rPr>
          <w:sz w:val="22"/>
        </w:rPr>
        <w:t>with</w:t>
      </w:r>
      <w:r>
        <w:rPr>
          <w:spacing w:val="-7"/>
          <w:sz w:val="22"/>
        </w:rPr>
        <w:t> </w:t>
      </w:r>
      <w:r>
        <w:rPr>
          <w:sz w:val="22"/>
        </w:rPr>
        <w:t>ACOs’</w:t>
      </w:r>
      <w:r>
        <w:rPr>
          <w:spacing w:val="-3"/>
          <w:sz w:val="22"/>
        </w:rPr>
        <w:t> </w:t>
      </w:r>
      <w:r>
        <w:rPr>
          <w:sz w:val="22"/>
        </w:rPr>
        <w:t>procurement</w:t>
      </w:r>
      <w:r>
        <w:rPr>
          <w:spacing w:val="-6"/>
          <w:sz w:val="22"/>
        </w:rPr>
        <w:t> </w:t>
      </w:r>
      <w:r>
        <w:rPr>
          <w:spacing w:val="-2"/>
          <w:sz w:val="22"/>
        </w:rPr>
        <w:t>submissions</w:t>
      </w:r>
    </w:p>
    <w:p>
      <w:pPr>
        <w:pStyle w:val="ListParagraph"/>
        <w:numPr>
          <w:ilvl w:val="4"/>
          <w:numId w:val="65"/>
        </w:numPr>
        <w:tabs>
          <w:tab w:pos="1940" w:val="left" w:leader="none"/>
        </w:tabs>
        <w:spacing w:line="240" w:lineRule="auto" w:before="201" w:after="0"/>
        <w:ind w:left="1940" w:right="1096" w:hanging="361"/>
        <w:jc w:val="left"/>
        <w:rPr>
          <w:sz w:val="22"/>
        </w:rPr>
      </w:pPr>
      <w:r>
        <w:rPr>
          <w:sz w:val="22"/>
        </w:rPr>
        <w:t>At</w:t>
      </w:r>
      <w:r>
        <w:rPr>
          <w:spacing w:val="-11"/>
          <w:sz w:val="22"/>
        </w:rPr>
        <w:t> </w:t>
      </w:r>
      <w:r>
        <w:rPr>
          <w:sz w:val="22"/>
        </w:rPr>
        <w:t>the</w:t>
      </w:r>
      <w:r>
        <w:rPr>
          <w:spacing w:val="-11"/>
          <w:sz w:val="22"/>
        </w:rPr>
        <w:t> </w:t>
      </w:r>
      <w:r>
        <w:rPr>
          <w:sz w:val="22"/>
        </w:rPr>
        <w:t>end</w:t>
      </w:r>
      <w:r>
        <w:rPr>
          <w:spacing w:val="-12"/>
          <w:sz w:val="22"/>
        </w:rPr>
        <w:t> </w:t>
      </w:r>
      <w:r>
        <w:rPr>
          <w:sz w:val="22"/>
        </w:rPr>
        <w:t>of</w:t>
      </w:r>
      <w:r>
        <w:rPr>
          <w:spacing w:val="-11"/>
          <w:sz w:val="22"/>
        </w:rPr>
        <w:t> </w:t>
      </w:r>
      <w:r>
        <w:rPr>
          <w:sz w:val="22"/>
        </w:rPr>
        <w:t>this</w:t>
      </w:r>
      <w:r>
        <w:rPr>
          <w:spacing w:val="-11"/>
          <w:sz w:val="22"/>
        </w:rPr>
        <w:t> </w:t>
      </w:r>
      <w:r>
        <w:rPr>
          <w:sz w:val="22"/>
        </w:rPr>
        <w:t>review</w:t>
      </w:r>
      <w:r>
        <w:rPr>
          <w:spacing w:val="-13"/>
          <w:sz w:val="22"/>
        </w:rPr>
        <w:t> </w:t>
      </w:r>
      <w:r>
        <w:rPr>
          <w:sz w:val="22"/>
        </w:rPr>
        <w:t>process,</w:t>
      </w:r>
      <w:r>
        <w:rPr>
          <w:spacing w:val="-12"/>
          <w:sz w:val="22"/>
        </w:rPr>
        <w:t> </w:t>
      </w:r>
      <w:r>
        <w:rPr>
          <w:sz w:val="22"/>
        </w:rPr>
        <w:t>the</w:t>
      </w:r>
      <w:r>
        <w:rPr>
          <w:spacing w:val="-11"/>
          <w:sz w:val="22"/>
        </w:rPr>
        <w:t> </w:t>
      </w:r>
      <w:r>
        <w:rPr>
          <w:sz w:val="22"/>
        </w:rPr>
        <w:t>State</w:t>
      </w:r>
      <w:r>
        <w:rPr>
          <w:spacing w:val="-11"/>
          <w:sz w:val="22"/>
        </w:rPr>
        <w:t> </w:t>
      </w:r>
      <w:r>
        <w:rPr>
          <w:sz w:val="22"/>
        </w:rPr>
        <w:t>will</w:t>
      </w:r>
      <w:r>
        <w:rPr>
          <w:spacing w:val="-11"/>
          <w:sz w:val="22"/>
        </w:rPr>
        <w:t> </w:t>
      </w:r>
      <w:r>
        <w:rPr>
          <w:sz w:val="22"/>
        </w:rPr>
        <w:t>approve</w:t>
      </w:r>
      <w:r>
        <w:rPr>
          <w:spacing w:val="-11"/>
          <w:sz w:val="22"/>
        </w:rPr>
        <w:t> </w:t>
      </w:r>
      <w:r>
        <w:rPr>
          <w:sz w:val="22"/>
        </w:rPr>
        <w:t>or</w:t>
      </w:r>
      <w:r>
        <w:rPr>
          <w:spacing w:val="-11"/>
          <w:sz w:val="22"/>
        </w:rPr>
        <w:t> </w:t>
      </w:r>
      <w:r>
        <w:rPr>
          <w:sz w:val="22"/>
        </w:rPr>
        <w:t>deny</w:t>
      </w:r>
      <w:r>
        <w:rPr>
          <w:spacing w:val="-14"/>
          <w:sz w:val="22"/>
        </w:rPr>
        <w:t> </w:t>
      </w:r>
      <w:r>
        <w:rPr>
          <w:sz w:val="22"/>
        </w:rPr>
        <w:t>the</w:t>
      </w:r>
      <w:r>
        <w:rPr>
          <w:spacing w:val="-11"/>
          <w:sz w:val="22"/>
        </w:rPr>
        <w:t> </w:t>
      </w:r>
      <w:r>
        <w:rPr>
          <w:sz w:val="22"/>
        </w:rPr>
        <w:t>Preliminary</w:t>
      </w:r>
      <w:r>
        <w:rPr>
          <w:spacing w:val="-14"/>
          <w:sz w:val="22"/>
        </w:rPr>
        <w:t> </w:t>
      </w:r>
      <w:r>
        <w:rPr>
          <w:sz w:val="22"/>
        </w:rPr>
        <w:t>Participation</w:t>
      </w:r>
      <w:r>
        <w:rPr>
          <w:spacing w:val="-12"/>
          <w:sz w:val="22"/>
        </w:rPr>
        <w:t> </w:t>
      </w:r>
      <w:r>
        <w:rPr>
          <w:sz w:val="22"/>
        </w:rPr>
        <w:t>Plans or request additional information and resubmissions of the Preliminary Plans before approval.</w:t>
      </w:r>
    </w:p>
    <w:p>
      <w:pPr>
        <w:pStyle w:val="ListParagraph"/>
        <w:numPr>
          <w:ilvl w:val="4"/>
          <w:numId w:val="65"/>
        </w:numPr>
        <w:tabs>
          <w:tab w:pos="1940" w:val="left" w:leader="none"/>
        </w:tabs>
        <w:spacing w:line="240" w:lineRule="auto" w:before="198" w:after="0"/>
        <w:ind w:left="1940" w:right="1093" w:hanging="361"/>
        <w:jc w:val="left"/>
        <w:rPr>
          <w:sz w:val="22"/>
        </w:rPr>
      </w:pPr>
      <w:r>
        <w:rPr>
          <w:sz w:val="22"/>
        </w:rPr>
        <w:t>The</w:t>
      </w:r>
      <w:r>
        <w:rPr>
          <w:spacing w:val="-16"/>
          <w:sz w:val="22"/>
        </w:rPr>
        <w:t> </w:t>
      </w:r>
      <w:r>
        <w:rPr>
          <w:sz w:val="22"/>
        </w:rPr>
        <w:t>State</w:t>
      </w:r>
      <w:r>
        <w:rPr>
          <w:spacing w:val="-14"/>
          <w:sz w:val="22"/>
        </w:rPr>
        <w:t> </w:t>
      </w:r>
      <w:r>
        <w:rPr>
          <w:sz w:val="22"/>
        </w:rPr>
        <w:t>anticipates</w:t>
      </w:r>
      <w:r>
        <w:rPr>
          <w:spacing w:val="-14"/>
          <w:sz w:val="22"/>
        </w:rPr>
        <w:t> </w:t>
      </w:r>
      <w:r>
        <w:rPr>
          <w:sz w:val="22"/>
        </w:rPr>
        <w:t>completing</w:t>
      </w:r>
      <w:r>
        <w:rPr>
          <w:spacing w:val="-15"/>
          <w:sz w:val="22"/>
        </w:rPr>
        <w:t> </w:t>
      </w:r>
      <w:r>
        <w:rPr>
          <w:sz w:val="22"/>
        </w:rPr>
        <w:t>approval</w:t>
      </w:r>
      <w:r>
        <w:rPr>
          <w:spacing w:val="-13"/>
          <w:sz w:val="22"/>
        </w:rPr>
        <w:t> </w:t>
      </w:r>
      <w:r>
        <w:rPr>
          <w:sz w:val="22"/>
        </w:rPr>
        <w:t>of</w:t>
      </w:r>
      <w:r>
        <w:rPr>
          <w:spacing w:val="-14"/>
          <w:sz w:val="22"/>
        </w:rPr>
        <w:t> </w:t>
      </w:r>
      <w:r>
        <w:rPr>
          <w:sz w:val="22"/>
        </w:rPr>
        <w:t>ACOs’</w:t>
      </w:r>
      <w:r>
        <w:rPr>
          <w:spacing w:val="-14"/>
          <w:sz w:val="22"/>
        </w:rPr>
        <w:t> </w:t>
      </w:r>
      <w:r>
        <w:rPr>
          <w:sz w:val="22"/>
        </w:rPr>
        <w:t>Preliminary</w:t>
      </w:r>
      <w:r>
        <w:rPr>
          <w:spacing w:val="-15"/>
          <w:sz w:val="22"/>
        </w:rPr>
        <w:t> </w:t>
      </w:r>
      <w:r>
        <w:rPr>
          <w:sz w:val="22"/>
        </w:rPr>
        <w:t>Participation</w:t>
      </w:r>
      <w:r>
        <w:rPr>
          <w:spacing w:val="-14"/>
          <w:sz w:val="22"/>
        </w:rPr>
        <w:t> </w:t>
      </w:r>
      <w:r>
        <w:rPr>
          <w:sz w:val="22"/>
        </w:rPr>
        <w:t>Plans</w:t>
      </w:r>
      <w:r>
        <w:rPr>
          <w:spacing w:val="-13"/>
          <w:sz w:val="22"/>
        </w:rPr>
        <w:t> </w:t>
      </w:r>
      <w:r>
        <w:rPr>
          <w:sz w:val="22"/>
        </w:rPr>
        <w:t>in</w:t>
      </w:r>
      <w:r>
        <w:rPr>
          <w:spacing w:val="-15"/>
          <w:sz w:val="22"/>
        </w:rPr>
        <w:t> </w:t>
      </w:r>
      <w:r>
        <w:rPr>
          <w:sz w:val="22"/>
        </w:rPr>
        <w:t>July/August </w:t>
      </w:r>
      <w:r>
        <w:rPr>
          <w:spacing w:val="-2"/>
          <w:sz w:val="22"/>
        </w:rPr>
        <w:t>2017.</w:t>
      </w:r>
    </w:p>
    <w:p>
      <w:pPr>
        <w:spacing w:after="0" w:line="240" w:lineRule="auto"/>
        <w:jc w:val="left"/>
        <w:rPr>
          <w:sz w:val="22"/>
        </w:rPr>
        <w:sectPr>
          <w:pgSz w:w="12240" w:h="15840"/>
          <w:pgMar w:header="0" w:footer="967" w:top="1360" w:bottom="1160" w:left="220" w:right="340"/>
        </w:sectPr>
      </w:pPr>
    </w:p>
    <w:p>
      <w:pPr>
        <w:pStyle w:val="ListParagraph"/>
        <w:numPr>
          <w:ilvl w:val="3"/>
          <w:numId w:val="65"/>
        </w:numPr>
        <w:tabs>
          <w:tab w:pos="1938" w:val="left" w:leader="none"/>
        </w:tabs>
        <w:spacing w:line="240" w:lineRule="auto" w:before="78" w:after="0"/>
        <w:ind w:left="1938" w:right="0" w:hanging="719"/>
        <w:jc w:val="left"/>
        <w:rPr>
          <w:b/>
          <w:i/>
          <w:sz w:val="22"/>
        </w:rPr>
      </w:pPr>
      <w:bookmarkStart w:name="3.4.2.2 Full Participation Plans for ACO" w:id="1269"/>
      <w:bookmarkEnd w:id="1269"/>
      <w:r>
        <w:rPr/>
      </w:r>
      <w:r>
        <w:rPr>
          <w:b/>
          <w:i/>
          <w:color w:val="4471C4"/>
          <w:sz w:val="22"/>
        </w:rPr>
        <w:t>Full</w:t>
      </w:r>
      <w:r>
        <w:rPr>
          <w:b/>
          <w:i/>
          <w:color w:val="4471C4"/>
          <w:spacing w:val="-3"/>
          <w:sz w:val="22"/>
        </w:rPr>
        <w:t> </w:t>
      </w:r>
      <w:r>
        <w:rPr>
          <w:b/>
          <w:i/>
          <w:color w:val="4471C4"/>
          <w:sz w:val="22"/>
        </w:rPr>
        <w:t>Participation</w:t>
      </w:r>
      <w:r>
        <w:rPr>
          <w:b/>
          <w:i/>
          <w:color w:val="4471C4"/>
          <w:spacing w:val="-5"/>
          <w:sz w:val="22"/>
        </w:rPr>
        <w:t> </w:t>
      </w:r>
      <w:r>
        <w:rPr>
          <w:b/>
          <w:i/>
          <w:color w:val="4471C4"/>
          <w:sz w:val="22"/>
        </w:rPr>
        <w:t>Plans</w:t>
      </w:r>
      <w:r>
        <w:rPr>
          <w:b/>
          <w:i/>
          <w:color w:val="4471C4"/>
          <w:spacing w:val="-6"/>
          <w:sz w:val="22"/>
        </w:rPr>
        <w:t> </w:t>
      </w:r>
      <w:r>
        <w:rPr>
          <w:b/>
          <w:i/>
          <w:color w:val="4471C4"/>
          <w:sz w:val="22"/>
        </w:rPr>
        <w:t>for</w:t>
      </w:r>
      <w:r>
        <w:rPr>
          <w:b/>
          <w:i/>
          <w:color w:val="4471C4"/>
          <w:spacing w:val="-3"/>
          <w:sz w:val="22"/>
        </w:rPr>
        <w:t> </w:t>
      </w:r>
      <w:r>
        <w:rPr>
          <w:b/>
          <w:i/>
          <w:color w:val="4471C4"/>
          <w:spacing w:val="-4"/>
          <w:sz w:val="22"/>
        </w:rPr>
        <w:t>ACOs</w:t>
      </w:r>
    </w:p>
    <w:p>
      <w:pPr>
        <w:spacing w:before="2"/>
        <w:ind w:left="1220" w:right="0" w:firstLine="0"/>
        <w:jc w:val="left"/>
        <w:rPr>
          <w:sz w:val="22"/>
        </w:rPr>
      </w:pPr>
      <w:r>
        <w:rPr>
          <w:sz w:val="22"/>
        </w:rPr>
        <w:t>The</w:t>
      </w:r>
      <w:r>
        <w:rPr>
          <w:spacing w:val="-8"/>
          <w:sz w:val="22"/>
        </w:rPr>
        <w:t> </w:t>
      </w:r>
      <w:r>
        <w:rPr>
          <w:sz w:val="22"/>
        </w:rPr>
        <w:t>process</w:t>
      </w:r>
      <w:r>
        <w:rPr>
          <w:spacing w:val="-3"/>
          <w:sz w:val="22"/>
        </w:rPr>
        <w:t> </w:t>
      </w:r>
      <w:r>
        <w:rPr>
          <w:sz w:val="22"/>
        </w:rPr>
        <w:t>for</w:t>
      </w:r>
      <w:r>
        <w:rPr>
          <w:spacing w:val="-2"/>
          <w:sz w:val="22"/>
        </w:rPr>
        <w:t> </w:t>
      </w:r>
      <w:r>
        <w:rPr>
          <w:sz w:val="22"/>
        </w:rPr>
        <w:t>submission,</w:t>
      </w:r>
      <w:r>
        <w:rPr>
          <w:spacing w:val="-4"/>
          <w:sz w:val="22"/>
        </w:rPr>
        <w:t> </w:t>
      </w:r>
      <w:r>
        <w:rPr>
          <w:sz w:val="22"/>
        </w:rPr>
        <w:t>review</w:t>
      </w:r>
      <w:r>
        <w:rPr>
          <w:spacing w:val="-4"/>
          <w:sz w:val="22"/>
        </w:rPr>
        <w:t> </w:t>
      </w:r>
      <w:r>
        <w:rPr>
          <w:sz w:val="22"/>
        </w:rPr>
        <w:t>and</w:t>
      </w:r>
      <w:r>
        <w:rPr>
          <w:spacing w:val="-6"/>
          <w:sz w:val="22"/>
        </w:rPr>
        <w:t> </w:t>
      </w:r>
      <w:r>
        <w:rPr>
          <w:sz w:val="22"/>
        </w:rPr>
        <w:t>approval</w:t>
      </w:r>
      <w:r>
        <w:rPr>
          <w:spacing w:val="-3"/>
          <w:sz w:val="22"/>
        </w:rPr>
        <w:t> </w:t>
      </w:r>
      <w:r>
        <w:rPr>
          <w:sz w:val="22"/>
        </w:rPr>
        <w:t>of</w:t>
      </w:r>
      <w:r>
        <w:rPr>
          <w:spacing w:val="-2"/>
          <w:sz w:val="22"/>
        </w:rPr>
        <w:t> </w:t>
      </w:r>
      <w:r>
        <w:rPr>
          <w:sz w:val="22"/>
        </w:rPr>
        <w:t>Full</w:t>
      </w:r>
      <w:r>
        <w:rPr>
          <w:spacing w:val="-2"/>
          <w:sz w:val="22"/>
        </w:rPr>
        <w:t> </w:t>
      </w:r>
      <w:r>
        <w:rPr>
          <w:sz w:val="22"/>
        </w:rPr>
        <w:t>Participation</w:t>
      </w:r>
      <w:r>
        <w:rPr>
          <w:spacing w:val="-4"/>
          <w:sz w:val="22"/>
        </w:rPr>
        <w:t> </w:t>
      </w:r>
      <w:r>
        <w:rPr>
          <w:sz w:val="22"/>
        </w:rPr>
        <w:t>Plans</w:t>
      </w:r>
      <w:r>
        <w:rPr>
          <w:spacing w:val="-5"/>
          <w:sz w:val="22"/>
        </w:rPr>
        <w:t> </w:t>
      </w:r>
      <w:r>
        <w:rPr>
          <w:sz w:val="22"/>
        </w:rPr>
        <w:t>for</w:t>
      </w:r>
      <w:r>
        <w:rPr>
          <w:spacing w:val="-2"/>
          <w:sz w:val="22"/>
        </w:rPr>
        <w:t> </w:t>
      </w:r>
      <w:r>
        <w:rPr>
          <w:sz w:val="22"/>
        </w:rPr>
        <w:t>ACOs</w:t>
      </w:r>
      <w:r>
        <w:rPr>
          <w:spacing w:val="-4"/>
          <w:sz w:val="22"/>
        </w:rPr>
        <w:t> </w:t>
      </w:r>
      <w:r>
        <w:rPr>
          <w:sz w:val="22"/>
        </w:rPr>
        <w:t>will</w:t>
      </w:r>
      <w:r>
        <w:rPr>
          <w:spacing w:val="-5"/>
          <w:sz w:val="22"/>
        </w:rPr>
        <w:t> </w:t>
      </w:r>
      <w:r>
        <w:rPr>
          <w:sz w:val="22"/>
        </w:rPr>
        <w:t>be</w:t>
      </w:r>
      <w:r>
        <w:rPr>
          <w:spacing w:val="-3"/>
          <w:sz w:val="22"/>
        </w:rPr>
        <w:t> </w:t>
      </w:r>
      <w:r>
        <w:rPr>
          <w:sz w:val="22"/>
        </w:rPr>
        <w:t>as</w:t>
      </w:r>
      <w:r>
        <w:rPr>
          <w:spacing w:val="-3"/>
          <w:sz w:val="22"/>
        </w:rPr>
        <w:t> </w:t>
      </w:r>
      <w:r>
        <w:rPr>
          <w:spacing w:val="-2"/>
          <w:sz w:val="22"/>
        </w:rPr>
        <w:t>follows:</w:t>
      </w:r>
    </w:p>
    <w:p>
      <w:pPr>
        <w:pStyle w:val="ListParagraph"/>
        <w:numPr>
          <w:ilvl w:val="4"/>
          <w:numId w:val="65"/>
        </w:numPr>
        <w:tabs>
          <w:tab w:pos="1938" w:val="left" w:leader="none"/>
          <w:tab w:pos="1940" w:val="left" w:leader="none"/>
        </w:tabs>
        <w:spacing w:line="240" w:lineRule="auto" w:before="158" w:after="0"/>
        <w:ind w:left="1940" w:right="1095" w:hanging="361"/>
        <w:jc w:val="both"/>
        <w:rPr>
          <w:sz w:val="22"/>
        </w:rPr>
      </w:pPr>
      <w:r>
        <w:rPr>
          <w:sz w:val="22"/>
        </w:rPr>
        <w:t>The State notifies ACOs of anticipated BP1 funding amounts and tentative BP2 through BP5 funding amounts and requests a Full Participation Plan</w:t>
      </w:r>
    </w:p>
    <w:p>
      <w:pPr>
        <w:pStyle w:val="ListParagraph"/>
        <w:numPr>
          <w:ilvl w:val="4"/>
          <w:numId w:val="65"/>
        </w:numPr>
        <w:tabs>
          <w:tab w:pos="1938" w:val="left" w:leader="none"/>
          <w:tab w:pos="1940" w:val="left" w:leader="none"/>
        </w:tabs>
        <w:spacing w:line="240" w:lineRule="auto" w:before="200" w:after="0"/>
        <w:ind w:left="1940" w:right="1094" w:hanging="361"/>
        <w:jc w:val="both"/>
        <w:rPr>
          <w:sz w:val="22"/>
        </w:rPr>
      </w:pPr>
      <w:r>
        <w:rPr>
          <w:sz w:val="22"/>
        </w:rPr>
        <w:t>ACOs submit Full Participation Plans to the State (the State will provide ACOs up to 30 calendar days from the date of notification). The State intends to work with ACOs who request additional time or fail to respond in a timely fashion to ensure prompt submission</w:t>
      </w:r>
    </w:p>
    <w:p>
      <w:pPr>
        <w:pStyle w:val="ListParagraph"/>
        <w:numPr>
          <w:ilvl w:val="4"/>
          <w:numId w:val="65"/>
        </w:numPr>
        <w:tabs>
          <w:tab w:pos="1938" w:val="left" w:leader="none"/>
          <w:tab w:pos="1940" w:val="left" w:leader="none"/>
        </w:tabs>
        <w:spacing w:line="240" w:lineRule="auto" w:before="199" w:after="0"/>
        <w:ind w:left="1940" w:right="1094" w:hanging="361"/>
        <w:jc w:val="both"/>
        <w:rPr>
          <w:sz w:val="22"/>
        </w:rPr>
      </w:pPr>
      <w:r>
        <w:rPr>
          <w:sz w:val="22"/>
        </w:rPr>
        <w:t>The State and Independent Assessor review Full Participation Plans in parallel. The State intends to complete its review of the Full Participation Plans, including evaluating the Independent Assessor’s recommendations, within 45 calendar days of ACOs’ submission. Requests for additional information and resubmissions may require additional time.</w:t>
      </w:r>
    </w:p>
    <w:p>
      <w:pPr>
        <w:pStyle w:val="ListParagraph"/>
        <w:numPr>
          <w:ilvl w:val="4"/>
          <w:numId w:val="65"/>
        </w:numPr>
        <w:tabs>
          <w:tab w:pos="1938" w:val="left" w:leader="none"/>
          <w:tab w:pos="1940" w:val="left" w:leader="none"/>
        </w:tabs>
        <w:spacing w:line="240" w:lineRule="auto" w:before="200" w:after="0"/>
        <w:ind w:left="1940" w:right="1096" w:hanging="361"/>
        <w:jc w:val="both"/>
        <w:rPr>
          <w:sz w:val="22"/>
        </w:rPr>
      </w:pPr>
      <w:r>
        <w:rPr>
          <w:sz w:val="22"/>
        </w:rPr>
        <w:t>At the end of this review process, the State approves, denies or requests additional information regarding the ACOs’ Full Participation Plans.</w:t>
      </w:r>
    </w:p>
    <w:p>
      <w:pPr>
        <w:pStyle w:val="ListParagraph"/>
        <w:numPr>
          <w:ilvl w:val="4"/>
          <w:numId w:val="65"/>
        </w:numPr>
        <w:tabs>
          <w:tab w:pos="1939" w:val="left" w:leader="none"/>
          <w:tab w:pos="1941" w:val="left" w:leader="none"/>
        </w:tabs>
        <w:spacing w:line="240" w:lineRule="auto" w:before="200" w:after="0"/>
        <w:ind w:left="1941" w:right="1094" w:hanging="361"/>
        <w:jc w:val="both"/>
        <w:rPr>
          <w:b/>
          <w:sz w:val="22"/>
        </w:rPr>
      </w:pPr>
      <w:r>
        <w:rPr>
          <w:b/>
          <w:sz w:val="22"/>
        </w:rPr>
        <w:t>The State therefore anticipates completing approvals of Full Participation Plans within 75 calendar days of requesting them from ACOs as follows:</w:t>
      </w:r>
    </w:p>
    <w:p>
      <w:pPr>
        <w:pStyle w:val="ListParagraph"/>
        <w:numPr>
          <w:ilvl w:val="5"/>
          <w:numId w:val="65"/>
        </w:numPr>
        <w:tabs>
          <w:tab w:pos="2660" w:val="left" w:leader="none"/>
        </w:tabs>
        <w:spacing w:line="240" w:lineRule="auto" w:before="199" w:after="0"/>
        <w:ind w:left="2660" w:right="0" w:hanging="359"/>
        <w:jc w:val="left"/>
        <w:rPr>
          <w:sz w:val="22"/>
        </w:rPr>
      </w:pPr>
      <w:r>
        <w:rPr>
          <w:sz w:val="22"/>
        </w:rPr>
        <w:t>The</w:t>
      </w:r>
      <w:r>
        <w:rPr>
          <w:spacing w:val="-6"/>
          <w:sz w:val="22"/>
        </w:rPr>
        <w:t> </w:t>
      </w:r>
      <w:r>
        <w:rPr>
          <w:sz w:val="22"/>
        </w:rPr>
        <w:t>State</w:t>
      </w:r>
      <w:r>
        <w:rPr>
          <w:spacing w:val="-5"/>
          <w:sz w:val="22"/>
        </w:rPr>
        <w:t> </w:t>
      </w:r>
      <w:r>
        <w:rPr>
          <w:sz w:val="22"/>
        </w:rPr>
        <w:t>anticipates</w:t>
      </w:r>
      <w:r>
        <w:rPr>
          <w:spacing w:val="-5"/>
          <w:sz w:val="22"/>
        </w:rPr>
        <w:t> </w:t>
      </w:r>
      <w:r>
        <w:rPr>
          <w:sz w:val="22"/>
        </w:rPr>
        <w:t>approving</w:t>
      </w:r>
      <w:r>
        <w:rPr>
          <w:spacing w:val="-6"/>
          <w:sz w:val="22"/>
        </w:rPr>
        <w:t> </w:t>
      </w:r>
      <w:r>
        <w:rPr>
          <w:sz w:val="22"/>
        </w:rPr>
        <w:t>Full</w:t>
      </w:r>
      <w:r>
        <w:rPr>
          <w:spacing w:val="-2"/>
          <w:sz w:val="22"/>
        </w:rPr>
        <w:t> </w:t>
      </w:r>
      <w:r>
        <w:rPr>
          <w:sz w:val="22"/>
        </w:rPr>
        <w:t>Participation</w:t>
      </w:r>
      <w:r>
        <w:rPr>
          <w:spacing w:val="-4"/>
          <w:sz w:val="22"/>
        </w:rPr>
        <w:t> </w:t>
      </w:r>
      <w:r>
        <w:rPr>
          <w:sz w:val="22"/>
        </w:rPr>
        <w:t>Plans</w:t>
      </w:r>
      <w:r>
        <w:rPr>
          <w:spacing w:val="-3"/>
          <w:sz w:val="22"/>
        </w:rPr>
        <w:t> </w:t>
      </w:r>
      <w:r>
        <w:rPr>
          <w:sz w:val="22"/>
        </w:rPr>
        <w:t>in</w:t>
      </w:r>
      <w:r>
        <w:rPr>
          <w:spacing w:val="-3"/>
          <w:sz w:val="22"/>
        </w:rPr>
        <w:t> </w:t>
      </w:r>
      <w:r>
        <w:rPr>
          <w:sz w:val="22"/>
        </w:rPr>
        <w:t>April</w:t>
      </w:r>
      <w:r>
        <w:rPr>
          <w:spacing w:val="-2"/>
          <w:sz w:val="22"/>
        </w:rPr>
        <w:t> </w:t>
      </w:r>
      <w:r>
        <w:rPr>
          <w:spacing w:val="-4"/>
          <w:sz w:val="22"/>
        </w:rPr>
        <w:t>2018</w:t>
      </w:r>
    </w:p>
    <w:p>
      <w:pPr>
        <w:pStyle w:val="Heading5"/>
        <w:numPr>
          <w:ilvl w:val="2"/>
          <w:numId w:val="65"/>
        </w:numPr>
        <w:tabs>
          <w:tab w:pos="1939" w:val="left" w:leader="none"/>
        </w:tabs>
        <w:spacing w:line="240" w:lineRule="auto" w:before="180" w:after="0"/>
        <w:ind w:left="1939" w:right="0" w:hanging="719"/>
        <w:jc w:val="left"/>
        <w:rPr>
          <w:color w:val="4471C4"/>
        </w:rPr>
      </w:pPr>
      <w:bookmarkStart w:name="3.4.3 Process for State Approval of CPs " w:id="1270"/>
      <w:bookmarkEnd w:id="1270"/>
      <w:r>
        <w:rPr>
          <w:b w:val="0"/>
        </w:rPr>
      </w:r>
      <w:bookmarkStart w:name="_bookmark31" w:id="1271"/>
      <w:bookmarkEnd w:id="1271"/>
      <w:r>
        <w:rPr>
          <w:b w:val="0"/>
        </w:rPr>
      </w:r>
      <w:r>
        <w:rPr>
          <w:color w:val="4471C4"/>
        </w:rPr>
        <w:t>Process</w:t>
      </w:r>
      <w:r>
        <w:rPr>
          <w:color w:val="4471C4"/>
          <w:spacing w:val="-5"/>
        </w:rPr>
        <w:t> </w:t>
      </w:r>
      <w:r>
        <w:rPr>
          <w:color w:val="4471C4"/>
        </w:rPr>
        <w:t>for</w:t>
      </w:r>
      <w:r>
        <w:rPr>
          <w:color w:val="4471C4"/>
          <w:spacing w:val="-3"/>
        </w:rPr>
        <w:t> </w:t>
      </w:r>
      <w:r>
        <w:rPr>
          <w:color w:val="4471C4"/>
        </w:rPr>
        <w:t>State</w:t>
      </w:r>
      <w:r>
        <w:rPr>
          <w:color w:val="4471C4"/>
          <w:spacing w:val="-1"/>
        </w:rPr>
        <w:t> </w:t>
      </w:r>
      <w:r>
        <w:rPr>
          <w:color w:val="4471C4"/>
        </w:rPr>
        <w:t>Approval</w:t>
      </w:r>
      <w:r>
        <w:rPr>
          <w:color w:val="4471C4"/>
          <w:spacing w:val="-2"/>
        </w:rPr>
        <w:t> </w:t>
      </w:r>
      <w:r>
        <w:rPr>
          <w:color w:val="4471C4"/>
        </w:rPr>
        <w:t>of</w:t>
      </w:r>
      <w:r>
        <w:rPr>
          <w:color w:val="4471C4"/>
          <w:spacing w:val="-2"/>
        </w:rPr>
        <w:t> </w:t>
      </w:r>
      <w:r>
        <w:rPr>
          <w:color w:val="4471C4"/>
        </w:rPr>
        <w:t>CPs</w:t>
      </w:r>
      <w:r>
        <w:rPr>
          <w:color w:val="4471C4"/>
          <w:spacing w:val="-2"/>
        </w:rPr>
        <w:t> </w:t>
      </w:r>
      <w:r>
        <w:rPr>
          <w:color w:val="4471C4"/>
        </w:rPr>
        <w:t>and</w:t>
      </w:r>
      <w:r>
        <w:rPr>
          <w:color w:val="4471C4"/>
          <w:spacing w:val="-2"/>
        </w:rPr>
        <w:t> </w:t>
      </w:r>
      <w:r>
        <w:rPr>
          <w:color w:val="4471C4"/>
        </w:rPr>
        <w:t>CSAs</w:t>
      </w:r>
      <w:r>
        <w:rPr>
          <w:color w:val="4471C4"/>
          <w:spacing w:val="-2"/>
        </w:rPr>
        <w:t> </w:t>
      </w:r>
      <w:r>
        <w:rPr>
          <w:color w:val="4471C4"/>
        </w:rPr>
        <w:t>Participation</w:t>
      </w:r>
      <w:r>
        <w:rPr>
          <w:color w:val="4471C4"/>
          <w:spacing w:val="-2"/>
        </w:rPr>
        <w:t> Plans</w:t>
      </w:r>
    </w:p>
    <w:p>
      <w:pPr>
        <w:pStyle w:val="BodyText"/>
        <w:spacing w:before="1"/>
        <w:rPr>
          <w:b/>
          <w:sz w:val="21"/>
        </w:rPr>
      </w:pPr>
    </w:p>
    <w:p>
      <w:pPr>
        <w:pStyle w:val="ListParagraph"/>
        <w:numPr>
          <w:ilvl w:val="3"/>
          <w:numId w:val="65"/>
        </w:numPr>
        <w:tabs>
          <w:tab w:pos="1939" w:val="left" w:leader="none"/>
        </w:tabs>
        <w:spacing w:line="252" w:lineRule="exact" w:before="0" w:after="0"/>
        <w:ind w:left="1939" w:right="0" w:hanging="719"/>
        <w:jc w:val="left"/>
        <w:rPr>
          <w:b/>
          <w:i/>
          <w:sz w:val="22"/>
        </w:rPr>
      </w:pPr>
      <w:bookmarkStart w:name="3.4.3.1 Preliminary Participation Plan a" w:id="1272"/>
      <w:bookmarkEnd w:id="1272"/>
      <w:r>
        <w:rPr/>
      </w:r>
      <w:r>
        <w:rPr>
          <w:b/>
          <w:i/>
          <w:color w:val="4471C4"/>
          <w:sz w:val="22"/>
        </w:rPr>
        <w:t>Preliminary</w:t>
      </w:r>
      <w:r>
        <w:rPr>
          <w:b/>
          <w:i/>
          <w:color w:val="4471C4"/>
          <w:spacing w:val="-4"/>
          <w:sz w:val="22"/>
        </w:rPr>
        <w:t> </w:t>
      </w:r>
      <w:r>
        <w:rPr>
          <w:b/>
          <w:i/>
          <w:color w:val="4471C4"/>
          <w:sz w:val="22"/>
        </w:rPr>
        <w:t>Participation</w:t>
      </w:r>
      <w:r>
        <w:rPr>
          <w:b/>
          <w:i/>
          <w:color w:val="4471C4"/>
          <w:spacing w:val="-7"/>
          <w:sz w:val="22"/>
        </w:rPr>
        <w:t> </w:t>
      </w:r>
      <w:r>
        <w:rPr>
          <w:b/>
          <w:i/>
          <w:color w:val="4471C4"/>
          <w:sz w:val="22"/>
        </w:rPr>
        <w:t>Plan</w:t>
      </w:r>
      <w:r>
        <w:rPr>
          <w:b/>
          <w:i/>
          <w:color w:val="4471C4"/>
          <w:spacing w:val="-4"/>
          <w:sz w:val="22"/>
        </w:rPr>
        <w:t> </w:t>
      </w:r>
      <w:r>
        <w:rPr>
          <w:b/>
          <w:i/>
          <w:color w:val="4471C4"/>
          <w:sz w:val="22"/>
        </w:rPr>
        <w:t>approval</w:t>
      </w:r>
      <w:r>
        <w:rPr>
          <w:b/>
          <w:i/>
          <w:color w:val="4471C4"/>
          <w:spacing w:val="-3"/>
          <w:sz w:val="22"/>
        </w:rPr>
        <w:t> </w:t>
      </w:r>
      <w:r>
        <w:rPr>
          <w:b/>
          <w:i/>
          <w:color w:val="4471C4"/>
          <w:sz w:val="22"/>
        </w:rPr>
        <w:t>for</w:t>
      </w:r>
      <w:r>
        <w:rPr>
          <w:b/>
          <w:i/>
          <w:color w:val="4471C4"/>
          <w:spacing w:val="-3"/>
          <w:sz w:val="22"/>
        </w:rPr>
        <w:t> </w:t>
      </w:r>
      <w:r>
        <w:rPr>
          <w:b/>
          <w:i/>
          <w:color w:val="4471C4"/>
          <w:sz w:val="22"/>
        </w:rPr>
        <w:t>CPs</w:t>
      </w:r>
      <w:r>
        <w:rPr>
          <w:b/>
          <w:i/>
          <w:color w:val="4471C4"/>
          <w:spacing w:val="-4"/>
          <w:sz w:val="22"/>
        </w:rPr>
        <w:t> </w:t>
      </w:r>
      <w:r>
        <w:rPr>
          <w:b/>
          <w:i/>
          <w:color w:val="4471C4"/>
          <w:sz w:val="22"/>
        </w:rPr>
        <w:t>and</w:t>
      </w:r>
      <w:r>
        <w:rPr>
          <w:b/>
          <w:i/>
          <w:color w:val="4471C4"/>
          <w:spacing w:val="-6"/>
          <w:sz w:val="22"/>
        </w:rPr>
        <w:t> </w:t>
      </w:r>
      <w:r>
        <w:rPr>
          <w:b/>
          <w:i/>
          <w:color w:val="4471C4"/>
          <w:spacing w:val="-4"/>
          <w:sz w:val="22"/>
        </w:rPr>
        <w:t>CSAs</w:t>
      </w:r>
    </w:p>
    <w:p>
      <w:pPr>
        <w:spacing w:before="0"/>
        <w:ind w:left="1220" w:right="1111" w:firstLine="0"/>
        <w:jc w:val="left"/>
        <w:rPr>
          <w:sz w:val="22"/>
        </w:rPr>
      </w:pPr>
      <w:r>
        <w:rPr>
          <w:sz w:val="22"/>
        </w:rPr>
        <w:t>The State’s process for submission, review and approval of Preliminary Participation Plans for CPs and</w:t>
      </w:r>
      <w:r>
        <w:rPr>
          <w:spacing w:val="40"/>
          <w:sz w:val="22"/>
        </w:rPr>
        <w:t> </w:t>
      </w:r>
      <w:r>
        <w:rPr>
          <w:sz w:val="22"/>
        </w:rPr>
        <w:t>CSAs will be as follows:</w:t>
      </w:r>
    </w:p>
    <w:p>
      <w:pPr>
        <w:pStyle w:val="ListParagraph"/>
        <w:numPr>
          <w:ilvl w:val="4"/>
          <w:numId w:val="65"/>
        </w:numPr>
        <w:tabs>
          <w:tab w:pos="1940" w:val="left" w:leader="none"/>
        </w:tabs>
        <w:spacing w:line="240" w:lineRule="auto" w:before="162" w:after="0"/>
        <w:ind w:left="1940" w:right="0" w:hanging="360"/>
        <w:jc w:val="left"/>
        <w:rPr>
          <w:sz w:val="22"/>
        </w:rPr>
      </w:pPr>
      <w:r>
        <w:rPr>
          <w:sz w:val="22"/>
        </w:rPr>
        <w:t>CPs</w:t>
      </w:r>
      <w:r>
        <w:rPr>
          <w:spacing w:val="-4"/>
          <w:sz w:val="22"/>
        </w:rPr>
        <w:t> </w:t>
      </w:r>
      <w:r>
        <w:rPr>
          <w:sz w:val="22"/>
        </w:rPr>
        <w:t>submit</w:t>
      </w:r>
      <w:r>
        <w:rPr>
          <w:spacing w:val="-2"/>
          <w:sz w:val="22"/>
        </w:rPr>
        <w:t> </w:t>
      </w:r>
      <w:r>
        <w:rPr>
          <w:sz w:val="22"/>
        </w:rPr>
        <w:t>Preliminary</w:t>
      </w:r>
      <w:r>
        <w:rPr>
          <w:spacing w:val="-6"/>
          <w:sz w:val="22"/>
        </w:rPr>
        <w:t> </w:t>
      </w:r>
      <w:r>
        <w:rPr>
          <w:sz w:val="22"/>
        </w:rPr>
        <w:t>Participation</w:t>
      </w:r>
      <w:r>
        <w:rPr>
          <w:spacing w:val="-3"/>
          <w:sz w:val="22"/>
        </w:rPr>
        <w:t> </w:t>
      </w:r>
      <w:r>
        <w:rPr>
          <w:sz w:val="22"/>
        </w:rPr>
        <w:t>Plans</w:t>
      </w:r>
      <w:r>
        <w:rPr>
          <w:spacing w:val="-4"/>
          <w:sz w:val="22"/>
        </w:rPr>
        <w:t> </w:t>
      </w:r>
      <w:r>
        <w:rPr>
          <w:sz w:val="22"/>
        </w:rPr>
        <w:t>with</w:t>
      </w:r>
      <w:r>
        <w:rPr>
          <w:spacing w:val="-6"/>
          <w:sz w:val="22"/>
        </w:rPr>
        <w:t> </w:t>
      </w:r>
      <w:r>
        <w:rPr>
          <w:sz w:val="22"/>
        </w:rPr>
        <w:t>their</w:t>
      </w:r>
      <w:r>
        <w:rPr>
          <w:spacing w:val="-5"/>
          <w:sz w:val="22"/>
        </w:rPr>
        <w:t> </w:t>
      </w:r>
      <w:r>
        <w:rPr>
          <w:sz w:val="22"/>
        </w:rPr>
        <w:t>request</w:t>
      </w:r>
      <w:r>
        <w:rPr>
          <w:spacing w:val="-2"/>
          <w:sz w:val="22"/>
        </w:rPr>
        <w:t> </w:t>
      </w:r>
      <w:r>
        <w:rPr>
          <w:sz w:val="22"/>
        </w:rPr>
        <w:t>for</w:t>
      </w:r>
      <w:r>
        <w:rPr>
          <w:spacing w:val="-5"/>
          <w:sz w:val="22"/>
        </w:rPr>
        <w:t> </w:t>
      </w:r>
      <w:r>
        <w:rPr>
          <w:spacing w:val="-2"/>
          <w:sz w:val="22"/>
        </w:rPr>
        <w:t>funding</w:t>
      </w:r>
    </w:p>
    <w:p>
      <w:pPr>
        <w:pStyle w:val="ListParagraph"/>
        <w:numPr>
          <w:ilvl w:val="4"/>
          <w:numId w:val="65"/>
        </w:numPr>
        <w:tabs>
          <w:tab w:pos="1940" w:val="left" w:leader="none"/>
        </w:tabs>
        <w:spacing w:line="240" w:lineRule="auto" w:before="198" w:after="0"/>
        <w:ind w:left="1940" w:right="0" w:hanging="360"/>
        <w:jc w:val="left"/>
        <w:rPr>
          <w:sz w:val="22"/>
        </w:rPr>
      </w:pPr>
      <w:r>
        <w:rPr>
          <w:sz w:val="22"/>
        </w:rPr>
        <w:t>CSAs</w:t>
      </w:r>
      <w:r>
        <w:rPr>
          <w:spacing w:val="-4"/>
          <w:sz w:val="22"/>
        </w:rPr>
        <w:t> </w:t>
      </w:r>
      <w:r>
        <w:rPr>
          <w:sz w:val="22"/>
        </w:rPr>
        <w:t>submit</w:t>
      </w:r>
      <w:r>
        <w:rPr>
          <w:spacing w:val="-3"/>
          <w:sz w:val="22"/>
        </w:rPr>
        <w:t> </w:t>
      </w:r>
      <w:r>
        <w:rPr>
          <w:sz w:val="22"/>
        </w:rPr>
        <w:t>Preliminary</w:t>
      </w:r>
      <w:r>
        <w:rPr>
          <w:spacing w:val="-6"/>
          <w:sz w:val="22"/>
        </w:rPr>
        <w:t> </w:t>
      </w:r>
      <w:r>
        <w:rPr>
          <w:sz w:val="22"/>
        </w:rPr>
        <w:t>Participation</w:t>
      </w:r>
      <w:r>
        <w:rPr>
          <w:spacing w:val="-3"/>
          <w:sz w:val="22"/>
        </w:rPr>
        <w:t> </w:t>
      </w:r>
      <w:r>
        <w:rPr>
          <w:sz w:val="22"/>
        </w:rPr>
        <w:t>Plans</w:t>
      </w:r>
      <w:r>
        <w:rPr>
          <w:spacing w:val="-4"/>
          <w:sz w:val="22"/>
        </w:rPr>
        <w:t> </w:t>
      </w:r>
      <w:r>
        <w:rPr>
          <w:sz w:val="22"/>
        </w:rPr>
        <w:t>with</w:t>
      </w:r>
      <w:r>
        <w:rPr>
          <w:spacing w:val="-6"/>
          <w:sz w:val="22"/>
        </w:rPr>
        <w:t> </w:t>
      </w:r>
      <w:r>
        <w:rPr>
          <w:sz w:val="22"/>
        </w:rPr>
        <w:t>their</w:t>
      </w:r>
      <w:r>
        <w:rPr>
          <w:spacing w:val="-6"/>
          <w:sz w:val="22"/>
        </w:rPr>
        <w:t> </w:t>
      </w:r>
      <w:r>
        <w:rPr>
          <w:sz w:val="22"/>
        </w:rPr>
        <w:t>request</w:t>
      </w:r>
      <w:r>
        <w:rPr>
          <w:spacing w:val="-5"/>
          <w:sz w:val="22"/>
        </w:rPr>
        <w:t> </w:t>
      </w:r>
      <w:r>
        <w:rPr>
          <w:sz w:val="22"/>
        </w:rPr>
        <w:t>for</w:t>
      </w:r>
      <w:r>
        <w:rPr>
          <w:spacing w:val="-2"/>
          <w:sz w:val="22"/>
        </w:rPr>
        <w:t> funding</w:t>
      </w:r>
    </w:p>
    <w:p>
      <w:pPr>
        <w:pStyle w:val="ListParagraph"/>
        <w:numPr>
          <w:ilvl w:val="4"/>
          <w:numId w:val="65"/>
        </w:numPr>
        <w:tabs>
          <w:tab w:pos="1938" w:val="left" w:leader="none"/>
          <w:tab w:pos="1940" w:val="left" w:leader="none"/>
        </w:tabs>
        <w:spacing w:line="240" w:lineRule="auto" w:before="199" w:after="0"/>
        <w:ind w:left="1940" w:right="1095" w:hanging="361"/>
        <w:jc w:val="both"/>
        <w:rPr>
          <w:sz w:val="22"/>
        </w:rPr>
      </w:pPr>
      <w:r>
        <w:rPr>
          <w:sz w:val="22"/>
        </w:rPr>
        <w:t>The State reviews CP and CSA Preliminary Participation Plans within 75 calendar days of their </w:t>
      </w:r>
      <w:r>
        <w:rPr>
          <w:spacing w:val="-2"/>
          <w:sz w:val="22"/>
        </w:rPr>
        <w:t>submission</w:t>
      </w:r>
    </w:p>
    <w:p>
      <w:pPr>
        <w:pStyle w:val="ListParagraph"/>
        <w:numPr>
          <w:ilvl w:val="4"/>
          <w:numId w:val="65"/>
        </w:numPr>
        <w:tabs>
          <w:tab w:pos="1938" w:val="left" w:leader="none"/>
          <w:tab w:pos="1940" w:val="left" w:leader="none"/>
        </w:tabs>
        <w:spacing w:line="240" w:lineRule="auto" w:before="200" w:after="0"/>
        <w:ind w:left="1940" w:right="1095" w:hanging="361"/>
        <w:jc w:val="both"/>
        <w:rPr>
          <w:sz w:val="22"/>
        </w:rPr>
      </w:pPr>
      <w:r>
        <w:rPr>
          <w:sz w:val="22"/>
        </w:rPr>
        <w:t>At the end of this review process, the State will approve, deny or request additional information regarding the Preliminary Participation Plan. The State intends to work with CPs and CSAs who request additional time or fail to respond in a timely fashion to ensure prompt submission.</w:t>
      </w:r>
    </w:p>
    <w:p>
      <w:pPr>
        <w:pStyle w:val="ListParagraph"/>
        <w:numPr>
          <w:ilvl w:val="4"/>
          <w:numId w:val="65"/>
        </w:numPr>
        <w:tabs>
          <w:tab w:pos="1938" w:val="left" w:leader="none"/>
          <w:tab w:pos="1940" w:val="left" w:leader="none"/>
        </w:tabs>
        <w:spacing w:line="240" w:lineRule="auto" w:before="199" w:after="0"/>
        <w:ind w:left="1940" w:right="1093" w:hanging="361"/>
        <w:jc w:val="both"/>
        <w:rPr>
          <w:b/>
          <w:sz w:val="22"/>
        </w:rPr>
      </w:pPr>
      <w:r>
        <w:rPr>
          <w:b/>
          <w:sz w:val="22"/>
        </w:rPr>
        <w:t>The State therefore anticipates completing reviews and approvals of Preliminary Participation Plans within 75 calendar days of submission as follows:</w:t>
      </w:r>
    </w:p>
    <w:p>
      <w:pPr>
        <w:pStyle w:val="ListParagraph"/>
        <w:numPr>
          <w:ilvl w:val="5"/>
          <w:numId w:val="65"/>
        </w:numPr>
        <w:tabs>
          <w:tab w:pos="2659" w:val="left" w:leader="none"/>
        </w:tabs>
        <w:spacing w:line="240" w:lineRule="auto" w:before="201" w:after="0"/>
        <w:ind w:left="2659" w:right="0" w:hanging="359"/>
        <w:jc w:val="left"/>
        <w:rPr>
          <w:sz w:val="22"/>
        </w:rPr>
      </w:pPr>
      <w:r>
        <w:rPr>
          <w:sz w:val="22"/>
        </w:rPr>
        <w:t>The</w:t>
      </w:r>
      <w:r>
        <w:rPr>
          <w:spacing w:val="-6"/>
          <w:sz w:val="22"/>
        </w:rPr>
        <w:t> </w:t>
      </w:r>
      <w:r>
        <w:rPr>
          <w:sz w:val="22"/>
        </w:rPr>
        <w:t>State</w:t>
      </w:r>
      <w:r>
        <w:rPr>
          <w:spacing w:val="-6"/>
          <w:sz w:val="22"/>
        </w:rPr>
        <w:t> </w:t>
      </w:r>
      <w:r>
        <w:rPr>
          <w:sz w:val="22"/>
        </w:rPr>
        <w:t>anticipates</w:t>
      </w:r>
      <w:r>
        <w:rPr>
          <w:spacing w:val="-5"/>
          <w:sz w:val="22"/>
        </w:rPr>
        <w:t> </w:t>
      </w:r>
      <w:r>
        <w:rPr>
          <w:sz w:val="22"/>
        </w:rPr>
        <w:t>approval</w:t>
      </w:r>
      <w:r>
        <w:rPr>
          <w:spacing w:val="-3"/>
          <w:sz w:val="22"/>
        </w:rPr>
        <w:t> </w:t>
      </w:r>
      <w:r>
        <w:rPr>
          <w:sz w:val="22"/>
        </w:rPr>
        <w:t>of</w:t>
      </w:r>
      <w:r>
        <w:rPr>
          <w:spacing w:val="-3"/>
          <w:sz w:val="22"/>
        </w:rPr>
        <w:t> </w:t>
      </w:r>
      <w:r>
        <w:rPr>
          <w:sz w:val="22"/>
        </w:rPr>
        <w:t>Preliminary</w:t>
      </w:r>
      <w:r>
        <w:rPr>
          <w:spacing w:val="-6"/>
          <w:sz w:val="22"/>
        </w:rPr>
        <w:t> </w:t>
      </w:r>
      <w:r>
        <w:rPr>
          <w:sz w:val="22"/>
        </w:rPr>
        <w:t>Participation</w:t>
      </w:r>
      <w:r>
        <w:rPr>
          <w:spacing w:val="-4"/>
          <w:sz w:val="22"/>
        </w:rPr>
        <w:t> </w:t>
      </w:r>
      <w:r>
        <w:rPr>
          <w:sz w:val="22"/>
        </w:rPr>
        <w:t>Plans</w:t>
      </w:r>
      <w:r>
        <w:rPr>
          <w:spacing w:val="-4"/>
          <w:sz w:val="22"/>
        </w:rPr>
        <w:t> </w:t>
      </w:r>
      <w:r>
        <w:rPr>
          <w:sz w:val="22"/>
        </w:rPr>
        <w:t>in</w:t>
      </w:r>
      <w:r>
        <w:rPr>
          <w:spacing w:val="-4"/>
          <w:sz w:val="22"/>
        </w:rPr>
        <w:t> </w:t>
      </w:r>
      <w:r>
        <w:rPr>
          <w:sz w:val="22"/>
        </w:rPr>
        <w:t>August</w:t>
      </w:r>
      <w:r>
        <w:rPr>
          <w:spacing w:val="-2"/>
          <w:sz w:val="22"/>
        </w:rPr>
        <w:t> </w:t>
      </w:r>
      <w:r>
        <w:rPr>
          <w:spacing w:val="-4"/>
          <w:sz w:val="22"/>
        </w:rPr>
        <w:t>2017</w:t>
      </w:r>
    </w:p>
    <w:p>
      <w:pPr>
        <w:pStyle w:val="ListParagraph"/>
        <w:numPr>
          <w:ilvl w:val="3"/>
          <w:numId w:val="65"/>
        </w:numPr>
        <w:tabs>
          <w:tab w:pos="1940" w:val="left" w:leader="none"/>
        </w:tabs>
        <w:spacing w:line="240" w:lineRule="auto" w:before="179" w:after="0"/>
        <w:ind w:left="1940" w:right="0" w:hanging="719"/>
        <w:jc w:val="left"/>
        <w:rPr>
          <w:b/>
          <w:i/>
          <w:sz w:val="22"/>
        </w:rPr>
      </w:pPr>
      <w:bookmarkStart w:name="3.4.3.2 Full Participation Plans for CPs" w:id="1273"/>
      <w:bookmarkEnd w:id="1273"/>
      <w:r>
        <w:rPr/>
      </w:r>
      <w:r>
        <w:rPr>
          <w:b/>
          <w:i/>
          <w:color w:val="4471C4"/>
          <w:sz w:val="22"/>
        </w:rPr>
        <w:t>Full</w:t>
      </w:r>
      <w:r>
        <w:rPr>
          <w:b/>
          <w:i/>
          <w:color w:val="4471C4"/>
          <w:spacing w:val="-3"/>
          <w:sz w:val="22"/>
        </w:rPr>
        <w:t> </w:t>
      </w:r>
      <w:r>
        <w:rPr>
          <w:b/>
          <w:i/>
          <w:color w:val="4471C4"/>
          <w:sz w:val="22"/>
        </w:rPr>
        <w:t>Participation</w:t>
      </w:r>
      <w:r>
        <w:rPr>
          <w:b/>
          <w:i/>
          <w:color w:val="4471C4"/>
          <w:spacing w:val="-4"/>
          <w:sz w:val="22"/>
        </w:rPr>
        <w:t> </w:t>
      </w:r>
      <w:r>
        <w:rPr>
          <w:b/>
          <w:i/>
          <w:color w:val="4471C4"/>
          <w:sz w:val="22"/>
        </w:rPr>
        <w:t>Plans</w:t>
      </w:r>
      <w:r>
        <w:rPr>
          <w:b/>
          <w:i/>
          <w:color w:val="4471C4"/>
          <w:spacing w:val="-4"/>
          <w:sz w:val="22"/>
        </w:rPr>
        <w:t> </w:t>
      </w:r>
      <w:r>
        <w:rPr>
          <w:b/>
          <w:i/>
          <w:color w:val="4471C4"/>
          <w:sz w:val="22"/>
        </w:rPr>
        <w:t>for</w:t>
      </w:r>
      <w:r>
        <w:rPr>
          <w:b/>
          <w:i/>
          <w:color w:val="4471C4"/>
          <w:spacing w:val="-3"/>
          <w:sz w:val="22"/>
        </w:rPr>
        <w:t> </w:t>
      </w:r>
      <w:r>
        <w:rPr>
          <w:b/>
          <w:i/>
          <w:color w:val="4471C4"/>
          <w:sz w:val="22"/>
        </w:rPr>
        <w:t>CPs</w:t>
      </w:r>
      <w:r>
        <w:rPr>
          <w:b/>
          <w:i/>
          <w:color w:val="4471C4"/>
          <w:spacing w:val="-3"/>
          <w:sz w:val="22"/>
        </w:rPr>
        <w:t> </w:t>
      </w:r>
      <w:r>
        <w:rPr>
          <w:b/>
          <w:i/>
          <w:color w:val="4471C4"/>
          <w:sz w:val="22"/>
        </w:rPr>
        <w:t>and</w:t>
      </w:r>
      <w:r>
        <w:rPr>
          <w:b/>
          <w:i/>
          <w:color w:val="4471C4"/>
          <w:spacing w:val="-3"/>
          <w:sz w:val="22"/>
        </w:rPr>
        <w:t> </w:t>
      </w:r>
      <w:r>
        <w:rPr>
          <w:b/>
          <w:i/>
          <w:color w:val="4471C4"/>
          <w:spacing w:val="-4"/>
          <w:sz w:val="22"/>
        </w:rPr>
        <w:t>CSAs</w:t>
      </w:r>
    </w:p>
    <w:p>
      <w:pPr>
        <w:spacing w:before="2"/>
        <w:ind w:left="1221" w:right="0" w:firstLine="0"/>
        <w:jc w:val="left"/>
        <w:rPr>
          <w:sz w:val="22"/>
        </w:rPr>
      </w:pPr>
      <w:r>
        <w:rPr>
          <w:sz w:val="22"/>
        </w:rPr>
        <w:t>The</w:t>
      </w:r>
      <w:r>
        <w:rPr>
          <w:spacing w:val="-8"/>
          <w:sz w:val="22"/>
        </w:rPr>
        <w:t> </w:t>
      </w:r>
      <w:r>
        <w:rPr>
          <w:sz w:val="22"/>
        </w:rPr>
        <w:t>process</w:t>
      </w:r>
      <w:r>
        <w:rPr>
          <w:spacing w:val="-4"/>
          <w:sz w:val="22"/>
        </w:rPr>
        <w:t> </w:t>
      </w:r>
      <w:r>
        <w:rPr>
          <w:sz w:val="22"/>
        </w:rPr>
        <w:t>for</w:t>
      </w:r>
      <w:r>
        <w:rPr>
          <w:spacing w:val="-2"/>
          <w:sz w:val="22"/>
        </w:rPr>
        <w:t> </w:t>
      </w:r>
      <w:r>
        <w:rPr>
          <w:sz w:val="22"/>
        </w:rPr>
        <w:t>submission,</w:t>
      </w:r>
      <w:r>
        <w:rPr>
          <w:spacing w:val="-4"/>
          <w:sz w:val="22"/>
        </w:rPr>
        <w:t> </w:t>
      </w:r>
      <w:r>
        <w:rPr>
          <w:sz w:val="22"/>
        </w:rPr>
        <w:t>review</w:t>
      </w:r>
      <w:r>
        <w:rPr>
          <w:spacing w:val="-5"/>
          <w:sz w:val="22"/>
        </w:rPr>
        <w:t> </w:t>
      </w:r>
      <w:r>
        <w:rPr>
          <w:sz w:val="22"/>
        </w:rPr>
        <w:t>and</w:t>
      </w:r>
      <w:r>
        <w:rPr>
          <w:spacing w:val="-6"/>
          <w:sz w:val="22"/>
        </w:rPr>
        <w:t> </w:t>
      </w:r>
      <w:r>
        <w:rPr>
          <w:sz w:val="22"/>
        </w:rPr>
        <w:t>approval</w:t>
      </w:r>
      <w:r>
        <w:rPr>
          <w:spacing w:val="-3"/>
          <w:sz w:val="22"/>
        </w:rPr>
        <w:t> </w:t>
      </w:r>
      <w:r>
        <w:rPr>
          <w:sz w:val="22"/>
        </w:rPr>
        <w:t>of</w:t>
      </w:r>
      <w:r>
        <w:rPr>
          <w:spacing w:val="-3"/>
          <w:sz w:val="22"/>
        </w:rPr>
        <w:t> </w:t>
      </w:r>
      <w:r>
        <w:rPr>
          <w:sz w:val="22"/>
        </w:rPr>
        <w:t>Full</w:t>
      </w:r>
      <w:r>
        <w:rPr>
          <w:spacing w:val="-2"/>
          <w:sz w:val="22"/>
        </w:rPr>
        <w:t> </w:t>
      </w:r>
      <w:r>
        <w:rPr>
          <w:sz w:val="22"/>
        </w:rPr>
        <w:t>Participation</w:t>
      </w:r>
      <w:r>
        <w:rPr>
          <w:spacing w:val="-4"/>
          <w:sz w:val="22"/>
        </w:rPr>
        <w:t> </w:t>
      </w:r>
      <w:r>
        <w:rPr>
          <w:sz w:val="22"/>
        </w:rPr>
        <w:t>Plans</w:t>
      </w:r>
      <w:r>
        <w:rPr>
          <w:spacing w:val="-4"/>
          <w:sz w:val="22"/>
        </w:rPr>
        <w:t> </w:t>
      </w:r>
      <w:r>
        <w:rPr>
          <w:sz w:val="22"/>
        </w:rPr>
        <w:t>will</w:t>
      </w:r>
      <w:r>
        <w:rPr>
          <w:spacing w:val="-2"/>
          <w:sz w:val="22"/>
        </w:rPr>
        <w:t> </w:t>
      </w:r>
      <w:r>
        <w:rPr>
          <w:sz w:val="22"/>
        </w:rPr>
        <w:t>be</w:t>
      </w:r>
      <w:r>
        <w:rPr>
          <w:spacing w:val="-4"/>
          <w:sz w:val="22"/>
        </w:rPr>
        <w:t> </w:t>
      </w:r>
      <w:r>
        <w:rPr>
          <w:sz w:val="22"/>
        </w:rPr>
        <w:t>as</w:t>
      </w:r>
      <w:r>
        <w:rPr>
          <w:spacing w:val="-5"/>
          <w:sz w:val="22"/>
        </w:rPr>
        <w:t> </w:t>
      </w:r>
      <w:r>
        <w:rPr>
          <w:spacing w:val="-2"/>
          <w:sz w:val="22"/>
        </w:rPr>
        <w:t>follows:</w:t>
      </w:r>
    </w:p>
    <w:p>
      <w:pPr>
        <w:pStyle w:val="ListParagraph"/>
        <w:numPr>
          <w:ilvl w:val="4"/>
          <w:numId w:val="65"/>
        </w:numPr>
        <w:tabs>
          <w:tab w:pos="1941" w:val="left" w:leader="none"/>
        </w:tabs>
        <w:spacing w:line="240" w:lineRule="auto" w:before="158" w:after="0"/>
        <w:ind w:left="1941" w:right="1092" w:hanging="361"/>
        <w:jc w:val="left"/>
        <w:rPr>
          <w:sz w:val="22"/>
        </w:rPr>
      </w:pPr>
      <w:r>
        <w:rPr>
          <w:sz w:val="22"/>
        </w:rPr>
        <w:t>The State notifies CPs and CSAs of actual BP1 funding and tentative BP2 through BP5 funding amounts and requests a Full Participation Plan</w:t>
      </w:r>
    </w:p>
    <w:p>
      <w:pPr>
        <w:pStyle w:val="ListParagraph"/>
        <w:numPr>
          <w:ilvl w:val="4"/>
          <w:numId w:val="65"/>
        </w:numPr>
        <w:tabs>
          <w:tab w:pos="1941" w:val="left" w:leader="none"/>
        </w:tabs>
        <w:spacing w:line="240" w:lineRule="auto" w:before="0" w:after="0"/>
        <w:ind w:left="1941" w:right="1092" w:hanging="361"/>
        <w:jc w:val="left"/>
        <w:rPr>
          <w:sz w:val="22"/>
        </w:rPr>
      </w:pPr>
      <w:r>
        <w:rPr>
          <w:sz w:val="22"/>
        </w:rPr>
        <w:t>CPs and CSAs submit Full Participation Plans to the State within 30 calendar days from the date of notification).</w:t>
      </w:r>
    </w:p>
    <w:p>
      <w:pPr>
        <w:pStyle w:val="ListParagraph"/>
        <w:numPr>
          <w:ilvl w:val="5"/>
          <w:numId w:val="65"/>
        </w:numPr>
        <w:tabs>
          <w:tab w:pos="2659" w:val="left" w:leader="none"/>
          <w:tab w:pos="2661" w:val="left" w:leader="none"/>
        </w:tabs>
        <w:spacing w:line="223" w:lineRule="auto" w:before="11" w:after="0"/>
        <w:ind w:left="2661" w:right="1096" w:hanging="361"/>
        <w:jc w:val="left"/>
        <w:rPr>
          <w:sz w:val="22"/>
        </w:rPr>
      </w:pPr>
      <w:r>
        <w:rPr>
          <w:sz w:val="22"/>
        </w:rPr>
        <w:t>The</w:t>
      </w:r>
      <w:r>
        <w:rPr>
          <w:spacing w:val="-14"/>
          <w:sz w:val="22"/>
        </w:rPr>
        <w:t> </w:t>
      </w:r>
      <w:r>
        <w:rPr>
          <w:sz w:val="22"/>
        </w:rPr>
        <w:t>State</w:t>
      </w:r>
      <w:r>
        <w:rPr>
          <w:spacing w:val="-14"/>
          <w:sz w:val="22"/>
        </w:rPr>
        <w:t> </w:t>
      </w:r>
      <w:r>
        <w:rPr>
          <w:sz w:val="22"/>
        </w:rPr>
        <w:t>intends</w:t>
      </w:r>
      <w:r>
        <w:rPr>
          <w:spacing w:val="-14"/>
          <w:sz w:val="22"/>
        </w:rPr>
        <w:t> </w:t>
      </w:r>
      <w:r>
        <w:rPr>
          <w:sz w:val="22"/>
        </w:rPr>
        <w:t>to</w:t>
      </w:r>
      <w:r>
        <w:rPr>
          <w:spacing w:val="-15"/>
          <w:sz w:val="22"/>
        </w:rPr>
        <w:t> </w:t>
      </w:r>
      <w:r>
        <w:rPr>
          <w:sz w:val="22"/>
        </w:rPr>
        <w:t>work</w:t>
      </w:r>
      <w:r>
        <w:rPr>
          <w:spacing w:val="-15"/>
          <w:sz w:val="22"/>
        </w:rPr>
        <w:t> </w:t>
      </w:r>
      <w:r>
        <w:rPr>
          <w:sz w:val="22"/>
        </w:rPr>
        <w:t>with</w:t>
      </w:r>
      <w:r>
        <w:rPr>
          <w:spacing w:val="-15"/>
          <w:sz w:val="22"/>
        </w:rPr>
        <w:t> </w:t>
      </w:r>
      <w:r>
        <w:rPr>
          <w:sz w:val="22"/>
        </w:rPr>
        <w:t>CPs</w:t>
      </w:r>
      <w:r>
        <w:rPr>
          <w:spacing w:val="-14"/>
          <w:sz w:val="22"/>
        </w:rPr>
        <w:t> </w:t>
      </w:r>
      <w:r>
        <w:rPr>
          <w:sz w:val="22"/>
        </w:rPr>
        <w:t>and</w:t>
      </w:r>
      <w:r>
        <w:rPr>
          <w:spacing w:val="-14"/>
          <w:sz w:val="22"/>
        </w:rPr>
        <w:t> </w:t>
      </w:r>
      <w:r>
        <w:rPr>
          <w:sz w:val="22"/>
        </w:rPr>
        <w:t>CSAs</w:t>
      </w:r>
      <w:r>
        <w:rPr>
          <w:spacing w:val="-14"/>
          <w:sz w:val="22"/>
        </w:rPr>
        <w:t> </w:t>
      </w:r>
      <w:r>
        <w:rPr>
          <w:sz w:val="22"/>
        </w:rPr>
        <w:t>who</w:t>
      </w:r>
      <w:r>
        <w:rPr>
          <w:spacing w:val="-15"/>
          <w:sz w:val="22"/>
        </w:rPr>
        <w:t> </w:t>
      </w:r>
      <w:r>
        <w:rPr>
          <w:sz w:val="22"/>
        </w:rPr>
        <w:t>request</w:t>
      </w:r>
      <w:r>
        <w:rPr>
          <w:spacing w:val="-14"/>
          <w:sz w:val="22"/>
        </w:rPr>
        <w:t> </w:t>
      </w:r>
      <w:r>
        <w:rPr>
          <w:sz w:val="22"/>
        </w:rPr>
        <w:t>additional</w:t>
      </w:r>
      <w:r>
        <w:rPr>
          <w:spacing w:val="-14"/>
          <w:sz w:val="22"/>
        </w:rPr>
        <w:t> </w:t>
      </w:r>
      <w:r>
        <w:rPr>
          <w:sz w:val="22"/>
        </w:rPr>
        <w:t>time</w:t>
      </w:r>
      <w:r>
        <w:rPr>
          <w:spacing w:val="-14"/>
          <w:sz w:val="22"/>
        </w:rPr>
        <w:t> </w:t>
      </w:r>
      <w:r>
        <w:rPr>
          <w:sz w:val="22"/>
        </w:rPr>
        <w:t>or</w:t>
      </w:r>
      <w:r>
        <w:rPr>
          <w:spacing w:val="-14"/>
          <w:sz w:val="22"/>
        </w:rPr>
        <w:t> </w:t>
      </w:r>
      <w:r>
        <w:rPr>
          <w:sz w:val="22"/>
        </w:rPr>
        <w:t>fail</w:t>
      </w:r>
      <w:r>
        <w:rPr>
          <w:spacing w:val="-14"/>
          <w:sz w:val="22"/>
        </w:rPr>
        <w:t> </w:t>
      </w:r>
      <w:r>
        <w:rPr>
          <w:sz w:val="22"/>
        </w:rPr>
        <w:t>to</w:t>
      </w:r>
      <w:r>
        <w:rPr>
          <w:spacing w:val="-17"/>
          <w:sz w:val="22"/>
        </w:rPr>
        <w:t> </w:t>
      </w:r>
      <w:r>
        <w:rPr>
          <w:sz w:val="22"/>
        </w:rPr>
        <w:t>respond in a timely fashion to ensure prompt submission</w:t>
      </w:r>
    </w:p>
    <w:p>
      <w:pPr>
        <w:spacing w:after="0" w:line="223" w:lineRule="auto"/>
        <w:jc w:val="left"/>
        <w:rPr>
          <w:sz w:val="22"/>
        </w:rPr>
        <w:sectPr>
          <w:pgSz w:w="12240" w:h="15840"/>
          <w:pgMar w:header="0" w:footer="967" w:top="1360" w:bottom="1160" w:left="220" w:right="340"/>
        </w:sectPr>
      </w:pPr>
    </w:p>
    <w:p>
      <w:pPr>
        <w:pStyle w:val="ListParagraph"/>
        <w:numPr>
          <w:ilvl w:val="4"/>
          <w:numId w:val="65"/>
        </w:numPr>
        <w:tabs>
          <w:tab w:pos="1938" w:val="left" w:leader="none"/>
          <w:tab w:pos="1940" w:val="left" w:leader="none"/>
        </w:tabs>
        <w:spacing w:line="240" w:lineRule="auto" w:before="79" w:after="0"/>
        <w:ind w:left="1940" w:right="1094" w:hanging="361"/>
        <w:jc w:val="both"/>
        <w:rPr>
          <w:sz w:val="22"/>
        </w:rPr>
      </w:pPr>
      <w:r>
        <w:rPr>
          <w:sz w:val="22"/>
        </w:rPr>
        <w:t>The State and Independent Assessor review Full Participation Plans in parallel. The State intends to complete its review of the Full Participation Plans, including evaluating the Independent Assessor’s recommendations, within 45 calendar days of CPs’ and CSAs’ submission. Requests for additional information and resubmissions may require additional time.</w:t>
      </w:r>
    </w:p>
    <w:p>
      <w:pPr>
        <w:pStyle w:val="ListParagraph"/>
        <w:numPr>
          <w:ilvl w:val="4"/>
          <w:numId w:val="65"/>
        </w:numPr>
        <w:tabs>
          <w:tab w:pos="1938" w:val="left" w:leader="none"/>
          <w:tab w:pos="1940" w:val="left" w:leader="none"/>
        </w:tabs>
        <w:spacing w:line="240" w:lineRule="auto" w:before="0" w:after="0"/>
        <w:ind w:left="1940" w:right="1093" w:hanging="361"/>
        <w:jc w:val="both"/>
        <w:rPr>
          <w:sz w:val="22"/>
        </w:rPr>
      </w:pPr>
      <w:r>
        <w:rPr>
          <w:sz w:val="22"/>
        </w:rPr>
        <w:t>At the end of this review process, the State approves, denies or requests additional information regarding the Full Participation Plans.</w:t>
      </w:r>
    </w:p>
    <w:p>
      <w:pPr>
        <w:pStyle w:val="ListParagraph"/>
        <w:numPr>
          <w:ilvl w:val="4"/>
          <w:numId w:val="65"/>
        </w:numPr>
        <w:tabs>
          <w:tab w:pos="1938" w:val="left" w:leader="none"/>
          <w:tab w:pos="1940" w:val="left" w:leader="none"/>
        </w:tabs>
        <w:spacing w:line="240" w:lineRule="auto" w:before="199" w:after="0"/>
        <w:ind w:left="1940" w:right="1095" w:hanging="361"/>
        <w:jc w:val="both"/>
        <w:rPr>
          <w:b/>
          <w:sz w:val="22"/>
        </w:rPr>
      </w:pPr>
      <w:r>
        <w:rPr>
          <w:b/>
          <w:sz w:val="22"/>
        </w:rPr>
        <w:t>The State therefore anticipates completing approvals of Full Participation Plans within 75 calendar days of requesting them from CPs and CSAs as follows:</w:t>
      </w:r>
    </w:p>
    <w:p>
      <w:pPr>
        <w:pStyle w:val="ListParagraph"/>
        <w:numPr>
          <w:ilvl w:val="5"/>
          <w:numId w:val="65"/>
        </w:numPr>
        <w:tabs>
          <w:tab w:pos="2659" w:val="left" w:leader="none"/>
        </w:tabs>
        <w:spacing w:line="240" w:lineRule="auto" w:before="201" w:after="0"/>
        <w:ind w:left="2659" w:right="0" w:hanging="359"/>
        <w:jc w:val="left"/>
        <w:rPr>
          <w:sz w:val="22"/>
        </w:rPr>
      </w:pPr>
      <w:r>
        <w:rPr>
          <w:sz w:val="22"/>
        </w:rPr>
        <w:t>For</w:t>
      </w:r>
      <w:r>
        <w:rPr>
          <w:spacing w:val="-4"/>
          <w:sz w:val="22"/>
        </w:rPr>
        <w:t> </w:t>
      </w:r>
      <w:r>
        <w:rPr>
          <w:sz w:val="22"/>
        </w:rPr>
        <w:t>CPs</w:t>
      </w:r>
      <w:r>
        <w:rPr>
          <w:spacing w:val="-3"/>
          <w:sz w:val="22"/>
        </w:rPr>
        <w:t> </w:t>
      </w:r>
      <w:r>
        <w:rPr>
          <w:sz w:val="22"/>
        </w:rPr>
        <w:t>and</w:t>
      </w:r>
      <w:r>
        <w:rPr>
          <w:spacing w:val="-3"/>
          <w:sz w:val="22"/>
        </w:rPr>
        <w:t> </w:t>
      </w:r>
      <w:r>
        <w:rPr>
          <w:sz w:val="22"/>
        </w:rPr>
        <w:t>CSAs,</w:t>
      </w:r>
      <w:r>
        <w:rPr>
          <w:spacing w:val="-3"/>
          <w:sz w:val="22"/>
        </w:rPr>
        <w:t> </w:t>
      </w:r>
      <w:r>
        <w:rPr>
          <w:sz w:val="22"/>
        </w:rPr>
        <w:t>the</w:t>
      </w:r>
      <w:r>
        <w:rPr>
          <w:spacing w:val="-3"/>
          <w:sz w:val="22"/>
        </w:rPr>
        <w:t> </w:t>
      </w:r>
      <w:r>
        <w:rPr>
          <w:sz w:val="22"/>
        </w:rPr>
        <w:t>State</w:t>
      </w:r>
      <w:r>
        <w:rPr>
          <w:spacing w:val="-2"/>
          <w:sz w:val="22"/>
        </w:rPr>
        <w:t> </w:t>
      </w:r>
      <w:r>
        <w:rPr>
          <w:sz w:val="22"/>
        </w:rPr>
        <w:t>anticipates</w:t>
      </w:r>
      <w:r>
        <w:rPr>
          <w:spacing w:val="-5"/>
          <w:sz w:val="22"/>
        </w:rPr>
        <w:t> </w:t>
      </w:r>
      <w:r>
        <w:rPr>
          <w:sz w:val="22"/>
        </w:rPr>
        <w:t>approving</w:t>
      </w:r>
      <w:r>
        <w:rPr>
          <w:spacing w:val="-6"/>
          <w:sz w:val="22"/>
        </w:rPr>
        <w:t> </w:t>
      </w:r>
      <w:r>
        <w:rPr>
          <w:sz w:val="22"/>
        </w:rPr>
        <w:t>Full</w:t>
      </w:r>
      <w:r>
        <w:rPr>
          <w:spacing w:val="-4"/>
          <w:sz w:val="22"/>
        </w:rPr>
        <w:t> </w:t>
      </w:r>
      <w:r>
        <w:rPr>
          <w:sz w:val="22"/>
        </w:rPr>
        <w:t>Participation</w:t>
      </w:r>
      <w:r>
        <w:rPr>
          <w:spacing w:val="-3"/>
          <w:sz w:val="22"/>
        </w:rPr>
        <w:t> </w:t>
      </w:r>
      <w:r>
        <w:rPr>
          <w:sz w:val="22"/>
        </w:rPr>
        <w:t>Plans</w:t>
      </w:r>
      <w:r>
        <w:rPr>
          <w:spacing w:val="-5"/>
          <w:sz w:val="22"/>
        </w:rPr>
        <w:t> </w:t>
      </w:r>
      <w:r>
        <w:rPr>
          <w:sz w:val="22"/>
        </w:rPr>
        <w:t>in</w:t>
      </w:r>
      <w:r>
        <w:rPr>
          <w:spacing w:val="-3"/>
          <w:sz w:val="22"/>
        </w:rPr>
        <w:t> </w:t>
      </w:r>
      <w:r>
        <w:rPr>
          <w:sz w:val="22"/>
        </w:rPr>
        <w:t>May</w:t>
      </w:r>
      <w:r>
        <w:rPr>
          <w:spacing w:val="-5"/>
          <w:sz w:val="22"/>
        </w:rPr>
        <w:t> </w:t>
      </w:r>
      <w:r>
        <w:rPr>
          <w:spacing w:val="-4"/>
          <w:sz w:val="22"/>
        </w:rPr>
        <w:t>2018</w:t>
      </w:r>
    </w:p>
    <w:p>
      <w:pPr>
        <w:pStyle w:val="ListParagraph"/>
        <w:numPr>
          <w:ilvl w:val="2"/>
          <w:numId w:val="65"/>
        </w:numPr>
        <w:tabs>
          <w:tab w:pos="1940" w:val="left" w:leader="none"/>
        </w:tabs>
        <w:spacing w:line="240" w:lineRule="auto" w:before="177" w:after="0"/>
        <w:ind w:left="1940" w:right="0" w:hanging="720"/>
        <w:jc w:val="left"/>
        <w:rPr>
          <w:b/>
          <w:color w:val="4471C4"/>
          <w:sz w:val="22"/>
        </w:rPr>
      </w:pPr>
      <w:bookmarkStart w:name="3.4.4 Process for State approval of Budg" w:id="1274"/>
      <w:bookmarkEnd w:id="1274"/>
      <w:r>
        <w:rPr/>
      </w:r>
      <w:bookmarkStart w:name="_bookmark32" w:id="1275"/>
      <w:bookmarkEnd w:id="1275"/>
      <w:r>
        <w:rPr/>
      </w:r>
      <w:r>
        <w:rPr>
          <w:b/>
          <w:color w:val="4471C4"/>
          <w:sz w:val="22"/>
        </w:rPr>
        <w:t>Process</w:t>
      </w:r>
      <w:r>
        <w:rPr>
          <w:b/>
          <w:color w:val="4471C4"/>
          <w:spacing w:val="-7"/>
          <w:sz w:val="22"/>
        </w:rPr>
        <w:t> </w:t>
      </w:r>
      <w:r>
        <w:rPr>
          <w:b/>
          <w:color w:val="4471C4"/>
          <w:sz w:val="22"/>
        </w:rPr>
        <w:t>for</w:t>
      </w:r>
      <w:r>
        <w:rPr>
          <w:b/>
          <w:color w:val="4471C4"/>
          <w:spacing w:val="-3"/>
          <w:sz w:val="22"/>
        </w:rPr>
        <w:t> </w:t>
      </w:r>
      <w:r>
        <w:rPr>
          <w:b/>
          <w:color w:val="4471C4"/>
          <w:sz w:val="22"/>
        </w:rPr>
        <w:t>State</w:t>
      </w:r>
      <w:r>
        <w:rPr>
          <w:b/>
          <w:color w:val="4471C4"/>
          <w:spacing w:val="-5"/>
          <w:sz w:val="22"/>
        </w:rPr>
        <w:t> </w:t>
      </w:r>
      <w:r>
        <w:rPr>
          <w:b/>
          <w:color w:val="4471C4"/>
          <w:sz w:val="22"/>
        </w:rPr>
        <w:t>approval</w:t>
      </w:r>
      <w:r>
        <w:rPr>
          <w:b/>
          <w:color w:val="4471C4"/>
          <w:spacing w:val="-2"/>
          <w:sz w:val="22"/>
        </w:rPr>
        <w:t> </w:t>
      </w:r>
      <w:r>
        <w:rPr>
          <w:b/>
          <w:color w:val="4471C4"/>
          <w:sz w:val="22"/>
        </w:rPr>
        <w:t>of</w:t>
      </w:r>
      <w:r>
        <w:rPr>
          <w:b/>
          <w:color w:val="4471C4"/>
          <w:spacing w:val="-2"/>
          <w:sz w:val="22"/>
        </w:rPr>
        <w:t> </w:t>
      </w:r>
      <w:r>
        <w:rPr>
          <w:b/>
          <w:color w:val="4471C4"/>
          <w:sz w:val="22"/>
        </w:rPr>
        <w:t>Budgets</w:t>
      </w:r>
      <w:r>
        <w:rPr>
          <w:b/>
          <w:color w:val="4471C4"/>
          <w:spacing w:val="-5"/>
          <w:sz w:val="22"/>
        </w:rPr>
        <w:t> </w:t>
      </w:r>
      <w:r>
        <w:rPr>
          <w:b/>
          <w:color w:val="4471C4"/>
          <w:sz w:val="22"/>
        </w:rPr>
        <w:t>and</w:t>
      </w:r>
      <w:r>
        <w:rPr>
          <w:b/>
          <w:color w:val="4471C4"/>
          <w:spacing w:val="-6"/>
          <w:sz w:val="22"/>
        </w:rPr>
        <w:t> </w:t>
      </w:r>
      <w:r>
        <w:rPr>
          <w:b/>
          <w:color w:val="4471C4"/>
          <w:sz w:val="22"/>
        </w:rPr>
        <w:t>Budget</w:t>
      </w:r>
      <w:r>
        <w:rPr>
          <w:b/>
          <w:color w:val="4471C4"/>
          <w:spacing w:val="-4"/>
          <w:sz w:val="22"/>
        </w:rPr>
        <w:t> </w:t>
      </w:r>
      <w:r>
        <w:rPr>
          <w:b/>
          <w:color w:val="4471C4"/>
          <w:spacing w:val="-2"/>
          <w:sz w:val="22"/>
        </w:rPr>
        <w:t>Narratives</w:t>
      </w:r>
    </w:p>
    <w:p>
      <w:pPr>
        <w:pStyle w:val="ListParagraph"/>
        <w:numPr>
          <w:ilvl w:val="3"/>
          <w:numId w:val="65"/>
        </w:numPr>
        <w:tabs>
          <w:tab w:pos="1939" w:val="left" w:leader="none"/>
        </w:tabs>
        <w:spacing w:line="252" w:lineRule="exact" w:before="203" w:after="0"/>
        <w:ind w:left="1939" w:right="0" w:hanging="719"/>
        <w:jc w:val="left"/>
        <w:rPr>
          <w:b/>
          <w:i/>
          <w:sz w:val="22"/>
        </w:rPr>
      </w:pPr>
      <w:bookmarkStart w:name="3.4.4.1 Process for State approval of AC" w:id="1276"/>
      <w:bookmarkEnd w:id="1276"/>
      <w:r>
        <w:rPr/>
      </w:r>
      <w:r>
        <w:rPr>
          <w:b/>
          <w:i/>
          <w:color w:val="4471C4"/>
          <w:sz w:val="22"/>
        </w:rPr>
        <w:t>Process</w:t>
      </w:r>
      <w:r>
        <w:rPr>
          <w:b/>
          <w:i/>
          <w:color w:val="4471C4"/>
          <w:spacing w:val="-6"/>
          <w:sz w:val="22"/>
        </w:rPr>
        <w:t> </w:t>
      </w:r>
      <w:r>
        <w:rPr>
          <w:b/>
          <w:i/>
          <w:color w:val="4471C4"/>
          <w:sz w:val="22"/>
        </w:rPr>
        <w:t>for</w:t>
      </w:r>
      <w:r>
        <w:rPr>
          <w:b/>
          <w:i/>
          <w:color w:val="4471C4"/>
          <w:spacing w:val="-3"/>
          <w:sz w:val="22"/>
        </w:rPr>
        <w:t> </w:t>
      </w:r>
      <w:r>
        <w:rPr>
          <w:b/>
          <w:i/>
          <w:color w:val="4471C4"/>
          <w:sz w:val="22"/>
        </w:rPr>
        <w:t>State</w:t>
      </w:r>
      <w:r>
        <w:rPr>
          <w:b/>
          <w:i/>
          <w:color w:val="4471C4"/>
          <w:spacing w:val="-4"/>
          <w:sz w:val="22"/>
        </w:rPr>
        <w:t> </w:t>
      </w:r>
      <w:r>
        <w:rPr>
          <w:b/>
          <w:i/>
          <w:color w:val="4471C4"/>
          <w:sz w:val="22"/>
        </w:rPr>
        <w:t>approval</w:t>
      </w:r>
      <w:r>
        <w:rPr>
          <w:b/>
          <w:i/>
          <w:color w:val="4471C4"/>
          <w:spacing w:val="-7"/>
          <w:sz w:val="22"/>
        </w:rPr>
        <w:t> </w:t>
      </w:r>
      <w:r>
        <w:rPr>
          <w:b/>
          <w:i/>
          <w:color w:val="4471C4"/>
          <w:sz w:val="22"/>
        </w:rPr>
        <w:t>of</w:t>
      </w:r>
      <w:r>
        <w:rPr>
          <w:b/>
          <w:i/>
          <w:color w:val="4471C4"/>
          <w:spacing w:val="-2"/>
          <w:sz w:val="22"/>
        </w:rPr>
        <w:t> </w:t>
      </w:r>
      <w:r>
        <w:rPr>
          <w:b/>
          <w:i/>
          <w:color w:val="4471C4"/>
          <w:sz w:val="22"/>
        </w:rPr>
        <w:t>ACO</w:t>
      </w:r>
      <w:r>
        <w:rPr>
          <w:b/>
          <w:i/>
          <w:color w:val="4471C4"/>
          <w:spacing w:val="-4"/>
          <w:sz w:val="22"/>
        </w:rPr>
        <w:t> </w:t>
      </w:r>
      <w:r>
        <w:rPr>
          <w:b/>
          <w:i/>
          <w:color w:val="4471C4"/>
          <w:sz w:val="22"/>
        </w:rPr>
        <w:t>Budgets</w:t>
      </w:r>
      <w:r>
        <w:rPr>
          <w:b/>
          <w:i/>
          <w:color w:val="4471C4"/>
          <w:spacing w:val="-3"/>
          <w:sz w:val="22"/>
        </w:rPr>
        <w:t> </w:t>
      </w:r>
      <w:r>
        <w:rPr>
          <w:b/>
          <w:i/>
          <w:color w:val="4471C4"/>
          <w:sz w:val="22"/>
        </w:rPr>
        <w:t>and</w:t>
      </w:r>
      <w:r>
        <w:rPr>
          <w:b/>
          <w:i/>
          <w:color w:val="4471C4"/>
          <w:spacing w:val="-3"/>
          <w:sz w:val="22"/>
        </w:rPr>
        <w:t> </w:t>
      </w:r>
      <w:r>
        <w:rPr>
          <w:b/>
          <w:i/>
          <w:color w:val="4471C4"/>
          <w:sz w:val="22"/>
        </w:rPr>
        <w:t>Budget</w:t>
      </w:r>
      <w:r>
        <w:rPr>
          <w:b/>
          <w:i/>
          <w:color w:val="4471C4"/>
          <w:spacing w:val="-2"/>
          <w:sz w:val="22"/>
        </w:rPr>
        <w:t> Narratives</w:t>
      </w:r>
    </w:p>
    <w:p>
      <w:pPr>
        <w:spacing w:before="0"/>
        <w:ind w:left="1220" w:right="975" w:firstLine="0"/>
        <w:jc w:val="left"/>
        <w:rPr>
          <w:sz w:val="22"/>
        </w:rPr>
      </w:pPr>
      <w:r>
        <w:rPr>
          <w:sz w:val="22"/>
        </w:rPr>
        <w:t>The</w:t>
      </w:r>
      <w:r>
        <w:rPr>
          <w:spacing w:val="-2"/>
          <w:sz w:val="22"/>
        </w:rPr>
        <w:t> </w:t>
      </w:r>
      <w:r>
        <w:rPr>
          <w:sz w:val="22"/>
        </w:rPr>
        <w:t>process</w:t>
      </w:r>
      <w:r>
        <w:rPr>
          <w:spacing w:val="-4"/>
          <w:sz w:val="22"/>
        </w:rPr>
        <w:t> </w:t>
      </w:r>
      <w:r>
        <w:rPr>
          <w:sz w:val="22"/>
        </w:rPr>
        <w:t>for</w:t>
      </w:r>
      <w:r>
        <w:rPr>
          <w:spacing w:val="-1"/>
          <w:sz w:val="22"/>
        </w:rPr>
        <w:t> </w:t>
      </w:r>
      <w:r>
        <w:rPr>
          <w:sz w:val="22"/>
        </w:rPr>
        <w:t>submission,</w:t>
      </w:r>
      <w:r>
        <w:rPr>
          <w:spacing w:val="-2"/>
          <w:sz w:val="22"/>
        </w:rPr>
        <w:t> </w:t>
      </w:r>
      <w:r>
        <w:rPr>
          <w:sz w:val="22"/>
        </w:rPr>
        <w:t>review</w:t>
      </w:r>
      <w:r>
        <w:rPr>
          <w:spacing w:val="-3"/>
          <w:sz w:val="22"/>
        </w:rPr>
        <w:t> </w:t>
      </w:r>
      <w:r>
        <w:rPr>
          <w:sz w:val="22"/>
        </w:rPr>
        <w:t>and</w:t>
      </w:r>
      <w:r>
        <w:rPr>
          <w:spacing w:val="-2"/>
          <w:sz w:val="22"/>
        </w:rPr>
        <w:t> </w:t>
      </w:r>
      <w:r>
        <w:rPr>
          <w:sz w:val="22"/>
        </w:rPr>
        <w:t>approval</w:t>
      </w:r>
      <w:r>
        <w:rPr>
          <w:spacing w:val="-1"/>
          <w:sz w:val="22"/>
        </w:rPr>
        <w:t> </w:t>
      </w:r>
      <w:r>
        <w:rPr>
          <w:sz w:val="22"/>
        </w:rPr>
        <w:t>of</w:t>
      </w:r>
      <w:r>
        <w:rPr>
          <w:spacing w:val="-1"/>
          <w:sz w:val="22"/>
        </w:rPr>
        <w:t> </w:t>
      </w:r>
      <w:r>
        <w:rPr>
          <w:sz w:val="22"/>
        </w:rPr>
        <w:t>Budgets</w:t>
      </w:r>
      <w:r>
        <w:rPr>
          <w:spacing w:val="-2"/>
          <w:sz w:val="22"/>
        </w:rPr>
        <w:t> </w:t>
      </w:r>
      <w:r>
        <w:rPr>
          <w:sz w:val="22"/>
        </w:rPr>
        <w:t>and</w:t>
      </w:r>
      <w:r>
        <w:rPr>
          <w:spacing w:val="-2"/>
          <w:sz w:val="22"/>
        </w:rPr>
        <w:t> </w:t>
      </w:r>
      <w:r>
        <w:rPr>
          <w:sz w:val="22"/>
        </w:rPr>
        <w:t>Budget</w:t>
      </w:r>
      <w:r>
        <w:rPr>
          <w:spacing w:val="-1"/>
          <w:sz w:val="22"/>
        </w:rPr>
        <w:t> </w:t>
      </w:r>
      <w:r>
        <w:rPr>
          <w:sz w:val="22"/>
        </w:rPr>
        <w:t>Narratives</w:t>
      </w:r>
      <w:r>
        <w:rPr>
          <w:spacing w:val="-2"/>
          <w:sz w:val="22"/>
        </w:rPr>
        <w:t> </w:t>
      </w:r>
      <w:r>
        <w:rPr>
          <w:sz w:val="22"/>
        </w:rPr>
        <w:t>for</w:t>
      </w:r>
      <w:r>
        <w:rPr>
          <w:spacing w:val="-1"/>
          <w:sz w:val="22"/>
        </w:rPr>
        <w:t> </w:t>
      </w:r>
      <w:r>
        <w:rPr>
          <w:sz w:val="22"/>
        </w:rPr>
        <w:t>Budget</w:t>
      </w:r>
      <w:r>
        <w:rPr>
          <w:spacing w:val="-1"/>
          <w:sz w:val="22"/>
        </w:rPr>
        <w:t> </w:t>
      </w:r>
      <w:r>
        <w:rPr>
          <w:sz w:val="22"/>
        </w:rPr>
        <w:t>Period</w:t>
      </w:r>
      <w:r>
        <w:rPr>
          <w:spacing w:val="-2"/>
          <w:sz w:val="22"/>
        </w:rPr>
        <w:t> </w:t>
      </w:r>
      <w:r>
        <w:rPr>
          <w:sz w:val="22"/>
        </w:rPr>
        <w:t>1-5 for ACOs will be as follows:</w:t>
      </w:r>
    </w:p>
    <w:p>
      <w:pPr>
        <w:pStyle w:val="ListParagraph"/>
        <w:numPr>
          <w:ilvl w:val="4"/>
          <w:numId w:val="65"/>
        </w:numPr>
        <w:tabs>
          <w:tab w:pos="1938" w:val="left" w:leader="none"/>
          <w:tab w:pos="1940" w:val="left" w:leader="none"/>
        </w:tabs>
        <w:spacing w:line="240" w:lineRule="auto" w:before="160" w:after="0"/>
        <w:ind w:left="1940" w:right="1094" w:hanging="361"/>
        <w:jc w:val="both"/>
        <w:rPr>
          <w:sz w:val="22"/>
        </w:rPr>
      </w:pPr>
      <w:r>
        <w:rPr>
          <w:sz w:val="22"/>
        </w:rPr>
        <w:t>The State notifies ACOs of the upcoming budget period’s anticipated funding amounts, and requests each ACO submit</w:t>
      </w:r>
      <w:r>
        <w:rPr>
          <w:spacing w:val="-1"/>
          <w:sz w:val="22"/>
        </w:rPr>
        <w:t> </w:t>
      </w:r>
      <w:r>
        <w:rPr>
          <w:sz w:val="22"/>
        </w:rPr>
        <w:t>a Budget and a Budget Narrative for the upcoming budget period (See Section 4.4).</w:t>
      </w:r>
    </w:p>
    <w:p>
      <w:pPr>
        <w:pStyle w:val="ListParagraph"/>
        <w:numPr>
          <w:ilvl w:val="4"/>
          <w:numId w:val="65"/>
        </w:numPr>
        <w:tabs>
          <w:tab w:pos="1938" w:val="left" w:leader="none"/>
          <w:tab w:pos="1940" w:val="left" w:leader="none"/>
        </w:tabs>
        <w:spacing w:line="240" w:lineRule="auto" w:before="0" w:after="0"/>
        <w:ind w:left="1940" w:right="1093" w:hanging="361"/>
        <w:jc w:val="both"/>
        <w:rPr>
          <w:sz w:val="22"/>
        </w:rPr>
      </w:pPr>
      <w:r>
        <w:rPr>
          <w:sz w:val="22"/>
        </w:rPr>
        <w:t>ACOs submit to the State their Budgets and Budget Narratives for the upcoming BP within 30 calendar days of receiving the State’s request. The State intends to work with ACOs who request additional time or fail to respond in a timely fashion to ensure prompt submission</w:t>
      </w:r>
    </w:p>
    <w:p>
      <w:pPr>
        <w:pStyle w:val="ListParagraph"/>
        <w:numPr>
          <w:ilvl w:val="4"/>
          <w:numId w:val="65"/>
        </w:numPr>
        <w:tabs>
          <w:tab w:pos="1939" w:val="left" w:leader="none"/>
          <w:tab w:pos="1941" w:val="left" w:leader="none"/>
        </w:tabs>
        <w:spacing w:line="240" w:lineRule="auto" w:before="0" w:after="0"/>
        <w:ind w:left="1941" w:right="1093" w:hanging="361"/>
        <w:jc w:val="both"/>
        <w:rPr>
          <w:sz w:val="22"/>
        </w:rPr>
      </w:pPr>
      <w:r>
        <w:rPr>
          <w:sz w:val="22"/>
        </w:rPr>
        <w:t>The State and Independent Assessor review Budgets and Budget Narratives in parallel. The State intends to complete its review of the Budgets and Budget Narratives, including evaluating the Independent Assessor’s recommendations, within 45 calendar days of their submission. Requests for additional information and resubmissions may require additional time.</w:t>
      </w:r>
    </w:p>
    <w:p>
      <w:pPr>
        <w:pStyle w:val="ListParagraph"/>
        <w:numPr>
          <w:ilvl w:val="4"/>
          <w:numId w:val="65"/>
        </w:numPr>
        <w:tabs>
          <w:tab w:pos="1939" w:val="left" w:leader="none"/>
          <w:tab w:pos="1941" w:val="left" w:leader="none"/>
        </w:tabs>
        <w:spacing w:line="240" w:lineRule="auto" w:before="0" w:after="0"/>
        <w:ind w:left="1941" w:right="1093" w:hanging="361"/>
        <w:jc w:val="both"/>
        <w:rPr>
          <w:sz w:val="22"/>
        </w:rPr>
      </w:pPr>
      <w:r>
        <w:rPr>
          <w:sz w:val="22"/>
        </w:rPr>
        <w:t>At the end of this review process, the State approves, denies or requests additional information regarding the Budgets and Budget Narratives.</w:t>
      </w:r>
    </w:p>
    <w:p>
      <w:pPr>
        <w:pStyle w:val="ListParagraph"/>
        <w:numPr>
          <w:ilvl w:val="5"/>
          <w:numId w:val="65"/>
        </w:numPr>
        <w:tabs>
          <w:tab w:pos="2659" w:val="left" w:leader="none"/>
          <w:tab w:pos="2661" w:val="left" w:leader="none"/>
        </w:tabs>
        <w:spacing w:line="223" w:lineRule="auto" w:before="209" w:after="0"/>
        <w:ind w:left="2661" w:right="1092" w:hanging="361"/>
        <w:jc w:val="both"/>
        <w:rPr>
          <w:sz w:val="22"/>
        </w:rPr>
      </w:pPr>
      <w:r>
        <w:rPr>
          <w:sz w:val="22"/>
        </w:rPr>
        <w:t>After approval, the State will disburse the first quarterly DSRIP payment for the new Budget Period.</w:t>
      </w:r>
    </w:p>
    <w:p>
      <w:pPr>
        <w:pStyle w:val="ListParagraph"/>
        <w:numPr>
          <w:ilvl w:val="4"/>
          <w:numId w:val="65"/>
        </w:numPr>
        <w:tabs>
          <w:tab w:pos="1939" w:val="left" w:leader="none"/>
          <w:tab w:pos="1941" w:val="left" w:leader="none"/>
        </w:tabs>
        <w:spacing w:line="240" w:lineRule="auto" w:before="3" w:after="0"/>
        <w:ind w:left="1941" w:right="1092" w:hanging="361"/>
        <w:jc w:val="both"/>
        <w:rPr>
          <w:sz w:val="22"/>
        </w:rPr>
      </w:pPr>
      <w:r>
        <w:rPr>
          <w:sz w:val="22"/>
        </w:rPr>
        <w:t>If the data required to calculate funding amounts for a given budget period are not available by August of the preceding Budget Period, then the State may provide ACOs with a preliminary funding amount to construct their Budgets and Budget Narratives. The State would disburse the first quarterly</w:t>
      </w:r>
      <w:r>
        <w:rPr>
          <w:spacing w:val="-2"/>
          <w:sz w:val="22"/>
        </w:rPr>
        <w:t> </w:t>
      </w:r>
      <w:r>
        <w:rPr>
          <w:sz w:val="22"/>
        </w:rPr>
        <w:t>payment based on the preliminary</w:t>
      </w:r>
      <w:r>
        <w:rPr>
          <w:spacing w:val="-2"/>
          <w:sz w:val="22"/>
        </w:rPr>
        <w:t> </w:t>
      </w:r>
      <w:r>
        <w:rPr>
          <w:sz w:val="22"/>
        </w:rPr>
        <w:t>funding</w:t>
      </w:r>
      <w:r>
        <w:rPr>
          <w:spacing w:val="-2"/>
          <w:sz w:val="22"/>
        </w:rPr>
        <w:t> </w:t>
      </w:r>
      <w:r>
        <w:rPr>
          <w:sz w:val="22"/>
        </w:rPr>
        <w:t>amount, and then calculate final funding amounts</w:t>
      </w:r>
      <w:r>
        <w:rPr>
          <w:spacing w:val="-14"/>
          <w:sz w:val="22"/>
        </w:rPr>
        <w:t> </w:t>
      </w:r>
      <w:r>
        <w:rPr>
          <w:sz w:val="22"/>
        </w:rPr>
        <w:t>as</w:t>
      </w:r>
      <w:r>
        <w:rPr>
          <w:spacing w:val="-10"/>
          <w:sz w:val="22"/>
        </w:rPr>
        <w:t> </w:t>
      </w:r>
      <w:r>
        <w:rPr>
          <w:sz w:val="22"/>
        </w:rPr>
        <w:t>well</w:t>
      </w:r>
      <w:r>
        <w:rPr>
          <w:spacing w:val="-11"/>
          <w:sz w:val="22"/>
        </w:rPr>
        <w:t> </w:t>
      </w:r>
      <w:r>
        <w:rPr>
          <w:sz w:val="22"/>
        </w:rPr>
        <w:t>as</w:t>
      </w:r>
      <w:r>
        <w:rPr>
          <w:spacing w:val="-14"/>
          <w:sz w:val="22"/>
        </w:rPr>
        <w:t> </w:t>
      </w:r>
      <w:r>
        <w:rPr>
          <w:sz w:val="22"/>
        </w:rPr>
        <w:t>a</w:t>
      </w:r>
      <w:r>
        <w:rPr>
          <w:spacing w:val="-13"/>
          <w:sz w:val="22"/>
        </w:rPr>
        <w:t> </w:t>
      </w:r>
      <w:r>
        <w:rPr>
          <w:sz w:val="22"/>
        </w:rPr>
        <w:t>reconciliation</w:t>
      </w:r>
      <w:r>
        <w:rPr>
          <w:spacing w:val="-14"/>
          <w:sz w:val="22"/>
        </w:rPr>
        <w:t> </w:t>
      </w:r>
      <w:r>
        <w:rPr>
          <w:sz w:val="22"/>
        </w:rPr>
        <w:t>amount</w:t>
      </w:r>
      <w:r>
        <w:rPr>
          <w:spacing w:val="-10"/>
          <w:sz w:val="22"/>
        </w:rPr>
        <w:t> </w:t>
      </w:r>
      <w:r>
        <w:rPr>
          <w:sz w:val="22"/>
        </w:rPr>
        <w:t>to</w:t>
      </w:r>
      <w:r>
        <w:rPr>
          <w:spacing w:val="-14"/>
          <w:sz w:val="22"/>
        </w:rPr>
        <w:t> </w:t>
      </w:r>
      <w:r>
        <w:rPr>
          <w:sz w:val="22"/>
        </w:rPr>
        <w:t>be</w:t>
      </w:r>
      <w:r>
        <w:rPr>
          <w:spacing w:val="-13"/>
          <w:sz w:val="22"/>
        </w:rPr>
        <w:t> </w:t>
      </w:r>
      <w:r>
        <w:rPr>
          <w:sz w:val="22"/>
        </w:rPr>
        <w:t>added</w:t>
      </w:r>
      <w:r>
        <w:rPr>
          <w:spacing w:val="-14"/>
          <w:sz w:val="22"/>
        </w:rPr>
        <w:t> </w:t>
      </w:r>
      <w:r>
        <w:rPr>
          <w:sz w:val="22"/>
        </w:rPr>
        <w:t>to</w:t>
      </w:r>
      <w:r>
        <w:rPr>
          <w:spacing w:val="-11"/>
          <w:sz w:val="22"/>
        </w:rPr>
        <w:t> </w:t>
      </w:r>
      <w:r>
        <w:rPr>
          <w:sz w:val="22"/>
        </w:rPr>
        <w:t>or</w:t>
      </w:r>
      <w:r>
        <w:rPr>
          <w:spacing w:val="-11"/>
          <w:sz w:val="22"/>
        </w:rPr>
        <w:t> </w:t>
      </w:r>
      <w:r>
        <w:rPr>
          <w:sz w:val="22"/>
        </w:rPr>
        <w:t>subtracted</w:t>
      </w:r>
      <w:r>
        <w:rPr>
          <w:spacing w:val="-14"/>
          <w:sz w:val="22"/>
        </w:rPr>
        <w:t> </w:t>
      </w:r>
      <w:r>
        <w:rPr>
          <w:sz w:val="22"/>
        </w:rPr>
        <w:t>from</w:t>
      </w:r>
      <w:r>
        <w:rPr>
          <w:spacing w:val="-14"/>
          <w:sz w:val="22"/>
        </w:rPr>
        <w:t> </w:t>
      </w:r>
      <w:r>
        <w:rPr>
          <w:sz w:val="22"/>
        </w:rPr>
        <w:t>the</w:t>
      </w:r>
      <w:r>
        <w:rPr>
          <w:spacing w:val="-10"/>
          <w:sz w:val="22"/>
        </w:rPr>
        <w:t> </w:t>
      </w:r>
      <w:r>
        <w:rPr>
          <w:sz w:val="22"/>
        </w:rPr>
        <w:t>ACO’s</w:t>
      </w:r>
      <w:r>
        <w:rPr>
          <w:spacing w:val="-11"/>
          <w:sz w:val="22"/>
        </w:rPr>
        <w:t> </w:t>
      </w:r>
      <w:r>
        <w:rPr>
          <w:sz w:val="22"/>
        </w:rPr>
        <w:t>subsequent quarterly DSRIP payments in that Budget Period, such that payments for the budget period total the final funding amount for that budget period.</w:t>
      </w:r>
    </w:p>
    <w:p>
      <w:pPr>
        <w:pStyle w:val="ListParagraph"/>
        <w:numPr>
          <w:ilvl w:val="5"/>
          <w:numId w:val="65"/>
        </w:numPr>
        <w:tabs>
          <w:tab w:pos="2659" w:val="left" w:leader="none"/>
          <w:tab w:pos="2661" w:val="left" w:leader="none"/>
        </w:tabs>
        <w:spacing w:line="235" w:lineRule="auto" w:before="3" w:after="0"/>
        <w:ind w:left="2661" w:right="1093" w:hanging="361"/>
        <w:jc w:val="both"/>
        <w:rPr>
          <w:sz w:val="22"/>
        </w:rPr>
      </w:pPr>
      <w:r>
        <w:rPr>
          <w:sz w:val="22"/>
        </w:rPr>
        <w:t>If the funding amount for a given ACO changes by more than 20% from the preliminary funding amount on which the ACO based its Budget and Budget Narrative, the State will ask the ACO to revise and resubmit its Budget and Budget Narrative. The State may also request revisions in its discretion.</w:t>
      </w:r>
    </w:p>
    <w:p>
      <w:pPr>
        <w:pStyle w:val="ListParagraph"/>
        <w:numPr>
          <w:ilvl w:val="4"/>
          <w:numId w:val="65"/>
        </w:numPr>
        <w:tabs>
          <w:tab w:pos="1939" w:val="left" w:leader="none"/>
          <w:tab w:pos="1941" w:val="left" w:leader="none"/>
        </w:tabs>
        <w:spacing w:line="240" w:lineRule="auto" w:before="0" w:after="0"/>
        <w:ind w:left="1941" w:right="1093" w:hanging="361"/>
        <w:jc w:val="both"/>
        <w:rPr>
          <w:b/>
          <w:sz w:val="22"/>
        </w:rPr>
      </w:pPr>
      <w:r>
        <w:rPr>
          <w:b/>
          <w:sz w:val="22"/>
        </w:rPr>
        <w:t>The State therefore anticipates completing approvals of Budgets and Budget Narratives within 75 calendar days of requesting them from ACOs as follows:</w:t>
      </w:r>
    </w:p>
    <w:p>
      <w:pPr>
        <w:pStyle w:val="ListParagraph"/>
        <w:numPr>
          <w:ilvl w:val="5"/>
          <w:numId w:val="65"/>
        </w:numPr>
        <w:tabs>
          <w:tab w:pos="2660" w:val="left" w:leader="none"/>
        </w:tabs>
        <w:spacing w:line="240" w:lineRule="auto" w:before="198" w:after="0"/>
        <w:ind w:left="2660" w:right="0" w:hanging="359"/>
        <w:jc w:val="left"/>
        <w:rPr>
          <w:sz w:val="22"/>
        </w:rPr>
      </w:pPr>
      <w:r>
        <w:rPr>
          <w:sz w:val="22"/>
        </w:rPr>
        <w:t>For</w:t>
      </w:r>
      <w:r>
        <w:rPr>
          <w:spacing w:val="-3"/>
          <w:sz w:val="22"/>
        </w:rPr>
        <w:t> </w:t>
      </w:r>
      <w:r>
        <w:rPr>
          <w:sz w:val="22"/>
        </w:rPr>
        <w:t>Preparation</w:t>
      </w:r>
      <w:r>
        <w:rPr>
          <w:spacing w:val="-3"/>
          <w:sz w:val="22"/>
        </w:rPr>
        <w:t> </w:t>
      </w:r>
      <w:r>
        <w:rPr>
          <w:spacing w:val="-2"/>
          <w:sz w:val="22"/>
        </w:rPr>
        <w:t>Budget</w:t>
      </w:r>
    </w:p>
    <w:p>
      <w:pPr>
        <w:pStyle w:val="ListParagraph"/>
        <w:numPr>
          <w:ilvl w:val="6"/>
          <w:numId w:val="65"/>
        </w:numPr>
        <w:tabs>
          <w:tab w:pos="3382" w:val="left" w:leader="none"/>
        </w:tabs>
        <w:spacing w:line="240" w:lineRule="auto" w:before="180" w:after="0"/>
        <w:ind w:left="3382" w:right="1093" w:hanging="361"/>
        <w:jc w:val="left"/>
        <w:rPr>
          <w:sz w:val="22"/>
        </w:rPr>
      </w:pPr>
      <w:r>
        <w:rPr>
          <w:sz w:val="22"/>
        </w:rPr>
        <w:t>The State anticipates notifying ACOs of anticipated Preparation Budget funding amounts in June 2017</w:t>
      </w:r>
    </w:p>
    <w:p>
      <w:pPr>
        <w:spacing w:after="0" w:line="240" w:lineRule="auto"/>
        <w:jc w:val="left"/>
        <w:rPr>
          <w:sz w:val="22"/>
        </w:rPr>
        <w:sectPr>
          <w:pgSz w:w="12240" w:h="15840"/>
          <w:pgMar w:header="0" w:footer="967" w:top="1360" w:bottom="1160" w:left="220" w:right="340"/>
        </w:sectPr>
      </w:pPr>
    </w:p>
    <w:p>
      <w:pPr>
        <w:pStyle w:val="ListParagraph"/>
        <w:numPr>
          <w:ilvl w:val="6"/>
          <w:numId w:val="65"/>
        </w:numPr>
        <w:tabs>
          <w:tab w:pos="3380" w:val="left" w:leader="none"/>
        </w:tabs>
        <w:spacing w:line="240" w:lineRule="auto" w:before="78" w:after="0"/>
        <w:ind w:left="3380" w:right="1094" w:hanging="361"/>
        <w:jc w:val="both"/>
        <w:rPr>
          <w:sz w:val="22"/>
        </w:rPr>
      </w:pPr>
      <w:r>
        <w:rPr>
          <w:sz w:val="22"/>
        </w:rPr>
        <w:t>The</w:t>
      </w:r>
      <w:r>
        <w:rPr>
          <w:spacing w:val="-14"/>
          <w:sz w:val="22"/>
        </w:rPr>
        <w:t> </w:t>
      </w:r>
      <w:r>
        <w:rPr>
          <w:sz w:val="22"/>
        </w:rPr>
        <w:t>State</w:t>
      </w:r>
      <w:r>
        <w:rPr>
          <w:spacing w:val="-14"/>
          <w:sz w:val="22"/>
        </w:rPr>
        <w:t> </w:t>
      </w:r>
      <w:r>
        <w:rPr>
          <w:sz w:val="22"/>
        </w:rPr>
        <w:t>anticipates</w:t>
      </w:r>
      <w:r>
        <w:rPr>
          <w:spacing w:val="-14"/>
          <w:sz w:val="22"/>
        </w:rPr>
        <w:t> </w:t>
      </w:r>
      <w:r>
        <w:rPr>
          <w:sz w:val="22"/>
        </w:rPr>
        <w:t>ACOs</w:t>
      </w:r>
      <w:r>
        <w:rPr>
          <w:spacing w:val="-13"/>
          <w:sz w:val="22"/>
        </w:rPr>
        <w:t> </w:t>
      </w:r>
      <w:r>
        <w:rPr>
          <w:sz w:val="22"/>
        </w:rPr>
        <w:t>submitting</w:t>
      </w:r>
      <w:r>
        <w:rPr>
          <w:spacing w:val="-14"/>
          <w:sz w:val="22"/>
        </w:rPr>
        <w:t> </w:t>
      </w:r>
      <w:r>
        <w:rPr>
          <w:sz w:val="22"/>
        </w:rPr>
        <w:t>Preparation</w:t>
      </w:r>
      <w:r>
        <w:rPr>
          <w:spacing w:val="-14"/>
          <w:sz w:val="22"/>
        </w:rPr>
        <w:t> </w:t>
      </w:r>
      <w:r>
        <w:rPr>
          <w:sz w:val="22"/>
        </w:rPr>
        <w:t>Budgets</w:t>
      </w:r>
      <w:r>
        <w:rPr>
          <w:spacing w:val="-14"/>
          <w:sz w:val="22"/>
        </w:rPr>
        <w:t> </w:t>
      </w:r>
      <w:r>
        <w:rPr>
          <w:sz w:val="22"/>
        </w:rPr>
        <w:t>and</w:t>
      </w:r>
      <w:r>
        <w:rPr>
          <w:spacing w:val="-13"/>
          <w:sz w:val="22"/>
        </w:rPr>
        <w:t> </w:t>
      </w:r>
      <w:r>
        <w:rPr>
          <w:sz w:val="22"/>
        </w:rPr>
        <w:t>Budget</w:t>
      </w:r>
      <w:r>
        <w:rPr>
          <w:spacing w:val="-14"/>
          <w:sz w:val="22"/>
        </w:rPr>
        <w:t> </w:t>
      </w:r>
      <w:r>
        <w:rPr>
          <w:sz w:val="22"/>
        </w:rPr>
        <w:t>Narratives in July 2017</w:t>
      </w:r>
    </w:p>
    <w:p>
      <w:pPr>
        <w:pStyle w:val="ListParagraph"/>
        <w:numPr>
          <w:ilvl w:val="6"/>
          <w:numId w:val="65"/>
        </w:numPr>
        <w:tabs>
          <w:tab w:pos="3380" w:val="left" w:leader="none"/>
        </w:tabs>
        <w:spacing w:line="240" w:lineRule="auto" w:before="202" w:after="0"/>
        <w:ind w:left="3380" w:right="0" w:hanging="360"/>
        <w:jc w:val="left"/>
        <w:rPr>
          <w:sz w:val="22"/>
        </w:rPr>
      </w:pPr>
      <w:r>
        <w:rPr>
          <w:sz w:val="22"/>
        </w:rPr>
        <w:t>The</w:t>
      </w:r>
      <w:r>
        <w:rPr>
          <w:spacing w:val="-8"/>
          <w:sz w:val="22"/>
        </w:rPr>
        <w:t> </w:t>
      </w:r>
      <w:r>
        <w:rPr>
          <w:sz w:val="22"/>
        </w:rPr>
        <w:t>State</w:t>
      </w:r>
      <w:r>
        <w:rPr>
          <w:spacing w:val="-5"/>
          <w:sz w:val="22"/>
        </w:rPr>
        <w:t> </w:t>
      </w:r>
      <w:r>
        <w:rPr>
          <w:sz w:val="22"/>
        </w:rPr>
        <w:t>anticipates</w:t>
      </w:r>
      <w:r>
        <w:rPr>
          <w:spacing w:val="-5"/>
          <w:sz w:val="22"/>
        </w:rPr>
        <w:t> </w:t>
      </w:r>
      <w:r>
        <w:rPr>
          <w:sz w:val="22"/>
        </w:rPr>
        <w:t>approving</w:t>
      </w:r>
      <w:r>
        <w:rPr>
          <w:spacing w:val="-6"/>
          <w:sz w:val="22"/>
        </w:rPr>
        <w:t> </w:t>
      </w:r>
      <w:r>
        <w:rPr>
          <w:sz w:val="22"/>
        </w:rPr>
        <w:t>Budgets</w:t>
      </w:r>
      <w:r>
        <w:rPr>
          <w:spacing w:val="-3"/>
          <w:sz w:val="22"/>
        </w:rPr>
        <w:t> </w:t>
      </w:r>
      <w:r>
        <w:rPr>
          <w:sz w:val="22"/>
        </w:rPr>
        <w:t>and</w:t>
      </w:r>
      <w:r>
        <w:rPr>
          <w:spacing w:val="-4"/>
          <w:sz w:val="22"/>
        </w:rPr>
        <w:t> </w:t>
      </w:r>
      <w:r>
        <w:rPr>
          <w:sz w:val="22"/>
        </w:rPr>
        <w:t>Budget</w:t>
      </w:r>
      <w:r>
        <w:rPr>
          <w:spacing w:val="-2"/>
          <w:sz w:val="22"/>
        </w:rPr>
        <w:t> </w:t>
      </w:r>
      <w:r>
        <w:rPr>
          <w:sz w:val="22"/>
        </w:rPr>
        <w:t>Narratives</w:t>
      </w:r>
      <w:r>
        <w:rPr>
          <w:spacing w:val="-3"/>
          <w:sz w:val="22"/>
        </w:rPr>
        <w:t> </w:t>
      </w:r>
      <w:r>
        <w:rPr>
          <w:sz w:val="22"/>
        </w:rPr>
        <w:t>in</w:t>
      </w:r>
      <w:r>
        <w:rPr>
          <w:spacing w:val="-3"/>
          <w:sz w:val="22"/>
        </w:rPr>
        <w:t> </w:t>
      </w:r>
      <w:r>
        <w:rPr>
          <w:sz w:val="22"/>
        </w:rPr>
        <w:t>August</w:t>
      </w:r>
      <w:r>
        <w:rPr>
          <w:spacing w:val="-5"/>
          <w:sz w:val="22"/>
        </w:rPr>
        <w:t> </w:t>
      </w:r>
      <w:r>
        <w:rPr>
          <w:spacing w:val="-4"/>
          <w:sz w:val="22"/>
        </w:rPr>
        <w:t>2017</w:t>
      </w:r>
    </w:p>
    <w:p>
      <w:pPr>
        <w:pStyle w:val="ListParagraph"/>
        <w:numPr>
          <w:ilvl w:val="5"/>
          <w:numId w:val="65"/>
        </w:numPr>
        <w:tabs>
          <w:tab w:pos="2659" w:val="left" w:leader="none"/>
        </w:tabs>
        <w:spacing w:line="240" w:lineRule="auto" w:before="201" w:after="0"/>
        <w:ind w:left="2659" w:right="0" w:hanging="359"/>
        <w:jc w:val="left"/>
        <w:rPr>
          <w:sz w:val="22"/>
        </w:rPr>
      </w:pPr>
      <w:r>
        <w:rPr>
          <w:sz w:val="22"/>
        </w:rPr>
        <w:t>For</w:t>
      </w:r>
      <w:r>
        <w:rPr>
          <w:spacing w:val="-5"/>
          <w:sz w:val="22"/>
        </w:rPr>
        <w:t> </w:t>
      </w:r>
      <w:r>
        <w:rPr>
          <w:sz w:val="22"/>
        </w:rPr>
        <w:t>BP</w:t>
      </w:r>
      <w:r>
        <w:rPr>
          <w:spacing w:val="-3"/>
          <w:sz w:val="22"/>
        </w:rPr>
        <w:t> </w:t>
      </w:r>
      <w:r>
        <w:rPr>
          <w:sz w:val="22"/>
        </w:rPr>
        <w:t>1-</w:t>
      </w:r>
      <w:r>
        <w:rPr>
          <w:spacing w:val="-5"/>
          <w:sz w:val="22"/>
        </w:rPr>
        <w:t>5:</w:t>
      </w:r>
    </w:p>
    <w:p>
      <w:pPr>
        <w:pStyle w:val="ListParagraph"/>
        <w:numPr>
          <w:ilvl w:val="6"/>
          <w:numId w:val="65"/>
        </w:numPr>
        <w:tabs>
          <w:tab w:pos="3380" w:val="left" w:leader="none"/>
        </w:tabs>
        <w:spacing w:line="240" w:lineRule="auto" w:before="180" w:after="0"/>
        <w:ind w:left="3380" w:right="1095" w:hanging="361"/>
        <w:jc w:val="both"/>
        <w:rPr>
          <w:sz w:val="22"/>
        </w:rPr>
      </w:pPr>
      <w:r>
        <w:rPr>
          <w:sz w:val="22"/>
        </w:rPr>
        <w:t>The State anticipates providing ACOs with anticipated funding amounts in October of the preceding budget period</w:t>
      </w:r>
    </w:p>
    <w:p>
      <w:pPr>
        <w:pStyle w:val="ListParagraph"/>
        <w:numPr>
          <w:ilvl w:val="6"/>
          <w:numId w:val="65"/>
        </w:numPr>
        <w:tabs>
          <w:tab w:pos="3380" w:val="left" w:leader="none"/>
        </w:tabs>
        <w:spacing w:line="240" w:lineRule="auto" w:before="0" w:after="0"/>
        <w:ind w:left="3380" w:right="1096" w:hanging="361"/>
        <w:jc w:val="both"/>
        <w:rPr>
          <w:sz w:val="22"/>
        </w:rPr>
      </w:pPr>
      <w:r>
        <w:rPr>
          <w:sz w:val="22"/>
        </w:rPr>
        <w:t>The State anticipates ACOs will submit to the State their Budgets and Budget Narratives and their updated safety net revenue calculation in November of the preceding budget period</w:t>
      </w:r>
    </w:p>
    <w:p>
      <w:pPr>
        <w:pStyle w:val="ListParagraph"/>
        <w:numPr>
          <w:ilvl w:val="6"/>
          <w:numId w:val="65"/>
        </w:numPr>
        <w:tabs>
          <w:tab w:pos="3380" w:val="left" w:leader="none"/>
        </w:tabs>
        <w:spacing w:line="240" w:lineRule="auto" w:before="0" w:after="0"/>
        <w:ind w:left="3380" w:right="1092" w:hanging="361"/>
        <w:jc w:val="both"/>
        <w:rPr>
          <w:sz w:val="22"/>
        </w:rPr>
      </w:pPr>
      <w:r>
        <w:rPr>
          <w:sz w:val="22"/>
        </w:rPr>
        <w:t>The</w:t>
      </w:r>
      <w:r>
        <w:rPr>
          <w:spacing w:val="-8"/>
          <w:sz w:val="22"/>
        </w:rPr>
        <w:t> </w:t>
      </w:r>
      <w:r>
        <w:rPr>
          <w:sz w:val="22"/>
        </w:rPr>
        <w:t>State</w:t>
      </w:r>
      <w:r>
        <w:rPr>
          <w:spacing w:val="-5"/>
          <w:sz w:val="22"/>
        </w:rPr>
        <w:t> </w:t>
      </w:r>
      <w:r>
        <w:rPr>
          <w:sz w:val="22"/>
        </w:rPr>
        <w:t>anticipates</w:t>
      </w:r>
      <w:r>
        <w:rPr>
          <w:spacing w:val="-8"/>
          <w:sz w:val="22"/>
        </w:rPr>
        <w:t> </w:t>
      </w:r>
      <w:r>
        <w:rPr>
          <w:sz w:val="22"/>
        </w:rPr>
        <w:t>approving</w:t>
      </w:r>
      <w:r>
        <w:rPr>
          <w:spacing w:val="-8"/>
          <w:sz w:val="22"/>
        </w:rPr>
        <w:t> </w:t>
      </w:r>
      <w:r>
        <w:rPr>
          <w:sz w:val="22"/>
        </w:rPr>
        <w:t>ACOs’</w:t>
      </w:r>
      <w:r>
        <w:rPr>
          <w:spacing w:val="-5"/>
          <w:sz w:val="22"/>
        </w:rPr>
        <w:t> </w:t>
      </w:r>
      <w:r>
        <w:rPr>
          <w:sz w:val="22"/>
        </w:rPr>
        <w:t>Budgets</w:t>
      </w:r>
      <w:r>
        <w:rPr>
          <w:spacing w:val="-8"/>
          <w:sz w:val="22"/>
        </w:rPr>
        <w:t> </w:t>
      </w:r>
      <w:r>
        <w:rPr>
          <w:sz w:val="22"/>
        </w:rPr>
        <w:t>and</w:t>
      </w:r>
      <w:r>
        <w:rPr>
          <w:spacing w:val="-6"/>
          <w:sz w:val="22"/>
        </w:rPr>
        <w:t> </w:t>
      </w:r>
      <w:r>
        <w:rPr>
          <w:sz w:val="22"/>
        </w:rPr>
        <w:t>Budget</w:t>
      </w:r>
      <w:r>
        <w:rPr>
          <w:spacing w:val="-5"/>
          <w:sz w:val="22"/>
        </w:rPr>
        <w:t> </w:t>
      </w:r>
      <w:r>
        <w:rPr>
          <w:sz w:val="22"/>
        </w:rPr>
        <w:t>Narratives</w:t>
      </w:r>
      <w:r>
        <w:rPr>
          <w:spacing w:val="-8"/>
          <w:sz w:val="22"/>
        </w:rPr>
        <w:t> </w:t>
      </w:r>
      <w:r>
        <w:rPr>
          <w:sz w:val="22"/>
        </w:rPr>
        <w:t>in</w:t>
      </w:r>
      <w:r>
        <w:rPr>
          <w:spacing w:val="-11"/>
          <w:sz w:val="22"/>
        </w:rPr>
        <w:t> </w:t>
      </w:r>
      <w:r>
        <w:rPr>
          <w:sz w:val="22"/>
        </w:rPr>
        <w:t>January of the new budget period</w:t>
      </w:r>
    </w:p>
    <w:p>
      <w:pPr>
        <w:pStyle w:val="ListParagraph"/>
        <w:numPr>
          <w:ilvl w:val="6"/>
          <w:numId w:val="65"/>
        </w:numPr>
        <w:tabs>
          <w:tab w:pos="3381" w:val="left" w:leader="none"/>
        </w:tabs>
        <w:spacing w:line="240" w:lineRule="auto" w:before="0" w:after="0"/>
        <w:ind w:left="3381" w:right="1093" w:hanging="361"/>
        <w:jc w:val="both"/>
        <w:rPr>
          <w:sz w:val="22"/>
        </w:rPr>
      </w:pPr>
      <w:r>
        <w:rPr>
          <w:sz w:val="22"/>
        </w:rPr>
        <w:t>If the preliminary member count for BP 1 is estimated prior to the Operational Start Date of the program</w:t>
      </w:r>
      <w:r>
        <w:rPr>
          <w:spacing w:val="-5"/>
          <w:sz w:val="22"/>
        </w:rPr>
        <w:t> </w:t>
      </w:r>
      <w:r>
        <w:rPr>
          <w:sz w:val="22"/>
        </w:rPr>
        <w:t>and</w:t>
      </w:r>
      <w:r>
        <w:rPr>
          <w:spacing w:val="-1"/>
          <w:sz w:val="22"/>
        </w:rPr>
        <w:t> </w:t>
      </w:r>
      <w:r>
        <w:rPr>
          <w:sz w:val="22"/>
        </w:rPr>
        <w:t>therefore prior to</w:t>
      </w:r>
      <w:r>
        <w:rPr>
          <w:spacing w:val="-3"/>
          <w:sz w:val="22"/>
        </w:rPr>
        <w:t> </w:t>
      </w:r>
      <w:r>
        <w:rPr>
          <w:sz w:val="22"/>
        </w:rPr>
        <w:t>actual</w:t>
      </w:r>
      <w:r>
        <w:rPr>
          <w:spacing w:val="-2"/>
          <w:sz w:val="22"/>
        </w:rPr>
        <w:t> </w:t>
      </w:r>
      <w:r>
        <w:rPr>
          <w:sz w:val="22"/>
        </w:rPr>
        <w:t>member enrollments being effective, the State may postpone this timeline by several months for BP 1, and delay</w:t>
      </w:r>
      <w:r>
        <w:rPr>
          <w:spacing w:val="-5"/>
          <w:sz w:val="22"/>
        </w:rPr>
        <w:t> </w:t>
      </w:r>
      <w:r>
        <w:rPr>
          <w:sz w:val="22"/>
        </w:rPr>
        <w:t>the</w:t>
      </w:r>
      <w:r>
        <w:rPr>
          <w:spacing w:val="-4"/>
          <w:sz w:val="22"/>
        </w:rPr>
        <w:t> </w:t>
      </w:r>
      <w:r>
        <w:rPr>
          <w:sz w:val="22"/>
        </w:rPr>
        <w:t>first</w:t>
      </w:r>
      <w:r>
        <w:rPr>
          <w:spacing w:val="-1"/>
          <w:sz w:val="22"/>
        </w:rPr>
        <w:t> </w:t>
      </w:r>
      <w:r>
        <w:rPr>
          <w:sz w:val="22"/>
        </w:rPr>
        <w:t>quarterly</w:t>
      </w:r>
      <w:r>
        <w:rPr>
          <w:spacing w:val="-5"/>
          <w:sz w:val="22"/>
        </w:rPr>
        <w:t> </w:t>
      </w:r>
      <w:r>
        <w:rPr>
          <w:sz w:val="22"/>
        </w:rPr>
        <w:t>payment</w:t>
      </w:r>
      <w:r>
        <w:rPr>
          <w:spacing w:val="-1"/>
          <w:sz w:val="22"/>
        </w:rPr>
        <w:t> </w:t>
      </w:r>
      <w:r>
        <w:rPr>
          <w:sz w:val="22"/>
        </w:rPr>
        <w:t>of</w:t>
      </w:r>
      <w:r>
        <w:rPr>
          <w:spacing w:val="-1"/>
          <w:sz w:val="22"/>
        </w:rPr>
        <w:t> </w:t>
      </w:r>
      <w:r>
        <w:rPr>
          <w:sz w:val="22"/>
        </w:rPr>
        <w:t>BP</w:t>
      </w:r>
      <w:r>
        <w:rPr>
          <w:spacing w:val="-3"/>
          <w:sz w:val="22"/>
        </w:rPr>
        <w:t> </w:t>
      </w:r>
      <w:r>
        <w:rPr>
          <w:sz w:val="22"/>
        </w:rPr>
        <w:t>1</w:t>
      </w:r>
      <w:r>
        <w:rPr>
          <w:spacing w:val="-2"/>
          <w:sz w:val="22"/>
        </w:rPr>
        <w:t> </w:t>
      </w:r>
      <w:r>
        <w:rPr>
          <w:sz w:val="22"/>
        </w:rPr>
        <w:t>at</w:t>
      </w:r>
      <w:r>
        <w:rPr>
          <w:spacing w:val="-1"/>
          <w:sz w:val="22"/>
        </w:rPr>
        <w:t> </w:t>
      </w:r>
      <w:r>
        <w:rPr>
          <w:sz w:val="22"/>
        </w:rPr>
        <w:t>its</w:t>
      </w:r>
      <w:r>
        <w:rPr>
          <w:spacing w:val="-2"/>
          <w:sz w:val="22"/>
        </w:rPr>
        <w:t> </w:t>
      </w:r>
      <w:r>
        <w:rPr>
          <w:sz w:val="22"/>
        </w:rPr>
        <w:t>discretion.</w:t>
      </w:r>
      <w:r>
        <w:rPr>
          <w:spacing w:val="-2"/>
          <w:sz w:val="22"/>
        </w:rPr>
        <w:t> </w:t>
      </w:r>
      <w:r>
        <w:rPr>
          <w:sz w:val="22"/>
        </w:rPr>
        <w:t>This</w:t>
      </w:r>
      <w:r>
        <w:rPr>
          <w:spacing w:val="-2"/>
          <w:sz w:val="22"/>
        </w:rPr>
        <w:t> </w:t>
      </w:r>
      <w:r>
        <w:rPr>
          <w:sz w:val="22"/>
        </w:rPr>
        <w:t>process</w:t>
      </w:r>
      <w:r>
        <w:rPr>
          <w:spacing w:val="-2"/>
          <w:sz w:val="22"/>
        </w:rPr>
        <w:t> </w:t>
      </w:r>
      <w:r>
        <w:rPr>
          <w:sz w:val="22"/>
        </w:rPr>
        <w:t>may</w:t>
      </w:r>
      <w:r>
        <w:rPr>
          <w:spacing w:val="-5"/>
          <w:sz w:val="22"/>
        </w:rPr>
        <w:t> </w:t>
      </w:r>
      <w:r>
        <w:rPr>
          <w:sz w:val="22"/>
        </w:rPr>
        <w:t>allow the State to adjust for changes in enrollment levels if, for example, member movement exceeds expectations</w:t>
      </w:r>
    </w:p>
    <w:p>
      <w:pPr>
        <w:pStyle w:val="ListParagraph"/>
        <w:numPr>
          <w:ilvl w:val="3"/>
          <w:numId w:val="65"/>
        </w:numPr>
        <w:tabs>
          <w:tab w:pos="1940" w:val="left" w:leader="none"/>
        </w:tabs>
        <w:spacing w:line="252" w:lineRule="exact" w:before="200" w:after="0"/>
        <w:ind w:left="1940" w:right="0" w:hanging="719"/>
        <w:jc w:val="both"/>
        <w:rPr>
          <w:b/>
          <w:i/>
          <w:sz w:val="22"/>
        </w:rPr>
      </w:pPr>
      <w:bookmarkStart w:name="3.4.4.2 Process for State Approval of CP" w:id="1277"/>
      <w:bookmarkEnd w:id="1277"/>
      <w:r>
        <w:rPr/>
      </w:r>
      <w:r>
        <w:rPr>
          <w:b/>
          <w:i/>
          <w:color w:val="4471C4"/>
          <w:sz w:val="22"/>
        </w:rPr>
        <w:t>Process</w:t>
      </w:r>
      <w:r>
        <w:rPr>
          <w:b/>
          <w:i/>
          <w:color w:val="4471C4"/>
          <w:spacing w:val="-5"/>
          <w:sz w:val="22"/>
        </w:rPr>
        <w:t> </w:t>
      </w:r>
      <w:r>
        <w:rPr>
          <w:b/>
          <w:i/>
          <w:color w:val="4471C4"/>
          <w:sz w:val="22"/>
        </w:rPr>
        <w:t>for</w:t>
      </w:r>
      <w:r>
        <w:rPr>
          <w:b/>
          <w:i/>
          <w:color w:val="4471C4"/>
          <w:spacing w:val="-3"/>
          <w:sz w:val="22"/>
        </w:rPr>
        <w:t> </w:t>
      </w:r>
      <w:r>
        <w:rPr>
          <w:b/>
          <w:i/>
          <w:color w:val="4471C4"/>
          <w:sz w:val="22"/>
        </w:rPr>
        <w:t>State</w:t>
      </w:r>
      <w:r>
        <w:rPr>
          <w:b/>
          <w:i/>
          <w:color w:val="4471C4"/>
          <w:spacing w:val="-5"/>
          <w:sz w:val="22"/>
        </w:rPr>
        <w:t> </w:t>
      </w:r>
      <w:r>
        <w:rPr>
          <w:b/>
          <w:i/>
          <w:color w:val="4471C4"/>
          <w:sz w:val="22"/>
        </w:rPr>
        <w:t>Approval</w:t>
      </w:r>
      <w:r>
        <w:rPr>
          <w:b/>
          <w:i/>
          <w:color w:val="4471C4"/>
          <w:spacing w:val="-4"/>
          <w:sz w:val="22"/>
        </w:rPr>
        <w:t> </w:t>
      </w:r>
      <w:r>
        <w:rPr>
          <w:b/>
          <w:i/>
          <w:color w:val="4471C4"/>
          <w:sz w:val="22"/>
        </w:rPr>
        <w:t>of</w:t>
      </w:r>
      <w:r>
        <w:rPr>
          <w:b/>
          <w:i/>
          <w:color w:val="4471C4"/>
          <w:spacing w:val="-2"/>
          <w:sz w:val="22"/>
        </w:rPr>
        <w:t> </w:t>
      </w:r>
      <w:r>
        <w:rPr>
          <w:b/>
          <w:i/>
          <w:color w:val="4471C4"/>
          <w:sz w:val="22"/>
        </w:rPr>
        <w:t>CP</w:t>
      </w:r>
      <w:r>
        <w:rPr>
          <w:b/>
          <w:i/>
          <w:color w:val="4471C4"/>
          <w:spacing w:val="-4"/>
          <w:sz w:val="22"/>
        </w:rPr>
        <w:t> </w:t>
      </w:r>
      <w:r>
        <w:rPr>
          <w:b/>
          <w:i/>
          <w:color w:val="4471C4"/>
          <w:sz w:val="22"/>
        </w:rPr>
        <w:t>and</w:t>
      </w:r>
      <w:r>
        <w:rPr>
          <w:b/>
          <w:i/>
          <w:color w:val="4471C4"/>
          <w:spacing w:val="-2"/>
          <w:sz w:val="22"/>
        </w:rPr>
        <w:t> </w:t>
      </w:r>
      <w:r>
        <w:rPr>
          <w:b/>
          <w:i/>
          <w:color w:val="4471C4"/>
          <w:sz w:val="22"/>
        </w:rPr>
        <w:t>CSA</w:t>
      </w:r>
      <w:r>
        <w:rPr>
          <w:b/>
          <w:i/>
          <w:color w:val="4471C4"/>
          <w:spacing w:val="-4"/>
          <w:sz w:val="22"/>
        </w:rPr>
        <w:t> </w:t>
      </w:r>
      <w:r>
        <w:rPr>
          <w:b/>
          <w:i/>
          <w:color w:val="4471C4"/>
          <w:sz w:val="22"/>
        </w:rPr>
        <w:t>Budget</w:t>
      </w:r>
      <w:r>
        <w:rPr>
          <w:b/>
          <w:i/>
          <w:color w:val="4471C4"/>
          <w:spacing w:val="-2"/>
          <w:sz w:val="22"/>
        </w:rPr>
        <w:t> </w:t>
      </w:r>
      <w:r>
        <w:rPr>
          <w:b/>
          <w:i/>
          <w:color w:val="4471C4"/>
          <w:sz w:val="22"/>
        </w:rPr>
        <w:t>and</w:t>
      </w:r>
      <w:r>
        <w:rPr>
          <w:b/>
          <w:i/>
          <w:color w:val="4471C4"/>
          <w:spacing w:val="-3"/>
          <w:sz w:val="22"/>
        </w:rPr>
        <w:t> </w:t>
      </w:r>
      <w:r>
        <w:rPr>
          <w:b/>
          <w:i/>
          <w:color w:val="4471C4"/>
          <w:sz w:val="22"/>
        </w:rPr>
        <w:t>Budget</w:t>
      </w:r>
      <w:r>
        <w:rPr>
          <w:b/>
          <w:i/>
          <w:color w:val="4471C4"/>
          <w:spacing w:val="-1"/>
          <w:sz w:val="22"/>
        </w:rPr>
        <w:t> </w:t>
      </w:r>
      <w:r>
        <w:rPr>
          <w:b/>
          <w:i/>
          <w:color w:val="4471C4"/>
          <w:spacing w:val="-2"/>
          <w:sz w:val="22"/>
        </w:rPr>
        <w:t>Narratives</w:t>
      </w:r>
    </w:p>
    <w:p>
      <w:pPr>
        <w:spacing w:before="0"/>
        <w:ind w:left="1221" w:right="1094" w:firstLine="0"/>
        <w:jc w:val="both"/>
        <w:rPr>
          <w:sz w:val="22"/>
        </w:rPr>
      </w:pPr>
      <w:r>
        <w:rPr>
          <w:sz w:val="22"/>
        </w:rPr>
        <w:t>CPs will receive bi-annual infrastructure development funding as well as be reimbursed monthly for care management</w:t>
      </w:r>
      <w:r>
        <w:rPr>
          <w:spacing w:val="-13"/>
          <w:sz w:val="22"/>
        </w:rPr>
        <w:t> </w:t>
      </w:r>
      <w:r>
        <w:rPr>
          <w:sz w:val="22"/>
        </w:rPr>
        <w:t>and</w:t>
      </w:r>
      <w:r>
        <w:rPr>
          <w:spacing w:val="-14"/>
          <w:sz w:val="22"/>
        </w:rPr>
        <w:t> </w:t>
      </w:r>
      <w:r>
        <w:rPr>
          <w:sz w:val="22"/>
        </w:rPr>
        <w:t>care</w:t>
      </w:r>
      <w:r>
        <w:rPr>
          <w:spacing w:val="-14"/>
          <w:sz w:val="22"/>
        </w:rPr>
        <w:t> </w:t>
      </w:r>
      <w:r>
        <w:rPr>
          <w:sz w:val="22"/>
        </w:rPr>
        <w:t>coordination</w:t>
      </w:r>
      <w:r>
        <w:rPr>
          <w:spacing w:val="-14"/>
          <w:sz w:val="22"/>
        </w:rPr>
        <w:t> </w:t>
      </w:r>
      <w:r>
        <w:rPr>
          <w:sz w:val="22"/>
        </w:rPr>
        <w:t>activities</w:t>
      </w:r>
      <w:r>
        <w:rPr>
          <w:spacing w:val="-13"/>
          <w:sz w:val="22"/>
        </w:rPr>
        <w:t> </w:t>
      </w:r>
      <w:r>
        <w:rPr>
          <w:sz w:val="22"/>
        </w:rPr>
        <w:t>based</w:t>
      </w:r>
      <w:r>
        <w:rPr>
          <w:spacing w:val="-14"/>
          <w:sz w:val="22"/>
        </w:rPr>
        <w:t> </w:t>
      </w:r>
      <w:r>
        <w:rPr>
          <w:sz w:val="22"/>
        </w:rPr>
        <w:t>on</w:t>
      </w:r>
      <w:r>
        <w:rPr>
          <w:spacing w:val="-14"/>
          <w:sz w:val="22"/>
        </w:rPr>
        <w:t> </w:t>
      </w:r>
      <w:r>
        <w:rPr>
          <w:sz w:val="22"/>
        </w:rPr>
        <w:t>the</w:t>
      </w:r>
      <w:r>
        <w:rPr>
          <w:spacing w:val="-14"/>
          <w:sz w:val="22"/>
        </w:rPr>
        <w:t> </w:t>
      </w:r>
      <w:r>
        <w:rPr>
          <w:sz w:val="22"/>
        </w:rPr>
        <w:t>number</w:t>
      </w:r>
      <w:r>
        <w:rPr>
          <w:spacing w:val="-12"/>
          <w:sz w:val="22"/>
        </w:rPr>
        <w:t> </w:t>
      </w:r>
      <w:r>
        <w:rPr>
          <w:sz w:val="22"/>
        </w:rPr>
        <w:t>of</w:t>
      </w:r>
      <w:r>
        <w:rPr>
          <w:spacing w:val="-13"/>
          <w:sz w:val="22"/>
        </w:rPr>
        <w:t> </w:t>
      </w:r>
      <w:r>
        <w:rPr>
          <w:sz w:val="22"/>
        </w:rPr>
        <w:t>members</w:t>
      </w:r>
      <w:r>
        <w:rPr>
          <w:spacing w:val="-14"/>
          <w:sz w:val="22"/>
        </w:rPr>
        <w:t> </w:t>
      </w:r>
      <w:r>
        <w:rPr>
          <w:sz w:val="22"/>
        </w:rPr>
        <w:t>assigned</w:t>
      </w:r>
      <w:r>
        <w:rPr>
          <w:spacing w:val="-14"/>
          <w:sz w:val="22"/>
        </w:rPr>
        <w:t> </w:t>
      </w:r>
      <w:r>
        <w:rPr>
          <w:sz w:val="22"/>
        </w:rPr>
        <w:t>and</w:t>
      </w:r>
      <w:r>
        <w:rPr>
          <w:spacing w:val="-14"/>
          <w:sz w:val="22"/>
        </w:rPr>
        <w:t> </w:t>
      </w:r>
      <w:r>
        <w:rPr>
          <w:sz w:val="22"/>
        </w:rPr>
        <w:t>engaged.</w:t>
      </w:r>
      <w:r>
        <w:rPr>
          <w:spacing w:val="-13"/>
          <w:sz w:val="22"/>
        </w:rPr>
        <w:t> </w:t>
      </w:r>
      <w:r>
        <w:rPr>
          <w:sz w:val="22"/>
        </w:rPr>
        <w:t>CSAs will receive DSRIP funding for Infrastructure development only.</w:t>
      </w:r>
    </w:p>
    <w:p>
      <w:pPr>
        <w:spacing w:before="159"/>
        <w:ind w:left="1221" w:right="1091" w:firstLine="0"/>
        <w:jc w:val="both"/>
        <w:rPr>
          <w:sz w:val="22"/>
        </w:rPr>
      </w:pPr>
      <w:r>
        <w:rPr>
          <w:sz w:val="22"/>
        </w:rPr>
        <w:t>The</w:t>
      </w:r>
      <w:r>
        <w:rPr>
          <w:spacing w:val="-16"/>
          <w:sz w:val="22"/>
        </w:rPr>
        <w:t> </w:t>
      </w:r>
      <w:r>
        <w:rPr>
          <w:sz w:val="22"/>
        </w:rPr>
        <w:t>process</w:t>
      </w:r>
      <w:r>
        <w:rPr>
          <w:spacing w:val="-14"/>
          <w:sz w:val="22"/>
        </w:rPr>
        <w:t> </w:t>
      </w:r>
      <w:r>
        <w:rPr>
          <w:sz w:val="22"/>
        </w:rPr>
        <w:t>for</w:t>
      </w:r>
      <w:r>
        <w:rPr>
          <w:spacing w:val="-14"/>
          <w:sz w:val="22"/>
        </w:rPr>
        <w:t> </w:t>
      </w:r>
      <w:r>
        <w:rPr>
          <w:sz w:val="22"/>
        </w:rPr>
        <w:t>submission,</w:t>
      </w:r>
      <w:r>
        <w:rPr>
          <w:spacing w:val="-13"/>
          <w:sz w:val="22"/>
        </w:rPr>
        <w:t> </w:t>
      </w:r>
      <w:r>
        <w:rPr>
          <w:sz w:val="22"/>
        </w:rPr>
        <w:t>review</w:t>
      </w:r>
      <w:r>
        <w:rPr>
          <w:spacing w:val="-14"/>
          <w:sz w:val="22"/>
        </w:rPr>
        <w:t> </w:t>
      </w:r>
      <w:r>
        <w:rPr>
          <w:sz w:val="22"/>
        </w:rPr>
        <w:t>and</w:t>
      </w:r>
      <w:r>
        <w:rPr>
          <w:spacing w:val="-14"/>
          <w:sz w:val="22"/>
        </w:rPr>
        <w:t> </w:t>
      </w:r>
      <w:r>
        <w:rPr>
          <w:sz w:val="22"/>
        </w:rPr>
        <w:t>approval</w:t>
      </w:r>
      <w:r>
        <w:rPr>
          <w:spacing w:val="-14"/>
          <w:sz w:val="22"/>
        </w:rPr>
        <w:t> </w:t>
      </w:r>
      <w:r>
        <w:rPr>
          <w:sz w:val="22"/>
        </w:rPr>
        <w:t>of</w:t>
      </w:r>
      <w:r>
        <w:rPr>
          <w:spacing w:val="-13"/>
          <w:sz w:val="22"/>
        </w:rPr>
        <w:t> </w:t>
      </w:r>
      <w:r>
        <w:rPr>
          <w:sz w:val="22"/>
        </w:rPr>
        <w:t>CP</w:t>
      </w:r>
      <w:r>
        <w:rPr>
          <w:spacing w:val="-14"/>
          <w:sz w:val="22"/>
        </w:rPr>
        <w:t> </w:t>
      </w:r>
      <w:r>
        <w:rPr>
          <w:sz w:val="22"/>
        </w:rPr>
        <w:t>and</w:t>
      </w:r>
      <w:r>
        <w:rPr>
          <w:spacing w:val="-14"/>
          <w:sz w:val="22"/>
        </w:rPr>
        <w:t> </w:t>
      </w:r>
      <w:r>
        <w:rPr>
          <w:sz w:val="22"/>
        </w:rPr>
        <w:t>CSA</w:t>
      </w:r>
      <w:r>
        <w:rPr>
          <w:spacing w:val="-14"/>
          <w:sz w:val="22"/>
        </w:rPr>
        <w:t> </w:t>
      </w:r>
      <w:r>
        <w:rPr>
          <w:sz w:val="22"/>
        </w:rPr>
        <w:t>Budgets</w:t>
      </w:r>
      <w:r>
        <w:rPr>
          <w:spacing w:val="-13"/>
          <w:sz w:val="22"/>
        </w:rPr>
        <w:t> </w:t>
      </w:r>
      <w:r>
        <w:rPr>
          <w:sz w:val="22"/>
        </w:rPr>
        <w:t>and</w:t>
      </w:r>
      <w:r>
        <w:rPr>
          <w:spacing w:val="-14"/>
          <w:sz w:val="22"/>
        </w:rPr>
        <w:t> </w:t>
      </w:r>
      <w:r>
        <w:rPr>
          <w:sz w:val="22"/>
        </w:rPr>
        <w:t>Budget</w:t>
      </w:r>
      <w:r>
        <w:rPr>
          <w:spacing w:val="-14"/>
          <w:sz w:val="22"/>
        </w:rPr>
        <w:t> </w:t>
      </w:r>
      <w:r>
        <w:rPr>
          <w:sz w:val="22"/>
        </w:rPr>
        <w:t>Narratives</w:t>
      </w:r>
      <w:r>
        <w:rPr>
          <w:spacing w:val="-14"/>
          <w:sz w:val="22"/>
        </w:rPr>
        <w:t> </w:t>
      </w:r>
      <w:r>
        <w:rPr>
          <w:sz w:val="22"/>
        </w:rPr>
        <w:t>for</w:t>
      </w:r>
      <w:r>
        <w:rPr>
          <w:spacing w:val="-13"/>
          <w:sz w:val="22"/>
        </w:rPr>
        <w:t> </w:t>
      </w:r>
      <w:r>
        <w:rPr>
          <w:sz w:val="22"/>
        </w:rPr>
        <w:t>Budget Period 1-5 will be as follows:</w:t>
      </w:r>
    </w:p>
    <w:p>
      <w:pPr>
        <w:pStyle w:val="ListParagraph"/>
        <w:numPr>
          <w:ilvl w:val="4"/>
          <w:numId w:val="65"/>
        </w:numPr>
        <w:tabs>
          <w:tab w:pos="1941" w:val="left" w:leader="none"/>
        </w:tabs>
        <w:spacing w:line="240" w:lineRule="auto" w:before="160" w:after="0"/>
        <w:ind w:left="1941" w:right="1091" w:hanging="361"/>
        <w:jc w:val="left"/>
        <w:rPr>
          <w:sz w:val="22"/>
        </w:rPr>
      </w:pPr>
      <w:r>
        <w:rPr>
          <w:sz w:val="22"/>
        </w:rPr>
        <w:t>The State notifies CPs and CSAs of preliminary upcoming budget period’s funding amounts and requests the Budgets and Budget Narratives for the upcoming budget period</w:t>
      </w:r>
    </w:p>
    <w:p>
      <w:pPr>
        <w:pStyle w:val="ListParagraph"/>
        <w:numPr>
          <w:ilvl w:val="5"/>
          <w:numId w:val="65"/>
        </w:numPr>
        <w:tabs>
          <w:tab w:pos="2660" w:val="left" w:leader="none"/>
        </w:tabs>
        <w:spacing w:line="260" w:lineRule="exact" w:before="0" w:after="0"/>
        <w:ind w:left="2660" w:right="0" w:hanging="359"/>
        <w:jc w:val="left"/>
        <w:rPr>
          <w:sz w:val="22"/>
        </w:rPr>
      </w:pPr>
      <w:r>
        <w:rPr>
          <w:sz w:val="22"/>
        </w:rPr>
        <w:t>Infrastructure</w:t>
      </w:r>
      <w:r>
        <w:rPr>
          <w:spacing w:val="-4"/>
          <w:sz w:val="22"/>
        </w:rPr>
        <w:t> </w:t>
      </w:r>
      <w:r>
        <w:rPr>
          <w:sz w:val="22"/>
        </w:rPr>
        <w:t>development</w:t>
      </w:r>
      <w:r>
        <w:rPr>
          <w:spacing w:val="-6"/>
          <w:sz w:val="22"/>
        </w:rPr>
        <w:t> </w:t>
      </w:r>
      <w:r>
        <w:rPr>
          <w:sz w:val="22"/>
        </w:rPr>
        <w:t>payments</w:t>
      </w:r>
      <w:r>
        <w:rPr>
          <w:spacing w:val="-4"/>
          <w:sz w:val="22"/>
        </w:rPr>
        <w:t> </w:t>
      </w:r>
      <w:r>
        <w:rPr>
          <w:sz w:val="22"/>
        </w:rPr>
        <w:t>will</w:t>
      </w:r>
      <w:r>
        <w:rPr>
          <w:spacing w:val="-3"/>
          <w:sz w:val="22"/>
        </w:rPr>
        <w:t> </w:t>
      </w:r>
      <w:r>
        <w:rPr>
          <w:sz w:val="22"/>
        </w:rPr>
        <w:t>be</w:t>
      </w:r>
      <w:r>
        <w:rPr>
          <w:spacing w:val="-4"/>
          <w:sz w:val="22"/>
        </w:rPr>
        <w:t> </w:t>
      </w:r>
      <w:r>
        <w:rPr>
          <w:sz w:val="22"/>
        </w:rPr>
        <w:t>based</w:t>
      </w:r>
      <w:r>
        <w:rPr>
          <w:spacing w:val="-4"/>
          <w:sz w:val="22"/>
        </w:rPr>
        <w:t> </w:t>
      </w:r>
      <w:r>
        <w:rPr>
          <w:sz w:val="22"/>
        </w:rPr>
        <w:t>on</w:t>
      </w:r>
      <w:r>
        <w:rPr>
          <w:spacing w:val="-9"/>
          <w:sz w:val="22"/>
        </w:rPr>
        <w:t> </w:t>
      </w:r>
      <w:r>
        <w:rPr>
          <w:sz w:val="22"/>
        </w:rPr>
        <w:t>a</w:t>
      </w:r>
      <w:r>
        <w:rPr>
          <w:spacing w:val="-3"/>
          <w:sz w:val="22"/>
        </w:rPr>
        <w:t> </w:t>
      </w:r>
      <w:r>
        <w:rPr>
          <w:sz w:val="22"/>
        </w:rPr>
        <w:t>member</w:t>
      </w:r>
      <w:r>
        <w:rPr>
          <w:spacing w:val="-3"/>
          <w:sz w:val="22"/>
        </w:rPr>
        <w:t> </w:t>
      </w:r>
      <w:r>
        <w:rPr>
          <w:spacing w:val="-2"/>
          <w:sz w:val="22"/>
        </w:rPr>
        <w:t>snapshot</w:t>
      </w:r>
    </w:p>
    <w:p>
      <w:pPr>
        <w:pStyle w:val="ListParagraph"/>
        <w:numPr>
          <w:ilvl w:val="5"/>
          <w:numId w:val="65"/>
        </w:numPr>
        <w:tabs>
          <w:tab w:pos="2660" w:val="left" w:leader="none"/>
        </w:tabs>
        <w:spacing w:line="253" w:lineRule="exact" w:before="0" w:after="0"/>
        <w:ind w:left="2660" w:right="0" w:hanging="359"/>
        <w:jc w:val="left"/>
        <w:rPr>
          <w:sz w:val="22"/>
        </w:rPr>
      </w:pPr>
      <w:r>
        <w:rPr>
          <w:sz w:val="22"/>
        </w:rPr>
        <w:t>For</w:t>
      </w:r>
      <w:r>
        <w:rPr>
          <w:spacing w:val="-4"/>
          <w:sz w:val="22"/>
        </w:rPr>
        <w:t> </w:t>
      </w:r>
      <w:r>
        <w:rPr>
          <w:sz w:val="22"/>
        </w:rPr>
        <w:t>CPs,</w:t>
      </w:r>
      <w:r>
        <w:rPr>
          <w:spacing w:val="-5"/>
          <w:sz w:val="22"/>
        </w:rPr>
        <w:t> </w:t>
      </w:r>
      <w:r>
        <w:rPr>
          <w:sz w:val="22"/>
        </w:rPr>
        <w:t>the</w:t>
      </w:r>
      <w:r>
        <w:rPr>
          <w:spacing w:val="-2"/>
          <w:sz w:val="22"/>
        </w:rPr>
        <w:t> </w:t>
      </w:r>
      <w:r>
        <w:rPr>
          <w:sz w:val="22"/>
        </w:rPr>
        <w:t>BP1</w:t>
      </w:r>
      <w:r>
        <w:rPr>
          <w:spacing w:val="-2"/>
          <w:sz w:val="22"/>
        </w:rPr>
        <w:t> </w:t>
      </w:r>
      <w:r>
        <w:rPr>
          <w:sz w:val="22"/>
        </w:rPr>
        <w:t>member</w:t>
      </w:r>
      <w:r>
        <w:rPr>
          <w:spacing w:val="-2"/>
          <w:sz w:val="22"/>
        </w:rPr>
        <w:t> </w:t>
      </w:r>
      <w:r>
        <w:rPr>
          <w:sz w:val="22"/>
        </w:rPr>
        <w:t>snapshot</w:t>
      </w:r>
      <w:r>
        <w:rPr>
          <w:spacing w:val="-1"/>
          <w:sz w:val="22"/>
        </w:rPr>
        <w:t> </w:t>
      </w:r>
      <w:r>
        <w:rPr>
          <w:sz w:val="22"/>
        </w:rPr>
        <w:t>will</w:t>
      </w:r>
      <w:r>
        <w:rPr>
          <w:spacing w:val="-4"/>
          <w:sz w:val="22"/>
        </w:rPr>
        <w:t> </w:t>
      </w:r>
      <w:r>
        <w:rPr>
          <w:sz w:val="22"/>
        </w:rPr>
        <w:t>be</w:t>
      </w:r>
      <w:r>
        <w:rPr>
          <w:spacing w:val="-3"/>
          <w:sz w:val="22"/>
        </w:rPr>
        <w:t> </w:t>
      </w:r>
      <w:r>
        <w:rPr>
          <w:sz w:val="22"/>
        </w:rPr>
        <w:t>an</w:t>
      </w:r>
      <w:r>
        <w:rPr>
          <w:spacing w:val="-5"/>
          <w:sz w:val="22"/>
        </w:rPr>
        <w:t> </w:t>
      </w:r>
      <w:r>
        <w:rPr>
          <w:sz w:val="22"/>
        </w:rPr>
        <w:t>estimate</w:t>
      </w:r>
      <w:r>
        <w:rPr>
          <w:spacing w:val="-4"/>
          <w:sz w:val="22"/>
        </w:rPr>
        <w:t> </w:t>
      </w:r>
      <w:r>
        <w:rPr>
          <w:sz w:val="22"/>
        </w:rPr>
        <w:t>of</w:t>
      </w:r>
      <w:r>
        <w:rPr>
          <w:spacing w:val="-1"/>
          <w:sz w:val="22"/>
        </w:rPr>
        <w:t> </w:t>
      </w:r>
      <w:r>
        <w:rPr>
          <w:sz w:val="22"/>
        </w:rPr>
        <w:t>member</w:t>
      </w:r>
      <w:r>
        <w:rPr>
          <w:spacing w:val="-1"/>
          <w:sz w:val="22"/>
        </w:rPr>
        <w:t> </w:t>
      </w:r>
      <w:r>
        <w:rPr>
          <w:spacing w:val="-2"/>
          <w:sz w:val="22"/>
        </w:rPr>
        <w:t>engagement</w:t>
      </w:r>
    </w:p>
    <w:p>
      <w:pPr>
        <w:pStyle w:val="ListParagraph"/>
        <w:numPr>
          <w:ilvl w:val="5"/>
          <w:numId w:val="65"/>
        </w:numPr>
        <w:tabs>
          <w:tab w:pos="2660" w:val="left" w:leader="none"/>
        </w:tabs>
        <w:spacing w:line="254" w:lineRule="exact" w:before="0" w:after="0"/>
        <w:ind w:left="2660" w:right="0" w:hanging="359"/>
        <w:jc w:val="left"/>
        <w:rPr>
          <w:sz w:val="22"/>
        </w:rPr>
      </w:pPr>
      <w:r>
        <w:rPr>
          <w:sz w:val="22"/>
        </w:rPr>
        <w:t>For</w:t>
      </w:r>
      <w:r>
        <w:rPr>
          <w:spacing w:val="-5"/>
          <w:sz w:val="22"/>
        </w:rPr>
        <w:t> </w:t>
      </w:r>
      <w:r>
        <w:rPr>
          <w:sz w:val="22"/>
        </w:rPr>
        <w:t>CSAs,</w:t>
      </w:r>
      <w:r>
        <w:rPr>
          <w:spacing w:val="-3"/>
          <w:sz w:val="22"/>
        </w:rPr>
        <w:t> </w:t>
      </w:r>
      <w:r>
        <w:rPr>
          <w:sz w:val="22"/>
        </w:rPr>
        <w:t>the</w:t>
      </w:r>
      <w:r>
        <w:rPr>
          <w:spacing w:val="-3"/>
          <w:sz w:val="22"/>
        </w:rPr>
        <w:t> </w:t>
      </w:r>
      <w:r>
        <w:rPr>
          <w:sz w:val="22"/>
        </w:rPr>
        <w:t>member</w:t>
      </w:r>
      <w:r>
        <w:rPr>
          <w:spacing w:val="-2"/>
          <w:sz w:val="22"/>
        </w:rPr>
        <w:t> </w:t>
      </w:r>
      <w:r>
        <w:rPr>
          <w:sz w:val="22"/>
        </w:rPr>
        <w:t>snapshots</w:t>
      </w:r>
      <w:r>
        <w:rPr>
          <w:spacing w:val="-3"/>
          <w:sz w:val="22"/>
        </w:rPr>
        <w:t> </w:t>
      </w:r>
      <w:r>
        <w:rPr>
          <w:sz w:val="22"/>
        </w:rPr>
        <w:t>will</w:t>
      </w:r>
      <w:r>
        <w:rPr>
          <w:spacing w:val="-2"/>
          <w:sz w:val="22"/>
        </w:rPr>
        <w:t> </w:t>
      </w:r>
      <w:r>
        <w:rPr>
          <w:sz w:val="22"/>
        </w:rPr>
        <w:t>be</w:t>
      </w:r>
      <w:r>
        <w:rPr>
          <w:spacing w:val="-3"/>
          <w:sz w:val="22"/>
        </w:rPr>
        <w:t> </w:t>
      </w:r>
      <w:r>
        <w:rPr>
          <w:sz w:val="22"/>
        </w:rPr>
        <w:t>based</w:t>
      </w:r>
      <w:r>
        <w:rPr>
          <w:spacing w:val="-3"/>
          <w:sz w:val="22"/>
        </w:rPr>
        <w:t> </w:t>
      </w:r>
      <w:r>
        <w:rPr>
          <w:sz w:val="22"/>
        </w:rPr>
        <w:t>on</w:t>
      </w:r>
      <w:r>
        <w:rPr>
          <w:spacing w:val="-5"/>
          <w:sz w:val="22"/>
        </w:rPr>
        <w:t> </w:t>
      </w:r>
      <w:r>
        <w:rPr>
          <w:sz w:val="22"/>
        </w:rPr>
        <w:t>actual</w:t>
      </w:r>
      <w:r>
        <w:rPr>
          <w:spacing w:val="-2"/>
          <w:sz w:val="22"/>
        </w:rPr>
        <w:t> caseload</w:t>
      </w:r>
    </w:p>
    <w:p>
      <w:pPr>
        <w:pStyle w:val="ListParagraph"/>
        <w:numPr>
          <w:ilvl w:val="4"/>
          <w:numId w:val="65"/>
        </w:numPr>
        <w:tabs>
          <w:tab w:pos="1941" w:val="left" w:leader="none"/>
        </w:tabs>
        <w:spacing w:line="237" w:lineRule="auto" w:before="0" w:after="0"/>
        <w:ind w:left="1941" w:right="1092" w:hanging="361"/>
        <w:jc w:val="left"/>
        <w:rPr>
          <w:sz w:val="22"/>
        </w:rPr>
      </w:pPr>
      <w:r>
        <w:rPr>
          <w:sz w:val="22"/>
        </w:rPr>
        <w:t>Within 30 calendar days, CPs and CSAs submit to the State their Budgets and Budget Narratives for the upcoming BP</w:t>
      </w:r>
    </w:p>
    <w:p>
      <w:pPr>
        <w:pStyle w:val="ListParagraph"/>
        <w:numPr>
          <w:ilvl w:val="5"/>
          <w:numId w:val="65"/>
        </w:numPr>
        <w:tabs>
          <w:tab w:pos="2659" w:val="left" w:leader="none"/>
          <w:tab w:pos="2661" w:val="left" w:leader="none"/>
        </w:tabs>
        <w:spacing w:line="223" w:lineRule="auto" w:before="8" w:after="0"/>
        <w:ind w:left="2661" w:right="1093" w:hanging="361"/>
        <w:jc w:val="left"/>
        <w:rPr>
          <w:sz w:val="22"/>
        </w:rPr>
      </w:pPr>
      <w:r>
        <w:rPr>
          <w:sz w:val="22"/>
        </w:rPr>
        <w:t>The</w:t>
      </w:r>
      <w:r>
        <w:rPr>
          <w:spacing w:val="33"/>
          <w:sz w:val="22"/>
        </w:rPr>
        <w:t> </w:t>
      </w:r>
      <w:r>
        <w:rPr>
          <w:sz w:val="22"/>
        </w:rPr>
        <w:t>State</w:t>
      </w:r>
      <w:r>
        <w:rPr>
          <w:spacing w:val="30"/>
          <w:sz w:val="22"/>
        </w:rPr>
        <w:t> </w:t>
      </w:r>
      <w:r>
        <w:rPr>
          <w:sz w:val="22"/>
        </w:rPr>
        <w:t>intends</w:t>
      </w:r>
      <w:r>
        <w:rPr>
          <w:spacing w:val="30"/>
          <w:sz w:val="22"/>
        </w:rPr>
        <w:t> </w:t>
      </w:r>
      <w:r>
        <w:rPr>
          <w:sz w:val="22"/>
        </w:rPr>
        <w:t>to</w:t>
      </w:r>
      <w:r>
        <w:rPr>
          <w:spacing w:val="32"/>
          <w:sz w:val="22"/>
        </w:rPr>
        <w:t> </w:t>
      </w:r>
      <w:r>
        <w:rPr>
          <w:sz w:val="22"/>
        </w:rPr>
        <w:t>work</w:t>
      </w:r>
      <w:r>
        <w:rPr>
          <w:spacing w:val="27"/>
          <w:sz w:val="22"/>
        </w:rPr>
        <w:t> </w:t>
      </w:r>
      <w:r>
        <w:rPr>
          <w:sz w:val="22"/>
        </w:rPr>
        <w:t>with</w:t>
      </w:r>
      <w:r>
        <w:rPr>
          <w:spacing w:val="32"/>
          <w:sz w:val="22"/>
        </w:rPr>
        <w:t> </w:t>
      </w:r>
      <w:r>
        <w:rPr>
          <w:sz w:val="22"/>
        </w:rPr>
        <w:t>CPS</w:t>
      </w:r>
      <w:r>
        <w:rPr>
          <w:spacing w:val="32"/>
          <w:sz w:val="22"/>
        </w:rPr>
        <w:t> </w:t>
      </w:r>
      <w:r>
        <w:rPr>
          <w:sz w:val="22"/>
        </w:rPr>
        <w:t>and</w:t>
      </w:r>
      <w:r>
        <w:rPr>
          <w:spacing w:val="32"/>
          <w:sz w:val="22"/>
        </w:rPr>
        <w:t> </w:t>
      </w:r>
      <w:r>
        <w:rPr>
          <w:sz w:val="22"/>
        </w:rPr>
        <w:t>CSAs</w:t>
      </w:r>
      <w:r>
        <w:rPr>
          <w:spacing w:val="33"/>
          <w:sz w:val="22"/>
        </w:rPr>
        <w:t> </w:t>
      </w:r>
      <w:r>
        <w:rPr>
          <w:sz w:val="22"/>
        </w:rPr>
        <w:t>who</w:t>
      </w:r>
      <w:r>
        <w:rPr>
          <w:spacing w:val="30"/>
          <w:sz w:val="22"/>
        </w:rPr>
        <w:t> </w:t>
      </w:r>
      <w:r>
        <w:rPr>
          <w:sz w:val="22"/>
        </w:rPr>
        <w:t>request</w:t>
      </w:r>
      <w:r>
        <w:rPr>
          <w:spacing w:val="31"/>
          <w:sz w:val="22"/>
        </w:rPr>
        <w:t> </w:t>
      </w:r>
      <w:r>
        <w:rPr>
          <w:sz w:val="22"/>
        </w:rPr>
        <w:t>additional</w:t>
      </w:r>
      <w:r>
        <w:rPr>
          <w:spacing w:val="33"/>
          <w:sz w:val="22"/>
        </w:rPr>
        <w:t> </w:t>
      </w:r>
      <w:r>
        <w:rPr>
          <w:sz w:val="22"/>
        </w:rPr>
        <w:t>time</w:t>
      </w:r>
      <w:r>
        <w:rPr>
          <w:spacing w:val="33"/>
          <w:sz w:val="22"/>
        </w:rPr>
        <w:t> </w:t>
      </w:r>
      <w:r>
        <w:rPr>
          <w:sz w:val="22"/>
        </w:rPr>
        <w:t>or</w:t>
      </w:r>
      <w:r>
        <w:rPr>
          <w:spacing w:val="33"/>
          <w:sz w:val="22"/>
        </w:rPr>
        <w:t> </w:t>
      </w:r>
      <w:r>
        <w:rPr>
          <w:sz w:val="22"/>
        </w:rPr>
        <w:t>fail</w:t>
      </w:r>
      <w:r>
        <w:rPr>
          <w:spacing w:val="33"/>
          <w:sz w:val="22"/>
        </w:rPr>
        <w:t> </w:t>
      </w:r>
      <w:r>
        <w:rPr>
          <w:sz w:val="22"/>
        </w:rPr>
        <w:t>to respond in a timely fashion to ensure prompt submission</w:t>
      </w:r>
    </w:p>
    <w:p>
      <w:pPr>
        <w:pStyle w:val="ListParagraph"/>
        <w:numPr>
          <w:ilvl w:val="4"/>
          <w:numId w:val="65"/>
        </w:numPr>
        <w:tabs>
          <w:tab w:pos="1939" w:val="left" w:leader="none"/>
          <w:tab w:pos="1941" w:val="left" w:leader="none"/>
        </w:tabs>
        <w:spacing w:line="240" w:lineRule="auto" w:before="5" w:after="0"/>
        <w:ind w:left="1941" w:right="1092" w:hanging="361"/>
        <w:jc w:val="both"/>
        <w:rPr>
          <w:sz w:val="22"/>
        </w:rPr>
      </w:pPr>
      <w:r>
        <w:rPr>
          <w:sz w:val="22"/>
        </w:rPr>
        <w:t>The State and Independent Assessor review Budgets and Budget Narratives in parallel. The State intends to complete its review of the Budgets and Budget Narratives, including evaluating the Independent Assessor’s recommendations, within 45 calendar days of their submission. Requests for additional information and resubmissions may require additional time.</w:t>
      </w:r>
    </w:p>
    <w:p>
      <w:pPr>
        <w:pStyle w:val="ListParagraph"/>
        <w:numPr>
          <w:ilvl w:val="4"/>
          <w:numId w:val="65"/>
        </w:numPr>
        <w:tabs>
          <w:tab w:pos="1940" w:val="left" w:leader="none"/>
          <w:tab w:pos="1942" w:val="left" w:leader="none"/>
        </w:tabs>
        <w:spacing w:line="240" w:lineRule="auto" w:before="0" w:after="0"/>
        <w:ind w:left="1942" w:right="1095" w:hanging="361"/>
        <w:jc w:val="both"/>
        <w:rPr>
          <w:sz w:val="22"/>
        </w:rPr>
      </w:pPr>
      <w:r>
        <w:rPr>
          <w:sz w:val="22"/>
        </w:rPr>
        <w:t>At the end of this review process, the State approves, denies or requests additional information regarding the Budgets and Budget Narratives.</w:t>
      </w:r>
    </w:p>
    <w:p>
      <w:pPr>
        <w:pStyle w:val="ListParagraph"/>
        <w:numPr>
          <w:ilvl w:val="4"/>
          <w:numId w:val="65"/>
        </w:numPr>
        <w:tabs>
          <w:tab w:pos="1940" w:val="left" w:leader="none"/>
          <w:tab w:pos="1942" w:val="left" w:leader="none"/>
        </w:tabs>
        <w:spacing w:line="240" w:lineRule="auto" w:before="198" w:after="0"/>
        <w:ind w:left="1942" w:right="1090" w:hanging="361"/>
        <w:jc w:val="both"/>
        <w:rPr>
          <w:sz w:val="22"/>
        </w:rPr>
      </w:pPr>
      <w:r>
        <w:rPr>
          <w:sz w:val="22"/>
        </w:rPr>
        <w:t>After approval,</w:t>
      </w:r>
      <w:r>
        <w:rPr>
          <w:spacing w:val="-2"/>
          <w:sz w:val="22"/>
        </w:rPr>
        <w:t> </w:t>
      </w:r>
      <w:r>
        <w:rPr>
          <w:sz w:val="22"/>
        </w:rPr>
        <w:t>the State will disburse funding bi-annually</w:t>
      </w:r>
      <w:r>
        <w:rPr>
          <w:spacing w:val="-2"/>
          <w:sz w:val="22"/>
        </w:rPr>
        <w:t> </w:t>
      </w:r>
      <w:r>
        <w:rPr>
          <w:sz w:val="22"/>
        </w:rPr>
        <w:t>for infrastructure funding and monthly for care coordination funding</w:t>
      </w:r>
    </w:p>
    <w:p>
      <w:pPr>
        <w:pStyle w:val="ListParagraph"/>
        <w:numPr>
          <w:ilvl w:val="4"/>
          <w:numId w:val="65"/>
        </w:numPr>
        <w:tabs>
          <w:tab w:pos="1940" w:val="left" w:leader="none"/>
          <w:tab w:pos="1942" w:val="left" w:leader="none"/>
        </w:tabs>
        <w:spacing w:line="240" w:lineRule="auto" w:before="0" w:after="0"/>
        <w:ind w:left="1942" w:right="1092" w:hanging="361"/>
        <w:jc w:val="both"/>
        <w:rPr>
          <w:b/>
          <w:sz w:val="22"/>
        </w:rPr>
      </w:pPr>
      <w:r>
        <w:rPr>
          <w:b/>
          <w:sz w:val="22"/>
        </w:rPr>
        <w:t>The State therefore anticipates completing approvals of Budgets and Budget Narratives within 75 calendar days of requesting them from CPs and CSAs as follows:</w:t>
      </w:r>
    </w:p>
    <w:p>
      <w:pPr>
        <w:pStyle w:val="ListParagraph"/>
        <w:numPr>
          <w:ilvl w:val="5"/>
          <w:numId w:val="65"/>
        </w:numPr>
        <w:tabs>
          <w:tab w:pos="2661" w:val="left" w:leader="none"/>
        </w:tabs>
        <w:spacing w:line="240" w:lineRule="auto" w:before="200" w:after="0"/>
        <w:ind w:left="2661" w:right="0" w:hanging="359"/>
        <w:jc w:val="left"/>
        <w:rPr>
          <w:sz w:val="22"/>
        </w:rPr>
      </w:pPr>
      <w:r>
        <w:rPr>
          <w:sz w:val="22"/>
        </w:rPr>
        <w:t>For</w:t>
      </w:r>
      <w:r>
        <w:rPr>
          <w:spacing w:val="-3"/>
          <w:sz w:val="22"/>
        </w:rPr>
        <w:t> </w:t>
      </w:r>
      <w:r>
        <w:rPr>
          <w:sz w:val="22"/>
        </w:rPr>
        <w:t>Preparation</w:t>
      </w:r>
      <w:r>
        <w:rPr>
          <w:spacing w:val="-3"/>
          <w:sz w:val="22"/>
        </w:rPr>
        <w:t> </w:t>
      </w:r>
      <w:r>
        <w:rPr>
          <w:spacing w:val="-2"/>
          <w:sz w:val="22"/>
        </w:rPr>
        <w:t>Budget</w:t>
      </w:r>
    </w:p>
    <w:p>
      <w:pPr>
        <w:spacing w:after="0" w:line="240" w:lineRule="auto"/>
        <w:jc w:val="left"/>
        <w:rPr>
          <w:sz w:val="22"/>
        </w:rPr>
        <w:sectPr>
          <w:pgSz w:w="12240" w:h="15840"/>
          <w:pgMar w:header="0" w:footer="967" w:top="1360" w:bottom="1160" w:left="220" w:right="340"/>
        </w:sectPr>
      </w:pPr>
    </w:p>
    <w:p>
      <w:pPr>
        <w:pStyle w:val="ListParagraph"/>
        <w:numPr>
          <w:ilvl w:val="6"/>
          <w:numId w:val="65"/>
        </w:numPr>
        <w:tabs>
          <w:tab w:pos="3380" w:val="left" w:leader="none"/>
        </w:tabs>
        <w:spacing w:line="240" w:lineRule="auto" w:before="78" w:after="0"/>
        <w:ind w:left="3380" w:right="1095" w:hanging="361"/>
        <w:jc w:val="left"/>
        <w:rPr>
          <w:sz w:val="22"/>
        </w:rPr>
      </w:pPr>
      <w:r>
        <w:rPr>
          <w:sz w:val="22"/>
        </w:rPr>
        <w:t>The State anticipates notifying CPs and CSAs of Preparation Budget funding in August 2017</w:t>
      </w:r>
    </w:p>
    <w:p>
      <w:pPr>
        <w:pStyle w:val="ListParagraph"/>
        <w:numPr>
          <w:ilvl w:val="6"/>
          <w:numId w:val="65"/>
        </w:numPr>
        <w:tabs>
          <w:tab w:pos="3380" w:val="left" w:leader="none"/>
        </w:tabs>
        <w:spacing w:line="244" w:lineRule="auto" w:before="200" w:after="0"/>
        <w:ind w:left="3380" w:right="1096" w:hanging="361"/>
        <w:jc w:val="left"/>
        <w:rPr>
          <w:sz w:val="22"/>
        </w:rPr>
      </w:pPr>
      <w:r>
        <w:rPr>
          <w:sz w:val="22"/>
        </w:rPr>
        <w:t>The State anticipates CPs and CSAs submitting Preparation Budgets and Budget Narratives in September 2017</w:t>
      </w:r>
    </w:p>
    <w:p>
      <w:pPr>
        <w:pStyle w:val="ListParagraph"/>
        <w:numPr>
          <w:ilvl w:val="6"/>
          <w:numId w:val="65"/>
        </w:numPr>
        <w:tabs>
          <w:tab w:pos="3380" w:val="left" w:leader="none"/>
        </w:tabs>
        <w:spacing w:line="240" w:lineRule="auto" w:before="192" w:after="0"/>
        <w:ind w:left="3380" w:right="0" w:hanging="360"/>
        <w:jc w:val="left"/>
        <w:rPr>
          <w:sz w:val="22"/>
        </w:rPr>
      </w:pPr>
      <w:r>
        <w:rPr>
          <w:sz w:val="22"/>
        </w:rPr>
        <w:t>The</w:t>
      </w:r>
      <w:r>
        <w:rPr>
          <w:spacing w:val="-6"/>
          <w:sz w:val="22"/>
        </w:rPr>
        <w:t> </w:t>
      </w:r>
      <w:r>
        <w:rPr>
          <w:sz w:val="22"/>
        </w:rPr>
        <w:t>State</w:t>
      </w:r>
      <w:r>
        <w:rPr>
          <w:spacing w:val="-5"/>
          <w:sz w:val="22"/>
        </w:rPr>
        <w:t> </w:t>
      </w:r>
      <w:r>
        <w:rPr>
          <w:sz w:val="22"/>
        </w:rPr>
        <w:t>anticipates</w:t>
      </w:r>
      <w:r>
        <w:rPr>
          <w:spacing w:val="-5"/>
          <w:sz w:val="22"/>
        </w:rPr>
        <w:t> </w:t>
      </w:r>
      <w:r>
        <w:rPr>
          <w:sz w:val="22"/>
        </w:rPr>
        <w:t>approving</w:t>
      </w:r>
      <w:r>
        <w:rPr>
          <w:spacing w:val="-6"/>
          <w:sz w:val="22"/>
        </w:rPr>
        <w:t> </w:t>
      </w:r>
      <w:r>
        <w:rPr>
          <w:sz w:val="22"/>
        </w:rPr>
        <w:t>Budgets</w:t>
      </w:r>
      <w:r>
        <w:rPr>
          <w:spacing w:val="-3"/>
          <w:sz w:val="22"/>
        </w:rPr>
        <w:t> </w:t>
      </w:r>
      <w:r>
        <w:rPr>
          <w:sz w:val="22"/>
        </w:rPr>
        <w:t>and</w:t>
      </w:r>
      <w:r>
        <w:rPr>
          <w:spacing w:val="-3"/>
          <w:sz w:val="22"/>
        </w:rPr>
        <w:t> </w:t>
      </w:r>
      <w:r>
        <w:rPr>
          <w:sz w:val="22"/>
        </w:rPr>
        <w:t>Budget</w:t>
      </w:r>
      <w:r>
        <w:rPr>
          <w:spacing w:val="-3"/>
          <w:sz w:val="22"/>
        </w:rPr>
        <w:t> </w:t>
      </w:r>
      <w:r>
        <w:rPr>
          <w:sz w:val="22"/>
        </w:rPr>
        <w:t>Narratives</w:t>
      </w:r>
      <w:r>
        <w:rPr>
          <w:spacing w:val="-3"/>
          <w:sz w:val="22"/>
        </w:rPr>
        <w:t> </w:t>
      </w:r>
      <w:r>
        <w:rPr>
          <w:sz w:val="22"/>
        </w:rPr>
        <w:t>in</w:t>
      </w:r>
      <w:r>
        <w:rPr>
          <w:spacing w:val="-3"/>
          <w:sz w:val="22"/>
        </w:rPr>
        <w:t> </w:t>
      </w:r>
      <w:r>
        <w:rPr>
          <w:sz w:val="22"/>
        </w:rPr>
        <w:t>October</w:t>
      </w:r>
      <w:r>
        <w:rPr>
          <w:spacing w:val="-2"/>
          <w:sz w:val="22"/>
        </w:rPr>
        <w:t> </w:t>
      </w:r>
      <w:r>
        <w:rPr>
          <w:spacing w:val="-4"/>
          <w:sz w:val="22"/>
        </w:rPr>
        <w:t>2017</w:t>
      </w:r>
    </w:p>
    <w:p>
      <w:pPr>
        <w:pStyle w:val="ListParagraph"/>
        <w:numPr>
          <w:ilvl w:val="5"/>
          <w:numId w:val="65"/>
        </w:numPr>
        <w:tabs>
          <w:tab w:pos="2659" w:val="left" w:leader="none"/>
        </w:tabs>
        <w:spacing w:line="240" w:lineRule="auto" w:before="200" w:after="0"/>
        <w:ind w:left="2659" w:right="0" w:hanging="359"/>
        <w:jc w:val="left"/>
        <w:rPr>
          <w:sz w:val="22"/>
        </w:rPr>
      </w:pPr>
      <w:r>
        <w:rPr>
          <w:sz w:val="22"/>
        </w:rPr>
        <w:t>For</w:t>
      </w:r>
      <w:r>
        <w:rPr>
          <w:spacing w:val="-1"/>
          <w:sz w:val="22"/>
        </w:rPr>
        <w:t> </w:t>
      </w:r>
      <w:r>
        <w:rPr>
          <w:sz w:val="22"/>
        </w:rPr>
        <w:t>BP</w:t>
      </w:r>
      <w:r>
        <w:rPr>
          <w:spacing w:val="-1"/>
          <w:sz w:val="22"/>
        </w:rPr>
        <w:t> </w:t>
      </w:r>
      <w:r>
        <w:rPr>
          <w:spacing w:val="-5"/>
          <w:sz w:val="22"/>
        </w:rPr>
        <w:t>1:</w:t>
      </w:r>
    </w:p>
    <w:p>
      <w:pPr>
        <w:pStyle w:val="ListParagraph"/>
        <w:numPr>
          <w:ilvl w:val="6"/>
          <w:numId w:val="65"/>
        </w:numPr>
        <w:tabs>
          <w:tab w:pos="3380" w:val="left" w:leader="none"/>
        </w:tabs>
        <w:spacing w:line="240" w:lineRule="auto" w:before="180" w:after="0"/>
        <w:ind w:left="3380" w:right="1095" w:hanging="361"/>
        <w:jc w:val="left"/>
        <w:rPr>
          <w:sz w:val="22"/>
        </w:rPr>
      </w:pPr>
      <w:r>
        <w:rPr>
          <w:sz w:val="22"/>
        </w:rPr>
        <w:t>The</w:t>
      </w:r>
      <w:r>
        <w:rPr>
          <w:spacing w:val="-2"/>
          <w:sz w:val="22"/>
        </w:rPr>
        <w:t> </w:t>
      </w:r>
      <w:r>
        <w:rPr>
          <w:sz w:val="22"/>
        </w:rPr>
        <w:t>State</w:t>
      </w:r>
      <w:r>
        <w:rPr>
          <w:spacing w:val="-2"/>
          <w:sz w:val="22"/>
        </w:rPr>
        <w:t> </w:t>
      </w:r>
      <w:r>
        <w:rPr>
          <w:sz w:val="22"/>
        </w:rPr>
        <w:t>anticipates</w:t>
      </w:r>
      <w:r>
        <w:rPr>
          <w:spacing w:val="-2"/>
          <w:sz w:val="22"/>
        </w:rPr>
        <w:t> </w:t>
      </w:r>
      <w:r>
        <w:rPr>
          <w:sz w:val="22"/>
        </w:rPr>
        <w:t>providing</w:t>
      </w:r>
      <w:r>
        <w:rPr>
          <w:spacing w:val="-2"/>
          <w:sz w:val="22"/>
        </w:rPr>
        <w:t> </w:t>
      </w:r>
      <w:r>
        <w:rPr>
          <w:sz w:val="22"/>
        </w:rPr>
        <w:t>CPs and CSAs with</w:t>
      </w:r>
      <w:r>
        <w:rPr>
          <w:spacing w:val="-2"/>
          <w:sz w:val="22"/>
        </w:rPr>
        <w:t> </w:t>
      </w:r>
      <w:r>
        <w:rPr>
          <w:sz w:val="22"/>
        </w:rPr>
        <w:t>a</w:t>
      </w:r>
      <w:r>
        <w:rPr>
          <w:spacing w:val="-2"/>
          <w:sz w:val="22"/>
        </w:rPr>
        <w:t> </w:t>
      </w:r>
      <w:r>
        <w:rPr>
          <w:sz w:val="22"/>
        </w:rPr>
        <w:t>preliminary</w:t>
      </w:r>
      <w:r>
        <w:rPr>
          <w:spacing w:val="-2"/>
          <w:sz w:val="22"/>
        </w:rPr>
        <w:t> </w:t>
      </w:r>
      <w:r>
        <w:rPr>
          <w:sz w:val="22"/>
        </w:rPr>
        <w:t>version of</w:t>
      </w:r>
      <w:r>
        <w:rPr>
          <w:spacing w:val="-1"/>
          <w:sz w:val="22"/>
        </w:rPr>
        <w:t> </w:t>
      </w:r>
      <w:r>
        <w:rPr>
          <w:sz w:val="22"/>
        </w:rPr>
        <w:t>their anticipated payments in February 2018</w:t>
      </w:r>
    </w:p>
    <w:p>
      <w:pPr>
        <w:pStyle w:val="ListParagraph"/>
        <w:numPr>
          <w:ilvl w:val="6"/>
          <w:numId w:val="65"/>
        </w:numPr>
        <w:tabs>
          <w:tab w:pos="3380" w:val="left" w:leader="none"/>
        </w:tabs>
        <w:spacing w:line="240" w:lineRule="auto" w:before="0" w:after="0"/>
        <w:ind w:left="3380" w:right="1095" w:hanging="361"/>
        <w:jc w:val="left"/>
        <w:rPr>
          <w:sz w:val="22"/>
        </w:rPr>
      </w:pPr>
      <w:r>
        <w:rPr>
          <w:sz w:val="22"/>
        </w:rPr>
        <w:t>The</w:t>
      </w:r>
      <w:r>
        <w:rPr>
          <w:spacing w:val="-16"/>
          <w:sz w:val="22"/>
        </w:rPr>
        <w:t> </w:t>
      </w:r>
      <w:r>
        <w:rPr>
          <w:sz w:val="22"/>
        </w:rPr>
        <w:t>State</w:t>
      </w:r>
      <w:r>
        <w:rPr>
          <w:spacing w:val="-14"/>
          <w:sz w:val="22"/>
        </w:rPr>
        <w:t> </w:t>
      </w:r>
      <w:r>
        <w:rPr>
          <w:sz w:val="22"/>
        </w:rPr>
        <w:t>anticipates</w:t>
      </w:r>
      <w:r>
        <w:rPr>
          <w:spacing w:val="-14"/>
          <w:sz w:val="22"/>
        </w:rPr>
        <w:t> </w:t>
      </w:r>
      <w:r>
        <w:rPr>
          <w:sz w:val="22"/>
        </w:rPr>
        <w:t>that</w:t>
      </w:r>
      <w:r>
        <w:rPr>
          <w:spacing w:val="-14"/>
          <w:sz w:val="22"/>
        </w:rPr>
        <w:t> </w:t>
      </w:r>
      <w:r>
        <w:rPr>
          <w:sz w:val="22"/>
        </w:rPr>
        <w:t>CPs</w:t>
      </w:r>
      <w:r>
        <w:rPr>
          <w:spacing w:val="-13"/>
          <w:sz w:val="22"/>
        </w:rPr>
        <w:t> </w:t>
      </w:r>
      <w:r>
        <w:rPr>
          <w:sz w:val="22"/>
        </w:rPr>
        <w:t>and</w:t>
      </w:r>
      <w:r>
        <w:rPr>
          <w:spacing w:val="-14"/>
          <w:sz w:val="22"/>
        </w:rPr>
        <w:t> </w:t>
      </w:r>
      <w:r>
        <w:rPr>
          <w:sz w:val="22"/>
        </w:rPr>
        <w:t>CSAs</w:t>
      </w:r>
      <w:r>
        <w:rPr>
          <w:spacing w:val="-14"/>
          <w:sz w:val="22"/>
        </w:rPr>
        <w:t> </w:t>
      </w:r>
      <w:r>
        <w:rPr>
          <w:sz w:val="22"/>
        </w:rPr>
        <w:t>will</w:t>
      </w:r>
      <w:r>
        <w:rPr>
          <w:spacing w:val="-14"/>
          <w:sz w:val="22"/>
        </w:rPr>
        <w:t> </w:t>
      </w:r>
      <w:r>
        <w:rPr>
          <w:sz w:val="22"/>
        </w:rPr>
        <w:t>submit</w:t>
      </w:r>
      <w:r>
        <w:rPr>
          <w:spacing w:val="-13"/>
          <w:sz w:val="22"/>
        </w:rPr>
        <w:t> </w:t>
      </w:r>
      <w:r>
        <w:rPr>
          <w:sz w:val="22"/>
        </w:rPr>
        <w:t>their</w:t>
      </w:r>
      <w:r>
        <w:rPr>
          <w:spacing w:val="-14"/>
          <w:sz w:val="22"/>
        </w:rPr>
        <w:t> </w:t>
      </w:r>
      <w:r>
        <w:rPr>
          <w:sz w:val="22"/>
        </w:rPr>
        <w:t>BP1</w:t>
      </w:r>
      <w:r>
        <w:rPr>
          <w:spacing w:val="-14"/>
          <w:sz w:val="22"/>
        </w:rPr>
        <w:t> </w:t>
      </w:r>
      <w:r>
        <w:rPr>
          <w:sz w:val="22"/>
        </w:rPr>
        <w:t>Budgets</w:t>
      </w:r>
      <w:r>
        <w:rPr>
          <w:spacing w:val="-14"/>
          <w:sz w:val="22"/>
        </w:rPr>
        <w:t> </w:t>
      </w:r>
      <w:r>
        <w:rPr>
          <w:sz w:val="22"/>
        </w:rPr>
        <w:t>and</w:t>
      </w:r>
      <w:r>
        <w:rPr>
          <w:spacing w:val="-13"/>
          <w:sz w:val="22"/>
        </w:rPr>
        <w:t> </w:t>
      </w:r>
      <w:r>
        <w:rPr>
          <w:sz w:val="22"/>
        </w:rPr>
        <w:t>Budget Narratives to the State in March 2018</w:t>
      </w:r>
    </w:p>
    <w:p>
      <w:pPr>
        <w:pStyle w:val="ListParagraph"/>
        <w:numPr>
          <w:ilvl w:val="6"/>
          <w:numId w:val="65"/>
        </w:numPr>
        <w:tabs>
          <w:tab w:pos="3380" w:val="left" w:leader="none"/>
        </w:tabs>
        <w:spacing w:line="242" w:lineRule="auto" w:before="0" w:after="0"/>
        <w:ind w:left="3380" w:right="1094" w:hanging="361"/>
        <w:jc w:val="left"/>
        <w:rPr>
          <w:sz w:val="22"/>
        </w:rPr>
      </w:pPr>
      <w:r>
        <w:rPr>
          <w:sz w:val="22"/>
        </w:rPr>
        <w:t>The State anticipates approving CP and CSA Budgets and Budget Narratives in May 2018</w:t>
      </w:r>
    </w:p>
    <w:p>
      <w:pPr>
        <w:pStyle w:val="ListParagraph"/>
        <w:numPr>
          <w:ilvl w:val="5"/>
          <w:numId w:val="65"/>
        </w:numPr>
        <w:tabs>
          <w:tab w:pos="2659" w:val="left" w:leader="none"/>
        </w:tabs>
        <w:spacing w:line="269" w:lineRule="exact" w:before="0" w:after="0"/>
        <w:ind w:left="2659" w:right="0" w:hanging="359"/>
        <w:jc w:val="left"/>
        <w:rPr>
          <w:sz w:val="22"/>
        </w:rPr>
      </w:pPr>
      <w:r>
        <w:rPr>
          <w:sz w:val="22"/>
        </w:rPr>
        <w:t>For</w:t>
      </w:r>
      <w:r>
        <w:rPr>
          <w:spacing w:val="-5"/>
          <w:sz w:val="22"/>
        </w:rPr>
        <w:t> </w:t>
      </w:r>
      <w:r>
        <w:rPr>
          <w:sz w:val="22"/>
        </w:rPr>
        <w:t>BP</w:t>
      </w:r>
      <w:r>
        <w:rPr>
          <w:spacing w:val="-3"/>
          <w:sz w:val="22"/>
        </w:rPr>
        <w:t> </w:t>
      </w:r>
      <w:r>
        <w:rPr>
          <w:sz w:val="22"/>
        </w:rPr>
        <w:t>2-</w:t>
      </w:r>
      <w:r>
        <w:rPr>
          <w:spacing w:val="-5"/>
          <w:sz w:val="22"/>
        </w:rPr>
        <w:t>5:</w:t>
      </w:r>
    </w:p>
    <w:p>
      <w:pPr>
        <w:pStyle w:val="ListParagraph"/>
        <w:numPr>
          <w:ilvl w:val="6"/>
          <w:numId w:val="65"/>
        </w:numPr>
        <w:tabs>
          <w:tab w:pos="3380" w:val="left" w:leader="none"/>
        </w:tabs>
        <w:spacing w:line="240" w:lineRule="auto" w:before="178" w:after="0"/>
        <w:ind w:left="3380" w:right="1095" w:hanging="361"/>
        <w:jc w:val="left"/>
        <w:rPr>
          <w:sz w:val="22"/>
        </w:rPr>
      </w:pPr>
      <w:r>
        <w:rPr>
          <w:sz w:val="22"/>
        </w:rPr>
        <w:t>The</w:t>
      </w:r>
      <w:r>
        <w:rPr>
          <w:spacing w:val="-2"/>
          <w:sz w:val="22"/>
        </w:rPr>
        <w:t> </w:t>
      </w:r>
      <w:r>
        <w:rPr>
          <w:sz w:val="22"/>
        </w:rPr>
        <w:t>State</w:t>
      </w:r>
      <w:r>
        <w:rPr>
          <w:spacing w:val="-2"/>
          <w:sz w:val="22"/>
        </w:rPr>
        <w:t> </w:t>
      </w:r>
      <w:r>
        <w:rPr>
          <w:sz w:val="22"/>
        </w:rPr>
        <w:t>anticipates</w:t>
      </w:r>
      <w:r>
        <w:rPr>
          <w:spacing w:val="-2"/>
          <w:sz w:val="22"/>
        </w:rPr>
        <w:t> </w:t>
      </w:r>
      <w:r>
        <w:rPr>
          <w:sz w:val="22"/>
        </w:rPr>
        <w:t>providing</w:t>
      </w:r>
      <w:r>
        <w:rPr>
          <w:spacing w:val="-2"/>
          <w:sz w:val="22"/>
        </w:rPr>
        <w:t> </w:t>
      </w:r>
      <w:r>
        <w:rPr>
          <w:sz w:val="22"/>
        </w:rPr>
        <w:t>CPs and CSAs with</w:t>
      </w:r>
      <w:r>
        <w:rPr>
          <w:spacing w:val="-2"/>
          <w:sz w:val="22"/>
        </w:rPr>
        <w:t> </w:t>
      </w:r>
      <w:r>
        <w:rPr>
          <w:sz w:val="22"/>
        </w:rPr>
        <w:t>a</w:t>
      </w:r>
      <w:r>
        <w:rPr>
          <w:spacing w:val="-2"/>
          <w:sz w:val="22"/>
        </w:rPr>
        <w:t> </w:t>
      </w:r>
      <w:r>
        <w:rPr>
          <w:sz w:val="22"/>
        </w:rPr>
        <w:t>preliminary</w:t>
      </w:r>
      <w:r>
        <w:rPr>
          <w:spacing w:val="-2"/>
          <w:sz w:val="22"/>
        </w:rPr>
        <w:t> </w:t>
      </w:r>
      <w:r>
        <w:rPr>
          <w:sz w:val="22"/>
        </w:rPr>
        <w:t>version of</w:t>
      </w:r>
      <w:r>
        <w:rPr>
          <w:spacing w:val="-1"/>
          <w:sz w:val="22"/>
        </w:rPr>
        <w:t> </w:t>
      </w:r>
      <w:r>
        <w:rPr>
          <w:sz w:val="22"/>
        </w:rPr>
        <w:t>their anticipated payments in December of the preceding budget period</w:t>
      </w:r>
    </w:p>
    <w:p>
      <w:pPr>
        <w:pStyle w:val="ListParagraph"/>
        <w:numPr>
          <w:ilvl w:val="6"/>
          <w:numId w:val="65"/>
        </w:numPr>
        <w:tabs>
          <w:tab w:pos="3381" w:val="left" w:leader="none"/>
        </w:tabs>
        <w:spacing w:line="240" w:lineRule="auto" w:before="0" w:after="0"/>
        <w:ind w:left="3381" w:right="1093" w:hanging="361"/>
        <w:jc w:val="left"/>
        <w:rPr>
          <w:sz w:val="22"/>
        </w:rPr>
      </w:pPr>
      <w:r>
        <w:rPr>
          <w:sz w:val="22"/>
        </w:rPr>
        <w:t>The</w:t>
      </w:r>
      <w:r>
        <w:rPr>
          <w:spacing w:val="26"/>
          <w:sz w:val="22"/>
        </w:rPr>
        <w:t> </w:t>
      </w:r>
      <w:r>
        <w:rPr>
          <w:sz w:val="22"/>
        </w:rPr>
        <w:t>State</w:t>
      </w:r>
      <w:r>
        <w:rPr>
          <w:spacing w:val="26"/>
          <w:sz w:val="22"/>
        </w:rPr>
        <w:t> </w:t>
      </w:r>
      <w:r>
        <w:rPr>
          <w:sz w:val="22"/>
        </w:rPr>
        <w:t>anticipates</w:t>
      </w:r>
      <w:r>
        <w:rPr>
          <w:spacing w:val="26"/>
          <w:sz w:val="22"/>
        </w:rPr>
        <w:t> </w:t>
      </w:r>
      <w:r>
        <w:rPr>
          <w:sz w:val="22"/>
        </w:rPr>
        <w:t>that</w:t>
      </w:r>
      <w:r>
        <w:rPr>
          <w:spacing w:val="27"/>
          <w:sz w:val="22"/>
        </w:rPr>
        <w:t> </w:t>
      </w:r>
      <w:r>
        <w:rPr>
          <w:sz w:val="22"/>
        </w:rPr>
        <w:t>CPs</w:t>
      </w:r>
      <w:r>
        <w:rPr>
          <w:spacing w:val="26"/>
          <w:sz w:val="22"/>
        </w:rPr>
        <w:t> </w:t>
      </w:r>
      <w:r>
        <w:rPr>
          <w:sz w:val="22"/>
        </w:rPr>
        <w:t>and</w:t>
      </w:r>
      <w:r>
        <w:rPr>
          <w:spacing w:val="25"/>
          <w:sz w:val="22"/>
        </w:rPr>
        <w:t> </w:t>
      </w:r>
      <w:r>
        <w:rPr>
          <w:sz w:val="22"/>
        </w:rPr>
        <w:t>CSAs</w:t>
      </w:r>
      <w:r>
        <w:rPr>
          <w:spacing w:val="26"/>
          <w:sz w:val="22"/>
        </w:rPr>
        <w:t> </w:t>
      </w:r>
      <w:r>
        <w:rPr>
          <w:sz w:val="22"/>
        </w:rPr>
        <w:t>will</w:t>
      </w:r>
      <w:r>
        <w:rPr>
          <w:spacing w:val="27"/>
          <w:sz w:val="22"/>
        </w:rPr>
        <w:t> </w:t>
      </w:r>
      <w:r>
        <w:rPr>
          <w:sz w:val="22"/>
        </w:rPr>
        <w:t>submit</w:t>
      </w:r>
      <w:r>
        <w:rPr>
          <w:spacing w:val="27"/>
          <w:sz w:val="22"/>
        </w:rPr>
        <w:t> </w:t>
      </w:r>
      <w:r>
        <w:rPr>
          <w:sz w:val="22"/>
        </w:rPr>
        <w:t>their</w:t>
      </w:r>
      <w:r>
        <w:rPr>
          <w:spacing w:val="26"/>
          <w:sz w:val="22"/>
        </w:rPr>
        <w:t> </w:t>
      </w:r>
      <w:r>
        <w:rPr>
          <w:sz w:val="22"/>
        </w:rPr>
        <w:t>current</w:t>
      </w:r>
      <w:r>
        <w:rPr>
          <w:spacing w:val="27"/>
          <w:sz w:val="22"/>
        </w:rPr>
        <w:t> </w:t>
      </w:r>
      <w:r>
        <w:rPr>
          <w:sz w:val="22"/>
        </w:rPr>
        <w:t>year</w:t>
      </w:r>
      <w:r>
        <w:rPr>
          <w:spacing w:val="26"/>
          <w:sz w:val="22"/>
        </w:rPr>
        <w:t> </w:t>
      </w:r>
      <w:r>
        <w:rPr>
          <w:sz w:val="22"/>
        </w:rPr>
        <w:t>budget period</w:t>
      </w:r>
      <w:r>
        <w:rPr>
          <w:spacing w:val="-2"/>
          <w:sz w:val="22"/>
        </w:rPr>
        <w:t> </w:t>
      </w:r>
      <w:r>
        <w:rPr>
          <w:sz w:val="22"/>
        </w:rPr>
        <w:t>Budgets</w:t>
      </w:r>
      <w:r>
        <w:rPr>
          <w:spacing w:val="-4"/>
          <w:sz w:val="22"/>
        </w:rPr>
        <w:t> </w:t>
      </w:r>
      <w:r>
        <w:rPr>
          <w:sz w:val="22"/>
        </w:rPr>
        <w:t>and</w:t>
      </w:r>
      <w:r>
        <w:rPr>
          <w:spacing w:val="-5"/>
          <w:sz w:val="22"/>
        </w:rPr>
        <w:t> </w:t>
      </w:r>
      <w:r>
        <w:rPr>
          <w:sz w:val="22"/>
        </w:rPr>
        <w:t>Budget</w:t>
      </w:r>
      <w:r>
        <w:rPr>
          <w:spacing w:val="-4"/>
          <w:sz w:val="22"/>
        </w:rPr>
        <w:t> </w:t>
      </w:r>
      <w:r>
        <w:rPr>
          <w:sz w:val="22"/>
        </w:rPr>
        <w:t>Narratives</w:t>
      </w:r>
      <w:r>
        <w:rPr>
          <w:spacing w:val="-4"/>
          <w:sz w:val="22"/>
        </w:rPr>
        <w:t> </w:t>
      </w:r>
      <w:r>
        <w:rPr>
          <w:sz w:val="22"/>
        </w:rPr>
        <w:t>to</w:t>
      </w:r>
      <w:r>
        <w:rPr>
          <w:spacing w:val="-7"/>
          <w:sz w:val="22"/>
        </w:rPr>
        <w:t> </w:t>
      </w:r>
      <w:r>
        <w:rPr>
          <w:sz w:val="22"/>
        </w:rPr>
        <w:t>the</w:t>
      </w:r>
      <w:r>
        <w:rPr>
          <w:spacing w:val="-4"/>
          <w:sz w:val="22"/>
        </w:rPr>
        <w:t> </w:t>
      </w:r>
      <w:r>
        <w:rPr>
          <w:sz w:val="22"/>
        </w:rPr>
        <w:t>State</w:t>
      </w:r>
      <w:r>
        <w:rPr>
          <w:spacing w:val="-4"/>
          <w:sz w:val="22"/>
        </w:rPr>
        <w:t> </w:t>
      </w:r>
      <w:r>
        <w:rPr>
          <w:sz w:val="22"/>
        </w:rPr>
        <w:t>in</w:t>
      </w:r>
      <w:r>
        <w:rPr>
          <w:spacing w:val="-5"/>
          <w:sz w:val="22"/>
        </w:rPr>
        <w:t> </w:t>
      </w:r>
      <w:r>
        <w:rPr>
          <w:sz w:val="22"/>
        </w:rPr>
        <w:t>January</w:t>
      </w:r>
      <w:r>
        <w:rPr>
          <w:spacing w:val="-5"/>
          <w:sz w:val="22"/>
        </w:rPr>
        <w:t> </w:t>
      </w:r>
      <w:r>
        <w:rPr>
          <w:sz w:val="22"/>
        </w:rPr>
        <w:t>of</w:t>
      </w:r>
      <w:r>
        <w:rPr>
          <w:spacing w:val="-6"/>
          <w:sz w:val="22"/>
        </w:rPr>
        <w:t> </w:t>
      </w:r>
      <w:r>
        <w:rPr>
          <w:sz w:val="22"/>
        </w:rPr>
        <w:t>the</w:t>
      </w:r>
      <w:r>
        <w:rPr>
          <w:spacing w:val="-4"/>
          <w:sz w:val="22"/>
        </w:rPr>
        <w:t> </w:t>
      </w:r>
      <w:r>
        <w:rPr>
          <w:sz w:val="22"/>
        </w:rPr>
        <w:t>budget</w:t>
      </w:r>
      <w:r>
        <w:rPr>
          <w:spacing w:val="-4"/>
          <w:sz w:val="22"/>
        </w:rPr>
        <w:t> </w:t>
      </w:r>
      <w:r>
        <w:rPr>
          <w:sz w:val="22"/>
        </w:rPr>
        <w:t>period</w:t>
      </w:r>
    </w:p>
    <w:p>
      <w:pPr>
        <w:pStyle w:val="ListParagraph"/>
        <w:numPr>
          <w:ilvl w:val="6"/>
          <w:numId w:val="65"/>
        </w:numPr>
        <w:tabs>
          <w:tab w:pos="3381" w:val="left" w:leader="none"/>
        </w:tabs>
        <w:spacing w:line="240" w:lineRule="auto" w:before="0" w:after="0"/>
        <w:ind w:left="3381" w:right="1094" w:hanging="361"/>
        <w:jc w:val="left"/>
        <w:rPr>
          <w:sz w:val="22"/>
        </w:rPr>
      </w:pPr>
      <w:r>
        <w:rPr>
          <w:sz w:val="22"/>
        </w:rPr>
        <w:t>The State anticipates approving CP and CSA</w:t>
      </w:r>
      <w:r>
        <w:rPr>
          <w:spacing w:val="40"/>
          <w:sz w:val="22"/>
        </w:rPr>
        <w:t> </w:t>
      </w:r>
      <w:r>
        <w:rPr>
          <w:sz w:val="22"/>
        </w:rPr>
        <w:t>Budgets and Budget Narratives in March of the budget period</w:t>
      </w:r>
    </w:p>
    <w:p>
      <w:pPr>
        <w:pStyle w:val="ListParagraph"/>
        <w:numPr>
          <w:ilvl w:val="6"/>
          <w:numId w:val="65"/>
        </w:numPr>
        <w:tabs>
          <w:tab w:pos="3381" w:val="left" w:leader="none"/>
        </w:tabs>
        <w:spacing w:line="242" w:lineRule="auto" w:before="0" w:after="0"/>
        <w:ind w:left="3381" w:right="1093" w:hanging="361"/>
        <w:jc w:val="left"/>
        <w:rPr>
          <w:sz w:val="22"/>
        </w:rPr>
      </w:pPr>
      <w:r>
        <w:rPr>
          <w:sz w:val="22"/>
        </w:rPr>
        <w:t>The</w:t>
      </w:r>
      <w:r>
        <w:rPr>
          <w:spacing w:val="40"/>
          <w:sz w:val="22"/>
        </w:rPr>
        <w:t> </w:t>
      </w:r>
      <w:r>
        <w:rPr>
          <w:sz w:val="22"/>
        </w:rPr>
        <w:t>State</w:t>
      </w:r>
      <w:r>
        <w:rPr>
          <w:spacing w:val="40"/>
          <w:sz w:val="22"/>
        </w:rPr>
        <w:t> </w:t>
      </w:r>
      <w:r>
        <w:rPr>
          <w:sz w:val="22"/>
        </w:rPr>
        <w:t>anticipates</w:t>
      </w:r>
      <w:r>
        <w:rPr>
          <w:spacing w:val="40"/>
          <w:sz w:val="22"/>
        </w:rPr>
        <w:t> </w:t>
      </w:r>
      <w:r>
        <w:rPr>
          <w:sz w:val="22"/>
        </w:rPr>
        <w:t>making</w:t>
      </w:r>
      <w:r>
        <w:rPr>
          <w:spacing w:val="40"/>
          <w:sz w:val="22"/>
        </w:rPr>
        <w:t> </w:t>
      </w:r>
      <w:r>
        <w:rPr>
          <w:sz w:val="22"/>
        </w:rPr>
        <w:t>bi–annual</w:t>
      </w:r>
      <w:r>
        <w:rPr>
          <w:spacing w:val="40"/>
          <w:sz w:val="22"/>
        </w:rPr>
        <w:t> </w:t>
      </w:r>
      <w:r>
        <w:rPr>
          <w:sz w:val="22"/>
        </w:rPr>
        <w:t>infrastructure</w:t>
      </w:r>
      <w:r>
        <w:rPr>
          <w:spacing w:val="40"/>
          <w:sz w:val="22"/>
        </w:rPr>
        <w:t> </w:t>
      </w:r>
      <w:r>
        <w:rPr>
          <w:sz w:val="22"/>
        </w:rPr>
        <w:t>payments</w:t>
      </w:r>
      <w:r>
        <w:rPr>
          <w:spacing w:val="40"/>
          <w:sz w:val="22"/>
        </w:rPr>
        <w:t> </w:t>
      </w:r>
      <w:r>
        <w:rPr>
          <w:sz w:val="22"/>
        </w:rPr>
        <w:t>in</w:t>
      </w:r>
      <w:r>
        <w:rPr>
          <w:spacing w:val="40"/>
          <w:sz w:val="22"/>
        </w:rPr>
        <w:t> </w:t>
      </w:r>
      <w:r>
        <w:rPr>
          <w:sz w:val="22"/>
        </w:rPr>
        <w:t>April</w:t>
      </w:r>
      <w:r>
        <w:rPr>
          <w:spacing w:val="40"/>
          <w:sz w:val="22"/>
        </w:rPr>
        <w:t> </w:t>
      </w:r>
      <w:r>
        <w:rPr>
          <w:sz w:val="22"/>
        </w:rPr>
        <w:t>and October of the budget period and monthly care coordination payments</w:t>
      </w:r>
    </w:p>
    <w:p>
      <w:pPr>
        <w:pStyle w:val="ListParagraph"/>
        <w:numPr>
          <w:ilvl w:val="2"/>
          <w:numId w:val="65"/>
        </w:numPr>
        <w:tabs>
          <w:tab w:pos="1581" w:val="left" w:leader="none"/>
          <w:tab w:pos="1939" w:val="left" w:leader="none"/>
        </w:tabs>
        <w:spacing w:line="240" w:lineRule="auto" w:before="195" w:after="0"/>
        <w:ind w:left="1581" w:right="1094" w:hanging="361"/>
        <w:jc w:val="both"/>
        <w:rPr>
          <w:b/>
          <w:color w:val="4471C4"/>
          <w:sz w:val="22"/>
        </w:rPr>
      </w:pPr>
      <w:bookmarkStart w:name="3.4.5 Process for State Approval of Modi" w:id="1278"/>
      <w:bookmarkEnd w:id="1278"/>
      <w:r>
        <w:rPr/>
      </w:r>
      <w:bookmarkStart w:name="_bookmark33" w:id="1279"/>
      <w:bookmarkEnd w:id="1279"/>
      <w:r>
        <w:rPr/>
      </w:r>
      <w:r>
        <w:rPr>
          <w:b/>
          <w:color w:val="4471C4"/>
          <w:sz w:val="22"/>
        </w:rPr>
        <w:t>Process for State Approval of Modifications to Participation Plans, Budgets and Budget </w:t>
      </w:r>
      <w:r>
        <w:rPr>
          <w:b/>
          <w:color w:val="4471C4"/>
          <w:spacing w:val="-2"/>
          <w:sz w:val="22"/>
        </w:rPr>
        <w:t>Narratives</w:t>
      </w:r>
    </w:p>
    <w:p>
      <w:pPr>
        <w:spacing w:line="240" w:lineRule="auto" w:before="0"/>
        <w:ind w:left="1221" w:right="1092" w:firstLine="0"/>
        <w:jc w:val="both"/>
        <w:rPr>
          <w:sz w:val="22"/>
        </w:rPr>
      </w:pPr>
      <w:r>
        <w:rPr>
          <w:sz w:val="22"/>
        </w:rPr>
        <w:t>ACOs,</w:t>
      </w:r>
      <w:r>
        <w:rPr>
          <w:spacing w:val="-7"/>
          <w:sz w:val="22"/>
        </w:rPr>
        <w:t> </w:t>
      </w:r>
      <w:r>
        <w:rPr>
          <w:sz w:val="22"/>
        </w:rPr>
        <w:t>CPs</w:t>
      </w:r>
      <w:r>
        <w:rPr>
          <w:spacing w:val="-7"/>
          <w:sz w:val="22"/>
        </w:rPr>
        <w:t> </w:t>
      </w:r>
      <w:r>
        <w:rPr>
          <w:sz w:val="22"/>
        </w:rPr>
        <w:t>and</w:t>
      </w:r>
      <w:r>
        <w:rPr>
          <w:spacing w:val="-7"/>
          <w:sz w:val="22"/>
        </w:rPr>
        <w:t> </w:t>
      </w:r>
      <w:r>
        <w:rPr>
          <w:sz w:val="22"/>
        </w:rPr>
        <w:t>CSAs</w:t>
      </w:r>
      <w:r>
        <w:rPr>
          <w:spacing w:val="-7"/>
          <w:sz w:val="22"/>
        </w:rPr>
        <w:t> </w:t>
      </w:r>
      <w:r>
        <w:rPr>
          <w:sz w:val="22"/>
        </w:rPr>
        <w:t>may</w:t>
      </w:r>
      <w:r>
        <w:rPr>
          <w:spacing w:val="-10"/>
          <w:sz w:val="22"/>
        </w:rPr>
        <w:t> </w:t>
      </w:r>
      <w:r>
        <w:rPr>
          <w:sz w:val="22"/>
        </w:rPr>
        <w:t>submit</w:t>
      </w:r>
      <w:r>
        <w:rPr>
          <w:spacing w:val="-6"/>
          <w:sz w:val="22"/>
        </w:rPr>
        <w:t> </w:t>
      </w:r>
      <w:r>
        <w:rPr>
          <w:sz w:val="22"/>
        </w:rPr>
        <w:t>ad</w:t>
      </w:r>
      <w:r>
        <w:rPr>
          <w:spacing w:val="-7"/>
          <w:sz w:val="22"/>
        </w:rPr>
        <w:t> </w:t>
      </w:r>
      <w:r>
        <w:rPr>
          <w:sz w:val="22"/>
        </w:rPr>
        <w:t>hoc</w:t>
      </w:r>
      <w:r>
        <w:rPr>
          <w:spacing w:val="-9"/>
          <w:sz w:val="22"/>
        </w:rPr>
        <w:t> </w:t>
      </w:r>
      <w:r>
        <w:rPr>
          <w:sz w:val="22"/>
        </w:rPr>
        <w:t>requests</w:t>
      </w:r>
      <w:r>
        <w:rPr>
          <w:spacing w:val="-7"/>
          <w:sz w:val="22"/>
        </w:rPr>
        <w:t> </w:t>
      </w:r>
      <w:r>
        <w:rPr>
          <w:sz w:val="22"/>
        </w:rPr>
        <w:t>to</w:t>
      </w:r>
      <w:r>
        <w:rPr>
          <w:spacing w:val="-7"/>
          <w:sz w:val="22"/>
        </w:rPr>
        <w:t> </w:t>
      </w:r>
      <w:r>
        <w:rPr>
          <w:sz w:val="22"/>
        </w:rPr>
        <w:t>amend</w:t>
      </w:r>
      <w:r>
        <w:rPr>
          <w:spacing w:val="-7"/>
          <w:sz w:val="22"/>
        </w:rPr>
        <w:t> </w:t>
      </w:r>
      <w:r>
        <w:rPr>
          <w:sz w:val="22"/>
        </w:rPr>
        <w:t>their</w:t>
      </w:r>
      <w:r>
        <w:rPr>
          <w:spacing w:val="-6"/>
          <w:sz w:val="22"/>
        </w:rPr>
        <w:t> </w:t>
      </w:r>
      <w:r>
        <w:rPr>
          <w:sz w:val="22"/>
        </w:rPr>
        <w:t>Participation</w:t>
      </w:r>
      <w:r>
        <w:rPr>
          <w:spacing w:val="-7"/>
          <w:sz w:val="22"/>
        </w:rPr>
        <w:t> </w:t>
      </w:r>
      <w:r>
        <w:rPr>
          <w:sz w:val="22"/>
        </w:rPr>
        <w:t>Plans,</w:t>
      </w:r>
      <w:r>
        <w:rPr>
          <w:spacing w:val="-7"/>
          <w:sz w:val="22"/>
        </w:rPr>
        <w:t> </w:t>
      </w:r>
      <w:r>
        <w:rPr>
          <w:sz w:val="22"/>
        </w:rPr>
        <w:t>Budgets,</w:t>
      </w:r>
      <w:r>
        <w:rPr>
          <w:spacing w:val="-10"/>
          <w:sz w:val="22"/>
        </w:rPr>
        <w:t> </w:t>
      </w:r>
      <w:r>
        <w:rPr>
          <w:sz w:val="22"/>
        </w:rPr>
        <w:t>and</w:t>
      </w:r>
      <w:r>
        <w:rPr>
          <w:spacing w:val="-7"/>
          <w:sz w:val="22"/>
        </w:rPr>
        <w:t> </w:t>
      </w:r>
      <w:r>
        <w:rPr>
          <w:sz w:val="22"/>
        </w:rPr>
        <w:t>Budget Narratives</w:t>
      </w:r>
      <w:r>
        <w:rPr>
          <w:spacing w:val="-8"/>
          <w:sz w:val="22"/>
        </w:rPr>
        <w:t> </w:t>
      </w:r>
      <w:r>
        <w:rPr>
          <w:sz w:val="22"/>
        </w:rPr>
        <w:t>at</w:t>
      </w:r>
      <w:r>
        <w:rPr>
          <w:spacing w:val="-7"/>
          <w:sz w:val="22"/>
        </w:rPr>
        <w:t> </w:t>
      </w:r>
      <w:r>
        <w:rPr>
          <w:sz w:val="22"/>
        </w:rPr>
        <w:t>any</w:t>
      </w:r>
      <w:r>
        <w:rPr>
          <w:spacing w:val="-9"/>
          <w:sz w:val="22"/>
        </w:rPr>
        <w:t> </w:t>
      </w:r>
      <w:r>
        <w:rPr>
          <w:sz w:val="22"/>
        </w:rPr>
        <w:t>time</w:t>
      </w:r>
      <w:r>
        <w:rPr>
          <w:spacing w:val="-6"/>
          <w:sz w:val="22"/>
        </w:rPr>
        <w:t> </w:t>
      </w:r>
      <w:r>
        <w:rPr>
          <w:sz w:val="22"/>
        </w:rPr>
        <w:t>except</w:t>
      </w:r>
      <w:r>
        <w:rPr>
          <w:spacing w:val="-5"/>
          <w:sz w:val="22"/>
        </w:rPr>
        <w:t> </w:t>
      </w:r>
      <w:r>
        <w:rPr>
          <w:sz w:val="22"/>
        </w:rPr>
        <w:t>within</w:t>
      </w:r>
      <w:r>
        <w:rPr>
          <w:spacing w:val="-6"/>
          <w:sz w:val="22"/>
        </w:rPr>
        <w:t> </w:t>
      </w:r>
      <w:r>
        <w:rPr>
          <w:sz w:val="22"/>
        </w:rPr>
        <w:t>75</w:t>
      </w:r>
      <w:r>
        <w:rPr>
          <w:spacing w:val="-6"/>
          <w:sz w:val="22"/>
        </w:rPr>
        <w:t> </w:t>
      </w:r>
      <w:r>
        <w:rPr>
          <w:sz w:val="22"/>
        </w:rPr>
        <w:t>days</w:t>
      </w:r>
      <w:r>
        <w:rPr>
          <w:spacing w:val="-6"/>
          <w:sz w:val="22"/>
        </w:rPr>
        <w:t> </w:t>
      </w:r>
      <w:r>
        <w:rPr>
          <w:sz w:val="22"/>
        </w:rPr>
        <w:t>of</w:t>
      </w:r>
      <w:r>
        <w:rPr>
          <w:spacing w:val="-8"/>
          <w:sz w:val="22"/>
        </w:rPr>
        <w:t> </w:t>
      </w:r>
      <w:r>
        <w:rPr>
          <w:sz w:val="22"/>
        </w:rPr>
        <w:t>the</w:t>
      </w:r>
      <w:r>
        <w:rPr>
          <w:spacing w:val="-8"/>
          <w:sz w:val="22"/>
        </w:rPr>
        <w:t> </w:t>
      </w:r>
      <w:r>
        <w:rPr>
          <w:sz w:val="22"/>
        </w:rPr>
        <w:t>end</w:t>
      </w:r>
      <w:r>
        <w:rPr>
          <w:spacing w:val="-9"/>
          <w:sz w:val="22"/>
        </w:rPr>
        <w:t> </w:t>
      </w:r>
      <w:r>
        <w:rPr>
          <w:sz w:val="22"/>
        </w:rPr>
        <w:t>of</w:t>
      </w:r>
      <w:r>
        <w:rPr>
          <w:spacing w:val="-5"/>
          <w:sz w:val="22"/>
        </w:rPr>
        <w:t> </w:t>
      </w:r>
      <w:r>
        <w:rPr>
          <w:sz w:val="22"/>
        </w:rPr>
        <w:t>the</w:t>
      </w:r>
      <w:r>
        <w:rPr>
          <w:spacing w:val="-6"/>
          <w:sz w:val="22"/>
        </w:rPr>
        <w:t> </w:t>
      </w:r>
      <w:r>
        <w:rPr>
          <w:sz w:val="22"/>
        </w:rPr>
        <w:t>Budget</w:t>
      </w:r>
      <w:r>
        <w:rPr>
          <w:spacing w:val="-5"/>
          <w:sz w:val="22"/>
        </w:rPr>
        <w:t> </w:t>
      </w:r>
      <w:r>
        <w:rPr>
          <w:sz w:val="22"/>
        </w:rPr>
        <w:t>Period.</w:t>
      </w:r>
      <w:r>
        <w:rPr>
          <w:spacing w:val="40"/>
          <w:sz w:val="22"/>
        </w:rPr>
        <w:t> </w:t>
      </w:r>
      <w:r>
        <w:rPr>
          <w:sz w:val="22"/>
        </w:rPr>
        <w:t>ACOs,</w:t>
      </w:r>
      <w:r>
        <w:rPr>
          <w:spacing w:val="-6"/>
          <w:sz w:val="22"/>
        </w:rPr>
        <w:t> </w:t>
      </w:r>
      <w:r>
        <w:rPr>
          <w:sz w:val="22"/>
        </w:rPr>
        <w:t>CPs</w:t>
      </w:r>
      <w:r>
        <w:rPr>
          <w:spacing w:val="-6"/>
          <w:sz w:val="22"/>
        </w:rPr>
        <w:t> </w:t>
      </w:r>
      <w:r>
        <w:rPr>
          <w:sz w:val="22"/>
        </w:rPr>
        <w:t>or</w:t>
      </w:r>
      <w:r>
        <w:rPr>
          <w:spacing w:val="-8"/>
          <w:sz w:val="22"/>
        </w:rPr>
        <w:t> </w:t>
      </w:r>
      <w:r>
        <w:rPr>
          <w:sz w:val="22"/>
        </w:rPr>
        <w:t>CSAs</w:t>
      </w:r>
      <w:r>
        <w:rPr>
          <w:spacing w:val="-6"/>
          <w:sz w:val="22"/>
        </w:rPr>
        <w:t> </w:t>
      </w:r>
      <w:r>
        <w:rPr>
          <w:sz w:val="22"/>
        </w:rPr>
        <w:t>will</w:t>
      </w:r>
      <w:r>
        <w:rPr>
          <w:spacing w:val="-5"/>
          <w:sz w:val="22"/>
        </w:rPr>
        <w:t> </w:t>
      </w:r>
      <w:r>
        <w:rPr>
          <w:sz w:val="22"/>
        </w:rPr>
        <w:t>not be allowed to materially deviate from their approved spending plans without formally requesting such modification</w:t>
      </w:r>
      <w:r>
        <w:rPr>
          <w:spacing w:val="-9"/>
          <w:sz w:val="22"/>
        </w:rPr>
        <w:t> </w:t>
      </w:r>
      <w:r>
        <w:rPr>
          <w:sz w:val="22"/>
        </w:rPr>
        <w:t>and</w:t>
      </w:r>
      <w:r>
        <w:rPr>
          <w:spacing w:val="-9"/>
          <w:sz w:val="22"/>
        </w:rPr>
        <w:t> </w:t>
      </w:r>
      <w:r>
        <w:rPr>
          <w:sz w:val="22"/>
        </w:rPr>
        <w:t>having</w:t>
      </w:r>
      <w:r>
        <w:rPr>
          <w:spacing w:val="-11"/>
          <w:sz w:val="22"/>
        </w:rPr>
        <w:t> </w:t>
      </w:r>
      <w:r>
        <w:rPr>
          <w:sz w:val="22"/>
        </w:rPr>
        <w:t>the</w:t>
      </w:r>
      <w:r>
        <w:rPr>
          <w:spacing w:val="-8"/>
          <w:sz w:val="22"/>
        </w:rPr>
        <w:t> </w:t>
      </w:r>
      <w:r>
        <w:rPr>
          <w:sz w:val="22"/>
        </w:rPr>
        <w:t>modification</w:t>
      </w:r>
      <w:r>
        <w:rPr>
          <w:spacing w:val="-9"/>
          <w:sz w:val="22"/>
        </w:rPr>
        <w:t> </w:t>
      </w:r>
      <w:r>
        <w:rPr>
          <w:sz w:val="22"/>
        </w:rPr>
        <w:t>approved</w:t>
      </w:r>
      <w:r>
        <w:rPr>
          <w:spacing w:val="-9"/>
          <w:sz w:val="22"/>
        </w:rPr>
        <w:t> </w:t>
      </w:r>
      <w:r>
        <w:rPr>
          <w:sz w:val="22"/>
        </w:rPr>
        <w:t>by</w:t>
      </w:r>
      <w:r>
        <w:rPr>
          <w:spacing w:val="-11"/>
          <w:sz w:val="22"/>
        </w:rPr>
        <w:t> </w:t>
      </w:r>
      <w:r>
        <w:rPr>
          <w:sz w:val="22"/>
        </w:rPr>
        <w:t>the</w:t>
      </w:r>
      <w:r>
        <w:rPr>
          <w:spacing w:val="-8"/>
          <w:sz w:val="22"/>
        </w:rPr>
        <w:t> </w:t>
      </w:r>
      <w:r>
        <w:rPr>
          <w:sz w:val="22"/>
        </w:rPr>
        <w:t>State.</w:t>
      </w:r>
      <w:r>
        <w:rPr>
          <w:spacing w:val="37"/>
          <w:sz w:val="22"/>
        </w:rPr>
        <w:t> </w:t>
      </w:r>
      <w:r>
        <w:rPr>
          <w:sz w:val="22"/>
        </w:rPr>
        <w:t>The</w:t>
      </w:r>
      <w:r>
        <w:rPr>
          <w:spacing w:val="-8"/>
          <w:sz w:val="22"/>
        </w:rPr>
        <w:t> </w:t>
      </w:r>
      <w:r>
        <w:rPr>
          <w:sz w:val="22"/>
        </w:rPr>
        <w:t>State</w:t>
      </w:r>
      <w:r>
        <w:rPr>
          <w:spacing w:val="-8"/>
          <w:sz w:val="22"/>
        </w:rPr>
        <w:t> </w:t>
      </w:r>
      <w:r>
        <w:rPr>
          <w:sz w:val="22"/>
        </w:rPr>
        <w:t>has</w:t>
      </w:r>
      <w:r>
        <w:rPr>
          <w:spacing w:val="-8"/>
          <w:sz w:val="22"/>
        </w:rPr>
        <w:t> </w:t>
      </w:r>
      <w:r>
        <w:rPr>
          <w:sz w:val="22"/>
        </w:rPr>
        <w:t>sole</w:t>
      </w:r>
      <w:r>
        <w:rPr>
          <w:spacing w:val="-11"/>
          <w:sz w:val="22"/>
        </w:rPr>
        <w:t> </w:t>
      </w:r>
      <w:r>
        <w:rPr>
          <w:sz w:val="22"/>
        </w:rPr>
        <w:t>discretion</w:t>
      </w:r>
      <w:r>
        <w:rPr>
          <w:spacing w:val="-11"/>
          <w:sz w:val="22"/>
        </w:rPr>
        <w:t> </w:t>
      </w:r>
      <w:r>
        <w:rPr>
          <w:sz w:val="22"/>
        </w:rPr>
        <w:t>to</w:t>
      </w:r>
      <w:r>
        <w:rPr>
          <w:spacing w:val="-9"/>
          <w:sz w:val="22"/>
        </w:rPr>
        <w:t> </w:t>
      </w:r>
      <w:r>
        <w:rPr>
          <w:sz w:val="22"/>
        </w:rPr>
        <w:t>determine whether an amendment request is a material deviation,</w:t>
      </w:r>
      <w:r>
        <w:rPr>
          <w:spacing w:val="-2"/>
          <w:sz w:val="22"/>
        </w:rPr>
        <w:t> </w:t>
      </w:r>
      <w:r>
        <w:rPr>
          <w:sz w:val="22"/>
        </w:rPr>
        <w:t>and thus a modification. In addition, the State may require ACOs, CPs or CSAs to modify their Full Participation Plans, Budgets or Budget Narratives in certain circumstances (e.g., if a primary care practice where an ACO had previously proposed making investments goes out of business).</w:t>
      </w:r>
    </w:p>
    <w:p>
      <w:pPr>
        <w:spacing w:before="158"/>
        <w:ind w:left="1221" w:right="0" w:firstLine="0"/>
        <w:jc w:val="both"/>
        <w:rPr>
          <w:sz w:val="22"/>
        </w:rPr>
      </w:pPr>
      <w:r>
        <w:rPr>
          <w:sz w:val="22"/>
        </w:rPr>
        <w:t>The</w:t>
      </w:r>
      <w:r>
        <w:rPr>
          <w:spacing w:val="-7"/>
          <w:sz w:val="22"/>
        </w:rPr>
        <w:t> </w:t>
      </w:r>
      <w:r>
        <w:rPr>
          <w:sz w:val="22"/>
        </w:rPr>
        <w:t>State’s</w:t>
      </w:r>
      <w:r>
        <w:rPr>
          <w:spacing w:val="-3"/>
          <w:sz w:val="22"/>
        </w:rPr>
        <w:t> </w:t>
      </w:r>
      <w:r>
        <w:rPr>
          <w:sz w:val="22"/>
        </w:rPr>
        <w:t>process</w:t>
      </w:r>
      <w:r>
        <w:rPr>
          <w:spacing w:val="-4"/>
          <w:sz w:val="22"/>
        </w:rPr>
        <w:t> </w:t>
      </w:r>
      <w:r>
        <w:rPr>
          <w:sz w:val="22"/>
        </w:rPr>
        <w:t>for</w:t>
      </w:r>
      <w:r>
        <w:rPr>
          <w:spacing w:val="-5"/>
          <w:sz w:val="22"/>
        </w:rPr>
        <w:t> </w:t>
      </w:r>
      <w:r>
        <w:rPr>
          <w:sz w:val="22"/>
        </w:rPr>
        <w:t>submission,</w:t>
      </w:r>
      <w:r>
        <w:rPr>
          <w:spacing w:val="-2"/>
          <w:sz w:val="22"/>
        </w:rPr>
        <w:t> </w:t>
      </w:r>
      <w:r>
        <w:rPr>
          <w:sz w:val="22"/>
        </w:rPr>
        <w:t>review</w:t>
      </w:r>
      <w:r>
        <w:rPr>
          <w:spacing w:val="-4"/>
          <w:sz w:val="22"/>
        </w:rPr>
        <w:t> </w:t>
      </w:r>
      <w:r>
        <w:rPr>
          <w:sz w:val="22"/>
        </w:rPr>
        <w:t>and</w:t>
      </w:r>
      <w:r>
        <w:rPr>
          <w:spacing w:val="-5"/>
          <w:sz w:val="22"/>
        </w:rPr>
        <w:t> </w:t>
      </w:r>
      <w:r>
        <w:rPr>
          <w:sz w:val="22"/>
        </w:rPr>
        <w:t>approval</w:t>
      </w:r>
      <w:r>
        <w:rPr>
          <w:spacing w:val="-2"/>
          <w:sz w:val="22"/>
        </w:rPr>
        <w:t> </w:t>
      </w:r>
      <w:r>
        <w:rPr>
          <w:sz w:val="22"/>
        </w:rPr>
        <w:t>of</w:t>
      </w:r>
      <w:r>
        <w:rPr>
          <w:spacing w:val="-2"/>
          <w:sz w:val="22"/>
        </w:rPr>
        <w:t> </w:t>
      </w:r>
      <w:r>
        <w:rPr>
          <w:sz w:val="22"/>
        </w:rPr>
        <w:t>modification</w:t>
      </w:r>
      <w:r>
        <w:rPr>
          <w:spacing w:val="-5"/>
          <w:sz w:val="22"/>
        </w:rPr>
        <w:t> </w:t>
      </w:r>
      <w:r>
        <w:rPr>
          <w:sz w:val="22"/>
        </w:rPr>
        <w:t>requests</w:t>
      </w:r>
      <w:r>
        <w:rPr>
          <w:spacing w:val="-5"/>
          <w:sz w:val="22"/>
        </w:rPr>
        <w:t> </w:t>
      </w:r>
      <w:r>
        <w:rPr>
          <w:sz w:val="22"/>
        </w:rPr>
        <w:t>will</w:t>
      </w:r>
      <w:r>
        <w:rPr>
          <w:spacing w:val="-4"/>
          <w:sz w:val="22"/>
        </w:rPr>
        <w:t> </w:t>
      </w:r>
      <w:r>
        <w:rPr>
          <w:sz w:val="22"/>
        </w:rPr>
        <w:t>be</w:t>
      </w:r>
      <w:r>
        <w:rPr>
          <w:spacing w:val="-3"/>
          <w:sz w:val="22"/>
        </w:rPr>
        <w:t> </w:t>
      </w:r>
      <w:r>
        <w:rPr>
          <w:sz w:val="22"/>
        </w:rPr>
        <w:t>as</w:t>
      </w:r>
      <w:r>
        <w:rPr>
          <w:spacing w:val="-2"/>
          <w:sz w:val="22"/>
        </w:rPr>
        <w:t> follows:</w:t>
      </w:r>
    </w:p>
    <w:p>
      <w:pPr>
        <w:pStyle w:val="ListParagraph"/>
        <w:numPr>
          <w:ilvl w:val="0"/>
          <w:numId w:val="67"/>
        </w:numPr>
        <w:tabs>
          <w:tab w:pos="1988" w:val="left" w:leader="none"/>
        </w:tabs>
        <w:spacing w:line="269" w:lineRule="exact" w:before="2" w:after="0"/>
        <w:ind w:left="1988" w:right="0" w:hanging="359"/>
        <w:jc w:val="both"/>
        <w:rPr>
          <w:sz w:val="22"/>
        </w:rPr>
      </w:pPr>
      <w:r>
        <w:rPr>
          <w:sz w:val="22"/>
        </w:rPr>
        <w:t>ACOs,</w:t>
      </w:r>
      <w:r>
        <w:rPr>
          <w:spacing w:val="-4"/>
          <w:sz w:val="22"/>
        </w:rPr>
        <w:t> </w:t>
      </w:r>
      <w:r>
        <w:rPr>
          <w:sz w:val="22"/>
        </w:rPr>
        <w:t>CPs</w:t>
      </w:r>
      <w:r>
        <w:rPr>
          <w:spacing w:val="-3"/>
          <w:sz w:val="22"/>
        </w:rPr>
        <w:t> </w:t>
      </w:r>
      <w:r>
        <w:rPr>
          <w:sz w:val="22"/>
        </w:rPr>
        <w:t>or</w:t>
      </w:r>
      <w:r>
        <w:rPr>
          <w:spacing w:val="-3"/>
          <w:sz w:val="22"/>
        </w:rPr>
        <w:t> </w:t>
      </w:r>
      <w:r>
        <w:rPr>
          <w:sz w:val="22"/>
        </w:rPr>
        <w:t>CSAs</w:t>
      </w:r>
      <w:r>
        <w:rPr>
          <w:spacing w:val="-3"/>
          <w:sz w:val="22"/>
        </w:rPr>
        <w:t> </w:t>
      </w:r>
      <w:r>
        <w:rPr>
          <w:sz w:val="22"/>
        </w:rPr>
        <w:t>submit</w:t>
      </w:r>
      <w:r>
        <w:rPr>
          <w:spacing w:val="-3"/>
          <w:sz w:val="22"/>
        </w:rPr>
        <w:t> </w:t>
      </w:r>
      <w:r>
        <w:rPr>
          <w:sz w:val="22"/>
        </w:rPr>
        <w:t>a</w:t>
      </w:r>
      <w:r>
        <w:rPr>
          <w:spacing w:val="-3"/>
          <w:sz w:val="22"/>
        </w:rPr>
        <w:t> </w:t>
      </w:r>
      <w:r>
        <w:rPr>
          <w:sz w:val="22"/>
        </w:rPr>
        <w:t>modification</w:t>
      </w:r>
      <w:r>
        <w:rPr>
          <w:spacing w:val="-3"/>
          <w:sz w:val="22"/>
        </w:rPr>
        <w:t> </w:t>
      </w:r>
      <w:r>
        <w:rPr>
          <w:spacing w:val="-2"/>
          <w:sz w:val="22"/>
        </w:rPr>
        <w:t>request</w:t>
      </w:r>
    </w:p>
    <w:p>
      <w:pPr>
        <w:pStyle w:val="ListParagraph"/>
        <w:numPr>
          <w:ilvl w:val="0"/>
          <w:numId w:val="67"/>
        </w:numPr>
        <w:tabs>
          <w:tab w:pos="1987" w:val="left" w:leader="none"/>
          <w:tab w:pos="1989" w:val="left" w:leader="none"/>
        </w:tabs>
        <w:spacing w:line="240" w:lineRule="auto" w:before="0" w:after="0"/>
        <w:ind w:left="1989" w:right="1093" w:hanging="361"/>
        <w:jc w:val="both"/>
        <w:rPr>
          <w:sz w:val="22"/>
        </w:rPr>
      </w:pPr>
      <w:r>
        <w:rPr>
          <w:sz w:val="22"/>
        </w:rPr>
        <w:t>The</w:t>
      </w:r>
      <w:r>
        <w:rPr>
          <w:spacing w:val="-4"/>
          <w:sz w:val="22"/>
        </w:rPr>
        <w:t> </w:t>
      </w:r>
      <w:r>
        <w:rPr>
          <w:sz w:val="22"/>
        </w:rPr>
        <w:t>State</w:t>
      </w:r>
      <w:r>
        <w:rPr>
          <w:spacing w:val="-4"/>
          <w:sz w:val="22"/>
        </w:rPr>
        <w:t> </w:t>
      </w:r>
      <w:r>
        <w:rPr>
          <w:sz w:val="22"/>
        </w:rPr>
        <w:t>and</w:t>
      </w:r>
      <w:r>
        <w:rPr>
          <w:spacing w:val="-5"/>
          <w:sz w:val="22"/>
        </w:rPr>
        <w:t> </w:t>
      </w:r>
      <w:r>
        <w:rPr>
          <w:sz w:val="22"/>
        </w:rPr>
        <w:t>Independent</w:t>
      </w:r>
      <w:r>
        <w:rPr>
          <w:spacing w:val="-6"/>
          <w:sz w:val="22"/>
        </w:rPr>
        <w:t> </w:t>
      </w:r>
      <w:r>
        <w:rPr>
          <w:sz w:val="22"/>
        </w:rPr>
        <w:t>Assessor</w:t>
      </w:r>
      <w:r>
        <w:rPr>
          <w:spacing w:val="-4"/>
          <w:sz w:val="22"/>
        </w:rPr>
        <w:t> </w:t>
      </w:r>
      <w:r>
        <w:rPr>
          <w:sz w:val="22"/>
        </w:rPr>
        <w:t>review</w:t>
      </w:r>
      <w:r>
        <w:rPr>
          <w:spacing w:val="-6"/>
          <w:sz w:val="22"/>
        </w:rPr>
        <w:t> </w:t>
      </w:r>
      <w:r>
        <w:rPr>
          <w:sz w:val="22"/>
        </w:rPr>
        <w:t>the</w:t>
      </w:r>
      <w:r>
        <w:rPr>
          <w:spacing w:val="-4"/>
          <w:sz w:val="22"/>
        </w:rPr>
        <w:t> </w:t>
      </w:r>
      <w:r>
        <w:rPr>
          <w:sz w:val="22"/>
        </w:rPr>
        <w:t>modification</w:t>
      </w:r>
      <w:r>
        <w:rPr>
          <w:spacing w:val="-5"/>
          <w:sz w:val="22"/>
        </w:rPr>
        <w:t> </w:t>
      </w:r>
      <w:r>
        <w:rPr>
          <w:sz w:val="22"/>
        </w:rPr>
        <w:t>request</w:t>
      </w:r>
      <w:r>
        <w:rPr>
          <w:spacing w:val="-4"/>
          <w:sz w:val="22"/>
        </w:rPr>
        <w:t> </w:t>
      </w:r>
      <w:r>
        <w:rPr>
          <w:sz w:val="22"/>
        </w:rPr>
        <w:t>in</w:t>
      </w:r>
      <w:r>
        <w:rPr>
          <w:spacing w:val="-5"/>
          <w:sz w:val="22"/>
        </w:rPr>
        <w:t> </w:t>
      </w:r>
      <w:r>
        <w:rPr>
          <w:sz w:val="22"/>
        </w:rPr>
        <w:t>parallel.</w:t>
      </w:r>
      <w:r>
        <w:rPr>
          <w:spacing w:val="-5"/>
          <w:sz w:val="22"/>
        </w:rPr>
        <w:t> </w:t>
      </w:r>
      <w:r>
        <w:rPr>
          <w:sz w:val="22"/>
        </w:rPr>
        <w:t>The</w:t>
      </w:r>
      <w:r>
        <w:rPr>
          <w:spacing w:val="-4"/>
          <w:sz w:val="22"/>
        </w:rPr>
        <w:t> </w:t>
      </w:r>
      <w:r>
        <w:rPr>
          <w:sz w:val="22"/>
        </w:rPr>
        <w:t>State</w:t>
      </w:r>
      <w:r>
        <w:rPr>
          <w:spacing w:val="-4"/>
          <w:sz w:val="22"/>
        </w:rPr>
        <w:t> </w:t>
      </w:r>
      <w:r>
        <w:rPr>
          <w:sz w:val="22"/>
        </w:rPr>
        <w:t>intends to complete its review of modification requests, including evaluating the Independent Assessor’s recommendations, within 45 calendar days of their submission. Further requests for additional information and resubmissions may require additional time.</w:t>
      </w:r>
    </w:p>
    <w:p>
      <w:pPr>
        <w:pStyle w:val="ListParagraph"/>
        <w:numPr>
          <w:ilvl w:val="0"/>
          <w:numId w:val="67"/>
        </w:numPr>
        <w:tabs>
          <w:tab w:pos="1988" w:val="left" w:leader="none"/>
        </w:tabs>
        <w:spacing w:line="240" w:lineRule="auto" w:before="198" w:after="0"/>
        <w:ind w:left="1988" w:right="0" w:hanging="359"/>
        <w:jc w:val="both"/>
        <w:rPr>
          <w:sz w:val="22"/>
        </w:rPr>
      </w:pPr>
      <w:r>
        <w:rPr>
          <w:sz w:val="22"/>
        </w:rPr>
        <w:t>At</w:t>
      </w:r>
      <w:r>
        <w:rPr>
          <w:spacing w:val="-4"/>
          <w:sz w:val="22"/>
        </w:rPr>
        <w:t> </w:t>
      </w:r>
      <w:r>
        <w:rPr>
          <w:sz w:val="22"/>
        </w:rPr>
        <w:t>the</w:t>
      </w:r>
      <w:r>
        <w:rPr>
          <w:spacing w:val="-5"/>
          <w:sz w:val="22"/>
        </w:rPr>
        <w:t> </w:t>
      </w:r>
      <w:r>
        <w:rPr>
          <w:sz w:val="22"/>
        </w:rPr>
        <w:t>end</w:t>
      </w:r>
      <w:r>
        <w:rPr>
          <w:spacing w:val="-3"/>
          <w:sz w:val="22"/>
        </w:rPr>
        <w:t> </w:t>
      </w:r>
      <w:r>
        <w:rPr>
          <w:sz w:val="22"/>
        </w:rPr>
        <w:t>of</w:t>
      </w:r>
      <w:r>
        <w:rPr>
          <w:spacing w:val="-2"/>
          <w:sz w:val="22"/>
        </w:rPr>
        <w:t> </w:t>
      </w:r>
      <w:r>
        <w:rPr>
          <w:sz w:val="22"/>
        </w:rPr>
        <w:t>this</w:t>
      </w:r>
      <w:r>
        <w:rPr>
          <w:spacing w:val="-4"/>
          <w:sz w:val="22"/>
        </w:rPr>
        <w:t> </w:t>
      </w:r>
      <w:r>
        <w:rPr>
          <w:sz w:val="22"/>
        </w:rPr>
        <w:t>review</w:t>
      </w:r>
      <w:r>
        <w:rPr>
          <w:spacing w:val="-4"/>
          <w:sz w:val="22"/>
        </w:rPr>
        <w:t> </w:t>
      </w:r>
      <w:r>
        <w:rPr>
          <w:sz w:val="22"/>
        </w:rPr>
        <w:t>process,</w:t>
      </w:r>
      <w:r>
        <w:rPr>
          <w:spacing w:val="-3"/>
          <w:sz w:val="22"/>
        </w:rPr>
        <w:t> </w:t>
      </w:r>
      <w:r>
        <w:rPr>
          <w:sz w:val="22"/>
        </w:rPr>
        <w:t>the</w:t>
      </w:r>
      <w:r>
        <w:rPr>
          <w:spacing w:val="-3"/>
          <w:sz w:val="22"/>
        </w:rPr>
        <w:t> </w:t>
      </w:r>
      <w:r>
        <w:rPr>
          <w:sz w:val="22"/>
        </w:rPr>
        <w:t>State</w:t>
      </w:r>
      <w:r>
        <w:rPr>
          <w:spacing w:val="-5"/>
          <w:sz w:val="22"/>
        </w:rPr>
        <w:t> </w:t>
      </w:r>
      <w:r>
        <w:rPr>
          <w:sz w:val="22"/>
        </w:rPr>
        <w:t>approves,</w:t>
      </w:r>
      <w:r>
        <w:rPr>
          <w:spacing w:val="-2"/>
          <w:sz w:val="22"/>
        </w:rPr>
        <w:t> </w:t>
      </w:r>
      <w:r>
        <w:rPr>
          <w:sz w:val="22"/>
        </w:rPr>
        <w:t>denies</w:t>
      </w:r>
      <w:r>
        <w:rPr>
          <w:spacing w:val="-3"/>
          <w:sz w:val="22"/>
        </w:rPr>
        <w:t> </w:t>
      </w:r>
      <w:r>
        <w:rPr>
          <w:sz w:val="22"/>
        </w:rPr>
        <w:t>or</w:t>
      </w:r>
      <w:r>
        <w:rPr>
          <w:spacing w:val="-5"/>
          <w:sz w:val="22"/>
        </w:rPr>
        <w:t> </w:t>
      </w:r>
      <w:r>
        <w:rPr>
          <w:sz w:val="22"/>
        </w:rPr>
        <w:t>requests</w:t>
      </w:r>
      <w:r>
        <w:rPr>
          <w:spacing w:val="-3"/>
          <w:sz w:val="22"/>
        </w:rPr>
        <w:t> </w:t>
      </w:r>
      <w:r>
        <w:rPr>
          <w:sz w:val="22"/>
        </w:rPr>
        <w:t>additional</w:t>
      </w:r>
      <w:r>
        <w:rPr>
          <w:spacing w:val="-4"/>
          <w:sz w:val="22"/>
        </w:rPr>
        <w:t> </w:t>
      </w:r>
      <w:r>
        <w:rPr>
          <w:spacing w:val="-2"/>
          <w:sz w:val="22"/>
        </w:rPr>
        <w:t>information</w:t>
      </w:r>
    </w:p>
    <w:p>
      <w:pPr>
        <w:pStyle w:val="ListParagraph"/>
        <w:numPr>
          <w:ilvl w:val="0"/>
          <w:numId w:val="67"/>
        </w:numPr>
        <w:tabs>
          <w:tab w:pos="1988" w:val="left" w:leader="none"/>
          <w:tab w:pos="1990" w:val="left" w:leader="none"/>
        </w:tabs>
        <w:spacing w:line="240" w:lineRule="auto" w:before="201" w:after="0"/>
        <w:ind w:left="1990" w:right="1096" w:hanging="361"/>
        <w:jc w:val="both"/>
        <w:rPr>
          <w:sz w:val="22"/>
        </w:rPr>
      </w:pPr>
      <w:r>
        <w:rPr>
          <w:sz w:val="22"/>
        </w:rPr>
        <w:t>The State therefore anticipates completing approvals of modification requests within 45 calendar days of requesting them from ACOs, CPs and CSAs</w:t>
      </w:r>
    </w:p>
    <w:p>
      <w:pPr>
        <w:spacing w:before="196"/>
        <w:ind w:left="1222" w:right="1093" w:firstLine="0"/>
        <w:jc w:val="both"/>
        <w:rPr>
          <w:sz w:val="22"/>
        </w:rPr>
      </w:pPr>
      <w:r>
        <w:rPr>
          <w:sz w:val="22"/>
        </w:rPr>
        <w:t>If</w:t>
      </w:r>
      <w:r>
        <w:rPr>
          <w:spacing w:val="-14"/>
          <w:sz w:val="22"/>
        </w:rPr>
        <w:t> </w:t>
      </w:r>
      <w:r>
        <w:rPr>
          <w:sz w:val="22"/>
        </w:rPr>
        <w:t>the</w:t>
      </w:r>
      <w:r>
        <w:rPr>
          <w:spacing w:val="-11"/>
          <w:sz w:val="22"/>
        </w:rPr>
        <w:t> </w:t>
      </w:r>
      <w:r>
        <w:rPr>
          <w:sz w:val="22"/>
        </w:rPr>
        <w:t>State</w:t>
      </w:r>
      <w:r>
        <w:rPr>
          <w:spacing w:val="-13"/>
          <w:sz w:val="22"/>
        </w:rPr>
        <w:t> </w:t>
      </w:r>
      <w:r>
        <w:rPr>
          <w:sz w:val="22"/>
        </w:rPr>
        <w:t>denies</w:t>
      </w:r>
      <w:r>
        <w:rPr>
          <w:spacing w:val="-14"/>
          <w:sz w:val="22"/>
        </w:rPr>
        <w:t> </w:t>
      </w:r>
      <w:r>
        <w:rPr>
          <w:sz w:val="22"/>
        </w:rPr>
        <w:t>the</w:t>
      </w:r>
      <w:r>
        <w:rPr>
          <w:spacing w:val="-14"/>
          <w:sz w:val="22"/>
        </w:rPr>
        <w:t> </w:t>
      </w:r>
      <w:r>
        <w:rPr>
          <w:sz w:val="22"/>
        </w:rPr>
        <w:t>modification</w:t>
      </w:r>
      <w:r>
        <w:rPr>
          <w:spacing w:val="-12"/>
          <w:sz w:val="22"/>
        </w:rPr>
        <w:t> </w:t>
      </w:r>
      <w:r>
        <w:rPr>
          <w:sz w:val="22"/>
        </w:rPr>
        <w:t>request,</w:t>
      </w:r>
      <w:r>
        <w:rPr>
          <w:spacing w:val="-14"/>
          <w:sz w:val="22"/>
        </w:rPr>
        <w:t> </w:t>
      </w:r>
      <w:r>
        <w:rPr>
          <w:sz w:val="22"/>
        </w:rPr>
        <w:t>the</w:t>
      </w:r>
      <w:r>
        <w:rPr>
          <w:spacing w:val="-12"/>
          <w:sz w:val="22"/>
        </w:rPr>
        <w:t> </w:t>
      </w:r>
      <w:r>
        <w:rPr>
          <w:sz w:val="22"/>
        </w:rPr>
        <w:t>State</w:t>
      </w:r>
      <w:r>
        <w:rPr>
          <w:spacing w:val="-14"/>
          <w:sz w:val="22"/>
        </w:rPr>
        <w:t> </w:t>
      </w:r>
      <w:r>
        <w:rPr>
          <w:sz w:val="22"/>
        </w:rPr>
        <w:t>and</w:t>
      </w:r>
      <w:r>
        <w:rPr>
          <w:spacing w:val="-12"/>
          <w:sz w:val="22"/>
        </w:rPr>
        <w:t> </w:t>
      </w:r>
      <w:r>
        <w:rPr>
          <w:sz w:val="22"/>
        </w:rPr>
        <w:t>Independent</w:t>
      </w:r>
      <w:r>
        <w:rPr>
          <w:spacing w:val="-12"/>
          <w:sz w:val="22"/>
        </w:rPr>
        <w:t> </w:t>
      </w:r>
      <w:r>
        <w:rPr>
          <w:sz w:val="22"/>
        </w:rPr>
        <w:t>Assessor</w:t>
      </w:r>
      <w:r>
        <w:rPr>
          <w:spacing w:val="-14"/>
          <w:sz w:val="22"/>
        </w:rPr>
        <w:t> </w:t>
      </w:r>
      <w:r>
        <w:rPr>
          <w:sz w:val="22"/>
        </w:rPr>
        <w:t>will</w:t>
      </w:r>
      <w:r>
        <w:rPr>
          <w:spacing w:val="-13"/>
          <w:sz w:val="22"/>
        </w:rPr>
        <w:t> </w:t>
      </w:r>
      <w:r>
        <w:rPr>
          <w:sz w:val="22"/>
        </w:rPr>
        <w:t>provide</w:t>
      </w:r>
      <w:r>
        <w:rPr>
          <w:spacing w:val="-14"/>
          <w:sz w:val="22"/>
        </w:rPr>
        <w:t> </w:t>
      </w:r>
      <w:r>
        <w:rPr>
          <w:sz w:val="22"/>
        </w:rPr>
        <w:t>feedback</w:t>
      </w:r>
      <w:r>
        <w:rPr>
          <w:spacing w:val="-14"/>
          <w:sz w:val="22"/>
        </w:rPr>
        <w:t> </w:t>
      </w:r>
      <w:r>
        <w:rPr>
          <w:sz w:val="22"/>
        </w:rPr>
        <w:t>about why</w:t>
      </w:r>
      <w:r>
        <w:rPr>
          <w:spacing w:val="-6"/>
          <w:sz w:val="22"/>
        </w:rPr>
        <w:t> </w:t>
      </w:r>
      <w:r>
        <w:rPr>
          <w:sz w:val="22"/>
        </w:rPr>
        <w:t>the</w:t>
      </w:r>
      <w:r>
        <w:rPr>
          <w:spacing w:val="-3"/>
          <w:sz w:val="22"/>
        </w:rPr>
        <w:t> </w:t>
      </w:r>
      <w:r>
        <w:rPr>
          <w:sz w:val="22"/>
        </w:rPr>
        <w:t>request</w:t>
      </w:r>
      <w:r>
        <w:rPr>
          <w:spacing w:val="-5"/>
          <w:sz w:val="22"/>
        </w:rPr>
        <w:t> </w:t>
      </w:r>
      <w:r>
        <w:rPr>
          <w:sz w:val="22"/>
        </w:rPr>
        <w:t>was</w:t>
      </w:r>
      <w:r>
        <w:rPr>
          <w:spacing w:val="-2"/>
          <w:sz w:val="22"/>
        </w:rPr>
        <w:t> </w:t>
      </w:r>
      <w:r>
        <w:rPr>
          <w:sz w:val="22"/>
        </w:rPr>
        <w:t>denied,</w:t>
      </w:r>
      <w:r>
        <w:rPr>
          <w:spacing w:val="-3"/>
          <w:sz w:val="22"/>
        </w:rPr>
        <w:t> </w:t>
      </w:r>
      <w:r>
        <w:rPr>
          <w:sz w:val="22"/>
        </w:rPr>
        <w:t>and</w:t>
      </w:r>
      <w:r>
        <w:rPr>
          <w:spacing w:val="-6"/>
          <w:sz w:val="22"/>
        </w:rPr>
        <w:t> </w:t>
      </w:r>
      <w:r>
        <w:rPr>
          <w:sz w:val="22"/>
        </w:rPr>
        <w:t>the</w:t>
      </w:r>
      <w:r>
        <w:rPr>
          <w:spacing w:val="-4"/>
          <w:sz w:val="22"/>
        </w:rPr>
        <w:t> </w:t>
      </w:r>
      <w:r>
        <w:rPr>
          <w:sz w:val="22"/>
        </w:rPr>
        <w:t>State</w:t>
      </w:r>
      <w:r>
        <w:rPr>
          <w:spacing w:val="-3"/>
          <w:sz w:val="22"/>
        </w:rPr>
        <w:t> </w:t>
      </w:r>
      <w:r>
        <w:rPr>
          <w:sz w:val="22"/>
        </w:rPr>
        <w:t>may</w:t>
      </w:r>
      <w:r>
        <w:rPr>
          <w:spacing w:val="-6"/>
          <w:sz w:val="22"/>
        </w:rPr>
        <w:t> </w:t>
      </w:r>
      <w:r>
        <w:rPr>
          <w:sz w:val="22"/>
        </w:rPr>
        <w:t>allow</w:t>
      </w:r>
      <w:r>
        <w:rPr>
          <w:spacing w:val="-6"/>
          <w:sz w:val="22"/>
        </w:rPr>
        <w:t> </w:t>
      </w:r>
      <w:r>
        <w:rPr>
          <w:sz w:val="22"/>
        </w:rPr>
        <w:t>the</w:t>
      </w:r>
      <w:r>
        <w:rPr>
          <w:spacing w:val="-3"/>
          <w:sz w:val="22"/>
        </w:rPr>
        <w:t> </w:t>
      </w:r>
      <w:r>
        <w:rPr>
          <w:sz w:val="22"/>
        </w:rPr>
        <w:t>entity</w:t>
      </w:r>
      <w:r>
        <w:rPr>
          <w:spacing w:val="-6"/>
          <w:sz w:val="22"/>
        </w:rPr>
        <w:t> </w:t>
      </w:r>
      <w:r>
        <w:rPr>
          <w:sz w:val="22"/>
        </w:rPr>
        <w:t>to</w:t>
      </w:r>
      <w:r>
        <w:rPr>
          <w:spacing w:val="-5"/>
          <w:sz w:val="22"/>
        </w:rPr>
        <w:t> </w:t>
      </w:r>
      <w:r>
        <w:rPr>
          <w:sz w:val="22"/>
        </w:rPr>
        <w:t>resubmit</w:t>
      </w:r>
      <w:r>
        <w:rPr>
          <w:spacing w:val="-2"/>
          <w:sz w:val="22"/>
        </w:rPr>
        <w:t> </w:t>
      </w:r>
      <w:r>
        <w:rPr>
          <w:sz w:val="22"/>
        </w:rPr>
        <w:t>their</w:t>
      </w:r>
      <w:r>
        <w:rPr>
          <w:spacing w:val="-2"/>
          <w:sz w:val="22"/>
        </w:rPr>
        <w:t> </w:t>
      </w:r>
      <w:r>
        <w:rPr>
          <w:sz w:val="22"/>
        </w:rPr>
        <w:t>modification</w:t>
      </w:r>
      <w:r>
        <w:rPr>
          <w:spacing w:val="-6"/>
          <w:sz w:val="22"/>
        </w:rPr>
        <w:t> </w:t>
      </w:r>
      <w:r>
        <w:rPr>
          <w:sz w:val="22"/>
        </w:rPr>
        <w:t>request</w:t>
      </w:r>
      <w:r>
        <w:rPr>
          <w:spacing w:val="-1"/>
          <w:sz w:val="22"/>
        </w:rPr>
        <w:t> </w:t>
      </w:r>
      <w:r>
        <w:rPr>
          <w:spacing w:val="-2"/>
          <w:sz w:val="22"/>
        </w:rPr>
        <w:t>after</w:t>
      </w:r>
    </w:p>
    <w:p>
      <w:pPr>
        <w:spacing w:after="0"/>
        <w:jc w:val="both"/>
        <w:rPr>
          <w:sz w:val="22"/>
        </w:rPr>
        <w:sectPr>
          <w:pgSz w:w="12240" w:h="15840"/>
          <w:pgMar w:header="0" w:footer="967" w:top="1360" w:bottom="1160" w:left="220" w:right="340"/>
        </w:sectPr>
      </w:pPr>
    </w:p>
    <w:p>
      <w:pPr>
        <w:spacing w:before="78"/>
        <w:ind w:left="1219" w:right="1096" w:firstLine="0"/>
        <w:jc w:val="both"/>
        <w:rPr>
          <w:sz w:val="22"/>
        </w:rPr>
      </w:pPr>
      <w:r>
        <w:rPr>
          <w:sz w:val="22"/>
        </w:rPr>
        <w:t>revisions,</w:t>
      </w:r>
      <w:r>
        <w:rPr>
          <w:spacing w:val="-7"/>
          <w:sz w:val="22"/>
        </w:rPr>
        <w:t> </w:t>
      </w:r>
      <w:r>
        <w:rPr>
          <w:sz w:val="22"/>
        </w:rPr>
        <w:t>as</w:t>
      </w:r>
      <w:r>
        <w:rPr>
          <w:spacing w:val="-7"/>
          <w:sz w:val="22"/>
        </w:rPr>
        <w:t> </w:t>
      </w:r>
      <w:r>
        <w:rPr>
          <w:sz w:val="22"/>
        </w:rPr>
        <w:t>appropriate.</w:t>
      </w:r>
      <w:r>
        <w:rPr>
          <w:spacing w:val="-7"/>
          <w:sz w:val="22"/>
        </w:rPr>
        <w:t> </w:t>
      </w:r>
      <w:r>
        <w:rPr>
          <w:sz w:val="22"/>
        </w:rPr>
        <w:t>The</w:t>
      </w:r>
      <w:r>
        <w:rPr>
          <w:spacing w:val="-7"/>
          <w:sz w:val="22"/>
        </w:rPr>
        <w:t> </w:t>
      </w:r>
      <w:r>
        <w:rPr>
          <w:sz w:val="22"/>
        </w:rPr>
        <w:t>timeline</w:t>
      </w:r>
      <w:r>
        <w:rPr>
          <w:spacing w:val="-7"/>
          <w:sz w:val="22"/>
        </w:rPr>
        <w:t> </w:t>
      </w:r>
      <w:r>
        <w:rPr>
          <w:sz w:val="22"/>
        </w:rPr>
        <w:t>for</w:t>
      </w:r>
      <w:r>
        <w:rPr>
          <w:spacing w:val="-6"/>
          <w:sz w:val="22"/>
        </w:rPr>
        <w:t> </w:t>
      </w:r>
      <w:r>
        <w:rPr>
          <w:sz w:val="22"/>
        </w:rPr>
        <w:t>review</w:t>
      </w:r>
      <w:r>
        <w:rPr>
          <w:spacing w:val="-8"/>
          <w:sz w:val="22"/>
        </w:rPr>
        <w:t> </w:t>
      </w:r>
      <w:r>
        <w:rPr>
          <w:sz w:val="22"/>
        </w:rPr>
        <w:t>would</w:t>
      </w:r>
      <w:r>
        <w:rPr>
          <w:spacing w:val="-7"/>
          <w:sz w:val="22"/>
        </w:rPr>
        <w:t> </w:t>
      </w:r>
      <w:r>
        <w:rPr>
          <w:sz w:val="22"/>
        </w:rPr>
        <w:t>restart</w:t>
      </w:r>
      <w:r>
        <w:rPr>
          <w:spacing w:val="-6"/>
          <w:sz w:val="22"/>
        </w:rPr>
        <w:t> </w:t>
      </w:r>
      <w:r>
        <w:rPr>
          <w:sz w:val="22"/>
        </w:rPr>
        <w:t>upon</w:t>
      </w:r>
      <w:r>
        <w:rPr>
          <w:spacing w:val="-7"/>
          <w:sz w:val="22"/>
        </w:rPr>
        <w:t> </w:t>
      </w:r>
      <w:r>
        <w:rPr>
          <w:sz w:val="22"/>
        </w:rPr>
        <w:t>resubmission,</w:t>
      </w:r>
      <w:r>
        <w:rPr>
          <w:spacing w:val="-7"/>
          <w:sz w:val="22"/>
        </w:rPr>
        <w:t> </w:t>
      </w:r>
      <w:r>
        <w:rPr>
          <w:sz w:val="22"/>
        </w:rPr>
        <w:t>and</w:t>
      </w:r>
      <w:r>
        <w:rPr>
          <w:spacing w:val="-7"/>
          <w:sz w:val="22"/>
        </w:rPr>
        <w:t> </w:t>
      </w:r>
      <w:r>
        <w:rPr>
          <w:sz w:val="22"/>
        </w:rPr>
        <w:t>the</w:t>
      </w:r>
      <w:r>
        <w:rPr>
          <w:spacing w:val="-7"/>
          <w:sz w:val="22"/>
        </w:rPr>
        <w:t> </w:t>
      </w:r>
      <w:r>
        <w:rPr>
          <w:sz w:val="22"/>
        </w:rPr>
        <w:t>same</w:t>
      </w:r>
      <w:r>
        <w:rPr>
          <w:spacing w:val="-7"/>
          <w:sz w:val="22"/>
        </w:rPr>
        <w:t> </w:t>
      </w:r>
      <w:r>
        <w:rPr>
          <w:sz w:val="22"/>
        </w:rPr>
        <w:t>processes would be followed as for an initial submission.</w:t>
      </w:r>
    </w:p>
    <w:p>
      <w:pPr>
        <w:spacing w:line="242" w:lineRule="auto" w:before="159"/>
        <w:ind w:left="1219" w:right="1095" w:firstLine="0"/>
        <w:jc w:val="both"/>
        <w:rPr>
          <w:sz w:val="22"/>
        </w:rPr>
      </w:pPr>
      <w:r>
        <w:rPr>
          <w:sz w:val="22"/>
        </w:rPr>
        <w:t>The State may withhold or deduct a portion of ACO, CP, or CSA DSRIP funds for contract management purposes</w:t>
      </w:r>
      <w:r>
        <w:rPr>
          <w:spacing w:val="-4"/>
          <w:sz w:val="22"/>
        </w:rPr>
        <w:t> </w:t>
      </w:r>
      <w:r>
        <w:rPr>
          <w:sz w:val="22"/>
        </w:rPr>
        <w:t>(e.g.</w:t>
      </w:r>
      <w:r>
        <w:rPr>
          <w:spacing w:val="-2"/>
          <w:sz w:val="22"/>
        </w:rPr>
        <w:t> </w:t>
      </w:r>
      <w:r>
        <w:rPr>
          <w:sz w:val="22"/>
        </w:rPr>
        <w:t>in</w:t>
      </w:r>
      <w:r>
        <w:rPr>
          <w:spacing w:val="-5"/>
          <w:sz w:val="22"/>
        </w:rPr>
        <w:t> </w:t>
      </w:r>
      <w:r>
        <w:rPr>
          <w:sz w:val="22"/>
        </w:rPr>
        <w:t>response</w:t>
      </w:r>
      <w:r>
        <w:rPr>
          <w:spacing w:val="-4"/>
          <w:sz w:val="22"/>
        </w:rPr>
        <w:t> </w:t>
      </w:r>
      <w:r>
        <w:rPr>
          <w:sz w:val="22"/>
        </w:rPr>
        <w:t>to</w:t>
      </w:r>
      <w:r>
        <w:rPr>
          <w:spacing w:val="-2"/>
          <w:sz w:val="22"/>
        </w:rPr>
        <w:t> </w:t>
      </w:r>
      <w:r>
        <w:rPr>
          <w:sz w:val="22"/>
        </w:rPr>
        <w:t>significant</w:t>
      </w:r>
      <w:r>
        <w:rPr>
          <w:spacing w:val="-4"/>
          <w:sz w:val="22"/>
        </w:rPr>
        <w:t> </w:t>
      </w:r>
      <w:r>
        <w:rPr>
          <w:sz w:val="22"/>
        </w:rPr>
        <w:t>delays</w:t>
      </w:r>
      <w:r>
        <w:rPr>
          <w:spacing w:val="-2"/>
          <w:sz w:val="22"/>
        </w:rPr>
        <w:t> </w:t>
      </w:r>
      <w:r>
        <w:rPr>
          <w:sz w:val="22"/>
        </w:rPr>
        <w:t>in</w:t>
      </w:r>
      <w:r>
        <w:rPr>
          <w:spacing w:val="-5"/>
          <w:sz w:val="22"/>
        </w:rPr>
        <w:t> </w:t>
      </w:r>
      <w:r>
        <w:rPr>
          <w:sz w:val="22"/>
        </w:rPr>
        <w:t>responding</w:t>
      </w:r>
      <w:r>
        <w:rPr>
          <w:spacing w:val="-5"/>
          <w:sz w:val="22"/>
        </w:rPr>
        <w:t> </w:t>
      </w:r>
      <w:r>
        <w:rPr>
          <w:sz w:val="22"/>
        </w:rPr>
        <w:t>to</w:t>
      </w:r>
      <w:r>
        <w:rPr>
          <w:spacing w:val="-2"/>
          <w:sz w:val="22"/>
        </w:rPr>
        <w:t> </w:t>
      </w:r>
      <w:r>
        <w:rPr>
          <w:sz w:val="22"/>
        </w:rPr>
        <w:t>DSRIP</w:t>
      </w:r>
      <w:r>
        <w:rPr>
          <w:spacing w:val="-3"/>
          <w:sz w:val="22"/>
        </w:rPr>
        <w:t> </w:t>
      </w:r>
      <w:r>
        <w:rPr>
          <w:sz w:val="22"/>
        </w:rPr>
        <w:t>deliverable</w:t>
      </w:r>
      <w:r>
        <w:rPr>
          <w:spacing w:val="-2"/>
          <w:sz w:val="22"/>
        </w:rPr>
        <w:t> </w:t>
      </w:r>
      <w:r>
        <w:rPr>
          <w:sz w:val="22"/>
        </w:rPr>
        <w:t>submission</w:t>
      </w:r>
      <w:r>
        <w:rPr>
          <w:spacing w:val="-2"/>
          <w:sz w:val="22"/>
        </w:rPr>
        <w:t> </w:t>
      </w:r>
      <w:r>
        <w:rPr>
          <w:sz w:val="22"/>
        </w:rPr>
        <w:t>deadlines). If funds</w:t>
      </w:r>
      <w:r>
        <w:rPr>
          <w:spacing w:val="-1"/>
          <w:sz w:val="22"/>
        </w:rPr>
        <w:t> </w:t>
      </w:r>
      <w:r>
        <w:rPr>
          <w:sz w:val="22"/>
        </w:rPr>
        <w:t>are</w:t>
      </w:r>
      <w:r>
        <w:rPr>
          <w:spacing w:val="-1"/>
          <w:sz w:val="22"/>
        </w:rPr>
        <w:t> </w:t>
      </w:r>
      <w:r>
        <w:rPr>
          <w:sz w:val="22"/>
        </w:rPr>
        <w:t>deducted,</w:t>
      </w:r>
      <w:r>
        <w:rPr>
          <w:spacing w:val="-1"/>
          <w:sz w:val="22"/>
        </w:rPr>
        <w:t> </w:t>
      </w:r>
      <w:r>
        <w:rPr>
          <w:sz w:val="22"/>
        </w:rPr>
        <w:t>such</w:t>
      </w:r>
      <w:r>
        <w:rPr>
          <w:spacing w:val="-4"/>
          <w:sz w:val="22"/>
        </w:rPr>
        <w:t> </w:t>
      </w:r>
      <w:r>
        <w:rPr>
          <w:sz w:val="22"/>
        </w:rPr>
        <w:t>funds</w:t>
      </w:r>
      <w:r>
        <w:rPr>
          <w:spacing w:val="-1"/>
          <w:sz w:val="22"/>
        </w:rPr>
        <w:t> </w:t>
      </w:r>
      <w:r>
        <w:rPr>
          <w:sz w:val="22"/>
        </w:rPr>
        <w:t>may</w:t>
      </w:r>
      <w:r>
        <w:rPr>
          <w:spacing w:val="-4"/>
          <w:sz w:val="22"/>
        </w:rPr>
        <w:t> </w:t>
      </w:r>
      <w:r>
        <w:rPr>
          <w:sz w:val="22"/>
        </w:rPr>
        <w:t>be</w:t>
      </w:r>
      <w:r>
        <w:rPr>
          <w:spacing w:val="-1"/>
          <w:sz w:val="22"/>
        </w:rPr>
        <w:t> </w:t>
      </w:r>
      <w:r>
        <w:rPr>
          <w:sz w:val="22"/>
        </w:rPr>
        <w:t>reallocated</w:t>
      </w:r>
      <w:r>
        <w:rPr>
          <w:spacing w:val="-1"/>
          <w:sz w:val="22"/>
        </w:rPr>
        <w:t> </w:t>
      </w:r>
      <w:r>
        <w:rPr>
          <w:sz w:val="22"/>
        </w:rPr>
        <w:t>by</w:t>
      </w:r>
      <w:r>
        <w:rPr>
          <w:spacing w:val="-4"/>
          <w:sz w:val="22"/>
        </w:rPr>
        <w:t> </w:t>
      </w:r>
      <w:r>
        <w:rPr>
          <w:sz w:val="22"/>
        </w:rPr>
        <w:t>the</w:t>
      </w:r>
      <w:r>
        <w:rPr>
          <w:spacing w:val="-1"/>
          <w:sz w:val="22"/>
        </w:rPr>
        <w:t> </w:t>
      </w:r>
      <w:r>
        <w:rPr>
          <w:sz w:val="22"/>
        </w:rPr>
        <w:t>State</w:t>
      </w:r>
      <w:r>
        <w:rPr>
          <w:spacing w:val="-1"/>
          <w:sz w:val="22"/>
        </w:rPr>
        <w:t> </w:t>
      </w:r>
      <w:r>
        <w:rPr>
          <w:sz w:val="22"/>
        </w:rPr>
        <w:t>according</w:t>
      </w:r>
      <w:r>
        <w:rPr>
          <w:spacing w:val="-4"/>
          <w:sz w:val="22"/>
        </w:rPr>
        <w:t> </w:t>
      </w:r>
      <w:r>
        <w:rPr>
          <w:sz w:val="22"/>
        </w:rPr>
        <w:t>to</w:t>
      </w:r>
      <w:r>
        <w:rPr>
          <w:spacing w:val="-1"/>
          <w:sz w:val="22"/>
        </w:rPr>
        <w:t> </w:t>
      </w:r>
      <w:r>
        <w:rPr>
          <w:sz w:val="22"/>
        </w:rPr>
        <w:t>the</w:t>
      </w:r>
      <w:r>
        <w:rPr>
          <w:spacing w:val="-3"/>
          <w:sz w:val="22"/>
        </w:rPr>
        <w:t> </w:t>
      </w:r>
      <w:r>
        <w:rPr>
          <w:sz w:val="22"/>
        </w:rPr>
        <w:t>parameters</w:t>
      </w:r>
      <w:r>
        <w:rPr>
          <w:spacing w:val="-1"/>
          <w:sz w:val="22"/>
        </w:rPr>
        <w:t> </w:t>
      </w:r>
      <w:r>
        <w:rPr>
          <w:sz w:val="22"/>
        </w:rPr>
        <w:t>described</w:t>
      </w:r>
      <w:r>
        <w:rPr>
          <w:spacing w:val="-1"/>
          <w:sz w:val="22"/>
        </w:rPr>
        <w:t> </w:t>
      </w:r>
      <w:r>
        <w:rPr>
          <w:sz w:val="22"/>
        </w:rPr>
        <w:t>in Section 5.1.3 of this Protocol.</w:t>
      </w:r>
    </w:p>
    <w:p>
      <w:pPr>
        <w:pStyle w:val="BodyText"/>
      </w:pPr>
    </w:p>
    <w:p>
      <w:pPr>
        <w:pStyle w:val="Heading1"/>
        <w:spacing w:line="321" w:lineRule="exact" w:before="197"/>
        <w:jc w:val="both"/>
      </w:pPr>
      <w:bookmarkStart w:name="Section 4.   DSRIP Payments (ACOs, CPs, " w:id="1280"/>
      <w:bookmarkEnd w:id="1280"/>
      <w:r>
        <w:rPr>
          <w:b w:val="0"/>
        </w:rPr>
      </w:r>
      <w:bookmarkStart w:name="_bookmark34" w:id="1281"/>
      <w:bookmarkEnd w:id="1281"/>
      <w:r>
        <w:rPr>
          <w:b w:val="0"/>
        </w:rPr>
      </w:r>
      <w:r>
        <w:rPr>
          <w:color w:val="2E5395"/>
        </w:rPr>
        <w:t>Section</w:t>
      </w:r>
      <w:r>
        <w:rPr>
          <w:color w:val="2E5395"/>
          <w:spacing w:val="-9"/>
        </w:rPr>
        <w:t> </w:t>
      </w:r>
      <w:r>
        <w:rPr>
          <w:color w:val="2E5395"/>
        </w:rPr>
        <w:t>4.</w:t>
      </w:r>
      <w:r>
        <w:rPr>
          <w:color w:val="2E5395"/>
          <w:spacing w:val="69"/>
        </w:rPr>
        <w:t>  </w:t>
      </w:r>
      <w:r>
        <w:rPr>
          <w:color w:val="2E5395"/>
        </w:rPr>
        <w:t>DSRIP</w:t>
      </w:r>
      <w:r>
        <w:rPr>
          <w:color w:val="2E5395"/>
          <w:spacing w:val="-5"/>
        </w:rPr>
        <w:t> </w:t>
      </w:r>
      <w:r>
        <w:rPr>
          <w:color w:val="2E5395"/>
        </w:rPr>
        <w:t>Payments</w:t>
      </w:r>
      <w:r>
        <w:rPr>
          <w:color w:val="2E5395"/>
          <w:spacing w:val="-2"/>
        </w:rPr>
        <w:t> </w:t>
      </w:r>
      <w:r>
        <w:rPr>
          <w:color w:val="2E5395"/>
        </w:rPr>
        <w:t>(ACOs,</w:t>
      </w:r>
      <w:r>
        <w:rPr>
          <w:color w:val="2E5395"/>
          <w:spacing w:val="-3"/>
        </w:rPr>
        <w:t> </w:t>
      </w:r>
      <w:r>
        <w:rPr>
          <w:color w:val="2E5395"/>
        </w:rPr>
        <w:t>CPs,</w:t>
      </w:r>
      <w:r>
        <w:rPr>
          <w:color w:val="2E5395"/>
          <w:spacing w:val="-4"/>
        </w:rPr>
        <w:t> </w:t>
      </w:r>
      <w:r>
        <w:rPr>
          <w:color w:val="2E5395"/>
        </w:rPr>
        <w:t>CSAs</w:t>
      </w:r>
      <w:r>
        <w:rPr>
          <w:color w:val="2E5395"/>
          <w:spacing w:val="-2"/>
        </w:rPr>
        <w:t> </w:t>
      </w:r>
      <w:r>
        <w:rPr>
          <w:color w:val="2E5395"/>
        </w:rPr>
        <w:t>and</w:t>
      </w:r>
      <w:r>
        <w:rPr>
          <w:color w:val="2E5395"/>
          <w:spacing w:val="-3"/>
        </w:rPr>
        <w:t> </w:t>
      </w:r>
      <w:r>
        <w:rPr>
          <w:color w:val="2E5395"/>
        </w:rPr>
        <w:t>Statewide</w:t>
      </w:r>
      <w:r>
        <w:rPr>
          <w:color w:val="2E5395"/>
          <w:spacing w:val="-3"/>
        </w:rPr>
        <w:t> </w:t>
      </w:r>
      <w:r>
        <w:rPr>
          <w:color w:val="2E5395"/>
          <w:spacing w:val="-2"/>
        </w:rPr>
        <w:t>Investments)</w:t>
      </w:r>
    </w:p>
    <w:p>
      <w:pPr>
        <w:spacing w:before="0"/>
        <w:ind w:left="1219" w:right="1094" w:firstLine="0"/>
        <w:jc w:val="both"/>
        <w:rPr>
          <w:sz w:val="22"/>
        </w:rPr>
      </w:pPr>
      <w:r>
        <w:rPr>
          <w:sz w:val="22"/>
        </w:rPr>
        <w:t>DSRIP funding will support four streams, as described in Section 1. This Section (Section 4) outlines parameters for DSRIP payments to ACOs, CPs, CSAs and Statewide Investments including sub-streams. A</w:t>
      </w:r>
      <w:r>
        <w:rPr>
          <w:spacing w:val="-2"/>
          <w:sz w:val="22"/>
        </w:rPr>
        <w:t> </w:t>
      </w:r>
      <w:r>
        <w:rPr>
          <w:sz w:val="22"/>
        </w:rPr>
        <w:t>portion</w:t>
      </w:r>
      <w:r>
        <w:rPr>
          <w:spacing w:val="-1"/>
          <w:sz w:val="22"/>
        </w:rPr>
        <w:t> </w:t>
      </w:r>
      <w:r>
        <w:rPr>
          <w:sz w:val="22"/>
        </w:rPr>
        <w:t>of payments</w:t>
      </w:r>
      <w:r>
        <w:rPr>
          <w:spacing w:val="-1"/>
          <w:sz w:val="22"/>
        </w:rPr>
        <w:t> </w:t>
      </w:r>
      <w:r>
        <w:rPr>
          <w:sz w:val="22"/>
        </w:rPr>
        <w:t>from</w:t>
      </w:r>
      <w:r>
        <w:rPr>
          <w:spacing w:val="-5"/>
          <w:sz w:val="22"/>
        </w:rPr>
        <w:t> </w:t>
      </w:r>
      <w:r>
        <w:rPr>
          <w:sz w:val="22"/>
        </w:rPr>
        <w:t>the</w:t>
      </w:r>
      <w:r>
        <w:rPr>
          <w:spacing w:val="-1"/>
          <w:sz w:val="22"/>
        </w:rPr>
        <w:t> </w:t>
      </w:r>
      <w:r>
        <w:rPr>
          <w:sz w:val="22"/>
        </w:rPr>
        <w:t>State</w:t>
      </w:r>
      <w:r>
        <w:rPr>
          <w:spacing w:val="-3"/>
          <w:sz w:val="22"/>
        </w:rPr>
        <w:t> </w:t>
      </w:r>
      <w:r>
        <w:rPr>
          <w:sz w:val="22"/>
        </w:rPr>
        <w:t>to</w:t>
      </w:r>
      <w:r>
        <w:rPr>
          <w:spacing w:val="-1"/>
          <w:sz w:val="22"/>
        </w:rPr>
        <w:t> </w:t>
      </w:r>
      <w:r>
        <w:rPr>
          <w:sz w:val="22"/>
        </w:rPr>
        <w:t>ACOs,</w:t>
      </w:r>
      <w:r>
        <w:rPr>
          <w:spacing w:val="-1"/>
          <w:sz w:val="22"/>
        </w:rPr>
        <w:t> </w:t>
      </w:r>
      <w:r>
        <w:rPr>
          <w:sz w:val="22"/>
        </w:rPr>
        <w:t>CPs</w:t>
      </w:r>
      <w:r>
        <w:rPr>
          <w:spacing w:val="-1"/>
          <w:sz w:val="22"/>
        </w:rPr>
        <w:t> </w:t>
      </w:r>
      <w:r>
        <w:rPr>
          <w:sz w:val="22"/>
        </w:rPr>
        <w:t>and</w:t>
      </w:r>
      <w:r>
        <w:rPr>
          <w:spacing w:val="-1"/>
          <w:sz w:val="22"/>
        </w:rPr>
        <w:t> </w:t>
      </w:r>
      <w:r>
        <w:rPr>
          <w:sz w:val="22"/>
        </w:rPr>
        <w:t>CSAs</w:t>
      </w:r>
      <w:r>
        <w:rPr>
          <w:spacing w:val="-1"/>
          <w:sz w:val="22"/>
        </w:rPr>
        <w:t> </w:t>
      </w:r>
      <w:r>
        <w:rPr>
          <w:sz w:val="22"/>
        </w:rPr>
        <w:t>are</w:t>
      </w:r>
      <w:r>
        <w:rPr>
          <w:spacing w:val="-3"/>
          <w:sz w:val="22"/>
        </w:rPr>
        <w:t> </w:t>
      </w:r>
      <w:r>
        <w:rPr>
          <w:sz w:val="22"/>
        </w:rPr>
        <w:t>at</w:t>
      </w:r>
      <w:r>
        <w:rPr>
          <w:spacing w:val="-3"/>
          <w:sz w:val="22"/>
        </w:rPr>
        <w:t> </w:t>
      </w:r>
      <w:r>
        <w:rPr>
          <w:sz w:val="22"/>
        </w:rPr>
        <w:t>risk</w:t>
      </w:r>
      <w:r>
        <w:rPr>
          <w:spacing w:val="-4"/>
          <w:sz w:val="22"/>
        </w:rPr>
        <w:t> </w:t>
      </w:r>
      <w:r>
        <w:rPr>
          <w:sz w:val="22"/>
        </w:rPr>
        <w:t>based</w:t>
      </w:r>
      <w:r>
        <w:rPr>
          <w:spacing w:val="-1"/>
          <w:sz w:val="22"/>
        </w:rPr>
        <w:t> </w:t>
      </w:r>
      <w:r>
        <w:rPr>
          <w:sz w:val="22"/>
        </w:rPr>
        <w:t>on</w:t>
      </w:r>
      <w:r>
        <w:rPr>
          <w:spacing w:val="-1"/>
          <w:sz w:val="22"/>
        </w:rPr>
        <w:t> </w:t>
      </w:r>
      <w:r>
        <w:rPr>
          <w:sz w:val="22"/>
        </w:rPr>
        <w:t>the</w:t>
      </w:r>
      <w:r>
        <w:rPr>
          <w:spacing w:val="-1"/>
          <w:sz w:val="22"/>
        </w:rPr>
        <w:t> </w:t>
      </w:r>
      <w:r>
        <w:rPr>
          <w:sz w:val="22"/>
        </w:rPr>
        <w:t>ACO,</w:t>
      </w:r>
      <w:r>
        <w:rPr>
          <w:spacing w:val="-1"/>
          <w:sz w:val="22"/>
        </w:rPr>
        <w:t> </w:t>
      </w:r>
      <w:r>
        <w:rPr>
          <w:sz w:val="22"/>
        </w:rPr>
        <w:t>CP</w:t>
      </w:r>
      <w:r>
        <w:rPr>
          <w:spacing w:val="-2"/>
          <w:sz w:val="22"/>
        </w:rPr>
        <w:t> </w:t>
      </w:r>
      <w:r>
        <w:rPr>
          <w:sz w:val="22"/>
        </w:rPr>
        <w:t>and</w:t>
      </w:r>
      <w:r>
        <w:rPr>
          <w:spacing w:val="-1"/>
          <w:sz w:val="22"/>
        </w:rPr>
        <w:t> </w:t>
      </w:r>
      <w:r>
        <w:rPr>
          <w:sz w:val="22"/>
        </w:rPr>
        <w:t>CSA Accountability</w:t>
      </w:r>
      <w:r>
        <w:rPr>
          <w:spacing w:val="-1"/>
          <w:sz w:val="22"/>
        </w:rPr>
        <w:t> </w:t>
      </w:r>
      <w:r>
        <w:rPr>
          <w:sz w:val="22"/>
        </w:rPr>
        <w:t>Framework described in Section 5. Section 5 also describes the linkage between ACO, CP and CSA accountability to the State. Section 4 explores DSRIP payments to ACOs, CPs or CSAs and the sub-streams within them.</w:t>
      </w:r>
    </w:p>
    <w:p>
      <w:pPr>
        <w:spacing w:before="158"/>
        <w:ind w:left="1220" w:right="1095" w:firstLine="0"/>
        <w:jc w:val="both"/>
        <w:rPr>
          <w:sz w:val="22"/>
        </w:rPr>
      </w:pPr>
      <w:r>
        <w:rPr>
          <w:sz w:val="22"/>
        </w:rPr>
        <w:t>Each</w:t>
      </w:r>
      <w:r>
        <w:rPr>
          <w:spacing w:val="-14"/>
          <w:sz w:val="22"/>
        </w:rPr>
        <w:t> </w:t>
      </w:r>
      <w:r>
        <w:rPr>
          <w:sz w:val="22"/>
        </w:rPr>
        <w:t>of</w:t>
      </w:r>
      <w:r>
        <w:rPr>
          <w:spacing w:val="-12"/>
          <w:sz w:val="22"/>
        </w:rPr>
        <w:t> </w:t>
      </w:r>
      <w:r>
        <w:rPr>
          <w:sz w:val="22"/>
        </w:rPr>
        <w:t>ACO</w:t>
      </w:r>
      <w:r>
        <w:rPr>
          <w:spacing w:val="-13"/>
          <w:sz w:val="22"/>
        </w:rPr>
        <w:t> </w:t>
      </w:r>
      <w:r>
        <w:rPr>
          <w:sz w:val="22"/>
        </w:rPr>
        <w:t>and</w:t>
      </w:r>
      <w:r>
        <w:rPr>
          <w:spacing w:val="-12"/>
          <w:sz w:val="22"/>
        </w:rPr>
        <w:t> </w:t>
      </w:r>
      <w:r>
        <w:rPr>
          <w:sz w:val="22"/>
        </w:rPr>
        <w:t>CP</w:t>
      </w:r>
      <w:r>
        <w:rPr>
          <w:spacing w:val="-12"/>
          <w:sz w:val="22"/>
        </w:rPr>
        <w:t> </w:t>
      </w:r>
      <w:r>
        <w:rPr>
          <w:sz w:val="22"/>
        </w:rPr>
        <w:t>payment</w:t>
      </w:r>
      <w:r>
        <w:rPr>
          <w:spacing w:val="-13"/>
          <w:sz w:val="22"/>
        </w:rPr>
        <w:t> </w:t>
      </w:r>
      <w:r>
        <w:rPr>
          <w:sz w:val="22"/>
        </w:rPr>
        <w:t>streams</w:t>
      </w:r>
      <w:r>
        <w:rPr>
          <w:spacing w:val="-12"/>
          <w:sz w:val="22"/>
        </w:rPr>
        <w:t> </w:t>
      </w:r>
      <w:r>
        <w:rPr>
          <w:sz w:val="22"/>
        </w:rPr>
        <w:t>has</w:t>
      </w:r>
      <w:r>
        <w:rPr>
          <w:spacing w:val="-14"/>
          <w:sz w:val="22"/>
        </w:rPr>
        <w:t> </w:t>
      </w:r>
      <w:r>
        <w:rPr>
          <w:sz w:val="22"/>
        </w:rPr>
        <w:t>several</w:t>
      </w:r>
      <w:r>
        <w:rPr>
          <w:spacing w:val="-13"/>
          <w:sz w:val="22"/>
        </w:rPr>
        <w:t> </w:t>
      </w:r>
      <w:r>
        <w:rPr>
          <w:sz w:val="22"/>
        </w:rPr>
        <w:t>“sub-streams,”</w:t>
      </w:r>
      <w:r>
        <w:rPr>
          <w:spacing w:val="-12"/>
          <w:sz w:val="22"/>
        </w:rPr>
        <w:t> </w:t>
      </w:r>
      <w:r>
        <w:rPr>
          <w:sz w:val="22"/>
        </w:rPr>
        <w:t>which</w:t>
      </w:r>
      <w:r>
        <w:rPr>
          <w:spacing w:val="-14"/>
          <w:sz w:val="22"/>
        </w:rPr>
        <w:t> </w:t>
      </w:r>
      <w:r>
        <w:rPr>
          <w:sz w:val="22"/>
        </w:rPr>
        <w:t>differ</w:t>
      </w:r>
      <w:r>
        <w:rPr>
          <w:spacing w:val="-13"/>
          <w:sz w:val="22"/>
        </w:rPr>
        <w:t> </w:t>
      </w:r>
      <w:r>
        <w:rPr>
          <w:sz w:val="22"/>
        </w:rPr>
        <w:t>from</w:t>
      </w:r>
      <w:r>
        <w:rPr>
          <w:spacing w:val="-14"/>
          <w:sz w:val="22"/>
        </w:rPr>
        <w:t> </w:t>
      </w:r>
      <w:r>
        <w:rPr>
          <w:sz w:val="22"/>
        </w:rPr>
        <w:t>each</w:t>
      </w:r>
      <w:r>
        <w:rPr>
          <w:spacing w:val="-12"/>
          <w:sz w:val="22"/>
        </w:rPr>
        <w:t> </w:t>
      </w:r>
      <w:r>
        <w:rPr>
          <w:sz w:val="22"/>
        </w:rPr>
        <w:t>other</w:t>
      </w:r>
      <w:r>
        <w:rPr>
          <w:spacing w:val="-12"/>
          <w:sz w:val="22"/>
        </w:rPr>
        <w:t> </w:t>
      </w:r>
      <w:r>
        <w:rPr>
          <w:sz w:val="22"/>
        </w:rPr>
        <w:t>with</w:t>
      </w:r>
      <w:r>
        <w:rPr>
          <w:spacing w:val="-12"/>
          <w:sz w:val="22"/>
        </w:rPr>
        <w:t> </w:t>
      </w:r>
      <w:r>
        <w:rPr>
          <w:sz w:val="22"/>
        </w:rPr>
        <w:t>respect to three characteristics: (1) purpose/allowable uses; (2) calculation methodology; (3) and accountability. These three characteristics are detailed for each sub-stream in the following three subsections 4.1-4.3, respectively. Section 4.5 provides additional detail on how Accountability Scores are calculated using the accountability framework laid out in Section 4.4.</w:t>
      </w:r>
    </w:p>
    <w:p>
      <w:pPr>
        <w:pStyle w:val="ListParagraph"/>
        <w:numPr>
          <w:ilvl w:val="0"/>
          <w:numId w:val="67"/>
        </w:numPr>
        <w:tabs>
          <w:tab w:pos="1940" w:val="left" w:leader="none"/>
        </w:tabs>
        <w:spacing w:line="240" w:lineRule="auto" w:before="162" w:after="0"/>
        <w:ind w:left="1940" w:right="1098" w:hanging="361"/>
        <w:jc w:val="left"/>
        <w:rPr>
          <w:sz w:val="22"/>
        </w:rPr>
      </w:pPr>
      <w:r>
        <w:rPr>
          <w:sz w:val="22"/>
        </w:rPr>
        <w:t>Section</w:t>
      </w:r>
      <w:r>
        <w:rPr>
          <w:spacing w:val="-7"/>
          <w:sz w:val="22"/>
        </w:rPr>
        <w:t> </w:t>
      </w:r>
      <w:r>
        <w:rPr>
          <w:sz w:val="22"/>
        </w:rPr>
        <w:t>4.1:</w:t>
      </w:r>
      <w:r>
        <w:rPr>
          <w:spacing w:val="-6"/>
          <w:sz w:val="22"/>
        </w:rPr>
        <w:t> </w:t>
      </w:r>
      <w:r>
        <w:rPr>
          <w:sz w:val="22"/>
        </w:rPr>
        <w:t>provides</w:t>
      </w:r>
      <w:r>
        <w:rPr>
          <w:spacing w:val="-7"/>
          <w:sz w:val="22"/>
        </w:rPr>
        <w:t> </w:t>
      </w:r>
      <w:r>
        <w:rPr>
          <w:sz w:val="22"/>
        </w:rPr>
        <w:t>an</w:t>
      </w:r>
      <w:r>
        <w:rPr>
          <w:spacing w:val="-7"/>
          <w:sz w:val="22"/>
        </w:rPr>
        <w:t> </w:t>
      </w:r>
      <w:r>
        <w:rPr>
          <w:sz w:val="22"/>
        </w:rPr>
        <w:t>overview</w:t>
      </w:r>
      <w:r>
        <w:rPr>
          <w:spacing w:val="-8"/>
          <w:sz w:val="22"/>
        </w:rPr>
        <w:t> </w:t>
      </w:r>
      <w:r>
        <w:rPr>
          <w:sz w:val="22"/>
        </w:rPr>
        <w:t>of</w:t>
      </w:r>
      <w:r>
        <w:rPr>
          <w:spacing w:val="-6"/>
          <w:sz w:val="22"/>
        </w:rPr>
        <w:t> </w:t>
      </w:r>
      <w:r>
        <w:rPr>
          <w:sz w:val="22"/>
        </w:rPr>
        <w:t>the</w:t>
      </w:r>
      <w:r>
        <w:rPr>
          <w:spacing w:val="-7"/>
          <w:sz w:val="22"/>
        </w:rPr>
        <w:t> </w:t>
      </w:r>
      <w:r>
        <w:rPr>
          <w:sz w:val="22"/>
        </w:rPr>
        <w:t>sub-streams</w:t>
      </w:r>
      <w:r>
        <w:rPr>
          <w:spacing w:val="-7"/>
          <w:sz w:val="22"/>
        </w:rPr>
        <w:t> </w:t>
      </w:r>
      <w:r>
        <w:rPr>
          <w:sz w:val="22"/>
        </w:rPr>
        <w:t>of</w:t>
      </w:r>
      <w:r>
        <w:rPr>
          <w:spacing w:val="-6"/>
          <w:sz w:val="22"/>
        </w:rPr>
        <w:t> </w:t>
      </w:r>
      <w:r>
        <w:rPr>
          <w:sz w:val="22"/>
        </w:rPr>
        <w:t>DSRIP</w:t>
      </w:r>
      <w:r>
        <w:rPr>
          <w:spacing w:val="-8"/>
          <w:sz w:val="22"/>
        </w:rPr>
        <w:t> </w:t>
      </w:r>
      <w:r>
        <w:rPr>
          <w:sz w:val="22"/>
        </w:rPr>
        <w:t>funding</w:t>
      </w:r>
      <w:r>
        <w:rPr>
          <w:spacing w:val="-10"/>
          <w:sz w:val="22"/>
        </w:rPr>
        <w:t> </w:t>
      </w:r>
      <w:r>
        <w:rPr>
          <w:sz w:val="22"/>
        </w:rPr>
        <w:t>for</w:t>
      </w:r>
      <w:r>
        <w:rPr>
          <w:spacing w:val="-6"/>
          <w:sz w:val="22"/>
        </w:rPr>
        <w:t> </w:t>
      </w:r>
      <w:r>
        <w:rPr>
          <w:sz w:val="22"/>
        </w:rPr>
        <w:t>ACOs,</w:t>
      </w:r>
      <w:r>
        <w:rPr>
          <w:spacing w:val="-10"/>
          <w:sz w:val="22"/>
        </w:rPr>
        <w:t> </w:t>
      </w:r>
      <w:r>
        <w:rPr>
          <w:sz w:val="22"/>
        </w:rPr>
        <w:t>CPs</w:t>
      </w:r>
      <w:r>
        <w:rPr>
          <w:spacing w:val="-7"/>
          <w:sz w:val="22"/>
        </w:rPr>
        <w:t> </w:t>
      </w:r>
      <w:r>
        <w:rPr>
          <w:sz w:val="22"/>
        </w:rPr>
        <w:t>and</w:t>
      </w:r>
      <w:r>
        <w:rPr>
          <w:spacing w:val="-7"/>
          <w:sz w:val="22"/>
        </w:rPr>
        <w:t> </w:t>
      </w:r>
      <w:r>
        <w:rPr>
          <w:sz w:val="22"/>
        </w:rPr>
        <w:t>CSAs, as well as their amounts and the process for the State to vary those amounts</w:t>
      </w:r>
    </w:p>
    <w:p>
      <w:pPr>
        <w:pStyle w:val="ListParagraph"/>
        <w:numPr>
          <w:ilvl w:val="0"/>
          <w:numId w:val="67"/>
        </w:numPr>
        <w:tabs>
          <w:tab w:pos="1940" w:val="left" w:leader="none"/>
        </w:tabs>
        <w:spacing w:line="267" w:lineRule="exact" w:before="0" w:after="0"/>
        <w:ind w:left="1940" w:right="0" w:hanging="360"/>
        <w:jc w:val="left"/>
        <w:rPr>
          <w:sz w:val="22"/>
        </w:rPr>
      </w:pPr>
      <w:r>
        <w:rPr>
          <w:sz w:val="22"/>
        </w:rPr>
        <w:t>Section</w:t>
      </w:r>
      <w:r>
        <w:rPr>
          <w:spacing w:val="-6"/>
          <w:sz w:val="22"/>
        </w:rPr>
        <w:t> </w:t>
      </w:r>
      <w:r>
        <w:rPr>
          <w:sz w:val="22"/>
        </w:rPr>
        <w:t>4.2:</w:t>
      </w:r>
      <w:r>
        <w:rPr>
          <w:spacing w:val="-3"/>
          <w:sz w:val="22"/>
        </w:rPr>
        <w:t> </w:t>
      </w:r>
      <w:r>
        <w:rPr>
          <w:sz w:val="22"/>
        </w:rPr>
        <w:t>provides</w:t>
      </w:r>
      <w:r>
        <w:rPr>
          <w:spacing w:val="-5"/>
          <w:sz w:val="22"/>
        </w:rPr>
        <w:t> </w:t>
      </w:r>
      <w:r>
        <w:rPr>
          <w:sz w:val="22"/>
        </w:rPr>
        <w:t>detail</w:t>
      </w:r>
      <w:r>
        <w:rPr>
          <w:spacing w:val="-5"/>
          <w:sz w:val="22"/>
        </w:rPr>
        <w:t> </w:t>
      </w:r>
      <w:r>
        <w:rPr>
          <w:sz w:val="22"/>
        </w:rPr>
        <w:t>on</w:t>
      </w:r>
      <w:r>
        <w:rPr>
          <w:spacing w:val="-4"/>
          <w:sz w:val="22"/>
        </w:rPr>
        <w:t> </w:t>
      </w:r>
      <w:r>
        <w:rPr>
          <w:sz w:val="22"/>
        </w:rPr>
        <w:t>purpose</w:t>
      </w:r>
      <w:r>
        <w:rPr>
          <w:spacing w:val="-5"/>
          <w:sz w:val="22"/>
        </w:rPr>
        <w:t> </w:t>
      </w:r>
      <w:r>
        <w:rPr>
          <w:sz w:val="22"/>
        </w:rPr>
        <w:t>and</w:t>
      </w:r>
      <w:r>
        <w:rPr>
          <w:spacing w:val="-4"/>
          <w:sz w:val="22"/>
        </w:rPr>
        <w:t> </w:t>
      </w:r>
      <w:r>
        <w:rPr>
          <w:sz w:val="22"/>
        </w:rPr>
        <w:t>allowable</w:t>
      </w:r>
      <w:r>
        <w:rPr>
          <w:spacing w:val="-5"/>
          <w:sz w:val="22"/>
        </w:rPr>
        <w:t> </w:t>
      </w:r>
      <w:r>
        <w:rPr>
          <w:sz w:val="22"/>
        </w:rPr>
        <w:t>uses</w:t>
      </w:r>
      <w:r>
        <w:rPr>
          <w:spacing w:val="-5"/>
          <w:sz w:val="22"/>
        </w:rPr>
        <w:t> </w:t>
      </w:r>
      <w:r>
        <w:rPr>
          <w:sz w:val="22"/>
        </w:rPr>
        <w:t>for</w:t>
      </w:r>
      <w:r>
        <w:rPr>
          <w:spacing w:val="-3"/>
          <w:sz w:val="22"/>
        </w:rPr>
        <w:t> </w:t>
      </w:r>
      <w:r>
        <w:rPr>
          <w:sz w:val="22"/>
        </w:rPr>
        <w:t>ACO</w:t>
      </w:r>
      <w:r>
        <w:rPr>
          <w:spacing w:val="-4"/>
          <w:sz w:val="22"/>
        </w:rPr>
        <w:t> </w:t>
      </w:r>
      <w:r>
        <w:rPr>
          <w:sz w:val="22"/>
        </w:rPr>
        <w:t>sub-</w:t>
      </w:r>
      <w:r>
        <w:rPr>
          <w:spacing w:val="-2"/>
          <w:sz w:val="22"/>
        </w:rPr>
        <w:t>streams</w:t>
      </w:r>
    </w:p>
    <w:p>
      <w:pPr>
        <w:pStyle w:val="ListParagraph"/>
        <w:numPr>
          <w:ilvl w:val="0"/>
          <w:numId w:val="67"/>
        </w:numPr>
        <w:tabs>
          <w:tab w:pos="1940" w:val="left" w:leader="none"/>
        </w:tabs>
        <w:spacing w:line="269" w:lineRule="exact" w:before="0" w:after="0"/>
        <w:ind w:left="1940" w:right="0" w:hanging="360"/>
        <w:jc w:val="left"/>
        <w:rPr>
          <w:sz w:val="22"/>
        </w:rPr>
      </w:pPr>
      <w:r>
        <w:rPr>
          <w:sz w:val="22"/>
        </w:rPr>
        <w:t>Section</w:t>
      </w:r>
      <w:r>
        <w:rPr>
          <w:spacing w:val="-5"/>
          <w:sz w:val="22"/>
        </w:rPr>
        <w:t> </w:t>
      </w:r>
      <w:r>
        <w:rPr>
          <w:sz w:val="22"/>
        </w:rPr>
        <w:t>4.3:</w:t>
      </w:r>
      <w:r>
        <w:rPr>
          <w:spacing w:val="-2"/>
          <w:sz w:val="22"/>
        </w:rPr>
        <w:t> </w:t>
      </w:r>
      <w:r>
        <w:rPr>
          <w:sz w:val="22"/>
        </w:rPr>
        <w:t>provides</w:t>
      </w:r>
      <w:r>
        <w:rPr>
          <w:spacing w:val="-5"/>
          <w:sz w:val="22"/>
        </w:rPr>
        <w:t> </w:t>
      </w:r>
      <w:r>
        <w:rPr>
          <w:sz w:val="22"/>
        </w:rPr>
        <w:t>detail</w:t>
      </w:r>
      <w:r>
        <w:rPr>
          <w:spacing w:val="-4"/>
          <w:sz w:val="22"/>
        </w:rPr>
        <w:t> </w:t>
      </w:r>
      <w:r>
        <w:rPr>
          <w:sz w:val="22"/>
        </w:rPr>
        <w:t>on</w:t>
      </w:r>
      <w:r>
        <w:rPr>
          <w:spacing w:val="-3"/>
          <w:sz w:val="22"/>
        </w:rPr>
        <w:t> </w:t>
      </w:r>
      <w:r>
        <w:rPr>
          <w:sz w:val="22"/>
        </w:rPr>
        <w:t>purpose</w:t>
      </w:r>
      <w:r>
        <w:rPr>
          <w:spacing w:val="-5"/>
          <w:sz w:val="22"/>
        </w:rPr>
        <w:t> </w:t>
      </w:r>
      <w:r>
        <w:rPr>
          <w:sz w:val="22"/>
        </w:rPr>
        <w:t>and</w:t>
      </w:r>
      <w:r>
        <w:rPr>
          <w:spacing w:val="-2"/>
          <w:sz w:val="22"/>
        </w:rPr>
        <w:t> </w:t>
      </w:r>
      <w:r>
        <w:rPr>
          <w:sz w:val="22"/>
        </w:rPr>
        <w:t>allowable</w:t>
      </w:r>
      <w:r>
        <w:rPr>
          <w:spacing w:val="-5"/>
          <w:sz w:val="22"/>
        </w:rPr>
        <w:t> </w:t>
      </w:r>
      <w:r>
        <w:rPr>
          <w:sz w:val="22"/>
        </w:rPr>
        <w:t>uses</w:t>
      </w:r>
      <w:r>
        <w:rPr>
          <w:spacing w:val="-5"/>
          <w:sz w:val="22"/>
        </w:rPr>
        <w:t> </w:t>
      </w:r>
      <w:r>
        <w:rPr>
          <w:sz w:val="22"/>
        </w:rPr>
        <w:t>for</w:t>
      </w:r>
      <w:r>
        <w:rPr>
          <w:spacing w:val="-1"/>
          <w:sz w:val="22"/>
        </w:rPr>
        <w:t> </w:t>
      </w:r>
      <w:r>
        <w:rPr>
          <w:sz w:val="22"/>
        </w:rPr>
        <w:t>CP</w:t>
      </w:r>
      <w:r>
        <w:rPr>
          <w:spacing w:val="-6"/>
          <w:sz w:val="22"/>
        </w:rPr>
        <w:t> </w:t>
      </w:r>
      <w:r>
        <w:rPr>
          <w:sz w:val="22"/>
        </w:rPr>
        <w:t>and</w:t>
      </w:r>
      <w:r>
        <w:rPr>
          <w:spacing w:val="-3"/>
          <w:sz w:val="22"/>
        </w:rPr>
        <w:t> </w:t>
      </w:r>
      <w:r>
        <w:rPr>
          <w:sz w:val="22"/>
        </w:rPr>
        <w:t>CSA</w:t>
      </w:r>
      <w:r>
        <w:rPr>
          <w:spacing w:val="-3"/>
          <w:sz w:val="22"/>
        </w:rPr>
        <w:t> </w:t>
      </w:r>
      <w:r>
        <w:rPr>
          <w:sz w:val="22"/>
        </w:rPr>
        <w:t>sub-</w:t>
      </w:r>
      <w:r>
        <w:rPr>
          <w:spacing w:val="-2"/>
          <w:sz w:val="22"/>
        </w:rPr>
        <w:t>streams</w:t>
      </w:r>
    </w:p>
    <w:p>
      <w:pPr>
        <w:pStyle w:val="ListParagraph"/>
        <w:numPr>
          <w:ilvl w:val="0"/>
          <w:numId w:val="67"/>
        </w:numPr>
        <w:tabs>
          <w:tab w:pos="1940" w:val="left" w:leader="none"/>
        </w:tabs>
        <w:spacing w:line="269" w:lineRule="exact" w:before="0" w:after="0"/>
        <w:ind w:left="1940" w:right="0" w:hanging="360"/>
        <w:jc w:val="left"/>
        <w:rPr>
          <w:sz w:val="22"/>
        </w:rPr>
      </w:pPr>
      <w:r>
        <w:rPr>
          <w:sz w:val="22"/>
        </w:rPr>
        <w:t>Section</w:t>
      </w:r>
      <w:r>
        <w:rPr>
          <w:spacing w:val="-4"/>
          <w:sz w:val="22"/>
        </w:rPr>
        <w:t> </w:t>
      </w:r>
      <w:r>
        <w:rPr>
          <w:sz w:val="22"/>
        </w:rPr>
        <w:t>4.4:</w:t>
      </w:r>
      <w:r>
        <w:rPr>
          <w:spacing w:val="-2"/>
          <w:sz w:val="22"/>
        </w:rPr>
        <w:t> </w:t>
      </w:r>
      <w:r>
        <w:rPr>
          <w:sz w:val="22"/>
        </w:rPr>
        <w:t>provides</w:t>
      </w:r>
      <w:r>
        <w:rPr>
          <w:spacing w:val="-5"/>
          <w:sz w:val="22"/>
        </w:rPr>
        <w:t> </w:t>
      </w:r>
      <w:r>
        <w:rPr>
          <w:sz w:val="22"/>
        </w:rPr>
        <w:t>detail</w:t>
      </w:r>
      <w:r>
        <w:rPr>
          <w:spacing w:val="-6"/>
          <w:sz w:val="22"/>
        </w:rPr>
        <w:t> </w:t>
      </w:r>
      <w:r>
        <w:rPr>
          <w:sz w:val="22"/>
        </w:rPr>
        <w:t>on</w:t>
      </w:r>
      <w:r>
        <w:rPr>
          <w:spacing w:val="-3"/>
          <w:sz w:val="22"/>
        </w:rPr>
        <w:t> </w:t>
      </w:r>
      <w:r>
        <w:rPr>
          <w:sz w:val="22"/>
        </w:rPr>
        <w:t>payment</w:t>
      </w:r>
      <w:r>
        <w:rPr>
          <w:spacing w:val="-2"/>
          <w:sz w:val="22"/>
        </w:rPr>
        <w:t> </w:t>
      </w:r>
      <w:r>
        <w:rPr>
          <w:sz w:val="22"/>
        </w:rPr>
        <w:t>calculation</w:t>
      </w:r>
      <w:r>
        <w:rPr>
          <w:spacing w:val="-3"/>
          <w:sz w:val="22"/>
        </w:rPr>
        <w:t> </w:t>
      </w:r>
      <w:r>
        <w:rPr>
          <w:sz w:val="22"/>
        </w:rPr>
        <w:t>and</w:t>
      </w:r>
      <w:r>
        <w:rPr>
          <w:spacing w:val="-4"/>
          <w:sz w:val="22"/>
        </w:rPr>
        <w:t> </w:t>
      </w:r>
      <w:r>
        <w:rPr>
          <w:sz w:val="22"/>
        </w:rPr>
        <w:t>timing</w:t>
      </w:r>
      <w:r>
        <w:rPr>
          <w:spacing w:val="-6"/>
          <w:sz w:val="22"/>
        </w:rPr>
        <w:t> </w:t>
      </w:r>
      <w:r>
        <w:rPr>
          <w:sz w:val="22"/>
        </w:rPr>
        <w:t>for</w:t>
      </w:r>
      <w:r>
        <w:rPr>
          <w:spacing w:val="-2"/>
          <w:sz w:val="22"/>
        </w:rPr>
        <w:t> </w:t>
      </w:r>
      <w:r>
        <w:rPr>
          <w:sz w:val="22"/>
        </w:rPr>
        <w:t>ACO</w:t>
      </w:r>
      <w:r>
        <w:rPr>
          <w:spacing w:val="-4"/>
          <w:sz w:val="22"/>
        </w:rPr>
        <w:t> </w:t>
      </w:r>
      <w:r>
        <w:rPr>
          <w:sz w:val="22"/>
        </w:rPr>
        <w:t>sub-</w:t>
      </w:r>
      <w:r>
        <w:rPr>
          <w:spacing w:val="-2"/>
          <w:sz w:val="22"/>
        </w:rPr>
        <w:t>streams</w:t>
      </w:r>
    </w:p>
    <w:p>
      <w:pPr>
        <w:pStyle w:val="ListParagraph"/>
        <w:numPr>
          <w:ilvl w:val="0"/>
          <w:numId w:val="67"/>
        </w:numPr>
        <w:tabs>
          <w:tab w:pos="1940" w:val="left" w:leader="none"/>
        </w:tabs>
        <w:spacing w:line="269" w:lineRule="exact" w:before="0" w:after="0"/>
        <w:ind w:left="1940" w:right="0" w:hanging="360"/>
        <w:jc w:val="left"/>
        <w:rPr>
          <w:sz w:val="22"/>
        </w:rPr>
      </w:pPr>
      <w:r>
        <w:rPr>
          <w:sz w:val="22"/>
        </w:rPr>
        <w:t>Section</w:t>
      </w:r>
      <w:r>
        <w:rPr>
          <w:spacing w:val="-6"/>
          <w:sz w:val="22"/>
        </w:rPr>
        <w:t> </w:t>
      </w:r>
      <w:r>
        <w:rPr>
          <w:sz w:val="22"/>
        </w:rPr>
        <w:t>4.5:</w:t>
      </w:r>
      <w:r>
        <w:rPr>
          <w:spacing w:val="-2"/>
          <w:sz w:val="22"/>
        </w:rPr>
        <w:t> </w:t>
      </w:r>
      <w:r>
        <w:rPr>
          <w:sz w:val="22"/>
        </w:rPr>
        <w:t>provides</w:t>
      </w:r>
      <w:r>
        <w:rPr>
          <w:spacing w:val="-5"/>
          <w:sz w:val="22"/>
        </w:rPr>
        <w:t> </w:t>
      </w:r>
      <w:r>
        <w:rPr>
          <w:sz w:val="22"/>
        </w:rPr>
        <w:t>detail</w:t>
      </w:r>
      <w:r>
        <w:rPr>
          <w:spacing w:val="-5"/>
          <w:sz w:val="22"/>
        </w:rPr>
        <w:t> </w:t>
      </w:r>
      <w:r>
        <w:rPr>
          <w:sz w:val="22"/>
        </w:rPr>
        <w:t>on</w:t>
      </w:r>
      <w:r>
        <w:rPr>
          <w:spacing w:val="-3"/>
          <w:sz w:val="22"/>
        </w:rPr>
        <w:t> </w:t>
      </w:r>
      <w:r>
        <w:rPr>
          <w:sz w:val="22"/>
        </w:rPr>
        <w:t>payment</w:t>
      </w:r>
      <w:r>
        <w:rPr>
          <w:spacing w:val="-2"/>
          <w:sz w:val="22"/>
        </w:rPr>
        <w:t> </w:t>
      </w:r>
      <w:r>
        <w:rPr>
          <w:sz w:val="22"/>
        </w:rPr>
        <w:t>calculation</w:t>
      </w:r>
      <w:r>
        <w:rPr>
          <w:spacing w:val="-3"/>
          <w:sz w:val="22"/>
        </w:rPr>
        <w:t> </w:t>
      </w:r>
      <w:r>
        <w:rPr>
          <w:sz w:val="22"/>
        </w:rPr>
        <w:t>and</w:t>
      </w:r>
      <w:r>
        <w:rPr>
          <w:spacing w:val="-3"/>
          <w:sz w:val="22"/>
        </w:rPr>
        <w:t> </w:t>
      </w:r>
      <w:r>
        <w:rPr>
          <w:sz w:val="22"/>
        </w:rPr>
        <w:t>timing</w:t>
      </w:r>
      <w:r>
        <w:rPr>
          <w:spacing w:val="-6"/>
          <w:sz w:val="22"/>
        </w:rPr>
        <w:t> </w:t>
      </w:r>
      <w:r>
        <w:rPr>
          <w:sz w:val="22"/>
        </w:rPr>
        <w:t>for</w:t>
      </w:r>
      <w:r>
        <w:rPr>
          <w:spacing w:val="-2"/>
          <w:sz w:val="22"/>
        </w:rPr>
        <w:t> </w:t>
      </w:r>
      <w:r>
        <w:rPr>
          <w:sz w:val="22"/>
        </w:rPr>
        <w:t>CP</w:t>
      </w:r>
      <w:r>
        <w:rPr>
          <w:spacing w:val="-4"/>
          <w:sz w:val="22"/>
        </w:rPr>
        <w:t> </w:t>
      </w:r>
      <w:r>
        <w:rPr>
          <w:sz w:val="22"/>
        </w:rPr>
        <w:t>and</w:t>
      </w:r>
      <w:r>
        <w:rPr>
          <w:spacing w:val="-3"/>
          <w:sz w:val="22"/>
        </w:rPr>
        <w:t> </w:t>
      </w:r>
      <w:r>
        <w:rPr>
          <w:sz w:val="22"/>
        </w:rPr>
        <w:t>CSA</w:t>
      </w:r>
      <w:r>
        <w:rPr>
          <w:spacing w:val="-4"/>
          <w:sz w:val="22"/>
        </w:rPr>
        <w:t> </w:t>
      </w:r>
      <w:r>
        <w:rPr>
          <w:sz w:val="22"/>
        </w:rPr>
        <w:t>sub-</w:t>
      </w:r>
      <w:r>
        <w:rPr>
          <w:spacing w:val="-2"/>
          <w:sz w:val="22"/>
        </w:rPr>
        <w:t>streams</w:t>
      </w:r>
    </w:p>
    <w:p>
      <w:pPr>
        <w:pStyle w:val="ListParagraph"/>
        <w:numPr>
          <w:ilvl w:val="0"/>
          <w:numId w:val="67"/>
        </w:numPr>
        <w:tabs>
          <w:tab w:pos="1940" w:val="left" w:leader="none"/>
        </w:tabs>
        <w:spacing w:line="269" w:lineRule="exact" w:before="0" w:after="0"/>
        <w:ind w:left="1940" w:right="0" w:hanging="360"/>
        <w:jc w:val="left"/>
        <w:rPr>
          <w:sz w:val="22"/>
        </w:rPr>
      </w:pPr>
      <w:r>
        <w:rPr>
          <w:sz w:val="22"/>
        </w:rPr>
        <w:t>Section</w:t>
      </w:r>
      <w:r>
        <w:rPr>
          <w:spacing w:val="-6"/>
          <w:sz w:val="22"/>
        </w:rPr>
        <w:t> </w:t>
      </w:r>
      <w:r>
        <w:rPr>
          <w:sz w:val="22"/>
        </w:rPr>
        <w:t>4.6:</w:t>
      </w:r>
      <w:r>
        <w:rPr>
          <w:spacing w:val="-3"/>
          <w:sz w:val="22"/>
        </w:rPr>
        <w:t> </w:t>
      </w:r>
      <w:r>
        <w:rPr>
          <w:sz w:val="22"/>
        </w:rPr>
        <w:t>provides</w:t>
      </w:r>
      <w:r>
        <w:rPr>
          <w:spacing w:val="-6"/>
          <w:sz w:val="22"/>
        </w:rPr>
        <w:t> </w:t>
      </w:r>
      <w:r>
        <w:rPr>
          <w:sz w:val="22"/>
        </w:rPr>
        <w:t>funding</w:t>
      </w:r>
      <w:r>
        <w:rPr>
          <w:spacing w:val="-7"/>
          <w:sz w:val="22"/>
        </w:rPr>
        <w:t> </w:t>
      </w:r>
      <w:r>
        <w:rPr>
          <w:sz w:val="22"/>
        </w:rPr>
        <w:t>information</w:t>
      </w:r>
      <w:r>
        <w:rPr>
          <w:spacing w:val="-4"/>
          <w:sz w:val="22"/>
        </w:rPr>
        <w:t> </w:t>
      </w:r>
      <w:r>
        <w:rPr>
          <w:sz w:val="22"/>
        </w:rPr>
        <w:t>on</w:t>
      </w:r>
      <w:r>
        <w:rPr>
          <w:spacing w:val="-4"/>
          <w:sz w:val="22"/>
        </w:rPr>
        <w:t> </w:t>
      </w:r>
      <w:r>
        <w:rPr>
          <w:sz w:val="22"/>
        </w:rPr>
        <w:t>Statewide</w:t>
      </w:r>
      <w:r>
        <w:rPr>
          <w:spacing w:val="-3"/>
          <w:sz w:val="22"/>
        </w:rPr>
        <w:t> </w:t>
      </w:r>
      <w:r>
        <w:rPr>
          <w:spacing w:val="-2"/>
          <w:sz w:val="22"/>
        </w:rPr>
        <w:t>Investments</w:t>
      </w:r>
    </w:p>
    <w:p>
      <w:pPr>
        <w:pStyle w:val="ListParagraph"/>
        <w:numPr>
          <w:ilvl w:val="0"/>
          <w:numId w:val="67"/>
        </w:numPr>
        <w:tabs>
          <w:tab w:pos="1940" w:val="left" w:leader="none"/>
        </w:tabs>
        <w:spacing w:line="269" w:lineRule="exact" w:before="0" w:after="0"/>
        <w:ind w:left="1940" w:right="0" w:hanging="360"/>
        <w:jc w:val="left"/>
        <w:rPr>
          <w:sz w:val="22"/>
        </w:rPr>
      </w:pPr>
      <w:r>
        <w:rPr>
          <w:sz w:val="22"/>
        </w:rPr>
        <w:t>Section</w:t>
      </w:r>
      <w:r>
        <w:rPr>
          <w:spacing w:val="-4"/>
          <w:sz w:val="22"/>
        </w:rPr>
        <w:t> </w:t>
      </w:r>
      <w:r>
        <w:rPr>
          <w:sz w:val="22"/>
        </w:rPr>
        <w:t>4.7:</w:t>
      </w:r>
      <w:r>
        <w:rPr>
          <w:spacing w:val="-2"/>
          <w:sz w:val="22"/>
        </w:rPr>
        <w:t> </w:t>
      </w:r>
      <w:r>
        <w:rPr>
          <w:sz w:val="22"/>
        </w:rPr>
        <w:t>provides</w:t>
      </w:r>
      <w:r>
        <w:rPr>
          <w:spacing w:val="-5"/>
          <w:sz w:val="22"/>
        </w:rPr>
        <w:t> </w:t>
      </w:r>
      <w:r>
        <w:rPr>
          <w:sz w:val="22"/>
        </w:rPr>
        <w:t>detail</w:t>
      </w:r>
      <w:r>
        <w:rPr>
          <w:spacing w:val="-5"/>
          <w:sz w:val="22"/>
        </w:rPr>
        <w:t> </w:t>
      </w:r>
      <w:r>
        <w:rPr>
          <w:sz w:val="22"/>
        </w:rPr>
        <w:t>on</w:t>
      </w:r>
      <w:r>
        <w:rPr>
          <w:spacing w:val="-3"/>
          <w:sz w:val="22"/>
        </w:rPr>
        <w:t> </w:t>
      </w:r>
      <w:r>
        <w:rPr>
          <w:sz w:val="22"/>
        </w:rPr>
        <w:t>DSRIP</w:t>
      </w:r>
      <w:r>
        <w:rPr>
          <w:spacing w:val="-4"/>
          <w:sz w:val="22"/>
        </w:rPr>
        <w:t> </w:t>
      </w:r>
      <w:r>
        <w:rPr>
          <w:sz w:val="22"/>
        </w:rPr>
        <w:t>carry</w:t>
      </w:r>
      <w:r>
        <w:rPr>
          <w:spacing w:val="-6"/>
          <w:sz w:val="22"/>
        </w:rPr>
        <w:t> </w:t>
      </w:r>
      <w:r>
        <w:rPr>
          <w:sz w:val="22"/>
        </w:rPr>
        <w:t>forward</w:t>
      </w:r>
      <w:r>
        <w:rPr>
          <w:spacing w:val="-5"/>
          <w:sz w:val="22"/>
        </w:rPr>
        <w:t> </w:t>
      </w:r>
      <w:r>
        <w:rPr>
          <w:spacing w:val="-2"/>
          <w:sz w:val="22"/>
        </w:rPr>
        <w:t>capacity</w:t>
      </w:r>
    </w:p>
    <w:p>
      <w:pPr>
        <w:pStyle w:val="Heading2"/>
        <w:numPr>
          <w:ilvl w:val="1"/>
          <w:numId w:val="68"/>
        </w:numPr>
        <w:tabs>
          <w:tab w:pos="1683" w:val="left" w:leader="none"/>
        </w:tabs>
        <w:spacing w:line="298" w:lineRule="exact" w:before="202" w:after="0"/>
        <w:ind w:left="1683" w:right="0" w:hanging="463"/>
        <w:jc w:val="left"/>
      </w:pPr>
      <w:bookmarkStart w:name="4.1  Overview and Outline" w:id="1282"/>
      <w:bookmarkEnd w:id="1282"/>
      <w:r>
        <w:rPr>
          <w:b w:val="0"/>
        </w:rPr>
      </w:r>
      <w:bookmarkStart w:name="_bookmark35" w:id="1283"/>
      <w:bookmarkEnd w:id="1283"/>
      <w:r>
        <w:rPr>
          <w:color w:val="4471C4"/>
        </w:rPr>
        <w:t>Overvie</w:t>
      </w:r>
      <w:r>
        <w:rPr>
          <w:color w:val="4471C4"/>
        </w:rPr>
        <w:t>w</w:t>
      </w:r>
      <w:r>
        <w:rPr>
          <w:color w:val="4471C4"/>
          <w:spacing w:val="-9"/>
        </w:rPr>
        <w:t> </w:t>
      </w:r>
      <w:r>
        <w:rPr>
          <w:color w:val="4471C4"/>
        </w:rPr>
        <w:t>and</w:t>
      </w:r>
      <w:r>
        <w:rPr>
          <w:color w:val="4471C4"/>
          <w:spacing w:val="-12"/>
        </w:rPr>
        <w:t> </w:t>
      </w:r>
      <w:r>
        <w:rPr>
          <w:color w:val="4471C4"/>
          <w:spacing w:val="-2"/>
        </w:rPr>
        <w:t>Outline</w:t>
      </w:r>
    </w:p>
    <w:p>
      <w:pPr>
        <w:spacing w:line="244" w:lineRule="auto" w:before="0"/>
        <w:ind w:left="1220" w:right="1096" w:firstLine="0"/>
        <w:jc w:val="both"/>
        <w:rPr>
          <w:sz w:val="22"/>
        </w:rPr>
      </w:pPr>
      <w:r>
        <w:rPr>
          <w:sz w:val="22"/>
        </w:rPr>
        <w:t>The State has divided the ACO, CPs and CSA DSRIP funding streams into eleven sub-streams: four for ACOs, three each for BH CPs and LTSS CPs and one for CSAs.</w:t>
      </w:r>
    </w:p>
    <w:p>
      <w:pPr>
        <w:spacing w:before="149"/>
        <w:ind w:left="1220" w:right="0" w:firstLine="0"/>
        <w:jc w:val="both"/>
        <w:rPr>
          <w:sz w:val="22"/>
        </w:rPr>
      </w:pPr>
      <w:r>
        <w:rPr>
          <w:sz w:val="22"/>
        </w:rPr>
        <w:t>EXHIBIT</w:t>
      </w:r>
      <w:r>
        <w:rPr>
          <w:spacing w:val="-2"/>
          <w:sz w:val="22"/>
        </w:rPr>
        <w:t> </w:t>
      </w:r>
      <w:r>
        <w:rPr>
          <w:sz w:val="22"/>
        </w:rPr>
        <w:t>4</w:t>
      </w:r>
      <w:r>
        <w:rPr>
          <w:spacing w:val="-3"/>
          <w:sz w:val="22"/>
        </w:rPr>
        <w:t> </w:t>
      </w:r>
      <w:r>
        <w:rPr>
          <w:sz w:val="22"/>
        </w:rPr>
        <w:t>–</w:t>
      </w:r>
      <w:r>
        <w:rPr>
          <w:spacing w:val="-3"/>
          <w:sz w:val="22"/>
        </w:rPr>
        <w:t> </w:t>
      </w:r>
      <w:r>
        <w:rPr>
          <w:sz w:val="22"/>
        </w:rPr>
        <w:t>ACO,</w:t>
      </w:r>
      <w:r>
        <w:rPr>
          <w:spacing w:val="-3"/>
          <w:sz w:val="22"/>
        </w:rPr>
        <w:t> </w:t>
      </w:r>
      <w:r>
        <w:rPr>
          <w:sz w:val="22"/>
        </w:rPr>
        <w:t>CP</w:t>
      </w:r>
      <w:r>
        <w:rPr>
          <w:spacing w:val="-4"/>
          <w:sz w:val="22"/>
        </w:rPr>
        <w:t> </w:t>
      </w:r>
      <w:r>
        <w:rPr>
          <w:sz w:val="22"/>
        </w:rPr>
        <w:t>and</w:t>
      </w:r>
      <w:r>
        <w:rPr>
          <w:spacing w:val="-3"/>
          <w:sz w:val="22"/>
        </w:rPr>
        <w:t> </w:t>
      </w:r>
      <w:r>
        <w:rPr>
          <w:sz w:val="22"/>
        </w:rPr>
        <w:t>CSA</w:t>
      </w:r>
      <w:r>
        <w:rPr>
          <w:spacing w:val="-4"/>
          <w:sz w:val="22"/>
        </w:rPr>
        <w:t> </w:t>
      </w:r>
      <w:r>
        <w:rPr>
          <w:sz w:val="22"/>
        </w:rPr>
        <w:t>Sub-</w:t>
      </w:r>
      <w:r>
        <w:rPr>
          <w:spacing w:val="-2"/>
          <w:sz w:val="22"/>
        </w:rPr>
        <w:t>Streams</w:t>
      </w:r>
    </w:p>
    <w:p>
      <w:pPr>
        <w:pStyle w:val="BodyText"/>
        <w:spacing w:line="20" w:lineRule="exact"/>
        <w:ind w:left="1220"/>
        <w:rPr>
          <w:sz w:val="2"/>
        </w:rPr>
      </w:pPr>
      <w:r>
        <w:rPr>
          <w:sz w:val="2"/>
        </w:rPr>
        <mc:AlternateContent>
          <mc:Choice Requires="wps">
            <w:drawing>
              <wp:inline distT="0" distB="0" distL="0" distR="0">
                <wp:extent cx="5943600" cy="6350"/>
                <wp:effectExtent l="0" t="0" r="0" b="0"/>
                <wp:docPr id="847" name="Group 847"/>
                <wp:cNvGraphicFramePr>
                  <a:graphicFrameLocks/>
                </wp:cNvGraphicFramePr>
                <a:graphic>
                  <a:graphicData uri="http://schemas.microsoft.com/office/word/2010/wordprocessingGroup">
                    <wpg:wgp>
                      <wpg:cNvPr id="847" name="Group 847"/>
                      <wpg:cNvGrpSpPr/>
                      <wpg:grpSpPr>
                        <a:xfrm>
                          <a:off x="0" y="0"/>
                          <a:ext cx="5943600" cy="6350"/>
                          <a:chExt cx="5943600" cy="6350"/>
                        </a:xfrm>
                      </wpg:grpSpPr>
                      <wps:wsp>
                        <wps:cNvPr id="848" name="Graphic 848"/>
                        <wps:cNvSpPr/>
                        <wps:spPr>
                          <a:xfrm>
                            <a:off x="0" y="0"/>
                            <a:ext cx="5943600" cy="6350"/>
                          </a:xfrm>
                          <a:custGeom>
                            <a:avLst/>
                            <a:gdLst/>
                            <a:ahLst/>
                            <a:cxnLst/>
                            <a:rect l="l" t="t" r="r" b="b"/>
                            <a:pathLst>
                              <a:path w="5943600" h="6350">
                                <a:moveTo>
                                  <a:pt x="5943600" y="0"/>
                                </a:moveTo>
                                <a:lnTo>
                                  <a:pt x="0" y="0"/>
                                </a:lnTo>
                                <a:lnTo>
                                  <a:pt x="0" y="6095"/>
                                </a:lnTo>
                                <a:lnTo>
                                  <a:pt x="5943600" y="6095"/>
                                </a:lnTo>
                                <a:lnTo>
                                  <a:pt x="59436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68pt;height:.5pt;mso-position-horizontal-relative:char;mso-position-vertical-relative:line" id="docshapegroup68" coordorigin="0,0" coordsize="9360,10">
                <v:rect style="position:absolute;left:0;top:0;width:9360;height:10" id="docshape69" filled="true" fillcolor="#000000" stroked="false">
                  <v:fill type="solid"/>
                </v:rect>
              </v:group>
            </w:pict>
          </mc:Fallback>
        </mc:AlternateContent>
      </w:r>
      <w:r>
        <w:rPr>
          <w:sz w:val="2"/>
        </w:rPr>
      </w:r>
    </w:p>
    <w:tbl>
      <w:tblPr>
        <w:tblW w:w="0" w:type="auto"/>
        <w:jc w:val="left"/>
        <w:tblInd w:w="1348" w:type="dxa"/>
        <w:tblBorders>
          <w:top w:val="single" w:sz="8" w:space="0" w:color="BEBEBE"/>
          <w:left w:val="single" w:sz="8" w:space="0" w:color="BEBEBE"/>
          <w:bottom w:val="single" w:sz="8" w:space="0" w:color="BEBEBE"/>
          <w:right w:val="single" w:sz="8" w:space="0" w:color="BEBEBE"/>
          <w:insideH w:val="single" w:sz="8" w:space="0" w:color="BEBEBE"/>
          <w:insideV w:val="single" w:sz="8" w:space="0" w:color="BEBEBE"/>
        </w:tblBorders>
        <w:tblLayout w:type="fixed"/>
        <w:tblCellMar>
          <w:top w:w="0" w:type="dxa"/>
          <w:left w:w="0" w:type="dxa"/>
          <w:bottom w:w="0" w:type="dxa"/>
          <w:right w:w="0" w:type="dxa"/>
        </w:tblCellMar>
        <w:tblLook w:val="01E0"/>
      </w:tblPr>
      <w:tblGrid>
        <w:gridCol w:w="3286"/>
        <w:gridCol w:w="1481"/>
        <w:gridCol w:w="1483"/>
        <w:gridCol w:w="2875"/>
      </w:tblGrid>
      <w:tr>
        <w:trPr>
          <w:trHeight w:val="310" w:hRule="atLeast"/>
        </w:trPr>
        <w:tc>
          <w:tcPr>
            <w:tcW w:w="3286" w:type="dxa"/>
            <w:tcBorders>
              <w:bottom w:val="nil"/>
              <w:right w:val="single" w:sz="4" w:space="0" w:color="BEBEBE"/>
            </w:tcBorders>
            <w:shd w:val="clear" w:color="auto" w:fill="1F487C"/>
          </w:tcPr>
          <w:p>
            <w:pPr>
              <w:pStyle w:val="TableParagraph"/>
              <w:spacing w:before="25"/>
              <w:ind w:left="688" w:right="679"/>
              <w:jc w:val="center"/>
              <w:rPr>
                <w:b/>
                <w:sz w:val="20"/>
              </w:rPr>
            </w:pPr>
            <w:r>
              <w:rPr>
                <w:b/>
                <w:color w:val="FFFFFF"/>
                <w:sz w:val="20"/>
              </w:rPr>
              <w:t>ACO</w:t>
            </w:r>
            <w:r>
              <w:rPr>
                <w:b/>
                <w:color w:val="FFFFFF"/>
                <w:spacing w:val="-8"/>
                <w:sz w:val="20"/>
              </w:rPr>
              <w:t> </w:t>
            </w:r>
            <w:r>
              <w:rPr>
                <w:b/>
                <w:color w:val="FFFFFF"/>
                <w:sz w:val="20"/>
              </w:rPr>
              <w:t>Funding</w:t>
            </w:r>
            <w:r>
              <w:rPr>
                <w:b/>
                <w:color w:val="FFFFFF"/>
                <w:spacing w:val="-7"/>
                <w:sz w:val="20"/>
              </w:rPr>
              <w:t> </w:t>
            </w:r>
            <w:r>
              <w:rPr>
                <w:b/>
                <w:color w:val="FFFFFF"/>
                <w:spacing w:val="-2"/>
                <w:sz w:val="20"/>
              </w:rPr>
              <w:t>Stream</w:t>
            </w:r>
          </w:p>
        </w:tc>
        <w:tc>
          <w:tcPr>
            <w:tcW w:w="1481" w:type="dxa"/>
            <w:tcBorders>
              <w:left w:val="single" w:sz="4" w:space="0" w:color="BEBEBE"/>
              <w:bottom w:val="nil"/>
              <w:right w:val="nil"/>
            </w:tcBorders>
            <w:shd w:val="clear" w:color="auto" w:fill="1F487C"/>
          </w:tcPr>
          <w:p>
            <w:pPr>
              <w:pStyle w:val="TableParagraph"/>
              <w:rPr>
                <w:sz w:val="20"/>
              </w:rPr>
            </w:pPr>
          </w:p>
        </w:tc>
        <w:tc>
          <w:tcPr>
            <w:tcW w:w="4358" w:type="dxa"/>
            <w:gridSpan w:val="2"/>
            <w:tcBorders>
              <w:left w:val="nil"/>
              <w:bottom w:val="nil"/>
            </w:tcBorders>
            <w:shd w:val="clear" w:color="auto" w:fill="1F487C"/>
          </w:tcPr>
          <w:p>
            <w:pPr>
              <w:pStyle w:val="TableParagraph"/>
              <w:spacing w:before="25"/>
              <w:ind w:left="179"/>
              <w:rPr>
                <w:b/>
                <w:sz w:val="20"/>
              </w:rPr>
            </w:pPr>
            <w:r>
              <w:rPr>
                <w:b/>
                <w:color w:val="FFFFFF"/>
                <w:sz w:val="20"/>
              </w:rPr>
              <w:t>CP</w:t>
            </w:r>
            <w:r>
              <w:rPr>
                <w:b/>
                <w:color w:val="FFFFFF"/>
                <w:spacing w:val="-5"/>
                <w:sz w:val="20"/>
              </w:rPr>
              <w:t> </w:t>
            </w:r>
            <w:r>
              <w:rPr>
                <w:b/>
                <w:color w:val="FFFFFF"/>
                <w:sz w:val="20"/>
              </w:rPr>
              <w:t>and</w:t>
            </w:r>
            <w:r>
              <w:rPr>
                <w:b/>
                <w:color w:val="FFFFFF"/>
                <w:spacing w:val="-5"/>
                <w:sz w:val="20"/>
              </w:rPr>
              <w:t> </w:t>
            </w:r>
            <w:r>
              <w:rPr>
                <w:b/>
                <w:color w:val="FFFFFF"/>
                <w:sz w:val="20"/>
              </w:rPr>
              <w:t>CSA</w:t>
            </w:r>
            <w:r>
              <w:rPr>
                <w:b/>
                <w:color w:val="FFFFFF"/>
                <w:spacing w:val="-6"/>
                <w:sz w:val="20"/>
              </w:rPr>
              <w:t> </w:t>
            </w:r>
            <w:r>
              <w:rPr>
                <w:b/>
                <w:color w:val="FFFFFF"/>
                <w:sz w:val="20"/>
              </w:rPr>
              <w:t>Funding</w:t>
            </w:r>
            <w:r>
              <w:rPr>
                <w:b/>
                <w:color w:val="FFFFFF"/>
                <w:spacing w:val="-4"/>
                <w:sz w:val="20"/>
              </w:rPr>
              <w:t> </w:t>
            </w:r>
            <w:r>
              <w:rPr>
                <w:b/>
                <w:color w:val="FFFFFF"/>
                <w:spacing w:val="-2"/>
                <w:sz w:val="20"/>
              </w:rPr>
              <w:t>Stream</w:t>
            </w:r>
          </w:p>
        </w:tc>
      </w:tr>
      <w:tr>
        <w:trPr>
          <w:trHeight w:val="296" w:hRule="atLeast"/>
        </w:trPr>
        <w:tc>
          <w:tcPr>
            <w:tcW w:w="3286" w:type="dxa"/>
            <w:tcBorders>
              <w:top w:val="nil"/>
              <w:bottom w:val="single" w:sz="4" w:space="0" w:color="BEBEBE"/>
              <w:right w:val="single" w:sz="4" w:space="0" w:color="BEBEBE"/>
            </w:tcBorders>
            <w:shd w:val="clear" w:color="auto" w:fill="1F487C"/>
          </w:tcPr>
          <w:p>
            <w:pPr>
              <w:pStyle w:val="TableParagraph"/>
              <w:spacing w:before="15"/>
              <w:ind w:left="686" w:right="679"/>
              <w:jc w:val="center"/>
              <w:rPr>
                <w:b/>
                <w:sz w:val="20"/>
              </w:rPr>
            </w:pPr>
            <w:r>
              <w:rPr>
                <w:b/>
                <w:color w:val="FFFFFF"/>
                <w:sz w:val="20"/>
              </w:rPr>
              <w:t>4</w:t>
            </w:r>
            <w:r>
              <w:rPr>
                <w:b/>
                <w:color w:val="FFFFFF"/>
                <w:spacing w:val="-7"/>
                <w:sz w:val="20"/>
              </w:rPr>
              <w:t> </w:t>
            </w:r>
            <w:r>
              <w:rPr>
                <w:b/>
                <w:color w:val="FFFFFF"/>
                <w:sz w:val="20"/>
              </w:rPr>
              <w:t>sub-</w:t>
            </w:r>
            <w:r>
              <w:rPr>
                <w:b/>
                <w:color w:val="FFFFFF"/>
                <w:spacing w:val="-2"/>
                <w:sz w:val="20"/>
              </w:rPr>
              <w:t>streams</w:t>
            </w:r>
          </w:p>
        </w:tc>
        <w:tc>
          <w:tcPr>
            <w:tcW w:w="1481" w:type="dxa"/>
            <w:tcBorders>
              <w:top w:val="nil"/>
              <w:left w:val="single" w:sz="4" w:space="0" w:color="BEBEBE"/>
              <w:bottom w:val="single" w:sz="4" w:space="0" w:color="BEBEBE"/>
              <w:right w:val="nil"/>
            </w:tcBorders>
            <w:shd w:val="clear" w:color="auto" w:fill="1F487C"/>
          </w:tcPr>
          <w:p>
            <w:pPr>
              <w:pStyle w:val="TableParagraph"/>
              <w:rPr>
                <w:sz w:val="20"/>
              </w:rPr>
            </w:pPr>
          </w:p>
        </w:tc>
        <w:tc>
          <w:tcPr>
            <w:tcW w:w="4358" w:type="dxa"/>
            <w:gridSpan w:val="2"/>
            <w:tcBorders>
              <w:top w:val="nil"/>
              <w:left w:val="nil"/>
              <w:bottom w:val="single" w:sz="4" w:space="0" w:color="BEBEBE"/>
            </w:tcBorders>
            <w:shd w:val="clear" w:color="auto" w:fill="1F487C"/>
          </w:tcPr>
          <w:p>
            <w:pPr>
              <w:pStyle w:val="TableParagraph"/>
              <w:spacing w:before="15"/>
              <w:ind w:left="853"/>
              <w:rPr>
                <w:b/>
                <w:sz w:val="20"/>
              </w:rPr>
            </w:pPr>
            <w:r>
              <w:rPr>
                <w:b/>
                <w:color w:val="FFFFFF"/>
                <w:sz w:val="20"/>
              </w:rPr>
              <w:t>7</w:t>
            </w:r>
            <w:r>
              <w:rPr>
                <w:b/>
                <w:color w:val="FFFFFF"/>
                <w:spacing w:val="-7"/>
                <w:sz w:val="20"/>
              </w:rPr>
              <w:t> </w:t>
            </w:r>
            <w:r>
              <w:rPr>
                <w:b/>
                <w:color w:val="FFFFFF"/>
                <w:sz w:val="20"/>
              </w:rPr>
              <w:t>sub-</w:t>
            </w:r>
            <w:r>
              <w:rPr>
                <w:b/>
                <w:color w:val="FFFFFF"/>
                <w:spacing w:val="-2"/>
                <w:sz w:val="20"/>
              </w:rPr>
              <w:t>streams</w:t>
            </w:r>
          </w:p>
        </w:tc>
      </w:tr>
      <w:tr>
        <w:trPr>
          <w:trHeight w:val="303" w:hRule="atLeast"/>
        </w:trPr>
        <w:tc>
          <w:tcPr>
            <w:tcW w:w="3286" w:type="dxa"/>
            <w:vMerge w:val="restart"/>
            <w:tcBorders>
              <w:top w:val="single" w:sz="4" w:space="0" w:color="BEBEBE"/>
              <w:bottom w:val="single" w:sz="4" w:space="0" w:color="BEBEBE"/>
              <w:right w:val="single" w:sz="4" w:space="0" w:color="BEBEBE"/>
            </w:tcBorders>
            <w:shd w:val="clear" w:color="auto" w:fill="D9D9D9"/>
          </w:tcPr>
          <w:p>
            <w:pPr>
              <w:pStyle w:val="TableParagraph"/>
              <w:rPr>
                <w:sz w:val="20"/>
              </w:rPr>
            </w:pPr>
          </w:p>
        </w:tc>
        <w:tc>
          <w:tcPr>
            <w:tcW w:w="1481" w:type="dxa"/>
            <w:tcBorders>
              <w:top w:val="single" w:sz="4" w:space="0" w:color="BEBEBE"/>
              <w:left w:val="single" w:sz="4" w:space="0" w:color="BEBEBE"/>
              <w:bottom w:val="nil"/>
              <w:right w:val="single" w:sz="4" w:space="0" w:color="BEBEBE"/>
            </w:tcBorders>
            <w:shd w:val="clear" w:color="auto" w:fill="D9D9D9"/>
          </w:tcPr>
          <w:p>
            <w:pPr>
              <w:pStyle w:val="TableParagraph"/>
              <w:spacing w:before="18"/>
              <w:ind w:left="156" w:right="145"/>
              <w:jc w:val="center"/>
              <w:rPr>
                <w:b/>
                <w:sz w:val="20"/>
              </w:rPr>
            </w:pPr>
            <w:r>
              <w:rPr>
                <w:b/>
                <w:sz w:val="20"/>
              </w:rPr>
              <w:t>BH</w:t>
            </w:r>
            <w:r>
              <w:rPr>
                <w:b/>
                <w:spacing w:val="-1"/>
                <w:sz w:val="20"/>
              </w:rPr>
              <w:t> </w:t>
            </w:r>
            <w:r>
              <w:rPr>
                <w:b/>
                <w:spacing w:val="-4"/>
                <w:sz w:val="20"/>
              </w:rPr>
              <w:t>CPs:</w:t>
            </w:r>
          </w:p>
        </w:tc>
        <w:tc>
          <w:tcPr>
            <w:tcW w:w="1483" w:type="dxa"/>
            <w:tcBorders>
              <w:top w:val="single" w:sz="4" w:space="0" w:color="BEBEBE"/>
              <w:left w:val="single" w:sz="4" w:space="0" w:color="BEBEBE"/>
              <w:bottom w:val="nil"/>
              <w:right w:val="single" w:sz="4" w:space="0" w:color="BEBEBE"/>
            </w:tcBorders>
            <w:shd w:val="clear" w:color="auto" w:fill="D9D9D9"/>
          </w:tcPr>
          <w:p>
            <w:pPr>
              <w:pStyle w:val="TableParagraph"/>
              <w:spacing w:before="18"/>
              <w:ind w:left="173" w:right="158"/>
              <w:jc w:val="center"/>
              <w:rPr>
                <w:b/>
                <w:sz w:val="20"/>
              </w:rPr>
            </w:pPr>
            <w:r>
              <w:rPr>
                <w:b/>
                <w:sz w:val="20"/>
              </w:rPr>
              <w:t>LTSS</w:t>
            </w:r>
            <w:r>
              <w:rPr>
                <w:b/>
                <w:spacing w:val="-6"/>
                <w:sz w:val="20"/>
              </w:rPr>
              <w:t> </w:t>
            </w:r>
            <w:r>
              <w:rPr>
                <w:b/>
                <w:spacing w:val="-4"/>
                <w:sz w:val="20"/>
              </w:rPr>
              <w:t>CPs:</w:t>
            </w:r>
          </w:p>
        </w:tc>
        <w:tc>
          <w:tcPr>
            <w:tcW w:w="2875" w:type="dxa"/>
            <w:tcBorders>
              <w:top w:val="single" w:sz="4" w:space="0" w:color="BEBEBE"/>
              <w:left w:val="single" w:sz="4" w:space="0" w:color="BEBEBE"/>
              <w:bottom w:val="nil"/>
            </w:tcBorders>
            <w:shd w:val="clear" w:color="auto" w:fill="D9D9D9"/>
          </w:tcPr>
          <w:p>
            <w:pPr>
              <w:pStyle w:val="TableParagraph"/>
              <w:spacing w:before="18"/>
              <w:ind w:left="904" w:right="887"/>
              <w:jc w:val="center"/>
              <w:rPr>
                <w:b/>
                <w:sz w:val="20"/>
              </w:rPr>
            </w:pPr>
            <w:r>
              <w:rPr>
                <w:b/>
                <w:spacing w:val="-2"/>
                <w:sz w:val="20"/>
              </w:rPr>
              <w:t>CSAs:</w:t>
            </w:r>
          </w:p>
        </w:tc>
      </w:tr>
      <w:tr>
        <w:trPr>
          <w:trHeight w:val="296" w:hRule="atLeast"/>
        </w:trPr>
        <w:tc>
          <w:tcPr>
            <w:tcW w:w="3286" w:type="dxa"/>
            <w:vMerge/>
            <w:tcBorders>
              <w:top w:val="nil"/>
              <w:bottom w:val="single" w:sz="4" w:space="0" w:color="BEBEBE"/>
              <w:right w:val="single" w:sz="4" w:space="0" w:color="BEBEBE"/>
            </w:tcBorders>
            <w:shd w:val="clear" w:color="auto" w:fill="D9D9D9"/>
          </w:tcPr>
          <w:p>
            <w:pPr>
              <w:rPr>
                <w:sz w:val="2"/>
                <w:szCs w:val="2"/>
              </w:rPr>
            </w:pPr>
          </w:p>
        </w:tc>
        <w:tc>
          <w:tcPr>
            <w:tcW w:w="1481" w:type="dxa"/>
            <w:tcBorders>
              <w:top w:val="nil"/>
              <w:left w:val="single" w:sz="4" w:space="0" w:color="BEBEBE"/>
              <w:bottom w:val="single" w:sz="4" w:space="0" w:color="BEBEBE"/>
              <w:right w:val="single" w:sz="4" w:space="0" w:color="BEBEBE"/>
            </w:tcBorders>
            <w:shd w:val="clear" w:color="auto" w:fill="D9D9D9"/>
          </w:tcPr>
          <w:p>
            <w:pPr>
              <w:pStyle w:val="TableParagraph"/>
              <w:spacing w:before="15"/>
              <w:ind w:left="156" w:right="142"/>
              <w:jc w:val="center"/>
              <w:rPr>
                <w:i/>
                <w:sz w:val="20"/>
              </w:rPr>
            </w:pPr>
            <w:r>
              <w:rPr>
                <w:i/>
                <w:sz w:val="20"/>
              </w:rPr>
              <w:t>3</w:t>
            </w:r>
            <w:r>
              <w:rPr>
                <w:i/>
                <w:spacing w:val="-3"/>
                <w:sz w:val="20"/>
              </w:rPr>
              <w:t> </w:t>
            </w:r>
            <w:r>
              <w:rPr>
                <w:i/>
                <w:sz w:val="20"/>
              </w:rPr>
              <w:t>sub-</w:t>
            </w:r>
            <w:r>
              <w:rPr>
                <w:i/>
                <w:spacing w:val="-2"/>
                <w:sz w:val="20"/>
              </w:rPr>
              <w:t>streams</w:t>
            </w:r>
          </w:p>
        </w:tc>
        <w:tc>
          <w:tcPr>
            <w:tcW w:w="1483" w:type="dxa"/>
            <w:tcBorders>
              <w:top w:val="nil"/>
              <w:left w:val="single" w:sz="4" w:space="0" w:color="BEBEBE"/>
              <w:bottom w:val="single" w:sz="4" w:space="0" w:color="BEBEBE"/>
              <w:right w:val="single" w:sz="4" w:space="0" w:color="BEBEBE"/>
            </w:tcBorders>
            <w:shd w:val="clear" w:color="auto" w:fill="D9D9D9"/>
          </w:tcPr>
          <w:p>
            <w:pPr>
              <w:pStyle w:val="TableParagraph"/>
              <w:spacing w:before="15"/>
              <w:ind w:left="174" w:right="158"/>
              <w:jc w:val="center"/>
              <w:rPr>
                <w:i/>
                <w:sz w:val="20"/>
              </w:rPr>
            </w:pPr>
            <w:r>
              <w:rPr>
                <w:i/>
                <w:sz w:val="20"/>
              </w:rPr>
              <w:t>3</w:t>
            </w:r>
            <w:r>
              <w:rPr>
                <w:i/>
                <w:spacing w:val="-3"/>
                <w:sz w:val="20"/>
              </w:rPr>
              <w:t> </w:t>
            </w:r>
            <w:r>
              <w:rPr>
                <w:i/>
                <w:sz w:val="20"/>
              </w:rPr>
              <w:t>sub-</w:t>
            </w:r>
            <w:r>
              <w:rPr>
                <w:i/>
                <w:spacing w:val="-2"/>
                <w:sz w:val="20"/>
              </w:rPr>
              <w:t>streams</w:t>
            </w:r>
          </w:p>
        </w:tc>
        <w:tc>
          <w:tcPr>
            <w:tcW w:w="2875" w:type="dxa"/>
            <w:tcBorders>
              <w:top w:val="nil"/>
              <w:left w:val="single" w:sz="4" w:space="0" w:color="BEBEBE"/>
              <w:bottom w:val="single" w:sz="4" w:space="0" w:color="BEBEBE"/>
            </w:tcBorders>
            <w:shd w:val="clear" w:color="auto" w:fill="D9D9D9"/>
          </w:tcPr>
          <w:p>
            <w:pPr>
              <w:pStyle w:val="TableParagraph"/>
              <w:spacing w:before="15"/>
              <w:ind w:left="908" w:right="887"/>
              <w:jc w:val="center"/>
              <w:rPr>
                <w:i/>
                <w:sz w:val="20"/>
              </w:rPr>
            </w:pPr>
            <w:r>
              <w:rPr>
                <w:i/>
                <w:sz w:val="20"/>
              </w:rPr>
              <w:t>1</w:t>
            </w:r>
            <w:r>
              <w:rPr>
                <w:i/>
                <w:spacing w:val="-3"/>
                <w:sz w:val="20"/>
              </w:rPr>
              <w:t> </w:t>
            </w:r>
            <w:r>
              <w:rPr>
                <w:i/>
                <w:sz w:val="20"/>
              </w:rPr>
              <w:t>sub-</w:t>
            </w:r>
            <w:r>
              <w:rPr>
                <w:i/>
                <w:spacing w:val="-2"/>
                <w:sz w:val="20"/>
              </w:rPr>
              <w:t>stream</w:t>
            </w:r>
          </w:p>
        </w:tc>
      </w:tr>
      <w:tr>
        <w:trPr>
          <w:trHeight w:val="1746" w:hRule="atLeast"/>
        </w:trPr>
        <w:tc>
          <w:tcPr>
            <w:tcW w:w="3286" w:type="dxa"/>
            <w:tcBorders>
              <w:top w:val="single" w:sz="4" w:space="0" w:color="BEBEBE"/>
              <w:right w:val="single" w:sz="4" w:space="0" w:color="BEBEBE"/>
            </w:tcBorders>
          </w:tcPr>
          <w:p>
            <w:pPr>
              <w:pStyle w:val="TableParagraph"/>
              <w:spacing w:before="4"/>
              <w:rPr>
                <w:sz w:val="24"/>
              </w:rPr>
            </w:pPr>
          </w:p>
          <w:p>
            <w:pPr>
              <w:pStyle w:val="TableParagraph"/>
              <w:numPr>
                <w:ilvl w:val="0"/>
                <w:numId w:val="69"/>
              </w:numPr>
              <w:tabs>
                <w:tab w:pos="327" w:val="left" w:leader="none"/>
              </w:tabs>
              <w:spacing w:line="240" w:lineRule="auto" w:before="0" w:after="0"/>
              <w:ind w:left="327" w:right="0" w:hanging="220"/>
              <w:jc w:val="left"/>
              <w:rPr>
                <w:sz w:val="20"/>
              </w:rPr>
            </w:pPr>
            <w:r>
              <w:rPr>
                <w:spacing w:val="-2"/>
                <w:sz w:val="20"/>
              </w:rPr>
              <w:t>Startup/Ongoing:</w:t>
            </w:r>
            <w:r>
              <w:rPr>
                <w:spacing w:val="11"/>
                <w:sz w:val="20"/>
              </w:rPr>
              <w:t> </w:t>
            </w:r>
            <w:r>
              <w:rPr>
                <w:spacing w:val="-2"/>
                <w:sz w:val="20"/>
              </w:rPr>
              <w:t>primary</w:t>
            </w:r>
            <w:r>
              <w:rPr>
                <w:spacing w:val="7"/>
                <w:sz w:val="20"/>
              </w:rPr>
              <w:t> </w:t>
            </w:r>
            <w:r>
              <w:rPr>
                <w:spacing w:val="-4"/>
                <w:sz w:val="20"/>
              </w:rPr>
              <w:t>care</w:t>
            </w:r>
          </w:p>
          <w:p>
            <w:pPr>
              <w:pStyle w:val="TableParagraph"/>
              <w:spacing w:before="1"/>
              <w:ind w:left="107"/>
              <w:rPr>
                <w:sz w:val="20"/>
              </w:rPr>
            </w:pPr>
            <w:r>
              <w:rPr>
                <w:spacing w:val="-2"/>
                <w:sz w:val="20"/>
              </w:rPr>
              <w:t>investment</w:t>
            </w:r>
          </w:p>
          <w:p>
            <w:pPr>
              <w:pStyle w:val="TableParagraph"/>
              <w:numPr>
                <w:ilvl w:val="0"/>
                <w:numId w:val="69"/>
              </w:numPr>
              <w:tabs>
                <w:tab w:pos="327" w:val="left" w:leader="none"/>
              </w:tabs>
              <w:spacing w:line="229" w:lineRule="exact" w:before="0" w:after="0"/>
              <w:ind w:left="327" w:right="0" w:hanging="220"/>
              <w:jc w:val="left"/>
              <w:rPr>
                <w:sz w:val="20"/>
              </w:rPr>
            </w:pPr>
            <w:r>
              <w:rPr>
                <w:spacing w:val="-2"/>
                <w:sz w:val="20"/>
              </w:rPr>
              <w:t>Startup/Ongoing:</w:t>
            </w:r>
            <w:r>
              <w:rPr>
                <w:spacing w:val="13"/>
                <w:sz w:val="20"/>
              </w:rPr>
              <w:t> </w:t>
            </w:r>
            <w:r>
              <w:rPr>
                <w:spacing w:val="-2"/>
                <w:sz w:val="20"/>
              </w:rPr>
              <w:t>discretionary</w:t>
            </w:r>
          </w:p>
          <w:p>
            <w:pPr>
              <w:pStyle w:val="TableParagraph"/>
              <w:numPr>
                <w:ilvl w:val="0"/>
                <w:numId w:val="69"/>
              </w:numPr>
              <w:tabs>
                <w:tab w:pos="327" w:val="left" w:leader="none"/>
              </w:tabs>
              <w:spacing w:line="229" w:lineRule="exact" w:before="0" w:after="0"/>
              <w:ind w:left="327" w:right="0" w:hanging="220"/>
              <w:jc w:val="left"/>
              <w:rPr>
                <w:sz w:val="20"/>
              </w:rPr>
            </w:pPr>
            <w:r>
              <w:rPr>
                <w:sz w:val="20"/>
              </w:rPr>
              <w:t>Flexible</w:t>
            </w:r>
            <w:r>
              <w:rPr>
                <w:spacing w:val="-12"/>
                <w:sz w:val="20"/>
              </w:rPr>
              <w:t> </w:t>
            </w:r>
            <w:r>
              <w:rPr>
                <w:spacing w:val="-2"/>
                <w:sz w:val="20"/>
              </w:rPr>
              <w:t>services</w:t>
            </w:r>
          </w:p>
          <w:p>
            <w:pPr>
              <w:pStyle w:val="TableParagraph"/>
              <w:numPr>
                <w:ilvl w:val="0"/>
                <w:numId w:val="69"/>
              </w:numPr>
              <w:tabs>
                <w:tab w:pos="277" w:val="left" w:leader="none"/>
              </w:tabs>
              <w:spacing w:line="240" w:lineRule="auto" w:before="0" w:after="0"/>
              <w:ind w:left="277" w:right="0" w:hanging="170"/>
              <w:jc w:val="left"/>
              <w:rPr>
                <w:sz w:val="20"/>
              </w:rPr>
            </w:pPr>
            <w:r>
              <w:rPr/>
              <mc:AlternateContent>
                <mc:Choice Requires="wps">
                  <w:drawing>
                    <wp:anchor distT="0" distB="0" distL="0" distR="0" allowOverlap="1" layoutInCell="1" locked="0" behindDoc="0" simplePos="0" relativeHeight="16137216">
                      <wp:simplePos x="0" y="0"/>
                      <wp:positionH relativeFrom="column">
                        <wp:posOffset>-83819</wp:posOffset>
                      </wp:positionH>
                      <wp:positionV relativeFrom="paragraph">
                        <wp:posOffset>346958</wp:posOffset>
                      </wp:positionV>
                      <wp:extent cx="5953125" cy="6350"/>
                      <wp:effectExtent l="0" t="0" r="0" b="0"/>
                      <wp:wrapNone/>
                      <wp:docPr id="849" name="Group 849"/>
                      <wp:cNvGraphicFramePr>
                        <a:graphicFrameLocks/>
                      </wp:cNvGraphicFramePr>
                      <a:graphic>
                        <a:graphicData uri="http://schemas.microsoft.com/office/word/2010/wordprocessingGroup">
                          <wpg:wgp>
                            <wpg:cNvPr id="849" name="Group 849"/>
                            <wpg:cNvGrpSpPr/>
                            <wpg:grpSpPr>
                              <a:xfrm>
                                <a:off x="0" y="0"/>
                                <a:ext cx="5953125" cy="6350"/>
                                <a:chExt cx="5953125" cy="6350"/>
                              </a:xfrm>
                            </wpg:grpSpPr>
                            <wps:wsp>
                              <wps:cNvPr id="850" name="Graphic 850"/>
                              <wps:cNvSpPr/>
                              <wps:spPr>
                                <a:xfrm>
                                  <a:off x="0" y="0"/>
                                  <a:ext cx="5953125" cy="6350"/>
                                </a:xfrm>
                                <a:custGeom>
                                  <a:avLst/>
                                  <a:gdLst/>
                                  <a:ahLst/>
                                  <a:cxnLst/>
                                  <a:rect l="l" t="t" r="r" b="b"/>
                                  <a:pathLst>
                                    <a:path w="5953125" h="6350">
                                      <a:moveTo>
                                        <a:pt x="5952744" y="0"/>
                                      </a:moveTo>
                                      <a:lnTo>
                                        <a:pt x="0" y="0"/>
                                      </a:lnTo>
                                      <a:lnTo>
                                        <a:pt x="0" y="6108"/>
                                      </a:lnTo>
                                      <a:lnTo>
                                        <a:pt x="5952744" y="6108"/>
                                      </a:lnTo>
                                      <a:lnTo>
                                        <a:pt x="59527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6pt;margin-top:27.319584pt;width:468.75pt;height:.5pt;mso-position-horizontal-relative:column;mso-position-vertical-relative:paragraph;z-index:16137216" id="docshapegroup70" coordorigin="-132,546" coordsize="9375,10">
                      <v:rect style="position:absolute;left:-132;top:546;width:9375;height:10" id="docshape71" filled="true" fillcolor="#000000" stroked="false">
                        <v:fill type="solid"/>
                      </v:rect>
                      <w10:wrap type="none"/>
                    </v:group>
                  </w:pict>
                </mc:Fallback>
              </mc:AlternateContent>
            </w:r>
            <w:r>
              <w:rPr>
                <w:sz w:val="20"/>
              </w:rPr>
              <w:t>DSTI</w:t>
            </w:r>
            <w:r>
              <w:rPr>
                <w:spacing w:val="-3"/>
                <w:sz w:val="20"/>
              </w:rPr>
              <w:t> </w:t>
            </w:r>
            <w:r>
              <w:rPr>
                <w:sz w:val="20"/>
              </w:rPr>
              <w:t>Glide</w:t>
            </w:r>
            <w:r>
              <w:rPr>
                <w:spacing w:val="-4"/>
                <w:sz w:val="20"/>
              </w:rPr>
              <w:t> Path</w:t>
            </w:r>
          </w:p>
        </w:tc>
        <w:tc>
          <w:tcPr>
            <w:tcW w:w="2964" w:type="dxa"/>
            <w:gridSpan w:val="2"/>
            <w:tcBorders>
              <w:top w:val="single" w:sz="4" w:space="0" w:color="BEBEBE"/>
              <w:left w:val="single" w:sz="4" w:space="0" w:color="BEBEBE"/>
              <w:right w:val="single" w:sz="4" w:space="0" w:color="BEBEBE"/>
            </w:tcBorders>
          </w:tcPr>
          <w:p>
            <w:pPr>
              <w:pStyle w:val="TableParagraph"/>
              <w:rPr>
                <w:sz w:val="22"/>
              </w:rPr>
            </w:pPr>
          </w:p>
          <w:p>
            <w:pPr>
              <w:pStyle w:val="TableParagraph"/>
              <w:numPr>
                <w:ilvl w:val="0"/>
                <w:numId w:val="70"/>
              </w:numPr>
              <w:tabs>
                <w:tab w:pos="329" w:val="left" w:leader="none"/>
              </w:tabs>
              <w:spacing w:line="240" w:lineRule="auto" w:before="143" w:after="0"/>
              <w:ind w:left="329" w:right="0" w:hanging="220"/>
              <w:jc w:val="left"/>
              <w:rPr>
                <w:sz w:val="20"/>
              </w:rPr>
            </w:pPr>
            <w:r>
              <w:rPr>
                <w:sz w:val="20"/>
              </w:rPr>
              <w:t>Care</w:t>
            </w:r>
            <w:r>
              <w:rPr>
                <w:spacing w:val="-5"/>
                <w:sz w:val="20"/>
              </w:rPr>
              <w:t> </w:t>
            </w:r>
            <w:r>
              <w:rPr>
                <w:spacing w:val="-2"/>
                <w:sz w:val="20"/>
              </w:rPr>
              <w:t>coordination</w:t>
            </w:r>
          </w:p>
          <w:p>
            <w:pPr>
              <w:pStyle w:val="TableParagraph"/>
              <w:numPr>
                <w:ilvl w:val="0"/>
                <w:numId w:val="70"/>
              </w:numPr>
              <w:tabs>
                <w:tab w:pos="329" w:val="left" w:leader="none"/>
              </w:tabs>
              <w:spacing w:line="240" w:lineRule="auto" w:before="0" w:after="0"/>
              <w:ind w:left="329" w:right="0" w:hanging="220"/>
              <w:jc w:val="left"/>
              <w:rPr>
                <w:sz w:val="20"/>
              </w:rPr>
            </w:pPr>
            <w:r>
              <w:rPr>
                <w:sz w:val="20"/>
              </w:rPr>
              <w:t>Infrastructure</w:t>
            </w:r>
            <w:r>
              <w:rPr>
                <w:spacing w:val="-11"/>
                <w:sz w:val="20"/>
              </w:rPr>
              <w:t> </w:t>
            </w:r>
            <w:r>
              <w:rPr>
                <w:sz w:val="20"/>
              </w:rPr>
              <w:t>and</w:t>
            </w:r>
            <w:r>
              <w:rPr>
                <w:spacing w:val="-10"/>
                <w:sz w:val="20"/>
              </w:rPr>
              <w:t> </w:t>
            </w:r>
            <w:r>
              <w:rPr>
                <w:spacing w:val="-2"/>
                <w:sz w:val="20"/>
              </w:rPr>
              <w:t>Capacity</w:t>
            </w:r>
          </w:p>
          <w:p>
            <w:pPr>
              <w:pStyle w:val="TableParagraph"/>
              <w:spacing w:line="229" w:lineRule="exact" w:before="1"/>
              <w:ind w:left="109"/>
              <w:rPr>
                <w:sz w:val="20"/>
              </w:rPr>
            </w:pPr>
            <w:r>
              <w:rPr>
                <w:spacing w:val="-2"/>
                <w:sz w:val="20"/>
              </w:rPr>
              <w:t>Building</w:t>
            </w:r>
          </w:p>
          <w:p>
            <w:pPr>
              <w:pStyle w:val="TableParagraph"/>
              <w:numPr>
                <w:ilvl w:val="0"/>
                <w:numId w:val="70"/>
              </w:numPr>
              <w:tabs>
                <w:tab w:pos="329" w:val="left" w:leader="none"/>
              </w:tabs>
              <w:spacing w:line="229" w:lineRule="exact" w:before="0" w:after="0"/>
              <w:ind w:left="329" w:right="0" w:hanging="220"/>
              <w:jc w:val="left"/>
              <w:rPr>
                <w:sz w:val="20"/>
              </w:rPr>
            </w:pPr>
            <w:r>
              <w:rPr>
                <w:spacing w:val="-2"/>
                <w:sz w:val="20"/>
              </w:rPr>
              <w:t>Outcomes-based</w:t>
            </w:r>
          </w:p>
        </w:tc>
        <w:tc>
          <w:tcPr>
            <w:tcW w:w="2875" w:type="dxa"/>
            <w:tcBorders>
              <w:top w:val="single" w:sz="4" w:space="0" w:color="BEBEBE"/>
              <w:left w:val="single" w:sz="4" w:space="0" w:color="BEBEBE"/>
            </w:tcBorders>
          </w:tcPr>
          <w:p>
            <w:pPr>
              <w:pStyle w:val="TableParagraph"/>
              <w:rPr>
                <w:sz w:val="22"/>
              </w:rPr>
            </w:pPr>
          </w:p>
          <w:p>
            <w:pPr>
              <w:pStyle w:val="TableParagraph"/>
              <w:spacing w:before="5"/>
              <w:rPr>
                <w:sz w:val="32"/>
              </w:rPr>
            </w:pPr>
          </w:p>
          <w:p>
            <w:pPr>
              <w:pStyle w:val="TableParagraph"/>
              <w:numPr>
                <w:ilvl w:val="0"/>
                <w:numId w:val="71"/>
              </w:numPr>
              <w:tabs>
                <w:tab w:pos="332" w:val="left" w:leader="none"/>
              </w:tabs>
              <w:spacing w:line="240" w:lineRule="auto" w:before="0" w:after="0"/>
              <w:ind w:left="332" w:right="0" w:hanging="220"/>
              <w:jc w:val="left"/>
              <w:rPr>
                <w:sz w:val="20"/>
              </w:rPr>
            </w:pPr>
            <w:r>
              <w:rPr>
                <w:sz w:val="20"/>
              </w:rPr>
              <w:t>Infrastructure</w:t>
            </w:r>
            <w:r>
              <w:rPr>
                <w:spacing w:val="-11"/>
                <w:sz w:val="20"/>
              </w:rPr>
              <w:t> </w:t>
            </w:r>
            <w:r>
              <w:rPr>
                <w:sz w:val="20"/>
              </w:rPr>
              <w:t>and</w:t>
            </w:r>
            <w:r>
              <w:rPr>
                <w:spacing w:val="-10"/>
                <w:sz w:val="20"/>
              </w:rPr>
              <w:t> </w:t>
            </w:r>
            <w:r>
              <w:rPr>
                <w:spacing w:val="-2"/>
                <w:sz w:val="20"/>
              </w:rPr>
              <w:t>Capacity</w:t>
            </w:r>
          </w:p>
          <w:p>
            <w:pPr>
              <w:pStyle w:val="TableParagraph"/>
              <w:spacing w:before="1"/>
              <w:ind w:left="112"/>
              <w:rPr>
                <w:sz w:val="20"/>
              </w:rPr>
            </w:pPr>
            <w:r>
              <w:rPr>
                <w:spacing w:val="-2"/>
                <w:sz w:val="20"/>
              </w:rPr>
              <w:t>Building</w:t>
            </w:r>
          </w:p>
        </w:tc>
      </w:tr>
    </w:tbl>
    <w:p>
      <w:pPr>
        <w:spacing w:after="0"/>
        <w:rPr>
          <w:sz w:val="20"/>
        </w:rPr>
        <w:sectPr>
          <w:pgSz w:w="12240" w:h="15840"/>
          <w:pgMar w:header="0" w:footer="967" w:top="1360" w:bottom="1160" w:left="220" w:right="340"/>
        </w:sectPr>
      </w:pPr>
    </w:p>
    <w:p>
      <w:pPr>
        <w:spacing w:line="240" w:lineRule="auto" w:before="78"/>
        <w:ind w:left="1219" w:right="1095" w:firstLine="0"/>
        <w:jc w:val="both"/>
        <w:rPr>
          <w:sz w:val="22"/>
        </w:rPr>
      </w:pPr>
      <w:r>
        <w:rPr>
          <w:sz w:val="22"/>
        </w:rPr>
        <w:t>Per</w:t>
      </w:r>
      <w:r>
        <w:rPr>
          <w:spacing w:val="-6"/>
          <w:sz w:val="22"/>
        </w:rPr>
        <w:t> </w:t>
      </w:r>
      <w:r>
        <w:rPr>
          <w:sz w:val="22"/>
        </w:rPr>
        <w:t>STC</w:t>
      </w:r>
      <w:r>
        <w:rPr>
          <w:spacing w:val="-8"/>
          <w:sz w:val="22"/>
        </w:rPr>
        <w:t> </w:t>
      </w:r>
      <w:r>
        <w:rPr>
          <w:sz w:val="22"/>
        </w:rPr>
        <w:t>60(e),</w:t>
      </w:r>
      <w:r>
        <w:rPr>
          <w:spacing w:val="-7"/>
          <w:sz w:val="22"/>
        </w:rPr>
        <w:t> </w:t>
      </w:r>
      <w:r>
        <w:rPr>
          <w:sz w:val="22"/>
        </w:rPr>
        <w:t>the</w:t>
      </w:r>
      <w:r>
        <w:rPr>
          <w:spacing w:val="-7"/>
          <w:sz w:val="22"/>
        </w:rPr>
        <w:t> </w:t>
      </w:r>
      <w:r>
        <w:rPr>
          <w:sz w:val="22"/>
        </w:rPr>
        <w:t>State</w:t>
      </w:r>
      <w:r>
        <w:rPr>
          <w:spacing w:val="-7"/>
          <w:sz w:val="22"/>
        </w:rPr>
        <w:t> </w:t>
      </w:r>
      <w:r>
        <w:rPr>
          <w:sz w:val="22"/>
        </w:rPr>
        <w:t>may</w:t>
      </w:r>
      <w:r>
        <w:rPr>
          <w:spacing w:val="-10"/>
          <w:sz w:val="22"/>
        </w:rPr>
        <w:t> </w:t>
      </w:r>
      <w:r>
        <w:rPr>
          <w:sz w:val="22"/>
        </w:rPr>
        <w:t>reallocate</w:t>
      </w:r>
      <w:r>
        <w:rPr>
          <w:spacing w:val="-9"/>
          <w:sz w:val="22"/>
        </w:rPr>
        <w:t> </w:t>
      </w:r>
      <w:r>
        <w:rPr>
          <w:sz w:val="22"/>
        </w:rPr>
        <w:t>funding</w:t>
      </w:r>
      <w:r>
        <w:rPr>
          <w:spacing w:val="-10"/>
          <w:sz w:val="22"/>
        </w:rPr>
        <w:t> </w:t>
      </w:r>
      <w:r>
        <w:rPr>
          <w:sz w:val="22"/>
        </w:rPr>
        <w:t>amounts</w:t>
      </w:r>
      <w:r>
        <w:rPr>
          <w:spacing w:val="-7"/>
          <w:sz w:val="22"/>
        </w:rPr>
        <w:t> </w:t>
      </w:r>
      <w:r>
        <w:rPr>
          <w:sz w:val="22"/>
        </w:rPr>
        <w:t>between</w:t>
      </w:r>
      <w:r>
        <w:rPr>
          <w:spacing w:val="-7"/>
          <w:sz w:val="22"/>
        </w:rPr>
        <w:t> </w:t>
      </w:r>
      <w:r>
        <w:rPr>
          <w:sz w:val="22"/>
        </w:rPr>
        <w:t>the</w:t>
      </w:r>
      <w:r>
        <w:rPr>
          <w:spacing w:val="-7"/>
          <w:sz w:val="22"/>
        </w:rPr>
        <w:t> </w:t>
      </w:r>
      <w:r>
        <w:rPr>
          <w:sz w:val="22"/>
        </w:rPr>
        <w:t>“ACO</w:t>
      </w:r>
      <w:r>
        <w:rPr>
          <w:spacing w:val="-8"/>
          <w:sz w:val="22"/>
        </w:rPr>
        <w:t> </w:t>
      </w:r>
      <w:r>
        <w:rPr>
          <w:sz w:val="22"/>
        </w:rPr>
        <w:t>Funding</w:t>
      </w:r>
      <w:r>
        <w:rPr>
          <w:spacing w:val="-10"/>
          <w:sz w:val="22"/>
        </w:rPr>
        <w:t> </w:t>
      </w:r>
      <w:r>
        <w:rPr>
          <w:sz w:val="22"/>
        </w:rPr>
        <w:t>Stream”</w:t>
      </w:r>
      <w:r>
        <w:rPr>
          <w:spacing w:val="-7"/>
          <w:sz w:val="22"/>
        </w:rPr>
        <w:t> </w:t>
      </w:r>
      <w:r>
        <w:rPr>
          <w:sz w:val="22"/>
        </w:rPr>
        <w:t>and</w:t>
      </w:r>
      <w:r>
        <w:rPr>
          <w:spacing w:val="-9"/>
          <w:sz w:val="22"/>
        </w:rPr>
        <w:t> </w:t>
      </w:r>
      <w:r>
        <w:rPr>
          <w:sz w:val="22"/>
        </w:rPr>
        <w:t>the</w:t>
      </w:r>
      <w:r>
        <w:rPr>
          <w:spacing w:val="-9"/>
          <w:sz w:val="22"/>
        </w:rPr>
        <w:t> </w:t>
      </w:r>
      <w:r>
        <w:rPr>
          <w:sz w:val="22"/>
        </w:rPr>
        <w:t>“CP and CSA Funding</w:t>
      </w:r>
      <w:r>
        <w:rPr>
          <w:spacing w:val="-1"/>
          <w:sz w:val="22"/>
        </w:rPr>
        <w:t> </w:t>
      </w:r>
      <w:r>
        <w:rPr>
          <w:sz w:val="22"/>
        </w:rPr>
        <w:t>Stream” at its</w:t>
      </w:r>
      <w:r>
        <w:rPr>
          <w:spacing w:val="-1"/>
          <w:sz w:val="22"/>
        </w:rPr>
        <w:t> </w:t>
      </w:r>
      <w:r>
        <w:rPr>
          <w:sz w:val="22"/>
        </w:rPr>
        <w:t>discretion. If the actual funding</w:t>
      </w:r>
      <w:r>
        <w:rPr>
          <w:spacing w:val="-1"/>
          <w:sz w:val="22"/>
        </w:rPr>
        <w:t> </w:t>
      </w:r>
      <w:r>
        <w:rPr>
          <w:sz w:val="22"/>
        </w:rPr>
        <w:t>amounts</w:t>
      </w:r>
      <w:r>
        <w:rPr>
          <w:spacing w:val="-1"/>
          <w:sz w:val="22"/>
        </w:rPr>
        <w:t> </w:t>
      </w:r>
      <w:r>
        <w:rPr>
          <w:sz w:val="22"/>
        </w:rPr>
        <w:t>for the</w:t>
      </w:r>
      <w:r>
        <w:rPr>
          <w:spacing w:val="-1"/>
          <w:sz w:val="22"/>
        </w:rPr>
        <w:t> </w:t>
      </w:r>
      <w:r>
        <w:rPr>
          <w:sz w:val="22"/>
        </w:rPr>
        <w:t>ACO Funding</w:t>
      </w:r>
      <w:r>
        <w:rPr>
          <w:spacing w:val="-1"/>
          <w:sz w:val="22"/>
        </w:rPr>
        <w:t> </w:t>
      </w:r>
      <w:r>
        <w:rPr>
          <w:sz w:val="22"/>
        </w:rPr>
        <w:t>Stream</w:t>
      </w:r>
      <w:r>
        <w:rPr>
          <w:spacing w:val="-3"/>
          <w:sz w:val="22"/>
        </w:rPr>
        <w:t> </w:t>
      </w:r>
      <w:r>
        <w:rPr>
          <w:sz w:val="22"/>
        </w:rPr>
        <w:t>or the CP and CSA Funding stream differ from the amounts set forth in Table G of STC 60(e) by more than 15%,</w:t>
      </w:r>
      <w:r>
        <w:rPr>
          <w:spacing w:val="-9"/>
          <w:sz w:val="22"/>
        </w:rPr>
        <w:t> </w:t>
      </w:r>
      <w:r>
        <w:rPr>
          <w:sz w:val="22"/>
        </w:rPr>
        <w:t>the</w:t>
      </w:r>
      <w:r>
        <w:rPr>
          <w:spacing w:val="-8"/>
          <w:sz w:val="22"/>
        </w:rPr>
        <w:t> </w:t>
      </w:r>
      <w:r>
        <w:rPr>
          <w:sz w:val="22"/>
        </w:rPr>
        <w:t>State</w:t>
      </w:r>
      <w:r>
        <w:rPr>
          <w:spacing w:val="-8"/>
          <w:sz w:val="22"/>
        </w:rPr>
        <w:t> </w:t>
      </w:r>
      <w:r>
        <w:rPr>
          <w:sz w:val="22"/>
        </w:rPr>
        <w:t>must</w:t>
      </w:r>
      <w:r>
        <w:rPr>
          <w:spacing w:val="-8"/>
          <w:sz w:val="22"/>
        </w:rPr>
        <w:t> </w:t>
      </w:r>
      <w:r>
        <w:rPr>
          <w:sz w:val="22"/>
        </w:rPr>
        <w:t>notify</w:t>
      </w:r>
      <w:r>
        <w:rPr>
          <w:spacing w:val="-11"/>
          <w:sz w:val="22"/>
        </w:rPr>
        <w:t> </w:t>
      </w:r>
      <w:r>
        <w:rPr>
          <w:sz w:val="22"/>
        </w:rPr>
        <w:t>CMS</w:t>
      </w:r>
      <w:r>
        <w:rPr>
          <w:spacing w:val="-9"/>
          <w:sz w:val="22"/>
        </w:rPr>
        <w:t> </w:t>
      </w:r>
      <w:r>
        <w:rPr>
          <w:sz w:val="22"/>
        </w:rPr>
        <w:t>60</w:t>
      </w:r>
      <w:r>
        <w:rPr>
          <w:spacing w:val="-9"/>
          <w:sz w:val="22"/>
        </w:rPr>
        <w:t> </w:t>
      </w:r>
      <w:r>
        <w:rPr>
          <w:sz w:val="22"/>
        </w:rPr>
        <w:t>calendar</w:t>
      </w:r>
      <w:r>
        <w:rPr>
          <w:spacing w:val="-8"/>
          <w:sz w:val="22"/>
        </w:rPr>
        <w:t> </w:t>
      </w:r>
      <w:r>
        <w:rPr>
          <w:sz w:val="22"/>
        </w:rPr>
        <w:t>days</w:t>
      </w:r>
      <w:r>
        <w:rPr>
          <w:spacing w:val="-8"/>
          <w:sz w:val="22"/>
        </w:rPr>
        <w:t> </w:t>
      </w:r>
      <w:r>
        <w:rPr>
          <w:sz w:val="22"/>
        </w:rPr>
        <w:t>prior</w:t>
      </w:r>
      <w:r>
        <w:rPr>
          <w:spacing w:val="-10"/>
          <w:sz w:val="22"/>
        </w:rPr>
        <w:t> </w:t>
      </w:r>
      <w:r>
        <w:rPr>
          <w:sz w:val="22"/>
        </w:rPr>
        <w:t>to</w:t>
      </w:r>
      <w:r>
        <w:rPr>
          <w:spacing w:val="-9"/>
          <w:sz w:val="22"/>
        </w:rPr>
        <w:t> </w:t>
      </w:r>
      <w:r>
        <w:rPr>
          <w:sz w:val="22"/>
        </w:rPr>
        <w:t>the</w:t>
      </w:r>
      <w:r>
        <w:rPr>
          <w:spacing w:val="-8"/>
          <w:sz w:val="22"/>
        </w:rPr>
        <w:t> </w:t>
      </w:r>
      <w:r>
        <w:rPr>
          <w:sz w:val="22"/>
        </w:rPr>
        <w:t>effective</w:t>
      </w:r>
      <w:r>
        <w:rPr>
          <w:spacing w:val="-8"/>
          <w:sz w:val="22"/>
        </w:rPr>
        <w:t> </w:t>
      </w:r>
      <w:r>
        <w:rPr>
          <w:sz w:val="22"/>
        </w:rPr>
        <w:t>reallocation</w:t>
      </w:r>
      <w:r>
        <w:rPr>
          <w:spacing w:val="-11"/>
          <w:sz w:val="22"/>
        </w:rPr>
        <w:t> </w:t>
      </w:r>
      <w:r>
        <w:rPr>
          <w:sz w:val="22"/>
        </w:rPr>
        <w:t>of</w:t>
      </w:r>
      <w:r>
        <w:rPr>
          <w:spacing w:val="-8"/>
          <w:sz w:val="22"/>
        </w:rPr>
        <w:t> </w:t>
      </w:r>
      <w:r>
        <w:rPr>
          <w:sz w:val="22"/>
        </w:rPr>
        <w:t>funds.</w:t>
      </w:r>
      <w:r>
        <w:rPr>
          <w:spacing w:val="-9"/>
          <w:sz w:val="22"/>
        </w:rPr>
        <w:t> </w:t>
      </w:r>
      <w:r>
        <w:rPr>
          <w:sz w:val="22"/>
        </w:rPr>
        <w:t>CMS</w:t>
      </w:r>
      <w:r>
        <w:rPr>
          <w:spacing w:val="-11"/>
          <w:sz w:val="22"/>
        </w:rPr>
        <w:t> </w:t>
      </w:r>
      <w:r>
        <w:rPr>
          <w:sz w:val="22"/>
        </w:rPr>
        <w:t>reserves the right to disapprove any such reallocations prior to the effective date of the reallocation.</w:t>
      </w:r>
    </w:p>
    <w:p>
      <w:pPr>
        <w:spacing w:before="161"/>
        <w:ind w:left="1219" w:right="1093" w:firstLine="0"/>
        <w:jc w:val="both"/>
        <w:rPr>
          <w:sz w:val="22"/>
        </w:rPr>
      </w:pPr>
      <w:r>
        <w:rPr>
          <w:sz w:val="22"/>
        </w:rPr>
        <w:t>Within</w:t>
      </w:r>
      <w:r>
        <w:rPr>
          <w:spacing w:val="-9"/>
          <w:sz w:val="22"/>
        </w:rPr>
        <w:t> </w:t>
      </w:r>
      <w:r>
        <w:rPr>
          <w:sz w:val="22"/>
        </w:rPr>
        <w:t>the</w:t>
      </w:r>
      <w:r>
        <w:rPr>
          <w:spacing w:val="-6"/>
          <w:sz w:val="22"/>
        </w:rPr>
        <w:t> </w:t>
      </w:r>
      <w:r>
        <w:rPr>
          <w:sz w:val="22"/>
        </w:rPr>
        <w:t>“ACO</w:t>
      </w:r>
      <w:r>
        <w:rPr>
          <w:spacing w:val="-7"/>
          <w:sz w:val="22"/>
        </w:rPr>
        <w:t> </w:t>
      </w:r>
      <w:r>
        <w:rPr>
          <w:sz w:val="22"/>
        </w:rPr>
        <w:t>Funding</w:t>
      </w:r>
      <w:r>
        <w:rPr>
          <w:spacing w:val="-9"/>
          <w:sz w:val="22"/>
        </w:rPr>
        <w:t> </w:t>
      </w:r>
      <w:r>
        <w:rPr>
          <w:sz w:val="22"/>
        </w:rPr>
        <w:t>Stream”</w:t>
      </w:r>
      <w:r>
        <w:rPr>
          <w:spacing w:val="-6"/>
          <w:sz w:val="22"/>
        </w:rPr>
        <w:t> </w:t>
      </w:r>
      <w:r>
        <w:rPr>
          <w:sz w:val="22"/>
        </w:rPr>
        <w:t>or</w:t>
      </w:r>
      <w:r>
        <w:rPr>
          <w:spacing w:val="-5"/>
          <w:sz w:val="22"/>
        </w:rPr>
        <w:t> </w:t>
      </w:r>
      <w:r>
        <w:rPr>
          <w:sz w:val="22"/>
        </w:rPr>
        <w:t>“CP</w:t>
      </w:r>
      <w:r>
        <w:rPr>
          <w:spacing w:val="-7"/>
          <w:sz w:val="22"/>
        </w:rPr>
        <w:t> </w:t>
      </w:r>
      <w:r>
        <w:rPr>
          <w:sz w:val="22"/>
        </w:rPr>
        <w:t>Funding</w:t>
      </w:r>
      <w:r>
        <w:rPr>
          <w:spacing w:val="-9"/>
          <w:sz w:val="22"/>
        </w:rPr>
        <w:t> </w:t>
      </w:r>
      <w:r>
        <w:rPr>
          <w:sz w:val="22"/>
        </w:rPr>
        <w:t>Stream”,</w:t>
      </w:r>
      <w:r>
        <w:rPr>
          <w:spacing w:val="-6"/>
          <w:sz w:val="22"/>
        </w:rPr>
        <w:t> </w:t>
      </w:r>
      <w:r>
        <w:rPr>
          <w:sz w:val="22"/>
        </w:rPr>
        <w:t>the</w:t>
      </w:r>
      <w:r>
        <w:rPr>
          <w:spacing w:val="-8"/>
          <w:sz w:val="22"/>
        </w:rPr>
        <w:t> </w:t>
      </w:r>
      <w:r>
        <w:rPr>
          <w:sz w:val="22"/>
        </w:rPr>
        <w:t>State</w:t>
      </w:r>
      <w:r>
        <w:rPr>
          <w:spacing w:val="-6"/>
          <w:sz w:val="22"/>
        </w:rPr>
        <w:t> </w:t>
      </w:r>
      <w:r>
        <w:rPr>
          <w:sz w:val="22"/>
        </w:rPr>
        <w:t>may</w:t>
      </w:r>
      <w:r>
        <w:rPr>
          <w:spacing w:val="-9"/>
          <w:sz w:val="22"/>
        </w:rPr>
        <w:t> </w:t>
      </w:r>
      <w:r>
        <w:rPr>
          <w:sz w:val="22"/>
        </w:rPr>
        <w:t>distribute</w:t>
      </w:r>
      <w:r>
        <w:rPr>
          <w:spacing w:val="-6"/>
          <w:sz w:val="22"/>
        </w:rPr>
        <w:t> </w:t>
      </w:r>
      <w:r>
        <w:rPr>
          <w:sz w:val="22"/>
        </w:rPr>
        <w:t>payments</w:t>
      </w:r>
      <w:r>
        <w:rPr>
          <w:spacing w:val="-6"/>
          <w:sz w:val="22"/>
        </w:rPr>
        <w:t> </w:t>
      </w:r>
      <w:r>
        <w:rPr>
          <w:sz w:val="22"/>
        </w:rPr>
        <w:t>for</w:t>
      </w:r>
      <w:r>
        <w:rPr>
          <w:spacing w:val="-8"/>
          <w:sz w:val="22"/>
        </w:rPr>
        <w:t> </w:t>
      </w:r>
      <w:r>
        <w:rPr>
          <w:sz w:val="22"/>
        </w:rPr>
        <w:t>a</w:t>
      </w:r>
      <w:r>
        <w:rPr>
          <w:spacing w:val="-6"/>
          <w:sz w:val="22"/>
        </w:rPr>
        <w:t> </w:t>
      </w:r>
      <w:r>
        <w:rPr>
          <w:sz w:val="22"/>
        </w:rPr>
        <w:t>given demonstration year among the sub-streams to best meet the State’s programmatic needs, in its discretion without notifying CMS, subject to the parameters described in STC 60(e). Because the mechanisms for holding</w:t>
      </w:r>
      <w:r>
        <w:rPr>
          <w:spacing w:val="-9"/>
          <w:sz w:val="22"/>
        </w:rPr>
        <w:t> </w:t>
      </w:r>
      <w:r>
        <w:rPr>
          <w:sz w:val="22"/>
        </w:rPr>
        <w:t>ACOs</w:t>
      </w:r>
      <w:r>
        <w:rPr>
          <w:spacing w:val="-6"/>
          <w:sz w:val="22"/>
        </w:rPr>
        <w:t> </w:t>
      </w:r>
      <w:r>
        <w:rPr>
          <w:sz w:val="22"/>
        </w:rPr>
        <w:t>and</w:t>
      </w:r>
      <w:r>
        <w:rPr>
          <w:spacing w:val="-6"/>
          <w:sz w:val="22"/>
        </w:rPr>
        <w:t> </w:t>
      </w:r>
      <w:r>
        <w:rPr>
          <w:sz w:val="22"/>
        </w:rPr>
        <w:t>CPs</w:t>
      </w:r>
      <w:r>
        <w:rPr>
          <w:spacing w:val="-6"/>
          <w:sz w:val="22"/>
        </w:rPr>
        <w:t> </w:t>
      </w:r>
      <w:r>
        <w:rPr>
          <w:sz w:val="22"/>
        </w:rPr>
        <w:t>financially</w:t>
      </w:r>
      <w:r>
        <w:rPr>
          <w:spacing w:val="-9"/>
          <w:sz w:val="22"/>
        </w:rPr>
        <w:t> </w:t>
      </w:r>
      <w:r>
        <w:rPr>
          <w:sz w:val="22"/>
        </w:rPr>
        <w:t>accountable</w:t>
      </w:r>
      <w:r>
        <w:rPr>
          <w:spacing w:val="-6"/>
          <w:sz w:val="22"/>
        </w:rPr>
        <w:t> </w:t>
      </w:r>
      <w:r>
        <w:rPr>
          <w:sz w:val="22"/>
        </w:rPr>
        <w:t>differ</w:t>
      </w:r>
      <w:r>
        <w:rPr>
          <w:spacing w:val="-5"/>
          <w:sz w:val="22"/>
        </w:rPr>
        <w:t> </w:t>
      </w:r>
      <w:r>
        <w:rPr>
          <w:sz w:val="22"/>
        </w:rPr>
        <w:t>among</w:t>
      </w:r>
      <w:r>
        <w:rPr>
          <w:spacing w:val="-9"/>
          <w:sz w:val="22"/>
        </w:rPr>
        <w:t> </w:t>
      </w:r>
      <w:r>
        <w:rPr>
          <w:sz w:val="22"/>
        </w:rPr>
        <w:t>these</w:t>
      </w:r>
      <w:r>
        <w:rPr>
          <w:spacing w:val="-6"/>
          <w:sz w:val="22"/>
        </w:rPr>
        <w:t> </w:t>
      </w:r>
      <w:r>
        <w:rPr>
          <w:sz w:val="22"/>
        </w:rPr>
        <w:t>sub-streams,</w:t>
      </w:r>
      <w:r>
        <w:rPr>
          <w:spacing w:val="-6"/>
          <w:sz w:val="22"/>
        </w:rPr>
        <w:t> </w:t>
      </w:r>
      <w:r>
        <w:rPr>
          <w:sz w:val="22"/>
        </w:rPr>
        <w:t>changes</w:t>
      </w:r>
      <w:r>
        <w:rPr>
          <w:spacing w:val="-6"/>
          <w:sz w:val="22"/>
        </w:rPr>
        <w:t> </w:t>
      </w:r>
      <w:r>
        <w:rPr>
          <w:sz w:val="22"/>
        </w:rPr>
        <w:t>in</w:t>
      </w:r>
      <w:r>
        <w:rPr>
          <w:spacing w:val="-6"/>
          <w:sz w:val="22"/>
        </w:rPr>
        <w:t> </w:t>
      </w:r>
      <w:r>
        <w:rPr>
          <w:sz w:val="22"/>
        </w:rPr>
        <w:t>the</w:t>
      </w:r>
      <w:r>
        <w:rPr>
          <w:spacing w:val="-6"/>
          <w:sz w:val="22"/>
        </w:rPr>
        <w:t> </w:t>
      </w:r>
      <w:r>
        <w:rPr>
          <w:sz w:val="22"/>
        </w:rPr>
        <w:t>distribution of funding</w:t>
      </w:r>
      <w:r>
        <w:rPr>
          <w:spacing w:val="-2"/>
          <w:sz w:val="22"/>
        </w:rPr>
        <w:t> </w:t>
      </w:r>
      <w:r>
        <w:rPr>
          <w:sz w:val="22"/>
        </w:rPr>
        <w:t>among</w:t>
      </w:r>
      <w:r>
        <w:rPr>
          <w:spacing w:val="-2"/>
          <w:sz w:val="22"/>
        </w:rPr>
        <w:t> </w:t>
      </w:r>
      <w:r>
        <w:rPr>
          <w:sz w:val="22"/>
        </w:rPr>
        <w:t>the sub-streams may</w:t>
      </w:r>
      <w:r>
        <w:rPr>
          <w:spacing w:val="-2"/>
          <w:sz w:val="22"/>
        </w:rPr>
        <w:t> </w:t>
      </w:r>
      <w:r>
        <w:rPr>
          <w:sz w:val="22"/>
        </w:rPr>
        <w:t>change the</w:t>
      </w:r>
      <w:r>
        <w:rPr>
          <w:spacing w:val="-2"/>
          <w:sz w:val="22"/>
        </w:rPr>
        <w:t> </w:t>
      </w:r>
      <w:r>
        <w:rPr>
          <w:sz w:val="22"/>
        </w:rPr>
        <w:t>amount of</w:t>
      </w:r>
      <w:r>
        <w:rPr>
          <w:spacing w:val="-1"/>
          <w:sz w:val="22"/>
        </w:rPr>
        <w:t> </w:t>
      </w:r>
      <w:r>
        <w:rPr>
          <w:sz w:val="22"/>
        </w:rPr>
        <w:t>funding</w:t>
      </w:r>
      <w:r>
        <w:rPr>
          <w:spacing w:val="-2"/>
          <w:sz w:val="22"/>
        </w:rPr>
        <w:t> </w:t>
      </w:r>
      <w:r>
        <w:rPr>
          <w:sz w:val="22"/>
        </w:rPr>
        <w:t>for</w:t>
      </w:r>
      <w:r>
        <w:rPr>
          <w:spacing w:val="-1"/>
          <w:sz w:val="22"/>
        </w:rPr>
        <w:t> </w:t>
      </w:r>
      <w:r>
        <w:rPr>
          <w:sz w:val="22"/>
        </w:rPr>
        <w:t>an</w:t>
      </w:r>
      <w:r>
        <w:rPr>
          <w:spacing w:val="-2"/>
          <w:sz w:val="22"/>
        </w:rPr>
        <w:t> </w:t>
      </w:r>
      <w:r>
        <w:rPr>
          <w:sz w:val="22"/>
        </w:rPr>
        <w:t>individual ACO</w:t>
      </w:r>
      <w:r>
        <w:rPr>
          <w:spacing w:val="-1"/>
          <w:sz w:val="22"/>
        </w:rPr>
        <w:t> </w:t>
      </w:r>
      <w:r>
        <w:rPr>
          <w:sz w:val="22"/>
        </w:rPr>
        <w:t>or</w:t>
      </w:r>
      <w:r>
        <w:rPr>
          <w:spacing w:val="-1"/>
          <w:sz w:val="22"/>
        </w:rPr>
        <w:t> </w:t>
      </w:r>
      <w:r>
        <w:rPr>
          <w:sz w:val="22"/>
        </w:rPr>
        <w:t>CP that</w:t>
      </w:r>
      <w:r>
        <w:rPr>
          <w:spacing w:val="-1"/>
          <w:sz w:val="22"/>
        </w:rPr>
        <w:t> </w:t>
      </w:r>
      <w:r>
        <w:rPr>
          <w:sz w:val="22"/>
        </w:rPr>
        <w:t>is at risk.</w:t>
      </w:r>
      <w:r>
        <w:rPr>
          <w:spacing w:val="40"/>
          <w:sz w:val="22"/>
        </w:rPr>
        <w:t> </w:t>
      </w:r>
      <w:r>
        <w:rPr>
          <w:sz w:val="22"/>
        </w:rPr>
        <w:t>For example, if funding is shifted from the “Startup/Ongoing: Discretionary” ACO sub-stream to the “Startup/Ongoing: Primary Care Investment” ACO sub-stream, this would lead to less at-risk funding because</w:t>
      </w:r>
      <w:r>
        <w:rPr>
          <w:spacing w:val="-3"/>
          <w:sz w:val="22"/>
        </w:rPr>
        <w:t> </w:t>
      </w:r>
      <w:r>
        <w:rPr>
          <w:sz w:val="22"/>
        </w:rPr>
        <w:t>funds</w:t>
      </w:r>
      <w:r>
        <w:rPr>
          <w:spacing w:val="-3"/>
          <w:sz w:val="22"/>
        </w:rPr>
        <w:t> </w:t>
      </w:r>
      <w:r>
        <w:rPr>
          <w:sz w:val="22"/>
        </w:rPr>
        <w:t>have</w:t>
      </w:r>
      <w:r>
        <w:rPr>
          <w:spacing w:val="-3"/>
          <w:sz w:val="22"/>
        </w:rPr>
        <w:t> </w:t>
      </w:r>
      <w:r>
        <w:rPr>
          <w:sz w:val="22"/>
        </w:rPr>
        <w:t>shifted</w:t>
      </w:r>
      <w:r>
        <w:rPr>
          <w:spacing w:val="-4"/>
          <w:sz w:val="22"/>
        </w:rPr>
        <w:t> </w:t>
      </w:r>
      <w:r>
        <w:rPr>
          <w:sz w:val="22"/>
        </w:rPr>
        <w:t>from</w:t>
      </w:r>
      <w:r>
        <w:rPr>
          <w:spacing w:val="-7"/>
          <w:sz w:val="22"/>
        </w:rPr>
        <w:t> </w:t>
      </w:r>
      <w:r>
        <w:rPr>
          <w:sz w:val="22"/>
        </w:rPr>
        <w:t>a</w:t>
      </w:r>
      <w:r>
        <w:rPr>
          <w:spacing w:val="-3"/>
          <w:sz w:val="22"/>
        </w:rPr>
        <w:t> </w:t>
      </w:r>
      <w:r>
        <w:rPr>
          <w:sz w:val="22"/>
        </w:rPr>
        <w:t>sub-stream</w:t>
      </w:r>
      <w:r>
        <w:rPr>
          <w:spacing w:val="-7"/>
          <w:sz w:val="22"/>
        </w:rPr>
        <w:t> </w:t>
      </w:r>
      <w:r>
        <w:rPr>
          <w:sz w:val="22"/>
        </w:rPr>
        <w:t>with</w:t>
      </w:r>
      <w:r>
        <w:rPr>
          <w:spacing w:val="-4"/>
          <w:sz w:val="22"/>
        </w:rPr>
        <w:t> </w:t>
      </w:r>
      <w:r>
        <w:rPr>
          <w:sz w:val="22"/>
        </w:rPr>
        <w:t>an</w:t>
      </w:r>
      <w:r>
        <w:rPr>
          <w:spacing w:val="-4"/>
          <w:sz w:val="22"/>
        </w:rPr>
        <w:t> </w:t>
      </w:r>
      <w:r>
        <w:rPr>
          <w:sz w:val="22"/>
        </w:rPr>
        <w:t>at-risk</w:t>
      </w:r>
      <w:r>
        <w:rPr>
          <w:spacing w:val="-6"/>
          <w:sz w:val="22"/>
        </w:rPr>
        <w:t> </w:t>
      </w:r>
      <w:r>
        <w:rPr>
          <w:sz w:val="22"/>
        </w:rPr>
        <w:t>component</w:t>
      </w:r>
      <w:r>
        <w:rPr>
          <w:spacing w:val="-3"/>
          <w:sz w:val="22"/>
        </w:rPr>
        <w:t> </w:t>
      </w:r>
      <w:r>
        <w:rPr>
          <w:sz w:val="22"/>
        </w:rPr>
        <w:t>to</w:t>
      </w:r>
      <w:r>
        <w:rPr>
          <w:spacing w:val="-4"/>
          <w:sz w:val="22"/>
        </w:rPr>
        <w:t> </w:t>
      </w:r>
      <w:r>
        <w:rPr>
          <w:sz w:val="22"/>
        </w:rPr>
        <w:t>a</w:t>
      </w:r>
      <w:r>
        <w:rPr>
          <w:spacing w:val="-3"/>
          <w:sz w:val="22"/>
        </w:rPr>
        <w:t> </w:t>
      </w:r>
      <w:r>
        <w:rPr>
          <w:sz w:val="22"/>
        </w:rPr>
        <w:t>sub-stream</w:t>
      </w:r>
      <w:r>
        <w:rPr>
          <w:spacing w:val="-7"/>
          <w:sz w:val="22"/>
        </w:rPr>
        <w:t> </w:t>
      </w:r>
      <w:r>
        <w:rPr>
          <w:sz w:val="22"/>
        </w:rPr>
        <w:t>without</w:t>
      </w:r>
      <w:r>
        <w:rPr>
          <w:spacing w:val="-3"/>
          <w:sz w:val="22"/>
        </w:rPr>
        <w:t> </w:t>
      </w:r>
      <w:r>
        <w:rPr>
          <w:sz w:val="22"/>
        </w:rPr>
        <w:t>an</w:t>
      </w:r>
      <w:r>
        <w:rPr>
          <w:spacing w:val="-4"/>
          <w:sz w:val="22"/>
        </w:rPr>
        <w:t> </w:t>
      </w:r>
      <w:r>
        <w:rPr>
          <w:sz w:val="22"/>
        </w:rPr>
        <w:t>at-risk component</w:t>
      </w:r>
      <w:r>
        <w:rPr>
          <w:spacing w:val="-1"/>
          <w:sz w:val="22"/>
        </w:rPr>
        <w:t> </w:t>
      </w:r>
      <w:r>
        <w:rPr>
          <w:sz w:val="22"/>
        </w:rPr>
        <w:t>(see</w:t>
      </w:r>
      <w:r>
        <w:rPr>
          <w:spacing w:val="-2"/>
          <w:sz w:val="22"/>
        </w:rPr>
        <w:t> </w:t>
      </w:r>
      <w:r>
        <w:rPr>
          <w:sz w:val="22"/>
        </w:rPr>
        <w:t>Exhibit</w:t>
      </w:r>
      <w:r>
        <w:rPr>
          <w:spacing w:val="-4"/>
          <w:sz w:val="22"/>
        </w:rPr>
        <w:t> </w:t>
      </w:r>
      <w:r>
        <w:rPr>
          <w:sz w:val="22"/>
        </w:rPr>
        <w:t>19).</w:t>
      </w:r>
      <w:r>
        <w:rPr>
          <w:spacing w:val="40"/>
          <w:sz w:val="22"/>
        </w:rPr>
        <w:t> </w:t>
      </w:r>
      <w:r>
        <w:rPr>
          <w:sz w:val="22"/>
        </w:rPr>
        <w:t>Exhibit</w:t>
      </w:r>
      <w:r>
        <w:rPr>
          <w:spacing w:val="-4"/>
          <w:sz w:val="22"/>
        </w:rPr>
        <w:t> </w:t>
      </w:r>
      <w:r>
        <w:rPr>
          <w:sz w:val="22"/>
        </w:rPr>
        <w:t>5</w:t>
      </w:r>
      <w:r>
        <w:rPr>
          <w:spacing w:val="-2"/>
          <w:sz w:val="22"/>
        </w:rPr>
        <w:t> </w:t>
      </w:r>
      <w:r>
        <w:rPr>
          <w:sz w:val="22"/>
        </w:rPr>
        <w:t>below</w:t>
      </w:r>
      <w:r>
        <w:rPr>
          <w:spacing w:val="-3"/>
          <w:sz w:val="22"/>
        </w:rPr>
        <w:t> </w:t>
      </w:r>
      <w:r>
        <w:rPr>
          <w:sz w:val="22"/>
        </w:rPr>
        <w:t>shows</w:t>
      </w:r>
      <w:r>
        <w:rPr>
          <w:spacing w:val="-2"/>
          <w:sz w:val="22"/>
        </w:rPr>
        <w:t> </w:t>
      </w:r>
      <w:r>
        <w:rPr>
          <w:sz w:val="22"/>
        </w:rPr>
        <w:t>the</w:t>
      </w:r>
      <w:r>
        <w:rPr>
          <w:spacing w:val="-2"/>
          <w:sz w:val="22"/>
        </w:rPr>
        <w:t> </w:t>
      </w:r>
      <w:r>
        <w:rPr>
          <w:sz w:val="22"/>
        </w:rPr>
        <w:t>State’s</w:t>
      </w:r>
      <w:r>
        <w:rPr>
          <w:spacing w:val="-2"/>
          <w:sz w:val="22"/>
        </w:rPr>
        <w:t> </w:t>
      </w:r>
      <w:r>
        <w:rPr>
          <w:sz w:val="22"/>
        </w:rPr>
        <w:t>distribution</w:t>
      </w:r>
      <w:r>
        <w:rPr>
          <w:spacing w:val="-5"/>
          <w:sz w:val="22"/>
        </w:rPr>
        <w:t> </w:t>
      </w:r>
      <w:r>
        <w:rPr>
          <w:sz w:val="22"/>
        </w:rPr>
        <w:t>of</w:t>
      </w:r>
      <w:r>
        <w:rPr>
          <w:spacing w:val="-1"/>
          <w:sz w:val="22"/>
        </w:rPr>
        <w:t> </w:t>
      </w:r>
      <w:r>
        <w:rPr>
          <w:sz w:val="22"/>
        </w:rPr>
        <w:t>DSRIP</w:t>
      </w:r>
      <w:r>
        <w:rPr>
          <w:spacing w:val="-3"/>
          <w:sz w:val="22"/>
        </w:rPr>
        <w:t> </w:t>
      </w:r>
      <w:r>
        <w:rPr>
          <w:sz w:val="22"/>
        </w:rPr>
        <w:t>payments</w:t>
      </w:r>
      <w:r>
        <w:rPr>
          <w:spacing w:val="-2"/>
          <w:sz w:val="22"/>
        </w:rPr>
        <w:t> </w:t>
      </w:r>
      <w:r>
        <w:rPr>
          <w:sz w:val="22"/>
        </w:rPr>
        <w:t>to</w:t>
      </w:r>
      <w:r>
        <w:rPr>
          <w:spacing w:val="-2"/>
          <w:sz w:val="22"/>
        </w:rPr>
        <w:t> </w:t>
      </w:r>
      <w:r>
        <w:rPr>
          <w:sz w:val="22"/>
        </w:rPr>
        <w:t>ACOs, CPs and CSAs by funding stream for each budget period, as well as the State’s anticipated sample distribution of DSRIP payments within the ACO and CP funding streams by sub-stream. The table also shows</w:t>
      </w:r>
      <w:r>
        <w:rPr>
          <w:spacing w:val="-10"/>
          <w:sz w:val="22"/>
        </w:rPr>
        <w:t> </w:t>
      </w:r>
      <w:r>
        <w:rPr>
          <w:sz w:val="22"/>
        </w:rPr>
        <w:t>the</w:t>
      </w:r>
      <w:r>
        <w:rPr>
          <w:spacing w:val="-9"/>
          <w:sz w:val="22"/>
        </w:rPr>
        <w:t> </w:t>
      </w:r>
      <w:r>
        <w:rPr>
          <w:sz w:val="22"/>
        </w:rPr>
        <w:t>percent</w:t>
      </w:r>
      <w:r>
        <w:rPr>
          <w:spacing w:val="-9"/>
          <w:sz w:val="22"/>
        </w:rPr>
        <w:t> </w:t>
      </w:r>
      <w:r>
        <w:rPr>
          <w:sz w:val="22"/>
        </w:rPr>
        <w:t>and</w:t>
      </w:r>
      <w:r>
        <w:rPr>
          <w:spacing w:val="-10"/>
          <w:sz w:val="22"/>
        </w:rPr>
        <w:t> </w:t>
      </w:r>
      <w:r>
        <w:rPr>
          <w:sz w:val="22"/>
        </w:rPr>
        <w:t>total</w:t>
      </w:r>
      <w:r>
        <w:rPr>
          <w:spacing w:val="-11"/>
          <w:sz w:val="22"/>
        </w:rPr>
        <w:t> </w:t>
      </w:r>
      <w:r>
        <w:rPr>
          <w:sz w:val="22"/>
        </w:rPr>
        <w:t>funding</w:t>
      </w:r>
      <w:r>
        <w:rPr>
          <w:spacing w:val="-12"/>
          <w:sz w:val="22"/>
        </w:rPr>
        <w:t> </w:t>
      </w:r>
      <w:r>
        <w:rPr>
          <w:sz w:val="22"/>
        </w:rPr>
        <w:t>for</w:t>
      </w:r>
      <w:r>
        <w:rPr>
          <w:spacing w:val="-9"/>
          <w:sz w:val="22"/>
        </w:rPr>
        <w:t> </w:t>
      </w:r>
      <w:r>
        <w:rPr>
          <w:sz w:val="22"/>
        </w:rPr>
        <w:t>each</w:t>
      </w:r>
      <w:r>
        <w:rPr>
          <w:spacing w:val="-10"/>
          <w:sz w:val="22"/>
        </w:rPr>
        <w:t> </w:t>
      </w:r>
      <w:r>
        <w:rPr>
          <w:sz w:val="22"/>
        </w:rPr>
        <w:t>stream</w:t>
      </w:r>
      <w:r>
        <w:rPr>
          <w:spacing w:val="-14"/>
          <w:sz w:val="22"/>
        </w:rPr>
        <w:t> </w:t>
      </w:r>
      <w:r>
        <w:rPr>
          <w:sz w:val="22"/>
        </w:rPr>
        <w:t>and</w:t>
      </w:r>
      <w:r>
        <w:rPr>
          <w:spacing w:val="-10"/>
          <w:sz w:val="22"/>
        </w:rPr>
        <w:t> </w:t>
      </w:r>
      <w:r>
        <w:rPr>
          <w:sz w:val="22"/>
        </w:rPr>
        <w:t>sub-stream</w:t>
      </w:r>
      <w:r>
        <w:rPr>
          <w:spacing w:val="-14"/>
          <w:sz w:val="22"/>
        </w:rPr>
        <w:t> </w:t>
      </w:r>
      <w:r>
        <w:rPr>
          <w:sz w:val="22"/>
        </w:rPr>
        <w:t>that</w:t>
      </w:r>
      <w:r>
        <w:rPr>
          <w:spacing w:val="-9"/>
          <w:sz w:val="22"/>
        </w:rPr>
        <w:t> </w:t>
      </w:r>
      <w:r>
        <w:rPr>
          <w:sz w:val="22"/>
        </w:rPr>
        <w:t>is</w:t>
      </w:r>
      <w:r>
        <w:rPr>
          <w:spacing w:val="-9"/>
          <w:sz w:val="22"/>
        </w:rPr>
        <w:t> </w:t>
      </w:r>
      <w:r>
        <w:rPr>
          <w:sz w:val="22"/>
        </w:rPr>
        <w:t>at-risk</w:t>
      </w:r>
      <w:r>
        <w:rPr>
          <w:spacing w:val="-12"/>
          <w:sz w:val="22"/>
        </w:rPr>
        <w:t> </w:t>
      </w:r>
      <w:r>
        <w:rPr>
          <w:sz w:val="22"/>
        </w:rPr>
        <w:t>based</w:t>
      </w:r>
      <w:r>
        <w:rPr>
          <w:spacing w:val="-10"/>
          <w:sz w:val="22"/>
        </w:rPr>
        <w:t> </w:t>
      </w:r>
      <w:r>
        <w:rPr>
          <w:sz w:val="22"/>
        </w:rPr>
        <w:t>on</w:t>
      </w:r>
      <w:r>
        <w:rPr>
          <w:spacing w:val="-10"/>
          <w:sz w:val="22"/>
        </w:rPr>
        <w:t> </w:t>
      </w:r>
      <w:r>
        <w:rPr>
          <w:sz w:val="22"/>
        </w:rPr>
        <w:t>the</w:t>
      </w:r>
      <w:r>
        <w:rPr>
          <w:spacing w:val="-9"/>
          <w:sz w:val="22"/>
        </w:rPr>
        <w:t> </w:t>
      </w:r>
      <w:r>
        <w:rPr>
          <w:sz w:val="22"/>
        </w:rPr>
        <w:t>ACOs’,</w:t>
      </w:r>
      <w:r>
        <w:rPr>
          <w:spacing w:val="-10"/>
          <w:sz w:val="22"/>
        </w:rPr>
        <w:t> </w:t>
      </w:r>
      <w:r>
        <w:rPr>
          <w:sz w:val="22"/>
        </w:rPr>
        <w:t>CPs’ and</w:t>
      </w:r>
      <w:r>
        <w:rPr>
          <w:spacing w:val="-2"/>
          <w:sz w:val="22"/>
        </w:rPr>
        <w:t> </w:t>
      </w:r>
      <w:r>
        <w:rPr>
          <w:sz w:val="22"/>
        </w:rPr>
        <w:t>CSAs’</w:t>
      </w:r>
      <w:r>
        <w:rPr>
          <w:spacing w:val="-4"/>
          <w:sz w:val="22"/>
        </w:rPr>
        <w:t> </w:t>
      </w:r>
      <w:r>
        <w:rPr>
          <w:sz w:val="22"/>
        </w:rPr>
        <w:t>accountability</w:t>
      </w:r>
      <w:r>
        <w:rPr>
          <w:spacing w:val="-5"/>
          <w:sz w:val="22"/>
        </w:rPr>
        <w:t> </w:t>
      </w:r>
      <w:r>
        <w:rPr>
          <w:sz w:val="22"/>
        </w:rPr>
        <w:t>to</w:t>
      </w:r>
      <w:r>
        <w:rPr>
          <w:spacing w:val="-2"/>
          <w:sz w:val="22"/>
        </w:rPr>
        <w:t> </w:t>
      </w:r>
      <w:r>
        <w:rPr>
          <w:sz w:val="22"/>
        </w:rPr>
        <w:t>the</w:t>
      </w:r>
      <w:r>
        <w:rPr>
          <w:spacing w:val="-2"/>
          <w:sz w:val="22"/>
        </w:rPr>
        <w:t> </w:t>
      </w:r>
      <w:r>
        <w:rPr>
          <w:sz w:val="22"/>
        </w:rPr>
        <w:t>State</w:t>
      </w:r>
      <w:r>
        <w:rPr>
          <w:spacing w:val="-4"/>
          <w:sz w:val="22"/>
        </w:rPr>
        <w:t> </w:t>
      </w:r>
      <w:r>
        <w:rPr>
          <w:sz w:val="22"/>
        </w:rPr>
        <w:t>(see</w:t>
      </w:r>
      <w:r>
        <w:rPr>
          <w:spacing w:val="-2"/>
          <w:sz w:val="22"/>
        </w:rPr>
        <w:t> </w:t>
      </w:r>
      <w:r>
        <w:rPr>
          <w:sz w:val="22"/>
        </w:rPr>
        <w:t>Section</w:t>
      </w:r>
      <w:r>
        <w:rPr>
          <w:spacing w:val="-2"/>
          <w:sz w:val="22"/>
        </w:rPr>
        <w:t> </w:t>
      </w:r>
      <w:r>
        <w:rPr>
          <w:sz w:val="22"/>
        </w:rPr>
        <w:t>5</w:t>
      </w:r>
      <w:r>
        <w:rPr>
          <w:spacing w:val="-2"/>
          <w:sz w:val="22"/>
        </w:rPr>
        <w:t> </w:t>
      </w:r>
      <w:r>
        <w:rPr>
          <w:sz w:val="22"/>
        </w:rPr>
        <w:t>for</w:t>
      </w:r>
      <w:r>
        <w:rPr>
          <w:spacing w:val="-1"/>
          <w:sz w:val="22"/>
        </w:rPr>
        <w:t> </w:t>
      </w:r>
      <w:r>
        <w:rPr>
          <w:sz w:val="22"/>
        </w:rPr>
        <w:t>more</w:t>
      </w:r>
      <w:r>
        <w:rPr>
          <w:spacing w:val="-2"/>
          <w:sz w:val="22"/>
        </w:rPr>
        <w:t> </w:t>
      </w:r>
      <w:r>
        <w:rPr>
          <w:sz w:val="22"/>
        </w:rPr>
        <w:t>information</w:t>
      </w:r>
      <w:r>
        <w:rPr>
          <w:spacing w:val="-5"/>
          <w:sz w:val="22"/>
        </w:rPr>
        <w:t> </w:t>
      </w:r>
      <w:r>
        <w:rPr>
          <w:sz w:val="22"/>
        </w:rPr>
        <w:t>on</w:t>
      </w:r>
      <w:r>
        <w:rPr>
          <w:spacing w:val="-2"/>
          <w:sz w:val="22"/>
        </w:rPr>
        <w:t> </w:t>
      </w:r>
      <w:r>
        <w:rPr>
          <w:sz w:val="22"/>
        </w:rPr>
        <w:t>accountability).</w:t>
      </w:r>
      <w:r>
        <w:rPr>
          <w:spacing w:val="-5"/>
          <w:sz w:val="22"/>
        </w:rPr>
        <w:t> </w:t>
      </w:r>
      <w:r>
        <w:rPr>
          <w:sz w:val="22"/>
        </w:rPr>
        <w:t>This</w:t>
      </w:r>
      <w:r>
        <w:rPr>
          <w:spacing w:val="-2"/>
          <w:sz w:val="22"/>
        </w:rPr>
        <w:t> </w:t>
      </w:r>
      <w:r>
        <w:rPr>
          <w:sz w:val="22"/>
        </w:rPr>
        <w:t>Exhibit is provided for illustrative</w:t>
      </w:r>
      <w:r>
        <w:rPr>
          <w:spacing w:val="-1"/>
          <w:sz w:val="22"/>
        </w:rPr>
        <w:t> </w:t>
      </w:r>
      <w:r>
        <w:rPr>
          <w:sz w:val="22"/>
        </w:rPr>
        <w:t>purposes only</w:t>
      </w:r>
      <w:r>
        <w:rPr>
          <w:spacing w:val="-1"/>
          <w:sz w:val="22"/>
        </w:rPr>
        <w:t> </w:t>
      </w:r>
      <w:r>
        <w:rPr>
          <w:sz w:val="22"/>
        </w:rPr>
        <w:t>and is</w:t>
      </w:r>
      <w:r>
        <w:rPr>
          <w:spacing w:val="-1"/>
          <w:sz w:val="22"/>
        </w:rPr>
        <w:t> </w:t>
      </w:r>
      <w:r>
        <w:rPr>
          <w:sz w:val="22"/>
        </w:rPr>
        <w:t>an estimate of anticipated</w:t>
      </w:r>
      <w:r>
        <w:rPr>
          <w:spacing w:val="-1"/>
          <w:sz w:val="22"/>
        </w:rPr>
        <w:t> </w:t>
      </w:r>
      <w:r>
        <w:rPr>
          <w:sz w:val="22"/>
        </w:rPr>
        <w:t>funding</w:t>
      </w:r>
      <w:r>
        <w:rPr>
          <w:spacing w:val="-1"/>
          <w:sz w:val="22"/>
        </w:rPr>
        <w:t> </w:t>
      </w:r>
      <w:r>
        <w:rPr>
          <w:sz w:val="22"/>
        </w:rPr>
        <w:t>among</w:t>
      </w:r>
      <w:r>
        <w:rPr>
          <w:spacing w:val="-1"/>
          <w:sz w:val="22"/>
        </w:rPr>
        <w:t> </w:t>
      </w:r>
      <w:r>
        <w:rPr>
          <w:sz w:val="22"/>
        </w:rPr>
        <w:t>funding</w:t>
      </w:r>
      <w:r>
        <w:rPr>
          <w:spacing w:val="-1"/>
          <w:sz w:val="22"/>
        </w:rPr>
        <w:t> </w:t>
      </w:r>
      <w:r>
        <w:rPr>
          <w:sz w:val="22"/>
        </w:rPr>
        <w:t>streams and sub-streams at this point in time.</w:t>
      </w:r>
    </w:p>
    <w:p>
      <w:pPr>
        <w:spacing w:after="0"/>
        <w:jc w:val="both"/>
        <w:rPr>
          <w:sz w:val="22"/>
        </w:rPr>
        <w:sectPr>
          <w:pgSz w:w="12240" w:h="15840"/>
          <w:pgMar w:header="0" w:footer="967" w:top="1360" w:bottom="1160" w:left="220" w:right="340"/>
        </w:sectPr>
      </w:pPr>
    </w:p>
    <w:p>
      <w:pPr>
        <w:tabs>
          <w:tab w:pos="1219" w:val="left" w:leader="none"/>
          <w:tab w:pos="10973" w:val="left" w:leader="none"/>
        </w:tabs>
        <w:spacing w:before="78"/>
        <w:ind w:left="826" w:right="0" w:firstLine="0"/>
        <w:jc w:val="left"/>
        <w:rPr>
          <w:sz w:val="22"/>
        </w:rPr>
      </w:pPr>
      <w:r>
        <w:rPr>
          <w:sz w:val="22"/>
          <w:u w:val="single"/>
        </w:rPr>
        <w:tab/>
        <w:t>EXHIBIT</w:t>
      </w:r>
      <w:r>
        <w:rPr>
          <w:spacing w:val="-2"/>
          <w:sz w:val="22"/>
          <w:u w:val="single"/>
        </w:rPr>
        <w:t> </w:t>
      </w:r>
      <w:r>
        <w:rPr>
          <w:sz w:val="22"/>
          <w:u w:val="single"/>
        </w:rPr>
        <w:t>5</w:t>
      </w:r>
      <w:r>
        <w:rPr>
          <w:spacing w:val="-4"/>
          <w:sz w:val="22"/>
          <w:u w:val="single"/>
        </w:rPr>
        <w:t> </w:t>
      </w:r>
      <w:r>
        <w:rPr>
          <w:sz w:val="22"/>
          <w:u w:val="single"/>
        </w:rPr>
        <w:t>–</w:t>
      </w:r>
      <w:r>
        <w:rPr>
          <w:spacing w:val="-4"/>
          <w:sz w:val="22"/>
          <w:u w:val="single"/>
        </w:rPr>
        <w:t> </w:t>
      </w:r>
      <w:r>
        <w:rPr>
          <w:sz w:val="22"/>
          <w:u w:val="single"/>
        </w:rPr>
        <w:t>Provider</w:t>
      </w:r>
      <w:r>
        <w:rPr>
          <w:spacing w:val="-2"/>
          <w:sz w:val="22"/>
          <w:u w:val="single"/>
        </w:rPr>
        <w:t> </w:t>
      </w:r>
      <w:r>
        <w:rPr>
          <w:sz w:val="22"/>
          <w:u w:val="single"/>
        </w:rPr>
        <w:t>Accountability</w:t>
      </w:r>
      <w:r>
        <w:rPr>
          <w:spacing w:val="-7"/>
          <w:sz w:val="22"/>
          <w:u w:val="single"/>
        </w:rPr>
        <w:t> </w:t>
      </w:r>
      <w:r>
        <w:rPr>
          <w:sz w:val="22"/>
          <w:u w:val="single"/>
        </w:rPr>
        <w:t>to</w:t>
      </w:r>
      <w:r>
        <w:rPr>
          <w:spacing w:val="-3"/>
          <w:sz w:val="22"/>
          <w:u w:val="single"/>
        </w:rPr>
        <w:t> </w:t>
      </w:r>
      <w:r>
        <w:rPr>
          <w:spacing w:val="-4"/>
          <w:sz w:val="22"/>
          <w:u w:val="single"/>
        </w:rPr>
        <w:t>State</w:t>
      </w:r>
      <w:r>
        <w:rPr>
          <w:sz w:val="22"/>
          <w:u w:val="single"/>
        </w:rPr>
        <w:tab/>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r>
        <w:rPr/>
        <w:drawing>
          <wp:anchor distT="0" distB="0" distL="0" distR="0" allowOverlap="1" layoutInCell="1" locked="0" behindDoc="1" simplePos="0" relativeHeight="487996928">
            <wp:simplePos x="0" y="0"/>
            <wp:positionH relativeFrom="page">
              <wp:posOffset>670783</wp:posOffset>
            </wp:positionH>
            <wp:positionV relativeFrom="paragraph">
              <wp:posOffset>232438</wp:posOffset>
            </wp:positionV>
            <wp:extent cx="5889135" cy="4186809"/>
            <wp:effectExtent l="0" t="0" r="0" b="0"/>
            <wp:wrapTopAndBottom/>
            <wp:docPr id="851" name="Image 851"/>
            <wp:cNvGraphicFramePr>
              <a:graphicFrameLocks/>
            </wp:cNvGraphicFramePr>
            <a:graphic>
              <a:graphicData uri="http://schemas.openxmlformats.org/drawingml/2006/picture">
                <pic:pic>
                  <pic:nvPicPr>
                    <pic:cNvPr id="851" name="Image 851"/>
                    <pic:cNvPicPr/>
                  </pic:nvPicPr>
                  <pic:blipFill>
                    <a:blip r:embed="rId341" cstate="print"/>
                    <a:stretch>
                      <a:fillRect/>
                    </a:stretch>
                  </pic:blipFill>
                  <pic:spPr>
                    <a:xfrm>
                      <a:off x="0" y="0"/>
                      <a:ext cx="5889135" cy="4186809"/>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2"/>
        </w:rPr>
      </w:pPr>
      <w:r>
        <w:rPr/>
        <mc:AlternateContent>
          <mc:Choice Requires="wps">
            <w:drawing>
              <wp:anchor distT="0" distB="0" distL="0" distR="0" allowOverlap="1" layoutInCell="1" locked="0" behindDoc="1" simplePos="0" relativeHeight="487997440">
                <wp:simplePos x="0" y="0"/>
                <wp:positionH relativeFrom="page">
                  <wp:posOffset>655319</wp:posOffset>
                </wp:positionH>
                <wp:positionV relativeFrom="paragraph">
                  <wp:posOffset>108554</wp:posOffset>
                </wp:positionV>
                <wp:extent cx="6452870" cy="6350"/>
                <wp:effectExtent l="0" t="0" r="0" b="0"/>
                <wp:wrapTopAndBottom/>
                <wp:docPr id="852" name="Graphic 852"/>
                <wp:cNvGraphicFramePr>
                  <a:graphicFrameLocks/>
                </wp:cNvGraphicFramePr>
                <a:graphic>
                  <a:graphicData uri="http://schemas.microsoft.com/office/word/2010/wordprocessingShape">
                    <wps:wsp>
                      <wps:cNvPr id="852" name="Graphic 852"/>
                      <wps:cNvSpPr/>
                      <wps:spPr>
                        <a:xfrm>
                          <a:off x="0" y="0"/>
                          <a:ext cx="6452870" cy="6350"/>
                        </a:xfrm>
                        <a:custGeom>
                          <a:avLst/>
                          <a:gdLst/>
                          <a:ahLst/>
                          <a:cxnLst/>
                          <a:rect l="l" t="t" r="r" b="b"/>
                          <a:pathLst>
                            <a:path w="6452870" h="6350">
                              <a:moveTo>
                                <a:pt x="6452628" y="0"/>
                              </a:moveTo>
                              <a:lnTo>
                                <a:pt x="0" y="0"/>
                              </a:lnTo>
                              <a:lnTo>
                                <a:pt x="0" y="6096"/>
                              </a:lnTo>
                              <a:lnTo>
                                <a:pt x="6452628" y="6096"/>
                              </a:lnTo>
                              <a:lnTo>
                                <a:pt x="64526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1.599998pt;margin-top:8.547605pt;width:508.081pt;height:.48pt;mso-position-horizontal-relative:page;mso-position-vertical-relative:paragraph;z-index:-15319040;mso-wrap-distance-left:0;mso-wrap-distance-right:0" id="docshape72" filled="true" fillcolor="#000000" stroked="false">
                <v:fill type="solid"/>
                <w10:wrap type="topAndBottom"/>
              </v:rect>
            </w:pict>
          </mc:Fallback>
        </mc:AlternateContent>
      </w:r>
    </w:p>
    <w:p>
      <w:pPr>
        <w:pStyle w:val="BodyText"/>
        <w:rPr>
          <w:sz w:val="20"/>
        </w:rPr>
      </w:pPr>
    </w:p>
    <w:p>
      <w:pPr>
        <w:pStyle w:val="BodyText"/>
        <w:rPr>
          <w:sz w:val="20"/>
        </w:rPr>
      </w:pPr>
    </w:p>
    <w:p>
      <w:pPr>
        <w:pStyle w:val="BodyText"/>
        <w:spacing w:before="7"/>
        <w:rPr>
          <w:sz w:val="27"/>
        </w:rPr>
      </w:pPr>
    </w:p>
    <w:p>
      <w:pPr>
        <w:pStyle w:val="Heading2"/>
        <w:numPr>
          <w:ilvl w:val="1"/>
          <w:numId w:val="68"/>
        </w:numPr>
        <w:tabs>
          <w:tab w:pos="1618" w:val="left" w:leader="none"/>
        </w:tabs>
        <w:spacing w:line="240" w:lineRule="auto" w:before="88" w:after="0"/>
        <w:ind w:left="1618" w:right="0" w:hanging="398"/>
        <w:jc w:val="both"/>
      </w:pPr>
      <w:bookmarkStart w:name="4.2 Purpose and Allowable Uses for ACO F" w:id="1284"/>
      <w:bookmarkEnd w:id="1284"/>
      <w:r>
        <w:rPr>
          <w:b w:val="0"/>
        </w:rPr>
      </w:r>
      <w:bookmarkStart w:name="4.2.1 ACO Sub-Streams 1 &amp; 2: Startup/Ong" w:id="1285"/>
      <w:bookmarkEnd w:id="1285"/>
      <w:r>
        <w:rPr>
          <w:b w:val="0"/>
        </w:rPr>
      </w:r>
      <w:bookmarkStart w:name="_bookmark36" w:id="1286"/>
      <w:bookmarkEnd w:id="1286"/>
      <w:r>
        <w:rPr>
          <w:b w:val="0"/>
        </w:rPr>
      </w:r>
      <w:bookmarkStart w:name="_bookmark37" w:id="1287"/>
      <w:bookmarkEnd w:id="1287"/>
      <w:r>
        <w:rPr>
          <w:b w:val="0"/>
        </w:rPr>
      </w:r>
      <w:r>
        <w:rPr>
          <w:color w:val="4471C4"/>
        </w:rPr>
        <w:t>Purpose</w:t>
      </w:r>
      <w:r>
        <w:rPr>
          <w:color w:val="4471C4"/>
          <w:spacing w:val="-9"/>
        </w:rPr>
        <w:t> </w:t>
      </w:r>
      <w:r>
        <w:rPr>
          <w:color w:val="4471C4"/>
        </w:rPr>
        <w:t>and</w:t>
      </w:r>
      <w:r>
        <w:rPr>
          <w:color w:val="4471C4"/>
          <w:spacing w:val="-8"/>
        </w:rPr>
        <w:t> </w:t>
      </w:r>
      <w:r>
        <w:rPr>
          <w:color w:val="4471C4"/>
        </w:rPr>
        <w:t>Allowable</w:t>
      </w:r>
      <w:r>
        <w:rPr>
          <w:color w:val="4471C4"/>
          <w:spacing w:val="-8"/>
        </w:rPr>
        <w:t> </w:t>
      </w:r>
      <w:r>
        <w:rPr>
          <w:color w:val="4471C4"/>
        </w:rPr>
        <w:t>Uses</w:t>
      </w:r>
      <w:r>
        <w:rPr>
          <w:color w:val="4471C4"/>
          <w:spacing w:val="-9"/>
        </w:rPr>
        <w:t> </w:t>
      </w:r>
      <w:r>
        <w:rPr>
          <w:color w:val="4471C4"/>
        </w:rPr>
        <w:t>for</w:t>
      </w:r>
      <w:r>
        <w:rPr>
          <w:color w:val="4471C4"/>
          <w:spacing w:val="-5"/>
        </w:rPr>
        <w:t> </w:t>
      </w:r>
      <w:r>
        <w:rPr>
          <w:color w:val="4471C4"/>
        </w:rPr>
        <w:t>ACO</w:t>
      </w:r>
      <w:r>
        <w:rPr>
          <w:color w:val="4471C4"/>
          <w:spacing w:val="-8"/>
        </w:rPr>
        <w:t> </w:t>
      </w:r>
      <w:r>
        <w:rPr>
          <w:color w:val="4471C4"/>
        </w:rPr>
        <w:t>Funding</w:t>
      </w:r>
      <w:r>
        <w:rPr>
          <w:color w:val="4471C4"/>
          <w:spacing w:val="-9"/>
        </w:rPr>
        <w:t> </w:t>
      </w:r>
      <w:r>
        <w:rPr>
          <w:color w:val="4471C4"/>
        </w:rPr>
        <w:t>Sub-</w:t>
      </w:r>
      <w:r>
        <w:rPr>
          <w:color w:val="4471C4"/>
          <w:spacing w:val="-2"/>
        </w:rPr>
        <w:t>Streams</w:t>
      </w:r>
    </w:p>
    <w:p>
      <w:pPr>
        <w:pStyle w:val="ListParagraph"/>
        <w:numPr>
          <w:ilvl w:val="2"/>
          <w:numId w:val="68"/>
        </w:numPr>
        <w:tabs>
          <w:tab w:pos="1939" w:val="left" w:leader="none"/>
        </w:tabs>
        <w:spacing w:line="252" w:lineRule="exact" w:before="200" w:after="0"/>
        <w:ind w:left="1939" w:right="0" w:hanging="719"/>
        <w:jc w:val="both"/>
        <w:rPr>
          <w:b/>
          <w:color w:val="4471C4"/>
          <w:sz w:val="22"/>
        </w:rPr>
      </w:pPr>
      <w:r>
        <w:rPr>
          <w:b/>
          <w:color w:val="4471C4"/>
          <w:sz w:val="22"/>
        </w:rPr>
        <w:t>ACO</w:t>
      </w:r>
      <w:r>
        <w:rPr>
          <w:b/>
          <w:color w:val="4471C4"/>
          <w:spacing w:val="-5"/>
          <w:sz w:val="22"/>
        </w:rPr>
        <w:t> </w:t>
      </w:r>
      <w:r>
        <w:rPr>
          <w:b/>
          <w:color w:val="4471C4"/>
          <w:sz w:val="22"/>
        </w:rPr>
        <w:t>Sub-Streams</w:t>
      </w:r>
      <w:r>
        <w:rPr>
          <w:b/>
          <w:color w:val="4471C4"/>
          <w:spacing w:val="-4"/>
          <w:sz w:val="22"/>
        </w:rPr>
        <w:t> </w:t>
      </w:r>
      <w:r>
        <w:rPr>
          <w:b/>
          <w:color w:val="4471C4"/>
          <w:sz w:val="22"/>
        </w:rPr>
        <w:t>1</w:t>
      </w:r>
      <w:r>
        <w:rPr>
          <w:b/>
          <w:color w:val="4471C4"/>
          <w:spacing w:val="-7"/>
          <w:sz w:val="22"/>
        </w:rPr>
        <w:t> </w:t>
      </w:r>
      <w:r>
        <w:rPr>
          <w:b/>
          <w:color w:val="4471C4"/>
          <w:sz w:val="22"/>
        </w:rPr>
        <w:t>&amp;</w:t>
      </w:r>
      <w:r>
        <w:rPr>
          <w:b/>
          <w:color w:val="4471C4"/>
          <w:spacing w:val="-3"/>
          <w:sz w:val="22"/>
        </w:rPr>
        <w:t> </w:t>
      </w:r>
      <w:r>
        <w:rPr>
          <w:b/>
          <w:color w:val="4471C4"/>
          <w:sz w:val="22"/>
        </w:rPr>
        <w:t>2:</w:t>
      </w:r>
      <w:r>
        <w:rPr>
          <w:b/>
          <w:color w:val="4471C4"/>
          <w:spacing w:val="-6"/>
          <w:sz w:val="22"/>
        </w:rPr>
        <w:t> </w:t>
      </w:r>
      <w:r>
        <w:rPr>
          <w:b/>
          <w:color w:val="4471C4"/>
          <w:sz w:val="22"/>
        </w:rPr>
        <w:t>Startup/Ongoing</w:t>
      </w:r>
      <w:r>
        <w:rPr>
          <w:b/>
          <w:color w:val="4471C4"/>
          <w:spacing w:val="-6"/>
          <w:sz w:val="22"/>
        </w:rPr>
        <w:t> </w:t>
      </w:r>
      <w:r>
        <w:rPr>
          <w:b/>
          <w:color w:val="4471C4"/>
          <w:sz w:val="22"/>
        </w:rPr>
        <w:t>Funding</w:t>
      </w:r>
      <w:r>
        <w:rPr>
          <w:b/>
          <w:color w:val="4471C4"/>
          <w:spacing w:val="-7"/>
          <w:sz w:val="22"/>
        </w:rPr>
        <w:t> </w:t>
      </w:r>
      <w:r>
        <w:rPr>
          <w:b/>
          <w:color w:val="4471C4"/>
          <w:sz w:val="22"/>
        </w:rPr>
        <w:t>(Primary</w:t>
      </w:r>
      <w:r>
        <w:rPr>
          <w:b/>
          <w:color w:val="4471C4"/>
          <w:spacing w:val="-4"/>
          <w:sz w:val="22"/>
        </w:rPr>
        <w:t> </w:t>
      </w:r>
      <w:r>
        <w:rPr>
          <w:b/>
          <w:color w:val="4471C4"/>
          <w:sz w:val="22"/>
        </w:rPr>
        <w:t>Care</w:t>
      </w:r>
      <w:r>
        <w:rPr>
          <w:b/>
          <w:color w:val="4471C4"/>
          <w:spacing w:val="-6"/>
          <w:sz w:val="22"/>
        </w:rPr>
        <w:t> </w:t>
      </w:r>
      <w:r>
        <w:rPr>
          <w:b/>
          <w:color w:val="4471C4"/>
          <w:sz w:val="22"/>
        </w:rPr>
        <w:t>&amp;</w:t>
      </w:r>
      <w:r>
        <w:rPr>
          <w:b/>
          <w:color w:val="4471C4"/>
          <w:spacing w:val="-2"/>
          <w:sz w:val="22"/>
        </w:rPr>
        <w:t> Discretionary)</w:t>
      </w:r>
    </w:p>
    <w:p>
      <w:pPr>
        <w:spacing w:before="0"/>
        <w:ind w:left="1219" w:right="1093" w:firstLine="0"/>
        <w:jc w:val="both"/>
        <w:rPr>
          <w:sz w:val="22"/>
        </w:rPr>
      </w:pPr>
      <w:r>
        <w:rPr>
          <w:sz w:val="22"/>
        </w:rPr>
        <w:t>ACO sub-streams 1 and 2 are for Startup/Ongoing funds. Startup/Ongoing funds are split into two sub- streams. Sub-stream</w:t>
      </w:r>
      <w:r>
        <w:rPr>
          <w:spacing w:val="-3"/>
          <w:sz w:val="22"/>
        </w:rPr>
        <w:t> </w:t>
      </w:r>
      <w:r>
        <w:rPr>
          <w:sz w:val="22"/>
        </w:rPr>
        <w:t>1</w:t>
      </w:r>
      <w:r>
        <w:rPr>
          <w:spacing w:val="-2"/>
          <w:sz w:val="22"/>
        </w:rPr>
        <w:t> </w:t>
      </w:r>
      <w:r>
        <w:rPr>
          <w:sz w:val="22"/>
        </w:rPr>
        <w:t>is</w:t>
      </w:r>
      <w:r>
        <w:rPr>
          <w:spacing w:val="-2"/>
          <w:sz w:val="22"/>
        </w:rPr>
        <w:t> </w:t>
      </w:r>
      <w:r>
        <w:rPr>
          <w:sz w:val="22"/>
        </w:rPr>
        <w:t>explicitly</w:t>
      </w:r>
      <w:r>
        <w:rPr>
          <w:spacing w:val="-2"/>
          <w:sz w:val="22"/>
        </w:rPr>
        <w:t> </w:t>
      </w:r>
      <w:r>
        <w:rPr>
          <w:sz w:val="22"/>
        </w:rPr>
        <w:t>dedicated</w:t>
      </w:r>
      <w:r>
        <w:rPr>
          <w:spacing w:val="-2"/>
          <w:sz w:val="22"/>
        </w:rPr>
        <w:t> </w:t>
      </w:r>
      <w:r>
        <w:rPr>
          <w:sz w:val="22"/>
        </w:rPr>
        <w:t>for</w:t>
      </w:r>
      <w:r>
        <w:rPr>
          <w:spacing w:val="-1"/>
          <w:sz w:val="22"/>
        </w:rPr>
        <w:t> </w:t>
      </w:r>
      <w:r>
        <w:rPr>
          <w:sz w:val="22"/>
        </w:rPr>
        <w:t>primary</w:t>
      </w:r>
      <w:r>
        <w:rPr>
          <w:spacing w:val="-2"/>
          <w:sz w:val="22"/>
        </w:rPr>
        <w:t> </w:t>
      </w:r>
      <w:r>
        <w:rPr>
          <w:sz w:val="22"/>
        </w:rPr>
        <w:t>care</w:t>
      </w:r>
      <w:r>
        <w:rPr>
          <w:spacing w:val="-2"/>
          <w:sz w:val="22"/>
        </w:rPr>
        <w:t> </w:t>
      </w:r>
      <w:r>
        <w:rPr>
          <w:sz w:val="22"/>
        </w:rPr>
        <w:t>investment.</w:t>
      </w:r>
      <w:r>
        <w:rPr>
          <w:spacing w:val="-2"/>
          <w:sz w:val="22"/>
        </w:rPr>
        <w:t> </w:t>
      </w:r>
      <w:r>
        <w:rPr>
          <w:sz w:val="22"/>
        </w:rPr>
        <w:t>ACOs</w:t>
      </w:r>
      <w:r>
        <w:rPr>
          <w:spacing w:val="-2"/>
          <w:sz w:val="22"/>
        </w:rPr>
        <w:t> </w:t>
      </w:r>
      <w:r>
        <w:rPr>
          <w:sz w:val="22"/>
        </w:rPr>
        <w:t>will</w:t>
      </w:r>
      <w:r>
        <w:rPr>
          <w:spacing w:val="-1"/>
          <w:sz w:val="22"/>
        </w:rPr>
        <w:t> </w:t>
      </w:r>
      <w:r>
        <w:rPr>
          <w:sz w:val="22"/>
        </w:rPr>
        <w:t>be</w:t>
      </w:r>
      <w:r>
        <w:rPr>
          <w:spacing w:val="-2"/>
          <w:sz w:val="22"/>
        </w:rPr>
        <w:t> </w:t>
      </w:r>
      <w:r>
        <w:rPr>
          <w:sz w:val="22"/>
        </w:rPr>
        <w:t>required</w:t>
      </w:r>
      <w:r>
        <w:rPr>
          <w:spacing w:val="-2"/>
          <w:sz w:val="22"/>
        </w:rPr>
        <w:t> </w:t>
      </w:r>
      <w:r>
        <w:rPr>
          <w:sz w:val="22"/>
        </w:rPr>
        <w:t>to</w:t>
      </w:r>
      <w:r>
        <w:rPr>
          <w:spacing w:val="-2"/>
          <w:sz w:val="22"/>
        </w:rPr>
        <w:t> </w:t>
      </w:r>
      <w:r>
        <w:rPr>
          <w:sz w:val="22"/>
        </w:rPr>
        <w:t>spend these funds on state-approved investments that support the ACO’s primary care providers such as capital investments in primary care practices (e.g., inter-operable EHR systems), trainings for primary care providers and support staff in population health management protocols, administrative staff to support front-line</w:t>
      </w:r>
      <w:r>
        <w:rPr>
          <w:spacing w:val="-12"/>
          <w:sz w:val="22"/>
        </w:rPr>
        <w:t> </w:t>
      </w:r>
      <w:r>
        <w:rPr>
          <w:sz w:val="22"/>
        </w:rPr>
        <w:t>providers</w:t>
      </w:r>
      <w:r>
        <w:rPr>
          <w:spacing w:val="-11"/>
          <w:sz w:val="22"/>
        </w:rPr>
        <w:t> </w:t>
      </w:r>
      <w:r>
        <w:rPr>
          <w:sz w:val="22"/>
        </w:rPr>
        <w:t>with</w:t>
      </w:r>
      <w:r>
        <w:rPr>
          <w:spacing w:val="-12"/>
          <w:sz w:val="22"/>
        </w:rPr>
        <w:t> </w:t>
      </w:r>
      <w:r>
        <w:rPr>
          <w:sz w:val="22"/>
        </w:rPr>
        <w:t>clinical</w:t>
      </w:r>
      <w:r>
        <w:rPr>
          <w:spacing w:val="-11"/>
          <w:sz w:val="22"/>
        </w:rPr>
        <w:t> </w:t>
      </w:r>
      <w:r>
        <w:rPr>
          <w:sz w:val="22"/>
        </w:rPr>
        <w:t>quality</w:t>
      </w:r>
      <w:r>
        <w:rPr>
          <w:spacing w:val="-14"/>
          <w:sz w:val="22"/>
        </w:rPr>
        <w:t> </w:t>
      </w:r>
      <w:r>
        <w:rPr>
          <w:sz w:val="22"/>
        </w:rPr>
        <w:t>initiatives,</w:t>
      </w:r>
      <w:r>
        <w:rPr>
          <w:spacing w:val="-11"/>
          <w:sz w:val="22"/>
        </w:rPr>
        <w:t> </w:t>
      </w:r>
      <w:r>
        <w:rPr>
          <w:sz w:val="22"/>
        </w:rPr>
        <w:t>etc.</w:t>
      </w:r>
      <w:r>
        <w:rPr>
          <w:spacing w:val="-14"/>
          <w:sz w:val="22"/>
        </w:rPr>
        <w:t> </w:t>
      </w:r>
      <w:r>
        <w:rPr>
          <w:sz w:val="22"/>
        </w:rPr>
        <w:t>Having</w:t>
      </w:r>
      <w:r>
        <w:rPr>
          <w:spacing w:val="-13"/>
          <w:sz w:val="22"/>
        </w:rPr>
        <w:t> </w:t>
      </w:r>
      <w:r>
        <w:rPr>
          <w:sz w:val="22"/>
        </w:rPr>
        <w:t>a</w:t>
      </w:r>
      <w:r>
        <w:rPr>
          <w:spacing w:val="-11"/>
          <w:sz w:val="22"/>
        </w:rPr>
        <w:t> </w:t>
      </w:r>
      <w:r>
        <w:rPr>
          <w:sz w:val="22"/>
        </w:rPr>
        <w:t>dedicated</w:t>
      </w:r>
      <w:r>
        <w:rPr>
          <w:spacing w:val="-14"/>
          <w:sz w:val="22"/>
        </w:rPr>
        <w:t> </w:t>
      </w:r>
      <w:r>
        <w:rPr>
          <w:sz w:val="22"/>
        </w:rPr>
        <w:t>funding</w:t>
      </w:r>
      <w:r>
        <w:rPr>
          <w:spacing w:val="-13"/>
          <w:sz w:val="22"/>
        </w:rPr>
        <w:t> </w:t>
      </w:r>
      <w:r>
        <w:rPr>
          <w:sz w:val="22"/>
        </w:rPr>
        <w:t>stream</w:t>
      </w:r>
      <w:r>
        <w:rPr>
          <w:spacing w:val="-14"/>
          <w:sz w:val="22"/>
        </w:rPr>
        <w:t> </w:t>
      </w:r>
      <w:r>
        <w:rPr>
          <w:sz w:val="22"/>
        </w:rPr>
        <w:t>for</w:t>
      </w:r>
      <w:r>
        <w:rPr>
          <w:spacing w:val="-10"/>
          <w:sz w:val="22"/>
        </w:rPr>
        <w:t> </w:t>
      </w:r>
      <w:r>
        <w:rPr>
          <w:sz w:val="22"/>
        </w:rPr>
        <w:t>primary</w:t>
      </w:r>
      <w:r>
        <w:rPr>
          <w:spacing w:val="-14"/>
          <w:sz w:val="22"/>
        </w:rPr>
        <w:t> </w:t>
      </w:r>
      <w:r>
        <w:rPr>
          <w:sz w:val="22"/>
        </w:rPr>
        <w:t>care investment</w:t>
      </w:r>
      <w:r>
        <w:rPr>
          <w:spacing w:val="24"/>
          <w:sz w:val="22"/>
        </w:rPr>
        <w:t> </w:t>
      </w:r>
      <w:r>
        <w:rPr>
          <w:sz w:val="22"/>
        </w:rPr>
        <w:t>is</w:t>
      </w:r>
      <w:r>
        <w:rPr>
          <w:spacing w:val="27"/>
          <w:sz w:val="22"/>
        </w:rPr>
        <w:t> </w:t>
      </w:r>
      <w:r>
        <w:rPr>
          <w:sz w:val="22"/>
        </w:rPr>
        <w:t>an</w:t>
      </w:r>
      <w:r>
        <w:rPr>
          <w:spacing w:val="23"/>
          <w:sz w:val="22"/>
        </w:rPr>
        <w:t> </w:t>
      </w:r>
      <w:r>
        <w:rPr>
          <w:sz w:val="22"/>
        </w:rPr>
        <w:t>important</w:t>
      </w:r>
      <w:r>
        <w:rPr>
          <w:spacing w:val="25"/>
          <w:sz w:val="22"/>
        </w:rPr>
        <w:t> </w:t>
      </w:r>
      <w:r>
        <w:rPr>
          <w:sz w:val="22"/>
        </w:rPr>
        <w:t>mechanism</w:t>
      </w:r>
      <w:r>
        <w:rPr>
          <w:spacing w:val="22"/>
          <w:sz w:val="22"/>
        </w:rPr>
        <w:t> </w:t>
      </w:r>
      <w:r>
        <w:rPr>
          <w:sz w:val="22"/>
        </w:rPr>
        <w:t>for</w:t>
      </w:r>
      <w:r>
        <w:rPr>
          <w:spacing w:val="27"/>
          <w:sz w:val="22"/>
        </w:rPr>
        <w:t> </w:t>
      </w:r>
      <w:r>
        <w:rPr>
          <w:sz w:val="22"/>
        </w:rPr>
        <w:t>the</w:t>
      </w:r>
      <w:r>
        <w:rPr>
          <w:spacing w:val="27"/>
          <w:sz w:val="22"/>
        </w:rPr>
        <w:t> </w:t>
      </w:r>
      <w:r>
        <w:rPr>
          <w:sz w:val="22"/>
        </w:rPr>
        <w:t>State</w:t>
      </w:r>
      <w:r>
        <w:rPr>
          <w:spacing w:val="24"/>
          <w:sz w:val="22"/>
        </w:rPr>
        <w:t> </w:t>
      </w:r>
      <w:r>
        <w:rPr>
          <w:sz w:val="22"/>
        </w:rPr>
        <w:t>to</w:t>
      </w:r>
      <w:r>
        <w:rPr>
          <w:spacing w:val="26"/>
          <w:sz w:val="22"/>
        </w:rPr>
        <w:t> </w:t>
      </w:r>
      <w:r>
        <w:rPr>
          <w:sz w:val="22"/>
        </w:rPr>
        <w:t>ensure</w:t>
      </w:r>
      <w:r>
        <w:rPr>
          <w:spacing w:val="26"/>
          <w:sz w:val="22"/>
        </w:rPr>
        <w:t> </w:t>
      </w:r>
      <w:r>
        <w:rPr>
          <w:sz w:val="22"/>
        </w:rPr>
        <w:t>that</w:t>
      </w:r>
      <w:r>
        <w:rPr>
          <w:spacing w:val="27"/>
          <w:sz w:val="22"/>
        </w:rPr>
        <w:t> </w:t>
      </w:r>
      <w:r>
        <w:rPr>
          <w:sz w:val="22"/>
        </w:rPr>
        <w:t>ACOs</w:t>
      </w:r>
      <w:r>
        <w:rPr>
          <w:spacing w:val="24"/>
          <w:sz w:val="22"/>
        </w:rPr>
        <w:t> </w:t>
      </w:r>
      <w:r>
        <w:rPr>
          <w:sz w:val="22"/>
        </w:rPr>
        <w:t>and</w:t>
      </w:r>
      <w:r>
        <w:rPr>
          <w:spacing w:val="26"/>
          <w:sz w:val="22"/>
        </w:rPr>
        <w:t> </w:t>
      </w:r>
      <w:r>
        <w:rPr>
          <w:sz w:val="22"/>
        </w:rPr>
        <w:t>their</w:t>
      </w:r>
      <w:r>
        <w:rPr>
          <w:spacing w:val="26"/>
          <w:sz w:val="22"/>
        </w:rPr>
        <w:t> </w:t>
      </w:r>
      <w:r>
        <w:rPr>
          <w:sz w:val="22"/>
        </w:rPr>
        <w:t>PCPs</w:t>
      </w:r>
      <w:r>
        <w:rPr>
          <w:spacing w:val="27"/>
          <w:sz w:val="22"/>
        </w:rPr>
        <w:t> </w:t>
      </w:r>
      <w:r>
        <w:rPr>
          <w:sz w:val="22"/>
        </w:rPr>
        <w:t>are</w:t>
      </w:r>
      <w:r>
        <w:rPr>
          <w:spacing w:val="27"/>
          <w:sz w:val="22"/>
        </w:rPr>
        <w:t> </w:t>
      </w:r>
      <w:r>
        <w:rPr>
          <w:spacing w:val="-2"/>
          <w:sz w:val="22"/>
        </w:rPr>
        <w:t>mutually</w:t>
      </w:r>
    </w:p>
    <w:p>
      <w:pPr>
        <w:spacing w:after="0"/>
        <w:jc w:val="both"/>
        <w:rPr>
          <w:sz w:val="22"/>
        </w:rPr>
        <w:sectPr>
          <w:pgSz w:w="12240" w:h="15840"/>
          <w:pgMar w:header="0" w:footer="967" w:top="1360" w:bottom="1160" w:left="220" w:right="340"/>
        </w:sectPr>
      </w:pPr>
    </w:p>
    <w:p>
      <w:pPr>
        <w:spacing w:line="240" w:lineRule="auto" w:before="78"/>
        <w:ind w:left="1219" w:right="1093" w:firstLine="0"/>
        <w:jc w:val="both"/>
        <w:rPr>
          <w:sz w:val="22"/>
        </w:rPr>
      </w:pPr>
      <w:r>
        <w:rPr>
          <w:sz w:val="22"/>
        </w:rPr>
        <w:t>committed</w:t>
      </w:r>
      <w:r>
        <w:rPr>
          <w:spacing w:val="-9"/>
          <w:sz w:val="22"/>
        </w:rPr>
        <w:t> </w:t>
      </w:r>
      <w:r>
        <w:rPr>
          <w:sz w:val="22"/>
        </w:rPr>
        <w:t>to</w:t>
      </w:r>
      <w:r>
        <w:rPr>
          <w:spacing w:val="-7"/>
          <w:sz w:val="22"/>
        </w:rPr>
        <w:t> </w:t>
      </w:r>
      <w:r>
        <w:rPr>
          <w:sz w:val="22"/>
        </w:rPr>
        <w:t>each</w:t>
      </w:r>
      <w:r>
        <w:rPr>
          <w:spacing w:val="-7"/>
          <w:sz w:val="22"/>
        </w:rPr>
        <w:t> </w:t>
      </w:r>
      <w:r>
        <w:rPr>
          <w:sz w:val="22"/>
        </w:rPr>
        <w:t>other,</w:t>
      </w:r>
      <w:r>
        <w:rPr>
          <w:spacing w:val="-7"/>
          <w:sz w:val="22"/>
        </w:rPr>
        <w:t> </w:t>
      </w:r>
      <w:r>
        <w:rPr>
          <w:sz w:val="22"/>
        </w:rPr>
        <w:t>having</w:t>
      </w:r>
      <w:r>
        <w:rPr>
          <w:spacing w:val="-7"/>
          <w:sz w:val="22"/>
        </w:rPr>
        <w:t> </w:t>
      </w:r>
      <w:r>
        <w:rPr>
          <w:sz w:val="22"/>
        </w:rPr>
        <w:t>mutual</w:t>
      </w:r>
      <w:r>
        <w:rPr>
          <w:spacing w:val="-6"/>
          <w:sz w:val="22"/>
        </w:rPr>
        <w:t> </w:t>
      </w:r>
      <w:r>
        <w:rPr>
          <w:sz w:val="22"/>
        </w:rPr>
        <w:t>discussions</w:t>
      </w:r>
      <w:r>
        <w:rPr>
          <w:spacing w:val="-7"/>
          <w:sz w:val="22"/>
        </w:rPr>
        <w:t> </w:t>
      </w:r>
      <w:r>
        <w:rPr>
          <w:sz w:val="22"/>
        </w:rPr>
        <w:t>about</w:t>
      </w:r>
      <w:r>
        <w:rPr>
          <w:spacing w:val="-6"/>
          <w:sz w:val="22"/>
        </w:rPr>
        <w:t> </w:t>
      </w:r>
      <w:r>
        <w:rPr>
          <w:sz w:val="22"/>
        </w:rPr>
        <w:t>business</w:t>
      </w:r>
      <w:r>
        <w:rPr>
          <w:spacing w:val="-9"/>
          <w:sz w:val="22"/>
        </w:rPr>
        <w:t> </w:t>
      </w:r>
      <w:r>
        <w:rPr>
          <w:sz w:val="22"/>
        </w:rPr>
        <w:t>decisions</w:t>
      </w:r>
      <w:r>
        <w:rPr>
          <w:spacing w:val="-9"/>
          <w:sz w:val="22"/>
        </w:rPr>
        <w:t> </w:t>
      </w:r>
      <w:r>
        <w:rPr>
          <w:sz w:val="22"/>
        </w:rPr>
        <w:t>and</w:t>
      </w:r>
      <w:r>
        <w:rPr>
          <w:spacing w:val="-9"/>
          <w:sz w:val="22"/>
        </w:rPr>
        <w:t> </w:t>
      </w:r>
      <w:r>
        <w:rPr>
          <w:sz w:val="22"/>
        </w:rPr>
        <w:t>working</w:t>
      </w:r>
      <w:r>
        <w:rPr>
          <w:spacing w:val="-10"/>
          <w:sz w:val="22"/>
        </w:rPr>
        <w:t> </w:t>
      </w:r>
      <w:r>
        <w:rPr>
          <w:sz w:val="22"/>
        </w:rPr>
        <w:t>together</w:t>
      </w:r>
      <w:r>
        <w:rPr>
          <w:spacing w:val="-9"/>
          <w:sz w:val="22"/>
        </w:rPr>
        <w:t> </w:t>
      </w:r>
      <w:r>
        <w:rPr>
          <w:sz w:val="22"/>
        </w:rPr>
        <w:t>to</w:t>
      </w:r>
      <w:r>
        <w:rPr>
          <w:spacing w:val="-7"/>
          <w:sz w:val="22"/>
        </w:rPr>
        <w:t> </w:t>
      </w:r>
      <w:r>
        <w:rPr>
          <w:sz w:val="22"/>
        </w:rPr>
        <w:t>meet the State’s delivery system reform goals. In order to ensure that primary care investments supported by DSRIP do not duplicate other federal or state investments, ACOs will be required to disclose in their Full Participation Plans what state and federal investments the ACO is using to support primary care investments, and how the ACO is ensuring non-duplication with proposed DSRIP funding uses.</w:t>
      </w:r>
    </w:p>
    <w:p>
      <w:pPr>
        <w:spacing w:before="161"/>
        <w:ind w:left="1219" w:right="1094" w:firstLine="0"/>
        <w:jc w:val="both"/>
        <w:rPr>
          <w:sz w:val="22"/>
        </w:rPr>
      </w:pPr>
      <w:r>
        <w:rPr>
          <w:sz w:val="22"/>
        </w:rPr>
        <w:t>Sub-stream 2 is for discretionary Startup/Ongoing funding and may be used by the ACO for other state- approved investments. Some examples of investment opportunities for ACOs include, but are not limited to: health information technology, contracting/network development, project management, and care coordination/management investment, assessments for members with identified LTSS needs, workforce capacity development and new or expanded telemedicine capability.</w:t>
      </w:r>
    </w:p>
    <w:p>
      <w:pPr>
        <w:spacing w:before="158"/>
        <w:ind w:left="1219" w:right="1094" w:firstLine="0"/>
        <w:jc w:val="both"/>
        <w:rPr>
          <w:sz w:val="22"/>
        </w:rPr>
      </w:pPr>
      <w:r>
        <w:rPr>
          <w:sz w:val="22"/>
        </w:rPr>
        <w:t>The</w:t>
      </w:r>
      <w:r>
        <w:rPr>
          <w:spacing w:val="-14"/>
          <w:sz w:val="22"/>
        </w:rPr>
        <w:t> </w:t>
      </w:r>
      <w:r>
        <w:rPr>
          <w:sz w:val="22"/>
        </w:rPr>
        <w:t>funding</w:t>
      </w:r>
      <w:r>
        <w:rPr>
          <w:spacing w:val="-14"/>
          <w:sz w:val="22"/>
        </w:rPr>
        <w:t> </w:t>
      </w:r>
      <w:r>
        <w:rPr>
          <w:sz w:val="22"/>
        </w:rPr>
        <w:t>amounts</w:t>
      </w:r>
      <w:r>
        <w:rPr>
          <w:spacing w:val="-13"/>
          <w:sz w:val="22"/>
        </w:rPr>
        <w:t> </w:t>
      </w:r>
      <w:r>
        <w:rPr>
          <w:sz w:val="22"/>
        </w:rPr>
        <w:t>for</w:t>
      </w:r>
      <w:r>
        <w:rPr>
          <w:spacing w:val="-11"/>
          <w:sz w:val="22"/>
        </w:rPr>
        <w:t> </w:t>
      </w:r>
      <w:r>
        <w:rPr>
          <w:sz w:val="22"/>
        </w:rPr>
        <w:t>these</w:t>
      </w:r>
      <w:r>
        <w:rPr>
          <w:spacing w:val="-14"/>
          <w:sz w:val="22"/>
        </w:rPr>
        <w:t> </w:t>
      </w:r>
      <w:r>
        <w:rPr>
          <w:sz w:val="22"/>
        </w:rPr>
        <w:t>two</w:t>
      </w:r>
      <w:r>
        <w:rPr>
          <w:spacing w:val="-12"/>
          <w:sz w:val="22"/>
        </w:rPr>
        <w:t> </w:t>
      </w:r>
      <w:r>
        <w:rPr>
          <w:sz w:val="22"/>
        </w:rPr>
        <w:t>sub-streams</w:t>
      </w:r>
      <w:r>
        <w:rPr>
          <w:spacing w:val="-11"/>
          <w:sz w:val="22"/>
        </w:rPr>
        <w:t> </w:t>
      </w:r>
      <w:r>
        <w:rPr>
          <w:sz w:val="22"/>
        </w:rPr>
        <w:t>decrease</w:t>
      </w:r>
      <w:r>
        <w:rPr>
          <w:spacing w:val="-11"/>
          <w:sz w:val="22"/>
        </w:rPr>
        <w:t> </w:t>
      </w:r>
      <w:r>
        <w:rPr>
          <w:sz w:val="22"/>
        </w:rPr>
        <w:t>over</w:t>
      </w:r>
      <w:r>
        <w:rPr>
          <w:spacing w:val="-13"/>
          <w:sz w:val="22"/>
        </w:rPr>
        <w:t> </w:t>
      </w:r>
      <w:r>
        <w:rPr>
          <w:sz w:val="22"/>
        </w:rPr>
        <w:t>the</w:t>
      </w:r>
      <w:r>
        <w:rPr>
          <w:spacing w:val="-14"/>
          <w:sz w:val="22"/>
        </w:rPr>
        <w:t> </w:t>
      </w:r>
      <w:r>
        <w:rPr>
          <w:sz w:val="22"/>
        </w:rPr>
        <w:t>five</w:t>
      </w:r>
      <w:r>
        <w:rPr>
          <w:spacing w:val="-11"/>
          <w:sz w:val="22"/>
        </w:rPr>
        <w:t> </w:t>
      </w:r>
      <w:r>
        <w:rPr>
          <w:sz w:val="22"/>
        </w:rPr>
        <w:t>demonstration</w:t>
      </w:r>
      <w:r>
        <w:rPr>
          <w:spacing w:val="-12"/>
          <w:sz w:val="22"/>
        </w:rPr>
        <w:t> </w:t>
      </w:r>
      <w:r>
        <w:rPr>
          <w:sz w:val="22"/>
        </w:rPr>
        <w:t>years</w:t>
      </w:r>
      <w:r>
        <w:rPr>
          <w:spacing w:val="-14"/>
          <w:sz w:val="22"/>
        </w:rPr>
        <w:t> </w:t>
      </w:r>
      <w:r>
        <w:rPr>
          <w:sz w:val="22"/>
        </w:rPr>
        <w:t>and</w:t>
      </w:r>
      <w:r>
        <w:rPr>
          <w:spacing w:val="-14"/>
          <w:sz w:val="22"/>
        </w:rPr>
        <w:t> </w:t>
      </w:r>
      <w:r>
        <w:rPr>
          <w:sz w:val="22"/>
        </w:rPr>
        <w:t>are</w:t>
      </w:r>
      <w:r>
        <w:rPr>
          <w:spacing w:val="-13"/>
          <w:sz w:val="22"/>
        </w:rPr>
        <w:t> </w:t>
      </w:r>
      <w:r>
        <w:rPr>
          <w:sz w:val="22"/>
        </w:rPr>
        <w:t>intended to</w:t>
      </w:r>
      <w:r>
        <w:rPr>
          <w:spacing w:val="-9"/>
          <w:sz w:val="22"/>
        </w:rPr>
        <w:t> </w:t>
      </w:r>
      <w:r>
        <w:rPr>
          <w:sz w:val="22"/>
        </w:rPr>
        <w:t>support</w:t>
      </w:r>
      <w:r>
        <w:rPr>
          <w:spacing w:val="-8"/>
          <w:sz w:val="22"/>
        </w:rPr>
        <w:t> </w:t>
      </w:r>
      <w:r>
        <w:rPr>
          <w:sz w:val="22"/>
        </w:rPr>
        <w:t>ACO</w:t>
      </w:r>
      <w:r>
        <w:rPr>
          <w:spacing w:val="-10"/>
          <w:sz w:val="22"/>
        </w:rPr>
        <w:t> </w:t>
      </w:r>
      <w:r>
        <w:rPr>
          <w:sz w:val="22"/>
        </w:rPr>
        <w:t>investments</w:t>
      </w:r>
      <w:r>
        <w:rPr>
          <w:spacing w:val="-8"/>
          <w:sz w:val="22"/>
        </w:rPr>
        <w:t> </w:t>
      </w:r>
      <w:r>
        <w:rPr>
          <w:sz w:val="22"/>
        </w:rPr>
        <w:t>as</w:t>
      </w:r>
      <w:r>
        <w:rPr>
          <w:spacing w:val="-8"/>
          <w:sz w:val="22"/>
        </w:rPr>
        <w:t> </w:t>
      </w:r>
      <w:r>
        <w:rPr>
          <w:sz w:val="22"/>
        </w:rPr>
        <w:t>they</w:t>
      </w:r>
      <w:r>
        <w:rPr>
          <w:spacing w:val="-11"/>
          <w:sz w:val="22"/>
        </w:rPr>
        <w:t> </w:t>
      </w:r>
      <w:r>
        <w:rPr>
          <w:sz w:val="22"/>
        </w:rPr>
        <w:t>start</w:t>
      </w:r>
      <w:r>
        <w:rPr>
          <w:spacing w:val="-8"/>
          <w:sz w:val="22"/>
        </w:rPr>
        <w:t> </w:t>
      </w:r>
      <w:r>
        <w:rPr>
          <w:sz w:val="22"/>
        </w:rPr>
        <w:t>their</w:t>
      </w:r>
      <w:r>
        <w:rPr>
          <w:spacing w:val="-8"/>
          <w:sz w:val="22"/>
        </w:rPr>
        <w:t> </w:t>
      </w:r>
      <w:r>
        <w:rPr>
          <w:sz w:val="22"/>
        </w:rPr>
        <w:t>ACO</w:t>
      </w:r>
      <w:r>
        <w:rPr>
          <w:spacing w:val="-7"/>
          <w:sz w:val="22"/>
        </w:rPr>
        <w:t> </w:t>
      </w:r>
      <w:r>
        <w:rPr>
          <w:sz w:val="22"/>
        </w:rPr>
        <w:t>models</w:t>
      </w:r>
      <w:r>
        <w:rPr>
          <w:spacing w:val="-8"/>
          <w:sz w:val="22"/>
        </w:rPr>
        <w:t> </w:t>
      </w:r>
      <w:r>
        <w:rPr>
          <w:sz w:val="22"/>
        </w:rPr>
        <w:t>and</w:t>
      </w:r>
      <w:r>
        <w:rPr>
          <w:spacing w:val="-9"/>
          <w:sz w:val="22"/>
        </w:rPr>
        <w:t> </w:t>
      </w:r>
      <w:r>
        <w:rPr>
          <w:sz w:val="22"/>
        </w:rPr>
        <w:t>provide</w:t>
      </w:r>
      <w:r>
        <w:rPr>
          <w:spacing w:val="-8"/>
          <w:sz w:val="22"/>
        </w:rPr>
        <w:t> </w:t>
      </w:r>
      <w:r>
        <w:rPr>
          <w:sz w:val="22"/>
        </w:rPr>
        <w:t>operating</w:t>
      </w:r>
      <w:r>
        <w:rPr>
          <w:spacing w:val="-11"/>
          <w:sz w:val="22"/>
        </w:rPr>
        <w:t> </w:t>
      </w:r>
      <w:r>
        <w:rPr>
          <w:sz w:val="22"/>
        </w:rPr>
        <w:t>funds</w:t>
      </w:r>
      <w:r>
        <w:rPr>
          <w:spacing w:val="-8"/>
          <w:sz w:val="22"/>
        </w:rPr>
        <w:t> </w:t>
      </w:r>
      <w:r>
        <w:rPr>
          <w:sz w:val="22"/>
        </w:rPr>
        <w:t>to</w:t>
      </w:r>
      <w:r>
        <w:rPr>
          <w:spacing w:val="-9"/>
          <w:sz w:val="22"/>
        </w:rPr>
        <w:t> </w:t>
      </w:r>
      <w:r>
        <w:rPr>
          <w:sz w:val="22"/>
        </w:rPr>
        <w:t>support</w:t>
      </w:r>
      <w:r>
        <w:rPr>
          <w:spacing w:val="-8"/>
          <w:sz w:val="22"/>
        </w:rPr>
        <w:t> </w:t>
      </w:r>
      <w:r>
        <w:rPr>
          <w:sz w:val="22"/>
        </w:rPr>
        <w:t>(during initial years) the ongoing costs of these models. As ACOs progress through the five demonstration years, the</w:t>
      </w:r>
      <w:r>
        <w:rPr>
          <w:spacing w:val="-2"/>
          <w:sz w:val="22"/>
        </w:rPr>
        <w:t> </w:t>
      </w:r>
      <w:r>
        <w:rPr>
          <w:sz w:val="22"/>
        </w:rPr>
        <w:t>State</w:t>
      </w:r>
      <w:r>
        <w:rPr>
          <w:spacing w:val="-4"/>
          <w:sz w:val="22"/>
        </w:rPr>
        <w:t> </w:t>
      </w:r>
      <w:r>
        <w:rPr>
          <w:sz w:val="22"/>
        </w:rPr>
        <w:t>expects</w:t>
      </w:r>
      <w:r>
        <w:rPr>
          <w:spacing w:val="-2"/>
          <w:sz w:val="22"/>
        </w:rPr>
        <w:t> </w:t>
      </w:r>
      <w:r>
        <w:rPr>
          <w:sz w:val="22"/>
        </w:rPr>
        <w:t>ACOs</w:t>
      </w:r>
      <w:r>
        <w:rPr>
          <w:spacing w:val="-4"/>
          <w:sz w:val="22"/>
        </w:rPr>
        <w:t> </w:t>
      </w:r>
      <w:r>
        <w:rPr>
          <w:sz w:val="22"/>
        </w:rPr>
        <w:t>to</w:t>
      </w:r>
      <w:r>
        <w:rPr>
          <w:spacing w:val="-5"/>
          <w:sz w:val="22"/>
        </w:rPr>
        <w:t> </w:t>
      </w:r>
      <w:r>
        <w:rPr>
          <w:sz w:val="22"/>
        </w:rPr>
        <w:t>increasingly</w:t>
      </w:r>
      <w:r>
        <w:rPr>
          <w:spacing w:val="-5"/>
          <w:sz w:val="22"/>
        </w:rPr>
        <w:t> </w:t>
      </w:r>
      <w:r>
        <w:rPr>
          <w:sz w:val="22"/>
        </w:rPr>
        <w:t>self-fund</w:t>
      </w:r>
      <w:r>
        <w:rPr>
          <w:spacing w:val="-2"/>
          <w:sz w:val="22"/>
        </w:rPr>
        <w:t> </w:t>
      </w:r>
      <w:r>
        <w:rPr>
          <w:sz w:val="22"/>
        </w:rPr>
        <w:t>these</w:t>
      </w:r>
      <w:r>
        <w:rPr>
          <w:spacing w:val="-4"/>
          <w:sz w:val="22"/>
        </w:rPr>
        <w:t> </w:t>
      </w:r>
      <w:r>
        <w:rPr>
          <w:sz w:val="22"/>
        </w:rPr>
        <w:t>investments</w:t>
      </w:r>
      <w:r>
        <w:rPr>
          <w:spacing w:val="-4"/>
          <w:sz w:val="22"/>
        </w:rPr>
        <w:t> </w:t>
      </w:r>
      <w:r>
        <w:rPr>
          <w:sz w:val="22"/>
        </w:rPr>
        <w:t>and</w:t>
      </w:r>
      <w:r>
        <w:rPr>
          <w:spacing w:val="-5"/>
          <w:sz w:val="22"/>
        </w:rPr>
        <w:t> </w:t>
      </w:r>
      <w:r>
        <w:rPr>
          <w:sz w:val="22"/>
        </w:rPr>
        <w:t>expenses</w:t>
      </w:r>
      <w:r>
        <w:rPr>
          <w:spacing w:val="-2"/>
          <w:sz w:val="22"/>
        </w:rPr>
        <w:t> </w:t>
      </w:r>
      <w:r>
        <w:rPr>
          <w:sz w:val="22"/>
        </w:rPr>
        <w:t>out</w:t>
      </w:r>
      <w:r>
        <w:rPr>
          <w:spacing w:val="-1"/>
          <w:sz w:val="22"/>
        </w:rPr>
        <w:t> </w:t>
      </w:r>
      <w:r>
        <w:rPr>
          <w:sz w:val="22"/>
        </w:rPr>
        <w:t>of</w:t>
      </w:r>
      <w:r>
        <w:rPr>
          <w:spacing w:val="-4"/>
          <w:sz w:val="22"/>
        </w:rPr>
        <w:t> </w:t>
      </w:r>
      <w:r>
        <w:rPr>
          <w:sz w:val="22"/>
        </w:rPr>
        <w:t>their</w:t>
      </w:r>
      <w:r>
        <w:rPr>
          <w:spacing w:val="-6"/>
          <w:sz w:val="22"/>
        </w:rPr>
        <w:t> </w:t>
      </w:r>
      <w:r>
        <w:rPr>
          <w:sz w:val="22"/>
        </w:rPr>
        <w:t>TCOC-based revenue (e.g., medical gains under capitation rates, or shared savings payments).</w:t>
      </w:r>
    </w:p>
    <w:p>
      <w:pPr>
        <w:pStyle w:val="ListParagraph"/>
        <w:numPr>
          <w:ilvl w:val="2"/>
          <w:numId w:val="68"/>
        </w:numPr>
        <w:tabs>
          <w:tab w:pos="1938" w:val="left" w:leader="none"/>
        </w:tabs>
        <w:spacing w:line="252" w:lineRule="exact" w:before="201" w:after="0"/>
        <w:ind w:left="1938" w:right="0" w:hanging="719"/>
        <w:jc w:val="both"/>
        <w:rPr>
          <w:b/>
          <w:color w:val="4471C4"/>
          <w:sz w:val="22"/>
        </w:rPr>
      </w:pPr>
      <w:bookmarkStart w:name="4.2.2 ACO Sub-Stream 3: Flexible Service" w:id="1288"/>
      <w:bookmarkEnd w:id="1288"/>
      <w:r>
        <w:rPr/>
      </w:r>
      <w:bookmarkStart w:name="_bookmark38" w:id="1289"/>
      <w:bookmarkEnd w:id="1289"/>
      <w:r>
        <w:rPr/>
      </w:r>
      <w:r>
        <w:rPr>
          <w:b/>
          <w:color w:val="4471C4"/>
          <w:sz w:val="22"/>
        </w:rPr>
        <w:t>ACO</w:t>
      </w:r>
      <w:r>
        <w:rPr>
          <w:b/>
          <w:color w:val="4471C4"/>
          <w:spacing w:val="-4"/>
          <w:sz w:val="22"/>
        </w:rPr>
        <w:t> </w:t>
      </w:r>
      <w:r>
        <w:rPr>
          <w:b/>
          <w:color w:val="4471C4"/>
          <w:sz w:val="22"/>
        </w:rPr>
        <w:t>Sub-Stream</w:t>
      </w:r>
      <w:r>
        <w:rPr>
          <w:b/>
          <w:color w:val="4471C4"/>
          <w:spacing w:val="-4"/>
          <w:sz w:val="22"/>
        </w:rPr>
        <w:t> </w:t>
      </w:r>
      <w:r>
        <w:rPr>
          <w:b/>
          <w:color w:val="4471C4"/>
          <w:sz w:val="22"/>
        </w:rPr>
        <w:t>3:</w:t>
      </w:r>
      <w:r>
        <w:rPr>
          <w:b/>
          <w:color w:val="4471C4"/>
          <w:spacing w:val="-7"/>
          <w:sz w:val="22"/>
        </w:rPr>
        <w:t> </w:t>
      </w:r>
      <w:r>
        <w:rPr>
          <w:b/>
          <w:color w:val="4471C4"/>
          <w:sz w:val="22"/>
        </w:rPr>
        <w:t>Flexible</w:t>
      </w:r>
      <w:r>
        <w:rPr>
          <w:b/>
          <w:color w:val="4471C4"/>
          <w:spacing w:val="-5"/>
          <w:sz w:val="22"/>
        </w:rPr>
        <w:t> </w:t>
      </w:r>
      <w:r>
        <w:rPr>
          <w:b/>
          <w:color w:val="4471C4"/>
          <w:sz w:val="22"/>
        </w:rPr>
        <w:t>Services</w:t>
      </w:r>
      <w:r>
        <w:rPr>
          <w:b/>
          <w:color w:val="4471C4"/>
          <w:spacing w:val="-6"/>
          <w:sz w:val="22"/>
        </w:rPr>
        <w:t> </w:t>
      </w:r>
      <w:r>
        <w:rPr>
          <w:b/>
          <w:color w:val="4471C4"/>
          <w:spacing w:val="-2"/>
          <w:sz w:val="22"/>
        </w:rPr>
        <w:t>Funding</w:t>
      </w:r>
    </w:p>
    <w:p>
      <w:pPr>
        <w:spacing w:before="0"/>
        <w:ind w:left="1219" w:right="1092" w:firstLine="0"/>
        <w:jc w:val="both"/>
        <w:rPr>
          <w:sz w:val="22"/>
        </w:rPr>
      </w:pPr>
      <w:r>
        <w:rPr>
          <w:sz w:val="22"/>
        </w:rPr>
        <w:t>A</w:t>
      </w:r>
      <w:r>
        <w:rPr>
          <w:spacing w:val="-16"/>
          <w:sz w:val="22"/>
        </w:rPr>
        <w:t> </w:t>
      </w:r>
      <w:r>
        <w:rPr>
          <w:sz w:val="22"/>
        </w:rPr>
        <w:t>portion</w:t>
      </w:r>
      <w:r>
        <w:rPr>
          <w:spacing w:val="-14"/>
          <w:sz w:val="22"/>
        </w:rPr>
        <w:t> </w:t>
      </w:r>
      <w:r>
        <w:rPr>
          <w:sz w:val="22"/>
        </w:rPr>
        <w:t>of</w:t>
      </w:r>
      <w:r>
        <w:rPr>
          <w:spacing w:val="-14"/>
          <w:sz w:val="22"/>
        </w:rPr>
        <w:t> </w:t>
      </w:r>
      <w:r>
        <w:rPr>
          <w:sz w:val="22"/>
        </w:rPr>
        <w:t>ACO</w:t>
      </w:r>
      <w:r>
        <w:rPr>
          <w:spacing w:val="-13"/>
          <w:sz w:val="22"/>
        </w:rPr>
        <w:t> </w:t>
      </w:r>
      <w:r>
        <w:rPr>
          <w:sz w:val="22"/>
        </w:rPr>
        <w:t>DSRIP</w:t>
      </w:r>
      <w:r>
        <w:rPr>
          <w:spacing w:val="-14"/>
          <w:sz w:val="22"/>
        </w:rPr>
        <w:t> </w:t>
      </w:r>
      <w:r>
        <w:rPr>
          <w:sz w:val="22"/>
        </w:rPr>
        <w:t>funds</w:t>
      </w:r>
      <w:r>
        <w:rPr>
          <w:spacing w:val="-14"/>
          <w:sz w:val="22"/>
        </w:rPr>
        <w:t> </w:t>
      </w:r>
      <w:r>
        <w:rPr>
          <w:sz w:val="22"/>
        </w:rPr>
        <w:t>will</w:t>
      </w:r>
      <w:r>
        <w:rPr>
          <w:spacing w:val="-14"/>
          <w:sz w:val="22"/>
        </w:rPr>
        <w:t> </w:t>
      </w:r>
      <w:r>
        <w:rPr>
          <w:sz w:val="22"/>
        </w:rPr>
        <w:t>be</w:t>
      </w:r>
      <w:r>
        <w:rPr>
          <w:spacing w:val="-13"/>
          <w:sz w:val="22"/>
        </w:rPr>
        <w:t> </w:t>
      </w:r>
      <w:r>
        <w:rPr>
          <w:sz w:val="22"/>
        </w:rPr>
        <w:t>dedicated</w:t>
      </w:r>
      <w:r>
        <w:rPr>
          <w:spacing w:val="-14"/>
          <w:sz w:val="22"/>
        </w:rPr>
        <w:t> </w:t>
      </w:r>
      <w:r>
        <w:rPr>
          <w:sz w:val="22"/>
        </w:rPr>
        <w:t>to</w:t>
      </w:r>
      <w:r>
        <w:rPr>
          <w:spacing w:val="-14"/>
          <w:sz w:val="22"/>
        </w:rPr>
        <w:t> </w:t>
      </w:r>
      <w:r>
        <w:rPr>
          <w:sz w:val="22"/>
        </w:rPr>
        <w:t>spending</w:t>
      </w:r>
      <w:r>
        <w:rPr>
          <w:spacing w:val="-14"/>
          <w:sz w:val="22"/>
        </w:rPr>
        <w:t> </w:t>
      </w:r>
      <w:r>
        <w:rPr>
          <w:sz w:val="22"/>
        </w:rPr>
        <w:t>on</w:t>
      </w:r>
      <w:r>
        <w:rPr>
          <w:spacing w:val="-13"/>
          <w:sz w:val="22"/>
        </w:rPr>
        <w:t> </w:t>
      </w:r>
      <w:r>
        <w:rPr>
          <w:sz w:val="22"/>
        </w:rPr>
        <w:t>flexible</w:t>
      </w:r>
      <w:r>
        <w:rPr>
          <w:spacing w:val="-14"/>
          <w:sz w:val="22"/>
        </w:rPr>
        <w:t> </w:t>
      </w:r>
      <w:r>
        <w:rPr>
          <w:sz w:val="22"/>
        </w:rPr>
        <w:t>services.</w:t>
      </w:r>
      <w:r>
        <w:rPr>
          <w:spacing w:val="-14"/>
          <w:sz w:val="22"/>
        </w:rPr>
        <w:t> </w:t>
      </w:r>
      <w:r>
        <w:rPr>
          <w:sz w:val="22"/>
        </w:rPr>
        <w:t>Flexible</w:t>
      </w:r>
      <w:r>
        <w:rPr>
          <w:spacing w:val="-14"/>
          <w:sz w:val="22"/>
        </w:rPr>
        <w:t> </w:t>
      </w:r>
      <w:r>
        <w:rPr>
          <w:sz w:val="22"/>
        </w:rPr>
        <w:t>services</w:t>
      </w:r>
      <w:r>
        <w:rPr>
          <w:spacing w:val="-13"/>
          <w:sz w:val="22"/>
        </w:rPr>
        <w:t> </w:t>
      </w:r>
      <w:r>
        <w:rPr>
          <w:sz w:val="22"/>
        </w:rPr>
        <w:t>funding will be used to address health-related social needs by</w:t>
      </w:r>
      <w:r>
        <w:rPr>
          <w:spacing w:val="-2"/>
          <w:sz w:val="22"/>
        </w:rPr>
        <w:t> </w:t>
      </w:r>
      <w:r>
        <w:rPr>
          <w:sz w:val="22"/>
        </w:rPr>
        <w:t>providing</w:t>
      </w:r>
      <w:r>
        <w:rPr>
          <w:spacing w:val="-2"/>
          <w:sz w:val="22"/>
        </w:rPr>
        <w:t> </w:t>
      </w:r>
      <w:r>
        <w:rPr>
          <w:sz w:val="22"/>
        </w:rPr>
        <w:t>supports that are not currently</w:t>
      </w:r>
      <w:r>
        <w:rPr>
          <w:spacing w:val="-2"/>
          <w:sz w:val="22"/>
        </w:rPr>
        <w:t> </w:t>
      </w:r>
      <w:r>
        <w:rPr>
          <w:sz w:val="22"/>
        </w:rPr>
        <w:t>reimbursed by MassHealth or other publicly-funded programs. These flexible services must satisfy the criteria described</w:t>
      </w:r>
      <w:r>
        <w:rPr>
          <w:spacing w:val="-7"/>
          <w:sz w:val="22"/>
        </w:rPr>
        <w:t> </w:t>
      </w:r>
      <w:r>
        <w:rPr>
          <w:sz w:val="22"/>
        </w:rPr>
        <w:t>in</w:t>
      </w:r>
      <w:r>
        <w:rPr>
          <w:spacing w:val="-5"/>
          <w:sz w:val="22"/>
        </w:rPr>
        <w:t> </w:t>
      </w:r>
      <w:r>
        <w:rPr>
          <w:sz w:val="22"/>
        </w:rPr>
        <w:t>STC</w:t>
      </w:r>
      <w:r>
        <w:rPr>
          <w:spacing w:val="-8"/>
          <w:sz w:val="22"/>
        </w:rPr>
        <w:t> </w:t>
      </w:r>
      <w:r>
        <w:rPr>
          <w:sz w:val="22"/>
        </w:rPr>
        <w:t>63(b)(ii),</w:t>
      </w:r>
      <w:r>
        <w:rPr>
          <w:spacing w:val="-9"/>
          <w:sz w:val="22"/>
        </w:rPr>
        <w:t> </w:t>
      </w:r>
      <w:r>
        <w:rPr>
          <w:sz w:val="22"/>
        </w:rPr>
        <w:t>63(c),</w:t>
      </w:r>
      <w:r>
        <w:rPr>
          <w:spacing w:val="-5"/>
          <w:sz w:val="22"/>
        </w:rPr>
        <w:t> </w:t>
      </w:r>
      <w:r>
        <w:rPr>
          <w:sz w:val="22"/>
        </w:rPr>
        <w:t>and</w:t>
      </w:r>
      <w:r>
        <w:rPr>
          <w:spacing w:val="-5"/>
          <w:sz w:val="22"/>
        </w:rPr>
        <w:t> </w:t>
      </w:r>
      <w:r>
        <w:rPr>
          <w:sz w:val="22"/>
        </w:rPr>
        <w:t>63(d).</w:t>
      </w:r>
      <w:r>
        <w:rPr>
          <w:spacing w:val="-5"/>
          <w:sz w:val="22"/>
        </w:rPr>
        <w:t> </w:t>
      </w:r>
      <w:r>
        <w:rPr>
          <w:sz w:val="22"/>
        </w:rPr>
        <w:t>ACOs</w:t>
      </w:r>
      <w:r>
        <w:rPr>
          <w:spacing w:val="-4"/>
          <w:sz w:val="22"/>
        </w:rPr>
        <w:t> </w:t>
      </w:r>
      <w:r>
        <w:rPr>
          <w:sz w:val="22"/>
        </w:rPr>
        <w:t>will</w:t>
      </w:r>
      <w:r>
        <w:rPr>
          <w:spacing w:val="-4"/>
          <w:sz w:val="22"/>
        </w:rPr>
        <w:t> </w:t>
      </w:r>
      <w:r>
        <w:rPr>
          <w:sz w:val="22"/>
        </w:rPr>
        <w:t>receive</w:t>
      </w:r>
      <w:r>
        <w:rPr>
          <w:spacing w:val="-4"/>
          <w:sz w:val="22"/>
        </w:rPr>
        <w:t> </w:t>
      </w:r>
      <w:r>
        <w:rPr>
          <w:sz w:val="22"/>
        </w:rPr>
        <w:t>a</w:t>
      </w:r>
      <w:r>
        <w:rPr>
          <w:spacing w:val="-7"/>
          <w:sz w:val="22"/>
        </w:rPr>
        <w:t> </w:t>
      </w:r>
      <w:r>
        <w:rPr>
          <w:sz w:val="22"/>
        </w:rPr>
        <w:t>Flexible</w:t>
      </w:r>
      <w:r>
        <w:rPr>
          <w:spacing w:val="-7"/>
          <w:sz w:val="22"/>
        </w:rPr>
        <w:t> </w:t>
      </w:r>
      <w:r>
        <w:rPr>
          <w:sz w:val="22"/>
        </w:rPr>
        <w:t>Services</w:t>
      </w:r>
      <w:r>
        <w:rPr>
          <w:spacing w:val="-4"/>
          <w:sz w:val="22"/>
        </w:rPr>
        <w:t> </w:t>
      </w:r>
      <w:r>
        <w:rPr>
          <w:sz w:val="22"/>
        </w:rPr>
        <w:t>allocation</w:t>
      </w:r>
      <w:r>
        <w:rPr>
          <w:spacing w:val="-7"/>
          <w:sz w:val="22"/>
        </w:rPr>
        <w:t> </w:t>
      </w:r>
      <w:r>
        <w:rPr>
          <w:sz w:val="22"/>
        </w:rPr>
        <w:t>each</w:t>
      </w:r>
      <w:r>
        <w:rPr>
          <w:spacing w:val="-5"/>
          <w:sz w:val="22"/>
        </w:rPr>
        <w:t> </w:t>
      </w:r>
      <w:r>
        <w:rPr>
          <w:sz w:val="22"/>
        </w:rPr>
        <w:t>Budget Period,</w:t>
      </w:r>
      <w:r>
        <w:rPr>
          <w:spacing w:val="-12"/>
          <w:sz w:val="22"/>
        </w:rPr>
        <w:t> </w:t>
      </w:r>
      <w:r>
        <w:rPr>
          <w:sz w:val="22"/>
        </w:rPr>
        <w:t>as</w:t>
      </w:r>
      <w:r>
        <w:rPr>
          <w:spacing w:val="-14"/>
          <w:sz w:val="22"/>
        </w:rPr>
        <w:t> </w:t>
      </w:r>
      <w:r>
        <w:rPr>
          <w:sz w:val="22"/>
        </w:rPr>
        <w:t>determined</w:t>
      </w:r>
      <w:r>
        <w:rPr>
          <w:spacing w:val="-11"/>
          <w:sz w:val="22"/>
        </w:rPr>
        <w:t> </w:t>
      </w:r>
      <w:r>
        <w:rPr>
          <w:sz w:val="22"/>
        </w:rPr>
        <w:t>by</w:t>
      </w:r>
      <w:r>
        <w:rPr>
          <w:spacing w:val="-14"/>
          <w:sz w:val="22"/>
        </w:rPr>
        <w:t> </w:t>
      </w:r>
      <w:r>
        <w:rPr>
          <w:sz w:val="22"/>
        </w:rPr>
        <w:t>the</w:t>
      </w:r>
      <w:r>
        <w:rPr>
          <w:spacing w:val="-11"/>
          <w:sz w:val="22"/>
        </w:rPr>
        <w:t> </w:t>
      </w:r>
      <w:r>
        <w:rPr>
          <w:sz w:val="22"/>
        </w:rPr>
        <w:t>State.</w:t>
      </w:r>
      <w:r>
        <w:rPr>
          <w:spacing w:val="33"/>
          <w:sz w:val="22"/>
        </w:rPr>
        <w:t> </w:t>
      </w:r>
      <w:r>
        <w:rPr>
          <w:sz w:val="22"/>
        </w:rPr>
        <w:t>Please</w:t>
      </w:r>
      <w:r>
        <w:rPr>
          <w:spacing w:val="-11"/>
          <w:sz w:val="22"/>
        </w:rPr>
        <w:t> </w:t>
      </w:r>
      <w:r>
        <w:rPr>
          <w:sz w:val="22"/>
        </w:rPr>
        <w:t>see</w:t>
      </w:r>
      <w:r>
        <w:rPr>
          <w:spacing w:val="-14"/>
          <w:sz w:val="22"/>
        </w:rPr>
        <w:t> </w:t>
      </w:r>
      <w:r>
        <w:rPr>
          <w:sz w:val="22"/>
        </w:rPr>
        <w:t>the</w:t>
      </w:r>
      <w:r>
        <w:rPr>
          <w:spacing w:val="-11"/>
          <w:sz w:val="22"/>
        </w:rPr>
        <w:t> </w:t>
      </w:r>
      <w:r>
        <w:rPr>
          <w:sz w:val="22"/>
        </w:rPr>
        <w:t>Flexible</w:t>
      </w:r>
      <w:r>
        <w:rPr>
          <w:spacing w:val="-11"/>
          <w:sz w:val="22"/>
        </w:rPr>
        <w:t> </w:t>
      </w:r>
      <w:r>
        <w:rPr>
          <w:sz w:val="22"/>
        </w:rPr>
        <w:t>Services</w:t>
      </w:r>
      <w:r>
        <w:rPr>
          <w:spacing w:val="-14"/>
          <w:sz w:val="22"/>
        </w:rPr>
        <w:t> </w:t>
      </w:r>
      <w:r>
        <w:rPr>
          <w:sz w:val="22"/>
        </w:rPr>
        <w:t>Protocol</w:t>
      </w:r>
      <w:r>
        <w:rPr>
          <w:spacing w:val="-11"/>
          <w:sz w:val="22"/>
        </w:rPr>
        <w:t> </w:t>
      </w:r>
      <w:r>
        <w:rPr>
          <w:sz w:val="22"/>
        </w:rPr>
        <w:t>for</w:t>
      </w:r>
      <w:r>
        <w:rPr>
          <w:spacing w:val="-11"/>
          <w:sz w:val="22"/>
        </w:rPr>
        <w:t> </w:t>
      </w:r>
      <w:r>
        <w:rPr>
          <w:sz w:val="22"/>
        </w:rPr>
        <w:t>more</w:t>
      </w:r>
      <w:r>
        <w:rPr>
          <w:spacing w:val="-11"/>
          <w:sz w:val="22"/>
        </w:rPr>
        <w:t> </w:t>
      </w:r>
      <w:r>
        <w:rPr>
          <w:sz w:val="22"/>
        </w:rPr>
        <w:t>details</w:t>
      </w:r>
      <w:r>
        <w:rPr>
          <w:spacing w:val="-11"/>
          <w:sz w:val="22"/>
        </w:rPr>
        <w:t> </w:t>
      </w:r>
      <w:r>
        <w:rPr>
          <w:sz w:val="22"/>
        </w:rPr>
        <w:t>on</w:t>
      </w:r>
      <w:r>
        <w:rPr>
          <w:spacing w:val="-12"/>
          <w:sz w:val="22"/>
        </w:rPr>
        <w:t> </w:t>
      </w:r>
      <w:r>
        <w:rPr>
          <w:sz w:val="22"/>
        </w:rPr>
        <w:t>how</w:t>
      </w:r>
      <w:r>
        <w:rPr>
          <w:spacing w:val="-13"/>
          <w:sz w:val="22"/>
        </w:rPr>
        <w:t> </w:t>
      </w:r>
      <w:r>
        <w:rPr>
          <w:sz w:val="22"/>
        </w:rPr>
        <w:t>ACOs will</w:t>
      </w:r>
      <w:r>
        <w:rPr>
          <w:spacing w:val="-5"/>
          <w:sz w:val="22"/>
        </w:rPr>
        <w:t> </w:t>
      </w:r>
      <w:r>
        <w:rPr>
          <w:sz w:val="22"/>
        </w:rPr>
        <w:t>be</w:t>
      </w:r>
      <w:r>
        <w:rPr>
          <w:spacing w:val="-3"/>
          <w:sz w:val="22"/>
        </w:rPr>
        <w:t> </w:t>
      </w:r>
      <w:r>
        <w:rPr>
          <w:sz w:val="22"/>
        </w:rPr>
        <w:t>able</w:t>
      </w:r>
      <w:r>
        <w:rPr>
          <w:spacing w:val="-6"/>
          <w:sz w:val="22"/>
        </w:rPr>
        <w:t> </w:t>
      </w:r>
      <w:r>
        <w:rPr>
          <w:sz w:val="22"/>
        </w:rPr>
        <w:t>to</w:t>
      </w:r>
      <w:r>
        <w:rPr>
          <w:spacing w:val="-4"/>
          <w:sz w:val="22"/>
        </w:rPr>
        <w:t> </w:t>
      </w:r>
      <w:r>
        <w:rPr>
          <w:sz w:val="22"/>
        </w:rPr>
        <w:t>access</w:t>
      </w:r>
      <w:r>
        <w:rPr>
          <w:spacing w:val="-6"/>
          <w:sz w:val="22"/>
        </w:rPr>
        <w:t> </w:t>
      </w:r>
      <w:r>
        <w:rPr>
          <w:sz w:val="22"/>
        </w:rPr>
        <w:t>their</w:t>
      </w:r>
      <w:r>
        <w:rPr>
          <w:spacing w:val="-5"/>
          <w:sz w:val="22"/>
        </w:rPr>
        <w:t> </w:t>
      </w:r>
      <w:r>
        <w:rPr>
          <w:sz w:val="22"/>
        </w:rPr>
        <w:t>Flexible</w:t>
      </w:r>
      <w:r>
        <w:rPr>
          <w:spacing w:val="-3"/>
          <w:sz w:val="22"/>
        </w:rPr>
        <w:t> </w:t>
      </w:r>
      <w:r>
        <w:rPr>
          <w:sz w:val="22"/>
        </w:rPr>
        <w:t>Services</w:t>
      </w:r>
      <w:r>
        <w:rPr>
          <w:spacing w:val="-6"/>
          <w:sz w:val="22"/>
        </w:rPr>
        <w:t> </w:t>
      </w:r>
      <w:r>
        <w:rPr>
          <w:sz w:val="22"/>
        </w:rPr>
        <w:t>funding</w:t>
      </w:r>
      <w:r>
        <w:rPr>
          <w:spacing w:val="-6"/>
          <w:sz w:val="22"/>
        </w:rPr>
        <w:t> </w:t>
      </w:r>
      <w:r>
        <w:rPr>
          <w:sz w:val="22"/>
        </w:rPr>
        <w:t>allocation</w:t>
      </w:r>
      <w:r>
        <w:rPr>
          <w:spacing w:val="-6"/>
          <w:sz w:val="22"/>
        </w:rPr>
        <w:t> </w:t>
      </w:r>
      <w:r>
        <w:rPr>
          <w:sz w:val="22"/>
        </w:rPr>
        <w:t>for</w:t>
      </w:r>
      <w:r>
        <w:rPr>
          <w:spacing w:val="-3"/>
          <w:sz w:val="22"/>
        </w:rPr>
        <w:t> </w:t>
      </w:r>
      <w:r>
        <w:rPr>
          <w:sz w:val="22"/>
        </w:rPr>
        <w:t>BP1</w:t>
      </w:r>
      <w:r>
        <w:rPr>
          <w:spacing w:val="-4"/>
          <w:sz w:val="22"/>
        </w:rPr>
        <w:t> </w:t>
      </w:r>
      <w:r>
        <w:rPr>
          <w:sz w:val="22"/>
        </w:rPr>
        <w:t>through</w:t>
      </w:r>
      <w:r>
        <w:rPr>
          <w:spacing w:val="-4"/>
          <w:sz w:val="22"/>
        </w:rPr>
        <w:t> </w:t>
      </w:r>
      <w:r>
        <w:rPr>
          <w:sz w:val="22"/>
        </w:rPr>
        <w:t>BP4.</w:t>
      </w:r>
      <w:r>
        <w:rPr>
          <w:spacing w:val="40"/>
          <w:sz w:val="22"/>
        </w:rPr>
        <w:t> </w:t>
      </w:r>
      <w:r>
        <w:rPr>
          <w:sz w:val="22"/>
        </w:rPr>
        <w:t>During</w:t>
      </w:r>
      <w:r>
        <w:rPr>
          <w:spacing w:val="-6"/>
          <w:sz w:val="22"/>
        </w:rPr>
        <w:t> </w:t>
      </w:r>
      <w:r>
        <w:rPr>
          <w:sz w:val="22"/>
        </w:rPr>
        <w:t>the</w:t>
      </w:r>
      <w:r>
        <w:rPr>
          <w:spacing w:val="-3"/>
          <w:sz w:val="22"/>
        </w:rPr>
        <w:t> </w:t>
      </w:r>
      <w:r>
        <w:rPr>
          <w:sz w:val="22"/>
        </w:rPr>
        <w:t>first</w:t>
      </w:r>
      <w:r>
        <w:rPr>
          <w:spacing w:val="-3"/>
          <w:sz w:val="22"/>
        </w:rPr>
        <w:t> </w:t>
      </w:r>
      <w:r>
        <w:rPr>
          <w:sz w:val="22"/>
        </w:rPr>
        <w:t>half of BP5, the State will pay out the full BP5 flexible services funding amount prospectively, based on the ACO’s approved BP5 flexible services budgets.</w:t>
      </w:r>
      <w:r>
        <w:rPr>
          <w:spacing w:val="40"/>
          <w:sz w:val="22"/>
        </w:rPr>
        <w:t> </w:t>
      </w:r>
      <w:r>
        <w:rPr>
          <w:sz w:val="22"/>
        </w:rPr>
        <w:t>ACOs will still need to submit their flex services documentation and claims during BP5. If the ACOs do not use all of their flexible services allocation in BP5, or if the ACOs make expenditures that are deemed unacceptable by the State, then the ACOs will have to return the appropriate amount of flexible services funding to the State. Additional details about flexible services will be delineated in the Flexible Services Protocol (Attachment R), which is to be reviewed and approved by CMS by July 2017.</w:t>
      </w:r>
    </w:p>
    <w:p>
      <w:pPr>
        <w:spacing w:line="240" w:lineRule="auto" w:before="159"/>
        <w:ind w:left="1219" w:right="1093" w:firstLine="0"/>
        <w:jc w:val="both"/>
        <w:rPr>
          <w:sz w:val="22"/>
        </w:rPr>
      </w:pPr>
      <w:r>
        <w:rPr>
          <w:sz w:val="22"/>
        </w:rPr>
        <w:t>If CMS</w:t>
      </w:r>
      <w:r>
        <w:rPr>
          <w:spacing w:val="-2"/>
          <w:sz w:val="22"/>
        </w:rPr>
        <w:t> </w:t>
      </w:r>
      <w:r>
        <w:rPr>
          <w:sz w:val="22"/>
        </w:rPr>
        <w:t>does</w:t>
      </w:r>
      <w:r>
        <w:rPr>
          <w:spacing w:val="-1"/>
          <w:sz w:val="22"/>
        </w:rPr>
        <w:t> </w:t>
      </w:r>
      <w:r>
        <w:rPr>
          <w:sz w:val="22"/>
        </w:rPr>
        <w:t>not</w:t>
      </w:r>
      <w:r>
        <w:rPr>
          <w:spacing w:val="-3"/>
          <w:sz w:val="22"/>
        </w:rPr>
        <w:t> </w:t>
      </w:r>
      <w:r>
        <w:rPr>
          <w:sz w:val="22"/>
        </w:rPr>
        <w:t>approve</w:t>
      </w:r>
      <w:r>
        <w:rPr>
          <w:spacing w:val="-1"/>
          <w:sz w:val="22"/>
        </w:rPr>
        <w:t> </w:t>
      </w:r>
      <w:r>
        <w:rPr>
          <w:sz w:val="22"/>
        </w:rPr>
        <w:t>the</w:t>
      </w:r>
      <w:r>
        <w:rPr>
          <w:spacing w:val="-1"/>
          <w:sz w:val="22"/>
        </w:rPr>
        <w:t> </w:t>
      </w:r>
      <w:r>
        <w:rPr>
          <w:sz w:val="22"/>
        </w:rPr>
        <w:t>Flexible</w:t>
      </w:r>
      <w:r>
        <w:rPr>
          <w:spacing w:val="-1"/>
          <w:sz w:val="22"/>
        </w:rPr>
        <w:t> </w:t>
      </w:r>
      <w:r>
        <w:rPr>
          <w:sz w:val="22"/>
        </w:rPr>
        <w:t>Services</w:t>
      </w:r>
      <w:r>
        <w:rPr>
          <w:spacing w:val="-3"/>
          <w:sz w:val="22"/>
        </w:rPr>
        <w:t> </w:t>
      </w:r>
      <w:r>
        <w:rPr>
          <w:sz w:val="22"/>
        </w:rPr>
        <w:t>Protocol by</w:t>
      </w:r>
      <w:r>
        <w:rPr>
          <w:spacing w:val="-4"/>
          <w:sz w:val="22"/>
        </w:rPr>
        <w:t> </w:t>
      </w:r>
      <w:r>
        <w:rPr>
          <w:sz w:val="22"/>
        </w:rPr>
        <w:t>August 2017,</w:t>
      </w:r>
      <w:r>
        <w:rPr>
          <w:spacing w:val="-4"/>
          <w:sz w:val="22"/>
        </w:rPr>
        <w:t> </w:t>
      </w:r>
      <w:r>
        <w:rPr>
          <w:sz w:val="22"/>
        </w:rPr>
        <w:t>then</w:t>
      </w:r>
      <w:r>
        <w:rPr>
          <w:spacing w:val="-4"/>
          <w:sz w:val="22"/>
        </w:rPr>
        <w:t> </w:t>
      </w:r>
      <w:r>
        <w:rPr>
          <w:sz w:val="22"/>
        </w:rPr>
        <w:t>the</w:t>
      </w:r>
      <w:r>
        <w:rPr>
          <w:spacing w:val="-3"/>
          <w:sz w:val="22"/>
        </w:rPr>
        <w:t> </w:t>
      </w:r>
      <w:r>
        <w:rPr>
          <w:sz w:val="22"/>
        </w:rPr>
        <w:t>State</w:t>
      </w:r>
      <w:r>
        <w:rPr>
          <w:spacing w:val="-1"/>
          <w:sz w:val="22"/>
        </w:rPr>
        <w:t> </w:t>
      </w:r>
      <w:r>
        <w:rPr>
          <w:sz w:val="22"/>
        </w:rPr>
        <w:t>may</w:t>
      </w:r>
      <w:r>
        <w:rPr>
          <w:spacing w:val="-4"/>
          <w:sz w:val="22"/>
        </w:rPr>
        <w:t> </w:t>
      </w:r>
      <w:r>
        <w:rPr>
          <w:sz w:val="22"/>
        </w:rPr>
        <w:t>reallocate</w:t>
      </w:r>
      <w:r>
        <w:rPr>
          <w:spacing w:val="-1"/>
          <w:sz w:val="22"/>
        </w:rPr>
        <w:t> </w:t>
      </w:r>
      <w:r>
        <w:rPr>
          <w:sz w:val="22"/>
        </w:rPr>
        <w:t>the Budget Period 1</w:t>
      </w:r>
      <w:r>
        <w:rPr>
          <w:spacing w:val="-2"/>
          <w:sz w:val="22"/>
        </w:rPr>
        <w:t> </w:t>
      </w:r>
      <w:r>
        <w:rPr>
          <w:sz w:val="22"/>
        </w:rPr>
        <w:t>flexible</w:t>
      </w:r>
      <w:r>
        <w:rPr>
          <w:spacing w:val="-2"/>
          <w:sz w:val="22"/>
        </w:rPr>
        <w:t> </w:t>
      </w:r>
      <w:r>
        <w:rPr>
          <w:sz w:val="22"/>
        </w:rPr>
        <w:t>services</w:t>
      </w:r>
      <w:r>
        <w:rPr>
          <w:spacing w:val="-2"/>
          <w:sz w:val="22"/>
        </w:rPr>
        <w:t> </w:t>
      </w:r>
      <w:r>
        <w:rPr>
          <w:sz w:val="22"/>
        </w:rPr>
        <w:t>funding</w:t>
      </w:r>
      <w:r>
        <w:rPr>
          <w:spacing w:val="-2"/>
          <w:sz w:val="22"/>
        </w:rPr>
        <w:t> </w:t>
      </w:r>
      <w:r>
        <w:rPr>
          <w:sz w:val="22"/>
        </w:rPr>
        <w:t>allocation detailed in Exhibit 5</w:t>
      </w:r>
      <w:r>
        <w:rPr>
          <w:spacing w:val="-2"/>
          <w:sz w:val="22"/>
        </w:rPr>
        <w:t> </w:t>
      </w:r>
      <w:r>
        <w:rPr>
          <w:sz w:val="22"/>
        </w:rPr>
        <w:t>to other</w:t>
      </w:r>
      <w:r>
        <w:rPr>
          <w:spacing w:val="-1"/>
          <w:sz w:val="22"/>
        </w:rPr>
        <w:t> </w:t>
      </w:r>
      <w:r>
        <w:rPr>
          <w:sz w:val="22"/>
        </w:rPr>
        <w:t>Budget Period 1</w:t>
      </w:r>
      <w:r>
        <w:rPr>
          <w:spacing w:val="-2"/>
          <w:sz w:val="22"/>
        </w:rPr>
        <w:t> </w:t>
      </w:r>
      <w:r>
        <w:rPr>
          <w:sz w:val="22"/>
        </w:rPr>
        <w:t>DSRIP funding</w:t>
      </w:r>
      <w:r>
        <w:rPr>
          <w:spacing w:val="-9"/>
          <w:sz w:val="22"/>
        </w:rPr>
        <w:t> </w:t>
      </w:r>
      <w:r>
        <w:rPr>
          <w:sz w:val="22"/>
        </w:rPr>
        <w:t>streams</w:t>
      </w:r>
      <w:r>
        <w:rPr>
          <w:spacing w:val="-6"/>
          <w:sz w:val="22"/>
        </w:rPr>
        <w:t> </w:t>
      </w:r>
      <w:r>
        <w:rPr>
          <w:sz w:val="22"/>
        </w:rPr>
        <w:t>so</w:t>
      </w:r>
      <w:r>
        <w:rPr>
          <w:spacing w:val="-6"/>
          <w:sz w:val="22"/>
        </w:rPr>
        <w:t> </w:t>
      </w:r>
      <w:r>
        <w:rPr>
          <w:sz w:val="22"/>
        </w:rPr>
        <w:t>that</w:t>
      </w:r>
      <w:r>
        <w:rPr>
          <w:spacing w:val="-5"/>
          <w:sz w:val="22"/>
        </w:rPr>
        <w:t> </w:t>
      </w:r>
      <w:r>
        <w:rPr>
          <w:sz w:val="22"/>
        </w:rPr>
        <w:t>the</w:t>
      </w:r>
      <w:r>
        <w:rPr>
          <w:spacing w:val="-8"/>
          <w:sz w:val="22"/>
        </w:rPr>
        <w:t> </w:t>
      </w:r>
      <w:r>
        <w:rPr>
          <w:sz w:val="22"/>
        </w:rPr>
        <w:t>State’s</w:t>
      </w:r>
      <w:r>
        <w:rPr>
          <w:spacing w:val="-6"/>
          <w:sz w:val="22"/>
        </w:rPr>
        <w:t> </w:t>
      </w:r>
      <w:r>
        <w:rPr>
          <w:sz w:val="22"/>
        </w:rPr>
        <w:t>expenditure</w:t>
      </w:r>
      <w:r>
        <w:rPr>
          <w:spacing w:val="-6"/>
          <w:sz w:val="22"/>
        </w:rPr>
        <w:t> </w:t>
      </w:r>
      <w:r>
        <w:rPr>
          <w:sz w:val="22"/>
        </w:rPr>
        <w:t>authority</w:t>
      </w:r>
      <w:r>
        <w:rPr>
          <w:spacing w:val="-9"/>
          <w:sz w:val="22"/>
        </w:rPr>
        <w:t> </w:t>
      </w:r>
      <w:r>
        <w:rPr>
          <w:sz w:val="22"/>
        </w:rPr>
        <w:t>is</w:t>
      </w:r>
      <w:r>
        <w:rPr>
          <w:spacing w:val="-6"/>
          <w:sz w:val="22"/>
        </w:rPr>
        <w:t> </w:t>
      </w:r>
      <w:r>
        <w:rPr>
          <w:sz w:val="22"/>
        </w:rPr>
        <w:t>not</w:t>
      </w:r>
      <w:r>
        <w:rPr>
          <w:spacing w:val="-5"/>
          <w:sz w:val="22"/>
        </w:rPr>
        <w:t> </w:t>
      </w:r>
      <w:r>
        <w:rPr>
          <w:sz w:val="22"/>
        </w:rPr>
        <w:t>reduced</w:t>
      </w:r>
      <w:r>
        <w:rPr>
          <w:spacing w:val="-6"/>
          <w:sz w:val="22"/>
        </w:rPr>
        <w:t> </w:t>
      </w:r>
      <w:r>
        <w:rPr>
          <w:sz w:val="22"/>
        </w:rPr>
        <w:t>due</w:t>
      </w:r>
      <w:r>
        <w:rPr>
          <w:spacing w:val="-6"/>
          <w:sz w:val="22"/>
        </w:rPr>
        <w:t> </w:t>
      </w:r>
      <w:r>
        <w:rPr>
          <w:sz w:val="22"/>
        </w:rPr>
        <w:t>to</w:t>
      </w:r>
      <w:r>
        <w:rPr>
          <w:spacing w:val="-6"/>
          <w:sz w:val="22"/>
        </w:rPr>
        <w:t> </w:t>
      </w:r>
      <w:r>
        <w:rPr>
          <w:sz w:val="22"/>
        </w:rPr>
        <w:t>non-approval</w:t>
      </w:r>
      <w:r>
        <w:rPr>
          <w:spacing w:val="-5"/>
          <w:sz w:val="22"/>
        </w:rPr>
        <w:t> </w:t>
      </w:r>
      <w:r>
        <w:rPr>
          <w:sz w:val="22"/>
        </w:rPr>
        <w:t>of</w:t>
      </w:r>
      <w:r>
        <w:rPr>
          <w:spacing w:val="-5"/>
          <w:sz w:val="22"/>
        </w:rPr>
        <w:t> </w:t>
      </w:r>
      <w:r>
        <w:rPr>
          <w:sz w:val="22"/>
        </w:rPr>
        <w:t>the</w:t>
      </w:r>
      <w:r>
        <w:rPr>
          <w:spacing w:val="-6"/>
          <w:sz w:val="22"/>
        </w:rPr>
        <w:t> </w:t>
      </w:r>
      <w:r>
        <w:rPr>
          <w:sz w:val="22"/>
        </w:rPr>
        <w:t>Flexible Services</w:t>
      </w:r>
      <w:r>
        <w:rPr>
          <w:spacing w:val="-14"/>
          <w:sz w:val="22"/>
        </w:rPr>
        <w:t> </w:t>
      </w:r>
      <w:r>
        <w:rPr>
          <w:sz w:val="22"/>
        </w:rPr>
        <w:t>Protocol,</w:t>
      </w:r>
      <w:r>
        <w:rPr>
          <w:spacing w:val="-14"/>
          <w:sz w:val="22"/>
        </w:rPr>
        <w:t> </w:t>
      </w:r>
      <w:r>
        <w:rPr>
          <w:sz w:val="22"/>
        </w:rPr>
        <w:t>or</w:t>
      </w:r>
      <w:r>
        <w:rPr>
          <w:spacing w:val="-14"/>
          <w:sz w:val="22"/>
        </w:rPr>
        <w:t> </w:t>
      </w:r>
      <w:r>
        <w:rPr>
          <w:sz w:val="22"/>
        </w:rPr>
        <w:t>it</w:t>
      </w:r>
      <w:r>
        <w:rPr>
          <w:spacing w:val="-13"/>
          <w:sz w:val="22"/>
        </w:rPr>
        <w:t> </w:t>
      </w:r>
      <w:r>
        <w:rPr>
          <w:sz w:val="22"/>
        </w:rPr>
        <w:t>may</w:t>
      </w:r>
      <w:r>
        <w:rPr>
          <w:spacing w:val="-14"/>
          <w:sz w:val="22"/>
        </w:rPr>
        <w:t> </w:t>
      </w:r>
      <w:r>
        <w:rPr>
          <w:sz w:val="22"/>
        </w:rPr>
        <w:t>carry</w:t>
      </w:r>
      <w:r>
        <w:rPr>
          <w:spacing w:val="-14"/>
          <w:sz w:val="22"/>
        </w:rPr>
        <w:t> </w:t>
      </w:r>
      <w:r>
        <w:rPr>
          <w:sz w:val="22"/>
        </w:rPr>
        <w:t>forward</w:t>
      </w:r>
      <w:r>
        <w:rPr>
          <w:spacing w:val="-14"/>
          <w:sz w:val="22"/>
        </w:rPr>
        <w:t> </w:t>
      </w:r>
      <w:r>
        <w:rPr>
          <w:sz w:val="22"/>
        </w:rPr>
        <w:t>the</w:t>
      </w:r>
      <w:r>
        <w:rPr>
          <w:spacing w:val="-13"/>
          <w:sz w:val="22"/>
        </w:rPr>
        <w:t> </w:t>
      </w:r>
      <w:r>
        <w:rPr>
          <w:sz w:val="22"/>
        </w:rPr>
        <w:t>expenditure</w:t>
      </w:r>
      <w:r>
        <w:rPr>
          <w:spacing w:val="-14"/>
          <w:sz w:val="22"/>
        </w:rPr>
        <w:t> </w:t>
      </w:r>
      <w:r>
        <w:rPr>
          <w:sz w:val="22"/>
        </w:rPr>
        <w:t>authority</w:t>
      </w:r>
      <w:r>
        <w:rPr>
          <w:spacing w:val="-14"/>
          <w:sz w:val="22"/>
        </w:rPr>
        <w:t> </w:t>
      </w:r>
      <w:r>
        <w:rPr>
          <w:sz w:val="22"/>
        </w:rPr>
        <w:t>into</w:t>
      </w:r>
      <w:r>
        <w:rPr>
          <w:spacing w:val="-14"/>
          <w:sz w:val="22"/>
        </w:rPr>
        <w:t> </w:t>
      </w:r>
      <w:r>
        <w:rPr>
          <w:sz w:val="22"/>
        </w:rPr>
        <w:t>subsequent</w:t>
      </w:r>
      <w:r>
        <w:rPr>
          <w:spacing w:val="-13"/>
          <w:sz w:val="22"/>
        </w:rPr>
        <w:t> </w:t>
      </w:r>
      <w:r>
        <w:rPr>
          <w:sz w:val="22"/>
        </w:rPr>
        <w:t>Budget</w:t>
      </w:r>
      <w:r>
        <w:rPr>
          <w:spacing w:val="-14"/>
          <w:sz w:val="22"/>
        </w:rPr>
        <w:t> </w:t>
      </w:r>
      <w:r>
        <w:rPr>
          <w:sz w:val="22"/>
        </w:rPr>
        <w:t>Periods</w:t>
      </w:r>
      <w:r>
        <w:rPr>
          <w:spacing w:val="-14"/>
          <w:sz w:val="22"/>
        </w:rPr>
        <w:t> </w:t>
      </w:r>
      <w:r>
        <w:rPr>
          <w:sz w:val="22"/>
        </w:rPr>
        <w:t>without counting against the 15% benchmark described in STC 60(d)(ii).</w:t>
      </w:r>
      <w:r>
        <w:rPr>
          <w:spacing w:val="40"/>
          <w:sz w:val="22"/>
        </w:rPr>
        <w:t> </w:t>
      </w:r>
      <w:r>
        <w:rPr>
          <w:sz w:val="22"/>
        </w:rPr>
        <w:t>Similarly, the State may continue to reallocate the flexible services funding allocation for each Budget Period to other DSRIP funding streams for</w:t>
      </w:r>
      <w:r>
        <w:rPr>
          <w:spacing w:val="-5"/>
          <w:sz w:val="22"/>
        </w:rPr>
        <w:t> </w:t>
      </w:r>
      <w:r>
        <w:rPr>
          <w:sz w:val="22"/>
        </w:rPr>
        <w:t>that</w:t>
      </w:r>
      <w:r>
        <w:rPr>
          <w:spacing w:val="-5"/>
          <w:sz w:val="22"/>
        </w:rPr>
        <w:t> </w:t>
      </w:r>
      <w:r>
        <w:rPr>
          <w:sz w:val="22"/>
        </w:rPr>
        <w:t>Budget</w:t>
      </w:r>
      <w:r>
        <w:rPr>
          <w:spacing w:val="-5"/>
          <w:sz w:val="22"/>
        </w:rPr>
        <w:t> </w:t>
      </w:r>
      <w:r>
        <w:rPr>
          <w:sz w:val="22"/>
        </w:rPr>
        <w:t>Period</w:t>
      </w:r>
      <w:r>
        <w:rPr>
          <w:spacing w:val="-6"/>
          <w:sz w:val="22"/>
        </w:rPr>
        <w:t> </w:t>
      </w:r>
      <w:r>
        <w:rPr>
          <w:sz w:val="22"/>
        </w:rPr>
        <w:t>if</w:t>
      </w:r>
      <w:r>
        <w:rPr>
          <w:spacing w:val="-5"/>
          <w:sz w:val="22"/>
        </w:rPr>
        <w:t> </w:t>
      </w:r>
      <w:r>
        <w:rPr>
          <w:sz w:val="22"/>
        </w:rPr>
        <w:t>CMS</w:t>
      </w:r>
      <w:r>
        <w:rPr>
          <w:spacing w:val="-7"/>
          <w:sz w:val="22"/>
        </w:rPr>
        <w:t> </w:t>
      </w:r>
      <w:r>
        <w:rPr>
          <w:sz w:val="22"/>
        </w:rPr>
        <w:t>does</w:t>
      </w:r>
      <w:r>
        <w:rPr>
          <w:spacing w:val="-6"/>
          <w:sz w:val="22"/>
        </w:rPr>
        <w:t> </w:t>
      </w:r>
      <w:r>
        <w:rPr>
          <w:sz w:val="22"/>
        </w:rPr>
        <w:t>not</w:t>
      </w:r>
      <w:r>
        <w:rPr>
          <w:spacing w:val="-5"/>
          <w:sz w:val="22"/>
        </w:rPr>
        <w:t> </w:t>
      </w:r>
      <w:r>
        <w:rPr>
          <w:sz w:val="22"/>
        </w:rPr>
        <w:t>approve</w:t>
      </w:r>
      <w:r>
        <w:rPr>
          <w:spacing w:val="-6"/>
          <w:sz w:val="22"/>
        </w:rPr>
        <w:t> </w:t>
      </w:r>
      <w:r>
        <w:rPr>
          <w:sz w:val="22"/>
        </w:rPr>
        <w:t>the</w:t>
      </w:r>
      <w:r>
        <w:rPr>
          <w:spacing w:val="-6"/>
          <w:sz w:val="22"/>
        </w:rPr>
        <w:t> </w:t>
      </w:r>
      <w:r>
        <w:rPr>
          <w:sz w:val="22"/>
        </w:rPr>
        <w:t>Flexible</w:t>
      </w:r>
      <w:r>
        <w:rPr>
          <w:spacing w:val="-6"/>
          <w:sz w:val="22"/>
        </w:rPr>
        <w:t> </w:t>
      </w:r>
      <w:r>
        <w:rPr>
          <w:sz w:val="22"/>
        </w:rPr>
        <w:t>Services</w:t>
      </w:r>
      <w:r>
        <w:rPr>
          <w:spacing w:val="-6"/>
          <w:sz w:val="22"/>
        </w:rPr>
        <w:t> </w:t>
      </w:r>
      <w:r>
        <w:rPr>
          <w:sz w:val="22"/>
        </w:rPr>
        <w:t>Protocol</w:t>
      </w:r>
      <w:r>
        <w:rPr>
          <w:spacing w:val="-5"/>
          <w:sz w:val="22"/>
        </w:rPr>
        <w:t> </w:t>
      </w:r>
      <w:r>
        <w:rPr>
          <w:sz w:val="22"/>
        </w:rPr>
        <w:t>by</w:t>
      </w:r>
      <w:r>
        <w:rPr>
          <w:spacing w:val="-9"/>
          <w:sz w:val="22"/>
        </w:rPr>
        <w:t> </w:t>
      </w:r>
      <w:r>
        <w:rPr>
          <w:sz w:val="22"/>
        </w:rPr>
        <w:t>the</w:t>
      </w:r>
      <w:r>
        <w:rPr>
          <w:spacing w:val="-8"/>
          <w:sz w:val="22"/>
        </w:rPr>
        <w:t> </w:t>
      </w:r>
      <w:r>
        <w:rPr>
          <w:sz w:val="22"/>
        </w:rPr>
        <w:t>July</w:t>
      </w:r>
      <w:r>
        <w:rPr>
          <w:spacing w:val="-9"/>
          <w:sz w:val="22"/>
        </w:rPr>
        <w:t> </w:t>
      </w:r>
      <w:r>
        <w:rPr>
          <w:sz w:val="22"/>
        </w:rPr>
        <w:t>of</w:t>
      </w:r>
      <w:r>
        <w:rPr>
          <w:spacing w:val="-5"/>
          <w:sz w:val="22"/>
        </w:rPr>
        <w:t> </w:t>
      </w:r>
      <w:r>
        <w:rPr>
          <w:sz w:val="22"/>
        </w:rPr>
        <w:t>the</w:t>
      </w:r>
      <w:r>
        <w:rPr>
          <w:spacing w:val="-6"/>
          <w:sz w:val="22"/>
        </w:rPr>
        <w:t> </w:t>
      </w:r>
      <w:r>
        <w:rPr>
          <w:sz w:val="22"/>
        </w:rPr>
        <w:t>preceding Budget Period.</w:t>
      </w:r>
      <w:r>
        <w:rPr>
          <w:spacing w:val="40"/>
          <w:sz w:val="22"/>
        </w:rPr>
        <w:t> </w:t>
      </w:r>
      <w:r>
        <w:rPr>
          <w:sz w:val="22"/>
        </w:rPr>
        <w:t>Any such reallocation will be included in an updated funding allocation table in the next quarterly progress report to CMS.</w:t>
      </w:r>
      <w:r>
        <w:rPr>
          <w:spacing w:val="40"/>
          <w:sz w:val="22"/>
        </w:rPr>
        <w:t> </w:t>
      </w:r>
      <w:r>
        <w:rPr>
          <w:sz w:val="22"/>
        </w:rPr>
        <w:t>CMS will have 90 calendar days to request modifications to the reallocation proposal.</w:t>
      </w:r>
    </w:p>
    <w:p>
      <w:pPr>
        <w:pStyle w:val="ListParagraph"/>
        <w:numPr>
          <w:ilvl w:val="2"/>
          <w:numId w:val="68"/>
        </w:numPr>
        <w:tabs>
          <w:tab w:pos="1993" w:val="left" w:leader="none"/>
        </w:tabs>
        <w:spacing w:line="252" w:lineRule="exact" w:before="201" w:after="0"/>
        <w:ind w:left="1993" w:right="0" w:hanging="774"/>
        <w:jc w:val="both"/>
        <w:rPr>
          <w:b/>
          <w:color w:val="4471C4"/>
          <w:sz w:val="22"/>
        </w:rPr>
      </w:pPr>
      <w:bookmarkStart w:name="4.2.3  ACO Sub-Stream 4: DSTI Glide Path" w:id="1290"/>
      <w:bookmarkEnd w:id="1290"/>
      <w:r>
        <w:rPr/>
      </w:r>
      <w:bookmarkStart w:name="_bookmark39" w:id="1291"/>
      <w:bookmarkEnd w:id="1291"/>
      <w:r>
        <w:rPr>
          <w:b/>
          <w:color w:val="4471C4"/>
          <w:sz w:val="22"/>
        </w:rPr>
        <w:t>AC</w:t>
      </w:r>
      <w:r>
        <w:rPr>
          <w:b/>
          <w:color w:val="4471C4"/>
          <w:sz w:val="22"/>
        </w:rPr>
        <w:t>O</w:t>
      </w:r>
      <w:r>
        <w:rPr>
          <w:b/>
          <w:color w:val="4471C4"/>
          <w:spacing w:val="-3"/>
          <w:sz w:val="22"/>
        </w:rPr>
        <w:t> </w:t>
      </w:r>
      <w:r>
        <w:rPr>
          <w:b/>
          <w:color w:val="4471C4"/>
          <w:sz w:val="22"/>
        </w:rPr>
        <w:t>Sub-Stream</w:t>
      </w:r>
      <w:r>
        <w:rPr>
          <w:b/>
          <w:color w:val="4471C4"/>
          <w:spacing w:val="-2"/>
          <w:sz w:val="22"/>
        </w:rPr>
        <w:t> </w:t>
      </w:r>
      <w:r>
        <w:rPr>
          <w:b/>
          <w:color w:val="4471C4"/>
          <w:sz w:val="22"/>
        </w:rPr>
        <w:t>4:</w:t>
      </w:r>
      <w:r>
        <w:rPr>
          <w:b/>
          <w:color w:val="4471C4"/>
          <w:spacing w:val="-3"/>
          <w:sz w:val="22"/>
        </w:rPr>
        <w:t> </w:t>
      </w:r>
      <w:r>
        <w:rPr>
          <w:b/>
          <w:color w:val="4471C4"/>
          <w:sz w:val="22"/>
        </w:rPr>
        <w:t>DSTI</w:t>
      </w:r>
      <w:r>
        <w:rPr>
          <w:b/>
          <w:color w:val="4471C4"/>
          <w:spacing w:val="-3"/>
          <w:sz w:val="22"/>
        </w:rPr>
        <w:t> </w:t>
      </w:r>
      <w:r>
        <w:rPr>
          <w:b/>
          <w:color w:val="4471C4"/>
          <w:sz w:val="22"/>
        </w:rPr>
        <w:t>Glide</w:t>
      </w:r>
      <w:r>
        <w:rPr>
          <w:b/>
          <w:color w:val="4471C4"/>
          <w:spacing w:val="-8"/>
          <w:sz w:val="22"/>
        </w:rPr>
        <w:t> </w:t>
      </w:r>
      <w:r>
        <w:rPr>
          <w:b/>
          <w:color w:val="4471C4"/>
          <w:sz w:val="22"/>
        </w:rPr>
        <w:t>Path</w:t>
      </w:r>
      <w:r>
        <w:rPr>
          <w:b/>
          <w:color w:val="4471C4"/>
          <w:spacing w:val="-6"/>
          <w:sz w:val="22"/>
        </w:rPr>
        <w:t> </w:t>
      </w:r>
      <w:r>
        <w:rPr>
          <w:b/>
          <w:color w:val="4471C4"/>
          <w:spacing w:val="-2"/>
          <w:sz w:val="22"/>
        </w:rPr>
        <w:t>Funding</w:t>
      </w:r>
    </w:p>
    <w:p>
      <w:pPr>
        <w:spacing w:before="0"/>
        <w:ind w:left="1219" w:right="1094" w:firstLine="0"/>
        <w:jc w:val="both"/>
        <w:rPr>
          <w:sz w:val="22"/>
        </w:rPr>
      </w:pPr>
      <w:r>
        <w:rPr>
          <w:sz w:val="22"/>
        </w:rPr>
        <w:t>During</w:t>
      </w:r>
      <w:r>
        <w:rPr>
          <w:spacing w:val="-7"/>
          <w:sz w:val="22"/>
        </w:rPr>
        <w:t> </w:t>
      </w:r>
      <w:r>
        <w:rPr>
          <w:sz w:val="22"/>
        </w:rPr>
        <w:t>the</w:t>
      </w:r>
      <w:r>
        <w:rPr>
          <w:spacing w:val="-4"/>
          <w:sz w:val="22"/>
        </w:rPr>
        <w:t> </w:t>
      </w:r>
      <w:r>
        <w:rPr>
          <w:sz w:val="22"/>
        </w:rPr>
        <w:t>five-year</w:t>
      </w:r>
      <w:r>
        <w:rPr>
          <w:spacing w:val="-4"/>
          <w:sz w:val="22"/>
        </w:rPr>
        <w:t> </w:t>
      </w:r>
      <w:r>
        <w:rPr>
          <w:sz w:val="22"/>
        </w:rPr>
        <w:t>demonstration,</w:t>
      </w:r>
      <w:r>
        <w:rPr>
          <w:spacing w:val="-7"/>
          <w:sz w:val="22"/>
        </w:rPr>
        <w:t> </w:t>
      </w:r>
      <w:r>
        <w:rPr>
          <w:sz w:val="22"/>
        </w:rPr>
        <w:t>the</w:t>
      </w:r>
      <w:r>
        <w:rPr>
          <w:spacing w:val="-7"/>
          <w:sz w:val="22"/>
        </w:rPr>
        <w:t> </w:t>
      </w:r>
      <w:r>
        <w:rPr>
          <w:sz w:val="22"/>
        </w:rPr>
        <w:t>State</w:t>
      </w:r>
      <w:r>
        <w:rPr>
          <w:spacing w:val="-7"/>
          <w:sz w:val="22"/>
        </w:rPr>
        <w:t> </w:t>
      </w:r>
      <w:r>
        <w:rPr>
          <w:sz w:val="22"/>
        </w:rPr>
        <w:t>will</w:t>
      </w:r>
      <w:r>
        <w:rPr>
          <w:spacing w:val="-6"/>
          <w:sz w:val="22"/>
        </w:rPr>
        <w:t> </w:t>
      </w:r>
      <w:r>
        <w:rPr>
          <w:sz w:val="22"/>
        </w:rPr>
        <w:t>restructure</w:t>
      </w:r>
      <w:r>
        <w:rPr>
          <w:spacing w:val="-4"/>
          <w:sz w:val="22"/>
        </w:rPr>
        <w:t> </w:t>
      </w:r>
      <w:r>
        <w:rPr>
          <w:sz w:val="22"/>
        </w:rPr>
        <w:t>demonstration</w:t>
      </w:r>
      <w:r>
        <w:rPr>
          <w:spacing w:val="-5"/>
          <w:sz w:val="22"/>
        </w:rPr>
        <w:t> </w:t>
      </w:r>
      <w:r>
        <w:rPr>
          <w:sz w:val="22"/>
        </w:rPr>
        <w:t>funding</w:t>
      </w:r>
      <w:r>
        <w:rPr>
          <w:spacing w:val="-7"/>
          <w:sz w:val="22"/>
        </w:rPr>
        <w:t> </w:t>
      </w:r>
      <w:r>
        <w:rPr>
          <w:sz w:val="22"/>
        </w:rPr>
        <w:t>for</w:t>
      </w:r>
      <w:r>
        <w:rPr>
          <w:spacing w:val="-4"/>
          <w:sz w:val="22"/>
        </w:rPr>
        <w:t> </w:t>
      </w:r>
      <w:r>
        <w:rPr>
          <w:sz w:val="22"/>
        </w:rPr>
        <w:t>safety</w:t>
      </w:r>
      <w:r>
        <w:rPr>
          <w:spacing w:val="-7"/>
          <w:sz w:val="22"/>
        </w:rPr>
        <w:t> </w:t>
      </w:r>
      <w:r>
        <w:rPr>
          <w:sz w:val="22"/>
        </w:rPr>
        <w:t>net</w:t>
      </w:r>
      <w:r>
        <w:rPr>
          <w:spacing w:val="-6"/>
          <w:sz w:val="22"/>
        </w:rPr>
        <w:t> </w:t>
      </w:r>
      <w:r>
        <w:rPr>
          <w:sz w:val="22"/>
        </w:rPr>
        <w:t>hospital systems to be more sustainable and aligned with value-based care delivery and payment incentives. The seven safety net hospitals currently receiving funding through the Delivery System Transformation Initiatives (DSTI) program will instead receive a reduced amount of ongoing operational support through Safety Net Provider payments authorized under the State’s restructured Safety Net Care Pool. To create a sustainable transition from current funding levels to these new, reduced levels, the State will provide transitional DSRIP funding to these DSTI safety net hospitals.</w:t>
      </w:r>
    </w:p>
    <w:p>
      <w:pPr>
        <w:spacing w:after="0"/>
        <w:jc w:val="both"/>
        <w:rPr>
          <w:sz w:val="22"/>
        </w:rPr>
        <w:sectPr>
          <w:pgSz w:w="12240" w:h="15840"/>
          <w:pgMar w:header="0" w:footer="967" w:top="1360" w:bottom="1160" w:left="220" w:right="340"/>
        </w:sectPr>
      </w:pPr>
    </w:p>
    <w:p>
      <w:pPr>
        <w:spacing w:before="78"/>
        <w:ind w:left="1219" w:right="1094" w:firstLine="0"/>
        <w:jc w:val="both"/>
        <w:rPr>
          <w:sz w:val="22"/>
        </w:rPr>
      </w:pPr>
      <w:r>
        <w:rPr>
          <w:sz w:val="22"/>
        </w:rPr>
        <w:t>Payment of the DSTI Glide Path funding is contingent on a safety net hospital’s approved participation with a MassHealth ACO (and therefore on their financial accountability for cost and quality). To receive this funding, a safety net hospital must have a provider arrangement or contract with an ACO that demonstrates its participation in that ACO’s efforts, including at a minimum documented participation in the ACO’s transitional care management and other contractual responsibilities (e.g., data</w:t>
      </w:r>
      <w:r>
        <w:rPr>
          <w:spacing w:val="-2"/>
          <w:sz w:val="22"/>
        </w:rPr>
        <w:t> </w:t>
      </w:r>
      <w:r>
        <w:rPr>
          <w:sz w:val="22"/>
        </w:rPr>
        <w:t>integration),</w:t>
      </w:r>
      <w:r>
        <w:rPr>
          <w:spacing w:val="-2"/>
          <w:sz w:val="22"/>
        </w:rPr>
        <w:t> </w:t>
      </w:r>
      <w:r>
        <w:rPr>
          <w:sz w:val="22"/>
        </w:rPr>
        <w:t>and financial accountability including the potential for the safety net hospital to share gains from savings and share responsibility for losses.</w:t>
      </w:r>
    </w:p>
    <w:p>
      <w:pPr>
        <w:spacing w:line="240" w:lineRule="auto" w:before="161"/>
        <w:ind w:left="1219" w:right="1092" w:firstLine="0"/>
        <w:jc w:val="both"/>
        <w:rPr>
          <w:sz w:val="22"/>
        </w:rPr>
      </w:pPr>
      <w:r>
        <w:rPr>
          <w:sz w:val="22"/>
        </w:rPr>
        <w:t>This</w:t>
      </w:r>
      <w:r>
        <w:rPr>
          <w:spacing w:val="-6"/>
          <w:sz w:val="22"/>
        </w:rPr>
        <w:t> </w:t>
      </w:r>
      <w:r>
        <w:rPr>
          <w:sz w:val="22"/>
        </w:rPr>
        <w:t>DSTI</w:t>
      </w:r>
      <w:r>
        <w:rPr>
          <w:spacing w:val="-10"/>
          <w:sz w:val="22"/>
        </w:rPr>
        <w:t> </w:t>
      </w:r>
      <w:r>
        <w:rPr>
          <w:sz w:val="22"/>
        </w:rPr>
        <w:t>Glide</w:t>
      </w:r>
      <w:r>
        <w:rPr>
          <w:spacing w:val="-6"/>
          <w:sz w:val="22"/>
        </w:rPr>
        <w:t> </w:t>
      </w:r>
      <w:r>
        <w:rPr>
          <w:sz w:val="22"/>
        </w:rPr>
        <w:t>Path</w:t>
      </w:r>
      <w:r>
        <w:rPr>
          <w:spacing w:val="-6"/>
          <w:sz w:val="22"/>
        </w:rPr>
        <w:t> </w:t>
      </w:r>
      <w:r>
        <w:rPr>
          <w:sz w:val="22"/>
        </w:rPr>
        <w:t>funding</w:t>
      </w:r>
      <w:r>
        <w:rPr>
          <w:spacing w:val="-9"/>
          <w:sz w:val="22"/>
        </w:rPr>
        <w:t> </w:t>
      </w:r>
      <w:r>
        <w:rPr>
          <w:sz w:val="22"/>
        </w:rPr>
        <w:t>will</w:t>
      </w:r>
      <w:r>
        <w:rPr>
          <w:spacing w:val="-5"/>
          <w:sz w:val="22"/>
        </w:rPr>
        <w:t> </w:t>
      </w:r>
      <w:r>
        <w:rPr>
          <w:sz w:val="22"/>
        </w:rPr>
        <w:t>be</w:t>
      </w:r>
      <w:r>
        <w:rPr>
          <w:spacing w:val="-8"/>
          <w:sz w:val="22"/>
        </w:rPr>
        <w:t> </w:t>
      </w:r>
      <w:r>
        <w:rPr>
          <w:sz w:val="22"/>
        </w:rPr>
        <w:t>paid</w:t>
      </w:r>
      <w:r>
        <w:rPr>
          <w:spacing w:val="-6"/>
          <w:sz w:val="22"/>
        </w:rPr>
        <w:t> </w:t>
      </w:r>
      <w:r>
        <w:rPr>
          <w:sz w:val="22"/>
        </w:rPr>
        <w:t>directly</w:t>
      </w:r>
      <w:r>
        <w:rPr>
          <w:spacing w:val="-9"/>
          <w:sz w:val="22"/>
        </w:rPr>
        <w:t> </w:t>
      </w:r>
      <w:r>
        <w:rPr>
          <w:sz w:val="22"/>
        </w:rPr>
        <w:t>to</w:t>
      </w:r>
      <w:r>
        <w:rPr>
          <w:spacing w:val="-8"/>
          <w:sz w:val="22"/>
        </w:rPr>
        <w:t> </w:t>
      </w:r>
      <w:r>
        <w:rPr>
          <w:sz w:val="22"/>
        </w:rPr>
        <w:t>any</w:t>
      </w:r>
      <w:r>
        <w:rPr>
          <w:spacing w:val="-9"/>
          <w:sz w:val="22"/>
        </w:rPr>
        <w:t> </w:t>
      </w:r>
      <w:r>
        <w:rPr>
          <w:sz w:val="22"/>
        </w:rPr>
        <w:t>ACO</w:t>
      </w:r>
      <w:r>
        <w:rPr>
          <w:spacing w:val="-7"/>
          <w:sz w:val="22"/>
        </w:rPr>
        <w:t> </w:t>
      </w:r>
      <w:r>
        <w:rPr>
          <w:sz w:val="22"/>
        </w:rPr>
        <w:t>that</w:t>
      </w:r>
      <w:r>
        <w:rPr>
          <w:spacing w:val="-5"/>
          <w:sz w:val="22"/>
        </w:rPr>
        <w:t> </w:t>
      </w:r>
      <w:r>
        <w:rPr>
          <w:sz w:val="22"/>
        </w:rPr>
        <w:t>has</w:t>
      </w:r>
      <w:r>
        <w:rPr>
          <w:spacing w:val="-8"/>
          <w:sz w:val="22"/>
        </w:rPr>
        <w:t> </w:t>
      </w:r>
      <w:r>
        <w:rPr>
          <w:sz w:val="22"/>
        </w:rPr>
        <w:t>a</w:t>
      </w:r>
      <w:r>
        <w:rPr>
          <w:spacing w:val="-6"/>
          <w:sz w:val="22"/>
        </w:rPr>
        <w:t> </w:t>
      </w:r>
      <w:r>
        <w:rPr>
          <w:sz w:val="22"/>
        </w:rPr>
        <w:t>provider</w:t>
      </w:r>
      <w:r>
        <w:rPr>
          <w:spacing w:val="-8"/>
          <w:sz w:val="22"/>
        </w:rPr>
        <w:t> </w:t>
      </w:r>
      <w:r>
        <w:rPr>
          <w:sz w:val="22"/>
        </w:rPr>
        <w:t>arrangement</w:t>
      </w:r>
      <w:r>
        <w:rPr>
          <w:spacing w:val="-5"/>
          <w:sz w:val="22"/>
        </w:rPr>
        <w:t> </w:t>
      </w:r>
      <w:r>
        <w:rPr>
          <w:sz w:val="22"/>
        </w:rPr>
        <w:t>or</w:t>
      </w:r>
      <w:r>
        <w:rPr>
          <w:spacing w:val="-5"/>
          <w:sz w:val="22"/>
        </w:rPr>
        <w:t> </w:t>
      </w:r>
      <w:r>
        <w:rPr>
          <w:sz w:val="22"/>
        </w:rPr>
        <w:t>contract with</w:t>
      </w:r>
      <w:r>
        <w:rPr>
          <w:spacing w:val="-6"/>
          <w:sz w:val="22"/>
        </w:rPr>
        <w:t> </w:t>
      </w:r>
      <w:r>
        <w:rPr>
          <w:sz w:val="22"/>
        </w:rPr>
        <w:t>one</w:t>
      </w:r>
      <w:r>
        <w:rPr>
          <w:spacing w:val="-6"/>
          <w:sz w:val="22"/>
        </w:rPr>
        <w:t> </w:t>
      </w:r>
      <w:r>
        <w:rPr>
          <w:sz w:val="22"/>
        </w:rPr>
        <w:t>of</w:t>
      </w:r>
      <w:r>
        <w:rPr>
          <w:spacing w:val="-5"/>
          <w:sz w:val="22"/>
        </w:rPr>
        <w:t> </w:t>
      </w:r>
      <w:r>
        <w:rPr>
          <w:sz w:val="22"/>
        </w:rPr>
        <w:t>these</w:t>
      </w:r>
      <w:r>
        <w:rPr>
          <w:spacing w:val="-6"/>
          <w:sz w:val="22"/>
        </w:rPr>
        <w:t> </w:t>
      </w:r>
      <w:r>
        <w:rPr>
          <w:sz w:val="22"/>
        </w:rPr>
        <w:t>seven</w:t>
      </w:r>
      <w:r>
        <w:rPr>
          <w:spacing w:val="-6"/>
          <w:sz w:val="22"/>
        </w:rPr>
        <w:t> </w:t>
      </w:r>
      <w:r>
        <w:rPr>
          <w:sz w:val="22"/>
        </w:rPr>
        <w:t>DSTI</w:t>
      </w:r>
      <w:r>
        <w:rPr>
          <w:spacing w:val="-10"/>
          <w:sz w:val="22"/>
        </w:rPr>
        <w:t> </w:t>
      </w:r>
      <w:r>
        <w:rPr>
          <w:sz w:val="22"/>
        </w:rPr>
        <w:t>safety</w:t>
      </w:r>
      <w:r>
        <w:rPr>
          <w:spacing w:val="-9"/>
          <w:sz w:val="22"/>
        </w:rPr>
        <w:t> </w:t>
      </w:r>
      <w:r>
        <w:rPr>
          <w:sz w:val="22"/>
        </w:rPr>
        <w:t>net</w:t>
      </w:r>
      <w:r>
        <w:rPr>
          <w:spacing w:val="-5"/>
          <w:sz w:val="22"/>
        </w:rPr>
        <w:t> </w:t>
      </w:r>
      <w:r>
        <w:rPr>
          <w:sz w:val="22"/>
        </w:rPr>
        <w:t>hospitals.</w:t>
      </w:r>
      <w:r>
        <w:rPr>
          <w:spacing w:val="-8"/>
          <w:sz w:val="22"/>
        </w:rPr>
        <w:t> </w:t>
      </w:r>
      <w:r>
        <w:rPr>
          <w:sz w:val="22"/>
        </w:rPr>
        <w:t>The</w:t>
      </w:r>
      <w:r>
        <w:rPr>
          <w:spacing w:val="-8"/>
          <w:sz w:val="22"/>
        </w:rPr>
        <w:t> </w:t>
      </w:r>
      <w:r>
        <w:rPr>
          <w:sz w:val="22"/>
        </w:rPr>
        <w:t>ACO</w:t>
      </w:r>
      <w:r>
        <w:rPr>
          <w:spacing w:val="-7"/>
          <w:sz w:val="22"/>
        </w:rPr>
        <w:t> </w:t>
      </w:r>
      <w:r>
        <w:rPr>
          <w:sz w:val="22"/>
        </w:rPr>
        <w:t>will</w:t>
      </w:r>
      <w:r>
        <w:rPr>
          <w:spacing w:val="-5"/>
          <w:sz w:val="22"/>
        </w:rPr>
        <w:t> </w:t>
      </w:r>
      <w:r>
        <w:rPr>
          <w:sz w:val="22"/>
        </w:rPr>
        <w:t>be</w:t>
      </w:r>
      <w:r>
        <w:rPr>
          <w:spacing w:val="-6"/>
          <w:sz w:val="22"/>
        </w:rPr>
        <w:t> </w:t>
      </w:r>
      <w:r>
        <w:rPr>
          <w:sz w:val="22"/>
        </w:rPr>
        <w:t>required</w:t>
      </w:r>
      <w:r>
        <w:rPr>
          <w:spacing w:val="-6"/>
          <w:sz w:val="22"/>
        </w:rPr>
        <w:t> </w:t>
      </w:r>
      <w:r>
        <w:rPr>
          <w:sz w:val="22"/>
        </w:rPr>
        <w:t>to</w:t>
      </w:r>
      <w:r>
        <w:rPr>
          <w:spacing w:val="-6"/>
          <w:sz w:val="22"/>
        </w:rPr>
        <w:t> </w:t>
      </w:r>
      <w:r>
        <w:rPr>
          <w:sz w:val="22"/>
        </w:rPr>
        <w:t>give</w:t>
      </w:r>
      <w:r>
        <w:rPr>
          <w:spacing w:val="-6"/>
          <w:sz w:val="22"/>
        </w:rPr>
        <w:t> </w:t>
      </w:r>
      <w:r>
        <w:rPr>
          <w:sz w:val="22"/>
        </w:rPr>
        <w:t>the</w:t>
      </w:r>
      <w:r>
        <w:rPr>
          <w:spacing w:val="-6"/>
          <w:sz w:val="22"/>
        </w:rPr>
        <w:t> </w:t>
      </w:r>
      <w:r>
        <w:rPr>
          <w:sz w:val="22"/>
        </w:rPr>
        <w:t>full</w:t>
      </w:r>
      <w:r>
        <w:rPr>
          <w:spacing w:val="-7"/>
          <w:sz w:val="22"/>
        </w:rPr>
        <w:t> </w:t>
      </w:r>
      <w:r>
        <w:rPr>
          <w:sz w:val="22"/>
        </w:rPr>
        <w:t>amount</w:t>
      </w:r>
      <w:r>
        <w:rPr>
          <w:spacing w:val="-5"/>
          <w:sz w:val="22"/>
        </w:rPr>
        <w:t> </w:t>
      </w:r>
      <w:r>
        <w:rPr>
          <w:sz w:val="22"/>
        </w:rPr>
        <w:t>of</w:t>
      </w:r>
      <w:r>
        <w:rPr>
          <w:spacing w:val="-5"/>
          <w:sz w:val="22"/>
        </w:rPr>
        <w:t> </w:t>
      </w:r>
      <w:r>
        <w:rPr>
          <w:sz w:val="22"/>
        </w:rPr>
        <w:t>this funding</w:t>
      </w:r>
      <w:r>
        <w:rPr>
          <w:spacing w:val="-11"/>
          <w:sz w:val="22"/>
        </w:rPr>
        <w:t> </w:t>
      </w:r>
      <w:r>
        <w:rPr>
          <w:sz w:val="22"/>
        </w:rPr>
        <w:t>to</w:t>
      </w:r>
      <w:r>
        <w:rPr>
          <w:spacing w:val="-11"/>
          <w:sz w:val="22"/>
        </w:rPr>
        <w:t> </w:t>
      </w:r>
      <w:r>
        <w:rPr>
          <w:sz w:val="22"/>
        </w:rPr>
        <w:t>the</w:t>
      </w:r>
      <w:r>
        <w:rPr>
          <w:spacing w:val="-10"/>
          <w:sz w:val="22"/>
        </w:rPr>
        <w:t> </w:t>
      </w:r>
      <w:r>
        <w:rPr>
          <w:sz w:val="22"/>
        </w:rPr>
        <w:t>participating</w:t>
      </w:r>
      <w:r>
        <w:rPr>
          <w:spacing w:val="-13"/>
          <w:sz w:val="22"/>
        </w:rPr>
        <w:t> </w:t>
      </w:r>
      <w:r>
        <w:rPr>
          <w:sz w:val="22"/>
        </w:rPr>
        <w:t>safety</w:t>
      </w:r>
      <w:r>
        <w:rPr>
          <w:spacing w:val="-11"/>
          <w:sz w:val="22"/>
        </w:rPr>
        <w:t> </w:t>
      </w:r>
      <w:r>
        <w:rPr>
          <w:sz w:val="22"/>
        </w:rPr>
        <w:t>net</w:t>
      </w:r>
      <w:r>
        <w:rPr>
          <w:spacing w:val="-7"/>
          <w:sz w:val="22"/>
        </w:rPr>
        <w:t> </w:t>
      </w:r>
      <w:r>
        <w:rPr>
          <w:sz w:val="22"/>
        </w:rPr>
        <w:t>hospitals.</w:t>
      </w:r>
      <w:r>
        <w:rPr>
          <w:spacing w:val="-11"/>
          <w:sz w:val="22"/>
        </w:rPr>
        <w:t> </w:t>
      </w:r>
      <w:r>
        <w:rPr>
          <w:sz w:val="22"/>
        </w:rPr>
        <w:t>The</w:t>
      </w:r>
      <w:r>
        <w:rPr>
          <w:spacing w:val="-11"/>
          <w:sz w:val="22"/>
        </w:rPr>
        <w:t> </w:t>
      </w:r>
      <w:r>
        <w:rPr>
          <w:sz w:val="22"/>
        </w:rPr>
        <w:t>amount</w:t>
      </w:r>
      <w:r>
        <w:rPr>
          <w:spacing w:val="-10"/>
          <w:sz w:val="22"/>
        </w:rPr>
        <w:t> </w:t>
      </w:r>
      <w:r>
        <w:rPr>
          <w:sz w:val="22"/>
        </w:rPr>
        <w:t>of</w:t>
      </w:r>
      <w:r>
        <w:rPr>
          <w:spacing w:val="-8"/>
          <w:sz w:val="22"/>
        </w:rPr>
        <w:t> </w:t>
      </w:r>
      <w:r>
        <w:rPr>
          <w:sz w:val="22"/>
        </w:rPr>
        <w:t>DSTI</w:t>
      </w:r>
      <w:r>
        <w:rPr>
          <w:spacing w:val="-12"/>
          <w:sz w:val="22"/>
        </w:rPr>
        <w:t> </w:t>
      </w:r>
      <w:r>
        <w:rPr>
          <w:sz w:val="22"/>
        </w:rPr>
        <w:t>Glide</w:t>
      </w:r>
      <w:r>
        <w:rPr>
          <w:spacing w:val="-8"/>
          <w:sz w:val="22"/>
        </w:rPr>
        <w:t> </w:t>
      </w:r>
      <w:r>
        <w:rPr>
          <w:sz w:val="22"/>
        </w:rPr>
        <w:t>Path</w:t>
      </w:r>
      <w:r>
        <w:rPr>
          <w:spacing w:val="-11"/>
          <w:sz w:val="22"/>
        </w:rPr>
        <w:t> </w:t>
      </w:r>
      <w:r>
        <w:rPr>
          <w:sz w:val="22"/>
        </w:rPr>
        <w:t>funding</w:t>
      </w:r>
      <w:r>
        <w:rPr>
          <w:spacing w:val="-11"/>
          <w:sz w:val="22"/>
        </w:rPr>
        <w:t> </w:t>
      </w:r>
      <w:r>
        <w:rPr>
          <w:sz w:val="22"/>
        </w:rPr>
        <w:t>will</w:t>
      </w:r>
      <w:r>
        <w:rPr>
          <w:spacing w:val="-10"/>
          <w:sz w:val="22"/>
        </w:rPr>
        <w:t> </w:t>
      </w:r>
      <w:r>
        <w:rPr>
          <w:sz w:val="22"/>
        </w:rPr>
        <w:t>decrease</w:t>
      </w:r>
      <w:r>
        <w:rPr>
          <w:spacing w:val="-10"/>
          <w:sz w:val="22"/>
        </w:rPr>
        <w:t> </w:t>
      </w:r>
      <w:r>
        <w:rPr>
          <w:sz w:val="22"/>
        </w:rPr>
        <w:t>each year, sustainably transitioning safety net hospitals to lower levels of supplemental support.</w:t>
      </w:r>
    </w:p>
    <w:p>
      <w:pPr>
        <w:pStyle w:val="Heading2"/>
        <w:numPr>
          <w:ilvl w:val="1"/>
          <w:numId w:val="68"/>
        </w:numPr>
        <w:tabs>
          <w:tab w:pos="1683" w:val="left" w:leader="none"/>
        </w:tabs>
        <w:spacing w:line="298" w:lineRule="exact" w:before="202" w:after="0"/>
        <w:ind w:left="1683" w:right="0" w:hanging="463"/>
        <w:jc w:val="both"/>
      </w:pPr>
      <w:bookmarkStart w:name="4.3  Purpose and Allowable Uses for CP a" w:id="1292"/>
      <w:bookmarkEnd w:id="1292"/>
      <w:r>
        <w:rPr>
          <w:b w:val="0"/>
        </w:rPr>
      </w:r>
      <w:bookmarkStart w:name="_bookmark40" w:id="1293"/>
      <w:bookmarkEnd w:id="1293"/>
      <w:r>
        <w:rPr>
          <w:color w:val="4471C4"/>
        </w:rPr>
        <w:t>Purpose</w:t>
      </w:r>
      <w:r>
        <w:rPr>
          <w:color w:val="4471C4"/>
          <w:spacing w:val="-6"/>
        </w:rPr>
        <w:t> </w:t>
      </w:r>
      <w:r>
        <w:rPr>
          <w:color w:val="4471C4"/>
        </w:rPr>
        <w:t>and</w:t>
      </w:r>
      <w:r>
        <w:rPr>
          <w:color w:val="4471C4"/>
          <w:spacing w:val="-8"/>
        </w:rPr>
        <w:t> </w:t>
      </w:r>
      <w:r>
        <w:rPr>
          <w:color w:val="4471C4"/>
        </w:rPr>
        <w:t>Allowable</w:t>
      </w:r>
      <w:r>
        <w:rPr>
          <w:color w:val="4471C4"/>
          <w:spacing w:val="-8"/>
        </w:rPr>
        <w:t> </w:t>
      </w:r>
      <w:r>
        <w:rPr>
          <w:color w:val="4471C4"/>
        </w:rPr>
        <w:t>Uses</w:t>
      </w:r>
      <w:r>
        <w:rPr>
          <w:color w:val="4471C4"/>
          <w:spacing w:val="-8"/>
        </w:rPr>
        <w:t> </w:t>
      </w:r>
      <w:r>
        <w:rPr>
          <w:color w:val="4471C4"/>
        </w:rPr>
        <w:t>for</w:t>
      </w:r>
      <w:r>
        <w:rPr>
          <w:color w:val="4471C4"/>
          <w:spacing w:val="-5"/>
        </w:rPr>
        <w:t> </w:t>
      </w:r>
      <w:r>
        <w:rPr>
          <w:color w:val="4471C4"/>
        </w:rPr>
        <w:t>CP</w:t>
      </w:r>
      <w:r>
        <w:rPr>
          <w:color w:val="4471C4"/>
          <w:spacing w:val="-9"/>
        </w:rPr>
        <w:t> </w:t>
      </w:r>
      <w:r>
        <w:rPr>
          <w:color w:val="4471C4"/>
        </w:rPr>
        <w:t>and</w:t>
      </w:r>
      <w:r>
        <w:rPr>
          <w:color w:val="4471C4"/>
          <w:spacing w:val="-8"/>
        </w:rPr>
        <w:t> </w:t>
      </w:r>
      <w:r>
        <w:rPr>
          <w:color w:val="4471C4"/>
        </w:rPr>
        <w:t>CSA</w:t>
      </w:r>
      <w:r>
        <w:rPr>
          <w:color w:val="4471C4"/>
          <w:spacing w:val="-8"/>
        </w:rPr>
        <w:t> </w:t>
      </w:r>
      <w:r>
        <w:rPr>
          <w:color w:val="4471C4"/>
        </w:rPr>
        <w:t>Funding</w:t>
      </w:r>
      <w:r>
        <w:rPr>
          <w:color w:val="4471C4"/>
          <w:spacing w:val="-8"/>
        </w:rPr>
        <w:t> </w:t>
      </w:r>
      <w:r>
        <w:rPr>
          <w:color w:val="4471C4"/>
        </w:rPr>
        <w:t>Sub-</w:t>
      </w:r>
      <w:r>
        <w:rPr>
          <w:color w:val="4471C4"/>
          <w:spacing w:val="-2"/>
        </w:rPr>
        <w:t>Streams</w:t>
      </w:r>
    </w:p>
    <w:p>
      <w:pPr>
        <w:spacing w:line="240" w:lineRule="auto" w:before="0"/>
        <w:ind w:left="1219" w:right="1093" w:firstLine="0"/>
        <w:jc w:val="both"/>
        <w:rPr>
          <w:sz w:val="22"/>
        </w:rPr>
      </w:pPr>
      <w:r>
        <w:rPr>
          <w:sz w:val="22"/>
        </w:rPr>
        <w:t>MCOs</w:t>
      </w:r>
      <w:r>
        <w:rPr>
          <w:spacing w:val="-4"/>
          <w:sz w:val="22"/>
        </w:rPr>
        <w:t> </w:t>
      </w:r>
      <w:r>
        <w:rPr>
          <w:sz w:val="22"/>
        </w:rPr>
        <w:t>and</w:t>
      </w:r>
      <w:r>
        <w:rPr>
          <w:spacing w:val="-5"/>
          <w:sz w:val="22"/>
        </w:rPr>
        <w:t> </w:t>
      </w:r>
      <w:r>
        <w:rPr>
          <w:sz w:val="22"/>
        </w:rPr>
        <w:t>ACOs</w:t>
      </w:r>
      <w:r>
        <w:rPr>
          <w:spacing w:val="-4"/>
          <w:sz w:val="22"/>
        </w:rPr>
        <w:t> </w:t>
      </w:r>
      <w:r>
        <w:rPr>
          <w:sz w:val="22"/>
        </w:rPr>
        <w:t>will</w:t>
      </w:r>
      <w:r>
        <w:rPr>
          <w:spacing w:val="-4"/>
          <w:sz w:val="22"/>
        </w:rPr>
        <w:t> </w:t>
      </w:r>
      <w:r>
        <w:rPr>
          <w:sz w:val="22"/>
        </w:rPr>
        <w:t>delegate</w:t>
      </w:r>
      <w:r>
        <w:rPr>
          <w:spacing w:val="-4"/>
          <w:sz w:val="22"/>
        </w:rPr>
        <w:t> </w:t>
      </w:r>
      <w:r>
        <w:rPr>
          <w:sz w:val="22"/>
        </w:rPr>
        <w:t>comprehensive</w:t>
      </w:r>
      <w:r>
        <w:rPr>
          <w:spacing w:val="-4"/>
          <w:sz w:val="22"/>
        </w:rPr>
        <w:t> </w:t>
      </w:r>
      <w:r>
        <w:rPr>
          <w:sz w:val="22"/>
        </w:rPr>
        <w:t>care</w:t>
      </w:r>
      <w:r>
        <w:rPr>
          <w:spacing w:val="-4"/>
          <w:sz w:val="22"/>
        </w:rPr>
        <w:t> </w:t>
      </w:r>
      <w:r>
        <w:rPr>
          <w:sz w:val="22"/>
        </w:rPr>
        <w:t>management</w:t>
      </w:r>
      <w:r>
        <w:rPr>
          <w:spacing w:val="-4"/>
          <w:sz w:val="22"/>
        </w:rPr>
        <w:t> </w:t>
      </w:r>
      <w:r>
        <w:rPr>
          <w:sz w:val="22"/>
        </w:rPr>
        <w:t>responsibility</w:t>
      </w:r>
      <w:r>
        <w:rPr>
          <w:spacing w:val="-7"/>
          <w:sz w:val="22"/>
        </w:rPr>
        <w:t> </w:t>
      </w:r>
      <w:r>
        <w:rPr>
          <w:sz w:val="22"/>
        </w:rPr>
        <w:t>to</w:t>
      </w:r>
      <w:r>
        <w:rPr>
          <w:spacing w:val="-7"/>
          <w:sz w:val="22"/>
        </w:rPr>
        <w:t> </w:t>
      </w:r>
      <w:r>
        <w:rPr>
          <w:sz w:val="22"/>
        </w:rPr>
        <w:t>the</w:t>
      </w:r>
      <w:r>
        <w:rPr>
          <w:spacing w:val="-4"/>
          <w:sz w:val="22"/>
        </w:rPr>
        <w:t> </w:t>
      </w:r>
      <w:r>
        <w:rPr>
          <w:sz w:val="22"/>
        </w:rPr>
        <w:t>BH</w:t>
      </w:r>
      <w:r>
        <w:rPr>
          <w:spacing w:val="-6"/>
          <w:sz w:val="22"/>
        </w:rPr>
        <w:t> </w:t>
      </w:r>
      <w:r>
        <w:rPr>
          <w:sz w:val="22"/>
        </w:rPr>
        <w:t>CP</w:t>
      </w:r>
      <w:r>
        <w:rPr>
          <w:spacing w:val="-7"/>
          <w:sz w:val="22"/>
        </w:rPr>
        <w:t> </w:t>
      </w:r>
      <w:r>
        <w:rPr>
          <w:sz w:val="22"/>
        </w:rPr>
        <w:t>for</w:t>
      </w:r>
      <w:r>
        <w:rPr>
          <w:spacing w:val="-6"/>
          <w:sz w:val="22"/>
        </w:rPr>
        <w:t> </w:t>
      </w:r>
      <w:r>
        <w:rPr>
          <w:sz w:val="22"/>
        </w:rPr>
        <w:t>members diagnosed with Serious Mental Illness (SMI) and/or Substance Use Disorder (SUD), as well as adult members who exhibit SMI and SUD, but have not been diagnosed, and who are assigned to the BH CPs</w:t>
      </w:r>
      <w:r>
        <w:rPr>
          <w:rFonts w:ascii="Calibri"/>
          <w:sz w:val="22"/>
        </w:rPr>
        <w:t>. </w:t>
      </w:r>
      <w:r>
        <w:rPr>
          <w:sz w:val="22"/>
        </w:rPr>
        <w:t>BH CPs are required to coordinate care for members enrolled with the BH CP across the full healthcare continuum,</w:t>
      </w:r>
      <w:r>
        <w:rPr>
          <w:spacing w:val="-12"/>
          <w:sz w:val="22"/>
        </w:rPr>
        <w:t> </w:t>
      </w:r>
      <w:r>
        <w:rPr>
          <w:sz w:val="22"/>
        </w:rPr>
        <w:t>including</w:t>
      </w:r>
      <w:r>
        <w:rPr>
          <w:spacing w:val="-14"/>
          <w:sz w:val="22"/>
        </w:rPr>
        <w:t> </w:t>
      </w:r>
      <w:r>
        <w:rPr>
          <w:sz w:val="22"/>
        </w:rPr>
        <w:t>physical</w:t>
      </w:r>
      <w:r>
        <w:rPr>
          <w:spacing w:val="-10"/>
          <w:sz w:val="22"/>
        </w:rPr>
        <w:t> </w:t>
      </w:r>
      <w:r>
        <w:rPr>
          <w:sz w:val="22"/>
        </w:rPr>
        <w:t>and</w:t>
      </w:r>
      <w:r>
        <w:rPr>
          <w:spacing w:val="-12"/>
          <w:sz w:val="22"/>
        </w:rPr>
        <w:t> </w:t>
      </w:r>
      <w:r>
        <w:rPr>
          <w:sz w:val="22"/>
        </w:rPr>
        <w:t>behavioral</w:t>
      </w:r>
      <w:r>
        <w:rPr>
          <w:spacing w:val="-11"/>
          <w:sz w:val="22"/>
        </w:rPr>
        <w:t> </w:t>
      </w:r>
      <w:r>
        <w:rPr>
          <w:sz w:val="22"/>
        </w:rPr>
        <w:t>health,</w:t>
      </w:r>
      <w:r>
        <w:rPr>
          <w:spacing w:val="-12"/>
          <w:sz w:val="22"/>
        </w:rPr>
        <w:t> </w:t>
      </w:r>
      <w:r>
        <w:rPr>
          <w:sz w:val="22"/>
        </w:rPr>
        <w:t>LTSS</w:t>
      </w:r>
      <w:r>
        <w:rPr>
          <w:spacing w:val="-12"/>
          <w:sz w:val="22"/>
        </w:rPr>
        <w:t> </w:t>
      </w:r>
      <w:r>
        <w:rPr>
          <w:sz w:val="22"/>
        </w:rPr>
        <w:t>and</w:t>
      </w:r>
      <w:r>
        <w:rPr>
          <w:spacing w:val="-12"/>
          <w:sz w:val="22"/>
        </w:rPr>
        <w:t> </w:t>
      </w:r>
      <w:r>
        <w:rPr>
          <w:sz w:val="22"/>
        </w:rPr>
        <w:t>social</w:t>
      </w:r>
      <w:r>
        <w:rPr>
          <w:spacing w:val="-11"/>
          <w:sz w:val="22"/>
        </w:rPr>
        <w:t> </w:t>
      </w:r>
      <w:r>
        <w:rPr>
          <w:sz w:val="22"/>
        </w:rPr>
        <w:t>service</w:t>
      </w:r>
      <w:r>
        <w:rPr>
          <w:spacing w:val="-11"/>
          <w:sz w:val="22"/>
        </w:rPr>
        <w:t> </w:t>
      </w:r>
      <w:r>
        <w:rPr>
          <w:sz w:val="22"/>
        </w:rPr>
        <w:t>needs.</w:t>
      </w:r>
      <w:r>
        <w:rPr>
          <w:spacing w:val="-12"/>
          <w:sz w:val="22"/>
        </w:rPr>
        <w:t> </w:t>
      </w:r>
      <w:r>
        <w:rPr>
          <w:sz w:val="22"/>
        </w:rPr>
        <w:t>This</w:t>
      </w:r>
      <w:r>
        <w:rPr>
          <w:spacing w:val="-11"/>
          <w:sz w:val="22"/>
        </w:rPr>
        <w:t> </w:t>
      </w:r>
      <w:r>
        <w:rPr>
          <w:sz w:val="22"/>
        </w:rPr>
        <w:t>section</w:t>
      </w:r>
      <w:r>
        <w:rPr>
          <w:spacing w:val="-12"/>
          <w:sz w:val="22"/>
        </w:rPr>
        <w:t> </w:t>
      </w:r>
      <w:r>
        <w:rPr>
          <w:sz w:val="22"/>
        </w:rPr>
        <w:t>describes the purpose and allowable uses for the three funding sub-streams for each CP (care coordination, infrastructure and capacity building and outcome-based payments) and one sub-stream for CSAs (infrastructure and capacity building):</w:t>
      </w:r>
    </w:p>
    <w:p>
      <w:pPr>
        <w:pStyle w:val="ListParagraph"/>
        <w:numPr>
          <w:ilvl w:val="2"/>
          <w:numId w:val="68"/>
        </w:numPr>
        <w:tabs>
          <w:tab w:pos="1938" w:val="left" w:leader="none"/>
        </w:tabs>
        <w:spacing w:line="240" w:lineRule="auto" w:before="198" w:after="0"/>
        <w:ind w:left="1938" w:right="0" w:hanging="719"/>
        <w:jc w:val="both"/>
        <w:rPr>
          <w:b/>
          <w:color w:val="4471C4"/>
          <w:sz w:val="22"/>
        </w:rPr>
      </w:pPr>
      <w:bookmarkStart w:name="4.3.1 BH CP Sub-Stream 1: Care Coordinat" w:id="1294"/>
      <w:bookmarkEnd w:id="1294"/>
      <w:r>
        <w:rPr/>
      </w:r>
      <w:bookmarkStart w:name="_bookmark41" w:id="1295"/>
      <w:bookmarkEnd w:id="1295"/>
      <w:r>
        <w:rPr/>
      </w:r>
      <w:r>
        <w:rPr>
          <w:b/>
          <w:color w:val="4471C4"/>
          <w:sz w:val="22"/>
        </w:rPr>
        <w:t>BH</w:t>
      </w:r>
      <w:r>
        <w:rPr>
          <w:b/>
          <w:color w:val="4471C4"/>
          <w:spacing w:val="-4"/>
          <w:sz w:val="22"/>
        </w:rPr>
        <w:t> </w:t>
      </w:r>
      <w:r>
        <w:rPr>
          <w:b/>
          <w:color w:val="4471C4"/>
          <w:sz w:val="22"/>
        </w:rPr>
        <w:t>CP</w:t>
      </w:r>
      <w:r>
        <w:rPr>
          <w:b/>
          <w:color w:val="4471C4"/>
          <w:spacing w:val="-6"/>
          <w:sz w:val="22"/>
        </w:rPr>
        <w:t> </w:t>
      </w:r>
      <w:r>
        <w:rPr>
          <w:b/>
          <w:color w:val="4471C4"/>
          <w:sz w:val="22"/>
        </w:rPr>
        <w:t>Sub-Stream</w:t>
      </w:r>
      <w:r>
        <w:rPr>
          <w:b/>
          <w:color w:val="4471C4"/>
          <w:spacing w:val="-3"/>
          <w:sz w:val="22"/>
        </w:rPr>
        <w:t> </w:t>
      </w:r>
      <w:r>
        <w:rPr>
          <w:b/>
          <w:color w:val="4471C4"/>
          <w:sz w:val="22"/>
        </w:rPr>
        <w:t>1:</w:t>
      </w:r>
      <w:r>
        <w:rPr>
          <w:b/>
          <w:color w:val="4471C4"/>
          <w:spacing w:val="-4"/>
          <w:sz w:val="22"/>
        </w:rPr>
        <w:t> </w:t>
      </w:r>
      <w:r>
        <w:rPr>
          <w:b/>
          <w:color w:val="4471C4"/>
          <w:sz w:val="22"/>
        </w:rPr>
        <w:t>Care</w:t>
      </w:r>
      <w:r>
        <w:rPr>
          <w:b/>
          <w:color w:val="4471C4"/>
          <w:spacing w:val="-5"/>
          <w:sz w:val="22"/>
        </w:rPr>
        <w:t> </w:t>
      </w:r>
      <w:r>
        <w:rPr>
          <w:b/>
          <w:color w:val="4471C4"/>
          <w:sz w:val="22"/>
        </w:rPr>
        <w:t>Coordination</w:t>
      </w:r>
      <w:r>
        <w:rPr>
          <w:b/>
          <w:color w:val="4471C4"/>
          <w:spacing w:val="-5"/>
          <w:sz w:val="22"/>
        </w:rPr>
        <w:t> </w:t>
      </w:r>
      <w:r>
        <w:rPr>
          <w:b/>
          <w:color w:val="4471C4"/>
          <w:sz w:val="22"/>
        </w:rPr>
        <w:t>Supports</w:t>
      </w:r>
      <w:r>
        <w:rPr>
          <w:b/>
          <w:color w:val="4471C4"/>
          <w:spacing w:val="-6"/>
          <w:sz w:val="22"/>
        </w:rPr>
        <w:t> </w:t>
      </w:r>
      <w:r>
        <w:rPr>
          <w:b/>
          <w:color w:val="4471C4"/>
          <w:spacing w:val="-2"/>
          <w:sz w:val="22"/>
        </w:rPr>
        <w:t>Funding</w:t>
      </w:r>
    </w:p>
    <w:p>
      <w:pPr>
        <w:spacing w:before="1"/>
        <w:ind w:left="1220" w:right="1094" w:firstLine="0"/>
        <w:jc w:val="both"/>
        <w:rPr>
          <w:sz w:val="22"/>
        </w:rPr>
      </w:pPr>
      <w:r>
        <w:rPr>
          <w:sz w:val="22"/>
        </w:rPr>
        <w:t>BH CPs will receive funds under BH CP sub-stream 1 to perform the following functions for assigned </w:t>
      </w:r>
      <w:r>
        <w:rPr>
          <w:spacing w:val="-2"/>
          <w:sz w:val="22"/>
        </w:rPr>
        <w:t>members:</w:t>
      </w:r>
    </w:p>
    <w:p>
      <w:pPr>
        <w:pStyle w:val="ListParagraph"/>
        <w:numPr>
          <w:ilvl w:val="3"/>
          <w:numId w:val="68"/>
        </w:numPr>
        <w:tabs>
          <w:tab w:pos="2300" w:val="left" w:leader="none"/>
        </w:tabs>
        <w:spacing w:line="252" w:lineRule="exact" w:before="159" w:after="0"/>
        <w:ind w:left="2300" w:right="0" w:hanging="720"/>
        <w:jc w:val="left"/>
        <w:rPr>
          <w:sz w:val="22"/>
        </w:rPr>
      </w:pPr>
      <w:r>
        <w:rPr>
          <w:sz w:val="22"/>
        </w:rPr>
        <w:t>Outreaching</w:t>
      </w:r>
      <w:r>
        <w:rPr>
          <w:spacing w:val="-8"/>
          <w:sz w:val="22"/>
        </w:rPr>
        <w:t> </w:t>
      </w:r>
      <w:r>
        <w:rPr>
          <w:sz w:val="22"/>
        </w:rPr>
        <w:t>to</w:t>
      </w:r>
      <w:r>
        <w:rPr>
          <w:spacing w:val="-2"/>
          <w:sz w:val="22"/>
        </w:rPr>
        <w:t> </w:t>
      </w:r>
      <w:r>
        <w:rPr>
          <w:sz w:val="22"/>
        </w:rPr>
        <w:t>and</w:t>
      </w:r>
      <w:r>
        <w:rPr>
          <w:spacing w:val="-6"/>
          <w:sz w:val="22"/>
        </w:rPr>
        <w:t> </w:t>
      </w:r>
      <w:r>
        <w:rPr>
          <w:sz w:val="22"/>
        </w:rPr>
        <w:t>actively</w:t>
      </w:r>
      <w:r>
        <w:rPr>
          <w:spacing w:val="-5"/>
          <w:sz w:val="22"/>
        </w:rPr>
        <w:t> </w:t>
      </w:r>
      <w:r>
        <w:rPr>
          <w:sz w:val="22"/>
        </w:rPr>
        <w:t>engaging</w:t>
      </w:r>
      <w:r>
        <w:rPr>
          <w:spacing w:val="-2"/>
          <w:sz w:val="22"/>
        </w:rPr>
        <w:t> members</w:t>
      </w:r>
    </w:p>
    <w:p>
      <w:pPr>
        <w:pStyle w:val="ListParagraph"/>
        <w:numPr>
          <w:ilvl w:val="3"/>
          <w:numId w:val="68"/>
        </w:numPr>
        <w:tabs>
          <w:tab w:pos="2300" w:val="left" w:leader="none"/>
        </w:tabs>
        <w:spacing w:line="252" w:lineRule="exact" w:before="0" w:after="0"/>
        <w:ind w:left="2300" w:right="0" w:hanging="720"/>
        <w:jc w:val="left"/>
        <w:rPr>
          <w:sz w:val="22"/>
        </w:rPr>
      </w:pPr>
      <w:r>
        <w:rPr>
          <w:sz w:val="22"/>
        </w:rPr>
        <w:t>Identifying</w:t>
      </w:r>
      <w:r>
        <w:rPr>
          <w:spacing w:val="-8"/>
          <w:sz w:val="22"/>
        </w:rPr>
        <w:t> </w:t>
      </w:r>
      <w:r>
        <w:rPr>
          <w:sz w:val="22"/>
        </w:rPr>
        <w:t>and</w:t>
      </w:r>
      <w:r>
        <w:rPr>
          <w:spacing w:val="-2"/>
          <w:sz w:val="22"/>
        </w:rPr>
        <w:t> </w:t>
      </w:r>
      <w:r>
        <w:rPr>
          <w:sz w:val="22"/>
        </w:rPr>
        <w:t>facilitating</w:t>
      </w:r>
      <w:r>
        <w:rPr>
          <w:spacing w:val="-5"/>
          <w:sz w:val="22"/>
        </w:rPr>
        <w:t> </w:t>
      </w:r>
      <w:r>
        <w:rPr>
          <w:sz w:val="22"/>
        </w:rPr>
        <w:t>a</w:t>
      </w:r>
      <w:r>
        <w:rPr>
          <w:spacing w:val="-3"/>
          <w:sz w:val="22"/>
        </w:rPr>
        <w:t> </w:t>
      </w:r>
      <w:r>
        <w:rPr>
          <w:sz w:val="22"/>
        </w:rPr>
        <w:t>care</w:t>
      </w:r>
      <w:r>
        <w:rPr>
          <w:spacing w:val="-2"/>
          <w:sz w:val="22"/>
        </w:rPr>
        <w:t> </w:t>
      </w:r>
      <w:r>
        <w:rPr>
          <w:sz w:val="22"/>
        </w:rPr>
        <w:t>team</w:t>
      </w:r>
      <w:r>
        <w:rPr>
          <w:spacing w:val="-6"/>
          <w:sz w:val="22"/>
        </w:rPr>
        <w:t> </w:t>
      </w:r>
      <w:r>
        <w:rPr>
          <w:sz w:val="22"/>
        </w:rPr>
        <w:t>for</w:t>
      </w:r>
      <w:r>
        <w:rPr>
          <w:spacing w:val="-2"/>
          <w:sz w:val="22"/>
        </w:rPr>
        <w:t> </w:t>
      </w:r>
      <w:r>
        <w:rPr>
          <w:sz w:val="22"/>
        </w:rPr>
        <w:t>every</w:t>
      </w:r>
      <w:r>
        <w:rPr>
          <w:spacing w:val="-5"/>
          <w:sz w:val="22"/>
        </w:rPr>
        <w:t> </w:t>
      </w:r>
      <w:r>
        <w:rPr>
          <w:sz w:val="22"/>
        </w:rPr>
        <w:t>engaged</w:t>
      </w:r>
      <w:r>
        <w:rPr>
          <w:spacing w:val="-2"/>
          <w:sz w:val="22"/>
        </w:rPr>
        <w:t> member</w:t>
      </w:r>
    </w:p>
    <w:p>
      <w:pPr>
        <w:pStyle w:val="ListParagraph"/>
        <w:numPr>
          <w:ilvl w:val="3"/>
          <w:numId w:val="68"/>
        </w:numPr>
        <w:tabs>
          <w:tab w:pos="2300" w:val="left" w:leader="none"/>
        </w:tabs>
        <w:spacing w:line="252" w:lineRule="exact" w:before="2" w:after="0"/>
        <w:ind w:left="2300" w:right="0" w:hanging="720"/>
        <w:jc w:val="left"/>
        <w:rPr>
          <w:sz w:val="22"/>
        </w:rPr>
      </w:pPr>
      <w:r>
        <w:rPr>
          <w:sz w:val="22"/>
        </w:rPr>
        <w:t>Person-centered</w:t>
      </w:r>
      <w:r>
        <w:rPr>
          <w:spacing w:val="-8"/>
          <w:sz w:val="22"/>
        </w:rPr>
        <w:t> </w:t>
      </w:r>
      <w:r>
        <w:rPr>
          <w:sz w:val="22"/>
        </w:rPr>
        <w:t>treatment</w:t>
      </w:r>
      <w:r>
        <w:rPr>
          <w:spacing w:val="-6"/>
          <w:sz w:val="22"/>
        </w:rPr>
        <w:t> </w:t>
      </w:r>
      <w:r>
        <w:rPr>
          <w:sz w:val="22"/>
        </w:rPr>
        <w:t>planning</w:t>
      </w:r>
      <w:r>
        <w:rPr>
          <w:spacing w:val="-7"/>
          <w:sz w:val="22"/>
        </w:rPr>
        <w:t> </w:t>
      </w:r>
      <w:r>
        <w:rPr>
          <w:sz w:val="22"/>
        </w:rPr>
        <w:t>for</w:t>
      </w:r>
      <w:r>
        <w:rPr>
          <w:spacing w:val="-6"/>
          <w:sz w:val="22"/>
        </w:rPr>
        <w:t> </w:t>
      </w:r>
      <w:r>
        <w:rPr>
          <w:sz w:val="22"/>
        </w:rPr>
        <w:t>every</w:t>
      </w:r>
      <w:r>
        <w:rPr>
          <w:spacing w:val="-7"/>
          <w:sz w:val="22"/>
        </w:rPr>
        <w:t> </w:t>
      </w:r>
      <w:r>
        <w:rPr>
          <w:sz w:val="22"/>
        </w:rPr>
        <w:t>engaged</w:t>
      </w:r>
      <w:r>
        <w:rPr>
          <w:spacing w:val="-4"/>
          <w:sz w:val="22"/>
        </w:rPr>
        <w:t> </w:t>
      </w:r>
      <w:r>
        <w:rPr>
          <w:spacing w:val="-2"/>
          <w:sz w:val="22"/>
        </w:rPr>
        <w:t>member</w:t>
      </w:r>
    </w:p>
    <w:p>
      <w:pPr>
        <w:pStyle w:val="ListParagraph"/>
        <w:numPr>
          <w:ilvl w:val="3"/>
          <w:numId w:val="68"/>
        </w:numPr>
        <w:tabs>
          <w:tab w:pos="2300" w:val="left" w:leader="none"/>
        </w:tabs>
        <w:spacing w:line="240" w:lineRule="auto" w:before="0" w:after="0"/>
        <w:ind w:left="2300" w:right="1095" w:hanging="721"/>
        <w:jc w:val="left"/>
        <w:rPr>
          <w:sz w:val="22"/>
        </w:rPr>
      </w:pPr>
      <w:r>
        <w:rPr>
          <w:sz w:val="22"/>
        </w:rPr>
        <w:t>Coordinating</w:t>
      </w:r>
      <w:r>
        <w:rPr>
          <w:spacing w:val="-10"/>
          <w:sz w:val="22"/>
        </w:rPr>
        <w:t> </w:t>
      </w:r>
      <w:r>
        <w:rPr>
          <w:sz w:val="22"/>
        </w:rPr>
        <w:t>services</w:t>
      </w:r>
      <w:r>
        <w:rPr>
          <w:spacing w:val="-7"/>
          <w:sz w:val="22"/>
        </w:rPr>
        <w:t> </w:t>
      </w:r>
      <w:r>
        <w:rPr>
          <w:sz w:val="22"/>
        </w:rPr>
        <w:t>across</w:t>
      </w:r>
      <w:r>
        <w:rPr>
          <w:spacing w:val="-7"/>
          <w:sz w:val="22"/>
        </w:rPr>
        <w:t> </w:t>
      </w:r>
      <w:r>
        <w:rPr>
          <w:sz w:val="22"/>
        </w:rPr>
        <w:t>the</w:t>
      </w:r>
      <w:r>
        <w:rPr>
          <w:spacing w:val="-9"/>
          <w:sz w:val="22"/>
        </w:rPr>
        <w:t> </w:t>
      </w:r>
      <w:r>
        <w:rPr>
          <w:sz w:val="22"/>
        </w:rPr>
        <w:t>care</w:t>
      </w:r>
      <w:r>
        <w:rPr>
          <w:spacing w:val="-7"/>
          <w:sz w:val="22"/>
        </w:rPr>
        <w:t> </w:t>
      </w:r>
      <w:r>
        <w:rPr>
          <w:sz w:val="22"/>
        </w:rPr>
        <w:t>continuum</w:t>
      </w:r>
      <w:r>
        <w:rPr>
          <w:spacing w:val="-11"/>
          <w:sz w:val="22"/>
        </w:rPr>
        <w:t> </w:t>
      </w:r>
      <w:r>
        <w:rPr>
          <w:sz w:val="22"/>
        </w:rPr>
        <w:t>to</w:t>
      </w:r>
      <w:r>
        <w:rPr>
          <w:spacing w:val="-7"/>
          <w:sz w:val="22"/>
        </w:rPr>
        <w:t> </w:t>
      </w:r>
      <w:r>
        <w:rPr>
          <w:sz w:val="22"/>
        </w:rPr>
        <w:t>ensure</w:t>
      </w:r>
      <w:r>
        <w:rPr>
          <w:spacing w:val="-9"/>
          <w:sz w:val="22"/>
        </w:rPr>
        <w:t> </w:t>
      </w:r>
      <w:r>
        <w:rPr>
          <w:sz w:val="22"/>
        </w:rPr>
        <w:t>that</w:t>
      </w:r>
      <w:r>
        <w:rPr>
          <w:spacing w:val="-6"/>
          <w:sz w:val="22"/>
        </w:rPr>
        <w:t> </w:t>
      </w:r>
      <w:r>
        <w:rPr>
          <w:sz w:val="22"/>
        </w:rPr>
        <w:t>the</w:t>
      </w:r>
      <w:r>
        <w:rPr>
          <w:spacing w:val="-7"/>
          <w:sz w:val="22"/>
        </w:rPr>
        <w:t> </w:t>
      </w:r>
      <w:r>
        <w:rPr>
          <w:sz w:val="22"/>
        </w:rPr>
        <w:t>member</w:t>
      </w:r>
      <w:r>
        <w:rPr>
          <w:spacing w:val="-6"/>
          <w:sz w:val="22"/>
        </w:rPr>
        <w:t> </w:t>
      </w:r>
      <w:r>
        <w:rPr>
          <w:sz w:val="22"/>
        </w:rPr>
        <w:t>is</w:t>
      </w:r>
      <w:r>
        <w:rPr>
          <w:spacing w:val="-9"/>
          <w:sz w:val="22"/>
        </w:rPr>
        <w:t> </w:t>
      </w:r>
      <w:r>
        <w:rPr>
          <w:sz w:val="22"/>
        </w:rPr>
        <w:t>in</w:t>
      </w:r>
      <w:r>
        <w:rPr>
          <w:spacing w:val="-9"/>
          <w:sz w:val="22"/>
        </w:rPr>
        <w:t> </w:t>
      </w:r>
      <w:r>
        <w:rPr>
          <w:sz w:val="22"/>
        </w:rPr>
        <w:t>the</w:t>
      </w:r>
      <w:r>
        <w:rPr>
          <w:spacing w:val="-7"/>
          <w:sz w:val="22"/>
        </w:rPr>
        <w:t> </w:t>
      </w:r>
      <w:r>
        <w:rPr>
          <w:sz w:val="22"/>
        </w:rPr>
        <w:t>right</w:t>
      </w:r>
      <w:r>
        <w:rPr>
          <w:spacing w:val="-6"/>
          <w:sz w:val="22"/>
        </w:rPr>
        <w:t> </w:t>
      </w:r>
      <w:r>
        <w:rPr>
          <w:sz w:val="22"/>
        </w:rPr>
        <w:t>place for the right services at the right time</w:t>
      </w:r>
    </w:p>
    <w:p>
      <w:pPr>
        <w:pStyle w:val="ListParagraph"/>
        <w:numPr>
          <w:ilvl w:val="3"/>
          <w:numId w:val="68"/>
        </w:numPr>
        <w:tabs>
          <w:tab w:pos="2300" w:val="left" w:leader="none"/>
        </w:tabs>
        <w:spacing w:line="252" w:lineRule="exact" w:before="0" w:after="0"/>
        <w:ind w:left="2300" w:right="0" w:hanging="720"/>
        <w:jc w:val="left"/>
        <w:rPr>
          <w:sz w:val="22"/>
        </w:rPr>
      </w:pPr>
      <w:r>
        <w:rPr>
          <w:sz w:val="22"/>
        </w:rPr>
        <w:t>Supporting</w:t>
      </w:r>
      <w:r>
        <w:rPr>
          <w:spacing w:val="-8"/>
          <w:sz w:val="22"/>
        </w:rPr>
        <w:t> </w:t>
      </w:r>
      <w:r>
        <w:rPr>
          <w:sz w:val="22"/>
        </w:rPr>
        <w:t>transitions</w:t>
      </w:r>
      <w:r>
        <w:rPr>
          <w:spacing w:val="-4"/>
          <w:sz w:val="22"/>
        </w:rPr>
        <w:t> </w:t>
      </w:r>
      <w:r>
        <w:rPr>
          <w:sz w:val="22"/>
        </w:rPr>
        <w:t>between</w:t>
      </w:r>
      <w:r>
        <w:rPr>
          <w:spacing w:val="-4"/>
          <w:sz w:val="22"/>
        </w:rPr>
        <w:t> </w:t>
      </w:r>
      <w:r>
        <w:rPr>
          <w:sz w:val="22"/>
        </w:rPr>
        <w:t>care</w:t>
      </w:r>
      <w:r>
        <w:rPr>
          <w:spacing w:val="-6"/>
          <w:sz w:val="22"/>
        </w:rPr>
        <w:t> </w:t>
      </w:r>
      <w:r>
        <w:rPr>
          <w:spacing w:val="-2"/>
          <w:sz w:val="22"/>
        </w:rPr>
        <w:t>settings</w:t>
      </w:r>
    </w:p>
    <w:p>
      <w:pPr>
        <w:pStyle w:val="ListParagraph"/>
        <w:numPr>
          <w:ilvl w:val="3"/>
          <w:numId w:val="68"/>
        </w:numPr>
        <w:tabs>
          <w:tab w:pos="2300" w:val="left" w:leader="none"/>
        </w:tabs>
        <w:spacing w:line="252" w:lineRule="exact" w:before="0" w:after="0"/>
        <w:ind w:left="2300" w:right="0" w:hanging="720"/>
        <w:jc w:val="left"/>
        <w:rPr>
          <w:sz w:val="22"/>
        </w:rPr>
      </w:pPr>
      <w:r>
        <w:rPr>
          <w:sz w:val="22"/>
        </w:rPr>
        <w:t>Providing</w:t>
      </w:r>
      <w:r>
        <w:rPr>
          <w:spacing w:val="-8"/>
          <w:sz w:val="22"/>
        </w:rPr>
        <w:t> </w:t>
      </w:r>
      <w:r>
        <w:rPr>
          <w:sz w:val="22"/>
        </w:rPr>
        <w:t>health</w:t>
      </w:r>
      <w:r>
        <w:rPr>
          <w:spacing w:val="-5"/>
          <w:sz w:val="22"/>
        </w:rPr>
        <w:t> </w:t>
      </w:r>
      <w:r>
        <w:rPr>
          <w:sz w:val="22"/>
        </w:rPr>
        <w:t>and</w:t>
      </w:r>
      <w:r>
        <w:rPr>
          <w:spacing w:val="-3"/>
          <w:sz w:val="22"/>
        </w:rPr>
        <w:t> </w:t>
      </w:r>
      <w:r>
        <w:rPr>
          <w:sz w:val="22"/>
        </w:rPr>
        <w:t>wellness</w:t>
      </w:r>
      <w:r>
        <w:rPr>
          <w:spacing w:val="-2"/>
          <w:sz w:val="22"/>
        </w:rPr>
        <w:t> coaching</w:t>
      </w:r>
    </w:p>
    <w:p>
      <w:pPr>
        <w:pStyle w:val="ListParagraph"/>
        <w:numPr>
          <w:ilvl w:val="3"/>
          <w:numId w:val="68"/>
        </w:numPr>
        <w:tabs>
          <w:tab w:pos="2300" w:val="left" w:leader="none"/>
        </w:tabs>
        <w:spacing w:line="240" w:lineRule="auto" w:before="1" w:after="0"/>
        <w:ind w:left="2300" w:right="0" w:hanging="720"/>
        <w:jc w:val="left"/>
        <w:rPr>
          <w:sz w:val="22"/>
        </w:rPr>
      </w:pPr>
      <w:bookmarkStart w:name="4.3.2 BH CP Sub-Stream 2: Infrastructure" w:id="1296"/>
      <w:bookmarkEnd w:id="1296"/>
      <w:r>
        <w:rPr/>
      </w:r>
      <w:bookmarkStart w:name="_bookmark42" w:id="1297"/>
      <w:bookmarkEnd w:id="1297"/>
      <w:r>
        <w:rPr/>
      </w:r>
      <w:r>
        <w:rPr>
          <w:sz w:val="22"/>
        </w:rPr>
        <w:t>Facilitating</w:t>
      </w:r>
      <w:r>
        <w:rPr>
          <w:spacing w:val="-6"/>
          <w:sz w:val="22"/>
        </w:rPr>
        <w:t> </w:t>
      </w:r>
      <w:r>
        <w:rPr>
          <w:sz w:val="22"/>
        </w:rPr>
        <w:t>access</w:t>
      </w:r>
      <w:r>
        <w:rPr>
          <w:spacing w:val="-5"/>
          <w:sz w:val="22"/>
        </w:rPr>
        <w:t> </w:t>
      </w:r>
      <w:r>
        <w:rPr>
          <w:sz w:val="22"/>
        </w:rPr>
        <w:t>and</w:t>
      </w:r>
      <w:r>
        <w:rPr>
          <w:spacing w:val="-6"/>
          <w:sz w:val="22"/>
        </w:rPr>
        <w:t> </w:t>
      </w:r>
      <w:r>
        <w:rPr>
          <w:sz w:val="22"/>
        </w:rPr>
        <w:t>referrals</w:t>
      </w:r>
      <w:r>
        <w:rPr>
          <w:spacing w:val="-5"/>
          <w:sz w:val="22"/>
        </w:rPr>
        <w:t> </w:t>
      </w:r>
      <w:r>
        <w:rPr>
          <w:sz w:val="22"/>
        </w:rPr>
        <w:t>to</w:t>
      </w:r>
      <w:r>
        <w:rPr>
          <w:spacing w:val="-3"/>
          <w:sz w:val="22"/>
        </w:rPr>
        <w:t> </w:t>
      </w:r>
      <w:r>
        <w:rPr>
          <w:sz w:val="22"/>
        </w:rPr>
        <w:t>social</w:t>
      </w:r>
      <w:r>
        <w:rPr>
          <w:spacing w:val="-5"/>
          <w:sz w:val="22"/>
        </w:rPr>
        <w:t> </w:t>
      </w:r>
      <w:r>
        <w:rPr>
          <w:sz w:val="22"/>
        </w:rPr>
        <w:t>services</w:t>
      </w:r>
      <w:r>
        <w:rPr>
          <w:spacing w:val="-3"/>
          <w:sz w:val="22"/>
        </w:rPr>
        <w:t> </w:t>
      </w:r>
      <w:r>
        <w:rPr>
          <w:sz w:val="22"/>
        </w:rPr>
        <w:t>and</w:t>
      </w:r>
      <w:r>
        <w:rPr>
          <w:spacing w:val="-6"/>
          <w:sz w:val="22"/>
        </w:rPr>
        <w:t> </w:t>
      </w:r>
      <w:r>
        <w:rPr>
          <w:sz w:val="22"/>
        </w:rPr>
        <w:t>other</w:t>
      </w:r>
      <w:r>
        <w:rPr>
          <w:spacing w:val="-3"/>
          <w:sz w:val="22"/>
        </w:rPr>
        <w:t> </w:t>
      </w:r>
      <w:r>
        <w:rPr>
          <w:sz w:val="22"/>
        </w:rPr>
        <w:t>community</w:t>
      </w:r>
      <w:r>
        <w:rPr>
          <w:spacing w:val="-5"/>
          <w:sz w:val="22"/>
        </w:rPr>
        <w:t> </w:t>
      </w:r>
      <w:r>
        <w:rPr>
          <w:spacing w:val="-2"/>
          <w:sz w:val="22"/>
        </w:rPr>
        <w:t>services</w:t>
      </w:r>
    </w:p>
    <w:p>
      <w:pPr>
        <w:pStyle w:val="ListParagraph"/>
        <w:numPr>
          <w:ilvl w:val="2"/>
          <w:numId w:val="68"/>
        </w:numPr>
        <w:tabs>
          <w:tab w:pos="1939" w:val="left" w:leader="none"/>
        </w:tabs>
        <w:spacing w:line="252" w:lineRule="exact" w:before="200" w:after="0"/>
        <w:ind w:left="1939" w:right="0" w:hanging="719"/>
        <w:jc w:val="both"/>
        <w:rPr>
          <w:b/>
          <w:color w:val="4471C4"/>
          <w:sz w:val="22"/>
        </w:rPr>
      </w:pPr>
      <w:r>
        <w:rPr>
          <w:b/>
          <w:color w:val="4471C4"/>
          <w:sz w:val="22"/>
        </w:rPr>
        <w:t>BH</w:t>
      </w:r>
      <w:r>
        <w:rPr>
          <w:b/>
          <w:color w:val="4471C4"/>
          <w:spacing w:val="-6"/>
          <w:sz w:val="22"/>
        </w:rPr>
        <w:t> </w:t>
      </w:r>
      <w:r>
        <w:rPr>
          <w:b/>
          <w:color w:val="4471C4"/>
          <w:sz w:val="22"/>
        </w:rPr>
        <w:t>CP</w:t>
      </w:r>
      <w:r>
        <w:rPr>
          <w:b/>
          <w:color w:val="4471C4"/>
          <w:spacing w:val="-6"/>
          <w:sz w:val="22"/>
        </w:rPr>
        <w:t> </w:t>
      </w:r>
      <w:r>
        <w:rPr>
          <w:b/>
          <w:color w:val="4471C4"/>
          <w:sz w:val="22"/>
        </w:rPr>
        <w:t>Sub-Stream</w:t>
      </w:r>
      <w:r>
        <w:rPr>
          <w:b/>
          <w:color w:val="4471C4"/>
          <w:spacing w:val="-4"/>
          <w:sz w:val="22"/>
        </w:rPr>
        <w:t> </w:t>
      </w:r>
      <w:r>
        <w:rPr>
          <w:b/>
          <w:color w:val="4471C4"/>
          <w:sz w:val="22"/>
        </w:rPr>
        <w:t>2:</w:t>
      </w:r>
      <w:r>
        <w:rPr>
          <w:b/>
          <w:color w:val="4471C4"/>
          <w:spacing w:val="-3"/>
          <w:sz w:val="22"/>
        </w:rPr>
        <w:t> </w:t>
      </w:r>
      <w:r>
        <w:rPr>
          <w:b/>
          <w:color w:val="4471C4"/>
          <w:sz w:val="22"/>
        </w:rPr>
        <w:t>Infrastructure</w:t>
      </w:r>
      <w:r>
        <w:rPr>
          <w:b/>
          <w:color w:val="4471C4"/>
          <w:spacing w:val="-5"/>
          <w:sz w:val="22"/>
        </w:rPr>
        <w:t> </w:t>
      </w:r>
      <w:r>
        <w:rPr>
          <w:b/>
          <w:color w:val="4471C4"/>
          <w:sz w:val="22"/>
        </w:rPr>
        <w:t>and</w:t>
      </w:r>
      <w:r>
        <w:rPr>
          <w:b/>
          <w:color w:val="4471C4"/>
          <w:spacing w:val="-6"/>
          <w:sz w:val="22"/>
        </w:rPr>
        <w:t> </w:t>
      </w:r>
      <w:r>
        <w:rPr>
          <w:b/>
          <w:color w:val="4471C4"/>
          <w:sz w:val="22"/>
        </w:rPr>
        <w:t>Capacity</w:t>
      </w:r>
      <w:r>
        <w:rPr>
          <w:b/>
          <w:color w:val="4471C4"/>
          <w:spacing w:val="-7"/>
          <w:sz w:val="22"/>
        </w:rPr>
        <w:t> </w:t>
      </w:r>
      <w:r>
        <w:rPr>
          <w:b/>
          <w:color w:val="4471C4"/>
          <w:sz w:val="22"/>
        </w:rPr>
        <w:t>Building</w:t>
      </w:r>
      <w:r>
        <w:rPr>
          <w:b/>
          <w:color w:val="4471C4"/>
          <w:spacing w:val="-7"/>
          <w:sz w:val="22"/>
        </w:rPr>
        <w:t> </w:t>
      </w:r>
      <w:r>
        <w:rPr>
          <w:b/>
          <w:color w:val="4471C4"/>
          <w:spacing w:val="-2"/>
          <w:sz w:val="22"/>
        </w:rPr>
        <w:t>Funding</w:t>
      </w:r>
    </w:p>
    <w:p>
      <w:pPr>
        <w:spacing w:line="242" w:lineRule="auto" w:before="0"/>
        <w:ind w:left="1220" w:right="1095" w:firstLine="0"/>
        <w:jc w:val="both"/>
        <w:rPr>
          <w:sz w:val="22"/>
        </w:rPr>
      </w:pPr>
      <w:r>
        <w:rPr>
          <w:sz w:val="22"/>
        </w:rPr>
        <w:t>BH</w:t>
      </w:r>
      <w:r>
        <w:rPr>
          <w:spacing w:val="-1"/>
          <w:sz w:val="22"/>
        </w:rPr>
        <w:t> </w:t>
      </w:r>
      <w:r>
        <w:rPr>
          <w:sz w:val="22"/>
        </w:rPr>
        <w:t>CPs will</w:t>
      </w:r>
      <w:r>
        <w:rPr>
          <w:spacing w:val="-1"/>
          <w:sz w:val="22"/>
        </w:rPr>
        <w:t> </w:t>
      </w:r>
      <w:r>
        <w:rPr>
          <w:sz w:val="22"/>
        </w:rPr>
        <w:t>receive funds</w:t>
      </w:r>
      <w:r>
        <w:rPr>
          <w:spacing w:val="-2"/>
          <w:sz w:val="22"/>
        </w:rPr>
        <w:t> </w:t>
      </w:r>
      <w:r>
        <w:rPr>
          <w:sz w:val="22"/>
        </w:rPr>
        <w:t>under</w:t>
      </w:r>
      <w:r>
        <w:rPr>
          <w:spacing w:val="-1"/>
          <w:sz w:val="22"/>
        </w:rPr>
        <w:t> </w:t>
      </w:r>
      <w:r>
        <w:rPr>
          <w:sz w:val="22"/>
        </w:rPr>
        <w:t>BH</w:t>
      </w:r>
      <w:r>
        <w:rPr>
          <w:spacing w:val="-1"/>
          <w:sz w:val="22"/>
        </w:rPr>
        <w:t> </w:t>
      </w:r>
      <w:r>
        <w:rPr>
          <w:sz w:val="22"/>
        </w:rPr>
        <w:t>CP sub-stream</w:t>
      </w:r>
      <w:r>
        <w:rPr>
          <w:spacing w:val="-4"/>
          <w:sz w:val="22"/>
        </w:rPr>
        <w:t> </w:t>
      </w:r>
      <w:r>
        <w:rPr>
          <w:sz w:val="22"/>
        </w:rPr>
        <w:t>2</w:t>
      </w:r>
      <w:r>
        <w:rPr>
          <w:spacing w:val="-2"/>
          <w:sz w:val="22"/>
        </w:rPr>
        <w:t> </w:t>
      </w:r>
      <w:r>
        <w:rPr>
          <w:sz w:val="22"/>
        </w:rPr>
        <w:t>to make infrastructure</w:t>
      </w:r>
      <w:r>
        <w:rPr>
          <w:spacing w:val="-2"/>
          <w:sz w:val="22"/>
        </w:rPr>
        <w:t> </w:t>
      </w:r>
      <w:r>
        <w:rPr>
          <w:sz w:val="22"/>
        </w:rPr>
        <w:t>investments</w:t>
      </w:r>
      <w:r>
        <w:rPr>
          <w:spacing w:val="-2"/>
          <w:sz w:val="22"/>
        </w:rPr>
        <w:t> </w:t>
      </w:r>
      <w:r>
        <w:rPr>
          <w:sz w:val="22"/>
        </w:rPr>
        <w:t>to</w:t>
      </w:r>
      <w:r>
        <w:rPr>
          <w:spacing w:val="-2"/>
          <w:sz w:val="22"/>
        </w:rPr>
        <w:t> </w:t>
      </w:r>
      <w:r>
        <w:rPr>
          <w:sz w:val="22"/>
        </w:rPr>
        <w:t>advance</w:t>
      </w:r>
      <w:r>
        <w:rPr>
          <w:spacing w:val="-2"/>
          <w:sz w:val="22"/>
        </w:rPr>
        <w:t> </w:t>
      </w:r>
      <w:r>
        <w:rPr>
          <w:sz w:val="22"/>
        </w:rPr>
        <w:t>their capabilities to support their member populations and to form partnerships with MCOs and ACOs. Infrastructure funding for BH CPs will be disbursed across four categories:</w:t>
      </w:r>
    </w:p>
    <w:p>
      <w:pPr>
        <w:pStyle w:val="ListParagraph"/>
        <w:numPr>
          <w:ilvl w:val="3"/>
          <w:numId w:val="68"/>
        </w:numPr>
        <w:tabs>
          <w:tab w:pos="2300" w:val="left" w:leader="none"/>
        </w:tabs>
        <w:spacing w:line="240" w:lineRule="auto" w:before="152" w:after="0"/>
        <w:ind w:left="2300" w:right="1094" w:hanging="720"/>
        <w:jc w:val="both"/>
        <w:rPr>
          <w:sz w:val="22"/>
        </w:rPr>
      </w:pPr>
      <w:r>
        <w:rPr>
          <w:sz w:val="22"/>
        </w:rPr>
        <w:t>Technology</w:t>
      </w:r>
      <w:r>
        <w:rPr>
          <w:spacing w:val="-13"/>
          <w:sz w:val="22"/>
        </w:rPr>
        <w:t> </w:t>
      </w:r>
      <w:r>
        <w:rPr>
          <w:sz w:val="22"/>
        </w:rPr>
        <w:t>–</w:t>
      </w:r>
      <w:r>
        <w:rPr>
          <w:spacing w:val="-11"/>
          <w:sz w:val="22"/>
        </w:rPr>
        <w:t> </w:t>
      </w:r>
      <w:r>
        <w:rPr>
          <w:sz w:val="22"/>
        </w:rPr>
        <w:t>e.g.,</w:t>
      </w:r>
      <w:r>
        <w:rPr>
          <w:spacing w:val="-11"/>
          <w:sz w:val="22"/>
        </w:rPr>
        <w:t> </w:t>
      </w:r>
      <w:r>
        <w:rPr>
          <w:sz w:val="22"/>
        </w:rPr>
        <w:t>HIT</w:t>
      </w:r>
      <w:r>
        <w:rPr>
          <w:spacing w:val="-9"/>
          <w:sz w:val="22"/>
        </w:rPr>
        <w:t> </w:t>
      </w:r>
      <w:r>
        <w:rPr>
          <w:sz w:val="22"/>
        </w:rPr>
        <w:t>and</w:t>
      </w:r>
      <w:r>
        <w:rPr>
          <w:spacing w:val="-14"/>
          <w:sz w:val="22"/>
        </w:rPr>
        <w:t> </w:t>
      </w:r>
      <w:r>
        <w:rPr>
          <w:sz w:val="22"/>
        </w:rPr>
        <w:t>care</w:t>
      </w:r>
      <w:r>
        <w:rPr>
          <w:spacing w:val="-12"/>
          <w:sz w:val="22"/>
        </w:rPr>
        <w:t> </w:t>
      </w:r>
      <w:r>
        <w:rPr>
          <w:sz w:val="22"/>
        </w:rPr>
        <w:t>management</w:t>
      </w:r>
      <w:r>
        <w:rPr>
          <w:spacing w:val="-10"/>
          <w:sz w:val="22"/>
        </w:rPr>
        <w:t> </w:t>
      </w:r>
      <w:r>
        <w:rPr>
          <w:sz w:val="22"/>
        </w:rPr>
        <w:t>software,</w:t>
      </w:r>
      <w:r>
        <w:rPr>
          <w:spacing w:val="-14"/>
          <w:sz w:val="22"/>
        </w:rPr>
        <w:t> </w:t>
      </w:r>
      <w:r>
        <w:rPr>
          <w:sz w:val="22"/>
        </w:rPr>
        <w:t>IT</w:t>
      </w:r>
      <w:r>
        <w:rPr>
          <w:spacing w:val="-9"/>
          <w:sz w:val="22"/>
        </w:rPr>
        <w:t> </w:t>
      </w:r>
      <w:r>
        <w:rPr>
          <w:sz w:val="22"/>
        </w:rPr>
        <w:t>project</w:t>
      </w:r>
      <w:r>
        <w:rPr>
          <w:spacing w:val="-12"/>
          <w:sz w:val="22"/>
        </w:rPr>
        <w:t> </w:t>
      </w:r>
      <w:r>
        <w:rPr>
          <w:sz w:val="22"/>
        </w:rPr>
        <w:t>management</w:t>
      </w:r>
      <w:r>
        <w:rPr>
          <w:spacing w:val="-10"/>
          <w:sz w:val="22"/>
        </w:rPr>
        <w:t> </w:t>
      </w:r>
      <w:r>
        <w:rPr>
          <w:sz w:val="22"/>
        </w:rPr>
        <w:t>resources,</w:t>
      </w:r>
      <w:r>
        <w:rPr>
          <w:spacing w:val="-11"/>
          <w:sz w:val="22"/>
        </w:rPr>
        <w:t> </w:t>
      </w:r>
      <w:r>
        <w:rPr>
          <w:sz w:val="22"/>
        </w:rPr>
        <w:t>data analytics capabilities, mobile technology including tablets, laptops and smartphones for CP staff, service delivery technology such as remote monitoring or electronic medication dispensers, and reporting software</w:t>
      </w:r>
    </w:p>
    <w:p>
      <w:pPr>
        <w:pStyle w:val="ListParagraph"/>
        <w:numPr>
          <w:ilvl w:val="3"/>
          <w:numId w:val="68"/>
        </w:numPr>
        <w:tabs>
          <w:tab w:pos="2298" w:val="left" w:leader="none"/>
          <w:tab w:pos="2300" w:val="left" w:leader="none"/>
        </w:tabs>
        <w:spacing w:line="240" w:lineRule="auto" w:before="1" w:after="0"/>
        <w:ind w:left="2300" w:right="1095" w:hanging="721"/>
        <w:jc w:val="both"/>
        <w:rPr>
          <w:sz w:val="22"/>
        </w:rPr>
      </w:pPr>
      <w:r>
        <w:rPr>
          <w:sz w:val="22"/>
        </w:rPr>
        <w:t>Workforce Development - e.g., recruitment support, training and coaching programs and </w:t>
      </w:r>
      <w:r>
        <w:rPr>
          <w:spacing w:val="-2"/>
          <w:sz w:val="22"/>
        </w:rPr>
        <w:t>certifications</w:t>
      </w:r>
    </w:p>
    <w:p>
      <w:pPr>
        <w:pStyle w:val="ListParagraph"/>
        <w:numPr>
          <w:ilvl w:val="3"/>
          <w:numId w:val="68"/>
        </w:numPr>
        <w:tabs>
          <w:tab w:pos="2299" w:val="left" w:leader="none"/>
        </w:tabs>
        <w:spacing w:line="251" w:lineRule="exact" w:before="0" w:after="0"/>
        <w:ind w:left="2299" w:right="0" w:hanging="719"/>
        <w:jc w:val="both"/>
        <w:rPr>
          <w:sz w:val="22"/>
        </w:rPr>
      </w:pPr>
      <w:r>
        <w:rPr>
          <w:sz w:val="22"/>
        </w:rPr>
        <w:t>Business</w:t>
      </w:r>
      <w:r>
        <w:rPr>
          <w:spacing w:val="-3"/>
          <w:sz w:val="22"/>
        </w:rPr>
        <w:t> </w:t>
      </w:r>
      <w:r>
        <w:rPr>
          <w:sz w:val="22"/>
        </w:rPr>
        <w:t>Startup</w:t>
      </w:r>
      <w:r>
        <w:rPr>
          <w:spacing w:val="-3"/>
          <w:sz w:val="22"/>
        </w:rPr>
        <w:t> </w:t>
      </w:r>
      <w:r>
        <w:rPr>
          <w:sz w:val="22"/>
        </w:rPr>
        <w:t>Costs</w:t>
      </w:r>
      <w:r>
        <w:rPr>
          <w:spacing w:val="-3"/>
          <w:sz w:val="22"/>
        </w:rPr>
        <w:t> </w:t>
      </w:r>
      <w:r>
        <w:rPr>
          <w:sz w:val="22"/>
        </w:rPr>
        <w:t>–</w:t>
      </w:r>
      <w:r>
        <w:rPr>
          <w:spacing w:val="-3"/>
          <w:sz w:val="22"/>
        </w:rPr>
        <w:t> </w:t>
      </w:r>
      <w:r>
        <w:rPr>
          <w:sz w:val="22"/>
        </w:rPr>
        <w:t>e.g.,</w:t>
      </w:r>
      <w:r>
        <w:rPr>
          <w:spacing w:val="-2"/>
          <w:sz w:val="22"/>
        </w:rPr>
        <w:t> </w:t>
      </w:r>
      <w:r>
        <w:rPr>
          <w:sz w:val="22"/>
        </w:rPr>
        <w:t>staffing</w:t>
      </w:r>
      <w:r>
        <w:rPr>
          <w:spacing w:val="-6"/>
          <w:sz w:val="22"/>
        </w:rPr>
        <w:t> </w:t>
      </w:r>
      <w:r>
        <w:rPr>
          <w:sz w:val="22"/>
        </w:rPr>
        <w:t>and</w:t>
      </w:r>
      <w:r>
        <w:rPr>
          <w:spacing w:val="-3"/>
          <w:sz w:val="22"/>
        </w:rPr>
        <w:t> </w:t>
      </w:r>
      <w:r>
        <w:rPr>
          <w:sz w:val="22"/>
        </w:rPr>
        <w:t>startup</w:t>
      </w:r>
      <w:r>
        <w:rPr>
          <w:spacing w:val="-3"/>
          <w:sz w:val="22"/>
        </w:rPr>
        <w:t> </w:t>
      </w:r>
      <w:r>
        <w:rPr>
          <w:sz w:val="22"/>
        </w:rPr>
        <w:t>costs</w:t>
      </w:r>
      <w:r>
        <w:rPr>
          <w:spacing w:val="-2"/>
          <w:sz w:val="22"/>
        </w:rPr>
        <w:t> </w:t>
      </w:r>
      <w:r>
        <w:rPr>
          <w:sz w:val="22"/>
        </w:rPr>
        <w:t>to</w:t>
      </w:r>
      <w:r>
        <w:rPr>
          <w:spacing w:val="-3"/>
          <w:sz w:val="22"/>
        </w:rPr>
        <w:t> </w:t>
      </w:r>
      <w:r>
        <w:rPr>
          <w:sz w:val="22"/>
        </w:rPr>
        <w:t>develop</w:t>
      </w:r>
      <w:r>
        <w:rPr>
          <w:spacing w:val="-6"/>
          <w:sz w:val="22"/>
        </w:rPr>
        <w:t> </w:t>
      </w:r>
      <w:r>
        <w:rPr>
          <w:sz w:val="22"/>
        </w:rPr>
        <w:t>full</w:t>
      </w:r>
      <w:r>
        <w:rPr>
          <w:spacing w:val="-1"/>
          <w:sz w:val="22"/>
        </w:rPr>
        <w:t> </w:t>
      </w:r>
      <w:r>
        <w:rPr>
          <w:spacing w:val="-2"/>
          <w:sz w:val="22"/>
        </w:rPr>
        <w:t>caseloads.</w:t>
      </w:r>
    </w:p>
    <w:p>
      <w:pPr>
        <w:pStyle w:val="ListParagraph"/>
        <w:numPr>
          <w:ilvl w:val="3"/>
          <w:numId w:val="68"/>
        </w:numPr>
        <w:tabs>
          <w:tab w:pos="2298" w:val="left" w:leader="none"/>
          <w:tab w:pos="2300" w:val="left" w:leader="none"/>
        </w:tabs>
        <w:spacing w:line="240" w:lineRule="auto" w:before="1" w:after="0"/>
        <w:ind w:left="2300" w:right="1094" w:hanging="721"/>
        <w:jc w:val="both"/>
        <w:rPr>
          <w:sz w:val="22"/>
        </w:rPr>
      </w:pPr>
      <w:r>
        <w:rPr>
          <w:sz w:val="22"/>
        </w:rPr>
        <w:t>Operational Infrastructure – e.g., project management, system change resources and performance management capabilities, additional operational support.</w:t>
      </w:r>
    </w:p>
    <w:p>
      <w:pPr>
        <w:spacing w:after="0" w:line="240" w:lineRule="auto"/>
        <w:jc w:val="both"/>
        <w:rPr>
          <w:sz w:val="22"/>
        </w:rPr>
        <w:sectPr>
          <w:pgSz w:w="12240" w:h="15840"/>
          <w:pgMar w:header="0" w:footer="967" w:top="1360" w:bottom="1160" w:left="220" w:right="340"/>
        </w:sectPr>
      </w:pPr>
    </w:p>
    <w:p>
      <w:pPr>
        <w:pStyle w:val="ListParagraph"/>
        <w:numPr>
          <w:ilvl w:val="2"/>
          <w:numId w:val="68"/>
        </w:numPr>
        <w:tabs>
          <w:tab w:pos="1938" w:val="left" w:leader="none"/>
        </w:tabs>
        <w:spacing w:line="252" w:lineRule="exact" w:before="78" w:after="0"/>
        <w:ind w:left="1938" w:right="0" w:hanging="719"/>
        <w:jc w:val="both"/>
        <w:rPr>
          <w:b/>
          <w:color w:val="4471C4"/>
          <w:sz w:val="22"/>
        </w:rPr>
      </w:pPr>
      <w:bookmarkStart w:name="4.3.3 BH CP Sub-Stream 3: Outcomes-Based" w:id="1298"/>
      <w:bookmarkEnd w:id="1298"/>
      <w:r>
        <w:rPr/>
      </w:r>
      <w:bookmarkStart w:name="_bookmark43" w:id="1299"/>
      <w:bookmarkEnd w:id="1299"/>
      <w:r>
        <w:rPr/>
      </w:r>
      <w:r>
        <w:rPr>
          <w:b/>
          <w:color w:val="4471C4"/>
          <w:sz w:val="22"/>
        </w:rPr>
        <w:t>BH</w:t>
      </w:r>
      <w:r>
        <w:rPr>
          <w:b/>
          <w:color w:val="4471C4"/>
          <w:spacing w:val="-4"/>
          <w:sz w:val="22"/>
        </w:rPr>
        <w:t> </w:t>
      </w:r>
      <w:r>
        <w:rPr>
          <w:b/>
          <w:color w:val="4471C4"/>
          <w:sz w:val="22"/>
        </w:rPr>
        <w:t>CP</w:t>
      </w:r>
      <w:r>
        <w:rPr>
          <w:b/>
          <w:color w:val="4471C4"/>
          <w:spacing w:val="-6"/>
          <w:sz w:val="22"/>
        </w:rPr>
        <w:t> </w:t>
      </w:r>
      <w:r>
        <w:rPr>
          <w:b/>
          <w:color w:val="4471C4"/>
          <w:sz w:val="22"/>
        </w:rPr>
        <w:t>Sub-Stream</w:t>
      </w:r>
      <w:r>
        <w:rPr>
          <w:b/>
          <w:color w:val="4471C4"/>
          <w:spacing w:val="-3"/>
          <w:sz w:val="22"/>
        </w:rPr>
        <w:t> </w:t>
      </w:r>
      <w:r>
        <w:rPr>
          <w:b/>
          <w:color w:val="4471C4"/>
          <w:sz w:val="22"/>
        </w:rPr>
        <w:t>3:</w:t>
      </w:r>
      <w:r>
        <w:rPr>
          <w:b/>
          <w:color w:val="4471C4"/>
          <w:spacing w:val="-4"/>
          <w:sz w:val="22"/>
        </w:rPr>
        <w:t> </w:t>
      </w:r>
      <w:r>
        <w:rPr>
          <w:b/>
          <w:color w:val="4471C4"/>
          <w:sz w:val="22"/>
        </w:rPr>
        <w:t>Outcomes-Based</w:t>
      </w:r>
      <w:r>
        <w:rPr>
          <w:b/>
          <w:color w:val="4471C4"/>
          <w:spacing w:val="-7"/>
          <w:sz w:val="22"/>
        </w:rPr>
        <w:t> </w:t>
      </w:r>
      <w:r>
        <w:rPr>
          <w:b/>
          <w:color w:val="4471C4"/>
          <w:spacing w:val="-2"/>
          <w:sz w:val="22"/>
        </w:rPr>
        <w:t>Payments</w:t>
      </w:r>
    </w:p>
    <w:p>
      <w:pPr>
        <w:spacing w:line="242" w:lineRule="auto" w:before="0"/>
        <w:ind w:left="1220" w:right="1094" w:firstLine="0"/>
        <w:jc w:val="both"/>
        <w:rPr>
          <w:sz w:val="22"/>
        </w:rPr>
      </w:pPr>
      <w:r>
        <w:rPr>
          <w:sz w:val="22"/>
        </w:rPr>
        <w:t>BH</w:t>
      </w:r>
      <w:r>
        <w:rPr>
          <w:spacing w:val="-14"/>
          <w:sz w:val="22"/>
        </w:rPr>
        <w:t> </w:t>
      </w:r>
      <w:r>
        <w:rPr>
          <w:sz w:val="22"/>
        </w:rPr>
        <w:t>CPs</w:t>
      </w:r>
      <w:r>
        <w:rPr>
          <w:spacing w:val="-12"/>
          <w:sz w:val="22"/>
        </w:rPr>
        <w:t> </w:t>
      </w:r>
      <w:r>
        <w:rPr>
          <w:sz w:val="22"/>
        </w:rPr>
        <w:t>will</w:t>
      </w:r>
      <w:r>
        <w:rPr>
          <w:spacing w:val="-13"/>
          <w:sz w:val="22"/>
        </w:rPr>
        <w:t> </w:t>
      </w:r>
      <w:r>
        <w:rPr>
          <w:sz w:val="22"/>
        </w:rPr>
        <w:t>have</w:t>
      </w:r>
      <w:r>
        <w:rPr>
          <w:spacing w:val="-14"/>
          <w:sz w:val="22"/>
        </w:rPr>
        <w:t> </w:t>
      </w:r>
      <w:r>
        <w:rPr>
          <w:sz w:val="22"/>
        </w:rPr>
        <w:t>the</w:t>
      </w:r>
      <w:r>
        <w:rPr>
          <w:spacing w:val="-14"/>
          <w:sz w:val="22"/>
        </w:rPr>
        <w:t> </w:t>
      </w:r>
      <w:r>
        <w:rPr>
          <w:sz w:val="22"/>
        </w:rPr>
        <w:t>opportunity</w:t>
      </w:r>
      <w:r>
        <w:rPr>
          <w:spacing w:val="-13"/>
          <w:sz w:val="22"/>
        </w:rPr>
        <w:t> </w:t>
      </w:r>
      <w:r>
        <w:rPr>
          <w:sz w:val="22"/>
        </w:rPr>
        <w:t>to</w:t>
      </w:r>
      <w:r>
        <w:rPr>
          <w:spacing w:val="-14"/>
          <w:sz w:val="22"/>
        </w:rPr>
        <w:t> </w:t>
      </w:r>
      <w:r>
        <w:rPr>
          <w:sz w:val="22"/>
        </w:rPr>
        <w:t>earn</w:t>
      </w:r>
      <w:r>
        <w:rPr>
          <w:spacing w:val="-14"/>
          <w:sz w:val="22"/>
        </w:rPr>
        <w:t> </w:t>
      </w:r>
      <w:r>
        <w:rPr>
          <w:sz w:val="22"/>
        </w:rPr>
        <w:t>additional</w:t>
      </w:r>
      <w:r>
        <w:rPr>
          <w:spacing w:val="-11"/>
          <w:sz w:val="22"/>
        </w:rPr>
        <w:t> </w:t>
      </w:r>
      <w:r>
        <w:rPr>
          <w:sz w:val="22"/>
        </w:rPr>
        <w:t>payments</w:t>
      </w:r>
      <w:r>
        <w:rPr>
          <w:spacing w:val="-11"/>
          <w:sz w:val="22"/>
        </w:rPr>
        <w:t> </w:t>
      </w:r>
      <w:r>
        <w:rPr>
          <w:sz w:val="22"/>
        </w:rPr>
        <w:t>under</w:t>
      </w:r>
      <w:r>
        <w:rPr>
          <w:spacing w:val="-11"/>
          <w:sz w:val="22"/>
        </w:rPr>
        <w:t> </w:t>
      </w:r>
      <w:r>
        <w:rPr>
          <w:sz w:val="22"/>
        </w:rPr>
        <w:t>BH</w:t>
      </w:r>
      <w:r>
        <w:rPr>
          <w:spacing w:val="-13"/>
          <w:sz w:val="22"/>
        </w:rPr>
        <w:t> </w:t>
      </w:r>
      <w:r>
        <w:rPr>
          <w:sz w:val="22"/>
        </w:rPr>
        <w:t>CP</w:t>
      </w:r>
      <w:r>
        <w:rPr>
          <w:spacing w:val="-14"/>
          <w:sz w:val="22"/>
        </w:rPr>
        <w:t> </w:t>
      </w:r>
      <w:r>
        <w:rPr>
          <w:sz w:val="22"/>
        </w:rPr>
        <w:t>sub-stream</w:t>
      </w:r>
      <w:r>
        <w:rPr>
          <w:spacing w:val="-14"/>
          <w:sz w:val="22"/>
        </w:rPr>
        <w:t> </w:t>
      </w:r>
      <w:r>
        <w:rPr>
          <w:sz w:val="22"/>
        </w:rPr>
        <w:t>3</w:t>
      </w:r>
      <w:r>
        <w:rPr>
          <w:spacing w:val="-12"/>
          <w:sz w:val="22"/>
        </w:rPr>
        <w:t> </w:t>
      </w:r>
      <w:r>
        <w:rPr>
          <w:sz w:val="22"/>
        </w:rPr>
        <w:t>in</w:t>
      </w:r>
      <w:r>
        <w:rPr>
          <w:spacing w:val="-14"/>
          <w:sz w:val="22"/>
        </w:rPr>
        <w:t> </w:t>
      </w:r>
      <w:r>
        <w:rPr>
          <w:sz w:val="22"/>
        </w:rPr>
        <w:t>Budget</w:t>
      </w:r>
      <w:r>
        <w:rPr>
          <w:spacing w:val="-11"/>
          <w:sz w:val="22"/>
        </w:rPr>
        <w:t> </w:t>
      </w:r>
      <w:r>
        <w:rPr>
          <w:sz w:val="22"/>
        </w:rPr>
        <w:t>Periods 3 through 5 by</w:t>
      </w:r>
      <w:r>
        <w:rPr>
          <w:spacing w:val="-1"/>
          <w:sz w:val="22"/>
        </w:rPr>
        <w:t> </w:t>
      </w:r>
      <w:r>
        <w:rPr>
          <w:sz w:val="22"/>
        </w:rPr>
        <w:t>reaching</w:t>
      </w:r>
      <w:r>
        <w:rPr>
          <w:spacing w:val="-1"/>
          <w:sz w:val="22"/>
        </w:rPr>
        <w:t> </w:t>
      </w:r>
      <w:r>
        <w:rPr>
          <w:sz w:val="22"/>
        </w:rPr>
        <w:t>high levels of achievement on avoidable utilization metrics.</w:t>
      </w:r>
      <w:r>
        <w:rPr>
          <w:spacing w:val="-2"/>
          <w:sz w:val="22"/>
        </w:rPr>
        <w:t> </w:t>
      </w:r>
      <w:r>
        <w:rPr>
          <w:sz w:val="22"/>
        </w:rPr>
        <w:t>The State anticipates submitting</w:t>
      </w:r>
      <w:r>
        <w:rPr>
          <w:spacing w:val="-5"/>
          <w:sz w:val="22"/>
        </w:rPr>
        <w:t> </w:t>
      </w:r>
      <w:r>
        <w:rPr>
          <w:sz w:val="22"/>
        </w:rPr>
        <w:t>performance</w:t>
      </w:r>
      <w:r>
        <w:rPr>
          <w:spacing w:val="-2"/>
          <w:sz w:val="22"/>
        </w:rPr>
        <w:t> </w:t>
      </w:r>
      <w:r>
        <w:rPr>
          <w:sz w:val="22"/>
        </w:rPr>
        <w:t>targets</w:t>
      </w:r>
      <w:r>
        <w:rPr>
          <w:spacing w:val="-2"/>
          <w:sz w:val="22"/>
        </w:rPr>
        <w:t> </w:t>
      </w:r>
      <w:r>
        <w:rPr>
          <w:sz w:val="22"/>
        </w:rPr>
        <w:t>to</w:t>
      </w:r>
      <w:r>
        <w:rPr>
          <w:spacing w:val="-2"/>
          <w:sz w:val="22"/>
        </w:rPr>
        <w:t> </w:t>
      </w:r>
      <w:r>
        <w:rPr>
          <w:sz w:val="22"/>
        </w:rPr>
        <w:t>CMS</w:t>
      </w:r>
      <w:r>
        <w:rPr>
          <w:spacing w:val="-3"/>
          <w:sz w:val="22"/>
        </w:rPr>
        <w:t> </w:t>
      </w:r>
      <w:r>
        <w:rPr>
          <w:sz w:val="22"/>
        </w:rPr>
        <w:t>for</w:t>
      </w:r>
      <w:r>
        <w:rPr>
          <w:spacing w:val="-1"/>
          <w:sz w:val="22"/>
        </w:rPr>
        <w:t> </w:t>
      </w:r>
      <w:r>
        <w:rPr>
          <w:sz w:val="22"/>
        </w:rPr>
        <w:t>approval</w:t>
      </w:r>
      <w:r>
        <w:rPr>
          <w:spacing w:val="-1"/>
          <w:sz w:val="22"/>
        </w:rPr>
        <w:t> </w:t>
      </w:r>
      <w:r>
        <w:rPr>
          <w:sz w:val="22"/>
        </w:rPr>
        <w:t>in</w:t>
      </w:r>
      <w:r>
        <w:rPr>
          <w:spacing w:val="-2"/>
          <w:sz w:val="22"/>
        </w:rPr>
        <w:t> </w:t>
      </w:r>
      <w:r>
        <w:rPr>
          <w:sz w:val="22"/>
        </w:rPr>
        <w:t>Q3</w:t>
      </w:r>
      <w:r>
        <w:rPr>
          <w:spacing w:val="-2"/>
          <w:sz w:val="22"/>
        </w:rPr>
        <w:t> </w:t>
      </w:r>
      <w:r>
        <w:rPr>
          <w:sz w:val="22"/>
        </w:rPr>
        <w:t>CY2021,</w:t>
      </w:r>
      <w:r>
        <w:rPr>
          <w:spacing w:val="-2"/>
          <w:sz w:val="22"/>
        </w:rPr>
        <w:t> </w:t>
      </w:r>
      <w:r>
        <w:rPr>
          <w:sz w:val="22"/>
        </w:rPr>
        <w:t>in</w:t>
      </w:r>
      <w:r>
        <w:rPr>
          <w:spacing w:val="-2"/>
          <w:sz w:val="22"/>
        </w:rPr>
        <w:t> </w:t>
      </w:r>
      <w:r>
        <w:rPr>
          <w:sz w:val="22"/>
        </w:rPr>
        <w:t>alignment</w:t>
      </w:r>
      <w:r>
        <w:rPr>
          <w:spacing w:val="-1"/>
          <w:sz w:val="22"/>
        </w:rPr>
        <w:t> </w:t>
      </w:r>
      <w:r>
        <w:rPr>
          <w:sz w:val="22"/>
        </w:rPr>
        <w:t>with</w:t>
      </w:r>
      <w:r>
        <w:rPr>
          <w:spacing w:val="-2"/>
          <w:sz w:val="22"/>
        </w:rPr>
        <w:t> </w:t>
      </w:r>
      <w:r>
        <w:rPr>
          <w:sz w:val="22"/>
        </w:rPr>
        <w:t>when</w:t>
      </w:r>
      <w:r>
        <w:rPr>
          <w:spacing w:val="-2"/>
          <w:sz w:val="22"/>
        </w:rPr>
        <w:t> </w:t>
      </w:r>
      <w:r>
        <w:rPr>
          <w:sz w:val="22"/>
        </w:rPr>
        <w:t>it</w:t>
      </w:r>
      <w:r>
        <w:rPr>
          <w:spacing w:val="-1"/>
          <w:sz w:val="22"/>
        </w:rPr>
        <w:t> </w:t>
      </w:r>
      <w:r>
        <w:rPr>
          <w:sz w:val="22"/>
        </w:rPr>
        <w:t>anticipates submitting benchmarks to CMS for the avoidable utilization metrics.</w:t>
      </w:r>
    </w:p>
    <w:p>
      <w:pPr>
        <w:pStyle w:val="ListParagraph"/>
        <w:numPr>
          <w:ilvl w:val="2"/>
          <w:numId w:val="68"/>
        </w:numPr>
        <w:tabs>
          <w:tab w:pos="1939" w:val="left" w:leader="none"/>
        </w:tabs>
        <w:spacing w:line="252" w:lineRule="exact" w:before="192" w:after="0"/>
        <w:ind w:left="1939" w:right="0" w:hanging="719"/>
        <w:jc w:val="both"/>
        <w:rPr>
          <w:b/>
          <w:color w:val="4471C4"/>
          <w:sz w:val="22"/>
        </w:rPr>
      </w:pPr>
      <w:bookmarkStart w:name="4.3.4 LTSS CP Sub-Stream 1: Care Coordin" w:id="1300"/>
      <w:bookmarkEnd w:id="1300"/>
      <w:r>
        <w:rPr/>
      </w:r>
      <w:bookmarkStart w:name="_bookmark44" w:id="1301"/>
      <w:bookmarkEnd w:id="1301"/>
      <w:r>
        <w:rPr/>
      </w:r>
      <w:r>
        <w:rPr>
          <w:b/>
          <w:color w:val="4471C4"/>
          <w:sz w:val="22"/>
        </w:rPr>
        <w:t>LTSS</w:t>
      </w:r>
      <w:r>
        <w:rPr>
          <w:b/>
          <w:color w:val="4471C4"/>
          <w:spacing w:val="-6"/>
          <w:sz w:val="22"/>
        </w:rPr>
        <w:t> </w:t>
      </w:r>
      <w:r>
        <w:rPr>
          <w:b/>
          <w:color w:val="4471C4"/>
          <w:sz w:val="22"/>
        </w:rPr>
        <w:t>CP</w:t>
      </w:r>
      <w:r>
        <w:rPr>
          <w:b/>
          <w:color w:val="4471C4"/>
          <w:spacing w:val="-2"/>
          <w:sz w:val="22"/>
        </w:rPr>
        <w:t> </w:t>
      </w:r>
      <w:r>
        <w:rPr>
          <w:b/>
          <w:color w:val="4471C4"/>
          <w:sz w:val="22"/>
        </w:rPr>
        <w:t>Sub-Stream</w:t>
      </w:r>
      <w:r>
        <w:rPr>
          <w:b/>
          <w:color w:val="4471C4"/>
          <w:spacing w:val="-4"/>
          <w:sz w:val="22"/>
        </w:rPr>
        <w:t> </w:t>
      </w:r>
      <w:r>
        <w:rPr>
          <w:b/>
          <w:color w:val="4471C4"/>
          <w:sz w:val="22"/>
        </w:rPr>
        <w:t>1:</w:t>
      </w:r>
      <w:r>
        <w:rPr>
          <w:b/>
          <w:color w:val="4471C4"/>
          <w:spacing w:val="-6"/>
          <w:sz w:val="22"/>
        </w:rPr>
        <w:t> </w:t>
      </w:r>
      <w:r>
        <w:rPr>
          <w:b/>
          <w:color w:val="4471C4"/>
          <w:sz w:val="22"/>
        </w:rPr>
        <w:t>Care</w:t>
      </w:r>
      <w:r>
        <w:rPr>
          <w:b/>
          <w:color w:val="4471C4"/>
          <w:spacing w:val="-5"/>
          <w:sz w:val="22"/>
        </w:rPr>
        <w:t> </w:t>
      </w:r>
      <w:r>
        <w:rPr>
          <w:b/>
          <w:color w:val="4471C4"/>
          <w:sz w:val="22"/>
        </w:rPr>
        <w:t>Coordination</w:t>
      </w:r>
      <w:r>
        <w:rPr>
          <w:b/>
          <w:color w:val="4471C4"/>
          <w:spacing w:val="-5"/>
          <w:sz w:val="22"/>
        </w:rPr>
        <w:t> </w:t>
      </w:r>
      <w:r>
        <w:rPr>
          <w:b/>
          <w:color w:val="4471C4"/>
          <w:sz w:val="22"/>
        </w:rPr>
        <w:t>Supports</w:t>
      </w:r>
      <w:r>
        <w:rPr>
          <w:b/>
          <w:color w:val="4471C4"/>
          <w:spacing w:val="-6"/>
          <w:sz w:val="22"/>
        </w:rPr>
        <w:t> </w:t>
      </w:r>
      <w:r>
        <w:rPr>
          <w:b/>
          <w:color w:val="4471C4"/>
          <w:spacing w:val="-2"/>
          <w:sz w:val="22"/>
        </w:rPr>
        <w:t>Funding</w:t>
      </w:r>
    </w:p>
    <w:p>
      <w:pPr>
        <w:spacing w:before="0"/>
        <w:ind w:left="1220" w:right="1094" w:firstLine="0"/>
        <w:jc w:val="both"/>
        <w:rPr>
          <w:sz w:val="22"/>
        </w:rPr>
      </w:pPr>
      <w:r>
        <w:rPr>
          <w:sz w:val="22"/>
        </w:rPr>
        <w:t>MCOs and ACOs will have responsibility for conducting the comprehensive assessment for enrollees assigned</w:t>
      </w:r>
      <w:r>
        <w:rPr>
          <w:spacing w:val="-11"/>
          <w:sz w:val="22"/>
        </w:rPr>
        <w:t> </w:t>
      </w:r>
      <w:r>
        <w:rPr>
          <w:sz w:val="22"/>
        </w:rPr>
        <w:t>to</w:t>
      </w:r>
      <w:r>
        <w:rPr>
          <w:spacing w:val="-11"/>
          <w:sz w:val="22"/>
        </w:rPr>
        <w:t> </w:t>
      </w:r>
      <w:r>
        <w:rPr>
          <w:sz w:val="22"/>
        </w:rPr>
        <w:t>LTSS</w:t>
      </w:r>
      <w:r>
        <w:rPr>
          <w:spacing w:val="-9"/>
          <w:sz w:val="22"/>
        </w:rPr>
        <w:t> </w:t>
      </w:r>
      <w:r>
        <w:rPr>
          <w:sz w:val="22"/>
        </w:rPr>
        <w:t>CPs</w:t>
      </w:r>
      <w:r>
        <w:rPr>
          <w:spacing w:val="-11"/>
          <w:sz w:val="22"/>
        </w:rPr>
        <w:t> </w:t>
      </w:r>
      <w:r>
        <w:rPr>
          <w:sz w:val="22"/>
        </w:rPr>
        <w:t>and</w:t>
      </w:r>
      <w:r>
        <w:rPr>
          <w:spacing w:val="-13"/>
          <w:sz w:val="22"/>
        </w:rPr>
        <w:t> </w:t>
      </w:r>
      <w:r>
        <w:rPr>
          <w:sz w:val="22"/>
        </w:rPr>
        <w:t>other</w:t>
      </w:r>
      <w:r>
        <w:rPr>
          <w:spacing w:val="-8"/>
          <w:sz w:val="22"/>
        </w:rPr>
        <w:t> </w:t>
      </w:r>
      <w:r>
        <w:rPr>
          <w:sz w:val="22"/>
        </w:rPr>
        <w:t>enrollees</w:t>
      </w:r>
      <w:r>
        <w:rPr>
          <w:spacing w:val="-10"/>
          <w:sz w:val="22"/>
        </w:rPr>
        <w:t> </w:t>
      </w:r>
      <w:r>
        <w:rPr>
          <w:sz w:val="22"/>
        </w:rPr>
        <w:t>identified</w:t>
      </w:r>
      <w:r>
        <w:rPr>
          <w:spacing w:val="-11"/>
          <w:sz w:val="22"/>
        </w:rPr>
        <w:t> </w:t>
      </w:r>
      <w:r>
        <w:rPr>
          <w:sz w:val="22"/>
        </w:rPr>
        <w:t>by</w:t>
      </w:r>
      <w:r>
        <w:rPr>
          <w:spacing w:val="-11"/>
          <w:sz w:val="22"/>
        </w:rPr>
        <w:t> </w:t>
      </w:r>
      <w:r>
        <w:rPr>
          <w:sz w:val="22"/>
        </w:rPr>
        <w:t>EOHHS</w:t>
      </w:r>
      <w:r>
        <w:rPr>
          <w:spacing w:val="-9"/>
          <w:sz w:val="22"/>
        </w:rPr>
        <w:t> </w:t>
      </w:r>
      <w:r>
        <w:rPr>
          <w:sz w:val="22"/>
        </w:rPr>
        <w:t>as</w:t>
      </w:r>
      <w:r>
        <w:rPr>
          <w:spacing w:val="-8"/>
          <w:sz w:val="22"/>
        </w:rPr>
        <w:t> </w:t>
      </w:r>
      <w:r>
        <w:rPr>
          <w:sz w:val="22"/>
        </w:rPr>
        <w:t>having</w:t>
      </w:r>
      <w:r>
        <w:rPr>
          <w:spacing w:val="-11"/>
          <w:sz w:val="22"/>
        </w:rPr>
        <w:t> </w:t>
      </w:r>
      <w:r>
        <w:rPr>
          <w:sz w:val="22"/>
        </w:rPr>
        <w:t>LTSS</w:t>
      </w:r>
      <w:r>
        <w:rPr>
          <w:spacing w:val="-11"/>
          <w:sz w:val="22"/>
        </w:rPr>
        <w:t> </w:t>
      </w:r>
      <w:r>
        <w:rPr>
          <w:sz w:val="22"/>
        </w:rPr>
        <w:t>needs,</w:t>
      </w:r>
      <w:r>
        <w:rPr>
          <w:spacing w:val="-11"/>
          <w:sz w:val="22"/>
        </w:rPr>
        <w:t> </w:t>
      </w:r>
      <w:r>
        <w:rPr>
          <w:sz w:val="22"/>
        </w:rPr>
        <w:t>as</w:t>
      </w:r>
      <w:r>
        <w:rPr>
          <w:spacing w:val="-11"/>
          <w:sz w:val="22"/>
        </w:rPr>
        <w:t> </w:t>
      </w:r>
      <w:r>
        <w:rPr>
          <w:sz w:val="22"/>
        </w:rPr>
        <w:t>specified</w:t>
      </w:r>
      <w:r>
        <w:rPr>
          <w:spacing w:val="-11"/>
          <w:sz w:val="22"/>
        </w:rPr>
        <w:t> </w:t>
      </w:r>
      <w:r>
        <w:rPr>
          <w:sz w:val="22"/>
        </w:rPr>
        <w:t>in</w:t>
      </w:r>
      <w:r>
        <w:rPr>
          <w:spacing w:val="-11"/>
          <w:sz w:val="22"/>
        </w:rPr>
        <w:t> </w:t>
      </w:r>
      <w:r>
        <w:rPr>
          <w:sz w:val="22"/>
        </w:rPr>
        <w:t>their contracts</w:t>
      </w:r>
      <w:r>
        <w:rPr>
          <w:spacing w:val="-14"/>
          <w:sz w:val="22"/>
        </w:rPr>
        <w:t> </w:t>
      </w:r>
      <w:r>
        <w:rPr>
          <w:sz w:val="22"/>
        </w:rPr>
        <w:t>with</w:t>
      </w:r>
      <w:r>
        <w:rPr>
          <w:spacing w:val="-14"/>
          <w:sz w:val="22"/>
        </w:rPr>
        <w:t> </w:t>
      </w:r>
      <w:r>
        <w:rPr>
          <w:sz w:val="22"/>
        </w:rPr>
        <w:t>the</w:t>
      </w:r>
      <w:r>
        <w:rPr>
          <w:spacing w:val="-14"/>
          <w:sz w:val="22"/>
        </w:rPr>
        <w:t> </w:t>
      </w:r>
      <w:r>
        <w:rPr>
          <w:sz w:val="22"/>
        </w:rPr>
        <w:t>State.</w:t>
      </w:r>
      <w:r>
        <w:rPr>
          <w:spacing w:val="-13"/>
          <w:sz w:val="22"/>
        </w:rPr>
        <w:t> </w:t>
      </w:r>
      <w:r>
        <w:rPr>
          <w:sz w:val="22"/>
        </w:rPr>
        <w:t>The</w:t>
      </w:r>
      <w:r>
        <w:rPr>
          <w:spacing w:val="-14"/>
          <w:sz w:val="22"/>
        </w:rPr>
        <w:t> </w:t>
      </w:r>
      <w:r>
        <w:rPr>
          <w:sz w:val="22"/>
        </w:rPr>
        <w:t>LTSS</w:t>
      </w:r>
      <w:r>
        <w:rPr>
          <w:spacing w:val="-14"/>
          <w:sz w:val="22"/>
        </w:rPr>
        <w:t> </w:t>
      </w:r>
      <w:r>
        <w:rPr>
          <w:sz w:val="22"/>
        </w:rPr>
        <w:t>CP</w:t>
      </w:r>
      <w:r>
        <w:rPr>
          <w:spacing w:val="-14"/>
          <w:sz w:val="22"/>
        </w:rPr>
        <w:t> </w:t>
      </w:r>
      <w:r>
        <w:rPr>
          <w:sz w:val="22"/>
        </w:rPr>
        <w:t>will</w:t>
      </w:r>
      <w:r>
        <w:rPr>
          <w:spacing w:val="-13"/>
          <w:sz w:val="22"/>
        </w:rPr>
        <w:t> </w:t>
      </w:r>
      <w:r>
        <w:rPr>
          <w:sz w:val="22"/>
        </w:rPr>
        <w:t>review</w:t>
      </w:r>
      <w:r>
        <w:rPr>
          <w:spacing w:val="-14"/>
          <w:sz w:val="22"/>
        </w:rPr>
        <w:t> </w:t>
      </w:r>
      <w:r>
        <w:rPr>
          <w:sz w:val="22"/>
        </w:rPr>
        <w:t>the</w:t>
      </w:r>
      <w:r>
        <w:rPr>
          <w:spacing w:val="-14"/>
          <w:sz w:val="22"/>
        </w:rPr>
        <w:t> </w:t>
      </w:r>
      <w:r>
        <w:rPr>
          <w:sz w:val="22"/>
        </w:rPr>
        <w:t>results</w:t>
      </w:r>
      <w:r>
        <w:rPr>
          <w:spacing w:val="-14"/>
          <w:sz w:val="22"/>
        </w:rPr>
        <w:t> </w:t>
      </w:r>
      <w:r>
        <w:rPr>
          <w:sz w:val="22"/>
        </w:rPr>
        <w:t>of</w:t>
      </w:r>
      <w:r>
        <w:rPr>
          <w:spacing w:val="-13"/>
          <w:sz w:val="22"/>
        </w:rPr>
        <w:t> </w:t>
      </w:r>
      <w:r>
        <w:rPr>
          <w:sz w:val="22"/>
        </w:rPr>
        <w:t>the</w:t>
      </w:r>
      <w:r>
        <w:rPr>
          <w:spacing w:val="-13"/>
          <w:sz w:val="22"/>
        </w:rPr>
        <w:t> </w:t>
      </w:r>
      <w:r>
        <w:rPr>
          <w:sz w:val="22"/>
        </w:rPr>
        <w:t>comprehensive</w:t>
      </w:r>
      <w:r>
        <w:rPr>
          <w:spacing w:val="-14"/>
          <w:sz w:val="22"/>
        </w:rPr>
        <w:t> </w:t>
      </w:r>
      <w:r>
        <w:rPr>
          <w:sz w:val="22"/>
        </w:rPr>
        <w:t>assessment</w:t>
      </w:r>
      <w:r>
        <w:rPr>
          <w:spacing w:val="-12"/>
          <w:sz w:val="22"/>
        </w:rPr>
        <w:t> </w:t>
      </w:r>
      <w:r>
        <w:rPr>
          <w:sz w:val="22"/>
        </w:rPr>
        <w:t>with</w:t>
      </w:r>
      <w:r>
        <w:rPr>
          <w:spacing w:val="-14"/>
          <w:sz w:val="22"/>
        </w:rPr>
        <w:t> </w:t>
      </w:r>
      <w:r>
        <w:rPr>
          <w:sz w:val="22"/>
        </w:rPr>
        <w:t>a</w:t>
      </w:r>
      <w:r>
        <w:rPr>
          <w:spacing w:val="-13"/>
          <w:sz w:val="22"/>
        </w:rPr>
        <w:t> </w:t>
      </w:r>
      <w:r>
        <w:rPr>
          <w:sz w:val="22"/>
        </w:rPr>
        <w:t>LTSS assigned member as part of the person-centered LTSS care planning process and will inform the member about his or her options for specific LTSS services, programs and providers that may meet the member’s identified</w:t>
      </w:r>
      <w:r>
        <w:rPr>
          <w:spacing w:val="-10"/>
          <w:sz w:val="22"/>
        </w:rPr>
        <w:t> </w:t>
      </w:r>
      <w:r>
        <w:rPr>
          <w:sz w:val="22"/>
        </w:rPr>
        <w:t>LTSS</w:t>
      </w:r>
      <w:r>
        <w:rPr>
          <w:spacing w:val="-12"/>
          <w:sz w:val="22"/>
        </w:rPr>
        <w:t> </w:t>
      </w:r>
      <w:r>
        <w:rPr>
          <w:sz w:val="22"/>
        </w:rPr>
        <w:t>needs.</w:t>
      </w:r>
      <w:r>
        <w:rPr>
          <w:spacing w:val="-10"/>
          <w:sz w:val="22"/>
        </w:rPr>
        <w:t> </w:t>
      </w:r>
      <w:r>
        <w:rPr>
          <w:sz w:val="22"/>
        </w:rPr>
        <w:t>LTSS</w:t>
      </w:r>
      <w:r>
        <w:rPr>
          <w:spacing w:val="-10"/>
          <w:sz w:val="22"/>
        </w:rPr>
        <w:t> </w:t>
      </w:r>
      <w:r>
        <w:rPr>
          <w:sz w:val="22"/>
        </w:rPr>
        <w:t>CPs</w:t>
      </w:r>
      <w:r>
        <w:rPr>
          <w:spacing w:val="-9"/>
          <w:sz w:val="22"/>
        </w:rPr>
        <w:t> </w:t>
      </w:r>
      <w:r>
        <w:rPr>
          <w:sz w:val="22"/>
        </w:rPr>
        <w:t>will</w:t>
      </w:r>
      <w:r>
        <w:rPr>
          <w:spacing w:val="-11"/>
          <w:sz w:val="22"/>
        </w:rPr>
        <w:t> </w:t>
      </w:r>
      <w:r>
        <w:rPr>
          <w:sz w:val="22"/>
        </w:rPr>
        <w:t>receive</w:t>
      </w:r>
      <w:r>
        <w:rPr>
          <w:spacing w:val="-9"/>
          <w:sz w:val="22"/>
        </w:rPr>
        <w:t> </w:t>
      </w:r>
      <w:r>
        <w:rPr>
          <w:sz w:val="22"/>
        </w:rPr>
        <w:t>funds</w:t>
      </w:r>
      <w:r>
        <w:rPr>
          <w:spacing w:val="-11"/>
          <w:sz w:val="22"/>
        </w:rPr>
        <w:t> </w:t>
      </w:r>
      <w:r>
        <w:rPr>
          <w:sz w:val="22"/>
        </w:rPr>
        <w:t>under</w:t>
      </w:r>
      <w:r>
        <w:rPr>
          <w:spacing w:val="-9"/>
          <w:sz w:val="22"/>
        </w:rPr>
        <w:t> </w:t>
      </w:r>
      <w:r>
        <w:rPr>
          <w:sz w:val="22"/>
        </w:rPr>
        <w:t>LTSS</w:t>
      </w:r>
      <w:r>
        <w:rPr>
          <w:spacing w:val="-12"/>
          <w:sz w:val="22"/>
        </w:rPr>
        <w:t> </w:t>
      </w:r>
      <w:r>
        <w:rPr>
          <w:sz w:val="22"/>
        </w:rPr>
        <w:t>CP</w:t>
      </w:r>
      <w:r>
        <w:rPr>
          <w:spacing w:val="-12"/>
          <w:sz w:val="22"/>
        </w:rPr>
        <w:t> </w:t>
      </w:r>
      <w:r>
        <w:rPr>
          <w:sz w:val="22"/>
        </w:rPr>
        <w:t>sub-stream</w:t>
      </w:r>
      <w:r>
        <w:rPr>
          <w:spacing w:val="-13"/>
          <w:sz w:val="22"/>
        </w:rPr>
        <w:t> </w:t>
      </w:r>
      <w:r>
        <w:rPr>
          <w:sz w:val="22"/>
        </w:rPr>
        <w:t>1</w:t>
      </w:r>
      <w:r>
        <w:rPr>
          <w:spacing w:val="-12"/>
          <w:sz w:val="22"/>
        </w:rPr>
        <w:t> </w:t>
      </w:r>
      <w:r>
        <w:rPr>
          <w:sz w:val="22"/>
        </w:rPr>
        <w:t>to</w:t>
      </w:r>
      <w:r>
        <w:rPr>
          <w:spacing w:val="-10"/>
          <w:sz w:val="22"/>
        </w:rPr>
        <w:t> </w:t>
      </w:r>
      <w:r>
        <w:rPr>
          <w:sz w:val="22"/>
        </w:rPr>
        <w:t>perform</w:t>
      </w:r>
      <w:r>
        <w:rPr>
          <w:spacing w:val="-13"/>
          <w:sz w:val="22"/>
        </w:rPr>
        <w:t> </w:t>
      </w:r>
      <w:r>
        <w:rPr>
          <w:sz w:val="22"/>
        </w:rPr>
        <w:t>the</w:t>
      </w:r>
      <w:r>
        <w:rPr>
          <w:spacing w:val="-11"/>
          <w:sz w:val="22"/>
        </w:rPr>
        <w:t> </w:t>
      </w:r>
      <w:r>
        <w:rPr>
          <w:sz w:val="22"/>
        </w:rPr>
        <w:t>following functions for assigned members:</w:t>
      </w:r>
    </w:p>
    <w:p>
      <w:pPr>
        <w:pStyle w:val="ListParagraph"/>
        <w:numPr>
          <w:ilvl w:val="3"/>
          <w:numId w:val="68"/>
        </w:numPr>
        <w:tabs>
          <w:tab w:pos="2300" w:val="left" w:leader="none"/>
        </w:tabs>
        <w:spacing w:line="240" w:lineRule="auto" w:before="158" w:after="0"/>
        <w:ind w:left="2300" w:right="1094" w:hanging="721"/>
        <w:jc w:val="left"/>
        <w:rPr>
          <w:sz w:val="22"/>
        </w:rPr>
      </w:pPr>
      <w:r>
        <w:rPr>
          <w:sz w:val="22"/>
        </w:rPr>
        <w:t>Providing</w:t>
      </w:r>
      <w:r>
        <w:rPr>
          <w:spacing w:val="76"/>
          <w:sz w:val="22"/>
        </w:rPr>
        <w:t> </w:t>
      </w:r>
      <w:r>
        <w:rPr>
          <w:sz w:val="22"/>
        </w:rPr>
        <w:t>disability</w:t>
      </w:r>
      <w:r>
        <w:rPr>
          <w:spacing w:val="76"/>
          <w:sz w:val="22"/>
        </w:rPr>
        <w:t> </w:t>
      </w:r>
      <w:r>
        <w:rPr>
          <w:sz w:val="22"/>
        </w:rPr>
        <w:t>expertise</w:t>
      </w:r>
      <w:r>
        <w:rPr>
          <w:spacing w:val="79"/>
          <w:sz w:val="22"/>
        </w:rPr>
        <w:t> </w:t>
      </w:r>
      <w:r>
        <w:rPr>
          <w:sz w:val="22"/>
        </w:rPr>
        <w:t>consultation</w:t>
      </w:r>
      <w:r>
        <w:rPr>
          <w:spacing w:val="76"/>
          <w:sz w:val="22"/>
        </w:rPr>
        <w:t> </w:t>
      </w:r>
      <w:r>
        <w:rPr>
          <w:sz w:val="22"/>
        </w:rPr>
        <w:t>as</w:t>
      </w:r>
      <w:r>
        <w:rPr>
          <w:spacing w:val="76"/>
          <w:sz w:val="22"/>
        </w:rPr>
        <w:t> </w:t>
      </w:r>
      <w:r>
        <w:rPr>
          <w:sz w:val="22"/>
        </w:rPr>
        <w:t>requested</w:t>
      </w:r>
      <w:r>
        <w:rPr>
          <w:spacing w:val="78"/>
          <w:sz w:val="22"/>
        </w:rPr>
        <w:t> </w:t>
      </w:r>
      <w:r>
        <w:rPr>
          <w:sz w:val="22"/>
        </w:rPr>
        <w:t>by</w:t>
      </w:r>
      <w:r>
        <w:rPr>
          <w:spacing w:val="76"/>
          <w:sz w:val="22"/>
        </w:rPr>
        <w:t> </w:t>
      </w:r>
      <w:r>
        <w:rPr>
          <w:sz w:val="22"/>
        </w:rPr>
        <w:t>MassHealth,</w:t>
      </w:r>
      <w:r>
        <w:rPr>
          <w:spacing w:val="76"/>
          <w:sz w:val="22"/>
        </w:rPr>
        <w:t> </w:t>
      </w:r>
      <w:r>
        <w:rPr>
          <w:sz w:val="22"/>
        </w:rPr>
        <w:t>the</w:t>
      </w:r>
      <w:r>
        <w:rPr>
          <w:spacing w:val="76"/>
          <w:sz w:val="22"/>
        </w:rPr>
        <w:t> </w:t>
      </w:r>
      <w:r>
        <w:rPr>
          <w:sz w:val="22"/>
        </w:rPr>
        <w:t>member’s MassHealth managed care entity, or the member on the comprehensive assessment</w:t>
      </w:r>
    </w:p>
    <w:p>
      <w:pPr>
        <w:pStyle w:val="ListParagraph"/>
        <w:numPr>
          <w:ilvl w:val="3"/>
          <w:numId w:val="68"/>
        </w:numPr>
        <w:tabs>
          <w:tab w:pos="2300" w:val="left" w:leader="none"/>
        </w:tabs>
        <w:spacing w:line="240" w:lineRule="auto" w:before="0" w:after="0"/>
        <w:ind w:left="2300" w:right="0" w:hanging="720"/>
        <w:jc w:val="left"/>
        <w:rPr>
          <w:sz w:val="22"/>
        </w:rPr>
      </w:pPr>
      <w:r>
        <w:rPr>
          <w:sz w:val="22"/>
        </w:rPr>
        <w:t>Providing</w:t>
      </w:r>
      <w:r>
        <w:rPr>
          <w:spacing w:val="-6"/>
          <w:sz w:val="22"/>
        </w:rPr>
        <w:t> </w:t>
      </w:r>
      <w:r>
        <w:rPr>
          <w:sz w:val="22"/>
        </w:rPr>
        <w:t>LTSS</w:t>
      </w:r>
      <w:r>
        <w:rPr>
          <w:spacing w:val="-5"/>
          <w:sz w:val="22"/>
        </w:rPr>
        <w:t> </w:t>
      </w:r>
      <w:r>
        <w:rPr>
          <w:sz w:val="22"/>
        </w:rPr>
        <w:t>care</w:t>
      </w:r>
      <w:r>
        <w:rPr>
          <w:spacing w:val="-2"/>
          <w:sz w:val="22"/>
        </w:rPr>
        <w:t> </w:t>
      </w:r>
      <w:r>
        <w:rPr>
          <w:sz w:val="22"/>
        </w:rPr>
        <w:t>planning</w:t>
      </w:r>
      <w:r>
        <w:rPr>
          <w:spacing w:val="-6"/>
          <w:sz w:val="22"/>
        </w:rPr>
        <w:t> </w:t>
      </w:r>
      <w:r>
        <w:rPr>
          <w:sz w:val="22"/>
        </w:rPr>
        <w:t>using</w:t>
      </w:r>
      <w:r>
        <w:rPr>
          <w:spacing w:val="-5"/>
          <w:sz w:val="22"/>
        </w:rPr>
        <w:t> </w:t>
      </w:r>
      <w:r>
        <w:rPr>
          <w:sz w:val="22"/>
        </w:rPr>
        <w:t>a</w:t>
      </w:r>
      <w:r>
        <w:rPr>
          <w:spacing w:val="-2"/>
          <w:sz w:val="22"/>
        </w:rPr>
        <w:t> </w:t>
      </w:r>
      <w:r>
        <w:rPr>
          <w:sz w:val="22"/>
        </w:rPr>
        <w:t>person-centered</w:t>
      </w:r>
      <w:r>
        <w:rPr>
          <w:spacing w:val="-5"/>
          <w:sz w:val="22"/>
        </w:rPr>
        <w:t> </w:t>
      </w:r>
      <w:r>
        <w:rPr>
          <w:sz w:val="22"/>
        </w:rPr>
        <w:t>approach</w:t>
      </w:r>
      <w:r>
        <w:rPr>
          <w:spacing w:val="-6"/>
          <w:sz w:val="22"/>
        </w:rPr>
        <w:t> </w:t>
      </w:r>
      <w:r>
        <w:rPr>
          <w:sz w:val="22"/>
        </w:rPr>
        <w:t>and</w:t>
      </w:r>
      <w:r>
        <w:rPr>
          <w:spacing w:val="-2"/>
          <w:sz w:val="22"/>
        </w:rPr>
        <w:t> </w:t>
      </w:r>
      <w:r>
        <w:rPr>
          <w:sz w:val="22"/>
        </w:rPr>
        <w:t>choice</w:t>
      </w:r>
      <w:r>
        <w:rPr>
          <w:spacing w:val="-2"/>
          <w:sz w:val="22"/>
        </w:rPr>
        <w:t> counseling</w:t>
      </w:r>
    </w:p>
    <w:p>
      <w:pPr>
        <w:pStyle w:val="ListParagraph"/>
        <w:numPr>
          <w:ilvl w:val="3"/>
          <w:numId w:val="68"/>
        </w:numPr>
        <w:tabs>
          <w:tab w:pos="2300" w:val="left" w:leader="none"/>
        </w:tabs>
        <w:spacing w:line="240" w:lineRule="auto" w:before="2" w:after="0"/>
        <w:ind w:left="2300" w:right="1092" w:hanging="721"/>
        <w:jc w:val="left"/>
        <w:rPr>
          <w:sz w:val="22"/>
        </w:rPr>
      </w:pPr>
      <w:r>
        <w:rPr>
          <w:sz w:val="22"/>
        </w:rPr>
        <w:t>Participating</w:t>
      </w:r>
      <w:r>
        <w:rPr>
          <w:spacing w:val="27"/>
          <w:sz w:val="22"/>
        </w:rPr>
        <w:t> </w:t>
      </w:r>
      <w:r>
        <w:rPr>
          <w:sz w:val="22"/>
        </w:rPr>
        <w:t>on</w:t>
      </w:r>
      <w:r>
        <w:rPr>
          <w:spacing w:val="30"/>
          <w:sz w:val="22"/>
        </w:rPr>
        <w:t> </w:t>
      </w:r>
      <w:r>
        <w:rPr>
          <w:sz w:val="22"/>
        </w:rPr>
        <w:t>the</w:t>
      </w:r>
      <w:r>
        <w:rPr>
          <w:spacing w:val="30"/>
          <w:sz w:val="22"/>
        </w:rPr>
        <w:t> </w:t>
      </w:r>
      <w:r>
        <w:rPr>
          <w:sz w:val="22"/>
        </w:rPr>
        <w:t>member’s</w:t>
      </w:r>
      <w:r>
        <w:rPr>
          <w:spacing w:val="30"/>
          <w:sz w:val="22"/>
        </w:rPr>
        <w:t> </w:t>
      </w:r>
      <w:r>
        <w:rPr>
          <w:sz w:val="22"/>
        </w:rPr>
        <w:t>care</w:t>
      </w:r>
      <w:r>
        <w:rPr>
          <w:spacing w:val="30"/>
          <w:sz w:val="22"/>
        </w:rPr>
        <w:t> </w:t>
      </w:r>
      <w:r>
        <w:rPr>
          <w:sz w:val="22"/>
        </w:rPr>
        <w:t>team</w:t>
      </w:r>
      <w:r>
        <w:rPr>
          <w:spacing w:val="26"/>
          <w:sz w:val="22"/>
        </w:rPr>
        <w:t> </w:t>
      </w:r>
      <w:r>
        <w:rPr>
          <w:sz w:val="22"/>
        </w:rPr>
        <w:t>to</w:t>
      </w:r>
      <w:r>
        <w:rPr>
          <w:spacing w:val="30"/>
          <w:sz w:val="22"/>
        </w:rPr>
        <w:t> </w:t>
      </w:r>
      <w:r>
        <w:rPr>
          <w:sz w:val="22"/>
        </w:rPr>
        <w:t>support</w:t>
      </w:r>
      <w:r>
        <w:rPr>
          <w:spacing w:val="29"/>
          <w:sz w:val="22"/>
        </w:rPr>
        <w:t> </w:t>
      </w:r>
      <w:r>
        <w:rPr>
          <w:sz w:val="22"/>
        </w:rPr>
        <w:t>LTSS</w:t>
      </w:r>
      <w:r>
        <w:rPr>
          <w:spacing w:val="29"/>
          <w:sz w:val="22"/>
        </w:rPr>
        <w:t> </w:t>
      </w:r>
      <w:r>
        <w:rPr>
          <w:sz w:val="22"/>
        </w:rPr>
        <w:t>care</w:t>
      </w:r>
      <w:r>
        <w:rPr>
          <w:spacing w:val="30"/>
          <w:sz w:val="22"/>
        </w:rPr>
        <w:t> </w:t>
      </w:r>
      <w:r>
        <w:rPr>
          <w:sz w:val="22"/>
        </w:rPr>
        <w:t>needs</w:t>
      </w:r>
      <w:r>
        <w:rPr>
          <w:spacing w:val="30"/>
          <w:sz w:val="22"/>
        </w:rPr>
        <w:t> </w:t>
      </w:r>
      <w:r>
        <w:rPr>
          <w:sz w:val="22"/>
        </w:rPr>
        <w:t>decisions</w:t>
      </w:r>
      <w:r>
        <w:rPr>
          <w:spacing w:val="30"/>
          <w:sz w:val="22"/>
        </w:rPr>
        <w:t> </w:t>
      </w:r>
      <w:r>
        <w:rPr>
          <w:sz w:val="22"/>
        </w:rPr>
        <w:t>and</w:t>
      </w:r>
      <w:r>
        <w:rPr>
          <w:spacing w:val="30"/>
          <w:sz w:val="22"/>
        </w:rPr>
        <w:t> </w:t>
      </w:r>
      <w:r>
        <w:rPr>
          <w:sz w:val="22"/>
        </w:rPr>
        <w:t>LTSS integration, as directed by the member</w:t>
      </w:r>
    </w:p>
    <w:p>
      <w:pPr>
        <w:pStyle w:val="ListParagraph"/>
        <w:numPr>
          <w:ilvl w:val="3"/>
          <w:numId w:val="68"/>
        </w:numPr>
        <w:tabs>
          <w:tab w:pos="2300" w:val="left" w:leader="none"/>
        </w:tabs>
        <w:spacing w:line="251" w:lineRule="exact" w:before="0" w:after="0"/>
        <w:ind w:left="2300" w:right="0" w:hanging="720"/>
        <w:jc w:val="left"/>
        <w:rPr>
          <w:sz w:val="22"/>
        </w:rPr>
      </w:pPr>
      <w:r>
        <w:rPr>
          <w:sz w:val="22"/>
        </w:rPr>
        <w:t>Providing</w:t>
      </w:r>
      <w:r>
        <w:rPr>
          <w:spacing w:val="-6"/>
          <w:sz w:val="22"/>
        </w:rPr>
        <w:t> </w:t>
      </w:r>
      <w:r>
        <w:rPr>
          <w:sz w:val="22"/>
        </w:rPr>
        <w:t>LTSS</w:t>
      </w:r>
      <w:r>
        <w:rPr>
          <w:spacing w:val="-6"/>
          <w:sz w:val="22"/>
        </w:rPr>
        <w:t> </w:t>
      </w:r>
      <w:r>
        <w:rPr>
          <w:sz w:val="22"/>
        </w:rPr>
        <w:t>care</w:t>
      </w:r>
      <w:r>
        <w:rPr>
          <w:spacing w:val="-2"/>
          <w:sz w:val="22"/>
        </w:rPr>
        <w:t> </w:t>
      </w:r>
      <w:r>
        <w:rPr>
          <w:sz w:val="22"/>
        </w:rPr>
        <w:t>coordination</w:t>
      </w:r>
      <w:r>
        <w:rPr>
          <w:spacing w:val="-6"/>
          <w:sz w:val="22"/>
        </w:rPr>
        <w:t> </w:t>
      </w:r>
      <w:r>
        <w:rPr>
          <w:sz w:val="22"/>
        </w:rPr>
        <w:t>and</w:t>
      </w:r>
      <w:r>
        <w:rPr>
          <w:spacing w:val="-6"/>
          <w:sz w:val="22"/>
        </w:rPr>
        <w:t> </w:t>
      </w:r>
      <w:r>
        <w:rPr>
          <w:sz w:val="22"/>
        </w:rPr>
        <w:t>support</w:t>
      </w:r>
      <w:r>
        <w:rPr>
          <w:spacing w:val="-1"/>
          <w:sz w:val="22"/>
        </w:rPr>
        <w:t> </w:t>
      </w:r>
      <w:r>
        <w:rPr>
          <w:sz w:val="22"/>
        </w:rPr>
        <w:t>during</w:t>
      </w:r>
      <w:r>
        <w:rPr>
          <w:spacing w:val="-6"/>
          <w:sz w:val="22"/>
        </w:rPr>
        <w:t> </w:t>
      </w:r>
      <w:r>
        <w:rPr>
          <w:sz w:val="22"/>
        </w:rPr>
        <w:t>transitions</w:t>
      </w:r>
      <w:r>
        <w:rPr>
          <w:spacing w:val="-3"/>
          <w:sz w:val="22"/>
        </w:rPr>
        <w:t> </w:t>
      </w:r>
      <w:r>
        <w:rPr>
          <w:sz w:val="22"/>
        </w:rPr>
        <w:t>of</w:t>
      </w:r>
      <w:r>
        <w:rPr>
          <w:spacing w:val="-4"/>
          <w:sz w:val="22"/>
        </w:rPr>
        <w:t> care</w:t>
      </w:r>
    </w:p>
    <w:p>
      <w:pPr>
        <w:pStyle w:val="ListParagraph"/>
        <w:numPr>
          <w:ilvl w:val="3"/>
          <w:numId w:val="68"/>
        </w:numPr>
        <w:tabs>
          <w:tab w:pos="2300" w:val="left" w:leader="none"/>
        </w:tabs>
        <w:spacing w:line="252" w:lineRule="exact" w:before="1" w:after="0"/>
        <w:ind w:left="2300" w:right="0" w:hanging="720"/>
        <w:jc w:val="left"/>
        <w:rPr>
          <w:sz w:val="22"/>
        </w:rPr>
      </w:pPr>
      <w:r>
        <w:rPr>
          <w:sz w:val="22"/>
        </w:rPr>
        <w:t>Providing</w:t>
      </w:r>
      <w:r>
        <w:rPr>
          <w:spacing w:val="-8"/>
          <w:sz w:val="22"/>
        </w:rPr>
        <w:t> </w:t>
      </w:r>
      <w:r>
        <w:rPr>
          <w:sz w:val="22"/>
        </w:rPr>
        <w:t>health</w:t>
      </w:r>
      <w:r>
        <w:rPr>
          <w:spacing w:val="-6"/>
          <w:sz w:val="22"/>
        </w:rPr>
        <w:t> </w:t>
      </w:r>
      <w:r>
        <w:rPr>
          <w:sz w:val="22"/>
        </w:rPr>
        <w:t>and</w:t>
      </w:r>
      <w:r>
        <w:rPr>
          <w:spacing w:val="-3"/>
          <w:sz w:val="22"/>
        </w:rPr>
        <w:t> </w:t>
      </w:r>
      <w:r>
        <w:rPr>
          <w:sz w:val="22"/>
        </w:rPr>
        <w:t>wellness</w:t>
      </w:r>
      <w:r>
        <w:rPr>
          <w:spacing w:val="-2"/>
          <w:sz w:val="22"/>
        </w:rPr>
        <w:t> coaching</w:t>
      </w:r>
    </w:p>
    <w:p>
      <w:pPr>
        <w:pStyle w:val="ListParagraph"/>
        <w:numPr>
          <w:ilvl w:val="3"/>
          <w:numId w:val="68"/>
        </w:numPr>
        <w:tabs>
          <w:tab w:pos="2300" w:val="left" w:leader="none"/>
        </w:tabs>
        <w:spacing w:line="252" w:lineRule="exact" w:before="0" w:after="0"/>
        <w:ind w:left="2300" w:right="0" w:hanging="720"/>
        <w:jc w:val="left"/>
        <w:rPr>
          <w:sz w:val="22"/>
        </w:rPr>
      </w:pPr>
      <w:r>
        <w:rPr>
          <w:sz w:val="22"/>
        </w:rPr>
        <w:t>Connecting</w:t>
      </w:r>
      <w:r>
        <w:rPr>
          <w:spacing w:val="-8"/>
          <w:sz w:val="22"/>
        </w:rPr>
        <w:t> </w:t>
      </w:r>
      <w:r>
        <w:rPr>
          <w:sz w:val="22"/>
        </w:rPr>
        <w:t>the</w:t>
      </w:r>
      <w:r>
        <w:rPr>
          <w:spacing w:val="-4"/>
          <w:sz w:val="22"/>
        </w:rPr>
        <w:t> </w:t>
      </w:r>
      <w:r>
        <w:rPr>
          <w:sz w:val="22"/>
        </w:rPr>
        <w:t>member</w:t>
      </w:r>
      <w:r>
        <w:rPr>
          <w:spacing w:val="-2"/>
          <w:sz w:val="22"/>
        </w:rPr>
        <w:t> </w:t>
      </w:r>
      <w:r>
        <w:rPr>
          <w:sz w:val="22"/>
        </w:rPr>
        <w:t>to</w:t>
      </w:r>
      <w:r>
        <w:rPr>
          <w:spacing w:val="-5"/>
          <w:sz w:val="22"/>
        </w:rPr>
        <w:t> </w:t>
      </w:r>
      <w:r>
        <w:rPr>
          <w:sz w:val="22"/>
        </w:rPr>
        <w:t>social</w:t>
      </w:r>
      <w:r>
        <w:rPr>
          <w:spacing w:val="-4"/>
          <w:sz w:val="22"/>
        </w:rPr>
        <w:t> </w:t>
      </w:r>
      <w:r>
        <w:rPr>
          <w:sz w:val="22"/>
        </w:rPr>
        <w:t>services</w:t>
      </w:r>
      <w:r>
        <w:rPr>
          <w:spacing w:val="-3"/>
          <w:sz w:val="22"/>
        </w:rPr>
        <w:t> </w:t>
      </w:r>
      <w:r>
        <w:rPr>
          <w:sz w:val="22"/>
        </w:rPr>
        <w:t>and</w:t>
      </w:r>
      <w:r>
        <w:rPr>
          <w:spacing w:val="-2"/>
          <w:sz w:val="22"/>
        </w:rPr>
        <w:t> </w:t>
      </w:r>
      <w:r>
        <w:rPr>
          <w:sz w:val="22"/>
        </w:rPr>
        <w:t>community</w:t>
      </w:r>
      <w:r>
        <w:rPr>
          <w:spacing w:val="-5"/>
          <w:sz w:val="22"/>
        </w:rPr>
        <w:t> </w:t>
      </w:r>
      <w:r>
        <w:rPr>
          <w:spacing w:val="-2"/>
          <w:sz w:val="22"/>
        </w:rPr>
        <w:t>resources.</w:t>
      </w:r>
    </w:p>
    <w:p>
      <w:pPr>
        <w:pStyle w:val="BodyText"/>
        <w:rPr>
          <w:sz w:val="22"/>
        </w:rPr>
      </w:pPr>
    </w:p>
    <w:p>
      <w:pPr>
        <w:spacing w:before="0"/>
        <w:ind w:left="1220" w:right="1093" w:firstLine="0"/>
        <w:jc w:val="both"/>
        <w:rPr>
          <w:sz w:val="22"/>
        </w:rPr>
      </w:pPr>
      <w:r>
        <w:rPr>
          <w:sz w:val="22"/>
        </w:rPr>
        <w:t>The State also intends to allow LTSS CPs to provide optional enhanced functions for members with complex LTSS needs who would benefit from comprehensive care management provided by a LTSS CP. The enhanced supports care model will be similar to that of the BH CP, including the performance of a comprehensive</w:t>
      </w:r>
      <w:r>
        <w:rPr>
          <w:spacing w:val="-11"/>
          <w:sz w:val="22"/>
        </w:rPr>
        <w:t> </w:t>
      </w:r>
      <w:r>
        <w:rPr>
          <w:sz w:val="22"/>
        </w:rPr>
        <w:t>assessment,</w:t>
      </w:r>
      <w:r>
        <w:rPr>
          <w:spacing w:val="-11"/>
          <w:sz w:val="22"/>
        </w:rPr>
        <w:t> </w:t>
      </w:r>
      <w:r>
        <w:rPr>
          <w:sz w:val="22"/>
        </w:rPr>
        <w:t>although</w:t>
      </w:r>
      <w:r>
        <w:rPr>
          <w:spacing w:val="-11"/>
          <w:sz w:val="22"/>
        </w:rPr>
        <w:t> </w:t>
      </w:r>
      <w:r>
        <w:rPr>
          <w:sz w:val="22"/>
        </w:rPr>
        <w:t>adapted</w:t>
      </w:r>
      <w:r>
        <w:rPr>
          <w:spacing w:val="-11"/>
          <w:sz w:val="22"/>
        </w:rPr>
        <w:t> </w:t>
      </w:r>
      <w:r>
        <w:rPr>
          <w:sz w:val="22"/>
        </w:rPr>
        <w:t>to</w:t>
      </w:r>
      <w:r>
        <w:rPr>
          <w:spacing w:val="-11"/>
          <w:sz w:val="22"/>
        </w:rPr>
        <w:t> </w:t>
      </w:r>
      <w:r>
        <w:rPr>
          <w:sz w:val="22"/>
        </w:rPr>
        <w:t>the</w:t>
      </w:r>
      <w:r>
        <w:rPr>
          <w:spacing w:val="-11"/>
          <w:sz w:val="22"/>
        </w:rPr>
        <w:t> </w:t>
      </w:r>
      <w:r>
        <w:rPr>
          <w:sz w:val="22"/>
        </w:rPr>
        <w:t>specific</w:t>
      </w:r>
      <w:r>
        <w:rPr>
          <w:spacing w:val="-11"/>
          <w:sz w:val="22"/>
        </w:rPr>
        <w:t> </w:t>
      </w:r>
      <w:r>
        <w:rPr>
          <w:sz w:val="22"/>
        </w:rPr>
        <w:t>LTSS</w:t>
      </w:r>
      <w:r>
        <w:rPr>
          <w:spacing w:val="-11"/>
          <w:sz w:val="22"/>
        </w:rPr>
        <w:t> </w:t>
      </w:r>
      <w:r>
        <w:rPr>
          <w:sz w:val="22"/>
        </w:rPr>
        <w:t>population</w:t>
      </w:r>
      <w:r>
        <w:rPr>
          <w:spacing w:val="-11"/>
          <w:sz w:val="22"/>
        </w:rPr>
        <w:t> </w:t>
      </w:r>
      <w:r>
        <w:rPr>
          <w:sz w:val="22"/>
        </w:rPr>
        <w:t>to</w:t>
      </w:r>
      <w:r>
        <w:rPr>
          <w:spacing w:val="-11"/>
          <w:sz w:val="22"/>
        </w:rPr>
        <w:t> </w:t>
      </w:r>
      <w:r>
        <w:rPr>
          <w:sz w:val="22"/>
        </w:rPr>
        <w:t>be</w:t>
      </w:r>
      <w:r>
        <w:rPr>
          <w:spacing w:val="-13"/>
          <w:sz w:val="22"/>
        </w:rPr>
        <w:t> </w:t>
      </w:r>
      <w:r>
        <w:rPr>
          <w:sz w:val="22"/>
        </w:rPr>
        <w:t>served,</w:t>
      </w:r>
      <w:r>
        <w:rPr>
          <w:spacing w:val="-11"/>
          <w:sz w:val="22"/>
        </w:rPr>
        <w:t> </w:t>
      </w:r>
      <w:r>
        <w:rPr>
          <w:sz w:val="22"/>
        </w:rPr>
        <w:t>and</w:t>
      </w:r>
      <w:r>
        <w:rPr>
          <w:spacing w:val="-11"/>
          <w:sz w:val="22"/>
        </w:rPr>
        <w:t> </w:t>
      </w:r>
      <w:r>
        <w:rPr>
          <w:sz w:val="22"/>
        </w:rPr>
        <w:t>will</w:t>
      </w:r>
      <w:r>
        <w:rPr>
          <w:spacing w:val="-12"/>
          <w:sz w:val="22"/>
        </w:rPr>
        <w:t> </w:t>
      </w:r>
      <w:r>
        <w:rPr>
          <w:sz w:val="22"/>
        </w:rPr>
        <w:t>include a</w:t>
      </w:r>
      <w:r>
        <w:rPr>
          <w:spacing w:val="-7"/>
          <w:sz w:val="22"/>
        </w:rPr>
        <w:t> </w:t>
      </w:r>
      <w:r>
        <w:rPr>
          <w:sz w:val="22"/>
        </w:rPr>
        <w:t>PMPM</w:t>
      </w:r>
      <w:r>
        <w:rPr>
          <w:spacing w:val="-9"/>
          <w:sz w:val="22"/>
        </w:rPr>
        <w:t> </w:t>
      </w:r>
      <w:r>
        <w:rPr>
          <w:sz w:val="22"/>
        </w:rPr>
        <w:t>rate</w:t>
      </w:r>
      <w:r>
        <w:rPr>
          <w:spacing w:val="-9"/>
          <w:sz w:val="22"/>
        </w:rPr>
        <w:t> </w:t>
      </w:r>
      <w:r>
        <w:rPr>
          <w:sz w:val="22"/>
        </w:rPr>
        <w:t>reflective</w:t>
      </w:r>
      <w:r>
        <w:rPr>
          <w:spacing w:val="-7"/>
          <w:sz w:val="22"/>
        </w:rPr>
        <w:t> </w:t>
      </w:r>
      <w:r>
        <w:rPr>
          <w:sz w:val="22"/>
        </w:rPr>
        <w:t>of</w:t>
      </w:r>
      <w:r>
        <w:rPr>
          <w:spacing w:val="-9"/>
          <w:sz w:val="22"/>
        </w:rPr>
        <w:t> </w:t>
      </w:r>
      <w:r>
        <w:rPr>
          <w:sz w:val="22"/>
        </w:rPr>
        <w:t>the</w:t>
      </w:r>
      <w:r>
        <w:rPr>
          <w:spacing w:val="-7"/>
          <w:sz w:val="22"/>
        </w:rPr>
        <w:t> </w:t>
      </w:r>
      <w:r>
        <w:rPr>
          <w:sz w:val="22"/>
        </w:rPr>
        <w:t>BH</w:t>
      </w:r>
      <w:r>
        <w:rPr>
          <w:spacing w:val="-8"/>
          <w:sz w:val="22"/>
        </w:rPr>
        <w:t> </w:t>
      </w:r>
      <w:r>
        <w:rPr>
          <w:sz w:val="22"/>
        </w:rPr>
        <w:t>CP</w:t>
      </w:r>
      <w:r>
        <w:rPr>
          <w:spacing w:val="-8"/>
          <w:sz w:val="22"/>
        </w:rPr>
        <w:t> </w:t>
      </w:r>
      <w:r>
        <w:rPr>
          <w:sz w:val="22"/>
        </w:rPr>
        <w:t>model.</w:t>
      </w:r>
      <w:r>
        <w:rPr>
          <w:spacing w:val="-11"/>
          <w:sz w:val="22"/>
        </w:rPr>
        <w:t> </w:t>
      </w:r>
      <w:r>
        <w:rPr>
          <w:sz w:val="22"/>
        </w:rPr>
        <w:t>The</w:t>
      </w:r>
      <w:r>
        <w:rPr>
          <w:spacing w:val="-9"/>
          <w:sz w:val="22"/>
        </w:rPr>
        <w:t> </w:t>
      </w:r>
      <w:r>
        <w:rPr>
          <w:sz w:val="22"/>
        </w:rPr>
        <w:t>State</w:t>
      </w:r>
      <w:r>
        <w:rPr>
          <w:spacing w:val="-9"/>
          <w:sz w:val="22"/>
        </w:rPr>
        <w:t> </w:t>
      </w:r>
      <w:r>
        <w:rPr>
          <w:sz w:val="22"/>
        </w:rPr>
        <w:t>will</w:t>
      </w:r>
      <w:r>
        <w:rPr>
          <w:spacing w:val="-8"/>
          <w:sz w:val="22"/>
        </w:rPr>
        <w:t> </w:t>
      </w:r>
      <w:r>
        <w:rPr>
          <w:sz w:val="22"/>
        </w:rPr>
        <w:t>select</w:t>
      </w:r>
      <w:r>
        <w:rPr>
          <w:spacing w:val="-6"/>
          <w:sz w:val="22"/>
        </w:rPr>
        <w:t> </w:t>
      </w:r>
      <w:r>
        <w:rPr>
          <w:sz w:val="22"/>
        </w:rPr>
        <w:t>LTSS</w:t>
      </w:r>
      <w:r>
        <w:rPr>
          <w:spacing w:val="-9"/>
          <w:sz w:val="22"/>
        </w:rPr>
        <w:t> </w:t>
      </w:r>
      <w:r>
        <w:rPr>
          <w:sz w:val="22"/>
        </w:rPr>
        <w:t>CPs</w:t>
      </w:r>
      <w:r>
        <w:rPr>
          <w:spacing w:val="-9"/>
          <w:sz w:val="22"/>
        </w:rPr>
        <w:t> </w:t>
      </w:r>
      <w:r>
        <w:rPr>
          <w:sz w:val="22"/>
        </w:rPr>
        <w:t>to</w:t>
      </w:r>
      <w:r>
        <w:rPr>
          <w:spacing w:val="-9"/>
          <w:sz w:val="22"/>
        </w:rPr>
        <w:t> </w:t>
      </w:r>
      <w:r>
        <w:rPr>
          <w:sz w:val="22"/>
        </w:rPr>
        <w:t>perform</w:t>
      </w:r>
      <w:r>
        <w:rPr>
          <w:spacing w:val="-10"/>
          <w:sz w:val="22"/>
        </w:rPr>
        <w:t> </w:t>
      </w:r>
      <w:r>
        <w:rPr>
          <w:sz w:val="22"/>
        </w:rPr>
        <w:t>enhanced</w:t>
      </w:r>
      <w:r>
        <w:rPr>
          <w:spacing w:val="-7"/>
          <w:sz w:val="22"/>
        </w:rPr>
        <w:t> </w:t>
      </w:r>
      <w:r>
        <w:rPr>
          <w:sz w:val="22"/>
        </w:rPr>
        <w:t>supports via a competitive procurement.</w:t>
      </w:r>
    </w:p>
    <w:p>
      <w:pPr>
        <w:pStyle w:val="ListParagraph"/>
        <w:numPr>
          <w:ilvl w:val="2"/>
          <w:numId w:val="68"/>
        </w:numPr>
        <w:tabs>
          <w:tab w:pos="1939" w:val="left" w:leader="none"/>
        </w:tabs>
        <w:spacing w:line="252" w:lineRule="exact" w:before="201" w:after="0"/>
        <w:ind w:left="1939" w:right="0" w:hanging="719"/>
        <w:jc w:val="both"/>
        <w:rPr>
          <w:b/>
          <w:color w:val="4471C4"/>
          <w:sz w:val="22"/>
        </w:rPr>
      </w:pPr>
      <w:bookmarkStart w:name="4.3.5 LTSS CP Sub-Stream 2: Infrastructu" w:id="1302"/>
      <w:bookmarkEnd w:id="1302"/>
      <w:r>
        <w:rPr/>
      </w:r>
      <w:bookmarkStart w:name="_bookmark45" w:id="1303"/>
      <w:bookmarkEnd w:id="1303"/>
      <w:r>
        <w:rPr/>
      </w:r>
      <w:r>
        <w:rPr>
          <w:b/>
          <w:color w:val="4471C4"/>
          <w:sz w:val="22"/>
        </w:rPr>
        <w:t>LTSS</w:t>
      </w:r>
      <w:r>
        <w:rPr>
          <w:b/>
          <w:color w:val="4471C4"/>
          <w:spacing w:val="-8"/>
          <w:sz w:val="22"/>
        </w:rPr>
        <w:t> </w:t>
      </w:r>
      <w:r>
        <w:rPr>
          <w:b/>
          <w:color w:val="4471C4"/>
          <w:sz w:val="22"/>
        </w:rPr>
        <w:t>CP</w:t>
      </w:r>
      <w:r>
        <w:rPr>
          <w:b/>
          <w:color w:val="4471C4"/>
          <w:spacing w:val="-3"/>
          <w:sz w:val="22"/>
        </w:rPr>
        <w:t> </w:t>
      </w:r>
      <w:r>
        <w:rPr>
          <w:b/>
          <w:color w:val="4471C4"/>
          <w:sz w:val="22"/>
        </w:rPr>
        <w:t>Sub-Stream</w:t>
      </w:r>
      <w:r>
        <w:rPr>
          <w:b/>
          <w:color w:val="4471C4"/>
          <w:spacing w:val="-4"/>
          <w:sz w:val="22"/>
        </w:rPr>
        <w:t> </w:t>
      </w:r>
      <w:r>
        <w:rPr>
          <w:b/>
          <w:color w:val="4471C4"/>
          <w:sz w:val="22"/>
        </w:rPr>
        <w:t>2:</w:t>
      </w:r>
      <w:r>
        <w:rPr>
          <w:b/>
          <w:color w:val="4471C4"/>
          <w:spacing w:val="-4"/>
          <w:sz w:val="22"/>
        </w:rPr>
        <w:t> </w:t>
      </w:r>
      <w:r>
        <w:rPr>
          <w:b/>
          <w:color w:val="4471C4"/>
          <w:sz w:val="22"/>
        </w:rPr>
        <w:t>Infrastructure</w:t>
      </w:r>
      <w:r>
        <w:rPr>
          <w:b/>
          <w:color w:val="4471C4"/>
          <w:spacing w:val="-5"/>
          <w:sz w:val="22"/>
        </w:rPr>
        <w:t> </w:t>
      </w:r>
      <w:r>
        <w:rPr>
          <w:b/>
          <w:color w:val="4471C4"/>
          <w:sz w:val="22"/>
        </w:rPr>
        <w:t>and</w:t>
      </w:r>
      <w:r>
        <w:rPr>
          <w:b/>
          <w:color w:val="4471C4"/>
          <w:spacing w:val="-5"/>
          <w:sz w:val="22"/>
        </w:rPr>
        <w:t> </w:t>
      </w:r>
      <w:r>
        <w:rPr>
          <w:b/>
          <w:color w:val="4471C4"/>
          <w:sz w:val="22"/>
        </w:rPr>
        <w:t>Capacity</w:t>
      </w:r>
      <w:r>
        <w:rPr>
          <w:b/>
          <w:color w:val="4471C4"/>
          <w:spacing w:val="-8"/>
          <w:sz w:val="22"/>
        </w:rPr>
        <w:t> </w:t>
      </w:r>
      <w:r>
        <w:rPr>
          <w:b/>
          <w:color w:val="4471C4"/>
          <w:sz w:val="22"/>
        </w:rPr>
        <w:t>Building</w:t>
      </w:r>
      <w:r>
        <w:rPr>
          <w:b/>
          <w:color w:val="4471C4"/>
          <w:spacing w:val="-7"/>
          <w:sz w:val="22"/>
        </w:rPr>
        <w:t> </w:t>
      </w:r>
      <w:r>
        <w:rPr>
          <w:b/>
          <w:color w:val="4471C4"/>
          <w:spacing w:val="-2"/>
          <w:sz w:val="22"/>
        </w:rPr>
        <w:t>Funding</w:t>
      </w:r>
    </w:p>
    <w:p>
      <w:pPr>
        <w:spacing w:before="0"/>
        <w:ind w:left="1220" w:right="1095" w:firstLine="0"/>
        <w:jc w:val="both"/>
        <w:rPr>
          <w:sz w:val="22"/>
        </w:rPr>
      </w:pPr>
      <w:r>
        <w:rPr>
          <w:sz w:val="22"/>
        </w:rPr>
        <w:t>LTSS CPs will receive funds under LTSS CP sub-stream 2 to make investments to advance the organization’s</w:t>
      </w:r>
      <w:r>
        <w:rPr>
          <w:spacing w:val="-5"/>
          <w:sz w:val="22"/>
        </w:rPr>
        <w:t> </w:t>
      </w:r>
      <w:r>
        <w:rPr>
          <w:sz w:val="22"/>
        </w:rPr>
        <w:t>overall</w:t>
      </w:r>
      <w:r>
        <w:rPr>
          <w:spacing w:val="-5"/>
          <w:sz w:val="22"/>
        </w:rPr>
        <w:t> </w:t>
      </w:r>
      <w:r>
        <w:rPr>
          <w:sz w:val="22"/>
        </w:rPr>
        <w:t>capabilities</w:t>
      </w:r>
      <w:r>
        <w:rPr>
          <w:spacing w:val="-8"/>
          <w:sz w:val="22"/>
        </w:rPr>
        <w:t> </w:t>
      </w:r>
      <w:r>
        <w:rPr>
          <w:sz w:val="22"/>
        </w:rPr>
        <w:t>to</w:t>
      </w:r>
      <w:r>
        <w:rPr>
          <w:spacing w:val="-6"/>
          <w:sz w:val="22"/>
        </w:rPr>
        <w:t> </w:t>
      </w:r>
      <w:r>
        <w:rPr>
          <w:sz w:val="22"/>
        </w:rPr>
        <w:t>support</w:t>
      </w:r>
      <w:r>
        <w:rPr>
          <w:spacing w:val="-7"/>
          <w:sz w:val="22"/>
        </w:rPr>
        <w:t> </w:t>
      </w:r>
      <w:r>
        <w:rPr>
          <w:sz w:val="22"/>
        </w:rPr>
        <w:t>its</w:t>
      </w:r>
      <w:r>
        <w:rPr>
          <w:spacing w:val="-5"/>
          <w:sz w:val="22"/>
        </w:rPr>
        <w:t> </w:t>
      </w:r>
      <w:r>
        <w:rPr>
          <w:sz w:val="22"/>
        </w:rPr>
        <w:t>member</w:t>
      </w:r>
      <w:r>
        <w:rPr>
          <w:spacing w:val="-5"/>
          <w:sz w:val="22"/>
        </w:rPr>
        <w:t> </w:t>
      </w:r>
      <w:r>
        <w:rPr>
          <w:sz w:val="22"/>
        </w:rPr>
        <w:t>population</w:t>
      </w:r>
      <w:r>
        <w:rPr>
          <w:spacing w:val="-8"/>
          <w:sz w:val="22"/>
        </w:rPr>
        <w:t> </w:t>
      </w:r>
      <w:r>
        <w:rPr>
          <w:sz w:val="22"/>
        </w:rPr>
        <w:t>and</w:t>
      </w:r>
      <w:r>
        <w:rPr>
          <w:spacing w:val="-8"/>
          <w:sz w:val="22"/>
        </w:rPr>
        <w:t> </w:t>
      </w:r>
      <w:r>
        <w:rPr>
          <w:sz w:val="22"/>
        </w:rPr>
        <w:t>form</w:t>
      </w:r>
      <w:r>
        <w:rPr>
          <w:spacing w:val="-9"/>
          <w:sz w:val="22"/>
        </w:rPr>
        <w:t> </w:t>
      </w:r>
      <w:r>
        <w:rPr>
          <w:sz w:val="22"/>
        </w:rPr>
        <w:t>partnerships</w:t>
      </w:r>
      <w:r>
        <w:rPr>
          <w:spacing w:val="-8"/>
          <w:sz w:val="22"/>
        </w:rPr>
        <w:t> </w:t>
      </w:r>
      <w:r>
        <w:rPr>
          <w:sz w:val="22"/>
        </w:rPr>
        <w:t>with</w:t>
      </w:r>
      <w:r>
        <w:rPr>
          <w:spacing w:val="-8"/>
          <w:sz w:val="22"/>
        </w:rPr>
        <w:t> </w:t>
      </w:r>
      <w:r>
        <w:rPr>
          <w:sz w:val="22"/>
        </w:rPr>
        <w:t>MCOs</w:t>
      </w:r>
      <w:r>
        <w:rPr>
          <w:spacing w:val="-8"/>
          <w:sz w:val="22"/>
        </w:rPr>
        <w:t> </w:t>
      </w:r>
      <w:r>
        <w:rPr>
          <w:sz w:val="22"/>
        </w:rPr>
        <w:t>and ACOs. Infrastructure funding for LTSS CPs will be disbursed across four categories:</w:t>
      </w:r>
    </w:p>
    <w:p>
      <w:pPr>
        <w:pStyle w:val="ListParagraph"/>
        <w:numPr>
          <w:ilvl w:val="3"/>
          <w:numId w:val="68"/>
        </w:numPr>
        <w:tabs>
          <w:tab w:pos="2300" w:val="left" w:leader="none"/>
        </w:tabs>
        <w:spacing w:line="240" w:lineRule="auto" w:before="159" w:after="0"/>
        <w:ind w:left="2300" w:right="1094" w:hanging="720"/>
        <w:jc w:val="both"/>
        <w:rPr>
          <w:sz w:val="22"/>
        </w:rPr>
      </w:pPr>
      <w:r>
        <w:rPr>
          <w:sz w:val="22"/>
        </w:rPr>
        <w:t>Technology – e.g., HIT and care management software, mobile technology including tablets, laptops and smartphones</w:t>
      </w:r>
      <w:r>
        <w:rPr>
          <w:spacing w:val="-2"/>
          <w:sz w:val="22"/>
        </w:rPr>
        <w:t> </w:t>
      </w:r>
      <w:r>
        <w:rPr>
          <w:sz w:val="22"/>
        </w:rPr>
        <w:t>for CP staff,</w:t>
      </w:r>
      <w:r>
        <w:rPr>
          <w:spacing w:val="-2"/>
          <w:sz w:val="22"/>
        </w:rPr>
        <w:t> </w:t>
      </w:r>
      <w:r>
        <w:rPr>
          <w:sz w:val="22"/>
        </w:rPr>
        <w:t>service delivery</w:t>
      </w:r>
      <w:r>
        <w:rPr>
          <w:spacing w:val="-2"/>
          <w:sz w:val="22"/>
        </w:rPr>
        <w:t> </w:t>
      </w:r>
      <w:r>
        <w:rPr>
          <w:sz w:val="22"/>
        </w:rPr>
        <w:t>technology</w:t>
      </w:r>
      <w:r>
        <w:rPr>
          <w:spacing w:val="-2"/>
          <w:sz w:val="22"/>
        </w:rPr>
        <w:t> </w:t>
      </w:r>
      <w:r>
        <w:rPr>
          <w:sz w:val="22"/>
        </w:rPr>
        <w:t>such as</w:t>
      </w:r>
      <w:r>
        <w:rPr>
          <w:spacing w:val="-2"/>
          <w:sz w:val="22"/>
        </w:rPr>
        <w:t> </w:t>
      </w:r>
      <w:r>
        <w:rPr>
          <w:sz w:val="22"/>
        </w:rPr>
        <w:t>remote</w:t>
      </w:r>
      <w:r>
        <w:rPr>
          <w:spacing w:val="-2"/>
          <w:sz w:val="22"/>
        </w:rPr>
        <w:t> </w:t>
      </w:r>
      <w:r>
        <w:rPr>
          <w:sz w:val="22"/>
        </w:rPr>
        <w:t>monitoring, electronic medication dispensers and reporting software;</w:t>
      </w:r>
    </w:p>
    <w:p>
      <w:pPr>
        <w:pStyle w:val="ListParagraph"/>
        <w:numPr>
          <w:ilvl w:val="3"/>
          <w:numId w:val="68"/>
        </w:numPr>
        <w:tabs>
          <w:tab w:pos="2298" w:val="left" w:leader="none"/>
          <w:tab w:pos="2300" w:val="left" w:leader="none"/>
        </w:tabs>
        <w:spacing w:line="240" w:lineRule="auto" w:before="0" w:after="0"/>
        <w:ind w:left="2300" w:right="1095" w:hanging="721"/>
        <w:jc w:val="both"/>
        <w:rPr>
          <w:sz w:val="22"/>
        </w:rPr>
      </w:pPr>
      <w:r>
        <w:rPr>
          <w:sz w:val="22"/>
        </w:rPr>
        <w:t>Workforce Development - e.g., recruitment support, training and coaching programs and </w:t>
      </w:r>
      <w:r>
        <w:rPr>
          <w:spacing w:val="-2"/>
          <w:sz w:val="22"/>
        </w:rPr>
        <w:t>certifications;</w:t>
      </w:r>
    </w:p>
    <w:p>
      <w:pPr>
        <w:pStyle w:val="ListParagraph"/>
        <w:numPr>
          <w:ilvl w:val="3"/>
          <w:numId w:val="68"/>
        </w:numPr>
        <w:tabs>
          <w:tab w:pos="2299" w:val="left" w:leader="none"/>
        </w:tabs>
        <w:spacing w:line="252" w:lineRule="exact" w:before="0" w:after="0"/>
        <w:ind w:left="2299" w:right="0" w:hanging="719"/>
        <w:jc w:val="both"/>
        <w:rPr>
          <w:sz w:val="22"/>
        </w:rPr>
      </w:pPr>
      <w:r>
        <w:rPr>
          <w:sz w:val="22"/>
        </w:rPr>
        <w:t>Business</w:t>
      </w:r>
      <w:r>
        <w:rPr>
          <w:spacing w:val="-3"/>
          <w:sz w:val="22"/>
        </w:rPr>
        <w:t> </w:t>
      </w:r>
      <w:r>
        <w:rPr>
          <w:sz w:val="22"/>
        </w:rPr>
        <w:t>Startup</w:t>
      </w:r>
      <w:r>
        <w:rPr>
          <w:spacing w:val="-3"/>
          <w:sz w:val="22"/>
        </w:rPr>
        <w:t> </w:t>
      </w:r>
      <w:r>
        <w:rPr>
          <w:sz w:val="22"/>
        </w:rPr>
        <w:t>Costs</w:t>
      </w:r>
      <w:r>
        <w:rPr>
          <w:spacing w:val="-3"/>
          <w:sz w:val="22"/>
        </w:rPr>
        <w:t> </w:t>
      </w:r>
      <w:r>
        <w:rPr>
          <w:sz w:val="22"/>
        </w:rPr>
        <w:t>–</w:t>
      </w:r>
      <w:r>
        <w:rPr>
          <w:spacing w:val="-3"/>
          <w:sz w:val="22"/>
        </w:rPr>
        <w:t> </w:t>
      </w:r>
      <w:r>
        <w:rPr>
          <w:sz w:val="22"/>
        </w:rPr>
        <w:t>e.g.,</w:t>
      </w:r>
      <w:r>
        <w:rPr>
          <w:spacing w:val="-3"/>
          <w:sz w:val="22"/>
        </w:rPr>
        <w:t> </w:t>
      </w:r>
      <w:r>
        <w:rPr>
          <w:sz w:val="22"/>
        </w:rPr>
        <w:t>staffing</w:t>
      </w:r>
      <w:r>
        <w:rPr>
          <w:spacing w:val="-6"/>
          <w:sz w:val="22"/>
        </w:rPr>
        <w:t> </w:t>
      </w:r>
      <w:r>
        <w:rPr>
          <w:sz w:val="22"/>
        </w:rPr>
        <w:t>and</w:t>
      </w:r>
      <w:r>
        <w:rPr>
          <w:spacing w:val="-2"/>
          <w:sz w:val="22"/>
        </w:rPr>
        <w:t> </w:t>
      </w:r>
      <w:r>
        <w:rPr>
          <w:sz w:val="22"/>
        </w:rPr>
        <w:t>startup</w:t>
      </w:r>
      <w:r>
        <w:rPr>
          <w:spacing w:val="-3"/>
          <w:sz w:val="22"/>
        </w:rPr>
        <w:t> </w:t>
      </w:r>
      <w:r>
        <w:rPr>
          <w:sz w:val="22"/>
        </w:rPr>
        <w:t>costs</w:t>
      </w:r>
      <w:r>
        <w:rPr>
          <w:spacing w:val="-3"/>
          <w:sz w:val="22"/>
        </w:rPr>
        <w:t> </w:t>
      </w:r>
      <w:r>
        <w:rPr>
          <w:sz w:val="22"/>
        </w:rPr>
        <w:t>to</w:t>
      </w:r>
      <w:r>
        <w:rPr>
          <w:spacing w:val="-3"/>
          <w:sz w:val="22"/>
        </w:rPr>
        <w:t> </w:t>
      </w:r>
      <w:r>
        <w:rPr>
          <w:sz w:val="22"/>
        </w:rPr>
        <w:t>develop</w:t>
      </w:r>
      <w:r>
        <w:rPr>
          <w:spacing w:val="-6"/>
          <w:sz w:val="22"/>
        </w:rPr>
        <w:t> </w:t>
      </w:r>
      <w:r>
        <w:rPr>
          <w:sz w:val="22"/>
        </w:rPr>
        <w:t>full</w:t>
      </w:r>
      <w:r>
        <w:rPr>
          <w:spacing w:val="-2"/>
          <w:sz w:val="22"/>
        </w:rPr>
        <w:t> </w:t>
      </w:r>
      <w:r>
        <w:rPr>
          <w:sz w:val="22"/>
        </w:rPr>
        <w:t>caseload</w:t>
      </w:r>
      <w:r>
        <w:rPr>
          <w:spacing w:val="-5"/>
          <w:sz w:val="22"/>
        </w:rPr>
        <w:t> </w:t>
      </w:r>
      <w:r>
        <w:rPr>
          <w:spacing w:val="-2"/>
          <w:sz w:val="22"/>
        </w:rPr>
        <w:t>capacities</w:t>
      </w:r>
    </w:p>
    <w:p>
      <w:pPr>
        <w:pStyle w:val="ListParagraph"/>
        <w:numPr>
          <w:ilvl w:val="3"/>
          <w:numId w:val="68"/>
        </w:numPr>
        <w:tabs>
          <w:tab w:pos="2298" w:val="left" w:leader="none"/>
          <w:tab w:pos="2300" w:val="left" w:leader="none"/>
        </w:tabs>
        <w:spacing w:line="240" w:lineRule="auto" w:before="0" w:after="0"/>
        <w:ind w:left="2300" w:right="1094" w:hanging="721"/>
        <w:jc w:val="both"/>
        <w:rPr>
          <w:sz w:val="22"/>
        </w:rPr>
      </w:pPr>
      <w:r>
        <w:rPr>
          <w:sz w:val="22"/>
        </w:rPr>
        <w:t>Operational Infrastructure – e.g., IT project management, system change resources, data analytics</w:t>
      </w:r>
      <w:r>
        <w:rPr>
          <w:spacing w:val="-9"/>
          <w:sz w:val="22"/>
        </w:rPr>
        <w:t> </w:t>
      </w:r>
      <w:r>
        <w:rPr>
          <w:sz w:val="22"/>
        </w:rPr>
        <w:t>capabilities</w:t>
      </w:r>
      <w:r>
        <w:rPr>
          <w:spacing w:val="-9"/>
          <w:sz w:val="22"/>
        </w:rPr>
        <w:t> </w:t>
      </w:r>
      <w:r>
        <w:rPr>
          <w:sz w:val="22"/>
        </w:rPr>
        <w:t>performance</w:t>
      </w:r>
      <w:r>
        <w:rPr>
          <w:spacing w:val="-6"/>
          <w:sz w:val="22"/>
        </w:rPr>
        <w:t> </w:t>
      </w:r>
      <w:r>
        <w:rPr>
          <w:sz w:val="22"/>
        </w:rPr>
        <w:t>management</w:t>
      </w:r>
      <w:r>
        <w:rPr>
          <w:spacing w:val="-6"/>
          <w:sz w:val="22"/>
        </w:rPr>
        <w:t> </w:t>
      </w:r>
      <w:r>
        <w:rPr>
          <w:sz w:val="22"/>
        </w:rPr>
        <w:t>capabilities</w:t>
      </w:r>
      <w:r>
        <w:rPr>
          <w:spacing w:val="-9"/>
          <w:sz w:val="22"/>
        </w:rPr>
        <w:t> </w:t>
      </w:r>
      <w:r>
        <w:rPr>
          <w:sz w:val="22"/>
        </w:rPr>
        <w:t>and</w:t>
      </w:r>
      <w:r>
        <w:rPr>
          <w:spacing w:val="-9"/>
          <w:sz w:val="22"/>
        </w:rPr>
        <w:t> </w:t>
      </w:r>
      <w:r>
        <w:rPr>
          <w:sz w:val="22"/>
        </w:rPr>
        <w:t>additional</w:t>
      </w:r>
      <w:r>
        <w:rPr>
          <w:spacing w:val="-8"/>
          <w:sz w:val="22"/>
        </w:rPr>
        <w:t> </w:t>
      </w:r>
      <w:r>
        <w:rPr>
          <w:sz w:val="22"/>
        </w:rPr>
        <w:t>operational</w:t>
      </w:r>
      <w:r>
        <w:rPr>
          <w:spacing w:val="-8"/>
          <w:sz w:val="22"/>
        </w:rPr>
        <w:t> </w:t>
      </w:r>
      <w:r>
        <w:rPr>
          <w:sz w:val="22"/>
        </w:rPr>
        <w:t>support</w:t>
      </w:r>
    </w:p>
    <w:p>
      <w:pPr>
        <w:pStyle w:val="ListParagraph"/>
        <w:numPr>
          <w:ilvl w:val="2"/>
          <w:numId w:val="68"/>
        </w:numPr>
        <w:tabs>
          <w:tab w:pos="1939" w:val="left" w:leader="none"/>
        </w:tabs>
        <w:spacing w:line="252" w:lineRule="exact" w:before="201" w:after="0"/>
        <w:ind w:left="1939" w:right="0" w:hanging="719"/>
        <w:jc w:val="both"/>
        <w:rPr>
          <w:b/>
          <w:color w:val="4471C4"/>
          <w:sz w:val="22"/>
        </w:rPr>
      </w:pPr>
      <w:bookmarkStart w:name="4.3.6 LTSS CP Sub-Stream 3: Outcomes-Bas" w:id="1304"/>
      <w:bookmarkEnd w:id="1304"/>
      <w:r>
        <w:rPr/>
      </w:r>
      <w:bookmarkStart w:name="_bookmark46" w:id="1305"/>
      <w:bookmarkEnd w:id="1305"/>
      <w:r>
        <w:rPr/>
      </w:r>
      <w:r>
        <w:rPr>
          <w:b/>
          <w:color w:val="4471C4"/>
          <w:sz w:val="22"/>
        </w:rPr>
        <w:t>LTSS</w:t>
      </w:r>
      <w:r>
        <w:rPr>
          <w:b/>
          <w:color w:val="4471C4"/>
          <w:spacing w:val="-6"/>
          <w:sz w:val="22"/>
        </w:rPr>
        <w:t> </w:t>
      </w:r>
      <w:r>
        <w:rPr>
          <w:b/>
          <w:color w:val="4471C4"/>
          <w:sz w:val="22"/>
        </w:rPr>
        <w:t>CP</w:t>
      </w:r>
      <w:r>
        <w:rPr>
          <w:b/>
          <w:color w:val="4471C4"/>
          <w:spacing w:val="-3"/>
          <w:sz w:val="22"/>
        </w:rPr>
        <w:t> </w:t>
      </w:r>
      <w:r>
        <w:rPr>
          <w:b/>
          <w:color w:val="4471C4"/>
          <w:sz w:val="22"/>
        </w:rPr>
        <w:t>Sub-Stream</w:t>
      </w:r>
      <w:r>
        <w:rPr>
          <w:b/>
          <w:color w:val="4471C4"/>
          <w:spacing w:val="-4"/>
          <w:sz w:val="22"/>
        </w:rPr>
        <w:t> </w:t>
      </w:r>
      <w:r>
        <w:rPr>
          <w:b/>
          <w:color w:val="4471C4"/>
          <w:sz w:val="22"/>
        </w:rPr>
        <w:t>3:</w:t>
      </w:r>
      <w:r>
        <w:rPr>
          <w:b/>
          <w:color w:val="4471C4"/>
          <w:spacing w:val="-7"/>
          <w:sz w:val="22"/>
        </w:rPr>
        <w:t> </w:t>
      </w:r>
      <w:r>
        <w:rPr>
          <w:b/>
          <w:color w:val="4471C4"/>
          <w:sz w:val="22"/>
        </w:rPr>
        <w:t>Outcomes-Based</w:t>
      </w:r>
      <w:r>
        <w:rPr>
          <w:b/>
          <w:color w:val="4471C4"/>
          <w:spacing w:val="-7"/>
          <w:sz w:val="22"/>
        </w:rPr>
        <w:t> </w:t>
      </w:r>
      <w:r>
        <w:rPr>
          <w:b/>
          <w:color w:val="4471C4"/>
          <w:spacing w:val="-2"/>
          <w:sz w:val="22"/>
        </w:rPr>
        <w:t>Payments</w:t>
      </w:r>
    </w:p>
    <w:p>
      <w:pPr>
        <w:spacing w:before="0"/>
        <w:ind w:left="1220" w:right="1095" w:firstLine="0"/>
        <w:jc w:val="both"/>
        <w:rPr>
          <w:sz w:val="22"/>
        </w:rPr>
      </w:pPr>
      <w:r>
        <w:rPr>
          <w:sz w:val="22"/>
        </w:rPr>
        <w:t>LTSS CPs will have the opportunity to earn additional payments under LTSS CP sub-stream 3 in Budget Periods 3 through 5 by reaching high levels of achievement on avoidable utilization metrics. The State anticipates</w:t>
      </w:r>
      <w:r>
        <w:rPr>
          <w:spacing w:val="-2"/>
          <w:sz w:val="22"/>
        </w:rPr>
        <w:t> </w:t>
      </w:r>
      <w:r>
        <w:rPr>
          <w:sz w:val="22"/>
        </w:rPr>
        <w:t>submitting</w:t>
      </w:r>
      <w:r>
        <w:rPr>
          <w:spacing w:val="-5"/>
          <w:sz w:val="22"/>
        </w:rPr>
        <w:t> </w:t>
      </w:r>
      <w:r>
        <w:rPr>
          <w:sz w:val="22"/>
        </w:rPr>
        <w:t>performance</w:t>
      </w:r>
      <w:r>
        <w:rPr>
          <w:spacing w:val="-2"/>
          <w:sz w:val="22"/>
        </w:rPr>
        <w:t> </w:t>
      </w:r>
      <w:r>
        <w:rPr>
          <w:sz w:val="22"/>
        </w:rPr>
        <w:t>targets</w:t>
      </w:r>
      <w:r>
        <w:rPr>
          <w:spacing w:val="-2"/>
          <w:sz w:val="22"/>
        </w:rPr>
        <w:t> </w:t>
      </w:r>
      <w:r>
        <w:rPr>
          <w:sz w:val="22"/>
        </w:rPr>
        <w:t>to</w:t>
      </w:r>
      <w:r>
        <w:rPr>
          <w:spacing w:val="-2"/>
          <w:sz w:val="22"/>
        </w:rPr>
        <w:t> </w:t>
      </w:r>
      <w:r>
        <w:rPr>
          <w:sz w:val="22"/>
        </w:rPr>
        <w:t>CMS</w:t>
      </w:r>
      <w:r>
        <w:rPr>
          <w:spacing w:val="-5"/>
          <w:sz w:val="22"/>
        </w:rPr>
        <w:t> </w:t>
      </w:r>
      <w:r>
        <w:rPr>
          <w:sz w:val="22"/>
        </w:rPr>
        <w:t>for</w:t>
      </w:r>
      <w:r>
        <w:rPr>
          <w:spacing w:val="-1"/>
          <w:sz w:val="22"/>
        </w:rPr>
        <w:t> </w:t>
      </w:r>
      <w:r>
        <w:rPr>
          <w:sz w:val="22"/>
        </w:rPr>
        <w:t>approval</w:t>
      </w:r>
      <w:r>
        <w:rPr>
          <w:spacing w:val="-1"/>
          <w:sz w:val="22"/>
        </w:rPr>
        <w:t> </w:t>
      </w:r>
      <w:r>
        <w:rPr>
          <w:sz w:val="22"/>
        </w:rPr>
        <w:t>in</w:t>
      </w:r>
      <w:r>
        <w:rPr>
          <w:spacing w:val="-3"/>
          <w:sz w:val="22"/>
        </w:rPr>
        <w:t> </w:t>
      </w:r>
      <w:r>
        <w:rPr>
          <w:sz w:val="22"/>
        </w:rPr>
        <w:t>Q3</w:t>
      </w:r>
      <w:r>
        <w:rPr>
          <w:spacing w:val="-2"/>
          <w:sz w:val="22"/>
        </w:rPr>
        <w:t> </w:t>
      </w:r>
      <w:r>
        <w:rPr>
          <w:sz w:val="22"/>
        </w:rPr>
        <w:t>CY2021,</w:t>
      </w:r>
      <w:r>
        <w:rPr>
          <w:spacing w:val="-2"/>
          <w:sz w:val="22"/>
        </w:rPr>
        <w:t> </w:t>
      </w:r>
      <w:r>
        <w:rPr>
          <w:sz w:val="22"/>
        </w:rPr>
        <w:t>in</w:t>
      </w:r>
      <w:r>
        <w:rPr>
          <w:spacing w:val="-2"/>
          <w:sz w:val="22"/>
        </w:rPr>
        <w:t> </w:t>
      </w:r>
      <w:r>
        <w:rPr>
          <w:sz w:val="22"/>
        </w:rPr>
        <w:t>alignment</w:t>
      </w:r>
      <w:r>
        <w:rPr>
          <w:spacing w:val="-1"/>
          <w:sz w:val="22"/>
        </w:rPr>
        <w:t> </w:t>
      </w:r>
      <w:r>
        <w:rPr>
          <w:sz w:val="22"/>
        </w:rPr>
        <w:t>with</w:t>
      </w:r>
      <w:r>
        <w:rPr>
          <w:spacing w:val="-2"/>
          <w:sz w:val="22"/>
        </w:rPr>
        <w:t> </w:t>
      </w:r>
      <w:r>
        <w:rPr>
          <w:sz w:val="22"/>
        </w:rPr>
        <w:t>when</w:t>
      </w:r>
      <w:r>
        <w:rPr>
          <w:spacing w:val="-5"/>
          <w:sz w:val="22"/>
        </w:rPr>
        <w:t> </w:t>
      </w:r>
      <w:r>
        <w:rPr>
          <w:sz w:val="22"/>
        </w:rPr>
        <w:t>it anticipates submitting benchmarks to CMS for the avoidable utilization metrics.</w:t>
      </w:r>
    </w:p>
    <w:p>
      <w:pPr>
        <w:spacing w:after="0"/>
        <w:jc w:val="both"/>
        <w:rPr>
          <w:sz w:val="22"/>
        </w:rPr>
        <w:sectPr>
          <w:pgSz w:w="12240" w:h="15840"/>
          <w:pgMar w:header="0" w:footer="967" w:top="1360" w:bottom="1160" w:left="220" w:right="340"/>
        </w:sectPr>
      </w:pPr>
    </w:p>
    <w:p>
      <w:pPr>
        <w:pStyle w:val="ListParagraph"/>
        <w:numPr>
          <w:ilvl w:val="2"/>
          <w:numId w:val="68"/>
        </w:numPr>
        <w:tabs>
          <w:tab w:pos="1938" w:val="left" w:leader="none"/>
        </w:tabs>
        <w:spacing w:line="252" w:lineRule="exact" w:before="78" w:after="0"/>
        <w:ind w:left="1938" w:right="0" w:hanging="719"/>
        <w:jc w:val="both"/>
        <w:rPr>
          <w:b/>
          <w:color w:val="4471C4"/>
          <w:sz w:val="22"/>
        </w:rPr>
      </w:pPr>
      <w:bookmarkStart w:name="4.3.7 CSA Sub-Stream 1: Infrastructure a" w:id="1306"/>
      <w:bookmarkEnd w:id="1306"/>
      <w:r>
        <w:rPr/>
      </w:r>
      <w:bookmarkStart w:name="_bookmark47" w:id="1307"/>
      <w:bookmarkEnd w:id="1307"/>
      <w:r>
        <w:rPr/>
      </w:r>
      <w:r>
        <w:rPr>
          <w:b/>
          <w:color w:val="4471C4"/>
          <w:sz w:val="22"/>
        </w:rPr>
        <w:t>CSA</w:t>
      </w:r>
      <w:r>
        <w:rPr>
          <w:b/>
          <w:color w:val="4471C4"/>
          <w:spacing w:val="-8"/>
          <w:sz w:val="22"/>
        </w:rPr>
        <w:t> </w:t>
      </w:r>
      <w:r>
        <w:rPr>
          <w:b/>
          <w:color w:val="4471C4"/>
          <w:sz w:val="22"/>
        </w:rPr>
        <w:t>Sub-Stream</w:t>
      </w:r>
      <w:r>
        <w:rPr>
          <w:b/>
          <w:color w:val="4471C4"/>
          <w:spacing w:val="-4"/>
          <w:sz w:val="22"/>
        </w:rPr>
        <w:t> </w:t>
      </w:r>
      <w:r>
        <w:rPr>
          <w:b/>
          <w:color w:val="4471C4"/>
          <w:sz w:val="22"/>
        </w:rPr>
        <w:t>1:</w:t>
      </w:r>
      <w:r>
        <w:rPr>
          <w:b/>
          <w:color w:val="4471C4"/>
          <w:spacing w:val="-4"/>
          <w:sz w:val="22"/>
        </w:rPr>
        <w:t> </w:t>
      </w:r>
      <w:r>
        <w:rPr>
          <w:b/>
          <w:color w:val="4471C4"/>
          <w:sz w:val="22"/>
        </w:rPr>
        <w:t>Infrastructure</w:t>
      </w:r>
      <w:r>
        <w:rPr>
          <w:b/>
          <w:color w:val="4471C4"/>
          <w:spacing w:val="-5"/>
          <w:sz w:val="22"/>
        </w:rPr>
        <w:t> </w:t>
      </w:r>
      <w:r>
        <w:rPr>
          <w:b/>
          <w:color w:val="4471C4"/>
          <w:sz w:val="22"/>
        </w:rPr>
        <w:t>and</w:t>
      </w:r>
      <w:r>
        <w:rPr>
          <w:b/>
          <w:color w:val="4471C4"/>
          <w:spacing w:val="-6"/>
          <w:sz w:val="22"/>
        </w:rPr>
        <w:t> </w:t>
      </w:r>
      <w:r>
        <w:rPr>
          <w:b/>
          <w:color w:val="4471C4"/>
          <w:sz w:val="22"/>
        </w:rPr>
        <w:t>Capacity</w:t>
      </w:r>
      <w:r>
        <w:rPr>
          <w:b/>
          <w:color w:val="4471C4"/>
          <w:spacing w:val="-5"/>
          <w:sz w:val="22"/>
        </w:rPr>
        <w:t> </w:t>
      </w:r>
      <w:r>
        <w:rPr>
          <w:b/>
          <w:color w:val="4471C4"/>
          <w:sz w:val="22"/>
        </w:rPr>
        <w:t>Building</w:t>
      </w:r>
      <w:r>
        <w:rPr>
          <w:b/>
          <w:color w:val="4471C4"/>
          <w:spacing w:val="-7"/>
          <w:sz w:val="22"/>
        </w:rPr>
        <w:t> </w:t>
      </w:r>
      <w:r>
        <w:rPr>
          <w:b/>
          <w:color w:val="4471C4"/>
          <w:spacing w:val="-2"/>
          <w:sz w:val="22"/>
        </w:rPr>
        <w:t>Funding</w:t>
      </w:r>
    </w:p>
    <w:p>
      <w:pPr>
        <w:spacing w:before="0"/>
        <w:ind w:left="1219" w:right="1095" w:firstLine="0"/>
        <w:jc w:val="both"/>
        <w:rPr>
          <w:sz w:val="22"/>
        </w:rPr>
      </w:pPr>
      <w:r>
        <w:rPr>
          <w:sz w:val="22"/>
        </w:rPr>
        <w:t>CSAs</w:t>
      </w:r>
      <w:r>
        <w:rPr>
          <w:spacing w:val="-6"/>
          <w:sz w:val="22"/>
        </w:rPr>
        <w:t> </w:t>
      </w:r>
      <w:r>
        <w:rPr>
          <w:sz w:val="22"/>
        </w:rPr>
        <w:t>will</w:t>
      </w:r>
      <w:r>
        <w:rPr>
          <w:spacing w:val="-5"/>
          <w:sz w:val="22"/>
        </w:rPr>
        <w:t> </w:t>
      </w:r>
      <w:r>
        <w:rPr>
          <w:sz w:val="22"/>
        </w:rPr>
        <w:t>receive</w:t>
      </w:r>
      <w:r>
        <w:rPr>
          <w:spacing w:val="-6"/>
          <w:sz w:val="22"/>
        </w:rPr>
        <w:t> </w:t>
      </w:r>
      <w:r>
        <w:rPr>
          <w:sz w:val="22"/>
        </w:rPr>
        <w:t>funds</w:t>
      </w:r>
      <w:r>
        <w:rPr>
          <w:spacing w:val="-6"/>
          <w:sz w:val="22"/>
        </w:rPr>
        <w:t> </w:t>
      </w:r>
      <w:r>
        <w:rPr>
          <w:sz w:val="22"/>
        </w:rPr>
        <w:t>under</w:t>
      </w:r>
      <w:r>
        <w:rPr>
          <w:spacing w:val="-5"/>
          <w:sz w:val="22"/>
        </w:rPr>
        <w:t> </w:t>
      </w:r>
      <w:r>
        <w:rPr>
          <w:sz w:val="22"/>
        </w:rPr>
        <w:t>CSA</w:t>
      </w:r>
      <w:r>
        <w:rPr>
          <w:spacing w:val="-7"/>
          <w:sz w:val="22"/>
        </w:rPr>
        <w:t> </w:t>
      </w:r>
      <w:r>
        <w:rPr>
          <w:sz w:val="22"/>
        </w:rPr>
        <w:t>sub-stream</w:t>
      </w:r>
      <w:r>
        <w:rPr>
          <w:spacing w:val="-10"/>
          <w:sz w:val="22"/>
        </w:rPr>
        <w:t> </w:t>
      </w:r>
      <w:r>
        <w:rPr>
          <w:sz w:val="22"/>
        </w:rPr>
        <w:t>1</w:t>
      </w:r>
      <w:r>
        <w:rPr>
          <w:spacing w:val="-6"/>
          <w:sz w:val="22"/>
        </w:rPr>
        <w:t> </w:t>
      </w:r>
      <w:r>
        <w:rPr>
          <w:sz w:val="22"/>
        </w:rPr>
        <w:t>to</w:t>
      </w:r>
      <w:r>
        <w:rPr>
          <w:spacing w:val="-4"/>
          <w:sz w:val="22"/>
        </w:rPr>
        <w:t> </w:t>
      </w:r>
      <w:r>
        <w:rPr>
          <w:sz w:val="22"/>
        </w:rPr>
        <w:t>make</w:t>
      </w:r>
      <w:r>
        <w:rPr>
          <w:spacing w:val="-6"/>
          <w:sz w:val="22"/>
        </w:rPr>
        <w:t> </w:t>
      </w:r>
      <w:r>
        <w:rPr>
          <w:sz w:val="22"/>
        </w:rPr>
        <w:t>investments</w:t>
      </w:r>
      <w:r>
        <w:rPr>
          <w:spacing w:val="-6"/>
          <w:sz w:val="22"/>
        </w:rPr>
        <w:t> </w:t>
      </w:r>
      <w:r>
        <w:rPr>
          <w:sz w:val="22"/>
        </w:rPr>
        <w:t>to</w:t>
      </w:r>
      <w:r>
        <w:rPr>
          <w:spacing w:val="-6"/>
          <w:sz w:val="22"/>
        </w:rPr>
        <w:t> </w:t>
      </w:r>
      <w:r>
        <w:rPr>
          <w:sz w:val="22"/>
        </w:rPr>
        <w:t>advance</w:t>
      </w:r>
      <w:r>
        <w:rPr>
          <w:spacing w:val="-8"/>
          <w:sz w:val="22"/>
        </w:rPr>
        <w:t> </w:t>
      </w:r>
      <w:r>
        <w:rPr>
          <w:sz w:val="22"/>
        </w:rPr>
        <w:t>their</w:t>
      </w:r>
      <w:r>
        <w:rPr>
          <w:spacing w:val="-5"/>
          <w:sz w:val="22"/>
        </w:rPr>
        <w:t> </w:t>
      </w:r>
      <w:r>
        <w:rPr>
          <w:sz w:val="22"/>
        </w:rPr>
        <w:t>overall</w:t>
      </w:r>
      <w:r>
        <w:rPr>
          <w:spacing w:val="-5"/>
          <w:sz w:val="22"/>
        </w:rPr>
        <w:t> </w:t>
      </w:r>
      <w:r>
        <w:rPr>
          <w:sz w:val="22"/>
        </w:rPr>
        <w:t>capabilities to</w:t>
      </w:r>
      <w:r>
        <w:rPr>
          <w:spacing w:val="-14"/>
          <w:sz w:val="22"/>
        </w:rPr>
        <w:t> </w:t>
      </w:r>
      <w:r>
        <w:rPr>
          <w:sz w:val="22"/>
        </w:rPr>
        <w:t>support</w:t>
      </w:r>
      <w:r>
        <w:rPr>
          <w:spacing w:val="-14"/>
          <w:sz w:val="22"/>
        </w:rPr>
        <w:t> </w:t>
      </w:r>
      <w:r>
        <w:rPr>
          <w:sz w:val="22"/>
        </w:rPr>
        <w:t>their</w:t>
      </w:r>
      <w:r>
        <w:rPr>
          <w:spacing w:val="-14"/>
          <w:sz w:val="22"/>
        </w:rPr>
        <w:t> </w:t>
      </w:r>
      <w:r>
        <w:rPr>
          <w:sz w:val="22"/>
        </w:rPr>
        <w:t>member</w:t>
      </w:r>
      <w:r>
        <w:rPr>
          <w:spacing w:val="-13"/>
          <w:sz w:val="22"/>
        </w:rPr>
        <w:t> </w:t>
      </w:r>
      <w:r>
        <w:rPr>
          <w:sz w:val="22"/>
        </w:rPr>
        <w:t>populations</w:t>
      </w:r>
      <w:r>
        <w:rPr>
          <w:spacing w:val="-14"/>
          <w:sz w:val="22"/>
        </w:rPr>
        <w:t> </w:t>
      </w:r>
      <w:r>
        <w:rPr>
          <w:sz w:val="22"/>
        </w:rPr>
        <w:t>and</w:t>
      </w:r>
      <w:r>
        <w:rPr>
          <w:spacing w:val="-14"/>
          <w:sz w:val="22"/>
        </w:rPr>
        <w:t> </w:t>
      </w:r>
      <w:r>
        <w:rPr>
          <w:sz w:val="22"/>
        </w:rPr>
        <w:t>to</w:t>
      </w:r>
      <w:r>
        <w:rPr>
          <w:spacing w:val="-14"/>
          <w:sz w:val="22"/>
        </w:rPr>
        <w:t> </w:t>
      </w:r>
      <w:r>
        <w:rPr>
          <w:sz w:val="22"/>
        </w:rPr>
        <w:t>form</w:t>
      </w:r>
      <w:r>
        <w:rPr>
          <w:spacing w:val="-13"/>
          <w:sz w:val="22"/>
        </w:rPr>
        <w:t> </w:t>
      </w:r>
      <w:r>
        <w:rPr>
          <w:sz w:val="22"/>
        </w:rPr>
        <w:t>partnerships</w:t>
      </w:r>
      <w:r>
        <w:rPr>
          <w:spacing w:val="-14"/>
          <w:sz w:val="22"/>
        </w:rPr>
        <w:t> </w:t>
      </w:r>
      <w:r>
        <w:rPr>
          <w:sz w:val="22"/>
        </w:rPr>
        <w:t>with</w:t>
      </w:r>
      <w:r>
        <w:rPr>
          <w:spacing w:val="-14"/>
          <w:sz w:val="22"/>
        </w:rPr>
        <w:t> </w:t>
      </w:r>
      <w:r>
        <w:rPr>
          <w:sz w:val="22"/>
        </w:rPr>
        <w:t>MCOs</w:t>
      </w:r>
      <w:r>
        <w:rPr>
          <w:spacing w:val="-14"/>
          <w:sz w:val="22"/>
        </w:rPr>
        <w:t> </w:t>
      </w:r>
      <w:r>
        <w:rPr>
          <w:sz w:val="22"/>
        </w:rPr>
        <w:t>and</w:t>
      </w:r>
      <w:r>
        <w:rPr>
          <w:spacing w:val="-13"/>
          <w:sz w:val="22"/>
        </w:rPr>
        <w:t> </w:t>
      </w:r>
      <w:r>
        <w:rPr>
          <w:sz w:val="22"/>
        </w:rPr>
        <w:t>ACOs.</w:t>
      </w:r>
      <w:r>
        <w:rPr>
          <w:spacing w:val="-14"/>
          <w:sz w:val="22"/>
        </w:rPr>
        <w:t> </w:t>
      </w:r>
      <w:r>
        <w:rPr>
          <w:sz w:val="22"/>
        </w:rPr>
        <w:t>Infrastructure</w:t>
      </w:r>
      <w:r>
        <w:rPr>
          <w:spacing w:val="-14"/>
          <w:sz w:val="22"/>
        </w:rPr>
        <w:t> </w:t>
      </w:r>
      <w:r>
        <w:rPr>
          <w:sz w:val="22"/>
        </w:rPr>
        <w:t>funding for CSAs will be disbursed across three categories:</w:t>
      </w:r>
    </w:p>
    <w:p>
      <w:pPr>
        <w:pStyle w:val="ListParagraph"/>
        <w:numPr>
          <w:ilvl w:val="3"/>
          <w:numId w:val="68"/>
        </w:numPr>
        <w:tabs>
          <w:tab w:pos="2299" w:val="left" w:leader="none"/>
        </w:tabs>
        <w:spacing w:line="240" w:lineRule="auto" w:before="160" w:after="0"/>
        <w:ind w:left="2299" w:right="1095" w:hanging="720"/>
        <w:jc w:val="both"/>
        <w:rPr>
          <w:sz w:val="22"/>
        </w:rPr>
      </w:pPr>
      <w:r>
        <w:rPr>
          <w:sz w:val="22"/>
        </w:rPr>
        <w:t>Technology – e.g., HIT and care management software, mobile technology including tablets, laptops and smartphones</w:t>
      </w:r>
      <w:r>
        <w:rPr>
          <w:spacing w:val="-2"/>
          <w:sz w:val="22"/>
        </w:rPr>
        <w:t> </w:t>
      </w:r>
      <w:r>
        <w:rPr>
          <w:sz w:val="22"/>
        </w:rPr>
        <w:t>for CP staff,</w:t>
      </w:r>
      <w:r>
        <w:rPr>
          <w:spacing w:val="-2"/>
          <w:sz w:val="22"/>
        </w:rPr>
        <w:t> </w:t>
      </w:r>
      <w:r>
        <w:rPr>
          <w:sz w:val="22"/>
        </w:rPr>
        <w:t>service delivery</w:t>
      </w:r>
      <w:r>
        <w:rPr>
          <w:spacing w:val="-2"/>
          <w:sz w:val="22"/>
        </w:rPr>
        <w:t> </w:t>
      </w:r>
      <w:r>
        <w:rPr>
          <w:sz w:val="22"/>
        </w:rPr>
        <w:t>technology</w:t>
      </w:r>
      <w:r>
        <w:rPr>
          <w:spacing w:val="-2"/>
          <w:sz w:val="22"/>
        </w:rPr>
        <w:t> </w:t>
      </w:r>
      <w:r>
        <w:rPr>
          <w:sz w:val="22"/>
        </w:rPr>
        <w:t>such as</w:t>
      </w:r>
      <w:r>
        <w:rPr>
          <w:spacing w:val="-2"/>
          <w:sz w:val="22"/>
        </w:rPr>
        <w:t> </w:t>
      </w:r>
      <w:r>
        <w:rPr>
          <w:sz w:val="22"/>
        </w:rPr>
        <w:t>remote</w:t>
      </w:r>
      <w:r>
        <w:rPr>
          <w:spacing w:val="-2"/>
          <w:sz w:val="22"/>
        </w:rPr>
        <w:t> </w:t>
      </w:r>
      <w:r>
        <w:rPr>
          <w:sz w:val="22"/>
        </w:rPr>
        <w:t>monitoring, electronic medication dispensers reporting software</w:t>
      </w:r>
    </w:p>
    <w:p>
      <w:pPr>
        <w:pStyle w:val="ListParagraph"/>
        <w:numPr>
          <w:ilvl w:val="3"/>
          <w:numId w:val="68"/>
        </w:numPr>
        <w:tabs>
          <w:tab w:pos="2297" w:val="left" w:leader="none"/>
          <w:tab w:pos="2299" w:val="left" w:leader="none"/>
        </w:tabs>
        <w:spacing w:line="240" w:lineRule="auto" w:before="2" w:after="0"/>
        <w:ind w:left="2299" w:right="1096" w:hanging="721"/>
        <w:jc w:val="both"/>
        <w:rPr>
          <w:sz w:val="22"/>
        </w:rPr>
      </w:pPr>
      <w:r>
        <w:rPr>
          <w:sz w:val="22"/>
        </w:rPr>
        <w:t>Workforce Development - e.g., recruitment support, training and coaching programs and </w:t>
      </w:r>
      <w:r>
        <w:rPr>
          <w:spacing w:val="-2"/>
          <w:sz w:val="22"/>
        </w:rPr>
        <w:t>certifications;</w:t>
      </w:r>
    </w:p>
    <w:p>
      <w:pPr>
        <w:pStyle w:val="ListParagraph"/>
        <w:numPr>
          <w:ilvl w:val="3"/>
          <w:numId w:val="68"/>
        </w:numPr>
        <w:tabs>
          <w:tab w:pos="2297" w:val="left" w:leader="none"/>
          <w:tab w:pos="2299" w:val="left" w:leader="none"/>
        </w:tabs>
        <w:spacing w:line="242" w:lineRule="auto" w:before="0" w:after="0"/>
        <w:ind w:left="2299" w:right="1095" w:hanging="721"/>
        <w:jc w:val="both"/>
        <w:rPr>
          <w:sz w:val="22"/>
        </w:rPr>
      </w:pPr>
      <w:r>
        <w:rPr>
          <w:sz w:val="22"/>
        </w:rPr>
        <w:t>Operational Infrastructure – e.g., IT project management, system change resources, data </w:t>
      </w:r>
      <w:bookmarkStart w:name="4.4 Payment Calculation and Timing for A" w:id="1308"/>
      <w:bookmarkEnd w:id="1308"/>
      <w:r>
        <w:rPr>
          <w:sz w:val="22"/>
        </w:rPr>
      </w:r>
      <w:bookmarkStart w:name="_bookmark48" w:id="1309"/>
      <w:bookmarkEnd w:id="1309"/>
      <w:r>
        <w:rPr>
          <w:sz w:val="22"/>
        </w:rPr>
        <w:t>ana</w:t>
      </w:r>
      <w:r>
        <w:rPr>
          <w:sz w:val="22"/>
        </w:rPr>
        <w:t>lytics</w:t>
      </w:r>
      <w:r>
        <w:rPr>
          <w:spacing w:val="-9"/>
          <w:sz w:val="22"/>
        </w:rPr>
        <w:t> </w:t>
      </w:r>
      <w:r>
        <w:rPr>
          <w:sz w:val="22"/>
        </w:rPr>
        <w:t>capabilities</w:t>
      </w:r>
      <w:r>
        <w:rPr>
          <w:spacing w:val="-9"/>
          <w:sz w:val="22"/>
        </w:rPr>
        <w:t> </w:t>
      </w:r>
      <w:r>
        <w:rPr>
          <w:sz w:val="22"/>
        </w:rPr>
        <w:t>performance</w:t>
      </w:r>
      <w:r>
        <w:rPr>
          <w:spacing w:val="-6"/>
          <w:sz w:val="22"/>
        </w:rPr>
        <w:t> </w:t>
      </w:r>
      <w:r>
        <w:rPr>
          <w:sz w:val="22"/>
        </w:rPr>
        <w:t>management</w:t>
      </w:r>
      <w:r>
        <w:rPr>
          <w:spacing w:val="-6"/>
          <w:sz w:val="22"/>
        </w:rPr>
        <w:t> </w:t>
      </w:r>
      <w:r>
        <w:rPr>
          <w:sz w:val="22"/>
        </w:rPr>
        <w:t>capabilities</w:t>
      </w:r>
      <w:r>
        <w:rPr>
          <w:spacing w:val="-9"/>
          <w:sz w:val="22"/>
        </w:rPr>
        <w:t> </w:t>
      </w:r>
      <w:r>
        <w:rPr>
          <w:sz w:val="22"/>
        </w:rPr>
        <w:t>and</w:t>
      </w:r>
      <w:r>
        <w:rPr>
          <w:spacing w:val="-9"/>
          <w:sz w:val="22"/>
        </w:rPr>
        <w:t> </w:t>
      </w:r>
      <w:r>
        <w:rPr>
          <w:sz w:val="22"/>
        </w:rPr>
        <w:t>additional</w:t>
      </w:r>
      <w:r>
        <w:rPr>
          <w:spacing w:val="-8"/>
          <w:sz w:val="22"/>
        </w:rPr>
        <w:t> </w:t>
      </w:r>
      <w:r>
        <w:rPr>
          <w:sz w:val="22"/>
        </w:rPr>
        <w:t>operational</w:t>
      </w:r>
      <w:r>
        <w:rPr>
          <w:spacing w:val="-8"/>
          <w:sz w:val="22"/>
        </w:rPr>
        <w:t> </w:t>
      </w:r>
      <w:r>
        <w:rPr>
          <w:sz w:val="22"/>
        </w:rPr>
        <w:t>support</w:t>
      </w:r>
    </w:p>
    <w:p>
      <w:pPr>
        <w:pStyle w:val="Heading2"/>
        <w:numPr>
          <w:ilvl w:val="1"/>
          <w:numId w:val="68"/>
        </w:numPr>
        <w:tabs>
          <w:tab w:pos="1618" w:val="left" w:leader="none"/>
        </w:tabs>
        <w:spacing w:line="240" w:lineRule="auto" w:before="196" w:after="0"/>
        <w:ind w:left="1618" w:right="0" w:hanging="398"/>
        <w:jc w:val="both"/>
      </w:pPr>
      <w:bookmarkStart w:name="4.4.1 ACO Sub-Streams 1 &amp; 2: Startup/Ong" w:id="1310"/>
      <w:bookmarkEnd w:id="1310"/>
      <w:r>
        <w:rPr>
          <w:b w:val="0"/>
        </w:rPr>
      </w:r>
      <w:bookmarkStart w:name="_bookmark49" w:id="1311"/>
      <w:bookmarkEnd w:id="1311"/>
      <w:r>
        <w:rPr>
          <w:b w:val="0"/>
        </w:rPr>
      </w:r>
      <w:r>
        <w:rPr>
          <w:color w:val="4471C4"/>
        </w:rPr>
        <w:t>Payment</w:t>
      </w:r>
      <w:r>
        <w:rPr>
          <w:color w:val="4471C4"/>
          <w:spacing w:val="-9"/>
        </w:rPr>
        <w:t> </w:t>
      </w:r>
      <w:r>
        <w:rPr>
          <w:color w:val="4471C4"/>
        </w:rPr>
        <w:t>Calculation</w:t>
      </w:r>
      <w:r>
        <w:rPr>
          <w:color w:val="4471C4"/>
          <w:spacing w:val="-9"/>
        </w:rPr>
        <w:t> </w:t>
      </w:r>
      <w:r>
        <w:rPr>
          <w:color w:val="4471C4"/>
        </w:rPr>
        <w:t>and</w:t>
      </w:r>
      <w:r>
        <w:rPr>
          <w:color w:val="4471C4"/>
          <w:spacing w:val="-11"/>
        </w:rPr>
        <w:t> </w:t>
      </w:r>
      <w:r>
        <w:rPr>
          <w:color w:val="4471C4"/>
        </w:rPr>
        <w:t>Timing</w:t>
      </w:r>
      <w:r>
        <w:rPr>
          <w:color w:val="4471C4"/>
          <w:spacing w:val="-10"/>
        </w:rPr>
        <w:t> </w:t>
      </w:r>
      <w:r>
        <w:rPr>
          <w:color w:val="4471C4"/>
        </w:rPr>
        <w:t>for</w:t>
      </w:r>
      <w:r>
        <w:rPr>
          <w:color w:val="4471C4"/>
          <w:spacing w:val="-9"/>
        </w:rPr>
        <w:t> </w:t>
      </w:r>
      <w:r>
        <w:rPr>
          <w:color w:val="4471C4"/>
        </w:rPr>
        <w:t>ACO</w:t>
      </w:r>
      <w:r>
        <w:rPr>
          <w:color w:val="4471C4"/>
          <w:spacing w:val="-8"/>
        </w:rPr>
        <w:t> </w:t>
      </w:r>
      <w:r>
        <w:rPr>
          <w:color w:val="4471C4"/>
        </w:rPr>
        <w:t>Sub-</w:t>
      </w:r>
      <w:r>
        <w:rPr>
          <w:color w:val="4471C4"/>
          <w:spacing w:val="-2"/>
        </w:rPr>
        <w:t>Streams</w:t>
      </w:r>
    </w:p>
    <w:p>
      <w:pPr>
        <w:pStyle w:val="ListParagraph"/>
        <w:numPr>
          <w:ilvl w:val="2"/>
          <w:numId w:val="68"/>
        </w:numPr>
        <w:tabs>
          <w:tab w:pos="1939" w:val="left" w:leader="none"/>
        </w:tabs>
        <w:spacing w:line="252" w:lineRule="exact" w:before="199" w:after="0"/>
        <w:ind w:left="1939" w:right="0" w:hanging="719"/>
        <w:jc w:val="both"/>
        <w:rPr>
          <w:b/>
          <w:color w:val="4471C4"/>
          <w:sz w:val="22"/>
        </w:rPr>
      </w:pPr>
      <w:r>
        <w:rPr>
          <w:b/>
          <w:color w:val="4471C4"/>
          <w:sz w:val="22"/>
        </w:rPr>
        <w:t>ACO</w:t>
      </w:r>
      <w:r>
        <w:rPr>
          <w:b/>
          <w:color w:val="4471C4"/>
          <w:spacing w:val="-5"/>
          <w:sz w:val="22"/>
        </w:rPr>
        <w:t> </w:t>
      </w:r>
      <w:r>
        <w:rPr>
          <w:b/>
          <w:color w:val="4471C4"/>
          <w:sz w:val="22"/>
        </w:rPr>
        <w:t>Sub-Streams</w:t>
      </w:r>
      <w:r>
        <w:rPr>
          <w:b/>
          <w:color w:val="4471C4"/>
          <w:spacing w:val="-4"/>
          <w:sz w:val="22"/>
        </w:rPr>
        <w:t> </w:t>
      </w:r>
      <w:r>
        <w:rPr>
          <w:b/>
          <w:color w:val="4471C4"/>
          <w:sz w:val="22"/>
        </w:rPr>
        <w:t>1</w:t>
      </w:r>
      <w:r>
        <w:rPr>
          <w:b/>
          <w:color w:val="4471C4"/>
          <w:spacing w:val="-7"/>
          <w:sz w:val="22"/>
        </w:rPr>
        <w:t> </w:t>
      </w:r>
      <w:r>
        <w:rPr>
          <w:b/>
          <w:color w:val="4471C4"/>
          <w:sz w:val="22"/>
        </w:rPr>
        <w:t>&amp;</w:t>
      </w:r>
      <w:r>
        <w:rPr>
          <w:b/>
          <w:color w:val="4471C4"/>
          <w:spacing w:val="-3"/>
          <w:sz w:val="22"/>
        </w:rPr>
        <w:t> </w:t>
      </w:r>
      <w:r>
        <w:rPr>
          <w:b/>
          <w:color w:val="4471C4"/>
          <w:sz w:val="22"/>
        </w:rPr>
        <w:t>2:</w:t>
      </w:r>
      <w:r>
        <w:rPr>
          <w:b/>
          <w:color w:val="4471C4"/>
          <w:spacing w:val="-6"/>
          <w:sz w:val="22"/>
        </w:rPr>
        <w:t> </w:t>
      </w:r>
      <w:r>
        <w:rPr>
          <w:b/>
          <w:color w:val="4471C4"/>
          <w:sz w:val="22"/>
        </w:rPr>
        <w:t>Startup/Ongoing</w:t>
      </w:r>
      <w:r>
        <w:rPr>
          <w:b/>
          <w:color w:val="4471C4"/>
          <w:spacing w:val="-6"/>
          <w:sz w:val="22"/>
        </w:rPr>
        <w:t> </w:t>
      </w:r>
      <w:r>
        <w:rPr>
          <w:b/>
          <w:color w:val="4471C4"/>
          <w:sz w:val="22"/>
        </w:rPr>
        <w:t>Funding</w:t>
      </w:r>
      <w:r>
        <w:rPr>
          <w:b/>
          <w:color w:val="4471C4"/>
          <w:spacing w:val="-7"/>
          <w:sz w:val="22"/>
        </w:rPr>
        <w:t> </w:t>
      </w:r>
      <w:r>
        <w:rPr>
          <w:b/>
          <w:color w:val="4471C4"/>
          <w:sz w:val="22"/>
        </w:rPr>
        <w:t>(Primary</w:t>
      </w:r>
      <w:r>
        <w:rPr>
          <w:b/>
          <w:color w:val="4471C4"/>
          <w:spacing w:val="-4"/>
          <w:sz w:val="22"/>
        </w:rPr>
        <w:t> </w:t>
      </w:r>
      <w:r>
        <w:rPr>
          <w:b/>
          <w:color w:val="4471C4"/>
          <w:sz w:val="22"/>
        </w:rPr>
        <w:t>Care</w:t>
      </w:r>
      <w:r>
        <w:rPr>
          <w:b/>
          <w:color w:val="4471C4"/>
          <w:spacing w:val="-6"/>
          <w:sz w:val="22"/>
        </w:rPr>
        <w:t> </w:t>
      </w:r>
      <w:r>
        <w:rPr>
          <w:b/>
          <w:color w:val="4471C4"/>
          <w:sz w:val="22"/>
        </w:rPr>
        <w:t>&amp;</w:t>
      </w:r>
      <w:r>
        <w:rPr>
          <w:b/>
          <w:color w:val="4471C4"/>
          <w:spacing w:val="-2"/>
          <w:sz w:val="22"/>
        </w:rPr>
        <w:t> Discretionary)</w:t>
      </w:r>
    </w:p>
    <w:p>
      <w:pPr>
        <w:spacing w:line="242" w:lineRule="auto" w:before="0"/>
        <w:ind w:left="1220" w:right="1094" w:firstLine="0"/>
        <w:jc w:val="both"/>
        <w:rPr>
          <w:sz w:val="22"/>
        </w:rPr>
      </w:pPr>
      <w:r>
        <w:rPr>
          <w:sz w:val="22"/>
        </w:rPr>
        <w:t>Each ACO will receive an amount of Startup/Ongoing funds (combined across sub-streams 1 and 2) for each Budget Period that is determined by multiplying the number of members enrolled in or attributed to the ACO</w:t>
      </w:r>
      <w:r>
        <w:rPr>
          <w:spacing w:val="-1"/>
          <w:sz w:val="22"/>
        </w:rPr>
        <w:t> </w:t>
      </w:r>
      <w:r>
        <w:rPr>
          <w:sz w:val="22"/>
        </w:rPr>
        <w:t>by</w:t>
      </w:r>
      <w:r>
        <w:rPr>
          <w:spacing w:val="-3"/>
          <w:sz w:val="22"/>
        </w:rPr>
        <w:t> </w:t>
      </w:r>
      <w:r>
        <w:rPr>
          <w:sz w:val="22"/>
        </w:rPr>
        <w:t>a per member per month (PMPM) amount. The State will determine the number of members.</w:t>
      </w:r>
    </w:p>
    <w:p>
      <w:pPr>
        <w:spacing w:before="152"/>
        <w:ind w:left="1220" w:right="1095" w:firstLine="0"/>
        <w:jc w:val="both"/>
        <w:rPr>
          <w:sz w:val="22"/>
        </w:rPr>
      </w:pPr>
      <w:r>
        <w:rPr>
          <w:sz w:val="22"/>
        </w:rPr>
        <w:t>The State will determine each ACO’s PMPM amount during the Preparation Budget Period and BP 1 – 5 as follows:</w:t>
      </w:r>
    </w:p>
    <w:p>
      <w:pPr>
        <w:pStyle w:val="ListParagraph"/>
        <w:numPr>
          <w:ilvl w:val="0"/>
          <w:numId w:val="72"/>
        </w:numPr>
        <w:tabs>
          <w:tab w:pos="1939" w:val="left" w:leader="none"/>
        </w:tabs>
        <w:spacing w:line="269" w:lineRule="exact" w:before="160" w:after="0"/>
        <w:ind w:left="1939" w:right="0" w:hanging="359"/>
        <w:jc w:val="both"/>
        <w:rPr>
          <w:sz w:val="22"/>
        </w:rPr>
      </w:pPr>
      <w:r>
        <w:rPr>
          <w:sz w:val="22"/>
        </w:rPr>
        <w:t>Step</w:t>
      </w:r>
      <w:r>
        <w:rPr>
          <w:spacing w:val="-2"/>
          <w:sz w:val="22"/>
        </w:rPr>
        <w:t> </w:t>
      </w:r>
      <w:r>
        <w:rPr>
          <w:sz w:val="22"/>
        </w:rPr>
        <w:t>1:</w:t>
      </w:r>
      <w:r>
        <w:rPr>
          <w:spacing w:val="-4"/>
          <w:sz w:val="22"/>
        </w:rPr>
        <w:t> </w:t>
      </w:r>
      <w:r>
        <w:rPr>
          <w:sz w:val="22"/>
        </w:rPr>
        <w:t>The</w:t>
      </w:r>
      <w:r>
        <w:rPr>
          <w:spacing w:val="-1"/>
          <w:sz w:val="22"/>
        </w:rPr>
        <w:t> </w:t>
      </w:r>
      <w:r>
        <w:rPr>
          <w:sz w:val="22"/>
        </w:rPr>
        <w:t>State</w:t>
      </w:r>
      <w:r>
        <w:rPr>
          <w:spacing w:val="-2"/>
          <w:sz w:val="22"/>
        </w:rPr>
        <w:t> </w:t>
      </w:r>
      <w:r>
        <w:rPr>
          <w:sz w:val="22"/>
        </w:rPr>
        <w:t>will</w:t>
      </w:r>
      <w:r>
        <w:rPr>
          <w:spacing w:val="-1"/>
          <w:sz w:val="22"/>
        </w:rPr>
        <w:t> </w:t>
      </w:r>
      <w:r>
        <w:rPr>
          <w:sz w:val="22"/>
        </w:rPr>
        <w:t>set a</w:t>
      </w:r>
      <w:r>
        <w:rPr>
          <w:spacing w:val="-4"/>
          <w:sz w:val="22"/>
        </w:rPr>
        <w:t> </w:t>
      </w:r>
      <w:r>
        <w:rPr>
          <w:sz w:val="22"/>
        </w:rPr>
        <w:t>base</w:t>
      </w:r>
      <w:r>
        <w:rPr>
          <w:spacing w:val="-3"/>
          <w:sz w:val="22"/>
        </w:rPr>
        <w:t> </w:t>
      </w:r>
      <w:r>
        <w:rPr>
          <w:spacing w:val="-4"/>
          <w:sz w:val="22"/>
        </w:rPr>
        <w:t>rate</w:t>
      </w:r>
    </w:p>
    <w:p>
      <w:pPr>
        <w:pStyle w:val="ListParagraph"/>
        <w:numPr>
          <w:ilvl w:val="0"/>
          <w:numId w:val="72"/>
        </w:numPr>
        <w:tabs>
          <w:tab w:pos="1939" w:val="left" w:leader="none"/>
        </w:tabs>
        <w:spacing w:line="268" w:lineRule="exact" w:before="0" w:after="0"/>
        <w:ind w:left="1939" w:right="0" w:hanging="359"/>
        <w:jc w:val="both"/>
        <w:rPr>
          <w:sz w:val="22"/>
        </w:rPr>
      </w:pPr>
      <w:r>
        <w:rPr>
          <w:sz w:val="22"/>
        </w:rPr>
        <w:t>Step</w:t>
      </w:r>
      <w:r>
        <w:rPr>
          <w:spacing w:val="-2"/>
          <w:sz w:val="22"/>
        </w:rPr>
        <w:t> </w:t>
      </w:r>
      <w:r>
        <w:rPr>
          <w:sz w:val="22"/>
        </w:rPr>
        <w:t>2:</w:t>
      </w:r>
      <w:r>
        <w:rPr>
          <w:spacing w:val="-4"/>
          <w:sz w:val="22"/>
        </w:rPr>
        <w:t> </w:t>
      </w:r>
      <w:r>
        <w:rPr>
          <w:sz w:val="22"/>
        </w:rPr>
        <w:t>The</w:t>
      </w:r>
      <w:r>
        <w:rPr>
          <w:spacing w:val="-2"/>
          <w:sz w:val="22"/>
        </w:rPr>
        <w:t> </w:t>
      </w:r>
      <w:r>
        <w:rPr>
          <w:sz w:val="22"/>
        </w:rPr>
        <w:t>State</w:t>
      </w:r>
      <w:r>
        <w:rPr>
          <w:spacing w:val="-2"/>
          <w:sz w:val="22"/>
        </w:rPr>
        <w:t> </w:t>
      </w:r>
      <w:r>
        <w:rPr>
          <w:sz w:val="22"/>
        </w:rPr>
        <w:t>will</w:t>
      </w:r>
      <w:r>
        <w:rPr>
          <w:spacing w:val="-1"/>
          <w:sz w:val="22"/>
        </w:rPr>
        <w:t> </w:t>
      </w:r>
      <w:r>
        <w:rPr>
          <w:sz w:val="22"/>
        </w:rPr>
        <w:t>increase</w:t>
      </w:r>
      <w:r>
        <w:rPr>
          <w:spacing w:val="-4"/>
          <w:sz w:val="22"/>
        </w:rPr>
        <w:t> </w:t>
      </w:r>
      <w:r>
        <w:rPr>
          <w:sz w:val="22"/>
        </w:rPr>
        <w:t>this</w:t>
      </w:r>
      <w:r>
        <w:rPr>
          <w:spacing w:val="-2"/>
          <w:sz w:val="22"/>
        </w:rPr>
        <w:t> </w:t>
      </w:r>
      <w:r>
        <w:rPr>
          <w:sz w:val="22"/>
        </w:rPr>
        <w:t>rate</w:t>
      </w:r>
      <w:r>
        <w:rPr>
          <w:spacing w:val="-4"/>
          <w:sz w:val="22"/>
        </w:rPr>
        <w:t> </w:t>
      </w:r>
      <w:r>
        <w:rPr>
          <w:sz w:val="22"/>
        </w:rPr>
        <w:t>for</w:t>
      </w:r>
      <w:r>
        <w:rPr>
          <w:spacing w:val="-4"/>
          <w:sz w:val="22"/>
        </w:rPr>
        <w:t> </w:t>
      </w:r>
      <w:r>
        <w:rPr>
          <w:sz w:val="22"/>
        </w:rPr>
        <w:t>each</w:t>
      </w:r>
      <w:r>
        <w:rPr>
          <w:spacing w:val="-2"/>
          <w:sz w:val="22"/>
        </w:rPr>
        <w:t> </w:t>
      </w:r>
      <w:r>
        <w:rPr>
          <w:sz w:val="22"/>
        </w:rPr>
        <w:t>ACO</w:t>
      </w:r>
      <w:r>
        <w:rPr>
          <w:spacing w:val="-3"/>
          <w:sz w:val="22"/>
        </w:rPr>
        <w:t> </w:t>
      </w:r>
      <w:r>
        <w:rPr>
          <w:sz w:val="22"/>
        </w:rPr>
        <w:t>based</w:t>
      </w:r>
      <w:r>
        <w:rPr>
          <w:spacing w:val="-5"/>
          <w:sz w:val="22"/>
        </w:rPr>
        <w:t> </w:t>
      </w:r>
      <w:r>
        <w:rPr>
          <w:sz w:val="22"/>
        </w:rPr>
        <w:t>on</w:t>
      </w:r>
      <w:r>
        <w:rPr>
          <w:spacing w:val="-2"/>
          <w:sz w:val="22"/>
        </w:rPr>
        <w:t> </w:t>
      </w:r>
      <w:r>
        <w:rPr>
          <w:sz w:val="22"/>
        </w:rPr>
        <w:t>the</w:t>
      </w:r>
      <w:r>
        <w:rPr>
          <w:spacing w:val="-2"/>
          <w:sz w:val="22"/>
        </w:rPr>
        <w:t> </w:t>
      </w:r>
      <w:r>
        <w:rPr>
          <w:sz w:val="22"/>
        </w:rPr>
        <w:t>ACO’s</w:t>
      </w:r>
      <w:r>
        <w:rPr>
          <w:spacing w:val="-2"/>
          <w:sz w:val="22"/>
        </w:rPr>
        <w:t> </w:t>
      </w:r>
      <w:r>
        <w:rPr>
          <w:sz w:val="22"/>
        </w:rPr>
        <w:t>safety</w:t>
      </w:r>
      <w:r>
        <w:rPr>
          <w:spacing w:val="-4"/>
          <w:sz w:val="22"/>
        </w:rPr>
        <w:t> </w:t>
      </w:r>
      <w:r>
        <w:rPr>
          <w:sz w:val="22"/>
        </w:rPr>
        <w:t>net</w:t>
      </w:r>
      <w:r>
        <w:rPr>
          <w:spacing w:val="-1"/>
          <w:sz w:val="22"/>
        </w:rPr>
        <w:t> </w:t>
      </w:r>
      <w:r>
        <w:rPr>
          <w:spacing w:val="-2"/>
          <w:sz w:val="22"/>
        </w:rPr>
        <w:t>category</w:t>
      </w:r>
    </w:p>
    <w:p>
      <w:pPr>
        <w:pStyle w:val="ListParagraph"/>
        <w:numPr>
          <w:ilvl w:val="1"/>
          <w:numId w:val="72"/>
        </w:numPr>
        <w:tabs>
          <w:tab w:pos="2658" w:val="left" w:leader="none"/>
          <w:tab w:pos="2660" w:val="left" w:leader="none"/>
        </w:tabs>
        <w:spacing w:line="232" w:lineRule="auto" w:before="5" w:after="0"/>
        <w:ind w:left="2660" w:right="1093" w:hanging="361"/>
        <w:jc w:val="both"/>
        <w:rPr>
          <w:sz w:val="22"/>
        </w:rPr>
      </w:pPr>
      <w:r>
        <w:rPr>
          <w:sz w:val="22"/>
        </w:rPr>
        <w:t>The</w:t>
      </w:r>
      <w:r>
        <w:rPr>
          <w:spacing w:val="-14"/>
          <w:sz w:val="22"/>
        </w:rPr>
        <w:t> </w:t>
      </w:r>
      <w:r>
        <w:rPr>
          <w:sz w:val="22"/>
        </w:rPr>
        <w:t>State</w:t>
      </w:r>
      <w:r>
        <w:rPr>
          <w:spacing w:val="-14"/>
          <w:sz w:val="22"/>
        </w:rPr>
        <w:t> </w:t>
      </w:r>
      <w:r>
        <w:rPr>
          <w:sz w:val="22"/>
        </w:rPr>
        <w:t>will</w:t>
      </w:r>
      <w:r>
        <w:rPr>
          <w:spacing w:val="-12"/>
          <w:sz w:val="22"/>
        </w:rPr>
        <w:t> </w:t>
      </w:r>
      <w:r>
        <w:rPr>
          <w:sz w:val="22"/>
        </w:rPr>
        <w:t>calculate</w:t>
      </w:r>
      <w:r>
        <w:rPr>
          <w:spacing w:val="-14"/>
          <w:sz w:val="22"/>
        </w:rPr>
        <w:t> </w:t>
      </w:r>
      <w:r>
        <w:rPr>
          <w:sz w:val="22"/>
        </w:rPr>
        <w:t>each</w:t>
      </w:r>
      <w:r>
        <w:rPr>
          <w:spacing w:val="-14"/>
          <w:sz w:val="22"/>
        </w:rPr>
        <w:t> </w:t>
      </w:r>
      <w:r>
        <w:rPr>
          <w:sz w:val="22"/>
        </w:rPr>
        <w:t>ACO’s</w:t>
      </w:r>
      <w:r>
        <w:rPr>
          <w:spacing w:val="-13"/>
          <w:sz w:val="22"/>
        </w:rPr>
        <w:t> </w:t>
      </w:r>
      <w:r>
        <w:rPr>
          <w:sz w:val="22"/>
        </w:rPr>
        <w:t>payer</w:t>
      </w:r>
      <w:r>
        <w:rPr>
          <w:spacing w:val="-13"/>
          <w:sz w:val="22"/>
        </w:rPr>
        <w:t> </w:t>
      </w:r>
      <w:r>
        <w:rPr>
          <w:sz w:val="22"/>
        </w:rPr>
        <w:t>revenue</w:t>
      </w:r>
      <w:r>
        <w:rPr>
          <w:spacing w:val="-11"/>
          <w:sz w:val="22"/>
        </w:rPr>
        <w:t> </w:t>
      </w:r>
      <w:r>
        <w:rPr>
          <w:sz w:val="22"/>
        </w:rPr>
        <w:t>mix</w:t>
      </w:r>
      <w:r>
        <w:rPr>
          <w:spacing w:val="-14"/>
          <w:sz w:val="22"/>
        </w:rPr>
        <w:t> </w:t>
      </w:r>
      <w:r>
        <w:rPr>
          <w:sz w:val="22"/>
        </w:rPr>
        <w:t>based</w:t>
      </w:r>
      <w:r>
        <w:rPr>
          <w:spacing w:val="-14"/>
          <w:sz w:val="22"/>
        </w:rPr>
        <w:t> </w:t>
      </w:r>
      <w:r>
        <w:rPr>
          <w:sz w:val="22"/>
        </w:rPr>
        <w:t>on</w:t>
      </w:r>
      <w:r>
        <w:rPr>
          <w:spacing w:val="-13"/>
          <w:sz w:val="22"/>
        </w:rPr>
        <w:t> </w:t>
      </w:r>
      <w:r>
        <w:rPr>
          <w:sz w:val="22"/>
        </w:rPr>
        <w:t>the</w:t>
      </w:r>
      <w:r>
        <w:rPr>
          <w:spacing w:val="-14"/>
          <w:sz w:val="22"/>
        </w:rPr>
        <w:t> </w:t>
      </w:r>
      <w:r>
        <w:rPr>
          <w:sz w:val="22"/>
        </w:rPr>
        <w:t>percentage</w:t>
      </w:r>
      <w:r>
        <w:rPr>
          <w:spacing w:val="-14"/>
          <w:sz w:val="22"/>
        </w:rPr>
        <w:t> </w:t>
      </w:r>
      <w:r>
        <w:rPr>
          <w:sz w:val="22"/>
        </w:rPr>
        <w:t>of</w:t>
      </w:r>
      <w:r>
        <w:rPr>
          <w:spacing w:val="-12"/>
          <w:sz w:val="22"/>
        </w:rPr>
        <w:t> </w:t>
      </w:r>
      <w:r>
        <w:rPr>
          <w:sz w:val="22"/>
        </w:rPr>
        <w:t>its</w:t>
      </w:r>
      <w:r>
        <w:rPr>
          <w:spacing w:val="-14"/>
          <w:sz w:val="22"/>
        </w:rPr>
        <w:t> </w:t>
      </w:r>
      <w:r>
        <w:rPr>
          <w:sz w:val="22"/>
        </w:rPr>
        <w:t>gross patient service revenue that comes from care for MassHealth members or uninsured </w:t>
      </w:r>
      <w:r>
        <w:rPr>
          <w:spacing w:val="-2"/>
          <w:sz w:val="22"/>
        </w:rPr>
        <w:t>individuals</w:t>
      </w:r>
    </w:p>
    <w:p>
      <w:pPr>
        <w:pStyle w:val="ListParagraph"/>
        <w:numPr>
          <w:ilvl w:val="1"/>
          <w:numId w:val="72"/>
        </w:numPr>
        <w:tabs>
          <w:tab w:pos="2658" w:val="left" w:leader="none"/>
          <w:tab w:pos="2660" w:val="left" w:leader="none"/>
        </w:tabs>
        <w:spacing w:line="225" w:lineRule="auto" w:before="9" w:after="0"/>
        <w:ind w:left="2660" w:right="1093" w:hanging="361"/>
        <w:jc w:val="both"/>
        <w:rPr>
          <w:sz w:val="22"/>
        </w:rPr>
      </w:pPr>
      <w:r>
        <w:rPr>
          <w:sz w:val="22"/>
        </w:rPr>
        <w:t>The</w:t>
      </w:r>
      <w:r>
        <w:rPr>
          <w:spacing w:val="-12"/>
          <w:sz w:val="22"/>
        </w:rPr>
        <w:t> </w:t>
      </w:r>
      <w:r>
        <w:rPr>
          <w:sz w:val="22"/>
        </w:rPr>
        <w:t>State</w:t>
      </w:r>
      <w:r>
        <w:rPr>
          <w:spacing w:val="-12"/>
          <w:sz w:val="22"/>
        </w:rPr>
        <w:t> </w:t>
      </w:r>
      <w:r>
        <w:rPr>
          <w:sz w:val="22"/>
        </w:rPr>
        <w:t>will</w:t>
      </w:r>
      <w:r>
        <w:rPr>
          <w:spacing w:val="-12"/>
          <w:sz w:val="22"/>
        </w:rPr>
        <w:t> </w:t>
      </w:r>
      <w:r>
        <w:rPr>
          <w:sz w:val="22"/>
        </w:rPr>
        <w:t>categorize</w:t>
      </w:r>
      <w:r>
        <w:rPr>
          <w:spacing w:val="-12"/>
          <w:sz w:val="22"/>
        </w:rPr>
        <w:t> </w:t>
      </w:r>
      <w:r>
        <w:rPr>
          <w:sz w:val="22"/>
        </w:rPr>
        <w:t>ACOs</w:t>
      </w:r>
      <w:r>
        <w:rPr>
          <w:spacing w:val="-12"/>
          <w:sz w:val="22"/>
        </w:rPr>
        <w:t> </w:t>
      </w:r>
      <w:r>
        <w:rPr>
          <w:sz w:val="22"/>
        </w:rPr>
        <w:t>into</w:t>
      </w:r>
      <w:r>
        <w:rPr>
          <w:spacing w:val="-14"/>
          <w:sz w:val="22"/>
        </w:rPr>
        <w:t> </w:t>
      </w:r>
      <w:r>
        <w:rPr>
          <w:sz w:val="22"/>
        </w:rPr>
        <w:t>five</w:t>
      </w:r>
      <w:r>
        <w:rPr>
          <w:spacing w:val="-11"/>
          <w:sz w:val="22"/>
        </w:rPr>
        <w:t> </w:t>
      </w:r>
      <w:r>
        <w:rPr>
          <w:sz w:val="22"/>
        </w:rPr>
        <w:t>categories</w:t>
      </w:r>
      <w:r>
        <w:rPr>
          <w:spacing w:val="-12"/>
          <w:sz w:val="22"/>
        </w:rPr>
        <w:t> </w:t>
      </w:r>
      <w:r>
        <w:rPr>
          <w:sz w:val="22"/>
        </w:rPr>
        <w:t>based</w:t>
      </w:r>
      <w:r>
        <w:rPr>
          <w:spacing w:val="-13"/>
          <w:sz w:val="22"/>
        </w:rPr>
        <w:t> </w:t>
      </w:r>
      <w:r>
        <w:rPr>
          <w:sz w:val="22"/>
        </w:rPr>
        <w:t>on</w:t>
      </w:r>
      <w:r>
        <w:rPr>
          <w:spacing w:val="-13"/>
          <w:sz w:val="22"/>
        </w:rPr>
        <w:t> </w:t>
      </w:r>
      <w:r>
        <w:rPr>
          <w:sz w:val="22"/>
        </w:rPr>
        <w:t>their</w:t>
      </w:r>
      <w:r>
        <w:rPr>
          <w:spacing w:val="-12"/>
          <w:sz w:val="22"/>
        </w:rPr>
        <w:t> </w:t>
      </w:r>
      <w:r>
        <w:rPr>
          <w:sz w:val="22"/>
        </w:rPr>
        <w:t>payer</w:t>
      </w:r>
      <w:r>
        <w:rPr>
          <w:spacing w:val="-13"/>
          <w:sz w:val="22"/>
        </w:rPr>
        <w:t> </w:t>
      </w:r>
      <w:r>
        <w:rPr>
          <w:sz w:val="22"/>
        </w:rPr>
        <w:t>revenue</w:t>
      </w:r>
      <w:r>
        <w:rPr>
          <w:spacing w:val="-12"/>
          <w:sz w:val="22"/>
        </w:rPr>
        <w:t> </w:t>
      </w:r>
      <w:r>
        <w:rPr>
          <w:sz w:val="22"/>
        </w:rPr>
        <w:t>mix</w:t>
      </w:r>
      <w:r>
        <w:rPr>
          <w:spacing w:val="-13"/>
          <w:sz w:val="22"/>
        </w:rPr>
        <w:t> </w:t>
      </w:r>
      <w:r>
        <w:rPr>
          <w:sz w:val="22"/>
        </w:rPr>
        <w:t>(each category has a percentage increase associated with it)</w:t>
      </w:r>
    </w:p>
    <w:p>
      <w:pPr>
        <w:pStyle w:val="ListParagraph"/>
        <w:numPr>
          <w:ilvl w:val="1"/>
          <w:numId w:val="72"/>
        </w:numPr>
        <w:tabs>
          <w:tab w:pos="2658" w:val="left" w:leader="none"/>
          <w:tab w:pos="2660" w:val="left" w:leader="none"/>
        </w:tabs>
        <w:spacing w:line="225" w:lineRule="auto" w:before="12" w:after="0"/>
        <w:ind w:left="2660" w:right="1095" w:hanging="361"/>
        <w:jc w:val="both"/>
        <w:rPr>
          <w:sz w:val="22"/>
        </w:rPr>
      </w:pPr>
      <w:r>
        <w:rPr>
          <w:sz w:val="22"/>
        </w:rPr>
        <w:t>During the DSRIP program, the State may adjust the safety net PMPM adjustment methodology as described later in this section</w:t>
      </w:r>
    </w:p>
    <w:p>
      <w:pPr>
        <w:pStyle w:val="ListParagraph"/>
        <w:numPr>
          <w:ilvl w:val="0"/>
          <w:numId w:val="72"/>
        </w:numPr>
        <w:tabs>
          <w:tab w:pos="1938" w:val="left" w:leader="none"/>
          <w:tab w:pos="1940" w:val="left" w:leader="none"/>
        </w:tabs>
        <w:spacing w:line="240" w:lineRule="auto" w:before="2" w:after="0"/>
        <w:ind w:left="1940" w:right="1095" w:hanging="361"/>
        <w:jc w:val="both"/>
        <w:rPr>
          <w:sz w:val="22"/>
        </w:rPr>
      </w:pPr>
      <w:r>
        <w:rPr>
          <w:sz w:val="22"/>
        </w:rPr>
        <w:t>Step</w:t>
      </w:r>
      <w:r>
        <w:rPr>
          <w:spacing w:val="-5"/>
          <w:sz w:val="22"/>
        </w:rPr>
        <w:t> </w:t>
      </w:r>
      <w:r>
        <w:rPr>
          <w:sz w:val="22"/>
        </w:rPr>
        <w:t>3:</w:t>
      </w:r>
      <w:r>
        <w:rPr>
          <w:spacing w:val="-6"/>
          <w:sz w:val="22"/>
        </w:rPr>
        <w:t> </w:t>
      </w:r>
      <w:r>
        <w:rPr>
          <w:sz w:val="22"/>
        </w:rPr>
        <w:t>The</w:t>
      </w:r>
      <w:r>
        <w:rPr>
          <w:spacing w:val="-4"/>
          <w:sz w:val="22"/>
        </w:rPr>
        <w:t> </w:t>
      </w:r>
      <w:r>
        <w:rPr>
          <w:sz w:val="22"/>
        </w:rPr>
        <w:t>State</w:t>
      </w:r>
      <w:r>
        <w:rPr>
          <w:spacing w:val="-7"/>
          <w:sz w:val="22"/>
        </w:rPr>
        <w:t> </w:t>
      </w:r>
      <w:r>
        <w:rPr>
          <w:sz w:val="22"/>
        </w:rPr>
        <w:t>will</w:t>
      </w:r>
      <w:r>
        <w:rPr>
          <w:spacing w:val="-6"/>
          <w:sz w:val="22"/>
        </w:rPr>
        <w:t> </w:t>
      </w:r>
      <w:r>
        <w:rPr>
          <w:sz w:val="22"/>
        </w:rPr>
        <w:t>further</w:t>
      </w:r>
      <w:r>
        <w:rPr>
          <w:spacing w:val="-4"/>
          <w:sz w:val="22"/>
        </w:rPr>
        <w:t> </w:t>
      </w:r>
      <w:r>
        <w:rPr>
          <w:sz w:val="22"/>
        </w:rPr>
        <w:t>increase</w:t>
      </w:r>
      <w:r>
        <w:rPr>
          <w:spacing w:val="-4"/>
          <w:sz w:val="22"/>
        </w:rPr>
        <w:t> </w:t>
      </w:r>
      <w:r>
        <w:rPr>
          <w:sz w:val="22"/>
        </w:rPr>
        <w:t>this</w:t>
      </w:r>
      <w:r>
        <w:rPr>
          <w:spacing w:val="-7"/>
          <w:sz w:val="22"/>
        </w:rPr>
        <w:t> </w:t>
      </w:r>
      <w:r>
        <w:rPr>
          <w:sz w:val="22"/>
        </w:rPr>
        <w:t>rate</w:t>
      </w:r>
      <w:r>
        <w:rPr>
          <w:spacing w:val="-7"/>
          <w:sz w:val="22"/>
        </w:rPr>
        <w:t> </w:t>
      </w:r>
      <w:r>
        <w:rPr>
          <w:sz w:val="22"/>
        </w:rPr>
        <w:t>for</w:t>
      </w:r>
      <w:r>
        <w:rPr>
          <w:spacing w:val="-4"/>
          <w:sz w:val="22"/>
        </w:rPr>
        <w:t> </w:t>
      </w:r>
      <w:r>
        <w:rPr>
          <w:sz w:val="22"/>
        </w:rPr>
        <w:t>each</w:t>
      </w:r>
      <w:r>
        <w:rPr>
          <w:spacing w:val="-5"/>
          <w:sz w:val="22"/>
        </w:rPr>
        <w:t> </w:t>
      </w:r>
      <w:r>
        <w:rPr>
          <w:sz w:val="22"/>
        </w:rPr>
        <w:t>ACO</w:t>
      </w:r>
      <w:r>
        <w:rPr>
          <w:spacing w:val="-6"/>
          <w:sz w:val="22"/>
        </w:rPr>
        <w:t> </w:t>
      </w:r>
      <w:r>
        <w:rPr>
          <w:sz w:val="22"/>
        </w:rPr>
        <w:t>based</w:t>
      </w:r>
      <w:r>
        <w:rPr>
          <w:spacing w:val="-7"/>
          <w:sz w:val="22"/>
        </w:rPr>
        <w:t> </w:t>
      </w:r>
      <w:r>
        <w:rPr>
          <w:sz w:val="22"/>
        </w:rPr>
        <w:t>on</w:t>
      </w:r>
      <w:r>
        <w:rPr>
          <w:spacing w:val="-5"/>
          <w:sz w:val="22"/>
        </w:rPr>
        <w:t> </w:t>
      </w:r>
      <w:r>
        <w:rPr>
          <w:sz w:val="22"/>
        </w:rPr>
        <w:t>the</w:t>
      </w:r>
      <w:r>
        <w:rPr>
          <w:spacing w:val="-4"/>
          <w:sz w:val="22"/>
        </w:rPr>
        <w:t> </w:t>
      </w:r>
      <w:r>
        <w:rPr>
          <w:sz w:val="22"/>
        </w:rPr>
        <w:t>ACO’s</w:t>
      </w:r>
      <w:r>
        <w:rPr>
          <w:spacing w:val="-7"/>
          <w:sz w:val="22"/>
        </w:rPr>
        <w:t> </w:t>
      </w:r>
      <w:r>
        <w:rPr>
          <w:sz w:val="22"/>
        </w:rPr>
        <w:t>choice</w:t>
      </w:r>
      <w:r>
        <w:rPr>
          <w:spacing w:val="-4"/>
          <w:sz w:val="22"/>
        </w:rPr>
        <w:t> </w:t>
      </w:r>
      <w:r>
        <w:rPr>
          <w:sz w:val="22"/>
        </w:rPr>
        <w:t>of</w:t>
      </w:r>
      <w:r>
        <w:rPr>
          <w:spacing w:val="-4"/>
          <w:sz w:val="22"/>
        </w:rPr>
        <w:t> </w:t>
      </w:r>
      <w:r>
        <w:rPr>
          <w:sz w:val="22"/>
        </w:rPr>
        <w:t>model and</w:t>
      </w:r>
      <w:r>
        <w:rPr>
          <w:spacing w:val="-7"/>
          <w:sz w:val="22"/>
        </w:rPr>
        <w:t> </w:t>
      </w:r>
      <w:r>
        <w:rPr>
          <w:sz w:val="22"/>
        </w:rPr>
        <w:t>risk</w:t>
      </w:r>
      <w:r>
        <w:rPr>
          <w:spacing w:val="-9"/>
          <w:sz w:val="22"/>
        </w:rPr>
        <w:t> </w:t>
      </w:r>
      <w:r>
        <w:rPr>
          <w:sz w:val="22"/>
        </w:rPr>
        <w:t>track</w:t>
      </w:r>
      <w:r>
        <w:rPr>
          <w:spacing w:val="-9"/>
          <w:sz w:val="22"/>
        </w:rPr>
        <w:t> </w:t>
      </w:r>
      <w:r>
        <w:rPr>
          <w:sz w:val="22"/>
        </w:rPr>
        <w:t>(each</w:t>
      </w:r>
      <w:r>
        <w:rPr>
          <w:spacing w:val="-7"/>
          <w:sz w:val="22"/>
        </w:rPr>
        <w:t> </w:t>
      </w:r>
      <w:r>
        <w:rPr>
          <w:sz w:val="22"/>
        </w:rPr>
        <w:t>model/risk</w:t>
      </w:r>
      <w:r>
        <w:rPr>
          <w:spacing w:val="-9"/>
          <w:sz w:val="22"/>
        </w:rPr>
        <w:t> </w:t>
      </w:r>
      <w:r>
        <w:rPr>
          <w:sz w:val="22"/>
        </w:rPr>
        <w:t>track</w:t>
      </w:r>
      <w:r>
        <w:rPr>
          <w:spacing w:val="-9"/>
          <w:sz w:val="22"/>
        </w:rPr>
        <w:t> </w:t>
      </w:r>
      <w:r>
        <w:rPr>
          <w:sz w:val="22"/>
        </w:rPr>
        <w:t>combination</w:t>
      </w:r>
      <w:r>
        <w:rPr>
          <w:spacing w:val="-7"/>
          <w:sz w:val="22"/>
        </w:rPr>
        <w:t> </w:t>
      </w:r>
      <w:r>
        <w:rPr>
          <w:sz w:val="22"/>
        </w:rPr>
        <w:t>has</w:t>
      </w:r>
      <w:r>
        <w:rPr>
          <w:spacing w:val="-8"/>
          <w:sz w:val="22"/>
        </w:rPr>
        <w:t> </w:t>
      </w:r>
      <w:r>
        <w:rPr>
          <w:sz w:val="22"/>
        </w:rPr>
        <w:t>a</w:t>
      </w:r>
      <w:r>
        <w:rPr>
          <w:spacing w:val="-9"/>
          <w:sz w:val="22"/>
        </w:rPr>
        <w:t> </w:t>
      </w:r>
      <w:r>
        <w:rPr>
          <w:sz w:val="22"/>
        </w:rPr>
        <w:t>percentage</w:t>
      </w:r>
      <w:r>
        <w:rPr>
          <w:spacing w:val="-7"/>
          <w:sz w:val="22"/>
        </w:rPr>
        <w:t> </w:t>
      </w:r>
      <w:r>
        <w:rPr>
          <w:sz w:val="22"/>
        </w:rPr>
        <w:t>increase</w:t>
      </w:r>
      <w:r>
        <w:rPr>
          <w:spacing w:val="-8"/>
          <w:sz w:val="22"/>
        </w:rPr>
        <w:t> </w:t>
      </w:r>
      <w:r>
        <w:rPr>
          <w:sz w:val="22"/>
        </w:rPr>
        <w:t>associated</w:t>
      </w:r>
      <w:r>
        <w:rPr>
          <w:spacing w:val="-7"/>
          <w:sz w:val="22"/>
        </w:rPr>
        <w:t> </w:t>
      </w:r>
      <w:r>
        <w:rPr>
          <w:sz w:val="22"/>
        </w:rPr>
        <w:t>with</w:t>
      </w:r>
      <w:r>
        <w:rPr>
          <w:spacing w:val="-8"/>
          <w:sz w:val="22"/>
        </w:rPr>
        <w:t> </w:t>
      </w:r>
      <w:r>
        <w:rPr>
          <w:sz w:val="22"/>
        </w:rPr>
        <w:t>it</w:t>
      </w:r>
      <w:r>
        <w:rPr>
          <w:spacing w:val="-6"/>
          <w:sz w:val="22"/>
        </w:rPr>
        <w:t> </w:t>
      </w:r>
      <w:r>
        <w:rPr>
          <w:sz w:val="22"/>
        </w:rPr>
        <w:t>–</w:t>
      </w:r>
      <w:r>
        <w:rPr>
          <w:spacing w:val="-9"/>
          <w:sz w:val="22"/>
        </w:rPr>
        <w:t> </w:t>
      </w:r>
      <w:r>
        <w:rPr>
          <w:sz w:val="22"/>
        </w:rPr>
        <w:t>(as detailed in Exhibit 8))</w:t>
      </w:r>
    </w:p>
    <w:p>
      <w:pPr>
        <w:pStyle w:val="BodyText"/>
        <w:spacing w:before="9"/>
        <w:rPr>
          <w:sz w:val="35"/>
        </w:rPr>
      </w:pPr>
    </w:p>
    <w:p>
      <w:pPr>
        <w:spacing w:before="0"/>
        <w:ind w:left="1220" w:right="1095" w:firstLine="0"/>
        <w:jc w:val="both"/>
        <w:rPr>
          <w:sz w:val="22"/>
        </w:rPr>
      </w:pPr>
      <w:r>
        <w:rPr>
          <w:sz w:val="22"/>
        </w:rPr>
        <w:t>Exhibit 6 shows the State’s anticipated average adjusted PMPMs for the ACO Startup/Ongoing sub- streams, after following the steps described above.</w:t>
      </w:r>
    </w:p>
    <w:p>
      <w:pPr>
        <w:tabs>
          <w:tab w:pos="10587" w:val="left" w:leader="none"/>
        </w:tabs>
        <w:spacing w:before="200"/>
        <w:ind w:left="1220" w:right="0" w:firstLine="0"/>
        <w:jc w:val="both"/>
        <w:rPr>
          <w:sz w:val="22"/>
        </w:rPr>
      </w:pPr>
      <w:r>
        <w:rPr>
          <w:sz w:val="22"/>
          <w:u w:val="single"/>
        </w:rPr>
        <w:t>EXHIBIT</w:t>
      </w:r>
      <w:r>
        <w:rPr>
          <w:spacing w:val="-3"/>
          <w:sz w:val="22"/>
          <w:u w:val="single"/>
        </w:rPr>
        <w:t> </w:t>
      </w:r>
      <w:r>
        <w:rPr>
          <w:sz w:val="22"/>
          <w:u w:val="single"/>
        </w:rPr>
        <w:t>6</w:t>
      </w:r>
      <w:r>
        <w:rPr>
          <w:spacing w:val="-4"/>
          <w:sz w:val="22"/>
          <w:u w:val="single"/>
        </w:rPr>
        <w:t> </w:t>
      </w:r>
      <w:r>
        <w:rPr>
          <w:sz w:val="22"/>
          <w:u w:val="single"/>
        </w:rPr>
        <w:t>–</w:t>
      </w:r>
      <w:r>
        <w:rPr>
          <w:spacing w:val="-4"/>
          <w:sz w:val="22"/>
          <w:u w:val="single"/>
        </w:rPr>
        <w:t> </w:t>
      </w:r>
      <w:r>
        <w:rPr>
          <w:sz w:val="22"/>
          <w:u w:val="single"/>
        </w:rPr>
        <w:t>Average</w:t>
      </w:r>
      <w:r>
        <w:rPr>
          <w:spacing w:val="-5"/>
          <w:sz w:val="22"/>
          <w:u w:val="single"/>
        </w:rPr>
        <w:t> </w:t>
      </w:r>
      <w:r>
        <w:rPr>
          <w:sz w:val="22"/>
          <w:u w:val="single"/>
        </w:rPr>
        <w:t>Adjusted</w:t>
      </w:r>
      <w:r>
        <w:rPr>
          <w:spacing w:val="-7"/>
          <w:sz w:val="22"/>
          <w:u w:val="single"/>
        </w:rPr>
        <w:t> </w:t>
      </w:r>
      <w:r>
        <w:rPr>
          <w:sz w:val="22"/>
          <w:u w:val="single"/>
        </w:rPr>
        <w:t>PMPMs</w:t>
      </w:r>
      <w:r>
        <w:rPr>
          <w:spacing w:val="-4"/>
          <w:sz w:val="22"/>
          <w:u w:val="single"/>
        </w:rPr>
        <w:t> </w:t>
      </w:r>
      <w:r>
        <w:rPr>
          <w:sz w:val="22"/>
          <w:u w:val="single"/>
        </w:rPr>
        <w:t>for</w:t>
      </w:r>
      <w:r>
        <w:rPr>
          <w:spacing w:val="-3"/>
          <w:sz w:val="22"/>
          <w:u w:val="single"/>
        </w:rPr>
        <w:t> </w:t>
      </w:r>
      <w:r>
        <w:rPr>
          <w:sz w:val="22"/>
          <w:u w:val="single"/>
        </w:rPr>
        <w:t>ACO</w:t>
      </w:r>
      <w:r>
        <w:rPr>
          <w:spacing w:val="-5"/>
          <w:sz w:val="22"/>
          <w:u w:val="single"/>
        </w:rPr>
        <w:t> </w:t>
      </w:r>
      <w:r>
        <w:rPr>
          <w:sz w:val="22"/>
          <w:u w:val="single"/>
        </w:rPr>
        <w:t>Startup/Ongoing</w:t>
      </w:r>
      <w:r>
        <w:rPr>
          <w:spacing w:val="-7"/>
          <w:sz w:val="22"/>
          <w:u w:val="single"/>
        </w:rPr>
        <w:t> </w:t>
      </w:r>
      <w:r>
        <w:rPr>
          <w:spacing w:val="-2"/>
          <w:sz w:val="22"/>
          <w:u w:val="single"/>
        </w:rPr>
        <w:t>Support</w:t>
      </w:r>
      <w:r>
        <w:rPr>
          <w:sz w:val="22"/>
          <w:u w:val="single"/>
        </w:rPr>
        <w:tab/>
      </w:r>
    </w:p>
    <w:p>
      <w:pPr>
        <w:pStyle w:val="BodyText"/>
        <w:spacing w:before="3"/>
        <w:rPr>
          <w:sz w:val="9"/>
        </w:rPr>
      </w:pPr>
    </w:p>
    <w:tbl>
      <w:tblPr>
        <w:tblW w:w="0" w:type="auto"/>
        <w:jc w:val="left"/>
        <w:tblInd w:w="2850" w:type="dxa"/>
        <w:tblBorders>
          <w:top w:val="single" w:sz="8" w:space="0" w:color="BEBEBE"/>
          <w:left w:val="single" w:sz="8" w:space="0" w:color="BEBEBE"/>
          <w:bottom w:val="single" w:sz="8" w:space="0" w:color="BEBEBE"/>
          <w:right w:val="single" w:sz="8" w:space="0" w:color="BEBEBE"/>
          <w:insideH w:val="single" w:sz="8" w:space="0" w:color="BEBEBE"/>
          <w:insideV w:val="single" w:sz="8" w:space="0" w:color="BEBEBE"/>
        </w:tblBorders>
        <w:tblLayout w:type="fixed"/>
        <w:tblCellMar>
          <w:top w:w="0" w:type="dxa"/>
          <w:left w:w="0" w:type="dxa"/>
          <w:bottom w:w="0" w:type="dxa"/>
          <w:right w:w="0" w:type="dxa"/>
        </w:tblCellMar>
        <w:tblLook w:val="01E0"/>
      </w:tblPr>
      <w:tblGrid>
        <w:gridCol w:w="1234"/>
        <w:gridCol w:w="1056"/>
        <w:gridCol w:w="1054"/>
        <w:gridCol w:w="1054"/>
        <w:gridCol w:w="864"/>
        <w:gridCol w:w="874"/>
      </w:tblGrid>
      <w:tr>
        <w:trPr>
          <w:trHeight w:val="296" w:hRule="atLeast"/>
        </w:trPr>
        <w:tc>
          <w:tcPr>
            <w:tcW w:w="6136" w:type="dxa"/>
            <w:gridSpan w:val="6"/>
            <w:tcBorders>
              <w:bottom w:val="single" w:sz="4" w:space="0" w:color="BEBEBE"/>
            </w:tcBorders>
            <w:shd w:val="clear" w:color="auto" w:fill="1F487C"/>
          </w:tcPr>
          <w:p>
            <w:pPr>
              <w:pStyle w:val="TableParagraph"/>
              <w:spacing w:before="33"/>
              <w:ind w:left="400"/>
              <w:rPr>
                <w:b/>
                <w:sz w:val="20"/>
              </w:rPr>
            </w:pPr>
            <w:r>
              <w:rPr>
                <w:b/>
                <w:color w:val="FFFFFF"/>
                <w:sz w:val="20"/>
              </w:rPr>
              <w:t>Average</w:t>
            </w:r>
            <w:r>
              <w:rPr>
                <w:b/>
                <w:color w:val="FFFFFF"/>
                <w:spacing w:val="-8"/>
                <w:sz w:val="20"/>
              </w:rPr>
              <w:t> </w:t>
            </w:r>
            <w:r>
              <w:rPr>
                <w:b/>
                <w:color w:val="FFFFFF"/>
                <w:sz w:val="20"/>
              </w:rPr>
              <w:t>Adjusted</w:t>
            </w:r>
            <w:r>
              <w:rPr>
                <w:b/>
                <w:color w:val="FFFFFF"/>
                <w:spacing w:val="-8"/>
                <w:sz w:val="20"/>
              </w:rPr>
              <w:t> </w:t>
            </w:r>
            <w:r>
              <w:rPr>
                <w:b/>
                <w:color w:val="FFFFFF"/>
                <w:sz w:val="20"/>
              </w:rPr>
              <w:t>PMPMs</w:t>
            </w:r>
            <w:r>
              <w:rPr>
                <w:b/>
                <w:color w:val="FFFFFF"/>
                <w:spacing w:val="-8"/>
                <w:sz w:val="20"/>
              </w:rPr>
              <w:t> </w:t>
            </w:r>
            <w:r>
              <w:rPr>
                <w:b/>
                <w:color w:val="FFFFFF"/>
                <w:sz w:val="20"/>
              </w:rPr>
              <w:t>for</w:t>
            </w:r>
            <w:r>
              <w:rPr>
                <w:b/>
                <w:color w:val="FFFFFF"/>
                <w:spacing w:val="-8"/>
                <w:sz w:val="20"/>
              </w:rPr>
              <w:t> </w:t>
            </w:r>
            <w:r>
              <w:rPr>
                <w:b/>
                <w:color w:val="FFFFFF"/>
                <w:sz w:val="20"/>
              </w:rPr>
              <w:t>ACO</w:t>
            </w:r>
            <w:r>
              <w:rPr>
                <w:b/>
                <w:color w:val="FFFFFF"/>
                <w:spacing w:val="-6"/>
                <w:sz w:val="20"/>
              </w:rPr>
              <w:t> </w:t>
            </w:r>
            <w:r>
              <w:rPr>
                <w:b/>
                <w:color w:val="FFFFFF"/>
                <w:sz w:val="20"/>
              </w:rPr>
              <w:t>Startup/Ongoing</w:t>
            </w:r>
            <w:r>
              <w:rPr>
                <w:b/>
                <w:color w:val="FFFFFF"/>
                <w:spacing w:val="-7"/>
                <w:sz w:val="20"/>
              </w:rPr>
              <w:t> </w:t>
            </w:r>
            <w:r>
              <w:rPr>
                <w:b/>
                <w:color w:val="FFFFFF"/>
                <w:spacing w:val="-2"/>
                <w:sz w:val="20"/>
              </w:rPr>
              <w:t>Support</w:t>
            </w:r>
          </w:p>
        </w:tc>
      </w:tr>
      <w:tr>
        <w:trPr>
          <w:trHeight w:val="294" w:hRule="atLeast"/>
        </w:trPr>
        <w:tc>
          <w:tcPr>
            <w:tcW w:w="1234" w:type="dxa"/>
            <w:tcBorders>
              <w:top w:val="single" w:sz="4" w:space="0" w:color="BEBEBE"/>
              <w:bottom w:val="single" w:sz="4" w:space="0" w:color="BEBEBE"/>
              <w:right w:val="single" w:sz="4" w:space="0" w:color="BEBEBE"/>
            </w:tcBorders>
            <w:shd w:val="clear" w:color="auto" w:fill="D9D9D9"/>
          </w:tcPr>
          <w:p>
            <w:pPr>
              <w:pStyle w:val="TableParagraph"/>
              <w:spacing w:before="31"/>
              <w:ind w:left="243" w:right="233"/>
              <w:jc w:val="center"/>
              <w:rPr>
                <w:b/>
                <w:sz w:val="20"/>
              </w:rPr>
            </w:pPr>
            <w:r>
              <w:rPr>
                <w:b/>
                <w:sz w:val="20"/>
              </w:rPr>
              <w:t>Prep</w:t>
            </w:r>
            <w:r>
              <w:rPr>
                <w:b/>
                <w:spacing w:val="-5"/>
                <w:sz w:val="20"/>
              </w:rPr>
              <w:t> BP</w:t>
            </w:r>
          </w:p>
        </w:tc>
        <w:tc>
          <w:tcPr>
            <w:tcW w:w="1056"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before="31"/>
              <w:ind w:left="242" w:right="225"/>
              <w:jc w:val="center"/>
              <w:rPr>
                <w:b/>
                <w:sz w:val="20"/>
              </w:rPr>
            </w:pPr>
            <w:r>
              <w:rPr>
                <w:b/>
                <w:sz w:val="20"/>
              </w:rPr>
              <w:t>BP</w:t>
            </w:r>
            <w:r>
              <w:rPr>
                <w:b/>
                <w:spacing w:val="-1"/>
                <w:sz w:val="20"/>
              </w:rPr>
              <w:t> </w:t>
            </w:r>
            <w:r>
              <w:rPr>
                <w:b/>
                <w:spacing w:val="-10"/>
                <w:sz w:val="20"/>
              </w:rPr>
              <w:t>1</w:t>
            </w:r>
          </w:p>
        </w:tc>
        <w:tc>
          <w:tcPr>
            <w:tcW w:w="1054"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before="31"/>
              <w:ind w:left="328"/>
              <w:rPr>
                <w:b/>
                <w:sz w:val="20"/>
              </w:rPr>
            </w:pPr>
            <w:r>
              <w:rPr>
                <w:b/>
                <w:sz w:val="20"/>
              </w:rPr>
              <w:t>BP</w:t>
            </w:r>
            <w:r>
              <w:rPr>
                <w:b/>
                <w:spacing w:val="-1"/>
                <w:sz w:val="20"/>
              </w:rPr>
              <w:t> </w:t>
            </w:r>
            <w:r>
              <w:rPr>
                <w:b/>
                <w:spacing w:val="-10"/>
                <w:sz w:val="20"/>
              </w:rPr>
              <w:t>2</w:t>
            </w:r>
          </w:p>
        </w:tc>
        <w:tc>
          <w:tcPr>
            <w:tcW w:w="1054"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before="31"/>
              <w:ind w:left="242" w:right="224"/>
              <w:jc w:val="center"/>
              <w:rPr>
                <w:b/>
                <w:sz w:val="20"/>
              </w:rPr>
            </w:pPr>
            <w:r>
              <w:rPr>
                <w:b/>
                <w:sz w:val="20"/>
              </w:rPr>
              <w:t>BP</w:t>
            </w:r>
            <w:r>
              <w:rPr>
                <w:b/>
                <w:spacing w:val="-1"/>
                <w:sz w:val="20"/>
              </w:rPr>
              <w:t> </w:t>
            </w:r>
            <w:r>
              <w:rPr>
                <w:b/>
                <w:spacing w:val="-10"/>
                <w:sz w:val="20"/>
              </w:rPr>
              <w:t>3</w:t>
            </w:r>
          </w:p>
        </w:tc>
        <w:tc>
          <w:tcPr>
            <w:tcW w:w="864"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before="31"/>
              <w:ind w:left="192" w:right="177"/>
              <w:jc w:val="center"/>
              <w:rPr>
                <w:b/>
                <w:sz w:val="20"/>
              </w:rPr>
            </w:pPr>
            <w:r>
              <w:rPr>
                <w:b/>
                <w:sz w:val="20"/>
              </w:rPr>
              <w:t>BP</w:t>
            </w:r>
            <w:r>
              <w:rPr>
                <w:b/>
                <w:spacing w:val="-1"/>
                <w:sz w:val="20"/>
              </w:rPr>
              <w:t> </w:t>
            </w:r>
            <w:r>
              <w:rPr>
                <w:b/>
                <w:spacing w:val="-10"/>
                <w:sz w:val="20"/>
              </w:rPr>
              <w:t>4</w:t>
            </w:r>
          </w:p>
        </w:tc>
        <w:tc>
          <w:tcPr>
            <w:tcW w:w="874" w:type="dxa"/>
            <w:tcBorders>
              <w:top w:val="single" w:sz="4" w:space="0" w:color="BEBEBE"/>
              <w:left w:val="single" w:sz="4" w:space="0" w:color="BEBEBE"/>
              <w:bottom w:val="single" w:sz="4" w:space="0" w:color="BEBEBE"/>
            </w:tcBorders>
            <w:shd w:val="clear" w:color="auto" w:fill="D9D9D9"/>
          </w:tcPr>
          <w:p>
            <w:pPr>
              <w:pStyle w:val="TableParagraph"/>
              <w:spacing w:before="31"/>
              <w:ind w:left="198" w:right="178"/>
              <w:jc w:val="center"/>
              <w:rPr>
                <w:b/>
                <w:sz w:val="20"/>
              </w:rPr>
            </w:pPr>
            <w:r>
              <w:rPr>
                <w:b/>
                <w:sz w:val="20"/>
              </w:rPr>
              <w:t>BP</w:t>
            </w:r>
            <w:r>
              <w:rPr>
                <w:b/>
                <w:spacing w:val="-1"/>
                <w:sz w:val="20"/>
              </w:rPr>
              <w:t> </w:t>
            </w:r>
            <w:r>
              <w:rPr>
                <w:b/>
                <w:spacing w:val="-10"/>
                <w:sz w:val="20"/>
              </w:rPr>
              <w:t>5</w:t>
            </w:r>
          </w:p>
        </w:tc>
      </w:tr>
      <w:tr>
        <w:trPr>
          <w:trHeight w:val="265" w:hRule="atLeast"/>
        </w:trPr>
        <w:tc>
          <w:tcPr>
            <w:tcW w:w="1234" w:type="dxa"/>
            <w:tcBorders>
              <w:top w:val="single" w:sz="4" w:space="0" w:color="BEBEBE"/>
              <w:right w:val="single" w:sz="4" w:space="0" w:color="BEBEBE"/>
            </w:tcBorders>
          </w:tcPr>
          <w:p>
            <w:pPr>
              <w:pStyle w:val="TableParagraph"/>
              <w:spacing w:line="229" w:lineRule="exact" w:before="17"/>
              <w:ind w:left="243" w:right="231"/>
              <w:jc w:val="center"/>
              <w:rPr>
                <w:sz w:val="20"/>
              </w:rPr>
            </w:pPr>
            <w:r>
              <w:rPr>
                <w:spacing w:val="-2"/>
                <w:sz w:val="20"/>
              </w:rPr>
              <w:t>$21.43</w:t>
            </w:r>
          </w:p>
        </w:tc>
        <w:tc>
          <w:tcPr>
            <w:tcW w:w="1056" w:type="dxa"/>
            <w:tcBorders>
              <w:top w:val="single" w:sz="4" w:space="0" w:color="BEBEBE"/>
              <w:left w:val="single" w:sz="4" w:space="0" w:color="BEBEBE"/>
              <w:right w:val="single" w:sz="4" w:space="0" w:color="BEBEBE"/>
            </w:tcBorders>
          </w:tcPr>
          <w:p>
            <w:pPr>
              <w:pStyle w:val="TableParagraph"/>
              <w:spacing w:line="229" w:lineRule="exact" w:before="17"/>
              <w:ind w:left="242" w:right="225"/>
              <w:jc w:val="center"/>
              <w:rPr>
                <w:sz w:val="20"/>
              </w:rPr>
            </w:pPr>
            <w:r>
              <w:rPr>
                <w:spacing w:val="-2"/>
                <w:sz w:val="20"/>
              </w:rPr>
              <w:t>$19.16</w:t>
            </w:r>
          </w:p>
        </w:tc>
        <w:tc>
          <w:tcPr>
            <w:tcW w:w="1054" w:type="dxa"/>
            <w:tcBorders>
              <w:top w:val="single" w:sz="4" w:space="0" w:color="BEBEBE"/>
              <w:left w:val="single" w:sz="4" w:space="0" w:color="BEBEBE"/>
              <w:right w:val="single" w:sz="4" w:space="0" w:color="BEBEBE"/>
            </w:tcBorders>
          </w:tcPr>
          <w:p>
            <w:pPr>
              <w:pStyle w:val="TableParagraph"/>
              <w:spacing w:line="229" w:lineRule="exact" w:before="17"/>
              <w:ind w:left="256"/>
              <w:rPr>
                <w:sz w:val="20"/>
              </w:rPr>
            </w:pPr>
            <w:r>
              <w:rPr>
                <w:spacing w:val="-2"/>
                <w:sz w:val="20"/>
              </w:rPr>
              <w:t>$18.14</w:t>
            </w:r>
          </w:p>
        </w:tc>
        <w:tc>
          <w:tcPr>
            <w:tcW w:w="1054" w:type="dxa"/>
            <w:tcBorders>
              <w:top w:val="single" w:sz="4" w:space="0" w:color="BEBEBE"/>
              <w:left w:val="single" w:sz="4" w:space="0" w:color="BEBEBE"/>
              <w:right w:val="single" w:sz="4" w:space="0" w:color="BEBEBE"/>
            </w:tcBorders>
          </w:tcPr>
          <w:p>
            <w:pPr>
              <w:pStyle w:val="TableParagraph"/>
              <w:spacing w:line="229" w:lineRule="exact" w:before="17"/>
              <w:ind w:left="242" w:right="224"/>
              <w:jc w:val="center"/>
              <w:rPr>
                <w:sz w:val="20"/>
              </w:rPr>
            </w:pPr>
            <w:r>
              <w:rPr>
                <w:spacing w:val="-2"/>
                <w:sz w:val="20"/>
              </w:rPr>
              <w:t>$14.24</w:t>
            </w:r>
          </w:p>
        </w:tc>
        <w:tc>
          <w:tcPr>
            <w:tcW w:w="864" w:type="dxa"/>
            <w:tcBorders>
              <w:top w:val="single" w:sz="4" w:space="0" w:color="BEBEBE"/>
              <w:left w:val="single" w:sz="4" w:space="0" w:color="BEBEBE"/>
              <w:right w:val="single" w:sz="4" w:space="0" w:color="BEBEBE"/>
            </w:tcBorders>
          </w:tcPr>
          <w:p>
            <w:pPr>
              <w:pStyle w:val="TableParagraph"/>
              <w:spacing w:line="229" w:lineRule="exact" w:before="17"/>
              <w:ind w:left="196" w:right="177"/>
              <w:jc w:val="center"/>
              <w:rPr>
                <w:sz w:val="20"/>
              </w:rPr>
            </w:pPr>
            <w:r>
              <w:rPr>
                <w:spacing w:val="-2"/>
                <w:sz w:val="20"/>
              </w:rPr>
              <w:t>$9.17</w:t>
            </w:r>
          </w:p>
        </w:tc>
        <w:tc>
          <w:tcPr>
            <w:tcW w:w="874" w:type="dxa"/>
            <w:tcBorders>
              <w:top w:val="single" w:sz="4" w:space="0" w:color="BEBEBE"/>
              <w:left w:val="single" w:sz="4" w:space="0" w:color="BEBEBE"/>
            </w:tcBorders>
          </w:tcPr>
          <w:p>
            <w:pPr>
              <w:pStyle w:val="TableParagraph"/>
              <w:spacing w:line="229" w:lineRule="exact" w:before="17"/>
              <w:ind w:left="201" w:right="178"/>
              <w:jc w:val="center"/>
              <w:rPr>
                <w:sz w:val="20"/>
              </w:rPr>
            </w:pPr>
            <w:r>
              <w:rPr>
                <w:spacing w:val="-2"/>
                <w:sz w:val="20"/>
              </w:rPr>
              <w:t>$3.12</w:t>
            </w:r>
          </w:p>
        </w:tc>
      </w:tr>
    </w:tbl>
    <w:p>
      <w:pPr>
        <w:pStyle w:val="BodyText"/>
        <w:spacing w:before="4"/>
        <w:rPr>
          <w:sz w:val="6"/>
        </w:rPr>
      </w:pPr>
      <w:r>
        <w:rPr/>
        <mc:AlternateContent>
          <mc:Choice Requires="wps">
            <w:drawing>
              <wp:anchor distT="0" distB="0" distL="0" distR="0" allowOverlap="1" layoutInCell="1" locked="0" behindDoc="1" simplePos="0" relativeHeight="487997952">
                <wp:simplePos x="0" y="0"/>
                <wp:positionH relativeFrom="page">
                  <wp:posOffset>909827</wp:posOffset>
                </wp:positionH>
                <wp:positionV relativeFrom="paragraph">
                  <wp:posOffset>62102</wp:posOffset>
                </wp:positionV>
                <wp:extent cx="5953125" cy="6350"/>
                <wp:effectExtent l="0" t="0" r="0" b="0"/>
                <wp:wrapTopAndBottom/>
                <wp:docPr id="853" name="Graphic 853"/>
                <wp:cNvGraphicFramePr>
                  <a:graphicFrameLocks/>
                </wp:cNvGraphicFramePr>
                <a:graphic>
                  <a:graphicData uri="http://schemas.microsoft.com/office/word/2010/wordprocessingShape">
                    <wps:wsp>
                      <wps:cNvPr id="853" name="Graphic 853"/>
                      <wps:cNvSpPr/>
                      <wps:spPr>
                        <a:xfrm>
                          <a:off x="0" y="0"/>
                          <a:ext cx="5953125" cy="6350"/>
                        </a:xfrm>
                        <a:custGeom>
                          <a:avLst/>
                          <a:gdLst/>
                          <a:ahLst/>
                          <a:cxnLst/>
                          <a:rect l="l" t="t" r="r" b="b"/>
                          <a:pathLst>
                            <a:path w="5953125" h="6350">
                              <a:moveTo>
                                <a:pt x="5952744" y="0"/>
                              </a:moveTo>
                              <a:lnTo>
                                <a:pt x="0" y="0"/>
                              </a:lnTo>
                              <a:lnTo>
                                <a:pt x="0" y="6095"/>
                              </a:lnTo>
                              <a:lnTo>
                                <a:pt x="5952744" y="6095"/>
                              </a:lnTo>
                              <a:lnTo>
                                <a:pt x="5952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1.639999pt;margin-top:4.890pt;width:468.72pt;height:.48pt;mso-position-horizontal-relative:page;mso-position-vertical-relative:paragraph;z-index:-15318528;mso-wrap-distance-left:0;mso-wrap-distance-right:0" id="docshape73" filled="true" fillcolor="#000000" stroked="false">
                <v:fill type="solid"/>
                <w10:wrap type="topAndBottom"/>
              </v:rect>
            </w:pict>
          </mc:Fallback>
        </mc:AlternateContent>
      </w:r>
    </w:p>
    <w:p>
      <w:pPr>
        <w:pStyle w:val="BodyText"/>
        <w:spacing w:before="9"/>
        <w:rPr>
          <w:sz w:val="21"/>
        </w:rPr>
      </w:pPr>
    </w:p>
    <w:p>
      <w:pPr>
        <w:spacing w:line="240" w:lineRule="auto" w:before="0"/>
        <w:ind w:left="1219" w:right="1094" w:firstLine="0"/>
        <w:jc w:val="both"/>
        <w:rPr>
          <w:sz w:val="22"/>
        </w:rPr>
      </w:pPr>
      <w:r>
        <w:rPr>
          <w:sz w:val="22"/>
        </w:rPr>
        <w:t>Given the potential for variation in anticipated ACO and member participation, these average adjusted PMPMs</w:t>
      </w:r>
      <w:r>
        <w:rPr>
          <w:spacing w:val="-14"/>
          <w:sz w:val="22"/>
        </w:rPr>
        <w:t> </w:t>
      </w:r>
      <w:r>
        <w:rPr>
          <w:sz w:val="22"/>
        </w:rPr>
        <w:t>represent</w:t>
      </w:r>
      <w:r>
        <w:rPr>
          <w:spacing w:val="-13"/>
          <w:sz w:val="22"/>
        </w:rPr>
        <w:t> </w:t>
      </w:r>
      <w:r>
        <w:rPr>
          <w:sz w:val="22"/>
        </w:rPr>
        <w:t>an</w:t>
      </w:r>
      <w:r>
        <w:rPr>
          <w:spacing w:val="-12"/>
          <w:sz w:val="22"/>
        </w:rPr>
        <w:t> </w:t>
      </w:r>
      <w:r>
        <w:rPr>
          <w:sz w:val="22"/>
        </w:rPr>
        <w:t>estimate,</w:t>
      </w:r>
      <w:r>
        <w:rPr>
          <w:spacing w:val="-12"/>
          <w:sz w:val="22"/>
        </w:rPr>
        <w:t> </w:t>
      </w:r>
      <w:r>
        <w:rPr>
          <w:sz w:val="22"/>
        </w:rPr>
        <w:t>and</w:t>
      </w:r>
      <w:r>
        <w:rPr>
          <w:spacing w:val="-12"/>
          <w:sz w:val="22"/>
        </w:rPr>
        <w:t> </w:t>
      </w:r>
      <w:r>
        <w:rPr>
          <w:sz w:val="22"/>
        </w:rPr>
        <w:t>the</w:t>
      </w:r>
      <w:r>
        <w:rPr>
          <w:spacing w:val="-11"/>
          <w:sz w:val="22"/>
        </w:rPr>
        <w:t> </w:t>
      </w:r>
      <w:r>
        <w:rPr>
          <w:sz w:val="22"/>
        </w:rPr>
        <w:t>State</w:t>
      </w:r>
      <w:r>
        <w:rPr>
          <w:spacing w:val="-11"/>
          <w:sz w:val="22"/>
        </w:rPr>
        <w:t> </w:t>
      </w:r>
      <w:r>
        <w:rPr>
          <w:sz w:val="22"/>
        </w:rPr>
        <w:t>may</w:t>
      </w:r>
      <w:r>
        <w:rPr>
          <w:spacing w:val="-14"/>
          <w:sz w:val="22"/>
        </w:rPr>
        <w:t> </w:t>
      </w:r>
      <w:r>
        <w:rPr>
          <w:sz w:val="22"/>
        </w:rPr>
        <w:t>disburse,</w:t>
      </w:r>
      <w:r>
        <w:rPr>
          <w:spacing w:val="-11"/>
          <w:sz w:val="22"/>
        </w:rPr>
        <w:t> </w:t>
      </w:r>
      <w:r>
        <w:rPr>
          <w:sz w:val="22"/>
        </w:rPr>
        <w:t>on</w:t>
      </w:r>
      <w:r>
        <w:rPr>
          <w:spacing w:val="-14"/>
          <w:sz w:val="22"/>
        </w:rPr>
        <w:t> </w:t>
      </w:r>
      <w:r>
        <w:rPr>
          <w:sz w:val="22"/>
        </w:rPr>
        <w:t>average,</w:t>
      </w:r>
      <w:r>
        <w:rPr>
          <w:spacing w:val="-11"/>
          <w:sz w:val="22"/>
        </w:rPr>
        <w:t> </w:t>
      </w:r>
      <w:r>
        <w:rPr>
          <w:sz w:val="22"/>
        </w:rPr>
        <w:t>PMPMs</w:t>
      </w:r>
      <w:r>
        <w:rPr>
          <w:spacing w:val="-11"/>
          <w:sz w:val="22"/>
        </w:rPr>
        <w:t> </w:t>
      </w:r>
      <w:r>
        <w:rPr>
          <w:sz w:val="22"/>
        </w:rPr>
        <w:t>that</w:t>
      </w:r>
      <w:r>
        <w:rPr>
          <w:spacing w:val="-13"/>
          <w:sz w:val="22"/>
        </w:rPr>
        <w:t> </w:t>
      </w:r>
      <w:r>
        <w:rPr>
          <w:sz w:val="22"/>
        </w:rPr>
        <w:t>differ</w:t>
      </w:r>
      <w:r>
        <w:rPr>
          <w:spacing w:val="-11"/>
          <w:sz w:val="22"/>
        </w:rPr>
        <w:t> </w:t>
      </w:r>
      <w:r>
        <w:rPr>
          <w:sz w:val="22"/>
        </w:rPr>
        <w:t>from</w:t>
      </w:r>
      <w:r>
        <w:rPr>
          <w:spacing w:val="-14"/>
          <w:sz w:val="22"/>
        </w:rPr>
        <w:t> </w:t>
      </w:r>
      <w:r>
        <w:rPr>
          <w:sz w:val="22"/>
        </w:rPr>
        <w:t>the</w:t>
      </w:r>
      <w:r>
        <w:rPr>
          <w:spacing w:val="-11"/>
          <w:sz w:val="22"/>
        </w:rPr>
        <w:t> </w:t>
      </w:r>
      <w:r>
        <w:rPr>
          <w:sz w:val="22"/>
        </w:rPr>
        <w:t>PMPMs displayed in Exhibit 6 by up to +/- $6. Individual ACO PMPMs may vary by greater amounts due to the adjustments</w:t>
      </w:r>
      <w:r>
        <w:rPr>
          <w:spacing w:val="-3"/>
          <w:sz w:val="22"/>
        </w:rPr>
        <w:t> </w:t>
      </w:r>
      <w:r>
        <w:rPr>
          <w:sz w:val="22"/>
        </w:rPr>
        <w:t>described</w:t>
      </w:r>
      <w:r>
        <w:rPr>
          <w:spacing w:val="-4"/>
          <w:sz w:val="22"/>
        </w:rPr>
        <w:t> </w:t>
      </w:r>
      <w:r>
        <w:rPr>
          <w:sz w:val="22"/>
        </w:rPr>
        <w:t>in</w:t>
      </w:r>
      <w:r>
        <w:rPr>
          <w:spacing w:val="-6"/>
          <w:sz w:val="22"/>
        </w:rPr>
        <w:t> </w:t>
      </w:r>
      <w:r>
        <w:rPr>
          <w:sz w:val="22"/>
        </w:rPr>
        <w:t>this</w:t>
      </w:r>
      <w:r>
        <w:rPr>
          <w:spacing w:val="-3"/>
          <w:sz w:val="22"/>
        </w:rPr>
        <w:t> </w:t>
      </w:r>
      <w:r>
        <w:rPr>
          <w:sz w:val="22"/>
        </w:rPr>
        <w:t>section.</w:t>
      </w:r>
      <w:r>
        <w:rPr>
          <w:spacing w:val="-4"/>
          <w:sz w:val="22"/>
        </w:rPr>
        <w:t> </w:t>
      </w:r>
      <w:r>
        <w:rPr>
          <w:sz w:val="22"/>
        </w:rPr>
        <w:t>If</w:t>
      </w:r>
      <w:r>
        <w:rPr>
          <w:spacing w:val="-3"/>
          <w:sz w:val="22"/>
        </w:rPr>
        <w:t> </w:t>
      </w:r>
      <w:r>
        <w:rPr>
          <w:sz w:val="22"/>
        </w:rPr>
        <w:t>a</w:t>
      </w:r>
      <w:r>
        <w:rPr>
          <w:spacing w:val="-3"/>
          <w:sz w:val="22"/>
        </w:rPr>
        <w:t> </w:t>
      </w:r>
      <w:r>
        <w:rPr>
          <w:sz w:val="22"/>
        </w:rPr>
        <w:t>new</w:t>
      </w:r>
      <w:r>
        <w:rPr>
          <w:spacing w:val="-5"/>
          <w:sz w:val="22"/>
        </w:rPr>
        <w:t> </w:t>
      </w:r>
      <w:r>
        <w:rPr>
          <w:sz w:val="22"/>
        </w:rPr>
        <w:t>ACO</w:t>
      </w:r>
      <w:r>
        <w:rPr>
          <w:spacing w:val="-5"/>
          <w:sz w:val="22"/>
        </w:rPr>
        <w:t> </w:t>
      </w:r>
      <w:r>
        <w:rPr>
          <w:sz w:val="22"/>
        </w:rPr>
        <w:t>joins</w:t>
      </w:r>
      <w:r>
        <w:rPr>
          <w:spacing w:val="-3"/>
          <w:sz w:val="22"/>
        </w:rPr>
        <w:t> </w:t>
      </w:r>
      <w:r>
        <w:rPr>
          <w:sz w:val="22"/>
        </w:rPr>
        <w:t>after</w:t>
      </w:r>
      <w:r>
        <w:rPr>
          <w:spacing w:val="-3"/>
          <w:sz w:val="22"/>
        </w:rPr>
        <w:t> </w:t>
      </w:r>
      <w:r>
        <w:rPr>
          <w:sz w:val="22"/>
        </w:rPr>
        <w:t>BP1,</w:t>
      </w:r>
      <w:r>
        <w:rPr>
          <w:spacing w:val="-4"/>
          <w:sz w:val="22"/>
        </w:rPr>
        <w:t> </w:t>
      </w:r>
      <w:r>
        <w:rPr>
          <w:sz w:val="22"/>
        </w:rPr>
        <w:t>e.g.</w:t>
      </w:r>
      <w:r>
        <w:rPr>
          <w:spacing w:val="-4"/>
          <w:sz w:val="22"/>
        </w:rPr>
        <w:t> </w:t>
      </w:r>
      <w:r>
        <w:rPr>
          <w:sz w:val="22"/>
        </w:rPr>
        <w:t>in</w:t>
      </w:r>
      <w:r>
        <w:rPr>
          <w:spacing w:val="-4"/>
          <w:sz w:val="22"/>
        </w:rPr>
        <w:t> </w:t>
      </w:r>
      <w:r>
        <w:rPr>
          <w:sz w:val="22"/>
        </w:rPr>
        <w:t>BP3,</w:t>
      </w:r>
      <w:r>
        <w:rPr>
          <w:spacing w:val="-6"/>
          <w:sz w:val="22"/>
        </w:rPr>
        <w:t> </w:t>
      </w:r>
      <w:r>
        <w:rPr>
          <w:sz w:val="22"/>
        </w:rPr>
        <w:t>it</w:t>
      </w:r>
      <w:r>
        <w:rPr>
          <w:spacing w:val="-5"/>
          <w:sz w:val="22"/>
        </w:rPr>
        <w:t> </w:t>
      </w:r>
      <w:r>
        <w:rPr>
          <w:sz w:val="22"/>
        </w:rPr>
        <w:t>will</w:t>
      </w:r>
      <w:r>
        <w:rPr>
          <w:spacing w:val="-5"/>
          <w:sz w:val="22"/>
        </w:rPr>
        <w:t> </w:t>
      </w:r>
      <w:r>
        <w:rPr>
          <w:sz w:val="22"/>
        </w:rPr>
        <w:t>have</w:t>
      </w:r>
      <w:r>
        <w:rPr>
          <w:spacing w:val="-3"/>
          <w:sz w:val="22"/>
        </w:rPr>
        <w:t> </w:t>
      </w:r>
      <w:r>
        <w:rPr>
          <w:sz w:val="22"/>
        </w:rPr>
        <w:t>the</w:t>
      </w:r>
      <w:r>
        <w:rPr>
          <w:spacing w:val="-6"/>
          <w:sz w:val="22"/>
        </w:rPr>
        <w:t> </w:t>
      </w:r>
      <w:r>
        <w:rPr>
          <w:sz w:val="22"/>
        </w:rPr>
        <w:t>same</w:t>
      </w:r>
      <w:r>
        <w:rPr>
          <w:spacing w:val="-3"/>
          <w:sz w:val="22"/>
        </w:rPr>
        <w:t> </w:t>
      </w:r>
      <w:r>
        <w:rPr>
          <w:sz w:val="22"/>
        </w:rPr>
        <w:t>BP3 base PMPMs as the existing ACOs and will not be assigned PMPMs differently.</w:t>
      </w:r>
    </w:p>
    <w:p>
      <w:pPr>
        <w:spacing w:after="0" w:line="240" w:lineRule="auto"/>
        <w:jc w:val="both"/>
        <w:rPr>
          <w:sz w:val="22"/>
        </w:rPr>
        <w:sectPr>
          <w:pgSz w:w="12240" w:h="15840"/>
          <w:pgMar w:header="0" w:footer="967" w:top="1360" w:bottom="1160" w:left="220" w:right="340"/>
        </w:sectPr>
      </w:pPr>
    </w:p>
    <w:p>
      <w:pPr>
        <w:spacing w:before="78"/>
        <w:ind w:left="1219" w:right="1092" w:firstLine="0"/>
        <w:jc w:val="both"/>
        <w:rPr>
          <w:sz w:val="22"/>
        </w:rPr>
      </w:pPr>
      <w:r>
        <w:rPr>
          <w:sz w:val="22"/>
        </w:rPr>
        <w:t>ACOs</w:t>
      </w:r>
      <w:r>
        <w:rPr>
          <w:spacing w:val="-12"/>
          <w:sz w:val="22"/>
        </w:rPr>
        <w:t> </w:t>
      </w:r>
      <w:r>
        <w:rPr>
          <w:sz w:val="22"/>
        </w:rPr>
        <w:t>with</w:t>
      </w:r>
      <w:r>
        <w:rPr>
          <w:spacing w:val="-14"/>
          <w:sz w:val="22"/>
        </w:rPr>
        <w:t> </w:t>
      </w:r>
      <w:r>
        <w:rPr>
          <w:sz w:val="22"/>
        </w:rPr>
        <w:t>a</w:t>
      </w:r>
      <w:r>
        <w:rPr>
          <w:spacing w:val="-10"/>
          <w:sz w:val="22"/>
        </w:rPr>
        <w:t> </w:t>
      </w:r>
      <w:r>
        <w:rPr>
          <w:sz w:val="22"/>
        </w:rPr>
        <w:t>higher</w:t>
      </w:r>
      <w:r>
        <w:rPr>
          <w:spacing w:val="-13"/>
          <w:sz w:val="22"/>
        </w:rPr>
        <w:t> </w:t>
      </w:r>
      <w:r>
        <w:rPr>
          <w:sz w:val="22"/>
        </w:rPr>
        <w:t>percentage</w:t>
      </w:r>
      <w:r>
        <w:rPr>
          <w:spacing w:val="-11"/>
          <w:sz w:val="22"/>
        </w:rPr>
        <w:t> </w:t>
      </w:r>
      <w:r>
        <w:rPr>
          <w:sz w:val="22"/>
        </w:rPr>
        <w:t>of</w:t>
      </w:r>
      <w:r>
        <w:rPr>
          <w:spacing w:val="-13"/>
          <w:sz w:val="22"/>
        </w:rPr>
        <w:t> </w:t>
      </w:r>
      <w:r>
        <w:rPr>
          <w:sz w:val="22"/>
        </w:rPr>
        <w:t>revenue</w:t>
      </w:r>
      <w:r>
        <w:rPr>
          <w:spacing w:val="-14"/>
          <w:sz w:val="22"/>
        </w:rPr>
        <w:t> </w:t>
      </w:r>
      <w:r>
        <w:rPr>
          <w:sz w:val="22"/>
        </w:rPr>
        <w:t>generated</w:t>
      </w:r>
      <w:r>
        <w:rPr>
          <w:spacing w:val="-14"/>
          <w:sz w:val="22"/>
        </w:rPr>
        <w:t> </w:t>
      </w:r>
      <w:r>
        <w:rPr>
          <w:sz w:val="22"/>
        </w:rPr>
        <w:t>from</w:t>
      </w:r>
      <w:r>
        <w:rPr>
          <w:spacing w:val="-14"/>
          <w:sz w:val="22"/>
        </w:rPr>
        <w:t> </w:t>
      </w:r>
      <w:r>
        <w:rPr>
          <w:sz w:val="22"/>
        </w:rPr>
        <w:t>Medicaid</w:t>
      </w:r>
      <w:r>
        <w:rPr>
          <w:spacing w:val="-13"/>
          <w:sz w:val="22"/>
        </w:rPr>
        <w:t> </w:t>
      </w:r>
      <w:r>
        <w:rPr>
          <w:sz w:val="22"/>
        </w:rPr>
        <w:t>and</w:t>
      </w:r>
      <w:r>
        <w:rPr>
          <w:spacing w:val="-14"/>
          <w:sz w:val="22"/>
        </w:rPr>
        <w:t> </w:t>
      </w:r>
      <w:r>
        <w:rPr>
          <w:sz w:val="22"/>
        </w:rPr>
        <w:t>uninsured</w:t>
      </w:r>
      <w:r>
        <w:rPr>
          <w:spacing w:val="-14"/>
          <w:sz w:val="22"/>
        </w:rPr>
        <w:t> </w:t>
      </w:r>
      <w:r>
        <w:rPr>
          <w:sz w:val="22"/>
        </w:rPr>
        <w:t>patient</w:t>
      </w:r>
      <w:r>
        <w:rPr>
          <w:spacing w:val="-12"/>
          <w:sz w:val="22"/>
        </w:rPr>
        <w:t> </w:t>
      </w:r>
      <w:r>
        <w:rPr>
          <w:sz w:val="22"/>
        </w:rPr>
        <w:t>services</w:t>
      </w:r>
      <w:r>
        <w:rPr>
          <w:spacing w:val="-14"/>
          <w:sz w:val="22"/>
        </w:rPr>
        <w:t> </w:t>
      </w:r>
      <w:r>
        <w:rPr>
          <w:sz w:val="22"/>
        </w:rPr>
        <w:t>revenue will be placed into a higher safety net category, corresponding to a larger percentage PMPM increase. To determine each ACO’s safety net category, ACOs must submit a payer revenue mix attestation form. The form</w:t>
      </w:r>
      <w:r>
        <w:rPr>
          <w:spacing w:val="-3"/>
          <w:sz w:val="22"/>
        </w:rPr>
        <w:t> </w:t>
      </w:r>
      <w:r>
        <w:rPr>
          <w:sz w:val="22"/>
        </w:rPr>
        <w:t>contains detailed instructions on how to</w:t>
      </w:r>
      <w:r>
        <w:rPr>
          <w:spacing w:val="-1"/>
          <w:sz w:val="22"/>
        </w:rPr>
        <w:t> </w:t>
      </w:r>
      <w:r>
        <w:rPr>
          <w:sz w:val="22"/>
        </w:rPr>
        <w:t>calculate</w:t>
      </w:r>
      <w:r>
        <w:rPr>
          <w:spacing w:val="-1"/>
          <w:sz w:val="22"/>
        </w:rPr>
        <w:t> </w:t>
      </w:r>
      <w:r>
        <w:rPr>
          <w:sz w:val="22"/>
        </w:rPr>
        <w:t>revenue as well as the types of revenue</w:t>
      </w:r>
      <w:r>
        <w:rPr>
          <w:spacing w:val="-1"/>
          <w:sz w:val="22"/>
        </w:rPr>
        <w:t> </w:t>
      </w:r>
      <w:r>
        <w:rPr>
          <w:sz w:val="22"/>
        </w:rPr>
        <w:t>that ACOs must provide. For example, the State requires ACOs to include patient health care service revenue from various categories, which include but are not limited to: (1) MassHealth, inclusive of Medicaid and the Children’s Health Insurance Plan, (2) Health Safety Net, (3) Medicare, (4) Commercial Health Plans, (5) Other Government Sources, such as Veterans Affairs and Tricare and (6) Other Revenue Sources, such as Self-pay and Workers’ Compensation). Using this information, the State will determine the Gross Patient Service Revenue</w:t>
      </w:r>
      <w:r>
        <w:rPr>
          <w:spacing w:val="-2"/>
          <w:sz w:val="22"/>
        </w:rPr>
        <w:t> </w:t>
      </w:r>
      <w:r>
        <w:rPr>
          <w:sz w:val="22"/>
        </w:rPr>
        <w:t>(GPSR)</w:t>
      </w:r>
      <w:r>
        <w:rPr>
          <w:spacing w:val="-1"/>
          <w:sz w:val="22"/>
        </w:rPr>
        <w:t> </w:t>
      </w:r>
      <w:r>
        <w:rPr>
          <w:sz w:val="22"/>
        </w:rPr>
        <w:t>from</w:t>
      </w:r>
      <w:r>
        <w:rPr>
          <w:spacing w:val="-4"/>
          <w:sz w:val="22"/>
        </w:rPr>
        <w:t> </w:t>
      </w:r>
      <w:r>
        <w:rPr>
          <w:sz w:val="22"/>
        </w:rPr>
        <w:t>MassHealth</w:t>
      </w:r>
      <w:r>
        <w:rPr>
          <w:spacing w:val="-2"/>
          <w:sz w:val="22"/>
        </w:rPr>
        <w:t> </w:t>
      </w:r>
      <w:r>
        <w:rPr>
          <w:sz w:val="22"/>
        </w:rPr>
        <w:t>and</w:t>
      </w:r>
      <w:r>
        <w:rPr>
          <w:spacing w:val="-2"/>
          <w:sz w:val="22"/>
        </w:rPr>
        <w:t> </w:t>
      </w:r>
      <w:r>
        <w:rPr>
          <w:sz w:val="22"/>
        </w:rPr>
        <w:t>uninsured patients</w:t>
      </w:r>
      <w:r>
        <w:rPr>
          <w:spacing w:val="-2"/>
          <w:sz w:val="22"/>
        </w:rPr>
        <w:t> </w:t>
      </w:r>
      <w:r>
        <w:rPr>
          <w:sz w:val="22"/>
        </w:rPr>
        <w:t>and</w:t>
      </w:r>
      <w:r>
        <w:rPr>
          <w:spacing w:val="-2"/>
          <w:sz w:val="22"/>
        </w:rPr>
        <w:t> </w:t>
      </w:r>
      <w:r>
        <w:rPr>
          <w:sz w:val="22"/>
        </w:rPr>
        <w:t>place</w:t>
      </w:r>
      <w:r>
        <w:rPr>
          <w:spacing w:val="-2"/>
          <w:sz w:val="22"/>
        </w:rPr>
        <w:t> </w:t>
      </w:r>
      <w:r>
        <w:rPr>
          <w:sz w:val="22"/>
        </w:rPr>
        <w:t>each</w:t>
      </w:r>
      <w:r>
        <w:rPr>
          <w:spacing w:val="-2"/>
          <w:sz w:val="22"/>
        </w:rPr>
        <w:t> </w:t>
      </w:r>
      <w:r>
        <w:rPr>
          <w:sz w:val="22"/>
        </w:rPr>
        <w:t>ACO</w:t>
      </w:r>
      <w:r>
        <w:rPr>
          <w:spacing w:val="-1"/>
          <w:sz w:val="22"/>
        </w:rPr>
        <w:t> </w:t>
      </w:r>
      <w:r>
        <w:rPr>
          <w:sz w:val="22"/>
        </w:rPr>
        <w:t>in the appropriate safety net category. See Exhibit 7 for the PMPM adjustment schedule based on safety net category.</w:t>
      </w:r>
    </w:p>
    <w:p>
      <w:pPr>
        <w:tabs>
          <w:tab w:pos="10587" w:val="left" w:leader="none"/>
        </w:tabs>
        <w:spacing w:before="200"/>
        <w:ind w:left="1219" w:right="0" w:firstLine="0"/>
        <w:jc w:val="both"/>
        <w:rPr>
          <w:sz w:val="22"/>
        </w:rPr>
      </w:pPr>
      <w:r>
        <w:rPr>
          <w:sz w:val="22"/>
          <w:u w:val="single"/>
        </w:rPr>
        <w:t>EXHIBIT</w:t>
      </w:r>
      <w:r>
        <w:rPr>
          <w:spacing w:val="-2"/>
          <w:sz w:val="22"/>
          <w:u w:val="single"/>
        </w:rPr>
        <w:t> </w:t>
      </w:r>
      <w:r>
        <w:rPr>
          <w:sz w:val="22"/>
          <w:u w:val="single"/>
        </w:rPr>
        <w:t>7</w:t>
      </w:r>
      <w:r>
        <w:rPr>
          <w:spacing w:val="-3"/>
          <w:sz w:val="22"/>
          <w:u w:val="single"/>
        </w:rPr>
        <w:t> </w:t>
      </w:r>
      <w:r>
        <w:rPr>
          <w:sz w:val="22"/>
          <w:u w:val="single"/>
        </w:rPr>
        <w:t>–</w:t>
      </w:r>
      <w:r>
        <w:rPr>
          <w:spacing w:val="-3"/>
          <w:sz w:val="22"/>
          <w:u w:val="single"/>
        </w:rPr>
        <w:t> </w:t>
      </w:r>
      <w:r>
        <w:rPr>
          <w:sz w:val="22"/>
          <w:u w:val="single"/>
        </w:rPr>
        <w:t>Safety</w:t>
      </w:r>
      <w:r>
        <w:rPr>
          <w:spacing w:val="-5"/>
          <w:sz w:val="22"/>
          <w:u w:val="single"/>
        </w:rPr>
        <w:t> </w:t>
      </w:r>
      <w:r>
        <w:rPr>
          <w:sz w:val="22"/>
          <w:u w:val="single"/>
        </w:rPr>
        <w:t>Net</w:t>
      </w:r>
      <w:r>
        <w:rPr>
          <w:spacing w:val="-2"/>
          <w:sz w:val="22"/>
          <w:u w:val="single"/>
        </w:rPr>
        <w:t> </w:t>
      </w:r>
      <w:r>
        <w:rPr>
          <w:sz w:val="22"/>
          <w:u w:val="single"/>
        </w:rPr>
        <w:t>PMPM</w:t>
      </w:r>
      <w:r>
        <w:rPr>
          <w:spacing w:val="-3"/>
          <w:sz w:val="22"/>
          <w:u w:val="single"/>
        </w:rPr>
        <w:t> </w:t>
      </w:r>
      <w:r>
        <w:rPr>
          <w:spacing w:val="-2"/>
          <w:sz w:val="22"/>
          <w:u w:val="single"/>
        </w:rPr>
        <w:t>Adjustment</w:t>
      </w:r>
      <w:r>
        <w:rPr>
          <w:sz w:val="22"/>
          <w:u w:val="single"/>
        </w:rPr>
        <w:tab/>
      </w:r>
    </w:p>
    <w:p>
      <w:pPr>
        <w:pStyle w:val="BodyText"/>
        <w:spacing w:before="5" w:after="1"/>
        <w:rPr>
          <w:sz w:val="9"/>
        </w:rPr>
      </w:pPr>
    </w:p>
    <w:tbl>
      <w:tblPr>
        <w:tblW w:w="0" w:type="auto"/>
        <w:jc w:val="left"/>
        <w:tblInd w:w="3243" w:type="dxa"/>
        <w:tblBorders>
          <w:top w:val="single" w:sz="8" w:space="0" w:color="BEBEBE"/>
          <w:left w:val="single" w:sz="8" w:space="0" w:color="BEBEBE"/>
          <w:bottom w:val="single" w:sz="8" w:space="0" w:color="BEBEBE"/>
          <w:right w:val="single" w:sz="8" w:space="0" w:color="BEBEBE"/>
          <w:insideH w:val="single" w:sz="8" w:space="0" w:color="BEBEBE"/>
          <w:insideV w:val="single" w:sz="8" w:space="0" w:color="BEBEBE"/>
        </w:tblBorders>
        <w:tblLayout w:type="fixed"/>
        <w:tblCellMar>
          <w:top w:w="0" w:type="dxa"/>
          <w:left w:w="0" w:type="dxa"/>
          <w:bottom w:w="0" w:type="dxa"/>
          <w:right w:w="0" w:type="dxa"/>
        </w:tblCellMar>
        <w:tblLook w:val="01E0"/>
      </w:tblPr>
      <w:tblGrid>
        <w:gridCol w:w="2532"/>
        <w:gridCol w:w="583"/>
        <w:gridCol w:w="583"/>
        <w:gridCol w:w="583"/>
        <w:gridCol w:w="581"/>
        <w:gridCol w:w="485"/>
      </w:tblGrid>
      <w:tr>
        <w:trPr>
          <w:trHeight w:val="299" w:hRule="atLeast"/>
        </w:trPr>
        <w:tc>
          <w:tcPr>
            <w:tcW w:w="5347" w:type="dxa"/>
            <w:gridSpan w:val="6"/>
            <w:tcBorders>
              <w:bottom w:val="single" w:sz="4" w:space="0" w:color="BEBEBE"/>
            </w:tcBorders>
            <w:shd w:val="clear" w:color="auto" w:fill="1F487C"/>
          </w:tcPr>
          <w:p>
            <w:pPr>
              <w:pStyle w:val="TableParagraph"/>
              <w:spacing w:before="36"/>
              <w:ind w:left="1367"/>
              <w:rPr>
                <w:b/>
                <w:sz w:val="20"/>
              </w:rPr>
            </w:pPr>
            <w:r>
              <w:rPr>
                <w:b/>
                <w:color w:val="FFFFFF"/>
                <w:sz w:val="20"/>
              </w:rPr>
              <w:t>Safety</w:t>
            </w:r>
            <w:r>
              <w:rPr>
                <w:b/>
                <w:color w:val="FFFFFF"/>
                <w:spacing w:val="-5"/>
                <w:sz w:val="20"/>
              </w:rPr>
              <w:t> </w:t>
            </w:r>
            <w:r>
              <w:rPr>
                <w:b/>
                <w:color w:val="FFFFFF"/>
                <w:sz w:val="20"/>
              </w:rPr>
              <w:t>Net</w:t>
            </w:r>
            <w:r>
              <w:rPr>
                <w:b/>
                <w:color w:val="FFFFFF"/>
                <w:spacing w:val="-5"/>
                <w:sz w:val="20"/>
              </w:rPr>
              <w:t> </w:t>
            </w:r>
            <w:r>
              <w:rPr>
                <w:b/>
                <w:color w:val="FFFFFF"/>
                <w:sz w:val="20"/>
              </w:rPr>
              <w:t>PMPM</w:t>
            </w:r>
            <w:r>
              <w:rPr>
                <w:b/>
                <w:color w:val="FFFFFF"/>
                <w:spacing w:val="-2"/>
                <w:sz w:val="20"/>
              </w:rPr>
              <w:t> Adjustment</w:t>
            </w:r>
          </w:p>
        </w:tc>
      </w:tr>
      <w:tr>
        <w:trPr>
          <w:trHeight w:val="299" w:hRule="atLeast"/>
        </w:trPr>
        <w:tc>
          <w:tcPr>
            <w:tcW w:w="2532" w:type="dxa"/>
            <w:tcBorders>
              <w:top w:val="single" w:sz="4" w:space="0" w:color="BEBEBE"/>
              <w:bottom w:val="single" w:sz="4" w:space="0" w:color="BEBEBE"/>
              <w:right w:val="single" w:sz="4" w:space="0" w:color="BEBEBE"/>
            </w:tcBorders>
            <w:shd w:val="clear" w:color="auto" w:fill="D9D9D9"/>
          </w:tcPr>
          <w:p>
            <w:pPr>
              <w:pStyle w:val="TableParagraph"/>
              <w:spacing w:before="36"/>
              <w:ind w:left="110"/>
              <w:rPr>
                <w:b/>
                <w:sz w:val="20"/>
              </w:rPr>
            </w:pPr>
            <w:r>
              <w:rPr>
                <w:b/>
                <w:sz w:val="20"/>
              </w:rPr>
              <w:t>Safety</w:t>
            </w:r>
            <w:r>
              <w:rPr>
                <w:b/>
                <w:spacing w:val="-4"/>
                <w:sz w:val="20"/>
              </w:rPr>
              <w:t> </w:t>
            </w:r>
            <w:r>
              <w:rPr>
                <w:b/>
                <w:sz w:val="20"/>
              </w:rPr>
              <w:t>Net</w:t>
            </w:r>
            <w:r>
              <w:rPr>
                <w:b/>
                <w:spacing w:val="-3"/>
                <w:sz w:val="20"/>
              </w:rPr>
              <w:t> </w:t>
            </w:r>
            <w:r>
              <w:rPr>
                <w:b/>
                <w:spacing w:val="-2"/>
                <w:sz w:val="20"/>
              </w:rPr>
              <w:t>Category</w:t>
            </w:r>
          </w:p>
        </w:tc>
        <w:tc>
          <w:tcPr>
            <w:tcW w:w="583"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before="36"/>
              <w:ind w:left="15"/>
              <w:jc w:val="center"/>
              <w:rPr>
                <w:b/>
                <w:sz w:val="20"/>
              </w:rPr>
            </w:pPr>
            <w:r>
              <w:rPr>
                <w:b/>
                <w:w w:val="99"/>
                <w:sz w:val="20"/>
              </w:rPr>
              <w:t>5</w:t>
            </w:r>
          </w:p>
        </w:tc>
        <w:tc>
          <w:tcPr>
            <w:tcW w:w="583"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before="36"/>
              <w:ind w:left="16"/>
              <w:jc w:val="center"/>
              <w:rPr>
                <w:b/>
                <w:sz w:val="20"/>
              </w:rPr>
            </w:pPr>
            <w:r>
              <w:rPr>
                <w:b/>
                <w:w w:val="99"/>
                <w:sz w:val="20"/>
              </w:rPr>
              <w:t>4</w:t>
            </w:r>
          </w:p>
        </w:tc>
        <w:tc>
          <w:tcPr>
            <w:tcW w:w="583"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before="36"/>
              <w:ind w:left="16"/>
              <w:jc w:val="center"/>
              <w:rPr>
                <w:b/>
                <w:sz w:val="20"/>
              </w:rPr>
            </w:pPr>
            <w:r>
              <w:rPr>
                <w:b/>
                <w:w w:val="99"/>
                <w:sz w:val="20"/>
              </w:rPr>
              <w:t>3</w:t>
            </w:r>
          </w:p>
        </w:tc>
        <w:tc>
          <w:tcPr>
            <w:tcW w:w="581"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before="36"/>
              <w:ind w:left="19"/>
              <w:jc w:val="center"/>
              <w:rPr>
                <w:b/>
                <w:sz w:val="20"/>
              </w:rPr>
            </w:pPr>
            <w:r>
              <w:rPr>
                <w:b/>
                <w:w w:val="99"/>
                <w:sz w:val="20"/>
              </w:rPr>
              <w:t>2</w:t>
            </w:r>
          </w:p>
        </w:tc>
        <w:tc>
          <w:tcPr>
            <w:tcW w:w="485" w:type="dxa"/>
            <w:tcBorders>
              <w:top w:val="single" w:sz="4" w:space="0" w:color="BEBEBE"/>
              <w:left w:val="single" w:sz="4" w:space="0" w:color="BEBEBE"/>
              <w:bottom w:val="single" w:sz="4" w:space="0" w:color="BEBEBE"/>
            </w:tcBorders>
            <w:shd w:val="clear" w:color="auto" w:fill="D9D9D9"/>
          </w:tcPr>
          <w:p>
            <w:pPr>
              <w:pStyle w:val="TableParagraph"/>
              <w:spacing w:before="36"/>
              <w:ind w:left="23"/>
              <w:jc w:val="center"/>
              <w:rPr>
                <w:b/>
                <w:sz w:val="20"/>
              </w:rPr>
            </w:pPr>
            <w:r>
              <w:rPr>
                <w:b/>
                <w:w w:val="99"/>
                <w:sz w:val="20"/>
              </w:rPr>
              <w:t>1</w:t>
            </w:r>
          </w:p>
        </w:tc>
      </w:tr>
      <w:tr>
        <w:trPr>
          <w:trHeight w:val="270" w:hRule="atLeast"/>
        </w:trPr>
        <w:tc>
          <w:tcPr>
            <w:tcW w:w="2532" w:type="dxa"/>
            <w:tcBorders>
              <w:top w:val="single" w:sz="4" w:space="0" w:color="BEBEBE"/>
              <w:right w:val="single" w:sz="4" w:space="0" w:color="BEBEBE"/>
            </w:tcBorders>
          </w:tcPr>
          <w:p>
            <w:pPr>
              <w:pStyle w:val="TableParagraph"/>
              <w:spacing w:line="229" w:lineRule="exact" w:before="22"/>
              <w:ind w:left="110"/>
              <w:rPr>
                <w:sz w:val="20"/>
              </w:rPr>
            </w:pPr>
            <w:r>
              <w:rPr>
                <w:sz w:val="20"/>
              </w:rPr>
              <w:t>%</w:t>
            </w:r>
            <w:r>
              <w:rPr>
                <w:spacing w:val="-2"/>
                <w:sz w:val="20"/>
              </w:rPr>
              <w:t> </w:t>
            </w:r>
            <w:r>
              <w:rPr>
                <w:sz w:val="20"/>
              </w:rPr>
              <w:t>PMPM</w:t>
            </w:r>
            <w:r>
              <w:rPr>
                <w:spacing w:val="-2"/>
                <w:sz w:val="20"/>
              </w:rPr>
              <w:t> Increase</w:t>
            </w:r>
          </w:p>
        </w:tc>
        <w:tc>
          <w:tcPr>
            <w:tcW w:w="583" w:type="dxa"/>
            <w:tcBorders>
              <w:top w:val="single" w:sz="4" w:space="0" w:color="BEBEBE"/>
              <w:left w:val="single" w:sz="4" w:space="0" w:color="BEBEBE"/>
              <w:right w:val="single" w:sz="4" w:space="0" w:color="BEBEBE"/>
            </w:tcBorders>
          </w:tcPr>
          <w:p>
            <w:pPr>
              <w:pStyle w:val="TableParagraph"/>
              <w:spacing w:line="229" w:lineRule="exact" w:before="22"/>
              <w:ind w:left="100" w:right="80"/>
              <w:jc w:val="center"/>
              <w:rPr>
                <w:sz w:val="20"/>
              </w:rPr>
            </w:pPr>
            <w:r>
              <w:rPr>
                <w:spacing w:val="-5"/>
                <w:sz w:val="20"/>
              </w:rPr>
              <w:t>40%</w:t>
            </w:r>
          </w:p>
        </w:tc>
        <w:tc>
          <w:tcPr>
            <w:tcW w:w="583" w:type="dxa"/>
            <w:tcBorders>
              <w:top w:val="single" w:sz="4" w:space="0" w:color="BEBEBE"/>
              <w:left w:val="single" w:sz="4" w:space="0" w:color="BEBEBE"/>
              <w:right w:val="single" w:sz="4" w:space="0" w:color="BEBEBE"/>
            </w:tcBorders>
          </w:tcPr>
          <w:p>
            <w:pPr>
              <w:pStyle w:val="TableParagraph"/>
              <w:spacing w:line="229" w:lineRule="exact" w:before="22"/>
              <w:ind w:left="100" w:right="79"/>
              <w:jc w:val="center"/>
              <w:rPr>
                <w:sz w:val="20"/>
              </w:rPr>
            </w:pPr>
            <w:r>
              <w:rPr>
                <w:spacing w:val="-5"/>
                <w:sz w:val="20"/>
              </w:rPr>
              <w:t>30%</w:t>
            </w:r>
          </w:p>
        </w:tc>
        <w:tc>
          <w:tcPr>
            <w:tcW w:w="583" w:type="dxa"/>
            <w:tcBorders>
              <w:top w:val="single" w:sz="4" w:space="0" w:color="BEBEBE"/>
              <w:left w:val="single" w:sz="4" w:space="0" w:color="BEBEBE"/>
              <w:right w:val="single" w:sz="4" w:space="0" w:color="BEBEBE"/>
            </w:tcBorders>
          </w:tcPr>
          <w:p>
            <w:pPr>
              <w:pStyle w:val="TableParagraph"/>
              <w:spacing w:line="229" w:lineRule="exact" w:before="22"/>
              <w:ind w:left="100" w:right="79"/>
              <w:jc w:val="center"/>
              <w:rPr>
                <w:sz w:val="20"/>
              </w:rPr>
            </w:pPr>
            <w:r>
              <w:rPr>
                <w:spacing w:val="-5"/>
                <w:sz w:val="20"/>
              </w:rPr>
              <w:t>20%</w:t>
            </w:r>
          </w:p>
        </w:tc>
        <w:tc>
          <w:tcPr>
            <w:tcW w:w="581" w:type="dxa"/>
            <w:tcBorders>
              <w:top w:val="single" w:sz="4" w:space="0" w:color="BEBEBE"/>
              <w:left w:val="single" w:sz="4" w:space="0" w:color="BEBEBE"/>
              <w:right w:val="single" w:sz="4" w:space="0" w:color="BEBEBE"/>
            </w:tcBorders>
          </w:tcPr>
          <w:p>
            <w:pPr>
              <w:pStyle w:val="TableParagraph"/>
              <w:spacing w:line="229" w:lineRule="exact" w:before="22"/>
              <w:ind w:left="101" w:right="77"/>
              <w:jc w:val="center"/>
              <w:rPr>
                <w:sz w:val="20"/>
              </w:rPr>
            </w:pPr>
            <w:r>
              <w:rPr>
                <w:spacing w:val="-5"/>
                <w:sz w:val="20"/>
              </w:rPr>
              <w:t>10%</w:t>
            </w:r>
          </w:p>
        </w:tc>
        <w:tc>
          <w:tcPr>
            <w:tcW w:w="485" w:type="dxa"/>
            <w:tcBorders>
              <w:top w:val="single" w:sz="4" w:space="0" w:color="BEBEBE"/>
              <w:left w:val="single" w:sz="4" w:space="0" w:color="BEBEBE"/>
            </w:tcBorders>
          </w:tcPr>
          <w:p>
            <w:pPr>
              <w:pStyle w:val="TableParagraph"/>
              <w:spacing w:line="229" w:lineRule="exact" w:before="22"/>
              <w:ind w:left="100" w:right="72"/>
              <w:jc w:val="center"/>
              <w:rPr>
                <w:sz w:val="20"/>
              </w:rPr>
            </w:pPr>
            <w:r>
              <w:rPr>
                <w:spacing w:val="-5"/>
                <w:sz w:val="20"/>
              </w:rPr>
              <w:t>0%</w:t>
            </w:r>
          </w:p>
        </w:tc>
      </w:tr>
    </w:tbl>
    <w:p>
      <w:pPr>
        <w:pStyle w:val="BodyText"/>
        <w:spacing w:before="6"/>
        <w:rPr>
          <w:sz w:val="6"/>
        </w:rPr>
      </w:pPr>
      <w:r>
        <w:rPr/>
        <mc:AlternateContent>
          <mc:Choice Requires="wps">
            <w:drawing>
              <wp:anchor distT="0" distB="0" distL="0" distR="0" allowOverlap="1" layoutInCell="1" locked="0" behindDoc="1" simplePos="0" relativeHeight="487998464">
                <wp:simplePos x="0" y="0"/>
                <wp:positionH relativeFrom="page">
                  <wp:posOffset>909827</wp:posOffset>
                </wp:positionH>
                <wp:positionV relativeFrom="paragraph">
                  <wp:posOffset>62992</wp:posOffset>
                </wp:positionV>
                <wp:extent cx="5953125" cy="6350"/>
                <wp:effectExtent l="0" t="0" r="0" b="0"/>
                <wp:wrapTopAndBottom/>
                <wp:docPr id="854" name="Graphic 854"/>
                <wp:cNvGraphicFramePr>
                  <a:graphicFrameLocks/>
                </wp:cNvGraphicFramePr>
                <a:graphic>
                  <a:graphicData uri="http://schemas.microsoft.com/office/word/2010/wordprocessingShape">
                    <wps:wsp>
                      <wps:cNvPr id="854" name="Graphic 854"/>
                      <wps:cNvSpPr/>
                      <wps:spPr>
                        <a:xfrm>
                          <a:off x="0" y="0"/>
                          <a:ext cx="5953125" cy="6350"/>
                        </a:xfrm>
                        <a:custGeom>
                          <a:avLst/>
                          <a:gdLst/>
                          <a:ahLst/>
                          <a:cxnLst/>
                          <a:rect l="l" t="t" r="r" b="b"/>
                          <a:pathLst>
                            <a:path w="5953125" h="6350">
                              <a:moveTo>
                                <a:pt x="5952744" y="0"/>
                              </a:moveTo>
                              <a:lnTo>
                                <a:pt x="0" y="0"/>
                              </a:lnTo>
                              <a:lnTo>
                                <a:pt x="0" y="6096"/>
                              </a:lnTo>
                              <a:lnTo>
                                <a:pt x="5952744" y="6096"/>
                              </a:lnTo>
                              <a:lnTo>
                                <a:pt x="5952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1.639999pt;margin-top:4.96pt;width:468.72pt;height:.48pt;mso-position-horizontal-relative:page;mso-position-vertical-relative:paragraph;z-index:-15318016;mso-wrap-distance-left:0;mso-wrap-distance-right:0" id="docshape74" filled="true" fillcolor="#000000" stroked="false">
                <v:fill type="solid"/>
                <w10:wrap type="topAndBottom"/>
              </v:rect>
            </w:pict>
          </mc:Fallback>
        </mc:AlternateContent>
      </w:r>
    </w:p>
    <w:p>
      <w:pPr>
        <w:pStyle w:val="BodyText"/>
        <w:spacing w:before="9"/>
        <w:rPr>
          <w:sz w:val="21"/>
        </w:rPr>
      </w:pPr>
    </w:p>
    <w:p>
      <w:pPr>
        <w:spacing w:line="244" w:lineRule="auto" w:before="0"/>
        <w:ind w:left="1220" w:right="1095" w:firstLine="0"/>
        <w:jc w:val="both"/>
        <w:rPr>
          <w:sz w:val="22"/>
        </w:rPr>
      </w:pPr>
      <w:r>
        <w:rPr>
          <w:sz w:val="22"/>
        </w:rPr>
        <w:t>As mentioned earlier, the State may also adjust the safety net PMPM adjustment methodology during the DSRIP program, as follows:</w:t>
      </w:r>
    </w:p>
    <w:p>
      <w:pPr>
        <w:pStyle w:val="ListParagraph"/>
        <w:numPr>
          <w:ilvl w:val="0"/>
          <w:numId w:val="72"/>
        </w:numPr>
        <w:tabs>
          <w:tab w:pos="1988" w:val="left" w:leader="none"/>
          <w:tab w:pos="1990" w:val="left" w:leader="none"/>
        </w:tabs>
        <w:spacing w:line="240" w:lineRule="auto" w:before="152" w:after="0"/>
        <w:ind w:left="1990" w:right="1094" w:hanging="361"/>
        <w:jc w:val="both"/>
        <w:rPr>
          <w:sz w:val="22"/>
        </w:rPr>
      </w:pPr>
      <w:r>
        <w:rPr>
          <w:sz w:val="22"/>
        </w:rPr>
        <w:t>Startup/ongoing</w:t>
      </w:r>
      <w:r>
        <w:rPr>
          <w:spacing w:val="-14"/>
          <w:sz w:val="22"/>
        </w:rPr>
        <w:t> </w:t>
      </w:r>
      <w:r>
        <w:rPr>
          <w:sz w:val="22"/>
        </w:rPr>
        <w:t>PMPMs</w:t>
      </w:r>
      <w:r>
        <w:rPr>
          <w:spacing w:val="-14"/>
          <w:sz w:val="22"/>
        </w:rPr>
        <w:t> </w:t>
      </w:r>
      <w:r>
        <w:rPr>
          <w:sz w:val="22"/>
        </w:rPr>
        <w:t>for</w:t>
      </w:r>
      <w:r>
        <w:rPr>
          <w:spacing w:val="-12"/>
          <w:sz w:val="22"/>
        </w:rPr>
        <w:t> </w:t>
      </w:r>
      <w:r>
        <w:rPr>
          <w:sz w:val="22"/>
        </w:rPr>
        <w:t>members</w:t>
      </w:r>
      <w:r>
        <w:rPr>
          <w:spacing w:val="-11"/>
          <w:sz w:val="22"/>
        </w:rPr>
        <w:t> </w:t>
      </w:r>
      <w:r>
        <w:rPr>
          <w:sz w:val="22"/>
        </w:rPr>
        <w:t>attributed</w:t>
      </w:r>
      <w:r>
        <w:rPr>
          <w:spacing w:val="-14"/>
          <w:sz w:val="22"/>
        </w:rPr>
        <w:t> </w:t>
      </w:r>
      <w:r>
        <w:rPr>
          <w:sz w:val="22"/>
        </w:rPr>
        <w:t>to</w:t>
      </w:r>
      <w:r>
        <w:rPr>
          <w:spacing w:val="-12"/>
          <w:sz w:val="22"/>
        </w:rPr>
        <w:t> </w:t>
      </w:r>
      <w:r>
        <w:rPr>
          <w:sz w:val="22"/>
        </w:rPr>
        <w:t>community</w:t>
      </w:r>
      <w:r>
        <w:rPr>
          <w:spacing w:val="-14"/>
          <w:sz w:val="22"/>
        </w:rPr>
        <w:t> </w:t>
      </w:r>
      <w:r>
        <w:rPr>
          <w:sz w:val="22"/>
        </w:rPr>
        <w:t>health</w:t>
      </w:r>
      <w:r>
        <w:rPr>
          <w:spacing w:val="-12"/>
          <w:sz w:val="22"/>
        </w:rPr>
        <w:t> </w:t>
      </w:r>
      <w:r>
        <w:rPr>
          <w:sz w:val="22"/>
        </w:rPr>
        <w:t>centers</w:t>
      </w:r>
      <w:r>
        <w:rPr>
          <w:spacing w:val="-14"/>
          <w:sz w:val="22"/>
        </w:rPr>
        <w:t> </w:t>
      </w:r>
      <w:r>
        <w:rPr>
          <w:sz w:val="22"/>
        </w:rPr>
        <w:t>may</w:t>
      </w:r>
      <w:r>
        <w:rPr>
          <w:spacing w:val="-14"/>
          <w:sz w:val="22"/>
        </w:rPr>
        <w:t> </w:t>
      </w:r>
      <w:r>
        <w:rPr>
          <w:sz w:val="22"/>
        </w:rPr>
        <w:t>receive</w:t>
      </w:r>
      <w:r>
        <w:rPr>
          <w:spacing w:val="-14"/>
          <w:sz w:val="22"/>
        </w:rPr>
        <w:t> </w:t>
      </w:r>
      <w:r>
        <w:rPr>
          <w:sz w:val="22"/>
        </w:rPr>
        <w:t>a</w:t>
      </w:r>
      <w:r>
        <w:rPr>
          <w:spacing w:val="-11"/>
          <w:sz w:val="22"/>
        </w:rPr>
        <w:t> </w:t>
      </w:r>
      <w:r>
        <w:rPr>
          <w:sz w:val="22"/>
        </w:rPr>
        <w:t>higher safety</w:t>
      </w:r>
      <w:r>
        <w:rPr>
          <w:spacing w:val="-2"/>
          <w:sz w:val="22"/>
        </w:rPr>
        <w:t> </w:t>
      </w:r>
      <w:r>
        <w:rPr>
          <w:sz w:val="22"/>
        </w:rPr>
        <w:t>net PMPM</w:t>
      </w:r>
      <w:r>
        <w:rPr>
          <w:spacing w:val="-2"/>
          <w:sz w:val="22"/>
        </w:rPr>
        <w:t> </w:t>
      </w:r>
      <w:r>
        <w:rPr>
          <w:sz w:val="22"/>
        </w:rPr>
        <w:t>adjustment</w:t>
      </w:r>
      <w:r>
        <w:rPr>
          <w:spacing w:val="-1"/>
          <w:sz w:val="22"/>
        </w:rPr>
        <w:t> </w:t>
      </w:r>
      <w:r>
        <w:rPr>
          <w:sz w:val="22"/>
        </w:rPr>
        <w:t>(e.g., the maximum</w:t>
      </w:r>
      <w:r>
        <w:rPr>
          <w:spacing w:val="-4"/>
          <w:sz w:val="22"/>
        </w:rPr>
        <w:t> </w:t>
      </w:r>
      <w:r>
        <w:rPr>
          <w:sz w:val="22"/>
        </w:rPr>
        <w:t>safety</w:t>
      </w:r>
      <w:r>
        <w:rPr>
          <w:spacing w:val="-2"/>
          <w:sz w:val="22"/>
        </w:rPr>
        <w:t> </w:t>
      </w:r>
      <w:r>
        <w:rPr>
          <w:sz w:val="22"/>
        </w:rPr>
        <w:t>net adjustment of</w:t>
      </w:r>
      <w:r>
        <w:rPr>
          <w:spacing w:val="-1"/>
          <w:sz w:val="22"/>
        </w:rPr>
        <w:t> </w:t>
      </w:r>
      <w:r>
        <w:rPr>
          <w:sz w:val="22"/>
        </w:rPr>
        <w:t>+40%),</w:t>
      </w:r>
      <w:r>
        <w:rPr>
          <w:spacing w:val="-2"/>
          <w:sz w:val="22"/>
        </w:rPr>
        <w:t> </w:t>
      </w:r>
      <w:r>
        <w:rPr>
          <w:sz w:val="22"/>
        </w:rPr>
        <w:t>as</w:t>
      </w:r>
      <w:r>
        <w:rPr>
          <w:spacing w:val="-2"/>
          <w:sz w:val="22"/>
        </w:rPr>
        <w:t> </w:t>
      </w:r>
      <w:r>
        <w:rPr>
          <w:sz w:val="22"/>
        </w:rPr>
        <w:t>described</w:t>
      </w:r>
      <w:r>
        <w:rPr>
          <w:spacing w:val="-2"/>
          <w:sz w:val="22"/>
        </w:rPr>
        <w:t> </w:t>
      </w:r>
      <w:r>
        <w:rPr>
          <w:sz w:val="22"/>
        </w:rPr>
        <w:t>in Exhibit 7, regardless of the ACO’s safety net category, reflecting the unique safety net status of these providers</w:t>
      </w:r>
    </w:p>
    <w:p>
      <w:pPr>
        <w:pStyle w:val="ListParagraph"/>
        <w:numPr>
          <w:ilvl w:val="0"/>
          <w:numId w:val="72"/>
        </w:numPr>
        <w:tabs>
          <w:tab w:pos="1988" w:val="left" w:leader="none"/>
          <w:tab w:pos="1990" w:val="left" w:leader="none"/>
        </w:tabs>
        <w:spacing w:line="240" w:lineRule="auto" w:before="0" w:after="0"/>
        <w:ind w:left="1990" w:right="1093" w:hanging="361"/>
        <w:jc w:val="both"/>
        <w:rPr>
          <w:sz w:val="22"/>
        </w:rPr>
      </w:pPr>
      <w:r>
        <w:rPr>
          <w:sz w:val="22"/>
        </w:rPr>
        <w:t>Under this revised methodology, startup/ongoing PMPMs for members attributed to other PCPs would</w:t>
      </w:r>
      <w:r>
        <w:rPr>
          <w:spacing w:val="-14"/>
          <w:sz w:val="22"/>
        </w:rPr>
        <w:t> </w:t>
      </w:r>
      <w:r>
        <w:rPr>
          <w:sz w:val="22"/>
        </w:rPr>
        <w:t>receive</w:t>
      </w:r>
      <w:r>
        <w:rPr>
          <w:spacing w:val="-14"/>
          <w:sz w:val="22"/>
        </w:rPr>
        <w:t> </w:t>
      </w:r>
      <w:r>
        <w:rPr>
          <w:sz w:val="22"/>
        </w:rPr>
        <w:t>a</w:t>
      </w:r>
      <w:r>
        <w:rPr>
          <w:spacing w:val="-14"/>
          <w:sz w:val="22"/>
        </w:rPr>
        <w:t> </w:t>
      </w:r>
      <w:r>
        <w:rPr>
          <w:sz w:val="22"/>
        </w:rPr>
        <w:t>PMPM</w:t>
      </w:r>
      <w:r>
        <w:rPr>
          <w:spacing w:val="-13"/>
          <w:sz w:val="22"/>
        </w:rPr>
        <w:t> </w:t>
      </w:r>
      <w:r>
        <w:rPr>
          <w:sz w:val="22"/>
        </w:rPr>
        <w:t>adjustment</w:t>
      </w:r>
      <w:r>
        <w:rPr>
          <w:spacing w:val="-14"/>
          <w:sz w:val="22"/>
        </w:rPr>
        <w:t> </w:t>
      </w:r>
      <w:r>
        <w:rPr>
          <w:sz w:val="22"/>
        </w:rPr>
        <w:t>based</w:t>
      </w:r>
      <w:r>
        <w:rPr>
          <w:spacing w:val="-14"/>
          <w:sz w:val="22"/>
        </w:rPr>
        <w:t> </w:t>
      </w:r>
      <w:r>
        <w:rPr>
          <w:sz w:val="22"/>
        </w:rPr>
        <w:t>on</w:t>
      </w:r>
      <w:r>
        <w:rPr>
          <w:spacing w:val="-14"/>
          <w:sz w:val="22"/>
        </w:rPr>
        <w:t> </w:t>
      </w:r>
      <w:r>
        <w:rPr>
          <w:sz w:val="22"/>
        </w:rPr>
        <w:t>the</w:t>
      </w:r>
      <w:r>
        <w:rPr>
          <w:spacing w:val="-13"/>
          <w:sz w:val="22"/>
        </w:rPr>
        <w:t> </w:t>
      </w:r>
      <w:r>
        <w:rPr>
          <w:sz w:val="22"/>
        </w:rPr>
        <w:t>ACO’s</w:t>
      </w:r>
      <w:r>
        <w:rPr>
          <w:spacing w:val="-14"/>
          <w:sz w:val="22"/>
        </w:rPr>
        <w:t> </w:t>
      </w:r>
      <w:r>
        <w:rPr>
          <w:sz w:val="22"/>
        </w:rPr>
        <w:t>overall</w:t>
      </w:r>
      <w:r>
        <w:rPr>
          <w:spacing w:val="-14"/>
          <w:sz w:val="22"/>
        </w:rPr>
        <w:t> </w:t>
      </w:r>
      <w:r>
        <w:rPr>
          <w:sz w:val="22"/>
        </w:rPr>
        <w:t>safety</w:t>
      </w:r>
      <w:r>
        <w:rPr>
          <w:spacing w:val="-14"/>
          <w:sz w:val="22"/>
        </w:rPr>
        <w:t> </w:t>
      </w:r>
      <w:r>
        <w:rPr>
          <w:sz w:val="22"/>
        </w:rPr>
        <w:t>net</w:t>
      </w:r>
      <w:r>
        <w:rPr>
          <w:spacing w:val="-13"/>
          <w:sz w:val="22"/>
        </w:rPr>
        <w:t> </w:t>
      </w:r>
      <w:r>
        <w:rPr>
          <w:sz w:val="22"/>
        </w:rPr>
        <w:t>category</w:t>
      </w:r>
      <w:r>
        <w:rPr>
          <w:spacing w:val="-14"/>
          <w:sz w:val="22"/>
        </w:rPr>
        <w:t> </w:t>
      </w:r>
      <w:r>
        <w:rPr>
          <w:sz w:val="22"/>
        </w:rPr>
        <w:t>(i.e.,</w:t>
      </w:r>
      <w:r>
        <w:rPr>
          <w:spacing w:val="-14"/>
          <w:sz w:val="22"/>
        </w:rPr>
        <w:t> </w:t>
      </w:r>
      <w:r>
        <w:rPr>
          <w:sz w:val="22"/>
        </w:rPr>
        <w:t>unchanged from current methodology)</w:t>
      </w:r>
    </w:p>
    <w:p>
      <w:pPr>
        <w:pStyle w:val="BodyText"/>
      </w:pPr>
    </w:p>
    <w:p>
      <w:pPr>
        <w:spacing w:before="175"/>
        <w:ind w:left="1220" w:right="1090" w:firstLine="0"/>
        <w:jc w:val="both"/>
        <w:rPr>
          <w:sz w:val="22"/>
        </w:rPr>
      </w:pPr>
      <w:r>
        <w:rPr>
          <w:sz w:val="22"/>
        </w:rPr>
        <w:t>The State will also apply a PMPM adjustment each year depending on the ACO’s chosen model and risk track. This adjustment will</w:t>
      </w:r>
      <w:r>
        <w:rPr>
          <w:spacing w:val="-1"/>
          <w:sz w:val="22"/>
        </w:rPr>
        <w:t> </w:t>
      </w:r>
      <w:r>
        <w:rPr>
          <w:sz w:val="22"/>
        </w:rPr>
        <w:t>be additive with the safety</w:t>
      </w:r>
      <w:r>
        <w:rPr>
          <w:spacing w:val="-2"/>
          <w:sz w:val="22"/>
        </w:rPr>
        <w:t> </w:t>
      </w:r>
      <w:r>
        <w:rPr>
          <w:sz w:val="22"/>
        </w:rPr>
        <w:t>net PMPM adjustment. If an ACO</w:t>
      </w:r>
      <w:r>
        <w:rPr>
          <w:spacing w:val="-1"/>
          <w:sz w:val="22"/>
        </w:rPr>
        <w:t> </w:t>
      </w:r>
      <w:r>
        <w:rPr>
          <w:sz w:val="22"/>
        </w:rPr>
        <w:t>switches models or risk tracks during the DSRIP period, then its PMPM adjustment will be updated to align with the new ACO</w:t>
      </w:r>
      <w:r>
        <w:rPr>
          <w:spacing w:val="-3"/>
          <w:sz w:val="22"/>
        </w:rPr>
        <w:t> </w:t>
      </w:r>
      <w:r>
        <w:rPr>
          <w:sz w:val="22"/>
        </w:rPr>
        <w:t>model</w:t>
      </w:r>
      <w:r>
        <w:rPr>
          <w:spacing w:val="-4"/>
          <w:sz w:val="22"/>
        </w:rPr>
        <w:t> </w:t>
      </w:r>
      <w:r>
        <w:rPr>
          <w:sz w:val="22"/>
        </w:rPr>
        <w:t>type.</w:t>
      </w:r>
      <w:r>
        <w:rPr>
          <w:spacing w:val="-5"/>
          <w:sz w:val="22"/>
        </w:rPr>
        <w:t> </w:t>
      </w:r>
      <w:r>
        <w:rPr>
          <w:sz w:val="22"/>
        </w:rPr>
        <w:t>See</w:t>
      </w:r>
      <w:r>
        <w:rPr>
          <w:spacing w:val="-4"/>
          <w:sz w:val="22"/>
        </w:rPr>
        <w:t> </w:t>
      </w:r>
      <w:r>
        <w:rPr>
          <w:sz w:val="22"/>
        </w:rPr>
        <w:t>Exhibit</w:t>
      </w:r>
      <w:r>
        <w:rPr>
          <w:spacing w:val="-6"/>
          <w:sz w:val="22"/>
        </w:rPr>
        <w:t> </w:t>
      </w:r>
      <w:r>
        <w:rPr>
          <w:sz w:val="22"/>
        </w:rPr>
        <w:t>8</w:t>
      </w:r>
      <w:r>
        <w:rPr>
          <w:spacing w:val="-5"/>
          <w:sz w:val="22"/>
        </w:rPr>
        <w:t> </w:t>
      </w:r>
      <w:r>
        <w:rPr>
          <w:sz w:val="22"/>
        </w:rPr>
        <w:t>for</w:t>
      </w:r>
      <w:r>
        <w:rPr>
          <w:spacing w:val="-4"/>
          <w:sz w:val="22"/>
        </w:rPr>
        <w:t> </w:t>
      </w:r>
      <w:r>
        <w:rPr>
          <w:sz w:val="22"/>
        </w:rPr>
        <w:t>the</w:t>
      </w:r>
      <w:r>
        <w:rPr>
          <w:spacing w:val="-4"/>
          <w:sz w:val="22"/>
        </w:rPr>
        <w:t> </w:t>
      </w:r>
      <w:r>
        <w:rPr>
          <w:sz w:val="22"/>
        </w:rPr>
        <w:t>PMPM</w:t>
      </w:r>
      <w:r>
        <w:rPr>
          <w:spacing w:val="-7"/>
          <w:sz w:val="22"/>
        </w:rPr>
        <w:t> </w:t>
      </w:r>
      <w:r>
        <w:rPr>
          <w:sz w:val="22"/>
        </w:rPr>
        <w:t>adjustment</w:t>
      </w:r>
      <w:r>
        <w:rPr>
          <w:spacing w:val="-4"/>
          <w:sz w:val="22"/>
        </w:rPr>
        <w:t> </w:t>
      </w:r>
      <w:r>
        <w:rPr>
          <w:sz w:val="22"/>
        </w:rPr>
        <w:t>schedule</w:t>
      </w:r>
      <w:r>
        <w:rPr>
          <w:spacing w:val="-4"/>
          <w:sz w:val="22"/>
        </w:rPr>
        <w:t> </w:t>
      </w:r>
      <w:r>
        <w:rPr>
          <w:sz w:val="22"/>
        </w:rPr>
        <w:t>based</w:t>
      </w:r>
      <w:r>
        <w:rPr>
          <w:spacing w:val="-5"/>
          <w:sz w:val="22"/>
        </w:rPr>
        <w:t> </w:t>
      </w:r>
      <w:r>
        <w:rPr>
          <w:sz w:val="22"/>
        </w:rPr>
        <w:t>on</w:t>
      </w:r>
      <w:r>
        <w:rPr>
          <w:spacing w:val="-5"/>
          <w:sz w:val="22"/>
        </w:rPr>
        <w:t> </w:t>
      </w:r>
      <w:r>
        <w:rPr>
          <w:sz w:val="22"/>
        </w:rPr>
        <w:t>ACO</w:t>
      </w:r>
      <w:r>
        <w:rPr>
          <w:spacing w:val="-6"/>
          <w:sz w:val="22"/>
        </w:rPr>
        <w:t> </w:t>
      </w:r>
      <w:r>
        <w:rPr>
          <w:sz w:val="22"/>
        </w:rPr>
        <w:t>Model</w:t>
      </w:r>
      <w:r>
        <w:rPr>
          <w:spacing w:val="-4"/>
          <w:sz w:val="22"/>
        </w:rPr>
        <w:t> </w:t>
      </w:r>
      <w:r>
        <w:rPr>
          <w:sz w:val="22"/>
        </w:rPr>
        <w:t>and</w:t>
      </w:r>
      <w:r>
        <w:rPr>
          <w:spacing w:val="-7"/>
          <w:sz w:val="22"/>
        </w:rPr>
        <w:t> </w:t>
      </w:r>
      <w:r>
        <w:rPr>
          <w:sz w:val="22"/>
        </w:rPr>
        <w:t>Risk</w:t>
      </w:r>
      <w:r>
        <w:rPr>
          <w:spacing w:val="-9"/>
          <w:sz w:val="22"/>
        </w:rPr>
        <w:t> </w:t>
      </w:r>
      <w:r>
        <w:rPr>
          <w:sz w:val="22"/>
        </w:rPr>
        <w:t>Track.</w:t>
      </w:r>
    </w:p>
    <w:p>
      <w:pPr>
        <w:spacing w:before="199"/>
        <w:ind w:left="1220" w:right="0" w:firstLine="0"/>
        <w:jc w:val="both"/>
        <w:rPr>
          <w:sz w:val="22"/>
        </w:rPr>
      </w:pPr>
      <w:r>
        <w:rPr>
          <w:sz w:val="22"/>
        </w:rPr>
        <w:t>EXHIBIT 8</w:t>
      </w:r>
      <w:r>
        <w:rPr>
          <w:spacing w:val="-2"/>
          <w:sz w:val="22"/>
        </w:rPr>
        <w:t> </w:t>
      </w:r>
      <w:r>
        <w:rPr>
          <w:sz w:val="22"/>
        </w:rPr>
        <w:t>–</w:t>
      </w:r>
      <w:r>
        <w:rPr>
          <w:spacing w:val="-2"/>
          <w:sz w:val="22"/>
        </w:rPr>
        <w:t> </w:t>
      </w:r>
      <w:r>
        <w:rPr>
          <w:sz w:val="22"/>
        </w:rPr>
        <w:t>ACO</w:t>
      </w:r>
      <w:r>
        <w:rPr>
          <w:spacing w:val="-2"/>
          <w:sz w:val="22"/>
        </w:rPr>
        <w:t> </w:t>
      </w:r>
      <w:r>
        <w:rPr>
          <w:sz w:val="22"/>
        </w:rPr>
        <w:t>Model</w:t>
      </w:r>
      <w:r>
        <w:rPr>
          <w:spacing w:val="-4"/>
          <w:sz w:val="22"/>
        </w:rPr>
        <w:t> </w:t>
      </w:r>
      <w:r>
        <w:rPr>
          <w:sz w:val="22"/>
        </w:rPr>
        <w:t>and</w:t>
      </w:r>
      <w:r>
        <w:rPr>
          <w:spacing w:val="-2"/>
          <w:sz w:val="22"/>
        </w:rPr>
        <w:t> </w:t>
      </w:r>
      <w:r>
        <w:rPr>
          <w:sz w:val="22"/>
        </w:rPr>
        <w:t>Risk</w:t>
      </w:r>
      <w:r>
        <w:rPr>
          <w:spacing w:val="-6"/>
          <w:sz w:val="22"/>
        </w:rPr>
        <w:t> </w:t>
      </w:r>
      <w:r>
        <w:rPr>
          <w:sz w:val="22"/>
        </w:rPr>
        <w:t>Track</w:t>
      </w:r>
      <w:r>
        <w:rPr>
          <w:spacing w:val="-5"/>
          <w:sz w:val="22"/>
        </w:rPr>
        <w:t> </w:t>
      </w:r>
      <w:r>
        <w:rPr>
          <w:sz w:val="22"/>
        </w:rPr>
        <w:t>PMPM</w:t>
      </w:r>
      <w:r>
        <w:rPr>
          <w:spacing w:val="-1"/>
          <w:sz w:val="22"/>
        </w:rPr>
        <w:t> </w:t>
      </w:r>
      <w:r>
        <w:rPr>
          <w:spacing w:val="-2"/>
          <w:sz w:val="22"/>
        </w:rPr>
        <w:t>Adjustment</w:t>
      </w:r>
    </w:p>
    <w:tbl>
      <w:tblPr>
        <w:tblW w:w="0" w:type="auto"/>
        <w:jc w:val="left"/>
        <w:tblInd w:w="1247"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CellMar>
          <w:top w:w="0" w:type="dxa"/>
          <w:left w:w="0" w:type="dxa"/>
          <w:bottom w:w="0" w:type="dxa"/>
          <w:right w:w="0" w:type="dxa"/>
        </w:tblCellMar>
        <w:tblLook w:val="01E0"/>
      </w:tblPr>
      <w:tblGrid>
        <w:gridCol w:w="1152"/>
        <w:gridCol w:w="1622"/>
        <w:gridCol w:w="1255"/>
        <w:gridCol w:w="1351"/>
        <w:gridCol w:w="1351"/>
        <w:gridCol w:w="1406"/>
        <w:gridCol w:w="1202"/>
      </w:tblGrid>
      <w:tr>
        <w:trPr>
          <w:trHeight w:val="270" w:hRule="atLeast"/>
        </w:trPr>
        <w:tc>
          <w:tcPr>
            <w:tcW w:w="9339" w:type="dxa"/>
            <w:gridSpan w:val="7"/>
            <w:tcBorders>
              <w:left w:val="single" w:sz="8" w:space="0" w:color="BEBEBE"/>
              <w:bottom w:val="single" w:sz="8" w:space="0" w:color="BEBEBE"/>
              <w:right w:val="single" w:sz="8" w:space="0" w:color="BEBEBE"/>
            </w:tcBorders>
            <w:shd w:val="clear" w:color="auto" w:fill="1F487C"/>
          </w:tcPr>
          <w:p>
            <w:pPr>
              <w:pStyle w:val="TableParagraph"/>
              <w:spacing w:line="210" w:lineRule="exact" w:before="40"/>
              <w:ind w:left="3276" w:right="3262"/>
              <w:jc w:val="center"/>
              <w:rPr>
                <w:b/>
                <w:sz w:val="20"/>
              </w:rPr>
            </w:pPr>
            <w:r>
              <w:rPr>
                <w:b/>
                <w:color w:val="FFFFFF"/>
                <w:sz w:val="20"/>
              </w:rPr>
              <w:t>ACO</w:t>
            </w:r>
            <w:r>
              <w:rPr>
                <w:b/>
                <w:color w:val="FFFFFF"/>
                <w:spacing w:val="-5"/>
                <w:sz w:val="20"/>
              </w:rPr>
              <w:t> </w:t>
            </w:r>
            <w:r>
              <w:rPr>
                <w:b/>
                <w:color w:val="FFFFFF"/>
                <w:sz w:val="20"/>
              </w:rPr>
              <w:t>Model</w:t>
            </w:r>
            <w:r>
              <w:rPr>
                <w:b/>
                <w:color w:val="FFFFFF"/>
                <w:spacing w:val="-5"/>
                <w:sz w:val="20"/>
              </w:rPr>
              <w:t> </w:t>
            </w:r>
            <w:r>
              <w:rPr>
                <w:b/>
                <w:color w:val="FFFFFF"/>
                <w:sz w:val="20"/>
              </w:rPr>
              <w:t>PMPM</w:t>
            </w:r>
            <w:r>
              <w:rPr>
                <w:b/>
                <w:color w:val="FFFFFF"/>
                <w:spacing w:val="-2"/>
                <w:sz w:val="20"/>
              </w:rPr>
              <w:t> Adjustment</w:t>
            </w:r>
          </w:p>
        </w:tc>
      </w:tr>
      <w:tr>
        <w:trPr>
          <w:trHeight w:val="599" w:hRule="atLeast"/>
        </w:trPr>
        <w:tc>
          <w:tcPr>
            <w:tcW w:w="1152" w:type="dxa"/>
            <w:vMerge w:val="restart"/>
            <w:tcBorders>
              <w:top w:val="single" w:sz="8" w:space="0" w:color="BEBEBE"/>
              <w:left w:val="single" w:sz="8" w:space="0" w:color="BEBEBE"/>
              <w:bottom w:val="single" w:sz="4" w:space="0" w:color="BEBEBE"/>
              <w:right w:val="single" w:sz="8" w:space="0" w:color="BEBEBE"/>
            </w:tcBorders>
            <w:shd w:val="clear" w:color="auto" w:fill="D9D9D9"/>
          </w:tcPr>
          <w:p>
            <w:pPr>
              <w:pStyle w:val="TableParagraph"/>
              <w:rPr>
                <w:sz w:val="22"/>
              </w:rPr>
            </w:pPr>
          </w:p>
          <w:p>
            <w:pPr>
              <w:pStyle w:val="TableParagraph"/>
              <w:spacing w:before="172"/>
              <w:ind w:left="352"/>
              <w:rPr>
                <w:b/>
                <w:sz w:val="20"/>
              </w:rPr>
            </w:pPr>
            <w:r>
              <w:rPr>
                <w:b/>
                <w:spacing w:val="-5"/>
                <w:sz w:val="20"/>
              </w:rPr>
              <w:t>ACO</w:t>
            </w:r>
          </w:p>
          <w:p>
            <w:pPr>
              <w:pStyle w:val="TableParagraph"/>
              <w:ind w:left="302"/>
              <w:rPr>
                <w:b/>
                <w:sz w:val="20"/>
              </w:rPr>
            </w:pPr>
            <w:r>
              <w:rPr>
                <w:b/>
                <w:spacing w:val="-4"/>
                <w:sz w:val="20"/>
              </w:rPr>
              <w:t>Model</w:t>
            </w:r>
          </w:p>
        </w:tc>
        <w:tc>
          <w:tcPr>
            <w:tcW w:w="1622" w:type="dxa"/>
            <w:vMerge w:val="restart"/>
            <w:tcBorders>
              <w:top w:val="single" w:sz="8" w:space="0" w:color="BEBEBE"/>
              <w:left w:val="single" w:sz="8" w:space="0" w:color="BEBEBE"/>
              <w:bottom w:val="single" w:sz="4" w:space="0" w:color="BEBEBE"/>
              <w:right w:val="single" w:sz="8" w:space="0" w:color="BEBEBE"/>
            </w:tcBorders>
            <w:shd w:val="clear" w:color="auto" w:fill="D9D9D9"/>
          </w:tcPr>
          <w:p>
            <w:pPr>
              <w:pStyle w:val="TableParagraph"/>
              <w:spacing w:before="79"/>
              <w:ind w:left="278" w:right="256"/>
              <w:jc w:val="center"/>
              <w:rPr>
                <w:b/>
                <w:sz w:val="20"/>
              </w:rPr>
            </w:pPr>
            <w:r>
              <w:rPr>
                <w:b/>
                <w:spacing w:val="-2"/>
                <w:sz w:val="20"/>
              </w:rPr>
              <w:t>Accountable </w:t>
            </w:r>
            <w:r>
              <w:rPr>
                <w:b/>
                <w:spacing w:val="-4"/>
                <w:sz w:val="20"/>
              </w:rPr>
              <w:t>Care </w:t>
            </w:r>
            <w:r>
              <w:rPr>
                <w:b/>
                <w:spacing w:val="-2"/>
                <w:sz w:val="20"/>
              </w:rPr>
              <w:t>Partnership </w:t>
            </w:r>
            <w:r>
              <w:rPr>
                <w:b/>
                <w:spacing w:val="-4"/>
                <w:sz w:val="20"/>
              </w:rPr>
              <w:t>Plan</w:t>
            </w:r>
          </w:p>
          <w:p>
            <w:pPr>
              <w:pStyle w:val="TableParagraph"/>
              <w:spacing w:before="2"/>
              <w:ind w:left="274" w:right="256"/>
              <w:jc w:val="center"/>
              <w:rPr>
                <w:b/>
                <w:sz w:val="20"/>
              </w:rPr>
            </w:pPr>
            <w:r>
              <w:rPr>
                <w:b/>
                <w:sz w:val="20"/>
              </w:rPr>
              <w:t>(Model</w:t>
            </w:r>
            <w:r>
              <w:rPr>
                <w:b/>
                <w:spacing w:val="-5"/>
                <w:sz w:val="20"/>
              </w:rPr>
              <w:t> A)</w:t>
            </w:r>
          </w:p>
        </w:tc>
        <w:tc>
          <w:tcPr>
            <w:tcW w:w="2606" w:type="dxa"/>
            <w:gridSpan w:val="2"/>
            <w:tcBorders>
              <w:top w:val="single" w:sz="8" w:space="0" w:color="BEBEBE"/>
              <w:left w:val="single" w:sz="8" w:space="0" w:color="BEBEBE"/>
              <w:bottom w:val="single" w:sz="4" w:space="0" w:color="BEBEBE"/>
              <w:right w:val="single" w:sz="8" w:space="0" w:color="BEBEBE"/>
            </w:tcBorders>
            <w:shd w:val="clear" w:color="auto" w:fill="D9D9D9"/>
          </w:tcPr>
          <w:p>
            <w:pPr>
              <w:pStyle w:val="TableParagraph"/>
              <w:spacing w:before="69"/>
              <w:ind w:left="873" w:hanging="413"/>
              <w:rPr>
                <w:b/>
                <w:sz w:val="20"/>
              </w:rPr>
            </w:pPr>
            <w:r>
              <w:rPr>
                <w:b/>
                <w:sz w:val="20"/>
              </w:rPr>
              <w:t>Primary</w:t>
            </w:r>
            <w:r>
              <w:rPr>
                <w:b/>
                <w:spacing w:val="-13"/>
                <w:sz w:val="20"/>
              </w:rPr>
              <w:t> </w:t>
            </w:r>
            <w:r>
              <w:rPr>
                <w:b/>
                <w:sz w:val="20"/>
              </w:rPr>
              <w:t>Care</w:t>
            </w:r>
            <w:r>
              <w:rPr>
                <w:b/>
                <w:spacing w:val="-12"/>
                <w:sz w:val="20"/>
              </w:rPr>
              <w:t> </w:t>
            </w:r>
            <w:r>
              <w:rPr>
                <w:b/>
                <w:sz w:val="20"/>
              </w:rPr>
              <w:t>ACO (Model B)</w:t>
            </w:r>
          </w:p>
        </w:tc>
        <w:tc>
          <w:tcPr>
            <w:tcW w:w="3959" w:type="dxa"/>
            <w:gridSpan w:val="3"/>
            <w:tcBorders>
              <w:top w:val="single" w:sz="8" w:space="0" w:color="BEBEBE"/>
              <w:left w:val="single" w:sz="8" w:space="0" w:color="BEBEBE"/>
              <w:bottom w:val="single" w:sz="4" w:space="0" w:color="BEBEBE"/>
              <w:right w:val="single" w:sz="8" w:space="0" w:color="BEBEBE"/>
            </w:tcBorders>
            <w:shd w:val="clear" w:color="auto" w:fill="D9D9D9"/>
          </w:tcPr>
          <w:p>
            <w:pPr>
              <w:pStyle w:val="TableParagraph"/>
              <w:spacing w:before="69"/>
              <w:ind w:left="1546" w:right="941" w:hanging="572"/>
              <w:rPr>
                <w:b/>
                <w:sz w:val="20"/>
              </w:rPr>
            </w:pPr>
            <w:r>
              <w:rPr>
                <w:b/>
                <w:sz w:val="20"/>
              </w:rPr>
              <w:t>MCO-Contracted</w:t>
            </w:r>
            <w:r>
              <w:rPr>
                <w:b/>
                <w:spacing w:val="-13"/>
                <w:sz w:val="20"/>
              </w:rPr>
              <w:t> </w:t>
            </w:r>
            <w:r>
              <w:rPr>
                <w:b/>
                <w:sz w:val="20"/>
              </w:rPr>
              <w:t>ACO (Model C)</w:t>
            </w:r>
          </w:p>
        </w:tc>
      </w:tr>
      <w:tr>
        <w:trPr>
          <w:trHeight w:val="700" w:hRule="atLeast"/>
        </w:trPr>
        <w:tc>
          <w:tcPr>
            <w:tcW w:w="1152" w:type="dxa"/>
            <w:vMerge/>
            <w:tcBorders>
              <w:top w:val="nil"/>
              <w:left w:val="single" w:sz="8" w:space="0" w:color="BEBEBE"/>
              <w:bottom w:val="single" w:sz="4" w:space="0" w:color="BEBEBE"/>
              <w:right w:val="single" w:sz="8" w:space="0" w:color="BEBEBE"/>
            </w:tcBorders>
            <w:shd w:val="clear" w:color="auto" w:fill="D9D9D9"/>
          </w:tcPr>
          <w:p>
            <w:pPr>
              <w:rPr>
                <w:sz w:val="2"/>
                <w:szCs w:val="2"/>
              </w:rPr>
            </w:pPr>
          </w:p>
        </w:tc>
        <w:tc>
          <w:tcPr>
            <w:tcW w:w="1622" w:type="dxa"/>
            <w:vMerge/>
            <w:tcBorders>
              <w:top w:val="nil"/>
              <w:left w:val="single" w:sz="8" w:space="0" w:color="BEBEBE"/>
              <w:bottom w:val="single" w:sz="4" w:space="0" w:color="BEBEBE"/>
              <w:right w:val="single" w:sz="8" w:space="0" w:color="BEBEBE"/>
            </w:tcBorders>
            <w:shd w:val="clear" w:color="auto" w:fill="D9D9D9"/>
          </w:tcPr>
          <w:p>
            <w:pPr>
              <w:rPr>
                <w:sz w:val="2"/>
                <w:szCs w:val="2"/>
              </w:rPr>
            </w:pPr>
          </w:p>
        </w:tc>
        <w:tc>
          <w:tcPr>
            <w:tcW w:w="1255" w:type="dxa"/>
            <w:tcBorders>
              <w:top w:val="single" w:sz="4" w:space="0" w:color="BEBEBE"/>
              <w:left w:val="single" w:sz="8" w:space="0" w:color="BEBEBE"/>
              <w:bottom w:val="single" w:sz="4" w:space="0" w:color="BEBEBE"/>
              <w:right w:val="single" w:sz="4" w:space="0" w:color="BEBEBE"/>
            </w:tcBorders>
            <w:shd w:val="clear" w:color="auto" w:fill="DCE6F0"/>
          </w:tcPr>
          <w:p>
            <w:pPr>
              <w:pStyle w:val="TableParagraph"/>
              <w:spacing w:before="125"/>
              <w:ind w:left="182" w:hanging="70"/>
              <w:rPr>
                <w:sz w:val="20"/>
              </w:rPr>
            </w:pPr>
            <w:r>
              <w:rPr>
                <w:sz w:val="20"/>
              </w:rPr>
              <w:t>Risk</w:t>
            </w:r>
            <w:r>
              <w:rPr>
                <w:spacing w:val="-13"/>
                <w:sz w:val="20"/>
              </w:rPr>
              <w:t> </w:t>
            </w:r>
            <w:r>
              <w:rPr>
                <w:sz w:val="20"/>
              </w:rPr>
              <w:t>Track</w:t>
            </w:r>
            <w:r>
              <w:rPr>
                <w:spacing w:val="-12"/>
                <w:sz w:val="20"/>
              </w:rPr>
              <w:t> </w:t>
            </w:r>
            <w:r>
              <w:rPr>
                <w:sz w:val="20"/>
              </w:rPr>
              <w:t>2 (more risk)</w:t>
            </w:r>
          </w:p>
        </w:tc>
        <w:tc>
          <w:tcPr>
            <w:tcW w:w="1351" w:type="dxa"/>
            <w:tcBorders>
              <w:top w:val="single" w:sz="4" w:space="0" w:color="BEBEBE"/>
              <w:left w:val="single" w:sz="4" w:space="0" w:color="BEBEBE"/>
              <w:bottom w:val="single" w:sz="4" w:space="0" w:color="BEBEBE"/>
              <w:right w:val="single" w:sz="8" w:space="0" w:color="BEBEBE"/>
            </w:tcBorders>
            <w:shd w:val="clear" w:color="auto" w:fill="DCE6F0"/>
          </w:tcPr>
          <w:p>
            <w:pPr>
              <w:pStyle w:val="TableParagraph"/>
              <w:spacing w:before="125"/>
              <w:ind w:left="290" w:hanging="125"/>
              <w:rPr>
                <w:sz w:val="20"/>
              </w:rPr>
            </w:pPr>
            <w:r>
              <w:rPr>
                <w:sz w:val="20"/>
              </w:rPr>
              <w:t>Risk</w:t>
            </w:r>
            <w:r>
              <w:rPr>
                <w:spacing w:val="-13"/>
                <w:sz w:val="20"/>
              </w:rPr>
              <w:t> </w:t>
            </w:r>
            <w:r>
              <w:rPr>
                <w:sz w:val="20"/>
              </w:rPr>
              <w:t>Track</w:t>
            </w:r>
            <w:r>
              <w:rPr>
                <w:spacing w:val="-12"/>
                <w:sz w:val="20"/>
              </w:rPr>
              <w:t> </w:t>
            </w:r>
            <w:r>
              <w:rPr>
                <w:sz w:val="20"/>
              </w:rPr>
              <w:t>1 (less risk)</w:t>
            </w:r>
          </w:p>
        </w:tc>
        <w:tc>
          <w:tcPr>
            <w:tcW w:w="1351" w:type="dxa"/>
            <w:tcBorders>
              <w:top w:val="single" w:sz="4" w:space="0" w:color="BEBEBE"/>
              <w:left w:val="single" w:sz="8" w:space="0" w:color="BEBEBE"/>
              <w:bottom w:val="single" w:sz="4" w:space="0" w:color="BEBEBE"/>
              <w:right w:val="single" w:sz="4" w:space="0" w:color="BEBEBE"/>
            </w:tcBorders>
            <w:shd w:val="clear" w:color="auto" w:fill="DCE6F0"/>
          </w:tcPr>
          <w:p>
            <w:pPr>
              <w:pStyle w:val="TableParagraph"/>
              <w:spacing w:before="125"/>
              <w:ind w:left="230" w:hanging="70"/>
              <w:rPr>
                <w:sz w:val="20"/>
              </w:rPr>
            </w:pPr>
            <w:r>
              <w:rPr>
                <w:sz w:val="20"/>
              </w:rPr>
              <w:t>Risk</w:t>
            </w:r>
            <w:r>
              <w:rPr>
                <w:spacing w:val="-13"/>
                <w:sz w:val="20"/>
              </w:rPr>
              <w:t> </w:t>
            </w:r>
            <w:r>
              <w:rPr>
                <w:sz w:val="20"/>
              </w:rPr>
              <w:t>Track</w:t>
            </w:r>
            <w:r>
              <w:rPr>
                <w:spacing w:val="-12"/>
                <w:sz w:val="20"/>
              </w:rPr>
              <w:t> </w:t>
            </w:r>
            <w:r>
              <w:rPr>
                <w:sz w:val="20"/>
              </w:rPr>
              <w:t>3 (more risk)</w:t>
            </w:r>
          </w:p>
        </w:tc>
        <w:tc>
          <w:tcPr>
            <w:tcW w:w="1406" w:type="dxa"/>
            <w:tcBorders>
              <w:top w:val="single" w:sz="4" w:space="0" w:color="BEBEBE"/>
              <w:left w:val="single" w:sz="4" w:space="0" w:color="BEBEBE"/>
              <w:bottom w:val="single" w:sz="4" w:space="0" w:color="BEBEBE"/>
              <w:right w:val="single" w:sz="4" w:space="0" w:color="BEBEBE"/>
            </w:tcBorders>
            <w:shd w:val="clear" w:color="auto" w:fill="DCE6F0"/>
          </w:tcPr>
          <w:p>
            <w:pPr>
              <w:pStyle w:val="TableParagraph"/>
              <w:spacing w:before="125"/>
              <w:ind w:left="140" w:right="116" w:firstLine="52"/>
              <w:rPr>
                <w:sz w:val="20"/>
              </w:rPr>
            </w:pPr>
            <w:r>
              <w:rPr>
                <w:sz w:val="20"/>
              </w:rPr>
              <w:t>Risk Track 2 (medium</w:t>
            </w:r>
            <w:r>
              <w:rPr>
                <w:spacing w:val="-9"/>
                <w:sz w:val="20"/>
              </w:rPr>
              <w:t> </w:t>
            </w:r>
            <w:r>
              <w:rPr>
                <w:spacing w:val="-2"/>
                <w:sz w:val="20"/>
              </w:rPr>
              <w:t>risk)</w:t>
            </w:r>
          </w:p>
        </w:tc>
        <w:tc>
          <w:tcPr>
            <w:tcW w:w="1202" w:type="dxa"/>
            <w:tcBorders>
              <w:top w:val="single" w:sz="4" w:space="0" w:color="BEBEBE"/>
              <w:left w:val="single" w:sz="4" w:space="0" w:color="BEBEBE"/>
              <w:bottom w:val="single" w:sz="4" w:space="0" w:color="BEBEBE"/>
              <w:right w:val="single" w:sz="8" w:space="0" w:color="BEBEBE"/>
            </w:tcBorders>
            <w:shd w:val="clear" w:color="auto" w:fill="DCE6F0"/>
          </w:tcPr>
          <w:p>
            <w:pPr>
              <w:pStyle w:val="TableParagraph"/>
              <w:spacing w:before="10"/>
              <w:ind w:left="558" w:right="130" w:hanging="392"/>
              <w:rPr>
                <w:sz w:val="20"/>
              </w:rPr>
            </w:pPr>
            <w:r>
              <w:rPr>
                <w:sz w:val="20"/>
              </w:rPr>
              <w:t>Risk</w:t>
            </w:r>
            <w:r>
              <w:rPr>
                <w:spacing w:val="-13"/>
                <w:sz w:val="20"/>
              </w:rPr>
              <w:t> </w:t>
            </w:r>
            <w:r>
              <w:rPr>
                <w:sz w:val="20"/>
              </w:rPr>
              <w:t>Track </w:t>
            </w:r>
            <w:r>
              <w:rPr>
                <w:spacing w:val="-10"/>
                <w:sz w:val="20"/>
              </w:rPr>
              <w:t>1</w:t>
            </w:r>
          </w:p>
          <w:p>
            <w:pPr>
              <w:pStyle w:val="TableParagraph"/>
              <w:spacing w:line="210" w:lineRule="exact"/>
              <w:ind w:left="217"/>
              <w:rPr>
                <w:sz w:val="20"/>
              </w:rPr>
            </w:pPr>
            <w:r>
              <w:rPr>
                <w:sz w:val="20"/>
              </w:rPr>
              <w:t>(less</w:t>
            </w:r>
            <w:r>
              <w:rPr>
                <w:spacing w:val="-7"/>
                <w:sz w:val="20"/>
              </w:rPr>
              <w:t> </w:t>
            </w:r>
            <w:r>
              <w:rPr>
                <w:spacing w:val="-2"/>
                <w:sz w:val="20"/>
              </w:rPr>
              <w:t>risk)</w:t>
            </w:r>
          </w:p>
        </w:tc>
      </w:tr>
      <w:tr>
        <w:trPr>
          <w:trHeight w:val="460" w:hRule="atLeast"/>
        </w:trPr>
        <w:tc>
          <w:tcPr>
            <w:tcW w:w="1152" w:type="dxa"/>
            <w:tcBorders>
              <w:top w:val="single" w:sz="4" w:space="0" w:color="BEBEBE"/>
              <w:left w:val="single" w:sz="8" w:space="0" w:color="BEBEBE"/>
              <w:right w:val="single" w:sz="8" w:space="0" w:color="BEBEBE"/>
            </w:tcBorders>
            <w:shd w:val="clear" w:color="auto" w:fill="DCE6F0"/>
          </w:tcPr>
          <w:p>
            <w:pPr>
              <w:pStyle w:val="TableParagraph"/>
              <w:ind w:left="177"/>
              <w:rPr>
                <w:sz w:val="20"/>
              </w:rPr>
            </w:pPr>
            <w:r>
              <w:rPr>
                <w:sz w:val="20"/>
              </w:rPr>
              <w:t>%</w:t>
            </w:r>
            <w:r>
              <w:rPr>
                <w:spacing w:val="-2"/>
                <w:sz w:val="20"/>
              </w:rPr>
              <w:t> </w:t>
            </w:r>
            <w:r>
              <w:rPr>
                <w:spacing w:val="-4"/>
                <w:sz w:val="20"/>
              </w:rPr>
              <w:t>PMPM</w:t>
            </w:r>
          </w:p>
          <w:p>
            <w:pPr>
              <w:pStyle w:val="TableParagraph"/>
              <w:spacing w:line="209" w:lineRule="exact"/>
              <w:ind w:left="242"/>
              <w:rPr>
                <w:sz w:val="20"/>
              </w:rPr>
            </w:pPr>
            <w:r>
              <w:rPr>
                <w:spacing w:val="-2"/>
                <w:sz w:val="20"/>
              </w:rPr>
              <w:t>Increase</w:t>
            </w:r>
          </w:p>
        </w:tc>
        <w:tc>
          <w:tcPr>
            <w:tcW w:w="1622" w:type="dxa"/>
            <w:tcBorders>
              <w:top w:val="single" w:sz="4" w:space="0" w:color="BEBEBE"/>
              <w:left w:val="single" w:sz="8" w:space="0" w:color="BEBEBE"/>
              <w:right w:val="single" w:sz="8" w:space="0" w:color="BEBEBE"/>
            </w:tcBorders>
          </w:tcPr>
          <w:p>
            <w:pPr>
              <w:pStyle w:val="TableParagraph"/>
              <w:spacing w:before="115"/>
              <w:ind w:left="274" w:right="256"/>
              <w:jc w:val="center"/>
              <w:rPr>
                <w:sz w:val="20"/>
              </w:rPr>
            </w:pPr>
            <w:r>
              <w:rPr>
                <w:spacing w:val="-5"/>
                <w:sz w:val="20"/>
              </w:rPr>
              <w:t>40%</w:t>
            </w:r>
          </w:p>
        </w:tc>
        <w:tc>
          <w:tcPr>
            <w:tcW w:w="1255" w:type="dxa"/>
            <w:tcBorders>
              <w:top w:val="single" w:sz="4" w:space="0" w:color="BEBEBE"/>
              <w:left w:val="single" w:sz="8" w:space="0" w:color="BEBEBE"/>
              <w:right w:val="single" w:sz="4" w:space="0" w:color="BEBEBE"/>
            </w:tcBorders>
          </w:tcPr>
          <w:p>
            <w:pPr>
              <w:pStyle w:val="TableParagraph"/>
              <w:spacing w:before="115"/>
              <w:ind w:left="434" w:right="413"/>
              <w:jc w:val="center"/>
              <w:rPr>
                <w:sz w:val="20"/>
              </w:rPr>
            </w:pPr>
            <w:r>
              <w:rPr>
                <w:spacing w:val="-5"/>
                <w:sz w:val="20"/>
              </w:rPr>
              <w:t>40%</w:t>
            </w:r>
          </w:p>
        </w:tc>
        <w:tc>
          <w:tcPr>
            <w:tcW w:w="1351" w:type="dxa"/>
            <w:tcBorders>
              <w:top w:val="single" w:sz="4" w:space="0" w:color="BEBEBE"/>
              <w:left w:val="single" w:sz="4" w:space="0" w:color="BEBEBE"/>
              <w:right w:val="single" w:sz="8" w:space="0" w:color="BEBEBE"/>
            </w:tcBorders>
          </w:tcPr>
          <w:p>
            <w:pPr>
              <w:pStyle w:val="TableParagraph"/>
              <w:spacing w:before="115"/>
              <w:ind w:left="483" w:right="452"/>
              <w:jc w:val="center"/>
              <w:rPr>
                <w:sz w:val="20"/>
              </w:rPr>
            </w:pPr>
            <w:r>
              <w:rPr>
                <w:spacing w:val="-5"/>
                <w:sz w:val="20"/>
              </w:rPr>
              <w:t>30%</w:t>
            </w:r>
          </w:p>
        </w:tc>
        <w:tc>
          <w:tcPr>
            <w:tcW w:w="1351" w:type="dxa"/>
            <w:tcBorders>
              <w:top w:val="single" w:sz="4" w:space="0" w:color="BEBEBE"/>
              <w:left w:val="single" w:sz="8" w:space="0" w:color="BEBEBE"/>
              <w:right w:val="single" w:sz="4" w:space="0" w:color="BEBEBE"/>
            </w:tcBorders>
          </w:tcPr>
          <w:p>
            <w:pPr>
              <w:pStyle w:val="TableParagraph"/>
              <w:spacing w:before="115"/>
              <w:ind w:left="478" w:right="456"/>
              <w:jc w:val="center"/>
              <w:rPr>
                <w:sz w:val="20"/>
              </w:rPr>
            </w:pPr>
            <w:r>
              <w:rPr>
                <w:spacing w:val="-5"/>
                <w:sz w:val="20"/>
              </w:rPr>
              <w:t>30%</w:t>
            </w:r>
          </w:p>
        </w:tc>
        <w:tc>
          <w:tcPr>
            <w:tcW w:w="1406" w:type="dxa"/>
            <w:tcBorders>
              <w:top w:val="single" w:sz="4" w:space="0" w:color="BEBEBE"/>
              <w:left w:val="single" w:sz="4" w:space="0" w:color="BEBEBE"/>
              <w:right w:val="single" w:sz="4" w:space="0" w:color="BEBEBE"/>
            </w:tcBorders>
          </w:tcPr>
          <w:p>
            <w:pPr>
              <w:pStyle w:val="TableParagraph"/>
              <w:spacing w:before="115"/>
              <w:ind w:left="165" w:right="145"/>
              <w:jc w:val="center"/>
              <w:rPr>
                <w:sz w:val="20"/>
              </w:rPr>
            </w:pPr>
            <w:r>
              <w:rPr>
                <w:spacing w:val="-5"/>
                <w:sz w:val="20"/>
              </w:rPr>
              <w:t>10%</w:t>
            </w:r>
          </w:p>
        </w:tc>
        <w:tc>
          <w:tcPr>
            <w:tcW w:w="1202" w:type="dxa"/>
            <w:tcBorders>
              <w:top w:val="single" w:sz="4" w:space="0" w:color="BEBEBE"/>
              <w:left w:val="single" w:sz="4" w:space="0" w:color="BEBEBE"/>
              <w:right w:val="single" w:sz="8" w:space="0" w:color="BEBEBE"/>
            </w:tcBorders>
          </w:tcPr>
          <w:p>
            <w:pPr>
              <w:pStyle w:val="TableParagraph"/>
              <w:spacing w:before="115"/>
              <w:ind w:left="459" w:right="431"/>
              <w:jc w:val="center"/>
              <w:rPr>
                <w:sz w:val="20"/>
              </w:rPr>
            </w:pPr>
            <w:r>
              <w:rPr>
                <w:spacing w:val="-5"/>
                <w:sz w:val="20"/>
              </w:rPr>
              <w:t>0%</w:t>
            </w:r>
          </w:p>
        </w:tc>
      </w:tr>
    </w:tbl>
    <w:p>
      <w:pPr>
        <w:pStyle w:val="BodyText"/>
        <w:spacing w:before="11"/>
        <w:rPr>
          <w:sz w:val="21"/>
        </w:rPr>
      </w:pPr>
    </w:p>
    <w:p>
      <w:pPr>
        <w:spacing w:line="240" w:lineRule="auto" w:before="0"/>
        <w:ind w:left="1220" w:right="1094" w:firstLine="0"/>
        <w:jc w:val="both"/>
        <w:rPr>
          <w:sz w:val="22"/>
        </w:rPr>
      </w:pPr>
      <w:r>
        <w:rPr>
          <w:sz w:val="22"/>
        </w:rPr>
        <w:t>For</w:t>
      </w:r>
      <w:r>
        <w:rPr>
          <w:spacing w:val="-3"/>
          <w:sz w:val="22"/>
        </w:rPr>
        <w:t> </w:t>
      </w:r>
      <w:r>
        <w:rPr>
          <w:sz w:val="22"/>
        </w:rPr>
        <w:t>example,</w:t>
      </w:r>
      <w:r>
        <w:rPr>
          <w:spacing w:val="-4"/>
          <w:sz w:val="22"/>
        </w:rPr>
        <w:t> </w:t>
      </w:r>
      <w:r>
        <w:rPr>
          <w:sz w:val="22"/>
        </w:rPr>
        <w:t>using</w:t>
      </w:r>
      <w:r>
        <w:rPr>
          <w:spacing w:val="-6"/>
          <w:sz w:val="22"/>
        </w:rPr>
        <w:t> </w:t>
      </w:r>
      <w:r>
        <w:rPr>
          <w:sz w:val="22"/>
        </w:rPr>
        <w:t>the</w:t>
      </w:r>
      <w:r>
        <w:rPr>
          <w:spacing w:val="-3"/>
          <w:sz w:val="22"/>
        </w:rPr>
        <w:t> </w:t>
      </w:r>
      <w:r>
        <w:rPr>
          <w:sz w:val="22"/>
        </w:rPr>
        <w:t>standard</w:t>
      </w:r>
      <w:r>
        <w:rPr>
          <w:spacing w:val="-4"/>
          <w:sz w:val="22"/>
        </w:rPr>
        <w:t> </w:t>
      </w:r>
      <w:r>
        <w:rPr>
          <w:sz w:val="22"/>
        </w:rPr>
        <w:t>safety</w:t>
      </w:r>
      <w:r>
        <w:rPr>
          <w:spacing w:val="-6"/>
          <w:sz w:val="22"/>
        </w:rPr>
        <w:t> </w:t>
      </w:r>
      <w:r>
        <w:rPr>
          <w:sz w:val="22"/>
        </w:rPr>
        <w:t>net</w:t>
      </w:r>
      <w:r>
        <w:rPr>
          <w:spacing w:val="-3"/>
          <w:sz w:val="22"/>
        </w:rPr>
        <w:t> </w:t>
      </w:r>
      <w:r>
        <w:rPr>
          <w:sz w:val="22"/>
        </w:rPr>
        <w:t>PMPM</w:t>
      </w:r>
      <w:r>
        <w:rPr>
          <w:spacing w:val="-3"/>
          <w:sz w:val="22"/>
        </w:rPr>
        <w:t> </w:t>
      </w:r>
      <w:r>
        <w:rPr>
          <w:sz w:val="22"/>
        </w:rPr>
        <w:t>adjustment</w:t>
      </w:r>
      <w:r>
        <w:rPr>
          <w:spacing w:val="-3"/>
          <w:sz w:val="22"/>
        </w:rPr>
        <w:t> </w:t>
      </w:r>
      <w:r>
        <w:rPr>
          <w:sz w:val="22"/>
        </w:rPr>
        <w:t>methodology,</w:t>
      </w:r>
      <w:r>
        <w:rPr>
          <w:spacing w:val="-4"/>
          <w:sz w:val="22"/>
        </w:rPr>
        <w:t> </w:t>
      </w:r>
      <w:r>
        <w:rPr>
          <w:sz w:val="22"/>
        </w:rPr>
        <w:t>if</w:t>
      </w:r>
      <w:r>
        <w:rPr>
          <w:spacing w:val="-3"/>
          <w:sz w:val="22"/>
        </w:rPr>
        <w:t> </w:t>
      </w:r>
      <w:r>
        <w:rPr>
          <w:sz w:val="22"/>
        </w:rPr>
        <w:t>the</w:t>
      </w:r>
      <w:r>
        <w:rPr>
          <w:spacing w:val="-3"/>
          <w:sz w:val="22"/>
        </w:rPr>
        <w:t> </w:t>
      </w:r>
      <w:r>
        <w:rPr>
          <w:sz w:val="22"/>
        </w:rPr>
        <w:t>base</w:t>
      </w:r>
      <w:r>
        <w:rPr>
          <w:spacing w:val="-3"/>
          <w:sz w:val="22"/>
        </w:rPr>
        <w:t> </w:t>
      </w:r>
      <w:r>
        <w:rPr>
          <w:sz w:val="22"/>
        </w:rPr>
        <w:t>PMPM</w:t>
      </w:r>
      <w:r>
        <w:rPr>
          <w:spacing w:val="-3"/>
          <w:sz w:val="22"/>
        </w:rPr>
        <w:t> </w:t>
      </w:r>
      <w:r>
        <w:rPr>
          <w:sz w:val="22"/>
        </w:rPr>
        <w:t>rate</w:t>
      </w:r>
      <w:r>
        <w:rPr>
          <w:spacing w:val="-3"/>
          <w:sz w:val="22"/>
        </w:rPr>
        <w:t> </w:t>
      </w:r>
      <w:r>
        <w:rPr>
          <w:sz w:val="22"/>
        </w:rPr>
        <w:t>is</w:t>
      </w:r>
      <w:r>
        <w:rPr>
          <w:spacing w:val="-3"/>
          <w:sz w:val="22"/>
        </w:rPr>
        <w:t> </w:t>
      </w:r>
      <w:r>
        <w:rPr>
          <w:sz w:val="22"/>
        </w:rPr>
        <w:t>$10, and</w:t>
      </w:r>
      <w:r>
        <w:rPr>
          <w:spacing w:val="-4"/>
          <w:sz w:val="22"/>
        </w:rPr>
        <w:t> </w:t>
      </w:r>
      <w:r>
        <w:rPr>
          <w:sz w:val="22"/>
        </w:rPr>
        <w:t>the</w:t>
      </w:r>
      <w:r>
        <w:rPr>
          <w:spacing w:val="-3"/>
          <w:sz w:val="22"/>
        </w:rPr>
        <w:t> </w:t>
      </w:r>
      <w:r>
        <w:rPr>
          <w:sz w:val="22"/>
        </w:rPr>
        <w:t>ACO</w:t>
      </w:r>
      <w:r>
        <w:rPr>
          <w:spacing w:val="-5"/>
          <w:sz w:val="22"/>
        </w:rPr>
        <w:t> </w:t>
      </w:r>
      <w:r>
        <w:rPr>
          <w:sz w:val="22"/>
        </w:rPr>
        <w:t>is</w:t>
      </w:r>
      <w:r>
        <w:rPr>
          <w:spacing w:val="-3"/>
          <w:sz w:val="22"/>
        </w:rPr>
        <w:t> </w:t>
      </w:r>
      <w:r>
        <w:rPr>
          <w:sz w:val="22"/>
        </w:rPr>
        <w:t>a</w:t>
      </w:r>
      <w:r>
        <w:rPr>
          <w:spacing w:val="-3"/>
          <w:sz w:val="22"/>
        </w:rPr>
        <w:t> </w:t>
      </w:r>
      <w:r>
        <w:rPr>
          <w:sz w:val="22"/>
        </w:rPr>
        <w:t>Primary</w:t>
      </w:r>
      <w:r>
        <w:rPr>
          <w:spacing w:val="-6"/>
          <w:sz w:val="22"/>
        </w:rPr>
        <w:t> </w:t>
      </w:r>
      <w:r>
        <w:rPr>
          <w:sz w:val="22"/>
        </w:rPr>
        <w:t>Care</w:t>
      </w:r>
      <w:r>
        <w:rPr>
          <w:spacing w:val="-3"/>
          <w:sz w:val="22"/>
        </w:rPr>
        <w:t> </w:t>
      </w:r>
      <w:r>
        <w:rPr>
          <w:sz w:val="22"/>
        </w:rPr>
        <w:t>ACO</w:t>
      </w:r>
      <w:r>
        <w:rPr>
          <w:spacing w:val="-5"/>
          <w:sz w:val="22"/>
        </w:rPr>
        <w:t> </w:t>
      </w:r>
      <w:r>
        <w:rPr>
          <w:sz w:val="22"/>
        </w:rPr>
        <w:t>(Risk</w:t>
      </w:r>
      <w:r>
        <w:rPr>
          <w:spacing w:val="-6"/>
          <w:sz w:val="22"/>
        </w:rPr>
        <w:t> </w:t>
      </w:r>
      <w:r>
        <w:rPr>
          <w:sz w:val="22"/>
        </w:rPr>
        <w:t>Track</w:t>
      </w:r>
      <w:r>
        <w:rPr>
          <w:spacing w:val="-6"/>
          <w:sz w:val="22"/>
        </w:rPr>
        <w:t> </w:t>
      </w:r>
      <w:r>
        <w:rPr>
          <w:sz w:val="22"/>
        </w:rPr>
        <w:t>2)</w:t>
      </w:r>
      <w:r>
        <w:rPr>
          <w:spacing w:val="-5"/>
          <w:sz w:val="22"/>
        </w:rPr>
        <w:t> </w:t>
      </w:r>
      <w:r>
        <w:rPr>
          <w:sz w:val="22"/>
        </w:rPr>
        <w:t>and</w:t>
      </w:r>
      <w:r>
        <w:rPr>
          <w:spacing w:val="-4"/>
          <w:sz w:val="22"/>
        </w:rPr>
        <w:t> </w:t>
      </w:r>
      <w:r>
        <w:rPr>
          <w:sz w:val="22"/>
        </w:rPr>
        <w:t>a</w:t>
      </w:r>
      <w:r>
        <w:rPr>
          <w:spacing w:val="-3"/>
          <w:sz w:val="22"/>
        </w:rPr>
        <w:t> </w:t>
      </w:r>
      <w:r>
        <w:rPr>
          <w:sz w:val="22"/>
        </w:rPr>
        <w:t>safety</w:t>
      </w:r>
      <w:r>
        <w:rPr>
          <w:spacing w:val="-6"/>
          <w:sz w:val="22"/>
        </w:rPr>
        <w:t> </w:t>
      </w:r>
      <w:r>
        <w:rPr>
          <w:sz w:val="22"/>
        </w:rPr>
        <w:t>net</w:t>
      </w:r>
      <w:r>
        <w:rPr>
          <w:spacing w:val="-5"/>
          <w:sz w:val="22"/>
        </w:rPr>
        <w:t> </w:t>
      </w:r>
      <w:r>
        <w:rPr>
          <w:sz w:val="22"/>
        </w:rPr>
        <w:t>category</w:t>
      </w:r>
      <w:r>
        <w:rPr>
          <w:spacing w:val="-6"/>
          <w:sz w:val="22"/>
        </w:rPr>
        <w:t> </w:t>
      </w:r>
      <w:r>
        <w:rPr>
          <w:sz w:val="22"/>
        </w:rPr>
        <w:t>3</w:t>
      </w:r>
      <w:r>
        <w:rPr>
          <w:spacing w:val="-4"/>
          <w:sz w:val="22"/>
        </w:rPr>
        <w:t> </w:t>
      </w:r>
      <w:r>
        <w:rPr>
          <w:sz w:val="22"/>
        </w:rPr>
        <w:t>provider,</w:t>
      </w:r>
      <w:r>
        <w:rPr>
          <w:spacing w:val="-6"/>
          <w:sz w:val="22"/>
        </w:rPr>
        <w:t> </w:t>
      </w:r>
      <w:r>
        <w:rPr>
          <w:sz w:val="22"/>
        </w:rPr>
        <w:t>then</w:t>
      </w:r>
      <w:r>
        <w:rPr>
          <w:spacing w:val="-4"/>
          <w:sz w:val="22"/>
        </w:rPr>
        <w:t> </w:t>
      </w:r>
      <w:r>
        <w:rPr>
          <w:sz w:val="22"/>
        </w:rPr>
        <w:t>the</w:t>
      </w:r>
      <w:r>
        <w:rPr>
          <w:spacing w:val="-3"/>
          <w:sz w:val="22"/>
        </w:rPr>
        <w:t> </w:t>
      </w:r>
      <w:r>
        <w:rPr>
          <w:sz w:val="22"/>
        </w:rPr>
        <w:t>adjusted startup/ongoing PMPM would be $10 * (100% + 40% + 20%) = $16.</w:t>
      </w:r>
      <w:r>
        <w:rPr>
          <w:spacing w:val="40"/>
          <w:sz w:val="22"/>
        </w:rPr>
        <w:t> </w:t>
      </w:r>
      <w:r>
        <w:rPr>
          <w:sz w:val="22"/>
        </w:rPr>
        <w:t>If the State modifies its safety net PMPM adjustment methodology, as described above, and this ACO has 60% of members attributed to community health centers, then the ACO would have two different PMPMs for the members attributed to CHCs vs. other PCPs:</w:t>
      </w:r>
    </w:p>
    <w:p>
      <w:pPr>
        <w:spacing w:after="0" w:line="240" w:lineRule="auto"/>
        <w:jc w:val="both"/>
        <w:rPr>
          <w:sz w:val="22"/>
        </w:rPr>
        <w:sectPr>
          <w:pgSz w:w="12240" w:h="15840"/>
          <w:pgMar w:header="0" w:footer="967" w:top="1360" w:bottom="1160" w:left="220" w:right="340"/>
        </w:sectPr>
      </w:pPr>
    </w:p>
    <w:p>
      <w:pPr>
        <w:pStyle w:val="ListParagraph"/>
        <w:numPr>
          <w:ilvl w:val="0"/>
          <w:numId w:val="72"/>
        </w:numPr>
        <w:tabs>
          <w:tab w:pos="1940" w:val="left" w:leader="none"/>
        </w:tabs>
        <w:spacing w:line="269" w:lineRule="exact" w:before="79" w:after="0"/>
        <w:ind w:left="1940" w:right="0" w:hanging="360"/>
        <w:jc w:val="left"/>
        <w:rPr>
          <w:sz w:val="22"/>
        </w:rPr>
      </w:pPr>
      <w:r>
        <w:rPr>
          <w:sz w:val="22"/>
        </w:rPr>
        <w:t>PMPM</w:t>
      </w:r>
      <w:r>
        <w:rPr>
          <w:spacing w:val="-6"/>
          <w:sz w:val="22"/>
        </w:rPr>
        <w:t> </w:t>
      </w:r>
      <w:r>
        <w:rPr>
          <w:sz w:val="22"/>
        </w:rPr>
        <w:t>for</w:t>
      </w:r>
      <w:r>
        <w:rPr>
          <w:spacing w:val="-1"/>
          <w:sz w:val="22"/>
        </w:rPr>
        <w:t> </w:t>
      </w:r>
      <w:r>
        <w:rPr>
          <w:sz w:val="22"/>
        </w:rPr>
        <w:t>members</w:t>
      </w:r>
      <w:r>
        <w:rPr>
          <w:spacing w:val="-1"/>
          <w:sz w:val="22"/>
        </w:rPr>
        <w:t> </w:t>
      </w:r>
      <w:r>
        <w:rPr>
          <w:sz w:val="22"/>
        </w:rPr>
        <w:t>attributed</w:t>
      </w:r>
      <w:r>
        <w:rPr>
          <w:spacing w:val="-5"/>
          <w:sz w:val="22"/>
        </w:rPr>
        <w:t> </w:t>
      </w:r>
      <w:r>
        <w:rPr>
          <w:sz w:val="22"/>
        </w:rPr>
        <w:t>to</w:t>
      </w:r>
      <w:r>
        <w:rPr>
          <w:spacing w:val="-1"/>
          <w:sz w:val="22"/>
        </w:rPr>
        <w:t> </w:t>
      </w:r>
      <w:r>
        <w:rPr>
          <w:sz w:val="22"/>
        </w:rPr>
        <w:t>CHC:</w:t>
      </w:r>
      <w:r>
        <w:rPr>
          <w:spacing w:val="-1"/>
          <w:sz w:val="22"/>
        </w:rPr>
        <w:t> </w:t>
      </w:r>
      <w:r>
        <w:rPr>
          <w:sz w:val="22"/>
        </w:rPr>
        <w:t>$10</w:t>
      </w:r>
      <w:r>
        <w:rPr>
          <w:spacing w:val="-4"/>
          <w:sz w:val="22"/>
        </w:rPr>
        <w:t> </w:t>
      </w:r>
      <w:r>
        <w:rPr>
          <w:sz w:val="22"/>
        </w:rPr>
        <w:t>*</w:t>
      </w:r>
      <w:r>
        <w:rPr>
          <w:spacing w:val="-2"/>
          <w:sz w:val="22"/>
        </w:rPr>
        <w:t> </w:t>
      </w:r>
      <w:r>
        <w:rPr>
          <w:sz w:val="22"/>
        </w:rPr>
        <w:t>(100%</w:t>
      </w:r>
      <w:r>
        <w:rPr>
          <w:spacing w:val="-4"/>
          <w:sz w:val="22"/>
        </w:rPr>
        <w:t> </w:t>
      </w:r>
      <w:r>
        <w:rPr>
          <w:sz w:val="22"/>
        </w:rPr>
        <w:t>+</w:t>
      </w:r>
      <w:r>
        <w:rPr>
          <w:spacing w:val="-3"/>
          <w:sz w:val="22"/>
        </w:rPr>
        <w:t> </w:t>
      </w:r>
      <w:r>
        <w:rPr>
          <w:sz w:val="22"/>
        </w:rPr>
        <w:t>40%</w:t>
      </w:r>
      <w:r>
        <w:rPr>
          <w:spacing w:val="-1"/>
          <w:sz w:val="22"/>
        </w:rPr>
        <w:t> </w:t>
      </w:r>
      <w:r>
        <w:rPr>
          <w:sz w:val="22"/>
        </w:rPr>
        <w:t>+</w:t>
      </w:r>
      <w:r>
        <w:rPr>
          <w:spacing w:val="-3"/>
          <w:sz w:val="22"/>
        </w:rPr>
        <w:t> </w:t>
      </w:r>
      <w:r>
        <w:rPr>
          <w:sz w:val="22"/>
        </w:rPr>
        <w:t>40%)</w:t>
      </w:r>
      <w:r>
        <w:rPr>
          <w:spacing w:val="-1"/>
          <w:sz w:val="22"/>
        </w:rPr>
        <w:t> </w:t>
      </w:r>
      <w:r>
        <w:rPr>
          <w:sz w:val="22"/>
        </w:rPr>
        <w:t>=</w:t>
      </w:r>
      <w:r>
        <w:rPr>
          <w:spacing w:val="-3"/>
          <w:sz w:val="22"/>
        </w:rPr>
        <w:t> </w:t>
      </w:r>
      <w:r>
        <w:rPr>
          <w:spacing w:val="-5"/>
          <w:sz w:val="22"/>
        </w:rPr>
        <w:t>$18</w:t>
      </w:r>
    </w:p>
    <w:p>
      <w:pPr>
        <w:pStyle w:val="ListParagraph"/>
        <w:numPr>
          <w:ilvl w:val="0"/>
          <w:numId w:val="72"/>
        </w:numPr>
        <w:tabs>
          <w:tab w:pos="1940" w:val="left" w:leader="none"/>
        </w:tabs>
        <w:spacing w:line="269" w:lineRule="exact" w:before="0" w:after="0"/>
        <w:ind w:left="1940" w:right="0" w:hanging="360"/>
        <w:jc w:val="left"/>
        <w:rPr>
          <w:sz w:val="22"/>
        </w:rPr>
      </w:pPr>
      <w:r>
        <w:rPr>
          <w:sz w:val="22"/>
        </w:rPr>
        <w:t>PMPM</w:t>
      </w:r>
      <w:r>
        <w:rPr>
          <w:spacing w:val="-5"/>
          <w:sz w:val="22"/>
        </w:rPr>
        <w:t> </w:t>
      </w:r>
      <w:r>
        <w:rPr>
          <w:sz w:val="22"/>
        </w:rPr>
        <w:t>for</w:t>
      </w:r>
      <w:r>
        <w:rPr>
          <w:spacing w:val="-1"/>
          <w:sz w:val="22"/>
        </w:rPr>
        <w:t> </w:t>
      </w:r>
      <w:r>
        <w:rPr>
          <w:sz w:val="22"/>
        </w:rPr>
        <w:t>other</w:t>
      </w:r>
      <w:r>
        <w:rPr>
          <w:spacing w:val="-1"/>
          <w:sz w:val="22"/>
        </w:rPr>
        <w:t> </w:t>
      </w:r>
      <w:r>
        <w:rPr>
          <w:sz w:val="22"/>
        </w:rPr>
        <w:t>members:</w:t>
      </w:r>
      <w:r>
        <w:rPr>
          <w:spacing w:val="-4"/>
          <w:sz w:val="22"/>
        </w:rPr>
        <w:t> </w:t>
      </w:r>
      <w:r>
        <w:rPr>
          <w:sz w:val="22"/>
        </w:rPr>
        <w:t>$10</w:t>
      </w:r>
      <w:r>
        <w:rPr>
          <w:spacing w:val="-2"/>
          <w:sz w:val="22"/>
        </w:rPr>
        <w:t> </w:t>
      </w:r>
      <w:r>
        <w:rPr>
          <w:sz w:val="22"/>
        </w:rPr>
        <w:t>*</w:t>
      </w:r>
      <w:r>
        <w:rPr>
          <w:spacing w:val="-2"/>
          <w:sz w:val="22"/>
        </w:rPr>
        <w:t> </w:t>
      </w:r>
      <w:r>
        <w:rPr>
          <w:sz w:val="22"/>
        </w:rPr>
        <w:t>(100%</w:t>
      </w:r>
      <w:r>
        <w:rPr>
          <w:spacing w:val="-4"/>
          <w:sz w:val="22"/>
        </w:rPr>
        <w:t> </w:t>
      </w:r>
      <w:r>
        <w:rPr>
          <w:sz w:val="22"/>
        </w:rPr>
        <w:t>+</w:t>
      </w:r>
      <w:r>
        <w:rPr>
          <w:spacing w:val="-2"/>
          <w:sz w:val="22"/>
        </w:rPr>
        <w:t> </w:t>
      </w:r>
      <w:r>
        <w:rPr>
          <w:sz w:val="22"/>
        </w:rPr>
        <w:t>40%</w:t>
      </w:r>
      <w:r>
        <w:rPr>
          <w:spacing w:val="-1"/>
          <w:sz w:val="22"/>
        </w:rPr>
        <w:t> </w:t>
      </w:r>
      <w:r>
        <w:rPr>
          <w:sz w:val="22"/>
        </w:rPr>
        <w:t>+</w:t>
      </w:r>
      <w:r>
        <w:rPr>
          <w:spacing w:val="-2"/>
          <w:sz w:val="22"/>
        </w:rPr>
        <w:t> </w:t>
      </w:r>
      <w:r>
        <w:rPr>
          <w:sz w:val="22"/>
        </w:rPr>
        <w:t>20%)</w:t>
      </w:r>
      <w:r>
        <w:rPr>
          <w:spacing w:val="-1"/>
          <w:sz w:val="22"/>
        </w:rPr>
        <w:t> </w:t>
      </w:r>
      <w:r>
        <w:rPr>
          <w:sz w:val="22"/>
        </w:rPr>
        <w:t>=</w:t>
      </w:r>
      <w:r>
        <w:rPr>
          <w:spacing w:val="-2"/>
          <w:sz w:val="22"/>
        </w:rPr>
        <w:t> </w:t>
      </w:r>
      <w:r>
        <w:rPr>
          <w:spacing w:val="-5"/>
          <w:sz w:val="22"/>
        </w:rPr>
        <w:t>$16</w:t>
      </w:r>
    </w:p>
    <w:p>
      <w:pPr>
        <w:spacing w:line="244" w:lineRule="auto" w:before="198"/>
        <w:ind w:left="1220" w:right="1094" w:firstLine="0"/>
        <w:jc w:val="both"/>
        <w:rPr>
          <w:sz w:val="22"/>
        </w:rPr>
      </w:pPr>
      <w:r>
        <w:rPr>
          <w:sz w:val="22"/>
        </w:rPr>
        <w:t>The</w:t>
      </w:r>
      <w:r>
        <w:rPr>
          <w:spacing w:val="-4"/>
          <w:sz w:val="22"/>
        </w:rPr>
        <w:t> </w:t>
      </w:r>
      <w:r>
        <w:rPr>
          <w:sz w:val="22"/>
        </w:rPr>
        <w:t>PMPMs</w:t>
      </w:r>
      <w:r>
        <w:rPr>
          <w:spacing w:val="-4"/>
          <w:sz w:val="22"/>
        </w:rPr>
        <w:t> </w:t>
      </w:r>
      <w:r>
        <w:rPr>
          <w:sz w:val="22"/>
        </w:rPr>
        <w:t>would</w:t>
      </w:r>
      <w:r>
        <w:rPr>
          <w:spacing w:val="-5"/>
          <w:sz w:val="22"/>
        </w:rPr>
        <w:t> </w:t>
      </w:r>
      <w:r>
        <w:rPr>
          <w:sz w:val="22"/>
        </w:rPr>
        <w:t>be</w:t>
      </w:r>
      <w:r>
        <w:rPr>
          <w:spacing w:val="-2"/>
          <w:sz w:val="22"/>
        </w:rPr>
        <w:t> </w:t>
      </w:r>
      <w:r>
        <w:rPr>
          <w:sz w:val="22"/>
        </w:rPr>
        <w:t>multiplied</w:t>
      </w:r>
      <w:r>
        <w:rPr>
          <w:spacing w:val="-5"/>
          <w:sz w:val="22"/>
        </w:rPr>
        <w:t> </w:t>
      </w:r>
      <w:r>
        <w:rPr>
          <w:sz w:val="22"/>
        </w:rPr>
        <w:t>by</w:t>
      </w:r>
      <w:r>
        <w:rPr>
          <w:spacing w:val="-5"/>
          <w:sz w:val="22"/>
        </w:rPr>
        <w:t> </w:t>
      </w:r>
      <w:r>
        <w:rPr>
          <w:sz w:val="22"/>
        </w:rPr>
        <w:t>their</w:t>
      </w:r>
      <w:r>
        <w:rPr>
          <w:spacing w:val="-4"/>
          <w:sz w:val="22"/>
        </w:rPr>
        <w:t> </w:t>
      </w:r>
      <w:r>
        <w:rPr>
          <w:sz w:val="22"/>
        </w:rPr>
        <w:t>associated</w:t>
      </w:r>
      <w:r>
        <w:rPr>
          <w:spacing w:val="-2"/>
          <w:sz w:val="22"/>
        </w:rPr>
        <w:t> </w:t>
      </w:r>
      <w:r>
        <w:rPr>
          <w:sz w:val="22"/>
        </w:rPr>
        <w:t>member</w:t>
      </w:r>
      <w:r>
        <w:rPr>
          <w:spacing w:val="-1"/>
          <w:sz w:val="22"/>
        </w:rPr>
        <w:t> </w:t>
      </w:r>
      <w:r>
        <w:rPr>
          <w:sz w:val="22"/>
        </w:rPr>
        <w:t>counts,</w:t>
      </w:r>
      <w:r>
        <w:rPr>
          <w:spacing w:val="-5"/>
          <w:sz w:val="22"/>
        </w:rPr>
        <w:t> </w:t>
      </w:r>
      <w:r>
        <w:rPr>
          <w:sz w:val="22"/>
        </w:rPr>
        <w:t>and</w:t>
      </w:r>
      <w:r>
        <w:rPr>
          <w:spacing w:val="-7"/>
          <w:sz w:val="22"/>
        </w:rPr>
        <w:t> </w:t>
      </w:r>
      <w:r>
        <w:rPr>
          <w:sz w:val="22"/>
        </w:rPr>
        <w:t>the</w:t>
      </w:r>
      <w:r>
        <w:rPr>
          <w:spacing w:val="-4"/>
          <w:sz w:val="22"/>
        </w:rPr>
        <w:t> </w:t>
      </w:r>
      <w:r>
        <w:rPr>
          <w:sz w:val="22"/>
        </w:rPr>
        <w:t>sum</w:t>
      </w:r>
      <w:r>
        <w:rPr>
          <w:spacing w:val="-6"/>
          <w:sz w:val="22"/>
        </w:rPr>
        <w:t> </w:t>
      </w:r>
      <w:r>
        <w:rPr>
          <w:sz w:val="22"/>
        </w:rPr>
        <w:t>of</w:t>
      </w:r>
      <w:r>
        <w:rPr>
          <w:spacing w:val="-4"/>
          <w:sz w:val="22"/>
        </w:rPr>
        <w:t> </w:t>
      </w:r>
      <w:r>
        <w:rPr>
          <w:sz w:val="22"/>
        </w:rPr>
        <w:t>these</w:t>
      </w:r>
      <w:r>
        <w:rPr>
          <w:spacing w:val="-4"/>
          <w:sz w:val="22"/>
        </w:rPr>
        <w:t> </w:t>
      </w:r>
      <w:r>
        <w:rPr>
          <w:sz w:val="22"/>
        </w:rPr>
        <w:t>products</w:t>
      </w:r>
      <w:r>
        <w:rPr>
          <w:spacing w:val="-2"/>
          <w:sz w:val="22"/>
        </w:rPr>
        <w:t> </w:t>
      </w:r>
      <w:r>
        <w:rPr>
          <w:sz w:val="22"/>
        </w:rPr>
        <w:t>would be the ACO’s startup/ongoing funding amount.</w:t>
      </w:r>
    </w:p>
    <w:p>
      <w:pPr>
        <w:spacing w:before="151"/>
        <w:ind w:left="1220" w:right="1095" w:firstLine="0"/>
        <w:jc w:val="both"/>
        <w:rPr>
          <w:sz w:val="22"/>
        </w:rPr>
      </w:pPr>
      <w:r>
        <w:rPr>
          <w:sz w:val="22"/>
        </w:rPr>
        <w:t>The amount of funding that ACOs will need to allocate for primary care investment will be based on the following PMPM schedule:</w:t>
      </w:r>
    </w:p>
    <w:p>
      <w:pPr>
        <w:tabs>
          <w:tab w:pos="10587" w:val="left" w:leader="none"/>
        </w:tabs>
        <w:spacing w:before="199"/>
        <w:ind w:left="1220" w:right="0" w:firstLine="0"/>
        <w:jc w:val="both"/>
        <w:rPr>
          <w:sz w:val="22"/>
        </w:rPr>
      </w:pPr>
      <w:r>
        <w:rPr>
          <w:sz w:val="22"/>
          <w:u w:val="single"/>
        </w:rPr>
        <w:t>PMPM</w:t>
      </w:r>
      <w:r>
        <w:rPr>
          <w:spacing w:val="-7"/>
          <w:sz w:val="22"/>
          <w:u w:val="single"/>
        </w:rPr>
        <w:t> </w:t>
      </w:r>
      <w:r>
        <w:rPr>
          <w:sz w:val="22"/>
          <w:u w:val="single"/>
        </w:rPr>
        <w:t>Schedule</w:t>
      </w:r>
      <w:r>
        <w:rPr>
          <w:spacing w:val="-5"/>
          <w:sz w:val="22"/>
          <w:u w:val="single"/>
        </w:rPr>
        <w:t> </w:t>
      </w:r>
      <w:r>
        <w:rPr>
          <w:sz w:val="22"/>
          <w:u w:val="single"/>
        </w:rPr>
        <w:t>for</w:t>
      </w:r>
      <w:r>
        <w:rPr>
          <w:spacing w:val="-4"/>
          <w:sz w:val="22"/>
          <w:u w:val="single"/>
        </w:rPr>
        <w:t> </w:t>
      </w:r>
      <w:r>
        <w:rPr>
          <w:sz w:val="22"/>
          <w:u w:val="single"/>
        </w:rPr>
        <w:t>Startup/Ongoing</w:t>
      </w:r>
      <w:r>
        <w:rPr>
          <w:spacing w:val="-6"/>
          <w:sz w:val="22"/>
          <w:u w:val="single"/>
        </w:rPr>
        <w:t> </w:t>
      </w:r>
      <w:r>
        <w:rPr>
          <w:sz w:val="22"/>
          <w:u w:val="single"/>
        </w:rPr>
        <w:t>Funds</w:t>
      </w:r>
      <w:r>
        <w:rPr>
          <w:spacing w:val="-5"/>
          <w:sz w:val="22"/>
          <w:u w:val="single"/>
        </w:rPr>
        <w:t> </w:t>
      </w:r>
      <w:r>
        <w:rPr>
          <w:sz w:val="22"/>
          <w:u w:val="single"/>
        </w:rPr>
        <w:t>(Primary</w:t>
      </w:r>
      <w:r>
        <w:rPr>
          <w:spacing w:val="-6"/>
          <w:sz w:val="22"/>
          <w:u w:val="single"/>
        </w:rPr>
        <w:t> </w:t>
      </w:r>
      <w:r>
        <w:rPr>
          <w:sz w:val="22"/>
          <w:u w:val="single"/>
        </w:rPr>
        <w:t>Care</w:t>
      </w:r>
      <w:r>
        <w:rPr>
          <w:spacing w:val="-4"/>
          <w:sz w:val="22"/>
          <w:u w:val="single"/>
        </w:rPr>
        <w:t> </w:t>
      </w:r>
      <w:r>
        <w:rPr>
          <w:spacing w:val="-2"/>
          <w:sz w:val="22"/>
          <w:u w:val="single"/>
        </w:rPr>
        <w:t>Investment)</w:t>
      </w:r>
      <w:r>
        <w:rPr>
          <w:sz w:val="22"/>
          <w:u w:val="single"/>
        </w:rPr>
        <w:tab/>
      </w:r>
    </w:p>
    <w:p>
      <w:pPr>
        <w:pStyle w:val="BodyText"/>
        <w:spacing w:before="9"/>
        <w:rPr>
          <w:sz w:val="16"/>
        </w:rPr>
      </w:pPr>
    </w:p>
    <w:tbl>
      <w:tblPr>
        <w:tblW w:w="0" w:type="auto"/>
        <w:jc w:val="left"/>
        <w:tblInd w:w="1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4"/>
        <w:gridCol w:w="3600"/>
        <w:gridCol w:w="1462"/>
        <w:gridCol w:w="838"/>
        <w:gridCol w:w="682"/>
        <w:gridCol w:w="680"/>
        <w:gridCol w:w="680"/>
        <w:gridCol w:w="682"/>
        <w:gridCol w:w="370"/>
      </w:tblGrid>
      <w:tr>
        <w:trPr>
          <w:trHeight w:val="506" w:hRule="atLeast"/>
        </w:trPr>
        <w:tc>
          <w:tcPr>
            <w:tcW w:w="384" w:type="dxa"/>
            <w:vMerge w:val="restart"/>
            <w:tcBorders>
              <w:top w:val="nil"/>
              <w:left w:val="nil"/>
              <w:right w:val="single" w:sz="4" w:space="0" w:color="BEBEBE"/>
            </w:tcBorders>
          </w:tcPr>
          <w:p>
            <w:pPr>
              <w:pStyle w:val="TableParagraph"/>
              <w:rPr>
                <w:sz w:val="22"/>
              </w:rPr>
            </w:pPr>
          </w:p>
        </w:tc>
        <w:tc>
          <w:tcPr>
            <w:tcW w:w="3600" w:type="dxa"/>
            <w:tcBorders>
              <w:top w:val="single" w:sz="4" w:space="0" w:color="BEBEBE"/>
              <w:left w:val="single" w:sz="4" w:space="0" w:color="BEBEBE"/>
              <w:bottom w:val="single" w:sz="4" w:space="0" w:color="BEBEBE"/>
              <w:right w:val="single" w:sz="4" w:space="0" w:color="BEBEBE"/>
            </w:tcBorders>
            <w:shd w:val="clear" w:color="auto" w:fill="44536A"/>
          </w:tcPr>
          <w:p>
            <w:pPr>
              <w:pStyle w:val="TableParagraph"/>
              <w:rPr>
                <w:sz w:val="22"/>
              </w:rPr>
            </w:pPr>
          </w:p>
        </w:tc>
        <w:tc>
          <w:tcPr>
            <w:tcW w:w="1462" w:type="dxa"/>
            <w:tcBorders>
              <w:top w:val="single" w:sz="4" w:space="0" w:color="BEBEBE"/>
              <w:left w:val="single" w:sz="4" w:space="0" w:color="BEBEBE"/>
              <w:bottom w:val="single" w:sz="4" w:space="0" w:color="BEBEBE"/>
              <w:right w:val="single" w:sz="4" w:space="0" w:color="BEBEBE"/>
            </w:tcBorders>
            <w:shd w:val="clear" w:color="auto" w:fill="44536A"/>
          </w:tcPr>
          <w:p>
            <w:pPr>
              <w:pStyle w:val="TableParagraph"/>
              <w:spacing w:line="254" w:lineRule="exact"/>
              <w:ind w:left="412" w:right="133" w:hanging="279"/>
              <w:rPr>
                <w:b/>
                <w:sz w:val="22"/>
              </w:rPr>
            </w:pPr>
            <w:r>
              <w:rPr>
                <w:b/>
                <w:color w:val="FFFFFF"/>
                <w:sz w:val="22"/>
              </w:rPr>
              <w:t>Prep</w:t>
            </w:r>
            <w:r>
              <w:rPr>
                <w:b/>
                <w:color w:val="FFFFFF"/>
                <w:spacing w:val="-14"/>
                <w:sz w:val="22"/>
              </w:rPr>
              <w:t> </w:t>
            </w:r>
            <w:r>
              <w:rPr>
                <w:b/>
                <w:color w:val="FFFFFF"/>
                <w:sz w:val="22"/>
              </w:rPr>
              <w:t>Budget </w:t>
            </w:r>
            <w:r>
              <w:rPr>
                <w:b/>
                <w:color w:val="FFFFFF"/>
                <w:spacing w:val="-2"/>
                <w:sz w:val="22"/>
              </w:rPr>
              <w:t>Period</w:t>
            </w:r>
          </w:p>
        </w:tc>
        <w:tc>
          <w:tcPr>
            <w:tcW w:w="838" w:type="dxa"/>
            <w:tcBorders>
              <w:top w:val="single" w:sz="4" w:space="0" w:color="BEBEBE"/>
              <w:left w:val="single" w:sz="4" w:space="0" w:color="BEBEBE"/>
              <w:bottom w:val="single" w:sz="4" w:space="0" w:color="BEBEBE"/>
              <w:right w:val="single" w:sz="4" w:space="0" w:color="BEBEBE"/>
            </w:tcBorders>
            <w:shd w:val="clear" w:color="auto" w:fill="44536A"/>
          </w:tcPr>
          <w:p>
            <w:pPr>
              <w:pStyle w:val="TableParagraph"/>
              <w:spacing w:before="125"/>
              <w:ind w:left="206" w:right="205"/>
              <w:jc w:val="center"/>
              <w:rPr>
                <w:b/>
                <w:sz w:val="22"/>
              </w:rPr>
            </w:pPr>
            <w:r>
              <w:rPr>
                <w:b/>
                <w:color w:val="FFFFFF"/>
                <w:spacing w:val="-5"/>
                <w:sz w:val="22"/>
              </w:rPr>
              <w:t>BP1</w:t>
            </w:r>
          </w:p>
        </w:tc>
        <w:tc>
          <w:tcPr>
            <w:tcW w:w="682" w:type="dxa"/>
            <w:tcBorders>
              <w:top w:val="single" w:sz="4" w:space="0" w:color="BEBEBE"/>
              <w:left w:val="single" w:sz="4" w:space="0" w:color="BEBEBE"/>
              <w:bottom w:val="single" w:sz="4" w:space="0" w:color="BEBEBE"/>
              <w:right w:val="single" w:sz="4" w:space="0" w:color="BEBEBE"/>
            </w:tcBorders>
            <w:shd w:val="clear" w:color="auto" w:fill="44536A"/>
          </w:tcPr>
          <w:p>
            <w:pPr>
              <w:pStyle w:val="TableParagraph"/>
              <w:spacing w:before="125"/>
              <w:ind w:left="127" w:right="125"/>
              <w:jc w:val="center"/>
              <w:rPr>
                <w:b/>
                <w:sz w:val="22"/>
              </w:rPr>
            </w:pPr>
            <w:r>
              <w:rPr>
                <w:b/>
                <w:color w:val="FFFFFF"/>
                <w:spacing w:val="-5"/>
                <w:sz w:val="22"/>
              </w:rPr>
              <w:t>BP2</w:t>
            </w:r>
          </w:p>
        </w:tc>
        <w:tc>
          <w:tcPr>
            <w:tcW w:w="680" w:type="dxa"/>
            <w:tcBorders>
              <w:top w:val="single" w:sz="4" w:space="0" w:color="BEBEBE"/>
              <w:left w:val="single" w:sz="4" w:space="0" w:color="BEBEBE"/>
              <w:bottom w:val="single" w:sz="4" w:space="0" w:color="BEBEBE"/>
              <w:right w:val="single" w:sz="4" w:space="0" w:color="BEBEBE"/>
            </w:tcBorders>
            <w:shd w:val="clear" w:color="auto" w:fill="44536A"/>
          </w:tcPr>
          <w:p>
            <w:pPr>
              <w:pStyle w:val="TableParagraph"/>
              <w:spacing w:before="125"/>
              <w:ind w:left="126" w:right="126"/>
              <w:jc w:val="center"/>
              <w:rPr>
                <w:b/>
                <w:sz w:val="22"/>
              </w:rPr>
            </w:pPr>
            <w:r>
              <w:rPr>
                <w:b/>
                <w:color w:val="FFFFFF"/>
                <w:spacing w:val="-5"/>
                <w:sz w:val="22"/>
              </w:rPr>
              <w:t>BP3</w:t>
            </w:r>
          </w:p>
        </w:tc>
        <w:tc>
          <w:tcPr>
            <w:tcW w:w="680" w:type="dxa"/>
            <w:tcBorders>
              <w:top w:val="single" w:sz="4" w:space="0" w:color="BEBEBE"/>
              <w:left w:val="single" w:sz="4" w:space="0" w:color="BEBEBE"/>
              <w:bottom w:val="single" w:sz="4" w:space="0" w:color="BEBEBE"/>
              <w:right w:val="single" w:sz="4" w:space="0" w:color="BEBEBE"/>
            </w:tcBorders>
            <w:shd w:val="clear" w:color="auto" w:fill="44536A"/>
          </w:tcPr>
          <w:p>
            <w:pPr>
              <w:pStyle w:val="TableParagraph"/>
              <w:spacing w:before="125"/>
              <w:ind w:left="126" w:right="126"/>
              <w:jc w:val="center"/>
              <w:rPr>
                <w:b/>
                <w:sz w:val="22"/>
              </w:rPr>
            </w:pPr>
            <w:r>
              <w:rPr>
                <w:b/>
                <w:color w:val="FFFFFF"/>
                <w:spacing w:val="-5"/>
                <w:sz w:val="22"/>
              </w:rPr>
              <w:t>BP4</w:t>
            </w:r>
          </w:p>
        </w:tc>
        <w:tc>
          <w:tcPr>
            <w:tcW w:w="682" w:type="dxa"/>
            <w:tcBorders>
              <w:top w:val="single" w:sz="4" w:space="0" w:color="BEBEBE"/>
              <w:left w:val="single" w:sz="4" w:space="0" w:color="BEBEBE"/>
              <w:bottom w:val="single" w:sz="4" w:space="0" w:color="BEBEBE"/>
              <w:right w:val="single" w:sz="4" w:space="0" w:color="BEBEBE"/>
            </w:tcBorders>
            <w:shd w:val="clear" w:color="auto" w:fill="44536A"/>
          </w:tcPr>
          <w:p>
            <w:pPr>
              <w:pStyle w:val="TableParagraph"/>
              <w:spacing w:before="125"/>
              <w:ind w:left="125" w:right="126"/>
              <w:jc w:val="center"/>
              <w:rPr>
                <w:b/>
                <w:sz w:val="22"/>
              </w:rPr>
            </w:pPr>
            <w:r>
              <w:rPr>
                <w:b/>
                <w:color w:val="FFFFFF"/>
                <w:spacing w:val="-5"/>
                <w:sz w:val="22"/>
              </w:rPr>
              <w:t>BP5</w:t>
            </w:r>
          </w:p>
        </w:tc>
        <w:tc>
          <w:tcPr>
            <w:tcW w:w="370" w:type="dxa"/>
            <w:vMerge w:val="restart"/>
            <w:tcBorders>
              <w:top w:val="nil"/>
              <w:left w:val="single" w:sz="4" w:space="0" w:color="BEBEBE"/>
              <w:right w:val="nil"/>
            </w:tcBorders>
          </w:tcPr>
          <w:p>
            <w:pPr>
              <w:pStyle w:val="TableParagraph"/>
              <w:rPr>
                <w:sz w:val="22"/>
              </w:rPr>
            </w:pPr>
          </w:p>
        </w:tc>
      </w:tr>
      <w:tr>
        <w:trPr>
          <w:trHeight w:val="758" w:hRule="atLeast"/>
        </w:trPr>
        <w:tc>
          <w:tcPr>
            <w:tcW w:w="384" w:type="dxa"/>
            <w:vMerge/>
            <w:tcBorders>
              <w:top w:val="nil"/>
              <w:left w:val="nil"/>
              <w:right w:val="single" w:sz="4" w:space="0" w:color="BEBEBE"/>
            </w:tcBorders>
          </w:tcPr>
          <w:p>
            <w:pPr>
              <w:rPr>
                <w:sz w:val="2"/>
                <w:szCs w:val="2"/>
              </w:rPr>
            </w:pPr>
          </w:p>
        </w:tc>
        <w:tc>
          <w:tcPr>
            <w:tcW w:w="3600" w:type="dxa"/>
            <w:tcBorders>
              <w:top w:val="single" w:sz="4" w:space="0" w:color="BEBEBE"/>
              <w:left w:val="single" w:sz="4" w:space="0" w:color="BEBEBE"/>
              <w:bottom w:val="single" w:sz="8" w:space="0" w:color="000000"/>
              <w:right w:val="single" w:sz="4" w:space="0" w:color="BEBEBE"/>
            </w:tcBorders>
            <w:shd w:val="clear" w:color="auto" w:fill="D9D9D9"/>
          </w:tcPr>
          <w:p>
            <w:pPr>
              <w:pStyle w:val="TableParagraph"/>
              <w:spacing w:line="249" w:lineRule="exact"/>
              <w:ind w:left="240" w:right="238"/>
              <w:jc w:val="center"/>
              <w:rPr>
                <w:sz w:val="22"/>
              </w:rPr>
            </w:pPr>
            <w:r>
              <w:rPr>
                <w:sz w:val="22"/>
              </w:rPr>
              <w:t>Startup/Ongoing</w:t>
            </w:r>
            <w:r>
              <w:rPr>
                <w:spacing w:val="-9"/>
                <w:sz w:val="22"/>
              </w:rPr>
              <w:t> </w:t>
            </w:r>
            <w:r>
              <w:rPr>
                <w:sz w:val="22"/>
              </w:rPr>
              <w:t>Funds</w:t>
            </w:r>
            <w:r>
              <w:rPr>
                <w:spacing w:val="-5"/>
                <w:sz w:val="22"/>
              </w:rPr>
              <w:t> </w:t>
            </w:r>
            <w:r>
              <w:rPr>
                <w:spacing w:val="-2"/>
                <w:sz w:val="22"/>
              </w:rPr>
              <w:t>Designated</w:t>
            </w:r>
          </w:p>
          <w:p>
            <w:pPr>
              <w:pStyle w:val="TableParagraph"/>
              <w:spacing w:line="252" w:lineRule="exact"/>
              <w:ind w:left="239" w:right="238"/>
              <w:jc w:val="center"/>
              <w:rPr>
                <w:sz w:val="22"/>
              </w:rPr>
            </w:pPr>
            <w:r>
              <w:rPr>
                <w:sz w:val="22"/>
              </w:rPr>
              <w:t>for</w:t>
            </w:r>
            <w:r>
              <w:rPr>
                <w:spacing w:val="-11"/>
                <w:sz w:val="22"/>
              </w:rPr>
              <w:t> </w:t>
            </w:r>
            <w:r>
              <w:rPr>
                <w:sz w:val="22"/>
              </w:rPr>
              <w:t>Primary</w:t>
            </w:r>
            <w:r>
              <w:rPr>
                <w:spacing w:val="-14"/>
                <w:sz w:val="22"/>
              </w:rPr>
              <w:t> </w:t>
            </w:r>
            <w:r>
              <w:rPr>
                <w:sz w:val="22"/>
              </w:rPr>
              <w:t>Care</w:t>
            </w:r>
            <w:r>
              <w:rPr>
                <w:spacing w:val="-12"/>
                <w:sz w:val="22"/>
              </w:rPr>
              <w:t> </w:t>
            </w:r>
            <w:r>
              <w:rPr>
                <w:sz w:val="22"/>
              </w:rPr>
              <w:t>Investment </w:t>
            </w:r>
            <w:r>
              <w:rPr>
                <w:spacing w:val="-2"/>
                <w:sz w:val="22"/>
              </w:rPr>
              <w:t>($PMPM)</w:t>
            </w:r>
          </w:p>
        </w:tc>
        <w:tc>
          <w:tcPr>
            <w:tcW w:w="1462" w:type="dxa"/>
            <w:tcBorders>
              <w:top w:val="single" w:sz="4" w:space="0" w:color="BEBEBE"/>
              <w:left w:val="single" w:sz="4" w:space="0" w:color="BEBEBE"/>
              <w:bottom w:val="single" w:sz="8" w:space="0" w:color="000000"/>
              <w:right w:val="single" w:sz="4" w:space="0" w:color="BEBEBE"/>
            </w:tcBorders>
          </w:tcPr>
          <w:p>
            <w:pPr>
              <w:pStyle w:val="TableParagraph"/>
              <w:spacing w:before="9"/>
              <w:rPr>
                <w:sz w:val="21"/>
              </w:rPr>
            </w:pPr>
          </w:p>
          <w:p>
            <w:pPr>
              <w:pStyle w:val="TableParagraph"/>
              <w:ind w:left="601" w:right="601"/>
              <w:jc w:val="center"/>
              <w:rPr>
                <w:sz w:val="22"/>
              </w:rPr>
            </w:pPr>
            <w:r>
              <w:rPr>
                <w:spacing w:val="-5"/>
                <w:sz w:val="22"/>
              </w:rPr>
              <w:t>$4</w:t>
            </w:r>
          </w:p>
        </w:tc>
        <w:tc>
          <w:tcPr>
            <w:tcW w:w="838" w:type="dxa"/>
            <w:tcBorders>
              <w:top w:val="single" w:sz="4" w:space="0" w:color="BEBEBE"/>
              <w:left w:val="single" w:sz="4" w:space="0" w:color="BEBEBE"/>
              <w:bottom w:val="single" w:sz="8" w:space="0" w:color="000000"/>
              <w:right w:val="single" w:sz="4" w:space="0" w:color="BEBEBE"/>
            </w:tcBorders>
          </w:tcPr>
          <w:p>
            <w:pPr>
              <w:pStyle w:val="TableParagraph"/>
              <w:spacing w:before="9"/>
              <w:rPr>
                <w:sz w:val="21"/>
              </w:rPr>
            </w:pPr>
          </w:p>
          <w:p>
            <w:pPr>
              <w:pStyle w:val="TableParagraph"/>
              <w:ind w:left="206" w:right="205"/>
              <w:jc w:val="center"/>
              <w:rPr>
                <w:sz w:val="22"/>
              </w:rPr>
            </w:pPr>
            <w:r>
              <w:rPr>
                <w:spacing w:val="-5"/>
                <w:sz w:val="22"/>
              </w:rPr>
              <w:t>$4</w:t>
            </w:r>
          </w:p>
        </w:tc>
        <w:tc>
          <w:tcPr>
            <w:tcW w:w="682" w:type="dxa"/>
            <w:tcBorders>
              <w:top w:val="single" w:sz="4" w:space="0" w:color="BEBEBE"/>
              <w:left w:val="single" w:sz="4" w:space="0" w:color="BEBEBE"/>
              <w:bottom w:val="single" w:sz="8" w:space="0" w:color="000000"/>
              <w:right w:val="single" w:sz="4" w:space="0" w:color="BEBEBE"/>
            </w:tcBorders>
          </w:tcPr>
          <w:p>
            <w:pPr>
              <w:pStyle w:val="TableParagraph"/>
              <w:spacing w:before="9"/>
              <w:rPr>
                <w:sz w:val="21"/>
              </w:rPr>
            </w:pPr>
          </w:p>
          <w:p>
            <w:pPr>
              <w:pStyle w:val="TableParagraph"/>
              <w:ind w:left="126" w:right="126"/>
              <w:jc w:val="center"/>
              <w:rPr>
                <w:sz w:val="22"/>
              </w:rPr>
            </w:pPr>
            <w:r>
              <w:rPr>
                <w:spacing w:val="-5"/>
                <w:sz w:val="22"/>
              </w:rPr>
              <w:t>$3</w:t>
            </w:r>
          </w:p>
        </w:tc>
        <w:tc>
          <w:tcPr>
            <w:tcW w:w="680" w:type="dxa"/>
            <w:tcBorders>
              <w:top w:val="single" w:sz="4" w:space="0" w:color="BEBEBE"/>
              <w:left w:val="single" w:sz="4" w:space="0" w:color="BEBEBE"/>
              <w:bottom w:val="single" w:sz="8" w:space="0" w:color="000000"/>
              <w:right w:val="single" w:sz="4" w:space="0" w:color="BEBEBE"/>
            </w:tcBorders>
          </w:tcPr>
          <w:p>
            <w:pPr>
              <w:pStyle w:val="TableParagraph"/>
              <w:spacing w:before="9"/>
              <w:rPr>
                <w:sz w:val="21"/>
              </w:rPr>
            </w:pPr>
          </w:p>
          <w:p>
            <w:pPr>
              <w:pStyle w:val="TableParagraph"/>
              <w:ind w:left="123" w:right="126"/>
              <w:jc w:val="center"/>
              <w:rPr>
                <w:sz w:val="22"/>
              </w:rPr>
            </w:pPr>
            <w:r>
              <w:rPr>
                <w:spacing w:val="-5"/>
                <w:sz w:val="22"/>
              </w:rPr>
              <w:t>$3</w:t>
            </w:r>
          </w:p>
        </w:tc>
        <w:tc>
          <w:tcPr>
            <w:tcW w:w="680" w:type="dxa"/>
            <w:tcBorders>
              <w:top w:val="single" w:sz="4" w:space="0" w:color="BEBEBE"/>
              <w:left w:val="single" w:sz="4" w:space="0" w:color="BEBEBE"/>
              <w:bottom w:val="single" w:sz="8" w:space="0" w:color="000000"/>
              <w:right w:val="single" w:sz="4" w:space="0" w:color="BEBEBE"/>
            </w:tcBorders>
          </w:tcPr>
          <w:p>
            <w:pPr>
              <w:pStyle w:val="TableParagraph"/>
              <w:spacing w:before="9"/>
              <w:rPr>
                <w:sz w:val="21"/>
              </w:rPr>
            </w:pPr>
          </w:p>
          <w:p>
            <w:pPr>
              <w:pStyle w:val="TableParagraph"/>
              <w:ind w:left="121" w:right="126"/>
              <w:jc w:val="center"/>
              <w:rPr>
                <w:sz w:val="22"/>
              </w:rPr>
            </w:pPr>
            <w:r>
              <w:rPr>
                <w:spacing w:val="-5"/>
                <w:sz w:val="22"/>
              </w:rPr>
              <w:t>$1</w:t>
            </w:r>
          </w:p>
        </w:tc>
        <w:tc>
          <w:tcPr>
            <w:tcW w:w="682" w:type="dxa"/>
            <w:tcBorders>
              <w:top w:val="single" w:sz="4" w:space="0" w:color="BEBEBE"/>
              <w:left w:val="single" w:sz="4" w:space="0" w:color="BEBEBE"/>
              <w:bottom w:val="single" w:sz="8" w:space="0" w:color="000000"/>
              <w:right w:val="single" w:sz="4" w:space="0" w:color="BEBEBE"/>
            </w:tcBorders>
          </w:tcPr>
          <w:p>
            <w:pPr>
              <w:pStyle w:val="TableParagraph"/>
              <w:spacing w:before="9"/>
              <w:rPr>
                <w:sz w:val="21"/>
              </w:rPr>
            </w:pPr>
          </w:p>
          <w:p>
            <w:pPr>
              <w:pStyle w:val="TableParagraph"/>
              <w:ind w:left="122" w:right="126"/>
              <w:jc w:val="center"/>
              <w:rPr>
                <w:sz w:val="22"/>
              </w:rPr>
            </w:pPr>
            <w:r>
              <w:rPr>
                <w:spacing w:val="-5"/>
                <w:sz w:val="22"/>
              </w:rPr>
              <w:t>$1</w:t>
            </w:r>
          </w:p>
        </w:tc>
        <w:tc>
          <w:tcPr>
            <w:tcW w:w="370" w:type="dxa"/>
            <w:vMerge/>
            <w:tcBorders>
              <w:top w:val="nil"/>
              <w:left w:val="single" w:sz="4" w:space="0" w:color="BEBEBE"/>
              <w:right w:val="nil"/>
            </w:tcBorders>
          </w:tcPr>
          <w:p>
            <w:pPr>
              <w:rPr>
                <w:sz w:val="2"/>
                <w:szCs w:val="2"/>
              </w:rPr>
            </w:pPr>
          </w:p>
        </w:tc>
      </w:tr>
    </w:tbl>
    <w:p>
      <w:pPr>
        <w:pStyle w:val="BodyText"/>
        <w:spacing w:before="1"/>
        <w:rPr>
          <w:sz w:val="22"/>
        </w:rPr>
      </w:pPr>
    </w:p>
    <w:p>
      <w:pPr>
        <w:spacing w:before="1"/>
        <w:ind w:left="1220" w:right="1094" w:firstLine="0"/>
        <w:jc w:val="both"/>
        <w:rPr>
          <w:sz w:val="22"/>
        </w:rPr>
      </w:pPr>
      <w:r>
        <w:rPr>
          <w:sz w:val="22"/>
        </w:rPr>
        <w:t>All remaining startup/ongoing support (i.e. “discretionary” startup/ongoing funds) can be distributed amongst</w:t>
      </w:r>
      <w:r>
        <w:rPr>
          <w:spacing w:val="-5"/>
          <w:sz w:val="22"/>
        </w:rPr>
        <w:t> </w:t>
      </w:r>
      <w:r>
        <w:rPr>
          <w:sz w:val="22"/>
        </w:rPr>
        <w:t>the</w:t>
      </w:r>
      <w:r>
        <w:rPr>
          <w:spacing w:val="-6"/>
          <w:sz w:val="22"/>
        </w:rPr>
        <w:t> </w:t>
      </w:r>
      <w:r>
        <w:rPr>
          <w:sz w:val="22"/>
        </w:rPr>
        <w:t>ACO’s</w:t>
      </w:r>
      <w:r>
        <w:rPr>
          <w:spacing w:val="-8"/>
          <w:sz w:val="22"/>
        </w:rPr>
        <w:t> </w:t>
      </w:r>
      <w:r>
        <w:rPr>
          <w:sz w:val="22"/>
        </w:rPr>
        <w:t>participating</w:t>
      </w:r>
      <w:r>
        <w:rPr>
          <w:spacing w:val="-9"/>
          <w:sz w:val="22"/>
        </w:rPr>
        <w:t> </w:t>
      </w:r>
      <w:r>
        <w:rPr>
          <w:sz w:val="22"/>
        </w:rPr>
        <w:t>providers,</w:t>
      </w:r>
      <w:r>
        <w:rPr>
          <w:spacing w:val="-8"/>
          <w:sz w:val="22"/>
        </w:rPr>
        <w:t> </w:t>
      </w:r>
      <w:r>
        <w:rPr>
          <w:sz w:val="22"/>
        </w:rPr>
        <w:t>as</w:t>
      </w:r>
      <w:r>
        <w:rPr>
          <w:spacing w:val="-8"/>
          <w:sz w:val="22"/>
        </w:rPr>
        <w:t> </w:t>
      </w:r>
      <w:r>
        <w:rPr>
          <w:sz w:val="22"/>
        </w:rPr>
        <w:t>decided</w:t>
      </w:r>
      <w:r>
        <w:rPr>
          <w:spacing w:val="-9"/>
          <w:sz w:val="22"/>
        </w:rPr>
        <w:t> </w:t>
      </w:r>
      <w:r>
        <w:rPr>
          <w:sz w:val="22"/>
        </w:rPr>
        <w:t>by</w:t>
      </w:r>
      <w:r>
        <w:rPr>
          <w:spacing w:val="-9"/>
          <w:sz w:val="22"/>
        </w:rPr>
        <w:t> </w:t>
      </w:r>
      <w:r>
        <w:rPr>
          <w:sz w:val="22"/>
        </w:rPr>
        <w:t>the</w:t>
      </w:r>
      <w:r>
        <w:rPr>
          <w:spacing w:val="-6"/>
          <w:sz w:val="22"/>
        </w:rPr>
        <w:t> </w:t>
      </w:r>
      <w:r>
        <w:rPr>
          <w:sz w:val="22"/>
        </w:rPr>
        <w:t>ACO.</w:t>
      </w:r>
      <w:r>
        <w:rPr>
          <w:spacing w:val="39"/>
          <w:sz w:val="22"/>
        </w:rPr>
        <w:t> </w:t>
      </w:r>
      <w:r>
        <w:rPr>
          <w:sz w:val="22"/>
        </w:rPr>
        <w:t>This</w:t>
      </w:r>
      <w:r>
        <w:rPr>
          <w:spacing w:val="-6"/>
          <w:sz w:val="22"/>
        </w:rPr>
        <w:t> </w:t>
      </w:r>
      <w:r>
        <w:rPr>
          <w:sz w:val="22"/>
        </w:rPr>
        <w:t>funding</w:t>
      </w:r>
      <w:r>
        <w:rPr>
          <w:spacing w:val="-9"/>
          <w:sz w:val="22"/>
        </w:rPr>
        <w:t> </w:t>
      </w:r>
      <w:r>
        <w:rPr>
          <w:sz w:val="22"/>
        </w:rPr>
        <w:t>could</w:t>
      </w:r>
      <w:r>
        <w:rPr>
          <w:spacing w:val="-9"/>
          <w:sz w:val="22"/>
        </w:rPr>
        <w:t> </w:t>
      </w:r>
      <w:r>
        <w:rPr>
          <w:sz w:val="22"/>
        </w:rPr>
        <w:t>be</w:t>
      </w:r>
      <w:r>
        <w:rPr>
          <w:spacing w:val="-8"/>
          <w:sz w:val="22"/>
        </w:rPr>
        <w:t> </w:t>
      </w:r>
      <w:r>
        <w:rPr>
          <w:sz w:val="22"/>
        </w:rPr>
        <w:t>used</w:t>
      </w:r>
      <w:r>
        <w:rPr>
          <w:spacing w:val="-9"/>
          <w:sz w:val="22"/>
        </w:rPr>
        <w:t> </w:t>
      </w:r>
      <w:r>
        <w:rPr>
          <w:sz w:val="22"/>
        </w:rPr>
        <w:t>to</w:t>
      </w:r>
      <w:r>
        <w:rPr>
          <w:spacing w:val="-9"/>
          <w:sz w:val="22"/>
        </w:rPr>
        <w:t> </w:t>
      </w:r>
      <w:r>
        <w:rPr>
          <w:sz w:val="22"/>
        </w:rPr>
        <w:t>support additional primary care investment or assessments for members with identified LTSS needs, among other </w:t>
      </w:r>
      <w:r>
        <w:rPr>
          <w:spacing w:val="-2"/>
          <w:sz w:val="22"/>
        </w:rPr>
        <w:t>things.</w:t>
      </w:r>
    </w:p>
    <w:p>
      <w:pPr>
        <w:spacing w:before="159"/>
        <w:ind w:left="1220" w:right="1094" w:firstLine="0"/>
        <w:jc w:val="both"/>
        <w:rPr>
          <w:sz w:val="22"/>
        </w:rPr>
      </w:pPr>
      <w:r>
        <w:rPr>
          <w:sz w:val="22"/>
        </w:rPr>
        <w:t>Generally</w:t>
      </w:r>
      <w:r>
        <w:rPr>
          <w:spacing w:val="-1"/>
          <w:sz w:val="22"/>
        </w:rPr>
        <w:t> </w:t>
      </w:r>
      <w:r>
        <w:rPr>
          <w:sz w:val="22"/>
        </w:rPr>
        <w:t>speaking, ACO funding</w:t>
      </w:r>
      <w:r>
        <w:rPr>
          <w:spacing w:val="-1"/>
          <w:sz w:val="22"/>
        </w:rPr>
        <w:t> </w:t>
      </w:r>
      <w:r>
        <w:rPr>
          <w:sz w:val="22"/>
        </w:rPr>
        <w:t>sub-streams 1 and 2 will be paid in four quarterly</w:t>
      </w:r>
      <w:r>
        <w:rPr>
          <w:spacing w:val="-1"/>
          <w:sz w:val="22"/>
        </w:rPr>
        <w:t> </w:t>
      </w:r>
      <w:r>
        <w:rPr>
          <w:sz w:val="22"/>
        </w:rPr>
        <w:t>installments for each Budget</w:t>
      </w:r>
      <w:r>
        <w:rPr>
          <w:spacing w:val="-4"/>
          <w:sz w:val="22"/>
        </w:rPr>
        <w:t> </w:t>
      </w:r>
      <w:r>
        <w:rPr>
          <w:sz w:val="22"/>
        </w:rPr>
        <w:t>Period.</w:t>
      </w:r>
      <w:r>
        <w:rPr>
          <w:spacing w:val="-7"/>
          <w:sz w:val="22"/>
        </w:rPr>
        <w:t> </w:t>
      </w:r>
      <w:r>
        <w:rPr>
          <w:sz w:val="22"/>
        </w:rPr>
        <w:t>The</w:t>
      </w:r>
      <w:r>
        <w:rPr>
          <w:spacing w:val="-4"/>
          <w:sz w:val="22"/>
        </w:rPr>
        <w:t> </w:t>
      </w:r>
      <w:r>
        <w:rPr>
          <w:sz w:val="22"/>
        </w:rPr>
        <w:t>State</w:t>
      </w:r>
      <w:r>
        <w:rPr>
          <w:spacing w:val="-4"/>
          <w:sz w:val="22"/>
        </w:rPr>
        <w:t> </w:t>
      </w:r>
      <w:r>
        <w:rPr>
          <w:sz w:val="22"/>
        </w:rPr>
        <w:t>anticipates</w:t>
      </w:r>
      <w:r>
        <w:rPr>
          <w:spacing w:val="-4"/>
          <w:sz w:val="22"/>
        </w:rPr>
        <w:t> </w:t>
      </w:r>
      <w:r>
        <w:rPr>
          <w:sz w:val="22"/>
        </w:rPr>
        <w:t>these</w:t>
      </w:r>
      <w:r>
        <w:rPr>
          <w:spacing w:val="-7"/>
          <w:sz w:val="22"/>
        </w:rPr>
        <w:t> </w:t>
      </w:r>
      <w:r>
        <w:rPr>
          <w:sz w:val="22"/>
        </w:rPr>
        <w:t>installments</w:t>
      </w:r>
      <w:r>
        <w:rPr>
          <w:spacing w:val="-4"/>
          <w:sz w:val="22"/>
        </w:rPr>
        <w:t> </w:t>
      </w:r>
      <w:r>
        <w:rPr>
          <w:sz w:val="22"/>
        </w:rPr>
        <w:t>will</w:t>
      </w:r>
      <w:r>
        <w:rPr>
          <w:spacing w:val="-4"/>
          <w:sz w:val="22"/>
        </w:rPr>
        <w:t> </w:t>
      </w:r>
      <w:r>
        <w:rPr>
          <w:sz w:val="22"/>
        </w:rPr>
        <w:t>be</w:t>
      </w:r>
      <w:r>
        <w:rPr>
          <w:spacing w:val="-4"/>
          <w:sz w:val="22"/>
        </w:rPr>
        <w:t> </w:t>
      </w:r>
      <w:r>
        <w:rPr>
          <w:sz w:val="22"/>
        </w:rPr>
        <w:t>roughly</w:t>
      </w:r>
      <w:r>
        <w:rPr>
          <w:spacing w:val="-7"/>
          <w:sz w:val="22"/>
        </w:rPr>
        <w:t> </w:t>
      </w:r>
      <w:r>
        <w:rPr>
          <w:sz w:val="22"/>
        </w:rPr>
        <w:t>equal;</w:t>
      </w:r>
      <w:r>
        <w:rPr>
          <w:spacing w:val="-4"/>
          <w:sz w:val="22"/>
        </w:rPr>
        <w:t> </w:t>
      </w:r>
      <w:r>
        <w:rPr>
          <w:sz w:val="22"/>
        </w:rPr>
        <w:t>however,</w:t>
      </w:r>
      <w:r>
        <w:rPr>
          <w:spacing w:val="-5"/>
          <w:sz w:val="22"/>
        </w:rPr>
        <w:t> </w:t>
      </w:r>
      <w:r>
        <w:rPr>
          <w:sz w:val="22"/>
        </w:rPr>
        <w:t>the</w:t>
      </w:r>
      <w:r>
        <w:rPr>
          <w:spacing w:val="-4"/>
          <w:sz w:val="22"/>
        </w:rPr>
        <w:t> </w:t>
      </w:r>
      <w:r>
        <w:rPr>
          <w:sz w:val="22"/>
        </w:rPr>
        <w:t>State</w:t>
      </w:r>
      <w:r>
        <w:rPr>
          <w:spacing w:val="-4"/>
          <w:sz w:val="22"/>
        </w:rPr>
        <w:t> </w:t>
      </w:r>
      <w:r>
        <w:rPr>
          <w:sz w:val="22"/>
        </w:rPr>
        <w:t>may</w:t>
      </w:r>
      <w:r>
        <w:rPr>
          <w:spacing w:val="-7"/>
          <w:sz w:val="22"/>
        </w:rPr>
        <w:t> </w:t>
      </w:r>
      <w:r>
        <w:rPr>
          <w:sz w:val="22"/>
        </w:rPr>
        <w:t>alter the payment amounts, frequency, and timing in its discretion. For example, the State may pay a reduced amount for the first quarterly payment, which may be based on preliminary funding amount calculations, to minimize ACO disruption when funding amounts are finalized and the remaining three payments are adjusted accordingly. During BP5, payments will be attributed to the first half of the year; as such, these attributed</w:t>
      </w:r>
      <w:r>
        <w:rPr>
          <w:spacing w:val="-5"/>
          <w:sz w:val="22"/>
        </w:rPr>
        <w:t> </w:t>
      </w:r>
      <w:r>
        <w:rPr>
          <w:sz w:val="22"/>
        </w:rPr>
        <w:t>amounts</w:t>
      </w:r>
      <w:r>
        <w:rPr>
          <w:spacing w:val="-4"/>
          <w:sz w:val="22"/>
        </w:rPr>
        <w:t> </w:t>
      </w:r>
      <w:r>
        <w:rPr>
          <w:sz w:val="22"/>
        </w:rPr>
        <w:t>will</w:t>
      </w:r>
      <w:r>
        <w:rPr>
          <w:spacing w:val="-4"/>
          <w:sz w:val="22"/>
        </w:rPr>
        <w:t> </w:t>
      </w:r>
      <w:r>
        <w:rPr>
          <w:sz w:val="22"/>
        </w:rPr>
        <w:t>be</w:t>
      </w:r>
      <w:r>
        <w:rPr>
          <w:spacing w:val="-7"/>
          <w:sz w:val="22"/>
        </w:rPr>
        <w:t> </w:t>
      </w:r>
      <w:r>
        <w:rPr>
          <w:sz w:val="22"/>
        </w:rPr>
        <w:t>twice</w:t>
      </w:r>
      <w:r>
        <w:rPr>
          <w:spacing w:val="-7"/>
          <w:sz w:val="22"/>
        </w:rPr>
        <w:t> </w:t>
      </w:r>
      <w:r>
        <w:rPr>
          <w:sz w:val="22"/>
        </w:rPr>
        <w:t>the</w:t>
      </w:r>
      <w:r>
        <w:rPr>
          <w:spacing w:val="-4"/>
          <w:sz w:val="22"/>
        </w:rPr>
        <w:t> </w:t>
      </w:r>
      <w:r>
        <w:rPr>
          <w:sz w:val="22"/>
        </w:rPr>
        <w:t>amount</w:t>
      </w:r>
      <w:r>
        <w:rPr>
          <w:spacing w:val="-6"/>
          <w:sz w:val="22"/>
        </w:rPr>
        <w:t> </w:t>
      </w:r>
      <w:r>
        <w:rPr>
          <w:sz w:val="22"/>
        </w:rPr>
        <w:t>as</w:t>
      </w:r>
      <w:r>
        <w:rPr>
          <w:spacing w:val="-4"/>
          <w:sz w:val="22"/>
        </w:rPr>
        <w:t> </w:t>
      </w:r>
      <w:r>
        <w:rPr>
          <w:sz w:val="22"/>
        </w:rPr>
        <w:t>what</w:t>
      </w:r>
      <w:r>
        <w:rPr>
          <w:spacing w:val="-6"/>
          <w:sz w:val="22"/>
        </w:rPr>
        <w:t> </w:t>
      </w:r>
      <w:r>
        <w:rPr>
          <w:sz w:val="22"/>
        </w:rPr>
        <w:t>they</w:t>
      </w:r>
      <w:r>
        <w:rPr>
          <w:spacing w:val="-7"/>
          <w:sz w:val="22"/>
        </w:rPr>
        <w:t> </w:t>
      </w:r>
      <w:r>
        <w:rPr>
          <w:sz w:val="22"/>
        </w:rPr>
        <w:t>would</w:t>
      </w:r>
      <w:r>
        <w:rPr>
          <w:spacing w:val="-5"/>
          <w:sz w:val="22"/>
        </w:rPr>
        <w:t> </w:t>
      </w:r>
      <w:r>
        <w:rPr>
          <w:sz w:val="22"/>
        </w:rPr>
        <w:t>have</w:t>
      </w:r>
      <w:r>
        <w:rPr>
          <w:spacing w:val="-4"/>
          <w:sz w:val="22"/>
        </w:rPr>
        <w:t> </w:t>
      </w:r>
      <w:r>
        <w:rPr>
          <w:sz w:val="22"/>
        </w:rPr>
        <w:t>been</w:t>
      </w:r>
      <w:r>
        <w:rPr>
          <w:spacing w:val="-5"/>
          <w:sz w:val="22"/>
        </w:rPr>
        <w:t> </w:t>
      </w:r>
      <w:r>
        <w:rPr>
          <w:sz w:val="22"/>
        </w:rPr>
        <w:t>if</w:t>
      </w:r>
      <w:r>
        <w:rPr>
          <w:spacing w:val="-4"/>
          <w:sz w:val="22"/>
        </w:rPr>
        <w:t> </w:t>
      </w:r>
      <w:r>
        <w:rPr>
          <w:sz w:val="22"/>
        </w:rPr>
        <w:t>payments</w:t>
      </w:r>
      <w:r>
        <w:rPr>
          <w:spacing w:val="-4"/>
          <w:sz w:val="22"/>
        </w:rPr>
        <w:t> </w:t>
      </w:r>
      <w:r>
        <w:rPr>
          <w:sz w:val="22"/>
        </w:rPr>
        <w:t>had</w:t>
      </w:r>
      <w:r>
        <w:rPr>
          <w:spacing w:val="-5"/>
          <w:sz w:val="22"/>
        </w:rPr>
        <w:t> </w:t>
      </w:r>
      <w:r>
        <w:rPr>
          <w:sz w:val="22"/>
        </w:rPr>
        <w:t>been</w:t>
      </w:r>
      <w:r>
        <w:rPr>
          <w:spacing w:val="-5"/>
          <w:sz w:val="22"/>
        </w:rPr>
        <w:t> </w:t>
      </w:r>
      <w:r>
        <w:rPr>
          <w:sz w:val="22"/>
        </w:rPr>
        <w:t>attributed throughout the whole BP. For example, if an ACO had</w:t>
      </w:r>
      <w:r>
        <w:rPr>
          <w:spacing w:val="-1"/>
          <w:sz w:val="22"/>
        </w:rPr>
        <w:t> </w:t>
      </w:r>
      <w:r>
        <w:rPr>
          <w:sz w:val="22"/>
        </w:rPr>
        <w:t>$100 total of non-at-risk</w:t>
      </w:r>
      <w:r>
        <w:rPr>
          <w:spacing w:val="-1"/>
          <w:sz w:val="22"/>
        </w:rPr>
        <w:t> </w:t>
      </w:r>
      <w:r>
        <w:rPr>
          <w:sz w:val="22"/>
        </w:rPr>
        <w:t>startup/ongoing</w:t>
      </w:r>
      <w:r>
        <w:rPr>
          <w:spacing w:val="-1"/>
          <w:sz w:val="22"/>
        </w:rPr>
        <w:t> </w:t>
      </w:r>
      <w:r>
        <w:rPr>
          <w:sz w:val="22"/>
        </w:rPr>
        <w:t>funds</w:t>
      </w:r>
      <w:r>
        <w:rPr>
          <w:spacing w:val="-1"/>
          <w:sz w:val="22"/>
        </w:rPr>
        <w:t> </w:t>
      </w:r>
      <w:r>
        <w:rPr>
          <w:sz w:val="22"/>
        </w:rPr>
        <w:t>for </w:t>
      </w:r>
      <w:r>
        <w:rPr>
          <w:spacing w:val="-2"/>
          <w:sz w:val="22"/>
        </w:rPr>
        <w:t>BP5,</w:t>
      </w:r>
      <w:r>
        <w:rPr>
          <w:spacing w:val="-6"/>
          <w:sz w:val="22"/>
        </w:rPr>
        <w:t> </w:t>
      </w:r>
      <w:r>
        <w:rPr>
          <w:spacing w:val="-2"/>
          <w:sz w:val="22"/>
        </w:rPr>
        <w:t>payments</w:t>
      </w:r>
      <w:r>
        <w:rPr>
          <w:spacing w:val="-5"/>
          <w:sz w:val="22"/>
        </w:rPr>
        <w:t> </w:t>
      </w:r>
      <w:r>
        <w:rPr>
          <w:spacing w:val="-2"/>
          <w:sz w:val="22"/>
        </w:rPr>
        <w:t>attributed</w:t>
      </w:r>
      <w:r>
        <w:rPr>
          <w:spacing w:val="-6"/>
          <w:sz w:val="22"/>
        </w:rPr>
        <w:t> </w:t>
      </w:r>
      <w:r>
        <w:rPr>
          <w:spacing w:val="-2"/>
          <w:sz w:val="22"/>
        </w:rPr>
        <w:t>to</w:t>
      </w:r>
      <w:r>
        <w:rPr>
          <w:spacing w:val="-9"/>
          <w:sz w:val="22"/>
        </w:rPr>
        <w:t> </w:t>
      </w:r>
      <w:r>
        <w:rPr>
          <w:spacing w:val="-2"/>
          <w:sz w:val="22"/>
        </w:rPr>
        <w:t>BP5</w:t>
      </w:r>
      <w:r>
        <w:rPr>
          <w:spacing w:val="-6"/>
          <w:sz w:val="22"/>
        </w:rPr>
        <w:t> </w:t>
      </w:r>
      <w:r>
        <w:rPr>
          <w:spacing w:val="-2"/>
          <w:sz w:val="22"/>
        </w:rPr>
        <w:t>would</w:t>
      </w:r>
      <w:r>
        <w:rPr>
          <w:spacing w:val="-6"/>
          <w:sz w:val="22"/>
        </w:rPr>
        <w:t> </w:t>
      </w:r>
      <w:r>
        <w:rPr>
          <w:spacing w:val="-2"/>
          <w:sz w:val="22"/>
        </w:rPr>
        <w:t>be</w:t>
      </w:r>
      <w:r>
        <w:rPr>
          <w:spacing w:val="-5"/>
          <w:sz w:val="22"/>
        </w:rPr>
        <w:t> </w:t>
      </w:r>
      <w:r>
        <w:rPr>
          <w:spacing w:val="-2"/>
          <w:sz w:val="22"/>
        </w:rPr>
        <w:t>split</w:t>
      </w:r>
      <w:r>
        <w:rPr>
          <w:spacing w:val="-5"/>
          <w:sz w:val="22"/>
        </w:rPr>
        <w:t> </w:t>
      </w:r>
      <w:r>
        <w:rPr>
          <w:spacing w:val="-2"/>
          <w:sz w:val="22"/>
        </w:rPr>
        <w:t>between</w:t>
      </w:r>
      <w:r>
        <w:rPr>
          <w:spacing w:val="-9"/>
          <w:sz w:val="22"/>
        </w:rPr>
        <w:t> </w:t>
      </w:r>
      <w:r>
        <w:rPr>
          <w:spacing w:val="-2"/>
          <w:sz w:val="22"/>
        </w:rPr>
        <w:t>the</w:t>
      </w:r>
      <w:r>
        <w:rPr>
          <w:spacing w:val="-5"/>
          <w:sz w:val="22"/>
        </w:rPr>
        <w:t> </w:t>
      </w:r>
      <w:r>
        <w:rPr>
          <w:spacing w:val="-2"/>
          <w:sz w:val="22"/>
        </w:rPr>
        <w:t>first</w:t>
      </w:r>
      <w:r>
        <w:rPr>
          <w:spacing w:val="-5"/>
          <w:sz w:val="22"/>
        </w:rPr>
        <w:t> </w:t>
      </w:r>
      <w:r>
        <w:rPr>
          <w:spacing w:val="-2"/>
          <w:sz w:val="22"/>
        </w:rPr>
        <w:t>two</w:t>
      </w:r>
      <w:r>
        <w:rPr>
          <w:spacing w:val="-6"/>
          <w:sz w:val="22"/>
        </w:rPr>
        <w:t> </w:t>
      </w:r>
      <w:r>
        <w:rPr>
          <w:spacing w:val="-2"/>
          <w:sz w:val="22"/>
        </w:rPr>
        <w:t>quarters</w:t>
      </w:r>
      <w:r>
        <w:rPr>
          <w:spacing w:val="-5"/>
          <w:sz w:val="22"/>
        </w:rPr>
        <w:t> </w:t>
      </w:r>
      <w:r>
        <w:rPr>
          <w:spacing w:val="-2"/>
          <w:sz w:val="22"/>
        </w:rPr>
        <w:t>of</w:t>
      </w:r>
      <w:r>
        <w:rPr>
          <w:spacing w:val="-5"/>
          <w:sz w:val="22"/>
        </w:rPr>
        <w:t> </w:t>
      </w:r>
      <w:r>
        <w:rPr>
          <w:spacing w:val="-2"/>
          <w:sz w:val="22"/>
        </w:rPr>
        <w:t>BP5</w:t>
      </w:r>
      <w:r>
        <w:rPr>
          <w:spacing w:val="-6"/>
          <w:sz w:val="22"/>
        </w:rPr>
        <w:t> </w:t>
      </w:r>
      <w:r>
        <w:rPr>
          <w:spacing w:val="-2"/>
          <w:sz w:val="22"/>
        </w:rPr>
        <w:t>($50</w:t>
      </w:r>
      <w:r>
        <w:rPr>
          <w:spacing w:val="-6"/>
          <w:sz w:val="22"/>
        </w:rPr>
        <w:t> </w:t>
      </w:r>
      <w:r>
        <w:rPr>
          <w:spacing w:val="-2"/>
          <w:sz w:val="22"/>
        </w:rPr>
        <w:t>each),</w:t>
      </w:r>
      <w:r>
        <w:rPr>
          <w:spacing w:val="-6"/>
          <w:sz w:val="22"/>
        </w:rPr>
        <w:t> </w:t>
      </w:r>
      <w:r>
        <w:rPr>
          <w:spacing w:val="-2"/>
          <w:sz w:val="22"/>
        </w:rPr>
        <w:t>as</w:t>
      </w:r>
      <w:r>
        <w:rPr>
          <w:spacing w:val="-5"/>
          <w:sz w:val="22"/>
        </w:rPr>
        <w:t> </w:t>
      </w:r>
      <w:r>
        <w:rPr>
          <w:spacing w:val="-2"/>
          <w:sz w:val="22"/>
        </w:rPr>
        <w:t>opposed </w:t>
      </w:r>
      <w:r>
        <w:rPr>
          <w:sz w:val="22"/>
        </w:rPr>
        <w:t>to $25 attributed across each of the four quarters of BP5.</w:t>
      </w:r>
    </w:p>
    <w:p>
      <w:pPr>
        <w:spacing w:line="244" w:lineRule="auto" w:before="160"/>
        <w:ind w:left="1220" w:right="1095" w:firstLine="0"/>
        <w:jc w:val="both"/>
        <w:rPr>
          <w:sz w:val="22"/>
        </w:rPr>
      </w:pPr>
      <w:r>
        <w:rPr>
          <w:sz w:val="22"/>
        </w:rPr>
        <w:t>If</w:t>
      </w:r>
      <w:r>
        <w:rPr>
          <w:spacing w:val="-3"/>
          <w:sz w:val="22"/>
        </w:rPr>
        <w:t> </w:t>
      </w:r>
      <w:r>
        <w:rPr>
          <w:sz w:val="22"/>
        </w:rPr>
        <w:t>an</w:t>
      </w:r>
      <w:r>
        <w:rPr>
          <w:spacing w:val="-4"/>
          <w:sz w:val="22"/>
        </w:rPr>
        <w:t> </w:t>
      </w:r>
      <w:r>
        <w:rPr>
          <w:sz w:val="22"/>
        </w:rPr>
        <w:t>ACO’s</w:t>
      </w:r>
      <w:r>
        <w:rPr>
          <w:spacing w:val="-3"/>
          <w:sz w:val="22"/>
        </w:rPr>
        <w:t> </w:t>
      </w:r>
      <w:r>
        <w:rPr>
          <w:sz w:val="22"/>
        </w:rPr>
        <w:t>contract</w:t>
      </w:r>
      <w:r>
        <w:rPr>
          <w:spacing w:val="-3"/>
          <w:sz w:val="22"/>
        </w:rPr>
        <w:t> </w:t>
      </w:r>
      <w:r>
        <w:rPr>
          <w:sz w:val="22"/>
        </w:rPr>
        <w:t>with</w:t>
      </w:r>
      <w:r>
        <w:rPr>
          <w:spacing w:val="-4"/>
          <w:sz w:val="22"/>
        </w:rPr>
        <w:t> </w:t>
      </w:r>
      <w:r>
        <w:rPr>
          <w:sz w:val="22"/>
        </w:rPr>
        <w:t>the</w:t>
      </w:r>
      <w:r>
        <w:rPr>
          <w:spacing w:val="-3"/>
          <w:sz w:val="22"/>
        </w:rPr>
        <w:t> </w:t>
      </w:r>
      <w:r>
        <w:rPr>
          <w:sz w:val="22"/>
        </w:rPr>
        <w:t>State</w:t>
      </w:r>
      <w:r>
        <w:rPr>
          <w:spacing w:val="-3"/>
          <w:sz w:val="22"/>
        </w:rPr>
        <w:t> </w:t>
      </w:r>
      <w:r>
        <w:rPr>
          <w:sz w:val="22"/>
        </w:rPr>
        <w:t>is</w:t>
      </w:r>
      <w:r>
        <w:rPr>
          <w:spacing w:val="-3"/>
          <w:sz w:val="22"/>
        </w:rPr>
        <w:t> </w:t>
      </w:r>
      <w:r>
        <w:rPr>
          <w:sz w:val="22"/>
        </w:rPr>
        <w:t>terminated</w:t>
      </w:r>
      <w:r>
        <w:rPr>
          <w:spacing w:val="-4"/>
          <w:sz w:val="22"/>
        </w:rPr>
        <w:t> </w:t>
      </w:r>
      <w:r>
        <w:rPr>
          <w:sz w:val="22"/>
        </w:rPr>
        <w:t>midway</w:t>
      </w:r>
      <w:r>
        <w:rPr>
          <w:spacing w:val="-6"/>
          <w:sz w:val="22"/>
        </w:rPr>
        <w:t> </w:t>
      </w:r>
      <w:r>
        <w:rPr>
          <w:sz w:val="22"/>
        </w:rPr>
        <w:t>through</w:t>
      </w:r>
      <w:r>
        <w:rPr>
          <w:spacing w:val="-4"/>
          <w:sz w:val="22"/>
        </w:rPr>
        <w:t> </w:t>
      </w:r>
      <w:r>
        <w:rPr>
          <w:sz w:val="22"/>
        </w:rPr>
        <w:t>a</w:t>
      </w:r>
      <w:r>
        <w:rPr>
          <w:spacing w:val="-3"/>
          <w:sz w:val="22"/>
        </w:rPr>
        <w:t> </w:t>
      </w:r>
      <w:r>
        <w:rPr>
          <w:sz w:val="22"/>
        </w:rPr>
        <w:t>budget</w:t>
      </w:r>
      <w:r>
        <w:rPr>
          <w:spacing w:val="-3"/>
          <w:sz w:val="22"/>
        </w:rPr>
        <w:t> </w:t>
      </w:r>
      <w:r>
        <w:rPr>
          <w:sz w:val="22"/>
        </w:rPr>
        <w:t>period</w:t>
      </w:r>
      <w:r>
        <w:rPr>
          <w:spacing w:val="-6"/>
          <w:sz w:val="22"/>
        </w:rPr>
        <w:t> </w:t>
      </w:r>
      <w:r>
        <w:rPr>
          <w:sz w:val="22"/>
        </w:rPr>
        <w:t>due</w:t>
      </w:r>
      <w:r>
        <w:rPr>
          <w:spacing w:val="-3"/>
          <w:sz w:val="22"/>
        </w:rPr>
        <w:t> </w:t>
      </w:r>
      <w:r>
        <w:rPr>
          <w:sz w:val="22"/>
        </w:rPr>
        <w:t>to</w:t>
      </w:r>
      <w:r>
        <w:rPr>
          <w:spacing w:val="-4"/>
          <w:sz w:val="22"/>
        </w:rPr>
        <w:t> </w:t>
      </w:r>
      <w:r>
        <w:rPr>
          <w:sz w:val="22"/>
        </w:rPr>
        <w:t>the</w:t>
      </w:r>
      <w:r>
        <w:rPr>
          <w:spacing w:val="-3"/>
          <w:sz w:val="22"/>
        </w:rPr>
        <w:t> </w:t>
      </w:r>
      <w:r>
        <w:rPr>
          <w:sz w:val="22"/>
        </w:rPr>
        <w:t>ACO</w:t>
      </w:r>
      <w:r>
        <w:rPr>
          <w:spacing w:val="-5"/>
          <w:sz w:val="22"/>
        </w:rPr>
        <w:t> </w:t>
      </w:r>
      <w:r>
        <w:rPr>
          <w:sz w:val="22"/>
        </w:rPr>
        <w:t>leaving the ACO program, then the ACO will not receive new startup/ongoing funds for that budget period.</w:t>
      </w:r>
    </w:p>
    <w:p>
      <w:pPr>
        <w:pStyle w:val="ListParagraph"/>
        <w:numPr>
          <w:ilvl w:val="2"/>
          <w:numId w:val="68"/>
        </w:numPr>
        <w:tabs>
          <w:tab w:pos="1939" w:val="left" w:leader="none"/>
        </w:tabs>
        <w:spacing w:line="252" w:lineRule="exact" w:before="192" w:after="0"/>
        <w:ind w:left="1939" w:right="0" w:hanging="719"/>
        <w:jc w:val="both"/>
        <w:rPr>
          <w:b/>
          <w:color w:val="4471C4"/>
          <w:sz w:val="22"/>
        </w:rPr>
      </w:pPr>
      <w:bookmarkStart w:name="4.4.2 ACO Sub-Stream 3: Flexible Service" w:id="1312"/>
      <w:bookmarkEnd w:id="1312"/>
      <w:r>
        <w:rPr/>
      </w:r>
      <w:bookmarkStart w:name="_bookmark50" w:id="1313"/>
      <w:bookmarkEnd w:id="1313"/>
      <w:r>
        <w:rPr/>
      </w:r>
      <w:r>
        <w:rPr>
          <w:b/>
          <w:color w:val="4471C4"/>
          <w:sz w:val="22"/>
        </w:rPr>
        <w:t>ACO</w:t>
      </w:r>
      <w:r>
        <w:rPr>
          <w:b/>
          <w:color w:val="4471C4"/>
          <w:spacing w:val="-4"/>
          <w:sz w:val="22"/>
        </w:rPr>
        <w:t> </w:t>
      </w:r>
      <w:r>
        <w:rPr>
          <w:b/>
          <w:color w:val="4471C4"/>
          <w:sz w:val="22"/>
        </w:rPr>
        <w:t>Sub-Stream</w:t>
      </w:r>
      <w:r>
        <w:rPr>
          <w:b/>
          <w:color w:val="4471C4"/>
          <w:spacing w:val="-4"/>
          <w:sz w:val="22"/>
        </w:rPr>
        <w:t> </w:t>
      </w:r>
      <w:r>
        <w:rPr>
          <w:b/>
          <w:color w:val="4471C4"/>
          <w:sz w:val="22"/>
        </w:rPr>
        <w:t>3:</w:t>
      </w:r>
      <w:r>
        <w:rPr>
          <w:b/>
          <w:color w:val="4471C4"/>
          <w:spacing w:val="-7"/>
          <w:sz w:val="22"/>
        </w:rPr>
        <w:t> </w:t>
      </w:r>
      <w:r>
        <w:rPr>
          <w:b/>
          <w:color w:val="4471C4"/>
          <w:sz w:val="22"/>
        </w:rPr>
        <w:t>Flexible</w:t>
      </w:r>
      <w:r>
        <w:rPr>
          <w:b/>
          <w:color w:val="4471C4"/>
          <w:spacing w:val="-5"/>
          <w:sz w:val="22"/>
        </w:rPr>
        <w:t> </w:t>
      </w:r>
      <w:r>
        <w:rPr>
          <w:b/>
          <w:color w:val="4471C4"/>
          <w:sz w:val="22"/>
        </w:rPr>
        <w:t>Services</w:t>
      </w:r>
      <w:r>
        <w:rPr>
          <w:b/>
          <w:color w:val="4471C4"/>
          <w:spacing w:val="-6"/>
          <w:sz w:val="22"/>
        </w:rPr>
        <w:t> </w:t>
      </w:r>
      <w:r>
        <w:rPr>
          <w:b/>
          <w:color w:val="4471C4"/>
          <w:spacing w:val="-2"/>
          <w:sz w:val="22"/>
        </w:rPr>
        <w:t>Funding</w:t>
      </w:r>
    </w:p>
    <w:p>
      <w:pPr>
        <w:spacing w:before="0"/>
        <w:ind w:left="1219" w:right="1095" w:firstLine="0"/>
        <w:jc w:val="both"/>
        <w:rPr>
          <w:sz w:val="22"/>
        </w:rPr>
      </w:pPr>
      <w:r>
        <w:rPr>
          <w:sz w:val="22"/>
        </w:rPr>
        <w:t>Each ACO will receive an allotment of flexible services funding for each Budget Period, except for the Preparation</w:t>
      </w:r>
      <w:r>
        <w:rPr>
          <w:spacing w:val="-14"/>
          <w:sz w:val="22"/>
        </w:rPr>
        <w:t> </w:t>
      </w:r>
      <w:r>
        <w:rPr>
          <w:sz w:val="22"/>
        </w:rPr>
        <w:t>Budget</w:t>
      </w:r>
      <w:r>
        <w:rPr>
          <w:spacing w:val="-11"/>
          <w:sz w:val="22"/>
        </w:rPr>
        <w:t> </w:t>
      </w:r>
      <w:r>
        <w:rPr>
          <w:sz w:val="22"/>
        </w:rPr>
        <w:t>Period</w:t>
      </w:r>
      <w:r>
        <w:rPr>
          <w:spacing w:val="-14"/>
          <w:sz w:val="22"/>
        </w:rPr>
        <w:t> </w:t>
      </w:r>
      <w:r>
        <w:rPr>
          <w:sz w:val="22"/>
        </w:rPr>
        <w:t>during</w:t>
      </w:r>
      <w:r>
        <w:rPr>
          <w:spacing w:val="-13"/>
          <w:sz w:val="22"/>
        </w:rPr>
        <w:t> </w:t>
      </w:r>
      <w:r>
        <w:rPr>
          <w:sz w:val="22"/>
        </w:rPr>
        <w:t>which</w:t>
      </w:r>
      <w:r>
        <w:rPr>
          <w:spacing w:val="-14"/>
          <w:sz w:val="22"/>
        </w:rPr>
        <w:t> </w:t>
      </w:r>
      <w:r>
        <w:rPr>
          <w:sz w:val="22"/>
        </w:rPr>
        <w:t>there</w:t>
      </w:r>
      <w:r>
        <w:rPr>
          <w:spacing w:val="-11"/>
          <w:sz w:val="22"/>
        </w:rPr>
        <w:t> </w:t>
      </w:r>
      <w:r>
        <w:rPr>
          <w:sz w:val="22"/>
        </w:rPr>
        <w:t>are</w:t>
      </w:r>
      <w:r>
        <w:rPr>
          <w:spacing w:val="-11"/>
          <w:sz w:val="22"/>
        </w:rPr>
        <w:t> </w:t>
      </w:r>
      <w:r>
        <w:rPr>
          <w:sz w:val="22"/>
        </w:rPr>
        <w:t>no</w:t>
      </w:r>
      <w:r>
        <w:rPr>
          <w:spacing w:val="-12"/>
          <w:sz w:val="22"/>
        </w:rPr>
        <w:t> </w:t>
      </w:r>
      <w:r>
        <w:rPr>
          <w:sz w:val="22"/>
        </w:rPr>
        <w:t>flexible</w:t>
      </w:r>
      <w:r>
        <w:rPr>
          <w:spacing w:val="-14"/>
          <w:sz w:val="22"/>
        </w:rPr>
        <w:t> </w:t>
      </w:r>
      <w:r>
        <w:rPr>
          <w:sz w:val="22"/>
        </w:rPr>
        <w:t>services</w:t>
      </w:r>
      <w:r>
        <w:rPr>
          <w:spacing w:val="-13"/>
          <w:sz w:val="22"/>
        </w:rPr>
        <w:t> </w:t>
      </w:r>
      <w:r>
        <w:rPr>
          <w:sz w:val="22"/>
        </w:rPr>
        <w:t>funds</w:t>
      </w:r>
      <w:r>
        <w:rPr>
          <w:spacing w:val="-14"/>
          <w:sz w:val="22"/>
        </w:rPr>
        <w:t> </w:t>
      </w:r>
      <w:r>
        <w:rPr>
          <w:sz w:val="22"/>
        </w:rPr>
        <w:t>(because</w:t>
      </w:r>
      <w:r>
        <w:rPr>
          <w:spacing w:val="-12"/>
          <w:sz w:val="22"/>
        </w:rPr>
        <w:t> </w:t>
      </w:r>
      <w:r>
        <w:rPr>
          <w:sz w:val="22"/>
        </w:rPr>
        <w:t>ACOs</w:t>
      </w:r>
      <w:r>
        <w:rPr>
          <w:spacing w:val="-11"/>
          <w:sz w:val="22"/>
        </w:rPr>
        <w:t> </w:t>
      </w:r>
      <w:r>
        <w:rPr>
          <w:sz w:val="22"/>
        </w:rPr>
        <w:t>do</w:t>
      </w:r>
      <w:r>
        <w:rPr>
          <w:spacing w:val="-14"/>
          <w:sz w:val="22"/>
        </w:rPr>
        <w:t> </w:t>
      </w:r>
      <w:r>
        <w:rPr>
          <w:sz w:val="22"/>
        </w:rPr>
        <w:t>not</w:t>
      </w:r>
      <w:r>
        <w:rPr>
          <w:spacing w:val="-13"/>
          <w:sz w:val="22"/>
        </w:rPr>
        <w:t> </w:t>
      </w:r>
      <w:r>
        <w:rPr>
          <w:sz w:val="22"/>
        </w:rPr>
        <w:t>yet</w:t>
      </w:r>
      <w:r>
        <w:rPr>
          <w:spacing w:val="-11"/>
          <w:sz w:val="22"/>
        </w:rPr>
        <w:t> </w:t>
      </w:r>
      <w:r>
        <w:rPr>
          <w:sz w:val="22"/>
        </w:rPr>
        <w:t>have enrolled/attributed members). The allotment will be determined on a PMPM basis, as set forth in Exhibit</w:t>
      </w:r>
    </w:p>
    <w:p>
      <w:pPr>
        <w:spacing w:line="240" w:lineRule="auto" w:before="0"/>
        <w:ind w:left="1219" w:right="1094" w:firstLine="0"/>
        <w:jc w:val="both"/>
        <w:rPr>
          <w:sz w:val="22"/>
        </w:rPr>
      </w:pPr>
      <w:r>
        <w:rPr>
          <w:sz w:val="22"/>
        </w:rPr>
        <w:t>9. Details for how ACOs will be able to access their Flexible Services funding allotments can be found in the</w:t>
      </w:r>
      <w:r>
        <w:rPr>
          <w:spacing w:val="-14"/>
          <w:sz w:val="22"/>
        </w:rPr>
        <w:t> </w:t>
      </w:r>
      <w:r>
        <w:rPr>
          <w:sz w:val="22"/>
        </w:rPr>
        <w:t>Flexible</w:t>
      </w:r>
      <w:r>
        <w:rPr>
          <w:spacing w:val="-14"/>
          <w:sz w:val="22"/>
        </w:rPr>
        <w:t> </w:t>
      </w:r>
      <w:r>
        <w:rPr>
          <w:sz w:val="22"/>
        </w:rPr>
        <w:t>Services</w:t>
      </w:r>
      <w:r>
        <w:rPr>
          <w:spacing w:val="-14"/>
          <w:sz w:val="22"/>
        </w:rPr>
        <w:t> </w:t>
      </w:r>
      <w:r>
        <w:rPr>
          <w:sz w:val="22"/>
        </w:rPr>
        <w:t>Protocol.</w:t>
      </w:r>
      <w:r>
        <w:rPr>
          <w:spacing w:val="28"/>
          <w:sz w:val="22"/>
        </w:rPr>
        <w:t> </w:t>
      </w:r>
      <w:r>
        <w:rPr>
          <w:sz w:val="22"/>
        </w:rPr>
        <w:t>The</w:t>
      </w:r>
      <w:r>
        <w:rPr>
          <w:spacing w:val="-13"/>
          <w:sz w:val="22"/>
        </w:rPr>
        <w:t> </w:t>
      </w:r>
      <w:r>
        <w:rPr>
          <w:sz w:val="22"/>
        </w:rPr>
        <w:t>State</w:t>
      </w:r>
      <w:r>
        <w:rPr>
          <w:spacing w:val="-13"/>
          <w:sz w:val="22"/>
        </w:rPr>
        <w:t> </w:t>
      </w:r>
      <w:r>
        <w:rPr>
          <w:sz w:val="22"/>
        </w:rPr>
        <w:t>may</w:t>
      </w:r>
      <w:r>
        <w:rPr>
          <w:spacing w:val="-13"/>
          <w:sz w:val="22"/>
        </w:rPr>
        <w:t> </w:t>
      </w:r>
      <w:r>
        <w:rPr>
          <w:sz w:val="22"/>
        </w:rPr>
        <w:t>redistribute</w:t>
      </w:r>
      <w:r>
        <w:rPr>
          <w:spacing w:val="-13"/>
          <w:sz w:val="22"/>
        </w:rPr>
        <w:t> </w:t>
      </w:r>
      <w:r>
        <w:rPr>
          <w:sz w:val="22"/>
        </w:rPr>
        <w:t>any</w:t>
      </w:r>
      <w:r>
        <w:rPr>
          <w:spacing w:val="-14"/>
          <w:sz w:val="22"/>
        </w:rPr>
        <w:t> </w:t>
      </w:r>
      <w:r>
        <w:rPr>
          <w:sz w:val="22"/>
        </w:rPr>
        <w:t>undisbursed</w:t>
      </w:r>
      <w:r>
        <w:rPr>
          <w:spacing w:val="-13"/>
          <w:sz w:val="22"/>
        </w:rPr>
        <w:t> </w:t>
      </w:r>
      <w:r>
        <w:rPr>
          <w:sz w:val="22"/>
        </w:rPr>
        <w:t>flexible</w:t>
      </w:r>
      <w:r>
        <w:rPr>
          <w:spacing w:val="-14"/>
          <w:sz w:val="22"/>
        </w:rPr>
        <w:t> </w:t>
      </w:r>
      <w:r>
        <w:rPr>
          <w:sz w:val="22"/>
        </w:rPr>
        <w:t>services</w:t>
      </w:r>
      <w:r>
        <w:rPr>
          <w:spacing w:val="-13"/>
          <w:sz w:val="22"/>
        </w:rPr>
        <w:t> </w:t>
      </w:r>
      <w:r>
        <w:rPr>
          <w:sz w:val="22"/>
        </w:rPr>
        <w:t>funding</w:t>
      </w:r>
      <w:r>
        <w:rPr>
          <w:spacing w:val="-14"/>
          <w:sz w:val="22"/>
        </w:rPr>
        <w:t> </w:t>
      </w:r>
      <w:r>
        <w:rPr>
          <w:sz w:val="22"/>
        </w:rPr>
        <w:t>among the other DSRIP funding streams at the State’s discretion, following the same parameters as described in Section 5.1.3 for redistribution of funding not distributed to ACOs, CPs, and CSAs.</w:t>
      </w:r>
      <w:r>
        <w:rPr>
          <w:spacing w:val="40"/>
          <w:sz w:val="22"/>
        </w:rPr>
        <w:t> </w:t>
      </w:r>
      <w:r>
        <w:rPr>
          <w:sz w:val="22"/>
        </w:rPr>
        <w:t>Any such redistributions would be reported to CMS in the State's quarterly progress reports.</w:t>
      </w:r>
    </w:p>
    <w:p>
      <w:pPr>
        <w:spacing w:line="240" w:lineRule="auto" w:before="159"/>
        <w:ind w:left="1219" w:right="1094" w:firstLine="0"/>
        <w:jc w:val="both"/>
        <w:rPr>
          <w:sz w:val="22"/>
        </w:rPr>
      </w:pPr>
      <w:r>
        <w:rPr>
          <w:sz w:val="22"/>
        </w:rPr>
        <w:t>The</w:t>
      </w:r>
      <w:r>
        <w:rPr>
          <w:spacing w:val="-6"/>
          <w:sz w:val="22"/>
        </w:rPr>
        <w:t> </w:t>
      </w:r>
      <w:r>
        <w:rPr>
          <w:sz w:val="22"/>
        </w:rPr>
        <w:t>PMPMs</w:t>
      </w:r>
      <w:r>
        <w:rPr>
          <w:spacing w:val="-8"/>
          <w:sz w:val="22"/>
        </w:rPr>
        <w:t> </w:t>
      </w:r>
      <w:r>
        <w:rPr>
          <w:sz w:val="22"/>
        </w:rPr>
        <w:t>for</w:t>
      </w:r>
      <w:r>
        <w:rPr>
          <w:spacing w:val="-5"/>
          <w:sz w:val="22"/>
        </w:rPr>
        <w:t> </w:t>
      </w:r>
      <w:r>
        <w:rPr>
          <w:sz w:val="22"/>
        </w:rPr>
        <w:t>flexible</w:t>
      </w:r>
      <w:r>
        <w:rPr>
          <w:spacing w:val="-6"/>
          <w:sz w:val="22"/>
        </w:rPr>
        <w:t> </w:t>
      </w:r>
      <w:r>
        <w:rPr>
          <w:sz w:val="22"/>
        </w:rPr>
        <w:t>services</w:t>
      </w:r>
      <w:r>
        <w:rPr>
          <w:spacing w:val="-6"/>
          <w:sz w:val="22"/>
        </w:rPr>
        <w:t> </w:t>
      </w:r>
      <w:r>
        <w:rPr>
          <w:sz w:val="22"/>
        </w:rPr>
        <w:t>allotments</w:t>
      </w:r>
      <w:r>
        <w:rPr>
          <w:spacing w:val="-6"/>
          <w:sz w:val="22"/>
        </w:rPr>
        <w:t> </w:t>
      </w:r>
      <w:r>
        <w:rPr>
          <w:sz w:val="22"/>
        </w:rPr>
        <w:t>are</w:t>
      </w:r>
      <w:r>
        <w:rPr>
          <w:spacing w:val="-6"/>
          <w:sz w:val="22"/>
        </w:rPr>
        <w:t> </w:t>
      </w:r>
      <w:r>
        <w:rPr>
          <w:sz w:val="22"/>
        </w:rPr>
        <w:t>set</w:t>
      </w:r>
      <w:r>
        <w:rPr>
          <w:spacing w:val="-5"/>
          <w:sz w:val="22"/>
        </w:rPr>
        <w:t> </w:t>
      </w:r>
      <w:r>
        <w:rPr>
          <w:sz w:val="22"/>
        </w:rPr>
        <w:t>forth</w:t>
      </w:r>
      <w:r>
        <w:rPr>
          <w:spacing w:val="-6"/>
          <w:sz w:val="22"/>
        </w:rPr>
        <w:t> </w:t>
      </w:r>
      <w:r>
        <w:rPr>
          <w:sz w:val="22"/>
        </w:rPr>
        <w:t>in</w:t>
      </w:r>
      <w:r>
        <w:rPr>
          <w:spacing w:val="-6"/>
          <w:sz w:val="22"/>
        </w:rPr>
        <w:t> </w:t>
      </w:r>
      <w:r>
        <w:rPr>
          <w:sz w:val="22"/>
        </w:rPr>
        <w:t>Exhibit</w:t>
      </w:r>
      <w:r>
        <w:rPr>
          <w:spacing w:val="-5"/>
          <w:sz w:val="22"/>
        </w:rPr>
        <w:t> </w:t>
      </w:r>
      <w:r>
        <w:rPr>
          <w:sz w:val="22"/>
        </w:rPr>
        <w:t>9.</w:t>
      </w:r>
      <w:r>
        <w:rPr>
          <w:spacing w:val="-8"/>
          <w:sz w:val="22"/>
        </w:rPr>
        <w:t> </w:t>
      </w:r>
      <w:r>
        <w:rPr>
          <w:sz w:val="22"/>
        </w:rPr>
        <w:t>The</w:t>
      </w:r>
      <w:r>
        <w:rPr>
          <w:spacing w:val="-6"/>
          <w:sz w:val="22"/>
        </w:rPr>
        <w:t> </w:t>
      </w:r>
      <w:r>
        <w:rPr>
          <w:sz w:val="22"/>
        </w:rPr>
        <w:t>State</w:t>
      </w:r>
      <w:r>
        <w:rPr>
          <w:spacing w:val="-6"/>
          <w:sz w:val="22"/>
        </w:rPr>
        <w:t> </w:t>
      </w:r>
      <w:r>
        <w:rPr>
          <w:sz w:val="22"/>
        </w:rPr>
        <w:t>may</w:t>
      </w:r>
      <w:r>
        <w:rPr>
          <w:spacing w:val="-6"/>
          <w:sz w:val="22"/>
        </w:rPr>
        <w:t> </w:t>
      </w:r>
      <w:r>
        <w:rPr>
          <w:sz w:val="22"/>
        </w:rPr>
        <w:t>vary</w:t>
      </w:r>
      <w:r>
        <w:rPr>
          <w:spacing w:val="-9"/>
          <w:sz w:val="22"/>
        </w:rPr>
        <w:t> </w:t>
      </w:r>
      <w:r>
        <w:rPr>
          <w:sz w:val="22"/>
        </w:rPr>
        <w:t>these</w:t>
      </w:r>
      <w:r>
        <w:rPr>
          <w:spacing w:val="-6"/>
          <w:sz w:val="22"/>
        </w:rPr>
        <w:t> </w:t>
      </w:r>
      <w:r>
        <w:rPr>
          <w:sz w:val="22"/>
        </w:rPr>
        <w:t>PMPMs</w:t>
      </w:r>
      <w:r>
        <w:rPr>
          <w:spacing w:val="-6"/>
          <w:sz w:val="22"/>
        </w:rPr>
        <w:t> </w:t>
      </w:r>
      <w:r>
        <w:rPr>
          <w:sz w:val="22"/>
        </w:rPr>
        <w:t>in its discretion without obtaining CMS approval. If an ACO’s contract with the State is terminated midway through a budget period due to the ACO leaving the ACO program, then the State at its discretion may provide new flexible services funding to the leaving ACO.</w:t>
      </w:r>
      <w:r>
        <w:rPr>
          <w:spacing w:val="40"/>
          <w:sz w:val="22"/>
        </w:rPr>
        <w:t> </w:t>
      </w:r>
      <w:r>
        <w:rPr>
          <w:sz w:val="22"/>
        </w:rPr>
        <w:t>If the State decides to provide new flexible services</w:t>
      </w:r>
      <w:r>
        <w:rPr>
          <w:spacing w:val="-4"/>
          <w:sz w:val="22"/>
        </w:rPr>
        <w:t> </w:t>
      </w:r>
      <w:r>
        <w:rPr>
          <w:sz w:val="22"/>
        </w:rPr>
        <w:t>funding</w:t>
      </w:r>
      <w:r>
        <w:rPr>
          <w:spacing w:val="-6"/>
          <w:sz w:val="22"/>
        </w:rPr>
        <w:t> </w:t>
      </w:r>
      <w:r>
        <w:rPr>
          <w:sz w:val="22"/>
        </w:rPr>
        <w:t>to</w:t>
      </w:r>
      <w:r>
        <w:rPr>
          <w:spacing w:val="-6"/>
          <w:sz w:val="22"/>
        </w:rPr>
        <w:t> </w:t>
      </w:r>
      <w:r>
        <w:rPr>
          <w:sz w:val="22"/>
        </w:rPr>
        <w:t>the</w:t>
      </w:r>
      <w:r>
        <w:rPr>
          <w:spacing w:val="-6"/>
          <w:sz w:val="22"/>
        </w:rPr>
        <w:t> </w:t>
      </w:r>
      <w:r>
        <w:rPr>
          <w:sz w:val="22"/>
        </w:rPr>
        <w:t>leaving</w:t>
      </w:r>
      <w:r>
        <w:rPr>
          <w:spacing w:val="-6"/>
          <w:sz w:val="22"/>
        </w:rPr>
        <w:t> </w:t>
      </w:r>
      <w:r>
        <w:rPr>
          <w:sz w:val="22"/>
        </w:rPr>
        <w:t>ACO,</w:t>
      </w:r>
      <w:r>
        <w:rPr>
          <w:spacing w:val="-4"/>
          <w:sz w:val="22"/>
        </w:rPr>
        <w:t> </w:t>
      </w:r>
      <w:r>
        <w:rPr>
          <w:sz w:val="22"/>
        </w:rPr>
        <w:t>then</w:t>
      </w:r>
      <w:r>
        <w:rPr>
          <w:spacing w:val="-6"/>
          <w:sz w:val="22"/>
        </w:rPr>
        <w:t> </w:t>
      </w:r>
      <w:r>
        <w:rPr>
          <w:sz w:val="22"/>
        </w:rPr>
        <w:t>different</w:t>
      </w:r>
      <w:r>
        <w:rPr>
          <w:spacing w:val="-5"/>
          <w:sz w:val="22"/>
        </w:rPr>
        <w:t> </w:t>
      </w:r>
      <w:r>
        <w:rPr>
          <w:sz w:val="22"/>
        </w:rPr>
        <w:t>flexible</w:t>
      </w:r>
      <w:r>
        <w:rPr>
          <w:spacing w:val="-4"/>
          <w:sz w:val="22"/>
        </w:rPr>
        <w:t> </w:t>
      </w:r>
      <w:r>
        <w:rPr>
          <w:sz w:val="22"/>
        </w:rPr>
        <w:t>services</w:t>
      </w:r>
      <w:r>
        <w:rPr>
          <w:spacing w:val="-4"/>
          <w:sz w:val="22"/>
        </w:rPr>
        <w:t> </w:t>
      </w:r>
      <w:r>
        <w:rPr>
          <w:sz w:val="22"/>
        </w:rPr>
        <w:t>base</w:t>
      </w:r>
      <w:r>
        <w:rPr>
          <w:spacing w:val="-4"/>
          <w:sz w:val="22"/>
        </w:rPr>
        <w:t> </w:t>
      </w:r>
      <w:r>
        <w:rPr>
          <w:sz w:val="22"/>
        </w:rPr>
        <w:t>PMPM</w:t>
      </w:r>
      <w:r>
        <w:rPr>
          <w:spacing w:val="-8"/>
          <w:sz w:val="22"/>
        </w:rPr>
        <w:t> </w:t>
      </w:r>
      <w:r>
        <w:rPr>
          <w:sz w:val="22"/>
        </w:rPr>
        <w:t>rates</w:t>
      </w:r>
      <w:r>
        <w:rPr>
          <w:spacing w:val="-4"/>
          <w:sz w:val="22"/>
        </w:rPr>
        <w:t> </w:t>
      </w:r>
      <w:r>
        <w:rPr>
          <w:sz w:val="22"/>
        </w:rPr>
        <w:t>may</w:t>
      </w:r>
      <w:r>
        <w:rPr>
          <w:spacing w:val="-6"/>
          <w:sz w:val="22"/>
        </w:rPr>
        <w:t> </w:t>
      </w:r>
      <w:r>
        <w:rPr>
          <w:sz w:val="22"/>
        </w:rPr>
        <w:t>be</w:t>
      </w:r>
      <w:r>
        <w:rPr>
          <w:spacing w:val="-4"/>
          <w:sz w:val="22"/>
        </w:rPr>
        <w:t> </w:t>
      </w:r>
      <w:r>
        <w:rPr>
          <w:sz w:val="22"/>
        </w:rPr>
        <w:t>used</w:t>
      </w:r>
      <w:r>
        <w:rPr>
          <w:spacing w:val="-6"/>
          <w:sz w:val="22"/>
        </w:rPr>
        <w:t> </w:t>
      </w:r>
      <w:r>
        <w:rPr>
          <w:sz w:val="22"/>
        </w:rPr>
        <w:t>for</w:t>
      </w:r>
      <w:r>
        <w:rPr>
          <w:spacing w:val="-5"/>
          <w:sz w:val="22"/>
        </w:rPr>
        <w:t> </w:t>
      </w:r>
      <w:r>
        <w:rPr>
          <w:sz w:val="22"/>
        </w:rPr>
        <w:t>the leaving ACO and ACOs staying in the program.</w:t>
      </w:r>
    </w:p>
    <w:p>
      <w:pPr>
        <w:spacing w:after="0" w:line="240" w:lineRule="auto"/>
        <w:jc w:val="both"/>
        <w:rPr>
          <w:sz w:val="22"/>
        </w:rPr>
        <w:sectPr>
          <w:pgSz w:w="12240" w:h="15840"/>
          <w:pgMar w:header="0" w:footer="967" w:top="1360" w:bottom="1160" w:left="220" w:right="340"/>
        </w:sectPr>
      </w:pPr>
    </w:p>
    <w:p>
      <w:pPr>
        <w:spacing w:before="78" w:after="8"/>
        <w:ind w:left="1219" w:right="0" w:firstLine="0"/>
        <w:jc w:val="both"/>
        <w:rPr>
          <w:sz w:val="22"/>
        </w:rPr>
      </w:pPr>
      <w:r>
        <w:rPr/>
        <mc:AlternateContent>
          <mc:Choice Requires="wps">
            <w:drawing>
              <wp:anchor distT="0" distB="0" distL="0" distR="0" allowOverlap="1" layoutInCell="1" locked="0" behindDoc="0" simplePos="0" relativeHeight="16140288">
                <wp:simplePos x="0" y="0"/>
                <wp:positionH relativeFrom="page">
                  <wp:posOffset>918972</wp:posOffset>
                </wp:positionH>
                <wp:positionV relativeFrom="paragraph">
                  <wp:posOffset>210366</wp:posOffset>
                </wp:positionV>
                <wp:extent cx="5943600" cy="6350"/>
                <wp:effectExtent l="0" t="0" r="0" b="0"/>
                <wp:wrapNone/>
                <wp:docPr id="855" name="Graphic 855"/>
                <wp:cNvGraphicFramePr>
                  <a:graphicFrameLocks/>
                </wp:cNvGraphicFramePr>
                <a:graphic>
                  <a:graphicData uri="http://schemas.microsoft.com/office/word/2010/wordprocessingShape">
                    <wps:wsp>
                      <wps:cNvPr id="855" name="Graphic 855"/>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360001pt;margin-top:16.56427pt;width:468pt;height:.48pt;mso-position-horizontal-relative:page;mso-position-vertical-relative:paragraph;z-index:16140288" id="docshape75" filled="true" fillcolor="#000000" stroked="false">
                <v:fill type="solid"/>
                <w10:wrap type="none"/>
              </v:rect>
            </w:pict>
          </mc:Fallback>
        </mc:AlternateContent>
      </w:r>
      <w:r>
        <w:rPr>
          <w:sz w:val="22"/>
        </w:rPr>
        <w:t>EXHIBIT</w:t>
      </w:r>
      <w:r>
        <w:rPr>
          <w:spacing w:val="-1"/>
          <w:sz w:val="22"/>
        </w:rPr>
        <w:t> </w:t>
      </w:r>
      <w:r>
        <w:rPr>
          <w:sz w:val="22"/>
        </w:rPr>
        <w:t>9</w:t>
      </w:r>
      <w:r>
        <w:rPr>
          <w:spacing w:val="-3"/>
          <w:sz w:val="22"/>
        </w:rPr>
        <w:t> </w:t>
      </w:r>
      <w:r>
        <w:rPr>
          <w:sz w:val="22"/>
        </w:rPr>
        <w:t>–</w:t>
      </w:r>
      <w:r>
        <w:rPr>
          <w:spacing w:val="-2"/>
          <w:sz w:val="22"/>
        </w:rPr>
        <w:t> </w:t>
      </w:r>
      <w:r>
        <w:rPr>
          <w:sz w:val="22"/>
        </w:rPr>
        <w:t>PMPMs</w:t>
      </w:r>
      <w:r>
        <w:rPr>
          <w:spacing w:val="-5"/>
          <w:sz w:val="22"/>
        </w:rPr>
        <w:t> </w:t>
      </w:r>
      <w:r>
        <w:rPr>
          <w:sz w:val="22"/>
        </w:rPr>
        <w:t>for</w:t>
      </w:r>
      <w:r>
        <w:rPr>
          <w:spacing w:val="-6"/>
          <w:sz w:val="22"/>
        </w:rPr>
        <w:t> </w:t>
      </w:r>
      <w:r>
        <w:rPr>
          <w:sz w:val="22"/>
        </w:rPr>
        <w:t>Flexible</w:t>
      </w:r>
      <w:r>
        <w:rPr>
          <w:spacing w:val="-2"/>
          <w:sz w:val="22"/>
        </w:rPr>
        <w:t> Services</w:t>
      </w:r>
    </w:p>
    <w:tbl>
      <w:tblPr>
        <w:tblW w:w="0" w:type="auto"/>
        <w:jc w:val="left"/>
        <w:tblInd w:w="1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54"/>
        <w:gridCol w:w="1305"/>
        <w:gridCol w:w="911"/>
        <w:gridCol w:w="913"/>
        <w:gridCol w:w="911"/>
        <w:gridCol w:w="913"/>
        <w:gridCol w:w="920"/>
        <w:gridCol w:w="1738"/>
      </w:tblGrid>
      <w:tr>
        <w:trPr>
          <w:trHeight w:val="407" w:hRule="atLeast"/>
        </w:trPr>
        <w:tc>
          <w:tcPr>
            <w:tcW w:w="1754" w:type="dxa"/>
            <w:vMerge w:val="restart"/>
            <w:tcBorders>
              <w:top w:val="nil"/>
              <w:left w:val="nil"/>
              <w:right w:val="single" w:sz="8" w:space="0" w:color="BEBEBE"/>
            </w:tcBorders>
          </w:tcPr>
          <w:p>
            <w:pPr>
              <w:pStyle w:val="TableParagraph"/>
              <w:rPr>
                <w:sz w:val="20"/>
              </w:rPr>
            </w:pPr>
          </w:p>
        </w:tc>
        <w:tc>
          <w:tcPr>
            <w:tcW w:w="5873" w:type="dxa"/>
            <w:gridSpan w:val="6"/>
            <w:tcBorders>
              <w:top w:val="single" w:sz="8" w:space="0" w:color="BEBEBE"/>
              <w:left w:val="single" w:sz="8" w:space="0" w:color="BEBEBE"/>
              <w:bottom w:val="single" w:sz="4" w:space="0" w:color="BEBEBE"/>
              <w:right w:val="single" w:sz="8" w:space="0" w:color="BEBEBE"/>
            </w:tcBorders>
            <w:shd w:val="clear" w:color="auto" w:fill="1F487C"/>
          </w:tcPr>
          <w:p>
            <w:pPr>
              <w:pStyle w:val="TableParagraph"/>
              <w:ind w:left="1689"/>
              <w:rPr>
                <w:b/>
                <w:sz w:val="20"/>
              </w:rPr>
            </w:pPr>
            <w:r>
              <w:rPr>
                <w:b/>
                <w:color w:val="FFFFFF"/>
                <w:sz w:val="20"/>
              </w:rPr>
              <w:t>PMPMs</w:t>
            </w:r>
            <w:r>
              <w:rPr>
                <w:b/>
                <w:color w:val="FFFFFF"/>
                <w:spacing w:val="-8"/>
                <w:sz w:val="20"/>
              </w:rPr>
              <w:t> </w:t>
            </w:r>
            <w:r>
              <w:rPr>
                <w:b/>
                <w:color w:val="FFFFFF"/>
                <w:sz w:val="20"/>
              </w:rPr>
              <w:t>for</w:t>
            </w:r>
            <w:r>
              <w:rPr>
                <w:b/>
                <w:color w:val="FFFFFF"/>
                <w:spacing w:val="-6"/>
                <w:sz w:val="20"/>
              </w:rPr>
              <w:t> </w:t>
            </w:r>
            <w:r>
              <w:rPr>
                <w:b/>
                <w:color w:val="FFFFFF"/>
                <w:sz w:val="20"/>
              </w:rPr>
              <w:t>Flexible</w:t>
            </w:r>
            <w:r>
              <w:rPr>
                <w:b/>
                <w:color w:val="FFFFFF"/>
                <w:spacing w:val="-7"/>
                <w:sz w:val="20"/>
              </w:rPr>
              <w:t> </w:t>
            </w:r>
            <w:r>
              <w:rPr>
                <w:b/>
                <w:color w:val="FFFFFF"/>
                <w:spacing w:val="-2"/>
                <w:sz w:val="20"/>
              </w:rPr>
              <w:t>Services</w:t>
            </w:r>
          </w:p>
        </w:tc>
        <w:tc>
          <w:tcPr>
            <w:tcW w:w="1738" w:type="dxa"/>
            <w:vMerge w:val="restart"/>
            <w:tcBorders>
              <w:top w:val="nil"/>
              <w:left w:val="single" w:sz="8" w:space="0" w:color="BEBEBE"/>
              <w:right w:val="nil"/>
            </w:tcBorders>
          </w:tcPr>
          <w:p>
            <w:pPr>
              <w:pStyle w:val="TableParagraph"/>
              <w:rPr>
                <w:sz w:val="20"/>
              </w:rPr>
            </w:pPr>
          </w:p>
        </w:tc>
      </w:tr>
      <w:tr>
        <w:trPr>
          <w:trHeight w:val="407" w:hRule="atLeast"/>
        </w:trPr>
        <w:tc>
          <w:tcPr>
            <w:tcW w:w="1754" w:type="dxa"/>
            <w:vMerge/>
            <w:tcBorders>
              <w:top w:val="nil"/>
              <w:left w:val="nil"/>
              <w:right w:val="single" w:sz="8" w:space="0" w:color="BEBEBE"/>
            </w:tcBorders>
          </w:tcPr>
          <w:p>
            <w:pPr>
              <w:rPr>
                <w:sz w:val="2"/>
                <w:szCs w:val="2"/>
              </w:rPr>
            </w:pPr>
          </w:p>
        </w:tc>
        <w:tc>
          <w:tcPr>
            <w:tcW w:w="1305" w:type="dxa"/>
            <w:tcBorders>
              <w:top w:val="single" w:sz="4" w:space="0" w:color="BEBEBE"/>
              <w:left w:val="single" w:sz="8" w:space="0" w:color="BEBEBE"/>
              <w:bottom w:val="single" w:sz="4" w:space="0" w:color="BEBEBE"/>
              <w:right w:val="single" w:sz="4" w:space="0" w:color="BEBEBE"/>
            </w:tcBorders>
            <w:shd w:val="clear" w:color="auto" w:fill="D9D9D9"/>
          </w:tcPr>
          <w:p>
            <w:pPr>
              <w:pStyle w:val="TableParagraph"/>
              <w:ind w:left="179" w:right="183"/>
              <w:jc w:val="center"/>
              <w:rPr>
                <w:b/>
                <w:sz w:val="20"/>
              </w:rPr>
            </w:pPr>
            <w:r>
              <w:rPr>
                <w:b/>
                <w:sz w:val="20"/>
              </w:rPr>
              <w:t>Prep</w:t>
            </w:r>
            <w:r>
              <w:rPr>
                <w:b/>
                <w:spacing w:val="-5"/>
                <w:sz w:val="20"/>
              </w:rPr>
              <w:t> BP</w:t>
            </w:r>
          </w:p>
        </w:tc>
        <w:tc>
          <w:tcPr>
            <w:tcW w:w="911"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ind w:left="250"/>
              <w:rPr>
                <w:b/>
                <w:sz w:val="20"/>
              </w:rPr>
            </w:pPr>
            <w:r>
              <w:rPr>
                <w:b/>
                <w:sz w:val="20"/>
              </w:rPr>
              <w:t>BP</w:t>
            </w:r>
            <w:r>
              <w:rPr>
                <w:b/>
                <w:spacing w:val="-1"/>
                <w:sz w:val="20"/>
              </w:rPr>
              <w:t> </w:t>
            </w:r>
            <w:r>
              <w:rPr>
                <w:b/>
                <w:spacing w:val="-10"/>
                <w:sz w:val="20"/>
              </w:rPr>
              <w:t>1</w:t>
            </w:r>
          </w:p>
        </w:tc>
        <w:tc>
          <w:tcPr>
            <w:tcW w:w="913"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ind w:left="248"/>
              <w:rPr>
                <w:b/>
                <w:sz w:val="20"/>
              </w:rPr>
            </w:pPr>
            <w:r>
              <w:rPr>
                <w:b/>
                <w:sz w:val="20"/>
              </w:rPr>
              <w:t>BP</w:t>
            </w:r>
            <w:r>
              <w:rPr>
                <w:b/>
                <w:spacing w:val="-1"/>
                <w:sz w:val="20"/>
              </w:rPr>
              <w:t> </w:t>
            </w:r>
            <w:r>
              <w:rPr>
                <w:b/>
                <w:spacing w:val="-10"/>
                <w:sz w:val="20"/>
              </w:rPr>
              <w:t>2</w:t>
            </w:r>
          </w:p>
        </w:tc>
        <w:tc>
          <w:tcPr>
            <w:tcW w:w="911"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ind w:left="211" w:right="205"/>
              <w:jc w:val="center"/>
              <w:rPr>
                <w:b/>
                <w:sz w:val="20"/>
              </w:rPr>
            </w:pPr>
            <w:r>
              <w:rPr>
                <w:b/>
                <w:sz w:val="20"/>
              </w:rPr>
              <w:t>BP</w:t>
            </w:r>
            <w:r>
              <w:rPr>
                <w:b/>
                <w:spacing w:val="-1"/>
                <w:sz w:val="20"/>
              </w:rPr>
              <w:t> </w:t>
            </w:r>
            <w:r>
              <w:rPr>
                <w:b/>
                <w:spacing w:val="-10"/>
                <w:sz w:val="20"/>
              </w:rPr>
              <w:t>3</w:t>
            </w:r>
          </w:p>
        </w:tc>
        <w:tc>
          <w:tcPr>
            <w:tcW w:w="913"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ind w:left="212" w:right="206"/>
              <w:jc w:val="center"/>
              <w:rPr>
                <w:b/>
                <w:sz w:val="20"/>
              </w:rPr>
            </w:pPr>
            <w:r>
              <w:rPr>
                <w:b/>
                <w:sz w:val="20"/>
              </w:rPr>
              <w:t>BP</w:t>
            </w:r>
            <w:r>
              <w:rPr>
                <w:b/>
                <w:spacing w:val="-1"/>
                <w:sz w:val="20"/>
              </w:rPr>
              <w:t> </w:t>
            </w:r>
            <w:r>
              <w:rPr>
                <w:b/>
                <w:spacing w:val="-10"/>
                <w:sz w:val="20"/>
              </w:rPr>
              <w:t>4</w:t>
            </w:r>
          </w:p>
        </w:tc>
        <w:tc>
          <w:tcPr>
            <w:tcW w:w="920" w:type="dxa"/>
            <w:tcBorders>
              <w:top w:val="single" w:sz="4" w:space="0" w:color="BEBEBE"/>
              <w:left w:val="single" w:sz="4" w:space="0" w:color="BEBEBE"/>
              <w:bottom w:val="single" w:sz="4" w:space="0" w:color="BEBEBE"/>
              <w:right w:val="single" w:sz="8" w:space="0" w:color="BEBEBE"/>
            </w:tcBorders>
            <w:shd w:val="clear" w:color="auto" w:fill="D9D9D9"/>
          </w:tcPr>
          <w:p>
            <w:pPr>
              <w:pStyle w:val="TableParagraph"/>
              <w:ind w:left="222" w:right="201"/>
              <w:jc w:val="center"/>
              <w:rPr>
                <w:b/>
                <w:sz w:val="20"/>
              </w:rPr>
            </w:pPr>
            <w:r>
              <w:rPr>
                <w:b/>
                <w:sz w:val="20"/>
              </w:rPr>
              <w:t>BP</w:t>
            </w:r>
            <w:r>
              <w:rPr>
                <w:b/>
                <w:spacing w:val="-1"/>
                <w:sz w:val="20"/>
              </w:rPr>
              <w:t> </w:t>
            </w:r>
            <w:r>
              <w:rPr>
                <w:b/>
                <w:spacing w:val="-10"/>
                <w:sz w:val="20"/>
              </w:rPr>
              <w:t>5</w:t>
            </w:r>
          </w:p>
        </w:tc>
        <w:tc>
          <w:tcPr>
            <w:tcW w:w="1738" w:type="dxa"/>
            <w:vMerge/>
            <w:tcBorders>
              <w:top w:val="nil"/>
              <w:left w:val="single" w:sz="8" w:space="0" w:color="BEBEBE"/>
              <w:right w:val="nil"/>
            </w:tcBorders>
          </w:tcPr>
          <w:p>
            <w:pPr>
              <w:rPr>
                <w:sz w:val="2"/>
                <w:szCs w:val="2"/>
              </w:rPr>
            </w:pPr>
          </w:p>
        </w:tc>
      </w:tr>
      <w:tr>
        <w:trPr>
          <w:trHeight w:val="409" w:hRule="atLeast"/>
        </w:trPr>
        <w:tc>
          <w:tcPr>
            <w:tcW w:w="1754" w:type="dxa"/>
            <w:vMerge/>
            <w:tcBorders>
              <w:top w:val="nil"/>
              <w:left w:val="nil"/>
              <w:right w:val="single" w:sz="8" w:space="0" w:color="BEBEBE"/>
            </w:tcBorders>
          </w:tcPr>
          <w:p>
            <w:pPr>
              <w:rPr>
                <w:sz w:val="2"/>
                <w:szCs w:val="2"/>
              </w:rPr>
            </w:pPr>
          </w:p>
        </w:tc>
        <w:tc>
          <w:tcPr>
            <w:tcW w:w="1305" w:type="dxa"/>
            <w:tcBorders>
              <w:top w:val="single" w:sz="4" w:space="0" w:color="BEBEBE"/>
              <w:left w:val="single" w:sz="8" w:space="0" w:color="BEBEBE"/>
              <w:bottom w:val="single" w:sz="12" w:space="0" w:color="BEBEBE"/>
              <w:right w:val="single" w:sz="4" w:space="0" w:color="BEBEBE"/>
            </w:tcBorders>
          </w:tcPr>
          <w:p>
            <w:pPr>
              <w:pStyle w:val="TableParagraph"/>
              <w:ind w:left="179" w:right="183"/>
              <w:jc w:val="center"/>
              <w:rPr>
                <w:sz w:val="20"/>
              </w:rPr>
            </w:pPr>
            <w:r>
              <w:rPr>
                <w:spacing w:val="-2"/>
                <w:sz w:val="20"/>
              </w:rPr>
              <w:t>$0.00</w:t>
            </w:r>
          </w:p>
        </w:tc>
        <w:tc>
          <w:tcPr>
            <w:tcW w:w="911" w:type="dxa"/>
            <w:tcBorders>
              <w:top w:val="single" w:sz="4" w:space="0" w:color="BEBEBE"/>
              <w:left w:val="single" w:sz="4" w:space="0" w:color="BEBEBE"/>
              <w:bottom w:val="single" w:sz="12" w:space="0" w:color="BEBEBE"/>
              <w:right w:val="single" w:sz="4" w:space="0" w:color="BEBEBE"/>
            </w:tcBorders>
          </w:tcPr>
          <w:p>
            <w:pPr>
              <w:pStyle w:val="TableParagraph"/>
              <w:ind w:left="226"/>
              <w:rPr>
                <w:sz w:val="20"/>
              </w:rPr>
            </w:pPr>
            <w:r>
              <w:rPr>
                <w:spacing w:val="-2"/>
                <w:sz w:val="20"/>
              </w:rPr>
              <w:t>$3.75</w:t>
            </w:r>
          </w:p>
        </w:tc>
        <w:tc>
          <w:tcPr>
            <w:tcW w:w="913" w:type="dxa"/>
            <w:tcBorders>
              <w:top w:val="single" w:sz="4" w:space="0" w:color="BEBEBE"/>
              <w:left w:val="single" w:sz="4" w:space="0" w:color="BEBEBE"/>
              <w:bottom w:val="single" w:sz="12" w:space="0" w:color="BEBEBE"/>
              <w:right w:val="single" w:sz="4" w:space="0" w:color="BEBEBE"/>
            </w:tcBorders>
          </w:tcPr>
          <w:p>
            <w:pPr>
              <w:pStyle w:val="TableParagraph"/>
              <w:ind w:left="227"/>
              <w:rPr>
                <w:sz w:val="20"/>
              </w:rPr>
            </w:pPr>
            <w:r>
              <w:rPr>
                <w:spacing w:val="-2"/>
                <w:sz w:val="20"/>
              </w:rPr>
              <w:t>$3.25</w:t>
            </w:r>
          </w:p>
        </w:tc>
        <w:tc>
          <w:tcPr>
            <w:tcW w:w="911" w:type="dxa"/>
            <w:tcBorders>
              <w:top w:val="single" w:sz="4" w:space="0" w:color="BEBEBE"/>
              <w:left w:val="single" w:sz="4" w:space="0" w:color="BEBEBE"/>
              <w:bottom w:val="single" w:sz="12" w:space="0" w:color="BEBEBE"/>
              <w:right w:val="single" w:sz="4" w:space="0" w:color="BEBEBE"/>
            </w:tcBorders>
          </w:tcPr>
          <w:p>
            <w:pPr>
              <w:pStyle w:val="TableParagraph"/>
              <w:ind w:left="215" w:right="205"/>
              <w:jc w:val="center"/>
              <w:rPr>
                <w:sz w:val="20"/>
              </w:rPr>
            </w:pPr>
            <w:r>
              <w:rPr>
                <w:spacing w:val="-2"/>
                <w:sz w:val="20"/>
              </w:rPr>
              <w:t>$2.75</w:t>
            </w:r>
          </w:p>
        </w:tc>
        <w:tc>
          <w:tcPr>
            <w:tcW w:w="913" w:type="dxa"/>
            <w:tcBorders>
              <w:top w:val="single" w:sz="4" w:space="0" w:color="BEBEBE"/>
              <w:left w:val="single" w:sz="4" w:space="0" w:color="BEBEBE"/>
              <w:bottom w:val="single" w:sz="12" w:space="0" w:color="BEBEBE"/>
              <w:right w:val="single" w:sz="4" w:space="0" w:color="BEBEBE"/>
            </w:tcBorders>
          </w:tcPr>
          <w:p>
            <w:pPr>
              <w:pStyle w:val="TableParagraph"/>
              <w:ind w:left="216" w:right="206"/>
              <w:jc w:val="center"/>
              <w:rPr>
                <w:sz w:val="20"/>
              </w:rPr>
            </w:pPr>
            <w:r>
              <w:rPr>
                <w:spacing w:val="-2"/>
                <w:sz w:val="20"/>
              </w:rPr>
              <w:t>$2.25</w:t>
            </w:r>
          </w:p>
        </w:tc>
        <w:tc>
          <w:tcPr>
            <w:tcW w:w="920" w:type="dxa"/>
            <w:tcBorders>
              <w:top w:val="single" w:sz="4" w:space="0" w:color="BEBEBE"/>
              <w:left w:val="single" w:sz="4" w:space="0" w:color="BEBEBE"/>
              <w:bottom w:val="single" w:sz="12" w:space="0" w:color="BEBEBE"/>
              <w:right w:val="single" w:sz="8" w:space="0" w:color="BEBEBE"/>
            </w:tcBorders>
          </w:tcPr>
          <w:p>
            <w:pPr>
              <w:pStyle w:val="TableParagraph"/>
              <w:ind w:left="222" w:right="202"/>
              <w:jc w:val="center"/>
              <w:rPr>
                <w:sz w:val="20"/>
              </w:rPr>
            </w:pPr>
            <w:r>
              <w:rPr>
                <w:spacing w:val="-2"/>
                <w:sz w:val="20"/>
              </w:rPr>
              <w:t>$2.25</w:t>
            </w:r>
          </w:p>
        </w:tc>
        <w:tc>
          <w:tcPr>
            <w:tcW w:w="1738" w:type="dxa"/>
            <w:vMerge/>
            <w:tcBorders>
              <w:top w:val="nil"/>
              <w:left w:val="single" w:sz="8" w:space="0" w:color="BEBEBE"/>
              <w:right w:val="nil"/>
            </w:tcBorders>
          </w:tcPr>
          <w:p>
            <w:pPr>
              <w:rPr>
                <w:sz w:val="2"/>
                <w:szCs w:val="2"/>
              </w:rPr>
            </w:pPr>
          </w:p>
        </w:tc>
      </w:tr>
    </w:tbl>
    <w:p>
      <w:pPr>
        <w:pStyle w:val="BodyText"/>
      </w:pPr>
    </w:p>
    <w:p>
      <w:pPr>
        <w:pStyle w:val="ListParagraph"/>
        <w:numPr>
          <w:ilvl w:val="2"/>
          <w:numId w:val="68"/>
        </w:numPr>
        <w:tabs>
          <w:tab w:pos="1939" w:val="left" w:leader="none"/>
        </w:tabs>
        <w:spacing w:line="252" w:lineRule="exact" w:before="181" w:after="0"/>
        <w:ind w:left="1939" w:right="0" w:hanging="719"/>
        <w:jc w:val="left"/>
        <w:rPr>
          <w:b/>
          <w:color w:val="4471C4"/>
          <w:sz w:val="22"/>
        </w:rPr>
      </w:pPr>
      <w:bookmarkStart w:name="4.4.3 ACO Sub-Stream 4: DSTI Glide Path " w:id="1314"/>
      <w:bookmarkEnd w:id="1314"/>
      <w:r>
        <w:rPr/>
      </w:r>
      <w:bookmarkStart w:name="_bookmark51" w:id="1315"/>
      <w:bookmarkEnd w:id="1315"/>
      <w:r>
        <w:rPr/>
      </w:r>
      <w:r>
        <w:rPr>
          <w:b/>
          <w:color w:val="4471C4"/>
          <w:sz w:val="22"/>
        </w:rPr>
        <w:t>ACO</w:t>
      </w:r>
      <w:r>
        <w:rPr>
          <w:b/>
          <w:color w:val="4471C4"/>
          <w:spacing w:val="-3"/>
          <w:sz w:val="22"/>
        </w:rPr>
        <w:t> </w:t>
      </w:r>
      <w:r>
        <w:rPr>
          <w:b/>
          <w:color w:val="4471C4"/>
          <w:sz w:val="22"/>
        </w:rPr>
        <w:t>Sub-Stream</w:t>
      </w:r>
      <w:r>
        <w:rPr>
          <w:b/>
          <w:color w:val="4471C4"/>
          <w:spacing w:val="-2"/>
          <w:sz w:val="22"/>
        </w:rPr>
        <w:t> </w:t>
      </w:r>
      <w:r>
        <w:rPr>
          <w:b/>
          <w:color w:val="4471C4"/>
          <w:sz w:val="22"/>
        </w:rPr>
        <w:t>4:</w:t>
      </w:r>
      <w:r>
        <w:rPr>
          <w:b/>
          <w:color w:val="4471C4"/>
          <w:spacing w:val="-3"/>
          <w:sz w:val="22"/>
        </w:rPr>
        <w:t> </w:t>
      </w:r>
      <w:r>
        <w:rPr>
          <w:b/>
          <w:color w:val="4471C4"/>
          <w:sz w:val="22"/>
        </w:rPr>
        <w:t>DSTI</w:t>
      </w:r>
      <w:r>
        <w:rPr>
          <w:b/>
          <w:color w:val="4471C4"/>
          <w:spacing w:val="-3"/>
          <w:sz w:val="22"/>
        </w:rPr>
        <w:t> </w:t>
      </w:r>
      <w:r>
        <w:rPr>
          <w:b/>
          <w:color w:val="4471C4"/>
          <w:sz w:val="22"/>
        </w:rPr>
        <w:t>Glide</w:t>
      </w:r>
      <w:r>
        <w:rPr>
          <w:b/>
          <w:color w:val="4471C4"/>
          <w:spacing w:val="-8"/>
          <w:sz w:val="22"/>
        </w:rPr>
        <w:t> </w:t>
      </w:r>
      <w:r>
        <w:rPr>
          <w:b/>
          <w:color w:val="4471C4"/>
          <w:sz w:val="22"/>
        </w:rPr>
        <w:t>Path</w:t>
      </w:r>
      <w:r>
        <w:rPr>
          <w:b/>
          <w:color w:val="4471C4"/>
          <w:spacing w:val="-6"/>
          <w:sz w:val="22"/>
        </w:rPr>
        <w:t> </w:t>
      </w:r>
      <w:r>
        <w:rPr>
          <w:b/>
          <w:color w:val="4471C4"/>
          <w:spacing w:val="-2"/>
          <w:sz w:val="22"/>
        </w:rPr>
        <w:t>Funding</w:t>
      </w:r>
    </w:p>
    <w:p>
      <w:pPr>
        <w:spacing w:line="244" w:lineRule="auto" w:before="0"/>
        <w:ind w:left="1220" w:right="1095" w:firstLine="0"/>
        <w:jc w:val="both"/>
        <w:rPr>
          <w:sz w:val="22"/>
        </w:rPr>
      </w:pPr>
      <w:r>
        <w:rPr>
          <w:sz w:val="22"/>
        </w:rPr>
        <w:t>The</w:t>
      </w:r>
      <w:r>
        <w:rPr>
          <w:spacing w:val="-1"/>
          <w:sz w:val="22"/>
        </w:rPr>
        <w:t> </w:t>
      </w:r>
      <w:r>
        <w:rPr>
          <w:sz w:val="22"/>
        </w:rPr>
        <w:t>amount of DSTI</w:t>
      </w:r>
      <w:r>
        <w:rPr>
          <w:spacing w:val="-3"/>
          <w:sz w:val="22"/>
        </w:rPr>
        <w:t> </w:t>
      </w:r>
      <w:r>
        <w:rPr>
          <w:sz w:val="22"/>
        </w:rPr>
        <w:t>glide</w:t>
      </w:r>
      <w:r>
        <w:rPr>
          <w:spacing w:val="-1"/>
          <w:sz w:val="22"/>
        </w:rPr>
        <w:t> </w:t>
      </w:r>
      <w:r>
        <w:rPr>
          <w:sz w:val="22"/>
        </w:rPr>
        <w:t>path</w:t>
      </w:r>
      <w:r>
        <w:rPr>
          <w:spacing w:val="-1"/>
          <w:sz w:val="22"/>
        </w:rPr>
        <w:t> </w:t>
      </w:r>
      <w:r>
        <w:rPr>
          <w:sz w:val="22"/>
        </w:rPr>
        <w:t>funding</w:t>
      </w:r>
      <w:r>
        <w:rPr>
          <w:spacing w:val="-1"/>
          <w:sz w:val="22"/>
        </w:rPr>
        <w:t> </w:t>
      </w:r>
      <w:r>
        <w:rPr>
          <w:sz w:val="22"/>
        </w:rPr>
        <w:t>the State will pay</w:t>
      </w:r>
      <w:r>
        <w:rPr>
          <w:spacing w:val="-1"/>
          <w:sz w:val="22"/>
        </w:rPr>
        <w:t> </w:t>
      </w:r>
      <w:r>
        <w:rPr>
          <w:sz w:val="22"/>
        </w:rPr>
        <w:t>to each safety</w:t>
      </w:r>
      <w:r>
        <w:rPr>
          <w:spacing w:val="-1"/>
          <w:sz w:val="22"/>
        </w:rPr>
        <w:t> </w:t>
      </w:r>
      <w:r>
        <w:rPr>
          <w:sz w:val="22"/>
        </w:rPr>
        <w:t>net hospital is</w:t>
      </w:r>
      <w:r>
        <w:rPr>
          <w:spacing w:val="-1"/>
          <w:sz w:val="22"/>
        </w:rPr>
        <w:t> </w:t>
      </w:r>
      <w:r>
        <w:rPr>
          <w:sz w:val="22"/>
        </w:rPr>
        <w:t>detailed</w:t>
      </w:r>
      <w:r>
        <w:rPr>
          <w:spacing w:val="-1"/>
          <w:sz w:val="22"/>
        </w:rPr>
        <w:t> </w:t>
      </w:r>
      <w:r>
        <w:rPr>
          <w:sz w:val="22"/>
        </w:rPr>
        <w:t>in Exhibit 10 below.</w:t>
      </w:r>
    </w:p>
    <w:p>
      <w:pPr>
        <w:spacing w:before="192" w:after="5"/>
        <w:ind w:left="1220" w:right="0" w:firstLine="0"/>
        <w:jc w:val="both"/>
        <w:rPr>
          <w:sz w:val="22"/>
        </w:rPr>
      </w:pPr>
      <w:r>
        <w:rPr/>
        <mc:AlternateContent>
          <mc:Choice Requires="wps">
            <w:drawing>
              <wp:anchor distT="0" distB="0" distL="0" distR="0" allowOverlap="1" layoutInCell="1" locked="0" behindDoc="0" simplePos="0" relativeHeight="16140800">
                <wp:simplePos x="0" y="0"/>
                <wp:positionH relativeFrom="page">
                  <wp:posOffset>914400</wp:posOffset>
                </wp:positionH>
                <wp:positionV relativeFrom="paragraph">
                  <wp:posOffset>283005</wp:posOffset>
                </wp:positionV>
                <wp:extent cx="6330950" cy="6350"/>
                <wp:effectExtent l="0" t="0" r="0" b="0"/>
                <wp:wrapNone/>
                <wp:docPr id="856" name="Graphic 856"/>
                <wp:cNvGraphicFramePr>
                  <a:graphicFrameLocks/>
                </wp:cNvGraphicFramePr>
                <a:graphic>
                  <a:graphicData uri="http://schemas.microsoft.com/office/word/2010/wordprocessingShape">
                    <wps:wsp>
                      <wps:cNvPr id="856" name="Graphic 856"/>
                      <wps:cNvSpPr/>
                      <wps:spPr>
                        <a:xfrm>
                          <a:off x="0" y="0"/>
                          <a:ext cx="6330950" cy="6350"/>
                        </a:xfrm>
                        <a:custGeom>
                          <a:avLst/>
                          <a:gdLst/>
                          <a:ahLst/>
                          <a:cxnLst/>
                          <a:rect l="l" t="t" r="r" b="b"/>
                          <a:pathLst>
                            <a:path w="6330950" h="6350">
                              <a:moveTo>
                                <a:pt x="6330696" y="0"/>
                              </a:moveTo>
                              <a:lnTo>
                                <a:pt x="0" y="0"/>
                              </a:lnTo>
                              <a:lnTo>
                                <a:pt x="0" y="6096"/>
                              </a:lnTo>
                              <a:lnTo>
                                <a:pt x="6330696" y="6096"/>
                              </a:lnTo>
                              <a:lnTo>
                                <a:pt x="63306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2.283926pt;width:498.48pt;height:.48pt;mso-position-horizontal-relative:page;mso-position-vertical-relative:paragraph;z-index:16140800" id="docshape76" filled="true" fillcolor="#000000" stroked="false">
                <v:fill type="solid"/>
                <w10:wrap type="none"/>
              </v:rect>
            </w:pict>
          </mc:Fallback>
        </mc:AlternateContent>
      </w:r>
      <w:r>
        <w:rPr>
          <w:sz w:val="22"/>
        </w:rPr>
        <w:t>EXHIBIT</w:t>
      </w:r>
      <w:r>
        <w:rPr>
          <w:spacing w:val="-3"/>
          <w:sz w:val="22"/>
        </w:rPr>
        <w:t> </w:t>
      </w:r>
      <w:r>
        <w:rPr>
          <w:sz w:val="22"/>
        </w:rPr>
        <w:t>10</w:t>
      </w:r>
      <w:r>
        <w:rPr>
          <w:spacing w:val="-2"/>
          <w:sz w:val="22"/>
        </w:rPr>
        <w:t> </w:t>
      </w:r>
      <w:r>
        <w:rPr>
          <w:sz w:val="22"/>
        </w:rPr>
        <w:t>–</w:t>
      </w:r>
      <w:r>
        <w:rPr>
          <w:spacing w:val="-3"/>
          <w:sz w:val="22"/>
        </w:rPr>
        <w:t> </w:t>
      </w:r>
      <w:r>
        <w:rPr>
          <w:sz w:val="22"/>
        </w:rPr>
        <w:t>DSTI</w:t>
      </w:r>
      <w:r>
        <w:rPr>
          <w:spacing w:val="-6"/>
          <w:sz w:val="22"/>
        </w:rPr>
        <w:t> </w:t>
      </w:r>
      <w:r>
        <w:rPr>
          <w:sz w:val="22"/>
        </w:rPr>
        <w:t>Glide</w:t>
      </w:r>
      <w:r>
        <w:rPr>
          <w:spacing w:val="-4"/>
          <w:sz w:val="22"/>
        </w:rPr>
        <w:t> </w:t>
      </w:r>
      <w:r>
        <w:rPr>
          <w:sz w:val="22"/>
        </w:rPr>
        <w:t>Path</w:t>
      </w:r>
      <w:r>
        <w:rPr>
          <w:spacing w:val="-2"/>
          <w:sz w:val="22"/>
        </w:rPr>
        <w:t> </w:t>
      </w:r>
      <w:r>
        <w:rPr>
          <w:sz w:val="22"/>
        </w:rPr>
        <w:t>Funding</w:t>
      </w:r>
      <w:r>
        <w:rPr>
          <w:spacing w:val="-6"/>
          <w:sz w:val="22"/>
        </w:rPr>
        <w:t> </w:t>
      </w:r>
      <w:r>
        <w:rPr>
          <w:sz w:val="22"/>
        </w:rPr>
        <w:t>by</w:t>
      </w:r>
      <w:r>
        <w:rPr>
          <w:spacing w:val="-5"/>
          <w:sz w:val="22"/>
        </w:rPr>
        <w:t> </w:t>
      </w:r>
      <w:r>
        <w:rPr>
          <w:sz w:val="22"/>
        </w:rPr>
        <w:t>State</w:t>
      </w:r>
      <w:r>
        <w:rPr>
          <w:spacing w:val="-2"/>
          <w:sz w:val="22"/>
        </w:rPr>
        <w:t> </w:t>
      </w:r>
      <w:r>
        <w:rPr>
          <w:sz w:val="22"/>
        </w:rPr>
        <w:t>Fiscal</w:t>
      </w:r>
      <w:r>
        <w:rPr>
          <w:spacing w:val="-2"/>
          <w:sz w:val="22"/>
        </w:rPr>
        <w:t> </w:t>
      </w:r>
      <w:r>
        <w:rPr>
          <w:sz w:val="22"/>
        </w:rPr>
        <w:t>Year</w:t>
      </w:r>
      <w:r>
        <w:rPr>
          <w:spacing w:val="-1"/>
          <w:sz w:val="22"/>
        </w:rPr>
        <w:t> </w:t>
      </w:r>
      <w:r>
        <w:rPr>
          <w:sz w:val="22"/>
        </w:rPr>
        <w:t>($</w:t>
      </w:r>
      <w:r>
        <w:rPr>
          <w:spacing w:val="-2"/>
          <w:sz w:val="22"/>
        </w:rPr>
        <w:t> Millions)</w:t>
      </w:r>
    </w:p>
    <w:tbl>
      <w:tblPr>
        <w:tblW w:w="0" w:type="auto"/>
        <w:jc w:val="left"/>
        <w:tblInd w:w="1348" w:type="dxa"/>
        <w:tblBorders>
          <w:top w:val="single" w:sz="8" w:space="0" w:color="BEBEBE"/>
          <w:left w:val="single" w:sz="8" w:space="0" w:color="BEBEBE"/>
          <w:bottom w:val="single" w:sz="8" w:space="0" w:color="BEBEBE"/>
          <w:right w:val="single" w:sz="8" w:space="0" w:color="BEBEBE"/>
          <w:insideH w:val="single" w:sz="8" w:space="0" w:color="BEBEBE"/>
          <w:insideV w:val="single" w:sz="8" w:space="0" w:color="BEBEBE"/>
        </w:tblBorders>
        <w:tblLayout w:type="fixed"/>
        <w:tblCellMar>
          <w:top w:w="0" w:type="dxa"/>
          <w:left w:w="0" w:type="dxa"/>
          <w:bottom w:w="0" w:type="dxa"/>
          <w:right w:w="0" w:type="dxa"/>
        </w:tblCellMar>
        <w:tblLook w:val="01E0"/>
      </w:tblPr>
      <w:tblGrid>
        <w:gridCol w:w="2921"/>
        <w:gridCol w:w="979"/>
        <w:gridCol w:w="981"/>
        <w:gridCol w:w="979"/>
        <w:gridCol w:w="979"/>
        <w:gridCol w:w="981"/>
        <w:gridCol w:w="979"/>
        <w:gridCol w:w="1051"/>
      </w:tblGrid>
      <w:tr>
        <w:trPr>
          <w:trHeight w:val="412" w:hRule="atLeast"/>
        </w:trPr>
        <w:tc>
          <w:tcPr>
            <w:tcW w:w="8799" w:type="dxa"/>
            <w:gridSpan w:val="7"/>
            <w:shd w:val="clear" w:color="auto" w:fill="1F487C"/>
          </w:tcPr>
          <w:p>
            <w:pPr>
              <w:pStyle w:val="TableParagraph"/>
              <w:spacing w:before="5"/>
              <w:ind w:left="2185" w:right="2165"/>
              <w:jc w:val="center"/>
              <w:rPr>
                <w:b/>
                <w:sz w:val="20"/>
              </w:rPr>
            </w:pPr>
            <w:r>
              <w:rPr>
                <w:b/>
                <w:color w:val="FFFFFF"/>
                <w:sz w:val="20"/>
              </w:rPr>
              <w:t>DSTI</w:t>
            </w:r>
            <w:r>
              <w:rPr>
                <w:b/>
                <w:color w:val="FFFFFF"/>
                <w:spacing w:val="-6"/>
                <w:sz w:val="20"/>
              </w:rPr>
              <w:t> </w:t>
            </w:r>
            <w:r>
              <w:rPr>
                <w:b/>
                <w:color w:val="FFFFFF"/>
                <w:sz w:val="20"/>
              </w:rPr>
              <w:t>Glide</w:t>
            </w:r>
            <w:r>
              <w:rPr>
                <w:b/>
                <w:color w:val="FFFFFF"/>
                <w:spacing w:val="-5"/>
                <w:sz w:val="20"/>
              </w:rPr>
              <w:t> </w:t>
            </w:r>
            <w:r>
              <w:rPr>
                <w:b/>
                <w:color w:val="FFFFFF"/>
                <w:sz w:val="20"/>
              </w:rPr>
              <w:t>Path</w:t>
            </w:r>
            <w:r>
              <w:rPr>
                <w:b/>
                <w:color w:val="FFFFFF"/>
                <w:spacing w:val="-6"/>
                <w:sz w:val="20"/>
              </w:rPr>
              <w:t> </w:t>
            </w:r>
            <w:r>
              <w:rPr>
                <w:b/>
                <w:color w:val="FFFFFF"/>
                <w:sz w:val="20"/>
              </w:rPr>
              <w:t>Funding</w:t>
            </w:r>
            <w:r>
              <w:rPr>
                <w:b/>
                <w:color w:val="FFFFFF"/>
                <w:spacing w:val="-4"/>
                <w:sz w:val="20"/>
              </w:rPr>
              <w:t> </w:t>
            </w:r>
            <w:r>
              <w:rPr>
                <w:b/>
                <w:color w:val="FFFFFF"/>
                <w:sz w:val="20"/>
              </w:rPr>
              <w:t>($M)</w:t>
            </w:r>
            <w:r>
              <w:rPr>
                <w:b/>
                <w:color w:val="FFFFFF"/>
                <w:spacing w:val="-4"/>
                <w:sz w:val="20"/>
              </w:rPr>
              <w:t> </w:t>
            </w:r>
            <w:r>
              <w:rPr>
                <w:b/>
                <w:color w:val="FFFFFF"/>
                <w:sz w:val="20"/>
              </w:rPr>
              <w:t>by</w:t>
            </w:r>
            <w:r>
              <w:rPr>
                <w:b/>
                <w:color w:val="FFFFFF"/>
                <w:spacing w:val="-4"/>
                <w:sz w:val="20"/>
              </w:rPr>
              <w:t> </w:t>
            </w:r>
            <w:r>
              <w:rPr>
                <w:b/>
                <w:color w:val="FFFFFF"/>
                <w:sz w:val="20"/>
              </w:rPr>
              <w:t>State</w:t>
            </w:r>
            <w:r>
              <w:rPr>
                <w:b/>
                <w:color w:val="FFFFFF"/>
                <w:spacing w:val="-7"/>
                <w:sz w:val="20"/>
              </w:rPr>
              <w:t> </w:t>
            </w:r>
            <w:r>
              <w:rPr>
                <w:b/>
                <w:color w:val="FFFFFF"/>
                <w:sz w:val="20"/>
              </w:rPr>
              <w:t>Fiscal</w:t>
            </w:r>
            <w:r>
              <w:rPr>
                <w:b/>
                <w:color w:val="FFFFFF"/>
                <w:spacing w:val="-5"/>
                <w:sz w:val="20"/>
              </w:rPr>
              <w:t> </w:t>
            </w:r>
            <w:r>
              <w:rPr>
                <w:b/>
                <w:color w:val="FFFFFF"/>
                <w:spacing w:val="-4"/>
                <w:sz w:val="20"/>
              </w:rPr>
              <w:t>Year</w:t>
            </w:r>
          </w:p>
        </w:tc>
        <w:tc>
          <w:tcPr>
            <w:tcW w:w="1051" w:type="dxa"/>
            <w:vMerge w:val="restart"/>
            <w:tcBorders>
              <w:top w:val="single" w:sz="4" w:space="0" w:color="000000"/>
              <w:bottom w:val="single" w:sz="4" w:space="0" w:color="000000"/>
              <w:right w:val="nil"/>
            </w:tcBorders>
          </w:tcPr>
          <w:p>
            <w:pPr>
              <w:pStyle w:val="TableParagraph"/>
              <w:rPr>
                <w:sz w:val="20"/>
              </w:rPr>
            </w:pPr>
          </w:p>
        </w:tc>
      </w:tr>
      <w:tr>
        <w:trPr>
          <w:trHeight w:val="409" w:hRule="atLeast"/>
        </w:trPr>
        <w:tc>
          <w:tcPr>
            <w:tcW w:w="2921" w:type="dxa"/>
            <w:shd w:val="clear" w:color="auto" w:fill="D9D9D9"/>
          </w:tcPr>
          <w:p>
            <w:pPr>
              <w:pStyle w:val="TableParagraph"/>
              <w:spacing w:before="2"/>
              <w:ind w:left="107"/>
              <w:rPr>
                <w:b/>
                <w:sz w:val="20"/>
              </w:rPr>
            </w:pPr>
            <w:r>
              <w:rPr>
                <w:b/>
                <w:sz w:val="20"/>
              </w:rPr>
              <w:t>Hospital</w:t>
            </w:r>
            <w:r>
              <w:rPr>
                <w:b/>
                <w:spacing w:val="-8"/>
                <w:sz w:val="20"/>
              </w:rPr>
              <w:t> </w:t>
            </w:r>
            <w:r>
              <w:rPr>
                <w:b/>
                <w:spacing w:val="-2"/>
                <w:sz w:val="20"/>
              </w:rPr>
              <w:t>Provider</w:t>
            </w:r>
          </w:p>
        </w:tc>
        <w:tc>
          <w:tcPr>
            <w:tcW w:w="979" w:type="dxa"/>
            <w:shd w:val="clear" w:color="auto" w:fill="D9D9D9"/>
          </w:tcPr>
          <w:p>
            <w:pPr>
              <w:pStyle w:val="TableParagraph"/>
              <w:spacing w:before="2"/>
              <w:ind w:left="105" w:right="87"/>
              <w:jc w:val="center"/>
              <w:rPr>
                <w:b/>
                <w:sz w:val="20"/>
              </w:rPr>
            </w:pPr>
            <w:r>
              <w:rPr>
                <w:b/>
                <w:sz w:val="20"/>
              </w:rPr>
              <w:t>SFY</w:t>
            </w:r>
            <w:r>
              <w:rPr>
                <w:b/>
                <w:spacing w:val="-5"/>
                <w:sz w:val="20"/>
              </w:rPr>
              <w:t> 18</w:t>
            </w:r>
          </w:p>
        </w:tc>
        <w:tc>
          <w:tcPr>
            <w:tcW w:w="981" w:type="dxa"/>
            <w:shd w:val="clear" w:color="auto" w:fill="D9D9D9"/>
          </w:tcPr>
          <w:p>
            <w:pPr>
              <w:pStyle w:val="TableParagraph"/>
              <w:spacing w:before="2"/>
              <w:ind w:left="110" w:right="94"/>
              <w:jc w:val="center"/>
              <w:rPr>
                <w:b/>
                <w:sz w:val="20"/>
              </w:rPr>
            </w:pPr>
            <w:r>
              <w:rPr>
                <w:b/>
                <w:sz w:val="20"/>
              </w:rPr>
              <w:t>SFY</w:t>
            </w:r>
            <w:r>
              <w:rPr>
                <w:b/>
                <w:spacing w:val="-5"/>
                <w:sz w:val="20"/>
              </w:rPr>
              <w:t> 19</w:t>
            </w:r>
          </w:p>
        </w:tc>
        <w:tc>
          <w:tcPr>
            <w:tcW w:w="979" w:type="dxa"/>
            <w:shd w:val="clear" w:color="auto" w:fill="D9D9D9"/>
          </w:tcPr>
          <w:p>
            <w:pPr>
              <w:pStyle w:val="TableParagraph"/>
              <w:spacing w:before="2"/>
              <w:ind w:left="103" w:right="89"/>
              <w:jc w:val="center"/>
              <w:rPr>
                <w:b/>
                <w:sz w:val="20"/>
              </w:rPr>
            </w:pPr>
            <w:r>
              <w:rPr>
                <w:b/>
                <w:sz w:val="20"/>
              </w:rPr>
              <w:t>SFY</w:t>
            </w:r>
            <w:r>
              <w:rPr>
                <w:b/>
                <w:spacing w:val="-5"/>
                <w:sz w:val="20"/>
              </w:rPr>
              <w:t> 20</w:t>
            </w:r>
          </w:p>
        </w:tc>
        <w:tc>
          <w:tcPr>
            <w:tcW w:w="979" w:type="dxa"/>
            <w:shd w:val="clear" w:color="auto" w:fill="D9D9D9"/>
          </w:tcPr>
          <w:p>
            <w:pPr>
              <w:pStyle w:val="TableParagraph"/>
              <w:spacing w:before="2"/>
              <w:ind w:left="105" w:right="86"/>
              <w:jc w:val="center"/>
              <w:rPr>
                <w:b/>
                <w:sz w:val="20"/>
              </w:rPr>
            </w:pPr>
            <w:r>
              <w:rPr>
                <w:b/>
                <w:sz w:val="20"/>
              </w:rPr>
              <w:t>SFY</w:t>
            </w:r>
            <w:r>
              <w:rPr>
                <w:b/>
                <w:spacing w:val="-5"/>
                <w:sz w:val="20"/>
              </w:rPr>
              <w:t> 21</w:t>
            </w:r>
          </w:p>
        </w:tc>
        <w:tc>
          <w:tcPr>
            <w:tcW w:w="981" w:type="dxa"/>
            <w:shd w:val="clear" w:color="auto" w:fill="D9D9D9"/>
          </w:tcPr>
          <w:p>
            <w:pPr>
              <w:pStyle w:val="TableParagraph"/>
              <w:spacing w:before="2"/>
              <w:ind w:left="112" w:right="94"/>
              <w:jc w:val="center"/>
              <w:rPr>
                <w:b/>
                <w:sz w:val="20"/>
              </w:rPr>
            </w:pPr>
            <w:r>
              <w:rPr>
                <w:b/>
                <w:sz w:val="20"/>
              </w:rPr>
              <w:t>SFY</w:t>
            </w:r>
            <w:r>
              <w:rPr>
                <w:b/>
                <w:spacing w:val="-5"/>
                <w:sz w:val="20"/>
              </w:rPr>
              <w:t> 22</w:t>
            </w:r>
          </w:p>
        </w:tc>
        <w:tc>
          <w:tcPr>
            <w:tcW w:w="979" w:type="dxa"/>
            <w:shd w:val="clear" w:color="auto" w:fill="D9D9D9"/>
          </w:tcPr>
          <w:p>
            <w:pPr>
              <w:pStyle w:val="TableParagraph"/>
              <w:spacing w:before="2"/>
              <w:ind w:left="105" w:right="86"/>
              <w:jc w:val="center"/>
              <w:rPr>
                <w:b/>
                <w:sz w:val="20"/>
              </w:rPr>
            </w:pPr>
            <w:r>
              <w:rPr>
                <w:b/>
                <w:spacing w:val="-2"/>
                <w:sz w:val="20"/>
              </w:rPr>
              <w:t>Total</w:t>
            </w:r>
          </w:p>
        </w:tc>
        <w:tc>
          <w:tcPr>
            <w:tcW w:w="1051" w:type="dxa"/>
            <w:vMerge/>
            <w:tcBorders>
              <w:top w:val="nil"/>
              <w:bottom w:val="single" w:sz="4" w:space="0" w:color="000000"/>
              <w:right w:val="nil"/>
            </w:tcBorders>
          </w:tcPr>
          <w:p>
            <w:pPr>
              <w:rPr>
                <w:sz w:val="2"/>
                <w:szCs w:val="2"/>
              </w:rPr>
            </w:pPr>
          </w:p>
        </w:tc>
      </w:tr>
      <w:tr>
        <w:trPr>
          <w:trHeight w:val="407" w:hRule="atLeast"/>
        </w:trPr>
        <w:tc>
          <w:tcPr>
            <w:tcW w:w="2921" w:type="dxa"/>
            <w:shd w:val="clear" w:color="auto" w:fill="DCE6F0"/>
          </w:tcPr>
          <w:p>
            <w:pPr>
              <w:pStyle w:val="TableParagraph"/>
              <w:ind w:left="107"/>
              <w:rPr>
                <w:sz w:val="20"/>
              </w:rPr>
            </w:pPr>
            <w:r>
              <w:rPr>
                <w:sz w:val="20"/>
              </w:rPr>
              <w:t>Boston</w:t>
            </w:r>
            <w:r>
              <w:rPr>
                <w:spacing w:val="-7"/>
                <w:sz w:val="20"/>
              </w:rPr>
              <w:t> </w:t>
            </w:r>
            <w:r>
              <w:rPr>
                <w:sz w:val="20"/>
              </w:rPr>
              <w:t>Medical</w:t>
            </w:r>
            <w:r>
              <w:rPr>
                <w:spacing w:val="-6"/>
                <w:sz w:val="20"/>
              </w:rPr>
              <w:t> </w:t>
            </w:r>
            <w:r>
              <w:rPr>
                <w:spacing w:val="-2"/>
                <w:sz w:val="20"/>
              </w:rPr>
              <w:t>Center</w:t>
            </w:r>
          </w:p>
        </w:tc>
        <w:tc>
          <w:tcPr>
            <w:tcW w:w="979" w:type="dxa"/>
          </w:tcPr>
          <w:p>
            <w:pPr>
              <w:pStyle w:val="TableParagraph"/>
              <w:ind w:left="105" w:right="86"/>
              <w:jc w:val="center"/>
              <w:rPr>
                <w:sz w:val="20"/>
              </w:rPr>
            </w:pPr>
            <w:r>
              <w:rPr>
                <w:spacing w:val="-2"/>
                <w:sz w:val="20"/>
              </w:rPr>
              <w:t>$23.74M</w:t>
            </w:r>
          </w:p>
        </w:tc>
        <w:tc>
          <w:tcPr>
            <w:tcW w:w="981" w:type="dxa"/>
          </w:tcPr>
          <w:p>
            <w:pPr>
              <w:pStyle w:val="TableParagraph"/>
              <w:ind w:left="112" w:right="94"/>
              <w:jc w:val="center"/>
              <w:rPr>
                <w:sz w:val="20"/>
              </w:rPr>
            </w:pPr>
            <w:r>
              <w:rPr>
                <w:spacing w:val="-2"/>
                <w:sz w:val="20"/>
              </w:rPr>
              <w:t>$13.53M</w:t>
            </w:r>
          </w:p>
        </w:tc>
        <w:tc>
          <w:tcPr>
            <w:tcW w:w="979" w:type="dxa"/>
          </w:tcPr>
          <w:p>
            <w:pPr>
              <w:pStyle w:val="TableParagraph"/>
              <w:ind w:left="105" w:right="89"/>
              <w:jc w:val="center"/>
              <w:rPr>
                <w:sz w:val="20"/>
              </w:rPr>
            </w:pPr>
            <w:r>
              <w:rPr>
                <w:spacing w:val="-2"/>
                <w:sz w:val="20"/>
              </w:rPr>
              <w:t>$10.10M</w:t>
            </w:r>
          </w:p>
        </w:tc>
        <w:tc>
          <w:tcPr>
            <w:tcW w:w="979" w:type="dxa"/>
          </w:tcPr>
          <w:p>
            <w:pPr>
              <w:pStyle w:val="TableParagraph"/>
              <w:ind w:left="105" w:right="82"/>
              <w:jc w:val="center"/>
              <w:rPr>
                <w:sz w:val="20"/>
              </w:rPr>
            </w:pPr>
            <w:r>
              <w:rPr>
                <w:spacing w:val="-2"/>
                <w:sz w:val="20"/>
              </w:rPr>
              <w:t>$7.82M</w:t>
            </w:r>
          </w:p>
        </w:tc>
        <w:tc>
          <w:tcPr>
            <w:tcW w:w="981" w:type="dxa"/>
          </w:tcPr>
          <w:p>
            <w:pPr>
              <w:pStyle w:val="TableParagraph"/>
              <w:ind w:left="112" w:right="90"/>
              <w:jc w:val="center"/>
              <w:rPr>
                <w:sz w:val="20"/>
              </w:rPr>
            </w:pPr>
            <w:r>
              <w:rPr>
                <w:spacing w:val="-2"/>
                <w:sz w:val="20"/>
              </w:rPr>
              <w:t>$6.30M</w:t>
            </w:r>
          </w:p>
        </w:tc>
        <w:tc>
          <w:tcPr>
            <w:tcW w:w="979" w:type="dxa"/>
          </w:tcPr>
          <w:p>
            <w:pPr>
              <w:pStyle w:val="TableParagraph"/>
              <w:ind w:left="105" w:right="89"/>
              <w:jc w:val="center"/>
              <w:rPr>
                <w:b/>
                <w:sz w:val="20"/>
              </w:rPr>
            </w:pPr>
            <w:r>
              <w:rPr>
                <w:b/>
                <w:spacing w:val="-2"/>
                <w:sz w:val="20"/>
              </w:rPr>
              <w:t>$61.49M</w:t>
            </w:r>
          </w:p>
        </w:tc>
        <w:tc>
          <w:tcPr>
            <w:tcW w:w="1051" w:type="dxa"/>
            <w:vMerge/>
            <w:tcBorders>
              <w:top w:val="nil"/>
              <w:bottom w:val="single" w:sz="4" w:space="0" w:color="000000"/>
              <w:right w:val="nil"/>
            </w:tcBorders>
          </w:tcPr>
          <w:p>
            <w:pPr>
              <w:rPr>
                <w:sz w:val="2"/>
                <w:szCs w:val="2"/>
              </w:rPr>
            </w:pPr>
          </w:p>
        </w:tc>
      </w:tr>
      <w:tr>
        <w:trPr>
          <w:trHeight w:val="407" w:hRule="atLeast"/>
        </w:trPr>
        <w:tc>
          <w:tcPr>
            <w:tcW w:w="2921" w:type="dxa"/>
            <w:shd w:val="clear" w:color="auto" w:fill="DCE6F0"/>
          </w:tcPr>
          <w:p>
            <w:pPr>
              <w:pStyle w:val="TableParagraph"/>
              <w:ind w:left="107"/>
              <w:rPr>
                <w:sz w:val="20"/>
              </w:rPr>
            </w:pPr>
            <w:r>
              <w:rPr>
                <w:sz w:val="20"/>
              </w:rPr>
              <w:t>Cambridge</w:t>
            </w:r>
            <w:r>
              <w:rPr>
                <w:spacing w:val="-9"/>
                <w:sz w:val="20"/>
              </w:rPr>
              <w:t> </w:t>
            </w:r>
            <w:r>
              <w:rPr>
                <w:sz w:val="20"/>
              </w:rPr>
              <w:t>Health</w:t>
            </w:r>
            <w:r>
              <w:rPr>
                <w:spacing w:val="-8"/>
                <w:sz w:val="20"/>
              </w:rPr>
              <w:t> </w:t>
            </w:r>
            <w:r>
              <w:rPr>
                <w:spacing w:val="-2"/>
                <w:sz w:val="20"/>
              </w:rPr>
              <w:t>Alliance</w:t>
            </w:r>
          </w:p>
        </w:tc>
        <w:tc>
          <w:tcPr>
            <w:tcW w:w="979" w:type="dxa"/>
          </w:tcPr>
          <w:p>
            <w:pPr>
              <w:pStyle w:val="TableParagraph"/>
              <w:ind w:left="105" w:right="86"/>
              <w:jc w:val="center"/>
              <w:rPr>
                <w:sz w:val="20"/>
              </w:rPr>
            </w:pPr>
            <w:r>
              <w:rPr>
                <w:spacing w:val="-2"/>
                <w:sz w:val="20"/>
              </w:rPr>
              <w:t>$12.07M</w:t>
            </w:r>
          </w:p>
        </w:tc>
        <w:tc>
          <w:tcPr>
            <w:tcW w:w="981" w:type="dxa"/>
          </w:tcPr>
          <w:p>
            <w:pPr>
              <w:pStyle w:val="TableParagraph"/>
              <w:ind w:left="112" w:right="92"/>
              <w:jc w:val="center"/>
              <w:rPr>
                <w:sz w:val="20"/>
              </w:rPr>
            </w:pPr>
            <w:r>
              <w:rPr>
                <w:spacing w:val="-2"/>
                <w:sz w:val="20"/>
              </w:rPr>
              <w:t>$8.45M</w:t>
            </w:r>
          </w:p>
        </w:tc>
        <w:tc>
          <w:tcPr>
            <w:tcW w:w="979" w:type="dxa"/>
          </w:tcPr>
          <w:p>
            <w:pPr>
              <w:pStyle w:val="TableParagraph"/>
              <w:ind w:left="105" w:right="87"/>
              <w:jc w:val="center"/>
              <w:rPr>
                <w:sz w:val="20"/>
              </w:rPr>
            </w:pPr>
            <w:r>
              <w:rPr>
                <w:spacing w:val="-2"/>
                <w:sz w:val="20"/>
              </w:rPr>
              <w:t>$6.36M</w:t>
            </w:r>
          </w:p>
        </w:tc>
        <w:tc>
          <w:tcPr>
            <w:tcW w:w="979" w:type="dxa"/>
          </w:tcPr>
          <w:p>
            <w:pPr>
              <w:pStyle w:val="TableParagraph"/>
              <w:ind w:left="105" w:right="82"/>
              <w:jc w:val="center"/>
              <w:rPr>
                <w:sz w:val="20"/>
              </w:rPr>
            </w:pPr>
            <w:r>
              <w:rPr>
                <w:spacing w:val="-2"/>
                <w:sz w:val="20"/>
              </w:rPr>
              <w:t>$4.09M</w:t>
            </w:r>
          </w:p>
        </w:tc>
        <w:tc>
          <w:tcPr>
            <w:tcW w:w="981" w:type="dxa"/>
          </w:tcPr>
          <w:p>
            <w:pPr>
              <w:pStyle w:val="TableParagraph"/>
              <w:ind w:left="112" w:right="90"/>
              <w:jc w:val="center"/>
              <w:rPr>
                <w:sz w:val="20"/>
              </w:rPr>
            </w:pPr>
            <w:r>
              <w:rPr>
                <w:spacing w:val="-2"/>
                <w:sz w:val="20"/>
              </w:rPr>
              <w:t>$3.00M</w:t>
            </w:r>
          </w:p>
        </w:tc>
        <w:tc>
          <w:tcPr>
            <w:tcW w:w="979" w:type="dxa"/>
          </w:tcPr>
          <w:p>
            <w:pPr>
              <w:pStyle w:val="TableParagraph"/>
              <w:ind w:left="105" w:right="89"/>
              <w:jc w:val="center"/>
              <w:rPr>
                <w:b/>
                <w:sz w:val="20"/>
              </w:rPr>
            </w:pPr>
            <w:r>
              <w:rPr>
                <w:b/>
                <w:spacing w:val="-2"/>
                <w:sz w:val="20"/>
              </w:rPr>
              <w:t>$33.99M</w:t>
            </w:r>
          </w:p>
        </w:tc>
        <w:tc>
          <w:tcPr>
            <w:tcW w:w="1051" w:type="dxa"/>
            <w:vMerge/>
            <w:tcBorders>
              <w:top w:val="nil"/>
              <w:bottom w:val="single" w:sz="4" w:space="0" w:color="000000"/>
              <w:right w:val="nil"/>
            </w:tcBorders>
          </w:tcPr>
          <w:p>
            <w:pPr>
              <w:rPr>
                <w:sz w:val="2"/>
                <w:szCs w:val="2"/>
              </w:rPr>
            </w:pPr>
          </w:p>
        </w:tc>
      </w:tr>
      <w:tr>
        <w:trPr>
          <w:trHeight w:val="409" w:hRule="atLeast"/>
        </w:trPr>
        <w:tc>
          <w:tcPr>
            <w:tcW w:w="2921" w:type="dxa"/>
            <w:shd w:val="clear" w:color="auto" w:fill="DCE6F0"/>
          </w:tcPr>
          <w:p>
            <w:pPr>
              <w:pStyle w:val="TableParagraph"/>
              <w:spacing w:before="2"/>
              <w:ind w:left="107"/>
              <w:rPr>
                <w:sz w:val="20"/>
              </w:rPr>
            </w:pPr>
            <w:r>
              <w:rPr>
                <w:sz w:val="20"/>
              </w:rPr>
              <w:t>Holyoke</w:t>
            </w:r>
            <w:r>
              <w:rPr>
                <w:spacing w:val="-8"/>
                <w:sz w:val="20"/>
              </w:rPr>
              <w:t> </w:t>
            </w:r>
            <w:r>
              <w:rPr>
                <w:sz w:val="20"/>
              </w:rPr>
              <w:t>Medical</w:t>
            </w:r>
            <w:r>
              <w:rPr>
                <w:spacing w:val="-8"/>
                <w:sz w:val="20"/>
              </w:rPr>
              <w:t> </w:t>
            </w:r>
            <w:r>
              <w:rPr>
                <w:spacing w:val="-2"/>
                <w:sz w:val="20"/>
              </w:rPr>
              <w:t>Center</w:t>
            </w:r>
          </w:p>
        </w:tc>
        <w:tc>
          <w:tcPr>
            <w:tcW w:w="979" w:type="dxa"/>
          </w:tcPr>
          <w:p>
            <w:pPr>
              <w:pStyle w:val="TableParagraph"/>
              <w:spacing w:before="2"/>
              <w:ind w:left="105" w:right="84"/>
              <w:jc w:val="center"/>
              <w:rPr>
                <w:sz w:val="20"/>
              </w:rPr>
            </w:pPr>
            <w:r>
              <w:rPr>
                <w:spacing w:val="-2"/>
                <w:sz w:val="20"/>
              </w:rPr>
              <w:t>$2.67M</w:t>
            </w:r>
          </w:p>
        </w:tc>
        <w:tc>
          <w:tcPr>
            <w:tcW w:w="981" w:type="dxa"/>
          </w:tcPr>
          <w:p>
            <w:pPr>
              <w:pStyle w:val="TableParagraph"/>
              <w:spacing w:before="2"/>
              <w:ind w:left="112" w:right="92"/>
              <w:jc w:val="center"/>
              <w:rPr>
                <w:sz w:val="20"/>
              </w:rPr>
            </w:pPr>
            <w:r>
              <w:rPr>
                <w:spacing w:val="-2"/>
                <w:sz w:val="20"/>
              </w:rPr>
              <w:t>$1.58M</w:t>
            </w:r>
          </w:p>
        </w:tc>
        <w:tc>
          <w:tcPr>
            <w:tcW w:w="979" w:type="dxa"/>
          </w:tcPr>
          <w:p>
            <w:pPr>
              <w:pStyle w:val="TableParagraph"/>
              <w:spacing w:before="2"/>
              <w:ind w:left="105" w:right="87"/>
              <w:jc w:val="center"/>
              <w:rPr>
                <w:sz w:val="20"/>
              </w:rPr>
            </w:pPr>
            <w:r>
              <w:rPr>
                <w:spacing w:val="-2"/>
                <w:sz w:val="20"/>
              </w:rPr>
              <w:t>$1.22M</w:t>
            </w:r>
          </w:p>
        </w:tc>
        <w:tc>
          <w:tcPr>
            <w:tcW w:w="979" w:type="dxa"/>
          </w:tcPr>
          <w:p>
            <w:pPr>
              <w:pStyle w:val="TableParagraph"/>
              <w:spacing w:before="2"/>
              <w:ind w:left="105" w:right="82"/>
              <w:jc w:val="center"/>
              <w:rPr>
                <w:sz w:val="20"/>
              </w:rPr>
            </w:pPr>
            <w:r>
              <w:rPr>
                <w:spacing w:val="-2"/>
                <w:sz w:val="20"/>
              </w:rPr>
              <w:t>$0.99M</w:t>
            </w:r>
          </w:p>
        </w:tc>
        <w:tc>
          <w:tcPr>
            <w:tcW w:w="981" w:type="dxa"/>
          </w:tcPr>
          <w:p>
            <w:pPr>
              <w:pStyle w:val="TableParagraph"/>
              <w:spacing w:before="2"/>
              <w:ind w:left="112" w:right="90"/>
              <w:jc w:val="center"/>
              <w:rPr>
                <w:sz w:val="20"/>
              </w:rPr>
            </w:pPr>
            <w:r>
              <w:rPr>
                <w:spacing w:val="-2"/>
                <w:sz w:val="20"/>
              </w:rPr>
              <w:t>$0.63M</w:t>
            </w:r>
          </w:p>
        </w:tc>
        <w:tc>
          <w:tcPr>
            <w:tcW w:w="979" w:type="dxa"/>
          </w:tcPr>
          <w:p>
            <w:pPr>
              <w:pStyle w:val="TableParagraph"/>
              <w:spacing w:before="2"/>
              <w:ind w:left="105" w:right="87"/>
              <w:jc w:val="center"/>
              <w:rPr>
                <w:b/>
                <w:sz w:val="20"/>
              </w:rPr>
            </w:pPr>
            <w:r>
              <w:rPr>
                <w:b/>
                <w:spacing w:val="-2"/>
                <w:sz w:val="20"/>
              </w:rPr>
              <w:t>$7.09M</w:t>
            </w:r>
          </w:p>
        </w:tc>
        <w:tc>
          <w:tcPr>
            <w:tcW w:w="1051" w:type="dxa"/>
            <w:vMerge/>
            <w:tcBorders>
              <w:top w:val="nil"/>
              <w:bottom w:val="single" w:sz="4" w:space="0" w:color="000000"/>
              <w:right w:val="nil"/>
            </w:tcBorders>
          </w:tcPr>
          <w:p>
            <w:pPr>
              <w:rPr>
                <w:sz w:val="2"/>
                <w:szCs w:val="2"/>
              </w:rPr>
            </w:pPr>
          </w:p>
        </w:tc>
      </w:tr>
      <w:tr>
        <w:trPr>
          <w:trHeight w:val="407" w:hRule="atLeast"/>
        </w:trPr>
        <w:tc>
          <w:tcPr>
            <w:tcW w:w="2921" w:type="dxa"/>
            <w:shd w:val="clear" w:color="auto" w:fill="DCE6F0"/>
          </w:tcPr>
          <w:p>
            <w:pPr>
              <w:pStyle w:val="TableParagraph"/>
              <w:ind w:left="107"/>
              <w:rPr>
                <w:sz w:val="20"/>
              </w:rPr>
            </w:pPr>
            <w:r>
              <w:rPr>
                <w:sz w:val="20"/>
              </w:rPr>
              <w:t>Lawrence</w:t>
            </w:r>
            <w:r>
              <w:rPr>
                <w:spacing w:val="-10"/>
                <w:sz w:val="20"/>
              </w:rPr>
              <w:t> </w:t>
            </w:r>
            <w:r>
              <w:rPr>
                <w:sz w:val="20"/>
              </w:rPr>
              <w:t>General</w:t>
            </w:r>
            <w:r>
              <w:rPr>
                <w:spacing w:val="-10"/>
                <w:sz w:val="20"/>
              </w:rPr>
              <w:t> </w:t>
            </w:r>
            <w:r>
              <w:rPr>
                <w:spacing w:val="-2"/>
                <w:sz w:val="20"/>
              </w:rPr>
              <w:t>Hospital</w:t>
            </w:r>
          </w:p>
        </w:tc>
        <w:tc>
          <w:tcPr>
            <w:tcW w:w="979" w:type="dxa"/>
          </w:tcPr>
          <w:p>
            <w:pPr>
              <w:pStyle w:val="TableParagraph"/>
              <w:ind w:left="105" w:right="84"/>
              <w:jc w:val="center"/>
              <w:rPr>
                <w:sz w:val="20"/>
              </w:rPr>
            </w:pPr>
            <w:r>
              <w:rPr>
                <w:spacing w:val="-2"/>
                <w:sz w:val="20"/>
              </w:rPr>
              <w:t>$0.58M</w:t>
            </w:r>
          </w:p>
        </w:tc>
        <w:tc>
          <w:tcPr>
            <w:tcW w:w="981" w:type="dxa"/>
          </w:tcPr>
          <w:p>
            <w:pPr>
              <w:pStyle w:val="TableParagraph"/>
              <w:ind w:left="112" w:right="92"/>
              <w:jc w:val="center"/>
              <w:rPr>
                <w:sz w:val="20"/>
              </w:rPr>
            </w:pPr>
            <w:r>
              <w:rPr>
                <w:spacing w:val="-2"/>
                <w:sz w:val="20"/>
              </w:rPr>
              <w:t>$0.34M</w:t>
            </w:r>
          </w:p>
        </w:tc>
        <w:tc>
          <w:tcPr>
            <w:tcW w:w="979" w:type="dxa"/>
          </w:tcPr>
          <w:p>
            <w:pPr>
              <w:pStyle w:val="TableParagraph"/>
              <w:ind w:left="105" w:right="87"/>
              <w:jc w:val="center"/>
              <w:rPr>
                <w:sz w:val="20"/>
              </w:rPr>
            </w:pPr>
            <w:r>
              <w:rPr>
                <w:spacing w:val="-2"/>
                <w:sz w:val="20"/>
              </w:rPr>
              <w:t>$0.26M</w:t>
            </w:r>
          </w:p>
        </w:tc>
        <w:tc>
          <w:tcPr>
            <w:tcW w:w="979" w:type="dxa"/>
          </w:tcPr>
          <w:p>
            <w:pPr>
              <w:pStyle w:val="TableParagraph"/>
              <w:ind w:left="105" w:right="82"/>
              <w:jc w:val="center"/>
              <w:rPr>
                <w:sz w:val="20"/>
              </w:rPr>
            </w:pPr>
            <w:r>
              <w:rPr>
                <w:spacing w:val="-2"/>
                <w:sz w:val="20"/>
              </w:rPr>
              <w:t>$0.20M</w:t>
            </w:r>
          </w:p>
        </w:tc>
        <w:tc>
          <w:tcPr>
            <w:tcW w:w="981" w:type="dxa"/>
          </w:tcPr>
          <w:p>
            <w:pPr>
              <w:pStyle w:val="TableParagraph"/>
              <w:ind w:left="112" w:right="90"/>
              <w:jc w:val="center"/>
              <w:rPr>
                <w:sz w:val="20"/>
              </w:rPr>
            </w:pPr>
            <w:r>
              <w:rPr>
                <w:spacing w:val="-2"/>
                <w:sz w:val="20"/>
              </w:rPr>
              <w:t>$0.43M</w:t>
            </w:r>
          </w:p>
        </w:tc>
        <w:tc>
          <w:tcPr>
            <w:tcW w:w="979" w:type="dxa"/>
          </w:tcPr>
          <w:p>
            <w:pPr>
              <w:pStyle w:val="TableParagraph"/>
              <w:ind w:left="105" w:right="87"/>
              <w:jc w:val="center"/>
              <w:rPr>
                <w:b/>
                <w:sz w:val="20"/>
              </w:rPr>
            </w:pPr>
            <w:r>
              <w:rPr>
                <w:b/>
                <w:spacing w:val="-2"/>
                <w:sz w:val="20"/>
              </w:rPr>
              <w:t>$1.81M</w:t>
            </w:r>
          </w:p>
        </w:tc>
        <w:tc>
          <w:tcPr>
            <w:tcW w:w="1051" w:type="dxa"/>
            <w:vMerge/>
            <w:tcBorders>
              <w:top w:val="nil"/>
              <w:bottom w:val="single" w:sz="4" w:space="0" w:color="000000"/>
              <w:right w:val="nil"/>
            </w:tcBorders>
          </w:tcPr>
          <w:p>
            <w:pPr>
              <w:rPr>
                <w:sz w:val="2"/>
                <w:szCs w:val="2"/>
              </w:rPr>
            </w:pPr>
          </w:p>
        </w:tc>
      </w:tr>
      <w:tr>
        <w:trPr>
          <w:trHeight w:val="409" w:hRule="atLeast"/>
        </w:trPr>
        <w:tc>
          <w:tcPr>
            <w:tcW w:w="2921" w:type="dxa"/>
            <w:shd w:val="clear" w:color="auto" w:fill="DCE6F0"/>
          </w:tcPr>
          <w:p>
            <w:pPr>
              <w:pStyle w:val="TableParagraph"/>
              <w:spacing w:before="2"/>
              <w:ind w:left="107"/>
              <w:rPr>
                <w:sz w:val="20"/>
              </w:rPr>
            </w:pPr>
            <w:r>
              <w:rPr>
                <w:sz w:val="20"/>
              </w:rPr>
              <w:t>Mercy</w:t>
            </w:r>
            <w:r>
              <w:rPr>
                <w:spacing w:val="-9"/>
                <w:sz w:val="20"/>
              </w:rPr>
              <w:t> </w:t>
            </w:r>
            <w:r>
              <w:rPr>
                <w:sz w:val="20"/>
              </w:rPr>
              <w:t>Medical</w:t>
            </w:r>
            <w:r>
              <w:rPr>
                <w:spacing w:val="-5"/>
                <w:sz w:val="20"/>
              </w:rPr>
              <w:t> </w:t>
            </w:r>
            <w:r>
              <w:rPr>
                <w:spacing w:val="-2"/>
                <w:sz w:val="20"/>
              </w:rPr>
              <w:t>Center</w:t>
            </w:r>
          </w:p>
        </w:tc>
        <w:tc>
          <w:tcPr>
            <w:tcW w:w="979" w:type="dxa"/>
          </w:tcPr>
          <w:p>
            <w:pPr>
              <w:pStyle w:val="TableParagraph"/>
              <w:spacing w:before="2"/>
              <w:ind w:left="105" w:right="84"/>
              <w:jc w:val="center"/>
              <w:rPr>
                <w:sz w:val="20"/>
              </w:rPr>
            </w:pPr>
            <w:r>
              <w:rPr>
                <w:spacing w:val="-2"/>
                <w:sz w:val="20"/>
              </w:rPr>
              <w:t>$1.18M</w:t>
            </w:r>
          </w:p>
        </w:tc>
        <w:tc>
          <w:tcPr>
            <w:tcW w:w="981" w:type="dxa"/>
          </w:tcPr>
          <w:p>
            <w:pPr>
              <w:pStyle w:val="TableParagraph"/>
              <w:spacing w:before="2"/>
              <w:ind w:left="112" w:right="92"/>
              <w:jc w:val="center"/>
              <w:rPr>
                <w:sz w:val="20"/>
              </w:rPr>
            </w:pPr>
            <w:r>
              <w:rPr>
                <w:spacing w:val="-2"/>
                <w:sz w:val="20"/>
              </w:rPr>
              <w:t>$0.69M</w:t>
            </w:r>
          </w:p>
        </w:tc>
        <w:tc>
          <w:tcPr>
            <w:tcW w:w="979" w:type="dxa"/>
          </w:tcPr>
          <w:p>
            <w:pPr>
              <w:pStyle w:val="TableParagraph"/>
              <w:spacing w:before="2"/>
              <w:ind w:left="105" w:right="87"/>
              <w:jc w:val="center"/>
              <w:rPr>
                <w:sz w:val="20"/>
              </w:rPr>
            </w:pPr>
            <w:r>
              <w:rPr>
                <w:spacing w:val="-2"/>
                <w:sz w:val="20"/>
              </w:rPr>
              <w:t>$0.53M</w:t>
            </w:r>
          </w:p>
        </w:tc>
        <w:tc>
          <w:tcPr>
            <w:tcW w:w="979" w:type="dxa"/>
          </w:tcPr>
          <w:p>
            <w:pPr>
              <w:pStyle w:val="TableParagraph"/>
              <w:spacing w:before="2"/>
              <w:ind w:left="105" w:right="82"/>
              <w:jc w:val="center"/>
              <w:rPr>
                <w:sz w:val="20"/>
              </w:rPr>
            </w:pPr>
            <w:r>
              <w:rPr>
                <w:spacing w:val="-2"/>
                <w:sz w:val="20"/>
              </w:rPr>
              <w:t>$0.13M</w:t>
            </w:r>
          </w:p>
        </w:tc>
        <w:tc>
          <w:tcPr>
            <w:tcW w:w="981" w:type="dxa"/>
          </w:tcPr>
          <w:p>
            <w:pPr>
              <w:pStyle w:val="TableParagraph"/>
              <w:spacing w:before="2"/>
              <w:ind w:left="112" w:right="90"/>
              <w:jc w:val="center"/>
              <w:rPr>
                <w:sz w:val="20"/>
              </w:rPr>
            </w:pPr>
            <w:r>
              <w:rPr>
                <w:spacing w:val="-2"/>
                <w:sz w:val="20"/>
              </w:rPr>
              <w:t>$0.00M</w:t>
            </w:r>
          </w:p>
        </w:tc>
        <w:tc>
          <w:tcPr>
            <w:tcW w:w="979" w:type="dxa"/>
          </w:tcPr>
          <w:p>
            <w:pPr>
              <w:pStyle w:val="TableParagraph"/>
              <w:spacing w:before="2"/>
              <w:ind w:left="105" w:right="87"/>
              <w:jc w:val="center"/>
              <w:rPr>
                <w:b/>
                <w:sz w:val="20"/>
              </w:rPr>
            </w:pPr>
            <w:r>
              <w:rPr>
                <w:b/>
                <w:spacing w:val="-2"/>
                <w:sz w:val="20"/>
              </w:rPr>
              <w:t>$2.54M</w:t>
            </w:r>
          </w:p>
        </w:tc>
        <w:tc>
          <w:tcPr>
            <w:tcW w:w="1051" w:type="dxa"/>
            <w:vMerge/>
            <w:tcBorders>
              <w:top w:val="nil"/>
              <w:bottom w:val="single" w:sz="4" w:space="0" w:color="000000"/>
              <w:right w:val="nil"/>
            </w:tcBorders>
          </w:tcPr>
          <w:p>
            <w:pPr>
              <w:rPr>
                <w:sz w:val="2"/>
                <w:szCs w:val="2"/>
              </w:rPr>
            </w:pPr>
          </w:p>
        </w:tc>
      </w:tr>
      <w:tr>
        <w:trPr>
          <w:trHeight w:val="656" w:hRule="atLeast"/>
        </w:trPr>
        <w:tc>
          <w:tcPr>
            <w:tcW w:w="2921" w:type="dxa"/>
            <w:shd w:val="clear" w:color="auto" w:fill="DCE6F0"/>
          </w:tcPr>
          <w:p>
            <w:pPr>
              <w:pStyle w:val="TableParagraph"/>
              <w:spacing w:line="256" w:lineRule="auto"/>
              <w:ind w:left="107"/>
              <w:rPr>
                <w:sz w:val="20"/>
              </w:rPr>
            </w:pPr>
            <w:r>
              <w:rPr>
                <w:sz w:val="20"/>
              </w:rPr>
              <w:t>Signature</w:t>
            </w:r>
            <w:r>
              <w:rPr>
                <w:spacing w:val="-13"/>
                <w:sz w:val="20"/>
              </w:rPr>
              <w:t> </w:t>
            </w:r>
            <w:r>
              <w:rPr>
                <w:sz w:val="20"/>
              </w:rPr>
              <w:t>Healthcare</w:t>
            </w:r>
            <w:r>
              <w:rPr>
                <w:spacing w:val="-12"/>
                <w:sz w:val="20"/>
              </w:rPr>
              <w:t> </w:t>
            </w:r>
            <w:r>
              <w:rPr>
                <w:sz w:val="20"/>
              </w:rPr>
              <w:t>Brockton </w:t>
            </w:r>
            <w:r>
              <w:rPr>
                <w:spacing w:val="-2"/>
                <w:sz w:val="20"/>
              </w:rPr>
              <w:t>Hospital</w:t>
            </w:r>
          </w:p>
        </w:tc>
        <w:tc>
          <w:tcPr>
            <w:tcW w:w="979" w:type="dxa"/>
          </w:tcPr>
          <w:p>
            <w:pPr>
              <w:pStyle w:val="TableParagraph"/>
              <w:ind w:left="105" w:right="84"/>
              <w:jc w:val="center"/>
              <w:rPr>
                <w:sz w:val="20"/>
              </w:rPr>
            </w:pPr>
            <w:r>
              <w:rPr>
                <w:spacing w:val="-2"/>
                <w:sz w:val="20"/>
              </w:rPr>
              <w:t>$1.04M</w:t>
            </w:r>
          </w:p>
        </w:tc>
        <w:tc>
          <w:tcPr>
            <w:tcW w:w="981" w:type="dxa"/>
          </w:tcPr>
          <w:p>
            <w:pPr>
              <w:pStyle w:val="TableParagraph"/>
              <w:ind w:left="112" w:right="92"/>
              <w:jc w:val="center"/>
              <w:rPr>
                <w:sz w:val="20"/>
              </w:rPr>
            </w:pPr>
            <w:r>
              <w:rPr>
                <w:spacing w:val="-2"/>
                <w:sz w:val="20"/>
              </w:rPr>
              <w:t>$0.61M</w:t>
            </w:r>
          </w:p>
        </w:tc>
        <w:tc>
          <w:tcPr>
            <w:tcW w:w="979" w:type="dxa"/>
          </w:tcPr>
          <w:p>
            <w:pPr>
              <w:pStyle w:val="TableParagraph"/>
              <w:ind w:left="105" w:right="87"/>
              <w:jc w:val="center"/>
              <w:rPr>
                <w:sz w:val="20"/>
              </w:rPr>
            </w:pPr>
            <w:r>
              <w:rPr>
                <w:spacing w:val="-2"/>
                <w:sz w:val="20"/>
              </w:rPr>
              <w:t>$0.47M</w:t>
            </w:r>
          </w:p>
        </w:tc>
        <w:tc>
          <w:tcPr>
            <w:tcW w:w="979" w:type="dxa"/>
          </w:tcPr>
          <w:p>
            <w:pPr>
              <w:pStyle w:val="TableParagraph"/>
              <w:ind w:left="105" w:right="82"/>
              <w:jc w:val="center"/>
              <w:rPr>
                <w:sz w:val="20"/>
              </w:rPr>
            </w:pPr>
            <w:r>
              <w:rPr>
                <w:spacing w:val="-2"/>
                <w:sz w:val="20"/>
              </w:rPr>
              <w:t>$0.37M</w:t>
            </w:r>
          </w:p>
        </w:tc>
        <w:tc>
          <w:tcPr>
            <w:tcW w:w="981" w:type="dxa"/>
          </w:tcPr>
          <w:p>
            <w:pPr>
              <w:pStyle w:val="TableParagraph"/>
              <w:ind w:left="112" w:right="90"/>
              <w:jc w:val="center"/>
              <w:rPr>
                <w:sz w:val="20"/>
              </w:rPr>
            </w:pPr>
            <w:r>
              <w:rPr>
                <w:spacing w:val="-2"/>
                <w:sz w:val="20"/>
              </w:rPr>
              <w:t>$0.08M</w:t>
            </w:r>
          </w:p>
        </w:tc>
        <w:tc>
          <w:tcPr>
            <w:tcW w:w="979" w:type="dxa"/>
          </w:tcPr>
          <w:p>
            <w:pPr>
              <w:pStyle w:val="TableParagraph"/>
              <w:ind w:left="105" w:right="87"/>
              <w:jc w:val="center"/>
              <w:rPr>
                <w:b/>
                <w:sz w:val="20"/>
              </w:rPr>
            </w:pPr>
            <w:r>
              <w:rPr>
                <w:b/>
                <w:spacing w:val="-2"/>
                <w:sz w:val="20"/>
              </w:rPr>
              <w:t>$2.56M</w:t>
            </w:r>
          </w:p>
        </w:tc>
        <w:tc>
          <w:tcPr>
            <w:tcW w:w="1051" w:type="dxa"/>
            <w:vMerge/>
            <w:tcBorders>
              <w:top w:val="nil"/>
              <w:bottom w:val="single" w:sz="4" w:space="0" w:color="000000"/>
              <w:right w:val="nil"/>
            </w:tcBorders>
          </w:tcPr>
          <w:p>
            <w:pPr>
              <w:rPr>
                <w:sz w:val="2"/>
                <w:szCs w:val="2"/>
              </w:rPr>
            </w:pPr>
          </w:p>
        </w:tc>
      </w:tr>
      <w:tr>
        <w:trPr>
          <w:trHeight w:val="412" w:hRule="atLeast"/>
        </w:trPr>
        <w:tc>
          <w:tcPr>
            <w:tcW w:w="2921" w:type="dxa"/>
            <w:shd w:val="clear" w:color="auto" w:fill="DCE6F0"/>
          </w:tcPr>
          <w:p>
            <w:pPr>
              <w:pStyle w:val="TableParagraph"/>
              <w:ind w:left="107"/>
              <w:rPr>
                <w:sz w:val="20"/>
              </w:rPr>
            </w:pPr>
            <w:r>
              <w:rPr>
                <w:sz w:val="20"/>
              </w:rPr>
              <w:t>Steward</w:t>
            </w:r>
            <w:r>
              <w:rPr>
                <w:spacing w:val="-8"/>
                <w:sz w:val="20"/>
              </w:rPr>
              <w:t> </w:t>
            </w:r>
            <w:r>
              <w:rPr>
                <w:sz w:val="20"/>
              </w:rPr>
              <w:t>Carney</w:t>
            </w:r>
            <w:r>
              <w:rPr>
                <w:spacing w:val="-9"/>
                <w:sz w:val="20"/>
              </w:rPr>
              <w:t> </w:t>
            </w:r>
            <w:r>
              <w:rPr>
                <w:spacing w:val="-2"/>
                <w:sz w:val="20"/>
              </w:rPr>
              <w:t>Hospital</w:t>
            </w:r>
          </w:p>
        </w:tc>
        <w:tc>
          <w:tcPr>
            <w:tcW w:w="979" w:type="dxa"/>
          </w:tcPr>
          <w:p>
            <w:pPr>
              <w:pStyle w:val="TableParagraph"/>
              <w:ind w:left="105" w:right="84"/>
              <w:jc w:val="center"/>
              <w:rPr>
                <w:sz w:val="20"/>
              </w:rPr>
            </w:pPr>
            <w:r>
              <w:rPr>
                <w:spacing w:val="-2"/>
                <w:sz w:val="20"/>
              </w:rPr>
              <w:t>$1.80M</w:t>
            </w:r>
          </w:p>
        </w:tc>
        <w:tc>
          <w:tcPr>
            <w:tcW w:w="981" w:type="dxa"/>
          </w:tcPr>
          <w:p>
            <w:pPr>
              <w:pStyle w:val="TableParagraph"/>
              <w:ind w:left="112" w:right="92"/>
              <w:jc w:val="center"/>
              <w:rPr>
                <w:sz w:val="20"/>
              </w:rPr>
            </w:pPr>
            <w:r>
              <w:rPr>
                <w:spacing w:val="-2"/>
                <w:sz w:val="20"/>
              </w:rPr>
              <w:t>$1.00M</w:t>
            </w:r>
          </w:p>
        </w:tc>
        <w:tc>
          <w:tcPr>
            <w:tcW w:w="979" w:type="dxa"/>
          </w:tcPr>
          <w:p>
            <w:pPr>
              <w:pStyle w:val="TableParagraph"/>
              <w:ind w:left="105" w:right="87"/>
              <w:jc w:val="center"/>
              <w:rPr>
                <w:sz w:val="20"/>
              </w:rPr>
            </w:pPr>
            <w:r>
              <w:rPr>
                <w:spacing w:val="-2"/>
                <w:sz w:val="20"/>
              </w:rPr>
              <w:t>$0.81M</w:t>
            </w:r>
          </w:p>
        </w:tc>
        <w:tc>
          <w:tcPr>
            <w:tcW w:w="979" w:type="dxa"/>
          </w:tcPr>
          <w:p>
            <w:pPr>
              <w:pStyle w:val="TableParagraph"/>
              <w:ind w:left="105" w:right="82"/>
              <w:jc w:val="center"/>
              <w:rPr>
                <w:sz w:val="20"/>
              </w:rPr>
            </w:pPr>
            <w:r>
              <w:rPr>
                <w:spacing w:val="-2"/>
                <w:sz w:val="20"/>
              </w:rPr>
              <w:t>$0.30M</w:t>
            </w:r>
          </w:p>
        </w:tc>
        <w:tc>
          <w:tcPr>
            <w:tcW w:w="981" w:type="dxa"/>
          </w:tcPr>
          <w:p>
            <w:pPr>
              <w:pStyle w:val="TableParagraph"/>
              <w:ind w:left="112" w:right="90"/>
              <w:jc w:val="center"/>
              <w:rPr>
                <w:sz w:val="20"/>
              </w:rPr>
            </w:pPr>
            <w:r>
              <w:rPr>
                <w:spacing w:val="-2"/>
                <w:sz w:val="20"/>
              </w:rPr>
              <w:t>$0.05M</w:t>
            </w:r>
          </w:p>
        </w:tc>
        <w:tc>
          <w:tcPr>
            <w:tcW w:w="979" w:type="dxa"/>
          </w:tcPr>
          <w:p>
            <w:pPr>
              <w:pStyle w:val="TableParagraph"/>
              <w:ind w:left="105" w:right="87"/>
              <w:jc w:val="center"/>
              <w:rPr>
                <w:b/>
                <w:sz w:val="20"/>
              </w:rPr>
            </w:pPr>
            <w:r>
              <w:rPr>
                <w:b/>
                <w:spacing w:val="-2"/>
                <w:sz w:val="20"/>
              </w:rPr>
              <w:t>$3.96M</w:t>
            </w:r>
          </w:p>
        </w:tc>
        <w:tc>
          <w:tcPr>
            <w:tcW w:w="1051" w:type="dxa"/>
            <w:vMerge/>
            <w:tcBorders>
              <w:top w:val="nil"/>
              <w:bottom w:val="single" w:sz="4" w:space="0" w:color="000000"/>
              <w:right w:val="nil"/>
            </w:tcBorders>
          </w:tcPr>
          <w:p>
            <w:pPr>
              <w:rPr>
                <w:sz w:val="2"/>
                <w:szCs w:val="2"/>
              </w:rPr>
            </w:pPr>
          </w:p>
        </w:tc>
      </w:tr>
    </w:tbl>
    <w:p>
      <w:pPr>
        <w:pStyle w:val="BodyText"/>
        <w:spacing w:line="20" w:lineRule="exact"/>
        <w:ind w:left="1205"/>
        <w:rPr>
          <w:sz w:val="2"/>
        </w:rPr>
      </w:pPr>
      <w:r>
        <w:rPr>
          <w:sz w:val="2"/>
        </w:rPr>
        <mc:AlternateContent>
          <mc:Choice Requires="wps">
            <w:drawing>
              <wp:inline distT="0" distB="0" distL="0" distR="0">
                <wp:extent cx="6339840" cy="6350"/>
                <wp:effectExtent l="0" t="0" r="0" b="0"/>
                <wp:docPr id="857" name="Group 857"/>
                <wp:cNvGraphicFramePr>
                  <a:graphicFrameLocks/>
                </wp:cNvGraphicFramePr>
                <a:graphic>
                  <a:graphicData uri="http://schemas.microsoft.com/office/word/2010/wordprocessingGroup">
                    <wpg:wgp>
                      <wpg:cNvPr id="857" name="Group 857"/>
                      <wpg:cNvGrpSpPr/>
                      <wpg:grpSpPr>
                        <a:xfrm>
                          <a:off x="0" y="0"/>
                          <a:ext cx="6339840" cy="6350"/>
                          <a:chExt cx="6339840" cy="6350"/>
                        </a:xfrm>
                      </wpg:grpSpPr>
                      <wps:wsp>
                        <wps:cNvPr id="858" name="Graphic 858"/>
                        <wps:cNvSpPr/>
                        <wps:spPr>
                          <a:xfrm>
                            <a:off x="0" y="0"/>
                            <a:ext cx="6339840" cy="6350"/>
                          </a:xfrm>
                          <a:custGeom>
                            <a:avLst/>
                            <a:gdLst/>
                            <a:ahLst/>
                            <a:cxnLst/>
                            <a:rect l="l" t="t" r="r" b="b"/>
                            <a:pathLst>
                              <a:path w="6339840" h="6350">
                                <a:moveTo>
                                  <a:pt x="6339840" y="0"/>
                                </a:moveTo>
                                <a:lnTo>
                                  <a:pt x="0" y="0"/>
                                </a:lnTo>
                                <a:lnTo>
                                  <a:pt x="0" y="6108"/>
                                </a:lnTo>
                                <a:lnTo>
                                  <a:pt x="6339840" y="6108"/>
                                </a:lnTo>
                                <a:lnTo>
                                  <a:pt x="63398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99.2pt;height:.5pt;mso-position-horizontal-relative:char;mso-position-vertical-relative:line" id="docshapegroup77" coordorigin="0,0" coordsize="9984,10">
                <v:rect style="position:absolute;left:0;top:0;width:9984;height:10" id="docshape78" filled="true" fillcolor="#000000" stroked="false">
                  <v:fill type="solid"/>
                </v:rect>
              </v:group>
            </w:pict>
          </mc:Fallback>
        </mc:AlternateContent>
      </w:r>
      <w:r>
        <w:rPr>
          <w:sz w:val="2"/>
        </w:rPr>
      </w:r>
    </w:p>
    <w:p>
      <w:pPr>
        <w:pStyle w:val="BodyText"/>
        <w:spacing w:before="10"/>
        <w:rPr>
          <w:sz w:val="34"/>
        </w:rPr>
      </w:pPr>
    </w:p>
    <w:p>
      <w:pPr>
        <w:spacing w:before="0"/>
        <w:ind w:left="1219" w:right="1094" w:firstLine="0"/>
        <w:jc w:val="both"/>
        <w:rPr>
          <w:sz w:val="22"/>
        </w:rPr>
      </w:pPr>
      <w:r>
        <w:rPr>
          <w:sz w:val="22"/>
        </w:rPr>
        <w:t>These hospitals will only receive DSTI glide path funding through DSRIP if they participate in a MassHealth</w:t>
      </w:r>
      <w:r>
        <w:rPr>
          <w:spacing w:val="-10"/>
          <w:sz w:val="22"/>
        </w:rPr>
        <w:t> </w:t>
      </w:r>
      <w:r>
        <w:rPr>
          <w:sz w:val="22"/>
        </w:rPr>
        <w:t>ACO,</w:t>
      </w:r>
      <w:r>
        <w:rPr>
          <w:spacing w:val="-10"/>
          <w:sz w:val="22"/>
        </w:rPr>
        <w:t> </w:t>
      </w:r>
      <w:r>
        <w:rPr>
          <w:sz w:val="22"/>
        </w:rPr>
        <w:t>where</w:t>
      </w:r>
      <w:r>
        <w:rPr>
          <w:spacing w:val="-9"/>
          <w:sz w:val="22"/>
        </w:rPr>
        <w:t> </w:t>
      </w:r>
      <w:r>
        <w:rPr>
          <w:sz w:val="22"/>
        </w:rPr>
        <w:t>participation</w:t>
      </w:r>
      <w:r>
        <w:rPr>
          <w:spacing w:val="-10"/>
          <w:sz w:val="22"/>
        </w:rPr>
        <w:t> </w:t>
      </w:r>
      <w:r>
        <w:rPr>
          <w:sz w:val="22"/>
        </w:rPr>
        <w:t>means</w:t>
      </w:r>
      <w:r>
        <w:rPr>
          <w:spacing w:val="-9"/>
          <w:sz w:val="22"/>
        </w:rPr>
        <w:t> </w:t>
      </w:r>
      <w:r>
        <w:rPr>
          <w:sz w:val="22"/>
        </w:rPr>
        <w:t>that</w:t>
      </w:r>
      <w:r>
        <w:rPr>
          <w:spacing w:val="-11"/>
          <w:sz w:val="22"/>
        </w:rPr>
        <w:t> </w:t>
      </w:r>
      <w:r>
        <w:rPr>
          <w:sz w:val="22"/>
        </w:rPr>
        <w:t>the</w:t>
      </w:r>
      <w:r>
        <w:rPr>
          <w:spacing w:val="-11"/>
          <w:sz w:val="22"/>
        </w:rPr>
        <w:t> </w:t>
      </w:r>
      <w:r>
        <w:rPr>
          <w:sz w:val="22"/>
        </w:rPr>
        <w:t>DSTI</w:t>
      </w:r>
      <w:r>
        <w:rPr>
          <w:spacing w:val="-14"/>
          <w:sz w:val="22"/>
        </w:rPr>
        <w:t> </w:t>
      </w:r>
      <w:r>
        <w:rPr>
          <w:sz w:val="22"/>
        </w:rPr>
        <w:t>hospital</w:t>
      </w:r>
      <w:r>
        <w:rPr>
          <w:spacing w:val="-9"/>
          <w:sz w:val="22"/>
        </w:rPr>
        <w:t> </w:t>
      </w:r>
      <w:r>
        <w:rPr>
          <w:sz w:val="22"/>
        </w:rPr>
        <w:t>has</w:t>
      </w:r>
      <w:r>
        <w:rPr>
          <w:spacing w:val="-11"/>
          <w:sz w:val="22"/>
        </w:rPr>
        <w:t> </w:t>
      </w:r>
      <w:r>
        <w:rPr>
          <w:sz w:val="22"/>
        </w:rPr>
        <w:t>a</w:t>
      </w:r>
      <w:r>
        <w:rPr>
          <w:spacing w:val="-9"/>
          <w:sz w:val="22"/>
        </w:rPr>
        <w:t> </w:t>
      </w:r>
      <w:r>
        <w:rPr>
          <w:sz w:val="22"/>
        </w:rPr>
        <w:t>provider</w:t>
      </w:r>
      <w:r>
        <w:rPr>
          <w:spacing w:val="-9"/>
          <w:sz w:val="22"/>
        </w:rPr>
        <w:t> </w:t>
      </w:r>
      <w:r>
        <w:rPr>
          <w:sz w:val="22"/>
        </w:rPr>
        <w:t>arrangement</w:t>
      </w:r>
      <w:r>
        <w:rPr>
          <w:spacing w:val="-9"/>
          <w:sz w:val="22"/>
        </w:rPr>
        <w:t> </w:t>
      </w:r>
      <w:r>
        <w:rPr>
          <w:sz w:val="22"/>
        </w:rPr>
        <w:t>or</w:t>
      </w:r>
      <w:r>
        <w:rPr>
          <w:spacing w:val="-11"/>
          <w:sz w:val="22"/>
        </w:rPr>
        <w:t> </w:t>
      </w:r>
      <w:r>
        <w:rPr>
          <w:sz w:val="22"/>
        </w:rPr>
        <w:t>contract with the ACO that involves financial accountability, including the potential for the safety net hospital to share gains</w:t>
      </w:r>
      <w:r>
        <w:rPr>
          <w:spacing w:val="-2"/>
          <w:sz w:val="22"/>
        </w:rPr>
        <w:t> </w:t>
      </w:r>
      <w:r>
        <w:rPr>
          <w:sz w:val="22"/>
        </w:rPr>
        <w:t>from</w:t>
      </w:r>
      <w:r>
        <w:rPr>
          <w:spacing w:val="-4"/>
          <w:sz w:val="22"/>
        </w:rPr>
        <w:t> </w:t>
      </w:r>
      <w:r>
        <w:rPr>
          <w:sz w:val="22"/>
        </w:rPr>
        <w:t>savings and share</w:t>
      </w:r>
      <w:r>
        <w:rPr>
          <w:spacing w:val="-2"/>
          <w:sz w:val="22"/>
        </w:rPr>
        <w:t> </w:t>
      </w:r>
      <w:r>
        <w:rPr>
          <w:sz w:val="22"/>
        </w:rPr>
        <w:t>responsibility</w:t>
      </w:r>
      <w:r>
        <w:rPr>
          <w:spacing w:val="-2"/>
          <w:sz w:val="22"/>
        </w:rPr>
        <w:t> </w:t>
      </w:r>
      <w:r>
        <w:rPr>
          <w:sz w:val="22"/>
        </w:rPr>
        <w:t>for</w:t>
      </w:r>
      <w:r>
        <w:rPr>
          <w:spacing w:val="-1"/>
          <w:sz w:val="22"/>
        </w:rPr>
        <w:t> </w:t>
      </w:r>
      <w:r>
        <w:rPr>
          <w:sz w:val="22"/>
        </w:rPr>
        <w:t>losses.</w:t>
      </w:r>
      <w:r>
        <w:rPr>
          <w:spacing w:val="40"/>
          <w:sz w:val="22"/>
        </w:rPr>
        <w:t> </w:t>
      </w:r>
      <w:r>
        <w:rPr>
          <w:sz w:val="22"/>
        </w:rPr>
        <w:t>For</w:t>
      </w:r>
      <w:r>
        <w:rPr>
          <w:spacing w:val="-1"/>
          <w:sz w:val="22"/>
        </w:rPr>
        <w:t> </w:t>
      </w:r>
      <w:r>
        <w:rPr>
          <w:sz w:val="22"/>
        </w:rPr>
        <w:t>the purposes</w:t>
      </w:r>
      <w:r>
        <w:rPr>
          <w:spacing w:val="-2"/>
          <w:sz w:val="22"/>
        </w:rPr>
        <w:t> </w:t>
      </w:r>
      <w:r>
        <w:rPr>
          <w:sz w:val="22"/>
        </w:rPr>
        <w:t>of</w:t>
      </w:r>
      <w:r>
        <w:rPr>
          <w:spacing w:val="-1"/>
          <w:sz w:val="22"/>
        </w:rPr>
        <w:t> </w:t>
      </w:r>
      <w:r>
        <w:rPr>
          <w:sz w:val="22"/>
        </w:rPr>
        <w:t>this</w:t>
      </w:r>
      <w:r>
        <w:rPr>
          <w:spacing w:val="-2"/>
          <w:sz w:val="22"/>
        </w:rPr>
        <w:t> </w:t>
      </w:r>
      <w:r>
        <w:rPr>
          <w:sz w:val="22"/>
        </w:rPr>
        <w:t>glide</w:t>
      </w:r>
      <w:r>
        <w:rPr>
          <w:spacing w:val="-2"/>
          <w:sz w:val="22"/>
        </w:rPr>
        <w:t> </w:t>
      </w:r>
      <w:r>
        <w:rPr>
          <w:sz w:val="22"/>
        </w:rPr>
        <w:t>path</w:t>
      </w:r>
      <w:r>
        <w:rPr>
          <w:spacing w:val="-2"/>
          <w:sz w:val="22"/>
        </w:rPr>
        <w:t> </w:t>
      </w:r>
      <w:r>
        <w:rPr>
          <w:sz w:val="22"/>
        </w:rPr>
        <w:t>funding,</w:t>
      </w:r>
      <w:r>
        <w:rPr>
          <w:spacing w:val="-2"/>
          <w:sz w:val="22"/>
        </w:rPr>
        <w:t> </w:t>
      </w:r>
      <w:r>
        <w:rPr>
          <w:sz w:val="22"/>
        </w:rPr>
        <w:t>a DSTI</w:t>
      </w:r>
      <w:r>
        <w:rPr>
          <w:spacing w:val="-14"/>
          <w:sz w:val="22"/>
        </w:rPr>
        <w:t> </w:t>
      </w:r>
      <w:r>
        <w:rPr>
          <w:sz w:val="22"/>
        </w:rPr>
        <w:t>hospital</w:t>
      </w:r>
      <w:r>
        <w:rPr>
          <w:spacing w:val="-11"/>
          <w:sz w:val="22"/>
        </w:rPr>
        <w:t> </w:t>
      </w:r>
      <w:r>
        <w:rPr>
          <w:sz w:val="22"/>
        </w:rPr>
        <w:t>can</w:t>
      </w:r>
      <w:r>
        <w:rPr>
          <w:spacing w:val="-11"/>
          <w:sz w:val="22"/>
        </w:rPr>
        <w:t> </w:t>
      </w:r>
      <w:r>
        <w:rPr>
          <w:sz w:val="22"/>
        </w:rPr>
        <w:t>only</w:t>
      </w:r>
      <w:r>
        <w:rPr>
          <w:spacing w:val="-13"/>
          <w:sz w:val="22"/>
        </w:rPr>
        <w:t> </w:t>
      </w:r>
      <w:r>
        <w:rPr>
          <w:sz w:val="22"/>
        </w:rPr>
        <w:t>have</w:t>
      </w:r>
      <w:r>
        <w:rPr>
          <w:spacing w:val="-10"/>
          <w:sz w:val="22"/>
        </w:rPr>
        <w:t> </w:t>
      </w:r>
      <w:r>
        <w:rPr>
          <w:sz w:val="22"/>
        </w:rPr>
        <w:t>a</w:t>
      </w:r>
      <w:r>
        <w:rPr>
          <w:spacing w:val="-10"/>
          <w:sz w:val="22"/>
        </w:rPr>
        <w:t> </w:t>
      </w:r>
      <w:r>
        <w:rPr>
          <w:sz w:val="22"/>
        </w:rPr>
        <w:t>provider</w:t>
      </w:r>
      <w:r>
        <w:rPr>
          <w:spacing w:val="-10"/>
          <w:sz w:val="22"/>
        </w:rPr>
        <w:t> </w:t>
      </w:r>
      <w:r>
        <w:rPr>
          <w:sz w:val="22"/>
        </w:rPr>
        <w:t>arrangement</w:t>
      </w:r>
      <w:r>
        <w:rPr>
          <w:spacing w:val="-10"/>
          <w:sz w:val="22"/>
        </w:rPr>
        <w:t> </w:t>
      </w:r>
      <w:r>
        <w:rPr>
          <w:sz w:val="22"/>
        </w:rPr>
        <w:t>or</w:t>
      </w:r>
      <w:r>
        <w:rPr>
          <w:spacing w:val="-10"/>
          <w:sz w:val="22"/>
        </w:rPr>
        <w:t> </w:t>
      </w:r>
      <w:r>
        <w:rPr>
          <w:sz w:val="22"/>
        </w:rPr>
        <w:t>contract</w:t>
      </w:r>
      <w:r>
        <w:rPr>
          <w:spacing w:val="-10"/>
          <w:sz w:val="22"/>
        </w:rPr>
        <w:t> </w:t>
      </w:r>
      <w:r>
        <w:rPr>
          <w:sz w:val="22"/>
        </w:rPr>
        <w:t>with</w:t>
      </w:r>
      <w:r>
        <w:rPr>
          <w:spacing w:val="-11"/>
          <w:sz w:val="22"/>
        </w:rPr>
        <w:t> </w:t>
      </w:r>
      <w:r>
        <w:rPr>
          <w:sz w:val="22"/>
        </w:rPr>
        <w:t>one</w:t>
      </w:r>
      <w:r>
        <w:rPr>
          <w:spacing w:val="-11"/>
          <w:sz w:val="22"/>
        </w:rPr>
        <w:t> </w:t>
      </w:r>
      <w:r>
        <w:rPr>
          <w:sz w:val="22"/>
        </w:rPr>
        <w:t>ACO.</w:t>
      </w:r>
      <w:r>
        <w:rPr>
          <w:spacing w:val="-11"/>
          <w:sz w:val="22"/>
        </w:rPr>
        <w:t> </w:t>
      </w:r>
      <w:r>
        <w:rPr>
          <w:sz w:val="22"/>
        </w:rPr>
        <w:t>This</w:t>
      </w:r>
      <w:r>
        <w:rPr>
          <w:spacing w:val="-10"/>
          <w:sz w:val="22"/>
        </w:rPr>
        <w:t> </w:t>
      </w:r>
      <w:r>
        <w:rPr>
          <w:sz w:val="22"/>
        </w:rPr>
        <w:t>funding</w:t>
      </w:r>
      <w:r>
        <w:rPr>
          <w:spacing w:val="-13"/>
          <w:sz w:val="22"/>
        </w:rPr>
        <w:t> </w:t>
      </w:r>
      <w:r>
        <w:rPr>
          <w:sz w:val="22"/>
        </w:rPr>
        <w:t>is</w:t>
      </w:r>
      <w:r>
        <w:rPr>
          <w:spacing w:val="-10"/>
          <w:sz w:val="22"/>
        </w:rPr>
        <w:t> </w:t>
      </w:r>
      <w:r>
        <w:rPr>
          <w:sz w:val="22"/>
        </w:rPr>
        <w:t>not</w:t>
      </w:r>
      <w:r>
        <w:rPr>
          <w:spacing w:val="-10"/>
          <w:sz w:val="22"/>
        </w:rPr>
        <w:t> </w:t>
      </w:r>
      <w:r>
        <w:rPr>
          <w:sz w:val="22"/>
        </w:rPr>
        <w:t>PMPM- based, but was developed to establish a glide path from</w:t>
      </w:r>
      <w:r>
        <w:rPr>
          <w:spacing w:val="-1"/>
          <w:sz w:val="22"/>
        </w:rPr>
        <w:t> </w:t>
      </w:r>
      <w:r>
        <w:rPr>
          <w:sz w:val="22"/>
        </w:rPr>
        <w:t>current safety net care pool (SNCP) supplemental payments to reduced SNCP payments</w:t>
      </w:r>
    </w:p>
    <w:p>
      <w:pPr>
        <w:spacing w:before="158"/>
        <w:ind w:left="1219" w:right="1094" w:firstLine="0"/>
        <w:jc w:val="both"/>
        <w:rPr>
          <w:sz w:val="22"/>
        </w:rPr>
      </w:pPr>
      <w:r>
        <w:rPr>
          <w:sz w:val="22"/>
        </w:rPr>
        <w:t>This glide path funding needs to be converted from the state fiscal year framework to the Budget Period framework in order to align with the at-risk schedule described in Exhibit 20. Funds for the 6 month Preparation</w:t>
      </w:r>
      <w:r>
        <w:rPr>
          <w:spacing w:val="-13"/>
          <w:sz w:val="22"/>
        </w:rPr>
        <w:t> </w:t>
      </w:r>
      <w:r>
        <w:rPr>
          <w:sz w:val="22"/>
        </w:rPr>
        <w:t>Budget</w:t>
      </w:r>
      <w:r>
        <w:rPr>
          <w:spacing w:val="-11"/>
          <w:sz w:val="22"/>
        </w:rPr>
        <w:t> </w:t>
      </w:r>
      <w:r>
        <w:rPr>
          <w:sz w:val="22"/>
        </w:rPr>
        <w:t>Period</w:t>
      </w:r>
      <w:r>
        <w:rPr>
          <w:spacing w:val="-12"/>
          <w:sz w:val="22"/>
        </w:rPr>
        <w:t> </w:t>
      </w:r>
      <w:r>
        <w:rPr>
          <w:sz w:val="22"/>
        </w:rPr>
        <w:t>for</w:t>
      </w:r>
      <w:r>
        <w:rPr>
          <w:spacing w:val="-11"/>
          <w:sz w:val="22"/>
        </w:rPr>
        <w:t> </w:t>
      </w:r>
      <w:r>
        <w:rPr>
          <w:sz w:val="22"/>
        </w:rPr>
        <w:t>each</w:t>
      </w:r>
      <w:r>
        <w:rPr>
          <w:spacing w:val="-12"/>
          <w:sz w:val="22"/>
        </w:rPr>
        <w:t> </w:t>
      </w:r>
      <w:r>
        <w:rPr>
          <w:sz w:val="22"/>
        </w:rPr>
        <w:t>DSTI</w:t>
      </w:r>
      <w:r>
        <w:rPr>
          <w:spacing w:val="-14"/>
          <w:sz w:val="22"/>
        </w:rPr>
        <w:t> </w:t>
      </w:r>
      <w:r>
        <w:rPr>
          <w:sz w:val="22"/>
        </w:rPr>
        <w:t>hospital</w:t>
      </w:r>
      <w:r>
        <w:rPr>
          <w:spacing w:val="-10"/>
          <w:sz w:val="22"/>
        </w:rPr>
        <w:t> </w:t>
      </w:r>
      <w:r>
        <w:rPr>
          <w:sz w:val="22"/>
        </w:rPr>
        <w:t>will</w:t>
      </w:r>
      <w:r>
        <w:rPr>
          <w:spacing w:val="-11"/>
          <w:sz w:val="22"/>
        </w:rPr>
        <w:t> </w:t>
      </w:r>
      <w:r>
        <w:rPr>
          <w:sz w:val="22"/>
        </w:rPr>
        <w:t>be</w:t>
      </w:r>
      <w:r>
        <w:rPr>
          <w:spacing w:val="-12"/>
          <w:sz w:val="22"/>
        </w:rPr>
        <w:t> </w:t>
      </w:r>
      <w:r>
        <w:rPr>
          <w:sz w:val="22"/>
        </w:rPr>
        <w:t>equal</w:t>
      </w:r>
      <w:r>
        <w:rPr>
          <w:spacing w:val="-11"/>
          <w:sz w:val="22"/>
        </w:rPr>
        <w:t> </w:t>
      </w:r>
      <w:r>
        <w:rPr>
          <w:sz w:val="22"/>
        </w:rPr>
        <w:t>to</w:t>
      </w:r>
      <w:r>
        <w:rPr>
          <w:spacing w:val="-12"/>
          <w:sz w:val="22"/>
        </w:rPr>
        <w:t> </w:t>
      </w:r>
      <w:r>
        <w:rPr>
          <w:sz w:val="22"/>
        </w:rPr>
        <w:t>half</w:t>
      </w:r>
      <w:r>
        <w:rPr>
          <w:spacing w:val="-11"/>
          <w:sz w:val="22"/>
        </w:rPr>
        <w:t> </w:t>
      </w:r>
      <w:r>
        <w:rPr>
          <w:sz w:val="22"/>
        </w:rPr>
        <w:t>of</w:t>
      </w:r>
      <w:r>
        <w:rPr>
          <w:spacing w:val="-11"/>
          <w:sz w:val="22"/>
        </w:rPr>
        <w:t> </w:t>
      </w:r>
      <w:r>
        <w:rPr>
          <w:sz w:val="22"/>
        </w:rPr>
        <w:t>the</w:t>
      </w:r>
      <w:r>
        <w:rPr>
          <w:spacing w:val="-11"/>
          <w:sz w:val="22"/>
        </w:rPr>
        <w:t> </w:t>
      </w:r>
      <w:r>
        <w:rPr>
          <w:sz w:val="22"/>
        </w:rPr>
        <w:t>hospital’s</w:t>
      </w:r>
      <w:r>
        <w:rPr>
          <w:spacing w:val="-11"/>
          <w:sz w:val="22"/>
        </w:rPr>
        <w:t> </w:t>
      </w:r>
      <w:r>
        <w:rPr>
          <w:sz w:val="22"/>
        </w:rPr>
        <w:t>glide</w:t>
      </w:r>
      <w:r>
        <w:rPr>
          <w:spacing w:val="-12"/>
          <w:sz w:val="22"/>
        </w:rPr>
        <w:t> </w:t>
      </w:r>
      <w:r>
        <w:rPr>
          <w:sz w:val="22"/>
        </w:rPr>
        <w:t>path</w:t>
      </w:r>
      <w:r>
        <w:rPr>
          <w:spacing w:val="-12"/>
          <w:sz w:val="22"/>
        </w:rPr>
        <w:t> </w:t>
      </w:r>
      <w:r>
        <w:rPr>
          <w:sz w:val="22"/>
        </w:rPr>
        <w:t>payments in SFY18. Budget Period 1 funds for each DSTI hospital will be equal to the sum of half of the hospital’s glide path payments in SFY18 and SFY19. Budget Periods 2 through 4 for each DSTI hospital will be sourced</w:t>
      </w:r>
      <w:r>
        <w:rPr>
          <w:spacing w:val="-8"/>
          <w:sz w:val="22"/>
        </w:rPr>
        <w:t> </w:t>
      </w:r>
      <w:r>
        <w:rPr>
          <w:sz w:val="22"/>
        </w:rPr>
        <w:t>by</w:t>
      </w:r>
      <w:r>
        <w:rPr>
          <w:spacing w:val="-9"/>
          <w:sz w:val="22"/>
        </w:rPr>
        <w:t> </w:t>
      </w:r>
      <w:r>
        <w:rPr>
          <w:sz w:val="22"/>
        </w:rPr>
        <w:t>the</w:t>
      </w:r>
      <w:r>
        <w:rPr>
          <w:spacing w:val="-8"/>
          <w:sz w:val="22"/>
        </w:rPr>
        <w:t> </w:t>
      </w:r>
      <w:r>
        <w:rPr>
          <w:sz w:val="22"/>
        </w:rPr>
        <w:t>same</w:t>
      </w:r>
      <w:r>
        <w:rPr>
          <w:spacing w:val="-6"/>
          <w:sz w:val="22"/>
        </w:rPr>
        <w:t> </w:t>
      </w:r>
      <w:r>
        <w:rPr>
          <w:sz w:val="22"/>
        </w:rPr>
        <w:t>funding</w:t>
      </w:r>
      <w:r>
        <w:rPr>
          <w:spacing w:val="-9"/>
          <w:sz w:val="22"/>
        </w:rPr>
        <w:t> </w:t>
      </w:r>
      <w:r>
        <w:rPr>
          <w:sz w:val="22"/>
        </w:rPr>
        <w:t>pattern</w:t>
      </w:r>
      <w:r>
        <w:rPr>
          <w:spacing w:val="-9"/>
          <w:sz w:val="22"/>
        </w:rPr>
        <w:t> </w:t>
      </w:r>
      <w:r>
        <w:rPr>
          <w:sz w:val="22"/>
        </w:rPr>
        <w:t>as</w:t>
      </w:r>
      <w:r>
        <w:rPr>
          <w:spacing w:val="-8"/>
          <w:sz w:val="22"/>
        </w:rPr>
        <w:t> </w:t>
      </w:r>
      <w:r>
        <w:rPr>
          <w:sz w:val="22"/>
        </w:rPr>
        <w:t>Budget</w:t>
      </w:r>
      <w:r>
        <w:rPr>
          <w:spacing w:val="-5"/>
          <w:sz w:val="22"/>
        </w:rPr>
        <w:t> </w:t>
      </w:r>
      <w:r>
        <w:rPr>
          <w:sz w:val="22"/>
        </w:rPr>
        <w:t>Period</w:t>
      </w:r>
      <w:r>
        <w:rPr>
          <w:spacing w:val="-11"/>
          <w:sz w:val="22"/>
        </w:rPr>
        <w:t> </w:t>
      </w:r>
      <w:r>
        <w:rPr>
          <w:sz w:val="22"/>
        </w:rPr>
        <w:t>1.</w:t>
      </w:r>
      <w:r>
        <w:rPr>
          <w:spacing w:val="-6"/>
          <w:sz w:val="22"/>
        </w:rPr>
        <w:t> </w:t>
      </w:r>
      <w:r>
        <w:rPr>
          <w:sz w:val="22"/>
        </w:rPr>
        <w:t>Budget</w:t>
      </w:r>
      <w:r>
        <w:rPr>
          <w:spacing w:val="-5"/>
          <w:sz w:val="22"/>
        </w:rPr>
        <w:t> </w:t>
      </w:r>
      <w:r>
        <w:rPr>
          <w:sz w:val="22"/>
        </w:rPr>
        <w:t>Period</w:t>
      </w:r>
      <w:r>
        <w:rPr>
          <w:spacing w:val="-9"/>
          <w:sz w:val="22"/>
        </w:rPr>
        <w:t> </w:t>
      </w:r>
      <w:r>
        <w:rPr>
          <w:sz w:val="22"/>
        </w:rPr>
        <w:t>5</w:t>
      </w:r>
      <w:r>
        <w:rPr>
          <w:spacing w:val="-8"/>
          <w:sz w:val="22"/>
        </w:rPr>
        <w:t> </w:t>
      </w:r>
      <w:r>
        <w:rPr>
          <w:sz w:val="22"/>
        </w:rPr>
        <w:t>funds</w:t>
      </w:r>
      <w:r>
        <w:rPr>
          <w:spacing w:val="-6"/>
          <w:sz w:val="22"/>
        </w:rPr>
        <w:t> </w:t>
      </w:r>
      <w:r>
        <w:rPr>
          <w:sz w:val="22"/>
        </w:rPr>
        <w:t>for</w:t>
      </w:r>
      <w:r>
        <w:rPr>
          <w:spacing w:val="-5"/>
          <w:sz w:val="22"/>
        </w:rPr>
        <w:t> </w:t>
      </w:r>
      <w:r>
        <w:rPr>
          <w:sz w:val="22"/>
        </w:rPr>
        <w:t>each</w:t>
      </w:r>
      <w:r>
        <w:rPr>
          <w:spacing w:val="-9"/>
          <w:sz w:val="22"/>
        </w:rPr>
        <w:t> </w:t>
      </w:r>
      <w:r>
        <w:rPr>
          <w:sz w:val="22"/>
        </w:rPr>
        <w:t>DSTI</w:t>
      </w:r>
      <w:r>
        <w:rPr>
          <w:spacing w:val="-10"/>
          <w:sz w:val="22"/>
        </w:rPr>
        <w:t> </w:t>
      </w:r>
      <w:r>
        <w:rPr>
          <w:sz w:val="22"/>
        </w:rPr>
        <w:t>hospital</w:t>
      </w:r>
      <w:r>
        <w:rPr>
          <w:spacing w:val="-8"/>
          <w:sz w:val="22"/>
        </w:rPr>
        <w:t> </w:t>
      </w:r>
      <w:r>
        <w:rPr>
          <w:sz w:val="22"/>
        </w:rPr>
        <w:t>will be equal to half of the hospital’s glide path payments in SFY22. See Exhibit 11 for a table displaying the DSTI glide path funding by Budget Period.</w:t>
      </w:r>
    </w:p>
    <w:p>
      <w:pPr>
        <w:spacing w:after="0"/>
        <w:jc w:val="both"/>
        <w:rPr>
          <w:sz w:val="22"/>
        </w:rPr>
        <w:sectPr>
          <w:pgSz w:w="12240" w:h="15840"/>
          <w:pgMar w:header="0" w:footer="967" w:top="1360" w:bottom="1160" w:left="220" w:right="340"/>
        </w:sectPr>
      </w:pPr>
    </w:p>
    <w:p>
      <w:pPr>
        <w:tabs>
          <w:tab w:pos="11215" w:val="left" w:leader="none"/>
        </w:tabs>
        <w:spacing w:before="78" w:after="23"/>
        <w:ind w:left="1219" w:right="0" w:firstLine="0"/>
        <w:jc w:val="left"/>
        <w:rPr>
          <w:sz w:val="22"/>
        </w:rPr>
      </w:pPr>
      <w:r>
        <w:rPr>
          <w:sz w:val="22"/>
          <w:u w:val="single"/>
        </w:rPr>
        <w:t>EXHIBIT</w:t>
      </w:r>
      <w:r>
        <w:rPr>
          <w:spacing w:val="-1"/>
          <w:sz w:val="22"/>
          <w:u w:val="single"/>
        </w:rPr>
        <w:t> </w:t>
      </w:r>
      <w:r>
        <w:rPr>
          <w:sz w:val="22"/>
          <w:u w:val="single"/>
        </w:rPr>
        <w:t>11</w:t>
      </w:r>
      <w:r>
        <w:rPr>
          <w:spacing w:val="-1"/>
          <w:sz w:val="22"/>
          <w:u w:val="single"/>
        </w:rPr>
        <w:t> </w:t>
      </w:r>
      <w:r>
        <w:rPr>
          <w:sz w:val="22"/>
          <w:u w:val="single"/>
        </w:rPr>
        <w:t>–</w:t>
      </w:r>
      <w:r>
        <w:rPr>
          <w:spacing w:val="-2"/>
          <w:sz w:val="22"/>
          <w:u w:val="single"/>
        </w:rPr>
        <w:t> </w:t>
      </w:r>
      <w:r>
        <w:rPr>
          <w:sz w:val="22"/>
          <w:u w:val="single"/>
        </w:rPr>
        <w:t>DSTI</w:t>
      </w:r>
      <w:r>
        <w:rPr>
          <w:spacing w:val="-6"/>
          <w:sz w:val="22"/>
          <w:u w:val="single"/>
        </w:rPr>
        <w:t> </w:t>
      </w:r>
      <w:r>
        <w:rPr>
          <w:sz w:val="22"/>
          <w:u w:val="single"/>
        </w:rPr>
        <w:t>Glide</w:t>
      </w:r>
      <w:r>
        <w:rPr>
          <w:spacing w:val="-4"/>
          <w:sz w:val="22"/>
          <w:u w:val="single"/>
        </w:rPr>
        <w:t> </w:t>
      </w:r>
      <w:r>
        <w:rPr>
          <w:sz w:val="22"/>
          <w:u w:val="single"/>
        </w:rPr>
        <w:t>Path</w:t>
      </w:r>
      <w:r>
        <w:rPr>
          <w:spacing w:val="-2"/>
          <w:sz w:val="22"/>
          <w:u w:val="single"/>
        </w:rPr>
        <w:t> </w:t>
      </w:r>
      <w:r>
        <w:rPr>
          <w:sz w:val="22"/>
          <w:u w:val="single"/>
        </w:rPr>
        <w:t>Funding</w:t>
      </w:r>
      <w:r>
        <w:rPr>
          <w:spacing w:val="-5"/>
          <w:sz w:val="22"/>
          <w:u w:val="single"/>
        </w:rPr>
        <w:t> </w:t>
      </w:r>
      <w:r>
        <w:rPr>
          <w:sz w:val="22"/>
          <w:u w:val="single"/>
        </w:rPr>
        <w:t>by</w:t>
      </w:r>
      <w:r>
        <w:rPr>
          <w:spacing w:val="-5"/>
          <w:sz w:val="22"/>
          <w:u w:val="single"/>
        </w:rPr>
        <w:t> </w:t>
      </w:r>
      <w:r>
        <w:rPr>
          <w:sz w:val="22"/>
          <w:u w:val="single"/>
        </w:rPr>
        <w:t>Budget</w:t>
      </w:r>
      <w:r>
        <w:rPr>
          <w:spacing w:val="-1"/>
          <w:sz w:val="22"/>
          <w:u w:val="single"/>
        </w:rPr>
        <w:t> </w:t>
      </w:r>
      <w:r>
        <w:rPr>
          <w:sz w:val="22"/>
          <w:u w:val="single"/>
        </w:rPr>
        <w:t>Period</w:t>
      </w:r>
      <w:r>
        <w:rPr>
          <w:spacing w:val="-2"/>
          <w:sz w:val="22"/>
          <w:u w:val="single"/>
        </w:rPr>
        <w:t> </w:t>
      </w:r>
      <w:r>
        <w:rPr>
          <w:sz w:val="22"/>
          <w:u w:val="single"/>
        </w:rPr>
        <w:t>($</w:t>
      </w:r>
      <w:r>
        <w:rPr>
          <w:spacing w:val="-4"/>
          <w:sz w:val="22"/>
          <w:u w:val="single"/>
        </w:rPr>
        <w:t> </w:t>
      </w:r>
      <w:r>
        <w:rPr>
          <w:spacing w:val="-2"/>
          <w:sz w:val="22"/>
          <w:u w:val="single"/>
        </w:rPr>
        <w:t>Millions)</w:t>
      </w:r>
      <w:r>
        <w:rPr>
          <w:sz w:val="22"/>
          <w:u w:val="single"/>
        </w:rPr>
        <w:tab/>
      </w:r>
    </w:p>
    <w:tbl>
      <w:tblPr>
        <w:tblW w:w="0" w:type="auto"/>
        <w:jc w:val="left"/>
        <w:tblInd w:w="1348" w:type="dxa"/>
        <w:tblBorders>
          <w:top w:val="single" w:sz="8" w:space="0" w:color="BEBEBE"/>
          <w:left w:val="single" w:sz="8" w:space="0" w:color="BEBEBE"/>
          <w:bottom w:val="single" w:sz="8" w:space="0" w:color="BEBEBE"/>
          <w:right w:val="single" w:sz="8" w:space="0" w:color="BEBEBE"/>
          <w:insideH w:val="single" w:sz="8" w:space="0" w:color="BEBEBE"/>
          <w:insideV w:val="single" w:sz="8" w:space="0" w:color="BEBEBE"/>
        </w:tblBorders>
        <w:tblLayout w:type="fixed"/>
        <w:tblCellMar>
          <w:top w:w="0" w:type="dxa"/>
          <w:left w:w="0" w:type="dxa"/>
          <w:bottom w:w="0" w:type="dxa"/>
          <w:right w:w="0" w:type="dxa"/>
        </w:tblCellMar>
        <w:tblLook w:val="01E0"/>
      </w:tblPr>
      <w:tblGrid>
        <w:gridCol w:w="2921"/>
        <w:gridCol w:w="979"/>
        <w:gridCol w:w="981"/>
        <w:gridCol w:w="979"/>
        <w:gridCol w:w="979"/>
        <w:gridCol w:w="981"/>
        <w:gridCol w:w="979"/>
        <w:gridCol w:w="960"/>
      </w:tblGrid>
      <w:tr>
        <w:trPr>
          <w:trHeight w:val="407" w:hRule="atLeast"/>
        </w:trPr>
        <w:tc>
          <w:tcPr>
            <w:tcW w:w="9759" w:type="dxa"/>
            <w:gridSpan w:val="8"/>
            <w:shd w:val="clear" w:color="auto" w:fill="1F487C"/>
          </w:tcPr>
          <w:p>
            <w:pPr>
              <w:pStyle w:val="TableParagraph"/>
              <w:ind w:left="2773" w:right="2755"/>
              <w:jc w:val="center"/>
              <w:rPr>
                <w:b/>
                <w:sz w:val="20"/>
              </w:rPr>
            </w:pPr>
            <w:r>
              <w:rPr>
                <w:b/>
                <w:color w:val="FFFFFF"/>
                <w:sz w:val="20"/>
              </w:rPr>
              <w:t>DSTI</w:t>
            </w:r>
            <w:r>
              <w:rPr>
                <w:b/>
                <w:color w:val="FFFFFF"/>
                <w:spacing w:val="-8"/>
                <w:sz w:val="20"/>
              </w:rPr>
              <w:t> </w:t>
            </w:r>
            <w:r>
              <w:rPr>
                <w:b/>
                <w:color w:val="FFFFFF"/>
                <w:sz w:val="20"/>
              </w:rPr>
              <w:t>Glide</w:t>
            </w:r>
            <w:r>
              <w:rPr>
                <w:b/>
                <w:color w:val="FFFFFF"/>
                <w:spacing w:val="-5"/>
                <w:sz w:val="20"/>
              </w:rPr>
              <w:t> </w:t>
            </w:r>
            <w:r>
              <w:rPr>
                <w:b/>
                <w:color w:val="FFFFFF"/>
                <w:sz w:val="20"/>
              </w:rPr>
              <w:t>Path</w:t>
            </w:r>
            <w:r>
              <w:rPr>
                <w:b/>
                <w:color w:val="FFFFFF"/>
                <w:spacing w:val="-6"/>
                <w:sz w:val="20"/>
              </w:rPr>
              <w:t> </w:t>
            </w:r>
            <w:r>
              <w:rPr>
                <w:b/>
                <w:color w:val="FFFFFF"/>
                <w:sz w:val="20"/>
              </w:rPr>
              <w:t>Funding</w:t>
            </w:r>
            <w:r>
              <w:rPr>
                <w:b/>
                <w:color w:val="FFFFFF"/>
                <w:spacing w:val="-4"/>
                <w:sz w:val="20"/>
              </w:rPr>
              <w:t> </w:t>
            </w:r>
            <w:r>
              <w:rPr>
                <w:b/>
                <w:color w:val="FFFFFF"/>
                <w:sz w:val="20"/>
              </w:rPr>
              <w:t>($M)</w:t>
            </w:r>
            <w:r>
              <w:rPr>
                <w:b/>
                <w:color w:val="FFFFFF"/>
                <w:spacing w:val="-4"/>
                <w:sz w:val="20"/>
              </w:rPr>
              <w:t> </w:t>
            </w:r>
            <w:r>
              <w:rPr>
                <w:b/>
                <w:color w:val="FFFFFF"/>
                <w:sz w:val="20"/>
              </w:rPr>
              <w:t>by</w:t>
            </w:r>
            <w:r>
              <w:rPr>
                <w:b/>
                <w:color w:val="FFFFFF"/>
                <w:spacing w:val="-4"/>
                <w:sz w:val="20"/>
              </w:rPr>
              <w:t> </w:t>
            </w:r>
            <w:r>
              <w:rPr>
                <w:b/>
                <w:color w:val="FFFFFF"/>
                <w:sz w:val="20"/>
              </w:rPr>
              <w:t>Budget</w:t>
            </w:r>
            <w:r>
              <w:rPr>
                <w:b/>
                <w:color w:val="FFFFFF"/>
                <w:spacing w:val="-4"/>
                <w:sz w:val="20"/>
              </w:rPr>
              <w:t> </w:t>
            </w:r>
            <w:r>
              <w:rPr>
                <w:b/>
                <w:color w:val="FFFFFF"/>
                <w:spacing w:val="-2"/>
                <w:sz w:val="20"/>
              </w:rPr>
              <w:t>Period</w:t>
            </w:r>
          </w:p>
        </w:tc>
      </w:tr>
      <w:tr>
        <w:trPr>
          <w:trHeight w:val="409" w:hRule="atLeast"/>
        </w:trPr>
        <w:tc>
          <w:tcPr>
            <w:tcW w:w="2921" w:type="dxa"/>
            <w:shd w:val="clear" w:color="auto" w:fill="D9D9D9"/>
          </w:tcPr>
          <w:p>
            <w:pPr>
              <w:pStyle w:val="TableParagraph"/>
              <w:ind w:left="107"/>
              <w:rPr>
                <w:b/>
                <w:sz w:val="20"/>
              </w:rPr>
            </w:pPr>
            <w:r>
              <w:rPr>
                <w:b/>
                <w:sz w:val="20"/>
              </w:rPr>
              <w:t>Hospital</w:t>
            </w:r>
            <w:r>
              <w:rPr>
                <w:b/>
                <w:spacing w:val="-8"/>
                <w:sz w:val="20"/>
              </w:rPr>
              <w:t> </w:t>
            </w:r>
            <w:r>
              <w:rPr>
                <w:b/>
                <w:spacing w:val="-2"/>
                <w:sz w:val="20"/>
              </w:rPr>
              <w:t>Provider</w:t>
            </w:r>
          </w:p>
        </w:tc>
        <w:tc>
          <w:tcPr>
            <w:tcW w:w="979" w:type="dxa"/>
            <w:shd w:val="clear" w:color="auto" w:fill="D9D9D9"/>
          </w:tcPr>
          <w:p>
            <w:pPr>
              <w:pStyle w:val="TableParagraph"/>
              <w:ind w:left="104" w:right="89"/>
              <w:jc w:val="center"/>
              <w:rPr>
                <w:b/>
                <w:sz w:val="20"/>
              </w:rPr>
            </w:pPr>
            <w:r>
              <w:rPr>
                <w:b/>
                <w:sz w:val="20"/>
              </w:rPr>
              <w:t>Prep</w:t>
            </w:r>
            <w:r>
              <w:rPr>
                <w:b/>
                <w:spacing w:val="-5"/>
                <w:sz w:val="20"/>
              </w:rPr>
              <w:t> BP</w:t>
            </w:r>
          </w:p>
        </w:tc>
        <w:tc>
          <w:tcPr>
            <w:tcW w:w="981" w:type="dxa"/>
            <w:shd w:val="clear" w:color="auto" w:fill="D9D9D9"/>
          </w:tcPr>
          <w:p>
            <w:pPr>
              <w:pStyle w:val="TableParagraph"/>
              <w:ind w:left="110" w:right="94"/>
              <w:jc w:val="center"/>
              <w:rPr>
                <w:b/>
                <w:sz w:val="20"/>
              </w:rPr>
            </w:pPr>
            <w:r>
              <w:rPr>
                <w:b/>
                <w:sz w:val="20"/>
              </w:rPr>
              <w:t>BP</w:t>
            </w:r>
            <w:r>
              <w:rPr>
                <w:b/>
                <w:spacing w:val="-1"/>
                <w:sz w:val="20"/>
              </w:rPr>
              <w:t> </w:t>
            </w:r>
            <w:r>
              <w:rPr>
                <w:b/>
                <w:spacing w:val="-10"/>
                <w:sz w:val="20"/>
              </w:rPr>
              <w:t>1</w:t>
            </w:r>
          </w:p>
        </w:tc>
        <w:tc>
          <w:tcPr>
            <w:tcW w:w="979" w:type="dxa"/>
            <w:shd w:val="clear" w:color="auto" w:fill="D9D9D9"/>
          </w:tcPr>
          <w:p>
            <w:pPr>
              <w:pStyle w:val="TableParagraph"/>
              <w:ind w:left="103" w:right="89"/>
              <w:jc w:val="center"/>
              <w:rPr>
                <w:b/>
                <w:sz w:val="20"/>
              </w:rPr>
            </w:pPr>
            <w:r>
              <w:rPr>
                <w:b/>
                <w:sz w:val="20"/>
              </w:rPr>
              <w:t>BP</w:t>
            </w:r>
            <w:r>
              <w:rPr>
                <w:b/>
                <w:spacing w:val="-1"/>
                <w:sz w:val="20"/>
              </w:rPr>
              <w:t> </w:t>
            </w:r>
            <w:r>
              <w:rPr>
                <w:b/>
                <w:spacing w:val="-10"/>
                <w:sz w:val="20"/>
              </w:rPr>
              <w:t>2</w:t>
            </w:r>
          </w:p>
        </w:tc>
        <w:tc>
          <w:tcPr>
            <w:tcW w:w="979" w:type="dxa"/>
            <w:shd w:val="clear" w:color="auto" w:fill="D9D9D9"/>
          </w:tcPr>
          <w:p>
            <w:pPr>
              <w:pStyle w:val="TableParagraph"/>
              <w:ind w:left="105" w:right="86"/>
              <w:jc w:val="center"/>
              <w:rPr>
                <w:b/>
                <w:sz w:val="20"/>
              </w:rPr>
            </w:pPr>
            <w:r>
              <w:rPr>
                <w:b/>
                <w:sz w:val="20"/>
              </w:rPr>
              <w:t>BP</w:t>
            </w:r>
            <w:r>
              <w:rPr>
                <w:b/>
                <w:spacing w:val="-1"/>
                <w:sz w:val="20"/>
              </w:rPr>
              <w:t> </w:t>
            </w:r>
            <w:r>
              <w:rPr>
                <w:b/>
                <w:spacing w:val="-10"/>
                <w:sz w:val="20"/>
              </w:rPr>
              <w:t>3</w:t>
            </w:r>
          </w:p>
        </w:tc>
        <w:tc>
          <w:tcPr>
            <w:tcW w:w="981" w:type="dxa"/>
            <w:shd w:val="clear" w:color="auto" w:fill="D9D9D9"/>
          </w:tcPr>
          <w:p>
            <w:pPr>
              <w:pStyle w:val="TableParagraph"/>
              <w:ind w:left="112" w:right="92"/>
              <w:jc w:val="center"/>
              <w:rPr>
                <w:b/>
                <w:sz w:val="20"/>
              </w:rPr>
            </w:pPr>
            <w:r>
              <w:rPr>
                <w:b/>
                <w:spacing w:val="-5"/>
                <w:sz w:val="20"/>
              </w:rPr>
              <w:t>BP4</w:t>
            </w:r>
          </w:p>
        </w:tc>
        <w:tc>
          <w:tcPr>
            <w:tcW w:w="979" w:type="dxa"/>
            <w:shd w:val="clear" w:color="auto" w:fill="D9D9D9"/>
          </w:tcPr>
          <w:p>
            <w:pPr>
              <w:pStyle w:val="TableParagraph"/>
              <w:ind w:left="105" w:right="86"/>
              <w:jc w:val="center"/>
              <w:rPr>
                <w:b/>
                <w:sz w:val="20"/>
              </w:rPr>
            </w:pPr>
            <w:r>
              <w:rPr>
                <w:b/>
                <w:spacing w:val="-5"/>
                <w:sz w:val="20"/>
              </w:rPr>
              <w:t>BP5</w:t>
            </w:r>
          </w:p>
        </w:tc>
        <w:tc>
          <w:tcPr>
            <w:tcW w:w="960" w:type="dxa"/>
            <w:shd w:val="clear" w:color="auto" w:fill="D9D9D9"/>
          </w:tcPr>
          <w:p>
            <w:pPr>
              <w:pStyle w:val="TableParagraph"/>
              <w:ind w:left="253"/>
              <w:rPr>
                <w:b/>
                <w:sz w:val="20"/>
              </w:rPr>
            </w:pPr>
            <w:r>
              <w:rPr>
                <w:b/>
                <w:spacing w:val="-2"/>
                <w:sz w:val="20"/>
              </w:rPr>
              <w:t>Total</w:t>
            </w:r>
          </w:p>
        </w:tc>
      </w:tr>
      <w:tr>
        <w:trPr>
          <w:trHeight w:val="407" w:hRule="atLeast"/>
        </w:trPr>
        <w:tc>
          <w:tcPr>
            <w:tcW w:w="2921" w:type="dxa"/>
            <w:shd w:val="clear" w:color="auto" w:fill="DCE6F0"/>
          </w:tcPr>
          <w:p>
            <w:pPr>
              <w:pStyle w:val="TableParagraph"/>
              <w:ind w:left="107"/>
              <w:rPr>
                <w:sz w:val="20"/>
              </w:rPr>
            </w:pPr>
            <w:r>
              <w:rPr>
                <w:sz w:val="20"/>
              </w:rPr>
              <w:t>Boston</w:t>
            </w:r>
            <w:r>
              <w:rPr>
                <w:spacing w:val="-7"/>
                <w:sz w:val="20"/>
              </w:rPr>
              <w:t> </w:t>
            </w:r>
            <w:r>
              <w:rPr>
                <w:sz w:val="20"/>
              </w:rPr>
              <w:t>Medical</w:t>
            </w:r>
            <w:r>
              <w:rPr>
                <w:spacing w:val="-6"/>
                <w:sz w:val="20"/>
              </w:rPr>
              <w:t> </w:t>
            </w:r>
            <w:r>
              <w:rPr>
                <w:spacing w:val="-2"/>
                <w:sz w:val="20"/>
              </w:rPr>
              <w:t>Center</w:t>
            </w:r>
          </w:p>
        </w:tc>
        <w:tc>
          <w:tcPr>
            <w:tcW w:w="979" w:type="dxa"/>
          </w:tcPr>
          <w:p>
            <w:pPr>
              <w:pStyle w:val="TableParagraph"/>
              <w:ind w:left="105" w:right="86"/>
              <w:jc w:val="center"/>
              <w:rPr>
                <w:sz w:val="20"/>
              </w:rPr>
            </w:pPr>
            <w:r>
              <w:rPr>
                <w:spacing w:val="-2"/>
                <w:sz w:val="20"/>
              </w:rPr>
              <w:t>$11.87M</w:t>
            </w:r>
          </w:p>
        </w:tc>
        <w:tc>
          <w:tcPr>
            <w:tcW w:w="981" w:type="dxa"/>
          </w:tcPr>
          <w:p>
            <w:pPr>
              <w:pStyle w:val="TableParagraph"/>
              <w:ind w:left="112" w:right="94"/>
              <w:jc w:val="center"/>
              <w:rPr>
                <w:sz w:val="20"/>
              </w:rPr>
            </w:pPr>
            <w:r>
              <w:rPr>
                <w:spacing w:val="-2"/>
                <w:sz w:val="20"/>
              </w:rPr>
              <w:t>$18.64M</w:t>
            </w:r>
          </w:p>
        </w:tc>
        <w:tc>
          <w:tcPr>
            <w:tcW w:w="979" w:type="dxa"/>
          </w:tcPr>
          <w:p>
            <w:pPr>
              <w:pStyle w:val="TableParagraph"/>
              <w:ind w:left="105" w:right="89"/>
              <w:jc w:val="center"/>
              <w:rPr>
                <w:sz w:val="20"/>
              </w:rPr>
            </w:pPr>
            <w:r>
              <w:rPr>
                <w:spacing w:val="-2"/>
                <w:sz w:val="20"/>
              </w:rPr>
              <w:t>$11.81M</w:t>
            </w:r>
          </w:p>
        </w:tc>
        <w:tc>
          <w:tcPr>
            <w:tcW w:w="979" w:type="dxa"/>
          </w:tcPr>
          <w:p>
            <w:pPr>
              <w:pStyle w:val="TableParagraph"/>
              <w:ind w:left="105" w:right="82"/>
              <w:jc w:val="center"/>
              <w:rPr>
                <w:sz w:val="20"/>
              </w:rPr>
            </w:pPr>
            <w:r>
              <w:rPr>
                <w:spacing w:val="-2"/>
                <w:sz w:val="20"/>
              </w:rPr>
              <w:t>$8.96M</w:t>
            </w:r>
          </w:p>
        </w:tc>
        <w:tc>
          <w:tcPr>
            <w:tcW w:w="981" w:type="dxa"/>
          </w:tcPr>
          <w:p>
            <w:pPr>
              <w:pStyle w:val="TableParagraph"/>
              <w:ind w:left="112" w:right="90"/>
              <w:jc w:val="center"/>
              <w:rPr>
                <w:sz w:val="20"/>
              </w:rPr>
            </w:pPr>
            <w:r>
              <w:rPr>
                <w:spacing w:val="-2"/>
                <w:sz w:val="20"/>
              </w:rPr>
              <w:t>$7.06M</w:t>
            </w:r>
          </w:p>
        </w:tc>
        <w:tc>
          <w:tcPr>
            <w:tcW w:w="979" w:type="dxa"/>
          </w:tcPr>
          <w:p>
            <w:pPr>
              <w:pStyle w:val="TableParagraph"/>
              <w:ind w:left="105" w:right="85"/>
              <w:jc w:val="center"/>
              <w:rPr>
                <w:sz w:val="20"/>
              </w:rPr>
            </w:pPr>
            <w:r>
              <w:rPr>
                <w:spacing w:val="-2"/>
                <w:sz w:val="20"/>
              </w:rPr>
              <w:t>$3.15M</w:t>
            </w:r>
          </w:p>
        </w:tc>
        <w:tc>
          <w:tcPr>
            <w:tcW w:w="960" w:type="dxa"/>
          </w:tcPr>
          <w:p>
            <w:pPr>
              <w:pStyle w:val="TableParagraph"/>
              <w:ind w:left="111"/>
              <w:rPr>
                <w:b/>
                <w:sz w:val="20"/>
              </w:rPr>
            </w:pPr>
            <w:r>
              <w:rPr>
                <w:b/>
                <w:spacing w:val="-2"/>
                <w:sz w:val="20"/>
              </w:rPr>
              <w:t>$61.49M</w:t>
            </w:r>
          </w:p>
        </w:tc>
      </w:tr>
      <w:tr>
        <w:trPr>
          <w:trHeight w:val="407" w:hRule="atLeast"/>
        </w:trPr>
        <w:tc>
          <w:tcPr>
            <w:tcW w:w="2921" w:type="dxa"/>
            <w:shd w:val="clear" w:color="auto" w:fill="DCE6F0"/>
          </w:tcPr>
          <w:p>
            <w:pPr>
              <w:pStyle w:val="TableParagraph"/>
              <w:ind w:left="107"/>
              <w:rPr>
                <w:sz w:val="20"/>
              </w:rPr>
            </w:pPr>
            <w:r>
              <w:rPr>
                <w:sz w:val="20"/>
              </w:rPr>
              <w:t>Cambridge</w:t>
            </w:r>
            <w:r>
              <w:rPr>
                <w:spacing w:val="-9"/>
                <w:sz w:val="20"/>
              </w:rPr>
              <w:t> </w:t>
            </w:r>
            <w:r>
              <w:rPr>
                <w:sz w:val="20"/>
              </w:rPr>
              <w:t>Health</w:t>
            </w:r>
            <w:r>
              <w:rPr>
                <w:spacing w:val="-8"/>
                <w:sz w:val="20"/>
              </w:rPr>
              <w:t> </w:t>
            </w:r>
            <w:r>
              <w:rPr>
                <w:spacing w:val="-2"/>
                <w:sz w:val="20"/>
              </w:rPr>
              <w:t>Alliance</w:t>
            </w:r>
          </w:p>
        </w:tc>
        <w:tc>
          <w:tcPr>
            <w:tcW w:w="979" w:type="dxa"/>
          </w:tcPr>
          <w:p>
            <w:pPr>
              <w:pStyle w:val="TableParagraph"/>
              <w:ind w:left="105" w:right="84"/>
              <w:jc w:val="center"/>
              <w:rPr>
                <w:sz w:val="20"/>
              </w:rPr>
            </w:pPr>
            <w:r>
              <w:rPr>
                <w:spacing w:val="-2"/>
                <w:sz w:val="20"/>
              </w:rPr>
              <w:t>$6.04M</w:t>
            </w:r>
          </w:p>
        </w:tc>
        <w:tc>
          <w:tcPr>
            <w:tcW w:w="981" w:type="dxa"/>
          </w:tcPr>
          <w:p>
            <w:pPr>
              <w:pStyle w:val="TableParagraph"/>
              <w:ind w:left="112" w:right="94"/>
              <w:jc w:val="center"/>
              <w:rPr>
                <w:sz w:val="20"/>
              </w:rPr>
            </w:pPr>
            <w:r>
              <w:rPr>
                <w:spacing w:val="-2"/>
                <w:sz w:val="20"/>
              </w:rPr>
              <w:t>$10.27M</w:t>
            </w:r>
          </w:p>
        </w:tc>
        <w:tc>
          <w:tcPr>
            <w:tcW w:w="979" w:type="dxa"/>
          </w:tcPr>
          <w:p>
            <w:pPr>
              <w:pStyle w:val="TableParagraph"/>
              <w:ind w:left="105" w:right="87"/>
              <w:jc w:val="center"/>
              <w:rPr>
                <w:sz w:val="20"/>
              </w:rPr>
            </w:pPr>
            <w:r>
              <w:rPr>
                <w:spacing w:val="-2"/>
                <w:sz w:val="20"/>
              </w:rPr>
              <w:t>$7.41M</w:t>
            </w:r>
          </w:p>
        </w:tc>
        <w:tc>
          <w:tcPr>
            <w:tcW w:w="979" w:type="dxa"/>
          </w:tcPr>
          <w:p>
            <w:pPr>
              <w:pStyle w:val="TableParagraph"/>
              <w:ind w:left="105" w:right="82"/>
              <w:jc w:val="center"/>
              <w:rPr>
                <w:sz w:val="20"/>
              </w:rPr>
            </w:pPr>
            <w:r>
              <w:rPr>
                <w:spacing w:val="-2"/>
                <w:sz w:val="20"/>
              </w:rPr>
              <w:t>$5.23M</w:t>
            </w:r>
          </w:p>
        </w:tc>
        <w:tc>
          <w:tcPr>
            <w:tcW w:w="981" w:type="dxa"/>
          </w:tcPr>
          <w:p>
            <w:pPr>
              <w:pStyle w:val="TableParagraph"/>
              <w:ind w:left="112" w:right="90"/>
              <w:jc w:val="center"/>
              <w:rPr>
                <w:sz w:val="20"/>
              </w:rPr>
            </w:pPr>
            <w:r>
              <w:rPr>
                <w:spacing w:val="-2"/>
                <w:sz w:val="20"/>
              </w:rPr>
              <w:t>$3.55M</w:t>
            </w:r>
          </w:p>
        </w:tc>
        <w:tc>
          <w:tcPr>
            <w:tcW w:w="979" w:type="dxa"/>
          </w:tcPr>
          <w:p>
            <w:pPr>
              <w:pStyle w:val="TableParagraph"/>
              <w:ind w:left="105" w:right="85"/>
              <w:jc w:val="center"/>
              <w:rPr>
                <w:sz w:val="20"/>
              </w:rPr>
            </w:pPr>
            <w:r>
              <w:rPr>
                <w:spacing w:val="-2"/>
                <w:sz w:val="20"/>
              </w:rPr>
              <w:t>$1.50M</w:t>
            </w:r>
          </w:p>
        </w:tc>
        <w:tc>
          <w:tcPr>
            <w:tcW w:w="960" w:type="dxa"/>
          </w:tcPr>
          <w:p>
            <w:pPr>
              <w:pStyle w:val="TableParagraph"/>
              <w:ind w:left="111"/>
              <w:rPr>
                <w:b/>
                <w:sz w:val="20"/>
              </w:rPr>
            </w:pPr>
            <w:r>
              <w:rPr>
                <w:b/>
                <w:spacing w:val="-2"/>
                <w:sz w:val="20"/>
              </w:rPr>
              <w:t>$33.99M</w:t>
            </w:r>
          </w:p>
        </w:tc>
      </w:tr>
      <w:tr>
        <w:trPr>
          <w:trHeight w:val="409" w:hRule="atLeast"/>
        </w:trPr>
        <w:tc>
          <w:tcPr>
            <w:tcW w:w="2921" w:type="dxa"/>
            <w:shd w:val="clear" w:color="auto" w:fill="DCE6F0"/>
          </w:tcPr>
          <w:p>
            <w:pPr>
              <w:pStyle w:val="TableParagraph"/>
              <w:spacing w:before="2"/>
              <w:ind w:left="107"/>
              <w:rPr>
                <w:sz w:val="20"/>
              </w:rPr>
            </w:pPr>
            <w:r>
              <w:rPr>
                <w:sz w:val="20"/>
              </w:rPr>
              <w:t>Holyoke</w:t>
            </w:r>
            <w:r>
              <w:rPr>
                <w:spacing w:val="-8"/>
                <w:sz w:val="20"/>
              </w:rPr>
              <w:t> </w:t>
            </w:r>
            <w:r>
              <w:rPr>
                <w:sz w:val="20"/>
              </w:rPr>
              <w:t>Medical</w:t>
            </w:r>
            <w:r>
              <w:rPr>
                <w:spacing w:val="-8"/>
                <w:sz w:val="20"/>
              </w:rPr>
              <w:t> </w:t>
            </w:r>
            <w:r>
              <w:rPr>
                <w:spacing w:val="-2"/>
                <w:sz w:val="20"/>
              </w:rPr>
              <w:t>Center</w:t>
            </w:r>
          </w:p>
        </w:tc>
        <w:tc>
          <w:tcPr>
            <w:tcW w:w="979" w:type="dxa"/>
          </w:tcPr>
          <w:p>
            <w:pPr>
              <w:pStyle w:val="TableParagraph"/>
              <w:spacing w:before="2"/>
              <w:ind w:left="105" w:right="84"/>
              <w:jc w:val="center"/>
              <w:rPr>
                <w:sz w:val="20"/>
              </w:rPr>
            </w:pPr>
            <w:r>
              <w:rPr>
                <w:spacing w:val="-2"/>
                <w:sz w:val="20"/>
              </w:rPr>
              <w:t>$1.33M</w:t>
            </w:r>
          </w:p>
        </w:tc>
        <w:tc>
          <w:tcPr>
            <w:tcW w:w="981" w:type="dxa"/>
          </w:tcPr>
          <w:p>
            <w:pPr>
              <w:pStyle w:val="TableParagraph"/>
              <w:spacing w:before="2"/>
              <w:ind w:left="112" w:right="92"/>
              <w:jc w:val="center"/>
              <w:rPr>
                <w:sz w:val="20"/>
              </w:rPr>
            </w:pPr>
            <w:r>
              <w:rPr>
                <w:spacing w:val="-2"/>
                <w:sz w:val="20"/>
              </w:rPr>
              <w:t>$2.12M</w:t>
            </w:r>
          </w:p>
        </w:tc>
        <w:tc>
          <w:tcPr>
            <w:tcW w:w="979" w:type="dxa"/>
          </w:tcPr>
          <w:p>
            <w:pPr>
              <w:pStyle w:val="TableParagraph"/>
              <w:spacing w:before="2"/>
              <w:ind w:left="105" w:right="87"/>
              <w:jc w:val="center"/>
              <w:rPr>
                <w:sz w:val="20"/>
              </w:rPr>
            </w:pPr>
            <w:r>
              <w:rPr>
                <w:spacing w:val="-2"/>
                <w:sz w:val="20"/>
              </w:rPr>
              <w:t>$1.40M</w:t>
            </w:r>
          </w:p>
        </w:tc>
        <w:tc>
          <w:tcPr>
            <w:tcW w:w="979" w:type="dxa"/>
          </w:tcPr>
          <w:p>
            <w:pPr>
              <w:pStyle w:val="TableParagraph"/>
              <w:spacing w:before="2"/>
              <w:ind w:left="105" w:right="82"/>
              <w:jc w:val="center"/>
              <w:rPr>
                <w:sz w:val="20"/>
              </w:rPr>
            </w:pPr>
            <w:r>
              <w:rPr>
                <w:spacing w:val="-2"/>
                <w:sz w:val="20"/>
              </w:rPr>
              <w:t>$1.11M</w:t>
            </w:r>
          </w:p>
        </w:tc>
        <w:tc>
          <w:tcPr>
            <w:tcW w:w="981" w:type="dxa"/>
          </w:tcPr>
          <w:p>
            <w:pPr>
              <w:pStyle w:val="TableParagraph"/>
              <w:spacing w:before="2"/>
              <w:ind w:left="112" w:right="90"/>
              <w:jc w:val="center"/>
              <w:rPr>
                <w:sz w:val="20"/>
              </w:rPr>
            </w:pPr>
            <w:r>
              <w:rPr>
                <w:spacing w:val="-2"/>
                <w:sz w:val="20"/>
              </w:rPr>
              <w:t>$0.81M</w:t>
            </w:r>
          </w:p>
        </w:tc>
        <w:tc>
          <w:tcPr>
            <w:tcW w:w="979" w:type="dxa"/>
          </w:tcPr>
          <w:p>
            <w:pPr>
              <w:pStyle w:val="TableParagraph"/>
              <w:spacing w:before="2"/>
              <w:ind w:left="105" w:right="85"/>
              <w:jc w:val="center"/>
              <w:rPr>
                <w:sz w:val="20"/>
              </w:rPr>
            </w:pPr>
            <w:r>
              <w:rPr>
                <w:spacing w:val="-2"/>
                <w:sz w:val="20"/>
              </w:rPr>
              <w:t>$0.32M</w:t>
            </w:r>
          </w:p>
        </w:tc>
        <w:tc>
          <w:tcPr>
            <w:tcW w:w="960" w:type="dxa"/>
          </w:tcPr>
          <w:p>
            <w:pPr>
              <w:pStyle w:val="TableParagraph"/>
              <w:spacing w:before="2"/>
              <w:ind w:left="162"/>
              <w:rPr>
                <w:b/>
                <w:sz w:val="20"/>
              </w:rPr>
            </w:pPr>
            <w:r>
              <w:rPr>
                <w:b/>
                <w:spacing w:val="-2"/>
                <w:sz w:val="20"/>
              </w:rPr>
              <w:t>$7.09M</w:t>
            </w:r>
          </w:p>
        </w:tc>
      </w:tr>
      <w:tr>
        <w:trPr>
          <w:trHeight w:val="407" w:hRule="atLeast"/>
        </w:trPr>
        <w:tc>
          <w:tcPr>
            <w:tcW w:w="2921" w:type="dxa"/>
            <w:shd w:val="clear" w:color="auto" w:fill="DCE6F0"/>
          </w:tcPr>
          <w:p>
            <w:pPr>
              <w:pStyle w:val="TableParagraph"/>
              <w:ind w:left="107"/>
              <w:rPr>
                <w:sz w:val="20"/>
              </w:rPr>
            </w:pPr>
            <w:r>
              <w:rPr>
                <w:sz w:val="20"/>
              </w:rPr>
              <w:t>Lawrence</w:t>
            </w:r>
            <w:r>
              <w:rPr>
                <w:spacing w:val="-10"/>
                <w:sz w:val="20"/>
              </w:rPr>
              <w:t> </w:t>
            </w:r>
            <w:r>
              <w:rPr>
                <w:sz w:val="20"/>
              </w:rPr>
              <w:t>General</w:t>
            </w:r>
            <w:r>
              <w:rPr>
                <w:spacing w:val="-10"/>
                <w:sz w:val="20"/>
              </w:rPr>
              <w:t> </w:t>
            </w:r>
            <w:r>
              <w:rPr>
                <w:spacing w:val="-2"/>
                <w:sz w:val="20"/>
              </w:rPr>
              <w:t>Hospital</w:t>
            </w:r>
          </w:p>
        </w:tc>
        <w:tc>
          <w:tcPr>
            <w:tcW w:w="979" w:type="dxa"/>
          </w:tcPr>
          <w:p>
            <w:pPr>
              <w:pStyle w:val="TableParagraph"/>
              <w:ind w:left="105" w:right="84"/>
              <w:jc w:val="center"/>
              <w:rPr>
                <w:sz w:val="20"/>
              </w:rPr>
            </w:pPr>
            <w:r>
              <w:rPr>
                <w:spacing w:val="-2"/>
                <w:sz w:val="20"/>
              </w:rPr>
              <w:t>$0.29M</w:t>
            </w:r>
          </w:p>
        </w:tc>
        <w:tc>
          <w:tcPr>
            <w:tcW w:w="981" w:type="dxa"/>
          </w:tcPr>
          <w:p>
            <w:pPr>
              <w:pStyle w:val="TableParagraph"/>
              <w:ind w:left="112" w:right="92"/>
              <w:jc w:val="center"/>
              <w:rPr>
                <w:sz w:val="20"/>
              </w:rPr>
            </w:pPr>
            <w:r>
              <w:rPr>
                <w:spacing w:val="-2"/>
                <w:sz w:val="20"/>
              </w:rPr>
              <w:t>$0.46M</w:t>
            </w:r>
          </w:p>
        </w:tc>
        <w:tc>
          <w:tcPr>
            <w:tcW w:w="979" w:type="dxa"/>
          </w:tcPr>
          <w:p>
            <w:pPr>
              <w:pStyle w:val="TableParagraph"/>
              <w:ind w:left="105" w:right="87"/>
              <w:jc w:val="center"/>
              <w:rPr>
                <w:sz w:val="20"/>
              </w:rPr>
            </w:pPr>
            <w:r>
              <w:rPr>
                <w:spacing w:val="-2"/>
                <w:sz w:val="20"/>
              </w:rPr>
              <w:t>$0.30M</w:t>
            </w:r>
          </w:p>
        </w:tc>
        <w:tc>
          <w:tcPr>
            <w:tcW w:w="979" w:type="dxa"/>
          </w:tcPr>
          <w:p>
            <w:pPr>
              <w:pStyle w:val="TableParagraph"/>
              <w:ind w:left="105" w:right="82"/>
              <w:jc w:val="center"/>
              <w:rPr>
                <w:sz w:val="20"/>
              </w:rPr>
            </w:pPr>
            <w:r>
              <w:rPr>
                <w:spacing w:val="-2"/>
                <w:sz w:val="20"/>
              </w:rPr>
              <w:t>$0.23M</w:t>
            </w:r>
          </w:p>
        </w:tc>
        <w:tc>
          <w:tcPr>
            <w:tcW w:w="981" w:type="dxa"/>
          </w:tcPr>
          <w:p>
            <w:pPr>
              <w:pStyle w:val="TableParagraph"/>
              <w:ind w:left="112" w:right="90"/>
              <w:jc w:val="center"/>
              <w:rPr>
                <w:sz w:val="20"/>
              </w:rPr>
            </w:pPr>
            <w:r>
              <w:rPr>
                <w:spacing w:val="-2"/>
                <w:sz w:val="20"/>
              </w:rPr>
              <w:t>$0.32M</w:t>
            </w:r>
          </w:p>
        </w:tc>
        <w:tc>
          <w:tcPr>
            <w:tcW w:w="979" w:type="dxa"/>
          </w:tcPr>
          <w:p>
            <w:pPr>
              <w:pStyle w:val="TableParagraph"/>
              <w:ind w:left="105" w:right="85"/>
              <w:jc w:val="center"/>
              <w:rPr>
                <w:sz w:val="20"/>
              </w:rPr>
            </w:pPr>
            <w:r>
              <w:rPr>
                <w:spacing w:val="-2"/>
                <w:sz w:val="20"/>
              </w:rPr>
              <w:t>$0.21M</w:t>
            </w:r>
          </w:p>
        </w:tc>
        <w:tc>
          <w:tcPr>
            <w:tcW w:w="960" w:type="dxa"/>
          </w:tcPr>
          <w:p>
            <w:pPr>
              <w:pStyle w:val="TableParagraph"/>
              <w:ind w:left="162"/>
              <w:rPr>
                <w:b/>
                <w:sz w:val="20"/>
              </w:rPr>
            </w:pPr>
            <w:r>
              <w:rPr>
                <w:b/>
                <w:spacing w:val="-2"/>
                <w:sz w:val="20"/>
              </w:rPr>
              <w:t>$1.81M</w:t>
            </w:r>
          </w:p>
        </w:tc>
      </w:tr>
      <w:tr>
        <w:trPr>
          <w:trHeight w:val="409" w:hRule="atLeast"/>
        </w:trPr>
        <w:tc>
          <w:tcPr>
            <w:tcW w:w="2921" w:type="dxa"/>
            <w:shd w:val="clear" w:color="auto" w:fill="DCE6F0"/>
          </w:tcPr>
          <w:p>
            <w:pPr>
              <w:pStyle w:val="TableParagraph"/>
              <w:spacing w:before="2"/>
              <w:ind w:left="107"/>
              <w:rPr>
                <w:sz w:val="20"/>
              </w:rPr>
            </w:pPr>
            <w:r>
              <w:rPr>
                <w:sz w:val="20"/>
              </w:rPr>
              <w:t>Mercy</w:t>
            </w:r>
            <w:r>
              <w:rPr>
                <w:spacing w:val="-9"/>
                <w:sz w:val="20"/>
              </w:rPr>
              <w:t> </w:t>
            </w:r>
            <w:r>
              <w:rPr>
                <w:sz w:val="20"/>
              </w:rPr>
              <w:t>Medical</w:t>
            </w:r>
            <w:r>
              <w:rPr>
                <w:spacing w:val="-5"/>
                <w:sz w:val="20"/>
              </w:rPr>
              <w:t> </w:t>
            </w:r>
            <w:r>
              <w:rPr>
                <w:spacing w:val="-2"/>
                <w:sz w:val="20"/>
              </w:rPr>
              <w:t>Center</w:t>
            </w:r>
          </w:p>
        </w:tc>
        <w:tc>
          <w:tcPr>
            <w:tcW w:w="979" w:type="dxa"/>
          </w:tcPr>
          <w:p>
            <w:pPr>
              <w:pStyle w:val="TableParagraph"/>
              <w:spacing w:before="2"/>
              <w:ind w:left="105" w:right="84"/>
              <w:jc w:val="center"/>
              <w:rPr>
                <w:sz w:val="20"/>
              </w:rPr>
            </w:pPr>
            <w:r>
              <w:rPr>
                <w:spacing w:val="-2"/>
                <w:sz w:val="20"/>
              </w:rPr>
              <w:t>$0.59M</w:t>
            </w:r>
          </w:p>
        </w:tc>
        <w:tc>
          <w:tcPr>
            <w:tcW w:w="981" w:type="dxa"/>
          </w:tcPr>
          <w:p>
            <w:pPr>
              <w:pStyle w:val="TableParagraph"/>
              <w:spacing w:before="2"/>
              <w:ind w:left="112" w:right="92"/>
              <w:jc w:val="center"/>
              <w:rPr>
                <w:sz w:val="20"/>
              </w:rPr>
            </w:pPr>
            <w:r>
              <w:rPr>
                <w:spacing w:val="-2"/>
                <w:sz w:val="20"/>
              </w:rPr>
              <w:t>$0.93M</w:t>
            </w:r>
          </w:p>
        </w:tc>
        <w:tc>
          <w:tcPr>
            <w:tcW w:w="979" w:type="dxa"/>
          </w:tcPr>
          <w:p>
            <w:pPr>
              <w:pStyle w:val="TableParagraph"/>
              <w:spacing w:before="2"/>
              <w:ind w:left="105" w:right="87"/>
              <w:jc w:val="center"/>
              <w:rPr>
                <w:sz w:val="20"/>
              </w:rPr>
            </w:pPr>
            <w:r>
              <w:rPr>
                <w:spacing w:val="-2"/>
                <w:sz w:val="20"/>
              </w:rPr>
              <w:t>$0.61M</w:t>
            </w:r>
          </w:p>
        </w:tc>
        <w:tc>
          <w:tcPr>
            <w:tcW w:w="979" w:type="dxa"/>
          </w:tcPr>
          <w:p>
            <w:pPr>
              <w:pStyle w:val="TableParagraph"/>
              <w:spacing w:before="2"/>
              <w:ind w:left="105" w:right="82"/>
              <w:jc w:val="center"/>
              <w:rPr>
                <w:sz w:val="20"/>
              </w:rPr>
            </w:pPr>
            <w:r>
              <w:rPr>
                <w:spacing w:val="-2"/>
                <w:sz w:val="20"/>
              </w:rPr>
              <w:t>$0.33M</w:t>
            </w:r>
          </w:p>
        </w:tc>
        <w:tc>
          <w:tcPr>
            <w:tcW w:w="981" w:type="dxa"/>
          </w:tcPr>
          <w:p>
            <w:pPr>
              <w:pStyle w:val="TableParagraph"/>
              <w:spacing w:before="2"/>
              <w:ind w:left="112" w:right="90"/>
              <w:jc w:val="center"/>
              <w:rPr>
                <w:sz w:val="20"/>
              </w:rPr>
            </w:pPr>
            <w:r>
              <w:rPr>
                <w:spacing w:val="-2"/>
                <w:sz w:val="20"/>
              </w:rPr>
              <w:t>$0.07M</w:t>
            </w:r>
          </w:p>
        </w:tc>
        <w:tc>
          <w:tcPr>
            <w:tcW w:w="979" w:type="dxa"/>
          </w:tcPr>
          <w:p>
            <w:pPr>
              <w:pStyle w:val="TableParagraph"/>
              <w:spacing w:before="2"/>
              <w:ind w:left="105" w:right="85"/>
              <w:jc w:val="center"/>
              <w:rPr>
                <w:sz w:val="20"/>
              </w:rPr>
            </w:pPr>
            <w:r>
              <w:rPr>
                <w:spacing w:val="-2"/>
                <w:sz w:val="20"/>
              </w:rPr>
              <w:t>$0.00M</w:t>
            </w:r>
          </w:p>
        </w:tc>
        <w:tc>
          <w:tcPr>
            <w:tcW w:w="960" w:type="dxa"/>
          </w:tcPr>
          <w:p>
            <w:pPr>
              <w:pStyle w:val="TableParagraph"/>
              <w:spacing w:before="2"/>
              <w:ind w:left="162"/>
              <w:rPr>
                <w:b/>
                <w:sz w:val="20"/>
              </w:rPr>
            </w:pPr>
            <w:r>
              <w:rPr>
                <w:b/>
                <w:spacing w:val="-2"/>
                <w:sz w:val="20"/>
              </w:rPr>
              <w:t>$2.54M</w:t>
            </w:r>
          </w:p>
        </w:tc>
      </w:tr>
      <w:tr>
        <w:trPr>
          <w:trHeight w:val="654" w:hRule="atLeast"/>
        </w:trPr>
        <w:tc>
          <w:tcPr>
            <w:tcW w:w="2921" w:type="dxa"/>
            <w:shd w:val="clear" w:color="auto" w:fill="DCE6F0"/>
          </w:tcPr>
          <w:p>
            <w:pPr>
              <w:pStyle w:val="TableParagraph"/>
              <w:spacing w:line="256" w:lineRule="auto"/>
              <w:ind w:left="107"/>
              <w:rPr>
                <w:sz w:val="20"/>
              </w:rPr>
            </w:pPr>
            <w:r>
              <w:rPr>
                <w:sz w:val="20"/>
              </w:rPr>
              <w:t>Signature</w:t>
            </w:r>
            <w:r>
              <w:rPr>
                <w:spacing w:val="-13"/>
                <w:sz w:val="20"/>
              </w:rPr>
              <w:t> </w:t>
            </w:r>
            <w:r>
              <w:rPr>
                <w:sz w:val="20"/>
              </w:rPr>
              <w:t>Healthcare</w:t>
            </w:r>
            <w:r>
              <w:rPr>
                <w:spacing w:val="-12"/>
                <w:sz w:val="20"/>
              </w:rPr>
              <w:t> </w:t>
            </w:r>
            <w:r>
              <w:rPr>
                <w:sz w:val="20"/>
              </w:rPr>
              <w:t>Brockton </w:t>
            </w:r>
            <w:r>
              <w:rPr>
                <w:spacing w:val="-2"/>
                <w:sz w:val="20"/>
              </w:rPr>
              <w:t>Hospital</w:t>
            </w:r>
          </w:p>
        </w:tc>
        <w:tc>
          <w:tcPr>
            <w:tcW w:w="979" w:type="dxa"/>
          </w:tcPr>
          <w:p>
            <w:pPr>
              <w:pStyle w:val="TableParagraph"/>
              <w:ind w:left="105" w:right="84"/>
              <w:jc w:val="center"/>
              <w:rPr>
                <w:sz w:val="20"/>
              </w:rPr>
            </w:pPr>
            <w:r>
              <w:rPr>
                <w:spacing w:val="-2"/>
                <w:sz w:val="20"/>
              </w:rPr>
              <w:t>$0.52M</w:t>
            </w:r>
          </w:p>
        </w:tc>
        <w:tc>
          <w:tcPr>
            <w:tcW w:w="981" w:type="dxa"/>
          </w:tcPr>
          <w:p>
            <w:pPr>
              <w:pStyle w:val="TableParagraph"/>
              <w:ind w:left="112" w:right="92"/>
              <w:jc w:val="center"/>
              <w:rPr>
                <w:sz w:val="20"/>
              </w:rPr>
            </w:pPr>
            <w:r>
              <w:rPr>
                <w:spacing w:val="-2"/>
                <w:sz w:val="20"/>
              </w:rPr>
              <w:t>$0.82M</w:t>
            </w:r>
          </w:p>
        </w:tc>
        <w:tc>
          <w:tcPr>
            <w:tcW w:w="979" w:type="dxa"/>
          </w:tcPr>
          <w:p>
            <w:pPr>
              <w:pStyle w:val="TableParagraph"/>
              <w:ind w:left="105" w:right="87"/>
              <w:jc w:val="center"/>
              <w:rPr>
                <w:sz w:val="20"/>
              </w:rPr>
            </w:pPr>
            <w:r>
              <w:rPr>
                <w:spacing w:val="-2"/>
                <w:sz w:val="20"/>
              </w:rPr>
              <w:t>$0.54M</w:t>
            </w:r>
          </w:p>
        </w:tc>
        <w:tc>
          <w:tcPr>
            <w:tcW w:w="979" w:type="dxa"/>
          </w:tcPr>
          <w:p>
            <w:pPr>
              <w:pStyle w:val="TableParagraph"/>
              <w:ind w:left="105" w:right="82"/>
              <w:jc w:val="center"/>
              <w:rPr>
                <w:sz w:val="20"/>
              </w:rPr>
            </w:pPr>
            <w:r>
              <w:rPr>
                <w:spacing w:val="-2"/>
                <w:sz w:val="20"/>
              </w:rPr>
              <w:t>$0.42M</w:t>
            </w:r>
          </w:p>
        </w:tc>
        <w:tc>
          <w:tcPr>
            <w:tcW w:w="981" w:type="dxa"/>
          </w:tcPr>
          <w:p>
            <w:pPr>
              <w:pStyle w:val="TableParagraph"/>
              <w:ind w:left="112" w:right="90"/>
              <w:jc w:val="center"/>
              <w:rPr>
                <w:sz w:val="20"/>
              </w:rPr>
            </w:pPr>
            <w:r>
              <w:rPr>
                <w:spacing w:val="-2"/>
                <w:sz w:val="20"/>
              </w:rPr>
              <w:t>$0.22M</w:t>
            </w:r>
          </w:p>
        </w:tc>
        <w:tc>
          <w:tcPr>
            <w:tcW w:w="979" w:type="dxa"/>
          </w:tcPr>
          <w:p>
            <w:pPr>
              <w:pStyle w:val="TableParagraph"/>
              <w:ind w:left="105" w:right="85"/>
              <w:jc w:val="center"/>
              <w:rPr>
                <w:sz w:val="20"/>
              </w:rPr>
            </w:pPr>
            <w:r>
              <w:rPr>
                <w:spacing w:val="-2"/>
                <w:sz w:val="20"/>
              </w:rPr>
              <w:t>$0.04M</w:t>
            </w:r>
          </w:p>
        </w:tc>
        <w:tc>
          <w:tcPr>
            <w:tcW w:w="960" w:type="dxa"/>
          </w:tcPr>
          <w:p>
            <w:pPr>
              <w:pStyle w:val="TableParagraph"/>
              <w:ind w:left="162"/>
              <w:rPr>
                <w:b/>
                <w:sz w:val="20"/>
              </w:rPr>
            </w:pPr>
            <w:r>
              <w:rPr>
                <w:b/>
                <w:spacing w:val="-2"/>
                <w:sz w:val="20"/>
              </w:rPr>
              <w:t>$2.56M</w:t>
            </w:r>
          </w:p>
        </w:tc>
      </w:tr>
      <w:tr>
        <w:trPr>
          <w:trHeight w:val="420" w:hRule="atLeast"/>
        </w:trPr>
        <w:tc>
          <w:tcPr>
            <w:tcW w:w="2921" w:type="dxa"/>
            <w:tcBorders>
              <w:bottom w:val="single" w:sz="8" w:space="0" w:color="000000"/>
            </w:tcBorders>
            <w:shd w:val="clear" w:color="auto" w:fill="DCE6F0"/>
          </w:tcPr>
          <w:p>
            <w:pPr>
              <w:pStyle w:val="TableParagraph"/>
              <w:spacing w:before="2"/>
              <w:ind w:left="107"/>
              <w:rPr>
                <w:sz w:val="20"/>
              </w:rPr>
            </w:pPr>
            <w:r>
              <w:rPr>
                <w:sz w:val="20"/>
              </w:rPr>
              <w:t>Steward</w:t>
            </w:r>
            <w:r>
              <w:rPr>
                <w:spacing w:val="-8"/>
                <w:sz w:val="20"/>
              </w:rPr>
              <w:t> </w:t>
            </w:r>
            <w:r>
              <w:rPr>
                <w:sz w:val="20"/>
              </w:rPr>
              <w:t>Carney</w:t>
            </w:r>
            <w:r>
              <w:rPr>
                <w:spacing w:val="-9"/>
                <w:sz w:val="20"/>
              </w:rPr>
              <w:t> </w:t>
            </w:r>
            <w:r>
              <w:rPr>
                <w:spacing w:val="-2"/>
                <w:sz w:val="20"/>
              </w:rPr>
              <w:t>Hospital</w:t>
            </w:r>
          </w:p>
        </w:tc>
        <w:tc>
          <w:tcPr>
            <w:tcW w:w="979" w:type="dxa"/>
            <w:tcBorders>
              <w:bottom w:val="single" w:sz="8" w:space="0" w:color="000000"/>
            </w:tcBorders>
          </w:tcPr>
          <w:p>
            <w:pPr>
              <w:pStyle w:val="TableParagraph"/>
              <w:spacing w:before="2"/>
              <w:ind w:left="105" w:right="84"/>
              <w:jc w:val="center"/>
              <w:rPr>
                <w:sz w:val="20"/>
              </w:rPr>
            </w:pPr>
            <w:r>
              <w:rPr>
                <w:spacing w:val="-2"/>
                <w:sz w:val="20"/>
              </w:rPr>
              <w:t>$0.90M</w:t>
            </w:r>
          </w:p>
        </w:tc>
        <w:tc>
          <w:tcPr>
            <w:tcW w:w="981" w:type="dxa"/>
            <w:tcBorders>
              <w:bottom w:val="single" w:sz="8" w:space="0" w:color="000000"/>
            </w:tcBorders>
          </w:tcPr>
          <w:p>
            <w:pPr>
              <w:pStyle w:val="TableParagraph"/>
              <w:spacing w:before="2"/>
              <w:ind w:left="112" w:right="92"/>
              <w:jc w:val="center"/>
              <w:rPr>
                <w:sz w:val="20"/>
              </w:rPr>
            </w:pPr>
            <w:r>
              <w:rPr>
                <w:spacing w:val="-2"/>
                <w:sz w:val="20"/>
              </w:rPr>
              <w:t>$1.40M</w:t>
            </w:r>
          </w:p>
        </w:tc>
        <w:tc>
          <w:tcPr>
            <w:tcW w:w="979" w:type="dxa"/>
            <w:tcBorders>
              <w:bottom w:val="single" w:sz="8" w:space="0" w:color="000000"/>
            </w:tcBorders>
          </w:tcPr>
          <w:p>
            <w:pPr>
              <w:pStyle w:val="TableParagraph"/>
              <w:spacing w:before="2"/>
              <w:ind w:left="105" w:right="87"/>
              <w:jc w:val="center"/>
              <w:rPr>
                <w:sz w:val="20"/>
              </w:rPr>
            </w:pPr>
            <w:r>
              <w:rPr>
                <w:spacing w:val="-2"/>
                <w:sz w:val="20"/>
              </w:rPr>
              <w:t>$0.91M</w:t>
            </w:r>
          </w:p>
        </w:tc>
        <w:tc>
          <w:tcPr>
            <w:tcW w:w="979" w:type="dxa"/>
            <w:tcBorders>
              <w:bottom w:val="single" w:sz="8" w:space="0" w:color="000000"/>
            </w:tcBorders>
          </w:tcPr>
          <w:p>
            <w:pPr>
              <w:pStyle w:val="TableParagraph"/>
              <w:spacing w:before="2"/>
              <w:ind w:left="105" w:right="82"/>
              <w:jc w:val="center"/>
              <w:rPr>
                <w:sz w:val="20"/>
              </w:rPr>
            </w:pPr>
            <w:r>
              <w:rPr>
                <w:spacing w:val="-2"/>
                <w:sz w:val="20"/>
              </w:rPr>
              <w:t>$0.56M</w:t>
            </w:r>
          </w:p>
        </w:tc>
        <w:tc>
          <w:tcPr>
            <w:tcW w:w="981" w:type="dxa"/>
            <w:tcBorders>
              <w:bottom w:val="single" w:sz="8" w:space="0" w:color="000000"/>
            </w:tcBorders>
          </w:tcPr>
          <w:p>
            <w:pPr>
              <w:pStyle w:val="TableParagraph"/>
              <w:spacing w:before="2"/>
              <w:ind w:left="112" w:right="90"/>
              <w:jc w:val="center"/>
              <w:rPr>
                <w:sz w:val="20"/>
              </w:rPr>
            </w:pPr>
            <w:r>
              <w:rPr>
                <w:spacing w:val="-2"/>
                <w:sz w:val="20"/>
              </w:rPr>
              <w:t>$0.18M</w:t>
            </w:r>
          </w:p>
        </w:tc>
        <w:tc>
          <w:tcPr>
            <w:tcW w:w="979" w:type="dxa"/>
            <w:tcBorders>
              <w:bottom w:val="single" w:sz="8" w:space="0" w:color="000000"/>
            </w:tcBorders>
          </w:tcPr>
          <w:p>
            <w:pPr>
              <w:pStyle w:val="TableParagraph"/>
              <w:spacing w:before="2"/>
              <w:ind w:left="105" w:right="85"/>
              <w:jc w:val="center"/>
              <w:rPr>
                <w:sz w:val="20"/>
              </w:rPr>
            </w:pPr>
            <w:r>
              <w:rPr>
                <w:spacing w:val="-2"/>
                <w:sz w:val="20"/>
              </w:rPr>
              <w:t>$0.03M</w:t>
            </w:r>
          </w:p>
        </w:tc>
        <w:tc>
          <w:tcPr>
            <w:tcW w:w="960" w:type="dxa"/>
            <w:tcBorders>
              <w:bottom w:val="single" w:sz="8" w:space="0" w:color="000000"/>
            </w:tcBorders>
          </w:tcPr>
          <w:p>
            <w:pPr>
              <w:pStyle w:val="TableParagraph"/>
              <w:spacing w:before="2"/>
              <w:ind w:left="162"/>
              <w:rPr>
                <w:b/>
                <w:sz w:val="20"/>
              </w:rPr>
            </w:pPr>
            <w:r>
              <w:rPr>
                <w:b/>
                <w:spacing w:val="-2"/>
                <w:sz w:val="20"/>
              </w:rPr>
              <w:t>$3.96M</w:t>
            </w:r>
          </w:p>
        </w:tc>
      </w:tr>
    </w:tbl>
    <w:p>
      <w:pPr>
        <w:pStyle w:val="BodyText"/>
        <w:spacing w:line="20" w:lineRule="exact"/>
        <w:ind w:left="1205"/>
        <w:rPr>
          <w:sz w:val="2"/>
        </w:rPr>
      </w:pPr>
      <w:r>
        <w:rPr>
          <w:sz w:val="2"/>
        </w:rPr>
        <mc:AlternateContent>
          <mc:Choice Requires="wps">
            <w:drawing>
              <wp:inline distT="0" distB="0" distL="0" distR="0">
                <wp:extent cx="6356985" cy="12700"/>
                <wp:effectExtent l="0" t="0" r="0" b="0"/>
                <wp:docPr id="859" name="Group 859"/>
                <wp:cNvGraphicFramePr>
                  <a:graphicFrameLocks/>
                </wp:cNvGraphicFramePr>
                <a:graphic>
                  <a:graphicData uri="http://schemas.microsoft.com/office/word/2010/wordprocessingGroup">
                    <wpg:wgp>
                      <wpg:cNvPr id="859" name="Group 859"/>
                      <wpg:cNvGrpSpPr/>
                      <wpg:grpSpPr>
                        <a:xfrm>
                          <a:off x="0" y="0"/>
                          <a:ext cx="6356985" cy="12700"/>
                          <a:chExt cx="6356985" cy="12700"/>
                        </a:xfrm>
                      </wpg:grpSpPr>
                      <wps:wsp>
                        <wps:cNvPr id="860" name="Graphic 860"/>
                        <wps:cNvSpPr/>
                        <wps:spPr>
                          <a:xfrm>
                            <a:off x="0" y="0"/>
                            <a:ext cx="6356985" cy="12700"/>
                          </a:xfrm>
                          <a:custGeom>
                            <a:avLst/>
                            <a:gdLst/>
                            <a:ahLst/>
                            <a:cxnLst/>
                            <a:rect l="l" t="t" r="r" b="b"/>
                            <a:pathLst>
                              <a:path w="6356985" h="12700">
                                <a:moveTo>
                                  <a:pt x="6356604" y="0"/>
                                </a:moveTo>
                                <a:lnTo>
                                  <a:pt x="0" y="0"/>
                                </a:lnTo>
                                <a:lnTo>
                                  <a:pt x="0" y="12179"/>
                                </a:lnTo>
                                <a:lnTo>
                                  <a:pt x="6356604" y="12179"/>
                                </a:lnTo>
                                <a:lnTo>
                                  <a:pt x="63566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00.55pt;height:1pt;mso-position-horizontal-relative:char;mso-position-vertical-relative:line" id="docshapegroup79" coordorigin="0,0" coordsize="10011,20">
                <v:rect style="position:absolute;left:0;top:0;width:10011;height:20" id="docshape80" filled="true" fillcolor="#000000" stroked="false">
                  <v:fill type="solid"/>
                </v:rect>
              </v:group>
            </w:pict>
          </mc:Fallback>
        </mc:AlternateContent>
      </w:r>
      <w:r>
        <w:rPr>
          <w:sz w:val="2"/>
        </w:rPr>
      </w:r>
    </w:p>
    <w:p>
      <w:pPr>
        <w:pStyle w:val="BodyText"/>
        <w:spacing w:before="2"/>
        <w:rPr>
          <w:sz w:val="21"/>
        </w:rPr>
      </w:pPr>
    </w:p>
    <w:p>
      <w:pPr>
        <w:spacing w:before="0"/>
        <w:ind w:left="1219" w:right="1094" w:firstLine="0"/>
        <w:jc w:val="both"/>
        <w:rPr>
          <w:sz w:val="22"/>
        </w:rPr>
      </w:pPr>
      <w:r>
        <w:rPr>
          <w:sz w:val="22"/>
        </w:rPr>
        <w:t>Generally speaking, DSTI glide path funding will be paid in four quarterly installments for each Budget Period. The State anticipates these installments will be roughly equal; however, the State may alter the payment amounts, frequency, and timing in its discretion. During BP5, payments will be attributed to the first half of the year; as such, these attributed amounts will be twice the amount as what they would have been if payments had been</w:t>
      </w:r>
      <w:r>
        <w:rPr>
          <w:spacing w:val="-1"/>
          <w:sz w:val="22"/>
        </w:rPr>
        <w:t> </w:t>
      </w:r>
      <w:r>
        <w:rPr>
          <w:sz w:val="22"/>
        </w:rPr>
        <w:t>attributed throughout the whole BP. For example, if an</w:t>
      </w:r>
      <w:r>
        <w:rPr>
          <w:spacing w:val="-1"/>
          <w:sz w:val="22"/>
        </w:rPr>
        <w:t> </w:t>
      </w:r>
      <w:r>
        <w:rPr>
          <w:sz w:val="22"/>
        </w:rPr>
        <w:t>ACO had $100 total of non-at-risk</w:t>
      </w:r>
      <w:r>
        <w:rPr>
          <w:spacing w:val="-10"/>
          <w:sz w:val="22"/>
        </w:rPr>
        <w:t> </w:t>
      </w:r>
      <w:r>
        <w:rPr>
          <w:sz w:val="22"/>
        </w:rPr>
        <w:t>DSTI</w:t>
      </w:r>
      <w:r>
        <w:rPr>
          <w:spacing w:val="-11"/>
          <w:sz w:val="22"/>
        </w:rPr>
        <w:t> </w:t>
      </w:r>
      <w:r>
        <w:rPr>
          <w:sz w:val="22"/>
        </w:rPr>
        <w:t>glide</w:t>
      </w:r>
      <w:r>
        <w:rPr>
          <w:spacing w:val="-7"/>
          <w:sz w:val="22"/>
        </w:rPr>
        <w:t> </w:t>
      </w:r>
      <w:r>
        <w:rPr>
          <w:sz w:val="22"/>
        </w:rPr>
        <w:t>path</w:t>
      </w:r>
      <w:r>
        <w:rPr>
          <w:spacing w:val="-10"/>
          <w:sz w:val="22"/>
        </w:rPr>
        <w:t> </w:t>
      </w:r>
      <w:r>
        <w:rPr>
          <w:sz w:val="22"/>
        </w:rPr>
        <w:t>funds</w:t>
      </w:r>
      <w:r>
        <w:rPr>
          <w:spacing w:val="-9"/>
          <w:sz w:val="22"/>
        </w:rPr>
        <w:t> </w:t>
      </w:r>
      <w:r>
        <w:rPr>
          <w:sz w:val="22"/>
        </w:rPr>
        <w:t>for</w:t>
      </w:r>
      <w:r>
        <w:rPr>
          <w:spacing w:val="-6"/>
          <w:sz w:val="22"/>
        </w:rPr>
        <w:t> </w:t>
      </w:r>
      <w:r>
        <w:rPr>
          <w:sz w:val="22"/>
        </w:rPr>
        <w:t>BP5,</w:t>
      </w:r>
      <w:r>
        <w:rPr>
          <w:spacing w:val="-7"/>
          <w:sz w:val="22"/>
        </w:rPr>
        <w:t> </w:t>
      </w:r>
      <w:r>
        <w:rPr>
          <w:sz w:val="22"/>
        </w:rPr>
        <w:t>payments</w:t>
      </w:r>
      <w:r>
        <w:rPr>
          <w:spacing w:val="-7"/>
          <w:sz w:val="22"/>
        </w:rPr>
        <w:t> </w:t>
      </w:r>
      <w:r>
        <w:rPr>
          <w:sz w:val="22"/>
        </w:rPr>
        <w:t>attributed</w:t>
      </w:r>
      <w:r>
        <w:rPr>
          <w:spacing w:val="-9"/>
          <w:sz w:val="22"/>
        </w:rPr>
        <w:t> </w:t>
      </w:r>
      <w:r>
        <w:rPr>
          <w:sz w:val="22"/>
        </w:rPr>
        <w:t>to</w:t>
      </w:r>
      <w:r>
        <w:rPr>
          <w:spacing w:val="-7"/>
          <w:sz w:val="22"/>
        </w:rPr>
        <w:t> </w:t>
      </w:r>
      <w:r>
        <w:rPr>
          <w:sz w:val="22"/>
        </w:rPr>
        <w:t>BP5</w:t>
      </w:r>
      <w:r>
        <w:rPr>
          <w:spacing w:val="-7"/>
          <w:sz w:val="22"/>
        </w:rPr>
        <w:t> </w:t>
      </w:r>
      <w:r>
        <w:rPr>
          <w:sz w:val="22"/>
        </w:rPr>
        <w:t>would</w:t>
      </w:r>
      <w:r>
        <w:rPr>
          <w:spacing w:val="-7"/>
          <w:sz w:val="22"/>
        </w:rPr>
        <w:t> </w:t>
      </w:r>
      <w:r>
        <w:rPr>
          <w:sz w:val="22"/>
        </w:rPr>
        <w:t>be</w:t>
      </w:r>
      <w:r>
        <w:rPr>
          <w:spacing w:val="-7"/>
          <w:sz w:val="22"/>
        </w:rPr>
        <w:t> </w:t>
      </w:r>
      <w:r>
        <w:rPr>
          <w:sz w:val="22"/>
        </w:rPr>
        <w:t>split</w:t>
      </w:r>
      <w:r>
        <w:rPr>
          <w:spacing w:val="-6"/>
          <w:sz w:val="22"/>
        </w:rPr>
        <w:t> </w:t>
      </w:r>
      <w:r>
        <w:rPr>
          <w:sz w:val="22"/>
        </w:rPr>
        <w:t>between</w:t>
      </w:r>
      <w:r>
        <w:rPr>
          <w:spacing w:val="-10"/>
          <w:sz w:val="22"/>
        </w:rPr>
        <w:t> </w:t>
      </w:r>
      <w:r>
        <w:rPr>
          <w:sz w:val="22"/>
        </w:rPr>
        <w:t>the</w:t>
      </w:r>
      <w:r>
        <w:rPr>
          <w:spacing w:val="-7"/>
          <w:sz w:val="22"/>
        </w:rPr>
        <w:t> </w:t>
      </w:r>
      <w:r>
        <w:rPr>
          <w:sz w:val="22"/>
        </w:rPr>
        <w:t>first</w:t>
      </w:r>
      <w:r>
        <w:rPr>
          <w:spacing w:val="-8"/>
          <w:sz w:val="22"/>
        </w:rPr>
        <w:t> </w:t>
      </w:r>
      <w:r>
        <w:rPr>
          <w:sz w:val="22"/>
        </w:rPr>
        <w:t>two quarters of BP5 ($50 each), as opposed to $25 attributed across each of the four quarters of BP5.</w:t>
      </w:r>
    </w:p>
    <w:p>
      <w:pPr>
        <w:pStyle w:val="BodyText"/>
        <w:spacing w:before="10"/>
        <w:rPr>
          <w:sz w:val="21"/>
        </w:rPr>
      </w:pPr>
    </w:p>
    <w:p>
      <w:pPr>
        <w:spacing w:before="1"/>
        <w:ind w:left="1219" w:right="1093" w:firstLine="0"/>
        <w:jc w:val="both"/>
        <w:rPr>
          <w:sz w:val="22"/>
        </w:rPr>
      </w:pPr>
      <w:r>
        <w:rPr>
          <w:sz w:val="22"/>
        </w:rPr>
        <w:t>If</w:t>
      </w:r>
      <w:r>
        <w:rPr>
          <w:spacing w:val="-3"/>
          <w:sz w:val="22"/>
        </w:rPr>
        <w:t> </w:t>
      </w:r>
      <w:r>
        <w:rPr>
          <w:sz w:val="22"/>
        </w:rPr>
        <w:t>a</w:t>
      </w:r>
      <w:r>
        <w:rPr>
          <w:spacing w:val="-3"/>
          <w:sz w:val="22"/>
        </w:rPr>
        <w:t> </w:t>
      </w:r>
      <w:r>
        <w:rPr>
          <w:sz w:val="22"/>
        </w:rPr>
        <w:t>DSTI</w:t>
      </w:r>
      <w:r>
        <w:rPr>
          <w:spacing w:val="-8"/>
          <w:sz w:val="22"/>
        </w:rPr>
        <w:t> </w:t>
      </w:r>
      <w:r>
        <w:rPr>
          <w:sz w:val="22"/>
        </w:rPr>
        <w:t>hospital</w:t>
      </w:r>
      <w:r>
        <w:rPr>
          <w:spacing w:val="-3"/>
          <w:sz w:val="22"/>
        </w:rPr>
        <w:t> </w:t>
      </w:r>
      <w:r>
        <w:rPr>
          <w:sz w:val="22"/>
        </w:rPr>
        <w:t>has</w:t>
      </w:r>
      <w:r>
        <w:rPr>
          <w:spacing w:val="-3"/>
          <w:sz w:val="22"/>
        </w:rPr>
        <w:t> </w:t>
      </w:r>
      <w:r>
        <w:rPr>
          <w:sz w:val="22"/>
        </w:rPr>
        <w:t>an</w:t>
      </w:r>
      <w:r>
        <w:rPr>
          <w:spacing w:val="-4"/>
          <w:sz w:val="22"/>
        </w:rPr>
        <w:t> </w:t>
      </w:r>
      <w:r>
        <w:rPr>
          <w:sz w:val="22"/>
        </w:rPr>
        <w:t>affiliated</w:t>
      </w:r>
      <w:r>
        <w:rPr>
          <w:spacing w:val="-4"/>
          <w:sz w:val="22"/>
        </w:rPr>
        <w:t> </w:t>
      </w:r>
      <w:r>
        <w:rPr>
          <w:sz w:val="22"/>
        </w:rPr>
        <w:t>provider</w:t>
      </w:r>
      <w:r>
        <w:rPr>
          <w:spacing w:val="-3"/>
          <w:sz w:val="22"/>
        </w:rPr>
        <w:t> </w:t>
      </w:r>
      <w:r>
        <w:rPr>
          <w:sz w:val="22"/>
        </w:rPr>
        <w:t>arrangement</w:t>
      </w:r>
      <w:r>
        <w:rPr>
          <w:spacing w:val="-3"/>
          <w:sz w:val="22"/>
        </w:rPr>
        <w:t> </w:t>
      </w:r>
      <w:r>
        <w:rPr>
          <w:sz w:val="22"/>
        </w:rPr>
        <w:t>or</w:t>
      </w:r>
      <w:r>
        <w:rPr>
          <w:spacing w:val="-3"/>
          <w:sz w:val="22"/>
        </w:rPr>
        <w:t> </w:t>
      </w:r>
      <w:r>
        <w:rPr>
          <w:sz w:val="22"/>
        </w:rPr>
        <w:t>contract</w:t>
      </w:r>
      <w:r>
        <w:rPr>
          <w:spacing w:val="-3"/>
          <w:sz w:val="22"/>
        </w:rPr>
        <w:t> </w:t>
      </w:r>
      <w:r>
        <w:rPr>
          <w:sz w:val="22"/>
        </w:rPr>
        <w:t>with</w:t>
      </w:r>
      <w:r>
        <w:rPr>
          <w:spacing w:val="-4"/>
          <w:sz w:val="22"/>
        </w:rPr>
        <w:t> </w:t>
      </w:r>
      <w:r>
        <w:rPr>
          <w:sz w:val="22"/>
        </w:rPr>
        <w:t>an</w:t>
      </w:r>
      <w:r>
        <w:rPr>
          <w:spacing w:val="-4"/>
          <w:sz w:val="22"/>
        </w:rPr>
        <w:t> </w:t>
      </w:r>
      <w:r>
        <w:rPr>
          <w:sz w:val="22"/>
        </w:rPr>
        <w:t>ACO</w:t>
      </w:r>
      <w:r>
        <w:rPr>
          <w:spacing w:val="-5"/>
          <w:sz w:val="22"/>
        </w:rPr>
        <w:t> </w:t>
      </w:r>
      <w:r>
        <w:rPr>
          <w:sz w:val="22"/>
        </w:rPr>
        <w:t>whose</w:t>
      </w:r>
      <w:r>
        <w:rPr>
          <w:spacing w:val="-3"/>
          <w:sz w:val="22"/>
        </w:rPr>
        <w:t> </w:t>
      </w:r>
      <w:r>
        <w:rPr>
          <w:sz w:val="22"/>
        </w:rPr>
        <w:t>contract</w:t>
      </w:r>
      <w:r>
        <w:rPr>
          <w:spacing w:val="-3"/>
          <w:sz w:val="22"/>
        </w:rPr>
        <w:t> </w:t>
      </w:r>
      <w:r>
        <w:rPr>
          <w:sz w:val="22"/>
        </w:rPr>
        <w:t>with</w:t>
      </w:r>
      <w:r>
        <w:rPr>
          <w:spacing w:val="-6"/>
          <w:sz w:val="22"/>
        </w:rPr>
        <w:t> </w:t>
      </w:r>
      <w:r>
        <w:rPr>
          <w:sz w:val="22"/>
        </w:rPr>
        <w:t>the State ends midway through a budget period due to the ACO leaving the ACO program, and the DSTI hospital does not enter into a contract or other arrangement with a different ACO and bear risk through ACO participation for the remainder of the budget period, then that DSTI hospital will not receive DSTI Glide Path Funding for the entirety of that budget period.</w:t>
      </w:r>
      <w:r>
        <w:rPr>
          <w:spacing w:val="40"/>
          <w:sz w:val="22"/>
        </w:rPr>
        <w:t> </w:t>
      </w:r>
      <w:r>
        <w:rPr>
          <w:sz w:val="22"/>
        </w:rPr>
        <w:t>If the DSTI hospital enters into a contract or other arrangement with a different ACO and bears risk</w:t>
      </w:r>
      <w:r>
        <w:rPr>
          <w:spacing w:val="-1"/>
          <w:sz w:val="22"/>
        </w:rPr>
        <w:t> </w:t>
      </w:r>
      <w:r>
        <w:rPr>
          <w:sz w:val="22"/>
        </w:rPr>
        <w:t>through ACO participation, then the leaving ACO will</w:t>
      </w:r>
      <w:r>
        <w:rPr>
          <w:spacing w:val="-9"/>
          <w:sz w:val="22"/>
        </w:rPr>
        <w:t> </w:t>
      </w:r>
      <w:r>
        <w:rPr>
          <w:sz w:val="22"/>
        </w:rPr>
        <w:t>receive</w:t>
      </w:r>
      <w:r>
        <w:rPr>
          <w:spacing w:val="-7"/>
          <w:sz w:val="22"/>
        </w:rPr>
        <w:t> </w:t>
      </w:r>
      <w:r>
        <w:rPr>
          <w:sz w:val="22"/>
        </w:rPr>
        <w:t>half</w:t>
      </w:r>
      <w:r>
        <w:rPr>
          <w:spacing w:val="-7"/>
          <w:sz w:val="22"/>
        </w:rPr>
        <w:t> </w:t>
      </w:r>
      <w:r>
        <w:rPr>
          <w:sz w:val="22"/>
        </w:rPr>
        <w:t>of</w:t>
      </w:r>
      <w:r>
        <w:rPr>
          <w:spacing w:val="-7"/>
          <w:sz w:val="22"/>
        </w:rPr>
        <w:t> </w:t>
      </w:r>
      <w:r>
        <w:rPr>
          <w:sz w:val="22"/>
        </w:rPr>
        <w:t>the</w:t>
      </w:r>
      <w:r>
        <w:rPr>
          <w:spacing w:val="-7"/>
          <w:sz w:val="22"/>
        </w:rPr>
        <w:t> </w:t>
      </w:r>
      <w:r>
        <w:rPr>
          <w:sz w:val="22"/>
        </w:rPr>
        <w:t>non-at-risk</w:t>
      </w:r>
      <w:r>
        <w:rPr>
          <w:spacing w:val="-10"/>
          <w:sz w:val="22"/>
        </w:rPr>
        <w:t> </w:t>
      </w:r>
      <w:r>
        <w:rPr>
          <w:sz w:val="22"/>
        </w:rPr>
        <w:t>DSTI</w:t>
      </w:r>
      <w:r>
        <w:rPr>
          <w:spacing w:val="-12"/>
          <w:sz w:val="22"/>
        </w:rPr>
        <w:t> </w:t>
      </w:r>
      <w:r>
        <w:rPr>
          <w:sz w:val="22"/>
        </w:rPr>
        <w:t>Glide</w:t>
      </w:r>
      <w:r>
        <w:rPr>
          <w:spacing w:val="-7"/>
          <w:sz w:val="22"/>
        </w:rPr>
        <w:t> </w:t>
      </w:r>
      <w:r>
        <w:rPr>
          <w:sz w:val="22"/>
        </w:rPr>
        <w:t>Path</w:t>
      </w:r>
      <w:r>
        <w:rPr>
          <w:spacing w:val="-10"/>
          <w:sz w:val="22"/>
        </w:rPr>
        <w:t> </w:t>
      </w:r>
      <w:r>
        <w:rPr>
          <w:sz w:val="22"/>
        </w:rPr>
        <w:t>funding</w:t>
      </w:r>
      <w:r>
        <w:rPr>
          <w:spacing w:val="-10"/>
          <w:sz w:val="22"/>
        </w:rPr>
        <w:t> </w:t>
      </w:r>
      <w:r>
        <w:rPr>
          <w:sz w:val="22"/>
        </w:rPr>
        <w:t>to</w:t>
      </w:r>
      <w:r>
        <w:rPr>
          <w:spacing w:val="-8"/>
          <w:sz w:val="22"/>
        </w:rPr>
        <w:t> </w:t>
      </w:r>
      <w:r>
        <w:rPr>
          <w:sz w:val="22"/>
        </w:rPr>
        <w:t>pay</w:t>
      </w:r>
      <w:r>
        <w:rPr>
          <w:spacing w:val="-10"/>
          <w:sz w:val="22"/>
        </w:rPr>
        <w:t> </w:t>
      </w:r>
      <w:r>
        <w:rPr>
          <w:sz w:val="22"/>
        </w:rPr>
        <w:t>to</w:t>
      </w:r>
      <w:r>
        <w:rPr>
          <w:spacing w:val="-8"/>
          <w:sz w:val="22"/>
        </w:rPr>
        <w:t> </w:t>
      </w:r>
      <w:r>
        <w:rPr>
          <w:sz w:val="22"/>
        </w:rPr>
        <w:t>the</w:t>
      </w:r>
      <w:r>
        <w:rPr>
          <w:spacing w:val="-7"/>
          <w:sz w:val="22"/>
        </w:rPr>
        <w:t> </w:t>
      </w:r>
      <w:r>
        <w:rPr>
          <w:sz w:val="22"/>
        </w:rPr>
        <w:t>DSTI</w:t>
      </w:r>
      <w:r>
        <w:rPr>
          <w:spacing w:val="-12"/>
          <w:sz w:val="22"/>
        </w:rPr>
        <w:t> </w:t>
      </w:r>
      <w:r>
        <w:rPr>
          <w:sz w:val="22"/>
        </w:rPr>
        <w:t>hospital</w:t>
      </w:r>
      <w:r>
        <w:rPr>
          <w:spacing w:val="-7"/>
          <w:sz w:val="22"/>
        </w:rPr>
        <w:t> </w:t>
      </w:r>
      <w:r>
        <w:rPr>
          <w:sz w:val="22"/>
        </w:rPr>
        <w:t>during</w:t>
      </w:r>
      <w:r>
        <w:rPr>
          <w:spacing w:val="-10"/>
          <w:sz w:val="22"/>
        </w:rPr>
        <w:t> </w:t>
      </w:r>
      <w:r>
        <w:rPr>
          <w:sz w:val="22"/>
        </w:rPr>
        <w:t>the</w:t>
      </w:r>
      <w:r>
        <w:rPr>
          <w:spacing w:val="-7"/>
          <w:sz w:val="22"/>
        </w:rPr>
        <w:t> </w:t>
      </w:r>
      <w:r>
        <w:rPr>
          <w:sz w:val="22"/>
        </w:rPr>
        <w:t>first</w:t>
      </w:r>
      <w:r>
        <w:rPr>
          <w:spacing w:val="-7"/>
          <w:sz w:val="22"/>
        </w:rPr>
        <w:t> </w:t>
      </w:r>
      <w:r>
        <w:rPr>
          <w:sz w:val="22"/>
        </w:rPr>
        <w:t>half of the budget period, as well as the earned at-risk funding that is tied to the first half of the budget period once the ACO DSRIP accountability scores are calculated.</w:t>
      </w:r>
      <w:r>
        <w:rPr>
          <w:spacing w:val="40"/>
          <w:sz w:val="22"/>
        </w:rPr>
        <w:t> </w:t>
      </w:r>
      <w:r>
        <w:rPr>
          <w:sz w:val="22"/>
        </w:rPr>
        <w:t>Once the DSTI hospital joins a new ACO, it may receive the remainder of its DSTI glide path funding for that budget period. The ACO DSRIP accountability scores (see Section 5.3) used to calculate the amount of at-risk DSTI glide path funding earned</w:t>
      </w:r>
      <w:r>
        <w:rPr>
          <w:spacing w:val="-4"/>
          <w:sz w:val="22"/>
        </w:rPr>
        <w:t> </w:t>
      </w:r>
      <w:r>
        <w:rPr>
          <w:sz w:val="22"/>
        </w:rPr>
        <w:t>for</w:t>
      </w:r>
      <w:r>
        <w:rPr>
          <w:spacing w:val="-3"/>
          <w:sz w:val="22"/>
        </w:rPr>
        <w:t> </w:t>
      </w:r>
      <w:r>
        <w:rPr>
          <w:sz w:val="22"/>
        </w:rPr>
        <w:t>the</w:t>
      </w:r>
      <w:r>
        <w:rPr>
          <w:spacing w:val="-3"/>
          <w:sz w:val="22"/>
        </w:rPr>
        <w:t> </w:t>
      </w:r>
      <w:r>
        <w:rPr>
          <w:sz w:val="22"/>
        </w:rPr>
        <w:t>first</w:t>
      </w:r>
      <w:r>
        <w:rPr>
          <w:spacing w:val="-3"/>
          <w:sz w:val="22"/>
        </w:rPr>
        <w:t> </w:t>
      </w:r>
      <w:r>
        <w:rPr>
          <w:sz w:val="22"/>
        </w:rPr>
        <w:t>and</w:t>
      </w:r>
      <w:r>
        <w:rPr>
          <w:spacing w:val="-4"/>
          <w:sz w:val="22"/>
        </w:rPr>
        <w:t> </w:t>
      </w:r>
      <w:r>
        <w:rPr>
          <w:sz w:val="22"/>
        </w:rPr>
        <w:t>second</w:t>
      </w:r>
      <w:r>
        <w:rPr>
          <w:spacing w:val="-1"/>
          <w:sz w:val="22"/>
        </w:rPr>
        <w:t> </w:t>
      </w:r>
      <w:r>
        <w:rPr>
          <w:sz w:val="22"/>
        </w:rPr>
        <w:t>halves</w:t>
      </w:r>
      <w:r>
        <w:rPr>
          <w:spacing w:val="-1"/>
          <w:sz w:val="22"/>
        </w:rPr>
        <w:t> </w:t>
      </w:r>
      <w:r>
        <w:rPr>
          <w:sz w:val="22"/>
        </w:rPr>
        <w:t>of</w:t>
      </w:r>
      <w:r>
        <w:rPr>
          <w:spacing w:val="-3"/>
          <w:sz w:val="22"/>
        </w:rPr>
        <w:t> </w:t>
      </w:r>
      <w:r>
        <w:rPr>
          <w:sz w:val="22"/>
        </w:rPr>
        <w:t>the</w:t>
      </w:r>
      <w:r>
        <w:rPr>
          <w:spacing w:val="-1"/>
          <w:sz w:val="22"/>
        </w:rPr>
        <w:t> </w:t>
      </w:r>
      <w:r>
        <w:rPr>
          <w:sz w:val="22"/>
        </w:rPr>
        <w:t>year</w:t>
      </w:r>
      <w:r>
        <w:rPr>
          <w:spacing w:val="-3"/>
          <w:sz w:val="22"/>
        </w:rPr>
        <w:t> </w:t>
      </w:r>
      <w:r>
        <w:rPr>
          <w:sz w:val="22"/>
        </w:rPr>
        <w:t>in</w:t>
      </w:r>
      <w:r>
        <w:rPr>
          <w:spacing w:val="-1"/>
          <w:sz w:val="22"/>
        </w:rPr>
        <w:t> </w:t>
      </w:r>
      <w:r>
        <w:rPr>
          <w:sz w:val="22"/>
        </w:rPr>
        <w:t>which</w:t>
      </w:r>
      <w:r>
        <w:rPr>
          <w:spacing w:val="-1"/>
          <w:sz w:val="22"/>
        </w:rPr>
        <w:t> </w:t>
      </w:r>
      <w:r>
        <w:rPr>
          <w:sz w:val="22"/>
        </w:rPr>
        <w:t>the</w:t>
      </w:r>
      <w:r>
        <w:rPr>
          <w:spacing w:val="-1"/>
          <w:sz w:val="22"/>
        </w:rPr>
        <w:t> </w:t>
      </w:r>
      <w:r>
        <w:rPr>
          <w:sz w:val="22"/>
        </w:rPr>
        <w:t>ACO</w:t>
      </w:r>
      <w:r>
        <w:rPr>
          <w:spacing w:val="-5"/>
          <w:sz w:val="22"/>
        </w:rPr>
        <w:t> </w:t>
      </w:r>
      <w:r>
        <w:rPr>
          <w:sz w:val="22"/>
        </w:rPr>
        <w:t>leaves</w:t>
      </w:r>
      <w:r>
        <w:rPr>
          <w:spacing w:val="-3"/>
          <w:sz w:val="22"/>
        </w:rPr>
        <w:t> </w:t>
      </w:r>
      <w:r>
        <w:rPr>
          <w:sz w:val="22"/>
        </w:rPr>
        <w:t>will</w:t>
      </w:r>
      <w:r>
        <w:rPr>
          <w:spacing w:val="-3"/>
          <w:sz w:val="22"/>
        </w:rPr>
        <w:t> </w:t>
      </w:r>
      <w:r>
        <w:rPr>
          <w:sz w:val="22"/>
        </w:rPr>
        <w:t>be</w:t>
      </w:r>
      <w:r>
        <w:rPr>
          <w:spacing w:val="-3"/>
          <w:sz w:val="22"/>
        </w:rPr>
        <w:t> </w:t>
      </w:r>
      <w:r>
        <w:rPr>
          <w:sz w:val="22"/>
        </w:rPr>
        <w:t>the</w:t>
      </w:r>
      <w:r>
        <w:rPr>
          <w:spacing w:val="-1"/>
          <w:sz w:val="22"/>
        </w:rPr>
        <w:t> </w:t>
      </w:r>
      <w:r>
        <w:rPr>
          <w:sz w:val="22"/>
        </w:rPr>
        <w:t>scores</w:t>
      </w:r>
      <w:r>
        <w:rPr>
          <w:spacing w:val="-3"/>
          <w:sz w:val="22"/>
        </w:rPr>
        <w:t> </w:t>
      </w:r>
      <w:r>
        <w:rPr>
          <w:sz w:val="22"/>
        </w:rPr>
        <w:t>earned</w:t>
      </w:r>
      <w:r>
        <w:rPr>
          <w:spacing w:val="-4"/>
          <w:sz w:val="22"/>
        </w:rPr>
        <w:t> </w:t>
      </w:r>
      <w:r>
        <w:rPr>
          <w:sz w:val="22"/>
        </w:rPr>
        <w:t>by</w:t>
      </w:r>
      <w:r>
        <w:rPr>
          <w:spacing w:val="-4"/>
          <w:sz w:val="22"/>
        </w:rPr>
        <w:t> </w:t>
      </w:r>
      <w:r>
        <w:rPr>
          <w:sz w:val="22"/>
        </w:rPr>
        <w:t>the DSTI hospital’s original and new ACOs in that budget period, respectively.</w:t>
      </w:r>
    </w:p>
    <w:p>
      <w:pPr>
        <w:pStyle w:val="BodyText"/>
      </w:pPr>
    </w:p>
    <w:p>
      <w:pPr>
        <w:pStyle w:val="ListParagraph"/>
        <w:numPr>
          <w:ilvl w:val="2"/>
          <w:numId w:val="68"/>
        </w:numPr>
        <w:tabs>
          <w:tab w:pos="1938" w:val="left" w:leader="none"/>
        </w:tabs>
        <w:spacing w:line="252" w:lineRule="exact" w:before="178" w:after="0"/>
        <w:ind w:left="1938" w:right="0" w:hanging="719"/>
        <w:jc w:val="both"/>
        <w:rPr>
          <w:b/>
          <w:color w:val="4471C4"/>
          <w:sz w:val="22"/>
        </w:rPr>
      </w:pPr>
      <w:bookmarkStart w:name="4.4.4 Detail on calculating member-month" w:id="1316"/>
      <w:bookmarkEnd w:id="1316"/>
      <w:r>
        <w:rPr/>
      </w:r>
      <w:bookmarkStart w:name="_bookmark52" w:id="1317"/>
      <w:bookmarkEnd w:id="1317"/>
      <w:r>
        <w:rPr/>
      </w:r>
      <w:r>
        <w:rPr>
          <w:b/>
          <w:color w:val="4471C4"/>
          <w:sz w:val="22"/>
        </w:rPr>
        <w:t>Detail</w:t>
      </w:r>
      <w:r>
        <w:rPr>
          <w:b/>
          <w:color w:val="4471C4"/>
          <w:spacing w:val="-6"/>
          <w:sz w:val="22"/>
        </w:rPr>
        <w:t> </w:t>
      </w:r>
      <w:r>
        <w:rPr>
          <w:b/>
          <w:color w:val="4471C4"/>
          <w:sz w:val="22"/>
        </w:rPr>
        <w:t>on</w:t>
      </w:r>
      <w:r>
        <w:rPr>
          <w:b/>
          <w:color w:val="4471C4"/>
          <w:spacing w:val="-7"/>
          <w:sz w:val="22"/>
        </w:rPr>
        <w:t> </w:t>
      </w:r>
      <w:r>
        <w:rPr>
          <w:b/>
          <w:color w:val="4471C4"/>
          <w:sz w:val="22"/>
        </w:rPr>
        <w:t>calculating</w:t>
      </w:r>
      <w:r>
        <w:rPr>
          <w:b/>
          <w:color w:val="4471C4"/>
          <w:spacing w:val="-9"/>
          <w:sz w:val="22"/>
        </w:rPr>
        <w:t> </w:t>
      </w:r>
      <w:r>
        <w:rPr>
          <w:b/>
          <w:color w:val="4471C4"/>
          <w:sz w:val="22"/>
        </w:rPr>
        <w:t>member-</w:t>
      </w:r>
      <w:r>
        <w:rPr>
          <w:b/>
          <w:color w:val="4471C4"/>
          <w:spacing w:val="-2"/>
          <w:sz w:val="22"/>
        </w:rPr>
        <w:t>months</w:t>
      </w:r>
    </w:p>
    <w:p>
      <w:pPr>
        <w:spacing w:before="0"/>
        <w:ind w:left="1219" w:right="1092" w:firstLine="0"/>
        <w:jc w:val="both"/>
        <w:rPr>
          <w:sz w:val="22"/>
        </w:rPr>
      </w:pPr>
      <w:r>
        <w:rPr>
          <w:sz w:val="22"/>
        </w:rPr>
        <w:t>Each</w:t>
      </w:r>
      <w:r>
        <w:rPr>
          <w:spacing w:val="-5"/>
          <w:sz w:val="22"/>
        </w:rPr>
        <w:t> </w:t>
      </w:r>
      <w:r>
        <w:rPr>
          <w:sz w:val="22"/>
        </w:rPr>
        <w:t>ACO</w:t>
      </w:r>
      <w:r>
        <w:rPr>
          <w:spacing w:val="-6"/>
          <w:sz w:val="22"/>
        </w:rPr>
        <w:t> </w:t>
      </w:r>
      <w:r>
        <w:rPr>
          <w:sz w:val="22"/>
        </w:rPr>
        <w:t>will</w:t>
      </w:r>
      <w:r>
        <w:rPr>
          <w:spacing w:val="-6"/>
          <w:sz w:val="22"/>
        </w:rPr>
        <w:t> </w:t>
      </w:r>
      <w:r>
        <w:rPr>
          <w:sz w:val="22"/>
        </w:rPr>
        <w:t>be</w:t>
      </w:r>
      <w:r>
        <w:rPr>
          <w:spacing w:val="-7"/>
          <w:sz w:val="22"/>
        </w:rPr>
        <w:t> </w:t>
      </w:r>
      <w:r>
        <w:rPr>
          <w:sz w:val="22"/>
        </w:rPr>
        <w:t>accountable</w:t>
      </w:r>
      <w:r>
        <w:rPr>
          <w:spacing w:val="-7"/>
          <w:sz w:val="22"/>
        </w:rPr>
        <w:t> </w:t>
      </w:r>
      <w:r>
        <w:rPr>
          <w:sz w:val="22"/>
        </w:rPr>
        <w:t>for</w:t>
      </w:r>
      <w:r>
        <w:rPr>
          <w:spacing w:val="-6"/>
          <w:sz w:val="22"/>
        </w:rPr>
        <w:t> </w:t>
      </w:r>
      <w:r>
        <w:rPr>
          <w:sz w:val="22"/>
        </w:rPr>
        <w:t>a</w:t>
      </w:r>
      <w:r>
        <w:rPr>
          <w:spacing w:val="-7"/>
          <w:sz w:val="22"/>
        </w:rPr>
        <w:t> </w:t>
      </w:r>
      <w:r>
        <w:rPr>
          <w:sz w:val="22"/>
        </w:rPr>
        <w:t>defined</w:t>
      </w:r>
      <w:r>
        <w:rPr>
          <w:spacing w:val="-5"/>
          <w:sz w:val="22"/>
        </w:rPr>
        <w:t> </w:t>
      </w:r>
      <w:r>
        <w:rPr>
          <w:sz w:val="22"/>
        </w:rPr>
        <w:t>population</w:t>
      </w:r>
      <w:r>
        <w:rPr>
          <w:spacing w:val="-7"/>
          <w:sz w:val="22"/>
        </w:rPr>
        <w:t> </w:t>
      </w:r>
      <w:r>
        <w:rPr>
          <w:sz w:val="22"/>
        </w:rPr>
        <w:t>of</w:t>
      </w:r>
      <w:r>
        <w:rPr>
          <w:spacing w:val="-4"/>
          <w:sz w:val="22"/>
        </w:rPr>
        <w:t> </w:t>
      </w:r>
      <w:r>
        <w:rPr>
          <w:sz w:val="22"/>
        </w:rPr>
        <w:t>members.</w:t>
      </w:r>
      <w:r>
        <w:rPr>
          <w:spacing w:val="-5"/>
          <w:sz w:val="22"/>
        </w:rPr>
        <w:t> </w:t>
      </w:r>
      <w:r>
        <w:rPr>
          <w:sz w:val="22"/>
        </w:rPr>
        <w:t>Because</w:t>
      </w:r>
      <w:r>
        <w:rPr>
          <w:spacing w:val="-7"/>
          <w:sz w:val="22"/>
        </w:rPr>
        <w:t> </w:t>
      </w:r>
      <w:r>
        <w:rPr>
          <w:sz w:val="22"/>
        </w:rPr>
        <w:t>ACOs’</w:t>
      </w:r>
      <w:r>
        <w:rPr>
          <w:spacing w:val="-6"/>
          <w:sz w:val="22"/>
        </w:rPr>
        <w:t> </w:t>
      </w:r>
      <w:r>
        <w:rPr>
          <w:sz w:val="22"/>
        </w:rPr>
        <w:t>responsibilities</w:t>
      </w:r>
      <w:r>
        <w:rPr>
          <w:spacing w:val="-7"/>
          <w:sz w:val="22"/>
        </w:rPr>
        <w:t> </w:t>
      </w:r>
      <w:r>
        <w:rPr>
          <w:sz w:val="22"/>
        </w:rPr>
        <w:t>scale with their populations, the State will use the size of this population to determine the amount of Startup/Ongoing funding and the Flexible Services allotment for each ACO. For Partnership Plans and Primary Care ACOs, the number of members is simply the number of members enrolled in each ACO. Eligible MassHealth members will either choose to enroll or be assigned to these ACOs. MassHealth records members’ enrollments in the agency’s MMIS system and Data Warehouse. The State will tally a count of members enrolled in each ACO based on this record; this count will be multiplied by the DSRIP PMPM values to calculate the payment amounts per ACO.</w:t>
      </w:r>
    </w:p>
    <w:p>
      <w:pPr>
        <w:spacing w:after="0"/>
        <w:jc w:val="both"/>
        <w:rPr>
          <w:sz w:val="22"/>
        </w:rPr>
        <w:sectPr>
          <w:pgSz w:w="12240" w:h="15840"/>
          <w:pgMar w:header="0" w:footer="967" w:top="1360" w:bottom="1160" w:left="220" w:right="340"/>
        </w:sectPr>
      </w:pPr>
    </w:p>
    <w:p>
      <w:pPr>
        <w:spacing w:before="78"/>
        <w:ind w:left="1219" w:right="1093" w:firstLine="0"/>
        <w:jc w:val="both"/>
        <w:rPr>
          <w:sz w:val="22"/>
        </w:rPr>
      </w:pPr>
      <w:r>
        <w:rPr>
          <w:sz w:val="22"/>
        </w:rPr>
        <w:t>For MCO-Administered ACOs, the State will use the number of members attributed to each ACO for the purposes of cost and quality</w:t>
      </w:r>
      <w:r>
        <w:rPr>
          <w:spacing w:val="-2"/>
          <w:sz w:val="22"/>
        </w:rPr>
        <w:t> </w:t>
      </w:r>
      <w:r>
        <w:rPr>
          <w:sz w:val="22"/>
        </w:rPr>
        <w:t>accountability. These attributed members are the subset of MassHealth</w:t>
      </w:r>
      <w:r>
        <w:rPr>
          <w:spacing w:val="-2"/>
          <w:sz w:val="22"/>
        </w:rPr>
        <w:t> </w:t>
      </w:r>
      <w:r>
        <w:rPr>
          <w:sz w:val="22"/>
        </w:rPr>
        <w:t>MCO enrollees who have primary care assignments in their MCOs to PCPs who participate in MCO- Administered ACOs. Massachusetts will know who these Participating PCPs are for each MCO- Administered ACO, and will record this information in its Data Warehouse. Each MCO will report to the State on a regular basis the primary care assignments for the MCO’s enrollees. The State will use this information</w:t>
      </w:r>
      <w:r>
        <w:rPr>
          <w:spacing w:val="-6"/>
          <w:sz w:val="22"/>
        </w:rPr>
        <w:t> </w:t>
      </w:r>
      <w:r>
        <w:rPr>
          <w:sz w:val="22"/>
        </w:rPr>
        <w:t>to</w:t>
      </w:r>
      <w:r>
        <w:rPr>
          <w:spacing w:val="-6"/>
          <w:sz w:val="22"/>
        </w:rPr>
        <w:t> </w:t>
      </w:r>
      <w:r>
        <w:rPr>
          <w:sz w:val="22"/>
        </w:rPr>
        <w:t>determine</w:t>
      </w:r>
      <w:r>
        <w:rPr>
          <w:spacing w:val="-6"/>
          <w:sz w:val="22"/>
        </w:rPr>
        <w:t> </w:t>
      </w:r>
      <w:r>
        <w:rPr>
          <w:sz w:val="22"/>
        </w:rPr>
        <w:t>the</w:t>
      </w:r>
      <w:r>
        <w:rPr>
          <w:spacing w:val="-6"/>
          <w:sz w:val="22"/>
        </w:rPr>
        <w:t> </w:t>
      </w:r>
      <w:r>
        <w:rPr>
          <w:sz w:val="22"/>
        </w:rPr>
        <w:t>number</w:t>
      </w:r>
      <w:r>
        <w:rPr>
          <w:spacing w:val="-5"/>
          <w:sz w:val="22"/>
        </w:rPr>
        <w:t> </w:t>
      </w:r>
      <w:r>
        <w:rPr>
          <w:sz w:val="22"/>
        </w:rPr>
        <w:t>of</w:t>
      </w:r>
      <w:r>
        <w:rPr>
          <w:spacing w:val="-5"/>
          <w:sz w:val="22"/>
        </w:rPr>
        <w:t> </w:t>
      </w:r>
      <w:r>
        <w:rPr>
          <w:sz w:val="22"/>
        </w:rPr>
        <w:t>MCO</w:t>
      </w:r>
      <w:r>
        <w:rPr>
          <w:spacing w:val="-7"/>
          <w:sz w:val="22"/>
        </w:rPr>
        <w:t> </w:t>
      </w:r>
      <w:r>
        <w:rPr>
          <w:sz w:val="22"/>
        </w:rPr>
        <w:t>enrollees</w:t>
      </w:r>
      <w:r>
        <w:rPr>
          <w:spacing w:val="-8"/>
          <w:sz w:val="22"/>
        </w:rPr>
        <w:t> </w:t>
      </w:r>
      <w:r>
        <w:rPr>
          <w:sz w:val="22"/>
        </w:rPr>
        <w:t>who</w:t>
      </w:r>
      <w:r>
        <w:rPr>
          <w:spacing w:val="-6"/>
          <w:sz w:val="22"/>
        </w:rPr>
        <w:t> </w:t>
      </w:r>
      <w:r>
        <w:rPr>
          <w:sz w:val="22"/>
        </w:rPr>
        <w:t>have</w:t>
      </w:r>
      <w:r>
        <w:rPr>
          <w:spacing w:val="-6"/>
          <w:sz w:val="22"/>
        </w:rPr>
        <w:t> </w:t>
      </w:r>
      <w:r>
        <w:rPr>
          <w:sz w:val="22"/>
        </w:rPr>
        <w:t>primary</w:t>
      </w:r>
      <w:r>
        <w:rPr>
          <w:spacing w:val="-6"/>
          <w:sz w:val="22"/>
        </w:rPr>
        <w:t> </w:t>
      </w:r>
      <w:r>
        <w:rPr>
          <w:sz w:val="22"/>
        </w:rPr>
        <w:t>care</w:t>
      </w:r>
      <w:r>
        <w:rPr>
          <w:spacing w:val="-6"/>
          <w:sz w:val="22"/>
        </w:rPr>
        <w:t> </w:t>
      </w:r>
      <w:r>
        <w:rPr>
          <w:sz w:val="22"/>
        </w:rPr>
        <w:t>assignments</w:t>
      </w:r>
      <w:r>
        <w:rPr>
          <w:spacing w:val="-6"/>
          <w:sz w:val="22"/>
        </w:rPr>
        <w:t> </w:t>
      </w:r>
      <w:r>
        <w:rPr>
          <w:sz w:val="22"/>
        </w:rPr>
        <w:t>to</w:t>
      </w:r>
      <w:r>
        <w:rPr>
          <w:spacing w:val="-6"/>
          <w:sz w:val="22"/>
        </w:rPr>
        <w:t> </w:t>
      </w:r>
      <w:r>
        <w:rPr>
          <w:sz w:val="22"/>
        </w:rPr>
        <w:t>each</w:t>
      </w:r>
      <w:r>
        <w:rPr>
          <w:spacing w:val="-6"/>
          <w:sz w:val="22"/>
        </w:rPr>
        <w:t> </w:t>
      </w:r>
      <w:r>
        <w:rPr>
          <w:sz w:val="22"/>
        </w:rPr>
        <w:t>MCO- Administered ACO; this number will be multiplied by the DSRIP PMPM values to calculate the payment amounts per MCO-Administered ACO.</w:t>
      </w:r>
    </w:p>
    <w:p>
      <w:pPr>
        <w:spacing w:before="159"/>
        <w:ind w:left="1220" w:right="1091" w:firstLine="0"/>
        <w:jc w:val="both"/>
        <w:rPr>
          <w:sz w:val="22"/>
        </w:rPr>
      </w:pPr>
      <w:r>
        <w:rPr>
          <w:sz w:val="22"/>
        </w:rPr>
        <w:t>The State may use a point-in-time (“snapshot”) count of members for each ACO, or may calculate the average members each ACO has over a particular period (e.g., the most recent quarter) in order to ensure DSRIP payment calculations are robust to temporary fluctuations in member enrollments. Once Massachusetts has selected ACOs and is able to perform more analytics on historical ACO-level member enrollment movement, Massachusetts intends to finalize such operational details of this calculation.</w:t>
      </w:r>
    </w:p>
    <w:p>
      <w:pPr>
        <w:pStyle w:val="Heading2"/>
        <w:numPr>
          <w:ilvl w:val="1"/>
          <w:numId w:val="68"/>
        </w:numPr>
        <w:tabs>
          <w:tab w:pos="1618" w:val="left" w:leader="none"/>
        </w:tabs>
        <w:spacing w:line="240" w:lineRule="auto" w:before="203" w:after="0"/>
        <w:ind w:left="1618" w:right="0" w:hanging="398"/>
        <w:jc w:val="both"/>
      </w:pPr>
      <w:bookmarkStart w:name="4.5 Payment Calculation and Timing for C" w:id="1318"/>
      <w:bookmarkEnd w:id="1318"/>
      <w:r>
        <w:rPr>
          <w:b w:val="0"/>
        </w:rPr>
      </w:r>
      <w:bookmarkStart w:name="4.5.1 BH CP Sub-Stream 1: Care Coordinat" w:id="1319"/>
      <w:bookmarkEnd w:id="1319"/>
      <w:r>
        <w:rPr>
          <w:b w:val="0"/>
        </w:rPr>
      </w:r>
      <w:bookmarkStart w:name="_bookmark53" w:id="1320"/>
      <w:bookmarkEnd w:id="1320"/>
      <w:r>
        <w:rPr>
          <w:b w:val="0"/>
        </w:rPr>
      </w:r>
      <w:bookmarkStart w:name="_bookmark54" w:id="1321"/>
      <w:bookmarkEnd w:id="1321"/>
      <w:r>
        <w:rPr>
          <w:b w:val="0"/>
        </w:rPr>
      </w:r>
      <w:r>
        <w:rPr>
          <w:color w:val="4471C4"/>
        </w:rPr>
        <w:t>Payment</w:t>
      </w:r>
      <w:r>
        <w:rPr>
          <w:color w:val="4471C4"/>
          <w:spacing w:val="-7"/>
        </w:rPr>
        <w:t> </w:t>
      </w:r>
      <w:r>
        <w:rPr>
          <w:color w:val="4471C4"/>
        </w:rPr>
        <w:t>Calculation</w:t>
      </w:r>
      <w:r>
        <w:rPr>
          <w:color w:val="4471C4"/>
          <w:spacing w:val="-7"/>
        </w:rPr>
        <w:t> </w:t>
      </w:r>
      <w:r>
        <w:rPr>
          <w:color w:val="4471C4"/>
        </w:rPr>
        <w:t>and</w:t>
      </w:r>
      <w:r>
        <w:rPr>
          <w:color w:val="4471C4"/>
          <w:spacing w:val="-9"/>
        </w:rPr>
        <w:t> </w:t>
      </w:r>
      <w:r>
        <w:rPr>
          <w:color w:val="4471C4"/>
        </w:rPr>
        <w:t>Timing</w:t>
      </w:r>
      <w:r>
        <w:rPr>
          <w:color w:val="4471C4"/>
          <w:spacing w:val="-9"/>
        </w:rPr>
        <w:t> </w:t>
      </w:r>
      <w:r>
        <w:rPr>
          <w:color w:val="4471C4"/>
        </w:rPr>
        <w:t>for</w:t>
      </w:r>
      <w:r>
        <w:rPr>
          <w:color w:val="4471C4"/>
          <w:spacing w:val="-6"/>
        </w:rPr>
        <w:t> </w:t>
      </w:r>
      <w:r>
        <w:rPr>
          <w:color w:val="4471C4"/>
        </w:rPr>
        <w:t>CP</w:t>
      </w:r>
      <w:r>
        <w:rPr>
          <w:color w:val="4471C4"/>
          <w:spacing w:val="-10"/>
        </w:rPr>
        <w:t> </w:t>
      </w:r>
      <w:r>
        <w:rPr>
          <w:color w:val="4471C4"/>
        </w:rPr>
        <w:t>and</w:t>
      </w:r>
      <w:r>
        <w:rPr>
          <w:color w:val="4471C4"/>
          <w:spacing w:val="-9"/>
        </w:rPr>
        <w:t> </w:t>
      </w:r>
      <w:r>
        <w:rPr>
          <w:color w:val="4471C4"/>
        </w:rPr>
        <w:t>CSA</w:t>
      </w:r>
      <w:r>
        <w:rPr>
          <w:color w:val="4471C4"/>
          <w:spacing w:val="-9"/>
        </w:rPr>
        <w:t> </w:t>
      </w:r>
      <w:r>
        <w:rPr>
          <w:color w:val="4471C4"/>
        </w:rPr>
        <w:t>Sub-</w:t>
      </w:r>
      <w:r>
        <w:rPr>
          <w:color w:val="4471C4"/>
          <w:spacing w:val="-2"/>
        </w:rPr>
        <w:t>Streams</w:t>
      </w:r>
    </w:p>
    <w:p>
      <w:pPr>
        <w:pStyle w:val="ListParagraph"/>
        <w:numPr>
          <w:ilvl w:val="2"/>
          <w:numId w:val="68"/>
        </w:numPr>
        <w:tabs>
          <w:tab w:pos="1939" w:val="left" w:leader="none"/>
        </w:tabs>
        <w:spacing w:line="252" w:lineRule="exact" w:before="199" w:after="0"/>
        <w:ind w:left="1939" w:right="0" w:hanging="719"/>
        <w:jc w:val="both"/>
        <w:rPr>
          <w:b/>
          <w:color w:val="4471C4"/>
          <w:sz w:val="22"/>
        </w:rPr>
      </w:pPr>
      <w:r>
        <w:rPr>
          <w:b/>
          <w:color w:val="4471C4"/>
          <w:sz w:val="22"/>
        </w:rPr>
        <w:t>BH</w:t>
      </w:r>
      <w:r>
        <w:rPr>
          <w:b/>
          <w:color w:val="4471C4"/>
          <w:spacing w:val="-4"/>
          <w:sz w:val="22"/>
        </w:rPr>
        <w:t> </w:t>
      </w:r>
      <w:r>
        <w:rPr>
          <w:b/>
          <w:color w:val="4471C4"/>
          <w:sz w:val="22"/>
        </w:rPr>
        <w:t>CP</w:t>
      </w:r>
      <w:r>
        <w:rPr>
          <w:b/>
          <w:color w:val="4471C4"/>
          <w:spacing w:val="-6"/>
          <w:sz w:val="22"/>
        </w:rPr>
        <w:t> </w:t>
      </w:r>
      <w:r>
        <w:rPr>
          <w:b/>
          <w:color w:val="4471C4"/>
          <w:sz w:val="22"/>
        </w:rPr>
        <w:t>Sub-Stream</w:t>
      </w:r>
      <w:r>
        <w:rPr>
          <w:b/>
          <w:color w:val="4471C4"/>
          <w:spacing w:val="-3"/>
          <w:sz w:val="22"/>
        </w:rPr>
        <w:t> </w:t>
      </w:r>
      <w:r>
        <w:rPr>
          <w:b/>
          <w:color w:val="4471C4"/>
          <w:sz w:val="22"/>
        </w:rPr>
        <w:t>1:</w:t>
      </w:r>
      <w:r>
        <w:rPr>
          <w:b/>
          <w:color w:val="4471C4"/>
          <w:spacing w:val="-4"/>
          <w:sz w:val="22"/>
        </w:rPr>
        <w:t> </w:t>
      </w:r>
      <w:r>
        <w:rPr>
          <w:b/>
          <w:color w:val="4471C4"/>
          <w:sz w:val="22"/>
        </w:rPr>
        <w:t>Care</w:t>
      </w:r>
      <w:r>
        <w:rPr>
          <w:b/>
          <w:color w:val="4471C4"/>
          <w:spacing w:val="-5"/>
          <w:sz w:val="22"/>
        </w:rPr>
        <w:t> </w:t>
      </w:r>
      <w:r>
        <w:rPr>
          <w:b/>
          <w:color w:val="4471C4"/>
          <w:sz w:val="22"/>
        </w:rPr>
        <w:t>Coordination</w:t>
      </w:r>
      <w:r>
        <w:rPr>
          <w:b/>
          <w:color w:val="4471C4"/>
          <w:spacing w:val="-5"/>
          <w:sz w:val="22"/>
        </w:rPr>
        <w:t> </w:t>
      </w:r>
      <w:r>
        <w:rPr>
          <w:b/>
          <w:color w:val="4471C4"/>
          <w:sz w:val="22"/>
        </w:rPr>
        <w:t>Supports</w:t>
      </w:r>
      <w:r>
        <w:rPr>
          <w:b/>
          <w:color w:val="4471C4"/>
          <w:spacing w:val="-6"/>
          <w:sz w:val="22"/>
        </w:rPr>
        <w:t> </w:t>
      </w:r>
      <w:r>
        <w:rPr>
          <w:b/>
          <w:color w:val="4471C4"/>
          <w:spacing w:val="-2"/>
          <w:sz w:val="22"/>
        </w:rPr>
        <w:t>Funding</w:t>
      </w:r>
    </w:p>
    <w:p>
      <w:pPr>
        <w:spacing w:line="240" w:lineRule="auto" w:before="0"/>
        <w:ind w:left="1220" w:right="1091" w:firstLine="0"/>
        <w:jc w:val="both"/>
        <w:rPr>
          <w:sz w:val="22"/>
        </w:rPr>
      </w:pPr>
      <w:r>
        <w:rPr>
          <w:sz w:val="22"/>
        </w:rPr>
        <w:t>The State will pay each BH CP a PMPM rate for care coordination supports for each member assigned to and engaged with the BH CP during the month. The PMPM rate has been developed to account, in part, based</w:t>
      </w:r>
      <w:r>
        <w:rPr>
          <w:spacing w:val="-6"/>
          <w:sz w:val="22"/>
        </w:rPr>
        <w:t> </w:t>
      </w:r>
      <w:r>
        <w:rPr>
          <w:sz w:val="22"/>
        </w:rPr>
        <w:t>on</w:t>
      </w:r>
      <w:r>
        <w:rPr>
          <w:spacing w:val="-8"/>
          <w:sz w:val="22"/>
        </w:rPr>
        <w:t> </w:t>
      </w:r>
      <w:r>
        <w:rPr>
          <w:sz w:val="22"/>
        </w:rPr>
        <w:t>the</w:t>
      </w:r>
      <w:r>
        <w:rPr>
          <w:spacing w:val="-6"/>
          <w:sz w:val="22"/>
        </w:rPr>
        <w:t> </w:t>
      </w:r>
      <w:r>
        <w:rPr>
          <w:sz w:val="22"/>
        </w:rPr>
        <w:t>staff</w:t>
      </w:r>
      <w:r>
        <w:rPr>
          <w:spacing w:val="-5"/>
          <w:sz w:val="22"/>
        </w:rPr>
        <w:t> </w:t>
      </w:r>
      <w:r>
        <w:rPr>
          <w:sz w:val="22"/>
        </w:rPr>
        <w:t>required</w:t>
      </w:r>
      <w:r>
        <w:rPr>
          <w:spacing w:val="-6"/>
          <w:sz w:val="22"/>
        </w:rPr>
        <w:t> </w:t>
      </w:r>
      <w:r>
        <w:rPr>
          <w:sz w:val="22"/>
        </w:rPr>
        <w:t>to</w:t>
      </w:r>
      <w:r>
        <w:rPr>
          <w:spacing w:val="-6"/>
          <w:sz w:val="22"/>
        </w:rPr>
        <w:t> </w:t>
      </w:r>
      <w:r>
        <w:rPr>
          <w:sz w:val="22"/>
        </w:rPr>
        <w:t>support</w:t>
      </w:r>
      <w:r>
        <w:rPr>
          <w:spacing w:val="-5"/>
          <w:sz w:val="22"/>
        </w:rPr>
        <w:t> </w:t>
      </w:r>
      <w:r>
        <w:rPr>
          <w:sz w:val="22"/>
        </w:rPr>
        <w:t>the</w:t>
      </w:r>
      <w:r>
        <w:rPr>
          <w:spacing w:val="-6"/>
          <w:sz w:val="22"/>
        </w:rPr>
        <w:t> </w:t>
      </w:r>
      <w:r>
        <w:rPr>
          <w:sz w:val="22"/>
        </w:rPr>
        <w:t>BH</w:t>
      </w:r>
      <w:r>
        <w:rPr>
          <w:spacing w:val="-7"/>
          <w:sz w:val="22"/>
        </w:rPr>
        <w:t> </w:t>
      </w:r>
      <w:r>
        <w:rPr>
          <w:sz w:val="22"/>
        </w:rPr>
        <w:t>CP</w:t>
      </w:r>
      <w:r>
        <w:rPr>
          <w:spacing w:val="-4"/>
          <w:sz w:val="22"/>
        </w:rPr>
        <w:t> </w:t>
      </w:r>
      <w:r>
        <w:rPr>
          <w:sz w:val="22"/>
        </w:rPr>
        <w:t>model,</w:t>
      </w:r>
      <w:r>
        <w:rPr>
          <w:spacing w:val="-6"/>
          <w:sz w:val="22"/>
        </w:rPr>
        <w:t> </w:t>
      </w:r>
      <w:r>
        <w:rPr>
          <w:sz w:val="22"/>
        </w:rPr>
        <w:t>including</w:t>
      </w:r>
      <w:r>
        <w:rPr>
          <w:spacing w:val="-9"/>
          <w:sz w:val="22"/>
        </w:rPr>
        <w:t> </w:t>
      </w:r>
      <w:r>
        <w:rPr>
          <w:sz w:val="22"/>
        </w:rPr>
        <w:t>the</w:t>
      </w:r>
      <w:r>
        <w:rPr>
          <w:spacing w:val="-6"/>
          <w:sz w:val="22"/>
        </w:rPr>
        <w:t> </w:t>
      </w:r>
      <w:r>
        <w:rPr>
          <w:sz w:val="22"/>
        </w:rPr>
        <w:t>need</w:t>
      </w:r>
      <w:r>
        <w:rPr>
          <w:spacing w:val="-6"/>
          <w:sz w:val="22"/>
        </w:rPr>
        <w:t> </w:t>
      </w:r>
      <w:r>
        <w:rPr>
          <w:sz w:val="22"/>
        </w:rPr>
        <w:t>for</w:t>
      </w:r>
      <w:r>
        <w:rPr>
          <w:spacing w:val="-5"/>
          <w:sz w:val="22"/>
        </w:rPr>
        <w:t> </w:t>
      </w:r>
      <w:r>
        <w:rPr>
          <w:sz w:val="22"/>
        </w:rPr>
        <w:t>Registered</w:t>
      </w:r>
      <w:r>
        <w:rPr>
          <w:spacing w:val="-6"/>
          <w:sz w:val="22"/>
        </w:rPr>
        <w:t> </w:t>
      </w:r>
      <w:r>
        <w:rPr>
          <w:sz w:val="22"/>
        </w:rPr>
        <w:t>Nurses,</w:t>
      </w:r>
      <w:r>
        <w:rPr>
          <w:spacing w:val="-6"/>
          <w:sz w:val="22"/>
        </w:rPr>
        <w:t> </w:t>
      </w:r>
      <w:r>
        <w:rPr>
          <w:sz w:val="22"/>
        </w:rPr>
        <w:t>licensed clinicians, and access to a medical director for the performance of supports such as comprehensive assessments</w:t>
      </w:r>
      <w:r>
        <w:rPr>
          <w:spacing w:val="-4"/>
          <w:sz w:val="22"/>
        </w:rPr>
        <w:t> </w:t>
      </w:r>
      <w:r>
        <w:rPr>
          <w:sz w:val="22"/>
        </w:rPr>
        <w:t>and</w:t>
      </w:r>
      <w:r>
        <w:rPr>
          <w:spacing w:val="-5"/>
          <w:sz w:val="22"/>
        </w:rPr>
        <w:t> </w:t>
      </w:r>
      <w:r>
        <w:rPr>
          <w:sz w:val="22"/>
        </w:rPr>
        <w:t>medication</w:t>
      </w:r>
      <w:r>
        <w:rPr>
          <w:spacing w:val="-5"/>
          <w:sz w:val="22"/>
        </w:rPr>
        <w:t> </w:t>
      </w:r>
      <w:r>
        <w:rPr>
          <w:sz w:val="22"/>
        </w:rPr>
        <w:t>reconciliation,</w:t>
      </w:r>
      <w:r>
        <w:rPr>
          <w:spacing w:val="-7"/>
          <w:sz w:val="22"/>
        </w:rPr>
        <w:t> </w:t>
      </w:r>
      <w:r>
        <w:rPr>
          <w:sz w:val="22"/>
        </w:rPr>
        <w:t>as</w:t>
      </w:r>
      <w:r>
        <w:rPr>
          <w:spacing w:val="-4"/>
          <w:sz w:val="22"/>
        </w:rPr>
        <w:t> </w:t>
      </w:r>
      <w:r>
        <w:rPr>
          <w:sz w:val="22"/>
        </w:rPr>
        <w:t>well</w:t>
      </w:r>
      <w:r>
        <w:rPr>
          <w:spacing w:val="-6"/>
          <w:sz w:val="22"/>
        </w:rPr>
        <w:t> </w:t>
      </w:r>
      <w:r>
        <w:rPr>
          <w:sz w:val="22"/>
        </w:rPr>
        <w:t>as</w:t>
      </w:r>
      <w:r>
        <w:rPr>
          <w:spacing w:val="-7"/>
          <w:sz w:val="22"/>
        </w:rPr>
        <w:t> </w:t>
      </w:r>
      <w:r>
        <w:rPr>
          <w:sz w:val="22"/>
        </w:rPr>
        <w:t>community</w:t>
      </w:r>
      <w:r>
        <w:rPr>
          <w:spacing w:val="-7"/>
          <w:sz w:val="22"/>
        </w:rPr>
        <w:t> </w:t>
      </w:r>
      <w:r>
        <w:rPr>
          <w:sz w:val="22"/>
        </w:rPr>
        <w:t>health</w:t>
      </w:r>
      <w:r>
        <w:rPr>
          <w:spacing w:val="-5"/>
          <w:sz w:val="22"/>
        </w:rPr>
        <w:t> </w:t>
      </w:r>
      <w:r>
        <w:rPr>
          <w:sz w:val="22"/>
        </w:rPr>
        <w:t>workers,</w:t>
      </w:r>
      <w:r>
        <w:rPr>
          <w:spacing w:val="-7"/>
          <w:sz w:val="22"/>
        </w:rPr>
        <w:t> </w:t>
      </w:r>
      <w:r>
        <w:rPr>
          <w:sz w:val="22"/>
        </w:rPr>
        <w:t>health</w:t>
      </w:r>
      <w:r>
        <w:rPr>
          <w:spacing w:val="-5"/>
          <w:sz w:val="22"/>
        </w:rPr>
        <w:t> </w:t>
      </w:r>
      <w:r>
        <w:rPr>
          <w:sz w:val="22"/>
        </w:rPr>
        <w:t>outreach</w:t>
      </w:r>
      <w:r>
        <w:rPr>
          <w:spacing w:val="-5"/>
          <w:sz w:val="22"/>
        </w:rPr>
        <w:t> </w:t>
      </w:r>
      <w:r>
        <w:rPr>
          <w:sz w:val="22"/>
        </w:rPr>
        <w:t>workers, peer specialists and recovery coaches for the SMI and/or SUD population. Caseloads for each BH CP are expected to be between 35-50 engaged enrollees per FTE. The rate is anticipated to be $180 PMPM. The State anticipates</w:t>
      </w:r>
      <w:r>
        <w:rPr>
          <w:spacing w:val="-2"/>
          <w:sz w:val="22"/>
        </w:rPr>
        <w:t> </w:t>
      </w:r>
      <w:r>
        <w:rPr>
          <w:sz w:val="22"/>
        </w:rPr>
        <w:t>that</w:t>
      </w:r>
      <w:r>
        <w:rPr>
          <w:spacing w:val="-1"/>
          <w:sz w:val="22"/>
        </w:rPr>
        <w:t> </w:t>
      </w:r>
      <w:r>
        <w:rPr>
          <w:sz w:val="22"/>
        </w:rPr>
        <w:t>the</w:t>
      </w:r>
      <w:r>
        <w:rPr>
          <w:spacing w:val="-2"/>
          <w:sz w:val="22"/>
        </w:rPr>
        <w:t> </w:t>
      </w:r>
      <w:r>
        <w:rPr>
          <w:sz w:val="22"/>
        </w:rPr>
        <w:t>rate will</w:t>
      </w:r>
      <w:r>
        <w:rPr>
          <w:spacing w:val="-1"/>
          <w:sz w:val="22"/>
        </w:rPr>
        <w:t> </w:t>
      </w:r>
      <w:r>
        <w:rPr>
          <w:sz w:val="22"/>
        </w:rPr>
        <w:t>remain constant</w:t>
      </w:r>
      <w:r>
        <w:rPr>
          <w:spacing w:val="-1"/>
          <w:sz w:val="22"/>
        </w:rPr>
        <w:t> </w:t>
      </w:r>
      <w:r>
        <w:rPr>
          <w:sz w:val="22"/>
        </w:rPr>
        <w:t>for</w:t>
      </w:r>
      <w:r>
        <w:rPr>
          <w:spacing w:val="-1"/>
          <w:sz w:val="22"/>
        </w:rPr>
        <w:t> </w:t>
      </w:r>
      <w:r>
        <w:rPr>
          <w:sz w:val="22"/>
        </w:rPr>
        <w:t>the first</w:t>
      </w:r>
      <w:r>
        <w:rPr>
          <w:spacing w:val="-1"/>
          <w:sz w:val="22"/>
        </w:rPr>
        <w:t> </w:t>
      </w:r>
      <w:r>
        <w:rPr>
          <w:sz w:val="22"/>
        </w:rPr>
        <w:t>two years of the program, at which</w:t>
      </w:r>
      <w:r>
        <w:rPr>
          <w:spacing w:val="-2"/>
          <w:sz w:val="22"/>
        </w:rPr>
        <w:t> </w:t>
      </w:r>
      <w:r>
        <w:rPr>
          <w:sz w:val="22"/>
        </w:rPr>
        <w:t>time the State</w:t>
      </w:r>
      <w:r>
        <w:rPr>
          <w:spacing w:val="-14"/>
          <w:sz w:val="22"/>
        </w:rPr>
        <w:t> </w:t>
      </w:r>
      <w:r>
        <w:rPr>
          <w:sz w:val="22"/>
        </w:rPr>
        <w:t>plans</w:t>
      </w:r>
      <w:r>
        <w:rPr>
          <w:spacing w:val="-14"/>
          <w:sz w:val="22"/>
        </w:rPr>
        <w:t> </w:t>
      </w:r>
      <w:r>
        <w:rPr>
          <w:sz w:val="22"/>
        </w:rPr>
        <w:t>to</w:t>
      </w:r>
      <w:r>
        <w:rPr>
          <w:spacing w:val="-14"/>
          <w:sz w:val="22"/>
        </w:rPr>
        <w:t> </w:t>
      </w:r>
      <w:r>
        <w:rPr>
          <w:sz w:val="22"/>
        </w:rPr>
        <w:t>evaluate</w:t>
      </w:r>
      <w:r>
        <w:rPr>
          <w:spacing w:val="-13"/>
          <w:sz w:val="22"/>
        </w:rPr>
        <w:t> </w:t>
      </w:r>
      <w:r>
        <w:rPr>
          <w:sz w:val="22"/>
        </w:rPr>
        <w:t>the</w:t>
      </w:r>
      <w:r>
        <w:rPr>
          <w:spacing w:val="-14"/>
          <w:sz w:val="22"/>
        </w:rPr>
        <w:t> </w:t>
      </w:r>
      <w:r>
        <w:rPr>
          <w:sz w:val="22"/>
        </w:rPr>
        <w:t>program</w:t>
      </w:r>
      <w:r>
        <w:rPr>
          <w:spacing w:val="-14"/>
          <w:sz w:val="22"/>
        </w:rPr>
        <w:t> </w:t>
      </w:r>
      <w:r>
        <w:rPr>
          <w:sz w:val="22"/>
        </w:rPr>
        <w:t>and</w:t>
      </w:r>
      <w:r>
        <w:rPr>
          <w:spacing w:val="-14"/>
          <w:sz w:val="22"/>
        </w:rPr>
        <w:t> </w:t>
      </w:r>
      <w:r>
        <w:rPr>
          <w:sz w:val="22"/>
        </w:rPr>
        <w:t>revisit</w:t>
      </w:r>
      <w:r>
        <w:rPr>
          <w:spacing w:val="-13"/>
          <w:sz w:val="22"/>
        </w:rPr>
        <w:t> </w:t>
      </w:r>
      <w:r>
        <w:rPr>
          <w:sz w:val="22"/>
        </w:rPr>
        <w:t>the</w:t>
      </w:r>
      <w:r>
        <w:rPr>
          <w:spacing w:val="-14"/>
          <w:sz w:val="22"/>
        </w:rPr>
        <w:t> </w:t>
      </w:r>
      <w:r>
        <w:rPr>
          <w:sz w:val="22"/>
        </w:rPr>
        <w:t>PMPM</w:t>
      </w:r>
      <w:r>
        <w:rPr>
          <w:spacing w:val="-14"/>
          <w:sz w:val="22"/>
        </w:rPr>
        <w:t> </w:t>
      </w:r>
      <w:r>
        <w:rPr>
          <w:sz w:val="22"/>
        </w:rPr>
        <w:t>rate.</w:t>
      </w:r>
      <w:r>
        <w:rPr>
          <w:spacing w:val="-14"/>
          <w:sz w:val="22"/>
        </w:rPr>
        <w:t> </w:t>
      </w:r>
      <w:r>
        <w:rPr>
          <w:sz w:val="22"/>
        </w:rPr>
        <w:t>The</w:t>
      </w:r>
      <w:r>
        <w:rPr>
          <w:spacing w:val="-13"/>
          <w:sz w:val="22"/>
        </w:rPr>
        <w:t> </w:t>
      </w:r>
      <w:r>
        <w:rPr>
          <w:sz w:val="22"/>
        </w:rPr>
        <w:t>State</w:t>
      </w:r>
      <w:r>
        <w:rPr>
          <w:spacing w:val="-14"/>
          <w:sz w:val="22"/>
        </w:rPr>
        <w:t> </w:t>
      </w:r>
      <w:r>
        <w:rPr>
          <w:sz w:val="22"/>
        </w:rPr>
        <w:t>may</w:t>
      </w:r>
      <w:r>
        <w:rPr>
          <w:spacing w:val="-14"/>
          <w:sz w:val="22"/>
        </w:rPr>
        <w:t> </w:t>
      </w:r>
      <w:r>
        <w:rPr>
          <w:sz w:val="22"/>
        </w:rPr>
        <w:t>vary</w:t>
      </w:r>
      <w:r>
        <w:rPr>
          <w:spacing w:val="-14"/>
          <w:sz w:val="22"/>
        </w:rPr>
        <w:t> </w:t>
      </w:r>
      <w:r>
        <w:rPr>
          <w:sz w:val="22"/>
        </w:rPr>
        <w:t>the</w:t>
      </w:r>
      <w:r>
        <w:rPr>
          <w:spacing w:val="-13"/>
          <w:sz w:val="22"/>
        </w:rPr>
        <w:t> </w:t>
      </w:r>
      <w:r>
        <w:rPr>
          <w:sz w:val="22"/>
        </w:rPr>
        <w:t>amount</w:t>
      </w:r>
      <w:r>
        <w:rPr>
          <w:spacing w:val="-14"/>
          <w:sz w:val="22"/>
        </w:rPr>
        <w:t> </w:t>
      </w:r>
      <w:r>
        <w:rPr>
          <w:sz w:val="22"/>
        </w:rPr>
        <w:t>of</w:t>
      </w:r>
      <w:r>
        <w:rPr>
          <w:spacing w:val="-14"/>
          <w:sz w:val="22"/>
        </w:rPr>
        <w:t> </w:t>
      </w:r>
      <w:r>
        <w:rPr>
          <w:sz w:val="22"/>
        </w:rPr>
        <w:t>the</w:t>
      </w:r>
      <w:r>
        <w:rPr>
          <w:spacing w:val="-14"/>
          <w:sz w:val="22"/>
        </w:rPr>
        <w:t> </w:t>
      </w:r>
      <w:r>
        <w:rPr>
          <w:sz w:val="22"/>
        </w:rPr>
        <w:t>PMPM in its discretion at any time during the demonstration.</w:t>
      </w:r>
    </w:p>
    <w:p>
      <w:pPr>
        <w:spacing w:line="240" w:lineRule="auto" w:before="160"/>
        <w:ind w:left="1220" w:right="1092" w:firstLine="0"/>
        <w:jc w:val="both"/>
        <w:rPr>
          <w:sz w:val="22"/>
        </w:rPr>
      </w:pPr>
      <w:r>
        <w:rPr>
          <w:sz w:val="22"/>
        </w:rPr>
        <w:t>The State will pay the PMPM rate to the BH CP for each month in which the BH CP performs and documents</w:t>
      </w:r>
      <w:r>
        <w:rPr>
          <w:spacing w:val="-3"/>
          <w:sz w:val="22"/>
        </w:rPr>
        <w:t> </w:t>
      </w:r>
      <w:r>
        <w:rPr>
          <w:sz w:val="22"/>
        </w:rPr>
        <w:t>a</w:t>
      </w:r>
      <w:r>
        <w:rPr>
          <w:spacing w:val="-3"/>
          <w:sz w:val="22"/>
        </w:rPr>
        <w:t> </w:t>
      </w:r>
      <w:r>
        <w:rPr>
          <w:sz w:val="22"/>
        </w:rPr>
        <w:t>qualifying</w:t>
      </w:r>
      <w:r>
        <w:rPr>
          <w:spacing w:val="-6"/>
          <w:sz w:val="22"/>
        </w:rPr>
        <w:t> </w:t>
      </w:r>
      <w:r>
        <w:rPr>
          <w:sz w:val="22"/>
        </w:rPr>
        <w:t>activity,</w:t>
      </w:r>
      <w:r>
        <w:rPr>
          <w:spacing w:val="-4"/>
          <w:sz w:val="22"/>
        </w:rPr>
        <w:t> </w:t>
      </w:r>
      <w:r>
        <w:rPr>
          <w:sz w:val="22"/>
        </w:rPr>
        <w:t>beginning</w:t>
      </w:r>
      <w:r>
        <w:rPr>
          <w:spacing w:val="-6"/>
          <w:sz w:val="22"/>
        </w:rPr>
        <w:t> </w:t>
      </w:r>
      <w:r>
        <w:rPr>
          <w:sz w:val="22"/>
        </w:rPr>
        <w:t>in</w:t>
      </w:r>
      <w:r>
        <w:rPr>
          <w:spacing w:val="-4"/>
          <w:sz w:val="22"/>
        </w:rPr>
        <w:t> </w:t>
      </w:r>
      <w:r>
        <w:rPr>
          <w:sz w:val="22"/>
        </w:rPr>
        <w:t>the</w:t>
      </w:r>
      <w:r>
        <w:rPr>
          <w:spacing w:val="-3"/>
          <w:sz w:val="22"/>
        </w:rPr>
        <w:t> </w:t>
      </w:r>
      <w:r>
        <w:rPr>
          <w:sz w:val="22"/>
        </w:rPr>
        <w:t>month</w:t>
      </w:r>
      <w:r>
        <w:rPr>
          <w:spacing w:val="-4"/>
          <w:sz w:val="22"/>
        </w:rPr>
        <w:t> </w:t>
      </w:r>
      <w:r>
        <w:rPr>
          <w:sz w:val="22"/>
        </w:rPr>
        <w:t>when</w:t>
      </w:r>
      <w:r>
        <w:rPr>
          <w:spacing w:val="-4"/>
          <w:sz w:val="22"/>
        </w:rPr>
        <w:t> </w:t>
      </w:r>
      <w:r>
        <w:rPr>
          <w:sz w:val="22"/>
        </w:rPr>
        <w:t>the</w:t>
      </w:r>
      <w:r>
        <w:rPr>
          <w:spacing w:val="-3"/>
          <w:sz w:val="22"/>
        </w:rPr>
        <w:t> </w:t>
      </w:r>
      <w:r>
        <w:rPr>
          <w:sz w:val="22"/>
        </w:rPr>
        <w:t>member</w:t>
      </w:r>
      <w:r>
        <w:rPr>
          <w:spacing w:val="-3"/>
          <w:sz w:val="22"/>
        </w:rPr>
        <w:t> </w:t>
      </w:r>
      <w:r>
        <w:rPr>
          <w:sz w:val="22"/>
        </w:rPr>
        <w:t>is</w:t>
      </w:r>
      <w:r>
        <w:rPr>
          <w:spacing w:val="-3"/>
          <w:sz w:val="22"/>
        </w:rPr>
        <w:t> </w:t>
      </w:r>
      <w:r>
        <w:rPr>
          <w:sz w:val="22"/>
        </w:rPr>
        <w:t>assigned</w:t>
      </w:r>
      <w:r>
        <w:rPr>
          <w:spacing w:val="-4"/>
          <w:sz w:val="22"/>
        </w:rPr>
        <w:t> </w:t>
      </w:r>
      <w:r>
        <w:rPr>
          <w:sz w:val="22"/>
        </w:rPr>
        <w:t>to</w:t>
      </w:r>
      <w:r>
        <w:rPr>
          <w:spacing w:val="-6"/>
          <w:sz w:val="22"/>
        </w:rPr>
        <w:t> </w:t>
      </w:r>
      <w:r>
        <w:rPr>
          <w:sz w:val="22"/>
        </w:rPr>
        <w:t>the</w:t>
      </w:r>
      <w:r>
        <w:rPr>
          <w:spacing w:val="-3"/>
          <w:sz w:val="22"/>
        </w:rPr>
        <w:t> </w:t>
      </w:r>
      <w:r>
        <w:rPr>
          <w:sz w:val="22"/>
        </w:rPr>
        <w:t>BH</w:t>
      </w:r>
      <w:r>
        <w:rPr>
          <w:spacing w:val="-5"/>
          <w:sz w:val="22"/>
        </w:rPr>
        <w:t> </w:t>
      </w:r>
      <w:r>
        <w:rPr>
          <w:sz w:val="22"/>
        </w:rPr>
        <w:t>CP.</w:t>
      </w:r>
      <w:r>
        <w:rPr>
          <w:spacing w:val="-4"/>
          <w:sz w:val="22"/>
        </w:rPr>
        <w:t> </w:t>
      </w:r>
      <w:r>
        <w:rPr>
          <w:sz w:val="22"/>
        </w:rPr>
        <w:t>If</w:t>
      </w:r>
      <w:r>
        <w:rPr>
          <w:spacing w:val="-3"/>
          <w:sz w:val="22"/>
        </w:rPr>
        <w:t> </w:t>
      </w:r>
      <w:r>
        <w:rPr>
          <w:sz w:val="22"/>
        </w:rPr>
        <w:t>the BH</w:t>
      </w:r>
      <w:r>
        <w:rPr>
          <w:spacing w:val="-6"/>
          <w:sz w:val="22"/>
        </w:rPr>
        <w:t> </w:t>
      </w:r>
      <w:r>
        <w:rPr>
          <w:sz w:val="22"/>
        </w:rPr>
        <w:t>CP</w:t>
      </w:r>
      <w:r>
        <w:rPr>
          <w:spacing w:val="-5"/>
          <w:sz w:val="22"/>
        </w:rPr>
        <w:t> </w:t>
      </w:r>
      <w:r>
        <w:rPr>
          <w:sz w:val="22"/>
        </w:rPr>
        <w:t>does</w:t>
      </w:r>
      <w:r>
        <w:rPr>
          <w:spacing w:val="-7"/>
          <w:sz w:val="22"/>
        </w:rPr>
        <w:t> </w:t>
      </w:r>
      <w:r>
        <w:rPr>
          <w:sz w:val="22"/>
        </w:rPr>
        <w:t>not</w:t>
      </w:r>
      <w:r>
        <w:rPr>
          <w:spacing w:val="-6"/>
          <w:sz w:val="22"/>
        </w:rPr>
        <w:t> </w:t>
      </w:r>
      <w:r>
        <w:rPr>
          <w:sz w:val="22"/>
        </w:rPr>
        <w:t>perform</w:t>
      </w:r>
      <w:r>
        <w:rPr>
          <w:spacing w:val="-8"/>
          <w:sz w:val="22"/>
        </w:rPr>
        <w:t> </w:t>
      </w:r>
      <w:r>
        <w:rPr>
          <w:sz w:val="22"/>
        </w:rPr>
        <w:t>any</w:t>
      </w:r>
      <w:r>
        <w:rPr>
          <w:spacing w:val="-7"/>
          <w:sz w:val="22"/>
        </w:rPr>
        <w:t> </w:t>
      </w:r>
      <w:r>
        <w:rPr>
          <w:sz w:val="22"/>
        </w:rPr>
        <w:t>qualifying</w:t>
      </w:r>
      <w:r>
        <w:rPr>
          <w:spacing w:val="-7"/>
          <w:sz w:val="22"/>
        </w:rPr>
        <w:t> </w:t>
      </w:r>
      <w:r>
        <w:rPr>
          <w:sz w:val="22"/>
        </w:rPr>
        <w:t>activities</w:t>
      </w:r>
      <w:r>
        <w:rPr>
          <w:spacing w:val="-7"/>
          <w:sz w:val="22"/>
        </w:rPr>
        <w:t> </w:t>
      </w:r>
      <w:r>
        <w:rPr>
          <w:sz w:val="22"/>
        </w:rPr>
        <w:t>during</w:t>
      </w:r>
      <w:r>
        <w:rPr>
          <w:spacing w:val="-7"/>
          <w:sz w:val="22"/>
        </w:rPr>
        <w:t> </w:t>
      </w:r>
      <w:r>
        <w:rPr>
          <w:sz w:val="22"/>
        </w:rPr>
        <w:t>a</w:t>
      </w:r>
      <w:r>
        <w:rPr>
          <w:spacing w:val="-4"/>
          <w:sz w:val="22"/>
        </w:rPr>
        <w:t> </w:t>
      </w:r>
      <w:r>
        <w:rPr>
          <w:sz w:val="22"/>
        </w:rPr>
        <w:t>month,</w:t>
      </w:r>
      <w:r>
        <w:rPr>
          <w:spacing w:val="-5"/>
          <w:sz w:val="22"/>
        </w:rPr>
        <w:t> </w:t>
      </w:r>
      <w:r>
        <w:rPr>
          <w:sz w:val="22"/>
        </w:rPr>
        <w:t>it</w:t>
      </w:r>
      <w:r>
        <w:rPr>
          <w:spacing w:val="-4"/>
          <w:sz w:val="22"/>
        </w:rPr>
        <w:t> </w:t>
      </w:r>
      <w:r>
        <w:rPr>
          <w:sz w:val="22"/>
        </w:rPr>
        <w:t>will</w:t>
      </w:r>
      <w:r>
        <w:rPr>
          <w:spacing w:val="-4"/>
          <w:sz w:val="22"/>
        </w:rPr>
        <w:t> </w:t>
      </w:r>
      <w:r>
        <w:rPr>
          <w:sz w:val="22"/>
        </w:rPr>
        <w:t>not</w:t>
      </w:r>
      <w:r>
        <w:rPr>
          <w:spacing w:val="-6"/>
          <w:sz w:val="22"/>
        </w:rPr>
        <w:t> </w:t>
      </w:r>
      <w:r>
        <w:rPr>
          <w:sz w:val="22"/>
        </w:rPr>
        <w:t>be</w:t>
      </w:r>
      <w:r>
        <w:rPr>
          <w:spacing w:val="-7"/>
          <w:sz w:val="22"/>
        </w:rPr>
        <w:t> </w:t>
      </w:r>
      <w:r>
        <w:rPr>
          <w:sz w:val="22"/>
        </w:rPr>
        <w:t>paid</w:t>
      </w:r>
      <w:r>
        <w:rPr>
          <w:spacing w:val="-5"/>
          <w:sz w:val="22"/>
        </w:rPr>
        <w:t> </w:t>
      </w:r>
      <w:r>
        <w:rPr>
          <w:sz w:val="22"/>
        </w:rPr>
        <w:t>for</w:t>
      </w:r>
      <w:r>
        <w:rPr>
          <w:spacing w:val="-6"/>
          <w:sz w:val="22"/>
        </w:rPr>
        <w:t> </w:t>
      </w:r>
      <w:r>
        <w:rPr>
          <w:sz w:val="22"/>
        </w:rPr>
        <w:t>that</w:t>
      </w:r>
      <w:r>
        <w:rPr>
          <w:spacing w:val="-4"/>
          <w:sz w:val="22"/>
        </w:rPr>
        <w:t> </w:t>
      </w:r>
      <w:r>
        <w:rPr>
          <w:sz w:val="22"/>
        </w:rPr>
        <w:t>month.</w:t>
      </w:r>
      <w:r>
        <w:rPr>
          <w:spacing w:val="40"/>
          <w:sz w:val="22"/>
        </w:rPr>
        <w:t> </w:t>
      </w:r>
      <w:r>
        <w:rPr>
          <w:sz w:val="22"/>
        </w:rPr>
        <w:t>A</w:t>
      </w:r>
      <w:r>
        <w:rPr>
          <w:spacing w:val="-6"/>
          <w:sz w:val="22"/>
        </w:rPr>
        <w:t> </w:t>
      </w:r>
      <w:r>
        <w:rPr>
          <w:sz w:val="22"/>
        </w:rPr>
        <w:t>BH CP</w:t>
      </w:r>
      <w:r>
        <w:rPr>
          <w:spacing w:val="-14"/>
          <w:sz w:val="22"/>
        </w:rPr>
        <w:t> </w:t>
      </w:r>
      <w:r>
        <w:rPr>
          <w:sz w:val="22"/>
        </w:rPr>
        <w:t>will</w:t>
      </w:r>
      <w:r>
        <w:rPr>
          <w:spacing w:val="-14"/>
          <w:sz w:val="22"/>
        </w:rPr>
        <w:t> </w:t>
      </w:r>
      <w:r>
        <w:rPr>
          <w:sz w:val="22"/>
        </w:rPr>
        <w:t>be</w:t>
      </w:r>
      <w:r>
        <w:rPr>
          <w:spacing w:val="-14"/>
          <w:sz w:val="22"/>
        </w:rPr>
        <w:t> </w:t>
      </w:r>
      <w:r>
        <w:rPr>
          <w:sz w:val="22"/>
        </w:rPr>
        <w:t>paid</w:t>
      </w:r>
      <w:r>
        <w:rPr>
          <w:spacing w:val="-13"/>
          <w:sz w:val="22"/>
        </w:rPr>
        <w:t> </w:t>
      </w:r>
      <w:r>
        <w:rPr>
          <w:sz w:val="22"/>
        </w:rPr>
        <w:t>for</w:t>
      </w:r>
      <w:r>
        <w:rPr>
          <w:spacing w:val="-14"/>
          <w:sz w:val="22"/>
        </w:rPr>
        <w:t> </w:t>
      </w:r>
      <w:r>
        <w:rPr>
          <w:sz w:val="22"/>
        </w:rPr>
        <w:t>outreach</w:t>
      </w:r>
      <w:r>
        <w:rPr>
          <w:spacing w:val="-14"/>
          <w:sz w:val="22"/>
        </w:rPr>
        <w:t> </w:t>
      </w:r>
      <w:r>
        <w:rPr>
          <w:sz w:val="22"/>
        </w:rPr>
        <w:t>only</w:t>
      </w:r>
      <w:r>
        <w:rPr>
          <w:spacing w:val="-14"/>
          <w:sz w:val="22"/>
        </w:rPr>
        <w:t> </w:t>
      </w:r>
      <w:r>
        <w:rPr>
          <w:sz w:val="22"/>
        </w:rPr>
        <w:t>during</w:t>
      </w:r>
      <w:r>
        <w:rPr>
          <w:spacing w:val="-13"/>
          <w:sz w:val="22"/>
        </w:rPr>
        <w:t> </w:t>
      </w:r>
      <w:r>
        <w:rPr>
          <w:sz w:val="22"/>
        </w:rPr>
        <w:t>the</w:t>
      </w:r>
      <w:r>
        <w:rPr>
          <w:spacing w:val="-14"/>
          <w:sz w:val="22"/>
        </w:rPr>
        <w:t> </w:t>
      </w:r>
      <w:r>
        <w:rPr>
          <w:sz w:val="22"/>
        </w:rPr>
        <w:t>first</w:t>
      </w:r>
      <w:r>
        <w:rPr>
          <w:spacing w:val="-14"/>
          <w:sz w:val="22"/>
        </w:rPr>
        <w:t> </w:t>
      </w:r>
      <w:r>
        <w:rPr>
          <w:sz w:val="22"/>
        </w:rPr>
        <w:t>90</w:t>
      </w:r>
      <w:r>
        <w:rPr>
          <w:spacing w:val="-14"/>
          <w:sz w:val="22"/>
        </w:rPr>
        <w:t> </w:t>
      </w:r>
      <w:r>
        <w:rPr>
          <w:sz w:val="22"/>
        </w:rPr>
        <w:t>days</w:t>
      </w:r>
      <w:r>
        <w:rPr>
          <w:spacing w:val="-13"/>
          <w:sz w:val="22"/>
        </w:rPr>
        <w:t> </w:t>
      </w:r>
      <w:r>
        <w:rPr>
          <w:sz w:val="22"/>
        </w:rPr>
        <w:t>of</w:t>
      </w:r>
      <w:r>
        <w:rPr>
          <w:spacing w:val="-14"/>
          <w:sz w:val="22"/>
        </w:rPr>
        <w:t> </w:t>
      </w:r>
      <w:r>
        <w:rPr>
          <w:sz w:val="22"/>
        </w:rPr>
        <w:t>a</w:t>
      </w:r>
      <w:r>
        <w:rPr>
          <w:spacing w:val="-14"/>
          <w:sz w:val="22"/>
        </w:rPr>
        <w:t> </w:t>
      </w:r>
      <w:r>
        <w:rPr>
          <w:sz w:val="22"/>
        </w:rPr>
        <w:t>member’s</w:t>
      </w:r>
      <w:r>
        <w:rPr>
          <w:spacing w:val="-14"/>
          <w:sz w:val="22"/>
        </w:rPr>
        <w:t> </w:t>
      </w:r>
      <w:r>
        <w:rPr>
          <w:sz w:val="22"/>
        </w:rPr>
        <w:t>assignment</w:t>
      </w:r>
      <w:r>
        <w:rPr>
          <w:spacing w:val="-13"/>
          <w:sz w:val="22"/>
        </w:rPr>
        <w:t> </w:t>
      </w:r>
      <w:r>
        <w:rPr>
          <w:sz w:val="22"/>
        </w:rPr>
        <w:t>to</w:t>
      </w:r>
      <w:r>
        <w:rPr>
          <w:spacing w:val="-14"/>
          <w:sz w:val="22"/>
        </w:rPr>
        <w:t> </w:t>
      </w:r>
      <w:r>
        <w:rPr>
          <w:sz w:val="22"/>
        </w:rPr>
        <w:t>the</w:t>
      </w:r>
      <w:r>
        <w:rPr>
          <w:spacing w:val="-14"/>
          <w:sz w:val="22"/>
        </w:rPr>
        <w:t> </w:t>
      </w:r>
      <w:r>
        <w:rPr>
          <w:sz w:val="22"/>
        </w:rPr>
        <w:t>BH</w:t>
      </w:r>
      <w:r>
        <w:rPr>
          <w:spacing w:val="-14"/>
          <w:sz w:val="22"/>
        </w:rPr>
        <w:t> </w:t>
      </w:r>
      <w:r>
        <w:rPr>
          <w:sz w:val="22"/>
        </w:rPr>
        <w:t>CP</w:t>
      </w:r>
      <w:r>
        <w:rPr>
          <w:spacing w:val="-13"/>
          <w:sz w:val="22"/>
        </w:rPr>
        <w:t> </w:t>
      </w:r>
      <w:r>
        <w:rPr>
          <w:sz w:val="22"/>
        </w:rPr>
        <w:t>if</w:t>
      </w:r>
      <w:r>
        <w:rPr>
          <w:spacing w:val="-14"/>
          <w:sz w:val="22"/>
        </w:rPr>
        <w:t> </w:t>
      </w:r>
      <w:r>
        <w:rPr>
          <w:sz w:val="22"/>
        </w:rPr>
        <w:t>outreach is attempted and documented during that 90-day period.</w:t>
      </w:r>
      <w:r>
        <w:rPr>
          <w:spacing w:val="40"/>
          <w:sz w:val="22"/>
        </w:rPr>
        <w:t> </w:t>
      </w:r>
      <w:r>
        <w:rPr>
          <w:sz w:val="22"/>
        </w:rPr>
        <w:t>For members assigned to a BH CP between July 1,</w:t>
      </w:r>
      <w:r>
        <w:rPr>
          <w:spacing w:val="-14"/>
          <w:sz w:val="22"/>
        </w:rPr>
        <w:t> </w:t>
      </w:r>
      <w:r>
        <w:rPr>
          <w:sz w:val="22"/>
        </w:rPr>
        <w:t>2018</w:t>
      </w:r>
      <w:r>
        <w:rPr>
          <w:spacing w:val="-14"/>
          <w:sz w:val="22"/>
        </w:rPr>
        <w:t> </w:t>
      </w:r>
      <w:r>
        <w:rPr>
          <w:sz w:val="22"/>
        </w:rPr>
        <w:t>and</w:t>
      </w:r>
      <w:r>
        <w:rPr>
          <w:spacing w:val="-14"/>
          <w:sz w:val="22"/>
        </w:rPr>
        <w:t> </w:t>
      </w:r>
      <w:r>
        <w:rPr>
          <w:sz w:val="22"/>
        </w:rPr>
        <w:t>October</w:t>
      </w:r>
      <w:r>
        <w:rPr>
          <w:spacing w:val="-13"/>
          <w:sz w:val="22"/>
        </w:rPr>
        <w:t> </w:t>
      </w:r>
      <w:r>
        <w:rPr>
          <w:sz w:val="22"/>
        </w:rPr>
        <w:t>31,</w:t>
      </w:r>
      <w:r>
        <w:rPr>
          <w:spacing w:val="-14"/>
          <w:sz w:val="22"/>
        </w:rPr>
        <w:t> </w:t>
      </w:r>
      <w:r>
        <w:rPr>
          <w:sz w:val="22"/>
        </w:rPr>
        <w:t>2018,</w:t>
      </w:r>
      <w:r>
        <w:rPr>
          <w:spacing w:val="-14"/>
          <w:sz w:val="22"/>
        </w:rPr>
        <w:t> </w:t>
      </w:r>
      <w:r>
        <w:rPr>
          <w:sz w:val="22"/>
        </w:rPr>
        <w:t>inclusive,</w:t>
      </w:r>
      <w:r>
        <w:rPr>
          <w:spacing w:val="-14"/>
          <w:sz w:val="22"/>
        </w:rPr>
        <w:t> </w:t>
      </w:r>
      <w:r>
        <w:rPr>
          <w:sz w:val="22"/>
        </w:rPr>
        <w:t>the</w:t>
      </w:r>
      <w:r>
        <w:rPr>
          <w:spacing w:val="-13"/>
          <w:sz w:val="22"/>
        </w:rPr>
        <w:t> </w:t>
      </w:r>
      <w:r>
        <w:rPr>
          <w:sz w:val="22"/>
        </w:rPr>
        <w:t>BH</w:t>
      </w:r>
      <w:r>
        <w:rPr>
          <w:spacing w:val="-14"/>
          <w:sz w:val="22"/>
        </w:rPr>
        <w:t> </w:t>
      </w:r>
      <w:r>
        <w:rPr>
          <w:sz w:val="22"/>
        </w:rPr>
        <w:t>CP</w:t>
      </w:r>
      <w:r>
        <w:rPr>
          <w:spacing w:val="-14"/>
          <w:sz w:val="22"/>
        </w:rPr>
        <w:t> </w:t>
      </w:r>
      <w:r>
        <w:rPr>
          <w:sz w:val="22"/>
        </w:rPr>
        <w:t>may</w:t>
      </w:r>
      <w:r>
        <w:rPr>
          <w:spacing w:val="-14"/>
          <w:sz w:val="22"/>
        </w:rPr>
        <w:t> </w:t>
      </w:r>
      <w:r>
        <w:rPr>
          <w:sz w:val="22"/>
        </w:rPr>
        <w:t>be</w:t>
      </w:r>
      <w:r>
        <w:rPr>
          <w:spacing w:val="-13"/>
          <w:sz w:val="22"/>
        </w:rPr>
        <w:t> </w:t>
      </w:r>
      <w:r>
        <w:rPr>
          <w:sz w:val="22"/>
        </w:rPr>
        <w:t>paid</w:t>
      </w:r>
      <w:r>
        <w:rPr>
          <w:spacing w:val="-14"/>
          <w:sz w:val="22"/>
        </w:rPr>
        <w:t> </w:t>
      </w:r>
      <w:r>
        <w:rPr>
          <w:sz w:val="22"/>
        </w:rPr>
        <w:t>for</w:t>
      </w:r>
      <w:r>
        <w:rPr>
          <w:spacing w:val="-14"/>
          <w:sz w:val="22"/>
        </w:rPr>
        <w:t> </w:t>
      </w:r>
      <w:r>
        <w:rPr>
          <w:sz w:val="22"/>
        </w:rPr>
        <w:t>qualifying</w:t>
      </w:r>
      <w:r>
        <w:rPr>
          <w:spacing w:val="-14"/>
          <w:sz w:val="22"/>
        </w:rPr>
        <w:t> </w:t>
      </w:r>
      <w:r>
        <w:rPr>
          <w:sz w:val="22"/>
        </w:rPr>
        <w:t>activities</w:t>
      </w:r>
      <w:r>
        <w:rPr>
          <w:spacing w:val="-13"/>
          <w:sz w:val="22"/>
        </w:rPr>
        <w:t> </w:t>
      </w:r>
      <w:r>
        <w:rPr>
          <w:sz w:val="22"/>
        </w:rPr>
        <w:t>other</w:t>
      </w:r>
      <w:r>
        <w:rPr>
          <w:spacing w:val="-14"/>
          <w:sz w:val="22"/>
        </w:rPr>
        <w:t> </w:t>
      </w:r>
      <w:r>
        <w:rPr>
          <w:sz w:val="22"/>
        </w:rPr>
        <w:t>than</w:t>
      </w:r>
      <w:r>
        <w:rPr>
          <w:spacing w:val="-14"/>
          <w:sz w:val="22"/>
        </w:rPr>
        <w:t> </w:t>
      </w:r>
      <w:r>
        <w:rPr>
          <w:sz w:val="22"/>
        </w:rPr>
        <w:t>outreach during</w:t>
      </w:r>
      <w:r>
        <w:rPr>
          <w:spacing w:val="-12"/>
          <w:sz w:val="22"/>
        </w:rPr>
        <w:t> </w:t>
      </w:r>
      <w:r>
        <w:rPr>
          <w:sz w:val="22"/>
        </w:rPr>
        <w:t>the</w:t>
      </w:r>
      <w:r>
        <w:rPr>
          <w:spacing w:val="-11"/>
          <w:sz w:val="22"/>
        </w:rPr>
        <w:t> </w:t>
      </w:r>
      <w:r>
        <w:rPr>
          <w:sz w:val="22"/>
        </w:rPr>
        <w:t>first</w:t>
      </w:r>
      <w:r>
        <w:rPr>
          <w:spacing w:val="-11"/>
          <w:sz w:val="22"/>
        </w:rPr>
        <w:t> </w:t>
      </w:r>
      <w:r>
        <w:rPr>
          <w:sz w:val="22"/>
        </w:rPr>
        <w:t>10</w:t>
      </w:r>
      <w:r>
        <w:rPr>
          <w:spacing w:val="-10"/>
          <w:sz w:val="22"/>
        </w:rPr>
        <w:t> </w:t>
      </w:r>
      <w:r>
        <w:rPr>
          <w:sz w:val="22"/>
        </w:rPr>
        <w:t>months</w:t>
      </w:r>
      <w:r>
        <w:rPr>
          <w:spacing w:val="-11"/>
          <w:sz w:val="22"/>
        </w:rPr>
        <w:t> </w:t>
      </w:r>
      <w:r>
        <w:rPr>
          <w:sz w:val="22"/>
        </w:rPr>
        <w:t>of</w:t>
      </w:r>
      <w:r>
        <w:rPr>
          <w:spacing w:val="-9"/>
          <w:sz w:val="22"/>
        </w:rPr>
        <w:t> </w:t>
      </w:r>
      <w:r>
        <w:rPr>
          <w:sz w:val="22"/>
        </w:rPr>
        <w:t>a</w:t>
      </w:r>
      <w:r>
        <w:rPr>
          <w:spacing w:val="-9"/>
          <w:sz w:val="22"/>
        </w:rPr>
        <w:t> </w:t>
      </w:r>
      <w:r>
        <w:rPr>
          <w:sz w:val="22"/>
        </w:rPr>
        <w:t>member’s</w:t>
      </w:r>
      <w:r>
        <w:rPr>
          <w:spacing w:val="-9"/>
          <w:sz w:val="22"/>
        </w:rPr>
        <w:t> </w:t>
      </w:r>
      <w:r>
        <w:rPr>
          <w:sz w:val="22"/>
        </w:rPr>
        <w:t>assignment.</w:t>
      </w:r>
      <w:r>
        <w:rPr>
          <w:spacing w:val="-10"/>
          <w:sz w:val="22"/>
        </w:rPr>
        <w:t> </w:t>
      </w:r>
      <w:r>
        <w:rPr>
          <w:sz w:val="22"/>
        </w:rPr>
        <w:t>After</w:t>
      </w:r>
      <w:r>
        <w:rPr>
          <w:spacing w:val="-11"/>
          <w:sz w:val="22"/>
        </w:rPr>
        <w:t> </w:t>
      </w:r>
      <w:r>
        <w:rPr>
          <w:sz w:val="22"/>
        </w:rPr>
        <w:t>the</w:t>
      </w:r>
      <w:r>
        <w:rPr>
          <w:spacing w:val="-11"/>
          <w:sz w:val="22"/>
        </w:rPr>
        <w:t> </w:t>
      </w:r>
      <w:r>
        <w:rPr>
          <w:sz w:val="22"/>
        </w:rPr>
        <w:t>first</w:t>
      </w:r>
      <w:r>
        <w:rPr>
          <w:spacing w:val="-9"/>
          <w:sz w:val="22"/>
        </w:rPr>
        <w:t> </w:t>
      </w:r>
      <w:r>
        <w:rPr>
          <w:sz w:val="22"/>
        </w:rPr>
        <w:t>10</w:t>
      </w:r>
      <w:r>
        <w:rPr>
          <w:spacing w:val="-9"/>
          <w:sz w:val="22"/>
        </w:rPr>
        <w:t> </w:t>
      </w:r>
      <w:r>
        <w:rPr>
          <w:sz w:val="22"/>
        </w:rPr>
        <w:t>months</w:t>
      </w:r>
      <w:r>
        <w:rPr>
          <w:spacing w:val="-12"/>
          <w:sz w:val="22"/>
        </w:rPr>
        <w:t> </w:t>
      </w:r>
      <w:r>
        <w:rPr>
          <w:sz w:val="22"/>
        </w:rPr>
        <w:t>of</w:t>
      </w:r>
      <w:r>
        <w:rPr>
          <w:spacing w:val="-11"/>
          <w:sz w:val="22"/>
        </w:rPr>
        <w:t> </w:t>
      </w:r>
      <w:r>
        <w:rPr>
          <w:sz w:val="22"/>
        </w:rPr>
        <w:t>assignment,</w:t>
      </w:r>
      <w:r>
        <w:rPr>
          <w:spacing w:val="-10"/>
          <w:sz w:val="22"/>
        </w:rPr>
        <w:t> </w:t>
      </w:r>
      <w:r>
        <w:rPr>
          <w:sz w:val="22"/>
        </w:rPr>
        <w:t>the</w:t>
      </w:r>
      <w:r>
        <w:rPr>
          <w:spacing w:val="-9"/>
          <w:sz w:val="22"/>
        </w:rPr>
        <w:t> </w:t>
      </w:r>
      <w:r>
        <w:rPr>
          <w:sz w:val="22"/>
        </w:rPr>
        <w:t>State</w:t>
      </w:r>
      <w:r>
        <w:rPr>
          <w:spacing w:val="-9"/>
          <w:sz w:val="22"/>
        </w:rPr>
        <w:t> </w:t>
      </w:r>
      <w:r>
        <w:rPr>
          <w:sz w:val="22"/>
        </w:rPr>
        <w:t>will not make payments to a BH CP for qualifying activities performed for a member, unless that member is engaged.</w:t>
      </w:r>
      <w:r>
        <w:rPr>
          <w:spacing w:val="40"/>
          <w:sz w:val="22"/>
        </w:rPr>
        <w:t> </w:t>
      </w:r>
      <w:r>
        <w:rPr>
          <w:sz w:val="22"/>
        </w:rPr>
        <w:t>For members assigned to a BH CP beginning November 1, 2018, the BH CP may be paid for qualifying</w:t>
      </w:r>
      <w:r>
        <w:rPr>
          <w:spacing w:val="-7"/>
          <w:sz w:val="22"/>
        </w:rPr>
        <w:t> </w:t>
      </w:r>
      <w:r>
        <w:rPr>
          <w:sz w:val="22"/>
        </w:rPr>
        <w:t>activities</w:t>
      </w:r>
      <w:r>
        <w:rPr>
          <w:spacing w:val="-4"/>
          <w:sz w:val="22"/>
        </w:rPr>
        <w:t> </w:t>
      </w:r>
      <w:r>
        <w:rPr>
          <w:sz w:val="22"/>
        </w:rPr>
        <w:t>other</w:t>
      </w:r>
      <w:r>
        <w:rPr>
          <w:spacing w:val="-4"/>
          <w:sz w:val="22"/>
        </w:rPr>
        <w:t> </w:t>
      </w:r>
      <w:r>
        <w:rPr>
          <w:sz w:val="22"/>
        </w:rPr>
        <w:t>than</w:t>
      </w:r>
      <w:r>
        <w:rPr>
          <w:spacing w:val="-5"/>
          <w:sz w:val="22"/>
        </w:rPr>
        <w:t> </w:t>
      </w:r>
      <w:r>
        <w:rPr>
          <w:sz w:val="22"/>
        </w:rPr>
        <w:t>outreach</w:t>
      </w:r>
      <w:r>
        <w:rPr>
          <w:spacing w:val="-5"/>
          <w:sz w:val="22"/>
        </w:rPr>
        <w:t> </w:t>
      </w:r>
      <w:r>
        <w:rPr>
          <w:sz w:val="22"/>
        </w:rPr>
        <w:t>during</w:t>
      </w:r>
      <w:r>
        <w:rPr>
          <w:spacing w:val="-7"/>
          <w:sz w:val="22"/>
        </w:rPr>
        <w:t> </w:t>
      </w:r>
      <w:r>
        <w:rPr>
          <w:sz w:val="22"/>
        </w:rPr>
        <w:t>the</w:t>
      </w:r>
      <w:r>
        <w:rPr>
          <w:spacing w:val="-7"/>
          <w:sz w:val="22"/>
        </w:rPr>
        <w:t> </w:t>
      </w:r>
      <w:r>
        <w:rPr>
          <w:sz w:val="22"/>
        </w:rPr>
        <w:t>first</w:t>
      </w:r>
      <w:r>
        <w:rPr>
          <w:spacing w:val="-4"/>
          <w:sz w:val="22"/>
        </w:rPr>
        <w:t> </w:t>
      </w:r>
      <w:r>
        <w:rPr>
          <w:sz w:val="22"/>
        </w:rPr>
        <w:t>150</w:t>
      </w:r>
      <w:r>
        <w:rPr>
          <w:spacing w:val="-5"/>
          <w:sz w:val="22"/>
        </w:rPr>
        <w:t> </w:t>
      </w:r>
      <w:r>
        <w:rPr>
          <w:sz w:val="22"/>
        </w:rPr>
        <w:t>days</w:t>
      </w:r>
      <w:r>
        <w:rPr>
          <w:spacing w:val="-4"/>
          <w:sz w:val="22"/>
        </w:rPr>
        <w:t> </w:t>
      </w:r>
      <w:r>
        <w:rPr>
          <w:sz w:val="22"/>
        </w:rPr>
        <w:t>of</w:t>
      </w:r>
      <w:r>
        <w:rPr>
          <w:spacing w:val="-4"/>
          <w:sz w:val="22"/>
        </w:rPr>
        <w:t> </w:t>
      </w:r>
      <w:r>
        <w:rPr>
          <w:sz w:val="22"/>
        </w:rPr>
        <w:t>a</w:t>
      </w:r>
      <w:r>
        <w:rPr>
          <w:spacing w:val="-4"/>
          <w:sz w:val="22"/>
        </w:rPr>
        <w:t> </w:t>
      </w:r>
      <w:r>
        <w:rPr>
          <w:sz w:val="22"/>
        </w:rPr>
        <w:t>member’s</w:t>
      </w:r>
      <w:r>
        <w:rPr>
          <w:spacing w:val="-4"/>
          <w:sz w:val="22"/>
        </w:rPr>
        <w:t> </w:t>
      </w:r>
      <w:r>
        <w:rPr>
          <w:sz w:val="22"/>
        </w:rPr>
        <w:t>assignment.</w:t>
      </w:r>
      <w:r>
        <w:rPr>
          <w:spacing w:val="-5"/>
          <w:sz w:val="22"/>
        </w:rPr>
        <w:t> </w:t>
      </w:r>
      <w:r>
        <w:rPr>
          <w:sz w:val="22"/>
        </w:rPr>
        <w:t>After</w:t>
      </w:r>
      <w:r>
        <w:rPr>
          <w:spacing w:val="-4"/>
          <w:sz w:val="22"/>
        </w:rPr>
        <w:t> </w:t>
      </w:r>
      <w:r>
        <w:rPr>
          <w:sz w:val="22"/>
        </w:rPr>
        <w:t>the</w:t>
      </w:r>
      <w:r>
        <w:rPr>
          <w:spacing w:val="-4"/>
          <w:sz w:val="22"/>
        </w:rPr>
        <w:t> </w:t>
      </w:r>
      <w:r>
        <w:rPr>
          <w:sz w:val="22"/>
        </w:rPr>
        <w:t>first 150 days of assignment, the State will not make payments to the BH CP for any qualifying activities performed for a member, unless that member is engaged.</w:t>
      </w:r>
      <w:r>
        <w:rPr>
          <w:spacing w:val="40"/>
          <w:sz w:val="22"/>
        </w:rPr>
        <w:t> </w:t>
      </w:r>
      <w:r>
        <w:rPr>
          <w:sz w:val="22"/>
        </w:rPr>
        <w:t>A member is considered engaged with the BH CP</w:t>
      </w:r>
      <w:r>
        <w:rPr>
          <w:spacing w:val="-12"/>
          <w:sz w:val="22"/>
        </w:rPr>
        <w:t> </w:t>
      </w:r>
      <w:r>
        <w:rPr>
          <w:sz w:val="22"/>
        </w:rPr>
        <w:t>when</w:t>
      </w:r>
      <w:r>
        <w:rPr>
          <w:spacing w:val="-12"/>
          <w:sz w:val="22"/>
        </w:rPr>
        <w:t> </w:t>
      </w:r>
      <w:r>
        <w:rPr>
          <w:sz w:val="22"/>
        </w:rPr>
        <w:t>a</w:t>
      </w:r>
      <w:r>
        <w:rPr>
          <w:spacing w:val="-11"/>
          <w:sz w:val="22"/>
        </w:rPr>
        <w:t> </w:t>
      </w:r>
      <w:r>
        <w:rPr>
          <w:sz w:val="22"/>
        </w:rPr>
        <w:t>comprehensive</w:t>
      </w:r>
      <w:r>
        <w:rPr>
          <w:spacing w:val="-11"/>
          <w:sz w:val="22"/>
        </w:rPr>
        <w:t> </w:t>
      </w:r>
      <w:r>
        <w:rPr>
          <w:sz w:val="22"/>
        </w:rPr>
        <w:t>assessment</w:t>
      </w:r>
      <w:r>
        <w:rPr>
          <w:spacing w:val="-11"/>
          <w:sz w:val="22"/>
        </w:rPr>
        <w:t> </w:t>
      </w:r>
      <w:r>
        <w:rPr>
          <w:sz w:val="22"/>
        </w:rPr>
        <w:t>is</w:t>
      </w:r>
      <w:r>
        <w:rPr>
          <w:spacing w:val="-11"/>
          <w:sz w:val="22"/>
        </w:rPr>
        <w:t> </w:t>
      </w:r>
      <w:r>
        <w:rPr>
          <w:sz w:val="22"/>
        </w:rPr>
        <w:t>completed</w:t>
      </w:r>
      <w:r>
        <w:rPr>
          <w:spacing w:val="-12"/>
          <w:sz w:val="22"/>
        </w:rPr>
        <w:t> </w:t>
      </w:r>
      <w:r>
        <w:rPr>
          <w:sz w:val="22"/>
        </w:rPr>
        <w:t>and</w:t>
      </w:r>
      <w:r>
        <w:rPr>
          <w:spacing w:val="-12"/>
          <w:sz w:val="22"/>
        </w:rPr>
        <w:t> </w:t>
      </w:r>
      <w:r>
        <w:rPr>
          <w:sz w:val="22"/>
        </w:rPr>
        <w:t>care</w:t>
      </w:r>
      <w:r>
        <w:rPr>
          <w:spacing w:val="-11"/>
          <w:sz w:val="22"/>
        </w:rPr>
        <w:t> </w:t>
      </w:r>
      <w:r>
        <w:rPr>
          <w:sz w:val="22"/>
        </w:rPr>
        <w:t>plan</w:t>
      </w:r>
      <w:r>
        <w:rPr>
          <w:spacing w:val="-14"/>
          <w:sz w:val="22"/>
        </w:rPr>
        <w:t> </w:t>
      </w:r>
      <w:r>
        <w:rPr>
          <w:sz w:val="22"/>
        </w:rPr>
        <w:t>is</w:t>
      </w:r>
      <w:r>
        <w:rPr>
          <w:spacing w:val="-10"/>
          <w:sz w:val="22"/>
        </w:rPr>
        <w:t> </w:t>
      </w:r>
      <w:r>
        <w:rPr>
          <w:sz w:val="22"/>
        </w:rPr>
        <w:t>approved</w:t>
      </w:r>
      <w:r>
        <w:rPr>
          <w:spacing w:val="-12"/>
          <w:sz w:val="22"/>
        </w:rPr>
        <w:t> </w:t>
      </w:r>
      <w:r>
        <w:rPr>
          <w:sz w:val="22"/>
        </w:rPr>
        <w:t>by</w:t>
      </w:r>
      <w:r>
        <w:rPr>
          <w:spacing w:val="-14"/>
          <w:sz w:val="22"/>
        </w:rPr>
        <w:t> </w:t>
      </w:r>
      <w:r>
        <w:rPr>
          <w:sz w:val="22"/>
        </w:rPr>
        <w:t>the</w:t>
      </w:r>
      <w:r>
        <w:rPr>
          <w:spacing w:val="-10"/>
          <w:sz w:val="22"/>
        </w:rPr>
        <w:t> </w:t>
      </w:r>
      <w:r>
        <w:rPr>
          <w:sz w:val="22"/>
        </w:rPr>
        <w:t>member’s</w:t>
      </w:r>
      <w:r>
        <w:rPr>
          <w:spacing w:val="-11"/>
          <w:sz w:val="22"/>
        </w:rPr>
        <w:t> </w:t>
      </w:r>
      <w:r>
        <w:rPr>
          <w:sz w:val="22"/>
        </w:rPr>
        <w:t>PCP</w:t>
      </w:r>
      <w:r>
        <w:rPr>
          <w:spacing w:val="-13"/>
          <w:sz w:val="22"/>
        </w:rPr>
        <w:t> </w:t>
      </w:r>
      <w:r>
        <w:rPr>
          <w:sz w:val="22"/>
        </w:rPr>
        <w:t>or</w:t>
      </w:r>
      <w:r>
        <w:rPr>
          <w:spacing w:val="-11"/>
          <w:sz w:val="22"/>
        </w:rPr>
        <w:t> </w:t>
      </w:r>
      <w:r>
        <w:rPr>
          <w:sz w:val="22"/>
        </w:rPr>
        <w:t>PCP designee. The PCP may designate appropriate MCO or ACO clinical staff as the PCP designee.</w:t>
      </w:r>
      <w:r>
        <w:rPr>
          <w:spacing w:val="40"/>
          <w:sz w:val="22"/>
        </w:rPr>
        <w:t> </w:t>
      </w:r>
      <w:r>
        <w:rPr>
          <w:sz w:val="22"/>
        </w:rPr>
        <w:t>The BH CP must coordinate with the member’s PCP or PCP designee, as appropriate, in performing qualifying activities,</w:t>
      </w:r>
      <w:r>
        <w:rPr>
          <w:spacing w:val="-5"/>
          <w:sz w:val="22"/>
        </w:rPr>
        <w:t> </w:t>
      </w:r>
      <w:r>
        <w:rPr>
          <w:sz w:val="22"/>
        </w:rPr>
        <w:t>such</w:t>
      </w:r>
      <w:r>
        <w:rPr>
          <w:spacing w:val="-5"/>
          <w:sz w:val="22"/>
        </w:rPr>
        <w:t> </w:t>
      </w:r>
      <w:r>
        <w:rPr>
          <w:sz w:val="22"/>
        </w:rPr>
        <w:t>as</w:t>
      </w:r>
      <w:r>
        <w:rPr>
          <w:spacing w:val="-4"/>
          <w:sz w:val="22"/>
        </w:rPr>
        <w:t> </w:t>
      </w:r>
      <w:r>
        <w:rPr>
          <w:sz w:val="22"/>
        </w:rPr>
        <w:t>to</w:t>
      </w:r>
      <w:r>
        <w:rPr>
          <w:spacing w:val="-5"/>
          <w:sz w:val="22"/>
        </w:rPr>
        <w:t> </w:t>
      </w:r>
      <w:r>
        <w:rPr>
          <w:sz w:val="22"/>
        </w:rPr>
        <w:t>support</w:t>
      </w:r>
      <w:r>
        <w:rPr>
          <w:spacing w:val="-4"/>
          <w:sz w:val="22"/>
        </w:rPr>
        <w:t> </w:t>
      </w:r>
      <w:r>
        <w:rPr>
          <w:sz w:val="22"/>
        </w:rPr>
        <w:t>or</w:t>
      </w:r>
      <w:r>
        <w:rPr>
          <w:spacing w:val="-4"/>
          <w:sz w:val="22"/>
        </w:rPr>
        <w:t> </w:t>
      </w:r>
      <w:r>
        <w:rPr>
          <w:sz w:val="22"/>
        </w:rPr>
        <w:t>review</w:t>
      </w:r>
      <w:r>
        <w:rPr>
          <w:spacing w:val="-6"/>
          <w:sz w:val="22"/>
        </w:rPr>
        <w:t> </w:t>
      </w:r>
      <w:r>
        <w:rPr>
          <w:sz w:val="22"/>
        </w:rPr>
        <w:t>medication</w:t>
      </w:r>
      <w:r>
        <w:rPr>
          <w:spacing w:val="-7"/>
          <w:sz w:val="22"/>
        </w:rPr>
        <w:t> </w:t>
      </w:r>
      <w:r>
        <w:rPr>
          <w:sz w:val="22"/>
        </w:rPr>
        <w:t>reconciliation</w:t>
      </w:r>
      <w:r>
        <w:rPr>
          <w:spacing w:val="-5"/>
          <w:sz w:val="22"/>
        </w:rPr>
        <w:t> </w:t>
      </w:r>
      <w:r>
        <w:rPr>
          <w:sz w:val="22"/>
        </w:rPr>
        <w:t>for</w:t>
      </w:r>
      <w:r>
        <w:rPr>
          <w:spacing w:val="-4"/>
          <w:sz w:val="22"/>
        </w:rPr>
        <w:t> </w:t>
      </w:r>
      <w:r>
        <w:rPr>
          <w:sz w:val="22"/>
        </w:rPr>
        <w:t>the</w:t>
      </w:r>
      <w:r>
        <w:rPr>
          <w:spacing w:val="-4"/>
          <w:sz w:val="22"/>
        </w:rPr>
        <w:t> </w:t>
      </w:r>
      <w:r>
        <w:rPr>
          <w:sz w:val="22"/>
        </w:rPr>
        <w:t>member,</w:t>
      </w:r>
      <w:r>
        <w:rPr>
          <w:spacing w:val="-5"/>
          <w:sz w:val="22"/>
        </w:rPr>
        <w:t> </w:t>
      </w:r>
      <w:r>
        <w:rPr>
          <w:sz w:val="22"/>
        </w:rPr>
        <w:t>including</w:t>
      </w:r>
      <w:r>
        <w:rPr>
          <w:spacing w:val="-7"/>
          <w:sz w:val="22"/>
        </w:rPr>
        <w:t> </w:t>
      </w:r>
      <w:r>
        <w:rPr>
          <w:sz w:val="22"/>
        </w:rPr>
        <w:t>during</w:t>
      </w:r>
      <w:r>
        <w:rPr>
          <w:spacing w:val="-7"/>
          <w:sz w:val="22"/>
        </w:rPr>
        <w:t> </w:t>
      </w:r>
      <w:r>
        <w:rPr>
          <w:sz w:val="22"/>
        </w:rPr>
        <w:t>the</w:t>
      </w:r>
      <w:r>
        <w:rPr>
          <w:spacing w:val="-4"/>
          <w:sz w:val="22"/>
        </w:rPr>
        <w:t> </w:t>
      </w:r>
      <w:r>
        <w:rPr>
          <w:sz w:val="22"/>
        </w:rPr>
        <w:t>first 10 months of assignment. The State will report to CMS in its quarterly and annual reports the BH CP engagement rates, as data are available.</w:t>
      </w:r>
    </w:p>
    <w:p>
      <w:pPr>
        <w:spacing w:line="252" w:lineRule="exact" w:before="159"/>
        <w:ind w:left="1220" w:right="0" w:firstLine="0"/>
        <w:jc w:val="both"/>
        <w:rPr>
          <w:sz w:val="22"/>
        </w:rPr>
      </w:pPr>
      <w:r>
        <w:rPr>
          <w:sz w:val="22"/>
        </w:rPr>
        <w:t>Example</w:t>
      </w:r>
      <w:r>
        <w:rPr>
          <w:spacing w:val="-4"/>
          <w:sz w:val="22"/>
        </w:rPr>
        <w:t> </w:t>
      </w:r>
      <w:r>
        <w:rPr>
          <w:sz w:val="22"/>
        </w:rPr>
        <w:t>payment</w:t>
      </w:r>
      <w:r>
        <w:rPr>
          <w:spacing w:val="-2"/>
          <w:sz w:val="22"/>
        </w:rPr>
        <w:t> </w:t>
      </w:r>
      <w:r>
        <w:rPr>
          <w:sz w:val="22"/>
        </w:rPr>
        <w:t>calculation</w:t>
      </w:r>
      <w:r>
        <w:rPr>
          <w:spacing w:val="-3"/>
          <w:sz w:val="22"/>
        </w:rPr>
        <w:t> </w:t>
      </w:r>
      <w:r>
        <w:rPr>
          <w:sz w:val="22"/>
        </w:rPr>
        <w:t>with</w:t>
      </w:r>
      <w:r>
        <w:rPr>
          <w:spacing w:val="-6"/>
          <w:sz w:val="22"/>
        </w:rPr>
        <w:t> </w:t>
      </w:r>
      <w:r>
        <w:rPr>
          <w:sz w:val="22"/>
        </w:rPr>
        <w:t>PMPM</w:t>
      </w:r>
      <w:r>
        <w:rPr>
          <w:spacing w:val="-3"/>
          <w:sz w:val="22"/>
        </w:rPr>
        <w:t> </w:t>
      </w:r>
      <w:r>
        <w:rPr>
          <w:sz w:val="22"/>
        </w:rPr>
        <w:t>of</w:t>
      </w:r>
      <w:r>
        <w:rPr>
          <w:spacing w:val="-2"/>
          <w:sz w:val="22"/>
        </w:rPr>
        <w:t> $160:</w:t>
      </w:r>
    </w:p>
    <w:p>
      <w:pPr>
        <w:spacing w:line="244" w:lineRule="auto" w:before="0"/>
        <w:ind w:left="1220" w:right="1096" w:firstLine="0"/>
        <w:jc w:val="both"/>
        <w:rPr>
          <w:sz w:val="22"/>
        </w:rPr>
      </w:pPr>
      <w:r>
        <w:rPr>
          <w:sz w:val="22"/>
        </w:rPr>
        <w:t>Example payment amount for one month = (Total number of members assigned but not engaged + total number of members engaged)*$160</w:t>
      </w:r>
    </w:p>
    <w:p>
      <w:pPr>
        <w:spacing w:after="0" w:line="244" w:lineRule="auto"/>
        <w:jc w:val="both"/>
        <w:rPr>
          <w:sz w:val="22"/>
        </w:rPr>
        <w:sectPr>
          <w:pgSz w:w="12240" w:h="15840"/>
          <w:pgMar w:header="0" w:footer="967" w:top="1360" w:bottom="1160" w:left="220" w:right="340"/>
        </w:sectPr>
      </w:pPr>
    </w:p>
    <w:p>
      <w:pPr>
        <w:pStyle w:val="ListParagraph"/>
        <w:numPr>
          <w:ilvl w:val="2"/>
          <w:numId w:val="68"/>
        </w:numPr>
        <w:tabs>
          <w:tab w:pos="1938" w:val="left" w:leader="none"/>
        </w:tabs>
        <w:spacing w:line="252" w:lineRule="exact" w:before="78" w:after="0"/>
        <w:ind w:left="1938" w:right="0" w:hanging="719"/>
        <w:jc w:val="both"/>
        <w:rPr>
          <w:b/>
          <w:color w:val="4471C4"/>
          <w:sz w:val="22"/>
        </w:rPr>
      </w:pPr>
      <w:bookmarkStart w:name="4.5.2 BH CP Sub-Stream 2: Infrastructure" w:id="1322"/>
      <w:bookmarkEnd w:id="1322"/>
      <w:r>
        <w:rPr/>
      </w:r>
      <w:bookmarkStart w:name="_bookmark55" w:id="1323"/>
      <w:bookmarkEnd w:id="1323"/>
      <w:r>
        <w:rPr/>
      </w:r>
      <w:r>
        <w:rPr>
          <w:b/>
          <w:color w:val="4471C4"/>
          <w:sz w:val="22"/>
        </w:rPr>
        <w:t>BH</w:t>
      </w:r>
      <w:r>
        <w:rPr>
          <w:b/>
          <w:color w:val="4471C4"/>
          <w:spacing w:val="-6"/>
          <w:sz w:val="22"/>
        </w:rPr>
        <w:t> </w:t>
      </w:r>
      <w:r>
        <w:rPr>
          <w:b/>
          <w:color w:val="4471C4"/>
          <w:sz w:val="22"/>
        </w:rPr>
        <w:t>CP</w:t>
      </w:r>
      <w:r>
        <w:rPr>
          <w:b/>
          <w:color w:val="4471C4"/>
          <w:spacing w:val="-6"/>
          <w:sz w:val="22"/>
        </w:rPr>
        <w:t> </w:t>
      </w:r>
      <w:r>
        <w:rPr>
          <w:b/>
          <w:color w:val="4471C4"/>
          <w:sz w:val="22"/>
        </w:rPr>
        <w:t>Sub-Stream</w:t>
      </w:r>
      <w:r>
        <w:rPr>
          <w:b/>
          <w:color w:val="4471C4"/>
          <w:spacing w:val="-4"/>
          <w:sz w:val="22"/>
        </w:rPr>
        <w:t> </w:t>
      </w:r>
      <w:r>
        <w:rPr>
          <w:b/>
          <w:color w:val="4471C4"/>
          <w:sz w:val="22"/>
        </w:rPr>
        <w:t>2:</w:t>
      </w:r>
      <w:r>
        <w:rPr>
          <w:b/>
          <w:color w:val="4471C4"/>
          <w:spacing w:val="-3"/>
          <w:sz w:val="22"/>
        </w:rPr>
        <w:t> </w:t>
      </w:r>
      <w:r>
        <w:rPr>
          <w:b/>
          <w:color w:val="4471C4"/>
          <w:sz w:val="22"/>
        </w:rPr>
        <w:t>Infrastructure</w:t>
      </w:r>
      <w:r>
        <w:rPr>
          <w:b/>
          <w:color w:val="4471C4"/>
          <w:spacing w:val="-5"/>
          <w:sz w:val="22"/>
        </w:rPr>
        <w:t> </w:t>
      </w:r>
      <w:r>
        <w:rPr>
          <w:b/>
          <w:color w:val="4471C4"/>
          <w:sz w:val="22"/>
        </w:rPr>
        <w:t>and</w:t>
      </w:r>
      <w:r>
        <w:rPr>
          <w:b/>
          <w:color w:val="4471C4"/>
          <w:spacing w:val="-6"/>
          <w:sz w:val="22"/>
        </w:rPr>
        <w:t> </w:t>
      </w:r>
      <w:r>
        <w:rPr>
          <w:b/>
          <w:color w:val="4471C4"/>
          <w:sz w:val="22"/>
        </w:rPr>
        <w:t>Capacity</w:t>
      </w:r>
      <w:r>
        <w:rPr>
          <w:b/>
          <w:color w:val="4471C4"/>
          <w:spacing w:val="-7"/>
          <w:sz w:val="22"/>
        </w:rPr>
        <w:t> </w:t>
      </w:r>
      <w:r>
        <w:rPr>
          <w:b/>
          <w:color w:val="4471C4"/>
          <w:sz w:val="22"/>
        </w:rPr>
        <w:t>Building</w:t>
      </w:r>
      <w:r>
        <w:rPr>
          <w:b/>
          <w:color w:val="4471C4"/>
          <w:spacing w:val="-7"/>
          <w:sz w:val="22"/>
        </w:rPr>
        <w:t> </w:t>
      </w:r>
      <w:r>
        <w:rPr>
          <w:b/>
          <w:color w:val="4471C4"/>
          <w:spacing w:val="-2"/>
          <w:sz w:val="22"/>
        </w:rPr>
        <w:t>Funding</w:t>
      </w:r>
    </w:p>
    <w:p>
      <w:pPr>
        <w:spacing w:before="0"/>
        <w:ind w:left="1219" w:right="1095" w:firstLine="0"/>
        <w:jc w:val="both"/>
        <w:rPr>
          <w:sz w:val="22"/>
        </w:rPr>
      </w:pPr>
      <w:r>
        <w:rPr>
          <w:sz w:val="22"/>
        </w:rPr>
        <w:t>Each BH CP will receive an initial amount of infrastructure and capacity building funds during the Preparation Budget Period. BH CPs will propose allocation of funds across the four categories listed in section 4.3.2 in their Preparation Budget Period Budgets and Budget Narratives. The State anticipates disbursing</w:t>
      </w:r>
      <w:r>
        <w:rPr>
          <w:spacing w:val="-14"/>
          <w:sz w:val="22"/>
        </w:rPr>
        <w:t> </w:t>
      </w:r>
      <w:r>
        <w:rPr>
          <w:sz w:val="22"/>
        </w:rPr>
        <w:t>up</w:t>
      </w:r>
      <w:r>
        <w:rPr>
          <w:spacing w:val="-12"/>
          <w:sz w:val="22"/>
        </w:rPr>
        <w:t> </w:t>
      </w:r>
      <w:r>
        <w:rPr>
          <w:sz w:val="22"/>
        </w:rPr>
        <w:t>to</w:t>
      </w:r>
      <w:r>
        <w:rPr>
          <w:spacing w:val="-14"/>
          <w:sz w:val="22"/>
        </w:rPr>
        <w:t> </w:t>
      </w:r>
      <w:r>
        <w:rPr>
          <w:sz w:val="22"/>
        </w:rPr>
        <w:t>$500,000</w:t>
      </w:r>
      <w:r>
        <w:rPr>
          <w:spacing w:val="-12"/>
          <w:sz w:val="22"/>
        </w:rPr>
        <w:t> </w:t>
      </w:r>
      <w:r>
        <w:rPr>
          <w:sz w:val="22"/>
        </w:rPr>
        <w:t>to</w:t>
      </w:r>
      <w:r>
        <w:rPr>
          <w:spacing w:val="-12"/>
          <w:sz w:val="22"/>
        </w:rPr>
        <w:t> </w:t>
      </w:r>
      <w:r>
        <w:rPr>
          <w:sz w:val="22"/>
        </w:rPr>
        <w:t>each</w:t>
      </w:r>
      <w:r>
        <w:rPr>
          <w:spacing w:val="-14"/>
          <w:sz w:val="22"/>
        </w:rPr>
        <w:t> </w:t>
      </w:r>
      <w:r>
        <w:rPr>
          <w:sz w:val="22"/>
        </w:rPr>
        <w:t>BH</w:t>
      </w:r>
      <w:r>
        <w:rPr>
          <w:spacing w:val="-13"/>
          <w:sz w:val="22"/>
        </w:rPr>
        <w:t> </w:t>
      </w:r>
      <w:r>
        <w:rPr>
          <w:sz w:val="22"/>
        </w:rPr>
        <w:t>CP</w:t>
      </w:r>
      <w:r>
        <w:rPr>
          <w:spacing w:val="-12"/>
          <w:sz w:val="22"/>
        </w:rPr>
        <w:t> </w:t>
      </w:r>
      <w:r>
        <w:rPr>
          <w:sz w:val="22"/>
        </w:rPr>
        <w:t>for</w:t>
      </w:r>
      <w:r>
        <w:rPr>
          <w:spacing w:val="-13"/>
          <w:sz w:val="22"/>
        </w:rPr>
        <w:t> </w:t>
      </w:r>
      <w:r>
        <w:rPr>
          <w:sz w:val="22"/>
        </w:rPr>
        <w:t>initial</w:t>
      </w:r>
      <w:r>
        <w:rPr>
          <w:spacing w:val="-11"/>
          <w:sz w:val="22"/>
        </w:rPr>
        <w:t> </w:t>
      </w:r>
      <w:r>
        <w:rPr>
          <w:sz w:val="22"/>
        </w:rPr>
        <w:t>infrastructure</w:t>
      </w:r>
      <w:r>
        <w:rPr>
          <w:spacing w:val="-11"/>
          <w:sz w:val="22"/>
        </w:rPr>
        <w:t> </w:t>
      </w:r>
      <w:r>
        <w:rPr>
          <w:sz w:val="22"/>
        </w:rPr>
        <w:t>funding.</w:t>
      </w:r>
      <w:r>
        <w:rPr>
          <w:spacing w:val="-14"/>
          <w:sz w:val="22"/>
        </w:rPr>
        <w:t> </w:t>
      </w:r>
      <w:r>
        <w:rPr>
          <w:sz w:val="22"/>
        </w:rPr>
        <w:t>The</w:t>
      </w:r>
      <w:r>
        <w:rPr>
          <w:spacing w:val="-12"/>
          <w:sz w:val="22"/>
        </w:rPr>
        <w:t> </w:t>
      </w:r>
      <w:r>
        <w:rPr>
          <w:sz w:val="22"/>
        </w:rPr>
        <w:t>State</w:t>
      </w:r>
      <w:r>
        <w:rPr>
          <w:spacing w:val="-11"/>
          <w:sz w:val="22"/>
        </w:rPr>
        <w:t> </w:t>
      </w:r>
      <w:r>
        <w:rPr>
          <w:sz w:val="22"/>
        </w:rPr>
        <w:t>may</w:t>
      </w:r>
      <w:r>
        <w:rPr>
          <w:spacing w:val="-14"/>
          <w:sz w:val="22"/>
        </w:rPr>
        <w:t> </w:t>
      </w:r>
      <w:r>
        <w:rPr>
          <w:sz w:val="22"/>
        </w:rPr>
        <w:t>adjust</w:t>
      </w:r>
      <w:r>
        <w:rPr>
          <w:spacing w:val="-11"/>
          <w:sz w:val="22"/>
        </w:rPr>
        <w:t> </w:t>
      </w:r>
      <w:r>
        <w:rPr>
          <w:sz w:val="22"/>
        </w:rPr>
        <w:t>the</w:t>
      </w:r>
      <w:r>
        <w:rPr>
          <w:spacing w:val="-11"/>
          <w:sz w:val="22"/>
        </w:rPr>
        <w:t> </w:t>
      </w:r>
      <w:r>
        <w:rPr>
          <w:sz w:val="22"/>
        </w:rPr>
        <w:t>amount of the Preparation Budget Period funds disbursed to BH CPs in its discretion.</w:t>
      </w:r>
    </w:p>
    <w:p>
      <w:pPr>
        <w:spacing w:line="240" w:lineRule="auto" w:before="160"/>
        <w:ind w:left="1220" w:right="1092" w:firstLine="0"/>
        <w:jc w:val="both"/>
        <w:rPr>
          <w:sz w:val="22"/>
        </w:rPr>
      </w:pPr>
      <w:r>
        <w:rPr>
          <w:sz w:val="22"/>
        </w:rPr>
        <w:t>For</w:t>
      </w:r>
      <w:r>
        <w:rPr>
          <w:spacing w:val="-4"/>
          <w:sz w:val="22"/>
        </w:rPr>
        <w:t> </w:t>
      </w:r>
      <w:r>
        <w:rPr>
          <w:sz w:val="22"/>
        </w:rPr>
        <w:t>Budget</w:t>
      </w:r>
      <w:r>
        <w:rPr>
          <w:spacing w:val="-6"/>
          <w:sz w:val="22"/>
        </w:rPr>
        <w:t> </w:t>
      </w:r>
      <w:r>
        <w:rPr>
          <w:sz w:val="22"/>
        </w:rPr>
        <w:t>Period</w:t>
      </w:r>
      <w:r>
        <w:rPr>
          <w:spacing w:val="-5"/>
          <w:sz w:val="22"/>
        </w:rPr>
        <w:t> </w:t>
      </w:r>
      <w:r>
        <w:rPr>
          <w:sz w:val="22"/>
        </w:rPr>
        <w:t>1,</w:t>
      </w:r>
      <w:r>
        <w:rPr>
          <w:spacing w:val="-7"/>
          <w:sz w:val="22"/>
        </w:rPr>
        <w:t> </w:t>
      </w:r>
      <w:r>
        <w:rPr>
          <w:sz w:val="22"/>
        </w:rPr>
        <w:t>BH</w:t>
      </w:r>
      <w:r>
        <w:rPr>
          <w:spacing w:val="-6"/>
          <w:sz w:val="22"/>
        </w:rPr>
        <w:t> </w:t>
      </w:r>
      <w:r>
        <w:rPr>
          <w:sz w:val="22"/>
        </w:rPr>
        <w:t>CPs</w:t>
      </w:r>
      <w:r>
        <w:rPr>
          <w:spacing w:val="-4"/>
          <w:sz w:val="22"/>
        </w:rPr>
        <w:t> </w:t>
      </w:r>
      <w:r>
        <w:rPr>
          <w:sz w:val="22"/>
        </w:rPr>
        <w:t>will</w:t>
      </w:r>
      <w:r>
        <w:rPr>
          <w:spacing w:val="-6"/>
          <w:sz w:val="22"/>
        </w:rPr>
        <w:t> </w:t>
      </w:r>
      <w:r>
        <w:rPr>
          <w:sz w:val="22"/>
        </w:rPr>
        <w:t>receive</w:t>
      </w:r>
      <w:r>
        <w:rPr>
          <w:spacing w:val="-4"/>
          <w:sz w:val="22"/>
        </w:rPr>
        <w:t> </w:t>
      </w:r>
      <w:r>
        <w:rPr>
          <w:sz w:val="22"/>
        </w:rPr>
        <w:t>infrastructure</w:t>
      </w:r>
      <w:r>
        <w:rPr>
          <w:spacing w:val="-4"/>
          <w:sz w:val="22"/>
        </w:rPr>
        <w:t> </w:t>
      </w:r>
      <w:r>
        <w:rPr>
          <w:sz w:val="22"/>
        </w:rPr>
        <w:t>funds</w:t>
      </w:r>
      <w:r>
        <w:rPr>
          <w:spacing w:val="-7"/>
          <w:sz w:val="22"/>
        </w:rPr>
        <w:t> </w:t>
      </w:r>
      <w:r>
        <w:rPr>
          <w:sz w:val="22"/>
        </w:rPr>
        <w:t>based</w:t>
      </w:r>
      <w:r>
        <w:rPr>
          <w:spacing w:val="-7"/>
          <w:sz w:val="22"/>
        </w:rPr>
        <w:t> </w:t>
      </w:r>
      <w:r>
        <w:rPr>
          <w:sz w:val="22"/>
        </w:rPr>
        <w:t>on</w:t>
      </w:r>
      <w:r>
        <w:rPr>
          <w:spacing w:val="-7"/>
          <w:sz w:val="22"/>
        </w:rPr>
        <w:t> </w:t>
      </w:r>
      <w:r>
        <w:rPr>
          <w:sz w:val="22"/>
        </w:rPr>
        <w:t>the</w:t>
      </w:r>
      <w:r>
        <w:rPr>
          <w:spacing w:val="-7"/>
          <w:sz w:val="22"/>
        </w:rPr>
        <w:t> </w:t>
      </w:r>
      <w:r>
        <w:rPr>
          <w:sz w:val="22"/>
        </w:rPr>
        <w:t>anticipated</w:t>
      </w:r>
      <w:r>
        <w:rPr>
          <w:spacing w:val="-7"/>
          <w:sz w:val="22"/>
        </w:rPr>
        <w:t> </w:t>
      </w:r>
      <w:r>
        <w:rPr>
          <w:sz w:val="22"/>
        </w:rPr>
        <w:t>number</w:t>
      </w:r>
      <w:r>
        <w:rPr>
          <w:spacing w:val="-4"/>
          <w:sz w:val="22"/>
        </w:rPr>
        <w:t> </w:t>
      </w:r>
      <w:r>
        <w:rPr>
          <w:sz w:val="22"/>
        </w:rPr>
        <w:t>of</w:t>
      </w:r>
      <w:r>
        <w:rPr>
          <w:spacing w:val="-6"/>
          <w:sz w:val="22"/>
        </w:rPr>
        <w:t> </w:t>
      </w:r>
      <w:r>
        <w:rPr>
          <w:sz w:val="22"/>
        </w:rPr>
        <w:t>engaged members, as determined by the State.</w:t>
      </w:r>
      <w:r>
        <w:rPr>
          <w:spacing w:val="40"/>
          <w:sz w:val="22"/>
        </w:rPr>
        <w:t> </w:t>
      </w:r>
      <w:r>
        <w:rPr>
          <w:sz w:val="22"/>
        </w:rPr>
        <w:t>For Budget Period 2 through 5, BH CPs will receive infrastructure funds based on the number of enrolled members (both</w:t>
      </w:r>
      <w:r>
        <w:rPr>
          <w:spacing w:val="-1"/>
          <w:sz w:val="22"/>
        </w:rPr>
        <w:t> </w:t>
      </w:r>
      <w:r>
        <w:rPr>
          <w:sz w:val="22"/>
        </w:rPr>
        <w:t>assigned and engaged), as</w:t>
      </w:r>
      <w:r>
        <w:rPr>
          <w:spacing w:val="-1"/>
          <w:sz w:val="22"/>
        </w:rPr>
        <w:t> </w:t>
      </w:r>
      <w:r>
        <w:rPr>
          <w:sz w:val="22"/>
        </w:rPr>
        <w:t>determined by the State. Exhibit 12 sets forth the anticipated PMPM schedule for BH CP infrastructure and capacity building funding.</w:t>
      </w:r>
      <w:r>
        <w:rPr>
          <w:spacing w:val="-5"/>
          <w:sz w:val="22"/>
        </w:rPr>
        <w:t> </w:t>
      </w:r>
      <w:r>
        <w:rPr>
          <w:sz w:val="22"/>
        </w:rPr>
        <w:t>The</w:t>
      </w:r>
      <w:r>
        <w:rPr>
          <w:spacing w:val="-4"/>
          <w:sz w:val="22"/>
        </w:rPr>
        <w:t> </w:t>
      </w:r>
      <w:r>
        <w:rPr>
          <w:sz w:val="22"/>
        </w:rPr>
        <w:t>State</w:t>
      </w:r>
      <w:r>
        <w:rPr>
          <w:spacing w:val="-7"/>
          <w:sz w:val="22"/>
        </w:rPr>
        <w:t> </w:t>
      </w:r>
      <w:r>
        <w:rPr>
          <w:sz w:val="22"/>
        </w:rPr>
        <w:t>anticipates</w:t>
      </w:r>
      <w:r>
        <w:rPr>
          <w:spacing w:val="-4"/>
          <w:sz w:val="22"/>
        </w:rPr>
        <w:t> </w:t>
      </w:r>
      <w:r>
        <w:rPr>
          <w:sz w:val="22"/>
        </w:rPr>
        <w:t>making</w:t>
      </w:r>
      <w:r>
        <w:rPr>
          <w:spacing w:val="-7"/>
          <w:sz w:val="22"/>
        </w:rPr>
        <w:t> </w:t>
      </w:r>
      <w:r>
        <w:rPr>
          <w:sz w:val="22"/>
        </w:rPr>
        <w:t>infrastructure</w:t>
      </w:r>
      <w:r>
        <w:rPr>
          <w:spacing w:val="-7"/>
          <w:sz w:val="22"/>
        </w:rPr>
        <w:t> </w:t>
      </w:r>
      <w:r>
        <w:rPr>
          <w:sz w:val="22"/>
        </w:rPr>
        <w:t>payments</w:t>
      </w:r>
      <w:r>
        <w:rPr>
          <w:spacing w:val="-4"/>
          <w:sz w:val="22"/>
        </w:rPr>
        <w:t> </w:t>
      </w:r>
      <w:r>
        <w:rPr>
          <w:sz w:val="22"/>
        </w:rPr>
        <w:t>on</w:t>
      </w:r>
      <w:r>
        <w:rPr>
          <w:spacing w:val="-7"/>
          <w:sz w:val="22"/>
        </w:rPr>
        <w:t> </w:t>
      </w:r>
      <w:r>
        <w:rPr>
          <w:sz w:val="22"/>
        </w:rPr>
        <w:t>a</w:t>
      </w:r>
      <w:r>
        <w:rPr>
          <w:spacing w:val="-7"/>
          <w:sz w:val="22"/>
        </w:rPr>
        <w:t> </w:t>
      </w:r>
      <w:r>
        <w:rPr>
          <w:sz w:val="22"/>
        </w:rPr>
        <w:t>bi-annual</w:t>
      </w:r>
      <w:r>
        <w:rPr>
          <w:spacing w:val="-6"/>
          <w:sz w:val="22"/>
        </w:rPr>
        <w:t> </w:t>
      </w:r>
      <w:r>
        <w:rPr>
          <w:sz w:val="22"/>
        </w:rPr>
        <w:t>basis,</w:t>
      </w:r>
      <w:r>
        <w:rPr>
          <w:spacing w:val="-5"/>
          <w:sz w:val="22"/>
        </w:rPr>
        <w:t> </w:t>
      </w:r>
      <w:r>
        <w:rPr>
          <w:sz w:val="22"/>
        </w:rPr>
        <w:t>except</w:t>
      </w:r>
      <w:r>
        <w:rPr>
          <w:spacing w:val="-6"/>
          <w:sz w:val="22"/>
        </w:rPr>
        <w:t> </w:t>
      </w:r>
      <w:r>
        <w:rPr>
          <w:sz w:val="22"/>
        </w:rPr>
        <w:t>during</w:t>
      </w:r>
      <w:r>
        <w:rPr>
          <w:spacing w:val="-7"/>
          <w:sz w:val="22"/>
        </w:rPr>
        <w:t> </w:t>
      </w:r>
      <w:r>
        <w:rPr>
          <w:sz w:val="22"/>
        </w:rPr>
        <w:t>BP1</w:t>
      </w:r>
      <w:r>
        <w:rPr>
          <w:spacing w:val="-7"/>
          <w:sz w:val="22"/>
        </w:rPr>
        <w:t> </w:t>
      </w:r>
      <w:r>
        <w:rPr>
          <w:sz w:val="22"/>
        </w:rPr>
        <w:t>and BP5. During BP1, the State anticipates making only one payment to BH CPs and CSAs. During BP5, payments</w:t>
      </w:r>
      <w:r>
        <w:rPr>
          <w:spacing w:val="-7"/>
          <w:sz w:val="22"/>
        </w:rPr>
        <w:t> </w:t>
      </w:r>
      <w:r>
        <w:rPr>
          <w:sz w:val="22"/>
        </w:rPr>
        <w:t>will</w:t>
      </w:r>
      <w:r>
        <w:rPr>
          <w:spacing w:val="-8"/>
          <w:sz w:val="22"/>
        </w:rPr>
        <w:t> </w:t>
      </w:r>
      <w:r>
        <w:rPr>
          <w:sz w:val="22"/>
        </w:rPr>
        <w:t>be</w:t>
      </w:r>
      <w:r>
        <w:rPr>
          <w:spacing w:val="-7"/>
          <w:sz w:val="22"/>
        </w:rPr>
        <w:t> </w:t>
      </w:r>
      <w:r>
        <w:rPr>
          <w:sz w:val="22"/>
        </w:rPr>
        <w:t>attributed</w:t>
      </w:r>
      <w:r>
        <w:rPr>
          <w:spacing w:val="-9"/>
          <w:sz w:val="22"/>
        </w:rPr>
        <w:t> </w:t>
      </w:r>
      <w:r>
        <w:rPr>
          <w:sz w:val="22"/>
        </w:rPr>
        <w:t>to</w:t>
      </w:r>
      <w:r>
        <w:rPr>
          <w:spacing w:val="-7"/>
          <w:sz w:val="22"/>
        </w:rPr>
        <w:t> </w:t>
      </w:r>
      <w:r>
        <w:rPr>
          <w:sz w:val="22"/>
        </w:rPr>
        <w:t>the</w:t>
      </w:r>
      <w:r>
        <w:rPr>
          <w:spacing w:val="-9"/>
          <w:sz w:val="22"/>
        </w:rPr>
        <w:t> </w:t>
      </w:r>
      <w:r>
        <w:rPr>
          <w:sz w:val="22"/>
        </w:rPr>
        <w:t>first</w:t>
      </w:r>
      <w:r>
        <w:rPr>
          <w:spacing w:val="-8"/>
          <w:sz w:val="22"/>
        </w:rPr>
        <w:t> </w:t>
      </w:r>
      <w:r>
        <w:rPr>
          <w:sz w:val="22"/>
        </w:rPr>
        <w:t>half;</w:t>
      </w:r>
      <w:r>
        <w:rPr>
          <w:spacing w:val="-6"/>
          <w:sz w:val="22"/>
        </w:rPr>
        <w:t> </w:t>
      </w:r>
      <w:r>
        <w:rPr>
          <w:sz w:val="22"/>
        </w:rPr>
        <w:t>as</w:t>
      </w:r>
      <w:r>
        <w:rPr>
          <w:spacing w:val="-7"/>
          <w:sz w:val="22"/>
        </w:rPr>
        <w:t> </w:t>
      </w:r>
      <w:r>
        <w:rPr>
          <w:sz w:val="22"/>
        </w:rPr>
        <w:t>such,</w:t>
      </w:r>
      <w:r>
        <w:rPr>
          <w:spacing w:val="-9"/>
          <w:sz w:val="22"/>
        </w:rPr>
        <w:t> </w:t>
      </w:r>
      <w:r>
        <w:rPr>
          <w:sz w:val="22"/>
        </w:rPr>
        <w:t>the</w:t>
      </w:r>
      <w:r>
        <w:rPr>
          <w:spacing w:val="-9"/>
          <w:sz w:val="22"/>
        </w:rPr>
        <w:t> </w:t>
      </w:r>
      <w:r>
        <w:rPr>
          <w:sz w:val="22"/>
        </w:rPr>
        <w:t>attributed</w:t>
      </w:r>
      <w:r>
        <w:rPr>
          <w:spacing w:val="-7"/>
          <w:sz w:val="22"/>
        </w:rPr>
        <w:t> </w:t>
      </w:r>
      <w:r>
        <w:rPr>
          <w:sz w:val="22"/>
        </w:rPr>
        <w:t>amount</w:t>
      </w:r>
      <w:r>
        <w:rPr>
          <w:spacing w:val="-6"/>
          <w:sz w:val="22"/>
        </w:rPr>
        <w:t> </w:t>
      </w:r>
      <w:r>
        <w:rPr>
          <w:sz w:val="22"/>
        </w:rPr>
        <w:t>will</w:t>
      </w:r>
      <w:r>
        <w:rPr>
          <w:spacing w:val="-6"/>
          <w:sz w:val="22"/>
        </w:rPr>
        <w:t> </w:t>
      </w:r>
      <w:r>
        <w:rPr>
          <w:sz w:val="22"/>
        </w:rPr>
        <w:t>be</w:t>
      </w:r>
      <w:r>
        <w:rPr>
          <w:spacing w:val="-9"/>
          <w:sz w:val="22"/>
        </w:rPr>
        <w:t> </w:t>
      </w:r>
      <w:r>
        <w:rPr>
          <w:sz w:val="22"/>
        </w:rPr>
        <w:t>twice</w:t>
      </w:r>
      <w:r>
        <w:rPr>
          <w:spacing w:val="-9"/>
          <w:sz w:val="22"/>
        </w:rPr>
        <w:t> </w:t>
      </w:r>
      <w:r>
        <w:rPr>
          <w:sz w:val="22"/>
        </w:rPr>
        <w:t>the</w:t>
      </w:r>
      <w:r>
        <w:rPr>
          <w:spacing w:val="-9"/>
          <w:sz w:val="22"/>
        </w:rPr>
        <w:t> </w:t>
      </w:r>
      <w:r>
        <w:rPr>
          <w:sz w:val="22"/>
        </w:rPr>
        <w:t>amount</w:t>
      </w:r>
      <w:r>
        <w:rPr>
          <w:spacing w:val="-6"/>
          <w:sz w:val="22"/>
        </w:rPr>
        <w:t> </w:t>
      </w:r>
      <w:r>
        <w:rPr>
          <w:sz w:val="22"/>
        </w:rPr>
        <w:t>as</w:t>
      </w:r>
      <w:r>
        <w:rPr>
          <w:spacing w:val="-9"/>
          <w:sz w:val="22"/>
        </w:rPr>
        <w:t> </w:t>
      </w:r>
      <w:r>
        <w:rPr>
          <w:sz w:val="22"/>
        </w:rPr>
        <w:t>what each bi-annual payment would have been if payments had been attributed throughout the whole BP. For example, if a CP had $100 total of non-at-risk infrastructure and capacity building funding for BP5, the total payment would be attributed to the first half of BP5.</w:t>
      </w:r>
    </w:p>
    <w:p>
      <w:pPr>
        <w:spacing w:before="201"/>
        <w:ind w:left="1220" w:right="0" w:firstLine="0"/>
        <w:jc w:val="both"/>
        <w:rPr>
          <w:sz w:val="22"/>
        </w:rPr>
      </w:pPr>
      <w:r>
        <w:rPr>
          <w:sz w:val="22"/>
        </w:rPr>
        <w:t>EXHIBIT</w:t>
      </w:r>
      <w:r>
        <w:rPr>
          <w:spacing w:val="-1"/>
          <w:sz w:val="22"/>
        </w:rPr>
        <w:t> </w:t>
      </w:r>
      <w:r>
        <w:rPr>
          <w:sz w:val="22"/>
        </w:rPr>
        <w:t>12</w:t>
      </w:r>
      <w:r>
        <w:rPr>
          <w:spacing w:val="-3"/>
          <w:sz w:val="22"/>
        </w:rPr>
        <w:t> </w:t>
      </w:r>
      <w:r>
        <w:rPr>
          <w:sz w:val="22"/>
        </w:rPr>
        <w:t>–</w:t>
      </w:r>
      <w:r>
        <w:rPr>
          <w:spacing w:val="-3"/>
          <w:sz w:val="22"/>
        </w:rPr>
        <w:t> </w:t>
      </w:r>
      <w:r>
        <w:rPr>
          <w:sz w:val="22"/>
        </w:rPr>
        <w:t>Anticipated</w:t>
      </w:r>
      <w:r>
        <w:rPr>
          <w:spacing w:val="-7"/>
          <w:sz w:val="22"/>
        </w:rPr>
        <w:t> </w:t>
      </w:r>
      <w:r>
        <w:rPr>
          <w:sz w:val="22"/>
        </w:rPr>
        <w:t>Schedule</w:t>
      </w:r>
      <w:r>
        <w:rPr>
          <w:spacing w:val="-5"/>
          <w:sz w:val="22"/>
        </w:rPr>
        <w:t> </w:t>
      </w:r>
      <w:r>
        <w:rPr>
          <w:sz w:val="22"/>
        </w:rPr>
        <w:t>for</w:t>
      </w:r>
      <w:r>
        <w:rPr>
          <w:spacing w:val="-2"/>
          <w:sz w:val="22"/>
        </w:rPr>
        <w:t> </w:t>
      </w:r>
      <w:r>
        <w:rPr>
          <w:sz w:val="22"/>
        </w:rPr>
        <w:t>BH</w:t>
      </w:r>
      <w:r>
        <w:rPr>
          <w:spacing w:val="-3"/>
          <w:sz w:val="22"/>
        </w:rPr>
        <w:t> </w:t>
      </w:r>
      <w:r>
        <w:rPr>
          <w:sz w:val="22"/>
        </w:rPr>
        <w:t>CP</w:t>
      </w:r>
      <w:r>
        <w:rPr>
          <w:spacing w:val="-4"/>
          <w:sz w:val="22"/>
        </w:rPr>
        <w:t> </w:t>
      </w:r>
      <w:r>
        <w:rPr>
          <w:sz w:val="22"/>
        </w:rPr>
        <w:t>for</w:t>
      </w:r>
      <w:r>
        <w:rPr>
          <w:spacing w:val="-2"/>
          <w:sz w:val="22"/>
        </w:rPr>
        <w:t> </w:t>
      </w:r>
      <w:r>
        <w:rPr>
          <w:sz w:val="22"/>
        </w:rPr>
        <w:t>Infrastructure</w:t>
      </w:r>
      <w:r>
        <w:rPr>
          <w:spacing w:val="-3"/>
          <w:sz w:val="22"/>
        </w:rPr>
        <w:t> </w:t>
      </w:r>
      <w:r>
        <w:rPr>
          <w:sz w:val="22"/>
        </w:rPr>
        <w:t>and</w:t>
      </w:r>
      <w:r>
        <w:rPr>
          <w:spacing w:val="-2"/>
          <w:sz w:val="22"/>
        </w:rPr>
        <w:t> </w:t>
      </w:r>
      <w:r>
        <w:rPr>
          <w:sz w:val="22"/>
        </w:rPr>
        <w:t>Capacity</w:t>
      </w:r>
      <w:r>
        <w:rPr>
          <w:spacing w:val="-6"/>
          <w:sz w:val="22"/>
        </w:rPr>
        <w:t> </w:t>
      </w:r>
      <w:r>
        <w:rPr>
          <w:sz w:val="22"/>
        </w:rPr>
        <w:t>Building</w:t>
      </w:r>
      <w:r>
        <w:rPr>
          <w:spacing w:val="-5"/>
          <w:sz w:val="22"/>
        </w:rPr>
        <w:t> </w:t>
      </w:r>
      <w:r>
        <w:rPr>
          <w:spacing w:val="-2"/>
          <w:sz w:val="22"/>
        </w:rPr>
        <w:t>(PMPM)</w:t>
      </w:r>
    </w:p>
    <w:tbl>
      <w:tblPr>
        <w:tblW w:w="0" w:type="auto"/>
        <w:jc w:val="left"/>
        <w:tblInd w:w="1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3"/>
        <w:gridCol w:w="1651"/>
        <w:gridCol w:w="1644"/>
        <w:gridCol w:w="1644"/>
        <w:gridCol w:w="1644"/>
        <w:gridCol w:w="1519"/>
        <w:gridCol w:w="629"/>
      </w:tblGrid>
      <w:tr>
        <w:trPr>
          <w:trHeight w:val="340" w:hRule="atLeast"/>
        </w:trPr>
        <w:tc>
          <w:tcPr>
            <w:tcW w:w="643" w:type="dxa"/>
            <w:vMerge w:val="restart"/>
            <w:tcBorders>
              <w:left w:val="nil"/>
              <w:right w:val="single" w:sz="8" w:space="0" w:color="BEBEBE"/>
            </w:tcBorders>
          </w:tcPr>
          <w:p>
            <w:pPr>
              <w:pStyle w:val="TableParagraph"/>
              <w:rPr>
                <w:sz w:val="20"/>
              </w:rPr>
            </w:pPr>
          </w:p>
        </w:tc>
        <w:tc>
          <w:tcPr>
            <w:tcW w:w="8102" w:type="dxa"/>
            <w:gridSpan w:val="5"/>
            <w:tcBorders>
              <w:top w:val="single" w:sz="12" w:space="0" w:color="BEBEBE"/>
              <w:left w:val="single" w:sz="8" w:space="0" w:color="BEBEBE"/>
              <w:bottom w:val="single" w:sz="4" w:space="0" w:color="BEBEBE"/>
              <w:right w:val="single" w:sz="8" w:space="0" w:color="BEBEBE"/>
            </w:tcBorders>
            <w:shd w:val="clear" w:color="auto" w:fill="1F487C"/>
          </w:tcPr>
          <w:p>
            <w:pPr>
              <w:pStyle w:val="TableParagraph"/>
              <w:ind w:left="1749" w:right="1743"/>
              <w:jc w:val="center"/>
              <w:rPr>
                <w:b/>
                <w:sz w:val="20"/>
              </w:rPr>
            </w:pPr>
            <w:r>
              <w:rPr>
                <w:b/>
                <w:color w:val="FFFFFF"/>
                <w:sz w:val="20"/>
              </w:rPr>
              <w:t>BH</w:t>
            </w:r>
            <w:r>
              <w:rPr>
                <w:b/>
                <w:color w:val="FFFFFF"/>
                <w:spacing w:val="-7"/>
                <w:sz w:val="20"/>
              </w:rPr>
              <w:t> </w:t>
            </w:r>
            <w:r>
              <w:rPr>
                <w:b/>
                <w:color w:val="FFFFFF"/>
                <w:sz w:val="20"/>
              </w:rPr>
              <w:t>CP</w:t>
            </w:r>
            <w:r>
              <w:rPr>
                <w:b/>
                <w:color w:val="FFFFFF"/>
                <w:spacing w:val="-6"/>
                <w:sz w:val="20"/>
              </w:rPr>
              <w:t> </w:t>
            </w:r>
            <w:r>
              <w:rPr>
                <w:b/>
                <w:color w:val="FFFFFF"/>
                <w:sz w:val="20"/>
              </w:rPr>
              <w:t>Infrastructure</w:t>
            </w:r>
            <w:r>
              <w:rPr>
                <w:b/>
                <w:color w:val="FFFFFF"/>
                <w:spacing w:val="-8"/>
                <w:sz w:val="20"/>
              </w:rPr>
              <w:t> </w:t>
            </w:r>
            <w:r>
              <w:rPr>
                <w:b/>
                <w:color w:val="FFFFFF"/>
                <w:sz w:val="20"/>
              </w:rPr>
              <w:t>and</w:t>
            </w:r>
            <w:r>
              <w:rPr>
                <w:b/>
                <w:color w:val="FFFFFF"/>
                <w:spacing w:val="-8"/>
                <w:sz w:val="20"/>
              </w:rPr>
              <w:t> </w:t>
            </w:r>
            <w:r>
              <w:rPr>
                <w:b/>
                <w:color w:val="FFFFFF"/>
                <w:sz w:val="20"/>
              </w:rPr>
              <w:t>Capacity</w:t>
            </w:r>
            <w:r>
              <w:rPr>
                <w:b/>
                <w:color w:val="FFFFFF"/>
                <w:spacing w:val="-6"/>
                <w:sz w:val="20"/>
              </w:rPr>
              <w:t> </w:t>
            </w:r>
            <w:r>
              <w:rPr>
                <w:b/>
                <w:color w:val="FFFFFF"/>
                <w:sz w:val="20"/>
              </w:rPr>
              <w:t>Building</w:t>
            </w:r>
            <w:r>
              <w:rPr>
                <w:b/>
                <w:color w:val="FFFFFF"/>
                <w:spacing w:val="-7"/>
                <w:sz w:val="20"/>
              </w:rPr>
              <w:t> </w:t>
            </w:r>
            <w:r>
              <w:rPr>
                <w:b/>
                <w:color w:val="FFFFFF"/>
                <w:spacing w:val="-4"/>
                <w:sz w:val="20"/>
              </w:rPr>
              <w:t>PMPMs</w:t>
            </w:r>
          </w:p>
        </w:tc>
        <w:tc>
          <w:tcPr>
            <w:tcW w:w="629" w:type="dxa"/>
            <w:vMerge w:val="restart"/>
            <w:tcBorders>
              <w:left w:val="single" w:sz="8" w:space="0" w:color="BEBEBE"/>
              <w:right w:val="nil"/>
            </w:tcBorders>
          </w:tcPr>
          <w:p>
            <w:pPr>
              <w:pStyle w:val="TableParagraph"/>
              <w:rPr>
                <w:sz w:val="20"/>
              </w:rPr>
            </w:pPr>
          </w:p>
        </w:tc>
      </w:tr>
      <w:tr>
        <w:trPr>
          <w:trHeight w:val="249" w:hRule="atLeast"/>
        </w:trPr>
        <w:tc>
          <w:tcPr>
            <w:tcW w:w="643" w:type="dxa"/>
            <w:vMerge/>
            <w:tcBorders>
              <w:top w:val="nil"/>
              <w:left w:val="nil"/>
              <w:right w:val="single" w:sz="8" w:space="0" w:color="BEBEBE"/>
            </w:tcBorders>
          </w:tcPr>
          <w:p>
            <w:pPr>
              <w:rPr>
                <w:sz w:val="2"/>
                <w:szCs w:val="2"/>
              </w:rPr>
            </w:pPr>
          </w:p>
        </w:tc>
        <w:tc>
          <w:tcPr>
            <w:tcW w:w="1651" w:type="dxa"/>
            <w:tcBorders>
              <w:top w:val="single" w:sz="4" w:space="0" w:color="BEBEBE"/>
              <w:left w:val="single" w:sz="8" w:space="0" w:color="BEBEBE"/>
              <w:bottom w:val="single" w:sz="4" w:space="0" w:color="BEBEBE"/>
              <w:right w:val="single" w:sz="4" w:space="0" w:color="BEBEBE"/>
            </w:tcBorders>
            <w:shd w:val="clear" w:color="auto" w:fill="D9D9D9"/>
          </w:tcPr>
          <w:p>
            <w:pPr>
              <w:pStyle w:val="TableParagraph"/>
              <w:spacing w:line="229" w:lineRule="exact"/>
              <w:ind w:left="172" w:right="172"/>
              <w:jc w:val="center"/>
              <w:rPr>
                <w:b/>
                <w:sz w:val="20"/>
              </w:rPr>
            </w:pPr>
            <w:r>
              <w:rPr>
                <w:b/>
                <w:sz w:val="20"/>
              </w:rPr>
              <w:t>BP</w:t>
            </w:r>
            <w:r>
              <w:rPr>
                <w:b/>
                <w:spacing w:val="-1"/>
                <w:sz w:val="20"/>
              </w:rPr>
              <w:t> </w:t>
            </w:r>
            <w:r>
              <w:rPr>
                <w:b/>
                <w:spacing w:val="-10"/>
                <w:sz w:val="20"/>
              </w:rPr>
              <w:t>1</w:t>
            </w:r>
          </w:p>
        </w:tc>
        <w:tc>
          <w:tcPr>
            <w:tcW w:w="1644"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line="229" w:lineRule="exact"/>
              <w:ind w:left="100" w:right="98"/>
              <w:jc w:val="center"/>
              <w:rPr>
                <w:b/>
                <w:sz w:val="20"/>
              </w:rPr>
            </w:pPr>
            <w:r>
              <w:rPr>
                <w:b/>
                <w:sz w:val="20"/>
              </w:rPr>
              <w:t>BP</w:t>
            </w:r>
            <w:r>
              <w:rPr>
                <w:b/>
                <w:spacing w:val="-1"/>
                <w:sz w:val="20"/>
              </w:rPr>
              <w:t> </w:t>
            </w:r>
            <w:r>
              <w:rPr>
                <w:b/>
                <w:spacing w:val="-10"/>
                <w:sz w:val="20"/>
              </w:rPr>
              <w:t>2</w:t>
            </w:r>
          </w:p>
        </w:tc>
        <w:tc>
          <w:tcPr>
            <w:tcW w:w="1644"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line="229" w:lineRule="exact"/>
              <w:ind w:left="100" w:right="98"/>
              <w:jc w:val="center"/>
              <w:rPr>
                <w:b/>
                <w:sz w:val="20"/>
              </w:rPr>
            </w:pPr>
            <w:r>
              <w:rPr>
                <w:b/>
                <w:sz w:val="20"/>
              </w:rPr>
              <w:t>BP</w:t>
            </w:r>
            <w:r>
              <w:rPr>
                <w:b/>
                <w:spacing w:val="-1"/>
                <w:sz w:val="20"/>
              </w:rPr>
              <w:t> </w:t>
            </w:r>
            <w:r>
              <w:rPr>
                <w:b/>
                <w:spacing w:val="-10"/>
                <w:sz w:val="20"/>
              </w:rPr>
              <w:t>3</w:t>
            </w:r>
          </w:p>
        </w:tc>
        <w:tc>
          <w:tcPr>
            <w:tcW w:w="1644"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line="229" w:lineRule="exact"/>
              <w:ind w:left="100" w:right="98"/>
              <w:jc w:val="center"/>
              <w:rPr>
                <w:b/>
                <w:sz w:val="20"/>
              </w:rPr>
            </w:pPr>
            <w:r>
              <w:rPr>
                <w:b/>
                <w:sz w:val="20"/>
              </w:rPr>
              <w:t>BP</w:t>
            </w:r>
            <w:r>
              <w:rPr>
                <w:b/>
                <w:spacing w:val="-1"/>
                <w:sz w:val="20"/>
              </w:rPr>
              <w:t> </w:t>
            </w:r>
            <w:r>
              <w:rPr>
                <w:b/>
                <w:spacing w:val="-10"/>
                <w:sz w:val="20"/>
              </w:rPr>
              <w:t>4</w:t>
            </w:r>
          </w:p>
        </w:tc>
        <w:tc>
          <w:tcPr>
            <w:tcW w:w="1519" w:type="dxa"/>
            <w:tcBorders>
              <w:top w:val="single" w:sz="4" w:space="0" w:color="BEBEBE"/>
              <w:left w:val="single" w:sz="4" w:space="0" w:color="BEBEBE"/>
              <w:bottom w:val="single" w:sz="4" w:space="0" w:color="BEBEBE"/>
              <w:right w:val="single" w:sz="8" w:space="0" w:color="BEBEBE"/>
            </w:tcBorders>
            <w:shd w:val="clear" w:color="auto" w:fill="D9D9D9"/>
          </w:tcPr>
          <w:p>
            <w:pPr>
              <w:pStyle w:val="TableParagraph"/>
              <w:spacing w:line="229" w:lineRule="exact"/>
              <w:ind w:left="160" w:right="153"/>
              <w:jc w:val="center"/>
              <w:rPr>
                <w:b/>
                <w:sz w:val="20"/>
              </w:rPr>
            </w:pPr>
            <w:r>
              <w:rPr>
                <w:b/>
                <w:sz w:val="20"/>
              </w:rPr>
              <w:t>BP</w:t>
            </w:r>
            <w:r>
              <w:rPr>
                <w:b/>
                <w:spacing w:val="-1"/>
                <w:sz w:val="20"/>
              </w:rPr>
              <w:t> </w:t>
            </w:r>
            <w:r>
              <w:rPr>
                <w:b/>
                <w:spacing w:val="-10"/>
                <w:sz w:val="20"/>
              </w:rPr>
              <w:t>5</w:t>
            </w:r>
          </w:p>
        </w:tc>
        <w:tc>
          <w:tcPr>
            <w:tcW w:w="629" w:type="dxa"/>
            <w:vMerge/>
            <w:tcBorders>
              <w:top w:val="nil"/>
              <w:left w:val="single" w:sz="8" w:space="0" w:color="BEBEBE"/>
              <w:right w:val="nil"/>
            </w:tcBorders>
          </w:tcPr>
          <w:p>
            <w:pPr>
              <w:rPr>
                <w:sz w:val="2"/>
                <w:szCs w:val="2"/>
              </w:rPr>
            </w:pPr>
          </w:p>
        </w:tc>
      </w:tr>
      <w:tr>
        <w:trPr>
          <w:trHeight w:val="248" w:hRule="atLeast"/>
        </w:trPr>
        <w:tc>
          <w:tcPr>
            <w:tcW w:w="643" w:type="dxa"/>
            <w:vMerge/>
            <w:tcBorders>
              <w:top w:val="nil"/>
              <w:left w:val="nil"/>
              <w:right w:val="single" w:sz="8" w:space="0" w:color="BEBEBE"/>
            </w:tcBorders>
          </w:tcPr>
          <w:p>
            <w:pPr>
              <w:rPr>
                <w:sz w:val="2"/>
                <w:szCs w:val="2"/>
              </w:rPr>
            </w:pPr>
          </w:p>
        </w:tc>
        <w:tc>
          <w:tcPr>
            <w:tcW w:w="1651" w:type="dxa"/>
            <w:tcBorders>
              <w:top w:val="single" w:sz="4" w:space="0" w:color="BEBEBE"/>
              <w:left w:val="single" w:sz="8" w:space="0" w:color="BEBEBE"/>
              <w:bottom w:val="single" w:sz="12" w:space="0" w:color="BEBEBE"/>
              <w:right w:val="single" w:sz="4" w:space="0" w:color="BEBEBE"/>
            </w:tcBorders>
          </w:tcPr>
          <w:p>
            <w:pPr>
              <w:pStyle w:val="TableParagraph"/>
              <w:spacing w:line="229" w:lineRule="exact"/>
              <w:ind w:left="172" w:right="172"/>
              <w:jc w:val="center"/>
              <w:rPr>
                <w:sz w:val="20"/>
              </w:rPr>
            </w:pPr>
            <w:r>
              <w:rPr>
                <w:sz w:val="20"/>
              </w:rPr>
              <w:t>$35.00</w:t>
            </w:r>
            <w:r>
              <w:rPr>
                <w:spacing w:val="-2"/>
                <w:sz w:val="20"/>
              </w:rPr>
              <w:t> </w:t>
            </w:r>
            <w:r>
              <w:rPr>
                <w:sz w:val="20"/>
              </w:rPr>
              <w:t>-</w:t>
            </w:r>
            <w:r>
              <w:rPr>
                <w:spacing w:val="-5"/>
                <w:sz w:val="20"/>
              </w:rPr>
              <w:t> </w:t>
            </w:r>
            <w:r>
              <w:rPr>
                <w:spacing w:val="-2"/>
                <w:sz w:val="20"/>
              </w:rPr>
              <w:t>$45.00</w:t>
            </w:r>
          </w:p>
        </w:tc>
        <w:tc>
          <w:tcPr>
            <w:tcW w:w="1644" w:type="dxa"/>
            <w:tcBorders>
              <w:top w:val="single" w:sz="4" w:space="0" w:color="BEBEBE"/>
              <w:left w:val="single" w:sz="4" w:space="0" w:color="BEBEBE"/>
              <w:bottom w:val="single" w:sz="12" w:space="0" w:color="BEBEBE"/>
              <w:right w:val="single" w:sz="4" w:space="0" w:color="BEBEBE"/>
            </w:tcBorders>
          </w:tcPr>
          <w:p>
            <w:pPr>
              <w:pStyle w:val="TableParagraph"/>
              <w:spacing w:line="229" w:lineRule="exact"/>
              <w:ind w:left="100" w:right="100"/>
              <w:jc w:val="center"/>
              <w:rPr>
                <w:sz w:val="20"/>
              </w:rPr>
            </w:pPr>
            <w:r>
              <w:rPr>
                <w:sz w:val="20"/>
              </w:rPr>
              <w:t>$25.00</w:t>
            </w:r>
            <w:r>
              <w:rPr>
                <w:spacing w:val="-2"/>
                <w:sz w:val="20"/>
              </w:rPr>
              <w:t> </w:t>
            </w:r>
            <w:r>
              <w:rPr>
                <w:sz w:val="20"/>
              </w:rPr>
              <w:t>-</w:t>
            </w:r>
            <w:r>
              <w:rPr>
                <w:spacing w:val="-5"/>
                <w:sz w:val="20"/>
              </w:rPr>
              <w:t> </w:t>
            </w:r>
            <w:r>
              <w:rPr>
                <w:spacing w:val="-2"/>
                <w:sz w:val="20"/>
              </w:rPr>
              <w:t>$35.00</w:t>
            </w:r>
          </w:p>
        </w:tc>
        <w:tc>
          <w:tcPr>
            <w:tcW w:w="1644" w:type="dxa"/>
            <w:tcBorders>
              <w:top w:val="single" w:sz="4" w:space="0" w:color="BEBEBE"/>
              <w:left w:val="single" w:sz="4" w:space="0" w:color="BEBEBE"/>
              <w:bottom w:val="single" w:sz="12" w:space="0" w:color="BEBEBE"/>
              <w:right w:val="single" w:sz="4" w:space="0" w:color="BEBEBE"/>
            </w:tcBorders>
          </w:tcPr>
          <w:p>
            <w:pPr>
              <w:pStyle w:val="TableParagraph"/>
              <w:spacing w:line="229" w:lineRule="exact"/>
              <w:ind w:left="100" w:right="100"/>
              <w:jc w:val="center"/>
              <w:rPr>
                <w:sz w:val="20"/>
              </w:rPr>
            </w:pPr>
            <w:r>
              <w:rPr>
                <w:sz w:val="20"/>
              </w:rPr>
              <w:t>$15.00</w:t>
            </w:r>
            <w:r>
              <w:rPr>
                <w:spacing w:val="-2"/>
                <w:sz w:val="20"/>
              </w:rPr>
              <w:t> </w:t>
            </w:r>
            <w:r>
              <w:rPr>
                <w:sz w:val="20"/>
              </w:rPr>
              <w:t>-</w:t>
            </w:r>
            <w:r>
              <w:rPr>
                <w:spacing w:val="-5"/>
                <w:sz w:val="20"/>
              </w:rPr>
              <w:t> </w:t>
            </w:r>
            <w:r>
              <w:rPr>
                <w:spacing w:val="-2"/>
                <w:sz w:val="20"/>
              </w:rPr>
              <w:t>$25.00</w:t>
            </w:r>
          </w:p>
        </w:tc>
        <w:tc>
          <w:tcPr>
            <w:tcW w:w="1644" w:type="dxa"/>
            <w:tcBorders>
              <w:top w:val="single" w:sz="4" w:space="0" w:color="BEBEBE"/>
              <w:left w:val="single" w:sz="4" w:space="0" w:color="BEBEBE"/>
              <w:bottom w:val="single" w:sz="12" w:space="0" w:color="BEBEBE"/>
              <w:right w:val="single" w:sz="4" w:space="0" w:color="BEBEBE"/>
            </w:tcBorders>
          </w:tcPr>
          <w:p>
            <w:pPr>
              <w:pStyle w:val="TableParagraph"/>
              <w:spacing w:line="229" w:lineRule="exact"/>
              <w:ind w:left="100" w:right="100"/>
              <w:jc w:val="center"/>
              <w:rPr>
                <w:sz w:val="20"/>
              </w:rPr>
            </w:pPr>
            <w:r>
              <w:rPr>
                <w:sz w:val="20"/>
              </w:rPr>
              <w:t>$10.00</w:t>
            </w:r>
            <w:r>
              <w:rPr>
                <w:spacing w:val="-2"/>
                <w:sz w:val="20"/>
              </w:rPr>
              <w:t> </w:t>
            </w:r>
            <w:r>
              <w:rPr>
                <w:sz w:val="20"/>
              </w:rPr>
              <w:t>-</w:t>
            </w:r>
            <w:r>
              <w:rPr>
                <w:spacing w:val="-5"/>
                <w:sz w:val="20"/>
              </w:rPr>
              <w:t> </w:t>
            </w:r>
            <w:r>
              <w:rPr>
                <w:spacing w:val="-2"/>
                <w:sz w:val="20"/>
              </w:rPr>
              <w:t>$20.00</w:t>
            </w:r>
          </w:p>
        </w:tc>
        <w:tc>
          <w:tcPr>
            <w:tcW w:w="1519" w:type="dxa"/>
            <w:tcBorders>
              <w:top w:val="single" w:sz="4" w:space="0" w:color="BEBEBE"/>
              <w:left w:val="single" w:sz="4" w:space="0" w:color="BEBEBE"/>
              <w:bottom w:val="single" w:sz="12" w:space="0" w:color="BEBEBE"/>
              <w:right w:val="single" w:sz="8" w:space="0" w:color="BEBEBE"/>
            </w:tcBorders>
          </w:tcPr>
          <w:p>
            <w:pPr>
              <w:pStyle w:val="TableParagraph"/>
              <w:spacing w:line="229" w:lineRule="exact"/>
              <w:ind w:left="160" w:right="155"/>
              <w:jc w:val="center"/>
              <w:rPr>
                <w:sz w:val="20"/>
              </w:rPr>
            </w:pPr>
            <w:r>
              <w:rPr>
                <w:sz w:val="20"/>
              </w:rPr>
              <w:t>$5.00</w:t>
            </w:r>
            <w:r>
              <w:rPr>
                <w:spacing w:val="-3"/>
                <w:sz w:val="20"/>
              </w:rPr>
              <w:t> </w:t>
            </w:r>
            <w:r>
              <w:rPr>
                <w:sz w:val="20"/>
              </w:rPr>
              <w:t>-</w:t>
            </w:r>
            <w:r>
              <w:rPr>
                <w:spacing w:val="-3"/>
                <w:sz w:val="20"/>
              </w:rPr>
              <w:t> </w:t>
            </w:r>
            <w:r>
              <w:rPr>
                <w:spacing w:val="-2"/>
                <w:sz w:val="20"/>
              </w:rPr>
              <w:t>$15.00</w:t>
            </w:r>
          </w:p>
        </w:tc>
        <w:tc>
          <w:tcPr>
            <w:tcW w:w="629" w:type="dxa"/>
            <w:vMerge/>
            <w:tcBorders>
              <w:top w:val="nil"/>
              <w:left w:val="single" w:sz="8" w:space="0" w:color="BEBEBE"/>
              <w:right w:val="nil"/>
            </w:tcBorders>
          </w:tcPr>
          <w:p>
            <w:pPr>
              <w:rPr>
                <w:sz w:val="2"/>
                <w:szCs w:val="2"/>
              </w:rPr>
            </w:pPr>
          </w:p>
        </w:tc>
      </w:tr>
    </w:tbl>
    <w:p>
      <w:pPr>
        <w:pStyle w:val="BodyText"/>
        <w:spacing w:before="11"/>
        <w:rPr>
          <w:sz w:val="35"/>
        </w:rPr>
      </w:pPr>
    </w:p>
    <w:p>
      <w:pPr>
        <w:spacing w:before="0"/>
        <w:ind w:left="1220" w:right="0" w:firstLine="0"/>
        <w:jc w:val="both"/>
        <w:rPr>
          <w:sz w:val="22"/>
        </w:rPr>
      </w:pPr>
      <w:r>
        <w:rPr>
          <w:sz w:val="22"/>
        </w:rPr>
        <w:t>The</w:t>
      </w:r>
      <w:r>
        <w:rPr>
          <w:spacing w:val="-7"/>
          <w:sz w:val="22"/>
        </w:rPr>
        <w:t> </w:t>
      </w:r>
      <w:r>
        <w:rPr>
          <w:sz w:val="22"/>
        </w:rPr>
        <w:t>State</w:t>
      </w:r>
      <w:r>
        <w:rPr>
          <w:spacing w:val="-2"/>
          <w:sz w:val="22"/>
        </w:rPr>
        <w:t> </w:t>
      </w:r>
      <w:r>
        <w:rPr>
          <w:sz w:val="22"/>
        </w:rPr>
        <w:t>may</w:t>
      </w:r>
      <w:r>
        <w:rPr>
          <w:spacing w:val="-5"/>
          <w:sz w:val="22"/>
        </w:rPr>
        <w:t> </w:t>
      </w:r>
      <w:r>
        <w:rPr>
          <w:sz w:val="22"/>
        </w:rPr>
        <w:t>vary</w:t>
      </w:r>
      <w:r>
        <w:rPr>
          <w:spacing w:val="-5"/>
          <w:sz w:val="22"/>
        </w:rPr>
        <w:t> </w:t>
      </w:r>
      <w:r>
        <w:rPr>
          <w:sz w:val="22"/>
        </w:rPr>
        <w:t>the</w:t>
      </w:r>
      <w:r>
        <w:rPr>
          <w:spacing w:val="-3"/>
          <w:sz w:val="22"/>
        </w:rPr>
        <w:t> </w:t>
      </w:r>
      <w:r>
        <w:rPr>
          <w:sz w:val="22"/>
        </w:rPr>
        <w:t>amount</w:t>
      </w:r>
      <w:r>
        <w:rPr>
          <w:spacing w:val="-1"/>
          <w:sz w:val="22"/>
        </w:rPr>
        <w:t> </w:t>
      </w:r>
      <w:r>
        <w:rPr>
          <w:sz w:val="22"/>
        </w:rPr>
        <w:t>of</w:t>
      </w:r>
      <w:r>
        <w:rPr>
          <w:spacing w:val="-1"/>
          <w:sz w:val="22"/>
        </w:rPr>
        <w:t> </w:t>
      </w:r>
      <w:r>
        <w:rPr>
          <w:sz w:val="22"/>
        </w:rPr>
        <w:t>the</w:t>
      </w:r>
      <w:r>
        <w:rPr>
          <w:spacing w:val="-3"/>
          <w:sz w:val="22"/>
        </w:rPr>
        <w:t> </w:t>
      </w:r>
      <w:r>
        <w:rPr>
          <w:sz w:val="22"/>
        </w:rPr>
        <w:t>infrastructure</w:t>
      </w:r>
      <w:r>
        <w:rPr>
          <w:spacing w:val="-2"/>
          <w:sz w:val="22"/>
        </w:rPr>
        <w:t> </w:t>
      </w:r>
      <w:r>
        <w:rPr>
          <w:sz w:val="22"/>
        </w:rPr>
        <w:t>PMPMs</w:t>
      </w:r>
      <w:r>
        <w:rPr>
          <w:spacing w:val="-4"/>
          <w:sz w:val="22"/>
        </w:rPr>
        <w:t> </w:t>
      </w:r>
      <w:r>
        <w:rPr>
          <w:sz w:val="22"/>
        </w:rPr>
        <w:t>in</w:t>
      </w:r>
      <w:r>
        <w:rPr>
          <w:spacing w:val="-5"/>
          <w:sz w:val="22"/>
        </w:rPr>
        <w:t> </w:t>
      </w:r>
      <w:r>
        <w:rPr>
          <w:sz w:val="22"/>
        </w:rPr>
        <w:t>its</w:t>
      </w:r>
      <w:r>
        <w:rPr>
          <w:spacing w:val="-2"/>
          <w:sz w:val="22"/>
        </w:rPr>
        <w:t> discretion.</w:t>
      </w:r>
    </w:p>
    <w:p>
      <w:pPr>
        <w:spacing w:before="157"/>
        <w:ind w:left="1220" w:right="1094" w:firstLine="0"/>
        <w:jc w:val="both"/>
        <w:rPr>
          <w:sz w:val="22"/>
        </w:rPr>
      </w:pPr>
      <w:r>
        <w:rPr>
          <w:sz w:val="22"/>
        </w:rPr>
        <w:t>As</w:t>
      </w:r>
      <w:r>
        <w:rPr>
          <w:spacing w:val="-10"/>
          <w:sz w:val="22"/>
        </w:rPr>
        <w:t> </w:t>
      </w:r>
      <w:r>
        <w:rPr>
          <w:sz w:val="22"/>
        </w:rPr>
        <w:t>part</w:t>
      </w:r>
      <w:r>
        <w:rPr>
          <w:spacing w:val="-10"/>
          <w:sz w:val="22"/>
        </w:rPr>
        <w:t> </w:t>
      </w:r>
      <w:r>
        <w:rPr>
          <w:sz w:val="22"/>
        </w:rPr>
        <w:t>of</w:t>
      </w:r>
      <w:r>
        <w:rPr>
          <w:spacing w:val="-12"/>
          <w:sz w:val="22"/>
        </w:rPr>
        <w:t> </w:t>
      </w:r>
      <w:r>
        <w:rPr>
          <w:sz w:val="22"/>
        </w:rPr>
        <w:t>the</w:t>
      </w:r>
      <w:r>
        <w:rPr>
          <w:spacing w:val="-10"/>
          <w:sz w:val="22"/>
        </w:rPr>
        <w:t> </w:t>
      </w:r>
      <w:r>
        <w:rPr>
          <w:sz w:val="22"/>
        </w:rPr>
        <w:t>Budget</w:t>
      </w:r>
      <w:r>
        <w:rPr>
          <w:spacing w:val="-10"/>
          <w:sz w:val="22"/>
        </w:rPr>
        <w:t> </w:t>
      </w:r>
      <w:r>
        <w:rPr>
          <w:sz w:val="22"/>
        </w:rPr>
        <w:t>and</w:t>
      </w:r>
      <w:r>
        <w:rPr>
          <w:spacing w:val="-11"/>
          <w:sz w:val="22"/>
        </w:rPr>
        <w:t> </w:t>
      </w:r>
      <w:r>
        <w:rPr>
          <w:sz w:val="22"/>
        </w:rPr>
        <w:t>Budget</w:t>
      </w:r>
      <w:r>
        <w:rPr>
          <w:spacing w:val="-10"/>
          <w:sz w:val="22"/>
        </w:rPr>
        <w:t> </w:t>
      </w:r>
      <w:r>
        <w:rPr>
          <w:sz w:val="22"/>
        </w:rPr>
        <w:t>Narratives,</w:t>
      </w:r>
      <w:r>
        <w:rPr>
          <w:spacing w:val="-11"/>
          <w:sz w:val="22"/>
        </w:rPr>
        <w:t> </w:t>
      </w:r>
      <w:r>
        <w:rPr>
          <w:sz w:val="22"/>
        </w:rPr>
        <w:t>BH</w:t>
      </w:r>
      <w:r>
        <w:rPr>
          <w:spacing w:val="-12"/>
          <w:sz w:val="22"/>
        </w:rPr>
        <w:t> </w:t>
      </w:r>
      <w:r>
        <w:rPr>
          <w:sz w:val="22"/>
        </w:rPr>
        <w:t>CPs</w:t>
      </w:r>
      <w:r>
        <w:rPr>
          <w:spacing w:val="-10"/>
          <w:sz w:val="22"/>
        </w:rPr>
        <w:t> </w:t>
      </w:r>
      <w:r>
        <w:rPr>
          <w:sz w:val="22"/>
        </w:rPr>
        <w:t>will</w:t>
      </w:r>
      <w:r>
        <w:rPr>
          <w:spacing w:val="-12"/>
          <w:sz w:val="22"/>
        </w:rPr>
        <w:t> </w:t>
      </w:r>
      <w:r>
        <w:rPr>
          <w:sz w:val="22"/>
        </w:rPr>
        <w:t>indicate</w:t>
      </w:r>
      <w:r>
        <w:rPr>
          <w:spacing w:val="-11"/>
          <w:sz w:val="22"/>
        </w:rPr>
        <w:t> </w:t>
      </w:r>
      <w:r>
        <w:rPr>
          <w:sz w:val="22"/>
        </w:rPr>
        <w:t>how</w:t>
      </w:r>
      <w:r>
        <w:rPr>
          <w:spacing w:val="-12"/>
          <w:sz w:val="22"/>
        </w:rPr>
        <w:t> </w:t>
      </w:r>
      <w:r>
        <w:rPr>
          <w:sz w:val="22"/>
        </w:rPr>
        <w:t>they</w:t>
      </w:r>
      <w:r>
        <w:rPr>
          <w:spacing w:val="-13"/>
          <w:sz w:val="22"/>
        </w:rPr>
        <w:t> </w:t>
      </w:r>
      <w:r>
        <w:rPr>
          <w:sz w:val="22"/>
        </w:rPr>
        <w:t>intend</w:t>
      </w:r>
      <w:r>
        <w:rPr>
          <w:spacing w:val="-11"/>
          <w:sz w:val="22"/>
        </w:rPr>
        <w:t> </w:t>
      </w:r>
      <w:r>
        <w:rPr>
          <w:sz w:val="22"/>
        </w:rPr>
        <w:t>to</w:t>
      </w:r>
      <w:r>
        <w:rPr>
          <w:spacing w:val="-11"/>
          <w:sz w:val="22"/>
        </w:rPr>
        <w:t> </w:t>
      </w:r>
      <w:r>
        <w:rPr>
          <w:sz w:val="22"/>
        </w:rPr>
        <w:t>use</w:t>
      </w:r>
      <w:r>
        <w:rPr>
          <w:spacing w:val="-10"/>
          <w:sz w:val="22"/>
        </w:rPr>
        <w:t> </w:t>
      </w:r>
      <w:r>
        <w:rPr>
          <w:sz w:val="22"/>
        </w:rPr>
        <w:t>the</w:t>
      </w:r>
      <w:r>
        <w:rPr>
          <w:spacing w:val="-11"/>
          <w:sz w:val="22"/>
        </w:rPr>
        <w:t> </w:t>
      </w:r>
      <w:r>
        <w:rPr>
          <w:sz w:val="22"/>
        </w:rPr>
        <w:t>infrastructure funding</w:t>
      </w:r>
      <w:r>
        <w:rPr>
          <w:spacing w:val="-4"/>
          <w:sz w:val="22"/>
        </w:rPr>
        <w:t> </w:t>
      </w:r>
      <w:r>
        <w:rPr>
          <w:sz w:val="22"/>
        </w:rPr>
        <w:t>for</w:t>
      </w:r>
      <w:r>
        <w:rPr>
          <w:spacing w:val="-3"/>
          <w:sz w:val="22"/>
        </w:rPr>
        <w:t> </w:t>
      </w:r>
      <w:r>
        <w:rPr>
          <w:sz w:val="22"/>
        </w:rPr>
        <w:t>amounts</w:t>
      </w:r>
      <w:r>
        <w:rPr>
          <w:spacing w:val="-3"/>
          <w:sz w:val="22"/>
        </w:rPr>
        <w:t> </w:t>
      </w:r>
      <w:r>
        <w:rPr>
          <w:sz w:val="22"/>
        </w:rPr>
        <w:t>up</w:t>
      </w:r>
      <w:r>
        <w:rPr>
          <w:spacing w:val="-4"/>
          <w:sz w:val="22"/>
        </w:rPr>
        <w:t> </w:t>
      </w:r>
      <w:r>
        <w:rPr>
          <w:sz w:val="22"/>
        </w:rPr>
        <w:t>to</w:t>
      </w:r>
      <w:r>
        <w:rPr>
          <w:spacing w:val="-4"/>
          <w:sz w:val="22"/>
        </w:rPr>
        <w:t> </w:t>
      </w:r>
      <w:r>
        <w:rPr>
          <w:sz w:val="22"/>
        </w:rPr>
        <w:t>a</w:t>
      </w:r>
      <w:r>
        <w:rPr>
          <w:spacing w:val="-3"/>
          <w:sz w:val="22"/>
        </w:rPr>
        <w:t> </w:t>
      </w:r>
      <w:r>
        <w:rPr>
          <w:sz w:val="22"/>
        </w:rPr>
        <w:t>maximum</w:t>
      </w:r>
      <w:r>
        <w:rPr>
          <w:spacing w:val="-5"/>
          <w:sz w:val="22"/>
        </w:rPr>
        <w:t> </w:t>
      </w:r>
      <w:r>
        <w:rPr>
          <w:sz w:val="22"/>
        </w:rPr>
        <w:t>amount</w:t>
      </w:r>
      <w:r>
        <w:rPr>
          <w:spacing w:val="-1"/>
          <w:sz w:val="22"/>
        </w:rPr>
        <w:t> </w:t>
      </w:r>
      <w:r>
        <w:rPr>
          <w:sz w:val="22"/>
        </w:rPr>
        <w:t>of</w:t>
      </w:r>
      <w:r>
        <w:rPr>
          <w:spacing w:val="-3"/>
          <w:sz w:val="22"/>
        </w:rPr>
        <w:t> </w:t>
      </w:r>
      <w:r>
        <w:rPr>
          <w:sz w:val="22"/>
        </w:rPr>
        <w:t>possible</w:t>
      </w:r>
      <w:r>
        <w:rPr>
          <w:spacing w:val="-3"/>
          <w:sz w:val="22"/>
        </w:rPr>
        <w:t> </w:t>
      </w:r>
      <w:r>
        <w:rPr>
          <w:sz w:val="22"/>
        </w:rPr>
        <w:t>funding</w:t>
      </w:r>
      <w:r>
        <w:rPr>
          <w:spacing w:val="-4"/>
          <w:sz w:val="22"/>
        </w:rPr>
        <w:t> </w:t>
      </w:r>
      <w:r>
        <w:rPr>
          <w:sz w:val="22"/>
        </w:rPr>
        <w:t>(i.e.,</w:t>
      </w:r>
      <w:r>
        <w:rPr>
          <w:spacing w:val="-4"/>
          <w:sz w:val="22"/>
        </w:rPr>
        <w:t> </w:t>
      </w:r>
      <w:r>
        <w:rPr>
          <w:sz w:val="22"/>
        </w:rPr>
        <w:t>the</w:t>
      </w:r>
      <w:r>
        <w:rPr>
          <w:spacing w:val="-2"/>
          <w:sz w:val="22"/>
        </w:rPr>
        <w:t> </w:t>
      </w:r>
      <w:r>
        <w:rPr>
          <w:sz w:val="22"/>
        </w:rPr>
        <w:t>CP’s</w:t>
      </w:r>
      <w:r>
        <w:rPr>
          <w:spacing w:val="-2"/>
          <w:sz w:val="22"/>
        </w:rPr>
        <w:t> </w:t>
      </w:r>
      <w:r>
        <w:rPr>
          <w:sz w:val="22"/>
        </w:rPr>
        <w:t>PMPM</w:t>
      </w:r>
      <w:r>
        <w:rPr>
          <w:spacing w:val="-2"/>
          <w:sz w:val="22"/>
        </w:rPr>
        <w:t> </w:t>
      </w:r>
      <w:r>
        <w:rPr>
          <w:sz w:val="22"/>
        </w:rPr>
        <w:t>multiplied</w:t>
      </w:r>
      <w:r>
        <w:rPr>
          <w:spacing w:val="-2"/>
          <w:sz w:val="22"/>
        </w:rPr>
        <w:t> </w:t>
      </w:r>
      <w:r>
        <w:rPr>
          <w:sz w:val="22"/>
        </w:rPr>
        <w:t>by</w:t>
      </w:r>
      <w:r>
        <w:rPr>
          <w:spacing w:val="-4"/>
          <w:sz w:val="22"/>
        </w:rPr>
        <w:t> </w:t>
      </w:r>
      <w:r>
        <w:rPr>
          <w:sz w:val="22"/>
        </w:rPr>
        <w:t>the number of members engaged). The State may approve a lower amount based on its review of the Budgets and Budget Narratives.</w:t>
      </w:r>
    </w:p>
    <w:p>
      <w:pPr>
        <w:spacing w:line="391" w:lineRule="auto" w:before="162"/>
        <w:ind w:left="1220" w:right="2475" w:firstLine="0"/>
        <w:jc w:val="both"/>
        <w:rPr>
          <w:sz w:val="22"/>
        </w:rPr>
      </w:pPr>
      <w:r>
        <w:rPr>
          <w:sz w:val="22"/>
        </w:rPr>
        <w:t>For example, for a BH CP with 1,000 engaged members with a PMPM of $40.00: Maximum</w:t>
      </w:r>
      <w:r>
        <w:rPr>
          <w:spacing w:val="-8"/>
          <w:sz w:val="22"/>
        </w:rPr>
        <w:t> </w:t>
      </w:r>
      <w:r>
        <w:rPr>
          <w:sz w:val="22"/>
        </w:rPr>
        <w:t>amount</w:t>
      </w:r>
      <w:r>
        <w:rPr>
          <w:spacing w:val="-2"/>
          <w:sz w:val="22"/>
        </w:rPr>
        <w:t> </w:t>
      </w:r>
      <w:r>
        <w:rPr>
          <w:sz w:val="22"/>
        </w:rPr>
        <w:t>of</w:t>
      </w:r>
      <w:r>
        <w:rPr>
          <w:spacing w:val="-3"/>
          <w:sz w:val="22"/>
        </w:rPr>
        <w:t> </w:t>
      </w:r>
      <w:r>
        <w:rPr>
          <w:sz w:val="22"/>
        </w:rPr>
        <w:t>Budget</w:t>
      </w:r>
      <w:r>
        <w:rPr>
          <w:spacing w:val="-2"/>
          <w:sz w:val="22"/>
        </w:rPr>
        <w:t> </w:t>
      </w:r>
      <w:r>
        <w:rPr>
          <w:sz w:val="22"/>
        </w:rPr>
        <w:t>Period</w:t>
      </w:r>
      <w:r>
        <w:rPr>
          <w:spacing w:val="-3"/>
          <w:sz w:val="22"/>
        </w:rPr>
        <w:t> </w:t>
      </w:r>
      <w:r>
        <w:rPr>
          <w:sz w:val="22"/>
        </w:rPr>
        <w:t>1</w:t>
      </w:r>
      <w:r>
        <w:rPr>
          <w:spacing w:val="-4"/>
          <w:sz w:val="22"/>
        </w:rPr>
        <w:t> </w:t>
      </w:r>
      <w:r>
        <w:rPr>
          <w:sz w:val="22"/>
        </w:rPr>
        <w:t>Infrastructure</w:t>
      </w:r>
      <w:r>
        <w:rPr>
          <w:spacing w:val="-3"/>
          <w:sz w:val="22"/>
        </w:rPr>
        <w:t> </w:t>
      </w:r>
      <w:r>
        <w:rPr>
          <w:sz w:val="22"/>
        </w:rPr>
        <w:t>Funds</w:t>
      </w:r>
      <w:r>
        <w:rPr>
          <w:spacing w:val="-4"/>
          <w:sz w:val="22"/>
        </w:rPr>
        <w:t> </w:t>
      </w:r>
      <w:r>
        <w:rPr>
          <w:sz w:val="22"/>
        </w:rPr>
        <w:t>=</w:t>
      </w:r>
      <w:r>
        <w:rPr>
          <w:spacing w:val="-3"/>
          <w:sz w:val="22"/>
        </w:rPr>
        <w:t> </w:t>
      </w:r>
      <w:r>
        <w:rPr>
          <w:sz w:val="22"/>
        </w:rPr>
        <w:t>$40.00*12*1000</w:t>
      </w:r>
      <w:r>
        <w:rPr>
          <w:spacing w:val="-6"/>
          <w:sz w:val="22"/>
        </w:rPr>
        <w:t> </w:t>
      </w:r>
      <w:r>
        <w:rPr>
          <w:sz w:val="22"/>
        </w:rPr>
        <w:t>=</w:t>
      </w:r>
      <w:r>
        <w:rPr>
          <w:spacing w:val="-5"/>
          <w:sz w:val="22"/>
        </w:rPr>
        <w:t> </w:t>
      </w:r>
      <w:r>
        <w:rPr>
          <w:spacing w:val="-2"/>
          <w:sz w:val="22"/>
        </w:rPr>
        <w:t>$480,000</w:t>
      </w:r>
    </w:p>
    <w:p>
      <w:pPr>
        <w:pStyle w:val="ListParagraph"/>
        <w:numPr>
          <w:ilvl w:val="2"/>
          <w:numId w:val="68"/>
        </w:numPr>
        <w:tabs>
          <w:tab w:pos="1939" w:val="left" w:leader="none"/>
        </w:tabs>
        <w:spacing w:line="252" w:lineRule="exact" w:before="39" w:after="0"/>
        <w:ind w:left="1939" w:right="0" w:hanging="719"/>
        <w:jc w:val="both"/>
        <w:rPr>
          <w:b/>
          <w:color w:val="4471C4"/>
          <w:sz w:val="22"/>
        </w:rPr>
      </w:pPr>
      <w:bookmarkStart w:name="4.5.3 BH CP Sub-Stream 3: Outcomes-Based" w:id="1324"/>
      <w:bookmarkEnd w:id="1324"/>
      <w:r>
        <w:rPr/>
      </w:r>
      <w:bookmarkStart w:name="_bookmark56" w:id="1325"/>
      <w:bookmarkEnd w:id="1325"/>
      <w:r>
        <w:rPr/>
      </w:r>
      <w:r>
        <w:rPr>
          <w:b/>
          <w:color w:val="4471C4"/>
          <w:sz w:val="22"/>
        </w:rPr>
        <w:t>BH</w:t>
      </w:r>
      <w:r>
        <w:rPr>
          <w:b/>
          <w:color w:val="4471C4"/>
          <w:spacing w:val="-4"/>
          <w:sz w:val="22"/>
        </w:rPr>
        <w:t> </w:t>
      </w:r>
      <w:r>
        <w:rPr>
          <w:b/>
          <w:color w:val="4471C4"/>
          <w:sz w:val="22"/>
        </w:rPr>
        <w:t>CP</w:t>
      </w:r>
      <w:r>
        <w:rPr>
          <w:b/>
          <w:color w:val="4471C4"/>
          <w:spacing w:val="-6"/>
          <w:sz w:val="22"/>
        </w:rPr>
        <w:t> </w:t>
      </w:r>
      <w:r>
        <w:rPr>
          <w:b/>
          <w:color w:val="4471C4"/>
          <w:sz w:val="22"/>
        </w:rPr>
        <w:t>Sub-Stream</w:t>
      </w:r>
      <w:r>
        <w:rPr>
          <w:b/>
          <w:color w:val="4471C4"/>
          <w:spacing w:val="-3"/>
          <w:sz w:val="22"/>
        </w:rPr>
        <w:t> </w:t>
      </w:r>
      <w:r>
        <w:rPr>
          <w:b/>
          <w:color w:val="4471C4"/>
          <w:sz w:val="22"/>
        </w:rPr>
        <w:t>3:</w:t>
      </w:r>
      <w:r>
        <w:rPr>
          <w:b/>
          <w:color w:val="4471C4"/>
          <w:spacing w:val="-4"/>
          <w:sz w:val="22"/>
        </w:rPr>
        <w:t> </w:t>
      </w:r>
      <w:r>
        <w:rPr>
          <w:b/>
          <w:color w:val="4471C4"/>
          <w:sz w:val="22"/>
        </w:rPr>
        <w:t>Outcomes-Based</w:t>
      </w:r>
      <w:r>
        <w:rPr>
          <w:b/>
          <w:color w:val="4471C4"/>
          <w:spacing w:val="-7"/>
          <w:sz w:val="22"/>
        </w:rPr>
        <w:t> </w:t>
      </w:r>
      <w:r>
        <w:rPr>
          <w:b/>
          <w:color w:val="4471C4"/>
          <w:spacing w:val="-2"/>
          <w:sz w:val="22"/>
        </w:rPr>
        <w:t>Payments</w:t>
      </w:r>
    </w:p>
    <w:p>
      <w:pPr>
        <w:spacing w:before="0"/>
        <w:ind w:left="1220" w:right="1093" w:firstLine="0"/>
        <w:jc w:val="both"/>
        <w:rPr>
          <w:sz w:val="22"/>
        </w:rPr>
      </w:pPr>
      <w:r>
        <w:rPr>
          <w:sz w:val="22"/>
        </w:rPr>
        <w:t>Starting</w:t>
      </w:r>
      <w:r>
        <w:rPr>
          <w:spacing w:val="-9"/>
          <w:sz w:val="22"/>
        </w:rPr>
        <w:t> </w:t>
      </w:r>
      <w:r>
        <w:rPr>
          <w:sz w:val="22"/>
        </w:rPr>
        <w:t>in</w:t>
      </w:r>
      <w:r>
        <w:rPr>
          <w:spacing w:val="-6"/>
          <w:sz w:val="22"/>
        </w:rPr>
        <w:t> </w:t>
      </w:r>
      <w:r>
        <w:rPr>
          <w:sz w:val="22"/>
        </w:rPr>
        <w:t>Budget</w:t>
      </w:r>
      <w:r>
        <w:rPr>
          <w:spacing w:val="-5"/>
          <w:sz w:val="22"/>
        </w:rPr>
        <w:t> </w:t>
      </w:r>
      <w:r>
        <w:rPr>
          <w:sz w:val="22"/>
        </w:rPr>
        <w:t>Period</w:t>
      </w:r>
      <w:r>
        <w:rPr>
          <w:spacing w:val="-6"/>
          <w:sz w:val="22"/>
        </w:rPr>
        <w:t> </w:t>
      </w:r>
      <w:r>
        <w:rPr>
          <w:sz w:val="22"/>
        </w:rPr>
        <w:t>3,</w:t>
      </w:r>
      <w:r>
        <w:rPr>
          <w:spacing w:val="-9"/>
          <w:sz w:val="22"/>
        </w:rPr>
        <w:t> </w:t>
      </w:r>
      <w:r>
        <w:rPr>
          <w:sz w:val="22"/>
        </w:rPr>
        <w:t>the</w:t>
      </w:r>
      <w:r>
        <w:rPr>
          <w:spacing w:val="-6"/>
          <w:sz w:val="22"/>
        </w:rPr>
        <w:t> </w:t>
      </w:r>
      <w:r>
        <w:rPr>
          <w:sz w:val="22"/>
        </w:rPr>
        <w:t>State</w:t>
      </w:r>
      <w:r>
        <w:rPr>
          <w:spacing w:val="-6"/>
          <w:sz w:val="22"/>
        </w:rPr>
        <w:t> </w:t>
      </w:r>
      <w:r>
        <w:rPr>
          <w:sz w:val="22"/>
        </w:rPr>
        <w:t>will</w:t>
      </w:r>
      <w:r>
        <w:rPr>
          <w:spacing w:val="-5"/>
          <w:sz w:val="22"/>
        </w:rPr>
        <w:t> </w:t>
      </w:r>
      <w:r>
        <w:rPr>
          <w:sz w:val="22"/>
        </w:rPr>
        <w:t>designate</w:t>
      </w:r>
      <w:r>
        <w:rPr>
          <w:spacing w:val="-6"/>
          <w:sz w:val="22"/>
        </w:rPr>
        <w:t> </w:t>
      </w:r>
      <w:r>
        <w:rPr>
          <w:sz w:val="22"/>
        </w:rPr>
        <w:t>an</w:t>
      </w:r>
      <w:r>
        <w:rPr>
          <w:spacing w:val="-6"/>
          <w:sz w:val="22"/>
        </w:rPr>
        <w:t> </w:t>
      </w:r>
      <w:r>
        <w:rPr>
          <w:sz w:val="22"/>
        </w:rPr>
        <w:t>annual</w:t>
      </w:r>
      <w:r>
        <w:rPr>
          <w:spacing w:val="-5"/>
          <w:sz w:val="22"/>
        </w:rPr>
        <w:t> </w:t>
      </w:r>
      <w:r>
        <w:rPr>
          <w:sz w:val="22"/>
        </w:rPr>
        <w:t>pool</w:t>
      </w:r>
      <w:r>
        <w:rPr>
          <w:spacing w:val="-5"/>
          <w:sz w:val="22"/>
        </w:rPr>
        <w:t> </w:t>
      </w:r>
      <w:r>
        <w:rPr>
          <w:sz w:val="22"/>
        </w:rPr>
        <w:t>of</w:t>
      </w:r>
      <w:r>
        <w:rPr>
          <w:spacing w:val="-5"/>
          <w:sz w:val="22"/>
        </w:rPr>
        <w:t> </w:t>
      </w:r>
      <w:r>
        <w:rPr>
          <w:sz w:val="22"/>
        </w:rPr>
        <w:t>funding</w:t>
      </w:r>
      <w:r>
        <w:rPr>
          <w:spacing w:val="-9"/>
          <w:sz w:val="22"/>
        </w:rPr>
        <w:t> </w:t>
      </w:r>
      <w:r>
        <w:rPr>
          <w:sz w:val="22"/>
        </w:rPr>
        <w:t>to</w:t>
      </w:r>
      <w:r>
        <w:rPr>
          <w:spacing w:val="-6"/>
          <w:sz w:val="22"/>
        </w:rPr>
        <w:t> </w:t>
      </w:r>
      <w:r>
        <w:rPr>
          <w:sz w:val="22"/>
        </w:rPr>
        <w:t>award</w:t>
      </w:r>
      <w:r>
        <w:rPr>
          <w:spacing w:val="-6"/>
          <w:sz w:val="22"/>
        </w:rPr>
        <w:t> </w:t>
      </w:r>
      <w:r>
        <w:rPr>
          <w:sz w:val="22"/>
        </w:rPr>
        <w:t>to</w:t>
      </w:r>
      <w:r>
        <w:rPr>
          <w:spacing w:val="-6"/>
          <w:sz w:val="22"/>
        </w:rPr>
        <w:t> </w:t>
      </w:r>
      <w:r>
        <w:rPr>
          <w:sz w:val="22"/>
        </w:rPr>
        <w:t>high</w:t>
      </w:r>
      <w:r>
        <w:rPr>
          <w:spacing w:val="-6"/>
          <w:sz w:val="22"/>
        </w:rPr>
        <w:t> </w:t>
      </w:r>
      <w:r>
        <w:rPr>
          <w:sz w:val="22"/>
        </w:rPr>
        <w:t>performing BH</w:t>
      </w:r>
      <w:r>
        <w:rPr>
          <w:spacing w:val="-8"/>
          <w:sz w:val="22"/>
        </w:rPr>
        <w:t> </w:t>
      </w:r>
      <w:r>
        <w:rPr>
          <w:sz w:val="22"/>
        </w:rPr>
        <w:t>CPs</w:t>
      </w:r>
      <w:r>
        <w:rPr>
          <w:spacing w:val="-7"/>
          <w:sz w:val="22"/>
        </w:rPr>
        <w:t> </w:t>
      </w:r>
      <w:r>
        <w:rPr>
          <w:sz w:val="22"/>
        </w:rPr>
        <w:t>based</w:t>
      </w:r>
      <w:r>
        <w:rPr>
          <w:spacing w:val="-10"/>
          <w:sz w:val="22"/>
        </w:rPr>
        <w:t> </w:t>
      </w:r>
      <w:r>
        <w:rPr>
          <w:sz w:val="22"/>
        </w:rPr>
        <w:t>on</w:t>
      </w:r>
      <w:r>
        <w:rPr>
          <w:spacing w:val="-7"/>
          <w:sz w:val="22"/>
        </w:rPr>
        <w:t> </w:t>
      </w:r>
      <w:r>
        <w:rPr>
          <w:sz w:val="22"/>
        </w:rPr>
        <w:t>metrics</w:t>
      </w:r>
      <w:r>
        <w:rPr>
          <w:spacing w:val="-9"/>
          <w:sz w:val="22"/>
        </w:rPr>
        <w:t> </w:t>
      </w:r>
      <w:r>
        <w:rPr>
          <w:sz w:val="22"/>
        </w:rPr>
        <w:t>related</w:t>
      </w:r>
      <w:r>
        <w:rPr>
          <w:spacing w:val="-9"/>
          <w:sz w:val="22"/>
        </w:rPr>
        <w:t> </w:t>
      </w:r>
      <w:r>
        <w:rPr>
          <w:sz w:val="22"/>
        </w:rPr>
        <w:t>to</w:t>
      </w:r>
      <w:r>
        <w:rPr>
          <w:spacing w:val="-7"/>
          <w:sz w:val="22"/>
        </w:rPr>
        <w:t> </w:t>
      </w:r>
      <w:r>
        <w:rPr>
          <w:sz w:val="22"/>
        </w:rPr>
        <w:t>avoidable</w:t>
      </w:r>
      <w:r>
        <w:rPr>
          <w:spacing w:val="-9"/>
          <w:sz w:val="22"/>
        </w:rPr>
        <w:t> </w:t>
      </w:r>
      <w:r>
        <w:rPr>
          <w:sz w:val="22"/>
        </w:rPr>
        <w:t>utilization</w:t>
      </w:r>
      <w:r>
        <w:rPr>
          <w:spacing w:val="-7"/>
          <w:sz w:val="22"/>
        </w:rPr>
        <w:t> </w:t>
      </w:r>
      <w:r>
        <w:rPr>
          <w:sz w:val="22"/>
        </w:rPr>
        <w:t>(see</w:t>
      </w:r>
      <w:r>
        <w:rPr>
          <w:spacing w:val="-7"/>
          <w:sz w:val="22"/>
        </w:rPr>
        <w:t> </w:t>
      </w:r>
      <w:r>
        <w:rPr>
          <w:sz w:val="22"/>
        </w:rPr>
        <w:t>Section</w:t>
      </w:r>
      <w:r>
        <w:rPr>
          <w:spacing w:val="-7"/>
          <w:sz w:val="22"/>
        </w:rPr>
        <w:t> </w:t>
      </w:r>
      <w:r>
        <w:rPr>
          <w:sz w:val="22"/>
        </w:rPr>
        <w:t>5.4.5).</w:t>
      </w:r>
      <w:r>
        <w:rPr>
          <w:spacing w:val="-9"/>
          <w:sz w:val="22"/>
        </w:rPr>
        <w:t> </w:t>
      </w:r>
      <w:r>
        <w:rPr>
          <w:sz w:val="22"/>
        </w:rPr>
        <w:t>The</w:t>
      </w:r>
      <w:r>
        <w:rPr>
          <w:spacing w:val="-7"/>
          <w:sz w:val="22"/>
        </w:rPr>
        <w:t> </w:t>
      </w:r>
      <w:r>
        <w:rPr>
          <w:sz w:val="22"/>
        </w:rPr>
        <w:t>State</w:t>
      </w:r>
      <w:r>
        <w:rPr>
          <w:spacing w:val="-7"/>
          <w:sz w:val="22"/>
        </w:rPr>
        <w:t> </w:t>
      </w:r>
      <w:r>
        <w:rPr>
          <w:sz w:val="22"/>
        </w:rPr>
        <w:t>anticipates</w:t>
      </w:r>
      <w:r>
        <w:rPr>
          <w:spacing w:val="-9"/>
          <w:sz w:val="22"/>
        </w:rPr>
        <w:t> </w:t>
      </w:r>
      <w:r>
        <w:rPr>
          <w:sz w:val="22"/>
        </w:rPr>
        <w:t>this</w:t>
      </w:r>
      <w:r>
        <w:rPr>
          <w:spacing w:val="-7"/>
          <w:sz w:val="22"/>
        </w:rPr>
        <w:t> </w:t>
      </w:r>
      <w:r>
        <w:rPr>
          <w:sz w:val="22"/>
        </w:rPr>
        <w:t>pool to be approximately $1M annually, but may vary this amount in its discretion. The State will set the achievement</w:t>
      </w:r>
      <w:r>
        <w:rPr>
          <w:spacing w:val="-9"/>
          <w:sz w:val="22"/>
        </w:rPr>
        <w:t> </w:t>
      </w:r>
      <w:r>
        <w:rPr>
          <w:sz w:val="22"/>
        </w:rPr>
        <w:t>standards</w:t>
      </w:r>
      <w:r>
        <w:rPr>
          <w:spacing w:val="-9"/>
          <w:sz w:val="22"/>
        </w:rPr>
        <w:t> </w:t>
      </w:r>
      <w:r>
        <w:rPr>
          <w:sz w:val="22"/>
        </w:rPr>
        <w:t>following</w:t>
      </w:r>
      <w:r>
        <w:rPr>
          <w:spacing w:val="-12"/>
          <w:sz w:val="22"/>
        </w:rPr>
        <w:t> </w:t>
      </w:r>
      <w:r>
        <w:rPr>
          <w:sz w:val="22"/>
        </w:rPr>
        <w:t>analysis</w:t>
      </w:r>
      <w:r>
        <w:rPr>
          <w:spacing w:val="-9"/>
          <w:sz w:val="22"/>
        </w:rPr>
        <w:t> </w:t>
      </w:r>
      <w:r>
        <w:rPr>
          <w:sz w:val="22"/>
        </w:rPr>
        <w:t>of</w:t>
      </w:r>
      <w:r>
        <w:rPr>
          <w:spacing w:val="-9"/>
          <w:sz w:val="22"/>
        </w:rPr>
        <w:t> </w:t>
      </w:r>
      <w:r>
        <w:rPr>
          <w:sz w:val="22"/>
        </w:rPr>
        <w:t>baseline</w:t>
      </w:r>
      <w:r>
        <w:rPr>
          <w:spacing w:val="-11"/>
          <w:sz w:val="22"/>
        </w:rPr>
        <w:t> </w:t>
      </w:r>
      <w:r>
        <w:rPr>
          <w:sz w:val="22"/>
        </w:rPr>
        <w:t>data</w:t>
      </w:r>
      <w:r>
        <w:rPr>
          <w:spacing w:val="-9"/>
          <w:sz w:val="22"/>
        </w:rPr>
        <w:t> </w:t>
      </w:r>
      <w:r>
        <w:rPr>
          <w:sz w:val="22"/>
        </w:rPr>
        <w:t>from</w:t>
      </w:r>
      <w:r>
        <w:rPr>
          <w:spacing w:val="-13"/>
          <w:sz w:val="22"/>
        </w:rPr>
        <w:t> </w:t>
      </w:r>
      <w:r>
        <w:rPr>
          <w:sz w:val="22"/>
        </w:rPr>
        <w:t>Performance</w:t>
      </w:r>
      <w:r>
        <w:rPr>
          <w:spacing w:val="-9"/>
          <w:sz w:val="22"/>
        </w:rPr>
        <w:t> </w:t>
      </w:r>
      <w:r>
        <w:rPr>
          <w:sz w:val="22"/>
        </w:rPr>
        <w:t>Year</w:t>
      </w:r>
      <w:r>
        <w:rPr>
          <w:spacing w:val="-9"/>
          <w:sz w:val="22"/>
        </w:rPr>
        <w:t> </w:t>
      </w:r>
      <w:r>
        <w:rPr>
          <w:sz w:val="22"/>
        </w:rPr>
        <w:t>1</w:t>
      </w:r>
      <w:r>
        <w:rPr>
          <w:spacing w:val="-12"/>
          <w:sz w:val="22"/>
        </w:rPr>
        <w:t> </w:t>
      </w:r>
      <w:r>
        <w:rPr>
          <w:sz w:val="22"/>
        </w:rPr>
        <w:t>and</w:t>
      </w:r>
      <w:r>
        <w:rPr>
          <w:spacing w:val="-10"/>
          <w:sz w:val="22"/>
        </w:rPr>
        <w:t> </w:t>
      </w:r>
      <w:r>
        <w:rPr>
          <w:sz w:val="22"/>
        </w:rPr>
        <w:t>Performance</w:t>
      </w:r>
      <w:r>
        <w:rPr>
          <w:spacing w:val="-9"/>
          <w:sz w:val="22"/>
        </w:rPr>
        <w:t> </w:t>
      </w:r>
      <w:r>
        <w:rPr>
          <w:sz w:val="22"/>
        </w:rPr>
        <w:t>Year 2, subject to CMS approval. The total bonus the State allots yearly will be divided amongst the CPs that meet</w:t>
      </w:r>
      <w:r>
        <w:rPr>
          <w:spacing w:val="-9"/>
          <w:sz w:val="22"/>
        </w:rPr>
        <w:t> </w:t>
      </w:r>
      <w:r>
        <w:rPr>
          <w:sz w:val="22"/>
        </w:rPr>
        <w:t>or</w:t>
      </w:r>
      <w:r>
        <w:rPr>
          <w:spacing w:val="-11"/>
          <w:sz w:val="22"/>
        </w:rPr>
        <w:t> </w:t>
      </w:r>
      <w:r>
        <w:rPr>
          <w:sz w:val="22"/>
        </w:rPr>
        <w:t>exceed</w:t>
      </w:r>
      <w:r>
        <w:rPr>
          <w:spacing w:val="-12"/>
          <w:sz w:val="22"/>
        </w:rPr>
        <w:t> </w:t>
      </w:r>
      <w:r>
        <w:rPr>
          <w:sz w:val="22"/>
        </w:rPr>
        <w:t>the</w:t>
      </w:r>
      <w:r>
        <w:rPr>
          <w:spacing w:val="-9"/>
          <w:sz w:val="22"/>
        </w:rPr>
        <w:t> </w:t>
      </w:r>
      <w:r>
        <w:rPr>
          <w:sz w:val="22"/>
        </w:rPr>
        <w:t>achievement</w:t>
      </w:r>
      <w:r>
        <w:rPr>
          <w:spacing w:val="-9"/>
          <w:sz w:val="22"/>
        </w:rPr>
        <w:t> </w:t>
      </w:r>
      <w:r>
        <w:rPr>
          <w:sz w:val="22"/>
        </w:rPr>
        <w:t>standards</w:t>
      </w:r>
      <w:r>
        <w:rPr>
          <w:spacing w:val="-11"/>
          <w:sz w:val="22"/>
        </w:rPr>
        <w:t> </w:t>
      </w:r>
      <w:r>
        <w:rPr>
          <w:sz w:val="22"/>
        </w:rPr>
        <w:t>based</w:t>
      </w:r>
      <w:r>
        <w:rPr>
          <w:spacing w:val="-10"/>
          <w:sz w:val="22"/>
        </w:rPr>
        <w:t> </w:t>
      </w:r>
      <w:r>
        <w:rPr>
          <w:sz w:val="22"/>
        </w:rPr>
        <w:t>on</w:t>
      </w:r>
      <w:r>
        <w:rPr>
          <w:spacing w:val="-12"/>
          <w:sz w:val="22"/>
        </w:rPr>
        <w:t> </w:t>
      </w:r>
      <w:r>
        <w:rPr>
          <w:sz w:val="22"/>
        </w:rPr>
        <w:t>the</w:t>
      </w:r>
      <w:r>
        <w:rPr>
          <w:spacing w:val="-12"/>
          <w:sz w:val="22"/>
        </w:rPr>
        <w:t> </w:t>
      </w:r>
      <w:r>
        <w:rPr>
          <w:sz w:val="22"/>
        </w:rPr>
        <w:t>number</w:t>
      </w:r>
      <w:r>
        <w:rPr>
          <w:spacing w:val="-9"/>
          <w:sz w:val="22"/>
        </w:rPr>
        <w:t> </w:t>
      </w:r>
      <w:r>
        <w:rPr>
          <w:sz w:val="22"/>
        </w:rPr>
        <w:t>of</w:t>
      </w:r>
      <w:r>
        <w:rPr>
          <w:spacing w:val="-9"/>
          <w:sz w:val="22"/>
        </w:rPr>
        <w:t> </w:t>
      </w:r>
      <w:r>
        <w:rPr>
          <w:sz w:val="22"/>
        </w:rPr>
        <w:t>CPs</w:t>
      </w:r>
      <w:r>
        <w:rPr>
          <w:spacing w:val="-12"/>
          <w:sz w:val="22"/>
        </w:rPr>
        <w:t> </w:t>
      </w:r>
      <w:r>
        <w:rPr>
          <w:sz w:val="22"/>
        </w:rPr>
        <w:t>that</w:t>
      </w:r>
      <w:r>
        <w:rPr>
          <w:spacing w:val="-11"/>
          <w:sz w:val="22"/>
        </w:rPr>
        <w:t> </w:t>
      </w:r>
      <w:r>
        <w:rPr>
          <w:sz w:val="22"/>
        </w:rPr>
        <w:t>meet</w:t>
      </w:r>
      <w:r>
        <w:rPr>
          <w:spacing w:val="-9"/>
          <w:sz w:val="22"/>
        </w:rPr>
        <w:t> </w:t>
      </w:r>
      <w:r>
        <w:rPr>
          <w:sz w:val="22"/>
        </w:rPr>
        <w:t>or</w:t>
      </w:r>
      <w:r>
        <w:rPr>
          <w:spacing w:val="-11"/>
          <w:sz w:val="22"/>
        </w:rPr>
        <w:t> </w:t>
      </w:r>
      <w:r>
        <w:rPr>
          <w:sz w:val="22"/>
        </w:rPr>
        <w:t>exceed</w:t>
      </w:r>
      <w:r>
        <w:rPr>
          <w:spacing w:val="-12"/>
          <w:sz w:val="22"/>
        </w:rPr>
        <w:t> </w:t>
      </w:r>
      <w:r>
        <w:rPr>
          <w:sz w:val="22"/>
        </w:rPr>
        <w:t>the</w:t>
      </w:r>
      <w:r>
        <w:rPr>
          <w:spacing w:val="-9"/>
          <w:sz w:val="22"/>
        </w:rPr>
        <w:t> </w:t>
      </w:r>
      <w:r>
        <w:rPr>
          <w:sz w:val="22"/>
        </w:rPr>
        <w:t>achievement standards.</w:t>
      </w:r>
      <w:r>
        <w:rPr>
          <w:spacing w:val="40"/>
          <w:sz w:val="22"/>
        </w:rPr>
        <w:t> </w:t>
      </w:r>
      <w:r>
        <w:rPr>
          <w:sz w:val="22"/>
        </w:rPr>
        <w:t>See</w:t>
      </w:r>
      <w:r>
        <w:rPr>
          <w:spacing w:val="-4"/>
          <w:sz w:val="22"/>
        </w:rPr>
        <w:t> </w:t>
      </w:r>
      <w:r>
        <w:rPr>
          <w:sz w:val="22"/>
        </w:rPr>
        <w:t>Section</w:t>
      </w:r>
      <w:r>
        <w:rPr>
          <w:spacing w:val="-5"/>
          <w:sz w:val="22"/>
        </w:rPr>
        <w:t> </w:t>
      </w:r>
      <w:r>
        <w:rPr>
          <w:sz w:val="22"/>
        </w:rPr>
        <w:t>5.4.5</w:t>
      </w:r>
      <w:r>
        <w:rPr>
          <w:spacing w:val="-5"/>
          <w:sz w:val="22"/>
        </w:rPr>
        <w:t> </w:t>
      </w:r>
      <w:r>
        <w:rPr>
          <w:sz w:val="22"/>
        </w:rPr>
        <w:t>for</w:t>
      </w:r>
      <w:r>
        <w:rPr>
          <w:spacing w:val="-4"/>
          <w:sz w:val="22"/>
        </w:rPr>
        <w:t> </w:t>
      </w:r>
      <w:r>
        <w:rPr>
          <w:sz w:val="22"/>
        </w:rPr>
        <w:t>more</w:t>
      </w:r>
      <w:r>
        <w:rPr>
          <w:spacing w:val="-4"/>
          <w:sz w:val="22"/>
        </w:rPr>
        <w:t> </w:t>
      </w:r>
      <w:r>
        <w:rPr>
          <w:sz w:val="22"/>
        </w:rPr>
        <w:t>details</w:t>
      </w:r>
      <w:r>
        <w:rPr>
          <w:spacing w:val="-7"/>
          <w:sz w:val="22"/>
        </w:rPr>
        <w:t> </w:t>
      </w:r>
      <w:r>
        <w:rPr>
          <w:sz w:val="22"/>
        </w:rPr>
        <w:t>about</w:t>
      </w:r>
      <w:r>
        <w:rPr>
          <w:spacing w:val="-4"/>
          <w:sz w:val="22"/>
        </w:rPr>
        <w:t> </w:t>
      </w:r>
      <w:r>
        <w:rPr>
          <w:sz w:val="22"/>
        </w:rPr>
        <w:t>how</w:t>
      </w:r>
      <w:r>
        <w:rPr>
          <w:spacing w:val="-6"/>
          <w:sz w:val="22"/>
        </w:rPr>
        <w:t> </w:t>
      </w:r>
      <w:r>
        <w:rPr>
          <w:sz w:val="22"/>
        </w:rPr>
        <w:t>the</w:t>
      </w:r>
      <w:r>
        <w:rPr>
          <w:spacing w:val="-4"/>
          <w:sz w:val="22"/>
        </w:rPr>
        <w:t> </w:t>
      </w:r>
      <w:r>
        <w:rPr>
          <w:sz w:val="22"/>
        </w:rPr>
        <w:t>funding</w:t>
      </w:r>
      <w:r>
        <w:rPr>
          <w:spacing w:val="-7"/>
          <w:sz w:val="22"/>
        </w:rPr>
        <w:t> </w:t>
      </w:r>
      <w:r>
        <w:rPr>
          <w:sz w:val="22"/>
        </w:rPr>
        <w:t>will</w:t>
      </w:r>
      <w:r>
        <w:rPr>
          <w:spacing w:val="-4"/>
          <w:sz w:val="22"/>
        </w:rPr>
        <w:t> </w:t>
      </w:r>
      <w:r>
        <w:rPr>
          <w:sz w:val="22"/>
        </w:rPr>
        <w:t>be</w:t>
      </w:r>
      <w:r>
        <w:rPr>
          <w:spacing w:val="-4"/>
          <w:sz w:val="22"/>
        </w:rPr>
        <w:t> </w:t>
      </w:r>
      <w:r>
        <w:rPr>
          <w:sz w:val="22"/>
        </w:rPr>
        <w:t>distributed</w:t>
      </w:r>
      <w:r>
        <w:rPr>
          <w:spacing w:val="-7"/>
          <w:sz w:val="22"/>
        </w:rPr>
        <w:t> </w:t>
      </w:r>
      <w:r>
        <w:rPr>
          <w:sz w:val="22"/>
        </w:rPr>
        <w:t>to</w:t>
      </w:r>
      <w:r>
        <w:rPr>
          <w:spacing w:val="-5"/>
          <w:sz w:val="22"/>
        </w:rPr>
        <w:t> </w:t>
      </w:r>
      <w:r>
        <w:rPr>
          <w:sz w:val="22"/>
        </w:rPr>
        <w:t>the</w:t>
      </w:r>
      <w:r>
        <w:rPr>
          <w:spacing w:val="-4"/>
          <w:sz w:val="22"/>
        </w:rPr>
        <w:t> </w:t>
      </w:r>
      <w:r>
        <w:rPr>
          <w:sz w:val="22"/>
        </w:rPr>
        <w:t>eligible</w:t>
      </w:r>
      <w:r>
        <w:rPr>
          <w:spacing w:val="-4"/>
          <w:sz w:val="22"/>
        </w:rPr>
        <w:t> </w:t>
      </w:r>
      <w:r>
        <w:rPr>
          <w:sz w:val="22"/>
        </w:rPr>
        <w:t>CPs. The State will not require CPs to submit budgets for Outcomes Based Payments.</w:t>
      </w:r>
    </w:p>
    <w:p>
      <w:pPr>
        <w:pStyle w:val="ListParagraph"/>
        <w:numPr>
          <w:ilvl w:val="2"/>
          <w:numId w:val="68"/>
        </w:numPr>
        <w:tabs>
          <w:tab w:pos="1939" w:val="left" w:leader="none"/>
        </w:tabs>
        <w:spacing w:line="252" w:lineRule="exact" w:before="200" w:after="0"/>
        <w:ind w:left="1939" w:right="0" w:hanging="719"/>
        <w:jc w:val="both"/>
        <w:rPr>
          <w:b/>
          <w:color w:val="4471C4"/>
          <w:sz w:val="22"/>
        </w:rPr>
      </w:pPr>
      <w:bookmarkStart w:name="4.5.4 LTSS CP Sub-Stream 1: Care Coordin" w:id="1326"/>
      <w:bookmarkEnd w:id="1326"/>
      <w:r>
        <w:rPr/>
      </w:r>
      <w:bookmarkStart w:name="_bookmark57" w:id="1327"/>
      <w:bookmarkEnd w:id="1327"/>
      <w:r>
        <w:rPr/>
      </w:r>
      <w:r>
        <w:rPr>
          <w:b/>
          <w:color w:val="4471C4"/>
          <w:sz w:val="22"/>
        </w:rPr>
        <w:t>LTSS</w:t>
      </w:r>
      <w:r>
        <w:rPr>
          <w:b/>
          <w:color w:val="4471C4"/>
          <w:spacing w:val="-6"/>
          <w:sz w:val="22"/>
        </w:rPr>
        <w:t> </w:t>
      </w:r>
      <w:r>
        <w:rPr>
          <w:b/>
          <w:color w:val="4471C4"/>
          <w:sz w:val="22"/>
        </w:rPr>
        <w:t>CP</w:t>
      </w:r>
      <w:r>
        <w:rPr>
          <w:b/>
          <w:color w:val="4471C4"/>
          <w:spacing w:val="-2"/>
          <w:sz w:val="22"/>
        </w:rPr>
        <w:t> </w:t>
      </w:r>
      <w:r>
        <w:rPr>
          <w:b/>
          <w:color w:val="4471C4"/>
          <w:sz w:val="22"/>
        </w:rPr>
        <w:t>Sub-Stream</w:t>
      </w:r>
      <w:r>
        <w:rPr>
          <w:b/>
          <w:color w:val="4471C4"/>
          <w:spacing w:val="-4"/>
          <w:sz w:val="22"/>
        </w:rPr>
        <w:t> </w:t>
      </w:r>
      <w:r>
        <w:rPr>
          <w:b/>
          <w:color w:val="4471C4"/>
          <w:sz w:val="22"/>
        </w:rPr>
        <w:t>1:</w:t>
      </w:r>
      <w:r>
        <w:rPr>
          <w:b/>
          <w:color w:val="4471C4"/>
          <w:spacing w:val="-6"/>
          <w:sz w:val="22"/>
        </w:rPr>
        <w:t> </w:t>
      </w:r>
      <w:r>
        <w:rPr>
          <w:b/>
          <w:color w:val="4471C4"/>
          <w:sz w:val="22"/>
        </w:rPr>
        <w:t>Care</w:t>
      </w:r>
      <w:r>
        <w:rPr>
          <w:b/>
          <w:color w:val="4471C4"/>
          <w:spacing w:val="-5"/>
          <w:sz w:val="22"/>
        </w:rPr>
        <w:t> </w:t>
      </w:r>
      <w:r>
        <w:rPr>
          <w:b/>
          <w:color w:val="4471C4"/>
          <w:sz w:val="22"/>
        </w:rPr>
        <w:t>Coordination</w:t>
      </w:r>
      <w:r>
        <w:rPr>
          <w:b/>
          <w:color w:val="4471C4"/>
          <w:spacing w:val="-5"/>
          <w:sz w:val="22"/>
        </w:rPr>
        <w:t> </w:t>
      </w:r>
      <w:r>
        <w:rPr>
          <w:b/>
          <w:color w:val="4471C4"/>
          <w:sz w:val="22"/>
        </w:rPr>
        <w:t>Supports</w:t>
      </w:r>
      <w:r>
        <w:rPr>
          <w:b/>
          <w:color w:val="4471C4"/>
          <w:spacing w:val="-6"/>
          <w:sz w:val="22"/>
        </w:rPr>
        <w:t> </w:t>
      </w:r>
      <w:r>
        <w:rPr>
          <w:b/>
          <w:color w:val="4471C4"/>
          <w:spacing w:val="-2"/>
          <w:sz w:val="22"/>
        </w:rPr>
        <w:t>Funding</w:t>
      </w:r>
    </w:p>
    <w:p>
      <w:pPr>
        <w:spacing w:before="0"/>
        <w:ind w:left="1220" w:right="1093" w:firstLine="0"/>
        <w:jc w:val="both"/>
        <w:rPr>
          <w:sz w:val="22"/>
        </w:rPr>
      </w:pPr>
      <w:r>
        <w:rPr>
          <w:sz w:val="22"/>
        </w:rPr>
        <w:t>The State will pay each LTSS CP a PMPM rate for care coordination supports for each member assigned to</w:t>
      </w:r>
      <w:r>
        <w:rPr>
          <w:spacing w:val="-6"/>
          <w:sz w:val="22"/>
        </w:rPr>
        <w:t> </w:t>
      </w:r>
      <w:r>
        <w:rPr>
          <w:sz w:val="22"/>
        </w:rPr>
        <w:t>and</w:t>
      </w:r>
      <w:r>
        <w:rPr>
          <w:spacing w:val="-6"/>
          <w:sz w:val="22"/>
        </w:rPr>
        <w:t> </w:t>
      </w:r>
      <w:r>
        <w:rPr>
          <w:sz w:val="22"/>
        </w:rPr>
        <w:t>engaged</w:t>
      </w:r>
      <w:r>
        <w:rPr>
          <w:spacing w:val="-6"/>
          <w:sz w:val="22"/>
        </w:rPr>
        <w:t> </w:t>
      </w:r>
      <w:r>
        <w:rPr>
          <w:sz w:val="22"/>
        </w:rPr>
        <w:t>with</w:t>
      </w:r>
      <w:r>
        <w:rPr>
          <w:spacing w:val="-6"/>
          <w:sz w:val="22"/>
        </w:rPr>
        <w:t> </w:t>
      </w:r>
      <w:r>
        <w:rPr>
          <w:sz w:val="22"/>
        </w:rPr>
        <w:t>the</w:t>
      </w:r>
      <w:r>
        <w:rPr>
          <w:spacing w:val="-6"/>
          <w:sz w:val="22"/>
        </w:rPr>
        <w:t> </w:t>
      </w:r>
      <w:r>
        <w:rPr>
          <w:sz w:val="22"/>
        </w:rPr>
        <w:t>LTSS</w:t>
      </w:r>
      <w:r>
        <w:rPr>
          <w:spacing w:val="-7"/>
          <w:sz w:val="22"/>
        </w:rPr>
        <w:t> </w:t>
      </w:r>
      <w:r>
        <w:rPr>
          <w:sz w:val="22"/>
        </w:rPr>
        <w:t>CP</w:t>
      </w:r>
      <w:r>
        <w:rPr>
          <w:spacing w:val="-7"/>
          <w:sz w:val="22"/>
        </w:rPr>
        <w:t> </w:t>
      </w:r>
      <w:r>
        <w:rPr>
          <w:sz w:val="22"/>
        </w:rPr>
        <w:t>during</w:t>
      </w:r>
      <w:r>
        <w:rPr>
          <w:spacing w:val="-9"/>
          <w:sz w:val="22"/>
        </w:rPr>
        <w:t> </w:t>
      </w:r>
      <w:r>
        <w:rPr>
          <w:sz w:val="22"/>
        </w:rPr>
        <w:t>the</w:t>
      </w:r>
      <w:r>
        <w:rPr>
          <w:spacing w:val="-6"/>
          <w:sz w:val="22"/>
        </w:rPr>
        <w:t> </w:t>
      </w:r>
      <w:r>
        <w:rPr>
          <w:sz w:val="22"/>
        </w:rPr>
        <w:t>month.</w:t>
      </w:r>
      <w:r>
        <w:rPr>
          <w:spacing w:val="-6"/>
          <w:sz w:val="22"/>
        </w:rPr>
        <w:t> </w:t>
      </w:r>
      <w:r>
        <w:rPr>
          <w:sz w:val="22"/>
        </w:rPr>
        <w:t>The</w:t>
      </w:r>
      <w:r>
        <w:rPr>
          <w:spacing w:val="-6"/>
          <w:sz w:val="22"/>
        </w:rPr>
        <w:t> </w:t>
      </w:r>
      <w:r>
        <w:rPr>
          <w:sz w:val="22"/>
        </w:rPr>
        <w:t>PMPM</w:t>
      </w:r>
      <w:r>
        <w:rPr>
          <w:spacing w:val="-6"/>
          <w:sz w:val="22"/>
        </w:rPr>
        <w:t> </w:t>
      </w:r>
      <w:r>
        <w:rPr>
          <w:sz w:val="22"/>
        </w:rPr>
        <w:t>rate</w:t>
      </w:r>
      <w:r>
        <w:rPr>
          <w:spacing w:val="-6"/>
          <w:sz w:val="22"/>
        </w:rPr>
        <w:t> </w:t>
      </w:r>
      <w:r>
        <w:rPr>
          <w:sz w:val="22"/>
        </w:rPr>
        <w:t>has</w:t>
      </w:r>
      <w:r>
        <w:rPr>
          <w:spacing w:val="-6"/>
          <w:sz w:val="22"/>
        </w:rPr>
        <w:t> </w:t>
      </w:r>
      <w:r>
        <w:rPr>
          <w:sz w:val="22"/>
        </w:rPr>
        <w:t>been</w:t>
      </w:r>
      <w:r>
        <w:rPr>
          <w:spacing w:val="-6"/>
          <w:sz w:val="22"/>
        </w:rPr>
        <w:t> </w:t>
      </w:r>
      <w:r>
        <w:rPr>
          <w:sz w:val="22"/>
        </w:rPr>
        <w:t>developed,</w:t>
      </w:r>
      <w:r>
        <w:rPr>
          <w:spacing w:val="-6"/>
          <w:sz w:val="22"/>
        </w:rPr>
        <w:t> </w:t>
      </w:r>
      <w:r>
        <w:rPr>
          <w:sz w:val="22"/>
        </w:rPr>
        <w:t>in</w:t>
      </w:r>
      <w:r>
        <w:rPr>
          <w:spacing w:val="-6"/>
          <w:sz w:val="22"/>
        </w:rPr>
        <w:t> </w:t>
      </w:r>
      <w:r>
        <w:rPr>
          <w:sz w:val="22"/>
        </w:rPr>
        <w:t>part,</w:t>
      </w:r>
      <w:r>
        <w:rPr>
          <w:spacing w:val="-6"/>
          <w:sz w:val="22"/>
        </w:rPr>
        <w:t> </w:t>
      </w:r>
      <w:r>
        <w:rPr>
          <w:sz w:val="22"/>
        </w:rPr>
        <w:t>based</w:t>
      </w:r>
      <w:r>
        <w:rPr>
          <w:spacing w:val="-6"/>
          <w:sz w:val="22"/>
        </w:rPr>
        <w:t> </w:t>
      </w:r>
      <w:r>
        <w:rPr>
          <w:sz w:val="22"/>
        </w:rPr>
        <w:t>on the</w:t>
      </w:r>
      <w:r>
        <w:rPr>
          <w:spacing w:val="-4"/>
          <w:sz w:val="22"/>
        </w:rPr>
        <w:t> </w:t>
      </w:r>
      <w:r>
        <w:rPr>
          <w:sz w:val="22"/>
        </w:rPr>
        <w:t>staff</w:t>
      </w:r>
      <w:r>
        <w:rPr>
          <w:spacing w:val="-4"/>
          <w:sz w:val="22"/>
        </w:rPr>
        <w:t> </w:t>
      </w:r>
      <w:r>
        <w:rPr>
          <w:sz w:val="22"/>
        </w:rPr>
        <w:t>required</w:t>
      </w:r>
      <w:r>
        <w:rPr>
          <w:spacing w:val="-7"/>
          <w:sz w:val="22"/>
        </w:rPr>
        <w:t> </w:t>
      </w:r>
      <w:r>
        <w:rPr>
          <w:sz w:val="22"/>
        </w:rPr>
        <w:t>to</w:t>
      </w:r>
      <w:r>
        <w:rPr>
          <w:spacing w:val="-5"/>
          <w:sz w:val="22"/>
        </w:rPr>
        <w:t> </w:t>
      </w:r>
      <w:r>
        <w:rPr>
          <w:sz w:val="22"/>
        </w:rPr>
        <w:t>support</w:t>
      </w:r>
      <w:r>
        <w:rPr>
          <w:spacing w:val="-6"/>
          <w:sz w:val="22"/>
        </w:rPr>
        <w:t> </w:t>
      </w:r>
      <w:r>
        <w:rPr>
          <w:sz w:val="22"/>
        </w:rPr>
        <w:t>the</w:t>
      </w:r>
      <w:r>
        <w:rPr>
          <w:spacing w:val="-4"/>
          <w:sz w:val="22"/>
        </w:rPr>
        <w:t> </w:t>
      </w:r>
      <w:r>
        <w:rPr>
          <w:sz w:val="22"/>
        </w:rPr>
        <w:t>LTSS</w:t>
      </w:r>
      <w:r>
        <w:rPr>
          <w:spacing w:val="-5"/>
          <w:sz w:val="22"/>
        </w:rPr>
        <w:t> </w:t>
      </w:r>
      <w:r>
        <w:rPr>
          <w:sz w:val="22"/>
        </w:rPr>
        <w:t>CP</w:t>
      </w:r>
      <w:r>
        <w:rPr>
          <w:spacing w:val="-5"/>
          <w:sz w:val="22"/>
        </w:rPr>
        <w:t> </w:t>
      </w:r>
      <w:r>
        <w:rPr>
          <w:sz w:val="22"/>
        </w:rPr>
        <w:t>model,</w:t>
      </w:r>
      <w:r>
        <w:rPr>
          <w:spacing w:val="-5"/>
          <w:sz w:val="22"/>
        </w:rPr>
        <w:t> </w:t>
      </w:r>
      <w:r>
        <w:rPr>
          <w:sz w:val="22"/>
        </w:rPr>
        <w:t>including</w:t>
      </w:r>
      <w:r>
        <w:rPr>
          <w:spacing w:val="-7"/>
          <w:sz w:val="22"/>
        </w:rPr>
        <w:t> </w:t>
      </w:r>
      <w:r>
        <w:rPr>
          <w:sz w:val="22"/>
        </w:rPr>
        <w:t>the</w:t>
      </w:r>
      <w:r>
        <w:rPr>
          <w:spacing w:val="-4"/>
          <w:sz w:val="22"/>
        </w:rPr>
        <w:t> </w:t>
      </w:r>
      <w:r>
        <w:rPr>
          <w:sz w:val="22"/>
        </w:rPr>
        <w:t>need</w:t>
      </w:r>
      <w:r>
        <w:rPr>
          <w:spacing w:val="-5"/>
          <w:sz w:val="22"/>
        </w:rPr>
        <w:t> </w:t>
      </w:r>
      <w:r>
        <w:rPr>
          <w:sz w:val="22"/>
        </w:rPr>
        <w:t>for</w:t>
      </w:r>
      <w:r>
        <w:rPr>
          <w:spacing w:val="-4"/>
          <w:sz w:val="22"/>
        </w:rPr>
        <w:t> </w:t>
      </w:r>
      <w:r>
        <w:rPr>
          <w:sz w:val="22"/>
        </w:rPr>
        <w:t>care</w:t>
      </w:r>
      <w:r>
        <w:rPr>
          <w:spacing w:val="-4"/>
          <w:sz w:val="22"/>
        </w:rPr>
        <w:t> </w:t>
      </w:r>
      <w:r>
        <w:rPr>
          <w:sz w:val="22"/>
        </w:rPr>
        <w:t>coordinators</w:t>
      </w:r>
      <w:r>
        <w:rPr>
          <w:spacing w:val="-4"/>
          <w:sz w:val="22"/>
        </w:rPr>
        <w:t> </w:t>
      </w:r>
      <w:r>
        <w:rPr>
          <w:sz w:val="22"/>
        </w:rPr>
        <w:t>with</w:t>
      </w:r>
      <w:r>
        <w:rPr>
          <w:spacing w:val="-5"/>
          <w:sz w:val="22"/>
        </w:rPr>
        <w:t> </w:t>
      </w:r>
      <w:r>
        <w:rPr>
          <w:sz w:val="22"/>
        </w:rPr>
        <w:t>appropriate supervision</w:t>
      </w:r>
      <w:r>
        <w:rPr>
          <w:spacing w:val="-14"/>
          <w:sz w:val="22"/>
        </w:rPr>
        <w:t> </w:t>
      </w:r>
      <w:r>
        <w:rPr>
          <w:sz w:val="22"/>
        </w:rPr>
        <w:t>at</w:t>
      </w:r>
      <w:r>
        <w:rPr>
          <w:spacing w:val="-14"/>
          <w:sz w:val="22"/>
        </w:rPr>
        <w:t> </w:t>
      </w:r>
      <w:r>
        <w:rPr>
          <w:sz w:val="22"/>
        </w:rPr>
        <w:t>sufficient</w:t>
      </w:r>
      <w:r>
        <w:rPr>
          <w:spacing w:val="-14"/>
          <w:sz w:val="22"/>
        </w:rPr>
        <w:t> </w:t>
      </w:r>
      <w:r>
        <w:rPr>
          <w:sz w:val="22"/>
        </w:rPr>
        <w:t>staffing</w:t>
      </w:r>
      <w:r>
        <w:rPr>
          <w:spacing w:val="-13"/>
          <w:sz w:val="22"/>
        </w:rPr>
        <w:t> </w:t>
      </w:r>
      <w:r>
        <w:rPr>
          <w:sz w:val="22"/>
        </w:rPr>
        <w:t>levels</w:t>
      </w:r>
      <w:r>
        <w:rPr>
          <w:spacing w:val="-14"/>
          <w:sz w:val="22"/>
        </w:rPr>
        <w:t> </w:t>
      </w:r>
      <w:r>
        <w:rPr>
          <w:sz w:val="22"/>
        </w:rPr>
        <w:t>to</w:t>
      </w:r>
      <w:r>
        <w:rPr>
          <w:spacing w:val="-14"/>
          <w:sz w:val="22"/>
        </w:rPr>
        <w:t> </w:t>
      </w:r>
      <w:r>
        <w:rPr>
          <w:sz w:val="22"/>
        </w:rPr>
        <w:t>perform</w:t>
      </w:r>
      <w:r>
        <w:rPr>
          <w:spacing w:val="-14"/>
          <w:sz w:val="22"/>
        </w:rPr>
        <w:t> </w:t>
      </w:r>
      <w:r>
        <w:rPr>
          <w:sz w:val="22"/>
        </w:rPr>
        <w:t>LTSS</w:t>
      </w:r>
      <w:r>
        <w:rPr>
          <w:spacing w:val="-13"/>
          <w:sz w:val="22"/>
        </w:rPr>
        <w:t> </w:t>
      </w:r>
      <w:r>
        <w:rPr>
          <w:sz w:val="22"/>
        </w:rPr>
        <w:t>CP</w:t>
      </w:r>
      <w:r>
        <w:rPr>
          <w:spacing w:val="-14"/>
          <w:sz w:val="22"/>
        </w:rPr>
        <w:t> </w:t>
      </w:r>
      <w:r>
        <w:rPr>
          <w:sz w:val="22"/>
        </w:rPr>
        <w:t>supports.</w:t>
      </w:r>
      <w:r>
        <w:rPr>
          <w:spacing w:val="-14"/>
          <w:sz w:val="22"/>
        </w:rPr>
        <w:t> </w:t>
      </w:r>
      <w:r>
        <w:rPr>
          <w:sz w:val="22"/>
        </w:rPr>
        <w:t>Caseloads</w:t>
      </w:r>
      <w:r>
        <w:rPr>
          <w:spacing w:val="-14"/>
          <w:sz w:val="22"/>
        </w:rPr>
        <w:t> </w:t>
      </w:r>
      <w:r>
        <w:rPr>
          <w:sz w:val="22"/>
        </w:rPr>
        <w:t>for</w:t>
      </w:r>
      <w:r>
        <w:rPr>
          <w:spacing w:val="-13"/>
          <w:sz w:val="22"/>
        </w:rPr>
        <w:t> </w:t>
      </w:r>
      <w:r>
        <w:rPr>
          <w:sz w:val="22"/>
        </w:rPr>
        <w:t>LTSS</w:t>
      </w:r>
      <w:r>
        <w:rPr>
          <w:spacing w:val="-14"/>
          <w:sz w:val="22"/>
        </w:rPr>
        <w:t> </w:t>
      </w:r>
      <w:r>
        <w:rPr>
          <w:sz w:val="22"/>
        </w:rPr>
        <w:t>CPs</w:t>
      </w:r>
      <w:r>
        <w:rPr>
          <w:spacing w:val="-14"/>
          <w:sz w:val="22"/>
        </w:rPr>
        <w:t> </w:t>
      </w:r>
      <w:r>
        <w:rPr>
          <w:sz w:val="22"/>
        </w:rPr>
        <w:t>are</w:t>
      </w:r>
      <w:r>
        <w:rPr>
          <w:spacing w:val="-14"/>
          <w:sz w:val="22"/>
        </w:rPr>
        <w:t> </w:t>
      </w:r>
      <w:r>
        <w:rPr>
          <w:sz w:val="22"/>
        </w:rPr>
        <w:t>expected to</w:t>
      </w:r>
      <w:r>
        <w:rPr>
          <w:spacing w:val="-9"/>
          <w:sz w:val="22"/>
        </w:rPr>
        <w:t> </w:t>
      </w:r>
      <w:r>
        <w:rPr>
          <w:sz w:val="22"/>
        </w:rPr>
        <w:t>be</w:t>
      </w:r>
      <w:r>
        <w:rPr>
          <w:spacing w:val="-8"/>
          <w:sz w:val="22"/>
        </w:rPr>
        <w:t> </w:t>
      </w:r>
      <w:r>
        <w:rPr>
          <w:sz w:val="22"/>
        </w:rPr>
        <w:t>between</w:t>
      </w:r>
      <w:r>
        <w:rPr>
          <w:spacing w:val="-9"/>
          <w:sz w:val="22"/>
        </w:rPr>
        <w:t> </w:t>
      </w:r>
      <w:r>
        <w:rPr>
          <w:sz w:val="22"/>
        </w:rPr>
        <w:t>70-100</w:t>
      </w:r>
      <w:r>
        <w:rPr>
          <w:spacing w:val="-9"/>
          <w:sz w:val="22"/>
        </w:rPr>
        <w:t> </w:t>
      </w:r>
      <w:r>
        <w:rPr>
          <w:sz w:val="22"/>
        </w:rPr>
        <w:t>engaged</w:t>
      </w:r>
      <w:r>
        <w:rPr>
          <w:spacing w:val="-9"/>
          <w:sz w:val="22"/>
        </w:rPr>
        <w:t> </w:t>
      </w:r>
      <w:r>
        <w:rPr>
          <w:sz w:val="22"/>
        </w:rPr>
        <w:t>enrollees</w:t>
      </w:r>
      <w:r>
        <w:rPr>
          <w:spacing w:val="-8"/>
          <w:sz w:val="22"/>
        </w:rPr>
        <w:t> </w:t>
      </w:r>
      <w:r>
        <w:rPr>
          <w:sz w:val="22"/>
        </w:rPr>
        <w:t>per</w:t>
      </w:r>
      <w:r>
        <w:rPr>
          <w:spacing w:val="-8"/>
          <w:sz w:val="22"/>
        </w:rPr>
        <w:t> </w:t>
      </w:r>
      <w:r>
        <w:rPr>
          <w:sz w:val="22"/>
        </w:rPr>
        <w:t>FTE.</w:t>
      </w:r>
      <w:r>
        <w:rPr>
          <w:spacing w:val="-11"/>
          <w:sz w:val="22"/>
        </w:rPr>
        <w:t> </w:t>
      </w:r>
      <w:r>
        <w:rPr>
          <w:sz w:val="22"/>
        </w:rPr>
        <w:t>The</w:t>
      </w:r>
      <w:r>
        <w:rPr>
          <w:spacing w:val="-11"/>
          <w:sz w:val="22"/>
        </w:rPr>
        <w:t> </w:t>
      </w:r>
      <w:r>
        <w:rPr>
          <w:sz w:val="22"/>
        </w:rPr>
        <w:t>rate</w:t>
      </w:r>
      <w:r>
        <w:rPr>
          <w:spacing w:val="-10"/>
          <w:sz w:val="22"/>
        </w:rPr>
        <w:t> </w:t>
      </w:r>
      <w:r>
        <w:rPr>
          <w:sz w:val="22"/>
        </w:rPr>
        <w:t>is</w:t>
      </w:r>
      <w:r>
        <w:rPr>
          <w:spacing w:val="-8"/>
          <w:sz w:val="22"/>
        </w:rPr>
        <w:t> </w:t>
      </w:r>
      <w:r>
        <w:rPr>
          <w:sz w:val="22"/>
        </w:rPr>
        <w:t>anticipated</w:t>
      </w:r>
      <w:r>
        <w:rPr>
          <w:spacing w:val="-9"/>
          <w:sz w:val="22"/>
        </w:rPr>
        <w:t> </w:t>
      </w:r>
      <w:r>
        <w:rPr>
          <w:sz w:val="22"/>
        </w:rPr>
        <w:t>to</w:t>
      </w:r>
      <w:r>
        <w:rPr>
          <w:spacing w:val="-9"/>
          <w:sz w:val="22"/>
        </w:rPr>
        <w:t> </w:t>
      </w:r>
      <w:r>
        <w:rPr>
          <w:sz w:val="22"/>
        </w:rPr>
        <w:t>be</w:t>
      </w:r>
      <w:r>
        <w:rPr>
          <w:spacing w:val="-8"/>
          <w:sz w:val="22"/>
        </w:rPr>
        <w:t> </w:t>
      </w:r>
      <w:r>
        <w:rPr>
          <w:sz w:val="22"/>
        </w:rPr>
        <w:t>$80</w:t>
      </w:r>
      <w:r>
        <w:rPr>
          <w:spacing w:val="-11"/>
          <w:sz w:val="22"/>
        </w:rPr>
        <w:t> </w:t>
      </w:r>
      <w:r>
        <w:rPr>
          <w:sz w:val="22"/>
        </w:rPr>
        <w:t>PMPM</w:t>
      </w:r>
      <w:r>
        <w:rPr>
          <w:spacing w:val="-10"/>
          <w:sz w:val="22"/>
        </w:rPr>
        <w:t> </w:t>
      </w:r>
      <w:r>
        <w:rPr>
          <w:color w:val="212121"/>
          <w:sz w:val="22"/>
        </w:rPr>
        <w:t>for</w:t>
      </w:r>
      <w:r>
        <w:rPr>
          <w:color w:val="212121"/>
          <w:spacing w:val="-8"/>
          <w:sz w:val="22"/>
        </w:rPr>
        <w:t> </w:t>
      </w:r>
      <w:r>
        <w:rPr>
          <w:color w:val="212121"/>
          <w:sz w:val="22"/>
        </w:rPr>
        <w:t>each</w:t>
      </w:r>
      <w:r>
        <w:rPr>
          <w:color w:val="212121"/>
          <w:spacing w:val="-9"/>
          <w:sz w:val="22"/>
        </w:rPr>
        <w:t> </w:t>
      </w:r>
      <w:r>
        <w:rPr>
          <w:color w:val="212121"/>
          <w:sz w:val="22"/>
        </w:rPr>
        <w:t>member assigned and engaged with the LTSS CPs during the month. </w:t>
      </w:r>
      <w:r>
        <w:rPr>
          <w:sz w:val="22"/>
        </w:rPr>
        <w:t>The State will set an additional PMPM for enhanced</w:t>
      </w:r>
      <w:r>
        <w:rPr>
          <w:spacing w:val="-16"/>
          <w:sz w:val="22"/>
        </w:rPr>
        <w:t> </w:t>
      </w:r>
      <w:r>
        <w:rPr>
          <w:sz w:val="22"/>
        </w:rPr>
        <w:t>LTSS</w:t>
      </w:r>
      <w:r>
        <w:rPr>
          <w:spacing w:val="-14"/>
          <w:sz w:val="22"/>
        </w:rPr>
        <w:t> </w:t>
      </w:r>
      <w:r>
        <w:rPr>
          <w:sz w:val="22"/>
        </w:rPr>
        <w:t>CP</w:t>
      </w:r>
      <w:r>
        <w:rPr>
          <w:spacing w:val="-14"/>
          <w:sz w:val="22"/>
        </w:rPr>
        <w:t> </w:t>
      </w:r>
      <w:r>
        <w:rPr>
          <w:sz w:val="22"/>
        </w:rPr>
        <w:t>functions</w:t>
      </w:r>
      <w:r>
        <w:rPr>
          <w:spacing w:val="-13"/>
          <w:sz w:val="22"/>
        </w:rPr>
        <w:t> </w:t>
      </w:r>
      <w:r>
        <w:rPr>
          <w:sz w:val="22"/>
        </w:rPr>
        <w:t>and</w:t>
      </w:r>
      <w:r>
        <w:rPr>
          <w:spacing w:val="-14"/>
          <w:sz w:val="22"/>
        </w:rPr>
        <w:t> </w:t>
      </w:r>
      <w:r>
        <w:rPr>
          <w:sz w:val="22"/>
        </w:rPr>
        <w:t>anticipates</w:t>
      </w:r>
      <w:r>
        <w:rPr>
          <w:spacing w:val="-14"/>
          <w:sz w:val="22"/>
        </w:rPr>
        <w:t> </w:t>
      </w:r>
      <w:r>
        <w:rPr>
          <w:sz w:val="22"/>
        </w:rPr>
        <w:t>caseload</w:t>
      </w:r>
      <w:r>
        <w:rPr>
          <w:spacing w:val="-14"/>
          <w:sz w:val="22"/>
        </w:rPr>
        <w:t> </w:t>
      </w:r>
      <w:r>
        <w:rPr>
          <w:sz w:val="22"/>
        </w:rPr>
        <w:t>for</w:t>
      </w:r>
      <w:r>
        <w:rPr>
          <w:spacing w:val="-13"/>
          <w:sz w:val="22"/>
        </w:rPr>
        <w:t> </w:t>
      </w:r>
      <w:r>
        <w:rPr>
          <w:sz w:val="22"/>
        </w:rPr>
        <w:t>enhanced</w:t>
      </w:r>
      <w:r>
        <w:rPr>
          <w:spacing w:val="-14"/>
          <w:sz w:val="22"/>
        </w:rPr>
        <w:t> </w:t>
      </w:r>
      <w:r>
        <w:rPr>
          <w:sz w:val="22"/>
        </w:rPr>
        <w:t>LTSS</w:t>
      </w:r>
      <w:r>
        <w:rPr>
          <w:spacing w:val="-14"/>
          <w:sz w:val="22"/>
        </w:rPr>
        <w:t> </w:t>
      </w:r>
      <w:r>
        <w:rPr>
          <w:sz w:val="22"/>
        </w:rPr>
        <w:t>CP</w:t>
      </w:r>
      <w:r>
        <w:rPr>
          <w:spacing w:val="-14"/>
          <w:sz w:val="22"/>
        </w:rPr>
        <w:t> </w:t>
      </w:r>
      <w:r>
        <w:rPr>
          <w:sz w:val="22"/>
        </w:rPr>
        <w:t>supports</w:t>
      </w:r>
      <w:r>
        <w:rPr>
          <w:spacing w:val="-13"/>
          <w:sz w:val="22"/>
        </w:rPr>
        <w:t> </w:t>
      </w:r>
      <w:r>
        <w:rPr>
          <w:sz w:val="22"/>
        </w:rPr>
        <w:t>to</w:t>
      </w:r>
      <w:r>
        <w:rPr>
          <w:spacing w:val="-14"/>
          <w:sz w:val="22"/>
        </w:rPr>
        <w:t> </w:t>
      </w:r>
      <w:r>
        <w:rPr>
          <w:sz w:val="22"/>
        </w:rPr>
        <w:t>be</w:t>
      </w:r>
      <w:r>
        <w:rPr>
          <w:spacing w:val="-14"/>
          <w:sz w:val="22"/>
        </w:rPr>
        <w:t> </w:t>
      </w:r>
      <w:r>
        <w:rPr>
          <w:sz w:val="22"/>
        </w:rPr>
        <w:t>35-50</w:t>
      </w:r>
      <w:r>
        <w:rPr>
          <w:spacing w:val="-13"/>
          <w:sz w:val="22"/>
        </w:rPr>
        <w:t> </w:t>
      </w:r>
      <w:r>
        <w:rPr>
          <w:spacing w:val="-2"/>
          <w:sz w:val="22"/>
        </w:rPr>
        <w:t>engaged</w:t>
      </w:r>
    </w:p>
    <w:p>
      <w:pPr>
        <w:spacing w:after="0"/>
        <w:jc w:val="both"/>
        <w:rPr>
          <w:sz w:val="22"/>
        </w:rPr>
        <w:sectPr>
          <w:pgSz w:w="12240" w:h="15840"/>
          <w:pgMar w:header="0" w:footer="967" w:top="1360" w:bottom="1160" w:left="220" w:right="340"/>
        </w:sectPr>
      </w:pPr>
    </w:p>
    <w:p>
      <w:pPr>
        <w:spacing w:before="78"/>
        <w:ind w:left="1219" w:right="1095" w:firstLine="0"/>
        <w:jc w:val="both"/>
        <w:rPr>
          <w:sz w:val="22"/>
        </w:rPr>
      </w:pPr>
      <w:r>
        <w:rPr>
          <w:sz w:val="22"/>
        </w:rPr>
        <w:t>enrollees. The State may vary the amount of the PMPMs in its discretion at any time during the </w:t>
      </w:r>
      <w:r>
        <w:rPr>
          <w:spacing w:val="-2"/>
          <w:sz w:val="22"/>
        </w:rPr>
        <w:t>demonstration.</w:t>
      </w:r>
    </w:p>
    <w:p>
      <w:pPr>
        <w:spacing w:before="159"/>
        <w:ind w:left="1219" w:right="1093" w:firstLine="0"/>
        <w:jc w:val="both"/>
        <w:rPr>
          <w:sz w:val="22"/>
        </w:rPr>
      </w:pPr>
      <w:r>
        <w:rPr>
          <w:sz w:val="22"/>
        </w:rPr>
        <w:t>The State will pay the PMPM rate to the LTSS CP for each month in which the LTSS CP performs and documents a qualifying activity, beginning in the month when the member is assigned to the LTSS CP. If the LTSS CP does not perform any qualifying activities during a</w:t>
      </w:r>
      <w:r>
        <w:rPr>
          <w:spacing w:val="40"/>
          <w:sz w:val="22"/>
        </w:rPr>
        <w:t> </w:t>
      </w:r>
      <w:r>
        <w:rPr>
          <w:sz w:val="22"/>
        </w:rPr>
        <w:t>month, it will not be paid for that</w:t>
      </w:r>
      <w:r>
        <w:rPr>
          <w:spacing w:val="40"/>
          <w:sz w:val="22"/>
        </w:rPr>
        <w:t> </w:t>
      </w:r>
      <w:r>
        <w:rPr>
          <w:sz w:val="22"/>
        </w:rPr>
        <w:t>month.</w:t>
      </w:r>
      <w:r>
        <w:rPr>
          <w:spacing w:val="40"/>
          <w:sz w:val="22"/>
        </w:rPr>
        <w:t> </w:t>
      </w:r>
      <w:r>
        <w:rPr>
          <w:sz w:val="22"/>
        </w:rPr>
        <w:t>An LTSS CP will be paid for outreach only during the first 90 days of a member’s assignment to the LTSS CP if outreach is attempted and documented during that 90-day period.</w:t>
      </w:r>
      <w:r>
        <w:rPr>
          <w:spacing w:val="40"/>
          <w:sz w:val="22"/>
        </w:rPr>
        <w:t> </w:t>
      </w:r>
      <w:r>
        <w:rPr>
          <w:sz w:val="22"/>
        </w:rPr>
        <w:t>For members assigned to an LTSS CP between July 1, 2018 and October 31, 2018, inclusive, the LTSS CP may be paid for qualifying activities other than outreach during the first 10 months of a member’s assignment. After the first 10 months of assignment, the State will not make payments to an LTSS CP for qualifying activities performed</w:t>
      </w:r>
      <w:r>
        <w:rPr>
          <w:spacing w:val="-7"/>
          <w:sz w:val="22"/>
        </w:rPr>
        <w:t> </w:t>
      </w:r>
      <w:r>
        <w:rPr>
          <w:sz w:val="22"/>
        </w:rPr>
        <w:t>for</w:t>
      </w:r>
      <w:r>
        <w:rPr>
          <w:spacing w:val="-6"/>
          <w:sz w:val="22"/>
        </w:rPr>
        <w:t> </w:t>
      </w:r>
      <w:r>
        <w:rPr>
          <w:sz w:val="22"/>
        </w:rPr>
        <w:t>a</w:t>
      </w:r>
      <w:r>
        <w:rPr>
          <w:spacing w:val="-7"/>
          <w:sz w:val="22"/>
        </w:rPr>
        <w:t> </w:t>
      </w:r>
      <w:r>
        <w:rPr>
          <w:sz w:val="22"/>
        </w:rPr>
        <w:t>member,</w:t>
      </w:r>
      <w:r>
        <w:rPr>
          <w:spacing w:val="-7"/>
          <w:sz w:val="22"/>
        </w:rPr>
        <w:t> </w:t>
      </w:r>
      <w:r>
        <w:rPr>
          <w:sz w:val="22"/>
        </w:rPr>
        <w:t>unless</w:t>
      </w:r>
      <w:r>
        <w:rPr>
          <w:spacing w:val="-7"/>
          <w:sz w:val="22"/>
        </w:rPr>
        <w:t> </w:t>
      </w:r>
      <w:r>
        <w:rPr>
          <w:sz w:val="22"/>
        </w:rPr>
        <w:t>that</w:t>
      </w:r>
      <w:r>
        <w:rPr>
          <w:spacing w:val="-6"/>
          <w:sz w:val="22"/>
        </w:rPr>
        <w:t> </w:t>
      </w:r>
      <w:r>
        <w:rPr>
          <w:sz w:val="22"/>
        </w:rPr>
        <w:t>member</w:t>
      </w:r>
      <w:r>
        <w:rPr>
          <w:spacing w:val="-6"/>
          <w:sz w:val="22"/>
        </w:rPr>
        <w:t> </w:t>
      </w:r>
      <w:r>
        <w:rPr>
          <w:sz w:val="22"/>
        </w:rPr>
        <w:t>is</w:t>
      </w:r>
      <w:r>
        <w:rPr>
          <w:spacing w:val="-7"/>
          <w:sz w:val="22"/>
        </w:rPr>
        <w:t> </w:t>
      </w:r>
      <w:r>
        <w:rPr>
          <w:sz w:val="22"/>
        </w:rPr>
        <w:t>engaged.</w:t>
      </w:r>
      <w:r>
        <w:rPr>
          <w:spacing w:val="40"/>
          <w:sz w:val="22"/>
        </w:rPr>
        <w:t> </w:t>
      </w:r>
      <w:r>
        <w:rPr>
          <w:sz w:val="22"/>
        </w:rPr>
        <w:t>For</w:t>
      </w:r>
      <w:r>
        <w:rPr>
          <w:spacing w:val="-6"/>
          <w:sz w:val="22"/>
        </w:rPr>
        <w:t> </w:t>
      </w:r>
      <w:r>
        <w:rPr>
          <w:sz w:val="22"/>
        </w:rPr>
        <w:t>members</w:t>
      </w:r>
      <w:r>
        <w:rPr>
          <w:spacing w:val="-7"/>
          <w:sz w:val="22"/>
        </w:rPr>
        <w:t> </w:t>
      </w:r>
      <w:r>
        <w:rPr>
          <w:sz w:val="22"/>
        </w:rPr>
        <w:t>assigned</w:t>
      </w:r>
      <w:r>
        <w:rPr>
          <w:spacing w:val="-7"/>
          <w:sz w:val="22"/>
        </w:rPr>
        <w:t> </w:t>
      </w:r>
      <w:r>
        <w:rPr>
          <w:sz w:val="22"/>
        </w:rPr>
        <w:t>to</w:t>
      </w:r>
      <w:r>
        <w:rPr>
          <w:spacing w:val="-7"/>
          <w:sz w:val="22"/>
        </w:rPr>
        <w:t> </w:t>
      </w:r>
      <w:r>
        <w:rPr>
          <w:sz w:val="22"/>
        </w:rPr>
        <w:t>an</w:t>
      </w:r>
      <w:r>
        <w:rPr>
          <w:spacing w:val="-7"/>
          <w:sz w:val="22"/>
        </w:rPr>
        <w:t> </w:t>
      </w:r>
      <w:r>
        <w:rPr>
          <w:sz w:val="22"/>
        </w:rPr>
        <w:t>LTSS</w:t>
      </w:r>
      <w:r>
        <w:rPr>
          <w:spacing w:val="-8"/>
          <w:sz w:val="22"/>
        </w:rPr>
        <w:t> </w:t>
      </w:r>
      <w:r>
        <w:rPr>
          <w:sz w:val="22"/>
        </w:rPr>
        <w:t>CP</w:t>
      </w:r>
      <w:r>
        <w:rPr>
          <w:spacing w:val="-8"/>
          <w:sz w:val="22"/>
        </w:rPr>
        <w:t> </w:t>
      </w:r>
      <w:r>
        <w:rPr>
          <w:sz w:val="22"/>
        </w:rPr>
        <w:t>beginning November 1, 2018, the LTSS CP may be paid for qualifying activities other than outreach during the first 150 days of a member’s assignment. After the first 150 days of assignment, the State will not make payments to the LTSS CP for any qualifying activities performed for a member, unless that member is engaged.</w:t>
      </w:r>
      <w:r>
        <w:rPr>
          <w:spacing w:val="40"/>
          <w:sz w:val="22"/>
        </w:rPr>
        <w:t> </w:t>
      </w:r>
      <w:r>
        <w:rPr>
          <w:sz w:val="22"/>
        </w:rPr>
        <w:t>A member is considered engaged with the LTSS CP when the person-centered care plan is approved by the member’s PCP or PCP designee.</w:t>
      </w:r>
      <w:r>
        <w:rPr>
          <w:spacing w:val="40"/>
          <w:sz w:val="22"/>
        </w:rPr>
        <w:t> </w:t>
      </w:r>
      <w:r>
        <w:rPr>
          <w:sz w:val="22"/>
        </w:rPr>
        <w:t>The PCP may designate appropriate MCO or ACO clinical</w:t>
      </w:r>
      <w:r>
        <w:rPr>
          <w:spacing w:val="-8"/>
          <w:sz w:val="22"/>
        </w:rPr>
        <w:t> </w:t>
      </w:r>
      <w:r>
        <w:rPr>
          <w:sz w:val="22"/>
        </w:rPr>
        <w:t>staff</w:t>
      </w:r>
      <w:r>
        <w:rPr>
          <w:spacing w:val="-6"/>
          <w:sz w:val="22"/>
        </w:rPr>
        <w:t> </w:t>
      </w:r>
      <w:r>
        <w:rPr>
          <w:sz w:val="22"/>
        </w:rPr>
        <w:t>as</w:t>
      </w:r>
      <w:r>
        <w:rPr>
          <w:spacing w:val="-9"/>
          <w:sz w:val="22"/>
        </w:rPr>
        <w:t> </w:t>
      </w:r>
      <w:r>
        <w:rPr>
          <w:sz w:val="22"/>
        </w:rPr>
        <w:t>the</w:t>
      </w:r>
      <w:r>
        <w:rPr>
          <w:spacing w:val="-7"/>
          <w:sz w:val="22"/>
        </w:rPr>
        <w:t> </w:t>
      </w:r>
      <w:r>
        <w:rPr>
          <w:sz w:val="22"/>
        </w:rPr>
        <w:t>PCP</w:t>
      </w:r>
      <w:r>
        <w:rPr>
          <w:spacing w:val="-10"/>
          <w:sz w:val="22"/>
        </w:rPr>
        <w:t> </w:t>
      </w:r>
      <w:r>
        <w:rPr>
          <w:sz w:val="22"/>
        </w:rPr>
        <w:t>designee.</w:t>
      </w:r>
      <w:r>
        <w:rPr>
          <w:spacing w:val="-9"/>
          <w:sz w:val="22"/>
        </w:rPr>
        <w:t> </w:t>
      </w:r>
      <w:r>
        <w:rPr>
          <w:sz w:val="22"/>
        </w:rPr>
        <w:t>The</w:t>
      </w:r>
      <w:r>
        <w:rPr>
          <w:spacing w:val="-9"/>
          <w:sz w:val="22"/>
        </w:rPr>
        <w:t> </w:t>
      </w:r>
      <w:r>
        <w:rPr>
          <w:sz w:val="22"/>
        </w:rPr>
        <w:t>LTSS</w:t>
      </w:r>
      <w:r>
        <w:rPr>
          <w:spacing w:val="-8"/>
          <w:sz w:val="22"/>
        </w:rPr>
        <w:t> </w:t>
      </w:r>
      <w:r>
        <w:rPr>
          <w:sz w:val="22"/>
        </w:rPr>
        <w:t>CP</w:t>
      </w:r>
      <w:r>
        <w:rPr>
          <w:spacing w:val="-8"/>
          <w:sz w:val="22"/>
        </w:rPr>
        <w:t> </w:t>
      </w:r>
      <w:r>
        <w:rPr>
          <w:sz w:val="22"/>
        </w:rPr>
        <w:t>must</w:t>
      </w:r>
      <w:r>
        <w:rPr>
          <w:spacing w:val="-8"/>
          <w:sz w:val="22"/>
        </w:rPr>
        <w:t> </w:t>
      </w:r>
      <w:r>
        <w:rPr>
          <w:sz w:val="22"/>
        </w:rPr>
        <w:t>coordinate</w:t>
      </w:r>
      <w:r>
        <w:rPr>
          <w:spacing w:val="-7"/>
          <w:sz w:val="22"/>
        </w:rPr>
        <w:t> </w:t>
      </w:r>
      <w:r>
        <w:rPr>
          <w:sz w:val="22"/>
        </w:rPr>
        <w:t>with</w:t>
      </w:r>
      <w:r>
        <w:rPr>
          <w:spacing w:val="-10"/>
          <w:sz w:val="22"/>
        </w:rPr>
        <w:t> </w:t>
      </w:r>
      <w:r>
        <w:rPr>
          <w:sz w:val="22"/>
        </w:rPr>
        <w:t>the</w:t>
      </w:r>
      <w:r>
        <w:rPr>
          <w:spacing w:val="-7"/>
          <w:sz w:val="22"/>
        </w:rPr>
        <w:t> </w:t>
      </w:r>
      <w:r>
        <w:rPr>
          <w:sz w:val="22"/>
        </w:rPr>
        <w:t>member’s</w:t>
      </w:r>
      <w:r>
        <w:rPr>
          <w:spacing w:val="-7"/>
          <w:sz w:val="22"/>
        </w:rPr>
        <w:t> </w:t>
      </w:r>
      <w:r>
        <w:rPr>
          <w:sz w:val="22"/>
        </w:rPr>
        <w:t>PCP</w:t>
      </w:r>
      <w:r>
        <w:rPr>
          <w:spacing w:val="-8"/>
          <w:sz w:val="22"/>
        </w:rPr>
        <w:t> </w:t>
      </w:r>
      <w:r>
        <w:rPr>
          <w:sz w:val="22"/>
        </w:rPr>
        <w:t>or</w:t>
      </w:r>
      <w:r>
        <w:rPr>
          <w:spacing w:val="-6"/>
          <w:sz w:val="22"/>
        </w:rPr>
        <w:t> </w:t>
      </w:r>
      <w:r>
        <w:rPr>
          <w:sz w:val="22"/>
        </w:rPr>
        <w:t>PCP</w:t>
      </w:r>
      <w:r>
        <w:rPr>
          <w:spacing w:val="-8"/>
          <w:sz w:val="22"/>
        </w:rPr>
        <w:t> </w:t>
      </w:r>
      <w:r>
        <w:rPr>
          <w:sz w:val="22"/>
        </w:rPr>
        <w:t>designee, as</w:t>
      </w:r>
      <w:r>
        <w:rPr>
          <w:spacing w:val="-3"/>
          <w:sz w:val="22"/>
        </w:rPr>
        <w:t> </w:t>
      </w:r>
      <w:r>
        <w:rPr>
          <w:sz w:val="22"/>
        </w:rPr>
        <w:t>appropriate,</w:t>
      </w:r>
      <w:r>
        <w:rPr>
          <w:spacing w:val="-6"/>
          <w:sz w:val="22"/>
        </w:rPr>
        <w:t> </w:t>
      </w:r>
      <w:r>
        <w:rPr>
          <w:sz w:val="22"/>
        </w:rPr>
        <w:t>in</w:t>
      </w:r>
      <w:r>
        <w:rPr>
          <w:spacing w:val="-4"/>
          <w:sz w:val="22"/>
        </w:rPr>
        <w:t> </w:t>
      </w:r>
      <w:r>
        <w:rPr>
          <w:sz w:val="22"/>
        </w:rPr>
        <w:t>performing</w:t>
      </w:r>
      <w:r>
        <w:rPr>
          <w:spacing w:val="-6"/>
          <w:sz w:val="22"/>
        </w:rPr>
        <w:t> </w:t>
      </w:r>
      <w:r>
        <w:rPr>
          <w:sz w:val="22"/>
        </w:rPr>
        <w:t>qualifying</w:t>
      </w:r>
      <w:r>
        <w:rPr>
          <w:spacing w:val="-6"/>
          <w:sz w:val="22"/>
        </w:rPr>
        <w:t> </w:t>
      </w:r>
      <w:r>
        <w:rPr>
          <w:sz w:val="22"/>
        </w:rPr>
        <w:t>activities,</w:t>
      </w:r>
      <w:r>
        <w:rPr>
          <w:spacing w:val="-4"/>
          <w:sz w:val="22"/>
        </w:rPr>
        <w:t> </w:t>
      </w:r>
      <w:r>
        <w:rPr>
          <w:sz w:val="22"/>
        </w:rPr>
        <w:t>including</w:t>
      </w:r>
      <w:r>
        <w:rPr>
          <w:spacing w:val="-6"/>
          <w:sz w:val="22"/>
        </w:rPr>
        <w:t> </w:t>
      </w:r>
      <w:r>
        <w:rPr>
          <w:sz w:val="22"/>
        </w:rPr>
        <w:t>during</w:t>
      </w:r>
      <w:r>
        <w:rPr>
          <w:spacing w:val="-6"/>
          <w:sz w:val="22"/>
        </w:rPr>
        <w:t> </w:t>
      </w:r>
      <w:r>
        <w:rPr>
          <w:sz w:val="22"/>
        </w:rPr>
        <w:t>the</w:t>
      </w:r>
      <w:r>
        <w:rPr>
          <w:spacing w:val="-3"/>
          <w:sz w:val="22"/>
        </w:rPr>
        <w:t> </w:t>
      </w:r>
      <w:r>
        <w:rPr>
          <w:sz w:val="22"/>
        </w:rPr>
        <w:t>first</w:t>
      </w:r>
      <w:r>
        <w:rPr>
          <w:spacing w:val="-3"/>
          <w:sz w:val="22"/>
        </w:rPr>
        <w:t> </w:t>
      </w:r>
      <w:r>
        <w:rPr>
          <w:sz w:val="22"/>
        </w:rPr>
        <w:t>10</w:t>
      </w:r>
      <w:r>
        <w:rPr>
          <w:spacing w:val="-4"/>
          <w:sz w:val="22"/>
        </w:rPr>
        <w:t> </w:t>
      </w:r>
      <w:r>
        <w:rPr>
          <w:sz w:val="22"/>
        </w:rPr>
        <w:t>months</w:t>
      </w:r>
      <w:r>
        <w:rPr>
          <w:spacing w:val="-6"/>
          <w:sz w:val="22"/>
        </w:rPr>
        <w:t> </w:t>
      </w:r>
      <w:r>
        <w:rPr>
          <w:sz w:val="22"/>
        </w:rPr>
        <w:t>of</w:t>
      </w:r>
      <w:r>
        <w:rPr>
          <w:spacing w:val="-3"/>
          <w:sz w:val="22"/>
        </w:rPr>
        <w:t> </w:t>
      </w:r>
      <w:r>
        <w:rPr>
          <w:sz w:val="22"/>
        </w:rPr>
        <w:t>assignment.</w:t>
      </w:r>
      <w:r>
        <w:rPr>
          <w:spacing w:val="-6"/>
          <w:sz w:val="22"/>
        </w:rPr>
        <w:t> </w:t>
      </w:r>
      <w:r>
        <w:rPr>
          <w:sz w:val="22"/>
        </w:rPr>
        <w:t>The State will report to CMS in its quarterly and annual reports the LTSS CP engagement rates, as data are </w:t>
      </w:r>
      <w:r>
        <w:rPr>
          <w:spacing w:val="-2"/>
          <w:sz w:val="22"/>
        </w:rPr>
        <w:t>available.</w:t>
      </w:r>
    </w:p>
    <w:p>
      <w:pPr>
        <w:spacing w:before="159"/>
        <w:ind w:left="1219" w:right="0" w:firstLine="0"/>
        <w:jc w:val="both"/>
        <w:rPr>
          <w:sz w:val="22"/>
        </w:rPr>
      </w:pPr>
      <w:r>
        <w:rPr>
          <w:sz w:val="22"/>
        </w:rPr>
        <w:t>Example</w:t>
      </w:r>
      <w:r>
        <w:rPr>
          <w:spacing w:val="-4"/>
          <w:sz w:val="22"/>
        </w:rPr>
        <w:t> </w:t>
      </w:r>
      <w:r>
        <w:rPr>
          <w:sz w:val="22"/>
        </w:rPr>
        <w:t>payment</w:t>
      </w:r>
      <w:r>
        <w:rPr>
          <w:spacing w:val="-2"/>
          <w:sz w:val="22"/>
        </w:rPr>
        <w:t> </w:t>
      </w:r>
      <w:r>
        <w:rPr>
          <w:sz w:val="22"/>
        </w:rPr>
        <w:t>calculation</w:t>
      </w:r>
      <w:r>
        <w:rPr>
          <w:spacing w:val="-3"/>
          <w:sz w:val="22"/>
        </w:rPr>
        <w:t> </w:t>
      </w:r>
      <w:r>
        <w:rPr>
          <w:sz w:val="22"/>
        </w:rPr>
        <w:t>with</w:t>
      </w:r>
      <w:r>
        <w:rPr>
          <w:spacing w:val="-6"/>
          <w:sz w:val="22"/>
        </w:rPr>
        <w:t> </w:t>
      </w:r>
      <w:r>
        <w:rPr>
          <w:sz w:val="22"/>
        </w:rPr>
        <w:t>PMPM</w:t>
      </w:r>
      <w:r>
        <w:rPr>
          <w:spacing w:val="-3"/>
          <w:sz w:val="22"/>
        </w:rPr>
        <w:t> </w:t>
      </w:r>
      <w:r>
        <w:rPr>
          <w:sz w:val="22"/>
        </w:rPr>
        <w:t>of</w:t>
      </w:r>
      <w:r>
        <w:rPr>
          <w:spacing w:val="-2"/>
          <w:sz w:val="22"/>
        </w:rPr>
        <w:t> </w:t>
      </w:r>
      <w:r>
        <w:rPr>
          <w:spacing w:val="-4"/>
          <w:sz w:val="22"/>
        </w:rPr>
        <w:t>$80:</w:t>
      </w:r>
    </w:p>
    <w:p>
      <w:pPr>
        <w:spacing w:before="2"/>
        <w:ind w:left="1219" w:right="1096" w:firstLine="0"/>
        <w:jc w:val="both"/>
        <w:rPr>
          <w:sz w:val="22"/>
        </w:rPr>
      </w:pPr>
      <w:r>
        <w:rPr>
          <w:sz w:val="22"/>
        </w:rPr>
        <w:t>Example payment amount for one month = (Total number of members assigned but not engaged + total number of members engaged)*$80</w:t>
      </w:r>
    </w:p>
    <w:p>
      <w:pPr>
        <w:pStyle w:val="ListParagraph"/>
        <w:numPr>
          <w:ilvl w:val="2"/>
          <w:numId w:val="68"/>
        </w:numPr>
        <w:tabs>
          <w:tab w:pos="1938" w:val="left" w:leader="none"/>
        </w:tabs>
        <w:spacing w:line="240" w:lineRule="auto" w:before="159" w:after="0"/>
        <w:ind w:left="1938" w:right="0" w:hanging="719"/>
        <w:jc w:val="both"/>
        <w:rPr>
          <w:b/>
          <w:color w:val="4471C4"/>
          <w:sz w:val="22"/>
        </w:rPr>
      </w:pPr>
      <w:bookmarkStart w:name="4.5.5 LTSS CP Sub-Stream 2: Infrastructu" w:id="1328"/>
      <w:bookmarkEnd w:id="1328"/>
      <w:r>
        <w:rPr/>
      </w:r>
      <w:bookmarkStart w:name="_bookmark58" w:id="1329"/>
      <w:bookmarkEnd w:id="1329"/>
      <w:r>
        <w:rPr/>
      </w:r>
      <w:r>
        <w:rPr>
          <w:b/>
          <w:color w:val="4471C4"/>
          <w:sz w:val="22"/>
        </w:rPr>
        <w:t>LTSS</w:t>
      </w:r>
      <w:r>
        <w:rPr>
          <w:b/>
          <w:color w:val="4471C4"/>
          <w:spacing w:val="-8"/>
          <w:sz w:val="22"/>
        </w:rPr>
        <w:t> </w:t>
      </w:r>
      <w:r>
        <w:rPr>
          <w:b/>
          <w:color w:val="4471C4"/>
          <w:sz w:val="22"/>
        </w:rPr>
        <w:t>CP</w:t>
      </w:r>
      <w:r>
        <w:rPr>
          <w:b/>
          <w:color w:val="4471C4"/>
          <w:spacing w:val="-3"/>
          <w:sz w:val="22"/>
        </w:rPr>
        <w:t> </w:t>
      </w:r>
      <w:r>
        <w:rPr>
          <w:b/>
          <w:color w:val="4471C4"/>
          <w:sz w:val="22"/>
        </w:rPr>
        <w:t>Sub-Stream</w:t>
      </w:r>
      <w:r>
        <w:rPr>
          <w:b/>
          <w:color w:val="4471C4"/>
          <w:spacing w:val="-4"/>
          <w:sz w:val="22"/>
        </w:rPr>
        <w:t> </w:t>
      </w:r>
      <w:r>
        <w:rPr>
          <w:b/>
          <w:color w:val="4471C4"/>
          <w:sz w:val="22"/>
        </w:rPr>
        <w:t>2:</w:t>
      </w:r>
      <w:r>
        <w:rPr>
          <w:b/>
          <w:color w:val="4471C4"/>
          <w:spacing w:val="-4"/>
          <w:sz w:val="22"/>
        </w:rPr>
        <w:t> </w:t>
      </w:r>
      <w:r>
        <w:rPr>
          <w:b/>
          <w:color w:val="4471C4"/>
          <w:sz w:val="22"/>
        </w:rPr>
        <w:t>Infrastructure</w:t>
      </w:r>
      <w:r>
        <w:rPr>
          <w:b/>
          <w:color w:val="4471C4"/>
          <w:spacing w:val="-5"/>
          <w:sz w:val="22"/>
        </w:rPr>
        <w:t> </w:t>
      </w:r>
      <w:r>
        <w:rPr>
          <w:b/>
          <w:color w:val="4471C4"/>
          <w:sz w:val="22"/>
        </w:rPr>
        <w:t>and</w:t>
      </w:r>
      <w:r>
        <w:rPr>
          <w:b/>
          <w:color w:val="4471C4"/>
          <w:spacing w:val="-5"/>
          <w:sz w:val="22"/>
        </w:rPr>
        <w:t> </w:t>
      </w:r>
      <w:r>
        <w:rPr>
          <w:b/>
          <w:color w:val="4471C4"/>
          <w:sz w:val="22"/>
        </w:rPr>
        <w:t>Capacity</w:t>
      </w:r>
      <w:r>
        <w:rPr>
          <w:b/>
          <w:color w:val="4471C4"/>
          <w:spacing w:val="-8"/>
          <w:sz w:val="22"/>
        </w:rPr>
        <w:t> </w:t>
      </w:r>
      <w:r>
        <w:rPr>
          <w:b/>
          <w:color w:val="4471C4"/>
          <w:sz w:val="22"/>
        </w:rPr>
        <w:t>Building</w:t>
      </w:r>
      <w:r>
        <w:rPr>
          <w:b/>
          <w:color w:val="4471C4"/>
          <w:spacing w:val="-7"/>
          <w:sz w:val="22"/>
        </w:rPr>
        <w:t> </w:t>
      </w:r>
      <w:r>
        <w:rPr>
          <w:b/>
          <w:color w:val="4471C4"/>
          <w:spacing w:val="-2"/>
          <w:sz w:val="22"/>
        </w:rPr>
        <w:t>Funding</w:t>
      </w:r>
    </w:p>
    <w:p>
      <w:pPr>
        <w:spacing w:line="240" w:lineRule="auto" w:before="1"/>
        <w:ind w:left="1220" w:right="1094" w:firstLine="0"/>
        <w:jc w:val="both"/>
        <w:rPr>
          <w:sz w:val="22"/>
        </w:rPr>
      </w:pPr>
      <w:r>
        <w:rPr>
          <w:sz w:val="22"/>
        </w:rPr>
        <w:t>Each LTSS CP will receive an initial amount of infrastructure and capacity building funds during the Preparation Budget Period. LTSS CPs will propose allocation of funds across the four categories listed in section 4.3.2 in their Preparation Budget Period Budgets and Budget Narratives. The State anticipates disbursing up to $500,000 to each LTSS CP for initial infrastructure funding. The State has the discretion to</w:t>
      </w:r>
      <w:r>
        <w:rPr>
          <w:spacing w:val="-12"/>
          <w:sz w:val="22"/>
        </w:rPr>
        <w:t> </w:t>
      </w:r>
      <w:r>
        <w:rPr>
          <w:sz w:val="22"/>
        </w:rPr>
        <w:t>adjust</w:t>
      </w:r>
      <w:r>
        <w:rPr>
          <w:spacing w:val="-13"/>
          <w:sz w:val="22"/>
        </w:rPr>
        <w:t> </w:t>
      </w:r>
      <w:r>
        <w:rPr>
          <w:sz w:val="22"/>
        </w:rPr>
        <w:t>the</w:t>
      </w:r>
      <w:r>
        <w:rPr>
          <w:spacing w:val="-14"/>
          <w:sz w:val="22"/>
        </w:rPr>
        <w:t> </w:t>
      </w:r>
      <w:r>
        <w:rPr>
          <w:sz w:val="22"/>
        </w:rPr>
        <w:t>amount</w:t>
      </w:r>
      <w:r>
        <w:rPr>
          <w:spacing w:val="-11"/>
          <w:sz w:val="22"/>
        </w:rPr>
        <w:t> </w:t>
      </w:r>
      <w:r>
        <w:rPr>
          <w:sz w:val="22"/>
        </w:rPr>
        <w:t>of</w:t>
      </w:r>
      <w:r>
        <w:rPr>
          <w:spacing w:val="-13"/>
          <w:sz w:val="22"/>
        </w:rPr>
        <w:t> </w:t>
      </w:r>
      <w:r>
        <w:rPr>
          <w:sz w:val="22"/>
        </w:rPr>
        <w:t>the</w:t>
      </w:r>
      <w:r>
        <w:rPr>
          <w:spacing w:val="-14"/>
          <w:sz w:val="22"/>
        </w:rPr>
        <w:t> </w:t>
      </w:r>
      <w:r>
        <w:rPr>
          <w:sz w:val="22"/>
        </w:rPr>
        <w:t>Preparation</w:t>
      </w:r>
      <w:r>
        <w:rPr>
          <w:spacing w:val="-14"/>
          <w:sz w:val="22"/>
        </w:rPr>
        <w:t> </w:t>
      </w:r>
      <w:r>
        <w:rPr>
          <w:sz w:val="22"/>
        </w:rPr>
        <w:t>Budget</w:t>
      </w:r>
      <w:r>
        <w:rPr>
          <w:spacing w:val="-11"/>
          <w:sz w:val="22"/>
        </w:rPr>
        <w:t> </w:t>
      </w:r>
      <w:r>
        <w:rPr>
          <w:sz w:val="22"/>
        </w:rPr>
        <w:t>Period</w:t>
      </w:r>
      <w:r>
        <w:rPr>
          <w:spacing w:val="-14"/>
          <w:sz w:val="22"/>
        </w:rPr>
        <w:t> </w:t>
      </w:r>
      <w:r>
        <w:rPr>
          <w:sz w:val="22"/>
        </w:rPr>
        <w:t>funds</w:t>
      </w:r>
      <w:r>
        <w:rPr>
          <w:spacing w:val="-11"/>
          <w:sz w:val="22"/>
        </w:rPr>
        <w:t> </w:t>
      </w:r>
      <w:r>
        <w:rPr>
          <w:sz w:val="22"/>
        </w:rPr>
        <w:t>disbursed</w:t>
      </w:r>
      <w:r>
        <w:rPr>
          <w:spacing w:val="-12"/>
          <w:sz w:val="22"/>
        </w:rPr>
        <w:t> </w:t>
      </w:r>
      <w:r>
        <w:rPr>
          <w:sz w:val="22"/>
        </w:rPr>
        <w:t>to</w:t>
      </w:r>
      <w:r>
        <w:rPr>
          <w:spacing w:val="-12"/>
          <w:sz w:val="22"/>
        </w:rPr>
        <w:t> </w:t>
      </w:r>
      <w:r>
        <w:rPr>
          <w:sz w:val="22"/>
        </w:rPr>
        <w:t>LTSS</w:t>
      </w:r>
      <w:r>
        <w:rPr>
          <w:spacing w:val="-12"/>
          <w:sz w:val="22"/>
        </w:rPr>
        <w:t> </w:t>
      </w:r>
      <w:r>
        <w:rPr>
          <w:sz w:val="22"/>
        </w:rPr>
        <w:t>CPs</w:t>
      </w:r>
      <w:r>
        <w:rPr>
          <w:spacing w:val="-11"/>
          <w:sz w:val="22"/>
        </w:rPr>
        <w:t> </w:t>
      </w:r>
      <w:r>
        <w:rPr>
          <w:sz w:val="22"/>
        </w:rPr>
        <w:t>without</w:t>
      </w:r>
      <w:r>
        <w:rPr>
          <w:spacing w:val="-13"/>
          <w:sz w:val="22"/>
        </w:rPr>
        <w:t> </w:t>
      </w:r>
      <w:r>
        <w:rPr>
          <w:sz w:val="22"/>
        </w:rPr>
        <w:t>obtaining</w:t>
      </w:r>
      <w:r>
        <w:rPr>
          <w:spacing w:val="-14"/>
          <w:sz w:val="22"/>
        </w:rPr>
        <w:t> </w:t>
      </w:r>
      <w:r>
        <w:rPr>
          <w:sz w:val="22"/>
        </w:rPr>
        <w:t>CMS </w:t>
      </w:r>
      <w:r>
        <w:rPr>
          <w:spacing w:val="-2"/>
          <w:sz w:val="22"/>
        </w:rPr>
        <w:t>approval.</w:t>
      </w:r>
    </w:p>
    <w:p>
      <w:pPr>
        <w:spacing w:before="160"/>
        <w:ind w:left="1219" w:right="1095" w:firstLine="0"/>
        <w:jc w:val="both"/>
        <w:rPr>
          <w:sz w:val="22"/>
        </w:rPr>
      </w:pPr>
      <w:r>
        <w:rPr>
          <w:sz w:val="22"/>
        </w:rPr>
        <w:t>For Budget Period 1, LTSS CPs will receive infrastructure funds based on the anticipated number of members engaged, as determined by the State.</w:t>
      </w:r>
      <w:r>
        <w:rPr>
          <w:spacing w:val="40"/>
          <w:sz w:val="22"/>
        </w:rPr>
        <w:t> </w:t>
      </w:r>
      <w:r>
        <w:rPr>
          <w:sz w:val="22"/>
        </w:rPr>
        <w:t>For Budget Period 2 through 5, LTSS CPs will receive infrastructure</w:t>
      </w:r>
      <w:r>
        <w:rPr>
          <w:spacing w:val="-7"/>
          <w:sz w:val="22"/>
        </w:rPr>
        <w:t> </w:t>
      </w:r>
      <w:r>
        <w:rPr>
          <w:sz w:val="22"/>
        </w:rPr>
        <w:t>funds</w:t>
      </w:r>
      <w:r>
        <w:rPr>
          <w:spacing w:val="-7"/>
          <w:sz w:val="22"/>
        </w:rPr>
        <w:t> </w:t>
      </w:r>
      <w:r>
        <w:rPr>
          <w:sz w:val="22"/>
        </w:rPr>
        <w:t>based</w:t>
      </w:r>
      <w:r>
        <w:rPr>
          <w:spacing w:val="-5"/>
          <w:sz w:val="22"/>
        </w:rPr>
        <w:t> </w:t>
      </w:r>
      <w:r>
        <w:rPr>
          <w:sz w:val="22"/>
        </w:rPr>
        <w:t>on</w:t>
      </w:r>
      <w:r>
        <w:rPr>
          <w:spacing w:val="-5"/>
          <w:sz w:val="22"/>
        </w:rPr>
        <w:t> </w:t>
      </w:r>
      <w:r>
        <w:rPr>
          <w:sz w:val="22"/>
        </w:rPr>
        <w:t>the</w:t>
      </w:r>
      <w:r>
        <w:rPr>
          <w:spacing w:val="-4"/>
          <w:sz w:val="22"/>
        </w:rPr>
        <w:t> </w:t>
      </w:r>
      <w:r>
        <w:rPr>
          <w:sz w:val="22"/>
        </w:rPr>
        <w:t>number</w:t>
      </w:r>
      <w:r>
        <w:rPr>
          <w:spacing w:val="-4"/>
          <w:sz w:val="22"/>
        </w:rPr>
        <w:t> </w:t>
      </w:r>
      <w:r>
        <w:rPr>
          <w:sz w:val="22"/>
        </w:rPr>
        <w:t>of</w:t>
      </w:r>
      <w:r>
        <w:rPr>
          <w:spacing w:val="-4"/>
          <w:sz w:val="22"/>
        </w:rPr>
        <w:t> </w:t>
      </w:r>
      <w:r>
        <w:rPr>
          <w:sz w:val="22"/>
        </w:rPr>
        <w:t>enrolled</w:t>
      </w:r>
      <w:r>
        <w:rPr>
          <w:spacing w:val="-5"/>
          <w:sz w:val="22"/>
        </w:rPr>
        <w:t> </w:t>
      </w:r>
      <w:r>
        <w:rPr>
          <w:sz w:val="22"/>
        </w:rPr>
        <w:t>members</w:t>
      </w:r>
      <w:r>
        <w:rPr>
          <w:spacing w:val="-4"/>
          <w:sz w:val="22"/>
        </w:rPr>
        <w:t> </w:t>
      </w:r>
      <w:r>
        <w:rPr>
          <w:sz w:val="22"/>
        </w:rPr>
        <w:t>(both</w:t>
      </w:r>
      <w:r>
        <w:rPr>
          <w:spacing w:val="-5"/>
          <w:sz w:val="22"/>
        </w:rPr>
        <w:t> </w:t>
      </w:r>
      <w:r>
        <w:rPr>
          <w:sz w:val="22"/>
        </w:rPr>
        <w:t>assigned</w:t>
      </w:r>
      <w:r>
        <w:rPr>
          <w:spacing w:val="-5"/>
          <w:sz w:val="22"/>
        </w:rPr>
        <w:t> </w:t>
      </w:r>
      <w:r>
        <w:rPr>
          <w:sz w:val="22"/>
        </w:rPr>
        <w:t>and</w:t>
      </w:r>
      <w:r>
        <w:rPr>
          <w:spacing w:val="-7"/>
          <w:sz w:val="22"/>
        </w:rPr>
        <w:t> </w:t>
      </w:r>
      <w:r>
        <w:rPr>
          <w:sz w:val="22"/>
        </w:rPr>
        <w:t>engaged),</w:t>
      </w:r>
      <w:r>
        <w:rPr>
          <w:spacing w:val="-5"/>
          <w:sz w:val="22"/>
        </w:rPr>
        <w:t> </w:t>
      </w:r>
      <w:r>
        <w:rPr>
          <w:sz w:val="22"/>
        </w:rPr>
        <w:t>as</w:t>
      </w:r>
      <w:r>
        <w:rPr>
          <w:spacing w:val="-4"/>
          <w:sz w:val="22"/>
        </w:rPr>
        <w:t> </w:t>
      </w:r>
      <w:r>
        <w:rPr>
          <w:sz w:val="22"/>
        </w:rPr>
        <w:t>determined by</w:t>
      </w:r>
      <w:r>
        <w:rPr>
          <w:spacing w:val="-7"/>
          <w:sz w:val="22"/>
        </w:rPr>
        <w:t> </w:t>
      </w:r>
      <w:r>
        <w:rPr>
          <w:sz w:val="22"/>
        </w:rPr>
        <w:t>the</w:t>
      </w:r>
      <w:r>
        <w:rPr>
          <w:spacing w:val="-4"/>
          <w:sz w:val="22"/>
        </w:rPr>
        <w:t> </w:t>
      </w:r>
      <w:r>
        <w:rPr>
          <w:sz w:val="22"/>
        </w:rPr>
        <w:t>State.</w:t>
      </w:r>
      <w:r>
        <w:rPr>
          <w:spacing w:val="-7"/>
          <w:sz w:val="22"/>
        </w:rPr>
        <w:t> </w:t>
      </w:r>
      <w:r>
        <w:rPr>
          <w:sz w:val="22"/>
        </w:rPr>
        <w:t>The</w:t>
      </w:r>
      <w:r>
        <w:rPr>
          <w:spacing w:val="-4"/>
          <w:sz w:val="22"/>
        </w:rPr>
        <w:t> </w:t>
      </w:r>
      <w:r>
        <w:rPr>
          <w:sz w:val="22"/>
        </w:rPr>
        <w:t>State</w:t>
      </w:r>
      <w:r>
        <w:rPr>
          <w:spacing w:val="-4"/>
          <w:sz w:val="22"/>
        </w:rPr>
        <w:t> </w:t>
      </w:r>
      <w:r>
        <w:rPr>
          <w:sz w:val="22"/>
        </w:rPr>
        <w:t>anticipates</w:t>
      </w:r>
      <w:r>
        <w:rPr>
          <w:spacing w:val="-4"/>
          <w:sz w:val="22"/>
        </w:rPr>
        <w:t> </w:t>
      </w:r>
      <w:r>
        <w:rPr>
          <w:sz w:val="22"/>
        </w:rPr>
        <w:t>making</w:t>
      </w:r>
      <w:r>
        <w:rPr>
          <w:spacing w:val="-7"/>
          <w:sz w:val="22"/>
        </w:rPr>
        <w:t> </w:t>
      </w:r>
      <w:r>
        <w:rPr>
          <w:sz w:val="22"/>
        </w:rPr>
        <w:t>infrastructure</w:t>
      </w:r>
      <w:r>
        <w:rPr>
          <w:spacing w:val="-4"/>
          <w:sz w:val="22"/>
        </w:rPr>
        <w:t> </w:t>
      </w:r>
      <w:r>
        <w:rPr>
          <w:sz w:val="22"/>
        </w:rPr>
        <w:t>payments</w:t>
      </w:r>
      <w:r>
        <w:rPr>
          <w:spacing w:val="-4"/>
          <w:sz w:val="22"/>
        </w:rPr>
        <w:t> </w:t>
      </w:r>
      <w:r>
        <w:rPr>
          <w:sz w:val="22"/>
        </w:rPr>
        <w:t>on</w:t>
      </w:r>
      <w:r>
        <w:rPr>
          <w:spacing w:val="-5"/>
          <w:sz w:val="22"/>
        </w:rPr>
        <w:t> </w:t>
      </w:r>
      <w:r>
        <w:rPr>
          <w:sz w:val="22"/>
        </w:rPr>
        <w:t>a</w:t>
      </w:r>
      <w:r>
        <w:rPr>
          <w:spacing w:val="-4"/>
          <w:sz w:val="22"/>
        </w:rPr>
        <w:t> </w:t>
      </w:r>
      <w:r>
        <w:rPr>
          <w:sz w:val="22"/>
        </w:rPr>
        <w:t>bi-annual</w:t>
      </w:r>
      <w:r>
        <w:rPr>
          <w:spacing w:val="-4"/>
          <w:sz w:val="22"/>
        </w:rPr>
        <w:t> </w:t>
      </w:r>
      <w:r>
        <w:rPr>
          <w:sz w:val="22"/>
        </w:rPr>
        <w:t>basis,</w:t>
      </w:r>
      <w:r>
        <w:rPr>
          <w:spacing w:val="-5"/>
          <w:sz w:val="22"/>
        </w:rPr>
        <w:t> </w:t>
      </w:r>
      <w:r>
        <w:rPr>
          <w:sz w:val="22"/>
        </w:rPr>
        <w:t>except</w:t>
      </w:r>
      <w:r>
        <w:rPr>
          <w:spacing w:val="-6"/>
          <w:sz w:val="22"/>
        </w:rPr>
        <w:t> </w:t>
      </w:r>
      <w:r>
        <w:rPr>
          <w:sz w:val="22"/>
        </w:rPr>
        <w:t>during</w:t>
      </w:r>
      <w:r>
        <w:rPr>
          <w:spacing w:val="-7"/>
          <w:sz w:val="22"/>
        </w:rPr>
        <w:t> </w:t>
      </w:r>
      <w:r>
        <w:rPr>
          <w:sz w:val="22"/>
        </w:rPr>
        <w:t>BP1 and</w:t>
      </w:r>
      <w:r>
        <w:rPr>
          <w:spacing w:val="-9"/>
          <w:sz w:val="22"/>
        </w:rPr>
        <w:t> </w:t>
      </w:r>
      <w:r>
        <w:rPr>
          <w:sz w:val="22"/>
        </w:rPr>
        <w:t>BP5.</w:t>
      </w:r>
      <w:r>
        <w:rPr>
          <w:spacing w:val="-9"/>
          <w:sz w:val="22"/>
        </w:rPr>
        <w:t> </w:t>
      </w:r>
      <w:r>
        <w:rPr>
          <w:sz w:val="22"/>
        </w:rPr>
        <w:t>During</w:t>
      </w:r>
      <w:r>
        <w:rPr>
          <w:spacing w:val="-11"/>
          <w:sz w:val="22"/>
        </w:rPr>
        <w:t> </w:t>
      </w:r>
      <w:r>
        <w:rPr>
          <w:sz w:val="22"/>
        </w:rPr>
        <w:t>BP1,</w:t>
      </w:r>
      <w:r>
        <w:rPr>
          <w:spacing w:val="-9"/>
          <w:sz w:val="22"/>
        </w:rPr>
        <w:t> </w:t>
      </w:r>
      <w:r>
        <w:rPr>
          <w:sz w:val="22"/>
        </w:rPr>
        <w:t>the</w:t>
      </w:r>
      <w:r>
        <w:rPr>
          <w:spacing w:val="-8"/>
          <w:sz w:val="22"/>
        </w:rPr>
        <w:t> </w:t>
      </w:r>
      <w:r>
        <w:rPr>
          <w:sz w:val="22"/>
        </w:rPr>
        <w:t>State</w:t>
      </w:r>
      <w:r>
        <w:rPr>
          <w:spacing w:val="-8"/>
          <w:sz w:val="22"/>
        </w:rPr>
        <w:t> </w:t>
      </w:r>
      <w:r>
        <w:rPr>
          <w:sz w:val="22"/>
        </w:rPr>
        <w:t>anticipates</w:t>
      </w:r>
      <w:r>
        <w:rPr>
          <w:spacing w:val="-8"/>
          <w:sz w:val="22"/>
        </w:rPr>
        <w:t> </w:t>
      </w:r>
      <w:r>
        <w:rPr>
          <w:sz w:val="22"/>
        </w:rPr>
        <w:t>making</w:t>
      </w:r>
      <w:r>
        <w:rPr>
          <w:spacing w:val="-11"/>
          <w:sz w:val="22"/>
        </w:rPr>
        <w:t> </w:t>
      </w:r>
      <w:r>
        <w:rPr>
          <w:sz w:val="22"/>
        </w:rPr>
        <w:t>only</w:t>
      </w:r>
      <w:r>
        <w:rPr>
          <w:spacing w:val="-9"/>
          <w:sz w:val="22"/>
        </w:rPr>
        <w:t> </w:t>
      </w:r>
      <w:r>
        <w:rPr>
          <w:sz w:val="22"/>
        </w:rPr>
        <w:t>one</w:t>
      </w:r>
      <w:r>
        <w:rPr>
          <w:spacing w:val="-8"/>
          <w:sz w:val="22"/>
        </w:rPr>
        <w:t> </w:t>
      </w:r>
      <w:r>
        <w:rPr>
          <w:sz w:val="22"/>
        </w:rPr>
        <w:t>payment</w:t>
      </w:r>
      <w:r>
        <w:rPr>
          <w:spacing w:val="-8"/>
          <w:sz w:val="22"/>
        </w:rPr>
        <w:t> </w:t>
      </w:r>
      <w:r>
        <w:rPr>
          <w:sz w:val="22"/>
        </w:rPr>
        <w:t>to</w:t>
      </w:r>
      <w:r>
        <w:rPr>
          <w:spacing w:val="-9"/>
          <w:sz w:val="22"/>
        </w:rPr>
        <w:t> </w:t>
      </w:r>
      <w:r>
        <w:rPr>
          <w:sz w:val="22"/>
        </w:rPr>
        <w:t>LTSS</w:t>
      </w:r>
      <w:r>
        <w:rPr>
          <w:spacing w:val="-9"/>
          <w:sz w:val="22"/>
        </w:rPr>
        <w:t> </w:t>
      </w:r>
      <w:r>
        <w:rPr>
          <w:sz w:val="22"/>
        </w:rPr>
        <w:t>CPs.</w:t>
      </w:r>
      <w:r>
        <w:rPr>
          <w:spacing w:val="-11"/>
          <w:sz w:val="22"/>
        </w:rPr>
        <w:t> </w:t>
      </w:r>
      <w:r>
        <w:rPr>
          <w:sz w:val="22"/>
        </w:rPr>
        <w:t>During</w:t>
      </w:r>
      <w:r>
        <w:rPr>
          <w:spacing w:val="-11"/>
          <w:sz w:val="22"/>
        </w:rPr>
        <w:t> </w:t>
      </w:r>
      <w:r>
        <w:rPr>
          <w:sz w:val="22"/>
        </w:rPr>
        <w:t>BP5,</w:t>
      </w:r>
      <w:r>
        <w:rPr>
          <w:spacing w:val="-9"/>
          <w:sz w:val="22"/>
        </w:rPr>
        <w:t> </w:t>
      </w:r>
      <w:r>
        <w:rPr>
          <w:sz w:val="22"/>
        </w:rPr>
        <w:t>payments will</w:t>
      </w:r>
      <w:r>
        <w:rPr>
          <w:spacing w:val="-1"/>
          <w:sz w:val="22"/>
        </w:rPr>
        <w:t> </w:t>
      </w:r>
      <w:r>
        <w:rPr>
          <w:sz w:val="22"/>
        </w:rPr>
        <w:t>be</w:t>
      </w:r>
      <w:r>
        <w:rPr>
          <w:spacing w:val="-2"/>
          <w:sz w:val="22"/>
        </w:rPr>
        <w:t> </w:t>
      </w:r>
      <w:r>
        <w:rPr>
          <w:sz w:val="22"/>
        </w:rPr>
        <w:t>attributed</w:t>
      </w:r>
      <w:r>
        <w:rPr>
          <w:spacing w:val="-2"/>
          <w:sz w:val="22"/>
        </w:rPr>
        <w:t> </w:t>
      </w:r>
      <w:r>
        <w:rPr>
          <w:sz w:val="22"/>
        </w:rPr>
        <w:t>to</w:t>
      </w:r>
      <w:r>
        <w:rPr>
          <w:spacing w:val="-2"/>
          <w:sz w:val="22"/>
        </w:rPr>
        <w:t> </w:t>
      </w:r>
      <w:r>
        <w:rPr>
          <w:sz w:val="22"/>
        </w:rPr>
        <w:t>the</w:t>
      </w:r>
      <w:r>
        <w:rPr>
          <w:spacing w:val="-2"/>
          <w:sz w:val="22"/>
        </w:rPr>
        <w:t> </w:t>
      </w:r>
      <w:r>
        <w:rPr>
          <w:sz w:val="22"/>
        </w:rPr>
        <w:t>first half; as such, the attributed amount will be twice</w:t>
      </w:r>
      <w:r>
        <w:rPr>
          <w:spacing w:val="-2"/>
          <w:sz w:val="22"/>
        </w:rPr>
        <w:t> </w:t>
      </w:r>
      <w:r>
        <w:rPr>
          <w:sz w:val="22"/>
        </w:rPr>
        <w:t>the</w:t>
      </w:r>
      <w:r>
        <w:rPr>
          <w:spacing w:val="-4"/>
          <w:sz w:val="22"/>
        </w:rPr>
        <w:t> </w:t>
      </w:r>
      <w:r>
        <w:rPr>
          <w:sz w:val="22"/>
        </w:rPr>
        <w:t>amount as what each bi- annual payment would</w:t>
      </w:r>
      <w:r>
        <w:rPr>
          <w:spacing w:val="-1"/>
          <w:sz w:val="22"/>
        </w:rPr>
        <w:t> </w:t>
      </w:r>
      <w:r>
        <w:rPr>
          <w:sz w:val="22"/>
        </w:rPr>
        <w:t>have been</w:t>
      </w:r>
      <w:r>
        <w:rPr>
          <w:spacing w:val="-1"/>
          <w:sz w:val="22"/>
        </w:rPr>
        <w:t> </w:t>
      </w:r>
      <w:r>
        <w:rPr>
          <w:sz w:val="22"/>
        </w:rPr>
        <w:t>if payments had been attributed</w:t>
      </w:r>
      <w:r>
        <w:rPr>
          <w:spacing w:val="-1"/>
          <w:sz w:val="22"/>
        </w:rPr>
        <w:t> </w:t>
      </w:r>
      <w:r>
        <w:rPr>
          <w:sz w:val="22"/>
        </w:rPr>
        <w:t>throughout the</w:t>
      </w:r>
      <w:r>
        <w:rPr>
          <w:spacing w:val="-3"/>
          <w:sz w:val="22"/>
        </w:rPr>
        <w:t> </w:t>
      </w:r>
      <w:r>
        <w:rPr>
          <w:sz w:val="22"/>
        </w:rPr>
        <w:t>whole BP. For example, if</w:t>
      </w:r>
      <w:r>
        <w:rPr>
          <w:spacing w:val="-11"/>
          <w:sz w:val="22"/>
        </w:rPr>
        <w:t> </w:t>
      </w:r>
      <w:r>
        <w:rPr>
          <w:sz w:val="22"/>
        </w:rPr>
        <w:t>a</w:t>
      </w:r>
      <w:r>
        <w:rPr>
          <w:spacing w:val="-9"/>
          <w:sz w:val="22"/>
        </w:rPr>
        <w:t> </w:t>
      </w:r>
      <w:r>
        <w:rPr>
          <w:sz w:val="22"/>
        </w:rPr>
        <w:t>CP</w:t>
      </w:r>
      <w:r>
        <w:rPr>
          <w:spacing w:val="-10"/>
          <w:sz w:val="22"/>
        </w:rPr>
        <w:t> </w:t>
      </w:r>
      <w:r>
        <w:rPr>
          <w:sz w:val="22"/>
        </w:rPr>
        <w:t>had</w:t>
      </w:r>
      <w:r>
        <w:rPr>
          <w:spacing w:val="-10"/>
          <w:sz w:val="22"/>
        </w:rPr>
        <w:t> </w:t>
      </w:r>
      <w:r>
        <w:rPr>
          <w:sz w:val="22"/>
        </w:rPr>
        <w:t>$100</w:t>
      </w:r>
      <w:r>
        <w:rPr>
          <w:spacing w:val="-12"/>
          <w:sz w:val="22"/>
        </w:rPr>
        <w:t> </w:t>
      </w:r>
      <w:r>
        <w:rPr>
          <w:sz w:val="22"/>
        </w:rPr>
        <w:t>total</w:t>
      </w:r>
      <w:r>
        <w:rPr>
          <w:spacing w:val="-11"/>
          <w:sz w:val="22"/>
        </w:rPr>
        <w:t> </w:t>
      </w:r>
      <w:r>
        <w:rPr>
          <w:sz w:val="22"/>
        </w:rPr>
        <w:t>of</w:t>
      </w:r>
      <w:r>
        <w:rPr>
          <w:spacing w:val="-11"/>
          <w:sz w:val="22"/>
        </w:rPr>
        <w:t> </w:t>
      </w:r>
      <w:r>
        <w:rPr>
          <w:sz w:val="22"/>
        </w:rPr>
        <w:t>non-at-risk</w:t>
      </w:r>
      <w:r>
        <w:rPr>
          <w:spacing w:val="-12"/>
          <w:sz w:val="22"/>
        </w:rPr>
        <w:t> </w:t>
      </w:r>
      <w:r>
        <w:rPr>
          <w:sz w:val="22"/>
        </w:rPr>
        <w:t>infrastructure</w:t>
      </w:r>
      <w:r>
        <w:rPr>
          <w:spacing w:val="-12"/>
          <w:sz w:val="22"/>
        </w:rPr>
        <w:t> </w:t>
      </w:r>
      <w:r>
        <w:rPr>
          <w:sz w:val="22"/>
        </w:rPr>
        <w:t>and</w:t>
      </w:r>
      <w:r>
        <w:rPr>
          <w:spacing w:val="-12"/>
          <w:sz w:val="22"/>
        </w:rPr>
        <w:t> </w:t>
      </w:r>
      <w:r>
        <w:rPr>
          <w:sz w:val="22"/>
        </w:rPr>
        <w:t>capacity</w:t>
      </w:r>
      <w:r>
        <w:rPr>
          <w:spacing w:val="-12"/>
          <w:sz w:val="22"/>
        </w:rPr>
        <w:t> </w:t>
      </w:r>
      <w:r>
        <w:rPr>
          <w:sz w:val="22"/>
        </w:rPr>
        <w:t>building</w:t>
      </w:r>
      <w:r>
        <w:rPr>
          <w:spacing w:val="-12"/>
          <w:sz w:val="22"/>
        </w:rPr>
        <w:t> </w:t>
      </w:r>
      <w:r>
        <w:rPr>
          <w:sz w:val="22"/>
        </w:rPr>
        <w:t>funding</w:t>
      </w:r>
      <w:r>
        <w:rPr>
          <w:spacing w:val="-12"/>
          <w:sz w:val="22"/>
        </w:rPr>
        <w:t> </w:t>
      </w:r>
      <w:r>
        <w:rPr>
          <w:sz w:val="22"/>
        </w:rPr>
        <w:t>for</w:t>
      </w:r>
      <w:r>
        <w:rPr>
          <w:spacing w:val="-9"/>
          <w:sz w:val="22"/>
        </w:rPr>
        <w:t> </w:t>
      </w:r>
      <w:r>
        <w:rPr>
          <w:sz w:val="22"/>
        </w:rPr>
        <w:t>BP5,</w:t>
      </w:r>
      <w:r>
        <w:rPr>
          <w:spacing w:val="-12"/>
          <w:sz w:val="22"/>
        </w:rPr>
        <w:t> </w:t>
      </w:r>
      <w:r>
        <w:rPr>
          <w:sz w:val="22"/>
        </w:rPr>
        <w:t>the</w:t>
      </w:r>
      <w:r>
        <w:rPr>
          <w:spacing w:val="-9"/>
          <w:sz w:val="22"/>
        </w:rPr>
        <w:t> </w:t>
      </w:r>
      <w:r>
        <w:rPr>
          <w:sz w:val="22"/>
        </w:rPr>
        <w:t>total</w:t>
      </w:r>
      <w:r>
        <w:rPr>
          <w:spacing w:val="-9"/>
          <w:sz w:val="22"/>
        </w:rPr>
        <w:t> </w:t>
      </w:r>
      <w:r>
        <w:rPr>
          <w:sz w:val="22"/>
        </w:rPr>
        <w:t>payment would be attributed to the first half of BP5.</w:t>
      </w:r>
    </w:p>
    <w:p>
      <w:pPr>
        <w:spacing w:before="199" w:after="2"/>
        <w:ind w:left="1219" w:right="0" w:firstLine="0"/>
        <w:jc w:val="both"/>
        <w:rPr>
          <w:sz w:val="22"/>
        </w:rPr>
      </w:pPr>
      <w:r>
        <w:rPr>
          <w:sz w:val="22"/>
        </w:rPr>
        <w:t>EXHIBIT</w:t>
      </w:r>
      <w:r>
        <w:rPr>
          <w:spacing w:val="-2"/>
          <w:sz w:val="22"/>
        </w:rPr>
        <w:t> </w:t>
      </w:r>
      <w:r>
        <w:rPr>
          <w:sz w:val="22"/>
        </w:rPr>
        <w:t>13</w:t>
      </w:r>
      <w:r>
        <w:rPr>
          <w:spacing w:val="-3"/>
          <w:sz w:val="22"/>
        </w:rPr>
        <w:t> </w:t>
      </w:r>
      <w:r>
        <w:rPr>
          <w:sz w:val="22"/>
        </w:rPr>
        <w:t>–</w:t>
      </w:r>
      <w:r>
        <w:rPr>
          <w:spacing w:val="-3"/>
          <w:sz w:val="22"/>
        </w:rPr>
        <w:t> </w:t>
      </w:r>
      <w:r>
        <w:rPr>
          <w:sz w:val="22"/>
        </w:rPr>
        <w:t>Anticipated</w:t>
      </w:r>
      <w:r>
        <w:rPr>
          <w:spacing w:val="-7"/>
          <w:sz w:val="22"/>
        </w:rPr>
        <w:t> </w:t>
      </w:r>
      <w:r>
        <w:rPr>
          <w:sz w:val="22"/>
        </w:rPr>
        <w:t>Schedule</w:t>
      </w:r>
      <w:r>
        <w:rPr>
          <w:spacing w:val="-5"/>
          <w:sz w:val="22"/>
        </w:rPr>
        <w:t> </w:t>
      </w:r>
      <w:r>
        <w:rPr>
          <w:sz w:val="22"/>
        </w:rPr>
        <w:t>for</w:t>
      </w:r>
      <w:r>
        <w:rPr>
          <w:spacing w:val="-2"/>
          <w:sz w:val="22"/>
        </w:rPr>
        <w:t> </w:t>
      </w:r>
      <w:r>
        <w:rPr>
          <w:sz w:val="22"/>
        </w:rPr>
        <w:t>LTSS</w:t>
      </w:r>
      <w:r>
        <w:rPr>
          <w:spacing w:val="-4"/>
          <w:sz w:val="22"/>
        </w:rPr>
        <w:t> </w:t>
      </w:r>
      <w:r>
        <w:rPr>
          <w:sz w:val="22"/>
        </w:rPr>
        <w:t>CP</w:t>
      </w:r>
      <w:r>
        <w:rPr>
          <w:spacing w:val="-6"/>
          <w:sz w:val="22"/>
        </w:rPr>
        <w:t> </w:t>
      </w:r>
      <w:r>
        <w:rPr>
          <w:sz w:val="22"/>
        </w:rPr>
        <w:t>for</w:t>
      </w:r>
      <w:r>
        <w:rPr>
          <w:spacing w:val="-2"/>
          <w:sz w:val="22"/>
        </w:rPr>
        <w:t> </w:t>
      </w:r>
      <w:r>
        <w:rPr>
          <w:sz w:val="22"/>
        </w:rPr>
        <w:t>Infrastructure</w:t>
      </w:r>
      <w:r>
        <w:rPr>
          <w:spacing w:val="-3"/>
          <w:sz w:val="22"/>
        </w:rPr>
        <w:t> </w:t>
      </w:r>
      <w:r>
        <w:rPr>
          <w:sz w:val="22"/>
        </w:rPr>
        <w:t>and</w:t>
      </w:r>
      <w:r>
        <w:rPr>
          <w:spacing w:val="-3"/>
          <w:sz w:val="22"/>
        </w:rPr>
        <w:t> </w:t>
      </w:r>
      <w:r>
        <w:rPr>
          <w:sz w:val="22"/>
        </w:rPr>
        <w:t>Capacity</w:t>
      </w:r>
      <w:r>
        <w:rPr>
          <w:spacing w:val="-6"/>
          <w:sz w:val="22"/>
        </w:rPr>
        <w:t> </w:t>
      </w:r>
      <w:r>
        <w:rPr>
          <w:sz w:val="22"/>
        </w:rPr>
        <w:t>Building</w:t>
      </w:r>
      <w:r>
        <w:rPr>
          <w:spacing w:val="-5"/>
          <w:sz w:val="22"/>
        </w:rPr>
        <w:t> </w:t>
      </w:r>
      <w:r>
        <w:rPr>
          <w:spacing w:val="-2"/>
          <w:sz w:val="22"/>
        </w:rPr>
        <w:t>(PMPM)</w:t>
      </w:r>
    </w:p>
    <w:tbl>
      <w:tblPr>
        <w:tblW w:w="0" w:type="auto"/>
        <w:jc w:val="left"/>
        <w:tblInd w:w="1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6"/>
        <w:gridCol w:w="1678"/>
        <w:gridCol w:w="1671"/>
        <w:gridCol w:w="1671"/>
        <w:gridCol w:w="1539"/>
        <w:gridCol w:w="1544"/>
        <w:gridCol w:w="630"/>
      </w:tblGrid>
      <w:tr>
        <w:trPr>
          <w:trHeight w:val="248" w:hRule="atLeast"/>
        </w:trPr>
        <w:tc>
          <w:tcPr>
            <w:tcW w:w="646" w:type="dxa"/>
            <w:vMerge w:val="restart"/>
            <w:tcBorders>
              <w:left w:val="nil"/>
              <w:right w:val="single" w:sz="8" w:space="0" w:color="BEBEBE"/>
            </w:tcBorders>
          </w:tcPr>
          <w:p>
            <w:pPr>
              <w:pStyle w:val="TableParagraph"/>
              <w:rPr>
                <w:sz w:val="20"/>
              </w:rPr>
            </w:pPr>
          </w:p>
        </w:tc>
        <w:tc>
          <w:tcPr>
            <w:tcW w:w="8103" w:type="dxa"/>
            <w:gridSpan w:val="5"/>
            <w:tcBorders>
              <w:top w:val="single" w:sz="12" w:space="0" w:color="BEBEBE"/>
              <w:left w:val="single" w:sz="8" w:space="0" w:color="BEBEBE"/>
              <w:bottom w:val="single" w:sz="4" w:space="0" w:color="BEBEBE"/>
              <w:right w:val="single" w:sz="8" w:space="0" w:color="BEBEBE"/>
            </w:tcBorders>
            <w:shd w:val="clear" w:color="auto" w:fill="1F487C"/>
          </w:tcPr>
          <w:p>
            <w:pPr>
              <w:pStyle w:val="TableParagraph"/>
              <w:spacing w:line="227" w:lineRule="exact" w:before="2"/>
              <w:ind w:left="1646" w:right="1649"/>
              <w:jc w:val="center"/>
              <w:rPr>
                <w:b/>
                <w:sz w:val="20"/>
              </w:rPr>
            </w:pPr>
            <w:r>
              <w:rPr>
                <w:b/>
                <w:color w:val="FFFFFF"/>
                <w:sz w:val="20"/>
              </w:rPr>
              <w:t>LTSS</w:t>
            </w:r>
            <w:r>
              <w:rPr>
                <w:b/>
                <w:color w:val="FFFFFF"/>
                <w:spacing w:val="-9"/>
                <w:sz w:val="20"/>
              </w:rPr>
              <w:t> </w:t>
            </w:r>
            <w:r>
              <w:rPr>
                <w:b/>
                <w:color w:val="FFFFFF"/>
                <w:sz w:val="20"/>
              </w:rPr>
              <w:t>CP</w:t>
            </w:r>
            <w:r>
              <w:rPr>
                <w:b/>
                <w:color w:val="FFFFFF"/>
                <w:spacing w:val="-6"/>
                <w:sz w:val="20"/>
              </w:rPr>
              <w:t> </w:t>
            </w:r>
            <w:r>
              <w:rPr>
                <w:b/>
                <w:color w:val="FFFFFF"/>
                <w:sz w:val="20"/>
              </w:rPr>
              <w:t>Infrastructure</w:t>
            </w:r>
            <w:r>
              <w:rPr>
                <w:b/>
                <w:color w:val="FFFFFF"/>
                <w:spacing w:val="-8"/>
                <w:sz w:val="20"/>
              </w:rPr>
              <w:t> </w:t>
            </w:r>
            <w:r>
              <w:rPr>
                <w:b/>
                <w:color w:val="FFFFFF"/>
                <w:sz w:val="20"/>
              </w:rPr>
              <w:t>and</w:t>
            </w:r>
            <w:r>
              <w:rPr>
                <w:b/>
                <w:color w:val="FFFFFF"/>
                <w:spacing w:val="-8"/>
                <w:sz w:val="20"/>
              </w:rPr>
              <w:t> </w:t>
            </w:r>
            <w:r>
              <w:rPr>
                <w:b/>
                <w:color w:val="FFFFFF"/>
                <w:sz w:val="20"/>
              </w:rPr>
              <w:t>Capacity</w:t>
            </w:r>
            <w:r>
              <w:rPr>
                <w:b/>
                <w:color w:val="FFFFFF"/>
                <w:spacing w:val="-7"/>
                <w:sz w:val="20"/>
              </w:rPr>
              <w:t> </w:t>
            </w:r>
            <w:r>
              <w:rPr>
                <w:b/>
                <w:color w:val="FFFFFF"/>
                <w:sz w:val="20"/>
              </w:rPr>
              <w:t>Building</w:t>
            </w:r>
            <w:r>
              <w:rPr>
                <w:b/>
                <w:color w:val="FFFFFF"/>
                <w:spacing w:val="-7"/>
                <w:sz w:val="20"/>
              </w:rPr>
              <w:t> </w:t>
            </w:r>
            <w:r>
              <w:rPr>
                <w:b/>
                <w:color w:val="FFFFFF"/>
                <w:spacing w:val="-4"/>
                <w:sz w:val="20"/>
              </w:rPr>
              <w:t>PMPMs</w:t>
            </w:r>
          </w:p>
        </w:tc>
        <w:tc>
          <w:tcPr>
            <w:tcW w:w="630" w:type="dxa"/>
            <w:vMerge w:val="restart"/>
            <w:tcBorders>
              <w:left w:val="single" w:sz="8" w:space="0" w:color="BEBEBE"/>
              <w:right w:val="nil"/>
            </w:tcBorders>
          </w:tcPr>
          <w:p>
            <w:pPr>
              <w:pStyle w:val="TableParagraph"/>
              <w:rPr>
                <w:sz w:val="20"/>
              </w:rPr>
            </w:pPr>
          </w:p>
        </w:tc>
      </w:tr>
      <w:tr>
        <w:trPr>
          <w:trHeight w:val="249" w:hRule="atLeast"/>
        </w:trPr>
        <w:tc>
          <w:tcPr>
            <w:tcW w:w="646" w:type="dxa"/>
            <w:vMerge/>
            <w:tcBorders>
              <w:top w:val="nil"/>
              <w:left w:val="nil"/>
              <w:right w:val="single" w:sz="8" w:space="0" w:color="BEBEBE"/>
            </w:tcBorders>
          </w:tcPr>
          <w:p>
            <w:pPr>
              <w:rPr>
                <w:sz w:val="2"/>
                <w:szCs w:val="2"/>
              </w:rPr>
            </w:pPr>
          </w:p>
        </w:tc>
        <w:tc>
          <w:tcPr>
            <w:tcW w:w="1678" w:type="dxa"/>
            <w:tcBorders>
              <w:top w:val="single" w:sz="4" w:space="0" w:color="BEBEBE"/>
              <w:left w:val="single" w:sz="8" w:space="0" w:color="BEBEBE"/>
              <w:bottom w:val="single" w:sz="4" w:space="0" w:color="BEBEBE"/>
              <w:right w:val="single" w:sz="4" w:space="0" w:color="BEBEBE"/>
            </w:tcBorders>
            <w:shd w:val="clear" w:color="auto" w:fill="D9D9D9"/>
          </w:tcPr>
          <w:p>
            <w:pPr>
              <w:pStyle w:val="TableParagraph"/>
              <w:spacing w:line="229" w:lineRule="exact"/>
              <w:ind w:left="185" w:right="189"/>
              <w:jc w:val="center"/>
              <w:rPr>
                <w:b/>
                <w:sz w:val="20"/>
              </w:rPr>
            </w:pPr>
            <w:r>
              <w:rPr>
                <w:b/>
                <w:sz w:val="20"/>
              </w:rPr>
              <w:t>BP</w:t>
            </w:r>
            <w:r>
              <w:rPr>
                <w:b/>
                <w:spacing w:val="-1"/>
                <w:sz w:val="20"/>
              </w:rPr>
              <w:t> </w:t>
            </w:r>
            <w:r>
              <w:rPr>
                <w:b/>
                <w:spacing w:val="-10"/>
                <w:sz w:val="20"/>
              </w:rPr>
              <w:t>1</w:t>
            </w:r>
          </w:p>
        </w:tc>
        <w:tc>
          <w:tcPr>
            <w:tcW w:w="1671"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line="229" w:lineRule="exact"/>
              <w:ind w:left="185" w:right="186"/>
              <w:jc w:val="center"/>
              <w:rPr>
                <w:b/>
                <w:sz w:val="20"/>
              </w:rPr>
            </w:pPr>
            <w:r>
              <w:rPr>
                <w:b/>
                <w:sz w:val="20"/>
              </w:rPr>
              <w:t>BP</w:t>
            </w:r>
            <w:r>
              <w:rPr>
                <w:b/>
                <w:spacing w:val="-1"/>
                <w:sz w:val="20"/>
              </w:rPr>
              <w:t> </w:t>
            </w:r>
            <w:r>
              <w:rPr>
                <w:b/>
                <w:spacing w:val="-10"/>
                <w:sz w:val="20"/>
              </w:rPr>
              <w:t>2</w:t>
            </w:r>
          </w:p>
        </w:tc>
        <w:tc>
          <w:tcPr>
            <w:tcW w:w="1671"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line="229" w:lineRule="exact"/>
              <w:ind w:left="184" w:right="186"/>
              <w:jc w:val="center"/>
              <w:rPr>
                <w:b/>
                <w:sz w:val="20"/>
              </w:rPr>
            </w:pPr>
            <w:r>
              <w:rPr>
                <w:b/>
                <w:sz w:val="20"/>
              </w:rPr>
              <w:t>BP</w:t>
            </w:r>
            <w:r>
              <w:rPr>
                <w:b/>
                <w:spacing w:val="-1"/>
                <w:sz w:val="20"/>
              </w:rPr>
              <w:t> </w:t>
            </w:r>
            <w:r>
              <w:rPr>
                <w:b/>
                <w:spacing w:val="-10"/>
                <w:sz w:val="20"/>
              </w:rPr>
              <w:t>3</w:t>
            </w:r>
          </w:p>
        </w:tc>
        <w:tc>
          <w:tcPr>
            <w:tcW w:w="1539"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line="229" w:lineRule="exact"/>
              <w:ind w:left="165" w:right="171"/>
              <w:jc w:val="center"/>
              <w:rPr>
                <w:b/>
                <w:sz w:val="20"/>
              </w:rPr>
            </w:pPr>
            <w:r>
              <w:rPr>
                <w:b/>
                <w:sz w:val="20"/>
              </w:rPr>
              <w:t>BP</w:t>
            </w:r>
            <w:r>
              <w:rPr>
                <w:b/>
                <w:spacing w:val="-1"/>
                <w:sz w:val="20"/>
              </w:rPr>
              <w:t> </w:t>
            </w:r>
            <w:r>
              <w:rPr>
                <w:b/>
                <w:spacing w:val="-10"/>
                <w:sz w:val="20"/>
              </w:rPr>
              <w:t>4</w:t>
            </w:r>
          </w:p>
        </w:tc>
        <w:tc>
          <w:tcPr>
            <w:tcW w:w="1544" w:type="dxa"/>
            <w:tcBorders>
              <w:top w:val="single" w:sz="4" w:space="0" w:color="BEBEBE"/>
              <w:left w:val="single" w:sz="4" w:space="0" w:color="BEBEBE"/>
              <w:bottom w:val="single" w:sz="4" w:space="0" w:color="BEBEBE"/>
              <w:right w:val="single" w:sz="8" w:space="0" w:color="BEBEBE"/>
            </w:tcBorders>
            <w:shd w:val="clear" w:color="auto" w:fill="D9D9D9"/>
          </w:tcPr>
          <w:p>
            <w:pPr>
              <w:pStyle w:val="TableParagraph"/>
              <w:spacing w:line="229" w:lineRule="exact"/>
              <w:ind w:left="168" w:right="170"/>
              <w:jc w:val="center"/>
              <w:rPr>
                <w:b/>
                <w:sz w:val="20"/>
              </w:rPr>
            </w:pPr>
            <w:r>
              <w:rPr>
                <w:b/>
                <w:sz w:val="20"/>
              </w:rPr>
              <w:t>BP</w:t>
            </w:r>
            <w:r>
              <w:rPr>
                <w:b/>
                <w:spacing w:val="-1"/>
                <w:sz w:val="20"/>
              </w:rPr>
              <w:t> </w:t>
            </w:r>
            <w:r>
              <w:rPr>
                <w:b/>
                <w:spacing w:val="-10"/>
                <w:sz w:val="20"/>
              </w:rPr>
              <w:t>5</w:t>
            </w:r>
          </w:p>
        </w:tc>
        <w:tc>
          <w:tcPr>
            <w:tcW w:w="630" w:type="dxa"/>
            <w:vMerge/>
            <w:tcBorders>
              <w:top w:val="nil"/>
              <w:left w:val="single" w:sz="8" w:space="0" w:color="BEBEBE"/>
              <w:right w:val="nil"/>
            </w:tcBorders>
          </w:tcPr>
          <w:p>
            <w:pPr>
              <w:rPr>
                <w:sz w:val="2"/>
                <w:szCs w:val="2"/>
              </w:rPr>
            </w:pPr>
          </w:p>
        </w:tc>
      </w:tr>
      <w:tr>
        <w:trPr>
          <w:trHeight w:val="248" w:hRule="atLeast"/>
        </w:trPr>
        <w:tc>
          <w:tcPr>
            <w:tcW w:w="646" w:type="dxa"/>
            <w:vMerge/>
            <w:tcBorders>
              <w:top w:val="nil"/>
              <w:left w:val="nil"/>
              <w:right w:val="single" w:sz="8" w:space="0" w:color="BEBEBE"/>
            </w:tcBorders>
          </w:tcPr>
          <w:p>
            <w:pPr>
              <w:rPr>
                <w:sz w:val="2"/>
                <w:szCs w:val="2"/>
              </w:rPr>
            </w:pPr>
          </w:p>
        </w:tc>
        <w:tc>
          <w:tcPr>
            <w:tcW w:w="1678" w:type="dxa"/>
            <w:tcBorders>
              <w:top w:val="single" w:sz="4" w:space="0" w:color="BEBEBE"/>
              <w:left w:val="single" w:sz="8" w:space="0" w:color="BEBEBE"/>
              <w:bottom w:val="single" w:sz="12" w:space="0" w:color="BEBEBE"/>
              <w:right w:val="single" w:sz="4" w:space="0" w:color="BEBEBE"/>
            </w:tcBorders>
          </w:tcPr>
          <w:p>
            <w:pPr>
              <w:pStyle w:val="TableParagraph"/>
              <w:spacing w:line="229" w:lineRule="exact"/>
              <w:ind w:left="185" w:right="189"/>
              <w:jc w:val="center"/>
              <w:rPr>
                <w:sz w:val="20"/>
              </w:rPr>
            </w:pPr>
            <w:r>
              <w:rPr>
                <w:sz w:val="20"/>
              </w:rPr>
              <w:t>$30.00</w:t>
            </w:r>
            <w:r>
              <w:rPr>
                <w:spacing w:val="-2"/>
                <w:sz w:val="20"/>
              </w:rPr>
              <w:t> </w:t>
            </w:r>
            <w:r>
              <w:rPr>
                <w:sz w:val="20"/>
              </w:rPr>
              <w:t>-</w:t>
            </w:r>
            <w:r>
              <w:rPr>
                <w:spacing w:val="-5"/>
                <w:sz w:val="20"/>
              </w:rPr>
              <w:t> </w:t>
            </w:r>
            <w:r>
              <w:rPr>
                <w:spacing w:val="-2"/>
                <w:sz w:val="20"/>
              </w:rPr>
              <w:t>$40.00</w:t>
            </w:r>
          </w:p>
        </w:tc>
        <w:tc>
          <w:tcPr>
            <w:tcW w:w="1671" w:type="dxa"/>
            <w:tcBorders>
              <w:top w:val="single" w:sz="4" w:space="0" w:color="BEBEBE"/>
              <w:left w:val="single" w:sz="4" w:space="0" w:color="BEBEBE"/>
              <w:bottom w:val="single" w:sz="12" w:space="0" w:color="BEBEBE"/>
              <w:right w:val="single" w:sz="4" w:space="0" w:color="BEBEBE"/>
            </w:tcBorders>
          </w:tcPr>
          <w:p>
            <w:pPr>
              <w:pStyle w:val="TableParagraph"/>
              <w:spacing w:line="229" w:lineRule="exact"/>
              <w:ind w:left="186" w:right="186"/>
              <w:jc w:val="center"/>
              <w:rPr>
                <w:sz w:val="20"/>
              </w:rPr>
            </w:pPr>
            <w:r>
              <w:rPr>
                <w:sz w:val="20"/>
              </w:rPr>
              <w:t>$20.00</w:t>
            </w:r>
            <w:r>
              <w:rPr>
                <w:spacing w:val="-2"/>
                <w:sz w:val="20"/>
              </w:rPr>
              <w:t> </w:t>
            </w:r>
            <w:r>
              <w:rPr>
                <w:sz w:val="20"/>
              </w:rPr>
              <w:t>-</w:t>
            </w:r>
            <w:r>
              <w:rPr>
                <w:spacing w:val="-5"/>
                <w:sz w:val="20"/>
              </w:rPr>
              <w:t> </w:t>
            </w:r>
            <w:r>
              <w:rPr>
                <w:spacing w:val="-2"/>
                <w:sz w:val="20"/>
              </w:rPr>
              <w:t>$30.00</w:t>
            </w:r>
          </w:p>
        </w:tc>
        <w:tc>
          <w:tcPr>
            <w:tcW w:w="1671" w:type="dxa"/>
            <w:tcBorders>
              <w:top w:val="single" w:sz="4" w:space="0" w:color="BEBEBE"/>
              <w:left w:val="single" w:sz="4" w:space="0" w:color="BEBEBE"/>
              <w:bottom w:val="single" w:sz="12" w:space="0" w:color="BEBEBE"/>
              <w:right w:val="single" w:sz="4" w:space="0" w:color="BEBEBE"/>
            </w:tcBorders>
          </w:tcPr>
          <w:p>
            <w:pPr>
              <w:pStyle w:val="TableParagraph"/>
              <w:spacing w:line="229" w:lineRule="exact"/>
              <w:ind w:left="185" w:right="186"/>
              <w:jc w:val="center"/>
              <w:rPr>
                <w:sz w:val="20"/>
              </w:rPr>
            </w:pPr>
            <w:r>
              <w:rPr>
                <w:sz w:val="20"/>
              </w:rPr>
              <w:t>$10.00</w:t>
            </w:r>
            <w:r>
              <w:rPr>
                <w:spacing w:val="-2"/>
                <w:sz w:val="20"/>
              </w:rPr>
              <w:t> </w:t>
            </w:r>
            <w:r>
              <w:rPr>
                <w:sz w:val="20"/>
              </w:rPr>
              <w:t>-</w:t>
            </w:r>
            <w:r>
              <w:rPr>
                <w:spacing w:val="-5"/>
                <w:sz w:val="20"/>
              </w:rPr>
              <w:t> </w:t>
            </w:r>
            <w:r>
              <w:rPr>
                <w:spacing w:val="-2"/>
                <w:sz w:val="20"/>
              </w:rPr>
              <w:t>$20.00</w:t>
            </w:r>
          </w:p>
        </w:tc>
        <w:tc>
          <w:tcPr>
            <w:tcW w:w="1539" w:type="dxa"/>
            <w:tcBorders>
              <w:top w:val="single" w:sz="4" w:space="0" w:color="BEBEBE"/>
              <w:left w:val="single" w:sz="4" w:space="0" w:color="BEBEBE"/>
              <w:bottom w:val="single" w:sz="12" w:space="0" w:color="BEBEBE"/>
              <w:right w:val="single" w:sz="4" w:space="0" w:color="BEBEBE"/>
            </w:tcBorders>
          </w:tcPr>
          <w:p>
            <w:pPr>
              <w:pStyle w:val="TableParagraph"/>
              <w:spacing w:line="229" w:lineRule="exact"/>
              <w:ind w:left="168" w:right="170"/>
              <w:jc w:val="center"/>
              <w:rPr>
                <w:sz w:val="20"/>
              </w:rPr>
            </w:pPr>
            <w:r>
              <w:rPr>
                <w:sz w:val="20"/>
              </w:rPr>
              <w:t>$8.00</w:t>
            </w:r>
            <w:r>
              <w:rPr>
                <w:spacing w:val="-3"/>
                <w:sz w:val="20"/>
              </w:rPr>
              <w:t> </w:t>
            </w:r>
            <w:r>
              <w:rPr>
                <w:sz w:val="20"/>
              </w:rPr>
              <w:t>-</w:t>
            </w:r>
            <w:r>
              <w:rPr>
                <w:spacing w:val="-3"/>
                <w:sz w:val="20"/>
              </w:rPr>
              <w:t> </w:t>
            </w:r>
            <w:r>
              <w:rPr>
                <w:spacing w:val="-2"/>
                <w:sz w:val="20"/>
              </w:rPr>
              <w:t>$18.00</w:t>
            </w:r>
          </w:p>
        </w:tc>
        <w:tc>
          <w:tcPr>
            <w:tcW w:w="1544" w:type="dxa"/>
            <w:tcBorders>
              <w:top w:val="single" w:sz="4" w:space="0" w:color="BEBEBE"/>
              <w:left w:val="single" w:sz="4" w:space="0" w:color="BEBEBE"/>
              <w:bottom w:val="single" w:sz="12" w:space="0" w:color="BEBEBE"/>
              <w:right w:val="single" w:sz="8" w:space="0" w:color="BEBEBE"/>
            </w:tcBorders>
          </w:tcPr>
          <w:p>
            <w:pPr>
              <w:pStyle w:val="TableParagraph"/>
              <w:spacing w:line="229" w:lineRule="exact"/>
              <w:ind w:left="168" w:right="171"/>
              <w:jc w:val="center"/>
              <w:rPr>
                <w:sz w:val="20"/>
              </w:rPr>
            </w:pPr>
            <w:r>
              <w:rPr>
                <w:sz w:val="20"/>
              </w:rPr>
              <w:t>$5.00</w:t>
            </w:r>
            <w:r>
              <w:rPr>
                <w:spacing w:val="-3"/>
                <w:sz w:val="20"/>
              </w:rPr>
              <w:t> </w:t>
            </w:r>
            <w:r>
              <w:rPr>
                <w:sz w:val="20"/>
              </w:rPr>
              <w:t>-</w:t>
            </w:r>
            <w:r>
              <w:rPr>
                <w:spacing w:val="-3"/>
                <w:sz w:val="20"/>
              </w:rPr>
              <w:t> </w:t>
            </w:r>
            <w:r>
              <w:rPr>
                <w:spacing w:val="-2"/>
                <w:sz w:val="20"/>
              </w:rPr>
              <w:t>$15.00</w:t>
            </w:r>
          </w:p>
        </w:tc>
        <w:tc>
          <w:tcPr>
            <w:tcW w:w="630" w:type="dxa"/>
            <w:vMerge/>
            <w:tcBorders>
              <w:top w:val="nil"/>
              <w:left w:val="single" w:sz="8" w:space="0" w:color="BEBEBE"/>
              <w:right w:val="nil"/>
            </w:tcBorders>
          </w:tcPr>
          <w:p>
            <w:pPr>
              <w:rPr>
                <w:sz w:val="2"/>
                <w:szCs w:val="2"/>
              </w:rPr>
            </w:pPr>
          </w:p>
        </w:tc>
      </w:tr>
    </w:tbl>
    <w:p>
      <w:pPr>
        <w:pStyle w:val="BodyText"/>
        <w:spacing w:before="9"/>
        <w:rPr>
          <w:sz w:val="35"/>
        </w:rPr>
      </w:pPr>
    </w:p>
    <w:p>
      <w:pPr>
        <w:spacing w:before="0"/>
        <w:ind w:left="1220" w:right="1097" w:firstLine="0"/>
        <w:jc w:val="both"/>
        <w:rPr>
          <w:sz w:val="22"/>
        </w:rPr>
      </w:pPr>
      <w:r>
        <w:rPr>
          <w:sz w:val="22"/>
        </w:rPr>
        <w:t>The final PMPM will vary based on actual overall enrollment in CPs. The State may vary the amount for the PMPM without CMS approval.</w:t>
      </w:r>
    </w:p>
    <w:p>
      <w:pPr>
        <w:spacing w:after="0"/>
        <w:jc w:val="both"/>
        <w:rPr>
          <w:sz w:val="22"/>
        </w:rPr>
        <w:sectPr>
          <w:pgSz w:w="12240" w:h="15840"/>
          <w:pgMar w:header="0" w:footer="967" w:top="1360" w:bottom="1160" w:left="220" w:right="340"/>
        </w:sectPr>
      </w:pPr>
    </w:p>
    <w:p>
      <w:pPr>
        <w:spacing w:before="78"/>
        <w:ind w:left="1219" w:right="1095" w:firstLine="0"/>
        <w:jc w:val="both"/>
        <w:rPr>
          <w:sz w:val="22"/>
        </w:rPr>
      </w:pPr>
      <w:r>
        <w:rPr>
          <w:sz w:val="22"/>
        </w:rPr>
        <w:t>CPs will submit Budgets and Budget Narratives for approval for amounts up to a maximum amount of PMPM * number of members engaged. The State will review and revise budgets as appropriate.</w:t>
      </w:r>
    </w:p>
    <w:p>
      <w:pPr>
        <w:spacing w:before="162"/>
        <w:ind w:left="1219" w:right="0" w:firstLine="0"/>
        <w:jc w:val="both"/>
        <w:rPr>
          <w:sz w:val="22"/>
        </w:rPr>
      </w:pPr>
      <w:r>
        <w:rPr>
          <w:sz w:val="22"/>
        </w:rPr>
        <w:t>For</w:t>
      </w:r>
      <w:r>
        <w:rPr>
          <w:spacing w:val="-2"/>
          <w:sz w:val="22"/>
        </w:rPr>
        <w:t> </w:t>
      </w:r>
      <w:r>
        <w:rPr>
          <w:sz w:val="22"/>
        </w:rPr>
        <w:t>example,</w:t>
      </w:r>
      <w:r>
        <w:rPr>
          <w:spacing w:val="-3"/>
          <w:sz w:val="22"/>
        </w:rPr>
        <w:t> </w:t>
      </w:r>
      <w:r>
        <w:rPr>
          <w:sz w:val="22"/>
        </w:rPr>
        <w:t>for</w:t>
      </w:r>
      <w:r>
        <w:rPr>
          <w:spacing w:val="-4"/>
          <w:sz w:val="22"/>
        </w:rPr>
        <w:t> </w:t>
      </w:r>
      <w:r>
        <w:rPr>
          <w:sz w:val="22"/>
        </w:rPr>
        <w:t>a</w:t>
      </w:r>
      <w:r>
        <w:rPr>
          <w:spacing w:val="-3"/>
          <w:sz w:val="22"/>
        </w:rPr>
        <w:t> </w:t>
      </w:r>
      <w:r>
        <w:rPr>
          <w:sz w:val="22"/>
        </w:rPr>
        <w:t>LTSS</w:t>
      </w:r>
      <w:r>
        <w:rPr>
          <w:spacing w:val="-3"/>
          <w:sz w:val="22"/>
        </w:rPr>
        <w:t> </w:t>
      </w:r>
      <w:r>
        <w:rPr>
          <w:sz w:val="22"/>
        </w:rPr>
        <w:t>CP</w:t>
      </w:r>
      <w:r>
        <w:rPr>
          <w:spacing w:val="-4"/>
          <w:sz w:val="22"/>
        </w:rPr>
        <w:t> </w:t>
      </w:r>
      <w:r>
        <w:rPr>
          <w:sz w:val="22"/>
        </w:rPr>
        <w:t>with</w:t>
      </w:r>
      <w:r>
        <w:rPr>
          <w:spacing w:val="-2"/>
          <w:sz w:val="22"/>
        </w:rPr>
        <w:t> </w:t>
      </w:r>
      <w:r>
        <w:rPr>
          <w:sz w:val="22"/>
        </w:rPr>
        <w:t>1,000</w:t>
      </w:r>
      <w:r>
        <w:rPr>
          <w:spacing w:val="-3"/>
          <w:sz w:val="22"/>
        </w:rPr>
        <w:t> </w:t>
      </w:r>
      <w:r>
        <w:rPr>
          <w:sz w:val="22"/>
        </w:rPr>
        <w:t>engaged</w:t>
      </w:r>
      <w:r>
        <w:rPr>
          <w:spacing w:val="-3"/>
          <w:sz w:val="22"/>
        </w:rPr>
        <w:t> </w:t>
      </w:r>
      <w:r>
        <w:rPr>
          <w:sz w:val="22"/>
        </w:rPr>
        <w:t>members</w:t>
      </w:r>
      <w:r>
        <w:rPr>
          <w:spacing w:val="-2"/>
          <w:sz w:val="22"/>
        </w:rPr>
        <w:t> </w:t>
      </w:r>
      <w:r>
        <w:rPr>
          <w:sz w:val="22"/>
        </w:rPr>
        <w:t>with</w:t>
      </w:r>
      <w:r>
        <w:rPr>
          <w:spacing w:val="-6"/>
          <w:sz w:val="22"/>
        </w:rPr>
        <w:t> </w:t>
      </w:r>
      <w:r>
        <w:rPr>
          <w:sz w:val="22"/>
        </w:rPr>
        <w:t>a</w:t>
      </w:r>
      <w:r>
        <w:rPr>
          <w:spacing w:val="-2"/>
          <w:sz w:val="22"/>
        </w:rPr>
        <w:t> </w:t>
      </w:r>
      <w:r>
        <w:rPr>
          <w:sz w:val="22"/>
        </w:rPr>
        <w:t>PMPM</w:t>
      </w:r>
      <w:r>
        <w:rPr>
          <w:spacing w:val="-3"/>
          <w:sz w:val="22"/>
        </w:rPr>
        <w:t> </w:t>
      </w:r>
      <w:r>
        <w:rPr>
          <w:sz w:val="22"/>
        </w:rPr>
        <w:t>of</w:t>
      </w:r>
      <w:r>
        <w:rPr>
          <w:spacing w:val="-1"/>
          <w:sz w:val="22"/>
        </w:rPr>
        <w:t> </w:t>
      </w:r>
      <w:r>
        <w:rPr>
          <w:spacing w:val="-2"/>
          <w:sz w:val="22"/>
        </w:rPr>
        <w:t>$35.00:</w:t>
      </w:r>
    </w:p>
    <w:p>
      <w:pPr>
        <w:spacing w:before="162"/>
        <w:ind w:left="1939" w:right="0" w:firstLine="0"/>
        <w:jc w:val="left"/>
        <w:rPr>
          <w:sz w:val="22"/>
        </w:rPr>
      </w:pPr>
      <w:r>
        <w:rPr>
          <w:sz w:val="22"/>
        </w:rPr>
        <w:t>The</w:t>
      </w:r>
      <w:r>
        <w:rPr>
          <w:spacing w:val="-5"/>
          <w:sz w:val="22"/>
        </w:rPr>
        <w:t> </w:t>
      </w:r>
      <w:r>
        <w:rPr>
          <w:sz w:val="22"/>
        </w:rPr>
        <w:t>maximum</w:t>
      </w:r>
      <w:r>
        <w:rPr>
          <w:spacing w:val="-7"/>
          <w:sz w:val="22"/>
        </w:rPr>
        <w:t> </w:t>
      </w:r>
      <w:r>
        <w:rPr>
          <w:sz w:val="22"/>
        </w:rPr>
        <w:t>amount</w:t>
      </w:r>
      <w:r>
        <w:rPr>
          <w:spacing w:val="-2"/>
          <w:sz w:val="22"/>
        </w:rPr>
        <w:t> </w:t>
      </w:r>
      <w:r>
        <w:rPr>
          <w:sz w:val="22"/>
        </w:rPr>
        <w:t>of</w:t>
      </w:r>
      <w:r>
        <w:rPr>
          <w:spacing w:val="-2"/>
          <w:sz w:val="22"/>
        </w:rPr>
        <w:t> </w:t>
      </w:r>
      <w:r>
        <w:rPr>
          <w:sz w:val="22"/>
        </w:rPr>
        <w:t>Budget</w:t>
      </w:r>
      <w:r>
        <w:rPr>
          <w:spacing w:val="-3"/>
          <w:sz w:val="22"/>
        </w:rPr>
        <w:t> </w:t>
      </w:r>
      <w:r>
        <w:rPr>
          <w:sz w:val="22"/>
        </w:rPr>
        <w:t>Period</w:t>
      </w:r>
      <w:r>
        <w:rPr>
          <w:spacing w:val="-3"/>
          <w:sz w:val="22"/>
        </w:rPr>
        <w:t> </w:t>
      </w:r>
      <w:r>
        <w:rPr>
          <w:sz w:val="22"/>
        </w:rPr>
        <w:t>1</w:t>
      </w:r>
      <w:r>
        <w:rPr>
          <w:spacing w:val="-3"/>
          <w:sz w:val="22"/>
        </w:rPr>
        <w:t> </w:t>
      </w:r>
      <w:r>
        <w:rPr>
          <w:sz w:val="22"/>
        </w:rPr>
        <w:t>Infrastructure</w:t>
      </w:r>
      <w:r>
        <w:rPr>
          <w:spacing w:val="-3"/>
          <w:sz w:val="22"/>
        </w:rPr>
        <w:t> </w:t>
      </w:r>
      <w:r>
        <w:rPr>
          <w:sz w:val="22"/>
        </w:rPr>
        <w:t>Funds</w:t>
      </w:r>
      <w:r>
        <w:rPr>
          <w:spacing w:val="-5"/>
          <w:sz w:val="22"/>
        </w:rPr>
        <w:t> </w:t>
      </w:r>
      <w:r>
        <w:rPr>
          <w:sz w:val="22"/>
        </w:rPr>
        <w:t>=</w:t>
      </w:r>
      <w:r>
        <w:rPr>
          <w:spacing w:val="-3"/>
          <w:sz w:val="22"/>
        </w:rPr>
        <w:t> </w:t>
      </w:r>
      <w:r>
        <w:rPr>
          <w:sz w:val="22"/>
        </w:rPr>
        <w:t>$35.00*12*1000</w:t>
      </w:r>
      <w:r>
        <w:rPr>
          <w:spacing w:val="-5"/>
          <w:sz w:val="22"/>
        </w:rPr>
        <w:t> </w:t>
      </w:r>
      <w:r>
        <w:rPr>
          <w:sz w:val="22"/>
        </w:rPr>
        <w:t>=</w:t>
      </w:r>
      <w:r>
        <w:rPr>
          <w:spacing w:val="-3"/>
          <w:sz w:val="22"/>
        </w:rPr>
        <w:t> </w:t>
      </w:r>
      <w:r>
        <w:rPr>
          <w:spacing w:val="-2"/>
          <w:sz w:val="22"/>
        </w:rPr>
        <w:t>$420,000</w:t>
      </w:r>
    </w:p>
    <w:p>
      <w:pPr>
        <w:spacing w:before="157"/>
        <w:ind w:left="1219" w:right="1096" w:firstLine="0"/>
        <w:jc w:val="both"/>
        <w:rPr>
          <w:sz w:val="22"/>
        </w:rPr>
      </w:pPr>
      <w:r>
        <w:rPr>
          <w:sz w:val="22"/>
        </w:rPr>
        <w:t>The State may approve a lower amount based on its review of the Budget and Budget Narrative, without CMS approval.</w:t>
      </w:r>
    </w:p>
    <w:p>
      <w:pPr>
        <w:pStyle w:val="ListParagraph"/>
        <w:numPr>
          <w:ilvl w:val="2"/>
          <w:numId w:val="68"/>
        </w:numPr>
        <w:tabs>
          <w:tab w:pos="1938" w:val="left" w:leader="none"/>
        </w:tabs>
        <w:spacing w:line="252" w:lineRule="exact" w:before="200" w:after="0"/>
        <w:ind w:left="1938" w:right="0" w:hanging="719"/>
        <w:jc w:val="both"/>
        <w:rPr>
          <w:b/>
          <w:color w:val="4471C4"/>
          <w:sz w:val="22"/>
        </w:rPr>
      </w:pPr>
      <w:bookmarkStart w:name="4.5.6 LTSS CP Sub-Stream 3: Outcomes-Bas" w:id="1330"/>
      <w:bookmarkEnd w:id="1330"/>
      <w:r>
        <w:rPr/>
      </w:r>
      <w:bookmarkStart w:name="_bookmark59" w:id="1331"/>
      <w:bookmarkEnd w:id="1331"/>
      <w:r>
        <w:rPr/>
      </w:r>
      <w:r>
        <w:rPr>
          <w:b/>
          <w:color w:val="4471C4"/>
          <w:sz w:val="22"/>
        </w:rPr>
        <w:t>LTSS</w:t>
      </w:r>
      <w:r>
        <w:rPr>
          <w:b/>
          <w:color w:val="4471C4"/>
          <w:spacing w:val="-6"/>
          <w:sz w:val="22"/>
        </w:rPr>
        <w:t> </w:t>
      </w:r>
      <w:r>
        <w:rPr>
          <w:b/>
          <w:color w:val="4471C4"/>
          <w:sz w:val="22"/>
        </w:rPr>
        <w:t>CP</w:t>
      </w:r>
      <w:r>
        <w:rPr>
          <w:b/>
          <w:color w:val="4471C4"/>
          <w:spacing w:val="-3"/>
          <w:sz w:val="22"/>
        </w:rPr>
        <w:t> </w:t>
      </w:r>
      <w:r>
        <w:rPr>
          <w:b/>
          <w:color w:val="4471C4"/>
          <w:sz w:val="22"/>
        </w:rPr>
        <w:t>Sub-Stream</w:t>
      </w:r>
      <w:r>
        <w:rPr>
          <w:b/>
          <w:color w:val="4471C4"/>
          <w:spacing w:val="-4"/>
          <w:sz w:val="22"/>
        </w:rPr>
        <w:t> </w:t>
      </w:r>
      <w:r>
        <w:rPr>
          <w:b/>
          <w:color w:val="4471C4"/>
          <w:sz w:val="22"/>
        </w:rPr>
        <w:t>3:</w:t>
      </w:r>
      <w:r>
        <w:rPr>
          <w:b/>
          <w:color w:val="4471C4"/>
          <w:spacing w:val="-7"/>
          <w:sz w:val="22"/>
        </w:rPr>
        <w:t> </w:t>
      </w:r>
      <w:r>
        <w:rPr>
          <w:b/>
          <w:color w:val="4471C4"/>
          <w:sz w:val="22"/>
        </w:rPr>
        <w:t>Outcomes-Based</w:t>
      </w:r>
      <w:r>
        <w:rPr>
          <w:b/>
          <w:color w:val="4471C4"/>
          <w:spacing w:val="-7"/>
          <w:sz w:val="22"/>
        </w:rPr>
        <w:t> </w:t>
      </w:r>
      <w:r>
        <w:rPr>
          <w:b/>
          <w:color w:val="4471C4"/>
          <w:spacing w:val="-2"/>
          <w:sz w:val="22"/>
        </w:rPr>
        <w:t>Payments</w:t>
      </w:r>
    </w:p>
    <w:p>
      <w:pPr>
        <w:spacing w:before="0"/>
        <w:ind w:left="1220" w:right="1095" w:firstLine="0"/>
        <w:jc w:val="both"/>
        <w:rPr>
          <w:sz w:val="22"/>
        </w:rPr>
      </w:pPr>
      <w:r>
        <w:rPr>
          <w:sz w:val="22"/>
        </w:rPr>
        <w:t>Starting in Budget Period 3, the State will designate an annual pool of funding (anticipated to be approximately $500,000 annually) to award to high performing LTSS CPs based on metrics related to avoidable</w:t>
      </w:r>
      <w:r>
        <w:rPr>
          <w:spacing w:val="-7"/>
          <w:sz w:val="22"/>
        </w:rPr>
        <w:t> </w:t>
      </w:r>
      <w:r>
        <w:rPr>
          <w:sz w:val="22"/>
        </w:rPr>
        <w:t>utilization</w:t>
      </w:r>
      <w:r>
        <w:rPr>
          <w:spacing w:val="-9"/>
          <w:sz w:val="22"/>
        </w:rPr>
        <w:t> </w:t>
      </w:r>
      <w:r>
        <w:rPr>
          <w:sz w:val="22"/>
        </w:rPr>
        <w:t>(see</w:t>
      </w:r>
      <w:r>
        <w:rPr>
          <w:spacing w:val="-8"/>
          <w:sz w:val="22"/>
        </w:rPr>
        <w:t> </w:t>
      </w:r>
      <w:r>
        <w:rPr>
          <w:sz w:val="22"/>
        </w:rPr>
        <w:t>Section</w:t>
      </w:r>
      <w:r>
        <w:rPr>
          <w:spacing w:val="-7"/>
          <w:sz w:val="22"/>
        </w:rPr>
        <w:t> </w:t>
      </w:r>
      <w:r>
        <w:rPr>
          <w:sz w:val="22"/>
        </w:rPr>
        <w:t>5.4.5).</w:t>
      </w:r>
      <w:r>
        <w:rPr>
          <w:spacing w:val="-9"/>
          <w:sz w:val="22"/>
        </w:rPr>
        <w:t> </w:t>
      </w:r>
      <w:r>
        <w:rPr>
          <w:sz w:val="22"/>
        </w:rPr>
        <w:t>The</w:t>
      </w:r>
      <w:r>
        <w:rPr>
          <w:spacing w:val="-7"/>
          <w:sz w:val="22"/>
        </w:rPr>
        <w:t> </w:t>
      </w:r>
      <w:r>
        <w:rPr>
          <w:sz w:val="22"/>
        </w:rPr>
        <w:t>State</w:t>
      </w:r>
      <w:r>
        <w:rPr>
          <w:spacing w:val="-7"/>
          <w:sz w:val="22"/>
        </w:rPr>
        <w:t> </w:t>
      </w:r>
      <w:r>
        <w:rPr>
          <w:sz w:val="22"/>
        </w:rPr>
        <w:t>will</w:t>
      </w:r>
      <w:r>
        <w:rPr>
          <w:spacing w:val="-8"/>
          <w:sz w:val="22"/>
        </w:rPr>
        <w:t> </w:t>
      </w:r>
      <w:r>
        <w:rPr>
          <w:sz w:val="22"/>
        </w:rPr>
        <w:t>set</w:t>
      </w:r>
      <w:r>
        <w:rPr>
          <w:spacing w:val="-8"/>
          <w:sz w:val="22"/>
        </w:rPr>
        <w:t> </w:t>
      </w:r>
      <w:r>
        <w:rPr>
          <w:sz w:val="22"/>
        </w:rPr>
        <w:t>the</w:t>
      </w:r>
      <w:r>
        <w:rPr>
          <w:spacing w:val="-8"/>
          <w:sz w:val="22"/>
        </w:rPr>
        <w:t> </w:t>
      </w:r>
      <w:r>
        <w:rPr>
          <w:sz w:val="22"/>
        </w:rPr>
        <w:t>achievement</w:t>
      </w:r>
      <w:r>
        <w:rPr>
          <w:spacing w:val="-6"/>
          <w:sz w:val="22"/>
        </w:rPr>
        <w:t> </w:t>
      </w:r>
      <w:r>
        <w:rPr>
          <w:sz w:val="22"/>
        </w:rPr>
        <w:t>standards</w:t>
      </w:r>
      <w:r>
        <w:rPr>
          <w:spacing w:val="-8"/>
          <w:sz w:val="22"/>
        </w:rPr>
        <w:t> </w:t>
      </w:r>
      <w:r>
        <w:rPr>
          <w:sz w:val="22"/>
        </w:rPr>
        <w:t>following</w:t>
      </w:r>
      <w:r>
        <w:rPr>
          <w:spacing w:val="-8"/>
          <w:sz w:val="22"/>
        </w:rPr>
        <w:t> </w:t>
      </w:r>
      <w:r>
        <w:rPr>
          <w:sz w:val="22"/>
        </w:rPr>
        <w:t>analysis</w:t>
      </w:r>
      <w:r>
        <w:rPr>
          <w:spacing w:val="-8"/>
          <w:sz w:val="22"/>
        </w:rPr>
        <w:t> </w:t>
      </w:r>
      <w:r>
        <w:rPr>
          <w:sz w:val="22"/>
        </w:rPr>
        <w:t>of baseline data from Performance Year 1 and Performance Year 2, subject to CMS approval. Total bonus allotted yearly will be divided amongst the CPs that meet or exceed the achievement standards based on the</w:t>
      </w:r>
      <w:r>
        <w:rPr>
          <w:spacing w:val="-8"/>
          <w:sz w:val="22"/>
        </w:rPr>
        <w:t> </w:t>
      </w:r>
      <w:r>
        <w:rPr>
          <w:sz w:val="22"/>
        </w:rPr>
        <w:t>number</w:t>
      </w:r>
      <w:r>
        <w:rPr>
          <w:spacing w:val="-8"/>
          <w:sz w:val="22"/>
        </w:rPr>
        <w:t> </w:t>
      </w:r>
      <w:r>
        <w:rPr>
          <w:sz w:val="22"/>
        </w:rPr>
        <w:t>of</w:t>
      </w:r>
      <w:r>
        <w:rPr>
          <w:spacing w:val="-8"/>
          <w:sz w:val="22"/>
        </w:rPr>
        <w:t> </w:t>
      </w:r>
      <w:r>
        <w:rPr>
          <w:sz w:val="22"/>
        </w:rPr>
        <w:t>CPs</w:t>
      </w:r>
      <w:r>
        <w:rPr>
          <w:spacing w:val="-8"/>
          <w:sz w:val="22"/>
        </w:rPr>
        <w:t> </w:t>
      </w:r>
      <w:r>
        <w:rPr>
          <w:sz w:val="22"/>
        </w:rPr>
        <w:t>that</w:t>
      </w:r>
      <w:r>
        <w:rPr>
          <w:spacing w:val="-8"/>
          <w:sz w:val="22"/>
        </w:rPr>
        <w:t> </w:t>
      </w:r>
      <w:r>
        <w:rPr>
          <w:sz w:val="22"/>
        </w:rPr>
        <w:t>meet</w:t>
      </w:r>
      <w:r>
        <w:rPr>
          <w:spacing w:val="-8"/>
          <w:sz w:val="22"/>
        </w:rPr>
        <w:t> </w:t>
      </w:r>
      <w:r>
        <w:rPr>
          <w:sz w:val="22"/>
        </w:rPr>
        <w:t>or</w:t>
      </w:r>
      <w:r>
        <w:rPr>
          <w:spacing w:val="-8"/>
          <w:sz w:val="22"/>
        </w:rPr>
        <w:t> </w:t>
      </w:r>
      <w:r>
        <w:rPr>
          <w:sz w:val="22"/>
        </w:rPr>
        <w:t>exceed</w:t>
      </w:r>
      <w:r>
        <w:rPr>
          <w:spacing w:val="-11"/>
          <w:sz w:val="22"/>
        </w:rPr>
        <w:t> </w:t>
      </w:r>
      <w:r>
        <w:rPr>
          <w:sz w:val="22"/>
        </w:rPr>
        <w:t>the</w:t>
      </w:r>
      <w:r>
        <w:rPr>
          <w:spacing w:val="-8"/>
          <w:sz w:val="22"/>
        </w:rPr>
        <w:t> </w:t>
      </w:r>
      <w:r>
        <w:rPr>
          <w:sz w:val="22"/>
        </w:rPr>
        <w:t>achievement</w:t>
      </w:r>
      <w:r>
        <w:rPr>
          <w:spacing w:val="-10"/>
          <w:sz w:val="22"/>
        </w:rPr>
        <w:t> </w:t>
      </w:r>
      <w:r>
        <w:rPr>
          <w:sz w:val="22"/>
        </w:rPr>
        <w:t>standards.</w:t>
      </w:r>
      <w:r>
        <w:rPr>
          <w:spacing w:val="38"/>
          <w:sz w:val="22"/>
        </w:rPr>
        <w:t> </w:t>
      </w:r>
      <w:r>
        <w:rPr>
          <w:sz w:val="22"/>
        </w:rPr>
        <w:t>See</w:t>
      </w:r>
      <w:r>
        <w:rPr>
          <w:spacing w:val="-8"/>
          <w:sz w:val="22"/>
        </w:rPr>
        <w:t> </w:t>
      </w:r>
      <w:r>
        <w:rPr>
          <w:sz w:val="22"/>
        </w:rPr>
        <w:t>Section</w:t>
      </w:r>
      <w:r>
        <w:rPr>
          <w:spacing w:val="-9"/>
          <w:sz w:val="22"/>
        </w:rPr>
        <w:t> </w:t>
      </w:r>
      <w:r>
        <w:rPr>
          <w:sz w:val="22"/>
        </w:rPr>
        <w:t>5.4.5</w:t>
      </w:r>
      <w:r>
        <w:rPr>
          <w:spacing w:val="-9"/>
          <w:sz w:val="22"/>
        </w:rPr>
        <w:t> </w:t>
      </w:r>
      <w:r>
        <w:rPr>
          <w:sz w:val="22"/>
        </w:rPr>
        <w:t>for</w:t>
      </w:r>
      <w:r>
        <w:rPr>
          <w:spacing w:val="-8"/>
          <w:sz w:val="22"/>
        </w:rPr>
        <w:t> </w:t>
      </w:r>
      <w:r>
        <w:rPr>
          <w:sz w:val="22"/>
        </w:rPr>
        <w:t>more</w:t>
      </w:r>
      <w:r>
        <w:rPr>
          <w:spacing w:val="-8"/>
          <w:sz w:val="22"/>
        </w:rPr>
        <w:t> </w:t>
      </w:r>
      <w:r>
        <w:rPr>
          <w:sz w:val="22"/>
        </w:rPr>
        <w:t>details</w:t>
      </w:r>
      <w:r>
        <w:rPr>
          <w:spacing w:val="-8"/>
          <w:sz w:val="22"/>
        </w:rPr>
        <w:t> </w:t>
      </w:r>
      <w:r>
        <w:rPr>
          <w:sz w:val="22"/>
        </w:rPr>
        <w:t>about how the funding will be distributed to the eligible CPs. The State will not require CPs to submit budgets for Outcomes Based Payments.</w:t>
      </w:r>
    </w:p>
    <w:p>
      <w:pPr>
        <w:pStyle w:val="ListParagraph"/>
        <w:numPr>
          <w:ilvl w:val="2"/>
          <w:numId w:val="68"/>
        </w:numPr>
        <w:tabs>
          <w:tab w:pos="1939" w:val="left" w:leader="none"/>
        </w:tabs>
        <w:spacing w:line="252" w:lineRule="exact" w:before="200" w:after="0"/>
        <w:ind w:left="1939" w:right="0" w:hanging="719"/>
        <w:jc w:val="both"/>
        <w:rPr>
          <w:b/>
          <w:color w:val="4471C4"/>
          <w:sz w:val="22"/>
        </w:rPr>
      </w:pPr>
      <w:bookmarkStart w:name="4.5.7 CSA Sub-Stream 1: Infrastructure a" w:id="1332"/>
      <w:bookmarkEnd w:id="1332"/>
      <w:r>
        <w:rPr/>
      </w:r>
      <w:bookmarkStart w:name="_bookmark60" w:id="1333"/>
      <w:bookmarkEnd w:id="1333"/>
      <w:r>
        <w:rPr/>
      </w:r>
      <w:r>
        <w:rPr>
          <w:b/>
          <w:color w:val="4471C4"/>
          <w:sz w:val="22"/>
        </w:rPr>
        <w:t>CSA</w:t>
      </w:r>
      <w:r>
        <w:rPr>
          <w:b/>
          <w:color w:val="4471C4"/>
          <w:spacing w:val="-8"/>
          <w:sz w:val="22"/>
        </w:rPr>
        <w:t> </w:t>
      </w:r>
      <w:r>
        <w:rPr>
          <w:b/>
          <w:color w:val="4471C4"/>
          <w:sz w:val="22"/>
        </w:rPr>
        <w:t>Sub-Stream</w:t>
      </w:r>
      <w:r>
        <w:rPr>
          <w:b/>
          <w:color w:val="4471C4"/>
          <w:spacing w:val="-4"/>
          <w:sz w:val="22"/>
        </w:rPr>
        <w:t> </w:t>
      </w:r>
      <w:r>
        <w:rPr>
          <w:b/>
          <w:color w:val="4471C4"/>
          <w:sz w:val="22"/>
        </w:rPr>
        <w:t>1:</w:t>
      </w:r>
      <w:r>
        <w:rPr>
          <w:b/>
          <w:color w:val="4471C4"/>
          <w:spacing w:val="-4"/>
          <w:sz w:val="22"/>
        </w:rPr>
        <w:t> </w:t>
      </w:r>
      <w:r>
        <w:rPr>
          <w:b/>
          <w:color w:val="4471C4"/>
          <w:sz w:val="22"/>
        </w:rPr>
        <w:t>Infrastructure</w:t>
      </w:r>
      <w:r>
        <w:rPr>
          <w:b/>
          <w:color w:val="4471C4"/>
          <w:spacing w:val="-5"/>
          <w:sz w:val="22"/>
        </w:rPr>
        <w:t> </w:t>
      </w:r>
      <w:r>
        <w:rPr>
          <w:b/>
          <w:color w:val="4471C4"/>
          <w:sz w:val="22"/>
        </w:rPr>
        <w:t>and</w:t>
      </w:r>
      <w:r>
        <w:rPr>
          <w:b/>
          <w:color w:val="4471C4"/>
          <w:spacing w:val="-6"/>
          <w:sz w:val="22"/>
        </w:rPr>
        <w:t> </w:t>
      </w:r>
      <w:r>
        <w:rPr>
          <w:b/>
          <w:color w:val="4471C4"/>
          <w:sz w:val="22"/>
        </w:rPr>
        <w:t>Capacity</w:t>
      </w:r>
      <w:r>
        <w:rPr>
          <w:b/>
          <w:color w:val="4471C4"/>
          <w:spacing w:val="-5"/>
          <w:sz w:val="22"/>
        </w:rPr>
        <w:t> </w:t>
      </w:r>
      <w:r>
        <w:rPr>
          <w:b/>
          <w:color w:val="4471C4"/>
          <w:sz w:val="22"/>
        </w:rPr>
        <w:t>Building</w:t>
      </w:r>
      <w:r>
        <w:rPr>
          <w:b/>
          <w:color w:val="4471C4"/>
          <w:spacing w:val="-7"/>
          <w:sz w:val="22"/>
        </w:rPr>
        <w:t> </w:t>
      </w:r>
      <w:r>
        <w:rPr>
          <w:b/>
          <w:color w:val="4471C4"/>
          <w:spacing w:val="-2"/>
          <w:sz w:val="22"/>
        </w:rPr>
        <w:t>Funding</w:t>
      </w:r>
    </w:p>
    <w:p>
      <w:pPr>
        <w:spacing w:line="240" w:lineRule="auto" w:before="0"/>
        <w:ind w:left="1220" w:right="1092" w:firstLine="0"/>
        <w:jc w:val="both"/>
        <w:rPr>
          <w:sz w:val="22"/>
        </w:rPr>
      </w:pPr>
      <w:r>
        <w:rPr>
          <w:sz w:val="22"/>
        </w:rPr>
        <w:t>CSAs will receive an initial amount of infrastructure and capacity building funds during the Preparation Budget Period of between</w:t>
      </w:r>
      <w:r>
        <w:rPr>
          <w:spacing w:val="-1"/>
          <w:sz w:val="22"/>
        </w:rPr>
        <w:t> </w:t>
      </w:r>
      <w:r>
        <w:rPr>
          <w:sz w:val="22"/>
        </w:rPr>
        <w:t>$75,000 and $350,000.</w:t>
      </w:r>
      <w:r>
        <w:rPr>
          <w:spacing w:val="-1"/>
          <w:sz w:val="22"/>
        </w:rPr>
        <w:t> </w:t>
      </w:r>
      <w:r>
        <w:rPr>
          <w:sz w:val="22"/>
        </w:rPr>
        <w:t>The</w:t>
      </w:r>
      <w:r>
        <w:rPr>
          <w:spacing w:val="-1"/>
          <w:sz w:val="22"/>
        </w:rPr>
        <w:t> </w:t>
      </w:r>
      <w:r>
        <w:rPr>
          <w:sz w:val="22"/>
        </w:rPr>
        <w:t>State will categorize CSAs based on the number of members they serve and the number of CSA contracts held and will advise CSA of their budget for the Preparation</w:t>
      </w:r>
      <w:r>
        <w:rPr>
          <w:spacing w:val="-7"/>
          <w:sz w:val="22"/>
        </w:rPr>
        <w:t> </w:t>
      </w:r>
      <w:r>
        <w:rPr>
          <w:sz w:val="22"/>
        </w:rPr>
        <w:t>Budget</w:t>
      </w:r>
      <w:r>
        <w:rPr>
          <w:spacing w:val="-6"/>
          <w:sz w:val="22"/>
        </w:rPr>
        <w:t> </w:t>
      </w:r>
      <w:r>
        <w:rPr>
          <w:sz w:val="22"/>
        </w:rPr>
        <w:t>Period.</w:t>
      </w:r>
      <w:r>
        <w:rPr>
          <w:spacing w:val="-9"/>
          <w:sz w:val="22"/>
        </w:rPr>
        <w:t> </w:t>
      </w:r>
      <w:r>
        <w:rPr>
          <w:sz w:val="22"/>
        </w:rPr>
        <w:t>CSAs</w:t>
      </w:r>
      <w:r>
        <w:rPr>
          <w:spacing w:val="-7"/>
          <w:sz w:val="22"/>
        </w:rPr>
        <w:t> </w:t>
      </w:r>
      <w:r>
        <w:rPr>
          <w:sz w:val="22"/>
        </w:rPr>
        <w:t>will</w:t>
      </w:r>
      <w:r>
        <w:rPr>
          <w:spacing w:val="-8"/>
          <w:sz w:val="22"/>
        </w:rPr>
        <w:t> </w:t>
      </w:r>
      <w:r>
        <w:rPr>
          <w:sz w:val="22"/>
        </w:rPr>
        <w:t>propose</w:t>
      </w:r>
      <w:r>
        <w:rPr>
          <w:spacing w:val="-8"/>
          <w:sz w:val="22"/>
        </w:rPr>
        <w:t> </w:t>
      </w:r>
      <w:r>
        <w:rPr>
          <w:sz w:val="22"/>
        </w:rPr>
        <w:t>allocation</w:t>
      </w:r>
      <w:r>
        <w:rPr>
          <w:spacing w:val="-7"/>
          <w:sz w:val="22"/>
        </w:rPr>
        <w:t> </w:t>
      </w:r>
      <w:r>
        <w:rPr>
          <w:sz w:val="22"/>
        </w:rPr>
        <w:t>of</w:t>
      </w:r>
      <w:r>
        <w:rPr>
          <w:spacing w:val="-6"/>
          <w:sz w:val="22"/>
        </w:rPr>
        <w:t> </w:t>
      </w:r>
      <w:r>
        <w:rPr>
          <w:sz w:val="22"/>
        </w:rPr>
        <w:t>funds</w:t>
      </w:r>
      <w:r>
        <w:rPr>
          <w:spacing w:val="-8"/>
          <w:sz w:val="22"/>
        </w:rPr>
        <w:t> </w:t>
      </w:r>
      <w:r>
        <w:rPr>
          <w:sz w:val="22"/>
        </w:rPr>
        <w:t>across</w:t>
      </w:r>
      <w:r>
        <w:rPr>
          <w:spacing w:val="-8"/>
          <w:sz w:val="22"/>
        </w:rPr>
        <w:t> </w:t>
      </w:r>
      <w:r>
        <w:rPr>
          <w:sz w:val="22"/>
        </w:rPr>
        <w:t>the</w:t>
      </w:r>
      <w:r>
        <w:rPr>
          <w:spacing w:val="-8"/>
          <w:sz w:val="22"/>
        </w:rPr>
        <w:t> </w:t>
      </w:r>
      <w:r>
        <w:rPr>
          <w:sz w:val="22"/>
        </w:rPr>
        <w:t>three</w:t>
      </w:r>
      <w:r>
        <w:rPr>
          <w:spacing w:val="-8"/>
          <w:sz w:val="22"/>
        </w:rPr>
        <w:t> </w:t>
      </w:r>
      <w:r>
        <w:rPr>
          <w:sz w:val="22"/>
        </w:rPr>
        <w:t>infrastructure</w:t>
      </w:r>
      <w:r>
        <w:rPr>
          <w:spacing w:val="-8"/>
          <w:sz w:val="22"/>
        </w:rPr>
        <w:t> </w:t>
      </w:r>
      <w:r>
        <w:rPr>
          <w:sz w:val="22"/>
        </w:rPr>
        <w:t>categories listed in section 4.3.7 in their Preparation Budgets and Budget Narratives. The State will then disburse initial infrastructure funding to CSAs based on the approved budget. The State may adjust the amount of the Preparation Budget Period funds disbursed to CSAs in its discretion.</w:t>
      </w:r>
    </w:p>
    <w:p>
      <w:pPr>
        <w:spacing w:before="160"/>
        <w:ind w:left="1220" w:right="1095" w:firstLine="0"/>
        <w:jc w:val="both"/>
        <w:rPr>
          <w:sz w:val="22"/>
        </w:rPr>
      </w:pPr>
      <w:r>
        <w:rPr>
          <w:sz w:val="22"/>
        </w:rPr>
        <w:t>Exhibit</w:t>
      </w:r>
      <w:r>
        <w:rPr>
          <w:spacing w:val="-6"/>
          <w:sz w:val="22"/>
        </w:rPr>
        <w:t> </w:t>
      </w:r>
      <w:r>
        <w:rPr>
          <w:sz w:val="22"/>
        </w:rPr>
        <w:t>14</w:t>
      </w:r>
      <w:r>
        <w:rPr>
          <w:spacing w:val="-10"/>
          <w:sz w:val="22"/>
        </w:rPr>
        <w:t> </w:t>
      </w:r>
      <w:r>
        <w:rPr>
          <w:sz w:val="22"/>
        </w:rPr>
        <w:t>sets</w:t>
      </w:r>
      <w:r>
        <w:rPr>
          <w:spacing w:val="-9"/>
          <w:sz w:val="22"/>
        </w:rPr>
        <w:t> </w:t>
      </w:r>
      <w:r>
        <w:rPr>
          <w:sz w:val="22"/>
        </w:rPr>
        <w:t>forth</w:t>
      </w:r>
      <w:r>
        <w:rPr>
          <w:spacing w:val="-10"/>
          <w:sz w:val="22"/>
        </w:rPr>
        <w:t> </w:t>
      </w:r>
      <w:r>
        <w:rPr>
          <w:sz w:val="22"/>
        </w:rPr>
        <w:t>the</w:t>
      </w:r>
      <w:r>
        <w:rPr>
          <w:spacing w:val="-7"/>
          <w:sz w:val="22"/>
        </w:rPr>
        <w:t> </w:t>
      </w:r>
      <w:r>
        <w:rPr>
          <w:sz w:val="22"/>
        </w:rPr>
        <w:t>anticipated</w:t>
      </w:r>
      <w:r>
        <w:rPr>
          <w:spacing w:val="-7"/>
          <w:sz w:val="22"/>
        </w:rPr>
        <w:t> </w:t>
      </w:r>
      <w:r>
        <w:rPr>
          <w:sz w:val="22"/>
        </w:rPr>
        <w:t>PMPM</w:t>
      </w:r>
      <w:r>
        <w:rPr>
          <w:spacing w:val="-7"/>
          <w:sz w:val="22"/>
        </w:rPr>
        <w:t> </w:t>
      </w:r>
      <w:r>
        <w:rPr>
          <w:sz w:val="22"/>
        </w:rPr>
        <w:t>schedule</w:t>
      </w:r>
      <w:r>
        <w:rPr>
          <w:spacing w:val="-9"/>
          <w:sz w:val="22"/>
        </w:rPr>
        <w:t> </w:t>
      </w:r>
      <w:r>
        <w:rPr>
          <w:sz w:val="22"/>
        </w:rPr>
        <w:t>for</w:t>
      </w:r>
      <w:r>
        <w:rPr>
          <w:spacing w:val="-6"/>
          <w:sz w:val="22"/>
        </w:rPr>
        <w:t> </w:t>
      </w:r>
      <w:r>
        <w:rPr>
          <w:sz w:val="22"/>
        </w:rPr>
        <w:t>CSA</w:t>
      </w:r>
      <w:r>
        <w:rPr>
          <w:spacing w:val="-8"/>
          <w:sz w:val="22"/>
        </w:rPr>
        <w:t> </w:t>
      </w:r>
      <w:r>
        <w:rPr>
          <w:sz w:val="22"/>
        </w:rPr>
        <w:t>infrastructure</w:t>
      </w:r>
      <w:r>
        <w:rPr>
          <w:spacing w:val="-7"/>
          <w:sz w:val="22"/>
        </w:rPr>
        <w:t> </w:t>
      </w:r>
      <w:r>
        <w:rPr>
          <w:sz w:val="22"/>
        </w:rPr>
        <w:t>and</w:t>
      </w:r>
      <w:r>
        <w:rPr>
          <w:spacing w:val="-9"/>
          <w:sz w:val="22"/>
        </w:rPr>
        <w:t> </w:t>
      </w:r>
      <w:r>
        <w:rPr>
          <w:sz w:val="22"/>
        </w:rPr>
        <w:t>capacity</w:t>
      </w:r>
      <w:r>
        <w:rPr>
          <w:spacing w:val="-10"/>
          <w:sz w:val="22"/>
        </w:rPr>
        <w:t> </w:t>
      </w:r>
      <w:r>
        <w:rPr>
          <w:sz w:val="22"/>
        </w:rPr>
        <w:t>building</w:t>
      </w:r>
      <w:r>
        <w:rPr>
          <w:spacing w:val="-10"/>
          <w:sz w:val="22"/>
        </w:rPr>
        <w:t> </w:t>
      </w:r>
      <w:r>
        <w:rPr>
          <w:sz w:val="22"/>
        </w:rPr>
        <w:t>funding. The State may vary the infrastructure PMPM amount in its discretion.</w:t>
      </w:r>
    </w:p>
    <w:p>
      <w:pPr>
        <w:spacing w:before="200"/>
        <w:ind w:left="1220" w:right="0" w:firstLine="0"/>
        <w:jc w:val="both"/>
        <w:rPr>
          <w:sz w:val="22"/>
        </w:rPr>
      </w:pPr>
      <w:r>
        <w:rPr>
          <w:sz w:val="22"/>
        </w:rPr>
        <w:t>EXHIBIT</w:t>
      </w:r>
      <w:r>
        <w:rPr>
          <w:spacing w:val="-3"/>
          <w:sz w:val="22"/>
        </w:rPr>
        <w:t> </w:t>
      </w:r>
      <w:r>
        <w:rPr>
          <w:sz w:val="22"/>
        </w:rPr>
        <w:t>14</w:t>
      </w:r>
      <w:r>
        <w:rPr>
          <w:spacing w:val="-3"/>
          <w:sz w:val="22"/>
        </w:rPr>
        <w:t> </w:t>
      </w:r>
      <w:r>
        <w:rPr>
          <w:sz w:val="22"/>
        </w:rPr>
        <w:t>–</w:t>
      </w:r>
      <w:r>
        <w:rPr>
          <w:spacing w:val="-3"/>
          <w:sz w:val="22"/>
        </w:rPr>
        <w:t> </w:t>
      </w:r>
      <w:r>
        <w:rPr>
          <w:sz w:val="22"/>
        </w:rPr>
        <w:t>Anticipated</w:t>
      </w:r>
      <w:r>
        <w:rPr>
          <w:spacing w:val="-8"/>
          <w:sz w:val="22"/>
        </w:rPr>
        <w:t> </w:t>
      </w:r>
      <w:r>
        <w:rPr>
          <w:sz w:val="22"/>
        </w:rPr>
        <w:t>Schedule</w:t>
      </w:r>
      <w:r>
        <w:rPr>
          <w:spacing w:val="-5"/>
          <w:sz w:val="22"/>
        </w:rPr>
        <w:t> </w:t>
      </w:r>
      <w:r>
        <w:rPr>
          <w:sz w:val="22"/>
        </w:rPr>
        <w:t>for</w:t>
      </w:r>
      <w:r>
        <w:rPr>
          <w:spacing w:val="-2"/>
          <w:sz w:val="22"/>
        </w:rPr>
        <w:t> </w:t>
      </w:r>
      <w:r>
        <w:rPr>
          <w:sz w:val="22"/>
        </w:rPr>
        <w:t>CSAs</w:t>
      </w:r>
      <w:r>
        <w:rPr>
          <w:spacing w:val="-4"/>
          <w:sz w:val="22"/>
        </w:rPr>
        <w:t> </w:t>
      </w:r>
      <w:r>
        <w:rPr>
          <w:sz w:val="22"/>
        </w:rPr>
        <w:t>for</w:t>
      </w:r>
      <w:r>
        <w:rPr>
          <w:spacing w:val="-2"/>
          <w:sz w:val="22"/>
        </w:rPr>
        <w:t> </w:t>
      </w:r>
      <w:r>
        <w:rPr>
          <w:sz w:val="22"/>
        </w:rPr>
        <w:t>Infrastructure</w:t>
      </w:r>
      <w:r>
        <w:rPr>
          <w:spacing w:val="-3"/>
          <w:sz w:val="22"/>
        </w:rPr>
        <w:t> </w:t>
      </w:r>
      <w:r>
        <w:rPr>
          <w:sz w:val="22"/>
        </w:rPr>
        <w:t>and</w:t>
      </w:r>
      <w:r>
        <w:rPr>
          <w:spacing w:val="-3"/>
          <w:sz w:val="22"/>
        </w:rPr>
        <w:t> </w:t>
      </w:r>
      <w:r>
        <w:rPr>
          <w:sz w:val="22"/>
        </w:rPr>
        <w:t>Capacity</w:t>
      </w:r>
      <w:r>
        <w:rPr>
          <w:spacing w:val="-6"/>
          <w:sz w:val="22"/>
        </w:rPr>
        <w:t> </w:t>
      </w:r>
      <w:r>
        <w:rPr>
          <w:sz w:val="22"/>
        </w:rPr>
        <w:t>Building</w:t>
      </w:r>
      <w:r>
        <w:rPr>
          <w:spacing w:val="-5"/>
          <w:sz w:val="22"/>
        </w:rPr>
        <w:t> </w:t>
      </w:r>
      <w:r>
        <w:rPr>
          <w:spacing w:val="-2"/>
          <w:sz w:val="22"/>
        </w:rPr>
        <w:t>(PMPM)</w:t>
      </w:r>
    </w:p>
    <w:tbl>
      <w:tblPr>
        <w:tblW w:w="0" w:type="auto"/>
        <w:jc w:val="left"/>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3"/>
        <w:gridCol w:w="1651"/>
        <w:gridCol w:w="1644"/>
        <w:gridCol w:w="1644"/>
        <w:gridCol w:w="1644"/>
        <w:gridCol w:w="1519"/>
        <w:gridCol w:w="629"/>
      </w:tblGrid>
      <w:tr>
        <w:trPr>
          <w:trHeight w:val="340" w:hRule="atLeast"/>
        </w:trPr>
        <w:tc>
          <w:tcPr>
            <w:tcW w:w="643" w:type="dxa"/>
            <w:vMerge w:val="restart"/>
            <w:tcBorders>
              <w:left w:val="nil"/>
              <w:right w:val="single" w:sz="8" w:space="0" w:color="BEBEBE"/>
            </w:tcBorders>
          </w:tcPr>
          <w:p>
            <w:pPr>
              <w:pStyle w:val="TableParagraph"/>
              <w:rPr>
                <w:sz w:val="22"/>
              </w:rPr>
            </w:pPr>
          </w:p>
        </w:tc>
        <w:tc>
          <w:tcPr>
            <w:tcW w:w="8102" w:type="dxa"/>
            <w:gridSpan w:val="5"/>
            <w:tcBorders>
              <w:top w:val="single" w:sz="12" w:space="0" w:color="BEBEBE"/>
              <w:left w:val="single" w:sz="8" w:space="0" w:color="BEBEBE"/>
              <w:bottom w:val="single" w:sz="4" w:space="0" w:color="BEBEBE"/>
              <w:right w:val="single" w:sz="8" w:space="0" w:color="BEBEBE"/>
            </w:tcBorders>
            <w:shd w:val="clear" w:color="auto" w:fill="1F487C"/>
          </w:tcPr>
          <w:p>
            <w:pPr>
              <w:pStyle w:val="TableParagraph"/>
              <w:spacing w:before="2"/>
              <w:ind w:left="1743" w:right="1743"/>
              <w:jc w:val="center"/>
              <w:rPr>
                <w:b/>
                <w:sz w:val="20"/>
              </w:rPr>
            </w:pPr>
            <w:r>
              <w:rPr>
                <w:b/>
                <w:color w:val="FFFFFF"/>
                <w:sz w:val="20"/>
              </w:rPr>
              <w:t>CSA</w:t>
            </w:r>
            <w:r>
              <w:rPr>
                <w:b/>
                <w:color w:val="FFFFFF"/>
                <w:spacing w:val="-9"/>
                <w:sz w:val="20"/>
              </w:rPr>
              <w:t> </w:t>
            </w:r>
            <w:r>
              <w:rPr>
                <w:b/>
                <w:color w:val="FFFFFF"/>
                <w:sz w:val="20"/>
              </w:rPr>
              <w:t>Infrastructure</w:t>
            </w:r>
            <w:r>
              <w:rPr>
                <w:b/>
                <w:color w:val="FFFFFF"/>
                <w:spacing w:val="-8"/>
                <w:sz w:val="20"/>
              </w:rPr>
              <w:t> </w:t>
            </w:r>
            <w:r>
              <w:rPr>
                <w:b/>
                <w:color w:val="FFFFFF"/>
                <w:sz w:val="20"/>
              </w:rPr>
              <w:t>and</w:t>
            </w:r>
            <w:r>
              <w:rPr>
                <w:b/>
                <w:color w:val="FFFFFF"/>
                <w:spacing w:val="-9"/>
                <w:sz w:val="20"/>
              </w:rPr>
              <w:t> </w:t>
            </w:r>
            <w:r>
              <w:rPr>
                <w:b/>
                <w:color w:val="FFFFFF"/>
                <w:sz w:val="20"/>
              </w:rPr>
              <w:t>Capacity</w:t>
            </w:r>
            <w:r>
              <w:rPr>
                <w:b/>
                <w:color w:val="FFFFFF"/>
                <w:spacing w:val="-8"/>
                <w:sz w:val="20"/>
              </w:rPr>
              <w:t> </w:t>
            </w:r>
            <w:r>
              <w:rPr>
                <w:b/>
                <w:color w:val="FFFFFF"/>
                <w:sz w:val="20"/>
              </w:rPr>
              <w:t>Building</w:t>
            </w:r>
            <w:r>
              <w:rPr>
                <w:b/>
                <w:color w:val="FFFFFF"/>
                <w:spacing w:val="-7"/>
                <w:sz w:val="20"/>
              </w:rPr>
              <w:t> </w:t>
            </w:r>
            <w:r>
              <w:rPr>
                <w:b/>
                <w:color w:val="FFFFFF"/>
                <w:spacing w:val="-4"/>
                <w:sz w:val="20"/>
              </w:rPr>
              <w:t>PMPMs</w:t>
            </w:r>
          </w:p>
        </w:tc>
        <w:tc>
          <w:tcPr>
            <w:tcW w:w="629" w:type="dxa"/>
            <w:vMerge w:val="restart"/>
            <w:tcBorders>
              <w:left w:val="single" w:sz="8" w:space="0" w:color="BEBEBE"/>
              <w:right w:val="nil"/>
            </w:tcBorders>
          </w:tcPr>
          <w:p>
            <w:pPr>
              <w:pStyle w:val="TableParagraph"/>
              <w:rPr>
                <w:sz w:val="22"/>
              </w:rPr>
            </w:pPr>
          </w:p>
        </w:tc>
      </w:tr>
      <w:tr>
        <w:trPr>
          <w:trHeight w:val="249" w:hRule="atLeast"/>
        </w:trPr>
        <w:tc>
          <w:tcPr>
            <w:tcW w:w="643" w:type="dxa"/>
            <w:vMerge/>
            <w:tcBorders>
              <w:top w:val="nil"/>
              <w:left w:val="nil"/>
              <w:right w:val="single" w:sz="8" w:space="0" w:color="BEBEBE"/>
            </w:tcBorders>
          </w:tcPr>
          <w:p>
            <w:pPr>
              <w:rPr>
                <w:sz w:val="2"/>
                <w:szCs w:val="2"/>
              </w:rPr>
            </w:pPr>
          </w:p>
        </w:tc>
        <w:tc>
          <w:tcPr>
            <w:tcW w:w="1651" w:type="dxa"/>
            <w:tcBorders>
              <w:top w:val="single" w:sz="4" w:space="0" w:color="BEBEBE"/>
              <w:left w:val="single" w:sz="8" w:space="0" w:color="BEBEBE"/>
              <w:bottom w:val="single" w:sz="4" w:space="0" w:color="BEBEBE"/>
              <w:right w:val="single" w:sz="4" w:space="0" w:color="BEBEBE"/>
            </w:tcBorders>
            <w:shd w:val="clear" w:color="auto" w:fill="D9D9D9"/>
          </w:tcPr>
          <w:p>
            <w:pPr>
              <w:pStyle w:val="TableParagraph"/>
              <w:spacing w:line="227" w:lineRule="exact" w:before="2"/>
              <w:ind w:left="171" w:right="174"/>
              <w:jc w:val="center"/>
              <w:rPr>
                <w:b/>
                <w:sz w:val="20"/>
              </w:rPr>
            </w:pPr>
            <w:r>
              <w:rPr>
                <w:b/>
                <w:sz w:val="20"/>
              </w:rPr>
              <w:t>BP</w:t>
            </w:r>
            <w:r>
              <w:rPr>
                <w:b/>
                <w:spacing w:val="-1"/>
                <w:sz w:val="20"/>
              </w:rPr>
              <w:t> </w:t>
            </w:r>
            <w:r>
              <w:rPr>
                <w:b/>
                <w:spacing w:val="-10"/>
                <w:sz w:val="20"/>
              </w:rPr>
              <w:t>1</w:t>
            </w:r>
          </w:p>
        </w:tc>
        <w:tc>
          <w:tcPr>
            <w:tcW w:w="1644"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line="227" w:lineRule="exact" w:before="2"/>
              <w:ind w:left="100" w:right="98"/>
              <w:jc w:val="center"/>
              <w:rPr>
                <w:b/>
                <w:sz w:val="20"/>
              </w:rPr>
            </w:pPr>
            <w:r>
              <w:rPr>
                <w:b/>
                <w:sz w:val="20"/>
              </w:rPr>
              <w:t>BP</w:t>
            </w:r>
            <w:r>
              <w:rPr>
                <w:b/>
                <w:spacing w:val="-1"/>
                <w:sz w:val="20"/>
              </w:rPr>
              <w:t> </w:t>
            </w:r>
            <w:r>
              <w:rPr>
                <w:b/>
                <w:spacing w:val="-10"/>
                <w:sz w:val="20"/>
              </w:rPr>
              <w:t>2</w:t>
            </w:r>
          </w:p>
        </w:tc>
        <w:tc>
          <w:tcPr>
            <w:tcW w:w="1644"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line="227" w:lineRule="exact" w:before="2"/>
              <w:ind w:left="100" w:right="98"/>
              <w:jc w:val="center"/>
              <w:rPr>
                <w:b/>
                <w:sz w:val="20"/>
              </w:rPr>
            </w:pPr>
            <w:r>
              <w:rPr>
                <w:b/>
                <w:sz w:val="20"/>
              </w:rPr>
              <w:t>BP</w:t>
            </w:r>
            <w:r>
              <w:rPr>
                <w:b/>
                <w:spacing w:val="-1"/>
                <w:sz w:val="20"/>
              </w:rPr>
              <w:t> </w:t>
            </w:r>
            <w:r>
              <w:rPr>
                <w:b/>
                <w:spacing w:val="-10"/>
                <w:sz w:val="20"/>
              </w:rPr>
              <w:t>3</w:t>
            </w:r>
          </w:p>
        </w:tc>
        <w:tc>
          <w:tcPr>
            <w:tcW w:w="1644"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line="227" w:lineRule="exact" w:before="2"/>
              <w:ind w:left="100" w:right="98"/>
              <w:jc w:val="center"/>
              <w:rPr>
                <w:b/>
                <w:sz w:val="20"/>
              </w:rPr>
            </w:pPr>
            <w:r>
              <w:rPr>
                <w:b/>
                <w:sz w:val="20"/>
              </w:rPr>
              <w:t>BP</w:t>
            </w:r>
            <w:r>
              <w:rPr>
                <w:b/>
                <w:spacing w:val="-1"/>
                <w:sz w:val="20"/>
              </w:rPr>
              <w:t> </w:t>
            </w:r>
            <w:r>
              <w:rPr>
                <w:b/>
                <w:spacing w:val="-10"/>
                <w:sz w:val="20"/>
              </w:rPr>
              <w:t>4</w:t>
            </w:r>
          </w:p>
        </w:tc>
        <w:tc>
          <w:tcPr>
            <w:tcW w:w="1519" w:type="dxa"/>
            <w:tcBorders>
              <w:top w:val="single" w:sz="4" w:space="0" w:color="BEBEBE"/>
              <w:left w:val="single" w:sz="4" w:space="0" w:color="BEBEBE"/>
              <w:bottom w:val="single" w:sz="4" w:space="0" w:color="BEBEBE"/>
              <w:right w:val="single" w:sz="8" w:space="0" w:color="BEBEBE"/>
            </w:tcBorders>
            <w:shd w:val="clear" w:color="auto" w:fill="D9D9D9"/>
          </w:tcPr>
          <w:p>
            <w:pPr>
              <w:pStyle w:val="TableParagraph"/>
              <w:spacing w:line="227" w:lineRule="exact" w:before="2"/>
              <w:ind w:left="160" w:right="153"/>
              <w:jc w:val="center"/>
              <w:rPr>
                <w:b/>
                <w:sz w:val="20"/>
              </w:rPr>
            </w:pPr>
            <w:r>
              <w:rPr>
                <w:b/>
                <w:sz w:val="20"/>
              </w:rPr>
              <w:t>BP</w:t>
            </w:r>
            <w:r>
              <w:rPr>
                <w:b/>
                <w:spacing w:val="-1"/>
                <w:sz w:val="20"/>
              </w:rPr>
              <w:t> </w:t>
            </w:r>
            <w:r>
              <w:rPr>
                <w:b/>
                <w:spacing w:val="-10"/>
                <w:sz w:val="20"/>
              </w:rPr>
              <w:t>5</w:t>
            </w:r>
          </w:p>
        </w:tc>
        <w:tc>
          <w:tcPr>
            <w:tcW w:w="629" w:type="dxa"/>
            <w:vMerge/>
            <w:tcBorders>
              <w:top w:val="nil"/>
              <w:left w:val="single" w:sz="8" w:space="0" w:color="BEBEBE"/>
              <w:right w:val="nil"/>
            </w:tcBorders>
          </w:tcPr>
          <w:p>
            <w:pPr>
              <w:rPr>
                <w:sz w:val="2"/>
                <w:szCs w:val="2"/>
              </w:rPr>
            </w:pPr>
          </w:p>
        </w:tc>
      </w:tr>
      <w:tr>
        <w:trPr>
          <w:trHeight w:val="248" w:hRule="atLeast"/>
        </w:trPr>
        <w:tc>
          <w:tcPr>
            <w:tcW w:w="643" w:type="dxa"/>
            <w:vMerge/>
            <w:tcBorders>
              <w:top w:val="nil"/>
              <w:left w:val="nil"/>
              <w:right w:val="single" w:sz="8" w:space="0" w:color="BEBEBE"/>
            </w:tcBorders>
          </w:tcPr>
          <w:p>
            <w:pPr>
              <w:rPr>
                <w:sz w:val="2"/>
                <w:szCs w:val="2"/>
              </w:rPr>
            </w:pPr>
          </w:p>
        </w:tc>
        <w:tc>
          <w:tcPr>
            <w:tcW w:w="1651" w:type="dxa"/>
            <w:tcBorders>
              <w:top w:val="single" w:sz="4" w:space="0" w:color="BEBEBE"/>
              <w:left w:val="single" w:sz="8" w:space="0" w:color="BEBEBE"/>
              <w:bottom w:val="single" w:sz="12" w:space="0" w:color="BEBEBE"/>
              <w:right w:val="single" w:sz="4" w:space="0" w:color="BEBEBE"/>
            </w:tcBorders>
          </w:tcPr>
          <w:p>
            <w:pPr>
              <w:pStyle w:val="TableParagraph"/>
              <w:spacing w:line="229" w:lineRule="exact"/>
              <w:ind w:left="170" w:right="174"/>
              <w:jc w:val="center"/>
              <w:rPr>
                <w:sz w:val="20"/>
              </w:rPr>
            </w:pPr>
            <w:r>
              <w:rPr>
                <w:sz w:val="20"/>
              </w:rPr>
              <w:t>$35.00</w:t>
            </w:r>
            <w:r>
              <w:rPr>
                <w:spacing w:val="-2"/>
                <w:sz w:val="20"/>
              </w:rPr>
              <w:t> </w:t>
            </w:r>
            <w:r>
              <w:rPr>
                <w:sz w:val="20"/>
              </w:rPr>
              <w:t>-</w:t>
            </w:r>
            <w:r>
              <w:rPr>
                <w:spacing w:val="-5"/>
                <w:sz w:val="20"/>
              </w:rPr>
              <w:t> </w:t>
            </w:r>
            <w:r>
              <w:rPr>
                <w:spacing w:val="-2"/>
                <w:sz w:val="20"/>
              </w:rPr>
              <w:t>$45.00</w:t>
            </w:r>
          </w:p>
        </w:tc>
        <w:tc>
          <w:tcPr>
            <w:tcW w:w="1644" w:type="dxa"/>
            <w:tcBorders>
              <w:top w:val="single" w:sz="4" w:space="0" w:color="BEBEBE"/>
              <w:left w:val="single" w:sz="4" w:space="0" w:color="BEBEBE"/>
              <w:bottom w:val="single" w:sz="12" w:space="0" w:color="BEBEBE"/>
              <w:right w:val="single" w:sz="4" w:space="0" w:color="BEBEBE"/>
            </w:tcBorders>
          </w:tcPr>
          <w:p>
            <w:pPr>
              <w:pStyle w:val="TableParagraph"/>
              <w:spacing w:line="229" w:lineRule="exact"/>
              <w:ind w:left="100" w:right="100"/>
              <w:jc w:val="center"/>
              <w:rPr>
                <w:sz w:val="20"/>
              </w:rPr>
            </w:pPr>
            <w:r>
              <w:rPr>
                <w:sz w:val="20"/>
              </w:rPr>
              <w:t>$25.00</w:t>
            </w:r>
            <w:r>
              <w:rPr>
                <w:spacing w:val="-2"/>
                <w:sz w:val="20"/>
              </w:rPr>
              <w:t> </w:t>
            </w:r>
            <w:r>
              <w:rPr>
                <w:sz w:val="20"/>
              </w:rPr>
              <w:t>-</w:t>
            </w:r>
            <w:r>
              <w:rPr>
                <w:spacing w:val="-5"/>
                <w:sz w:val="20"/>
              </w:rPr>
              <w:t> </w:t>
            </w:r>
            <w:r>
              <w:rPr>
                <w:spacing w:val="-2"/>
                <w:sz w:val="20"/>
              </w:rPr>
              <w:t>$35.00</w:t>
            </w:r>
          </w:p>
        </w:tc>
        <w:tc>
          <w:tcPr>
            <w:tcW w:w="1644" w:type="dxa"/>
            <w:tcBorders>
              <w:top w:val="single" w:sz="4" w:space="0" w:color="BEBEBE"/>
              <w:left w:val="single" w:sz="4" w:space="0" w:color="BEBEBE"/>
              <w:bottom w:val="single" w:sz="12" w:space="0" w:color="BEBEBE"/>
              <w:right w:val="single" w:sz="4" w:space="0" w:color="BEBEBE"/>
            </w:tcBorders>
          </w:tcPr>
          <w:p>
            <w:pPr>
              <w:pStyle w:val="TableParagraph"/>
              <w:spacing w:line="229" w:lineRule="exact"/>
              <w:ind w:left="100" w:right="100"/>
              <w:jc w:val="center"/>
              <w:rPr>
                <w:sz w:val="20"/>
              </w:rPr>
            </w:pPr>
            <w:r>
              <w:rPr>
                <w:sz w:val="20"/>
              </w:rPr>
              <w:t>$15.00</w:t>
            </w:r>
            <w:r>
              <w:rPr>
                <w:spacing w:val="-2"/>
                <w:sz w:val="20"/>
              </w:rPr>
              <w:t> </w:t>
            </w:r>
            <w:r>
              <w:rPr>
                <w:sz w:val="20"/>
              </w:rPr>
              <w:t>-</w:t>
            </w:r>
            <w:r>
              <w:rPr>
                <w:spacing w:val="-5"/>
                <w:sz w:val="20"/>
              </w:rPr>
              <w:t> </w:t>
            </w:r>
            <w:r>
              <w:rPr>
                <w:spacing w:val="-2"/>
                <w:sz w:val="20"/>
              </w:rPr>
              <w:t>$25.00</w:t>
            </w:r>
          </w:p>
        </w:tc>
        <w:tc>
          <w:tcPr>
            <w:tcW w:w="1644" w:type="dxa"/>
            <w:tcBorders>
              <w:top w:val="single" w:sz="4" w:space="0" w:color="BEBEBE"/>
              <w:left w:val="single" w:sz="4" w:space="0" w:color="BEBEBE"/>
              <w:bottom w:val="single" w:sz="12" w:space="0" w:color="BEBEBE"/>
              <w:right w:val="single" w:sz="4" w:space="0" w:color="BEBEBE"/>
            </w:tcBorders>
          </w:tcPr>
          <w:p>
            <w:pPr>
              <w:pStyle w:val="TableParagraph"/>
              <w:spacing w:line="229" w:lineRule="exact"/>
              <w:ind w:left="100" w:right="100"/>
              <w:jc w:val="center"/>
              <w:rPr>
                <w:sz w:val="20"/>
              </w:rPr>
            </w:pPr>
            <w:r>
              <w:rPr>
                <w:sz w:val="20"/>
              </w:rPr>
              <w:t>$10.00</w:t>
            </w:r>
            <w:r>
              <w:rPr>
                <w:spacing w:val="-2"/>
                <w:sz w:val="20"/>
              </w:rPr>
              <w:t> </w:t>
            </w:r>
            <w:r>
              <w:rPr>
                <w:sz w:val="20"/>
              </w:rPr>
              <w:t>-</w:t>
            </w:r>
            <w:r>
              <w:rPr>
                <w:spacing w:val="-5"/>
                <w:sz w:val="20"/>
              </w:rPr>
              <w:t> </w:t>
            </w:r>
            <w:r>
              <w:rPr>
                <w:spacing w:val="-2"/>
                <w:sz w:val="20"/>
              </w:rPr>
              <w:t>$20.00</w:t>
            </w:r>
          </w:p>
        </w:tc>
        <w:tc>
          <w:tcPr>
            <w:tcW w:w="1519" w:type="dxa"/>
            <w:tcBorders>
              <w:top w:val="single" w:sz="4" w:space="0" w:color="BEBEBE"/>
              <w:left w:val="single" w:sz="4" w:space="0" w:color="BEBEBE"/>
              <w:bottom w:val="single" w:sz="12" w:space="0" w:color="BEBEBE"/>
              <w:right w:val="single" w:sz="8" w:space="0" w:color="BEBEBE"/>
            </w:tcBorders>
          </w:tcPr>
          <w:p>
            <w:pPr>
              <w:pStyle w:val="TableParagraph"/>
              <w:spacing w:line="229" w:lineRule="exact"/>
              <w:ind w:left="160" w:right="155"/>
              <w:jc w:val="center"/>
              <w:rPr>
                <w:sz w:val="20"/>
              </w:rPr>
            </w:pPr>
            <w:r>
              <w:rPr>
                <w:sz w:val="20"/>
              </w:rPr>
              <w:t>$5.00</w:t>
            </w:r>
            <w:r>
              <w:rPr>
                <w:spacing w:val="-3"/>
                <w:sz w:val="20"/>
              </w:rPr>
              <w:t> </w:t>
            </w:r>
            <w:r>
              <w:rPr>
                <w:sz w:val="20"/>
              </w:rPr>
              <w:t>-</w:t>
            </w:r>
            <w:r>
              <w:rPr>
                <w:spacing w:val="-3"/>
                <w:sz w:val="20"/>
              </w:rPr>
              <w:t> </w:t>
            </w:r>
            <w:r>
              <w:rPr>
                <w:spacing w:val="-2"/>
                <w:sz w:val="20"/>
              </w:rPr>
              <w:t>$15.00</w:t>
            </w:r>
          </w:p>
        </w:tc>
        <w:tc>
          <w:tcPr>
            <w:tcW w:w="629" w:type="dxa"/>
            <w:vMerge/>
            <w:tcBorders>
              <w:top w:val="nil"/>
              <w:left w:val="single" w:sz="8" w:space="0" w:color="BEBEBE"/>
              <w:right w:val="nil"/>
            </w:tcBorders>
          </w:tcPr>
          <w:p>
            <w:pPr>
              <w:rPr>
                <w:sz w:val="2"/>
                <w:szCs w:val="2"/>
              </w:rPr>
            </w:pPr>
          </w:p>
        </w:tc>
      </w:tr>
    </w:tbl>
    <w:p>
      <w:pPr>
        <w:spacing w:before="0"/>
        <w:ind w:left="1219" w:right="1094" w:firstLine="0"/>
        <w:jc w:val="both"/>
        <w:rPr>
          <w:sz w:val="22"/>
        </w:rPr>
      </w:pPr>
      <w:r>
        <w:rPr>
          <w:sz w:val="22"/>
        </w:rPr>
        <w:t>The State anticipates making infrastructure payments on a bi-annual basis, except during BP1 and BP5. During BP1, the State anticipates making only one payment to CSAs. During BP5, payments will be attributed to the first half; as such, the attributed amount will be twice the amount as what each bi-annual payment</w:t>
      </w:r>
      <w:r>
        <w:rPr>
          <w:spacing w:val="-9"/>
          <w:sz w:val="22"/>
        </w:rPr>
        <w:t> </w:t>
      </w:r>
      <w:r>
        <w:rPr>
          <w:sz w:val="22"/>
        </w:rPr>
        <w:t>would</w:t>
      </w:r>
      <w:r>
        <w:rPr>
          <w:spacing w:val="-11"/>
          <w:sz w:val="22"/>
        </w:rPr>
        <w:t> </w:t>
      </w:r>
      <w:r>
        <w:rPr>
          <w:sz w:val="22"/>
        </w:rPr>
        <w:t>have</w:t>
      </w:r>
      <w:r>
        <w:rPr>
          <w:spacing w:val="-9"/>
          <w:sz w:val="22"/>
        </w:rPr>
        <w:t> </w:t>
      </w:r>
      <w:r>
        <w:rPr>
          <w:sz w:val="22"/>
        </w:rPr>
        <w:t>been</w:t>
      </w:r>
      <w:r>
        <w:rPr>
          <w:spacing w:val="-9"/>
          <w:sz w:val="22"/>
        </w:rPr>
        <w:t> </w:t>
      </w:r>
      <w:r>
        <w:rPr>
          <w:sz w:val="22"/>
        </w:rPr>
        <w:t>if</w:t>
      </w:r>
      <w:r>
        <w:rPr>
          <w:spacing w:val="-9"/>
          <w:sz w:val="22"/>
        </w:rPr>
        <w:t> </w:t>
      </w:r>
      <w:r>
        <w:rPr>
          <w:sz w:val="22"/>
        </w:rPr>
        <w:t>payments</w:t>
      </w:r>
      <w:r>
        <w:rPr>
          <w:spacing w:val="-9"/>
          <w:sz w:val="22"/>
        </w:rPr>
        <w:t> </w:t>
      </w:r>
      <w:r>
        <w:rPr>
          <w:sz w:val="22"/>
        </w:rPr>
        <w:t>had</w:t>
      </w:r>
      <w:r>
        <w:rPr>
          <w:spacing w:val="-11"/>
          <w:sz w:val="22"/>
        </w:rPr>
        <w:t> </w:t>
      </w:r>
      <w:r>
        <w:rPr>
          <w:sz w:val="22"/>
        </w:rPr>
        <w:t>been</w:t>
      </w:r>
      <w:r>
        <w:rPr>
          <w:spacing w:val="-11"/>
          <w:sz w:val="22"/>
        </w:rPr>
        <w:t> </w:t>
      </w:r>
      <w:r>
        <w:rPr>
          <w:sz w:val="22"/>
        </w:rPr>
        <w:t>attributed</w:t>
      </w:r>
      <w:r>
        <w:rPr>
          <w:spacing w:val="-11"/>
          <w:sz w:val="22"/>
        </w:rPr>
        <w:t> </w:t>
      </w:r>
      <w:r>
        <w:rPr>
          <w:sz w:val="22"/>
        </w:rPr>
        <w:t>throughout</w:t>
      </w:r>
      <w:r>
        <w:rPr>
          <w:spacing w:val="-10"/>
          <w:sz w:val="22"/>
        </w:rPr>
        <w:t> </w:t>
      </w:r>
      <w:r>
        <w:rPr>
          <w:sz w:val="22"/>
        </w:rPr>
        <w:t>the</w:t>
      </w:r>
      <w:r>
        <w:rPr>
          <w:spacing w:val="-9"/>
          <w:sz w:val="22"/>
        </w:rPr>
        <w:t> </w:t>
      </w:r>
      <w:r>
        <w:rPr>
          <w:sz w:val="22"/>
        </w:rPr>
        <w:t>whole</w:t>
      </w:r>
      <w:r>
        <w:rPr>
          <w:spacing w:val="-11"/>
          <w:sz w:val="22"/>
        </w:rPr>
        <w:t> </w:t>
      </w:r>
      <w:r>
        <w:rPr>
          <w:sz w:val="22"/>
        </w:rPr>
        <w:t>BP.</w:t>
      </w:r>
      <w:r>
        <w:rPr>
          <w:spacing w:val="-9"/>
          <w:sz w:val="22"/>
        </w:rPr>
        <w:t> </w:t>
      </w:r>
      <w:r>
        <w:rPr>
          <w:sz w:val="22"/>
        </w:rPr>
        <w:t>For</w:t>
      </w:r>
      <w:r>
        <w:rPr>
          <w:spacing w:val="-10"/>
          <w:sz w:val="22"/>
        </w:rPr>
        <w:t> </w:t>
      </w:r>
      <w:r>
        <w:rPr>
          <w:sz w:val="22"/>
        </w:rPr>
        <w:t>example,</w:t>
      </w:r>
      <w:r>
        <w:rPr>
          <w:spacing w:val="-11"/>
          <w:sz w:val="22"/>
        </w:rPr>
        <w:t> </w:t>
      </w:r>
      <w:r>
        <w:rPr>
          <w:sz w:val="22"/>
        </w:rPr>
        <w:t>if</w:t>
      </w:r>
      <w:r>
        <w:rPr>
          <w:spacing w:val="-10"/>
          <w:sz w:val="22"/>
        </w:rPr>
        <w:t> </w:t>
      </w:r>
      <w:r>
        <w:rPr>
          <w:sz w:val="22"/>
        </w:rPr>
        <w:t>a</w:t>
      </w:r>
      <w:r>
        <w:rPr>
          <w:spacing w:val="-9"/>
          <w:sz w:val="22"/>
        </w:rPr>
        <w:t> </w:t>
      </w:r>
      <w:r>
        <w:rPr>
          <w:sz w:val="22"/>
        </w:rPr>
        <w:t>CSA had</w:t>
      </w:r>
      <w:r>
        <w:rPr>
          <w:spacing w:val="-6"/>
          <w:sz w:val="22"/>
        </w:rPr>
        <w:t> </w:t>
      </w:r>
      <w:r>
        <w:rPr>
          <w:sz w:val="22"/>
        </w:rPr>
        <w:t>$100</w:t>
      </w:r>
      <w:r>
        <w:rPr>
          <w:spacing w:val="-9"/>
          <w:sz w:val="22"/>
        </w:rPr>
        <w:t> </w:t>
      </w:r>
      <w:r>
        <w:rPr>
          <w:sz w:val="22"/>
        </w:rPr>
        <w:t>total</w:t>
      </w:r>
      <w:r>
        <w:rPr>
          <w:spacing w:val="-5"/>
          <w:sz w:val="22"/>
        </w:rPr>
        <w:t> </w:t>
      </w:r>
      <w:r>
        <w:rPr>
          <w:sz w:val="22"/>
        </w:rPr>
        <w:t>of</w:t>
      </w:r>
      <w:r>
        <w:rPr>
          <w:spacing w:val="-8"/>
          <w:sz w:val="22"/>
        </w:rPr>
        <w:t> </w:t>
      </w:r>
      <w:r>
        <w:rPr>
          <w:sz w:val="22"/>
        </w:rPr>
        <w:t>non-at-risk</w:t>
      </w:r>
      <w:r>
        <w:rPr>
          <w:spacing w:val="-9"/>
          <w:sz w:val="22"/>
        </w:rPr>
        <w:t> </w:t>
      </w:r>
      <w:r>
        <w:rPr>
          <w:sz w:val="22"/>
        </w:rPr>
        <w:t>infrastructure</w:t>
      </w:r>
      <w:r>
        <w:rPr>
          <w:spacing w:val="-6"/>
          <w:sz w:val="22"/>
        </w:rPr>
        <w:t> </w:t>
      </w:r>
      <w:r>
        <w:rPr>
          <w:sz w:val="22"/>
        </w:rPr>
        <w:t>and</w:t>
      </w:r>
      <w:r>
        <w:rPr>
          <w:spacing w:val="-8"/>
          <w:sz w:val="22"/>
        </w:rPr>
        <w:t> </w:t>
      </w:r>
      <w:r>
        <w:rPr>
          <w:sz w:val="22"/>
        </w:rPr>
        <w:t>capacity</w:t>
      </w:r>
      <w:r>
        <w:rPr>
          <w:spacing w:val="-9"/>
          <w:sz w:val="22"/>
        </w:rPr>
        <w:t> </w:t>
      </w:r>
      <w:r>
        <w:rPr>
          <w:sz w:val="22"/>
        </w:rPr>
        <w:t>building</w:t>
      </w:r>
      <w:r>
        <w:rPr>
          <w:spacing w:val="-9"/>
          <w:sz w:val="22"/>
        </w:rPr>
        <w:t> </w:t>
      </w:r>
      <w:r>
        <w:rPr>
          <w:sz w:val="22"/>
        </w:rPr>
        <w:t>funding</w:t>
      </w:r>
      <w:r>
        <w:rPr>
          <w:spacing w:val="-9"/>
          <w:sz w:val="22"/>
        </w:rPr>
        <w:t> </w:t>
      </w:r>
      <w:r>
        <w:rPr>
          <w:sz w:val="22"/>
        </w:rPr>
        <w:t>for</w:t>
      </w:r>
      <w:r>
        <w:rPr>
          <w:spacing w:val="-5"/>
          <w:sz w:val="22"/>
        </w:rPr>
        <w:t> </w:t>
      </w:r>
      <w:r>
        <w:rPr>
          <w:sz w:val="22"/>
        </w:rPr>
        <w:t>BP5,</w:t>
      </w:r>
      <w:r>
        <w:rPr>
          <w:spacing w:val="-8"/>
          <w:sz w:val="22"/>
        </w:rPr>
        <w:t> </w:t>
      </w:r>
      <w:r>
        <w:rPr>
          <w:sz w:val="22"/>
        </w:rPr>
        <w:t>the</w:t>
      </w:r>
      <w:r>
        <w:rPr>
          <w:spacing w:val="-8"/>
          <w:sz w:val="22"/>
        </w:rPr>
        <w:t> </w:t>
      </w:r>
      <w:r>
        <w:rPr>
          <w:sz w:val="22"/>
        </w:rPr>
        <w:t>total</w:t>
      </w:r>
      <w:r>
        <w:rPr>
          <w:spacing w:val="-8"/>
          <w:sz w:val="22"/>
        </w:rPr>
        <w:t> </w:t>
      </w:r>
      <w:r>
        <w:rPr>
          <w:sz w:val="22"/>
        </w:rPr>
        <w:t>payment</w:t>
      </w:r>
      <w:r>
        <w:rPr>
          <w:spacing w:val="-5"/>
          <w:sz w:val="22"/>
        </w:rPr>
        <w:t> </w:t>
      </w:r>
      <w:r>
        <w:rPr>
          <w:sz w:val="22"/>
        </w:rPr>
        <w:t>would be attributed to the first half of BP5.</w:t>
      </w:r>
    </w:p>
    <w:p>
      <w:pPr>
        <w:pStyle w:val="Heading2"/>
        <w:numPr>
          <w:ilvl w:val="1"/>
          <w:numId w:val="68"/>
        </w:numPr>
        <w:tabs>
          <w:tab w:pos="1618" w:val="left" w:leader="none"/>
        </w:tabs>
        <w:spacing w:line="298" w:lineRule="exact" w:before="200" w:after="0"/>
        <w:ind w:left="1618" w:right="0" w:hanging="398"/>
        <w:jc w:val="both"/>
      </w:pPr>
      <w:bookmarkStart w:name="4.6 Statewide Investments Funding Determ" w:id="1334"/>
      <w:bookmarkEnd w:id="1334"/>
      <w:r>
        <w:rPr>
          <w:b w:val="0"/>
        </w:rPr>
      </w:r>
      <w:bookmarkStart w:name="_bookmark61" w:id="1335"/>
      <w:bookmarkEnd w:id="1335"/>
      <w:r>
        <w:rPr>
          <w:b w:val="0"/>
        </w:rPr>
      </w:r>
      <w:r>
        <w:rPr>
          <w:color w:val="4471C4"/>
        </w:rPr>
        <w:t>Statewide</w:t>
      </w:r>
      <w:r>
        <w:rPr>
          <w:color w:val="4471C4"/>
          <w:spacing w:val="-15"/>
        </w:rPr>
        <w:t> </w:t>
      </w:r>
      <w:r>
        <w:rPr>
          <w:color w:val="4471C4"/>
        </w:rPr>
        <w:t>Investments</w:t>
      </w:r>
      <w:r>
        <w:rPr>
          <w:color w:val="4471C4"/>
          <w:spacing w:val="-15"/>
        </w:rPr>
        <w:t> </w:t>
      </w:r>
      <w:r>
        <w:rPr>
          <w:color w:val="4471C4"/>
        </w:rPr>
        <w:t>Funding</w:t>
      </w:r>
      <w:r>
        <w:rPr>
          <w:color w:val="4471C4"/>
          <w:spacing w:val="-15"/>
        </w:rPr>
        <w:t> </w:t>
      </w:r>
      <w:r>
        <w:rPr>
          <w:color w:val="4471C4"/>
        </w:rPr>
        <w:t>Determination</w:t>
      </w:r>
      <w:r>
        <w:rPr>
          <w:color w:val="4471C4"/>
          <w:spacing w:val="-14"/>
        </w:rPr>
        <w:t> </w:t>
      </w:r>
      <w:r>
        <w:rPr>
          <w:color w:val="4471C4"/>
          <w:spacing w:val="-2"/>
        </w:rPr>
        <w:t>Methodology</w:t>
      </w:r>
    </w:p>
    <w:p>
      <w:pPr>
        <w:spacing w:line="240" w:lineRule="auto" w:before="0"/>
        <w:ind w:left="1220" w:right="1095" w:firstLine="0"/>
        <w:jc w:val="both"/>
        <w:rPr>
          <w:sz w:val="22"/>
        </w:rPr>
      </w:pPr>
      <w:r>
        <w:rPr>
          <w:sz w:val="22"/>
        </w:rPr>
        <w:t>The DSRIP Statewide Investment funding stream may be utilized by the State to fund the following initiatives:</w:t>
      </w:r>
      <w:r>
        <w:rPr>
          <w:spacing w:val="-2"/>
          <w:sz w:val="22"/>
        </w:rPr>
        <w:t> </w:t>
      </w:r>
      <w:r>
        <w:rPr>
          <w:sz w:val="22"/>
        </w:rPr>
        <w:t>(1) Student Loan</w:t>
      </w:r>
      <w:r>
        <w:rPr>
          <w:spacing w:val="-1"/>
          <w:sz w:val="22"/>
        </w:rPr>
        <w:t> </w:t>
      </w:r>
      <w:r>
        <w:rPr>
          <w:sz w:val="22"/>
        </w:rPr>
        <w:t>Repayment Program,</w:t>
      </w:r>
      <w:r>
        <w:rPr>
          <w:spacing w:val="-1"/>
          <w:sz w:val="22"/>
        </w:rPr>
        <w:t> </w:t>
      </w:r>
      <w:r>
        <w:rPr>
          <w:sz w:val="22"/>
        </w:rPr>
        <w:t>(2)</w:t>
      </w:r>
      <w:r>
        <w:rPr>
          <w:spacing w:val="-2"/>
          <w:sz w:val="22"/>
        </w:rPr>
        <w:t> </w:t>
      </w:r>
      <w:r>
        <w:rPr>
          <w:sz w:val="22"/>
        </w:rPr>
        <w:t>Primary</w:t>
      </w:r>
      <w:r>
        <w:rPr>
          <w:spacing w:val="-3"/>
          <w:sz w:val="22"/>
        </w:rPr>
        <w:t> </w:t>
      </w:r>
      <w:r>
        <w:rPr>
          <w:sz w:val="22"/>
        </w:rPr>
        <w:t>Care Integration</w:t>
      </w:r>
      <w:r>
        <w:rPr>
          <w:spacing w:val="-3"/>
          <w:sz w:val="22"/>
        </w:rPr>
        <w:t> </w:t>
      </w:r>
      <w:r>
        <w:rPr>
          <w:sz w:val="22"/>
        </w:rPr>
        <w:t>Models and</w:t>
      </w:r>
      <w:r>
        <w:rPr>
          <w:spacing w:val="-1"/>
          <w:sz w:val="22"/>
        </w:rPr>
        <w:t> </w:t>
      </w:r>
      <w:r>
        <w:rPr>
          <w:sz w:val="22"/>
        </w:rPr>
        <w:t>Retention,</w:t>
      </w:r>
      <w:r>
        <w:rPr>
          <w:spacing w:val="-3"/>
          <w:sz w:val="22"/>
        </w:rPr>
        <w:t> </w:t>
      </w:r>
      <w:r>
        <w:rPr>
          <w:sz w:val="22"/>
        </w:rPr>
        <w:t>(3) Investments in Primary Care Residency Training,</w:t>
      </w:r>
      <w:r>
        <w:rPr>
          <w:spacing w:val="40"/>
          <w:sz w:val="22"/>
        </w:rPr>
        <w:t> </w:t>
      </w:r>
      <w:r>
        <w:rPr>
          <w:sz w:val="22"/>
        </w:rPr>
        <w:t>(4) Workforce Development Grant Program, (5) Technical Assistance, (6) Alternative Payment Methods Preparation Fund, (7) Enhanced Diversionary Behavioral Health Activities and (8) Improved Accessibility for People with Disabilities or for Whom English</w:t>
      </w:r>
      <w:r>
        <w:rPr>
          <w:spacing w:val="-10"/>
          <w:sz w:val="22"/>
        </w:rPr>
        <w:t> </w:t>
      </w:r>
      <w:r>
        <w:rPr>
          <w:sz w:val="22"/>
        </w:rPr>
        <w:t>Is</w:t>
      </w:r>
      <w:r>
        <w:rPr>
          <w:spacing w:val="-9"/>
          <w:sz w:val="22"/>
        </w:rPr>
        <w:t> </w:t>
      </w:r>
      <w:r>
        <w:rPr>
          <w:sz w:val="22"/>
        </w:rPr>
        <w:t>Not</w:t>
      </w:r>
      <w:r>
        <w:rPr>
          <w:spacing w:val="-9"/>
          <w:sz w:val="22"/>
        </w:rPr>
        <w:t> </w:t>
      </w:r>
      <w:r>
        <w:rPr>
          <w:sz w:val="22"/>
        </w:rPr>
        <w:t>a</w:t>
      </w:r>
      <w:r>
        <w:rPr>
          <w:spacing w:val="-9"/>
          <w:sz w:val="22"/>
        </w:rPr>
        <w:t> </w:t>
      </w:r>
      <w:r>
        <w:rPr>
          <w:sz w:val="22"/>
        </w:rPr>
        <w:t>Primary</w:t>
      </w:r>
      <w:r>
        <w:rPr>
          <w:spacing w:val="-12"/>
          <w:sz w:val="22"/>
        </w:rPr>
        <w:t> </w:t>
      </w:r>
      <w:r>
        <w:rPr>
          <w:sz w:val="22"/>
        </w:rPr>
        <w:t>Language.</w:t>
      </w:r>
      <w:r>
        <w:rPr>
          <w:spacing w:val="-10"/>
          <w:sz w:val="22"/>
        </w:rPr>
        <w:t> </w:t>
      </w:r>
      <w:r>
        <w:rPr>
          <w:sz w:val="22"/>
        </w:rPr>
        <w:t>Exhibit</w:t>
      </w:r>
      <w:r>
        <w:rPr>
          <w:spacing w:val="-9"/>
          <w:sz w:val="22"/>
        </w:rPr>
        <w:t> </w:t>
      </w:r>
      <w:r>
        <w:rPr>
          <w:sz w:val="22"/>
        </w:rPr>
        <w:t>15</w:t>
      </w:r>
      <w:r>
        <w:rPr>
          <w:spacing w:val="-10"/>
          <w:sz w:val="22"/>
        </w:rPr>
        <w:t> </w:t>
      </w:r>
      <w:r>
        <w:rPr>
          <w:sz w:val="22"/>
        </w:rPr>
        <w:t>shows</w:t>
      </w:r>
      <w:r>
        <w:rPr>
          <w:spacing w:val="-11"/>
          <w:sz w:val="22"/>
        </w:rPr>
        <w:t> </w:t>
      </w:r>
      <w:r>
        <w:rPr>
          <w:sz w:val="22"/>
        </w:rPr>
        <w:t>the</w:t>
      </w:r>
      <w:r>
        <w:rPr>
          <w:spacing w:val="-9"/>
          <w:sz w:val="22"/>
        </w:rPr>
        <w:t> </w:t>
      </w:r>
      <w:r>
        <w:rPr>
          <w:sz w:val="22"/>
        </w:rPr>
        <w:t>anticipated</w:t>
      </w:r>
      <w:r>
        <w:rPr>
          <w:spacing w:val="-12"/>
          <w:sz w:val="22"/>
        </w:rPr>
        <w:t> </w:t>
      </w:r>
      <w:r>
        <w:rPr>
          <w:sz w:val="22"/>
        </w:rPr>
        <w:t>funding</w:t>
      </w:r>
      <w:r>
        <w:rPr>
          <w:spacing w:val="-12"/>
          <w:sz w:val="22"/>
        </w:rPr>
        <w:t> </w:t>
      </w:r>
      <w:r>
        <w:rPr>
          <w:sz w:val="22"/>
        </w:rPr>
        <w:t>breakdown</w:t>
      </w:r>
      <w:r>
        <w:rPr>
          <w:spacing w:val="-10"/>
          <w:sz w:val="22"/>
        </w:rPr>
        <w:t> </w:t>
      </w:r>
      <w:r>
        <w:rPr>
          <w:sz w:val="22"/>
        </w:rPr>
        <w:t>for</w:t>
      </w:r>
      <w:r>
        <w:rPr>
          <w:spacing w:val="-9"/>
          <w:sz w:val="22"/>
        </w:rPr>
        <w:t> </w:t>
      </w:r>
      <w:r>
        <w:rPr>
          <w:sz w:val="22"/>
        </w:rPr>
        <w:t>each</w:t>
      </w:r>
      <w:r>
        <w:rPr>
          <w:spacing w:val="-12"/>
          <w:sz w:val="22"/>
        </w:rPr>
        <w:t> </w:t>
      </w:r>
      <w:r>
        <w:rPr>
          <w:sz w:val="22"/>
        </w:rPr>
        <w:t>initiative by demonstration year.</w:t>
      </w:r>
    </w:p>
    <w:p>
      <w:pPr>
        <w:spacing w:after="0" w:line="240" w:lineRule="auto"/>
        <w:jc w:val="both"/>
        <w:rPr>
          <w:sz w:val="22"/>
        </w:rPr>
        <w:sectPr>
          <w:pgSz w:w="12240" w:h="15840"/>
          <w:pgMar w:header="0" w:footer="967" w:top="1360" w:bottom="1160" w:left="220" w:right="340"/>
        </w:sectPr>
      </w:pPr>
    </w:p>
    <w:p>
      <w:pPr>
        <w:spacing w:before="78"/>
        <w:ind w:left="1219" w:right="0" w:firstLine="0"/>
        <w:jc w:val="left"/>
        <w:rPr>
          <w:sz w:val="22"/>
        </w:rPr>
      </w:pPr>
      <w:r>
        <w:rPr>
          <w:sz w:val="22"/>
        </w:rPr>
        <w:t>EXHIBIT</w:t>
      </w:r>
      <w:r>
        <w:rPr>
          <w:spacing w:val="-3"/>
          <w:sz w:val="22"/>
        </w:rPr>
        <w:t> </w:t>
      </w:r>
      <w:r>
        <w:rPr>
          <w:sz w:val="22"/>
        </w:rPr>
        <w:t>15</w:t>
      </w:r>
      <w:r>
        <w:rPr>
          <w:spacing w:val="-4"/>
          <w:sz w:val="22"/>
        </w:rPr>
        <w:t> </w:t>
      </w:r>
      <w:r>
        <w:rPr>
          <w:sz w:val="22"/>
        </w:rPr>
        <w:t>–</w:t>
      </w:r>
      <w:r>
        <w:rPr>
          <w:spacing w:val="-4"/>
          <w:sz w:val="22"/>
        </w:rPr>
        <w:t> </w:t>
      </w:r>
      <w:r>
        <w:rPr>
          <w:sz w:val="22"/>
        </w:rPr>
        <w:t>Statewide</w:t>
      </w:r>
      <w:r>
        <w:rPr>
          <w:spacing w:val="-4"/>
          <w:sz w:val="22"/>
        </w:rPr>
        <w:t> </w:t>
      </w:r>
      <w:r>
        <w:rPr>
          <w:sz w:val="22"/>
        </w:rPr>
        <w:t>Investments</w:t>
      </w:r>
      <w:r>
        <w:rPr>
          <w:spacing w:val="-5"/>
          <w:sz w:val="22"/>
        </w:rPr>
        <w:t> </w:t>
      </w:r>
      <w:r>
        <w:rPr>
          <w:sz w:val="22"/>
        </w:rPr>
        <w:t>Funding</w:t>
      </w:r>
      <w:r>
        <w:rPr>
          <w:spacing w:val="-6"/>
          <w:sz w:val="22"/>
        </w:rPr>
        <w:t> </w:t>
      </w:r>
      <w:r>
        <w:rPr>
          <w:spacing w:val="-2"/>
          <w:sz w:val="22"/>
        </w:rPr>
        <w:t>Breakdown</w:t>
      </w:r>
    </w:p>
    <w:tbl>
      <w:tblPr>
        <w:tblW w:w="0" w:type="auto"/>
        <w:jc w:val="left"/>
        <w:tblInd w:w="69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4582"/>
        <w:gridCol w:w="903"/>
        <w:gridCol w:w="903"/>
        <w:gridCol w:w="903"/>
        <w:gridCol w:w="901"/>
        <w:gridCol w:w="903"/>
        <w:gridCol w:w="1330"/>
      </w:tblGrid>
      <w:tr>
        <w:trPr>
          <w:trHeight w:val="248" w:hRule="atLeast"/>
        </w:trPr>
        <w:tc>
          <w:tcPr>
            <w:tcW w:w="4582" w:type="dxa"/>
            <w:tcBorders>
              <w:left w:val="single" w:sz="4" w:space="0" w:color="000000"/>
              <w:bottom w:val="single" w:sz="4" w:space="0" w:color="BEBEBE"/>
              <w:right w:val="single" w:sz="4" w:space="0" w:color="BEBEBE"/>
            </w:tcBorders>
            <w:shd w:val="clear" w:color="auto" w:fill="1F487C"/>
          </w:tcPr>
          <w:p>
            <w:pPr>
              <w:pStyle w:val="TableParagraph"/>
              <w:spacing w:line="228" w:lineRule="exact"/>
              <w:ind w:left="107"/>
              <w:rPr>
                <w:b/>
                <w:sz w:val="20"/>
              </w:rPr>
            </w:pPr>
            <w:r>
              <w:rPr>
                <w:b/>
                <w:color w:val="FFFFFF"/>
                <w:sz w:val="20"/>
              </w:rPr>
              <w:t>Statewide</w:t>
            </w:r>
            <w:r>
              <w:rPr>
                <w:b/>
                <w:color w:val="FFFFFF"/>
                <w:spacing w:val="-9"/>
                <w:sz w:val="20"/>
              </w:rPr>
              <w:t> </w:t>
            </w:r>
            <w:r>
              <w:rPr>
                <w:b/>
                <w:color w:val="FFFFFF"/>
                <w:spacing w:val="-2"/>
                <w:sz w:val="20"/>
              </w:rPr>
              <w:t>Investments</w:t>
            </w:r>
          </w:p>
        </w:tc>
        <w:tc>
          <w:tcPr>
            <w:tcW w:w="903" w:type="dxa"/>
            <w:tcBorders>
              <w:left w:val="single" w:sz="4" w:space="0" w:color="BEBEBE"/>
              <w:bottom w:val="single" w:sz="4" w:space="0" w:color="BEBEBE"/>
              <w:right w:val="single" w:sz="4" w:space="0" w:color="BEBEBE"/>
            </w:tcBorders>
            <w:shd w:val="clear" w:color="auto" w:fill="1F487C"/>
          </w:tcPr>
          <w:p>
            <w:pPr>
              <w:pStyle w:val="TableParagraph"/>
              <w:spacing w:line="228" w:lineRule="exact"/>
              <w:ind w:left="120" w:right="113"/>
              <w:jc w:val="center"/>
              <w:rPr>
                <w:b/>
                <w:sz w:val="20"/>
              </w:rPr>
            </w:pPr>
            <w:r>
              <w:rPr>
                <w:b/>
                <w:color w:val="FFFFFF"/>
                <w:spacing w:val="-5"/>
                <w:sz w:val="20"/>
              </w:rPr>
              <w:t>Y1</w:t>
            </w:r>
          </w:p>
        </w:tc>
        <w:tc>
          <w:tcPr>
            <w:tcW w:w="903" w:type="dxa"/>
            <w:tcBorders>
              <w:left w:val="single" w:sz="4" w:space="0" w:color="BEBEBE"/>
              <w:bottom w:val="single" w:sz="4" w:space="0" w:color="BEBEBE"/>
              <w:right w:val="single" w:sz="4" w:space="0" w:color="BEBEBE"/>
            </w:tcBorders>
            <w:shd w:val="clear" w:color="auto" w:fill="1F487C"/>
          </w:tcPr>
          <w:p>
            <w:pPr>
              <w:pStyle w:val="TableParagraph"/>
              <w:spacing w:line="228" w:lineRule="exact"/>
              <w:ind w:left="119" w:right="113"/>
              <w:jc w:val="center"/>
              <w:rPr>
                <w:b/>
                <w:sz w:val="20"/>
              </w:rPr>
            </w:pPr>
            <w:r>
              <w:rPr>
                <w:b/>
                <w:color w:val="FFFFFF"/>
                <w:spacing w:val="-5"/>
                <w:sz w:val="20"/>
              </w:rPr>
              <w:t>Y2</w:t>
            </w:r>
          </w:p>
        </w:tc>
        <w:tc>
          <w:tcPr>
            <w:tcW w:w="903" w:type="dxa"/>
            <w:tcBorders>
              <w:left w:val="single" w:sz="4" w:space="0" w:color="BEBEBE"/>
              <w:bottom w:val="single" w:sz="4" w:space="0" w:color="BEBEBE"/>
              <w:right w:val="single" w:sz="4" w:space="0" w:color="BEBEBE"/>
            </w:tcBorders>
            <w:shd w:val="clear" w:color="auto" w:fill="1F487C"/>
          </w:tcPr>
          <w:p>
            <w:pPr>
              <w:pStyle w:val="TableParagraph"/>
              <w:spacing w:line="228" w:lineRule="exact"/>
              <w:ind w:left="117" w:right="113"/>
              <w:jc w:val="center"/>
              <w:rPr>
                <w:b/>
                <w:sz w:val="20"/>
              </w:rPr>
            </w:pPr>
            <w:r>
              <w:rPr>
                <w:b/>
                <w:color w:val="FFFFFF"/>
                <w:spacing w:val="-5"/>
                <w:sz w:val="20"/>
              </w:rPr>
              <w:t>Y3</w:t>
            </w:r>
          </w:p>
        </w:tc>
        <w:tc>
          <w:tcPr>
            <w:tcW w:w="901" w:type="dxa"/>
            <w:tcBorders>
              <w:left w:val="single" w:sz="4" w:space="0" w:color="BEBEBE"/>
              <w:bottom w:val="single" w:sz="4" w:space="0" w:color="BEBEBE"/>
              <w:right w:val="single" w:sz="4" w:space="0" w:color="BEBEBE"/>
            </w:tcBorders>
            <w:shd w:val="clear" w:color="auto" w:fill="1F487C"/>
          </w:tcPr>
          <w:p>
            <w:pPr>
              <w:pStyle w:val="TableParagraph"/>
              <w:spacing w:line="228" w:lineRule="exact"/>
              <w:ind w:left="143" w:right="138"/>
              <w:jc w:val="center"/>
              <w:rPr>
                <w:b/>
                <w:sz w:val="20"/>
              </w:rPr>
            </w:pPr>
            <w:r>
              <w:rPr>
                <w:b/>
                <w:color w:val="FFFFFF"/>
                <w:spacing w:val="-5"/>
                <w:sz w:val="20"/>
              </w:rPr>
              <w:t>Y4</w:t>
            </w:r>
          </w:p>
        </w:tc>
        <w:tc>
          <w:tcPr>
            <w:tcW w:w="903" w:type="dxa"/>
            <w:tcBorders>
              <w:left w:val="single" w:sz="4" w:space="0" w:color="BEBEBE"/>
              <w:bottom w:val="single" w:sz="4" w:space="0" w:color="BEBEBE"/>
              <w:right w:val="single" w:sz="4" w:space="0" w:color="BEBEBE"/>
            </w:tcBorders>
            <w:shd w:val="clear" w:color="auto" w:fill="1F487C"/>
          </w:tcPr>
          <w:p>
            <w:pPr>
              <w:pStyle w:val="TableParagraph"/>
              <w:spacing w:line="228" w:lineRule="exact"/>
              <w:ind w:left="119" w:right="113"/>
              <w:jc w:val="center"/>
              <w:rPr>
                <w:b/>
                <w:sz w:val="20"/>
              </w:rPr>
            </w:pPr>
            <w:r>
              <w:rPr>
                <w:b/>
                <w:color w:val="FFFFFF"/>
                <w:spacing w:val="-5"/>
                <w:sz w:val="20"/>
              </w:rPr>
              <w:t>Y5</w:t>
            </w:r>
          </w:p>
        </w:tc>
        <w:tc>
          <w:tcPr>
            <w:tcW w:w="1330" w:type="dxa"/>
            <w:tcBorders>
              <w:left w:val="single" w:sz="4" w:space="0" w:color="BEBEBE"/>
              <w:bottom w:val="single" w:sz="4" w:space="0" w:color="BEBEBE"/>
              <w:right w:val="single" w:sz="4" w:space="0" w:color="000000"/>
            </w:tcBorders>
            <w:shd w:val="clear" w:color="auto" w:fill="1F487C"/>
          </w:tcPr>
          <w:p>
            <w:pPr>
              <w:pStyle w:val="TableParagraph"/>
              <w:spacing w:line="228" w:lineRule="exact"/>
              <w:ind w:left="430"/>
              <w:rPr>
                <w:b/>
                <w:sz w:val="20"/>
              </w:rPr>
            </w:pPr>
            <w:r>
              <w:rPr>
                <w:b/>
                <w:color w:val="FFFFFF"/>
                <w:spacing w:val="-2"/>
                <w:sz w:val="20"/>
              </w:rPr>
              <w:t>Total</w:t>
            </w:r>
          </w:p>
        </w:tc>
      </w:tr>
      <w:tr>
        <w:trPr>
          <w:trHeight w:val="249" w:hRule="atLeast"/>
        </w:trPr>
        <w:tc>
          <w:tcPr>
            <w:tcW w:w="4582" w:type="dxa"/>
            <w:tcBorders>
              <w:top w:val="single" w:sz="4" w:space="0" w:color="BEBEBE"/>
              <w:left w:val="single" w:sz="4" w:space="0" w:color="000000"/>
              <w:bottom w:val="single" w:sz="4" w:space="0" w:color="BEBEBE"/>
              <w:right w:val="single" w:sz="4" w:space="0" w:color="BEBEBE"/>
            </w:tcBorders>
          </w:tcPr>
          <w:p>
            <w:pPr>
              <w:pStyle w:val="TableParagraph"/>
              <w:spacing w:line="226" w:lineRule="exact"/>
              <w:ind w:left="107"/>
              <w:rPr>
                <w:sz w:val="20"/>
              </w:rPr>
            </w:pPr>
            <w:r>
              <w:rPr>
                <w:sz w:val="20"/>
              </w:rPr>
              <w:t>Student</w:t>
            </w:r>
            <w:r>
              <w:rPr>
                <w:spacing w:val="-8"/>
                <w:sz w:val="20"/>
              </w:rPr>
              <w:t> </w:t>
            </w:r>
            <w:r>
              <w:rPr>
                <w:sz w:val="20"/>
              </w:rPr>
              <w:t>Loan</w:t>
            </w:r>
            <w:r>
              <w:rPr>
                <w:spacing w:val="-9"/>
                <w:sz w:val="20"/>
              </w:rPr>
              <w:t> </w:t>
            </w:r>
            <w:r>
              <w:rPr>
                <w:sz w:val="20"/>
              </w:rPr>
              <w:t>Repayment</w:t>
            </w:r>
            <w:r>
              <w:rPr>
                <w:spacing w:val="-8"/>
                <w:sz w:val="20"/>
              </w:rPr>
              <w:t> </w:t>
            </w:r>
            <w:r>
              <w:rPr>
                <w:spacing w:val="-2"/>
                <w:sz w:val="20"/>
              </w:rPr>
              <w:t>Program</w:t>
            </w:r>
          </w:p>
        </w:tc>
        <w:tc>
          <w:tcPr>
            <w:tcW w:w="903" w:type="dxa"/>
            <w:tcBorders>
              <w:top w:val="single" w:sz="4" w:space="0" w:color="BEBEBE"/>
              <w:left w:val="single" w:sz="4" w:space="0" w:color="BEBEBE"/>
              <w:bottom w:val="single" w:sz="4" w:space="0" w:color="BEBEBE"/>
              <w:right w:val="single" w:sz="4" w:space="0" w:color="BEBEBE"/>
            </w:tcBorders>
          </w:tcPr>
          <w:p>
            <w:pPr>
              <w:pStyle w:val="TableParagraph"/>
              <w:spacing w:line="226" w:lineRule="exact"/>
              <w:ind w:right="173"/>
              <w:jc w:val="right"/>
              <w:rPr>
                <w:sz w:val="20"/>
              </w:rPr>
            </w:pPr>
            <w:r>
              <w:rPr>
                <w:spacing w:val="-2"/>
                <w:sz w:val="20"/>
              </w:rPr>
              <w:t>$3.9M</w:t>
            </w:r>
          </w:p>
        </w:tc>
        <w:tc>
          <w:tcPr>
            <w:tcW w:w="903" w:type="dxa"/>
            <w:tcBorders>
              <w:top w:val="single" w:sz="4" w:space="0" w:color="BEBEBE"/>
              <w:left w:val="single" w:sz="4" w:space="0" w:color="BEBEBE"/>
              <w:bottom w:val="single" w:sz="4" w:space="0" w:color="BEBEBE"/>
              <w:right w:val="single" w:sz="4" w:space="0" w:color="BEBEBE"/>
            </w:tcBorders>
          </w:tcPr>
          <w:p>
            <w:pPr>
              <w:pStyle w:val="TableParagraph"/>
              <w:spacing w:line="226" w:lineRule="exact"/>
              <w:ind w:left="186"/>
              <w:rPr>
                <w:sz w:val="20"/>
              </w:rPr>
            </w:pPr>
            <w:r>
              <w:rPr>
                <w:spacing w:val="-2"/>
                <w:sz w:val="20"/>
              </w:rPr>
              <w:t>$5.5M</w:t>
            </w:r>
          </w:p>
        </w:tc>
        <w:tc>
          <w:tcPr>
            <w:tcW w:w="903" w:type="dxa"/>
            <w:tcBorders>
              <w:top w:val="single" w:sz="4" w:space="0" w:color="BEBEBE"/>
              <w:left w:val="single" w:sz="4" w:space="0" w:color="BEBEBE"/>
              <w:bottom w:val="single" w:sz="4" w:space="0" w:color="BEBEBE"/>
              <w:right w:val="single" w:sz="4" w:space="0" w:color="BEBEBE"/>
            </w:tcBorders>
          </w:tcPr>
          <w:p>
            <w:pPr>
              <w:pStyle w:val="TableParagraph"/>
              <w:spacing w:line="226" w:lineRule="exact"/>
              <w:ind w:right="174"/>
              <w:jc w:val="right"/>
              <w:rPr>
                <w:sz w:val="20"/>
              </w:rPr>
            </w:pPr>
            <w:r>
              <w:rPr>
                <w:spacing w:val="-2"/>
                <w:sz w:val="20"/>
              </w:rPr>
              <w:t>$3.2M</w:t>
            </w:r>
          </w:p>
        </w:tc>
        <w:tc>
          <w:tcPr>
            <w:tcW w:w="901" w:type="dxa"/>
            <w:tcBorders>
              <w:top w:val="single" w:sz="4" w:space="0" w:color="BEBEBE"/>
              <w:left w:val="single" w:sz="4" w:space="0" w:color="BEBEBE"/>
              <w:bottom w:val="single" w:sz="4" w:space="0" w:color="BEBEBE"/>
              <w:right w:val="single" w:sz="4" w:space="0" w:color="BEBEBE"/>
            </w:tcBorders>
          </w:tcPr>
          <w:p>
            <w:pPr>
              <w:pStyle w:val="TableParagraph"/>
              <w:spacing w:line="226" w:lineRule="exact"/>
              <w:ind w:left="184"/>
              <w:rPr>
                <w:sz w:val="20"/>
              </w:rPr>
            </w:pPr>
            <w:r>
              <w:rPr>
                <w:spacing w:val="-2"/>
                <w:sz w:val="20"/>
              </w:rPr>
              <w:t>$3.5M</w:t>
            </w:r>
          </w:p>
        </w:tc>
        <w:tc>
          <w:tcPr>
            <w:tcW w:w="903" w:type="dxa"/>
            <w:tcBorders>
              <w:top w:val="single" w:sz="4" w:space="0" w:color="BEBEBE"/>
              <w:left w:val="single" w:sz="4" w:space="0" w:color="BEBEBE"/>
              <w:bottom w:val="single" w:sz="4" w:space="0" w:color="BEBEBE"/>
              <w:right w:val="single" w:sz="4" w:space="0" w:color="BEBEBE"/>
            </w:tcBorders>
          </w:tcPr>
          <w:p>
            <w:pPr>
              <w:pStyle w:val="TableParagraph"/>
              <w:spacing w:line="226" w:lineRule="exact"/>
              <w:ind w:left="123" w:right="113"/>
              <w:jc w:val="center"/>
              <w:rPr>
                <w:sz w:val="20"/>
              </w:rPr>
            </w:pPr>
            <w:r>
              <w:rPr>
                <w:spacing w:val="-2"/>
                <w:sz w:val="20"/>
              </w:rPr>
              <w:t>$2.3M</w:t>
            </w:r>
          </w:p>
        </w:tc>
        <w:tc>
          <w:tcPr>
            <w:tcW w:w="1330" w:type="dxa"/>
            <w:tcBorders>
              <w:top w:val="single" w:sz="4" w:space="0" w:color="BEBEBE"/>
              <w:left w:val="single" w:sz="4" w:space="0" w:color="BEBEBE"/>
              <w:bottom w:val="single" w:sz="4" w:space="0" w:color="BEBEBE"/>
              <w:right w:val="single" w:sz="4" w:space="0" w:color="000000"/>
            </w:tcBorders>
          </w:tcPr>
          <w:p>
            <w:pPr>
              <w:pStyle w:val="TableParagraph"/>
              <w:spacing w:line="226" w:lineRule="exact"/>
              <w:ind w:right="342"/>
              <w:jc w:val="right"/>
              <w:rPr>
                <w:sz w:val="20"/>
              </w:rPr>
            </w:pPr>
            <w:r>
              <w:rPr>
                <w:spacing w:val="-2"/>
                <w:sz w:val="20"/>
              </w:rPr>
              <w:t>$18.4M</w:t>
            </w:r>
          </w:p>
        </w:tc>
      </w:tr>
      <w:tr>
        <w:trPr>
          <w:trHeight w:val="246" w:hRule="atLeast"/>
        </w:trPr>
        <w:tc>
          <w:tcPr>
            <w:tcW w:w="4582" w:type="dxa"/>
            <w:tcBorders>
              <w:top w:val="single" w:sz="4" w:space="0" w:color="BEBEBE"/>
              <w:left w:val="single" w:sz="4" w:space="0" w:color="000000"/>
              <w:bottom w:val="single" w:sz="4" w:space="0" w:color="BEBEBE"/>
              <w:right w:val="single" w:sz="4" w:space="0" w:color="BEBEBE"/>
            </w:tcBorders>
          </w:tcPr>
          <w:p>
            <w:pPr>
              <w:pStyle w:val="TableParagraph"/>
              <w:spacing w:line="226" w:lineRule="exact"/>
              <w:ind w:left="107"/>
              <w:rPr>
                <w:sz w:val="20"/>
              </w:rPr>
            </w:pPr>
            <w:r>
              <w:rPr>
                <w:sz w:val="20"/>
              </w:rPr>
              <w:t>Primary</w:t>
            </w:r>
            <w:r>
              <w:rPr>
                <w:spacing w:val="-8"/>
                <w:sz w:val="20"/>
              </w:rPr>
              <w:t> </w:t>
            </w:r>
            <w:r>
              <w:rPr>
                <w:sz w:val="20"/>
              </w:rPr>
              <w:t>Care</w:t>
            </w:r>
            <w:r>
              <w:rPr>
                <w:spacing w:val="-7"/>
                <w:sz w:val="20"/>
              </w:rPr>
              <w:t> </w:t>
            </w:r>
            <w:r>
              <w:rPr>
                <w:sz w:val="20"/>
              </w:rPr>
              <w:t>Integration</w:t>
            </w:r>
            <w:r>
              <w:rPr>
                <w:spacing w:val="-8"/>
                <w:sz w:val="20"/>
              </w:rPr>
              <w:t> </w:t>
            </w:r>
            <w:r>
              <w:rPr>
                <w:sz w:val="20"/>
              </w:rPr>
              <w:t>Models</w:t>
            </w:r>
            <w:r>
              <w:rPr>
                <w:spacing w:val="-7"/>
                <w:sz w:val="20"/>
              </w:rPr>
              <w:t> </w:t>
            </w:r>
            <w:r>
              <w:rPr>
                <w:sz w:val="20"/>
              </w:rPr>
              <w:t>and</w:t>
            </w:r>
            <w:r>
              <w:rPr>
                <w:spacing w:val="-6"/>
                <w:sz w:val="20"/>
              </w:rPr>
              <w:t> </w:t>
            </w:r>
            <w:r>
              <w:rPr>
                <w:spacing w:val="-2"/>
                <w:sz w:val="20"/>
              </w:rPr>
              <w:t>Retention</w:t>
            </w:r>
          </w:p>
        </w:tc>
        <w:tc>
          <w:tcPr>
            <w:tcW w:w="903" w:type="dxa"/>
            <w:tcBorders>
              <w:top w:val="single" w:sz="4" w:space="0" w:color="BEBEBE"/>
              <w:left w:val="single" w:sz="4" w:space="0" w:color="BEBEBE"/>
              <w:bottom w:val="single" w:sz="4" w:space="0" w:color="BEBEBE"/>
              <w:right w:val="single" w:sz="4" w:space="0" w:color="BEBEBE"/>
            </w:tcBorders>
          </w:tcPr>
          <w:p>
            <w:pPr>
              <w:pStyle w:val="TableParagraph"/>
              <w:spacing w:line="226" w:lineRule="exact"/>
              <w:ind w:right="173"/>
              <w:jc w:val="right"/>
              <w:rPr>
                <w:sz w:val="20"/>
              </w:rPr>
            </w:pPr>
            <w:r>
              <w:rPr>
                <w:spacing w:val="-2"/>
                <w:sz w:val="20"/>
              </w:rPr>
              <w:t>$1.7M</w:t>
            </w:r>
          </w:p>
        </w:tc>
        <w:tc>
          <w:tcPr>
            <w:tcW w:w="903" w:type="dxa"/>
            <w:tcBorders>
              <w:top w:val="single" w:sz="4" w:space="0" w:color="BEBEBE"/>
              <w:left w:val="single" w:sz="4" w:space="0" w:color="BEBEBE"/>
              <w:bottom w:val="single" w:sz="4" w:space="0" w:color="BEBEBE"/>
              <w:right w:val="single" w:sz="4" w:space="0" w:color="BEBEBE"/>
            </w:tcBorders>
          </w:tcPr>
          <w:p>
            <w:pPr>
              <w:pStyle w:val="TableParagraph"/>
              <w:spacing w:line="226" w:lineRule="exact"/>
              <w:ind w:left="186"/>
              <w:rPr>
                <w:sz w:val="20"/>
              </w:rPr>
            </w:pPr>
            <w:r>
              <w:rPr>
                <w:spacing w:val="-2"/>
                <w:sz w:val="20"/>
              </w:rPr>
              <w:t>$1.9M</w:t>
            </w:r>
          </w:p>
        </w:tc>
        <w:tc>
          <w:tcPr>
            <w:tcW w:w="903" w:type="dxa"/>
            <w:tcBorders>
              <w:top w:val="single" w:sz="4" w:space="0" w:color="BEBEBE"/>
              <w:left w:val="single" w:sz="4" w:space="0" w:color="BEBEBE"/>
              <w:bottom w:val="single" w:sz="4" w:space="0" w:color="BEBEBE"/>
              <w:right w:val="single" w:sz="4" w:space="0" w:color="BEBEBE"/>
            </w:tcBorders>
          </w:tcPr>
          <w:p>
            <w:pPr>
              <w:pStyle w:val="TableParagraph"/>
              <w:spacing w:line="226" w:lineRule="exact"/>
              <w:ind w:right="174"/>
              <w:jc w:val="right"/>
              <w:rPr>
                <w:sz w:val="20"/>
              </w:rPr>
            </w:pPr>
            <w:r>
              <w:rPr>
                <w:spacing w:val="-2"/>
                <w:sz w:val="20"/>
              </w:rPr>
              <w:t>$1.5M</w:t>
            </w:r>
          </w:p>
        </w:tc>
        <w:tc>
          <w:tcPr>
            <w:tcW w:w="901" w:type="dxa"/>
            <w:tcBorders>
              <w:top w:val="single" w:sz="4" w:space="0" w:color="BEBEBE"/>
              <w:left w:val="single" w:sz="4" w:space="0" w:color="BEBEBE"/>
              <w:bottom w:val="single" w:sz="4" w:space="0" w:color="BEBEBE"/>
              <w:right w:val="single" w:sz="4" w:space="0" w:color="BEBEBE"/>
            </w:tcBorders>
          </w:tcPr>
          <w:p>
            <w:pPr>
              <w:pStyle w:val="TableParagraph"/>
              <w:spacing w:line="226" w:lineRule="exact"/>
              <w:ind w:left="184"/>
              <w:rPr>
                <w:sz w:val="20"/>
              </w:rPr>
            </w:pPr>
            <w:r>
              <w:rPr>
                <w:spacing w:val="-2"/>
                <w:sz w:val="20"/>
              </w:rPr>
              <w:t>$1.2M</w:t>
            </w:r>
          </w:p>
        </w:tc>
        <w:tc>
          <w:tcPr>
            <w:tcW w:w="903" w:type="dxa"/>
            <w:tcBorders>
              <w:top w:val="single" w:sz="4" w:space="0" w:color="BEBEBE"/>
              <w:left w:val="single" w:sz="4" w:space="0" w:color="BEBEBE"/>
              <w:bottom w:val="single" w:sz="4" w:space="0" w:color="BEBEBE"/>
              <w:right w:val="single" w:sz="4" w:space="0" w:color="BEBEBE"/>
            </w:tcBorders>
          </w:tcPr>
          <w:p>
            <w:pPr>
              <w:pStyle w:val="TableParagraph"/>
              <w:spacing w:line="226" w:lineRule="exact"/>
              <w:ind w:left="123" w:right="113"/>
              <w:jc w:val="center"/>
              <w:rPr>
                <w:sz w:val="20"/>
              </w:rPr>
            </w:pPr>
            <w:r>
              <w:rPr>
                <w:spacing w:val="-2"/>
                <w:sz w:val="20"/>
              </w:rPr>
              <w:t>$1.0M</w:t>
            </w:r>
          </w:p>
        </w:tc>
        <w:tc>
          <w:tcPr>
            <w:tcW w:w="1330" w:type="dxa"/>
            <w:tcBorders>
              <w:top w:val="single" w:sz="4" w:space="0" w:color="BEBEBE"/>
              <w:left w:val="single" w:sz="4" w:space="0" w:color="BEBEBE"/>
              <w:bottom w:val="single" w:sz="4" w:space="0" w:color="BEBEBE"/>
              <w:right w:val="single" w:sz="4" w:space="0" w:color="000000"/>
            </w:tcBorders>
          </w:tcPr>
          <w:p>
            <w:pPr>
              <w:pStyle w:val="TableParagraph"/>
              <w:spacing w:line="226" w:lineRule="exact"/>
              <w:ind w:right="392"/>
              <w:jc w:val="right"/>
              <w:rPr>
                <w:sz w:val="20"/>
              </w:rPr>
            </w:pPr>
            <w:r>
              <w:rPr>
                <w:spacing w:val="-2"/>
                <w:sz w:val="20"/>
              </w:rPr>
              <w:t>$7.3M</w:t>
            </w:r>
          </w:p>
        </w:tc>
      </w:tr>
      <w:tr>
        <w:trPr>
          <w:trHeight w:val="249" w:hRule="atLeast"/>
        </w:trPr>
        <w:tc>
          <w:tcPr>
            <w:tcW w:w="4582" w:type="dxa"/>
            <w:tcBorders>
              <w:top w:val="single" w:sz="4" w:space="0" w:color="BEBEBE"/>
              <w:left w:val="single" w:sz="4" w:space="0" w:color="000000"/>
              <w:bottom w:val="single" w:sz="4" w:space="0" w:color="BEBEBE"/>
              <w:right w:val="single" w:sz="4" w:space="0" w:color="BEBEBE"/>
            </w:tcBorders>
          </w:tcPr>
          <w:p>
            <w:pPr>
              <w:pStyle w:val="TableParagraph"/>
              <w:spacing w:line="226" w:lineRule="exact"/>
              <w:ind w:left="107"/>
              <w:rPr>
                <w:sz w:val="20"/>
              </w:rPr>
            </w:pPr>
            <w:r>
              <w:rPr>
                <w:sz w:val="20"/>
              </w:rPr>
              <w:t>Investment</w:t>
            </w:r>
            <w:r>
              <w:rPr>
                <w:spacing w:val="-7"/>
                <w:sz w:val="20"/>
              </w:rPr>
              <w:t> </w:t>
            </w:r>
            <w:r>
              <w:rPr>
                <w:sz w:val="20"/>
              </w:rPr>
              <w:t>in</w:t>
            </w:r>
            <w:r>
              <w:rPr>
                <w:spacing w:val="-7"/>
                <w:sz w:val="20"/>
              </w:rPr>
              <w:t> </w:t>
            </w:r>
            <w:r>
              <w:rPr>
                <w:sz w:val="20"/>
              </w:rPr>
              <w:t>Primary</w:t>
            </w:r>
            <w:r>
              <w:rPr>
                <w:spacing w:val="-7"/>
                <w:sz w:val="20"/>
              </w:rPr>
              <w:t> </w:t>
            </w:r>
            <w:r>
              <w:rPr>
                <w:sz w:val="20"/>
              </w:rPr>
              <w:t>Care</w:t>
            </w:r>
            <w:r>
              <w:rPr>
                <w:spacing w:val="-6"/>
                <w:sz w:val="20"/>
              </w:rPr>
              <w:t> </w:t>
            </w:r>
            <w:r>
              <w:rPr>
                <w:sz w:val="20"/>
              </w:rPr>
              <w:t>Residency</w:t>
            </w:r>
            <w:r>
              <w:rPr>
                <w:spacing w:val="-9"/>
                <w:sz w:val="20"/>
              </w:rPr>
              <w:t> </w:t>
            </w:r>
            <w:r>
              <w:rPr>
                <w:spacing w:val="-2"/>
                <w:sz w:val="20"/>
              </w:rPr>
              <w:t>Training</w:t>
            </w:r>
          </w:p>
        </w:tc>
        <w:tc>
          <w:tcPr>
            <w:tcW w:w="903" w:type="dxa"/>
            <w:tcBorders>
              <w:top w:val="single" w:sz="4" w:space="0" w:color="BEBEBE"/>
              <w:left w:val="single" w:sz="4" w:space="0" w:color="BEBEBE"/>
              <w:bottom w:val="single" w:sz="4" w:space="0" w:color="BEBEBE"/>
              <w:right w:val="single" w:sz="4" w:space="0" w:color="BEBEBE"/>
            </w:tcBorders>
          </w:tcPr>
          <w:p>
            <w:pPr>
              <w:pStyle w:val="TableParagraph"/>
              <w:spacing w:line="226" w:lineRule="exact"/>
              <w:ind w:right="173"/>
              <w:jc w:val="right"/>
              <w:rPr>
                <w:sz w:val="20"/>
              </w:rPr>
            </w:pPr>
            <w:r>
              <w:rPr>
                <w:spacing w:val="-2"/>
                <w:sz w:val="20"/>
              </w:rPr>
              <w:t>$0.2M</w:t>
            </w:r>
          </w:p>
        </w:tc>
        <w:tc>
          <w:tcPr>
            <w:tcW w:w="903" w:type="dxa"/>
            <w:tcBorders>
              <w:top w:val="single" w:sz="4" w:space="0" w:color="BEBEBE"/>
              <w:left w:val="single" w:sz="4" w:space="0" w:color="BEBEBE"/>
              <w:bottom w:val="single" w:sz="4" w:space="0" w:color="BEBEBE"/>
              <w:right w:val="single" w:sz="4" w:space="0" w:color="BEBEBE"/>
            </w:tcBorders>
          </w:tcPr>
          <w:p>
            <w:pPr>
              <w:pStyle w:val="TableParagraph"/>
              <w:spacing w:line="226" w:lineRule="exact"/>
              <w:ind w:left="186"/>
              <w:rPr>
                <w:sz w:val="20"/>
              </w:rPr>
            </w:pPr>
            <w:r>
              <w:rPr>
                <w:spacing w:val="-2"/>
                <w:sz w:val="20"/>
              </w:rPr>
              <w:t>$1.1M</w:t>
            </w:r>
          </w:p>
        </w:tc>
        <w:tc>
          <w:tcPr>
            <w:tcW w:w="903" w:type="dxa"/>
            <w:tcBorders>
              <w:top w:val="single" w:sz="4" w:space="0" w:color="BEBEBE"/>
              <w:left w:val="single" w:sz="4" w:space="0" w:color="BEBEBE"/>
              <w:bottom w:val="single" w:sz="4" w:space="0" w:color="BEBEBE"/>
              <w:right w:val="single" w:sz="4" w:space="0" w:color="BEBEBE"/>
            </w:tcBorders>
          </w:tcPr>
          <w:p>
            <w:pPr>
              <w:pStyle w:val="TableParagraph"/>
              <w:spacing w:line="226" w:lineRule="exact"/>
              <w:ind w:right="174"/>
              <w:jc w:val="right"/>
              <w:rPr>
                <w:sz w:val="20"/>
              </w:rPr>
            </w:pPr>
            <w:r>
              <w:rPr>
                <w:spacing w:val="-2"/>
                <w:sz w:val="20"/>
              </w:rPr>
              <w:t>$2.7M</w:t>
            </w:r>
          </w:p>
        </w:tc>
        <w:tc>
          <w:tcPr>
            <w:tcW w:w="901" w:type="dxa"/>
            <w:tcBorders>
              <w:top w:val="single" w:sz="4" w:space="0" w:color="BEBEBE"/>
              <w:left w:val="single" w:sz="4" w:space="0" w:color="BEBEBE"/>
              <w:bottom w:val="single" w:sz="4" w:space="0" w:color="BEBEBE"/>
              <w:right w:val="single" w:sz="4" w:space="0" w:color="BEBEBE"/>
            </w:tcBorders>
          </w:tcPr>
          <w:p>
            <w:pPr>
              <w:pStyle w:val="TableParagraph"/>
              <w:spacing w:line="226" w:lineRule="exact"/>
              <w:ind w:left="184"/>
              <w:rPr>
                <w:sz w:val="20"/>
              </w:rPr>
            </w:pPr>
            <w:r>
              <w:rPr>
                <w:spacing w:val="-2"/>
                <w:sz w:val="20"/>
              </w:rPr>
              <w:t>$2.1M</w:t>
            </w:r>
          </w:p>
        </w:tc>
        <w:tc>
          <w:tcPr>
            <w:tcW w:w="903" w:type="dxa"/>
            <w:tcBorders>
              <w:top w:val="single" w:sz="4" w:space="0" w:color="BEBEBE"/>
              <w:left w:val="single" w:sz="4" w:space="0" w:color="BEBEBE"/>
              <w:bottom w:val="single" w:sz="4" w:space="0" w:color="BEBEBE"/>
              <w:right w:val="single" w:sz="4" w:space="0" w:color="BEBEBE"/>
            </w:tcBorders>
          </w:tcPr>
          <w:p>
            <w:pPr>
              <w:pStyle w:val="TableParagraph"/>
              <w:spacing w:line="226" w:lineRule="exact"/>
              <w:ind w:left="123" w:right="113"/>
              <w:jc w:val="center"/>
              <w:rPr>
                <w:sz w:val="20"/>
              </w:rPr>
            </w:pPr>
            <w:r>
              <w:rPr>
                <w:spacing w:val="-2"/>
                <w:sz w:val="20"/>
              </w:rPr>
              <w:t>$2.4M</w:t>
            </w:r>
          </w:p>
        </w:tc>
        <w:tc>
          <w:tcPr>
            <w:tcW w:w="1330" w:type="dxa"/>
            <w:tcBorders>
              <w:top w:val="single" w:sz="4" w:space="0" w:color="BEBEBE"/>
              <w:left w:val="single" w:sz="4" w:space="0" w:color="BEBEBE"/>
              <w:bottom w:val="single" w:sz="4" w:space="0" w:color="BEBEBE"/>
              <w:right w:val="single" w:sz="4" w:space="0" w:color="000000"/>
            </w:tcBorders>
          </w:tcPr>
          <w:p>
            <w:pPr>
              <w:pStyle w:val="TableParagraph"/>
              <w:spacing w:line="226" w:lineRule="exact"/>
              <w:ind w:right="392"/>
              <w:jc w:val="right"/>
              <w:rPr>
                <w:sz w:val="20"/>
              </w:rPr>
            </w:pPr>
            <w:r>
              <w:rPr>
                <w:spacing w:val="-2"/>
                <w:sz w:val="20"/>
              </w:rPr>
              <w:t>$8.4M</w:t>
            </w:r>
          </w:p>
        </w:tc>
      </w:tr>
      <w:tr>
        <w:trPr>
          <w:trHeight w:val="246" w:hRule="atLeast"/>
        </w:trPr>
        <w:tc>
          <w:tcPr>
            <w:tcW w:w="4582" w:type="dxa"/>
            <w:tcBorders>
              <w:top w:val="single" w:sz="4" w:space="0" w:color="BEBEBE"/>
              <w:left w:val="single" w:sz="4" w:space="0" w:color="000000"/>
              <w:bottom w:val="single" w:sz="4" w:space="0" w:color="BEBEBE"/>
              <w:right w:val="single" w:sz="4" w:space="0" w:color="BEBEBE"/>
            </w:tcBorders>
          </w:tcPr>
          <w:p>
            <w:pPr>
              <w:pStyle w:val="TableParagraph"/>
              <w:spacing w:line="226" w:lineRule="exact"/>
              <w:ind w:left="107"/>
              <w:rPr>
                <w:sz w:val="20"/>
              </w:rPr>
            </w:pPr>
            <w:r>
              <w:rPr>
                <w:sz w:val="20"/>
              </w:rPr>
              <w:t>Workforce</w:t>
            </w:r>
            <w:r>
              <w:rPr>
                <w:spacing w:val="-9"/>
                <w:sz w:val="20"/>
              </w:rPr>
              <w:t> </w:t>
            </w:r>
            <w:r>
              <w:rPr>
                <w:sz w:val="20"/>
              </w:rPr>
              <w:t>Development</w:t>
            </w:r>
            <w:r>
              <w:rPr>
                <w:spacing w:val="-9"/>
                <w:sz w:val="20"/>
              </w:rPr>
              <w:t> </w:t>
            </w:r>
            <w:r>
              <w:rPr>
                <w:sz w:val="20"/>
              </w:rPr>
              <w:t>Grant</w:t>
            </w:r>
            <w:r>
              <w:rPr>
                <w:spacing w:val="-9"/>
                <w:sz w:val="20"/>
              </w:rPr>
              <w:t> </w:t>
            </w:r>
            <w:r>
              <w:rPr>
                <w:spacing w:val="-2"/>
                <w:sz w:val="20"/>
              </w:rPr>
              <w:t>Program</w:t>
            </w:r>
          </w:p>
        </w:tc>
        <w:tc>
          <w:tcPr>
            <w:tcW w:w="903" w:type="dxa"/>
            <w:tcBorders>
              <w:top w:val="single" w:sz="4" w:space="0" w:color="BEBEBE"/>
              <w:left w:val="single" w:sz="4" w:space="0" w:color="BEBEBE"/>
              <w:bottom w:val="single" w:sz="4" w:space="0" w:color="BEBEBE"/>
              <w:right w:val="single" w:sz="4" w:space="0" w:color="BEBEBE"/>
            </w:tcBorders>
          </w:tcPr>
          <w:p>
            <w:pPr>
              <w:pStyle w:val="TableParagraph"/>
              <w:spacing w:line="226" w:lineRule="exact"/>
              <w:ind w:right="173"/>
              <w:jc w:val="right"/>
              <w:rPr>
                <w:sz w:val="20"/>
              </w:rPr>
            </w:pPr>
            <w:r>
              <w:rPr>
                <w:spacing w:val="-2"/>
                <w:sz w:val="20"/>
              </w:rPr>
              <w:t>$1.7M</w:t>
            </w:r>
          </w:p>
        </w:tc>
        <w:tc>
          <w:tcPr>
            <w:tcW w:w="903" w:type="dxa"/>
            <w:tcBorders>
              <w:top w:val="single" w:sz="4" w:space="0" w:color="BEBEBE"/>
              <w:left w:val="single" w:sz="4" w:space="0" w:color="BEBEBE"/>
              <w:bottom w:val="single" w:sz="4" w:space="0" w:color="BEBEBE"/>
              <w:right w:val="single" w:sz="4" w:space="0" w:color="BEBEBE"/>
            </w:tcBorders>
          </w:tcPr>
          <w:p>
            <w:pPr>
              <w:pStyle w:val="TableParagraph"/>
              <w:spacing w:line="226" w:lineRule="exact"/>
              <w:ind w:left="186"/>
              <w:rPr>
                <w:sz w:val="20"/>
              </w:rPr>
            </w:pPr>
            <w:r>
              <w:rPr>
                <w:spacing w:val="-2"/>
                <w:sz w:val="20"/>
              </w:rPr>
              <w:t>$2.9M</w:t>
            </w:r>
          </w:p>
        </w:tc>
        <w:tc>
          <w:tcPr>
            <w:tcW w:w="903" w:type="dxa"/>
            <w:tcBorders>
              <w:top w:val="single" w:sz="4" w:space="0" w:color="BEBEBE"/>
              <w:left w:val="single" w:sz="4" w:space="0" w:color="BEBEBE"/>
              <w:bottom w:val="single" w:sz="4" w:space="0" w:color="BEBEBE"/>
              <w:right w:val="single" w:sz="4" w:space="0" w:color="BEBEBE"/>
            </w:tcBorders>
          </w:tcPr>
          <w:p>
            <w:pPr>
              <w:pStyle w:val="TableParagraph"/>
              <w:spacing w:line="226" w:lineRule="exact"/>
              <w:ind w:right="224"/>
              <w:jc w:val="right"/>
              <w:rPr>
                <w:sz w:val="20"/>
              </w:rPr>
            </w:pPr>
            <w:r>
              <w:rPr>
                <w:spacing w:val="-4"/>
                <w:sz w:val="20"/>
              </w:rPr>
              <w:t>$.8M</w:t>
            </w:r>
          </w:p>
        </w:tc>
        <w:tc>
          <w:tcPr>
            <w:tcW w:w="901" w:type="dxa"/>
            <w:tcBorders>
              <w:top w:val="single" w:sz="4" w:space="0" w:color="BEBEBE"/>
              <w:left w:val="single" w:sz="4" w:space="0" w:color="BEBEBE"/>
              <w:bottom w:val="single" w:sz="4" w:space="0" w:color="BEBEBE"/>
              <w:right w:val="single" w:sz="4" w:space="0" w:color="BEBEBE"/>
            </w:tcBorders>
          </w:tcPr>
          <w:p>
            <w:pPr>
              <w:pStyle w:val="TableParagraph"/>
              <w:spacing w:line="226" w:lineRule="exact"/>
              <w:ind w:left="184"/>
              <w:rPr>
                <w:sz w:val="20"/>
              </w:rPr>
            </w:pPr>
            <w:r>
              <w:rPr>
                <w:spacing w:val="-2"/>
                <w:sz w:val="20"/>
              </w:rPr>
              <w:t>$4.1M</w:t>
            </w:r>
          </w:p>
        </w:tc>
        <w:tc>
          <w:tcPr>
            <w:tcW w:w="903" w:type="dxa"/>
            <w:tcBorders>
              <w:top w:val="single" w:sz="4" w:space="0" w:color="BEBEBE"/>
              <w:left w:val="single" w:sz="4" w:space="0" w:color="BEBEBE"/>
              <w:bottom w:val="single" w:sz="4" w:space="0" w:color="BEBEBE"/>
              <w:right w:val="single" w:sz="4" w:space="0" w:color="BEBEBE"/>
            </w:tcBorders>
          </w:tcPr>
          <w:p>
            <w:pPr>
              <w:pStyle w:val="TableParagraph"/>
              <w:spacing w:line="226" w:lineRule="exact"/>
              <w:ind w:left="123" w:right="113"/>
              <w:jc w:val="center"/>
              <w:rPr>
                <w:sz w:val="20"/>
              </w:rPr>
            </w:pPr>
            <w:r>
              <w:rPr>
                <w:spacing w:val="-2"/>
                <w:sz w:val="20"/>
              </w:rPr>
              <w:t>$2.4M</w:t>
            </w:r>
          </w:p>
        </w:tc>
        <w:tc>
          <w:tcPr>
            <w:tcW w:w="1330" w:type="dxa"/>
            <w:tcBorders>
              <w:top w:val="single" w:sz="4" w:space="0" w:color="BEBEBE"/>
              <w:left w:val="single" w:sz="4" w:space="0" w:color="BEBEBE"/>
              <w:bottom w:val="single" w:sz="4" w:space="0" w:color="BEBEBE"/>
              <w:right w:val="single" w:sz="4" w:space="0" w:color="000000"/>
            </w:tcBorders>
          </w:tcPr>
          <w:p>
            <w:pPr>
              <w:pStyle w:val="TableParagraph"/>
              <w:spacing w:line="226" w:lineRule="exact"/>
              <w:ind w:right="342"/>
              <w:jc w:val="right"/>
              <w:rPr>
                <w:sz w:val="20"/>
              </w:rPr>
            </w:pPr>
            <w:r>
              <w:rPr>
                <w:spacing w:val="-2"/>
                <w:sz w:val="20"/>
              </w:rPr>
              <w:t>$11.9M</w:t>
            </w:r>
          </w:p>
        </w:tc>
      </w:tr>
      <w:tr>
        <w:trPr>
          <w:trHeight w:val="249" w:hRule="atLeast"/>
        </w:trPr>
        <w:tc>
          <w:tcPr>
            <w:tcW w:w="4582" w:type="dxa"/>
            <w:tcBorders>
              <w:top w:val="single" w:sz="4" w:space="0" w:color="BEBEBE"/>
              <w:left w:val="single" w:sz="4" w:space="0" w:color="000000"/>
              <w:bottom w:val="single" w:sz="4" w:space="0" w:color="BEBEBE"/>
              <w:right w:val="single" w:sz="4" w:space="0" w:color="BEBEBE"/>
            </w:tcBorders>
          </w:tcPr>
          <w:p>
            <w:pPr>
              <w:pStyle w:val="TableParagraph"/>
              <w:spacing w:line="229" w:lineRule="exact"/>
              <w:ind w:left="107"/>
              <w:rPr>
                <w:sz w:val="20"/>
              </w:rPr>
            </w:pPr>
            <w:r>
              <w:rPr>
                <w:sz w:val="20"/>
              </w:rPr>
              <w:t>Technical</w:t>
            </w:r>
            <w:r>
              <w:rPr>
                <w:spacing w:val="-6"/>
                <w:sz w:val="20"/>
              </w:rPr>
              <w:t> </w:t>
            </w:r>
            <w:r>
              <w:rPr>
                <w:sz w:val="20"/>
              </w:rPr>
              <w:t>Assistance</w:t>
            </w:r>
            <w:r>
              <w:rPr>
                <w:spacing w:val="-8"/>
                <w:sz w:val="20"/>
              </w:rPr>
              <w:t> </w:t>
            </w:r>
            <w:r>
              <w:rPr>
                <w:sz w:val="20"/>
              </w:rPr>
              <w:t>for</w:t>
            </w:r>
            <w:r>
              <w:rPr>
                <w:spacing w:val="-4"/>
                <w:sz w:val="20"/>
              </w:rPr>
              <w:t> </w:t>
            </w:r>
            <w:r>
              <w:rPr>
                <w:sz w:val="20"/>
              </w:rPr>
              <w:t>ACOs</w:t>
            </w:r>
            <w:r>
              <w:rPr>
                <w:spacing w:val="-9"/>
                <w:sz w:val="20"/>
              </w:rPr>
              <w:t> </w:t>
            </w:r>
            <w:r>
              <w:rPr>
                <w:sz w:val="20"/>
              </w:rPr>
              <w:t>and</w:t>
            </w:r>
            <w:r>
              <w:rPr>
                <w:spacing w:val="-6"/>
                <w:sz w:val="20"/>
              </w:rPr>
              <w:t> </w:t>
            </w:r>
            <w:r>
              <w:rPr>
                <w:spacing w:val="-5"/>
                <w:sz w:val="20"/>
              </w:rPr>
              <w:t>CPs</w:t>
            </w:r>
          </w:p>
        </w:tc>
        <w:tc>
          <w:tcPr>
            <w:tcW w:w="903" w:type="dxa"/>
            <w:tcBorders>
              <w:top w:val="single" w:sz="4" w:space="0" w:color="BEBEBE"/>
              <w:left w:val="single" w:sz="4" w:space="0" w:color="BEBEBE"/>
              <w:bottom w:val="single" w:sz="4" w:space="0" w:color="BEBEBE"/>
              <w:right w:val="single" w:sz="4" w:space="0" w:color="BEBEBE"/>
            </w:tcBorders>
          </w:tcPr>
          <w:p>
            <w:pPr>
              <w:pStyle w:val="TableParagraph"/>
              <w:spacing w:line="229" w:lineRule="exact"/>
              <w:ind w:right="122"/>
              <w:jc w:val="right"/>
              <w:rPr>
                <w:sz w:val="20"/>
              </w:rPr>
            </w:pPr>
            <w:r>
              <w:rPr>
                <w:spacing w:val="-2"/>
                <w:sz w:val="20"/>
              </w:rPr>
              <w:t>$10.3M</w:t>
            </w:r>
          </w:p>
        </w:tc>
        <w:tc>
          <w:tcPr>
            <w:tcW w:w="903" w:type="dxa"/>
            <w:tcBorders>
              <w:top w:val="single" w:sz="4" w:space="0" w:color="BEBEBE"/>
              <w:left w:val="single" w:sz="4" w:space="0" w:color="BEBEBE"/>
              <w:bottom w:val="single" w:sz="4" w:space="0" w:color="BEBEBE"/>
              <w:right w:val="single" w:sz="4" w:space="0" w:color="BEBEBE"/>
            </w:tcBorders>
          </w:tcPr>
          <w:p>
            <w:pPr>
              <w:pStyle w:val="TableParagraph"/>
              <w:spacing w:line="229" w:lineRule="exact"/>
              <w:ind w:left="135"/>
              <w:rPr>
                <w:sz w:val="20"/>
              </w:rPr>
            </w:pPr>
            <w:r>
              <w:rPr>
                <w:spacing w:val="-2"/>
                <w:sz w:val="20"/>
              </w:rPr>
              <w:t>$10.6M</w:t>
            </w:r>
          </w:p>
        </w:tc>
        <w:tc>
          <w:tcPr>
            <w:tcW w:w="903" w:type="dxa"/>
            <w:tcBorders>
              <w:top w:val="single" w:sz="4" w:space="0" w:color="BEBEBE"/>
              <w:left w:val="single" w:sz="4" w:space="0" w:color="BEBEBE"/>
              <w:bottom w:val="single" w:sz="4" w:space="0" w:color="BEBEBE"/>
              <w:right w:val="single" w:sz="4" w:space="0" w:color="BEBEBE"/>
            </w:tcBorders>
          </w:tcPr>
          <w:p>
            <w:pPr>
              <w:pStyle w:val="TableParagraph"/>
              <w:spacing w:line="229" w:lineRule="exact"/>
              <w:ind w:right="174"/>
              <w:jc w:val="right"/>
              <w:rPr>
                <w:sz w:val="20"/>
              </w:rPr>
            </w:pPr>
            <w:r>
              <w:rPr>
                <w:spacing w:val="-2"/>
                <w:sz w:val="20"/>
              </w:rPr>
              <w:t>$5.6M</w:t>
            </w:r>
          </w:p>
        </w:tc>
        <w:tc>
          <w:tcPr>
            <w:tcW w:w="901" w:type="dxa"/>
            <w:tcBorders>
              <w:top w:val="single" w:sz="4" w:space="0" w:color="BEBEBE"/>
              <w:left w:val="single" w:sz="4" w:space="0" w:color="BEBEBE"/>
              <w:bottom w:val="single" w:sz="4" w:space="0" w:color="BEBEBE"/>
              <w:right w:val="single" w:sz="4" w:space="0" w:color="BEBEBE"/>
            </w:tcBorders>
          </w:tcPr>
          <w:p>
            <w:pPr>
              <w:pStyle w:val="TableParagraph"/>
              <w:spacing w:line="229" w:lineRule="exact"/>
              <w:ind w:left="134"/>
              <w:rPr>
                <w:sz w:val="20"/>
              </w:rPr>
            </w:pPr>
            <w:r>
              <w:rPr>
                <w:spacing w:val="-2"/>
                <w:sz w:val="20"/>
              </w:rPr>
              <w:t>$11.3M</w:t>
            </w:r>
          </w:p>
        </w:tc>
        <w:tc>
          <w:tcPr>
            <w:tcW w:w="903" w:type="dxa"/>
            <w:tcBorders>
              <w:top w:val="single" w:sz="4" w:space="0" w:color="BEBEBE"/>
              <w:left w:val="single" w:sz="4" w:space="0" w:color="BEBEBE"/>
              <w:bottom w:val="single" w:sz="4" w:space="0" w:color="BEBEBE"/>
              <w:right w:val="single" w:sz="4" w:space="0" w:color="BEBEBE"/>
            </w:tcBorders>
          </w:tcPr>
          <w:p>
            <w:pPr>
              <w:pStyle w:val="TableParagraph"/>
              <w:spacing w:line="229" w:lineRule="exact"/>
              <w:ind w:left="123" w:right="113"/>
              <w:jc w:val="center"/>
              <w:rPr>
                <w:sz w:val="20"/>
              </w:rPr>
            </w:pPr>
            <w:r>
              <w:rPr>
                <w:spacing w:val="-2"/>
                <w:sz w:val="20"/>
              </w:rPr>
              <w:t>$6.2M</w:t>
            </w:r>
          </w:p>
        </w:tc>
        <w:tc>
          <w:tcPr>
            <w:tcW w:w="1330" w:type="dxa"/>
            <w:tcBorders>
              <w:top w:val="single" w:sz="4" w:space="0" w:color="BEBEBE"/>
              <w:left w:val="single" w:sz="4" w:space="0" w:color="BEBEBE"/>
              <w:bottom w:val="single" w:sz="4" w:space="0" w:color="BEBEBE"/>
              <w:right w:val="single" w:sz="4" w:space="0" w:color="000000"/>
            </w:tcBorders>
          </w:tcPr>
          <w:p>
            <w:pPr>
              <w:pStyle w:val="TableParagraph"/>
              <w:spacing w:line="229" w:lineRule="exact"/>
              <w:ind w:right="342"/>
              <w:jc w:val="right"/>
              <w:rPr>
                <w:sz w:val="20"/>
              </w:rPr>
            </w:pPr>
            <w:r>
              <w:rPr>
                <w:spacing w:val="-2"/>
                <w:sz w:val="20"/>
              </w:rPr>
              <w:t>$44.0M</w:t>
            </w:r>
          </w:p>
        </w:tc>
      </w:tr>
      <w:tr>
        <w:trPr>
          <w:trHeight w:val="249" w:hRule="atLeast"/>
        </w:trPr>
        <w:tc>
          <w:tcPr>
            <w:tcW w:w="4582" w:type="dxa"/>
            <w:tcBorders>
              <w:top w:val="single" w:sz="4" w:space="0" w:color="BEBEBE"/>
              <w:left w:val="single" w:sz="4" w:space="0" w:color="000000"/>
              <w:bottom w:val="single" w:sz="4" w:space="0" w:color="BEBEBE"/>
              <w:right w:val="single" w:sz="4" w:space="0" w:color="BEBEBE"/>
            </w:tcBorders>
          </w:tcPr>
          <w:p>
            <w:pPr>
              <w:pStyle w:val="TableParagraph"/>
              <w:spacing w:line="226" w:lineRule="exact"/>
              <w:ind w:left="107"/>
              <w:rPr>
                <w:sz w:val="20"/>
              </w:rPr>
            </w:pPr>
            <w:r>
              <w:rPr>
                <w:sz w:val="20"/>
              </w:rPr>
              <w:t>Alternative</w:t>
            </w:r>
            <w:r>
              <w:rPr>
                <w:spacing w:val="-10"/>
                <w:sz w:val="20"/>
              </w:rPr>
              <w:t> </w:t>
            </w:r>
            <w:r>
              <w:rPr>
                <w:sz w:val="20"/>
              </w:rPr>
              <w:t>Payment</w:t>
            </w:r>
            <w:r>
              <w:rPr>
                <w:spacing w:val="-10"/>
                <w:sz w:val="20"/>
              </w:rPr>
              <w:t> </w:t>
            </w:r>
            <w:r>
              <w:rPr>
                <w:sz w:val="20"/>
              </w:rPr>
              <w:t>Methodology</w:t>
            </w:r>
            <w:r>
              <w:rPr>
                <w:spacing w:val="-12"/>
                <w:sz w:val="20"/>
              </w:rPr>
              <w:t> </w:t>
            </w:r>
            <w:r>
              <w:rPr>
                <w:sz w:val="20"/>
              </w:rPr>
              <w:t>Preparation</w:t>
            </w:r>
            <w:r>
              <w:rPr>
                <w:spacing w:val="-10"/>
                <w:sz w:val="20"/>
              </w:rPr>
              <w:t> </w:t>
            </w:r>
            <w:r>
              <w:rPr>
                <w:spacing w:val="-4"/>
                <w:sz w:val="20"/>
              </w:rPr>
              <w:t>Funds</w:t>
            </w:r>
          </w:p>
        </w:tc>
        <w:tc>
          <w:tcPr>
            <w:tcW w:w="903" w:type="dxa"/>
            <w:tcBorders>
              <w:top w:val="single" w:sz="4" w:space="0" w:color="BEBEBE"/>
              <w:left w:val="single" w:sz="4" w:space="0" w:color="BEBEBE"/>
              <w:bottom w:val="single" w:sz="4" w:space="0" w:color="BEBEBE"/>
              <w:right w:val="single" w:sz="4" w:space="0" w:color="BEBEBE"/>
            </w:tcBorders>
          </w:tcPr>
          <w:p>
            <w:pPr>
              <w:pStyle w:val="TableParagraph"/>
              <w:spacing w:line="226" w:lineRule="exact"/>
              <w:ind w:right="173"/>
              <w:jc w:val="right"/>
              <w:rPr>
                <w:sz w:val="20"/>
              </w:rPr>
            </w:pPr>
            <w:r>
              <w:rPr>
                <w:spacing w:val="-2"/>
                <w:sz w:val="20"/>
              </w:rPr>
              <w:t>$2.2M</w:t>
            </w:r>
          </w:p>
        </w:tc>
        <w:tc>
          <w:tcPr>
            <w:tcW w:w="903" w:type="dxa"/>
            <w:tcBorders>
              <w:top w:val="single" w:sz="4" w:space="0" w:color="BEBEBE"/>
              <w:left w:val="single" w:sz="4" w:space="0" w:color="BEBEBE"/>
              <w:bottom w:val="single" w:sz="4" w:space="0" w:color="BEBEBE"/>
              <w:right w:val="single" w:sz="4" w:space="0" w:color="BEBEBE"/>
            </w:tcBorders>
          </w:tcPr>
          <w:p>
            <w:pPr>
              <w:pStyle w:val="TableParagraph"/>
              <w:spacing w:line="226" w:lineRule="exact"/>
              <w:ind w:left="186"/>
              <w:rPr>
                <w:sz w:val="20"/>
              </w:rPr>
            </w:pPr>
            <w:r>
              <w:rPr>
                <w:spacing w:val="-2"/>
                <w:sz w:val="20"/>
              </w:rPr>
              <w:t>$0.0M</w:t>
            </w:r>
          </w:p>
        </w:tc>
        <w:tc>
          <w:tcPr>
            <w:tcW w:w="903" w:type="dxa"/>
            <w:tcBorders>
              <w:top w:val="single" w:sz="4" w:space="0" w:color="BEBEBE"/>
              <w:left w:val="single" w:sz="4" w:space="0" w:color="BEBEBE"/>
              <w:bottom w:val="single" w:sz="4" w:space="0" w:color="BEBEBE"/>
              <w:right w:val="single" w:sz="4" w:space="0" w:color="BEBEBE"/>
            </w:tcBorders>
          </w:tcPr>
          <w:p>
            <w:pPr>
              <w:pStyle w:val="TableParagraph"/>
              <w:spacing w:line="226" w:lineRule="exact"/>
              <w:ind w:right="174"/>
              <w:jc w:val="right"/>
              <w:rPr>
                <w:sz w:val="20"/>
              </w:rPr>
            </w:pPr>
            <w:r>
              <w:rPr>
                <w:spacing w:val="-2"/>
                <w:sz w:val="20"/>
              </w:rPr>
              <w:t>$0.0M</w:t>
            </w:r>
          </w:p>
        </w:tc>
        <w:tc>
          <w:tcPr>
            <w:tcW w:w="901" w:type="dxa"/>
            <w:tcBorders>
              <w:top w:val="single" w:sz="4" w:space="0" w:color="BEBEBE"/>
              <w:left w:val="single" w:sz="4" w:space="0" w:color="BEBEBE"/>
              <w:bottom w:val="single" w:sz="4" w:space="0" w:color="BEBEBE"/>
              <w:right w:val="single" w:sz="4" w:space="0" w:color="BEBEBE"/>
            </w:tcBorders>
          </w:tcPr>
          <w:p>
            <w:pPr>
              <w:pStyle w:val="TableParagraph"/>
              <w:spacing w:line="226" w:lineRule="exact"/>
              <w:ind w:left="184"/>
              <w:rPr>
                <w:sz w:val="20"/>
              </w:rPr>
            </w:pPr>
            <w:r>
              <w:rPr>
                <w:spacing w:val="-2"/>
                <w:sz w:val="20"/>
              </w:rPr>
              <w:t>$8.5M</w:t>
            </w:r>
          </w:p>
        </w:tc>
        <w:tc>
          <w:tcPr>
            <w:tcW w:w="903" w:type="dxa"/>
            <w:tcBorders>
              <w:top w:val="single" w:sz="4" w:space="0" w:color="BEBEBE"/>
              <w:left w:val="single" w:sz="4" w:space="0" w:color="BEBEBE"/>
              <w:bottom w:val="single" w:sz="4" w:space="0" w:color="BEBEBE"/>
              <w:right w:val="single" w:sz="4" w:space="0" w:color="BEBEBE"/>
            </w:tcBorders>
          </w:tcPr>
          <w:p>
            <w:pPr>
              <w:pStyle w:val="TableParagraph"/>
              <w:spacing w:line="226" w:lineRule="exact"/>
              <w:ind w:left="123" w:right="113"/>
              <w:jc w:val="center"/>
              <w:rPr>
                <w:sz w:val="20"/>
              </w:rPr>
            </w:pPr>
            <w:r>
              <w:rPr>
                <w:spacing w:val="-2"/>
                <w:sz w:val="20"/>
              </w:rPr>
              <w:t>$1.2M</w:t>
            </w:r>
          </w:p>
        </w:tc>
        <w:tc>
          <w:tcPr>
            <w:tcW w:w="1330" w:type="dxa"/>
            <w:tcBorders>
              <w:top w:val="single" w:sz="4" w:space="0" w:color="BEBEBE"/>
              <w:left w:val="single" w:sz="4" w:space="0" w:color="BEBEBE"/>
              <w:bottom w:val="single" w:sz="4" w:space="0" w:color="BEBEBE"/>
              <w:right w:val="single" w:sz="4" w:space="0" w:color="000000"/>
            </w:tcBorders>
          </w:tcPr>
          <w:p>
            <w:pPr>
              <w:pStyle w:val="TableParagraph"/>
              <w:spacing w:line="226" w:lineRule="exact"/>
              <w:ind w:right="342"/>
              <w:jc w:val="right"/>
              <w:rPr>
                <w:sz w:val="20"/>
              </w:rPr>
            </w:pPr>
            <w:r>
              <w:rPr>
                <w:spacing w:val="-2"/>
                <w:sz w:val="20"/>
              </w:rPr>
              <w:t>$11.9M</w:t>
            </w:r>
          </w:p>
        </w:tc>
      </w:tr>
      <w:tr>
        <w:trPr>
          <w:trHeight w:val="246" w:hRule="atLeast"/>
        </w:trPr>
        <w:tc>
          <w:tcPr>
            <w:tcW w:w="4582" w:type="dxa"/>
            <w:tcBorders>
              <w:top w:val="single" w:sz="4" w:space="0" w:color="BEBEBE"/>
              <w:left w:val="single" w:sz="4" w:space="0" w:color="000000"/>
              <w:bottom w:val="single" w:sz="4" w:space="0" w:color="BEBEBE"/>
              <w:right w:val="single" w:sz="4" w:space="0" w:color="BEBEBE"/>
            </w:tcBorders>
          </w:tcPr>
          <w:p>
            <w:pPr>
              <w:pStyle w:val="TableParagraph"/>
              <w:spacing w:line="226" w:lineRule="exact"/>
              <w:ind w:left="107"/>
              <w:rPr>
                <w:sz w:val="20"/>
              </w:rPr>
            </w:pPr>
            <w:r>
              <w:rPr>
                <w:sz w:val="20"/>
              </w:rPr>
              <w:t>Enhanced</w:t>
            </w:r>
            <w:r>
              <w:rPr>
                <w:spacing w:val="-9"/>
                <w:sz w:val="20"/>
              </w:rPr>
              <w:t> </w:t>
            </w:r>
            <w:r>
              <w:rPr>
                <w:sz w:val="20"/>
              </w:rPr>
              <w:t>Diversionary</w:t>
            </w:r>
            <w:r>
              <w:rPr>
                <w:spacing w:val="-12"/>
                <w:sz w:val="20"/>
              </w:rPr>
              <w:t> </w:t>
            </w:r>
            <w:r>
              <w:rPr>
                <w:sz w:val="20"/>
              </w:rPr>
              <w:t>Behavioral</w:t>
            </w:r>
            <w:r>
              <w:rPr>
                <w:spacing w:val="-10"/>
                <w:sz w:val="20"/>
              </w:rPr>
              <w:t> </w:t>
            </w:r>
            <w:r>
              <w:rPr>
                <w:sz w:val="20"/>
              </w:rPr>
              <w:t>Health</w:t>
            </w:r>
            <w:r>
              <w:rPr>
                <w:spacing w:val="-8"/>
                <w:sz w:val="20"/>
              </w:rPr>
              <w:t> </w:t>
            </w:r>
            <w:r>
              <w:rPr>
                <w:spacing w:val="-2"/>
                <w:sz w:val="20"/>
              </w:rPr>
              <w:t>Activities</w:t>
            </w:r>
          </w:p>
        </w:tc>
        <w:tc>
          <w:tcPr>
            <w:tcW w:w="903" w:type="dxa"/>
            <w:tcBorders>
              <w:top w:val="single" w:sz="4" w:space="0" w:color="BEBEBE"/>
              <w:left w:val="single" w:sz="4" w:space="0" w:color="BEBEBE"/>
              <w:bottom w:val="single" w:sz="4" w:space="0" w:color="BEBEBE"/>
              <w:right w:val="single" w:sz="4" w:space="0" w:color="BEBEBE"/>
            </w:tcBorders>
          </w:tcPr>
          <w:p>
            <w:pPr>
              <w:pStyle w:val="TableParagraph"/>
              <w:spacing w:line="226" w:lineRule="exact"/>
              <w:ind w:right="173"/>
              <w:jc w:val="right"/>
              <w:rPr>
                <w:sz w:val="20"/>
              </w:rPr>
            </w:pPr>
            <w:r>
              <w:rPr>
                <w:spacing w:val="-2"/>
                <w:sz w:val="20"/>
              </w:rPr>
              <w:t>$1.3M</w:t>
            </w:r>
          </w:p>
        </w:tc>
        <w:tc>
          <w:tcPr>
            <w:tcW w:w="903" w:type="dxa"/>
            <w:tcBorders>
              <w:top w:val="single" w:sz="4" w:space="0" w:color="BEBEBE"/>
              <w:left w:val="single" w:sz="4" w:space="0" w:color="BEBEBE"/>
              <w:bottom w:val="single" w:sz="4" w:space="0" w:color="BEBEBE"/>
              <w:right w:val="single" w:sz="4" w:space="0" w:color="BEBEBE"/>
            </w:tcBorders>
          </w:tcPr>
          <w:p>
            <w:pPr>
              <w:pStyle w:val="TableParagraph"/>
              <w:spacing w:line="226" w:lineRule="exact"/>
              <w:ind w:left="186"/>
              <w:rPr>
                <w:sz w:val="20"/>
              </w:rPr>
            </w:pPr>
            <w:r>
              <w:rPr>
                <w:spacing w:val="-2"/>
                <w:sz w:val="20"/>
              </w:rPr>
              <w:t>$0.0M</w:t>
            </w:r>
          </w:p>
        </w:tc>
        <w:tc>
          <w:tcPr>
            <w:tcW w:w="903" w:type="dxa"/>
            <w:tcBorders>
              <w:top w:val="single" w:sz="4" w:space="0" w:color="BEBEBE"/>
              <w:left w:val="single" w:sz="4" w:space="0" w:color="BEBEBE"/>
              <w:bottom w:val="single" w:sz="4" w:space="0" w:color="BEBEBE"/>
              <w:right w:val="single" w:sz="4" w:space="0" w:color="BEBEBE"/>
            </w:tcBorders>
          </w:tcPr>
          <w:p>
            <w:pPr>
              <w:pStyle w:val="TableParagraph"/>
              <w:spacing w:line="226" w:lineRule="exact"/>
              <w:ind w:right="174"/>
              <w:jc w:val="right"/>
              <w:rPr>
                <w:sz w:val="20"/>
              </w:rPr>
            </w:pPr>
            <w:r>
              <w:rPr>
                <w:spacing w:val="-2"/>
                <w:sz w:val="20"/>
              </w:rPr>
              <w:t>$0.0M</w:t>
            </w:r>
          </w:p>
        </w:tc>
        <w:tc>
          <w:tcPr>
            <w:tcW w:w="901" w:type="dxa"/>
            <w:tcBorders>
              <w:top w:val="single" w:sz="4" w:space="0" w:color="BEBEBE"/>
              <w:left w:val="single" w:sz="4" w:space="0" w:color="BEBEBE"/>
              <w:bottom w:val="single" w:sz="4" w:space="0" w:color="BEBEBE"/>
              <w:right w:val="single" w:sz="4" w:space="0" w:color="BEBEBE"/>
            </w:tcBorders>
          </w:tcPr>
          <w:p>
            <w:pPr>
              <w:pStyle w:val="TableParagraph"/>
              <w:spacing w:line="226" w:lineRule="exact"/>
              <w:ind w:left="184"/>
              <w:rPr>
                <w:sz w:val="20"/>
              </w:rPr>
            </w:pPr>
            <w:r>
              <w:rPr>
                <w:spacing w:val="-2"/>
                <w:sz w:val="20"/>
              </w:rPr>
              <w:t>$1.9M</w:t>
            </w:r>
          </w:p>
        </w:tc>
        <w:tc>
          <w:tcPr>
            <w:tcW w:w="903" w:type="dxa"/>
            <w:tcBorders>
              <w:top w:val="single" w:sz="4" w:space="0" w:color="BEBEBE"/>
              <w:left w:val="single" w:sz="4" w:space="0" w:color="BEBEBE"/>
              <w:bottom w:val="single" w:sz="4" w:space="0" w:color="BEBEBE"/>
              <w:right w:val="single" w:sz="4" w:space="0" w:color="BEBEBE"/>
            </w:tcBorders>
          </w:tcPr>
          <w:p>
            <w:pPr>
              <w:pStyle w:val="TableParagraph"/>
              <w:spacing w:line="226" w:lineRule="exact"/>
              <w:ind w:left="123" w:right="113"/>
              <w:jc w:val="center"/>
              <w:rPr>
                <w:sz w:val="20"/>
              </w:rPr>
            </w:pPr>
            <w:r>
              <w:rPr>
                <w:spacing w:val="-2"/>
                <w:sz w:val="20"/>
              </w:rPr>
              <w:t>$0.0M</w:t>
            </w:r>
          </w:p>
        </w:tc>
        <w:tc>
          <w:tcPr>
            <w:tcW w:w="1330" w:type="dxa"/>
            <w:tcBorders>
              <w:top w:val="single" w:sz="4" w:space="0" w:color="BEBEBE"/>
              <w:left w:val="single" w:sz="4" w:space="0" w:color="BEBEBE"/>
              <w:bottom w:val="single" w:sz="4" w:space="0" w:color="BEBEBE"/>
              <w:right w:val="single" w:sz="4" w:space="0" w:color="000000"/>
            </w:tcBorders>
          </w:tcPr>
          <w:p>
            <w:pPr>
              <w:pStyle w:val="TableParagraph"/>
              <w:spacing w:line="226" w:lineRule="exact"/>
              <w:ind w:right="392"/>
              <w:jc w:val="right"/>
              <w:rPr>
                <w:sz w:val="20"/>
              </w:rPr>
            </w:pPr>
            <w:r>
              <w:rPr>
                <w:spacing w:val="-2"/>
                <w:sz w:val="20"/>
              </w:rPr>
              <w:t>$3.2M</w:t>
            </w:r>
          </w:p>
        </w:tc>
      </w:tr>
      <w:tr>
        <w:trPr>
          <w:trHeight w:val="496" w:hRule="atLeast"/>
        </w:trPr>
        <w:tc>
          <w:tcPr>
            <w:tcW w:w="4582" w:type="dxa"/>
            <w:tcBorders>
              <w:top w:val="single" w:sz="4" w:space="0" w:color="BEBEBE"/>
              <w:left w:val="single" w:sz="4" w:space="0" w:color="000000"/>
              <w:bottom w:val="single" w:sz="4" w:space="0" w:color="BEBEBE"/>
              <w:right w:val="single" w:sz="4" w:space="0" w:color="BEBEBE"/>
            </w:tcBorders>
          </w:tcPr>
          <w:p>
            <w:pPr>
              <w:pStyle w:val="TableParagraph"/>
              <w:spacing w:line="226" w:lineRule="exact"/>
              <w:ind w:left="107"/>
              <w:rPr>
                <w:sz w:val="20"/>
              </w:rPr>
            </w:pPr>
            <w:r>
              <w:rPr>
                <w:sz w:val="20"/>
              </w:rPr>
              <w:t>Improved</w:t>
            </w:r>
            <w:r>
              <w:rPr>
                <w:spacing w:val="-8"/>
                <w:sz w:val="20"/>
              </w:rPr>
              <w:t> </w:t>
            </w:r>
            <w:r>
              <w:rPr>
                <w:sz w:val="20"/>
              </w:rPr>
              <w:t>Accessibility</w:t>
            </w:r>
            <w:r>
              <w:rPr>
                <w:spacing w:val="-7"/>
                <w:sz w:val="20"/>
              </w:rPr>
              <w:t> </w:t>
            </w:r>
            <w:r>
              <w:rPr>
                <w:sz w:val="20"/>
              </w:rPr>
              <w:t>for</w:t>
            </w:r>
            <w:r>
              <w:rPr>
                <w:spacing w:val="-7"/>
                <w:sz w:val="20"/>
              </w:rPr>
              <w:t> </w:t>
            </w:r>
            <w:r>
              <w:rPr>
                <w:sz w:val="20"/>
              </w:rPr>
              <w:t>Members</w:t>
            </w:r>
            <w:r>
              <w:rPr>
                <w:spacing w:val="-6"/>
                <w:sz w:val="20"/>
              </w:rPr>
              <w:t> </w:t>
            </w:r>
            <w:r>
              <w:rPr>
                <w:sz w:val="20"/>
              </w:rPr>
              <w:t>with</w:t>
            </w:r>
            <w:r>
              <w:rPr>
                <w:spacing w:val="-9"/>
                <w:sz w:val="20"/>
              </w:rPr>
              <w:t> </w:t>
            </w:r>
            <w:r>
              <w:rPr>
                <w:spacing w:val="-2"/>
                <w:sz w:val="20"/>
              </w:rPr>
              <w:t>Disabilities</w:t>
            </w:r>
          </w:p>
          <w:p>
            <w:pPr>
              <w:pStyle w:val="TableParagraph"/>
              <w:spacing w:before="19"/>
              <w:ind w:left="107"/>
              <w:rPr>
                <w:sz w:val="20"/>
              </w:rPr>
            </w:pPr>
            <w:r>
              <w:rPr>
                <w:sz w:val="20"/>
              </w:rPr>
              <w:t>or</w:t>
            </w:r>
            <w:r>
              <w:rPr>
                <w:spacing w:val="-3"/>
                <w:sz w:val="20"/>
              </w:rPr>
              <w:t> </w:t>
            </w:r>
            <w:r>
              <w:rPr>
                <w:sz w:val="20"/>
              </w:rPr>
              <w:t>for</w:t>
            </w:r>
            <w:r>
              <w:rPr>
                <w:spacing w:val="-2"/>
                <w:sz w:val="20"/>
              </w:rPr>
              <w:t> </w:t>
            </w:r>
            <w:r>
              <w:rPr>
                <w:sz w:val="20"/>
              </w:rPr>
              <w:t>Whom</w:t>
            </w:r>
            <w:r>
              <w:rPr>
                <w:spacing w:val="-7"/>
                <w:sz w:val="20"/>
              </w:rPr>
              <w:t> </w:t>
            </w:r>
            <w:r>
              <w:rPr>
                <w:sz w:val="20"/>
              </w:rPr>
              <w:t>English</w:t>
            </w:r>
            <w:r>
              <w:rPr>
                <w:spacing w:val="-4"/>
                <w:sz w:val="20"/>
              </w:rPr>
              <w:t> </w:t>
            </w:r>
            <w:r>
              <w:rPr>
                <w:sz w:val="20"/>
              </w:rPr>
              <w:t>Is</w:t>
            </w:r>
            <w:r>
              <w:rPr>
                <w:spacing w:val="-4"/>
                <w:sz w:val="20"/>
              </w:rPr>
              <w:t> </w:t>
            </w:r>
            <w:r>
              <w:rPr>
                <w:sz w:val="20"/>
              </w:rPr>
              <w:t>Not</w:t>
            </w:r>
            <w:r>
              <w:rPr>
                <w:spacing w:val="-3"/>
                <w:sz w:val="20"/>
              </w:rPr>
              <w:t> </w:t>
            </w:r>
            <w:r>
              <w:rPr>
                <w:sz w:val="20"/>
              </w:rPr>
              <w:t>a</w:t>
            </w:r>
            <w:r>
              <w:rPr>
                <w:spacing w:val="-4"/>
                <w:sz w:val="20"/>
              </w:rPr>
              <w:t> </w:t>
            </w:r>
            <w:r>
              <w:rPr>
                <w:sz w:val="20"/>
              </w:rPr>
              <w:t>Primary</w:t>
            </w:r>
            <w:r>
              <w:rPr>
                <w:spacing w:val="-4"/>
                <w:sz w:val="20"/>
              </w:rPr>
              <w:t> </w:t>
            </w:r>
            <w:r>
              <w:rPr>
                <w:spacing w:val="-2"/>
                <w:sz w:val="20"/>
              </w:rPr>
              <w:t>Language</w:t>
            </w:r>
          </w:p>
        </w:tc>
        <w:tc>
          <w:tcPr>
            <w:tcW w:w="903" w:type="dxa"/>
            <w:tcBorders>
              <w:top w:val="single" w:sz="4" w:space="0" w:color="BEBEBE"/>
              <w:left w:val="single" w:sz="4" w:space="0" w:color="BEBEBE"/>
              <w:bottom w:val="single" w:sz="4" w:space="0" w:color="BEBEBE"/>
              <w:right w:val="single" w:sz="4" w:space="0" w:color="BEBEBE"/>
            </w:tcBorders>
          </w:tcPr>
          <w:p>
            <w:pPr>
              <w:pStyle w:val="TableParagraph"/>
              <w:spacing w:line="226" w:lineRule="exact"/>
              <w:ind w:right="173"/>
              <w:jc w:val="right"/>
              <w:rPr>
                <w:sz w:val="20"/>
              </w:rPr>
            </w:pPr>
            <w:r>
              <w:rPr>
                <w:spacing w:val="-2"/>
                <w:sz w:val="20"/>
              </w:rPr>
              <w:t>$0.3M</w:t>
            </w:r>
          </w:p>
        </w:tc>
        <w:tc>
          <w:tcPr>
            <w:tcW w:w="903" w:type="dxa"/>
            <w:tcBorders>
              <w:top w:val="single" w:sz="4" w:space="0" w:color="BEBEBE"/>
              <w:left w:val="single" w:sz="4" w:space="0" w:color="BEBEBE"/>
              <w:bottom w:val="single" w:sz="4" w:space="0" w:color="BEBEBE"/>
              <w:right w:val="single" w:sz="4" w:space="0" w:color="BEBEBE"/>
            </w:tcBorders>
          </w:tcPr>
          <w:p>
            <w:pPr>
              <w:pStyle w:val="TableParagraph"/>
              <w:spacing w:line="226" w:lineRule="exact"/>
              <w:ind w:left="186"/>
              <w:rPr>
                <w:sz w:val="20"/>
              </w:rPr>
            </w:pPr>
            <w:r>
              <w:rPr>
                <w:spacing w:val="-2"/>
                <w:sz w:val="20"/>
              </w:rPr>
              <w:t>$2.4M</w:t>
            </w:r>
          </w:p>
        </w:tc>
        <w:tc>
          <w:tcPr>
            <w:tcW w:w="903" w:type="dxa"/>
            <w:tcBorders>
              <w:top w:val="single" w:sz="4" w:space="0" w:color="BEBEBE"/>
              <w:left w:val="single" w:sz="4" w:space="0" w:color="BEBEBE"/>
              <w:bottom w:val="single" w:sz="4" w:space="0" w:color="BEBEBE"/>
              <w:right w:val="single" w:sz="4" w:space="0" w:color="BEBEBE"/>
            </w:tcBorders>
          </w:tcPr>
          <w:p>
            <w:pPr>
              <w:pStyle w:val="TableParagraph"/>
              <w:spacing w:line="226" w:lineRule="exact"/>
              <w:ind w:right="224"/>
              <w:jc w:val="right"/>
              <w:rPr>
                <w:sz w:val="20"/>
              </w:rPr>
            </w:pPr>
            <w:r>
              <w:rPr>
                <w:spacing w:val="-4"/>
                <w:sz w:val="20"/>
              </w:rPr>
              <w:t>$.5M</w:t>
            </w:r>
          </w:p>
        </w:tc>
        <w:tc>
          <w:tcPr>
            <w:tcW w:w="901" w:type="dxa"/>
            <w:tcBorders>
              <w:top w:val="single" w:sz="4" w:space="0" w:color="BEBEBE"/>
              <w:left w:val="single" w:sz="4" w:space="0" w:color="BEBEBE"/>
              <w:bottom w:val="single" w:sz="4" w:space="0" w:color="BEBEBE"/>
              <w:right w:val="single" w:sz="4" w:space="0" w:color="BEBEBE"/>
            </w:tcBorders>
          </w:tcPr>
          <w:p>
            <w:pPr>
              <w:pStyle w:val="TableParagraph"/>
              <w:spacing w:line="226" w:lineRule="exact"/>
              <w:ind w:left="184"/>
              <w:rPr>
                <w:sz w:val="20"/>
              </w:rPr>
            </w:pPr>
            <w:r>
              <w:rPr>
                <w:spacing w:val="-2"/>
                <w:sz w:val="20"/>
              </w:rPr>
              <w:t>$4.7M</w:t>
            </w:r>
          </w:p>
        </w:tc>
        <w:tc>
          <w:tcPr>
            <w:tcW w:w="903" w:type="dxa"/>
            <w:tcBorders>
              <w:top w:val="single" w:sz="4" w:space="0" w:color="BEBEBE"/>
              <w:left w:val="single" w:sz="4" w:space="0" w:color="BEBEBE"/>
              <w:bottom w:val="single" w:sz="4" w:space="0" w:color="BEBEBE"/>
              <w:right w:val="single" w:sz="4" w:space="0" w:color="BEBEBE"/>
            </w:tcBorders>
          </w:tcPr>
          <w:p>
            <w:pPr>
              <w:pStyle w:val="TableParagraph"/>
              <w:spacing w:line="226" w:lineRule="exact"/>
              <w:ind w:left="123" w:right="113"/>
              <w:jc w:val="center"/>
              <w:rPr>
                <w:sz w:val="20"/>
              </w:rPr>
            </w:pPr>
            <w:r>
              <w:rPr>
                <w:spacing w:val="-2"/>
                <w:sz w:val="20"/>
              </w:rPr>
              <w:t>$2.0M</w:t>
            </w:r>
          </w:p>
        </w:tc>
        <w:tc>
          <w:tcPr>
            <w:tcW w:w="1330" w:type="dxa"/>
            <w:tcBorders>
              <w:top w:val="single" w:sz="4" w:space="0" w:color="BEBEBE"/>
              <w:left w:val="single" w:sz="4" w:space="0" w:color="BEBEBE"/>
              <w:bottom w:val="single" w:sz="4" w:space="0" w:color="BEBEBE"/>
              <w:right w:val="single" w:sz="4" w:space="0" w:color="000000"/>
            </w:tcBorders>
          </w:tcPr>
          <w:p>
            <w:pPr>
              <w:pStyle w:val="TableParagraph"/>
              <w:spacing w:line="226" w:lineRule="exact"/>
              <w:ind w:right="392"/>
              <w:jc w:val="right"/>
              <w:rPr>
                <w:sz w:val="20"/>
              </w:rPr>
            </w:pPr>
            <w:r>
              <w:rPr>
                <w:spacing w:val="-2"/>
                <w:sz w:val="20"/>
              </w:rPr>
              <w:t>$9.9M</w:t>
            </w:r>
          </w:p>
        </w:tc>
      </w:tr>
      <w:tr>
        <w:trPr>
          <w:trHeight w:val="253" w:hRule="atLeast"/>
        </w:trPr>
        <w:tc>
          <w:tcPr>
            <w:tcW w:w="4582" w:type="dxa"/>
            <w:tcBorders>
              <w:top w:val="single" w:sz="4" w:space="0" w:color="BEBEBE"/>
              <w:left w:val="single" w:sz="4" w:space="0" w:color="000000"/>
              <w:bottom w:val="single" w:sz="8" w:space="0" w:color="000000"/>
              <w:right w:val="single" w:sz="4" w:space="0" w:color="BEBEBE"/>
            </w:tcBorders>
          </w:tcPr>
          <w:p>
            <w:pPr>
              <w:pStyle w:val="TableParagraph"/>
              <w:spacing w:line="226" w:lineRule="exact"/>
              <w:ind w:left="107"/>
              <w:rPr>
                <w:b/>
                <w:sz w:val="20"/>
              </w:rPr>
            </w:pPr>
            <w:r>
              <w:rPr>
                <w:b/>
                <w:spacing w:val="-2"/>
                <w:sz w:val="20"/>
              </w:rPr>
              <w:t>Total</w:t>
            </w:r>
          </w:p>
        </w:tc>
        <w:tc>
          <w:tcPr>
            <w:tcW w:w="903" w:type="dxa"/>
            <w:tcBorders>
              <w:top w:val="single" w:sz="4" w:space="0" w:color="BEBEBE"/>
              <w:left w:val="single" w:sz="4" w:space="0" w:color="BEBEBE"/>
              <w:bottom w:val="single" w:sz="8" w:space="0" w:color="000000"/>
              <w:right w:val="single" w:sz="4" w:space="0" w:color="BEBEBE"/>
            </w:tcBorders>
          </w:tcPr>
          <w:p>
            <w:pPr>
              <w:pStyle w:val="TableParagraph"/>
              <w:spacing w:line="226" w:lineRule="exact"/>
              <w:ind w:right="122"/>
              <w:jc w:val="right"/>
              <w:rPr>
                <w:sz w:val="20"/>
              </w:rPr>
            </w:pPr>
            <w:r>
              <w:rPr>
                <w:spacing w:val="-2"/>
                <w:sz w:val="20"/>
              </w:rPr>
              <w:t>$21.6M</w:t>
            </w:r>
          </w:p>
        </w:tc>
        <w:tc>
          <w:tcPr>
            <w:tcW w:w="903" w:type="dxa"/>
            <w:tcBorders>
              <w:top w:val="single" w:sz="4" w:space="0" w:color="BEBEBE"/>
              <w:left w:val="single" w:sz="4" w:space="0" w:color="BEBEBE"/>
              <w:bottom w:val="single" w:sz="8" w:space="0" w:color="000000"/>
              <w:right w:val="single" w:sz="4" w:space="0" w:color="BEBEBE"/>
            </w:tcBorders>
          </w:tcPr>
          <w:p>
            <w:pPr>
              <w:pStyle w:val="TableParagraph"/>
              <w:spacing w:line="226" w:lineRule="exact"/>
              <w:ind w:left="135"/>
              <w:rPr>
                <w:sz w:val="20"/>
              </w:rPr>
            </w:pPr>
            <w:r>
              <w:rPr>
                <w:spacing w:val="-2"/>
                <w:sz w:val="20"/>
              </w:rPr>
              <w:t>$24.4M</w:t>
            </w:r>
          </w:p>
        </w:tc>
        <w:tc>
          <w:tcPr>
            <w:tcW w:w="903" w:type="dxa"/>
            <w:tcBorders>
              <w:top w:val="single" w:sz="4" w:space="0" w:color="BEBEBE"/>
              <w:left w:val="single" w:sz="4" w:space="0" w:color="BEBEBE"/>
              <w:bottom w:val="single" w:sz="8" w:space="0" w:color="000000"/>
              <w:right w:val="single" w:sz="4" w:space="0" w:color="BEBEBE"/>
            </w:tcBorders>
          </w:tcPr>
          <w:p>
            <w:pPr>
              <w:pStyle w:val="TableParagraph"/>
              <w:spacing w:line="226" w:lineRule="exact"/>
              <w:ind w:right="124"/>
              <w:jc w:val="right"/>
              <w:rPr>
                <w:sz w:val="20"/>
              </w:rPr>
            </w:pPr>
            <w:r>
              <w:rPr>
                <w:spacing w:val="-2"/>
                <w:sz w:val="20"/>
              </w:rPr>
              <w:t>$14.2M</w:t>
            </w:r>
          </w:p>
        </w:tc>
        <w:tc>
          <w:tcPr>
            <w:tcW w:w="901" w:type="dxa"/>
            <w:tcBorders>
              <w:top w:val="single" w:sz="4" w:space="0" w:color="BEBEBE"/>
              <w:left w:val="single" w:sz="4" w:space="0" w:color="BEBEBE"/>
              <w:bottom w:val="single" w:sz="8" w:space="0" w:color="000000"/>
              <w:right w:val="single" w:sz="4" w:space="0" w:color="BEBEBE"/>
            </w:tcBorders>
          </w:tcPr>
          <w:p>
            <w:pPr>
              <w:pStyle w:val="TableParagraph"/>
              <w:spacing w:line="226" w:lineRule="exact"/>
              <w:ind w:left="134"/>
              <w:rPr>
                <w:sz w:val="20"/>
              </w:rPr>
            </w:pPr>
            <w:r>
              <w:rPr>
                <w:spacing w:val="-2"/>
                <w:sz w:val="20"/>
              </w:rPr>
              <w:t>$37.3M</w:t>
            </w:r>
          </w:p>
        </w:tc>
        <w:tc>
          <w:tcPr>
            <w:tcW w:w="903" w:type="dxa"/>
            <w:tcBorders>
              <w:top w:val="single" w:sz="4" w:space="0" w:color="BEBEBE"/>
              <w:left w:val="single" w:sz="4" w:space="0" w:color="BEBEBE"/>
              <w:bottom w:val="single" w:sz="8" w:space="0" w:color="000000"/>
              <w:right w:val="single" w:sz="4" w:space="0" w:color="BEBEBE"/>
            </w:tcBorders>
          </w:tcPr>
          <w:p>
            <w:pPr>
              <w:pStyle w:val="TableParagraph"/>
              <w:spacing w:line="226" w:lineRule="exact"/>
              <w:ind w:left="123" w:right="113"/>
              <w:jc w:val="center"/>
              <w:rPr>
                <w:sz w:val="20"/>
              </w:rPr>
            </w:pPr>
            <w:r>
              <w:rPr>
                <w:spacing w:val="-2"/>
                <w:sz w:val="20"/>
              </w:rPr>
              <w:t>$17.4M</w:t>
            </w:r>
          </w:p>
        </w:tc>
        <w:tc>
          <w:tcPr>
            <w:tcW w:w="1330" w:type="dxa"/>
            <w:tcBorders>
              <w:top w:val="single" w:sz="4" w:space="0" w:color="BEBEBE"/>
              <w:left w:val="single" w:sz="4" w:space="0" w:color="BEBEBE"/>
              <w:bottom w:val="single" w:sz="8" w:space="0" w:color="000000"/>
              <w:right w:val="single" w:sz="4" w:space="0" w:color="000000"/>
            </w:tcBorders>
          </w:tcPr>
          <w:p>
            <w:pPr>
              <w:pStyle w:val="TableParagraph"/>
              <w:spacing w:line="226" w:lineRule="exact"/>
              <w:ind w:right="291"/>
              <w:jc w:val="right"/>
              <w:rPr>
                <w:sz w:val="20"/>
              </w:rPr>
            </w:pPr>
            <w:r>
              <w:rPr>
                <w:spacing w:val="-2"/>
                <w:sz w:val="20"/>
              </w:rPr>
              <w:t>$114.8M</w:t>
            </w:r>
          </w:p>
        </w:tc>
      </w:tr>
    </w:tbl>
    <w:p>
      <w:pPr>
        <w:spacing w:before="0"/>
        <w:ind w:left="1220" w:right="1178" w:firstLine="0"/>
        <w:jc w:val="left"/>
        <w:rPr>
          <w:sz w:val="20"/>
        </w:rPr>
      </w:pPr>
      <w:r>
        <w:rPr>
          <w:sz w:val="20"/>
        </w:rPr>
        <w:t>*Displayed</w:t>
      </w:r>
      <w:r>
        <w:rPr>
          <w:spacing w:val="-2"/>
          <w:sz w:val="20"/>
        </w:rPr>
        <w:t> </w:t>
      </w:r>
      <w:r>
        <w:rPr>
          <w:sz w:val="20"/>
        </w:rPr>
        <w:t>numbers</w:t>
      </w:r>
      <w:r>
        <w:rPr>
          <w:spacing w:val="-4"/>
          <w:sz w:val="20"/>
        </w:rPr>
        <w:t> </w:t>
      </w:r>
      <w:r>
        <w:rPr>
          <w:sz w:val="20"/>
        </w:rPr>
        <w:t>are</w:t>
      </w:r>
      <w:r>
        <w:rPr>
          <w:spacing w:val="-3"/>
          <w:sz w:val="20"/>
        </w:rPr>
        <w:t> </w:t>
      </w:r>
      <w:r>
        <w:rPr>
          <w:sz w:val="20"/>
        </w:rPr>
        <w:t>rounded;</w:t>
      </w:r>
      <w:r>
        <w:rPr>
          <w:spacing w:val="-3"/>
          <w:sz w:val="20"/>
        </w:rPr>
        <w:t> </w:t>
      </w:r>
      <w:r>
        <w:rPr>
          <w:sz w:val="20"/>
        </w:rPr>
        <w:t>therefore,</w:t>
      </w:r>
      <w:r>
        <w:rPr>
          <w:spacing w:val="-2"/>
          <w:sz w:val="20"/>
        </w:rPr>
        <w:t> </w:t>
      </w:r>
      <w:r>
        <w:rPr>
          <w:sz w:val="20"/>
        </w:rPr>
        <w:t>totals</w:t>
      </w:r>
      <w:r>
        <w:rPr>
          <w:spacing w:val="-4"/>
          <w:sz w:val="20"/>
        </w:rPr>
        <w:t> </w:t>
      </w:r>
      <w:r>
        <w:rPr>
          <w:sz w:val="20"/>
        </w:rPr>
        <w:t>and</w:t>
      </w:r>
      <w:r>
        <w:rPr>
          <w:spacing w:val="-2"/>
          <w:sz w:val="20"/>
        </w:rPr>
        <w:t> </w:t>
      </w:r>
      <w:r>
        <w:rPr>
          <w:sz w:val="20"/>
        </w:rPr>
        <w:t>updated</w:t>
      </w:r>
      <w:r>
        <w:rPr>
          <w:spacing w:val="-2"/>
          <w:sz w:val="20"/>
        </w:rPr>
        <w:t> </w:t>
      </w:r>
      <w:r>
        <w:rPr>
          <w:sz w:val="20"/>
        </w:rPr>
        <w:t>expenditure</w:t>
      </w:r>
      <w:r>
        <w:rPr>
          <w:spacing w:val="-3"/>
          <w:sz w:val="20"/>
        </w:rPr>
        <w:t> </w:t>
      </w:r>
      <w:r>
        <w:rPr>
          <w:sz w:val="20"/>
        </w:rPr>
        <w:t>authority</w:t>
      </w:r>
      <w:r>
        <w:rPr>
          <w:spacing w:val="-4"/>
          <w:sz w:val="20"/>
        </w:rPr>
        <w:t> </w:t>
      </w:r>
      <w:r>
        <w:rPr>
          <w:sz w:val="20"/>
        </w:rPr>
        <w:t>numbers</w:t>
      </w:r>
      <w:r>
        <w:rPr>
          <w:spacing w:val="-1"/>
          <w:sz w:val="20"/>
        </w:rPr>
        <w:t> </w:t>
      </w:r>
      <w:r>
        <w:rPr>
          <w:sz w:val="20"/>
        </w:rPr>
        <w:t>may</w:t>
      </w:r>
      <w:r>
        <w:rPr>
          <w:spacing w:val="-4"/>
          <w:sz w:val="20"/>
        </w:rPr>
        <w:t> </w:t>
      </w:r>
      <w:r>
        <w:rPr>
          <w:sz w:val="20"/>
        </w:rPr>
        <w:t>not</w:t>
      </w:r>
      <w:r>
        <w:rPr>
          <w:spacing w:val="-3"/>
          <w:sz w:val="20"/>
        </w:rPr>
        <w:t> </w:t>
      </w:r>
      <w:r>
        <w:rPr>
          <w:sz w:val="20"/>
        </w:rPr>
        <w:t>add</w:t>
      </w:r>
      <w:r>
        <w:rPr>
          <w:spacing w:val="-2"/>
          <w:sz w:val="20"/>
        </w:rPr>
        <w:t> </w:t>
      </w:r>
      <w:r>
        <w:rPr>
          <w:sz w:val="20"/>
        </w:rPr>
        <w:t>up </w:t>
      </w:r>
      <w:r>
        <w:rPr>
          <w:spacing w:val="-2"/>
          <w:sz w:val="20"/>
        </w:rPr>
        <w:t>exactly</w:t>
      </w:r>
    </w:p>
    <w:p>
      <w:pPr>
        <w:spacing w:line="240" w:lineRule="auto" w:before="148"/>
        <w:ind w:left="1220" w:right="1093" w:firstLine="0"/>
        <w:jc w:val="both"/>
        <w:rPr>
          <w:sz w:val="22"/>
        </w:rPr>
      </w:pPr>
      <w:r>
        <w:rPr>
          <w:sz w:val="22"/>
        </w:rPr>
        <w:t>The State may shift funding among and within the eight Statewide Investment initiatives at its discretion, such that the funding totals for each initiative identified in Exhibit 15 and in initiative descriptions in Appendix B may change.</w:t>
      </w:r>
      <w:r>
        <w:rPr>
          <w:spacing w:val="40"/>
          <w:sz w:val="22"/>
        </w:rPr>
        <w:t> </w:t>
      </w:r>
      <w:r>
        <w:rPr>
          <w:sz w:val="22"/>
        </w:rPr>
        <w:t>The State must obtain CMS approval for any funding shifts within a demonstration year from one investment to another if the shifted amount is (1) greater than 15% of the original funding amount for the investment contributing the shifted amount or (2) if the shifted amount is greater than $1M, whichever is greater. Otherwise, the State will notify CMS of any funding shifts in its quarterly reports.</w:t>
      </w:r>
    </w:p>
    <w:p>
      <w:pPr>
        <w:spacing w:line="242" w:lineRule="auto" w:before="161"/>
        <w:ind w:left="1220" w:right="1093" w:firstLine="0"/>
        <w:jc w:val="both"/>
        <w:rPr>
          <w:sz w:val="22"/>
        </w:rPr>
      </w:pPr>
      <w:r>
        <w:rPr>
          <w:sz w:val="22"/>
        </w:rPr>
        <w:t>Sections 4.6.1 – 4.6.8 discuss the general nature and funding methodology of each Statewide Investment initiative, including which entities or providers will be eligible to apply for DSRIP funds. Appendix B provides additional details on each initiative.</w:t>
      </w:r>
    </w:p>
    <w:p>
      <w:pPr>
        <w:pStyle w:val="Heading5"/>
        <w:numPr>
          <w:ilvl w:val="2"/>
          <w:numId w:val="68"/>
        </w:numPr>
        <w:tabs>
          <w:tab w:pos="1940" w:val="left" w:leader="none"/>
        </w:tabs>
        <w:spacing w:line="240" w:lineRule="auto" w:before="195" w:after="0"/>
        <w:ind w:left="1940" w:right="0" w:hanging="720"/>
        <w:jc w:val="both"/>
        <w:rPr>
          <w:color w:val="4471C4"/>
        </w:rPr>
      </w:pPr>
      <w:bookmarkStart w:name="4.6.1 Student Loan Repayment Program" w:id="1336"/>
      <w:bookmarkEnd w:id="1336"/>
      <w:r>
        <w:rPr>
          <w:b w:val="0"/>
        </w:rPr>
      </w:r>
      <w:bookmarkStart w:name="_bookmark62" w:id="1337"/>
      <w:bookmarkEnd w:id="1337"/>
      <w:r>
        <w:rPr>
          <w:b w:val="0"/>
        </w:rPr>
      </w:r>
      <w:r>
        <w:rPr>
          <w:color w:val="4471C4"/>
        </w:rPr>
        <w:t>Student</w:t>
      </w:r>
      <w:r>
        <w:rPr>
          <w:color w:val="4471C4"/>
          <w:spacing w:val="-3"/>
        </w:rPr>
        <w:t> </w:t>
      </w:r>
      <w:r>
        <w:rPr>
          <w:color w:val="4471C4"/>
        </w:rPr>
        <w:t>Loan</w:t>
      </w:r>
      <w:r>
        <w:rPr>
          <w:color w:val="4471C4"/>
          <w:spacing w:val="-2"/>
        </w:rPr>
        <w:t> </w:t>
      </w:r>
      <w:r>
        <w:rPr>
          <w:color w:val="4471C4"/>
        </w:rPr>
        <w:t>Repayment</w:t>
      </w:r>
      <w:r>
        <w:rPr>
          <w:color w:val="4471C4"/>
          <w:spacing w:val="-2"/>
        </w:rPr>
        <w:t> Program</w:t>
      </w:r>
    </w:p>
    <w:p>
      <w:pPr>
        <w:spacing w:before="40"/>
        <w:ind w:left="1219" w:right="1094" w:firstLine="0"/>
        <w:jc w:val="both"/>
        <w:rPr>
          <w:sz w:val="22"/>
        </w:rPr>
      </w:pPr>
      <w:r>
        <w:rPr>
          <w:sz w:val="22"/>
        </w:rPr>
        <w:t>The student loan repayment program will repay a portion of awardees’ student loans in exchange for a minimum</w:t>
      </w:r>
      <w:r>
        <w:rPr>
          <w:spacing w:val="-13"/>
          <w:sz w:val="22"/>
        </w:rPr>
        <w:t> </w:t>
      </w:r>
      <w:r>
        <w:rPr>
          <w:sz w:val="22"/>
        </w:rPr>
        <w:t>of</w:t>
      </w:r>
      <w:r>
        <w:rPr>
          <w:spacing w:val="-9"/>
          <w:sz w:val="22"/>
        </w:rPr>
        <w:t> </w:t>
      </w:r>
      <w:r>
        <w:rPr>
          <w:sz w:val="22"/>
        </w:rPr>
        <w:t>an</w:t>
      </w:r>
      <w:r>
        <w:rPr>
          <w:spacing w:val="-10"/>
          <w:sz w:val="22"/>
        </w:rPr>
        <w:t> </w:t>
      </w:r>
      <w:r>
        <w:rPr>
          <w:sz w:val="22"/>
        </w:rPr>
        <w:t>18</w:t>
      </w:r>
      <w:r>
        <w:rPr>
          <w:spacing w:val="-12"/>
          <w:sz w:val="22"/>
        </w:rPr>
        <w:t> </w:t>
      </w:r>
      <w:r>
        <w:rPr>
          <w:sz w:val="22"/>
        </w:rPr>
        <w:t>month</w:t>
      </w:r>
      <w:r>
        <w:rPr>
          <w:spacing w:val="-10"/>
          <w:sz w:val="22"/>
        </w:rPr>
        <w:t> </w:t>
      </w:r>
      <w:r>
        <w:rPr>
          <w:sz w:val="22"/>
        </w:rPr>
        <w:t>commitment</w:t>
      </w:r>
      <w:r>
        <w:rPr>
          <w:spacing w:val="-9"/>
          <w:sz w:val="22"/>
        </w:rPr>
        <w:t> </w:t>
      </w:r>
      <w:r>
        <w:rPr>
          <w:sz w:val="22"/>
        </w:rPr>
        <w:t>to</w:t>
      </w:r>
      <w:r>
        <w:rPr>
          <w:spacing w:val="-12"/>
          <w:sz w:val="22"/>
        </w:rPr>
        <w:t> </w:t>
      </w:r>
      <w:r>
        <w:rPr>
          <w:sz w:val="22"/>
        </w:rPr>
        <w:t>work</w:t>
      </w:r>
      <w:r>
        <w:rPr>
          <w:spacing w:val="-12"/>
          <w:sz w:val="22"/>
        </w:rPr>
        <w:t> </w:t>
      </w:r>
      <w:r>
        <w:rPr>
          <w:sz w:val="22"/>
        </w:rPr>
        <w:t>in</w:t>
      </w:r>
      <w:r>
        <w:rPr>
          <w:spacing w:val="-10"/>
          <w:sz w:val="22"/>
        </w:rPr>
        <w:t> </w:t>
      </w:r>
      <w:r>
        <w:rPr>
          <w:sz w:val="22"/>
        </w:rPr>
        <w:t>a</w:t>
      </w:r>
      <w:r>
        <w:rPr>
          <w:spacing w:val="-12"/>
          <w:sz w:val="22"/>
        </w:rPr>
        <w:t> </w:t>
      </w:r>
      <w:r>
        <w:rPr>
          <w:sz w:val="22"/>
        </w:rPr>
        <w:t>community</w:t>
      </w:r>
      <w:r>
        <w:rPr>
          <w:spacing w:val="-12"/>
          <w:sz w:val="22"/>
        </w:rPr>
        <w:t> </w:t>
      </w:r>
      <w:r>
        <w:rPr>
          <w:sz w:val="22"/>
        </w:rPr>
        <w:t>setting.</w:t>
      </w:r>
      <w:r>
        <w:rPr>
          <w:spacing w:val="-10"/>
          <w:sz w:val="22"/>
        </w:rPr>
        <w:t> </w:t>
      </w:r>
      <w:r>
        <w:rPr>
          <w:sz w:val="22"/>
        </w:rPr>
        <w:t>Applicants</w:t>
      </w:r>
      <w:r>
        <w:rPr>
          <w:spacing w:val="-9"/>
          <w:sz w:val="22"/>
        </w:rPr>
        <w:t> </w:t>
      </w:r>
      <w:r>
        <w:rPr>
          <w:sz w:val="22"/>
        </w:rPr>
        <w:t>may</w:t>
      </w:r>
      <w:r>
        <w:rPr>
          <w:spacing w:val="-12"/>
          <w:sz w:val="22"/>
        </w:rPr>
        <w:t> </w:t>
      </w:r>
      <w:r>
        <w:rPr>
          <w:sz w:val="22"/>
        </w:rPr>
        <w:t>either</w:t>
      </w:r>
      <w:r>
        <w:rPr>
          <w:spacing w:val="-9"/>
          <w:sz w:val="22"/>
        </w:rPr>
        <w:t> </w:t>
      </w:r>
      <w:r>
        <w:rPr>
          <w:sz w:val="22"/>
        </w:rPr>
        <w:t>be</w:t>
      </w:r>
      <w:r>
        <w:rPr>
          <w:spacing w:val="-11"/>
          <w:sz w:val="22"/>
        </w:rPr>
        <w:t> </w:t>
      </w:r>
      <w:r>
        <w:rPr>
          <w:sz w:val="22"/>
        </w:rPr>
        <w:t>individual providers working</w:t>
      </w:r>
      <w:r>
        <w:rPr>
          <w:spacing w:val="-1"/>
          <w:sz w:val="22"/>
        </w:rPr>
        <w:t> </w:t>
      </w:r>
      <w:r>
        <w:rPr>
          <w:sz w:val="22"/>
        </w:rPr>
        <w:t>at community</w:t>
      </w:r>
      <w:r>
        <w:rPr>
          <w:spacing w:val="-1"/>
          <w:sz w:val="22"/>
        </w:rPr>
        <w:t> </w:t>
      </w:r>
      <w:r>
        <w:rPr>
          <w:sz w:val="22"/>
        </w:rPr>
        <w:t>mental health centers,</w:t>
      </w:r>
      <w:r>
        <w:rPr>
          <w:spacing w:val="-1"/>
          <w:sz w:val="22"/>
        </w:rPr>
        <w:t> </w:t>
      </w:r>
      <w:r>
        <w:rPr>
          <w:sz w:val="22"/>
        </w:rPr>
        <w:t>or the</w:t>
      </w:r>
      <w:r>
        <w:rPr>
          <w:spacing w:val="-1"/>
          <w:sz w:val="22"/>
        </w:rPr>
        <w:t> </w:t>
      </w:r>
      <w:r>
        <w:rPr>
          <w:sz w:val="22"/>
        </w:rPr>
        <w:t>centers themselves.</w:t>
      </w:r>
      <w:r>
        <w:rPr>
          <w:spacing w:val="40"/>
          <w:sz w:val="22"/>
        </w:rPr>
        <w:t> </w:t>
      </w:r>
      <w:r>
        <w:rPr>
          <w:sz w:val="22"/>
        </w:rPr>
        <w:t>The</w:t>
      </w:r>
      <w:r>
        <w:rPr>
          <w:spacing w:val="-1"/>
          <w:sz w:val="22"/>
        </w:rPr>
        <w:t> </w:t>
      </w:r>
      <w:r>
        <w:rPr>
          <w:sz w:val="22"/>
        </w:rPr>
        <w:t>program</w:t>
      </w:r>
      <w:r>
        <w:rPr>
          <w:spacing w:val="-4"/>
          <w:sz w:val="22"/>
        </w:rPr>
        <w:t> </w:t>
      </w:r>
      <w:r>
        <w:rPr>
          <w:sz w:val="22"/>
        </w:rPr>
        <w:t>will offer a specified amount of funding</w:t>
      </w:r>
      <w:r>
        <w:rPr>
          <w:spacing w:val="-2"/>
          <w:sz w:val="22"/>
        </w:rPr>
        <w:t> </w:t>
      </w:r>
      <w:r>
        <w:rPr>
          <w:sz w:val="22"/>
        </w:rPr>
        <w:t>in each</w:t>
      </w:r>
      <w:r>
        <w:rPr>
          <w:spacing w:val="-2"/>
          <w:sz w:val="22"/>
        </w:rPr>
        <w:t> </w:t>
      </w:r>
      <w:r>
        <w:rPr>
          <w:sz w:val="22"/>
        </w:rPr>
        <w:t>recipient category</w:t>
      </w:r>
      <w:r>
        <w:rPr>
          <w:spacing w:val="-2"/>
          <w:sz w:val="22"/>
        </w:rPr>
        <w:t> </w:t>
      </w:r>
      <w:r>
        <w:rPr>
          <w:sz w:val="22"/>
        </w:rPr>
        <w:t>per year.</w:t>
      </w:r>
      <w:r>
        <w:rPr>
          <w:spacing w:val="40"/>
          <w:sz w:val="22"/>
        </w:rPr>
        <w:t> </w:t>
      </w:r>
      <w:r>
        <w:rPr>
          <w:sz w:val="22"/>
        </w:rPr>
        <w:t>Provider</w:t>
      </w:r>
      <w:r>
        <w:rPr>
          <w:spacing w:val="-1"/>
          <w:sz w:val="22"/>
        </w:rPr>
        <w:t> </w:t>
      </w:r>
      <w:r>
        <w:rPr>
          <w:sz w:val="22"/>
        </w:rPr>
        <w:t>applicants may</w:t>
      </w:r>
      <w:r>
        <w:rPr>
          <w:spacing w:val="-2"/>
          <w:sz w:val="22"/>
        </w:rPr>
        <w:t> </w:t>
      </w:r>
      <w:r>
        <w:rPr>
          <w:sz w:val="22"/>
        </w:rPr>
        <w:t>be eligible</w:t>
      </w:r>
      <w:r>
        <w:rPr>
          <w:spacing w:val="-2"/>
          <w:sz w:val="22"/>
        </w:rPr>
        <w:t> </w:t>
      </w:r>
      <w:r>
        <w:rPr>
          <w:sz w:val="22"/>
        </w:rPr>
        <w:t>for different</w:t>
      </w:r>
      <w:r>
        <w:rPr>
          <w:spacing w:val="-14"/>
          <w:sz w:val="22"/>
        </w:rPr>
        <w:t> </w:t>
      </w:r>
      <w:r>
        <w:rPr>
          <w:sz w:val="22"/>
        </w:rPr>
        <w:t>amounts</w:t>
      </w:r>
      <w:r>
        <w:rPr>
          <w:spacing w:val="-14"/>
          <w:sz w:val="22"/>
        </w:rPr>
        <w:t> </w:t>
      </w:r>
      <w:r>
        <w:rPr>
          <w:sz w:val="22"/>
        </w:rPr>
        <w:t>of</w:t>
      </w:r>
      <w:r>
        <w:rPr>
          <w:spacing w:val="-14"/>
          <w:sz w:val="22"/>
        </w:rPr>
        <w:t> </w:t>
      </w:r>
      <w:r>
        <w:rPr>
          <w:sz w:val="22"/>
        </w:rPr>
        <w:t>loan</w:t>
      </w:r>
      <w:r>
        <w:rPr>
          <w:spacing w:val="-13"/>
          <w:sz w:val="22"/>
        </w:rPr>
        <w:t> </w:t>
      </w:r>
      <w:r>
        <w:rPr>
          <w:sz w:val="22"/>
        </w:rPr>
        <w:t>repayment</w:t>
      </w:r>
      <w:r>
        <w:rPr>
          <w:spacing w:val="-14"/>
          <w:sz w:val="22"/>
        </w:rPr>
        <w:t> </w:t>
      </w:r>
      <w:r>
        <w:rPr>
          <w:sz w:val="22"/>
        </w:rPr>
        <w:t>based</w:t>
      </w:r>
      <w:r>
        <w:rPr>
          <w:spacing w:val="-14"/>
          <w:sz w:val="22"/>
        </w:rPr>
        <w:t> </w:t>
      </w:r>
      <w:r>
        <w:rPr>
          <w:sz w:val="22"/>
        </w:rPr>
        <w:t>on</w:t>
      </w:r>
      <w:r>
        <w:rPr>
          <w:spacing w:val="-14"/>
          <w:sz w:val="22"/>
        </w:rPr>
        <w:t> </w:t>
      </w:r>
      <w:r>
        <w:rPr>
          <w:sz w:val="22"/>
        </w:rPr>
        <w:t>their</w:t>
      </w:r>
      <w:r>
        <w:rPr>
          <w:spacing w:val="-13"/>
          <w:sz w:val="22"/>
        </w:rPr>
        <w:t> </w:t>
      </w:r>
      <w:r>
        <w:rPr>
          <w:sz w:val="22"/>
        </w:rPr>
        <w:t>discipline</w:t>
      </w:r>
      <w:r>
        <w:rPr>
          <w:spacing w:val="-14"/>
          <w:sz w:val="22"/>
        </w:rPr>
        <w:t> </w:t>
      </w:r>
      <w:r>
        <w:rPr>
          <w:sz w:val="22"/>
        </w:rPr>
        <w:t>and</w:t>
      </w:r>
      <w:r>
        <w:rPr>
          <w:spacing w:val="-14"/>
          <w:sz w:val="22"/>
        </w:rPr>
        <w:t> </w:t>
      </w:r>
      <w:r>
        <w:rPr>
          <w:sz w:val="22"/>
        </w:rPr>
        <w:t>credentialing</w:t>
      </w:r>
      <w:r>
        <w:rPr>
          <w:spacing w:val="-14"/>
          <w:sz w:val="22"/>
        </w:rPr>
        <w:t> </w:t>
      </w:r>
      <w:r>
        <w:rPr>
          <w:sz w:val="22"/>
        </w:rPr>
        <w:t>level.</w:t>
      </w:r>
      <w:r>
        <w:rPr>
          <w:spacing w:val="-13"/>
          <w:sz w:val="22"/>
        </w:rPr>
        <w:t> </w:t>
      </w:r>
      <w:r>
        <w:rPr>
          <w:sz w:val="22"/>
        </w:rPr>
        <w:t>For</w:t>
      </w:r>
      <w:r>
        <w:rPr>
          <w:spacing w:val="-14"/>
          <w:sz w:val="22"/>
        </w:rPr>
        <w:t> </w:t>
      </w:r>
      <w:r>
        <w:rPr>
          <w:sz w:val="22"/>
        </w:rPr>
        <w:t>providers</w:t>
      </w:r>
      <w:r>
        <w:rPr>
          <w:spacing w:val="-14"/>
          <w:sz w:val="22"/>
        </w:rPr>
        <w:t> </w:t>
      </w:r>
      <w:r>
        <w:rPr>
          <w:sz w:val="22"/>
        </w:rPr>
        <w:t>selected to</w:t>
      </w:r>
      <w:r>
        <w:rPr>
          <w:spacing w:val="-10"/>
          <w:sz w:val="22"/>
        </w:rPr>
        <w:t> </w:t>
      </w:r>
      <w:r>
        <w:rPr>
          <w:sz w:val="22"/>
        </w:rPr>
        <w:t>receive</w:t>
      </w:r>
      <w:r>
        <w:rPr>
          <w:spacing w:val="-9"/>
          <w:sz w:val="22"/>
        </w:rPr>
        <w:t> </w:t>
      </w:r>
      <w:r>
        <w:rPr>
          <w:sz w:val="22"/>
        </w:rPr>
        <w:t>awards,</w:t>
      </w:r>
      <w:r>
        <w:rPr>
          <w:spacing w:val="-12"/>
          <w:sz w:val="22"/>
        </w:rPr>
        <w:t> </w:t>
      </w:r>
      <w:r>
        <w:rPr>
          <w:sz w:val="22"/>
        </w:rPr>
        <w:t>the</w:t>
      </w:r>
      <w:r>
        <w:rPr>
          <w:spacing w:val="-9"/>
          <w:sz w:val="22"/>
        </w:rPr>
        <w:t> </w:t>
      </w:r>
      <w:r>
        <w:rPr>
          <w:sz w:val="22"/>
        </w:rPr>
        <w:t>State</w:t>
      </w:r>
      <w:r>
        <w:rPr>
          <w:spacing w:val="-11"/>
          <w:sz w:val="22"/>
        </w:rPr>
        <w:t> </w:t>
      </w:r>
      <w:r>
        <w:rPr>
          <w:sz w:val="22"/>
        </w:rPr>
        <w:t>will</w:t>
      </w:r>
      <w:r>
        <w:rPr>
          <w:spacing w:val="-9"/>
          <w:sz w:val="22"/>
        </w:rPr>
        <w:t> </w:t>
      </w:r>
      <w:r>
        <w:rPr>
          <w:sz w:val="22"/>
        </w:rPr>
        <w:t>pay</w:t>
      </w:r>
      <w:r>
        <w:rPr>
          <w:spacing w:val="-12"/>
          <w:sz w:val="22"/>
        </w:rPr>
        <w:t> </w:t>
      </w:r>
      <w:r>
        <w:rPr>
          <w:sz w:val="22"/>
        </w:rPr>
        <w:t>their</w:t>
      </w:r>
      <w:r>
        <w:rPr>
          <w:spacing w:val="-9"/>
          <w:sz w:val="22"/>
        </w:rPr>
        <w:t> </w:t>
      </w:r>
      <w:r>
        <w:rPr>
          <w:sz w:val="22"/>
        </w:rPr>
        <w:t>student</w:t>
      </w:r>
      <w:r>
        <w:rPr>
          <w:spacing w:val="-9"/>
          <w:sz w:val="22"/>
        </w:rPr>
        <w:t> </w:t>
      </w:r>
      <w:r>
        <w:rPr>
          <w:sz w:val="22"/>
        </w:rPr>
        <w:t>loan</w:t>
      </w:r>
      <w:r>
        <w:rPr>
          <w:spacing w:val="-10"/>
          <w:sz w:val="22"/>
        </w:rPr>
        <w:t> </w:t>
      </w:r>
      <w:r>
        <w:rPr>
          <w:sz w:val="22"/>
        </w:rPr>
        <w:t>servicer</w:t>
      </w:r>
      <w:r>
        <w:rPr>
          <w:spacing w:val="-9"/>
          <w:sz w:val="22"/>
        </w:rPr>
        <w:t> </w:t>
      </w:r>
      <w:r>
        <w:rPr>
          <w:sz w:val="22"/>
        </w:rPr>
        <w:t>directly.</w:t>
      </w:r>
      <w:r>
        <w:rPr>
          <w:spacing w:val="-12"/>
          <w:sz w:val="22"/>
        </w:rPr>
        <w:t> </w:t>
      </w:r>
      <w:r>
        <w:rPr>
          <w:sz w:val="22"/>
        </w:rPr>
        <w:t>The</w:t>
      </w:r>
      <w:r>
        <w:rPr>
          <w:spacing w:val="-9"/>
          <w:sz w:val="22"/>
        </w:rPr>
        <w:t> </w:t>
      </w:r>
      <w:r>
        <w:rPr>
          <w:sz w:val="22"/>
        </w:rPr>
        <w:t>anticipated</w:t>
      </w:r>
      <w:r>
        <w:rPr>
          <w:spacing w:val="-10"/>
          <w:sz w:val="22"/>
        </w:rPr>
        <w:t> </w:t>
      </w:r>
      <w:r>
        <w:rPr>
          <w:sz w:val="22"/>
        </w:rPr>
        <w:t>provider</w:t>
      </w:r>
      <w:r>
        <w:rPr>
          <w:spacing w:val="-9"/>
          <w:sz w:val="22"/>
        </w:rPr>
        <w:t> </w:t>
      </w:r>
      <w:r>
        <w:rPr>
          <w:sz w:val="22"/>
        </w:rPr>
        <w:t>categories and maximum award amounts are as follows:</w:t>
      </w:r>
    </w:p>
    <w:p>
      <w:pPr>
        <w:pStyle w:val="ListParagraph"/>
        <w:numPr>
          <w:ilvl w:val="0"/>
          <w:numId w:val="73"/>
        </w:numPr>
        <w:tabs>
          <w:tab w:pos="1940" w:val="left" w:leader="none"/>
        </w:tabs>
        <w:spacing w:line="240" w:lineRule="auto" w:before="159" w:after="0"/>
        <w:ind w:left="1940" w:right="0" w:hanging="360"/>
        <w:jc w:val="left"/>
        <w:rPr>
          <w:sz w:val="22"/>
        </w:rPr>
      </w:pPr>
      <w:r>
        <w:rPr>
          <w:sz w:val="22"/>
        </w:rPr>
        <w:t>Primary</w:t>
      </w:r>
      <w:r>
        <w:rPr>
          <w:spacing w:val="-7"/>
          <w:sz w:val="22"/>
        </w:rPr>
        <w:t> </w:t>
      </w:r>
      <w:r>
        <w:rPr>
          <w:sz w:val="22"/>
        </w:rPr>
        <w:t>Care</w:t>
      </w:r>
      <w:r>
        <w:rPr>
          <w:spacing w:val="-4"/>
          <w:sz w:val="22"/>
        </w:rPr>
        <w:t> </w:t>
      </w:r>
      <w:r>
        <w:rPr>
          <w:sz w:val="22"/>
        </w:rPr>
        <w:t>Physician</w:t>
      </w:r>
      <w:r>
        <w:rPr>
          <w:spacing w:val="-5"/>
          <w:sz w:val="22"/>
        </w:rPr>
        <w:t> </w:t>
      </w:r>
      <w:r>
        <w:rPr>
          <w:sz w:val="22"/>
        </w:rPr>
        <w:t>–</w:t>
      </w:r>
      <w:r>
        <w:rPr>
          <w:spacing w:val="-5"/>
          <w:sz w:val="22"/>
        </w:rPr>
        <w:t> </w:t>
      </w:r>
      <w:r>
        <w:rPr>
          <w:sz w:val="22"/>
        </w:rPr>
        <w:t>Each</w:t>
      </w:r>
      <w:r>
        <w:rPr>
          <w:spacing w:val="-5"/>
          <w:sz w:val="22"/>
        </w:rPr>
        <w:t> </w:t>
      </w:r>
      <w:r>
        <w:rPr>
          <w:sz w:val="22"/>
        </w:rPr>
        <w:t>awardee</w:t>
      </w:r>
      <w:r>
        <w:rPr>
          <w:spacing w:val="-6"/>
          <w:sz w:val="22"/>
        </w:rPr>
        <w:t> </w:t>
      </w:r>
      <w:r>
        <w:rPr>
          <w:sz w:val="22"/>
        </w:rPr>
        <w:t>is</w:t>
      </w:r>
      <w:r>
        <w:rPr>
          <w:spacing w:val="-7"/>
          <w:sz w:val="22"/>
        </w:rPr>
        <w:t> </w:t>
      </w:r>
      <w:r>
        <w:rPr>
          <w:sz w:val="22"/>
        </w:rPr>
        <w:t>eligible</w:t>
      </w:r>
      <w:r>
        <w:rPr>
          <w:spacing w:val="-7"/>
          <w:sz w:val="22"/>
        </w:rPr>
        <w:t> </w:t>
      </w:r>
      <w:r>
        <w:rPr>
          <w:sz w:val="22"/>
        </w:rPr>
        <w:t>for</w:t>
      </w:r>
      <w:r>
        <w:rPr>
          <w:spacing w:val="-6"/>
          <w:sz w:val="22"/>
        </w:rPr>
        <w:t> </w:t>
      </w:r>
      <w:r>
        <w:rPr>
          <w:sz w:val="22"/>
        </w:rPr>
        <w:t>up</w:t>
      </w:r>
      <w:r>
        <w:rPr>
          <w:spacing w:val="-5"/>
          <w:sz w:val="22"/>
        </w:rPr>
        <w:t> </w:t>
      </w:r>
      <w:r>
        <w:rPr>
          <w:sz w:val="22"/>
        </w:rPr>
        <w:t>to</w:t>
      </w:r>
      <w:r>
        <w:rPr>
          <w:spacing w:val="-4"/>
          <w:sz w:val="22"/>
        </w:rPr>
        <w:t> </w:t>
      </w:r>
      <w:r>
        <w:rPr>
          <w:sz w:val="22"/>
        </w:rPr>
        <w:t>$50K</w:t>
      </w:r>
      <w:r>
        <w:rPr>
          <w:spacing w:val="-6"/>
          <w:sz w:val="22"/>
        </w:rPr>
        <w:t> </w:t>
      </w:r>
      <w:r>
        <w:rPr>
          <w:sz w:val="22"/>
        </w:rPr>
        <w:t>in</w:t>
      </w:r>
      <w:r>
        <w:rPr>
          <w:spacing w:val="-7"/>
          <w:sz w:val="22"/>
        </w:rPr>
        <w:t> </w:t>
      </w:r>
      <w:r>
        <w:rPr>
          <w:sz w:val="22"/>
        </w:rPr>
        <w:t>total</w:t>
      </w:r>
      <w:r>
        <w:rPr>
          <w:spacing w:val="-4"/>
          <w:sz w:val="22"/>
        </w:rPr>
        <w:t> </w:t>
      </w:r>
      <w:r>
        <w:rPr>
          <w:sz w:val="22"/>
        </w:rPr>
        <w:t>student</w:t>
      </w:r>
      <w:r>
        <w:rPr>
          <w:spacing w:val="-6"/>
          <w:sz w:val="22"/>
        </w:rPr>
        <w:t> </w:t>
      </w:r>
      <w:r>
        <w:rPr>
          <w:sz w:val="22"/>
        </w:rPr>
        <w:t>loan</w:t>
      </w:r>
      <w:r>
        <w:rPr>
          <w:spacing w:val="-4"/>
          <w:sz w:val="22"/>
        </w:rPr>
        <w:t> </w:t>
      </w:r>
      <w:r>
        <w:rPr>
          <w:spacing w:val="-2"/>
          <w:sz w:val="22"/>
        </w:rPr>
        <w:t>repayments</w:t>
      </w:r>
    </w:p>
    <w:p>
      <w:pPr>
        <w:pStyle w:val="ListParagraph"/>
        <w:numPr>
          <w:ilvl w:val="0"/>
          <w:numId w:val="73"/>
        </w:numPr>
        <w:tabs>
          <w:tab w:pos="1938" w:val="left" w:leader="none"/>
          <w:tab w:pos="1940" w:val="left" w:leader="none"/>
        </w:tabs>
        <w:spacing w:line="240" w:lineRule="auto" w:before="201" w:after="0"/>
        <w:ind w:left="1940" w:right="1094" w:hanging="361"/>
        <w:jc w:val="both"/>
        <w:rPr>
          <w:sz w:val="22"/>
        </w:rPr>
      </w:pPr>
      <w:r>
        <w:rPr>
          <w:sz w:val="22"/>
        </w:rPr>
        <w:t>Psychiatrists and psychologists – Each awardee is eligible for up to $50K in total student loan </w:t>
      </w:r>
      <w:r>
        <w:rPr>
          <w:spacing w:val="-2"/>
          <w:sz w:val="22"/>
        </w:rPr>
        <w:t>repayments</w:t>
      </w:r>
    </w:p>
    <w:p>
      <w:pPr>
        <w:pStyle w:val="ListParagraph"/>
        <w:numPr>
          <w:ilvl w:val="0"/>
          <w:numId w:val="73"/>
        </w:numPr>
        <w:tabs>
          <w:tab w:pos="1938" w:val="left" w:leader="none"/>
          <w:tab w:pos="1940" w:val="left" w:leader="none"/>
        </w:tabs>
        <w:spacing w:line="240" w:lineRule="auto" w:before="198" w:after="0"/>
        <w:ind w:left="1940" w:right="1094" w:hanging="361"/>
        <w:jc w:val="both"/>
        <w:rPr>
          <w:sz w:val="22"/>
        </w:rPr>
      </w:pPr>
      <w:r>
        <w:rPr>
          <w:sz w:val="22"/>
        </w:rPr>
        <w:t>Advance</w:t>
      </w:r>
      <w:r>
        <w:rPr>
          <w:spacing w:val="-8"/>
          <w:sz w:val="22"/>
        </w:rPr>
        <w:t> </w:t>
      </w:r>
      <w:r>
        <w:rPr>
          <w:sz w:val="22"/>
        </w:rPr>
        <w:t>Practice</w:t>
      </w:r>
      <w:r>
        <w:rPr>
          <w:spacing w:val="-8"/>
          <w:sz w:val="22"/>
        </w:rPr>
        <w:t> </w:t>
      </w:r>
      <w:r>
        <w:rPr>
          <w:sz w:val="22"/>
        </w:rPr>
        <w:t>Registered</w:t>
      </w:r>
      <w:r>
        <w:rPr>
          <w:spacing w:val="-8"/>
          <w:sz w:val="22"/>
        </w:rPr>
        <w:t> </w:t>
      </w:r>
      <w:r>
        <w:rPr>
          <w:sz w:val="22"/>
        </w:rPr>
        <w:t>Nurses,</w:t>
      </w:r>
      <w:r>
        <w:rPr>
          <w:spacing w:val="-8"/>
          <w:sz w:val="22"/>
        </w:rPr>
        <w:t> </w:t>
      </w:r>
      <w:r>
        <w:rPr>
          <w:sz w:val="22"/>
        </w:rPr>
        <w:t>Physician</w:t>
      </w:r>
      <w:r>
        <w:rPr>
          <w:spacing w:val="-8"/>
          <w:sz w:val="22"/>
        </w:rPr>
        <w:t> </w:t>
      </w:r>
      <w:r>
        <w:rPr>
          <w:sz w:val="22"/>
        </w:rPr>
        <w:t>Assistants</w:t>
      </w:r>
      <w:r>
        <w:rPr>
          <w:spacing w:val="-8"/>
          <w:sz w:val="22"/>
        </w:rPr>
        <w:t> </w:t>
      </w:r>
      <w:r>
        <w:rPr>
          <w:sz w:val="22"/>
        </w:rPr>
        <w:t>and</w:t>
      </w:r>
      <w:r>
        <w:rPr>
          <w:spacing w:val="-8"/>
          <w:sz w:val="22"/>
        </w:rPr>
        <w:t> </w:t>
      </w:r>
      <w:r>
        <w:rPr>
          <w:sz w:val="22"/>
        </w:rPr>
        <w:t>Nurse</w:t>
      </w:r>
      <w:r>
        <w:rPr>
          <w:spacing w:val="-8"/>
          <w:sz w:val="22"/>
        </w:rPr>
        <w:t> </w:t>
      </w:r>
      <w:r>
        <w:rPr>
          <w:sz w:val="22"/>
        </w:rPr>
        <w:t>Practitioners</w:t>
      </w:r>
      <w:r>
        <w:rPr>
          <w:spacing w:val="-9"/>
          <w:sz w:val="22"/>
        </w:rPr>
        <w:t> </w:t>
      </w:r>
      <w:r>
        <w:rPr>
          <w:sz w:val="22"/>
        </w:rPr>
        <w:t>–</w:t>
      </w:r>
      <w:r>
        <w:rPr>
          <w:spacing w:val="-8"/>
          <w:sz w:val="22"/>
        </w:rPr>
        <w:t> </w:t>
      </w:r>
      <w:r>
        <w:rPr>
          <w:sz w:val="22"/>
        </w:rPr>
        <w:t>Each</w:t>
      </w:r>
      <w:r>
        <w:rPr>
          <w:spacing w:val="-8"/>
          <w:sz w:val="22"/>
        </w:rPr>
        <w:t> </w:t>
      </w:r>
      <w:r>
        <w:rPr>
          <w:sz w:val="22"/>
        </w:rPr>
        <w:t>awardee is eligible for up to $30K in total student loan repayments</w:t>
      </w:r>
    </w:p>
    <w:p>
      <w:pPr>
        <w:pStyle w:val="ListParagraph"/>
        <w:numPr>
          <w:ilvl w:val="0"/>
          <w:numId w:val="73"/>
        </w:numPr>
        <w:tabs>
          <w:tab w:pos="1938" w:val="left" w:leader="none"/>
          <w:tab w:pos="1940" w:val="left" w:leader="none"/>
        </w:tabs>
        <w:spacing w:line="240" w:lineRule="auto" w:before="200" w:after="0"/>
        <w:ind w:left="1940" w:right="1091" w:hanging="361"/>
        <w:jc w:val="both"/>
        <w:rPr>
          <w:sz w:val="22"/>
        </w:rPr>
      </w:pPr>
      <w:r>
        <w:rPr>
          <w:sz w:val="22"/>
        </w:rPr>
        <w:t>Licensed Social Workers, Licensed Behavioral Health Professionals, and Masters-Prepared Unlicensed Social</w:t>
      </w:r>
      <w:r>
        <w:rPr>
          <w:spacing w:val="-1"/>
          <w:sz w:val="22"/>
        </w:rPr>
        <w:t> </w:t>
      </w:r>
      <w:r>
        <w:rPr>
          <w:sz w:val="22"/>
        </w:rPr>
        <w:t>Workers</w:t>
      </w:r>
      <w:r>
        <w:rPr>
          <w:spacing w:val="-2"/>
          <w:sz w:val="22"/>
        </w:rPr>
        <w:t> </w:t>
      </w:r>
      <w:r>
        <w:rPr>
          <w:sz w:val="22"/>
        </w:rPr>
        <w:t>and</w:t>
      </w:r>
      <w:r>
        <w:rPr>
          <w:spacing w:val="-2"/>
          <w:sz w:val="22"/>
        </w:rPr>
        <w:t> </w:t>
      </w:r>
      <w:r>
        <w:rPr>
          <w:sz w:val="22"/>
        </w:rPr>
        <w:t>Behavioral</w:t>
      </w:r>
      <w:r>
        <w:rPr>
          <w:spacing w:val="-1"/>
          <w:sz w:val="22"/>
        </w:rPr>
        <w:t> </w:t>
      </w:r>
      <w:r>
        <w:rPr>
          <w:sz w:val="22"/>
        </w:rPr>
        <w:t>Health</w:t>
      </w:r>
      <w:r>
        <w:rPr>
          <w:spacing w:val="-2"/>
          <w:sz w:val="22"/>
        </w:rPr>
        <w:t> </w:t>
      </w:r>
      <w:r>
        <w:rPr>
          <w:sz w:val="22"/>
        </w:rPr>
        <w:t>Professionals</w:t>
      </w:r>
      <w:r>
        <w:rPr>
          <w:spacing w:val="-2"/>
          <w:sz w:val="22"/>
        </w:rPr>
        <w:t> </w:t>
      </w:r>
      <w:r>
        <w:rPr>
          <w:sz w:val="22"/>
        </w:rPr>
        <w:t>–</w:t>
      </w:r>
      <w:r>
        <w:rPr>
          <w:spacing w:val="-1"/>
          <w:sz w:val="22"/>
        </w:rPr>
        <w:t> </w:t>
      </w:r>
      <w:r>
        <w:rPr>
          <w:sz w:val="22"/>
        </w:rPr>
        <w:t>Each</w:t>
      </w:r>
      <w:r>
        <w:rPr>
          <w:spacing w:val="-2"/>
          <w:sz w:val="22"/>
        </w:rPr>
        <w:t> </w:t>
      </w:r>
      <w:r>
        <w:rPr>
          <w:sz w:val="22"/>
        </w:rPr>
        <w:t>awardee</w:t>
      </w:r>
      <w:r>
        <w:rPr>
          <w:spacing w:val="-2"/>
          <w:sz w:val="22"/>
        </w:rPr>
        <w:t> </w:t>
      </w:r>
      <w:r>
        <w:rPr>
          <w:sz w:val="22"/>
        </w:rPr>
        <w:t>is eligible</w:t>
      </w:r>
      <w:r>
        <w:rPr>
          <w:spacing w:val="-2"/>
          <w:sz w:val="22"/>
        </w:rPr>
        <w:t> </w:t>
      </w:r>
      <w:r>
        <w:rPr>
          <w:sz w:val="22"/>
        </w:rPr>
        <w:t>for</w:t>
      </w:r>
      <w:r>
        <w:rPr>
          <w:spacing w:val="-1"/>
          <w:sz w:val="22"/>
        </w:rPr>
        <w:t> </w:t>
      </w:r>
      <w:r>
        <w:rPr>
          <w:sz w:val="22"/>
        </w:rPr>
        <w:t>up to $30K in total student loan repayments</w:t>
      </w:r>
    </w:p>
    <w:p>
      <w:pPr>
        <w:pStyle w:val="ListParagraph"/>
        <w:numPr>
          <w:ilvl w:val="1"/>
          <w:numId w:val="73"/>
        </w:numPr>
        <w:tabs>
          <w:tab w:pos="2658" w:val="left" w:leader="none"/>
          <w:tab w:pos="2660" w:val="left" w:leader="none"/>
        </w:tabs>
        <w:spacing w:line="232" w:lineRule="auto" w:before="4" w:after="0"/>
        <w:ind w:left="2660" w:right="1093" w:hanging="361"/>
        <w:jc w:val="both"/>
        <w:rPr>
          <w:sz w:val="22"/>
        </w:rPr>
      </w:pPr>
      <w:r>
        <w:rPr>
          <w:sz w:val="22"/>
        </w:rPr>
        <w:t>Among</w:t>
      </w:r>
      <w:r>
        <w:rPr>
          <w:spacing w:val="-14"/>
          <w:sz w:val="22"/>
        </w:rPr>
        <w:t> </w:t>
      </w:r>
      <w:r>
        <w:rPr>
          <w:sz w:val="22"/>
        </w:rPr>
        <w:t>other</w:t>
      </w:r>
      <w:r>
        <w:rPr>
          <w:spacing w:val="-14"/>
          <w:sz w:val="22"/>
        </w:rPr>
        <w:t> </w:t>
      </w:r>
      <w:r>
        <w:rPr>
          <w:sz w:val="22"/>
        </w:rPr>
        <w:t>eligibility</w:t>
      </w:r>
      <w:r>
        <w:rPr>
          <w:spacing w:val="-14"/>
          <w:sz w:val="22"/>
        </w:rPr>
        <w:t> </w:t>
      </w:r>
      <w:r>
        <w:rPr>
          <w:sz w:val="22"/>
        </w:rPr>
        <w:t>requirements</w:t>
      </w:r>
      <w:r>
        <w:rPr>
          <w:spacing w:val="-13"/>
          <w:sz w:val="22"/>
        </w:rPr>
        <w:t> </w:t>
      </w:r>
      <w:r>
        <w:rPr>
          <w:sz w:val="22"/>
        </w:rPr>
        <w:t>determined</w:t>
      </w:r>
      <w:r>
        <w:rPr>
          <w:spacing w:val="-14"/>
          <w:sz w:val="22"/>
        </w:rPr>
        <w:t> </w:t>
      </w:r>
      <w:r>
        <w:rPr>
          <w:sz w:val="22"/>
        </w:rPr>
        <w:t>by</w:t>
      </w:r>
      <w:r>
        <w:rPr>
          <w:spacing w:val="-14"/>
          <w:sz w:val="22"/>
        </w:rPr>
        <w:t> </w:t>
      </w:r>
      <w:r>
        <w:rPr>
          <w:sz w:val="22"/>
        </w:rPr>
        <w:t>the</w:t>
      </w:r>
      <w:r>
        <w:rPr>
          <w:spacing w:val="-14"/>
          <w:sz w:val="22"/>
        </w:rPr>
        <w:t> </w:t>
      </w:r>
      <w:r>
        <w:rPr>
          <w:sz w:val="22"/>
        </w:rPr>
        <w:t>State,</w:t>
      </w:r>
      <w:r>
        <w:rPr>
          <w:spacing w:val="-13"/>
          <w:sz w:val="22"/>
        </w:rPr>
        <w:t> </w:t>
      </w:r>
      <w:r>
        <w:rPr>
          <w:sz w:val="22"/>
        </w:rPr>
        <w:t>Master-Prepared</w:t>
      </w:r>
      <w:r>
        <w:rPr>
          <w:spacing w:val="-14"/>
          <w:sz w:val="22"/>
        </w:rPr>
        <w:t> </w:t>
      </w:r>
      <w:r>
        <w:rPr>
          <w:sz w:val="22"/>
        </w:rPr>
        <w:t>Unlicensed Social Workers and Behavioral Health Professionals must expect to obtain their license within twelve months from application submission.</w:t>
      </w:r>
    </w:p>
    <w:p>
      <w:pPr>
        <w:spacing w:after="0" w:line="232" w:lineRule="auto"/>
        <w:jc w:val="both"/>
        <w:rPr>
          <w:sz w:val="22"/>
        </w:rPr>
        <w:sectPr>
          <w:pgSz w:w="12240" w:h="15840"/>
          <w:pgMar w:header="0" w:footer="967" w:top="1360" w:bottom="1160" w:left="220" w:right="340"/>
        </w:sectPr>
      </w:pPr>
    </w:p>
    <w:p>
      <w:pPr>
        <w:pStyle w:val="ListParagraph"/>
        <w:numPr>
          <w:ilvl w:val="0"/>
          <w:numId w:val="73"/>
        </w:numPr>
        <w:tabs>
          <w:tab w:pos="1938" w:val="left" w:leader="none"/>
          <w:tab w:pos="1940" w:val="left" w:leader="none"/>
        </w:tabs>
        <w:spacing w:line="240" w:lineRule="auto" w:before="79" w:after="0"/>
        <w:ind w:left="1940" w:right="1096" w:hanging="361"/>
        <w:jc w:val="both"/>
        <w:rPr>
          <w:sz w:val="22"/>
        </w:rPr>
      </w:pPr>
      <w:r>
        <w:rPr>
          <w:sz w:val="22"/>
        </w:rPr>
        <w:t>Behavioral Health Professionals (community health workers, peer specialists, recovery support specialists</w:t>
      </w:r>
      <w:r>
        <w:rPr>
          <w:spacing w:val="40"/>
          <w:sz w:val="22"/>
        </w:rPr>
        <w:t> </w:t>
      </w:r>
      <w:r>
        <w:rPr>
          <w:sz w:val="22"/>
        </w:rPr>
        <w:t>– Each awardee is eligible for up to $20K in total student loan repayments</w:t>
      </w:r>
    </w:p>
    <w:p>
      <w:pPr>
        <w:spacing w:line="259" w:lineRule="auto" w:before="202"/>
        <w:ind w:left="1219" w:right="1093" w:firstLine="0"/>
        <w:jc w:val="both"/>
        <w:rPr>
          <w:sz w:val="22"/>
        </w:rPr>
      </w:pPr>
      <w:r>
        <w:rPr>
          <w:sz w:val="22"/>
        </w:rPr>
        <w:t>The</w:t>
      </w:r>
      <w:r>
        <w:rPr>
          <w:spacing w:val="-11"/>
          <w:sz w:val="22"/>
        </w:rPr>
        <w:t> </w:t>
      </w:r>
      <w:r>
        <w:rPr>
          <w:sz w:val="22"/>
        </w:rPr>
        <w:t>State</w:t>
      </w:r>
      <w:r>
        <w:rPr>
          <w:spacing w:val="-10"/>
          <w:sz w:val="22"/>
        </w:rPr>
        <w:t> </w:t>
      </w:r>
      <w:r>
        <w:rPr>
          <w:sz w:val="22"/>
        </w:rPr>
        <w:t>may</w:t>
      </w:r>
      <w:r>
        <w:rPr>
          <w:spacing w:val="-8"/>
          <w:sz w:val="22"/>
        </w:rPr>
        <w:t> </w:t>
      </w:r>
      <w:r>
        <w:rPr>
          <w:sz w:val="22"/>
        </w:rPr>
        <w:t>vary</w:t>
      </w:r>
      <w:r>
        <w:rPr>
          <w:spacing w:val="-13"/>
          <w:sz w:val="22"/>
        </w:rPr>
        <w:t> </w:t>
      </w:r>
      <w:r>
        <w:rPr>
          <w:sz w:val="22"/>
        </w:rPr>
        <w:t>the</w:t>
      </w:r>
      <w:r>
        <w:rPr>
          <w:spacing w:val="-10"/>
          <w:sz w:val="22"/>
        </w:rPr>
        <w:t> </w:t>
      </w:r>
      <w:r>
        <w:rPr>
          <w:sz w:val="22"/>
        </w:rPr>
        <w:t>provider</w:t>
      </w:r>
      <w:r>
        <w:rPr>
          <w:spacing w:val="-10"/>
          <w:sz w:val="22"/>
        </w:rPr>
        <w:t> </w:t>
      </w:r>
      <w:r>
        <w:rPr>
          <w:sz w:val="22"/>
        </w:rPr>
        <w:t>categories</w:t>
      </w:r>
      <w:r>
        <w:rPr>
          <w:spacing w:val="-10"/>
          <w:sz w:val="22"/>
        </w:rPr>
        <w:t> </w:t>
      </w:r>
      <w:r>
        <w:rPr>
          <w:sz w:val="22"/>
        </w:rPr>
        <w:t>and</w:t>
      </w:r>
      <w:r>
        <w:rPr>
          <w:spacing w:val="-11"/>
          <w:sz w:val="22"/>
        </w:rPr>
        <w:t> </w:t>
      </w:r>
      <w:r>
        <w:rPr>
          <w:sz w:val="22"/>
        </w:rPr>
        <w:t>award</w:t>
      </w:r>
      <w:r>
        <w:rPr>
          <w:spacing w:val="-11"/>
          <w:sz w:val="22"/>
        </w:rPr>
        <w:t> </w:t>
      </w:r>
      <w:r>
        <w:rPr>
          <w:sz w:val="22"/>
        </w:rPr>
        <w:t>amounts</w:t>
      </w:r>
      <w:r>
        <w:rPr>
          <w:spacing w:val="-10"/>
          <w:sz w:val="22"/>
        </w:rPr>
        <w:t> </w:t>
      </w:r>
      <w:r>
        <w:rPr>
          <w:sz w:val="22"/>
        </w:rPr>
        <w:t>in</w:t>
      </w:r>
      <w:r>
        <w:rPr>
          <w:spacing w:val="-11"/>
          <w:sz w:val="22"/>
        </w:rPr>
        <w:t> </w:t>
      </w:r>
      <w:r>
        <w:rPr>
          <w:sz w:val="22"/>
        </w:rPr>
        <w:t>its</w:t>
      </w:r>
      <w:r>
        <w:rPr>
          <w:spacing w:val="-10"/>
          <w:sz w:val="22"/>
        </w:rPr>
        <w:t> </w:t>
      </w:r>
      <w:r>
        <w:rPr>
          <w:sz w:val="22"/>
        </w:rPr>
        <w:t>discretion.</w:t>
      </w:r>
      <w:r>
        <w:rPr>
          <w:spacing w:val="-11"/>
          <w:sz w:val="22"/>
        </w:rPr>
        <w:t> </w:t>
      </w:r>
      <w:r>
        <w:rPr>
          <w:sz w:val="22"/>
        </w:rPr>
        <w:t>The</w:t>
      </w:r>
      <w:r>
        <w:rPr>
          <w:spacing w:val="-10"/>
          <w:sz w:val="22"/>
        </w:rPr>
        <w:t> </w:t>
      </w:r>
      <w:r>
        <w:rPr>
          <w:sz w:val="22"/>
        </w:rPr>
        <w:t>State</w:t>
      </w:r>
      <w:r>
        <w:rPr>
          <w:spacing w:val="-10"/>
          <w:sz w:val="22"/>
        </w:rPr>
        <w:t> </w:t>
      </w:r>
      <w:r>
        <w:rPr>
          <w:sz w:val="22"/>
        </w:rPr>
        <w:t>may</w:t>
      </w:r>
      <w:r>
        <w:rPr>
          <w:spacing w:val="-13"/>
          <w:sz w:val="22"/>
        </w:rPr>
        <w:t> </w:t>
      </w:r>
      <w:r>
        <w:rPr>
          <w:sz w:val="22"/>
        </w:rPr>
        <w:t>also</w:t>
      </w:r>
      <w:r>
        <w:rPr>
          <w:spacing w:val="-11"/>
          <w:sz w:val="22"/>
        </w:rPr>
        <w:t> </w:t>
      </w:r>
      <w:r>
        <w:rPr>
          <w:sz w:val="22"/>
        </w:rPr>
        <w:t>develop enhancements to the student loan repayment program, such as learning collaboratives that engage distinct cohorts of student loan repayment recipients, which provide additional training and mentorship for providers</w:t>
      </w:r>
      <w:r>
        <w:rPr>
          <w:spacing w:val="-5"/>
          <w:sz w:val="22"/>
        </w:rPr>
        <w:t> </w:t>
      </w:r>
      <w:r>
        <w:rPr>
          <w:sz w:val="22"/>
        </w:rPr>
        <w:t>and</w:t>
      </w:r>
      <w:r>
        <w:rPr>
          <w:spacing w:val="-6"/>
          <w:sz w:val="22"/>
        </w:rPr>
        <w:t> </w:t>
      </w:r>
      <w:r>
        <w:rPr>
          <w:sz w:val="22"/>
        </w:rPr>
        <w:t>deepen</w:t>
      </w:r>
      <w:r>
        <w:rPr>
          <w:spacing w:val="-6"/>
          <w:sz w:val="22"/>
        </w:rPr>
        <w:t> </w:t>
      </w:r>
      <w:r>
        <w:rPr>
          <w:sz w:val="22"/>
        </w:rPr>
        <w:t>their</w:t>
      </w:r>
      <w:r>
        <w:rPr>
          <w:spacing w:val="-6"/>
          <w:sz w:val="22"/>
        </w:rPr>
        <w:t> </w:t>
      </w:r>
      <w:r>
        <w:rPr>
          <w:sz w:val="22"/>
        </w:rPr>
        <w:t>commitment</w:t>
      </w:r>
      <w:r>
        <w:rPr>
          <w:spacing w:val="-5"/>
          <w:sz w:val="22"/>
        </w:rPr>
        <w:t> </w:t>
      </w:r>
      <w:r>
        <w:rPr>
          <w:sz w:val="22"/>
        </w:rPr>
        <w:t>to</w:t>
      </w:r>
      <w:r>
        <w:rPr>
          <w:spacing w:val="-6"/>
          <w:sz w:val="22"/>
        </w:rPr>
        <w:t> </w:t>
      </w:r>
      <w:r>
        <w:rPr>
          <w:sz w:val="22"/>
        </w:rPr>
        <w:t>careers</w:t>
      </w:r>
      <w:r>
        <w:rPr>
          <w:spacing w:val="-5"/>
          <w:sz w:val="22"/>
        </w:rPr>
        <w:t> </w:t>
      </w:r>
      <w:r>
        <w:rPr>
          <w:sz w:val="22"/>
        </w:rPr>
        <w:t>in</w:t>
      </w:r>
      <w:r>
        <w:rPr>
          <w:spacing w:val="-6"/>
          <w:sz w:val="22"/>
        </w:rPr>
        <w:t> </w:t>
      </w:r>
      <w:r>
        <w:rPr>
          <w:sz w:val="22"/>
        </w:rPr>
        <w:t>community</w:t>
      </w:r>
      <w:r>
        <w:rPr>
          <w:spacing w:val="-7"/>
          <w:sz w:val="22"/>
        </w:rPr>
        <w:t> </w:t>
      </w:r>
      <w:r>
        <w:rPr>
          <w:sz w:val="22"/>
        </w:rPr>
        <w:t>settings.</w:t>
      </w:r>
      <w:r>
        <w:rPr>
          <w:spacing w:val="-7"/>
          <w:sz w:val="22"/>
        </w:rPr>
        <w:t> </w:t>
      </w:r>
      <w:r>
        <w:rPr>
          <w:sz w:val="22"/>
        </w:rPr>
        <w:t>The</w:t>
      </w:r>
      <w:r>
        <w:rPr>
          <w:spacing w:val="-7"/>
          <w:sz w:val="22"/>
        </w:rPr>
        <w:t> </w:t>
      </w:r>
      <w:r>
        <w:rPr>
          <w:sz w:val="22"/>
        </w:rPr>
        <w:t>State</w:t>
      </w:r>
      <w:r>
        <w:rPr>
          <w:spacing w:val="-5"/>
          <w:sz w:val="22"/>
        </w:rPr>
        <w:t> </w:t>
      </w:r>
      <w:r>
        <w:rPr>
          <w:sz w:val="22"/>
        </w:rPr>
        <w:t>will</w:t>
      </w:r>
      <w:r>
        <w:rPr>
          <w:spacing w:val="-5"/>
          <w:sz w:val="22"/>
        </w:rPr>
        <w:t> </w:t>
      </w:r>
      <w:r>
        <w:rPr>
          <w:sz w:val="22"/>
        </w:rPr>
        <w:t>define</w:t>
      </w:r>
      <w:r>
        <w:rPr>
          <w:spacing w:val="-7"/>
          <w:sz w:val="22"/>
        </w:rPr>
        <w:t> </w:t>
      </w:r>
      <w:r>
        <w:rPr>
          <w:sz w:val="22"/>
        </w:rPr>
        <w:t>application criteria and eligibility, and then select awardees through a competitive process that will allow the State to evaluate the applicants relative to the criteria established.</w:t>
      </w:r>
    </w:p>
    <w:p>
      <w:pPr>
        <w:pStyle w:val="Heading5"/>
        <w:numPr>
          <w:ilvl w:val="2"/>
          <w:numId w:val="68"/>
        </w:numPr>
        <w:tabs>
          <w:tab w:pos="1940" w:val="left" w:leader="none"/>
        </w:tabs>
        <w:spacing w:line="240" w:lineRule="auto" w:before="197" w:after="0"/>
        <w:ind w:left="1940" w:right="0" w:hanging="720"/>
        <w:jc w:val="both"/>
        <w:rPr>
          <w:color w:val="4471C4"/>
        </w:rPr>
      </w:pPr>
      <w:bookmarkStart w:name="4.6.2 Primary Care Integration Models an" w:id="1338"/>
      <w:bookmarkEnd w:id="1338"/>
      <w:r>
        <w:rPr>
          <w:b w:val="0"/>
        </w:rPr>
      </w:r>
      <w:bookmarkStart w:name="_bookmark63" w:id="1339"/>
      <w:bookmarkEnd w:id="1339"/>
      <w:r>
        <w:rPr>
          <w:b w:val="0"/>
        </w:rPr>
      </w:r>
      <w:r>
        <w:rPr>
          <w:color w:val="4471C4"/>
        </w:rPr>
        <w:t>Primary</w:t>
      </w:r>
      <w:r>
        <w:rPr>
          <w:color w:val="4471C4"/>
          <w:spacing w:val="-2"/>
        </w:rPr>
        <w:t> </w:t>
      </w:r>
      <w:r>
        <w:rPr>
          <w:color w:val="4471C4"/>
        </w:rPr>
        <w:t>Care</w:t>
      </w:r>
      <w:r>
        <w:rPr>
          <w:color w:val="4471C4"/>
          <w:spacing w:val="-2"/>
        </w:rPr>
        <w:t> </w:t>
      </w:r>
      <w:r>
        <w:rPr>
          <w:color w:val="4471C4"/>
        </w:rPr>
        <w:t>Integration</w:t>
      </w:r>
      <w:r>
        <w:rPr>
          <w:color w:val="4471C4"/>
          <w:spacing w:val="-1"/>
        </w:rPr>
        <w:t> </w:t>
      </w:r>
      <w:r>
        <w:rPr>
          <w:color w:val="4471C4"/>
        </w:rPr>
        <w:t>Models</w:t>
      </w:r>
      <w:r>
        <w:rPr>
          <w:color w:val="4471C4"/>
          <w:spacing w:val="-1"/>
        </w:rPr>
        <w:t> </w:t>
      </w:r>
      <w:r>
        <w:rPr>
          <w:color w:val="4471C4"/>
        </w:rPr>
        <w:t>and</w:t>
      </w:r>
      <w:r>
        <w:rPr>
          <w:color w:val="4471C4"/>
          <w:spacing w:val="-1"/>
        </w:rPr>
        <w:t> </w:t>
      </w:r>
      <w:r>
        <w:rPr>
          <w:color w:val="4471C4"/>
          <w:spacing w:val="-2"/>
        </w:rPr>
        <w:t>Retention</w:t>
      </w:r>
    </w:p>
    <w:p>
      <w:pPr>
        <w:spacing w:before="40"/>
        <w:ind w:left="1219" w:right="1094" w:firstLine="0"/>
        <w:jc w:val="both"/>
        <w:rPr>
          <w:sz w:val="22"/>
        </w:rPr>
      </w:pPr>
      <w:r>
        <w:rPr>
          <w:sz w:val="22"/>
        </w:rPr>
        <w:t>The</w:t>
      </w:r>
      <w:r>
        <w:rPr>
          <w:spacing w:val="-14"/>
          <w:sz w:val="22"/>
        </w:rPr>
        <w:t> </w:t>
      </w:r>
      <w:r>
        <w:rPr>
          <w:sz w:val="22"/>
        </w:rPr>
        <w:t>investment</w:t>
      </w:r>
      <w:r>
        <w:rPr>
          <w:spacing w:val="-14"/>
          <w:sz w:val="22"/>
        </w:rPr>
        <w:t> </w:t>
      </w:r>
      <w:r>
        <w:rPr>
          <w:sz w:val="22"/>
        </w:rPr>
        <w:t>in</w:t>
      </w:r>
      <w:r>
        <w:rPr>
          <w:spacing w:val="-14"/>
          <w:sz w:val="22"/>
        </w:rPr>
        <w:t> </w:t>
      </w:r>
      <w:r>
        <w:rPr>
          <w:sz w:val="22"/>
        </w:rPr>
        <w:t>primary</w:t>
      </w:r>
      <w:r>
        <w:rPr>
          <w:spacing w:val="-13"/>
          <w:sz w:val="22"/>
        </w:rPr>
        <w:t> </w:t>
      </w:r>
      <w:r>
        <w:rPr>
          <w:sz w:val="22"/>
        </w:rPr>
        <w:t>care</w:t>
      </w:r>
      <w:r>
        <w:rPr>
          <w:spacing w:val="-14"/>
          <w:sz w:val="22"/>
        </w:rPr>
        <w:t> </w:t>
      </w:r>
      <w:r>
        <w:rPr>
          <w:sz w:val="22"/>
        </w:rPr>
        <w:t>integration</w:t>
      </w:r>
      <w:r>
        <w:rPr>
          <w:spacing w:val="-14"/>
          <w:sz w:val="22"/>
        </w:rPr>
        <w:t> </w:t>
      </w:r>
      <w:r>
        <w:rPr>
          <w:sz w:val="22"/>
        </w:rPr>
        <w:t>models</w:t>
      </w:r>
      <w:r>
        <w:rPr>
          <w:spacing w:val="-14"/>
          <w:sz w:val="22"/>
        </w:rPr>
        <w:t> </w:t>
      </w:r>
      <w:r>
        <w:rPr>
          <w:sz w:val="22"/>
        </w:rPr>
        <w:t>and</w:t>
      </w:r>
      <w:r>
        <w:rPr>
          <w:spacing w:val="-13"/>
          <w:sz w:val="22"/>
        </w:rPr>
        <w:t> </w:t>
      </w:r>
      <w:r>
        <w:rPr>
          <w:sz w:val="22"/>
        </w:rPr>
        <w:t>retention</w:t>
      </w:r>
      <w:r>
        <w:rPr>
          <w:spacing w:val="-13"/>
          <w:sz w:val="22"/>
        </w:rPr>
        <w:t> </w:t>
      </w:r>
      <w:r>
        <w:rPr>
          <w:sz w:val="22"/>
        </w:rPr>
        <w:t>will</w:t>
      </w:r>
      <w:r>
        <w:rPr>
          <w:spacing w:val="-12"/>
          <w:sz w:val="22"/>
        </w:rPr>
        <w:t> </w:t>
      </w:r>
      <w:r>
        <w:rPr>
          <w:sz w:val="22"/>
        </w:rPr>
        <w:t>support</w:t>
      </w:r>
      <w:r>
        <w:rPr>
          <w:spacing w:val="-12"/>
          <w:sz w:val="22"/>
        </w:rPr>
        <w:t> </w:t>
      </w:r>
      <w:r>
        <w:rPr>
          <w:sz w:val="22"/>
        </w:rPr>
        <w:t>a</w:t>
      </w:r>
      <w:r>
        <w:rPr>
          <w:spacing w:val="-13"/>
          <w:sz w:val="22"/>
        </w:rPr>
        <w:t> </w:t>
      </w:r>
      <w:r>
        <w:rPr>
          <w:sz w:val="22"/>
        </w:rPr>
        <w:t>grant</w:t>
      </w:r>
      <w:r>
        <w:rPr>
          <w:spacing w:val="-14"/>
          <w:sz w:val="22"/>
        </w:rPr>
        <w:t> </w:t>
      </w:r>
      <w:r>
        <w:rPr>
          <w:sz w:val="22"/>
        </w:rPr>
        <w:t>program</w:t>
      </w:r>
      <w:r>
        <w:rPr>
          <w:spacing w:val="-14"/>
          <w:sz w:val="22"/>
        </w:rPr>
        <w:t> </w:t>
      </w:r>
      <w:r>
        <w:rPr>
          <w:sz w:val="22"/>
        </w:rPr>
        <w:t>to</w:t>
      </w:r>
      <w:r>
        <w:rPr>
          <w:spacing w:val="-13"/>
          <w:sz w:val="22"/>
        </w:rPr>
        <w:t> </w:t>
      </w:r>
      <w:r>
        <w:rPr>
          <w:sz w:val="22"/>
        </w:rPr>
        <w:t>community health centers (CHCs), community mental health centers, and entities participating in CPs and CSAs that allows primary care and behavioral health providers</w:t>
      </w:r>
      <w:r>
        <w:rPr>
          <w:spacing w:val="40"/>
          <w:sz w:val="22"/>
        </w:rPr>
        <w:t> </w:t>
      </w:r>
      <w:r>
        <w:rPr>
          <w:sz w:val="22"/>
        </w:rPr>
        <w:t>to design and carry out one-year projects related to accountable</w:t>
      </w:r>
      <w:r>
        <w:rPr>
          <w:spacing w:val="-7"/>
          <w:sz w:val="22"/>
        </w:rPr>
        <w:t> </w:t>
      </w:r>
      <w:r>
        <w:rPr>
          <w:sz w:val="22"/>
        </w:rPr>
        <w:t>care.</w:t>
      </w:r>
      <w:r>
        <w:rPr>
          <w:spacing w:val="-9"/>
          <w:sz w:val="22"/>
        </w:rPr>
        <w:t> </w:t>
      </w:r>
      <w:r>
        <w:rPr>
          <w:sz w:val="22"/>
        </w:rPr>
        <w:t>The</w:t>
      </w:r>
      <w:r>
        <w:rPr>
          <w:spacing w:val="-7"/>
          <w:sz w:val="22"/>
        </w:rPr>
        <w:t> </w:t>
      </w:r>
      <w:r>
        <w:rPr>
          <w:sz w:val="22"/>
        </w:rPr>
        <w:t>State</w:t>
      </w:r>
      <w:r>
        <w:rPr>
          <w:spacing w:val="-7"/>
          <w:sz w:val="22"/>
        </w:rPr>
        <w:t> </w:t>
      </w:r>
      <w:r>
        <w:rPr>
          <w:sz w:val="22"/>
        </w:rPr>
        <w:t>will</w:t>
      </w:r>
      <w:r>
        <w:rPr>
          <w:spacing w:val="-6"/>
          <w:sz w:val="22"/>
        </w:rPr>
        <w:t> </w:t>
      </w:r>
      <w:r>
        <w:rPr>
          <w:sz w:val="22"/>
        </w:rPr>
        <w:t>define</w:t>
      </w:r>
      <w:r>
        <w:rPr>
          <w:spacing w:val="-7"/>
          <w:sz w:val="22"/>
        </w:rPr>
        <w:t> </w:t>
      </w:r>
      <w:r>
        <w:rPr>
          <w:sz w:val="22"/>
        </w:rPr>
        <w:t>application</w:t>
      </w:r>
      <w:r>
        <w:rPr>
          <w:spacing w:val="-5"/>
          <w:sz w:val="22"/>
        </w:rPr>
        <w:t> </w:t>
      </w:r>
      <w:r>
        <w:rPr>
          <w:sz w:val="22"/>
        </w:rPr>
        <w:t>criteria</w:t>
      </w:r>
      <w:r>
        <w:rPr>
          <w:spacing w:val="-4"/>
          <w:sz w:val="22"/>
        </w:rPr>
        <w:t> </w:t>
      </w:r>
      <w:r>
        <w:rPr>
          <w:sz w:val="22"/>
        </w:rPr>
        <w:t>and</w:t>
      </w:r>
      <w:r>
        <w:rPr>
          <w:spacing w:val="-7"/>
          <w:sz w:val="22"/>
        </w:rPr>
        <w:t> </w:t>
      </w:r>
      <w:r>
        <w:rPr>
          <w:sz w:val="22"/>
        </w:rPr>
        <w:t>eligibility,</w:t>
      </w:r>
      <w:r>
        <w:rPr>
          <w:spacing w:val="-5"/>
          <w:sz w:val="22"/>
        </w:rPr>
        <w:t> </w:t>
      </w:r>
      <w:r>
        <w:rPr>
          <w:sz w:val="22"/>
        </w:rPr>
        <w:t>and</w:t>
      </w:r>
      <w:r>
        <w:rPr>
          <w:spacing w:val="-5"/>
          <w:sz w:val="22"/>
        </w:rPr>
        <w:t> </w:t>
      </w:r>
      <w:r>
        <w:rPr>
          <w:sz w:val="22"/>
        </w:rPr>
        <w:t>will</w:t>
      </w:r>
      <w:r>
        <w:rPr>
          <w:spacing w:val="-6"/>
          <w:sz w:val="22"/>
        </w:rPr>
        <w:t> </w:t>
      </w:r>
      <w:r>
        <w:rPr>
          <w:sz w:val="22"/>
        </w:rPr>
        <w:t>select</w:t>
      </w:r>
      <w:r>
        <w:rPr>
          <w:spacing w:val="-6"/>
          <w:sz w:val="22"/>
        </w:rPr>
        <w:t> </w:t>
      </w:r>
      <w:r>
        <w:rPr>
          <w:sz w:val="22"/>
        </w:rPr>
        <w:t>awardees</w:t>
      </w:r>
      <w:r>
        <w:rPr>
          <w:spacing w:val="-7"/>
          <w:sz w:val="22"/>
        </w:rPr>
        <w:t> </w:t>
      </w:r>
      <w:r>
        <w:rPr>
          <w:sz w:val="22"/>
        </w:rPr>
        <w:t>through a competitive process that will allow the State to evaluate the proposed projects for scope, impact, feasibility,</w:t>
      </w:r>
      <w:r>
        <w:rPr>
          <w:spacing w:val="-4"/>
          <w:sz w:val="22"/>
        </w:rPr>
        <w:t> </w:t>
      </w:r>
      <w:r>
        <w:rPr>
          <w:sz w:val="22"/>
        </w:rPr>
        <w:t>cost</w:t>
      </w:r>
      <w:r>
        <w:rPr>
          <w:spacing w:val="-3"/>
          <w:sz w:val="22"/>
        </w:rPr>
        <w:t> </w:t>
      </w:r>
      <w:r>
        <w:rPr>
          <w:sz w:val="22"/>
        </w:rPr>
        <w:t>and</w:t>
      </w:r>
      <w:r>
        <w:rPr>
          <w:spacing w:val="-4"/>
          <w:sz w:val="22"/>
        </w:rPr>
        <w:t> </w:t>
      </w:r>
      <w:r>
        <w:rPr>
          <w:sz w:val="22"/>
        </w:rPr>
        <w:t>need,</w:t>
      </w:r>
      <w:r>
        <w:rPr>
          <w:spacing w:val="-4"/>
          <w:sz w:val="22"/>
        </w:rPr>
        <w:t> </w:t>
      </w:r>
      <w:r>
        <w:rPr>
          <w:sz w:val="22"/>
        </w:rPr>
        <w:t>among</w:t>
      </w:r>
      <w:r>
        <w:rPr>
          <w:spacing w:val="-6"/>
          <w:sz w:val="22"/>
        </w:rPr>
        <w:t> </w:t>
      </w:r>
      <w:r>
        <w:rPr>
          <w:sz w:val="22"/>
        </w:rPr>
        <w:t>other</w:t>
      </w:r>
      <w:r>
        <w:rPr>
          <w:spacing w:val="-3"/>
          <w:sz w:val="22"/>
        </w:rPr>
        <w:t> </w:t>
      </w:r>
      <w:r>
        <w:rPr>
          <w:sz w:val="22"/>
        </w:rPr>
        <w:t>factors.</w:t>
      </w:r>
      <w:r>
        <w:rPr>
          <w:spacing w:val="-6"/>
          <w:sz w:val="22"/>
        </w:rPr>
        <w:t> </w:t>
      </w:r>
      <w:r>
        <w:rPr>
          <w:sz w:val="22"/>
        </w:rPr>
        <w:t>The</w:t>
      </w:r>
      <w:r>
        <w:rPr>
          <w:spacing w:val="-3"/>
          <w:sz w:val="22"/>
        </w:rPr>
        <w:t> </w:t>
      </w:r>
      <w:r>
        <w:rPr>
          <w:sz w:val="22"/>
        </w:rPr>
        <w:t>State</w:t>
      </w:r>
      <w:r>
        <w:rPr>
          <w:spacing w:val="-3"/>
          <w:sz w:val="22"/>
        </w:rPr>
        <w:t> </w:t>
      </w:r>
      <w:r>
        <w:rPr>
          <w:sz w:val="22"/>
        </w:rPr>
        <w:t>anticipates</w:t>
      </w:r>
      <w:r>
        <w:rPr>
          <w:spacing w:val="-3"/>
          <w:sz w:val="22"/>
        </w:rPr>
        <w:t> </w:t>
      </w:r>
      <w:r>
        <w:rPr>
          <w:sz w:val="22"/>
        </w:rPr>
        <w:t>that</w:t>
      </w:r>
      <w:r>
        <w:rPr>
          <w:spacing w:val="-3"/>
          <w:sz w:val="22"/>
        </w:rPr>
        <w:t> </w:t>
      </w:r>
      <w:r>
        <w:rPr>
          <w:sz w:val="22"/>
        </w:rPr>
        <w:t>awardees</w:t>
      </w:r>
      <w:r>
        <w:rPr>
          <w:spacing w:val="-6"/>
          <w:sz w:val="22"/>
        </w:rPr>
        <w:t> </w:t>
      </w:r>
      <w:r>
        <w:rPr>
          <w:sz w:val="22"/>
        </w:rPr>
        <w:t>will</w:t>
      </w:r>
      <w:r>
        <w:rPr>
          <w:spacing w:val="-5"/>
          <w:sz w:val="22"/>
        </w:rPr>
        <w:t> </w:t>
      </w:r>
      <w:r>
        <w:rPr>
          <w:sz w:val="22"/>
        </w:rPr>
        <w:t>receive</w:t>
      </w:r>
      <w:r>
        <w:rPr>
          <w:spacing w:val="-3"/>
          <w:sz w:val="22"/>
        </w:rPr>
        <w:t> </w:t>
      </w:r>
      <w:r>
        <w:rPr>
          <w:sz w:val="22"/>
        </w:rPr>
        <w:t>up</w:t>
      </w:r>
      <w:r>
        <w:rPr>
          <w:spacing w:val="-4"/>
          <w:sz w:val="22"/>
        </w:rPr>
        <w:t> </w:t>
      </w:r>
      <w:r>
        <w:rPr>
          <w:sz w:val="22"/>
        </w:rPr>
        <w:t>to</w:t>
      </w:r>
      <w:r>
        <w:rPr>
          <w:spacing w:val="-4"/>
          <w:sz w:val="22"/>
        </w:rPr>
        <w:t> </w:t>
      </w:r>
      <w:r>
        <w:rPr>
          <w:sz w:val="22"/>
        </w:rPr>
        <w:t>$40K per project but</w:t>
      </w:r>
      <w:r>
        <w:rPr>
          <w:spacing w:val="-1"/>
          <w:sz w:val="22"/>
        </w:rPr>
        <w:t> </w:t>
      </w:r>
      <w:r>
        <w:rPr>
          <w:sz w:val="22"/>
        </w:rPr>
        <w:t>the</w:t>
      </w:r>
      <w:r>
        <w:rPr>
          <w:spacing w:val="-2"/>
          <w:sz w:val="22"/>
        </w:rPr>
        <w:t> </w:t>
      </w:r>
      <w:r>
        <w:rPr>
          <w:sz w:val="22"/>
        </w:rPr>
        <w:t>amount of funding</w:t>
      </w:r>
      <w:r>
        <w:rPr>
          <w:spacing w:val="-2"/>
          <w:sz w:val="22"/>
        </w:rPr>
        <w:t> </w:t>
      </w:r>
      <w:r>
        <w:rPr>
          <w:sz w:val="22"/>
        </w:rPr>
        <w:t>may vary</w:t>
      </w:r>
      <w:r>
        <w:rPr>
          <w:spacing w:val="-2"/>
          <w:sz w:val="22"/>
        </w:rPr>
        <w:t> </w:t>
      </w:r>
      <w:r>
        <w:rPr>
          <w:sz w:val="22"/>
        </w:rPr>
        <w:t>by</w:t>
      </w:r>
      <w:r>
        <w:rPr>
          <w:spacing w:val="-2"/>
          <w:sz w:val="22"/>
        </w:rPr>
        <w:t> </w:t>
      </w:r>
      <w:r>
        <w:rPr>
          <w:sz w:val="22"/>
        </w:rPr>
        <w:t>project, as determined by</w:t>
      </w:r>
      <w:r>
        <w:rPr>
          <w:spacing w:val="-2"/>
          <w:sz w:val="22"/>
        </w:rPr>
        <w:t> </w:t>
      </w:r>
      <w:r>
        <w:rPr>
          <w:sz w:val="22"/>
        </w:rPr>
        <w:t>the</w:t>
      </w:r>
      <w:r>
        <w:rPr>
          <w:spacing w:val="-2"/>
          <w:sz w:val="22"/>
        </w:rPr>
        <w:t> </w:t>
      </w:r>
      <w:r>
        <w:rPr>
          <w:sz w:val="22"/>
        </w:rPr>
        <w:t>State.</w:t>
      </w:r>
      <w:r>
        <w:rPr>
          <w:spacing w:val="-3"/>
          <w:sz w:val="22"/>
        </w:rPr>
        <w:t> </w:t>
      </w:r>
      <w:r>
        <w:rPr>
          <w:sz w:val="22"/>
        </w:rPr>
        <w:t>The</w:t>
      </w:r>
      <w:r>
        <w:rPr>
          <w:spacing w:val="-2"/>
          <w:sz w:val="22"/>
        </w:rPr>
        <w:t> </w:t>
      </w:r>
      <w:r>
        <w:rPr>
          <w:sz w:val="22"/>
        </w:rPr>
        <w:t>CHC, CMHC, or</w:t>
      </w:r>
      <w:r>
        <w:rPr>
          <w:spacing w:val="-8"/>
          <w:sz w:val="22"/>
        </w:rPr>
        <w:t> </w:t>
      </w:r>
      <w:r>
        <w:rPr>
          <w:sz w:val="22"/>
        </w:rPr>
        <w:t>entity</w:t>
      </w:r>
      <w:r>
        <w:rPr>
          <w:spacing w:val="-11"/>
          <w:sz w:val="22"/>
        </w:rPr>
        <w:t> </w:t>
      </w:r>
      <w:r>
        <w:rPr>
          <w:sz w:val="22"/>
        </w:rPr>
        <w:t>participating</w:t>
      </w:r>
      <w:r>
        <w:rPr>
          <w:spacing w:val="-11"/>
          <w:sz w:val="22"/>
        </w:rPr>
        <w:t> </w:t>
      </w:r>
      <w:r>
        <w:rPr>
          <w:sz w:val="22"/>
        </w:rPr>
        <w:t>in</w:t>
      </w:r>
      <w:r>
        <w:rPr>
          <w:spacing w:val="-9"/>
          <w:sz w:val="22"/>
        </w:rPr>
        <w:t> </w:t>
      </w:r>
      <w:r>
        <w:rPr>
          <w:sz w:val="22"/>
        </w:rPr>
        <w:t>a</w:t>
      </w:r>
      <w:r>
        <w:rPr>
          <w:spacing w:val="-11"/>
          <w:sz w:val="22"/>
        </w:rPr>
        <w:t> </w:t>
      </w:r>
      <w:r>
        <w:rPr>
          <w:sz w:val="22"/>
        </w:rPr>
        <w:t>CP</w:t>
      </w:r>
      <w:r>
        <w:rPr>
          <w:spacing w:val="-9"/>
          <w:sz w:val="22"/>
        </w:rPr>
        <w:t> </w:t>
      </w:r>
      <w:r>
        <w:rPr>
          <w:sz w:val="22"/>
        </w:rPr>
        <w:t>or</w:t>
      </w:r>
      <w:r>
        <w:rPr>
          <w:spacing w:val="-8"/>
          <w:sz w:val="22"/>
        </w:rPr>
        <w:t> </w:t>
      </w:r>
      <w:r>
        <w:rPr>
          <w:sz w:val="22"/>
        </w:rPr>
        <w:t>CSA</w:t>
      </w:r>
      <w:r>
        <w:rPr>
          <w:spacing w:val="-12"/>
          <w:sz w:val="22"/>
        </w:rPr>
        <w:t> </w:t>
      </w:r>
      <w:r>
        <w:rPr>
          <w:sz w:val="22"/>
        </w:rPr>
        <w:t>will</w:t>
      </w:r>
      <w:r>
        <w:rPr>
          <w:spacing w:val="-10"/>
          <w:sz w:val="22"/>
        </w:rPr>
        <w:t> </w:t>
      </w:r>
      <w:r>
        <w:rPr>
          <w:sz w:val="22"/>
        </w:rPr>
        <w:t>be</w:t>
      </w:r>
      <w:r>
        <w:rPr>
          <w:spacing w:val="-11"/>
          <w:sz w:val="22"/>
        </w:rPr>
        <w:t> </w:t>
      </w:r>
      <w:r>
        <w:rPr>
          <w:sz w:val="22"/>
        </w:rPr>
        <w:t>the</w:t>
      </w:r>
      <w:r>
        <w:rPr>
          <w:spacing w:val="-11"/>
          <w:sz w:val="22"/>
        </w:rPr>
        <w:t> </w:t>
      </w:r>
      <w:r>
        <w:rPr>
          <w:sz w:val="22"/>
        </w:rPr>
        <w:t>primary</w:t>
      </w:r>
      <w:r>
        <w:rPr>
          <w:spacing w:val="-11"/>
          <w:sz w:val="22"/>
        </w:rPr>
        <w:t> </w:t>
      </w:r>
      <w:r>
        <w:rPr>
          <w:sz w:val="22"/>
        </w:rPr>
        <w:t>applicant</w:t>
      </w:r>
      <w:r>
        <w:rPr>
          <w:spacing w:val="-7"/>
          <w:sz w:val="22"/>
        </w:rPr>
        <w:t> </w:t>
      </w:r>
      <w:r>
        <w:rPr>
          <w:sz w:val="22"/>
        </w:rPr>
        <w:t>with</w:t>
      </w:r>
      <w:r>
        <w:rPr>
          <w:spacing w:val="-11"/>
          <w:sz w:val="22"/>
        </w:rPr>
        <w:t> </w:t>
      </w:r>
      <w:r>
        <w:rPr>
          <w:sz w:val="22"/>
        </w:rPr>
        <w:t>a</w:t>
      </w:r>
      <w:r>
        <w:rPr>
          <w:spacing w:val="-8"/>
          <w:sz w:val="22"/>
        </w:rPr>
        <w:t> </w:t>
      </w:r>
      <w:r>
        <w:rPr>
          <w:sz w:val="22"/>
        </w:rPr>
        <w:t>primary</w:t>
      </w:r>
      <w:r>
        <w:rPr>
          <w:spacing w:val="-11"/>
          <w:sz w:val="22"/>
        </w:rPr>
        <w:t> </w:t>
      </w:r>
      <w:r>
        <w:rPr>
          <w:sz w:val="22"/>
        </w:rPr>
        <w:t>care</w:t>
      </w:r>
      <w:r>
        <w:rPr>
          <w:spacing w:val="-11"/>
          <w:sz w:val="22"/>
        </w:rPr>
        <w:t> </w:t>
      </w:r>
      <w:r>
        <w:rPr>
          <w:sz w:val="22"/>
        </w:rPr>
        <w:t>or</w:t>
      </w:r>
      <w:r>
        <w:rPr>
          <w:spacing w:val="-10"/>
          <w:sz w:val="22"/>
        </w:rPr>
        <w:t> </w:t>
      </w:r>
      <w:r>
        <w:rPr>
          <w:sz w:val="22"/>
        </w:rPr>
        <w:t>behavioral</w:t>
      </w:r>
      <w:r>
        <w:rPr>
          <w:spacing w:val="-7"/>
          <w:sz w:val="22"/>
        </w:rPr>
        <w:t> </w:t>
      </w:r>
      <w:r>
        <w:rPr>
          <w:sz w:val="22"/>
        </w:rPr>
        <w:t>health provider as a partner. The State will disburse funds directly to the CHC, CMHC, or entity participating in a CP or CSA.</w:t>
      </w:r>
    </w:p>
    <w:p>
      <w:pPr>
        <w:pStyle w:val="Heading5"/>
        <w:numPr>
          <w:ilvl w:val="2"/>
          <w:numId w:val="68"/>
        </w:numPr>
        <w:tabs>
          <w:tab w:pos="1940" w:val="left" w:leader="none"/>
        </w:tabs>
        <w:spacing w:line="240" w:lineRule="auto" w:before="202" w:after="0"/>
        <w:ind w:left="1940" w:right="0" w:hanging="720"/>
        <w:jc w:val="both"/>
        <w:rPr>
          <w:color w:val="4471C4"/>
        </w:rPr>
      </w:pPr>
      <w:bookmarkStart w:name="4.6.3 Investment in Primary Care Residen" w:id="1340"/>
      <w:bookmarkEnd w:id="1340"/>
      <w:r>
        <w:rPr>
          <w:b w:val="0"/>
        </w:rPr>
      </w:r>
      <w:bookmarkStart w:name="_bookmark64" w:id="1341"/>
      <w:bookmarkEnd w:id="1341"/>
      <w:r>
        <w:rPr>
          <w:b w:val="0"/>
        </w:rPr>
      </w:r>
      <w:r>
        <w:rPr>
          <w:color w:val="4471C4"/>
        </w:rPr>
        <w:t>Investment</w:t>
      </w:r>
      <w:r>
        <w:rPr>
          <w:color w:val="4471C4"/>
          <w:spacing w:val="-6"/>
        </w:rPr>
        <w:t> </w:t>
      </w:r>
      <w:r>
        <w:rPr>
          <w:color w:val="4471C4"/>
        </w:rPr>
        <w:t>in</w:t>
      </w:r>
      <w:r>
        <w:rPr>
          <w:color w:val="4471C4"/>
          <w:spacing w:val="-3"/>
        </w:rPr>
        <w:t> </w:t>
      </w:r>
      <w:r>
        <w:rPr>
          <w:color w:val="4471C4"/>
        </w:rPr>
        <w:t>Primary Care</w:t>
      </w:r>
      <w:r>
        <w:rPr>
          <w:color w:val="4471C4"/>
          <w:spacing w:val="-4"/>
        </w:rPr>
        <w:t> </w:t>
      </w:r>
      <w:r>
        <w:rPr>
          <w:color w:val="4471C4"/>
        </w:rPr>
        <w:t>Residency</w:t>
      </w:r>
      <w:r>
        <w:rPr>
          <w:color w:val="4471C4"/>
          <w:spacing w:val="-2"/>
        </w:rPr>
        <w:t> Training</w:t>
      </w:r>
    </w:p>
    <w:p>
      <w:pPr>
        <w:spacing w:before="38"/>
        <w:ind w:left="1219" w:right="1091" w:firstLine="0"/>
        <w:jc w:val="both"/>
        <w:rPr>
          <w:sz w:val="22"/>
        </w:rPr>
      </w:pPr>
      <w:r>
        <w:rPr>
          <w:sz w:val="22"/>
        </w:rPr>
        <w:t>The investment in primary care residency training will help offset hospital and community health center costs of filling community health center (CHCs) and community mental health center (CMHC) residency slots. The State will fund hospitals, community health centers, and community mental health centers that are</w:t>
      </w:r>
      <w:r>
        <w:rPr>
          <w:spacing w:val="-1"/>
          <w:sz w:val="22"/>
        </w:rPr>
        <w:t> </w:t>
      </w:r>
      <w:r>
        <w:rPr>
          <w:sz w:val="22"/>
        </w:rPr>
        <w:t>selected</w:t>
      </w:r>
      <w:r>
        <w:rPr>
          <w:spacing w:val="-1"/>
          <w:sz w:val="22"/>
        </w:rPr>
        <w:t> </w:t>
      </w:r>
      <w:r>
        <w:rPr>
          <w:sz w:val="22"/>
        </w:rPr>
        <w:t>for awards.</w:t>
      </w:r>
      <w:r>
        <w:rPr>
          <w:spacing w:val="-1"/>
          <w:sz w:val="22"/>
        </w:rPr>
        <w:t> </w:t>
      </w:r>
      <w:r>
        <w:rPr>
          <w:sz w:val="22"/>
        </w:rPr>
        <w:t>Hospitals and CHCs/CHMCs</w:t>
      </w:r>
      <w:r>
        <w:rPr>
          <w:spacing w:val="-1"/>
          <w:sz w:val="22"/>
        </w:rPr>
        <w:t> </w:t>
      </w:r>
      <w:r>
        <w:rPr>
          <w:sz w:val="22"/>
        </w:rPr>
        <w:t>will apply</w:t>
      </w:r>
      <w:r>
        <w:rPr>
          <w:spacing w:val="-4"/>
          <w:sz w:val="22"/>
        </w:rPr>
        <w:t> </w:t>
      </w:r>
      <w:r>
        <w:rPr>
          <w:sz w:val="22"/>
        </w:rPr>
        <w:t>jointly</w:t>
      </w:r>
      <w:r>
        <w:rPr>
          <w:spacing w:val="-1"/>
          <w:sz w:val="22"/>
        </w:rPr>
        <w:t> </w:t>
      </w:r>
      <w:r>
        <w:rPr>
          <w:sz w:val="22"/>
        </w:rPr>
        <w:t>for the award</w:t>
      </w:r>
      <w:r>
        <w:rPr>
          <w:spacing w:val="-1"/>
          <w:sz w:val="22"/>
        </w:rPr>
        <w:t> </w:t>
      </w:r>
      <w:r>
        <w:rPr>
          <w:sz w:val="22"/>
        </w:rPr>
        <w:t>in</w:t>
      </w:r>
      <w:r>
        <w:rPr>
          <w:spacing w:val="-1"/>
          <w:sz w:val="22"/>
        </w:rPr>
        <w:t> </w:t>
      </w:r>
      <w:r>
        <w:rPr>
          <w:sz w:val="22"/>
        </w:rPr>
        <w:t>the</w:t>
      </w:r>
      <w:r>
        <w:rPr>
          <w:spacing w:val="-1"/>
          <w:sz w:val="22"/>
        </w:rPr>
        <w:t> </w:t>
      </w:r>
      <w:r>
        <w:rPr>
          <w:sz w:val="22"/>
        </w:rPr>
        <w:t>case of PCPs. The State anticipates that funding will vary based on the resident’s discipline as follows:</w:t>
      </w:r>
    </w:p>
    <w:p>
      <w:pPr>
        <w:pStyle w:val="ListParagraph"/>
        <w:numPr>
          <w:ilvl w:val="0"/>
          <w:numId w:val="74"/>
        </w:numPr>
        <w:tabs>
          <w:tab w:pos="1937" w:val="left" w:leader="none"/>
          <w:tab w:pos="1939" w:val="left" w:leader="none"/>
        </w:tabs>
        <w:spacing w:line="240" w:lineRule="auto" w:before="162" w:after="0"/>
        <w:ind w:left="1939" w:right="1093" w:hanging="361"/>
        <w:jc w:val="both"/>
        <w:rPr>
          <w:sz w:val="22"/>
        </w:rPr>
      </w:pPr>
      <w:r>
        <w:rPr>
          <w:sz w:val="22"/>
        </w:rPr>
        <w:t>Primary</w:t>
      </w:r>
      <w:r>
        <w:rPr>
          <w:spacing w:val="-14"/>
          <w:sz w:val="22"/>
        </w:rPr>
        <w:t> </w:t>
      </w:r>
      <w:r>
        <w:rPr>
          <w:sz w:val="22"/>
        </w:rPr>
        <w:t>Care</w:t>
      </w:r>
      <w:r>
        <w:rPr>
          <w:spacing w:val="-14"/>
          <w:sz w:val="22"/>
        </w:rPr>
        <w:t> </w:t>
      </w:r>
      <w:r>
        <w:rPr>
          <w:sz w:val="22"/>
        </w:rPr>
        <w:t>Provider</w:t>
      </w:r>
      <w:r>
        <w:rPr>
          <w:spacing w:val="-14"/>
          <w:sz w:val="22"/>
        </w:rPr>
        <w:t> </w:t>
      </w:r>
      <w:r>
        <w:rPr>
          <w:sz w:val="22"/>
        </w:rPr>
        <w:t>(PCP)</w:t>
      </w:r>
      <w:r>
        <w:rPr>
          <w:spacing w:val="-13"/>
          <w:sz w:val="22"/>
        </w:rPr>
        <w:t> </w:t>
      </w:r>
      <w:r>
        <w:rPr>
          <w:sz w:val="22"/>
        </w:rPr>
        <w:t>–</w:t>
      </w:r>
      <w:r>
        <w:rPr>
          <w:spacing w:val="-14"/>
          <w:sz w:val="22"/>
        </w:rPr>
        <w:t> </w:t>
      </w:r>
      <w:r>
        <w:rPr>
          <w:sz w:val="22"/>
        </w:rPr>
        <w:t>For</w:t>
      </w:r>
      <w:r>
        <w:rPr>
          <w:spacing w:val="-14"/>
          <w:sz w:val="22"/>
        </w:rPr>
        <w:t> </w:t>
      </w:r>
      <w:r>
        <w:rPr>
          <w:sz w:val="22"/>
        </w:rPr>
        <w:t>each</w:t>
      </w:r>
      <w:r>
        <w:rPr>
          <w:spacing w:val="-14"/>
          <w:sz w:val="22"/>
        </w:rPr>
        <w:t> </w:t>
      </w:r>
      <w:r>
        <w:rPr>
          <w:sz w:val="22"/>
        </w:rPr>
        <w:t>PCP</w:t>
      </w:r>
      <w:r>
        <w:rPr>
          <w:spacing w:val="-13"/>
          <w:sz w:val="22"/>
        </w:rPr>
        <w:t> </w:t>
      </w:r>
      <w:r>
        <w:rPr>
          <w:sz w:val="22"/>
        </w:rPr>
        <w:t>residency</w:t>
      </w:r>
      <w:r>
        <w:rPr>
          <w:spacing w:val="-14"/>
          <w:sz w:val="22"/>
        </w:rPr>
        <w:t> </w:t>
      </w:r>
      <w:r>
        <w:rPr>
          <w:sz w:val="22"/>
        </w:rPr>
        <w:t>slot</w:t>
      </w:r>
      <w:r>
        <w:rPr>
          <w:spacing w:val="-14"/>
          <w:sz w:val="22"/>
        </w:rPr>
        <w:t> </w:t>
      </w:r>
      <w:r>
        <w:rPr>
          <w:sz w:val="22"/>
        </w:rPr>
        <w:t>filled,</w:t>
      </w:r>
      <w:r>
        <w:rPr>
          <w:spacing w:val="-14"/>
          <w:sz w:val="22"/>
        </w:rPr>
        <w:t> </w:t>
      </w:r>
      <w:r>
        <w:rPr>
          <w:sz w:val="22"/>
        </w:rPr>
        <w:t>the</w:t>
      </w:r>
      <w:r>
        <w:rPr>
          <w:spacing w:val="-13"/>
          <w:sz w:val="22"/>
        </w:rPr>
        <w:t> </w:t>
      </w:r>
      <w:r>
        <w:rPr>
          <w:sz w:val="22"/>
        </w:rPr>
        <w:t>State</w:t>
      </w:r>
      <w:r>
        <w:rPr>
          <w:spacing w:val="-14"/>
          <w:sz w:val="22"/>
        </w:rPr>
        <w:t> </w:t>
      </w:r>
      <w:r>
        <w:rPr>
          <w:sz w:val="22"/>
        </w:rPr>
        <w:t>will</w:t>
      </w:r>
      <w:r>
        <w:rPr>
          <w:spacing w:val="-14"/>
          <w:sz w:val="22"/>
        </w:rPr>
        <w:t> </w:t>
      </w:r>
      <w:r>
        <w:rPr>
          <w:sz w:val="22"/>
        </w:rPr>
        <w:t>pay</w:t>
      </w:r>
      <w:r>
        <w:rPr>
          <w:spacing w:val="-14"/>
          <w:sz w:val="22"/>
        </w:rPr>
        <w:t> </w:t>
      </w:r>
      <w:r>
        <w:rPr>
          <w:sz w:val="22"/>
        </w:rPr>
        <w:t>the</w:t>
      </w:r>
      <w:r>
        <w:rPr>
          <w:spacing w:val="-13"/>
          <w:sz w:val="22"/>
        </w:rPr>
        <w:t> </w:t>
      </w:r>
      <w:r>
        <w:rPr>
          <w:sz w:val="22"/>
        </w:rPr>
        <w:t>community health center or community mental health center up to $150K and the hospital up to $20K for a total of up to $170K for each year of residency.</w:t>
      </w:r>
    </w:p>
    <w:p>
      <w:pPr>
        <w:pStyle w:val="ListParagraph"/>
        <w:numPr>
          <w:ilvl w:val="0"/>
          <w:numId w:val="74"/>
        </w:numPr>
        <w:tabs>
          <w:tab w:pos="1938" w:val="left" w:leader="none"/>
          <w:tab w:pos="1940" w:val="left" w:leader="none"/>
        </w:tabs>
        <w:spacing w:line="240" w:lineRule="auto" w:before="198" w:after="0"/>
        <w:ind w:left="1940" w:right="1093" w:hanging="361"/>
        <w:jc w:val="both"/>
        <w:rPr>
          <w:sz w:val="22"/>
        </w:rPr>
      </w:pPr>
      <w:r>
        <w:rPr>
          <w:sz w:val="22"/>
        </w:rPr>
        <w:t>Nurse</w:t>
      </w:r>
      <w:r>
        <w:rPr>
          <w:spacing w:val="-14"/>
          <w:sz w:val="22"/>
        </w:rPr>
        <w:t> </w:t>
      </w:r>
      <w:r>
        <w:rPr>
          <w:sz w:val="22"/>
        </w:rPr>
        <w:t>Practitioner</w:t>
      </w:r>
      <w:r>
        <w:rPr>
          <w:spacing w:val="-14"/>
          <w:sz w:val="22"/>
        </w:rPr>
        <w:t> </w:t>
      </w:r>
      <w:r>
        <w:rPr>
          <w:sz w:val="22"/>
        </w:rPr>
        <w:t>(NP)</w:t>
      </w:r>
      <w:r>
        <w:rPr>
          <w:spacing w:val="-14"/>
          <w:sz w:val="22"/>
        </w:rPr>
        <w:t> </w:t>
      </w:r>
      <w:r>
        <w:rPr>
          <w:sz w:val="22"/>
        </w:rPr>
        <w:t>–</w:t>
      </w:r>
      <w:r>
        <w:rPr>
          <w:spacing w:val="-13"/>
          <w:sz w:val="22"/>
        </w:rPr>
        <w:t> </w:t>
      </w:r>
      <w:r>
        <w:rPr>
          <w:sz w:val="22"/>
        </w:rPr>
        <w:t>For</w:t>
      </w:r>
      <w:r>
        <w:rPr>
          <w:spacing w:val="-12"/>
          <w:sz w:val="22"/>
        </w:rPr>
        <w:t> </w:t>
      </w:r>
      <w:r>
        <w:rPr>
          <w:sz w:val="22"/>
        </w:rPr>
        <w:t>each</w:t>
      </w:r>
      <w:r>
        <w:rPr>
          <w:spacing w:val="-13"/>
          <w:sz w:val="22"/>
        </w:rPr>
        <w:t> </w:t>
      </w:r>
      <w:r>
        <w:rPr>
          <w:sz w:val="22"/>
        </w:rPr>
        <w:t>NP</w:t>
      </w:r>
      <w:r>
        <w:rPr>
          <w:spacing w:val="-14"/>
          <w:sz w:val="22"/>
        </w:rPr>
        <w:t> </w:t>
      </w:r>
      <w:r>
        <w:rPr>
          <w:sz w:val="22"/>
        </w:rPr>
        <w:t>residency</w:t>
      </w:r>
      <w:r>
        <w:rPr>
          <w:spacing w:val="-14"/>
          <w:sz w:val="22"/>
        </w:rPr>
        <w:t> </w:t>
      </w:r>
      <w:r>
        <w:rPr>
          <w:sz w:val="22"/>
        </w:rPr>
        <w:t>slot</w:t>
      </w:r>
      <w:r>
        <w:rPr>
          <w:spacing w:val="-12"/>
          <w:sz w:val="22"/>
        </w:rPr>
        <w:t> </w:t>
      </w:r>
      <w:r>
        <w:rPr>
          <w:sz w:val="22"/>
        </w:rPr>
        <w:t>filled,</w:t>
      </w:r>
      <w:r>
        <w:rPr>
          <w:spacing w:val="-13"/>
          <w:sz w:val="22"/>
        </w:rPr>
        <w:t> </w:t>
      </w:r>
      <w:r>
        <w:rPr>
          <w:sz w:val="22"/>
        </w:rPr>
        <w:t>the</w:t>
      </w:r>
      <w:r>
        <w:rPr>
          <w:spacing w:val="-13"/>
          <w:sz w:val="22"/>
        </w:rPr>
        <w:t> </w:t>
      </w:r>
      <w:r>
        <w:rPr>
          <w:sz w:val="22"/>
        </w:rPr>
        <w:t>State</w:t>
      </w:r>
      <w:r>
        <w:rPr>
          <w:spacing w:val="-13"/>
          <w:sz w:val="22"/>
        </w:rPr>
        <w:t> </w:t>
      </w:r>
      <w:r>
        <w:rPr>
          <w:sz w:val="22"/>
        </w:rPr>
        <w:t>will</w:t>
      </w:r>
      <w:r>
        <w:rPr>
          <w:spacing w:val="-12"/>
          <w:sz w:val="22"/>
        </w:rPr>
        <w:t> </w:t>
      </w:r>
      <w:r>
        <w:rPr>
          <w:sz w:val="22"/>
        </w:rPr>
        <w:t>pay</w:t>
      </w:r>
      <w:r>
        <w:rPr>
          <w:spacing w:val="-14"/>
          <w:sz w:val="22"/>
        </w:rPr>
        <w:t> </w:t>
      </w:r>
      <w:r>
        <w:rPr>
          <w:sz w:val="22"/>
        </w:rPr>
        <w:t>the</w:t>
      </w:r>
      <w:r>
        <w:rPr>
          <w:spacing w:val="-13"/>
          <w:sz w:val="22"/>
        </w:rPr>
        <w:t> </w:t>
      </w:r>
      <w:r>
        <w:rPr>
          <w:sz w:val="22"/>
        </w:rPr>
        <w:t>community</w:t>
      </w:r>
      <w:r>
        <w:rPr>
          <w:spacing w:val="-14"/>
          <w:sz w:val="22"/>
        </w:rPr>
        <w:t> </w:t>
      </w:r>
      <w:r>
        <w:rPr>
          <w:sz w:val="22"/>
        </w:rPr>
        <w:t>health center or community mental health center up to $85K for each year of residency.</w:t>
      </w:r>
    </w:p>
    <w:p>
      <w:pPr>
        <w:spacing w:before="199"/>
        <w:ind w:left="1220" w:right="1095" w:firstLine="0"/>
        <w:jc w:val="both"/>
        <w:rPr>
          <w:sz w:val="22"/>
        </w:rPr>
      </w:pPr>
      <w:r>
        <w:rPr>
          <w:sz w:val="22"/>
        </w:rPr>
        <w:t>The State will define application criteria and eligibility, and then select awardees through a competitive process that allows the State to evaluate the applications relative to the criteria established.</w:t>
      </w:r>
    </w:p>
    <w:p>
      <w:pPr>
        <w:pStyle w:val="Heading5"/>
        <w:numPr>
          <w:ilvl w:val="2"/>
          <w:numId w:val="68"/>
        </w:numPr>
        <w:tabs>
          <w:tab w:pos="1940" w:val="left" w:leader="none"/>
        </w:tabs>
        <w:spacing w:line="240" w:lineRule="auto" w:before="203" w:after="0"/>
        <w:ind w:left="1940" w:right="0" w:hanging="720"/>
        <w:jc w:val="both"/>
        <w:rPr>
          <w:color w:val="4471C4"/>
        </w:rPr>
      </w:pPr>
      <w:bookmarkStart w:name="4.6.4 Workforce Development Grant Progra" w:id="1342"/>
      <w:bookmarkEnd w:id="1342"/>
      <w:r>
        <w:rPr>
          <w:b w:val="0"/>
        </w:rPr>
      </w:r>
      <w:bookmarkStart w:name="_bookmark65" w:id="1343"/>
      <w:bookmarkEnd w:id="1343"/>
      <w:r>
        <w:rPr>
          <w:b w:val="0"/>
        </w:rPr>
      </w:r>
      <w:r>
        <w:rPr>
          <w:color w:val="4471C4"/>
        </w:rPr>
        <w:t>Workforce</w:t>
      </w:r>
      <w:r>
        <w:rPr>
          <w:color w:val="4471C4"/>
          <w:spacing w:val="-4"/>
        </w:rPr>
        <w:t> </w:t>
      </w:r>
      <w:r>
        <w:rPr>
          <w:color w:val="4471C4"/>
        </w:rPr>
        <w:t>Development</w:t>
      </w:r>
      <w:r>
        <w:rPr>
          <w:color w:val="4471C4"/>
          <w:spacing w:val="-3"/>
        </w:rPr>
        <w:t> </w:t>
      </w:r>
      <w:r>
        <w:rPr>
          <w:color w:val="4471C4"/>
        </w:rPr>
        <w:t>Grant</w:t>
      </w:r>
      <w:r>
        <w:rPr>
          <w:color w:val="4471C4"/>
          <w:spacing w:val="-1"/>
        </w:rPr>
        <w:t> </w:t>
      </w:r>
      <w:r>
        <w:rPr>
          <w:color w:val="4471C4"/>
          <w:spacing w:val="-2"/>
        </w:rPr>
        <w:t>Program</w:t>
      </w:r>
    </w:p>
    <w:p>
      <w:pPr>
        <w:spacing w:line="240" w:lineRule="auto" w:before="38"/>
        <w:ind w:left="1219" w:right="1095" w:firstLine="0"/>
        <w:jc w:val="both"/>
        <w:rPr>
          <w:sz w:val="22"/>
        </w:rPr>
      </w:pPr>
      <w:r>
        <w:rPr>
          <w:sz w:val="22"/>
        </w:rPr>
        <w:t>The workforce development grant program will support a range of activities to increase and enhance the State’s healthcare workforce capacity (e.g., creation or support for workforce training programs, help providers to attend educational events, help ACOs/CPs/CSAs develop programs (one-on-one and group), outreach to potential workforce). The State will administer the funded activities with internal staffing resources, or designees determined through competitive procurements, interagency service agreements (ISAs) or other means. The State will determine the funding amounts for various activities within this initiative based on project scope, impact, feasibility, cost and need, among other criteria.</w:t>
      </w:r>
    </w:p>
    <w:p>
      <w:pPr>
        <w:pStyle w:val="Heading5"/>
        <w:numPr>
          <w:ilvl w:val="2"/>
          <w:numId w:val="68"/>
        </w:numPr>
        <w:tabs>
          <w:tab w:pos="1940" w:val="left" w:leader="none"/>
        </w:tabs>
        <w:spacing w:line="240" w:lineRule="auto" w:before="202" w:after="0"/>
        <w:ind w:left="1940" w:right="0" w:hanging="720"/>
        <w:jc w:val="both"/>
        <w:rPr>
          <w:color w:val="4471C4"/>
        </w:rPr>
      </w:pPr>
      <w:bookmarkStart w:name="4.6.5 Technical Assistance for ACOs, CPs" w:id="1344"/>
      <w:bookmarkEnd w:id="1344"/>
      <w:r>
        <w:rPr>
          <w:b w:val="0"/>
        </w:rPr>
      </w:r>
      <w:bookmarkStart w:name="_bookmark66" w:id="1345"/>
      <w:bookmarkEnd w:id="1345"/>
      <w:r>
        <w:rPr>
          <w:b w:val="0"/>
        </w:rPr>
      </w:r>
      <w:r>
        <w:rPr>
          <w:color w:val="4471C4"/>
        </w:rPr>
        <w:t>Technical</w:t>
      </w:r>
      <w:r>
        <w:rPr>
          <w:color w:val="4471C4"/>
          <w:spacing w:val="-3"/>
        </w:rPr>
        <w:t> </w:t>
      </w:r>
      <w:r>
        <w:rPr>
          <w:color w:val="4471C4"/>
        </w:rPr>
        <w:t>Assistance</w:t>
      </w:r>
      <w:r>
        <w:rPr>
          <w:color w:val="4471C4"/>
          <w:spacing w:val="-2"/>
        </w:rPr>
        <w:t> </w:t>
      </w:r>
      <w:r>
        <w:rPr>
          <w:color w:val="4471C4"/>
        </w:rPr>
        <w:t>for</w:t>
      </w:r>
      <w:r>
        <w:rPr>
          <w:color w:val="4471C4"/>
          <w:spacing w:val="-3"/>
        </w:rPr>
        <w:t> </w:t>
      </w:r>
      <w:r>
        <w:rPr>
          <w:color w:val="4471C4"/>
        </w:rPr>
        <w:t>ACOs,</w:t>
      </w:r>
      <w:r>
        <w:rPr>
          <w:color w:val="4471C4"/>
          <w:spacing w:val="-2"/>
        </w:rPr>
        <w:t> </w:t>
      </w:r>
      <w:r>
        <w:rPr>
          <w:color w:val="4471C4"/>
        </w:rPr>
        <w:t>CPs</w:t>
      </w:r>
      <w:r>
        <w:rPr>
          <w:color w:val="4471C4"/>
          <w:spacing w:val="-2"/>
        </w:rPr>
        <w:t> </w:t>
      </w:r>
      <w:r>
        <w:rPr>
          <w:color w:val="4471C4"/>
        </w:rPr>
        <w:t>and</w:t>
      </w:r>
      <w:r>
        <w:rPr>
          <w:color w:val="4471C4"/>
          <w:spacing w:val="-2"/>
        </w:rPr>
        <w:t> </w:t>
      </w:r>
      <w:r>
        <w:rPr>
          <w:color w:val="4471C4"/>
          <w:spacing w:val="-4"/>
        </w:rPr>
        <w:t>CSAs</w:t>
      </w:r>
    </w:p>
    <w:p>
      <w:pPr>
        <w:spacing w:before="41"/>
        <w:ind w:left="1219" w:right="1095" w:firstLine="0"/>
        <w:jc w:val="both"/>
        <w:rPr>
          <w:sz w:val="22"/>
        </w:rPr>
      </w:pPr>
      <w:r>
        <w:rPr>
          <w:sz w:val="22"/>
        </w:rPr>
        <w:t>The technical assistance (TA) program aims to provide ACOs, CPs and CSAs with the training and expertise</w:t>
      </w:r>
      <w:r>
        <w:rPr>
          <w:spacing w:val="5"/>
          <w:sz w:val="22"/>
        </w:rPr>
        <w:t> </w:t>
      </w:r>
      <w:r>
        <w:rPr>
          <w:sz w:val="22"/>
        </w:rPr>
        <w:t>necessary</w:t>
      </w:r>
      <w:r>
        <w:rPr>
          <w:spacing w:val="4"/>
          <w:sz w:val="22"/>
        </w:rPr>
        <w:t> </w:t>
      </w:r>
      <w:r>
        <w:rPr>
          <w:sz w:val="22"/>
        </w:rPr>
        <w:t>to</w:t>
      </w:r>
      <w:r>
        <w:rPr>
          <w:spacing w:val="6"/>
          <w:sz w:val="22"/>
        </w:rPr>
        <w:t> </w:t>
      </w:r>
      <w:r>
        <w:rPr>
          <w:sz w:val="22"/>
        </w:rPr>
        <w:t>implement</w:t>
      </w:r>
      <w:r>
        <w:rPr>
          <w:spacing w:val="7"/>
          <w:sz w:val="22"/>
        </w:rPr>
        <w:t> </w:t>
      </w:r>
      <w:r>
        <w:rPr>
          <w:sz w:val="22"/>
        </w:rPr>
        <w:t>evidence-based</w:t>
      </w:r>
      <w:r>
        <w:rPr>
          <w:spacing w:val="6"/>
          <w:sz w:val="22"/>
        </w:rPr>
        <w:t> </w:t>
      </w:r>
      <w:r>
        <w:rPr>
          <w:sz w:val="22"/>
        </w:rPr>
        <w:t>interventions</w:t>
      </w:r>
      <w:r>
        <w:rPr>
          <w:spacing w:val="5"/>
          <w:sz w:val="22"/>
        </w:rPr>
        <w:t> </w:t>
      </w:r>
      <w:r>
        <w:rPr>
          <w:sz w:val="22"/>
        </w:rPr>
        <w:t>that</w:t>
      </w:r>
      <w:r>
        <w:rPr>
          <w:spacing w:val="7"/>
          <w:sz w:val="22"/>
        </w:rPr>
        <w:t> </w:t>
      </w:r>
      <w:r>
        <w:rPr>
          <w:sz w:val="22"/>
        </w:rPr>
        <w:t>meet</w:t>
      </w:r>
      <w:r>
        <w:rPr>
          <w:spacing w:val="7"/>
          <w:sz w:val="22"/>
        </w:rPr>
        <w:t> </w:t>
      </w:r>
      <w:r>
        <w:rPr>
          <w:sz w:val="22"/>
        </w:rPr>
        <w:t>the</w:t>
      </w:r>
      <w:r>
        <w:rPr>
          <w:spacing w:val="4"/>
          <w:sz w:val="22"/>
        </w:rPr>
        <w:t> </w:t>
      </w:r>
      <w:r>
        <w:rPr>
          <w:sz w:val="22"/>
        </w:rPr>
        <w:t>needs</w:t>
      </w:r>
      <w:r>
        <w:rPr>
          <w:spacing w:val="7"/>
          <w:sz w:val="22"/>
        </w:rPr>
        <w:t> </w:t>
      </w:r>
      <w:r>
        <w:rPr>
          <w:sz w:val="22"/>
        </w:rPr>
        <w:t>of</w:t>
      </w:r>
      <w:r>
        <w:rPr>
          <w:spacing w:val="7"/>
          <w:sz w:val="22"/>
        </w:rPr>
        <w:t> </w:t>
      </w:r>
      <w:r>
        <w:rPr>
          <w:sz w:val="22"/>
        </w:rPr>
        <w:t>the</w:t>
      </w:r>
      <w:r>
        <w:rPr>
          <w:spacing w:val="7"/>
          <w:sz w:val="22"/>
        </w:rPr>
        <w:t> </w:t>
      </w:r>
      <w:r>
        <w:rPr>
          <w:sz w:val="22"/>
        </w:rPr>
        <w:t>new</w:t>
      </w:r>
      <w:r>
        <w:rPr>
          <w:spacing w:val="6"/>
          <w:sz w:val="22"/>
        </w:rPr>
        <w:t> </w:t>
      </w:r>
      <w:r>
        <w:rPr>
          <w:spacing w:val="-2"/>
          <w:sz w:val="22"/>
        </w:rPr>
        <w:t>healthcare</w:t>
      </w:r>
    </w:p>
    <w:p>
      <w:pPr>
        <w:spacing w:after="0"/>
        <w:jc w:val="both"/>
        <w:rPr>
          <w:sz w:val="22"/>
        </w:rPr>
        <w:sectPr>
          <w:pgSz w:w="12240" w:h="15840"/>
          <w:pgMar w:header="0" w:footer="967" w:top="1360" w:bottom="1160" w:left="220" w:right="340"/>
        </w:sectPr>
      </w:pPr>
    </w:p>
    <w:p>
      <w:pPr>
        <w:spacing w:line="242" w:lineRule="auto" w:before="78"/>
        <w:ind w:left="1219" w:right="1095" w:firstLine="0"/>
        <w:jc w:val="both"/>
        <w:rPr>
          <w:sz w:val="22"/>
        </w:rPr>
      </w:pPr>
      <w:r>
        <w:rPr>
          <w:sz w:val="22"/>
        </w:rPr>
        <w:t>landscape. For entities that apply and are awarded funding, the State will pay their TA vendor(s) directly. The State will also use this TA funding to invest in resources to ensure the long-term sustainability of the TA provided to eligible recipients.</w:t>
      </w:r>
    </w:p>
    <w:p>
      <w:pPr>
        <w:spacing w:line="242" w:lineRule="auto" w:before="153"/>
        <w:ind w:left="1219" w:right="1091" w:firstLine="0"/>
        <w:jc w:val="both"/>
        <w:rPr>
          <w:sz w:val="22"/>
        </w:rPr>
      </w:pPr>
      <w:r>
        <w:rPr>
          <w:sz w:val="22"/>
        </w:rPr>
        <w:t>Recipients may be required to contribute a certain percentage (e.g., up to 30 percent) of the overall TA costs,</w:t>
      </w:r>
      <w:r>
        <w:rPr>
          <w:spacing w:val="-1"/>
          <w:sz w:val="22"/>
        </w:rPr>
        <w:t> </w:t>
      </w:r>
      <w:r>
        <w:rPr>
          <w:sz w:val="22"/>
        </w:rPr>
        <w:t>which</w:t>
      </w:r>
      <w:r>
        <w:rPr>
          <w:spacing w:val="-1"/>
          <w:sz w:val="22"/>
        </w:rPr>
        <w:t> </w:t>
      </w:r>
      <w:r>
        <w:rPr>
          <w:sz w:val="22"/>
        </w:rPr>
        <w:t>will create</w:t>
      </w:r>
      <w:r>
        <w:rPr>
          <w:spacing w:val="-1"/>
          <w:sz w:val="22"/>
        </w:rPr>
        <w:t> </w:t>
      </w:r>
      <w:r>
        <w:rPr>
          <w:sz w:val="22"/>
        </w:rPr>
        <w:t>an</w:t>
      </w:r>
      <w:r>
        <w:rPr>
          <w:spacing w:val="-4"/>
          <w:sz w:val="22"/>
        </w:rPr>
        <w:t> </w:t>
      </w:r>
      <w:r>
        <w:rPr>
          <w:sz w:val="22"/>
        </w:rPr>
        <w:t>incentive</w:t>
      </w:r>
      <w:r>
        <w:rPr>
          <w:spacing w:val="-1"/>
          <w:sz w:val="22"/>
        </w:rPr>
        <w:t> </w:t>
      </w:r>
      <w:r>
        <w:rPr>
          <w:sz w:val="22"/>
        </w:rPr>
        <w:t>for the</w:t>
      </w:r>
      <w:r>
        <w:rPr>
          <w:spacing w:val="-1"/>
          <w:sz w:val="22"/>
        </w:rPr>
        <w:t> </w:t>
      </w:r>
      <w:r>
        <w:rPr>
          <w:sz w:val="22"/>
        </w:rPr>
        <w:t>recipient to</w:t>
      </w:r>
      <w:r>
        <w:rPr>
          <w:spacing w:val="-4"/>
          <w:sz w:val="22"/>
        </w:rPr>
        <w:t> </w:t>
      </w:r>
      <w:r>
        <w:rPr>
          <w:sz w:val="22"/>
        </w:rPr>
        <w:t>work</w:t>
      </w:r>
      <w:r>
        <w:rPr>
          <w:spacing w:val="-4"/>
          <w:sz w:val="22"/>
        </w:rPr>
        <w:t> </w:t>
      </w:r>
      <w:r>
        <w:rPr>
          <w:sz w:val="22"/>
        </w:rPr>
        <w:t>diligently</w:t>
      </w:r>
      <w:r>
        <w:rPr>
          <w:spacing w:val="-4"/>
          <w:sz w:val="22"/>
        </w:rPr>
        <w:t> </w:t>
      </w:r>
      <w:r>
        <w:rPr>
          <w:sz w:val="22"/>
        </w:rPr>
        <w:t>with</w:t>
      </w:r>
      <w:r>
        <w:rPr>
          <w:spacing w:val="-1"/>
          <w:sz w:val="22"/>
        </w:rPr>
        <w:t> </w:t>
      </w:r>
      <w:r>
        <w:rPr>
          <w:sz w:val="22"/>
        </w:rPr>
        <w:t>the</w:t>
      </w:r>
      <w:r>
        <w:rPr>
          <w:spacing w:val="-1"/>
          <w:sz w:val="22"/>
        </w:rPr>
        <w:t> </w:t>
      </w:r>
      <w:r>
        <w:rPr>
          <w:sz w:val="22"/>
        </w:rPr>
        <w:t>TA</w:t>
      </w:r>
      <w:r>
        <w:rPr>
          <w:spacing w:val="-2"/>
          <w:sz w:val="22"/>
        </w:rPr>
        <w:t> </w:t>
      </w:r>
      <w:r>
        <w:rPr>
          <w:sz w:val="22"/>
        </w:rPr>
        <w:t>vendors</w:t>
      </w:r>
      <w:r>
        <w:rPr>
          <w:spacing w:val="-1"/>
          <w:sz w:val="22"/>
        </w:rPr>
        <w:t> </w:t>
      </w:r>
      <w:r>
        <w:rPr>
          <w:sz w:val="22"/>
        </w:rPr>
        <w:t>and</w:t>
      </w:r>
      <w:r>
        <w:rPr>
          <w:spacing w:val="-1"/>
          <w:sz w:val="22"/>
        </w:rPr>
        <w:t> </w:t>
      </w:r>
      <w:r>
        <w:rPr>
          <w:sz w:val="22"/>
        </w:rPr>
        <w:t>the</w:t>
      </w:r>
      <w:r>
        <w:rPr>
          <w:spacing w:val="-1"/>
          <w:sz w:val="22"/>
        </w:rPr>
        <w:t> </w:t>
      </w:r>
      <w:r>
        <w:rPr>
          <w:sz w:val="22"/>
        </w:rPr>
        <w:t>State to effect change.</w:t>
      </w:r>
    </w:p>
    <w:p>
      <w:pPr>
        <w:spacing w:before="153"/>
        <w:ind w:left="1219" w:right="1093" w:firstLine="0"/>
        <w:jc w:val="both"/>
        <w:rPr>
          <w:sz w:val="22"/>
        </w:rPr>
      </w:pPr>
      <w:r>
        <w:rPr>
          <w:sz w:val="22"/>
        </w:rPr>
        <w:t>TA funding may be allocated to ACOs, CPs and CSAs on a PMPM basis, or based on other factors, such as experience with alternative payment methodologies, or the number of entities receiving TA funding. If the State decides to allocate TA funding based on PMPM amount, the State could set the PMPM amount and may vary</w:t>
      </w:r>
      <w:r>
        <w:rPr>
          <w:spacing w:val="-2"/>
          <w:sz w:val="22"/>
        </w:rPr>
        <w:t> </w:t>
      </w:r>
      <w:r>
        <w:rPr>
          <w:sz w:val="22"/>
        </w:rPr>
        <w:t>the amount in its discretion,</w:t>
      </w:r>
      <w:r>
        <w:rPr>
          <w:spacing w:val="-2"/>
          <w:sz w:val="22"/>
        </w:rPr>
        <w:t> </w:t>
      </w:r>
      <w:r>
        <w:rPr>
          <w:sz w:val="22"/>
        </w:rPr>
        <w:t>for example, based on</w:t>
      </w:r>
      <w:r>
        <w:rPr>
          <w:spacing w:val="-2"/>
          <w:sz w:val="22"/>
        </w:rPr>
        <w:t> </w:t>
      </w:r>
      <w:r>
        <w:rPr>
          <w:sz w:val="22"/>
        </w:rPr>
        <w:t>enrollment or</w:t>
      </w:r>
      <w:r>
        <w:rPr>
          <w:spacing w:val="-1"/>
          <w:sz w:val="22"/>
        </w:rPr>
        <w:t> </w:t>
      </w:r>
      <w:r>
        <w:rPr>
          <w:sz w:val="22"/>
        </w:rPr>
        <w:t>TA</w:t>
      </w:r>
      <w:r>
        <w:rPr>
          <w:spacing w:val="-1"/>
          <w:sz w:val="22"/>
        </w:rPr>
        <w:t> </w:t>
      </w:r>
      <w:r>
        <w:rPr>
          <w:sz w:val="22"/>
        </w:rPr>
        <w:t>applicant volume. The TA funding amount will represent a funding cap; i.e., the State will not award more than this amount to a recipient, but may ultimately pay less than the full TA funding allocation if the recipient’s TA costs are lower than anticipated.</w:t>
      </w:r>
      <w:r>
        <w:rPr>
          <w:spacing w:val="-1"/>
          <w:sz w:val="22"/>
        </w:rPr>
        <w:t> </w:t>
      </w:r>
      <w:r>
        <w:rPr>
          <w:sz w:val="22"/>
        </w:rPr>
        <w:t>The State may redistribute or reallocate unused</w:t>
      </w:r>
      <w:r>
        <w:rPr>
          <w:spacing w:val="-1"/>
          <w:sz w:val="22"/>
        </w:rPr>
        <w:t> </w:t>
      </w:r>
      <w:r>
        <w:rPr>
          <w:sz w:val="22"/>
        </w:rPr>
        <w:t>TA funding in its discretion. If the overall cost of TA exceeds the TA funding allocation and recipient contribution combined, the recipient will be responsible for covering the excess cost. For example, if an ACO is required to pay 30% of the overall TA cost and is allocated $700,000 in TA funding:</w:t>
      </w:r>
    </w:p>
    <w:p>
      <w:pPr>
        <w:pStyle w:val="ListParagraph"/>
        <w:numPr>
          <w:ilvl w:val="0"/>
          <w:numId w:val="75"/>
        </w:numPr>
        <w:tabs>
          <w:tab w:pos="1992" w:val="left" w:leader="none"/>
        </w:tabs>
        <w:spacing w:line="240" w:lineRule="auto" w:before="161" w:after="0"/>
        <w:ind w:left="1992" w:right="0" w:hanging="360"/>
        <w:jc w:val="left"/>
        <w:rPr>
          <w:sz w:val="22"/>
        </w:rPr>
      </w:pPr>
      <w:r>
        <w:rPr>
          <w:sz w:val="22"/>
        </w:rPr>
        <w:t>ACO</w:t>
      </w:r>
      <w:r>
        <w:rPr>
          <w:spacing w:val="-4"/>
          <w:sz w:val="22"/>
        </w:rPr>
        <w:t> </w:t>
      </w:r>
      <w:r>
        <w:rPr>
          <w:sz w:val="22"/>
        </w:rPr>
        <w:t>could</w:t>
      </w:r>
      <w:r>
        <w:rPr>
          <w:spacing w:val="-2"/>
          <w:sz w:val="22"/>
        </w:rPr>
        <w:t> </w:t>
      </w:r>
      <w:r>
        <w:rPr>
          <w:sz w:val="22"/>
        </w:rPr>
        <w:t>propose</w:t>
      </w:r>
      <w:r>
        <w:rPr>
          <w:spacing w:val="-5"/>
          <w:sz w:val="22"/>
        </w:rPr>
        <w:t> </w:t>
      </w:r>
      <w:r>
        <w:rPr>
          <w:sz w:val="22"/>
        </w:rPr>
        <w:t>TA</w:t>
      </w:r>
      <w:r>
        <w:rPr>
          <w:spacing w:val="-3"/>
          <w:sz w:val="22"/>
        </w:rPr>
        <w:t> </w:t>
      </w:r>
      <w:r>
        <w:rPr>
          <w:sz w:val="22"/>
        </w:rPr>
        <w:t>plan</w:t>
      </w:r>
      <w:r>
        <w:rPr>
          <w:spacing w:val="-2"/>
          <w:sz w:val="22"/>
        </w:rPr>
        <w:t> </w:t>
      </w:r>
      <w:r>
        <w:rPr>
          <w:sz w:val="22"/>
        </w:rPr>
        <w:t>costing</w:t>
      </w:r>
      <w:r>
        <w:rPr>
          <w:spacing w:val="-5"/>
          <w:sz w:val="22"/>
        </w:rPr>
        <w:t> </w:t>
      </w:r>
      <w:r>
        <w:rPr>
          <w:spacing w:val="-2"/>
          <w:sz w:val="22"/>
        </w:rPr>
        <w:t>$1,000,000</w:t>
      </w:r>
    </w:p>
    <w:p>
      <w:pPr>
        <w:pStyle w:val="ListParagraph"/>
        <w:numPr>
          <w:ilvl w:val="1"/>
          <w:numId w:val="75"/>
        </w:numPr>
        <w:tabs>
          <w:tab w:pos="2711" w:val="left" w:leader="none"/>
        </w:tabs>
        <w:spacing w:line="240" w:lineRule="auto" w:before="200" w:after="0"/>
        <w:ind w:left="2711" w:right="0" w:hanging="359"/>
        <w:jc w:val="left"/>
        <w:rPr>
          <w:sz w:val="22"/>
        </w:rPr>
      </w:pPr>
      <w:r>
        <w:rPr>
          <w:sz w:val="22"/>
        </w:rPr>
        <w:t>ACO</w:t>
      </w:r>
      <w:r>
        <w:rPr>
          <w:spacing w:val="-4"/>
          <w:sz w:val="22"/>
        </w:rPr>
        <w:t> </w:t>
      </w:r>
      <w:r>
        <w:rPr>
          <w:sz w:val="22"/>
        </w:rPr>
        <w:t>pays</w:t>
      </w:r>
      <w:r>
        <w:rPr>
          <w:spacing w:val="-3"/>
          <w:sz w:val="22"/>
        </w:rPr>
        <w:t> </w:t>
      </w:r>
      <w:r>
        <w:rPr>
          <w:sz w:val="22"/>
        </w:rPr>
        <w:t>$300,000</w:t>
      </w:r>
      <w:r>
        <w:rPr>
          <w:spacing w:val="-2"/>
          <w:sz w:val="22"/>
        </w:rPr>
        <w:t> </w:t>
      </w:r>
      <w:r>
        <w:rPr>
          <w:sz w:val="22"/>
        </w:rPr>
        <w:t>and</w:t>
      </w:r>
      <w:r>
        <w:rPr>
          <w:spacing w:val="-3"/>
          <w:sz w:val="22"/>
        </w:rPr>
        <w:t> </w:t>
      </w:r>
      <w:r>
        <w:rPr>
          <w:sz w:val="22"/>
        </w:rPr>
        <w:t>the</w:t>
      </w:r>
      <w:r>
        <w:rPr>
          <w:spacing w:val="-2"/>
          <w:sz w:val="22"/>
        </w:rPr>
        <w:t> </w:t>
      </w:r>
      <w:r>
        <w:rPr>
          <w:sz w:val="22"/>
        </w:rPr>
        <w:t>State</w:t>
      </w:r>
      <w:r>
        <w:rPr>
          <w:spacing w:val="-3"/>
          <w:sz w:val="22"/>
        </w:rPr>
        <w:t> </w:t>
      </w:r>
      <w:r>
        <w:rPr>
          <w:sz w:val="22"/>
        </w:rPr>
        <w:t>pays</w:t>
      </w:r>
      <w:r>
        <w:rPr>
          <w:spacing w:val="-2"/>
          <w:sz w:val="22"/>
        </w:rPr>
        <w:t> $700,000</w:t>
      </w:r>
    </w:p>
    <w:p>
      <w:pPr>
        <w:pStyle w:val="ListParagraph"/>
        <w:numPr>
          <w:ilvl w:val="0"/>
          <w:numId w:val="75"/>
        </w:numPr>
        <w:tabs>
          <w:tab w:pos="1992" w:val="left" w:leader="none"/>
        </w:tabs>
        <w:spacing w:line="240" w:lineRule="auto" w:before="181" w:after="0"/>
        <w:ind w:left="1992" w:right="0" w:hanging="360"/>
        <w:jc w:val="left"/>
        <w:rPr>
          <w:sz w:val="22"/>
        </w:rPr>
      </w:pPr>
      <w:r>
        <w:rPr>
          <w:sz w:val="22"/>
        </w:rPr>
        <w:t>ACO</w:t>
      </w:r>
      <w:r>
        <w:rPr>
          <w:spacing w:val="-4"/>
          <w:sz w:val="22"/>
        </w:rPr>
        <w:t> </w:t>
      </w:r>
      <w:r>
        <w:rPr>
          <w:sz w:val="22"/>
        </w:rPr>
        <w:t>could</w:t>
      </w:r>
      <w:r>
        <w:rPr>
          <w:spacing w:val="-2"/>
          <w:sz w:val="22"/>
        </w:rPr>
        <w:t> </w:t>
      </w:r>
      <w:r>
        <w:rPr>
          <w:sz w:val="22"/>
        </w:rPr>
        <w:t>propose</w:t>
      </w:r>
      <w:r>
        <w:rPr>
          <w:spacing w:val="-5"/>
          <w:sz w:val="22"/>
        </w:rPr>
        <w:t> </w:t>
      </w:r>
      <w:r>
        <w:rPr>
          <w:sz w:val="22"/>
        </w:rPr>
        <w:t>TA</w:t>
      </w:r>
      <w:r>
        <w:rPr>
          <w:spacing w:val="-3"/>
          <w:sz w:val="22"/>
        </w:rPr>
        <w:t> </w:t>
      </w:r>
      <w:r>
        <w:rPr>
          <w:sz w:val="22"/>
        </w:rPr>
        <w:t>plan</w:t>
      </w:r>
      <w:r>
        <w:rPr>
          <w:spacing w:val="-2"/>
          <w:sz w:val="22"/>
        </w:rPr>
        <w:t> </w:t>
      </w:r>
      <w:r>
        <w:rPr>
          <w:sz w:val="22"/>
        </w:rPr>
        <w:t>costing</w:t>
      </w:r>
      <w:r>
        <w:rPr>
          <w:spacing w:val="-5"/>
          <w:sz w:val="22"/>
        </w:rPr>
        <w:t> </w:t>
      </w:r>
      <w:r>
        <w:rPr>
          <w:spacing w:val="-2"/>
          <w:sz w:val="22"/>
        </w:rPr>
        <w:t>$1,100,000</w:t>
      </w:r>
    </w:p>
    <w:p>
      <w:pPr>
        <w:pStyle w:val="ListParagraph"/>
        <w:numPr>
          <w:ilvl w:val="1"/>
          <w:numId w:val="75"/>
        </w:numPr>
        <w:tabs>
          <w:tab w:pos="2712" w:val="left" w:leader="none"/>
        </w:tabs>
        <w:spacing w:line="240" w:lineRule="auto" w:before="199" w:after="0"/>
        <w:ind w:left="2712" w:right="0" w:hanging="359"/>
        <w:jc w:val="left"/>
        <w:rPr>
          <w:sz w:val="22"/>
        </w:rPr>
      </w:pPr>
      <w:r>
        <w:rPr>
          <w:sz w:val="22"/>
        </w:rPr>
        <w:t>ACO</w:t>
      </w:r>
      <w:r>
        <w:rPr>
          <w:spacing w:val="-4"/>
          <w:sz w:val="22"/>
        </w:rPr>
        <w:t> </w:t>
      </w:r>
      <w:r>
        <w:rPr>
          <w:sz w:val="22"/>
        </w:rPr>
        <w:t>pays</w:t>
      </w:r>
      <w:r>
        <w:rPr>
          <w:spacing w:val="-3"/>
          <w:sz w:val="22"/>
        </w:rPr>
        <w:t> </w:t>
      </w:r>
      <w:r>
        <w:rPr>
          <w:sz w:val="22"/>
        </w:rPr>
        <w:t>$400,000</w:t>
      </w:r>
      <w:r>
        <w:rPr>
          <w:spacing w:val="-2"/>
          <w:sz w:val="22"/>
        </w:rPr>
        <w:t> </w:t>
      </w:r>
      <w:r>
        <w:rPr>
          <w:sz w:val="22"/>
        </w:rPr>
        <w:t>and</w:t>
      </w:r>
      <w:r>
        <w:rPr>
          <w:spacing w:val="-3"/>
          <w:sz w:val="22"/>
        </w:rPr>
        <w:t> </w:t>
      </w:r>
      <w:r>
        <w:rPr>
          <w:sz w:val="22"/>
        </w:rPr>
        <w:t>the</w:t>
      </w:r>
      <w:r>
        <w:rPr>
          <w:spacing w:val="-2"/>
          <w:sz w:val="22"/>
        </w:rPr>
        <w:t> </w:t>
      </w:r>
      <w:r>
        <w:rPr>
          <w:sz w:val="22"/>
        </w:rPr>
        <w:t>State</w:t>
      </w:r>
      <w:r>
        <w:rPr>
          <w:spacing w:val="-3"/>
          <w:sz w:val="22"/>
        </w:rPr>
        <w:t> </w:t>
      </w:r>
      <w:r>
        <w:rPr>
          <w:sz w:val="22"/>
        </w:rPr>
        <w:t>pays</w:t>
      </w:r>
      <w:r>
        <w:rPr>
          <w:spacing w:val="-2"/>
          <w:sz w:val="22"/>
        </w:rPr>
        <w:t> $700,000</w:t>
      </w:r>
    </w:p>
    <w:p>
      <w:pPr>
        <w:pStyle w:val="ListParagraph"/>
        <w:numPr>
          <w:ilvl w:val="0"/>
          <w:numId w:val="75"/>
        </w:numPr>
        <w:tabs>
          <w:tab w:pos="1993" w:val="left" w:leader="none"/>
        </w:tabs>
        <w:spacing w:line="240" w:lineRule="auto" w:before="181" w:after="0"/>
        <w:ind w:left="1993" w:right="0" w:hanging="360"/>
        <w:jc w:val="left"/>
        <w:rPr>
          <w:sz w:val="22"/>
        </w:rPr>
      </w:pPr>
      <w:r>
        <w:rPr>
          <w:sz w:val="22"/>
        </w:rPr>
        <w:t>ACO</w:t>
      </w:r>
      <w:r>
        <w:rPr>
          <w:spacing w:val="-4"/>
          <w:sz w:val="22"/>
        </w:rPr>
        <w:t> </w:t>
      </w:r>
      <w:r>
        <w:rPr>
          <w:sz w:val="22"/>
        </w:rPr>
        <w:t>could</w:t>
      </w:r>
      <w:r>
        <w:rPr>
          <w:spacing w:val="-2"/>
          <w:sz w:val="22"/>
        </w:rPr>
        <w:t> </w:t>
      </w:r>
      <w:r>
        <w:rPr>
          <w:sz w:val="22"/>
        </w:rPr>
        <w:t>propose</w:t>
      </w:r>
      <w:r>
        <w:rPr>
          <w:spacing w:val="-5"/>
          <w:sz w:val="22"/>
        </w:rPr>
        <w:t> </w:t>
      </w:r>
      <w:r>
        <w:rPr>
          <w:sz w:val="22"/>
        </w:rPr>
        <w:t>TA</w:t>
      </w:r>
      <w:r>
        <w:rPr>
          <w:spacing w:val="-3"/>
          <w:sz w:val="22"/>
        </w:rPr>
        <w:t> </w:t>
      </w:r>
      <w:r>
        <w:rPr>
          <w:sz w:val="22"/>
        </w:rPr>
        <w:t>plan</w:t>
      </w:r>
      <w:r>
        <w:rPr>
          <w:spacing w:val="-2"/>
          <w:sz w:val="22"/>
        </w:rPr>
        <w:t> </w:t>
      </w:r>
      <w:r>
        <w:rPr>
          <w:sz w:val="22"/>
        </w:rPr>
        <w:t>costing</w:t>
      </w:r>
      <w:r>
        <w:rPr>
          <w:spacing w:val="-5"/>
          <w:sz w:val="22"/>
        </w:rPr>
        <w:t> </w:t>
      </w:r>
      <w:r>
        <w:rPr>
          <w:spacing w:val="-2"/>
          <w:sz w:val="22"/>
        </w:rPr>
        <w:t>$900,000</w:t>
      </w:r>
    </w:p>
    <w:p>
      <w:pPr>
        <w:pStyle w:val="ListParagraph"/>
        <w:numPr>
          <w:ilvl w:val="1"/>
          <w:numId w:val="75"/>
        </w:numPr>
        <w:tabs>
          <w:tab w:pos="2712" w:val="left" w:leader="none"/>
        </w:tabs>
        <w:spacing w:line="240" w:lineRule="auto" w:before="200" w:after="0"/>
        <w:ind w:left="2712" w:right="0" w:hanging="359"/>
        <w:jc w:val="left"/>
        <w:rPr>
          <w:sz w:val="22"/>
        </w:rPr>
      </w:pPr>
      <w:r>
        <w:rPr>
          <w:sz w:val="22"/>
        </w:rPr>
        <w:t>ACO</w:t>
      </w:r>
      <w:r>
        <w:rPr>
          <w:spacing w:val="-4"/>
          <w:sz w:val="22"/>
        </w:rPr>
        <w:t> </w:t>
      </w:r>
      <w:r>
        <w:rPr>
          <w:sz w:val="22"/>
        </w:rPr>
        <w:t>pays</w:t>
      </w:r>
      <w:r>
        <w:rPr>
          <w:spacing w:val="-3"/>
          <w:sz w:val="22"/>
        </w:rPr>
        <w:t> </w:t>
      </w:r>
      <w:r>
        <w:rPr>
          <w:sz w:val="22"/>
        </w:rPr>
        <w:t>$270,000</w:t>
      </w:r>
      <w:r>
        <w:rPr>
          <w:spacing w:val="-2"/>
          <w:sz w:val="22"/>
        </w:rPr>
        <w:t> </w:t>
      </w:r>
      <w:r>
        <w:rPr>
          <w:sz w:val="22"/>
        </w:rPr>
        <w:t>and</w:t>
      </w:r>
      <w:r>
        <w:rPr>
          <w:spacing w:val="-3"/>
          <w:sz w:val="22"/>
        </w:rPr>
        <w:t> </w:t>
      </w:r>
      <w:r>
        <w:rPr>
          <w:sz w:val="22"/>
        </w:rPr>
        <w:t>the</w:t>
      </w:r>
      <w:r>
        <w:rPr>
          <w:spacing w:val="-2"/>
          <w:sz w:val="22"/>
        </w:rPr>
        <w:t> </w:t>
      </w:r>
      <w:r>
        <w:rPr>
          <w:sz w:val="22"/>
        </w:rPr>
        <w:t>State</w:t>
      </w:r>
      <w:r>
        <w:rPr>
          <w:spacing w:val="-3"/>
          <w:sz w:val="22"/>
        </w:rPr>
        <w:t> </w:t>
      </w:r>
      <w:r>
        <w:rPr>
          <w:sz w:val="22"/>
        </w:rPr>
        <w:t>pays</w:t>
      </w:r>
      <w:r>
        <w:rPr>
          <w:spacing w:val="-2"/>
          <w:sz w:val="22"/>
        </w:rPr>
        <w:t> $630,000</w:t>
      </w:r>
    </w:p>
    <w:p>
      <w:pPr>
        <w:pStyle w:val="ListParagraph"/>
        <w:numPr>
          <w:ilvl w:val="1"/>
          <w:numId w:val="75"/>
        </w:numPr>
        <w:tabs>
          <w:tab w:pos="2712" w:val="left" w:leader="none"/>
        </w:tabs>
        <w:spacing w:line="240" w:lineRule="auto" w:before="182" w:after="0"/>
        <w:ind w:left="2712" w:right="0" w:hanging="359"/>
        <w:jc w:val="left"/>
        <w:rPr>
          <w:sz w:val="22"/>
        </w:rPr>
      </w:pPr>
      <w:r>
        <w:rPr>
          <w:sz w:val="22"/>
        </w:rPr>
        <w:t>State</w:t>
      </w:r>
      <w:r>
        <w:rPr>
          <w:spacing w:val="-5"/>
          <w:sz w:val="22"/>
        </w:rPr>
        <w:t> </w:t>
      </w:r>
      <w:r>
        <w:rPr>
          <w:sz w:val="22"/>
        </w:rPr>
        <w:t>may</w:t>
      </w:r>
      <w:r>
        <w:rPr>
          <w:spacing w:val="-5"/>
          <w:sz w:val="22"/>
        </w:rPr>
        <w:t> </w:t>
      </w:r>
      <w:r>
        <w:rPr>
          <w:sz w:val="22"/>
        </w:rPr>
        <w:t>redistribute</w:t>
      </w:r>
      <w:r>
        <w:rPr>
          <w:spacing w:val="-2"/>
          <w:sz w:val="22"/>
        </w:rPr>
        <w:t> </w:t>
      </w:r>
      <w:r>
        <w:rPr>
          <w:sz w:val="22"/>
        </w:rPr>
        <w:t>or</w:t>
      </w:r>
      <w:r>
        <w:rPr>
          <w:spacing w:val="-5"/>
          <w:sz w:val="22"/>
        </w:rPr>
        <w:t> </w:t>
      </w:r>
      <w:r>
        <w:rPr>
          <w:sz w:val="22"/>
        </w:rPr>
        <w:t>reallocate</w:t>
      </w:r>
      <w:r>
        <w:rPr>
          <w:spacing w:val="-4"/>
          <w:sz w:val="22"/>
        </w:rPr>
        <w:t> </w:t>
      </w:r>
      <w:r>
        <w:rPr>
          <w:sz w:val="22"/>
        </w:rPr>
        <w:t>remaining</w:t>
      </w:r>
      <w:r>
        <w:rPr>
          <w:spacing w:val="-5"/>
          <w:sz w:val="22"/>
        </w:rPr>
        <w:t> </w:t>
      </w:r>
      <w:r>
        <w:rPr>
          <w:sz w:val="22"/>
        </w:rPr>
        <w:t>$70,000</w:t>
      </w:r>
      <w:r>
        <w:rPr>
          <w:spacing w:val="-5"/>
          <w:sz w:val="22"/>
        </w:rPr>
        <w:t> </w:t>
      </w:r>
      <w:r>
        <w:rPr>
          <w:sz w:val="22"/>
        </w:rPr>
        <w:t>funding</w:t>
      </w:r>
      <w:r>
        <w:rPr>
          <w:spacing w:val="-6"/>
          <w:sz w:val="22"/>
        </w:rPr>
        <w:t> </w:t>
      </w:r>
      <w:r>
        <w:rPr>
          <w:sz w:val="22"/>
        </w:rPr>
        <w:t>at</w:t>
      </w:r>
      <w:r>
        <w:rPr>
          <w:spacing w:val="-1"/>
          <w:sz w:val="22"/>
        </w:rPr>
        <w:t> </w:t>
      </w:r>
      <w:r>
        <w:rPr>
          <w:sz w:val="22"/>
        </w:rPr>
        <w:t>its</w:t>
      </w:r>
      <w:r>
        <w:rPr>
          <w:spacing w:val="-2"/>
          <w:sz w:val="22"/>
        </w:rPr>
        <w:t> discretion</w:t>
      </w:r>
    </w:p>
    <w:p>
      <w:pPr>
        <w:spacing w:line="242" w:lineRule="auto" w:before="178"/>
        <w:ind w:left="1220" w:right="1091" w:firstLine="0"/>
        <w:jc w:val="both"/>
        <w:rPr>
          <w:sz w:val="22"/>
        </w:rPr>
      </w:pPr>
      <w:r>
        <w:rPr>
          <w:sz w:val="22"/>
        </w:rPr>
        <w:t>In order to</w:t>
      </w:r>
      <w:r>
        <w:rPr>
          <w:spacing w:val="-1"/>
          <w:sz w:val="22"/>
        </w:rPr>
        <w:t> </w:t>
      </w:r>
      <w:r>
        <w:rPr>
          <w:sz w:val="22"/>
        </w:rPr>
        <w:t>receive</w:t>
      </w:r>
      <w:r>
        <w:rPr>
          <w:spacing w:val="-1"/>
          <w:sz w:val="22"/>
        </w:rPr>
        <w:t> </w:t>
      </w:r>
      <w:r>
        <w:rPr>
          <w:sz w:val="22"/>
        </w:rPr>
        <w:t>TA</w:t>
      </w:r>
      <w:r>
        <w:rPr>
          <w:spacing w:val="-2"/>
          <w:sz w:val="22"/>
        </w:rPr>
        <w:t> </w:t>
      </w:r>
      <w:r>
        <w:rPr>
          <w:sz w:val="22"/>
        </w:rPr>
        <w:t>funds,</w:t>
      </w:r>
      <w:r>
        <w:rPr>
          <w:spacing w:val="-1"/>
          <w:sz w:val="22"/>
        </w:rPr>
        <w:t> </w:t>
      </w:r>
      <w:r>
        <w:rPr>
          <w:sz w:val="22"/>
        </w:rPr>
        <w:t>applicants</w:t>
      </w:r>
      <w:r>
        <w:rPr>
          <w:spacing w:val="-1"/>
          <w:sz w:val="22"/>
        </w:rPr>
        <w:t> </w:t>
      </w:r>
      <w:r>
        <w:rPr>
          <w:sz w:val="22"/>
        </w:rPr>
        <w:t>must submit a</w:t>
      </w:r>
      <w:r>
        <w:rPr>
          <w:spacing w:val="-1"/>
          <w:sz w:val="22"/>
        </w:rPr>
        <w:t> </w:t>
      </w:r>
      <w:r>
        <w:rPr>
          <w:sz w:val="22"/>
        </w:rPr>
        <w:t>detailed</w:t>
      </w:r>
      <w:r>
        <w:rPr>
          <w:spacing w:val="-4"/>
          <w:sz w:val="22"/>
        </w:rPr>
        <w:t> </w:t>
      </w:r>
      <w:r>
        <w:rPr>
          <w:sz w:val="22"/>
        </w:rPr>
        <w:t>TA</w:t>
      </w:r>
      <w:r>
        <w:rPr>
          <w:spacing w:val="-2"/>
          <w:sz w:val="22"/>
        </w:rPr>
        <w:t> </w:t>
      </w:r>
      <w:r>
        <w:rPr>
          <w:sz w:val="22"/>
        </w:rPr>
        <w:t>plan</w:t>
      </w:r>
      <w:r>
        <w:rPr>
          <w:spacing w:val="-1"/>
          <w:sz w:val="22"/>
        </w:rPr>
        <w:t> </w:t>
      </w:r>
      <w:r>
        <w:rPr>
          <w:sz w:val="22"/>
        </w:rPr>
        <w:t>that explains</w:t>
      </w:r>
      <w:r>
        <w:rPr>
          <w:spacing w:val="-1"/>
          <w:sz w:val="22"/>
        </w:rPr>
        <w:t> </w:t>
      </w:r>
      <w:r>
        <w:rPr>
          <w:sz w:val="22"/>
        </w:rPr>
        <w:t>how</w:t>
      </w:r>
      <w:r>
        <w:rPr>
          <w:spacing w:val="-2"/>
          <w:sz w:val="22"/>
        </w:rPr>
        <w:t> </w:t>
      </w:r>
      <w:r>
        <w:rPr>
          <w:sz w:val="22"/>
        </w:rPr>
        <w:t>funding</w:t>
      </w:r>
      <w:r>
        <w:rPr>
          <w:spacing w:val="-4"/>
          <w:sz w:val="22"/>
        </w:rPr>
        <w:t> </w:t>
      </w:r>
      <w:r>
        <w:rPr>
          <w:sz w:val="22"/>
        </w:rPr>
        <w:t>will be used and demonstrates that funding is not duplicative of TA efforts supported by other funding sources (e.g., federal, state, private). The State will evaluate the proposed plans for scope, impact, feasibility, cost and need, among other factors prior to approval.</w:t>
      </w:r>
    </w:p>
    <w:p>
      <w:pPr>
        <w:pStyle w:val="Heading5"/>
        <w:numPr>
          <w:ilvl w:val="2"/>
          <w:numId w:val="68"/>
        </w:numPr>
        <w:tabs>
          <w:tab w:pos="1940" w:val="left" w:leader="none"/>
        </w:tabs>
        <w:spacing w:line="240" w:lineRule="auto" w:before="193" w:after="0"/>
        <w:ind w:left="1940" w:right="0" w:hanging="720"/>
        <w:jc w:val="both"/>
        <w:rPr>
          <w:color w:val="4471C4"/>
        </w:rPr>
      </w:pPr>
      <w:bookmarkStart w:name="4.6.6 Alternative Payment Methods (APM) " w:id="1346"/>
      <w:bookmarkEnd w:id="1346"/>
      <w:r>
        <w:rPr>
          <w:b w:val="0"/>
        </w:rPr>
      </w:r>
      <w:bookmarkStart w:name="_bookmark67" w:id="1347"/>
      <w:bookmarkEnd w:id="1347"/>
      <w:r>
        <w:rPr>
          <w:b w:val="0"/>
        </w:rPr>
      </w:r>
      <w:r>
        <w:rPr>
          <w:color w:val="4471C4"/>
        </w:rPr>
        <w:t>Alternative</w:t>
      </w:r>
      <w:r>
        <w:rPr>
          <w:color w:val="4471C4"/>
          <w:spacing w:val="-3"/>
        </w:rPr>
        <w:t> </w:t>
      </w:r>
      <w:r>
        <w:rPr>
          <w:color w:val="4471C4"/>
        </w:rPr>
        <w:t>Payment</w:t>
      </w:r>
      <w:r>
        <w:rPr>
          <w:color w:val="4471C4"/>
          <w:spacing w:val="-4"/>
        </w:rPr>
        <w:t> </w:t>
      </w:r>
      <w:r>
        <w:rPr>
          <w:color w:val="4471C4"/>
        </w:rPr>
        <w:t>Methods</w:t>
      </w:r>
      <w:r>
        <w:rPr>
          <w:color w:val="4471C4"/>
          <w:spacing w:val="-3"/>
        </w:rPr>
        <w:t> </w:t>
      </w:r>
      <w:r>
        <w:rPr>
          <w:color w:val="4471C4"/>
        </w:rPr>
        <w:t>(APM)</w:t>
      </w:r>
      <w:r>
        <w:rPr>
          <w:color w:val="4471C4"/>
          <w:spacing w:val="-2"/>
        </w:rPr>
        <w:t> </w:t>
      </w:r>
      <w:r>
        <w:rPr>
          <w:color w:val="4471C4"/>
        </w:rPr>
        <w:t>Preparation</w:t>
      </w:r>
      <w:r>
        <w:rPr>
          <w:color w:val="4471C4"/>
          <w:spacing w:val="-3"/>
        </w:rPr>
        <w:t> </w:t>
      </w:r>
      <w:r>
        <w:rPr>
          <w:color w:val="4471C4"/>
          <w:spacing w:val="-4"/>
        </w:rPr>
        <w:t>Fund</w:t>
      </w:r>
    </w:p>
    <w:p>
      <w:pPr>
        <w:tabs>
          <w:tab w:pos="9140" w:val="left" w:leader="none"/>
          <w:tab w:pos="10104" w:val="left" w:leader="none"/>
        </w:tabs>
        <w:spacing w:before="40"/>
        <w:ind w:left="1220" w:right="1095" w:firstLine="0"/>
        <w:jc w:val="both"/>
        <w:rPr>
          <w:sz w:val="22"/>
        </w:rPr>
      </w:pPr>
      <w:r>
        <w:rPr>
          <w:sz w:val="22"/>
        </w:rPr>
        <w:t>The APM preparation fund will support providers who are not yet ready to participate in an APM but demonstrate</w:t>
      </w:r>
      <w:r>
        <w:rPr>
          <w:spacing w:val="-3"/>
          <w:sz w:val="22"/>
        </w:rPr>
        <w:t> </w:t>
      </w:r>
      <w:r>
        <w:rPr>
          <w:sz w:val="22"/>
        </w:rPr>
        <w:t>interest</w:t>
      </w:r>
      <w:r>
        <w:rPr>
          <w:spacing w:val="-3"/>
          <w:sz w:val="22"/>
        </w:rPr>
        <w:t> </w:t>
      </w:r>
      <w:r>
        <w:rPr>
          <w:sz w:val="22"/>
        </w:rPr>
        <w:t>in</w:t>
      </w:r>
      <w:r>
        <w:rPr>
          <w:spacing w:val="-4"/>
          <w:sz w:val="22"/>
        </w:rPr>
        <w:t> </w:t>
      </w:r>
      <w:r>
        <w:rPr>
          <w:sz w:val="22"/>
        </w:rPr>
        <w:t>and</w:t>
      </w:r>
      <w:r>
        <w:rPr>
          <w:spacing w:val="-4"/>
          <w:sz w:val="22"/>
        </w:rPr>
        <w:t> </w:t>
      </w:r>
      <w:r>
        <w:rPr>
          <w:sz w:val="22"/>
        </w:rPr>
        <w:t>intent</w:t>
      </w:r>
      <w:r>
        <w:rPr>
          <w:spacing w:val="-3"/>
          <w:sz w:val="22"/>
        </w:rPr>
        <w:t> </w:t>
      </w:r>
      <w:r>
        <w:rPr>
          <w:sz w:val="22"/>
        </w:rPr>
        <w:t>to</w:t>
      </w:r>
      <w:r>
        <w:rPr>
          <w:spacing w:val="-1"/>
          <w:sz w:val="22"/>
        </w:rPr>
        <w:t> </w:t>
      </w:r>
      <w:r>
        <w:rPr>
          <w:sz w:val="22"/>
        </w:rPr>
        <w:t>participate</w:t>
      </w:r>
      <w:r>
        <w:rPr>
          <w:spacing w:val="-3"/>
          <w:sz w:val="22"/>
        </w:rPr>
        <w:t> </w:t>
      </w:r>
      <w:r>
        <w:rPr>
          <w:sz w:val="22"/>
        </w:rPr>
        <w:t>in</w:t>
      </w:r>
      <w:r>
        <w:rPr>
          <w:spacing w:val="-4"/>
          <w:sz w:val="22"/>
        </w:rPr>
        <w:t> </w:t>
      </w:r>
      <w:r>
        <w:rPr>
          <w:sz w:val="22"/>
        </w:rPr>
        <w:t>the</w:t>
      </w:r>
      <w:r>
        <w:rPr>
          <w:spacing w:val="-1"/>
          <w:sz w:val="22"/>
        </w:rPr>
        <w:t> </w:t>
      </w:r>
      <w:r>
        <w:rPr>
          <w:sz w:val="22"/>
        </w:rPr>
        <w:t>near</w:t>
      </w:r>
      <w:r>
        <w:rPr>
          <w:spacing w:val="-3"/>
          <w:sz w:val="22"/>
        </w:rPr>
        <w:t> </w:t>
      </w:r>
      <w:r>
        <w:rPr>
          <w:sz w:val="22"/>
        </w:rPr>
        <w:t>future.</w:t>
      </w:r>
      <w:r>
        <w:rPr>
          <w:spacing w:val="-6"/>
          <w:sz w:val="22"/>
        </w:rPr>
        <w:t> </w:t>
      </w:r>
      <w:r>
        <w:rPr>
          <w:sz w:val="22"/>
        </w:rPr>
        <w:t>The</w:t>
      </w:r>
      <w:r>
        <w:rPr>
          <w:spacing w:val="-1"/>
          <w:sz w:val="22"/>
        </w:rPr>
        <w:t> </w:t>
      </w:r>
      <w:r>
        <w:rPr>
          <w:sz w:val="22"/>
        </w:rPr>
        <w:t>State</w:t>
      </w:r>
      <w:r>
        <w:rPr>
          <w:spacing w:val="-1"/>
          <w:sz w:val="22"/>
        </w:rPr>
        <w:t> </w:t>
      </w:r>
      <w:r>
        <w:rPr>
          <w:sz w:val="22"/>
        </w:rPr>
        <w:t>will define</w:t>
      </w:r>
      <w:r>
        <w:rPr>
          <w:spacing w:val="-3"/>
          <w:sz w:val="22"/>
        </w:rPr>
        <w:t> </w:t>
      </w:r>
      <w:r>
        <w:rPr>
          <w:sz w:val="22"/>
        </w:rPr>
        <w:t>application</w:t>
      </w:r>
      <w:r>
        <w:rPr>
          <w:spacing w:val="-4"/>
          <w:sz w:val="22"/>
        </w:rPr>
        <w:t> </w:t>
      </w:r>
      <w:r>
        <w:rPr>
          <w:sz w:val="22"/>
        </w:rPr>
        <w:t>criteria and</w:t>
      </w:r>
      <w:r>
        <w:rPr>
          <w:spacing w:val="-2"/>
          <w:sz w:val="22"/>
        </w:rPr>
        <w:t> </w:t>
      </w:r>
      <w:r>
        <w:rPr>
          <w:sz w:val="22"/>
        </w:rPr>
        <w:t>eligibility,</w:t>
      </w:r>
      <w:r>
        <w:rPr>
          <w:spacing w:val="-2"/>
          <w:sz w:val="22"/>
        </w:rPr>
        <w:t> </w:t>
      </w:r>
      <w:r>
        <w:rPr>
          <w:sz w:val="22"/>
        </w:rPr>
        <w:t>and</w:t>
      </w:r>
      <w:r>
        <w:rPr>
          <w:spacing w:val="-2"/>
          <w:sz w:val="22"/>
        </w:rPr>
        <w:t> </w:t>
      </w:r>
      <w:r>
        <w:rPr>
          <w:sz w:val="22"/>
        </w:rPr>
        <w:t>will</w:t>
      </w:r>
      <w:r>
        <w:rPr>
          <w:spacing w:val="-1"/>
          <w:sz w:val="22"/>
        </w:rPr>
        <w:t> </w:t>
      </w:r>
      <w:r>
        <w:rPr>
          <w:sz w:val="22"/>
        </w:rPr>
        <w:t>select</w:t>
      </w:r>
      <w:r>
        <w:rPr>
          <w:spacing w:val="-1"/>
          <w:sz w:val="22"/>
        </w:rPr>
        <w:t> </w:t>
      </w:r>
      <w:r>
        <w:rPr>
          <w:sz w:val="22"/>
        </w:rPr>
        <w:t>awardees</w:t>
      </w:r>
      <w:r>
        <w:rPr>
          <w:spacing w:val="-4"/>
          <w:sz w:val="22"/>
        </w:rPr>
        <w:t> </w:t>
      </w:r>
      <w:r>
        <w:rPr>
          <w:sz w:val="22"/>
        </w:rPr>
        <w:t>through</w:t>
      </w:r>
      <w:r>
        <w:rPr>
          <w:spacing w:val="-2"/>
          <w:sz w:val="22"/>
        </w:rPr>
        <w:t> </w:t>
      </w:r>
      <w:r>
        <w:rPr>
          <w:sz w:val="22"/>
        </w:rPr>
        <w:t>a</w:t>
      </w:r>
      <w:r>
        <w:rPr>
          <w:spacing w:val="-2"/>
          <w:sz w:val="22"/>
        </w:rPr>
        <w:t> </w:t>
      </w:r>
      <w:r>
        <w:rPr>
          <w:sz w:val="22"/>
        </w:rPr>
        <w:t>competitive</w:t>
      </w:r>
      <w:r>
        <w:rPr>
          <w:spacing w:val="-2"/>
          <w:sz w:val="22"/>
        </w:rPr>
        <w:t> </w:t>
      </w:r>
      <w:r>
        <w:rPr>
          <w:sz w:val="22"/>
        </w:rPr>
        <w:t>process</w:t>
      </w:r>
      <w:r>
        <w:rPr>
          <w:spacing w:val="-2"/>
          <w:sz w:val="22"/>
        </w:rPr>
        <w:t> </w:t>
      </w:r>
      <w:r>
        <w:rPr>
          <w:sz w:val="22"/>
        </w:rPr>
        <w:t>that</w:t>
      </w:r>
      <w:r>
        <w:rPr>
          <w:spacing w:val="-1"/>
          <w:sz w:val="22"/>
        </w:rPr>
        <w:t> </w:t>
      </w:r>
      <w:r>
        <w:rPr>
          <w:sz w:val="22"/>
        </w:rPr>
        <w:t>will</w:t>
      </w:r>
      <w:r>
        <w:rPr>
          <w:spacing w:val="-1"/>
          <w:sz w:val="22"/>
        </w:rPr>
        <w:t> </w:t>
      </w:r>
      <w:r>
        <w:rPr>
          <w:sz w:val="22"/>
        </w:rPr>
        <w:t>allow</w:t>
      </w:r>
      <w:r>
        <w:rPr>
          <w:spacing w:val="-3"/>
          <w:sz w:val="22"/>
        </w:rPr>
        <w:t> </w:t>
      </w:r>
      <w:r>
        <w:rPr>
          <w:sz w:val="22"/>
        </w:rPr>
        <w:t>the</w:t>
      </w:r>
      <w:r>
        <w:rPr>
          <w:spacing w:val="-2"/>
          <w:sz w:val="22"/>
        </w:rPr>
        <w:t> </w:t>
      </w:r>
      <w:r>
        <w:rPr>
          <w:sz w:val="22"/>
        </w:rPr>
        <w:t>State</w:t>
      </w:r>
      <w:r>
        <w:rPr>
          <w:spacing w:val="-2"/>
          <w:sz w:val="22"/>
        </w:rPr>
        <w:t> </w:t>
      </w:r>
      <w:r>
        <w:rPr>
          <w:sz w:val="22"/>
        </w:rPr>
        <w:t>to</w:t>
      </w:r>
      <w:r>
        <w:rPr>
          <w:spacing w:val="-2"/>
          <w:sz w:val="22"/>
        </w:rPr>
        <w:t> </w:t>
      </w:r>
      <w:r>
        <w:rPr>
          <w:sz w:val="22"/>
        </w:rPr>
        <w:t>evaluate the proposed projects for scope, impact, feasibility, cost and need, among other factors. The State will determine the funding amounts based on its evaluation of successful applications.</w:t>
        <w:tab/>
      </w:r>
      <w:r>
        <w:rPr>
          <w:spacing w:val="-4"/>
          <w:sz w:val="22"/>
        </w:rPr>
        <w:t>The</w:t>
      </w:r>
      <w:r>
        <w:rPr>
          <w:sz w:val="22"/>
        </w:rPr>
        <w:tab/>
      </w:r>
      <w:r>
        <w:rPr>
          <w:spacing w:val="-4"/>
          <w:sz w:val="22"/>
        </w:rPr>
        <w:t>APM </w:t>
      </w:r>
      <w:r>
        <w:rPr>
          <w:sz w:val="22"/>
        </w:rPr>
        <w:t>preparation fund may also be used to raise awareness about APM among providers not yet engaged in a MassHealth ACO, CP, or CSA.</w:t>
      </w:r>
    </w:p>
    <w:p>
      <w:pPr>
        <w:pStyle w:val="Heading5"/>
        <w:numPr>
          <w:ilvl w:val="2"/>
          <w:numId w:val="68"/>
        </w:numPr>
        <w:tabs>
          <w:tab w:pos="1940" w:val="left" w:leader="none"/>
        </w:tabs>
        <w:spacing w:line="240" w:lineRule="auto" w:before="200" w:after="0"/>
        <w:ind w:left="1940" w:right="0" w:hanging="720"/>
        <w:jc w:val="both"/>
        <w:rPr>
          <w:color w:val="4471C4"/>
        </w:rPr>
      </w:pPr>
      <w:bookmarkStart w:name="4.6.7 Enhanced Diversionary Behavioral H" w:id="1348"/>
      <w:bookmarkEnd w:id="1348"/>
      <w:r>
        <w:rPr>
          <w:b w:val="0"/>
        </w:rPr>
      </w:r>
      <w:bookmarkStart w:name="_bookmark68" w:id="1349"/>
      <w:bookmarkEnd w:id="1349"/>
      <w:r>
        <w:rPr>
          <w:b w:val="0"/>
        </w:rPr>
      </w:r>
      <w:r>
        <w:rPr>
          <w:color w:val="4471C4"/>
        </w:rPr>
        <w:t>Enhanced</w:t>
      </w:r>
      <w:r>
        <w:rPr>
          <w:color w:val="4471C4"/>
          <w:spacing w:val="-5"/>
        </w:rPr>
        <w:t> </w:t>
      </w:r>
      <w:r>
        <w:rPr>
          <w:color w:val="4471C4"/>
        </w:rPr>
        <w:t>Diversionary</w:t>
      </w:r>
      <w:r>
        <w:rPr>
          <w:color w:val="4471C4"/>
          <w:spacing w:val="-6"/>
        </w:rPr>
        <w:t> </w:t>
      </w:r>
      <w:r>
        <w:rPr>
          <w:color w:val="4471C4"/>
        </w:rPr>
        <w:t>Behavioral</w:t>
      </w:r>
      <w:r>
        <w:rPr>
          <w:color w:val="4471C4"/>
          <w:spacing w:val="-3"/>
        </w:rPr>
        <w:t> </w:t>
      </w:r>
      <w:r>
        <w:rPr>
          <w:color w:val="4471C4"/>
        </w:rPr>
        <w:t>Health</w:t>
      </w:r>
      <w:r>
        <w:rPr>
          <w:color w:val="4471C4"/>
          <w:spacing w:val="-2"/>
        </w:rPr>
        <w:t> Activities</w:t>
      </w:r>
    </w:p>
    <w:p>
      <w:pPr>
        <w:spacing w:line="240" w:lineRule="auto" w:before="40"/>
        <w:ind w:left="1220" w:right="1095" w:firstLine="0"/>
        <w:jc w:val="both"/>
        <w:rPr>
          <w:sz w:val="22"/>
        </w:rPr>
      </w:pPr>
      <w:r>
        <w:rPr>
          <w:sz w:val="22"/>
        </w:rPr>
        <w:t>The investment in enhanced diversionary behavioral health activities will support the implementation of strategies to ensure members with behavioral health needs receive care in the most appropriate, least restrictive</w:t>
      </w:r>
      <w:r>
        <w:rPr>
          <w:spacing w:val="-14"/>
          <w:sz w:val="22"/>
        </w:rPr>
        <w:t> </w:t>
      </w:r>
      <w:r>
        <w:rPr>
          <w:sz w:val="22"/>
        </w:rPr>
        <w:t>settings.</w:t>
      </w:r>
      <w:r>
        <w:rPr>
          <w:spacing w:val="-14"/>
          <w:sz w:val="22"/>
        </w:rPr>
        <w:t> </w:t>
      </w:r>
      <w:r>
        <w:rPr>
          <w:sz w:val="22"/>
        </w:rPr>
        <w:t>The</w:t>
      </w:r>
      <w:r>
        <w:rPr>
          <w:spacing w:val="-14"/>
          <w:sz w:val="22"/>
        </w:rPr>
        <w:t> </w:t>
      </w:r>
      <w:r>
        <w:rPr>
          <w:sz w:val="22"/>
        </w:rPr>
        <w:t>State</w:t>
      </w:r>
      <w:r>
        <w:rPr>
          <w:spacing w:val="-13"/>
          <w:sz w:val="22"/>
        </w:rPr>
        <w:t> </w:t>
      </w:r>
      <w:r>
        <w:rPr>
          <w:sz w:val="22"/>
        </w:rPr>
        <w:t>will</w:t>
      </w:r>
      <w:r>
        <w:rPr>
          <w:spacing w:val="-14"/>
          <w:sz w:val="22"/>
        </w:rPr>
        <w:t> </w:t>
      </w:r>
      <w:r>
        <w:rPr>
          <w:sz w:val="22"/>
        </w:rPr>
        <w:t>consider</w:t>
      </w:r>
      <w:r>
        <w:rPr>
          <w:spacing w:val="-14"/>
          <w:sz w:val="22"/>
        </w:rPr>
        <w:t> </w:t>
      </w:r>
      <w:r>
        <w:rPr>
          <w:sz w:val="22"/>
        </w:rPr>
        <w:t>a</w:t>
      </w:r>
      <w:r>
        <w:rPr>
          <w:spacing w:val="-14"/>
          <w:sz w:val="22"/>
        </w:rPr>
        <w:t> </w:t>
      </w:r>
      <w:r>
        <w:rPr>
          <w:sz w:val="22"/>
        </w:rPr>
        <w:t>broad</w:t>
      </w:r>
      <w:r>
        <w:rPr>
          <w:spacing w:val="-13"/>
          <w:sz w:val="22"/>
        </w:rPr>
        <w:t> </w:t>
      </w:r>
      <w:r>
        <w:rPr>
          <w:sz w:val="22"/>
        </w:rPr>
        <w:t>spectrum</w:t>
      </w:r>
      <w:r>
        <w:rPr>
          <w:spacing w:val="-14"/>
          <w:sz w:val="22"/>
        </w:rPr>
        <w:t> </w:t>
      </w:r>
      <w:r>
        <w:rPr>
          <w:sz w:val="22"/>
        </w:rPr>
        <w:t>of</w:t>
      </w:r>
      <w:r>
        <w:rPr>
          <w:spacing w:val="-14"/>
          <w:sz w:val="22"/>
        </w:rPr>
        <w:t> </w:t>
      </w:r>
      <w:r>
        <w:rPr>
          <w:sz w:val="22"/>
        </w:rPr>
        <w:t>strategies</w:t>
      </w:r>
      <w:r>
        <w:rPr>
          <w:spacing w:val="-14"/>
          <w:sz w:val="22"/>
        </w:rPr>
        <w:t> </w:t>
      </w:r>
      <w:r>
        <w:rPr>
          <w:sz w:val="22"/>
        </w:rPr>
        <w:t>for</w:t>
      </w:r>
      <w:r>
        <w:rPr>
          <w:spacing w:val="-13"/>
          <w:sz w:val="22"/>
        </w:rPr>
        <w:t> </w:t>
      </w:r>
      <w:r>
        <w:rPr>
          <w:sz w:val="22"/>
        </w:rPr>
        <w:t>investment</w:t>
      </w:r>
      <w:r>
        <w:rPr>
          <w:spacing w:val="-14"/>
          <w:sz w:val="22"/>
        </w:rPr>
        <w:t> </w:t>
      </w:r>
      <w:r>
        <w:rPr>
          <w:sz w:val="22"/>
        </w:rPr>
        <w:t>(e.g.,</w:t>
      </w:r>
      <w:r>
        <w:rPr>
          <w:spacing w:val="-14"/>
          <w:sz w:val="22"/>
        </w:rPr>
        <w:t> </w:t>
      </w:r>
      <w:r>
        <w:rPr>
          <w:sz w:val="22"/>
        </w:rPr>
        <w:t>technological solutions</w:t>
      </w:r>
      <w:r>
        <w:rPr>
          <w:spacing w:val="-9"/>
          <w:sz w:val="22"/>
        </w:rPr>
        <w:t> </w:t>
      </w:r>
      <w:r>
        <w:rPr>
          <w:sz w:val="22"/>
        </w:rPr>
        <w:t>to</w:t>
      </w:r>
      <w:r>
        <w:rPr>
          <w:spacing w:val="-7"/>
          <w:sz w:val="22"/>
        </w:rPr>
        <w:t> </w:t>
      </w:r>
      <w:r>
        <w:rPr>
          <w:sz w:val="22"/>
        </w:rPr>
        <w:t>facilitate</w:t>
      </w:r>
      <w:r>
        <w:rPr>
          <w:spacing w:val="-7"/>
          <w:sz w:val="22"/>
        </w:rPr>
        <w:t> </w:t>
      </w:r>
      <w:r>
        <w:rPr>
          <w:sz w:val="22"/>
        </w:rPr>
        <w:t>providers’</w:t>
      </w:r>
      <w:r>
        <w:rPr>
          <w:spacing w:val="-6"/>
          <w:sz w:val="22"/>
        </w:rPr>
        <w:t> </w:t>
      </w:r>
      <w:r>
        <w:rPr>
          <w:sz w:val="22"/>
        </w:rPr>
        <w:t>access</w:t>
      </w:r>
      <w:r>
        <w:rPr>
          <w:spacing w:val="-7"/>
          <w:sz w:val="22"/>
        </w:rPr>
        <w:t> </w:t>
      </w:r>
      <w:r>
        <w:rPr>
          <w:sz w:val="22"/>
        </w:rPr>
        <w:t>to</w:t>
      </w:r>
      <w:r>
        <w:rPr>
          <w:spacing w:val="-7"/>
          <w:sz w:val="22"/>
        </w:rPr>
        <w:t> </w:t>
      </w:r>
      <w:r>
        <w:rPr>
          <w:sz w:val="22"/>
        </w:rPr>
        <w:t>patients’</w:t>
      </w:r>
      <w:r>
        <w:rPr>
          <w:spacing w:val="-6"/>
          <w:sz w:val="22"/>
        </w:rPr>
        <w:t> </w:t>
      </w:r>
      <w:r>
        <w:rPr>
          <w:sz w:val="22"/>
        </w:rPr>
        <w:t>medical</w:t>
      </w:r>
      <w:r>
        <w:rPr>
          <w:spacing w:val="-6"/>
          <w:sz w:val="22"/>
        </w:rPr>
        <w:t> </w:t>
      </w:r>
      <w:r>
        <w:rPr>
          <w:sz w:val="22"/>
        </w:rPr>
        <w:t>histories</w:t>
      </w:r>
      <w:r>
        <w:rPr>
          <w:spacing w:val="-9"/>
          <w:sz w:val="22"/>
        </w:rPr>
        <w:t> </w:t>
      </w:r>
      <w:r>
        <w:rPr>
          <w:sz w:val="22"/>
        </w:rPr>
        <w:t>upon</w:t>
      </w:r>
      <w:r>
        <w:rPr>
          <w:spacing w:val="-7"/>
          <w:sz w:val="22"/>
        </w:rPr>
        <w:t> </w:t>
      </w:r>
      <w:r>
        <w:rPr>
          <w:sz w:val="22"/>
        </w:rPr>
        <w:t>arrival</w:t>
      </w:r>
      <w:r>
        <w:rPr>
          <w:spacing w:val="-8"/>
          <w:sz w:val="22"/>
        </w:rPr>
        <w:t> </w:t>
      </w:r>
      <w:r>
        <w:rPr>
          <w:sz w:val="22"/>
        </w:rPr>
        <w:t>to</w:t>
      </w:r>
      <w:r>
        <w:rPr>
          <w:spacing w:val="-7"/>
          <w:sz w:val="22"/>
        </w:rPr>
        <w:t> </w:t>
      </w:r>
      <w:r>
        <w:rPr>
          <w:sz w:val="22"/>
        </w:rPr>
        <w:t>the</w:t>
      </w:r>
      <w:r>
        <w:rPr>
          <w:spacing w:val="-7"/>
          <w:sz w:val="22"/>
        </w:rPr>
        <w:t> </w:t>
      </w:r>
      <w:r>
        <w:rPr>
          <w:sz w:val="22"/>
        </w:rPr>
        <w:t>ED,</w:t>
      </w:r>
      <w:r>
        <w:rPr>
          <w:spacing w:val="-9"/>
          <w:sz w:val="22"/>
        </w:rPr>
        <w:t> </w:t>
      </w:r>
      <w:r>
        <w:rPr>
          <w:sz w:val="22"/>
        </w:rPr>
        <w:t>data</w:t>
      </w:r>
      <w:r>
        <w:rPr>
          <w:spacing w:val="-7"/>
          <w:sz w:val="22"/>
        </w:rPr>
        <w:t> </w:t>
      </w:r>
      <w:r>
        <w:rPr>
          <w:sz w:val="22"/>
        </w:rPr>
        <w:t>collection and analysis platforms, etc.).</w:t>
      </w:r>
    </w:p>
    <w:p>
      <w:pPr>
        <w:spacing w:after="0" w:line="240" w:lineRule="auto"/>
        <w:jc w:val="both"/>
        <w:rPr>
          <w:sz w:val="22"/>
        </w:rPr>
        <w:sectPr>
          <w:pgSz w:w="12240" w:h="15840"/>
          <w:pgMar w:header="0" w:footer="967" w:top="1360" w:bottom="1160" w:left="220" w:right="340"/>
        </w:sectPr>
      </w:pPr>
    </w:p>
    <w:p>
      <w:pPr>
        <w:spacing w:before="78"/>
        <w:ind w:left="1219" w:right="1094" w:firstLine="0"/>
        <w:jc w:val="both"/>
        <w:rPr>
          <w:sz w:val="22"/>
        </w:rPr>
      </w:pPr>
      <w:r>
        <w:rPr>
          <w:sz w:val="22"/>
        </w:rPr>
        <w:t>The State will administer the funded activities with internal staffing resources, or designees determined through competitive procurements, interagency service agreements (ISAs) or other means. The State will determine the funding amounts for various activities within this initiative based on project scope, impact, feasibility, cost and need, among other criteria.</w:t>
      </w:r>
    </w:p>
    <w:p>
      <w:pPr>
        <w:pStyle w:val="ListParagraph"/>
        <w:numPr>
          <w:ilvl w:val="2"/>
          <w:numId w:val="68"/>
        </w:numPr>
        <w:tabs>
          <w:tab w:pos="1580" w:val="left" w:leader="none"/>
          <w:tab w:pos="1940" w:val="left" w:leader="none"/>
        </w:tabs>
        <w:spacing w:line="276" w:lineRule="auto" w:before="201" w:after="0"/>
        <w:ind w:left="1580" w:right="1096" w:hanging="360"/>
        <w:jc w:val="both"/>
        <w:rPr>
          <w:b/>
          <w:color w:val="4471C4"/>
          <w:sz w:val="24"/>
        </w:rPr>
      </w:pPr>
      <w:bookmarkStart w:name="4.6.8 Improved Accessibility for People " w:id="1350"/>
      <w:bookmarkEnd w:id="1350"/>
      <w:r>
        <w:rPr/>
      </w:r>
      <w:bookmarkStart w:name="_bookmark69" w:id="1351"/>
      <w:bookmarkEnd w:id="1351"/>
      <w:r>
        <w:rPr/>
      </w:r>
      <w:r>
        <w:rPr>
          <w:b/>
          <w:color w:val="4471C4"/>
          <w:sz w:val="24"/>
        </w:rPr>
        <w:t>Improved Accessibility for People with Disabilities or for whom English is not a Primary Language</w:t>
      </w:r>
    </w:p>
    <w:p>
      <w:pPr>
        <w:spacing w:before="0"/>
        <w:ind w:left="1219" w:right="1095" w:firstLine="0"/>
        <w:jc w:val="both"/>
        <w:rPr>
          <w:sz w:val="22"/>
        </w:rPr>
      </w:pPr>
      <w:r>
        <w:rPr>
          <w:sz w:val="22"/>
        </w:rPr>
        <w:t>This investment will fund programs to support providers in the acquisition of equipment, resources and expertise that meet the needs of people with disabilities or for whom English is not a primary language. The State will consider a broad spectrum of strategies for investments (e.g., funding for purchasing items necessary</w:t>
      </w:r>
      <w:r>
        <w:rPr>
          <w:spacing w:val="-3"/>
          <w:sz w:val="22"/>
        </w:rPr>
        <w:t> </w:t>
      </w:r>
      <w:r>
        <w:rPr>
          <w:sz w:val="22"/>
        </w:rPr>
        <w:t>to</w:t>
      </w:r>
      <w:r>
        <w:rPr>
          <w:spacing w:val="-1"/>
          <w:sz w:val="22"/>
        </w:rPr>
        <w:t> </w:t>
      </w:r>
      <w:r>
        <w:rPr>
          <w:sz w:val="22"/>
        </w:rPr>
        <w:t>increase accessibility</w:t>
      </w:r>
      <w:r>
        <w:rPr>
          <w:spacing w:val="-3"/>
          <w:sz w:val="22"/>
        </w:rPr>
        <w:t> </w:t>
      </w:r>
      <w:r>
        <w:rPr>
          <w:sz w:val="22"/>
        </w:rPr>
        <w:t>for members,</w:t>
      </w:r>
      <w:r>
        <w:rPr>
          <w:spacing w:val="-1"/>
          <w:sz w:val="22"/>
        </w:rPr>
        <w:t> </w:t>
      </w:r>
      <w:r>
        <w:rPr>
          <w:sz w:val="22"/>
        </w:rPr>
        <w:t>accessible communication</w:t>
      </w:r>
      <w:r>
        <w:rPr>
          <w:spacing w:val="-1"/>
          <w:sz w:val="22"/>
        </w:rPr>
        <w:t> </w:t>
      </w:r>
      <w:r>
        <w:rPr>
          <w:sz w:val="22"/>
        </w:rPr>
        <w:t>assistance</w:t>
      </w:r>
      <w:r>
        <w:rPr>
          <w:spacing w:val="-3"/>
          <w:sz w:val="22"/>
        </w:rPr>
        <w:t> </w:t>
      </w:r>
      <w:r>
        <w:rPr>
          <w:sz w:val="22"/>
        </w:rPr>
        <w:t>and</w:t>
      </w:r>
      <w:r>
        <w:rPr>
          <w:spacing w:val="-1"/>
          <w:sz w:val="22"/>
        </w:rPr>
        <w:t> </w:t>
      </w:r>
      <w:r>
        <w:rPr>
          <w:sz w:val="22"/>
        </w:rPr>
        <w:t>development of educational materials for providers and members).</w:t>
      </w:r>
    </w:p>
    <w:p>
      <w:pPr>
        <w:spacing w:before="159"/>
        <w:ind w:left="1219" w:right="1095" w:firstLine="0"/>
        <w:jc w:val="both"/>
        <w:rPr>
          <w:sz w:val="22"/>
        </w:rPr>
      </w:pPr>
      <w:r>
        <w:rPr>
          <w:sz w:val="22"/>
        </w:rPr>
        <w:t>The State will administer the funded activities with internal staffing resources, or designees determined through competitive procurements, interagency service agreements (ISAs) or other means. The State will determine the funding amounts for various activities within this initiative based on project scope, impact, feasibility, cost and need, among other criteria.</w:t>
      </w:r>
    </w:p>
    <w:p>
      <w:pPr>
        <w:pStyle w:val="Heading2"/>
        <w:numPr>
          <w:ilvl w:val="1"/>
          <w:numId w:val="68"/>
        </w:numPr>
        <w:tabs>
          <w:tab w:pos="1618" w:val="left" w:leader="none"/>
        </w:tabs>
        <w:spacing w:line="240" w:lineRule="auto" w:before="201" w:after="0"/>
        <w:ind w:left="1618" w:right="0" w:hanging="398"/>
        <w:jc w:val="left"/>
      </w:pPr>
      <w:bookmarkStart w:name="4.7 DSRIP Carry Forward" w:id="1352"/>
      <w:bookmarkEnd w:id="1352"/>
      <w:r>
        <w:rPr>
          <w:b w:val="0"/>
        </w:rPr>
      </w:r>
      <w:bookmarkStart w:name="_bookmark70" w:id="1353"/>
      <w:bookmarkEnd w:id="1353"/>
      <w:r>
        <w:rPr>
          <w:b w:val="0"/>
        </w:rPr>
      </w:r>
      <w:r>
        <w:rPr>
          <w:color w:val="4471C4"/>
        </w:rPr>
        <w:t>DSRIP</w:t>
      </w:r>
      <w:r>
        <w:rPr>
          <w:color w:val="4471C4"/>
          <w:spacing w:val="-8"/>
        </w:rPr>
        <w:t> </w:t>
      </w:r>
      <w:r>
        <w:rPr>
          <w:color w:val="4471C4"/>
        </w:rPr>
        <w:t>Carry</w:t>
      </w:r>
      <w:r>
        <w:rPr>
          <w:color w:val="4471C4"/>
          <w:spacing w:val="-4"/>
        </w:rPr>
        <w:t> </w:t>
      </w:r>
      <w:r>
        <w:rPr>
          <w:color w:val="4471C4"/>
          <w:spacing w:val="-2"/>
        </w:rPr>
        <w:t>Forward</w:t>
      </w:r>
    </w:p>
    <w:p>
      <w:pPr>
        <w:spacing w:line="259" w:lineRule="auto" w:before="2"/>
        <w:ind w:left="1220" w:right="1096" w:firstLine="0"/>
        <w:jc w:val="both"/>
        <w:rPr>
          <w:sz w:val="22"/>
        </w:rPr>
      </w:pPr>
      <w:r>
        <w:rPr>
          <w:sz w:val="22"/>
        </w:rPr>
        <w:t>Given</w:t>
      </w:r>
      <w:r>
        <w:rPr>
          <w:spacing w:val="-7"/>
          <w:sz w:val="22"/>
        </w:rPr>
        <w:t> </w:t>
      </w:r>
      <w:r>
        <w:rPr>
          <w:sz w:val="22"/>
        </w:rPr>
        <w:t>that</w:t>
      </w:r>
      <w:r>
        <w:rPr>
          <w:spacing w:val="-6"/>
          <w:sz w:val="22"/>
        </w:rPr>
        <w:t> </w:t>
      </w:r>
      <w:r>
        <w:rPr>
          <w:sz w:val="22"/>
        </w:rPr>
        <w:t>a</w:t>
      </w:r>
      <w:r>
        <w:rPr>
          <w:spacing w:val="-9"/>
          <w:sz w:val="22"/>
        </w:rPr>
        <w:t> </w:t>
      </w:r>
      <w:r>
        <w:rPr>
          <w:sz w:val="22"/>
        </w:rPr>
        <w:t>significant</w:t>
      </w:r>
      <w:r>
        <w:rPr>
          <w:spacing w:val="-9"/>
          <w:sz w:val="22"/>
        </w:rPr>
        <w:t> </w:t>
      </w:r>
      <w:r>
        <w:rPr>
          <w:sz w:val="22"/>
        </w:rPr>
        <w:t>portion</w:t>
      </w:r>
      <w:r>
        <w:rPr>
          <w:spacing w:val="-7"/>
          <w:sz w:val="22"/>
        </w:rPr>
        <w:t> </w:t>
      </w:r>
      <w:r>
        <w:rPr>
          <w:sz w:val="22"/>
        </w:rPr>
        <w:t>of</w:t>
      </w:r>
      <w:r>
        <w:rPr>
          <w:spacing w:val="-6"/>
          <w:sz w:val="22"/>
        </w:rPr>
        <w:t> </w:t>
      </w:r>
      <w:r>
        <w:rPr>
          <w:sz w:val="22"/>
        </w:rPr>
        <w:t>DSRIP</w:t>
      </w:r>
      <w:r>
        <w:rPr>
          <w:spacing w:val="-8"/>
          <w:sz w:val="22"/>
        </w:rPr>
        <w:t> </w:t>
      </w:r>
      <w:r>
        <w:rPr>
          <w:sz w:val="22"/>
        </w:rPr>
        <w:t>funds</w:t>
      </w:r>
      <w:r>
        <w:rPr>
          <w:spacing w:val="-7"/>
          <w:sz w:val="22"/>
        </w:rPr>
        <w:t> </w:t>
      </w:r>
      <w:r>
        <w:rPr>
          <w:sz w:val="22"/>
        </w:rPr>
        <w:t>will</w:t>
      </w:r>
      <w:r>
        <w:rPr>
          <w:spacing w:val="-6"/>
          <w:sz w:val="22"/>
        </w:rPr>
        <w:t> </w:t>
      </w:r>
      <w:r>
        <w:rPr>
          <w:sz w:val="22"/>
        </w:rPr>
        <w:t>be</w:t>
      </w:r>
      <w:r>
        <w:rPr>
          <w:spacing w:val="-9"/>
          <w:sz w:val="22"/>
        </w:rPr>
        <w:t> </w:t>
      </w:r>
      <w:r>
        <w:rPr>
          <w:sz w:val="22"/>
        </w:rPr>
        <w:t>disbursed</w:t>
      </w:r>
      <w:r>
        <w:rPr>
          <w:spacing w:val="-7"/>
          <w:sz w:val="22"/>
        </w:rPr>
        <w:t> </w:t>
      </w:r>
      <w:r>
        <w:rPr>
          <w:sz w:val="22"/>
        </w:rPr>
        <w:t>on</w:t>
      </w:r>
      <w:r>
        <w:rPr>
          <w:spacing w:val="-9"/>
          <w:sz w:val="22"/>
        </w:rPr>
        <w:t> </w:t>
      </w:r>
      <w:r>
        <w:rPr>
          <w:sz w:val="22"/>
        </w:rPr>
        <w:t>a</w:t>
      </w:r>
      <w:r>
        <w:rPr>
          <w:spacing w:val="-7"/>
          <w:sz w:val="22"/>
        </w:rPr>
        <w:t> </w:t>
      </w:r>
      <w:r>
        <w:rPr>
          <w:sz w:val="22"/>
        </w:rPr>
        <w:t>PMPM</w:t>
      </w:r>
      <w:r>
        <w:rPr>
          <w:spacing w:val="-7"/>
          <w:sz w:val="22"/>
        </w:rPr>
        <w:t> </w:t>
      </w:r>
      <w:r>
        <w:rPr>
          <w:sz w:val="22"/>
        </w:rPr>
        <w:t>basis,</w:t>
      </w:r>
      <w:r>
        <w:rPr>
          <w:spacing w:val="-7"/>
          <w:sz w:val="22"/>
        </w:rPr>
        <w:t> </w:t>
      </w:r>
      <w:r>
        <w:rPr>
          <w:sz w:val="22"/>
        </w:rPr>
        <w:t>lower</w:t>
      </w:r>
      <w:r>
        <w:rPr>
          <w:spacing w:val="-6"/>
          <w:sz w:val="22"/>
        </w:rPr>
        <w:t> </w:t>
      </w:r>
      <w:r>
        <w:rPr>
          <w:sz w:val="22"/>
        </w:rPr>
        <w:t>than</w:t>
      </w:r>
      <w:r>
        <w:rPr>
          <w:spacing w:val="-7"/>
          <w:sz w:val="22"/>
        </w:rPr>
        <w:t> </w:t>
      </w:r>
      <w:r>
        <w:rPr>
          <w:sz w:val="22"/>
        </w:rPr>
        <w:t>anticipated member</w:t>
      </w:r>
      <w:r>
        <w:rPr>
          <w:spacing w:val="-4"/>
          <w:sz w:val="22"/>
        </w:rPr>
        <w:t> </w:t>
      </w:r>
      <w:r>
        <w:rPr>
          <w:sz w:val="22"/>
        </w:rPr>
        <w:t>participation</w:t>
      </w:r>
      <w:r>
        <w:rPr>
          <w:spacing w:val="-7"/>
          <w:sz w:val="22"/>
        </w:rPr>
        <w:t> </w:t>
      </w:r>
      <w:r>
        <w:rPr>
          <w:sz w:val="22"/>
        </w:rPr>
        <w:t>in</w:t>
      </w:r>
      <w:r>
        <w:rPr>
          <w:spacing w:val="-7"/>
          <w:sz w:val="22"/>
        </w:rPr>
        <w:t> </w:t>
      </w:r>
      <w:r>
        <w:rPr>
          <w:sz w:val="22"/>
        </w:rPr>
        <w:t>the</w:t>
      </w:r>
      <w:r>
        <w:rPr>
          <w:spacing w:val="-7"/>
          <w:sz w:val="22"/>
        </w:rPr>
        <w:t> </w:t>
      </w:r>
      <w:r>
        <w:rPr>
          <w:sz w:val="22"/>
        </w:rPr>
        <w:t>ACO</w:t>
      </w:r>
      <w:r>
        <w:rPr>
          <w:spacing w:val="-6"/>
          <w:sz w:val="22"/>
        </w:rPr>
        <w:t> </w:t>
      </w:r>
      <w:r>
        <w:rPr>
          <w:sz w:val="22"/>
        </w:rPr>
        <w:t>or</w:t>
      </w:r>
      <w:r>
        <w:rPr>
          <w:spacing w:val="-4"/>
          <w:sz w:val="22"/>
        </w:rPr>
        <w:t> </w:t>
      </w:r>
      <w:r>
        <w:rPr>
          <w:sz w:val="22"/>
        </w:rPr>
        <w:t>CP</w:t>
      </w:r>
      <w:r>
        <w:rPr>
          <w:spacing w:val="-5"/>
          <w:sz w:val="22"/>
        </w:rPr>
        <w:t> </w:t>
      </w:r>
      <w:r>
        <w:rPr>
          <w:sz w:val="22"/>
        </w:rPr>
        <w:t>programs</w:t>
      </w:r>
      <w:r>
        <w:rPr>
          <w:spacing w:val="-4"/>
          <w:sz w:val="22"/>
        </w:rPr>
        <w:t> </w:t>
      </w:r>
      <w:r>
        <w:rPr>
          <w:sz w:val="22"/>
        </w:rPr>
        <w:t>may</w:t>
      </w:r>
      <w:r>
        <w:rPr>
          <w:spacing w:val="-5"/>
          <w:sz w:val="22"/>
        </w:rPr>
        <w:t> </w:t>
      </w:r>
      <w:r>
        <w:rPr>
          <w:sz w:val="22"/>
        </w:rPr>
        <w:t>lead</w:t>
      </w:r>
      <w:r>
        <w:rPr>
          <w:spacing w:val="-7"/>
          <w:sz w:val="22"/>
        </w:rPr>
        <w:t> </w:t>
      </w:r>
      <w:r>
        <w:rPr>
          <w:sz w:val="22"/>
        </w:rPr>
        <w:t>to</w:t>
      </w:r>
      <w:r>
        <w:rPr>
          <w:spacing w:val="-7"/>
          <w:sz w:val="22"/>
        </w:rPr>
        <w:t> </w:t>
      </w:r>
      <w:r>
        <w:rPr>
          <w:sz w:val="22"/>
        </w:rPr>
        <w:t>lower</w:t>
      </w:r>
      <w:r>
        <w:rPr>
          <w:spacing w:val="-4"/>
          <w:sz w:val="22"/>
        </w:rPr>
        <w:t> </w:t>
      </w:r>
      <w:r>
        <w:rPr>
          <w:sz w:val="22"/>
        </w:rPr>
        <w:t>actual</w:t>
      </w:r>
      <w:r>
        <w:rPr>
          <w:spacing w:val="-4"/>
          <w:sz w:val="22"/>
        </w:rPr>
        <w:t> </w:t>
      </w:r>
      <w:r>
        <w:rPr>
          <w:sz w:val="22"/>
        </w:rPr>
        <w:t>expenditures</w:t>
      </w:r>
      <w:r>
        <w:rPr>
          <w:spacing w:val="-7"/>
          <w:sz w:val="22"/>
        </w:rPr>
        <w:t> </w:t>
      </w:r>
      <w:r>
        <w:rPr>
          <w:sz w:val="22"/>
        </w:rPr>
        <w:t>in</w:t>
      </w:r>
      <w:r>
        <w:rPr>
          <w:spacing w:val="-7"/>
          <w:sz w:val="22"/>
        </w:rPr>
        <w:t> </w:t>
      </w:r>
      <w:r>
        <w:rPr>
          <w:sz w:val="22"/>
        </w:rPr>
        <w:t>a</w:t>
      </w:r>
      <w:r>
        <w:rPr>
          <w:spacing w:val="-4"/>
          <w:sz w:val="22"/>
        </w:rPr>
        <w:t> </w:t>
      </w:r>
      <w:r>
        <w:rPr>
          <w:sz w:val="22"/>
        </w:rPr>
        <w:t>given</w:t>
      </w:r>
      <w:r>
        <w:rPr>
          <w:spacing w:val="-5"/>
          <w:sz w:val="22"/>
        </w:rPr>
        <w:t> </w:t>
      </w:r>
      <w:r>
        <w:rPr>
          <w:sz w:val="22"/>
        </w:rPr>
        <w:t>DSRIP year. Therefore, the State</w:t>
      </w:r>
      <w:r>
        <w:rPr>
          <w:spacing w:val="-2"/>
          <w:sz w:val="22"/>
        </w:rPr>
        <w:t> </w:t>
      </w:r>
      <w:r>
        <w:rPr>
          <w:sz w:val="22"/>
        </w:rPr>
        <w:t>may carry forward prior year DSRIP expenditure authority from</w:t>
      </w:r>
      <w:r>
        <w:rPr>
          <w:spacing w:val="-1"/>
          <w:sz w:val="22"/>
        </w:rPr>
        <w:t> </w:t>
      </w:r>
      <w:r>
        <w:rPr>
          <w:sz w:val="22"/>
        </w:rPr>
        <w:t>one year to the next for reasons related to member participation fluctuations. This carry forward authority will extend to the</w:t>
      </w:r>
      <w:r>
        <w:rPr>
          <w:spacing w:val="-2"/>
          <w:sz w:val="22"/>
        </w:rPr>
        <w:t> </w:t>
      </w:r>
      <w:r>
        <w:rPr>
          <w:sz w:val="22"/>
        </w:rPr>
        <w:t>following</w:t>
      </w:r>
      <w:r>
        <w:rPr>
          <w:spacing w:val="-2"/>
          <w:sz w:val="22"/>
        </w:rPr>
        <w:t> </w:t>
      </w:r>
      <w:r>
        <w:rPr>
          <w:sz w:val="22"/>
        </w:rPr>
        <w:t>funding</w:t>
      </w:r>
      <w:r>
        <w:rPr>
          <w:spacing w:val="-2"/>
          <w:sz w:val="22"/>
        </w:rPr>
        <w:t> </w:t>
      </w:r>
      <w:r>
        <w:rPr>
          <w:sz w:val="22"/>
        </w:rPr>
        <w:t>streams; as</w:t>
      </w:r>
      <w:r>
        <w:rPr>
          <w:spacing w:val="-2"/>
          <w:sz w:val="22"/>
        </w:rPr>
        <w:t> </w:t>
      </w:r>
      <w:r>
        <w:rPr>
          <w:sz w:val="22"/>
        </w:rPr>
        <w:t>these</w:t>
      </w:r>
      <w:r>
        <w:rPr>
          <w:spacing w:val="-2"/>
          <w:sz w:val="22"/>
        </w:rPr>
        <w:t> </w:t>
      </w:r>
      <w:r>
        <w:rPr>
          <w:sz w:val="22"/>
        </w:rPr>
        <w:t>areas</w:t>
      </w:r>
      <w:r>
        <w:rPr>
          <w:spacing w:val="-2"/>
          <w:sz w:val="22"/>
        </w:rPr>
        <w:t> </w:t>
      </w:r>
      <w:r>
        <w:rPr>
          <w:sz w:val="22"/>
        </w:rPr>
        <w:t>are</w:t>
      </w:r>
      <w:r>
        <w:rPr>
          <w:spacing w:val="-2"/>
          <w:sz w:val="22"/>
        </w:rPr>
        <w:t> </w:t>
      </w:r>
      <w:r>
        <w:rPr>
          <w:sz w:val="22"/>
        </w:rPr>
        <w:t>directly</w:t>
      </w:r>
      <w:r>
        <w:rPr>
          <w:spacing w:val="-2"/>
          <w:sz w:val="22"/>
        </w:rPr>
        <w:t> </w:t>
      </w:r>
      <w:r>
        <w:rPr>
          <w:sz w:val="22"/>
        </w:rPr>
        <w:t>related</w:t>
      </w:r>
      <w:r>
        <w:rPr>
          <w:spacing w:val="-2"/>
          <w:sz w:val="22"/>
        </w:rPr>
        <w:t> </w:t>
      </w:r>
      <w:r>
        <w:rPr>
          <w:sz w:val="22"/>
        </w:rPr>
        <w:t>to</w:t>
      </w:r>
      <w:r>
        <w:rPr>
          <w:spacing w:val="-2"/>
          <w:sz w:val="22"/>
        </w:rPr>
        <w:t> </w:t>
      </w:r>
      <w:r>
        <w:rPr>
          <w:sz w:val="22"/>
        </w:rPr>
        <w:t>and</w:t>
      </w:r>
      <w:r>
        <w:rPr>
          <w:spacing w:val="-2"/>
          <w:sz w:val="22"/>
        </w:rPr>
        <w:t> </w:t>
      </w:r>
      <w:r>
        <w:rPr>
          <w:sz w:val="22"/>
        </w:rPr>
        <w:t>impacted</w:t>
      </w:r>
      <w:r>
        <w:rPr>
          <w:spacing w:val="-2"/>
          <w:sz w:val="22"/>
        </w:rPr>
        <w:t> </w:t>
      </w:r>
      <w:r>
        <w:rPr>
          <w:sz w:val="22"/>
        </w:rPr>
        <w:t>by member participation </w:t>
      </w:r>
      <w:r>
        <w:rPr>
          <w:spacing w:val="-2"/>
          <w:sz w:val="22"/>
        </w:rPr>
        <w:t>fluctuation.</w:t>
      </w:r>
    </w:p>
    <w:p>
      <w:pPr>
        <w:pStyle w:val="ListParagraph"/>
        <w:numPr>
          <w:ilvl w:val="0"/>
          <w:numId w:val="76"/>
        </w:numPr>
        <w:tabs>
          <w:tab w:pos="2299" w:val="left" w:leader="none"/>
        </w:tabs>
        <w:spacing w:line="240" w:lineRule="auto" w:before="157" w:after="0"/>
        <w:ind w:left="2299" w:right="0" w:hanging="359"/>
        <w:jc w:val="left"/>
        <w:rPr>
          <w:sz w:val="22"/>
        </w:rPr>
      </w:pPr>
      <w:r>
        <w:rPr>
          <w:sz w:val="22"/>
        </w:rPr>
        <w:t>All</w:t>
      </w:r>
      <w:r>
        <w:rPr>
          <w:spacing w:val="-2"/>
          <w:sz w:val="22"/>
        </w:rPr>
        <w:t> </w:t>
      </w:r>
      <w:r>
        <w:rPr>
          <w:sz w:val="22"/>
        </w:rPr>
        <w:t>ACO</w:t>
      </w:r>
      <w:r>
        <w:rPr>
          <w:spacing w:val="-3"/>
          <w:sz w:val="22"/>
        </w:rPr>
        <w:t> </w:t>
      </w:r>
      <w:r>
        <w:rPr>
          <w:sz w:val="22"/>
        </w:rPr>
        <w:t>funding</w:t>
      </w:r>
      <w:r>
        <w:rPr>
          <w:spacing w:val="-4"/>
          <w:sz w:val="22"/>
        </w:rPr>
        <w:t> </w:t>
      </w:r>
      <w:r>
        <w:rPr>
          <w:spacing w:val="-2"/>
          <w:sz w:val="22"/>
        </w:rPr>
        <w:t>streams</w:t>
      </w:r>
    </w:p>
    <w:p>
      <w:pPr>
        <w:pStyle w:val="ListParagraph"/>
        <w:numPr>
          <w:ilvl w:val="0"/>
          <w:numId w:val="76"/>
        </w:numPr>
        <w:tabs>
          <w:tab w:pos="2299" w:val="left" w:leader="none"/>
        </w:tabs>
        <w:spacing w:line="240" w:lineRule="auto" w:before="187" w:after="0"/>
        <w:ind w:left="2299" w:right="0" w:hanging="359"/>
        <w:jc w:val="left"/>
        <w:rPr>
          <w:sz w:val="22"/>
        </w:rPr>
      </w:pPr>
      <w:r>
        <w:rPr>
          <w:sz w:val="22"/>
        </w:rPr>
        <w:t>All</w:t>
      </w:r>
      <w:r>
        <w:rPr>
          <w:spacing w:val="-2"/>
          <w:sz w:val="22"/>
        </w:rPr>
        <w:t> </w:t>
      </w:r>
      <w:r>
        <w:rPr>
          <w:sz w:val="22"/>
        </w:rPr>
        <w:t>CP</w:t>
      </w:r>
      <w:r>
        <w:rPr>
          <w:spacing w:val="-3"/>
          <w:sz w:val="22"/>
        </w:rPr>
        <w:t> </w:t>
      </w:r>
      <w:r>
        <w:rPr>
          <w:sz w:val="22"/>
        </w:rPr>
        <w:t>funding</w:t>
      </w:r>
      <w:r>
        <w:rPr>
          <w:spacing w:val="-4"/>
          <w:sz w:val="22"/>
        </w:rPr>
        <w:t> </w:t>
      </w:r>
      <w:r>
        <w:rPr>
          <w:spacing w:val="-2"/>
          <w:sz w:val="22"/>
        </w:rPr>
        <w:t>streams</w:t>
      </w:r>
    </w:p>
    <w:p>
      <w:pPr>
        <w:pStyle w:val="ListParagraph"/>
        <w:numPr>
          <w:ilvl w:val="0"/>
          <w:numId w:val="76"/>
        </w:numPr>
        <w:tabs>
          <w:tab w:pos="2299" w:val="left" w:leader="none"/>
        </w:tabs>
        <w:spacing w:line="240" w:lineRule="auto" w:before="190" w:after="0"/>
        <w:ind w:left="2299" w:right="0" w:hanging="360"/>
        <w:jc w:val="left"/>
        <w:rPr>
          <w:sz w:val="22"/>
        </w:rPr>
      </w:pPr>
      <w:r>
        <w:rPr>
          <w:sz w:val="22"/>
        </w:rPr>
        <w:t>Statewide</w:t>
      </w:r>
      <w:r>
        <w:rPr>
          <w:spacing w:val="-7"/>
          <w:sz w:val="22"/>
        </w:rPr>
        <w:t> </w:t>
      </w:r>
      <w:r>
        <w:rPr>
          <w:sz w:val="22"/>
        </w:rPr>
        <w:t>Investments:</w:t>
      </w:r>
      <w:r>
        <w:rPr>
          <w:spacing w:val="-7"/>
          <w:sz w:val="22"/>
        </w:rPr>
        <w:t> </w:t>
      </w:r>
      <w:r>
        <w:rPr>
          <w:sz w:val="22"/>
        </w:rPr>
        <w:t>technical</w:t>
      </w:r>
      <w:r>
        <w:rPr>
          <w:spacing w:val="-4"/>
          <w:sz w:val="22"/>
        </w:rPr>
        <w:t> </w:t>
      </w:r>
      <w:r>
        <w:rPr>
          <w:sz w:val="22"/>
        </w:rPr>
        <w:t>assistance</w:t>
      </w:r>
      <w:r>
        <w:rPr>
          <w:spacing w:val="-5"/>
          <w:sz w:val="22"/>
        </w:rPr>
        <w:t> </w:t>
      </w:r>
      <w:r>
        <w:rPr>
          <w:sz w:val="22"/>
        </w:rPr>
        <w:t>and</w:t>
      </w:r>
      <w:r>
        <w:rPr>
          <w:spacing w:val="-5"/>
          <w:sz w:val="22"/>
        </w:rPr>
        <w:t> </w:t>
      </w:r>
      <w:r>
        <w:rPr>
          <w:sz w:val="22"/>
        </w:rPr>
        <w:t>workforce</w:t>
      </w:r>
      <w:r>
        <w:rPr>
          <w:spacing w:val="-7"/>
          <w:sz w:val="22"/>
        </w:rPr>
        <w:t> </w:t>
      </w:r>
      <w:r>
        <w:rPr>
          <w:sz w:val="22"/>
        </w:rPr>
        <w:t>development</w:t>
      </w:r>
      <w:r>
        <w:rPr>
          <w:spacing w:val="-4"/>
          <w:sz w:val="22"/>
        </w:rPr>
        <w:t> </w:t>
      </w:r>
      <w:r>
        <w:rPr>
          <w:sz w:val="22"/>
        </w:rPr>
        <w:t>grant</w:t>
      </w:r>
      <w:r>
        <w:rPr>
          <w:spacing w:val="-4"/>
          <w:sz w:val="22"/>
        </w:rPr>
        <w:t> </w:t>
      </w:r>
      <w:r>
        <w:rPr>
          <w:spacing w:val="-2"/>
          <w:sz w:val="22"/>
        </w:rPr>
        <w:t>programs</w:t>
      </w:r>
    </w:p>
    <w:p>
      <w:pPr>
        <w:pStyle w:val="ListParagraph"/>
        <w:numPr>
          <w:ilvl w:val="0"/>
          <w:numId w:val="76"/>
        </w:numPr>
        <w:tabs>
          <w:tab w:pos="2299" w:val="left" w:leader="none"/>
        </w:tabs>
        <w:spacing w:line="240" w:lineRule="auto" w:before="187" w:after="0"/>
        <w:ind w:left="2299" w:right="0" w:hanging="360"/>
        <w:jc w:val="left"/>
        <w:rPr>
          <w:sz w:val="22"/>
        </w:rPr>
      </w:pPr>
      <w:r>
        <w:rPr>
          <w:sz w:val="22"/>
        </w:rPr>
        <w:t>State</w:t>
      </w:r>
      <w:r>
        <w:rPr>
          <w:spacing w:val="-2"/>
          <w:sz w:val="22"/>
        </w:rPr>
        <w:t> operations/implementation</w:t>
      </w:r>
    </w:p>
    <w:p>
      <w:pPr>
        <w:spacing w:before="189"/>
        <w:ind w:left="1219" w:right="1093" w:firstLine="0"/>
        <w:jc w:val="both"/>
        <w:rPr>
          <w:sz w:val="22"/>
        </w:rPr>
      </w:pPr>
      <w:r>
        <w:rPr>
          <w:sz w:val="22"/>
        </w:rPr>
        <w:t>The State may carry forward the DY2</w:t>
      </w:r>
      <w:r>
        <w:rPr>
          <w:spacing w:val="-1"/>
          <w:sz w:val="22"/>
        </w:rPr>
        <w:t> </w:t>
      </w:r>
      <w:r>
        <w:rPr>
          <w:sz w:val="22"/>
        </w:rPr>
        <w:t>and DY3 funding for the APM Preparation Fund and the Enhanced Diversionary Behavioral Health Activities Program, and the DY3 funding for the technical assistance program, workforce development grant program, and the Improved Accessibility for Members with Disabilities or for Whom English Is Not a Primary Language statewide investment into DY4 without counting against the carryforward 15% benchmark described in STC 60(d)(ii).</w:t>
      </w:r>
    </w:p>
    <w:p>
      <w:pPr>
        <w:spacing w:before="161"/>
        <w:ind w:left="1219" w:right="0" w:firstLine="0"/>
        <w:jc w:val="both"/>
        <w:rPr>
          <w:sz w:val="22"/>
        </w:rPr>
      </w:pPr>
      <w:r>
        <w:rPr>
          <w:sz w:val="22"/>
        </w:rPr>
        <w:t>The</w:t>
      </w:r>
      <w:r>
        <w:rPr>
          <w:spacing w:val="-7"/>
          <w:sz w:val="22"/>
        </w:rPr>
        <w:t> </w:t>
      </w:r>
      <w:r>
        <w:rPr>
          <w:sz w:val="22"/>
        </w:rPr>
        <w:t>State</w:t>
      </w:r>
      <w:r>
        <w:rPr>
          <w:spacing w:val="-3"/>
          <w:sz w:val="22"/>
        </w:rPr>
        <w:t> </w:t>
      </w:r>
      <w:r>
        <w:rPr>
          <w:sz w:val="22"/>
        </w:rPr>
        <w:t>does</w:t>
      </w:r>
      <w:r>
        <w:rPr>
          <w:spacing w:val="-5"/>
          <w:sz w:val="22"/>
        </w:rPr>
        <w:t> </w:t>
      </w:r>
      <w:r>
        <w:rPr>
          <w:sz w:val="22"/>
        </w:rPr>
        <w:t>not</w:t>
      </w:r>
      <w:r>
        <w:rPr>
          <w:spacing w:val="-2"/>
          <w:sz w:val="22"/>
        </w:rPr>
        <w:t> </w:t>
      </w:r>
      <w:r>
        <w:rPr>
          <w:sz w:val="22"/>
        </w:rPr>
        <w:t>have</w:t>
      </w:r>
      <w:r>
        <w:rPr>
          <w:spacing w:val="-3"/>
          <w:sz w:val="22"/>
        </w:rPr>
        <w:t> </w:t>
      </w:r>
      <w:r>
        <w:rPr>
          <w:sz w:val="22"/>
        </w:rPr>
        <w:t>carry</w:t>
      </w:r>
      <w:r>
        <w:rPr>
          <w:spacing w:val="-6"/>
          <w:sz w:val="22"/>
        </w:rPr>
        <w:t> </w:t>
      </w:r>
      <w:r>
        <w:rPr>
          <w:sz w:val="22"/>
        </w:rPr>
        <w:t>forward</w:t>
      </w:r>
      <w:r>
        <w:rPr>
          <w:spacing w:val="-3"/>
          <w:sz w:val="22"/>
        </w:rPr>
        <w:t> </w:t>
      </w:r>
      <w:r>
        <w:rPr>
          <w:sz w:val="22"/>
        </w:rPr>
        <w:t>authority</w:t>
      </w:r>
      <w:r>
        <w:rPr>
          <w:spacing w:val="-6"/>
          <w:sz w:val="22"/>
        </w:rPr>
        <w:t> </w:t>
      </w:r>
      <w:r>
        <w:rPr>
          <w:sz w:val="22"/>
        </w:rPr>
        <w:t>for</w:t>
      </w:r>
      <w:r>
        <w:rPr>
          <w:spacing w:val="-2"/>
          <w:sz w:val="22"/>
        </w:rPr>
        <w:t> </w:t>
      </w:r>
      <w:r>
        <w:rPr>
          <w:sz w:val="22"/>
        </w:rPr>
        <w:t>other</w:t>
      </w:r>
      <w:r>
        <w:rPr>
          <w:spacing w:val="-2"/>
          <w:sz w:val="22"/>
        </w:rPr>
        <w:t> </w:t>
      </w:r>
      <w:r>
        <w:rPr>
          <w:sz w:val="22"/>
        </w:rPr>
        <w:t>funding</w:t>
      </w:r>
      <w:r>
        <w:rPr>
          <w:spacing w:val="-6"/>
          <w:sz w:val="22"/>
        </w:rPr>
        <w:t> </w:t>
      </w:r>
      <w:r>
        <w:rPr>
          <w:sz w:val="22"/>
        </w:rPr>
        <w:t>streams</w:t>
      </w:r>
      <w:r>
        <w:rPr>
          <w:spacing w:val="-3"/>
          <w:sz w:val="22"/>
        </w:rPr>
        <w:t> </w:t>
      </w:r>
      <w:r>
        <w:rPr>
          <w:sz w:val="22"/>
        </w:rPr>
        <w:t>within</w:t>
      </w:r>
      <w:r>
        <w:rPr>
          <w:spacing w:val="-3"/>
          <w:sz w:val="22"/>
        </w:rPr>
        <w:t> </w:t>
      </w:r>
      <w:r>
        <w:rPr>
          <w:sz w:val="22"/>
        </w:rPr>
        <w:t>statewide</w:t>
      </w:r>
      <w:r>
        <w:rPr>
          <w:spacing w:val="-4"/>
          <w:sz w:val="22"/>
        </w:rPr>
        <w:t> </w:t>
      </w:r>
      <w:r>
        <w:rPr>
          <w:spacing w:val="-2"/>
          <w:sz w:val="22"/>
        </w:rPr>
        <w:t>investments.</w:t>
      </w:r>
    </w:p>
    <w:p>
      <w:pPr>
        <w:spacing w:before="158"/>
        <w:ind w:left="1219" w:right="1094" w:firstLine="0"/>
        <w:jc w:val="both"/>
        <w:rPr>
          <w:sz w:val="22"/>
        </w:rPr>
      </w:pPr>
      <w:r>
        <w:rPr>
          <w:sz w:val="22"/>
        </w:rPr>
        <w:t>Per STC 60(d)(ii), if the expenditure authority</w:t>
      </w:r>
      <w:r>
        <w:rPr>
          <w:spacing w:val="-1"/>
          <w:sz w:val="22"/>
        </w:rPr>
        <w:t> </w:t>
      </w:r>
      <w:r>
        <w:rPr>
          <w:sz w:val="22"/>
        </w:rPr>
        <w:t>carried</w:t>
      </w:r>
      <w:r>
        <w:rPr>
          <w:spacing w:val="-1"/>
          <w:sz w:val="22"/>
        </w:rPr>
        <w:t> </w:t>
      </w:r>
      <w:r>
        <w:rPr>
          <w:sz w:val="22"/>
        </w:rPr>
        <w:t>forward from</w:t>
      </w:r>
      <w:r>
        <w:rPr>
          <w:spacing w:val="-3"/>
          <w:sz w:val="22"/>
        </w:rPr>
        <w:t> </w:t>
      </w:r>
      <w:r>
        <w:rPr>
          <w:sz w:val="22"/>
        </w:rPr>
        <w:t>one year to another is more than 15% of the prior year’s expenditure authority as set forth in Exhibit 1, then the State will submit a request to carry forward the expenditure authority for review and approval by CMS. Flexible Services funding will not</w:t>
      </w:r>
      <w:r>
        <w:rPr>
          <w:spacing w:val="-14"/>
          <w:sz w:val="22"/>
        </w:rPr>
        <w:t> </w:t>
      </w:r>
      <w:r>
        <w:rPr>
          <w:sz w:val="22"/>
        </w:rPr>
        <w:t>be</w:t>
      </w:r>
      <w:r>
        <w:rPr>
          <w:spacing w:val="-14"/>
          <w:sz w:val="22"/>
        </w:rPr>
        <w:t> </w:t>
      </w:r>
      <w:r>
        <w:rPr>
          <w:sz w:val="22"/>
        </w:rPr>
        <w:t>included</w:t>
      </w:r>
      <w:r>
        <w:rPr>
          <w:spacing w:val="-14"/>
          <w:sz w:val="22"/>
        </w:rPr>
        <w:t> </w:t>
      </w:r>
      <w:r>
        <w:rPr>
          <w:sz w:val="22"/>
        </w:rPr>
        <w:t>in</w:t>
      </w:r>
      <w:r>
        <w:rPr>
          <w:spacing w:val="-13"/>
          <w:sz w:val="22"/>
        </w:rPr>
        <w:t> </w:t>
      </w:r>
      <w:r>
        <w:rPr>
          <w:sz w:val="22"/>
        </w:rPr>
        <w:t>expenditure</w:t>
      </w:r>
      <w:r>
        <w:rPr>
          <w:spacing w:val="-14"/>
          <w:sz w:val="22"/>
        </w:rPr>
        <w:t> </w:t>
      </w:r>
      <w:r>
        <w:rPr>
          <w:sz w:val="22"/>
        </w:rPr>
        <w:t>authority</w:t>
      </w:r>
      <w:r>
        <w:rPr>
          <w:spacing w:val="-14"/>
          <w:sz w:val="22"/>
        </w:rPr>
        <w:t> </w:t>
      </w:r>
      <w:r>
        <w:rPr>
          <w:sz w:val="22"/>
        </w:rPr>
        <w:t>carry</w:t>
      </w:r>
      <w:r>
        <w:rPr>
          <w:spacing w:val="-14"/>
          <w:sz w:val="22"/>
        </w:rPr>
        <w:t> </w:t>
      </w:r>
      <w:r>
        <w:rPr>
          <w:sz w:val="22"/>
        </w:rPr>
        <w:t>forward</w:t>
      </w:r>
      <w:r>
        <w:rPr>
          <w:spacing w:val="-13"/>
          <w:sz w:val="22"/>
        </w:rPr>
        <w:t> </w:t>
      </w:r>
      <w:r>
        <w:rPr>
          <w:sz w:val="22"/>
        </w:rPr>
        <w:t>calculations.</w:t>
      </w:r>
      <w:r>
        <w:rPr>
          <w:spacing w:val="10"/>
          <w:sz w:val="22"/>
        </w:rPr>
        <w:t> </w:t>
      </w:r>
      <w:r>
        <w:rPr>
          <w:sz w:val="22"/>
        </w:rPr>
        <w:t>CMS</w:t>
      </w:r>
      <w:r>
        <w:rPr>
          <w:spacing w:val="-13"/>
          <w:sz w:val="22"/>
        </w:rPr>
        <w:t> </w:t>
      </w:r>
      <w:r>
        <w:rPr>
          <w:sz w:val="22"/>
        </w:rPr>
        <w:t>will</w:t>
      </w:r>
      <w:r>
        <w:rPr>
          <w:spacing w:val="-13"/>
          <w:sz w:val="22"/>
        </w:rPr>
        <w:t> </w:t>
      </w:r>
      <w:r>
        <w:rPr>
          <w:sz w:val="22"/>
        </w:rPr>
        <w:t>respond</w:t>
      </w:r>
      <w:r>
        <w:rPr>
          <w:spacing w:val="-14"/>
          <w:sz w:val="22"/>
        </w:rPr>
        <w:t> </w:t>
      </w:r>
      <w:r>
        <w:rPr>
          <w:sz w:val="22"/>
        </w:rPr>
        <w:t>to</w:t>
      </w:r>
      <w:r>
        <w:rPr>
          <w:spacing w:val="-14"/>
          <w:sz w:val="22"/>
        </w:rPr>
        <w:t> </w:t>
      </w:r>
      <w:r>
        <w:rPr>
          <w:sz w:val="22"/>
        </w:rPr>
        <w:t>the</w:t>
      </w:r>
      <w:r>
        <w:rPr>
          <w:spacing w:val="-14"/>
          <w:sz w:val="22"/>
        </w:rPr>
        <w:t> </w:t>
      </w:r>
      <w:r>
        <w:rPr>
          <w:sz w:val="22"/>
        </w:rPr>
        <w:t>State’s</w:t>
      </w:r>
      <w:r>
        <w:rPr>
          <w:spacing w:val="-13"/>
          <w:sz w:val="22"/>
        </w:rPr>
        <w:t> </w:t>
      </w:r>
      <w:r>
        <w:rPr>
          <w:sz w:val="22"/>
        </w:rPr>
        <w:t>request within</w:t>
      </w:r>
      <w:r>
        <w:rPr>
          <w:spacing w:val="-2"/>
          <w:sz w:val="22"/>
        </w:rPr>
        <w:t> </w:t>
      </w:r>
      <w:r>
        <w:rPr>
          <w:sz w:val="22"/>
        </w:rPr>
        <w:t>60</w:t>
      </w:r>
      <w:r>
        <w:rPr>
          <w:spacing w:val="-2"/>
          <w:sz w:val="22"/>
        </w:rPr>
        <w:t> </w:t>
      </w:r>
      <w:r>
        <w:rPr>
          <w:sz w:val="22"/>
        </w:rPr>
        <w:t>business</w:t>
      </w:r>
      <w:r>
        <w:rPr>
          <w:spacing w:val="-2"/>
          <w:sz w:val="22"/>
        </w:rPr>
        <w:t> </w:t>
      </w:r>
      <w:r>
        <w:rPr>
          <w:sz w:val="22"/>
        </w:rPr>
        <w:t>days.</w:t>
      </w:r>
      <w:r>
        <w:rPr>
          <w:spacing w:val="-2"/>
          <w:sz w:val="22"/>
        </w:rPr>
        <w:t> </w:t>
      </w:r>
      <w:r>
        <w:rPr>
          <w:sz w:val="22"/>
        </w:rPr>
        <w:t>If approved,</w:t>
      </w:r>
      <w:r>
        <w:rPr>
          <w:spacing w:val="-2"/>
          <w:sz w:val="22"/>
        </w:rPr>
        <w:t> </w:t>
      </w:r>
      <w:r>
        <w:rPr>
          <w:sz w:val="22"/>
        </w:rPr>
        <w:t>the</w:t>
      </w:r>
      <w:r>
        <w:rPr>
          <w:spacing w:val="-2"/>
          <w:sz w:val="22"/>
        </w:rPr>
        <w:t> </w:t>
      </w:r>
      <w:r>
        <w:rPr>
          <w:sz w:val="22"/>
        </w:rPr>
        <w:t>State</w:t>
      </w:r>
      <w:r>
        <w:rPr>
          <w:spacing w:val="-2"/>
          <w:sz w:val="22"/>
        </w:rPr>
        <w:t> </w:t>
      </w:r>
      <w:r>
        <w:rPr>
          <w:sz w:val="22"/>
        </w:rPr>
        <w:t>will</w:t>
      </w:r>
      <w:r>
        <w:rPr>
          <w:spacing w:val="-1"/>
          <w:sz w:val="22"/>
        </w:rPr>
        <w:t> </w:t>
      </w:r>
      <w:r>
        <w:rPr>
          <w:sz w:val="22"/>
        </w:rPr>
        <w:t>provide</w:t>
      </w:r>
      <w:r>
        <w:rPr>
          <w:spacing w:val="-2"/>
          <w:sz w:val="22"/>
        </w:rPr>
        <w:t> </w:t>
      </w:r>
      <w:r>
        <w:rPr>
          <w:sz w:val="22"/>
        </w:rPr>
        <w:t>an</w:t>
      </w:r>
      <w:r>
        <w:rPr>
          <w:spacing w:val="-2"/>
          <w:sz w:val="22"/>
        </w:rPr>
        <w:t> </w:t>
      </w:r>
      <w:r>
        <w:rPr>
          <w:sz w:val="22"/>
        </w:rPr>
        <w:t>updated</w:t>
      </w:r>
      <w:r>
        <w:rPr>
          <w:spacing w:val="-5"/>
          <w:sz w:val="22"/>
        </w:rPr>
        <w:t> </w:t>
      </w:r>
      <w:r>
        <w:rPr>
          <w:sz w:val="22"/>
        </w:rPr>
        <w:t>funding</w:t>
      </w:r>
      <w:r>
        <w:rPr>
          <w:spacing w:val="-5"/>
          <w:sz w:val="22"/>
        </w:rPr>
        <w:t> </w:t>
      </w:r>
      <w:r>
        <w:rPr>
          <w:sz w:val="22"/>
        </w:rPr>
        <w:t>allocation</w:t>
      </w:r>
      <w:r>
        <w:rPr>
          <w:spacing w:val="-5"/>
          <w:sz w:val="22"/>
        </w:rPr>
        <w:t> </w:t>
      </w:r>
      <w:r>
        <w:rPr>
          <w:sz w:val="22"/>
        </w:rPr>
        <w:t>table</w:t>
      </w:r>
      <w:r>
        <w:rPr>
          <w:spacing w:val="-2"/>
          <w:sz w:val="22"/>
        </w:rPr>
        <w:t> </w:t>
      </w:r>
      <w:r>
        <w:rPr>
          <w:sz w:val="22"/>
        </w:rPr>
        <w:t>to</w:t>
      </w:r>
      <w:r>
        <w:rPr>
          <w:spacing w:val="-2"/>
          <w:sz w:val="22"/>
        </w:rPr>
        <w:t> </w:t>
      </w:r>
      <w:r>
        <w:rPr>
          <w:sz w:val="22"/>
        </w:rPr>
        <w:t>CMS</w:t>
      </w:r>
      <w:r>
        <w:rPr>
          <w:spacing w:val="-3"/>
          <w:sz w:val="22"/>
        </w:rPr>
        <w:t> </w:t>
      </w:r>
      <w:r>
        <w:rPr>
          <w:sz w:val="22"/>
        </w:rPr>
        <w:t>in the</w:t>
      </w:r>
      <w:r>
        <w:rPr>
          <w:spacing w:val="-3"/>
          <w:sz w:val="22"/>
        </w:rPr>
        <w:t> </w:t>
      </w:r>
      <w:r>
        <w:rPr>
          <w:sz w:val="22"/>
        </w:rPr>
        <w:t>next quarterly</w:t>
      </w:r>
      <w:r>
        <w:rPr>
          <w:spacing w:val="-4"/>
          <w:sz w:val="22"/>
        </w:rPr>
        <w:t> </w:t>
      </w:r>
      <w:r>
        <w:rPr>
          <w:sz w:val="22"/>
        </w:rPr>
        <w:t>progress</w:t>
      </w:r>
      <w:r>
        <w:rPr>
          <w:spacing w:val="-3"/>
          <w:sz w:val="22"/>
        </w:rPr>
        <w:t> </w:t>
      </w:r>
      <w:r>
        <w:rPr>
          <w:sz w:val="22"/>
        </w:rPr>
        <w:t>report</w:t>
      </w:r>
      <w:r>
        <w:rPr>
          <w:spacing w:val="-3"/>
          <w:sz w:val="22"/>
        </w:rPr>
        <w:t> </w:t>
      </w:r>
      <w:r>
        <w:rPr>
          <w:sz w:val="22"/>
        </w:rPr>
        <w:t>to</w:t>
      </w:r>
      <w:r>
        <w:rPr>
          <w:spacing w:val="-4"/>
          <w:sz w:val="22"/>
        </w:rPr>
        <w:t> </w:t>
      </w:r>
      <w:r>
        <w:rPr>
          <w:sz w:val="22"/>
        </w:rPr>
        <w:t>CMS.</w:t>
      </w:r>
      <w:r>
        <w:rPr>
          <w:spacing w:val="40"/>
          <w:sz w:val="22"/>
        </w:rPr>
        <w:t> </w:t>
      </w:r>
      <w:r>
        <w:rPr>
          <w:sz w:val="22"/>
        </w:rPr>
        <w:t>If the</w:t>
      </w:r>
      <w:r>
        <w:rPr>
          <w:spacing w:val="-3"/>
          <w:sz w:val="22"/>
        </w:rPr>
        <w:t> </w:t>
      </w:r>
      <w:r>
        <w:rPr>
          <w:sz w:val="22"/>
        </w:rPr>
        <w:t>carry</w:t>
      </w:r>
      <w:r>
        <w:rPr>
          <w:spacing w:val="-4"/>
          <w:sz w:val="22"/>
        </w:rPr>
        <w:t> </w:t>
      </w:r>
      <w:r>
        <w:rPr>
          <w:sz w:val="22"/>
        </w:rPr>
        <w:t>forward</w:t>
      </w:r>
      <w:r>
        <w:rPr>
          <w:spacing w:val="-4"/>
          <w:sz w:val="22"/>
        </w:rPr>
        <w:t> </w:t>
      </w:r>
      <w:r>
        <w:rPr>
          <w:sz w:val="22"/>
        </w:rPr>
        <w:t>amount</w:t>
      </w:r>
      <w:r>
        <w:rPr>
          <w:spacing w:val="-3"/>
          <w:sz w:val="22"/>
        </w:rPr>
        <w:t> </w:t>
      </w:r>
      <w:r>
        <w:rPr>
          <w:sz w:val="22"/>
        </w:rPr>
        <w:t>is</w:t>
      </w:r>
      <w:r>
        <w:rPr>
          <w:spacing w:val="-3"/>
          <w:sz w:val="22"/>
        </w:rPr>
        <w:t> </w:t>
      </w:r>
      <w:r>
        <w:rPr>
          <w:sz w:val="22"/>
        </w:rPr>
        <w:t>less</w:t>
      </w:r>
      <w:r>
        <w:rPr>
          <w:spacing w:val="-3"/>
          <w:sz w:val="22"/>
        </w:rPr>
        <w:t> </w:t>
      </w:r>
      <w:r>
        <w:rPr>
          <w:sz w:val="22"/>
        </w:rPr>
        <w:t>than</w:t>
      </w:r>
      <w:r>
        <w:rPr>
          <w:spacing w:val="-1"/>
          <w:sz w:val="22"/>
        </w:rPr>
        <w:t> </w:t>
      </w:r>
      <w:r>
        <w:rPr>
          <w:sz w:val="22"/>
        </w:rPr>
        <w:t>or</w:t>
      </w:r>
      <w:r>
        <w:rPr>
          <w:spacing w:val="-3"/>
          <w:sz w:val="22"/>
        </w:rPr>
        <w:t> </w:t>
      </w:r>
      <w:r>
        <w:rPr>
          <w:sz w:val="22"/>
        </w:rPr>
        <w:t>equal</w:t>
      </w:r>
      <w:r>
        <w:rPr>
          <w:spacing w:val="-3"/>
          <w:sz w:val="22"/>
        </w:rPr>
        <w:t> </w:t>
      </w:r>
      <w:r>
        <w:rPr>
          <w:sz w:val="22"/>
        </w:rPr>
        <w:t>to</w:t>
      </w:r>
      <w:r>
        <w:rPr>
          <w:spacing w:val="-4"/>
          <w:sz w:val="22"/>
        </w:rPr>
        <w:t> </w:t>
      </w:r>
      <w:r>
        <w:rPr>
          <w:sz w:val="22"/>
        </w:rPr>
        <w:t>15% of</w:t>
      </w:r>
      <w:r>
        <w:rPr>
          <w:spacing w:val="40"/>
          <w:sz w:val="22"/>
        </w:rPr>
        <w:t> </w:t>
      </w:r>
      <w:r>
        <w:rPr>
          <w:sz w:val="22"/>
        </w:rPr>
        <w:t>the prior year’s expenditure authority, then</w:t>
      </w:r>
      <w:r>
        <w:rPr>
          <w:spacing w:val="-1"/>
          <w:sz w:val="22"/>
        </w:rPr>
        <w:t> </w:t>
      </w:r>
      <w:r>
        <w:rPr>
          <w:sz w:val="22"/>
        </w:rPr>
        <w:t>the State will provide an updated</w:t>
      </w:r>
      <w:r>
        <w:rPr>
          <w:spacing w:val="-1"/>
          <w:sz w:val="22"/>
        </w:rPr>
        <w:t> </w:t>
      </w:r>
      <w:r>
        <w:rPr>
          <w:sz w:val="22"/>
        </w:rPr>
        <w:t>funding</w:t>
      </w:r>
      <w:r>
        <w:rPr>
          <w:spacing w:val="-1"/>
          <w:sz w:val="22"/>
        </w:rPr>
        <w:t> </w:t>
      </w:r>
      <w:r>
        <w:rPr>
          <w:sz w:val="22"/>
        </w:rPr>
        <w:t>allocation table to CMS in the next quarterly progress report to CMS.</w:t>
      </w:r>
      <w:r>
        <w:rPr>
          <w:spacing w:val="40"/>
          <w:sz w:val="22"/>
        </w:rPr>
        <w:t> </w:t>
      </w:r>
      <w:r>
        <w:rPr>
          <w:sz w:val="22"/>
        </w:rPr>
        <w:t>The State must ensure that carry over does not result in the amount of DSRIP</w:t>
      </w:r>
      <w:r>
        <w:rPr>
          <w:spacing w:val="-1"/>
          <w:sz w:val="22"/>
        </w:rPr>
        <w:t> </w:t>
      </w:r>
      <w:r>
        <w:rPr>
          <w:sz w:val="22"/>
        </w:rPr>
        <w:t>expenditure</w:t>
      </w:r>
      <w:r>
        <w:rPr>
          <w:spacing w:val="1"/>
          <w:sz w:val="22"/>
        </w:rPr>
        <w:t> </w:t>
      </w:r>
      <w:r>
        <w:rPr>
          <w:sz w:val="22"/>
        </w:rPr>
        <w:t>authority</w:t>
      </w:r>
      <w:r>
        <w:rPr>
          <w:spacing w:val="-3"/>
          <w:sz w:val="22"/>
        </w:rPr>
        <w:t> </w:t>
      </w:r>
      <w:r>
        <w:rPr>
          <w:sz w:val="22"/>
        </w:rPr>
        <w:t>for DSRIP</w:t>
      </w:r>
      <w:r>
        <w:rPr>
          <w:spacing w:val="2"/>
          <w:sz w:val="22"/>
        </w:rPr>
        <w:t> </w:t>
      </w:r>
      <w:r>
        <w:rPr>
          <w:sz w:val="22"/>
        </w:rPr>
        <w:t>Year 5</w:t>
      </w:r>
      <w:r>
        <w:rPr>
          <w:spacing w:val="-1"/>
          <w:sz w:val="22"/>
        </w:rPr>
        <w:t> </w:t>
      </w:r>
      <w:r>
        <w:rPr>
          <w:sz w:val="22"/>
        </w:rPr>
        <w:t>being</w:t>
      </w:r>
      <w:r>
        <w:rPr>
          <w:spacing w:val="-3"/>
          <w:sz w:val="22"/>
        </w:rPr>
        <w:t> </w:t>
      </w:r>
      <w:r>
        <w:rPr>
          <w:sz w:val="22"/>
        </w:rPr>
        <w:t>greater</w:t>
      </w:r>
      <w:r>
        <w:rPr>
          <w:spacing w:val="-1"/>
          <w:sz w:val="22"/>
        </w:rPr>
        <w:t> </w:t>
      </w:r>
      <w:r>
        <w:rPr>
          <w:sz w:val="22"/>
        </w:rPr>
        <w:t>than</w:t>
      </w:r>
      <w:r>
        <w:rPr>
          <w:spacing w:val="-3"/>
          <w:sz w:val="22"/>
        </w:rPr>
        <w:t> </w:t>
      </w:r>
      <w:r>
        <w:rPr>
          <w:sz w:val="22"/>
        </w:rPr>
        <w:t>the</w:t>
      </w:r>
      <w:r>
        <w:rPr>
          <w:spacing w:val="-2"/>
          <w:sz w:val="22"/>
        </w:rPr>
        <w:t> </w:t>
      </w:r>
      <w:r>
        <w:rPr>
          <w:sz w:val="22"/>
        </w:rPr>
        <w:t>amount for DSRIP </w:t>
      </w:r>
      <w:r>
        <w:rPr>
          <w:spacing w:val="-4"/>
          <w:sz w:val="22"/>
        </w:rPr>
        <w:t>Year</w:t>
      </w:r>
    </w:p>
    <w:p>
      <w:pPr>
        <w:spacing w:after="0"/>
        <w:jc w:val="both"/>
        <w:rPr>
          <w:sz w:val="22"/>
        </w:rPr>
        <w:sectPr>
          <w:pgSz w:w="12240" w:h="15840"/>
          <w:pgMar w:header="0" w:footer="967" w:top="1360" w:bottom="1160" w:left="220" w:right="340"/>
        </w:sectPr>
      </w:pPr>
    </w:p>
    <w:p>
      <w:pPr>
        <w:spacing w:before="78"/>
        <w:ind w:left="1219" w:right="1095" w:firstLine="0"/>
        <w:jc w:val="both"/>
        <w:rPr>
          <w:sz w:val="22"/>
        </w:rPr>
      </w:pPr>
      <w:r>
        <w:rPr>
          <w:sz w:val="22"/>
        </w:rPr>
        <w:t>4. Flexible Services</w:t>
      </w:r>
      <w:r>
        <w:rPr>
          <w:spacing w:val="-2"/>
          <w:sz w:val="22"/>
        </w:rPr>
        <w:t> </w:t>
      </w:r>
      <w:r>
        <w:rPr>
          <w:sz w:val="22"/>
        </w:rPr>
        <w:t>funding</w:t>
      </w:r>
      <w:r>
        <w:rPr>
          <w:spacing w:val="-2"/>
          <w:sz w:val="22"/>
        </w:rPr>
        <w:t> </w:t>
      </w:r>
      <w:r>
        <w:rPr>
          <w:sz w:val="22"/>
        </w:rPr>
        <w:t>will not be</w:t>
      </w:r>
      <w:r>
        <w:rPr>
          <w:spacing w:val="-2"/>
          <w:sz w:val="22"/>
        </w:rPr>
        <w:t> </w:t>
      </w:r>
      <w:r>
        <w:rPr>
          <w:sz w:val="22"/>
        </w:rPr>
        <w:t>counted</w:t>
      </w:r>
      <w:r>
        <w:rPr>
          <w:spacing w:val="-2"/>
          <w:sz w:val="22"/>
        </w:rPr>
        <w:t> </w:t>
      </w:r>
      <w:r>
        <w:rPr>
          <w:sz w:val="22"/>
        </w:rPr>
        <w:t>in either</w:t>
      </w:r>
      <w:r>
        <w:rPr>
          <w:spacing w:val="-1"/>
          <w:sz w:val="22"/>
        </w:rPr>
        <w:t> </w:t>
      </w:r>
      <w:r>
        <w:rPr>
          <w:sz w:val="22"/>
        </w:rPr>
        <w:t>the DSRIP Year 4 or DSRIP Year 5 expenditure authority amounts for the purposes of this comparison.</w:t>
      </w:r>
    </w:p>
    <w:p>
      <w:pPr>
        <w:pStyle w:val="BodyText"/>
      </w:pPr>
    </w:p>
    <w:p>
      <w:pPr>
        <w:pStyle w:val="Heading1"/>
        <w:tabs>
          <w:tab w:pos="2659" w:val="left" w:leader="none"/>
        </w:tabs>
        <w:spacing w:line="242" w:lineRule="auto" w:before="204"/>
        <w:ind w:left="1579" w:right="1111" w:hanging="360"/>
      </w:pPr>
      <w:bookmarkStart w:name="Section 5.   DSRIP Accountability Framew" w:id="1354"/>
      <w:bookmarkEnd w:id="1354"/>
      <w:r>
        <w:rPr>
          <w:b w:val="0"/>
        </w:rPr>
      </w:r>
      <w:bookmarkStart w:name="_bookmark71" w:id="1355"/>
      <w:bookmarkEnd w:id="1355"/>
      <w:r>
        <w:rPr>
          <w:b w:val="0"/>
        </w:rPr>
      </w:r>
      <w:r>
        <w:rPr>
          <w:color w:val="2E5395"/>
        </w:rPr>
        <w:t>Section 5.</w:t>
        <w:tab/>
        <w:t>DSRIP Accountability Framework (State Accountability to CMS; </w:t>
      </w:r>
      <w:bookmarkStart w:name="5.1 Overview" w:id="1356"/>
      <w:bookmarkEnd w:id="1356"/>
      <w:r>
        <w:rPr>
          <w:color w:val="2E5395"/>
        </w:rPr>
      </w:r>
      <w:bookmarkStart w:name="_bookmark72" w:id="1357"/>
      <w:bookmarkEnd w:id="1357"/>
      <w:r>
        <w:rPr>
          <w:color w:val="2E5395"/>
        </w:rPr>
        <w:t>AC</w:t>
      </w:r>
      <w:r>
        <w:rPr>
          <w:color w:val="2E5395"/>
        </w:rPr>
        <w:t>O, CP and CSA Accountability to State)</w:t>
      </w:r>
    </w:p>
    <w:p>
      <w:pPr>
        <w:pStyle w:val="Heading2"/>
        <w:numPr>
          <w:ilvl w:val="1"/>
          <w:numId w:val="77"/>
        </w:numPr>
        <w:tabs>
          <w:tab w:pos="1618" w:val="left" w:leader="none"/>
        </w:tabs>
        <w:spacing w:line="298" w:lineRule="exact" w:before="196" w:after="0"/>
        <w:ind w:left="1618" w:right="0" w:hanging="398"/>
        <w:jc w:val="both"/>
      </w:pPr>
      <w:r>
        <w:rPr>
          <w:color w:val="4471C4"/>
          <w:spacing w:val="-2"/>
        </w:rPr>
        <w:t>Overview</w:t>
      </w:r>
    </w:p>
    <w:p>
      <w:pPr>
        <w:spacing w:before="0"/>
        <w:ind w:left="1219" w:right="1094" w:firstLine="0"/>
        <w:jc w:val="both"/>
        <w:rPr>
          <w:sz w:val="22"/>
        </w:rPr>
      </w:pPr>
      <w:r>
        <w:rPr>
          <w:sz w:val="22"/>
        </w:rPr>
        <w:t>The State has structured an accountability framework for its DSRIP program, under which the State is accountable to CMS for the State’s achievement of delivery system reform goals. The State’s failure to achieve the standards set for these goals may result in the loss of DSRIP expenditure authority according to</w:t>
      </w:r>
      <w:r>
        <w:rPr>
          <w:spacing w:val="-4"/>
          <w:sz w:val="22"/>
        </w:rPr>
        <w:t> </w:t>
      </w:r>
      <w:r>
        <w:rPr>
          <w:sz w:val="22"/>
        </w:rPr>
        <w:t>the</w:t>
      </w:r>
      <w:r>
        <w:rPr>
          <w:spacing w:val="-3"/>
          <w:sz w:val="22"/>
        </w:rPr>
        <w:t> </w:t>
      </w:r>
      <w:r>
        <w:rPr>
          <w:sz w:val="22"/>
        </w:rPr>
        <w:t>at-risk</w:t>
      </w:r>
      <w:r>
        <w:rPr>
          <w:spacing w:val="-4"/>
          <w:sz w:val="22"/>
        </w:rPr>
        <w:t> </w:t>
      </w:r>
      <w:r>
        <w:rPr>
          <w:sz w:val="22"/>
        </w:rPr>
        <w:t>schedule</w:t>
      </w:r>
      <w:r>
        <w:rPr>
          <w:spacing w:val="-3"/>
          <w:sz w:val="22"/>
        </w:rPr>
        <w:t> </w:t>
      </w:r>
      <w:r>
        <w:rPr>
          <w:sz w:val="22"/>
        </w:rPr>
        <w:t>set</w:t>
      </w:r>
      <w:r>
        <w:rPr>
          <w:spacing w:val="-3"/>
          <w:sz w:val="22"/>
        </w:rPr>
        <w:t> </w:t>
      </w:r>
      <w:r>
        <w:rPr>
          <w:sz w:val="22"/>
        </w:rPr>
        <w:t>forth</w:t>
      </w:r>
      <w:r>
        <w:rPr>
          <w:spacing w:val="-4"/>
          <w:sz w:val="22"/>
        </w:rPr>
        <w:t> </w:t>
      </w:r>
      <w:r>
        <w:rPr>
          <w:sz w:val="22"/>
        </w:rPr>
        <w:t>in</w:t>
      </w:r>
      <w:r>
        <w:rPr>
          <w:spacing w:val="-4"/>
          <w:sz w:val="22"/>
        </w:rPr>
        <w:t> </w:t>
      </w:r>
      <w:r>
        <w:rPr>
          <w:sz w:val="22"/>
        </w:rPr>
        <w:t>STC</w:t>
      </w:r>
      <w:r>
        <w:rPr>
          <w:spacing w:val="-2"/>
          <w:sz w:val="22"/>
        </w:rPr>
        <w:t> </w:t>
      </w:r>
      <w:r>
        <w:rPr>
          <w:sz w:val="22"/>
        </w:rPr>
        <w:t>71(b).</w:t>
      </w:r>
      <w:r>
        <w:rPr>
          <w:spacing w:val="-1"/>
          <w:sz w:val="22"/>
        </w:rPr>
        <w:t> </w:t>
      </w:r>
      <w:r>
        <w:rPr>
          <w:sz w:val="22"/>
        </w:rPr>
        <w:t>Any</w:t>
      </w:r>
      <w:r>
        <w:rPr>
          <w:spacing w:val="-4"/>
          <w:sz w:val="22"/>
        </w:rPr>
        <w:t> </w:t>
      </w:r>
      <w:r>
        <w:rPr>
          <w:sz w:val="22"/>
        </w:rPr>
        <w:t>lost</w:t>
      </w:r>
      <w:r>
        <w:rPr>
          <w:spacing w:val="-3"/>
          <w:sz w:val="22"/>
        </w:rPr>
        <w:t> </w:t>
      </w:r>
      <w:r>
        <w:rPr>
          <w:sz w:val="22"/>
        </w:rPr>
        <w:t>expenditure</w:t>
      </w:r>
      <w:r>
        <w:rPr>
          <w:spacing w:val="-1"/>
          <w:sz w:val="22"/>
        </w:rPr>
        <w:t> </w:t>
      </w:r>
      <w:r>
        <w:rPr>
          <w:sz w:val="22"/>
        </w:rPr>
        <w:t>authority</w:t>
      </w:r>
      <w:r>
        <w:rPr>
          <w:spacing w:val="-4"/>
          <w:sz w:val="22"/>
        </w:rPr>
        <w:t> </w:t>
      </w:r>
      <w:r>
        <w:rPr>
          <w:sz w:val="22"/>
        </w:rPr>
        <w:t>will</w:t>
      </w:r>
      <w:r>
        <w:rPr>
          <w:spacing w:val="-3"/>
          <w:sz w:val="22"/>
        </w:rPr>
        <w:t> </w:t>
      </w:r>
      <w:r>
        <w:rPr>
          <w:sz w:val="22"/>
        </w:rPr>
        <w:t>result</w:t>
      </w:r>
      <w:r>
        <w:rPr>
          <w:spacing w:val="-3"/>
          <w:sz w:val="22"/>
        </w:rPr>
        <w:t> </w:t>
      </w:r>
      <w:r>
        <w:rPr>
          <w:sz w:val="22"/>
        </w:rPr>
        <w:t>in</w:t>
      </w:r>
      <w:r>
        <w:rPr>
          <w:spacing w:val="-4"/>
          <w:sz w:val="22"/>
        </w:rPr>
        <w:t> </w:t>
      </w:r>
      <w:r>
        <w:rPr>
          <w:sz w:val="22"/>
        </w:rPr>
        <w:t>parallel</w:t>
      </w:r>
      <w:r>
        <w:rPr>
          <w:spacing w:val="-3"/>
          <w:sz w:val="22"/>
        </w:rPr>
        <w:t> </w:t>
      </w:r>
      <w:r>
        <w:rPr>
          <w:sz w:val="22"/>
        </w:rPr>
        <w:t>reduced DSRIP expenditures by the State. If the State experiences reduced expenditure authority from CMS, the State has discretion to determine whether and to what extent to reduce any of the four funding streams to best meet the State’s programmatic needs while adhering to the State’s DSRIP expenditure authority.</w:t>
      </w:r>
    </w:p>
    <w:p>
      <w:pPr>
        <w:spacing w:line="240" w:lineRule="auto" w:before="160"/>
        <w:ind w:left="1219" w:right="1094" w:firstLine="0"/>
        <w:jc w:val="both"/>
        <w:rPr>
          <w:sz w:val="22"/>
        </w:rPr>
      </w:pPr>
      <w:r>
        <w:rPr>
          <w:sz w:val="22"/>
        </w:rPr>
        <w:t>Separately, to maximize incentives for delivery system</w:t>
      </w:r>
      <w:r>
        <w:rPr>
          <w:spacing w:val="-1"/>
          <w:sz w:val="22"/>
        </w:rPr>
        <w:t> </w:t>
      </w:r>
      <w:r>
        <w:rPr>
          <w:sz w:val="22"/>
        </w:rPr>
        <w:t>reform, ACOs, CPs and CSAs that receive DSRIP funds</w:t>
      </w:r>
      <w:r>
        <w:rPr>
          <w:spacing w:val="-7"/>
          <w:sz w:val="22"/>
        </w:rPr>
        <w:t> </w:t>
      </w:r>
      <w:r>
        <w:rPr>
          <w:sz w:val="22"/>
        </w:rPr>
        <w:t>are</w:t>
      </w:r>
      <w:r>
        <w:rPr>
          <w:spacing w:val="-4"/>
          <w:sz w:val="22"/>
        </w:rPr>
        <w:t> </w:t>
      </w:r>
      <w:r>
        <w:rPr>
          <w:sz w:val="22"/>
        </w:rPr>
        <w:t>each</w:t>
      </w:r>
      <w:r>
        <w:rPr>
          <w:spacing w:val="-7"/>
          <w:sz w:val="22"/>
        </w:rPr>
        <w:t> </w:t>
      </w:r>
      <w:r>
        <w:rPr>
          <w:sz w:val="22"/>
        </w:rPr>
        <w:t>accountable</w:t>
      </w:r>
      <w:r>
        <w:rPr>
          <w:spacing w:val="-7"/>
          <w:sz w:val="22"/>
        </w:rPr>
        <w:t> </w:t>
      </w:r>
      <w:r>
        <w:rPr>
          <w:sz w:val="22"/>
        </w:rPr>
        <w:t>to</w:t>
      </w:r>
      <w:r>
        <w:rPr>
          <w:spacing w:val="-7"/>
          <w:sz w:val="22"/>
        </w:rPr>
        <w:t> </w:t>
      </w:r>
      <w:r>
        <w:rPr>
          <w:sz w:val="22"/>
        </w:rPr>
        <w:t>the</w:t>
      </w:r>
      <w:r>
        <w:rPr>
          <w:spacing w:val="-4"/>
          <w:sz w:val="22"/>
        </w:rPr>
        <w:t> </w:t>
      </w:r>
      <w:r>
        <w:rPr>
          <w:sz w:val="22"/>
        </w:rPr>
        <w:t>State</w:t>
      </w:r>
      <w:r>
        <w:rPr>
          <w:spacing w:val="-7"/>
          <w:sz w:val="22"/>
        </w:rPr>
        <w:t> </w:t>
      </w:r>
      <w:r>
        <w:rPr>
          <w:sz w:val="22"/>
        </w:rPr>
        <w:t>for</w:t>
      </w:r>
      <w:r>
        <w:rPr>
          <w:spacing w:val="-4"/>
          <w:sz w:val="22"/>
        </w:rPr>
        <w:t> </w:t>
      </w:r>
      <w:r>
        <w:rPr>
          <w:sz w:val="22"/>
        </w:rPr>
        <w:t>their</w:t>
      </w:r>
      <w:r>
        <w:rPr>
          <w:spacing w:val="-6"/>
          <w:sz w:val="22"/>
        </w:rPr>
        <w:t> </w:t>
      </w:r>
      <w:r>
        <w:rPr>
          <w:sz w:val="22"/>
        </w:rPr>
        <w:t>individual</w:t>
      </w:r>
      <w:r>
        <w:rPr>
          <w:spacing w:val="-6"/>
          <w:sz w:val="22"/>
        </w:rPr>
        <w:t> </w:t>
      </w:r>
      <w:r>
        <w:rPr>
          <w:sz w:val="22"/>
        </w:rPr>
        <w:t>performance.</w:t>
      </w:r>
      <w:r>
        <w:rPr>
          <w:spacing w:val="-7"/>
          <w:sz w:val="22"/>
        </w:rPr>
        <w:t> </w:t>
      </w:r>
      <w:r>
        <w:rPr>
          <w:sz w:val="22"/>
        </w:rPr>
        <w:t>An</w:t>
      </w:r>
      <w:r>
        <w:rPr>
          <w:spacing w:val="-5"/>
          <w:sz w:val="22"/>
        </w:rPr>
        <w:t> </w:t>
      </w:r>
      <w:r>
        <w:rPr>
          <w:sz w:val="22"/>
        </w:rPr>
        <w:t>ACO’s,</w:t>
      </w:r>
      <w:r>
        <w:rPr>
          <w:spacing w:val="-5"/>
          <w:sz w:val="22"/>
        </w:rPr>
        <w:t> </w:t>
      </w:r>
      <w:r>
        <w:rPr>
          <w:sz w:val="22"/>
        </w:rPr>
        <w:t>CP’s</w:t>
      </w:r>
      <w:r>
        <w:rPr>
          <w:spacing w:val="-7"/>
          <w:sz w:val="22"/>
        </w:rPr>
        <w:t> </w:t>
      </w:r>
      <w:r>
        <w:rPr>
          <w:sz w:val="22"/>
        </w:rPr>
        <w:t>or</w:t>
      </w:r>
      <w:r>
        <w:rPr>
          <w:spacing w:val="-6"/>
          <w:sz w:val="22"/>
        </w:rPr>
        <w:t> </w:t>
      </w:r>
      <w:r>
        <w:rPr>
          <w:sz w:val="22"/>
        </w:rPr>
        <w:t>CSA’s</w:t>
      </w:r>
      <w:r>
        <w:rPr>
          <w:spacing w:val="-7"/>
          <w:sz w:val="22"/>
        </w:rPr>
        <w:t> </w:t>
      </w:r>
      <w:r>
        <w:rPr>
          <w:sz w:val="22"/>
        </w:rPr>
        <w:t>failure to achieve the individual accountability standards set by the State may result in the ACO, CP or CSA receiving</w:t>
      </w:r>
      <w:r>
        <w:rPr>
          <w:spacing w:val="-14"/>
          <w:sz w:val="22"/>
        </w:rPr>
        <w:t> </w:t>
      </w:r>
      <w:r>
        <w:rPr>
          <w:sz w:val="22"/>
        </w:rPr>
        <w:t>less</w:t>
      </w:r>
      <w:r>
        <w:rPr>
          <w:spacing w:val="-11"/>
          <w:sz w:val="22"/>
        </w:rPr>
        <w:t> </w:t>
      </w:r>
      <w:r>
        <w:rPr>
          <w:sz w:val="22"/>
        </w:rPr>
        <w:t>DSRIP</w:t>
      </w:r>
      <w:r>
        <w:rPr>
          <w:spacing w:val="-12"/>
          <w:sz w:val="22"/>
        </w:rPr>
        <w:t> </w:t>
      </w:r>
      <w:r>
        <w:rPr>
          <w:sz w:val="22"/>
        </w:rPr>
        <w:t>funding</w:t>
      </w:r>
      <w:r>
        <w:rPr>
          <w:spacing w:val="-14"/>
          <w:sz w:val="22"/>
        </w:rPr>
        <w:t> </w:t>
      </w:r>
      <w:r>
        <w:rPr>
          <w:sz w:val="22"/>
        </w:rPr>
        <w:t>from</w:t>
      </w:r>
      <w:r>
        <w:rPr>
          <w:spacing w:val="-14"/>
          <w:sz w:val="22"/>
        </w:rPr>
        <w:t> </w:t>
      </w:r>
      <w:r>
        <w:rPr>
          <w:sz w:val="22"/>
        </w:rPr>
        <w:t>the</w:t>
      </w:r>
      <w:r>
        <w:rPr>
          <w:spacing w:val="-10"/>
          <w:sz w:val="22"/>
        </w:rPr>
        <w:t> </w:t>
      </w:r>
      <w:r>
        <w:rPr>
          <w:sz w:val="22"/>
        </w:rPr>
        <w:t>state.</w:t>
      </w:r>
      <w:r>
        <w:rPr>
          <w:spacing w:val="-12"/>
          <w:sz w:val="22"/>
        </w:rPr>
        <w:t> </w:t>
      </w:r>
      <w:r>
        <w:rPr>
          <w:sz w:val="22"/>
        </w:rPr>
        <w:t>Any</w:t>
      </w:r>
      <w:r>
        <w:rPr>
          <w:spacing w:val="-14"/>
          <w:sz w:val="22"/>
        </w:rPr>
        <w:t> </w:t>
      </w:r>
      <w:r>
        <w:rPr>
          <w:sz w:val="22"/>
        </w:rPr>
        <w:t>reduction</w:t>
      </w:r>
      <w:r>
        <w:rPr>
          <w:spacing w:val="-11"/>
          <w:sz w:val="22"/>
        </w:rPr>
        <w:t> </w:t>
      </w:r>
      <w:r>
        <w:rPr>
          <w:sz w:val="22"/>
        </w:rPr>
        <w:t>in</w:t>
      </w:r>
      <w:r>
        <w:rPr>
          <w:spacing w:val="-12"/>
          <w:sz w:val="22"/>
        </w:rPr>
        <w:t> </w:t>
      </w:r>
      <w:r>
        <w:rPr>
          <w:sz w:val="22"/>
        </w:rPr>
        <w:t>DSRIP</w:t>
      </w:r>
      <w:r>
        <w:rPr>
          <w:spacing w:val="-12"/>
          <w:sz w:val="22"/>
        </w:rPr>
        <w:t> </w:t>
      </w:r>
      <w:r>
        <w:rPr>
          <w:sz w:val="22"/>
        </w:rPr>
        <w:t>funding</w:t>
      </w:r>
      <w:r>
        <w:rPr>
          <w:spacing w:val="-14"/>
          <w:sz w:val="22"/>
        </w:rPr>
        <w:t> </w:t>
      </w:r>
      <w:r>
        <w:rPr>
          <w:sz w:val="22"/>
        </w:rPr>
        <w:t>experienced</w:t>
      </w:r>
      <w:r>
        <w:rPr>
          <w:spacing w:val="-11"/>
          <w:sz w:val="22"/>
        </w:rPr>
        <w:t> </w:t>
      </w:r>
      <w:r>
        <w:rPr>
          <w:sz w:val="22"/>
        </w:rPr>
        <w:t>by</w:t>
      </w:r>
      <w:r>
        <w:rPr>
          <w:spacing w:val="-14"/>
          <w:sz w:val="22"/>
        </w:rPr>
        <w:t> </w:t>
      </w:r>
      <w:r>
        <w:rPr>
          <w:sz w:val="22"/>
        </w:rPr>
        <w:t>an</w:t>
      </w:r>
      <w:r>
        <w:rPr>
          <w:spacing w:val="-11"/>
          <w:sz w:val="22"/>
        </w:rPr>
        <w:t> </w:t>
      </w:r>
      <w:r>
        <w:rPr>
          <w:sz w:val="22"/>
        </w:rPr>
        <w:t>individual ACO, CP or CSA will not necessarily impact the State’s overall DSRIP expenditure authority under the </w:t>
      </w:r>
      <w:r>
        <w:rPr>
          <w:spacing w:val="-2"/>
          <w:sz w:val="22"/>
        </w:rPr>
        <w:t>demonstration.</w:t>
      </w:r>
    </w:p>
    <w:p>
      <w:pPr>
        <w:spacing w:before="160"/>
        <w:ind w:left="1219" w:right="1096" w:firstLine="0"/>
        <w:jc w:val="both"/>
        <w:rPr>
          <w:sz w:val="22"/>
        </w:rPr>
      </w:pPr>
      <w:r>
        <w:rPr>
          <w:sz w:val="22"/>
        </w:rPr>
        <w:t>Exhibit</w:t>
      </w:r>
      <w:r>
        <w:rPr>
          <w:spacing w:val="-6"/>
          <w:sz w:val="22"/>
        </w:rPr>
        <w:t> </w:t>
      </w:r>
      <w:r>
        <w:rPr>
          <w:sz w:val="22"/>
        </w:rPr>
        <w:t>16</w:t>
      </w:r>
      <w:r>
        <w:rPr>
          <w:spacing w:val="-9"/>
          <w:sz w:val="22"/>
        </w:rPr>
        <w:t> </w:t>
      </w:r>
      <w:r>
        <w:rPr>
          <w:sz w:val="22"/>
        </w:rPr>
        <w:t>below</w:t>
      </w:r>
      <w:r>
        <w:rPr>
          <w:spacing w:val="-8"/>
          <w:sz w:val="22"/>
        </w:rPr>
        <w:t> </w:t>
      </w:r>
      <w:r>
        <w:rPr>
          <w:sz w:val="22"/>
        </w:rPr>
        <w:t>illustrates</w:t>
      </w:r>
      <w:r>
        <w:rPr>
          <w:spacing w:val="-9"/>
          <w:sz w:val="22"/>
        </w:rPr>
        <w:t> </w:t>
      </w:r>
      <w:r>
        <w:rPr>
          <w:sz w:val="22"/>
        </w:rPr>
        <w:t>the</w:t>
      </w:r>
      <w:r>
        <w:rPr>
          <w:spacing w:val="-7"/>
          <w:sz w:val="22"/>
        </w:rPr>
        <w:t> </w:t>
      </w:r>
      <w:r>
        <w:rPr>
          <w:sz w:val="22"/>
        </w:rPr>
        <w:t>State’s</w:t>
      </w:r>
      <w:r>
        <w:rPr>
          <w:spacing w:val="-9"/>
          <w:sz w:val="22"/>
        </w:rPr>
        <w:t> </w:t>
      </w:r>
      <w:r>
        <w:rPr>
          <w:sz w:val="22"/>
        </w:rPr>
        <w:t>accountability</w:t>
      </w:r>
      <w:r>
        <w:rPr>
          <w:spacing w:val="-10"/>
          <w:sz w:val="22"/>
        </w:rPr>
        <w:t> </w:t>
      </w:r>
      <w:r>
        <w:rPr>
          <w:sz w:val="22"/>
        </w:rPr>
        <w:t>to</w:t>
      </w:r>
      <w:r>
        <w:rPr>
          <w:spacing w:val="-7"/>
          <w:sz w:val="22"/>
        </w:rPr>
        <w:t> </w:t>
      </w:r>
      <w:r>
        <w:rPr>
          <w:sz w:val="22"/>
        </w:rPr>
        <w:t>CMS,</w:t>
      </w:r>
      <w:r>
        <w:rPr>
          <w:spacing w:val="-7"/>
          <w:sz w:val="22"/>
        </w:rPr>
        <w:t> </w:t>
      </w:r>
      <w:r>
        <w:rPr>
          <w:sz w:val="22"/>
        </w:rPr>
        <w:t>and</w:t>
      </w:r>
      <w:r>
        <w:rPr>
          <w:spacing w:val="-9"/>
          <w:sz w:val="22"/>
        </w:rPr>
        <w:t> </w:t>
      </w:r>
      <w:r>
        <w:rPr>
          <w:sz w:val="22"/>
        </w:rPr>
        <w:t>also</w:t>
      </w:r>
      <w:r>
        <w:rPr>
          <w:spacing w:val="-7"/>
          <w:sz w:val="22"/>
        </w:rPr>
        <w:t> </w:t>
      </w:r>
      <w:r>
        <w:rPr>
          <w:sz w:val="22"/>
        </w:rPr>
        <w:t>illustrates</w:t>
      </w:r>
      <w:r>
        <w:rPr>
          <w:spacing w:val="-9"/>
          <w:sz w:val="22"/>
        </w:rPr>
        <w:t> </w:t>
      </w:r>
      <w:r>
        <w:rPr>
          <w:sz w:val="22"/>
        </w:rPr>
        <w:t>ACOs’,</w:t>
      </w:r>
      <w:r>
        <w:rPr>
          <w:spacing w:val="-7"/>
          <w:sz w:val="22"/>
        </w:rPr>
        <w:t> </w:t>
      </w:r>
      <w:r>
        <w:rPr>
          <w:sz w:val="22"/>
        </w:rPr>
        <w:t>CPs’</w:t>
      </w:r>
      <w:r>
        <w:rPr>
          <w:spacing w:val="-6"/>
          <w:sz w:val="22"/>
        </w:rPr>
        <w:t> </w:t>
      </w:r>
      <w:r>
        <w:rPr>
          <w:sz w:val="22"/>
        </w:rPr>
        <w:t>and</w:t>
      </w:r>
      <w:r>
        <w:rPr>
          <w:spacing w:val="-7"/>
          <w:sz w:val="22"/>
        </w:rPr>
        <w:t> </w:t>
      </w:r>
      <w:r>
        <w:rPr>
          <w:sz w:val="22"/>
        </w:rPr>
        <w:t>CSAs’ accountability to the State and how these two accountability mechanisms interact.</w:t>
      </w:r>
    </w:p>
    <w:p>
      <w:pPr>
        <w:spacing w:before="161"/>
        <w:ind w:left="1219" w:right="0" w:firstLine="0"/>
        <w:jc w:val="both"/>
        <w:rPr>
          <w:sz w:val="22"/>
        </w:rPr>
      </w:pPr>
      <w:r>
        <w:rPr>
          <w:sz w:val="22"/>
        </w:rPr>
        <w:t>This</w:t>
      </w:r>
      <w:r>
        <w:rPr>
          <w:spacing w:val="-3"/>
          <w:sz w:val="22"/>
        </w:rPr>
        <w:t> </w:t>
      </w:r>
      <w:r>
        <w:rPr>
          <w:sz w:val="22"/>
        </w:rPr>
        <w:t>section</w:t>
      </w:r>
      <w:r>
        <w:rPr>
          <w:spacing w:val="-6"/>
          <w:sz w:val="22"/>
        </w:rPr>
        <w:t> </w:t>
      </w:r>
      <w:r>
        <w:rPr>
          <w:sz w:val="22"/>
        </w:rPr>
        <w:t>will</w:t>
      </w:r>
      <w:r>
        <w:rPr>
          <w:spacing w:val="-2"/>
          <w:sz w:val="22"/>
        </w:rPr>
        <w:t> </w:t>
      </w:r>
      <w:r>
        <w:rPr>
          <w:sz w:val="22"/>
        </w:rPr>
        <w:t>describe</w:t>
      </w:r>
      <w:r>
        <w:rPr>
          <w:spacing w:val="-3"/>
          <w:sz w:val="22"/>
        </w:rPr>
        <w:t> </w:t>
      </w:r>
      <w:r>
        <w:rPr>
          <w:sz w:val="22"/>
        </w:rPr>
        <w:t>each</w:t>
      </w:r>
      <w:r>
        <w:rPr>
          <w:spacing w:val="-3"/>
          <w:sz w:val="22"/>
        </w:rPr>
        <w:t> </w:t>
      </w:r>
      <w:r>
        <w:rPr>
          <w:sz w:val="22"/>
        </w:rPr>
        <w:t>step</w:t>
      </w:r>
      <w:r>
        <w:rPr>
          <w:spacing w:val="-3"/>
          <w:sz w:val="22"/>
        </w:rPr>
        <w:t> </w:t>
      </w:r>
      <w:r>
        <w:rPr>
          <w:sz w:val="22"/>
        </w:rPr>
        <w:t>of</w:t>
      </w:r>
      <w:r>
        <w:rPr>
          <w:spacing w:val="-5"/>
          <w:sz w:val="22"/>
        </w:rPr>
        <w:t> </w:t>
      </w:r>
      <w:r>
        <w:rPr>
          <w:sz w:val="22"/>
        </w:rPr>
        <w:t>these</w:t>
      </w:r>
      <w:r>
        <w:rPr>
          <w:spacing w:val="-3"/>
          <w:sz w:val="22"/>
        </w:rPr>
        <w:t> </w:t>
      </w:r>
      <w:r>
        <w:rPr>
          <w:sz w:val="22"/>
        </w:rPr>
        <w:t>accountability</w:t>
      </w:r>
      <w:r>
        <w:rPr>
          <w:spacing w:val="-6"/>
          <w:sz w:val="22"/>
        </w:rPr>
        <w:t> </w:t>
      </w:r>
      <w:r>
        <w:rPr>
          <w:sz w:val="22"/>
        </w:rPr>
        <w:t>mechanisms</w:t>
      </w:r>
      <w:r>
        <w:rPr>
          <w:spacing w:val="-3"/>
          <w:sz w:val="22"/>
        </w:rPr>
        <w:t> </w:t>
      </w:r>
      <w:r>
        <w:rPr>
          <w:sz w:val="22"/>
        </w:rPr>
        <w:t>as</w:t>
      </w:r>
      <w:r>
        <w:rPr>
          <w:spacing w:val="-2"/>
          <w:sz w:val="22"/>
        </w:rPr>
        <w:t> follows:</w:t>
      </w:r>
    </w:p>
    <w:p>
      <w:pPr>
        <w:pStyle w:val="ListParagraph"/>
        <w:numPr>
          <w:ilvl w:val="0"/>
          <w:numId w:val="78"/>
        </w:numPr>
        <w:tabs>
          <w:tab w:pos="1940" w:val="left" w:leader="none"/>
        </w:tabs>
        <w:spacing w:line="240" w:lineRule="auto" w:before="158" w:after="0"/>
        <w:ind w:left="1940" w:right="1094" w:hanging="361"/>
        <w:jc w:val="left"/>
        <w:rPr>
          <w:sz w:val="22"/>
        </w:rPr>
      </w:pPr>
      <w:r>
        <w:rPr>
          <w:sz w:val="22"/>
        </w:rPr>
        <w:t>Section 5.1: provides an overview</w:t>
      </w:r>
      <w:r>
        <w:rPr>
          <w:spacing w:val="-1"/>
          <w:sz w:val="22"/>
        </w:rPr>
        <w:t> </w:t>
      </w:r>
      <w:r>
        <w:rPr>
          <w:sz w:val="22"/>
        </w:rPr>
        <w:t>of DSRIP Accountability</w:t>
      </w:r>
      <w:r>
        <w:rPr>
          <w:spacing w:val="-2"/>
          <w:sz w:val="22"/>
        </w:rPr>
        <w:t> </w:t>
      </w:r>
      <w:r>
        <w:rPr>
          <w:sz w:val="22"/>
        </w:rPr>
        <w:t>Framework</w:t>
      </w:r>
      <w:r>
        <w:rPr>
          <w:spacing w:val="-2"/>
          <w:sz w:val="22"/>
        </w:rPr>
        <w:t> </w:t>
      </w:r>
      <w:r>
        <w:rPr>
          <w:sz w:val="22"/>
        </w:rPr>
        <w:t>for the State to CMS and ACOs, CPs and CSAs to the State</w:t>
      </w:r>
    </w:p>
    <w:p>
      <w:pPr>
        <w:pStyle w:val="ListParagraph"/>
        <w:numPr>
          <w:ilvl w:val="0"/>
          <w:numId w:val="78"/>
        </w:numPr>
        <w:tabs>
          <w:tab w:pos="1940" w:val="left" w:leader="none"/>
        </w:tabs>
        <w:spacing w:line="240" w:lineRule="auto" w:before="200" w:after="0"/>
        <w:ind w:left="1940" w:right="0" w:hanging="360"/>
        <w:jc w:val="left"/>
        <w:rPr>
          <w:sz w:val="22"/>
        </w:rPr>
      </w:pPr>
      <w:r>
        <w:rPr>
          <w:sz w:val="22"/>
        </w:rPr>
        <w:t>Section</w:t>
      </w:r>
      <w:r>
        <w:rPr>
          <w:spacing w:val="-3"/>
          <w:sz w:val="22"/>
        </w:rPr>
        <w:t> </w:t>
      </w:r>
      <w:r>
        <w:rPr>
          <w:sz w:val="22"/>
        </w:rPr>
        <w:t>5.2:</w:t>
      </w:r>
      <w:r>
        <w:rPr>
          <w:spacing w:val="-2"/>
          <w:sz w:val="22"/>
        </w:rPr>
        <w:t> </w:t>
      </w:r>
      <w:r>
        <w:rPr>
          <w:sz w:val="22"/>
        </w:rPr>
        <w:t>provides</w:t>
      </w:r>
      <w:r>
        <w:rPr>
          <w:spacing w:val="-5"/>
          <w:sz w:val="22"/>
        </w:rPr>
        <w:t> </w:t>
      </w:r>
      <w:r>
        <w:rPr>
          <w:sz w:val="22"/>
        </w:rPr>
        <w:t>detail</w:t>
      </w:r>
      <w:r>
        <w:rPr>
          <w:spacing w:val="-5"/>
          <w:sz w:val="22"/>
        </w:rPr>
        <w:t> </w:t>
      </w:r>
      <w:r>
        <w:rPr>
          <w:sz w:val="22"/>
        </w:rPr>
        <w:t>on</w:t>
      </w:r>
      <w:r>
        <w:rPr>
          <w:spacing w:val="-2"/>
          <w:sz w:val="22"/>
        </w:rPr>
        <w:t> </w:t>
      </w:r>
      <w:r>
        <w:rPr>
          <w:sz w:val="22"/>
        </w:rPr>
        <w:t>State</w:t>
      </w:r>
      <w:r>
        <w:rPr>
          <w:spacing w:val="-3"/>
          <w:sz w:val="22"/>
        </w:rPr>
        <w:t> </w:t>
      </w:r>
      <w:r>
        <w:rPr>
          <w:sz w:val="22"/>
        </w:rPr>
        <w:t>Accountability</w:t>
      </w:r>
      <w:r>
        <w:rPr>
          <w:spacing w:val="-6"/>
          <w:sz w:val="22"/>
        </w:rPr>
        <w:t> </w:t>
      </w:r>
      <w:r>
        <w:rPr>
          <w:sz w:val="22"/>
        </w:rPr>
        <w:t>to</w:t>
      </w:r>
      <w:r>
        <w:rPr>
          <w:spacing w:val="-5"/>
          <w:sz w:val="22"/>
        </w:rPr>
        <w:t> CMS</w:t>
      </w:r>
    </w:p>
    <w:p>
      <w:pPr>
        <w:pStyle w:val="ListParagraph"/>
        <w:numPr>
          <w:ilvl w:val="0"/>
          <w:numId w:val="78"/>
        </w:numPr>
        <w:tabs>
          <w:tab w:pos="1940" w:val="left" w:leader="none"/>
        </w:tabs>
        <w:spacing w:line="240" w:lineRule="auto" w:before="199" w:after="0"/>
        <w:ind w:left="1940" w:right="1096" w:hanging="361"/>
        <w:jc w:val="left"/>
        <w:rPr>
          <w:sz w:val="22"/>
        </w:rPr>
      </w:pPr>
      <w:r>
        <w:rPr>
          <w:sz w:val="22"/>
        </w:rPr>
        <w:t>Section 5.3:</w:t>
      </w:r>
      <w:r>
        <w:rPr>
          <w:spacing w:val="27"/>
          <w:sz w:val="22"/>
        </w:rPr>
        <w:t> </w:t>
      </w:r>
      <w:r>
        <w:rPr>
          <w:sz w:val="22"/>
        </w:rPr>
        <w:t>provides detail</w:t>
      </w:r>
      <w:r>
        <w:rPr>
          <w:spacing w:val="29"/>
          <w:sz w:val="22"/>
        </w:rPr>
        <w:t> </w:t>
      </w:r>
      <w:r>
        <w:rPr>
          <w:sz w:val="22"/>
        </w:rPr>
        <w:t>on accountability framework and performance</w:t>
      </w:r>
      <w:r>
        <w:rPr>
          <w:spacing w:val="28"/>
          <w:sz w:val="22"/>
        </w:rPr>
        <w:t> </w:t>
      </w:r>
      <w:r>
        <w:rPr>
          <w:sz w:val="22"/>
        </w:rPr>
        <w:t>based</w:t>
      </w:r>
      <w:r>
        <w:rPr>
          <w:spacing w:val="28"/>
          <w:sz w:val="22"/>
        </w:rPr>
        <w:t> </w:t>
      </w:r>
      <w:r>
        <w:rPr>
          <w:sz w:val="22"/>
        </w:rPr>
        <w:t>payments</w:t>
      </w:r>
      <w:r>
        <w:rPr>
          <w:spacing w:val="28"/>
          <w:sz w:val="22"/>
        </w:rPr>
        <w:t> </w:t>
      </w:r>
      <w:r>
        <w:rPr>
          <w:sz w:val="22"/>
        </w:rPr>
        <w:t>for </w:t>
      </w:r>
      <w:r>
        <w:rPr>
          <w:spacing w:val="-4"/>
          <w:sz w:val="22"/>
        </w:rPr>
        <w:t>ACOs</w:t>
      </w:r>
    </w:p>
    <w:p>
      <w:pPr>
        <w:pStyle w:val="ListParagraph"/>
        <w:numPr>
          <w:ilvl w:val="0"/>
          <w:numId w:val="78"/>
        </w:numPr>
        <w:tabs>
          <w:tab w:pos="1940" w:val="left" w:leader="none"/>
        </w:tabs>
        <w:spacing w:line="240" w:lineRule="auto" w:before="200" w:after="0"/>
        <w:ind w:left="1940" w:right="1096" w:hanging="361"/>
        <w:jc w:val="left"/>
        <w:rPr>
          <w:sz w:val="22"/>
        </w:rPr>
      </w:pPr>
      <w:r>
        <w:rPr>
          <w:sz w:val="22"/>
        </w:rPr>
        <w:t>Section</w:t>
      </w:r>
      <w:r>
        <w:rPr>
          <w:spacing w:val="-10"/>
          <w:sz w:val="22"/>
        </w:rPr>
        <w:t> </w:t>
      </w:r>
      <w:r>
        <w:rPr>
          <w:sz w:val="22"/>
        </w:rPr>
        <w:t>5.4:</w:t>
      </w:r>
      <w:r>
        <w:rPr>
          <w:spacing w:val="-9"/>
          <w:sz w:val="22"/>
        </w:rPr>
        <w:t> </w:t>
      </w:r>
      <w:r>
        <w:rPr>
          <w:sz w:val="22"/>
        </w:rPr>
        <w:t>provides</w:t>
      </w:r>
      <w:r>
        <w:rPr>
          <w:spacing w:val="-9"/>
          <w:sz w:val="22"/>
        </w:rPr>
        <w:t> </w:t>
      </w:r>
      <w:r>
        <w:rPr>
          <w:sz w:val="22"/>
        </w:rPr>
        <w:t>detail</w:t>
      </w:r>
      <w:r>
        <w:rPr>
          <w:spacing w:val="-11"/>
          <w:sz w:val="22"/>
        </w:rPr>
        <w:t> </w:t>
      </w:r>
      <w:r>
        <w:rPr>
          <w:sz w:val="22"/>
        </w:rPr>
        <w:t>on</w:t>
      </w:r>
      <w:r>
        <w:rPr>
          <w:spacing w:val="-10"/>
          <w:sz w:val="22"/>
        </w:rPr>
        <w:t> </w:t>
      </w:r>
      <w:r>
        <w:rPr>
          <w:sz w:val="22"/>
        </w:rPr>
        <w:t>accountability</w:t>
      </w:r>
      <w:r>
        <w:rPr>
          <w:spacing w:val="-12"/>
          <w:sz w:val="22"/>
        </w:rPr>
        <w:t> </w:t>
      </w:r>
      <w:r>
        <w:rPr>
          <w:sz w:val="22"/>
        </w:rPr>
        <w:t>framework</w:t>
      </w:r>
      <w:r>
        <w:rPr>
          <w:spacing w:val="-12"/>
          <w:sz w:val="22"/>
        </w:rPr>
        <w:t> </w:t>
      </w:r>
      <w:r>
        <w:rPr>
          <w:sz w:val="22"/>
        </w:rPr>
        <w:t>and</w:t>
      </w:r>
      <w:r>
        <w:rPr>
          <w:spacing w:val="-10"/>
          <w:sz w:val="22"/>
        </w:rPr>
        <w:t> </w:t>
      </w:r>
      <w:r>
        <w:rPr>
          <w:sz w:val="22"/>
        </w:rPr>
        <w:t>performance</w:t>
      </w:r>
      <w:r>
        <w:rPr>
          <w:spacing w:val="-9"/>
          <w:sz w:val="22"/>
        </w:rPr>
        <w:t> </w:t>
      </w:r>
      <w:r>
        <w:rPr>
          <w:sz w:val="22"/>
        </w:rPr>
        <w:t>based</w:t>
      </w:r>
      <w:r>
        <w:rPr>
          <w:spacing w:val="-10"/>
          <w:sz w:val="22"/>
        </w:rPr>
        <w:t> </w:t>
      </w:r>
      <w:r>
        <w:rPr>
          <w:sz w:val="22"/>
        </w:rPr>
        <w:t>payments</w:t>
      </w:r>
      <w:r>
        <w:rPr>
          <w:spacing w:val="-9"/>
          <w:sz w:val="22"/>
        </w:rPr>
        <w:t> </w:t>
      </w:r>
      <w:r>
        <w:rPr>
          <w:sz w:val="22"/>
        </w:rPr>
        <w:t>for</w:t>
      </w:r>
      <w:r>
        <w:rPr>
          <w:spacing w:val="-9"/>
          <w:sz w:val="22"/>
        </w:rPr>
        <w:t> </w:t>
      </w:r>
      <w:r>
        <w:rPr>
          <w:sz w:val="22"/>
        </w:rPr>
        <w:t>CPs and CSAs</w:t>
      </w:r>
    </w:p>
    <w:p>
      <w:pPr>
        <w:pStyle w:val="ListParagraph"/>
        <w:numPr>
          <w:ilvl w:val="0"/>
          <w:numId w:val="78"/>
        </w:numPr>
        <w:tabs>
          <w:tab w:pos="1940" w:val="left" w:leader="none"/>
        </w:tabs>
        <w:spacing w:line="240" w:lineRule="auto" w:before="200" w:after="0"/>
        <w:ind w:left="1940" w:right="0" w:hanging="360"/>
        <w:jc w:val="left"/>
        <w:rPr>
          <w:sz w:val="22"/>
        </w:rPr>
      </w:pPr>
      <w:r>
        <w:rPr>
          <w:sz w:val="22"/>
        </w:rPr>
        <w:t>Section</w:t>
      </w:r>
      <w:r>
        <w:rPr>
          <w:spacing w:val="-4"/>
          <w:sz w:val="22"/>
        </w:rPr>
        <w:t> </w:t>
      </w:r>
      <w:r>
        <w:rPr>
          <w:sz w:val="22"/>
        </w:rPr>
        <w:t>5.5:</w:t>
      </w:r>
      <w:r>
        <w:rPr>
          <w:spacing w:val="-3"/>
          <w:sz w:val="22"/>
        </w:rPr>
        <w:t> </w:t>
      </w:r>
      <w:r>
        <w:rPr>
          <w:sz w:val="22"/>
        </w:rPr>
        <w:t>outlines</w:t>
      </w:r>
      <w:r>
        <w:rPr>
          <w:spacing w:val="-4"/>
          <w:sz w:val="22"/>
        </w:rPr>
        <w:t> </w:t>
      </w:r>
      <w:r>
        <w:rPr>
          <w:sz w:val="22"/>
        </w:rPr>
        <w:t>reporting</w:t>
      </w:r>
      <w:r>
        <w:rPr>
          <w:spacing w:val="-7"/>
          <w:sz w:val="22"/>
        </w:rPr>
        <w:t> </w:t>
      </w:r>
      <w:r>
        <w:rPr>
          <w:sz w:val="22"/>
        </w:rPr>
        <w:t>requirements</w:t>
      </w:r>
      <w:r>
        <w:rPr>
          <w:spacing w:val="-3"/>
          <w:sz w:val="22"/>
        </w:rPr>
        <w:t> </w:t>
      </w:r>
      <w:r>
        <w:rPr>
          <w:sz w:val="22"/>
        </w:rPr>
        <w:t>for</w:t>
      </w:r>
      <w:r>
        <w:rPr>
          <w:spacing w:val="-3"/>
          <w:sz w:val="22"/>
        </w:rPr>
        <w:t> </w:t>
      </w:r>
      <w:r>
        <w:rPr>
          <w:sz w:val="22"/>
        </w:rPr>
        <w:t>ACOs,</w:t>
      </w:r>
      <w:r>
        <w:rPr>
          <w:spacing w:val="-7"/>
          <w:sz w:val="22"/>
        </w:rPr>
        <w:t> </w:t>
      </w:r>
      <w:r>
        <w:rPr>
          <w:sz w:val="22"/>
        </w:rPr>
        <w:t>CPs</w:t>
      </w:r>
      <w:r>
        <w:rPr>
          <w:spacing w:val="-4"/>
          <w:sz w:val="22"/>
        </w:rPr>
        <w:t> </w:t>
      </w:r>
      <w:r>
        <w:rPr>
          <w:sz w:val="22"/>
        </w:rPr>
        <w:t>and</w:t>
      </w:r>
      <w:r>
        <w:rPr>
          <w:spacing w:val="-3"/>
          <w:sz w:val="22"/>
        </w:rPr>
        <w:t> </w:t>
      </w:r>
      <w:r>
        <w:rPr>
          <w:spacing w:val="-4"/>
          <w:sz w:val="22"/>
        </w:rPr>
        <w:t>CSAs</w:t>
      </w:r>
    </w:p>
    <w:p>
      <w:pPr>
        <w:spacing w:after="0" w:line="240" w:lineRule="auto"/>
        <w:jc w:val="left"/>
        <w:rPr>
          <w:sz w:val="22"/>
        </w:rPr>
        <w:sectPr>
          <w:pgSz w:w="12240" w:h="15840"/>
          <w:pgMar w:header="0" w:footer="967" w:top="1360" w:bottom="1160" w:left="220" w:right="340"/>
        </w:sectPr>
      </w:pPr>
    </w:p>
    <w:p>
      <w:pPr>
        <w:spacing w:line="252" w:lineRule="exact" w:before="78"/>
        <w:ind w:left="1219" w:right="0" w:firstLine="0"/>
        <w:jc w:val="left"/>
        <w:rPr>
          <w:sz w:val="22"/>
        </w:rPr>
      </w:pPr>
      <w:r>
        <w:rPr>
          <w:sz w:val="22"/>
        </w:rPr>
        <w:t>EXHIBIT</w:t>
      </w:r>
      <w:r>
        <w:rPr>
          <w:spacing w:val="-15"/>
          <w:sz w:val="22"/>
        </w:rPr>
        <w:t> </w:t>
      </w:r>
      <w:r>
        <w:rPr>
          <w:sz w:val="22"/>
        </w:rPr>
        <w:t>16</w:t>
      </w:r>
      <w:r>
        <w:rPr>
          <w:spacing w:val="-13"/>
          <w:sz w:val="22"/>
        </w:rPr>
        <w:t> </w:t>
      </w:r>
      <w:r>
        <w:rPr>
          <w:sz w:val="22"/>
        </w:rPr>
        <w:t>–</w:t>
      </w:r>
      <w:r>
        <w:rPr>
          <w:spacing w:val="-13"/>
          <w:sz w:val="22"/>
        </w:rPr>
        <w:t> </w:t>
      </w:r>
      <w:r>
        <w:rPr>
          <w:sz w:val="22"/>
        </w:rPr>
        <w:t>Process</w:t>
      </w:r>
      <w:r>
        <w:rPr>
          <w:spacing w:val="-11"/>
          <w:sz w:val="22"/>
        </w:rPr>
        <w:t> </w:t>
      </w:r>
      <w:r>
        <w:rPr>
          <w:sz w:val="22"/>
        </w:rPr>
        <w:t>Flow</w:t>
      </w:r>
      <w:r>
        <w:rPr>
          <w:spacing w:val="-14"/>
          <w:sz w:val="22"/>
        </w:rPr>
        <w:t> </w:t>
      </w:r>
      <w:r>
        <w:rPr>
          <w:sz w:val="22"/>
        </w:rPr>
        <w:t>for</w:t>
      </w:r>
      <w:r>
        <w:rPr>
          <w:spacing w:val="-12"/>
          <w:sz w:val="22"/>
        </w:rPr>
        <w:t> </w:t>
      </w:r>
      <w:r>
        <w:rPr>
          <w:sz w:val="22"/>
        </w:rPr>
        <w:t>State</w:t>
      </w:r>
      <w:r>
        <w:rPr>
          <w:spacing w:val="-12"/>
          <w:sz w:val="22"/>
        </w:rPr>
        <w:t> </w:t>
      </w:r>
      <w:r>
        <w:rPr>
          <w:sz w:val="22"/>
        </w:rPr>
        <w:t>Accountability</w:t>
      </w:r>
      <w:r>
        <w:rPr>
          <w:spacing w:val="-13"/>
          <w:sz w:val="22"/>
        </w:rPr>
        <w:t> </w:t>
      </w:r>
      <w:r>
        <w:rPr>
          <w:sz w:val="22"/>
        </w:rPr>
        <w:t>to</w:t>
      </w:r>
      <w:r>
        <w:rPr>
          <w:spacing w:val="-13"/>
          <w:sz w:val="22"/>
        </w:rPr>
        <w:t> </w:t>
      </w:r>
      <w:r>
        <w:rPr>
          <w:sz w:val="22"/>
        </w:rPr>
        <w:t>CMS</w:t>
      </w:r>
      <w:r>
        <w:rPr>
          <w:spacing w:val="-13"/>
          <w:sz w:val="22"/>
        </w:rPr>
        <w:t> </w:t>
      </w:r>
      <w:r>
        <w:rPr>
          <w:sz w:val="22"/>
        </w:rPr>
        <w:t>and</w:t>
      </w:r>
      <w:r>
        <w:rPr>
          <w:spacing w:val="-13"/>
          <w:sz w:val="22"/>
        </w:rPr>
        <w:t> </w:t>
      </w:r>
      <w:r>
        <w:rPr>
          <w:sz w:val="22"/>
        </w:rPr>
        <w:t>Accountability</w:t>
      </w:r>
      <w:r>
        <w:rPr>
          <w:spacing w:val="-13"/>
          <w:sz w:val="22"/>
        </w:rPr>
        <w:t> </w:t>
      </w:r>
      <w:r>
        <w:rPr>
          <w:sz w:val="22"/>
        </w:rPr>
        <w:t>of</w:t>
      </w:r>
      <w:r>
        <w:rPr>
          <w:spacing w:val="-12"/>
          <w:sz w:val="22"/>
        </w:rPr>
        <w:t> </w:t>
      </w:r>
      <w:r>
        <w:rPr>
          <w:sz w:val="22"/>
        </w:rPr>
        <w:t>ACOs,</w:t>
      </w:r>
      <w:r>
        <w:rPr>
          <w:spacing w:val="-13"/>
          <w:sz w:val="22"/>
        </w:rPr>
        <w:t> </w:t>
      </w:r>
      <w:r>
        <w:rPr>
          <w:sz w:val="22"/>
        </w:rPr>
        <w:t>CPs,</w:t>
      </w:r>
      <w:r>
        <w:rPr>
          <w:spacing w:val="-13"/>
          <w:sz w:val="22"/>
        </w:rPr>
        <w:t> </w:t>
      </w:r>
      <w:r>
        <w:rPr>
          <w:sz w:val="22"/>
        </w:rPr>
        <w:t>and</w:t>
      </w:r>
      <w:r>
        <w:rPr>
          <w:spacing w:val="-12"/>
          <w:sz w:val="22"/>
        </w:rPr>
        <w:t> </w:t>
      </w:r>
      <w:r>
        <w:rPr>
          <w:spacing w:val="-4"/>
          <w:sz w:val="22"/>
        </w:rPr>
        <w:t>CSAs</w:t>
      </w:r>
    </w:p>
    <w:p>
      <w:pPr>
        <w:tabs>
          <w:tab w:pos="10899" w:val="left" w:leader="none"/>
        </w:tabs>
        <w:spacing w:line="252" w:lineRule="exact" w:before="0"/>
        <w:ind w:left="1220" w:right="0" w:firstLine="0"/>
        <w:jc w:val="left"/>
        <w:rPr>
          <w:sz w:val="22"/>
        </w:rPr>
      </w:pPr>
      <w:r>
        <w:rPr>
          <w:sz w:val="22"/>
          <w:u w:val="single"/>
        </w:rPr>
        <w:t>to</w:t>
      </w:r>
      <w:r>
        <w:rPr>
          <w:spacing w:val="-3"/>
          <w:sz w:val="22"/>
          <w:u w:val="single"/>
        </w:rPr>
        <w:t> </w:t>
      </w:r>
      <w:r>
        <w:rPr>
          <w:sz w:val="22"/>
          <w:u w:val="single"/>
        </w:rPr>
        <w:t>the </w:t>
      </w:r>
      <w:r>
        <w:rPr>
          <w:spacing w:val="-2"/>
          <w:sz w:val="22"/>
          <w:u w:val="single"/>
        </w:rPr>
        <w:t>State</w:t>
      </w:r>
      <w:r>
        <w:rPr>
          <w:sz w:val="22"/>
          <w:u w:val="single"/>
        </w:rPr>
        <w:tab/>
      </w:r>
    </w:p>
    <w:p>
      <w:pPr>
        <w:pStyle w:val="BodyText"/>
        <w:spacing w:before="10"/>
        <w:rPr>
          <w:sz w:val="7"/>
        </w:rPr>
      </w:pPr>
      <w:r>
        <w:rPr/>
        <w:drawing>
          <wp:anchor distT="0" distB="0" distL="0" distR="0" allowOverlap="1" layoutInCell="1" locked="0" behindDoc="1" simplePos="0" relativeHeight="488001024">
            <wp:simplePos x="0" y="0"/>
            <wp:positionH relativeFrom="page">
              <wp:posOffset>982980</wp:posOffset>
            </wp:positionH>
            <wp:positionV relativeFrom="paragraph">
              <wp:posOffset>72737</wp:posOffset>
            </wp:positionV>
            <wp:extent cx="5997700" cy="4467606"/>
            <wp:effectExtent l="0" t="0" r="0" b="0"/>
            <wp:wrapTopAndBottom/>
            <wp:docPr id="861" name="Image 861"/>
            <wp:cNvGraphicFramePr>
              <a:graphicFrameLocks/>
            </wp:cNvGraphicFramePr>
            <a:graphic>
              <a:graphicData uri="http://schemas.openxmlformats.org/drawingml/2006/picture">
                <pic:pic>
                  <pic:nvPicPr>
                    <pic:cNvPr id="861" name="Image 861"/>
                    <pic:cNvPicPr/>
                  </pic:nvPicPr>
                  <pic:blipFill>
                    <a:blip r:embed="rId342" cstate="print"/>
                    <a:stretch>
                      <a:fillRect/>
                    </a:stretch>
                  </pic:blipFill>
                  <pic:spPr>
                    <a:xfrm>
                      <a:off x="0" y="0"/>
                      <a:ext cx="5997700" cy="4467606"/>
                    </a:xfrm>
                    <a:prstGeom prst="rect">
                      <a:avLst/>
                    </a:prstGeom>
                  </pic:spPr>
                </pic:pic>
              </a:graphicData>
            </a:graphic>
          </wp:anchor>
        </w:drawing>
      </w:r>
      <w:r>
        <w:rPr/>
        <mc:AlternateContent>
          <mc:Choice Requires="wps">
            <w:drawing>
              <wp:anchor distT="0" distB="0" distL="0" distR="0" allowOverlap="1" layoutInCell="1" locked="0" behindDoc="1" simplePos="0" relativeHeight="488001536">
                <wp:simplePos x="0" y="0"/>
                <wp:positionH relativeFrom="page">
                  <wp:posOffset>905255</wp:posOffset>
                </wp:positionH>
                <wp:positionV relativeFrom="paragraph">
                  <wp:posOffset>4613838</wp:posOffset>
                </wp:positionV>
                <wp:extent cx="6155690" cy="6350"/>
                <wp:effectExtent l="0" t="0" r="0" b="0"/>
                <wp:wrapTopAndBottom/>
                <wp:docPr id="862" name="Graphic 862"/>
                <wp:cNvGraphicFramePr>
                  <a:graphicFrameLocks/>
                </wp:cNvGraphicFramePr>
                <a:graphic>
                  <a:graphicData uri="http://schemas.microsoft.com/office/word/2010/wordprocessingShape">
                    <wps:wsp>
                      <wps:cNvPr id="862" name="Graphic 862"/>
                      <wps:cNvSpPr/>
                      <wps:spPr>
                        <a:xfrm>
                          <a:off x="0" y="0"/>
                          <a:ext cx="6155690" cy="6350"/>
                        </a:xfrm>
                        <a:custGeom>
                          <a:avLst/>
                          <a:gdLst/>
                          <a:ahLst/>
                          <a:cxnLst/>
                          <a:rect l="l" t="t" r="r" b="b"/>
                          <a:pathLst>
                            <a:path w="6155690" h="6350">
                              <a:moveTo>
                                <a:pt x="6155436" y="0"/>
                              </a:moveTo>
                              <a:lnTo>
                                <a:pt x="0" y="0"/>
                              </a:lnTo>
                              <a:lnTo>
                                <a:pt x="0" y="6096"/>
                              </a:lnTo>
                              <a:lnTo>
                                <a:pt x="6155436" y="6096"/>
                              </a:lnTo>
                              <a:lnTo>
                                <a:pt x="61554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1.279999pt;margin-top:363.294403pt;width:484.68pt;height:.48pt;mso-position-horizontal-relative:page;mso-position-vertical-relative:paragraph;z-index:-15314944;mso-wrap-distance-left:0;mso-wrap-distance-right:0" id="docshape81" filled="true" fillcolor="#000000" stroked="false">
                <v:fill type="solid"/>
                <w10:wrap type="topAndBottom"/>
              </v:rect>
            </w:pict>
          </mc:Fallback>
        </mc:AlternateContent>
      </w:r>
    </w:p>
    <w:p>
      <w:pPr>
        <w:pStyle w:val="BodyText"/>
        <w:spacing w:before="11"/>
        <w:rPr>
          <w:sz w:val="7"/>
        </w:rPr>
      </w:pPr>
    </w:p>
    <w:p>
      <w:pPr>
        <w:pStyle w:val="BodyText"/>
      </w:pPr>
    </w:p>
    <w:p>
      <w:pPr>
        <w:pStyle w:val="ListParagraph"/>
        <w:numPr>
          <w:ilvl w:val="2"/>
          <w:numId w:val="77"/>
        </w:numPr>
        <w:tabs>
          <w:tab w:pos="1939" w:val="left" w:leader="none"/>
        </w:tabs>
        <w:spacing w:line="240" w:lineRule="auto" w:before="176" w:after="0"/>
        <w:ind w:left="1939" w:right="0" w:hanging="719"/>
        <w:jc w:val="left"/>
        <w:rPr>
          <w:b/>
          <w:color w:val="4471C4"/>
          <w:sz w:val="22"/>
        </w:rPr>
      </w:pPr>
      <w:bookmarkStart w:name="5.1.1 State Accountability to CMS" w:id="1358"/>
      <w:bookmarkEnd w:id="1358"/>
      <w:r>
        <w:rPr/>
      </w:r>
      <w:bookmarkStart w:name="_bookmark73" w:id="1359"/>
      <w:bookmarkEnd w:id="1359"/>
      <w:r>
        <w:rPr/>
      </w:r>
      <w:r>
        <w:rPr>
          <w:b/>
          <w:color w:val="4471C4"/>
          <w:sz w:val="22"/>
        </w:rPr>
        <w:t>State</w:t>
      </w:r>
      <w:r>
        <w:rPr>
          <w:b/>
          <w:color w:val="4471C4"/>
          <w:spacing w:val="-7"/>
          <w:sz w:val="22"/>
        </w:rPr>
        <w:t> </w:t>
      </w:r>
      <w:r>
        <w:rPr>
          <w:b/>
          <w:color w:val="4471C4"/>
          <w:sz w:val="22"/>
        </w:rPr>
        <w:t>Accountability</w:t>
      </w:r>
      <w:r>
        <w:rPr>
          <w:b/>
          <w:color w:val="4471C4"/>
          <w:spacing w:val="-7"/>
          <w:sz w:val="22"/>
        </w:rPr>
        <w:t> </w:t>
      </w:r>
      <w:r>
        <w:rPr>
          <w:b/>
          <w:color w:val="4471C4"/>
          <w:sz w:val="22"/>
        </w:rPr>
        <w:t>to</w:t>
      </w:r>
      <w:r>
        <w:rPr>
          <w:b/>
          <w:color w:val="4471C4"/>
          <w:spacing w:val="-4"/>
          <w:sz w:val="22"/>
        </w:rPr>
        <w:t> </w:t>
      </w:r>
      <w:r>
        <w:rPr>
          <w:b/>
          <w:color w:val="4471C4"/>
          <w:spacing w:val="-5"/>
          <w:sz w:val="22"/>
        </w:rPr>
        <w:t>CMS</w:t>
      </w:r>
    </w:p>
    <w:p>
      <w:pPr>
        <w:pStyle w:val="BodyText"/>
        <w:rPr>
          <w:b/>
        </w:rPr>
      </w:pPr>
    </w:p>
    <w:p>
      <w:pPr>
        <w:spacing w:before="138"/>
        <w:ind w:left="1220" w:right="0" w:firstLine="0"/>
        <w:jc w:val="left"/>
        <w:rPr>
          <w:sz w:val="22"/>
        </w:rPr>
      </w:pPr>
      <w:r>
        <w:rPr>
          <w:sz w:val="22"/>
        </w:rPr>
        <w:t>EXHIBIT</w:t>
      </w:r>
      <w:r>
        <w:rPr>
          <w:spacing w:val="-2"/>
          <w:sz w:val="22"/>
        </w:rPr>
        <w:t> </w:t>
      </w:r>
      <w:r>
        <w:rPr>
          <w:sz w:val="22"/>
        </w:rPr>
        <w:t>17</w:t>
      </w:r>
      <w:r>
        <w:rPr>
          <w:spacing w:val="-4"/>
          <w:sz w:val="22"/>
        </w:rPr>
        <w:t> </w:t>
      </w:r>
      <w:r>
        <w:rPr>
          <w:sz w:val="22"/>
        </w:rPr>
        <w:t>–</w:t>
      </w:r>
      <w:r>
        <w:rPr>
          <w:spacing w:val="-4"/>
          <w:sz w:val="22"/>
        </w:rPr>
        <w:t> </w:t>
      </w:r>
      <w:r>
        <w:rPr>
          <w:sz w:val="22"/>
        </w:rPr>
        <w:t>Process</w:t>
      </w:r>
      <w:r>
        <w:rPr>
          <w:spacing w:val="-3"/>
          <w:sz w:val="22"/>
        </w:rPr>
        <w:t> </w:t>
      </w:r>
      <w:r>
        <w:rPr>
          <w:sz w:val="22"/>
        </w:rPr>
        <w:t>Flow</w:t>
      </w:r>
      <w:r>
        <w:rPr>
          <w:spacing w:val="-5"/>
          <w:sz w:val="22"/>
        </w:rPr>
        <w:t> </w:t>
      </w:r>
      <w:r>
        <w:rPr>
          <w:sz w:val="22"/>
        </w:rPr>
        <w:t>for</w:t>
      </w:r>
      <w:r>
        <w:rPr>
          <w:spacing w:val="-3"/>
          <w:sz w:val="22"/>
        </w:rPr>
        <w:t> </w:t>
      </w:r>
      <w:r>
        <w:rPr>
          <w:sz w:val="22"/>
        </w:rPr>
        <w:t>State</w:t>
      </w:r>
      <w:r>
        <w:rPr>
          <w:spacing w:val="-3"/>
          <w:sz w:val="22"/>
        </w:rPr>
        <w:t> </w:t>
      </w:r>
      <w:r>
        <w:rPr>
          <w:sz w:val="22"/>
        </w:rPr>
        <w:t>Accountability</w:t>
      </w:r>
      <w:r>
        <w:rPr>
          <w:spacing w:val="-7"/>
          <w:sz w:val="22"/>
        </w:rPr>
        <w:t> </w:t>
      </w:r>
      <w:r>
        <w:rPr>
          <w:sz w:val="22"/>
        </w:rPr>
        <w:t>to</w:t>
      </w:r>
      <w:r>
        <w:rPr>
          <w:spacing w:val="-3"/>
          <w:sz w:val="22"/>
        </w:rPr>
        <w:t> </w:t>
      </w:r>
      <w:r>
        <w:rPr>
          <w:spacing w:val="-5"/>
          <w:sz w:val="22"/>
        </w:rPr>
        <w:t>CMS</w:t>
      </w:r>
    </w:p>
    <w:p>
      <w:pPr>
        <w:spacing w:after="0"/>
        <w:jc w:val="left"/>
        <w:rPr>
          <w:sz w:val="22"/>
        </w:rPr>
        <w:sectPr>
          <w:pgSz w:w="12240" w:h="15840"/>
          <w:pgMar w:header="0" w:footer="967" w:top="1360" w:bottom="1160" w:left="220" w:right="340"/>
        </w:sectPr>
      </w:pPr>
    </w:p>
    <w:p>
      <w:pPr>
        <w:pStyle w:val="BodyText"/>
        <w:ind w:left="1205"/>
        <w:rPr>
          <w:sz w:val="20"/>
        </w:rPr>
      </w:pPr>
      <w:r>
        <w:rPr>
          <w:sz w:val="20"/>
        </w:rPr>
        <mc:AlternateContent>
          <mc:Choice Requires="wps">
            <w:drawing>
              <wp:inline distT="0" distB="0" distL="0" distR="0">
                <wp:extent cx="6175375" cy="4617720"/>
                <wp:effectExtent l="0" t="0" r="0" b="1904"/>
                <wp:docPr id="863" name="Group 863"/>
                <wp:cNvGraphicFramePr>
                  <a:graphicFrameLocks/>
                </wp:cNvGraphicFramePr>
                <a:graphic>
                  <a:graphicData uri="http://schemas.microsoft.com/office/word/2010/wordprocessingGroup">
                    <wpg:wgp>
                      <wpg:cNvPr id="863" name="Group 863"/>
                      <wpg:cNvGrpSpPr/>
                      <wpg:grpSpPr>
                        <a:xfrm>
                          <a:off x="0" y="0"/>
                          <a:ext cx="6175375" cy="4617720"/>
                          <a:chExt cx="6175375" cy="4617720"/>
                        </a:xfrm>
                      </wpg:grpSpPr>
                      <wps:wsp>
                        <wps:cNvPr id="864" name="Graphic 864"/>
                        <wps:cNvSpPr/>
                        <wps:spPr>
                          <a:xfrm>
                            <a:off x="0" y="0"/>
                            <a:ext cx="6175375" cy="4617720"/>
                          </a:xfrm>
                          <a:custGeom>
                            <a:avLst/>
                            <a:gdLst/>
                            <a:ahLst/>
                            <a:cxnLst/>
                            <a:rect l="l" t="t" r="r" b="b"/>
                            <a:pathLst>
                              <a:path w="6175375" h="4617720">
                                <a:moveTo>
                                  <a:pt x="6175248" y="4611624"/>
                                </a:moveTo>
                                <a:lnTo>
                                  <a:pt x="0" y="4611624"/>
                                </a:lnTo>
                                <a:lnTo>
                                  <a:pt x="0" y="4617720"/>
                                </a:lnTo>
                                <a:lnTo>
                                  <a:pt x="6175248" y="4617720"/>
                                </a:lnTo>
                                <a:lnTo>
                                  <a:pt x="6175248" y="4611624"/>
                                </a:lnTo>
                                <a:close/>
                              </a:path>
                              <a:path w="6175375" h="4617720">
                                <a:moveTo>
                                  <a:pt x="6175248" y="0"/>
                                </a:moveTo>
                                <a:lnTo>
                                  <a:pt x="9144" y="0"/>
                                </a:lnTo>
                                <a:lnTo>
                                  <a:pt x="9144" y="6096"/>
                                </a:lnTo>
                                <a:lnTo>
                                  <a:pt x="6175248" y="6096"/>
                                </a:lnTo>
                                <a:lnTo>
                                  <a:pt x="6175248" y="0"/>
                                </a:lnTo>
                                <a:close/>
                              </a:path>
                            </a:pathLst>
                          </a:custGeom>
                          <a:solidFill>
                            <a:srgbClr val="000000"/>
                          </a:solidFill>
                        </wps:spPr>
                        <wps:bodyPr wrap="square" lIns="0" tIns="0" rIns="0" bIns="0" rtlCol="0">
                          <a:prstTxWarp prst="textNoShape">
                            <a:avLst/>
                          </a:prstTxWarp>
                          <a:noAutofit/>
                        </wps:bodyPr>
                      </wps:wsp>
                      <pic:pic>
                        <pic:nvPicPr>
                          <pic:cNvPr id="865" name="Image 865"/>
                          <pic:cNvPicPr/>
                        </pic:nvPicPr>
                        <pic:blipFill>
                          <a:blip r:embed="rId343" cstate="print"/>
                          <a:stretch>
                            <a:fillRect/>
                          </a:stretch>
                        </pic:blipFill>
                        <pic:spPr>
                          <a:xfrm>
                            <a:off x="78041" y="48259"/>
                            <a:ext cx="6028042" cy="4521809"/>
                          </a:xfrm>
                          <a:prstGeom prst="rect">
                            <a:avLst/>
                          </a:prstGeom>
                        </pic:spPr>
                      </pic:pic>
                    </wpg:wgp>
                  </a:graphicData>
                </a:graphic>
              </wp:inline>
            </w:drawing>
          </mc:Choice>
          <mc:Fallback>
            <w:pict>
              <v:group style="width:486.25pt;height:363.6pt;mso-position-horizontal-relative:char;mso-position-vertical-relative:line" id="docshapegroup82" coordorigin="0,0" coordsize="9725,7272">
                <v:shape style="position:absolute;left:0;top:0;width:9725;height:7272" id="docshape83" coordorigin="0,0" coordsize="9725,7272" path="m9725,7262l0,7262,0,7272,9725,7272,9725,7262xm9725,0l14,0,14,10,9725,10,9725,0xe" filled="true" fillcolor="#000000" stroked="false">
                  <v:path arrowok="t"/>
                  <v:fill type="solid"/>
                </v:shape>
                <v:shape style="position:absolute;left:122;top:76;width:9493;height:7121" type="#_x0000_t75" id="docshape84" stroked="false">
                  <v:imagedata r:id="rId343" o:title=""/>
                </v:shape>
              </v:group>
            </w:pict>
          </mc:Fallback>
        </mc:AlternateContent>
      </w:r>
      <w:r>
        <w:rPr>
          <w:sz w:val="20"/>
        </w:rPr>
      </w:r>
    </w:p>
    <w:p>
      <w:pPr>
        <w:pStyle w:val="BodyText"/>
        <w:spacing w:before="4"/>
        <w:rPr>
          <w:sz w:val="25"/>
        </w:rPr>
      </w:pPr>
    </w:p>
    <w:p>
      <w:pPr>
        <w:spacing w:line="242" w:lineRule="auto" w:before="92"/>
        <w:ind w:left="1219" w:right="1094" w:firstLine="0"/>
        <w:jc w:val="both"/>
        <w:rPr>
          <w:sz w:val="22"/>
        </w:rPr>
      </w:pPr>
      <w:r>
        <w:rPr>
          <w:sz w:val="22"/>
        </w:rPr>
        <w:t>A portion of the State’s DSRIP expenditure authority will be at-risk based on the State’s DSRIP Accountability Score according to the schedule set forth in STC 71(b). The portion of the State’s DSRIP expenditure authority that is at-risk will follow the same at-risk Budget Period structure as for the ACOs, CPs and CSAs.</w:t>
      </w:r>
    </w:p>
    <w:p>
      <w:pPr>
        <w:spacing w:before="151"/>
        <w:ind w:left="1219" w:right="1095" w:firstLine="0"/>
        <w:jc w:val="both"/>
        <w:rPr>
          <w:sz w:val="22"/>
        </w:rPr>
      </w:pPr>
      <w:r>
        <w:rPr>
          <w:sz w:val="22"/>
        </w:rPr>
        <w:t>The Preparation Budget Period and BP1 will not have any at-risk expenditure authority. BP 2 has at-risk expenditure authority, and the State anticipates that its Accountability Score will not be determined until the</w:t>
      </w:r>
      <w:r>
        <w:rPr>
          <w:spacing w:val="-3"/>
          <w:sz w:val="22"/>
        </w:rPr>
        <w:t> </w:t>
      </w:r>
      <w:r>
        <w:rPr>
          <w:sz w:val="22"/>
        </w:rPr>
        <w:t>second</w:t>
      </w:r>
      <w:r>
        <w:rPr>
          <w:spacing w:val="-4"/>
          <w:sz w:val="22"/>
        </w:rPr>
        <w:t> </w:t>
      </w:r>
      <w:r>
        <w:rPr>
          <w:sz w:val="22"/>
        </w:rPr>
        <w:t>quarter</w:t>
      </w:r>
      <w:r>
        <w:rPr>
          <w:spacing w:val="-3"/>
          <w:sz w:val="22"/>
        </w:rPr>
        <w:t> </w:t>
      </w:r>
      <w:r>
        <w:rPr>
          <w:sz w:val="22"/>
        </w:rPr>
        <w:t>of</w:t>
      </w:r>
      <w:r>
        <w:rPr>
          <w:spacing w:val="-3"/>
          <w:sz w:val="22"/>
        </w:rPr>
        <w:t> </w:t>
      </w:r>
      <w:r>
        <w:rPr>
          <w:sz w:val="22"/>
        </w:rPr>
        <w:t>BP4</w:t>
      </w:r>
      <w:r>
        <w:rPr>
          <w:spacing w:val="-4"/>
          <w:sz w:val="22"/>
        </w:rPr>
        <w:t> </w:t>
      </w:r>
      <w:r>
        <w:rPr>
          <w:sz w:val="22"/>
        </w:rPr>
        <w:t>at</w:t>
      </w:r>
      <w:r>
        <w:rPr>
          <w:spacing w:val="-3"/>
          <w:sz w:val="22"/>
        </w:rPr>
        <w:t> </w:t>
      </w:r>
      <w:r>
        <w:rPr>
          <w:sz w:val="22"/>
        </w:rPr>
        <w:t>the</w:t>
      </w:r>
      <w:r>
        <w:rPr>
          <w:spacing w:val="-3"/>
          <w:sz w:val="22"/>
        </w:rPr>
        <w:t> </w:t>
      </w:r>
      <w:r>
        <w:rPr>
          <w:sz w:val="22"/>
        </w:rPr>
        <w:t>earliest.</w:t>
      </w:r>
      <w:r>
        <w:rPr>
          <w:spacing w:val="-6"/>
          <w:sz w:val="22"/>
        </w:rPr>
        <w:t> </w:t>
      </w:r>
      <w:r>
        <w:rPr>
          <w:sz w:val="22"/>
        </w:rPr>
        <w:t>Thus,</w:t>
      </w:r>
      <w:r>
        <w:rPr>
          <w:spacing w:val="-4"/>
          <w:sz w:val="22"/>
        </w:rPr>
        <w:t> </w:t>
      </w:r>
      <w:r>
        <w:rPr>
          <w:sz w:val="22"/>
        </w:rPr>
        <w:t>the</w:t>
      </w:r>
      <w:r>
        <w:rPr>
          <w:spacing w:val="-3"/>
          <w:sz w:val="22"/>
        </w:rPr>
        <w:t> </w:t>
      </w:r>
      <w:r>
        <w:rPr>
          <w:sz w:val="22"/>
        </w:rPr>
        <w:t>State</w:t>
      </w:r>
      <w:r>
        <w:rPr>
          <w:spacing w:val="-3"/>
          <w:sz w:val="22"/>
        </w:rPr>
        <w:t> </w:t>
      </w:r>
      <w:r>
        <w:rPr>
          <w:sz w:val="22"/>
        </w:rPr>
        <w:t>anticipates</w:t>
      </w:r>
      <w:r>
        <w:rPr>
          <w:spacing w:val="-3"/>
          <w:sz w:val="22"/>
        </w:rPr>
        <w:t> </w:t>
      </w:r>
      <w:r>
        <w:rPr>
          <w:sz w:val="22"/>
        </w:rPr>
        <w:t>that</w:t>
      </w:r>
      <w:r>
        <w:rPr>
          <w:spacing w:val="-3"/>
          <w:sz w:val="22"/>
        </w:rPr>
        <w:t> </w:t>
      </w:r>
      <w:r>
        <w:rPr>
          <w:sz w:val="22"/>
        </w:rPr>
        <w:t>any</w:t>
      </w:r>
      <w:r>
        <w:rPr>
          <w:spacing w:val="-6"/>
          <w:sz w:val="22"/>
        </w:rPr>
        <w:t> </w:t>
      </w:r>
      <w:r>
        <w:rPr>
          <w:sz w:val="22"/>
        </w:rPr>
        <w:t>reduced</w:t>
      </w:r>
      <w:r>
        <w:rPr>
          <w:spacing w:val="-4"/>
          <w:sz w:val="22"/>
        </w:rPr>
        <w:t> </w:t>
      </w:r>
      <w:r>
        <w:rPr>
          <w:sz w:val="22"/>
        </w:rPr>
        <w:t>expenditure</w:t>
      </w:r>
      <w:r>
        <w:rPr>
          <w:spacing w:val="-3"/>
          <w:sz w:val="22"/>
        </w:rPr>
        <w:t> </w:t>
      </w:r>
      <w:r>
        <w:rPr>
          <w:sz w:val="22"/>
        </w:rPr>
        <w:t>authority may be reflected in the State’s reduction of DSRIP payments during BP 5. As an example, if the State’ Accountability</w:t>
      </w:r>
      <w:r>
        <w:rPr>
          <w:spacing w:val="-4"/>
          <w:sz w:val="22"/>
        </w:rPr>
        <w:t> </w:t>
      </w:r>
      <w:r>
        <w:rPr>
          <w:sz w:val="22"/>
        </w:rPr>
        <w:t>Score</w:t>
      </w:r>
      <w:r>
        <w:rPr>
          <w:spacing w:val="-1"/>
          <w:sz w:val="22"/>
        </w:rPr>
        <w:t> </w:t>
      </w:r>
      <w:r>
        <w:rPr>
          <w:sz w:val="22"/>
        </w:rPr>
        <w:t>for BP</w:t>
      </w:r>
      <w:r>
        <w:rPr>
          <w:spacing w:val="-2"/>
          <w:sz w:val="22"/>
        </w:rPr>
        <w:t> </w:t>
      </w:r>
      <w:r>
        <w:rPr>
          <w:sz w:val="22"/>
        </w:rPr>
        <w:t>2</w:t>
      </w:r>
      <w:r>
        <w:rPr>
          <w:spacing w:val="-1"/>
          <w:sz w:val="22"/>
        </w:rPr>
        <w:t> </w:t>
      </w:r>
      <w:r>
        <w:rPr>
          <w:sz w:val="22"/>
        </w:rPr>
        <w:t>is</w:t>
      </w:r>
      <w:r>
        <w:rPr>
          <w:spacing w:val="-3"/>
          <w:sz w:val="22"/>
        </w:rPr>
        <w:t> </w:t>
      </w:r>
      <w:r>
        <w:rPr>
          <w:sz w:val="22"/>
        </w:rPr>
        <w:t>70%,</w:t>
      </w:r>
      <w:r>
        <w:rPr>
          <w:spacing w:val="-4"/>
          <w:sz w:val="22"/>
        </w:rPr>
        <w:t> </w:t>
      </w:r>
      <w:r>
        <w:rPr>
          <w:sz w:val="22"/>
        </w:rPr>
        <w:t>then</w:t>
      </w:r>
      <w:r>
        <w:rPr>
          <w:spacing w:val="-1"/>
          <w:sz w:val="22"/>
        </w:rPr>
        <w:t> </w:t>
      </w:r>
      <w:r>
        <w:rPr>
          <w:sz w:val="22"/>
        </w:rPr>
        <w:t>the</w:t>
      </w:r>
      <w:r>
        <w:rPr>
          <w:spacing w:val="-1"/>
          <w:sz w:val="22"/>
        </w:rPr>
        <w:t> </w:t>
      </w:r>
      <w:r>
        <w:rPr>
          <w:sz w:val="22"/>
        </w:rPr>
        <w:t>State</w:t>
      </w:r>
      <w:r>
        <w:rPr>
          <w:spacing w:val="-3"/>
          <w:sz w:val="22"/>
        </w:rPr>
        <w:t> </w:t>
      </w:r>
      <w:r>
        <w:rPr>
          <w:sz w:val="22"/>
        </w:rPr>
        <w:t>will</w:t>
      </w:r>
      <w:r>
        <w:rPr>
          <w:spacing w:val="-3"/>
          <w:sz w:val="22"/>
        </w:rPr>
        <w:t> </w:t>
      </w:r>
      <w:r>
        <w:rPr>
          <w:sz w:val="22"/>
        </w:rPr>
        <w:t>lose</w:t>
      </w:r>
      <w:r>
        <w:rPr>
          <w:spacing w:val="-1"/>
          <w:sz w:val="22"/>
        </w:rPr>
        <w:t> </w:t>
      </w:r>
      <w:r>
        <w:rPr>
          <w:sz w:val="22"/>
        </w:rPr>
        <w:t>the</w:t>
      </w:r>
      <w:r>
        <w:rPr>
          <w:spacing w:val="-3"/>
          <w:sz w:val="22"/>
        </w:rPr>
        <w:t> </w:t>
      </w:r>
      <w:r>
        <w:rPr>
          <w:sz w:val="22"/>
        </w:rPr>
        <w:t>remaining</w:t>
      </w:r>
      <w:r>
        <w:rPr>
          <w:spacing w:val="-4"/>
          <w:sz w:val="22"/>
        </w:rPr>
        <w:t> </w:t>
      </w:r>
      <w:r>
        <w:rPr>
          <w:sz w:val="22"/>
        </w:rPr>
        <w:t>30% of</w:t>
      </w:r>
      <w:r>
        <w:rPr>
          <w:spacing w:val="-3"/>
          <w:sz w:val="22"/>
        </w:rPr>
        <w:t> </w:t>
      </w:r>
      <w:r>
        <w:rPr>
          <w:sz w:val="22"/>
        </w:rPr>
        <w:t>its</w:t>
      </w:r>
      <w:r>
        <w:rPr>
          <w:spacing w:val="-1"/>
          <w:sz w:val="22"/>
        </w:rPr>
        <w:t> </w:t>
      </w:r>
      <w:r>
        <w:rPr>
          <w:sz w:val="22"/>
        </w:rPr>
        <w:t>$20.625M</w:t>
      </w:r>
      <w:r>
        <w:rPr>
          <w:spacing w:val="-1"/>
          <w:sz w:val="22"/>
        </w:rPr>
        <w:t> </w:t>
      </w:r>
      <w:r>
        <w:rPr>
          <w:sz w:val="22"/>
        </w:rPr>
        <w:t>of BP</w:t>
      </w:r>
      <w:r>
        <w:rPr>
          <w:spacing w:val="-2"/>
          <w:sz w:val="22"/>
        </w:rPr>
        <w:t> </w:t>
      </w:r>
      <w:r>
        <w:rPr>
          <w:sz w:val="22"/>
        </w:rPr>
        <w:t>2 at-risk expenditure authority (i.e., $6.1875M). The State may reflect this by subtracting up to $6.1875M from its anticipated $112M BP 5 DSRIP expenditure authority.</w:t>
      </w:r>
    </w:p>
    <w:p>
      <w:pPr>
        <w:spacing w:before="159"/>
        <w:ind w:left="1219" w:right="1093" w:firstLine="0"/>
        <w:jc w:val="both"/>
        <w:rPr>
          <w:sz w:val="22"/>
        </w:rPr>
      </w:pPr>
      <w:r>
        <w:rPr>
          <w:sz w:val="22"/>
        </w:rPr>
        <w:t>The</w:t>
      </w:r>
      <w:r>
        <w:rPr>
          <w:spacing w:val="-6"/>
          <w:sz w:val="22"/>
        </w:rPr>
        <w:t> </w:t>
      </w:r>
      <w:r>
        <w:rPr>
          <w:sz w:val="22"/>
        </w:rPr>
        <w:t>State</w:t>
      </w:r>
      <w:r>
        <w:rPr>
          <w:spacing w:val="-6"/>
          <w:sz w:val="22"/>
        </w:rPr>
        <w:t> </w:t>
      </w:r>
      <w:r>
        <w:rPr>
          <w:sz w:val="22"/>
        </w:rPr>
        <w:t>may</w:t>
      </w:r>
      <w:r>
        <w:rPr>
          <w:spacing w:val="-9"/>
          <w:sz w:val="22"/>
        </w:rPr>
        <w:t> </w:t>
      </w:r>
      <w:r>
        <w:rPr>
          <w:sz w:val="22"/>
        </w:rPr>
        <w:t>also</w:t>
      </w:r>
      <w:r>
        <w:rPr>
          <w:spacing w:val="-6"/>
          <w:sz w:val="22"/>
        </w:rPr>
        <w:t> </w:t>
      </w:r>
      <w:r>
        <w:rPr>
          <w:sz w:val="22"/>
        </w:rPr>
        <w:t>satisfy</w:t>
      </w:r>
      <w:r>
        <w:rPr>
          <w:spacing w:val="-9"/>
          <w:sz w:val="22"/>
        </w:rPr>
        <w:t> </w:t>
      </w:r>
      <w:r>
        <w:rPr>
          <w:sz w:val="22"/>
        </w:rPr>
        <w:t>any</w:t>
      </w:r>
      <w:r>
        <w:rPr>
          <w:spacing w:val="-9"/>
          <w:sz w:val="22"/>
        </w:rPr>
        <w:t> </w:t>
      </w:r>
      <w:r>
        <w:rPr>
          <w:sz w:val="22"/>
        </w:rPr>
        <w:t>reductions</w:t>
      </w:r>
      <w:r>
        <w:rPr>
          <w:spacing w:val="-8"/>
          <w:sz w:val="22"/>
        </w:rPr>
        <w:t> </w:t>
      </w:r>
      <w:r>
        <w:rPr>
          <w:sz w:val="22"/>
        </w:rPr>
        <w:t>in</w:t>
      </w:r>
      <w:r>
        <w:rPr>
          <w:spacing w:val="-6"/>
          <w:sz w:val="22"/>
        </w:rPr>
        <w:t> </w:t>
      </w:r>
      <w:r>
        <w:rPr>
          <w:sz w:val="22"/>
        </w:rPr>
        <w:t>DSRIP</w:t>
      </w:r>
      <w:r>
        <w:rPr>
          <w:spacing w:val="-7"/>
          <w:sz w:val="22"/>
        </w:rPr>
        <w:t> </w:t>
      </w:r>
      <w:r>
        <w:rPr>
          <w:sz w:val="22"/>
        </w:rPr>
        <w:t>expenditure</w:t>
      </w:r>
      <w:r>
        <w:rPr>
          <w:spacing w:val="-6"/>
          <w:sz w:val="22"/>
        </w:rPr>
        <w:t> </w:t>
      </w:r>
      <w:r>
        <w:rPr>
          <w:sz w:val="22"/>
        </w:rPr>
        <w:t>authority</w:t>
      </w:r>
      <w:r>
        <w:rPr>
          <w:spacing w:val="-9"/>
          <w:sz w:val="22"/>
        </w:rPr>
        <w:t> </w:t>
      </w:r>
      <w:r>
        <w:rPr>
          <w:sz w:val="22"/>
        </w:rPr>
        <w:t>through</w:t>
      </w:r>
      <w:r>
        <w:rPr>
          <w:spacing w:val="-6"/>
          <w:sz w:val="22"/>
        </w:rPr>
        <w:t> </w:t>
      </w:r>
      <w:r>
        <w:rPr>
          <w:sz w:val="22"/>
        </w:rPr>
        <w:t>retroactive</w:t>
      </w:r>
      <w:r>
        <w:rPr>
          <w:spacing w:val="-6"/>
          <w:sz w:val="22"/>
        </w:rPr>
        <w:t> </w:t>
      </w:r>
      <w:r>
        <w:rPr>
          <w:sz w:val="22"/>
        </w:rPr>
        <w:t>recoupments from recipients of DSRIP funds, or through the State paying CMS back for any Federal Financial Participation</w:t>
      </w:r>
      <w:r>
        <w:rPr>
          <w:spacing w:val="-7"/>
          <w:sz w:val="22"/>
        </w:rPr>
        <w:t> </w:t>
      </w:r>
      <w:r>
        <w:rPr>
          <w:sz w:val="22"/>
        </w:rPr>
        <w:t>the</w:t>
      </w:r>
      <w:r>
        <w:rPr>
          <w:spacing w:val="-7"/>
          <w:sz w:val="22"/>
        </w:rPr>
        <w:t> </w:t>
      </w:r>
      <w:r>
        <w:rPr>
          <w:sz w:val="22"/>
        </w:rPr>
        <w:t>State</w:t>
      </w:r>
      <w:r>
        <w:rPr>
          <w:spacing w:val="-7"/>
          <w:sz w:val="22"/>
        </w:rPr>
        <w:t> </w:t>
      </w:r>
      <w:r>
        <w:rPr>
          <w:sz w:val="22"/>
        </w:rPr>
        <w:t>retroactively</w:t>
      </w:r>
      <w:r>
        <w:rPr>
          <w:spacing w:val="-10"/>
          <w:sz w:val="22"/>
        </w:rPr>
        <w:t> </w:t>
      </w:r>
      <w:r>
        <w:rPr>
          <w:sz w:val="22"/>
        </w:rPr>
        <w:t>owes</w:t>
      </w:r>
      <w:r>
        <w:rPr>
          <w:spacing w:val="-7"/>
          <w:sz w:val="22"/>
        </w:rPr>
        <w:t> </w:t>
      </w:r>
      <w:r>
        <w:rPr>
          <w:sz w:val="22"/>
        </w:rPr>
        <w:t>for</w:t>
      </w:r>
      <w:r>
        <w:rPr>
          <w:spacing w:val="-6"/>
          <w:sz w:val="22"/>
        </w:rPr>
        <w:t> </w:t>
      </w:r>
      <w:r>
        <w:rPr>
          <w:sz w:val="22"/>
        </w:rPr>
        <w:t>such</w:t>
      </w:r>
      <w:r>
        <w:rPr>
          <w:spacing w:val="-7"/>
          <w:sz w:val="22"/>
        </w:rPr>
        <w:t> </w:t>
      </w:r>
      <w:r>
        <w:rPr>
          <w:sz w:val="22"/>
        </w:rPr>
        <w:t>reductions.</w:t>
      </w:r>
      <w:r>
        <w:rPr>
          <w:spacing w:val="-7"/>
          <w:sz w:val="22"/>
        </w:rPr>
        <w:t> </w:t>
      </w:r>
      <w:r>
        <w:rPr>
          <w:sz w:val="22"/>
        </w:rPr>
        <w:t>For</w:t>
      </w:r>
      <w:r>
        <w:rPr>
          <w:spacing w:val="-6"/>
          <w:sz w:val="22"/>
        </w:rPr>
        <w:t> </w:t>
      </w:r>
      <w:r>
        <w:rPr>
          <w:sz w:val="22"/>
        </w:rPr>
        <w:t>example,</w:t>
      </w:r>
      <w:r>
        <w:rPr>
          <w:spacing w:val="-7"/>
          <w:sz w:val="22"/>
        </w:rPr>
        <w:t> </w:t>
      </w:r>
      <w:r>
        <w:rPr>
          <w:sz w:val="22"/>
        </w:rPr>
        <w:t>for</w:t>
      </w:r>
      <w:r>
        <w:rPr>
          <w:spacing w:val="-6"/>
          <w:sz w:val="22"/>
        </w:rPr>
        <w:t> </w:t>
      </w:r>
      <w:r>
        <w:rPr>
          <w:sz w:val="22"/>
        </w:rPr>
        <w:t>Budget</w:t>
      </w:r>
      <w:r>
        <w:rPr>
          <w:spacing w:val="-6"/>
          <w:sz w:val="22"/>
        </w:rPr>
        <w:t> </w:t>
      </w:r>
      <w:r>
        <w:rPr>
          <w:sz w:val="22"/>
        </w:rPr>
        <w:t>Periods</w:t>
      </w:r>
      <w:r>
        <w:rPr>
          <w:spacing w:val="-7"/>
          <w:sz w:val="22"/>
        </w:rPr>
        <w:t> </w:t>
      </w:r>
      <w:r>
        <w:rPr>
          <w:sz w:val="22"/>
        </w:rPr>
        <w:t>4</w:t>
      </w:r>
      <w:r>
        <w:rPr>
          <w:spacing w:val="-7"/>
          <w:sz w:val="22"/>
        </w:rPr>
        <w:t> </w:t>
      </w:r>
      <w:r>
        <w:rPr>
          <w:sz w:val="22"/>
        </w:rPr>
        <w:t>and</w:t>
      </w:r>
      <w:r>
        <w:rPr>
          <w:spacing w:val="-7"/>
          <w:sz w:val="22"/>
        </w:rPr>
        <w:t> </w:t>
      </w:r>
      <w:r>
        <w:rPr>
          <w:sz w:val="22"/>
        </w:rPr>
        <w:t>5,</w:t>
      </w:r>
      <w:r>
        <w:rPr>
          <w:spacing w:val="-9"/>
          <w:sz w:val="22"/>
        </w:rPr>
        <w:t> </w:t>
      </w:r>
      <w:r>
        <w:rPr>
          <w:sz w:val="22"/>
        </w:rPr>
        <w:t>the State anticipates that there will be no upcoming Budget Periods for which to reduce DSRIP expenditures by the time the Accountability Scores for these Budget Periods are calculated; the State may therefore satisfy</w:t>
      </w:r>
      <w:r>
        <w:rPr>
          <w:spacing w:val="-10"/>
          <w:sz w:val="22"/>
        </w:rPr>
        <w:t> </w:t>
      </w:r>
      <w:r>
        <w:rPr>
          <w:sz w:val="22"/>
        </w:rPr>
        <w:t>any</w:t>
      </w:r>
      <w:r>
        <w:rPr>
          <w:spacing w:val="-10"/>
          <w:sz w:val="22"/>
        </w:rPr>
        <w:t> </w:t>
      </w:r>
      <w:r>
        <w:rPr>
          <w:sz w:val="22"/>
        </w:rPr>
        <w:t>reductions</w:t>
      </w:r>
      <w:r>
        <w:rPr>
          <w:spacing w:val="-7"/>
          <w:sz w:val="22"/>
        </w:rPr>
        <w:t> </w:t>
      </w:r>
      <w:r>
        <w:rPr>
          <w:sz w:val="22"/>
        </w:rPr>
        <w:t>in</w:t>
      </w:r>
      <w:r>
        <w:rPr>
          <w:spacing w:val="-7"/>
          <w:sz w:val="22"/>
        </w:rPr>
        <w:t> </w:t>
      </w:r>
      <w:r>
        <w:rPr>
          <w:sz w:val="22"/>
        </w:rPr>
        <w:t>DSRIP</w:t>
      </w:r>
      <w:r>
        <w:rPr>
          <w:spacing w:val="-8"/>
          <w:sz w:val="22"/>
        </w:rPr>
        <w:t> </w:t>
      </w:r>
      <w:r>
        <w:rPr>
          <w:sz w:val="22"/>
        </w:rPr>
        <w:t>expenditure</w:t>
      </w:r>
      <w:r>
        <w:rPr>
          <w:spacing w:val="-7"/>
          <w:sz w:val="22"/>
        </w:rPr>
        <w:t> </w:t>
      </w:r>
      <w:r>
        <w:rPr>
          <w:sz w:val="22"/>
        </w:rPr>
        <w:t>authority</w:t>
      </w:r>
      <w:r>
        <w:rPr>
          <w:spacing w:val="-10"/>
          <w:sz w:val="22"/>
        </w:rPr>
        <w:t> </w:t>
      </w:r>
      <w:r>
        <w:rPr>
          <w:sz w:val="22"/>
        </w:rPr>
        <w:t>for</w:t>
      </w:r>
      <w:r>
        <w:rPr>
          <w:spacing w:val="-9"/>
          <w:sz w:val="22"/>
        </w:rPr>
        <w:t> </w:t>
      </w:r>
      <w:r>
        <w:rPr>
          <w:sz w:val="22"/>
        </w:rPr>
        <w:t>these</w:t>
      </w:r>
      <w:r>
        <w:rPr>
          <w:spacing w:val="-7"/>
          <w:sz w:val="22"/>
        </w:rPr>
        <w:t> </w:t>
      </w:r>
      <w:r>
        <w:rPr>
          <w:sz w:val="22"/>
        </w:rPr>
        <w:t>Budget</w:t>
      </w:r>
      <w:r>
        <w:rPr>
          <w:spacing w:val="-6"/>
          <w:sz w:val="22"/>
        </w:rPr>
        <w:t> </w:t>
      </w:r>
      <w:r>
        <w:rPr>
          <w:sz w:val="22"/>
        </w:rPr>
        <w:t>Periods</w:t>
      </w:r>
      <w:r>
        <w:rPr>
          <w:spacing w:val="-9"/>
          <w:sz w:val="22"/>
        </w:rPr>
        <w:t> </w:t>
      </w:r>
      <w:r>
        <w:rPr>
          <w:sz w:val="22"/>
        </w:rPr>
        <w:t>through</w:t>
      </w:r>
      <w:r>
        <w:rPr>
          <w:spacing w:val="-7"/>
          <w:sz w:val="22"/>
        </w:rPr>
        <w:t> </w:t>
      </w:r>
      <w:r>
        <w:rPr>
          <w:sz w:val="22"/>
        </w:rPr>
        <w:t>such</w:t>
      </w:r>
      <w:r>
        <w:rPr>
          <w:spacing w:val="-7"/>
          <w:sz w:val="22"/>
        </w:rPr>
        <w:t> </w:t>
      </w:r>
      <w:r>
        <w:rPr>
          <w:sz w:val="22"/>
        </w:rPr>
        <w:t>recoupments, through</w:t>
      </w:r>
      <w:r>
        <w:rPr>
          <w:spacing w:val="-1"/>
          <w:sz w:val="22"/>
        </w:rPr>
        <w:t> </w:t>
      </w:r>
      <w:r>
        <w:rPr>
          <w:sz w:val="22"/>
        </w:rPr>
        <w:t>paying</w:t>
      </w:r>
      <w:r>
        <w:rPr>
          <w:spacing w:val="-4"/>
          <w:sz w:val="22"/>
        </w:rPr>
        <w:t> </w:t>
      </w:r>
      <w:r>
        <w:rPr>
          <w:sz w:val="22"/>
        </w:rPr>
        <w:t>CMS</w:t>
      </w:r>
      <w:r>
        <w:rPr>
          <w:spacing w:val="-2"/>
          <w:sz w:val="22"/>
        </w:rPr>
        <w:t> </w:t>
      </w:r>
      <w:r>
        <w:rPr>
          <w:sz w:val="22"/>
        </w:rPr>
        <w:t>back, or through</w:t>
      </w:r>
      <w:r>
        <w:rPr>
          <w:spacing w:val="-1"/>
          <w:sz w:val="22"/>
        </w:rPr>
        <w:t> </w:t>
      </w:r>
      <w:r>
        <w:rPr>
          <w:sz w:val="22"/>
        </w:rPr>
        <w:t>identifying</w:t>
      </w:r>
      <w:r>
        <w:rPr>
          <w:spacing w:val="-4"/>
          <w:sz w:val="22"/>
        </w:rPr>
        <w:t> </w:t>
      </w:r>
      <w:r>
        <w:rPr>
          <w:sz w:val="22"/>
        </w:rPr>
        <w:t>other</w:t>
      </w:r>
      <w:r>
        <w:rPr>
          <w:spacing w:val="-3"/>
          <w:sz w:val="22"/>
        </w:rPr>
        <w:t> </w:t>
      </w:r>
      <w:r>
        <w:rPr>
          <w:sz w:val="22"/>
        </w:rPr>
        <w:t>cost savings</w:t>
      </w:r>
      <w:r>
        <w:rPr>
          <w:spacing w:val="-1"/>
          <w:sz w:val="22"/>
        </w:rPr>
        <w:t> </w:t>
      </w:r>
      <w:r>
        <w:rPr>
          <w:sz w:val="22"/>
        </w:rPr>
        <w:t>in</w:t>
      </w:r>
      <w:r>
        <w:rPr>
          <w:spacing w:val="-1"/>
          <w:sz w:val="22"/>
        </w:rPr>
        <w:t> </w:t>
      </w:r>
      <w:r>
        <w:rPr>
          <w:sz w:val="22"/>
        </w:rPr>
        <w:t>the</w:t>
      </w:r>
      <w:r>
        <w:rPr>
          <w:spacing w:val="-1"/>
          <w:sz w:val="22"/>
        </w:rPr>
        <w:t> </w:t>
      </w:r>
      <w:r>
        <w:rPr>
          <w:sz w:val="22"/>
        </w:rPr>
        <w:t>DSRIP program,</w:t>
      </w:r>
      <w:r>
        <w:rPr>
          <w:spacing w:val="-1"/>
          <w:sz w:val="22"/>
        </w:rPr>
        <w:t> </w:t>
      </w:r>
      <w:r>
        <w:rPr>
          <w:sz w:val="22"/>
        </w:rPr>
        <w:t>such</w:t>
      </w:r>
      <w:r>
        <w:rPr>
          <w:spacing w:val="-1"/>
          <w:sz w:val="22"/>
        </w:rPr>
        <w:t> </w:t>
      </w:r>
      <w:r>
        <w:rPr>
          <w:sz w:val="22"/>
        </w:rPr>
        <w:t>as</w:t>
      </w:r>
      <w:r>
        <w:rPr>
          <w:spacing w:val="-1"/>
          <w:sz w:val="22"/>
        </w:rPr>
        <w:t> </w:t>
      </w:r>
      <w:r>
        <w:rPr>
          <w:sz w:val="22"/>
        </w:rPr>
        <w:t>in</w:t>
      </w:r>
      <w:r>
        <w:rPr>
          <w:spacing w:val="-1"/>
          <w:sz w:val="22"/>
        </w:rPr>
        <w:t> </w:t>
      </w:r>
      <w:r>
        <w:rPr>
          <w:sz w:val="22"/>
        </w:rPr>
        <w:t>the statewide investments or implementation/oversight funding streams.</w:t>
      </w:r>
    </w:p>
    <w:p>
      <w:pPr>
        <w:spacing w:after="0"/>
        <w:jc w:val="both"/>
        <w:rPr>
          <w:sz w:val="22"/>
        </w:rPr>
        <w:sectPr>
          <w:pgSz w:w="12240" w:h="15840"/>
          <w:pgMar w:header="0" w:footer="967" w:top="1440" w:bottom="1160" w:left="220" w:right="340"/>
        </w:sectPr>
      </w:pPr>
    </w:p>
    <w:p>
      <w:pPr>
        <w:spacing w:before="78"/>
        <w:ind w:left="1219" w:right="1092" w:firstLine="0"/>
        <w:jc w:val="both"/>
        <w:rPr>
          <w:sz w:val="22"/>
        </w:rPr>
      </w:pPr>
      <w:r>
        <w:rPr>
          <w:sz w:val="22"/>
        </w:rPr>
        <w:t>If the State decides to recoup funding from ACOs or CPs, then it will first distribute the recoupment amounts among the ACOs and CPs as a class.</w:t>
      </w:r>
      <w:r>
        <w:rPr>
          <w:spacing w:val="40"/>
          <w:sz w:val="22"/>
        </w:rPr>
        <w:t> </w:t>
      </w:r>
      <w:r>
        <w:rPr>
          <w:sz w:val="22"/>
        </w:rPr>
        <w:t>One potential approach for this initial distribution is to divide the recoupment amount according to the 5-year DSRIP expenditure authority for the ACO and CP funding streams, as detailed in</w:t>
      </w:r>
      <w:r>
        <w:rPr>
          <w:spacing w:val="-2"/>
          <w:sz w:val="22"/>
        </w:rPr>
        <w:t> </w:t>
      </w:r>
      <w:r>
        <w:rPr>
          <w:sz w:val="22"/>
        </w:rPr>
        <w:t>Table G of the STCs (i.e., ACOs: $1,065.6M, or 66.1%; CPs: $546.6M, or 33.9%).</w:t>
      </w:r>
      <w:r>
        <w:rPr>
          <w:spacing w:val="40"/>
          <w:sz w:val="22"/>
        </w:rPr>
        <w:t> </w:t>
      </w:r>
      <w:r>
        <w:rPr>
          <w:sz w:val="22"/>
        </w:rPr>
        <w:t>To determine how much funding is recouped from individual ACOs, the State may take each ACO's</w:t>
      </w:r>
      <w:r>
        <w:rPr>
          <w:spacing w:val="-3"/>
          <w:sz w:val="22"/>
        </w:rPr>
        <w:t> </w:t>
      </w:r>
      <w:r>
        <w:rPr>
          <w:sz w:val="22"/>
        </w:rPr>
        <w:t>DSRIP</w:t>
      </w:r>
      <w:r>
        <w:rPr>
          <w:spacing w:val="-4"/>
          <w:sz w:val="22"/>
        </w:rPr>
        <w:t> </w:t>
      </w:r>
      <w:r>
        <w:rPr>
          <w:sz w:val="22"/>
        </w:rPr>
        <w:t>Accountability</w:t>
      </w:r>
      <w:r>
        <w:rPr>
          <w:spacing w:val="-6"/>
          <w:sz w:val="22"/>
        </w:rPr>
        <w:t> </w:t>
      </w:r>
      <w:r>
        <w:rPr>
          <w:sz w:val="22"/>
        </w:rPr>
        <w:t>Score</w:t>
      </w:r>
      <w:r>
        <w:rPr>
          <w:spacing w:val="-3"/>
          <w:sz w:val="22"/>
        </w:rPr>
        <w:t> </w:t>
      </w:r>
      <w:r>
        <w:rPr>
          <w:sz w:val="22"/>
        </w:rPr>
        <w:t>and</w:t>
      </w:r>
      <w:r>
        <w:rPr>
          <w:spacing w:val="-4"/>
          <w:sz w:val="22"/>
        </w:rPr>
        <w:t> </w:t>
      </w:r>
      <w:r>
        <w:rPr>
          <w:sz w:val="22"/>
        </w:rPr>
        <w:t>calculate</w:t>
      </w:r>
      <w:r>
        <w:rPr>
          <w:spacing w:val="-6"/>
          <w:sz w:val="22"/>
        </w:rPr>
        <w:t> </w:t>
      </w:r>
      <w:r>
        <w:rPr>
          <w:sz w:val="22"/>
        </w:rPr>
        <w:t>the</w:t>
      </w:r>
      <w:r>
        <w:rPr>
          <w:spacing w:val="-3"/>
          <w:sz w:val="22"/>
        </w:rPr>
        <w:t> </w:t>
      </w:r>
      <w:r>
        <w:rPr>
          <w:sz w:val="22"/>
        </w:rPr>
        <w:t>difference</w:t>
      </w:r>
      <w:r>
        <w:rPr>
          <w:spacing w:val="-6"/>
          <w:sz w:val="22"/>
        </w:rPr>
        <w:t> </w:t>
      </w:r>
      <w:r>
        <w:rPr>
          <w:sz w:val="22"/>
        </w:rPr>
        <w:t>from</w:t>
      </w:r>
      <w:r>
        <w:rPr>
          <w:spacing w:val="-7"/>
          <w:sz w:val="22"/>
        </w:rPr>
        <w:t> </w:t>
      </w:r>
      <w:r>
        <w:rPr>
          <w:sz w:val="22"/>
        </w:rPr>
        <w:t>100%.</w:t>
      </w:r>
      <w:r>
        <w:rPr>
          <w:spacing w:val="40"/>
          <w:sz w:val="22"/>
        </w:rPr>
        <w:t> </w:t>
      </w:r>
      <w:r>
        <w:rPr>
          <w:sz w:val="22"/>
        </w:rPr>
        <w:t>The</w:t>
      </w:r>
      <w:r>
        <w:rPr>
          <w:spacing w:val="-6"/>
          <w:sz w:val="22"/>
        </w:rPr>
        <w:t> </w:t>
      </w:r>
      <w:r>
        <w:rPr>
          <w:sz w:val="22"/>
        </w:rPr>
        <w:t>State</w:t>
      </w:r>
      <w:r>
        <w:rPr>
          <w:spacing w:val="-3"/>
          <w:sz w:val="22"/>
        </w:rPr>
        <w:t> </w:t>
      </w:r>
      <w:r>
        <w:rPr>
          <w:sz w:val="22"/>
        </w:rPr>
        <w:t>will</w:t>
      </w:r>
      <w:r>
        <w:rPr>
          <w:spacing w:val="-3"/>
          <w:sz w:val="22"/>
        </w:rPr>
        <w:t> </w:t>
      </w:r>
      <w:r>
        <w:rPr>
          <w:sz w:val="22"/>
        </w:rPr>
        <w:t>then</w:t>
      </w:r>
      <w:r>
        <w:rPr>
          <w:spacing w:val="-4"/>
          <w:sz w:val="22"/>
        </w:rPr>
        <w:t> </w:t>
      </w:r>
      <w:r>
        <w:rPr>
          <w:sz w:val="22"/>
        </w:rPr>
        <w:t>calculate a</w:t>
      </w:r>
      <w:r>
        <w:rPr>
          <w:spacing w:val="-3"/>
          <w:sz w:val="22"/>
        </w:rPr>
        <w:t> </w:t>
      </w:r>
      <w:r>
        <w:rPr>
          <w:sz w:val="22"/>
        </w:rPr>
        <w:t>weight</w:t>
      </w:r>
      <w:r>
        <w:rPr>
          <w:spacing w:val="-3"/>
          <w:sz w:val="22"/>
        </w:rPr>
        <w:t> </w:t>
      </w:r>
      <w:r>
        <w:rPr>
          <w:sz w:val="22"/>
        </w:rPr>
        <w:t>for</w:t>
      </w:r>
      <w:r>
        <w:rPr>
          <w:spacing w:val="-3"/>
          <w:sz w:val="22"/>
        </w:rPr>
        <w:t> </w:t>
      </w:r>
      <w:r>
        <w:rPr>
          <w:sz w:val="22"/>
        </w:rPr>
        <w:t>each</w:t>
      </w:r>
      <w:r>
        <w:rPr>
          <w:spacing w:val="-4"/>
          <w:sz w:val="22"/>
        </w:rPr>
        <w:t> </w:t>
      </w:r>
      <w:r>
        <w:rPr>
          <w:sz w:val="22"/>
        </w:rPr>
        <w:t>ACO</w:t>
      </w:r>
      <w:r>
        <w:rPr>
          <w:spacing w:val="-5"/>
          <w:sz w:val="22"/>
        </w:rPr>
        <w:t> </w:t>
      </w:r>
      <w:r>
        <w:rPr>
          <w:sz w:val="22"/>
        </w:rPr>
        <w:t>that</w:t>
      </w:r>
      <w:r>
        <w:rPr>
          <w:spacing w:val="-5"/>
          <w:sz w:val="22"/>
        </w:rPr>
        <w:t> </w:t>
      </w:r>
      <w:r>
        <w:rPr>
          <w:sz w:val="22"/>
        </w:rPr>
        <w:t>is</w:t>
      </w:r>
      <w:r>
        <w:rPr>
          <w:spacing w:val="-3"/>
          <w:sz w:val="22"/>
        </w:rPr>
        <w:t> </w:t>
      </w:r>
      <w:r>
        <w:rPr>
          <w:sz w:val="22"/>
        </w:rPr>
        <w:t>equal</w:t>
      </w:r>
      <w:r>
        <w:rPr>
          <w:spacing w:val="-3"/>
          <w:sz w:val="22"/>
        </w:rPr>
        <w:t> </w:t>
      </w:r>
      <w:r>
        <w:rPr>
          <w:sz w:val="22"/>
        </w:rPr>
        <w:t>to</w:t>
      </w:r>
      <w:r>
        <w:rPr>
          <w:spacing w:val="-4"/>
          <w:sz w:val="22"/>
        </w:rPr>
        <w:t> </w:t>
      </w:r>
      <w:r>
        <w:rPr>
          <w:sz w:val="22"/>
        </w:rPr>
        <w:t>that</w:t>
      </w:r>
      <w:r>
        <w:rPr>
          <w:spacing w:val="-3"/>
          <w:sz w:val="22"/>
        </w:rPr>
        <w:t> </w:t>
      </w:r>
      <w:r>
        <w:rPr>
          <w:sz w:val="22"/>
        </w:rPr>
        <w:t>ACO's</w:t>
      </w:r>
      <w:r>
        <w:rPr>
          <w:spacing w:val="-3"/>
          <w:sz w:val="22"/>
        </w:rPr>
        <w:t> </w:t>
      </w:r>
      <w:r>
        <w:rPr>
          <w:sz w:val="22"/>
        </w:rPr>
        <w:t>"difference</w:t>
      </w:r>
      <w:r>
        <w:rPr>
          <w:spacing w:val="-3"/>
          <w:sz w:val="22"/>
        </w:rPr>
        <w:t> </w:t>
      </w:r>
      <w:r>
        <w:rPr>
          <w:sz w:val="22"/>
        </w:rPr>
        <w:t>from</w:t>
      </w:r>
      <w:r>
        <w:rPr>
          <w:spacing w:val="-7"/>
          <w:sz w:val="22"/>
        </w:rPr>
        <w:t> </w:t>
      </w:r>
      <w:r>
        <w:rPr>
          <w:sz w:val="22"/>
        </w:rPr>
        <w:t>100%"</w:t>
      </w:r>
      <w:r>
        <w:rPr>
          <w:spacing w:val="-3"/>
          <w:sz w:val="22"/>
        </w:rPr>
        <w:t> </w:t>
      </w:r>
      <w:r>
        <w:rPr>
          <w:sz w:val="22"/>
        </w:rPr>
        <w:t>divided</w:t>
      </w:r>
      <w:r>
        <w:rPr>
          <w:spacing w:val="-6"/>
          <w:sz w:val="22"/>
        </w:rPr>
        <w:t> </w:t>
      </w:r>
      <w:r>
        <w:rPr>
          <w:sz w:val="22"/>
        </w:rPr>
        <w:t>by</w:t>
      </w:r>
      <w:r>
        <w:rPr>
          <w:spacing w:val="-6"/>
          <w:sz w:val="22"/>
        </w:rPr>
        <w:t> </w:t>
      </w:r>
      <w:r>
        <w:rPr>
          <w:sz w:val="22"/>
        </w:rPr>
        <w:t>the</w:t>
      </w:r>
      <w:r>
        <w:rPr>
          <w:spacing w:val="-3"/>
          <w:sz w:val="22"/>
        </w:rPr>
        <w:t> </w:t>
      </w:r>
      <w:r>
        <w:rPr>
          <w:sz w:val="22"/>
        </w:rPr>
        <w:t>summed</w:t>
      </w:r>
      <w:r>
        <w:rPr>
          <w:spacing w:val="-4"/>
          <w:sz w:val="22"/>
        </w:rPr>
        <w:t> </w:t>
      </w:r>
      <w:r>
        <w:rPr>
          <w:sz w:val="22"/>
        </w:rPr>
        <w:t>total</w:t>
      </w:r>
      <w:r>
        <w:rPr>
          <w:spacing w:val="-3"/>
          <w:sz w:val="22"/>
        </w:rPr>
        <w:t> </w:t>
      </w:r>
      <w:r>
        <w:rPr>
          <w:sz w:val="22"/>
        </w:rPr>
        <w:t>of all the ACOs' "difference from 100%".</w:t>
      </w:r>
      <w:r>
        <w:rPr>
          <w:spacing w:val="40"/>
          <w:sz w:val="22"/>
        </w:rPr>
        <w:t> </w:t>
      </w:r>
      <w:r>
        <w:rPr>
          <w:sz w:val="22"/>
        </w:rPr>
        <w:t>That weight will then be multiplied by the ACO portion of the recoupment amount to determine the amount of funding that the State will recoup from the ACO.</w:t>
      </w:r>
      <w:r>
        <w:rPr>
          <w:spacing w:val="40"/>
          <w:sz w:val="22"/>
        </w:rPr>
        <w:t> </w:t>
      </w:r>
      <w:r>
        <w:rPr>
          <w:sz w:val="22"/>
        </w:rPr>
        <w:t>As an example, if the State needs to recoup $100 for BP4, then it will first divide the recoupment between the ACOs</w:t>
      </w:r>
      <w:r>
        <w:rPr>
          <w:spacing w:val="8"/>
          <w:sz w:val="22"/>
        </w:rPr>
        <w:t> </w:t>
      </w:r>
      <w:r>
        <w:rPr>
          <w:sz w:val="22"/>
        </w:rPr>
        <w:t>and</w:t>
      </w:r>
      <w:r>
        <w:rPr>
          <w:spacing w:val="7"/>
          <w:sz w:val="22"/>
        </w:rPr>
        <w:t> </w:t>
      </w:r>
      <w:r>
        <w:rPr>
          <w:sz w:val="22"/>
        </w:rPr>
        <w:t>CPs</w:t>
      </w:r>
      <w:r>
        <w:rPr>
          <w:spacing w:val="8"/>
          <w:sz w:val="22"/>
        </w:rPr>
        <w:t> </w:t>
      </w:r>
      <w:r>
        <w:rPr>
          <w:sz w:val="22"/>
        </w:rPr>
        <w:t>according</w:t>
      </w:r>
      <w:r>
        <w:rPr>
          <w:spacing w:val="5"/>
          <w:sz w:val="22"/>
        </w:rPr>
        <w:t> </w:t>
      </w:r>
      <w:r>
        <w:rPr>
          <w:sz w:val="22"/>
        </w:rPr>
        <w:t>to</w:t>
      </w:r>
      <w:r>
        <w:rPr>
          <w:spacing w:val="8"/>
          <w:sz w:val="22"/>
        </w:rPr>
        <w:t> </w:t>
      </w:r>
      <w:r>
        <w:rPr>
          <w:sz w:val="22"/>
        </w:rPr>
        <w:t>Table</w:t>
      </w:r>
      <w:r>
        <w:rPr>
          <w:spacing w:val="8"/>
          <w:sz w:val="22"/>
        </w:rPr>
        <w:t> </w:t>
      </w:r>
      <w:r>
        <w:rPr>
          <w:sz w:val="22"/>
        </w:rPr>
        <w:t>G</w:t>
      </w:r>
      <w:r>
        <w:rPr>
          <w:spacing w:val="6"/>
          <w:sz w:val="22"/>
        </w:rPr>
        <w:t> </w:t>
      </w:r>
      <w:r>
        <w:rPr>
          <w:sz w:val="22"/>
        </w:rPr>
        <w:t>of</w:t>
      </w:r>
      <w:r>
        <w:rPr>
          <w:spacing w:val="6"/>
          <w:sz w:val="22"/>
        </w:rPr>
        <w:t> </w:t>
      </w:r>
      <w:r>
        <w:rPr>
          <w:sz w:val="22"/>
        </w:rPr>
        <w:t>the</w:t>
      </w:r>
      <w:r>
        <w:rPr>
          <w:spacing w:val="9"/>
          <w:sz w:val="22"/>
        </w:rPr>
        <w:t> </w:t>
      </w:r>
      <w:r>
        <w:rPr>
          <w:sz w:val="22"/>
        </w:rPr>
        <w:t>STCs</w:t>
      </w:r>
      <w:r>
        <w:rPr>
          <w:spacing w:val="5"/>
          <w:sz w:val="22"/>
        </w:rPr>
        <w:t> </w:t>
      </w:r>
      <w:r>
        <w:rPr>
          <w:sz w:val="22"/>
        </w:rPr>
        <w:t>(i.e.,</w:t>
      </w:r>
      <w:r>
        <w:rPr>
          <w:spacing w:val="7"/>
          <w:sz w:val="22"/>
        </w:rPr>
        <w:t> </w:t>
      </w:r>
      <w:r>
        <w:rPr>
          <w:sz w:val="22"/>
        </w:rPr>
        <w:t>ACOs</w:t>
      </w:r>
      <w:r>
        <w:rPr>
          <w:spacing w:val="8"/>
          <w:sz w:val="22"/>
        </w:rPr>
        <w:t> </w:t>
      </w:r>
      <w:r>
        <w:rPr>
          <w:sz w:val="22"/>
        </w:rPr>
        <w:t>and</w:t>
      </w:r>
      <w:r>
        <w:rPr>
          <w:spacing w:val="8"/>
          <w:sz w:val="22"/>
        </w:rPr>
        <w:t> </w:t>
      </w:r>
      <w:r>
        <w:rPr>
          <w:sz w:val="22"/>
        </w:rPr>
        <w:t>CPs</w:t>
      </w:r>
      <w:r>
        <w:rPr>
          <w:spacing w:val="8"/>
          <w:sz w:val="22"/>
        </w:rPr>
        <w:t> </w:t>
      </w:r>
      <w:r>
        <w:rPr>
          <w:sz w:val="22"/>
        </w:rPr>
        <w:t>will</w:t>
      </w:r>
      <w:r>
        <w:rPr>
          <w:spacing w:val="8"/>
          <w:sz w:val="22"/>
        </w:rPr>
        <w:t> </w:t>
      </w:r>
      <w:r>
        <w:rPr>
          <w:sz w:val="22"/>
        </w:rPr>
        <w:t>need</w:t>
      </w:r>
      <w:r>
        <w:rPr>
          <w:spacing w:val="5"/>
          <w:sz w:val="22"/>
        </w:rPr>
        <w:t> </w:t>
      </w:r>
      <w:r>
        <w:rPr>
          <w:sz w:val="22"/>
        </w:rPr>
        <w:t>to</w:t>
      </w:r>
      <w:r>
        <w:rPr>
          <w:spacing w:val="8"/>
          <w:sz w:val="22"/>
        </w:rPr>
        <w:t> </w:t>
      </w:r>
      <w:r>
        <w:rPr>
          <w:sz w:val="22"/>
        </w:rPr>
        <w:t>pay</w:t>
      </w:r>
      <w:r>
        <w:rPr>
          <w:spacing w:val="5"/>
          <w:sz w:val="22"/>
        </w:rPr>
        <w:t> </w:t>
      </w:r>
      <w:r>
        <w:rPr>
          <w:sz w:val="22"/>
        </w:rPr>
        <w:t>back</w:t>
      </w:r>
      <w:r>
        <w:rPr>
          <w:spacing w:val="5"/>
          <w:sz w:val="22"/>
        </w:rPr>
        <w:t> </w:t>
      </w:r>
      <w:r>
        <w:rPr>
          <w:sz w:val="22"/>
        </w:rPr>
        <w:t>$66.10</w:t>
      </w:r>
      <w:r>
        <w:rPr>
          <w:spacing w:val="6"/>
          <w:sz w:val="22"/>
        </w:rPr>
        <w:t> </w:t>
      </w:r>
      <w:r>
        <w:rPr>
          <w:spacing w:val="-5"/>
          <w:sz w:val="22"/>
        </w:rPr>
        <w:t>and</w:t>
      </w:r>
    </w:p>
    <w:p>
      <w:pPr>
        <w:spacing w:before="0"/>
        <w:ind w:left="1219" w:right="1094" w:firstLine="0"/>
        <w:jc w:val="both"/>
        <w:rPr>
          <w:sz w:val="22"/>
        </w:rPr>
      </w:pPr>
      <w:r>
        <w:rPr>
          <w:sz w:val="22"/>
        </w:rPr>
        <w:t>$33.90, respectively).</w:t>
      </w:r>
      <w:r>
        <w:rPr>
          <w:spacing w:val="40"/>
          <w:sz w:val="22"/>
        </w:rPr>
        <w:t> </w:t>
      </w:r>
      <w:r>
        <w:rPr>
          <w:sz w:val="22"/>
        </w:rPr>
        <w:t>If there are two ACOs, and ACO 1 scored a 90%, and ACO 2 scored a 60% (corresponding</w:t>
      </w:r>
      <w:r>
        <w:rPr>
          <w:spacing w:val="-11"/>
          <w:sz w:val="22"/>
        </w:rPr>
        <w:t> </w:t>
      </w:r>
      <w:r>
        <w:rPr>
          <w:sz w:val="22"/>
        </w:rPr>
        <w:t>to</w:t>
      </w:r>
      <w:r>
        <w:rPr>
          <w:spacing w:val="-9"/>
          <w:sz w:val="22"/>
        </w:rPr>
        <w:t> </w:t>
      </w:r>
      <w:r>
        <w:rPr>
          <w:sz w:val="22"/>
        </w:rPr>
        <w:t>“differences</w:t>
      </w:r>
      <w:r>
        <w:rPr>
          <w:spacing w:val="-8"/>
          <w:sz w:val="22"/>
        </w:rPr>
        <w:t> </w:t>
      </w:r>
      <w:r>
        <w:rPr>
          <w:sz w:val="22"/>
        </w:rPr>
        <w:t>from</w:t>
      </w:r>
      <w:r>
        <w:rPr>
          <w:spacing w:val="-12"/>
          <w:sz w:val="22"/>
        </w:rPr>
        <w:t> </w:t>
      </w:r>
      <w:r>
        <w:rPr>
          <w:sz w:val="22"/>
        </w:rPr>
        <w:t>100%”</w:t>
      </w:r>
      <w:r>
        <w:rPr>
          <w:spacing w:val="-8"/>
          <w:sz w:val="22"/>
        </w:rPr>
        <w:t> </w:t>
      </w:r>
      <w:r>
        <w:rPr>
          <w:sz w:val="22"/>
        </w:rPr>
        <w:t>of</w:t>
      </w:r>
      <w:r>
        <w:rPr>
          <w:spacing w:val="-8"/>
          <w:sz w:val="22"/>
        </w:rPr>
        <w:t> </w:t>
      </w:r>
      <w:r>
        <w:rPr>
          <w:sz w:val="22"/>
        </w:rPr>
        <w:t>10%</w:t>
      </w:r>
      <w:r>
        <w:rPr>
          <w:spacing w:val="-8"/>
          <w:sz w:val="22"/>
        </w:rPr>
        <w:t> </w:t>
      </w:r>
      <w:r>
        <w:rPr>
          <w:sz w:val="22"/>
        </w:rPr>
        <w:t>and</w:t>
      </w:r>
      <w:r>
        <w:rPr>
          <w:spacing w:val="-9"/>
          <w:sz w:val="22"/>
        </w:rPr>
        <w:t> </w:t>
      </w:r>
      <w:r>
        <w:rPr>
          <w:sz w:val="22"/>
        </w:rPr>
        <w:t>40%,</w:t>
      </w:r>
      <w:r>
        <w:rPr>
          <w:spacing w:val="-9"/>
          <w:sz w:val="22"/>
        </w:rPr>
        <w:t> </w:t>
      </w:r>
      <w:r>
        <w:rPr>
          <w:sz w:val="22"/>
        </w:rPr>
        <w:t>respectively),</w:t>
      </w:r>
      <w:r>
        <w:rPr>
          <w:spacing w:val="-9"/>
          <w:sz w:val="22"/>
        </w:rPr>
        <w:t> </w:t>
      </w:r>
      <w:r>
        <w:rPr>
          <w:sz w:val="22"/>
        </w:rPr>
        <w:t>then</w:t>
      </w:r>
      <w:r>
        <w:rPr>
          <w:spacing w:val="-9"/>
          <w:sz w:val="22"/>
        </w:rPr>
        <w:t> </w:t>
      </w:r>
      <w:r>
        <w:rPr>
          <w:sz w:val="22"/>
        </w:rPr>
        <w:t>ACO</w:t>
      </w:r>
      <w:r>
        <w:rPr>
          <w:spacing w:val="-10"/>
          <w:sz w:val="22"/>
        </w:rPr>
        <w:t> </w:t>
      </w:r>
      <w:r>
        <w:rPr>
          <w:sz w:val="22"/>
        </w:rPr>
        <w:t>1</w:t>
      </w:r>
      <w:r>
        <w:rPr>
          <w:spacing w:val="-9"/>
          <w:sz w:val="22"/>
        </w:rPr>
        <w:t> </w:t>
      </w:r>
      <w:r>
        <w:rPr>
          <w:sz w:val="22"/>
        </w:rPr>
        <w:t>would</w:t>
      </w:r>
      <w:r>
        <w:rPr>
          <w:spacing w:val="-9"/>
          <w:sz w:val="22"/>
        </w:rPr>
        <w:t> </w:t>
      </w:r>
      <w:r>
        <w:rPr>
          <w:sz w:val="22"/>
        </w:rPr>
        <w:t>need</w:t>
      </w:r>
      <w:r>
        <w:rPr>
          <w:spacing w:val="-9"/>
          <w:sz w:val="22"/>
        </w:rPr>
        <w:t> </w:t>
      </w:r>
      <w:r>
        <w:rPr>
          <w:sz w:val="22"/>
        </w:rPr>
        <w:t>to</w:t>
      </w:r>
      <w:r>
        <w:rPr>
          <w:spacing w:val="-9"/>
          <w:sz w:val="22"/>
        </w:rPr>
        <w:t> </w:t>
      </w:r>
      <w:r>
        <w:rPr>
          <w:sz w:val="22"/>
        </w:rPr>
        <w:t>pay back</w:t>
      </w:r>
      <w:r>
        <w:rPr>
          <w:spacing w:val="-1"/>
          <w:sz w:val="22"/>
        </w:rPr>
        <w:t> </w:t>
      </w:r>
      <w:r>
        <w:rPr>
          <w:sz w:val="22"/>
        </w:rPr>
        <w:t>$66.10</w:t>
      </w:r>
      <w:r>
        <w:rPr>
          <w:spacing w:val="1"/>
          <w:sz w:val="22"/>
        </w:rPr>
        <w:t> </w:t>
      </w:r>
      <w:r>
        <w:rPr>
          <w:sz w:val="22"/>
        </w:rPr>
        <w:t>*</w:t>
      </w:r>
      <w:r>
        <w:rPr>
          <w:spacing w:val="1"/>
          <w:sz w:val="22"/>
        </w:rPr>
        <w:t> </w:t>
      </w:r>
      <w:r>
        <w:rPr>
          <w:sz w:val="22"/>
        </w:rPr>
        <w:t>(10% /</w:t>
      </w:r>
      <w:r>
        <w:rPr>
          <w:spacing w:val="2"/>
          <w:sz w:val="22"/>
        </w:rPr>
        <w:t> </w:t>
      </w:r>
      <w:r>
        <w:rPr>
          <w:sz w:val="22"/>
        </w:rPr>
        <w:t>(10% +</w:t>
      </w:r>
      <w:r>
        <w:rPr>
          <w:spacing w:val="1"/>
          <w:sz w:val="22"/>
        </w:rPr>
        <w:t> </w:t>
      </w:r>
      <w:r>
        <w:rPr>
          <w:sz w:val="22"/>
        </w:rPr>
        <w:t>40%)) =</w:t>
      </w:r>
      <w:r>
        <w:rPr>
          <w:spacing w:val="1"/>
          <w:sz w:val="22"/>
        </w:rPr>
        <w:t> </w:t>
      </w:r>
      <w:r>
        <w:rPr>
          <w:sz w:val="22"/>
        </w:rPr>
        <w:t>$13.22,</w:t>
      </w:r>
      <w:r>
        <w:rPr>
          <w:spacing w:val="-1"/>
          <w:sz w:val="22"/>
        </w:rPr>
        <w:t> </w:t>
      </w:r>
      <w:r>
        <w:rPr>
          <w:sz w:val="22"/>
        </w:rPr>
        <w:t>and</w:t>
      </w:r>
      <w:r>
        <w:rPr>
          <w:spacing w:val="1"/>
          <w:sz w:val="22"/>
        </w:rPr>
        <w:t> </w:t>
      </w:r>
      <w:r>
        <w:rPr>
          <w:sz w:val="22"/>
        </w:rPr>
        <w:t>ACO 2</w:t>
      </w:r>
      <w:r>
        <w:rPr>
          <w:spacing w:val="1"/>
          <w:sz w:val="22"/>
        </w:rPr>
        <w:t> </w:t>
      </w:r>
      <w:r>
        <w:rPr>
          <w:sz w:val="22"/>
        </w:rPr>
        <w:t>would</w:t>
      </w:r>
      <w:r>
        <w:rPr>
          <w:spacing w:val="1"/>
          <w:sz w:val="22"/>
        </w:rPr>
        <w:t> </w:t>
      </w:r>
      <w:r>
        <w:rPr>
          <w:sz w:val="22"/>
        </w:rPr>
        <w:t>need</w:t>
      </w:r>
      <w:r>
        <w:rPr>
          <w:spacing w:val="1"/>
          <w:sz w:val="22"/>
        </w:rPr>
        <w:t> </w:t>
      </w:r>
      <w:r>
        <w:rPr>
          <w:sz w:val="22"/>
        </w:rPr>
        <w:t>to</w:t>
      </w:r>
      <w:r>
        <w:rPr>
          <w:spacing w:val="-1"/>
          <w:sz w:val="22"/>
        </w:rPr>
        <w:t> </w:t>
      </w:r>
      <w:r>
        <w:rPr>
          <w:sz w:val="22"/>
        </w:rPr>
        <w:t>pay</w:t>
      </w:r>
      <w:r>
        <w:rPr>
          <w:spacing w:val="-1"/>
          <w:sz w:val="22"/>
        </w:rPr>
        <w:t> </w:t>
      </w:r>
      <w:r>
        <w:rPr>
          <w:sz w:val="22"/>
        </w:rPr>
        <w:t>back</w:t>
      </w:r>
      <w:r>
        <w:rPr>
          <w:spacing w:val="-1"/>
          <w:sz w:val="22"/>
        </w:rPr>
        <w:t> </w:t>
      </w:r>
      <w:r>
        <w:rPr>
          <w:sz w:val="22"/>
        </w:rPr>
        <w:t>$66.10</w:t>
      </w:r>
      <w:r>
        <w:rPr>
          <w:spacing w:val="1"/>
          <w:sz w:val="22"/>
        </w:rPr>
        <w:t> </w:t>
      </w:r>
      <w:r>
        <w:rPr>
          <w:sz w:val="22"/>
        </w:rPr>
        <w:t>*</w:t>
      </w:r>
      <w:r>
        <w:rPr>
          <w:spacing w:val="1"/>
          <w:sz w:val="22"/>
        </w:rPr>
        <w:t> </w:t>
      </w:r>
      <w:r>
        <w:rPr>
          <w:sz w:val="22"/>
        </w:rPr>
        <w:t>(40%</w:t>
      </w:r>
      <w:r>
        <w:rPr>
          <w:spacing w:val="2"/>
          <w:sz w:val="22"/>
        </w:rPr>
        <w:t> </w:t>
      </w:r>
      <w:r>
        <w:rPr>
          <w:sz w:val="22"/>
        </w:rPr>
        <w:t>/</w:t>
      </w:r>
      <w:r>
        <w:rPr>
          <w:spacing w:val="1"/>
          <w:sz w:val="22"/>
        </w:rPr>
        <w:t> </w:t>
      </w:r>
      <w:r>
        <w:rPr>
          <w:spacing w:val="-4"/>
          <w:sz w:val="22"/>
        </w:rPr>
        <w:t>(10%</w:t>
      </w:r>
    </w:p>
    <w:p>
      <w:pPr>
        <w:spacing w:before="0"/>
        <w:ind w:left="1219" w:right="1094" w:firstLine="0"/>
        <w:jc w:val="both"/>
        <w:rPr>
          <w:sz w:val="22"/>
        </w:rPr>
      </w:pPr>
      <w:r>
        <w:rPr>
          <w:sz w:val="22"/>
        </w:rPr>
        <w:t>+ 40%)) = $52.88.</w:t>
      </w:r>
      <w:r>
        <w:rPr>
          <w:spacing w:val="40"/>
          <w:sz w:val="22"/>
        </w:rPr>
        <w:t> </w:t>
      </w:r>
      <w:r>
        <w:rPr>
          <w:sz w:val="22"/>
        </w:rPr>
        <w:t>The State may implement a different methodology for recouping funds from CPs and CSAs.</w:t>
      </w:r>
      <w:r>
        <w:rPr>
          <w:spacing w:val="39"/>
          <w:sz w:val="22"/>
        </w:rPr>
        <w:t> </w:t>
      </w:r>
      <w:r>
        <w:rPr>
          <w:sz w:val="22"/>
        </w:rPr>
        <w:t>The</w:t>
      </w:r>
      <w:r>
        <w:rPr>
          <w:spacing w:val="-7"/>
          <w:sz w:val="22"/>
        </w:rPr>
        <w:t> </w:t>
      </w:r>
      <w:r>
        <w:rPr>
          <w:sz w:val="22"/>
        </w:rPr>
        <w:t>State</w:t>
      </w:r>
      <w:r>
        <w:rPr>
          <w:spacing w:val="-7"/>
          <w:sz w:val="22"/>
        </w:rPr>
        <w:t> </w:t>
      </w:r>
      <w:r>
        <w:rPr>
          <w:sz w:val="22"/>
        </w:rPr>
        <w:t>will</w:t>
      </w:r>
      <w:r>
        <w:rPr>
          <w:spacing w:val="-6"/>
          <w:sz w:val="22"/>
        </w:rPr>
        <w:t> </w:t>
      </w:r>
      <w:r>
        <w:rPr>
          <w:sz w:val="22"/>
        </w:rPr>
        <w:t>make</w:t>
      </w:r>
      <w:r>
        <w:rPr>
          <w:spacing w:val="-7"/>
          <w:sz w:val="22"/>
        </w:rPr>
        <w:t> </w:t>
      </w:r>
      <w:r>
        <w:rPr>
          <w:sz w:val="22"/>
        </w:rPr>
        <w:t>a</w:t>
      </w:r>
      <w:r>
        <w:rPr>
          <w:spacing w:val="-9"/>
          <w:sz w:val="22"/>
        </w:rPr>
        <w:t> </w:t>
      </w:r>
      <w:r>
        <w:rPr>
          <w:sz w:val="22"/>
        </w:rPr>
        <w:t>final</w:t>
      </w:r>
      <w:r>
        <w:rPr>
          <w:spacing w:val="-8"/>
          <w:sz w:val="22"/>
        </w:rPr>
        <w:t> </w:t>
      </w:r>
      <w:r>
        <w:rPr>
          <w:sz w:val="22"/>
        </w:rPr>
        <w:t>determination</w:t>
      </w:r>
      <w:r>
        <w:rPr>
          <w:spacing w:val="-7"/>
          <w:sz w:val="22"/>
        </w:rPr>
        <w:t> </w:t>
      </w:r>
      <w:r>
        <w:rPr>
          <w:sz w:val="22"/>
        </w:rPr>
        <w:t>of</w:t>
      </w:r>
      <w:r>
        <w:rPr>
          <w:spacing w:val="-9"/>
          <w:sz w:val="22"/>
        </w:rPr>
        <w:t> </w:t>
      </w:r>
      <w:r>
        <w:rPr>
          <w:sz w:val="22"/>
        </w:rPr>
        <w:t>its</w:t>
      </w:r>
      <w:r>
        <w:rPr>
          <w:spacing w:val="-9"/>
          <w:sz w:val="22"/>
        </w:rPr>
        <w:t> </w:t>
      </w:r>
      <w:r>
        <w:rPr>
          <w:sz w:val="22"/>
        </w:rPr>
        <w:t>recoupment</w:t>
      </w:r>
      <w:r>
        <w:rPr>
          <w:spacing w:val="-6"/>
          <w:sz w:val="22"/>
        </w:rPr>
        <w:t> </w:t>
      </w:r>
      <w:r>
        <w:rPr>
          <w:sz w:val="22"/>
        </w:rPr>
        <w:t>methodology</w:t>
      </w:r>
      <w:r>
        <w:rPr>
          <w:spacing w:val="-10"/>
          <w:sz w:val="22"/>
        </w:rPr>
        <w:t> </w:t>
      </w:r>
      <w:r>
        <w:rPr>
          <w:sz w:val="22"/>
        </w:rPr>
        <w:t>once</w:t>
      </w:r>
      <w:r>
        <w:rPr>
          <w:spacing w:val="-9"/>
          <w:sz w:val="22"/>
        </w:rPr>
        <w:t> </w:t>
      </w:r>
      <w:r>
        <w:rPr>
          <w:sz w:val="22"/>
        </w:rPr>
        <w:t>it</w:t>
      </w:r>
      <w:r>
        <w:rPr>
          <w:spacing w:val="-9"/>
          <w:sz w:val="22"/>
        </w:rPr>
        <w:t> </w:t>
      </w:r>
      <w:r>
        <w:rPr>
          <w:sz w:val="22"/>
        </w:rPr>
        <w:t>decides</w:t>
      </w:r>
      <w:r>
        <w:rPr>
          <w:spacing w:val="-9"/>
          <w:sz w:val="22"/>
        </w:rPr>
        <w:t> </w:t>
      </w:r>
      <w:r>
        <w:rPr>
          <w:sz w:val="22"/>
        </w:rPr>
        <w:t>that</w:t>
      </w:r>
      <w:r>
        <w:rPr>
          <w:spacing w:val="-8"/>
          <w:sz w:val="22"/>
        </w:rPr>
        <w:t> </w:t>
      </w:r>
      <w:r>
        <w:rPr>
          <w:sz w:val="22"/>
        </w:rPr>
        <w:t>it</w:t>
      </w:r>
      <w:r>
        <w:rPr>
          <w:spacing w:val="-6"/>
          <w:sz w:val="22"/>
        </w:rPr>
        <w:t> </w:t>
      </w:r>
      <w:r>
        <w:rPr>
          <w:sz w:val="22"/>
        </w:rPr>
        <w:t>will recoup funds, and once it understands why the State had to recoup funds.</w:t>
      </w:r>
      <w:r>
        <w:rPr>
          <w:spacing w:val="40"/>
          <w:sz w:val="22"/>
        </w:rPr>
        <w:t> </w:t>
      </w:r>
      <w:r>
        <w:rPr>
          <w:sz w:val="22"/>
        </w:rPr>
        <w:t>For example, the recoupment methodology</w:t>
      </w:r>
      <w:r>
        <w:rPr>
          <w:spacing w:val="-16"/>
          <w:sz w:val="22"/>
        </w:rPr>
        <w:t> </w:t>
      </w:r>
      <w:r>
        <w:rPr>
          <w:sz w:val="22"/>
        </w:rPr>
        <w:t>described</w:t>
      </w:r>
      <w:r>
        <w:rPr>
          <w:spacing w:val="-14"/>
          <w:sz w:val="22"/>
        </w:rPr>
        <w:t> </w:t>
      </w:r>
      <w:r>
        <w:rPr>
          <w:sz w:val="22"/>
        </w:rPr>
        <w:t>above</w:t>
      </w:r>
      <w:r>
        <w:rPr>
          <w:spacing w:val="-14"/>
          <w:sz w:val="22"/>
        </w:rPr>
        <w:t> </w:t>
      </w:r>
      <w:r>
        <w:rPr>
          <w:sz w:val="22"/>
        </w:rPr>
        <w:t>may</w:t>
      </w:r>
      <w:r>
        <w:rPr>
          <w:spacing w:val="-13"/>
          <w:sz w:val="22"/>
        </w:rPr>
        <w:t> </w:t>
      </w:r>
      <w:r>
        <w:rPr>
          <w:sz w:val="22"/>
        </w:rPr>
        <w:t>be</w:t>
      </w:r>
      <w:r>
        <w:rPr>
          <w:spacing w:val="-14"/>
          <w:sz w:val="22"/>
        </w:rPr>
        <w:t> </w:t>
      </w:r>
      <w:r>
        <w:rPr>
          <w:sz w:val="22"/>
        </w:rPr>
        <w:t>appropriate</w:t>
      </w:r>
      <w:r>
        <w:rPr>
          <w:spacing w:val="-14"/>
          <w:sz w:val="22"/>
        </w:rPr>
        <w:t> </w:t>
      </w:r>
      <w:r>
        <w:rPr>
          <w:sz w:val="22"/>
        </w:rPr>
        <w:t>for</w:t>
      </w:r>
      <w:r>
        <w:rPr>
          <w:spacing w:val="-14"/>
          <w:sz w:val="22"/>
        </w:rPr>
        <w:t> </w:t>
      </w:r>
      <w:r>
        <w:rPr>
          <w:sz w:val="22"/>
        </w:rPr>
        <w:t>poor</w:t>
      </w:r>
      <w:r>
        <w:rPr>
          <w:spacing w:val="-13"/>
          <w:sz w:val="22"/>
        </w:rPr>
        <w:t> </w:t>
      </w:r>
      <w:r>
        <w:rPr>
          <w:sz w:val="22"/>
        </w:rPr>
        <w:t>statewide</w:t>
      </w:r>
      <w:r>
        <w:rPr>
          <w:spacing w:val="-14"/>
          <w:sz w:val="22"/>
        </w:rPr>
        <w:t> </w:t>
      </w:r>
      <w:r>
        <w:rPr>
          <w:sz w:val="22"/>
        </w:rPr>
        <w:t>quality</w:t>
      </w:r>
      <w:r>
        <w:rPr>
          <w:spacing w:val="-14"/>
          <w:sz w:val="22"/>
        </w:rPr>
        <w:t> </w:t>
      </w:r>
      <w:r>
        <w:rPr>
          <w:sz w:val="22"/>
        </w:rPr>
        <w:t>performance,</w:t>
      </w:r>
      <w:r>
        <w:rPr>
          <w:spacing w:val="-14"/>
          <w:sz w:val="22"/>
        </w:rPr>
        <w:t> </w:t>
      </w:r>
      <w:r>
        <w:rPr>
          <w:sz w:val="22"/>
        </w:rPr>
        <w:t>but</w:t>
      </w:r>
      <w:r>
        <w:rPr>
          <w:spacing w:val="-13"/>
          <w:sz w:val="22"/>
        </w:rPr>
        <w:t> </w:t>
      </w:r>
      <w:r>
        <w:rPr>
          <w:sz w:val="22"/>
        </w:rPr>
        <w:t>inappropriate for poor statewide APM adoption.</w:t>
      </w:r>
    </w:p>
    <w:p>
      <w:pPr>
        <w:spacing w:after="0"/>
        <w:jc w:val="both"/>
        <w:rPr>
          <w:sz w:val="22"/>
        </w:rPr>
        <w:sectPr>
          <w:pgSz w:w="12240" w:h="15840"/>
          <w:pgMar w:header="0" w:footer="967" w:top="1360" w:bottom="1160" w:left="220" w:right="340"/>
        </w:sectPr>
      </w:pPr>
    </w:p>
    <w:p>
      <w:pPr>
        <w:pStyle w:val="ListParagraph"/>
        <w:numPr>
          <w:ilvl w:val="2"/>
          <w:numId w:val="77"/>
        </w:numPr>
        <w:tabs>
          <w:tab w:pos="1939" w:val="left" w:leader="none"/>
        </w:tabs>
        <w:spacing w:line="240" w:lineRule="auto" w:before="78" w:after="0"/>
        <w:ind w:left="1939" w:right="0" w:hanging="720"/>
        <w:jc w:val="left"/>
        <w:rPr>
          <w:b/>
          <w:color w:val="4471C4"/>
          <w:sz w:val="22"/>
        </w:rPr>
      </w:pPr>
      <w:bookmarkStart w:name="5.1.2 ACO, CP and CSA Accountability to " w:id="1360"/>
      <w:bookmarkEnd w:id="1360"/>
      <w:r>
        <w:rPr/>
      </w:r>
      <w:bookmarkStart w:name="_bookmark74" w:id="1361"/>
      <w:bookmarkEnd w:id="1361"/>
      <w:r>
        <w:rPr/>
      </w:r>
      <w:r>
        <w:rPr>
          <w:b/>
          <w:color w:val="4471C4"/>
          <w:sz w:val="22"/>
        </w:rPr>
        <w:t>ACO,</w:t>
      </w:r>
      <w:r>
        <w:rPr>
          <w:b/>
          <w:color w:val="4471C4"/>
          <w:spacing w:val="-4"/>
          <w:sz w:val="22"/>
        </w:rPr>
        <w:t> </w:t>
      </w:r>
      <w:r>
        <w:rPr>
          <w:b/>
          <w:color w:val="4471C4"/>
          <w:sz w:val="22"/>
        </w:rPr>
        <w:t>CP</w:t>
      </w:r>
      <w:r>
        <w:rPr>
          <w:b/>
          <w:color w:val="4471C4"/>
          <w:spacing w:val="-2"/>
          <w:sz w:val="22"/>
        </w:rPr>
        <w:t> </w:t>
      </w:r>
      <w:r>
        <w:rPr>
          <w:b/>
          <w:color w:val="4471C4"/>
          <w:sz w:val="22"/>
        </w:rPr>
        <w:t>and</w:t>
      </w:r>
      <w:r>
        <w:rPr>
          <w:b/>
          <w:color w:val="4471C4"/>
          <w:spacing w:val="-4"/>
          <w:sz w:val="22"/>
        </w:rPr>
        <w:t> </w:t>
      </w:r>
      <w:r>
        <w:rPr>
          <w:b/>
          <w:color w:val="4471C4"/>
          <w:sz w:val="22"/>
        </w:rPr>
        <w:t>CSA</w:t>
      </w:r>
      <w:r>
        <w:rPr>
          <w:b/>
          <w:color w:val="4471C4"/>
          <w:spacing w:val="-5"/>
          <w:sz w:val="22"/>
        </w:rPr>
        <w:t> </w:t>
      </w:r>
      <w:r>
        <w:rPr>
          <w:b/>
          <w:color w:val="4471C4"/>
          <w:sz w:val="22"/>
        </w:rPr>
        <w:t>Accountability</w:t>
      </w:r>
      <w:r>
        <w:rPr>
          <w:b/>
          <w:color w:val="4471C4"/>
          <w:spacing w:val="-3"/>
          <w:sz w:val="22"/>
        </w:rPr>
        <w:t> </w:t>
      </w:r>
      <w:r>
        <w:rPr>
          <w:b/>
          <w:color w:val="4471C4"/>
          <w:sz w:val="22"/>
        </w:rPr>
        <w:t>to</w:t>
      </w:r>
      <w:r>
        <w:rPr>
          <w:b/>
          <w:color w:val="4471C4"/>
          <w:spacing w:val="-4"/>
          <w:sz w:val="22"/>
        </w:rPr>
        <w:t> </w:t>
      </w:r>
      <w:r>
        <w:rPr>
          <w:b/>
          <w:color w:val="4471C4"/>
          <w:sz w:val="22"/>
        </w:rPr>
        <w:t>the</w:t>
      </w:r>
      <w:r>
        <w:rPr>
          <w:b/>
          <w:color w:val="4471C4"/>
          <w:spacing w:val="-5"/>
          <w:sz w:val="22"/>
        </w:rPr>
        <w:t> </w:t>
      </w:r>
      <w:r>
        <w:rPr>
          <w:b/>
          <w:color w:val="4471C4"/>
          <w:spacing w:val="-4"/>
          <w:sz w:val="22"/>
        </w:rPr>
        <w:t>State</w:t>
      </w:r>
    </w:p>
    <w:p>
      <w:pPr>
        <w:pStyle w:val="BodyText"/>
        <w:spacing w:before="9"/>
        <w:rPr>
          <w:b/>
          <w:sz w:val="20"/>
        </w:rPr>
      </w:pPr>
    </w:p>
    <w:p>
      <w:pPr>
        <w:tabs>
          <w:tab w:pos="10923" w:val="left" w:leader="none"/>
        </w:tabs>
        <w:spacing w:before="0"/>
        <w:ind w:left="1220" w:right="0" w:firstLine="0"/>
        <w:jc w:val="left"/>
        <w:rPr>
          <w:sz w:val="22"/>
        </w:rPr>
      </w:pPr>
      <w:r>
        <w:rPr>
          <w:sz w:val="22"/>
          <w:u w:val="single"/>
        </w:rPr>
        <w:t>EXHIBIT</w:t>
      </w:r>
      <w:r>
        <w:rPr>
          <w:spacing w:val="-1"/>
          <w:sz w:val="22"/>
          <w:u w:val="single"/>
        </w:rPr>
        <w:t> </w:t>
      </w:r>
      <w:r>
        <w:rPr>
          <w:sz w:val="22"/>
          <w:u w:val="single"/>
        </w:rPr>
        <w:t>18</w:t>
      </w:r>
      <w:r>
        <w:rPr>
          <w:spacing w:val="-2"/>
          <w:sz w:val="22"/>
          <w:u w:val="single"/>
        </w:rPr>
        <w:t> </w:t>
      </w:r>
      <w:r>
        <w:rPr>
          <w:sz w:val="22"/>
          <w:u w:val="single"/>
        </w:rPr>
        <w:t>–</w:t>
      </w:r>
      <w:r>
        <w:rPr>
          <w:spacing w:val="-3"/>
          <w:sz w:val="22"/>
          <w:u w:val="single"/>
        </w:rPr>
        <w:t> </w:t>
      </w:r>
      <w:r>
        <w:rPr>
          <w:sz w:val="22"/>
          <w:u w:val="single"/>
        </w:rPr>
        <w:t>Process</w:t>
      </w:r>
      <w:r>
        <w:rPr>
          <w:spacing w:val="-2"/>
          <w:sz w:val="22"/>
          <w:u w:val="single"/>
        </w:rPr>
        <w:t> </w:t>
      </w:r>
      <w:r>
        <w:rPr>
          <w:sz w:val="22"/>
          <w:u w:val="single"/>
        </w:rPr>
        <w:t>Flow</w:t>
      </w:r>
      <w:r>
        <w:rPr>
          <w:spacing w:val="-4"/>
          <w:sz w:val="22"/>
          <w:u w:val="single"/>
        </w:rPr>
        <w:t> </w:t>
      </w:r>
      <w:r>
        <w:rPr>
          <w:sz w:val="22"/>
          <w:u w:val="single"/>
        </w:rPr>
        <w:t>for</w:t>
      </w:r>
      <w:r>
        <w:rPr>
          <w:spacing w:val="-1"/>
          <w:sz w:val="22"/>
          <w:u w:val="single"/>
        </w:rPr>
        <w:t> </w:t>
      </w:r>
      <w:r>
        <w:rPr>
          <w:sz w:val="22"/>
          <w:u w:val="single"/>
        </w:rPr>
        <w:t>ACO,</w:t>
      </w:r>
      <w:r>
        <w:rPr>
          <w:spacing w:val="-2"/>
          <w:sz w:val="22"/>
          <w:u w:val="single"/>
        </w:rPr>
        <w:t> </w:t>
      </w:r>
      <w:r>
        <w:rPr>
          <w:sz w:val="22"/>
          <w:u w:val="single"/>
        </w:rPr>
        <w:t>CP</w:t>
      </w:r>
      <w:r>
        <w:rPr>
          <w:spacing w:val="-4"/>
          <w:sz w:val="22"/>
          <w:u w:val="single"/>
        </w:rPr>
        <w:t> </w:t>
      </w:r>
      <w:r>
        <w:rPr>
          <w:sz w:val="22"/>
          <w:u w:val="single"/>
        </w:rPr>
        <w:t>and</w:t>
      </w:r>
      <w:r>
        <w:rPr>
          <w:spacing w:val="-2"/>
          <w:sz w:val="22"/>
          <w:u w:val="single"/>
        </w:rPr>
        <w:t> </w:t>
      </w:r>
      <w:r>
        <w:rPr>
          <w:sz w:val="22"/>
          <w:u w:val="single"/>
        </w:rPr>
        <w:t>CSA</w:t>
      </w:r>
      <w:r>
        <w:rPr>
          <w:spacing w:val="-4"/>
          <w:sz w:val="22"/>
          <w:u w:val="single"/>
        </w:rPr>
        <w:t> </w:t>
      </w:r>
      <w:r>
        <w:rPr>
          <w:sz w:val="22"/>
          <w:u w:val="single"/>
        </w:rPr>
        <w:t>Accountability</w:t>
      </w:r>
      <w:r>
        <w:rPr>
          <w:spacing w:val="-5"/>
          <w:sz w:val="22"/>
          <w:u w:val="single"/>
        </w:rPr>
        <w:t> </w:t>
      </w:r>
      <w:r>
        <w:rPr>
          <w:sz w:val="22"/>
          <w:u w:val="single"/>
        </w:rPr>
        <w:t>to</w:t>
      </w:r>
      <w:r>
        <w:rPr>
          <w:spacing w:val="-5"/>
          <w:sz w:val="22"/>
          <w:u w:val="single"/>
        </w:rPr>
        <w:t> </w:t>
      </w:r>
      <w:r>
        <w:rPr>
          <w:sz w:val="22"/>
          <w:u w:val="single"/>
        </w:rPr>
        <w:t>the</w:t>
      </w:r>
      <w:r>
        <w:rPr>
          <w:spacing w:val="-2"/>
          <w:sz w:val="22"/>
          <w:u w:val="single"/>
        </w:rPr>
        <w:t> State</w:t>
      </w:r>
      <w:r>
        <w:rPr>
          <w:sz w:val="22"/>
          <w:u w:val="single"/>
        </w:rPr>
        <w:tab/>
      </w:r>
    </w:p>
    <w:p>
      <w:pPr>
        <w:pStyle w:val="BodyText"/>
        <w:spacing w:before="11"/>
        <w:rPr>
          <w:sz w:val="9"/>
        </w:rPr>
      </w:pPr>
      <w:r>
        <w:rPr/>
        <w:drawing>
          <wp:anchor distT="0" distB="0" distL="0" distR="0" allowOverlap="1" layoutInCell="1" locked="0" behindDoc="1" simplePos="0" relativeHeight="488002560">
            <wp:simplePos x="0" y="0"/>
            <wp:positionH relativeFrom="page">
              <wp:posOffset>982980</wp:posOffset>
            </wp:positionH>
            <wp:positionV relativeFrom="paragraph">
              <wp:posOffset>87961</wp:posOffset>
            </wp:positionV>
            <wp:extent cx="6091161" cy="4569142"/>
            <wp:effectExtent l="0" t="0" r="0" b="0"/>
            <wp:wrapTopAndBottom/>
            <wp:docPr id="866" name="Image 866"/>
            <wp:cNvGraphicFramePr>
              <a:graphicFrameLocks/>
            </wp:cNvGraphicFramePr>
            <a:graphic>
              <a:graphicData uri="http://schemas.openxmlformats.org/drawingml/2006/picture">
                <pic:pic>
                  <pic:nvPicPr>
                    <pic:cNvPr id="866" name="Image 866"/>
                    <pic:cNvPicPr/>
                  </pic:nvPicPr>
                  <pic:blipFill>
                    <a:blip r:embed="rId344" cstate="print"/>
                    <a:stretch>
                      <a:fillRect/>
                    </a:stretch>
                  </pic:blipFill>
                  <pic:spPr>
                    <a:xfrm>
                      <a:off x="0" y="0"/>
                      <a:ext cx="6091161" cy="4569142"/>
                    </a:xfrm>
                    <a:prstGeom prst="rect">
                      <a:avLst/>
                    </a:prstGeom>
                  </pic:spPr>
                </pic:pic>
              </a:graphicData>
            </a:graphic>
          </wp:anchor>
        </w:drawing>
      </w:r>
    </w:p>
    <w:p>
      <w:pPr>
        <w:pStyle w:val="BodyText"/>
        <w:spacing w:before="1"/>
        <w:rPr>
          <w:sz w:val="4"/>
        </w:rPr>
      </w:pPr>
    </w:p>
    <w:p>
      <w:pPr>
        <w:pStyle w:val="BodyText"/>
        <w:spacing w:line="20" w:lineRule="exact"/>
        <w:ind w:left="1205"/>
        <w:rPr>
          <w:sz w:val="2"/>
        </w:rPr>
      </w:pPr>
      <w:r>
        <w:rPr>
          <w:sz w:val="2"/>
        </w:rPr>
        <mc:AlternateContent>
          <mc:Choice Requires="wps">
            <w:drawing>
              <wp:inline distT="0" distB="0" distL="0" distR="0">
                <wp:extent cx="6170930" cy="6350"/>
                <wp:effectExtent l="0" t="0" r="0" b="0"/>
                <wp:docPr id="867" name="Group 867"/>
                <wp:cNvGraphicFramePr>
                  <a:graphicFrameLocks/>
                </wp:cNvGraphicFramePr>
                <a:graphic>
                  <a:graphicData uri="http://schemas.microsoft.com/office/word/2010/wordprocessingGroup">
                    <wpg:wgp>
                      <wpg:cNvPr id="867" name="Group 867"/>
                      <wpg:cNvGrpSpPr/>
                      <wpg:grpSpPr>
                        <a:xfrm>
                          <a:off x="0" y="0"/>
                          <a:ext cx="6170930" cy="6350"/>
                          <a:chExt cx="6170930" cy="6350"/>
                        </a:xfrm>
                      </wpg:grpSpPr>
                      <wps:wsp>
                        <wps:cNvPr id="868" name="Graphic 868"/>
                        <wps:cNvSpPr/>
                        <wps:spPr>
                          <a:xfrm>
                            <a:off x="0" y="0"/>
                            <a:ext cx="6170930" cy="6350"/>
                          </a:xfrm>
                          <a:custGeom>
                            <a:avLst/>
                            <a:gdLst/>
                            <a:ahLst/>
                            <a:cxnLst/>
                            <a:rect l="l" t="t" r="r" b="b"/>
                            <a:pathLst>
                              <a:path w="6170930" h="6350">
                                <a:moveTo>
                                  <a:pt x="6170676" y="0"/>
                                </a:moveTo>
                                <a:lnTo>
                                  <a:pt x="0" y="0"/>
                                </a:lnTo>
                                <a:lnTo>
                                  <a:pt x="0" y="6108"/>
                                </a:lnTo>
                                <a:lnTo>
                                  <a:pt x="6170676" y="6108"/>
                                </a:lnTo>
                                <a:lnTo>
                                  <a:pt x="61706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85.9pt;height:.5pt;mso-position-horizontal-relative:char;mso-position-vertical-relative:line" id="docshapegroup85" coordorigin="0,0" coordsize="9718,10">
                <v:rect style="position:absolute;left:0;top:0;width:9718;height:10" id="docshape86" filled="true" fillcolor="#000000" stroked="false">
                  <v:fill type="solid"/>
                </v:rect>
              </v:group>
            </w:pict>
          </mc:Fallback>
        </mc:AlternateContent>
      </w:r>
      <w:r>
        <w:rPr>
          <w:sz w:val="2"/>
        </w:rPr>
      </w:r>
    </w:p>
    <w:p>
      <w:pPr>
        <w:pStyle w:val="BodyText"/>
        <w:spacing w:before="10"/>
        <w:rPr>
          <w:sz w:val="34"/>
        </w:rPr>
      </w:pPr>
    </w:p>
    <w:p>
      <w:pPr>
        <w:spacing w:before="0"/>
        <w:ind w:left="1220" w:right="1091" w:firstLine="0"/>
        <w:jc w:val="both"/>
        <w:rPr>
          <w:sz w:val="22"/>
        </w:rPr>
      </w:pPr>
      <w:r>
        <w:rPr>
          <w:sz w:val="22"/>
        </w:rPr>
        <w:t>Regardless of the State’s performance with respect to its accountability to CMS, the State will separately hold</w:t>
      </w:r>
      <w:r>
        <w:rPr>
          <w:spacing w:val="-5"/>
          <w:sz w:val="22"/>
        </w:rPr>
        <w:t> </w:t>
      </w:r>
      <w:r>
        <w:rPr>
          <w:sz w:val="22"/>
        </w:rPr>
        <w:t>each</w:t>
      </w:r>
      <w:r>
        <w:rPr>
          <w:spacing w:val="-2"/>
          <w:sz w:val="22"/>
        </w:rPr>
        <w:t> </w:t>
      </w:r>
      <w:r>
        <w:rPr>
          <w:sz w:val="22"/>
        </w:rPr>
        <w:t>ACO,</w:t>
      </w:r>
      <w:r>
        <w:rPr>
          <w:spacing w:val="-2"/>
          <w:sz w:val="22"/>
        </w:rPr>
        <w:t> </w:t>
      </w:r>
      <w:r>
        <w:rPr>
          <w:sz w:val="22"/>
        </w:rPr>
        <w:t>CP</w:t>
      </w:r>
      <w:r>
        <w:rPr>
          <w:spacing w:val="-5"/>
          <w:sz w:val="22"/>
        </w:rPr>
        <w:t> </w:t>
      </w:r>
      <w:r>
        <w:rPr>
          <w:sz w:val="22"/>
        </w:rPr>
        <w:t>and</w:t>
      </w:r>
      <w:r>
        <w:rPr>
          <w:spacing w:val="-5"/>
          <w:sz w:val="22"/>
        </w:rPr>
        <w:t> </w:t>
      </w:r>
      <w:r>
        <w:rPr>
          <w:sz w:val="22"/>
        </w:rPr>
        <w:t>CSA</w:t>
      </w:r>
      <w:r>
        <w:rPr>
          <w:spacing w:val="-3"/>
          <w:sz w:val="22"/>
        </w:rPr>
        <w:t> </w:t>
      </w:r>
      <w:r>
        <w:rPr>
          <w:sz w:val="22"/>
        </w:rPr>
        <w:t>that</w:t>
      </w:r>
      <w:r>
        <w:rPr>
          <w:spacing w:val="-4"/>
          <w:sz w:val="22"/>
        </w:rPr>
        <w:t> </w:t>
      </w:r>
      <w:r>
        <w:rPr>
          <w:sz w:val="22"/>
        </w:rPr>
        <w:t>receives</w:t>
      </w:r>
      <w:r>
        <w:rPr>
          <w:spacing w:val="-4"/>
          <w:sz w:val="22"/>
        </w:rPr>
        <w:t> </w:t>
      </w:r>
      <w:r>
        <w:rPr>
          <w:sz w:val="22"/>
        </w:rPr>
        <w:t>DSRIP</w:t>
      </w:r>
      <w:r>
        <w:rPr>
          <w:spacing w:val="-3"/>
          <w:sz w:val="22"/>
        </w:rPr>
        <w:t> </w:t>
      </w:r>
      <w:r>
        <w:rPr>
          <w:sz w:val="22"/>
        </w:rPr>
        <w:t>funds</w:t>
      </w:r>
      <w:r>
        <w:rPr>
          <w:spacing w:val="-2"/>
          <w:sz w:val="22"/>
        </w:rPr>
        <w:t> </w:t>
      </w:r>
      <w:r>
        <w:rPr>
          <w:sz w:val="22"/>
        </w:rPr>
        <w:t>individually</w:t>
      </w:r>
      <w:r>
        <w:rPr>
          <w:spacing w:val="-5"/>
          <w:sz w:val="22"/>
        </w:rPr>
        <w:t> </w:t>
      </w:r>
      <w:r>
        <w:rPr>
          <w:sz w:val="22"/>
        </w:rPr>
        <w:t>accountable</w:t>
      </w:r>
      <w:r>
        <w:rPr>
          <w:spacing w:val="-4"/>
          <w:sz w:val="22"/>
        </w:rPr>
        <w:t> </w:t>
      </w:r>
      <w:r>
        <w:rPr>
          <w:sz w:val="22"/>
        </w:rPr>
        <w:t>for</w:t>
      </w:r>
      <w:r>
        <w:rPr>
          <w:spacing w:val="-4"/>
          <w:sz w:val="22"/>
        </w:rPr>
        <w:t> </w:t>
      </w:r>
      <w:r>
        <w:rPr>
          <w:sz w:val="22"/>
        </w:rPr>
        <w:t>its</w:t>
      </w:r>
      <w:r>
        <w:rPr>
          <w:spacing w:val="-2"/>
          <w:sz w:val="22"/>
        </w:rPr>
        <w:t> </w:t>
      </w:r>
      <w:r>
        <w:rPr>
          <w:sz w:val="22"/>
        </w:rPr>
        <w:t>performance</w:t>
      </w:r>
      <w:r>
        <w:rPr>
          <w:spacing w:val="-4"/>
          <w:sz w:val="22"/>
        </w:rPr>
        <w:t> </w:t>
      </w:r>
      <w:r>
        <w:rPr>
          <w:sz w:val="22"/>
        </w:rPr>
        <w:t>on</w:t>
      </w:r>
      <w:r>
        <w:rPr>
          <w:spacing w:val="-5"/>
          <w:sz w:val="22"/>
        </w:rPr>
        <w:t> </w:t>
      </w:r>
      <w:r>
        <w:rPr>
          <w:sz w:val="22"/>
        </w:rPr>
        <w:t>a slate of quality and performance measures. This structure maximizes performance incentives for these </w:t>
      </w:r>
      <w:r>
        <w:rPr>
          <w:spacing w:val="-2"/>
          <w:sz w:val="22"/>
        </w:rPr>
        <w:t>recipients.</w:t>
      </w:r>
    </w:p>
    <w:p>
      <w:pPr>
        <w:spacing w:before="159"/>
        <w:ind w:left="1219" w:right="1094" w:firstLine="0"/>
        <w:jc w:val="both"/>
        <w:rPr>
          <w:sz w:val="22"/>
        </w:rPr>
      </w:pPr>
      <w:r>
        <w:rPr>
          <w:sz w:val="22"/>
        </w:rPr>
        <w:t>This individual accountability is applied to each ACO’s, CP’s and CSA’s at-risk DSRIP funding for each budget period. The State intends to withhold the at-risk portion of ACO’s, CP’s and CSA’s funding until the respective Accountability Scores are calculated. The ACOs, CPs and CSAs will then receive a percentage of their withheld funds based on their Accountability Score (e.g., if an entity scores 0.6, it will receive</w:t>
      </w:r>
      <w:r>
        <w:rPr>
          <w:spacing w:val="-2"/>
          <w:sz w:val="22"/>
        </w:rPr>
        <w:t> </w:t>
      </w:r>
      <w:r>
        <w:rPr>
          <w:sz w:val="22"/>
        </w:rPr>
        <w:t>60%</w:t>
      </w:r>
      <w:r>
        <w:rPr>
          <w:spacing w:val="-1"/>
          <w:sz w:val="22"/>
        </w:rPr>
        <w:t> </w:t>
      </w:r>
      <w:r>
        <w:rPr>
          <w:sz w:val="22"/>
        </w:rPr>
        <w:t>of</w:t>
      </w:r>
      <w:r>
        <w:rPr>
          <w:spacing w:val="-4"/>
          <w:sz w:val="22"/>
        </w:rPr>
        <w:t> </w:t>
      </w:r>
      <w:r>
        <w:rPr>
          <w:sz w:val="22"/>
        </w:rPr>
        <w:t>the</w:t>
      </w:r>
      <w:r>
        <w:rPr>
          <w:spacing w:val="-2"/>
          <w:sz w:val="22"/>
        </w:rPr>
        <w:t> </w:t>
      </w:r>
      <w:r>
        <w:rPr>
          <w:sz w:val="22"/>
        </w:rPr>
        <w:t>at</w:t>
      </w:r>
      <w:r>
        <w:rPr>
          <w:spacing w:val="-1"/>
          <w:sz w:val="22"/>
        </w:rPr>
        <w:t> </w:t>
      </w:r>
      <w:r>
        <w:rPr>
          <w:sz w:val="22"/>
        </w:rPr>
        <w:t>risk</w:t>
      </w:r>
      <w:r>
        <w:rPr>
          <w:spacing w:val="-5"/>
          <w:sz w:val="22"/>
        </w:rPr>
        <w:t> </w:t>
      </w:r>
      <w:r>
        <w:rPr>
          <w:sz w:val="22"/>
        </w:rPr>
        <w:t>funds)</w:t>
      </w:r>
      <w:r>
        <w:rPr>
          <w:spacing w:val="-4"/>
          <w:sz w:val="22"/>
        </w:rPr>
        <w:t> </w:t>
      </w:r>
      <w:r>
        <w:rPr>
          <w:sz w:val="22"/>
        </w:rPr>
        <w:t>and</w:t>
      </w:r>
      <w:r>
        <w:rPr>
          <w:spacing w:val="-2"/>
          <w:sz w:val="22"/>
        </w:rPr>
        <w:t> </w:t>
      </w:r>
      <w:r>
        <w:rPr>
          <w:sz w:val="22"/>
        </w:rPr>
        <w:t>will</w:t>
      </w:r>
      <w:r>
        <w:rPr>
          <w:spacing w:val="-1"/>
          <w:sz w:val="22"/>
        </w:rPr>
        <w:t> </w:t>
      </w:r>
      <w:r>
        <w:rPr>
          <w:sz w:val="22"/>
        </w:rPr>
        <w:t>not</w:t>
      </w:r>
      <w:r>
        <w:rPr>
          <w:spacing w:val="-1"/>
          <w:sz w:val="22"/>
        </w:rPr>
        <w:t> </w:t>
      </w:r>
      <w:r>
        <w:rPr>
          <w:sz w:val="22"/>
        </w:rPr>
        <w:t>receive</w:t>
      </w:r>
      <w:r>
        <w:rPr>
          <w:spacing w:val="-2"/>
          <w:sz w:val="22"/>
        </w:rPr>
        <w:t> </w:t>
      </w:r>
      <w:r>
        <w:rPr>
          <w:sz w:val="22"/>
        </w:rPr>
        <w:t>the</w:t>
      </w:r>
      <w:r>
        <w:rPr>
          <w:spacing w:val="-2"/>
          <w:sz w:val="22"/>
        </w:rPr>
        <w:t> </w:t>
      </w:r>
      <w:r>
        <w:rPr>
          <w:sz w:val="22"/>
        </w:rPr>
        <w:t>remainder.</w:t>
      </w:r>
      <w:r>
        <w:rPr>
          <w:spacing w:val="-5"/>
          <w:sz w:val="22"/>
        </w:rPr>
        <w:t> </w:t>
      </w:r>
      <w:r>
        <w:rPr>
          <w:sz w:val="22"/>
        </w:rPr>
        <w:t>The</w:t>
      </w:r>
      <w:r>
        <w:rPr>
          <w:spacing w:val="-2"/>
          <w:sz w:val="22"/>
        </w:rPr>
        <w:t> </w:t>
      </w:r>
      <w:r>
        <w:rPr>
          <w:sz w:val="22"/>
        </w:rPr>
        <w:t>State</w:t>
      </w:r>
      <w:r>
        <w:rPr>
          <w:spacing w:val="-2"/>
          <w:sz w:val="22"/>
        </w:rPr>
        <w:t> </w:t>
      </w:r>
      <w:r>
        <w:rPr>
          <w:sz w:val="22"/>
        </w:rPr>
        <w:t>will</w:t>
      </w:r>
      <w:r>
        <w:rPr>
          <w:spacing w:val="-1"/>
          <w:sz w:val="22"/>
        </w:rPr>
        <w:t> </w:t>
      </w:r>
      <w:r>
        <w:rPr>
          <w:sz w:val="22"/>
        </w:rPr>
        <w:t>not</w:t>
      </w:r>
      <w:r>
        <w:rPr>
          <w:spacing w:val="-1"/>
          <w:sz w:val="22"/>
        </w:rPr>
        <w:t> </w:t>
      </w:r>
      <w:r>
        <w:rPr>
          <w:sz w:val="22"/>
        </w:rPr>
        <w:t>require</w:t>
      </w:r>
      <w:r>
        <w:rPr>
          <w:spacing w:val="-2"/>
          <w:sz w:val="22"/>
        </w:rPr>
        <w:t> </w:t>
      </w:r>
      <w:r>
        <w:rPr>
          <w:sz w:val="22"/>
        </w:rPr>
        <w:t>ACOs,</w:t>
      </w:r>
      <w:r>
        <w:rPr>
          <w:spacing w:val="-2"/>
          <w:sz w:val="22"/>
        </w:rPr>
        <w:t> </w:t>
      </w:r>
      <w:r>
        <w:rPr>
          <w:sz w:val="22"/>
        </w:rPr>
        <w:t>CPs and CSAs to submit budgets for these earned at risk funds.</w:t>
      </w:r>
    </w:p>
    <w:p>
      <w:pPr>
        <w:spacing w:line="244" w:lineRule="auto" w:before="160"/>
        <w:ind w:left="1219" w:right="1095" w:firstLine="0"/>
        <w:jc w:val="both"/>
        <w:rPr>
          <w:sz w:val="22"/>
        </w:rPr>
      </w:pPr>
      <w:r>
        <w:rPr>
          <w:sz w:val="22"/>
        </w:rPr>
        <w:t>As</w:t>
      </w:r>
      <w:r>
        <w:rPr>
          <w:spacing w:val="-10"/>
          <w:sz w:val="22"/>
        </w:rPr>
        <w:t> </w:t>
      </w:r>
      <w:r>
        <w:rPr>
          <w:sz w:val="22"/>
        </w:rPr>
        <w:t>described</w:t>
      </w:r>
      <w:r>
        <w:rPr>
          <w:spacing w:val="-11"/>
          <w:sz w:val="22"/>
        </w:rPr>
        <w:t> </w:t>
      </w:r>
      <w:r>
        <w:rPr>
          <w:sz w:val="22"/>
        </w:rPr>
        <w:t>above,</w:t>
      </w:r>
      <w:r>
        <w:rPr>
          <w:spacing w:val="-11"/>
          <w:sz w:val="22"/>
        </w:rPr>
        <w:t> </w:t>
      </w:r>
      <w:r>
        <w:rPr>
          <w:sz w:val="22"/>
        </w:rPr>
        <w:t>ACOs</w:t>
      </w:r>
      <w:r>
        <w:rPr>
          <w:spacing w:val="-10"/>
          <w:sz w:val="22"/>
        </w:rPr>
        <w:t> </w:t>
      </w:r>
      <w:r>
        <w:rPr>
          <w:sz w:val="22"/>
        </w:rPr>
        <w:t>receive</w:t>
      </w:r>
      <w:r>
        <w:rPr>
          <w:spacing w:val="-10"/>
          <w:sz w:val="22"/>
        </w:rPr>
        <w:t> </w:t>
      </w:r>
      <w:r>
        <w:rPr>
          <w:sz w:val="22"/>
        </w:rPr>
        <w:t>four</w:t>
      </w:r>
      <w:r>
        <w:rPr>
          <w:spacing w:val="-10"/>
          <w:sz w:val="22"/>
        </w:rPr>
        <w:t> </w:t>
      </w:r>
      <w:r>
        <w:rPr>
          <w:sz w:val="22"/>
        </w:rPr>
        <w:t>sub-streams</w:t>
      </w:r>
      <w:r>
        <w:rPr>
          <w:spacing w:val="-10"/>
          <w:sz w:val="22"/>
        </w:rPr>
        <w:t> </w:t>
      </w:r>
      <w:r>
        <w:rPr>
          <w:sz w:val="22"/>
        </w:rPr>
        <w:t>of</w:t>
      </w:r>
      <w:r>
        <w:rPr>
          <w:spacing w:val="-10"/>
          <w:sz w:val="22"/>
        </w:rPr>
        <w:t> </w:t>
      </w:r>
      <w:r>
        <w:rPr>
          <w:sz w:val="22"/>
        </w:rPr>
        <w:t>DSRIP</w:t>
      </w:r>
      <w:r>
        <w:rPr>
          <w:spacing w:val="-11"/>
          <w:sz w:val="22"/>
        </w:rPr>
        <w:t> </w:t>
      </w:r>
      <w:r>
        <w:rPr>
          <w:sz w:val="22"/>
        </w:rPr>
        <w:t>payment.</w:t>
      </w:r>
      <w:r>
        <w:rPr>
          <w:spacing w:val="-11"/>
          <w:sz w:val="22"/>
        </w:rPr>
        <w:t> </w:t>
      </w:r>
      <w:r>
        <w:rPr>
          <w:sz w:val="22"/>
        </w:rPr>
        <w:t>The</w:t>
      </w:r>
      <w:r>
        <w:rPr>
          <w:spacing w:val="-10"/>
          <w:sz w:val="22"/>
        </w:rPr>
        <w:t> </w:t>
      </w:r>
      <w:r>
        <w:rPr>
          <w:sz w:val="22"/>
        </w:rPr>
        <w:t>mechanism</w:t>
      </w:r>
      <w:r>
        <w:rPr>
          <w:spacing w:val="-13"/>
          <w:sz w:val="22"/>
        </w:rPr>
        <w:t> </w:t>
      </w:r>
      <w:r>
        <w:rPr>
          <w:sz w:val="22"/>
        </w:rPr>
        <w:t>for</w:t>
      </w:r>
      <w:r>
        <w:rPr>
          <w:spacing w:val="-10"/>
          <w:sz w:val="22"/>
        </w:rPr>
        <w:t> </w:t>
      </w:r>
      <w:r>
        <w:rPr>
          <w:sz w:val="22"/>
        </w:rPr>
        <w:t>accountability differs slightly by stream, as explained in the table below.</w:t>
      </w:r>
    </w:p>
    <w:p>
      <w:pPr>
        <w:spacing w:after="0" w:line="244" w:lineRule="auto"/>
        <w:jc w:val="both"/>
        <w:rPr>
          <w:sz w:val="22"/>
        </w:rPr>
        <w:sectPr>
          <w:pgSz w:w="12240" w:h="15840"/>
          <w:pgMar w:header="0" w:footer="967" w:top="1360" w:bottom="1160" w:left="220" w:right="340"/>
        </w:sectPr>
      </w:pPr>
    </w:p>
    <w:p>
      <w:pPr>
        <w:tabs>
          <w:tab w:pos="10579" w:val="left" w:leader="none"/>
        </w:tabs>
        <w:spacing w:before="78" w:after="8"/>
        <w:ind w:left="1219" w:right="0" w:firstLine="0"/>
        <w:jc w:val="both"/>
        <w:rPr>
          <w:sz w:val="22"/>
        </w:rPr>
      </w:pPr>
      <w:r>
        <w:rPr>
          <w:sz w:val="22"/>
          <w:u w:val="single"/>
        </w:rPr>
        <w:t>EXHIBIT</w:t>
      </w:r>
      <w:r>
        <w:rPr>
          <w:spacing w:val="-5"/>
          <w:sz w:val="22"/>
          <w:u w:val="single"/>
        </w:rPr>
        <w:t> </w:t>
      </w:r>
      <w:r>
        <w:rPr>
          <w:sz w:val="22"/>
          <w:u w:val="single"/>
        </w:rPr>
        <w:t>19</w:t>
      </w:r>
      <w:r>
        <w:rPr>
          <w:spacing w:val="-6"/>
          <w:sz w:val="22"/>
          <w:u w:val="single"/>
        </w:rPr>
        <w:t> </w:t>
      </w:r>
      <w:r>
        <w:rPr>
          <w:sz w:val="22"/>
          <w:u w:val="single"/>
        </w:rPr>
        <w:t>–</w:t>
      </w:r>
      <w:r>
        <w:rPr>
          <w:spacing w:val="-5"/>
          <w:sz w:val="22"/>
          <w:u w:val="single"/>
        </w:rPr>
        <w:t> </w:t>
      </w:r>
      <w:r>
        <w:rPr>
          <w:sz w:val="22"/>
          <w:u w:val="single"/>
        </w:rPr>
        <w:t>ACO</w:t>
      </w:r>
      <w:r>
        <w:rPr>
          <w:spacing w:val="-7"/>
          <w:sz w:val="22"/>
          <w:u w:val="single"/>
        </w:rPr>
        <w:t> </w:t>
      </w:r>
      <w:r>
        <w:rPr>
          <w:sz w:val="22"/>
          <w:u w:val="single"/>
        </w:rPr>
        <w:t>ACCOUNTABILITY</w:t>
      </w:r>
      <w:r>
        <w:rPr>
          <w:spacing w:val="-7"/>
          <w:sz w:val="22"/>
          <w:u w:val="single"/>
        </w:rPr>
        <w:t> </w:t>
      </w:r>
      <w:r>
        <w:rPr>
          <w:sz w:val="22"/>
          <w:u w:val="single"/>
        </w:rPr>
        <w:t>MECHANISM</w:t>
      </w:r>
      <w:r>
        <w:rPr>
          <w:spacing w:val="-6"/>
          <w:sz w:val="22"/>
          <w:u w:val="single"/>
        </w:rPr>
        <w:t> </w:t>
      </w:r>
      <w:r>
        <w:rPr>
          <w:sz w:val="22"/>
          <w:u w:val="single"/>
        </w:rPr>
        <w:t>BY</w:t>
      </w:r>
      <w:r>
        <w:rPr>
          <w:spacing w:val="-7"/>
          <w:sz w:val="22"/>
          <w:u w:val="single"/>
        </w:rPr>
        <w:t> </w:t>
      </w:r>
      <w:r>
        <w:rPr>
          <w:sz w:val="22"/>
          <w:u w:val="single"/>
        </w:rPr>
        <w:t>FUNDING</w:t>
      </w:r>
      <w:r>
        <w:rPr>
          <w:spacing w:val="-6"/>
          <w:sz w:val="22"/>
          <w:u w:val="single"/>
        </w:rPr>
        <w:t> </w:t>
      </w:r>
      <w:r>
        <w:rPr>
          <w:sz w:val="22"/>
          <w:u w:val="single"/>
        </w:rPr>
        <w:t>SUB-</w:t>
      </w:r>
      <w:r>
        <w:rPr>
          <w:spacing w:val="-2"/>
          <w:sz w:val="22"/>
          <w:u w:val="single"/>
        </w:rPr>
        <w:t>STREAM</w:t>
      </w:r>
      <w:r>
        <w:rPr>
          <w:sz w:val="22"/>
          <w:u w:val="single"/>
        </w:rPr>
        <w:tab/>
      </w:r>
    </w:p>
    <w:tbl>
      <w:tblPr>
        <w:tblW w:w="0" w:type="auto"/>
        <w:jc w:val="left"/>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4"/>
        <w:gridCol w:w="972"/>
        <w:gridCol w:w="2302"/>
        <w:gridCol w:w="4848"/>
        <w:gridCol w:w="619"/>
      </w:tblGrid>
      <w:tr>
        <w:trPr>
          <w:trHeight w:val="299" w:hRule="atLeast"/>
        </w:trPr>
        <w:tc>
          <w:tcPr>
            <w:tcW w:w="634" w:type="dxa"/>
            <w:vMerge w:val="restart"/>
            <w:tcBorders>
              <w:top w:val="nil"/>
              <w:left w:val="nil"/>
              <w:right w:val="single" w:sz="8" w:space="0" w:color="BEBEBE"/>
            </w:tcBorders>
          </w:tcPr>
          <w:p>
            <w:pPr>
              <w:pStyle w:val="TableParagraph"/>
              <w:rPr>
                <w:sz w:val="20"/>
              </w:rPr>
            </w:pPr>
          </w:p>
        </w:tc>
        <w:tc>
          <w:tcPr>
            <w:tcW w:w="8122" w:type="dxa"/>
            <w:gridSpan w:val="3"/>
            <w:tcBorders>
              <w:top w:val="single" w:sz="8" w:space="0" w:color="BEBEBE"/>
              <w:left w:val="single" w:sz="8" w:space="0" w:color="BEBEBE"/>
              <w:bottom w:val="single" w:sz="4" w:space="0" w:color="BEBEBE"/>
              <w:right w:val="single" w:sz="8" w:space="0" w:color="BEBEBE"/>
            </w:tcBorders>
            <w:shd w:val="clear" w:color="auto" w:fill="1F487C"/>
          </w:tcPr>
          <w:p>
            <w:pPr>
              <w:pStyle w:val="TableParagraph"/>
              <w:spacing w:before="33"/>
              <w:ind w:left="97"/>
              <w:rPr>
                <w:b/>
                <w:sz w:val="20"/>
              </w:rPr>
            </w:pPr>
            <w:r>
              <w:rPr>
                <w:b/>
                <w:color w:val="FFFFFF"/>
                <w:sz w:val="20"/>
              </w:rPr>
              <w:t>ACO</w:t>
            </w:r>
            <w:r>
              <w:rPr>
                <w:b/>
                <w:color w:val="FFFFFF"/>
                <w:spacing w:val="-10"/>
                <w:sz w:val="20"/>
              </w:rPr>
              <w:t> </w:t>
            </w:r>
            <w:r>
              <w:rPr>
                <w:b/>
                <w:color w:val="FFFFFF"/>
                <w:sz w:val="20"/>
              </w:rPr>
              <w:t>Accountability</w:t>
            </w:r>
            <w:r>
              <w:rPr>
                <w:b/>
                <w:color w:val="FFFFFF"/>
                <w:spacing w:val="-9"/>
                <w:sz w:val="20"/>
              </w:rPr>
              <w:t> </w:t>
            </w:r>
            <w:r>
              <w:rPr>
                <w:b/>
                <w:color w:val="FFFFFF"/>
                <w:sz w:val="20"/>
              </w:rPr>
              <w:t>Mechanism</w:t>
            </w:r>
            <w:r>
              <w:rPr>
                <w:b/>
                <w:color w:val="FFFFFF"/>
                <w:spacing w:val="-10"/>
                <w:sz w:val="20"/>
              </w:rPr>
              <w:t> </w:t>
            </w:r>
            <w:r>
              <w:rPr>
                <w:b/>
                <w:color w:val="FFFFFF"/>
                <w:sz w:val="20"/>
              </w:rPr>
              <w:t>by</w:t>
            </w:r>
            <w:r>
              <w:rPr>
                <w:b/>
                <w:color w:val="FFFFFF"/>
                <w:spacing w:val="-9"/>
                <w:sz w:val="20"/>
              </w:rPr>
              <w:t> </w:t>
            </w:r>
            <w:r>
              <w:rPr>
                <w:b/>
                <w:color w:val="FFFFFF"/>
                <w:sz w:val="20"/>
              </w:rPr>
              <w:t>Funding</w:t>
            </w:r>
            <w:r>
              <w:rPr>
                <w:b/>
                <w:color w:val="FFFFFF"/>
                <w:spacing w:val="-9"/>
                <w:sz w:val="20"/>
              </w:rPr>
              <w:t> </w:t>
            </w:r>
            <w:r>
              <w:rPr>
                <w:b/>
                <w:color w:val="FFFFFF"/>
                <w:sz w:val="20"/>
              </w:rPr>
              <w:t>Sub-</w:t>
            </w:r>
            <w:r>
              <w:rPr>
                <w:b/>
                <w:color w:val="FFFFFF"/>
                <w:spacing w:val="-2"/>
                <w:sz w:val="20"/>
              </w:rPr>
              <w:t>Stream</w:t>
            </w:r>
          </w:p>
        </w:tc>
        <w:tc>
          <w:tcPr>
            <w:tcW w:w="619" w:type="dxa"/>
            <w:vMerge w:val="restart"/>
            <w:tcBorders>
              <w:top w:val="nil"/>
              <w:left w:val="single" w:sz="8" w:space="0" w:color="BEBEBE"/>
              <w:right w:val="nil"/>
            </w:tcBorders>
          </w:tcPr>
          <w:p>
            <w:pPr>
              <w:pStyle w:val="TableParagraph"/>
              <w:rPr>
                <w:sz w:val="20"/>
              </w:rPr>
            </w:pPr>
          </w:p>
        </w:tc>
      </w:tr>
      <w:tr>
        <w:trPr>
          <w:trHeight w:val="1038" w:hRule="atLeast"/>
        </w:trPr>
        <w:tc>
          <w:tcPr>
            <w:tcW w:w="634" w:type="dxa"/>
            <w:vMerge/>
            <w:tcBorders>
              <w:top w:val="nil"/>
              <w:left w:val="nil"/>
              <w:right w:val="single" w:sz="8" w:space="0" w:color="BEBEBE"/>
            </w:tcBorders>
          </w:tcPr>
          <w:p>
            <w:pPr>
              <w:rPr>
                <w:sz w:val="2"/>
                <w:szCs w:val="2"/>
              </w:rPr>
            </w:pPr>
          </w:p>
        </w:tc>
        <w:tc>
          <w:tcPr>
            <w:tcW w:w="972" w:type="dxa"/>
            <w:tcBorders>
              <w:top w:val="single" w:sz="4" w:space="0" w:color="BEBEBE"/>
              <w:left w:val="single" w:sz="8" w:space="0" w:color="BEBEBE"/>
              <w:bottom w:val="single" w:sz="8" w:space="0" w:color="BEBEBE"/>
              <w:right w:val="single" w:sz="4" w:space="0" w:color="BEBEBE"/>
            </w:tcBorders>
            <w:shd w:val="clear" w:color="auto" w:fill="D9D9D9"/>
          </w:tcPr>
          <w:p>
            <w:pPr>
              <w:pStyle w:val="TableParagraph"/>
              <w:spacing w:line="256" w:lineRule="auto" w:before="192"/>
              <w:ind w:left="258" w:right="100" w:hanging="161"/>
              <w:rPr>
                <w:b/>
                <w:sz w:val="20"/>
              </w:rPr>
            </w:pPr>
            <w:r>
              <w:rPr>
                <w:b/>
                <w:spacing w:val="-2"/>
                <w:sz w:val="20"/>
              </w:rPr>
              <w:t>Provider </w:t>
            </w:r>
            <w:r>
              <w:rPr>
                <w:b/>
                <w:spacing w:val="-4"/>
                <w:sz w:val="20"/>
              </w:rPr>
              <w:t>Type</w:t>
            </w:r>
          </w:p>
        </w:tc>
        <w:tc>
          <w:tcPr>
            <w:tcW w:w="2302" w:type="dxa"/>
            <w:tcBorders>
              <w:top w:val="single" w:sz="4" w:space="0" w:color="BEBEBE"/>
              <w:left w:val="single" w:sz="4" w:space="0" w:color="BEBEBE"/>
              <w:bottom w:val="single" w:sz="8" w:space="0" w:color="BEBEBE"/>
              <w:right w:val="single" w:sz="4" w:space="0" w:color="BEBEBE"/>
            </w:tcBorders>
            <w:shd w:val="clear" w:color="auto" w:fill="D9D9D9"/>
          </w:tcPr>
          <w:p>
            <w:pPr>
              <w:pStyle w:val="TableParagraph"/>
              <w:spacing w:before="4"/>
              <w:rPr>
                <w:sz w:val="27"/>
              </w:rPr>
            </w:pPr>
          </w:p>
          <w:p>
            <w:pPr>
              <w:pStyle w:val="TableParagraph"/>
              <w:ind w:left="246"/>
              <w:rPr>
                <w:b/>
                <w:sz w:val="20"/>
              </w:rPr>
            </w:pPr>
            <w:r>
              <w:rPr>
                <w:b/>
                <w:spacing w:val="-2"/>
                <w:sz w:val="20"/>
              </w:rPr>
              <w:t>Funding</w:t>
            </w:r>
            <w:r>
              <w:rPr>
                <w:b/>
                <w:spacing w:val="7"/>
                <w:sz w:val="20"/>
              </w:rPr>
              <w:t> </w:t>
            </w:r>
            <w:r>
              <w:rPr>
                <w:b/>
                <w:spacing w:val="-2"/>
                <w:sz w:val="20"/>
              </w:rPr>
              <w:t>Sub-Stream</w:t>
            </w:r>
          </w:p>
        </w:tc>
        <w:tc>
          <w:tcPr>
            <w:tcW w:w="4848" w:type="dxa"/>
            <w:tcBorders>
              <w:top w:val="single" w:sz="4" w:space="0" w:color="BEBEBE"/>
              <w:left w:val="single" w:sz="4" w:space="0" w:color="BEBEBE"/>
              <w:bottom w:val="single" w:sz="8" w:space="0" w:color="BEBEBE"/>
              <w:right w:val="single" w:sz="8" w:space="0" w:color="BEBEBE"/>
            </w:tcBorders>
            <w:shd w:val="clear" w:color="auto" w:fill="D9D9D9"/>
          </w:tcPr>
          <w:p>
            <w:pPr>
              <w:pStyle w:val="TableParagraph"/>
              <w:spacing w:before="4"/>
              <w:rPr>
                <w:sz w:val="27"/>
              </w:rPr>
            </w:pPr>
          </w:p>
          <w:p>
            <w:pPr>
              <w:pStyle w:val="TableParagraph"/>
              <w:ind w:left="646"/>
              <w:rPr>
                <w:b/>
                <w:sz w:val="20"/>
              </w:rPr>
            </w:pPr>
            <w:r>
              <w:rPr>
                <w:b/>
                <w:sz w:val="20"/>
              </w:rPr>
              <w:t>Mechanism</w:t>
            </w:r>
            <w:r>
              <w:rPr>
                <w:b/>
                <w:spacing w:val="-11"/>
                <w:sz w:val="20"/>
              </w:rPr>
              <w:t> </w:t>
            </w:r>
            <w:r>
              <w:rPr>
                <w:b/>
                <w:sz w:val="20"/>
              </w:rPr>
              <w:t>for</w:t>
            </w:r>
            <w:r>
              <w:rPr>
                <w:b/>
                <w:spacing w:val="-7"/>
                <w:sz w:val="20"/>
              </w:rPr>
              <w:t> </w:t>
            </w:r>
            <w:r>
              <w:rPr>
                <w:b/>
                <w:sz w:val="20"/>
              </w:rPr>
              <w:t>Individual</w:t>
            </w:r>
            <w:r>
              <w:rPr>
                <w:b/>
                <w:spacing w:val="-7"/>
                <w:sz w:val="20"/>
              </w:rPr>
              <w:t> </w:t>
            </w:r>
            <w:r>
              <w:rPr>
                <w:b/>
                <w:spacing w:val="-2"/>
                <w:sz w:val="20"/>
              </w:rPr>
              <w:t>Accountability</w:t>
            </w:r>
          </w:p>
        </w:tc>
        <w:tc>
          <w:tcPr>
            <w:tcW w:w="619" w:type="dxa"/>
            <w:vMerge/>
            <w:tcBorders>
              <w:top w:val="nil"/>
              <w:left w:val="single" w:sz="8" w:space="0" w:color="BEBEBE"/>
              <w:right w:val="nil"/>
            </w:tcBorders>
          </w:tcPr>
          <w:p>
            <w:pPr>
              <w:rPr>
                <w:sz w:val="2"/>
                <w:szCs w:val="2"/>
              </w:rPr>
            </w:pPr>
          </w:p>
        </w:tc>
      </w:tr>
      <w:tr>
        <w:trPr>
          <w:trHeight w:val="646" w:hRule="atLeast"/>
        </w:trPr>
        <w:tc>
          <w:tcPr>
            <w:tcW w:w="634" w:type="dxa"/>
            <w:vMerge/>
            <w:tcBorders>
              <w:top w:val="nil"/>
              <w:left w:val="nil"/>
              <w:right w:val="single" w:sz="8" w:space="0" w:color="BEBEBE"/>
            </w:tcBorders>
          </w:tcPr>
          <w:p>
            <w:pPr>
              <w:rPr>
                <w:sz w:val="2"/>
                <w:szCs w:val="2"/>
              </w:rPr>
            </w:pPr>
          </w:p>
        </w:tc>
        <w:tc>
          <w:tcPr>
            <w:tcW w:w="972" w:type="dxa"/>
            <w:vMerge w:val="restart"/>
            <w:tcBorders>
              <w:top w:val="single" w:sz="8" w:space="0" w:color="BEBEBE"/>
              <w:left w:val="single" w:sz="8" w:space="0" w:color="BEBEBE"/>
              <w:bottom w:val="single" w:sz="12" w:space="0" w:color="BEBEBE"/>
              <w:right w:val="single" w:sz="8" w:space="0" w:color="BEBEBE"/>
            </w:tcBorders>
            <w:shd w:val="clear" w:color="auto" w:fill="DCE6F0"/>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92"/>
              <w:ind w:left="212"/>
              <w:rPr>
                <w:b/>
                <w:sz w:val="20"/>
              </w:rPr>
            </w:pPr>
            <w:r>
              <w:rPr>
                <w:b/>
                <w:spacing w:val="-4"/>
                <w:sz w:val="20"/>
              </w:rPr>
              <w:t>ACOs</w:t>
            </w:r>
          </w:p>
        </w:tc>
        <w:tc>
          <w:tcPr>
            <w:tcW w:w="2302" w:type="dxa"/>
            <w:tcBorders>
              <w:top w:val="single" w:sz="8" w:space="0" w:color="BEBEBE"/>
              <w:left w:val="single" w:sz="8" w:space="0" w:color="BEBEBE"/>
              <w:bottom w:val="single" w:sz="4" w:space="0" w:color="BEBEBE"/>
              <w:right w:val="single" w:sz="4" w:space="0" w:color="BEBEBE"/>
            </w:tcBorders>
            <w:shd w:val="clear" w:color="auto" w:fill="EBF0DE"/>
          </w:tcPr>
          <w:p>
            <w:pPr>
              <w:pStyle w:val="TableParagraph"/>
              <w:ind w:left="97"/>
              <w:rPr>
                <w:b/>
                <w:sz w:val="20"/>
              </w:rPr>
            </w:pPr>
            <w:r>
              <w:rPr>
                <w:b/>
                <w:spacing w:val="-2"/>
                <w:sz w:val="20"/>
              </w:rPr>
              <w:t>Startup/Ongoing:</w:t>
            </w:r>
          </w:p>
          <w:p>
            <w:pPr>
              <w:pStyle w:val="TableParagraph"/>
              <w:spacing w:before="19"/>
              <w:ind w:left="97"/>
              <w:rPr>
                <w:i/>
                <w:sz w:val="20"/>
              </w:rPr>
            </w:pPr>
            <w:r>
              <w:rPr>
                <w:i/>
                <w:sz w:val="20"/>
              </w:rPr>
              <w:t>Primary</w:t>
            </w:r>
            <w:r>
              <w:rPr>
                <w:i/>
                <w:spacing w:val="-7"/>
                <w:sz w:val="20"/>
              </w:rPr>
              <w:t> </w:t>
            </w:r>
            <w:r>
              <w:rPr>
                <w:i/>
                <w:sz w:val="20"/>
              </w:rPr>
              <w:t>Care</w:t>
            </w:r>
            <w:r>
              <w:rPr>
                <w:i/>
                <w:spacing w:val="-7"/>
                <w:sz w:val="20"/>
              </w:rPr>
              <w:t> </w:t>
            </w:r>
            <w:r>
              <w:rPr>
                <w:i/>
                <w:spacing w:val="-2"/>
                <w:sz w:val="20"/>
              </w:rPr>
              <w:t>Investment</w:t>
            </w:r>
          </w:p>
        </w:tc>
        <w:tc>
          <w:tcPr>
            <w:tcW w:w="4848" w:type="dxa"/>
            <w:tcBorders>
              <w:top w:val="single" w:sz="8" w:space="0" w:color="BEBEBE"/>
              <w:left w:val="single" w:sz="4" w:space="0" w:color="BEBEBE"/>
              <w:bottom w:val="single" w:sz="4" w:space="0" w:color="BEBEBE"/>
              <w:right w:val="single" w:sz="8" w:space="0" w:color="BEBEBE"/>
            </w:tcBorders>
          </w:tcPr>
          <w:p>
            <w:pPr>
              <w:pStyle w:val="TableParagraph"/>
              <w:spacing w:before="125"/>
              <w:ind w:left="102"/>
              <w:rPr>
                <w:sz w:val="20"/>
              </w:rPr>
            </w:pPr>
            <w:r>
              <w:rPr>
                <w:sz w:val="20"/>
              </w:rPr>
              <w:t>Fixed</w:t>
            </w:r>
            <w:r>
              <w:rPr>
                <w:spacing w:val="-7"/>
                <w:sz w:val="20"/>
              </w:rPr>
              <w:t> </w:t>
            </w:r>
            <w:r>
              <w:rPr>
                <w:sz w:val="20"/>
              </w:rPr>
              <w:t>amount,</w:t>
            </w:r>
            <w:r>
              <w:rPr>
                <w:spacing w:val="-6"/>
                <w:sz w:val="20"/>
              </w:rPr>
              <w:t> </w:t>
            </w:r>
            <w:r>
              <w:rPr>
                <w:sz w:val="20"/>
              </w:rPr>
              <w:t>not</w:t>
            </w:r>
            <w:r>
              <w:rPr>
                <w:spacing w:val="-6"/>
                <w:sz w:val="20"/>
              </w:rPr>
              <w:t> </w:t>
            </w:r>
            <w:r>
              <w:rPr>
                <w:sz w:val="20"/>
              </w:rPr>
              <w:t>withheld</w:t>
            </w:r>
            <w:r>
              <w:rPr>
                <w:spacing w:val="-6"/>
                <w:sz w:val="20"/>
              </w:rPr>
              <w:t> </w:t>
            </w:r>
            <w:r>
              <w:rPr>
                <w:sz w:val="20"/>
              </w:rPr>
              <w:t>or</w:t>
            </w:r>
            <w:r>
              <w:rPr>
                <w:spacing w:val="-7"/>
                <w:sz w:val="20"/>
              </w:rPr>
              <w:t> </w:t>
            </w:r>
            <w:r>
              <w:rPr>
                <w:sz w:val="20"/>
              </w:rPr>
              <w:t>at-</w:t>
            </w:r>
            <w:r>
              <w:rPr>
                <w:spacing w:val="-4"/>
                <w:sz w:val="20"/>
              </w:rPr>
              <w:t>risk</w:t>
            </w:r>
          </w:p>
        </w:tc>
        <w:tc>
          <w:tcPr>
            <w:tcW w:w="619" w:type="dxa"/>
            <w:vMerge/>
            <w:tcBorders>
              <w:top w:val="nil"/>
              <w:left w:val="single" w:sz="8" w:space="0" w:color="BEBEBE"/>
              <w:right w:val="nil"/>
            </w:tcBorders>
          </w:tcPr>
          <w:p>
            <w:pPr>
              <w:rPr>
                <w:sz w:val="2"/>
                <w:szCs w:val="2"/>
              </w:rPr>
            </w:pPr>
          </w:p>
        </w:tc>
      </w:tr>
      <w:tr>
        <w:trPr>
          <w:trHeight w:val="651" w:hRule="atLeast"/>
        </w:trPr>
        <w:tc>
          <w:tcPr>
            <w:tcW w:w="634" w:type="dxa"/>
            <w:vMerge/>
            <w:tcBorders>
              <w:top w:val="nil"/>
              <w:left w:val="nil"/>
              <w:right w:val="single" w:sz="8" w:space="0" w:color="BEBEBE"/>
            </w:tcBorders>
          </w:tcPr>
          <w:p>
            <w:pPr>
              <w:rPr>
                <w:sz w:val="2"/>
                <w:szCs w:val="2"/>
              </w:rPr>
            </w:pPr>
          </w:p>
        </w:tc>
        <w:tc>
          <w:tcPr>
            <w:tcW w:w="972" w:type="dxa"/>
            <w:vMerge/>
            <w:tcBorders>
              <w:top w:val="nil"/>
              <w:left w:val="single" w:sz="8" w:space="0" w:color="BEBEBE"/>
              <w:bottom w:val="single" w:sz="12" w:space="0" w:color="BEBEBE"/>
              <w:right w:val="single" w:sz="8" w:space="0" w:color="BEBEBE"/>
            </w:tcBorders>
            <w:shd w:val="clear" w:color="auto" w:fill="DCE6F0"/>
          </w:tcPr>
          <w:p>
            <w:pPr>
              <w:rPr>
                <w:sz w:val="2"/>
                <w:szCs w:val="2"/>
              </w:rPr>
            </w:pPr>
          </w:p>
        </w:tc>
        <w:tc>
          <w:tcPr>
            <w:tcW w:w="2302" w:type="dxa"/>
            <w:tcBorders>
              <w:top w:val="single" w:sz="4" w:space="0" w:color="BEBEBE"/>
              <w:left w:val="single" w:sz="8" w:space="0" w:color="BEBEBE"/>
              <w:bottom w:val="single" w:sz="8" w:space="0" w:color="BEBEBE"/>
              <w:right w:val="single" w:sz="4" w:space="0" w:color="BEBEBE"/>
            </w:tcBorders>
            <w:shd w:val="clear" w:color="auto" w:fill="EBF0DE"/>
          </w:tcPr>
          <w:p>
            <w:pPr>
              <w:pStyle w:val="TableParagraph"/>
              <w:ind w:left="97"/>
              <w:rPr>
                <w:b/>
                <w:sz w:val="20"/>
              </w:rPr>
            </w:pPr>
            <w:r>
              <w:rPr>
                <w:b/>
                <w:spacing w:val="-2"/>
                <w:sz w:val="20"/>
              </w:rPr>
              <w:t>Startup/Ongoing:</w:t>
            </w:r>
          </w:p>
          <w:p>
            <w:pPr>
              <w:pStyle w:val="TableParagraph"/>
              <w:spacing w:before="19"/>
              <w:ind w:left="97"/>
              <w:rPr>
                <w:i/>
                <w:sz w:val="20"/>
              </w:rPr>
            </w:pPr>
            <w:r>
              <w:rPr>
                <w:i/>
                <w:spacing w:val="-2"/>
                <w:sz w:val="20"/>
              </w:rPr>
              <w:t>Discretionary</w:t>
            </w:r>
          </w:p>
        </w:tc>
        <w:tc>
          <w:tcPr>
            <w:tcW w:w="4848" w:type="dxa"/>
            <w:tcBorders>
              <w:top w:val="single" w:sz="4" w:space="0" w:color="BEBEBE"/>
              <w:left w:val="single" w:sz="4" w:space="0" w:color="BEBEBE"/>
              <w:bottom w:val="single" w:sz="8" w:space="0" w:color="BEBEBE"/>
              <w:right w:val="single" w:sz="8" w:space="0" w:color="BEBEBE"/>
            </w:tcBorders>
          </w:tcPr>
          <w:p>
            <w:pPr>
              <w:pStyle w:val="TableParagraph"/>
              <w:spacing w:line="261" w:lineRule="auto"/>
              <w:ind w:left="102"/>
              <w:rPr>
                <w:sz w:val="20"/>
              </w:rPr>
            </w:pPr>
            <w:r>
              <w:rPr>
                <w:sz w:val="20"/>
              </w:rPr>
              <w:t>Withheld</w:t>
            </w:r>
            <w:r>
              <w:rPr>
                <w:spacing w:val="-3"/>
                <w:sz w:val="20"/>
              </w:rPr>
              <w:t> </w:t>
            </w:r>
            <w:r>
              <w:rPr>
                <w:sz w:val="20"/>
              </w:rPr>
              <w:t>portion</w:t>
            </w:r>
            <w:r>
              <w:rPr>
                <w:spacing w:val="-5"/>
                <w:sz w:val="20"/>
              </w:rPr>
              <w:t> </w:t>
            </w:r>
            <w:r>
              <w:rPr>
                <w:sz w:val="20"/>
              </w:rPr>
              <w:t>is</w:t>
            </w:r>
            <w:r>
              <w:rPr>
                <w:spacing w:val="-5"/>
                <w:sz w:val="20"/>
              </w:rPr>
              <w:t> </w:t>
            </w:r>
            <w:r>
              <w:rPr>
                <w:sz w:val="20"/>
              </w:rPr>
              <w:t>fully</w:t>
            </w:r>
            <w:r>
              <w:rPr>
                <w:spacing w:val="-5"/>
                <w:sz w:val="20"/>
              </w:rPr>
              <w:t> </w:t>
            </w:r>
            <w:r>
              <w:rPr>
                <w:sz w:val="20"/>
              </w:rPr>
              <w:t>at-risk</w:t>
            </w:r>
            <w:r>
              <w:rPr>
                <w:spacing w:val="-5"/>
                <w:sz w:val="20"/>
              </w:rPr>
              <w:t> </w:t>
            </w:r>
            <w:r>
              <w:rPr>
                <w:sz w:val="20"/>
              </w:rPr>
              <w:t>each</w:t>
            </w:r>
            <w:r>
              <w:rPr>
                <w:spacing w:val="-5"/>
                <w:sz w:val="20"/>
              </w:rPr>
              <w:t> </w:t>
            </w:r>
            <w:r>
              <w:rPr>
                <w:sz w:val="20"/>
              </w:rPr>
              <w:t>BP</w:t>
            </w:r>
            <w:r>
              <w:rPr>
                <w:spacing w:val="-2"/>
                <w:sz w:val="20"/>
              </w:rPr>
              <w:t> </w:t>
            </w:r>
            <w:r>
              <w:rPr>
                <w:sz w:val="20"/>
              </w:rPr>
              <w:t>based</w:t>
            </w:r>
            <w:r>
              <w:rPr>
                <w:spacing w:val="-3"/>
                <w:sz w:val="20"/>
              </w:rPr>
              <w:t> </w:t>
            </w:r>
            <w:r>
              <w:rPr>
                <w:sz w:val="20"/>
              </w:rPr>
              <w:t>on</w:t>
            </w:r>
            <w:r>
              <w:rPr>
                <w:spacing w:val="-3"/>
                <w:sz w:val="20"/>
              </w:rPr>
              <w:t> </w:t>
            </w:r>
            <w:r>
              <w:rPr>
                <w:sz w:val="20"/>
              </w:rPr>
              <w:t>ACO’s Accountability Score</w:t>
            </w:r>
          </w:p>
        </w:tc>
        <w:tc>
          <w:tcPr>
            <w:tcW w:w="619" w:type="dxa"/>
            <w:vMerge/>
            <w:tcBorders>
              <w:top w:val="nil"/>
              <w:left w:val="single" w:sz="8" w:space="0" w:color="BEBEBE"/>
              <w:right w:val="nil"/>
            </w:tcBorders>
          </w:tcPr>
          <w:p>
            <w:pPr>
              <w:rPr>
                <w:sz w:val="2"/>
                <w:szCs w:val="2"/>
              </w:rPr>
            </w:pPr>
          </w:p>
        </w:tc>
      </w:tr>
      <w:tr>
        <w:trPr>
          <w:trHeight w:val="644" w:hRule="atLeast"/>
        </w:trPr>
        <w:tc>
          <w:tcPr>
            <w:tcW w:w="634" w:type="dxa"/>
            <w:vMerge/>
            <w:tcBorders>
              <w:top w:val="nil"/>
              <w:left w:val="nil"/>
              <w:right w:val="single" w:sz="8" w:space="0" w:color="BEBEBE"/>
            </w:tcBorders>
          </w:tcPr>
          <w:p>
            <w:pPr>
              <w:rPr>
                <w:sz w:val="2"/>
                <w:szCs w:val="2"/>
              </w:rPr>
            </w:pPr>
          </w:p>
        </w:tc>
        <w:tc>
          <w:tcPr>
            <w:tcW w:w="972" w:type="dxa"/>
            <w:vMerge/>
            <w:tcBorders>
              <w:top w:val="nil"/>
              <w:left w:val="single" w:sz="8" w:space="0" w:color="BEBEBE"/>
              <w:bottom w:val="single" w:sz="12" w:space="0" w:color="BEBEBE"/>
              <w:right w:val="single" w:sz="8" w:space="0" w:color="BEBEBE"/>
            </w:tcBorders>
            <w:shd w:val="clear" w:color="auto" w:fill="DCE6F0"/>
          </w:tcPr>
          <w:p>
            <w:pPr>
              <w:rPr>
                <w:sz w:val="2"/>
                <w:szCs w:val="2"/>
              </w:rPr>
            </w:pPr>
          </w:p>
        </w:tc>
        <w:tc>
          <w:tcPr>
            <w:tcW w:w="2302" w:type="dxa"/>
            <w:tcBorders>
              <w:top w:val="single" w:sz="8" w:space="0" w:color="BEBEBE"/>
              <w:left w:val="single" w:sz="8" w:space="0" w:color="BEBEBE"/>
              <w:bottom w:val="single" w:sz="8" w:space="0" w:color="BEBEBE"/>
              <w:right w:val="single" w:sz="4" w:space="0" w:color="BEBEBE"/>
            </w:tcBorders>
            <w:shd w:val="clear" w:color="auto" w:fill="EBF0DE"/>
          </w:tcPr>
          <w:p>
            <w:pPr>
              <w:pStyle w:val="TableParagraph"/>
              <w:spacing w:before="120"/>
              <w:ind w:left="97"/>
              <w:rPr>
                <w:b/>
                <w:sz w:val="20"/>
              </w:rPr>
            </w:pPr>
            <w:r>
              <w:rPr>
                <w:b/>
                <w:sz w:val="20"/>
              </w:rPr>
              <w:t>DSTI</w:t>
            </w:r>
            <w:r>
              <w:rPr>
                <w:b/>
                <w:spacing w:val="-7"/>
                <w:sz w:val="20"/>
              </w:rPr>
              <w:t> </w:t>
            </w:r>
            <w:r>
              <w:rPr>
                <w:b/>
                <w:sz w:val="20"/>
              </w:rPr>
              <w:t>Glide</w:t>
            </w:r>
            <w:r>
              <w:rPr>
                <w:b/>
                <w:spacing w:val="-6"/>
                <w:sz w:val="20"/>
              </w:rPr>
              <w:t> </w:t>
            </w:r>
            <w:r>
              <w:rPr>
                <w:b/>
                <w:spacing w:val="-4"/>
                <w:sz w:val="20"/>
              </w:rPr>
              <w:t>Path</w:t>
            </w:r>
          </w:p>
        </w:tc>
        <w:tc>
          <w:tcPr>
            <w:tcW w:w="4848" w:type="dxa"/>
            <w:tcBorders>
              <w:top w:val="single" w:sz="8" w:space="0" w:color="BEBEBE"/>
              <w:left w:val="single" w:sz="4" w:space="0" w:color="BEBEBE"/>
              <w:bottom w:val="single" w:sz="8" w:space="0" w:color="BEBEBE"/>
              <w:right w:val="single" w:sz="8" w:space="0" w:color="BEBEBE"/>
            </w:tcBorders>
          </w:tcPr>
          <w:p>
            <w:pPr>
              <w:pStyle w:val="TableParagraph"/>
              <w:spacing w:line="256" w:lineRule="auto"/>
              <w:ind w:left="102"/>
              <w:rPr>
                <w:sz w:val="20"/>
              </w:rPr>
            </w:pPr>
            <w:r>
              <w:rPr>
                <w:sz w:val="20"/>
              </w:rPr>
              <w:t>Withheld</w:t>
            </w:r>
            <w:r>
              <w:rPr>
                <w:spacing w:val="-3"/>
                <w:sz w:val="20"/>
              </w:rPr>
              <w:t> </w:t>
            </w:r>
            <w:r>
              <w:rPr>
                <w:sz w:val="20"/>
              </w:rPr>
              <w:t>portion</w:t>
            </w:r>
            <w:r>
              <w:rPr>
                <w:spacing w:val="-5"/>
                <w:sz w:val="20"/>
              </w:rPr>
              <w:t> </w:t>
            </w:r>
            <w:r>
              <w:rPr>
                <w:sz w:val="20"/>
              </w:rPr>
              <w:t>is</w:t>
            </w:r>
            <w:r>
              <w:rPr>
                <w:spacing w:val="-5"/>
                <w:sz w:val="20"/>
              </w:rPr>
              <w:t> </w:t>
            </w:r>
            <w:r>
              <w:rPr>
                <w:sz w:val="20"/>
              </w:rPr>
              <w:t>fully</w:t>
            </w:r>
            <w:r>
              <w:rPr>
                <w:spacing w:val="-5"/>
                <w:sz w:val="20"/>
              </w:rPr>
              <w:t> </w:t>
            </w:r>
            <w:r>
              <w:rPr>
                <w:sz w:val="20"/>
              </w:rPr>
              <w:t>at-risk</w:t>
            </w:r>
            <w:r>
              <w:rPr>
                <w:spacing w:val="-5"/>
                <w:sz w:val="20"/>
              </w:rPr>
              <w:t> </w:t>
            </w:r>
            <w:r>
              <w:rPr>
                <w:sz w:val="20"/>
              </w:rPr>
              <w:t>each</w:t>
            </w:r>
            <w:r>
              <w:rPr>
                <w:spacing w:val="-5"/>
                <w:sz w:val="20"/>
              </w:rPr>
              <w:t> </w:t>
            </w:r>
            <w:r>
              <w:rPr>
                <w:sz w:val="20"/>
              </w:rPr>
              <w:t>BP</w:t>
            </w:r>
            <w:r>
              <w:rPr>
                <w:spacing w:val="-2"/>
                <w:sz w:val="20"/>
              </w:rPr>
              <w:t> </w:t>
            </w:r>
            <w:r>
              <w:rPr>
                <w:sz w:val="20"/>
              </w:rPr>
              <w:t>based</w:t>
            </w:r>
            <w:r>
              <w:rPr>
                <w:spacing w:val="-3"/>
                <w:sz w:val="20"/>
              </w:rPr>
              <w:t> </w:t>
            </w:r>
            <w:r>
              <w:rPr>
                <w:sz w:val="20"/>
              </w:rPr>
              <w:t>on</w:t>
            </w:r>
            <w:r>
              <w:rPr>
                <w:spacing w:val="-3"/>
                <w:sz w:val="20"/>
              </w:rPr>
              <w:t> </w:t>
            </w:r>
            <w:r>
              <w:rPr>
                <w:sz w:val="20"/>
              </w:rPr>
              <w:t>ACO’s Accountability Score</w:t>
            </w:r>
          </w:p>
        </w:tc>
        <w:tc>
          <w:tcPr>
            <w:tcW w:w="619" w:type="dxa"/>
            <w:vMerge/>
            <w:tcBorders>
              <w:top w:val="nil"/>
              <w:left w:val="single" w:sz="8" w:space="0" w:color="BEBEBE"/>
              <w:right w:val="nil"/>
            </w:tcBorders>
          </w:tcPr>
          <w:p>
            <w:pPr>
              <w:rPr>
                <w:sz w:val="2"/>
                <w:szCs w:val="2"/>
              </w:rPr>
            </w:pPr>
          </w:p>
        </w:tc>
      </w:tr>
      <w:tr>
        <w:trPr>
          <w:trHeight w:val="1287" w:hRule="atLeast"/>
        </w:trPr>
        <w:tc>
          <w:tcPr>
            <w:tcW w:w="634" w:type="dxa"/>
            <w:vMerge/>
            <w:tcBorders>
              <w:top w:val="nil"/>
              <w:left w:val="nil"/>
              <w:right w:val="single" w:sz="8" w:space="0" w:color="BEBEBE"/>
            </w:tcBorders>
          </w:tcPr>
          <w:p>
            <w:pPr>
              <w:rPr>
                <w:sz w:val="2"/>
                <w:szCs w:val="2"/>
              </w:rPr>
            </w:pPr>
          </w:p>
        </w:tc>
        <w:tc>
          <w:tcPr>
            <w:tcW w:w="972" w:type="dxa"/>
            <w:vMerge/>
            <w:tcBorders>
              <w:top w:val="nil"/>
              <w:left w:val="single" w:sz="8" w:space="0" w:color="BEBEBE"/>
              <w:bottom w:val="single" w:sz="12" w:space="0" w:color="BEBEBE"/>
              <w:right w:val="single" w:sz="8" w:space="0" w:color="BEBEBE"/>
            </w:tcBorders>
            <w:shd w:val="clear" w:color="auto" w:fill="DCE6F0"/>
          </w:tcPr>
          <w:p>
            <w:pPr>
              <w:rPr>
                <w:sz w:val="2"/>
                <w:szCs w:val="2"/>
              </w:rPr>
            </w:pPr>
          </w:p>
        </w:tc>
        <w:tc>
          <w:tcPr>
            <w:tcW w:w="2302" w:type="dxa"/>
            <w:tcBorders>
              <w:top w:val="single" w:sz="8" w:space="0" w:color="BEBEBE"/>
              <w:left w:val="single" w:sz="8" w:space="0" w:color="BEBEBE"/>
              <w:bottom w:val="single" w:sz="12" w:space="0" w:color="BEBEBE"/>
              <w:right w:val="single" w:sz="4" w:space="0" w:color="BEBEBE"/>
            </w:tcBorders>
            <w:shd w:val="clear" w:color="auto" w:fill="EBF0DE"/>
          </w:tcPr>
          <w:p>
            <w:pPr>
              <w:pStyle w:val="TableParagraph"/>
              <w:rPr>
                <w:sz w:val="22"/>
              </w:rPr>
            </w:pPr>
          </w:p>
          <w:p>
            <w:pPr>
              <w:pStyle w:val="TableParagraph"/>
              <w:spacing w:before="186"/>
              <w:ind w:left="97"/>
              <w:rPr>
                <w:b/>
                <w:sz w:val="20"/>
              </w:rPr>
            </w:pPr>
            <w:r>
              <w:rPr>
                <w:b/>
                <w:sz w:val="20"/>
              </w:rPr>
              <w:t>Flexible</w:t>
            </w:r>
            <w:r>
              <w:rPr>
                <w:b/>
                <w:spacing w:val="-10"/>
                <w:sz w:val="20"/>
              </w:rPr>
              <w:t> </w:t>
            </w:r>
            <w:r>
              <w:rPr>
                <w:b/>
                <w:spacing w:val="-2"/>
                <w:sz w:val="20"/>
              </w:rPr>
              <w:t>Services</w:t>
            </w:r>
          </w:p>
        </w:tc>
        <w:tc>
          <w:tcPr>
            <w:tcW w:w="4848" w:type="dxa"/>
            <w:tcBorders>
              <w:top w:val="single" w:sz="8" w:space="0" w:color="BEBEBE"/>
              <w:left w:val="single" w:sz="4" w:space="0" w:color="BEBEBE"/>
              <w:bottom w:val="single" w:sz="12" w:space="0" w:color="BEBEBE"/>
              <w:right w:val="single" w:sz="8" w:space="0" w:color="BEBEBE"/>
            </w:tcBorders>
          </w:tcPr>
          <w:p>
            <w:pPr>
              <w:pStyle w:val="TableParagraph"/>
              <w:spacing w:before="3"/>
              <w:rPr>
                <w:sz w:val="27"/>
              </w:rPr>
            </w:pPr>
          </w:p>
          <w:p>
            <w:pPr>
              <w:pStyle w:val="TableParagraph"/>
              <w:spacing w:line="256" w:lineRule="auto" w:before="1"/>
              <w:ind w:left="102"/>
              <w:rPr>
                <w:sz w:val="20"/>
              </w:rPr>
            </w:pPr>
            <w:r>
              <w:rPr>
                <w:sz w:val="20"/>
              </w:rPr>
              <w:t>Not</w:t>
            </w:r>
            <w:r>
              <w:rPr>
                <w:spacing w:val="40"/>
                <w:sz w:val="20"/>
              </w:rPr>
              <w:t> </w:t>
            </w:r>
            <w:r>
              <w:rPr>
                <w:sz w:val="20"/>
              </w:rPr>
              <w:t>at</w:t>
            </w:r>
            <w:r>
              <w:rPr>
                <w:spacing w:val="40"/>
                <w:sz w:val="20"/>
              </w:rPr>
              <w:t> </w:t>
            </w:r>
            <w:r>
              <w:rPr>
                <w:sz w:val="20"/>
              </w:rPr>
              <w:t>performance</w:t>
            </w:r>
            <w:r>
              <w:rPr>
                <w:spacing w:val="40"/>
                <w:sz w:val="20"/>
              </w:rPr>
              <w:t> </w:t>
            </w:r>
            <w:r>
              <w:rPr>
                <w:sz w:val="20"/>
              </w:rPr>
              <w:t>risk.</w:t>
            </w:r>
            <w:r>
              <w:rPr>
                <w:spacing w:val="80"/>
                <w:w w:val="150"/>
                <w:sz w:val="20"/>
              </w:rPr>
              <w:t> </w:t>
            </w:r>
            <w:r>
              <w:rPr>
                <w:sz w:val="20"/>
              </w:rPr>
              <w:t>ACOs</w:t>
            </w:r>
            <w:r>
              <w:rPr>
                <w:spacing w:val="40"/>
                <w:sz w:val="20"/>
              </w:rPr>
              <w:t> </w:t>
            </w:r>
            <w:r>
              <w:rPr>
                <w:sz w:val="20"/>
              </w:rPr>
              <w:t>fully</w:t>
            </w:r>
            <w:r>
              <w:rPr>
                <w:spacing w:val="40"/>
                <w:sz w:val="20"/>
              </w:rPr>
              <w:t> </w:t>
            </w:r>
            <w:r>
              <w:rPr>
                <w:sz w:val="20"/>
              </w:rPr>
              <w:t>at</w:t>
            </w:r>
            <w:r>
              <w:rPr>
                <w:spacing w:val="40"/>
                <w:sz w:val="20"/>
              </w:rPr>
              <w:t> </w:t>
            </w:r>
            <w:r>
              <w:rPr>
                <w:sz w:val="20"/>
              </w:rPr>
              <w:t>risk</w:t>
            </w:r>
            <w:r>
              <w:rPr>
                <w:spacing w:val="40"/>
                <w:sz w:val="20"/>
              </w:rPr>
              <w:t> </w:t>
            </w:r>
            <w:r>
              <w:rPr>
                <w:sz w:val="20"/>
              </w:rPr>
              <w:t>for</w:t>
            </w:r>
            <w:r>
              <w:rPr>
                <w:spacing w:val="40"/>
                <w:sz w:val="20"/>
              </w:rPr>
              <w:t> </w:t>
            </w:r>
            <w:r>
              <w:rPr>
                <w:sz w:val="20"/>
              </w:rPr>
              <w:t>any expenses not approved by the State.</w:t>
            </w:r>
          </w:p>
        </w:tc>
        <w:tc>
          <w:tcPr>
            <w:tcW w:w="619" w:type="dxa"/>
            <w:vMerge/>
            <w:tcBorders>
              <w:top w:val="nil"/>
              <w:left w:val="single" w:sz="8" w:space="0" w:color="BEBEBE"/>
              <w:right w:val="nil"/>
            </w:tcBorders>
          </w:tcPr>
          <w:p>
            <w:pPr>
              <w:rPr>
                <w:sz w:val="2"/>
                <w:szCs w:val="2"/>
              </w:rPr>
            </w:pPr>
          </w:p>
        </w:tc>
      </w:tr>
    </w:tbl>
    <w:p>
      <w:pPr>
        <w:pStyle w:val="BodyText"/>
      </w:pPr>
    </w:p>
    <w:p>
      <w:pPr>
        <w:spacing w:line="240" w:lineRule="auto" w:before="143"/>
        <w:ind w:left="1220" w:right="1092" w:firstLine="0"/>
        <w:jc w:val="both"/>
        <w:rPr>
          <w:sz w:val="22"/>
        </w:rPr>
      </w:pPr>
      <w:r>
        <w:rPr>
          <w:sz w:val="22"/>
        </w:rPr>
        <w:t>The</w:t>
      </w:r>
      <w:r>
        <w:rPr>
          <w:spacing w:val="-11"/>
          <w:sz w:val="22"/>
        </w:rPr>
        <w:t> </w:t>
      </w:r>
      <w:r>
        <w:rPr>
          <w:sz w:val="22"/>
        </w:rPr>
        <w:t>portion</w:t>
      </w:r>
      <w:r>
        <w:rPr>
          <w:spacing w:val="-9"/>
          <w:sz w:val="22"/>
        </w:rPr>
        <w:t> </w:t>
      </w:r>
      <w:r>
        <w:rPr>
          <w:sz w:val="22"/>
        </w:rPr>
        <w:t>of</w:t>
      </w:r>
      <w:r>
        <w:rPr>
          <w:spacing w:val="-8"/>
          <w:sz w:val="22"/>
        </w:rPr>
        <w:t> </w:t>
      </w:r>
      <w:r>
        <w:rPr>
          <w:sz w:val="22"/>
        </w:rPr>
        <w:t>Startup/Ongoing</w:t>
      </w:r>
      <w:r>
        <w:rPr>
          <w:spacing w:val="-11"/>
          <w:sz w:val="22"/>
        </w:rPr>
        <w:t> </w:t>
      </w:r>
      <w:r>
        <w:rPr>
          <w:sz w:val="22"/>
        </w:rPr>
        <w:t>funding</w:t>
      </w:r>
      <w:r>
        <w:rPr>
          <w:spacing w:val="-11"/>
          <w:sz w:val="22"/>
        </w:rPr>
        <w:t> </w:t>
      </w:r>
      <w:r>
        <w:rPr>
          <w:sz w:val="22"/>
        </w:rPr>
        <w:t>that</w:t>
      </w:r>
      <w:r>
        <w:rPr>
          <w:spacing w:val="-10"/>
          <w:sz w:val="22"/>
        </w:rPr>
        <w:t> </w:t>
      </w:r>
      <w:r>
        <w:rPr>
          <w:sz w:val="22"/>
        </w:rPr>
        <w:t>is</w:t>
      </w:r>
      <w:r>
        <w:rPr>
          <w:spacing w:val="-8"/>
          <w:sz w:val="22"/>
        </w:rPr>
        <w:t> </w:t>
      </w:r>
      <w:r>
        <w:rPr>
          <w:sz w:val="22"/>
        </w:rPr>
        <w:t>provided</w:t>
      </w:r>
      <w:r>
        <w:rPr>
          <w:spacing w:val="-9"/>
          <w:sz w:val="22"/>
        </w:rPr>
        <w:t> </w:t>
      </w:r>
      <w:r>
        <w:rPr>
          <w:sz w:val="22"/>
        </w:rPr>
        <w:t>for</w:t>
      </w:r>
      <w:r>
        <w:rPr>
          <w:spacing w:val="-10"/>
          <w:sz w:val="22"/>
        </w:rPr>
        <w:t> </w:t>
      </w:r>
      <w:r>
        <w:rPr>
          <w:sz w:val="22"/>
        </w:rPr>
        <w:t>each</w:t>
      </w:r>
      <w:r>
        <w:rPr>
          <w:spacing w:val="-9"/>
          <w:sz w:val="22"/>
        </w:rPr>
        <w:t> </w:t>
      </w:r>
      <w:r>
        <w:rPr>
          <w:sz w:val="22"/>
        </w:rPr>
        <w:t>ACO</w:t>
      </w:r>
      <w:r>
        <w:rPr>
          <w:spacing w:val="-10"/>
          <w:sz w:val="22"/>
        </w:rPr>
        <w:t> </w:t>
      </w:r>
      <w:r>
        <w:rPr>
          <w:sz w:val="22"/>
        </w:rPr>
        <w:t>to</w:t>
      </w:r>
      <w:r>
        <w:rPr>
          <w:spacing w:val="-11"/>
          <w:sz w:val="22"/>
        </w:rPr>
        <w:t> </w:t>
      </w:r>
      <w:r>
        <w:rPr>
          <w:sz w:val="22"/>
        </w:rPr>
        <w:t>support</w:t>
      </w:r>
      <w:r>
        <w:rPr>
          <w:spacing w:val="-10"/>
          <w:sz w:val="22"/>
        </w:rPr>
        <w:t> </w:t>
      </w:r>
      <w:r>
        <w:rPr>
          <w:sz w:val="22"/>
        </w:rPr>
        <w:t>primary</w:t>
      </w:r>
      <w:r>
        <w:rPr>
          <w:spacing w:val="-11"/>
          <w:sz w:val="22"/>
        </w:rPr>
        <w:t> </w:t>
      </w:r>
      <w:r>
        <w:rPr>
          <w:sz w:val="22"/>
        </w:rPr>
        <w:t>care</w:t>
      </w:r>
      <w:r>
        <w:rPr>
          <w:spacing w:val="-10"/>
          <w:sz w:val="22"/>
        </w:rPr>
        <w:t> </w:t>
      </w:r>
      <w:r>
        <w:rPr>
          <w:sz w:val="22"/>
        </w:rPr>
        <w:t>investments are not at performance risk</w:t>
      </w:r>
      <w:r>
        <w:rPr>
          <w:spacing w:val="-2"/>
          <w:sz w:val="22"/>
        </w:rPr>
        <w:t> </w:t>
      </w:r>
      <w:r>
        <w:rPr>
          <w:sz w:val="22"/>
        </w:rPr>
        <w:t>in order</w:t>
      </w:r>
      <w:r>
        <w:rPr>
          <w:spacing w:val="-1"/>
          <w:sz w:val="22"/>
        </w:rPr>
        <w:t> </w:t>
      </w:r>
      <w:r>
        <w:rPr>
          <w:sz w:val="22"/>
        </w:rPr>
        <w:t>to provide some measure of predictability</w:t>
      </w:r>
      <w:r>
        <w:rPr>
          <w:spacing w:val="-2"/>
          <w:sz w:val="22"/>
        </w:rPr>
        <w:t> </w:t>
      </w:r>
      <w:r>
        <w:rPr>
          <w:sz w:val="22"/>
        </w:rPr>
        <w:t>and stability</w:t>
      </w:r>
      <w:r>
        <w:rPr>
          <w:spacing w:val="-2"/>
          <w:sz w:val="22"/>
        </w:rPr>
        <w:t> </w:t>
      </w:r>
      <w:r>
        <w:rPr>
          <w:sz w:val="22"/>
        </w:rPr>
        <w:t>in</w:t>
      </w:r>
      <w:r>
        <w:rPr>
          <w:spacing w:val="-2"/>
          <w:sz w:val="22"/>
        </w:rPr>
        <w:t> </w:t>
      </w:r>
      <w:r>
        <w:rPr>
          <w:sz w:val="22"/>
        </w:rPr>
        <w:t>this funding stream,</w:t>
      </w:r>
      <w:r>
        <w:rPr>
          <w:spacing w:val="-12"/>
          <w:sz w:val="22"/>
        </w:rPr>
        <w:t> </w:t>
      </w:r>
      <w:r>
        <w:rPr>
          <w:sz w:val="22"/>
        </w:rPr>
        <w:t>to</w:t>
      </w:r>
      <w:r>
        <w:rPr>
          <w:spacing w:val="-12"/>
          <w:sz w:val="22"/>
        </w:rPr>
        <w:t> </w:t>
      </w:r>
      <w:r>
        <w:rPr>
          <w:sz w:val="22"/>
        </w:rPr>
        <w:t>encourage</w:t>
      </w:r>
      <w:r>
        <w:rPr>
          <w:spacing w:val="-11"/>
          <w:sz w:val="22"/>
        </w:rPr>
        <w:t> </w:t>
      </w:r>
      <w:r>
        <w:rPr>
          <w:sz w:val="22"/>
        </w:rPr>
        <w:t>innovative</w:t>
      </w:r>
      <w:r>
        <w:rPr>
          <w:spacing w:val="-11"/>
          <w:sz w:val="22"/>
        </w:rPr>
        <w:t> </w:t>
      </w:r>
      <w:r>
        <w:rPr>
          <w:sz w:val="22"/>
        </w:rPr>
        <w:t>investments</w:t>
      </w:r>
      <w:r>
        <w:rPr>
          <w:spacing w:val="-14"/>
          <w:sz w:val="22"/>
        </w:rPr>
        <w:t> </w:t>
      </w:r>
      <w:r>
        <w:rPr>
          <w:sz w:val="22"/>
        </w:rPr>
        <w:t>in</w:t>
      </w:r>
      <w:r>
        <w:rPr>
          <w:spacing w:val="-12"/>
          <w:sz w:val="22"/>
        </w:rPr>
        <w:t> </w:t>
      </w:r>
      <w:r>
        <w:rPr>
          <w:sz w:val="22"/>
        </w:rPr>
        <w:t>primary</w:t>
      </w:r>
      <w:r>
        <w:rPr>
          <w:spacing w:val="-14"/>
          <w:sz w:val="22"/>
        </w:rPr>
        <w:t> </w:t>
      </w:r>
      <w:r>
        <w:rPr>
          <w:sz w:val="22"/>
        </w:rPr>
        <w:t>care</w:t>
      </w:r>
      <w:r>
        <w:rPr>
          <w:spacing w:val="-13"/>
          <w:sz w:val="22"/>
        </w:rPr>
        <w:t> </w:t>
      </w:r>
      <w:r>
        <w:rPr>
          <w:sz w:val="22"/>
        </w:rPr>
        <w:t>infrastructure,</w:t>
      </w:r>
      <w:r>
        <w:rPr>
          <w:spacing w:val="-14"/>
          <w:sz w:val="22"/>
        </w:rPr>
        <w:t> </w:t>
      </w:r>
      <w:r>
        <w:rPr>
          <w:sz w:val="22"/>
        </w:rPr>
        <w:t>and</w:t>
      </w:r>
      <w:r>
        <w:rPr>
          <w:spacing w:val="-13"/>
          <w:sz w:val="22"/>
        </w:rPr>
        <w:t> </w:t>
      </w:r>
      <w:r>
        <w:rPr>
          <w:sz w:val="22"/>
        </w:rPr>
        <w:t>to</w:t>
      </w:r>
      <w:r>
        <w:rPr>
          <w:spacing w:val="-12"/>
          <w:sz w:val="22"/>
        </w:rPr>
        <w:t> </w:t>
      </w:r>
      <w:r>
        <w:rPr>
          <w:sz w:val="22"/>
        </w:rPr>
        <w:t>mitigate</w:t>
      </w:r>
      <w:r>
        <w:rPr>
          <w:spacing w:val="-14"/>
          <w:sz w:val="22"/>
        </w:rPr>
        <w:t> </w:t>
      </w:r>
      <w:r>
        <w:rPr>
          <w:sz w:val="22"/>
        </w:rPr>
        <w:t>the</w:t>
      </w:r>
      <w:r>
        <w:rPr>
          <w:spacing w:val="-13"/>
          <w:sz w:val="22"/>
        </w:rPr>
        <w:t> </w:t>
      </w:r>
      <w:r>
        <w:rPr>
          <w:sz w:val="22"/>
        </w:rPr>
        <w:t>risk</w:t>
      </w:r>
      <w:r>
        <w:rPr>
          <w:spacing w:val="-14"/>
          <w:sz w:val="22"/>
        </w:rPr>
        <w:t> </w:t>
      </w:r>
      <w:r>
        <w:rPr>
          <w:sz w:val="22"/>
        </w:rPr>
        <w:t>of</w:t>
      </w:r>
      <w:r>
        <w:rPr>
          <w:spacing w:val="-13"/>
          <w:sz w:val="22"/>
        </w:rPr>
        <w:t> </w:t>
      </w:r>
      <w:r>
        <w:rPr>
          <w:sz w:val="22"/>
        </w:rPr>
        <w:t>costly delays or changes in funding that might make front-line primary care providers more hesitant to invest in practice-level change.</w:t>
      </w:r>
    </w:p>
    <w:p>
      <w:pPr>
        <w:spacing w:before="160"/>
        <w:ind w:left="1219" w:right="1096" w:firstLine="0"/>
        <w:jc w:val="both"/>
        <w:rPr>
          <w:sz w:val="22"/>
        </w:rPr>
      </w:pPr>
      <w:r>
        <w:rPr>
          <w:sz w:val="22"/>
        </w:rPr>
        <w:t>The</w:t>
      </w:r>
      <w:r>
        <w:rPr>
          <w:spacing w:val="-10"/>
          <w:sz w:val="22"/>
        </w:rPr>
        <w:t> </w:t>
      </w:r>
      <w:r>
        <w:rPr>
          <w:sz w:val="22"/>
        </w:rPr>
        <w:t>at-risk</w:t>
      </w:r>
      <w:r>
        <w:rPr>
          <w:spacing w:val="-11"/>
          <w:sz w:val="22"/>
        </w:rPr>
        <w:t> </w:t>
      </w:r>
      <w:r>
        <w:rPr>
          <w:sz w:val="22"/>
        </w:rPr>
        <w:t>withheld</w:t>
      </w:r>
      <w:r>
        <w:rPr>
          <w:spacing w:val="-9"/>
          <w:sz w:val="22"/>
        </w:rPr>
        <w:t> </w:t>
      </w:r>
      <w:r>
        <w:rPr>
          <w:sz w:val="22"/>
        </w:rPr>
        <w:t>amount</w:t>
      </w:r>
      <w:r>
        <w:rPr>
          <w:spacing w:val="-8"/>
          <w:sz w:val="22"/>
        </w:rPr>
        <w:t> </w:t>
      </w:r>
      <w:r>
        <w:rPr>
          <w:sz w:val="22"/>
        </w:rPr>
        <w:t>differs</w:t>
      </w:r>
      <w:r>
        <w:rPr>
          <w:spacing w:val="-8"/>
          <w:sz w:val="22"/>
        </w:rPr>
        <w:t> </w:t>
      </w:r>
      <w:r>
        <w:rPr>
          <w:sz w:val="22"/>
        </w:rPr>
        <w:t>between</w:t>
      </w:r>
      <w:r>
        <w:rPr>
          <w:spacing w:val="-11"/>
          <w:sz w:val="22"/>
        </w:rPr>
        <w:t> </w:t>
      </w:r>
      <w:r>
        <w:rPr>
          <w:sz w:val="22"/>
        </w:rPr>
        <w:t>the</w:t>
      </w:r>
      <w:r>
        <w:rPr>
          <w:spacing w:val="-8"/>
          <w:sz w:val="22"/>
        </w:rPr>
        <w:t> </w:t>
      </w:r>
      <w:r>
        <w:rPr>
          <w:sz w:val="22"/>
        </w:rPr>
        <w:t>discretionary</w:t>
      </w:r>
      <w:r>
        <w:rPr>
          <w:spacing w:val="-11"/>
          <w:sz w:val="22"/>
        </w:rPr>
        <w:t> </w:t>
      </w:r>
      <w:r>
        <w:rPr>
          <w:sz w:val="22"/>
        </w:rPr>
        <w:t>Startup/Ongoing</w:t>
      </w:r>
      <w:r>
        <w:rPr>
          <w:spacing w:val="-11"/>
          <w:sz w:val="22"/>
        </w:rPr>
        <w:t> </w:t>
      </w:r>
      <w:r>
        <w:rPr>
          <w:sz w:val="22"/>
        </w:rPr>
        <w:t>stream,</w:t>
      </w:r>
      <w:r>
        <w:rPr>
          <w:spacing w:val="-9"/>
          <w:sz w:val="22"/>
        </w:rPr>
        <w:t> </w:t>
      </w:r>
      <w:r>
        <w:rPr>
          <w:sz w:val="22"/>
        </w:rPr>
        <w:t>and</w:t>
      </w:r>
      <w:r>
        <w:rPr>
          <w:spacing w:val="-9"/>
          <w:sz w:val="22"/>
        </w:rPr>
        <w:t> </w:t>
      </w:r>
      <w:r>
        <w:rPr>
          <w:sz w:val="22"/>
        </w:rPr>
        <w:t>the</w:t>
      </w:r>
      <w:r>
        <w:rPr>
          <w:spacing w:val="-8"/>
          <w:sz w:val="22"/>
        </w:rPr>
        <w:t> </w:t>
      </w:r>
      <w:r>
        <w:rPr>
          <w:sz w:val="22"/>
        </w:rPr>
        <w:t>DSTI</w:t>
      </w:r>
      <w:r>
        <w:rPr>
          <w:spacing w:val="-12"/>
          <w:sz w:val="22"/>
        </w:rPr>
        <w:t> </w:t>
      </w:r>
      <w:r>
        <w:rPr>
          <w:sz w:val="22"/>
        </w:rPr>
        <w:t>Glide Path.</w:t>
      </w:r>
      <w:r>
        <w:rPr>
          <w:spacing w:val="-5"/>
          <w:sz w:val="22"/>
        </w:rPr>
        <w:t> </w:t>
      </w:r>
      <w:r>
        <w:rPr>
          <w:sz w:val="22"/>
        </w:rPr>
        <w:t>In</w:t>
      </w:r>
      <w:r>
        <w:rPr>
          <w:spacing w:val="-5"/>
          <w:sz w:val="22"/>
        </w:rPr>
        <w:t> </w:t>
      </w:r>
      <w:r>
        <w:rPr>
          <w:sz w:val="22"/>
        </w:rPr>
        <w:t>general,</w:t>
      </w:r>
      <w:r>
        <w:rPr>
          <w:spacing w:val="-5"/>
          <w:sz w:val="22"/>
        </w:rPr>
        <w:t> </w:t>
      </w:r>
      <w:r>
        <w:rPr>
          <w:sz w:val="22"/>
        </w:rPr>
        <w:t>a</w:t>
      </w:r>
      <w:r>
        <w:rPr>
          <w:spacing w:val="-7"/>
          <w:sz w:val="22"/>
        </w:rPr>
        <w:t> </w:t>
      </w:r>
      <w:r>
        <w:rPr>
          <w:sz w:val="22"/>
        </w:rPr>
        <w:t>smaller</w:t>
      </w:r>
      <w:r>
        <w:rPr>
          <w:spacing w:val="-4"/>
          <w:sz w:val="22"/>
        </w:rPr>
        <w:t> </w:t>
      </w:r>
      <w:r>
        <w:rPr>
          <w:sz w:val="22"/>
        </w:rPr>
        <w:t>percentage</w:t>
      </w:r>
      <w:r>
        <w:rPr>
          <w:spacing w:val="-4"/>
          <w:sz w:val="22"/>
        </w:rPr>
        <w:t> </w:t>
      </w:r>
      <w:r>
        <w:rPr>
          <w:sz w:val="22"/>
        </w:rPr>
        <w:t>of</w:t>
      </w:r>
      <w:r>
        <w:rPr>
          <w:spacing w:val="-6"/>
          <w:sz w:val="22"/>
        </w:rPr>
        <w:t> </w:t>
      </w:r>
      <w:r>
        <w:rPr>
          <w:sz w:val="22"/>
        </w:rPr>
        <w:t>the</w:t>
      </w:r>
      <w:r>
        <w:rPr>
          <w:spacing w:val="-7"/>
          <w:sz w:val="22"/>
        </w:rPr>
        <w:t> </w:t>
      </w:r>
      <w:r>
        <w:rPr>
          <w:sz w:val="22"/>
        </w:rPr>
        <w:t>DSTI</w:t>
      </w:r>
      <w:r>
        <w:rPr>
          <w:spacing w:val="-9"/>
          <w:sz w:val="22"/>
        </w:rPr>
        <w:t> </w:t>
      </w:r>
      <w:r>
        <w:rPr>
          <w:sz w:val="22"/>
        </w:rPr>
        <w:t>Glide</w:t>
      </w:r>
      <w:r>
        <w:rPr>
          <w:spacing w:val="-4"/>
          <w:sz w:val="22"/>
        </w:rPr>
        <w:t> </w:t>
      </w:r>
      <w:r>
        <w:rPr>
          <w:sz w:val="22"/>
        </w:rPr>
        <w:t>Path</w:t>
      </w:r>
      <w:r>
        <w:rPr>
          <w:spacing w:val="-5"/>
          <w:sz w:val="22"/>
        </w:rPr>
        <w:t> </w:t>
      </w:r>
      <w:r>
        <w:rPr>
          <w:sz w:val="22"/>
        </w:rPr>
        <w:t>funding</w:t>
      </w:r>
      <w:r>
        <w:rPr>
          <w:spacing w:val="-7"/>
          <w:sz w:val="22"/>
        </w:rPr>
        <w:t> </w:t>
      </w:r>
      <w:r>
        <w:rPr>
          <w:sz w:val="22"/>
        </w:rPr>
        <w:t>is</w:t>
      </w:r>
      <w:r>
        <w:rPr>
          <w:spacing w:val="-7"/>
          <w:sz w:val="22"/>
        </w:rPr>
        <w:t> </w:t>
      </w:r>
      <w:r>
        <w:rPr>
          <w:sz w:val="22"/>
        </w:rPr>
        <w:t>at</w:t>
      </w:r>
      <w:r>
        <w:rPr>
          <w:spacing w:val="-6"/>
          <w:sz w:val="22"/>
        </w:rPr>
        <w:t> </w:t>
      </w:r>
      <w:r>
        <w:rPr>
          <w:sz w:val="22"/>
        </w:rPr>
        <w:t>risk.</w:t>
      </w:r>
      <w:r>
        <w:rPr>
          <w:spacing w:val="-5"/>
          <w:sz w:val="22"/>
        </w:rPr>
        <w:t> </w:t>
      </w:r>
      <w:r>
        <w:rPr>
          <w:sz w:val="22"/>
        </w:rPr>
        <w:t>This</w:t>
      </w:r>
      <w:r>
        <w:rPr>
          <w:spacing w:val="-4"/>
          <w:sz w:val="22"/>
        </w:rPr>
        <w:t> </w:t>
      </w:r>
      <w:r>
        <w:rPr>
          <w:sz w:val="22"/>
        </w:rPr>
        <w:t>difference</w:t>
      </w:r>
      <w:r>
        <w:rPr>
          <w:spacing w:val="-7"/>
          <w:sz w:val="22"/>
        </w:rPr>
        <w:t> </w:t>
      </w:r>
      <w:r>
        <w:rPr>
          <w:sz w:val="22"/>
        </w:rPr>
        <w:t>reflects</w:t>
      </w:r>
      <w:r>
        <w:rPr>
          <w:spacing w:val="-7"/>
          <w:sz w:val="22"/>
        </w:rPr>
        <w:t> </w:t>
      </w:r>
      <w:r>
        <w:rPr>
          <w:sz w:val="22"/>
        </w:rPr>
        <w:t>the safety net status of these hospitals.</w:t>
      </w:r>
    </w:p>
    <w:p>
      <w:pPr>
        <w:spacing w:before="199" w:after="3"/>
        <w:ind w:left="1219" w:right="0" w:firstLine="0"/>
        <w:jc w:val="both"/>
        <w:rPr>
          <w:sz w:val="22"/>
        </w:rPr>
      </w:pPr>
      <w:r>
        <w:rPr>
          <w:sz w:val="22"/>
        </w:rPr>
        <w:t>EXHIBIT</w:t>
      </w:r>
      <w:r>
        <w:rPr>
          <w:spacing w:val="-3"/>
          <w:sz w:val="22"/>
        </w:rPr>
        <w:t> </w:t>
      </w:r>
      <w:r>
        <w:rPr>
          <w:sz w:val="22"/>
        </w:rPr>
        <w:t>20</w:t>
      </w:r>
      <w:r>
        <w:rPr>
          <w:spacing w:val="-2"/>
          <w:sz w:val="22"/>
        </w:rPr>
        <w:t> </w:t>
      </w:r>
      <w:r>
        <w:rPr>
          <w:sz w:val="22"/>
        </w:rPr>
        <w:t>–</w:t>
      </w:r>
      <w:r>
        <w:rPr>
          <w:spacing w:val="-2"/>
          <w:sz w:val="22"/>
        </w:rPr>
        <w:t> </w:t>
      </w:r>
      <w:r>
        <w:rPr>
          <w:sz w:val="22"/>
        </w:rPr>
        <w:t>Percent</w:t>
      </w:r>
      <w:r>
        <w:rPr>
          <w:spacing w:val="-1"/>
          <w:sz w:val="22"/>
        </w:rPr>
        <w:t> </w:t>
      </w:r>
      <w:r>
        <w:rPr>
          <w:sz w:val="22"/>
        </w:rPr>
        <w:t>of</w:t>
      </w:r>
      <w:r>
        <w:rPr>
          <w:spacing w:val="-5"/>
          <w:sz w:val="22"/>
        </w:rPr>
        <w:t> </w:t>
      </w:r>
      <w:r>
        <w:rPr>
          <w:sz w:val="22"/>
        </w:rPr>
        <w:t>ACO</w:t>
      </w:r>
      <w:r>
        <w:rPr>
          <w:spacing w:val="-3"/>
          <w:sz w:val="22"/>
        </w:rPr>
        <w:t> </w:t>
      </w:r>
      <w:r>
        <w:rPr>
          <w:sz w:val="22"/>
        </w:rPr>
        <w:t>Funding</w:t>
      </w:r>
      <w:r>
        <w:rPr>
          <w:spacing w:val="-5"/>
          <w:sz w:val="22"/>
        </w:rPr>
        <w:t> </w:t>
      </w:r>
      <w:r>
        <w:rPr>
          <w:sz w:val="22"/>
        </w:rPr>
        <w:t>At</w:t>
      </w:r>
      <w:r>
        <w:rPr>
          <w:spacing w:val="-1"/>
          <w:sz w:val="22"/>
        </w:rPr>
        <w:t> </w:t>
      </w:r>
      <w:r>
        <w:rPr>
          <w:sz w:val="22"/>
        </w:rPr>
        <w:t>Risk</w:t>
      </w:r>
      <w:r>
        <w:rPr>
          <w:spacing w:val="-5"/>
          <w:sz w:val="22"/>
        </w:rPr>
        <w:t> </w:t>
      </w:r>
      <w:r>
        <w:rPr>
          <w:sz w:val="22"/>
        </w:rPr>
        <w:t>by</w:t>
      </w:r>
      <w:r>
        <w:rPr>
          <w:spacing w:val="-5"/>
          <w:sz w:val="22"/>
        </w:rPr>
        <w:t> </w:t>
      </w:r>
      <w:r>
        <w:rPr>
          <w:sz w:val="22"/>
        </w:rPr>
        <w:t>Budget</w:t>
      </w:r>
      <w:r>
        <w:rPr>
          <w:spacing w:val="-1"/>
          <w:sz w:val="22"/>
        </w:rPr>
        <w:t> </w:t>
      </w:r>
      <w:r>
        <w:rPr>
          <w:spacing w:val="-2"/>
          <w:sz w:val="22"/>
        </w:rPr>
        <w:t>Period</w:t>
      </w:r>
    </w:p>
    <w:tbl>
      <w:tblPr>
        <w:tblW w:w="0" w:type="auto"/>
        <w:jc w:val="left"/>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7"/>
        <w:gridCol w:w="2911"/>
        <w:gridCol w:w="893"/>
        <w:gridCol w:w="895"/>
        <w:gridCol w:w="893"/>
        <w:gridCol w:w="895"/>
        <w:gridCol w:w="893"/>
        <w:gridCol w:w="895"/>
        <w:gridCol w:w="542"/>
      </w:tblGrid>
      <w:tr>
        <w:trPr>
          <w:trHeight w:val="407" w:hRule="atLeast"/>
        </w:trPr>
        <w:tc>
          <w:tcPr>
            <w:tcW w:w="557" w:type="dxa"/>
            <w:vMerge w:val="restart"/>
            <w:tcBorders>
              <w:left w:val="nil"/>
              <w:right w:val="single" w:sz="8" w:space="0" w:color="BEBEBE"/>
            </w:tcBorders>
          </w:tcPr>
          <w:p>
            <w:pPr>
              <w:pStyle w:val="TableParagraph"/>
              <w:rPr>
                <w:sz w:val="20"/>
              </w:rPr>
            </w:pPr>
          </w:p>
        </w:tc>
        <w:tc>
          <w:tcPr>
            <w:tcW w:w="8275" w:type="dxa"/>
            <w:gridSpan w:val="7"/>
            <w:tcBorders>
              <w:top w:val="single" w:sz="12" w:space="0" w:color="BEBEBE"/>
              <w:left w:val="single" w:sz="8" w:space="0" w:color="BEBEBE"/>
              <w:bottom w:val="single" w:sz="4" w:space="0" w:color="BEBEBE"/>
              <w:right w:val="single" w:sz="8" w:space="0" w:color="BEBEBE"/>
            </w:tcBorders>
            <w:shd w:val="clear" w:color="auto" w:fill="1F487C"/>
          </w:tcPr>
          <w:p>
            <w:pPr>
              <w:pStyle w:val="TableParagraph"/>
              <w:ind w:left="1942" w:right="1944"/>
              <w:jc w:val="center"/>
              <w:rPr>
                <w:b/>
                <w:sz w:val="20"/>
              </w:rPr>
            </w:pPr>
            <w:r>
              <w:rPr>
                <w:b/>
                <w:color w:val="FFFFFF"/>
                <w:sz w:val="20"/>
              </w:rPr>
              <w:t>Percent</w:t>
            </w:r>
            <w:r>
              <w:rPr>
                <w:b/>
                <w:color w:val="FFFFFF"/>
                <w:spacing w:val="-5"/>
                <w:sz w:val="20"/>
              </w:rPr>
              <w:t> </w:t>
            </w:r>
            <w:r>
              <w:rPr>
                <w:b/>
                <w:color w:val="FFFFFF"/>
                <w:sz w:val="20"/>
              </w:rPr>
              <w:t>of</w:t>
            </w:r>
            <w:r>
              <w:rPr>
                <w:b/>
                <w:color w:val="FFFFFF"/>
                <w:spacing w:val="-4"/>
                <w:sz w:val="20"/>
              </w:rPr>
              <w:t> </w:t>
            </w:r>
            <w:r>
              <w:rPr>
                <w:b/>
                <w:color w:val="FFFFFF"/>
                <w:sz w:val="20"/>
              </w:rPr>
              <w:t>ACO</w:t>
            </w:r>
            <w:r>
              <w:rPr>
                <w:b/>
                <w:color w:val="FFFFFF"/>
                <w:spacing w:val="-4"/>
                <w:sz w:val="20"/>
              </w:rPr>
              <w:t> </w:t>
            </w:r>
            <w:r>
              <w:rPr>
                <w:b/>
                <w:color w:val="FFFFFF"/>
                <w:sz w:val="20"/>
              </w:rPr>
              <w:t>Funding</w:t>
            </w:r>
            <w:r>
              <w:rPr>
                <w:b/>
                <w:color w:val="FFFFFF"/>
                <w:spacing w:val="-4"/>
                <w:sz w:val="20"/>
              </w:rPr>
              <w:t> </w:t>
            </w:r>
            <w:r>
              <w:rPr>
                <w:b/>
                <w:color w:val="FFFFFF"/>
                <w:sz w:val="20"/>
              </w:rPr>
              <w:t>At</w:t>
            </w:r>
            <w:r>
              <w:rPr>
                <w:b/>
                <w:color w:val="FFFFFF"/>
                <w:spacing w:val="-4"/>
                <w:sz w:val="20"/>
              </w:rPr>
              <w:t> </w:t>
            </w:r>
            <w:r>
              <w:rPr>
                <w:b/>
                <w:color w:val="FFFFFF"/>
                <w:sz w:val="20"/>
              </w:rPr>
              <w:t>Risk</w:t>
            </w:r>
            <w:r>
              <w:rPr>
                <w:b/>
                <w:color w:val="FFFFFF"/>
                <w:spacing w:val="-7"/>
                <w:sz w:val="20"/>
              </w:rPr>
              <w:t> </w:t>
            </w:r>
            <w:r>
              <w:rPr>
                <w:b/>
                <w:color w:val="FFFFFF"/>
                <w:sz w:val="20"/>
              </w:rPr>
              <w:t>by</w:t>
            </w:r>
            <w:r>
              <w:rPr>
                <w:b/>
                <w:color w:val="FFFFFF"/>
                <w:spacing w:val="-5"/>
                <w:sz w:val="20"/>
              </w:rPr>
              <w:t> </w:t>
            </w:r>
            <w:r>
              <w:rPr>
                <w:b/>
                <w:color w:val="FFFFFF"/>
                <w:sz w:val="20"/>
              </w:rPr>
              <w:t>Budget</w:t>
            </w:r>
            <w:r>
              <w:rPr>
                <w:b/>
                <w:color w:val="FFFFFF"/>
                <w:spacing w:val="-4"/>
                <w:sz w:val="20"/>
              </w:rPr>
              <w:t> </w:t>
            </w:r>
            <w:r>
              <w:rPr>
                <w:b/>
                <w:color w:val="FFFFFF"/>
                <w:spacing w:val="-2"/>
                <w:sz w:val="20"/>
              </w:rPr>
              <w:t>Period</w:t>
            </w:r>
          </w:p>
        </w:tc>
        <w:tc>
          <w:tcPr>
            <w:tcW w:w="542" w:type="dxa"/>
            <w:vMerge w:val="restart"/>
            <w:tcBorders>
              <w:left w:val="single" w:sz="8" w:space="0" w:color="BEBEBE"/>
              <w:right w:val="nil"/>
            </w:tcBorders>
          </w:tcPr>
          <w:p>
            <w:pPr>
              <w:pStyle w:val="TableParagraph"/>
              <w:rPr>
                <w:sz w:val="20"/>
              </w:rPr>
            </w:pPr>
          </w:p>
        </w:tc>
      </w:tr>
      <w:tr>
        <w:trPr>
          <w:trHeight w:val="657" w:hRule="atLeast"/>
        </w:trPr>
        <w:tc>
          <w:tcPr>
            <w:tcW w:w="557" w:type="dxa"/>
            <w:vMerge/>
            <w:tcBorders>
              <w:top w:val="nil"/>
              <w:left w:val="nil"/>
              <w:right w:val="single" w:sz="8" w:space="0" w:color="BEBEBE"/>
            </w:tcBorders>
          </w:tcPr>
          <w:p>
            <w:pPr>
              <w:rPr>
                <w:sz w:val="2"/>
                <w:szCs w:val="2"/>
              </w:rPr>
            </w:pPr>
          </w:p>
        </w:tc>
        <w:tc>
          <w:tcPr>
            <w:tcW w:w="2911" w:type="dxa"/>
            <w:tcBorders>
              <w:top w:val="single" w:sz="4" w:space="0" w:color="BEBEBE"/>
              <w:left w:val="single" w:sz="8" w:space="0" w:color="BEBEBE"/>
              <w:bottom w:val="single" w:sz="4" w:space="0" w:color="BEBEBE"/>
              <w:right w:val="single" w:sz="4" w:space="0" w:color="BEBEBE"/>
            </w:tcBorders>
            <w:shd w:val="clear" w:color="auto" w:fill="D9D9D9"/>
          </w:tcPr>
          <w:p>
            <w:pPr>
              <w:pStyle w:val="TableParagraph"/>
              <w:spacing w:before="125"/>
              <w:ind w:left="97"/>
              <w:rPr>
                <w:b/>
                <w:sz w:val="20"/>
              </w:rPr>
            </w:pPr>
            <w:r>
              <w:rPr>
                <w:b/>
                <w:sz w:val="20"/>
              </w:rPr>
              <w:t>DSRIP</w:t>
            </w:r>
            <w:r>
              <w:rPr>
                <w:b/>
                <w:spacing w:val="-7"/>
                <w:sz w:val="20"/>
              </w:rPr>
              <w:t> </w:t>
            </w:r>
            <w:r>
              <w:rPr>
                <w:b/>
                <w:sz w:val="20"/>
              </w:rPr>
              <w:t>Budget</w:t>
            </w:r>
            <w:r>
              <w:rPr>
                <w:b/>
                <w:spacing w:val="-6"/>
                <w:sz w:val="20"/>
              </w:rPr>
              <w:t> </w:t>
            </w:r>
            <w:r>
              <w:rPr>
                <w:b/>
                <w:spacing w:val="-2"/>
                <w:sz w:val="20"/>
              </w:rPr>
              <w:t>Period</w:t>
            </w:r>
          </w:p>
        </w:tc>
        <w:tc>
          <w:tcPr>
            <w:tcW w:w="893"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line="261" w:lineRule="auto"/>
              <w:ind w:left="314" w:right="30" w:hanging="80"/>
              <w:rPr>
                <w:b/>
                <w:sz w:val="20"/>
              </w:rPr>
            </w:pPr>
            <w:r>
              <w:rPr>
                <w:b/>
                <w:spacing w:val="-4"/>
                <w:sz w:val="20"/>
              </w:rPr>
              <w:t>Prep </w:t>
            </w:r>
            <w:r>
              <w:rPr>
                <w:b/>
                <w:spacing w:val="-6"/>
                <w:sz w:val="20"/>
              </w:rPr>
              <w:t>BP</w:t>
            </w:r>
          </w:p>
        </w:tc>
        <w:tc>
          <w:tcPr>
            <w:tcW w:w="895"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before="125"/>
              <w:ind w:right="240"/>
              <w:jc w:val="right"/>
              <w:rPr>
                <w:b/>
                <w:sz w:val="20"/>
              </w:rPr>
            </w:pPr>
            <w:r>
              <w:rPr>
                <w:b/>
                <w:sz w:val="20"/>
              </w:rPr>
              <w:t>BP</w:t>
            </w:r>
            <w:r>
              <w:rPr>
                <w:b/>
                <w:spacing w:val="-1"/>
                <w:sz w:val="20"/>
              </w:rPr>
              <w:t> </w:t>
            </w:r>
            <w:r>
              <w:rPr>
                <w:b/>
                <w:spacing w:val="-10"/>
                <w:sz w:val="20"/>
              </w:rPr>
              <w:t>1</w:t>
            </w:r>
          </w:p>
        </w:tc>
        <w:tc>
          <w:tcPr>
            <w:tcW w:w="893"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before="125"/>
              <w:ind w:left="237"/>
              <w:rPr>
                <w:b/>
                <w:sz w:val="20"/>
              </w:rPr>
            </w:pPr>
            <w:r>
              <w:rPr>
                <w:b/>
                <w:sz w:val="20"/>
              </w:rPr>
              <w:t>BP</w:t>
            </w:r>
            <w:r>
              <w:rPr>
                <w:b/>
                <w:spacing w:val="-1"/>
                <w:sz w:val="20"/>
              </w:rPr>
              <w:t> </w:t>
            </w:r>
            <w:r>
              <w:rPr>
                <w:b/>
                <w:spacing w:val="-10"/>
                <w:sz w:val="20"/>
              </w:rPr>
              <w:t>2</w:t>
            </w:r>
          </w:p>
        </w:tc>
        <w:tc>
          <w:tcPr>
            <w:tcW w:w="895"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before="125"/>
              <w:ind w:left="224" w:right="225"/>
              <w:jc w:val="center"/>
              <w:rPr>
                <w:b/>
                <w:sz w:val="20"/>
              </w:rPr>
            </w:pPr>
            <w:r>
              <w:rPr>
                <w:b/>
                <w:sz w:val="20"/>
              </w:rPr>
              <w:t>BP</w:t>
            </w:r>
            <w:r>
              <w:rPr>
                <w:b/>
                <w:spacing w:val="-1"/>
                <w:sz w:val="20"/>
              </w:rPr>
              <w:t> </w:t>
            </w:r>
            <w:r>
              <w:rPr>
                <w:b/>
                <w:spacing w:val="-10"/>
                <w:sz w:val="20"/>
              </w:rPr>
              <w:t>3</w:t>
            </w:r>
          </w:p>
        </w:tc>
        <w:tc>
          <w:tcPr>
            <w:tcW w:w="893"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before="125"/>
              <w:ind w:left="223" w:right="224"/>
              <w:jc w:val="center"/>
              <w:rPr>
                <w:b/>
                <w:sz w:val="20"/>
              </w:rPr>
            </w:pPr>
            <w:r>
              <w:rPr>
                <w:b/>
                <w:sz w:val="20"/>
              </w:rPr>
              <w:t>BP</w:t>
            </w:r>
            <w:r>
              <w:rPr>
                <w:b/>
                <w:spacing w:val="-1"/>
                <w:sz w:val="20"/>
              </w:rPr>
              <w:t> </w:t>
            </w:r>
            <w:r>
              <w:rPr>
                <w:b/>
                <w:spacing w:val="-10"/>
                <w:sz w:val="20"/>
              </w:rPr>
              <w:t>4</w:t>
            </w:r>
          </w:p>
        </w:tc>
        <w:tc>
          <w:tcPr>
            <w:tcW w:w="895" w:type="dxa"/>
            <w:tcBorders>
              <w:top w:val="single" w:sz="4" w:space="0" w:color="BEBEBE"/>
              <w:left w:val="single" w:sz="4" w:space="0" w:color="BEBEBE"/>
              <w:bottom w:val="single" w:sz="4" w:space="0" w:color="BEBEBE"/>
              <w:right w:val="single" w:sz="8" w:space="0" w:color="BEBEBE"/>
            </w:tcBorders>
            <w:shd w:val="clear" w:color="auto" w:fill="D9D9D9"/>
          </w:tcPr>
          <w:p>
            <w:pPr>
              <w:pStyle w:val="TableParagraph"/>
              <w:spacing w:before="125"/>
              <w:ind w:left="136" w:right="135"/>
              <w:jc w:val="center"/>
              <w:rPr>
                <w:b/>
                <w:sz w:val="20"/>
              </w:rPr>
            </w:pPr>
            <w:r>
              <w:rPr>
                <w:b/>
                <w:sz w:val="20"/>
              </w:rPr>
              <w:t>BP</w:t>
            </w:r>
            <w:r>
              <w:rPr>
                <w:b/>
                <w:spacing w:val="-1"/>
                <w:sz w:val="20"/>
              </w:rPr>
              <w:t> </w:t>
            </w:r>
            <w:r>
              <w:rPr>
                <w:b/>
                <w:spacing w:val="-10"/>
                <w:sz w:val="20"/>
              </w:rPr>
              <w:t>5</w:t>
            </w:r>
          </w:p>
        </w:tc>
        <w:tc>
          <w:tcPr>
            <w:tcW w:w="542" w:type="dxa"/>
            <w:vMerge/>
            <w:tcBorders>
              <w:top w:val="nil"/>
              <w:left w:val="single" w:sz="8" w:space="0" w:color="BEBEBE"/>
              <w:right w:val="nil"/>
            </w:tcBorders>
          </w:tcPr>
          <w:p>
            <w:pPr>
              <w:rPr>
                <w:sz w:val="2"/>
                <w:szCs w:val="2"/>
              </w:rPr>
            </w:pPr>
          </w:p>
        </w:tc>
      </w:tr>
      <w:tr>
        <w:trPr>
          <w:trHeight w:val="654" w:hRule="atLeast"/>
        </w:trPr>
        <w:tc>
          <w:tcPr>
            <w:tcW w:w="557" w:type="dxa"/>
            <w:vMerge/>
            <w:tcBorders>
              <w:top w:val="nil"/>
              <w:left w:val="nil"/>
              <w:right w:val="single" w:sz="8" w:space="0" w:color="BEBEBE"/>
            </w:tcBorders>
          </w:tcPr>
          <w:p>
            <w:pPr>
              <w:rPr>
                <w:sz w:val="2"/>
                <w:szCs w:val="2"/>
              </w:rPr>
            </w:pPr>
          </w:p>
        </w:tc>
        <w:tc>
          <w:tcPr>
            <w:tcW w:w="2911" w:type="dxa"/>
            <w:tcBorders>
              <w:top w:val="single" w:sz="4" w:space="0" w:color="BEBEBE"/>
              <w:left w:val="single" w:sz="8" w:space="0" w:color="BEBEBE"/>
              <w:bottom w:val="single" w:sz="4" w:space="0" w:color="BEBEBE"/>
              <w:right w:val="single" w:sz="4" w:space="0" w:color="BEBEBE"/>
            </w:tcBorders>
            <w:shd w:val="clear" w:color="auto" w:fill="DCE6F0"/>
          </w:tcPr>
          <w:p>
            <w:pPr>
              <w:pStyle w:val="TableParagraph"/>
              <w:spacing w:line="256" w:lineRule="auto"/>
              <w:ind w:left="97" w:right="106"/>
              <w:rPr>
                <w:sz w:val="20"/>
              </w:rPr>
            </w:pPr>
            <w:r>
              <w:rPr>
                <w:sz w:val="20"/>
              </w:rPr>
              <w:t>Startup/Ongoing</w:t>
            </w:r>
            <w:r>
              <w:rPr>
                <w:spacing w:val="40"/>
                <w:sz w:val="20"/>
              </w:rPr>
              <w:t> </w:t>
            </w:r>
            <w:r>
              <w:rPr>
                <w:sz w:val="20"/>
              </w:rPr>
              <w:t>(Discretionary) </w:t>
            </w:r>
            <w:r>
              <w:rPr>
                <w:spacing w:val="-2"/>
                <w:sz w:val="20"/>
              </w:rPr>
              <w:t>At-Risk</w:t>
            </w:r>
          </w:p>
        </w:tc>
        <w:tc>
          <w:tcPr>
            <w:tcW w:w="893" w:type="dxa"/>
            <w:tcBorders>
              <w:top w:val="single" w:sz="4" w:space="0" w:color="BEBEBE"/>
              <w:left w:val="single" w:sz="4" w:space="0" w:color="BEBEBE"/>
              <w:bottom w:val="single" w:sz="4" w:space="0" w:color="BEBEBE"/>
              <w:right w:val="single" w:sz="4" w:space="0" w:color="BEBEBE"/>
            </w:tcBorders>
          </w:tcPr>
          <w:p>
            <w:pPr>
              <w:pStyle w:val="TableParagraph"/>
              <w:spacing w:before="125"/>
              <w:ind w:left="223" w:right="224"/>
              <w:jc w:val="center"/>
              <w:rPr>
                <w:sz w:val="20"/>
              </w:rPr>
            </w:pPr>
            <w:r>
              <w:rPr>
                <w:spacing w:val="-5"/>
                <w:sz w:val="20"/>
              </w:rPr>
              <w:t>0%</w:t>
            </w:r>
          </w:p>
        </w:tc>
        <w:tc>
          <w:tcPr>
            <w:tcW w:w="895" w:type="dxa"/>
            <w:tcBorders>
              <w:top w:val="single" w:sz="4" w:space="0" w:color="BEBEBE"/>
              <w:left w:val="single" w:sz="4" w:space="0" w:color="BEBEBE"/>
              <w:bottom w:val="single" w:sz="4" w:space="0" w:color="BEBEBE"/>
              <w:right w:val="single" w:sz="4" w:space="0" w:color="BEBEBE"/>
            </w:tcBorders>
          </w:tcPr>
          <w:p>
            <w:pPr>
              <w:pStyle w:val="TableParagraph"/>
              <w:spacing w:before="125"/>
              <w:ind w:right="308"/>
              <w:jc w:val="right"/>
              <w:rPr>
                <w:sz w:val="20"/>
              </w:rPr>
            </w:pPr>
            <w:r>
              <w:rPr>
                <w:spacing w:val="-5"/>
                <w:sz w:val="20"/>
              </w:rPr>
              <w:t>5%</w:t>
            </w:r>
          </w:p>
        </w:tc>
        <w:tc>
          <w:tcPr>
            <w:tcW w:w="893" w:type="dxa"/>
            <w:tcBorders>
              <w:top w:val="single" w:sz="4" w:space="0" w:color="BEBEBE"/>
              <w:left w:val="single" w:sz="4" w:space="0" w:color="BEBEBE"/>
              <w:bottom w:val="single" w:sz="4" w:space="0" w:color="BEBEBE"/>
              <w:right w:val="single" w:sz="4" w:space="0" w:color="BEBEBE"/>
            </w:tcBorders>
          </w:tcPr>
          <w:p>
            <w:pPr>
              <w:pStyle w:val="TableParagraph"/>
              <w:spacing w:before="125"/>
              <w:ind w:left="256"/>
              <w:rPr>
                <w:sz w:val="20"/>
              </w:rPr>
            </w:pPr>
            <w:r>
              <w:rPr>
                <w:spacing w:val="-5"/>
                <w:sz w:val="20"/>
              </w:rPr>
              <w:t>15%</w:t>
            </w:r>
          </w:p>
        </w:tc>
        <w:tc>
          <w:tcPr>
            <w:tcW w:w="895" w:type="dxa"/>
            <w:tcBorders>
              <w:top w:val="single" w:sz="4" w:space="0" w:color="BEBEBE"/>
              <w:left w:val="single" w:sz="4" w:space="0" w:color="BEBEBE"/>
              <w:bottom w:val="single" w:sz="4" w:space="0" w:color="BEBEBE"/>
              <w:right w:val="single" w:sz="4" w:space="0" w:color="BEBEBE"/>
            </w:tcBorders>
          </w:tcPr>
          <w:p>
            <w:pPr>
              <w:pStyle w:val="TableParagraph"/>
              <w:spacing w:before="125"/>
              <w:ind w:left="224" w:right="225"/>
              <w:jc w:val="center"/>
              <w:rPr>
                <w:sz w:val="20"/>
              </w:rPr>
            </w:pPr>
            <w:r>
              <w:rPr>
                <w:spacing w:val="-5"/>
                <w:sz w:val="20"/>
              </w:rPr>
              <w:t>30%</w:t>
            </w:r>
          </w:p>
        </w:tc>
        <w:tc>
          <w:tcPr>
            <w:tcW w:w="893" w:type="dxa"/>
            <w:tcBorders>
              <w:top w:val="single" w:sz="4" w:space="0" w:color="BEBEBE"/>
              <w:left w:val="single" w:sz="4" w:space="0" w:color="BEBEBE"/>
              <w:bottom w:val="single" w:sz="4" w:space="0" w:color="BEBEBE"/>
              <w:right w:val="single" w:sz="4" w:space="0" w:color="BEBEBE"/>
            </w:tcBorders>
          </w:tcPr>
          <w:p>
            <w:pPr>
              <w:pStyle w:val="TableParagraph"/>
              <w:spacing w:before="125"/>
              <w:ind w:left="223" w:right="224"/>
              <w:jc w:val="center"/>
              <w:rPr>
                <w:sz w:val="20"/>
              </w:rPr>
            </w:pPr>
            <w:r>
              <w:rPr>
                <w:spacing w:val="-5"/>
                <w:sz w:val="20"/>
              </w:rPr>
              <w:t>40%</w:t>
            </w:r>
          </w:p>
        </w:tc>
        <w:tc>
          <w:tcPr>
            <w:tcW w:w="895" w:type="dxa"/>
            <w:tcBorders>
              <w:top w:val="single" w:sz="4" w:space="0" w:color="BEBEBE"/>
              <w:left w:val="single" w:sz="4" w:space="0" w:color="BEBEBE"/>
              <w:bottom w:val="single" w:sz="4" w:space="0" w:color="BEBEBE"/>
              <w:right w:val="single" w:sz="8" w:space="0" w:color="BEBEBE"/>
            </w:tcBorders>
          </w:tcPr>
          <w:p>
            <w:pPr>
              <w:pStyle w:val="TableParagraph"/>
              <w:spacing w:before="125"/>
              <w:ind w:left="136" w:right="135"/>
              <w:jc w:val="center"/>
              <w:rPr>
                <w:sz w:val="20"/>
              </w:rPr>
            </w:pPr>
            <w:r>
              <w:rPr>
                <w:spacing w:val="-5"/>
                <w:sz w:val="20"/>
              </w:rPr>
              <w:t>50%</w:t>
            </w:r>
          </w:p>
        </w:tc>
        <w:tc>
          <w:tcPr>
            <w:tcW w:w="542" w:type="dxa"/>
            <w:vMerge/>
            <w:tcBorders>
              <w:top w:val="nil"/>
              <w:left w:val="single" w:sz="8" w:space="0" w:color="BEBEBE"/>
              <w:right w:val="nil"/>
            </w:tcBorders>
          </w:tcPr>
          <w:p>
            <w:pPr>
              <w:rPr>
                <w:sz w:val="2"/>
                <w:szCs w:val="2"/>
              </w:rPr>
            </w:pPr>
          </w:p>
        </w:tc>
      </w:tr>
      <w:tr>
        <w:trPr>
          <w:trHeight w:val="409" w:hRule="atLeast"/>
        </w:trPr>
        <w:tc>
          <w:tcPr>
            <w:tcW w:w="557" w:type="dxa"/>
            <w:vMerge/>
            <w:tcBorders>
              <w:top w:val="nil"/>
              <w:left w:val="nil"/>
              <w:right w:val="single" w:sz="8" w:space="0" w:color="BEBEBE"/>
            </w:tcBorders>
          </w:tcPr>
          <w:p>
            <w:pPr>
              <w:rPr>
                <w:sz w:val="2"/>
                <w:szCs w:val="2"/>
              </w:rPr>
            </w:pPr>
          </w:p>
        </w:tc>
        <w:tc>
          <w:tcPr>
            <w:tcW w:w="2911" w:type="dxa"/>
            <w:tcBorders>
              <w:top w:val="single" w:sz="4" w:space="0" w:color="BEBEBE"/>
              <w:left w:val="single" w:sz="8" w:space="0" w:color="BEBEBE"/>
              <w:bottom w:val="single" w:sz="12" w:space="0" w:color="BEBEBE"/>
              <w:right w:val="single" w:sz="4" w:space="0" w:color="BEBEBE"/>
            </w:tcBorders>
            <w:shd w:val="clear" w:color="auto" w:fill="DCE6F0"/>
          </w:tcPr>
          <w:p>
            <w:pPr>
              <w:pStyle w:val="TableParagraph"/>
              <w:spacing w:before="2"/>
              <w:ind w:left="97"/>
              <w:rPr>
                <w:sz w:val="20"/>
              </w:rPr>
            </w:pPr>
            <w:r>
              <w:rPr>
                <w:sz w:val="20"/>
              </w:rPr>
              <w:t>Glide</w:t>
            </w:r>
            <w:r>
              <w:rPr>
                <w:spacing w:val="-8"/>
                <w:sz w:val="20"/>
              </w:rPr>
              <w:t> </w:t>
            </w:r>
            <w:r>
              <w:rPr>
                <w:sz w:val="20"/>
              </w:rPr>
              <w:t>Path</w:t>
            </w:r>
            <w:r>
              <w:rPr>
                <w:spacing w:val="-8"/>
                <w:sz w:val="20"/>
              </w:rPr>
              <w:t> </w:t>
            </w:r>
            <w:r>
              <w:rPr>
                <w:sz w:val="20"/>
              </w:rPr>
              <w:t>Funding</w:t>
            </w:r>
            <w:r>
              <w:rPr>
                <w:spacing w:val="-6"/>
                <w:sz w:val="20"/>
              </w:rPr>
              <w:t> </w:t>
            </w:r>
            <w:r>
              <w:rPr>
                <w:sz w:val="20"/>
              </w:rPr>
              <w:t>At-</w:t>
            </w:r>
            <w:r>
              <w:rPr>
                <w:spacing w:val="-4"/>
                <w:sz w:val="20"/>
              </w:rPr>
              <w:t>Risk</w:t>
            </w:r>
          </w:p>
        </w:tc>
        <w:tc>
          <w:tcPr>
            <w:tcW w:w="893" w:type="dxa"/>
            <w:tcBorders>
              <w:top w:val="single" w:sz="4" w:space="0" w:color="BEBEBE"/>
              <w:left w:val="single" w:sz="4" w:space="0" w:color="BEBEBE"/>
              <w:bottom w:val="single" w:sz="12" w:space="0" w:color="BEBEBE"/>
              <w:right w:val="single" w:sz="4" w:space="0" w:color="BEBEBE"/>
            </w:tcBorders>
          </w:tcPr>
          <w:p>
            <w:pPr>
              <w:pStyle w:val="TableParagraph"/>
              <w:spacing w:before="2"/>
              <w:ind w:left="223" w:right="224"/>
              <w:jc w:val="center"/>
              <w:rPr>
                <w:sz w:val="20"/>
              </w:rPr>
            </w:pPr>
            <w:r>
              <w:rPr>
                <w:spacing w:val="-5"/>
                <w:sz w:val="20"/>
              </w:rPr>
              <w:t>0%</w:t>
            </w:r>
          </w:p>
        </w:tc>
        <w:tc>
          <w:tcPr>
            <w:tcW w:w="895" w:type="dxa"/>
            <w:tcBorders>
              <w:top w:val="single" w:sz="4" w:space="0" w:color="BEBEBE"/>
              <w:left w:val="single" w:sz="4" w:space="0" w:color="BEBEBE"/>
              <w:bottom w:val="single" w:sz="12" w:space="0" w:color="BEBEBE"/>
              <w:right w:val="single" w:sz="4" w:space="0" w:color="BEBEBE"/>
            </w:tcBorders>
          </w:tcPr>
          <w:p>
            <w:pPr>
              <w:pStyle w:val="TableParagraph"/>
              <w:spacing w:before="2"/>
              <w:ind w:right="308"/>
              <w:jc w:val="right"/>
              <w:rPr>
                <w:sz w:val="20"/>
              </w:rPr>
            </w:pPr>
            <w:r>
              <w:rPr>
                <w:spacing w:val="-5"/>
                <w:sz w:val="20"/>
              </w:rPr>
              <w:t>5%</w:t>
            </w:r>
          </w:p>
        </w:tc>
        <w:tc>
          <w:tcPr>
            <w:tcW w:w="893" w:type="dxa"/>
            <w:tcBorders>
              <w:top w:val="single" w:sz="4" w:space="0" w:color="BEBEBE"/>
              <w:left w:val="single" w:sz="4" w:space="0" w:color="BEBEBE"/>
              <w:bottom w:val="single" w:sz="12" w:space="0" w:color="BEBEBE"/>
              <w:right w:val="single" w:sz="4" w:space="0" w:color="BEBEBE"/>
            </w:tcBorders>
          </w:tcPr>
          <w:p>
            <w:pPr>
              <w:pStyle w:val="TableParagraph"/>
              <w:spacing w:before="2"/>
              <w:ind w:left="307"/>
              <w:rPr>
                <w:sz w:val="20"/>
              </w:rPr>
            </w:pPr>
            <w:r>
              <w:rPr>
                <w:spacing w:val="-5"/>
                <w:sz w:val="20"/>
              </w:rPr>
              <w:t>5%</w:t>
            </w:r>
          </w:p>
        </w:tc>
        <w:tc>
          <w:tcPr>
            <w:tcW w:w="895" w:type="dxa"/>
            <w:tcBorders>
              <w:top w:val="single" w:sz="4" w:space="0" w:color="BEBEBE"/>
              <w:left w:val="single" w:sz="4" w:space="0" w:color="BEBEBE"/>
              <w:bottom w:val="single" w:sz="12" w:space="0" w:color="BEBEBE"/>
              <w:right w:val="single" w:sz="4" w:space="0" w:color="BEBEBE"/>
            </w:tcBorders>
          </w:tcPr>
          <w:p>
            <w:pPr>
              <w:pStyle w:val="TableParagraph"/>
              <w:spacing w:before="2"/>
              <w:ind w:left="224" w:right="225"/>
              <w:jc w:val="center"/>
              <w:rPr>
                <w:sz w:val="20"/>
              </w:rPr>
            </w:pPr>
            <w:r>
              <w:rPr>
                <w:spacing w:val="-5"/>
                <w:sz w:val="20"/>
              </w:rPr>
              <w:t>10%</w:t>
            </w:r>
          </w:p>
        </w:tc>
        <w:tc>
          <w:tcPr>
            <w:tcW w:w="893" w:type="dxa"/>
            <w:tcBorders>
              <w:top w:val="single" w:sz="4" w:space="0" w:color="BEBEBE"/>
              <w:left w:val="single" w:sz="4" w:space="0" w:color="BEBEBE"/>
              <w:bottom w:val="single" w:sz="12" w:space="0" w:color="BEBEBE"/>
              <w:right w:val="single" w:sz="4" w:space="0" w:color="BEBEBE"/>
            </w:tcBorders>
          </w:tcPr>
          <w:p>
            <w:pPr>
              <w:pStyle w:val="TableParagraph"/>
              <w:spacing w:before="2"/>
              <w:ind w:left="223" w:right="224"/>
              <w:jc w:val="center"/>
              <w:rPr>
                <w:sz w:val="20"/>
              </w:rPr>
            </w:pPr>
            <w:r>
              <w:rPr>
                <w:spacing w:val="-5"/>
                <w:sz w:val="20"/>
              </w:rPr>
              <w:t>15%</w:t>
            </w:r>
          </w:p>
        </w:tc>
        <w:tc>
          <w:tcPr>
            <w:tcW w:w="895" w:type="dxa"/>
            <w:tcBorders>
              <w:top w:val="single" w:sz="4" w:space="0" w:color="BEBEBE"/>
              <w:left w:val="single" w:sz="4" w:space="0" w:color="BEBEBE"/>
              <w:bottom w:val="single" w:sz="12" w:space="0" w:color="BEBEBE"/>
              <w:right w:val="single" w:sz="8" w:space="0" w:color="BEBEBE"/>
            </w:tcBorders>
          </w:tcPr>
          <w:p>
            <w:pPr>
              <w:pStyle w:val="TableParagraph"/>
              <w:spacing w:before="2"/>
              <w:ind w:left="136" w:right="135"/>
              <w:jc w:val="center"/>
              <w:rPr>
                <w:sz w:val="20"/>
              </w:rPr>
            </w:pPr>
            <w:r>
              <w:rPr>
                <w:spacing w:val="-5"/>
                <w:sz w:val="20"/>
              </w:rPr>
              <w:t>20%</w:t>
            </w:r>
          </w:p>
        </w:tc>
        <w:tc>
          <w:tcPr>
            <w:tcW w:w="542" w:type="dxa"/>
            <w:vMerge/>
            <w:tcBorders>
              <w:top w:val="nil"/>
              <w:left w:val="single" w:sz="8" w:space="0" w:color="BEBEBE"/>
              <w:right w:val="nil"/>
            </w:tcBorders>
          </w:tcPr>
          <w:p>
            <w:pPr>
              <w:rPr>
                <w:sz w:val="2"/>
                <w:szCs w:val="2"/>
              </w:rPr>
            </w:pPr>
          </w:p>
        </w:tc>
      </w:tr>
    </w:tbl>
    <w:p>
      <w:pPr>
        <w:pStyle w:val="BodyText"/>
        <w:spacing w:before="9"/>
        <w:rPr>
          <w:sz w:val="35"/>
        </w:rPr>
      </w:pPr>
    </w:p>
    <w:p>
      <w:pPr>
        <w:spacing w:before="0"/>
        <w:ind w:left="1220" w:right="1094" w:firstLine="0"/>
        <w:jc w:val="both"/>
        <w:rPr>
          <w:sz w:val="22"/>
        </w:rPr>
      </w:pPr>
      <w:r>
        <w:rPr>
          <w:sz w:val="22"/>
        </w:rPr>
        <w:t>For</w:t>
      </w:r>
      <w:r>
        <w:rPr>
          <w:spacing w:val="-1"/>
          <w:sz w:val="22"/>
        </w:rPr>
        <w:t> </w:t>
      </w:r>
      <w:r>
        <w:rPr>
          <w:sz w:val="22"/>
        </w:rPr>
        <w:t>ACOs</w:t>
      </w:r>
      <w:r>
        <w:rPr>
          <w:spacing w:val="-2"/>
          <w:sz w:val="22"/>
        </w:rPr>
        <w:t> </w:t>
      </w:r>
      <w:r>
        <w:rPr>
          <w:sz w:val="22"/>
        </w:rPr>
        <w:t>that</w:t>
      </w:r>
      <w:r>
        <w:rPr>
          <w:spacing w:val="-4"/>
          <w:sz w:val="22"/>
        </w:rPr>
        <w:t> </w:t>
      </w:r>
      <w:r>
        <w:rPr>
          <w:sz w:val="22"/>
        </w:rPr>
        <w:t>join</w:t>
      </w:r>
      <w:r>
        <w:rPr>
          <w:spacing w:val="-2"/>
          <w:sz w:val="22"/>
        </w:rPr>
        <w:t> </w:t>
      </w:r>
      <w:r>
        <w:rPr>
          <w:sz w:val="22"/>
        </w:rPr>
        <w:t>after</w:t>
      </w:r>
      <w:r>
        <w:rPr>
          <w:spacing w:val="-1"/>
          <w:sz w:val="22"/>
        </w:rPr>
        <w:t> </w:t>
      </w:r>
      <w:r>
        <w:rPr>
          <w:sz w:val="22"/>
        </w:rPr>
        <w:t>BP1,</w:t>
      </w:r>
      <w:r>
        <w:rPr>
          <w:spacing w:val="-2"/>
          <w:sz w:val="22"/>
        </w:rPr>
        <w:t> </w:t>
      </w:r>
      <w:r>
        <w:rPr>
          <w:sz w:val="22"/>
        </w:rPr>
        <w:t>their</w:t>
      </w:r>
      <w:r>
        <w:rPr>
          <w:spacing w:val="-1"/>
          <w:sz w:val="22"/>
        </w:rPr>
        <w:t> </w:t>
      </w:r>
      <w:r>
        <w:rPr>
          <w:sz w:val="22"/>
        </w:rPr>
        <w:t>at-risk</w:t>
      </w:r>
      <w:r>
        <w:rPr>
          <w:spacing w:val="-5"/>
          <w:sz w:val="22"/>
        </w:rPr>
        <w:t> </w:t>
      </w:r>
      <w:r>
        <w:rPr>
          <w:sz w:val="22"/>
        </w:rPr>
        <w:t>schedule</w:t>
      </w:r>
      <w:r>
        <w:rPr>
          <w:spacing w:val="-2"/>
          <w:sz w:val="22"/>
        </w:rPr>
        <w:t> </w:t>
      </w:r>
      <w:r>
        <w:rPr>
          <w:sz w:val="22"/>
        </w:rPr>
        <w:t>will</w:t>
      </w:r>
      <w:r>
        <w:rPr>
          <w:spacing w:val="-1"/>
          <w:sz w:val="22"/>
        </w:rPr>
        <w:t> </w:t>
      </w:r>
      <w:r>
        <w:rPr>
          <w:sz w:val="22"/>
        </w:rPr>
        <w:t>start</w:t>
      </w:r>
      <w:r>
        <w:rPr>
          <w:spacing w:val="-1"/>
          <w:sz w:val="22"/>
        </w:rPr>
        <w:t> </w:t>
      </w:r>
      <w:r>
        <w:rPr>
          <w:sz w:val="22"/>
        </w:rPr>
        <w:t>at</w:t>
      </w:r>
      <w:r>
        <w:rPr>
          <w:spacing w:val="-1"/>
          <w:sz w:val="22"/>
        </w:rPr>
        <w:t> </w:t>
      </w:r>
      <w:r>
        <w:rPr>
          <w:sz w:val="22"/>
        </w:rPr>
        <w:t>the</w:t>
      </w:r>
      <w:r>
        <w:rPr>
          <w:spacing w:val="-2"/>
          <w:sz w:val="22"/>
        </w:rPr>
        <w:t> </w:t>
      </w:r>
      <w:r>
        <w:rPr>
          <w:sz w:val="22"/>
        </w:rPr>
        <w:t>BP1</w:t>
      </w:r>
      <w:r>
        <w:rPr>
          <w:spacing w:val="-5"/>
          <w:sz w:val="22"/>
        </w:rPr>
        <w:t> </w:t>
      </w:r>
      <w:r>
        <w:rPr>
          <w:sz w:val="22"/>
        </w:rPr>
        <w:t>percent</w:t>
      </w:r>
      <w:r>
        <w:rPr>
          <w:spacing w:val="-1"/>
          <w:sz w:val="22"/>
        </w:rPr>
        <w:t> </w:t>
      </w:r>
      <w:r>
        <w:rPr>
          <w:sz w:val="22"/>
        </w:rPr>
        <w:t>(i.e.</w:t>
      </w:r>
      <w:r>
        <w:rPr>
          <w:spacing w:val="-2"/>
          <w:sz w:val="22"/>
        </w:rPr>
        <w:t> </w:t>
      </w:r>
      <w:r>
        <w:rPr>
          <w:sz w:val="22"/>
        </w:rPr>
        <w:t>5%),</w:t>
      </w:r>
      <w:r>
        <w:rPr>
          <w:spacing w:val="-5"/>
          <w:sz w:val="22"/>
        </w:rPr>
        <w:t> </w:t>
      </w:r>
      <w:r>
        <w:rPr>
          <w:sz w:val="22"/>
        </w:rPr>
        <w:t>and</w:t>
      </w:r>
      <w:r>
        <w:rPr>
          <w:spacing w:val="-2"/>
          <w:sz w:val="22"/>
        </w:rPr>
        <w:t> </w:t>
      </w:r>
      <w:r>
        <w:rPr>
          <w:sz w:val="22"/>
        </w:rPr>
        <w:t>then</w:t>
      </w:r>
      <w:r>
        <w:rPr>
          <w:spacing w:val="-2"/>
          <w:sz w:val="22"/>
        </w:rPr>
        <w:t> </w:t>
      </w:r>
      <w:r>
        <w:rPr>
          <w:sz w:val="22"/>
        </w:rPr>
        <w:t>follow the schedule above with appropriate lag.</w:t>
      </w:r>
      <w:r>
        <w:rPr>
          <w:spacing w:val="40"/>
          <w:sz w:val="22"/>
        </w:rPr>
        <w:t> </w:t>
      </w:r>
      <w:r>
        <w:rPr>
          <w:sz w:val="22"/>
        </w:rPr>
        <w:t>For example, if an ACO joins in BP3, their at-risk schedule for the discretionary startup/ongoing funds would be: BP3 – 5%, BP4 – 15%, BP5 – 30%</w:t>
      </w:r>
    </w:p>
    <w:p>
      <w:pPr>
        <w:spacing w:before="161"/>
        <w:ind w:left="1220" w:right="1095" w:firstLine="0"/>
        <w:jc w:val="both"/>
        <w:rPr>
          <w:sz w:val="22"/>
        </w:rPr>
      </w:pPr>
      <w:r>
        <w:rPr>
          <w:sz w:val="22"/>
        </w:rPr>
        <w:t>CPs and CSAs also receive several funding streams, as described below. Funds for Infrastructure and Capacity</w:t>
      </w:r>
      <w:r>
        <w:rPr>
          <w:spacing w:val="-5"/>
          <w:sz w:val="22"/>
        </w:rPr>
        <w:t> </w:t>
      </w:r>
      <w:r>
        <w:rPr>
          <w:sz w:val="22"/>
        </w:rPr>
        <w:t>Building</w:t>
      </w:r>
      <w:r>
        <w:rPr>
          <w:spacing w:val="-5"/>
          <w:sz w:val="22"/>
        </w:rPr>
        <w:t> </w:t>
      </w:r>
      <w:r>
        <w:rPr>
          <w:sz w:val="22"/>
        </w:rPr>
        <w:t>are</w:t>
      </w:r>
      <w:r>
        <w:rPr>
          <w:spacing w:val="-4"/>
          <w:sz w:val="22"/>
        </w:rPr>
        <w:t> </w:t>
      </w:r>
      <w:r>
        <w:rPr>
          <w:sz w:val="22"/>
        </w:rPr>
        <w:t>at</w:t>
      </w:r>
      <w:r>
        <w:rPr>
          <w:spacing w:val="-4"/>
          <w:sz w:val="22"/>
        </w:rPr>
        <w:t> </w:t>
      </w:r>
      <w:r>
        <w:rPr>
          <w:sz w:val="22"/>
        </w:rPr>
        <w:t>risk</w:t>
      </w:r>
      <w:r>
        <w:rPr>
          <w:spacing w:val="-5"/>
          <w:sz w:val="22"/>
        </w:rPr>
        <w:t> </w:t>
      </w:r>
      <w:r>
        <w:rPr>
          <w:sz w:val="22"/>
        </w:rPr>
        <w:t>for</w:t>
      </w:r>
      <w:r>
        <w:rPr>
          <w:spacing w:val="-1"/>
          <w:sz w:val="22"/>
        </w:rPr>
        <w:t> </w:t>
      </w:r>
      <w:r>
        <w:rPr>
          <w:sz w:val="22"/>
        </w:rPr>
        <w:t>BH</w:t>
      </w:r>
      <w:r>
        <w:rPr>
          <w:spacing w:val="-3"/>
          <w:sz w:val="22"/>
        </w:rPr>
        <w:t> </w:t>
      </w:r>
      <w:r>
        <w:rPr>
          <w:sz w:val="22"/>
        </w:rPr>
        <w:t>and</w:t>
      </w:r>
      <w:r>
        <w:rPr>
          <w:spacing w:val="-2"/>
          <w:sz w:val="22"/>
        </w:rPr>
        <w:t> </w:t>
      </w:r>
      <w:r>
        <w:rPr>
          <w:sz w:val="22"/>
        </w:rPr>
        <w:t>LTSS</w:t>
      </w:r>
      <w:r>
        <w:rPr>
          <w:spacing w:val="-3"/>
          <w:sz w:val="22"/>
        </w:rPr>
        <w:t> </w:t>
      </w:r>
      <w:r>
        <w:rPr>
          <w:sz w:val="22"/>
        </w:rPr>
        <w:t>CPs,</w:t>
      </w:r>
      <w:r>
        <w:rPr>
          <w:spacing w:val="-2"/>
          <w:sz w:val="22"/>
        </w:rPr>
        <w:t> </w:t>
      </w:r>
      <w:r>
        <w:rPr>
          <w:sz w:val="22"/>
        </w:rPr>
        <w:t>and</w:t>
      </w:r>
      <w:r>
        <w:rPr>
          <w:spacing w:val="-2"/>
          <w:sz w:val="22"/>
        </w:rPr>
        <w:t> </w:t>
      </w:r>
      <w:r>
        <w:rPr>
          <w:sz w:val="22"/>
        </w:rPr>
        <w:t>for</w:t>
      </w:r>
      <w:r>
        <w:rPr>
          <w:spacing w:val="-1"/>
          <w:sz w:val="22"/>
        </w:rPr>
        <w:t> </w:t>
      </w:r>
      <w:r>
        <w:rPr>
          <w:sz w:val="22"/>
        </w:rPr>
        <w:t>CSAs.</w:t>
      </w:r>
      <w:r>
        <w:rPr>
          <w:spacing w:val="-5"/>
          <w:sz w:val="22"/>
        </w:rPr>
        <w:t> </w:t>
      </w:r>
      <w:r>
        <w:rPr>
          <w:sz w:val="22"/>
        </w:rPr>
        <w:t>The</w:t>
      </w:r>
      <w:r>
        <w:rPr>
          <w:spacing w:val="-4"/>
          <w:sz w:val="22"/>
        </w:rPr>
        <w:t> </w:t>
      </w:r>
      <w:r>
        <w:rPr>
          <w:sz w:val="22"/>
        </w:rPr>
        <w:t>amount</w:t>
      </w:r>
      <w:r>
        <w:rPr>
          <w:spacing w:val="-1"/>
          <w:sz w:val="22"/>
        </w:rPr>
        <w:t> </w:t>
      </w:r>
      <w:r>
        <w:rPr>
          <w:sz w:val="22"/>
        </w:rPr>
        <w:t>of</w:t>
      </w:r>
      <w:r>
        <w:rPr>
          <w:spacing w:val="-6"/>
          <w:sz w:val="22"/>
        </w:rPr>
        <w:t> </w:t>
      </w:r>
      <w:r>
        <w:rPr>
          <w:sz w:val="22"/>
        </w:rPr>
        <w:t>CP</w:t>
      </w:r>
      <w:r>
        <w:rPr>
          <w:spacing w:val="-3"/>
          <w:sz w:val="22"/>
        </w:rPr>
        <w:t> </w:t>
      </w:r>
      <w:r>
        <w:rPr>
          <w:sz w:val="22"/>
        </w:rPr>
        <w:t>and</w:t>
      </w:r>
      <w:r>
        <w:rPr>
          <w:spacing w:val="-2"/>
          <w:sz w:val="22"/>
        </w:rPr>
        <w:t> </w:t>
      </w:r>
      <w:r>
        <w:rPr>
          <w:sz w:val="22"/>
        </w:rPr>
        <w:t>CSA</w:t>
      </w:r>
      <w:r>
        <w:rPr>
          <w:spacing w:val="-6"/>
          <w:sz w:val="22"/>
        </w:rPr>
        <w:t> </w:t>
      </w:r>
      <w:r>
        <w:rPr>
          <w:sz w:val="22"/>
        </w:rPr>
        <w:t>funds</w:t>
      </w:r>
      <w:r>
        <w:rPr>
          <w:spacing w:val="-2"/>
          <w:sz w:val="22"/>
        </w:rPr>
        <w:t> </w:t>
      </w:r>
      <w:r>
        <w:rPr>
          <w:sz w:val="22"/>
        </w:rPr>
        <w:t>that are at-risk increases over the course of the program.</w:t>
      </w:r>
    </w:p>
    <w:p>
      <w:pPr>
        <w:spacing w:after="0"/>
        <w:jc w:val="both"/>
        <w:rPr>
          <w:sz w:val="22"/>
        </w:rPr>
        <w:sectPr>
          <w:pgSz w:w="12240" w:h="15840"/>
          <w:pgMar w:header="0" w:footer="967" w:top="1360" w:bottom="1160" w:left="220" w:right="340"/>
        </w:sectPr>
      </w:pPr>
    </w:p>
    <w:p>
      <w:pPr>
        <w:spacing w:before="78"/>
        <w:ind w:left="1219" w:right="1111" w:firstLine="0"/>
        <w:jc w:val="left"/>
        <w:rPr>
          <w:sz w:val="22"/>
        </w:rPr>
      </w:pPr>
      <w:r>
        <w:rPr>
          <w:sz w:val="22"/>
        </w:rPr>
        <w:t>The accountability mechanisms for CPs and CSAs also vary by funding sub-streams, as described below. Funds for Infrastructure and Capacity Building are at risk for BH and LTSS CPs, and for CSAs.</w:t>
      </w:r>
    </w:p>
    <w:p>
      <w:pPr>
        <w:pStyle w:val="BodyText"/>
      </w:pPr>
    </w:p>
    <w:p>
      <w:pPr>
        <w:pStyle w:val="BodyText"/>
        <w:spacing w:before="6"/>
        <w:rPr>
          <w:sz w:val="29"/>
        </w:rPr>
      </w:pPr>
    </w:p>
    <w:p>
      <w:pPr>
        <w:spacing w:before="0" w:after="5"/>
        <w:ind w:left="1219" w:right="0" w:firstLine="0"/>
        <w:jc w:val="left"/>
        <w:rPr>
          <w:sz w:val="22"/>
        </w:rPr>
      </w:pPr>
      <w:r>
        <w:rPr/>
        <mc:AlternateContent>
          <mc:Choice Requires="wps">
            <w:drawing>
              <wp:anchor distT="0" distB="0" distL="0" distR="0" allowOverlap="1" layoutInCell="1" locked="0" behindDoc="0" simplePos="0" relativeHeight="16144896">
                <wp:simplePos x="0" y="0"/>
                <wp:positionH relativeFrom="page">
                  <wp:posOffset>914400</wp:posOffset>
                </wp:positionH>
                <wp:positionV relativeFrom="paragraph">
                  <wp:posOffset>160848</wp:posOffset>
                </wp:positionV>
                <wp:extent cx="5943600" cy="6350"/>
                <wp:effectExtent l="0" t="0" r="0" b="0"/>
                <wp:wrapNone/>
                <wp:docPr id="869" name="Graphic 869"/>
                <wp:cNvGraphicFramePr>
                  <a:graphicFrameLocks/>
                </wp:cNvGraphicFramePr>
                <a:graphic>
                  <a:graphicData uri="http://schemas.microsoft.com/office/word/2010/wordprocessingShape">
                    <wps:wsp>
                      <wps:cNvPr id="869" name="Graphic 869"/>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2.665208pt;width:468pt;height:.48pt;mso-position-horizontal-relative:page;mso-position-vertical-relative:paragraph;z-index:16144896" id="docshape87" filled="true" fillcolor="#000000" stroked="false">
                <v:fill type="solid"/>
                <w10:wrap type="none"/>
              </v:rect>
            </w:pict>
          </mc:Fallback>
        </mc:AlternateContent>
      </w:r>
      <w:r>
        <w:rPr>
          <w:sz w:val="22"/>
        </w:rPr>
        <w:t>EXHIBIT</w:t>
      </w:r>
      <w:r>
        <w:rPr>
          <w:spacing w:val="-2"/>
          <w:sz w:val="22"/>
        </w:rPr>
        <w:t> </w:t>
      </w:r>
      <w:r>
        <w:rPr>
          <w:sz w:val="22"/>
        </w:rPr>
        <w:t>21</w:t>
      </w:r>
      <w:r>
        <w:rPr>
          <w:spacing w:val="-3"/>
          <w:sz w:val="22"/>
        </w:rPr>
        <w:t> </w:t>
      </w:r>
      <w:r>
        <w:rPr>
          <w:sz w:val="22"/>
        </w:rPr>
        <w:t>–</w:t>
      </w:r>
      <w:r>
        <w:rPr>
          <w:spacing w:val="-3"/>
          <w:sz w:val="22"/>
        </w:rPr>
        <w:t> </w:t>
      </w:r>
      <w:r>
        <w:rPr>
          <w:sz w:val="22"/>
        </w:rPr>
        <w:t>CP</w:t>
      </w:r>
      <w:r>
        <w:rPr>
          <w:spacing w:val="-3"/>
          <w:sz w:val="22"/>
        </w:rPr>
        <w:t> </w:t>
      </w:r>
      <w:r>
        <w:rPr>
          <w:sz w:val="22"/>
        </w:rPr>
        <w:t>and</w:t>
      </w:r>
      <w:r>
        <w:rPr>
          <w:spacing w:val="-3"/>
          <w:sz w:val="22"/>
        </w:rPr>
        <w:t> </w:t>
      </w:r>
      <w:r>
        <w:rPr>
          <w:sz w:val="22"/>
        </w:rPr>
        <w:t>CSA</w:t>
      </w:r>
      <w:r>
        <w:rPr>
          <w:spacing w:val="-4"/>
          <w:sz w:val="22"/>
        </w:rPr>
        <w:t> </w:t>
      </w:r>
      <w:r>
        <w:rPr>
          <w:sz w:val="22"/>
        </w:rPr>
        <w:t>Accountability</w:t>
      </w:r>
      <w:r>
        <w:rPr>
          <w:spacing w:val="-6"/>
          <w:sz w:val="22"/>
        </w:rPr>
        <w:t> </w:t>
      </w:r>
      <w:r>
        <w:rPr>
          <w:sz w:val="22"/>
        </w:rPr>
        <w:t>Mechanism</w:t>
      </w:r>
      <w:r>
        <w:rPr>
          <w:spacing w:val="-7"/>
          <w:sz w:val="22"/>
        </w:rPr>
        <w:t> </w:t>
      </w:r>
      <w:r>
        <w:rPr>
          <w:sz w:val="22"/>
        </w:rPr>
        <w:t>by</w:t>
      </w:r>
      <w:r>
        <w:rPr>
          <w:spacing w:val="-6"/>
          <w:sz w:val="22"/>
        </w:rPr>
        <w:t> </w:t>
      </w:r>
      <w:r>
        <w:rPr>
          <w:sz w:val="22"/>
        </w:rPr>
        <w:t>Funding</w:t>
      </w:r>
      <w:r>
        <w:rPr>
          <w:spacing w:val="-5"/>
          <w:sz w:val="22"/>
        </w:rPr>
        <w:t> </w:t>
      </w:r>
      <w:r>
        <w:rPr>
          <w:sz w:val="22"/>
        </w:rPr>
        <w:t>Sub-</w:t>
      </w:r>
      <w:r>
        <w:rPr>
          <w:spacing w:val="-2"/>
          <w:sz w:val="22"/>
        </w:rPr>
        <w:t>Stream</w:t>
      </w:r>
    </w:p>
    <w:tbl>
      <w:tblPr>
        <w:tblW w:w="0" w:type="auto"/>
        <w:jc w:val="left"/>
        <w:tblInd w:w="1348" w:type="dxa"/>
        <w:tblBorders>
          <w:top w:val="single" w:sz="8" w:space="0" w:color="BEBEBE"/>
          <w:left w:val="single" w:sz="8" w:space="0" w:color="BEBEBE"/>
          <w:bottom w:val="single" w:sz="8" w:space="0" w:color="BEBEBE"/>
          <w:right w:val="single" w:sz="8" w:space="0" w:color="BEBEBE"/>
          <w:insideH w:val="single" w:sz="8" w:space="0" w:color="BEBEBE"/>
          <w:insideV w:val="single" w:sz="8" w:space="0" w:color="BEBEBE"/>
        </w:tblBorders>
        <w:tblLayout w:type="fixed"/>
        <w:tblCellMar>
          <w:top w:w="0" w:type="dxa"/>
          <w:left w:w="0" w:type="dxa"/>
          <w:bottom w:w="0" w:type="dxa"/>
          <w:right w:w="0" w:type="dxa"/>
        </w:tblCellMar>
        <w:tblLook w:val="01E0"/>
      </w:tblPr>
      <w:tblGrid>
        <w:gridCol w:w="977"/>
        <w:gridCol w:w="3037"/>
        <w:gridCol w:w="4609"/>
        <w:gridCol w:w="623"/>
      </w:tblGrid>
      <w:tr>
        <w:trPr>
          <w:trHeight w:val="604" w:hRule="atLeast"/>
        </w:trPr>
        <w:tc>
          <w:tcPr>
            <w:tcW w:w="8623" w:type="dxa"/>
            <w:gridSpan w:val="3"/>
            <w:tcBorders>
              <w:bottom w:val="single" w:sz="4" w:space="0" w:color="BEBEBE"/>
            </w:tcBorders>
            <w:shd w:val="clear" w:color="auto" w:fill="44536A"/>
          </w:tcPr>
          <w:p>
            <w:pPr>
              <w:pStyle w:val="TableParagraph"/>
              <w:spacing w:before="189"/>
              <w:ind w:left="1550" w:right="1533"/>
              <w:jc w:val="center"/>
              <w:rPr>
                <w:b/>
                <w:sz w:val="20"/>
              </w:rPr>
            </w:pPr>
            <w:r>
              <w:rPr>
                <w:b/>
                <w:color w:val="FFFFFF"/>
                <w:sz w:val="20"/>
              </w:rPr>
              <w:t>CP</w:t>
            </w:r>
            <w:r>
              <w:rPr>
                <w:b/>
                <w:color w:val="FFFFFF"/>
                <w:spacing w:val="-7"/>
                <w:sz w:val="20"/>
              </w:rPr>
              <w:t> </w:t>
            </w:r>
            <w:r>
              <w:rPr>
                <w:b/>
                <w:color w:val="FFFFFF"/>
                <w:sz w:val="20"/>
              </w:rPr>
              <w:t>and</w:t>
            </w:r>
            <w:r>
              <w:rPr>
                <w:b/>
                <w:color w:val="FFFFFF"/>
                <w:spacing w:val="-7"/>
                <w:sz w:val="20"/>
              </w:rPr>
              <w:t> </w:t>
            </w:r>
            <w:r>
              <w:rPr>
                <w:b/>
                <w:color w:val="FFFFFF"/>
                <w:sz w:val="20"/>
              </w:rPr>
              <w:t>CSA</w:t>
            </w:r>
            <w:r>
              <w:rPr>
                <w:b/>
                <w:color w:val="FFFFFF"/>
                <w:spacing w:val="-7"/>
                <w:sz w:val="20"/>
              </w:rPr>
              <w:t> </w:t>
            </w:r>
            <w:r>
              <w:rPr>
                <w:b/>
                <w:color w:val="FFFFFF"/>
                <w:sz w:val="20"/>
              </w:rPr>
              <w:t>Accountability</w:t>
            </w:r>
            <w:r>
              <w:rPr>
                <w:b/>
                <w:color w:val="FFFFFF"/>
                <w:spacing w:val="-4"/>
                <w:sz w:val="20"/>
              </w:rPr>
              <w:t> </w:t>
            </w:r>
            <w:r>
              <w:rPr>
                <w:b/>
                <w:color w:val="FFFFFF"/>
                <w:sz w:val="20"/>
              </w:rPr>
              <w:t>Mechanism</w:t>
            </w:r>
            <w:r>
              <w:rPr>
                <w:b/>
                <w:color w:val="FFFFFF"/>
                <w:spacing w:val="-11"/>
                <w:sz w:val="20"/>
              </w:rPr>
              <w:t> </w:t>
            </w:r>
            <w:r>
              <w:rPr>
                <w:b/>
                <w:color w:val="FFFFFF"/>
                <w:sz w:val="20"/>
              </w:rPr>
              <w:t>by</w:t>
            </w:r>
            <w:r>
              <w:rPr>
                <w:b/>
                <w:color w:val="FFFFFF"/>
                <w:spacing w:val="-6"/>
                <w:sz w:val="20"/>
              </w:rPr>
              <w:t> </w:t>
            </w:r>
            <w:r>
              <w:rPr>
                <w:b/>
                <w:color w:val="FFFFFF"/>
                <w:sz w:val="20"/>
              </w:rPr>
              <w:t>Funding</w:t>
            </w:r>
            <w:r>
              <w:rPr>
                <w:b/>
                <w:color w:val="FFFFFF"/>
                <w:spacing w:val="-6"/>
                <w:sz w:val="20"/>
              </w:rPr>
              <w:t> </w:t>
            </w:r>
            <w:r>
              <w:rPr>
                <w:b/>
                <w:color w:val="FFFFFF"/>
                <w:sz w:val="20"/>
              </w:rPr>
              <w:t>Sub-</w:t>
            </w:r>
            <w:r>
              <w:rPr>
                <w:b/>
                <w:color w:val="FFFFFF"/>
                <w:spacing w:val="-2"/>
                <w:sz w:val="20"/>
              </w:rPr>
              <w:t>Stream</w:t>
            </w:r>
          </w:p>
        </w:tc>
        <w:tc>
          <w:tcPr>
            <w:tcW w:w="623" w:type="dxa"/>
            <w:vMerge w:val="restart"/>
            <w:tcBorders>
              <w:top w:val="single" w:sz="4" w:space="0" w:color="000000"/>
              <w:bottom w:val="nil"/>
              <w:right w:val="nil"/>
            </w:tcBorders>
          </w:tcPr>
          <w:p>
            <w:pPr>
              <w:pStyle w:val="TableParagraph"/>
              <w:rPr>
                <w:sz w:val="20"/>
              </w:rPr>
            </w:pPr>
          </w:p>
        </w:tc>
      </w:tr>
      <w:tr>
        <w:trPr>
          <w:trHeight w:val="1038" w:hRule="atLeast"/>
        </w:trPr>
        <w:tc>
          <w:tcPr>
            <w:tcW w:w="977" w:type="dxa"/>
            <w:tcBorders>
              <w:top w:val="single" w:sz="4" w:space="0" w:color="BEBEBE"/>
              <w:right w:val="single" w:sz="4" w:space="0" w:color="BEBEBE"/>
            </w:tcBorders>
            <w:shd w:val="clear" w:color="auto" w:fill="D9D9D9"/>
          </w:tcPr>
          <w:p>
            <w:pPr>
              <w:pStyle w:val="TableParagraph"/>
              <w:spacing w:before="3"/>
              <w:rPr>
                <w:sz w:val="25"/>
              </w:rPr>
            </w:pPr>
          </w:p>
          <w:p>
            <w:pPr>
              <w:pStyle w:val="TableParagraph"/>
              <w:ind w:left="268" w:right="95" w:hanging="161"/>
              <w:rPr>
                <w:b/>
                <w:sz w:val="20"/>
              </w:rPr>
            </w:pPr>
            <w:r>
              <w:rPr>
                <w:b/>
                <w:spacing w:val="-2"/>
                <w:sz w:val="20"/>
              </w:rPr>
              <w:t>Provider </w:t>
            </w:r>
            <w:r>
              <w:rPr>
                <w:b/>
                <w:spacing w:val="-4"/>
                <w:sz w:val="20"/>
              </w:rPr>
              <w:t>Type</w:t>
            </w:r>
          </w:p>
        </w:tc>
        <w:tc>
          <w:tcPr>
            <w:tcW w:w="3037" w:type="dxa"/>
            <w:tcBorders>
              <w:top w:val="single" w:sz="4" w:space="0" w:color="BEBEBE"/>
              <w:left w:val="single" w:sz="4" w:space="0" w:color="BEBEBE"/>
              <w:right w:val="single" w:sz="4" w:space="0" w:color="BEBEBE"/>
            </w:tcBorders>
            <w:shd w:val="clear" w:color="auto" w:fill="D9D9D9"/>
          </w:tcPr>
          <w:p>
            <w:pPr>
              <w:pStyle w:val="TableParagraph"/>
              <w:rPr>
                <w:sz w:val="22"/>
              </w:rPr>
            </w:pPr>
          </w:p>
          <w:p>
            <w:pPr>
              <w:pStyle w:val="TableParagraph"/>
              <w:spacing w:before="150"/>
              <w:ind w:left="621"/>
              <w:rPr>
                <w:b/>
                <w:sz w:val="20"/>
              </w:rPr>
            </w:pPr>
            <w:r>
              <w:rPr>
                <w:b/>
                <w:spacing w:val="-2"/>
                <w:sz w:val="20"/>
              </w:rPr>
              <w:t>Funding</w:t>
            </w:r>
            <w:r>
              <w:rPr>
                <w:b/>
                <w:spacing w:val="7"/>
                <w:sz w:val="20"/>
              </w:rPr>
              <w:t> </w:t>
            </w:r>
            <w:r>
              <w:rPr>
                <w:b/>
                <w:spacing w:val="-2"/>
                <w:sz w:val="20"/>
              </w:rPr>
              <w:t>Sub-Stream</w:t>
            </w:r>
          </w:p>
        </w:tc>
        <w:tc>
          <w:tcPr>
            <w:tcW w:w="4609" w:type="dxa"/>
            <w:tcBorders>
              <w:top w:val="single" w:sz="4" w:space="0" w:color="BEBEBE"/>
              <w:left w:val="single" w:sz="4" w:space="0" w:color="BEBEBE"/>
            </w:tcBorders>
            <w:shd w:val="clear" w:color="auto" w:fill="D9D9D9"/>
          </w:tcPr>
          <w:p>
            <w:pPr>
              <w:pStyle w:val="TableParagraph"/>
              <w:rPr>
                <w:sz w:val="22"/>
              </w:rPr>
            </w:pPr>
          </w:p>
          <w:p>
            <w:pPr>
              <w:pStyle w:val="TableParagraph"/>
              <w:spacing w:before="150"/>
              <w:ind w:left="536"/>
              <w:rPr>
                <w:b/>
                <w:sz w:val="20"/>
              </w:rPr>
            </w:pPr>
            <w:r>
              <w:rPr>
                <w:b/>
                <w:sz w:val="20"/>
              </w:rPr>
              <w:t>Mechanism</w:t>
            </w:r>
            <w:r>
              <w:rPr>
                <w:b/>
                <w:spacing w:val="-11"/>
                <w:sz w:val="20"/>
              </w:rPr>
              <w:t> </w:t>
            </w:r>
            <w:r>
              <w:rPr>
                <w:b/>
                <w:sz w:val="20"/>
              </w:rPr>
              <w:t>for</w:t>
            </w:r>
            <w:r>
              <w:rPr>
                <w:b/>
                <w:spacing w:val="-7"/>
                <w:sz w:val="20"/>
              </w:rPr>
              <w:t> </w:t>
            </w:r>
            <w:r>
              <w:rPr>
                <w:b/>
                <w:sz w:val="20"/>
              </w:rPr>
              <w:t>Individual</w:t>
            </w:r>
            <w:r>
              <w:rPr>
                <w:b/>
                <w:spacing w:val="-7"/>
                <w:sz w:val="20"/>
              </w:rPr>
              <w:t> </w:t>
            </w:r>
            <w:r>
              <w:rPr>
                <w:b/>
                <w:spacing w:val="-2"/>
                <w:sz w:val="20"/>
              </w:rPr>
              <w:t>Accountability</w:t>
            </w:r>
          </w:p>
        </w:tc>
        <w:tc>
          <w:tcPr>
            <w:tcW w:w="623" w:type="dxa"/>
            <w:vMerge/>
            <w:tcBorders>
              <w:top w:val="nil"/>
              <w:bottom w:val="nil"/>
              <w:right w:val="nil"/>
            </w:tcBorders>
          </w:tcPr>
          <w:p>
            <w:pPr>
              <w:rPr>
                <w:sz w:val="2"/>
                <w:szCs w:val="2"/>
              </w:rPr>
            </w:pPr>
          </w:p>
        </w:tc>
      </w:tr>
      <w:tr>
        <w:trPr>
          <w:trHeight w:val="294" w:hRule="atLeast"/>
        </w:trPr>
        <w:tc>
          <w:tcPr>
            <w:tcW w:w="977" w:type="dxa"/>
            <w:vMerge w:val="restart"/>
            <w:tcBorders>
              <w:right w:val="single" w:sz="4" w:space="0" w:color="BEBEBE"/>
            </w:tcBorders>
            <w:shd w:val="clear" w:color="auto" w:fill="D9E1F3"/>
          </w:tcPr>
          <w:p>
            <w:pPr>
              <w:pStyle w:val="TableParagraph"/>
              <w:rPr>
                <w:sz w:val="22"/>
              </w:rPr>
            </w:pPr>
          </w:p>
          <w:p>
            <w:pPr>
              <w:pStyle w:val="TableParagraph"/>
              <w:spacing w:before="1"/>
              <w:rPr>
                <w:sz w:val="29"/>
              </w:rPr>
            </w:pPr>
          </w:p>
          <w:p>
            <w:pPr>
              <w:pStyle w:val="TableParagraph"/>
              <w:ind w:left="143"/>
              <w:rPr>
                <w:b/>
                <w:sz w:val="20"/>
              </w:rPr>
            </w:pPr>
            <w:r>
              <w:rPr>
                <w:b/>
                <w:sz w:val="20"/>
              </w:rPr>
              <w:t>BH</w:t>
            </w:r>
            <w:r>
              <w:rPr>
                <w:b/>
                <w:spacing w:val="-1"/>
                <w:sz w:val="20"/>
              </w:rPr>
              <w:t> </w:t>
            </w:r>
            <w:r>
              <w:rPr>
                <w:b/>
                <w:spacing w:val="-5"/>
                <w:sz w:val="20"/>
              </w:rPr>
              <w:t>CPs</w:t>
            </w:r>
          </w:p>
        </w:tc>
        <w:tc>
          <w:tcPr>
            <w:tcW w:w="3037" w:type="dxa"/>
            <w:tcBorders>
              <w:left w:val="single" w:sz="4" w:space="0" w:color="BEBEBE"/>
              <w:bottom w:val="single" w:sz="4" w:space="0" w:color="BEBEBE"/>
              <w:right w:val="single" w:sz="4" w:space="0" w:color="BEBEBE"/>
            </w:tcBorders>
            <w:shd w:val="clear" w:color="auto" w:fill="D0CECE"/>
          </w:tcPr>
          <w:p>
            <w:pPr>
              <w:pStyle w:val="TableParagraph"/>
              <w:spacing w:before="36"/>
              <w:ind w:left="107"/>
              <w:rPr>
                <w:i/>
                <w:sz w:val="20"/>
              </w:rPr>
            </w:pPr>
            <w:r>
              <w:rPr>
                <w:i/>
                <w:sz w:val="20"/>
              </w:rPr>
              <w:t>Care</w:t>
            </w:r>
            <w:r>
              <w:rPr>
                <w:i/>
                <w:spacing w:val="-8"/>
                <w:sz w:val="20"/>
              </w:rPr>
              <w:t> </w:t>
            </w:r>
            <w:r>
              <w:rPr>
                <w:i/>
                <w:sz w:val="20"/>
              </w:rPr>
              <w:t>Coordination</w:t>
            </w:r>
            <w:r>
              <w:rPr>
                <w:i/>
                <w:spacing w:val="-6"/>
                <w:sz w:val="20"/>
              </w:rPr>
              <w:t> </w:t>
            </w:r>
            <w:r>
              <w:rPr>
                <w:i/>
                <w:spacing w:val="-2"/>
                <w:sz w:val="20"/>
              </w:rPr>
              <w:t>Supports</w:t>
            </w:r>
          </w:p>
        </w:tc>
        <w:tc>
          <w:tcPr>
            <w:tcW w:w="4609" w:type="dxa"/>
            <w:tcBorders>
              <w:left w:val="single" w:sz="4" w:space="0" w:color="BEBEBE"/>
              <w:bottom w:val="single" w:sz="4" w:space="0" w:color="BEBEBE"/>
            </w:tcBorders>
          </w:tcPr>
          <w:p>
            <w:pPr>
              <w:pStyle w:val="TableParagraph"/>
              <w:spacing w:before="36"/>
              <w:ind w:left="111"/>
              <w:rPr>
                <w:sz w:val="20"/>
              </w:rPr>
            </w:pPr>
            <w:r>
              <w:rPr>
                <w:sz w:val="20"/>
              </w:rPr>
              <w:t>Funds</w:t>
            </w:r>
            <w:r>
              <w:rPr>
                <w:spacing w:val="-7"/>
                <w:sz w:val="20"/>
              </w:rPr>
              <w:t> </w:t>
            </w:r>
            <w:r>
              <w:rPr>
                <w:sz w:val="20"/>
              </w:rPr>
              <w:t>are</w:t>
            </w:r>
            <w:r>
              <w:rPr>
                <w:spacing w:val="-6"/>
                <w:sz w:val="20"/>
              </w:rPr>
              <w:t> </w:t>
            </w:r>
            <w:r>
              <w:rPr>
                <w:sz w:val="20"/>
              </w:rPr>
              <w:t>not</w:t>
            </w:r>
            <w:r>
              <w:rPr>
                <w:spacing w:val="-5"/>
                <w:sz w:val="20"/>
              </w:rPr>
              <w:t> </w:t>
            </w:r>
            <w:r>
              <w:rPr>
                <w:sz w:val="20"/>
              </w:rPr>
              <w:t>at-</w:t>
            </w:r>
            <w:r>
              <w:rPr>
                <w:spacing w:val="-4"/>
                <w:sz w:val="20"/>
              </w:rPr>
              <w:t>risk</w:t>
            </w:r>
          </w:p>
        </w:tc>
        <w:tc>
          <w:tcPr>
            <w:tcW w:w="623" w:type="dxa"/>
            <w:vMerge/>
            <w:tcBorders>
              <w:top w:val="nil"/>
              <w:bottom w:val="nil"/>
              <w:right w:val="nil"/>
            </w:tcBorders>
          </w:tcPr>
          <w:p>
            <w:pPr>
              <w:rPr>
                <w:sz w:val="2"/>
                <w:szCs w:val="2"/>
              </w:rPr>
            </w:pPr>
          </w:p>
        </w:tc>
      </w:tr>
      <w:tr>
        <w:trPr>
          <w:trHeight w:val="524" w:hRule="atLeast"/>
        </w:trPr>
        <w:tc>
          <w:tcPr>
            <w:tcW w:w="977" w:type="dxa"/>
            <w:vMerge/>
            <w:tcBorders>
              <w:top w:val="nil"/>
              <w:right w:val="single" w:sz="4" w:space="0" w:color="BEBEBE"/>
            </w:tcBorders>
            <w:shd w:val="clear" w:color="auto" w:fill="D9E1F3"/>
          </w:tcPr>
          <w:p>
            <w:pPr>
              <w:rPr>
                <w:sz w:val="2"/>
                <w:szCs w:val="2"/>
              </w:rPr>
            </w:pPr>
          </w:p>
        </w:tc>
        <w:tc>
          <w:tcPr>
            <w:tcW w:w="3037" w:type="dxa"/>
            <w:tcBorders>
              <w:top w:val="single" w:sz="4" w:space="0" w:color="BEBEBE"/>
              <w:left w:val="single" w:sz="4" w:space="0" w:color="BEBEBE"/>
              <w:bottom w:val="single" w:sz="4" w:space="0" w:color="BEBEBE"/>
              <w:right w:val="single" w:sz="4" w:space="0" w:color="BEBEBE"/>
            </w:tcBorders>
            <w:shd w:val="clear" w:color="auto" w:fill="D0CECE"/>
          </w:tcPr>
          <w:p>
            <w:pPr>
              <w:pStyle w:val="TableParagraph"/>
              <w:spacing w:before="38"/>
              <w:ind w:left="107" w:right="192"/>
              <w:rPr>
                <w:i/>
                <w:sz w:val="20"/>
              </w:rPr>
            </w:pPr>
            <w:r>
              <w:rPr>
                <w:i/>
                <w:sz w:val="20"/>
              </w:rPr>
              <w:t>Infrastructure</w:t>
            </w:r>
            <w:r>
              <w:rPr>
                <w:i/>
                <w:spacing w:val="-13"/>
                <w:sz w:val="20"/>
              </w:rPr>
              <w:t> </w:t>
            </w:r>
            <w:r>
              <w:rPr>
                <w:i/>
                <w:sz w:val="20"/>
              </w:rPr>
              <w:t>&amp;</w:t>
            </w:r>
            <w:r>
              <w:rPr>
                <w:i/>
                <w:spacing w:val="-12"/>
                <w:sz w:val="20"/>
              </w:rPr>
              <w:t> </w:t>
            </w:r>
            <w:r>
              <w:rPr>
                <w:i/>
                <w:sz w:val="20"/>
              </w:rPr>
              <w:t>Capacity</w:t>
            </w:r>
            <w:r>
              <w:rPr>
                <w:i/>
                <w:sz w:val="20"/>
              </w:rPr>
              <w:t> </w:t>
            </w:r>
            <w:r>
              <w:rPr>
                <w:i/>
                <w:spacing w:val="-2"/>
                <w:sz w:val="20"/>
              </w:rPr>
              <w:t>Building</w:t>
            </w:r>
          </w:p>
        </w:tc>
        <w:tc>
          <w:tcPr>
            <w:tcW w:w="4609" w:type="dxa"/>
            <w:tcBorders>
              <w:top w:val="single" w:sz="4" w:space="0" w:color="BEBEBE"/>
              <w:left w:val="single" w:sz="4" w:space="0" w:color="BEBEBE"/>
              <w:bottom w:val="single" w:sz="4" w:space="0" w:color="BEBEBE"/>
            </w:tcBorders>
          </w:tcPr>
          <w:p>
            <w:pPr>
              <w:pStyle w:val="TableParagraph"/>
              <w:spacing w:before="38"/>
              <w:ind w:left="111" w:right="175"/>
              <w:rPr>
                <w:sz w:val="20"/>
              </w:rPr>
            </w:pPr>
            <w:r>
              <w:rPr>
                <w:sz w:val="20"/>
              </w:rPr>
              <w:t>Withheld</w:t>
            </w:r>
            <w:r>
              <w:rPr>
                <w:spacing w:val="-4"/>
                <w:sz w:val="20"/>
              </w:rPr>
              <w:t> </w:t>
            </w:r>
            <w:r>
              <w:rPr>
                <w:sz w:val="20"/>
              </w:rPr>
              <w:t>portion</w:t>
            </w:r>
            <w:r>
              <w:rPr>
                <w:spacing w:val="-6"/>
                <w:sz w:val="20"/>
              </w:rPr>
              <w:t> </w:t>
            </w:r>
            <w:r>
              <w:rPr>
                <w:sz w:val="20"/>
              </w:rPr>
              <w:t>is</w:t>
            </w:r>
            <w:r>
              <w:rPr>
                <w:spacing w:val="-3"/>
                <w:sz w:val="20"/>
              </w:rPr>
              <w:t> </w:t>
            </w:r>
            <w:r>
              <w:rPr>
                <w:sz w:val="20"/>
              </w:rPr>
              <w:t>fully</w:t>
            </w:r>
            <w:r>
              <w:rPr>
                <w:spacing w:val="-9"/>
                <w:sz w:val="20"/>
              </w:rPr>
              <w:t> </w:t>
            </w:r>
            <w:r>
              <w:rPr>
                <w:sz w:val="20"/>
              </w:rPr>
              <w:t>at-risk</w:t>
            </w:r>
            <w:r>
              <w:rPr>
                <w:spacing w:val="-6"/>
                <w:sz w:val="20"/>
              </w:rPr>
              <w:t> </w:t>
            </w:r>
            <w:r>
              <w:rPr>
                <w:sz w:val="20"/>
              </w:rPr>
              <w:t>each</w:t>
            </w:r>
            <w:r>
              <w:rPr>
                <w:spacing w:val="-6"/>
                <w:sz w:val="20"/>
              </w:rPr>
              <w:t> </w:t>
            </w:r>
            <w:r>
              <w:rPr>
                <w:sz w:val="20"/>
              </w:rPr>
              <w:t>BP</w:t>
            </w:r>
            <w:r>
              <w:rPr>
                <w:spacing w:val="-3"/>
                <w:sz w:val="20"/>
              </w:rPr>
              <w:t> </w:t>
            </w:r>
            <w:r>
              <w:rPr>
                <w:sz w:val="20"/>
              </w:rPr>
              <w:t>based</w:t>
            </w:r>
            <w:r>
              <w:rPr>
                <w:spacing w:val="-4"/>
                <w:sz w:val="20"/>
              </w:rPr>
              <w:t> </w:t>
            </w:r>
            <w:r>
              <w:rPr>
                <w:sz w:val="20"/>
              </w:rPr>
              <w:t>on CP's Accountability Score</w:t>
            </w:r>
          </w:p>
        </w:tc>
        <w:tc>
          <w:tcPr>
            <w:tcW w:w="623" w:type="dxa"/>
            <w:vMerge/>
            <w:tcBorders>
              <w:top w:val="nil"/>
              <w:bottom w:val="nil"/>
              <w:right w:val="nil"/>
            </w:tcBorders>
          </w:tcPr>
          <w:p>
            <w:pPr>
              <w:rPr>
                <w:sz w:val="2"/>
                <w:szCs w:val="2"/>
              </w:rPr>
            </w:pPr>
          </w:p>
        </w:tc>
      </w:tr>
      <w:tr>
        <w:trPr>
          <w:trHeight w:val="546" w:hRule="atLeast"/>
        </w:trPr>
        <w:tc>
          <w:tcPr>
            <w:tcW w:w="977" w:type="dxa"/>
            <w:vMerge/>
            <w:tcBorders>
              <w:top w:val="nil"/>
              <w:right w:val="single" w:sz="4" w:space="0" w:color="BEBEBE"/>
            </w:tcBorders>
            <w:shd w:val="clear" w:color="auto" w:fill="D9E1F3"/>
          </w:tcPr>
          <w:p>
            <w:pPr>
              <w:rPr>
                <w:sz w:val="2"/>
                <w:szCs w:val="2"/>
              </w:rPr>
            </w:pPr>
          </w:p>
        </w:tc>
        <w:tc>
          <w:tcPr>
            <w:tcW w:w="3037" w:type="dxa"/>
            <w:tcBorders>
              <w:top w:val="single" w:sz="4" w:space="0" w:color="BEBEBE"/>
              <w:left w:val="single" w:sz="4" w:space="0" w:color="BEBEBE"/>
              <w:right w:val="single" w:sz="4" w:space="0" w:color="BEBEBE"/>
            </w:tcBorders>
            <w:shd w:val="clear" w:color="auto" w:fill="D0CECE"/>
          </w:tcPr>
          <w:p>
            <w:pPr>
              <w:pStyle w:val="TableParagraph"/>
              <w:spacing w:before="161"/>
              <w:ind w:left="107"/>
              <w:rPr>
                <w:i/>
                <w:sz w:val="20"/>
              </w:rPr>
            </w:pPr>
            <w:r>
              <w:rPr>
                <w:i/>
                <w:sz w:val="20"/>
              </w:rPr>
              <w:t>Outcome-Based</w:t>
            </w:r>
            <w:r>
              <w:rPr>
                <w:i/>
                <w:spacing w:val="-11"/>
                <w:sz w:val="20"/>
              </w:rPr>
              <w:t> </w:t>
            </w:r>
            <w:r>
              <w:rPr>
                <w:i/>
                <w:spacing w:val="-2"/>
                <w:sz w:val="20"/>
              </w:rPr>
              <w:t>Payments</w:t>
            </w:r>
          </w:p>
        </w:tc>
        <w:tc>
          <w:tcPr>
            <w:tcW w:w="4609" w:type="dxa"/>
            <w:tcBorders>
              <w:top w:val="single" w:sz="4" w:space="0" w:color="BEBEBE"/>
              <w:left w:val="single" w:sz="4" w:space="0" w:color="BEBEBE"/>
            </w:tcBorders>
          </w:tcPr>
          <w:p>
            <w:pPr>
              <w:pStyle w:val="TableParagraph"/>
              <w:spacing w:before="45"/>
              <w:ind w:left="111"/>
              <w:rPr>
                <w:sz w:val="20"/>
              </w:rPr>
            </w:pPr>
            <w:r>
              <w:rPr>
                <w:sz w:val="20"/>
              </w:rPr>
              <w:t>Incentive</w:t>
            </w:r>
            <w:r>
              <w:rPr>
                <w:spacing w:val="-7"/>
                <w:sz w:val="20"/>
              </w:rPr>
              <w:t> </w:t>
            </w:r>
            <w:r>
              <w:rPr>
                <w:sz w:val="20"/>
              </w:rPr>
              <w:t>pool</w:t>
            </w:r>
            <w:r>
              <w:rPr>
                <w:spacing w:val="-7"/>
                <w:sz w:val="20"/>
              </w:rPr>
              <w:t> </w:t>
            </w:r>
            <w:r>
              <w:rPr>
                <w:sz w:val="20"/>
              </w:rPr>
              <w:t>based</w:t>
            </w:r>
            <w:r>
              <w:rPr>
                <w:spacing w:val="-6"/>
                <w:sz w:val="20"/>
              </w:rPr>
              <w:t> </w:t>
            </w:r>
            <w:r>
              <w:rPr>
                <w:sz w:val="20"/>
              </w:rPr>
              <w:t>on</w:t>
            </w:r>
            <w:r>
              <w:rPr>
                <w:spacing w:val="-8"/>
                <w:sz w:val="20"/>
              </w:rPr>
              <w:t> </w:t>
            </w:r>
            <w:r>
              <w:rPr>
                <w:sz w:val="20"/>
              </w:rPr>
              <w:t>performance</w:t>
            </w:r>
            <w:r>
              <w:rPr>
                <w:spacing w:val="-7"/>
                <w:sz w:val="20"/>
              </w:rPr>
              <w:t> </w:t>
            </w:r>
            <w:r>
              <w:rPr>
                <w:sz w:val="20"/>
              </w:rPr>
              <w:t>on</w:t>
            </w:r>
            <w:r>
              <w:rPr>
                <w:spacing w:val="-8"/>
                <w:sz w:val="20"/>
              </w:rPr>
              <w:t> </w:t>
            </w:r>
            <w:r>
              <w:rPr>
                <w:sz w:val="20"/>
              </w:rPr>
              <w:t>avoidable utilization measures</w:t>
            </w:r>
          </w:p>
        </w:tc>
        <w:tc>
          <w:tcPr>
            <w:tcW w:w="623" w:type="dxa"/>
            <w:vMerge/>
            <w:tcBorders>
              <w:top w:val="nil"/>
              <w:bottom w:val="nil"/>
              <w:right w:val="nil"/>
            </w:tcBorders>
          </w:tcPr>
          <w:p>
            <w:pPr>
              <w:rPr>
                <w:sz w:val="2"/>
                <w:szCs w:val="2"/>
              </w:rPr>
            </w:pPr>
          </w:p>
        </w:tc>
      </w:tr>
      <w:tr>
        <w:trPr>
          <w:trHeight w:val="539" w:hRule="atLeast"/>
        </w:trPr>
        <w:tc>
          <w:tcPr>
            <w:tcW w:w="977" w:type="dxa"/>
            <w:tcBorders>
              <w:right w:val="single" w:sz="4" w:space="0" w:color="BEBEBE"/>
            </w:tcBorders>
            <w:shd w:val="clear" w:color="auto" w:fill="D9E1F3"/>
          </w:tcPr>
          <w:p>
            <w:pPr>
              <w:pStyle w:val="TableParagraph"/>
              <w:spacing w:before="153"/>
              <w:ind w:left="246"/>
              <w:rPr>
                <w:b/>
                <w:sz w:val="20"/>
              </w:rPr>
            </w:pPr>
            <w:r>
              <w:rPr>
                <w:b/>
                <w:spacing w:val="-4"/>
                <w:sz w:val="20"/>
              </w:rPr>
              <w:t>CSAs</w:t>
            </w:r>
          </w:p>
        </w:tc>
        <w:tc>
          <w:tcPr>
            <w:tcW w:w="3037" w:type="dxa"/>
            <w:tcBorders>
              <w:left w:val="single" w:sz="4" w:space="0" w:color="BEBEBE"/>
              <w:right w:val="single" w:sz="4" w:space="0" w:color="BEBEBE"/>
            </w:tcBorders>
            <w:shd w:val="clear" w:color="auto" w:fill="D0CECE"/>
          </w:tcPr>
          <w:p>
            <w:pPr>
              <w:pStyle w:val="TableParagraph"/>
              <w:spacing w:before="38"/>
              <w:ind w:left="107" w:right="192"/>
              <w:rPr>
                <w:i/>
                <w:sz w:val="20"/>
              </w:rPr>
            </w:pPr>
            <w:r>
              <w:rPr>
                <w:i/>
                <w:sz w:val="20"/>
              </w:rPr>
              <w:t>Infrastructure</w:t>
            </w:r>
            <w:r>
              <w:rPr>
                <w:i/>
                <w:spacing w:val="-13"/>
                <w:sz w:val="20"/>
              </w:rPr>
              <w:t> </w:t>
            </w:r>
            <w:r>
              <w:rPr>
                <w:i/>
                <w:sz w:val="20"/>
              </w:rPr>
              <w:t>&amp;</w:t>
            </w:r>
            <w:r>
              <w:rPr>
                <w:i/>
                <w:spacing w:val="-12"/>
                <w:sz w:val="20"/>
              </w:rPr>
              <w:t> </w:t>
            </w:r>
            <w:r>
              <w:rPr>
                <w:i/>
                <w:sz w:val="20"/>
              </w:rPr>
              <w:t>Capacity</w:t>
            </w:r>
            <w:r>
              <w:rPr>
                <w:i/>
                <w:sz w:val="20"/>
              </w:rPr>
              <w:t> </w:t>
            </w:r>
            <w:r>
              <w:rPr>
                <w:i/>
                <w:spacing w:val="-2"/>
                <w:sz w:val="20"/>
              </w:rPr>
              <w:t>Building</w:t>
            </w:r>
          </w:p>
        </w:tc>
        <w:tc>
          <w:tcPr>
            <w:tcW w:w="4609" w:type="dxa"/>
            <w:tcBorders>
              <w:left w:val="single" w:sz="4" w:space="0" w:color="BEBEBE"/>
            </w:tcBorders>
          </w:tcPr>
          <w:p>
            <w:pPr>
              <w:pStyle w:val="TableParagraph"/>
              <w:spacing w:before="38"/>
              <w:ind w:left="111"/>
              <w:rPr>
                <w:sz w:val="20"/>
              </w:rPr>
            </w:pPr>
            <w:r>
              <w:rPr>
                <w:sz w:val="20"/>
              </w:rPr>
              <w:t>At-risk</w:t>
            </w:r>
            <w:r>
              <w:rPr>
                <w:spacing w:val="-7"/>
                <w:sz w:val="20"/>
              </w:rPr>
              <w:t> </w:t>
            </w:r>
            <w:r>
              <w:rPr>
                <w:sz w:val="20"/>
              </w:rPr>
              <w:t>portion</w:t>
            </w:r>
            <w:r>
              <w:rPr>
                <w:spacing w:val="-7"/>
                <w:sz w:val="20"/>
              </w:rPr>
              <w:t> </w:t>
            </w:r>
            <w:r>
              <w:rPr>
                <w:sz w:val="20"/>
              </w:rPr>
              <w:t>of</w:t>
            </w:r>
            <w:r>
              <w:rPr>
                <w:spacing w:val="-8"/>
                <w:sz w:val="20"/>
              </w:rPr>
              <w:t> </w:t>
            </w:r>
            <w:r>
              <w:rPr>
                <w:sz w:val="20"/>
              </w:rPr>
              <w:t>each</w:t>
            </w:r>
            <w:r>
              <w:rPr>
                <w:spacing w:val="-7"/>
                <w:sz w:val="20"/>
              </w:rPr>
              <w:t> </w:t>
            </w:r>
            <w:r>
              <w:rPr>
                <w:sz w:val="20"/>
              </w:rPr>
              <w:t>BP</w:t>
            </w:r>
            <w:r>
              <w:rPr>
                <w:spacing w:val="-4"/>
                <w:sz w:val="20"/>
              </w:rPr>
              <w:t> </w:t>
            </w:r>
            <w:r>
              <w:rPr>
                <w:sz w:val="20"/>
              </w:rPr>
              <w:t>based</w:t>
            </w:r>
            <w:r>
              <w:rPr>
                <w:spacing w:val="-5"/>
                <w:sz w:val="20"/>
              </w:rPr>
              <w:t> </w:t>
            </w:r>
            <w:r>
              <w:rPr>
                <w:sz w:val="20"/>
              </w:rPr>
              <w:t>on</w:t>
            </w:r>
            <w:r>
              <w:rPr>
                <w:spacing w:val="-7"/>
                <w:sz w:val="20"/>
              </w:rPr>
              <w:t> </w:t>
            </w:r>
            <w:r>
              <w:rPr>
                <w:sz w:val="20"/>
              </w:rPr>
              <w:t>CSA’s Accountability Score</w:t>
            </w:r>
          </w:p>
        </w:tc>
        <w:tc>
          <w:tcPr>
            <w:tcW w:w="623" w:type="dxa"/>
            <w:vMerge/>
            <w:tcBorders>
              <w:top w:val="nil"/>
              <w:bottom w:val="nil"/>
              <w:right w:val="nil"/>
            </w:tcBorders>
          </w:tcPr>
          <w:p>
            <w:pPr>
              <w:rPr>
                <w:sz w:val="2"/>
                <w:szCs w:val="2"/>
              </w:rPr>
            </w:pPr>
          </w:p>
        </w:tc>
      </w:tr>
      <w:tr>
        <w:trPr>
          <w:trHeight w:val="308" w:hRule="atLeast"/>
        </w:trPr>
        <w:tc>
          <w:tcPr>
            <w:tcW w:w="977" w:type="dxa"/>
            <w:vMerge w:val="restart"/>
            <w:tcBorders>
              <w:right w:val="single" w:sz="4" w:space="0" w:color="BEBEBE"/>
            </w:tcBorders>
            <w:shd w:val="clear" w:color="auto" w:fill="D9E1F3"/>
          </w:tcPr>
          <w:p>
            <w:pPr>
              <w:pStyle w:val="TableParagraph"/>
              <w:rPr>
                <w:sz w:val="22"/>
              </w:rPr>
            </w:pPr>
          </w:p>
          <w:p>
            <w:pPr>
              <w:pStyle w:val="TableParagraph"/>
              <w:spacing w:before="4"/>
              <w:rPr>
                <w:sz w:val="20"/>
              </w:rPr>
            </w:pPr>
          </w:p>
          <w:p>
            <w:pPr>
              <w:pStyle w:val="TableParagraph"/>
              <w:ind w:left="241"/>
              <w:rPr>
                <w:b/>
                <w:sz w:val="20"/>
              </w:rPr>
            </w:pPr>
            <w:r>
              <w:rPr>
                <w:b/>
                <w:spacing w:val="-4"/>
                <w:sz w:val="20"/>
              </w:rPr>
              <w:t>LTSS</w:t>
            </w:r>
          </w:p>
          <w:p>
            <w:pPr>
              <w:pStyle w:val="TableParagraph"/>
              <w:ind w:left="311"/>
              <w:rPr>
                <w:b/>
                <w:sz w:val="20"/>
              </w:rPr>
            </w:pPr>
            <w:r>
              <w:rPr>
                <w:b/>
                <w:spacing w:val="-5"/>
                <w:sz w:val="20"/>
              </w:rPr>
              <w:t>CPs</w:t>
            </w:r>
          </w:p>
        </w:tc>
        <w:tc>
          <w:tcPr>
            <w:tcW w:w="3037" w:type="dxa"/>
            <w:tcBorders>
              <w:left w:val="single" w:sz="4" w:space="0" w:color="BEBEBE"/>
              <w:bottom w:val="single" w:sz="4" w:space="0" w:color="BEBEBE"/>
              <w:right w:val="single" w:sz="4" w:space="0" w:color="BEBEBE"/>
            </w:tcBorders>
            <w:shd w:val="clear" w:color="auto" w:fill="D0CECE"/>
          </w:tcPr>
          <w:p>
            <w:pPr>
              <w:pStyle w:val="TableParagraph"/>
              <w:spacing w:before="43"/>
              <w:ind w:left="107"/>
              <w:rPr>
                <w:i/>
                <w:sz w:val="20"/>
              </w:rPr>
            </w:pPr>
            <w:r>
              <w:rPr>
                <w:i/>
                <w:sz w:val="20"/>
              </w:rPr>
              <w:t>Care</w:t>
            </w:r>
            <w:r>
              <w:rPr>
                <w:i/>
                <w:spacing w:val="-8"/>
                <w:sz w:val="20"/>
              </w:rPr>
              <w:t> </w:t>
            </w:r>
            <w:r>
              <w:rPr>
                <w:i/>
                <w:sz w:val="20"/>
              </w:rPr>
              <w:t>Coordination</w:t>
            </w:r>
            <w:r>
              <w:rPr>
                <w:i/>
                <w:spacing w:val="-6"/>
                <w:sz w:val="20"/>
              </w:rPr>
              <w:t> </w:t>
            </w:r>
            <w:r>
              <w:rPr>
                <w:i/>
                <w:spacing w:val="-2"/>
                <w:sz w:val="20"/>
              </w:rPr>
              <w:t>Supports</w:t>
            </w:r>
          </w:p>
        </w:tc>
        <w:tc>
          <w:tcPr>
            <w:tcW w:w="4609" w:type="dxa"/>
            <w:tcBorders>
              <w:left w:val="single" w:sz="4" w:space="0" w:color="BEBEBE"/>
              <w:bottom w:val="single" w:sz="4" w:space="0" w:color="BEBEBE"/>
            </w:tcBorders>
          </w:tcPr>
          <w:p>
            <w:pPr>
              <w:pStyle w:val="TableParagraph"/>
              <w:spacing w:before="43"/>
              <w:ind w:left="111"/>
              <w:rPr>
                <w:sz w:val="20"/>
              </w:rPr>
            </w:pPr>
            <w:r>
              <w:rPr>
                <w:sz w:val="20"/>
              </w:rPr>
              <w:t>Funds</w:t>
            </w:r>
            <w:r>
              <w:rPr>
                <w:spacing w:val="-7"/>
                <w:sz w:val="20"/>
              </w:rPr>
              <w:t> </w:t>
            </w:r>
            <w:r>
              <w:rPr>
                <w:sz w:val="20"/>
              </w:rPr>
              <w:t>are</w:t>
            </w:r>
            <w:r>
              <w:rPr>
                <w:spacing w:val="-6"/>
                <w:sz w:val="20"/>
              </w:rPr>
              <w:t> </w:t>
            </w:r>
            <w:r>
              <w:rPr>
                <w:sz w:val="20"/>
              </w:rPr>
              <w:t>not</w:t>
            </w:r>
            <w:r>
              <w:rPr>
                <w:spacing w:val="-5"/>
                <w:sz w:val="20"/>
              </w:rPr>
              <w:t> </w:t>
            </w:r>
            <w:r>
              <w:rPr>
                <w:sz w:val="20"/>
              </w:rPr>
              <w:t>at-</w:t>
            </w:r>
            <w:r>
              <w:rPr>
                <w:spacing w:val="-4"/>
                <w:sz w:val="20"/>
              </w:rPr>
              <w:t>risk</w:t>
            </w:r>
          </w:p>
        </w:tc>
        <w:tc>
          <w:tcPr>
            <w:tcW w:w="623" w:type="dxa"/>
            <w:vMerge/>
            <w:tcBorders>
              <w:top w:val="nil"/>
              <w:bottom w:val="nil"/>
              <w:right w:val="nil"/>
            </w:tcBorders>
          </w:tcPr>
          <w:p>
            <w:pPr>
              <w:rPr>
                <w:sz w:val="2"/>
                <w:szCs w:val="2"/>
              </w:rPr>
            </w:pPr>
          </w:p>
        </w:tc>
      </w:tr>
      <w:tr>
        <w:trPr>
          <w:trHeight w:val="541" w:hRule="atLeast"/>
        </w:trPr>
        <w:tc>
          <w:tcPr>
            <w:tcW w:w="977" w:type="dxa"/>
            <w:vMerge/>
            <w:tcBorders>
              <w:top w:val="nil"/>
              <w:right w:val="single" w:sz="4" w:space="0" w:color="BEBEBE"/>
            </w:tcBorders>
            <w:shd w:val="clear" w:color="auto" w:fill="D9E1F3"/>
          </w:tcPr>
          <w:p>
            <w:pPr>
              <w:rPr>
                <w:sz w:val="2"/>
                <w:szCs w:val="2"/>
              </w:rPr>
            </w:pPr>
          </w:p>
        </w:tc>
        <w:tc>
          <w:tcPr>
            <w:tcW w:w="3037" w:type="dxa"/>
            <w:tcBorders>
              <w:top w:val="single" w:sz="4" w:space="0" w:color="BEBEBE"/>
              <w:left w:val="single" w:sz="4" w:space="0" w:color="BEBEBE"/>
              <w:bottom w:val="single" w:sz="4" w:space="0" w:color="BEBEBE"/>
              <w:right w:val="single" w:sz="4" w:space="0" w:color="BEBEBE"/>
            </w:tcBorders>
            <w:shd w:val="clear" w:color="auto" w:fill="D0CECE"/>
          </w:tcPr>
          <w:p>
            <w:pPr>
              <w:pStyle w:val="TableParagraph"/>
              <w:spacing w:before="45"/>
              <w:ind w:left="107" w:right="192"/>
              <w:rPr>
                <w:i/>
                <w:sz w:val="20"/>
              </w:rPr>
            </w:pPr>
            <w:r>
              <w:rPr>
                <w:i/>
                <w:sz w:val="20"/>
              </w:rPr>
              <w:t>Infrastructure</w:t>
            </w:r>
            <w:r>
              <w:rPr>
                <w:i/>
                <w:spacing w:val="-13"/>
                <w:sz w:val="20"/>
              </w:rPr>
              <w:t> </w:t>
            </w:r>
            <w:r>
              <w:rPr>
                <w:i/>
                <w:sz w:val="20"/>
              </w:rPr>
              <w:t>&amp;</w:t>
            </w:r>
            <w:r>
              <w:rPr>
                <w:i/>
                <w:spacing w:val="-12"/>
                <w:sz w:val="20"/>
              </w:rPr>
              <w:t> </w:t>
            </w:r>
            <w:r>
              <w:rPr>
                <w:i/>
                <w:sz w:val="20"/>
              </w:rPr>
              <w:t>Capacity</w:t>
            </w:r>
            <w:r>
              <w:rPr>
                <w:i/>
                <w:sz w:val="20"/>
              </w:rPr>
              <w:t> </w:t>
            </w:r>
            <w:r>
              <w:rPr>
                <w:i/>
                <w:spacing w:val="-2"/>
                <w:sz w:val="20"/>
              </w:rPr>
              <w:t>Building</w:t>
            </w:r>
          </w:p>
        </w:tc>
        <w:tc>
          <w:tcPr>
            <w:tcW w:w="4609" w:type="dxa"/>
            <w:tcBorders>
              <w:top w:val="single" w:sz="4" w:space="0" w:color="BEBEBE"/>
              <w:left w:val="single" w:sz="4" w:space="0" w:color="BEBEBE"/>
              <w:bottom w:val="single" w:sz="4" w:space="0" w:color="BEBEBE"/>
            </w:tcBorders>
          </w:tcPr>
          <w:p>
            <w:pPr>
              <w:pStyle w:val="TableParagraph"/>
              <w:spacing w:before="45"/>
              <w:ind w:left="111" w:right="175"/>
              <w:rPr>
                <w:sz w:val="20"/>
              </w:rPr>
            </w:pPr>
            <w:r>
              <w:rPr>
                <w:sz w:val="20"/>
              </w:rPr>
              <w:t>Withheld</w:t>
            </w:r>
            <w:r>
              <w:rPr>
                <w:spacing w:val="-4"/>
                <w:sz w:val="20"/>
              </w:rPr>
              <w:t> </w:t>
            </w:r>
            <w:r>
              <w:rPr>
                <w:sz w:val="20"/>
              </w:rPr>
              <w:t>portion</w:t>
            </w:r>
            <w:r>
              <w:rPr>
                <w:spacing w:val="-6"/>
                <w:sz w:val="20"/>
              </w:rPr>
              <w:t> </w:t>
            </w:r>
            <w:r>
              <w:rPr>
                <w:sz w:val="20"/>
              </w:rPr>
              <w:t>is</w:t>
            </w:r>
            <w:r>
              <w:rPr>
                <w:spacing w:val="-3"/>
                <w:sz w:val="20"/>
              </w:rPr>
              <w:t> </w:t>
            </w:r>
            <w:r>
              <w:rPr>
                <w:sz w:val="20"/>
              </w:rPr>
              <w:t>fully</w:t>
            </w:r>
            <w:r>
              <w:rPr>
                <w:spacing w:val="-8"/>
                <w:sz w:val="20"/>
              </w:rPr>
              <w:t> </w:t>
            </w:r>
            <w:r>
              <w:rPr>
                <w:sz w:val="20"/>
              </w:rPr>
              <w:t>at-risk</w:t>
            </w:r>
            <w:r>
              <w:rPr>
                <w:spacing w:val="-6"/>
                <w:sz w:val="20"/>
              </w:rPr>
              <w:t> </w:t>
            </w:r>
            <w:r>
              <w:rPr>
                <w:sz w:val="20"/>
              </w:rPr>
              <w:t>each</w:t>
            </w:r>
            <w:r>
              <w:rPr>
                <w:spacing w:val="-6"/>
                <w:sz w:val="20"/>
              </w:rPr>
              <w:t> </w:t>
            </w:r>
            <w:r>
              <w:rPr>
                <w:sz w:val="20"/>
              </w:rPr>
              <w:t>BP</w:t>
            </w:r>
            <w:r>
              <w:rPr>
                <w:spacing w:val="-3"/>
                <w:sz w:val="20"/>
              </w:rPr>
              <w:t> </w:t>
            </w:r>
            <w:r>
              <w:rPr>
                <w:sz w:val="20"/>
              </w:rPr>
              <w:t>based</w:t>
            </w:r>
            <w:r>
              <w:rPr>
                <w:spacing w:val="-4"/>
                <w:sz w:val="20"/>
              </w:rPr>
              <w:t> </w:t>
            </w:r>
            <w:r>
              <w:rPr>
                <w:sz w:val="20"/>
              </w:rPr>
              <w:t>on CP's Accountability Score</w:t>
            </w:r>
          </w:p>
        </w:tc>
        <w:tc>
          <w:tcPr>
            <w:tcW w:w="623" w:type="dxa"/>
            <w:vMerge/>
            <w:tcBorders>
              <w:top w:val="nil"/>
              <w:bottom w:val="nil"/>
              <w:right w:val="nil"/>
            </w:tcBorders>
          </w:tcPr>
          <w:p>
            <w:pPr>
              <w:rPr>
                <w:sz w:val="2"/>
                <w:szCs w:val="2"/>
              </w:rPr>
            </w:pPr>
          </w:p>
        </w:tc>
      </w:tr>
      <w:tr>
        <w:trPr>
          <w:trHeight w:val="544" w:hRule="atLeast"/>
        </w:trPr>
        <w:tc>
          <w:tcPr>
            <w:tcW w:w="977" w:type="dxa"/>
            <w:vMerge/>
            <w:tcBorders>
              <w:top w:val="nil"/>
              <w:right w:val="single" w:sz="4" w:space="0" w:color="BEBEBE"/>
            </w:tcBorders>
            <w:shd w:val="clear" w:color="auto" w:fill="D9E1F3"/>
          </w:tcPr>
          <w:p>
            <w:pPr>
              <w:rPr>
                <w:sz w:val="2"/>
                <w:szCs w:val="2"/>
              </w:rPr>
            </w:pPr>
          </w:p>
        </w:tc>
        <w:tc>
          <w:tcPr>
            <w:tcW w:w="3037" w:type="dxa"/>
            <w:tcBorders>
              <w:top w:val="single" w:sz="4" w:space="0" w:color="BEBEBE"/>
              <w:left w:val="single" w:sz="4" w:space="0" w:color="BEBEBE"/>
              <w:right w:val="single" w:sz="4" w:space="0" w:color="BEBEBE"/>
            </w:tcBorders>
            <w:shd w:val="clear" w:color="auto" w:fill="D0CECE"/>
          </w:tcPr>
          <w:p>
            <w:pPr>
              <w:pStyle w:val="TableParagraph"/>
              <w:spacing w:before="161"/>
              <w:ind w:left="107"/>
              <w:rPr>
                <w:i/>
                <w:sz w:val="20"/>
              </w:rPr>
            </w:pPr>
            <w:r>
              <w:rPr>
                <w:i/>
                <w:sz w:val="20"/>
              </w:rPr>
              <w:t>Outcome-Based</w:t>
            </w:r>
            <w:r>
              <w:rPr>
                <w:i/>
                <w:spacing w:val="-11"/>
                <w:sz w:val="20"/>
              </w:rPr>
              <w:t> </w:t>
            </w:r>
            <w:r>
              <w:rPr>
                <w:i/>
                <w:spacing w:val="-2"/>
                <w:sz w:val="20"/>
              </w:rPr>
              <w:t>Payments</w:t>
            </w:r>
          </w:p>
        </w:tc>
        <w:tc>
          <w:tcPr>
            <w:tcW w:w="4609" w:type="dxa"/>
            <w:tcBorders>
              <w:top w:val="single" w:sz="4" w:space="0" w:color="BEBEBE"/>
              <w:left w:val="single" w:sz="4" w:space="0" w:color="BEBEBE"/>
            </w:tcBorders>
          </w:tcPr>
          <w:p>
            <w:pPr>
              <w:pStyle w:val="TableParagraph"/>
              <w:spacing w:before="45"/>
              <w:ind w:left="111"/>
              <w:rPr>
                <w:sz w:val="20"/>
              </w:rPr>
            </w:pPr>
            <w:r>
              <w:rPr>
                <w:sz w:val="20"/>
              </w:rPr>
              <w:t>Incentive</w:t>
            </w:r>
            <w:r>
              <w:rPr>
                <w:spacing w:val="-7"/>
                <w:sz w:val="20"/>
              </w:rPr>
              <w:t> </w:t>
            </w:r>
            <w:r>
              <w:rPr>
                <w:sz w:val="20"/>
              </w:rPr>
              <w:t>pool</w:t>
            </w:r>
            <w:r>
              <w:rPr>
                <w:spacing w:val="-7"/>
                <w:sz w:val="20"/>
              </w:rPr>
              <w:t> </w:t>
            </w:r>
            <w:r>
              <w:rPr>
                <w:sz w:val="20"/>
              </w:rPr>
              <w:t>based</w:t>
            </w:r>
            <w:r>
              <w:rPr>
                <w:spacing w:val="-6"/>
                <w:sz w:val="20"/>
              </w:rPr>
              <w:t> </w:t>
            </w:r>
            <w:r>
              <w:rPr>
                <w:sz w:val="20"/>
              </w:rPr>
              <w:t>on</w:t>
            </w:r>
            <w:r>
              <w:rPr>
                <w:spacing w:val="-8"/>
                <w:sz w:val="20"/>
              </w:rPr>
              <w:t> </w:t>
            </w:r>
            <w:r>
              <w:rPr>
                <w:sz w:val="20"/>
              </w:rPr>
              <w:t>performance</w:t>
            </w:r>
            <w:r>
              <w:rPr>
                <w:spacing w:val="-7"/>
                <w:sz w:val="20"/>
              </w:rPr>
              <w:t> </w:t>
            </w:r>
            <w:r>
              <w:rPr>
                <w:sz w:val="20"/>
              </w:rPr>
              <w:t>on</w:t>
            </w:r>
            <w:r>
              <w:rPr>
                <w:spacing w:val="-8"/>
                <w:sz w:val="20"/>
              </w:rPr>
              <w:t> </w:t>
            </w:r>
            <w:r>
              <w:rPr>
                <w:sz w:val="20"/>
              </w:rPr>
              <w:t>avoidable utilization measures</w:t>
            </w:r>
          </w:p>
        </w:tc>
        <w:tc>
          <w:tcPr>
            <w:tcW w:w="623" w:type="dxa"/>
            <w:vMerge/>
            <w:tcBorders>
              <w:top w:val="nil"/>
              <w:bottom w:val="nil"/>
              <w:right w:val="nil"/>
            </w:tcBorders>
          </w:tcPr>
          <w:p>
            <w:pPr>
              <w:rPr>
                <w:sz w:val="2"/>
                <w:szCs w:val="2"/>
              </w:rPr>
            </w:pPr>
          </w:p>
        </w:tc>
      </w:tr>
    </w:tbl>
    <w:p>
      <w:pPr>
        <w:pStyle w:val="BodyText"/>
        <w:rPr>
          <w:sz w:val="20"/>
        </w:rPr>
      </w:pPr>
    </w:p>
    <w:p>
      <w:pPr>
        <w:pStyle w:val="BodyText"/>
        <w:spacing w:before="7"/>
        <w:rPr>
          <w:sz w:val="23"/>
        </w:rPr>
      </w:pPr>
      <w:r>
        <w:rPr/>
        <mc:AlternateContent>
          <mc:Choice Requires="wps">
            <w:drawing>
              <wp:anchor distT="0" distB="0" distL="0" distR="0" allowOverlap="1" layoutInCell="1" locked="0" behindDoc="1" simplePos="0" relativeHeight="488003584">
                <wp:simplePos x="0" y="0"/>
                <wp:positionH relativeFrom="page">
                  <wp:posOffset>905255</wp:posOffset>
                </wp:positionH>
                <wp:positionV relativeFrom="paragraph">
                  <wp:posOffset>188226</wp:posOffset>
                </wp:positionV>
                <wp:extent cx="5953125" cy="6350"/>
                <wp:effectExtent l="0" t="0" r="0" b="0"/>
                <wp:wrapTopAndBottom/>
                <wp:docPr id="870" name="Graphic 870"/>
                <wp:cNvGraphicFramePr>
                  <a:graphicFrameLocks/>
                </wp:cNvGraphicFramePr>
                <a:graphic>
                  <a:graphicData uri="http://schemas.microsoft.com/office/word/2010/wordprocessingShape">
                    <wps:wsp>
                      <wps:cNvPr id="870" name="Graphic 870"/>
                      <wps:cNvSpPr/>
                      <wps:spPr>
                        <a:xfrm>
                          <a:off x="0" y="0"/>
                          <a:ext cx="5953125" cy="6350"/>
                        </a:xfrm>
                        <a:custGeom>
                          <a:avLst/>
                          <a:gdLst/>
                          <a:ahLst/>
                          <a:cxnLst/>
                          <a:rect l="l" t="t" r="r" b="b"/>
                          <a:pathLst>
                            <a:path w="5953125" h="6350">
                              <a:moveTo>
                                <a:pt x="5952744" y="0"/>
                              </a:moveTo>
                              <a:lnTo>
                                <a:pt x="0" y="0"/>
                              </a:lnTo>
                              <a:lnTo>
                                <a:pt x="0" y="6096"/>
                              </a:lnTo>
                              <a:lnTo>
                                <a:pt x="5952744" y="6096"/>
                              </a:lnTo>
                              <a:lnTo>
                                <a:pt x="5952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1.279999pt;margin-top:14.820976pt;width:468.72pt;height:.48pt;mso-position-horizontal-relative:page;mso-position-vertical-relative:paragraph;z-index:-15312896;mso-wrap-distance-left:0;mso-wrap-distance-right:0" id="docshape88" filled="true" fillcolor="#000000" stroked="false">
                <v:fill type="solid"/>
                <w10:wrap type="topAndBottom"/>
              </v:rect>
            </w:pict>
          </mc:Fallback>
        </mc:AlternateContent>
      </w:r>
    </w:p>
    <w:p>
      <w:pPr>
        <w:pStyle w:val="BodyText"/>
        <w:spacing w:before="11"/>
        <w:rPr>
          <w:sz w:val="35"/>
        </w:rPr>
      </w:pPr>
    </w:p>
    <w:p>
      <w:pPr>
        <w:spacing w:before="0"/>
        <w:ind w:left="1220" w:right="0" w:firstLine="0"/>
        <w:jc w:val="left"/>
        <w:rPr>
          <w:sz w:val="22"/>
        </w:rPr>
      </w:pPr>
      <w:r>
        <w:rPr>
          <w:sz w:val="22"/>
        </w:rPr>
        <w:t>Exhibit</w:t>
      </w:r>
      <w:r>
        <w:rPr>
          <w:spacing w:val="-3"/>
          <w:sz w:val="22"/>
        </w:rPr>
        <w:t> </w:t>
      </w:r>
      <w:r>
        <w:rPr>
          <w:sz w:val="22"/>
        </w:rPr>
        <w:t>22</w:t>
      </w:r>
      <w:r>
        <w:rPr>
          <w:spacing w:val="-4"/>
          <w:sz w:val="22"/>
        </w:rPr>
        <w:t> </w:t>
      </w:r>
      <w:r>
        <w:rPr>
          <w:sz w:val="22"/>
        </w:rPr>
        <w:t>sets</w:t>
      </w:r>
      <w:r>
        <w:rPr>
          <w:spacing w:val="-3"/>
          <w:sz w:val="22"/>
        </w:rPr>
        <w:t> </w:t>
      </w:r>
      <w:r>
        <w:rPr>
          <w:sz w:val="22"/>
        </w:rPr>
        <w:t>forth</w:t>
      </w:r>
      <w:r>
        <w:rPr>
          <w:spacing w:val="-5"/>
          <w:sz w:val="22"/>
        </w:rPr>
        <w:t> </w:t>
      </w:r>
      <w:r>
        <w:rPr>
          <w:sz w:val="22"/>
        </w:rPr>
        <w:t>the</w:t>
      </w:r>
      <w:r>
        <w:rPr>
          <w:spacing w:val="-1"/>
          <w:sz w:val="22"/>
        </w:rPr>
        <w:t> </w:t>
      </w:r>
      <w:r>
        <w:rPr>
          <w:sz w:val="22"/>
        </w:rPr>
        <w:t>anticipated</w:t>
      </w:r>
      <w:r>
        <w:rPr>
          <w:spacing w:val="-1"/>
          <w:sz w:val="22"/>
        </w:rPr>
        <w:t> </w:t>
      </w:r>
      <w:r>
        <w:rPr>
          <w:sz w:val="22"/>
        </w:rPr>
        <w:t>amount</w:t>
      </w:r>
      <w:r>
        <w:rPr>
          <w:spacing w:val="-1"/>
          <w:sz w:val="22"/>
        </w:rPr>
        <w:t> </w:t>
      </w:r>
      <w:r>
        <w:rPr>
          <w:sz w:val="22"/>
        </w:rPr>
        <w:t>of CP</w:t>
      </w:r>
      <w:r>
        <w:rPr>
          <w:spacing w:val="-2"/>
          <w:sz w:val="22"/>
        </w:rPr>
        <w:t> </w:t>
      </w:r>
      <w:r>
        <w:rPr>
          <w:sz w:val="22"/>
        </w:rPr>
        <w:t>and</w:t>
      </w:r>
      <w:r>
        <w:rPr>
          <w:spacing w:val="-4"/>
          <w:sz w:val="22"/>
        </w:rPr>
        <w:t> </w:t>
      </w:r>
      <w:r>
        <w:rPr>
          <w:sz w:val="22"/>
        </w:rPr>
        <w:t>CSA</w:t>
      </w:r>
      <w:r>
        <w:rPr>
          <w:spacing w:val="-3"/>
          <w:sz w:val="22"/>
        </w:rPr>
        <w:t> </w:t>
      </w:r>
      <w:r>
        <w:rPr>
          <w:sz w:val="22"/>
        </w:rPr>
        <w:t>funding</w:t>
      </w:r>
      <w:r>
        <w:rPr>
          <w:spacing w:val="-4"/>
          <w:sz w:val="22"/>
        </w:rPr>
        <w:t> </w:t>
      </w:r>
      <w:r>
        <w:rPr>
          <w:sz w:val="22"/>
        </w:rPr>
        <w:t>that</w:t>
      </w:r>
      <w:r>
        <w:rPr>
          <w:spacing w:val="-3"/>
          <w:sz w:val="22"/>
        </w:rPr>
        <w:t> </w:t>
      </w:r>
      <w:r>
        <w:rPr>
          <w:sz w:val="22"/>
        </w:rPr>
        <w:t>is</w:t>
      </w:r>
      <w:r>
        <w:rPr>
          <w:spacing w:val="-3"/>
          <w:sz w:val="22"/>
        </w:rPr>
        <w:t> </w:t>
      </w:r>
      <w:r>
        <w:rPr>
          <w:sz w:val="22"/>
        </w:rPr>
        <w:t>at</w:t>
      </w:r>
      <w:r>
        <w:rPr>
          <w:spacing w:val="-4"/>
          <w:sz w:val="22"/>
        </w:rPr>
        <w:t> </w:t>
      </w:r>
      <w:r>
        <w:rPr>
          <w:sz w:val="22"/>
        </w:rPr>
        <w:t>risk</w:t>
      </w:r>
      <w:r>
        <w:rPr>
          <w:spacing w:val="-6"/>
          <w:sz w:val="22"/>
        </w:rPr>
        <w:t> </w:t>
      </w:r>
      <w:r>
        <w:rPr>
          <w:sz w:val="22"/>
        </w:rPr>
        <w:t>by</w:t>
      </w:r>
      <w:r>
        <w:rPr>
          <w:spacing w:val="-4"/>
          <w:sz w:val="22"/>
        </w:rPr>
        <w:t> </w:t>
      </w:r>
      <w:r>
        <w:rPr>
          <w:sz w:val="22"/>
        </w:rPr>
        <w:t>budget </w:t>
      </w:r>
      <w:r>
        <w:rPr>
          <w:spacing w:val="-2"/>
          <w:sz w:val="22"/>
        </w:rPr>
        <w:t>period.</w:t>
      </w:r>
    </w:p>
    <w:p>
      <w:pPr>
        <w:spacing w:before="198"/>
        <w:ind w:left="1220" w:right="1111" w:firstLine="0"/>
        <w:jc w:val="left"/>
        <w:rPr>
          <w:sz w:val="22"/>
        </w:rPr>
      </w:pPr>
      <w:r>
        <w:rPr>
          <w:sz w:val="22"/>
        </w:rPr>
        <w:t>EXHIBIT 22 – Amount of At-Risk CP and CSA Infrastructure and Capacity</w:t>
      </w:r>
      <w:r>
        <w:rPr>
          <w:spacing w:val="-2"/>
          <w:sz w:val="22"/>
        </w:rPr>
        <w:t> </w:t>
      </w:r>
      <w:r>
        <w:rPr>
          <w:sz w:val="22"/>
        </w:rPr>
        <w:t>Building</w:t>
      </w:r>
      <w:r>
        <w:rPr>
          <w:spacing w:val="-2"/>
          <w:sz w:val="22"/>
        </w:rPr>
        <w:t> </w:t>
      </w:r>
      <w:r>
        <w:rPr>
          <w:sz w:val="22"/>
        </w:rPr>
        <w:t>Funding</w:t>
      </w:r>
      <w:r>
        <w:rPr>
          <w:spacing w:val="-2"/>
          <w:sz w:val="22"/>
        </w:rPr>
        <w:t> </w:t>
      </w:r>
      <w:r>
        <w:rPr>
          <w:sz w:val="22"/>
        </w:rPr>
        <w:t>by Budget </w:t>
      </w:r>
      <w:r>
        <w:rPr>
          <w:spacing w:val="-2"/>
          <w:sz w:val="22"/>
        </w:rPr>
        <w:t>Period</w:t>
      </w:r>
    </w:p>
    <w:tbl>
      <w:tblPr>
        <w:tblW w:w="0" w:type="auto"/>
        <w:jc w:val="left"/>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7"/>
        <w:gridCol w:w="3002"/>
        <w:gridCol w:w="996"/>
        <w:gridCol w:w="763"/>
        <w:gridCol w:w="921"/>
        <w:gridCol w:w="950"/>
        <w:gridCol w:w="950"/>
        <w:gridCol w:w="950"/>
        <w:gridCol w:w="412"/>
      </w:tblGrid>
      <w:tr>
        <w:trPr>
          <w:trHeight w:val="407" w:hRule="atLeast"/>
        </w:trPr>
        <w:tc>
          <w:tcPr>
            <w:tcW w:w="427" w:type="dxa"/>
            <w:vMerge w:val="restart"/>
            <w:tcBorders>
              <w:left w:val="nil"/>
              <w:right w:val="single" w:sz="8" w:space="0" w:color="BEBEBE"/>
            </w:tcBorders>
          </w:tcPr>
          <w:p>
            <w:pPr>
              <w:pStyle w:val="TableParagraph"/>
              <w:rPr>
                <w:sz w:val="20"/>
              </w:rPr>
            </w:pPr>
          </w:p>
        </w:tc>
        <w:tc>
          <w:tcPr>
            <w:tcW w:w="8532" w:type="dxa"/>
            <w:gridSpan w:val="7"/>
            <w:tcBorders>
              <w:top w:val="single" w:sz="12" w:space="0" w:color="BEBEBE"/>
              <w:left w:val="single" w:sz="8" w:space="0" w:color="BEBEBE"/>
              <w:bottom w:val="single" w:sz="4" w:space="0" w:color="BEBEBE"/>
              <w:right w:val="single" w:sz="8" w:space="0" w:color="BEBEBE"/>
            </w:tcBorders>
            <w:shd w:val="clear" w:color="auto" w:fill="1F487C"/>
          </w:tcPr>
          <w:p>
            <w:pPr>
              <w:pStyle w:val="TableParagraph"/>
              <w:spacing w:before="7"/>
              <w:ind w:left="98"/>
              <w:rPr>
                <w:b/>
                <w:sz w:val="20"/>
              </w:rPr>
            </w:pPr>
            <w:r>
              <w:rPr>
                <w:b/>
                <w:color w:val="FFFFFF"/>
                <w:sz w:val="20"/>
              </w:rPr>
              <w:t>Percent</w:t>
            </w:r>
            <w:r>
              <w:rPr>
                <w:b/>
                <w:color w:val="FFFFFF"/>
                <w:spacing w:val="-6"/>
                <w:sz w:val="20"/>
              </w:rPr>
              <w:t> </w:t>
            </w:r>
            <w:r>
              <w:rPr>
                <w:b/>
                <w:color w:val="FFFFFF"/>
                <w:sz w:val="20"/>
              </w:rPr>
              <w:t>of</w:t>
            </w:r>
            <w:r>
              <w:rPr>
                <w:b/>
                <w:color w:val="FFFFFF"/>
                <w:spacing w:val="-5"/>
                <w:sz w:val="20"/>
              </w:rPr>
              <w:t> </w:t>
            </w:r>
            <w:r>
              <w:rPr>
                <w:b/>
                <w:color w:val="FFFFFF"/>
                <w:sz w:val="20"/>
              </w:rPr>
              <w:t>CP</w:t>
            </w:r>
            <w:r>
              <w:rPr>
                <w:b/>
                <w:color w:val="FFFFFF"/>
                <w:spacing w:val="-5"/>
                <w:sz w:val="20"/>
              </w:rPr>
              <w:t> </w:t>
            </w:r>
            <w:r>
              <w:rPr>
                <w:b/>
                <w:color w:val="FFFFFF"/>
                <w:sz w:val="20"/>
              </w:rPr>
              <w:t>and</w:t>
            </w:r>
            <w:r>
              <w:rPr>
                <w:b/>
                <w:color w:val="FFFFFF"/>
                <w:spacing w:val="-7"/>
                <w:sz w:val="20"/>
              </w:rPr>
              <w:t> </w:t>
            </w:r>
            <w:r>
              <w:rPr>
                <w:b/>
                <w:color w:val="FFFFFF"/>
                <w:sz w:val="20"/>
              </w:rPr>
              <w:t>CSA</w:t>
            </w:r>
            <w:r>
              <w:rPr>
                <w:b/>
                <w:color w:val="FFFFFF"/>
                <w:spacing w:val="-7"/>
                <w:sz w:val="20"/>
              </w:rPr>
              <w:t> </w:t>
            </w:r>
            <w:r>
              <w:rPr>
                <w:b/>
                <w:color w:val="FFFFFF"/>
                <w:sz w:val="20"/>
              </w:rPr>
              <w:t>Infrastructure</w:t>
            </w:r>
            <w:r>
              <w:rPr>
                <w:b/>
                <w:color w:val="FFFFFF"/>
                <w:spacing w:val="-6"/>
                <w:sz w:val="20"/>
              </w:rPr>
              <w:t> </w:t>
            </w:r>
            <w:r>
              <w:rPr>
                <w:b/>
                <w:color w:val="FFFFFF"/>
                <w:sz w:val="20"/>
              </w:rPr>
              <w:t>and</w:t>
            </w:r>
            <w:r>
              <w:rPr>
                <w:b/>
                <w:color w:val="FFFFFF"/>
                <w:spacing w:val="-7"/>
                <w:sz w:val="20"/>
              </w:rPr>
              <w:t> </w:t>
            </w:r>
            <w:r>
              <w:rPr>
                <w:b/>
                <w:color w:val="FFFFFF"/>
                <w:sz w:val="20"/>
              </w:rPr>
              <w:t>Capacity</w:t>
            </w:r>
            <w:r>
              <w:rPr>
                <w:b/>
                <w:color w:val="FFFFFF"/>
                <w:spacing w:val="-5"/>
                <w:sz w:val="20"/>
              </w:rPr>
              <w:t> </w:t>
            </w:r>
            <w:r>
              <w:rPr>
                <w:b/>
                <w:color w:val="FFFFFF"/>
                <w:sz w:val="20"/>
              </w:rPr>
              <w:t>Building</w:t>
            </w:r>
            <w:r>
              <w:rPr>
                <w:b/>
                <w:color w:val="FFFFFF"/>
                <w:spacing w:val="-6"/>
                <w:sz w:val="20"/>
              </w:rPr>
              <w:t> </w:t>
            </w:r>
            <w:r>
              <w:rPr>
                <w:b/>
                <w:color w:val="FFFFFF"/>
                <w:sz w:val="20"/>
              </w:rPr>
              <w:t>Funding</w:t>
            </w:r>
            <w:r>
              <w:rPr>
                <w:b/>
                <w:color w:val="FFFFFF"/>
                <w:spacing w:val="-5"/>
                <w:sz w:val="20"/>
              </w:rPr>
              <w:t> </w:t>
            </w:r>
            <w:r>
              <w:rPr>
                <w:b/>
                <w:color w:val="FFFFFF"/>
                <w:sz w:val="20"/>
              </w:rPr>
              <w:t>At-Risk</w:t>
            </w:r>
            <w:r>
              <w:rPr>
                <w:b/>
                <w:color w:val="FFFFFF"/>
                <w:spacing w:val="-9"/>
                <w:sz w:val="20"/>
              </w:rPr>
              <w:t> </w:t>
            </w:r>
            <w:r>
              <w:rPr>
                <w:b/>
                <w:color w:val="FFFFFF"/>
                <w:sz w:val="20"/>
              </w:rPr>
              <w:t>by</w:t>
            </w:r>
            <w:r>
              <w:rPr>
                <w:b/>
                <w:color w:val="FFFFFF"/>
                <w:spacing w:val="-5"/>
                <w:sz w:val="20"/>
              </w:rPr>
              <w:t> </w:t>
            </w:r>
            <w:r>
              <w:rPr>
                <w:b/>
                <w:color w:val="FFFFFF"/>
                <w:sz w:val="20"/>
              </w:rPr>
              <w:t>Budget</w:t>
            </w:r>
            <w:r>
              <w:rPr>
                <w:b/>
                <w:color w:val="FFFFFF"/>
                <w:spacing w:val="-5"/>
                <w:sz w:val="20"/>
              </w:rPr>
              <w:t> </w:t>
            </w:r>
            <w:r>
              <w:rPr>
                <w:b/>
                <w:color w:val="FFFFFF"/>
                <w:spacing w:val="-2"/>
                <w:sz w:val="20"/>
              </w:rPr>
              <w:t>Period</w:t>
            </w:r>
          </w:p>
        </w:tc>
        <w:tc>
          <w:tcPr>
            <w:tcW w:w="412" w:type="dxa"/>
            <w:vMerge w:val="restart"/>
            <w:tcBorders>
              <w:left w:val="single" w:sz="8" w:space="0" w:color="BEBEBE"/>
              <w:right w:val="nil"/>
            </w:tcBorders>
          </w:tcPr>
          <w:p>
            <w:pPr>
              <w:pStyle w:val="TableParagraph"/>
              <w:rPr>
                <w:sz w:val="20"/>
              </w:rPr>
            </w:pPr>
          </w:p>
        </w:tc>
      </w:tr>
      <w:tr>
        <w:trPr>
          <w:trHeight w:val="407" w:hRule="atLeast"/>
        </w:trPr>
        <w:tc>
          <w:tcPr>
            <w:tcW w:w="427" w:type="dxa"/>
            <w:vMerge/>
            <w:tcBorders>
              <w:top w:val="nil"/>
              <w:left w:val="nil"/>
              <w:right w:val="single" w:sz="8" w:space="0" w:color="BEBEBE"/>
            </w:tcBorders>
          </w:tcPr>
          <w:p>
            <w:pPr>
              <w:rPr>
                <w:sz w:val="2"/>
                <w:szCs w:val="2"/>
              </w:rPr>
            </w:pPr>
          </w:p>
        </w:tc>
        <w:tc>
          <w:tcPr>
            <w:tcW w:w="3002" w:type="dxa"/>
            <w:tcBorders>
              <w:top w:val="single" w:sz="4" w:space="0" w:color="BEBEBE"/>
              <w:left w:val="single" w:sz="8" w:space="0" w:color="BEBEBE"/>
              <w:bottom w:val="single" w:sz="4" w:space="0" w:color="BEBEBE"/>
              <w:right w:val="single" w:sz="4" w:space="0" w:color="BEBEBE"/>
            </w:tcBorders>
            <w:shd w:val="clear" w:color="auto" w:fill="D9D9D9"/>
          </w:tcPr>
          <w:p>
            <w:pPr>
              <w:pStyle w:val="TableParagraph"/>
              <w:spacing w:before="7"/>
              <w:ind w:left="98"/>
              <w:rPr>
                <w:b/>
                <w:sz w:val="20"/>
              </w:rPr>
            </w:pPr>
            <w:r>
              <w:rPr>
                <w:b/>
                <w:sz w:val="20"/>
              </w:rPr>
              <w:t>DSRIP</w:t>
            </w:r>
            <w:r>
              <w:rPr>
                <w:b/>
                <w:spacing w:val="-7"/>
                <w:sz w:val="20"/>
              </w:rPr>
              <w:t> </w:t>
            </w:r>
            <w:r>
              <w:rPr>
                <w:b/>
                <w:sz w:val="20"/>
              </w:rPr>
              <w:t>Budget</w:t>
            </w:r>
            <w:r>
              <w:rPr>
                <w:b/>
                <w:spacing w:val="-6"/>
                <w:sz w:val="20"/>
              </w:rPr>
              <w:t> </w:t>
            </w:r>
            <w:r>
              <w:rPr>
                <w:b/>
                <w:spacing w:val="-2"/>
                <w:sz w:val="20"/>
              </w:rPr>
              <w:t>Period</w:t>
            </w:r>
          </w:p>
        </w:tc>
        <w:tc>
          <w:tcPr>
            <w:tcW w:w="996"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before="7"/>
              <w:ind w:left="122" w:right="122"/>
              <w:jc w:val="center"/>
              <w:rPr>
                <w:b/>
                <w:sz w:val="20"/>
              </w:rPr>
            </w:pPr>
            <w:r>
              <w:rPr>
                <w:b/>
                <w:sz w:val="20"/>
              </w:rPr>
              <w:t>Prep</w:t>
            </w:r>
            <w:r>
              <w:rPr>
                <w:b/>
                <w:spacing w:val="-5"/>
                <w:sz w:val="20"/>
              </w:rPr>
              <w:t> BP</w:t>
            </w:r>
          </w:p>
        </w:tc>
        <w:tc>
          <w:tcPr>
            <w:tcW w:w="763"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before="7"/>
              <w:ind w:left="187" w:right="185"/>
              <w:jc w:val="center"/>
              <w:rPr>
                <w:b/>
                <w:sz w:val="20"/>
              </w:rPr>
            </w:pPr>
            <w:r>
              <w:rPr>
                <w:b/>
                <w:spacing w:val="-5"/>
                <w:sz w:val="20"/>
              </w:rPr>
              <w:t>BP1</w:t>
            </w:r>
          </w:p>
        </w:tc>
        <w:tc>
          <w:tcPr>
            <w:tcW w:w="921"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before="7"/>
              <w:ind w:left="279"/>
              <w:rPr>
                <w:b/>
                <w:sz w:val="20"/>
              </w:rPr>
            </w:pPr>
            <w:r>
              <w:rPr>
                <w:b/>
                <w:spacing w:val="-5"/>
                <w:sz w:val="20"/>
              </w:rPr>
              <w:t>BP2</w:t>
            </w:r>
          </w:p>
        </w:tc>
        <w:tc>
          <w:tcPr>
            <w:tcW w:w="950"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before="7"/>
              <w:ind w:left="156" w:right="152"/>
              <w:jc w:val="center"/>
              <w:rPr>
                <w:b/>
                <w:sz w:val="20"/>
              </w:rPr>
            </w:pPr>
            <w:r>
              <w:rPr>
                <w:b/>
                <w:spacing w:val="-5"/>
                <w:sz w:val="20"/>
              </w:rPr>
              <w:t>BP3</w:t>
            </w:r>
          </w:p>
        </w:tc>
        <w:tc>
          <w:tcPr>
            <w:tcW w:w="950"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before="7"/>
              <w:ind w:left="157" w:right="152"/>
              <w:jc w:val="center"/>
              <w:rPr>
                <w:b/>
                <w:sz w:val="20"/>
              </w:rPr>
            </w:pPr>
            <w:r>
              <w:rPr>
                <w:b/>
                <w:spacing w:val="-5"/>
                <w:sz w:val="20"/>
              </w:rPr>
              <w:t>BP4</w:t>
            </w:r>
          </w:p>
        </w:tc>
        <w:tc>
          <w:tcPr>
            <w:tcW w:w="950" w:type="dxa"/>
            <w:tcBorders>
              <w:top w:val="single" w:sz="4" w:space="0" w:color="BEBEBE"/>
              <w:left w:val="single" w:sz="4" w:space="0" w:color="BEBEBE"/>
              <w:bottom w:val="single" w:sz="4" w:space="0" w:color="BEBEBE"/>
              <w:right w:val="single" w:sz="8" w:space="0" w:color="BEBEBE"/>
            </w:tcBorders>
            <w:shd w:val="clear" w:color="auto" w:fill="D9D9D9"/>
          </w:tcPr>
          <w:p>
            <w:pPr>
              <w:pStyle w:val="TableParagraph"/>
              <w:spacing w:before="7"/>
              <w:ind w:right="281"/>
              <w:jc w:val="right"/>
              <w:rPr>
                <w:b/>
                <w:sz w:val="20"/>
              </w:rPr>
            </w:pPr>
            <w:r>
              <w:rPr>
                <w:b/>
                <w:spacing w:val="-5"/>
                <w:sz w:val="20"/>
              </w:rPr>
              <w:t>BP5</w:t>
            </w:r>
          </w:p>
        </w:tc>
        <w:tc>
          <w:tcPr>
            <w:tcW w:w="412" w:type="dxa"/>
            <w:vMerge/>
            <w:tcBorders>
              <w:top w:val="nil"/>
              <w:left w:val="single" w:sz="8" w:space="0" w:color="BEBEBE"/>
              <w:right w:val="nil"/>
            </w:tcBorders>
          </w:tcPr>
          <w:p>
            <w:pPr>
              <w:rPr>
                <w:sz w:val="2"/>
                <w:szCs w:val="2"/>
              </w:rPr>
            </w:pPr>
          </w:p>
        </w:tc>
      </w:tr>
      <w:tr>
        <w:trPr>
          <w:trHeight w:val="904" w:hRule="atLeast"/>
        </w:trPr>
        <w:tc>
          <w:tcPr>
            <w:tcW w:w="427" w:type="dxa"/>
            <w:vMerge/>
            <w:tcBorders>
              <w:top w:val="nil"/>
              <w:left w:val="nil"/>
              <w:right w:val="single" w:sz="8" w:space="0" w:color="BEBEBE"/>
            </w:tcBorders>
          </w:tcPr>
          <w:p>
            <w:pPr>
              <w:rPr>
                <w:sz w:val="2"/>
                <w:szCs w:val="2"/>
              </w:rPr>
            </w:pPr>
          </w:p>
        </w:tc>
        <w:tc>
          <w:tcPr>
            <w:tcW w:w="3002" w:type="dxa"/>
            <w:tcBorders>
              <w:top w:val="single" w:sz="4" w:space="0" w:color="BEBEBE"/>
              <w:left w:val="single" w:sz="8" w:space="0" w:color="BEBEBE"/>
              <w:bottom w:val="single" w:sz="4" w:space="0" w:color="BEBEBE"/>
              <w:right w:val="single" w:sz="4" w:space="0" w:color="BEBEBE"/>
            </w:tcBorders>
            <w:shd w:val="clear" w:color="auto" w:fill="DCE6F0"/>
          </w:tcPr>
          <w:p>
            <w:pPr>
              <w:pStyle w:val="TableParagraph"/>
              <w:spacing w:line="256" w:lineRule="auto" w:before="9"/>
              <w:ind w:left="98" w:right="102"/>
              <w:jc w:val="both"/>
              <w:rPr>
                <w:sz w:val="20"/>
              </w:rPr>
            </w:pPr>
            <w:r>
              <w:rPr>
                <w:sz w:val="20"/>
              </w:rPr>
              <w:t>% of CP Infrastructure and Capacity Building Funding At- </w:t>
            </w:r>
            <w:r>
              <w:rPr>
                <w:spacing w:val="-4"/>
                <w:sz w:val="20"/>
              </w:rPr>
              <w:t>Risk</w:t>
            </w:r>
          </w:p>
        </w:tc>
        <w:tc>
          <w:tcPr>
            <w:tcW w:w="996" w:type="dxa"/>
            <w:tcBorders>
              <w:top w:val="single" w:sz="4" w:space="0" w:color="BEBEBE"/>
              <w:left w:val="single" w:sz="4" w:space="0" w:color="BEBEBE"/>
              <w:bottom w:val="single" w:sz="4" w:space="0" w:color="BEBEBE"/>
              <w:right w:val="single" w:sz="4" w:space="0" w:color="BEBEBE"/>
            </w:tcBorders>
          </w:tcPr>
          <w:p>
            <w:pPr>
              <w:pStyle w:val="TableParagraph"/>
              <w:spacing w:before="7"/>
              <w:ind w:left="122" w:right="120"/>
              <w:jc w:val="center"/>
              <w:rPr>
                <w:sz w:val="20"/>
              </w:rPr>
            </w:pPr>
            <w:r>
              <w:rPr>
                <w:spacing w:val="-5"/>
                <w:sz w:val="20"/>
              </w:rPr>
              <w:t>0%</w:t>
            </w:r>
          </w:p>
        </w:tc>
        <w:tc>
          <w:tcPr>
            <w:tcW w:w="763" w:type="dxa"/>
            <w:tcBorders>
              <w:top w:val="single" w:sz="4" w:space="0" w:color="BEBEBE"/>
              <w:left w:val="single" w:sz="4" w:space="0" w:color="BEBEBE"/>
              <w:bottom w:val="single" w:sz="4" w:space="0" w:color="BEBEBE"/>
              <w:right w:val="single" w:sz="4" w:space="0" w:color="BEBEBE"/>
            </w:tcBorders>
          </w:tcPr>
          <w:p>
            <w:pPr>
              <w:pStyle w:val="TableParagraph"/>
              <w:spacing w:before="7"/>
              <w:ind w:left="185" w:right="185"/>
              <w:jc w:val="center"/>
              <w:rPr>
                <w:sz w:val="20"/>
              </w:rPr>
            </w:pPr>
            <w:r>
              <w:rPr>
                <w:spacing w:val="-5"/>
                <w:sz w:val="20"/>
              </w:rPr>
              <w:t>0%</w:t>
            </w:r>
          </w:p>
        </w:tc>
        <w:tc>
          <w:tcPr>
            <w:tcW w:w="921" w:type="dxa"/>
            <w:tcBorders>
              <w:top w:val="single" w:sz="4" w:space="0" w:color="BEBEBE"/>
              <w:left w:val="single" w:sz="4" w:space="0" w:color="BEBEBE"/>
              <w:bottom w:val="single" w:sz="4" w:space="0" w:color="BEBEBE"/>
              <w:right w:val="single" w:sz="4" w:space="0" w:color="BEBEBE"/>
            </w:tcBorders>
          </w:tcPr>
          <w:p>
            <w:pPr>
              <w:pStyle w:val="TableParagraph"/>
              <w:spacing w:before="7"/>
              <w:ind w:left="271"/>
              <w:rPr>
                <w:sz w:val="20"/>
              </w:rPr>
            </w:pPr>
            <w:r>
              <w:rPr>
                <w:spacing w:val="-5"/>
                <w:sz w:val="20"/>
              </w:rPr>
              <w:t>13%</w:t>
            </w:r>
          </w:p>
        </w:tc>
        <w:tc>
          <w:tcPr>
            <w:tcW w:w="950" w:type="dxa"/>
            <w:tcBorders>
              <w:top w:val="single" w:sz="4" w:space="0" w:color="BEBEBE"/>
              <w:left w:val="single" w:sz="4" w:space="0" w:color="BEBEBE"/>
              <w:bottom w:val="single" w:sz="4" w:space="0" w:color="BEBEBE"/>
              <w:right w:val="single" w:sz="4" w:space="0" w:color="BEBEBE"/>
            </w:tcBorders>
          </w:tcPr>
          <w:p>
            <w:pPr>
              <w:pStyle w:val="TableParagraph"/>
              <w:spacing w:before="7"/>
              <w:ind w:left="154" w:right="152"/>
              <w:jc w:val="center"/>
              <w:rPr>
                <w:sz w:val="20"/>
              </w:rPr>
            </w:pPr>
            <w:r>
              <w:rPr>
                <w:spacing w:val="-5"/>
                <w:sz w:val="20"/>
              </w:rPr>
              <w:t>42%</w:t>
            </w:r>
          </w:p>
        </w:tc>
        <w:tc>
          <w:tcPr>
            <w:tcW w:w="950" w:type="dxa"/>
            <w:tcBorders>
              <w:top w:val="single" w:sz="4" w:space="0" w:color="BEBEBE"/>
              <w:left w:val="single" w:sz="4" w:space="0" w:color="BEBEBE"/>
              <w:bottom w:val="single" w:sz="4" w:space="0" w:color="BEBEBE"/>
              <w:right w:val="single" w:sz="4" w:space="0" w:color="BEBEBE"/>
            </w:tcBorders>
          </w:tcPr>
          <w:p>
            <w:pPr>
              <w:pStyle w:val="TableParagraph"/>
              <w:spacing w:before="7"/>
              <w:ind w:left="155" w:right="152"/>
              <w:jc w:val="center"/>
              <w:rPr>
                <w:sz w:val="20"/>
              </w:rPr>
            </w:pPr>
            <w:r>
              <w:rPr>
                <w:spacing w:val="-5"/>
                <w:sz w:val="20"/>
              </w:rPr>
              <w:t>71%</w:t>
            </w:r>
          </w:p>
        </w:tc>
        <w:tc>
          <w:tcPr>
            <w:tcW w:w="950" w:type="dxa"/>
            <w:tcBorders>
              <w:top w:val="single" w:sz="4" w:space="0" w:color="BEBEBE"/>
              <w:left w:val="single" w:sz="4" w:space="0" w:color="BEBEBE"/>
              <w:bottom w:val="single" w:sz="4" w:space="0" w:color="BEBEBE"/>
              <w:right w:val="single" w:sz="8" w:space="0" w:color="BEBEBE"/>
            </w:tcBorders>
          </w:tcPr>
          <w:p>
            <w:pPr>
              <w:pStyle w:val="TableParagraph"/>
              <w:spacing w:before="7"/>
              <w:ind w:right="223"/>
              <w:jc w:val="right"/>
              <w:rPr>
                <w:sz w:val="20"/>
              </w:rPr>
            </w:pPr>
            <w:r>
              <w:rPr>
                <w:spacing w:val="-4"/>
                <w:sz w:val="20"/>
              </w:rPr>
              <w:t>100%</w:t>
            </w:r>
          </w:p>
        </w:tc>
        <w:tc>
          <w:tcPr>
            <w:tcW w:w="412" w:type="dxa"/>
            <w:vMerge/>
            <w:tcBorders>
              <w:top w:val="nil"/>
              <w:left w:val="single" w:sz="8" w:space="0" w:color="BEBEBE"/>
              <w:right w:val="nil"/>
            </w:tcBorders>
          </w:tcPr>
          <w:p>
            <w:pPr>
              <w:rPr>
                <w:sz w:val="2"/>
                <w:szCs w:val="2"/>
              </w:rPr>
            </w:pPr>
          </w:p>
        </w:tc>
      </w:tr>
      <w:tr>
        <w:trPr>
          <w:trHeight w:val="410" w:hRule="atLeast"/>
        </w:trPr>
        <w:tc>
          <w:tcPr>
            <w:tcW w:w="427" w:type="dxa"/>
            <w:vMerge/>
            <w:tcBorders>
              <w:top w:val="nil"/>
              <w:left w:val="nil"/>
              <w:right w:val="single" w:sz="8" w:space="0" w:color="BEBEBE"/>
            </w:tcBorders>
          </w:tcPr>
          <w:p>
            <w:pPr>
              <w:rPr>
                <w:sz w:val="2"/>
                <w:szCs w:val="2"/>
              </w:rPr>
            </w:pPr>
          </w:p>
        </w:tc>
        <w:tc>
          <w:tcPr>
            <w:tcW w:w="3002" w:type="dxa"/>
            <w:tcBorders>
              <w:top w:val="single" w:sz="4" w:space="0" w:color="BEBEBE"/>
              <w:left w:val="single" w:sz="8" w:space="0" w:color="BEBEBE"/>
              <w:right w:val="single" w:sz="4" w:space="0" w:color="BEBEBE"/>
            </w:tcBorders>
            <w:shd w:val="clear" w:color="auto" w:fill="DCE6F0"/>
          </w:tcPr>
          <w:p>
            <w:pPr>
              <w:pStyle w:val="TableParagraph"/>
              <w:spacing w:before="9"/>
              <w:ind w:left="98"/>
              <w:rPr>
                <w:sz w:val="20"/>
              </w:rPr>
            </w:pPr>
            <w:r>
              <w:rPr>
                <w:sz w:val="20"/>
              </w:rPr>
              <w:t>%</w:t>
            </w:r>
            <w:r>
              <w:rPr>
                <w:spacing w:val="-5"/>
                <w:sz w:val="20"/>
              </w:rPr>
              <w:t> </w:t>
            </w:r>
            <w:r>
              <w:rPr>
                <w:sz w:val="20"/>
              </w:rPr>
              <w:t>of</w:t>
            </w:r>
            <w:r>
              <w:rPr>
                <w:spacing w:val="-6"/>
                <w:sz w:val="20"/>
              </w:rPr>
              <w:t> </w:t>
            </w:r>
            <w:r>
              <w:rPr>
                <w:sz w:val="20"/>
              </w:rPr>
              <w:t>CSA</w:t>
            </w:r>
            <w:r>
              <w:rPr>
                <w:spacing w:val="-4"/>
                <w:sz w:val="20"/>
              </w:rPr>
              <w:t> </w:t>
            </w:r>
            <w:r>
              <w:rPr>
                <w:sz w:val="20"/>
              </w:rPr>
              <w:t>Funding</w:t>
            </w:r>
            <w:r>
              <w:rPr>
                <w:spacing w:val="-3"/>
                <w:sz w:val="20"/>
              </w:rPr>
              <w:t> </w:t>
            </w:r>
            <w:r>
              <w:rPr>
                <w:sz w:val="20"/>
              </w:rPr>
              <w:t>At-</w:t>
            </w:r>
            <w:r>
              <w:rPr>
                <w:spacing w:val="-4"/>
                <w:sz w:val="20"/>
              </w:rPr>
              <w:t>Risk</w:t>
            </w:r>
          </w:p>
        </w:tc>
        <w:tc>
          <w:tcPr>
            <w:tcW w:w="996" w:type="dxa"/>
            <w:tcBorders>
              <w:top w:val="single" w:sz="4" w:space="0" w:color="BEBEBE"/>
              <w:left w:val="single" w:sz="4" w:space="0" w:color="BEBEBE"/>
              <w:right w:val="single" w:sz="4" w:space="0" w:color="BEBEBE"/>
            </w:tcBorders>
          </w:tcPr>
          <w:p>
            <w:pPr>
              <w:pStyle w:val="TableParagraph"/>
              <w:spacing w:before="9"/>
              <w:ind w:left="122" w:right="120"/>
              <w:jc w:val="center"/>
              <w:rPr>
                <w:sz w:val="20"/>
              </w:rPr>
            </w:pPr>
            <w:r>
              <w:rPr>
                <w:spacing w:val="-5"/>
                <w:sz w:val="20"/>
              </w:rPr>
              <w:t>0%</w:t>
            </w:r>
          </w:p>
        </w:tc>
        <w:tc>
          <w:tcPr>
            <w:tcW w:w="763" w:type="dxa"/>
            <w:tcBorders>
              <w:top w:val="single" w:sz="4" w:space="0" w:color="BEBEBE"/>
              <w:left w:val="single" w:sz="4" w:space="0" w:color="BEBEBE"/>
              <w:right w:val="single" w:sz="4" w:space="0" w:color="BEBEBE"/>
            </w:tcBorders>
          </w:tcPr>
          <w:p>
            <w:pPr>
              <w:pStyle w:val="TableParagraph"/>
              <w:spacing w:before="9"/>
              <w:ind w:left="185" w:right="185"/>
              <w:jc w:val="center"/>
              <w:rPr>
                <w:sz w:val="20"/>
              </w:rPr>
            </w:pPr>
            <w:r>
              <w:rPr>
                <w:spacing w:val="-5"/>
                <w:sz w:val="20"/>
              </w:rPr>
              <w:t>0%</w:t>
            </w:r>
          </w:p>
        </w:tc>
        <w:tc>
          <w:tcPr>
            <w:tcW w:w="921" w:type="dxa"/>
            <w:tcBorders>
              <w:top w:val="single" w:sz="4" w:space="0" w:color="BEBEBE"/>
              <w:left w:val="single" w:sz="4" w:space="0" w:color="BEBEBE"/>
              <w:right w:val="single" w:sz="4" w:space="0" w:color="BEBEBE"/>
            </w:tcBorders>
          </w:tcPr>
          <w:p>
            <w:pPr>
              <w:pStyle w:val="TableParagraph"/>
              <w:spacing w:before="9"/>
              <w:ind w:left="322"/>
              <w:rPr>
                <w:sz w:val="20"/>
              </w:rPr>
            </w:pPr>
            <w:r>
              <w:rPr>
                <w:spacing w:val="-5"/>
                <w:sz w:val="20"/>
              </w:rPr>
              <w:t>5%</w:t>
            </w:r>
          </w:p>
        </w:tc>
        <w:tc>
          <w:tcPr>
            <w:tcW w:w="950" w:type="dxa"/>
            <w:tcBorders>
              <w:top w:val="single" w:sz="4" w:space="0" w:color="BEBEBE"/>
              <w:left w:val="single" w:sz="4" w:space="0" w:color="BEBEBE"/>
              <w:right w:val="single" w:sz="4" w:space="0" w:color="BEBEBE"/>
            </w:tcBorders>
          </w:tcPr>
          <w:p>
            <w:pPr>
              <w:pStyle w:val="TableParagraph"/>
              <w:spacing w:before="9"/>
              <w:ind w:left="154" w:right="152"/>
              <w:jc w:val="center"/>
              <w:rPr>
                <w:sz w:val="20"/>
              </w:rPr>
            </w:pPr>
            <w:r>
              <w:rPr>
                <w:spacing w:val="-5"/>
                <w:sz w:val="20"/>
              </w:rPr>
              <w:t>10%</w:t>
            </w:r>
          </w:p>
        </w:tc>
        <w:tc>
          <w:tcPr>
            <w:tcW w:w="950" w:type="dxa"/>
            <w:tcBorders>
              <w:top w:val="single" w:sz="4" w:space="0" w:color="BEBEBE"/>
              <w:left w:val="single" w:sz="4" w:space="0" w:color="BEBEBE"/>
              <w:right w:val="single" w:sz="4" w:space="0" w:color="BEBEBE"/>
            </w:tcBorders>
          </w:tcPr>
          <w:p>
            <w:pPr>
              <w:pStyle w:val="TableParagraph"/>
              <w:spacing w:before="9"/>
              <w:ind w:left="155" w:right="152"/>
              <w:jc w:val="center"/>
              <w:rPr>
                <w:sz w:val="20"/>
              </w:rPr>
            </w:pPr>
            <w:r>
              <w:rPr>
                <w:spacing w:val="-5"/>
                <w:sz w:val="20"/>
              </w:rPr>
              <w:t>15%</w:t>
            </w:r>
          </w:p>
        </w:tc>
        <w:tc>
          <w:tcPr>
            <w:tcW w:w="950" w:type="dxa"/>
            <w:tcBorders>
              <w:top w:val="single" w:sz="4" w:space="0" w:color="BEBEBE"/>
              <w:left w:val="single" w:sz="4" w:space="0" w:color="BEBEBE"/>
              <w:right w:val="single" w:sz="8" w:space="0" w:color="BEBEBE"/>
            </w:tcBorders>
          </w:tcPr>
          <w:p>
            <w:pPr>
              <w:pStyle w:val="TableParagraph"/>
              <w:spacing w:before="9"/>
              <w:ind w:right="276"/>
              <w:jc w:val="right"/>
              <w:rPr>
                <w:sz w:val="20"/>
              </w:rPr>
            </w:pPr>
            <w:r>
              <w:rPr>
                <w:spacing w:val="-5"/>
                <w:sz w:val="20"/>
              </w:rPr>
              <w:t>20%</w:t>
            </w:r>
          </w:p>
        </w:tc>
        <w:tc>
          <w:tcPr>
            <w:tcW w:w="412" w:type="dxa"/>
            <w:vMerge/>
            <w:tcBorders>
              <w:top w:val="nil"/>
              <w:left w:val="single" w:sz="8" w:space="0" w:color="BEBEBE"/>
              <w:right w:val="nil"/>
            </w:tcBorders>
          </w:tcPr>
          <w:p>
            <w:pPr>
              <w:rPr>
                <w:sz w:val="2"/>
                <w:szCs w:val="2"/>
              </w:rPr>
            </w:pPr>
          </w:p>
        </w:tc>
      </w:tr>
    </w:tbl>
    <w:p>
      <w:pPr>
        <w:spacing w:line="242" w:lineRule="auto" w:before="1"/>
        <w:ind w:left="1220" w:right="1094" w:firstLine="0"/>
        <w:jc w:val="both"/>
        <w:rPr>
          <w:sz w:val="22"/>
        </w:rPr>
      </w:pPr>
      <w:r>
        <w:rPr>
          <w:sz w:val="22"/>
        </w:rPr>
        <w:t>The</w:t>
      </w:r>
      <w:r>
        <w:rPr>
          <w:spacing w:val="-7"/>
          <w:sz w:val="22"/>
        </w:rPr>
        <w:t> </w:t>
      </w:r>
      <w:r>
        <w:rPr>
          <w:sz w:val="22"/>
        </w:rPr>
        <w:t>State</w:t>
      </w:r>
      <w:r>
        <w:rPr>
          <w:spacing w:val="-4"/>
          <w:sz w:val="22"/>
        </w:rPr>
        <w:t> </w:t>
      </w:r>
      <w:r>
        <w:rPr>
          <w:sz w:val="22"/>
        </w:rPr>
        <w:t>may</w:t>
      </w:r>
      <w:r>
        <w:rPr>
          <w:spacing w:val="-7"/>
          <w:sz w:val="22"/>
        </w:rPr>
        <w:t> </w:t>
      </w:r>
      <w:r>
        <w:rPr>
          <w:sz w:val="22"/>
        </w:rPr>
        <w:t>update</w:t>
      </w:r>
      <w:r>
        <w:rPr>
          <w:spacing w:val="-7"/>
          <w:sz w:val="22"/>
        </w:rPr>
        <w:t> </w:t>
      </w:r>
      <w:r>
        <w:rPr>
          <w:sz w:val="22"/>
        </w:rPr>
        <w:t>the</w:t>
      </w:r>
      <w:r>
        <w:rPr>
          <w:spacing w:val="-4"/>
          <w:sz w:val="22"/>
        </w:rPr>
        <w:t> </w:t>
      </w:r>
      <w:r>
        <w:rPr>
          <w:sz w:val="22"/>
        </w:rPr>
        <w:t>at-risk</w:t>
      </w:r>
      <w:r>
        <w:rPr>
          <w:spacing w:val="-7"/>
          <w:sz w:val="22"/>
        </w:rPr>
        <w:t> </w:t>
      </w:r>
      <w:r>
        <w:rPr>
          <w:sz w:val="22"/>
        </w:rPr>
        <w:t>percentages</w:t>
      </w:r>
      <w:r>
        <w:rPr>
          <w:spacing w:val="-7"/>
          <w:sz w:val="22"/>
        </w:rPr>
        <w:t> </w:t>
      </w:r>
      <w:r>
        <w:rPr>
          <w:sz w:val="22"/>
        </w:rPr>
        <w:t>for</w:t>
      </w:r>
      <w:r>
        <w:rPr>
          <w:spacing w:val="-6"/>
          <w:sz w:val="22"/>
        </w:rPr>
        <w:t> </w:t>
      </w:r>
      <w:r>
        <w:rPr>
          <w:sz w:val="22"/>
        </w:rPr>
        <w:t>CP</w:t>
      </w:r>
      <w:r>
        <w:rPr>
          <w:spacing w:val="-5"/>
          <w:sz w:val="22"/>
        </w:rPr>
        <w:t> </w:t>
      </w:r>
      <w:r>
        <w:rPr>
          <w:sz w:val="22"/>
        </w:rPr>
        <w:t>infrastructure</w:t>
      </w:r>
      <w:r>
        <w:rPr>
          <w:spacing w:val="-7"/>
          <w:sz w:val="22"/>
        </w:rPr>
        <w:t> </w:t>
      </w:r>
      <w:r>
        <w:rPr>
          <w:sz w:val="22"/>
        </w:rPr>
        <w:t>funding</w:t>
      </w:r>
      <w:r>
        <w:rPr>
          <w:spacing w:val="-7"/>
          <w:sz w:val="22"/>
        </w:rPr>
        <w:t> </w:t>
      </w:r>
      <w:r>
        <w:rPr>
          <w:sz w:val="22"/>
        </w:rPr>
        <w:t>such</w:t>
      </w:r>
      <w:r>
        <w:rPr>
          <w:spacing w:val="-7"/>
          <w:sz w:val="22"/>
        </w:rPr>
        <w:t> </w:t>
      </w:r>
      <w:r>
        <w:rPr>
          <w:sz w:val="22"/>
        </w:rPr>
        <w:t>that</w:t>
      </w:r>
      <w:r>
        <w:rPr>
          <w:spacing w:val="-4"/>
          <w:sz w:val="22"/>
        </w:rPr>
        <w:t> </w:t>
      </w:r>
      <w:r>
        <w:rPr>
          <w:sz w:val="22"/>
        </w:rPr>
        <w:t>the</w:t>
      </w:r>
      <w:r>
        <w:rPr>
          <w:spacing w:val="-7"/>
          <w:sz w:val="22"/>
        </w:rPr>
        <w:t> </w:t>
      </w:r>
      <w:r>
        <w:rPr>
          <w:sz w:val="22"/>
        </w:rPr>
        <w:t>total</w:t>
      </w:r>
      <w:r>
        <w:rPr>
          <w:spacing w:val="-6"/>
          <w:sz w:val="22"/>
        </w:rPr>
        <w:t> </w:t>
      </w:r>
      <w:r>
        <w:rPr>
          <w:sz w:val="22"/>
        </w:rPr>
        <w:t>amount</w:t>
      </w:r>
      <w:r>
        <w:rPr>
          <w:spacing w:val="-4"/>
          <w:sz w:val="22"/>
        </w:rPr>
        <w:t> </w:t>
      </w:r>
      <w:r>
        <w:rPr>
          <w:sz w:val="22"/>
        </w:rPr>
        <w:t>of</w:t>
      </w:r>
      <w:r>
        <w:rPr>
          <w:spacing w:val="-6"/>
          <w:sz w:val="22"/>
        </w:rPr>
        <w:t> </w:t>
      </w:r>
      <w:r>
        <w:rPr>
          <w:sz w:val="22"/>
        </w:rPr>
        <w:t>at- risk</w:t>
      </w:r>
      <w:r>
        <w:rPr>
          <w:spacing w:val="-4"/>
          <w:sz w:val="22"/>
        </w:rPr>
        <w:t> </w:t>
      </w:r>
      <w:r>
        <w:rPr>
          <w:sz w:val="22"/>
        </w:rPr>
        <w:t>CP</w:t>
      </w:r>
      <w:r>
        <w:rPr>
          <w:spacing w:val="-2"/>
          <w:sz w:val="22"/>
        </w:rPr>
        <w:t> </w:t>
      </w:r>
      <w:r>
        <w:rPr>
          <w:sz w:val="22"/>
        </w:rPr>
        <w:t>funding</w:t>
      </w:r>
      <w:r>
        <w:rPr>
          <w:spacing w:val="-4"/>
          <w:sz w:val="22"/>
        </w:rPr>
        <w:t> </w:t>
      </w:r>
      <w:r>
        <w:rPr>
          <w:sz w:val="22"/>
        </w:rPr>
        <w:t>is</w:t>
      </w:r>
      <w:r>
        <w:rPr>
          <w:spacing w:val="-1"/>
          <w:sz w:val="22"/>
        </w:rPr>
        <w:t> </w:t>
      </w:r>
      <w:r>
        <w:rPr>
          <w:sz w:val="22"/>
        </w:rPr>
        <w:t>comparable</w:t>
      </w:r>
      <w:r>
        <w:rPr>
          <w:spacing w:val="-1"/>
          <w:sz w:val="22"/>
        </w:rPr>
        <w:t> </w:t>
      </w:r>
      <w:r>
        <w:rPr>
          <w:sz w:val="22"/>
        </w:rPr>
        <w:t>to</w:t>
      </w:r>
      <w:r>
        <w:rPr>
          <w:spacing w:val="-4"/>
          <w:sz w:val="22"/>
        </w:rPr>
        <w:t> </w:t>
      </w:r>
      <w:r>
        <w:rPr>
          <w:sz w:val="22"/>
        </w:rPr>
        <w:t>the</w:t>
      </w:r>
      <w:r>
        <w:rPr>
          <w:spacing w:val="-1"/>
          <w:sz w:val="22"/>
        </w:rPr>
        <w:t> </w:t>
      </w:r>
      <w:r>
        <w:rPr>
          <w:sz w:val="22"/>
        </w:rPr>
        <w:t>original $58.2M</w:t>
      </w:r>
      <w:r>
        <w:rPr>
          <w:spacing w:val="-3"/>
          <w:sz w:val="22"/>
        </w:rPr>
        <w:t> </w:t>
      </w:r>
      <w:r>
        <w:rPr>
          <w:sz w:val="22"/>
        </w:rPr>
        <w:t>of at-risk</w:t>
      </w:r>
      <w:r>
        <w:rPr>
          <w:spacing w:val="-4"/>
          <w:sz w:val="22"/>
        </w:rPr>
        <w:t> </w:t>
      </w:r>
      <w:r>
        <w:rPr>
          <w:sz w:val="22"/>
        </w:rPr>
        <w:t>CP</w:t>
      </w:r>
      <w:r>
        <w:rPr>
          <w:spacing w:val="-2"/>
          <w:sz w:val="22"/>
        </w:rPr>
        <w:t> </w:t>
      </w:r>
      <w:r>
        <w:rPr>
          <w:sz w:val="22"/>
        </w:rPr>
        <w:t>funding,</w:t>
      </w:r>
      <w:r>
        <w:rPr>
          <w:spacing w:val="-1"/>
          <w:sz w:val="22"/>
        </w:rPr>
        <w:t> </w:t>
      </w:r>
      <w:r>
        <w:rPr>
          <w:sz w:val="22"/>
        </w:rPr>
        <w:t>to</w:t>
      </w:r>
      <w:r>
        <w:rPr>
          <w:spacing w:val="-1"/>
          <w:sz w:val="22"/>
        </w:rPr>
        <w:t> </w:t>
      </w:r>
      <w:r>
        <w:rPr>
          <w:sz w:val="22"/>
        </w:rPr>
        <w:t>the</w:t>
      </w:r>
      <w:r>
        <w:rPr>
          <w:spacing w:val="-1"/>
          <w:sz w:val="22"/>
        </w:rPr>
        <w:t> </w:t>
      </w:r>
      <w:r>
        <w:rPr>
          <w:sz w:val="22"/>
        </w:rPr>
        <w:t>greatest extent possible based</w:t>
      </w:r>
      <w:r>
        <w:rPr>
          <w:spacing w:val="-15"/>
          <w:sz w:val="22"/>
        </w:rPr>
        <w:t> </w:t>
      </w:r>
      <w:r>
        <w:rPr>
          <w:sz w:val="22"/>
        </w:rPr>
        <w:t>on</w:t>
      </w:r>
      <w:r>
        <w:rPr>
          <w:spacing w:val="-11"/>
          <w:sz w:val="22"/>
        </w:rPr>
        <w:t> </w:t>
      </w:r>
      <w:r>
        <w:rPr>
          <w:sz w:val="22"/>
        </w:rPr>
        <w:t>the</w:t>
      </w:r>
      <w:r>
        <w:rPr>
          <w:spacing w:val="-9"/>
          <w:sz w:val="22"/>
        </w:rPr>
        <w:t> </w:t>
      </w:r>
      <w:r>
        <w:rPr>
          <w:sz w:val="22"/>
        </w:rPr>
        <w:t>State’s</w:t>
      </w:r>
      <w:r>
        <w:rPr>
          <w:spacing w:val="-12"/>
          <w:sz w:val="22"/>
        </w:rPr>
        <w:t> </w:t>
      </w:r>
      <w:r>
        <w:rPr>
          <w:sz w:val="22"/>
        </w:rPr>
        <w:t>understanding</w:t>
      </w:r>
      <w:r>
        <w:rPr>
          <w:spacing w:val="-12"/>
          <w:sz w:val="22"/>
        </w:rPr>
        <w:t> </w:t>
      </w:r>
      <w:r>
        <w:rPr>
          <w:sz w:val="22"/>
        </w:rPr>
        <w:t>of</w:t>
      </w:r>
      <w:r>
        <w:rPr>
          <w:spacing w:val="-10"/>
          <w:sz w:val="22"/>
        </w:rPr>
        <w:t> </w:t>
      </w:r>
      <w:r>
        <w:rPr>
          <w:sz w:val="22"/>
        </w:rPr>
        <w:t>CP</w:t>
      </w:r>
      <w:r>
        <w:rPr>
          <w:spacing w:val="-12"/>
          <w:sz w:val="22"/>
        </w:rPr>
        <w:t> </w:t>
      </w:r>
      <w:r>
        <w:rPr>
          <w:sz w:val="22"/>
        </w:rPr>
        <w:t>enrollment</w:t>
      </w:r>
      <w:r>
        <w:rPr>
          <w:spacing w:val="-12"/>
          <w:sz w:val="22"/>
        </w:rPr>
        <w:t> </w:t>
      </w:r>
      <w:r>
        <w:rPr>
          <w:sz w:val="22"/>
        </w:rPr>
        <w:t>trends</w:t>
      </w:r>
      <w:r>
        <w:rPr>
          <w:spacing w:val="-10"/>
          <w:sz w:val="22"/>
        </w:rPr>
        <w:t> </w:t>
      </w:r>
      <w:r>
        <w:rPr>
          <w:sz w:val="22"/>
        </w:rPr>
        <w:t>and</w:t>
      </w:r>
      <w:r>
        <w:rPr>
          <w:spacing w:val="-12"/>
          <w:sz w:val="22"/>
        </w:rPr>
        <w:t> </w:t>
      </w:r>
      <w:r>
        <w:rPr>
          <w:sz w:val="22"/>
        </w:rPr>
        <w:t>other</w:t>
      </w:r>
      <w:r>
        <w:rPr>
          <w:spacing w:val="-10"/>
          <w:sz w:val="22"/>
        </w:rPr>
        <w:t> </w:t>
      </w:r>
      <w:r>
        <w:rPr>
          <w:sz w:val="22"/>
        </w:rPr>
        <w:t>assumptions</w:t>
      </w:r>
      <w:r>
        <w:rPr>
          <w:spacing w:val="-9"/>
          <w:sz w:val="22"/>
        </w:rPr>
        <w:t> </w:t>
      </w:r>
      <w:r>
        <w:rPr>
          <w:sz w:val="22"/>
        </w:rPr>
        <w:t>at</w:t>
      </w:r>
      <w:r>
        <w:rPr>
          <w:spacing w:val="-10"/>
          <w:sz w:val="22"/>
        </w:rPr>
        <w:t> </w:t>
      </w:r>
      <w:r>
        <w:rPr>
          <w:sz w:val="22"/>
        </w:rPr>
        <w:t>the</w:t>
      </w:r>
      <w:r>
        <w:rPr>
          <w:spacing w:val="-10"/>
          <w:sz w:val="22"/>
        </w:rPr>
        <w:t> </w:t>
      </w:r>
      <w:r>
        <w:rPr>
          <w:sz w:val="22"/>
        </w:rPr>
        <w:t>time</w:t>
      </w:r>
      <w:r>
        <w:rPr>
          <w:spacing w:val="-9"/>
          <w:sz w:val="22"/>
        </w:rPr>
        <w:t> </w:t>
      </w:r>
      <w:r>
        <w:rPr>
          <w:sz w:val="22"/>
        </w:rPr>
        <w:t>of</w:t>
      </w:r>
      <w:r>
        <w:rPr>
          <w:spacing w:val="-10"/>
          <w:sz w:val="22"/>
        </w:rPr>
        <w:t> </w:t>
      </w:r>
      <w:r>
        <w:rPr>
          <w:sz w:val="22"/>
        </w:rPr>
        <w:t>the</w:t>
      </w:r>
      <w:r>
        <w:rPr>
          <w:spacing w:val="-9"/>
          <w:sz w:val="22"/>
        </w:rPr>
        <w:t> </w:t>
      </w:r>
      <w:r>
        <w:rPr>
          <w:spacing w:val="-2"/>
          <w:sz w:val="22"/>
        </w:rPr>
        <w:t>update.</w:t>
      </w:r>
    </w:p>
    <w:p>
      <w:pPr>
        <w:spacing w:line="242" w:lineRule="auto" w:before="153"/>
        <w:ind w:left="1219" w:right="1095" w:firstLine="0"/>
        <w:jc w:val="both"/>
        <w:rPr>
          <w:sz w:val="22"/>
        </w:rPr>
      </w:pPr>
      <w:r>
        <w:rPr>
          <w:sz w:val="22"/>
        </w:rPr>
        <w:t>For CPs</w:t>
      </w:r>
      <w:r>
        <w:rPr>
          <w:spacing w:val="-1"/>
          <w:sz w:val="22"/>
        </w:rPr>
        <w:t> </w:t>
      </w:r>
      <w:r>
        <w:rPr>
          <w:sz w:val="22"/>
        </w:rPr>
        <w:t>or CSAs</w:t>
      </w:r>
      <w:r>
        <w:rPr>
          <w:spacing w:val="-1"/>
          <w:sz w:val="22"/>
        </w:rPr>
        <w:t> </w:t>
      </w:r>
      <w:r>
        <w:rPr>
          <w:sz w:val="22"/>
        </w:rPr>
        <w:t>that</w:t>
      </w:r>
      <w:r>
        <w:rPr>
          <w:spacing w:val="-3"/>
          <w:sz w:val="22"/>
        </w:rPr>
        <w:t> </w:t>
      </w:r>
      <w:r>
        <w:rPr>
          <w:sz w:val="22"/>
        </w:rPr>
        <w:t>join</w:t>
      </w:r>
      <w:r>
        <w:rPr>
          <w:spacing w:val="-4"/>
          <w:sz w:val="22"/>
        </w:rPr>
        <w:t> </w:t>
      </w:r>
      <w:r>
        <w:rPr>
          <w:sz w:val="22"/>
        </w:rPr>
        <w:t>after BP1,</w:t>
      </w:r>
      <w:r>
        <w:rPr>
          <w:spacing w:val="-1"/>
          <w:sz w:val="22"/>
        </w:rPr>
        <w:t> </w:t>
      </w:r>
      <w:r>
        <w:rPr>
          <w:sz w:val="22"/>
        </w:rPr>
        <w:t>their at-risk</w:t>
      </w:r>
      <w:r>
        <w:rPr>
          <w:spacing w:val="-4"/>
          <w:sz w:val="22"/>
        </w:rPr>
        <w:t> </w:t>
      </w:r>
      <w:r>
        <w:rPr>
          <w:sz w:val="22"/>
        </w:rPr>
        <w:t>schedule</w:t>
      </w:r>
      <w:r>
        <w:rPr>
          <w:spacing w:val="-1"/>
          <w:sz w:val="22"/>
        </w:rPr>
        <w:t> </w:t>
      </w:r>
      <w:r>
        <w:rPr>
          <w:sz w:val="22"/>
        </w:rPr>
        <w:t>will start at the</w:t>
      </w:r>
      <w:r>
        <w:rPr>
          <w:spacing w:val="-1"/>
          <w:sz w:val="22"/>
        </w:rPr>
        <w:t> </w:t>
      </w:r>
      <w:r>
        <w:rPr>
          <w:sz w:val="22"/>
        </w:rPr>
        <w:t>BP1</w:t>
      </w:r>
      <w:r>
        <w:rPr>
          <w:spacing w:val="-1"/>
          <w:sz w:val="22"/>
        </w:rPr>
        <w:t> </w:t>
      </w:r>
      <w:r>
        <w:rPr>
          <w:sz w:val="22"/>
        </w:rPr>
        <w:t>percent (i.e.</w:t>
      </w:r>
      <w:r>
        <w:rPr>
          <w:spacing w:val="-1"/>
          <w:sz w:val="22"/>
        </w:rPr>
        <w:t> </w:t>
      </w:r>
      <w:r>
        <w:rPr>
          <w:sz w:val="22"/>
        </w:rPr>
        <w:t>0%),</w:t>
      </w:r>
      <w:r>
        <w:rPr>
          <w:spacing w:val="-1"/>
          <w:sz w:val="22"/>
        </w:rPr>
        <w:t> </w:t>
      </w:r>
      <w:r>
        <w:rPr>
          <w:sz w:val="22"/>
        </w:rPr>
        <w:t>and</w:t>
      </w:r>
      <w:r>
        <w:rPr>
          <w:spacing w:val="-1"/>
          <w:sz w:val="22"/>
        </w:rPr>
        <w:t> </w:t>
      </w:r>
      <w:r>
        <w:rPr>
          <w:sz w:val="22"/>
        </w:rPr>
        <w:t>then follow the schedule above with appropriate lag.</w:t>
      </w:r>
      <w:r>
        <w:rPr>
          <w:spacing w:val="40"/>
          <w:sz w:val="22"/>
        </w:rPr>
        <w:t> </w:t>
      </w:r>
      <w:r>
        <w:rPr>
          <w:sz w:val="22"/>
        </w:rPr>
        <w:t>For example, if a CP joins in BP3, their at-risk schedule for the DSRIP funds would be: BP3 – 0%, BP4 – 71%, BP5 – 100%.</w:t>
      </w:r>
    </w:p>
    <w:p>
      <w:pPr>
        <w:spacing w:before="152"/>
        <w:ind w:left="1219" w:right="975" w:firstLine="0"/>
        <w:jc w:val="left"/>
        <w:rPr>
          <w:sz w:val="22"/>
        </w:rPr>
      </w:pPr>
      <w:r>
        <w:rPr>
          <w:sz w:val="22"/>
        </w:rPr>
        <w:t>In</w:t>
      </w:r>
      <w:r>
        <w:rPr>
          <w:spacing w:val="-1"/>
          <w:sz w:val="22"/>
        </w:rPr>
        <w:t> </w:t>
      </w:r>
      <w:r>
        <w:rPr>
          <w:sz w:val="22"/>
        </w:rPr>
        <w:t>addition</w:t>
      </w:r>
      <w:r>
        <w:rPr>
          <w:spacing w:val="-4"/>
          <w:sz w:val="22"/>
        </w:rPr>
        <w:t> </w:t>
      </w:r>
      <w:r>
        <w:rPr>
          <w:sz w:val="22"/>
        </w:rPr>
        <w:t>to</w:t>
      </w:r>
      <w:r>
        <w:rPr>
          <w:spacing w:val="-4"/>
          <w:sz w:val="22"/>
        </w:rPr>
        <w:t> </w:t>
      </w:r>
      <w:r>
        <w:rPr>
          <w:sz w:val="22"/>
        </w:rPr>
        <w:t>holding</w:t>
      </w:r>
      <w:r>
        <w:rPr>
          <w:spacing w:val="-6"/>
          <w:sz w:val="22"/>
        </w:rPr>
        <w:t> </w:t>
      </w:r>
      <w:r>
        <w:rPr>
          <w:sz w:val="22"/>
        </w:rPr>
        <w:t>ACOs,</w:t>
      </w:r>
      <w:r>
        <w:rPr>
          <w:spacing w:val="-4"/>
          <w:sz w:val="22"/>
        </w:rPr>
        <w:t> </w:t>
      </w:r>
      <w:r>
        <w:rPr>
          <w:sz w:val="22"/>
        </w:rPr>
        <w:t>CPs,</w:t>
      </w:r>
      <w:r>
        <w:rPr>
          <w:spacing w:val="-4"/>
          <w:sz w:val="22"/>
        </w:rPr>
        <w:t> </w:t>
      </w:r>
      <w:r>
        <w:rPr>
          <w:sz w:val="22"/>
        </w:rPr>
        <w:t>and</w:t>
      </w:r>
      <w:r>
        <w:rPr>
          <w:spacing w:val="-4"/>
          <w:sz w:val="22"/>
        </w:rPr>
        <w:t> </w:t>
      </w:r>
      <w:r>
        <w:rPr>
          <w:sz w:val="22"/>
        </w:rPr>
        <w:t>CSAs</w:t>
      </w:r>
      <w:r>
        <w:rPr>
          <w:spacing w:val="-3"/>
          <w:sz w:val="22"/>
        </w:rPr>
        <w:t> </w:t>
      </w:r>
      <w:r>
        <w:rPr>
          <w:sz w:val="22"/>
        </w:rPr>
        <w:t>accountable</w:t>
      </w:r>
      <w:r>
        <w:rPr>
          <w:spacing w:val="-3"/>
          <w:sz w:val="22"/>
        </w:rPr>
        <w:t> </w:t>
      </w:r>
      <w:r>
        <w:rPr>
          <w:sz w:val="22"/>
        </w:rPr>
        <w:t>by</w:t>
      </w:r>
      <w:r>
        <w:rPr>
          <w:spacing w:val="-6"/>
          <w:sz w:val="22"/>
        </w:rPr>
        <w:t> </w:t>
      </w:r>
      <w:r>
        <w:rPr>
          <w:sz w:val="22"/>
        </w:rPr>
        <w:t>designating</w:t>
      </w:r>
      <w:r>
        <w:rPr>
          <w:spacing w:val="-6"/>
          <w:sz w:val="22"/>
        </w:rPr>
        <w:t> </w:t>
      </w:r>
      <w:r>
        <w:rPr>
          <w:sz w:val="22"/>
        </w:rPr>
        <w:t>a</w:t>
      </w:r>
      <w:r>
        <w:rPr>
          <w:spacing w:val="-3"/>
          <w:sz w:val="22"/>
        </w:rPr>
        <w:t> </w:t>
      </w:r>
      <w:r>
        <w:rPr>
          <w:sz w:val="22"/>
        </w:rPr>
        <w:t>portion</w:t>
      </w:r>
      <w:r>
        <w:rPr>
          <w:spacing w:val="-6"/>
          <w:sz w:val="22"/>
        </w:rPr>
        <w:t> </w:t>
      </w:r>
      <w:r>
        <w:rPr>
          <w:sz w:val="22"/>
        </w:rPr>
        <w:t>of</w:t>
      </w:r>
      <w:r>
        <w:rPr>
          <w:spacing w:val="-3"/>
          <w:sz w:val="22"/>
        </w:rPr>
        <w:t> </w:t>
      </w:r>
      <w:r>
        <w:rPr>
          <w:sz w:val="22"/>
        </w:rPr>
        <w:t>their</w:t>
      </w:r>
      <w:r>
        <w:rPr>
          <w:spacing w:val="-3"/>
          <w:sz w:val="22"/>
        </w:rPr>
        <w:t> </w:t>
      </w:r>
      <w:r>
        <w:rPr>
          <w:sz w:val="22"/>
        </w:rPr>
        <w:t>DSRIP</w:t>
      </w:r>
      <w:r>
        <w:rPr>
          <w:spacing w:val="-4"/>
          <w:sz w:val="22"/>
        </w:rPr>
        <w:t> </w:t>
      </w:r>
      <w:r>
        <w:rPr>
          <w:sz w:val="22"/>
        </w:rPr>
        <w:t>funding as</w:t>
      </w:r>
      <w:r>
        <w:rPr>
          <w:spacing w:val="-6"/>
          <w:sz w:val="22"/>
        </w:rPr>
        <w:t> </w:t>
      </w:r>
      <w:r>
        <w:rPr>
          <w:sz w:val="22"/>
        </w:rPr>
        <w:t>at-risk,</w:t>
      </w:r>
      <w:r>
        <w:rPr>
          <w:spacing w:val="-4"/>
          <w:sz w:val="22"/>
        </w:rPr>
        <w:t> </w:t>
      </w:r>
      <w:r>
        <w:rPr>
          <w:sz w:val="22"/>
        </w:rPr>
        <w:t>the</w:t>
      </w:r>
      <w:r>
        <w:rPr>
          <w:spacing w:val="-4"/>
          <w:sz w:val="22"/>
        </w:rPr>
        <w:t> </w:t>
      </w:r>
      <w:r>
        <w:rPr>
          <w:sz w:val="22"/>
        </w:rPr>
        <w:t>State</w:t>
      </w:r>
      <w:r>
        <w:rPr>
          <w:spacing w:val="-3"/>
          <w:sz w:val="22"/>
        </w:rPr>
        <w:t> </w:t>
      </w:r>
      <w:r>
        <w:rPr>
          <w:sz w:val="22"/>
        </w:rPr>
        <w:t>will</w:t>
      </w:r>
      <w:r>
        <w:rPr>
          <w:spacing w:val="-3"/>
          <w:sz w:val="22"/>
        </w:rPr>
        <w:t> </w:t>
      </w:r>
      <w:r>
        <w:rPr>
          <w:sz w:val="22"/>
        </w:rPr>
        <w:t>manage</w:t>
      </w:r>
      <w:r>
        <w:rPr>
          <w:spacing w:val="-4"/>
          <w:sz w:val="22"/>
        </w:rPr>
        <w:t> </w:t>
      </w:r>
      <w:r>
        <w:rPr>
          <w:sz w:val="22"/>
        </w:rPr>
        <w:t>its</w:t>
      </w:r>
      <w:r>
        <w:rPr>
          <w:spacing w:val="-6"/>
          <w:sz w:val="22"/>
        </w:rPr>
        <w:t> </w:t>
      </w:r>
      <w:r>
        <w:rPr>
          <w:sz w:val="22"/>
        </w:rPr>
        <w:t>contracts</w:t>
      </w:r>
      <w:r>
        <w:rPr>
          <w:spacing w:val="-3"/>
          <w:sz w:val="22"/>
        </w:rPr>
        <w:t> </w:t>
      </w:r>
      <w:r>
        <w:rPr>
          <w:sz w:val="22"/>
        </w:rPr>
        <w:t>with</w:t>
      </w:r>
      <w:r>
        <w:rPr>
          <w:spacing w:val="-7"/>
          <w:sz w:val="22"/>
        </w:rPr>
        <w:t> </w:t>
      </w:r>
      <w:r>
        <w:rPr>
          <w:sz w:val="22"/>
        </w:rPr>
        <w:t>these</w:t>
      </w:r>
      <w:r>
        <w:rPr>
          <w:spacing w:val="-4"/>
          <w:sz w:val="22"/>
        </w:rPr>
        <w:t> </w:t>
      </w:r>
      <w:r>
        <w:rPr>
          <w:sz w:val="22"/>
        </w:rPr>
        <w:t>entities</w:t>
      </w:r>
      <w:r>
        <w:rPr>
          <w:spacing w:val="-5"/>
          <w:sz w:val="22"/>
        </w:rPr>
        <w:t> </w:t>
      </w:r>
      <w:r>
        <w:rPr>
          <w:sz w:val="22"/>
        </w:rPr>
        <w:t>to</w:t>
      </w:r>
      <w:r>
        <w:rPr>
          <w:spacing w:val="-7"/>
          <w:sz w:val="22"/>
        </w:rPr>
        <w:t> </w:t>
      </w:r>
      <w:r>
        <w:rPr>
          <w:sz w:val="22"/>
        </w:rPr>
        <w:t>ensure</w:t>
      </w:r>
      <w:r>
        <w:rPr>
          <w:spacing w:val="-3"/>
          <w:sz w:val="22"/>
        </w:rPr>
        <w:t> </w:t>
      </w:r>
      <w:r>
        <w:rPr>
          <w:sz w:val="22"/>
        </w:rPr>
        <w:t>compliance</w:t>
      </w:r>
      <w:r>
        <w:rPr>
          <w:spacing w:val="-4"/>
          <w:sz w:val="22"/>
        </w:rPr>
        <w:t> </w:t>
      </w:r>
      <w:r>
        <w:rPr>
          <w:sz w:val="22"/>
        </w:rPr>
        <w:t>with</w:t>
      </w:r>
      <w:r>
        <w:rPr>
          <w:spacing w:val="-7"/>
          <w:sz w:val="22"/>
        </w:rPr>
        <w:t> </w:t>
      </w:r>
      <w:r>
        <w:rPr>
          <w:sz w:val="22"/>
        </w:rPr>
        <w:t>and</w:t>
      </w:r>
      <w:r>
        <w:rPr>
          <w:spacing w:val="-3"/>
          <w:sz w:val="22"/>
        </w:rPr>
        <w:t> </w:t>
      </w:r>
      <w:r>
        <w:rPr>
          <w:spacing w:val="-2"/>
          <w:sz w:val="22"/>
        </w:rPr>
        <w:t>satisfactory</w:t>
      </w:r>
    </w:p>
    <w:p>
      <w:pPr>
        <w:spacing w:after="0"/>
        <w:jc w:val="left"/>
        <w:rPr>
          <w:sz w:val="22"/>
        </w:rPr>
        <w:sectPr>
          <w:pgSz w:w="12240" w:h="15840"/>
          <w:pgMar w:header="0" w:footer="967" w:top="1360" w:bottom="1160" w:left="220" w:right="340"/>
        </w:sectPr>
      </w:pPr>
    </w:p>
    <w:p>
      <w:pPr>
        <w:spacing w:line="240" w:lineRule="auto" w:before="78"/>
        <w:ind w:left="1219" w:right="1093" w:firstLine="0"/>
        <w:jc w:val="both"/>
        <w:rPr>
          <w:sz w:val="22"/>
        </w:rPr>
      </w:pPr>
      <w:r>
        <w:rPr>
          <w:sz w:val="22"/>
        </w:rPr>
        <w:t>performance</w:t>
      </w:r>
      <w:r>
        <w:rPr>
          <w:spacing w:val="-2"/>
          <w:sz w:val="22"/>
        </w:rPr>
        <w:t> </w:t>
      </w:r>
      <w:r>
        <w:rPr>
          <w:sz w:val="22"/>
        </w:rPr>
        <w:t>of</w:t>
      </w:r>
      <w:r>
        <w:rPr>
          <w:spacing w:val="-1"/>
          <w:sz w:val="22"/>
        </w:rPr>
        <w:t> </w:t>
      </w:r>
      <w:r>
        <w:rPr>
          <w:sz w:val="22"/>
        </w:rPr>
        <w:t>contractual</w:t>
      </w:r>
      <w:r>
        <w:rPr>
          <w:spacing w:val="-1"/>
          <w:sz w:val="22"/>
        </w:rPr>
        <w:t> </w:t>
      </w:r>
      <w:r>
        <w:rPr>
          <w:sz w:val="22"/>
        </w:rPr>
        <w:t>requirements</w:t>
      </w:r>
      <w:r>
        <w:rPr>
          <w:spacing w:val="-4"/>
          <w:sz w:val="22"/>
        </w:rPr>
        <w:t> </w:t>
      </w:r>
      <w:r>
        <w:rPr>
          <w:sz w:val="22"/>
        </w:rPr>
        <w:t>related</w:t>
      </w:r>
      <w:r>
        <w:rPr>
          <w:spacing w:val="-2"/>
          <w:sz w:val="22"/>
        </w:rPr>
        <w:t> </w:t>
      </w:r>
      <w:r>
        <w:rPr>
          <w:sz w:val="22"/>
        </w:rPr>
        <w:t>to</w:t>
      </w:r>
      <w:r>
        <w:rPr>
          <w:spacing w:val="-2"/>
          <w:sz w:val="22"/>
        </w:rPr>
        <w:t> </w:t>
      </w:r>
      <w:r>
        <w:rPr>
          <w:sz w:val="22"/>
        </w:rPr>
        <w:t>the</w:t>
      </w:r>
      <w:r>
        <w:rPr>
          <w:spacing w:val="-4"/>
          <w:sz w:val="22"/>
        </w:rPr>
        <w:t> </w:t>
      </w:r>
      <w:r>
        <w:rPr>
          <w:sz w:val="22"/>
        </w:rPr>
        <w:t>DSRIP</w:t>
      </w:r>
      <w:r>
        <w:rPr>
          <w:spacing w:val="-3"/>
          <w:sz w:val="22"/>
        </w:rPr>
        <w:t> </w:t>
      </w:r>
      <w:r>
        <w:rPr>
          <w:sz w:val="22"/>
        </w:rPr>
        <w:t>program.</w:t>
      </w:r>
      <w:r>
        <w:rPr>
          <w:spacing w:val="40"/>
          <w:sz w:val="22"/>
        </w:rPr>
        <w:t> </w:t>
      </w:r>
      <w:r>
        <w:rPr>
          <w:sz w:val="22"/>
        </w:rPr>
        <w:t>In</w:t>
      </w:r>
      <w:r>
        <w:rPr>
          <w:spacing w:val="-2"/>
          <w:sz w:val="22"/>
        </w:rPr>
        <w:t> </w:t>
      </w:r>
      <w:r>
        <w:rPr>
          <w:sz w:val="22"/>
        </w:rPr>
        <w:t>the</w:t>
      </w:r>
      <w:r>
        <w:rPr>
          <w:spacing w:val="-2"/>
          <w:sz w:val="22"/>
        </w:rPr>
        <w:t> </w:t>
      </w:r>
      <w:r>
        <w:rPr>
          <w:sz w:val="22"/>
        </w:rPr>
        <w:t>event</w:t>
      </w:r>
      <w:r>
        <w:rPr>
          <w:spacing w:val="-1"/>
          <w:sz w:val="22"/>
        </w:rPr>
        <w:t> </w:t>
      </w:r>
      <w:r>
        <w:rPr>
          <w:sz w:val="22"/>
        </w:rPr>
        <w:t>of</w:t>
      </w:r>
      <w:r>
        <w:rPr>
          <w:spacing w:val="-1"/>
          <w:sz w:val="22"/>
        </w:rPr>
        <w:t> </w:t>
      </w:r>
      <w:r>
        <w:rPr>
          <w:sz w:val="22"/>
        </w:rPr>
        <w:t>noncompliance</w:t>
      </w:r>
      <w:r>
        <w:rPr>
          <w:spacing w:val="-2"/>
          <w:sz w:val="22"/>
        </w:rPr>
        <w:t> </w:t>
      </w:r>
      <w:r>
        <w:rPr>
          <w:sz w:val="22"/>
        </w:rPr>
        <w:t>or unsatisfactory</w:t>
      </w:r>
      <w:r>
        <w:rPr>
          <w:spacing w:val="-3"/>
          <w:sz w:val="22"/>
        </w:rPr>
        <w:t> </w:t>
      </w:r>
      <w:r>
        <w:rPr>
          <w:sz w:val="22"/>
        </w:rPr>
        <w:t>performance,</w:t>
      </w:r>
      <w:r>
        <w:rPr>
          <w:spacing w:val="-1"/>
          <w:sz w:val="22"/>
        </w:rPr>
        <w:t> </w:t>
      </w:r>
      <w:r>
        <w:rPr>
          <w:sz w:val="22"/>
        </w:rPr>
        <w:t>the State will determine the appropriate</w:t>
      </w:r>
      <w:r>
        <w:rPr>
          <w:spacing w:val="-3"/>
          <w:sz w:val="22"/>
        </w:rPr>
        <w:t> </w:t>
      </w:r>
      <w:r>
        <w:rPr>
          <w:sz w:val="22"/>
        </w:rPr>
        <w:t>recourse,</w:t>
      </w:r>
      <w:r>
        <w:rPr>
          <w:spacing w:val="-1"/>
          <w:sz w:val="22"/>
        </w:rPr>
        <w:t> </w:t>
      </w:r>
      <w:r>
        <w:rPr>
          <w:sz w:val="22"/>
        </w:rPr>
        <w:t>which</w:t>
      </w:r>
      <w:r>
        <w:rPr>
          <w:spacing w:val="-1"/>
          <w:sz w:val="22"/>
        </w:rPr>
        <w:t> </w:t>
      </w:r>
      <w:r>
        <w:rPr>
          <w:sz w:val="22"/>
        </w:rPr>
        <w:t>may</w:t>
      </w:r>
      <w:r>
        <w:rPr>
          <w:spacing w:val="-3"/>
          <w:sz w:val="22"/>
        </w:rPr>
        <w:t> </w:t>
      </w:r>
      <w:r>
        <w:rPr>
          <w:sz w:val="22"/>
        </w:rPr>
        <w:t>include</w:t>
      </w:r>
      <w:r>
        <w:rPr>
          <w:spacing w:val="-3"/>
          <w:sz w:val="22"/>
        </w:rPr>
        <w:t> </w:t>
      </w:r>
      <w:r>
        <w:rPr>
          <w:sz w:val="22"/>
        </w:rPr>
        <w:t>contract management activities such as, but not limited to: working collaboratively with the ACOs, CPs, or CSAs to</w:t>
      </w:r>
      <w:r>
        <w:rPr>
          <w:spacing w:val="-2"/>
          <w:sz w:val="22"/>
        </w:rPr>
        <w:t> </w:t>
      </w:r>
      <w:r>
        <w:rPr>
          <w:sz w:val="22"/>
        </w:rPr>
        <w:t>identify</w:t>
      </w:r>
      <w:r>
        <w:rPr>
          <w:spacing w:val="-4"/>
          <w:sz w:val="22"/>
        </w:rPr>
        <w:t> </w:t>
      </w:r>
      <w:r>
        <w:rPr>
          <w:sz w:val="22"/>
        </w:rPr>
        <w:t>and</w:t>
      </w:r>
      <w:r>
        <w:rPr>
          <w:spacing w:val="-2"/>
          <w:sz w:val="22"/>
        </w:rPr>
        <w:t> </w:t>
      </w:r>
      <w:r>
        <w:rPr>
          <w:sz w:val="22"/>
        </w:rPr>
        <w:t>implement</w:t>
      </w:r>
      <w:r>
        <w:rPr>
          <w:spacing w:val="-1"/>
          <w:sz w:val="22"/>
        </w:rPr>
        <w:t> </w:t>
      </w:r>
      <w:r>
        <w:rPr>
          <w:sz w:val="22"/>
        </w:rPr>
        <w:t>new</w:t>
      </w:r>
      <w:r>
        <w:rPr>
          <w:spacing w:val="-2"/>
          <w:sz w:val="22"/>
        </w:rPr>
        <w:t> </w:t>
      </w:r>
      <w:r>
        <w:rPr>
          <w:sz w:val="22"/>
        </w:rPr>
        <w:t>strategies</w:t>
      </w:r>
      <w:r>
        <w:rPr>
          <w:spacing w:val="-2"/>
          <w:sz w:val="22"/>
        </w:rPr>
        <w:t> </w:t>
      </w:r>
      <w:r>
        <w:rPr>
          <w:sz w:val="22"/>
        </w:rPr>
        <w:t>to</w:t>
      </w:r>
      <w:r>
        <w:rPr>
          <w:spacing w:val="-2"/>
          <w:sz w:val="22"/>
        </w:rPr>
        <w:t> </w:t>
      </w:r>
      <w:r>
        <w:rPr>
          <w:sz w:val="22"/>
        </w:rPr>
        <w:t>meet</w:t>
      </w:r>
      <w:r>
        <w:rPr>
          <w:spacing w:val="-3"/>
          <w:sz w:val="22"/>
        </w:rPr>
        <w:t> </w:t>
      </w:r>
      <w:r>
        <w:rPr>
          <w:sz w:val="22"/>
        </w:rPr>
        <w:t>their</w:t>
      </w:r>
      <w:r>
        <w:rPr>
          <w:spacing w:val="-3"/>
          <w:sz w:val="22"/>
        </w:rPr>
        <w:t> </w:t>
      </w:r>
      <w:r>
        <w:rPr>
          <w:sz w:val="22"/>
        </w:rPr>
        <w:t>contractual</w:t>
      </w:r>
      <w:r>
        <w:rPr>
          <w:spacing w:val="-1"/>
          <w:sz w:val="22"/>
        </w:rPr>
        <w:t> </w:t>
      </w:r>
      <w:r>
        <w:rPr>
          <w:sz w:val="22"/>
        </w:rPr>
        <w:t>requirements,</w:t>
      </w:r>
      <w:r>
        <w:rPr>
          <w:spacing w:val="-4"/>
          <w:sz w:val="22"/>
        </w:rPr>
        <w:t> </w:t>
      </w:r>
      <w:r>
        <w:rPr>
          <w:sz w:val="22"/>
        </w:rPr>
        <w:t>requiring</w:t>
      </w:r>
      <w:r>
        <w:rPr>
          <w:spacing w:val="-4"/>
          <w:sz w:val="22"/>
        </w:rPr>
        <w:t> </w:t>
      </w:r>
      <w:r>
        <w:rPr>
          <w:sz w:val="22"/>
        </w:rPr>
        <w:t>the</w:t>
      </w:r>
      <w:r>
        <w:rPr>
          <w:spacing w:val="-2"/>
          <w:sz w:val="22"/>
        </w:rPr>
        <w:t> </w:t>
      </w:r>
      <w:r>
        <w:rPr>
          <w:sz w:val="22"/>
        </w:rPr>
        <w:t>ACOs,</w:t>
      </w:r>
      <w:r>
        <w:rPr>
          <w:spacing w:val="-2"/>
          <w:sz w:val="22"/>
        </w:rPr>
        <w:t> </w:t>
      </w:r>
      <w:r>
        <w:rPr>
          <w:sz w:val="22"/>
        </w:rPr>
        <w:t>CPs, or CSAs to implement corrective action plans, or reducing DSRIP payments to the ACOs, CPs, or CSAs. If the State reduces DSRIP payments to ACOs, CPs, or CSAs as part of its contract management efforts, the undisbursed funds may be redistributed among the other DSRIP funding streams at the State’s discretion, following the parameters described in Section 5.1.3.</w:t>
      </w:r>
    </w:p>
    <w:p>
      <w:pPr>
        <w:pStyle w:val="ListParagraph"/>
        <w:numPr>
          <w:ilvl w:val="2"/>
          <w:numId w:val="77"/>
        </w:numPr>
        <w:tabs>
          <w:tab w:pos="1939" w:val="left" w:leader="none"/>
        </w:tabs>
        <w:spacing w:line="240" w:lineRule="auto" w:before="201" w:after="0"/>
        <w:ind w:left="1939" w:right="0" w:hanging="720"/>
        <w:jc w:val="left"/>
        <w:rPr>
          <w:b/>
          <w:color w:val="4471C4"/>
          <w:sz w:val="22"/>
        </w:rPr>
      </w:pPr>
      <w:bookmarkStart w:name="5.1.3 Distribution of Funds Based on Acc" w:id="1362"/>
      <w:bookmarkEnd w:id="1362"/>
      <w:r>
        <w:rPr/>
      </w:r>
      <w:bookmarkStart w:name="_bookmark75" w:id="1363"/>
      <w:bookmarkEnd w:id="1363"/>
      <w:r>
        <w:rPr/>
      </w:r>
      <w:r>
        <w:rPr>
          <w:b/>
          <w:color w:val="4471C4"/>
          <w:sz w:val="22"/>
        </w:rPr>
        <w:t>Distribution</w:t>
      </w:r>
      <w:r>
        <w:rPr>
          <w:b/>
          <w:color w:val="4471C4"/>
          <w:spacing w:val="-5"/>
          <w:sz w:val="22"/>
        </w:rPr>
        <w:t> </w:t>
      </w:r>
      <w:r>
        <w:rPr>
          <w:b/>
          <w:color w:val="4471C4"/>
          <w:sz w:val="22"/>
        </w:rPr>
        <w:t>of</w:t>
      </w:r>
      <w:r>
        <w:rPr>
          <w:b/>
          <w:color w:val="4471C4"/>
          <w:spacing w:val="-4"/>
          <w:sz w:val="22"/>
        </w:rPr>
        <w:t> </w:t>
      </w:r>
      <w:r>
        <w:rPr>
          <w:b/>
          <w:color w:val="4471C4"/>
          <w:sz w:val="22"/>
        </w:rPr>
        <w:t>Funds</w:t>
      </w:r>
      <w:r>
        <w:rPr>
          <w:b/>
          <w:color w:val="4471C4"/>
          <w:spacing w:val="-5"/>
          <w:sz w:val="22"/>
        </w:rPr>
        <w:t> </w:t>
      </w:r>
      <w:r>
        <w:rPr>
          <w:b/>
          <w:color w:val="4471C4"/>
          <w:sz w:val="22"/>
        </w:rPr>
        <w:t>Based</w:t>
      </w:r>
      <w:r>
        <w:rPr>
          <w:b/>
          <w:color w:val="4471C4"/>
          <w:spacing w:val="-4"/>
          <w:sz w:val="22"/>
        </w:rPr>
        <w:t> </w:t>
      </w:r>
      <w:r>
        <w:rPr>
          <w:b/>
          <w:color w:val="4471C4"/>
          <w:sz w:val="22"/>
        </w:rPr>
        <w:t>on</w:t>
      </w:r>
      <w:r>
        <w:rPr>
          <w:b/>
          <w:color w:val="4471C4"/>
          <w:spacing w:val="-4"/>
          <w:sz w:val="22"/>
        </w:rPr>
        <w:t> </w:t>
      </w:r>
      <w:r>
        <w:rPr>
          <w:b/>
          <w:color w:val="4471C4"/>
          <w:spacing w:val="-2"/>
          <w:sz w:val="22"/>
        </w:rPr>
        <w:t>Accountability</w:t>
      </w:r>
    </w:p>
    <w:p>
      <w:pPr>
        <w:tabs>
          <w:tab w:pos="10915" w:val="left" w:leader="none"/>
        </w:tabs>
        <w:spacing w:before="119"/>
        <w:ind w:left="1219" w:right="0" w:firstLine="0"/>
        <w:jc w:val="left"/>
        <w:rPr>
          <w:sz w:val="22"/>
        </w:rPr>
      </w:pPr>
      <w:r>
        <w:rPr>
          <w:sz w:val="22"/>
          <w:u w:val="single"/>
        </w:rPr>
        <w:t>EXHIBIT</w:t>
      </w:r>
      <w:r>
        <w:rPr>
          <w:spacing w:val="-4"/>
          <w:sz w:val="22"/>
          <w:u w:val="single"/>
        </w:rPr>
        <w:t> </w:t>
      </w:r>
      <w:r>
        <w:rPr>
          <w:sz w:val="22"/>
          <w:u w:val="single"/>
        </w:rPr>
        <w:t>23</w:t>
      </w:r>
      <w:r>
        <w:rPr>
          <w:spacing w:val="-3"/>
          <w:sz w:val="22"/>
          <w:u w:val="single"/>
        </w:rPr>
        <w:t> </w:t>
      </w:r>
      <w:r>
        <w:rPr>
          <w:sz w:val="22"/>
          <w:u w:val="single"/>
        </w:rPr>
        <w:t>–</w:t>
      </w:r>
      <w:r>
        <w:rPr>
          <w:spacing w:val="-3"/>
          <w:sz w:val="22"/>
          <w:u w:val="single"/>
        </w:rPr>
        <w:t> </w:t>
      </w:r>
      <w:r>
        <w:rPr>
          <w:sz w:val="22"/>
          <w:u w:val="single"/>
        </w:rPr>
        <w:t>Process</w:t>
      </w:r>
      <w:r>
        <w:rPr>
          <w:spacing w:val="-3"/>
          <w:sz w:val="22"/>
          <w:u w:val="single"/>
        </w:rPr>
        <w:t> </w:t>
      </w:r>
      <w:r>
        <w:rPr>
          <w:sz w:val="22"/>
          <w:u w:val="single"/>
        </w:rPr>
        <w:t>Flow</w:t>
      </w:r>
      <w:r>
        <w:rPr>
          <w:spacing w:val="-5"/>
          <w:sz w:val="22"/>
          <w:u w:val="single"/>
        </w:rPr>
        <w:t> </w:t>
      </w:r>
      <w:r>
        <w:rPr>
          <w:sz w:val="22"/>
          <w:u w:val="single"/>
        </w:rPr>
        <w:t>for</w:t>
      </w:r>
      <w:r>
        <w:rPr>
          <w:spacing w:val="-2"/>
          <w:sz w:val="22"/>
          <w:u w:val="single"/>
        </w:rPr>
        <w:t> </w:t>
      </w:r>
      <w:r>
        <w:rPr>
          <w:sz w:val="22"/>
          <w:u w:val="single"/>
        </w:rPr>
        <w:t>Distribution</w:t>
      </w:r>
      <w:r>
        <w:rPr>
          <w:spacing w:val="-3"/>
          <w:sz w:val="22"/>
          <w:u w:val="single"/>
        </w:rPr>
        <w:t> </w:t>
      </w:r>
      <w:r>
        <w:rPr>
          <w:sz w:val="22"/>
          <w:u w:val="single"/>
        </w:rPr>
        <w:t>of</w:t>
      </w:r>
      <w:r>
        <w:rPr>
          <w:spacing w:val="-2"/>
          <w:sz w:val="22"/>
          <w:u w:val="single"/>
        </w:rPr>
        <w:t> </w:t>
      </w:r>
      <w:r>
        <w:rPr>
          <w:sz w:val="22"/>
          <w:u w:val="single"/>
        </w:rPr>
        <w:t>Funds</w:t>
      </w:r>
      <w:r>
        <w:rPr>
          <w:spacing w:val="-5"/>
          <w:sz w:val="22"/>
          <w:u w:val="single"/>
        </w:rPr>
        <w:t> </w:t>
      </w:r>
      <w:r>
        <w:rPr>
          <w:sz w:val="22"/>
          <w:u w:val="single"/>
        </w:rPr>
        <w:t>Based</w:t>
      </w:r>
      <w:r>
        <w:rPr>
          <w:spacing w:val="-3"/>
          <w:sz w:val="22"/>
          <w:u w:val="single"/>
        </w:rPr>
        <w:t> </w:t>
      </w:r>
      <w:r>
        <w:rPr>
          <w:sz w:val="22"/>
          <w:u w:val="single"/>
        </w:rPr>
        <w:t>on</w:t>
      </w:r>
      <w:r>
        <w:rPr>
          <w:spacing w:val="-6"/>
          <w:sz w:val="22"/>
          <w:u w:val="single"/>
        </w:rPr>
        <w:t> </w:t>
      </w:r>
      <w:r>
        <w:rPr>
          <w:spacing w:val="-2"/>
          <w:sz w:val="22"/>
          <w:u w:val="single"/>
        </w:rPr>
        <w:t>Accountability</w:t>
      </w:r>
      <w:r>
        <w:rPr>
          <w:sz w:val="22"/>
          <w:u w:val="single"/>
        </w:rPr>
        <w:tab/>
      </w:r>
    </w:p>
    <w:p>
      <w:pPr>
        <w:pStyle w:val="BodyText"/>
        <w:spacing w:before="4"/>
        <w:rPr>
          <w:sz w:val="10"/>
        </w:rPr>
      </w:pPr>
      <w:r>
        <w:rPr/>
        <w:drawing>
          <wp:anchor distT="0" distB="0" distL="0" distR="0" allowOverlap="1" layoutInCell="1" locked="0" behindDoc="1" simplePos="0" relativeHeight="488004608">
            <wp:simplePos x="0" y="0"/>
            <wp:positionH relativeFrom="page">
              <wp:posOffset>982980</wp:posOffset>
            </wp:positionH>
            <wp:positionV relativeFrom="paragraph">
              <wp:posOffset>91121</wp:posOffset>
            </wp:positionV>
            <wp:extent cx="5997580" cy="4459224"/>
            <wp:effectExtent l="0" t="0" r="0" b="0"/>
            <wp:wrapTopAndBottom/>
            <wp:docPr id="871" name="Image 871"/>
            <wp:cNvGraphicFramePr>
              <a:graphicFrameLocks/>
            </wp:cNvGraphicFramePr>
            <a:graphic>
              <a:graphicData uri="http://schemas.openxmlformats.org/drawingml/2006/picture">
                <pic:pic>
                  <pic:nvPicPr>
                    <pic:cNvPr id="871" name="Image 871"/>
                    <pic:cNvPicPr/>
                  </pic:nvPicPr>
                  <pic:blipFill>
                    <a:blip r:embed="rId345" cstate="print"/>
                    <a:stretch>
                      <a:fillRect/>
                    </a:stretch>
                  </pic:blipFill>
                  <pic:spPr>
                    <a:xfrm>
                      <a:off x="0" y="0"/>
                      <a:ext cx="5997580" cy="4459224"/>
                    </a:xfrm>
                    <a:prstGeom prst="rect">
                      <a:avLst/>
                    </a:prstGeom>
                  </pic:spPr>
                </pic:pic>
              </a:graphicData>
            </a:graphic>
          </wp:anchor>
        </w:drawing>
      </w:r>
      <w:r>
        <w:rPr/>
        <mc:AlternateContent>
          <mc:Choice Requires="wps">
            <w:drawing>
              <wp:anchor distT="0" distB="0" distL="0" distR="0" allowOverlap="1" layoutInCell="1" locked="0" behindDoc="1" simplePos="0" relativeHeight="488005120">
                <wp:simplePos x="0" y="0"/>
                <wp:positionH relativeFrom="page">
                  <wp:posOffset>905255</wp:posOffset>
                </wp:positionH>
                <wp:positionV relativeFrom="paragraph">
                  <wp:posOffset>4651892</wp:posOffset>
                </wp:positionV>
                <wp:extent cx="6166485" cy="6350"/>
                <wp:effectExtent l="0" t="0" r="0" b="0"/>
                <wp:wrapTopAndBottom/>
                <wp:docPr id="872" name="Graphic 872"/>
                <wp:cNvGraphicFramePr>
                  <a:graphicFrameLocks/>
                </wp:cNvGraphicFramePr>
                <a:graphic>
                  <a:graphicData uri="http://schemas.microsoft.com/office/word/2010/wordprocessingShape">
                    <wps:wsp>
                      <wps:cNvPr id="872" name="Graphic 872"/>
                      <wps:cNvSpPr/>
                      <wps:spPr>
                        <a:xfrm>
                          <a:off x="0" y="0"/>
                          <a:ext cx="6166485" cy="6350"/>
                        </a:xfrm>
                        <a:custGeom>
                          <a:avLst/>
                          <a:gdLst/>
                          <a:ahLst/>
                          <a:cxnLst/>
                          <a:rect l="l" t="t" r="r" b="b"/>
                          <a:pathLst>
                            <a:path w="6166485" h="6350">
                              <a:moveTo>
                                <a:pt x="6166104" y="0"/>
                              </a:moveTo>
                              <a:lnTo>
                                <a:pt x="0" y="0"/>
                              </a:lnTo>
                              <a:lnTo>
                                <a:pt x="0" y="6095"/>
                              </a:lnTo>
                              <a:lnTo>
                                <a:pt x="6166104" y="6095"/>
                              </a:lnTo>
                              <a:lnTo>
                                <a:pt x="61661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1.279999pt;margin-top:366.290741pt;width:485.52pt;height:.48pt;mso-position-horizontal-relative:page;mso-position-vertical-relative:paragraph;z-index:-15311360;mso-wrap-distance-left:0;mso-wrap-distance-right:0" id="docshape89" filled="true" fillcolor="#000000" stroked="false">
                <v:fill type="solid"/>
                <w10:wrap type="topAndBottom"/>
              </v:rect>
            </w:pict>
          </mc:Fallback>
        </mc:AlternateContent>
      </w:r>
    </w:p>
    <w:p>
      <w:pPr>
        <w:pStyle w:val="BodyText"/>
        <w:spacing w:before="9"/>
        <w:rPr>
          <w:sz w:val="11"/>
        </w:rPr>
      </w:pPr>
    </w:p>
    <w:p>
      <w:pPr>
        <w:pStyle w:val="BodyText"/>
        <w:spacing w:before="9"/>
        <w:rPr>
          <w:sz w:val="35"/>
        </w:rPr>
      </w:pPr>
    </w:p>
    <w:p>
      <w:pPr>
        <w:spacing w:line="242" w:lineRule="auto" w:before="0"/>
        <w:ind w:left="1220" w:right="1095" w:firstLine="0"/>
        <w:jc w:val="both"/>
        <w:rPr>
          <w:sz w:val="22"/>
        </w:rPr>
      </w:pPr>
      <w:r>
        <w:rPr>
          <w:sz w:val="22"/>
        </w:rPr>
        <w:t>Based on the State’s assessments of individual accountability for each ACO, CP and CSA, individual ACOs, CPs and CSAs may not receive a certain amount of DSRIP funds each Budget Period, relative to the maximum each could potentially receive.</w:t>
      </w:r>
    </w:p>
    <w:p>
      <w:pPr>
        <w:spacing w:before="152"/>
        <w:ind w:left="1219" w:right="1094" w:firstLine="0"/>
        <w:jc w:val="both"/>
        <w:rPr>
          <w:sz w:val="22"/>
        </w:rPr>
      </w:pPr>
      <w:r>
        <w:rPr>
          <w:sz w:val="22"/>
        </w:rPr>
        <w:t>If the State’s expenditure authority is not reduced based on its accountability to CMS, the State has discretion</w:t>
      </w:r>
      <w:r>
        <w:rPr>
          <w:spacing w:val="-10"/>
          <w:sz w:val="22"/>
        </w:rPr>
        <w:t> </w:t>
      </w:r>
      <w:r>
        <w:rPr>
          <w:sz w:val="22"/>
        </w:rPr>
        <w:t>to</w:t>
      </w:r>
      <w:r>
        <w:rPr>
          <w:spacing w:val="-7"/>
          <w:sz w:val="22"/>
        </w:rPr>
        <w:t> </w:t>
      </w:r>
      <w:r>
        <w:rPr>
          <w:sz w:val="22"/>
        </w:rPr>
        <w:t>redistribute</w:t>
      </w:r>
      <w:r>
        <w:rPr>
          <w:spacing w:val="-7"/>
          <w:sz w:val="22"/>
        </w:rPr>
        <w:t> </w:t>
      </w:r>
      <w:r>
        <w:rPr>
          <w:sz w:val="22"/>
        </w:rPr>
        <w:t>the</w:t>
      </w:r>
      <w:r>
        <w:rPr>
          <w:spacing w:val="-4"/>
          <w:sz w:val="22"/>
        </w:rPr>
        <w:t> </w:t>
      </w:r>
      <w:r>
        <w:rPr>
          <w:sz w:val="22"/>
        </w:rPr>
        <w:t>DSRIP</w:t>
      </w:r>
      <w:r>
        <w:rPr>
          <w:spacing w:val="-5"/>
          <w:sz w:val="22"/>
        </w:rPr>
        <w:t> </w:t>
      </w:r>
      <w:r>
        <w:rPr>
          <w:sz w:val="22"/>
        </w:rPr>
        <w:t>funds</w:t>
      </w:r>
      <w:r>
        <w:rPr>
          <w:spacing w:val="-7"/>
          <w:sz w:val="22"/>
        </w:rPr>
        <w:t> </w:t>
      </w:r>
      <w:r>
        <w:rPr>
          <w:sz w:val="22"/>
        </w:rPr>
        <w:t>not</w:t>
      </w:r>
      <w:r>
        <w:rPr>
          <w:spacing w:val="-6"/>
          <w:sz w:val="22"/>
        </w:rPr>
        <w:t> </w:t>
      </w:r>
      <w:r>
        <w:rPr>
          <w:sz w:val="22"/>
        </w:rPr>
        <w:t>distributed</w:t>
      </w:r>
      <w:r>
        <w:rPr>
          <w:spacing w:val="-7"/>
          <w:sz w:val="22"/>
        </w:rPr>
        <w:t> </w:t>
      </w:r>
      <w:r>
        <w:rPr>
          <w:sz w:val="22"/>
        </w:rPr>
        <w:t>to</w:t>
      </w:r>
      <w:r>
        <w:rPr>
          <w:spacing w:val="-5"/>
          <w:sz w:val="22"/>
        </w:rPr>
        <w:t> </w:t>
      </w:r>
      <w:r>
        <w:rPr>
          <w:sz w:val="22"/>
        </w:rPr>
        <w:t>ACOs,</w:t>
      </w:r>
      <w:r>
        <w:rPr>
          <w:spacing w:val="-7"/>
          <w:sz w:val="22"/>
        </w:rPr>
        <w:t> </w:t>
      </w:r>
      <w:r>
        <w:rPr>
          <w:sz w:val="22"/>
        </w:rPr>
        <w:t>CPs,</w:t>
      </w:r>
      <w:r>
        <w:rPr>
          <w:spacing w:val="-7"/>
          <w:sz w:val="22"/>
        </w:rPr>
        <w:t> </w:t>
      </w:r>
      <w:r>
        <w:rPr>
          <w:sz w:val="22"/>
        </w:rPr>
        <w:t>and</w:t>
      </w:r>
      <w:r>
        <w:rPr>
          <w:spacing w:val="-7"/>
          <w:sz w:val="22"/>
        </w:rPr>
        <w:t> </w:t>
      </w:r>
      <w:r>
        <w:rPr>
          <w:sz w:val="22"/>
        </w:rPr>
        <w:t>CSAs</w:t>
      </w:r>
      <w:r>
        <w:rPr>
          <w:spacing w:val="-4"/>
          <w:sz w:val="22"/>
        </w:rPr>
        <w:t> </w:t>
      </w:r>
      <w:r>
        <w:rPr>
          <w:sz w:val="22"/>
        </w:rPr>
        <w:t>(e.g.,</w:t>
      </w:r>
      <w:r>
        <w:rPr>
          <w:spacing w:val="-5"/>
          <w:sz w:val="22"/>
        </w:rPr>
        <w:t> </w:t>
      </w:r>
      <w:r>
        <w:rPr>
          <w:sz w:val="22"/>
        </w:rPr>
        <w:t>to</w:t>
      </w:r>
      <w:r>
        <w:rPr>
          <w:spacing w:val="-7"/>
          <w:sz w:val="22"/>
        </w:rPr>
        <w:t> </w:t>
      </w:r>
      <w:r>
        <w:rPr>
          <w:sz w:val="22"/>
        </w:rPr>
        <w:t>determine</w:t>
      </w:r>
      <w:r>
        <w:rPr>
          <w:spacing w:val="-4"/>
          <w:sz w:val="22"/>
        </w:rPr>
        <w:t> </w:t>
      </w:r>
      <w:r>
        <w:rPr>
          <w:sz w:val="22"/>
        </w:rPr>
        <w:t>how much each of the funding streams and sub-streams is increased) to best meet the State’s programmatic needs, subject to any limits described elsewhere in this Protocol.</w:t>
      </w:r>
      <w:r>
        <w:rPr>
          <w:spacing w:val="40"/>
          <w:sz w:val="22"/>
        </w:rPr>
        <w:t> </w:t>
      </w:r>
      <w:r>
        <w:rPr>
          <w:sz w:val="22"/>
        </w:rPr>
        <w:t>For example, the State will identify the amount</w:t>
      </w:r>
      <w:r>
        <w:rPr>
          <w:spacing w:val="-9"/>
          <w:sz w:val="22"/>
        </w:rPr>
        <w:t> </w:t>
      </w:r>
      <w:r>
        <w:rPr>
          <w:sz w:val="22"/>
        </w:rPr>
        <w:t>of</w:t>
      </w:r>
      <w:r>
        <w:rPr>
          <w:spacing w:val="-9"/>
          <w:sz w:val="22"/>
        </w:rPr>
        <w:t> </w:t>
      </w:r>
      <w:r>
        <w:rPr>
          <w:sz w:val="22"/>
        </w:rPr>
        <w:t>forfeited</w:t>
      </w:r>
      <w:r>
        <w:rPr>
          <w:spacing w:val="-9"/>
          <w:sz w:val="22"/>
        </w:rPr>
        <w:t> </w:t>
      </w:r>
      <w:r>
        <w:rPr>
          <w:sz w:val="22"/>
        </w:rPr>
        <w:t>DSRIP</w:t>
      </w:r>
      <w:r>
        <w:rPr>
          <w:spacing w:val="-10"/>
          <w:sz w:val="22"/>
        </w:rPr>
        <w:t> </w:t>
      </w:r>
      <w:r>
        <w:rPr>
          <w:sz w:val="22"/>
        </w:rPr>
        <w:t>funds</w:t>
      </w:r>
      <w:r>
        <w:rPr>
          <w:spacing w:val="-10"/>
          <w:sz w:val="22"/>
        </w:rPr>
        <w:t> </w:t>
      </w:r>
      <w:r>
        <w:rPr>
          <w:sz w:val="22"/>
        </w:rPr>
        <w:t>it</w:t>
      </w:r>
      <w:r>
        <w:rPr>
          <w:spacing w:val="-10"/>
          <w:sz w:val="22"/>
        </w:rPr>
        <w:t> </w:t>
      </w:r>
      <w:r>
        <w:rPr>
          <w:sz w:val="22"/>
        </w:rPr>
        <w:t>has</w:t>
      </w:r>
      <w:r>
        <w:rPr>
          <w:spacing w:val="-10"/>
          <w:sz w:val="22"/>
        </w:rPr>
        <w:t> </w:t>
      </w:r>
      <w:r>
        <w:rPr>
          <w:sz w:val="22"/>
        </w:rPr>
        <w:t>available</w:t>
      </w:r>
      <w:r>
        <w:rPr>
          <w:spacing w:val="-9"/>
          <w:sz w:val="22"/>
        </w:rPr>
        <w:t> </w:t>
      </w:r>
      <w:r>
        <w:rPr>
          <w:sz w:val="22"/>
        </w:rPr>
        <w:t>to</w:t>
      </w:r>
      <w:r>
        <w:rPr>
          <w:spacing w:val="-11"/>
          <w:sz w:val="22"/>
        </w:rPr>
        <w:t> </w:t>
      </w:r>
      <w:r>
        <w:rPr>
          <w:sz w:val="22"/>
        </w:rPr>
        <w:t>redistribute,</w:t>
      </w:r>
      <w:r>
        <w:rPr>
          <w:spacing w:val="-11"/>
          <w:sz w:val="22"/>
        </w:rPr>
        <w:t> </w:t>
      </w:r>
      <w:r>
        <w:rPr>
          <w:sz w:val="22"/>
        </w:rPr>
        <w:t>and</w:t>
      </w:r>
      <w:r>
        <w:rPr>
          <w:spacing w:val="-9"/>
          <w:sz w:val="22"/>
        </w:rPr>
        <w:t> </w:t>
      </w:r>
      <w:r>
        <w:rPr>
          <w:sz w:val="22"/>
        </w:rPr>
        <w:t>then</w:t>
      </w:r>
      <w:r>
        <w:rPr>
          <w:spacing w:val="-10"/>
          <w:sz w:val="22"/>
        </w:rPr>
        <w:t> </w:t>
      </w:r>
      <w:r>
        <w:rPr>
          <w:sz w:val="22"/>
        </w:rPr>
        <w:t>determine</w:t>
      </w:r>
      <w:r>
        <w:rPr>
          <w:spacing w:val="-11"/>
          <w:sz w:val="22"/>
        </w:rPr>
        <w:t> </w:t>
      </w:r>
      <w:r>
        <w:rPr>
          <w:sz w:val="22"/>
        </w:rPr>
        <w:t>how</w:t>
      </w:r>
      <w:r>
        <w:rPr>
          <w:spacing w:val="-10"/>
          <w:sz w:val="22"/>
        </w:rPr>
        <w:t> </w:t>
      </w:r>
      <w:r>
        <w:rPr>
          <w:sz w:val="22"/>
        </w:rPr>
        <w:t>it</w:t>
      </w:r>
      <w:r>
        <w:rPr>
          <w:spacing w:val="-9"/>
          <w:sz w:val="22"/>
        </w:rPr>
        <w:t> </w:t>
      </w:r>
      <w:r>
        <w:rPr>
          <w:sz w:val="22"/>
        </w:rPr>
        <w:t>might</w:t>
      </w:r>
      <w:r>
        <w:rPr>
          <w:spacing w:val="-9"/>
          <w:sz w:val="22"/>
        </w:rPr>
        <w:t> </w:t>
      </w:r>
      <w:r>
        <w:rPr>
          <w:sz w:val="22"/>
        </w:rPr>
        <w:t>reallocate</w:t>
      </w:r>
    </w:p>
    <w:p>
      <w:pPr>
        <w:spacing w:after="0"/>
        <w:jc w:val="both"/>
        <w:rPr>
          <w:sz w:val="22"/>
        </w:rPr>
        <w:sectPr>
          <w:pgSz w:w="12240" w:h="15840"/>
          <w:pgMar w:header="0" w:footer="967" w:top="1360" w:bottom="1160" w:left="220" w:right="340"/>
        </w:sectPr>
      </w:pPr>
    </w:p>
    <w:p>
      <w:pPr>
        <w:spacing w:before="78"/>
        <w:ind w:left="1219" w:right="1095" w:firstLine="0"/>
        <w:jc w:val="both"/>
        <w:rPr>
          <w:sz w:val="22"/>
        </w:rPr>
      </w:pPr>
      <w:r>
        <w:rPr>
          <w:sz w:val="22"/>
        </w:rPr>
        <w:t>the funds to other DSRIP funding streams.</w:t>
      </w:r>
      <w:r>
        <w:rPr>
          <w:spacing w:val="40"/>
          <w:sz w:val="22"/>
        </w:rPr>
        <w:t> </w:t>
      </w:r>
      <w:r>
        <w:rPr>
          <w:sz w:val="22"/>
        </w:rPr>
        <w:t>Any such redistributions would be reported with CMS in the State's quarterly progress reports.</w:t>
      </w:r>
    </w:p>
    <w:p>
      <w:pPr>
        <w:pStyle w:val="BodyText"/>
        <w:rPr>
          <w:sz w:val="22"/>
        </w:rPr>
      </w:pPr>
    </w:p>
    <w:p>
      <w:pPr>
        <w:spacing w:before="0"/>
        <w:ind w:left="1219" w:right="1094" w:firstLine="0"/>
        <w:jc w:val="both"/>
        <w:rPr>
          <w:sz w:val="22"/>
        </w:rPr>
      </w:pPr>
      <w:r>
        <w:rPr>
          <w:sz w:val="22"/>
        </w:rPr>
        <w:t>For</w:t>
      </w:r>
      <w:r>
        <w:rPr>
          <w:spacing w:val="-3"/>
          <w:sz w:val="22"/>
        </w:rPr>
        <w:t> </w:t>
      </w:r>
      <w:r>
        <w:rPr>
          <w:sz w:val="22"/>
        </w:rPr>
        <w:t>example,</w:t>
      </w:r>
      <w:r>
        <w:rPr>
          <w:spacing w:val="-4"/>
          <w:sz w:val="22"/>
        </w:rPr>
        <w:t> </w:t>
      </w:r>
      <w:r>
        <w:rPr>
          <w:sz w:val="22"/>
        </w:rPr>
        <w:t>as</w:t>
      </w:r>
      <w:r>
        <w:rPr>
          <w:spacing w:val="-3"/>
          <w:sz w:val="22"/>
        </w:rPr>
        <w:t> </w:t>
      </w:r>
      <w:r>
        <w:rPr>
          <w:sz w:val="22"/>
        </w:rPr>
        <w:t>early</w:t>
      </w:r>
      <w:r>
        <w:rPr>
          <w:spacing w:val="-6"/>
          <w:sz w:val="22"/>
        </w:rPr>
        <w:t> </w:t>
      </w:r>
      <w:r>
        <w:rPr>
          <w:sz w:val="22"/>
        </w:rPr>
        <w:t>as</w:t>
      </w:r>
      <w:r>
        <w:rPr>
          <w:spacing w:val="-3"/>
          <w:sz w:val="22"/>
        </w:rPr>
        <w:t> </w:t>
      </w:r>
      <w:r>
        <w:rPr>
          <w:sz w:val="22"/>
        </w:rPr>
        <w:t>the</w:t>
      </w:r>
      <w:r>
        <w:rPr>
          <w:spacing w:val="-6"/>
          <w:sz w:val="22"/>
        </w:rPr>
        <w:t> </w:t>
      </w:r>
      <w:r>
        <w:rPr>
          <w:sz w:val="22"/>
        </w:rPr>
        <w:t>end</w:t>
      </w:r>
      <w:r>
        <w:rPr>
          <w:spacing w:val="-4"/>
          <w:sz w:val="22"/>
        </w:rPr>
        <w:t> </w:t>
      </w:r>
      <w:r>
        <w:rPr>
          <w:sz w:val="22"/>
        </w:rPr>
        <w:t>of</w:t>
      </w:r>
      <w:r>
        <w:rPr>
          <w:spacing w:val="-3"/>
          <w:sz w:val="22"/>
        </w:rPr>
        <w:t> </w:t>
      </w:r>
      <w:r>
        <w:rPr>
          <w:sz w:val="22"/>
        </w:rPr>
        <w:t>Q2</w:t>
      </w:r>
      <w:r>
        <w:rPr>
          <w:spacing w:val="-4"/>
          <w:sz w:val="22"/>
        </w:rPr>
        <w:t> </w:t>
      </w:r>
      <w:r>
        <w:rPr>
          <w:sz w:val="22"/>
        </w:rPr>
        <w:t>of</w:t>
      </w:r>
      <w:r>
        <w:rPr>
          <w:spacing w:val="-3"/>
          <w:sz w:val="22"/>
        </w:rPr>
        <w:t> </w:t>
      </w:r>
      <w:r>
        <w:rPr>
          <w:sz w:val="22"/>
        </w:rPr>
        <w:t>BP4,</w:t>
      </w:r>
      <w:r>
        <w:rPr>
          <w:spacing w:val="-4"/>
          <w:sz w:val="22"/>
        </w:rPr>
        <w:t> </w:t>
      </w:r>
      <w:r>
        <w:rPr>
          <w:sz w:val="22"/>
        </w:rPr>
        <w:t>the</w:t>
      </w:r>
      <w:r>
        <w:rPr>
          <w:spacing w:val="-3"/>
          <w:sz w:val="22"/>
        </w:rPr>
        <w:t> </w:t>
      </w:r>
      <w:r>
        <w:rPr>
          <w:sz w:val="22"/>
        </w:rPr>
        <w:t>State</w:t>
      </w:r>
      <w:r>
        <w:rPr>
          <w:spacing w:val="-3"/>
          <w:sz w:val="22"/>
        </w:rPr>
        <w:t> </w:t>
      </w:r>
      <w:r>
        <w:rPr>
          <w:sz w:val="22"/>
        </w:rPr>
        <w:t>anticipates</w:t>
      </w:r>
      <w:r>
        <w:rPr>
          <w:spacing w:val="-3"/>
          <w:sz w:val="22"/>
        </w:rPr>
        <w:t> </w:t>
      </w:r>
      <w:r>
        <w:rPr>
          <w:sz w:val="22"/>
        </w:rPr>
        <w:t>that</w:t>
      </w:r>
      <w:r>
        <w:rPr>
          <w:spacing w:val="-5"/>
          <w:sz w:val="22"/>
        </w:rPr>
        <w:t> </w:t>
      </w:r>
      <w:r>
        <w:rPr>
          <w:sz w:val="22"/>
        </w:rPr>
        <w:t>the</w:t>
      </w:r>
      <w:r>
        <w:rPr>
          <w:spacing w:val="-3"/>
          <w:sz w:val="22"/>
        </w:rPr>
        <w:t> </w:t>
      </w:r>
      <w:r>
        <w:rPr>
          <w:sz w:val="22"/>
        </w:rPr>
        <w:t>BP2</w:t>
      </w:r>
      <w:r>
        <w:rPr>
          <w:spacing w:val="-4"/>
          <w:sz w:val="22"/>
        </w:rPr>
        <w:t> </w:t>
      </w:r>
      <w:r>
        <w:rPr>
          <w:sz w:val="22"/>
        </w:rPr>
        <w:t>Accountability</w:t>
      </w:r>
      <w:r>
        <w:rPr>
          <w:spacing w:val="-6"/>
          <w:sz w:val="22"/>
        </w:rPr>
        <w:t> </w:t>
      </w:r>
      <w:r>
        <w:rPr>
          <w:sz w:val="22"/>
        </w:rPr>
        <w:t>Scores</w:t>
      </w:r>
      <w:r>
        <w:rPr>
          <w:spacing w:val="-3"/>
          <w:sz w:val="22"/>
        </w:rPr>
        <w:t> </w:t>
      </w:r>
      <w:r>
        <w:rPr>
          <w:sz w:val="22"/>
        </w:rPr>
        <w:t>for the State, ACOs, CPs and CSAs will become available.</w:t>
      </w:r>
      <w:r>
        <w:rPr>
          <w:spacing w:val="40"/>
          <w:sz w:val="22"/>
        </w:rPr>
        <w:t> </w:t>
      </w:r>
      <w:r>
        <w:rPr>
          <w:sz w:val="22"/>
        </w:rPr>
        <w:t>If ACOs lost $1M of at-risk BP2 funds and the State earned a 100% DSRIP Accountability Score, then the State could reallocate that $1M to a different funding stream</w:t>
      </w:r>
      <w:r>
        <w:rPr>
          <w:spacing w:val="-1"/>
          <w:sz w:val="22"/>
        </w:rPr>
        <w:t> </w:t>
      </w:r>
      <w:r>
        <w:rPr>
          <w:sz w:val="22"/>
        </w:rPr>
        <w:t>or sub-stream, at the State’s discretion, based on the State’s assessment of program</w:t>
      </w:r>
      <w:r>
        <w:rPr>
          <w:spacing w:val="-1"/>
          <w:sz w:val="22"/>
        </w:rPr>
        <w:t> </w:t>
      </w:r>
      <w:r>
        <w:rPr>
          <w:sz w:val="22"/>
        </w:rPr>
        <w:t>needs, in the remaining time left in BP4 (e.g., increase flexible services allocation for ACOs, increase care coordination funding amounts or the outcomes-based incentive pool for CPs, increase statewide investments funding or implementation/oversight funding), or may be used for future BP4 or BP5 payments.</w:t>
      </w:r>
      <w:r>
        <w:rPr>
          <w:spacing w:val="40"/>
          <w:sz w:val="22"/>
        </w:rPr>
        <w:t> </w:t>
      </w:r>
      <w:r>
        <w:rPr>
          <w:sz w:val="22"/>
        </w:rPr>
        <w:t>The allowable categories that the redistributed funds could be reallocated to are:</w:t>
      </w:r>
    </w:p>
    <w:p>
      <w:pPr>
        <w:pStyle w:val="ListParagraph"/>
        <w:numPr>
          <w:ilvl w:val="0"/>
          <w:numId w:val="79"/>
        </w:numPr>
        <w:tabs>
          <w:tab w:pos="1938" w:val="left" w:leader="none"/>
        </w:tabs>
        <w:spacing w:line="269" w:lineRule="exact" w:before="0" w:after="0"/>
        <w:ind w:left="1938" w:right="0" w:hanging="359"/>
        <w:jc w:val="both"/>
        <w:rPr>
          <w:sz w:val="22"/>
        </w:rPr>
      </w:pPr>
      <w:r>
        <w:rPr>
          <w:sz w:val="22"/>
        </w:rPr>
        <w:t>ACO</w:t>
      </w:r>
      <w:r>
        <w:rPr>
          <w:spacing w:val="-5"/>
          <w:sz w:val="22"/>
        </w:rPr>
        <w:t> </w:t>
      </w:r>
      <w:r>
        <w:rPr>
          <w:sz w:val="22"/>
        </w:rPr>
        <w:t>funding</w:t>
      </w:r>
      <w:r>
        <w:rPr>
          <w:spacing w:val="-3"/>
          <w:sz w:val="22"/>
        </w:rPr>
        <w:t> </w:t>
      </w:r>
      <w:r>
        <w:rPr>
          <w:spacing w:val="-2"/>
          <w:sz w:val="22"/>
        </w:rPr>
        <w:t>stream</w:t>
      </w:r>
    </w:p>
    <w:p>
      <w:pPr>
        <w:pStyle w:val="ListParagraph"/>
        <w:numPr>
          <w:ilvl w:val="1"/>
          <w:numId w:val="79"/>
        </w:numPr>
        <w:tabs>
          <w:tab w:pos="2658" w:val="left" w:leader="none"/>
        </w:tabs>
        <w:spacing w:line="262" w:lineRule="exact" w:before="0" w:after="0"/>
        <w:ind w:left="2658" w:right="0" w:hanging="359"/>
        <w:jc w:val="both"/>
        <w:rPr>
          <w:sz w:val="22"/>
        </w:rPr>
      </w:pPr>
      <w:r>
        <w:rPr>
          <w:spacing w:val="-2"/>
          <w:sz w:val="22"/>
        </w:rPr>
        <w:t>Startup/ongoing</w:t>
      </w:r>
    </w:p>
    <w:p>
      <w:pPr>
        <w:pStyle w:val="ListParagraph"/>
        <w:numPr>
          <w:ilvl w:val="1"/>
          <w:numId w:val="79"/>
        </w:numPr>
        <w:tabs>
          <w:tab w:pos="2659" w:val="left" w:leader="none"/>
        </w:tabs>
        <w:spacing w:line="254" w:lineRule="exact" w:before="0" w:after="0"/>
        <w:ind w:left="2659" w:right="0" w:hanging="359"/>
        <w:jc w:val="both"/>
        <w:rPr>
          <w:sz w:val="22"/>
        </w:rPr>
      </w:pPr>
      <w:r>
        <w:rPr>
          <w:sz w:val="22"/>
        </w:rPr>
        <w:t>Flexible</w:t>
      </w:r>
      <w:r>
        <w:rPr>
          <w:spacing w:val="-7"/>
          <w:sz w:val="22"/>
        </w:rPr>
        <w:t> </w:t>
      </w:r>
      <w:r>
        <w:rPr>
          <w:spacing w:val="-2"/>
          <w:sz w:val="22"/>
        </w:rPr>
        <w:t>services</w:t>
      </w:r>
    </w:p>
    <w:p>
      <w:pPr>
        <w:pStyle w:val="ListParagraph"/>
        <w:numPr>
          <w:ilvl w:val="0"/>
          <w:numId w:val="79"/>
        </w:numPr>
        <w:tabs>
          <w:tab w:pos="1939" w:val="left" w:leader="none"/>
        </w:tabs>
        <w:spacing w:line="259" w:lineRule="exact" w:before="0" w:after="0"/>
        <w:ind w:left="1939" w:right="0" w:hanging="359"/>
        <w:jc w:val="both"/>
        <w:rPr>
          <w:sz w:val="22"/>
        </w:rPr>
      </w:pPr>
      <w:r>
        <w:rPr>
          <w:sz w:val="22"/>
        </w:rPr>
        <w:t>Community</w:t>
      </w:r>
      <w:r>
        <w:rPr>
          <w:spacing w:val="-7"/>
          <w:sz w:val="22"/>
        </w:rPr>
        <w:t> </w:t>
      </w:r>
      <w:r>
        <w:rPr>
          <w:sz w:val="22"/>
        </w:rPr>
        <w:t>Partners</w:t>
      </w:r>
      <w:r>
        <w:rPr>
          <w:spacing w:val="-5"/>
          <w:sz w:val="22"/>
        </w:rPr>
        <w:t> </w:t>
      </w:r>
      <w:r>
        <w:rPr>
          <w:sz w:val="22"/>
        </w:rPr>
        <w:t>funding</w:t>
      </w:r>
      <w:r>
        <w:rPr>
          <w:spacing w:val="-6"/>
          <w:sz w:val="22"/>
        </w:rPr>
        <w:t> </w:t>
      </w:r>
      <w:r>
        <w:rPr>
          <w:spacing w:val="-2"/>
          <w:sz w:val="22"/>
        </w:rPr>
        <w:t>stream</w:t>
      </w:r>
    </w:p>
    <w:p>
      <w:pPr>
        <w:pStyle w:val="ListParagraph"/>
        <w:numPr>
          <w:ilvl w:val="1"/>
          <w:numId w:val="79"/>
        </w:numPr>
        <w:tabs>
          <w:tab w:pos="2659" w:val="left" w:leader="none"/>
        </w:tabs>
        <w:spacing w:line="262" w:lineRule="exact" w:before="0" w:after="0"/>
        <w:ind w:left="2659" w:right="0" w:hanging="359"/>
        <w:jc w:val="left"/>
        <w:rPr>
          <w:sz w:val="22"/>
        </w:rPr>
      </w:pPr>
      <w:r>
        <w:rPr>
          <w:sz w:val="22"/>
        </w:rPr>
        <w:t>Infrastructure</w:t>
      </w:r>
      <w:r>
        <w:rPr>
          <w:spacing w:val="-6"/>
          <w:sz w:val="22"/>
        </w:rPr>
        <w:t> </w:t>
      </w:r>
      <w:r>
        <w:rPr>
          <w:sz w:val="22"/>
        </w:rPr>
        <w:t>and</w:t>
      </w:r>
      <w:r>
        <w:rPr>
          <w:spacing w:val="-3"/>
          <w:sz w:val="22"/>
        </w:rPr>
        <w:t> </w:t>
      </w:r>
      <w:r>
        <w:rPr>
          <w:sz w:val="22"/>
        </w:rPr>
        <w:t>capacity</w:t>
      </w:r>
      <w:r>
        <w:rPr>
          <w:spacing w:val="-8"/>
          <w:sz w:val="22"/>
        </w:rPr>
        <w:t> </w:t>
      </w:r>
      <w:r>
        <w:rPr>
          <w:spacing w:val="-2"/>
          <w:sz w:val="22"/>
        </w:rPr>
        <w:t>building</w:t>
      </w:r>
    </w:p>
    <w:p>
      <w:pPr>
        <w:pStyle w:val="ListParagraph"/>
        <w:numPr>
          <w:ilvl w:val="1"/>
          <w:numId w:val="79"/>
        </w:numPr>
        <w:tabs>
          <w:tab w:pos="2659" w:val="left" w:leader="none"/>
        </w:tabs>
        <w:spacing w:line="253" w:lineRule="exact" w:before="0" w:after="0"/>
        <w:ind w:left="2659" w:right="0" w:hanging="359"/>
        <w:jc w:val="left"/>
        <w:rPr>
          <w:sz w:val="22"/>
        </w:rPr>
      </w:pPr>
      <w:r>
        <w:rPr>
          <w:sz w:val="22"/>
        </w:rPr>
        <w:t>Care</w:t>
      </w:r>
      <w:r>
        <w:rPr>
          <w:spacing w:val="-1"/>
          <w:sz w:val="22"/>
        </w:rPr>
        <w:t> </w:t>
      </w:r>
      <w:r>
        <w:rPr>
          <w:spacing w:val="-2"/>
          <w:sz w:val="22"/>
        </w:rPr>
        <w:t>coordination</w:t>
      </w:r>
    </w:p>
    <w:p>
      <w:pPr>
        <w:pStyle w:val="ListParagraph"/>
        <w:numPr>
          <w:ilvl w:val="1"/>
          <w:numId w:val="79"/>
        </w:numPr>
        <w:tabs>
          <w:tab w:pos="2659" w:val="left" w:leader="none"/>
        </w:tabs>
        <w:spacing w:line="252" w:lineRule="exact" w:before="0" w:after="0"/>
        <w:ind w:left="2659" w:right="0" w:hanging="359"/>
        <w:jc w:val="left"/>
        <w:rPr>
          <w:sz w:val="22"/>
        </w:rPr>
      </w:pPr>
      <w:r>
        <w:rPr>
          <w:sz w:val="22"/>
        </w:rPr>
        <w:t>Outcomes-based</w:t>
      </w:r>
      <w:r>
        <w:rPr>
          <w:spacing w:val="-9"/>
          <w:sz w:val="22"/>
        </w:rPr>
        <w:t> </w:t>
      </w:r>
      <w:r>
        <w:rPr>
          <w:spacing w:val="-2"/>
          <w:sz w:val="22"/>
        </w:rPr>
        <w:t>payments</w:t>
      </w:r>
    </w:p>
    <w:p>
      <w:pPr>
        <w:pStyle w:val="ListParagraph"/>
        <w:numPr>
          <w:ilvl w:val="0"/>
          <w:numId w:val="79"/>
        </w:numPr>
        <w:tabs>
          <w:tab w:pos="1940" w:val="left" w:leader="none"/>
        </w:tabs>
        <w:spacing w:line="259" w:lineRule="exact" w:before="0" w:after="0"/>
        <w:ind w:left="1940" w:right="0" w:hanging="360"/>
        <w:jc w:val="left"/>
        <w:rPr>
          <w:sz w:val="22"/>
        </w:rPr>
      </w:pPr>
      <w:r>
        <w:rPr>
          <w:sz w:val="22"/>
        </w:rPr>
        <w:t>Statewide</w:t>
      </w:r>
      <w:r>
        <w:rPr>
          <w:spacing w:val="-9"/>
          <w:sz w:val="22"/>
        </w:rPr>
        <w:t> </w:t>
      </w:r>
      <w:r>
        <w:rPr>
          <w:sz w:val="22"/>
        </w:rPr>
        <w:t>Investments</w:t>
      </w:r>
      <w:r>
        <w:rPr>
          <w:spacing w:val="-6"/>
          <w:sz w:val="22"/>
        </w:rPr>
        <w:t> </w:t>
      </w:r>
      <w:r>
        <w:rPr>
          <w:sz w:val="22"/>
        </w:rPr>
        <w:t>funding</w:t>
      </w:r>
      <w:r>
        <w:rPr>
          <w:spacing w:val="-7"/>
          <w:sz w:val="22"/>
        </w:rPr>
        <w:t> </w:t>
      </w:r>
      <w:r>
        <w:rPr>
          <w:spacing w:val="-2"/>
          <w:sz w:val="22"/>
        </w:rPr>
        <w:t>stream</w:t>
      </w:r>
    </w:p>
    <w:p>
      <w:pPr>
        <w:pStyle w:val="ListParagraph"/>
        <w:numPr>
          <w:ilvl w:val="1"/>
          <w:numId w:val="79"/>
        </w:numPr>
        <w:tabs>
          <w:tab w:pos="2659" w:val="left" w:leader="none"/>
        </w:tabs>
        <w:spacing w:line="271" w:lineRule="exact" w:before="0" w:after="0"/>
        <w:ind w:left="2659" w:right="0" w:hanging="359"/>
        <w:jc w:val="left"/>
        <w:rPr>
          <w:sz w:val="22"/>
        </w:rPr>
      </w:pPr>
      <w:r>
        <w:rPr>
          <w:sz w:val="22"/>
        </w:rPr>
        <w:t>All</w:t>
      </w:r>
      <w:r>
        <w:rPr>
          <w:spacing w:val="-3"/>
          <w:sz w:val="22"/>
        </w:rPr>
        <w:t> </w:t>
      </w:r>
      <w:r>
        <w:rPr>
          <w:sz w:val="22"/>
        </w:rPr>
        <w:t>statewide</w:t>
      </w:r>
      <w:r>
        <w:rPr>
          <w:spacing w:val="-3"/>
          <w:sz w:val="22"/>
        </w:rPr>
        <w:t> </w:t>
      </w:r>
      <w:r>
        <w:rPr>
          <w:spacing w:val="-2"/>
          <w:sz w:val="22"/>
        </w:rPr>
        <w:t>investments</w:t>
      </w:r>
    </w:p>
    <w:p>
      <w:pPr>
        <w:pStyle w:val="BodyText"/>
        <w:spacing w:before="4"/>
        <w:rPr>
          <w:sz w:val="20"/>
        </w:rPr>
      </w:pPr>
    </w:p>
    <w:p>
      <w:pPr>
        <w:spacing w:before="1"/>
        <w:ind w:left="1220" w:right="1095" w:firstLine="0"/>
        <w:jc w:val="both"/>
        <w:rPr>
          <w:sz w:val="22"/>
        </w:rPr>
      </w:pPr>
      <w:r>
        <w:rPr>
          <w:sz w:val="22"/>
        </w:rPr>
        <w:t>If</w:t>
      </w:r>
      <w:r>
        <w:rPr>
          <w:spacing w:val="-9"/>
          <w:sz w:val="22"/>
        </w:rPr>
        <w:t> </w:t>
      </w:r>
      <w:r>
        <w:rPr>
          <w:sz w:val="22"/>
        </w:rPr>
        <w:t>the</w:t>
      </w:r>
      <w:r>
        <w:rPr>
          <w:spacing w:val="-9"/>
          <w:sz w:val="22"/>
        </w:rPr>
        <w:t> </w:t>
      </w:r>
      <w:r>
        <w:rPr>
          <w:sz w:val="22"/>
        </w:rPr>
        <w:t>State’s</w:t>
      </w:r>
      <w:r>
        <w:rPr>
          <w:spacing w:val="-11"/>
          <w:sz w:val="22"/>
        </w:rPr>
        <w:t> </w:t>
      </w:r>
      <w:r>
        <w:rPr>
          <w:sz w:val="22"/>
        </w:rPr>
        <w:t>expenditure</w:t>
      </w:r>
      <w:r>
        <w:rPr>
          <w:spacing w:val="-11"/>
          <w:sz w:val="22"/>
        </w:rPr>
        <w:t> </w:t>
      </w:r>
      <w:r>
        <w:rPr>
          <w:sz w:val="22"/>
        </w:rPr>
        <w:t>authority</w:t>
      </w:r>
      <w:r>
        <w:rPr>
          <w:spacing w:val="-12"/>
          <w:sz w:val="22"/>
        </w:rPr>
        <w:t> </w:t>
      </w:r>
      <w:r>
        <w:rPr>
          <w:sz w:val="22"/>
        </w:rPr>
        <w:t>has</w:t>
      </w:r>
      <w:r>
        <w:rPr>
          <w:spacing w:val="-9"/>
          <w:sz w:val="22"/>
        </w:rPr>
        <w:t> </w:t>
      </w:r>
      <w:r>
        <w:rPr>
          <w:sz w:val="22"/>
        </w:rPr>
        <w:t>been</w:t>
      </w:r>
      <w:r>
        <w:rPr>
          <w:spacing w:val="-12"/>
          <w:sz w:val="22"/>
        </w:rPr>
        <w:t> </w:t>
      </w:r>
      <w:r>
        <w:rPr>
          <w:sz w:val="22"/>
        </w:rPr>
        <w:t>reduced</w:t>
      </w:r>
      <w:r>
        <w:rPr>
          <w:spacing w:val="-12"/>
          <w:sz w:val="22"/>
        </w:rPr>
        <w:t> </w:t>
      </w:r>
      <w:r>
        <w:rPr>
          <w:sz w:val="22"/>
        </w:rPr>
        <w:t>based</w:t>
      </w:r>
      <w:r>
        <w:rPr>
          <w:spacing w:val="-10"/>
          <w:sz w:val="22"/>
        </w:rPr>
        <w:t> </w:t>
      </w:r>
      <w:r>
        <w:rPr>
          <w:sz w:val="22"/>
        </w:rPr>
        <w:t>on</w:t>
      </w:r>
      <w:r>
        <w:rPr>
          <w:spacing w:val="-12"/>
          <w:sz w:val="22"/>
        </w:rPr>
        <w:t> </w:t>
      </w:r>
      <w:r>
        <w:rPr>
          <w:sz w:val="22"/>
        </w:rPr>
        <w:t>its</w:t>
      </w:r>
      <w:r>
        <w:rPr>
          <w:spacing w:val="-12"/>
          <w:sz w:val="22"/>
        </w:rPr>
        <w:t> </w:t>
      </w:r>
      <w:r>
        <w:rPr>
          <w:sz w:val="22"/>
        </w:rPr>
        <w:t>accountability</w:t>
      </w:r>
      <w:r>
        <w:rPr>
          <w:spacing w:val="-12"/>
          <w:sz w:val="22"/>
        </w:rPr>
        <w:t> </w:t>
      </w:r>
      <w:r>
        <w:rPr>
          <w:sz w:val="22"/>
        </w:rPr>
        <w:t>to</w:t>
      </w:r>
      <w:r>
        <w:rPr>
          <w:spacing w:val="-14"/>
          <w:sz w:val="22"/>
        </w:rPr>
        <w:t> </w:t>
      </w:r>
      <w:r>
        <w:rPr>
          <w:sz w:val="22"/>
        </w:rPr>
        <w:t>CMS,</w:t>
      </w:r>
      <w:r>
        <w:rPr>
          <w:spacing w:val="-10"/>
          <w:sz w:val="22"/>
        </w:rPr>
        <w:t> </w:t>
      </w:r>
      <w:r>
        <w:rPr>
          <w:sz w:val="22"/>
        </w:rPr>
        <w:t>the</w:t>
      </w:r>
      <w:r>
        <w:rPr>
          <w:spacing w:val="-9"/>
          <w:sz w:val="22"/>
        </w:rPr>
        <w:t> </w:t>
      </w:r>
      <w:r>
        <w:rPr>
          <w:sz w:val="22"/>
        </w:rPr>
        <w:t>State</w:t>
      </w:r>
      <w:r>
        <w:rPr>
          <w:spacing w:val="-9"/>
          <w:sz w:val="22"/>
        </w:rPr>
        <w:t> </w:t>
      </w:r>
      <w:r>
        <w:rPr>
          <w:sz w:val="22"/>
        </w:rPr>
        <w:t>will</w:t>
      </w:r>
      <w:r>
        <w:rPr>
          <w:spacing w:val="-9"/>
          <w:sz w:val="22"/>
        </w:rPr>
        <w:t> </w:t>
      </w:r>
      <w:r>
        <w:rPr>
          <w:sz w:val="22"/>
        </w:rPr>
        <w:t>base its actions on the relative sizes of these reductions, as follows:</w:t>
      </w:r>
    </w:p>
    <w:p>
      <w:pPr>
        <w:pStyle w:val="BodyText"/>
        <w:spacing w:before="2"/>
        <w:rPr>
          <w:sz w:val="22"/>
        </w:rPr>
      </w:pPr>
    </w:p>
    <w:p>
      <w:pPr>
        <w:pStyle w:val="ListParagraph"/>
        <w:numPr>
          <w:ilvl w:val="0"/>
          <w:numId w:val="79"/>
        </w:numPr>
        <w:tabs>
          <w:tab w:pos="1938" w:val="left" w:leader="none"/>
          <w:tab w:pos="1940" w:val="left" w:leader="none"/>
        </w:tabs>
        <w:spacing w:line="240" w:lineRule="auto" w:before="0" w:after="0"/>
        <w:ind w:left="1940" w:right="1095" w:hanging="361"/>
        <w:jc w:val="both"/>
        <w:rPr>
          <w:sz w:val="22"/>
        </w:rPr>
      </w:pPr>
      <w:r>
        <w:rPr>
          <w:sz w:val="22"/>
        </w:rPr>
        <w:t>If the amount of funds not distributed to ACOs, CPs and CSAs pursuant to their accountability scores</w:t>
      </w:r>
      <w:r>
        <w:rPr>
          <w:spacing w:val="-4"/>
          <w:sz w:val="22"/>
        </w:rPr>
        <w:t> </w:t>
      </w:r>
      <w:r>
        <w:rPr>
          <w:sz w:val="22"/>
        </w:rPr>
        <w:t>is</w:t>
      </w:r>
      <w:r>
        <w:rPr>
          <w:spacing w:val="-4"/>
          <w:sz w:val="22"/>
        </w:rPr>
        <w:t> </w:t>
      </w:r>
      <w:r>
        <w:rPr>
          <w:sz w:val="22"/>
        </w:rPr>
        <w:t>equal</w:t>
      </w:r>
      <w:r>
        <w:rPr>
          <w:spacing w:val="-4"/>
          <w:sz w:val="22"/>
        </w:rPr>
        <w:t> </w:t>
      </w:r>
      <w:r>
        <w:rPr>
          <w:sz w:val="22"/>
        </w:rPr>
        <w:t>to</w:t>
      </w:r>
      <w:r>
        <w:rPr>
          <w:spacing w:val="-5"/>
          <w:sz w:val="22"/>
        </w:rPr>
        <w:t> </w:t>
      </w:r>
      <w:r>
        <w:rPr>
          <w:sz w:val="22"/>
        </w:rPr>
        <w:t>the</w:t>
      </w:r>
      <w:r>
        <w:rPr>
          <w:spacing w:val="-2"/>
          <w:sz w:val="22"/>
        </w:rPr>
        <w:t> </w:t>
      </w:r>
      <w:r>
        <w:rPr>
          <w:sz w:val="22"/>
        </w:rPr>
        <w:t>State’s</w:t>
      </w:r>
      <w:r>
        <w:rPr>
          <w:spacing w:val="-2"/>
          <w:sz w:val="22"/>
        </w:rPr>
        <w:t> </w:t>
      </w:r>
      <w:r>
        <w:rPr>
          <w:sz w:val="22"/>
        </w:rPr>
        <w:t>expenditure</w:t>
      </w:r>
      <w:r>
        <w:rPr>
          <w:spacing w:val="-4"/>
          <w:sz w:val="22"/>
        </w:rPr>
        <w:t> </w:t>
      </w:r>
      <w:r>
        <w:rPr>
          <w:sz w:val="22"/>
        </w:rPr>
        <w:t>authority</w:t>
      </w:r>
      <w:r>
        <w:rPr>
          <w:spacing w:val="-5"/>
          <w:sz w:val="22"/>
        </w:rPr>
        <w:t> </w:t>
      </w:r>
      <w:r>
        <w:rPr>
          <w:sz w:val="22"/>
        </w:rPr>
        <w:t>reduction</w:t>
      </w:r>
      <w:r>
        <w:rPr>
          <w:spacing w:val="-2"/>
          <w:sz w:val="22"/>
        </w:rPr>
        <w:t> </w:t>
      </w:r>
      <w:r>
        <w:rPr>
          <w:sz w:val="22"/>
        </w:rPr>
        <w:t>based</w:t>
      </w:r>
      <w:r>
        <w:rPr>
          <w:spacing w:val="-2"/>
          <w:sz w:val="22"/>
        </w:rPr>
        <w:t> </w:t>
      </w:r>
      <w:r>
        <w:rPr>
          <w:sz w:val="22"/>
        </w:rPr>
        <w:t>on</w:t>
      </w:r>
      <w:r>
        <w:rPr>
          <w:spacing w:val="-5"/>
          <w:sz w:val="22"/>
        </w:rPr>
        <w:t> </w:t>
      </w:r>
      <w:r>
        <w:rPr>
          <w:sz w:val="22"/>
        </w:rPr>
        <w:t>the</w:t>
      </w:r>
      <w:r>
        <w:rPr>
          <w:spacing w:val="-2"/>
          <w:sz w:val="22"/>
        </w:rPr>
        <w:t> </w:t>
      </w:r>
      <w:r>
        <w:rPr>
          <w:sz w:val="22"/>
        </w:rPr>
        <w:t>State’s</w:t>
      </w:r>
      <w:r>
        <w:rPr>
          <w:spacing w:val="-4"/>
          <w:sz w:val="22"/>
        </w:rPr>
        <w:t> </w:t>
      </w:r>
      <w:r>
        <w:rPr>
          <w:sz w:val="22"/>
        </w:rPr>
        <w:t>accountability</w:t>
      </w:r>
      <w:r>
        <w:rPr>
          <w:spacing w:val="-5"/>
          <w:sz w:val="22"/>
        </w:rPr>
        <w:t> </w:t>
      </w:r>
      <w:r>
        <w:rPr>
          <w:sz w:val="22"/>
        </w:rPr>
        <w:t>to CMS,</w:t>
      </w:r>
      <w:r>
        <w:rPr>
          <w:spacing w:val="-6"/>
          <w:sz w:val="22"/>
        </w:rPr>
        <w:t> </w:t>
      </w:r>
      <w:r>
        <w:rPr>
          <w:sz w:val="22"/>
        </w:rPr>
        <w:t>the</w:t>
      </w:r>
      <w:r>
        <w:rPr>
          <w:spacing w:val="-6"/>
          <w:sz w:val="22"/>
        </w:rPr>
        <w:t> </w:t>
      </w:r>
      <w:r>
        <w:rPr>
          <w:sz w:val="22"/>
        </w:rPr>
        <w:t>State</w:t>
      </w:r>
      <w:r>
        <w:rPr>
          <w:spacing w:val="-6"/>
          <w:sz w:val="22"/>
        </w:rPr>
        <w:t> </w:t>
      </w:r>
      <w:r>
        <w:rPr>
          <w:sz w:val="22"/>
        </w:rPr>
        <w:t>will</w:t>
      </w:r>
      <w:r>
        <w:rPr>
          <w:spacing w:val="-5"/>
          <w:sz w:val="22"/>
        </w:rPr>
        <w:t> </w:t>
      </w:r>
      <w:r>
        <w:rPr>
          <w:sz w:val="22"/>
        </w:rPr>
        <w:t>satisfy</w:t>
      </w:r>
      <w:r>
        <w:rPr>
          <w:spacing w:val="-9"/>
          <w:sz w:val="22"/>
        </w:rPr>
        <w:t> </w:t>
      </w:r>
      <w:r>
        <w:rPr>
          <w:sz w:val="22"/>
        </w:rPr>
        <w:t>its</w:t>
      </w:r>
      <w:r>
        <w:rPr>
          <w:spacing w:val="-6"/>
          <w:sz w:val="22"/>
        </w:rPr>
        <w:t> </w:t>
      </w:r>
      <w:r>
        <w:rPr>
          <w:sz w:val="22"/>
        </w:rPr>
        <w:t>obligation</w:t>
      </w:r>
      <w:r>
        <w:rPr>
          <w:spacing w:val="-8"/>
          <w:sz w:val="22"/>
        </w:rPr>
        <w:t> </w:t>
      </w:r>
      <w:r>
        <w:rPr>
          <w:sz w:val="22"/>
        </w:rPr>
        <w:t>to</w:t>
      </w:r>
      <w:r>
        <w:rPr>
          <w:spacing w:val="-6"/>
          <w:sz w:val="22"/>
        </w:rPr>
        <w:t> </w:t>
      </w:r>
      <w:r>
        <w:rPr>
          <w:sz w:val="22"/>
        </w:rPr>
        <w:t>reduce</w:t>
      </w:r>
      <w:r>
        <w:rPr>
          <w:spacing w:val="-6"/>
          <w:sz w:val="22"/>
        </w:rPr>
        <w:t> </w:t>
      </w:r>
      <w:r>
        <w:rPr>
          <w:sz w:val="22"/>
        </w:rPr>
        <w:t>DSRIP</w:t>
      </w:r>
      <w:r>
        <w:rPr>
          <w:spacing w:val="-7"/>
          <w:sz w:val="22"/>
        </w:rPr>
        <w:t> </w:t>
      </w:r>
      <w:r>
        <w:rPr>
          <w:sz w:val="22"/>
        </w:rPr>
        <w:t>spending</w:t>
      </w:r>
      <w:r>
        <w:rPr>
          <w:spacing w:val="-9"/>
          <w:sz w:val="22"/>
        </w:rPr>
        <w:t> </w:t>
      </w:r>
      <w:r>
        <w:rPr>
          <w:sz w:val="22"/>
        </w:rPr>
        <w:t>by</w:t>
      </w:r>
      <w:r>
        <w:rPr>
          <w:spacing w:val="-9"/>
          <w:sz w:val="22"/>
        </w:rPr>
        <w:t> </w:t>
      </w:r>
      <w:r>
        <w:rPr>
          <w:sz w:val="22"/>
        </w:rPr>
        <w:t>reducing</w:t>
      </w:r>
      <w:r>
        <w:rPr>
          <w:spacing w:val="-9"/>
          <w:sz w:val="22"/>
        </w:rPr>
        <w:t> </w:t>
      </w:r>
      <w:r>
        <w:rPr>
          <w:sz w:val="22"/>
        </w:rPr>
        <w:t>payments</w:t>
      </w:r>
      <w:r>
        <w:rPr>
          <w:spacing w:val="-6"/>
          <w:sz w:val="22"/>
        </w:rPr>
        <w:t> </w:t>
      </w:r>
      <w:r>
        <w:rPr>
          <w:sz w:val="22"/>
        </w:rPr>
        <w:t>to</w:t>
      </w:r>
      <w:r>
        <w:rPr>
          <w:spacing w:val="-6"/>
          <w:sz w:val="22"/>
        </w:rPr>
        <w:t> </w:t>
      </w:r>
      <w:r>
        <w:rPr>
          <w:sz w:val="22"/>
        </w:rPr>
        <w:t>these ACOs, CPs and CSAs based on their individual accountability arrangements with the State, and will make other DSRIP payments pursuant to this Protocol</w:t>
      </w:r>
    </w:p>
    <w:p>
      <w:pPr>
        <w:pStyle w:val="ListParagraph"/>
        <w:numPr>
          <w:ilvl w:val="0"/>
          <w:numId w:val="79"/>
        </w:numPr>
        <w:tabs>
          <w:tab w:pos="1939" w:val="left" w:leader="none"/>
          <w:tab w:pos="1941" w:val="left" w:leader="none"/>
        </w:tabs>
        <w:spacing w:line="240" w:lineRule="auto" w:before="0" w:after="0"/>
        <w:ind w:left="1941" w:right="1093" w:hanging="361"/>
        <w:jc w:val="both"/>
        <w:rPr>
          <w:sz w:val="22"/>
        </w:rPr>
      </w:pPr>
      <w:r>
        <w:rPr>
          <w:sz w:val="22"/>
        </w:rPr>
        <w:t>If the amount of funds not distributed to ACOs, CPs and CSAs pursuant to their accountability scores exceeds the State’s expenditure authority reduction based on the State’s accountability to CMS,</w:t>
      </w:r>
      <w:r>
        <w:rPr>
          <w:spacing w:val="-6"/>
          <w:sz w:val="22"/>
        </w:rPr>
        <w:t> </w:t>
      </w:r>
      <w:r>
        <w:rPr>
          <w:sz w:val="22"/>
        </w:rPr>
        <w:t>the</w:t>
      </w:r>
      <w:r>
        <w:rPr>
          <w:spacing w:val="-6"/>
          <w:sz w:val="22"/>
        </w:rPr>
        <w:t> </w:t>
      </w:r>
      <w:r>
        <w:rPr>
          <w:sz w:val="22"/>
        </w:rPr>
        <w:t>State</w:t>
      </w:r>
      <w:r>
        <w:rPr>
          <w:spacing w:val="-6"/>
          <w:sz w:val="22"/>
        </w:rPr>
        <w:t> </w:t>
      </w:r>
      <w:r>
        <w:rPr>
          <w:sz w:val="22"/>
        </w:rPr>
        <w:t>will</w:t>
      </w:r>
      <w:r>
        <w:rPr>
          <w:spacing w:val="-5"/>
          <w:sz w:val="22"/>
        </w:rPr>
        <w:t> </w:t>
      </w:r>
      <w:r>
        <w:rPr>
          <w:sz w:val="22"/>
        </w:rPr>
        <w:t>satisfy</w:t>
      </w:r>
      <w:r>
        <w:rPr>
          <w:spacing w:val="-9"/>
          <w:sz w:val="22"/>
        </w:rPr>
        <w:t> </w:t>
      </w:r>
      <w:r>
        <w:rPr>
          <w:sz w:val="22"/>
        </w:rPr>
        <w:t>its</w:t>
      </w:r>
      <w:r>
        <w:rPr>
          <w:spacing w:val="-6"/>
          <w:sz w:val="22"/>
        </w:rPr>
        <w:t> </w:t>
      </w:r>
      <w:r>
        <w:rPr>
          <w:sz w:val="22"/>
        </w:rPr>
        <w:t>obligation</w:t>
      </w:r>
      <w:r>
        <w:rPr>
          <w:spacing w:val="-8"/>
          <w:sz w:val="22"/>
        </w:rPr>
        <w:t> </w:t>
      </w:r>
      <w:r>
        <w:rPr>
          <w:sz w:val="22"/>
        </w:rPr>
        <w:t>to</w:t>
      </w:r>
      <w:r>
        <w:rPr>
          <w:spacing w:val="-6"/>
          <w:sz w:val="22"/>
        </w:rPr>
        <w:t> </w:t>
      </w:r>
      <w:r>
        <w:rPr>
          <w:sz w:val="22"/>
        </w:rPr>
        <w:t>reduce</w:t>
      </w:r>
      <w:r>
        <w:rPr>
          <w:spacing w:val="-6"/>
          <w:sz w:val="22"/>
        </w:rPr>
        <w:t> </w:t>
      </w:r>
      <w:r>
        <w:rPr>
          <w:sz w:val="22"/>
        </w:rPr>
        <w:t>DSRIP</w:t>
      </w:r>
      <w:r>
        <w:rPr>
          <w:spacing w:val="-7"/>
          <w:sz w:val="22"/>
        </w:rPr>
        <w:t> </w:t>
      </w:r>
      <w:r>
        <w:rPr>
          <w:sz w:val="22"/>
        </w:rPr>
        <w:t>spending</w:t>
      </w:r>
      <w:r>
        <w:rPr>
          <w:spacing w:val="-9"/>
          <w:sz w:val="22"/>
        </w:rPr>
        <w:t> </w:t>
      </w:r>
      <w:r>
        <w:rPr>
          <w:sz w:val="22"/>
        </w:rPr>
        <w:t>by</w:t>
      </w:r>
      <w:r>
        <w:rPr>
          <w:spacing w:val="-9"/>
          <w:sz w:val="22"/>
        </w:rPr>
        <w:t> </w:t>
      </w:r>
      <w:r>
        <w:rPr>
          <w:sz w:val="22"/>
        </w:rPr>
        <w:t>reducing</w:t>
      </w:r>
      <w:r>
        <w:rPr>
          <w:spacing w:val="-9"/>
          <w:sz w:val="22"/>
        </w:rPr>
        <w:t> </w:t>
      </w:r>
      <w:r>
        <w:rPr>
          <w:sz w:val="22"/>
        </w:rPr>
        <w:t>payments</w:t>
      </w:r>
      <w:r>
        <w:rPr>
          <w:spacing w:val="-6"/>
          <w:sz w:val="22"/>
        </w:rPr>
        <w:t> </w:t>
      </w:r>
      <w:r>
        <w:rPr>
          <w:sz w:val="22"/>
        </w:rPr>
        <w:t>to</w:t>
      </w:r>
      <w:r>
        <w:rPr>
          <w:spacing w:val="-6"/>
          <w:sz w:val="22"/>
        </w:rPr>
        <w:t> </w:t>
      </w:r>
      <w:r>
        <w:rPr>
          <w:sz w:val="22"/>
        </w:rPr>
        <w:t>these ACOs,</w:t>
      </w:r>
      <w:r>
        <w:rPr>
          <w:spacing w:val="-8"/>
          <w:sz w:val="22"/>
        </w:rPr>
        <w:t> </w:t>
      </w:r>
      <w:r>
        <w:rPr>
          <w:sz w:val="22"/>
        </w:rPr>
        <w:t>CPs</w:t>
      </w:r>
      <w:r>
        <w:rPr>
          <w:spacing w:val="-8"/>
          <w:sz w:val="22"/>
        </w:rPr>
        <w:t> </w:t>
      </w:r>
      <w:r>
        <w:rPr>
          <w:sz w:val="22"/>
        </w:rPr>
        <w:t>and</w:t>
      </w:r>
      <w:r>
        <w:rPr>
          <w:spacing w:val="-8"/>
          <w:sz w:val="22"/>
        </w:rPr>
        <w:t> </w:t>
      </w:r>
      <w:r>
        <w:rPr>
          <w:sz w:val="22"/>
        </w:rPr>
        <w:t>CSAs</w:t>
      </w:r>
      <w:r>
        <w:rPr>
          <w:spacing w:val="-9"/>
          <w:sz w:val="22"/>
        </w:rPr>
        <w:t> </w:t>
      </w:r>
      <w:r>
        <w:rPr>
          <w:sz w:val="22"/>
        </w:rPr>
        <w:t>based</w:t>
      </w:r>
      <w:r>
        <w:rPr>
          <w:spacing w:val="-8"/>
          <w:sz w:val="22"/>
        </w:rPr>
        <w:t> </w:t>
      </w:r>
      <w:r>
        <w:rPr>
          <w:sz w:val="22"/>
        </w:rPr>
        <w:t>on</w:t>
      </w:r>
      <w:r>
        <w:rPr>
          <w:spacing w:val="-9"/>
          <w:sz w:val="22"/>
        </w:rPr>
        <w:t> </w:t>
      </w:r>
      <w:r>
        <w:rPr>
          <w:sz w:val="22"/>
        </w:rPr>
        <w:t>their</w:t>
      </w:r>
      <w:r>
        <w:rPr>
          <w:spacing w:val="-9"/>
          <w:sz w:val="22"/>
        </w:rPr>
        <w:t> </w:t>
      </w:r>
      <w:r>
        <w:rPr>
          <w:sz w:val="22"/>
        </w:rPr>
        <w:t>individual</w:t>
      </w:r>
      <w:r>
        <w:rPr>
          <w:spacing w:val="-7"/>
          <w:sz w:val="22"/>
        </w:rPr>
        <w:t> </w:t>
      </w:r>
      <w:r>
        <w:rPr>
          <w:sz w:val="22"/>
        </w:rPr>
        <w:t>accountability</w:t>
      </w:r>
      <w:r>
        <w:rPr>
          <w:spacing w:val="-10"/>
          <w:sz w:val="22"/>
        </w:rPr>
        <w:t> </w:t>
      </w:r>
      <w:r>
        <w:rPr>
          <w:sz w:val="22"/>
        </w:rPr>
        <w:t>arrangements</w:t>
      </w:r>
      <w:r>
        <w:rPr>
          <w:spacing w:val="-8"/>
          <w:sz w:val="22"/>
        </w:rPr>
        <w:t> </w:t>
      </w:r>
      <w:r>
        <w:rPr>
          <w:sz w:val="22"/>
        </w:rPr>
        <w:t>with</w:t>
      </w:r>
      <w:r>
        <w:rPr>
          <w:spacing w:val="-9"/>
          <w:sz w:val="22"/>
        </w:rPr>
        <w:t> </w:t>
      </w:r>
      <w:r>
        <w:rPr>
          <w:sz w:val="22"/>
        </w:rPr>
        <w:t>the</w:t>
      </w:r>
      <w:r>
        <w:rPr>
          <w:spacing w:val="-8"/>
          <w:sz w:val="22"/>
        </w:rPr>
        <w:t> </w:t>
      </w:r>
      <w:r>
        <w:rPr>
          <w:sz w:val="22"/>
        </w:rPr>
        <w:t>State,</w:t>
      </w:r>
      <w:r>
        <w:rPr>
          <w:spacing w:val="-8"/>
          <w:sz w:val="22"/>
        </w:rPr>
        <w:t> </w:t>
      </w:r>
      <w:r>
        <w:rPr>
          <w:sz w:val="22"/>
        </w:rPr>
        <w:t>but</w:t>
      </w:r>
      <w:r>
        <w:rPr>
          <w:spacing w:val="-7"/>
          <w:sz w:val="22"/>
        </w:rPr>
        <w:t> </w:t>
      </w:r>
      <w:r>
        <w:rPr>
          <w:sz w:val="22"/>
        </w:rPr>
        <w:t>the </w:t>
      </w:r>
      <w:r>
        <w:rPr>
          <w:spacing w:val="-2"/>
          <w:sz w:val="22"/>
        </w:rPr>
        <w:t>State</w:t>
      </w:r>
      <w:r>
        <w:rPr>
          <w:spacing w:val="-4"/>
          <w:sz w:val="22"/>
        </w:rPr>
        <w:t> </w:t>
      </w:r>
      <w:r>
        <w:rPr>
          <w:spacing w:val="-2"/>
          <w:sz w:val="22"/>
        </w:rPr>
        <w:t>may</w:t>
      </w:r>
      <w:r>
        <w:rPr>
          <w:spacing w:val="-5"/>
          <w:sz w:val="22"/>
        </w:rPr>
        <w:t> </w:t>
      </w:r>
      <w:r>
        <w:rPr>
          <w:spacing w:val="-2"/>
          <w:sz w:val="22"/>
        </w:rPr>
        <w:t>have</w:t>
      </w:r>
      <w:r>
        <w:rPr>
          <w:spacing w:val="-4"/>
          <w:sz w:val="22"/>
        </w:rPr>
        <w:t> </w:t>
      </w:r>
      <w:r>
        <w:rPr>
          <w:spacing w:val="-2"/>
          <w:sz w:val="22"/>
        </w:rPr>
        <w:t>left</w:t>
      </w:r>
      <w:r>
        <w:rPr>
          <w:spacing w:val="-4"/>
          <w:sz w:val="22"/>
        </w:rPr>
        <w:t> </w:t>
      </w:r>
      <w:r>
        <w:rPr>
          <w:spacing w:val="-2"/>
          <w:sz w:val="22"/>
        </w:rPr>
        <w:t>over</w:t>
      </w:r>
      <w:r>
        <w:rPr>
          <w:spacing w:val="-4"/>
          <w:sz w:val="22"/>
        </w:rPr>
        <w:t> </w:t>
      </w:r>
      <w:r>
        <w:rPr>
          <w:spacing w:val="-2"/>
          <w:sz w:val="22"/>
        </w:rPr>
        <w:t>expenditure</w:t>
      </w:r>
      <w:r>
        <w:rPr>
          <w:spacing w:val="-4"/>
          <w:sz w:val="22"/>
        </w:rPr>
        <w:t> </w:t>
      </w:r>
      <w:r>
        <w:rPr>
          <w:spacing w:val="-2"/>
          <w:sz w:val="22"/>
        </w:rPr>
        <w:t>authority</w:t>
      </w:r>
      <w:r>
        <w:rPr>
          <w:spacing w:val="-8"/>
          <w:sz w:val="22"/>
        </w:rPr>
        <w:t> </w:t>
      </w:r>
      <w:r>
        <w:rPr>
          <w:spacing w:val="-2"/>
          <w:sz w:val="22"/>
        </w:rPr>
        <w:t>after</w:t>
      </w:r>
      <w:r>
        <w:rPr>
          <w:spacing w:val="-4"/>
          <w:sz w:val="22"/>
        </w:rPr>
        <w:t> </w:t>
      </w:r>
      <w:r>
        <w:rPr>
          <w:spacing w:val="-2"/>
          <w:sz w:val="22"/>
        </w:rPr>
        <w:t>doing</w:t>
      </w:r>
      <w:r>
        <w:rPr>
          <w:spacing w:val="-8"/>
          <w:sz w:val="22"/>
        </w:rPr>
        <w:t> </w:t>
      </w:r>
      <w:r>
        <w:rPr>
          <w:spacing w:val="-2"/>
          <w:sz w:val="22"/>
        </w:rPr>
        <w:t>so.</w:t>
      </w:r>
      <w:r>
        <w:rPr>
          <w:spacing w:val="-5"/>
          <w:sz w:val="22"/>
        </w:rPr>
        <w:t> </w:t>
      </w:r>
      <w:r>
        <w:rPr>
          <w:spacing w:val="-2"/>
          <w:sz w:val="22"/>
        </w:rPr>
        <w:t>The</w:t>
      </w:r>
      <w:r>
        <w:rPr>
          <w:spacing w:val="-4"/>
          <w:sz w:val="22"/>
        </w:rPr>
        <w:t> </w:t>
      </w:r>
      <w:r>
        <w:rPr>
          <w:spacing w:val="-2"/>
          <w:sz w:val="22"/>
        </w:rPr>
        <w:t>State</w:t>
      </w:r>
      <w:r>
        <w:rPr>
          <w:spacing w:val="-4"/>
          <w:sz w:val="22"/>
        </w:rPr>
        <w:t> </w:t>
      </w:r>
      <w:r>
        <w:rPr>
          <w:spacing w:val="-2"/>
          <w:sz w:val="22"/>
        </w:rPr>
        <w:t>has</w:t>
      </w:r>
      <w:r>
        <w:rPr>
          <w:spacing w:val="-4"/>
          <w:sz w:val="22"/>
        </w:rPr>
        <w:t> </w:t>
      </w:r>
      <w:r>
        <w:rPr>
          <w:spacing w:val="-2"/>
          <w:sz w:val="22"/>
        </w:rPr>
        <w:t>discretion</w:t>
      </w:r>
      <w:r>
        <w:rPr>
          <w:spacing w:val="-5"/>
          <w:sz w:val="22"/>
        </w:rPr>
        <w:t> </w:t>
      </w:r>
      <w:r>
        <w:rPr>
          <w:spacing w:val="-2"/>
          <w:sz w:val="22"/>
        </w:rPr>
        <w:t>to</w:t>
      </w:r>
      <w:r>
        <w:rPr>
          <w:spacing w:val="-5"/>
          <w:sz w:val="22"/>
        </w:rPr>
        <w:t> </w:t>
      </w:r>
      <w:r>
        <w:rPr>
          <w:spacing w:val="-2"/>
          <w:sz w:val="22"/>
        </w:rPr>
        <w:t>redistribute </w:t>
      </w:r>
      <w:r>
        <w:rPr>
          <w:sz w:val="22"/>
        </w:rPr>
        <w:t>these</w:t>
      </w:r>
      <w:r>
        <w:rPr>
          <w:spacing w:val="-9"/>
          <w:sz w:val="22"/>
        </w:rPr>
        <w:t> </w:t>
      </w:r>
      <w:r>
        <w:rPr>
          <w:sz w:val="22"/>
        </w:rPr>
        <w:t>excess</w:t>
      </w:r>
      <w:r>
        <w:rPr>
          <w:spacing w:val="-9"/>
          <w:sz w:val="22"/>
        </w:rPr>
        <w:t> </w:t>
      </w:r>
      <w:r>
        <w:rPr>
          <w:sz w:val="22"/>
        </w:rPr>
        <w:t>DSRIP</w:t>
      </w:r>
      <w:r>
        <w:rPr>
          <w:spacing w:val="-8"/>
          <w:sz w:val="22"/>
        </w:rPr>
        <w:t> </w:t>
      </w:r>
      <w:r>
        <w:rPr>
          <w:sz w:val="22"/>
        </w:rPr>
        <w:t>funds</w:t>
      </w:r>
      <w:r>
        <w:rPr>
          <w:spacing w:val="-9"/>
          <w:sz w:val="22"/>
        </w:rPr>
        <w:t> </w:t>
      </w:r>
      <w:r>
        <w:rPr>
          <w:sz w:val="22"/>
        </w:rPr>
        <w:t>not</w:t>
      </w:r>
      <w:r>
        <w:rPr>
          <w:spacing w:val="-9"/>
          <w:sz w:val="22"/>
        </w:rPr>
        <w:t> </w:t>
      </w:r>
      <w:r>
        <w:rPr>
          <w:sz w:val="22"/>
        </w:rPr>
        <w:t>distributed</w:t>
      </w:r>
      <w:r>
        <w:rPr>
          <w:spacing w:val="-10"/>
          <w:sz w:val="22"/>
        </w:rPr>
        <w:t> </w:t>
      </w:r>
      <w:r>
        <w:rPr>
          <w:sz w:val="22"/>
        </w:rPr>
        <w:t>to</w:t>
      </w:r>
      <w:r>
        <w:rPr>
          <w:spacing w:val="-10"/>
          <w:sz w:val="22"/>
        </w:rPr>
        <w:t> </w:t>
      </w:r>
      <w:r>
        <w:rPr>
          <w:sz w:val="22"/>
        </w:rPr>
        <w:t>ACOs,</w:t>
      </w:r>
      <w:r>
        <w:rPr>
          <w:spacing w:val="-10"/>
          <w:sz w:val="22"/>
        </w:rPr>
        <w:t> </w:t>
      </w:r>
      <w:r>
        <w:rPr>
          <w:sz w:val="22"/>
        </w:rPr>
        <w:t>CPs,</w:t>
      </w:r>
      <w:r>
        <w:rPr>
          <w:spacing w:val="-10"/>
          <w:sz w:val="22"/>
        </w:rPr>
        <w:t> </w:t>
      </w:r>
      <w:r>
        <w:rPr>
          <w:sz w:val="22"/>
        </w:rPr>
        <w:t>and</w:t>
      </w:r>
      <w:r>
        <w:rPr>
          <w:spacing w:val="-10"/>
          <w:sz w:val="22"/>
        </w:rPr>
        <w:t> </w:t>
      </w:r>
      <w:r>
        <w:rPr>
          <w:sz w:val="22"/>
        </w:rPr>
        <w:t>CSAs</w:t>
      </w:r>
      <w:r>
        <w:rPr>
          <w:spacing w:val="-9"/>
          <w:sz w:val="22"/>
        </w:rPr>
        <w:t> </w:t>
      </w:r>
      <w:r>
        <w:rPr>
          <w:sz w:val="22"/>
        </w:rPr>
        <w:t>pursuant</w:t>
      </w:r>
      <w:r>
        <w:rPr>
          <w:spacing w:val="-9"/>
          <w:sz w:val="22"/>
        </w:rPr>
        <w:t> </w:t>
      </w:r>
      <w:r>
        <w:rPr>
          <w:sz w:val="22"/>
        </w:rPr>
        <w:t>to</w:t>
      </w:r>
      <w:r>
        <w:rPr>
          <w:spacing w:val="-10"/>
          <w:sz w:val="22"/>
        </w:rPr>
        <w:t> </w:t>
      </w:r>
      <w:r>
        <w:rPr>
          <w:sz w:val="22"/>
        </w:rPr>
        <w:t>their</w:t>
      </w:r>
      <w:r>
        <w:rPr>
          <w:spacing w:val="-9"/>
          <w:sz w:val="22"/>
        </w:rPr>
        <w:t> </w:t>
      </w:r>
      <w:r>
        <w:rPr>
          <w:sz w:val="22"/>
        </w:rPr>
        <w:t>accountability scores (e.g., to determine how much each of the funding streams and sub-streams is increased) to best meet the State’s programmatic needs, subject to any limits described elsewhere in this Protocol.</w:t>
      </w:r>
      <w:r>
        <w:rPr>
          <w:spacing w:val="-1"/>
          <w:sz w:val="22"/>
        </w:rPr>
        <w:t> </w:t>
      </w:r>
      <w:r>
        <w:rPr>
          <w:sz w:val="22"/>
        </w:rPr>
        <w:t>Such</w:t>
      </w:r>
      <w:r>
        <w:rPr>
          <w:spacing w:val="-1"/>
          <w:sz w:val="22"/>
        </w:rPr>
        <w:t> </w:t>
      </w:r>
      <w:r>
        <w:rPr>
          <w:sz w:val="22"/>
        </w:rPr>
        <w:t>redistribution</w:t>
      </w:r>
      <w:r>
        <w:rPr>
          <w:spacing w:val="-1"/>
          <w:sz w:val="22"/>
        </w:rPr>
        <w:t> </w:t>
      </w:r>
      <w:r>
        <w:rPr>
          <w:sz w:val="22"/>
        </w:rPr>
        <w:t>of funds would</w:t>
      </w:r>
      <w:r>
        <w:rPr>
          <w:spacing w:val="-1"/>
          <w:sz w:val="22"/>
        </w:rPr>
        <w:t> </w:t>
      </w:r>
      <w:r>
        <w:rPr>
          <w:sz w:val="22"/>
        </w:rPr>
        <w:t>follow</w:t>
      </w:r>
      <w:r>
        <w:rPr>
          <w:spacing w:val="-2"/>
          <w:sz w:val="22"/>
        </w:rPr>
        <w:t> </w:t>
      </w:r>
      <w:r>
        <w:rPr>
          <w:sz w:val="22"/>
        </w:rPr>
        <w:t>the same processes described</w:t>
      </w:r>
      <w:r>
        <w:rPr>
          <w:spacing w:val="-2"/>
          <w:sz w:val="22"/>
        </w:rPr>
        <w:t> </w:t>
      </w:r>
      <w:r>
        <w:rPr>
          <w:sz w:val="22"/>
        </w:rPr>
        <w:t>above for when the State’s expenditure authority has not been reduced.</w:t>
      </w:r>
    </w:p>
    <w:p>
      <w:pPr>
        <w:pStyle w:val="ListParagraph"/>
        <w:numPr>
          <w:ilvl w:val="0"/>
          <w:numId w:val="79"/>
        </w:numPr>
        <w:tabs>
          <w:tab w:pos="1939" w:val="left" w:leader="none"/>
          <w:tab w:pos="1941" w:val="left" w:leader="none"/>
        </w:tabs>
        <w:spacing w:line="240" w:lineRule="auto" w:before="0" w:after="0"/>
        <w:ind w:left="1941" w:right="1093" w:hanging="361"/>
        <w:jc w:val="both"/>
        <w:rPr>
          <w:sz w:val="22"/>
        </w:rPr>
      </w:pPr>
      <w:r>
        <w:rPr>
          <w:sz w:val="22"/>
        </w:rPr>
        <w:t>If</w:t>
      </w:r>
      <w:r>
        <w:rPr>
          <w:spacing w:val="-1"/>
          <w:sz w:val="22"/>
        </w:rPr>
        <w:t> </w:t>
      </w:r>
      <w:r>
        <w:rPr>
          <w:sz w:val="22"/>
        </w:rPr>
        <w:t>the</w:t>
      </w:r>
      <w:r>
        <w:rPr>
          <w:spacing w:val="-2"/>
          <w:sz w:val="22"/>
        </w:rPr>
        <w:t> </w:t>
      </w:r>
      <w:r>
        <w:rPr>
          <w:sz w:val="22"/>
        </w:rPr>
        <w:t>amount</w:t>
      </w:r>
      <w:r>
        <w:rPr>
          <w:spacing w:val="-1"/>
          <w:sz w:val="22"/>
        </w:rPr>
        <w:t> </w:t>
      </w:r>
      <w:r>
        <w:rPr>
          <w:sz w:val="22"/>
        </w:rPr>
        <w:t>of</w:t>
      </w:r>
      <w:r>
        <w:rPr>
          <w:spacing w:val="-1"/>
          <w:sz w:val="22"/>
        </w:rPr>
        <w:t> </w:t>
      </w:r>
      <w:r>
        <w:rPr>
          <w:sz w:val="22"/>
        </w:rPr>
        <w:t>funds</w:t>
      </w:r>
      <w:r>
        <w:rPr>
          <w:spacing w:val="-2"/>
          <w:sz w:val="22"/>
        </w:rPr>
        <w:t> </w:t>
      </w:r>
      <w:r>
        <w:rPr>
          <w:sz w:val="22"/>
        </w:rPr>
        <w:t>not</w:t>
      </w:r>
      <w:r>
        <w:rPr>
          <w:spacing w:val="-1"/>
          <w:sz w:val="22"/>
        </w:rPr>
        <w:t> </w:t>
      </w:r>
      <w:r>
        <w:rPr>
          <w:sz w:val="22"/>
        </w:rPr>
        <w:t>distributed</w:t>
      </w:r>
      <w:r>
        <w:rPr>
          <w:spacing w:val="-2"/>
          <w:sz w:val="22"/>
        </w:rPr>
        <w:t> </w:t>
      </w:r>
      <w:r>
        <w:rPr>
          <w:sz w:val="22"/>
        </w:rPr>
        <w:t>to</w:t>
      </w:r>
      <w:r>
        <w:rPr>
          <w:spacing w:val="-2"/>
          <w:sz w:val="22"/>
        </w:rPr>
        <w:t> </w:t>
      </w:r>
      <w:r>
        <w:rPr>
          <w:sz w:val="22"/>
        </w:rPr>
        <w:t>ACOs,</w:t>
      </w:r>
      <w:r>
        <w:rPr>
          <w:spacing w:val="-2"/>
          <w:sz w:val="22"/>
        </w:rPr>
        <w:t> </w:t>
      </w:r>
      <w:r>
        <w:rPr>
          <w:sz w:val="22"/>
        </w:rPr>
        <w:t>CPs</w:t>
      </w:r>
      <w:r>
        <w:rPr>
          <w:spacing w:val="-2"/>
          <w:sz w:val="22"/>
        </w:rPr>
        <w:t> </w:t>
      </w:r>
      <w:r>
        <w:rPr>
          <w:sz w:val="22"/>
        </w:rPr>
        <w:t>and</w:t>
      </w:r>
      <w:r>
        <w:rPr>
          <w:spacing w:val="-2"/>
          <w:sz w:val="22"/>
        </w:rPr>
        <w:t> </w:t>
      </w:r>
      <w:r>
        <w:rPr>
          <w:sz w:val="22"/>
        </w:rPr>
        <w:t>CSAs</w:t>
      </w:r>
      <w:r>
        <w:rPr>
          <w:spacing w:val="-2"/>
          <w:sz w:val="22"/>
        </w:rPr>
        <w:t> </w:t>
      </w:r>
      <w:r>
        <w:rPr>
          <w:sz w:val="22"/>
        </w:rPr>
        <w:t>is</w:t>
      </w:r>
      <w:r>
        <w:rPr>
          <w:spacing w:val="-2"/>
          <w:sz w:val="22"/>
        </w:rPr>
        <w:t> </w:t>
      </w:r>
      <w:r>
        <w:rPr>
          <w:sz w:val="22"/>
        </w:rPr>
        <w:t>less</w:t>
      </w:r>
      <w:r>
        <w:rPr>
          <w:spacing w:val="-2"/>
          <w:sz w:val="22"/>
        </w:rPr>
        <w:t> </w:t>
      </w:r>
      <w:r>
        <w:rPr>
          <w:sz w:val="22"/>
        </w:rPr>
        <w:t>than</w:t>
      </w:r>
      <w:r>
        <w:rPr>
          <w:spacing w:val="-2"/>
          <w:sz w:val="22"/>
        </w:rPr>
        <w:t> </w:t>
      </w:r>
      <w:r>
        <w:rPr>
          <w:sz w:val="22"/>
        </w:rPr>
        <w:t>the</w:t>
      </w:r>
      <w:r>
        <w:rPr>
          <w:spacing w:val="-2"/>
          <w:sz w:val="22"/>
        </w:rPr>
        <w:t> </w:t>
      </w:r>
      <w:r>
        <w:rPr>
          <w:sz w:val="22"/>
        </w:rPr>
        <w:t>State’s</w:t>
      </w:r>
      <w:r>
        <w:rPr>
          <w:spacing w:val="-2"/>
          <w:sz w:val="22"/>
        </w:rPr>
        <w:t> </w:t>
      </w:r>
      <w:r>
        <w:rPr>
          <w:sz w:val="22"/>
        </w:rPr>
        <w:t>expenditure authority</w:t>
      </w:r>
      <w:r>
        <w:rPr>
          <w:spacing w:val="-9"/>
          <w:sz w:val="22"/>
        </w:rPr>
        <w:t> </w:t>
      </w:r>
      <w:r>
        <w:rPr>
          <w:sz w:val="22"/>
        </w:rPr>
        <w:t>reduction</w:t>
      </w:r>
      <w:r>
        <w:rPr>
          <w:spacing w:val="-6"/>
          <w:sz w:val="22"/>
        </w:rPr>
        <w:t> </w:t>
      </w:r>
      <w:r>
        <w:rPr>
          <w:sz w:val="22"/>
        </w:rPr>
        <w:t>based</w:t>
      </w:r>
      <w:r>
        <w:rPr>
          <w:spacing w:val="-6"/>
          <w:sz w:val="22"/>
        </w:rPr>
        <w:t> </w:t>
      </w:r>
      <w:r>
        <w:rPr>
          <w:sz w:val="22"/>
        </w:rPr>
        <w:t>on</w:t>
      </w:r>
      <w:r>
        <w:rPr>
          <w:spacing w:val="-6"/>
          <w:sz w:val="22"/>
        </w:rPr>
        <w:t> </w:t>
      </w:r>
      <w:r>
        <w:rPr>
          <w:sz w:val="22"/>
        </w:rPr>
        <w:t>the</w:t>
      </w:r>
      <w:r>
        <w:rPr>
          <w:spacing w:val="-6"/>
          <w:sz w:val="22"/>
        </w:rPr>
        <w:t> </w:t>
      </w:r>
      <w:r>
        <w:rPr>
          <w:sz w:val="22"/>
        </w:rPr>
        <w:t>State’s</w:t>
      </w:r>
      <w:r>
        <w:rPr>
          <w:spacing w:val="-6"/>
          <w:sz w:val="22"/>
        </w:rPr>
        <w:t> </w:t>
      </w:r>
      <w:r>
        <w:rPr>
          <w:sz w:val="22"/>
        </w:rPr>
        <w:t>accountability</w:t>
      </w:r>
      <w:r>
        <w:rPr>
          <w:spacing w:val="-9"/>
          <w:sz w:val="22"/>
        </w:rPr>
        <w:t> </w:t>
      </w:r>
      <w:r>
        <w:rPr>
          <w:sz w:val="22"/>
        </w:rPr>
        <w:t>to</w:t>
      </w:r>
      <w:r>
        <w:rPr>
          <w:spacing w:val="-6"/>
          <w:sz w:val="22"/>
        </w:rPr>
        <w:t> </w:t>
      </w:r>
      <w:r>
        <w:rPr>
          <w:sz w:val="22"/>
        </w:rPr>
        <w:t>CMS</w:t>
      </w:r>
      <w:r>
        <w:rPr>
          <w:spacing w:val="-7"/>
          <w:sz w:val="22"/>
        </w:rPr>
        <w:t> </w:t>
      </w:r>
      <w:r>
        <w:rPr>
          <w:sz w:val="22"/>
        </w:rPr>
        <w:t>(including</w:t>
      </w:r>
      <w:r>
        <w:rPr>
          <w:spacing w:val="-9"/>
          <w:sz w:val="22"/>
        </w:rPr>
        <w:t> </w:t>
      </w:r>
      <w:r>
        <w:rPr>
          <w:sz w:val="22"/>
        </w:rPr>
        <w:t>if</w:t>
      </w:r>
      <w:r>
        <w:rPr>
          <w:spacing w:val="-5"/>
          <w:sz w:val="22"/>
        </w:rPr>
        <w:t> </w:t>
      </w:r>
      <w:r>
        <w:rPr>
          <w:sz w:val="22"/>
        </w:rPr>
        <w:t>ACOs,</w:t>
      </w:r>
      <w:r>
        <w:rPr>
          <w:spacing w:val="-6"/>
          <w:sz w:val="22"/>
        </w:rPr>
        <w:t> </w:t>
      </w:r>
      <w:r>
        <w:rPr>
          <w:sz w:val="22"/>
        </w:rPr>
        <w:t>CPs</w:t>
      </w:r>
      <w:r>
        <w:rPr>
          <w:spacing w:val="-6"/>
          <w:sz w:val="22"/>
        </w:rPr>
        <w:t> </w:t>
      </w:r>
      <w:r>
        <w:rPr>
          <w:sz w:val="22"/>
        </w:rPr>
        <w:t>and</w:t>
      </w:r>
      <w:r>
        <w:rPr>
          <w:spacing w:val="-6"/>
          <w:sz w:val="22"/>
        </w:rPr>
        <w:t> </w:t>
      </w:r>
      <w:r>
        <w:rPr>
          <w:sz w:val="22"/>
        </w:rPr>
        <w:t>CSAs receive all DSRIP funds under their accountability arrangements with the State), the State has discretion to determine whether and to what extent each of the four funding streams and sub- streams is reduced for an upcoming Budget Period to best meet the State’s programmatic needs, subject</w:t>
      </w:r>
      <w:r>
        <w:rPr>
          <w:spacing w:val="-14"/>
          <w:sz w:val="22"/>
        </w:rPr>
        <w:t> </w:t>
      </w:r>
      <w:r>
        <w:rPr>
          <w:sz w:val="22"/>
        </w:rPr>
        <w:t>to</w:t>
      </w:r>
      <w:r>
        <w:rPr>
          <w:spacing w:val="-14"/>
          <w:sz w:val="22"/>
        </w:rPr>
        <w:t> </w:t>
      </w:r>
      <w:r>
        <w:rPr>
          <w:sz w:val="22"/>
        </w:rPr>
        <w:t>any</w:t>
      </w:r>
      <w:r>
        <w:rPr>
          <w:spacing w:val="-14"/>
          <w:sz w:val="22"/>
        </w:rPr>
        <w:t> </w:t>
      </w:r>
      <w:r>
        <w:rPr>
          <w:sz w:val="22"/>
        </w:rPr>
        <w:t>limits</w:t>
      </w:r>
      <w:r>
        <w:rPr>
          <w:spacing w:val="-13"/>
          <w:sz w:val="22"/>
        </w:rPr>
        <w:t> </w:t>
      </w:r>
      <w:r>
        <w:rPr>
          <w:sz w:val="22"/>
        </w:rPr>
        <w:t>described</w:t>
      </w:r>
      <w:r>
        <w:rPr>
          <w:spacing w:val="-14"/>
          <w:sz w:val="22"/>
        </w:rPr>
        <w:t> </w:t>
      </w:r>
      <w:r>
        <w:rPr>
          <w:sz w:val="22"/>
        </w:rPr>
        <w:t>elsewhere</w:t>
      </w:r>
      <w:r>
        <w:rPr>
          <w:spacing w:val="-14"/>
          <w:sz w:val="22"/>
        </w:rPr>
        <w:t> </w:t>
      </w:r>
      <w:r>
        <w:rPr>
          <w:sz w:val="22"/>
        </w:rPr>
        <w:t>in</w:t>
      </w:r>
      <w:r>
        <w:rPr>
          <w:spacing w:val="-14"/>
          <w:sz w:val="22"/>
        </w:rPr>
        <w:t> </w:t>
      </w:r>
      <w:r>
        <w:rPr>
          <w:sz w:val="22"/>
        </w:rPr>
        <w:t>this</w:t>
      </w:r>
      <w:r>
        <w:rPr>
          <w:spacing w:val="-11"/>
          <w:sz w:val="22"/>
        </w:rPr>
        <w:t> </w:t>
      </w:r>
      <w:r>
        <w:rPr>
          <w:sz w:val="22"/>
        </w:rPr>
        <w:t>Protocol.</w:t>
      </w:r>
      <w:r>
        <w:rPr>
          <w:spacing w:val="-14"/>
          <w:sz w:val="22"/>
        </w:rPr>
        <w:t> </w:t>
      </w:r>
      <w:r>
        <w:rPr>
          <w:sz w:val="22"/>
        </w:rPr>
        <w:t>The</w:t>
      </w:r>
      <w:r>
        <w:rPr>
          <w:spacing w:val="-11"/>
          <w:sz w:val="22"/>
        </w:rPr>
        <w:t> </w:t>
      </w:r>
      <w:r>
        <w:rPr>
          <w:sz w:val="22"/>
        </w:rPr>
        <w:t>State</w:t>
      </w:r>
      <w:r>
        <w:rPr>
          <w:spacing w:val="-11"/>
          <w:sz w:val="22"/>
        </w:rPr>
        <w:t> </w:t>
      </w:r>
      <w:r>
        <w:rPr>
          <w:sz w:val="22"/>
        </w:rPr>
        <w:t>also</w:t>
      </w:r>
      <w:r>
        <w:rPr>
          <w:spacing w:val="-12"/>
          <w:sz w:val="22"/>
        </w:rPr>
        <w:t> </w:t>
      </w:r>
      <w:r>
        <w:rPr>
          <w:sz w:val="22"/>
        </w:rPr>
        <w:t>has</w:t>
      </w:r>
      <w:r>
        <w:rPr>
          <w:spacing w:val="-11"/>
          <w:sz w:val="22"/>
        </w:rPr>
        <w:t> </w:t>
      </w:r>
      <w:r>
        <w:rPr>
          <w:sz w:val="22"/>
        </w:rPr>
        <w:t>discretion</w:t>
      </w:r>
      <w:r>
        <w:rPr>
          <w:spacing w:val="-12"/>
          <w:sz w:val="22"/>
        </w:rPr>
        <w:t> </w:t>
      </w:r>
      <w:r>
        <w:rPr>
          <w:sz w:val="22"/>
        </w:rPr>
        <w:t>to</w:t>
      </w:r>
      <w:r>
        <w:rPr>
          <w:spacing w:val="-14"/>
          <w:sz w:val="22"/>
        </w:rPr>
        <w:t> </w:t>
      </w:r>
      <w:r>
        <w:rPr>
          <w:sz w:val="22"/>
        </w:rPr>
        <w:t>determine whether and to what extent to satisfy the reduced expenditure authority through retroactive recoupments from recipients of DSRIP payments or through separately paying CMS back for the Federal Financial Participation for any such reduced expenditure authority.</w:t>
      </w:r>
    </w:p>
    <w:p>
      <w:pPr>
        <w:pStyle w:val="ListParagraph"/>
        <w:numPr>
          <w:ilvl w:val="1"/>
          <w:numId w:val="79"/>
        </w:numPr>
        <w:tabs>
          <w:tab w:pos="2660" w:val="left" w:leader="none"/>
        </w:tabs>
        <w:spacing w:line="223" w:lineRule="auto" w:before="7" w:after="0"/>
        <w:ind w:left="2660" w:right="1094" w:hanging="360"/>
        <w:jc w:val="both"/>
        <w:rPr>
          <w:sz w:val="22"/>
        </w:rPr>
      </w:pPr>
      <w:r>
        <w:rPr>
          <w:sz w:val="22"/>
        </w:rPr>
        <w:t>State DSRIP expenditures can be categorized as (1) non-at-risk payments and (2) at-risk payments</w:t>
      </w:r>
      <w:r>
        <w:rPr>
          <w:spacing w:val="-7"/>
          <w:sz w:val="22"/>
        </w:rPr>
        <w:t> </w:t>
      </w:r>
      <w:r>
        <w:rPr>
          <w:sz w:val="22"/>
        </w:rPr>
        <w:t>which</w:t>
      </w:r>
      <w:r>
        <w:rPr>
          <w:spacing w:val="-7"/>
          <w:sz w:val="22"/>
        </w:rPr>
        <w:t> </w:t>
      </w:r>
      <w:r>
        <w:rPr>
          <w:sz w:val="22"/>
        </w:rPr>
        <w:t>are</w:t>
      </w:r>
      <w:r>
        <w:rPr>
          <w:spacing w:val="-7"/>
          <w:sz w:val="22"/>
        </w:rPr>
        <w:t> </w:t>
      </w:r>
      <w:r>
        <w:rPr>
          <w:sz w:val="22"/>
        </w:rPr>
        <w:t>dependent</w:t>
      </w:r>
      <w:r>
        <w:rPr>
          <w:spacing w:val="-6"/>
          <w:sz w:val="22"/>
        </w:rPr>
        <w:t> </w:t>
      </w:r>
      <w:r>
        <w:rPr>
          <w:sz w:val="22"/>
        </w:rPr>
        <w:t>on</w:t>
      </w:r>
      <w:r>
        <w:rPr>
          <w:spacing w:val="-9"/>
          <w:sz w:val="22"/>
        </w:rPr>
        <w:t> </w:t>
      </w:r>
      <w:r>
        <w:rPr>
          <w:sz w:val="22"/>
        </w:rPr>
        <w:t>the</w:t>
      </w:r>
      <w:r>
        <w:rPr>
          <w:spacing w:val="-9"/>
          <w:sz w:val="22"/>
        </w:rPr>
        <w:t> </w:t>
      </w:r>
      <w:r>
        <w:rPr>
          <w:sz w:val="22"/>
        </w:rPr>
        <w:t>calculation</w:t>
      </w:r>
      <w:r>
        <w:rPr>
          <w:spacing w:val="-7"/>
          <w:sz w:val="22"/>
        </w:rPr>
        <w:t> </w:t>
      </w:r>
      <w:r>
        <w:rPr>
          <w:sz w:val="22"/>
        </w:rPr>
        <w:t>of</w:t>
      </w:r>
      <w:r>
        <w:rPr>
          <w:spacing w:val="-6"/>
          <w:sz w:val="22"/>
        </w:rPr>
        <w:t> </w:t>
      </w:r>
      <w:r>
        <w:rPr>
          <w:sz w:val="22"/>
        </w:rPr>
        <w:t>Accountability</w:t>
      </w:r>
      <w:r>
        <w:rPr>
          <w:spacing w:val="-10"/>
          <w:sz w:val="22"/>
        </w:rPr>
        <w:t> </w:t>
      </w:r>
      <w:r>
        <w:rPr>
          <w:sz w:val="22"/>
        </w:rPr>
        <w:t>Scores.</w:t>
      </w:r>
      <w:r>
        <w:rPr>
          <w:spacing w:val="39"/>
          <w:sz w:val="22"/>
        </w:rPr>
        <w:t> </w:t>
      </w:r>
      <w:r>
        <w:rPr>
          <w:sz w:val="22"/>
        </w:rPr>
        <w:t>The</w:t>
      </w:r>
      <w:r>
        <w:rPr>
          <w:spacing w:val="-7"/>
          <w:sz w:val="22"/>
        </w:rPr>
        <w:t> </w:t>
      </w:r>
      <w:r>
        <w:rPr>
          <w:sz w:val="22"/>
        </w:rPr>
        <w:t>State</w:t>
      </w:r>
      <w:r>
        <w:rPr>
          <w:spacing w:val="-7"/>
          <w:sz w:val="22"/>
        </w:rPr>
        <w:t> </w:t>
      </w:r>
      <w:r>
        <w:rPr>
          <w:sz w:val="22"/>
        </w:rPr>
        <w:t>will</w:t>
      </w:r>
    </w:p>
    <w:p>
      <w:pPr>
        <w:spacing w:after="0" w:line="223" w:lineRule="auto"/>
        <w:jc w:val="both"/>
        <w:rPr>
          <w:sz w:val="22"/>
        </w:rPr>
        <w:sectPr>
          <w:pgSz w:w="12240" w:h="15840"/>
          <w:pgMar w:header="0" w:footer="967" w:top="1360" w:bottom="1160" w:left="220" w:right="340"/>
        </w:sectPr>
      </w:pPr>
    </w:p>
    <w:p>
      <w:pPr>
        <w:spacing w:before="78"/>
        <w:ind w:left="2659" w:right="1095" w:firstLine="0"/>
        <w:jc w:val="both"/>
        <w:rPr>
          <w:sz w:val="22"/>
        </w:rPr>
      </w:pPr>
      <w:r>
        <w:rPr/>
        <mc:AlternateContent>
          <mc:Choice Requires="wps">
            <w:drawing>
              <wp:anchor distT="0" distB="0" distL="0" distR="0" allowOverlap="1" layoutInCell="1" locked="0" behindDoc="0" simplePos="0" relativeHeight="16146432">
                <wp:simplePos x="0" y="0"/>
                <wp:positionH relativeFrom="page">
                  <wp:posOffset>905255</wp:posOffset>
                </wp:positionH>
                <wp:positionV relativeFrom="page">
                  <wp:posOffset>8749283</wp:posOffset>
                </wp:positionV>
                <wp:extent cx="5953125" cy="6350"/>
                <wp:effectExtent l="0" t="0" r="0" b="0"/>
                <wp:wrapNone/>
                <wp:docPr id="873" name="Graphic 873"/>
                <wp:cNvGraphicFramePr>
                  <a:graphicFrameLocks/>
                </wp:cNvGraphicFramePr>
                <a:graphic>
                  <a:graphicData uri="http://schemas.microsoft.com/office/word/2010/wordprocessingShape">
                    <wps:wsp>
                      <wps:cNvPr id="873" name="Graphic 873"/>
                      <wps:cNvSpPr/>
                      <wps:spPr>
                        <a:xfrm>
                          <a:off x="0" y="0"/>
                          <a:ext cx="5953125" cy="6350"/>
                        </a:xfrm>
                        <a:custGeom>
                          <a:avLst/>
                          <a:gdLst/>
                          <a:ahLst/>
                          <a:cxnLst/>
                          <a:rect l="l" t="t" r="r" b="b"/>
                          <a:pathLst>
                            <a:path w="5953125" h="6350">
                              <a:moveTo>
                                <a:pt x="5952744" y="0"/>
                              </a:moveTo>
                              <a:lnTo>
                                <a:pt x="0" y="0"/>
                              </a:lnTo>
                              <a:lnTo>
                                <a:pt x="0" y="6096"/>
                              </a:lnTo>
                              <a:lnTo>
                                <a:pt x="5952744" y="6096"/>
                              </a:lnTo>
                              <a:lnTo>
                                <a:pt x="5952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1.279999pt;margin-top:688.919983pt;width:468.72pt;height:.48pt;mso-position-horizontal-relative:page;mso-position-vertical-relative:page;z-index:16146432" id="docshape90" filled="true" fillcolor="#000000" stroked="false">
                <v:fill type="solid"/>
                <w10:wrap type="none"/>
              </v:rect>
            </w:pict>
          </mc:Fallback>
        </mc:AlternateContent>
      </w:r>
      <w:r>
        <w:rPr>
          <w:sz w:val="22"/>
        </w:rPr>
        <w:t>make non-at-risk payments and then retroactively claim FFP for those payments.</w:t>
      </w:r>
      <w:r>
        <w:rPr>
          <w:spacing w:val="40"/>
          <w:sz w:val="22"/>
        </w:rPr>
        <w:t> </w:t>
      </w:r>
      <w:r>
        <w:rPr>
          <w:sz w:val="22"/>
        </w:rPr>
        <w:t>Given that the FFP claiming for the non-at-risk payments for a particular Budget Period may occur before the State's Accountability Score is calculated for that Budget Period, it is possible for the State to claim more FFP than its reduced expenditure authority would allow.</w:t>
      </w:r>
      <w:r>
        <w:rPr>
          <w:spacing w:val="40"/>
          <w:sz w:val="22"/>
        </w:rPr>
        <w:t> </w:t>
      </w:r>
      <w:r>
        <w:rPr>
          <w:sz w:val="22"/>
        </w:rPr>
        <w:t>In this scenario, the State would reconcile its claimed FFP amount with CMS. If the</w:t>
      </w:r>
      <w:r>
        <w:rPr>
          <w:spacing w:val="-2"/>
          <w:sz w:val="22"/>
        </w:rPr>
        <w:t> </w:t>
      </w:r>
      <w:r>
        <w:rPr>
          <w:sz w:val="22"/>
        </w:rPr>
        <w:t>State</w:t>
      </w:r>
      <w:r>
        <w:rPr>
          <w:spacing w:val="-4"/>
          <w:sz w:val="22"/>
        </w:rPr>
        <w:t> </w:t>
      </w:r>
      <w:r>
        <w:rPr>
          <w:sz w:val="22"/>
        </w:rPr>
        <w:t>retroactively</w:t>
      </w:r>
      <w:r>
        <w:rPr>
          <w:spacing w:val="-5"/>
          <w:sz w:val="22"/>
        </w:rPr>
        <w:t> </w:t>
      </w:r>
      <w:r>
        <w:rPr>
          <w:sz w:val="22"/>
        </w:rPr>
        <w:t>recoups</w:t>
      </w:r>
      <w:r>
        <w:rPr>
          <w:spacing w:val="-2"/>
          <w:sz w:val="22"/>
        </w:rPr>
        <w:t> </w:t>
      </w:r>
      <w:r>
        <w:rPr>
          <w:sz w:val="22"/>
        </w:rPr>
        <w:t>funds</w:t>
      </w:r>
      <w:r>
        <w:rPr>
          <w:spacing w:val="-4"/>
          <w:sz w:val="22"/>
        </w:rPr>
        <w:t> </w:t>
      </w:r>
      <w:r>
        <w:rPr>
          <w:sz w:val="22"/>
        </w:rPr>
        <w:t>from</w:t>
      </w:r>
      <w:r>
        <w:rPr>
          <w:spacing w:val="-6"/>
          <w:sz w:val="22"/>
        </w:rPr>
        <w:t> </w:t>
      </w:r>
      <w:r>
        <w:rPr>
          <w:sz w:val="22"/>
        </w:rPr>
        <w:t>ACOs,</w:t>
      </w:r>
      <w:r>
        <w:rPr>
          <w:spacing w:val="-2"/>
          <w:sz w:val="22"/>
        </w:rPr>
        <w:t> </w:t>
      </w:r>
      <w:r>
        <w:rPr>
          <w:sz w:val="22"/>
        </w:rPr>
        <w:t>CPs,</w:t>
      </w:r>
      <w:r>
        <w:rPr>
          <w:spacing w:val="-2"/>
          <w:sz w:val="22"/>
        </w:rPr>
        <w:t> </w:t>
      </w:r>
      <w:r>
        <w:rPr>
          <w:sz w:val="22"/>
        </w:rPr>
        <w:t>or</w:t>
      </w:r>
      <w:r>
        <w:rPr>
          <w:spacing w:val="-1"/>
          <w:sz w:val="22"/>
        </w:rPr>
        <w:t> </w:t>
      </w:r>
      <w:r>
        <w:rPr>
          <w:sz w:val="22"/>
        </w:rPr>
        <w:t>CSAs,</w:t>
      </w:r>
      <w:r>
        <w:rPr>
          <w:spacing w:val="-5"/>
          <w:sz w:val="22"/>
        </w:rPr>
        <w:t> </w:t>
      </w:r>
      <w:r>
        <w:rPr>
          <w:sz w:val="22"/>
        </w:rPr>
        <w:t>it</w:t>
      </w:r>
      <w:r>
        <w:rPr>
          <w:spacing w:val="-4"/>
          <w:sz w:val="22"/>
        </w:rPr>
        <w:t> </w:t>
      </w:r>
      <w:r>
        <w:rPr>
          <w:sz w:val="22"/>
        </w:rPr>
        <w:t>will</w:t>
      </w:r>
      <w:r>
        <w:rPr>
          <w:spacing w:val="-4"/>
          <w:sz w:val="22"/>
        </w:rPr>
        <w:t> </w:t>
      </w:r>
      <w:r>
        <w:rPr>
          <w:sz w:val="22"/>
        </w:rPr>
        <w:t>follow</w:t>
      </w:r>
      <w:r>
        <w:rPr>
          <w:spacing w:val="-6"/>
          <w:sz w:val="22"/>
        </w:rPr>
        <w:t> </w:t>
      </w:r>
      <w:r>
        <w:rPr>
          <w:sz w:val="22"/>
        </w:rPr>
        <w:t>the</w:t>
      </w:r>
      <w:r>
        <w:rPr>
          <w:spacing w:val="-4"/>
          <w:sz w:val="22"/>
        </w:rPr>
        <w:t> </w:t>
      </w:r>
      <w:r>
        <w:rPr>
          <w:sz w:val="22"/>
        </w:rPr>
        <w:t>process laid out in Section 5.1.1.</w:t>
      </w:r>
    </w:p>
    <w:p>
      <w:pPr>
        <w:pStyle w:val="Heading2"/>
        <w:numPr>
          <w:ilvl w:val="1"/>
          <w:numId w:val="77"/>
        </w:numPr>
        <w:tabs>
          <w:tab w:pos="1618" w:val="left" w:leader="none"/>
        </w:tabs>
        <w:spacing w:line="298" w:lineRule="exact" w:before="203" w:after="0"/>
        <w:ind w:left="1618" w:right="0" w:hanging="398"/>
        <w:jc w:val="both"/>
      </w:pPr>
      <w:bookmarkStart w:name="5.2 State Accountability to CMS" w:id="1364"/>
      <w:bookmarkEnd w:id="1364"/>
      <w:r>
        <w:rPr>
          <w:b w:val="0"/>
        </w:rPr>
      </w:r>
      <w:bookmarkStart w:name="_bookmark76" w:id="1365"/>
      <w:bookmarkEnd w:id="1365"/>
      <w:r>
        <w:rPr>
          <w:b w:val="0"/>
        </w:rPr>
      </w:r>
      <w:r>
        <w:rPr>
          <w:color w:val="4471C4"/>
        </w:rPr>
        <w:t>State</w:t>
      </w:r>
      <w:r>
        <w:rPr>
          <w:color w:val="4471C4"/>
          <w:spacing w:val="-10"/>
        </w:rPr>
        <w:t> </w:t>
      </w:r>
      <w:r>
        <w:rPr>
          <w:color w:val="4471C4"/>
        </w:rPr>
        <w:t>Accountability</w:t>
      </w:r>
      <w:r>
        <w:rPr>
          <w:color w:val="4471C4"/>
          <w:spacing w:val="-7"/>
        </w:rPr>
        <w:t> </w:t>
      </w:r>
      <w:r>
        <w:rPr>
          <w:color w:val="4471C4"/>
        </w:rPr>
        <w:t>to</w:t>
      </w:r>
      <w:r>
        <w:rPr>
          <w:color w:val="4471C4"/>
          <w:spacing w:val="-10"/>
        </w:rPr>
        <w:t> </w:t>
      </w:r>
      <w:r>
        <w:rPr>
          <w:color w:val="4471C4"/>
          <w:spacing w:val="-5"/>
        </w:rPr>
        <w:t>CMS</w:t>
      </w:r>
    </w:p>
    <w:p>
      <w:pPr>
        <w:spacing w:line="240" w:lineRule="auto" w:before="0"/>
        <w:ind w:left="1219" w:right="1093" w:firstLine="0"/>
        <w:jc w:val="both"/>
        <w:rPr>
          <w:sz w:val="22"/>
        </w:rPr>
      </w:pPr>
      <w:r>
        <w:rPr>
          <w:sz w:val="22"/>
        </w:rPr>
        <w:t>As set</w:t>
      </w:r>
      <w:r>
        <w:rPr>
          <w:spacing w:val="-1"/>
          <w:sz w:val="22"/>
        </w:rPr>
        <w:t> </w:t>
      </w:r>
      <w:r>
        <w:rPr>
          <w:sz w:val="22"/>
        </w:rPr>
        <w:t>forth</w:t>
      </w:r>
      <w:r>
        <w:rPr>
          <w:spacing w:val="-2"/>
          <w:sz w:val="22"/>
        </w:rPr>
        <w:t> </w:t>
      </w:r>
      <w:r>
        <w:rPr>
          <w:sz w:val="22"/>
        </w:rPr>
        <w:t>in</w:t>
      </w:r>
      <w:r>
        <w:rPr>
          <w:spacing w:val="-2"/>
          <w:sz w:val="22"/>
        </w:rPr>
        <w:t> </w:t>
      </w:r>
      <w:r>
        <w:rPr>
          <w:sz w:val="22"/>
        </w:rPr>
        <w:t>STC</w:t>
      </w:r>
      <w:r>
        <w:rPr>
          <w:spacing w:val="-1"/>
          <w:sz w:val="22"/>
        </w:rPr>
        <w:t> </w:t>
      </w:r>
      <w:r>
        <w:rPr>
          <w:sz w:val="22"/>
        </w:rPr>
        <w:t>71, a</w:t>
      </w:r>
      <w:r>
        <w:rPr>
          <w:spacing w:val="-2"/>
          <w:sz w:val="22"/>
        </w:rPr>
        <w:t> </w:t>
      </w:r>
      <w:r>
        <w:rPr>
          <w:sz w:val="22"/>
        </w:rPr>
        <w:t>portion</w:t>
      </w:r>
      <w:r>
        <w:rPr>
          <w:spacing w:val="-2"/>
          <w:sz w:val="22"/>
        </w:rPr>
        <w:t> </w:t>
      </w:r>
      <w:r>
        <w:rPr>
          <w:sz w:val="22"/>
        </w:rPr>
        <w:t>of</w:t>
      </w:r>
      <w:r>
        <w:rPr>
          <w:spacing w:val="-1"/>
          <w:sz w:val="22"/>
        </w:rPr>
        <w:t> </w:t>
      </w:r>
      <w:r>
        <w:rPr>
          <w:sz w:val="22"/>
        </w:rPr>
        <w:t>the State’s DSRIP expenditure</w:t>
      </w:r>
      <w:r>
        <w:rPr>
          <w:spacing w:val="-2"/>
          <w:sz w:val="22"/>
        </w:rPr>
        <w:t> </w:t>
      </w:r>
      <w:r>
        <w:rPr>
          <w:sz w:val="22"/>
        </w:rPr>
        <w:t>authority</w:t>
      </w:r>
      <w:r>
        <w:rPr>
          <w:spacing w:val="-2"/>
          <w:sz w:val="22"/>
        </w:rPr>
        <w:t> </w:t>
      </w:r>
      <w:r>
        <w:rPr>
          <w:sz w:val="22"/>
        </w:rPr>
        <w:t>will</w:t>
      </w:r>
      <w:r>
        <w:rPr>
          <w:spacing w:val="-4"/>
          <w:sz w:val="22"/>
        </w:rPr>
        <w:t> </w:t>
      </w:r>
      <w:r>
        <w:rPr>
          <w:sz w:val="22"/>
        </w:rPr>
        <w:t>be at-risk. In accordance with STC 71,</w:t>
      </w:r>
      <w:r>
        <w:rPr>
          <w:spacing w:val="-1"/>
          <w:sz w:val="22"/>
        </w:rPr>
        <w:t> </w:t>
      </w:r>
      <w:r>
        <w:rPr>
          <w:sz w:val="22"/>
        </w:rPr>
        <w:t>if the State’s</w:t>
      </w:r>
      <w:r>
        <w:rPr>
          <w:spacing w:val="-1"/>
          <w:sz w:val="22"/>
        </w:rPr>
        <w:t> </w:t>
      </w:r>
      <w:r>
        <w:rPr>
          <w:sz w:val="22"/>
        </w:rPr>
        <w:t>DSRIP expenditure</w:t>
      </w:r>
      <w:r>
        <w:rPr>
          <w:spacing w:val="-1"/>
          <w:sz w:val="22"/>
        </w:rPr>
        <w:t> </w:t>
      </w:r>
      <w:r>
        <w:rPr>
          <w:sz w:val="22"/>
        </w:rPr>
        <w:t>authority</w:t>
      </w:r>
      <w:r>
        <w:rPr>
          <w:spacing w:val="-1"/>
          <w:sz w:val="22"/>
        </w:rPr>
        <w:t> </w:t>
      </w:r>
      <w:r>
        <w:rPr>
          <w:sz w:val="22"/>
        </w:rPr>
        <w:t>is reduced</w:t>
      </w:r>
      <w:r>
        <w:rPr>
          <w:spacing w:val="-1"/>
          <w:sz w:val="22"/>
        </w:rPr>
        <w:t> </w:t>
      </w:r>
      <w:r>
        <w:rPr>
          <w:sz w:val="22"/>
        </w:rPr>
        <w:t>based on an Accountability</w:t>
      </w:r>
      <w:r>
        <w:rPr>
          <w:spacing w:val="-1"/>
          <w:sz w:val="22"/>
        </w:rPr>
        <w:t> </w:t>
      </w:r>
      <w:r>
        <w:rPr>
          <w:sz w:val="22"/>
        </w:rPr>
        <w:t>Score that is less than 100%, then the State will reduce future DSRIP payments in proportion to the reduced expenditure authority to ensure sufficient state funding to support the program. The portion of at-risk DSRIP expenditure authority is set forth in Exhibit 24. The amount of DSRIP Expenditure Authority expressed</w:t>
      </w:r>
      <w:r>
        <w:rPr>
          <w:spacing w:val="-7"/>
          <w:sz w:val="22"/>
        </w:rPr>
        <w:t> </w:t>
      </w:r>
      <w:r>
        <w:rPr>
          <w:sz w:val="22"/>
        </w:rPr>
        <w:t>in</w:t>
      </w:r>
      <w:r>
        <w:rPr>
          <w:spacing w:val="-9"/>
          <w:sz w:val="22"/>
        </w:rPr>
        <w:t> </w:t>
      </w:r>
      <w:r>
        <w:rPr>
          <w:sz w:val="22"/>
        </w:rPr>
        <w:t>row</w:t>
      </w:r>
      <w:r>
        <w:rPr>
          <w:spacing w:val="-8"/>
          <w:sz w:val="22"/>
        </w:rPr>
        <w:t> </w:t>
      </w:r>
      <w:r>
        <w:rPr>
          <w:sz w:val="22"/>
        </w:rPr>
        <w:t>1</w:t>
      </w:r>
      <w:r>
        <w:rPr>
          <w:spacing w:val="-7"/>
          <w:sz w:val="22"/>
        </w:rPr>
        <w:t> </w:t>
      </w:r>
      <w:r>
        <w:rPr>
          <w:sz w:val="22"/>
        </w:rPr>
        <w:t>of</w:t>
      </w:r>
      <w:r>
        <w:rPr>
          <w:spacing w:val="-6"/>
          <w:sz w:val="22"/>
        </w:rPr>
        <w:t> </w:t>
      </w:r>
      <w:r>
        <w:rPr>
          <w:sz w:val="22"/>
        </w:rPr>
        <w:t>Exhibit</w:t>
      </w:r>
      <w:r>
        <w:rPr>
          <w:spacing w:val="-6"/>
          <w:sz w:val="22"/>
        </w:rPr>
        <w:t> </w:t>
      </w:r>
      <w:r>
        <w:rPr>
          <w:sz w:val="22"/>
        </w:rPr>
        <w:t>24</w:t>
      </w:r>
      <w:r>
        <w:rPr>
          <w:spacing w:val="-10"/>
          <w:sz w:val="22"/>
        </w:rPr>
        <w:t> </w:t>
      </w:r>
      <w:r>
        <w:rPr>
          <w:sz w:val="22"/>
        </w:rPr>
        <w:t>(and</w:t>
      </w:r>
      <w:r>
        <w:rPr>
          <w:spacing w:val="-7"/>
          <w:sz w:val="22"/>
        </w:rPr>
        <w:t> </w:t>
      </w:r>
      <w:r>
        <w:rPr>
          <w:sz w:val="22"/>
        </w:rPr>
        <w:t>the</w:t>
      </w:r>
      <w:r>
        <w:rPr>
          <w:spacing w:val="-7"/>
          <w:sz w:val="22"/>
        </w:rPr>
        <w:t> </w:t>
      </w:r>
      <w:r>
        <w:rPr>
          <w:sz w:val="22"/>
        </w:rPr>
        <w:t>corresponding</w:t>
      </w:r>
      <w:r>
        <w:rPr>
          <w:spacing w:val="-10"/>
          <w:sz w:val="22"/>
        </w:rPr>
        <w:t> </w:t>
      </w:r>
      <w:r>
        <w:rPr>
          <w:sz w:val="22"/>
        </w:rPr>
        <w:t>table</w:t>
      </w:r>
      <w:r>
        <w:rPr>
          <w:spacing w:val="-9"/>
          <w:sz w:val="22"/>
        </w:rPr>
        <w:t> </w:t>
      </w:r>
      <w:r>
        <w:rPr>
          <w:sz w:val="22"/>
        </w:rPr>
        <w:t>in</w:t>
      </w:r>
      <w:r>
        <w:rPr>
          <w:spacing w:val="-7"/>
          <w:sz w:val="22"/>
        </w:rPr>
        <w:t> </w:t>
      </w:r>
      <w:r>
        <w:rPr>
          <w:sz w:val="22"/>
        </w:rPr>
        <w:t>STC</w:t>
      </w:r>
      <w:r>
        <w:rPr>
          <w:spacing w:val="-8"/>
          <w:sz w:val="22"/>
        </w:rPr>
        <w:t> </w:t>
      </w:r>
      <w:r>
        <w:rPr>
          <w:sz w:val="22"/>
        </w:rPr>
        <w:t>71(b))</w:t>
      </w:r>
      <w:r>
        <w:rPr>
          <w:spacing w:val="-6"/>
          <w:sz w:val="22"/>
        </w:rPr>
        <w:t> </w:t>
      </w:r>
      <w:r>
        <w:rPr>
          <w:sz w:val="22"/>
        </w:rPr>
        <w:t>is</w:t>
      </w:r>
      <w:r>
        <w:rPr>
          <w:spacing w:val="-7"/>
          <w:sz w:val="22"/>
        </w:rPr>
        <w:t> </w:t>
      </w:r>
      <w:r>
        <w:rPr>
          <w:sz w:val="22"/>
        </w:rPr>
        <w:t>divided</w:t>
      </w:r>
      <w:r>
        <w:rPr>
          <w:spacing w:val="-7"/>
          <w:sz w:val="22"/>
        </w:rPr>
        <w:t> </w:t>
      </w:r>
      <w:r>
        <w:rPr>
          <w:sz w:val="22"/>
        </w:rPr>
        <w:t>into</w:t>
      </w:r>
      <w:r>
        <w:rPr>
          <w:spacing w:val="-7"/>
          <w:sz w:val="22"/>
        </w:rPr>
        <w:t> </w:t>
      </w:r>
      <w:r>
        <w:rPr>
          <w:sz w:val="22"/>
        </w:rPr>
        <w:t>Budget</w:t>
      </w:r>
      <w:r>
        <w:rPr>
          <w:spacing w:val="-6"/>
          <w:sz w:val="22"/>
        </w:rPr>
        <w:t> </w:t>
      </w:r>
      <w:r>
        <w:rPr>
          <w:sz w:val="22"/>
        </w:rPr>
        <w:t>Periods solely for the purpose of calculating the amount of Actual Expenditure Authority At-Risk as indicated in row 3 of Exhibit 24.</w:t>
      </w:r>
    </w:p>
    <w:p>
      <w:pPr>
        <w:spacing w:before="200" w:after="4"/>
        <w:ind w:left="1219" w:right="0" w:firstLine="0"/>
        <w:jc w:val="both"/>
        <w:rPr>
          <w:sz w:val="22"/>
        </w:rPr>
      </w:pPr>
      <w:r>
        <w:rPr>
          <w:sz w:val="22"/>
        </w:rPr>
        <w:t>EXHIBIT</w:t>
      </w:r>
      <w:r>
        <w:rPr>
          <w:spacing w:val="-3"/>
          <w:sz w:val="22"/>
        </w:rPr>
        <w:t> </w:t>
      </w:r>
      <w:r>
        <w:rPr>
          <w:sz w:val="22"/>
        </w:rPr>
        <w:t>24</w:t>
      </w:r>
      <w:r>
        <w:rPr>
          <w:spacing w:val="-5"/>
          <w:sz w:val="22"/>
        </w:rPr>
        <w:t> </w:t>
      </w:r>
      <w:r>
        <w:rPr>
          <w:sz w:val="22"/>
        </w:rPr>
        <w:t>–</w:t>
      </w:r>
      <w:r>
        <w:rPr>
          <w:spacing w:val="-4"/>
          <w:sz w:val="22"/>
        </w:rPr>
        <w:t> </w:t>
      </w:r>
      <w:r>
        <w:rPr>
          <w:sz w:val="22"/>
        </w:rPr>
        <w:t>Percent</w:t>
      </w:r>
      <w:r>
        <w:rPr>
          <w:spacing w:val="-4"/>
          <w:sz w:val="22"/>
        </w:rPr>
        <w:t> </w:t>
      </w:r>
      <w:r>
        <w:rPr>
          <w:sz w:val="22"/>
        </w:rPr>
        <w:t>of</w:t>
      </w:r>
      <w:r>
        <w:rPr>
          <w:spacing w:val="-6"/>
          <w:sz w:val="22"/>
        </w:rPr>
        <w:t> </w:t>
      </w:r>
      <w:r>
        <w:rPr>
          <w:sz w:val="22"/>
        </w:rPr>
        <w:t>DSRIP</w:t>
      </w:r>
      <w:r>
        <w:rPr>
          <w:spacing w:val="-6"/>
          <w:sz w:val="22"/>
        </w:rPr>
        <w:t> </w:t>
      </w:r>
      <w:r>
        <w:rPr>
          <w:sz w:val="22"/>
        </w:rPr>
        <w:t>Expenditure</w:t>
      </w:r>
      <w:r>
        <w:rPr>
          <w:spacing w:val="-4"/>
          <w:sz w:val="22"/>
        </w:rPr>
        <w:t> </w:t>
      </w:r>
      <w:r>
        <w:rPr>
          <w:sz w:val="22"/>
        </w:rPr>
        <w:t>Authority</w:t>
      </w:r>
      <w:r>
        <w:rPr>
          <w:spacing w:val="-7"/>
          <w:sz w:val="22"/>
        </w:rPr>
        <w:t> </w:t>
      </w:r>
      <w:r>
        <w:rPr>
          <w:sz w:val="22"/>
        </w:rPr>
        <w:t>At-</w:t>
      </w:r>
      <w:r>
        <w:rPr>
          <w:spacing w:val="-4"/>
          <w:sz w:val="22"/>
        </w:rPr>
        <w:t>Risk</w:t>
      </w:r>
    </w:p>
    <w:tbl>
      <w:tblPr>
        <w:tblW w:w="0" w:type="auto"/>
        <w:jc w:val="left"/>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7"/>
        <w:gridCol w:w="2335"/>
        <w:gridCol w:w="1219"/>
        <w:gridCol w:w="1238"/>
        <w:gridCol w:w="1125"/>
        <w:gridCol w:w="1127"/>
        <w:gridCol w:w="1127"/>
        <w:gridCol w:w="592"/>
      </w:tblGrid>
      <w:tr>
        <w:trPr>
          <w:trHeight w:val="458" w:hRule="atLeast"/>
        </w:trPr>
        <w:tc>
          <w:tcPr>
            <w:tcW w:w="607" w:type="dxa"/>
            <w:vMerge w:val="restart"/>
            <w:tcBorders>
              <w:left w:val="nil"/>
              <w:right w:val="single" w:sz="4" w:space="0" w:color="BEBEBE"/>
            </w:tcBorders>
          </w:tcPr>
          <w:p>
            <w:pPr>
              <w:pStyle w:val="TableParagraph"/>
              <w:rPr>
                <w:sz w:val="20"/>
              </w:rPr>
            </w:pPr>
          </w:p>
        </w:tc>
        <w:tc>
          <w:tcPr>
            <w:tcW w:w="2335" w:type="dxa"/>
            <w:tcBorders>
              <w:top w:val="double" w:sz="4" w:space="0" w:color="000000"/>
              <w:left w:val="single" w:sz="4" w:space="0" w:color="BEBEBE"/>
              <w:bottom w:val="single" w:sz="4" w:space="0" w:color="BEBEBE"/>
              <w:right w:val="single" w:sz="4" w:space="0" w:color="BEBEBE"/>
            </w:tcBorders>
            <w:shd w:val="clear" w:color="auto" w:fill="44536A"/>
          </w:tcPr>
          <w:p>
            <w:pPr>
              <w:pStyle w:val="TableParagraph"/>
              <w:spacing w:before="114"/>
              <w:ind w:left="223"/>
              <w:rPr>
                <w:b/>
                <w:sz w:val="20"/>
              </w:rPr>
            </w:pPr>
            <w:r>
              <w:rPr>
                <w:b/>
                <w:color w:val="FFFFFF"/>
                <w:sz w:val="20"/>
              </w:rPr>
              <w:t>DSRIP</w:t>
            </w:r>
            <w:r>
              <w:rPr>
                <w:b/>
                <w:color w:val="FFFFFF"/>
                <w:spacing w:val="-7"/>
                <w:sz w:val="20"/>
              </w:rPr>
              <w:t> </w:t>
            </w:r>
            <w:r>
              <w:rPr>
                <w:b/>
                <w:color w:val="FFFFFF"/>
                <w:sz w:val="20"/>
              </w:rPr>
              <w:t>Budget</w:t>
            </w:r>
            <w:r>
              <w:rPr>
                <w:b/>
                <w:color w:val="FFFFFF"/>
                <w:spacing w:val="-6"/>
                <w:sz w:val="20"/>
              </w:rPr>
              <w:t> </w:t>
            </w:r>
            <w:r>
              <w:rPr>
                <w:b/>
                <w:color w:val="FFFFFF"/>
                <w:spacing w:val="-2"/>
                <w:sz w:val="20"/>
              </w:rPr>
              <w:t>Period</w:t>
            </w:r>
          </w:p>
        </w:tc>
        <w:tc>
          <w:tcPr>
            <w:tcW w:w="1219" w:type="dxa"/>
            <w:tcBorders>
              <w:top w:val="double" w:sz="4" w:space="0" w:color="000000"/>
              <w:left w:val="single" w:sz="4" w:space="0" w:color="BEBEBE"/>
              <w:bottom w:val="single" w:sz="4" w:space="0" w:color="BEBEBE"/>
              <w:right w:val="single" w:sz="4" w:space="0" w:color="BEBEBE"/>
            </w:tcBorders>
            <w:shd w:val="clear" w:color="auto" w:fill="D9D9D9"/>
          </w:tcPr>
          <w:p>
            <w:pPr>
              <w:pStyle w:val="TableParagraph"/>
              <w:spacing w:line="230" w:lineRule="exact"/>
              <w:ind w:left="432" w:hanging="329"/>
              <w:rPr>
                <w:sz w:val="20"/>
              </w:rPr>
            </w:pPr>
            <w:r>
              <w:rPr>
                <w:sz w:val="20"/>
              </w:rPr>
              <w:t>Prep</w:t>
            </w:r>
            <w:r>
              <w:rPr>
                <w:spacing w:val="-13"/>
                <w:sz w:val="20"/>
              </w:rPr>
              <w:t> </w:t>
            </w:r>
            <w:r>
              <w:rPr>
                <w:sz w:val="20"/>
              </w:rPr>
              <w:t>BP</w:t>
            </w:r>
            <w:r>
              <w:rPr>
                <w:spacing w:val="-12"/>
                <w:sz w:val="20"/>
              </w:rPr>
              <w:t> </w:t>
            </w:r>
            <w:r>
              <w:rPr>
                <w:sz w:val="20"/>
              </w:rPr>
              <w:t>and </w:t>
            </w:r>
            <w:r>
              <w:rPr>
                <w:spacing w:val="-4"/>
                <w:sz w:val="20"/>
              </w:rPr>
              <w:t>BP1</w:t>
            </w:r>
          </w:p>
        </w:tc>
        <w:tc>
          <w:tcPr>
            <w:tcW w:w="1238" w:type="dxa"/>
            <w:tcBorders>
              <w:top w:val="double" w:sz="4" w:space="0" w:color="000000"/>
              <w:left w:val="single" w:sz="4" w:space="0" w:color="BEBEBE"/>
              <w:bottom w:val="single" w:sz="4" w:space="0" w:color="BEBEBE"/>
              <w:right w:val="single" w:sz="4" w:space="0" w:color="BEBEBE"/>
            </w:tcBorders>
            <w:shd w:val="clear" w:color="auto" w:fill="D9D9D9"/>
          </w:tcPr>
          <w:p>
            <w:pPr>
              <w:pStyle w:val="TableParagraph"/>
              <w:spacing w:before="114"/>
              <w:ind w:left="403" w:right="401"/>
              <w:jc w:val="center"/>
              <w:rPr>
                <w:sz w:val="20"/>
              </w:rPr>
            </w:pPr>
            <w:r>
              <w:rPr>
                <w:sz w:val="20"/>
              </w:rPr>
              <w:t>BP</w:t>
            </w:r>
            <w:r>
              <w:rPr>
                <w:spacing w:val="-2"/>
                <w:sz w:val="20"/>
              </w:rPr>
              <w:t> </w:t>
            </w:r>
            <w:r>
              <w:rPr>
                <w:spacing w:val="-10"/>
                <w:sz w:val="20"/>
              </w:rPr>
              <w:t>2</w:t>
            </w:r>
          </w:p>
        </w:tc>
        <w:tc>
          <w:tcPr>
            <w:tcW w:w="1125" w:type="dxa"/>
            <w:tcBorders>
              <w:top w:val="double" w:sz="4" w:space="0" w:color="000000"/>
              <w:left w:val="single" w:sz="4" w:space="0" w:color="BEBEBE"/>
              <w:bottom w:val="single" w:sz="4" w:space="0" w:color="BEBEBE"/>
              <w:right w:val="single" w:sz="4" w:space="0" w:color="BEBEBE"/>
            </w:tcBorders>
            <w:shd w:val="clear" w:color="auto" w:fill="D9D9D9"/>
          </w:tcPr>
          <w:p>
            <w:pPr>
              <w:pStyle w:val="TableParagraph"/>
              <w:spacing w:before="114"/>
              <w:ind w:left="183" w:right="177"/>
              <w:jc w:val="center"/>
              <w:rPr>
                <w:sz w:val="20"/>
              </w:rPr>
            </w:pPr>
            <w:r>
              <w:rPr>
                <w:sz w:val="20"/>
              </w:rPr>
              <w:t>BP</w:t>
            </w:r>
            <w:r>
              <w:rPr>
                <w:spacing w:val="-2"/>
                <w:sz w:val="20"/>
              </w:rPr>
              <w:t> </w:t>
            </w:r>
            <w:r>
              <w:rPr>
                <w:spacing w:val="-10"/>
                <w:sz w:val="20"/>
              </w:rPr>
              <w:t>3</w:t>
            </w:r>
          </w:p>
        </w:tc>
        <w:tc>
          <w:tcPr>
            <w:tcW w:w="1127" w:type="dxa"/>
            <w:tcBorders>
              <w:top w:val="double" w:sz="4" w:space="0" w:color="000000"/>
              <w:left w:val="single" w:sz="4" w:space="0" w:color="BEBEBE"/>
              <w:bottom w:val="single" w:sz="4" w:space="0" w:color="BEBEBE"/>
              <w:right w:val="single" w:sz="4" w:space="0" w:color="BEBEBE"/>
            </w:tcBorders>
            <w:shd w:val="clear" w:color="auto" w:fill="D9D9D9"/>
          </w:tcPr>
          <w:p>
            <w:pPr>
              <w:pStyle w:val="TableParagraph"/>
              <w:spacing w:before="114"/>
              <w:ind w:left="185" w:right="175"/>
              <w:jc w:val="center"/>
              <w:rPr>
                <w:sz w:val="20"/>
              </w:rPr>
            </w:pPr>
            <w:r>
              <w:rPr>
                <w:sz w:val="20"/>
              </w:rPr>
              <w:t>BP</w:t>
            </w:r>
            <w:r>
              <w:rPr>
                <w:spacing w:val="-2"/>
                <w:sz w:val="20"/>
              </w:rPr>
              <w:t> </w:t>
            </w:r>
            <w:r>
              <w:rPr>
                <w:spacing w:val="-10"/>
                <w:sz w:val="20"/>
              </w:rPr>
              <w:t>4</w:t>
            </w:r>
          </w:p>
        </w:tc>
        <w:tc>
          <w:tcPr>
            <w:tcW w:w="1127" w:type="dxa"/>
            <w:tcBorders>
              <w:top w:val="double" w:sz="4" w:space="0" w:color="000000"/>
              <w:left w:val="single" w:sz="4" w:space="0" w:color="BEBEBE"/>
              <w:bottom w:val="single" w:sz="4" w:space="0" w:color="BEBEBE"/>
              <w:right w:val="single" w:sz="4" w:space="0" w:color="BEBEBE"/>
            </w:tcBorders>
            <w:shd w:val="clear" w:color="auto" w:fill="D9D9D9"/>
          </w:tcPr>
          <w:p>
            <w:pPr>
              <w:pStyle w:val="TableParagraph"/>
              <w:spacing w:before="114"/>
              <w:ind w:left="183" w:right="176"/>
              <w:jc w:val="center"/>
              <w:rPr>
                <w:sz w:val="20"/>
              </w:rPr>
            </w:pPr>
            <w:r>
              <w:rPr>
                <w:sz w:val="20"/>
              </w:rPr>
              <w:t>BP</w:t>
            </w:r>
            <w:r>
              <w:rPr>
                <w:spacing w:val="-2"/>
                <w:sz w:val="20"/>
              </w:rPr>
              <w:t> </w:t>
            </w:r>
            <w:r>
              <w:rPr>
                <w:spacing w:val="-10"/>
                <w:sz w:val="20"/>
              </w:rPr>
              <w:t>5</w:t>
            </w:r>
          </w:p>
        </w:tc>
        <w:tc>
          <w:tcPr>
            <w:tcW w:w="592" w:type="dxa"/>
            <w:vMerge w:val="restart"/>
            <w:tcBorders>
              <w:left w:val="single" w:sz="4" w:space="0" w:color="BEBEBE"/>
              <w:right w:val="nil"/>
            </w:tcBorders>
          </w:tcPr>
          <w:p>
            <w:pPr>
              <w:pStyle w:val="TableParagraph"/>
              <w:rPr>
                <w:sz w:val="20"/>
              </w:rPr>
            </w:pPr>
          </w:p>
        </w:tc>
      </w:tr>
      <w:tr>
        <w:trPr>
          <w:trHeight w:val="457" w:hRule="atLeast"/>
        </w:trPr>
        <w:tc>
          <w:tcPr>
            <w:tcW w:w="607" w:type="dxa"/>
            <w:vMerge/>
            <w:tcBorders>
              <w:top w:val="nil"/>
              <w:left w:val="nil"/>
              <w:right w:val="single" w:sz="4" w:space="0" w:color="BEBEBE"/>
            </w:tcBorders>
          </w:tcPr>
          <w:p>
            <w:pPr>
              <w:rPr>
                <w:sz w:val="2"/>
                <w:szCs w:val="2"/>
              </w:rPr>
            </w:pPr>
          </w:p>
        </w:tc>
        <w:tc>
          <w:tcPr>
            <w:tcW w:w="2335" w:type="dxa"/>
            <w:tcBorders>
              <w:top w:val="single" w:sz="4" w:space="0" w:color="BEBEBE"/>
              <w:left w:val="single" w:sz="4" w:space="0" w:color="BEBEBE"/>
              <w:bottom w:val="single" w:sz="4" w:space="0" w:color="BEBEBE"/>
              <w:right w:val="single" w:sz="4" w:space="0" w:color="BEBEBE"/>
            </w:tcBorders>
            <w:shd w:val="clear" w:color="auto" w:fill="44536A"/>
          </w:tcPr>
          <w:p>
            <w:pPr>
              <w:pStyle w:val="TableParagraph"/>
              <w:spacing w:line="228" w:lineRule="exact"/>
              <w:ind w:left="103" w:right="498"/>
              <w:rPr>
                <w:b/>
                <w:sz w:val="20"/>
              </w:rPr>
            </w:pPr>
            <w:r>
              <w:rPr>
                <w:b/>
                <w:color w:val="FFFFFF"/>
                <w:sz w:val="20"/>
              </w:rPr>
              <w:t>DSRIP</w:t>
            </w:r>
            <w:r>
              <w:rPr>
                <w:b/>
                <w:color w:val="FFFFFF"/>
                <w:spacing w:val="-13"/>
                <w:sz w:val="20"/>
              </w:rPr>
              <w:t> </w:t>
            </w:r>
            <w:r>
              <w:rPr>
                <w:b/>
                <w:color w:val="FFFFFF"/>
                <w:sz w:val="20"/>
              </w:rPr>
              <w:t>Expenditure </w:t>
            </w:r>
            <w:r>
              <w:rPr>
                <w:b/>
                <w:color w:val="FFFFFF"/>
                <w:spacing w:val="-2"/>
                <w:sz w:val="20"/>
              </w:rPr>
              <w:t>Authority</w:t>
            </w:r>
          </w:p>
        </w:tc>
        <w:tc>
          <w:tcPr>
            <w:tcW w:w="1219" w:type="dxa"/>
            <w:tcBorders>
              <w:top w:val="single" w:sz="4" w:space="0" w:color="BEBEBE"/>
              <w:left w:val="single" w:sz="4" w:space="0" w:color="BEBEBE"/>
              <w:bottom w:val="single" w:sz="4" w:space="0" w:color="BEBEBE"/>
              <w:right w:val="single" w:sz="4" w:space="0" w:color="BEBEBE"/>
            </w:tcBorders>
          </w:tcPr>
          <w:p>
            <w:pPr>
              <w:pStyle w:val="TableParagraph"/>
              <w:spacing w:before="114"/>
              <w:ind w:left="228" w:right="227"/>
              <w:jc w:val="center"/>
              <w:rPr>
                <w:sz w:val="20"/>
              </w:rPr>
            </w:pPr>
            <w:r>
              <w:rPr>
                <w:spacing w:val="-2"/>
                <w:sz w:val="20"/>
              </w:rPr>
              <w:t>$637.5M</w:t>
            </w:r>
          </w:p>
        </w:tc>
        <w:tc>
          <w:tcPr>
            <w:tcW w:w="1238" w:type="dxa"/>
            <w:tcBorders>
              <w:top w:val="single" w:sz="4" w:space="0" w:color="BEBEBE"/>
              <w:left w:val="single" w:sz="4" w:space="0" w:color="BEBEBE"/>
              <w:bottom w:val="single" w:sz="4" w:space="0" w:color="BEBEBE"/>
              <w:right w:val="single" w:sz="4" w:space="0" w:color="BEBEBE"/>
            </w:tcBorders>
          </w:tcPr>
          <w:p>
            <w:pPr>
              <w:pStyle w:val="TableParagraph"/>
              <w:spacing w:before="114"/>
              <w:ind w:right="245"/>
              <w:jc w:val="right"/>
              <w:rPr>
                <w:sz w:val="20"/>
              </w:rPr>
            </w:pPr>
            <w:r>
              <w:rPr>
                <w:spacing w:val="-2"/>
                <w:sz w:val="20"/>
              </w:rPr>
              <w:t>$412.5M</w:t>
            </w:r>
          </w:p>
        </w:tc>
        <w:tc>
          <w:tcPr>
            <w:tcW w:w="1125" w:type="dxa"/>
            <w:tcBorders>
              <w:top w:val="single" w:sz="4" w:space="0" w:color="BEBEBE"/>
              <w:left w:val="single" w:sz="4" w:space="0" w:color="BEBEBE"/>
              <w:bottom w:val="single" w:sz="4" w:space="0" w:color="BEBEBE"/>
              <w:right w:val="single" w:sz="4" w:space="0" w:color="BEBEBE"/>
            </w:tcBorders>
          </w:tcPr>
          <w:p>
            <w:pPr>
              <w:pStyle w:val="TableParagraph"/>
              <w:spacing w:before="114"/>
              <w:ind w:left="183" w:right="178"/>
              <w:jc w:val="center"/>
              <w:rPr>
                <w:sz w:val="20"/>
              </w:rPr>
            </w:pPr>
            <w:r>
              <w:rPr>
                <w:spacing w:val="-2"/>
                <w:sz w:val="20"/>
              </w:rPr>
              <w:t>$362.5M</w:t>
            </w:r>
          </w:p>
        </w:tc>
        <w:tc>
          <w:tcPr>
            <w:tcW w:w="1127" w:type="dxa"/>
            <w:tcBorders>
              <w:top w:val="single" w:sz="4" w:space="0" w:color="BEBEBE"/>
              <w:left w:val="single" w:sz="4" w:space="0" w:color="BEBEBE"/>
              <w:bottom w:val="single" w:sz="4" w:space="0" w:color="BEBEBE"/>
              <w:right w:val="single" w:sz="4" w:space="0" w:color="BEBEBE"/>
            </w:tcBorders>
          </w:tcPr>
          <w:p>
            <w:pPr>
              <w:pStyle w:val="TableParagraph"/>
              <w:spacing w:before="114"/>
              <w:ind w:left="185" w:right="175"/>
              <w:jc w:val="center"/>
              <w:rPr>
                <w:sz w:val="20"/>
              </w:rPr>
            </w:pPr>
            <w:r>
              <w:rPr>
                <w:spacing w:val="-2"/>
                <w:sz w:val="20"/>
              </w:rPr>
              <w:t>$275M</w:t>
            </w:r>
          </w:p>
        </w:tc>
        <w:tc>
          <w:tcPr>
            <w:tcW w:w="1127" w:type="dxa"/>
            <w:tcBorders>
              <w:top w:val="single" w:sz="4" w:space="0" w:color="BEBEBE"/>
              <w:left w:val="single" w:sz="4" w:space="0" w:color="BEBEBE"/>
              <w:bottom w:val="single" w:sz="4" w:space="0" w:color="BEBEBE"/>
              <w:right w:val="single" w:sz="4" w:space="0" w:color="BEBEBE"/>
            </w:tcBorders>
          </w:tcPr>
          <w:p>
            <w:pPr>
              <w:pStyle w:val="TableParagraph"/>
              <w:spacing w:before="114"/>
              <w:ind w:left="183" w:right="176"/>
              <w:jc w:val="center"/>
              <w:rPr>
                <w:sz w:val="20"/>
              </w:rPr>
            </w:pPr>
            <w:r>
              <w:rPr>
                <w:spacing w:val="-2"/>
                <w:sz w:val="20"/>
              </w:rPr>
              <w:t>$112.5M</w:t>
            </w:r>
          </w:p>
        </w:tc>
        <w:tc>
          <w:tcPr>
            <w:tcW w:w="592" w:type="dxa"/>
            <w:vMerge/>
            <w:tcBorders>
              <w:top w:val="nil"/>
              <w:left w:val="single" w:sz="4" w:space="0" w:color="BEBEBE"/>
              <w:right w:val="nil"/>
            </w:tcBorders>
          </w:tcPr>
          <w:p>
            <w:pPr>
              <w:rPr>
                <w:sz w:val="2"/>
                <w:szCs w:val="2"/>
              </w:rPr>
            </w:pPr>
          </w:p>
        </w:tc>
      </w:tr>
      <w:tr>
        <w:trPr>
          <w:trHeight w:val="460" w:hRule="atLeast"/>
        </w:trPr>
        <w:tc>
          <w:tcPr>
            <w:tcW w:w="607" w:type="dxa"/>
            <w:vMerge/>
            <w:tcBorders>
              <w:top w:val="nil"/>
              <w:left w:val="nil"/>
              <w:right w:val="single" w:sz="4" w:space="0" w:color="BEBEBE"/>
            </w:tcBorders>
          </w:tcPr>
          <w:p>
            <w:pPr>
              <w:rPr>
                <w:sz w:val="2"/>
                <w:szCs w:val="2"/>
              </w:rPr>
            </w:pPr>
          </w:p>
        </w:tc>
        <w:tc>
          <w:tcPr>
            <w:tcW w:w="2335" w:type="dxa"/>
            <w:tcBorders>
              <w:top w:val="single" w:sz="4" w:space="0" w:color="BEBEBE"/>
              <w:left w:val="single" w:sz="4" w:space="0" w:color="BEBEBE"/>
              <w:bottom w:val="single" w:sz="4" w:space="0" w:color="BEBEBE"/>
              <w:right w:val="single" w:sz="4" w:space="0" w:color="BEBEBE"/>
            </w:tcBorders>
            <w:shd w:val="clear" w:color="auto" w:fill="44536A"/>
          </w:tcPr>
          <w:p>
            <w:pPr>
              <w:pStyle w:val="TableParagraph"/>
              <w:spacing w:line="230" w:lineRule="atLeast"/>
              <w:ind w:left="103"/>
              <w:rPr>
                <w:b/>
                <w:sz w:val="20"/>
              </w:rPr>
            </w:pPr>
            <w:r>
              <w:rPr>
                <w:b/>
                <w:color w:val="FFFFFF"/>
                <w:sz w:val="20"/>
              </w:rPr>
              <w:t>%</w:t>
            </w:r>
            <w:r>
              <w:rPr>
                <w:b/>
                <w:color w:val="FFFFFF"/>
                <w:spacing w:val="-5"/>
                <w:sz w:val="20"/>
              </w:rPr>
              <w:t> </w:t>
            </w:r>
            <w:r>
              <w:rPr>
                <w:b/>
                <w:color w:val="FFFFFF"/>
                <w:sz w:val="20"/>
              </w:rPr>
              <w:t>of</w:t>
            </w:r>
            <w:r>
              <w:rPr>
                <w:b/>
                <w:color w:val="FFFFFF"/>
                <w:spacing w:val="-4"/>
                <w:sz w:val="20"/>
              </w:rPr>
              <w:t> </w:t>
            </w:r>
            <w:r>
              <w:rPr>
                <w:b/>
                <w:color w:val="FFFFFF"/>
                <w:sz w:val="20"/>
              </w:rPr>
              <w:t>Expenditure Authority</w:t>
            </w:r>
            <w:r>
              <w:rPr>
                <w:b/>
                <w:color w:val="FFFFFF"/>
                <w:spacing w:val="-13"/>
                <w:sz w:val="20"/>
              </w:rPr>
              <w:t> </w:t>
            </w:r>
            <w:r>
              <w:rPr>
                <w:b/>
                <w:color w:val="FFFFFF"/>
                <w:sz w:val="20"/>
              </w:rPr>
              <w:t>At-</w:t>
            </w:r>
            <w:r>
              <w:rPr>
                <w:b/>
                <w:color w:val="FFFFFF"/>
                <w:spacing w:val="-4"/>
                <w:sz w:val="20"/>
              </w:rPr>
              <w:t>Risk</w:t>
            </w:r>
          </w:p>
        </w:tc>
        <w:tc>
          <w:tcPr>
            <w:tcW w:w="1219" w:type="dxa"/>
            <w:tcBorders>
              <w:top w:val="single" w:sz="4" w:space="0" w:color="BEBEBE"/>
              <w:left w:val="single" w:sz="4" w:space="0" w:color="BEBEBE"/>
              <w:bottom w:val="single" w:sz="4" w:space="0" w:color="BEBEBE"/>
              <w:right w:val="single" w:sz="4" w:space="0" w:color="BEBEBE"/>
            </w:tcBorders>
          </w:tcPr>
          <w:p>
            <w:pPr>
              <w:pStyle w:val="TableParagraph"/>
              <w:spacing w:before="115"/>
              <w:ind w:left="227" w:right="227"/>
              <w:jc w:val="center"/>
              <w:rPr>
                <w:sz w:val="20"/>
              </w:rPr>
            </w:pPr>
            <w:r>
              <w:rPr>
                <w:spacing w:val="-5"/>
                <w:sz w:val="20"/>
              </w:rPr>
              <w:t>0%</w:t>
            </w:r>
          </w:p>
        </w:tc>
        <w:tc>
          <w:tcPr>
            <w:tcW w:w="1238" w:type="dxa"/>
            <w:tcBorders>
              <w:top w:val="single" w:sz="4" w:space="0" w:color="BEBEBE"/>
              <w:left w:val="single" w:sz="4" w:space="0" w:color="BEBEBE"/>
              <w:bottom w:val="single" w:sz="4" w:space="0" w:color="BEBEBE"/>
              <w:right w:val="single" w:sz="4" w:space="0" w:color="BEBEBE"/>
            </w:tcBorders>
          </w:tcPr>
          <w:p>
            <w:pPr>
              <w:pStyle w:val="TableParagraph"/>
              <w:spacing w:before="115"/>
              <w:ind w:left="401" w:right="401"/>
              <w:jc w:val="center"/>
              <w:rPr>
                <w:sz w:val="20"/>
              </w:rPr>
            </w:pPr>
            <w:r>
              <w:rPr>
                <w:spacing w:val="-5"/>
                <w:sz w:val="20"/>
              </w:rPr>
              <w:t>5%</w:t>
            </w:r>
          </w:p>
        </w:tc>
        <w:tc>
          <w:tcPr>
            <w:tcW w:w="1125" w:type="dxa"/>
            <w:tcBorders>
              <w:top w:val="single" w:sz="4" w:space="0" w:color="BEBEBE"/>
              <w:left w:val="single" w:sz="4" w:space="0" w:color="BEBEBE"/>
              <w:bottom w:val="single" w:sz="4" w:space="0" w:color="BEBEBE"/>
              <w:right w:val="single" w:sz="4" w:space="0" w:color="BEBEBE"/>
            </w:tcBorders>
          </w:tcPr>
          <w:p>
            <w:pPr>
              <w:pStyle w:val="TableParagraph"/>
              <w:spacing w:before="115"/>
              <w:ind w:left="181" w:right="178"/>
              <w:jc w:val="center"/>
              <w:rPr>
                <w:sz w:val="20"/>
              </w:rPr>
            </w:pPr>
            <w:r>
              <w:rPr>
                <w:spacing w:val="-5"/>
                <w:sz w:val="20"/>
              </w:rPr>
              <w:t>0%</w:t>
            </w:r>
          </w:p>
        </w:tc>
        <w:tc>
          <w:tcPr>
            <w:tcW w:w="1127" w:type="dxa"/>
            <w:tcBorders>
              <w:top w:val="single" w:sz="4" w:space="0" w:color="BEBEBE"/>
              <w:left w:val="single" w:sz="4" w:space="0" w:color="BEBEBE"/>
              <w:bottom w:val="single" w:sz="4" w:space="0" w:color="BEBEBE"/>
              <w:right w:val="single" w:sz="4" w:space="0" w:color="BEBEBE"/>
            </w:tcBorders>
          </w:tcPr>
          <w:p>
            <w:pPr>
              <w:pStyle w:val="TableParagraph"/>
              <w:spacing w:before="115"/>
              <w:ind w:left="183" w:right="176"/>
              <w:jc w:val="center"/>
              <w:rPr>
                <w:sz w:val="20"/>
              </w:rPr>
            </w:pPr>
            <w:r>
              <w:rPr>
                <w:spacing w:val="-5"/>
                <w:sz w:val="20"/>
              </w:rPr>
              <w:t>15%</w:t>
            </w:r>
          </w:p>
        </w:tc>
        <w:tc>
          <w:tcPr>
            <w:tcW w:w="1127" w:type="dxa"/>
            <w:tcBorders>
              <w:top w:val="single" w:sz="4" w:space="0" w:color="BEBEBE"/>
              <w:left w:val="single" w:sz="4" w:space="0" w:color="BEBEBE"/>
              <w:bottom w:val="single" w:sz="4" w:space="0" w:color="BEBEBE"/>
              <w:right w:val="single" w:sz="4" w:space="0" w:color="BEBEBE"/>
            </w:tcBorders>
          </w:tcPr>
          <w:p>
            <w:pPr>
              <w:pStyle w:val="TableParagraph"/>
              <w:spacing w:before="115"/>
              <w:ind w:left="180" w:right="176"/>
              <w:jc w:val="center"/>
              <w:rPr>
                <w:sz w:val="20"/>
              </w:rPr>
            </w:pPr>
            <w:r>
              <w:rPr>
                <w:spacing w:val="-5"/>
                <w:sz w:val="20"/>
              </w:rPr>
              <w:t>20%</w:t>
            </w:r>
          </w:p>
        </w:tc>
        <w:tc>
          <w:tcPr>
            <w:tcW w:w="592" w:type="dxa"/>
            <w:vMerge/>
            <w:tcBorders>
              <w:top w:val="nil"/>
              <w:left w:val="single" w:sz="4" w:space="0" w:color="BEBEBE"/>
              <w:right w:val="nil"/>
            </w:tcBorders>
          </w:tcPr>
          <w:p>
            <w:pPr>
              <w:rPr>
                <w:sz w:val="2"/>
                <w:szCs w:val="2"/>
              </w:rPr>
            </w:pPr>
          </w:p>
        </w:tc>
      </w:tr>
      <w:tr>
        <w:trPr>
          <w:trHeight w:val="460" w:hRule="atLeast"/>
        </w:trPr>
        <w:tc>
          <w:tcPr>
            <w:tcW w:w="607" w:type="dxa"/>
            <w:vMerge/>
            <w:tcBorders>
              <w:top w:val="nil"/>
              <w:left w:val="nil"/>
              <w:right w:val="single" w:sz="4" w:space="0" w:color="BEBEBE"/>
            </w:tcBorders>
          </w:tcPr>
          <w:p>
            <w:pPr>
              <w:rPr>
                <w:sz w:val="2"/>
                <w:szCs w:val="2"/>
              </w:rPr>
            </w:pPr>
          </w:p>
        </w:tc>
        <w:tc>
          <w:tcPr>
            <w:tcW w:w="2335" w:type="dxa"/>
            <w:tcBorders>
              <w:top w:val="single" w:sz="4" w:space="0" w:color="BEBEBE"/>
              <w:left w:val="single" w:sz="4" w:space="0" w:color="BEBEBE"/>
              <w:bottom w:val="single" w:sz="8" w:space="0" w:color="000000"/>
              <w:right w:val="single" w:sz="4" w:space="0" w:color="BEBEBE"/>
            </w:tcBorders>
            <w:shd w:val="clear" w:color="auto" w:fill="44536A"/>
          </w:tcPr>
          <w:p>
            <w:pPr>
              <w:pStyle w:val="TableParagraph"/>
              <w:spacing w:line="230" w:lineRule="atLeast"/>
              <w:ind w:left="103" w:right="531"/>
              <w:rPr>
                <w:b/>
                <w:sz w:val="20"/>
              </w:rPr>
            </w:pPr>
            <w:r>
              <w:rPr>
                <w:b/>
                <w:color w:val="FFFFFF"/>
                <w:sz w:val="20"/>
              </w:rPr>
              <w:t>Actual</w:t>
            </w:r>
            <w:r>
              <w:rPr>
                <w:b/>
                <w:color w:val="FFFFFF"/>
                <w:spacing w:val="-13"/>
                <w:sz w:val="20"/>
              </w:rPr>
              <w:t> </w:t>
            </w:r>
            <w:r>
              <w:rPr>
                <w:b/>
                <w:color w:val="FFFFFF"/>
                <w:sz w:val="20"/>
              </w:rPr>
              <w:t>Expenditure Authority At-Risk</w:t>
            </w:r>
          </w:p>
        </w:tc>
        <w:tc>
          <w:tcPr>
            <w:tcW w:w="1219" w:type="dxa"/>
            <w:tcBorders>
              <w:top w:val="single" w:sz="4" w:space="0" w:color="BEBEBE"/>
              <w:left w:val="single" w:sz="4" w:space="0" w:color="BEBEBE"/>
              <w:bottom w:val="single" w:sz="8" w:space="0" w:color="000000"/>
              <w:right w:val="single" w:sz="4" w:space="0" w:color="BEBEBE"/>
            </w:tcBorders>
          </w:tcPr>
          <w:p>
            <w:pPr>
              <w:pStyle w:val="TableParagraph"/>
              <w:spacing w:before="115"/>
              <w:ind w:left="228" w:right="227"/>
              <w:jc w:val="center"/>
              <w:rPr>
                <w:sz w:val="20"/>
              </w:rPr>
            </w:pPr>
            <w:r>
              <w:rPr>
                <w:spacing w:val="-5"/>
                <w:sz w:val="20"/>
              </w:rPr>
              <w:t>$0M</w:t>
            </w:r>
          </w:p>
        </w:tc>
        <w:tc>
          <w:tcPr>
            <w:tcW w:w="1238" w:type="dxa"/>
            <w:tcBorders>
              <w:top w:val="single" w:sz="4" w:space="0" w:color="BEBEBE"/>
              <w:left w:val="single" w:sz="4" w:space="0" w:color="BEBEBE"/>
              <w:bottom w:val="single" w:sz="8" w:space="0" w:color="000000"/>
              <w:right w:val="single" w:sz="4" w:space="0" w:color="BEBEBE"/>
            </w:tcBorders>
          </w:tcPr>
          <w:p>
            <w:pPr>
              <w:pStyle w:val="TableParagraph"/>
              <w:spacing w:before="115"/>
              <w:ind w:right="195"/>
              <w:jc w:val="right"/>
              <w:rPr>
                <w:sz w:val="20"/>
              </w:rPr>
            </w:pPr>
            <w:r>
              <w:rPr>
                <w:spacing w:val="-2"/>
                <w:sz w:val="20"/>
              </w:rPr>
              <w:t>$20.625M</w:t>
            </w:r>
          </w:p>
        </w:tc>
        <w:tc>
          <w:tcPr>
            <w:tcW w:w="1125" w:type="dxa"/>
            <w:tcBorders>
              <w:top w:val="single" w:sz="4" w:space="0" w:color="BEBEBE"/>
              <w:left w:val="single" w:sz="4" w:space="0" w:color="BEBEBE"/>
              <w:bottom w:val="single" w:sz="8" w:space="0" w:color="000000"/>
              <w:right w:val="single" w:sz="4" w:space="0" w:color="BEBEBE"/>
            </w:tcBorders>
          </w:tcPr>
          <w:p>
            <w:pPr>
              <w:pStyle w:val="TableParagraph"/>
              <w:spacing w:before="115"/>
              <w:ind w:left="183" w:right="177"/>
              <w:jc w:val="center"/>
              <w:rPr>
                <w:sz w:val="20"/>
              </w:rPr>
            </w:pPr>
            <w:r>
              <w:rPr>
                <w:spacing w:val="-5"/>
                <w:sz w:val="20"/>
              </w:rPr>
              <w:t>$0M</w:t>
            </w:r>
          </w:p>
        </w:tc>
        <w:tc>
          <w:tcPr>
            <w:tcW w:w="1127" w:type="dxa"/>
            <w:tcBorders>
              <w:top w:val="single" w:sz="4" w:space="0" w:color="BEBEBE"/>
              <w:left w:val="single" w:sz="4" w:space="0" w:color="BEBEBE"/>
              <w:bottom w:val="single" w:sz="8" w:space="0" w:color="000000"/>
              <w:right w:val="single" w:sz="4" w:space="0" w:color="BEBEBE"/>
            </w:tcBorders>
          </w:tcPr>
          <w:p>
            <w:pPr>
              <w:pStyle w:val="TableParagraph"/>
              <w:spacing w:before="115"/>
              <w:ind w:left="185" w:right="175"/>
              <w:jc w:val="center"/>
              <w:rPr>
                <w:sz w:val="20"/>
              </w:rPr>
            </w:pPr>
            <w:r>
              <w:rPr>
                <w:spacing w:val="-2"/>
                <w:sz w:val="20"/>
              </w:rPr>
              <w:t>$41.25M</w:t>
            </w:r>
          </w:p>
        </w:tc>
        <w:tc>
          <w:tcPr>
            <w:tcW w:w="1127" w:type="dxa"/>
            <w:tcBorders>
              <w:top w:val="single" w:sz="4" w:space="0" w:color="BEBEBE"/>
              <w:left w:val="single" w:sz="4" w:space="0" w:color="BEBEBE"/>
              <w:bottom w:val="single" w:sz="8" w:space="0" w:color="000000"/>
              <w:right w:val="single" w:sz="4" w:space="0" w:color="BEBEBE"/>
            </w:tcBorders>
          </w:tcPr>
          <w:p>
            <w:pPr>
              <w:pStyle w:val="TableParagraph"/>
              <w:spacing w:before="115"/>
              <w:ind w:left="185" w:right="175"/>
              <w:jc w:val="center"/>
              <w:rPr>
                <w:sz w:val="20"/>
              </w:rPr>
            </w:pPr>
            <w:r>
              <w:rPr>
                <w:spacing w:val="-2"/>
                <w:sz w:val="20"/>
              </w:rPr>
              <w:t>$22.5M</w:t>
            </w:r>
          </w:p>
        </w:tc>
        <w:tc>
          <w:tcPr>
            <w:tcW w:w="592" w:type="dxa"/>
            <w:vMerge/>
            <w:tcBorders>
              <w:top w:val="nil"/>
              <w:left w:val="single" w:sz="4" w:space="0" w:color="BEBEBE"/>
              <w:right w:val="nil"/>
            </w:tcBorders>
          </w:tcPr>
          <w:p>
            <w:pPr>
              <w:rPr>
                <w:sz w:val="2"/>
                <w:szCs w:val="2"/>
              </w:rPr>
            </w:pPr>
          </w:p>
        </w:tc>
      </w:tr>
    </w:tbl>
    <w:p>
      <w:pPr>
        <w:pStyle w:val="BodyText"/>
        <w:spacing w:before="7"/>
        <w:rPr>
          <w:sz w:val="21"/>
        </w:rPr>
      </w:pPr>
    </w:p>
    <w:p>
      <w:pPr>
        <w:spacing w:before="0"/>
        <w:ind w:left="1219" w:right="1095" w:firstLine="0"/>
        <w:jc w:val="both"/>
        <w:rPr>
          <w:sz w:val="22"/>
        </w:rPr>
      </w:pPr>
      <w:r>
        <w:rPr>
          <w:sz w:val="22"/>
        </w:rPr>
        <w:t>The amount of at-risk DSRIP expenditure authority lost will be determined by multiplying the State’s DSRIP Accountability Score for a given BP by the amount of Actual Expenditure Authority At-Risk as indicated</w:t>
      </w:r>
      <w:r>
        <w:rPr>
          <w:spacing w:val="-14"/>
          <w:sz w:val="22"/>
        </w:rPr>
        <w:t> </w:t>
      </w:r>
      <w:r>
        <w:rPr>
          <w:sz w:val="22"/>
        </w:rPr>
        <w:t>in</w:t>
      </w:r>
      <w:r>
        <w:rPr>
          <w:spacing w:val="-14"/>
          <w:sz w:val="22"/>
        </w:rPr>
        <w:t> </w:t>
      </w:r>
      <w:r>
        <w:rPr>
          <w:sz w:val="22"/>
        </w:rPr>
        <w:t>row</w:t>
      </w:r>
      <w:r>
        <w:rPr>
          <w:spacing w:val="-14"/>
          <w:sz w:val="22"/>
        </w:rPr>
        <w:t> </w:t>
      </w:r>
      <w:r>
        <w:rPr>
          <w:sz w:val="22"/>
        </w:rPr>
        <w:t>3</w:t>
      </w:r>
      <w:r>
        <w:rPr>
          <w:spacing w:val="-13"/>
          <w:sz w:val="22"/>
        </w:rPr>
        <w:t> </w:t>
      </w:r>
      <w:r>
        <w:rPr>
          <w:sz w:val="22"/>
        </w:rPr>
        <w:t>of</w:t>
      </w:r>
      <w:r>
        <w:rPr>
          <w:spacing w:val="-14"/>
          <w:sz w:val="22"/>
        </w:rPr>
        <w:t> </w:t>
      </w:r>
      <w:r>
        <w:rPr>
          <w:sz w:val="22"/>
        </w:rPr>
        <w:t>Exhibit</w:t>
      </w:r>
      <w:r>
        <w:rPr>
          <w:spacing w:val="-14"/>
          <w:sz w:val="22"/>
        </w:rPr>
        <w:t> </w:t>
      </w:r>
      <w:r>
        <w:rPr>
          <w:sz w:val="22"/>
        </w:rPr>
        <w:t>24.</w:t>
      </w:r>
      <w:r>
        <w:rPr>
          <w:spacing w:val="27"/>
          <w:sz w:val="22"/>
        </w:rPr>
        <w:t> </w:t>
      </w:r>
      <w:r>
        <w:rPr>
          <w:sz w:val="22"/>
        </w:rPr>
        <w:t>The</w:t>
      </w:r>
      <w:r>
        <w:rPr>
          <w:spacing w:val="-13"/>
          <w:sz w:val="22"/>
        </w:rPr>
        <w:t> </w:t>
      </w:r>
      <w:r>
        <w:rPr>
          <w:sz w:val="22"/>
        </w:rPr>
        <w:t>Actual</w:t>
      </w:r>
      <w:r>
        <w:rPr>
          <w:spacing w:val="-12"/>
          <w:sz w:val="22"/>
        </w:rPr>
        <w:t> </w:t>
      </w:r>
      <w:r>
        <w:rPr>
          <w:sz w:val="22"/>
        </w:rPr>
        <w:t>Expenditure</w:t>
      </w:r>
      <w:r>
        <w:rPr>
          <w:spacing w:val="-13"/>
          <w:sz w:val="22"/>
        </w:rPr>
        <w:t> </w:t>
      </w:r>
      <w:r>
        <w:rPr>
          <w:sz w:val="22"/>
        </w:rPr>
        <w:t>Authority</w:t>
      </w:r>
      <w:r>
        <w:rPr>
          <w:spacing w:val="-14"/>
          <w:sz w:val="22"/>
        </w:rPr>
        <w:t> </w:t>
      </w:r>
      <w:r>
        <w:rPr>
          <w:sz w:val="22"/>
        </w:rPr>
        <w:t>At-Risk</w:t>
      </w:r>
      <w:r>
        <w:rPr>
          <w:spacing w:val="-14"/>
          <w:sz w:val="22"/>
        </w:rPr>
        <w:t> </w:t>
      </w:r>
      <w:r>
        <w:rPr>
          <w:sz w:val="22"/>
        </w:rPr>
        <w:t>as</w:t>
      </w:r>
      <w:r>
        <w:rPr>
          <w:spacing w:val="-13"/>
          <w:sz w:val="22"/>
        </w:rPr>
        <w:t> </w:t>
      </w:r>
      <w:r>
        <w:rPr>
          <w:sz w:val="22"/>
        </w:rPr>
        <w:t>indicated</w:t>
      </w:r>
      <w:r>
        <w:rPr>
          <w:spacing w:val="-13"/>
          <w:sz w:val="22"/>
        </w:rPr>
        <w:t> </w:t>
      </w:r>
      <w:r>
        <w:rPr>
          <w:sz w:val="22"/>
        </w:rPr>
        <w:t>in</w:t>
      </w:r>
      <w:r>
        <w:rPr>
          <w:spacing w:val="-14"/>
          <w:sz w:val="22"/>
        </w:rPr>
        <w:t> </w:t>
      </w:r>
      <w:r>
        <w:rPr>
          <w:sz w:val="22"/>
        </w:rPr>
        <w:t>row</w:t>
      </w:r>
      <w:r>
        <w:rPr>
          <w:spacing w:val="-14"/>
          <w:sz w:val="22"/>
        </w:rPr>
        <w:t> </w:t>
      </w:r>
      <w:r>
        <w:rPr>
          <w:sz w:val="22"/>
        </w:rPr>
        <w:t>3</w:t>
      </w:r>
      <w:r>
        <w:rPr>
          <w:spacing w:val="-13"/>
          <w:sz w:val="22"/>
        </w:rPr>
        <w:t> </w:t>
      </w:r>
      <w:r>
        <w:rPr>
          <w:sz w:val="22"/>
        </w:rPr>
        <w:t>of</w:t>
      </w:r>
      <w:r>
        <w:rPr>
          <w:spacing w:val="-12"/>
          <w:sz w:val="22"/>
        </w:rPr>
        <w:t> </w:t>
      </w:r>
      <w:r>
        <w:rPr>
          <w:sz w:val="22"/>
        </w:rPr>
        <w:t>Exhibit 24 will not vary based on carry forward or forfeited funds. The methodology for calculating the State’s DSRIP Accountability Score is discussed in Section 5.2.1.</w:t>
      </w:r>
    </w:p>
    <w:p>
      <w:pPr>
        <w:pStyle w:val="ListParagraph"/>
        <w:numPr>
          <w:ilvl w:val="2"/>
          <w:numId w:val="77"/>
        </w:numPr>
        <w:tabs>
          <w:tab w:pos="1938" w:val="left" w:leader="none"/>
        </w:tabs>
        <w:spacing w:line="252" w:lineRule="exact" w:before="201" w:after="0"/>
        <w:ind w:left="1938" w:right="0" w:hanging="719"/>
        <w:jc w:val="both"/>
        <w:rPr>
          <w:b/>
          <w:color w:val="4471C4"/>
          <w:sz w:val="22"/>
        </w:rPr>
      </w:pPr>
      <w:bookmarkStart w:name="5.2.1 Calculating the State DSRIP Accoun" w:id="1366"/>
      <w:bookmarkEnd w:id="1366"/>
      <w:r>
        <w:rPr/>
      </w:r>
      <w:bookmarkStart w:name="_bookmark77" w:id="1367"/>
      <w:bookmarkEnd w:id="1367"/>
      <w:r>
        <w:rPr/>
      </w:r>
      <w:r>
        <w:rPr>
          <w:b/>
          <w:color w:val="4471C4"/>
          <w:sz w:val="22"/>
        </w:rPr>
        <w:t>Calculating</w:t>
      </w:r>
      <w:r>
        <w:rPr>
          <w:b/>
          <w:color w:val="4471C4"/>
          <w:spacing w:val="-7"/>
          <w:sz w:val="22"/>
        </w:rPr>
        <w:t> </w:t>
      </w:r>
      <w:r>
        <w:rPr>
          <w:b/>
          <w:color w:val="4471C4"/>
          <w:sz w:val="22"/>
        </w:rPr>
        <w:t>the</w:t>
      </w:r>
      <w:r>
        <w:rPr>
          <w:b/>
          <w:color w:val="4471C4"/>
          <w:spacing w:val="-7"/>
          <w:sz w:val="22"/>
        </w:rPr>
        <w:t> </w:t>
      </w:r>
      <w:r>
        <w:rPr>
          <w:b/>
          <w:color w:val="4471C4"/>
          <w:sz w:val="22"/>
        </w:rPr>
        <w:t>State</w:t>
      </w:r>
      <w:r>
        <w:rPr>
          <w:b/>
          <w:color w:val="4471C4"/>
          <w:spacing w:val="-6"/>
          <w:sz w:val="22"/>
        </w:rPr>
        <w:t> </w:t>
      </w:r>
      <w:r>
        <w:rPr>
          <w:b/>
          <w:color w:val="4471C4"/>
          <w:sz w:val="22"/>
        </w:rPr>
        <w:t>DSRIP</w:t>
      </w:r>
      <w:r>
        <w:rPr>
          <w:b/>
          <w:color w:val="4471C4"/>
          <w:spacing w:val="-5"/>
          <w:sz w:val="22"/>
        </w:rPr>
        <w:t> </w:t>
      </w:r>
      <w:r>
        <w:rPr>
          <w:b/>
          <w:color w:val="4471C4"/>
          <w:sz w:val="22"/>
        </w:rPr>
        <w:t>Accountability</w:t>
      </w:r>
      <w:r>
        <w:rPr>
          <w:b/>
          <w:color w:val="4471C4"/>
          <w:spacing w:val="-6"/>
          <w:sz w:val="22"/>
        </w:rPr>
        <w:t> </w:t>
      </w:r>
      <w:r>
        <w:rPr>
          <w:b/>
          <w:color w:val="4471C4"/>
          <w:spacing w:val="-4"/>
          <w:sz w:val="22"/>
        </w:rPr>
        <w:t>Score</w:t>
      </w:r>
    </w:p>
    <w:p>
      <w:pPr>
        <w:spacing w:before="0"/>
        <w:ind w:left="1220" w:right="1094" w:firstLine="0"/>
        <w:jc w:val="both"/>
        <w:rPr>
          <w:sz w:val="22"/>
        </w:rPr>
      </w:pPr>
      <w:r>
        <w:rPr>
          <w:sz w:val="22"/>
        </w:rPr>
        <w:t>The State DSRIP Accountability Score will be based on three domains: (1) MassHealth ACO/APM </w:t>
      </w:r>
      <w:r>
        <w:rPr>
          <w:spacing w:val="-2"/>
          <w:sz w:val="22"/>
        </w:rPr>
        <w:t>Adoption</w:t>
      </w:r>
      <w:r>
        <w:rPr>
          <w:spacing w:val="-6"/>
          <w:sz w:val="22"/>
        </w:rPr>
        <w:t> </w:t>
      </w:r>
      <w:r>
        <w:rPr>
          <w:spacing w:val="-2"/>
          <w:sz w:val="22"/>
        </w:rPr>
        <w:t>Rate;</w:t>
      </w:r>
      <w:r>
        <w:rPr>
          <w:spacing w:val="-3"/>
          <w:sz w:val="22"/>
        </w:rPr>
        <w:t> </w:t>
      </w:r>
      <w:r>
        <w:rPr>
          <w:spacing w:val="-2"/>
          <w:sz w:val="22"/>
        </w:rPr>
        <w:t>(2) Reduction</w:t>
      </w:r>
      <w:r>
        <w:rPr>
          <w:spacing w:val="-4"/>
          <w:sz w:val="22"/>
        </w:rPr>
        <w:t> </w:t>
      </w:r>
      <w:r>
        <w:rPr>
          <w:spacing w:val="-2"/>
          <w:sz w:val="22"/>
        </w:rPr>
        <w:t>in</w:t>
      </w:r>
      <w:r>
        <w:rPr>
          <w:spacing w:val="-7"/>
          <w:sz w:val="22"/>
        </w:rPr>
        <w:t> </w:t>
      </w:r>
      <w:r>
        <w:rPr>
          <w:spacing w:val="-2"/>
          <w:sz w:val="22"/>
        </w:rPr>
        <w:t>State</w:t>
      </w:r>
      <w:r>
        <w:rPr>
          <w:spacing w:val="-6"/>
          <w:sz w:val="22"/>
        </w:rPr>
        <w:t> </w:t>
      </w:r>
      <w:r>
        <w:rPr>
          <w:spacing w:val="-2"/>
          <w:sz w:val="22"/>
        </w:rPr>
        <w:t>Spending</w:t>
      </w:r>
      <w:r>
        <w:rPr>
          <w:spacing w:val="-7"/>
          <w:sz w:val="22"/>
        </w:rPr>
        <w:t> </w:t>
      </w:r>
      <w:r>
        <w:rPr>
          <w:spacing w:val="-2"/>
          <w:sz w:val="22"/>
        </w:rPr>
        <w:t>Growth;</w:t>
      </w:r>
      <w:r>
        <w:rPr>
          <w:spacing w:val="-3"/>
          <w:sz w:val="22"/>
        </w:rPr>
        <w:t> </w:t>
      </w:r>
      <w:r>
        <w:rPr>
          <w:spacing w:val="-2"/>
          <w:sz w:val="22"/>
        </w:rPr>
        <w:t>and</w:t>
      </w:r>
      <w:r>
        <w:rPr>
          <w:spacing w:val="-7"/>
          <w:sz w:val="22"/>
        </w:rPr>
        <w:t> </w:t>
      </w:r>
      <w:r>
        <w:rPr>
          <w:spacing w:val="-2"/>
          <w:sz w:val="22"/>
        </w:rPr>
        <w:t>(3)</w:t>
      </w:r>
      <w:r>
        <w:rPr>
          <w:spacing w:val="-6"/>
          <w:sz w:val="22"/>
        </w:rPr>
        <w:t> </w:t>
      </w:r>
      <w:r>
        <w:rPr>
          <w:spacing w:val="-2"/>
          <w:sz w:val="22"/>
        </w:rPr>
        <w:t>ACO</w:t>
      </w:r>
      <w:r>
        <w:rPr>
          <w:spacing w:val="-5"/>
          <w:sz w:val="22"/>
        </w:rPr>
        <w:t> </w:t>
      </w:r>
      <w:r>
        <w:rPr>
          <w:spacing w:val="-2"/>
          <w:sz w:val="22"/>
        </w:rPr>
        <w:t>Quality</w:t>
      </w:r>
      <w:r>
        <w:rPr>
          <w:spacing w:val="-7"/>
          <w:sz w:val="22"/>
        </w:rPr>
        <w:t> </w:t>
      </w:r>
      <w:r>
        <w:rPr>
          <w:spacing w:val="-2"/>
          <w:sz w:val="22"/>
        </w:rPr>
        <w:t>and</w:t>
      </w:r>
      <w:r>
        <w:rPr>
          <w:spacing w:val="-10"/>
          <w:sz w:val="22"/>
        </w:rPr>
        <w:t> </w:t>
      </w:r>
      <w:r>
        <w:rPr>
          <w:spacing w:val="-2"/>
          <w:sz w:val="22"/>
        </w:rPr>
        <w:t>Utilization</w:t>
      </w:r>
      <w:r>
        <w:rPr>
          <w:spacing w:val="-3"/>
          <w:sz w:val="22"/>
        </w:rPr>
        <w:t> </w:t>
      </w:r>
      <w:r>
        <w:rPr>
          <w:spacing w:val="-2"/>
          <w:sz w:val="22"/>
        </w:rPr>
        <w:t>Performance.</w:t>
      </w:r>
    </w:p>
    <w:p>
      <w:pPr>
        <w:spacing w:line="244" w:lineRule="auto" w:before="158"/>
        <w:ind w:left="1220" w:right="1099" w:firstLine="0"/>
        <w:jc w:val="both"/>
        <w:rPr>
          <w:sz w:val="22"/>
        </w:rPr>
      </w:pPr>
      <w:r>
        <w:rPr>
          <w:sz w:val="22"/>
        </w:rPr>
        <w:t>Each domain will be assigned a weight that varies by Budget Period. The weights for the State DSRIP Accountability domains are detailed in Exhibit 25:</w:t>
      </w:r>
    </w:p>
    <w:p>
      <w:pPr>
        <w:tabs>
          <w:tab w:pos="10579" w:val="left" w:leader="none"/>
        </w:tabs>
        <w:spacing w:before="192"/>
        <w:ind w:left="1220" w:right="0" w:firstLine="0"/>
        <w:jc w:val="both"/>
        <w:rPr>
          <w:sz w:val="22"/>
        </w:rPr>
      </w:pPr>
      <w:r>
        <w:rPr>
          <w:sz w:val="22"/>
          <w:u w:val="single"/>
        </w:rPr>
        <w:t>EXHIBIT</w:t>
      </w:r>
      <w:r>
        <w:rPr>
          <w:spacing w:val="-2"/>
          <w:sz w:val="22"/>
          <w:u w:val="single"/>
        </w:rPr>
        <w:t> </w:t>
      </w:r>
      <w:r>
        <w:rPr>
          <w:sz w:val="22"/>
          <w:u w:val="single"/>
        </w:rPr>
        <w:t>25</w:t>
      </w:r>
      <w:r>
        <w:rPr>
          <w:spacing w:val="-4"/>
          <w:sz w:val="22"/>
          <w:u w:val="single"/>
        </w:rPr>
        <w:t> </w:t>
      </w:r>
      <w:r>
        <w:rPr>
          <w:sz w:val="22"/>
          <w:u w:val="single"/>
        </w:rPr>
        <w:t>–</w:t>
      </w:r>
      <w:r>
        <w:rPr>
          <w:spacing w:val="-4"/>
          <w:sz w:val="22"/>
          <w:u w:val="single"/>
        </w:rPr>
        <w:t> </w:t>
      </w:r>
      <w:r>
        <w:rPr>
          <w:sz w:val="22"/>
          <w:u w:val="single"/>
        </w:rPr>
        <w:t>State</w:t>
      </w:r>
      <w:r>
        <w:rPr>
          <w:spacing w:val="-4"/>
          <w:sz w:val="22"/>
          <w:u w:val="single"/>
        </w:rPr>
        <w:t> </w:t>
      </w:r>
      <w:r>
        <w:rPr>
          <w:sz w:val="22"/>
          <w:u w:val="single"/>
        </w:rPr>
        <w:t>DSRIP</w:t>
      </w:r>
      <w:r>
        <w:rPr>
          <w:spacing w:val="-5"/>
          <w:sz w:val="22"/>
          <w:u w:val="single"/>
        </w:rPr>
        <w:t> </w:t>
      </w:r>
      <w:r>
        <w:rPr>
          <w:sz w:val="22"/>
          <w:u w:val="single"/>
        </w:rPr>
        <w:t>Accountability</w:t>
      </w:r>
      <w:r>
        <w:rPr>
          <w:spacing w:val="-6"/>
          <w:sz w:val="22"/>
          <w:u w:val="single"/>
        </w:rPr>
        <w:t> </w:t>
      </w:r>
      <w:r>
        <w:rPr>
          <w:spacing w:val="-2"/>
          <w:sz w:val="22"/>
          <w:u w:val="single"/>
        </w:rPr>
        <w:t>Domains</w:t>
      </w:r>
      <w:r>
        <w:rPr>
          <w:sz w:val="22"/>
          <w:u w:val="single"/>
        </w:rPr>
        <w:tab/>
      </w:r>
    </w:p>
    <w:p>
      <w:pPr>
        <w:pStyle w:val="BodyText"/>
        <w:spacing w:before="6"/>
      </w:pPr>
    </w:p>
    <w:tbl>
      <w:tblPr>
        <w:tblW w:w="0" w:type="auto"/>
        <w:jc w:val="left"/>
        <w:tblInd w:w="130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619"/>
        <w:gridCol w:w="1113"/>
        <w:gridCol w:w="1113"/>
        <w:gridCol w:w="1113"/>
        <w:gridCol w:w="1115"/>
        <w:gridCol w:w="1113"/>
      </w:tblGrid>
      <w:tr>
        <w:trPr>
          <w:trHeight w:val="496" w:hRule="atLeast"/>
        </w:trPr>
        <w:tc>
          <w:tcPr>
            <w:tcW w:w="3619" w:type="dxa"/>
            <w:vMerge w:val="restart"/>
            <w:shd w:val="clear" w:color="auto" w:fill="44536A"/>
          </w:tcPr>
          <w:p>
            <w:pPr>
              <w:pStyle w:val="TableParagraph"/>
              <w:ind w:left="251"/>
              <w:rPr>
                <w:b/>
                <w:sz w:val="20"/>
              </w:rPr>
            </w:pPr>
            <w:r>
              <w:rPr>
                <w:b/>
                <w:color w:val="FFFFFF"/>
                <w:sz w:val="20"/>
              </w:rPr>
              <w:t>State</w:t>
            </w:r>
            <w:r>
              <w:rPr>
                <w:b/>
                <w:color w:val="FFFFFF"/>
                <w:spacing w:val="-10"/>
                <w:sz w:val="20"/>
              </w:rPr>
              <w:t> </w:t>
            </w:r>
            <w:r>
              <w:rPr>
                <w:b/>
                <w:color w:val="FFFFFF"/>
                <w:sz w:val="20"/>
              </w:rPr>
              <w:t>DSRIP</w:t>
            </w:r>
            <w:r>
              <w:rPr>
                <w:b/>
                <w:color w:val="FFFFFF"/>
                <w:spacing w:val="-9"/>
                <w:sz w:val="20"/>
              </w:rPr>
              <w:t> </w:t>
            </w:r>
            <w:r>
              <w:rPr>
                <w:b/>
                <w:color w:val="FFFFFF"/>
                <w:sz w:val="20"/>
              </w:rPr>
              <w:t>Accountability</w:t>
            </w:r>
            <w:r>
              <w:rPr>
                <w:b/>
                <w:color w:val="FFFFFF"/>
                <w:spacing w:val="-8"/>
                <w:sz w:val="20"/>
              </w:rPr>
              <w:t> </w:t>
            </w:r>
            <w:r>
              <w:rPr>
                <w:b/>
                <w:color w:val="FFFFFF"/>
                <w:spacing w:val="-2"/>
                <w:sz w:val="20"/>
              </w:rPr>
              <w:t>Domain</w:t>
            </w:r>
          </w:p>
        </w:tc>
        <w:tc>
          <w:tcPr>
            <w:tcW w:w="1113" w:type="dxa"/>
            <w:shd w:val="clear" w:color="auto" w:fill="44536A"/>
          </w:tcPr>
          <w:p>
            <w:pPr>
              <w:pStyle w:val="TableParagraph"/>
              <w:rPr>
                <w:sz w:val="20"/>
              </w:rPr>
            </w:pPr>
          </w:p>
        </w:tc>
        <w:tc>
          <w:tcPr>
            <w:tcW w:w="4454" w:type="dxa"/>
            <w:gridSpan w:val="4"/>
            <w:shd w:val="clear" w:color="auto" w:fill="44536A"/>
          </w:tcPr>
          <w:p>
            <w:pPr>
              <w:pStyle w:val="TableParagraph"/>
              <w:ind w:left="224" w:right="209"/>
              <w:jc w:val="center"/>
              <w:rPr>
                <w:b/>
                <w:sz w:val="20"/>
              </w:rPr>
            </w:pPr>
            <w:r>
              <w:rPr>
                <w:b/>
                <w:color w:val="FFFFFF"/>
                <w:sz w:val="20"/>
              </w:rPr>
              <w:t>%</w:t>
            </w:r>
            <w:r>
              <w:rPr>
                <w:b/>
                <w:color w:val="FFFFFF"/>
                <w:spacing w:val="-7"/>
                <w:sz w:val="20"/>
              </w:rPr>
              <w:t> </w:t>
            </w:r>
            <w:r>
              <w:rPr>
                <w:b/>
                <w:color w:val="FFFFFF"/>
                <w:sz w:val="20"/>
              </w:rPr>
              <w:t>Contribution</w:t>
            </w:r>
            <w:r>
              <w:rPr>
                <w:b/>
                <w:color w:val="FFFFFF"/>
                <w:spacing w:val="-6"/>
                <w:sz w:val="20"/>
              </w:rPr>
              <w:t> </w:t>
            </w:r>
            <w:r>
              <w:rPr>
                <w:b/>
                <w:color w:val="FFFFFF"/>
                <w:sz w:val="20"/>
              </w:rPr>
              <w:t>to</w:t>
            </w:r>
            <w:r>
              <w:rPr>
                <w:b/>
                <w:color w:val="FFFFFF"/>
                <w:spacing w:val="-6"/>
                <w:sz w:val="20"/>
              </w:rPr>
              <w:t> </w:t>
            </w:r>
            <w:r>
              <w:rPr>
                <w:b/>
                <w:color w:val="FFFFFF"/>
                <w:sz w:val="20"/>
              </w:rPr>
              <w:t>State</w:t>
            </w:r>
            <w:r>
              <w:rPr>
                <w:b/>
                <w:color w:val="FFFFFF"/>
                <w:spacing w:val="-6"/>
                <w:sz w:val="20"/>
              </w:rPr>
              <w:t> </w:t>
            </w:r>
            <w:r>
              <w:rPr>
                <w:b/>
                <w:color w:val="FFFFFF"/>
                <w:sz w:val="20"/>
              </w:rPr>
              <w:t>DSRIP</w:t>
            </w:r>
            <w:r>
              <w:rPr>
                <w:b/>
                <w:color w:val="FFFFFF"/>
                <w:spacing w:val="-5"/>
                <w:sz w:val="20"/>
              </w:rPr>
              <w:t> </w:t>
            </w:r>
            <w:r>
              <w:rPr>
                <w:b/>
                <w:color w:val="FFFFFF"/>
                <w:spacing w:val="-2"/>
                <w:sz w:val="20"/>
              </w:rPr>
              <w:t>Accountability</w:t>
            </w:r>
          </w:p>
          <w:p>
            <w:pPr>
              <w:pStyle w:val="TableParagraph"/>
              <w:spacing w:line="227" w:lineRule="exact" w:before="20"/>
              <w:ind w:left="223" w:right="209"/>
              <w:jc w:val="center"/>
              <w:rPr>
                <w:b/>
                <w:sz w:val="20"/>
              </w:rPr>
            </w:pPr>
            <w:r>
              <w:rPr>
                <w:b/>
                <w:color w:val="FFFFFF"/>
                <w:spacing w:val="-2"/>
                <w:sz w:val="20"/>
              </w:rPr>
              <w:t>Score</w:t>
            </w:r>
          </w:p>
        </w:tc>
      </w:tr>
      <w:tr>
        <w:trPr>
          <w:trHeight w:val="496" w:hRule="atLeast"/>
        </w:trPr>
        <w:tc>
          <w:tcPr>
            <w:tcW w:w="3619" w:type="dxa"/>
            <w:vMerge/>
            <w:tcBorders>
              <w:top w:val="nil"/>
            </w:tcBorders>
            <w:shd w:val="clear" w:color="auto" w:fill="44536A"/>
          </w:tcPr>
          <w:p>
            <w:pPr>
              <w:rPr>
                <w:sz w:val="2"/>
                <w:szCs w:val="2"/>
              </w:rPr>
            </w:pPr>
          </w:p>
        </w:tc>
        <w:tc>
          <w:tcPr>
            <w:tcW w:w="1113" w:type="dxa"/>
            <w:shd w:val="clear" w:color="auto" w:fill="D4DCE3"/>
          </w:tcPr>
          <w:p>
            <w:pPr>
              <w:pStyle w:val="TableParagraph"/>
              <w:ind w:left="350"/>
              <w:rPr>
                <w:b/>
                <w:sz w:val="20"/>
              </w:rPr>
            </w:pPr>
            <w:r>
              <w:rPr>
                <w:b/>
                <w:spacing w:val="-4"/>
                <w:sz w:val="20"/>
              </w:rPr>
              <w:t>Prep</w:t>
            </w:r>
          </w:p>
          <w:p>
            <w:pPr>
              <w:pStyle w:val="TableParagraph"/>
              <w:spacing w:line="227" w:lineRule="exact" w:before="20"/>
              <w:ind w:left="249"/>
              <w:rPr>
                <w:b/>
                <w:sz w:val="20"/>
              </w:rPr>
            </w:pPr>
            <w:r>
              <w:rPr>
                <w:b/>
                <w:spacing w:val="-2"/>
                <w:sz w:val="20"/>
              </w:rPr>
              <w:t>Budget</w:t>
            </w:r>
          </w:p>
        </w:tc>
        <w:tc>
          <w:tcPr>
            <w:tcW w:w="1113" w:type="dxa"/>
            <w:shd w:val="clear" w:color="auto" w:fill="D4DCE3"/>
          </w:tcPr>
          <w:p>
            <w:pPr>
              <w:pStyle w:val="TableParagraph"/>
              <w:ind w:left="353"/>
              <w:rPr>
                <w:b/>
                <w:sz w:val="20"/>
              </w:rPr>
            </w:pPr>
            <w:r>
              <w:rPr>
                <w:b/>
                <w:sz w:val="20"/>
              </w:rPr>
              <w:t>BP</w:t>
            </w:r>
            <w:r>
              <w:rPr>
                <w:b/>
                <w:spacing w:val="-1"/>
                <w:sz w:val="20"/>
              </w:rPr>
              <w:t> </w:t>
            </w:r>
            <w:r>
              <w:rPr>
                <w:b/>
                <w:spacing w:val="-10"/>
                <w:sz w:val="20"/>
              </w:rPr>
              <w:t>1</w:t>
            </w:r>
          </w:p>
        </w:tc>
        <w:tc>
          <w:tcPr>
            <w:tcW w:w="1113" w:type="dxa"/>
            <w:shd w:val="clear" w:color="auto" w:fill="D4DCE3"/>
          </w:tcPr>
          <w:p>
            <w:pPr>
              <w:pStyle w:val="TableParagraph"/>
              <w:ind w:left="254" w:right="243"/>
              <w:jc w:val="center"/>
              <w:rPr>
                <w:b/>
                <w:sz w:val="20"/>
              </w:rPr>
            </w:pPr>
            <w:r>
              <w:rPr>
                <w:b/>
                <w:sz w:val="20"/>
              </w:rPr>
              <w:t>BP</w:t>
            </w:r>
            <w:r>
              <w:rPr>
                <w:b/>
                <w:spacing w:val="-1"/>
                <w:sz w:val="20"/>
              </w:rPr>
              <w:t> </w:t>
            </w:r>
            <w:r>
              <w:rPr>
                <w:b/>
                <w:spacing w:val="-10"/>
                <w:sz w:val="20"/>
              </w:rPr>
              <w:t>2</w:t>
            </w:r>
          </w:p>
        </w:tc>
        <w:tc>
          <w:tcPr>
            <w:tcW w:w="1115" w:type="dxa"/>
            <w:shd w:val="clear" w:color="auto" w:fill="D4DCE3"/>
          </w:tcPr>
          <w:p>
            <w:pPr>
              <w:pStyle w:val="TableParagraph"/>
              <w:ind w:left="342" w:right="327"/>
              <w:jc w:val="center"/>
              <w:rPr>
                <w:b/>
                <w:sz w:val="20"/>
              </w:rPr>
            </w:pPr>
            <w:r>
              <w:rPr>
                <w:b/>
                <w:sz w:val="20"/>
              </w:rPr>
              <w:t>BP</w:t>
            </w:r>
            <w:r>
              <w:rPr>
                <w:b/>
                <w:spacing w:val="-1"/>
                <w:sz w:val="20"/>
              </w:rPr>
              <w:t> </w:t>
            </w:r>
            <w:r>
              <w:rPr>
                <w:b/>
                <w:spacing w:val="-10"/>
                <w:sz w:val="20"/>
              </w:rPr>
              <w:t>3</w:t>
            </w:r>
          </w:p>
        </w:tc>
        <w:tc>
          <w:tcPr>
            <w:tcW w:w="1113" w:type="dxa"/>
            <w:shd w:val="clear" w:color="auto" w:fill="D4DCE3"/>
          </w:tcPr>
          <w:p>
            <w:pPr>
              <w:pStyle w:val="TableParagraph"/>
              <w:ind w:left="260" w:right="243"/>
              <w:jc w:val="center"/>
              <w:rPr>
                <w:b/>
                <w:sz w:val="20"/>
              </w:rPr>
            </w:pPr>
            <w:r>
              <w:rPr>
                <w:b/>
                <w:sz w:val="20"/>
              </w:rPr>
              <w:t>BP</w:t>
            </w:r>
            <w:r>
              <w:rPr>
                <w:b/>
                <w:spacing w:val="-4"/>
                <w:sz w:val="20"/>
              </w:rPr>
              <w:t> </w:t>
            </w:r>
            <w:r>
              <w:rPr>
                <w:b/>
                <w:sz w:val="20"/>
              </w:rPr>
              <w:t>4-</w:t>
            </w:r>
            <w:r>
              <w:rPr>
                <w:b/>
                <w:spacing w:val="-10"/>
                <w:sz w:val="20"/>
              </w:rPr>
              <w:t>5</w:t>
            </w:r>
          </w:p>
        </w:tc>
      </w:tr>
      <w:tr>
        <w:trPr>
          <w:trHeight w:val="249" w:hRule="atLeast"/>
        </w:trPr>
        <w:tc>
          <w:tcPr>
            <w:tcW w:w="3619" w:type="dxa"/>
            <w:shd w:val="clear" w:color="auto" w:fill="D9D9D9"/>
          </w:tcPr>
          <w:p>
            <w:pPr>
              <w:pStyle w:val="TableParagraph"/>
              <w:spacing w:line="229" w:lineRule="exact"/>
              <w:ind w:left="107"/>
              <w:rPr>
                <w:sz w:val="20"/>
              </w:rPr>
            </w:pPr>
            <w:r>
              <w:rPr>
                <w:sz w:val="20"/>
              </w:rPr>
              <w:t>MassHealth</w:t>
            </w:r>
            <w:r>
              <w:rPr>
                <w:spacing w:val="-9"/>
                <w:sz w:val="20"/>
              </w:rPr>
              <w:t> </w:t>
            </w:r>
            <w:r>
              <w:rPr>
                <w:sz w:val="20"/>
              </w:rPr>
              <w:t>ACO/APM</w:t>
            </w:r>
            <w:r>
              <w:rPr>
                <w:spacing w:val="-7"/>
                <w:sz w:val="20"/>
              </w:rPr>
              <w:t> </w:t>
            </w:r>
            <w:r>
              <w:rPr>
                <w:sz w:val="20"/>
              </w:rPr>
              <w:t>Adoption</w:t>
            </w:r>
            <w:r>
              <w:rPr>
                <w:spacing w:val="-10"/>
                <w:sz w:val="20"/>
              </w:rPr>
              <w:t> </w:t>
            </w:r>
            <w:r>
              <w:rPr>
                <w:spacing w:val="-4"/>
                <w:sz w:val="20"/>
              </w:rPr>
              <w:t>Rate</w:t>
            </w:r>
          </w:p>
        </w:tc>
        <w:tc>
          <w:tcPr>
            <w:tcW w:w="1113" w:type="dxa"/>
          </w:tcPr>
          <w:p>
            <w:pPr>
              <w:pStyle w:val="TableParagraph"/>
              <w:spacing w:line="229" w:lineRule="exact"/>
              <w:ind w:left="253" w:right="243"/>
              <w:jc w:val="center"/>
              <w:rPr>
                <w:sz w:val="20"/>
              </w:rPr>
            </w:pPr>
            <w:r>
              <w:rPr>
                <w:spacing w:val="-5"/>
                <w:sz w:val="20"/>
              </w:rPr>
              <w:t>NA</w:t>
            </w:r>
          </w:p>
        </w:tc>
        <w:tc>
          <w:tcPr>
            <w:tcW w:w="1113" w:type="dxa"/>
          </w:tcPr>
          <w:p>
            <w:pPr>
              <w:pStyle w:val="TableParagraph"/>
              <w:spacing w:line="229" w:lineRule="exact"/>
              <w:ind w:left="413"/>
              <w:rPr>
                <w:sz w:val="20"/>
              </w:rPr>
            </w:pPr>
            <w:r>
              <w:rPr>
                <w:spacing w:val="-5"/>
                <w:sz w:val="20"/>
              </w:rPr>
              <w:t>NA</w:t>
            </w:r>
          </w:p>
        </w:tc>
        <w:tc>
          <w:tcPr>
            <w:tcW w:w="1113" w:type="dxa"/>
          </w:tcPr>
          <w:p>
            <w:pPr>
              <w:pStyle w:val="TableParagraph"/>
              <w:spacing w:line="229" w:lineRule="exact"/>
              <w:ind w:left="255" w:right="243"/>
              <w:jc w:val="center"/>
              <w:rPr>
                <w:sz w:val="20"/>
              </w:rPr>
            </w:pPr>
            <w:r>
              <w:rPr>
                <w:spacing w:val="-5"/>
                <w:sz w:val="20"/>
              </w:rPr>
              <w:t>30%</w:t>
            </w:r>
          </w:p>
        </w:tc>
        <w:tc>
          <w:tcPr>
            <w:tcW w:w="1115" w:type="dxa"/>
          </w:tcPr>
          <w:p>
            <w:pPr>
              <w:pStyle w:val="TableParagraph"/>
              <w:spacing w:line="229" w:lineRule="exact"/>
              <w:ind w:left="339" w:right="327"/>
              <w:jc w:val="center"/>
              <w:rPr>
                <w:sz w:val="20"/>
              </w:rPr>
            </w:pPr>
            <w:r>
              <w:rPr>
                <w:spacing w:val="-5"/>
                <w:sz w:val="20"/>
              </w:rPr>
              <w:t>NA</w:t>
            </w:r>
          </w:p>
        </w:tc>
        <w:tc>
          <w:tcPr>
            <w:tcW w:w="1113" w:type="dxa"/>
          </w:tcPr>
          <w:p>
            <w:pPr>
              <w:pStyle w:val="TableParagraph"/>
              <w:spacing w:line="229" w:lineRule="exact"/>
              <w:ind w:left="260" w:right="240"/>
              <w:jc w:val="center"/>
              <w:rPr>
                <w:sz w:val="20"/>
              </w:rPr>
            </w:pPr>
            <w:r>
              <w:rPr>
                <w:spacing w:val="-5"/>
                <w:sz w:val="20"/>
              </w:rPr>
              <w:t>20%</w:t>
            </w:r>
          </w:p>
        </w:tc>
      </w:tr>
      <w:tr>
        <w:trPr>
          <w:trHeight w:val="246" w:hRule="atLeast"/>
        </w:trPr>
        <w:tc>
          <w:tcPr>
            <w:tcW w:w="3619" w:type="dxa"/>
            <w:shd w:val="clear" w:color="auto" w:fill="D9D9D9"/>
          </w:tcPr>
          <w:p>
            <w:pPr>
              <w:pStyle w:val="TableParagraph"/>
              <w:spacing w:line="227" w:lineRule="exact"/>
              <w:ind w:left="107"/>
              <w:rPr>
                <w:sz w:val="20"/>
              </w:rPr>
            </w:pPr>
            <w:r>
              <w:rPr>
                <w:sz w:val="20"/>
              </w:rPr>
              <w:t>Reduction</w:t>
            </w:r>
            <w:r>
              <w:rPr>
                <w:spacing w:val="-7"/>
                <w:sz w:val="20"/>
              </w:rPr>
              <w:t> </w:t>
            </w:r>
            <w:r>
              <w:rPr>
                <w:sz w:val="20"/>
              </w:rPr>
              <w:t>in</w:t>
            </w:r>
            <w:r>
              <w:rPr>
                <w:spacing w:val="-7"/>
                <w:sz w:val="20"/>
              </w:rPr>
              <w:t> </w:t>
            </w:r>
            <w:r>
              <w:rPr>
                <w:sz w:val="20"/>
              </w:rPr>
              <w:t>State</w:t>
            </w:r>
            <w:r>
              <w:rPr>
                <w:spacing w:val="-7"/>
                <w:sz w:val="20"/>
              </w:rPr>
              <w:t> </w:t>
            </w:r>
            <w:r>
              <w:rPr>
                <w:sz w:val="20"/>
              </w:rPr>
              <w:t>Spending</w:t>
            </w:r>
            <w:r>
              <w:rPr>
                <w:spacing w:val="-5"/>
                <w:sz w:val="20"/>
              </w:rPr>
              <w:t> </w:t>
            </w:r>
            <w:r>
              <w:rPr>
                <w:spacing w:val="-2"/>
                <w:sz w:val="20"/>
              </w:rPr>
              <w:t>Growth</w:t>
            </w:r>
          </w:p>
        </w:tc>
        <w:tc>
          <w:tcPr>
            <w:tcW w:w="1113" w:type="dxa"/>
          </w:tcPr>
          <w:p>
            <w:pPr>
              <w:pStyle w:val="TableParagraph"/>
              <w:spacing w:line="227" w:lineRule="exact"/>
              <w:ind w:left="253" w:right="243"/>
              <w:jc w:val="center"/>
              <w:rPr>
                <w:sz w:val="20"/>
              </w:rPr>
            </w:pPr>
            <w:r>
              <w:rPr>
                <w:spacing w:val="-5"/>
                <w:sz w:val="20"/>
              </w:rPr>
              <w:t>NA</w:t>
            </w:r>
          </w:p>
        </w:tc>
        <w:tc>
          <w:tcPr>
            <w:tcW w:w="1113" w:type="dxa"/>
          </w:tcPr>
          <w:p>
            <w:pPr>
              <w:pStyle w:val="TableParagraph"/>
              <w:spacing w:line="227" w:lineRule="exact"/>
              <w:ind w:left="413"/>
              <w:rPr>
                <w:sz w:val="20"/>
              </w:rPr>
            </w:pPr>
            <w:r>
              <w:rPr>
                <w:spacing w:val="-5"/>
                <w:sz w:val="20"/>
              </w:rPr>
              <w:t>NA</w:t>
            </w:r>
          </w:p>
        </w:tc>
        <w:tc>
          <w:tcPr>
            <w:tcW w:w="1113" w:type="dxa"/>
          </w:tcPr>
          <w:p>
            <w:pPr>
              <w:pStyle w:val="TableParagraph"/>
              <w:spacing w:line="227" w:lineRule="exact"/>
              <w:ind w:left="256" w:right="243"/>
              <w:jc w:val="center"/>
              <w:rPr>
                <w:sz w:val="20"/>
              </w:rPr>
            </w:pPr>
            <w:r>
              <w:rPr>
                <w:spacing w:val="-5"/>
                <w:sz w:val="20"/>
              </w:rPr>
              <w:t>NA</w:t>
            </w:r>
          </w:p>
        </w:tc>
        <w:tc>
          <w:tcPr>
            <w:tcW w:w="1115" w:type="dxa"/>
          </w:tcPr>
          <w:p>
            <w:pPr>
              <w:pStyle w:val="TableParagraph"/>
              <w:spacing w:line="227" w:lineRule="exact"/>
              <w:ind w:left="339" w:right="327"/>
              <w:jc w:val="center"/>
              <w:rPr>
                <w:sz w:val="20"/>
              </w:rPr>
            </w:pPr>
            <w:r>
              <w:rPr>
                <w:spacing w:val="-5"/>
                <w:sz w:val="20"/>
              </w:rPr>
              <w:t>NA</w:t>
            </w:r>
          </w:p>
        </w:tc>
        <w:tc>
          <w:tcPr>
            <w:tcW w:w="1113" w:type="dxa"/>
          </w:tcPr>
          <w:p>
            <w:pPr>
              <w:pStyle w:val="TableParagraph"/>
              <w:spacing w:line="227" w:lineRule="exact"/>
              <w:ind w:left="260" w:right="240"/>
              <w:jc w:val="center"/>
              <w:rPr>
                <w:sz w:val="20"/>
              </w:rPr>
            </w:pPr>
            <w:r>
              <w:rPr>
                <w:spacing w:val="-5"/>
                <w:sz w:val="20"/>
              </w:rPr>
              <w:t>25%</w:t>
            </w:r>
          </w:p>
        </w:tc>
      </w:tr>
      <w:tr>
        <w:trPr>
          <w:trHeight w:val="254" w:hRule="atLeast"/>
        </w:trPr>
        <w:tc>
          <w:tcPr>
            <w:tcW w:w="3619" w:type="dxa"/>
            <w:tcBorders>
              <w:bottom w:val="single" w:sz="4" w:space="0" w:color="000000"/>
            </w:tcBorders>
            <w:shd w:val="clear" w:color="auto" w:fill="D9D9D9"/>
          </w:tcPr>
          <w:p>
            <w:pPr>
              <w:pStyle w:val="TableParagraph"/>
              <w:ind w:left="107"/>
              <w:rPr>
                <w:sz w:val="20"/>
              </w:rPr>
            </w:pPr>
            <w:r>
              <w:rPr>
                <w:sz w:val="20"/>
              </w:rPr>
              <w:t>ACO</w:t>
            </w:r>
            <w:r>
              <w:rPr>
                <w:spacing w:val="-6"/>
                <w:sz w:val="20"/>
              </w:rPr>
              <w:t> </w:t>
            </w:r>
            <w:r>
              <w:rPr>
                <w:sz w:val="20"/>
              </w:rPr>
              <w:t>Quality</w:t>
            </w:r>
            <w:r>
              <w:rPr>
                <w:spacing w:val="-7"/>
                <w:sz w:val="20"/>
              </w:rPr>
              <w:t> </w:t>
            </w:r>
            <w:r>
              <w:rPr>
                <w:spacing w:val="-2"/>
                <w:sz w:val="20"/>
              </w:rPr>
              <w:t>Performance</w:t>
            </w:r>
          </w:p>
        </w:tc>
        <w:tc>
          <w:tcPr>
            <w:tcW w:w="1113" w:type="dxa"/>
            <w:tcBorders>
              <w:bottom w:val="single" w:sz="4" w:space="0" w:color="000000"/>
            </w:tcBorders>
          </w:tcPr>
          <w:p>
            <w:pPr>
              <w:pStyle w:val="TableParagraph"/>
              <w:ind w:left="253" w:right="243"/>
              <w:jc w:val="center"/>
              <w:rPr>
                <w:sz w:val="20"/>
              </w:rPr>
            </w:pPr>
            <w:r>
              <w:rPr>
                <w:spacing w:val="-5"/>
                <w:sz w:val="20"/>
              </w:rPr>
              <w:t>NA</w:t>
            </w:r>
          </w:p>
        </w:tc>
        <w:tc>
          <w:tcPr>
            <w:tcW w:w="1113" w:type="dxa"/>
            <w:tcBorders>
              <w:bottom w:val="single" w:sz="4" w:space="0" w:color="000000"/>
            </w:tcBorders>
          </w:tcPr>
          <w:p>
            <w:pPr>
              <w:pStyle w:val="TableParagraph"/>
              <w:ind w:left="413"/>
              <w:rPr>
                <w:sz w:val="20"/>
              </w:rPr>
            </w:pPr>
            <w:r>
              <w:rPr>
                <w:spacing w:val="-5"/>
                <w:sz w:val="20"/>
              </w:rPr>
              <w:t>NA</w:t>
            </w:r>
          </w:p>
        </w:tc>
        <w:tc>
          <w:tcPr>
            <w:tcW w:w="1113" w:type="dxa"/>
            <w:tcBorders>
              <w:bottom w:val="single" w:sz="4" w:space="0" w:color="000000"/>
            </w:tcBorders>
          </w:tcPr>
          <w:p>
            <w:pPr>
              <w:pStyle w:val="TableParagraph"/>
              <w:ind w:left="255" w:right="243"/>
              <w:jc w:val="center"/>
              <w:rPr>
                <w:sz w:val="20"/>
              </w:rPr>
            </w:pPr>
            <w:r>
              <w:rPr>
                <w:spacing w:val="-5"/>
                <w:sz w:val="20"/>
              </w:rPr>
              <w:t>70%</w:t>
            </w:r>
          </w:p>
        </w:tc>
        <w:tc>
          <w:tcPr>
            <w:tcW w:w="1115" w:type="dxa"/>
            <w:tcBorders>
              <w:bottom w:val="single" w:sz="4" w:space="0" w:color="000000"/>
            </w:tcBorders>
          </w:tcPr>
          <w:p>
            <w:pPr>
              <w:pStyle w:val="TableParagraph"/>
              <w:ind w:left="339" w:right="327"/>
              <w:jc w:val="center"/>
              <w:rPr>
                <w:sz w:val="20"/>
              </w:rPr>
            </w:pPr>
            <w:r>
              <w:rPr>
                <w:spacing w:val="-5"/>
                <w:sz w:val="20"/>
              </w:rPr>
              <w:t>NA</w:t>
            </w:r>
          </w:p>
        </w:tc>
        <w:tc>
          <w:tcPr>
            <w:tcW w:w="1113" w:type="dxa"/>
            <w:tcBorders>
              <w:bottom w:val="single" w:sz="4" w:space="0" w:color="000000"/>
            </w:tcBorders>
          </w:tcPr>
          <w:p>
            <w:pPr>
              <w:pStyle w:val="TableParagraph"/>
              <w:ind w:left="260" w:right="240"/>
              <w:jc w:val="center"/>
              <w:rPr>
                <w:sz w:val="20"/>
              </w:rPr>
            </w:pPr>
            <w:r>
              <w:rPr>
                <w:spacing w:val="-5"/>
                <w:sz w:val="20"/>
              </w:rPr>
              <w:t>55%</w:t>
            </w:r>
          </w:p>
        </w:tc>
      </w:tr>
    </w:tbl>
    <w:p>
      <w:pPr>
        <w:spacing w:after="0"/>
        <w:jc w:val="center"/>
        <w:rPr>
          <w:sz w:val="20"/>
        </w:rPr>
        <w:sectPr>
          <w:pgSz w:w="12240" w:h="15840"/>
          <w:pgMar w:header="0" w:footer="967" w:top="1360" w:bottom="1160" w:left="220" w:right="340"/>
        </w:sectPr>
      </w:pPr>
    </w:p>
    <w:p>
      <w:pPr>
        <w:spacing w:before="78"/>
        <w:ind w:left="1219" w:right="1095" w:firstLine="0"/>
        <w:jc w:val="both"/>
        <w:rPr>
          <w:sz w:val="22"/>
        </w:rPr>
      </w:pPr>
      <w:r>
        <w:rPr>
          <w:sz w:val="22"/>
        </w:rPr>
        <w:t>The State will calculate the State DSRIP Accountability Score by multiplying the Score for each State DSRIP Accountability domain by the associated weight and then summing the totals together.</w:t>
      </w:r>
    </w:p>
    <w:p>
      <w:pPr>
        <w:spacing w:before="162"/>
        <w:ind w:left="1219" w:right="0" w:firstLine="0"/>
        <w:jc w:val="both"/>
        <w:rPr>
          <w:sz w:val="22"/>
        </w:rPr>
      </w:pPr>
      <w:r>
        <w:rPr>
          <w:sz w:val="22"/>
        </w:rPr>
        <w:t>For</w:t>
      </w:r>
      <w:r>
        <w:rPr>
          <w:spacing w:val="-2"/>
          <w:sz w:val="22"/>
        </w:rPr>
        <w:t> </w:t>
      </w:r>
      <w:r>
        <w:rPr>
          <w:sz w:val="22"/>
        </w:rPr>
        <w:t>example,</w:t>
      </w:r>
      <w:r>
        <w:rPr>
          <w:spacing w:val="-2"/>
          <w:sz w:val="22"/>
        </w:rPr>
        <w:t> </w:t>
      </w:r>
      <w:r>
        <w:rPr>
          <w:sz w:val="22"/>
        </w:rPr>
        <w:t>the</w:t>
      </w:r>
      <w:r>
        <w:rPr>
          <w:spacing w:val="-3"/>
          <w:sz w:val="22"/>
        </w:rPr>
        <w:t> </w:t>
      </w:r>
      <w:r>
        <w:rPr>
          <w:sz w:val="22"/>
        </w:rPr>
        <w:t>BP</w:t>
      </w:r>
      <w:r>
        <w:rPr>
          <w:spacing w:val="-5"/>
          <w:sz w:val="22"/>
        </w:rPr>
        <w:t> </w:t>
      </w:r>
      <w:r>
        <w:rPr>
          <w:sz w:val="22"/>
        </w:rPr>
        <w:t>5</w:t>
      </w:r>
      <w:r>
        <w:rPr>
          <w:spacing w:val="-3"/>
          <w:sz w:val="22"/>
        </w:rPr>
        <w:t> </w:t>
      </w:r>
      <w:r>
        <w:rPr>
          <w:sz w:val="22"/>
        </w:rPr>
        <w:t>State</w:t>
      </w:r>
      <w:r>
        <w:rPr>
          <w:spacing w:val="-2"/>
          <w:sz w:val="22"/>
        </w:rPr>
        <w:t> </w:t>
      </w:r>
      <w:r>
        <w:rPr>
          <w:sz w:val="22"/>
        </w:rPr>
        <w:t>DSRIP</w:t>
      </w:r>
      <w:r>
        <w:rPr>
          <w:spacing w:val="-1"/>
          <w:sz w:val="22"/>
        </w:rPr>
        <w:t> </w:t>
      </w:r>
      <w:r>
        <w:rPr>
          <w:sz w:val="22"/>
        </w:rPr>
        <w:t>Accountability</w:t>
      </w:r>
      <w:r>
        <w:rPr>
          <w:spacing w:val="-5"/>
          <w:sz w:val="22"/>
        </w:rPr>
        <w:t> </w:t>
      </w:r>
      <w:r>
        <w:rPr>
          <w:sz w:val="22"/>
        </w:rPr>
        <w:t>Score</w:t>
      </w:r>
      <w:r>
        <w:rPr>
          <w:spacing w:val="-5"/>
          <w:sz w:val="22"/>
        </w:rPr>
        <w:t> </w:t>
      </w:r>
      <w:r>
        <w:rPr>
          <w:sz w:val="22"/>
        </w:rPr>
        <w:t>is</w:t>
      </w:r>
      <w:r>
        <w:rPr>
          <w:spacing w:val="-2"/>
          <w:sz w:val="22"/>
        </w:rPr>
        <w:t> </w:t>
      </w:r>
      <w:r>
        <w:rPr>
          <w:sz w:val="22"/>
        </w:rPr>
        <w:t>calculated</w:t>
      </w:r>
      <w:r>
        <w:rPr>
          <w:spacing w:val="-5"/>
          <w:sz w:val="22"/>
        </w:rPr>
        <w:t> </w:t>
      </w:r>
      <w:r>
        <w:rPr>
          <w:sz w:val="22"/>
        </w:rPr>
        <w:t>using</w:t>
      </w:r>
      <w:r>
        <w:rPr>
          <w:spacing w:val="-6"/>
          <w:sz w:val="22"/>
        </w:rPr>
        <w:t> </w:t>
      </w:r>
      <w:r>
        <w:rPr>
          <w:sz w:val="22"/>
        </w:rPr>
        <w:t>the</w:t>
      </w:r>
      <w:r>
        <w:rPr>
          <w:spacing w:val="-2"/>
          <w:sz w:val="22"/>
        </w:rPr>
        <w:t> </w:t>
      </w:r>
      <w:r>
        <w:rPr>
          <w:sz w:val="22"/>
        </w:rPr>
        <w:t>following</w:t>
      </w:r>
      <w:r>
        <w:rPr>
          <w:spacing w:val="-5"/>
          <w:sz w:val="22"/>
        </w:rPr>
        <w:t> </w:t>
      </w:r>
      <w:r>
        <w:rPr>
          <w:spacing w:val="-2"/>
          <w:sz w:val="22"/>
        </w:rPr>
        <w:t>equation:</w:t>
      </w:r>
    </w:p>
    <w:p>
      <w:pPr>
        <w:spacing w:before="160"/>
        <w:ind w:left="1219" w:right="1094" w:firstLine="0"/>
        <w:jc w:val="both"/>
        <w:rPr>
          <w:sz w:val="22"/>
        </w:rPr>
      </w:pPr>
      <w:r>
        <w:rPr>
          <w:sz w:val="22"/>
        </w:rPr>
        <w:t>State DSRIP Accountability Score = (MassHealth ACO/APM Adoption Rate Score) * 20% + (Reduction in State Spending Growth Score) * 25% + (ACO Quality Performance Score) * 55%</w:t>
      </w:r>
    </w:p>
    <w:p>
      <w:pPr>
        <w:spacing w:line="242" w:lineRule="auto" w:before="159"/>
        <w:ind w:left="1219" w:right="1095" w:firstLine="0"/>
        <w:jc w:val="both"/>
        <w:rPr>
          <w:sz w:val="22"/>
        </w:rPr>
      </w:pPr>
      <w:r>
        <w:rPr>
          <w:sz w:val="22"/>
        </w:rPr>
        <w:t>If the State</w:t>
      </w:r>
      <w:r>
        <w:rPr>
          <w:spacing w:val="-2"/>
          <w:sz w:val="22"/>
        </w:rPr>
        <w:t> </w:t>
      </w:r>
      <w:r>
        <w:rPr>
          <w:sz w:val="22"/>
        </w:rPr>
        <w:t>is able</w:t>
      </w:r>
      <w:r>
        <w:rPr>
          <w:spacing w:val="-2"/>
          <w:sz w:val="22"/>
        </w:rPr>
        <w:t> </w:t>
      </w:r>
      <w:r>
        <w:rPr>
          <w:sz w:val="22"/>
        </w:rPr>
        <w:t>to</w:t>
      </w:r>
      <w:r>
        <w:rPr>
          <w:spacing w:val="-2"/>
          <w:sz w:val="22"/>
        </w:rPr>
        <w:t> </w:t>
      </w:r>
      <w:r>
        <w:rPr>
          <w:sz w:val="22"/>
        </w:rPr>
        <w:t>earn</w:t>
      </w:r>
      <w:r>
        <w:rPr>
          <w:spacing w:val="-2"/>
          <w:sz w:val="22"/>
        </w:rPr>
        <w:t> </w:t>
      </w:r>
      <w:r>
        <w:rPr>
          <w:sz w:val="22"/>
        </w:rPr>
        <w:t>100%</w:t>
      </w:r>
      <w:r>
        <w:rPr>
          <w:spacing w:val="-1"/>
          <w:sz w:val="22"/>
        </w:rPr>
        <w:t> </w:t>
      </w:r>
      <w:r>
        <w:rPr>
          <w:sz w:val="22"/>
        </w:rPr>
        <w:t>for</w:t>
      </w:r>
      <w:r>
        <w:rPr>
          <w:spacing w:val="-1"/>
          <w:sz w:val="22"/>
        </w:rPr>
        <w:t> </w:t>
      </w:r>
      <w:r>
        <w:rPr>
          <w:sz w:val="22"/>
        </w:rPr>
        <w:t>the</w:t>
      </w:r>
      <w:r>
        <w:rPr>
          <w:spacing w:val="-2"/>
          <w:sz w:val="22"/>
        </w:rPr>
        <w:t> </w:t>
      </w:r>
      <w:r>
        <w:rPr>
          <w:sz w:val="22"/>
        </w:rPr>
        <w:t>MassHealth/APM Adoption Rate Score, 30%</w:t>
      </w:r>
      <w:r>
        <w:rPr>
          <w:spacing w:val="-1"/>
          <w:sz w:val="22"/>
        </w:rPr>
        <w:t> </w:t>
      </w:r>
      <w:r>
        <w:rPr>
          <w:sz w:val="22"/>
        </w:rPr>
        <w:t>for</w:t>
      </w:r>
      <w:r>
        <w:rPr>
          <w:spacing w:val="-1"/>
          <w:sz w:val="22"/>
        </w:rPr>
        <w:t> </w:t>
      </w:r>
      <w:r>
        <w:rPr>
          <w:sz w:val="22"/>
        </w:rPr>
        <w:t>the Reduction</w:t>
      </w:r>
      <w:r>
        <w:rPr>
          <w:spacing w:val="-2"/>
          <w:sz w:val="22"/>
        </w:rPr>
        <w:t> </w:t>
      </w:r>
      <w:r>
        <w:rPr>
          <w:sz w:val="22"/>
        </w:rPr>
        <w:t>in State Spending Growth Score, and 70% for the ACO Quality Performance Score, then the State’s DSRIP Accountability Score would be:</w:t>
      </w:r>
    </w:p>
    <w:p>
      <w:pPr>
        <w:spacing w:before="155"/>
        <w:ind w:left="1274" w:right="0" w:firstLine="0"/>
        <w:jc w:val="both"/>
        <w:rPr>
          <w:sz w:val="22"/>
        </w:rPr>
      </w:pPr>
      <w:r>
        <w:rPr>
          <w:sz w:val="22"/>
        </w:rPr>
        <w:t>State</w:t>
      </w:r>
      <w:r>
        <w:rPr>
          <w:spacing w:val="-3"/>
          <w:sz w:val="22"/>
        </w:rPr>
        <w:t> </w:t>
      </w:r>
      <w:r>
        <w:rPr>
          <w:sz w:val="22"/>
        </w:rPr>
        <w:t>DSRIP</w:t>
      </w:r>
      <w:r>
        <w:rPr>
          <w:spacing w:val="-3"/>
          <w:sz w:val="22"/>
        </w:rPr>
        <w:t> </w:t>
      </w:r>
      <w:r>
        <w:rPr>
          <w:sz w:val="22"/>
        </w:rPr>
        <w:t>Accountability</w:t>
      </w:r>
      <w:r>
        <w:rPr>
          <w:spacing w:val="-5"/>
          <w:sz w:val="22"/>
        </w:rPr>
        <w:t> </w:t>
      </w:r>
      <w:r>
        <w:rPr>
          <w:sz w:val="22"/>
        </w:rPr>
        <w:t>Score</w:t>
      </w:r>
      <w:r>
        <w:rPr>
          <w:spacing w:val="-2"/>
          <w:sz w:val="22"/>
        </w:rPr>
        <w:t> </w:t>
      </w:r>
      <w:r>
        <w:rPr>
          <w:sz w:val="22"/>
        </w:rPr>
        <w:t>=</w:t>
      </w:r>
      <w:r>
        <w:rPr>
          <w:spacing w:val="-2"/>
          <w:sz w:val="22"/>
        </w:rPr>
        <w:t> </w:t>
      </w:r>
      <w:r>
        <w:rPr>
          <w:sz w:val="22"/>
        </w:rPr>
        <w:t>(100%)</w:t>
      </w:r>
      <w:r>
        <w:rPr>
          <w:spacing w:val="-1"/>
          <w:sz w:val="22"/>
        </w:rPr>
        <w:t> </w:t>
      </w:r>
      <w:r>
        <w:rPr>
          <w:sz w:val="22"/>
        </w:rPr>
        <w:t>*</w:t>
      </w:r>
      <w:r>
        <w:rPr>
          <w:spacing w:val="-5"/>
          <w:sz w:val="22"/>
        </w:rPr>
        <w:t> </w:t>
      </w:r>
      <w:r>
        <w:rPr>
          <w:sz w:val="22"/>
        </w:rPr>
        <w:t>20%</w:t>
      </w:r>
      <w:r>
        <w:rPr>
          <w:spacing w:val="-4"/>
          <w:sz w:val="22"/>
        </w:rPr>
        <w:t> </w:t>
      </w:r>
      <w:r>
        <w:rPr>
          <w:sz w:val="22"/>
        </w:rPr>
        <w:t>+</w:t>
      </w:r>
      <w:r>
        <w:rPr>
          <w:spacing w:val="-4"/>
          <w:sz w:val="22"/>
        </w:rPr>
        <w:t> </w:t>
      </w:r>
      <w:r>
        <w:rPr>
          <w:sz w:val="22"/>
        </w:rPr>
        <w:t>(30%)</w:t>
      </w:r>
      <w:r>
        <w:rPr>
          <w:spacing w:val="-1"/>
          <w:sz w:val="22"/>
        </w:rPr>
        <w:t> </w:t>
      </w:r>
      <w:r>
        <w:rPr>
          <w:sz w:val="22"/>
        </w:rPr>
        <w:t>*</w:t>
      </w:r>
      <w:r>
        <w:rPr>
          <w:spacing w:val="-2"/>
          <w:sz w:val="22"/>
        </w:rPr>
        <w:t> </w:t>
      </w:r>
      <w:r>
        <w:rPr>
          <w:sz w:val="22"/>
        </w:rPr>
        <w:t>25%</w:t>
      </w:r>
      <w:r>
        <w:rPr>
          <w:spacing w:val="-4"/>
          <w:sz w:val="22"/>
        </w:rPr>
        <w:t> </w:t>
      </w:r>
      <w:r>
        <w:rPr>
          <w:sz w:val="22"/>
        </w:rPr>
        <w:t>+</w:t>
      </w:r>
      <w:r>
        <w:rPr>
          <w:spacing w:val="-2"/>
          <w:sz w:val="22"/>
        </w:rPr>
        <w:t> </w:t>
      </w:r>
      <w:r>
        <w:rPr>
          <w:sz w:val="22"/>
        </w:rPr>
        <w:t>(70%)</w:t>
      </w:r>
      <w:r>
        <w:rPr>
          <w:spacing w:val="-1"/>
          <w:sz w:val="22"/>
        </w:rPr>
        <w:t> </w:t>
      </w:r>
      <w:r>
        <w:rPr>
          <w:sz w:val="22"/>
        </w:rPr>
        <w:t>*</w:t>
      </w:r>
      <w:r>
        <w:rPr>
          <w:spacing w:val="-2"/>
          <w:sz w:val="22"/>
        </w:rPr>
        <w:t> </w:t>
      </w:r>
      <w:r>
        <w:rPr>
          <w:sz w:val="22"/>
        </w:rPr>
        <w:t>55%</w:t>
      </w:r>
      <w:r>
        <w:rPr>
          <w:spacing w:val="-1"/>
          <w:sz w:val="22"/>
        </w:rPr>
        <w:t> </w:t>
      </w:r>
      <w:r>
        <w:rPr>
          <w:sz w:val="22"/>
        </w:rPr>
        <w:t>=</w:t>
      </w:r>
      <w:r>
        <w:rPr>
          <w:spacing w:val="-2"/>
          <w:sz w:val="22"/>
        </w:rPr>
        <w:t> </w:t>
      </w:r>
      <w:r>
        <w:rPr>
          <w:spacing w:val="-5"/>
          <w:sz w:val="22"/>
        </w:rPr>
        <w:t>66%</w:t>
      </w:r>
    </w:p>
    <w:p>
      <w:pPr>
        <w:spacing w:before="157"/>
        <w:ind w:left="1219" w:right="1094" w:firstLine="0"/>
        <w:jc w:val="both"/>
        <w:rPr>
          <w:sz w:val="22"/>
        </w:rPr>
      </w:pPr>
      <w:r>
        <w:rPr>
          <w:sz w:val="22"/>
        </w:rPr>
        <w:t>The</w:t>
      </w:r>
      <w:r>
        <w:rPr>
          <w:spacing w:val="-8"/>
          <w:sz w:val="22"/>
        </w:rPr>
        <w:t> </w:t>
      </w:r>
      <w:r>
        <w:rPr>
          <w:sz w:val="22"/>
        </w:rPr>
        <w:t>State</w:t>
      </w:r>
      <w:r>
        <w:rPr>
          <w:spacing w:val="-7"/>
          <w:sz w:val="22"/>
        </w:rPr>
        <w:t> </w:t>
      </w:r>
      <w:r>
        <w:rPr>
          <w:sz w:val="22"/>
        </w:rPr>
        <w:t>estimates</w:t>
      </w:r>
      <w:r>
        <w:rPr>
          <w:spacing w:val="-8"/>
          <w:sz w:val="22"/>
        </w:rPr>
        <w:t> </w:t>
      </w:r>
      <w:r>
        <w:rPr>
          <w:sz w:val="22"/>
        </w:rPr>
        <w:t>that</w:t>
      </w:r>
      <w:r>
        <w:rPr>
          <w:spacing w:val="-6"/>
          <w:sz w:val="22"/>
        </w:rPr>
        <w:t> </w:t>
      </w:r>
      <w:r>
        <w:rPr>
          <w:sz w:val="22"/>
        </w:rPr>
        <w:t>it</w:t>
      </w:r>
      <w:r>
        <w:rPr>
          <w:spacing w:val="-8"/>
          <w:sz w:val="22"/>
        </w:rPr>
        <w:t> </w:t>
      </w:r>
      <w:r>
        <w:rPr>
          <w:sz w:val="22"/>
        </w:rPr>
        <w:t>will</w:t>
      </w:r>
      <w:r>
        <w:rPr>
          <w:spacing w:val="-8"/>
          <w:sz w:val="22"/>
        </w:rPr>
        <w:t> </w:t>
      </w:r>
      <w:r>
        <w:rPr>
          <w:sz w:val="22"/>
        </w:rPr>
        <w:t>take</w:t>
      </w:r>
      <w:r>
        <w:rPr>
          <w:spacing w:val="-7"/>
          <w:sz w:val="22"/>
        </w:rPr>
        <w:t> </w:t>
      </w:r>
      <w:r>
        <w:rPr>
          <w:sz w:val="22"/>
        </w:rPr>
        <w:t>approximately</w:t>
      </w:r>
      <w:r>
        <w:rPr>
          <w:spacing w:val="-9"/>
          <w:sz w:val="22"/>
        </w:rPr>
        <w:t> </w:t>
      </w:r>
      <w:r>
        <w:rPr>
          <w:sz w:val="22"/>
        </w:rPr>
        <w:t>18</w:t>
      </w:r>
      <w:r>
        <w:rPr>
          <w:spacing w:val="-8"/>
          <w:sz w:val="22"/>
        </w:rPr>
        <w:t> </w:t>
      </w:r>
      <w:r>
        <w:rPr>
          <w:sz w:val="22"/>
        </w:rPr>
        <w:t>months</w:t>
      </w:r>
      <w:r>
        <w:rPr>
          <w:spacing w:val="-7"/>
          <w:sz w:val="22"/>
        </w:rPr>
        <w:t> </w:t>
      </w:r>
      <w:r>
        <w:rPr>
          <w:sz w:val="22"/>
        </w:rPr>
        <w:t>after</w:t>
      </w:r>
      <w:r>
        <w:rPr>
          <w:spacing w:val="-8"/>
          <w:sz w:val="22"/>
        </w:rPr>
        <w:t> </w:t>
      </w:r>
      <w:r>
        <w:rPr>
          <w:sz w:val="22"/>
        </w:rPr>
        <w:t>the</w:t>
      </w:r>
      <w:r>
        <w:rPr>
          <w:spacing w:val="-7"/>
          <w:sz w:val="22"/>
        </w:rPr>
        <w:t> </w:t>
      </w:r>
      <w:r>
        <w:rPr>
          <w:sz w:val="22"/>
        </w:rPr>
        <w:t>close</w:t>
      </w:r>
      <w:r>
        <w:rPr>
          <w:spacing w:val="-7"/>
          <w:sz w:val="22"/>
        </w:rPr>
        <w:t> </w:t>
      </w:r>
      <w:r>
        <w:rPr>
          <w:sz w:val="22"/>
        </w:rPr>
        <w:t>of</w:t>
      </w:r>
      <w:r>
        <w:rPr>
          <w:spacing w:val="-6"/>
          <w:sz w:val="22"/>
        </w:rPr>
        <w:t> </w:t>
      </w:r>
      <w:r>
        <w:rPr>
          <w:sz w:val="22"/>
        </w:rPr>
        <w:t>a</w:t>
      </w:r>
      <w:r>
        <w:rPr>
          <w:spacing w:val="-11"/>
          <w:sz w:val="22"/>
        </w:rPr>
        <w:t> </w:t>
      </w:r>
      <w:r>
        <w:rPr>
          <w:sz w:val="22"/>
        </w:rPr>
        <w:t>Budget</w:t>
      </w:r>
      <w:r>
        <w:rPr>
          <w:spacing w:val="-6"/>
          <w:sz w:val="22"/>
        </w:rPr>
        <w:t> </w:t>
      </w:r>
      <w:r>
        <w:rPr>
          <w:sz w:val="22"/>
        </w:rPr>
        <w:t>Period</w:t>
      </w:r>
      <w:r>
        <w:rPr>
          <w:spacing w:val="-9"/>
          <w:sz w:val="22"/>
        </w:rPr>
        <w:t> </w:t>
      </w:r>
      <w:r>
        <w:rPr>
          <w:sz w:val="22"/>
        </w:rPr>
        <w:t>to</w:t>
      </w:r>
      <w:r>
        <w:rPr>
          <w:spacing w:val="-9"/>
          <w:sz w:val="22"/>
        </w:rPr>
        <w:t> </w:t>
      </w:r>
      <w:r>
        <w:rPr>
          <w:sz w:val="22"/>
        </w:rPr>
        <w:t>calculate the</w:t>
      </w:r>
      <w:r>
        <w:rPr>
          <w:spacing w:val="-7"/>
          <w:sz w:val="22"/>
        </w:rPr>
        <w:t> </w:t>
      </w:r>
      <w:r>
        <w:rPr>
          <w:sz w:val="22"/>
        </w:rPr>
        <w:t>State</w:t>
      </w:r>
      <w:r>
        <w:rPr>
          <w:spacing w:val="-7"/>
          <w:sz w:val="22"/>
        </w:rPr>
        <w:t> </w:t>
      </w:r>
      <w:r>
        <w:rPr>
          <w:sz w:val="22"/>
        </w:rPr>
        <w:t>DSRIP</w:t>
      </w:r>
      <w:r>
        <w:rPr>
          <w:spacing w:val="-8"/>
          <w:sz w:val="22"/>
        </w:rPr>
        <w:t> </w:t>
      </w:r>
      <w:r>
        <w:rPr>
          <w:sz w:val="22"/>
        </w:rPr>
        <w:t>Accountability</w:t>
      </w:r>
      <w:r>
        <w:rPr>
          <w:spacing w:val="-10"/>
          <w:sz w:val="22"/>
        </w:rPr>
        <w:t> </w:t>
      </w:r>
      <w:r>
        <w:rPr>
          <w:sz w:val="22"/>
        </w:rPr>
        <w:t>Score,</w:t>
      </w:r>
      <w:r>
        <w:rPr>
          <w:spacing w:val="-7"/>
          <w:sz w:val="22"/>
        </w:rPr>
        <w:t> </w:t>
      </w:r>
      <w:r>
        <w:rPr>
          <w:sz w:val="22"/>
        </w:rPr>
        <w:t>due</w:t>
      </w:r>
      <w:r>
        <w:rPr>
          <w:spacing w:val="-7"/>
          <w:sz w:val="22"/>
        </w:rPr>
        <w:t> </w:t>
      </w:r>
      <w:r>
        <w:rPr>
          <w:sz w:val="22"/>
        </w:rPr>
        <w:t>to</w:t>
      </w:r>
      <w:r>
        <w:rPr>
          <w:spacing w:val="-7"/>
          <w:sz w:val="22"/>
        </w:rPr>
        <w:t> </w:t>
      </w:r>
      <w:r>
        <w:rPr>
          <w:sz w:val="22"/>
        </w:rPr>
        <w:t>claims</w:t>
      </w:r>
      <w:r>
        <w:rPr>
          <w:spacing w:val="-7"/>
          <w:sz w:val="22"/>
        </w:rPr>
        <w:t> </w:t>
      </w:r>
      <w:r>
        <w:rPr>
          <w:sz w:val="22"/>
        </w:rPr>
        <w:t>rollout</w:t>
      </w:r>
      <w:r>
        <w:rPr>
          <w:spacing w:val="-6"/>
          <w:sz w:val="22"/>
        </w:rPr>
        <w:t> </w:t>
      </w:r>
      <w:r>
        <w:rPr>
          <w:sz w:val="22"/>
        </w:rPr>
        <w:t>and</w:t>
      </w:r>
      <w:r>
        <w:rPr>
          <w:spacing w:val="-7"/>
          <w:sz w:val="22"/>
        </w:rPr>
        <w:t> </w:t>
      </w:r>
      <w:r>
        <w:rPr>
          <w:sz w:val="22"/>
        </w:rPr>
        <w:t>other</w:t>
      </w:r>
      <w:r>
        <w:rPr>
          <w:spacing w:val="-6"/>
          <w:sz w:val="22"/>
        </w:rPr>
        <w:t> </w:t>
      </w:r>
      <w:r>
        <w:rPr>
          <w:sz w:val="22"/>
        </w:rPr>
        <w:t>administrative</w:t>
      </w:r>
      <w:r>
        <w:rPr>
          <w:spacing w:val="-7"/>
          <w:sz w:val="22"/>
        </w:rPr>
        <w:t> </w:t>
      </w:r>
      <w:r>
        <w:rPr>
          <w:sz w:val="22"/>
        </w:rPr>
        <w:t>considerations.</w:t>
      </w:r>
      <w:r>
        <w:rPr>
          <w:spacing w:val="-7"/>
          <w:sz w:val="22"/>
        </w:rPr>
        <w:t> </w:t>
      </w:r>
      <w:r>
        <w:rPr>
          <w:sz w:val="22"/>
        </w:rPr>
        <w:t>Thus, the</w:t>
      </w:r>
      <w:r>
        <w:rPr>
          <w:spacing w:val="-1"/>
          <w:sz w:val="22"/>
        </w:rPr>
        <w:t> </w:t>
      </w:r>
      <w:r>
        <w:rPr>
          <w:sz w:val="22"/>
        </w:rPr>
        <w:t>State</w:t>
      </w:r>
      <w:r>
        <w:rPr>
          <w:spacing w:val="-1"/>
          <w:sz w:val="22"/>
        </w:rPr>
        <w:t> </w:t>
      </w:r>
      <w:r>
        <w:rPr>
          <w:sz w:val="22"/>
        </w:rPr>
        <w:t>anticipates</w:t>
      </w:r>
      <w:r>
        <w:rPr>
          <w:spacing w:val="-1"/>
          <w:sz w:val="22"/>
        </w:rPr>
        <w:t> </w:t>
      </w:r>
      <w:r>
        <w:rPr>
          <w:sz w:val="22"/>
        </w:rPr>
        <w:t>that</w:t>
      </w:r>
      <w:r>
        <w:rPr>
          <w:spacing w:val="-3"/>
          <w:sz w:val="22"/>
        </w:rPr>
        <w:t> </w:t>
      </w:r>
      <w:r>
        <w:rPr>
          <w:sz w:val="22"/>
        </w:rPr>
        <w:t>it</w:t>
      </w:r>
      <w:r>
        <w:rPr>
          <w:spacing w:val="-3"/>
          <w:sz w:val="22"/>
        </w:rPr>
        <w:t> </w:t>
      </w:r>
      <w:r>
        <w:rPr>
          <w:sz w:val="22"/>
        </w:rPr>
        <w:t>will provide</w:t>
      </w:r>
      <w:r>
        <w:rPr>
          <w:spacing w:val="-1"/>
          <w:sz w:val="22"/>
        </w:rPr>
        <w:t> </w:t>
      </w:r>
      <w:r>
        <w:rPr>
          <w:sz w:val="22"/>
        </w:rPr>
        <w:t>its</w:t>
      </w:r>
      <w:r>
        <w:rPr>
          <w:spacing w:val="-1"/>
          <w:sz w:val="22"/>
        </w:rPr>
        <w:t> </w:t>
      </w:r>
      <w:r>
        <w:rPr>
          <w:sz w:val="22"/>
        </w:rPr>
        <w:t>DSRIP</w:t>
      </w:r>
      <w:r>
        <w:rPr>
          <w:spacing w:val="-2"/>
          <w:sz w:val="22"/>
        </w:rPr>
        <w:t> </w:t>
      </w:r>
      <w:r>
        <w:rPr>
          <w:sz w:val="22"/>
        </w:rPr>
        <w:t>Accountability</w:t>
      </w:r>
      <w:r>
        <w:rPr>
          <w:spacing w:val="-4"/>
          <w:sz w:val="22"/>
        </w:rPr>
        <w:t> </w:t>
      </w:r>
      <w:r>
        <w:rPr>
          <w:sz w:val="22"/>
        </w:rPr>
        <w:t>Score</w:t>
      </w:r>
      <w:r>
        <w:rPr>
          <w:spacing w:val="-1"/>
          <w:sz w:val="22"/>
        </w:rPr>
        <w:t> </w:t>
      </w:r>
      <w:r>
        <w:rPr>
          <w:sz w:val="22"/>
        </w:rPr>
        <w:t>and</w:t>
      </w:r>
      <w:r>
        <w:rPr>
          <w:spacing w:val="-1"/>
          <w:sz w:val="22"/>
        </w:rPr>
        <w:t> </w:t>
      </w:r>
      <w:r>
        <w:rPr>
          <w:sz w:val="22"/>
        </w:rPr>
        <w:t>supporting</w:t>
      </w:r>
      <w:r>
        <w:rPr>
          <w:spacing w:val="-4"/>
          <w:sz w:val="22"/>
        </w:rPr>
        <w:t> </w:t>
      </w:r>
      <w:r>
        <w:rPr>
          <w:sz w:val="22"/>
        </w:rPr>
        <w:t>documentation</w:t>
      </w:r>
      <w:r>
        <w:rPr>
          <w:spacing w:val="-1"/>
          <w:sz w:val="22"/>
        </w:rPr>
        <w:t> </w:t>
      </w:r>
      <w:r>
        <w:rPr>
          <w:sz w:val="22"/>
        </w:rPr>
        <w:t>for a given Budget Period 7-8 quarters after the Budget Period ends. If the State DSRIP Accountability</w:t>
      </w:r>
      <w:r>
        <w:rPr>
          <w:spacing w:val="-1"/>
          <w:sz w:val="22"/>
        </w:rPr>
        <w:t> </w:t>
      </w:r>
      <w:r>
        <w:rPr>
          <w:sz w:val="22"/>
        </w:rPr>
        <w:t>Score is not 100%, pursuant to STC 71(d), the State may submit to CMS a proposed Corrective Action Plan at the same time as it submits its State DSRIP Accountability Score and supporting documentation.</w:t>
      </w:r>
    </w:p>
    <w:p>
      <w:pPr>
        <w:spacing w:before="200"/>
        <w:ind w:left="1219" w:right="0" w:firstLine="0"/>
        <w:jc w:val="both"/>
        <w:rPr>
          <w:sz w:val="22"/>
        </w:rPr>
      </w:pPr>
      <w:bookmarkStart w:name="Corrective Action Plan" w:id="1368"/>
      <w:bookmarkEnd w:id="1368"/>
      <w:r>
        <w:rPr/>
      </w:r>
      <w:r>
        <w:rPr>
          <w:color w:val="1F3762"/>
          <w:sz w:val="22"/>
        </w:rPr>
        <w:t>Corrective</w:t>
      </w:r>
      <w:r>
        <w:rPr>
          <w:color w:val="1F3762"/>
          <w:spacing w:val="-7"/>
          <w:sz w:val="22"/>
        </w:rPr>
        <w:t> </w:t>
      </w:r>
      <w:r>
        <w:rPr>
          <w:color w:val="1F3762"/>
          <w:sz w:val="22"/>
        </w:rPr>
        <w:t>Action</w:t>
      </w:r>
      <w:r>
        <w:rPr>
          <w:color w:val="1F3762"/>
          <w:spacing w:val="-5"/>
          <w:sz w:val="22"/>
        </w:rPr>
        <w:t> </w:t>
      </w:r>
      <w:r>
        <w:rPr>
          <w:color w:val="1F3762"/>
          <w:spacing w:val="-4"/>
          <w:sz w:val="22"/>
        </w:rPr>
        <w:t>Plan</w:t>
      </w:r>
    </w:p>
    <w:p>
      <w:pPr>
        <w:spacing w:line="259" w:lineRule="auto" w:before="2"/>
        <w:ind w:left="1219" w:right="1092" w:firstLine="0"/>
        <w:jc w:val="both"/>
        <w:rPr>
          <w:sz w:val="22"/>
        </w:rPr>
      </w:pPr>
      <w:r>
        <w:rPr>
          <w:sz w:val="22"/>
        </w:rPr>
        <w:t>The Corrective Action Plan will include steps the State may take to regain any reduction to its DSRIP expenditure authority; and potential modification of accountability targets. The State’s Corrective Action Plan</w:t>
      </w:r>
      <w:r>
        <w:rPr>
          <w:spacing w:val="-4"/>
          <w:sz w:val="22"/>
        </w:rPr>
        <w:t> </w:t>
      </w:r>
      <w:r>
        <w:rPr>
          <w:sz w:val="22"/>
        </w:rPr>
        <w:t>will</w:t>
      </w:r>
      <w:r>
        <w:rPr>
          <w:spacing w:val="-3"/>
          <w:sz w:val="22"/>
        </w:rPr>
        <w:t> </w:t>
      </w:r>
      <w:r>
        <w:rPr>
          <w:sz w:val="22"/>
        </w:rPr>
        <w:t>be</w:t>
      </w:r>
      <w:r>
        <w:rPr>
          <w:spacing w:val="-3"/>
          <w:sz w:val="22"/>
        </w:rPr>
        <w:t> </w:t>
      </w:r>
      <w:r>
        <w:rPr>
          <w:sz w:val="22"/>
        </w:rPr>
        <w:t>subject</w:t>
      </w:r>
      <w:r>
        <w:rPr>
          <w:spacing w:val="-3"/>
          <w:sz w:val="22"/>
        </w:rPr>
        <w:t> </w:t>
      </w:r>
      <w:r>
        <w:rPr>
          <w:sz w:val="22"/>
        </w:rPr>
        <w:t>to</w:t>
      </w:r>
      <w:r>
        <w:rPr>
          <w:spacing w:val="-4"/>
          <w:sz w:val="22"/>
        </w:rPr>
        <w:t> </w:t>
      </w:r>
      <w:r>
        <w:rPr>
          <w:sz w:val="22"/>
        </w:rPr>
        <w:t>CMS</w:t>
      </w:r>
      <w:r>
        <w:rPr>
          <w:spacing w:val="-4"/>
          <w:sz w:val="22"/>
        </w:rPr>
        <w:t> </w:t>
      </w:r>
      <w:r>
        <w:rPr>
          <w:sz w:val="22"/>
        </w:rPr>
        <w:t>approval.</w:t>
      </w:r>
      <w:r>
        <w:rPr>
          <w:spacing w:val="-4"/>
          <w:sz w:val="22"/>
        </w:rPr>
        <w:t> </w:t>
      </w:r>
      <w:r>
        <w:rPr>
          <w:sz w:val="22"/>
        </w:rPr>
        <w:t>CMS</w:t>
      </w:r>
      <w:r>
        <w:rPr>
          <w:spacing w:val="-4"/>
          <w:sz w:val="22"/>
        </w:rPr>
        <w:t> </w:t>
      </w:r>
      <w:r>
        <w:rPr>
          <w:sz w:val="22"/>
        </w:rPr>
        <w:t>will</w:t>
      </w:r>
      <w:r>
        <w:rPr>
          <w:spacing w:val="-3"/>
          <w:sz w:val="22"/>
        </w:rPr>
        <w:t> </w:t>
      </w:r>
      <w:r>
        <w:rPr>
          <w:sz w:val="22"/>
        </w:rPr>
        <w:t>render</w:t>
      </w:r>
      <w:r>
        <w:rPr>
          <w:spacing w:val="-3"/>
          <w:sz w:val="22"/>
        </w:rPr>
        <w:t> </w:t>
      </w:r>
      <w:r>
        <w:rPr>
          <w:sz w:val="22"/>
        </w:rPr>
        <w:t>a</w:t>
      </w:r>
      <w:r>
        <w:rPr>
          <w:spacing w:val="-3"/>
          <w:sz w:val="22"/>
        </w:rPr>
        <w:t> </w:t>
      </w:r>
      <w:r>
        <w:rPr>
          <w:sz w:val="22"/>
        </w:rPr>
        <w:t>decision</w:t>
      </w:r>
      <w:r>
        <w:rPr>
          <w:spacing w:val="-4"/>
          <w:sz w:val="22"/>
        </w:rPr>
        <w:t> </w:t>
      </w:r>
      <w:r>
        <w:rPr>
          <w:sz w:val="22"/>
        </w:rPr>
        <w:t>on</w:t>
      </w:r>
      <w:r>
        <w:rPr>
          <w:spacing w:val="-4"/>
          <w:sz w:val="22"/>
        </w:rPr>
        <w:t> </w:t>
      </w:r>
      <w:r>
        <w:rPr>
          <w:sz w:val="22"/>
        </w:rPr>
        <w:t>approval</w:t>
      </w:r>
      <w:r>
        <w:rPr>
          <w:spacing w:val="-3"/>
          <w:sz w:val="22"/>
        </w:rPr>
        <w:t> </w:t>
      </w:r>
      <w:r>
        <w:rPr>
          <w:sz w:val="22"/>
        </w:rPr>
        <w:t>or</w:t>
      </w:r>
      <w:r>
        <w:rPr>
          <w:spacing w:val="-5"/>
          <w:sz w:val="22"/>
        </w:rPr>
        <w:t> </w:t>
      </w:r>
      <w:r>
        <w:rPr>
          <w:sz w:val="22"/>
        </w:rPr>
        <w:t>disapproval</w:t>
      </w:r>
      <w:r>
        <w:rPr>
          <w:spacing w:val="-3"/>
          <w:sz w:val="22"/>
        </w:rPr>
        <w:t> </w:t>
      </w:r>
      <w:r>
        <w:rPr>
          <w:sz w:val="22"/>
        </w:rPr>
        <w:t>of</w:t>
      </w:r>
      <w:r>
        <w:rPr>
          <w:spacing w:val="-3"/>
          <w:sz w:val="22"/>
        </w:rPr>
        <w:t> </w:t>
      </w:r>
      <w:r>
        <w:rPr>
          <w:sz w:val="22"/>
        </w:rPr>
        <w:t>requested Corrective Action Plan within 60 business days of receipt of Plan</w:t>
      </w:r>
      <w:r>
        <w:rPr>
          <w:spacing w:val="-2"/>
          <w:sz w:val="22"/>
        </w:rPr>
        <w:t> </w:t>
      </w:r>
      <w:r>
        <w:rPr>
          <w:sz w:val="22"/>
        </w:rPr>
        <w:t>and prior to determining the amount of reduction</w:t>
      </w:r>
      <w:r>
        <w:rPr>
          <w:spacing w:val="-9"/>
          <w:sz w:val="22"/>
        </w:rPr>
        <w:t> </w:t>
      </w:r>
      <w:r>
        <w:rPr>
          <w:sz w:val="22"/>
        </w:rPr>
        <w:t>to</w:t>
      </w:r>
      <w:r>
        <w:rPr>
          <w:spacing w:val="-9"/>
          <w:sz w:val="22"/>
        </w:rPr>
        <w:t> </w:t>
      </w:r>
      <w:r>
        <w:rPr>
          <w:sz w:val="22"/>
        </w:rPr>
        <w:t>the</w:t>
      </w:r>
      <w:r>
        <w:rPr>
          <w:spacing w:val="-8"/>
          <w:sz w:val="22"/>
        </w:rPr>
        <w:t> </w:t>
      </w:r>
      <w:r>
        <w:rPr>
          <w:sz w:val="22"/>
        </w:rPr>
        <w:t>State’s</w:t>
      </w:r>
      <w:r>
        <w:rPr>
          <w:spacing w:val="-8"/>
          <w:sz w:val="22"/>
        </w:rPr>
        <w:t> </w:t>
      </w:r>
      <w:r>
        <w:rPr>
          <w:sz w:val="22"/>
        </w:rPr>
        <w:t>DSRIP</w:t>
      </w:r>
      <w:r>
        <w:rPr>
          <w:spacing w:val="-9"/>
          <w:sz w:val="22"/>
        </w:rPr>
        <w:t> </w:t>
      </w:r>
      <w:r>
        <w:rPr>
          <w:sz w:val="22"/>
        </w:rPr>
        <w:t>expenditure</w:t>
      </w:r>
      <w:r>
        <w:rPr>
          <w:spacing w:val="-8"/>
          <w:sz w:val="22"/>
        </w:rPr>
        <w:t> </w:t>
      </w:r>
      <w:r>
        <w:rPr>
          <w:sz w:val="22"/>
        </w:rPr>
        <w:t>authority.</w:t>
      </w:r>
      <w:r>
        <w:rPr>
          <w:spacing w:val="-6"/>
          <w:sz w:val="22"/>
        </w:rPr>
        <w:t> </w:t>
      </w:r>
      <w:r>
        <w:rPr>
          <w:sz w:val="22"/>
        </w:rPr>
        <w:t>If</w:t>
      </w:r>
      <w:r>
        <w:rPr>
          <w:spacing w:val="-8"/>
          <w:sz w:val="22"/>
        </w:rPr>
        <w:t> </w:t>
      </w:r>
      <w:r>
        <w:rPr>
          <w:sz w:val="22"/>
        </w:rPr>
        <w:t>CMS</w:t>
      </w:r>
      <w:r>
        <w:rPr>
          <w:spacing w:val="-9"/>
          <w:sz w:val="22"/>
        </w:rPr>
        <w:t> </w:t>
      </w:r>
      <w:r>
        <w:rPr>
          <w:sz w:val="22"/>
        </w:rPr>
        <w:t>does</w:t>
      </w:r>
      <w:r>
        <w:rPr>
          <w:spacing w:val="-8"/>
          <w:sz w:val="22"/>
        </w:rPr>
        <w:t> </w:t>
      </w:r>
      <w:r>
        <w:rPr>
          <w:sz w:val="22"/>
        </w:rPr>
        <w:t>not</w:t>
      </w:r>
      <w:r>
        <w:rPr>
          <w:spacing w:val="-8"/>
          <w:sz w:val="22"/>
        </w:rPr>
        <w:t> </w:t>
      </w:r>
      <w:r>
        <w:rPr>
          <w:sz w:val="22"/>
        </w:rPr>
        <w:t>approve</w:t>
      </w:r>
      <w:r>
        <w:rPr>
          <w:spacing w:val="-8"/>
          <w:sz w:val="22"/>
        </w:rPr>
        <w:t> </w:t>
      </w:r>
      <w:r>
        <w:rPr>
          <w:sz w:val="22"/>
        </w:rPr>
        <w:t>the</w:t>
      </w:r>
      <w:r>
        <w:rPr>
          <w:spacing w:val="-11"/>
          <w:sz w:val="22"/>
        </w:rPr>
        <w:t> </w:t>
      </w:r>
      <w:r>
        <w:rPr>
          <w:sz w:val="22"/>
        </w:rPr>
        <w:t>Corrective</w:t>
      </w:r>
      <w:r>
        <w:rPr>
          <w:spacing w:val="-8"/>
          <w:sz w:val="22"/>
        </w:rPr>
        <w:t> </w:t>
      </w:r>
      <w:r>
        <w:rPr>
          <w:sz w:val="22"/>
        </w:rPr>
        <w:t>Action</w:t>
      </w:r>
      <w:r>
        <w:rPr>
          <w:spacing w:val="-9"/>
          <w:sz w:val="22"/>
        </w:rPr>
        <w:t> </w:t>
      </w:r>
      <w:r>
        <w:rPr>
          <w:sz w:val="22"/>
        </w:rPr>
        <w:t>Plan, then the State’s DSRIP expenditure authority will be reduced in accordance with the State DSRIP Accountability Score. If CMS approves the Corrective Action Plan, the State’s DSRIP expenditure authority for the relevant Budget Period will be held intact and not reduced, contingent on the State successfully implementing the approved Corrective Action Plan. If the State fails to implement the Corrective Action Plan, then CMS will retrospectively reduce the State’s DSRIP expenditure authority in accordance with the State’s</w:t>
      </w:r>
      <w:r>
        <w:rPr>
          <w:spacing w:val="-2"/>
          <w:sz w:val="22"/>
        </w:rPr>
        <w:t> </w:t>
      </w:r>
      <w:r>
        <w:rPr>
          <w:sz w:val="22"/>
        </w:rPr>
        <w:t>DSRIP Accountability</w:t>
      </w:r>
      <w:r>
        <w:rPr>
          <w:spacing w:val="-2"/>
          <w:sz w:val="22"/>
        </w:rPr>
        <w:t> </w:t>
      </w:r>
      <w:r>
        <w:rPr>
          <w:sz w:val="22"/>
        </w:rPr>
        <w:t>Score.</w:t>
      </w:r>
      <w:r>
        <w:rPr>
          <w:spacing w:val="40"/>
          <w:sz w:val="22"/>
        </w:rPr>
        <w:t> </w:t>
      </w:r>
      <w:r>
        <w:rPr>
          <w:sz w:val="22"/>
        </w:rPr>
        <w:t>If the State partially</w:t>
      </w:r>
      <w:r>
        <w:rPr>
          <w:spacing w:val="-2"/>
          <w:sz w:val="22"/>
        </w:rPr>
        <w:t> </w:t>
      </w:r>
      <w:r>
        <w:rPr>
          <w:sz w:val="22"/>
        </w:rPr>
        <w:t>implements the Corrective Action</w:t>
      </w:r>
      <w:r>
        <w:rPr>
          <w:spacing w:val="-4"/>
          <w:sz w:val="22"/>
        </w:rPr>
        <w:t> </w:t>
      </w:r>
      <w:r>
        <w:rPr>
          <w:sz w:val="22"/>
        </w:rPr>
        <w:t>Plan,</w:t>
      </w:r>
      <w:r>
        <w:rPr>
          <w:spacing w:val="-4"/>
          <w:sz w:val="22"/>
        </w:rPr>
        <w:t> </w:t>
      </w:r>
      <w:r>
        <w:rPr>
          <w:sz w:val="22"/>
        </w:rPr>
        <w:t>then</w:t>
      </w:r>
      <w:r>
        <w:rPr>
          <w:spacing w:val="-4"/>
          <w:sz w:val="22"/>
        </w:rPr>
        <w:t> </w:t>
      </w:r>
      <w:r>
        <w:rPr>
          <w:sz w:val="22"/>
        </w:rPr>
        <w:t>CMS</w:t>
      </w:r>
      <w:r>
        <w:rPr>
          <w:spacing w:val="-2"/>
          <w:sz w:val="22"/>
        </w:rPr>
        <w:t> </w:t>
      </w:r>
      <w:r>
        <w:rPr>
          <w:sz w:val="22"/>
        </w:rPr>
        <w:t>has</w:t>
      </w:r>
      <w:r>
        <w:rPr>
          <w:spacing w:val="-3"/>
          <w:sz w:val="22"/>
        </w:rPr>
        <w:t> </w:t>
      </w:r>
      <w:r>
        <w:rPr>
          <w:sz w:val="22"/>
        </w:rPr>
        <w:t>the</w:t>
      </w:r>
      <w:r>
        <w:rPr>
          <w:spacing w:val="-1"/>
          <w:sz w:val="22"/>
        </w:rPr>
        <w:t> </w:t>
      </w:r>
      <w:r>
        <w:rPr>
          <w:sz w:val="22"/>
        </w:rPr>
        <w:t>discretion</w:t>
      </w:r>
      <w:r>
        <w:rPr>
          <w:spacing w:val="-4"/>
          <w:sz w:val="22"/>
        </w:rPr>
        <w:t> </w:t>
      </w:r>
      <w:r>
        <w:rPr>
          <w:sz w:val="22"/>
        </w:rPr>
        <w:t>to</w:t>
      </w:r>
      <w:r>
        <w:rPr>
          <w:spacing w:val="-1"/>
          <w:sz w:val="22"/>
        </w:rPr>
        <w:t> </w:t>
      </w:r>
      <w:r>
        <w:rPr>
          <w:sz w:val="22"/>
        </w:rPr>
        <w:t>require</w:t>
      </w:r>
      <w:r>
        <w:rPr>
          <w:spacing w:val="-3"/>
          <w:sz w:val="22"/>
        </w:rPr>
        <w:t> </w:t>
      </w:r>
      <w:r>
        <w:rPr>
          <w:sz w:val="22"/>
        </w:rPr>
        <w:t>a</w:t>
      </w:r>
      <w:r>
        <w:rPr>
          <w:spacing w:val="-1"/>
          <w:sz w:val="22"/>
        </w:rPr>
        <w:t> </w:t>
      </w:r>
      <w:r>
        <w:rPr>
          <w:sz w:val="22"/>
        </w:rPr>
        <w:t>smaller</w:t>
      </w:r>
      <w:r>
        <w:rPr>
          <w:spacing w:val="-3"/>
          <w:sz w:val="22"/>
        </w:rPr>
        <w:t> </w:t>
      </w:r>
      <w:r>
        <w:rPr>
          <w:sz w:val="22"/>
        </w:rPr>
        <w:t>retrospective</w:t>
      </w:r>
      <w:r>
        <w:rPr>
          <w:spacing w:val="-1"/>
          <w:sz w:val="22"/>
        </w:rPr>
        <w:t> </w:t>
      </w:r>
      <w:r>
        <w:rPr>
          <w:sz w:val="22"/>
        </w:rPr>
        <w:t>reduction</w:t>
      </w:r>
      <w:r>
        <w:rPr>
          <w:spacing w:val="-1"/>
          <w:sz w:val="22"/>
        </w:rPr>
        <w:t> </w:t>
      </w:r>
      <w:r>
        <w:rPr>
          <w:sz w:val="22"/>
        </w:rPr>
        <w:t>in</w:t>
      </w:r>
      <w:r>
        <w:rPr>
          <w:spacing w:val="-4"/>
          <w:sz w:val="22"/>
        </w:rPr>
        <w:t> </w:t>
      </w:r>
      <w:r>
        <w:rPr>
          <w:sz w:val="22"/>
        </w:rPr>
        <w:t>the</w:t>
      </w:r>
      <w:r>
        <w:rPr>
          <w:spacing w:val="-1"/>
          <w:sz w:val="22"/>
        </w:rPr>
        <w:t> </w:t>
      </w:r>
      <w:r>
        <w:rPr>
          <w:sz w:val="22"/>
        </w:rPr>
        <w:t>State’s</w:t>
      </w:r>
      <w:r>
        <w:rPr>
          <w:spacing w:val="-3"/>
          <w:sz w:val="22"/>
        </w:rPr>
        <w:t> </w:t>
      </w:r>
      <w:r>
        <w:rPr>
          <w:sz w:val="22"/>
        </w:rPr>
        <w:t>DSRIP expenditure authority. If the State chooses not to submit a Corrective Action Plan for a certain Budget Period,</w:t>
      </w:r>
      <w:r>
        <w:rPr>
          <w:spacing w:val="-2"/>
          <w:sz w:val="22"/>
        </w:rPr>
        <w:t> </w:t>
      </w:r>
      <w:r>
        <w:rPr>
          <w:sz w:val="22"/>
        </w:rPr>
        <w:t>then</w:t>
      </w:r>
      <w:r>
        <w:rPr>
          <w:spacing w:val="-5"/>
          <w:sz w:val="22"/>
        </w:rPr>
        <w:t> </w:t>
      </w:r>
      <w:r>
        <w:rPr>
          <w:sz w:val="22"/>
        </w:rPr>
        <w:t>the</w:t>
      </w:r>
      <w:r>
        <w:rPr>
          <w:spacing w:val="-2"/>
          <w:sz w:val="22"/>
        </w:rPr>
        <w:t> </w:t>
      </w:r>
      <w:r>
        <w:rPr>
          <w:sz w:val="22"/>
        </w:rPr>
        <w:t>State’s</w:t>
      </w:r>
      <w:r>
        <w:rPr>
          <w:spacing w:val="-2"/>
          <w:sz w:val="22"/>
        </w:rPr>
        <w:t> </w:t>
      </w:r>
      <w:r>
        <w:rPr>
          <w:sz w:val="22"/>
        </w:rPr>
        <w:t>DSRIP</w:t>
      </w:r>
      <w:r>
        <w:rPr>
          <w:spacing w:val="-3"/>
          <w:sz w:val="22"/>
        </w:rPr>
        <w:t> </w:t>
      </w:r>
      <w:r>
        <w:rPr>
          <w:sz w:val="22"/>
        </w:rPr>
        <w:t>expenditure</w:t>
      </w:r>
      <w:r>
        <w:rPr>
          <w:spacing w:val="-2"/>
          <w:sz w:val="22"/>
        </w:rPr>
        <w:t> </w:t>
      </w:r>
      <w:r>
        <w:rPr>
          <w:sz w:val="22"/>
        </w:rPr>
        <w:t>authority</w:t>
      </w:r>
      <w:r>
        <w:rPr>
          <w:spacing w:val="-5"/>
          <w:sz w:val="22"/>
        </w:rPr>
        <w:t> </w:t>
      </w:r>
      <w:r>
        <w:rPr>
          <w:sz w:val="22"/>
        </w:rPr>
        <w:t>for</w:t>
      </w:r>
      <w:r>
        <w:rPr>
          <w:spacing w:val="-1"/>
          <w:sz w:val="22"/>
        </w:rPr>
        <w:t> </w:t>
      </w:r>
      <w:r>
        <w:rPr>
          <w:sz w:val="22"/>
        </w:rPr>
        <w:t>that</w:t>
      </w:r>
      <w:r>
        <w:rPr>
          <w:spacing w:val="-1"/>
          <w:sz w:val="22"/>
        </w:rPr>
        <w:t> </w:t>
      </w:r>
      <w:r>
        <w:rPr>
          <w:sz w:val="22"/>
        </w:rPr>
        <w:t>Budget</w:t>
      </w:r>
      <w:r>
        <w:rPr>
          <w:spacing w:val="-4"/>
          <w:sz w:val="22"/>
        </w:rPr>
        <w:t> </w:t>
      </w:r>
      <w:r>
        <w:rPr>
          <w:sz w:val="22"/>
        </w:rPr>
        <w:t>Period</w:t>
      </w:r>
      <w:r>
        <w:rPr>
          <w:spacing w:val="-2"/>
          <w:sz w:val="22"/>
        </w:rPr>
        <w:t> </w:t>
      </w:r>
      <w:r>
        <w:rPr>
          <w:sz w:val="22"/>
        </w:rPr>
        <w:t>will</w:t>
      </w:r>
      <w:r>
        <w:rPr>
          <w:spacing w:val="-1"/>
          <w:sz w:val="22"/>
        </w:rPr>
        <w:t> </w:t>
      </w:r>
      <w:r>
        <w:rPr>
          <w:sz w:val="22"/>
        </w:rPr>
        <w:t>be</w:t>
      </w:r>
      <w:r>
        <w:rPr>
          <w:spacing w:val="-2"/>
          <w:sz w:val="22"/>
        </w:rPr>
        <w:t> </w:t>
      </w:r>
      <w:r>
        <w:rPr>
          <w:sz w:val="22"/>
        </w:rPr>
        <w:t>reduced</w:t>
      </w:r>
      <w:r>
        <w:rPr>
          <w:spacing w:val="-5"/>
          <w:sz w:val="22"/>
        </w:rPr>
        <w:t> </w:t>
      </w:r>
      <w:r>
        <w:rPr>
          <w:sz w:val="22"/>
        </w:rPr>
        <w:t>in</w:t>
      </w:r>
      <w:r>
        <w:rPr>
          <w:spacing w:val="-2"/>
          <w:sz w:val="22"/>
        </w:rPr>
        <w:t> </w:t>
      </w:r>
      <w:r>
        <w:rPr>
          <w:sz w:val="22"/>
        </w:rPr>
        <w:t>accordance with the State DSRIP Accountability Score.</w:t>
      </w:r>
    </w:p>
    <w:p>
      <w:pPr>
        <w:pStyle w:val="ListParagraph"/>
        <w:numPr>
          <w:ilvl w:val="3"/>
          <w:numId w:val="77"/>
        </w:numPr>
        <w:tabs>
          <w:tab w:pos="1938" w:val="left" w:leader="none"/>
        </w:tabs>
        <w:spacing w:line="252" w:lineRule="exact" w:before="194" w:after="0"/>
        <w:ind w:left="1938" w:right="0" w:hanging="719"/>
        <w:jc w:val="both"/>
        <w:rPr>
          <w:b/>
          <w:i/>
          <w:color w:val="4471C4"/>
          <w:sz w:val="22"/>
        </w:rPr>
      </w:pPr>
      <w:bookmarkStart w:name="5.2.1.1 State Accountability Domain 1: C" w:id="1369"/>
      <w:bookmarkEnd w:id="1369"/>
      <w:r>
        <w:rPr/>
      </w:r>
      <w:r>
        <w:rPr>
          <w:b/>
          <w:i/>
          <w:color w:val="4471C4"/>
          <w:sz w:val="22"/>
        </w:rPr>
        <w:t>State</w:t>
      </w:r>
      <w:r>
        <w:rPr>
          <w:b/>
          <w:i/>
          <w:color w:val="4471C4"/>
          <w:spacing w:val="-5"/>
          <w:sz w:val="22"/>
        </w:rPr>
        <w:t> </w:t>
      </w:r>
      <w:r>
        <w:rPr>
          <w:b/>
          <w:i/>
          <w:color w:val="4471C4"/>
          <w:sz w:val="22"/>
        </w:rPr>
        <w:t>Accountability</w:t>
      </w:r>
      <w:r>
        <w:rPr>
          <w:b/>
          <w:i/>
          <w:color w:val="4471C4"/>
          <w:spacing w:val="-4"/>
          <w:sz w:val="22"/>
        </w:rPr>
        <w:t> </w:t>
      </w:r>
      <w:r>
        <w:rPr>
          <w:b/>
          <w:i/>
          <w:color w:val="4471C4"/>
          <w:sz w:val="22"/>
        </w:rPr>
        <w:t>Domain</w:t>
      </w:r>
      <w:r>
        <w:rPr>
          <w:b/>
          <w:i/>
          <w:color w:val="4471C4"/>
          <w:spacing w:val="-5"/>
          <w:sz w:val="22"/>
        </w:rPr>
        <w:t> </w:t>
      </w:r>
      <w:r>
        <w:rPr>
          <w:b/>
          <w:i/>
          <w:color w:val="4471C4"/>
          <w:sz w:val="22"/>
        </w:rPr>
        <w:t>1:</w:t>
      </w:r>
      <w:r>
        <w:rPr>
          <w:b/>
          <w:i/>
          <w:color w:val="4471C4"/>
          <w:spacing w:val="-3"/>
          <w:sz w:val="22"/>
        </w:rPr>
        <w:t> </w:t>
      </w:r>
      <w:r>
        <w:rPr>
          <w:b/>
          <w:i/>
          <w:color w:val="4471C4"/>
          <w:sz w:val="22"/>
        </w:rPr>
        <w:t>Calculating</w:t>
      </w:r>
      <w:r>
        <w:rPr>
          <w:b/>
          <w:i/>
          <w:color w:val="4471C4"/>
          <w:spacing w:val="-7"/>
          <w:sz w:val="22"/>
        </w:rPr>
        <w:t> </w:t>
      </w:r>
      <w:r>
        <w:rPr>
          <w:b/>
          <w:i/>
          <w:color w:val="4471C4"/>
          <w:sz w:val="22"/>
        </w:rPr>
        <w:t>the</w:t>
      </w:r>
      <w:r>
        <w:rPr>
          <w:b/>
          <w:i/>
          <w:color w:val="4471C4"/>
          <w:spacing w:val="-6"/>
          <w:sz w:val="22"/>
        </w:rPr>
        <w:t> </w:t>
      </w:r>
      <w:r>
        <w:rPr>
          <w:b/>
          <w:i/>
          <w:color w:val="4471C4"/>
          <w:sz w:val="22"/>
        </w:rPr>
        <w:t>MassHealth</w:t>
      </w:r>
      <w:r>
        <w:rPr>
          <w:b/>
          <w:i/>
          <w:color w:val="4471C4"/>
          <w:spacing w:val="-5"/>
          <w:sz w:val="22"/>
        </w:rPr>
        <w:t> </w:t>
      </w:r>
      <w:r>
        <w:rPr>
          <w:b/>
          <w:i/>
          <w:color w:val="4471C4"/>
          <w:sz w:val="22"/>
        </w:rPr>
        <w:t>ACO/APM</w:t>
      </w:r>
      <w:r>
        <w:rPr>
          <w:b/>
          <w:i/>
          <w:color w:val="4471C4"/>
          <w:spacing w:val="-4"/>
          <w:sz w:val="22"/>
        </w:rPr>
        <w:t> </w:t>
      </w:r>
      <w:r>
        <w:rPr>
          <w:b/>
          <w:i/>
          <w:color w:val="4471C4"/>
          <w:sz w:val="22"/>
        </w:rPr>
        <w:t>Adoption</w:t>
      </w:r>
      <w:r>
        <w:rPr>
          <w:b/>
          <w:i/>
          <w:color w:val="4471C4"/>
          <w:spacing w:val="-5"/>
          <w:sz w:val="22"/>
        </w:rPr>
        <w:t> </w:t>
      </w:r>
      <w:r>
        <w:rPr>
          <w:b/>
          <w:i/>
          <w:color w:val="4471C4"/>
          <w:spacing w:val="-4"/>
          <w:sz w:val="22"/>
        </w:rPr>
        <w:t>Rate</w:t>
      </w:r>
    </w:p>
    <w:p>
      <w:pPr>
        <w:spacing w:line="240" w:lineRule="auto" w:before="0"/>
        <w:ind w:left="1219" w:right="1095" w:firstLine="0"/>
        <w:jc w:val="both"/>
        <w:rPr>
          <w:sz w:val="22"/>
        </w:rPr>
      </w:pPr>
      <w:r>
        <w:rPr>
          <w:sz w:val="22"/>
        </w:rPr>
        <w:t>Under the MassHealth ACO/APM Adoption Rate accountability domain, the State will have target percentages for the number of MassHealth ACO-eligible members who are enrolled in or attributed to ACOs or who receive service from</w:t>
      </w:r>
      <w:r>
        <w:rPr>
          <w:spacing w:val="-4"/>
          <w:sz w:val="22"/>
        </w:rPr>
        <w:t> </w:t>
      </w:r>
      <w:r>
        <w:rPr>
          <w:sz w:val="22"/>
        </w:rPr>
        <w:t>providers paid under APMs.</w:t>
      </w:r>
      <w:r>
        <w:rPr>
          <w:spacing w:val="-2"/>
          <w:sz w:val="22"/>
        </w:rPr>
        <w:t> </w:t>
      </w:r>
      <w:r>
        <w:rPr>
          <w:sz w:val="22"/>
        </w:rPr>
        <w:t>The State will calculate the percentage of ACO-eligible</w:t>
      </w:r>
      <w:r>
        <w:rPr>
          <w:spacing w:val="-14"/>
          <w:sz w:val="22"/>
        </w:rPr>
        <w:t> </w:t>
      </w:r>
      <w:r>
        <w:rPr>
          <w:sz w:val="22"/>
        </w:rPr>
        <w:t>members</w:t>
      </w:r>
      <w:r>
        <w:rPr>
          <w:spacing w:val="-12"/>
          <w:sz w:val="22"/>
        </w:rPr>
        <w:t> </w:t>
      </w:r>
      <w:r>
        <w:rPr>
          <w:sz w:val="22"/>
        </w:rPr>
        <w:t>enrolled</w:t>
      </w:r>
      <w:r>
        <w:rPr>
          <w:spacing w:val="-14"/>
          <w:sz w:val="22"/>
        </w:rPr>
        <w:t> </w:t>
      </w:r>
      <w:r>
        <w:rPr>
          <w:sz w:val="22"/>
        </w:rPr>
        <w:t>in</w:t>
      </w:r>
      <w:r>
        <w:rPr>
          <w:spacing w:val="-12"/>
          <w:sz w:val="22"/>
        </w:rPr>
        <w:t> </w:t>
      </w:r>
      <w:r>
        <w:rPr>
          <w:sz w:val="22"/>
        </w:rPr>
        <w:t>or</w:t>
      </w:r>
      <w:r>
        <w:rPr>
          <w:spacing w:val="-12"/>
          <w:sz w:val="22"/>
        </w:rPr>
        <w:t> </w:t>
      </w:r>
      <w:r>
        <w:rPr>
          <w:sz w:val="22"/>
        </w:rPr>
        <w:t>attributed</w:t>
      </w:r>
      <w:r>
        <w:rPr>
          <w:spacing w:val="-14"/>
          <w:sz w:val="22"/>
        </w:rPr>
        <w:t> </w:t>
      </w:r>
      <w:r>
        <w:rPr>
          <w:sz w:val="22"/>
        </w:rPr>
        <w:t>to</w:t>
      </w:r>
      <w:r>
        <w:rPr>
          <w:spacing w:val="-12"/>
          <w:sz w:val="22"/>
        </w:rPr>
        <w:t> </w:t>
      </w:r>
      <w:r>
        <w:rPr>
          <w:sz w:val="22"/>
        </w:rPr>
        <w:t>ACOs</w:t>
      </w:r>
      <w:r>
        <w:rPr>
          <w:spacing w:val="-12"/>
          <w:sz w:val="22"/>
        </w:rPr>
        <w:t> </w:t>
      </w:r>
      <w:r>
        <w:rPr>
          <w:sz w:val="22"/>
        </w:rPr>
        <w:t>or</w:t>
      </w:r>
      <w:r>
        <w:rPr>
          <w:spacing w:val="-12"/>
          <w:sz w:val="22"/>
        </w:rPr>
        <w:t> </w:t>
      </w:r>
      <w:r>
        <w:rPr>
          <w:sz w:val="22"/>
        </w:rPr>
        <w:t>who</w:t>
      </w:r>
      <w:r>
        <w:rPr>
          <w:spacing w:val="-13"/>
          <w:sz w:val="22"/>
        </w:rPr>
        <w:t> </w:t>
      </w:r>
      <w:r>
        <w:rPr>
          <w:sz w:val="22"/>
        </w:rPr>
        <w:t>receive</w:t>
      </w:r>
      <w:r>
        <w:rPr>
          <w:spacing w:val="-12"/>
          <w:sz w:val="22"/>
        </w:rPr>
        <w:t> </w:t>
      </w:r>
      <w:r>
        <w:rPr>
          <w:sz w:val="22"/>
        </w:rPr>
        <w:t>services</w:t>
      </w:r>
      <w:r>
        <w:rPr>
          <w:spacing w:val="-14"/>
          <w:sz w:val="22"/>
        </w:rPr>
        <w:t> </w:t>
      </w:r>
      <w:r>
        <w:rPr>
          <w:sz w:val="22"/>
        </w:rPr>
        <w:t>from</w:t>
      </w:r>
      <w:r>
        <w:rPr>
          <w:spacing w:val="-14"/>
          <w:sz w:val="22"/>
        </w:rPr>
        <w:t> </w:t>
      </w:r>
      <w:r>
        <w:rPr>
          <w:sz w:val="22"/>
        </w:rPr>
        <w:t>providers</w:t>
      </w:r>
      <w:r>
        <w:rPr>
          <w:spacing w:val="-14"/>
          <w:sz w:val="22"/>
        </w:rPr>
        <w:t> </w:t>
      </w:r>
      <w:r>
        <w:rPr>
          <w:sz w:val="22"/>
        </w:rPr>
        <w:t>paid</w:t>
      </w:r>
      <w:r>
        <w:rPr>
          <w:spacing w:val="-12"/>
          <w:sz w:val="22"/>
        </w:rPr>
        <w:t> </w:t>
      </w:r>
      <w:r>
        <w:rPr>
          <w:sz w:val="22"/>
        </w:rPr>
        <w:t>under APMs, as follows:</w:t>
      </w:r>
    </w:p>
    <w:p>
      <w:pPr>
        <w:pStyle w:val="ListParagraph"/>
        <w:numPr>
          <w:ilvl w:val="4"/>
          <w:numId w:val="77"/>
        </w:numPr>
        <w:tabs>
          <w:tab w:pos="1939" w:val="left" w:leader="none"/>
        </w:tabs>
        <w:spacing w:line="240" w:lineRule="auto" w:before="161" w:after="0"/>
        <w:ind w:left="1939" w:right="1097" w:hanging="361"/>
        <w:jc w:val="left"/>
        <w:rPr>
          <w:sz w:val="22"/>
        </w:rPr>
      </w:pPr>
      <w:r>
        <w:rPr>
          <w:sz w:val="22"/>
        </w:rPr>
        <w:t>ACO-eligible</w:t>
      </w:r>
      <w:r>
        <w:rPr>
          <w:spacing w:val="37"/>
          <w:sz w:val="22"/>
        </w:rPr>
        <w:t> </w:t>
      </w:r>
      <w:r>
        <w:rPr>
          <w:sz w:val="22"/>
        </w:rPr>
        <w:t>members</w:t>
      </w:r>
      <w:r>
        <w:rPr>
          <w:spacing w:val="37"/>
          <w:sz w:val="22"/>
        </w:rPr>
        <w:t> </w:t>
      </w:r>
      <w:r>
        <w:rPr>
          <w:sz w:val="22"/>
        </w:rPr>
        <w:t>shall</w:t>
      </w:r>
      <w:r>
        <w:rPr>
          <w:spacing w:val="37"/>
          <w:sz w:val="22"/>
        </w:rPr>
        <w:t> </w:t>
      </w:r>
      <w:r>
        <w:rPr>
          <w:sz w:val="22"/>
        </w:rPr>
        <w:t>be</w:t>
      </w:r>
      <w:r>
        <w:rPr>
          <w:spacing w:val="37"/>
          <w:sz w:val="22"/>
        </w:rPr>
        <w:t> </w:t>
      </w:r>
      <w:r>
        <w:rPr>
          <w:sz w:val="22"/>
        </w:rPr>
        <w:t>all</w:t>
      </w:r>
      <w:r>
        <w:rPr>
          <w:spacing w:val="37"/>
          <w:sz w:val="22"/>
        </w:rPr>
        <w:t> </w:t>
      </w:r>
      <w:r>
        <w:rPr>
          <w:sz w:val="22"/>
        </w:rPr>
        <w:t>members</w:t>
      </w:r>
      <w:r>
        <w:rPr>
          <w:spacing w:val="37"/>
          <w:sz w:val="22"/>
        </w:rPr>
        <w:t> </w:t>
      </w:r>
      <w:r>
        <w:rPr>
          <w:sz w:val="22"/>
        </w:rPr>
        <w:t>who</w:t>
      </w:r>
      <w:r>
        <w:rPr>
          <w:spacing w:val="36"/>
          <w:sz w:val="22"/>
        </w:rPr>
        <w:t> </w:t>
      </w:r>
      <w:r>
        <w:rPr>
          <w:sz w:val="22"/>
        </w:rPr>
        <w:t>are</w:t>
      </w:r>
      <w:r>
        <w:rPr>
          <w:spacing w:val="37"/>
          <w:sz w:val="22"/>
        </w:rPr>
        <w:t> </w:t>
      </w:r>
      <w:r>
        <w:rPr>
          <w:sz w:val="22"/>
        </w:rPr>
        <w:t>eligible</w:t>
      </w:r>
      <w:r>
        <w:rPr>
          <w:spacing w:val="34"/>
          <w:sz w:val="22"/>
        </w:rPr>
        <w:t> </w:t>
      </w:r>
      <w:r>
        <w:rPr>
          <w:sz w:val="22"/>
        </w:rPr>
        <w:t>to</w:t>
      </w:r>
      <w:r>
        <w:rPr>
          <w:spacing w:val="36"/>
          <w:sz w:val="22"/>
        </w:rPr>
        <w:t> </w:t>
      </w:r>
      <w:r>
        <w:rPr>
          <w:sz w:val="22"/>
        </w:rPr>
        <w:t>enroll</w:t>
      </w:r>
      <w:r>
        <w:rPr>
          <w:spacing w:val="35"/>
          <w:sz w:val="22"/>
        </w:rPr>
        <w:t> </w:t>
      </w:r>
      <w:r>
        <w:rPr>
          <w:sz w:val="22"/>
        </w:rPr>
        <w:t>in</w:t>
      </w:r>
      <w:r>
        <w:rPr>
          <w:spacing w:val="36"/>
          <w:sz w:val="22"/>
        </w:rPr>
        <w:t> </w:t>
      </w:r>
      <w:r>
        <w:rPr>
          <w:sz w:val="22"/>
        </w:rPr>
        <w:t>or</w:t>
      </w:r>
      <w:r>
        <w:rPr>
          <w:spacing w:val="35"/>
          <w:sz w:val="22"/>
        </w:rPr>
        <w:t> </w:t>
      </w:r>
      <w:r>
        <w:rPr>
          <w:sz w:val="22"/>
        </w:rPr>
        <w:t>be</w:t>
      </w:r>
      <w:r>
        <w:rPr>
          <w:spacing w:val="37"/>
          <w:sz w:val="22"/>
        </w:rPr>
        <w:t> </w:t>
      </w:r>
      <w:r>
        <w:rPr>
          <w:sz w:val="22"/>
        </w:rPr>
        <w:t>attributed</w:t>
      </w:r>
      <w:r>
        <w:rPr>
          <w:spacing w:val="36"/>
          <w:sz w:val="22"/>
        </w:rPr>
        <w:t> </w:t>
      </w:r>
      <w:r>
        <w:rPr>
          <w:sz w:val="22"/>
        </w:rPr>
        <w:t>to MassHealth ACOs</w:t>
      </w:r>
    </w:p>
    <w:p>
      <w:pPr>
        <w:pStyle w:val="ListParagraph"/>
        <w:numPr>
          <w:ilvl w:val="4"/>
          <w:numId w:val="77"/>
        </w:numPr>
        <w:tabs>
          <w:tab w:pos="1939" w:val="left" w:leader="none"/>
        </w:tabs>
        <w:spacing w:line="240" w:lineRule="auto" w:before="200" w:after="0"/>
        <w:ind w:left="1939" w:right="0" w:hanging="360"/>
        <w:jc w:val="left"/>
        <w:rPr>
          <w:sz w:val="22"/>
        </w:rPr>
      </w:pPr>
      <w:r>
        <w:rPr>
          <w:sz w:val="22"/>
        </w:rPr>
        <w:t>The</w:t>
      </w:r>
      <w:r>
        <w:rPr>
          <w:spacing w:val="-8"/>
          <w:sz w:val="22"/>
        </w:rPr>
        <w:t> </w:t>
      </w:r>
      <w:r>
        <w:rPr>
          <w:sz w:val="22"/>
        </w:rPr>
        <w:t>State</w:t>
      </w:r>
      <w:r>
        <w:rPr>
          <w:spacing w:val="-5"/>
          <w:sz w:val="22"/>
        </w:rPr>
        <w:t> </w:t>
      </w:r>
      <w:r>
        <w:rPr>
          <w:sz w:val="22"/>
        </w:rPr>
        <w:t>shall</w:t>
      </w:r>
      <w:r>
        <w:rPr>
          <w:spacing w:val="-5"/>
          <w:sz w:val="22"/>
        </w:rPr>
        <w:t> </w:t>
      </w:r>
      <w:r>
        <w:rPr>
          <w:sz w:val="22"/>
        </w:rPr>
        <w:t>count</w:t>
      </w:r>
      <w:r>
        <w:rPr>
          <w:spacing w:val="-3"/>
          <w:sz w:val="22"/>
        </w:rPr>
        <w:t> </w:t>
      </w:r>
      <w:r>
        <w:rPr>
          <w:sz w:val="22"/>
        </w:rPr>
        <w:t>towards</w:t>
      </w:r>
      <w:r>
        <w:rPr>
          <w:spacing w:val="-3"/>
          <w:sz w:val="22"/>
        </w:rPr>
        <w:t> </w:t>
      </w:r>
      <w:r>
        <w:rPr>
          <w:sz w:val="22"/>
        </w:rPr>
        <w:t>the</w:t>
      </w:r>
      <w:r>
        <w:rPr>
          <w:spacing w:val="-4"/>
          <w:sz w:val="22"/>
        </w:rPr>
        <w:t> </w:t>
      </w:r>
      <w:r>
        <w:rPr>
          <w:sz w:val="22"/>
        </w:rPr>
        <w:t>State’s</w:t>
      </w:r>
      <w:r>
        <w:rPr>
          <w:spacing w:val="-5"/>
          <w:sz w:val="22"/>
        </w:rPr>
        <w:t> </w:t>
      </w:r>
      <w:r>
        <w:rPr>
          <w:sz w:val="22"/>
        </w:rPr>
        <w:t>achievement</w:t>
      </w:r>
      <w:r>
        <w:rPr>
          <w:spacing w:val="-4"/>
          <w:sz w:val="22"/>
        </w:rPr>
        <w:t> </w:t>
      </w:r>
      <w:r>
        <w:rPr>
          <w:sz w:val="22"/>
        </w:rPr>
        <w:t>of</w:t>
      </w:r>
      <w:r>
        <w:rPr>
          <w:spacing w:val="-2"/>
          <w:sz w:val="22"/>
        </w:rPr>
        <w:t> </w:t>
      </w:r>
      <w:r>
        <w:rPr>
          <w:sz w:val="22"/>
        </w:rPr>
        <w:t>ACO/APM</w:t>
      </w:r>
      <w:r>
        <w:rPr>
          <w:spacing w:val="-3"/>
          <w:sz w:val="22"/>
        </w:rPr>
        <w:t> </w:t>
      </w:r>
      <w:r>
        <w:rPr>
          <w:sz w:val="22"/>
        </w:rPr>
        <w:t>adoption,</w:t>
      </w:r>
      <w:r>
        <w:rPr>
          <w:spacing w:val="-7"/>
          <w:sz w:val="22"/>
        </w:rPr>
        <w:t> </w:t>
      </w:r>
      <w:r>
        <w:rPr>
          <w:sz w:val="22"/>
        </w:rPr>
        <w:t>all</w:t>
      </w:r>
      <w:r>
        <w:rPr>
          <w:spacing w:val="-5"/>
          <w:sz w:val="22"/>
        </w:rPr>
        <w:t> </w:t>
      </w:r>
      <w:r>
        <w:rPr>
          <w:sz w:val="22"/>
        </w:rPr>
        <w:t>members</w:t>
      </w:r>
      <w:r>
        <w:rPr>
          <w:spacing w:val="-3"/>
          <w:sz w:val="22"/>
        </w:rPr>
        <w:t> </w:t>
      </w:r>
      <w:r>
        <w:rPr>
          <w:spacing w:val="-4"/>
          <w:sz w:val="22"/>
        </w:rPr>
        <w:t>who:</w:t>
      </w:r>
    </w:p>
    <w:p>
      <w:pPr>
        <w:pStyle w:val="ListParagraph"/>
        <w:numPr>
          <w:ilvl w:val="5"/>
          <w:numId w:val="77"/>
        </w:numPr>
        <w:tabs>
          <w:tab w:pos="2658" w:val="left" w:leader="none"/>
        </w:tabs>
        <w:spacing w:line="240" w:lineRule="auto" w:before="200" w:after="0"/>
        <w:ind w:left="2658" w:right="0" w:hanging="359"/>
        <w:jc w:val="left"/>
        <w:rPr>
          <w:sz w:val="22"/>
        </w:rPr>
      </w:pPr>
      <w:r>
        <w:rPr>
          <w:sz w:val="22"/>
        </w:rPr>
        <w:t>Are</w:t>
      </w:r>
      <w:r>
        <w:rPr>
          <w:spacing w:val="-5"/>
          <w:sz w:val="22"/>
        </w:rPr>
        <w:t> </w:t>
      </w:r>
      <w:r>
        <w:rPr>
          <w:sz w:val="22"/>
        </w:rPr>
        <w:t>enrolled</w:t>
      </w:r>
      <w:r>
        <w:rPr>
          <w:spacing w:val="-5"/>
          <w:sz w:val="22"/>
        </w:rPr>
        <w:t> </w:t>
      </w:r>
      <w:r>
        <w:rPr>
          <w:sz w:val="22"/>
        </w:rPr>
        <w:t>in</w:t>
      </w:r>
      <w:r>
        <w:rPr>
          <w:spacing w:val="-2"/>
          <w:sz w:val="22"/>
        </w:rPr>
        <w:t> </w:t>
      </w:r>
      <w:r>
        <w:rPr>
          <w:sz w:val="22"/>
        </w:rPr>
        <w:t>or</w:t>
      </w:r>
      <w:r>
        <w:rPr>
          <w:spacing w:val="-1"/>
          <w:sz w:val="22"/>
        </w:rPr>
        <w:t> </w:t>
      </w:r>
      <w:r>
        <w:rPr>
          <w:sz w:val="22"/>
        </w:rPr>
        <w:t>attributed</w:t>
      </w:r>
      <w:r>
        <w:rPr>
          <w:spacing w:val="-2"/>
          <w:sz w:val="22"/>
        </w:rPr>
        <w:t> </w:t>
      </w:r>
      <w:r>
        <w:rPr>
          <w:sz w:val="22"/>
        </w:rPr>
        <w:t>to</w:t>
      </w:r>
      <w:r>
        <w:rPr>
          <w:spacing w:val="-3"/>
          <w:sz w:val="22"/>
        </w:rPr>
        <w:t> </w:t>
      </w:r>
      <w:r>
        <w:rPr>
          <w:sz w:val="22"/>
        </w:rPr>
        <w:t>an</w:t>
      </w:r>
      <w:r>
        <w:rPr>
          <w:spacing w:val="-5"/>
          <w:sz w:val="22"/>
        </w:rPr>
        <w:t> </w:t>
      </w:r>
      <w:r>
        <w:rPr>
          <w:sz w:val="22"/>
        </w:rPr>
        <w:t>ACO</w:t>
      </w:r>
      <w:r>
        <w:rPr>
          <w:spacing w:val="-3"/>
          <w:sz w:val="22"/>
        </w:rPr>
        <w:t> </w:t>
      </w:r>
      <w:r>
        <w:rPr>
          <w:sz w:val="22"/>
        </w:rPr>
        <w:t>during</w:t>
      </w:r>
      <w:r>
        <w:rPr>
          <w:spacing w:val="-5"/>
          <w:sz w:val="22"/>
        </w:rPr>
        <w:t> </w:t>
      </w:r>
      <w:r>
        <w:rPr>
          <w:sz w:val="22"/>
        </w:rPr>
        <w:t>the</w:t>
      </w:r>
      <w:r>
        <w:rPr>
          <w:spacing w:val="-2"/>
          <w:sz w:val="22"/>
        </w:rPr>
        <w:t> </w:t>
      </w:r>
      <w:r>
        <w:rPr>
          <w:sz w:val="22"/>
        </w:rPr>
        <w:t>Budget</w:t>
      </w:r>
      <w:r>
        <w:rPr>
          <w:spacing w:val="-1"/>
          <w:sz w:val="22"/>
        </w:rPr>
        <w:t> </w:t>
      </w:r>
      <w:r>
        <w:rPr>
          <w:spacing w:val="-2"/>
          <w:sz w:val="22"/>
        </w:rPr>
        <w:t>Period</w:t>
      </w:r>
    </w:p>
    <w:p>
      <w:pPr>
        <w:spacing w:after="0" w:line="240" w:lineRule="auto"/>
        <w:jc w:val="left"/>
        <w:rPr>
          <w:sz w:val="22"/>
        </w:rPr>
        <w:sectPr>
          <w:pgSz w:w="12240" w:h="15840"/>
          <w:pgMar w:header="0" w:footer="967" w:top="1360" w:bottom="1160" w:left="220" w:right="340"/>
        </w:sectPr>
      </w:pPr>
    </w:p>
    <w:p>
      <w:pPr>
        <w:pStyle w:val="ListParagraph"/>
        <w:numPr>
          <w:ilvl w:val="5"/>
          <w:numId w:val="77"/>
        </w:numPr>
        <w:tabs>
          <w:tab w:pos="2658" w:val="left" w:leader="none"/>
          <w:tab w:pos="2660" w:val="left" w:leader="none"/>
        </w:tabs>
        <w:spacing w:line="235" w:lineRule="auto" w:before="82" w:after="0"/>
        <w:ind w:left="2660" w:right="1094" w:hanging="361"/>
        <w:jc w:val="both"/>
        <w:rPr>
          <w:sz w:val="22"/>
        </w:rPr>
      </w:pPr>
      <w:r>
        <w:rPr>
          <w:sz w:val="22"/>
        </w:rPr>
        <w:t>Are</w:t>
      </w:r>
      <w:r>
        <w:rPr>
          <w:spacing w:val="-6"/>
          <w:sz w:val="22"/>
        </w:rPr>
        <w:t> </w:t>
      </w:r>
      <w:r>
        <w:rPr>
          <w:sz w:val="22"/>
        </w:rPr>
        <w:t>enrolled</w:t>
      </w:r>
      <w:r>
        <w:rPr>
          <w:spacing w:val="-6"/>
          <w:sz w:val="22"/>
        </w:rPr>
        <w:t> </w:t>
      </w:r>
      <w:r>
        <w:rPr>
          <w:sz w:val="22"/>
        </w:rPr>
        <w:t>with</w:t>
      </w:r>
      <w:r>
        <w:rPr>
          <w:spacing w:val="-6"/>
          <w:sz w:val="22"/>
        </w:rPr>
        <w:t> </w:t>
      </w:r>
      <w:r>
        <w:rPr>
          <w:sz w:val="22"/>
        </w:rPr>
        <w:t>a</w:t>
      </w:r>
      <w:r>
        <w:rPr>
          <w:spacing w:val="-6"/>
          <w:sz w:val="22"/>
        </w:rPr>
        <w:t> </w:t>
      </w:r>
      <w:r>
        <w:rPr>
          <w:sz w:val="22"/>
        </w:rPr>
        <w:t>MassHealth</w:t>
      </w:r>
      <w:r>
        <w:rPr>
          <w:spacing w:val="-6"/>
          <w:sz w:val="22"/>
        </w:rPr>
        <w:t> </w:t>
      </w:r>
      <w:r>
        <w:rPr>
          <w:sz w:val="22"/>
        </w:rPr>
        <w:t>MCO</w:t>
      </w:r>
      <w:r>
        <w:rPr>
          <w:spacing w:val="-7"/>
          <w:sz w:val="22"/>
        </w:rPr>
        <w:t> </w:t>
      </w:r>
      <w:r>
        <w:rPr>
          <w:sz w:val="22"/>
        </w:rPr>
        <w:t>and</w:t>
      </w:r>
      <w:r>
        <w:rPr>
          <w:spacing w:val="-6"/>
          <w:sz w:val="22"/>
        </w:rPr>
        <w:t> </w:t>
      </w:r>
      <w:r>
        <w:rPr>
          <w:sz w:val="22"/>
        </w:rPr>
        <w:t>receive</w:t>
      </w:r>
      <w:r>
        <w:rPr>
          <w:spacing w:val="-6"/>
          <w:sz w:val="22"/>
        </w:rPr>
        <w:t> </w:t>
      </w:r>
      <w:r>
        <w:rPr>
          <w:sz w:val="22"/>
        </w:rPr>
        <w:t>primary</w:t>
      </w:r>
      <w:r>
        <w:rPr>
          <w:spacing w:val="-6"/>
          <w:sz w:val="22"/>
        </w:rPr>
        <w:t> </w:t>
      </w:r>
      <w:r>
        <w:rPr>
          <w:sz w:val="22"/>
        </w:rPr>
        <w:t>care</w:t>
      </w:r>
      <w:r>
        <w:rPr>
          <w:spacing w:val="-6"/>
          <w:sz w:val="22"/>
        </w:rPr>
        <w:t> </w:t>
      </w:r>
      <w:r>
        <w:rPr>
          <w:sz w:val="22"/>
        </w:rPr>
        <w:t>from</w:t>
      </w:r>
      <w:r>
        <w:rPr>
          <w:spacing w:val="-10"/>
          <w:sz w:val="22"/>
        </w:rPr>
        <w:t> </w:t>
      </w:r>
      <w:r>
        <w:rPr>
          <w:sz w:val="22"/>
        </w:rPr>
        <w:t>a</w:t>
      </w:r>
      <w:r>
        <w:rPr>
          <w:spacing w:val="-6"/>
          <w:sz w:val="22"/>
        </w:rPr>
        <w:t> </w:t>
      </w:r>
      <w:r>
        <w:rPr>
          <w:sz w:val="22"/>
        </w:rPr>
        <w:t>PCP</w:t>
      </w:r>
      <w:r>
        <w:rPr>
          <w:spacing w:val="-7"/>
          <w:sz w:val="22"/>
        </w:rPr>
        <w:t> </w:t>
      </w:r>
      <w:r>
        <w:rPr>
          <w:sz w:val="22"/>
        </w:rPr>
        <w:t>that</w:t>
      </w:r>
      <w:r>
        <w:rPr>
          <w:spacing w:val="-5"/>
          <w:sz w:val="22"/>
        </w:rPr>
        <w:t> </w:t>
      </w:r>
      <w:r>
        <w:rPr>
          <w:sz w:val="22"/>
        </w:rPr>
        <w:t>is</w:t>
      </w:r>
      <w:r>
        <w:rPr>
          <w:spacing w:val="-6"/>
          <w:sz w:val="22"/>
        </w:rPr>
        <w:t> </w:t>
      </w:r>
      <w:r>
        <w:rPr>
          <w:sz w:val="22"/>
        </w:rPr>
        <w:t>paid</w:t>
      </w:r>
      <w:r>
        <w:rPr>
          <w:spacing w:val="-6"/>
          <w:sz w:val="22"/>
        </w:rPr>
        <w:t> </w:t>
      </w:r>
      <w:r>
        <w:rPr>
          <w:sz w:val="22"/>
        </w:rPr>
        <w:t>by that MCO under a shared savings and/or shared risk arrangement, or is similarly held financially</w:t>
      </w:r>
      <w:r>
        <w:rPr>
          <w:spacing w:val="-14"/>
          <w:sz w:val="22"/>
        </w:rPr>
        <w:t> </w:t>
      </w:r>
      <w:r>
        <w:rPr>
          <w:sz w:val="22"/>
        </w:rPr>
        <w:t>accountable</w:t>
      </w:r>
      <w:r>
        <w:rPr>
          <w:spacing w:val="-14"/>
          <w:sz w:val="22"/>
        </w:rPr>
        <w:t> </w:t>
      </w:r>
      <w:r>
        <w:rPr>
          <w:sz w:val="22"/>
        </w:rPr>
        <w:t>by</w:t>
      </w:r>
      <w:r>
        <w:rPr>
          <w:spacing w:val="-14"/>
          <w:sz w:val="22"/>
        </w:rPr>
        <w:t> </w:t>
      </w:r>
      <w:r>
        <w:rPr>
          <w:sz w:val="22"/>
        </w:rPr>
        <w:t>that</w:t>
      </w:r>
      <w:r>
        <w:rPr>
          <w:spacing w:val="-13"/>
          <w:sz w:val="22"/>
        </w:rPr>
        <w:t> </w:t>
      </w:r>
      <w:r>
        <w:rPr>
          <w:sz w:val="22"/>
        </w:rPr>
        <w:t>MCO</w:t>
      </w:r>
      <w:r>
        <w:rPr>
          <w:spacing w:val="-14"/>
          <w:sz w:val="22"/>
        </w:rPr>
        <w:t> </w:t>
      </w:r>
      <w:r>
        <w:rPr>
          <w:sz w:val="22"/>
        </w:rPr>
        <w:t>for</w:t>
      </w:r>
      <w:r>
        <w:rPr>
          <w:spacing w:val="-14"/>
          <w:sz w:val="22"/>
        </w:rPr>
        <w:t> </w:t>
      </w:r>
      <w:r>
        <w:rPr>
          <w:sz w:val="22"/>
        </w:rPr>
        <w:t>the</w:t>
      </w:r>
      <w:r>
        <w:rPr>
          <w:spacing w:val="-14"/>
          <w:sz w:val="22"/>
        </w:rPr>
        <w:t> </w:t>
      </w:r>
      <w:r>
        <w:rPr>
          <w:sz w:val="22"/>
        </w:rPr>
        <w:t>cost</w:t>
      </w:r>
      <w:r>
        <w:rPr>
          <w:spacing w:val="-13"/>
          <w:sz w:val="22"/>
        </w:rPr>
        <w:t> </w:t>
      </w:r>
      <w:r>
        <w:rPr>
          <w:sz w:val="22"/>
        </w:rPr>
        <w:t>and</w:t>
      </w:r>
      <w:r>
        <w:rPr>
          <w:spacing w:val="-14"/>
          <w:sz w:val="22"/>
        </w:rPr>
        <w:t> </w:t>
      </w:r>
      <w:r>
        <w:rPr>
          <w:sz w:val="22"/>
        </w:rPr>
        <w:t>quality</w:t>
      </w:r>
      <w:r>
        <w:rPr>
          <w:spacing w:val="-14"/>
          <w:sz w:val="22"/>
        </w:rPr>
        <w:t> </w:t>
      </w:r>
      <w:r>
        <w:rPr>
          <w:sz w:val="22"/>
        </w:rPr>
        <w:t>of</w:t>
      </w:r>
      <w:r>
        <w:rPr>
          <w:spacing w:val="-14"/>
          <w:sz w:val="22"/>
        </w:rPr>
        <w:t> </w:t>
      </w:r>
      <w:r>
        <w:rPr>
          <w:sz w:val="22"/>
        </w:rPr>
        <w:t>care</w:t>
      </w:r>
      <w:r>
        <w:rPr>
          <w:spacing w:val="-13"/>
          <w:sz w:val="22"/>
        </w:rPr>
        <w:t> </w:t>
      </w:r>
      <w:r>
        <w:rPr>
          <w:sz w:val="22"/>
        </w:rPr>
        <w:t>under</w:t>
      </w:r>
      <w:r>
        <w:rPr>
          <w:spacing w:val="-14"/>
          <w:sz w:val="22"/>
        </w:rPr>
        <w:t> </w:t>
      </w:r>
      <w:r>
        <w:rPr>
          <w:sz w:val="22"/>
        </w:rPr>
        <w:t>a</w:t>
      </w:r>
      <w:r>
        <w:rPr>
          <w:spacing w:val="-14"/>
          <w:sz w:val="22"/>
        </w:rPr>
        <w:t> </w:t>
      </w:r>
      <w:r>
        <w:rPr>
          <w:sz w:val="22"/>
        </w:rPr>
        <w:t>State-approved APM contract</w:t>
      </w:r>
    </w:p>
    <w:p>
      <w:pPr>
        <w:pStyle w:val="ListParagraph"/>
        <w:numPr>
          <w:ilvl w:val="5"/>
          <w:numId w:val="77"/>
        </w:numPr>
        <w:tabs>
          <w:tab w:pos="2658" w:val="left" w:leader="none"/>
          <w:tab w:pos="2660" w:val="left" w:leader="none"/>
        </w:tabs>
        <w:spacing w:line="237" w:lineRule="auto" w:before="200" w:after="0"/>
        <w:ind w:left="2660" w:right="1092" w:hanging="361"/>
        <w:jc w:val="both"/>
        <w:rPr>
          <w:sz w:val="22"/>
        </w:rPr>
      </w:pPr>
      <w:r>
        <w:rPr>
          <w:sz w:val="22"/>
        </w:rPr>
        <w:t>Receive more than 20% of their non-primary care services (either gross patient service revenue or net patient service revenue) from providers who are paid under episode-based payments, shared savings and/or shared risk arrangements, or who are similarly held financially accountable for the cost and quality of care under a State-approved APM </w:t>
      </w:r>
      <w:r>
        <w:rPr>
          <w:spacing w:val="-2"/>
          <w:sz w:val="22"/>
        </w:rPr>
        <w:t>contract</w:t>
      </w:r>
    </w:p>
    <w:p>
      <w:pPr>
        <w:spacing w:before="193"/>
        <w:ind w:left="1220" w:right="0" w:firstLine="0"/>
        <w:jc w:val="both"/>
        <w:rPr>
          <w:sz w:val="22"/>
        </w:rPr>
      </w:pPr>
      <w:r>
        <w:rPr>
          <w:sz w:val="22"/>
        </w:rPr>
        <w:t>The</w:t>
      </w:r>
      <w:r>
        <w:rPr>
          <w:spacing w:val="-6"/>
          <w:sz w:val="22"/>
        </w:rPr>
        <w:t> </w:t>
      </w:r>
      <w:r>
        <w:rPr>
          <w:sz w:val="22"/>
        </w:rPr>
        <w:t>target</w:t>
      </w:r>
      <w:r>
        <w:rPr>
          <w:spacing w:val="-3"/>
          <w:sz w:val="22"/>
        </w:rPr>
        <w:t> </w:t>
      </w:r>
      <w:r>
        <w:rPr>
          <w:sz w:val="22"/>
        </w:rPr>
        <w:t>adoption</w:t>
      </w:r>
      <w:r>
        <w:rPr>
          <w:spacing w:val="-3"/>
          <w:sz w:val="22"/>
        </w:rPr>
        <w:t> </w:t>
      </w:r>
      <w:r>
        <w:rPr>
          <w:sz w:val="22"/>
        </w:rPr>
        <w:t>percentages</w:t>
      </w:r>
      <w:r>
        <w:rPr>
          <w:spacing w:val="-4"/>
          <w:sz w:val="22"/>
        </w:rPr>
        <w:t> </w:t>
      </w:r>
      <w:r>
        <w:rPr>
          <w:sz w:val="22"/>
        </w:rPr>
        <w:t>will</w:t>
      </w:r>
      <w:r>
        <w:rPr>
          <w:spacing w:val="-3"/>
          <w:sz w:val="22"/>
        </w:rPr>
        <w:t> </w:t>
      </w:r>
      <w:r>
        <w:rPr>
          <w:sz w:val="22"/>
        </w:rPr>
        <w:t>follow</w:t>
      </w:r>
      <w:r>
        <w:rPr>
          <w:spacing w:val="-4"/>
          <w:sz w:val="22"/>
        </w:rPr>
        <w:t> </w:t>
      </w:r>
      <w:r>
        <w:rPr>
          <w:sz w:val="22"/>
        </w:rPr>
        <w:t>the</w:t>
      </w:r>
      <w:r>
        <w:rPr>
          <w:spacing w:val="-6"/>
          <w:sz w:val="22"/>
        </w:rPr>
        <w:t> </w:t>
      </w:r>
      <w:r>
        <w:rPr>
          <w:sz w:val="22"/>
        </w:rPr>
        <w:t>schedule</w:t>
      </w:r>
      <w:r>
        <w:rPr>
          <w:spacing w:val="-3"/>
          <w:sz w:val="22"/>
        </w:rPr>
        <w:t> </w:t>
      </w:r>
      <w:r>
        <w:rPr>
          <w:sz w:val="22"/>
        </w:rPr>
        <w:t>detailed</w:t>
      </w:r>
      <w:r>
        <w:rPr>
          <w:spacing w:val="-4"/>
          <w:sz w:val="22"/>
        </w:rPr>
        <w:t> </w:t>
      </w:r>
      <w:r>
        <w:rPr>
          <w:sz w:val="22"/>
        </w:rPr>
        <w:t>in</w:t>
      </w:r>
      <w:r>
        <w:rPr>
          <w:spacing w:val="-4"/>
          <w:sz w:val="22"/>
        </w:rPr>
        <w:t> </w:t>
      </w:r>
      <w:r>
        <w:rPr>
          <w:sz w:val="22"/>
        </w:rPr>
        <w:t>Exhibit</w:t>
      </w:r>
      <w:r>
        <w:rPr>
          <w:spacing w:val="-2"/>
          <w:sz w:val="22"/>
        </w:rPr>
        <w:t> </w:t>
      </w:r>
      <w:r>
        <w:rPr>
          <w:spacing w:val="-5"/>
          <w:sz w:val="22"/>
        </w:rPr>
        <w:t>26.</w:t>
      </w:r>
    </w:p>
    <w:p>
      <w:pPr>
        <w:tabs>
          <w:tab w:pos="10579" w:val="left" w:leader="none"/>
        </w:tabs>
        <w:spacing w:before="199"/>
        <w:ind w:left="1220" w:right="0" w:firstLine="0"/>
        <w:jc w:val="both"/>
        <w:rPr>
          <w:sz w:val="22"/>
        </w:rPr>
      </w:pPr>
      <w:r>
        <w:rPr>
          <w:sz w:val="22"/>
          <w:u w:val="single"/>
        </w:rPr>
        <w:t>EXHIBIT</w:t>
      </w:r>
      <w:r>
        <w:rPr>
          <w:spacing w:val="-3"/>
          <w:sz w:val="22"/>
          <w:u w:val="single"/>
        </w:rPr>
        <w:t> </w:t>
      </w:r>
      <w:r>
        <w:rPr>
          <w:sz w:val="22"/>
          <w:u w:val="single"/>
        </w:rPr>
        <w:t>26</w:t>
      </w:r>
      <w:r>
        <w:rPr>
          <w:spacing w:val="-5"/>
          <w:sz w:val="22"/>
          <w:u w:val="single"/>
        </w:rPr>
        <w:t> </w:t>
      </w:r>
      <w:r>
        <w:rPr>
          <w:sz w:val="22"/>
          <w:u w:val="single"/>
        </w:rPr>
        <w:t>–</w:t>
      </w:r>
      <w:r>
        <w:rPr>
          <w:spacing w:val="-4"/>
          <w:sz w:val="22"/>
          <w:u w:val="single"/>
        </w:rPr>
        <w:t> </w:t>
      </w:r>
      <w:r>
        <w:rPr>
          <w:sz w:val="22"/>
          <w:u w:val="single"/>
        </w:rPr>
        <w:t>Target</w:t>
      </w:r>
      <w:r>
        <w:rPr>
          <w:spacing w:val="-4"/>
          <w:sz w:val="22"/>
          <w:u w:val="single"/>
        </w:rPr>
        <w:t> </w:t>
      </w:r>
      <w:r>
        <w:rPr>
          <w:sz w:val="22"/>
          <w:u w:val="single"/>
        </w:rPr>
        <w:t>ACO/APM</w:t>
      </w:r>
      <w:r>
        <w:rPr>
          <w:spacing w:val="-4"/>
          <w:sz w:val="22"/>
          <w:u w:val="single"/>
        </w:rPr>
        <w:t> </w:t>
      </w:r>
      <w:r>
        <w:rPr>
          <w:sz w:val="22"/>
          <w:u w:val="single"/>
        </w:rPr>
        <w:t>Adoption</w:t>
      </w:r>
      <w:r>
        <w:rPr>
          <w:spacing w:val="-4"/>
          <w:sz w:val="22"/>
          <w:u w:val="single"/>
        </w:rPr>
        <w:t> Rates</w:t>
      </w:r>
      <w:r>
        <w:rPr>
          <w:sz w:val="22"/>
          <w:u w:val="single"/>
        </w:rPr>
        <w:tab/>
      </w:r>
    </w:p>
    <w:p>
      <w:pPr>
        <w:pStyle w:val="BodyText"/>
        <w:spacing w:before="8"/>
        <w:rPr>
          <w:sz w:val="6"/>
        </w:rPr>
      </w:pPr>
    </w:p>
    <w:tbl>
      <w:tblPr>
        <w:tblW w:w="0" w:type="auto"/>
        <w:jc w:val="left"/>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5"/>
        <w:gridCol w:w="2983"/>
        <w:gridCol w:w="885"/>
        <w:gridCol w:w="885"/>
        <w:gridCol w:w="887"/>
        <w:gridCol w:w="885"/>
        <w:gridCol w:w="885"/>
        <w:gridCol w:w="885"/>
        <w:gridCol w:w="530"/>
      </w:tblGrid>
      <w:tr>
        <w:trPr>
          <w:trHeight w:val="506" w:hRule="atLeast"/>
        </w:trPr>
        <w:tc>
          <w:tcPr>
            <w:tcW w:w="545" w:type="dxa"/>
            <w:vMerge w:val="restart"/>
            <w:tcBorders>
              <w:top w:val="nil"/>
              <w:left w:val="nil"/>
              <w:right w:val="single" w:sz="4" w:space="0" w:color="BEBEBE"/>
            </w:tcBorders>
          </w:tcPr>
          <w:p>
            <w:pPr>
              <w:pStyle w:val="TableParagraph"/>
              <w:rPr>
                <w:sz w:val="20"/>
              </w:rPr>
            </w:pPr>
          </w:p>
        </w:tc>
        <w:tc>
          <w:tcPr>
            <w:tcW w:w="2983" w:type="dxa"/>
            <w:tcBorders>
              <w:top w:val="single" w:sz="4" w:space="0" w:color="BEBEBE"/>
              <w:left w:val="single" w:sz="4" w:space="0" w:color="BEBEBE"/>
              <w:bottom w:val="single" w:sz="4" w:space="0" w:color="BEBEBE"/>
              <w:right w:val="single" w:sz="4" w:space="0" w:color="BEBEBE"/>
            </w:tcBorders>
            <w:shd w:val="clear" w:color="auto" w:fill="44536A"/>
          </w:tcPr>
          <w:p>
            <w:pPr>
              <w:pStyle w:val="TableParagraph"/>
              <w:spacing w:line="251" w:lineRule="exact"/>
              <w:ind w:left="453"/>
              <w:rPr>
                <w:b/>
                <w:sz w:val="22"/>
              </w:rPr>
            </w:pPr>
            <w:r>
              <w:rPr>
                <w:b/>
                <w:color w:val="FFFFFF"/>
                <w:sz w:val="22"/>
              </w:rPr>
              <w:t>DSRIP</w:t>
            </w:r>
            <w:r>
              <w:rPr>
                <w:b/>
                <w:color w:val="FFFFFF"/>
                <w:spacing w:val="-6"/>
                <w:sz w:val="22"/>
              </w:rPr>
              <w:t> </w:t>
            </w:r>
            <w:r>
              <w:rPr>
                <w:b/>
                <w:color w:val="FFFFFF"/>
                <w:sz w:val="22"/>
              </w:rPr>
              <w:t>Budget</w:t>
            </w:r>
            <w:r>
              <w:rPr>
                <w:b/>
                <w:color w:val="FFFFFF"/>
                <w:spacing w:val="-5"/>
                <w:sz w:val="22"/>
              </w:rPr>
              <w:t> </w:t>
            </w:r>
            <w:r>
              <w:rPr>
                <w:b/>
                <w:color w:val="FFFFFF"/>
                <w:spacing w:val="-2"/>
                <w:sz w:val="22"/>
              </w:rPr>
              <w:t>Period</w:t>
            </w:r>
          </w:p>
        </w:tc>
        <w:tc>
          <w:tcPr>
            <w:tcW w:w="885"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line="252" w:lineRule="exact"/>
              <w:ind w:left="119" w:right="112" w:firstLine="115"/>
              <w:rPr>
                <w:sz w:val="22"/>
              </w:rPr>
            </w:pPr>
            <w:r>
              <w:rPr>
                <w:spacing w:val="-4"/>
                <w:sz w:val="22"/>
              </w:rPr>
              <w:t>Prep </w:t>
            </w:r>
            <w:r>
              <w:rPr>
                <w:spacing w:val="-2"/>
                <w:sz w:val="22"/>
              </w:rPr>
              <w:t>Budget</w:t>
            </w:r>
          </w:p>
        </w:tc>
        <w:tc>
          <w:tcPr>
            <w:tcW w:w="885"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line="251" w:lineRule="exact"/>
              <w:ind w:left="203" w:right="202"/>
              <w:jc w:val="center"/>
              <w:rPr>
                <w:sz w:val="22"/>
              </w:rPr>
            </w:pPr>
            <w:r>
              <w:rPr>
                <w:sz w:val="22"/>
              </w:rPr>
              <w:t>BP</w:t>
            </w:r>
            <w:r>
              <w:rPr>
                <w:spacing w:val="-2"/>
                <w:sz w:val="22"/>
              </w:rPr>
              <w:t> </w:t>
            </w:r>
            <w:r>
              <w:rPr>
                <w:spacing w:val="-10"/>
                <w:sz w:val="22"/>
              </w:rPr>
              <w:t>1</w:t>
            </w:r>
          </w:p>
        </w:tc>
        <w:tc>
          <w:tcPr>
            <w:tcW w:w="887"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line="251" w:lineRule="exact"/>
              <w:ind w:left="207" w:right="207"/>
              <w:jc w:val="center"/>
              <w:rPr>
                <w:sz w:val="22"/>
              </w:rPr>
            </w:pPr>
            <w:r>
              <w:rPr>
                <w:sz w:val="22"/>
              </w:rPr>
              <w:t>BP</w:t>
            </w:r>
            <w:r>
              <w:rPr>
                <w:spacing w:val="-2"/>
                <w:sz w:val="22"/>
              </w:rPr>
              <w:t> </w:t>
            </w:r>
            <w:r>
              <w:rPr>
                <w:spacing w:val="-10"/>
                <w:sz w:val="22"/>
              </w:rPr>
              <w:t>2</w:t>
            </w:r>
          </w:p>
        </w:tc>
        <w:tc>
          <w:tcPr>
            <w:tcW w:w="885"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line="251" w:lineRule="exact"/>
              <w:ind w:left="202" w:right="202"/>
              <w:jc w:val="center"/>
              <w:rPr>
                <w:sz w:val="22"/>
              </w:rPr>
            </w:pPr>
            <w:r>
              <w:rPr>
                <w:sz w:val="22"/>
              </w:rPr>
              <w:t>BP</w:t>
            </w:r>
            <w:r>
              <w:rPr>
                <w:spacing w:val="-2"/>
                <w:sz w:val="22"/>
              </w:rPr>
              <w:t> </w:t>
            </w:r>
            <w:r>
              <w:rPr>
                <w:spacing w:val="-10"/>
                <w:sz w:val="22"/>
              </w:rPr>
              <w:t>3</w:t>
            </w:r>
          </w:p>
        </w:tc>
        <w:tc>
          <w:tcPr>
            <w:tcW w:w="885"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line="251" w:lineRule="exact"/>
              <w:ind w:left="206" w:right="200"/>
              <w:jc w:val="center"/>
              <w:rPr>
                <w:sz w:val="22"/>
              </w:rPr>
            </w:pPr>
            <w:r>
              <w:rPr>
                <w:sz w:val="22"/>
              </w:rPr>
              <w:t>BP</w:t>
            </w:r>
            <w:r>
              <w:rPr>
                <w:spacing w:val="-2"/>
                <w:sz w:val="22"/>
              </w:rPr>
              <w:t> </w:t>
            </w:r>
            <w:r>
              <w:rPr>
                <w:spacing w:val="-10"/>
                <w:sz w:val="22"/>
              </w:rPr>
              <w:t>4</w:t>
            </w:r>
          </w:p>
        </w:tc>
        <w:tc>
          <w:tcPr>
            <w:tcW w:w="885"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line="251" w:lineRule="exact"/>
              <w:ind w:left="206" w:right="199"/>
              <w:jc w:val="center"/>
              <w:rPr>
                <w:sz w:val="22"/>
              </w:rPr>
            </w:pPr>
            <w:r>
              <w:rPr>
                <w:sz w:val="22"/>
              </w:rPr>
              <w:t>BP</w:t>
            </w:r>
            <w:r>
              <w:rPr>
                <w:spacing w:val="-2"/>
                <w:sz w:val="22"/>
              </w:rPr>
              <w:t> </w:t>
            </w:r>
            <w:r>
              <w:rPr>
                <w:spacing w:val="-10"/>
                <w:sz w:val="22"/>
              </w:rPr>
              <w:t>5</w:t>
            </w:r>
          </w:p>
        </w:tc>
        <w:tc>
          <w:tcPr>
            <w:tcW w:w="530" w:type="dxa"/>
            <w:vMerge w:val="restart"/>
            <w:tcBorders>
              <w:top w:val="nil"/>
              <w:left w:val="single" w:sz="4" w:space="0" w:color="BEBEBE"/>
              <w:right w:val="nil"/>
            </w:tcBorders>
          </w:tcPr>
          <w:p>
            <w:pPr>
              <w:pStyle w:val="TableParagraph"/>
              <w:rPr>
                <w:sz w:val="20"/>
              </w:rPr>
            </w:pPr>
          </w:p>
        </w:tc>
      </w:tr>
      <w:tr>
        <w:trPr>
          <w:trHeight w:val="505" w:hRule="atLeast"/>
        </w:trPr>
        <w:tc>
          <w:tcPr>
            <w:tcW w:w="545" w:type="dxa"/>
            <w:vMerge/>
            <w:tcBorders>
              <w:top w:val="nil"/>
              <w:left w:val="nil"/>
              <w:right w:val="single" w:sz="4" w:space="0" w:color="BEBEBE"/>
            </w:tcBorders>
          </w:tcPr>
          <w:p>
            <w:pPr>
              <w:rPr>
                <w:sz w:val="2"/>
                <w:szCs w:val="2"/>
              </w:rPr>
            </w:pPr>
          </w:p>
        </w:tc>
        <w:tc>
          <w:tcPr>
            <w:tcW w:w="2983" w:type="dxa"/>
            <w:tcBorders>
              <w:top w:val="single" w:sz="4" w:space="0" w:color="BEBEBE"/>
              <w:left w:val="single" w:sz="4" w:space="0" w:color="BEBEBE"/>
              <w:bottom w:val="single" w:sz="8" w:space="0" w:color="000000"/>
              <w:right w:val="single" w:sz="4" w:space="0" w:color="BEBEBE"/>
            </w:tcBorders>
            <w:shd w:val="clear" w:color="auto" w:fill="44536A"/>
          </w:tcPr>
          <w:p>
            <w:pPr>
              <w:pStyle w:val="TableParagraph"/>
              <w:spacing w:line="252" w:lineRule="exact"/>
              <w:ind w:left="798" w:hanging="444"/>
              <w:rPr>
                <w:b/>
                <w:sz w:val="22"/>
              </w:rPr>
            </w:pPr>
            <w:r>
              <w:rPr>
                <w:b/>
                <w:color w:val="FFFFFF"/>
                <w:sz w:val="22"/>
              </w:rPr>
              <w:t>ACO/APM</w:t>
            </w:r>
            <w:r>
              <w:rPr>
                <w:b/>
                <w:color w:val="FFFFFF"/>
                <w:spacing w:val="-14"/>
                <w:sz w:val="22"/>
              </w:rPr>
              <w:t> </w:t>
            </w:r>
            <w:r>
              <w:rPr>
                <w:b/>
                <w:color w:val="FFFFFF"/>
                <w:sz w:val="22"/>
              </w:rPr>
              <w:t>adoption</w:t>
            </w:r>
            <w:r>
              <w:rPr>
                <w:b/>
                <w:color w:val="FFFFFF"/>
                <w:spacing w:val="-14"/>
                <w:sz w:val="22"/>
              </w:rPr>
              <w:t> </w:t>
            </w:r>
            <w:r>
              <w:rPr>
                <w:b/>
                <w:color w:val="FFFFFF"/>
                <w:sz w:val="22"/>
              </w:rPr>
              <w:t>(as defined above)</w:t>
            </w:r>
          </w:p>
        </w:tc>
        <w:tc>
          <w:tcPr>
            <w:tcW w:w="885" w:type="dxa"/>
            <w:tcBorders>
              <w:top w:val="single" w:sz="4" w:space="0" w:color="BEBEBE"/>
              <w:left w:val="single" w:sz="4" w:space="0" w:color="BEBEBE"/>
              <w:bottom w:val="single" w:sz="8" w:space="0" w:color="000000"/>
              <w:right w:val="single" w:sz="4" w:space="0" w:color="BEBEBE"/>
            </w:tcBorders>
          </w:tcPr>
          <w:p>
            <w:pPr>
              <w:pStyle w:val="TableParagraph"/>
              <w:spacing w:line="251" w:lineRule="exact"/>
              <w:ind w:left="278"/>
              <w:rPr>
                <w:sz w:val="22"/>
              </w:rPr>
            </w:pPr>
            <w:r>
              <w:rPr>
                <w:spacing w:val="-5"/>
                <w:sz w:val="22"/>
              </w:rPr>
              <w:t>NA</w:t>
            </w:r>
          </w:p>
        </w:tc>
        <w:tc>
          <w:tcPr>
            <w:tcW w:w="885" w:type="dxa"/>
            <w:tcBorders>
              <w:top w:val="single" w:sz="4" w:space="0" w:color="BEBEBE"/>
              <w:left w:val="single" w:sz="4" w:space="0" w:color="BEBEBE"/>
              <w:bottom w:val="single" w:sz="8" w:space="0" w:color="000000"/>
              <w:right w:val="single" w:sz="4" w:space="0" w:color="BEBEBE"/>
            </w:tcBorders>
          </w:tcPr>
          <w:p>
            <w:pPr>
              <w:pStyle w:val="TableParagraph"/>
              <w:spacing w:line="251" w:lineRule="exact"/>
              <w:ind w:left="202" w:right="202"/>
              <w:jc w:val="center"/>
              <w:rPr>
                <w:sz w:val="22"/>
              </w:rPr>
            </w:pPr>
            <w:r>
              <w:rPr>
                <w:spacing w:val="-5"/>
                <w:sz w:val="22"/>
              </w:rPr>
              <w:t>25%</w:t>
            </w:r>
          </w:p>
        </w:tc>
        <w:tc>
          <w:tcPr>
            <w:tcW w:w="887" w:type="dxa"/>
            <w:tcBorders>
              <w:top w:val="single" w:sz="4" w:space="0" w:color="BEBEBE"/>
              <w:left w:val="single" w:sz="4" w:space="0" w:color="BEBEBE"/>
              <w:bottom w:val="single" w:sz="8" w:space="0" w:color="000000"/>
              <w:right w:val="single" w:sz="4" w:space="0" w:color="BEBEBE"/>
            </w:tcBorders>
          </w:tcPr>
          <w:p>
            <w:pPr>
              <w:pStyle w:val="TableParagraph"/>
              <w:spacing w:line="251" w:lineRule="exact"/>
              <w:ind w:left="207" w:right="207"/>
              <w:jc w:val="center"/>
              <w:rPr>
                <w:sz w:val="22"/>
              </w:rPr>
            </w:pPr>
            <w:r>
              <w:rPr>
                <w:spacing w:val="-5"/>
                <w:sz w:val="22"/>
              </w:rPr>
              <w:t>30%</w:t>
            </w:r>
          </w:p>
        </w:tc>
        <w:tc>
          <w:tcPr>
            <w:tcW w:w="885" w:type="dxa"/>
            <w:tcBorders>
              <w:top w:val="single" w:sz="4" w:space="0" w:color="BEBEBE"/>
              <w:left w:val="single" w:sz="4" w:space="0" w:color="BEBEBE"/>
              <w:bottom w:val="single" w:sz="8" w:space="0" w:color="000000"/>
              <w:right w:val="single" w:sz="4" w:space="0" w:color="BEBEBE"/>
            </w:tcBorders>
          </w:tcPr>
          <w:p>
            <w:pPr>
              <w:pStyle w:val="TableParagraph"/>
              <w:spacing w:line="251" w:lineRule="exact"/>
              <w:ind w:left="202" w:right="202"/>
              <w:jc w:val="center"/>
              <w:rPr>
                <w:sz w:val="22"/>
              </w:rPr>
            </w:pPr>
            <w:r>
              <w:rPr>
                <w:spacing w:val="-5"/>
                <w:sz w:val="22"/>
              </w:rPr>
              <w:t>35%</w:t>
            </w:r>
          </w:p>
        </w:tc>
        <w:tc>
          <w:tcPr>
            <w:tcW w:w="885" w:type="dxa"/>
            <w:tcBorders>
              <w:top w:val="single" w:sz="4" w:space="0" w:color="BEBEBE"/>
              <w:left w:val="single" w:sz="4" w:space="0" w:color="BEBEBE"/>
              <w:bottom w:val="single" w:sz="8" w:space="0" w:color="000000"/>
              <w:right w:val="single" w:sz="4" w:space="0" w:color="BEBEBE"/>
            </w:tcBorders>
          </w:tcPr>
          <w:p>
            <w:pPr>
              <w:pStyle w:val="TableParagraph"/>
              <w:spacing w:line="251" w:lineRule="exact"/>
              <w:ind w:left="206" w:right="201"/>
              <w:jc w:val="center"/>
              <w:rPr>
                <w:sz w:val="22"/>
              </w:rPr>
            </w:pPr>
            <w:r>
              <w:rPr>
                <w:spacing w:val="-5"/>
                <w:sz w:val="22"/>
              </w:rPr>
              <w:t>40%</w:t>
            </w:r>
          </w:p>
        </w:tc>
        <w:tc>
          <w:tcPr>
            <w:tcW w:w="885" w:type="dxa"/>
            <w:tcBorders>
              <w:top w:val="single" w:sz="4" w:space="0" w:color="BEBEBE"/>
              <w:left w:val="single" w:sz="4" w:space="0" w:color="BEBEBE"/>
              <w:bottom w:val="single" w:sz="8" w:space="0" w:color="000000"/>
              <w:right w:val="single" w:sz="4" w:space="0" w:color="BEBEBE"/>
            </w:tcBorders>
          </w:tcPr>
          <w:p>
            <w:pPr>
              <w:pStyle w:val="TableParagraph"/>
              <w:spacing w:line="251" w:lineRule="exact"/>
              <w:ind w:left="206" w:right="200"/>
              <w:jc w:val="center"/>
              <w:rPr>
                <w:sz w:val="22"/>
              </w:rPr>
            </w:pPr>
            <w:r>
              <w:rPr>
                <w:spacing w:val="-5"/>
                <w:sz w:val="22"/>
              </w:rPr>
              <w:t>45%</w:t>
            </w:r>
          </w:p>
        </w:tc>
        <w:tc>
          <w:tcPr>
            <w:tcW w:w="530" w:type="dxa"/>
            <w:vMerge/>
            <w:tcBorders>
              <w:top w:val="nil"/>
              <w:left w:val="single" w:sz="4" w:space="0" w:color="BEBEBE"/>
              <w:right w:val="nil"/>
            </w:tcBorders>
          </w:tcPr>
          <w:p>
            <w:pPr>
              <w:rPr>
                <w:sz w:val="2"/>
                <w:szCs w:val="2"/>
              </w:rPr>
            </w:pPr>
          </w:p>
        </w:tc>
      </w:tr>
    </w:tbl>
    <w:p>
      <w:pPr>
        <w:pStyle w:val="BodyText"/>
        <w:spacing w:before="5"/>
        <w:rPr>
          <w:sz w:val="22"/>
        </w:rPr>
      </w:pPr>
    </w:p>
    <w:p>
      <w:pPr>
        <w:spacing w:before="0"/>
        <w:ind w:left="1220" w:right="1096" w:firstLine="0"/>
        <w:jc w:val="both"/>
        <w:rPr>
          <w:sz w:val="22"/>
        </w:rPr>
      </w:pPr>
      <w:r>
        <w:rPr>
          <w:sz w:val="22"/>
        </w:rPr>
        <w:t>If</w:t>
      </w:r>
      <w:r>
        <w:rPr>
          <w:spacing w:val="-6"/>
          <w:sz w:val="22"/>
        </w:rPr>
        <w:t> </w:t>
      </w:r>
      <w:r>
        <w:rPr>
          <w:sz w:val="22"/>
        </w:rPr>
        <w:t>the</w:t>
      </w:r>
      <w:r>
        <w:rPr>
          <w:spacing w:val="-7"/>
          <w:sz w:val="22"/>
        </w:rPr>
        <w:t> </w:t>
      </w:r>
      <w:r>
        <w:rPr>
          <w:sz w:val="22"/>
        </w:rPr>
        <w:t>State</w:t>
      </w:r>
      <w:r>
        <w:rPr>
          <w:spacing w:val="-7"/>
          <w:sz w:val="22"/>
        </w:rPr>
        <w:t> </w:t>
      </w:r>
      <w:r>
        <w:rPr>
          <w:sz w:val="22"/>
        </w:rPr>
        <w:t>meets</w:t>
      </w:r>
      <w:r>
        <w:rPr>
          <w:spacing w:val="-7"/>
          <w:sz w:val="22"/>
        </w:rPr>
        <w:t> </w:t>
      </w:r>
      <w:r>
        <w:rPr>
          <w:sz w:val="22"/>
        </w:rPr>
        <w:t>or</w:t>
      </w:r>
      <w:r>
        <w:rPr>
          <w:spacing w:val="-6"/>
          <w:sz w:val="22"/>
        </w:rPr>
        <w:t> </w:t>
      </w:r>
      <w:r>
        <w:rPr>
          <w:sz w:val="22"/>
        </w:rPr>
        <w:t>surpasses</w:t>
      </w:r>
      <w:r>
        <w:rPr>
          <w:spacing w:val="-7"/>
          <w:sz w:val="22"/>
        </w:rPr>
        <w:t> </w:t>
      </w:r>
      <w:r>
        <w:rPr>
          <w:sz w:val="22"/>
        </w:rPr>
        <w:t>the</w:t>
      </w:r>
      <w:r>
        <w:rPr>
          <w:spacing w:val="-7"/>
          <w:sz w:val="22"/>
        </w:rPr>
        <w:t> </w:t>
      </w:r>
      <w:r>
        <w:rPr>
          <w:sz w:val="22"/>
        </w:rPr>
        <w:t>target</w:t>
      </w:r>
      <w:r>
        <w:rPr>
          <w:spacing w:val="-6"/>
          <w:sz w:val="22"/>
        </w:rPr>
        <w:t> </w:t>
      </w:r>
      <w:r>
        <w:rPr>
          <w:sz w:val="22"/>
        </w:rPr>
        <w:t>for</w:t>
      </w:r>
      <w:r>
        <w:rPr>
          <w:spacing w:val="-6"/>
          <w:sz w:val="22"/>
        </w:rPr>
        <w:t> </w:t>
      </w:r>
      <w:r>
        <w:rPr>
          <w:sz w:val="22"/>
        </w:rPr>
        <w:t>a</w:t>
      </w:r>
      <w:r>
        <w:rPr>
          <w:spacing w:val="-7"/>
          <w:sz w:val="22"/>
        </w:rPr>
        <w:t> </w:t>
      </w:r>
      <w:r>
        <w:rPr>
          <w:sz w:val="22"/>
        </w:rPr>
        <w:t>given</w:t>
      </w:r>
      <w:r>
        <w:rPr>
          <w:spacing w:val="-7"/>
          <w:sz w:val="22"/>
        </w:rPr>
        <w:t> </w:t>
      </w:r>
      <w:r>
        <w:rPr>
          <w:sz w:val="22"/>
        </w:rPr>
        <w:t>Budget</w:t>
      </w:r>
      <w:r>
        <w:rPr>
          <w:spacing w:val="-6"/>
          <w:sz w:val="22"/>
        </w:rPr>
        <w:t> </w:t>
      </w:r>
      <w:r>
        <w:rPr>
          <w:sz w:val="22"/>
        </w:rPr>
        <w:t>Period,</w:t>
      </w:r>
      <w:r>
        <w:rPr>
          <w:spacing w:val="-7"/>
          <w:sz w:val="22"/>
        </w:rPr>
        <w:t> </w:t>
      </w:r>
      <w:r>
        <w:rPr>
          <w:sz w:val="22"/>
        </w:rPr>
        <w:t>the</w:t>
      </w:r>
      <w:r>
        <w:rPr>
          <w:spacing w:val="-7"/>
          <w:sz w:val="22"/>
        </w:rPr>
        <w:t> </w:t>
      </w:r>
      <w:r>
        <w:rPr>
          <w:sz w:val="22"/>
        </w:rPr>
        <w:t>State</w:t>
      </w:r>
      <w:r>
        <w:rPr>
          <w:spacing w:val="-7"/>
          <w:sz w:val="22"/>
        </w:rPr>
        <w:t> </w:t>
      </w:r>
      <w:r>
        <w:rPr>
          <w:sz w:val="22"/>
        </w:rPr>
        <w:t>will</w:t>
      </w:r>
      <w:r>
        <w:rPr>
          <w:spacing w:val="-6"/>
          <w:sz w:val="22"/>
        </w:rPr>
        <w:t> </w:t>
      </w:r>
      <w:r>
        <w:rPr>
          <w:sz w:val="22"/>
        </w:rPr>
        <w:t>earn</w:t>
      </w:r>
      <w:r>
        <w:rPr>
          <w:spacing w:val="-7"/>
          <w:sz w:val="22"/>
        </w:rPr>
        <w:t> </w:t>
      </w:r>
      <w:r>
        <w:rPr>
          <w:sz w:val="22"/>
        </w:rPr>
        <w:t>a</w:t>
      </w:r>
      <w:r>
        <w:rPr>
          <w:spacing w:val="-7"/>
          <w:sz w:val="22"/>
        </w:rPr>
        <w:t> </w:t>
      </w:r>
      <w:r>
        <w:rPr>
          <w:sz w:val="22"/>
        </w:rPr>
        <w:t>100%</w:t>
      </w:r>
      <w:r>
        <w:rPr>
          <w:spacing w:val="-9"/>
          <w:sz w:val="22"/>
        </w:rPr>
        <w:t> </w:t>
      </w:r>
      <w:r>
        <w:rPr>
          <w:sz w:val="22"/>
        </w:rPr>
        <w:t>score</w:t>
      </w:r>
      <w:r>
        <w:rPr>
          <w:spacing w:val="-7"/>
          <w:sz w:val="22"/>
        </w:rPr>
        <w:t> </w:t>
      </w:r>
      <w:r>
        <w:rPr>
          <w:sz w:val="22"/>
        </w:rPr>
        <w:t>on</w:t>
      </w:r>
      <w:r>
        <w:rPr>
          <w:spacing w:val="-9"/>
          <w:sz w:val="22"/>
        </w:rPr>
        <w:t> </w:t>
      </w:r>
      <w:r>
        <w:rPr>
          <w:sz w:val="22"/>
        </w:rPr>
        <w:t>this domain for that Budget Period. If the State does not meet the target, then it will earn a 0% score for that Budget Period.</w:t>
      </w:r>
    </w:p>
    <w:p>
      <w:pPr>
        <w:pStyle w:val="ListParagraph"/>
        <w:numPr>
          <w:ilvl w:val="3"/>
          <w:numId w:val="77"/>
        </w:numPr>
        <w:tabs>
          <w:tab w:pos="1939" w:val="left" w:leader="none"/>
        </w:tabs>
        <w:spacing w:line="252" w:lineRule="exact" w:before="199" w:after="0"/>
        <w:ind w:left="1939" w:right="0" w:hanging="719"/>
        <w:jc w:val="both"/>
        <w:rPr>
          <w:b/>
          <w:i/>
          <w:color w:val="4471C4"/>
          <w:sz w:val="22"/>
        </w:rPr>
      </w:pPr>
      <w:bookmarkStart w:name="5.2.1.2 State Accountability Domain 2: R" w:id="1370"/>
      <w:bookmarkEnd w:id="1370"/>
      <w:r>
        <w:rPr/>
      </w:r>
      <w:r>
        <w:rPr>
          <w:b/>
          <w:i/>
          <w:color w:val="4471C4"/>
          <w:sz w:val="22"/>
        </w:rPr>
        <w:t>State</w:t>
      </w:r>
      <w:r>
        <w:rPr>
          <w:b/>
          <w:i/>
          <w:color w:val="4471C4"/>
          <w:spacing w:val="-6"/>
          <w:sz w:val="22"/>
        </w:rPr>
        <w:t> </w:t>
      </w:r>
      <w:r>
        <w:rPr>
          <w:b/>
          <w:i/>
          <w:color w:val="4471C4"/>
          <w:sz w:val="22"/>
        </w:rPr>
        <w:t>Accountability</w:t>
      </w:r>
      <w:r>
        <w:rPr>
          <w:b/>
          <w:i/>
          <w:color w:val="4471C4"/>
          <w:spacing w:val="-3"/>
          <w:sz w:val="22"/>
        </w:rPr>
        <w:t> </w:t>
      </w:r>
      <w:r>
        <w:rPr>
          <w:b/>
          <w:i/>
          <w:color w:val="4471C4"/>
          <w:sz w:val="22"/>
        </w:rPr>
        <w:t>Domain</w:t>
      </w:r>
      <w:r>
        <w:rPr>
          <w:b/>
          <w:i/>
          <w:color w:val="4471C4"/>
          <w:spacing w:val="-4"/>
          <w:sz w:val="22"/>
        </w:rPr>
        <w:t> </w:t>
      </w:r>
      <w:r>
        <w:rPr>
          <w:b/>
          <w:i/>
          <w:color w:val="4471C4"/>
          <w:sz w:val="22"/>
        </w:rPr>
        <w:t>2:</w:t>
      </w:r>
      <w:r>
        <w:rPr>
          <w:b/>
          <w:i/>
          <w:color w:val="4471C4"/>
          <w:spacing w:val="-3"/>
          <w:sz w:val="22"/>
        </w:rPr>
        <w:t> </w:t>
      </w:r>
      <w:r>
        <w:rPr>
          <w:b/>
          <w:i/>
          <w:color w:val="4471C4"/>
          <w:sz w:val="22"/>
        </w:rPr>
        <w:t>Reduction</w:t>
      </w:r>
      <w:r>
        <w:rPr>
          <w:b/>
          <w:i/>
          <w:color w:val="4471C4"/>
          <w:spacing w:val="-6"/>
          <w:sz w:val="22"/>
        </w:rPr>
        <w:t> </w:t>
      </w:r>
      <w:r>
        <w:rPr>
          <w:b/>
          <w:i/>
          <w:color w:val="4471C4"/>
          <w:sz w:val="22"/>
        </w:rPr>
        <w:t>in</w:t>
      </w:r>
      <w:r>
        <w:rPr>
          <w:b/>
          <w:i/>
          <w:color w:val="4471C4"/>
          <w:spacing w:val="-4"/>
          <w:sz w:val="22"/>
        </w:rPr>
        <w:t> </w:t>
      </w:r>
      <w:r>
        <w:rPr>
          <w:b/>
          <w:i/>
          <w:color w:val="4471C4"/>
          <w:sz w:val="22"/>
        </w:rPr>
        <w:t>State</w:t>
      </w:r>
      <w:r>
        <w:rPr>
          <w:b/>
          <w:i/>
          <w:color w:val="4471C4"/>
          <w:spacing w:val="-5"/>
          <w:sz w:val="22"/>
        </w:rPr>
        <w:t> </w:t>
      </w:r>
      <w:r>
        <w:rPr>
          <w:b/>
          <w:i/>
          <w:color w:val="4471C4"/>
          <w:sz w:val="22"/>
        </w:rPr>
        <w:t>Spending</w:t>
      </w:r>
      <w:r>
        <w:rPr>
          <w:b/>
          <w:i/>
          <w:color w:val="4471C4"/>
          <w:spacing w:val="-3"/>
          <w:sz w:val="22"/>
        </w:rPr>
        <w:t> </w:t>
      </w:r>
      <w:r>
        <w:rPr>
          <w:b/>
          <w:i/>
          <w:color w:val="4471C4"/>
          <w:spacing w:val="-2"/>
          <w:sz w:val="22"/>
        </w:rPr>
        <w:t>Growth</w:t>
      </w:r>
    </w:p>
    <w:p>
      <w:pPr>
        <w:spacing w:line="242" w:lineRule="auto" w:before="0"/>
        <w:ind w:left="1220" w:right="1095" w:firstLine="0"/>
        <w:jc w:val="both"/>
        <w:rPr>
          <w:sz w:val="22"/>
        </w:rPr>
      </w:pPr>
      <w:r>
        <w:rPr>
          <w:sz w:val="22"/>
        </w:rPr>
        <w:t>In</w:t>
      </w:r>
      <w:r>
        <w:rPr>
          <w:spacing w:val="-14"/>
          <w:sz w:val="22"/>
        </w:rPr>
        <w:t> </w:t>
      </w:r>
      <w:r>
        <w:rPr>
          <w:sz w:val="22"/>
        </w:rPr>
        <w:t>accordance</w:t>
      </w:r>
      <w:r>
        <w:rPr>
          <w:spacing w:val="-14"/>
          <w:sz w:val="22"/>
        </w:rPr>
        <w:t> </w:t>
      </w:r>
      <w:r>
        <w:rPr>
          <w:sz w:val="22"/>
        </w:rPr>
        <w:t>with</w:t>
      </w:r>
      <w:r>
        <w:rPr>
          <w:spacing w:val="-14"/>
          <w:sz w:val="22"/>
        </w:rPr>
        <w:t> </w:t>
      </w:r>
      <w:r>
        <w:rPr>
          <w:sz w:val="22"/>
        </w:rPr>
        <w:t>STC</w:t>
      </w:r>
      <w:r>
        <w:rPr>
          <w:spacing w:val="-13"/>
          <w:sz w:val="22"/>
        </w:rPr>
        <w:t> </w:t>
      </w:r>
      <w:r>
        <w:rPr>
          <w:sz w:val="22"/>
        </w:rPr>
        <w:t>71(f),</w:t>
      </w:r>
      <w:r>
        <w:rPr>
          <w:spacing w:val="-14"/>
          <w:sz w:val="22"/>
        </w:rPr>
        <w:t> </w:t>
      </w:r>
      <w:r>
        <w:rPr>
          <w:sz w:val="22"/>
        </w:rPr>
        <w:t>the</w:t>
      </w:r>
      <w:r>
        <w:rPr>
          <w:spacing w:val="-13"/>
          <w:sz w:val="22"/>
        </w:rPr>
        <w:t> </w:t>
      </w:r>
      <w:r>
        <w:rPr>
          <w:sz w:val="22"/>
        </w:rPr>
        <w:t>State</w:t>
      </w:r>
      <w:r>
        <w:rPr>
          <w:spacing w:val="-13"/>
          <w:sz w:val="22"/>
        </w:rPr>
        <w:t> </w:t>
      </w:r>
      <w:r>
        <w:rPr>
          <w:sz w:val="22"/>
        </w:rPr>
        <w:t>will</w:t>
      </w:r>
      <w:r>
        <w:rPr>
          <w:spacing w:val="-12"/>
          <w:sz w:val="22"/>
        </w:rPr>
        <w:t> </w:t>
      </w:r>
      <w:r>
        <w:rPr>
          <w:sz w:val="22"/>
        </w:rPr>
        <w:t>calculate</w:t>
      </w:r>
      <w:r>
        <w:rPr>
          <w:spacing w:val="-13"/>
          <w:sz w:val="22"/>
        </w:rPr>
        <w:t> </w:t>
      </w:r>
      <w:r>
        <w:rPr>
          <w:sz w:val="22"/>
        </w:rPr>
        <w:t>its</w:t>
      </w:r>
      <w:r>
        <w:rPr>
          <w:spacing w:val="-13"/>
          <w:sz w:val="22"/>
        </w:rPr>
        <w:t> </w:t>
      </w:r>
      <w:r>
        <w:rPr>
          <w:sz w:val="22"/>
        </w:rPr>
        <w:t>performance</w:t>
      </w:r>
      <w:r>
        <w:rPr>
          <w:spacing w:val="-13"/>
          <w:sz w:val="22"/>
        </w:rPr>
        <w:t> </w:t>
      </w:r>
      <w:r>
        <w:rPr>
          <w:sz w:val="22"/>
        </w:rPr>
        <w:t>on</w:t>
      </w:r>
      <w:r>
        <w:rPr>
          <w:spacing w:val="-13"/>
          <w:sz w:val="22"/>
        </w:rPr>
        <w:t> </w:t>
      </w:r>
      <w:r>
        <w:rPr>
          <w:sz w:val="22"/>
        </w:rPr>
        <w:t>reduction</w:t>
      </w:r>
      <w:r>
        <w:rPr>
          <w:spacing w:val="-14"/>
          <w:sz w:val="22"/>
        </w:rPr>
        <w:t> </w:t>
      </w:r>
      <w:r>
        <w:rPr>
          <w:sz w:val="22"/>
        </w:rPr>
        <w:t>in</w:t>
      </w:r>
      <w:r>
        <w:rPr>
          <w:spacing w:val="-13"/>
          <w:sz w:val="22"/>
        </w:rPr>
        <w:t> </w:t>
      </w:r>
      <w:r>
        <w:rPr>
          <w:sz w:val="22"/>
        </w:rPr>
        <w:t>state</w:t>
      </w:r>
      <w:r>
        <w:rPr>
          <w:spacing w:val="-13"/>
          <w:sz w:val="22"/>
        </w:rPr>
        <w:t> </w:t>
      </w:r>
      <w:r>
        <w:rPr>
          <w:sz w:val="22"/>
        </w:rPr>
        <w:t>spending</w:t>
      </w:r>
      <w:r>
        <w:rPr>
          <w:spacing w:val="-14"/>
          <w:sz w:val="22"/>
        </w:rPr>
        <w:t> </w:t>
      </w:r>
      <w:r>
        <w:rPr>
          <w:sz w:val="22"/>
        </w:rPr>
        <w:t>growth compared to the trended PMPM, as detailed in Exhibit 27 and the domain score will be determined according</w:t>
      </w:r>
      <w:r>
        <w:rPr>
          <w:spacing w:val="-12"/>
          <w:sz w:val="22"/>
        </w:rPr>
        <w:t> </w:t>
      </w:r>
      <w:r>
        <w:rPr>
          <w:sz w:val="22"/>
        </w:rPr>
        <w:t>to</w:t>
      </w:r>
      <w:r>
        <w:rPr>
          <w:spacing w:val="-10"/>
          <w:sz w:val="22"/>
        </w:rPr>
        <w:t> </w:t>
      </w:r>
      <w:r>
        <w:rPr>
          <w:sz w:val="22"/>
        </w:rPr>
        <w:t>a</w:t>
      </w:r>
      <w:r>
        <w:rPr>
          <w:spacing w:val="-9"/>
          <w:sz w:val="22"/>
        </w:rPr>
        <w:t> </w:t>
      </w:r>
      <w:r>
        <w:rPr>
          <w:sz w:val="22"/>
        </w:rPr>
        <w:t>gap-to-goal</w:t>
      </w:r>
      <w:r>
        <w:rPr>
          <w:spacing w:val="-9"/>
          <w:sz w:val="22"/>
        </w:rPr>
        <w:t> </w:t>
      </w:r>
      <w:r>
        <w:rPr>
          <w:sz w:val="22"/>
        </w:rPr>
        <w:t>methodology</w:t>
      </w:r>
      <w:r>
        <w:rPr>
          <w:spacing w:val="-12"/>
          <w:sz w:val="22"/>
        </w:rPr>
        <w:t> </w:t>
      </w:r>
      <w:r>
        <w:rPr>
          <w:sz w:val="22"/>
        </w:rPr>
        <w:t>for</w:t>
      </w:r>
      <w:r>
        <w:rPr>
          <w:spacing w:val="-9"/>
          <w:sz w:val="22"/>
        </w:rPr>
        <w:t> </w:t>
      </w:r>
      <w:r>
        <w:rPr>
          <w:sz w:val="22"/>
        </w:rPr>
        <w:t>each</w:t>
      </w:r>
      <w:r>
        <w:rPr>
          <w:spacing w:val="-10"/>
          <w:sz w:val="22"/>
        </w:rPr>
        <w:t> </w:t>
      </w:r>
      <w:r>
        <w:rPr>
          <w:sz w:val="22"/>
        </w:rPr>
        <w:t>Budget</w:t>
      </w:r>
      <w:r>
        <w:rPr>
          <w:spacing w:val="-9"/>
          <w:sz w:val="22"/>
        </w:rPr>
        <w:t> </w:t>
      </w:r>
      <w:r>
        <w:rPr>
          <w:sz w:val="22"/>
        </w:rPr>
        <w:t>Period,</w:t>
      </w:r>
      <w:r>
        <w:rPr>
          <w:spacing w:val="-10"/>
          <w:sz w:val="22"/>
        </w:rPr>
        <w:t> </w:t>
      </w:r>
      <w:r>
        <w:rPr>
          <w:sz w:val="22"/>
        </w:rPr>
        <w:t>as</w:t>
      </w:r>
      <w:r>
        <w:rPr>
          <w:spacing w:val="-9"/>
          <w:sz w:val="22"/>
        </w:rPr>
        <w:t> </w:t>
      </w:r>
      <w:r>
        <w:rPr>
          <w:sz w:val="22"/>
        </w:rPr>
        <w:t>detailed</w:t>
      </w:r>
      <w:r>
        <w:rPr>
          <w:spacing w:val="-12"/>
          <w:sz w:val="22"/>
        </w:rPr>
        <w:t> </w:t>
      </w:r>
      <w:r>
        <w:rPr>
          <w:sz w:val="22"/>
        </w:rPr>
        <w:t>in</w:t>
      </w:r>
      <w:r>
        <w:rPr>
          <w:spacing w:val="-10"/>
          <w:sz w:val="22"/>
        </w:rPr>
        <w:t> </w:t>
      </w:r>
      <w:r>
        <w:rPr>
          <w:sz w:val="22"/>
        </w:rPr>
        <w:t>STC</w:t>
      </w:r>
      <w:r>
        <w:rPr>
          <w:spacing w:val="-10"/>
          <w:sz w:val="22"/>
        </w:rPr>
        <w:t> </w:t>
      </w:r>
      <w:r>
        <w:rPr>
          <w:sz w:val="22"/>
        </w:rPr>
        <w:t>71(g).</w:t>
      </w:r>
      <w:r>
        <w:rPr>
          <w:spacing w:val="-12"/>
          <w:sz w:val="22"/>
        </w:rPr>
        <w:t> </w:t>
      </w:r>
      <w:r>
        <w:rPr>
          <w:sz w:val="22"/>
        </w:rPr>
        <w:t>The</w:t>
      </w:r>
      <w:r>
        <w:rPr>
          <w:spacing w:val="-12"/>
          <w:sz w:val="22"/>
        </w:rPr>
        <w:t> </w:t>
      </w:r>
      <w:r>
        <w:rPr>
          <w:sz w:val="22"/>
        </w:rPr>
        <w:t>PMPM</w:t>
      </w:r>
      <w:r>
        <w:rPr>
          <w:spacing w:val="-9"/>
          <w:sz w:val="22"/>
        </w:rPr>
        <w:t> </w:t>
      </w:r>
      <w:r>
        <w:rPr>
          <w:sz w:val="22"/>
        </w:rPr>
        <w:t>used will be as follows:</w:t>
      </w:r>
    </w:p>
    <w:p>
      <w:pPr>
        <w:spacing w:before="151"/>
        <w:ind w:left="1219" w:right="1095" w:firstLine="0"/>
        <w:jc w:val="both"/>
        <w:rPr>
          <w:sz w:val="22"/>
        </w:rPr>
      </w:pPr>
      <w:r>
        <w:rPr>
          <w:sz w:val="22"/>
        </w:rPr>
        <w:t>4.4% - 2017 President’s Budget Medicaid Baseline smoothed per capita cost trend, all populations combined, 2017-2022</w:t>
      </w:r>
    </w:p>
    <w:p>
      <w:pPr>
        <w:spacing w:before="159"/>
        <w:ind w:left="1220" w:right="1094" w:firstLine="0"/>
        <w:jc w:val="both"/>
        <w:rPr>
          <w:sz w:val="22"/>
        </w:rPr>
      </w:pPr>
      <w:r>
        <w:rPr>
          <w:sz w:val="22"/>
        </w:rPr>
        <w:t>The State will be accountable to a 2.1% reduction in PMPMs for the ACO-enrolled population, off of “trended PMPMs” (described below) by BP 5. In Budget Periods 3 and 4, the State will have target reductions smaller than 2.1% off of the trended PMPM, as preliminarily detailed in Exhibit 27.</w:t>
      </w:r>
    </w:p>
    <w:p>
      <w:pPr>
        <w:spacing w:before="200"/>
        <w:ind w:left="1220" w:right="0" w:firstLine="0"/>
        <w:jc w:val="both"/>
        <w:rPr>
          <w:sz w:val="22"/>
        </w:rPr>
      </w:pPr>
      <w:r>
        <w:rPr>
          <w:sz w:val="22"/>
        </w:rPr>
        <w:t>EXHIBIT</w:t>
      </w:r>
      <w:r>
        <w:rPr>
          <w:spacing w:val="-5"/>
          <w:sz w:val="22"/>
        </w:rPr>
        <w:t> </w:t>
      </w:r>
      <w:r>
        <w:rPr>
          <w:sz w:val="22"/>
        </w:rPr>
        <w:t>27</w:t>
      </w:r>
      <w:r>
        <w:rPr>
          <w:spacing w:val="-5"/>
          <w:sz w:val="22"/>
        </w:rPr>
        <w:t> </w:t>
      </w:r>
      <w:r>
        <w:rPr>
          <w:sz w:val="22"/>
        </w:rPr>
        <w:t>–</w:t>
      </w:r>
      <w:r>
        <w:rPr>
          <w:spacing w:val="-5"/>
          <w:sz w:val="22"/>
        </w:rPr>
        <w:t> </w:t>
      </w:r>
      <w:r>
        <w:rPr>
          <w:sz w:val="22"/>
        </w:rPr>
        <w:t>Proposed</w:t>
      </w:r>
      <w:r>
        <w:rPr>
          <w:spacing w:val="-4"/>
          <w:sz w:val="22"/>
        </w:rPr>
        <w:t> </w:t>
      </w:r>
      <w:r>
        <w:rPr>
          <w:sz w:val="22"/>
        </w:rPr>
        <w:t>Reduction</w:t>
      </w:r>
      <w:r>
        <w:rPr>
          <w:spacing w:val="-8"/>
          <w:sz w:val="22"/>
        </w:rPr>
        <w:t> </w:t>
      </w:r>
      <w:r>
        <w:rPr>
          <w:sz w:val="22"/>
        </w:rPr>
        <w:t>Targets</w:t>
      </w:r>
      <w:r>
        <w:rPr>
          <w:spacing w:val="-4"/>
          <w:sz w:val="22"/>
        </w:rPr>
        <w:t> </w:t>
      </w:r>
      <w:r>
        <w:rPr>
          <w:sz w:val="22"/>
        </w:rPr>
        <w:t>for</w:t>
      </w:r>
      <w:r>
        <w:rPr>
          <w:spacing w:val="-4"/>
          <w:sz w:val="22"/>
        </w:rPr>
        <w:t> </w:t>
      </w:r>
      <w:r>
        <w:rPr>
          <w:sz w:val="22"/>
        </w:rPr>
        <w:t>ACO-Enrolled</w:t>
      </w:r>
      <w:r>
        <w:rPr>
          <w:spacing w:val="-4"/>
          <w:sz w:val="22"/>
        </w:rPr>
        <w:t> </w:t>
      </w:r>
      <w:r>
        <w:rPr>
          <w:spacing w:val="-2"/>
          <w:sz w:val="22"/>
        </w:rPr>
        <w:t>PMPMs</w:t>
      </w:r>
    </w:p>
    <w:tbl>
      <w:tblPr>
        <w:tblW w:w="0" w:type="auto"/>
        <w:jc w:val="left"/>
        <w:tblInd w:w="1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67"/>
        <w:gridCol w:w="1164"/>
        <w:gridCol w:w="1075"/>
        <w:gridCol w:w="989"/>
        <w:gridCol w:w="1253"/>
        <w:gridCol w:w="1251"/>
        <w:gridCol w:w="1253"/>
        <w:gridCol w:w="204"/>
      </w:tblGrid>
      <w:tr>
        <w:trPr>
          <w:trHeight w:val="505" w:hRule="atLeast"/>
        </w:trPr>
        <w:tc>
          <w:tcPr>
            <w:tcW w:w="2167" w:type="dxa"/>
            <w:tcBorders>
              <w:left w:val="single" w:sz="4" w:space="0" w:color="BEBEBE"/>
              <w:bottom w:val="single" w:sz="4" w:space="0" w:color="BEBEBE"/>
              <w:right w:val="single" w:sz="4" w:space="0" w:color="BEBEBE"/>
            </w:tcBorders>
            <w:shd w:val="clear" w:color="auto" w:fill="44536A"/>
          </w:tcPr>
          <w:p>
            <w:pPr>
              <w:pStyle w:val="TableParagraph"/>
              <w:tabs>
                <w:tab w:pos="1386" w:val="left" w:leader="none"/>
              </w:tabs>
              <w:spacing w:line="252" w:lineRule="exact"/>
              <w:ind w:left="107" w:right="94"/>
              <w:rPr>
                <w:b/>
                <w:sz w:val="22"/>
              </w:rPr>
            </w:pPr>
            <w:r>
              <w:rPr>
                <w:b/>
                <w:color w:val="FFFFFF"/>
                <w:spacing w:val="-2"/>
                <w:sz w:val="22"/>
              </w:rPr>
              <w:t>DSRIP</w:t>
            </w:r>
            <w:r>
              <w:rPr>
                <w:b/>
                <w:color w:val="FFFFFF"/>
                <w:sz w:val="22"/>
              </w:rPr>
              <w:tab/>
            </w:r>
            <w:r>
              <w:rPr>
                <w:b/>
                <w:color w:val="FFFFFF"/>
                <w:spacing w:val="-2"/>
                <w:sz w:val="22"/>
              </w:rPr>
              <w:t>Budget Period</w:t>
            </w:r>
          </w:p>
        </w:tc>
        <w:tc>
          <w:tcPr>
            <w:tcW w:w="1164" w:type="dxa"/>
            <w:tcBorders>
              <w:left w:val="single" w:sz="4" w:space="0" w:color="BEBEBE"/>
              <w:bottom w:val="single" w:sz="4" w:space="0" w:color="BEBEBE"/>
              <w:right w:val="single" w:sz="4" w:space="0" w:color="BEBEBE"/>
            </w:tcBorders>
            <w:shd w:val="clear" w:color="auto" w:fill="D9D9D9"/>
          </w:tcPr>
          <w:p>
            <w:pPr>
              <w:pStyle w:val="TableParagraph"/>
              <w:spacing w:line="252" w:lineRule="exact"/>
              <w:ind w:left="108" w:right="402"/>
              <w:rPr>
                <w:sz w:val="22"/>
              </w:rPr>
            </w:pPr>
            <w:r>
              <w:rPr>
                <w:spacing w:val="-4"/>
                <w:sz w:val="22"/>
              </w:rPr>
              <w:t>Prep </w:t>
            </w:r>
            <w:r>
              <w:rPr>
                <w:spacing w:val="-2"/>
                <w:sz w:val="22"/>
              </w:rPr>
              <w:t>Budget</w:t>
            </w:r>
          </w:p>
        </w:tc>
        <w:tc>
          <w:tcPr>
            <w:tcW w:w="1075" w:type="dxa"/>
            <w:tcBorders>
              <w:left w:val="single" w:sz="4" w:space="0" w:color="BEBEBE"/>
              <w:bottom w:val="single" w:sz="4" w:space="0" w:color="BEBEBE"/>
              <w:right w:val="single" w:sz="4" w:space="0" w:color="BEBEBE"/>
            </w:tcBorders>
            <w:shd w:val="clear" w:color="auto" w:fill="D9D9D9"/>
          </w:tcPr>
          <w:p>
            <w:pPr>
              <w:pStyle w:val="TableParagraph"/>
              <w:spacing w:before="125"/>
              <w:ind w:left="107"/>
              <w:rPr>
                <w:sz w:val="22"/>
              </w:rPr>
            </w:pPr>
            <w:r>
              <w:rPr>
                <w:sz w:val="22"/>
              </w:rPr>
              <w:t>BP</w:t>
            </w:r>
            <w:r>
              <w:rPr>
                <w:spacing w:val="-2"/>
                <w:sz w:val="22"/>
              </w:rPr>
              <w:t> </w:t>
            </w:r>
            <w:r>
              <w:rPr>
                <w:spacing w:val="-10"/>
                <w:sz w:val="22"/>
              </w:rPr>
              <w:t>1</w:t>
            </w:r>
          </w:p>
        </w:tc>
        <w:tc>
          <w:tcPr>
            <w:tcW w:w="989" w:type="dxa"/>
            <w:tcBorders>
              <w:left w:val="single" w:sz="4" w:space="0" w:color="BEBEBE"/>
              <w:bottom w:val="single" w:sz="4" w:space="0" w:color="BEBEBE"/>
              <w:right w:val="single" w:sz="4" w:space="0" w:color="BEBEBE"/>
            </w:tcBorders>
            <w:shd w:val="clear" w:color="auto" w:fill="D9D9D9"/>
          </w:tcPr>
          <w:p>
            <w:pPr>
              <w:pStyle w:val="TableParagraph"/>
              <w:spacing w:before="125"/>
              <w:ind w:left="105"/>
              <w:rPr>
                <w:sz w:val="22"/>
              </w:rPr>
            </w:pPr>
            <w:r>
              <w:rPr>
                <w:sz w:val="22"/>
              </w:rPr>
              <w:t>BP</w:t>
            </w:r>
            <w:r>
              <w:rPr>
                <w:spacing w:val="-2"/>
                <w:sz w:val="22"/>
              </w:rPr>
              <w:t> </w:t>
            </w:r>
            <w:r>
              <w:rPr>
                <w:spacing w:val="-10"/>
                <w:sz w:val="22"/>
              </w:rPr>
              <w:t>2</w:t>
            </w:r>
          </w:p>
        </w:tc>
        <w:tc>
          <w:tcPr>
            <w:tcW w:w="1253" w:type="dxa"/>
            <w:tcBorders>
              <w:left w:val="single" w:sz="4" w:space="0" w:color="BEBEBE"/>
              <w:bottom w:val="single" w:sz="4" w:space="0" w:color="BEBEBE"/>
              <w:right w:val="single" w:sz="4" w:space="0" w:color="BEBEBE"/>
            </w:tcBorders>
            <w:shd w:val="clear" w:color="auto" w:fill="D9D9D9"/>
          </w:tcPr>
          <w:p>
            <w:pPr>
              <w:pStyle w:val="TableParagraph"/>
              <w:spacing w:before="125"/>
              <w:ind w:left="107"/>
              <w:rPr>
                <w:sz w:val="22"/>
              </w:rPr>
            </w:pPr>
            <w:r>
              <w:rPr>
                <w:sz w:val="22"/>
              </w:rPr>
              <w:t>BP</w:t>
            </w:r>
            <w:r>
              <w:rPr>
                <w:spacing w:val="-2"/>
                <w:sz w:val="22"/>
              </w:rPr>
              <w:t> </w:t>
            </w:r>
            <w:r>
              <w:rPr>
                <w:spacing w:val="-10"/>
                <w:sz w:val="22"/>
              </w:rPr>
              <w:t>3</w:t>
            </w:r>
          </w:p>
        </w:tc>
        <w:tc>
          <w:tcPr>
            <w:tcW w:w="1251" w:type="dxa"/>
            <w:tcBorders>
              <w:left w:val="single" w:sz="4" w:space="0" w:color="BEBEBE"/>
              <w:bottom w:val="single" w:sz="4" w:space="0" w:color="BEBEBE"/>
              <w:right w:val="single" w:sz="4" w:space="0" w:color="BEBEBE"/>
            </w:tcBorders>
            <w:shd w:val="clear" w:color="auto" w:fill="D9D9D9"/>
          </w:tcPr>
          <w:p>
            <w:pPr>
              <w:pStyle w:val="TableParagraph"/>
              <w:spacing w:before="125"/>
              <w:ind w:left="107"/>
              <w:rPr>
                <w:sz w:val="22"/>
              </w:rPr>
            </w:pPr>
            <w:r>
              <w:rPr>
                <w:sz w:val="22"/>
              </w:rPr>
              <w:t>BP</w:t>
            </w:r>
            <w:r>
              <w:rPr>
                <w:spacing w:val="-2"/>
                <w:sz w:val="22"/>
              </w:rPr>
              <w:t> </w:t>
            </w:r>
            <w:r>
              <w:rPr>
                <w:spacing w:val="-10"/>
                <w:sz w:val="22"/>
              </w:rPr>
              <w:t>4</w:t>
            </w:r>
          </w:p>
        </w:tc>
        <w:tc>
          <w:tcPr>
            <w:tcW w:w="1253" w:type="dxa"/>
            <w:tcBorders>
              <w:left w:val="single" w:sz="4" w:space="0" w:color="BEBEBE"/>
              <w:bottom w:val="single" w:sz="4" w:space="0" w:color="BEBEBE"/>
              <w:right w:val="single" w:sz="4" w:space="0" w:color="BEBEBE"/>
            </w:tcBorders>
            <w:shd w:val="clear" w:color="auto" w:fill="D9D9D9"/>
          </w:tcPr>
          <w:p>
            <w:pPr>
              <w:pStyle w:val="TableParagraph"/>
              <w:spacing w:before="125"/>
              <w:ind w:left="107"/>
              <w:rPr>
                <w:sz w:val="22"/>
              </w:rPr>
            </w:pPr>
            <w:r>
              <w:rPr>
                <w:sz w:val="22"/>
              </w:rPr>
              <w:t>BP</w:t>
            </w:r>
            <w:r>
              <w:rPr>
                <w:spacing w:val="-2"/>
                <w:sz w:val="22"/>
              </w:rPr>
              <w:t> </w:t>
            </w:r>
            <w:r>
              <w:rPr>
                <w:spacing w:val="-10"/>
                <w:sz w:val="22"/>
              </w:rPr>
              <w:t>5</w:t>
            </w:r>
          </w:p>
        </w:tc>
        <w:tc>
          <w:tcPr>
            <w:tcW w:w="204" w:type="dxa"/>
            <w:vMerge w:val="restart"/>
            <w:tcBorders>
              <w:top w:val="single" w:sz="4" w:space="0" w:color="000000"/>
              <w:left w:val="single" w:sz="4" w:space="0" w:color="BEBEBE"/>
              <w:bottom w:val="single" w:sz="4" w:space="0" w:color="000000"/>
              <w:right w:val="nil"/>
            </w:tcBorders>
          </w:tcPr>
          <w:p>
            <w:pPr>
              <w:pStyle w:val="TableParagraph"/>
              <w:rPr>
                <w:sz w:val="20"/>
              </w:rPr>
            </w:pPr>
          </w:p>
        </w:tc>
      </w:tr>
      <w:tr>
        <w:trPr>
          <w:trHeight w:val="1008" w:hRule="atLeast"/>
        </w:trPr>
        <w:tc>
          <w:tcPr>
            <w:tcW w:w="2167" w:type="dxa"/>
            <w:tcBorders>
              <w:top w:val="single" w:sz="4" w:space="0" w:color="BEBEBE"/>
              <w:left w:val="single" w:sz="4" w:space="0" w:color="BEBEBE"/>
              <w:bottom w:val="double" w:sz="4" w:space="0" w:color="000000"/>
              <w:right w:val="single" w:sz="4" w:space="0" w:color="BEBEBE"/>
            </w:tcBorders>
            <w:shd w:val="clear" w:color="auto" w:fill="44536A"/>
          </w:tcPr>
          <w:p>
            <w:pPr>
              <w:pStyle w:val="TableParagraph"/>
              <w:spacing w:before="1"/>
              <w:ind w:left="107" w:right="92"/>
              <w:jc w:val="both"/>
              <w:rPr>
                <w:b/>
                <w:sz w:val="22"/>
              </w:rPr>
            </w:pPr>
            <w:r>
              <w:rPr>
                <w:b/>
                <w:color w:val="FFFFFF"/>
                <w:sz w:val="22"/>
              </w:rPr>
              <w:t>%</w:t>
            </w:r>
            <w:r>
              <w:rPr>
                <w:b/>
                <w:color w:val="FFFFFF"/>
                <w:spacing w:val="-8"/>
                <w:sz w:val="22"/>
              </w:rPr>
              <w:t> </w:t>
            </w:r>
            <w:r>
              <w:rPr>
                <w:b/>
                <w:color w:val="FFFFFF"/>
                <w:sz w:val="22"/>
              </w:rPr>
              <w:t>Reduction</w:t>
            </w:r>
            <w:r>
              <w:rPr>
                <w:b/>
                <w:color w:val="FFFFFF"/>
                <w:spacing w:val="-6"/>
                <w:sz w:val="22"/>
              </w:rPr>
              <w:t> </w:t>
            </w:r>
            <w:r>
              <w:rPr>
                <w:b/>
                <w:color w:val="FFFFFF"/>
                <w:sz w:val="22"/>
              </w:rPr>
              <w:t>Target in </w:t>
            </w:r>
            <w:r>
              <w:rPr>
                <w:b/>
                <w:color w:val="FFFFFF"/>
                <w:sz w:val="22"/>
              </w:rPr>
              <w:t>ACO-enrolled PMPM</w:t>
            </w:r>
            <w:r>
              <w:rPr>
                <w:b/>
                <w:color w:val="FFFFFF"/>
                <w:spacing w:val="56"/>
                <w:w w:val="150"/>
                <w:sz w:val="22"/>
              </w:rPr>
              <w:t> </w:t>
            </w:r>
            <w:r>
              <w:rPr>
                <w:b/>
                <w:color w:val="FFFFFF"/>
                <w:sz w:val="22"/>
              </w:rPr>
              <w:t>vs.</w:t>
            </w:r>
            <w:r>
              <w:rPr>
                <w:b/>
                <w:color w:val="FFFFFF"/>
                <w:spacing w:val="57"/>
                <w:w w:val="150"/>
                <w:sz w:val="22"/>
              </w:rPr>
              <w:t> </w:t>
            </w:r>
            <w:r>
              <w:rPr>
                <w:b/>
                <w:color w:val="FFFFFF"/>
                <w:spacing w:val="-2"/>
                <w:sz w:val="22"/>
              </w:rPr>
              <w:t>trended</w:t>
            </w:r>
          </w:p>
          <w:p>
            <w:pPr>
              <w:pStyle w:val="TableParagraph"/>
              <w:spacing w:line="229" w:lineRule="exact"/>
              <w:ind w:left="107"/>
              <w:rPr>
                <w:b/>
                <w:sz w:val="22"/>
              </w:rPr>
            </w:pPr>
            <w:r>
              <w:rPr>
                <w:b/>
                <w:color w:val="FFFFFF"/>
                <w:spacing w:val="-4"/>
                <w:sz w:val="22"/>
              </w:rPr>
              <w:t>PMPM</w:t>
            </w:r>
          </w:p>
        </w:tc>
        <w:tc>
          <w:tcPr>
            <w:tcW w:w="1164" w:type="dxa"/>
            <w:tcBorders>
              <w:top w:val="single" w:sz="4" w:space="0" w:color="BEBEBE"/>
              <w:left w:val="single" w:sz="4" w:space="0" w:color="BEBEBE"/>
              <w:bottom w:val="double" w:sz="4" w:space="0" w:color="000000"/>
              <w:right w:val="single" w:sz="4" w:space="0" w:color="BEBEBE"/>
            </w:tcBorders>
          </w:tcPr>
          <w:p>
            <w:pPr>
              <w:pStyle w:val="TableParagraph"/>
              <w:rPr>
                <w:sz w:val="33"/>
              </w:rPr>
            </w:pPr>
          </w:p>
          <w:p>
            <w:pPr>
              <w:pStyle w:val="TableParagraph"/>
              <w:ind w:left="108"/>
              <w:rPr>
                <w:sz w:val="22"/>
              </w:rPr>
            </w:pPr>
            <w:r>
              <w:rPr>
                <w:spacing w:val="-5"/>
                <w:sz w:val="22"/>
              </w:rPr>
              <w:t>NA</w:t>
            </w:r>
          </w:p>
        </w:tc>
        <w:tc>
          <w:tcPr>
            <w:tcW w:w="1075" w:type="dxa"/>
            <w:tcBorders>
              <w:top w:val="single" w:sz="4" w:space="0" w:color="BEBEBE"/>
              <w:left w:val="single" w:sz="4" w:space="0" w:color="BEBEBE"/>
              <w:bottom w:val="double" w:sz="4" w:space="0" w:color="000000"/>
              <w:right w:val="single" w:sz="4" w:space="0" w:color="BEBEBE"/>
            </w:tcBorders>
          </w:tcPr>
          <w:p>
            <w:pPr>
              <w:pStyle w:val="TableParagraph"/>
              <w:rPr>
                <w:sz w:val="33"/>
              </w:rPr>
            </w:pPr>
          </w:p>
          <w:p>
            <w:pPr>
              <w:pStyle w:val="TableParagraph"/>
              <w:ind w:left="108"/>
              <w:rPr>
                <w:sz w:val="22"/>
              </w:rPr>
            </w:pPr>
            <w:r>
              <w:rPr>
                <w:spacing w:val="-5"/>
                <w:sz w:val="22"/>
              </w:rPr>
              <w:t>NA</w:t>
            </w:r>
          </w:p>
        </w:tc>
        <w:tc>
          <w:tcPr>
            <w:tcW w:w="989" w:type="dxa"/>
            <w:tcBorders>
              <w:top w:val="single" w:sz="4" w:space="0" w:color="BEBEBE"/>
              <w:left w:val="single" w:sz="4" w:space="0" w:color="BEBEBE"/>
              <w:bottom w:val="double" w:sz="4" w:space="0" w:color="000000"/>
              <w:right w:val="single" w:sz="4" w:space="0" w:color="BEBEBE"/>
            </w:tcBorders>
          </w:tcPr>
          <w:p>
            <w:pPr>
              <w:pStyle w:val="TableParagraph"/>
              <w:rPr>
                <w:sz w:val="33"/>
              </w:rPr>
            </w:pPr>
          </w:p>
          <w:p>
            <w:pPr>
              <w:pStyle w:val="TableParagraph"/>
              <w:ind w:left="105"/>
              <w:rPr>
                <w:sz w:val="22"/>
              </w:rPr>
            </w:pPr>
            <w:r>
              <w:rPr>
                <w:spacing w:val="-5"/>
                <w:sz w:val="22"/>
              </w:rPr>
              <w:t>NA</w:t>
            </w:r>
          </w:p>
        </w:tc>
        <w:tc>
          <w:tcPr>
            <w:tcW w:w="1253" w:type="dxa"/>
            <w:tcBorders>
              <w:top w:val="single" w:sz="4" w:space="0" w:color="BEBEBE"/>
              <w:left w:val="single" w:sz="4" w:space="0" w:color="BEBEBE"/>
              <w:bottom w:val="double" w:sz="4" w:space="0" w:color="000000"/>
              <w:right w:val="single" w:sz="4" w:space="0" w:color="BEBEBE"/>
            </w:tcBorders>
          </w:tcPr>
          <w:p>
            <w:pPr>
              <w:pStyle w:val="TableParagraph"/>
              <w:spacing w:before="125"/>
              <w:ind w:left="107" w:right="93"/>
              <w:jc w:val="both"/>
              <w:rPr>
                <w:sz w:val="22"/>
              </w:rPr>
            </w:pPr>
            <w:r>
              <w:rPr>
                <w:sz w:val="22"/>
              </w:rPr>
              <w:t>0.25% </w:t>
            </w:r>
            <w:r>
              <w:rPr>
                <w:sz w:val="22"/>
              </w:rPr>
              <w:t>off of trended </w:t>
            </w:r>
            <w:r>
              <w:rPr>
                <w:spacing w:val="-4"/>
                <w:sz w:val="22"/>
              </w:rPr>
              <w:t>PMPM</w:t>
            </w:r>
          </w:p>
        </w:tc>
        <w:tc>
          <w:tcPr>
            <w:tcW w:w="1251" w:type="dxa"/>
            <w:tcBorders>
              <w:top w:val="single" w:sz="4" w:space="0" w:color="BEBEBE"/>
              <w:left w:val="single" w:sz="4" w:space="0" w:color="BEBEBE"/>
              <w:bottom w:val="double" w:sz="4" w:space="0" w:color="000000"/>
              <w:right w:val="single" w:sz="4" w:space="0" w:color="BEBEBE"/>
            </w:tcBorders>
          </w:tcPr>
          <w:p>
            <w:pPr>
              <w:pStyle w:val="TableParagraph"/>
              <w:spacing w:before="125"/>
              <w:ind w:left="107"/>
              <w:rPr>
                <w:sz w:val="22"/>
              </w:rPr>
            </w:pPr>
            <w:r>
              <w:rPr>
                <w:sz w:val="22"/>
              </w:rPr>
              <w:t>1.1%</w:t>
            </w:r>
            <w:r>
              <w:rPr>
                <w:spacing w:val="-3"/>
                <w:sz w:val="22"/>
              </w:rPr>
              <w:t> </w:t>
            </w:r>
            <w:r>
              <w:rPr>
                <w:sz w:val="22"/>
              </w:rPr>
              <w:t>off</w:t>
            </w:r>
            <w:r>
              <w:rPr>
                <w:spacing w:val="-4"/>
                <w:sz w:val="22"/>
              </w:rPr>
              <w:t> </w:t>
            </w:r>
            <w:r>
              <w:rPr>
                <w:sz w:val="22"/>
              </w:rPr>
              <w:t>of </w:t>
            </w:r>
            <w:r>
              <w:rPr>
                <w:spacing w:val="-2"/>
                <w:sz w:val="22"/>
              </w:rPr>
              <w:t>trended </w:t>
            </w:r>
            <w:r>
              <w:rPr>
                <w:spacing w:val="-4"/>
                <w:sz w:val="22"/>
              </w:rPr>
              <w:t>PMPM</w:t>
            </w:r>
          </w:p>
        </w:tc>
        <w:tc>
          <w:tcPr>
            <w:tcW w:w="1253" w:type="dxa"/>
            <w:tcBorders>
              <w:top w:val="single" w:sz="4" w:space="0" w:color="BEBEBE"/>
              <w:left w:val="single" w:sz="4" w:space="0" w:color="BEBEBE"/>
              <w:bottom w:val="double" w:sz="4" w:space="0" w:color="000000"/>
              <w:right w:val="single" w:sz="4" w:space="0" w:color="BEBEBE"/>
            </w:tcBorders>
          </w:tcPr>
          <w:p>
            <w:pPr>
              <w:pStyle w:val="TableParagraph"/>
              <w:spacing w:before="125"/>
              <w:ind w:left="107"/>
              <w:rPr>
                <w:sz w:val="22"/>
              </w:rPr>
            </w:pPr>
            <w:r>
              <w:rPr>
                <w:sz w:val="22"/>
              </w:rPr>
              <w:t>2.1%</w:t>
            </w:r>
            <w:r>
              <w:rPr>
                <w:spacing w:val="-4"/>
                <w:sz w:val="22"/>
              </w:rPr>
              <w:t> </w:t>
            </w:r>
            <w:r>
              <w:rPr>
                <w:sz w:val="22"/>
              </w:rPr>
              <w:t>off</w:t>
            </w:r>
            <w:r>
              <w:rPr>
                <w:spacing w:val="-4"/>
                <w:sz w:val="22"/>
              </w:rPr>
              <w:t> </w:t>
            </w:r>
            <w:r>
              <w:rPr>
                <w:sz w:val="22"/>
              </w:rPr>
              <w:t>of </w:t>
            </w:r>
            <w:r>
              <w:rPr>
                <w:spacing w:val="-2"/>
                <w:sz w:val="22"/>
              </w:rPr>
              <w:t>trended </w:t>
            </w:r>
            <w:r>
              <w:rPr>
                <w:spacing w:val="-4"/>
                <w:sz w:val="22"/>
              </w:rPr>
              <w:t>PMPM</w:t>
            </w:r>
          </w:p>
        </w:tc>
        <w:tc>
          <w:tcPr>
            <w:tcW w:w="204" w:type="dxa"/>
            <w:vMerge/>
            <w:tcBorders>
              <w:top w:val="nil"/>
              <w:left w:val="single" w:sz="4" w:space="0" w:color="BEBEBE"/>
              <w:bottom w:val="single" w:sz="4" w:space="0" w:color="000000"/>
              <w:right w:val="nil"/>
            </w:tcBorders>
          </w:tcPr>
          <w:p>
            <w:pPr>
              <w:rPr>
                <w:sz w:val="2"/>
                <w:szCs w:val="2"/>
              </w:rPr>
            </w:pPr>
          </w:p>
        </w:tc>
      </w:tr>
    </w:tbl>
    <w:p>
      <w:pPr>
        <w:spacing w:before="0"/>
        <w:ind w:left="1220" w:right="1097" w:firstLine="0"/>
        <w:jc w:val="both"/>
        <w:rPr>
          <w:sz w:val="22"/>
        </w:rPr>
      </w:pPr>
      <w:r>
        <w:rPr>
          <w:sz w:val="22"/>
        </w:rPr>
        <w:t>The</w:t>
      </w:r>
      <w:r>
        <w:rPr>
          <w:spacing w:val="-11"/>
          <w:sz w:val="22"/>
        </w:rPr>
        <w:t> </w:t>
      </w:r>
      <w:r>
        <w:rPr>
          <w:sz w:val="22"/>
        </w:rPr>
        <w:t>State</w:t>
      </w:r>
      <w:r>
        <w:rPr>
          <w:spacing w:val="-10"/>
          <w:sz w:val="22"/>
        </w:rPr>
        <w:t> </w:t>
      </w:r>
      <w:r>
        <w:rPr>
          <w:sz w:val="22"/>
        </w:rPr>
        <w:t>and</w:t>
      </w:r>
      <w:r>
        <w:rPr>
          <w:spacing w:val="-9"/>
          <w:sz w:val="22"/>
        </w:rPr>
        <w:t> </w:t>
      </w:r>
      <w:r>
        <w:rPr>
          <w:sz w:val="22"/>
        </w:rPr>
        <w:t>CMS</w:t>
      </w:r>
      <w:r>
        <w:rPr>
          <w:spacing w:val="-9"/>
          <w:sz w:val="22"/>
        </w:rPr>
        <w:t> </w:t>
      </w:r>
      <w:r>
        <w:rPr>
          <w:sz w:val="22"/>
        </w:rPr>
        <w:t>will</w:t>
      </w:r>
      <w:r>
        <w:rPr>
          <w:spacing w:val="-10"/>
          <w:sz w:val="22"/>
        </w:rPr>
        <w:t> </w:t>
      </w:r>
      <w:r>
        <w:rPr>
          <w:sz w:val="22"/>
        </w:rPr>
        <w:t>revisit</w:t>
      </w:r>
      <w:r>
        <w:rPr>
          <w:spacing w:val="-10"/>
          <w:sz w:val="22"/>
        </w:rPr>
        <w:t> </w:t>
      </w:r>
      <w:r>
        <w:rPr>
          <w:sz w:val="22"/>
        </w:rPr>
        <w:t>the</w:t>
      </w:r>
      <w:r>
        <w:rPr>
          <w:spacing w:val="-10"/>
          <w:sz w:val="22"/>
        </w:rPr>
        <w:t> </w:t>
      </w:r>
      <w:r>
        <w:rPr>
          <w:sz w:val="22"/>
        </w:rPr>
        <w:t>reduction</w:t>
      </w:r>
      <w:r>
        <w:rPr>
          <w:spacing w:val="-11"/>
          <w:sz w:val="22"/>
        </w:rPr>
        <w:t> </w:t>
      </w:r>
      <w:r>
        <w:rPr>
          <w:sz w:val="22"/>
        </w:rPr>
        <w:t>targets</w:t>
      </w:r>
      <w:r>
        <w:rPr>
          <w:spacing w:val="-8"/>
          <w:sz w:val="22"/>
        </w:rPr>
        <w:t> </w:t>
      </w:r>
      <w:r>
        <w:rPr>
          <w:sz w:val="22"/>
        </w:rPr>
        <w:t>for</w:t>
      </w:r>
      <w:r>
        <w:rPr>
          <w:spacing w:val="-10"/>
          <w:sz w:val="22"/>
        </w:rPr>
        <w:t> </w:t>
      </w:r>
      <w:r>
        <w:rPr>
          <w:sz w:val="22"/>
        </w:rPr>
        <w:t>BP4</w:t>
      </w:r>
      <w:r>
        <w:rPr>
          <w:spacing w:val="-9"/>
          <w:sz w:val="22"/>
        </w:rPr>
        <w:t> </w:t>
      </w:r>
      <w:r>
        <w:rPr>
          <w:sz w:val="22"/>
        </w:rPr>
        <w:t>and</w:t>
      </w:r>
      <w:r>
        <w:rPr>
          <w:spacing w:val="-9"/>
          <w:sz w:val="22"/>
        </w:rPr>
        <w:t> </w:t>
      </w:r>
      <w:r>
        <w:rPr>
          <w:sz w:val="22"/>
        </w:rPr>
        <w:t>BP5</w:t>
      </w:r>
      <w:r>
        <w:rPr>
          <w:spacing w:val="-9"/>
          <w:sz w:val="22"/>
        </w:rPr>
        <w:t> </w:t>
      </w:r>
      <w:r>
        <w:rPr>
          <w:sz w:val="22"/>
        </w:rPr>
        <w:t>by</w:t>
      </w:r>
      <w:r>
        <w:rPr>
          <w:spacing w:val="-13"/>
          <w:sz w:val="22"/>
        </w:rPr>
        <w:t> </w:t>
      </w:r>
      <w:r>
        <w:rPr>
          <w:sz w:val="22"/>
        </w:rPr>
        <w:t>July</w:t>
      </w:r>
      <w:r>
        <w:rPr>
          <w:spacing w:val="-11"/>
          <w:sz w:val="22"/>
        </w:rPr>
        <w:t> </w:t>
      </w:r>
      <w:r>
        <w:rPr>
          <w:sz w:val="22"/>
        </w:rPr>
        <w:t>2021</w:t>
      </w:r>
      <w:r>
        <w:rPr>
          <w:spacing w:val="-9"/>
          <w:sz w:val="22"/>
        </w:rPr>
        <w:t> </w:t>
      </w:r>
      <w:r>
        <w:rPr>
          <w:sz w:val="22"/>
        </w:rPr>
        <w:t>in</w:t>
      </w:r>
      <w:r>
        <w:rPr>
          <w:spacing w:val="-9"/>
          <w:sz w:val="22"/>
        </w:rPr>
        <w:t> </w:t>
      </w:r>
      <w:r>
        <w:rPr>
          <w:sz w:val="22"/>
        </w:rPr>
        <w:t>order</w:t>
      </w:r>
      <w:r>
        <w:rPr>
          <w:spacing w:val="-10"/>
          <w:sz w:val="22"/>
        </w:rPr>
        <w:t> </w:t>
      </w:r>
      <w:r>
        <w:rPr>
          <w:sz w:val="22"/>
        </w:rPr>
        <w:t>to</w:t>
      </w:r>
      <w:r>
        <w:rPr>
          <w:spacing w:val="-9"/>
          <w:sz w:val="22"/>
        </w:rPr>
        <w:t> </w:t>
      </w:r>
      <w:r>
        <w:rPr>
          <w:sz w:val="22"/>
        </w:rPr>
        <w:t>fully</w:t>
      </w:r>
      <w:r>
        <w:rPr>
          <w:spacing w:val="-11"/>
          <w:sz w:val="22"/>
        </w:rPr>
        <w:t> </w:t>
      </w:r>
      <w:r>
        <w:rPr>
          <w:sz w:val="22"/>
        </w:rPr>
        <w:t>account for the impact of the state of emergency declared by the federal or state government.</w:t>
      </w:r>
    </w:p>
    <w:p>
      <w:pPr>
        <w:spacing w:line="252" w:lineRule="exact" w:before="195"/>
        <w:ind w:left="1220" w:right="0" w:firstLine="0"/>
        <w:jc w:val="both"/>
        <w:rPr>
          <w:i/>
          <w:sz w:val="22"/>
        </w:rPr>
      </w:pPr>
      <w:bookmarkStart w:name="Gap to Goal Methodology" w:id="1371"/>
      <w:bookmarkEnd w:id="1371"/>
      <w:r>
        <w:rPr/>
      </w:r>
      <w:r>
        <w:rPr>
          <w:i/>
          <w:color w:val="1F3762"/>
          <w:sz w:val="22"/>
        </w:rPr>
        <w:t>Gap</w:t>
      </w:r>
      <w:r>
        <w:rPr>
          <w:i/>
          <w:color w:val="1F3762"/>
          <w:spacing w:val="-2"/>
          <w:sz w:val="22"/>
        </w:rPr>
        <w:t> </w:t>
      </w:r>
      <w:r>
        <w:rPr>
          <w:i/>
          <w:color w:val="1F3762"/>
          <w:sz w:val="22"/>
        </w:rPr>
        <w:t>to</w:t>
      </w:r>
      <w:r>
        <w:rPr>
          <w:i/>
          <w:color w:val="1F3762"/>
          <w:spacing w:val="-2"/>
          <w:sz w:val="22"/>
        </w:rPr>
        <w:t> </w:t>
      </w:r>
      <w:r>
        <w:rPr>
          <w:i/>
          <w:color w:val="1F3762"/>
          <w:sz w:val="22"/>
        </w:rPr>
        <w:t>Goal</w:t>
      </w:r>
      <w:r>
        <w:rPr>
          <w:i/>
          <w:color w:val="1F3762"/>
          <w:spacing w:val="-1"/>
          <w:sz w:val="22"/>
        </w:rPr>
        <w:t> </w:t>
      </w:r>
      <w:r>
        <w:rPr>
          <w:i/>
          <w:color w:val="1F3762"/>
          <w:spacing w:val="-2"/>
          <w:sz w:val="22"/>
        </w:rPr>
        <w:t>Methodology</w:t>
      </w:r>
    </w:p>
    <w:p>
      <w:pPr>
        <w:spacing w:line="242" w:lineRule="auto" w:before="0"/>
        <w:ind w:left="1219" w:right="1097" w:firstLine="0"/>
        <w:jc w:val="both"/>
        <w:rPr>
          <w:sz w:val="22"/>
        </w:rPr>
      </w:pPr>
      <w:r>
        <w:rPr>
          <w:sz w:val="22"/>
        </w:rPr>
        <w:t>In</w:t>
      </w:r>
      <w:r>
        <w:rPr>
          <w:spacing w:val="-16"/>
          <w:sz w:val="22"/>
        </w:rPr>
        <w:t> </w:t>
      </w:r>
      <w:r>
        <w:rPr>
          <w:sz w:val="22"/>
        </w:rPr>
        <w:t>accordance</w:t>
      </w:r>
      <w:r>
        <w:rPr>
          <w:spacing w:val="-14"/>
          <w:sz w:val="22"/>
        </w:rPr>
        <w:t> </w:t>
      </w:r>
      <w:r>
        <w:rPr>
          <w:sz w:val="22"/>
        </w:rPr>
        <w:t>with</w:t>
      </w:r>
      <w:r>
        <w:rPr>
          <w:spacing w:val="-14"/>
          <w:sz w:val="22"/>
        </w:rPr>
        <w:t> </w:t>
      </w:r>
      <w:r>
        <w:rPr>
          <w:sz w:val="22"/>
        </w:rPr>
        <w:t>STC</w:t>
      </w:r>
      <w:r>
        <w:rPr>
          <w:spacing w:val="-13"/>
          <w:sz w:val="22"/>
        </w:rPr>
        <w:t> </w:t>
      </w:r>
      <w:r>
        <w:rPr>
          <w:sz w:val="22"/>
        </w:rPr>
        <w:t>71(f),</w:t>
      </w:r>
      <w:r>
        <w:rPr>
          <w:spacing w:val="-14"/>
          <w:sz w:val="22"/>
        </w:rPr>
        <w:t> </w:t>
      </w:r>
      <w:r>
        <w:rPr>
          <w:sz w:val="22"/>
        </w:rPr>
        <w:t>the</w:t>
      </w:r>
      <w:r>
        <w:rPr>
          <w:spacing w:val="-14"/>
          <w:sz w:val="22"/>
        </w:rPr>
        <w:t> </w:t>
      </w:r>
      <w:r>
        <w:rPr>
          <w:sz w:val="22"/>
        </w:rPr>
        <w:t>State</w:t>
      </w:r>
      <w:r>
        <w:rPr>
          <w:spacing w:val="-14"/>
          <w:sz w:val="22"/>
        </w:rPr>
        <w:t> </w:t>
      </w:r>
      <w:r>
        <w:rPr>
          <w:sz w:val="22"/>
        </w:rPr>
        <w:t>will</w:t>
      </w:r>
      <w:r>
        <w:rPr>
          <w:spacing w:val="-13"/>
          <w:sz w:val="22"/>
        </w:rPr>
        <w:t> </w:t>
      </w:r>
      <w:r>
        <w:rPr>
          <w:sz w:val="22"/>
        </w:rPr>
        <w:t>calculate</w:t>
      </w:r>
      <w:r>
        <w:rPr>
          <w:spacing w:val="-14"/>
          <w:sz w:val="22"/>
        </w:rPr>
        <w:t> </w:t>
      </w:r>
      <w:r>
        <w:rPr>
          <w:sz w:val="22"/>
        </w:rPr>
        <w:t>its</w:t>
      </w:r>
      <w:r>
        <w:rPr>
          <w:spacing w:val="-14"/>
          <w:sz w:val="22"/>
        </w:rPr>
        <w:t> </w:t>
      </w:r>
      <w:r>
        <w:rPr>
          <w:sz w:val="22"/>
        </w:rPr>
        <w:t>performance</w:t>
      </w:r>
      <w:r>
        <w:rPr>
          <w:spacing w:val="-14"/>
          <w:sz w:val="22"/>
        </w:rPr>
        <w:t> </w:t>
      </w:r>
      <w:r>
        <w:rPr>
          <w:sz w:val="22"/>
        </w:rPr>
        <w:t>on</w:t>
      </w:r>
      <w:r>
        <w:rPr>
          <w:spacing w:val="-13"/>
          <w:sz w:val="22"/>
        </w:rPr>
        <w:t> </w:t>
      </w:r>
      <w:r>
        <w:rPr>
          <w:sz w:val="22"/>
        </w:rPr>
        <w:t>reduction</w:t>
      </w:r>
      <w:r>
        <w:rPr>
          <w:spacing w:val="-14"/>
          <w:sz w:val="22"/>
        </w:rPr>
        <w:t> </w:t>
      </w:r>
      <w:r>
        <w:rPr>
          <w:sz w:val="22"/>
        </w:rPr>
        <w:t>in</w:t>
      </w:r>
      <w:r>
        <w:rPr>
          <w:spacing w:val="-14"/>
          <w:sz w:val="22"/>
        </w:rPr>
        <w:t> </w:t>
      </w:r>
      <w:r>
        <w:rPr>
          <w:sz w:val="22"/>
        </w:rPr>
        <w:t>State</w:t>
      </w:r>
      <w:r>
        <w:rPr>
          <w:spacing w:val="-14"/>
          <w:sz w:val="22"/>
        </w:rPr>
        <w:t> </w:t>
      </w:r>
      <w:r>
        <w:rPr>
          <w:sz w:val="22"/>
        </w:rPr>
        <w:t>spending</w:t>
      </w:r>
      <w:r>
        <w:rPr>
          <w:spacing w:val="-13"/>
          <w:sz w:val="22"/>
        </w:rPr>
        <w:t> </w:t>
      </w:r>
      <w:r>
        <w:rPr>
          <w:sz w:val="22"/>
        </w:rPr>
        <w:t>growth compared to the trended PMPM, and the domain score will be determined according to a gap-to-goal methodology for each Budget Period, as detailed in STC 71(g).</w:t>
      </w:r>
    </w:p>
    <w:p>
      <w:pPr>
        <w:spacing w:after="0" w:line="242" w:lineRule="auto"/>
        <w:jc w:val="both"/>
        <w:rPr>
          <w:sz w:val="22"/>
        </w:rPr>
        <w:sectPr>
          <w:pgSz w:w="12240" w:h="15840"/>
          <w:pgMar w:header="0" w:footer="967" w:top="1360" w:bottom="1160" w:left="220" w:right="340"/>
        </w:sectPr>
      </w:pPr>
    </w:p>
    <w:p>
      <w:pPr>
        <w:spacing w:line="242" w:lineRule="auto" w:before="78"/>
        <w:ind w:left="1220" w:right="1095" w:hanging="1"/>
        <w:jc w:val="both"/>
        <w:rPr>
          <w:sz w:val="22"/>
        </w:rPr>
      </w:pPr>
      <w:r>
        <w:rPr>
          <w:sz w:val="22"/>
        </w:rPr>
        <w:t>The State anticipates measuring spending performance against the PMPM spending reduction target up to 22 months after the close of each Calendar Year (CY) as follows.</w:t>
      </w:r>
      <w:r>
        <w:rPr>
          <w:spacing w:val="40"/>
          <w:sz w:val="22"/>
        </w:rPr>
        <w:t> </w:t>
      </w:r>
      <w:r>
        <w:rPr>
          <w:sz w:val="22"/>
        </w:rPr>
        <w:t>Baseline spending trends will be determined as early as Q4 of CY2020, according to the following methodology:</w:t>
      </w:r>
    </w:p>
    <w:p>
      <w:pPr>
        <w:pStyle w:val="ListParagraph"/>
        <w:numPr>
          <w:ilvl w:val="0"/>
          <w:numId w:val="80"/>
        </w:numPr>
        <w:tabs>
          <w:tab w:pos="1938" w:val="left" w:leader="none"/>
          <w:tab w:pos="1940" w:val="left" w:leader="none"/>
        </w:tabs>
        <w:spacing w:line="240" w:lineRule="auto" w:before="154" w:after="0"/>
        <w:ind w:left="1940" w:right="1093" w:hanging="361"/>
        <w:jc w:val="both"/>
        <w:rPr>
          <w:sz w:val="24"/>
        </w:rPr>
      </w:pPr>
      <w:r>
        <w:rPr>
          <w:sz w:val="22"/>
        </w:rPr>
        <w:t>Baseline PMPM spending in CY2017 will be calculated by dividing actual expenditures for dates of service in CY2017 in Included Spending Categories (as defined below), by the number of member</w:t>
      </w:r>
      <w:r>
        <w:rPr>
          <w:spacing w:val="-2"/>
          <w:sz w:val="22"/>
        </w:rPr>
        <w:t> </w:t>
      </w:r>
      <w:r>
        <w:rPr>
          <w:sz w:val="22"/>
        </w:rPr>
        <w:t>months</w:t>
      </w:r>
      <w:r>
        <w:rPr>
          <w:spacing w:val="-5"/>
          <w:sz w:val="22"/>
        </w:rPr>
        <w:t> </w:t>
      </w:r>
      <w:r>
        <w:rPr>
          <w:sz w:val="22"/>
        </w:rPr>
        <w:t>for</w:t>
      </w:r>
      <w:r>
        <w:rPr>
          <w:spacing w:val="-7"/>
          <w:sz w:val="22"/>
        </w:rPr>
        <w:t> </w:t>
      </w:r>
      <w:r>
        <w:rPr>
          <w:sz w:val="22"/>
        </w:rPr>
        <w:t>all</w:t>
      </w:r>
      <w:r>
        <w:rPr>
          <w:spacing w:val="-5"/>
          <w:sz w:val="22"/>
        </w:rPr>
        <w:t> </w:t>
      </w:r>
      <w:r>
        <w:rPr>
          <w:sz w:val="22"/>
        </w:rPr>
        <w:t>MCO</w:t>
      </w:r>
      <w:r>
        <w:rPr>
          <w:spacing w:val="-7"/>
          <w:sz w:val="22"/>
        </w:rPr>
        <w:t> </w:t>
      </w:r>
      <w:r>
        <w:rPr>
          <w:sz w:val="22"/>
        </w:rPr>
        <w:t>and</w:t>
      </w:r>
      <w:r>
        <w:rPr>
          <w:spacing w:val="-6"/>
          <w:sz w:val="22"/>
        </w:rPr>
        <w:t> </w:t>
      </w:r>
      <w:r>
        <w:rPr>
          <w:sz w:val="22"/>
        </w:rPr>
        <w:t>PCC</w:t>
      </w:r>
      <w:r>
        <w:rPr>
          <w:spacing w:val="-4"/>
          <w:sz w:val="22"/>
        </w:rPr>
        <w:t> </w:t>
      </w:r>
      <w:r>
        <w:rPr>
          <w:sz w:val="22"/>
        </w:rPr>
        <w:t>-enrolled</w:t>
      </w:r>
      <w:r>
        <w:rPr>
          <w:spacing w:val="-6"/>
          <w:sz w:val="22"/>
        </w:rPr>
        <w:t> </w:t>
      </w:r>
      <w:r>
        <w:rPr>
          <w:sz w:val="22"/>
        </w:rPr>
        <w:t>members</w:t>
      </w:r>
      <w:r>
        <w:rPr>
          <w:spacing w:val="-5"/>
          <w:sz w:val="22"/>
        </w:rPr>
        <w:t> </w:t>
      </w:r>
      <w:r>
        <w:rPr>
          <w:sz w:val="22"/>
        </w:rPr>
        <w:t>(i.e.,</w:t>
      </w:r>
      <w:r>
        <w:rPr>
          <w:spacing w:val="-6"/>
          <w:sz w:val="22"/>
        </w:rPr>
        <w:t> </w:t>
      </w:r>
      <w:r>
        <w:rPr>
          <w:sz w:val="22"/>
        </w:rPr>
        <w:t>ACO-eligible</w:t>
      </w:r>
      <w:r>
        <w:rPr>
          <w:spacing w:val="-5"/>
          <w:sz w:val="22"/>
        </w:rPr>
        <w:t> </w:t>
      </w:r>
      <w:r>
        <w:rPr>
          <w:sz w:val="22"/>
        </w:rPr>
        <w:t>population)</w:t>
      </w:r>
      <w:r>
        <w:rPr>
          <w:spacing w:val="-5"/>
          <w:sz w:val="22"/>
        </w:rPr>
        <w:t> </w:t>
      </w:r>
      <w:r>
        <w:rPr>
          <w:sz w:val="22"/>
        </w:rPr>
        <w:t>for</w:t>
      </w:r>
      <w:r>
        <w:rPr>
          <w:spacing w:val="-5"/>
          <w:sz w:val="22"/>
        </w:rPr>
        <w:t> </w:t>
      </w:r>
      <w:r>
        <w:rPr>
          <w:sz w:val="22"/>
        </w:rPr>
        <w:t>each Rating Category (RC)</w:t>
      </w:r>
      <w:r>
        <w:rPr>
          <w:sz w:val="24"/>
        </w:rPr>
        <w:t>.</w:t>
      </w:r>
    </w:p>
    <w:p>
      <w:pPr>
        <w:pStyle w:val="ListParagraph"/>
        <w:numPr>
          <w:ilvl w:val="1"/>
          <w:numId w:val="80"/>
        </w:numPr>
        <w:tabs>
          <w:tab w:pos="2658" w:val="left" w:leader="none"/>
          <w:tab w:pos="2660" w:val="left" w:leader="none"/>
        </w:tabs>
        <w:spacing w:line="225" w:lineRule="auto" w:before="209" w:after="0"/>
        <w:ind w:left="2660" w:right="1099" w:hanging="361"/>
        <w:jc w:val="both"/>
        <w:rPr>
          <w:sz w:val="22"/>
        </w:rPr>
      </w:pPr>
      <w:r>
        <w:rPr>
          <w:sz w:val="22"/>
        </w:rPr>
        <w:t>RC</w:t>
      </w:r>
      <w:r>
        <w:rPr>
          <w:spacing w:val="-6"/>
          <w:sz w:val="22"/>
        </w:rPr>
        <w:t> </w:t>
      </w:r>
      <w:r>
        <w:rPr>
          <w:sz w:val="22"/>
        </w:rPr>
        <w:t>1</w:t>
      </w:r>
      <w:r>
        <w:rPr>
          <w:spacing w:val="-5"/>
          <w:sz w:val="22"/>
        </w:rPr>
        <w:t> </w:t>
      </w:r>
      <w:r>
        <w:rPr>
          <w:sz w:val="22"/>
        </w:rPr>
        <w:t>–</w:t>
      </w:r>
      <w:r>
        <w:rPr>
          <w:spacing w:val="-5"/>
          <w:sz w:val="22"/>
        </w:rPr>
        <w:t> </w:t>
      </w:r>
      <w:r>
        <w:rPr>
          <w:sz w:val="22"/>
        </w:rPr>
        <w:t>Child:</w:t>
      </w:r>
      <w:r>
        <w:rPr>
          <w:spacing w:val="-4"/>
          <w:sz w:val="22"/>
        </w:rPr>
        <w:t> </w:t>
      </w:r>
      <w:r>
        <w:rPr>
          <w:sz w:val="22"/>
        </w:rPr>
        <w:t>Enrollees</w:t>
      </w:r>
      <w:r>
        <w:rPr>
          <w:spacing w:val="-4"/>
          <w:sz w:val="22"/>
        </w:rPr>
        <w:t> </w:t>
      </w:r>
      <w:r>
        <w:rPr>
          <w:sz w:val="22"/>
        </w:rPr>
        <w:t>who</w:t>
      </w:r>
      <w:r>
        <w:rPr>
          <w:spacing w:val="-5"/>
          <w:sz w:val="22"/>
        </w:rPr>
        <w:t> </w:t>
      </w:r>
      <w:r>
        <w:rPr>
          <w:sz w:val="22"/>
        </w:rPr>
        <w:t>are</w:t>
      </w:r>
      <w:r>
        <w:rPr>
          <w:spacing w:val="-4"/>
          <w:sz w:val="22"/>
        </w:rPr>
        <w:t> </w:t>
      </w:r>
      <w:r>
        <w:rPr>
          <w:sz w:val="22"/>
        </w:rPr>
        <w:t>non-disabled,</w:t>
      </w:r>
      <w:r>
        <w:rPr>
          <w:spacing w:val="-5"/>
          <w:sz w:val="22"/>
        </w:rPr>
        <w:t> </w:t>
      </w:r>
      <w:r>
        <w:rPr>
          <w:sz w:val="22"/>
        </w:rPr>
        <w:t>under</w:t>
      </w:r>
      <w:r>
        <w:rPr>
          <w:spacing w:val="-6"/>
          <w:sz w:val="22"/>
        </w:rPr>
        <w:t> </w:t>
      </w:r>
      <w:r>
        <w:rPr>
          <w:sz w:val="22"/>
        </w:rPr>
        <w:t>the</w:t>
      </w:r>
      <w:r>
        <w:rPr>
          <w:spacing w:val="-4"/>
          <w:sz w:val="22"/>
        </w:rPr>
        <w:t> </w:t>
      </w:r>
      <w:r>
        <w:rPr>
          <w:sz w:val="22"/>
        </w:rPr>
        <w:t>age</w:t>
      </w:r>
      <w:r>
        <w:rPr>
          <w:spacing w:val="-4"/>
          <w:sz w:val="22"/>
        </w:rPr>
        <w:t> </w:t>
      </w:r>
      <w:r>
        <w:rPr>
          <w:sz w:val="22"/>
        </w:rPr>
        <w:t>of</w:t>
      </w:r>
      <w:r>
        <w:rPr>
          <w:spacing w:val="-4"/>
          <w:sz w:val="22"/>
        </w:rPr>
        <w:t> </w:t>
      </w:r>
      <w:r>
        <w:rPr>
          <w:sz w:val="22"/>
        </w:rPr>
        <w:t>21,</w:t>
      </w:r>
      <w:r>
        <w:rPr>
          <w:spacing w:val="-5"/>
          <w:sz w:val="22"/>
        </w:rPr>
        <w:t> </w:t>
      </w:r>
      <w:r>
        <w:rPr>
          <w:sz w:val="22"/>
        </w:rPr>
        <w:t>and</w:t>
      </w:r>
      <w:r>
        <w:rPr>
          <w:spacing w:val="-5"/>
          <w:sz w:val="22"/>
        </w:rPr>
        <w:t> </w:t>
      </w:r>
      <w:r>
        <w:rPr>
          <w:sz w:val="22"/>
        </w:rPr>
        <w:t>in</w:t>
      </w:r>
      <w:r>
        <w:rPr>
          <w:spacing w:val="-7"/>
          <w:sz w:val="22"/>
        </w:rPr>
        <w:t> </w:t>
      </w:r>
      <w:r>
        <w:rPr>
          <w:sz w:val="22"/>
        </w:rPr>
        <w:t>the</w:t>
      </w:r>
      <w:r>
        <w:rPr>
          <w:spacing w:val="-7"/>
          <w:sz w:val="22"/>
        </w:rPr>
        <w:t> </w:t>
      </w:r>
      <w:r>
        <w:rPr>
          <w:sz w:val="22"/>
        </w:rPr>
        <w:t>MassHealth Standard or the Family Assistance coverage types as described in 130 CMR 505</w:t>
      </w:r>
    </w:p>
    <w:p>
      <w:pPr>
        <w:pStyle w:val="ListParagraph"/>
        <w:numPr>
          <w:ilvl w:val="1"/>
          <w:numId w:val="80"/>
        </w:numPr>
        <w:tabs>
          <w:tab w:pos="2658" w:val="left" w:leader="none"/>
          <w:tab w:pos="2660" w:val="left" w:leader="none"/>
        </w:tabs>
        <w:spacing w:line="228" w:lineRule="auto" w:before="210" w:after="0"/>
        <w:ind w:left="2660" w:right="1095" w:hanging="361"/>
        <w:jc w:val="both"/>
        <w:rPr>
          <w:sz w:val="22"/>
        </w:rPr>
      </w:pPr>
      <w:r>
        <w:rPr>
          <w:sz w:val="22"/>
        </w:rPr>
        <w:t>RC 1 – Adult: Enrollees who are non-disabled, age 21 to 64, and in the MassHealth Standard or the Family Assistance coverage types as described in 130 CMR 505</w:t>
      </w:r>
    </w:p>
    <w:p>
      <w:pPr>
        <w:pStyle w:val="ListParagraph"/>
        <w:numPr>
          <w:ilvl w:val="1"/>
          <w:numId w:val="80"/>
        </w:numPr>
        <w:tabs>
          <w:tab w:pos="2658" w:val="left" w:leader="none"/>
          <w:tab w:pos="2660" w:val="left" w:leader="none"/>
        </w:tabs>
        <w:spacing w:line="228" w:lineRule="auto" w:before="206" w:after="0"/>
        <w:ind w:left="2660" w:right="1094" w:hanging="361"/>
        <w:jc w:val="both"/>
        <w:rPr>
          <w:sz w:val="22"/>
        </w:rPr>
      </w:pPr>
      <w:r>
        <w:rPr>
          <w:sz w:val="22"/>
        </w:rPr>
        <w:t>RC</w:t>
      </w:r>
      <w:r>
        <w:rPr>
          <w:spacing w:val="-13"/>
          <w:sz w:val="22"/>
        </w:rPr>
        <w:t> </w:t>
      </w:r>
      <w:r>
        <w:rPr>
          <w:sz w:val="22"/>
        </w:rPr>
        <w:t>2</w:t>
      </w:r>
      <w:r>
        <w:rPr>
          <w:spacing w:val="-12"/>
          <w:sz w:val="22"/>
        </w:rPr>
        <w:t> </w:t>
      </w:r>
      <w:r>
        <w:rPr>
          <w:sz w:val="22"/>
        </w:rPr>
        <w:t>–</w:t>
      </w:r>
      <w:r>
        <w:rPr>
          <w:spacing w:val="-12"/>
          <w:sz w:val="22"/>
        </w:rPr>
        <w:t> </w:t>
      </w:r>
      <w:r>
        <w:rPr>
          <w:sz w:val="22"/>
        </w:rPr>
        <w:t>Child:</w:t>
      </w:r>
      <w:r>
        <w:rPr>
          <w:spacing w:val="-11"/>
          <w:sz w:val="22"/>
        </w:rPr>
        <w:t> </w:t>
      </w:r>
      <w:r>
        <w:rPr>
          <w:sz w:val="22"/>
        </w:rPr>
        <w:t>Enrollees</w:t>
      </w:r>
      <w:r>
        <w:rPr>
          <w:spacing w:val="-11"/>
          <w:sz w:val="22"/>
        </w:rPr>
        <w:t> </w:t>
      </w:r>
      <w:r>
        <w:rPr>
          <w:sz w:val="22"/>
        </w:rPr>
        <w:t>who</w:t>
      </w:r>
      <w:r>
        <w:rPr>
          <w:spacing w:val="-12"/>
          <w:sz w:val="22"/>
        </w:rPr>
        <w:t> </w:t>
      </w:r>
      <w:r>
        <w:rPr>
          <w:sz w:val="22"/>
        </w:rPr>
        <w:t>are</w:t>
      </w:r>
      <w:r>
        <w:rPr>
          <w:spacing w:val="-11"/>
          <w:sz w:val="22"/>
        </w:rPr>
        <w:t> </w:t>
      </w:r>
      <w:r>
        <w:rPr>
          <w:sz w:val="22"/>
        </w:rPr>
        <w:t>disabled,</w:t>
      </w:r>
      <w:r>
        <w:rPr>
          <w:spacing w:val="-12"/>
          <w:sz w:val="22"/>
        </w:rPr>
        <w:t> </w:t>
      </w:r>
      <w:r>
        <w:rPr>
          <w:sz w:val="22"/>
        </w:rPr>
        <w:t>under</w:t>
      </w:r>
      <w:r>
        <w:rPr>
          <w:spacing w:val="-11"/>
          <w:sz w:val="22"/>
        </w:rPr>
        <w:t> </w:t>
      </w:r>
      <w:r>
        <w:rPr>
          <w:sz w:val="22"/>
        </w:rPr>
        <w:t>the</w:t>
      </w:r>
      <w:r>
        <w:rPr>
          <w:spacing w:val="-11"/>
          <w:sz w:val="22"/>
        </w:rPr>
        <w:t> </w:t>
      </w:r>
      <w:r>
        <w:rPr>
          <w:sz w:val="22"/>
        </w:rPr>
        <w:t>age</w:t>
      </w:r>
      <w:r>
        <w:rPr>
          <w:spacing w:val="-11"/>
          <w:sz w:val="22"/>
        </w:rPr>
        <w:t> </w:t>
      </w:r>
      <w:r>
        <w:rPr>
          <w:sz w:val="22"/>
        </w:rPr>
        <w:t>of</w:t>
      </w:r>
      <w:r>
        <w:rPr>
          <w:spacing w:val="-11"/>
          <w:sz w:val="22"/>
        </w:rPr>
        <w:t> </w:t>
      </w:r>
      <w:r>
        <w:rPr>
          <w:sz w:val="22"/>
        </w:rPr>
        <w:t>21,</w:t>
      </w:r>
      <w:r>
        <w:rPr>
          <w:spacing w:val="-12"/>
          <w:sz w:val="22"/>
        </w:rPr>
        <w:t> </w:t>
      </w:r>
      <w:r>
        <w:rPr>
          <w:sz w:val="22"/>
        </w:rPr>
        <w:t>and</w:t>
      </w:r>
      <w:r>
        <w:rPr>
          <w:spacing w:val="-12"/>
          <w:sz w:val="22"/>
        </w:rPr>
        <w:t> </w:t>
      </w:r>
      <w:r>
        <w:rPr>
          <w:sz w:val="22"/>
        </w:rPr>
        <w:t>in</w:t>
      </w:r>
      <w:r>
        <w:rPr>
          <w:spacing w:val="-12"/>
          <w:sz w:val="22"/>
        </w:rPr>
        <w:t> </w:t>
      </w:r>
      <w:r>
        <w:rPr>
          <w:sz w:val="22"/>
        </w:rPr>
        <w:t>MassHealth</w:t>
      </w:r>
      <w:r>
        <w:rPr>
          <w:spacing w:val="-14"/>
          <w:sz w:val="22"/>
        </w:rPr>
        <w:t> </w:t>
      </w:r>
      <w:r>
        <w:rPr>
          <w:sz w:val="22"/>
        </w:rPr>
        <w:t>Standard or CommonHealth as described in 130 CMR 505</w:t>
      </w:r>
    </w:p>
    <w:p>
      <w:pPr>
        <w:pStyle w:val="ListParagraph"/>
        <w:numPr>
          <w:ilvl w:val="1"/>
          <w:numId w:val="80"/>
        </w:numPr>
        <w:tabs>
          <w:tab w:pos="2658" w:val="left" w:leader="none"/>
          <w:tab w:pos="2660" w:val="left" w:leader="none"/>
        </w:tabs>
        <w:spacing w:line="228" w:lineRule="auto" w:before="207" w:after="0"/>
        <w:ind w:left="2660" w:right="1096" w:hanging="361"/>
        <w:jc w:val="both"/>
        <w:rPr>
          <w:sz w:val="22"/>
        </w:rPr>
      </w:pPr>
      <w:r>
        <w:rPr>
          <w:sz w:val="22"/>
        </w:rPr>
        <w:t>RC 2 – Adult: Enrollees who are disabled, age 21 to 64, and in MassHealth Standard or CommonHealth as described in 130 CMR 505</w:t>
      </w:r>
    </w:p>
    <w:p>
      <w:pPr>
        <w:pStyle w:val="ListParagraph"/>
        <w:numPr>
          <w:ilvl w:val="1"/>
          <w:numId w:val="80"/>
        </w:numPr>
        <w:tabs>
          <w:tab w:pos="2658" w:val="left" w:leader="none"/>
          <w:tab w:pos="2660" w:val="left" w:leader="none"/>
        </w:tabs>
        <w:spacing w:line="232" w:lineRule="auto" w:before="205" w:after="0"/>
        <w:ind w:left="2660" w:right="1094" w:hanging="361"/>
        <w:jc w:val="both"/>
        <w:rPr>
          <w:sz w:val="22"/>
        </w:rPr>
      </w:pPr>
      <w:r>
        <w:rPr>
          <w:sz w:val="22"/>
        </w:rPr>
        <w:t>RC</w:t>
      </w:r>
      <w:r>
        <w:rPr>
          <w:spacing w:val="-10"/>
          <w:sz w:val="22"/>
        </w:rPr>
        <w:t> </w:t>
      </w:r>
      <w:r>
        <w:rPr>
          <w:sz w:val="22"/>
        </w:rPr>
        <w:t>9:</w:t>
      </w:r>
      <w:r>
        <w:rPr>
          <w:spacing w:val="-9"/>
          <w:sz w:val="22"/>
        </w:rPr>
        <w:t> </w:t>
      </w:r>
      <w:r>
        <w:rPr>
          <w:sz w:val="22"/>
        </w:rPr>
        <w:t>Individuals</w:t>
      </w:r>
      <w:r>
        <w:rPr>
          <w:spacing w:val="-11"/>
          <w:sz w:val="22"/>
        </w:rPr>
        <w:t> </w:t>
      </w:r>
      <w:r>
        <w:rPr>
          <w:sz w:val="22"/>
        </w:rPr>
        <w:t>ages</w:t>
      </w:r>
      <w:r>
        <w:rPr>
          <w:spacing w:val="-9"/>
          <w:sz w:val="22"/>
        </w:rPr>
        <w:t> </w:t>
      </w:r>
      <w:r>
        <w:rPr>
          <w:sz w:val="22"/>
        </w:rPr>
        <w:t>21</w:t>
      </w:r>
      <w:r>
        <w:rPr>
          <w:spacing w:val="-12"/>
          <w:sz w:val="22"/>
        </w:rPr>
        <w:t> </w:t>
      </w:r>
      <w:r>
        <w:rPr>
          <w:sz w:val="22"/>
        </w:rPr>
        <w:t>through</w:t>
      </w:r>
      <w:r>
        <w:rPr>
          <w:spacing w:val="-10"/>
          <w:sz w:val="22"/>
        </w:rPr>
        <w:t> </w:t>
      </w:r>
      <w:r>
        <w:rPr>
          <w:sz w:val="22"/>
        </w:rPr>
        <w:t>64</w:t>
      </w:r>
      <w:r>
        <w:rPr>
          <w:spacing w:val="-10"/>
          <w:sz w:val="22"/>
        </w:rPr>
        <w:t> </w:t>
      </w:r>
      <w:r>
        <w:rPr>
          <w:sz w:val="22"/>
        </w:rPr>
        <w:t>with</w:t>
      </w:r>
      <w:r>
        <w:rPr>
          <w:spacing w:val="-12"/>
          <w:sz w:val="22"/>
        </w:rPr>
        <w:t> </w:t>
      </w:r>
      <w:r>
        <w:rPr>
          <w:sz w:val="22"/>
        </w:rPr>
        <w:t>incomes</w:t>
      </w:r>
      <w:r>
        <w:rPr>
          <w:spacing w:val="-9"/>
          <w:sz w:val="22"/>
        </w:rPr>
        <w:t> </w:t>
      </w:r>
      <w:r>
        <w:rPr>
          <w:sz w:val="22"/>
        </w:rPr>
        <w:t>up</w:t>
      </w:r>
      <w:r>
        <w:rPr>
          <w:spacing w:val="-13"/>
          <w:sz w:val="22"/>
        </w:rPr>
        <w:t> </w:t>
      </w:r>
      <w:r>
        <w:rPr>
          <w:sz w:val="22"/>
        </w:rPr>
        <w:t>to</w:t>
      </w:r>
      <w:r>
        <w:rPr>
          <w:spacing w:val="-10"/>
          <w:sz w:val="22"/>
        </w:rPr>
        <w:t> </w:t>
      </w:r>
      <w:r>
        <w:rPr>
          <w:sz w:val="22"/>
        </w:rPr>
        <w:t>133%</w:t>
      </w:r>
      <w:r>
        <w:rPr>
          <w:spacing w:val="-9"/>
          <w:sz w:val="22"/>
        </w:rPr>
        <w:t> </w:t>
      </w:r>
      <w:r>
        <w:rPr>
          <w:sz w:val="22"/>
        </w:rPr>
        <w:t>of</w:t>
      </w:r>
      <w:r>
        <w:rPr>
          <w:spacing w:val="-11"/>
          <w:sz w:val="22"/>
        </w:rPr>
        <w:t> </w:t>
      </w:r>
      <w:r>
        <w:rPr>
          <w:sz w:val="22"/>
        </w:rPr>
        <w:t>the</w:t>
      </w:r>
      <w:r>
        <w:rPr>
          <w:spacing w:val="-11"/>
          <w:sz w:val="22"/>
        </w:rPr>
        <w:t> </w:t>
      </w:r>
      <w:r>
        <w:rPr>
          <w:sz w:val="22"/>
        </w:rPr>
        <w:t>federal</w:t>
      </w:r>
      <w:r>
        <w:rPr>
          <w:spacing w:val="-9"/>
          <w:sz w:val="22"/>
        </w:rPr>
        <w:t> </w:t>
      </w:r>
      <w:r>
        <w:rPr>
          <w:sz w:val="22"/>
        </w:rPr>
        <w:t>poverty</w:t>
      </w:r>
      <w:r>
        <w:rPr>
          <w:spacing w:val="-12"/>
          <w:sz w:val="22"/>
        </w:rPr>
        <w:t> </w:t>
      </w:r>
      <w:r>
        <w:rPr>
          <w:sz w:val="22"/>
        </w:rPr>
        <w:t>level (FPL), who are not pregnant, disabled, a parent or caretaker relative of a child under age 19, or eligible for other EOHHS coverage</w:t>
      </w:r>
    </w:p>
    <w:p>
      <w:pPr>
        <w:pStyle w:val="ListParagraph"/>
        <w:numPr>
          <w:ilvl w:val="1"/>
          <w:numId w:val="80"/>
        </w:numPr>
        <w:tabs>
          <w:tab w:pos="2658" w:val="left" w:leader="none"/>
          <w:tab w:pos="2660" w:val="left" w:leader="none"/>
        </w:tabs>
        <w:spacing w:line="235" w:lineRule="auto" w:before="201" w:after="0"/>
        <w:ind w:left="2660" w:right="1095" w:hanging="361"/>
        <w:jc w:val="both"/>
        <w:rPr>
          <w:sz w:val="22"/>
        </w:rPr>
      </w:pPr>
      <w:r>
        <w:rPr>
          <w:sz w:val="22"/>
        </w:rPr>
        <w:t>RC 10: Individuals ages 21 through 64 with incomes up to 133% of the FPL, who are not pregnant, disabled, a parent or caretaker relative of a child under age 19, or eligible for other EOHHS coverage, who are receiving Emergency Aid to the Elderly, Disabled, and Children (EAEDC) through the Massachusetts Department of Transitional Assistance</w:t>
      </w:r>
    </w:p>
    <w:p>
      <w:pPr>
        <w:pStyle w:val="ListParagraph"/>
        <w:numPr>
          <w:ilvl w:val="1"/>
          <w:numId w:val="80"/>
        </w:numPr>
        <w:tabs>
          <w:tab w:pos="2660" w:val="left" w:leader="none"/>
        </w:tabs>
        <w:spacing w:line="228" w:lineRule="auto" w:before="209" w:after="0"/>
        <w:ind w:left="2660" w:right="1095" w:hanging="360"/>
        <w:jc w:val="both"/>
        <w:rPr>
          <w:sz w:val="24"/>
        </w:rPr>
      </w:pPr>
      <w:r>
        <w:rPr>
          <w:sz w:val="24"/>
        </w:rPr>
        <w:t>Note: The medically frail population will be in RC 9 for the purposes of this Baseline PMPM calculation.</w:t>
      </w:r>
    </w:p>
    <w:p>
      <w:pPr>
        <w:pStyle w:val="ListParagraph"/>
        <w:numPr>
          <w:ilvl w:val="0"/>
          <w:numId w:val="80"/>
        </w:numPr>
        <w:tabs>
          <w:tab w:pos="1939" w:val="left" w:leader="none"/>
        </w:tabs>
        <w:spacing w:line="240" w:lineRule="auto" w:before="203" w:after="0"/>
        <w:ind w:left="1939" w:right="1095" w:hanging="360"/>
        <w:jc w:val="both"/>
        <w:rPr>
          <w:sz w:val="22"/>
        </w:rPr>
      </w:pPr>
      <w:r>
        <w:rPr>
          <w:sz w:val="22"/>
        </w:rPr>
        <w:t>A weighted-average Baseline PMPM will then be calculated by multiplying the PMPM rate for each RC by the proportion of ACO-eligible population member months represented within each RC to derive the Baseline PMPM.</w:t>
      </w:r>
    </w:p>
    <w:p>
      <w:pPr>
        <w:pStyle w:val="BodyText"/>
        <w:rPr>
          <w:sz w:val="26"/>
        </w:rPr>
      </w:pPr>
    </w:p>
    <w:p>
      <w:pPr>
        <w:spacing w:line="134" w:lineRule="exact" w:before="1"/>
        <w:ind w:left="2239" w:right="0" w:firstLine="0"/>
        <w:jc w:val="left"/>
        <w:rPr>
          <w:rFonts w:ascii="Cambria Math" w:hAnsi="Cambria Math" w:cs="Cambria Math" w:eastAsia="Cambria Math"/>
          <w:sz w:val="22"/>
          <w:szCs w:val="22"/>
        </w:rPr>
      </w:pPr>
      <w:r>
        <w:rPr>
          <w:rFonts w:ascii="Cambria Math" w:hAnsi="Cambria Math" w:cs="Cambria Math" w:eastAsia="Cambria Math"/>
          <w:w w:val="55"/>
          <w:sz w:val="22"/>
          <w:szCs w:val="22"/>
        </w:rPr>
        <w:t>𝐵𝐵𝐵𝐵𝐵𝐵𝐵𝐵𝐵𝐵𝐵𝐵𝐵𝐵𝐵𝐵</w:t>
      </w:r>
      <w:r>
        <w:rPr>
          <w:rFonts w:ascii="Cambria Math" w:hAnsi="Cambria Math" w:cs="Cambria Math" w:eastAsia="Cambria Math"/>
          <w:spacing w:val="33"/>
          <w:sz w:val="22"/>
          <w:szCs w:val="22"/>
        </w:rPr>
        <w:t> </w:t>
      </w:r>
      <w:r>
        <w:rPr>
          <w:rFonts w:ascii="Cambria Math" w:hAnsi="Cambria Math" w:cs="Cambria Math" w:eastAsia="Cambria Math"/>
          <w:w w:val="55"/>
          <w:sz w:val="22"/>
          <w:szCs w:val="22"/>
        </w:rPr>
        <w:t>𝑃𝑃𝑃𝑃𝑃𝑃𝑃𝑃</w:t>
      </w:r>
      <w:r>
        <w:rPr>
          <w:rFonts w:ascii="Cambria Math" w:hAnsi="Cambria Math" w:cs="Cambria Math" w:eastAsia="Cambria Math"/>
          <w:w w:val="55"/>
          <w:sz w:val="22"/>
          <w:szCs w:val="22"/>
          <w:vertAlign w:val="superscript"/>
        </w:rPr>
        <w:t>𝐶𝐶𝐶𝐶2017</w:t>
      </w:r>
      <w:r>
        <w:rPr>
          <w:rFonts w:ascii="Cambria Math" w:hAnsi="Cambria Math" w:cs="Cambria Math" w:eastAsia="Cambria Math"/>
          <w:spacing w:val="66"/>
          <w:sz w:val="22"/>
          <w:szCs w:val="22"/>
          <w:vertAlign w:val="baseline"/>
        </w:rPr>
        <w:t> </w:t>
      </w:r>
      <w:r>
        <w:rPr>
          <w:rFonts w:ascii="Cambria Math" w:hAnsi="Cambria Math" w:cs="Cambria Math" w:eastAsia="Cambria Math"/>
          <w:w w:val="55"/>
          <w:sz w:val="22"/>
          <w:szCs w:val="22"/>
          <w:vertAlign w:val="baseline"/>
        </w:rPr>
        <w:t>=</w:t>
      </w:r>
      <w:r>
        <w:rPr>
          <w:rFonts w:ascii="Cambria Math" w:hAnsi="Cambria Math" w:cs="Cambria Math" w:eastAsia="Cambria Math"/>
          <w:spacing w:val="54"/>
          <w:sz w:val="22"/>
          <w:szCs w:val="22"/>
          <w:vertAlign w:val="baseline"/>
        </w:rPr>
        <w:t> </w:t>
      </w:r>
      <w:r>
        <w:rPr>
          <w:rFonts w:ascii="Cambria Math" w:hAnsi="Cambria Math" w:cs="Cambria Math" w:eastAsia="Cambria Math"/>
          <w:w w:val="55"/>
          <w:sz w:val="22"/>
          <w:szCs w:val="22"/>
          <w:vertAlign w:val="baseline"/>
        </w:rPr>
        <w:t>�</w:t>
      </w:r>
      <w:r>
        <w:rPr>
          <w:rFonts w:ascii="Cambria Math" w:hAnsi="Cambria Math" w:cs="Cambria Math" w:eastAsia="Cambria Math"/>
          <w:spacing w:val="12"/>
          <w:sz w:val="22"/>
          <w:szCs w:val="22"/>
          <w:vertAlign w:val="baseline"/>
        </w:rPr>
        <w:t> </w:t>
      </w:r>
      <w:r>
        <w:rPr>
          <w:rFonts w:ascii="Cambria Math" w:hAnsi="Cambria Math" w:cs="Cambria Math" w:eastAsia="Cambria Math"/>
          <w:w w:val="55"/>
          <w:sz w:val="22"/>
          <w:szCs w:val="22"/>
          <w:vertAlign w:val="baseline"/>
        </w:rPr>
        <w:t>𝐴𝐴𝐴𝐴𝐴𝐴𝐴𝐴𝐵𝐵𝐵𝐵</w:t>
      </w:r>
      <w:r>
        <w:rPr>
          <w:rFonts w:ascii="Cambria Math" w:hAnsi="Cambria Math" w:cs="Cambria Math" w:eastAsia="Cambria Math"/>
          <w:spacing w:val="44"/>
          <w:sz w:val="22"/>
          <w:szCs w:val="22"/>
          <w:vertAlign w:val="baseline"/>
        </w:rPr>
        <w:t> </w:t>
      </w:r>
      <w:r>
        <w:rPr>
          <w:rFonts w:ascii="Cambria Math" w:hAnsi="Cambria Math" w:cs="Cambria Math" w:eastAsia="Cambria Math"/>
          <w:w w:val="55"/>
          <w:sz w:val="22"/>
          <w:szCs w:val="22"/>
          <w:vertAlign w:val="baseline"/>
        </w:rPr>
        <w:t>𝑃𝑃𝑃𝑃𝑃𝑃𝑃𝑃</w:t>
      </w:r>
      <w:r>
        <w:rPr>
          <w:rFonts w:ascii="Cambria Math" w:hAnsi="Cambria Math" w:cs="Cambria Math" w:eastAsia="Cambria Math"/>
          <w:w w:val="55"/>
          <w:sz w:val="22"/>
          <w:szCs w:val="22"/>
          <w:vertAlign w:val="superscript"/>
        </w:rPr>
        <w:t>𝐶𝐶𝐶𝐶2017</w:t>
      </w:r>
      <w:r>
        <w:rPr>
          <w:rFonts w:ascii="Cambria Math" w:hAnsi="Cambria Math" w:cs="Cambria Math" w:eastAsia="Cambria Math"/>
          <w:spacing w:val="45"/>
          <w:sz w:val="22"/>
          <w:szCs w:val="22"/>
          <w:vertAlign w:val="baseline"/>
        </w:rPr>
        <w:t> </w:t>
      </w:r>
      <w:r>
        <w:rPr>
          <w:rFonts w:ascii="Cambria Math" w:hAnsi="Cambria Math" w:cs="Cambria Math" w:eastAsia="Cambria Math"/>
          <w:w w:val="55"/>
          <w:sz w:val="22"/>
          <w:szCs w:val="22"/>
          <w:vertAlign w:val="baseline"/>
        </w:rPr>
        <w:t>×</w:t>
      </w:r>
      <w:r>
        <w:rPr>
          <w:rFonts w:ascii="Cambria Math" w:hAnsi="Cambria Math" w:cs="Cambria Math" w:eastAsia="Cambria Math"/>
          <w:spacing w:val="34"/>
          <w:sz w:val="22"/>
          <w:szCs w:val="22"/>
          <w:vertAlign w:val="baseline"/>
        </w:rPr>
        <w:t> </w:t>
      </w:r>
      <w:r>
        <w:rPr>
          <w:rFonts w:ascii="Cambria Math" w:hAnsi="Cambria Math" w:cs="Cambria Math" w:eastAsia="Cambria Math"/>
          <w:spacing w:val="-2"/>
          <w:w w:val="49"/>
          <w:sz w:val="22"/>
          <w:szCs w:val="22"/>
          <w:vertAlign w:val="baseline"/>
        </w:rPr>
        <w:t>𝐴𝐴𝐴𝐴𝐴𝐴𝐵𝐵𝐵𝐵𝐵𝐵𝐴𝐴𝐴𝐴𝐴𝐴𝐴𝐴𝐴𝐴𝐴𝐴𝐴𝐴𝐴𝐴𝐴𝐴𝐴𝐴𝐴𝐴𝐴𝐴𝐴𝐴𝐵𝐵𝐴𝐴𝐵𝐵</w:t>
      </w:r>
      <w:r>
        <w:rPr>
          <w:rFonts w:ascii="Cambria Math" w:hAnsi="Cambria Math" w:cs="Cambria Math" w:eastAsia="Cambria Math"/>
          <w:spacing w:val="-2"/>
          <w:w w:val="49"/>
          <w:sz w:val="22"/>
          <w:szCs w:val="22"/>
          <w:vertAlign w:val="superscript"/>
        </w:rPr>
        <w:t>𝐶𝐶𝐶𝐶2017</w:t>
      </w:r>
    </w:p>
    <w:p>
      <w:pPr>
        <w:spacing w:after="0" w:line="134" w:lineRule="exact"/>
        <w:jc w:val="left"/>
        <w:rPr>
          <w:rFonts w:ascii="Cambria Math" w:hAnsi="Cambria Math" w:cs="Cambria Math" w:eastAsia="Cambria Math"/>
          <w:sz w:val="22"/>
          <w:szCs w:val="22"/>
        </w:rPr>
        <w:sectPr>
          <w:pgSz w:w="12240" w:h="15840"/>
          <w:pgMar w:header="0" w:footer="967" w:top="1360" w:bottom="1160" w:left="220" w:right="340"/>
        </w:sectPr>
      </w:pPr>
    </w:p>
    <w:p>
      <w:pPr>
        <w:pStyle w:val="BodyText"/>
        <w:spacing w:before="6"/>
        <w:rPr>
          <w:rFonts w:ascii="Cambria Math"/>
          <w:sz w:val="17"/>
        </w:rPr>
      </w:pPr>
    </w:p>
    <w:p>
      <w:pPr>
        <w:spacing w:before="0"/>
        <w:ind w:left="0" w:right="0" w:firstLine="0"/>
        <w:jc w:val="right"/>
        <w:rPr>
          <w:rFonts w:ascii="Cambria Math" w:eastAsia="Cambria Math"/>
          <w:sz w:val="16"/>
        </w:rPr>
      </w:pPr>
      <w:r>
        <w:rPr>
          <w:rFonts w:ascii="Cambria Math" w:eastAsia="Cambria Math"/>
          <w:spacing w:val="-5"/>
          <w:w w:val="65"/>
          <w:sz w:val="16"/>
        </w:rPr>
        <w:t>𝑛𝑛</w:t>
      </w:r>
    </w:p>
    <w:p>
      <w:pPr>
        <w:spacing w:line="160" w:lineRule="exact" w:before="0"/>
        <w:ind w:left="0" w:right="0" w:firstLine="0"/>
        <w:jc w:val="right"/>
        <w:rPr>
          <w:rFonts w:ascii="Cambria Math" w:eastAsia="Cambria Math"/>
          <w:sz w:val="16"/>
        </w:rPr>
      </w:pPr>
      <w:r>
        <w:rPr/>
        <w:br w:type="column"/>
      </w:r>
      <w:r>
        <w:rPr>
          <w:rFonts w:ascii="Cambria Math" w:eastAsia="Cambria Math"/>
          <w:w w:val="50"/>
          <w:sz w:val="16"/>
        </w:rPr>
        <w:t>𝑅𝑅𝐶𝐶</w:t>
      </w:r>
      <w:r>
        <w:rPr>
          <w:rFonts w:ascii="Cambria Math" w:eastAsia="Cambria Math"/>
          <w:spacing w:val="6"/>
          <w:sz w:val="16"/>
        </w:rPr>
        <w:t> </w:t>
      </w:r>
      <w:r>
        <w:rPr>
          <w:rFonts w:ascii="Cambria Math" w:eastAsia="Cambria Math"/>
          <w:spacing w:val="-7"/>
          <w:w w:val="65"/>
          <w:sz w:val="16"/>
        </w:rPr>
        <w:t>𝑛𝑛</w:t>
      </w:r>
    </w:p>
    <w:p>
      <w:pPr>
        <w:spacing w:line="160" w:lineRule="exact" w:before="0"/>
        <w:ind w:left="2987" w:right="0" w:firstLine="0"/>
        <w:jc w:val="left"/>
        <w:rPr>
          <w:rFonts w:ascii="Cambria Math" w:eastAsia="Cambria Math"/>
          <w:sz w:val="16"/>
        </w:rPr>
      </w:pPr>
      <w:r>
        <w:rPr/>
        <w:br w:type="column"/>
      </w:r>
      <w:r>
        <w:rPr>
          <w:rFonts w:ascii="Cambria Math" w:eastAsia="Cambria Math"/>
          <w:w w:val="50"/>
          <w:sz w:val="16"/>
        </w:rPr>
        <w:t>𝑅𝑅𝐶𝐶</w:t>
      </w:r>
      <w:r>
        <w:rPr>
          <w:rFonts w:ascii="Cambria Math" w:eastAsia="Cambria Math"/>
          <w:spacing w:val="6"/>
          <w:sz w:val="16"/>
        </w:rPr>
        <w:t> </w:t>
      </w:r>
      <w:r>
        <w:rPr>
          <w:rFonts w:ascii="Cambria Math" w:eastAsia="Cambria Math"/>
          <w:spacing w:val="-7"/>
          <w:w w:val="65"/>
          <w:sz w:val="16"/>
        </w:rPr>
        <w:t>𝑛𝑛</w:t>
      </w:r>
    </w:p>
    <w:p>
      <w:pPr>
        <w:spacing w:after="0" w:line="160" w:lineRule="exact"/>
        <w:jc w:val="left"/>
        <w:rPr>
          <w:rFonts w:ascii="Cambria Math" w:eastAsia="Cambria Math"/>
          <w:sz w:val="16"/>
        </w:rPr>
        <w:sectPr>
          <w:type w:val="continuous"/>
          <w:pgSz w:w="12240" w:h="15840"/>
          <w:pgMar w:header="0" w:footer="967" w:top="320" w:bottom="280" w:left="220" w:right="340"/>
          <w:cols w:num="3" w:equalWidth="0">
            <w:col w:w="4860" w:space="40"/>
            <w:col w:w="1775" w:space="39"/>
            <w:col w:w="4966"/>
          </w:cols>
        </w:sectPr>
      </w:pPr>
    </w:p>
    <w:p>
      <w:pPr>
        <w:pStyle w:val="ListParagraph"/>
        <w:numPr>
          <w:ilvl w:val="0"/>
          <w:numId w:val="80"/>
        </w:numPr>
        <w:tabs>
          <w:tab w:pos="1938" w:val="left" w:leader="none"/>
          <w:tab w:pos="1940" w:val="left" w:leader="none"/>
        </w:tabs>
        <w:spacing w:line="240" w:lineRule="auto" w:before="159" w:after="0"/>
        <w:ind w:left="1940" w:right="1094" w:hanging="361"/>
        <w:jc w:val="both"/>
        <w:rPr>
          <w:sz w:val="22"/>
        </w:rPr>
      </w:pPr>
      <w:r>
        <w:rPr>
          <w:sz w:val="22"/>
        </w:rPr>
        <w:t>Trended PMPMs for each RC will be calculated by applying a 4.4% annual growth rate to the CY2017 Actual Baseline PMPMs for each RC and year from CY2018 through CY2022, summarized as follows:</w:t>
      </w:r>
    </w:p>
    <w:p>
      <w:pPr>
        <w:spacing w:before="213"/>
        <w:ind w:left="1897" w:right="1068" w:firstLine="0"/>
        <w:jc w:val="center"/>
        <w:rPr>
          <w:rFonts w:ascii="Cambria Math" w:hAnsi="Cambria Math" w:eastAsia="Cambria Math"/>
          <w:sz w:val="16"/>
        </w:rPr>
      </w:pPr>
      <w:r>
        <w:rPr/>
        <mc:AlternateContent>
          <mc:Choice Requires="wps">
            <w:drawing>
              <wp:anchor distT="0" distB="0" distL="0" distR="0" allowOverlap="1" layoutInCell="1" locked="0" behindDoc="1" simplePos="0" relativeHeight="473943552">
                <wp:simplePos x="0" y="0"/>
                <wp:positionH relativeFrom="page">
                  <wp:posOffset>3229355</wp:posOffset>
                </wp:positionH>
                <wp:positionV relativeFrom="paragraph">
                  <wp:posOffset>220566</wp:posOffset>
                </wp:positionV>
                <wp:extent cx="222250" cy="102235"/>
                <wp:effectExtent l="0" t="0" r="0" b="0"/>
                <wp:wrapNone/>
                <wp:docPr id="874" name="Textbox 874"/>
                <wp:cNvGraphicFramePr>
                  <a:graphicFrameLocks/>
                </wp:cNvGraphicFramePr>
                <a:graphic>
                  <a:graphicData uri="http://schemas.microsoft.com/office/word/2010/wordprocessingShape">
                    <wps:wsp>
                      <wps:cNvPr id="874" name="Textbox 874"/>
                      <wps:cNvSpPr txBox="1"/>
                      <wps:spPr>
                        <a:xfrm>
                          <a:off x="0" y="0"/>
                          <a:ext cx="222250" cy="102235"/>
                        </a:xfrm>
                        <a:prstGeom prst="rect">
                          <a:avLst/>
                        </a:prstGeom>
                      </wps:spPr>
                      <wps:txbx>
                        <w:txbxContent>
                          <w:p>
                            <w:pPr>
                              <w:spacing w:line="161" w:lineRule="exact" w:before="0"/>
                              <w:ind w:left="0" w:right="0" w:firstLine="0"/>
                              <w:jc w:val="left"/>
                              <w:rPr>
                                <w:rFonts w:ascii="Cambria Math" w:eastAsia="Cambria Math"/>
                                <w:sz w:val="16"/>
                              </w:rPr>
                            </w:pPr>
                            <w:r>
                              <w:rPr>
                                <w:rFonts w:ascii="Cambria Math" w:eastAsia="Cambria Math"/>
                                <w:spacing w:val="-4"/>
                                <w:w w:val="65"/>
                                <w:sz w:val="16"/>
                              </w:rPr>
                              <w:t>𝑅𝑅𝐶𝐶</w:t>
                            </w:r>
                            <w:r>
                              <w:rPr>
                                <w:rFonts w:ascii="Cambria Math" w:eastAsia="Cambria Math"/>
                                <w:spacing w:val="40"/>
                                <w:sz w:val="16"/>
                              </w:rPr>
                              <w:t> </w:t>
                            </w:r>
                            <w:r>
                              <w:rPr>
                                <w:rFonts w:ascii="Cambria Math" w:eastAsia="Cambria Math"/>
                                <w:spacing w:val="-4"/>
                                <w:w w:val="65"/>
                                <w:sz w:val="16"/>
                              </w:rPr>
                              <w:t>𝑛𝑛</w:t>
                            </w:r>
                          </w:p>
                        </w:txbxContent>
                      </wps:txbx>
                      <wps:bodyPr wrap="square" lIns="0" tIns="0" rIns="0" bIns="0" rtlCol="0">
                        <a:noAutofit/>
                      </wps:bodyPr>
                    </wps:wsp>
                  </a:graphicData>
                </a:graphic>
              </wp:anchor>
            </w:drawing>
          </mc:Choice>
          <mc:Fallback>
            <w:pict>
              <v:shape style="position:absolute;margin-left:254.279999pt;margin-top:17.367416pt;width:17.5pt;height:8.0500pt;mso-position-horizontal-relative:page;mso-position-vertical-relative:paragraph;z-index:-29372928" type="#_x0000_t202" id="docshape91" filled="false" stroked="false">
                <v:textbox inset="0,0,0,0">
                  <w:txbxContent>
                    <w:p>
                      <w:pPr>
                        <w:spacing w:line="161" w:lineRule="exact" w:before="0"/>
                        <w:ind w:left="0" w:right="0" w:firstLine="0"/>
                        <w:jc w:val="left"/>
                        <w:rPr>
                          <w:rFonts w:ascii="Cambria Math" w:eastAsia="Cambria Math"/>
                          <w:sz w:val="16"/>
                        </w:rPr>
                      </w:pPr>
                      <w:r>
                        <w:rPr>
                          <w:rFonts w:ascii="Cambria Math" w:eastAsia="Cambria Math"/>
                          <w:spacing w:val="-4"/>
                          <w:w w:val="65"/>
                          <w:sz w:val="16"/>
                        </w:rPr>
                        <w:t>𝑅𝑅𝐶𝐶</w:t>
                      </w:r>
                      <w:r>
                        <w:rPr>
                          <w:rFonts w:ascii="Cambria Math" w:eastAsia="Cambria Math"/>
                          <w:spacing w:val="40"/>
                          <w:sz w:val="16"/>
                        </w:rPr>
                        <w:t> </w:t>
                      </w:r>
                      <w:r>
                        <w:rPr>
                          <w:rFonts w:ascii="Cambria Math" w:eastAsia="Cambria Math"/>
                          <w:spacing w:val="-4"/>
                          <w:w w:val="65"/>
                          <w:sz w:val="16"/>
                        </w:rPr>
                        <w:t>𝑛𝑛</w:t>
                      </w:r>
                    </w:p>
                  </w:txbxContent>
                </v:textbox>
                <w10:wrap type="none"/>
              </v:shape>
            </w:pict>
          </mc:Fallback>
        </mc:AlternateContent>
      </w:r>
      <w:r>
        <w:rPr>
          <w:rFonts w:ascii="Cambria Math" w:hAnsi="Cambria Math" w:eastAsia="Cambria Math"/>
          <w:w w:val="50"/>
          <w:sz w:val="22"/>
        </w:rPr>
        <w:t>𝑇𝑇𝐴𝐴𝐵𝐵𝐵𝐵𝑇𝑇𝐵𝐵𝑇𝑇</w:t>
      </w:r>
      <w:r>
        <w:rPr>
          <w:rFonts w:ascii="Cambria Math" w:hAnsi="Cambria Math" w:eastAsia="Cambria Math"/>
          <w:spacing w:val="7"/>
          <w:sz w:val="22"/>
        </w:rPr>
        <w:t> </w:t>
      </w:r>
      <w:r>
        <w:rPr>
          <w:rFonts w:ascii="Cambria Math" w:hAnsi="Cambria Math" w:eastAsia="Cambria Math"/>
          <w:w w:val="50"/>
          <w:sz w:val="22"/>
        </w:rPr>
        <w:t>𝑃𝑃𝑃𝑃𝑃𝑃𝑃𝑃</w:t>
      </w:r>
      <w:r>
        <w:rPr>
          <w:rFonts w:ascii="Cambria Math" w:hAnsi="Cambria Math" w:eastAsia="Cambria Math"/>
          <w:w w:val="50"/>
          <w:sz w:val="22"/>
          <w:vertAlign w:val="superscript"/>
        </w:rPr>
        <w:t>𝐶𝐶𝑌𝑌𝑌𝑌𝑅𝑅</w:t>
      </w:r>
      <w:r>
        <w:rPr>
          <w:rFonts w:ascii="Cambria Math" w:hAnsi="Cambria Math" w:eastAsia="Cambria Math"/>
          <w:spacing w:val="-5"/>
          <w:sz w:val="22"/>
          <w:vertAlign w:val="baseline"/>
        </w:rPr>
        <w:t> </w:t>
      </w:r>
      <w:r>
        <w:rPr>
          <w:rFonts w:ascii="Cambria Math" w:hAnsi="Cambria Math" w:eastAsia="Cambria Math"/>
          <w:w w:val="50"/>
          <w:sz w:val="22"/>
          <w:vertAlign w:val="superscript"/>
        </w:rPr>
        <w:t>𝑡𝑡</w:t>
      </w:r>
      <w:r>
        <w:rPr>
          <w:rFonts w:ascii="Cambria Math" w:hAnsi="Cambria Math" w:eastAsia="Cambria Math"/>
          <w:spacing w:val="30"/>
          <w:sz w:val="22"/>
          <w:vertAlign w:val="baseline"/>
        </w:rPr>
        <w:t> </w:t>
      </w:r>
      <w:r>
        <w:rPr>
          <w:rFonts w:ascii="Cambria Math" w:hAnsi="Cambria Math" w:eastAsia="Cambria Math"/>
          <w:w w:val="50"/>
          <w:sz w:val="22"/>
          <w:vertAlign w:val="baseline"/>
        </w:rPr>
        <w:t>=</w:t>
      </w:r>
      <w:r>
        <w:rPr>
          <w:rFonts w:ascii="Cambria Math" w:hAnsi="Cambria Math" w:eastAsia="Cambria Math"/>
          <w:spacing w:val="17"/>
          <w:sz w:val="22"/>
          <w:vertAlign w:val="baseline"/>
        </w:rPr>
        <w:t> </w:t>
      </w:r>
      <w:r>
        <w:rPr>
          <w:rFonts w:ascii="Cambria Math" w:hAnsi="Cambria Math" w:eastAsia="Cambria Math"/>
          <w:w w:val="50"/>
          <w:sz w:val="22"/>
          <w:vertAlign w:val="baseline"/>
        </w:rPr>
        <w:t>1.044</w:t>
      </w:r>
      <w:r>
        <w:rPr>
          <w:rFonts w:ascii="Cambria Math" w:hAnsi="Cambria Math" w:eastAsia="Cambria Math"/>
          <w:w w:val="50"/>
          <w:sz w:val="22"/>
          <w:vertAlign w:val="superscript"/>
        </w:rPr>
        <w:t>𝑡𝑡</w:t>
      </w:r>
      <w:r>
        <w:rPr>
          <w:rFonts w:ascii="Cambria Math" w:hAnsi="Cambria Math" w:eastAsia="Cambria Math"/>
          <w:spacing w:val="15"/>
          <w:sz w:val="22"/>
          <w:vertAlign w:val="baseline"/>
        </w:rPr>
        <w:t> </w:t>
      </w:r>
      <w:r>
        <w:rPr>
          <w:rFonts w:ascii="Cambria Math" w:hAnsi="Cambria Math" w:eastAsia="Cambria Math"/>
          <w:w w:val="50"/>
          <w:sz w:val="22"/>
          <w:vertAlign w:val="baseline"/>
        </w:rPr>
        <w:t>×</w:t>
      </w:r>
      <w:r>
        <w:rPr>
          <w:rFonts w:ascii="Cambria Math" w:hAnsi="Cambria Math" w:eastAsia="Cambria Math"/>
          <w:spacing w:val="4"/>
          <w:sz w:val="22"/>
          <w:vertAlign w:val="baseline"/>
        </w:rPr>
        <w:t> </w:t>
      </w:r>
      <w:r>
        <w:rPr>
          <w:rFonts w:ascii="Cambria Math" w:hAnsi="Cambria Math" w:eastAsia="Cambria Math"/>
          <w:w w:val="50"/>
          <w:sz w:val="22"/>
          <w:vertAlign w:val="baseline"/>
        </w:rPr>
        <w:t>𝐴𝐴𝐴𝐴𝐴𝐴𝐴𝐴𝐵𝐵𝐵𝐵</w:t>
      </w:r>
      <w:r>
        <w:rPr>
          <w:rFonts w:ascii="Cambria Math" w:hAnsi="Cambria Math" w:eastAsia="Cambria Math"/>
          <w:spacing w:val="11"/>
          <w:sz w:val="22"/>
          <w:vertAlign w:val="baseline"/>
        </w:rPr>
        <w:t> </w:t>
      </w:r>
      <w:r>
        <w:rPr>
          <w:rFonts w:ascii="Cambria Math" w:hAnsi="Cambria Math" w:eastAsia="Cambria Math"/>
          <w:w w:val="50"/>
          <w:sz w:val="22"/>
          <w:vertAlign w:val="baseline"/>
        </w:rPr>
        <w:t>𝐵𝐵𝐵𝐵𝐵𝐵𝐵𝐵𝐵𝐵𝐵𝐵𝐵𝐵𝐵𝐵</w:t>
      </w:r>
      <w:r>
        <w:rPr>
          <w:rFonts w:ascii="Cambria Math" w:hAnsi="Cambria Math" w:eastAsia="Cambria Math"/>
          <w:spacing w:val="6"/>
          <w:sz w:val="22"/>
          <w:vertAlign w:val="baseline"/>
        </w:rPr>
        <w:t> </w:t>
      </w:r>
      <w:r>
        <w:rPr>
          <w:rFonts w:ascii="Cambria Math" w:hAnsi="Cambria Math" w:eastAsia="Cambria Math"/>
          <w:w w:val="50"/>
          <w:sz w:val="22"/>
          <w:vertAlign w:val="baseline"/>
        </w:rPr>
        <w:t>𝑃𝑃𝑃𝑃𝑃𝑃𝑃𝑃</w:t>
      </w:r>
      <w:r>
        <w:rPr>
          <w:rFonts w:ascii="Cambria Math" w:hAnsi="Cambria Math" w:eastAsia="Cambria Math"/>
          <w:w w:val="50"/>
          <w:position w:val="-4"/>
          <w:sz w:val="16"/>
          <w:vertAlign w:val="baseline"/>
        </w:rPr>
        <w:t>𝑅𝑅𝐶𝐶</w:t>
      </w:r>
      <w:r>
        <w:rPr>
          <w:rFonts w:ascii="Cambria Math" w:hAnsi="Cambria Math" w:eastAsia="Cambria Math"/>
          <w:spacing w:val="9"/>
          <w:position w:val="-4"/>
          <w:sz w:val="16"/>
          <w:vertAlign w:val="baseline"/>
        </w:rPr>
        <w:t> </w:t>
      </w:r>
      <w:r>
        <w:rPr>
          <w:rFonts w:ascii="Cambria Math" w:hAnsi="Cambria Math" w:eastAsia="Cambria Math"/>
          <w:spacing w:val="-5"/>
          <w:w w:val="50"/>
          <w:position w:val="-4"/>
          <w:sz w:val="16"/>
          <w:vertAlign w:val="baseline"/>
        </w:rPr>
        <w:t>𝑛𝑛</w:t>
      </w:r>
    </w:p>
    <w:p>
      <w:pPr>
        <w:pStyle w:val="ListParagraph"/>
        <w:numPr>
          <w:ilvl w:val="0"/>
          <w:numId w:val="80"/>
        </w:numPr>
        <w:tabs>
          <w:tab w:pos="1938" w:val="left" w:leader="none"/>
          <w:tab w:pos="1940" w:val="left" w:leader="none"/>
        </w:tabs>
        <w:spacing w:line="240" w:lineRule="auto" w:before="166" w:after="0"/>
        <w:ind w:left="1940" w:right="1095" w:hanging="361"/>
        <w:jc w:val="both"/>
        <w:rPr>
          <w:sz w:val="22"/>
        </w:rPr>
      </w:pPr>
      <w:r>
        <w:rPr>
          <w:sz w:val="22"/>
        </w:rPr>
        <w:t>For each measurement period, a weighted average Trended PMPM (the “Avg Trended PMPM”) will then be calculated by multiplying the Trended PMPM for each RC by the proportion of total CY2017 ACO-eligible member months represented within each RC, summarized as follows:</w:t>
      </w:r>
    </w:p>
    <w:p>
      <w:pPr>
        <w:pStyle w:val="BodyText"/>
        <w:spacing w:before="7"/>
        <w:rPr>
          <w:sz w:val="25"/>
        </w:rPr>
      </w:pPr>
    </w:p>
    <w:p>
      <w:pPr>
        <w:spacing w:line="135" w:lineRule="exact" w:before="0"/>
        <w:ind w:left="1897" w:right="1063" w:firstLine="0"/>
        <w:jc w:val="center"/>
        <w:rPr>
          <w:rFonts w:ascii="Cambria Math" w:hAnsi="Cambria Math" w:cs="Cambria Math" w:eastAsia="Cambria Math"/>
          <w:sz w:val="22"/>
          <w:szCs w:val="22"/>
        </w:rPr>
      </w:pPr>
      <w:r>
        <w:rPr>
          <w:rFonts w:ascii="Cambria Math" w:hAnsi="Cambria Math" w:cs="Cambria Math" w:eastAsia="Cambria Math"/>
          <w:spacing w:val="-2"/>
          <w:w w:val="55"/>
          <w:sz w:val="22"/>
          <w:szCs w:val="22"/>
        </w:rPr>
        <w:t>𝐴𝐴𝐴𝐴𝐴𝐴</w:t>
      </w:r>
      <w:r>
        <w:rPr>
          <w:rFonts w:ascii="Cambria Math" w:hAnsi="Cambria Math" w:cs="Cambria Math" w:eastAsia="Cambria Math"/>
          <w:spacing w:val="1"/>
          <w:sz w:val="22"/>
          <w:szCs w:val="22"/>
        </w:rPr>
        <w:t> </w:t>
      </w:r>
      <w:r>
        <w:rPr>
          <w:rFonts w:ascii="Cambria Math" w:hAnsi="Cambria Math" w:cs="Cambria Math" w:eastAsia="Cambria Math"/>
          <w:spacing w:val="-2"/>
          <w:w w:val="55"/>
          <w:sz w:val="22"/>
          <w:szCs w:val="22"/>
        </w:rPr>
        <w:t>𝑇𝑇𝐴𝐴𝐵𝐵𝐵𝐵𝑇𝑇𝐵𝐵𝑇𝑇</w:t>
      </w:r>
      <w:r>
        <w:rPr>
          <w:rFonts w:ascii="Cambria Math" w:hAnsi="Cambria Math" w:cs="Cambria Math" w:eastAsia="Cambria Math"/>
          <w:spacing w:val="4"/>
          <w:sz w:val="22"/>
          <w:szCs w:val="22"/>
        </w:rPr>
        <w:t> </w:t>
      </w:r>
      <w:r>
        <w:rPr>
          <w:rFonts w:ascii="Cambria Math" w:hAnsi="Cambria Math" w:cs="Cambria Math" w:eastAsia="Cambria Math"/>
          <w:spacing w:val="-2"/>
          <w:w w:val="55"/>
          <w:sz w:val="22"/>
          <w:szCs w:val="22"/>
        </w:rPr>
        <w:t>𝑃𝑃𝑃𝑃𝑃𝑃𝑃𝑃</w:t>
      </w:r>
      <w:r>
        <w:rPr>
          <w:rFonts w:ascii="Cambria Math" w:hAnsi="Cambria Math" w:cs="Cambria Math" w:eastAsia="Cambria Math"/>
          <w:spacing w:val="-2"/>
          <w:w w:val="55"/>
          <w:sz w:val="22"/>
          <w:szCs w:val="22"/>
          <w:vertAlign w:val="superscript"/>
        </w:rPr>
        <w:t>𝐶𝐶𝑌𝑌𝑌𝑌𝑅𝑅</w:t>
      </w:r>
      <w:r>
        <w:rPr>
          <w:rFonts w:ascii="Cambria Math" w:hAnsi="Cambria Math" w:cs="Cambria Math" w:eastAsia="Cambria Math"/>
          <w:spacing w:val="-8"/>
          <w:sz w:val="22"/>
          <w:szCs w:val="22"/>
          <w:vertAlign w:val="baseline"/>
        </w:rPr>
        <w:t> </w:t>
      </w:r>
      <w:r>
        <w:rPr>
          <w:rFonts w:ascii="Cambria Math" w:hAnsi="Cambria Math" w:cs="Cambria Math" w:eastAsia="Cambria Math"/>
          <w:spacing w:val="-2"/>
          <w:w w:val="55"/>
          <w:sz w:val="22"/>
          <w:szCs w:val="22"/>
          <w:vertAlign w:val="superscript"/>
        </w:rPr>
        <w:t>𝑡𝑡</w:t>
      </w:r>
      <w:r>
        <w:rPr>
          <w:rFonts w:ascii="Cambria Math" w:hAnsi="Cambria Math" w:cs="Cambria Math" w:eastAsia="Cambria Math"/>
          <w:spacing w:val="25"/>
          <w:sz w:val="22"/>
          <w:szCs w:val="22"/>
          <w:vertAlign w:val="baseline"/>
        </w:rPr>
        <w:t> </w:t>
      </w:r>
      <w:r>
        <w:rPr>
          <w:rFonts w:ascii="Cambria Math" w:hAnsi="Cambria Math" w:cs="Cambria Math" w:eastAsia="Cambria Math"/>
          <w:spacing w:val="-2"/>
          <w:w w:val="55"/>
          <w:sz w:val="22"/>
          <w:szCs w:val="22"/>
          <w:vertAlign w:val="baseline"/>
        </w:rPr>
        <w:t>=</w:t>
      </w:r>
      <w:r>
        <w:rPr>
          <w:rFonts w:ascii="Cambria Math" w:hAnsi="Cambria Math" w:cs="Cambria Math" w:eastAsia="Cambria Math"/>
          <w:spacing w:val="13"/>
          <w:sz w:val="22"/>
          <w:szCs w:val="22"/>
          <w:vertAlign w:val="baseline"/>
        </w:rPr>
        <w:t> </w:t>
      </w:r>
      <w:r>
        <w:rPr>
          <w:rFonts w:ascii="Cambria Math" w:hAnsi="Cambria Math" w:cs="Cambria Math" w:eastAsia="Cambria Math"/>
          <w:spacing w:val="-2"/>
          <w:w w:val="55"/>
          <w:sz w:val="22"/>
          <w:szCs w:val="22"/>
          <w:vertAlign w:val="baseline"/>
        </w:rPr>
        <w:t>�</w:t>
      </w:r>
      <w:r>
        <w:rPr>
          <w:rFonts w:ascii="Cambria Math" w:hAnsi="Cambria Math" w:cs="Cambria Math" w:eastAsia="Cambria Math"/>
          <w:spacing w:val="-14"/>
          <w:sz w:val="22"/>
          <w:szCs w:val="22"/>
          <w:vertAlign w:val="baseline"/>
        </w:rPr>
        <w:t> </w:t>
      </w:r>
      <w:r>
        <w:rPr>
          <w:rFonts w:ascii="Cambria Math" w:hAnsi="Cambria Math" w:cs="Cambria Math" w:eastAsia="Cambria Math"/>
          <w:spacing w:val="-2"/>
          <w:w w:val="55"/>
          <w:sz w:val="22"/>
          <w:szCs w:val="22"/>
          <w:vertAlign w:val="baseline"/>
        </w:rPr>
        <w:t>𝑇𝑇𝐴𝐴𝐵𝐵𝐵𝐵𝑇𝑇𝐵𝐵𝑇𝑇</w:t>
      </w:r>
      <w:r>
        <w:rPr>
          <w:rFonts w:ascii="Cambria Math" w:hAnsi="Cambria Math" w:cs="Cambria Math" w:eastAsia="Cambria Math"/>
          <w:spacing w:val="5"/>
          <w:sz w:val="22"/>
          <w:szCs w:val="22"/>
          <w:vertAlign w:val="baseline"/>
        </w:rPr>
        <w:t> </w:t>
      </w:r>
      <w:r>
        <w:rPr>
          <w:rFonts w:ascii="Cambria Math" w:hAnsi="Cambria Math" w:cs="Cambria Math" w:eastAsia="Cambria Math"/>
          <w:spacing w:val="-2"/>
          <w:w w:val="55"/>
          <w:sz w:val="22"/>
          <w:szCs w:val="22"/>
          <w:vertAlign w:val="baseline"/>
        </w:rPr>
        <w:t>𝑃𝑃𝑃𝑃𝑃𝑃𝑃𝑃</w:t>
      </w:r>
      <w:r>
        <w:rPr>
          <w:rFonts w:ascii="Cambria Math" w:hAnsi="Cambria Math" w:cs="Cambria Math" w:eastAsia="Cambria Math"/>
          <w:spacing w:val="-2"/>
          <w:w w:val="55"/>
          <w:sz w:val="22"/>
          <w:szCs w:val="22"/>
          <w:vertAlign w:val="superscript"/>
        </w:rPr>
        <w:t>𝐶𝐶𝑌𝑌𝑌𝑌𝑅𝑅</w:t>
      </w:r>
      <w:r>
        <w:rPr>
          <w:rFonts w:ascii="Cambria Math" w:hAnsi="Cambria Math" w:cs="Cambria Math" w:eastAsia="Cambria Math"/>
          <w:spacing w:val="-10"/>
          <w:sz w:val="22"/>
          <w:szCs w:val="22"/>
          <w:vertAlign w:val="baseline"/>
        </w:rPr>
        <w:t> </w:t>
      </w:r>
      <w:r>
        <w:rPr>
          <w:rFonts w:ascii="Cambria Math" w:hAnsi="Cambria Math" w:cs="Cambria Math" w:eastAsia="Cambria Math"/>
          <w:spacing w:val="-2"/>
          <w:w w:val="55"/>
          <w:sz w:val="22"/>
          <w:szCs w:val="22"/>
          <w:vertAlign w:val="superscript"/>
        </w:rPr>
        <w:t>𝑡𝑡</w:t>
      </w:r>
      <w:r>
        <w:rPr>
          <w:rFonts w:ascii="Cambria Math" w:hAnsi="Cambria Math" w:cs="Cambria Math" w:eastAsia="Cambria Math"/>
          <w:spacing w:val="12"/>
          <w:sz w:val="22"/>
          <w:szCs w:val="22"/>
          <w:vertAlign w:val="baseline"/>
        </w:rPr>
        <w:t> </w:t>
      </w:r>
      <w:r>
        <w:rPr>
          <w:rFonts w:ascii="Cambria Math" w:hAnsi="Cambria Math" w:cs="Cambria Math" w:eastAsia="Cambria Math"/>
          <w:spacing w:val="-2"/>
          <w:w w:val="55"/>
          <w:sz w:val="22"/>
          <w:szCs w:val="22"/>
          <w:vertAlign w:val="baseline"/>
        </w:rPr>
        <w:t>×</w:t>
      </w:r>
      <w:r>
        <w:rPr>
          <w:rFonts w:ascii="Cambria Math" w:hAnsi="Cambria Math" w:cs="Cambria Math" w:eastAsia="Cambria Math"/>
          <w:spacing w:val="1"/>
          <w:sz w:val="22"/>
          <w:szCs w:val="22"/>
          <w:vertAlign w:val="baseline"/>
        </w:rPr>
        <w:t> </w:t>
      </w:r>
      <w:r>
        <w:rPr>
          <w:rFonts w:ascii="Cambria Math" w:hAnsi="Cambria Math" w:cs="Cambria Math" w:eastAsia="Cambria Math"/>
          <w:spacing w:val="-2"/>
          <w:w w:val="55"/>
          <w:sz w:val="22"/>
          <w:szCs w:val="22"/>
          <w:vertAlign w:val="baseline"/>
        </w:rPr>
        <w:t>𝐴𝐴𝐴𝐴𝐴𝐴</w:t>
      </w:r>
      <w:r>
        <w:rPr>
          <w:rFonts w:ascii="Cambria Math" w:hAnsi="Cambria Math" w:cs="Cambria Math" w:eastAsia="Cambria Math"/>
          <w:spacing w:val="4"/>
          <w:sz w:val="22"/>
          <w:szCs w:val="22"/>
          <w:vertAlign w:val="baseline"/>
        </w:rPr>
        <w:t> </w:t>
      </w:r>
      <w:r>
        <w:rPr>
          <w:rFonts w:ascii="Cambria Math" w:hAnsi="Cambria Math" w:cs="Cambria Math" w:eastAsia="Cambria Math"/>
          <w:spacing w:val="-2"/>
          <w:w w:val="55"/>
          <w:sz w:val="22"/>
          <w:szCs w:val="22"/>
          <w:vertAlign w:val="baseline"/>
        </w:rPr>
        <w:t>𝐸𝐸𝐵𝐵𝐵𝐵𝐴𝐴</w:t>
      </w:r>
      <w:r>
        <w:rPr>
          <w:rFonts w:ascii="Cambria Math" w:hAnsi="Cambria Math" w:cs="Cambria Math" w:eastAsia="Cambria Math"/>
          <w:spacing w:val="3"/>
          <w:sz w:val="22"/>
          <w:szCs w:val="22"/>
          <w:vertAlign w:val="baseline"/>
        </w:rPr>
        <w:t> </w:t>
      </w:r>
      <w:r>
        <w:rPr>
          <w:rFonts w:ascii="Cambria Math" w:hAnsi="Cambria Math" w:cs="Cambria Math" w:eastAsia="Cambria Math"/>
          <w:spacing w:val="-2"/>
          <w:w w:val="54"/>
          <w:sz w:val="22"/>
          <w:szCs w:val="22"/>
          <w:vertAlign w:val="baseline"/>
        </w:rPr>
        <w:t>𝐴𝐴𝐴𝐴𝐴𝐴𝐴𝐴𝐴𝐴𝐴𝐴𝐴𝐴𝐴𝐴𝐴𝐴𝐵𝐵𝐴𝐴𝐵𝐵</w:t>
      </w:r>
      <w:r>
        <w:rPr>
          <w:rFonts w:ascii="Cambria Math" w:hAnsi="Cambria Math" w:cs="Cambria Math" w:eastAsia="Cambria Math"/>
          <w:spacing w:val="-2"/>
          <w:w w:val="54"/>
          <w:sz w:val="22"/>
          <w:szCs w:val="22"/>
          <w:vertAlign w:val="superscript"/>
        </w:rPr>
        <w:t>𝐶𝐶𝐶𝐶2017</w:t>
      </w:r>
    </w:p>
    <w:p>
      <w:pPr>
        <w:spacing w:after="0" w:line="135" w:lineRule="exact"/>
        <w:jc w:val="center"/>
        <w:rPr>
          <w:rFonts w:ascii="Cambria Math" w:hAnsi="Cambria Math" w:cs="Cambria Math" w:eastAsia="Cambria Math"/>
          <w:sz w:val="22"/>
          <w:szCs w:val="22"/>
        </w:rPr>
        <w:sectPr>
          <w:type w:val="continuous"/>
          <w:pgSz w:w="12240" w:h="15840"/>
          <w:pgMar w:header="0" w:footer="967" w:top="320" w:bottom="280" w:left="220" w:right="340"/>
        </w:sectPr>
      </w:pPr>
    </w:p>
    <w:p>
      <w:pPr>
        <w:pStyle w:val="BodyText"/>
        <w:spacing w:before="7"/>
        <w:rPr>
          <w:rFonts w:ascii="Cambria Math"/>
          <w:sz w:val="17"/>
        </w:rPr>
      </w:pPr>
    </w:p>
    <w:p>
      <w:pPr>
        <w:spacing w:before="0"/>
        <w:ind w:left="0" w:right="0" w:firstLine="0"/>
        <w:jc w:val="right"/>
        <w:rPr>
          <w:rFonts w:ascii="Cambria Math" w:eastAsia="Cambria Math"/>
          <w:sz w:val="16"/>
        </w:rPr>
      </w:pPr>
      <w:r>
        <w:rPr>
          <w:rFonts w:ascii="Cambria Math" w:eastAsia="Cambria Math"/>
          <w:spacing w:val="-5"/>
          <w:w w:val="65"/>
          <w:sz w:val="16"/>
        </w:rPr>
        <w:t>𝑛𝑛</w:t>
      </w:r>
    </w:p>
    <w:p>
      <w:pPr>
        <w:spacing w:line="161" w:lineRule="exact" w:before="0"/>
        <w:ind w:left="0" w:right="0" w:firstLine="0"/>
        <w:jc w:val="right"/>
        <w:rPr>
          <w:rFonts w:ascii="Cambria Math" w:eastAsia="Cambria Math"/>
          <w:sz w:val="16"/>
        </w:rPr>
      </w:pPr>
      <w:r>
        <w:rPr/>
        <w:br w:type="column"/>
      </w:r>
      <w:r>
        <w:rPr>
          <w:rFonts w:ascii="Cambria Math" w:eastAsia="Cambria Math"/>
          <w:w w:val="50"/>
          <w:sz w:val="16"/>
        </w:rPr>
        <w:t>𝑅𝑅𝐶𝐶</w:t>
      </w:r>
      <w:r>
        <w:rPr>
          <w:rFonts w:ascii="Cambria Math" w:eastAsia="Cambria Math"/>
          <w:spacing w:val="6"/>
          <w:sz w:val="16"/>
        </w:rPr>
        <w:t> </w:t>
      </w:r>
      <w:r>
        <w:rPr>
          <w:rFonts w:ascii="Cambria Math" w:eastAsia="Cambria Math"/>
          <w:spacing w:val="-7"/>
          <w:w w:val="65"/>
          <w:sz w:val="16"/>
        </w:rPr>
        <w:t>𝑛𝑛</w:t>
      </w:r>
    </w:p>
    <w:p>
      <w:pPr>
        <w:spacing w:line="161" w:lineRule="exact" w:before="0"/>
        <w:ind w:left="2721" w:right="0" w:firstLine="0"/>
        <w:jc w:val="left"/>
        <w:rPr>
          <w:rFonts w:ascii="Cambria Math" w:eastAsia="Cambria Math"/>
          <w:sz w:val="16"/>
        </w:rPr>
      </w:pPr>
      <w:r>
        <w:rPr/>
        <w:br w:type="column"/>
      </w:r>
      <w:r>
        <w:rPr>
          <w:rFonts w:ascii="Cambria Math" w:eastAsia="Cambria Math"/>
          <w:w w:val="50"/>
          <w:sz w:val="16"/>
        </w:rPr>
        <w:t>𝑅𝑅𝐶𝐶</w:t>
      </w:r>
      <w:r>
        <w:rPr>
          <w:rFonts w:ascii="Cambria Math" w:eastAsia="Cambria Math"/>
          <w:spacing w:val="6"/>
          <w:sz w:val="16"/>
        </w:rPr>
        <w:t> </w:t>
      </w:r>
      <w:r>
        <w:rPr>
          <w:rFonts w:ascii="Cambria Math" w:eastAsia="Cambria Math"/>
          <w:spacing w:val="-5"/>
          <w:w w:val="65"/>
          <w:sz w:val="16"/>
        </w:rPr>
        <w:t>𝑛𝑛</w:t>
      </w:r>
    </w:p>
    <w:p>
      <w:pPr>
        <w:spacing w:after="0" w:line="161" w:lineRule="exact"/>
        <w:jc w:val="left"/>
        <w:rPr>
          <w:rFonts w:ascii="Cambria Math" w:eastAsia="Cambria Math"/>
          <w:sz w:val="16"/>
        </w:rPr>
        <w:sectPr>
          <w:type w:val="continuous"/>
          <w:pgSz w:w="12240" w:h="15840"/>
          <w:pgMar w:header="0" w:footer="967" w:top="320" w:bottom="280" w:left="220" w:right="340"/>
          <w:cols w:num="3" w:equalWidth="0">
            <w:col w:w="5095" w:space="40"/>
            <w:col w:w="1964" w:space="39"/>
            <w:col w:w="4542"/>
          </w:cols>
        </w:sectPr>
      </w:pPr>
    </w:p>
    <w:p>
      <w:pPr>
        <w:pStyle w:val="ListParagraph"/>
        <w:numPr>
          <w:ilvl w:val="0"/>
          <w:numId w:val="80"/>
        </w:numPr>
        <w:tabs>
          <w:tab w:pos="1938" w:val="left" w:leader="none"/>
          <w:tab w:pos="1940" w:val="left" w:leader="none"/>
        </w:tabs>
        <w:spacing w:line="240" w:lineRule="auto" w:before="79" w:after="0"/>
        <w:ind w:left="1940" w:right="1093" w:hanging="361"/>
        <w:jc w:val="both"/>
        <w:rPr>
          <w:sz w:val="22"/>
        </w:rPr>
      </w:pPr>
      <w:r>
        <w:rPr>
          <w:sz w:val="22"/>
        </w:rPr>
        <w:t>If during the measurement period there are changes to Included Spending Categories or other material program changes not captured in the annual growth rate, the CY2017 Baseline and Trended PMPMs may be recalculated to reflect these changes, subject to CMS approval.</w:t>
      </w:r>
    </w:p>
    <w:p>
      <w:pPr>
        <w:pStyle w:val="ListParagraph"/>
        <w:numPr>
          <w:ilvl w:val="1"/>
          <w:numId w:val="80"/>
        </w:numPr>
        <w:tabs>
          <w:tab w:pos="2658" w:val="left" w:leader="none"/>
          <w:tab w:pos="2660" w:val="left" w:leader="none"/>
        </w:tabs>
        <w:spacing w:line="237" w:lineRule="auto" w:before="200" w:after="0"/>
        <w:ind w:left="2660" w:right="1093" w:hanging="361"/>
        <w:jc w:val="both"/>
        <w:rPr>
          <w:sz w:val="22"/>
        </w:rPr>
      </w:pPr>
      <w:r>
        <w:rPr>
          <w:sz w:val="22"/>
        </w:rPr>
        <w:t>In</w:t>
      </w:r>
      <w:r>
        <w:rPr>
          <w:spacing w:val="-12"/>
          <w:sz w:val="22"/>
        </w:rPr>
        <w:t> </w:t>
      </w:r>
      <w:r>
        <w:rPr>
          <w:sz w:val="22"/>
        </w:rPr>
        <w:t>particular,</w:t>
      </w:r>
      <w:r>
        <w:rPr>
          <w:spacing w:val="-14"/>
          <w:sz w:val="22"/>
        </w:rPr>
        <w:t> </w:t>
      </w:r>
      <w:r>
        <w:rPr>
          <w:sz w:val="22"/>
        </w:rPr>
        <w:t>if</w:t>
      </w:r>
      <w:r>
        <w:rPr>
          <w:spacing w:val="-13"/>
          <w:sz w:val="22"/>
        </w:rPr>
        <w:t> </w:t>
      </w:r>
      <w:r>
        <w:rPr>
          <w:sz w:val="22"/>
        </w:rPr>
        <w:t>the</w:t>
      </w:r>
      <w:r>
        <w:rPr>
          <w:spacing w:val="-11"/>
          <w:sz w:val="22"/>
        </w:rPr>
        <w:t> </w:t>
      </w:r>
      <w:r>
        <w:rPr>
          <w:sz w:val="22"/>
        </w:rPr>
        <w:t>State</w:t>
      </w:r>
      <w:r>
        <w:rPr>
          <w:spacing w:val="-11"/>
          <w:sz w:val="22"/>
        </w:rPr>
        <w:t> </w:t>
      </w:r>
      <w:r>
        <w:rPr>
          <w:sz w:val="22"/>
        </w:rPr>
        <w:t>identifies</w:t>
      </w:r>
      <w:r>
        <w:rPr>
          <w:spacing w:val="-11"/>
          <w:sz w:val="22"/>
        </w:rPr>
        <w:t> </w:t>
      </w:r>
      <w:r>
        <w:rPr>
          <w:sz w:val="22"/>
        </w:rPr>
        <w:t>a</w:t>
      </w:r>
      <w:r>
        <w:rPr>
          <w:spacing w:val="-11"/>
          <w:sz w:val="22"/>
        </w:rPr>
        <w:t> </w:t>
      </w:r>
      <w:r>
        <w:rPr>
          <w:sz w:val="22"/>
        </w:rPr>
        <w:t>material</w:t>
      </w:r>
      <w:r>
        <w:rPr>
          <w:spacing w:val="-11"/>
          <w:sz w:val="22"/>
        </w:rPr>
        <w:t> </w:t>
      </w:r>
      <w:r>
        <w:rPr>
          <w:sz w:val="22"/>
        </w:rPr>
        <w:t>difference</w:t>
      </w:r>
      <w:r>
        <w:rPr>
          <w:spacing w:val="-14"/>
          <w:sz w:val="22"/>
        </w:rPr>
        <w:t> </w:t>
      </w:r>
      <w:r>
        <w:rPr>
          <w:sz w:val="22"/>
        </w:rPr>
        <w:t>between</w:t>
      </w:r>
      <w:r>
        <w:rPr>
          <w:spacing w:val="-12"/>
          <w:sz w:val="22"/>
        </w:rPr>
        <w:t> </w:t>
      </w:r>
      <w:r>
        <w:rPr>
          <w:sz w:val="22"/>
        </w:rPr>
        <w:t>the</w:t>
      </w:r>
      <w:r>
        <w:rPr>
          <w:spacing w:val="-11"/>
          <w:sz w:val="22"/>
        </w:rPr>
        <w:t> </w:t>
      </w:r>
      <w:r>
        <w:rPr>
          <w:sz w:val="22"/>
        </w:rPr>
        <w:t>CY2017</w:t>
      </w:r>
      <w:r>
        <w:rPr>
          <w:spacing w:val="-12"/>
          <w:sz w:val="22"/>
        </w:rPr>
        <w:t> </w:t>
      </w:r>
      <w:r>
        <w:rPr>
          <w:sz w:val="22"/>
        </w:rPr>
        <w:t>ACO</w:t>
      </w:r>
      <w:r>
        <w:rPr>
          <w:spacing w:val="-13"/>
          <w:sz w:val="22"/>
        </w:rPr>
        <w:t> </w:t>
      </w:r>
      <w:r>
        <w:rPr>
          <w:sz w:val="22"/>
        </w:rPr>
        <w:t>eligible population and the population of members and provider networks that participate in the ACO</w:t>
      </w:r>
      <w:r>
        <w:rPr>
          <w:spacing w:val="-14"/>
          <w:sz w:val="22"/>
        </w:rPr>
        <w:t> </w:t>
      </w:r>
      <w:r>
        <w:rPr>
          <w:sz w:val="22"/>
        </w:rPr>
        <w:t>program</w:t>
      </w:r>
      <w:r>
        <w:rPr>
          <w:spacing w:val="-14"/>
          <w:sz w:val="22"/>
        </w:rPr>
        <w:t> </w:t>
      </w:r>
      <w:r>
        <w:rPr>
          <w:sz w:val="22"/>
        </w:rPr>
        <w:t>during</w:t>
      </w:r>
      <w:r>
        <w:rPr>
          <w:spacing w:val="-14"/>
          <w:sz w:val="22"/>
        </w:rPr>
        <w:t> </w:t>
      </w:r>
      <w:r>
        <w:rPr>
          <w:sz w:val="22"/>
        </w:rPr>
        <w:t>the</w:t>
      </w:r>
      <w:r>
        <w:rPr>
          <w:spacing w:val="-12"/>
          <w:sz w:val="22"/>
        </w:rPr>
        <w:t> </w:t>
      </w:r>
      <w:r>
        <w:rPr>
          <w:sz w:val="22"/>
        </w:rPr>
        <w:t>performance</w:t>
      </w:r>
      <w:r>
        <w:rPr>
          <w:spacing w:val="-11"/>
          <w:sz w:val="22"/>
        </w:rPr>
        <w:t> </w:t>
      </w:r>
      <w:r>
        <w:rPr>
          <w:sz w:val="22"/>
        </w:rPr>
        <w:t>years</w:t>
      </w:r>
      <w:r>
        <w:rPr>
          <w:spacing w:val="-11"/>
          <w:sz w:val="22"/>
        </w:rPr>
        <w:t> </w:t>
      </w:r>
      <w:r>
        <w:rPr>
          <w:sz w:val="22"/>
        </w:rPr>
        <w:t>(e.g.,</w:t>
      </w:r>
      <w:r>
        <w:rPr>
          <w:spacing w:val="-12"/>
          <w:sz w:val="22"/>
        </w:rPr>
        <w:t> </w:t>
      </w:r>
      <w:r>
        <w:rPr>
          <w:sz w:val="22"/>
        </w:rPr>
        <w:t>if</w:t>
      </w:r>
      <w:r>
        <w:rPr>
          <w:spacing w:val="-11"/>
          <w:sz w:val="22"/>
        </w:rPr>
        <w:t> </w:t>
      </w:r>
      <w:r>
        <w:rPr>
          <w:sz w:val="22"/>
        </w:rPr>
        <w:t>ACOs</w:t>
      </w:r>
      <w:r>
        <w:rPr>
          <w:spacing w:val="-11"/>
          <w:sz w:val="22"/>
        </w:rPr>
        <w:t> </w:t>
      </w:r>
      <w:r>
        <w:rPr>
          <w:sz w:val="22"/>
        </w:rPr>
        <w:t>that</w:t>
      </w:r>
      <w:r>
        <w:rPr>
          <w:spacing w:val="-11"/>
          <w:sz w:val="22"/>
        </w:rPr>
        <w:t> </w:t>
      </w:r>
      <w:r>
        <w:rPr>
          <w:sz w:val="22"/>
        </w:rPr>
        <w:t>have</w:t>
      </w:r>
      <w:r>
        <w:rPr>
          <w:spacing w:val="-11"/>
          <w:sz w:val="22"/>
        </w:rPr>
        <w:t> </w:t>
      </w:r>
      <w:r>
        <w:rPr>
          <w:sz w:val="22"/>
        </w:rPr>
        <w:t>historically</w:t>
      </w:r>
      <w:r>
        <w:rPr>
          <w:spacing w:val="-14"/>
          <w:sz w:val="22"/>
        </w:rPr>
        <w:t> </w:t>
      </w:r>
      <w:r>
        <w:rPr>
          <w:sz w:val="22"/>
        </w:rPr>
        <w:t>high</w:t>
      </w:r>
      <w:r>
        <w:rPr>
          <w:spacing w:val="-12"/>
          <w:sz w:val="22"/>
        </w:rPr>
        <w:t> </w:t>
      </w:r>
      <w:r>
        <w:rPr>
          <w:sz w:val="22"/>
        </w:rPr>
        <w:t>costs for</w:t>
      </w:r>
      <w:r>
        <w:rPr>
          <w:spacing w:val="-6"/>
          <w:sz w:val="22"/>
        </w:rPr>
        <w:t> </w:t>
      </w:r>
      <w:r>
        <w:rPr>
          <w:sz w:val="22"/>
        </w:rPr>
        <w:t>their</w:t>
      </w:r>
      <w:r>
        <w:rPr>
          <w:spacing w:val="-6"/>
          <w:sz w:val="22"/>
        </w:rPr>
        <w:t> </w:t>
      </w:r>
      <w:r>
        <w:rPr>
          <w:sz w:val="22"/>
        </w:rPr>
        <w:t>member</w:t>
      </w:r>
      <w:r>
        <w:rPr>
          <w:spacing w:val="-6"/>
          <w:sz w:val="22"/>
        </w:rPr>
        <w:t> </w:t>
      </w:r>
      <w:r>
        <w:rPr>
          <w:sz w:val="22"/>
        </w:rPr>
        <w:t>populations</w:t>
      </w:r>
      <w:r>
        <w:rPr>
          <w:spacing w:val="-9"/>
          <w:sz w:val="22"/>
        </w:rPr>
        <w:t> </w:t>
      </w:r>
      <w:r>
        <w:rPr>
          <w:sz w:val="22"/>
        </w:rPr>
        <w:t>join</w:t>
      </w:r>
      <w:r>
        <w:rPr>
          <w:spacing w:val="-7"/>
          <w:sz w:val="22"/>
        </w:rPr>
        <w:t> </w:t>
      </w:r>
      <w:r>
        <w:rPr>
          <w:sz w:val="22"/>
        </w:rPr>
        <w:t>the</w:t>
      </w:r>
      <w:r>
        <w:rPr>
          <w:spacing w:val="-7"/>
          <w:sz w:val="22"/>
        </w:rPr>
        <w:t> </w:t>
      </w:r>
      <w:r>
        <w:rPr>
          <w:sz w:val="22"/>
        </w:rPr>
        <w:t>program),</w:t>
      </w:r>
      <w:r>
        <w:rPr>
          <w:spacing w:val="-7"/>
          <w:sz w:val="22"/>
        </w:rPr>
        <w:t> </w:t>
      </w:r>
      <w:r>
        <w:rPr>
          <w:sz w:val="22"/>
        </w:rPr>
        <w:t>the</w:t>
      </w:r>
      <w:r>
        <w:rPr>
          <w:spacing w:val="-7"/>
          <w:sz w:val="22"/>
        </w:rPr>
        <w:t> </w:t>
      </w:r>
      <w:r>
        <w:rPr>
          <w:sz w:val="22"/>
        </w:rPr>
        <w:t>State</w:t>
      </w:r>
      <w:r>
        <w:rPr>
          <w:spacing w:val="-7"/>
          <w:sz w:val="22"/>
        </w:rPr>
        <w:t> </w:t>
      </w:r>
      <w:r>
        <w:rPr>
          <w:sz w:val="22"/>
        </w:rPr>
        <w:t>may</w:t>
      </w:r>
      <w:r>
        <w:rPr>
          <w:spacing w:val="-10"/>
          <w:sz w:val="22"/>
        </w:rPr>
        <w:t> </w:t>
      </w:r>
      <w:r>
        <w:rPr>
          <w:sz w:val="22"/>
        </w:rPr>
        <w:t>request</w:t>
      </w:r>
      <w:r>
        <w:rPr>
          <w:spacing w:val="-6"/>
          <w:sz w:val="22"/>
        </w:rPr>
        <w:t> </w:t>
      </w:r>
      <w:r>
        <w:rPr>
          <w:sz w:val="22"/>
        </w:rPr>
        <w:t>that</w:t>
      </w:r>
      <w:r>
        <w:rPr>
          <w:spacing w:val="-6"/>
          <w:sz w:val="22"/>
        </w:rPr>
        <w:t> </w:t>
      </w:r>
      <w:r>
        <w:rPr>
          <w:sz w:val="22"/>
        </w:rPr>
        <w:t>CMS</w:t>
      </w:r>
      <w:r>
        <w:rPr>
          <w:spacing w:val="-8"/>
          <w:sz w:val="22"/>
        </w:rPr>
        <w:t> </w:t>
      </w:r>
      <w:r>
        <w:rPr>
          <w:sz w:val="22"/>
        </w:rPr>
        <w:t>adjust</w:t>
      </w:r>
      <w:r>
        <w:rPr>
          <w:spacing w:val="-6"/>
          <w:sz w:val="22"/>
        </w:rPr>
        <w:t> </w:t>
      </w:r>
      <w:r>
        <w:rPr>
          <w:sz w:val="22"/>
        </w:rPr>
        <w:t>the CY2017</w:t>
      </w:r>
      <w:r>
        <w:rPr>
          <w:spacing w:val="-14"/>
          <w:sz w:val="22"/>
        </w:rPr>
        <w:t> </w:t>
      </w:r>
      <w:r>
        <w:rPr>
          <w:sz w:val="22"/>
        </w:rPr>
        <w:t>baseline</w:t>
      </w:r>
      <w:r>
        <w:rPr>
          <w:spacing w:val="-14"/>
          <w:sz w:val="22"/>
        </w:rPr>
        <w:t> </w:t>
      </w:r>
      <w:r>
        <w:rPr>
          <w:sz w:val="22"/>
        </w:rPr>
        <w:t>to</w:t>
      </w:r>
      <w:r>
        <w:rPr>
          <w:spacing w:val="-14"/>
          <w:sz w:val="22"/>
        </w:rPr>
        <w:t> </w:t>
      </w:r>
      <w:r>
        <w:rPr>
          <w:sz w:val="22"/>
        </w:rPr>
        <w:t>account</w:t>
      </w:r>
      <w:r>
        <w:rPr>
          <w:spacing w:val="-13"/>
          <w:sz w:val="22"/>
        </w:rPr>
        <w:t> </w:t>
      </w:r>
      <w:r>
        <w:rPr>
          <w:sz w:val="22"/>
        </w:rPr>
        <w:t>for</w:t>
      </w:r>
      <w:r>
        <w:rPr>
          <w:spacing w:val="-11"/>
          <w:sz w:val="22"/>
        </w:rPr>
        <w:t> </w:t>
      </w:r>
      <w:r>
        <w:rPr>
          <w:sz w:val="22"/>
        </w:rPr>
        <w:t>such</w:t>
      </w:r>
      <w:r>
        <w:rPr>
          <w:spacing w:val="-14"/>
          <w:sz w:val="22"/>
        </w:rPr>
        <w:t> </w:t>
      </w:r>
      <w:r>
        <w:rPr>
          <w:sz w:val="22"/>
        </w:rPr>
        <w:t>difference;</w:t>
      </w:r>
      <w:r>
        <w:rPr>
          <w:spacing w:val="-13"/>
          <w:sz w:val="22"/>
        </w:rPr>
        <w:t> </w:t>
      </w:r>
      <w:r>
        <w:rPr>
          <w:sz w:val="22"/>
        </w:rPr>
        <w:t>the</w:t>
      </w:r>
      <w:r>
        <w:rPr>
          <w:spacing w:val="-12"/>
          <w:sz w:val="22"/>
        </w:rPr>
        <w:t> </w:t>
      </w:r>
      <w:r>
        <w:rPr>
          <w:sz w:val="22"/>
        </w:rPr>
        <w:t>State</w:t>
      </w:r>
      <w:r>
        <w:rPr>
          <w:spacing w:val="-12"/>
          <w:sz w:val="22"/>
        </w:rPr>
        <w:t> </w:t>
      </w:r>
      <w:r>
        <w:rPr>
          <w:sz w:val="22"/>
        </w:rPr>
        <w:t>shall</w:t>
      </w:r>
      <w:r>
        <w:rPr>
          <w:spacing w:val="-12"/>
          <w:sz w:val="22"/>
        </w:rPr>
        <w:t> </w:t>
      </w:r>
      <w:r>
        <w:rPr>
          <w:sz w:val="22"/>
        </w:rPr>
        <w:t>provide</w:t>
      </w:r>
      <w:r>
        <w:rPr>
          <w:spacing w:val="-14"/>
          <w:sz w:val="22"/>
        </w:rPr>
        <w:t> </w:t>
      </w:r>
      <w:r>
        <w:rPr>
          <w:sz w:val="22"/>
        </w:rPr>
        <w:t>supporting</w:t>
      </w:r>
      <w:r>
        <w:rPr>
          <w:spacing w:val="-14"/>
          <w:sz w:val="22"/>
        </w:rPr>
        <w:t> </w:t>
      </w:r>
      <w:r>
        <w:rPr>
          <w:sz w:val="22"/>
        </w:rPr>
        <w:t>analysis in</w:t>
      </w:r>
      <w:r>
        <w:rPr>
          <w:spacing w:val="-5"/>
          <w:sz w:val="22"/>
        </w:rPr>
        <w:t> </w:t>
      </w:r>
      <w:r>
        <w:rPr>
          <w:sz w:val="22"/>
        </w:rPr>
        <w:t>the</w:t>
      </w:r>
      <w:r>
        <w:rPr>
          <w:spacing w:val="-4"/>
          <w:sz w:val="22"/>
        </w:rPr>
        <w:t> </w:t>
      </w:r>
      <w:r>
        <w:rPr>
          <w:sz w:val="22"/>
        </w:rPr>
        <w:t>event</w:t>
      </w:r>
      <w:r>
        <w:rPr>
          <w:spacing w:val="-1"/>
          <w:sz w:val="22"/>
        </w:rPr>
        <w:t> </w:t>
      </w:r>
      <w:r>
        <w:rPr>
          <w:sz w:val="22"/>
        </w:rPr>
        <w:t>of</w:t>
      </w:r>
      <w:r>
        <w:rPr>
          <w:spacing w:val="-1"/>
          <w:sz w:val="22"/>
        </w:rPr>
        <w:t> </w:t>
      </w:r>
      <w:r>
        <w:rPr>
          <w:sz w:val="22"/>
        </w:rPr>
        <w:t>such</w:t>
      </w:r>
      <w:r>
        <w:rPr>
          <w:spacing w:val="-5"/>
          <w:sz w:val="22"/>
        </w:rPr>
        <w:t> </w:t>
      </w:r>
      <w:r>
        <w:rPr>
          <w:sz w:val="22"/>
        </w:rPr>
        <w:t>a</w:t>
      </w:r>
      <w:r>
        <w:rPr>
          <w:spacing w:val="-2"/>
          <w:sz w:val="22"/>
        </w:rPr>
        <w:t> </w:t>
      </w:r>
      <w:r>
        <w:rPr>
          <w:sz w:val="22"/>
        </w:rPr>
        <w:t>request,</w:t>
      </w:r>
      <w:r>
        <w:rPr>
          <w:spacing w:val="-5"/>
          <w:sz w:val="22"/>
        </w:rPr>
        <w:t> </w:t>
      </w:r>
      <w:r>
        <w:rPr>
          <w:sz w:val="22"/>
        </w:rPr>
        <w:t>and</w:t>
      </w:r>
      <w:r>
        <w:rPr>
          <w:spacing w:val="-2"/>
          <w:sz w:val="22"/>
        </w:rPr>
        <w:t> </w:t>
      </w:r>
      <w:r>
        <w:rPr>
          <w:sz w:val="22"/>
        </w:rPr>
        <w:t>CMS</w:t>
      </w:r>
      <w:r>
        <w:rPr>
          <w:spacing w:val="-3"/>
          <w:sz w:val="22"/>
        </w:rPr>
        <w:t> </w:t>
      </w:r>
      <w:r>
        <w:rPr>
          <w:sz w:val="22"/>
        </w:rPr>
        <w:t>will</w:t>
      </w:r>
      <w:r>
        <w:rPr>
          <w:spacing w:val="-4"/>
          <w:sz w:val="22"/>
        </w:rPr>
        <w:t> </w:t>
      </w:r>
      <w:r>
        <w:rPr>
          <w:sz w:val="22"/>
        </w:rPr>
        <w:t>have</w:t>
      </w:r>
      <w:r>
        <w:rPr>
          <w:spacing w:val="-2"/>
          <w:sz w:val="22"/>
        </w:rPr>
        <w:t> </w:t>
      </w:r>
      <w:r>
        <w:rPr>
          <w:sz w:val="22"/>
        </w:rPr>
        <w:t>90</w:t>
      </w:r>
      <w:r>
        <w:rPr>
          <w:spacing w:val="-5"/>
          <w:sz w:val="22"/>
        </w:rPr>
        <w:t> </w:t>
      </w:r>
      <w:r>
        <w:rPr>
          <w:sz w:val="22"/>
        </w:rPr>
        <w:t>calendar</w:t>
      </w:r>
      <w:r>
        <w:rPr>
          <w:spacing w:val="-4"/>
          <w:sz w:val="22"/>
        </w:rPr>
        <w:t> </w:t>
      </w:r>
      <w:r>
        <w:rPr>
          <w:sz w:val="22"/>
        </w:rPr>
        <w:t>days</w:t>
      </w:r>
      <w:r>
        <w:rPr>
          <w:spacing w:val="-2"/>
          <w:sz w:val="22"/>
        </w:rPr>
        <w:t> </w:t>
      </w:r>
      <w:r>
        <w:rPr>
          <w:sz w:val="22"/>
        </w:rPr>
        <w:t>to</w:t>
      </w:r>
      <w:r>
        <w:rPr>
          <w:spacing w:val="-2"/>
          <w:sz w:val="22"/>
        </w:rPr>
        <w:t> </w:t>
      </w:r>
      <w:r>
        <w:rPr>
          <w:sz w:val="22"/>
        </w:rPr>
        <w:t>review</w:t>
      </w:r>
      <w:r>
        <w:rPr>
          <w:spacing w:val="-3"/>
          <w:sz w:val="22"/>
        </w:rPr>
        <w:t> </w:t>
      </w:r>
      <w:r>
        <w:rPr>
          <w:sz w:val="22"/>
        </w:rPr>
        <w:t>and</w:t>
      </w:r>
      <w:r>
        <w:rPr>
          <w:spacing w:val="-7"/>
          <w:sz w:val="22"/>
        </w:rPr>
        <w:t> </w:t>
      </w:r>
      <w:r>
        <w:rPr>
          <w:sz w:val="22"/>
        </w:rPr>
        <w:t>approve the request.</w:t>
      </w:r>
    </w:p>
    <w:p>
      <w:pPr>
        <w:spacing w:before="199"/>
        <w:ind w:left="1220" w:right="0" w:firstLine="0"/>
        <w:jc w:val="left"/>
        <w:rPr>
          <w:sz w:val="22"/>
        </w:rPr>
      </w:pPr>
      <w:r>
        <w:rPr>
          <w:sz w:val="22"/>
        </w:rPr>
        <w:t>For</w:t>
      </w:r>
      <w:r>
        <w:rPr>
          <w:spacing w:val="-3"/>
          <w:sz w:val="22"/>
        </w:rPr>
        <w:t> </w:t>
      </w:r>
      <w:r>
        <w:rPr>
          <w:sz w:val="22"/>
        </w:rPr>
        <w:t>each</w:t>
      </w:r>
      <w:r>
        <w:rPr>
          <w:spacing w:val="-3"/>
          <w:sz w:val="22"/>
        </w:rPr>
        <w:t> </w:t>
      </w:r>
      <w:r>
        <w:rPr>
          <w:sz w:val="22"/>
        </w:rPr>
        <w:t>Calendar</w:t>
      </w:r>
      <w:r>
        <w:rPr>
          <w:spacing w:val="-2"/>
          <w:sz w:val="22"/>
        </w:rPr>
        <w:t> </w:t>
      </w:r>
      <w:r>
        <w:rPr>
          <w:sz w:val="22"/>
        </w:rPr>
        <w:t>Year,</w:t>
      </w:r>
      <w:r>
        <w:rPr>
          <w:spacing w:val="-3"/>
          <w:sz w:val="22"/>
        </w:rPr>
        <w:t> </w:t>
      </w:r>
      <w:r>
        <w:rPr>
          <w:sz w:val="22"/>
        </w:rPr>
        <w:t>performance</w:t>
      </w:r>
      <w:r>
        <w:rPr>
          <w:spacing w:val="-3"/>
          <w:sz w:val="22"/>
        </w:rPr>
        <w:t> </w:t>
      </w:r>
      <w:r>
        <w:rPr>
          <w:sz w:val="22"/>
        </w:rPr>
        <w:t>of</w:t>
      </w:r>
      <w:r>
        <w:rPr>
          <w:spacing w:val="-6"/>
          <w:sz w:val="22"/>
        </w:rPr>
        <w:t> </w:t>
      </w:r>
      <w:r>
        <w:rPr>
          <w:sz w:val="22"/>
        </w:rPr>
        <w:t>the</w:t>
      </w:r>
      <w:r>
        <w:rPr>
          <w:spacing w:val="-3"/>
          <w:sz w:val="22"/>
        </w:rPr>
        <w:t> </w:t>
      </w:r>
      <w:r>
        <w:rPr>
          <w:sz w:val="22"/>
        </w:rPr>
        <w:t>ACO</w:t>
      </w:r>
      <w:r>
        <w:rPr>
          <w:spacing w:val="-4"/>
          <w:sz w:val="22"/>
        </w:rPr>
        <w:t> </w:t>
      </w:r>
      <w:r>
        <w:rPr>
          <w:sz w:val="22"/>
        </w:rPr>
        <w:t>population</w:t>
      </w:r>
      <w:r>
        <w:rPr>
          <w:spacing w:val="-3"/>
          <w:sz w:val="22"/>
        </w:rPr>
        <w:t> </w:t>
      </w:r>
      <w:r>
        <w:rPr>
          <w:sz w:val="22"/>
        </w:rPr>
        <w:t>will</w:t>
      </w:r>
      <w:r>
        <w:rPr>
          <w:spacing w:val="-2"/>
          <w:sz w:val="22"/>
        </w:rPr>
        <w:t> </w:t>
      </w:r>
      <w:r>
        <w:rPr>
          <w:sz w:val="22"/>
        </w:rPr>
        <w:t>be</w:t>
      </w:r>
      <w:r>
        <w:rPr>
          <w:spacing w:val="-3"/>
          <w:sz w:val="22"/>
        </w:rPr>
        <w:t> </w:t>
      </w:r>
      <w:r>
        <w:rPr>
          <w:sz w:val="22"/>
        </w:rPr>
        <w:t>measured</w:t>
      </w:r>
      <w:r>
        <w:rPr>
          <w:spacing w:val="-6"/>
          <w:sz w:val="22"/>
        </w:rPr>
        <w:t> </w:t>
      </w:r>
      <w:r>
        <w:rPr>
          <w:sz w:val="22"/>
        </w:rPr>
        <w:t>as</w:t>
      </w:r>
      <w:r>
        <w:rPr>
          <w:spacing w:val="-5"/>
          <w:sz w:val="22"/>
        </w:rPr>
        <w:t> </w:t>
      </w:r>
      <w:r>
        <w:rPr>
          <w:spacing w:val="-2"/>
          <w:sz w:val="22"/>
        </w:rPr>
        <w:t>follows:</w:t>
      </w:r>
    </w:p>
    <w:p>
      <w:pPr>
        <w:pStyle w:val="ListParagraph"/>
        <w:numPr>
          <w:ilvl w:val="0"/>
          <w:numId w:val="80"/>
        </w:numPr>
        <w:tabs>
          <w:tab w:pos="1940" w:val="left" w:leader="none"/>
        </w:tabs>
        <w:spacing w:line="240" w:lineRule="auto" w:before="158" w:after="0"/>
        <w:ind w:left="1940" w:right="1097" w:hanging="360"/>
        <w:jc w:val="both"/>
        <w:rPr>
          <w:sz w:val="24"/>
        </w:rPr>
      </w:pPr>
      <w:r>
        <w:rPr>
          <w:sz w:val="24"/>
        </w:rPr>
        <w:t>The</w:t>
      </w:r>
      <w:r>
        <w:rPr>
          <w:spacing w:val="-11"/>
          <w:sz w:val="24"/>
        </w:rPr>
        <w:t> </w:t>
      </w:r>
      <w:r>
        <w:rPr>
          <w:sz w:val="24"/>
        </w:rPr>
        <w:t>medically</w:t>
      </w:r>
      <w:r>
        <w:rPr>
          <w:spacing w:val="-12"/>
          <w:sz w:val="24"/>
        </w:rPr>
        <w:t> </w:t>
      </w:r>
      <w:r>
        <w:rPr>
          <w:sz w:val="24"/>
        </w:rPr>
        <w:t>frail</w:t>
      </w:r>
      <w:r>
        <w:rPr>
          <w:spacing w:val="-9"/>
          <w:sz w:val="24"/>
        </w:rPr>
        <w:t> </w:t>
      </w:r>
      <w:r>
        <w:rPr>
          <w:sz w:val="24"/>
        </w:rPr>
        <w:t>population</w:t>
      </w:r>
      <w:r>
        <w:rPr>
          <w:spacing w:val="-10"/>
          <w:sz w:val="24"/>
        </w:rPr>
        <w:t> </w:t>
      </w:r>
      <w:r>
        <w:rPr>
          <w:sz w:val="24"/>
        </w:rPr>
        <w:t>will</w:t>
      </w:r>
      <w:r>
        <w:rPr>
          <w:spacing w:val="-9"/>
          <w:sz w:val="24"/>
        </w:rPr>
        <w:t> </w:t>
      </w:r>
      <w:r>
        <w:rPr>
          <w:sz w:val="24"/>
        </w:rPr>
        <w:t>be</w:t>
      </w:r>
      <w:r>
        <w:rPr>
          <w:spacing w:val="-11"/>
          <w:sz w:val="24"/>
        </w:rPr>
        <w:t> </w:t>
      </w:r>
      <w:r>
        <w:rPr>
          <w:sz w:val="24"/>
        </w:rPr>
        <w:t>in</w:t>
      </w:r>
      <w:r>
        <w:rPr>
          <w:spacing w:val="-10"/>
          <w:sz w:val="24"/>
        </w:rPr>
        <w:t> </w:t>
      </w:r>
      <w:r>
        <w:rPr>
          <w:sz w:val="24"/>
        </w:rPr>
        <w:t>RC</w:t>
      </w:r>
      <w:r>
        <w:rPr>
          <w:spacing w:val="-9"/>
          <w:sz w:val="24"/>
        </w:rPr>
        <w:t> </w:t>
      </w:r>
      <w:r>
        <w:rPr>
          <w:sz w:val="24"/>
        </w:rPr>
        <w:t>9</w:t>
      </w:r>
      <w:r>
        <w:rPr>
          <w:spacing w:val="-10"/>
          <w:sz w:val="24"/>
        </w:rPr>
        <w:t> </w:t>
      </w:r>
      <w:r>
        <w:rPr>
          <w:sz w:val="24"/>
        </w:rPr>
        <w:t>for</w:t>
      </w:r>
      <w:r>
        <w:rPr>
          <w:spacing w:val="-6"/>
          <w:sz w:val="24"/>
        </w:rPr>
        <w:t> </w:t>
      </w:r>
      <w:r>
        <w:rPr>
          <w:sz w:val="24"/>
        </w:rPr>
        <w:t>all</w:t>
      </w:r>
      <w:r>
        <w:rPr>
          <w:spacing w:val="-9"/>
          <w:sz w:val="24"/>
        </w:rPr>
        <w:t> </w:t>
      </w:r>
      <w:r>
        <w:rPr>
          <w:sz w:val="24"/>
        </w:rPr>
        <w:t>calendar</w:t>
      </w:r>
      <w:r>
        <w:rPr>
          <w:spacing w:val="-5"/>
          <w:sz w:val="24"/>
        </w:rPr>
        <w:t> </w:t>
      </w:r>
      <w:r>
        <w:rPr>
          <w:sz w:val="24"/>
        </w:rPr>
        <w:t>years</w:t>
      </w:r>
      <w:r>
        <w:rPr>
          <w:spacing w:val="-7"/>
          <w:sz w:val="24"/>
        </w:rPr>
        <w:t> </w:t>
      </w:r>
      <w:r>
        <w:rPr>
          <w:sz w:val="24"/>
        </w:rPr>
        <w:t>for</w:t>
      </w:r>
      <w:r>
        <w:rPr>
          <w:spacing w:val="-10"/>
          <w:sz w:val="24"/>
        </w:rPr>
        <w:t> </w:t>
      </w:r>
      <w:r>
        <w:rPr>
          <w:sz w:val="24"/>
        </w:rPr>
        <w:t>the</w:t>
      </w:r>
      <w:r>
        <w:rPr>
          <w:spacing w:val="-8"/>
          <w:sz w:val="24"/>
        </w:rPr>
        <w:t> </w:t>
      </w:r>
      <w:r>
        <w:rPr>
          <w:sz w:val="24"/>
        </w:rPr>
        <w:t>purposes</w:t>
      </w:r>
      <w:r>
        <w:rPr>
          <w:spacing w:val="-9"/>
          <w:sz w:val="24"/>
        </w:rPr>
        <w:t> </w:t>
      </w:r>
      <w:r>
        <w:rPr>
          <w:sz w:val="24"/>
        </w:rPr>
        <w:t>of</w:t>
      </w:r>
      <w:r>
        <w:rPr>
          <w:spacing w:val="-10"/>
          <w:sz w:val="24"/>
        </w:rPr>
        <w:t> </w:t>
      </w:r>
      <w:r>
        <w:rPr>
          <w:sz w:val="24"/>
        </w:rPr>
        <w:t>the following calculations.</w:t>
      </w:r>
    </w:p>
    <w:p>
      <w:pPr>
        <w:pStyle w:val="ListParagraph"/>
        <w:numPr>
          <w:ilvl w:val="0"/>
          <w:numId w:val="80"/>
        </w:numPr>
        <w:tabs>
          <w:tab w:pos="1938" w:val="left" w:leader="none"/>
          <w:tab w:pos="1940" w:val="left" w:leader="none"/>
        </w:tabs>
        <w:spacing w:line="240" w:lineRule="auto" w:before="202" w:after="0"/>
        <w:ind w:left="1940" w:right="1095" w:hanging="361"/>
        <w:jc w:val="both"/>
        <w:rPr>
          <w:sz w:val="22"/>
        </w:rPr>
      </w:pPr>
      <w:r>
        <w:rPr>
          <w:sz w:val="22"/>
        </w:rPr>
        <w:t>The State will divide actual expenditures in Included Spending Categories by eligible member months during the CY to generate raw PMPM spending for the ACO population within each RC. Actual expenditures will be based on date of service, and will be derived from Medicaid claims data, MCO encounter data, and/or accounting reports, summarized as follows:</w:t>
      </w:r>
    </w:p>
    <w:p>
      <w:pPr>
        <w:pStyle w:val="BodyText"/>
      </w:pPr>
    </w:p>
    <w:p>
      <w:pPr>
        <w:pStyle w:val="BodyText"/>
        <w:spacing w:before="2"/>
        <w:rPr>
          <w:sz w:val="30"/>
        </w:rPr>
      </w:pPr>
    </w:p>
    <w:p>
      <w:pPr>
        <w:spacing w:line="134" w:lineRule="exact" w:before="0"/>
        <w:ind w:left="1581" w:right="1112" w:firstLine="0"/>
        <w:jc w:val="center"/>
        <w:rPr>
          <w:rFonts w:ascii="Cambria Math" w:hAnsi="Cambria Math" w:eastAsia="Cambria Math"/>
          <w:sz w:val="22"/>
        </w:rPr>
      </w:pPr>
      <w:r>
        <w:rPr>
          <w:rFonts w:ascii="Cambria Math" w:hAnsi="Cambria Math" w:eastAsia="Cambria Math"/>
          <w:w w:val="50"/>
          <w:sz w:val="22"/>
        </w:rPr>
        <w:t>𝐴𝐴𝐴𝐴𝐴𝐴</w:t>
      </w:r>
      <w:r>
        <w:rPr>
          <w:rFonts w:ascii="Cambria Math" w:hAnsi="Cambria Math" w:eastAsia="Cambria Math"/>
          <w:spacing w:val="-13"/>
          <w:sz w:val="22"/>
        </w:rPr>
        <w:t> </w:t>
      </w:r>
      <w:r>
        <w:rPr>
          <w:rFonts w:ascii="Cambria Math" w:hAnsi="Cambria Math" w:eastAsia="Cambria Math"/>
          <w:w w:val="50"/>
          <w:sz w:val="22"/>
        </w:rPr>
        <w:t>𝑃𝑃𝐴𝐴𝐴𝐴</w:t>
      </w:r>
      <w:r>
        <w:rPr>
          <w:rFonts w:ascii="Cambria Math" w:hAnsi="Cambria Math" w:eastAsia="Cambria Math"/>
          <w:spacing w:val="-10"/>
          <w:sz w:val="22"/>
        </w:rPr>
        <w:t> </w:t>
      </w:r>
      <w:r>
        <w:rPr>
          <w:rFonts w:ascii="Cambria Math" w:hAnsi="Cambria Math" w:eastAsia="Cambria Math"/>
          <w:w w:val="50"/>
          <w:sz w:val="22"/>
        </w:rPr>
        <w:t>𝐴𝐴𝐵𝐵𝑅𝑅</w:t>
      </w:r>
      <w:r>
        <w:rPr>
          <w:rFonts w:ascii="Cambria Math" w:hAnsi="Cambria Math" w:eastAsia="Cambria Math"/>
          <w:spacing w:val="-4"/>
          <w:sz w:val="22"/>
        </w:rPr>
        <w:t> </w:t>
      </w:r>
      <w:r>
        <w:rPr>
          <w:rFonts w:ascii="Cambria Math" w:hAnsi="Cambria Math" w:eastAsia="Cambria Math"/>
          <w:w w:val="50"/>
          <w:sz w:val="22"/>
        </w:rPr>
        <w:t>𝑃𝑃𝑃𝑃𝑃𝑃𝑃𝑃</w:t>
      </w:r>
      <w:r>
        <w:rPr>
          <w:rFonts w:ascii="Cambria Math" w:hAnsi="Cambria Math" w:eastAsia="Cambria Math"/>
          <w:spacing w:val="-5"/>
          <w:sz w:val="22"/>
        </w:rPr>
        <w:t> </w:t>
      </w:r>
      <w:r>
        <w:rPr>
          <w:rFonts w:ascii="Cambria Math" w:hAnsi="Cambria Math" w:eastAsia="Cambria Math"/>
          <w:w w:val="50"/>
          <w:sz w:val="22"/>
          <w:vertAlign w:val="superscript"/>
        </w:rPr>
        <w:t>𝐶𝐶𝑌𝑌𝑌𝑌𝑅𝑅</w:t>
      </w:r>
      <w:r>
        <w:rPr>
          <w:rFonts w:ascii="Cambria Math" w:hAnsi="Cambria Math" w:eastAsia="Cambria Math"/>
          <w:spacing w:val="-12"/>
          <w:sz w:val="22"/>
          <w:vertAlign w:val="baseline"/>
        </w:rPr>
        <w:t> </w:t>
      </w:r>
      <w:r>
        <w:rPr>
          <w:rFonts w:ascii="Cambria Math" w:hAnsi="Cambria Math" w:eastAsia="Cambria Math"/>
          <w:w w:val="50"/>
          <w:sz w:val="22"/>
          <w:vertAlign w:val="superscript"/>
        </w:rPr>
        <w:t>𝑡𝑡</w:t>
      </w:r>
      <w:r>
        <w:rPr>
          <w:rFonts w:ascii="Cambria Math" w:hAnsi="Cambria Math" w:eastAsia="Cambria Math"/>
          <w:spacing w:val="12"/>
          <w:sz w:val="22"/>
          <w:vertAlign w:val="baseline"/>
        </w:rPr>
        <w:t> </w:t>
      </w:r>
      <w:r>
        <w:rPr>
          <w:rFonts w:ascii="Cambria Math" w:hAnsi="Cambria Math" w:eastAsia="Cambria Math"/>
          <w:w w:val="50"/>
          <w:sz w:val="22"/>
          <w:vertAlign w:val="baseline"/>
        </w:rPr>
        <w:t>=</w:t>
      </w:r>
      <w:r>
        <w:rPr>
          <w:rFonts w:ascii="Cambria Math" w:hAnsi="Cambria Math" w:eastAsia="Cambria Math"/>
          <w:spacing w:val="3"/>
          <w:sz w:val="22"/>
          <w:vertAlign w:val="baseline"/>
        </w:rPr>
        <w:t> </w:t>
      </w:r>
      <w:r>
        <w:rPr>
          <w:rFonts w:ascii="Cambria Math" w:hAnsi="Cambria Math" w:eastAsia="Cambria Math"/>
          <w:w w:val="50"/>
          <w:sz w:val="22"/>
          <w:vertAlign w:val="baseline"/>
        </w:rPr>
        <w:t>𝐴𝐴𝐴𝐴𝐴𝐴</w:t>
      </w:r>
      <w:r>
        <w:rPr>
          <w:rFonts w:ascii="Cambria Math" w:hAnsi="Cambria Math" w:eastAsia="Cambria Math"/>
          <w:spacing w:val="-2"/>
          <w:sz w:val="22"/>
          <w:vertAlign w:val="baseline"/>
        </w:rPr>
        <w:t> </w:t>
      </w:r>
      <w:r>
        <w:rPr>
          <w:rFonts w:ascii="Cambria Math" w:hAnsi="Cambria Math" w:eastAsia="Cambria Math"/>
          <w:w w:val="50"/>
          <w:sz w:val="22"/>
          <w:vertAlign w:val="baseline"/>
        </w:rPr>
        <w:t>𝑃𝑃𝐴𝐴𝐴𝐴</w:t>
      </w:r>
      <w:r>
        <w:rPr>
          <w:rFonts w:ascii="Cambria Math" w:hAnsi="Cambria Math" w:eastAsia="Cambria Math"/>
          <w:spacing w:val="-7"/>
          <w:sz w:val="22"/>
          <w:vertAlign w:val="baseline"/>
        </w:rPr>
        <w:t> </w:t>
      </w:r>
      <w:r>
        <w:rPr>
          <w:rFonts w:ascii="Cambria Math" w:hAnsi="Cambria Math" w:eastAsia="Cambria Math"/>
          <w:w w:val="50"/>
          <w:sz w:val="22"/>
          <w:vertAlign w:val="baseline"/>
        </w:rPr>
        <w:t>𝐴𝐴𝐴𝐴𝐴𝐴𝐴𝐴𝐵𝐵𝐵𝐵</w:t>
      </w:r>
      <w:r>
        <w:rPr>
          <w:rFonts w:ascii="Cambria Math" w:hAnsi="Cambria Math" w:eastAsia="Cambria Math"/>
          <w:spacing w:val="-2"/>
          <w:sz w:val="22"/>
          <w:vertAlign w:val="baseline"/>
        </w:rPr>
        <w:t> </w:t>
      </w:r>
      <w:r>
        <w:rPr>
          <w:rFonts w:ascii="Cambria Math" w:hAnsi="Cambria Math" w:eastAsia="Cambria Math"/>
          <w:w w:val="50"/>
          <w:sz w:val="22"/>
          <w:vertAlign w:val="baseline"/>
        </w:rPr>
        <w:t>𝐸𝐸𝐸𝐸𝐴𝐴𝐵𝐵𝐵𝐵𝑇𝑇𝐵𝐵𝐴𝐴𝐴𝐴𝐴𝐴𝐵𝐵𝐵𝐵</w:t>
      </w:r>
      <w:r>
        <w:rPr>
          <w:rFonts w:ascii="Cambria Math" w:hAnsi="Cambria Math" w:eastAsia="Cambria Math"/>
          <w:w w:val="50"/>
          <w:sz w:val="22"/>
          <w:vertAlign w:val="superscript"/>
        </w:rPr>
        <w:t>𝐶𝐶𝑌𝑌𝑌𝑌𝑅𝑅</w:t>
      </w:r>
      <w:r>
        <w:rPr>
          <w:rFonts w:ascii="Cambria Math" w:hAnsi="Cambria Math" w:eastAsia="Cambria Math"/>
          <w:spacing w:val="-12"/>
          <w:sz w:val="22"/>
          <w:vertAlign w:val="baseline"/>
        </w:rPr>
        <w:t> </w:t>
      </w:r>
      <w:r>
        <w:rPr>
          <w:rFonts w:ascii="Cambria Math" w:hAnsi="Cambria Math" w:eastAsia="Cambria Math"/>
          <w:w w:val="50"/>
          <w:sz w:val="22"/>
          <w:vertAlign w:val="superscript"/>
        </w:rPr>
        <w:t>𝑡𝑡</w:t>
      </w:r>
      <w:r>
        <w:rPr>
          <w:rFonts w:ascii="Cambria Math" w:hAnsi="Cambria Math" w:eastAsia="Cambria Math"/>
          <w:spacing w:val="2"/>
          <w:sz w:val="22"/>
          <w:vertAlign w:val="baseline"/>
        </w:rPr>
        <w:t> </w:t>
      </w:r>
      <w:r>
        <w:rPr>
          <w:rFonts w:ascii="Cambria Math" w:hAnsi="Cambria Math" w:eastAsia="Cambria Math"/>
          <w:w w:val="50"/>
          <w:sz w:val="22"/>
          <w:vertAlign w:val="baseline"/>
        </w:rPr>
        <w:t>÷</w:t>
      </w:r>
      <w:r>
        <w:rPr>
          <w:rFonts w:ascii="Cambria Math" w:hAnsi="Cambria Math" w:eastAsia="Cambria Math"/>
          <w:spacing w:val="-7"/>
          <w:sz w:val="22"/>
          <w:vertAlign w:val="baseline"/>
        </w:rPr>
        <w:t> </w:t>
      </w:r>
      <w:r>
        <w:rPr>
          <w:rFonts w:ascii="Cambria Math" w:hAnsi="Cambria Math" w:eastAsia="Cambria Math"/>
          <w:w w:val="50"/>
          <w:sz w:val="22"/>
          <w:vertAlign w:val="baseline"/>
        </w:rPr>
        <w:t>𝐴𝐴𝐴𝐴𝐴𝐴</w:t>
      </w:r>
      <w:r>
        <w:rPr>
          <w:rFonts w:ascii="Cambria Math" w:hAnsi="Cambria Math" w:eastAsia="Cambria Math"/>
          <w:spacing w:val="-5"/>
          <w:sz w:val="22"/>
          <w:vertAlign w:val="baseline"/>
        </w:rPr>
        <w:t> </w:t>
      </w:r>
      <w:r>
        <w:rPr>
          <w:rFonts w:ascii="Cambria Math" w:hAnsi="Cambria Math" w:eastAsia="Cambria Math"/>
          <w:w w:val="50"/>
          <w:sz w:val="22"/>
          <w:vertAlign w:val="baseline"/>
        </w:rPr>
        <w:t>𝐴𝐴𝐴𝐴𝐴𝐴</w:t>
      </w:r>
      <w:r>
        <w:rPr>
          <w:rFonts w:ascii="Cambria Math" w:hAnsi="Cambria Math" w:eastAsia="Cambria Math"/>
          <w:spacing w:val="-6"/>
          <w:sz w:val="22"/>
          <w:vertAlign w:val="baseline"/>
        </w:rPr>
        <w:t> </w:t>
      </w:r>
      <w:r>
        <w:rPr>
          <w:rFonts w:ascii="Cambria Math" w:hAnsi="Cambria Math" w:eastAsia="Cambria Math"/>
          <w:w w:val="50"/>
          <w:sz w:val="22"/>
          <w:vertAlign w:val="baseline"/>
        </w:rPr>
        <w:t>𝑃𝑃𝑃𝑃</w:t>
      </w:r>
      <w:r>
        <w:rPr>
          <w:rFonts w:ascii="Cambria Math" w:hAnsi="Cambria Math" w:eastAsia="Cambria Math"/>
          <w:w w:val="50"/>
          <w:sz w:val="22"/>
          <w:vertAlign w:val="superscript"/>
        </w:rPr>
        <w:t>𝐶𝐶𝑌𝑌𝑌𝑌𝑅𝑅</w:t>
      </w:r>
      <w:r>
        <w:rPr>
          <w:rFonts w:ascii="Cambria Math" w:hAnsi="Cambria Math" w:eastAsia="Cambria Math"/>
          <w:spacing w:val="-13"/>
          <w:sz w:val="22"/>
          <w:vertAlign w:val="baseline"/>
        </w:rPr>
        <w:t> </w:t>
      </w:r>
      <w:r>
        <w:rPr>
          <w:rFonts w:ascii="Cambria Math" w:hAnsi="Cambria Math" w:eastAsia="Cambria Math"/>
          <w:spacing w:val="-5"/>
          <w:w w:val="50"/>
          <w:sz w:val="22"/>
          <w:vertAlign w:val="superscript"/>
        </w:rPr>
        <w:t>𝑡𝑡</w:t>
      </w:r>
    </w:p>
    <w:p>
      <w:pPr>
        <w:spacing w:after="0" w:line="134" w:lineRule="exact"/>
        <w:jc w:val="center"/>
        <w:rPr>
          <w:rFonts w:ascii="Cambria Math" w:hAnsi="Cambria Math" w:eastAsia="Cambria Math"/>
          <w:sz w:val="22"/>
        </w:rPr>
        <w:sectPr>
          <w:pgSz w:w="12240" w:h="15840"/>
          <w:pgMar w:header="0" w:footer="967" w:top="1360" w:bottom="1160" w:left="220" w:right="340"/>
        </w:sectPr>
      </w:pPr>
    </w:p>
    <w:p>
      <w:pPr>
        <w:spacing w:line="161" w:lineRule="exact" w:before="0"/>
        <w:ind w:left="0" w:right="0" w:firstLine="0"/>
        <w:jc w:val="right"/>
        <w:rPr>
          <w:rFonts w:ascii="Cambria Math" w:eastAsia="Cambria Math"/>
          <w:sz w:val="16"/>
        </w:rPr>
      </w:pPr>
      <w:r>
        <w:rPr>
          <w:rFonts w:ascii="Cambria Math" w:eastAsia="Cambria Math"/>
          <w:w w:val="50"/>
          <w:sz w:val="16"/>
        </w:rPr>
        <w:t>𝑅𝑅𝐶𝐶</w:t>
      </w:r>
      <w:r>
        <w:rPr>
          <w:rFonts w:ascii="Cambria Math" w:eastAsia="Cambria Math"/>
          <w:spacing w:val="8"/>
          <w:sz w:val="16"/>
        </w:rPr>
        <w:t> </w:t>
      </w:r>
      <w:r>
        <w:rPr>
          <w:rFonts w:ascii="Cambria Math" w:eastAsia="Cambria Math"/>
          <w:spacing w:val="-5"/>
          <w:w w:val="60"/>
          <w:sz w:val="16"/>
        </w:rPr>
        <w:t>𝑛𝑛</w:t>
      </w:r>
    </w:p>
    <w:p>
      <w:pPr>
        <w:spacing w:line="161" w:lineRule="exact" w:before="0"/>
        <w:ind w:left="0" w:right="0" w:firstLine="0"/>
        <w:jc w:val="right"/>
        <w:rPr>
          <w:rFonts w:ascii="Cambria Math" w:eastAsia="Cambria Math"/>
          <w:sz w:val="16"/>
        </w:rPr>
      </w:pPr>
      <w:r>
        <w:rPr/>
        <w:br w:type="column"/>
      </w:r>
      <w:r>
        <w:rPr>
          <w:rFonts w:ascii="Cambria Math" w:eastAsia="Cambria Math"/>
          <w:w w:val="50"/>
          <w:sz w:val="16"/>
        </w:rPr>
        <w:t>𝑅𝑅𝐶𝐶</w:t>
      </w:r>
      <w:r>
        <w:rPr>
          <w:rFonts w:ascii="Cambria Math" w:eastAsia="Cambria Math"/>
          <w:spacing w:val="6"/>
          <w:sz w:val="16"/>
        </w:rPr>
        <w:t> </w:t>
      </w:r>
      <w:r>
        <w:rPr>
          <w:rFonts w:ascii="Cambria Math" w:eastAsia="Cambria Math"/>
          <w:spacing w:val="-7"/>
          <w:w w:val="65"/>
          <w:sz w:val="16"/>
        </w:rPr>
        <w:t>𝑛𝑛</w:t>
      </w:r>
    </w:p>
    <w:p>
      <w:pPr>
        <w:spacing w:line="161" w:lineRule="exact" w:before="0"/>
        <w:ind w:left="1658" w:right="1560" w:firstLine="0"/>
        <w:jc w:val="center"/>
        <w:rPr>
          <w:rFonts w:ascii="Cambria Math" w:eastAsia="Cambria Math"/>
          <w:sz w:val="16"/>
        </w:rPr>
      </w:pPr>
      <w:r>
        <w:rPr/>
        <w:br w:type="column"/>
      </w:r>
      <w:r>
        <w:rPr>
          <w:rFonts w:ascii="Cambria Math" w:eastAsia="Cambria Math"/>
          <w:w w:val="50"/>
          <w:sz w:val="16"/>
        </w:rPr>
        <w:t>𝑅𝑅𝐶𝐶</w:t>
      </w:r>
      <w:r>
        <w:rPr>
          <w:rFonts w:ascii="Cambria Math" w:eastAsia="Cambria Math"/>
          <w:spacing w:val="8"/>
          <w:sz w:val="16"/>
        </w:rPr>
        <w:t> </w:t>
      </w:r>
      <w:r>
        <w:rPr>
          <w:rFonts w:ascii="Cambria Math" w:eastAsia="Cambria Math"/>
          <w:spacing w:val="-5"/>
          <w:w w:val="60"/>
          <w:sz w:val="16"/>
        </w:rPr>
        <w:t>𝑛𝑛</w:t>
      </w:r>
    </w:p>
    <w:p>
      <w:pPr>
        <w:spacing w:after="0" w:line="161" w:lineRule="exact"/>
        <w:jc w:val="center"/>
        <w:rPr>
          <w:rFonts w:ascii="Cambria Math" w:eastAsia="Cambria Math"/>
          <w:sz w:val="16"/>
        </w:rPr>
        <w:sectPr>
          <w:type w:val="continuous"/>
          <w:pgSz w:w="12240" w:h="15840"/>
          <w:pgMar w:header="0" w:footer="967" w:top="320" w:bottom="280" w:left="220" w:right="340"/>
          <w:cols w:num="3" w:equalWidth="0">
            <w:col w:w="4282" w:space="40"/>
            <w:col w:w="3719" w:space="39"/>
            <w:col w:w="3600"/>
          </w:cols>
        </w:sectPr>
      </w:pPr>
    </w:p>
    <w:p>
      <w:pPr>
        <w:pStyle w:val="ListParagraph"/>
        <w:numPr>
          <w:ilvl w:val="0"/>
          <w:numId w:val="80"/>
        </w:numPr>
        <w:tabs>
          <w:tab w:pos="1938" w:val="left" w:leader="none"/>
          <w:tab w:pos="1940" w:val="left" w:leader="none"/>
        </w:tabs>
        <w:spacing w:line="240" w:lineRule="auto" w:before="127" w:after="0"/>
        <w:ind w:left="1940" w:right="1094" w:hanging="361"/>
        <w:jc w:val="both"/>
        <w:rPr>
          <w:sz w:val="22"/>
        </w:rPr>
      </w:pPr>
      <w:r>
        <w:rPr>
          <w:sz w:val="22"/>
        </w:rPr>
        <w:t>To adjust for differences in acuity, an average risk score for the ACO enrolled population in each measurement</w:t>
      </w:r>
      <w:r>
        <w:rPr>
          <w:spacing w:val="-6"/>
          <w:sz w:val="22"/>
        </w:rPr>
        <w:t> </w:t>
      </w:r>
      <w:r>
        <w:rPr>
          <w:sz w:val="22"/>
        </w:rPr>
        <w:t>period</w:t>
      </w:r>
      <w:r>
        <w:rPr>
          <w:spacing w:val="-7"/>
          <w:sz w:val="22"/>
        </w:rPr>
        <w:t> </w:t>
      </w:r>
      <w:r>
        <w:rPr>
          <w:sz w:val="22"/>
        </w:rPr>
        <w:t>as</w:t>
      </w:r>
      <w:r>
        <w:rPr>
          <w:spacing w:val="-7"/>
          <w:sz w:val="22"/>
        </w:rPr>
        <w:t> </w:t>
      </w:r>
      <w:r>
        <w:rPr>
          <w:sz w:val="22"/>
        </w:rPr>
        <w:t>well</w:t>
      </w:r>
      <w:r>
        <w:rPr>
          <w:spacing w:val="-8"/>
          <w:sz w:val="22"/>
        </w:rPr>
        <w:t> </w:t>
      </w:r>
      <w:r>
        <w:rPr>
          <w:sz w:val="22"/>
        </w:rPr>
        <w:t>as</w:t>
      </w:r>
      <w:r>
        <w:rPr>
          <w:spacing w:val="-7"/>
          <w:sz w:val="22"/>
        </w:rPr>
        <w:t> </w:t>
      </w:r>
      <w:r>
        <w:rPr>
          <w:sz w:val="22"/>
        </w:rPr>
        <w:t>an</w:t>
      </w:r>
      <w:r>
        <w:rPr>
          <w:spacing w:val="-7"/>
          <w:sz w:val="22"/>
        </w:rPr>
        <w:t> </w:t>
      </w:r>
      <w:r>
        <w:rPr>
          <w:sz w:val="22"/>
        </w:rPr>
        <w:t>average</w:t>
      </w:r>
      <w:r>
        <w:rPr>
          <w:spacing w:val="-7"/>
          <w:sz w:val="22"/>
        </w:rPr>
        <w:t> </w:t>
      </w:r>
      <w:r>
        <w:rPr>
          <w:sz w:val="22"/>
        </w:rPr>
        <w:t>risk</w:t>
      </w:r>
      <w:r>
        <w:rPr>
          <w:spacing w:val="-10"/>
          <w:sz w:val="22"/>
        </w:rPr>
        <w:t> </w:t>
      </w:r>
      <w:r>
        <w:rPr>
          <w:sz w:val="22"/>
        </w:rPr>
        <w:t>score</w:t>
      </w:r>
      <w:r>
        <w:rPr>
          <w:spacing w:val="-7"/>
          <w:sz w:val="22"/>
        </w:rPr>
        <w:t> </w:t>
      </w:r>
      <w:r>
        <w:rPr>
          <w:sz w:val="22"/>
        </w:rPr>
        <w:t>for</w:t>
      </w:r>
      <w:r>
        <w:rPr>
          <w:spacing w:val="-9"/>
          <w:sz w:val="22"/>
        </w:rPr>
        <w:t> </w:t>
      </w:r>
      <w:r>
        <w:rPr>
          <w:sz w:val="22"/>
        </w:rPr>
        <w:t>the</w:t>
      </w:r>
      <w:r>
        <w:rPr>
          <w:spacing w:val="-7"/>
          <w:sz w:val="22"/>
        </w:rPr>
        <w:t> </w:t>
      </w:r>
      <w:r>
        <w:rPr>
          <w:sz w:val="22"/>
        </w:rPr>
        <w:t>CY17</w:t>
      </w:r>
      <w:r>
        <w:rPr>
          <w:spacing w:val="-7"/>
          <w:sz w:val="22"/>
        </w:rPr>
        <w:t> </w:t>
      </w:r>
      <w:r>
        <w:rPr>
          <w:sz w:val="22"/>
        </w:rPr>
        <w:t>ACO</w:t>
      </w:r>
      <w:r>
        <w:rPr>
          <w:spacing w:val="-8"/>
          <w:sz w:val="22"/>
        </w:rPr>
        <w:t> </w:t>
      </w:r>
      <w:r>
        <w:rPr>
          <w:sz w:val="22"/>
        </w:rPr>
        <w:t>eligible</w:t>
      </w:r>
      <w:r>
        <w:rPr>
          <w:spacing w:val="-7"/>
          <w:sz w:val="22"/>
        </w:rPr>
        <w:t> </w:t>
      </w:r>
      <w:r>
        <w:rPr>
          <w:sz w:val="22"/>
        </w:rPr>
        <w:t>population</w:t>
      </w:r>
      <w:r>
        <w:rPr>
          <w:spacing w:val="-7"/>
          <w:sz w:val="22"/>
        </w:rPr>
        <w:t> </w:t>
      </w:r>
      <w:r>
        <w:rPr>
          <w:sz w:val="22"/>
        </w:rPr>
        <w:t>will</w:t>
      </w:r>
      <w:r>
        <w:rPr>
          <w:spacing w:val="-6"/>
          <w:sz w:val="22"/>
        </w:rPr>
        <w:t> </w:t>
      </w:r>
      <w:r>
        <w:rPr>
          <w:sz w:val="22"/>
        </w:rPr>
        <w:t>be calculated using the DxCG risk model employed for ACO pricing.</w:t>
      </w:r>
    </w:p>
    <w:p>
      <w:pPr>
        <w:pStyle w:val="ListParagraph"/>
        <w:numPr>
          <w:ilvl w:val="0"/>
          <w:numId w:val="80"/>
        </w:numPr>
        <w:tabs>
          <w:tab w:pos="1938" w:val="left" w:leader="none"/>
          <w:tab w:pos="1940" w:val="left" w:leader="none"/>
        </w:tabs>
        <w:spacing w:line="240" w:lineRule="auto" w:before="199" w:after="0"/>
        <w:ind w:left="1940" w:right="1095" w:hanging="361"/>
        <w:jc w:val="both"/>
        <w:rPr>
          <w:sz w:val="22"/>
        </w:rPr>
      </w:pPr>
      <w:r>
        <w:rPr>
          <w:sz w:val="22"/>
        </w:rPr>
        <w:t>Raw PMPMs for the ACO population will be divided by risk scores to calculate risk-adjusted PMPMs, summarized as follows:</w:t>
      </w:r>
    </w:p>
    <w:p>
      <w:pPr>
        <w:pStyle w:val="BodyText"/>
        <w:rPr>
          <w:sz w:val="20"/>
        </w:rPr>
      </w:pPr>
    </w:p>
    <w:p>
      <w:pPr>
        <w:pStyle w:val="BodyText"/>
        <w:rPr>
          <w:sz w:val="18"/>
        </w:rPr>
      </w:pPr>
    </w:p>
    <w:p>
      <w:pPr>
        <w:spacing w:line="161" w:lineRule="exact" w:before="0"/>
        <w:ind w:left="7316" w:right="0" w:firstLine="0"/>
        <w:jc w:val="left"/>
        <w:rPr>
          <w:rFonts w:ascii="Cambria Math" w:eastAsia="Cambria Math"/>
          <w:sz w:val="16"/>
        </w:rPr>
      </w:pPr>
      <w:r>
        <w:rPr/>
        <mc:AlternateContent>
          <mc:Choice Requires="wps">
            <w:drawing>
              <wp:anchor distT="0" distB="0" distL="0" distR="0" allowOverlap="1" layoutInCell="1" locked="0" behindDoc="1" simplePos="0" relativeHeight="473944064">
                <wp:simplePos x="0" y="0"/>
                <wp:positionH relativeFrom="page">
                  <wp:posOffset>2955035</wp:posOffset>
                </wp:positionH>
                <wp:positionV relativeFrom="paragraph">
                  <wp:posOffset>42353</wp:posOffset>
                </wp:positionV>
                <wp:extent cx="1828164" cy="163195"/>
                <wp:effectExtent l="0" t="0" r="0" b="0"/>
                <wp:wrapNone/>
                <wp:docPr id="875" name="Textbox 875"/>
                <wp:cNvGraphicFramePr>
                  <a:graphicFrameLocks/>
                </wp:cNvGraphicFramePr>
                <a:graphic>
                  <a:graphicData uri="http://schemas.microsoft.com/office/word/2010/wordprocessingShape">
                    <wps:wsp>
                      <wps:cNvPr id="875" name="Textbox 875"/>
                      <wps:cNvSpPr txBox="1"/>
                      <wps:spPr>
                        <a:xfrm>
                          <a:off x="0" y="0"/>
                          <a:ext cx="1828164" cy="163195"/>
                        </a:xfrm>
                        <a:prstGeom prst="rect">
                          <a:avLst/>
                        </a:prstGeom>
                      </wps:spPr>
                      <wps:txbx>
                        <w:txbxContent>
                          <w:p>
                            <w:pPr>
                              <w:tabs>
                                <w:tab w:pos="1749" w:val="left" w:leader="none"/>
                              </w:tabs>
                              <w:spacing w:line="221" w:lineRule="exact" w:before="0"/>
                              <w:ind w:left="0" w:right="0" w:firstLine="0"/>
                              <w:jc w:val="left"/>
                              <w:rPr>
                                <w:rFonts w:ascii="Cambria Math" w:eastAsia="Cambria Math"/>
                                <w:sz w:val="22"/>
                              </w:rPr>
                            </w:pPr>
                            <w:r>
                              <w:rPr>
                                <w:sz w:val="22"/>
                                <w:u w:val="single"/>
                                <w:vertAlign w:val="baseline"/>
                              </w:rPr>
                              <w:tab/>
                            </w:r>
                            <w:r>
                              <w:rPr>
                                <w:rFonts w:ascii="Cambria Math" w:eastAsia="Cambria Math"/>
                                <w:spacing w:val="-2"/>
                                <w:w w:val="65"/>
                                <w:sz w:val="22"/>
                                <w:vertAlign w:val="baseline"/>
                              </w:rPr>
                              <w:t>𝐴𝐴𝐵𝐵𝑅𝑅</w:t>
                            </w:r>
                            <w:r>
                              <w:rPr>
                                <w:rFonts w:ascii="Cambria Math" w:eastAsia="Cambria Math"/>
                                <w:sz w:val="22"/>
                                <w:vertAlign w:val="baseline"/>
                              </w:rPr>
                              <w:t> </w:t>
                            </w:r>
                            <w:r>
                              <w:rPr>
                                <w:rFonts w:ascii="Cambria Math" w:eastAsia="Cambria Math"/>
                                <w:spacing w:val="-2"/>
                                <w:w w:val="65"/>
                                <w:sz w:val="22"/>
                                <w:vertAlign w:val="baseline"/>
                              </w:rPr>
                              <w:t>𝑃𝑃𝑃𝑃𝑃𝑃𝑃𝑃</w:t>
                            </w:r>
                          </w:p>
                        </w:txbxContent>
                      </wps:txbx>
                      <wps:bodyPr wrap="square" lIns="0" tIns="0" rIns="0" bIns="0" rtlCol="0">
                        <a:noAutofit/>
                      </wps:bodyPr>
                    </wps:wsp>
                  </a:graphicData>
                </a:graphic>
              </wp:anchor>
            </w:drawing>
          </mc:Choice>
          <mc:Fallback>
            <w:pict>
              <v:shape style="position:absolute;margin-left:232.679993pt;margin-top:3.334882pt;width:143.950pt;height:12.85pt;mso-position-horizontal-relative:page;mso-position-vertical-relative:paragraph;z-index:-29372416" type="#_x0000_t202" id="docshape92" filled="false" stroked="false">
                <v:textbox inset="0,0,0,0">
                  <w:txbxContent>
                    <w:p>
                      <w:pPr>
                        <w:tabs>
                          <w:tab w:pos="1749" w:val="left" w:leader="none"/>
                        </w:tabs>
                        <w:spacing w:line="221" w:lineRule="exact" w:before="0"/>
                        <w:ind w:left="0" w:right="0" w:firstLine="0"/>
                        <w:jc w:val="left"/>
                        <w:rPr>
                          <w:rFonts w:ascii="Cambria Math" w:eastAsia="Cambria Math"/>
                          <w:sz w:val="22"/>
                        </w:rPr>
                      </w:pPr>
                      <w:r>
                        <w:rPr>
                          <w:sz w:val="22"/>
                          <w:u w:val="single"/>
                          <w:vertAlign w:val="baseline"/>
                        </w:rPr>
                        <w:tab/>
                      </w:r>
                      <w:r>
                        <w:rPr>
                          <w:rFonts w:ascii="Cambria Math" w:eastAsia="Cambria Math"/>
                          <w:spacing w:val="-2"/>
                          <w:w w:val="65"/>
                          <w:sz w:val="22"/>
                          <w:vertAlign w:val="baseline"/>
                        </w:rPr>
                        <w:t>𝐴𝐴𝐵𝐵𝑅𝑅</w:t>
                      </w:r>
                      <w:r>
                        <w:rPr>
                          <w:rFonts w:ascii="Cambria Math" w:eastAsia="Cambria Math"/>
                          <w:sz w:val="22"/>
                          <w:vertAlign w:val="baseline"/>
                        </w:rPr>
                        <w:t> </w:t>
                      </w:r>
                      <w:r>
                        <w:rPr>
                          <w:rFonts w:ascii="Cambria Math" w:eastAsia="Cambria Math"/>
                          <w:spacing w:val="-2"/>
                          <w:w w:val="65"/>
                          <w:sz w:val="22"/>
                          <w:vertAlign w:val="baseline"/>
                        </w:rPr>
                        <w:t>𝑃𝑃𝑃𝑃𝑃𝑃𝑃𝑃</w:t>
                      </w:r>
                    </w:p>
                  </w:txbxContent>
                </v:textbox>
                <w10:wrap type="none"/>
              </v:shape>
            </w:pict>
          </mc:Fallback>
        </mc:AlternateContent>
      </w:r>
      <w:r>
        <w:rPr>
          <w:rFonts w:ascii="Cambria Math" w:eastAsia="Cambria Math"/>
          <w:w w:val="50"/>
          <w:sz w:val="16"/>
        </w:rPr>
        <w:t>𝐶𝐶𝑌𝑌𝑌𝑌𝑅𝑅</w:t>
      </w:r>
      <w:r>
        <w:rPr>
          <w:rFonts w:ascii="Cambria Math" w:eastAsia="Cambria Math"/>
          <w:spacing w:val="23"/>
          <w:sz w:val="16"/>
        </w:rPr>
        <w:t> </w:t>
      </w:r>
      <w:r>
        <w:rPr>
          <w:rFonts w:ascii="Cambria Math" w:eastAsia="Cambria Math"/>
          <w:spacing w:val="-5"/>
          <w:w w:val="60"/>
          <w:sz w:val="16"/>
        </w:rPr>
        <w:t>𝑡𝑡</w:t>
      </w:r>
    </w:p>
    <w:p>
      <w:pPr>
        <w:tabs>
          <w:tab w:pos="5222" w:val="left" w:leader="none"/>
          <w:tab w:pos="7526" w:val="left" w:leader="none"/>
        </w:tabs>
        <w:spacing w:line="171" w:lineRule="exact" w:before="0"/>
        <w:ind w:left="482" w:right="0" w:firstLine="0"/>
        <w:jc w:val="center"/>
        <w:rPr>
          <w:rFonts w:ascii="Cambria Math" w:eastAsia="Cambria Math"/>
          <w:sz w:val="16"/>
        </w:rPr>
      </w:pPr>
      <w:r>
        <w:rPr>
          <w:rFonts w:ascii="Cambria Math" w:eastAsia="Cambria Math"/>
          <w:w w:val="50"/>
          <w:sz w:val="22"/>
        </w:rPr>
        <w:t>𝐴</w:t>
      </w:r>
      <w:r>
        <w:rPr>
          <w:rFonts w:ascii="Cambria Math" w:eastAsia="Cambria Math"/>
          <w:spacing w:val="-1"/>
          <w:w w:val="50"/>
          <w:sz w:val="22"/>
        </w:rPr>
        <w:t>𝐴</w:t>
      </w:r>
      <w:r>
        <w:rPr>
          <w:rFonts w:ascii="Cambria Math" w:eastAsia="Cambria Math"/>
          <w:w w:val="48"/>
          <w:sz w:val="22"/>
        </w:rPr>
        <w:t>𝑇</w:t>
      </w:r>
      <w:r>
        <w:rPr>
          <w:rFonts w:ascii="Cambria Math" w:eastAsia="Cambria Math"/>
          <w:spacing w:val="-1"/>
          <w:w w:val="48"/>
          <w:sz w:val="22"/>
        </w:rPr>
        <w:t>𝑇</w:t>
      </w:r>
      <w:r>
        <w:rPr>
          <w:rFonts w:ascii="Cambria Math" w:eastAsia="Cambria Math"/>
          <w:w w:val="28"/>
          <w:sz w:val="22"/>
        </w:rPr>
        <w:t>𝐴𝐴</w:t>
      </w:r>
      <w:r>
        <w:rPr>
          <w:rFonts w:ascii="Cambria Math" w:eastAsia="Cambria Math"/>
          <w:spacing w:val="4"/>
          <w:sz w:val="22"/>
        </w:rPr>
        <w:t> </w:t>
      </w:r>
      <w:r>
        <w:rPr>
          <w:rFonts w:ascii="Cambria Math" w:eastAsia="Cambria Math"/>
          <w:w w:val="50"/>
          <w:sz w:val="22"/>
        </w:rPr>
        <w:t>𝑃</w:t>
      </w:r>
      <w:r>
        <w:rPr>
          <w:rFonts w:ascii="Cambria Math" w:eastAsia="Cambria Math"/>
          <w:spacing w:val="-1"/>
          <w:w w:val="50"/>
          <w:sz w:val="22"/>
        </w:rPr>
        <w:t>𝑃</w:t>
      </w:r>
      <w:r>
        <w:rPr>
          <w:rFonts w:ascii="Cambria Math" w:eastAsia="Cambria Math"/>
          <w:spacing w:val="-1"/>
          <w:w w:val="59"/>
          <w:sz w:val="22"/>
        </w:rPr>
        <w:t>𝑃𝑃𝑃𝑃</w:t>
      </w:r>
      <w:r>
        <w:rPr>
          <w:rFonts w:ascii="Cambria Math" w:eastAsia="Cambria Math"/>
          <w:w w:val="68"/>
          <w:sz w:val="22"/>
        </w:rPr>
        <w:t>𝑃</w:t>
      </w:r>
      <w:r>
        <w:rPr>
          <w:rFonts w:ascii="Cambria Math" w:eastAsia="Cambria Math"/>
          <w:spacing w:val="3"/>
          <w:w w:val="68"/>
          <w:sz w:val="22"/>
        </w:rPr>
        <w:t>𝑃</w:t>
      </w:r>
      <w:r>
        <w:rPr>
          <w:rFonts w:ascii="Cambria Math" w:eastAsia="Cambria Math"/>
          <w:w w:val="52"/>
          <w:position w:val="9"/>
          <w:sz w:val="16"/>
        </w:rPr>
        <w:t>𝐶𝐶</w:t>
      </w:r>
      <w:r>
        <w:rPr>
          <w:rFonts w:ascii="Cambria Math" w:eastAsia="Cambria Math"/>
          <w:w w:val="53"/>
          <w:position w:val="9"/>
          <w:sz w:val="16"/>
        </w:rPr>
        <w:t>𝑌𝑌</w:t>
      </w:r>
      <w:r>
        <w:rPr>
          <w:rFonts w:ascii="Cambria Math" w:eastAsia="Cambria Math"/>
          <w:w w:val="55"/>
          <w:position w:val="9"/>
          <w:sz w:val="16"/>
        </w:rPr>
        <w:t>𝑌</w:t>
      </w:r>
      <w:r>
        <w:rPr>
          <w:rFonts w:ascii="Cambria Math" w:eastAsia="Cambria Math"/>
          <w:spacing w:val="-1"/>
          <w:w w:val="55"/>
          <w:position w:val="9"/>
          <w:sz w:val="16"/>
        </w:rPr>
        <w:t>𝑌</w:t>
      </w:r>
      <w:r>
        <w:rPr>
          <w:rFonts w:ascii="Cambria Math" w:eastAsia="Cambria Math"/>
          <w:w w:val="51"/>
          <w:position w:val="9"/>
          <w:sz w:val="16"/>
        </w:rPr>
        <w:t>𝑅𝑅</w:t>
      </w:r>
      <w:r>
        <w:rPr>
          <w:rFonts w:ascii="Cambria Math" w:eastAsia="Cambria Math"/>
          <w:spacing w:val="3"/>
          <w:position w:val="9"/>
          <w:sz w:val="16"/>
        </w:rPr>
        <w:t> </w:t>
      </w:r>
      <w:r>
        <w:rPr>
          <w:rFonts w:ascii="Cambria Math" w:eastAsia="Cambria Math"/>
          <w:w w:val="56"/>
          <w:position w:val="9"/>
          <w:sz w:val="16"/>
        </w:rPr>
        <w:t>𝑡𝑡</w:t>
      </w:r>
      <w:r>
        <w:rPr>
          <w:rFonts w:ascii="Cambria Math" w:eastAsia="Cambria Math"/>
          <w:position w:val="9"/>
          <w:sz w:val="16"/>
        </w:rPr>
        <w:t> </w:t>
      </w:r>
      <w:r>
        <w:rPr>
          <w:rFonts w:ascii="Cambria Math" w:eastAsia="Cambria Math"/>
          <w:spacing w:val="2"/>
          <w:position w:val="9"/>
          <w:sz w:val="16"/>
        </w:rPr>
        <w:t> </w:t>
      </w:r>
      <w:r>
        <w:rPr>
          <w:rFonts w:ascii="Cambria Math" w:eastAsia="Cambria Math"/>
          <w:w w:val="100"/>
          <w:sz w:val="22"/>
        </w:rPr>
        <w:t>=</w:t>
      </w:r>
      <w:r>
        <w:rPr>
          <w:rFonts w:ascii="Cambria Math" w:eastAsia="Cambria Math"/>
          <w:sz w:val="22"/>
        </w:rPr>
        <w:tab/>
      </w:r>
      <w:r>
        <w:rPr>
          <w:rFonts w:ascii="Cambria Math" w:eastAsia="Cambria Math"/>
          <w:w w:val="51"/>
          <w:position w:val="12"/>
          <w:sz w:val="16"/>
          <w:u w:val="single"/>
        </w:rPr>
        <w:t>𝑅</w:t>
      </w:r>
      <w:r>
        <w:rPr>
          <w:rFonts w:ascii="Cambria Math" w:eastAsia="Cambria Math"/>
          <w:spacing w:val="-1"/>
          <w:w w:val="51"/>
          <w:position w:val="12"/>
          <w:sz w:val="16"/>
          <w:u w:val="single"/>
        </w:rPr>
        <w:t>𝑅</w:t>
      </w:r>
      <w:r>
        <w:rPr>
          <w:rFonts w:ascii="Cambria Math" w:eastAsia="Cambria Math"/>
          <w:spacing w:val="4"/>
          <w:w w:val="51"/>
          <w:position w:val="12"/>
          <w:sz w:val="16"/>
          <w:u w:val="single"/>
        </w:rPr>
        <w:t>𝐶</w:t>
      </w:r>
      <w:r>
        <w:rPr>
          <w:rFonts w:ascii="Cambria Math" w:eastAsia="Cambria Math"/>
          <w:position w:val="12"/>
          <w:sz w:val="16"/>
          <w:u w:val="single"/>
        </w:rPr>
        <w:t> </w:t>
      </w:r>
      <w:r>
        <w:rPr>
          <w:rFonts w:ascii="Cambria Math" w:eastAsia="Cambria Math"/>
          <w:w w:val="51"/>
          <w:position w:val="12"/>
          <w:sz w:val="16"/>
          <w:u w:val="single"/>
        </w:rPr>
        <w:t>𝐶</w:t>
      </w:r>
      <w:r>
        <w:rPr>
          <w:rFonts w:ascii="Cambria Math" w:eastAsia="Cambria Math"/>
          <w:spacing w:val="4"/>
          <w:position w:val="12"/>
          <w:sz w:val="16"/>
          <w:u w:val="single"/>
        </w:rPr>
        <w:t> </w:t>
      </w:r>
      <w:r>
        <w:rPr>
          <w:rFonts w:ascii="Cambria Math" w:eastAsia="Cambria Math"/>
          <w:spacing w:val="19"/>
          <w:w w:val="56"/>
          <w:position w:val="12"/>
          <w:sz w:val="16"/>
          <w:u w:val="single"/>
        </w:rPr>
        <w:t>𝑛</w:t>
      </w:r>
      <w:r>
        <w:rPr>
          <w:rFonts w:ascii="Cambria Math" w:eastAsia="Cambria Math"/>
          <w:position w:val="12"/>
          <w:sz w:val="16"/>
          <w:u w:val="single"/>
        </w:rPr>
        <w:t>                                                       </w:t>
      </w:r>
      <w:r>
        <w:rPr>
          <w:rFonts w:ascii="Cambria Math" w:eastAsia="Cambria Math"/>
          <w:w w:val="56"/>
          <w:position w:val="12"/>
          <w:sz w:val="16"/>
          <w:u w:val="single"/>
        </w:rPr>
        <w:t>𝑛</w:t>
      </w:r>
      <w:r>
        <w:rPr>
          <w:rFonts w:ascii="Cambria Math" w:eastAsia="Cambria Math"/>
          <w:position w:val="12"/>
          <w:sz w:val="16"/>
          <w:u w:val="single"/>
        </w:rPr>
        <w:tab/>
      </w:r>
    </w:p>
    <w:p>
      <w:pPr>
        <w:spacing w:after="0" w:line="171" w:lineRule="exact"/>
        <w:jc w:val="center"/>
        <w:rPr>
          <w:rFonts w:ascii="Cambria Math" w:eastAsia="Cambria Math"/>
          <w:sz w:val="16"/>
        </w:rPr>
        <w:sectPr>
          <w:type w:val="continuous"/>
          <w:pgSz w:w="12240" w:h="15840"/>
          <w:pgMar w:header="0" w:footer="967" w:top="320" w:bottom="280" w:left="220" w:right="340"/>
        </w:sectPr>
      </w:pPr>
    </w:p>
    <w:p>
      <w:pPr>
        <w:spacing w:line="161" w:lineRule="exact" w:before="0"/>
        <w:ind w:left="0" w:right="0" w:firstLine="0"/>
        <w:jc w:val="right"/>
        <w:rPr>
          <w:rFonts w:ascii="Cambria Math" w:eastAsia="Cambria Math"/>
          <w:sz w:val="16"/>
        </w:rPr>
      </w:pPr>
      <w:r>
        <w:rPr>
          <w:rFonts w:ascii="Cambria Math" w:eastAsia="Cambria Math"/>
          <w:w w:val="50"/>
          <w:sz w:val="16"/>
        </w:rPr>
        <w:t>𝑅𝑅𝐶𝐶</w:t>
      </w:r>
      <w:r>
        <w:rPr>
          <w:rFonts w:ascii="Cambria Math" w:eastAsia="Cambria Math"/>
          <w:spacing w:val="6"/>
          <w:sz w:val="16"/>
        </w:rPr>
        <w:t> </w:t>
      </w:r>
      <w:r>
        <w:rPr>
          <w:rFonts w:ascii="Cambria Math" w:eastAsia="Cambria Math"/>
          <w:spacing w:val="-7"/>
          <w:w w:val="65"/>
          <w:sz w:val="16"/>
        </w:rPr>
        <w:t>𝑛𝑛</w:t>
      </w:r>
    </w:p>
    <w:p>
      <w:pPr>
        <w:spacing w:line="142" w:lineRule="exact" w:before="24"/>
        <w:ind w:left="453" w:right="0" w:firstLine="0"/>
        <w:jc w:val="left"/>
        <w:rPr>
          <w:rFonts w:ascii="Cambria Math" w:eastAsia="Cambria Math"/>
          <w:sz w:val="22"/>
        </w:rPr>
      </w:pPr>
      <w:r>
        <w:rPr/>
        <w:br w:type="column"/>
      </w:r>
      <w:r>
        <w:rPr>
          <w:rFonts w:ascii="Cambria Math" w:eastAsia="Cambria Math"/>
          <w:w w:val="45"/>
          <w:sz w:val="22"/>
        </w:rPr>
        <w:t>𝐴𝐴𝐴𝐴𝐴𝐴</w:t>
      </w:r>
      <w:r>
        <w:rPr>
          <w:rFonts w:ascii="Cambria Math" w:eastAsia="Cambria Math"/>
          <w:spacing w:val="2"/>
          <w:sz w:val="22"/>
        </w:rPr>
        <w:t> </w:t>
      </w:r>
      <w:r>
        <w:rPr>
          <w:rFonts w:ascii="Cambria Math" w:eastAsia="Cambria Math"/>
          <w:w w:val="45"/>
          <w:sz w:val="22"/>
        </w:rPr>
        <w:t>𝑃𝑃𝐴𝐴𝐴𝐴</w:t>
      </w:r>
      <w:r>
        <w:rPr>
          <w:rFonts w:ascii="Cambria Math" w:eastAsia="Cambria Math"/>
          <w:sz w:val="22"/>
        </w:rPr>
        <w:t> </w:t>
      </w:r>
      <w:r>
        <w:rPr>
          <w:rFonts w:ascii="Cambria Math" w:eastAsia="Cambria Math"/>
          <w:w w:val="45"/>
          <w:sz w:val="22"/>
        </w:rPr>
        <w:t>𝐴𝐴𝐵𝐵𝐵𝐵𝑅𝑅</w:t>
      </w:r>
      <w:r>
        <w:rPr>
          <w:rFonts w:ascii="Cambria Math" w:eastAsia="Cambria Math"/>
          <w:spacing w:val="2"/>
          <w:sz w:val="22"/>
        </w:rPr>
        <w:t> </w:t>
      </w:r>
      <w:r>
        <w:rPr>
          <w:rFonts w:ascii="Cambria Math" w:eastAsia="Cambria Math"/>
          <w:w w:val="45"/>
          <w:sz w:val="22"/>
        </w:rPr>
        <w:t>𝑆𝑆𝐴𝐴𝐴𝐴𝐴𝐴𝐵𝐵</w:t>
      </w:r>
      <w:r>
        <w:rPr>
          <w:rFonts w:ascii="Cambria Math" w:eastAsia="Cambria Math"/>
          <w:w w:val="45"/>
          <w:sz w:val="22"/>
          <w:vertAlign w:val="superscript"/>
        </w:rPr>
        <w:t>𝐶𝐶𝑌𝑌𝑌𝑌𝑅𝑅</w:t>
      </w:r>
      <w:r>
        <w:rPr>
          <w:rFonts w:ascii="Cambria Math" w:eastAsia="Cambria Math"/>
          <w:spacing w:val="-12"/>
          <w:sz w:val="22"/>
          <w:vertAlign w:val="baseline"/>
        </w:rPr>
        <w:t> </w:t>
      </w:r>
      <w:r>
        <w:rPr>
          <w:rFonts w:ascii="Cambria Math" w:eastAsia="Cambria Math"/>
          <w:spacing w:val="-5"/>
          <w:w w:val="45"/>
          <w:sz w:val="22"/>
          <w:vertAlign w:val="superscript"/>
        </w:rPr>
        <w:t>𝑡𝑡</w:t>
      </w:r>
    </w:p>
    <w:p>
      <w:pPr>
        <w:spacing w:after="0" w:line="142" w:lineRule="exact"/>
        <w:jc w:val="left"/>
        <w:rPr>
          <w:rFonts w:ascii="Cambria Math" w:eastAsia="Cambria Math"/>
          <w:sz w:val="22"/>
        </w:rPr>
        <w:sectPr>
          <w:type w:val="continuous"/>
          <w:pgSz w:w="12240" w:h="15840"/>
          <w:pgMar w:header="0" w:footer="967" w:top="320" w:bottom="280" w:left="220" w:right="340"/>
          <w:cols w:num="2" w:equalWidth="0">
            <w:col w:w="3941" w:space="40"/>
            <w:col w:w="7699"/>
          </w:cols>
        </w:sectPr>
      </w:pPr>
    </w:p>
    <w:p>
      <w:pPr>
        <w:spacing w:line="158" w:lineRule="exact" w:before="0"/>
        <w:ind w:left="0" w:right="0" w:firstLine="0"/>
        <w:jc w:val="right"/>
        <w:rPr>
          <w:rFonts w:ascii="Cambria Math" w:hAnsi="Cambria Math" w:cs="Cambria Math" w:eastAsia="Cambria Math"/>
          <w:sz w:val="22"/>
          <w:szCs w:val="22"/>
        </w:rPr>
      </w:pPr>
      <w:r>
        <w:rPr>
          <w:rFonts w:ascii="Cambria Math" w:hAnsi="Cambria Math" w:cs="Cambria Math" w:eastAsia="Cambria Math"/>
          <w:w w:val="60"/>
          <w:sz w:val="16"/>
          <w:szCs w:val="16"/>
        </w:rPr>
        <w:t>𝑅𝑅𝐶𝐶</w:t>
      </w:r>
      <w:r>
        <w:rPr>
          <w:rFonts w:ascii="Cambria Math" w:hAnsi="Cambria Math" w:cs="Cambria Math" w:eastAsia="Cambria Math"/>
          <w:spacing w:val="-5"/>
          <w:sz w:val="16"/>
          <w:szCs w:val="16"/>
        </w:rPr>
        <w:t> </w:t>
      </w:r>
      <w:r>
        <w:rPr>
          <w:rFonts w:ascii="Cambria Math" w:hAnsi="Cambria Math" w:cs="Cambria Math" w:eastAsia="Cambria Math"/>
          <w:w w:val="60"/>
          <w:sz w:val="16"/>
          <w:szCs w:val="16"/>
        </w:rPr>
        <w:t>𝑛𝑛</w:t>
      </w:r>
      <w:r>
        <w:rPr>
          <w:rFonts w:ascii="Cambria Math" w:hAnsi="Cambria Math" w:cs="Cambria Math" w:eastAsia="Cambria Math"/>
          <w:spacing w:val="72"/>
          <w:w w:val="150"/>
          <w:sz w:val="16"/>
          <w:szCs w:val="16"/>
        </w:rPr>
        <w:t> </w:t>
      </w:r>
      <w:r>
        <w:rPr>
          <w:rFonts w:ascii="Cambria Math" w:hAnsi="Cambria Math" w:cs="Cambria Math" w:eastAsia="Cambria Math"/>
          <w:spacing w:val="-10"/>
          <w:w w:val="60"/>
          <w:position w:val="-6"/>
          <w:sz w:val="22"/>
          <w:szCs w:val="22"/>
        </w:rPr>
        <w:t>�</w:t>
      </w:r>
    </w:p>
    <w:p>
      <w:pPr>
        <w:spacing w:line="64" w:lineRule="exact" w:before="93"/>
        <w:ind w:left="1877" w:right="2024" w:firstLine="0"/>
        <w:jc w:val="center"/>
        <w:rPr>
          <w:rFonts w:ascii="Cambria Math" w:eastAsia="Cambria Math"/>
          <w:sz w:val="16"/>
        </w:rPr>
      </w:pPr>
      <w:r>
        <w:rPr/>
        <w:br w:type="column"/>
      </w:r>
      <w:r>
        <w:rPr>
          <w:rFonts w:ascii="Cambria Math" w:eastAsia="Cambria Math"/>
          <w:spacing w:val="-2"/>
          <w:w w:val="90"/>
          <w:sz w:val="16"/>
        </w:rPr>
        <w:t>𝐶𝐶𝐶𝐶2017</w:t>
      </w:r>
    </w:p>
    <w:p>
      <w:pPr>
        <w:spacing w:after="0" w:line="64" w:lineRule="exact"/>
        <w:jc w:val="center"/>
        <w:rPr>
          <w:rFonts w:ascii="Cambria Math" w:eastAsia="Cambria Math"/>
          <w:sz w:val="16"/>
        </w:rPr>
        <w:sectPr>
          <w:type w:val="continuous"/>
          <w:pgSz w:w="12240" w:h="15840"/>
          <w:pgMar w:header="0" w:footer="967" w:top="320" w:bottom="280" w:left="220" w:right="340"/>
          <w:cols w:num="2" w:equalWidth="0">
            <w:col w:w="7052" w:space="40"/>
            <w:col w:w="4588"/>
          </w:cols>
        </w:sectPr>
      </w:pPr>
    </w:p>
    <w:p>
      <w:pPr>
        <w:spacing w:line="196" w:lineRule="auto" w:before="0"/>
        <w:ind w:left="7006" w:right="0" w:firstLine="0"/>
        <w:jc w:val="left"/>
        <w:rPr>
          <w:rFonts w:ascii="Cambria Math" w:eastAsia="Cambria Math"/>
          <w:sz w:val="16"/>
        </w:rPr>
      </w:pPr>
      <w:r>
        <w:rPr>
          <w:rFonts w:ascii="Cambria Math" w:eastAsia="Cambria Math"/>
          <w:w w:val="40"/>
          <w:sz w:val="22"/>
        </w:rPr>
        <w:t>𝐴𝐴𝐴𝐴𝐴𝐴</w:t>
      </w:r>
      <w:r>
        <w:rPr>
          <w:rFonts w:ascii="Cambria Math" w:eastAsia="Cambria Math"/>
          <w:spacing w:val="12"/>
          <w:sz w:val="22"/>
        </w:rPr>
        <w:t> </w:t>
      </w:r>
      <w:r>
        <w:rPr>
          <w:rFonts w:ascii="Cambria Math" w:eastAsia="Cambria Math"/>
          <w:w w:val="40"/>
          <w:sz w:val="22"/>
        </w:rPr>
        <w:t>𝐸𝐸𝐵𝐵𝐵𝐵𝐴𝐴</w:t>
      </w:r>
      <w:r>
        <w:rPr>
          <w:rFonts w:ascii="Cambria Math" w:eastAsia="Cambria Math"/>
          <w:spacing w:val="13"/>
          <w:sz w:val="22"/>
        </w:rPr>
        <w:t> </w:t>
      </w:r>
      <w:r>
        <w:rPr>
          <w:rFonts w:ascii="Cambria Math" w:eastAsia="Cambria Math"/>
          <w:w w:val="40"/>
          <w:sz w:val="22"/>
        </w:rPr>
        <w:t>𝐴𝐴𝐵𝐵𝐵𝐵𝑅𝑅</w:t>
      </w:r>
      <w:r>
        <w:rPr>
          <w:rFonts w:ascii="Cambria Math" w:eastAsia="Cambria Math"/>
          <w:spacing w:val="12"/>
          <w:sz w:val="22"/>
        </w:rPr>
        <w:t> </w:t>
      </w:r>
      <w:r>
        <w:rPr>
          <w:rFonts w:ascii="Cambria Math" w:eastAsia="Cambria Math"/>
          <w:w w:val="40"/>
          <w:sz w:val="22"/>
        </w:rPr>
        <w:t>𝑆𝑆𝐴𝐴𝐴𝐴𝐴𝐴𝐵𝐵</w:t>
      </w:r>
      <w:r>
        <w:rPr>
          <w:rFonts w:ascii="Cambria Math" w:eastAsia="Cambria Math"/>
          <w:w w:val="40"/>
          <w:position w:val="-5"/>
          <w:sz w:val="16"/>
        </w:rPr>
        <w:t>𝑅𝑅𝐶𝐶</w:t>
      </w:r>
      <w:r>
        <w:rPr>
          <w:rFonts w:ascii="Cambria Math" w:eastAsia="Cambria Math"/>
          <w:spacing w:val="12"/>
          <w:position w:val="-5"/>
          <w:sz w:val="16"/>
        </w:rPr>
        <w:t> </w:t>
      </w:r>
      <w:r>
        <w:rPr>
          <w:rFonts w:ascii="Cambria Math" w:eastAsia="Cambria Math"/>
          <w:spacing w:val="-5"/>
          <w:w w:val="40"/>
          <w:position w:val="-5"/>
          <w:sz w:val="16"/>
        </w:rPr>
        <w:t>𝑛𝑛</w:t>
      </w:r>
    </w:p>
    <w:p>
      <w:pPr>
        <w:pStyle w:val="ListParagraph"/>
        <w:numPr>
          <w:ilvl w:val="0"/>
          <w:numId w:val="80"/>
        </w:numPr>
        <w:tabs>
          <w:tab w:pos="1939" w:val="left" w:leader="none"/>
        </w:tabs>
        <w:spacing w:line="240" w:lineRule="auto" w:before="131" w:after="0"/>
        <w:ind w:left="1939" w:right="1093" w:hanging="360"/>
        <w:jc w:val="both"/>
        <w:rPr>
          <w:sz w:val="22"/>
        </w:rPr>
      </w:pPr>
      <w:r>
        <w:rPr>
          <w:sz w:val="22"/>
        </w:rPr>
        <w:t>A</w:t>
      </w:r>
      <w:r>
        <w:rPr>
          <w:spacing w:val="-13"/>
          <w:sz w:val="22"/>
        </w:rPr>
        <w:t> </w:t>
      </w:r>
      <w:r>
        <w:rPr>
          <w:sz w:val="22"/>
        </w:rPr>
        <w:t>weighted</w:t>
      </w:r>
      <w:r>
        <w:rPr>
          <w:spacing w:val="-12"/>
          <w:sz w:val="22"/>
        </w:rPr>
        <w:t> </w:t>
      </w:r>
      <w:r>
        <w:rPr>
          <w:sz w:val="22"/>
        </w:rPr>
        <w:t>average</w:t>
      </w:r>
      <w:r>
        <w:rPr>
          <w:spacing w:val="-11"/>
          <w:sz w:val="22"/>
        </w:rPr>
        <w:t> </w:t>
      </w:r>
      <w:r>
        <w:rPr>
          <w:sz w:val="22"/>
        </w:rPr>
        <w:t>risk-adjusted</w:t>
      </w:r>
      <w:r>
        <w:rPr>
          <w:spacing w:val="-12"/>
          <w:sz w:val="22"/>
        </w:rPr>
        <w:t> </w:t>
      </w:r>
      <w:r>
        <w:rPr>
          <w:sz w:val="22"/>
        </w:rPr>
        <w:t>PMPM</w:t>
      </w:r>
      <w:r>
        <w:rPr>
          <w:spacing w:val="-14"/>
          <w:sz w:val="22"/>
        </w:rPr>
        <w:t> </w:t>
      </w:r>
      <w:r>
        <w:rPr>
          <w:sz w:val="22"/>
        </w:rPr>
        <w:t>for</w:t>
      </w:r>
      <w:r>
        <w:rPr>
          <w:spacing w:val="-13"/>
          <w:sz w:val="22"/>
        </w:rPr>
        <w:t> </w:t>
      </w:r>
      <w:r>
        <w:rPr>
          <w:sz w:val="22"/>
        </w:rPr>
        <w:t>the</w:t>
      </w:r>
      <w:r>
        <w:rPr>
          <w:spacing w:val="-12"/>
          <w:sz w:val="22"/>
        </w:rPr>
        <w:t> </w:t>
      </w:r>
      <w:r>
        <w:rPr>
          <w:sz w:val="22"/>
        </w:rPr>
        <w:t>ACO</w:t>
      </w:r>
      <w:r>
        <w:rPr>
          <w:spacing w:val="-13"/>
          <w:sz w:val="22"/>
        </w:rPr>
        <w:t> </w:t>
      </w:r>
      <w:r>
        <w:rPr>
          <w:sz w:val="22"/>
        </w:rPr>
        <w:t>population</w:t>
      </w:r>
      <w:r>
        <w:rPr>
          <w:spacing w:val="-12"/>
          <w:sz w:val="22"/>
        </w:rPr>
        <w:t> </w:t>
      </w:r>
      <w:r>
        <w:rPr>
          <w:sz w:val="22"/>
        </w:rPr>
        <w:t>will</w:t>
      </w:r>
      <w:r>
        <w:rPr>
          <w:spacing w:val="-13"/>
          <w:sz w:val="22"/>
        </w:rPr>
        <w:t> </w:t>
      </w:r>
      <w:r>
        <w:rPr>
          <w:sz w:val="22"/>
        </w:rPr>
        <w:t>be</w:t>
      </w:r>
      <w:r>
        <w:rPr>
          <w:spacing w:val="-14"/>
          <w:sz w:val="22"/>
        </w:rPr>
        <w:t> </w:t>
      </w:r>
      <w:r>
        <w:rPr>
          <w:sz w:val="22"/>
        </w:rPr>
        <w:t>calculated</w:t>
      </w:r>
      <w:r>
        <w:rPr>
          <w:spacing w:val="-12"/>
          <w:sz w:val="22"/>
        </w:rPr>
        <w:t> </w:t>
      </w:r>
      <w:r>
        <w:rPr>
          <w:sz w:val="22"/>
        </w:rPr>
        <w:t>by</w:t>
      </w:r>
      <w:r>
        <w:rPr>
          <w:spacing w:val="-14"/>
          <w:sz w:val="22"/>
        </w:rPr>
        <w:t> </w:t>
      </w:r>
      <w:r>
        <w:rPr>
          <w:sz w:val="22"/>
        </w:rPr>
        <w:t>aggregating the</w:t>
      </w:r>
      <w:r>
        <w:rPr>
          <w:spacing w:val="-9"/>
          <w:sz w:val="22"/>
        </w:rPr>
        <w:t> </w:t>
      </w:r>
      <w:r>
        <w:rPr>
          <w:sz w:val="22"/>
        </w:rPr>
        <w:t>products</w:t>
      </w:r>
      <w:r>
        <w:rPr>
          <w:spacing w:val="-9"/>
          <w:sz w:val="22"/>
        </w:rPr>
        <w:t> </w:t>
      </w:r>
      <w:r>
        <w:rPr>
          <w:sz w:val="22"/>
        </w:rPr>
        <w:t>of</w:t>
      </w:r>
      <w:r>
        <w:rPr>
          <w:spacing w:val="-9"/>
          <w:sz w:val="22"/>
        </w:rPr>
        <w:t> </w:t>
      </w:r>
      <w:r>
        <w:rPr>
          <w:sz w:val="22"/>
        </w:rPr>
        <w:t>the</w:t>
      </w:r>
      <w:r>
        <w:rPr>
          <w:spacing w:val="-11"/>
          <w:sz w:val="22"/>
        </w:rPr>
        <w:t> </w:t>
      </w:r>
      <w:r>
        <w:rPr>
          <w:sz w:val="22"/>
        </w:rPr>
        <w:t>risk-adjusted</w:t>
      </w:r>
      <w:r>
        <w:rPr>
          <w:spacing w:val="-12"/>
          <w:sz w:val="22"/>
        </w:rPr>
        <w:t> </w:t>
      </w:r>
      <w:r>
        <w:rPr>
          <w:sz w:val="22"/>
        </w:rPr>
        <w:t>PMPMs</w:t>
      </w:r>
      <w:r>
        <w:rPr>
          <w:spacing w:val="-11"/>
          <w:sz w:val="22"/>
        </w:rPr>
        <w:t> </w:t>
      </w:r>
      <w:r>
        <w:rPr>
          <w:sz w:val="22"/>
        </w:rPr>
        <w:t>for</w:t>
      </w:r>
      <w:r>
        <w:rPr>
          <w:spacing w:val="-11"/>
          <w:sz w:val="22"/>
        </w:rPr>
        <w:t> </w:t>
      </w:r>
      <w:r>
        <w:rPr>
          <w:sz w:val="22"/>
        </w:rPr>
        <w:t>each</w:t>
      </w:r>
      <w:r>
        <w:rPr>
          <w:spacing w:val="-10"/>
          <w:sz w:val="22"/>
        </w:rPr>
        <w:t> </w:t>
      </w:r>
      <w:r>
        <w:rPr>
          <w:sz w:val="22"/>
        </w:rPr>
        <w:t>RC</w:t>
      </w:r>
      <w:r>
        <w:rPr>
          <w:spacing w:val="-10"/>
          <w:sz w:val="22"/>
        </w:rPr>
        <w:t> </w:t>
      </w:r>
      <w:r>
        <w:rPr>
          <w:sz w:val="22"/>
        </w:rPr>
        <w:t>multiplied</w:t>
      </w:r>
      <w:r>
        <w:rPr>
          <w:spacing w:val="-12"/>
          <w:sz w:val="22"/>
        </w:rPr>
        <w:t> </w:t>
      </w:r>
      <w:r>
        <w:rPr>
          <w:sz w:val="22"/>
        </w:rPr>
        <w:t>by</w:t>
      </w:r>
      <w:r>
        <w:rPr>
          <w:spacing w:val="-12"/>
          <w:sz w:val="22"/>
        </w:rPr>
        <w:t> </w:t>
      </w:r>
      <w:r>
        <w:rPr>
          <w:sz w:val="22"/>
        </w:rPr>
        <w:t>the</w:t>
      </w:r>
      <w:r>
        <w:rPr>
          <w:spacing w:val="-12"/>
          <w:sz w:val="22"/>
        </w:rPr>
        <w:t> </w:t>
      </w:r>
      <w:r>
        <w:rPr>
          <w:sz w:val="22"/>
        </w:rPr>
        <w:t>proportion</w:t>
      </w:r>
      <w:r>
        <w:rPr>
          <w:spacing w:val="-10"/>
          <w:sz w:val="22"/>
        </w:rPr>
        <w:t> </w:t>
      </w:r>
      <w:r>
        <w:rPr>
          <w:sz w:val="22"/>
        </w:rPr>
        <w:t>of</w:t>
      </w:r>
      <w:r>
        <w:rPr>
          <w:spacing w:val="-9"/>
          <w:sz w:val="22"/>
        </w:rPr>
        <w:t> </w:t>
      </w:r>
      <w:r>
        <w:rPr>
          <w:sz w:val="22"/>
        </w:rPr>
        <w:t>total</w:t>
      </w:r>
      <w:r>
        <w:rPr>
          <w:spacing w:val="-9"/>
          <w:sz w:val="22"/>
        </w:rPr>
        <w:t> </w:t>
      </w:r>
      <w:r>
        <w:rPr>
          <w:sz w:val="22"/>
        </w:rPr>
        <w:t>CY2017 ACO-eligible population member months represented within each RC, summarized as follows:</w:t>
      </w:r>
    </w:p>
    <w:p>
      <w:pPr>
        <w:pStyle w:val="BodyText"/>
        <w:spacing w:before="3"/>
        <w:rPr>
          <w:sz w:val="25"/>
        </w:rPr>
      </w:pPr>
    </w:p>
    <w:p>
      <w:pPr>
        <w:spacing w:line="127" w:lineRule="exact" w:before="0"/>
        <w:ind w:left="2772" w:right="0" w:firstLine="0"/>
        <w:jc w:val="left"/>
        <w:rPr>
          <w:rFonts w:ascii="Cambria Math" w:hAnsi="Cambria Math" w:cs="Cambria Math" w:eastAsia="Cambria Math"/>
          <w:sz w:val="20"/>
          <w:szCs w:val="20"/>
        </w:rPr>
      </w:pPr>
      <w:r>
        <w:rPr>
          <w:rFonts w:ascii="Cambria Math" w:hAnsi="Cambria Math" w:cs="Cambria Math" w:eastAsia="Cambria Math"/>
          <w:w w:val="55"/>
          <w:sz w:val="20"/>
          <w:szCs w:val="20"/>
        </w:rPr>
        <w:t>𝐴𝐴𝐴𝐴𝐴𝐴</w:t>
      </w:r>
      <w:r>
        <w:rPr>
          <w:rFonts w:ascii="Cambria Math" w:hAnsi="Cambria Math" w:cs="Cambria Math" w:eastAsia="Cambria Math"/>
          <w:spacing w:val="-12"/>
          <w:sz w:val="20"/>
          <w:szCs w:val="20"/>
        </w:rPr>
        <w:t> </w:t>
      </w:r>
      <w:r>
        <w:rPr>
          <w:rFonts w:ascii="Cambria Math" w:hAnsi="Cambria Math" w:cs="Cambria Math" w:eastAsia="Cambria Math"/>
          <w:w w:val="55"/>
          <w:sz w:val="20"/>
          <w:szCs w:val="20"/>
        </w:rPr>
        <w:t>𝐴𝐴𝑇𝑇𝐴𝐴</w:t>
      </w:r>
      <w:r>
        <w:rPr>
          <w:rFonts w:ascii="Cambria Math" w:hAnsi="Cambria Math" w:cs="Cambria Math" w:eastAsia="Cambria Math"/>
          <w:spacing w:val="-11"/>
          <w:sz w:val="20"/>
          <w:szCs w:val="20"/>
        </w:rPr>
        <w:t> </w:t>
      </w:r>
      <w:r>
        <w:rPr>
          <w:rFonts w:ascii="Cambria Math" w:hAnsi="Cambria Math" w:cs="Cambria Math" w:eastAsia="Cambria Math"/>
          <w:w w:val="55"/>
          <w:sz w:val="20"/>
          <w:szCs w:val="20"/>
        </w:rPr>
        <w:t>𝑃𝑃𝑃𝑃𝑃𝑃𝑃𝑃</w:t>
      </w:r>
      <w:r>
        <w:rPr>
          <w:rFonts w:ascii="Cambria Math" w:hAnsi="Cambria Math" w:cs="Cambria Math" w:eastAsia="Cambria Math"/>
          <w:w w:val="55"/>
          <w:sz w:val="20"/>
          <w:szCs w:val="20"/>
          <w:vertAlign w:val="superscript"/>
        </w:rPr>
        <w:t>𝐶𝐶𝑌𝑌𝑌𝑌𝑌𝑌</w:t>
      </w:r>
      <w:r>
        <w:rPr>
          <w:rFonts w:ascii="Cambria Math" w:hAnsi="Cambria Math" w:cs="Cambria Math" w:eastAsia="Cambria Math"/>
          <w:spacing w:val="-11"/>
          <w:sz w:val="20"/>
          <w:szCs w:val="20"/>
          <w:vertAlign w:val="baseline"/>
        </w:rPr>
        <w:t> </w:t>
      </w:r>
      <w:r>
        <w:rPr>
          <w:rFonts w:ascii="Cambria Math" w:hAnsi="Cambria Math" w:cs="Cambria Math" w:eastAsia="Cambria Math"/>
          <w:w w:val="55"/>
          <w:sz w:val="20"/>
          <w:szCs w:val="20"/>
          <w:vertAlign w:val="superscript"/>
        </w:rPr>
        <w:t>𝑡𝑡</w:t>
      </w:r>
      <w:r>
        <w:rPr>
          <w:rFonts w:ascii="Cambria Math" w:hAnsi="Cambria Math" w:cs="Cambria Math" w:eastAsia="Cambria Math"/>
          <w:spacing w:val="1"/>
          <w:sz w:val="20"/>
          <w:szCs w:val="20"/>
          <w:vertAlign w:val="baseline"/>
        </w:rPr>
        <w:t> </w:t>
      </w:r>
      <w:r>
        <w:rPr>
          <w:rFonts w:ascii="Cambria Math" w:hAnsi="Cambria Math" w:cs="Cambria Math" w:eastAsia="Cambria Math"/>
          <w:w w:val="55"/>
          <w:sz w:val="20"/>
          <w:szCs w:val="20"/>
          <w:vertAlign w:val="baseline"/>
        </w:rPr>
        <w:t>=</w:t>
      </w:r>
      <w:r>
        <w:rPr>
          <w:rFonts w:ascii="Cambria Math" w:hAnsi="Cambria Math" w:cs="Cambria Math" w:eastAsia="Cambria Math"/>
          <w:spacing w:val="-4"/>
          <w:sz w:val="20"/>
          <w:szCs w:val="20"/>
          <w:vertAlign w:val="baseline"/>
        </w:rPr>
        <w:t> </w:t>
      </w:r>
      <w:r>
        <w:rPr>
          <w:rFonts w:ascii="Cambria Math" w:hAnsi="Cambria Math" w:cs="Cambria Math" w:eastAsia="Cambria Math"/>
          <w:w w:val="55"/>
          <w:sz w:val="20"/>
          <w:szCs w:val="20"/>
          <w:vertAlign w:val="baseline"/>
        </w:rPr>
        <w:t>�</w:t>
      </w:r>
      <w:r>
        <w:rPr>
          <w:rFonts w:ascii="Cambria Math" w:hAnsi="Cambria Math" w:cs="Cambria Math" w:eastAsia="Cambria Math"/>
          <w:spacing w:val="-11"/>
          <w:sz w:val="20"/>
          <w:szCs w:val="20"/>
          <w:vertAlign w:val="baseline"/>
        </w:rPr>
        <w:t> </w:t>
      </w:r>
      <w:r>
        <w:rPr>
          <w:rFonts w:ascii="Cambria Math" w:hAnsi="Cambria Math" w:cs="Cambria Math" w:eastAsia="Cambria Math"/>
          <w:w w:val="55"/>
          <w:sz w:val="20"/>
          <w:szCs w:val="20"/>
          <w:vertAlign w:val="baseline"/>
        </w:rPr>
        <w:t>𝐴𝐴𝑇𝑇𝐴𝐴</w:t>
      </w:r>
      <w:r>
        <w:rPr>
          <w:rFonts w:ascii="Cambria Math" w:hAnsi="Cambria Math" w:cs="Cambria Math" w:eastAsia="Cambria Math"/>
          <w:spacing w:val="-7"/>
          <w:sz w:val="20"/>
          <w:szCs w:val="20"/>
          <w:vertAlign w:val="baseline"/>
        </w:rPr>
        <w:t> </w:t>
      </w:r>
      <w:r>
        <w:rPr>
          <w:rFonts w:ascii="Cambria Math" w:hAnsi="Cambria Math" w:cs="Cambria Math" w:eastAsia="Cambria Math"/>
          <w:w w:val="55"/>
          <w:sz w:val="20"/>
          <w:szCs w:val="20"/>
          <w:vertAlign w:val="baseline"/>
        </w:rPr>
        <w:t>𝑃𝑃𝑃𝑃𝑃𝑃𝑃𝑃</w:t>
      </w:r>
      <w:r>
        <w:rPr>
          <w:rFonts w:ascii="Cambria Math" w:hAnsi="Cambria Math" w:cs="Cambria Math" w:eastAsia="Cambria Math"/>
          <w:w w:val="55"/>
          <w:sz w:val="20"/>
          <w:szCs w:val="20"/>
          <w:vertAlign w:val="superscript"/>
        </w:rPr>
        <w:t>𝐶𝐶𝑌𝑌𝑌𝑌𝑅𝑅</w:t>
      </w:r>
      <w:r>
        <w:rPr>
          <w:rFonts w:ascii="Cambria Math" w:hAnsi="Cambria Math" w:cs="Cambria Math" w:eastAsia="Cambria Math"/>
          <w:spacing w:val="-11"/>
          <w:sz w:val="20"/>
          <w:szCs w:val="20"/>
          <w:vertAlign w:val="baseline"/>
        </w:rPr>
        <w:t> </w:t>
      </w:r>
      <w:r>
        <w:rPr>
          <w:rFonts w:ascii="Cambria Math" w:hAnsi="Cambria Math" w:cs="Cambria Math" w:eastAsia="Cambria Math"/>
          <w:w w:val="55"/>
          <w:sz w:val="20"/>
          <w:szCs w:val="20"/>
          <w:vertAlign w:val="superscript"/>
        </w:rPr>
        <w:t>𝑡𝑡</w:t>
      </w:r>
      <w:r>
        <w:rPr>
          <w:rFonts w:ascii="Cambria Math" w:hAnsi="Cambria Math" w:cs="Cambria Math" w:eastAsia="Cambria Math"/>
          <w:spacing w:val="-1"/>
          <w:sz w:val="20"/>
          <w:szCs w:val="20"/>
          <w:vertAlign w:val="baseline"/>
        </w:rPr>
        <w:t> </w:t>
      </w:r>
      <w:r>
        <w:rPr>
          <w:rFonts w:ascii="Cambria Math" w:hAnsi="Cambria Math" w:cs="Cambria Math" w:eastAsia="Cambria Math"/>
          <w:w w:val="55"/>
          <w:sz w:val="20"/>
          <w:szCs w:val="20"/>
          <w:vertAlign w:val="baseline"/>
        </w:rPr>
        <w:t>×</w:t>
      </w:r>
      <w:r>
        <w:rPr>
          <w:rFonts w:ascii="Cambria Math" w:hAnsi="Cambria Math" w:cs="Cambria Math" w:eastAsia="Cambria Math"/>
          <w:spacing w:val="-11"/>
          <w:sz w:val="20"/>
          <w:szCs w:val="20"/>
          <w:vertAlign w:val="baseline"/>
        </w:rPr>
        <w:t> </w:t>
      </w:r>
      <w:r>
        <w:rPr>
          <w:rFonts w:ascii="Cambria Math" w:hAnsi="Cambria Math" w:cs="Cambria Math" w:eastAsia="Cambria Math"/>
          <w:w w:val="55"/>
          <w:sz w:val="20"/>
          <w:szCs w:val="20"/>
          <w:vertAlign w:val="baseline"/>
        </w:rPr>
        <w:t>𝐴𝐴𝐴𝐴𝐴𝐴</w:t>
      </w:r>
      <w:r>
        <w:rPr>
          <w:rFonts w:ascii="Cambria Math" w:hAnsi="Cambria Math" w:cs="Cambria Math" w:eastAsia="Cambria Math"/>
          <w:spacing w:val="-5"/>
          <w:sz w:val="20"/>
          <w:szCs w:val="20"/>
          <w:vertAlign w:val="baseline"/>
        </w:rPr>
        <w:t> </w:t>
      </w:r>
      <w:r>
        <w:rPr>
          <w:rFonts w:ascii="Cambria Math" w:hAnsi="Cambria Math" w:cs="Cambria Math" w:eastAsia="Cambria Math"/>
          <w:w w:val="55"/>
          <w:sz w:val="20"/>
          <w:szCs w:val="20"/>
          <w:vertAlign w:val="baseline"/>
        </w:rPr>
        <w:t>𝐸𝐸𝐵𝐵𝐵𝐵𝐴𝐴</w:t>
      </w:r>
      <w:r>
        <w:rPr>
          <w:rFonts w:ascii="Cambria Math" w:hAnsi="Cambria Math" w:cs="Cambria Math" w:eastAsia="Cambria Math"/>
          <w:spacing w:val="-8"/>
          <w:sz w:val="20"/>
          <w:szCs w:val="20"/>
          <w:vertAlign w:val="baseline"/>
        </w:rPr>
        <w:t> </w:t>
      </w:r>
      <w:r>
        <w:rPr>
          <w:rFonts w:ascii="Cambria Math" w:hAnsi="Cambria Math" w:cs="Cambria Math" w:eastAsia="Cambria Math"/>
          <w:w w:val="55"/>
          <w:sz w:val="20"/>
          <w:szCs w:val="20"/>
          <w:vertAlign w:val="baseline"/>
        </w:rPr>
        <w:t>𝐴𝐴𝐴𝐴𝐴𝐴</w:t>
      </w:r>
      <w:r>
        <w:rPr>
          <w:rFonts w:ascii="Cambria Math" w:hAnsi="Cambria Math" w:cs="Cambria Math" w:eastAsia="Cambria Math"/>
          <w:spacing w:val="-6"/>
          <w:sz w:val="20"/>
          <w:szCs w:val="20"/>
          <w:vertAlign w:val="baseline"/>
        </w:rPr>
        <w:t> </w:t>
      </w:r>
      <w:r>
        <w:rPr>
          <w:rFonts w:ascii="Cambria Math" w:hAnsi="Cambria Math" w:cs="Cambria Math" w:eastAsia="Cambria Math"/>
          <w:spacing w:val="-2"/>
          <w:w w:val="54"/>
          <w:sz w:val="20"/>
          <w:szCs w:val="20"/>
          <w:vertAlign w:val="baseline"/>
        </w:rPr>
        <w:t>RC𝐴𝐴𝐴𝐴𝐴𝐴𝐴𝐴𝐴𝐴𝐴𝐴𝐴𝐴𝐵𝐵𝐴𝐴𝐵𝐵</w:t>
      </w:r>
      <w:r>
        <w:rPr>
          <w:rFonts w:ascii="Cambria Math" w:hAnsi="Cambria Math" w:cs="Cambria Math" w:eastAsia="Cambria Math"/>
          <w:spacing w:val="-2"/>
          <w:w w:val="54"/>
          <w:sz w:val="20"/>
          <w:szCs w:val="20"/>
          <w:vertAlign w:val="superscript"/>
        </w:rPr>
        <w:t>𝐶𝐶𝐶𝐶2017</w:t>
      </w:r>
    </w:p>
    <w:p>
      <w:pPr>
        <w:spacing w:after="0" w:line="127" w:lineRule="exact"/>
        <w:jc w:val="left"/>
        <w:rPr>
          <w:rFonts w:ascii="Cambria Math" w:hAnsi="Cambria Math" w:cs="Cambria Math" w:eastAsia="Cambria Math"/>
          <w:sz w:val="20"/>
          <w:szCs w:val="20"/>
        </w:rPr>
        <w:sectPr>
          <w:type w:val="continuous"/>
          <w:pgSz w:w="12240" w:h="15840"/>
          <w:pgMar w:header="0" w:footer="967" w:top="320" w:bottom="280" w:left="220" w:right="340"/>
        </w:sectPr>
      </w:pPr>
    </w:p>
    <w:p>
      <w:pPr>
        <w:pStyle w:val="BodyText"/>
        <w:spacing w:before="10"/>
        <w:rPr>
          <w:rFonts w:ascii="Cambria Math"/>
          <w:sz w:val="15"/>
        </w:rPr>
      </w:pPr>
    </w:p>
    <w:p>
      <w:pPr>
        <w:spacing w:before="0"/>
        <w:ind w:left="0" w:right="0" w:firstLine="0"/>
        <w:jc w:val="right"/>
        <w:rPr>
          <w:rFonts w:ascii="Cambria Math" w:eastAsia="Cambria Math"/>
          <w:sz w:val="14"/>
        </w:rPr>
      </w:pPr>
      <w:r>
        <w:rPr>
          <w:rFonts w:ascii="Cambria Math" w:eastAsia="Cambria Math"/>
          <w:spacing w:val="-5"/>
          <w:w w:val="65"/>
          <w:sz w:val="14"/>
        </w:rPr>
        <w:t>𝑛𝑛</w:t>
      </w:r>
    </w:p>
    <w:p>
      <w:pPr>
        <w:spacing w:line="140" w:lineRule="exact" w:before="0"/>
        <w:ind w:left="0" w:right="0" w:firstLine="0"/>
        <w:jc w:val="right"/>
        <w:rPr>
          <w:rFonts w:ascii="Cambria Math" w:eastAsia="Cambria Math"/>
          <w:sz w:val="14"/>
        </w:rPr>
      </w:pPr>
      <w:r>
        <w:rPr/>
        <w:br w:type="column"/>
      </w:r>
      <w:r>
        <w:rPr>
          <w:rFonts w:ascii="Cambria Math" w:eastAsia="Cambria Math"/>
          <w:spacing w:val="-4"/>
          <w:w w:val="95"/>
          <w:sz w:val="14"/>
        </w:rPr>
        <w:t>RC𝑛𝑛</w:t>
      </w:r>
    </w:p>
    <w:p>
      <w:pPr>
        <w:spacing w:line="140" w:lineRule="exact" w:before="0"/>
        <w:ind w:left="2827" w:right="2139" w:firstLine="0"/>
        <w:jc w:val="center"/>
        <w:rPr>
          <w:rFonts w:ascii="Cambria Math" w:eastAsia="Cambria Math"/>
          <w:sz w:val="14"/>
        </w:rPr>
      </w:pPr>
      <w:r>
        <w:rPr/>
        <w:br w:type="column"/>
      </w:r>
      <w:r>
        <w:rPr>
          <w:rFonts w:ascii="Cambria Math" w:eastAsia="Cambria Math"/>
          <w:spacing w:val="-4"/>
          <w:w w:val="95"/>
          <w:sz w:val="14"/>
        </w:rPr>
        <w:t>RC𝑛𝑛</w:t>
      </w:r>
    </w:p>
    <w:p>
      <w:pPr>
        <w:spacing w:after="0" w:line="140" w:lineRule="exact"/>
        <w:jc w:val="center"/>
        <w:rPr>
          <w:rFonts w:ascii="Cambria Math" w:eastAsia="Cambria Math"/>
          <w:sz w:val="14"/>
        </w:rPr>
        <w:sectPr>
          <w:type w:val="continuous"/>
          <w:pgSz w:w="12240" w:h="15840"/>
          <w:pgMar w:header="0" w:footer="967" w:top="320" w:bottom="280" w:left="220" w:right="340"/>
          <w:cols w:num="3" w:equalWidth="0">
            <w:col w:w="5002" w:space="40"/>
            <w:col w:w="1297" w:space="39"/>
            <w:col w:w="5302"/>
          </w:cols>
        </w:sectPr>
      </w:pPr>
    </w:p>
    <w:p>
      <w:pPr>
        <w:pStyle w:val="ListParagraph"/>
        <w:numPr>
          <w:ilvl w:val="0"/>
          <w:numId w:val="80"/>
        </w:numPr>
        <w:tabs>
          <w:tab w:pos="1939" w:val="left" w:leader="none"/>
        </w:tabs>
        <w:spacing w:line="240" w:lineRule="auto" w:before="166" w:after="0"/>
        <w:ind w:left="1939" w:right="1095" w:hanging="360"/>
        <w:jc w:val="left"/>
        <w:rPr>
          <w:sz w:val="22"/>
        </w:rPr>
      </w:pPr>
      <w:r>
        <w:rPr>
          <w:sz w:val="22"/>
        </w:rPr>
        <w:t>Savings</w:t>
      </w:r>
      <w:r>
        <w:rPr>
          <w:spacing w:val="32"/>
          <w:sz w:val="22"/>
        </w:rPr>
        <w:t> </w:t>
      </w:r>
      <w:r>
        <w:rPr>
          <w:sz w:val="22"/>
        </w:rPr>
        <w:t>attributed</w:t>
      </w:r>
      <w:r>
        <w:rPr>
          <w:spacing w:val="29"/>
          <w:sz w:val="22"/>
        </w:rPr>
        <w:t> </w:t>
      </w:r>
      <w:r>
        <w:rPr>
          <w:sz w:val="22"/>
        </w:rPr>
        <w:t>to</w:t>
      </w:r>
      <w:r>
        <w:rPr>
          <w:spacing w:val="29"/>
          <w:sz w:val="22"/>
        </w:rPr>
        <w:t> </w:t>
      </w:r>
      <w:r>
        <w:rPr>
          <w:sz w:val="22"/>
        </w:rPr>
        <w:t>the</w:t>
      </w:r>
      <w:r>
        <w:rPr>
          <w:spacing w:val="29"/>
          <w:sz w:val="22"/>
        </w:rPr>
        <w:t> </w:t>
      </w:r>
      <w:r>
        <w:rPr>
          <w:sz w:val="22"/>
        </w:rPr>
        <w:t>“DSTI</w:t>
      </w:r>
      <w:r>
        <w:rPr>
          <w:spacing w:val="27"/>
          <w:sz w:val="22"/>
        </w:rPr>
        <w:t> </w:t>
      </w:r>
      <w:r>
        <w:rPr>
          <w:sz w:val="22"/>
        </w:rPr>
        <w:t>Glide</w:t>
      </w:r>
      <w:r>
        <w:rPr>
          <w:spacing w:val="29"/>
          <w:sz w:val="22"/>
        </w:rPr>
        <w:t> </w:t>
      </w:r>
      <w:r>
        <w:rPr>
          <w:sz w:val="22"/>
        </w:rPr>
        <w:t>Path”</w:t>
      </w:r>
      <w:r>
        <w:rPr>
          <w:spacing w:val="29"/>
          <w:sz w:val="22"/>
        </w:rPr>
        <w:t> </w:t>
      </w:r>
      <w:r>
        <w:rPr>
          <w:sz w:val="22"/>
        </w:rPr>
        <w:t>sub-stream</w:t>
      </w:r>
      <w:r>
        <w:rPr>
          <w:spacing w:val="28"/>
          <w:sz w:val="22"/>
        </w:rPr>
        <w:t> </w:t>
      </w:r>
      <w:r>
        <w:rPr>
          <w:sz w:val="22"/>
        </w:rPr>
        <w:t>payments</w:t>
      </w:r>
      <w:r>
        <w:rPr>
          <w:spacing w:val="32"/>
          <w:sz w:val="22"/>
        </w:rPr>
        <w:t> </w:t>
      </w:r>
      <w:r>
        <w:rPr>
          <w:sz w:val="22"/>
        </w:rPr>
        <w:t>will</w:t>
      </w:r>
      <w:r>
        <w:rPr>
          <w:spacing w:val="30"/>
          <w:sz w:val="22"/>
        </w:rPr>
        <w:t> </w:t>
      </w:r>
      <w:r>
        <w:rPr>
          <w:sz w:val="22"/>
        </w:rPr>
        <w:t>be</w:t>
      </w:r>
      <w:r>
        <w:rPr>
          <w:spacing w:val="29"/>
          <w:sz w:val="22"/>
        </w:rPr>
        <w:t> </w:t>
      </w:r>
      <w:r>
        <w:rPr>
          <w:sz w:val="22"/>
        </w:rPr>
        <w:t>subtracted</w:t>
      </w:r>
      <w:r>
        <w:rPr>
          <w:spacing w:val="29"/>
          <w:sz w:val="22"/>
        </w:rPr>
        <w:t> </w:t>
      </w:r>
      <w:r>
        <w:rPr>
          <w:sz w:val="22"/>
        </w:rPr>
        <w:t>from</w:t>
      </w:r>
      <w:r>
        <w:rPr>
          <w:spacing w:val="28"/>
          <w:sz w:val="22"/>
        </w:rPr>
        <w:t> </w:t>
      </w:r>
      <w:r>
        <w:rPr>
          <w:sz w:val="22"/>
        </w:rPr>
        <w:t>the weighted average risk-adjusted PMPM on an aggregate basis each CY.</w:t>
      </w:r>
    </w:p>
    <w:p>
      <w:pPr>
        <w:pStyle w:val="ListParagraph"/>
        <w:numPr>
          <w:ilvl w:val="1"/>
          <w:numId w:val="80"/>
        </w:numPr>
        <w:tabs>
          <w:tab w:pos="2657" w:val="left" w:leader="none"/>
          <w:tab w:pos="2659" w:val="left" w:leader="none"/>
        </w:tabs>
        <w:spacing w:line="237" w:lineRule="auto" w:before="200" w:after="0"/>
        <w:ind w:left="2659" w:right="1093" w:hanging="361"/>
        <w:jc w:val="both"/>
        <w:rPr>
          <w:sz w:val="22"/>
        </w:rPr>
      </w:pPr>
      <w:r>
        <w:rPr>
          <w:sz w:val="22"/>
        </w:rPr>
        <w:t>DSTI</w:t>
      </w:r>
      <w:r>
        <w:rPr>
          <w:spacing w:val="-14"/>
          <w:sz w:val="22"/>
        </w:rPr>
        <w:t> </w:t>
      </w:r>
      <w:r>
        <w:rPr>
          <w:sz w:val="22"/>
        </w:rPr>
        <w:t>Glide</w:t>
      </w:r>
      <w:r>
        <w:rPr>
          <w:spacing w:val="-14"/>
          <w:sz w:val="22"/>
        </w:rPr>
        <w:t> </w:t>
      </w:r>
      <w:r>
        <w:rPr>
          <w:sz w:val="22"/>
        </w:rPr>
        <w:t>Path</w:t>
      </w:r>
      <w:r>
        <w:rPr>
          <w:spacing w:val="-14"/>
          <w:sz w:val="22"/>
        </w:rPr>
        <w:t> </w:t>
      </w:r>
      <w:r>
        <w:rPr>
          <w:sz w:val="22"/>
        </w:rPr>
        <w:t>payments</w:t>
      </w:r>
      <w:r>
        <w:rPr>
          <w:spacing w:val="-13"/>
          <w:sz w:val="22"/>
        </w:rPr>
        <w:t> </w:t>
      </w:r>
      <w:r>
        <w:rPr>
          <w:sz w:val="22"/>
        </w:rPr>
        <w:t>made</w:t>
      </w:r>
      <w:r>
        <w:rPr>
          <w:spacing w:val="-14"/>
          <w:sz w:val="22"/>
        </w:rPr>
        <w:t> </w:t>
      </w:r>
      <w:r>
        <w:rPr>
          <w:sz w:val="22"/>
        </w:rPr>
        <w:t>during</w:t>
      </w:r>
      <w:r>
        <w:rPr>
          <w:spacing w:val="-14"/>
          <w:sz w:val="22"/>
        </w:rPr>
        <w:t> </w:t>
      </w:r>
      <w:r>
        <w:rPr>
          <w:sz w:val="22"/>
        </w:rPr>
        <w:t>the</w:t>
      </w:r>
      <w:r>
        <w:rPr>
          <w:spacing w:val="-14"/>
          <w:sz w:val="22"/>
        </w:rPr>
        <w:t> </w:t>
      </w:r>
      <w:r>
        <w:rPr>
          <w:sz w:val="22"/>
        </w:rPr>
        <w:t>CY</w:t>
      </w:r>
      <w:r>
        <w:rPr>
          <w:spacing w:val="-13"/>
          <w:sz w:val="22"/>
        </w:rPr>
        <w:t> </w:t>
      </w:r>
      <w:r>
        <w:rPr>
          <w:sz w:val="22"/>
        </w:rPr>
        <w:t>will</w:t>
      </w:r>
      <w:r>
        <w:rPr>
          <w:spacing w:val="-14"/>
          <w:sz w:val="22"/>
        </w:rPr>
        <w:t> </w:t>
      </w:r>
      <w:r>
        <w:rPr>
          <w:sz w:val="22"/>
        </w:rPr>
        <w:t>be</w:t>
      </w:r>
      <w:r>
        <w:rPr>
          <w:spacing w:val="-14"/>
          <w:sz w:val="22"/>
        </w:rPr>
        <w:t> </w:t>
      </w:r>
      <w:r>
        <w:rPr>
          <w:sz w:val="22"/>
        </w:rPr>
        <w:t>subtracted</w:t>
      </w:r>
      <w:r>
        <w:rPr>
          <w:spacing w:val="-14"/>
          <w:sz w:val="22"/>
        </w:rPr>
        <w:t> </w:t>
      </w:r>
      <w:r>
        <w:rPr>
          <w:sz w:val="22"/>
        </w:rPr>
        <w:t>from</w:t>
      </w:r>
      <w:r>
        <w:rPr>
          <w:spacing w:val="-13"/>
          <w:sz w:val="22"/>
        </w:rPr>
        <w:t> </w:t>
      </w:r>
      <w:r>
        <w:rPr>
          <w:sz w:val="22"/>
        </w:rPr>
        <w:t>the</w:t>
      </w:r>
      <w:r>
        <w:rPr>
          <w:spacing w:val="-14"/>
          <w:sz w:val="22"/>
        </w:rPr>
        <w:t> </w:t>
      </w:r>
      <w:r>
        <w:rPr>
          <w:sz w:val="22"/>
        </w:rPr>
        <w:t>DSTI</w:t>
      </w:r>
      <w:r>
        <w:rPr>
          <w:spacing w:val="-14"/>
          <w:sz w:val="22"/>
        </w:rPr>
        <w:t> </w:t>
      </w:r>
      <w:r>
        <w:rPr>
          <w:sz w:val="22"/>
        </w:rPr>
        <w:t>payments made during CY2017 and divided by the total member months included in measurement year’s weighted average risk-adjusted PMPM. The resulting savings PMPM will be subtracted</w:t>
      </w:r>
      <w:r>
        <w:rPr>
          <w:spacing w:val="-13"/>
          <w:sz w:val="22"/>
        </w:rPr>
        <w:t> </w:t>
      </w:r>
      <w:r>
        <w:rPr>
          <w:sz w:val="22"/>
        </w:rPr>
        <w:t>from</w:t>
      </w:r>
      <w:r>
        <w:rPr>
          <w:spacing w:val="-14"/>
          <w:sz w:val="22"/>
        </w:rPr>
        <w:t> </w:t>
      </w:r>
      <w:r>
        <w:rPr>
          <w:sz w:val="22"/>
        </w:rPr>
        <w:t>the</w:t>
      </w:r>
      <w:r>
        <w:rPr>
          <w:spacing w:val="-13"/>
          <w:sz w:val="22"/>
        </w:rPr>
        <w:t> </w:t>
      </w:r>
      <w:r>
        <w:rPr>
          <w:sz w:val="22"/>
        </w:rPr>
        <w:t>weighted</w:t>
      </w:r>
      <w:r>
        <w:rPr>
          <w:spacing w:val="-11"/>
          <w:sz w:val="22"/>
        </w:rPr>
        <w:t> </w:t>
      </w:r>
      <w:r>
        <w:rPr>
          <w:sz w:val="22"/>
        </w:rPr>
        <w:t>average</w:t>
      </w:r>
      <w:r>
        <w:rPr>
          <w:spacing w:val="-12"/>
          <w:sz w:val="22"/>
        </w:rPr>
        <w:t> </w:t>
      </w:r>
      <w:r>
        <w:rPr>
          <w:sz w:val="22"/>
        </w:rPr>
        <w:t>risk-adjusted</w:t>
      </w:r>
      <w:r>
        <w:rPr>
          <w:spacing w:val="-11"/>
          <w:sz w:val="22"/>
        </w:rPr>
        <w:t> </w:t>
      </w:r>
      <w:r>
        <w:rPr>
          <w:sz w:val="22"/>
        </w:rPr>
        <w:t>PMPM</w:t>
      </w:r>
      <w:r>
        <w:rPr>
          <w:spacing w:val="-12"/>
          <w:sz w:val="22"/>
        </w:rPr>
        <w:t> </w:t>
      </w:r>
      <w:r>
        <w:rPr>
          <w:sz w:val="22"/>
        </w:rPr>
        <w:t>to</w:t>
      </w:r>
      <w:r>
        <w:rPr>
          <w:spacing w:val="-11"/>
          <w:sz w:val="22"/>
        </w:rPr>
        <w:t> </w:t>
      </w:r>
      <w:r>
        <w:rPr>
          <w:sz w:val="22"/>
        </w:rPr>
        <w:t>derive</w:t>
      </w:r>
      <w:r>
        <w:rPr>
          <w:spacing w:val="-10"/>
          <w:sz w:val="22"/>
        </w:rPr>
        <w:t> </w:t>
      </w:r>
      <w:r>
        <w:rPr>
          <w:sz w:val="22"/>
        </w:rPr>
        <w:t>total</w:t>
      </w:r>
      <w:r>
        <w:rPr>
          <w:spacing w:val="-9"/>
          <w:sz w:val="22"/>
        </w:rPr>
        <w:t> </w:t>
      </w:r>
      <w:r>
        <w:rPr>
          <w:sz w:val="22"/>
        </w:rPr>
        <w:t>PMPM</w:t>
      </w:r>
      <w:r>
        <w:rPr>
          <w:spacing w:val="-13"/>
          <w:sz w:val="22"/>
        </w:rPr>
        <w:t> </w:t>
      </w:r>
      <w:r>
        <w:rPr>
          <w:sz w:val="22"/>
        </w:rPr>
        <w:t>spending for the ACO population (“Actual PMPM”), summarized as follows:</w:t>
      </w:r>
    </w:p>
    <w:p>
      <w:pPr>
        <w:spacing w:after="0" w:line="237" w:lineRule="auto"/>
        <w:jc w:val="both"/>
        <w:rPr>
          <w:sz w:val="22"/>
        </w:rPr>
        <w:sectPr>
          <w:type w:val="continuous"/>
          <w:pgSz w:w="12240" w:h="15840"/>
          <w:pgMar w:header="0" w:footer="967" w:top="320" w:bottom="280" w:left="220" w:right="340"/>
        </w:sectPr>
      </w:pPr>
    </w:p>
    <w:p>
      <w:pPr>
        <w:spacing w:before="87"/>
        <w:ind w:left="2316" w:right="0" w:firstLine="0"/>
        <w:jc w:val="left"/>
        <w:rPr>
          <w:rFonts w:ascii="Cambria Math" w:eastAsia="Cambria Math"/>
          <w:sz w:val="22"/>
        </w:rPr>
      </w:pPr>
      <w:r>
        <w:rPr>
          <w:rFonts w:ascii="Cambria Math" w:eastAsia="Cambria Math"/>
          <w:spacing w:val="2"/>
          <w:w w:val="45"/>
          <w:sz w:val="22"/>
        </w:rPr>
        <w:t>𝐴𝐴𝐴𝐴𝐴𝐴𝐴𝐴𝐵𝐵𝐵𝐵</w:t>
      </w:r>
      <w:r>
        <w:rPr>
          <w:rFonts w:ascii="Cambria Math" w:eastAsia="Cambria Math"/>
          <w:spacing w:val="50"/>
          <w:sz w:val="22"/>
        </w:rPr>
        <w:t> </w:t>
      </w:r>
      <w:r>
        <w:rPr>
          <w:rFonts w:ascii="Cambria Math" w:eastAsia="Cambria Math"/>
          <w:spacing w:val="2"/>
          <w:w w:val="45"/>
          <w:sz w:val="22"/>
        </w:rPr>
        <w:t>𝑃𝑃𝑃𝑃𝑃𝑃𝑃𝑃</w:t>
      </w:r>
      <w:r>
        <w:rPr>
          <w:rFonts w:ascii="Cambria Math" w:eastAsia="Cambria Math"/>
          <w:spacing w:val="2"/>
          <w:w w:val="45"/>
          <w:sz w:val="22"/>
          <w:vertAlign w:val="superscript"/>
        </w:rPr>
        <w:t>𝐶𝐶𝑌𝑌𝑌𝑌𝑅𝑅</w:t>
      </w:r>
      <w:r>
        <w:rPr>
          <w:rFonts w:ascii="Cambria Math" w:eastAsia="Cambria Math"/>
          <w:spacing w:val="20"/>
          <w:sz w:val="22"/>
          <w:vertAlign w:val="baseline"/>
        </w:rPr>
        <w:t> </w:t>
      </w:r>
      <w:r>
        <w:rPr>
          <w:rFonts w:ascii="Cambria Math" w:eastAsia="Cambria Math"/>
          <w:spacing w:val="-5"/>
          <w:w w:val="45"/>
          <w:sz w:val="22"/>
          <w:vertAlign w:val="superscript"/>
        </w:rPr>
        <w:t>𝑡𝑡</w:t>
      </w:r>
    </w:p>
    <w:p>
      <w:pPr>
        <w:spacing w:before="6"/>
        <w:ind w:left="3756" w:right="0" w:firstLine="0"/>
        <w:jc w:val="left"/>
        <w:rPr>
          <w:rFonts w:ascii="Cambria Math" w:eastAsia="Cambria Math"/>
          <w:sz w:val="22"/>
        </w:rPr>
      </w:pPr>
      <w:r>
        <w:rPr>
          <w:rFonts w:ascii="Cambria Math" w:eastAsia="Cambria Math"/>
          <w:w w:val="55"/>
          <w:sz w:val="22"/>
        </w:rPr>
        <w:t>=</w:t>
      </w:r>
      <w:r>
        <w:rPr>
          <w:rFonts w:ascii="Cambria Math" w:eastAsia="Cambria Math"/>
          <w:sz w:val="22"/>
        </w:rPr>
        <w:t> </w:t>
      </w:r>
      <w:r>
        <w:rPr>
          <w:rFonts w:ascii="Cambria Math" w:eastAsia="Cambria Math"/>
          <w:w w:val="55"/>
          <w:sz w:val="22"/>
        </w:rPr>
        <w:t>𝐴𝐴𝐴𝐴𝐴𝐴</w:t>
      </w:r>
      <w:r>
        <w:rPr>
          <w:rFonts w:ascii="Cambria Math" w:eastAsia="Cambria Math"/>
          <w:spacing w:val="-6"/>
          <w:sz w:val="22"/>
        </w:rPr>
        <w:t> </w:t>
      </w:r>
      <w:r>
        <w:rPr>
          <w:rFonts w:ascii="Cambria Math" w:eastAsia="Cambria Math"/>
          <w:w w:val="55"/>
          <w:sz w:val="22"/>
        </w:rPr>
        <w:t>𝐴𝐴𝑇𝑇𝐴𝐴</w:t>
      </w:r>
      <w:r>
        <w:rPr>
          <w:rFonts w:ascii="Cambria Math" w:eastAsia="Cambria Math"/>
          <w:spacing w:val="-3"/>
          <w:sz w:val="22"/>
        </w:rPr>
        <w:t> </w:t>
      </w:r>
      <w:r>
        <w:rPr>
          <w:rFonts w:ascii="Cambria Math" w:eastAsia="Cambria Math"/>
          <w:w w:val="55"/>
          <w:sz w:val="22"/>
        </w:rPr>
        <w:t>𝑃𝑃𝑃𝑃𝑃𝑃𝑃𝑃</w:t>
      </w:r>
      <w:r>
        <w:rPr>
          <w:rFonts w:ascii="Cambria Math" w:eastAsia="Cambria Math"/>
          <w:w w:val="55"/>
          <w:sz w:val="22"/>
          <w:vertAlign w:val="superscript"/>
        </w:rPr>
        <w:t>𝐶𝐶𝑌𝑌𝑌𝑌𝑅𝑅</w:t>
      </w:r>
      <w:r>
        <w:rPr>
          <w:rFonts w:ascii="Cambria Math" w:eastAsia="Cambria Math"/>
          <w:spacing w:val="-12"/>
          <w:sz w:val="22"/>
          <w:vertAlign w:val="baseline"/>
        </w:rPr>
        <w:t> </w:t>
      </w:r>
      <w:r>
        <w:rPr>
          <w:rFonts w:ascii="Cambria Math" w:eastAsia="Cambria Math"/>
          <w:spacing w:val="-5"/>
          <w:w w:val="55"/>
          <w:sz w:val="22"/>
          <w:vertAlign w:val="superscript"/>
        </w:rPr>
        <w:t>𝑡𝑡</w:t>
      </w:r>
    </w:p>
    <w:p>
      <w:pPr>
        <w:spacing w:line="205" w:lineRule="exact" w:before="3"/>
        <w:ind w:left="3970" w:right="0" w:firstLine="0"/>
        <w:jc w:val="left"/>
        <w:rPr>
          <w:rFonts w:ascii="Cambria Math" w:hAnsi="Cambria Math" w:eastAsia="Cambria Math"/>
          <w:sz w:val="22"/>
        </w:rPr>
      </w:pPr>
      <w:r>
        <w:rPr>
          <w:rFonts w:ascii="Cambria Math" w:hAnsi="Cambria Math" w:eastAsia="Cambria Math"/>
          <w:w w:val="45"/>
          <w:sz w:val="22"/>
        </w:rPr>
        <w:t>𝐷𝐷𝑆𝑆𝑇𝑇𝐷𝐷</w:t>
      </w:r>
      <w:r>
        <w:rPr>
          <w:rFonts w:ascii="Cambria Math" w:hAnsi="Cambria Math" w:eastAsia="Cambria Math"/>
          <w:spacing w:val="50"/>
          <w:sz w:val="22"/>
        </w:rPr>
        <w:t> </w:t>
      </w:r>
      <w:r>
        <w:rPr>
          <w:rFonts w:ascii="Cambria Math" w:hAnsi="Cambria Math" w:eastAsia="Cambria Math"/>
          <w:w w:val="45"/>
          <w:sz w:val="22"/>
        </w:rPr>
        <w:t>𝐴𝐴𝐵𝐵𝑝𝑝𝑝𝑝𝐵𝐵𝐵𝐵𝐴𝐴𝐵𝐵</w:t>
      </w:r>
      <w:r>
        <w:rPr>
          <w:rFonts w:ascii="Cambria Math" w:hAnsi="Cambria Math" w:eastAsia="Cambria Math"/>
          <w:w w:val="45"/>
          <w:sz w:val="22"/>
          <w:vertAlign w:val="superscript"/>
        </w:rPr>
        <w:t>𝐶𝐶𝐶𝐶2017</w:t>
      </w:r>
      <w:r>
        <w:rPr>
          <w:rFonts w:ascii="Cambria Math" w:hAnsi="Cambria Math" w:eastAsia="Cambria Math"/>
          <w:spacing w:val="56"/>
          <w:sz w:val="22"/>
          <w:vertAlign w:val="baseline"/>
        </w:rPr>
        <w:t> </w:t>
      </w:r>
      <w:r>
        <w:rPr>
          <w:rFonts w:ascii="Cambria Math" w:hAnsi="Cambria Math" w:eastAsia="Cambria Math"/>
          <w:w w:val="45"/>
          <w:sz w:val="22"/>
          <w:vertAlign w:val="baseline"/>
        </w:rPr>
        <w:t>−</w:t>
      </w:r>
      <w:r>
        <w:rPr>
          <w:rFonts w:ascii="Cambria Math" w:hAnsi="Cambria Math" w:eastAsia="Cambria Math"/>
          <w:spacing w:val="43"/>
          <w:sz w:val="22"/>
          <w:vertAlign w:val="baseline"/>
        </w:rPr>
        <w:t> </w:t>
      </w:r>
      <w:r>
        <w:rPr>
          <w:rFonts w:ascii="Cambria Math" w:hAnsi="Cambria Math" w:eastAsia="Cambria Math"/>
          <w:w w:val="45"/>
          <w:sz w:val="22"/>
          <w:vertAlign w:val="baseline"/>
        </w:rPr>
        <w:t>𝐷𝐷𝑆𝑆𝑇𝑇𝐷𝐷</w:t>
      </w:r>
      <w:r>
        <w:rPr>
          <w:rFonts w:ascii="Cambria Math" w:hAnsi="Cambria Math" w:eastAsia="Cambria Math"/>
          <w:spacing w:val="51"/>
          <w:sz w:val="22"/>
          <w:vertAlign w:val="baseline"/>
        </w:rPr>
        <w:t> </w:t>
      </w:r>
      <w:r>
        <w:rPr>
          <w:rFonts w:ascii="Cambria Math" w:hAnsi="Cambria Math" w:eastAsia="Cambria Math"/>
          <w:w w:val="45"/>
          <w:sz w:val="22"/>
          <w:vertAlign w:val="baseline"/>
        </w:rPr>
        <w:t>𝐺𝐺𝐵𝐵𝐵𝐵𝑇𝑇𝐵𝐵</w:t>
      </w:r>
      <w:r>
        <w:rPr>
          <w:rFonts w:ascii="Cambria Math" w:hAnsi="Cambria Math" w:eastAsia="Cambria Math"/>
          <w:spacing w:val="52"/>
          <w:sz w:val="22"/>
          <w:vertAlign w:val="baseline"/>
        </w:rPr>
        <w:t> </w:t>
      </w:r>
      <w:r>
        <w:rPr>
          <w:rFonts w:ascii="Cambria Math" w:hAnsi="Cambria Math" w:eastAsia="Cambria Math"/>
          <w:w w:val="45"/>
          <w:sz w:val="22"/>
          <w:vertAlign w:val="baseline"/>
        </w:rPr>
        <w:t>𝑃𝑃𝐵𝐵𝐴𝐴ℎ</w:t>
      </w:r>
      <w:r>
        <w:rPr>
          <w:rFonts w:ascii="Cambria Math" w:hAnsi="Cambria Math" w:eastAsia="Cambria Math"/>
          <w:spacing w:val="45"/>
          <w:sz w:val="22"/>
          <w:vertAlign w:val="baseline"/>
        </w:rPr>
        <w:t> </w:t>
      </w:r>
      <w:r>
        <w:rPr>
          <w:rFonts w:ascii="Cambria Math" w:hAnsi="Cambria Math" w:eastAsia="Cambria Math"/>
          <w:w w:val="45"/>
          <w:sz w:val="22"/>
          <w:vertAlign w:val="baseline"/>
        </w:rPr>
        <w:t>𝐴𝐴𝐵𝐵𝑝𝑝𝑝𝑝𝐵𝐵𝐵𝐵𝐴𝐴𝐵𝐵</w:t>
      </w:r>
      <w:r>
        <w:rPr>
          <w:rFonts w:ascii="Cambria Math" w:hAnsi="Cambria Math" w:eastAsia="Cambria Math"/>
          <w:w w:val="45"/>
          <w:sz w:val="22"/>
          <w:vertAlign w:val="superscript"/>
        </w:rPr>
        <w:t>𝐶𝐶𝑌𝑌𝑌𝑌𝑅𝑅</w:t>
      </w:r>
      <w:r>
        <w:rPr>
          <w:rFonts w:ascii="Cambria Math" w:hAnsi="Cambria Math" w:eastAsia="Cambria Math"/>
          <w:spacing w:val="22"/>
          <w:sz w:val="22"/>
          <w:vertAlign w:val="baseline"/>
        </w:rPr>
        <w:t> </w:t>
      </w:r>
      <w:r>
        <w:rPr>
          <w:rFonts w:ascii="Cambria Math" w:hAnsi="Cambria Math" w:eastAsia="Cambria Math"/>
          <w:spacing w:val="-5"/>
          <w:w w:val="45"/>
          <w:sz w:val="22"/>
          <w:vertAlign w:val="superscript"/>
        </w:rPr>
        <w:t>𝑡𝑡</w:t>
      </w:r>
    </w:p>
    <w:p>
      <w:pPr>
        <w:spacing w:line="167" w:lineRule="exact" w:before="0"/>
        <w:ind w:left="3756" w:right="0" w:firstLine="0"/>
        <w:jc w:val="left"/>
        <w:rPr>
          <w:rFonts w:ascii="Cambria Math" w:hAnsi="Cambria Math"/>
          <w:sz w:val="22"/>
        </w:rPr>
      </w:pPr>
      <w:r>
        <w:rPr/>
        <mc:AlternateContent>
          <mc:Choice Requires="wps">
            <w:drawing>
              <wp:anchor distT="0" distB="0" distL="0" distR="0" allowOverlap="1" layoutInCell="1" locked="0" behindDoc="0" simplePos="0" relativeHeight="16148480">
                <wp:simplePos x="0" y="0"/>
                <wp:positionH relativeFrom="page">
                  <wp:posOffset>2660904</wp:posOffset>
                </wp:positionH>
                <wp:positionV relativeFrom="paragraph">
                  <wp:posOffset>65299</wp:posOffset>
                </wp:positionV>
                <wp:extent cx="3502660" cy="9525"/>
                <wp:effectExtent l="0" t="0" r="0" b="0"/>
                <wp:wrapNone/>
                <wp:docPr id="876" name="Graphic 876"/>
                <wp:cNvGraphicFramePr>
                  <a:graphicFrameLocks/>
                </wp:cNvGraphicFramePr>
                <a:graphic>
                  <a:graphicData uri="http://schemas.microsoft.com/office/word/2010/wordprocessingShape">
                    <wps:wsp>
                      <wps:cNvPr id="876" name="Graphic 876"/>
                      <wps:cNvSpPr/>
                      <wps:spPr>
                        <a:xfrm>
                          <a:off x="0" y="0"/>
                          <a:ext cx="3502660" cy="9525"/>
                        </a:xfrm>
                        <a:custGeom>
                          <a:avLst/>
                          <a:gdLst/>
                          <a:ahLst/>
                          <a:cxnLst/>
                          <a:rect l="l" t="t" r="r" b="b"/>
                          <a:pathLst>
                            <a:path w="3502660" h="9525">
                              <a:moveTo>
                                <a:pt x="3502152" y="0"/>
                              </a:moveTo>
                              <a:lnTo>
                                <a:pt x="0" y="0"/>
                              </a:lnTo>
                              <a:lnTo>
                                <a:pt x="0" y="9144"/>
                              </a:lnTo>
                              <a:lnTo>
                                <a:pt x="3502152" y="9144"/>
                              </a:lnTo>
                              <a:lnTo>
                                <a:pt x="35021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09.520004pt;margin-top:5.141677pt;width:275.76pt;height:.72pt;mso-position-horizontal-relative:page;mso-position-vertical-relative:paragraph;z-index:16148480" id="docshape93" filled="true" fillcolor="#000000" stroked="false">
                <v:fill type="solid"/>
                <w10:wrap type="none"/>
              </v:rect>
            </w:pict>
          </mc:Fallback>
        </mc:AlternateContent>
      </w:r>
      <w:r>
        <w:rPr>
          <w:rFonts w:ascii="Cambria Math" w:hAnsi="Cambria Math"/>
          <w:w w:val="100"/>
          <w:sz w:val="22"/>
        </w:rPr>
        <w:t>−</w:t>
      </w:r>
    </w:p>
    <w:p>
      <w:pPr>
        <w:spacing w:line="203" w:lineRule="exact" w:before="0"/>
        <w:ind w:left="5480" w:right="0" w:firstLine="0"/>
        <w:jc w:val="left"/>
        <w:rPr>
          <w:rFonts w:ascii="Cambria Math" w:hAnsi="Cambria Math" w:eastAsia="Cambria Math"/>
          <w:sz w:val="22"/>
        </w:rPr>
      </w:pPr>
      <w:r>
        <w:rPr>
          <w:rFonts w:ascii="Cambria Math" w:hAnsi="Cambria Math" w:eastAsia="Cambria Math"/>
          <w:w w:val="45"/>
          <w:sz w:val="22"/>
        </w:rPr>
        <w:t>𝐴𝐴𝐴𝐴𝐴𝐴</w:t>
      </w:r>
      <w:r>
        <w:rPr>
          <w:rFonts w:ascii="Cambria Math" w:hAnsi="Cambria Math" w:eastAsia="Cambria Math"/>
          <w:spacing w:val="20"/>
          <w:sz w:val="22"/>
        </w:rPr>
        <w:t> </w:t>
      </w:r>
      <w:r>
        <w:rPr>
          <w:rFonts w:ascii="Cambria Math" w:hAnsi="Cambria Math" w:eastAsia="Cambria Math"/>
          <w:w w:val="45"/>
          <w:sz w:val="22"/>
        </w:rPr>
        <w:t>𝐴𝐴𝐴𝐴𝐴𝐴</w:t>
      </w:r>
      <w:r>
        <w:rPr>
          <w:rFonts w:ascii="Cambria Math" w:hAnsi="Cambria Math" w:eastAsia="Cambria Math"/>
          <w:spacing w:val="21"/>
          <w:sz w:val="22"/>
        </w:rPr>
        <w:t> </w:t>
      </w:r>
      <w:r>
        <w:rPr>
          <w:rFonts w:ascii="Cambria Math" w:hAnsi="Cambria Math" w:eastAsia="Cambria Math"/>
          <w:w w:val="45"/>
          <w:sz w:val="22"/>
        </w:rPr>
        <w:t>𝑝𝑝𝐵𝐵𝑝𝑝𝑚𝑚𝐵𝐵𝐴𝐴</w:t>
      </w:r>
      <w:r>
        <w:rPr>
          <w:rFonts w:ascii="Cambria Math" w:hAnsi="Cambria Math" w:eastAsia="Cambria Math"/>
          <w:spacing w:val="17"/>
          <w:sz w:val="22"/>
        </w:rPr>
        <w:t> </w:t>
      </w:r>
      <w:r>
        <w:rPr>
          <w:rFonts w:ascii="Cambria Math" w:hAnsi="Cambria Math" w:eastAsia="Cambria Math"/>
          <w:spacing w:val="-2"/>
          <w:w w:val="45"/>
          <w:sz w:val="22"/>
        </w:rPr>
        <w:t>𝑝𝑝𝐴𝐴𝐵𝐵𝐴𝐴ℎ𝐵𝐵</w:t>
      </w:r>
    </w:p>
    <w:p>
      <w:pPr>
        <w:pStyle w:val="ListParagraph"/>
        <w:numPr>
          <w:ilvl w:val="0"/>
          <w:numId w:val="80"/>
        </w:numPr>
        <w:tabs>
          <w:tab w:pos="1938" w:val="left" w:leader="none"/>
          <w:tab w:pos="1940" w:val="left" w:leader="none"/>
        </w:tabs>
        <w:spacing w:line="240" w:lineRule="auto" w:before="157" w:after="0"/>
        <w:ind w:left="1940" w:right="1094" w:hanging="361"/>
        <w:jc w:val="both"/>
        <w:rPr>
          <w:sz w:val="22"/>
        </w:rPr>
      </w:pPr>
      <w:r>
        <w:rPr>
          <w:sz w:val="22"/>
        </w:rPr>
        <w:t>The</w:t>
      </w:r>
      <w:r>
        <w:rPr>
          <w:spacing w:val="-4"/>
          <w:sz w:val="22"/>
        </w:rPr>
        <w:t> </w:t>
      </w:r>
      <w:r>
        <w:rPr>
          <w:sz w:val="22"/>
        </w:rPr>
        <w:t>percent</w:t>
      </w:r>
      <w:r>
        <w:rPr>
          <w:spacing w:val="-4"/>
          <w:sz w:val="22"/>
        </w:rPr>
        <w:t> </w:t>
      </w:r>
      <w:r>
        <w:rPr>
          <w:sz w:val="22"/>
        </w:rPr>
        <w:t>reduction</w:t>
      </w:r>
      <w:r>
        <w:rPr>
          <w:spacing w:val="-5"/>
          <w:sz w:val="22"/>
        </w:rPr>
        <w:t> </w:t>
      </w:r>
      <w:r>
        <w:rPr>
          <w:sz w:val="22"/>
        </w:rPr>
        <w:t>in</w:t>
      </w:r>
      <w:r>
        <w:rPr>
          <w:spacing w:val="-5"/>
          <w:sz w:val="22"/>
        </w:rPr>
        <w:t> </w:t>
      </w:r>
      <w:r>
        <w:rPr>
          <w:sz w:val="22"/>
        </w:rPr>
        <w:t>Actual</w:t>
      </w:r>
      <w:r>
        <w:rPr>
          <w:spacing w:val="-4"/>
          <w:sz w:val="22"/>
        </w:rPr>
        <w:t> </w:t>
      </w:r>
      <w:r>
        <w:rPr>
          <w:sz w:val="22"/>
        </w:rPr>
        <w:t>PMPM</w:t>
      </w:r>
      <w:r>
        <w:rPr>
          <w:spacing w:val="-4"/>
          <w:sz w:val="22"/>
        </w:rPr>
        <w:t> </w:t>
      </w:r>
      <w:r>
        <w:rPr>
          <w:sz w:val="22"/>
        </w:rPr>
        <w:t>will</w:t>
      </w:r>
      <w:r>
        <w:rPr>
          <w:spacing w:val="-4"/>
          <w:sz w:val="22"/>
        </w:rPr>
        <w:t> </w:t>
      </w:r>
      <w:r>
        <w:rPr>
          <w:sz w:val="22"/>
        </w:rPr>
        <w:t>be</w:t>
      </w:r>
      <w:r>
        <w:rPr>
          <w:spacing w:val="-4"/>
          <w:sz w:val="22"/>
        </w:rPr>
        <w:t> </w:t>
      </w:r>
      <w:r>
        <w:rPr>
          <w:sz w:val="22"/>
        </w:rPr>
        <w:t>determined</w:t>
      </w:r>
      <w:r>
        <w:rPr>
          <w:spacing w:val="-5"/>
          <w:sz w:val="22"/>
        </w:rPr>
        <w:t> </w:t>
      </w:r>
      <w:r>
        <w:rPr>
          <w:sz w:val="22"/>
        </w:rPr>
        <w:t>according</w:t>
      </w:r>
      <w:r>
        <w:rPr>
          <w:spacing w:val="-6"/>
          <w:sz w:val="22"/>
        </w:rPr>
        <w:t> </w:t>
      </w:r>
      <w:r>
        <w:rPr>
          <w:sz w:val="22"/>
        </w:rPr>
        <w:t>to</w:t>
      </w:r>
      <w:r>
        <w:rPr>
          <w:spacing w:val="-5"/>
          <w:sz w:val="22"/>
        </w:rPr>
        <w:t> </w:t>
      </w:r>
      <w:r>
        <w:rPr>
          <w:sz w:val="22"/>
        </w:rPr>
        <w:t>the</w:t>
      </w:r>
      <w:r>
        <w:rPr>
          <w:spacing w:val="-4"/>
          <w:sz w:val="22"/>
        </w:rPr>
        <w:t> </w:t>
      </w:r>
      <w:r>
        <w:rPr>
          <w:sz w:val="22"/>
        </w:rPr>
        <w:t>following</w:t>
      </w:r>
      <w:r>
        <w:rPr>
          <w:spacing w:val="-6"/>
          <w:sz w:val="22"/>
        </w:rPr>
        <w:t> </w:t>
      </w:r>
      <w:r>
        <w:rPr>
          <w:sz w:val="22"/>
        </w:rPr>
        <w:t>calculation: percent reduction = (Avg Trended PMPM minus Actual PMPM) / (Avg Trended PMPM), summarized as follows:</w:t>
      </w:r>
    </w:p>
    <w:p>
      <w:pPr>
        <w:pStyle w:val="BodyText"/>
        <w:spacing w:before="5"/>
        <w:rPr>
          <w:sz w:val="9"/>
        </w:rPr>
      </w:pPr>
    </w:p>
    <w:p>
      <w:pPr>
        <w:spacing w:after="0"/>
        <w:rPr>
          <w:sz w:val="9"/>
        </w:rPr>
        <w:sectPr>
          <w:pgSz w:w="12240" w:h="15840"/>
          <w:pgMar w:header="0" w:footer="967" w:top="1360" w:bottom="1160" w:left="220" w:right="340"/>
        </w:sectPr>
      </w:pPr>
    </w:p>
    <w:p>
      <w:pPr>
        <w:pStyle w:val="BodyText"/>
        <w:spacing w:before="1"/>
        <w:rPr>
          <w:sz w:val="23"/>
        </w:rPr>
      </w:pPr>
    </w:p>
    <w:p>
      <w:pPr>
        <w:spacing w:before="0"/>
        <w:ind w:left="2609" w:right="0" w:firstLine="0"/>
        <w:jc w:val="left"/>
        <w:rPr>
          <w:rFonts w:ascii="Cambria Math" w:eastAsia="Cambria Math"/>
          <w:sz w:val="22"/>
        </w:rPr>
      </w:pPr>
      <w:r>
        <w:rPr>
          <w:rFonts w:ascii="Cambria Math" w:eastAsia="Cambria Math"/>
          <w:w w:val="40"/>
          <w:sz w:val="22"/>
        </w:rPr>
        <w:t>𝑃𝑃𝐵𝐵𝐴𝐴𝐴𝐴𝐵𝐵𝐵𝐵𝐴𝐴</w:t>
      </w:r>
      <w:r>
        <w:rPr>
          <w:rFonts w:ascii="Cambria Math" w:eastAsia="Cambria Math"/>
          <w:spacing w:val="25"/>
          <w:sz w:val="22"/>
        </w:rPr>
        <w:t> </w:t>
      </w:r>
      <w:r>
        <w:rPr>
          <w:rFonts w:ascii="Cambria Math" w:eastAsia="Cambria Math"/>
          <w:w w:val="40"/>
          <w:sz w:val="22"/>
        </w:rPr>
        <w:t>𝐴𝐴𝐵𝐵𝑇𝑇𝐴𝐴𝐴𝐴𝐴𝐴𝐵𝐵𝐴𝐴𝐵𝐵</w:t>
      </w:r>
      <w:r>
        <w:rPr>
          <w:rFonts w:ascii="Cambria Math" w:eastAsia="Cambria Math"/>
          <w:w w:val="40"/>
          <w:sz w:val="22"/>
          <w:vertAlign w:val="superscript"/>
        </w:rPr>
        <w:t>𝐶𝐶𝑌𝑌𝑌𝑌𝑅𝑅</w:t>
      </w:r>
      <w:r>
        <w:rPr>
          <w:rFonts w:ascii="Cambria Math" w:eastAsia="Cambria Math"/>
          <w:spacing w:val="9"/>
          <w:sz w:val="22"/>
          <w:vertAlign w:val="baseline"/>
        </w:rPr>
        <w:t> </w:t>
      </w:r>
      <w:r>
        <w:rPr>
          <w:rFonts w:ascii="Cambria Math" w:eastAsia="Cambria Math"/>
          <w:w w:val="40"/>
          <w:sz w:val="22"/>
          <w:vertAlign w:val="superscript"/>
        </w:rPr>
        <w:t>𝑡𝑡</w:t>
      </w:r>
      <w:r>
        <w:rPr>
          <w:rFonts w:ascii="Cambria Math" w:eastAsia="Cambria Math"/>
          <w:spacing w:val="63"/>
          <w:sz w:val="22"/>
          <w:vertAlign w:val="baseline"/>
        </w:rPr>
        <w:t> </w:t>
      </w:r>
      <w:r>
        <w:rPr>
          <w:rFonts w:ascii="Cambria Math" w:eastAsia="Cambria Math"/>
          <w:spacing w:val="-10"/>
          <w:w w:val="40"/>
          <w:sz w:val="22"/>
          <w:vertAlign w:val="baseline"/>
        </w:rPr>
        <w:t>=</w:t>
      </w:r>
    </w:p>
    <w:p>
      <w:pPr>
        <w:spacing w:before="98"/>
        <w:ind w:left="46" w:right="1803" w:firstLine="0"/>
        <w:jc w:val="center"/>
        <w:rPr>
          <w:rFonts w:ascii="Cambria Math" w:hAnsi="Cambria Math" w:eastAsia="Cambria Math"/>
          <w:sz w:val="22"/>
        </w:rPr>
      </w:pPr>
      <w:r>
        <w:rPr/>
        <w:br w:type="column"/>
      </w:r>
      <w:r>
        <w:rPr>
          <w:rFonts w:ascii="Cambria Math" w:hAnsi="Cambria Math" w:eastAsia="Cambria Math"/>
          <w:w w:val="50"/>
          <w:sz w:val="22"/>
        </w:rPr>
        <w:t>𝐴𝐴𝐴𝐴𝐴𝐴</w:t>
      </w:r>
      <w:r>
        <w:rPr>
          <w:rFonts w:ascii="Cambria Math" w:hAnsi="Cambria Math" w:eastAsia="Cambria Math"/>
          <w:spacing w:val="8"/>
          <w:sz w:val="22"/>
        </w:rPr>
        <w:t> </w:t>
      </w:r>
      <w:r>
        <w:rPr>
          <w:rFonts w:ascii="Cambria Math" w:hAnsi="Cambria Math" w:eastAsia="Cambria Math"/>
          <w:w w:val="50"/>
          <w:sz w:val="22"/>
        </w:rPr>
        <w:t>𝑇𝑇𝐴𝐴𝐵𝐵𝐵𝐵𝑇𝑇𝐵𝐵𝑇𝑇</w:t>
      </w:r>
      <w:r>
        <w:rPr>
          <w:rFonts w:ascii="Cambria Math" w:hAnsi="Cambria Math" w:eastAsia="Cambria Math"/>
          <w:spacing w:val="13"/>
          <w:sz w:val="22"/>
        </w:rPr>
        <w:t> </w:t>
      </w:r>
      <w:r>
        <w:rPr>
          <w:rFonts w:ascii="Cambria Math" w:hAnsi="Cambria Math" w:eastAsia="Cambria Math"/>
          <w:w w:val="50"/>
          <w:sz w:val="22"/>
        </w:rPr>
        <w:t>𝑃𝑃𝑃𝑃𝑃𝑃𝑃𝑃</w:t>
      </w:r>
      <w:r>
        <w:rPr>
          <w:rFonts w:ascii="Cambria Math" w:hAnsi="Cambria Math" w:eastAsia="Cambria Math"/>
          <w:w w:val="50"/>
          <w:sz w:val="22"/>
          <w:vertAlign w:val="superscript"/>
        </w:rPr>
        <w:t>𝐶𝐶𝑌𝑌𝑌𝑌𝑅𝑅</w:t>
      </w:r>
      <w:r>
        <w:rPr>
          <w:rFonts w:ascii="Cambria Math" w:hAnsi="Cambria Math" w:eastAsia="Cambria Math"/>
          <w:spacing w:val="-6"/>
          <w:sz w:val="22"/>
          <w:vertAlign w:val="baseline"/>
        </w:rPr>
        <w:t> </w:t>
      </w:r>
      <w:r>
        <w:rPr>
          <w:rFonts w:ascii="Cambria Math" w:hAnsi="Cambria Math" w:eastAsia="Cambria Math"/>
          <w:w w:val="50"/>
          <w:sz w:val="22"/>
          <w:vertAlign w:val="superscript"/>
        </w:rPr>
        <w:t>𝑡𝑡</w:t>
      </w:r>
      <w:r>
        <w:rPr>
          <w:rFonts w:ascii="Cambria Math" w:hAnsi="Cambria Math" w:eastAsia="Cambria Math"/>
          <w:spacing w:val="21"/>
          <w:sz w:val="22"/>
          <w:vertAlign w:val="baseline"/>
        </w:rPr>
        <w:t> </w:t>
      </w:r>
      <w:r>
        <w:rPr>
          <w:rFonts w:ascii="Cambria Math" w:hAnsi="Cambria Math" w:eastAsia="Cambria Math"/>
          <w:w w:val="50"/>
          <w:sz w:val="22"/>
          <w:vertAlign w:val="baseline"/>
        </w:rPr>
        <w:t>−</w:t>
      </w:r>
      <w:r>
        <w:rPr>
          <w:rFonts w:ascii="Cambria Math" w:hAnsi="Cambria Math" w:eastAsia="Cambria Math"/>
          <w:spacing w:val="8"/>
          <w:sz w:val="22"/>
          <w:vertAlign w:val="baseline"/>
        </w:rPr>
        <w:t> </w:t>
      </w:r>
      <w:r>
        <w:rPr>
          <w:rFonts w:ascii="Cambria Math" w:hAnsi="Cambria Math" w:eastAsia="Cambria Math"/>
          <w:w w:val="50"/>
          <w:sz w:val="22"/>
          <w:vertAlign w:val="baseline"/>
        </w:rPr>
        <w:t>𝐴𝐴𝐴𝐴𝐴𝐴𝐴𝐴𝐵𝐵𝐵𝐵</w:t>
      </w:r>
      <w:r>
        <w:rPr>
          <w:rFonts w:ascii="Cambria Math" w:hAnsi="Cambria Math" w:eastAsia="Cambria Math"/>
          <w:spacing w:val="14"/>
          <w:sz w:val="22"/>
          <w:vertAlign w:val="baseline"/>
        </w:rPr>
        <w:t> </w:t>
      </w:r>
      <w:r>
        <w:rPr>
          <w:rFonts w:ascii="Cambria Math" w:hAnsi="Cambria Math" w:eastAsia="Cambria Math"/>
          <w:w w:val="50"/>
          <w:sz w:val="22"/>
          <w:vertAlign w:val="baseline"/>
        </w:rPr>
        <w:t>𝑃𝑃𝑃𝑃𝑃𝑃𝑃𝑃</w:t>
      </w:r>
      <w:r>
        <w:rPr>
          <w:rFonts w:ascii="Cambria Math" w:hAnsi="Cambria Math" w:eastAsia="Cambria Math"/>
          <w:w w:val="50"/>
          <w:sz w:val="22"/>
          <w:vertAlign w:val="superscript"/>
        </w:rPr>
        <w:t>𝐶𝐶𝑌𝑌𝑌𝑌𝑅𝑅</w:t>
      </w:r>
      <w:r>
        <w:rPr>
          <w:rFonts w:ascii="Cambria Math" w:hAnsi="Cambria Math" w:eastAsia="Cambria Math"/>
          <w:spacing w:val="-6"/>
          <w:sz w:val="22"/>
          <w:vertAlign w:val="baseline"/>
        </w:rPr>
        <w:t> </w:t>
      </w:r>
      <w:r>
        <w:rPr>
          <w:rFonts w:ascii="Cambria Math" w:hAnsi="Cambria Math" w:eastAsia="Cambria Math"/>
          <w:spacing w:val="-5"/>
          <w:w w:val="50"/>
          <w:sz w:val="22"/>
          <w:vertAlign w:val="superscript"/>
        </w:rPr>
        <w:t>𝑡𝑡</w:t>
      </w:r>
    </w:p>
    <w:p>
      <w:pPr>
        <w:pStyle w:val="BodyText"/>
        <w:spacing w:before="2"/>
        <w:rPr>
          <w:rFonts w:ascii="Cambria Math"/>
          <w:sz w:val="4"/>
        </w:rPr>
      </w:pPr>
    </w:p>
    <w:p>
      <w:pPr>
        <w:pStyle w:val="BodyText"/>
        <w:spacing w:line="20" w:lineRule="exact"/>
        <w:ind w:left="20"/>
        <w:rPr>
          <w:rFonts w:ascii="Cambria Math"/>
          <w:sz w:val="2"/>
        </w:rPr>
      </w:pPr>
      <w:r>
        <w:rPr>
          <w:rFonts w:ascii="Cambria Math"/>
          <w:sz w:val="2"/>
        </w:rPr>
        <mc:AlternateContent>
          <mc:Choice Requires="wps">
            <w:drawing>
              <wp:inline distT="0" distB="0" distL="0" distR="0">
                <wp:extent cx="2971800" cy="9525"/>
                <wp:effectExtent l="0" t="0" r="0" b="0"/>
                <wp:docPr id="877" name="Group 877"/>
                <wp:cNvGraphicFramePr>
                  <a:graphicFrameLocks/>
                </wp:cNvGraphicFramePr>
                <a:graphic>
                  <a:graphicData uri="http://schemas.microsoft.com/office/word/2010/wordprocessingGroup">
                    <wpg:wgp>
                      <wpg:cNvPr id="877" name="Group 877"/>
                      <wpg:cNvGrpSpPr/>
                      <wpg:grpSpPr>
                        <a:xfrm>
                          <a:off x="0" y="0"/>
                          <a:ext cx="2971800" cy="9525"/>
                          <a:chExt cx="2971800" cy="9525"/>
                        </a:xfrm>
                      </wpg:grpSpPr>
                      <wps:wsp>
                        <wps:cNvPr id="878" name="Graphic 878"/>
                        <wps:cNvSpPr/>
                        <wps:spPr>
                          <a:xfrm>
                            <a:off x="0" y="0"/>
                            <a:ext cx="2971800" cy="9525"/>
                          </a:xfrm>
                          <a:custGeom>
                            <a:avLst/>
                            <a:gdLst/>
                            <a:ahLst/>
                            <a:cxnLst/>
                            <a:rect l="l" t="t" r="r" b="b"/>
                            <a:pathLst>
                              <a:path w="2971800" h="9525">
                                <a:moveTo>
                                  <a:pt x="2971800" y="0"/>
                                </a:moveTo>
                                <a:lnTo>
                                  <a:pt x="0" y="0"/>
                                </a:lnTo>
                                <a:lnTo>
                                  <a:pt x="0" y="9144"/>
                                </a:lnTo>
                                <a:lnTo>
                                  <a:pt x="2971800" y="9144"/>
                                </a:lnTo>
                                <a:lnTo>
                                  <a:pt x="29718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34pt;height:.75pt;mso-position-horizontal-relative:char;mso-position-vertical-relative:line" id="docshapegroup94" coordorigin="0,0" coordsize="4680,15">
                <v:rect style="position:absolute;left:0;top:0;width:4680;height:15" id="docshape95" filled="true" fillcolor="#000000" stroked="false">
                  <v:fill type="solid"/>
                </v:rect>
              </v:group>
            </w:pict>
          </mc:Fallback>
        </mc:AlternateContent>
      </w:r>
      <w:r>
        <w:rPr>
          <w:rFonts w:ascii="Cambria Math"/>
          <w:sz w:val="2"/>
        </w:rPr>
      </w:r>
    </w:p>
    <w:p>
      <w:pPr>
        <w:spacing w:before="0"/>
        <w:ind w:left="43" w:right="1803" w:firstLine="0"/>
        <w:jc w:val="center"/>
        <w:rPr>
          <w:rFonts w:ascii="Cambria Math" w:eastAsia="Cambria Math"/>
          <w:sz w:val="22"/>
        </w:rPr>
      </w:pPr>
      <w:r>
        <w:rPr>
          <w:rFonts w:ascii="Cambria Math" w:eastAsia="Cambria Math"/>
          <w:w w:val="50"/>
          <w:sz w:val="22"/>
        </w:rPr>
        <w:t>𝐴𝐴𝐴𝐴𝐴𝐴</w:t>
      </w:r>
      <w:r>
        <w:rPr>
          <w:rFonts w:ascii="Cambria Math" w:eastAsia="Cambria Math"/>
          <w:sz w:val="22"/>
        </w:rPr>
        <w:t> </w:t>
      </w:r>
      <w:r>
        <w:rPr>
          <w:rFonts w:ascii="Cambria Math" w:eastAsia="Cambria Math"/>
          <w:w w:val="50"/>
          <w:sz w:val="22"/>
        </w:rPr>
        <w:t>𝑇𝑇𝐴𝐴𝐵𝐵𝐵𝐵𝑇𝑇𝐵𝐵𝑇𝑇</w:t>
      </w:r>
      <w:r>
        <w:rPr>
          <w:rFonts w:ascii="Cambria Math" w:eastAsia="Cambria Math"/>
          <w:spacing w:val="1"/>
          <w:sz w:val="22"/>
        </w:rPr>
        <w:t> </w:t>
      </w:r>
      <w:r>
        <w:rPr>
          <w:rFonts w:ascii="Cambria Math" w:eastAsia="Cambria Math"/>
          <w:w w:val="50"/>
          <w:sz w:val="22"/>
        </w:rPr>
        <w:t>𝑃𝑃𝑃𝑃𝑃𝑃𝑃𝑃</w:t>
      </w:r>
      <w:r>
        <w:rPr>
          <w:rFonts w:ascii="Cambria Math" w:eastAsia="Cambria Math"/>
          <w:w w:val="50"/>
          <w:sz w:val="22"/>
          <w:vertAlign w:val="superscript"/>
        </w:rPr>
        <w:t>𝐶𝐶𝑌𝑌𝑌𝑌𝑅𝑅</w:t>
      </w:r>
      <w:r>
        <w:rPr>
          <w:rFonts w:ascii="Cambria Math" w:eastAsia="Cambria Math"/>
          <w:spacing w:val="-12"/>
          <w:sz w:val="22"/>
          <w:vertAlign w:val="baseline"/>
        </w:rPr>
        <w:t> </w:t>
      </w:r>
      <w:r>
        <w:rPr>
          <w:rFonts w:ascii="Cambria Math" w:eastAsia="Cambria Math"/>
          <w:spacing w:val="-5"/>
          <w:w w:val="50"/>
          <w:sz w:val="22"/>
          <w:vertAlign w:val="superscript"/>
        </w:rPr>
        <w:t>𝑡𝑡</w:t>
      </w:r>
    </w:p>
    <w:p>
      <w:pPr>
        <w:spacing w:after="0"/>
        <w:jc w:val="center"/>
        <w:rPr>
          <w:rFonts w:ascii="Cambria Math" w:eastAsia="Cambria Math"/>
          <w:sz w:val="22"/>
        </w:rPr>
        <w:sectPr>
          <w:type w:val="continuous"/>
          <w:pgSz w:w="12240" w:h="15840"/>
          <w:pgMar w:header="0" w:footer="967" w:top="320" w:bottom="280" w:left="220" w:right="340"/>
          <w:cols w:num="2" w:equalWidth="0">
            <w:col w:w="5173" w:space="40"/>
            <w:col w:w="6467"/>
          </w:cols>
        </w:sectPr>
      </w:pPr>
    </w:p>
    <w:p>
      <w:pPr>
        <w:pStyle w:val="BodyText"/>
        <w:spacing w:before="7"/>
        <w:rPr>
          <w:rFonts w:ascii="Cambria Math"/>
          <w:sz w:val="29"/>
        </w:rPr>
      </w:pPr>
    </w:p>
    <w:p>
      <w:pPr>
        <w:spacing w:before="92"/>
        <w:ind w:left="1220" w:right="0" w:firstLine="0"/>
        <w:jc w:val="both"/>
        <w:rPr>
          <w:i/>
          <w:sz w:val="22"/>
        </w:rPr>
      </w:pPr>
      <w:r>
        <w:rPr>
          <w:i/>
          <w:color w:val="44536A"/>
          <w:sz w:val="22"/>
        </w:rPr>
        <w:t>Included</w:t>
      </w:r>
      <w:r>
        <w:rPr>
          <w:i/>
          <w:color w:val="44536A"/>
          <w:spacing w:val="-5"/>
          <w:sz w:val="22"/>
        </w:rPr>
        <w:t> </w:t>
      </w:r>
      <w:r>
        <w:rPr>
          <w:i/>
          <w:color w:val="44536A"/>
          <w:sz w:val="22"/>
        </w:rPr>
        <w:t>Spending</w:t>
      </w:r>
      <w:r>
        <w:rPr>
          <w:i/>
          <w:color w:val="44536A"/>
          <w:spacing w:val="-2"/>
          <w:sz w:val="22"/>
        </w:rPr>
        <w:t> Categories</w:t>
      </w:r>
    </w:p>
    <w:p>
      <w:pPr>
        <w:spacing w:line="240" w:lineRule="auto" w:before="176"/>
        <w:ind w:left="1219" w:right="1092" w:firstLine="0"/>
        <w:jc w:val="both"/>
        <w:rPr>
          <w:sz w:val="22"/>
        </w:rPr>
      </w:pPr>
      <w:r>
        <w:rPr>
          <w:sz w:val="22"/>
        </w:rPr>
        <w:t>Determination of spending baseline and actual performance of the ACO population will take into consideration</w:t>
      </w:r>
      <w:r>
        <w:rPr>
          <w:spacing w:val="-1"/>
          <w:sz w:val="22"/>
        </w:rPr>
        <w:t> </w:t>
      </w:r>
      <w:r>
        <w:rPr>
          <w:sz w:val="22"/>
        </w:rPr>
        <w:t>all</w:t>
      </w:r>
      <w:r>
        <w:rPr>
          <w:spacing w:val="-3"/>
          <w:sz w:val="22"/>
        </w:rPr>
        <w:t> </w:t>
      </w:r>
      <w:r>
        <w:rPr>
          <w:sz w:val="22"/>
        </w:rPr>
        <w:t>expenses</w:t>
      </w:r>
      <w:r>
        <w:rPr>
          <w:spacing w:val="-3"/>
          <w:sz w:val="22"/>
        </w:rPr>
        <w:t> </w:t>
      </w:r>
      <w:r>
        <w:rPr>
          <w:sz w:val="22"/>
        </w:rPr>
        <w:t>included</w:t>
      </w:r>
      <w:r>
        <w:rPr>
          <w:spacing w:val="-1"/>
          <w:sz w:val="22"/>
        </w:rPr>
        <w:t> </w:t>
      </w:r>
      <w:r>
        <w:rPr>
          <w:sz w:val="22"/>
        </w:rPr>
        <w:t>in</w:t>
      </w:r>
      <w:r>
        <w:rPr>
          <w:spacing w:val="-1"/>
          <w:sz w:val="22"/>
        </w:rPr>
        <w:t> </w:t>
      </w:r>
      <w:r>
        <w:rPr>
          <w:sz w:val="22"/>
        </w:rPr>
        <w:t>ACOs’</w:t>
      </w:r>
      <w:r>
        <w:rPr>
          <w:spacing w:val="-3"/>
          <w:sz w:val="22"/>
        </w:rPr>
        <w:t> </w:t>
      </w:r>
      <w:r>
        <w:rPr>
          <w:sz w:val="22"/>
        </w:rPr>
        <w:t>capitation</w:t>
      </w:r>
      <w:r>
        <w:rPr>
          <w:spacing w:val="-1"/>
          <w:sz w:val="22"/>
        </w:rPr>
        <w:t> </w:t>
      </w:r>
      <w:r>
        <w:rPr>
          <w:sz w:val="22"/>
        </w:rPr>
        <w:t>rates</w:t>
      </w:r>
      <w:r>
        <w:rPr>
          <w:spacing w:val="-1"/>
          <w:sz w:val="22"/>
        </w:rPr>
        <w:t> </w:t>
      </w:r>
      <w:r>
        <w:rPr>
          <w:sz w:val="22"/>
        </w:rPr>
        <w:t>and</w:t>
      </w:r>
      <w:r>
        <w:rPr>
          <w:spacing w:val="-4"/>
          <w:sz w:val="22"/>
        </w:rPr>
        <w:t> </w:t>
      </w:r>
      <w:r>
        <w:rPr>
          <w:sz w:val="22"/>
        </w:rPr>
        <w:t>TCOC</w:t>
      </w:r>
      <w:r>
        <w:rPr>
          <w:spacing w:val="-2"/>
          <w:sz w:val="22"/>
        </w:rPr>
        <w:t> </w:t>
      </w:r>
      <w:r>
        <w:rPr>
          <w:sz w:val="22"/>
        </w:rPr>
        <w:t>Benchmark</w:t>
      </w:r>
      <w:r>
        <w:rPr>
          <w:spacing w:val="-4"/>
          <w:sz w:val="22"/>
        </w:rPr>
        <w:t> </w:t>
      </w:r>
      <w:r>
        <w:rPr>
          <w:sz w:val="22"/>
        </w:rPr>
        <w:t>calculations</w:t>
      </w:r>
      <w:r>
        <w:rPr>
          <w:spacing w:val="-1"/>
          <w:sz w:val="22"/>
        </w:rPr>
        <w:t> </w:t>
      </w:r>
      <w:r>
        <w:rPr>
          <w:sz w:val="22"/>
        </w:rPr>
        <w:t>for year 1 of the ACO program.</w:t>
      </w:r>
      <w:r>
        <w:rPr>
          <w:spacing w:val="40"/>
          <w:sz w:val="22"/>
        </w:rPr>
        <w:t> </w:t>
      </w:r>
      <w:r>
        <w:rPr>
          <w:sz w:val="22"/>
        </w:rPr>
        <w:t>For the population of members attributed to MCO-Administered ACOs, the determination of spending will be based on actual MCO expenditures for services to the population attributed</w:t>
      </w:r>
      <w:r>
        <w:rPr>
          <w:spacing w:val="-6"/>
          <w:sz w:val="22"/>
        </w:rPr>
        <w:t> </w:t>
      </w:r>
      <w:r>
        <w:rPr>
          <w:sz w:val="22"/>
        </w:rPr>
        <w:t>to</w:t>
      </w:r>
      <w:r>
        <w:rPr>
          <w:spacing w:val="-6"/>
          <w:sz w:val="22"/>
        </w:rPr>
        <w:t> </w:t>
      </w:r>
      <w:r>
        <w:rPr>
          <w:sz w:val="22"/>
        </w:rPr>
        <w:t>the</w:t>
      </w:r>
      <w:r>
        <w:rPr>
          <w:spacing w:val="-6"/>
          <w:sz w:val="22"/>
        </w:rPr>
        <w:t> </w:t>
      </w:r>
      <w:r>
        <w:rPr>
          <w:sz w:val="22"/>
        </w:rPr>
        <w:t>ACO,</w:t>
      </w:r>
      <w:r>
        <w:rPr>
          <w:spacing w:val="-4"/>
          <w:sz w:val="22"/>
        </w:rPr>
        <w:t> </w:t>
      </w:r>
      <w:r>
        <w:rPr>
          <w:sz w:val="22"/>
        </w:rPr>
        <w:t>and</w:t>
      </w:r>
      <w:r>
        <w:rPr>
          <w:spacing w:val="-6"/>
          <w:sz w:val="22"/>
        </w:rPr>
        <w:t> </w:t>
      </w:r>
      <w:r>
        <w:rPr>
          <w:sz w:val="22"/>
        </w:rPr>
        <w:t>not</w:t>
      </w:r>
      <w:r>
        <w:rPr>
          <w:spacing w:val="-5"/>
          <w:sz w:val="22"/>
        </w:rPr>
        <w:t> </w:t>
      </w:r>
      <w:r>
        <w:rPr>
          <w:sz w:val="22"/>
        </w:rPr>
        <w:t>on</w:t>
      </w:r>
      <w:r>
        <w:rPr>
          <w:spacing w:val="-6"/>
          <w:sz w:val="22"/>
        </w:rPr>
        <w:t> </w:t>
      </w:r>
      <w:r>
        <w:rPr>
          <w:sz w:val="22"/>
        </w:rPr>
        <w:t>the</w:t>
      </w:r>
      <w:r>
        <w:rPr>
          <w:spacing w:val="-6"/>
          <w:sz w:val="22"/>
        </w:rPr>
        <w:t> </w:t>
      </w:r>
      <w:r>
        <w:rPr>
          <w:sz w:val="22"/>
        </w:rPr>
        <w:t>State’s</w:t>
      </w:r>
      <w:r>
        <w:rPr>
          <w:spacing w:val="-6"/>
          <w:sz w:val="22"/>
        </w:rPr>
        <w:t> </w:t>
      </w:r>
      <w:r>
        <w:rPr>
          <w:sz w:val="22"/>
        </w:rPr>
        <w:t>capitated</w:t>
      </w:r>
      <w:r>
        <w:rPr>
          <w:spacing w:val="-6"/>
          <w:sz w:val="22"/>
        </w:rPr>
        <w:t> </w:t>
      </w:r>
      <w:r>
        <w:rPr>
          <w:sz w:val="22"/>
        </w:rPr>
        <w:t>payments</w:t>
      </w:r>
      <w:r>
        <w:rPr>
          <w:spacing w:val="-6"/>
          <w:sz w:val="22"/>
        </w:rPr>
        <w:t> </w:t>
      </w:r>
      <w:r>
        <w:rPr>
          <w:sz w:val="22"/>
        </w:rPr>
        <w:t>to</w:t>
      </w:r>
      <w:r>
        <w:rPr>
          <w:spacing w:val="-6"/>
          <w:sz w:val="22"/>
        </w:rPr>
        <w:t> </w:t>
      </w:r>
      <w:r>
        <w:rPr>
          <w:sz w:val="22"/>
        </w:rPr>
        <w:t>the</w:t>
      </w:r>
      <w:r>
        <w:rPr>
          <w:spacing w:val="-6"/>
          <w:sz w:val="22"/>
        </w:rPr>
        <w:t> </w:t>
      </w:r>
      <w:r>
        <w:rPr>
          <w:sz w:val="22"/>
        </w:rPr>
        <w:t>MCO.</w:t>
      </w:r>
      <w:r>
        <w:rPr>
          <w:spacing w:val="-9"/>
          <w:sz w:val="22"/>
        </w:rPr>
        <w:t> </w:t>
      </w:r>
      <w:r>
        <w:rPr>
          <w:sz w:val="22"/>
        </w:rPr>
        <w:t>These</w:t>
      </w:r>
      <w:r>
        <w:rPr>
          <w:spacing w:val="-3"/>
          <w:sz w:val="22"/>
        </w:rPr>
        <w:t> </w:t>
      </w:r>
      <w:r>
        <w:rPr>
          <w:sz w:val="22"/>
        </w:rPr>
        <w:t>costs</w:t>
      </w:r>
      <w:r>
        <w:rPr>
          <w:spacing w:val="-6"/>
          <w:sz w:val="22"/>
        </w:rPr>
        <w:t> </w:t>
      </w:r>
      <w:r>
        <w:rPr>
          <w:sz w:val="22"/>
        </w:rPr>
        <w:t>include</w:t>
      </w:r>
      <w:r>
        <w:rPr>
          <w:spacing w:val="-6"/>
          <w:sz w:val="22"/>
        </w:rPr>
        <w:t> </w:t>
      </w:r>
      <w:r>
        <w:rPr>
          <w:sz w:val="22"/>
        </w:rPr>
        <w:t>costs</w:t>
      </w:r>
      <w:r>
        <w:rPr>
          <w:spacing w:val="-6"/>
          <w:sz w:val="22"/>
        </w:rPr>
        <w:t> </w:t>
      </w:r>
      <w:r>
        <w:rPr>
          <w:sz w:val="22"/>
        </w:rPr>
        <w:t>for covered services such as physical health, behavioral health, most pharmacy, and supplemental maternity payments, but do not include costs for Long Term Services and Supports (LTSS) and certain other costs that are similarly excluded from ACO capitation rates and TCOC Benchmarks. In addition, the following expenditure categories shall be excluded from both baseline and actual performance measurement for the purposes of the state’s TCOC accountability to CMS, regardless of their inclusion in or exclusion from ACO TCOC:</w:t>
      </w:r>
    </w:p>
    <w:p>
      <w:pPr>
        <w:pStyle w:val="ListParagraph"/>
        <w:numPr>
          <w:ilvl w:val="0"/>
          <w:numId w:val="80"/>
        </w:numPr>
        <w:tabs>
          <w:tab w:pos="1939" w:val="left" w:leader="none"/>
        </w:tabs>
        <w:spacing w:line="240" w:lineRule="auto" w:before="163" w:after="0"/>
        <w:ind w:left="1939" w:right="0" w:hanging="360"/>
        <w:jc w:val="left"/>
        <w:rPr>
          <w:sz w:val="22"/>
        </w:rPr>
      </w:pPr>
      <w:r>
        <w:rPr>
          <w:sz w:val="22"/>
        </w:rPr>
        <w:t>Hepatitis</w:t>
      </w:r>
      <w:r>
        <w:rPr>
          <w:spacing w:val="-5"/>
          <w:sz w:val="22"/>
        </w:rPr>
        <w:t> </w:t>
      </w:r>
      <w:r>
        <w:rPr>
          <w:sz w:val="22"/>
        </w:rPr>
        <w:t>C</w:t>
      </w:r>
      <w:r>
        <w:rPr>
          <w:spacing w:val="-2"/>
          <w:sz w:val="22"/>
        </w:rPr>
        <w:t> </w:t>
      </w:r>
      <w:r>
        <w:rPr>
          <w:spacing w:val="-4"/>
          <w:sz w:val="22"/>
        </w:rPr>
        <w:t>drugs</w:t>
      </w:r>
    </w:p>
    <w:p>
      <w:pPr>
        <w:pStyle w:val="ListParagraph"/>
        <w:numPr>
          <w:ilvl w:val="0"/>
          <w:numId w:val="80"/>
        </w:numPr>
        <w:tabs>
          <w:tab w:pos="1940" w:val="left" w:leader="none"/>
        </w:tabs>
        <w:spacing w:line="240" w:lineRule="auto" w:before="198" w:after="0"/>
        <w:ind w:left="1940" w:right="1095" w:hanging="361"/>
        <w:jc w:val="left"/>
        <w:rPr>
          <w:sz w:val="22"/>
        </w:rPr>
      </w:pPr>
      <w:r>
        <w:rPr>
          <w:sz w:val="22"/>
        </w:rPr>
        <w:t>Other</w:t>
      </w:r>
      <w:r>
        <w:rPr>
          <w:spacing w:val="40"/>
          <w:sz w:val="22"/>
        </w:rPr>
        <w:t> </w:t>
      </w:r>
      <w:r>
        <w:rPr>
          <w:sz w:val="22"/>
        </w:rPr>
        <w:t>high-cost</w:t>
      </w:r>
      <w:r>
        <w:rPr>
          <w:spacing w:val="40"/>
          <w:sz w:val="22"/>
        </w:rPr>
        <w:t> </w:t>
      </w:r>
      <w:r>
        <w:rPr>
          <w:sz w:val="22"/>
        </w:rPr>
        <w:t>emerging</w:t>
      </w:r>
      <w:r>
        <w:rPr>
          <w:spacing w:val="40"/>
          <w:sz w:val="22"/>
        </w:rPr>
        <w:t> </w:t>
      </w:r>
      <w:r>
        <w:rPr>
          <w:sz w:val="22"/>
        </w:rPr>
        <w:t>drug</w:t>
      </w:r>
      <w:r>
        <w:rPr>
          <w:spacing w:val="40"/>
          <w:sz w:val="22"/>
        </w:rPr>
        <w:t> </w:t>
      </w:r>
      <w:r>
        <w:rPr>
          <w:sz w:val="22"/>
        </w:rPr>
        <w:t>therapies</w:t>
      </w:r>
      <w:r>
        <w:rPr>
          <w:spacing w:val="40"/>
          <w:sz w:val="22"/>
        </w:rPr>
        <w:t> </w:t>
      </w:r>
      <w:r>
        <w:rPr>
          <w:sz w:val="22"/>
        </w:rPr>
        <w:t>(e.g.,</w:t>
      </w:r>
      <w:r>
        <w:rPr>
          <w:spacing w:val="40"/>
          <w:sz w:val="22"/>
        </w:rPr>
        <w:t> </w:t>
      </w:r>
      <w:r>
        <w:rPr>
          <w:sz w:val="22"/>
        </w:rPr>
        <w:t>treatment</w:t>
      </w:r>
      <w:r>
        <w:rPr>
          <w:spacing w:val="40"/>
          <w:sz w:val="22"/>
        </w:rPr>
        <w:t> </w:t>
      </w:r>
      <w:r>
        <w:rPr>
          <w:sz w:val="22"/>
        </w:rPr>
        <w:t>for</w:t>
      </w:r>
      <w:r>
        <w:rPr>
          <w:spacing w:val="40"/>
          <w:sz w:val="22"/>
        </w:rPr>
        <w:t> </w:t>
      </w:r>
      <w:r>
        <w:rPr>
          <w:sz w:val="22"/>
        </w:rPr>
        <w:t>cystic</w:t>
      </w:r>
      <w:r>
        <w:rPr>
          <w:spacing w:val="40"/>
          <w:sz w:val="22"/>
        </w:rPr>
        <w:t> </w:t>
      </w:r>
      <w:r>
        <w:rPr>
          <w:sz w:val="22"/>
        </w:rPr>
        <w:t>fibrosis)</w:t>
      </w:r>
      <w:r>
        <w:rPr>
          <w:spacing w:val="40"/>
          <w:sz w:val="22"/>
        </w:rPr>
        <w:t> </w:t>
      </w:r>
      <w:r>
        <w:rPr>
          <w:sz w:val="22"/>
        </w:rPr>
        <w:t>that</w:t>
      </w:r>
      <w:r>
        <w:rPr>
          <w:spacing w:val="40"/>
          <w:sz w:val="22"/>
        </w:rPr>
        <w:t> </w:t>
      </w:r>
      <w:r>
        <w:rPr>
          <w:sz w:val="22"/>
        </w:rPr>
        <w:t>result</w:t>
      </w:r>
      <w:r>
        <w:rPr>
          <w:spacing w:val="40"/>
          <w:sz w:val="22"/>
        </w:rPr>
        <w:t> </w:t>
      </w:r>
      <w:r>
        <w:rPr>
          <w:sz w:val="22"/>
        </w:rPr>
        <w:t>in</w:t>
      </w:r>
      <w:r>
        <w:rPr>
          <w:spacing w:val="40"/>
          <w:sz w:val="22"/>
        </w:rPr>
        <w:t> </w:t>
      </w:r>
      <w:r>
        <w:rPr>
          <w:sz w:val="22"/>
        </w:rPr>
        <w:t>a significant increase in spending that is not reasonably in the control of an ACO to manage</w:t>
      </w:r>
    </w:p>
    <w:p>
      <w:pPr>
        <w:pStyle w:val="ListParagraph"/>
        <w:numPr>
          <w:ilvl w:val="0"/>
          <w:numId w:val="80"/>
        </w:numPr>
        <w:tabs>
          <w:tab w:pos="1940" w:val="left" w:leader="none"/>
        </w:tabs>
        <w:spacing w:line="240" w:lineRule="auto" w:before="200" w:after="0"/>
        <w:ind w:left="1940" w:right="0" w:hanging="360"/>
        <w:jc w:val="left"/>
        <w:rPr>
          <w:sz w:val="22"/>
        </w:rPr>
      </w:pPr>
      <w:r>
        <w:rPr>
          <w:sz w:val="22"/>
        </w:rPr>
        <w:t>Children’s</w:t>
      </w:r>
      <w:r>
        <w:rPr>
          <w:spacing w:val="-6"/>
          <w:sz w:val="22"/>
        </w:rPr>
        <w:t> </w:t>
      </w:r>
      <w:r>
        <w:rPr>
          <w:sz w:val="22"/>
        </w:rPr>
        <w:t>Behavioral</w:t>
      </w:r>
      <w:r>
        <w:rPr>
          <w:spacing w:val="-6"/>
          <w:sz w:val="22"/>
        </w:rPr>
        <w:t> </w:t>
      </w:r>
      <w:r>
        <w:rPr>
          <w:sz w:val="22"/>
        </w:rPr>
        <w:t>Health</w:t>
      </w:r>
      <w:r>
        <w:rPr>
          <w:spacing w:val="-5"/>
          <w:sz w:val="22"/>
        </w:rPr>
        <w:t> </w:t>
      </w:r>
      <w:r>
        <w:rPr>
          <w:spacing w:val="-2"/>
          <w:sz w:val="22"/>
        </w:rPr>
        <w:t>Initiative</w:t>
      </w:r>
    </w:p>
    <w:p>
      <w:pPr>
        <w:pStyle w:val="ListParagraph"/>
        <w:numPr>
          <w:ilvl w:val="0"/>
          <w:numId w:val="80"/>
        </w:numPr>
        <w:tabs>
          <w:tab w:pos="1940" w:val="left" w:leader="none"/>
        </w:tabs>
        <w:spacing w:line="240" w:lineRule="auto" w:before="199" w:after="0"/>
        <w:ind w:left="1940" w:right="0" w:hanging="360"/>
        <w:jc w:val="left"/>
        <w:rPr>
          <w:sz w:val="22"/>
        </w:rPr>
      </w:pPr>
      <w:r>
        <w:rPr>
          <w:sz w:val="22"/>
        </w:rPr>
        <w:t>Applied</w:t>
      </w:r>
      <w:r>
        <w:rPr>
          <w:spacing w:val="-5"/>
          <w:sz w:val="22"/>
        </w:rPr>
        <w:t> </w:t>
      </w:r>
      <w:r>
        <w:rPr>
          <w:sz w:val="22"/>
        </w:rPr>
        <w:t>Behavioral</w:t>
      </w:r>
      <w:r>
        <w:rPr>
          <w:spacing w:val="-4"/>
          <w:sz w:val="22"/>
        </w:rPr>
        <w:t> </w:t>
      </w:r>
      <w:r>
        <w:rPr>
          <w:spacing w:val="-2"/>
          <w:sz w:val="22"/>
        </w:rPr>
        <w:t>Analysis</w:t>
      </w:r>
    </w:p>
    <w:p>
      <w:pPr>
        <w:pStyle w:val="ListParagraph"/>
        <w:numPr>
          <w:ilvl w:val="0"/>
          <w:numId w:val="80"/>
        </w:numPr>
        <w:tabs>
          <w:tab w:pos="1940" w:val="left" w:leader="none"/>
        </w:tabs>
        <w:spacing w:line="240" w:lineRule="auto" w:before="198" w:after="0"/>
        <w:ind w:left="1940" w:right="0" w:hanging="360"/>
        <w:jc w:val="left"/>
        <w:rPr>
          <w:sz w:val="24"/>
        </w:rPr>
      </w:pPr>
      <w:r>
        <w:rPr>
          <w:sz w:val="22"/>
        </w:rPr>
        <w:t>Substance</w:t>
      </w:r>
      <w:r>
        <w:rPr>
          <w:spacing w:val="-4"/>
          <w:sz w:val="22"/>
        </w:rPr>
        <w:t> </w:t>
      </w:r>
      <w:r>
        <w:rPr>
          <w:sz w:val="22"/>
        </w:rPr>
        <w:t>Use</w:t>
      </w:r>
      <w:r>
        <w:rPr>
          <w:spacing w:val="-3"/>
          <w:sz w:val="22"/>
        </w:rPr>
        <w:t> </w:t>
      </w:r>
      <w:r>
        <w:rPr>
          <w:sz w:val="22"/>
        </w:rPr>
        <w:t>Disorder</w:t>
      </w:r>
      <w:r>
        <w:rPr>
          <w:spacing w:val="-2"/>
          <w:sz w:val="22"/>
        </w:rPr>
        <w:t> </w:t>
      </w:r>
      <w:r>
        <w:rPr>
          <w:sz w:val="22"/>
        </w:rPr>
        <w:t>Services</w:t>
      </w:r>
      <w:r>
        <w:rPr>
          <w:spacing w:val="-5"/>
          <w:sz w:val="22"/>
        </w:rPr>
        <w:t> </w:t>
      </w:r>
      <w:r>
        <w:rPr>
          <w:sz w:val="22"/>
        </w:rPr>
        <w:t>listed</w:t>
      </w:r>
      <w:r>
        <w:rPr>
          <w:spacing w:val="-4"/>
          <w:sz w:val="22"/>
        </w:rPr>
        <w:t> </w:t>
      </w:r>
      <w:r>
        <w:rPr>
          <w:sz w:val="22"/>
        </w:rPr>
        <w:t>in</w:t>
      </w:r>
      <w:r>
        <w:rPr>
          <w:spacing w:val="-6"/>
          <w:sz w:val="22"/>
        </w:rPr>
        <w:t> </w:t>
      </w:r>
      <w:r>
        <w:rPr>
          <w:sz w:val="24"/>
        </w:rPr>
        <w:t>STC</w:t>
      </w:r>
      <w:r>
        <w:rPr>
          <w:spacing w:val="-3"/>
          <w:sz w:val="24"/>
        </w:rPr>
        <w:t> </w:t>
      </w:r>
      <w:r>
        <w:rPr>
          <w:sz w:val="24"/>
        </w:rPr>
        <w:t>41,</w:t>
      </w:r>
      <w:r>
        <w:rPr>
          <w:spacing w:val="-4"/>
          <w:sz w:val="24"/>
        </w:rPr>
        <w:t> </w:t>
      </w:r>
      <w:r>
        <w:rPr>
          <w:sz w:val="24"/>
        </w:rPr>
        <w:t>Table</w:t>
      </w:r>
      <w:r>
        <w:rPr>
          <w:spacing w:val="-4"/>
          <w:sz w:val="24"/>
        </w:rPr>
        <w:t> </w:t>
      </w:r>
      <w:r>
        <w:rPr>
          <w:spacing w:val="-10"/>
          <w:sz w:val="24"/>
        </w:rPr>
        <w:t>D</w:t>
      </w:r>
    </w:p>
    <w:p>
      <w:pPr>
        <w:pStyle w:val="ListParagraph"/>
        <w:numPr>
          <w:ilvl w:val="0"/>
          <w:numId w:val="80"/>
        </w:numPr>
        <w:tabs>
          <w:tab w:pos="1940" w:val="left" w:leader="none"/>
        </w:tabs>
        <w:spacing w:line="240" w:lineRule="auto" w:before="202" w:after="0"/>
        <w:ind w:left="1940" w:right="0" w:hanging="361"/>
        <w:jc w:val="left"/>
        <w:rPr>
          <w:sz w:val="22"/>
        </w:rPr>
      </w:pPr>
      <w:r>
        <w:rPr>
          <w:sz w:val="22"/>
        </w:rPr>
        <w:t>Non-covered</w:t>
      </w:r>
      <w:r>
        <w:rPr>
          <w:spacing w:val="-8"/>
          <w:sz w:val="22"/>
        </w:rPr>
        <w:t> </w:t>
      </w:r>
      <w:r>
        <w:rPr>
          <w:spacing w:val="-2"/>
          <w:sz w:val="22"/>
        </w:rPr>
        <w:t>services</w:t>
      </w:r>
    </w:p>
    <w:p>
      <w:pPr>
        <w:pStyle w:val="ListParagraph"/>
        <w:numPr>
          <w:ilvl w:val="0"/>
          <w:numId w:val="80"/>
        </w:numPr>
        <w:tabs>
          <w:tab w:pos="1940" w:val="left" w:leader="none"/>
        </w:tabs>
        <w:spacing w:line="240" w:lineRule="auto" w:before="199" w:after="0"/>
        <w:ind w:left="1940" w:right="0" w:hanging="360"/>
        <w:jc w:val="left"/>
        <w:rPr>
          <w:sz w:val="22"/>
        </w:rPr>
      </w:pPr>
      <w:r>
        <w:rPr>
          <w:sz w:val="22"/>
        </w:rPr>
        <w:t>All</w:t>
      </w:r>
      <w:r>
        <w:rPr>
          <w:spacing w:val="-2"/>
          <w:sz w:val="22"/>
        </w:rPr>
        <w:t> </w:t>
      </w:r>
      <w:r>
        <w:rPr>
          <w:sz w:val="22"/>
        </w:rPr>
        <w:t>DSRIP</w:t>
      </w:r>
      <w:r>
        <w:rPr>
          <w:spacing w:val="-4"/>
          <w:sz w:val="22"/>
        </w:rPr>
        <w:t> </w:t>
      </w:r>
      <w:r>
        <w:rPr>
          <w:sz w:val="22"/>
        </w:rPr>
        <w:t>expenditures</w:t>
      </w:r>
      <w:r>
        <w:rPr>
          <w:spacing w:val="-3"/>
          <w:sz w:val="22"/>
        </w:rPr>
        <w:t> </w:t>
      </w:r>
      <w:r>
        <w:rPr>
          <w:sz w:val="22"/>
        </w:rPr>
        <w:t>except</w:t>
      </w:r>
      <w:r>
        <w:rPr>
          <w:spacing w:val="-4"/>
          <w:sz w:val="22"/>
        </w:rPr>
        <w:t> </w:t>
      </w:r>
      <w:r>
        <w:rPr>
          <w:sz w:val="22"/>
        </w:rPr>
        <w:t>those</w:t>
      </w:r>
      <w:r>
        <w:rPr>
          <w:spacing w:val="-3"/>
          <w:sz w:val="22"/>
        </w:rPr>
        <w:t> </w:t>
      </w:r>
      <w:r>
        <w:rPr>
          <w:sz w:val="22"/>
        </w:rPr>
        <w:t>for</w:t>
      </w:r>
      <w:r>
        <w:rPr>
          <w:spacing w:val="-4"/>
          <w:sz w:val="22"/>
        </w:rPr>
        <w:t> </w:t>
      </w:r>
      <w:r>
        <w:rPr>
          <w:sz w:val="22"/>
        </w:rPr>
        <w:t>the</w:t>
      </w:r>
      <w:r>
        <w:rPr>
          <w:spacing w:val="-3"/>
          <w:sz w:val="22"/>
        </w:rPr>
        <w:t> </w:t>
      </w:r>
      <w:r>
        <w:rPr>
          <w:sz w:val="22"/>
        </w:rPr>
        <w:t>DSTI</w:t>
      </w:r>
      <w:r>
        <w:rPr>
          <w:spacing w:val="-6"/>
          <w:sz w:val="22"/>
        </w:rPr>
        <w:t> </w:t>
      </w:r>
      <w:r>
        <w:rPr>
          <w:sz w:val="22"/>
        </w:rPr>
        <w:t>Glide</w:t>
      </w:r>
      <w:r>
        <w:rPr>
          <w:spacing w:val="-3"/>
          <w:sz w:val="22"/>
        </w:rPr>
        <w:t> </w:t>
      </w:r>
      <w:r>
        <w:rPr>
          <w:sz w:val="22"/>
        </w:rPr>
        <w:t>Path</w:t>
      </w:r>
      <w:r>
        <w:rPr>
          <w:spacing w:val="-3"/>
          <w:sz w:val="22"/>
        </w:rPr>
        <w:t> </w:t>
      </w:r>
      <w:r>
        <w:rPr>
          <w:sz w:val="22"/>
        </w:rPr>
        <w:t>sub-stream</w:t>
      </w:r>
      <w:r>
        <w:rPr>
          <w:spacing w:val="-6"/>
          <w:sz w:val="22"/>
        </w:rPr>
        <w:t> </w:t>
      </w:r>
      <w:r>
        <w:rPr>
          <w:sz w:val="22"/>
        </w:rPr>
        <w:t>as</w:t>
      </w:r>
      <w:r>
        <w:rPr>
          <w:spacing w:val="-3"/>
          <w:sz w:val="22"/>
        </w:rPr>
        <w:t> </w:t>
      </w:r>
      <w:r>
        <w:rPr>
          <w:sz w:val="22"/>
        </w:rPr>
        <w:t>described</w:t>
      </w:r>
      <w:r>
        <w:rPr>
          <w:spacing w:val="-5"/>
          <w:sz w:val="22"/>
        </w:rPr>
        <w:t> </w:t>
      </w:r>
      <w:r>
        <w:rPr>
          <w:spacing w:val="-2"/>
          <w:sz w:val="22"/>
        </w:rPr>
        <w:t>above</w:t>
      </w:r>
    </w:p>
    <w:p>
      <w:pPr>
        <w:pStyle w:val="ListParagraph"/>
        <w:numPr>
          <w:ilvl w:val="0"/>
          <w:numId w:val="80"/>
        </w:numPr>
        <w:tabs>
          <w:tab w:pos="1940" w:val="left" w:leader="none"/>
        </w:tabs>
        <w:spacing w:line="240" w:lineRule="auto" w:before="198" w:after="0"/>
        <w:ind w:left="1940" w:right="1098" w:hanging="361"/>
        <w:jc w:val="left"/>
        <w:rPr>
          <w:sz w:val="22"/>
        </w:rPr>
      </w:pPr>
      <w:r>
        <w:rPr>
          <w:sz w:val="22"/>
        </w:rPr>
        <w:t>Payments made in accordance with Attachment Q of the 1115 Waiver Demonstration and other</w:t>
      </w:r>
      <w:r>
        <w:rPr>
          <w:spacing w:val="40"/>
          <w:sz w:val="22"/>
        </w:rPr>
        <w:t> </w:t>
      </w:r>
      <w:r>
        <w:rPr>
          <w:sz w:val="22"/>
        </w:rPr>
        <w:t>quality incentive payments</w:t>
      </w:r>
    </w:p>
    <w:p>
      <w:pPr>
        <w:pStyle w:val="ListParagraph"/>
        <w:numPr>
          <w:ilvl w:val="0"/>
          <w:numId w:val="80"/>
        </w:numPr>
        <w:tabs>
          <w:tab w:pos="1940" w:val="left" w:leader="none"/>
        </w:tabs>
        <w:spacing w:line="240" w:lineRule="auto" w:before="200" w:after="0"/>
        <w:ind w:left="1940" w:right="0" w:hanging="360"/>
        <w:jc w:val="left"/>
        <w:rPr>
          <w:sz w:val="22"/>
        </w:rPr>
      </w:pPr>
      <w:r>
        <w:rPr>
          <w:sz w:val="22"/>
        </w:rPr>
        <w:t>All</w:t>
      </w:r>
      <w:r>
        <w:rPr>
          <w:spacing w:val="-5"/>
          <w:sz w:val="22"/>
        </w:rPr>
        <w:t> </w:t>
      </w:r>
      <w:r>
        <w:rPr>
          <w:sz w:val="22"/>
        </w:rPr>
        <w:t>administrative</w:t>
      </w:r>
      <w:r>
        <w:rPr>
          <w:spacing w:val="-4"/>
          <w:sz w:val="22"/>
        </w:rPr>
        <w:t> </w:t>
      </w:r>
      <w:r>
        <w:rPr>
          <w:sz w:val="22"/>
        </w:rPr>
        <w:t>payments</w:t>
      </w:r>
      <w:r>
        <w:rPr>
          <w:spacing w:val="-4"/>
          <w:sz w:val="22"/>
        </w:rPr>
        <w:t> </w:t>
      </w:r>
      <w:r>
        <w:rPr>
          <w:sz w:val="22"/>
        </w:rPr>
        <w:t>made</w:t>
      </w:r>
      <w:r>
        <w:rPr>
          <w:spacing w:val="-3"/>
          <w:sz w:val="22"/>
        </w:rPr>
        <w:t> </w:t>
      </w:r>
      <w:r>
        <w:rPr>
          <w:sz w:val="22"/>
        </w:rPr>
        <w:t>to</w:t>
      </w:r>
      <w:r>
        <w:rPr>
          <w:spacing w:val="-4"/>
          <w:sz w:val="22"/>
        </w:rPr>
        <w:t> </w:t>
      </w:r>
      <w:r>
        <w:rPr>
          <w:sz w:val="22"/>
        </w:rPr>
        <w:t>ACOs,</w:t>
      </w:r>
      <w:r>
        <w:rPr>
          <w:spacing w:val="-4"/>
          <w:sz w:val="22"/>
        </w:rPr>
        <w:t> </w:t>
      </w:r>
      <w:r>
        <w:rPr>
          <w:sz w:val="22"/>
        </w:rPr>
        <w:t>or</w:t>
      </w:r>
      <w:r>
        <w:rPr>
          <w:spacing w:val="-5"/>
          <w:sz w:val="22"/>
        </w:rPr>
        <w:t> </w:t>
      </w:r>
      <w:r>
        <w:rPr>
          <w:sz w:val="22"/>
        </w:rPr>
        <w:t>to</w:t>
      </w:r>
      <w:r>
        <w:rPr>
          <w:spacing w:val="-7"/>
          <w:sz w:val="22"/>
        </w:rPr>
        <w:t> </w:t>
      </w:r>
      <w:r>
        <w:rPr>
          <w:sz w:val="22"/>
        </w:rPr>
        <w:t>MCOs</w:t>
      </w:r>
      <w:r>
        <w:rPr>
          <w:spacing w:val="-4"/>
          <w:sz w:val="22"/>
        </w:rPr>
        <w:t> </w:t>
      </w:r>
      <w:r>
        <w:rPr>
          <w:sz w:val="22"/>
        </w:rPr>
        <w:t>for</w:t>
      </w:r>
      <w:r>
        <w:rPr>
          <w:spacing w:val="-5"/>
          <w:sz w:val="22"/>
        </w:rPr>
        <w:t> </w:t>
      </w:r>
      <w:r>
        <w:rPr>
          <w:sz w:val="22"/>
        </w:rPr>
        <w:t>MCO-Administered</w:t>
      </w:r>
      <w:r>
        <w:rPr>
          <w:spacing w:val="-7"/>
          <w:sz w:val="22"/>
        </w:rPr>
        <w:t> </w:t>
      </w:r>
      <w:r>
        <w:rPr>
          <w:sz w:val="22"/>
        </w:rPr>
        <w:t>ACO</w:t>
      </w:r>
      <w:r>
        <w:rPr>
          <w:spacing w:val="-2"/>
          <w:sz w:val="22"/>
        </w:rPr>
        <w:t> members</w:t>
      </w:r>
    </w:p>
    <w:p>
      <w:pPr>
        <w:spacing w:before="198"/>
        <w:ind w:left="1220" w:right="1094" w:hanging="1"/>
        <w:jc w:val="both"/>
        <w:rPr>
          <w:sz w:val="22"/>
        </w:rPr>
      </w:pPr>
      <w:r>
        <w:rPr>
          <w:sz w:val="22"/>
        </w:rPr>
        <w:t>The</w:t>
      </w:r>
      <w:r>
        <w:rPr>
          <w:spacing w:val="-9"/>
          <w:sz w:val="22"/>
        </w:rPr>
        <w:t> </w:t>
      </w:r>
      <w:r>
        <w:rPr>
          <w:sz w:val="22"/>
        </w:rPr>
        <w:t>State</w:t>
      </w:r>
      <w:r>
        <w:rPr>
          <w:spacing w:val="-9"/>
          <w:sz w:val="22"/>
        </w:rPr>
        <w:t> </w:t>
      </w:r>
      <w:r>
        <w:rPr>
          <w:sz w:val="22"/>
        </w:rPr>
        <w:t>may</w:t>
      </w:r>
      <w:r>
        <w:rPr>
          <w:spacing w:val="-10"/>
          <w:sz w:val="22"/>
        </w:rPr>
        <w:t> </w:t>
      </w:r>
      <w:r>
        <w:rPr>
          <w:sz w:val="22"/>
        </w:rPr>
        <w:t>submit</w:t>
      </w:r>
      <w:r>
        <w:rPr>
          <w:spacing w:val="-6"/>
          <w:sz w:val="22"/>
        </w:rPr>
        <w:t> </w:t>
      </w:r>
      <w:r>
        <w:rPr>
          <w:sz w:val="22"/>
        </w:rPr>
        <w:t>requests</w:t>
      </w:r>
      <w:r>
        <w:rPr>
          <w:spacing w:val="-9"/>
          <w:sz w:val="22"/>
        </w:rPr>
        <w:t> </w:t>
      </w:r>
      <w:r>
        <w:rPr>
          <w:sz w:val="22"/>
        </w:rPr>
        <w:t>for</w:t>
      </w:r>
      <w:r>
        <w:rPr>
          <w:spacing w:val="-6"/>
          <w:sz w:val="22"/>
        </w:rPr>
        <w:t> </w:t>
      </w:r>
      <w:r>
        <w:rPr>
          <w:sz w:val="22"/>
        </w:rPr>
        <w:t>additional</w:t>
      </w:r>
      <w:r>
        <w:rPr>
          <w:spacing w:val="-9"/>
          <w:sz w:val="22"/>
        </w:rPr>
        <w:t> </w:t>
      </w:r>
      <w:r>
        <w:rPr>
          <w:sz w:val="22"/>
        </w:rPr>
        <w:t>exclusions</w:t>
      </w:r>
      <w:r>
        <w:rPr>
          <w:spacing w:val="-9"/>
          <w:sz w:val="22"/>
        </w:rPr>
        <w:t> </w:t>
      </w:r>
      <w:r>
        <w:rPr>
          <w:sz w:val="22"/>
        </w:rPr>
        <w:t>or</w:t>
      </w:r>
      <w:r>
        <w:rPr>
          <w:spacing w:val="-6"/>
          <w:sz w:val="22"/>
        </w:rPr>
        <w:t> </w:t>
      </w:r>
      <w:r>
        <w:rPr>
          <w:sz w:val="22"/>
        </w:rPr>
        <w:t>Baseline</w:t>
      </w:r>
      <w:r>
        <w:rPr>
          <w:spacing w:val="-7"/>
          <w:sz w:val="22"/>
        </w:rPr>
        <w:t> </w:t>
      </w:r>
      <w:r>
        <w:rPr>
          <w:sz w:val="22"/>
        </w:rPr>
        <w:t>PMPM</w:t>
      </w:r>
      <w:r>
        <w:rPr>
          <w:spacing w:val="-7"/>
          <w:sz w:val="22"/>
        </w:rPr>
        <w:t> </w:t>
      </w:r>
      <w:r>
        <w:rPr>
          <w:sz w:val="22"/>
        </w:rPr>
        <w:t>adjustments</w:t>
      </w:r>
      <w:r>
        <w:rPr>
          <w:spacing w:val="-7"/>
          <w:sz w:val="22"/>
        </w:rPr>
        <w:t> </w:t>
      </w:r>
      <w:r>
        <w:rPr>
          <w:sz w:val="22"/>
        </w:rPr>
        <w:t>for</w:t>
      </w:r>
      <w:r>
        <w:rPr>
          <w:spacing w:val="-9"/>
          <w:sz w:val="22"/>
        </w:rPr>
        <w:t> </w:t>
      </w:r>
      <w:r>
        <w:rPr>
          <w:sz w:val="22"/>
        </w:rPr>
        <w:t>CMS</w:t>
      </w:r>
      <w:r>
        <w:rPr>
          <w:spacing w:val="-10"/>
          <w:sz w:val="22"/>
        </w:rPr>
        <w:t> </w:t>
      </w:r>
      <w:r>
        <w:rPr>
          <w:sz w:val="22"/>
        </w:rPr>
        <w:t>approval by submitting an amendment to the Protocol.</w:t>
      </w:r>
      <w:r>
        <w:rPr>
          <w:spacing w:val="40"/>
          <w:sz w:val="22"/>
        </w:rPr>
        <w:t> </w:t>
      </w:r>
      <w:r>
        <w:rPr>
          <w:sz w:val="22"/>
        </w:rPr>
        <w:t>CMS will have 60 business days to review and respond to these methodology modification requests.</w:t>
      </w:r>
    </w:p>
    <w:p>
      <w:pPr>
        <w:spacing w:before="162"/>
        <w:ind w:left="1220" w:right="0" w:firstLine="0"/>
        <w:jc w:val="both"/>
        <w:rPr>
          <w:i/>
          <w:sz w:val="22"/>
        </w:rPr>
      </w:pPr>
      <w:r>
        <w:rPr>
          <w:i/>
          <w:color w:val="44536A"/>
          <w:sz w:val="22"/>
        </w:rPr>
        <w:t>PMPM</w:t>
      </w:r>
      <w:r>
        <w:rPr>
          <w:i/>
          <w:color w:val="44536A"/>
          <w:spacing w:val="-6"/>
          <w:sz w:val="22"/>
        </w:rPr>
        <w:t> </w:t>
      </w:r>
      <w:r>
        <w:rPr>
          <w:i/>
          <w:color w:val="44536A"/>
          <w:sz w:val="22"/>
        </w:rPr>
        <w:t>Spending</w:t>
      </w:r>
      <w:r>
        <w:rPr>
          <w:i/>
          <w:color w:val="44536A"/>
          <w:spacing w:val="-5"/>
          <w:sz w:val="22"/>
        </w:rPr>
        <w:t> </w:t>
      </w:r>
      <w:r>
        <w:rPr>
          <w:i/>
          <w:color w:val="44536A"/>
          <w:sz w:val="22"/>
        </w:rPr>
        <w:t>Reporting</w:t>
      </w:r>
      <w:r>
        <w:rPr>
          <w:i/>
          <w:color w:val="44536A"/>
          <w:spacing w:val="-6"/>
          <w:sz w:val="22"/>
        </w:rPr>
        <w:t> </w:t>
      </w:r>
      <w:r>
        <w:rPr>
          <w:i/>
          <w:color w:val="44536A"/>
          <w:spacing w:val="-4"/>
          <w:sz w:val="22"/>
        </w:rPr>
        <w:t>Tool</w:t>
      </w:r>
    </w:p>
    <w:p>
      <w:pPr>
        <w:spacing w:after="0"/>
        <w:jc w:val="both"/>
        <w:rPr>
          <w:sz w:val="22"/>
        </w:rPr>
        <w:sectPr>
          <w:type w:val="continuous"/>
          <w:pgSz w:w="12240" w:h="15840"/>
          <w:pgMar w:header="0" w:footer="967" w:top="320" w:bottom="280" w:left="220" w:right="340"/>
        </w:sectPr>
      </w:pPr>
    </w:p>
    <w:p>
      <w:pPr>
        <w:spacing w:before="78"/>
        <w:ind w:left="1219" w:right="1095" w:firstLine="0"/>
        <w:jc w:val="both"/>
        <w:rPr>
          <w:sz w:val="22"/>
        </w:rPr>
      </w:pPr>
      <w:r>
        <w:rPr>
          <w:sz w:val="22"/>
        </w:rPr>
        <w:t>The</w:t>
      </w:r>
      <w:r>
        <w:rPr>
          <w:spacing w:val="-3"/>
          <w:sz w:val="22"/>
        </w:rPr>
        <w:t> </w:t>
      </w:r>
      <w:r>
        <w:rPr>
          <w:sz w:val="22"/>
        </w:rPr>
        <w:t>State</w:t>
      </w:r>
      <w:r>
        <w:rPr>
          <w:spacing w:val="-3"/>
          <w:sz w:val="22"/>
        </w:rPr>
        <w:t> </w:t>
      </w:r>
      <w:r>
        <w:rPr>
          <w:sz w:val="22"/>
        </w:rPr>
        <w:t>and</w:t>
      </w:r>
      <w:r>
        <w:rPr>
          <w:spacing w:val="-4"/>
          <w:sz w:val="22"/>
        </w:rPr>
        <w:t> </w:t>
      </w:r>
      <w:r>
        <w:rPr>
          <w:sz w:val="22"/>
        </w:rPr>
        <w:t>CMS</w:t>
      </w:r>
      <w:r>
        <w:rPr>
          <w:spacing w:val="-3"/>
          <w:sz w:val="22"/>
        </w:rPr>
        <w:t> </w:t>
      </w:r>
      <w:r>
        <w:rPr>
          <w:sz w:val="22"/>
        </w:rPr>
        <w:t>will</w:t>
      </w:r>
      <w:r>
        <w:rPr>
          <w:spacing w:val="-3"/>
          <w:sz w:val="22"/>
        </w:rPr>
        <w:t> </w:t>
      </w:r>
      <w:r>
        <w:rPr>
          <w:sz w:val="22"/>
        </w:rPr>
        <w:t>jointly</w:t>
      </w:r>
      <w:r>
        <w:rPr>
          <w:spacing w:val="-4"/>
          <w:sz w:val="22"/>
        </w:rPr>
        <w:t> </w:t>
      </w:r>
      <w:r>
        <w:rPr>
          <w:sz w:val="22"/>
        </w:rPr>
        <w:t>develop</w:t>
      </w:r>
      <w:r>
        <w:rPr>
          <w:spacing w:val="-4"/>
          <w:sz w:val="22"/>
        </w:rPr>
        <w:t> </w:t>
      </w:r>
      <w:r>
        <w:rPr>
          <w:sz w:val="22"/>
        </w:rPr>
        <w:t>a</w:t>
      </w:r>
      <w:r>
        <w:rPr>
          <w:spacing w:val="-3"/>
          <w:sz w:val="22"/>
        </w:rPr>
        <w:t> </w:t>
      </w:r>
      <w:r>
        <w:rPr>
          <w:sz w:val="22"/>
        </w:rPr>
        <w:t>reporting</w:t>
      </w:r>
      <w:r>
        <w:rPr>
          <w:spacing w:val="-4"/>
          <w:sz w:val="22"/>
        </w:rPr>
        <w:t> </w:t>
      </w:r>
      <w:r>
        <w:rPr>
          <w:sz w:val="22"/>
        </w:rPr>
        <w:t>tool</w:t>
      </w:r>
      <w:r>
        <w:rPr>
          <w:spacing w:val="-1"/>
          <w:sz w:val="22"/>
        </w:rPr>
        <w:t> </w:t>
      </w:r>
      <w:r>
        <w:rPr>
          <w:sz w:val="22"/>
        </w:rPr>
        <w:t>(using</w:t>
      </w:r>
      <w:r>
        <w:rPr>
          <w:spacing w:val="-4"/>
          <w:sz w:val="22"/>
        </w:rPr>
        <w:t> </w:t>
      </w:r>
      <w:r>
        <w:rPr>
          <w:sz w:val="22"/>
        </w:rPr>
        <w:t>a</w:t>
      </w:r>
      <w:r>
        <w:rPr>
          <w:spacing w:val="-2"/>
          <w:sz w:val="22"/>
        </w:rPr>
        <w:t> </w:t>
      </w:r>
      <w:r>
        <w:rPr>
          <w:sz w:val="22"/>
        </w:rPr>
        <w:t>mutually</w:t>
      </w:r>
      <w:r>
        <w:rPr>
          <w:spacing w:val="-4"/>
          <w:sz w:val="22"/>
        </w:rPr>
        <w:t> </w:t>
      </w:r>
      <w:r>
        <w:rPr>
          <w:sz w:val="22"/>
        </w:rPr>
        <w:t>agreeable</w:t>
      </w:r>
      <w:r>
        <w:rPr>
          <w:spacing w:val="-2"/>
          <w:sz w:val="22"/>
        </w:rPr>
        <w:t> </w:t>
      </w:r>
      <w:r>
        <w:rPr>
          <w:sz w:val="22"/>
        </w:rPr>
        <w:t>spreadsheet</w:t>
      </w:r>
      <w:r>
        <w:rPr>
          <w:spacing w:val="-1"/>
          <w:sz w:val="22"/>
        </w:rPr>
        <w:t> </w:t>
      </w:r>
      <w:r>
        <w:rPr>
          <w:sz w:val="22"/>
        </w:rPr>
        <w:t>program) for the State to use for annual PMPM spending demonstration and in other situations when an analysis of ACO-enrolled population PMPM spending is required. A working version of the reporting tool will be available for the State’s report for the fourth quarter of the third Budget Period.</w:t>
      </w:r>
    </w:p>
    <w:p>
      <w:pPr>
        <w:pStyle w:val="ListParagraph"/>
        <w:numPr>
          <w:ilvl w:val="3"/>
          <w:numId w:val="77"/>
        </w:numPr>
        <w:tabs>
          <w:tab w:pos="1938" w:val="left" w:leader="none"/>
        </w:tabs>
        <w:spacing w:line="252" w:lineRule="exact" w:before="200" w:after="0"/>
        <w:ind w:left="1938" w:right="0" w:hanging="719"/>
        <w:jc w:val="both"/>
        <w:rPr>
          <w:b/>
          <w:i/>
          <w:color w:val="4471C4"/>
          <w:sz w:val="22"/>
        </w:rPr>
      </w:pPr>
      <w:bookmarkStart w:name="5.2.1.3 State Accountability Domain 3: O" w:id="1372"/>
      <w:bookmarkEnd w:id="1372"/>
      <w:r>
        <w:rPr/>
      </w:r>
      <w:r>
        <w:rPr>
          <w:b/>
          <w:i/>
          <w:color w:val="4471C4"/>
          <w:sz w:val="22"/>
        </w:rPr>
        <w:t>State</w:t>
      </w:r>
      <w:r>
        <w:rPr>
          <w:b/>
          <w:i/>
          <w:color w:val="4471C4"/>
          <w:spacing w:val="-7"/>
          <w:sz w:val="22"/>
        </w:rPr>
        <w:t> </w:t>
      </w:r>
      <w:r>
        <w:rPr>
          <w:b/>
          <w:i/>
          <w:color w:val="4471C4"/>
          <w:sz w:val="22"/>
        </w:rPr>
        <w:t>Accountability</w:t>
      </w:r>
      <w:r>
        <w:rPr>
          <w:b/>
          <w:i/>
          <w:color w:val="4471C4"/>
          <w:spacing w:val="-5"/>
          <w:sz w:val="22"/>
        </w:rPr>
        <w:t> </w:t>
      </w:r>
      <w:r>
        <w:rPr>
          <w:b/>
          <w:i/>
          <w:color w:val="4471C4"/>
          <w:sz w:val="22"/>
        </w:rPr>
        <w:t>Domain</w:t>
      </w:r>
      <w:r>
        <w:rPr>
          <w:b/>
          <w:i/>
          <w:color w:val="4471C4"/>
          <w:spacing w:val="-6"/>
          <w:sz w:val="22"/>
        </w:rPr>
        <w:t> </w:t>
      </w:r>
      <w:r>
        <w:rPr>
          <w:b/>
          <w:i/>
          <w:color w:val="4471C4"/>
          <w:sz w:val="22"/>
        </w:rPr>
        <w:t>3:</w:t>
      </w:r>
      <w:r>
        <w:rPr>
          <w:b/>
          <w:i/>
          <w:color w:val="4471C4"/>
          <w:spacing w:val="-3"/>
          <w:sz w:val="22"/>
        </w:rPr>
        <w:t> </w:t>
      </w:r>
      <w:r>
        <w:rPr>
          <w:b/>
          <w:i/>
          <w:color w:val="4471C4"/>
          <w:sz w:val="22"/>
        </w:rPr>
        <w:t>Overall</w:t>
      </w:r>
      <w:r>
        <w:rPr>
          <w:b/>
          <w:i/>
          <w:color w:val="4471C4"/>
          <w:spacing w:val="-4"/>
          <w:sz w:val="22"/>
        </w:rPr>
        <w:t> </w:t>
      </w:r>
      <w:r>
        <w:rPr>
          <w:b/>
          <w:i/>
          <w:color w:val="4471C4"/>
          <w:sz w:val="22"/>
        </w:rPr>
        <w:t>Statewide</w:t>
      </w:r>
      <w:r>
        <w:rPr>
          <w:b/>
          <w:i/>
          <w:color w:val="4471C4"/>
          <w:spacing w:val="-5"/>
          <w:sz w:val="22"/>
        </w:rPr>
        <w:t> </w:t>
      </w:r>
      <w:r>
        <w:rPr>
          <w:b/>
          <w:i/>
          <w:color w:val="4471C4"/>
          <w:sz w:val="22"/>
        </w:rPr>
        <w:t>Quality</w:t>
      </w:r>
      <w:r>
        <w:rPr>
          <w:b/>
          <w:i/>
          <w:color w:val="4471C4"/>
          <w:spacing w:val="-4"/>
          <w:sz w:val="22"/>
        </w:rPr>
        <w:t> </w:t>
      </w:r>
      <w:r>
        <w:rPr>
          <w:b/>
          <w:i/>
          <w:color w:val="4471C4"/>
          <w:spacing w:val="-2"/>
          <w:sz w:val="22"/>
        </w:rPr>
        <w:t>Performance</w:t>
      </w:r>
    </w:p>
    <w:p>
      <w:pPr>
        <w:spacing w:before="0"/>
        <w:ind w:left="1219" w:right="1092" w:firstLine="0"/>
        <w:jc w:val="both"/>
        <w:rPr>
          <w:sz w:val="22"/>
        </w:rPr>
      </w:pPr>
      <w:r>
        <w:rPr>
          <w:sz w:val="22"/>
        </w:rPr>
        <w:t>In accordance with STC 71, the State will annually calculate the State performance score for each quality domain</w:t>
      </w:r>
      <w:r>
        <w:rPr>
          <w:spacing w:val="-1"/>
          <w:sz w:val="22"/>
        </w:rPr>
        <w:t> </w:t>
      </w:r>
      <w:r>
        <w:rPr>
          <w:sz w:val="22"/>
        </w:rPr>
        <w:t>by</w:t>
      </w:r>
      <w:r>
        <w:rPr>
          <w:spacing w:val="-4"/>
          <w:sz w:val="22"/>
        </w:rPr>
        <w:t> </w:t>
      </w:r>
      <w:r>
        <w:rPr>
          <w:sz w:val="22"/>
        </w:rPr>
        <w:t>aggregating</w:t>
      </w:r>
      <w:r>
        <w:rPr>
          <w:spacing w:val="-4"/>
          <w:sz w:val="22"/>
        </w:rPr>
        <w:t> </w:t>
      </w:r>
      <w:r>
        <w:rPr>
          <w:sz w:val="22"/>
        </w:rPr>
        <w:t>the</w:t>
      </w:r>
      <w:r>
        <w:rPr>
          <w:spacing w:val="-1"/>
          <w:sz w:val="22"/>
        </w:rPr>
        <w:t> </w:t>
      </w:r>
      <w:r>
        <w:rPr>
          <w:sz w:val="22"/>
        </w:rPr>
        <w:t>performance</w:t>
      </w:r>
      <w:r>
        <w:rPr>
          <w:spacing w:val="-1"/>
          <w:sz w:val="22"/>
        </w:rPr>
        <w:t> </w:t>
      </w:r>
      <w:r>
        <w:rPr>
          <w:sz w:val="22"/>
        </w:rPr>
        <w:t>scores</w:t>
      </w:r>
      <w:r>
        <w:rPr>
          <w:spacing w:val="-1"/>
          <w:sz w:val="22"/>
        </w:rPr>
        <w:t> </w:t>
      </w:r>
      <w:r>
        <w:rPr>
          <w:sz w:val="22"/>
        </w:rPr>
        <w:t>across</w:t>
      </w:r>
      <w:r>
        <w:rPr>
          <w:spacing w:val="-3"/>
          <w:sz w:val="22"/>
        </w:rPr>
        <w:t> </w:t>
      </w:r>
      <w:r>
        <w:rPr>
          <w:sz w:val="22"/>
        </w:rPr>
        <w:t>all ACOs</w:t>
      </w:r>
      <w:r>
        <w:rPr>
          <w:spacing w:val="-1"/>
          <w:sz w:val="22"/>
        </w:rPr>
        <w:t> </w:t>
      </w:r>
      <w:r>
        <w:rPr>
          <w:sz w:val="22"/>
        </w:rPr>
        <w:t>in</w:t>
      </w:r>
      <w:r>
        <w:rPr>
          <w:spacing w:val="-1"/>
          <w:sz w:val="22"/>
        </w:rPr>
        <w:t> </w:t>
      </w:r>
      <w:r>
        <w:rPr>
          <w:sz w:val="22"/>
        </w:rPr>
        <w:t>an</w:t>
      </w:r>
      <w:r>
        <w:rPr>
          <w:spacing w:val="-1"/>
          <w:sz w:val="22"/>
        </w:rPr>
        <w:t> </w:t>
      </w:r>
      <w:r>
        <w:rPr>
          <w:sz w:val="22"/>
        </w:rPr>
        <w:t>unweighted</w:t>
      </w:r>
      <w:r>
        <w:rPr>
          <w:spacing w:val="-4"/>
          <w:sz w:val="22"/>
        </w:rPr>
        <w:t> </w:t>
      </w:r>
      <w:r>
        <w:rPr>
          <w:sz w:val="22"/>
        </w:rPr>
        <w:t>fashion.</w:t>
      </w:r>
      <w:r>
        <w:rPr>
          <w:spacing w:val="-4"/>
          <w:sz w:val="22"/>
        </w:rPr>
        <w:t> </w:t>
      </w:r>
      <w:r>
        <w:rPr>
          <w:sz w:val="22"/>
        </w:rPr>
        <w:t>The</w:t>
      </w:r>
      <w:r>
        <w:rPr>
          <w:spacing w:val="-1"/>
          <w:sz w:val="22"/>
        </w:rPr>
        <w:t> </w:t>
      </w:r>
      <w:r>
        <w:rPr>
          <w:sz w:val="22"/>
        </w:rPr>
        <w:t>anticipated weighting of each domain to the Overall Statewide Quality Performance is detailed in Exhibit 28. The overall DSRIP quality domain score will be determined by calculating a weighted sum of the DSRIP domain</w:t>
      </w:r>
      <w:r>
        <w:rPr>
          <w:spacing w:val="-9"/>
          <w:sz w:val="22"/>
        </w:rPr>
        <w:t> </w:t>
      </w:r>
      <w:r>
        <w:rPr>
          <w:sz w:val="22"/>
        </w:rPr>
        <w:t>scores,</w:t>
      </w:r>
      <w:r>
        <w:rPr>
          <w:spacing w:val="-9"/>
          <w:sz w:val="22"/>
        </w:rPr>
        <w:t> </w:t>
      </w:r>
      <w:r>
        <w:rPr>
          <w:sz w:val="22"/>
        </w:rPr>
        <w:t>according</w:t>
      </w:r>
      <w:r>
        <w:rPr>
          <w:spacing w:val="-11"/>
          <w:sz w:val="22"/>
        </w:rPr>
        <w:t> </w:t>
      </w:r>
      <w:r>
        <w:rPr>
          <w:sz w:val="22"/>
        </w:rPr>
        <w:t>to</w:t>
      </w:r>
      <w:r>
        <w:rPr>
          <w:spacing w:val="-9"/>
          <w:sz w:val="22"/>
        </w:rPr>
        <w:t> </w:t>
      </w:r>
      <w:r>
        <w:rPr>
          <w:sz w:val="22"/>
        </w:rPr>
        <w:t>the</w:t>
      </w:r>
      <w:r>
        <w:rPr>
          <w:spacing w:val="-8"/>
          <w:sz w:val="22"/>
        </w:rPr>
        <w:t> </w:t>
      </w:r>
      <w:r>
        <w:rPr>
          <w:sz w:val="22"/>
        </w:rPr>
        <w:t>domain</w:t>
      </w:r>
      <w:r>
        <w:rPr>
          <w:spacing w:val="-9"/>
          <w:sz w:val="22"/>
        </w:rPr>
        <w:t> </w:t>
      </w:r>
      <w:r>
        <w:rPr>
          <w:sz w:val="22"/>
        </w:rPr>
        <w:t>weights</w:t>
      </w:r>
      <w:r>
        <w:rPr>
          <w:spacing w:val="-8"/>
          <w:sz w:val="22"/>
        </w:rPr>
        <w:t> </w:t>
      </w:r>
      <w:r>
        <w:rPr>
          <w:sz w:val="22"/>
        </w:rPr>
        <w:t>detailed</w:t>
      </w:r>
      <w:r>
        <w:rPr>
          <w:spacing w:val="-9"/>
          <w:sz w:val="22"/>
        </w:rPr>
        <w:t> </w:t>
      </w:r>
      <w:r>
        <w:rPr>
          <w:sz w:val="22"/>
        </w:rPr>
        <w:t>in</w:t>
      </w:r>
      <w:r>
        <w:rPr>
          <w:spacing w:val="-9"/>
          <w:sz w:val="22"/>
        </w:rPr>
        <w:t> </w:t>
      </w:r>
      <w:r>
        <w:rPr>
          <w:sz w:val="22"/>
        </w:rPr>
        <w:t>Exhibit</w:t>
      </w:r>
      <w:r>
        <w:rPr>
          <w:spacing w:val="-8"/>
          <w:sz w:val="22"/>
        </w:rPr>
        <w:t> </w:t>
      </w:r>
      <w:r>
        <w:rPr>
          <w:sz w:val="22"/>
        </w:rPr>
        <w:t>28.</w:t>
      </w:r>
      <w:r>
        <w:rPr>
          <w:spacing w:val="-9"/>
          <w:sz w:val="22"/>
        </w:rPr>
        <w:t> </w:t>
      </w:r>
      <w:r>
        <w:rPr>
          <w:sz w:val="22"/>
        </w:rPr>
        <w:t>Please</w:t>
      </w:r>
      <w:r>
        <w:rPr>
          <w:spacing w:val="-8"/>
          <w:sz w:val="22"/>
        </w:rPr>
        <w:t> </w:t>
      </w:r>
      <w:r>
        <w:rPr>
          <w:sz w:val="22"/>
        </w:rPr>
        <w:t>see</w:t>
      </w:r>
      <w:r>
        <w:rPr>
          <w:spacing w:val="-11"/>
          <w:sz w:val="22"/>
        </w:rPr>
        <w:t> </w:t>
      </w:r>
      <w:r>
        <w:rPr>
          <w:sz w:val="22"/>
        </w:rPr>
        <w:t>Appendix</w:t>
      </w:r>
      <w:r>
        <w:rPr>
          <w:spacing w:val="-9"/>
          <w:sz w:val="22"/>
        </w:rPr>
        <w:t> </w:t>
      </w:r>
      <w:r>
        <w:rPr>
          <w:sz w:val="22"/>
        </w:rPr>
        <w:t>D</w:t>
      </w:r>
      <w:r>
        <w:rPr>
          <w:spacing w:val="-10"/>
          <w:sz w:val="22"/>
        </w:rPr>
        <w:t> </w:t>
      </w:r>
      <w:r>
        <w:rPr>
          <w:sz w:val="22"/>
        </w:rPr>
        <w:t>for</w:t>
      </w:r>
      <w:r>
        <w:rPr>
          <w:spacing w:val="-8"/>
          <w:sz w:val="22"/>
        </w:rPr>
        <w:t> </w:t>
      </w:r>
      <w:r>
        <w:rPr>
          <w:sz w:val="22"/>
        </w:rPr>
        <w:t>example </w:t>
      </w:r>
      <w:r>
        <w:rPr>
          <w:spacing w:val="-2"/>
          <w:sz w:val="22"/>
        </w:rPr>
        <w:t>calculations.</w:t>
      </w:r>
    </w:p>
    <w:p>
      <w:pPr>
        <w:tabs>
          <w:tab w:pos="10579" w:val="left" w:leader="none"/>
        </w:tabs>
        <w:spacing w:before="200"/>
        <w:ind w:left="1219" w:right="0" w:firstLine="0"/>
        <w:jc w:val="both"/>
        <w:rPr>
          <w:sz w:val="22"/>
        </w:rPr>
      </w:pPr>
      <w:r>
        <w:rPr>
          <w:sz w:val="22"/>
          <w:u w:val="single"/>
        </w:rPr>
        <w:t>EXHIBIT</w:t>
      </w:r>
      <w:r>
        <w:rPr>
          <w:spacing w:val="-1"/>
          <w:sz w:val="22"/>
          <w:u w:val="single"/>
        </w:rPr>
        <w:t> </w:t>
      </w:r>
      <w:r>
        <w:rPr>
          <w:sz w:val="22"/>
          <w:u w:val="single"/>
        </w:rPr>
        <w:t>28</w:t>
      </w:r>
      <w:r>
        <w:rPr>
          <w:spacing w:val="-3"/>
          <w:sz w:val="22"/>
          <w:u w:val="single"/>
        </w:rPr>
        <w:t> </w:t>
      </w:r>
      <w:r>
        <w:rPr>
          <w:sz w:val="22"/>
          <w:u w:val="single"/>
        </w:rPr>
        <w:t>–</w:t>
      </w:r>
      <w:r>
        <w:rPr>
          <w:spacing w:val="-3"/>
          <w:sz w:val="22"/>
          <w:u w:val="single"/>
        </w:rPr>
        <w:t> </w:t>
      </w:r>
      <w:r>
        <w:rPr>
          <w:sz w:val="22"/>
          <w:u w:val="single"/>
        </w:rPr>
        <w:t>Anticipated</w:t>
      </w:r>
      <w:r>
        <w:rPr>
          <w:spacing w:val="-8"/>
          <w:sz w:val="22"/>
          <w:u w:val="single"/>
        </w:rPr>
        <w:t> </w:t>
      </w:r>
      <w:r>
        <w:rPr>
          <w:sz w:val="22"/>
          <w:u w:val="single"/>
        </w:rPr>
        <w:t>Weighting</w:t>
      </w:r>
      <w:r>
        <w:rPr>
          <w:spacing w:val="-5"/>
          <w:sz w:val="22"/>
          <w:u w:val="single"/>
        </w:rPr>
        <w:t> </w:t>
      </w:r>
      <w:r>
        <w:rPr>
          <w:sz w:val="22"/>
          <w:u w:val="single"/>
        </w:rPr>
        <w:t>of</w:t>
      </w:r>
      <w:r>
        <w:rPr>
          <w:spacing w:val="-2"/>
          <w:sz w:val="22"/>
          <w:u w:val="single"/>
        </w:rPr>
        <w:t> </w:t>
      </w:r>
      <w:r>
        <w:rPr>
          <w:sz w:val="22"/>
          <w:u w:val="single"/>
        </w:rPr>
        <w:t>State</w:t>
      </w:r>
      <w:r>
        <w:rPr>
          <w:spacing w:val="-3"/>
          <w:sz w:val="22"/>
          <w:u w:val="single"/>
        </w:rPr>
        <w:t> </w:t>
      </w:r>
      <w:r>
        <w:rPr>
          <w:sz w:val="22"/>
          <w:u w:val="single"/>
        </w:rPr>
        <w:t>Quality</w:t>
      </w:r>
      <w:r>
        <w:rPr>
          <w:spacing w:val="-7"/>
          <w:sz w:val="22"/>
          <w:u w:val="single"/>
        </w:rPr>
        <w:t> </w:t>
      </w:r>
      <w:r>
        <w:rPr>
          <w:spacing w:val="-2"/>
          <w:sz w:val="22"/>
          <w:u w:val="single"/>
        </w:rPr>
        <w:t>Domains</w:t>
      </w:r>
      <w:r>
        <w:rPr>
          <w:sz w:val="22"/>
          <w:u w:val="single"/>
        </w:rPr>
        <w:tab/>
      </w:r>
    </w:p>
    <w:p>
      <w:pPr>
        <w:pStyle w:val="BodyText"/>
        <w:spacing w:before="8"/>
      </w:pPr>
    </w:p>
    <w:tbl>
      <w:tblPr>
        <w:tblW w:w="0" w:type="auto"/>
        <w:jc w:val="left"/>
        <w:tblInd w:w="26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902"/>
        <w:gridCol w:w="2356"/>
        <w:gridCol w:w="717"/>
        <w:gridCol w:w="729"/>
        <w:gridCol w:w="899"/>
        <w:gridCol w:w="901"/>
      </w:tblGrid>
      <w:tr>
        <w:trPr>
          <w:trHeight w:val="254" w:hRule="atLeast"/>
        </w:trPr>
        <w:tc>
          <w:tcPr>
            <w:tcW w:w="3258" w:type="dxa"/>
            <w:gridSpan w:val="2"/>
            <w:shd w:val="clear" w:color="auto" w:fill="2E5395"/>
          </w:tcPr>
          <w:p>
            <w:pPr>
              <w:pStyle w:val="TableParagraph"/>
              <w:spacing w:line="233" w:lineRule="exact" w:before="1"/>
              <w:ind w:left="1242" w:right="1231"/>
              <w:jc w:val="center"/>
              <w:rPr>
                <w:b/>
                <w:sz w:val="22"/>
              </w:rPr>
            </w:pPr>
            <w:r>
              <w:rPr>
                <w:b/>
                <w:color w:val="FFFFFF"/>
                <w:spacing w:val="-2"/>
                <w:sz w:val="22"/>
              </w:rPr>
              <w:t>Domain</w:t>
            </w:r>
          </w:p>
        </w:tc>
        <w:tc>
          <w:tcPr>
            <w:tcW w:w="717" w:type="dxa"/>
            <w:shd w:val="clear" w:color="auto" w:fill="2E5395"/>
          </w:tcPr>
          <w:p>
            <w:pPr>
              <w:pStyle w:val="TableParagraph"/>
              <w:spacing w:line="233" w:lineRule="exact" w:before="1"/>
              <w:ind w:left="164"/>
              <w:rPr>
                <w:b/>
                <w:sz w:val="22"/>
              </w:rPr>
            </w:pPr>
            <w:r>
              <w:rPr>
                <w:b/>
                <w:color w:val="FFFFFF"/>
                <w:spacing w:val="-5"/>
                <w:sz w:val="22"/>
              </w:rPr>
              <w:t>BP1</w:t>
            </w:r>
          </w:p>
        </w:tc>
        <w:tc>
          <w:tcPr>
            <w:tcW w:w="729" w:type="dxa"/>
            <w:shd w:val="clear" w:color="auto" w:fill="2E5395"/>
          </w:tcPr>
          <w:p>
            <w:pPr>
              <w:pStyle w:val="TableParagraph"/>
              <w:spacing w:line="233" w:lineRule="exact" w:before="1"/>
              <w:ind w:left="169"/>
              <w:rPr>
                <w:b/>
                <w:sz w:val="22"/>
              </w:rPr>
            </w:pPr>
            <w:r>
              <w:rPr>
                <w:b/>
                <w:color w:val="FFFFFF"/>
                <w:spacing w:val="-5"/>
                <w:sz w:val="22"/>
              </w:rPr>
              <w:t>BP2</w:t>
            </w:r>
          </w:p>
        </w:tc>
        <w:tc>
          <w:tcPr>
            <w:tcW w:w="899" w:type="dxa"/>
            <w:shd w:val="clear" w:color="auto" w:fill="2E5395"/>
          </w:tcPr>
          <w:p>
            <w:pPr>
              <w:pStyle w:val="TableParagraph"/>
              <w:spacing w:line="233" w:lineRule="exact" w:before="1"/>
              <w:ind w:left="157" w:right="140"/>
              <w:jc w:val="center"/>
              <w:rPr>
                <w:b/>
                <w:sz w:val="22"/>
              </w:rPr>
            </w:pPr>
            <w:r>
              <w:rPr>
                <w:b/>
                <w:color w:val="FFFFFF"/>
                <w:spacing w:val="-5"/>
                <w:sz w:val="22"/>
              </w:rPr>
              <w:t>BP3</w:t>
            </w:r>
          </w:p>
        </w:tc>
        <w:tc>
          <w:tcPr>
            <w:tcW w:w="901" w:type="dxa"/>
            <w:shd w:val="clear" w:color="auto" w:fill="2E5395"/>
          </w:tcPr>
          <w:p>
            <w:pPr>
              <w:pStyle w:val="TableParagraph"/>
              <w:spacing w:line="233" w:lineRule="exact" w:before="1"/>
              <w:ind w:left="155" w:right="138"/>
              <w:jc w:val="center"/>
              <w:rPr>
                <w:b/>
                <w:sz w:val="22"/>
              </w:rPr>
            </w:pPr>
            <w:r>
              <w:rPr>
                <w:b/>
                <w:color w:val="FFFFFF"/>
                <w:spacing w:val="-2"/>
                <w:sz w:val="22"/>
              </w:rPr>
              <w:t>BP4-</w:t>
            </w:r>
            <w:r>
              <w:rPr>
                <w:b/>
                <w:color w:val="FFFFFF"/>
                <w:spacing w:val="-10"/>
                <w:sz w:val="22"/>
              </w:rPr>
              <w:t>5</w:t>
            </w:r>
          </w:p>
        </w:tc>
      </w:tr>
      <w:tr>
        <w:trPr>
          <w:trHeight w:val="366" w:hRule="atLeast"/>
        </w:trPr>
        <w:tc>
          <w:tcPr>
            <w:tcW w:w="902" w:type="dxa"/>
            <w:shd w:val="clear" w:color="auto" w:fill="D9E1F3"/>
          </w:tcPr>
          <w:p>
            <w:pPr>
              <w:pStyle w:val="TableParagraph"/>
              <w:rPr>
                <w:sz w:val="20"/>
              </w:rPr>
            </w:pPr>
          </w:p>
        </w:tc>
        <w:tc>
          <w:tcPr>
            <w:tcW w:w="5602" w:type="dxa"/>
            <w:gridSpan w:val="5"/>
            <w:shd w:val="clear" w:color="auto" w:fill="D9E1F3"/>
          </w:tcPr>
          <w:p>
            <w:pPr>
              <w:pStyle w:val="TableParagraph"/>
              <w:spacing w:before="56"/>
              <w:ind w:left="108"/>
              <w:rPr>
                <w:i/>
                <w:sz w:val="22"/>
              </w:rPr>
            </w:pPr>
            <w:r>
              <w:rPr>
                <w:i/>
                <w:sz w:val="22"/>
              </w:rPr>
              <w:t>Clinical</w:t>
            </w:r>
            <w:r>
              <w:rPr>
                <w:i/>
                <w:spacing w:val="-4"/>
                <w:sz w:val="22"/>
              </w:rPr>
              <w:t> </w:t>
            </w:r>
            <w:r>
              <w:rPr>
                <w:i/>
                <w:sz w:val="22"/>
              </w:rPr>
              <w:t>Quality</w:t>
            </w:r>
            <w:r>
              <w:rPr>
                <w:i/>
                <w:spacing w:val="-4"/>
                <w:sz w:val="22"/>
              </w:rPr>
              <w:t> </w:t>
            </w:r>
            <w:r>
              <w:rPr>
                <w:i/>
                <w:spacing w:val="-2"/>
                <w:sz w:val="22"/>
              </w:rPr>
              <w:t>Measures</w:t>
            </w:r>
          </w:p>
        </w:tc>
      </w:tr>
      <w:tr>
        <w:trPr>
          <w:trHeight w:val="251" w:hRule="atLeast"/>
        </w:trPr>
        <w:tc>
          <w:tcPr>
            <w:tcW w:w="3258" w:type="dxa"/>
            <w:gridSpan w:val="2"/>
          </w:tcPr>
          <w:p>
            <w:pPr>
              <w:pStyle w:val="TableParagraph"/>
              <w:spacing w:line="232" w:lineRule="exact"/>
              <w:ind w:left="107"/>
              <w:rPr>
                <w:sz w:val="22"/>
              </w:rPr>
            </w:pPr>
            <w:r>
              <w:rPr>
                <w:sz w:val="22"/>
              </w:rPr>
              <w:t>Prevention</w:t>
            </w:r>
            <w:r>
              <w:rPr>
                <w:spacing w:val="-3"/>
                <w:sz w:val="22"/>
              </w:rPr>
              <w:t> </w:t>
            </w:r>
            <w:r>
              <w:rPr>
                <w:sz w:val="22"/>
              </w:rPr>
              <w:t>&amp;</w:t>
            </w:r>
            <w:r>
              <w:rPr>
                <w:spacing w:val="-4"/>
                <w:sz w:val="22"/>
              </w:rPr>
              <w:t> </w:t>
            </w:r>
            <w:r>
              <w:rPr>
                <w:spacing w:val="-2"/>
                <w:sz w:val="22"/>
              </w:rPr>
              <w:t>Wellness</w:t>
            </w:r>
          </w:p>
        </w:tc>
        <w:tc>
          <w:tcPr>
            <w:tcW w:w="717" w:type="dxa"/>
            <w:vMerge w:val="restart"/>
          </w:tcPr>
          <w:p>
            <w:pPr>
              <w:pStyle w:val="TableParagraph"/>
              <w:spacing w:before="130"/>
              <w:ind w:left="168"/>
              <w:rPr>
                <w:sz w:val="22"/>
              </w:rPr>
            </w:pPr>
            <w:r>
              <w:rPr>
                <w:spacing w:val="-5"/>
                <w:sz w:val="22"/>
              </w:rPr>
              <w:t>N/A</w:t>
            </w:r>
          </w:p>
        </w:tc>
        <w:tc>
          <w:tcPr>
            <w:tcW w:w="729" w:type="dxa"/>
          </w:tcPr>
          <w:p>
            <w:pPr>
              <w:pStyle w:val="TableParagraph"/>
              <w:spacing w:line="232" w:lineRule="exact"/>
              <w:ind w:left="164"/>
              <w:rPr>
                <w:sz w:val="22"/>
              </w:rPr>
            </w:pPr>
            <w:r>
              <w:rPr>
                <w:spacing w:val="-5"/>
                <w:sz w:val="22"/>
              </w:rPr>
              <w:t>85%</w:t>
            </w:r>
          </w:p>
        </w:tc>
        <w:tc>
          <w:tcPr>
            <w:tcW w:w="899" w:type="dxa"/>
          </w:tcPr>
          <w:p>
            <w:pPr>
              <w:pStyle w:val="TableParagraph"/>
              <w:spacing w:line="232" w:lineRule="exact"/>
              <w:ind w:left="157" w:right="143"/>
              <w:jc w:val="center"/>
              <w:rPr>
                <w:sz w:val="22"/>
              </w:rPr>
            </w:pPr>
            <w:r>
              <w:rPr>
                <w:spacing w:val="-5"/>
                <w:sz w:val="22"/>
              </w:rPr>
              <w:t>N/A</w:t>
            </w:r>
          </w:p>
        </w:tc>
        <w:tc>
          <w:tcPr>
            <w:tcW w:w="901" w:type="dxa"/>
          </w:tcPr>
          <w:p>
            <w:pPr>
              <w:pStyle w:val="TableParagraph"/>
              <w:spacing w:line="232" w:lineRule="exact"/>
              <w:ind w:left="152" w:right="138"/>
              <w:jc w:val="center"/>
              <w:rPr>
                <w:sz w:val="22"/>
              </w:rPr>
            </w:pPr>
            <w:r>
              <w:rPr>
                <w:spacing w:val="-5"/>
                <w:sz w:val="22"/>
              </w:rPr>
              <w:t>45%</w:t>
            </w:r>
          </w:p>
        </w:tc>
      </w:tr>
      <w:tr>
        <w:trPr>
          <w:trHeight w:val="253" w:hRule="atLeast"/>
        </w:trPr>
        <w:tc>
          <w:tcPr>
            <w:tcW w:w="3258" w:type="dxa"/>
            <w:gridSpan w:val="2"/>
          </w:tcPr>
          <w:p>
            <w:pPr>
              <w:pStyle w:val="TableParagraph"/>
              <w:spacing w:line="234" w:lineRule="exact"/>
              <w:ind w:left="107"/>
              <w:rPr>
                <w:sz w:val="22"/>
              </w:rPr>
            </w:pPr>
            <w:r>
              <w:rPr>
                <w:sz w:val="22"/>
              </w:rPr>
              <w:t>Care</w:t>
            </w:r>
            <w:r>
              <w:rPr>
                <w:spacing w:val="-3"/>
                <w:sz w:val="22"/>
              </w:rPr>
              <w:t> </w:t>
            </w:r>
            <w:r>
              <w:rPr>
                <w:spacing w:val="-2"/>
                <w:sz w:val="22"/>
              </w:rPr>
              <w:t>Integration</w:t>
            </w:r>
          </w:p>
        </w:tc>
        <w:tc>
          <w:tcPr>
            <w:tcW w:w="717" w:type="dxa"/>
            <w:vMerge/>
            <w:tcBorders>
              <w:top w:val="nil"/>
            </w:tcBorders>
          </w:tcPr>
          <w:p>
            <w:pPr>
              <w:rPr>
                <w:sz w:val="2"/>
                <w:szCs w:val="2"/>
              </w:rPr>
            </w:pPr>
          </w:p>
        </w:tc>
        <w:tc>
          <w:tcPr>
            <w:tcW w:w="729" w:type="dxa"/>
          </w:tcPr>
          <w:p>
            <w:pPr>
              <w:pStyle w:val="TableParagraph"/>
              <w:spacing w:line="234" w:lineRule="exact"/>
              <w:ind w:left="176"/>
              <w:rPr>
                <w:sz w:val="22"/>
              </w:rPr>
            </w:pPr>
            <w:r>
              <w:rPr>
                <w:spacing w:val="-5"/>
                <w:sz w:val="22"/>
              </w:rPr>
              <w:t>N/A</w:t>
            </w:r>
          </w:p>
        </w:tc>
        <w:tc>
          <w:tcPr>
            <w:tcW w:w="899" w:type="dxa"/>
          </w:tcPr>
          <w:p>
            <w:pPr>
              <w:pStyle w:val="TableParagraph"/>
              <w:spacing w:line="234" w:lineRule="exact"/>
              <w:ind w:left="157" w:right="143"/>
              <w:jc w:val="center"/>
              <w:rPr>
                <w:sz w:val="22"/>
              </w:rPr>
            </w:pPr>
            <w:r>
              <w:rPr>
                <w:spacing w:val="-5"/>
                <w:sz w:val="22"/>
              </w:rPr>
              <w:t>N/A</w:t>
            </w:r>
          </w:p>
        </w:tc>
        <w:tc>
          <w:tcPr>
            <w:tcW w:w="901" w:type="dxa"/>
          </w:tcPr>
          <w:p>
            <w:pPr>
              <w:pStyle w:val="TableParagraph"/>
              <w:spacing w:line="234" w:lineRule="exact"/>
              <w:ind w:left="152" w:right="138"/>
              <w:jc w:val="center"/>
              <w:rPr>
                <w:sz w:val="22"/>
              </w:rPr>
            </w:pPr>
            <w:r>
              <w:rPr>
                <w:spacing w:val="-5"/>
                <w:sz w:val="22"/>
              </w:rPr>
              <w:t>40%</w:t>
            </w:r>
          </w:p>
        </w:tc>
      </w:tr>
      <w:tr>
        <w:trPr>
          <w:trHeight w:val="366" w:hRule="atLeast"/>
        </w:trPr>
        <w:tc>
          <w:tcPr>
            <w:tcW w:w="902" w:type="dxa"/>
            <w:shd w:val="clear" w:color="auto" w:fill="D9E1F3"/>
          </w:tcPr>
          <w:p>
            <w:pPr>
              <w:pStyle w:val="TableParagraph"/>
              <w:rPr>
                <w:sz w:val="20"/>
              </w:rPr>
            </w:pPr>
          </w:p>
        </w:tc>
        <w:tc>
          <w:tcPr>
            <w:tcW w:w="5602" w:type="dxa"/>
            <w:gridSpan w:val="5"/>
            <w:shd w:val="clear" w:color="auto" w:fill="D9E1F3"/>
          </w:tcPr>
          <w:p>
            <w:pPr>
              <w:pStyle w:val="TableParagraph"/>
              <w:spacing w:before="56"/>
              <w:ind w:left="108"/>
              <w:rPr>
                <w:i/>
                <w:sz w:val="22"/>
              </w:rPr>
            </w:pPr>
            <w:r>
              <w:rPr>
                <w:i/>
                <w:sz w:val="22"/>
              </w:rPr>
              <w:t>Patient</w:t>
            </w:r>
            <w:r>
              <w:rPr>
                <w:i/>
                <w:spacing w:val="-4"/>
                <w:sz w:val="22"/>
              </w:rPr>
              <w:t> </w:t>
            </w:r>
            <w:r>
              <w:rPr>
                <w:i/>
                <w:sz w:val="22"/>
              </w:rPr>
              <w:t>Experience</w:t>
            </w:r>
            <w:r>
              <w:rPr>
                <w:i/>
                <w:spacing w:val="-4"/>
                <w:sz w:val="22"/>
              </w:rPr>
              <w:t> </w:t>
            </w:r>
            <w:r>
              <w:rPr>
                <w:i/>
                <w:spacing w:val="-2"/>
                <w:sz w:val="22"/>
              </w:rPr>
              <w:t>Surveys</w:t>
            </w:r>
          </w:p>
        </w:tc>
      </w:tr>
      <w:tr>
        <w:trPr>
          <w:trHeight w:val="251" w:hRule="atLeast"/>
        </w:trPr>
        <w:tc>
          <w:tcPr>
            <w:tcW w:w="3258" w:type="dxa"/>
            <w:gridSpan w:val="2"/>
          </w:tcPr>
          <w:p>
            <w:pPr>
              <w:pStyle w:val="TableParagraph"/>
              <w:spacing w:line="232" w:lineRule="exact"/>
              <w:ind w:left="107"/>
              <w:rPr>
                <w:sz w:val="22"/>
              </w:rPr>
            </w:pPr>
            <w:r>
              <w:rPr>
                <w:sz w:val="22"/>
              </w:rPr>
              <w:t>Overall</w:t>
            </w:r>
            <w:r>
              <w:rPr>
                <w:spacing w:val="-2"/>
                <w:sz w:val="22"/>
              </w:rPr>
              <w:t> </w:t>
            </w:r>
            <w:r>
              <w:rPr>
                <w:sz w:val="22"/>
              </w:rPr>
              <w:t>Rating</w:t>
            </w:r>
            <w:r>
              <w:rPr>
                <w:spacing w:val="-5"/>
                <w:sz w:val="22"/>
              </w:rPr>
              <w:t> </w:t>
            </w:r>
            <w:r>
              <w:rPr>
                <w:sz w:val="22"/>
              </w:rPr>
              <w:t>and</w:t>
            </w:r>
            <w:r>
              <w:rPr>
                <w:spacing w:val="-3"/>
                <w:sz w:val="22"/>
              </w:rPr>
              <w:t> </w:t>
            </w:r>
            <w:r>
              <w:rPr>
                <w:sz w:val="22"/>
              </w:rPr>
              <w:t>Care</w:t>
            </w:r>
            <w:r>
              <w:rPr>
                <w:spacing w:val="-4"/>
                <w:sz w:val="22"/>
              </w:rPr>
              <w:t> </w:t>
            </w:r>
            <w:r>
              <w:rPr>
                <w:spacing w:val="-2"/>
                <w:sz w:val="22"/>
              </w:rPr>
              <w:t>Delivery</w:t>
            </w:r>
          </w:p>
        </w:tc>
        <w:tc>
          <w:tcPr>
            <w:tcW w:w="717" w:type="dxa"/>
          </w:tcPr>
          <w:p>
            <w:pPr>
              <w:pStyle w:val="TableParagraph"/>
              <w:spacing w:line="232" w:lineRule="exact"/>
              <w:ind w:left="168"/>
              <w:rPr>
                <w:sz w:val="22"/>
              </w:rPr>
            </w:pPr>
            <w:r>
              <w:rPr>
                <w:spacing w:val="-5"/>
                <w:sz w:val="22"/>
              </w:rPr>
              <w:t>N/A</w:t>
            </w:r>
          </w:p>
        </w:tc>
        <w:tc>
          <w:tcPr>
            <w:tcW w:w="729" w:type="dxa"/>
          </w:tcPr>
          <w:p>
            <w:pPr>
              <w:pStyle w:val="TableParagraph"/>
              <w:spacing w:line="232" w:lineRule="exact"/>
              <w:ind w:left="164"/>
              <w:rPr>
                <w:sz w:val="22"/>
              </w:rPr>
            </w:pPr>
            <w:r>
              <w:rPr>
                <w:spacing w:val="-5"/>
                <w:sz w:val="22"/>
              </w:rPr>
              <w:t>15%</w:t>
            </w:r>
          </w:p>
        </w:tc>
        <w:tc>
          <w:tcPr>
            <w:tcW w:w="899" w:type="dxa"/>
          </w:tcPr>
          <w:p>
            <w:pPr>
              <w:pStyle w:val="TableParagraph"/>
              <w:spacing w:line="232" w:lineRule="exact"/>
              <w:ind w:left="157" w:right="143"/>
              <w:jc w:val="center"/>
              <w:rPr>
                <w:sz w:val="22"/>
              </w:rPr>
            </w:pPr>
            <w:r>
              <w:rPr>
                <w:spacing w:val="-5"/>
                <w:sz w:val="22"/>
              </w:rPr>
              <w:t>N/A</w:t>
            </w:r>
          </w:p>
        </w:tc>
        <w:tc>
          <w:tcPr>
            <w:tcW w:w="901" w:type="dxa"/>
          </w:tcPr>
          <w:p>
            <w:pPr>
              <w:pStyle w:val="TableParagraph"/>
              <w:spacing w:line="232" w:lineRule="exact"/>
              <w:ind w:left="154" w:right="138"/>
              <w:jc w:val="center"/>
              <w:rPr>
                <w:sz w:val="22"/>
              </w:rPr>
            </w:pPr>
            <w:r>
              <w:rPr>
                <w:spacing w:val="-4"/>
                <w:sz w:val="22"/>
              </w:rPr>
              <w:t>7.5%</w:t>
            </w:r>
          </w:p>
        </w:tc>
      </w:tr>
      <w:tr>
        <w:trPr>
          <w:trHeight w:val="253" w:hRule="atLeast"/>
        </w:trPr>
        <w:tc>
          <w:tcPr>
            <w:tcW w:w="3258" w:type="dxa"/>
            <w:gridSpan w:val="2"/>
          </w:tcPr>
          <w:p>
            <w:pPr>
              <w:pStyle w:val="TableParagraph"/>
              <w:spacing w:line="234" w:lineRule="exact"/>
              <w:ind w:left="107"/>
              <w:rPr>
                <w:sz w:val="22"/>
              </w:rPr>
            </w:pPr>
            <w:r>
              <w:rPr>
                <w:sz w:val="22"/>
              </w:rPr>
              <w:t>Person-centered</w:t>
            </w:r>
            <w:r>
              <w:rPr>
                <w:spacing w:val="-11"/>
                <w:sz w:val="22"/>
              </w:rPr>
              <w:t> </w:t>
            </w:r>
            <w:r>
              <w:rPr>
                <w:sz w:val="22"/>
              </w:rPr>
              <w:t>Integrated</w:t>
            </w:r>
            <w:r>
              <w:rPr>
                <w:spacing w:val="-9"/>
                <w:sz w:val="22"/>
              </w:rPr>
              <w:t> </w:t>
            </w:r>
            <w:r>
              <w:rPr>
                <w:spacing w:val="-4"/>
                <w:sz w:val="22"/>
              </w:rPr>
              <w:t>Care</w:t>
            </w:r>
          </w:p>
        </w:tc>
        <w:tc>
          <w:tcPr>
            <w:tcW w:w="717" w:type="dxa"/>
          </w:tcPr>
          <w:p>
            <w:pPr>
              <w:pStyle w:val="TableParagraph"/>
              <w:spacing w:line="234" w:lineRule="exact"/>
              <w:ind w:left="168"/>
              <w:rPr>
                <w:sz w:val="22"/>
              </w:rPr>
            </w:pPr>
            <w:r>
              <w:rPr>
                <w:spacing w:val="-5"/>
                <w:sz w:val="22"/>
              </w:rPr>
              <w:t>N/A</w:t>
            </w:r>
          </w:p>
        </w:tc>
        <w:tc>
          <w:tcPr>
            <w:tcW w:w="729" w:type="dxa"/>
          </w:tcPr>
          <w:p>
            <w:pPr>
              <w:pStyle w:val="TableParagraph"/>
              <w:spacing w:line="234" w:lineRule="exact"/>
              <w:ind w:left="176"/>
              <w:rPr>
                <w:sz w:val="22"/>
              </w:rPr>
            </w:pPr>
            <w:r>
              <w:rPr>
                <w:spacing w:val="-5"/>
                <w:sz w:val="22"/>
              </w:rPr>
              <w:t>N/A</w:t>
            </w:r>
          </w:p>
        </w:tc>
        <w:tc>
          <w:tcPr>
            <w:tcW w:w="899" w:type="dxa"/>
          </w:tcPr>
          <w:p>
            <w:pPr>
              <w:pStyle w:val="TableParagraph"/>
              <w:spacing w:line="234" w:lineRule="exact"/>
              <w:ind w:left="157" w:right="143"/>
              <w:jc w:val="center"/>
              <w:rPr>
                <w:sz w:val="22"/>
              </w:rPr>
            </w:pPr>
            <w:r>
              <w:rPr>
                <w:spacing w:val="-5"/>
                <w:sz w:val="22"/>
              </w:rPr>
              <w:t>N/A</w:t>
            </w:r>
          </w:p>
        </w:tc>
        <w:tc>
          <w:tcPr>
            <w:tcW w:w="901" w:type="dxa"/>
          </w:tcPr>
          <w:p>
            <w:pPr>
              <w:pStyle w:val="TableParagraph"/>
              <w:spacing w:line="234" w:lineRule="exact"/>
              <w:ind w:left="154" w:right="138"/>
              <w:jc w:val="center"/>
              <w:rPr>
                <w:sz w:val="22"/>
              </w:rPr>
            </w:pPr>
            <w:r>
              <w:rPr>
                <w:spacing w:val="-4"/>
                <w:sz w:val="22"/>
              </w:rPr>
              <w:t>7.5%</w:t>
            </w:r>
          </w:p>
        </w:tc>
      </w:tr>
    </w:tbl>
    <w:p>
      <w:pPr>
        <w:pStyle w:val="BodyText"/>
      </w:pPr>
    </w:p>
    <w:p>
      <w:pPr>
        <w:spacing w:before="0"/>
        <w:ind w:left="1220" w:right="1111" w:firstLine="0"/>
        <w:jc w:val="left"/>
        <w:rPr>
          <w:i/>
          <w:sz w:val="22"/>
        </w:rPr>
      </w:pPr>
      <w:r>
        <w:rPr>
          <w:i/>
          <w:sz w:val="22"/>
        </w:rPr>
        <w:t>N/A</w:t>
      </w:r>
      <w:r>
        <w:rPr>
          <w:i/>
          <w:spacing w:val="-3"/>
          <w:sz w:val="22"/>
        </w:rPr>
        <w:t> </w:t>
      </w:r>
      <w:r>
        <w:rPr>
          <w:i/>
          <w:sz w:val="22"/>
        </w:rPr>
        <w:t>–</w:t>
      </w:r>
      <w:r>
        <w:rPr>
          <w:i/>
          <w:spacing w:val="-2"/>
          <w:sz w:val="22"/>
        </w:rPr>
        <w:t> </w:t>
      </w:r>
      <w:r>
        <w:rPr>
          <w:i/>
          <w:sz w:val="22"/>
        </w:rPr>
        <w:t>indicates</w:t>
      </w:r>
      <w:r>
        <w:rPr>
          <w:i/>
          <w:spacing w:val="-2"/>
          <w:sz w:val="22"/>
        </w:rPr>
        <w:t> </w:t>
      </w:r>
      <w:r>
        <w:rPr>
          <w:i/>
          <w:sz w:val="22"/>
        </w:rPr>
        <w:t>no</w:t>
      </w:r>
      <w:r>
        <w:rPr>
          <w:i/>
          <w:spacing w:val="-2"/>
          <w:sz w:val="22"/>
        </w:rPr>
        <w:t> </w:t>
      </w:r>
      <w:r>
        <w:rPr>
          <w:i/>
          <w:sz w:val="22"/>
        </w:rPr>
        <w:t>quality</w:t>
      </w:r>
      <w:r>
        <w:rPr>
          <w:i/>
          <w:spacing w:val="-4"/>
          <w:sz w:val="22"/>
        </w:rPr>
        <w:t> </w:t>
      </w:r>
      <w:r>
        <w:rPr>
          <w:i/>
          <w:sz w:val="22"/>
        </w:rPr>
        <w:t>measures</w:t>
      </w:r>
      <w:r>
        <w:rPr>
          <w:i/>
          <w:spacing w:val="-2"/>
          <w:sz w:val="22"/>
        </w:rPr>
        <w:t> </w:t>
      </w:r>
      <w:r>
        <w:rPr>
          <w:i/>
          <w:sz w:val="22"/>
        </w:rPr>
        <w:t>are</w:t>
      </w:r>
      <w:r>
        <w:rPr>
          <w:i/>
          <w:spacing w:val="-2"/>
          <w:sz w:val="22"/>
        </w:rPr>
        <w:t> </w:t>
      </w:r>
      <w:r>
        <w:rPr>
          <w:i/>
          <w:sz w:val="22"/>
        </w:rPr>
        <w:t>in</w:t>
      </w:r>
      <w:r>
        <w:rPr>
          <w:i/>
          <w:spacing w:val="-2"/>
          <w:sz w:val="22"/>
        </w:rPr>
        <w:t> </w:t>
      </w:r>
      <w:r>
        <w:rPr>
          <w:i/>
          <w:sz w:val="22"/>
        </w:rPr>
        <w:t>Pay-for-Performance</w:t>
      </w:r>
      <w:r>
        <w:rPr>
          <w:i/>
          <w:spacing w:val="-2"/>
          <w:sz w:val="22"/>
        </w:rPr>
        <w:t> </w:t>
      </w:r>
      <w:r>
        <w:rPr>
          <w:i/>
          <w:sz w:val="22"/>
        </w:rPr>
        <w:t>(P4P)</w:t>
      </w:r>
      <w:r>
        <w:rPr>
          <w:i/>
          <w:spacing w:val="-4"/>
          <w:sz w:val="22"/>
        </w:rPr>
        <w:t> </w:t>
      </w:r>
      <w:r>
        <w:rPr>
          <w:i/>
          <w:sz w:val="22"/>
        </w:rPr>
        <w:t>and</w:t>
      </w:r>
      <w:r>
        <w:rPr>
          <w:i/>
          <w:spacing w:val="-2"/>
          <w:sz w:val="22"/>
        </w:rPr>
        <w:t> </w:t>
      </w:r>
      <w:r>
        <w:rPr>
          <w:i/>
          <w:sz w:val="22"/>
        </w:rPr>
        <w:t>do</w:t>
      </w:r>
      <w:r>
        <w:rPr>
          <w:i/>
          <w:spacing w:val="-5"/>
          <w:sz w:val="22"/>
        </w:rPr>
        <w:t> </w:t>
      </w:r>
      <w:r>
        <w:rPr>
          <w:i/>
          <w:sz w:val="22"/>
        </w:rPr>
        <w:t>not</w:t>
      </w:r>
      <w:r>
        <w:rPr>
          <w:i/>
          <w:spacing w:val="-1"/>
          <w:sz w:val="22"/>
        </w:rPr>
        <w:t> </w:t>
      </w:r>
      <w:r>
        <w:rPr>
          <w:i/>
          <w:sz w:val="22"/>
        </w:rPr>
        <w:t>factor</w:t>
      </w:r>
      <w:r>
        <w:rPr>
          <w:i/>
          <w:spacing w:val="-2"/>
          <w:sz w:val="22"/>
        </w:rPr>
        <w:t> </w:t>
      </w:r>
      <w:r>
        <w:rPr>
          <w:i/>
          <w:sz w:val="22"/>
        </w:rPr>
        <w:t>into</w:t>
      </w:r>
      <w:r>
        <w:rPr>
          <w:i/>
          <w:spacing w:val="-5"/>
          <w:sz w:val="22"/>
        </w:rPr>
        <w:t> </w:t>
      </w:r>
      <w:r>
        <w:rPr>
          <w:i/>
          <w:sz w:val="22"/>
        </w:rPr>
        <w:t>the</w:t>
      </w:r>
      <w:r>
        <w:rPr>
          <w:i/>
          <w:spacing w:val="-2"/>
          <w:sz w:val="22"/>
        </w:rPr>
        <w:t> </w:t>
      </w:r>
      <w:r>
        <w:rPr>
          <w:i/>
          <w:sz w:val="22"/>
        </w:rPr>
        <w:t>State</w:t>
      </w:r>
      <w:r>
        <w:rPr>
          <w:i/>
          <w:sz w:val="22"/>
        </w:rPr>
        <w:t> Accountability scoring.</w:t>
      </w:r>
    </w:p>
    <w:p>
      <w:pPr>
        <w:pStyle w:val="BodyText"/>
        <w:spacing w:before="8"/>
        <w:rPr>
          <w:i/>
          <w:sz w:val="21"/>
        </w:rPr>
      </w:pPr>
      <w:r>
        <w:rPr/>
        <mc:AlternateContent>
          <mc:Choice Requires="wps">
            <w:drawing>
              <wp:anchor distT="0" distB="0" distL="0" distR="0" allowOverlap="1" layoutInCell="1" locked="0" behindDoc="1" simplePos="0" relativeHeight="488008192">
                <wp:simplePos x="0" y="0"/>
                <wp:positionH relativeFrom="page">
                  <wp:posOffset>905255</wp:posOffset>
                </wp:positionH>
                <wp:positionV relativeFrom="paragraph">
                  <wp:posOffset>173659</wp:posOffset>
                </wp:positionV>
                <wp:extent cx="5953125" cy="6350"/>
                <wp:effectExtent l="0" t="0" r="0" b="0"/>
                <wp:wrapTopAndBottom/>
                <wp:docPr id="879" name="Graphic 879"/>
                <wp:cNvGraphicFramePr>
                  <a:graphicFrameLocks/>
                </wp:cNvGraphicFramePr>
                <a:graphic>
                  <a:graphicData uri="http://schemas.microsoft.com/office/word/2010/wordprocessingShape">
                    <wps:wsp>
                      <wps:cNvPr id="879" name="Graphic 879"/>
                      <wps:cNvSpPr/>
                      <wps:spPr>
                        <a:xfrm>
                          <a:off x="0" y="0"/>
                          <a:ext cx="5953125" cy="6350"/>
                        </a:xfrm>
                        <a:custGeom>
                          <a:avLst/>
                          <a:gdLst/>
                          <a:ahLst/>
                          <a:cxnLst/>
                          <a:rect l="l" t="t" r="r" b="b"/>
                          <a:pathLst>
                            <a:path w="5953125" h="6350">
                              <a:moveTo>
                                <a:pt x="5952744" y="0"/>
                              </a:moveTo>
                              <a:lnTo>
                                <a:pt x="0" y="0"/>
                              </a:lnTo>
                              <a:lnTo>
                                <a:pt x="0" y="6096"/>
                              </a:lnTo>
                              <a:lnTo>
                                <a:pt x="5952744" y="6096"/>
                              </a:lnTo>
                              <a:lnTo>
                                <a:pt x="5952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1.279999pt;margin-top:13.673975pt;width:468.72pt;height:.48pt;mso-position-horizontal-relative:page;mso-position-vertical-relative:paragraph;z-index:-15308288;mso-wrap-distance-left:0;mso-wrap-distance-right:0" id="docshape96" filled="true" fillcolor="#000000" stroked="false">
                <v:fill type="solid"/>
                <w10:wrap type="topAndBottom"/>
              </v:rect>
            </w:pict>
          </mc:Fallback>
        </mc:AlternateContent>
      </w:r>
    </w:p>
    <w:p>
      <w:pPr>
        <w:spacing w:before="0"/>
        <w:ind w:left="1220" w:right="1126" w:firstLine="0"/>
        <w:jc w:val="left"/>
        <w:rPr>
          <w:sz w:val="22"/>
        </w:rPr>
      </w:pPr>
      <w:r>
        <w:rPr>
          <w:sz w:val="22"/>
        </w:rPr>
        <w:t>The</w:t>
      </w:r>
      <w:r>
        <w:rPr>
          <w:spacing w:val="-4"/>
          <w:sz w:val="22"/>
        </w:rPr>
        <w:t> </w:t>
      </w:r>
      <w:r>
        <w:rPr>
          <w:sz w:val="22"/>
        </w:rPr>
        <w:t>measures</w:t>
      </w:r>
      <w:r>
        <w:rPr>
          <w:spacing w:val="-4"/>
          <w:sz w:val="22"/>
        </w:rPr>
        <w:t> </w:t>
      </w:r>
      <w:r>
        <w:rPr>
          <w:sz w:val="22"/>
        </w:rPr>
        <w:t>within</w:t>
      </w:r>
      <w:r>
        <w:rPr>
          <w:spacing w:val="-5"/>
          <w:sz w:val="22"/>
        </w:rPr>
        <w:t> </w:t>
      </w:r>
      <w:r>
        <w:rPr>
          <w:sz w:val="22"/>
        </w:rPr>
        <w:t>the</w:t>
      </w:r>
      <w:r>
        <w:rPr>
          <w:spacing w:val="-4"/>
          <w:sz w:val="22"/>
        </w:rPr>
        <w:t> </w:t>
      </w:r>
      <w:r>
        <w:rPr>
          <w:sz w:val="22"/>
        </w:rPr>
        <w:t>domains</w:t>
      </w:r>
      <w:r>
        <w:rPr>
          <w:spacing w:val="-2"/>
          <w:sz w:val="22"/>
        </w:rPr>
        <w:t> </w:t>
      </w:r>
      <w:r>
        <w:rPr>
          <w:sz w:val="22"/>
        </w:rPr>
        <w:t>are</w:t>
      </w:r>
      <w:r>
        <w:rPr>
          <w:spacing w:val="-4"/>
          <w:sz w:val="22"/>
        </w:rPr>
        <w:t> </w:t>
      </w:r>
      <w:r>
        <w:rPr>
          <w:sz w:val="22"/>
        </w:rPr>
        <w:t>the</w:t>
      </w:r>
      <w:r>
        <w:rPr>
          <w:spacing w:val="-4"/>
          <w:sz w:val="22"/>
        </w:rPr>
        <w:t> </w:t>
      </w:r>
      <w:r>
        <w:rPr>
          <w:sz w:val="22"/>
        </w:rPr>
        <w:t>same</w:t>
      </w:r>
      <w:r>
        <w:rPr>
          <w:spacing w:val="-2"/>
          <w:sz w:val="22"/>
        </w:rPr>
        <w:t> </w:t>
      </w:r>
      <w:r>
        <w:rPr>
          <w:sz w:val="22"/>
        </w:rPr>
        <w:t>measures</w:t>
      </w:r>
      <w:r>
        <w:rPr>
          <w:spacing w:val="-2"/>
          <w:sz w:val="22"/>
        </w:rPr>
        <w:t> </w:t>
      </w:r>
      <w:r>
        <w:rPr>
          <w:sz w:val="22"/>
        </w:rPr>
        <w:t>for</w:t>
      </w:r>
      <w:r>
        <w:rPr>
          <w:spacing w:val="-1"/>
          <w:sz w:val="22"/>
        </w:rPr>
        <w:t> </w:t>
      </w:r>
      <w:r>
        <w:rPr>
          <w:sz w:val="22"/>
        </w:rPr>
        <w:t>the</w:t>
      </w:r>
      <w:r>
        <w:rPr>
          <w:spacing w:val="-2"/>
          <w:sz w:val="22"/>
        </w:rPr>
        <w:t> </w:t>
      </w:r>
      <w:r>
        <w:rPr>
          <w:sz w:val="22"/>
        </w:rPr>
        <w:t>State</w:t>
      </w:r>
      <w:r>
        <w:rPr>
          <w:spacing w:val="-2"/>
          <w:sz w:val="22"/>
        </w:rPr>
        <w:t> </w:t>
      </w:r>
      <w:r>
        <w:rPr>
          <w:sz w:val="22"/>
        </w:rPr>
        <w:t>as</w:t>
      </w:r>
      <w:r>
        <w:rPr>
          <w:spacing w:val="-4"/>
          <w:sz w:val="22"/>
        </w:rPr>
        <w:t> </w:t>
      </w:r>
      <w:r>
        <w:rPr>
          <w:sz w:val="22"/>
        </w:rPr>
        <w:t>for</w:t>
      </w:r>
      <w:r>
        <w:rPr>
          <w:spacing w:val="-1"/>
          <w:sz w:val="22"/>
        </w:rPr>
        <w:t> </w:t>
      </w:r>
      <w:r>
        <w:rPr>
          <w:sz w:val="22"/>
        </w:rPr>
        <w:t>the</w:t>
      </w:r>
      <w:r>
        <w:rPr>
          <w:spacing w:val="-2"/>
          <w:sz w:val="22"/>
        </w:rPr>
        <w:t> </w:t>
      </w:r>
      <w:r>
        <w:rPr>
          <w:sz w:val="22"/>
        </w:rPr>
        <w:t>ACOs</w:t>
      </w:r>
      <w:r>
        <w:rPr>
          <w:spacing w:val="-2"/>
          <w:sz w:val="22"/>
        </w:rPr>
        <w:t> </w:t>
      </w:r>
      <w:r>
        <w:rPr>
          <w:sz w:val="22"/>
        </w:rPr>
        <w:t>(i.e.,</w:t>
      </w:r>
      <w:r>
        <w:rPr>
          <w:spacing w:val="-2"/>
          <w:sz w:val="22"/>
        </w:rPr>
        <w:t> </w:t>
      </w:r>
      <w:r>
        <w:rPr>
          <w:sz w:val="22"/>
        </w:rPr>
        <w:t>Appendix</w:t>
      </w:r>
      <w:r>
        <w:rPr>
          <w:spacing w:val="-2"/>
          <w:sz w:val="22"/>
        </w:rPr>
        <w:t> </w:t>
      </w:r>
      <w:r>
        <w:rPr>
          <w:sz w:val="22"/>
        </w:rPr>
        <w:t>D). For an ACO, measures within a given domain all contribute to that ACO's domain score equally (unless otherwise indicated in Appendix D).</w:t>
      </w:r>
      <w:r>
        <w:rPr>
          <w:spacing w:val="40"/>
          <w:sz w:val="22"/>
        </w:rPr>
        <w:t> </w:t>
      </w:r>
      <w:r>
        <w:rPr>
          <w:sz w:val="22"/>
        </w:rPr>
        <w:t>For the State Accountability Domain Scores, ACO domain scores are aggregated across all ACOs, where each ACO domain score contributes to its associated State Accountability Domain Score equally.</w:t>
      </w:r>
    </w:p>
    <w:p>
      <w:pPr>
        <w:spacing w:before="200"/>
        <w:ind w:left="1220" w:right="0" w:firstLine="0"/>
        <w:jc w:val="left"/>
        <w:rPr>
          <w:i/>
          <w:sz w:val="22"/>
        </w:rPr>
      </w:pPr>
      <w:bookmarkStart w:name="Scoring for All Domains" w:id="1373"/>
      <w:bookmarkEnd w:id="1373"/>
      <w:r>
        <w:rPr/>
      </w:r>
      <w:r>
        <w:rPr>
          <w:i/>
          <w:color w:val="1F3762"/>
          <w:sz w:val="22"/>
        </w:rPr>
        <w:t>Scoring</w:t>
      </w:r>
      <w:r>
        <w:rPr>
          <w:i/>
          <w:color w:val="1F3762"/>
          <w:spacing w:val="-3"/>
          <w:sz w:val="22"/>
        </w:rPr>
        <w:t> </w:t>
      </w:r>
      <w:r>
        <w:rPr>
          <w:i/>
          <w:color w:val="1F3762"/>
          <w:sz w:val="22"/>
        </w:rPr>
        <w:t>for</w:t>
      </w:r>
      <w:r>
        <w:rPr>
          <w:i/>
          <w:color w:val="1F3762"/>
          <w:spacing w:val="-3"/>
          <w:sz w:val="22"/>
        </w:rPr>
        <w:t> </w:t>
      </w:r>
      <w:r>
        <w:rPr>
          <w:i/>
          <w:color w:val="1F3762"/>
          <w:sz w:val="22"/>
        </w:rPr>
        <w:t>All</w:t>
      </w:r>
      <w:r>
        <w:rPr>
          <w:i/>
          <w:color w:val="1F3762"/>
          <w:spacing w:val="-1"/>
          <w:sz w:val="22"/>
        </w:rPr>
        <w:t> </w:t>
      </w:r>
      <w:r>
        <w:rPr>
          <w:i/>
          <w:color w:val="1F3762"/>
          <w:spacing w:val="-2"/>
          <w:sz w:val="22"/>
        </w:rPr>
        <w:t>Domains</w:t>
      </w:r>
    </w:p>
    <w:p>
      <w:pPr>
        <w:spacing w:before="1"/>
        <w:ind w:left="1220" w:right="0" w:firstLine="0"/>
        <w:jc w:val="left"/>
        <w:rPr>
          <w:sz w:val="22"/>
        </w:rPr>
      </w:pPr>
      <w:r>
        <w:rPr>
          <w:sz w:val="22"/>
        </w:rPr>
        <w:t>The</w:t>
      </w:r>
      <w:r>
        <w:rPr>
          <w:spacing w:val="-4"/>
          <w:sz w:val="22"/>
        </w:rPr>
        <w:t> </w:t>
      </w:r>
      <w:r>
        <w:rPr>
          <w:sz w:val="22"/>
        </w:rPr>
        <w:t>State</w:t>
      </w:r>
      <w:r>
        <w:rPr>
          <w:spacing w:val="-2"/>
          <w:sz w:val="22"/>
        </w:rPr>
        <w:t> </w:t>
      </w:r>
      <w:r>
        <w:rPr>
          <w:sz w:val="22"/>
        </w:rPr>
        <w:t>will</w:t>
      </w:r>
      <w:r>
        <w:rPr>
          <w:spacing w:val="-1"/>
          <w:sz w:val="22"/>
        </w:rPr>
        <w:t> </w:t>
      </w:r>
      <w:r>
        <w:rPr>
          <w:sz w:val="22"/>
        </w:rPr>
        <w:t>calculate</w:t>
      </w:r>
      <w:r>
        <w:rPr>
          <w:spacing w:val="-4"/>
          <w:sz w:val="22"/>
        </w:rPr>
        <w:t> </w:t>
      </w:r>
      <w:r>
        <w:rPr>
          <w:sz w:val="22"/>
        </w:rPr>
        <w:t>two</w:t>
      </w:r>
      <w:r>
        <w:rPr>
          <w:spacing w:val="-4"/>
          <w:sz w:val="22"/>
        </w:rPr>
        <w:t> </w:t>
      </w:r>
      <w:r>
        <w:rPr>
          <w:spacing w:val="-2"/>
          <w:sz w:val="22"/>
        </w:rPr>
        <w:t>scores:</w:t>
      </w:r>
    </w:p>
    <w:p>
      <w:pPr>
        <w:pStyle w:val="ListParagraph"/>
        <w:numPr>
          <w:ilvl w:val="0"/>
          <w:numId w:val="81"/>
        </w:numPr>
        <w:tabs>
          <w:tab w:pos="1580" w:val="left" w:leader="none"/>
        </w:tabs>
        <w:spacing w:line="240" w:lineRule="auto" w:before="159" w:after="0"/>
        <w:ind w:left="1580" w:right="0" w:hanging="360"/>
        <w:jc w:val="left"/>
        <w:rPr>
          <w:sz w:val="22"/>
        </w:rPr>
      </w:pPr>
      <w:r>
        <w:rPr>
          <w:b/>
          <w:sz w:val="22"/>
        </w:rPr>
        <w:t>Aggregate</w:t>
      </w:r>
      <w:r>
        <w:rPr>
          <w:b/>
          <w:spacing w:val="-3"/>
          <w:sz w:val="22"/>
        </w:rPr>
        <w:t> </w:t>
      </w:r>
      <w:r>
        <w:rPr>
          <w:b/>
          <w:sz w:val="22"/>
        </w:rPr>
        <w:t>domain</w:t>
      </w:r>
      <w:r>
        <w:rPr>
          <w:b/>
          <w:spacing w:val="-5"/>
          <w:sz w:val="22"/>
        </w:rPr>
        <w:t> </w:t>
      </w:r>
      <w:r>
        <w:rPr>
          <w:b/>
          <w:sz w:val="22"/>
        </w:rPr>
        <w:t>score</w:t>
      </w:r>
      <w:r>
        <w:rPr>
          <w:b/>
          <w:spacing w:val="-3"/>
          <w:sz w:val="22"/>
        </w:rPr>
        <w:t> </w:t>
      </w:r>
      <w:r>
        <w:rPr>
          <w:sz w:val="22"/>
        </w:rPr>
        <w:t>–</w:t>
      </w:r>
      <w:r>
        <w:rPr>
          <w:spacing w:val="-5"/>
          <w:sz w:val="22"/>
        </w:rPr>
        <w:t> </w:t>
      </w:r>
      <w:r>
        <w:rPr>
          <w:sz w:val="22"/>
        </w:rPr>
        <w:t>the</w:t>
      </w:r>
      <w:r>
        <w:rPr>
          <w:spacing w:val="-2"/>
          <w:sz w:val="22"/>
        </w:rPr>
        <w:t> </w:t>
      </w:r>
      <w:r>
        <w:rPr>
          <w:sz w:val="22"/>
        </w:rPr>
        <w:t>domain</w:t>
      </w:r>
      <w:r>
        <w:rPr>
          <w:spacing w:val="-6"/>
          <w:sz w:val="22"/>
        </w:rPr>
        <w:t> </w:t>
      </w:r>
      <w:r>
        <w:rPr>
          <w:sz w:val="22"/>
        </w:rPr>
        <w:t>score</w:t>
      </w:r>
      <w:r>
        <w:rPr>
          <w:spacing w:val="-2"/>
          <w:sz w:val="22"/>
        </w:rPr>
        <w:t> </w:t>
      </w:r>
      <w:r>
        <w:rPr>
          <w:sz w:val="22"/>
        </w:rPr>
        <w:t>calculated</w:t>
      </w:r>
      <w:r>
        <w:rPr>
          <w:spacing w:val="-3"/>
          <w:sz w:val="22"/>
        </w:rPr>
        <w:t> </w:t>
      </w:r>
      <w:r>
        <w:rPr>
          <w:sz w:val="22"/>
        </w:rPr>
        <w:t>by</w:t>
      </w:r>
      <w:r>
        <w:rPr>
          <w:spacing w:val="-5"/>
          <w:sz w:val="22"/>
        </w:rPr>
        <w:t> </w:t>
      </w:r>
      <w:r>
        <w:rPr>
          <w:sz w:val="22"/>
        </w:rPr>
        <w:t>aggregating</w:t>
      </w:r>
      <w:r>
        <w:rPr>
          <w:spacing w:val="-5"/>
          <w:sz w:val="22"/>
        </w:rPr>
        <w:t> </w:t>
      </w:r>
      <w:r>
        <w:rPr>
          <w:sz w:val="22"/>
        </w:rPr>
        <w:t>scores</w:t>
      </w:r>
      <w:r>
        <w:rPr>
          <w:spacing w:val="-3"/>
          <w:sz w:val="22"/>
        </w:rPr>
        <w:t> </w:t>
      </w:r>
      <w:r>
        <w:rPr>
          <w:sz w:val="22"/>
        </w:rPr>
        <w:t>from</w:t>
      </w:r>
      <w:r>
        <w:rPr>
          <w:spacing w:val="-6"/>
          <w:sz w:val="22"/>
        </w:rPr>
        <w:t> </w:t>
      </w:r>
      <w:r>
        <w:rPr>
          <w:sz w:val="22"/>
        </w:rPr>
        <w:t>all</w:t>
      </w:r>
      <w:r>
        <w:rPr>
          <w:spacing w:val="-1"/>
          <w:sz w:val="22"/>
        </w:rPr>
        <w:t> </w:t>
      </w:r>
      <w:r>
        <w:rPr>
          <w:spacing w:val="-4"/>
          <w:sz w:val="22"/>
        </w:rPr>
        <w:t>ACOs</w:t>
      </w:r>
    </w:p>
    <w:p>
      <w:pPr>
        <w:pStyle w:val="ListParagraph"/>
        <w:numPr>
          <w:ilvl w:val="0"/>
          <w:numId w:val="81"/>
        </w:numPr>
        <w:tabs>
          <w:tab w:pos="1580" w:val="left" w:leader="none"/>
        </w:tabs>
        <w:spacing w:line="276" w:lineRule="auto" w:before="37" w:after="0"/>
        <w:ind w:left="1580" w:right="1274" w:hanging="361"/>
        <w:jc w:val="left"/>
        <w:rPr>
          <w:sz w:val="22"/>
        </w:rPr>
      </w:pPr>
      <w:r>
        <w:rPr>
          <w:b/>
          <w:sz w:val="22"/>
        </w:rPr>
        <w:t>DSRIP domain</w:t>
      </w:r>
      <w:r>
        <w:rPr>
          <w:b/>
          <w:spacing w:val="-3"/>
          <w:sz w:val="22"/>
        </w:rPr>
        <w:t> </w:t>
      </w:r>
      <w:r>
        <w:rPr>
          <w:b/>
          <w:sz w:val="22"/>
        </w:rPr>
        <w:t>score</w:t>
      </w:r>
      <w:r>
        <w:rPr>
          <w:b/>
          <w:spacing w:val="-2"/>
          <w:sz w:val="22"/>
        </w:rPr>
        <w:t> </w:t>
      </w:r>
      <w:r>
        <w:rPr>
          <w:sz w:val="22"/>
        </w:rPr>
        <w:t>–</w:t>
      </w:r>
      <w:r>
        <w:rPr>
          <w:spacing w:val="-5"/>
          <w:sz w:val="22"/>
        </w:rPr>
        <w:t> </w:t>
      </w:r>
      <w:r>
        <w:rPr>
          <w:sz w:val="22"/>
        </w:rPr>
        <w:t>the</w:t>
      </w:r>
      <w:r>
        <w:rPr>
          <w:spacing w:val="-2"/>
          <w:sz w:val="22"/>
        </w:rPr>
        <w:t> </w:t>
      </w:r>
      <w:r>
        <w:rPr>
          <w:sz w:val="22"/>
        </w:rPr>
        <w:t>domain</w:t>
      </w:r>
      <w:r>
        <w:rPr>
          <w:spacing w:val="-2"/>
          <w:sz w:val="22"/>
        </w:rPr>
        <w:t> </w:t>
      </w:r>
      <w:r>
        <w:rPr>
          <w:sz w:val="22"/>
        </w:rPr>
        <w:t>score</w:t>
      </w:r>
      <w:r>
        <w:rPr>
          <w:spacing w:val="-2"/>
          <w:sz w:val="22"/>
        </w:rPr>
        <w:t> </w:t>
      </w:r>
      <w:r>
        <w:rPr>
          <w:sz w:val="22"/>
        </w:rPr>
        <w:t>used</w:t>
      </w:r>
      <w:r>
        <w:rPr>
          <w:spacing w:val="-5"/>
          <w:sz w:val="22"/>
        </w:rPr>
        <w:t> </w:t>
      </w:r>
      <w:r>
        <w:rPr>
          <w:sz w:val="22"/>
        </w:rPr>
        <w:t>in</w:t>
      </w:r>
      <w:r>
        <w:rPr>
          <w:spacing w:val="-5"/>
          <w:sz w:val="22"/>
        </w:rPr>
        <w:t> </w:t>
      </w:r>
      <w:r>
        <w:rPr>
          <w:sz w:val="22"/>
        </w:rPr>
        <w:t>the</w:t>
      </w:r>
      <w:r>
        <w:rPr>
          <w:spacing w:val="-4"/>
          <w:sz w:val="22"/>
        </w:rPr>
        <w:t> </w:t>
      </w:r>
      <w:r>
        <w:rPr>
          <w:sz w:val="22"/>
        </w:rPr>
        <w:t>calculation</w:t>
      </w:r>
      <w:r>
        <w:rPr>
          <w:spacing w:val="-2"/>
          <w:sz w:val="22"/>
        </w:rPr>
        <w:t> </w:t>
      </w:r>
      <w:r>
        <w:rPr>
          <w:sz w:val="22"/>
        </w:rPr>
        <w:t>of</w:t>
      </w:r>
      <w:r>
        <w:rPr>
          <w:spacing w:val="-1"/>
          <w:sz w:val="22"/>
        </w:rPr>
        <w:t> </w:t>
      </w:r>
      <w:r>
        <w:rPr>
          <w:sz w:val="22"/>
        </w:rPr>
        <w:t>the</w:t>
      </w:r>
      <w:r>
        <w:rPr>
          <w:spacing w:val="-2"/>
          <w:sz w:val="22"/>
        </w:rPr>
        <w:t> </w:t>
      </w:r>
      <w:r>
        <w:rPr>
          <w:sz w:val="22"/>
        </w:rPr>
        <w:t>State</w:t>
      </w:r>
      <w:r>
        <w:rPr>
          <w:spacing w:val="-4"/>
          <w:sz w:val="22"/>
        </w:rPr>
        <w:t> </w:t>
      </w:r>
      <w:r>
        <w:rPr>
          <w:sz w:val="22"/>
        </w:rPr>
        <w:t>DSRIP</w:t>
      </w:r>
      <w:r>
        <w:rPr>
          <w:spacing w:val="-3"/>
          <w:sz w:val="22"/>
        </w:rPr>
        <w:t> </w:t>
      </w:r>
      <w:r>
        <w:rPr>
          <w:sz w:val="22"/>
        </w:rPr>
        <w:t>Accountability Score; dependent on how aggregate domain scores in a given year compare to pooled scores in all previous DSRIP Budget Periods</w:t>
      </w:r>
    </w:p>
    <w:p>
      <w:pPr>
        <w:spacing w:line="240" w:lineRule="auto" w:before="197"/>
        <w:ind w:left="1220" w:right="1094" w:firstLine="0"/>
        <w:jc w:val="both"/>
        <w:rPr>
          <w:sz w:val="22"/>
        </w:rPr>
      </w:pPr>
      <w:r>
        <w:rPr>
          <w:sz w:val="22"/>
        </w:rPr>
        <w:t>For</w:t>
      </w:r>
      <w:r>
        <w:rPr>
          <w:spacing w:val="-6"/>
          <w:sz w:val="22"/>
        </w:rPr>
        <w:t> </w:t>
      </w:r>
      <w:r>
        <w:rPr>
          <w:sz w:val="22"/>
        </w:rPr>
        <w:t>the</w:t>
      </w:r>
      <w:r>
        <w:rPr>
          <w:spacing w:val="-7"/>
          <w:sz w:val="22"/>
        </w:rPr>
        <w:t> </w:t>
      </w:r>
      <w:r>
        <w:rPr>
          <w:sz w:val="22"/>
        </w:rPr>
        <w:t>purposes</w:t>
      </w:r>
      <w:r>
        <w:rPr>
          <w:spacing w:val="-7"/>
          <w:sz w:val="22"/>
        </w:rPr>
        <w:t> </w:t>
      </w:r>
      <w:r>
        <w:rPr>
          <w:sz w:val="22"/>
        </w:rPr>
        <w:t>of</w:t>
      </w:r>
      <w:r>
        <w:rPr>
          <w:spacing w:val="-6"/>
          <w:sz w:val="22"/>
        </w:rPr>
        <w:t> </w:t>
      </w:r>
      <w:r>
        <w:rPr>
          <w:sz w:val="22"/>
        </w:rPr>
        <w:t>calculating</w:t>
      </w:r>
      <w:r>
        <w:rPr>
          <w:spacing w:val="-10"/>
          <w:sz w:val="22"/>
        </w:rPr>
        <w:t> </w:t>
      </w:r>
      <w:r>
        <w:rPr>
          <w:sz w:val="22"/>
        </w:rPr>
        <w:t>the</w:t>
      </w:r>
      <w:r>
        <w:rPr>
          <w:spacing w:val="-7"/>
          <w:sz w:val="22"/>
        </w:rPr>
        <w:t> </w:t>
      </w:r>
      <w:r>
        <w:rPr>
          <w:sz w:val="22"/>
        </w:rPr>
        <w:t>aggregate</w:t>
      </w:r>
      <w:r>
        <w:rPr>
          <w:spacing w:val="-7"/>
          <w:sz w:val="22"/>
        </w:rPr>
        <w:t> </w:t>
      </w:r>
      <w:r>
        <w:rPr>
          <w:sz w:val="22"/>
        </w:rPr>
        <w:t>domain</w:t>
      </w:r>
      <w:r>
        <w:rPr>
          <w:spacing w:val="-7"/>
          <w:sz w:val="22"/>
        </w:rPr>
        <w:t> </w:t>
      </w:r>
      <w:r>
        <w:rPr>
          <w:sz w:val="22"/>
        </w:rPr>
        <w:t>scores</w:t>
      </w:r>
      <w:r>
        <w:rPr>
          <w:spacing w:val="-9"/>
          <w:sz w:val="22"/>
        </w:rPr>
        <w:t> </w:t>
      </w:r>
      <w:r>
        <w:rPr>
          <w:sz w:val="22"/>
        </w:rPr>
        <w:t>for</w:t>
      </w:r>
      <w:r>
        <w:rPr>
          <w:spacing w:val="-6"/>
          <w:sz w:val="22"/>
        </w:rPr>
        <w:t> </w:t>
      </w:r>
      <w:r>
        <w:rPr>
          <w:sz w:val="22"/>
        </w:rPr>
        <w:t>State</w:t>
      </w:r>
      <w:r>
        <w:rPr>
          <w:spacing w:val="-7"/>
          <w:sz w:val="22"/>
        </w:rPr>
        <w:t> </w:t>
      </w:r>
      <w:r>
        <w:rPr>
          <w:sz w:val="22"/>
        </w:rPr>
        <w:t>Accountability,</w:t>
      </w:r>
      <w:r>
        <w:rPr>
          <w:spacing w:val="-7"/>
          <w:sz w:val="22"/>
        </w:rPr>
        <w:t> </w:t>
      </w:r>
      <w:r>
        <w:rPr>
          <w:sz w:val="22"/>
        </w:rPr>
        <w:t>the</w:t>
      </w:r>
      <w:r>
        <w:rPr>
          <w:spacing w:val="-7"/>
          <w:sz w:val="22"/>
        </w:rPr>
        <w:t> </w:t>
      </w:r>
      <w:r>
        <w:rPr>
          <w:sz w:val="22"/>
        </w:rPr>
        <w:t>State</w:t>
      </w:r>
      <w:r>
        <w:rPr>
          <w:spacing w:val="-7"/>
          <w:sz w:val="22"/>
        </w:rPr>
        <w:t> </w:t>
      </w:r>
      <w:r>
        <w:rPr>
          <w:sz w:val="22"/>
        </w:rPr>
        <w:t>will</w:t>
      </w:r>
      <w:r>
        <w:rPr>
          <w:spacing w:val="-6"/>
          <w:sz w:val="22"/>
        </w:rPr>
        <w:t> </w:t>
      </w:r>
      <w:r>
        <w:rPr>
          <w:sz w:val="22"/>
        </w:rPr>
        <w:t>include only Achievement points from the ACOs (as outlined in Section 5.3.1). Pay-for-Reporting (P4R) points obtained in BP1 or Improvement Points obtained in BP 2-5 (as outlined in Section 5.3.1) are not included in the State Accountability calculations.</w:t>
      </w:r>
    </w:p>
    <w:p>
      <w:pPr>
        <w:spacing w:line="240" w:lineRule="auto" w:before="159"/>
        <w:ind w:left="1220" w:right="1093" w:firstLine="0"/>
        <w:jc w:val="both"/>
        <w:rPr>
          <w:sz w:val="22"/>
        </w:rPr>
      </w:pPr>
      <w:r>
        <w:rPr>
          <w:sz w:val="22"/>
        </w:rPr>
        <w:t>The aggregate domain score is determined by calculating the median value across all ACOs for the particular</w:t>
      </w:r>
      <w:r>
        <w:rPr>
          <w:spacing w:val="-12"/>
          <w:sz w:val="22"/>
        </w:rPr>
        <w:t> </w:t>
      </w:r>
      <w:r>
        <w:rPr>
          <w:sz w:val="22"/>
        </w:rPr>
        <w:t>domain</w:t>
      </w:r>
      <w:r>
        <w:rPr>
          <w:spacing w:val="-14"/>
          <w:sz w:val="22"/>
        </w:rPr>
        <w:t> </w:t>
      </w:r>
      <w:r>
        <w:rPr>
          <w:sz w:val="22"/>
        </w:rPr>
        <w:t>in</w:t>
      </w:r>
      <w:r>
        <w:rPr>
          <w:spacing w:val="-14"/>
          <w:sz w:val="22"/>
        </w:rPr>
        <w:t> </w:t>
      </w:r>
      <w:r>
        <w:rPr>
          <w:sz w:val="22"/>
        </w:rPr>
        <w:t>question.</w:t>
      </w:r>
      <w:r>
        <w:rPr>
          <w:spacing w:val="30"/>
          <w:sz w:val="22"/>
        </w:rPr>
        <w:t> </w:t>
      </w:r>
      <w:r>
        <w:rPr>
          <w:sz w:val="22"/>
        </w:rPr>
        <w:t>To</w:t>
      </w:r>
      <w:r>
        <w:rPr>
          <w:spacing w:val="-14"/>
          <w:sz w:val="22"/>
        </w:rPr>
        <w:t> </w:t>
      </w:r>
      <w:r>
        <w:rPr>
          <w:sz w:val="22"/>
        </w:rPr>
        <w:t>allow</w:t>
      </w:r>
      <w:r>
        <w:rPr>
          <w:spacing w:val="-14"/>
          <w:sz w:val="22"/>
        </w:rPr>
        <w:t> </w:t>
      </w:r>
      <w:r>
        <w:rPr>
          <w:sz w:val="22"/>
        </w:rPr>
        <w:t>for</w:t>
      </w:r>
      <w:r>
        <w:rPr>
          <w:spacing w:val="-12"/>
          <w:sz w:val="22"/>
        </w:rPr>
        <w:t> </w:t>
      </w:r>
      <w:r>
        <w:rPr>
          <w:sz w:val="22"/>
        </w:rPr>
        <w:t>consistent</w:t>
      </w:r>
      <w:r>
        <w:rPr>
          <w:spacing w:val="-11"/>
          <w:sz w:val="22"/>
        </w:rPr>
        <w:t> </w:t>
      </w:r>
      <w:r>
        <w:rPr>
          <w:sz w:val="22"/>
        </w:rPr>
        <w:t>comparisons,</w:t>
      </w:r>
      <w:r>
        <w:rPr>
          <w:spacing w:val="-14"/>
          <w:sz w:val="22"/>
        </w:rPr>
        <w:t> </w:t>
      </w:r>
      <w:r>
        <w:rPr>
          <w:sz w:val="22"/>
        </w:rPr>
        <w:t>only</w:t>
      </w:r>
      <w:r>
        <w:rPr>
          <w:spacing w:val="-14"/>
          <w:sz w:val="22"/>
        </w:rPr>
        <w:t> </w:t>
      </w:r>
      <w:r>
        <w:rPr>
          <w:sz w:val="22"/>
        </w:rPr>
        <w:t>ACO</w:t>
      </w:r>
      <w:r>
        <w:rPr>
          <w:spacing w:val="-12"/>
          <w:sz w:val="22"/>
        </w:rPr>
        <w:t> </w:t>
      </w:r>
      <w:r>
        <w:rPr>
          <w:sz w:val="22"/>
        </w:rPr>
        <w:t>achievement</w:t>
      </w:r>
      <w:r>
        <w:rPr>
          <w:spacing w:val="-11"/>
          <w:sz w:val="22"/>
        </w:rPr>
        <w:t> </w:t>
      </w:r>
      <w:r>
        <w:rPr>
          <w:sz w:val="22"/>
        </w:rPr>
        <w:t>points</w:t>
      </w:r>
      <w:r>
        <w:rPr>
          <w:spacing w:val="-11"/>
          <w:sz w:val="22"/>
        </w:rPr>
        <w:t> </w:t>
      </w:r>
      <w:r>
        <w:rPr>
          <w:sz w:val="22"/>
        </w:rPr>
        <w:t>are</w:t>
      </w:r>
      <w:r>
        <w:rPr>
          <w:spacing w:val="-14"/>
          <w:sz w:val="22"/>
        </w:rPr>
        <w:t> </w:t>
      </w:r>
      <w:r>
        <w:rPr>
          <w:sz w:val="22"/>
        </w:rPr>
        <w:t>used </w:t>
      </w:r>
      <w:r>
        <w:rPr>
          <w:position w:val="2"/>
          <w:sz w:val="22"/>
        </w:rPr>
        <w:t>in</w:t>
      </w:r>
      <w:r>
        <w:rPr>
          <w:spacing w:val="-14"/>
          <w:position w:val="2"/>
          <w:sz w:val="22"/>
        </w:rPr>
        <w:t> </w:t>
      </w:r>
      <w:r>
        <w:rPr>
          <w:position w:val="2"/>
          <w:sz w:val="22"/>
        </w:rPr>
        <w:t>the</w:t>
      </w:r>
      <w:r>
        <w:rPr>
          <w:spacing w:val="-14"/>
          <w:position w:val="2"/>
          <w:sz w:val="22"/>
        </w:rPr>
        <w:t> </w:t>
      </w:r>
      <w:r>
        <w:rPr>
          <w:position w:val="2"/>
          <w:sz w:val="22"/>
        </w:rPr>
        <w:t>calculation. For</w:t>
      </w:r>
      <w:r>
        <w:rPr>
          <w:spacing w:val="-13"/>
          <w:position w:val="2"/>
          <w:sz w:val="22"/>
        </w:rPr>
        <w:t> </w:t>
      </w:r>
      <w:r>
        <w:rPr>
          <w:position w:val="2"/>
          <w:sz w:val="22"/>
        </w:rPr>
        <w:t>example,</w:t>
      </w:r>
      <w:r>
        <w:rPr>
          <w:spacing w:val="-14"/>
          <w:position w:val="2"/>
          <w:sz w:val="22"/>
        </w:rPr>
        <w:t> </w:t>
      </w:r>
      <w:r>
        <w:rPr>
          <w:position w:val="2"/>
          <w:sz w:val="22"/>
        </w:rPr>
        <w:t>if</w:t>
      </w:r>
      <w:r>
        <w:rPr>
          <w:spacing w:val="-14"/>
          <w:position w:val="2"/>
          <w:sz w:val="22"/>
        </w:rPr>
        <w:t> </w:t>
      </w:r>
      <w:r>
        <w:rPr>
          <w:position w:val="2"/>
          <w:sz w:val="22"/>
        </w:rPr>
        <w:t>the</w:t>
      </w:r>
      <w:r>
        <w:rPr>
          <w:spacing w:val="-14"/>
          <w:position w:val="2"/>
          <w:sz w:val="22"/>
        </w:rPr>
        <w:t> </w:t>
      </w:r>
      <w:r>
        <w:rPr>
          <w:position w:val="2"/>
          <w:sz w:val="22"/>
        </w:rPr>
        <w:t>State</w:t>
      </w:r>
      <w:r>
        <w:rPr>
          <w:spacing w:val="-13"/>
          <w:position w:val="2"/>
          <w:sz w:val="22"/>
        </w:rPr>
        <w:t> </w:t>
      </w:r>
      <w:r>
        <w:rPr>
          <w:position w:val="2"/>
          <w:sz w:val="22"/>
        </w:rPr>
        <w:t>has</w:t>
      </w:r>
      <w:r>
        <w:rPr>
          <w:spacing w:val="-14"/>
          <w:position w:val="2"/>
          <w:sz w:val="22"/>
        </w:rPr>
        <w:t> </w:t>
      </w:r>
      <w:r>
        <w:rPr>
          <w:position w:val="2"/>
          <w:sz w:val="22"/>
        </w:rPr>
        <w:t>three</w:t>
      </w:r>
      <w:r>
        <w:rPr>
          <w:spacing w:val="-14"/>
          <w:position w:val="2"/>
          <w:sz w:val="22"/>
        </w:rPr>
        <w:t> </w:t>
      </w:r>
      <w:r>
        <w:rPr>
          <w:position w:val="2"/>
          <w:sz w:val="22"/>
        </w:rPr>
        <w:t>ACOs</w:t>
      </w:r>
      <w:r>
        <w:rPr>
          <w:spacing w:val="-14"/>
          <w:position w:val="2"/>
          <w:sz w:val="22"/>
        </w:rPr>
        <w:t> </w:t>
      </w:r>
      <w:r>
        <w:rPr>
          <w:position w:val="2"/>
          <w:sz w:val="22"/>
        </w:rPr>
        <w:t>(ACO</w:t>
      </w:r>
      <w:r>
        <w:rPr>
          <w:sz w:val="14"/>
        </w:rPr>
        <w:t>1</w:t>
      </w:r>
      <w:r>
        <w:rPr>
          <w:position w:val="2"/>
          <w:sz w:val="22"/>
        </w:rPr>
        <w:t>,</w:t>
      </w:r>
      <w:r>
        <w:rPr>
          <w:spacing w:val="-13"/>
          <w:position w:val="2"/>
          <w:sz w:val="22"/>
        </w:rPr>
        <w:t> </w:t>
      </w:r>
      <w:r>
        <w:rPr>
          <w:position w:val="2"/>
          <w:sz w:val="22"/>
        </w:rPr>
        <w:t>ACO</w:t>
      </w:r>
      <w:r>
        <w:rPr>
          <w:sz w:val="14"/>
        </w:rPr>
        <w:t>2</w:t>
      </w:r>
      <w:r>
        <w:rPr>
          <w:position w:val="2"/>
          <w:sz w:val="22"/>
        </w:rPr>
        <w:t>,</w:t>
      </w:r>
      <w:r>
        <w:rPr>
          <w:spacing w:val="-13"/>
          <w:position w:val="2"/>
          <w:sz w:val="22"/>
        </w:rPr>
        <w:t> </w:t>
      </w:r>
      <w:r>
        <w:rPr>
          <w:position w:val="2"/>
          <w:sz w:val="22"/>
        </w:rPr>
        <w:t>ACO</w:t>
      </w:r>
      <w:r>
        <w:rPr>
          <w:sz w:val="14"/>
        </w:rPr>
        <w:t>3</w:t>
      </w:r>
      <w:r>
        <w:rPr>
          <w:position w:val="2"/>
          <w:sz w:val="22"/>
        </w:rPr>
        <w:t>),</w:t>
      </w:r>
      <w:r>
        <w:rPr>
          <w:spacing w:val="-14"/>
          <w:position w:val="2"/>
          <w:sz w:val="22"/>
        </w:rPr>
        <w:t> </w:t>
      </w:r>
      <w:r>
        <w:rPr>
          <w:position w:val="2"/>
          <w:sz w:val="22"/>
        </w:rPr>
        <w:t>and</w:t>
      </w:r>
      <w:r>
        <w:rPr>
          <w:spacing w:val="-14"/>
          <w:position w:val="2"/>
          <w:sz w:val="22"/>
        </w:rPr>
        <w:t> </w:t>
      </w:r>
      <w:r>
        <w:rPr>
          <w:position w:val="2"/>
          <w:sz w:val="22"/>
        </w:rPr>
        <w:t>those</w:t>
      </w:r>
      <w:r>
        <w:rPr>
          <w:spacing w:val="-14"/>
          <w:position w:val="2"/>
          <w:sz w:val="22"/>
        </w:rPr>
        <w:t> </w:t>
      </w:r>
      <w:r>
        <w:rPr>
          <w:position w:val="2"/>
          <w:sz w:val="22"/>
        </w:rPr>
        <w:t>ACOs</w:t>
      </w:r>
      <w:r>
        <w:rPr>
          <w:spacing w:val="-13"/>
          <w:position w:val="2"/>
          <w:sz w:val="22"/>
        </w:rPr>
        <w:t> </w:t>
      </w:r>
      <w:r>
        <w:rPr>
          <w:position w:val="2"/>
          <w:sz w:val="22"/>
        </w:rPr>
        <w:t>achieve </w:t>
      </w:r>
      <w:r>
        <w:rPr>
          <w:sz w:val="22"/>
        </w:rPr>
        <w:t>domain</w:t>
      </w:r>
      <w:r>
        <w:rPr>
          <w:spacing w:val="-8"/>
          <w:sz w:val="22"/>
        </w:rPr>
        <w:t> </w:t>
      </w:r>
      <w:r>
        <w:rPr>
          <w:sz w:val="22"/>
        </w:rPr>
        <w:t>scores</w:t>
      </w:r>
      <w:r>
        <w:rPr>
          <w:spacing w:val="-8"/>
          <w:sz w:val="22"/>
        </w:rPr>
        <w:t> </w:t>
      </w:r>
      <w:r>
        <w:rPr>
          <w:sz w:val="22"/>
        </w:rPr>
        <w:t>of</w:t>
      </w:r>
      <w:r>
        <w:rPr>
          <w:spacing w:val="-7"/>
          <w:sz w:val="22"/>
        </w:rPr>
        <w:t> </w:t>
      </w:r>
      <w:r>
        <w:rPr>
          <w:sz w:val="22"/>
        </w:rPr>
        <w:t>30%,</w:t>
      </w:r>
      <w:r>
        <w:rPr>
          <w:spacing w:val="-7"/>
          <w:sz w:val="22"/>
        </w:rPr>
        <w:t> </w:t>
      </w:r>
      <w:r>
        <w:rPr>
          <w:sz w:val="22"/>
        </w:rPr>
        <w:t>50%</w:t>
      </w:r>
      <w:r>
        <w:rPr>
          <w:spacing w:val="-10"/>
          <w:sz w:val="22"/>
        </w:rPr>
        <w:t> </w:t>
      </w:r>
      <w:r>
        <w:rPr>
          <w:sz w:val="22"/>
        </w:rPr>
        <w:t>and</w:t>
      </w:r>
      <w:r>
        <w:rPr>
          <w:spacing w:val="-8"/>
          <w:sz w:val="22"/>
        </w:rPr>
        <w:t> </w:t>
      </w:r>
      <w:r>
        <w:rPr>
          <w:sz w:val="22"/>
        </w:rPr>
        <w:t>70%</w:t>
      </w:r>
      <w:r>
        <w:rPr>
          <w:spacing w:val="-9"/>
          <w:sz w:val="22"/>
        </w:rPr>
        <w:t> </w:t>
      </w:r>
      <w:r>
        <w:rPr>
          <w:sz w:val="22"/>
        </w:rPr>
        <w:t>for</w:t>
      </w:r>
      <w:r>
        <w:rPr>
          <w:spacing w:val="-10"/>
          <w:sz w:val="22"/>
        </w:rPr>
        <w:t> </w:t>
      </w:r>
      <w:r>
        <w:rPr>
          <w:sz w:val="22"/>
        </w:rPr>
        <w:t>the</w:t>
      </w:r>
      <w:r>
        <w:rPr>
          <w:spacing w:val="-7"/>
          <w:sz w:val="22"/>
        </w:rPr>
        <w:t> </w:t>
      </w:r>
      <w:r>
        <w:rPr>
          <w:sz w:val="22"/>
        </w:rPr>
        <w:t>Prevention</w:t>
      </w:r>
      <w:r>
        <w:rPr>
          <w:spacing w:val="-11"/>
          <w:sz w:val="22"/>
        </w:rPr>
        <w:t> </w:t>
      </w:r>
      <w:r>
        <w:rPr>
          <w:sz w:val="22"/>
        </w:rPr>
        <w:t>&amp;</w:t>
      </w:r>
      <w:r>
        <w:rPr>
          <w:spacing w:val="-9"/>
          <w:sz w:val="22"/>
        </w:rPr>
        <w:t> </w:t>
      </w:r>
      <w:r>
        <w:rPr>
          <w:sz w:val="22"/>
        </w:rPr>
        <w:t>Wellness</w:t>
      </w:r>
      <w:r>
        <w:rPr>
          <w:spacing w:val="-10"/>
          <w:sz w:val="22"/>
        </w:rPr>
        <w:t> </w:t>
      </w:r>
      <w:r>
        <w:rPr>
          <w:sz w:val="22"/>
        </w:rPr>
        <w:t>(P&amp;W)</w:t>
      </w:r>
      <w:r>
        <w:rPr>
          <w:spacing w:val="-10"/>
          <w:sz w:val="22"/>
        </w:rPr>
        <w:t> </w:t>
      </w:r>
      <w:r>
        <w:rPr>
          <w:sz w:val="22"/>
        </w:rPr>
        <w:t>domain,</w:t>
      </w:r>
      <w:r>
        <w:rPr>
          <w:spacing w:val="-7"/>
          <w:sz w:val="22"/>
        </w:rPr>
        <w:t> </w:t>
      </w:r>
      <w:r>
        <w:rPr>
          <w:sz w:val="22"/>
        </w:rPr>
        <w:t>respectively,</w:t>
      </w:r>
      <w:r>
        <w:rPr>
          <w:spacing w:val="-8"/>
          <w:sz w:val="22"/>
        </w:rPr>
        <w:t> </w:t>
      </w:r>
      <w:r>
        <w:rPr>
          <w:sz w:val="22"/>
        </w:rPr>
        <w:t>then</w:t>
      </w:r>
      <w:r>
        <w:rPr>
          <w:spacing w:val="-10"/>
          <w:sz w:val="22"/>
        </w:rPr>
        <w:t> </w:t>
      </w:r>
      <w:r>
        <w:rPr>
          <w:spacing w:val="-5"/>
          <w:sz w:val="22"/>
        </w:rPr>
        <w:t>the</w:t>
      </w:r>
    </w:p>
    <w:p>
      <w:pPr>
        <w:spacing w:after="0" w:line="240" w:lineRule="auto"/>
        <w:jc w:val="both"/>
        <w:rPr>
          <w:sz w:val="22"/>
        </w:rPr>
        <w:sectPr>
          <w:pgSz w:w="12240" w:h="15840"/>
          <w:pgMar w:header="0" w:footer="967" w:top="1360" w:bottom="1160" w:left="220" w:right="340"/>
        </w:sectPr>
      </w:pPr>
    </w:p>
    <w:p>
      <w:pPr>
        <w:spacing w:before="78"/>
        <w:ind w:left="1219" w:right="1104" w:firstLine="0"/>
        <w:jc w:val="left"/>
        <w:rPr>
          <w:sz w:val="22"/>
        </w:rPr>
      </w:pPr>
      <w:r>
        <w:rPr>
          <w:sz w:val="22"/>
        </w:rPr>
        <w:t>aggregate</w:t>
      </w:r>
      <w:r>
        <w:rPr>
          <w:spacing w:val="-8"/>
          <w:sz w:val="22"/>
        </w:rPr>
        <w:t> </w:t>
      </w:r>
      <w:r>
        <w:rPr>
          <w:sz w:val="22"/>
        </w:rPr>
        <w:t>domain</w:t>
      </w:r>
      <w:r>
        <w:rPr>
          <w:spacing w:val="-9"/>
          <w:sz w:val="22"/>
        </w:rPr>
        <w:t> </w:t>
      </w:r>
      <w:r>
        <w:rPr>
          <w:sz w:val="22"/>
        </w:rPr>
        <w:t>score</w:t>
      </w:r>
      <w:r>
        <w:rPr>
          <w:spacing w:val="-8"/>
          <w:sz w:val="22"/>
        </w:rPr>
        <w:t> </w:t>
      </w:r>
      <w:r>
        <w:rPr>
          <w:sz w:val="22"/>
        </w:rPr>
        <w:t>for</w:t>
      </w:r>
      <w:r>
        <w:rPr>
          <w:spacing w:val="-10"/>
          <w:sz w:val="22"/>
        </w:rPr>
        <w:t> </w:t>
      </w:r>
      <w:r>
        <w:rPr>
          <w:sz w:val="22"/>
        </w:rPr>
        <w:t>the</w:t>
      </w:r>
      <w:r>
        <w:rPr>
          <w:spacing w:val="-8"/>
          <w:sz w:val="22"/>
        </w:rPr>
        <w:t> </w:t>
      </w:r>
      <w:r>
        <w:rPr>
          <w:sz w:val="22"/>
        </w:rPr>
        <w:t>P&amp;W</w:t>
      </w:r>
      <w:r>
        <w:rPr>
          <w:spacing w:val="-8"/>
          <w:sz w:val="22"/>
        </w:rPr>
        <w:t> </w:t>
      </w:r>
      <w:r>
        <w:rPr>
          <w:sz w:val="22"/>
        </w:rPr>
        <w:t>domain</w:t>
      </w:r>
      <w:r>
        <w:rPr>
          <w:spacing w:val="-9"/>
          <w:sz w:val="22"/>
        </w:rPr>
        <w:t> </w:t>
      </w:r>
      <w:r>
        <w:rPr>
          <w:sz w:val="22"/>
        </w:rPr>
        <w:t>would</w:t>
      </w:r>
      <w:r>
        <w:rPr>
          <w:spacing w:val="-9"/>
          <w:sz w:val="22"/>
        </w:rPr>
        <w:t> </w:t>
      </w:r>
      <w:r>
        <w:rPr>
          <w:sz w:val="22"/>
        </w:rPr>
        <w:t>be</w:t>
      </w:r>
      <w:r>
        <w:rPr>
          <w:spacing w:val="-10"/>
          <w:sz w:val="22"/>
        </w:rPr>
        <w:t> </w:t>
      </w:r>
      <w:r>
        <w:rPr>
          <w:sz w:val="22"/>
        </w:rPr>
        <w:t>50%,</w:t>
      </w:r>
      <w:r>
        <w:rPr>
          <w:spacing w:val="-9"/>
          <w:sz w:val="22"/>
        </w:rPr>
        <w:t> </w:t>
      </w:r>
      <w:r>
        <w:rPr>
          <w:sz w:val="22"/>
        </w:rPr>
        <w:t>as</w:t>
      </w:r>
      <w:r>
        <w:rPr>
          <w:spacing w:val="-8"/>
          <w:sz w:val="22"/>
        </w:rPr>
        <w:t> </w:t>
      </w:r>
      <w:r>
        <w:rPr>
          <w:sz w:val="22"/>
        </w:rPr>
        <w:t>this</w:t>
      </w:r>
      <w:r>
        <w:rPr>
          <w:spacing w:val="-8"/>
          <w:sz w:val="22"/>
        </w:rPr>
        <w:t> </w:t>
      </w:r>
      <w:r>
        <w:rPr>
          <w:sz w:val="22"/>
        </w:rPr>
        <w:t>value</w:t>
      </w:r>
      <w:r>
        <w:rPr>
          <w:spacing w:val="-8"/>
          <w:sz w:val="22"/>
        </w:rPr>
        <w:t> </w:t>
      </w:r>
      <w:r>
        <w:rPr>
          <w:sz w:val="22"/>
        </w:rPr>
        <w:t>is</w:t>
      </w:r>
      <w:r>
        <w:rPr>
          <w:spacing w:val="-8"/>
          <w:sz w:val="22"/>
        </w:rPr>
        <w:t> </w:t>
      </w:r>
      <w:r>
        <w:rPr>
          <w:sz w:val="22"/>
        </w:rPr>
        <w:t>the</w:t>
      </w:r>
      <w:r>
        <w:rPr>
          <w:spacing w:val="-8"/>
          <w:sz w:val="22"/>
        </w:rPr>
        <w:t> </w:t>
      </w:r>
      <w:r>
        <w:rPr>
          <w:sz w:val="22"/>
        </w:rPr>
        <w:t>median</w:t>
      </w:r>
      <w:r>
        <w:rPr>
          <w:spacing w:val="-9"/>
          <w:sz w:val="22"/>
        </w:rPr>
        <w:t> </w:t>
      </w:r>
      <w:r>
        <w:rPr>
          <w:sz w:val="22"/>
        </w:rPr>
        <w:t>(i.e.,</w:t>
      </w:r>
      <w:r>
        <w:rPr>
          <w:spacing w:val="-9"/>
          <w:sz w:val="22"/>
        </w:rPr>
        <w:t> </w:t>
      </w:r>
      <w:r>
        <w:rPr>
          <w:sz w:val="22"/>
        </w:rPr>
        <w:t>middle)</w:t>
      </w:r>
      <w:r>
        <w:rPr>
          <w:spacing w:val="-8"/>
          <w:sz w:val="22"/>
        </w:rPr>
        <w:t> </w:t>
      </w:r>
      <w:r>
        <w:rPr>
          <w:sz w:val="22"/>
        </w:rPr>
        <w:t>value from this distribution.</w:t>
      </w:r>
    </w:p>
    <w:p>
      <w:pPr>
        <w:spacing w:line="240" w:lineRule="auto" w:before="159"/>
        <w:ind w:left="1219" w:right="1094" w:firstLine="0"/>
        <w:jc w:val="both"/>
        <w:rPr>
          <w:sz w:val="22"/>
        </w:rPr>
      </w:pPr>
      <w:r>
        <w:rPr>
          <w:sz w:val="22"/>
        </w:rPr>
        <w:t>After calculating the aggregate domain scores for the current BP and a particular domain, the State will calculate</w:t>
      </w:r>
      <w:r>
        <w:rPr>
          <w:spacing w:val="-4"/>
          <w:sz w:val="22"/>
        </w:rPr>
        <w:t> </w:t>
      </w:r>
      <w:r>
        <w:rPr>
          <w:sz w:val="22"/>
        </w:rPr>
        <w:t>the</w:t>
      </w:r>
      <w:r>
        <w:rPr>
          <w:spacing w:val="-2"/>
          <w:sz w:val="22"/>
        </w:rPr>
        <w:t> </w:t>
      </w:r>
      <w:r>
        <w:rPr>
          <w:sz w:val="22"/>
        </w:rPr>
        <w:t>DSRIP</w:t>
      </w:r>
      <w:r>
        <w:rPr>
          <w:spacing w:val="-3"/>
          <w:sz w:val="22"/>
        </w:rPr>
        <w:t> </w:t>
      </w:r>
      <w:r>
        <w:rPr>
          <w:sz w:val="22"/>
        </w:rPr>
        <w:t>domain</w:t>
      </w:r>
      <w:r>
        <w:rPr>
          <w:spacing w:val="-2"/>
          <w:sz w:val="22"/>
        </w:rPr>
        <w:t> </w:t>
      </w:r>
      <w:r>
        <w:rPr>
          <w:sz w:val="22"/>
        </w:rPr>
        <w:t>score</w:t>
      </w:r>
      <w:r>
        <w:rPr>
          <w:spacing w:val="-4"/>
          <w:sz w:val="22"/>
        </w:rPr>
        <w:t> </w:t>
      </w:r>
      <w:r>
        <w:rPr>
          <w:sz w:val="22"/>
        </w:rPr>
        <w:t>for</w:t>
      </w:r>
      <w:r>
        <w:rPr>
          <w:spacing w:val="-4"/>
          <w:sz w:val="22"/>
        </w:rPr>
        <w:t> </w:t>
      </w:r>
      <w:r>
        <w:rPr>
          <w:sz w:val="22"/>
        </w:rPr>
        <w:t>that</w:t>
      </w:r>
      <w:r>
        <w:rPr>
          <w:spacing w:val="-4"/>
          <w:sz w:val="22"/>
        </w:rPr>
        <w:t> </w:t>
      </w:r>
      <w:r>
        <w:rPr>
          <w:sz w:val="22"/>
        </w:rPr>
        <w:t>particular</w:t>
      </w:r>
      <w:r>
        <w:rPr>
          <w:spacing w:val="-4"/>
          <w:sz w:val="22"/>
        </w:rPr>
        <w:t> </w:t>
      </w:r>
      <w:r>
        <w:rPr>
          <w:sz w:val="22"/>
        </w:rPr>
        <w:t>domain.</w:t>
      </w:r>
      <w:r>
        <w:rPr>
          <w:spacing w:val="40"/>
          <w:sz w:val="22"/>
        </w:rPr>
        <w:t> </w:t>
      </w:r>
      <w:r>
        <w:rPr>
          <w:sz w:val="22"/>
        </w:rPr>
        <w:t>The</w:t>
      </w:r>
      <w:r>
        <w:rPr>
          <w:spacing w:val="-4"/>
          <w:sz w:val="22"/>
        </w:rPr>
        <w:t> </w:t>
      </w:r>
      <w:r>
        <w:rPr>
          <w:sz w:val="22"/>
        </w:rPr>
        <w:t>State</w:t>
      </w:r>
      <w:r>
        <w:rPr>
          <w:spacing w:val="-2"/>
          <w:sz w:val="22"/>
        </w:rPr>
        <w:t> </w:t>
      </w:r>
      <w:r>
        <w:rPr>
          <w:sz w:val="22"/>
        </w:rPr>
        <w:t>will</w:t>
      </w:r>
      <w:r>
        <w:rPr>
          <w:spacing w:val="-1"/>
          <w:sz w:val="22"/>
        </w:rPr>
        <w:t> </w:t>
      </w:r>
      <w:r>
        <w:rPr>
          <w:sz w:val="22"/>
        </w:rPr>
        <w:t>use</w:t>
      </w:r>
      <w:r>
        <w:rPr>
          <w:spacing w:val="-4"/>
          <w:sz w:val="22"/>
        </w:rPr>
        <w:t> </w:t>
      </w:r>
      <w:r>
        <w:rPr>
          <w:sz w:val="22"/>
        </w:rPr>
        <w:t>a</w:t>
      </w:r>
      <w:r>
        <w:rPr>
          <w:spacing w:val="-4"/>
          <w:sz w:val="22"/>
        </w:rPr>
        <w:t> </w:t>
      </w:r>
      <w:r>
        <w:rPr>
          <w:sz w:val="22"/>
        </w:rPr>
        <w:t>two-tailed,</w:t>
      </w:r>
      <w:r>
        <w:rPr>
          <w:spacing w:val="-5"/>
          <w:sz w:val="22"/>
        </w:rPr>
        <w:t> </w:t>
      </w:r>
      <w:r>
        <w:rPr>
          <w:sz w:val="22"/>
        </w:rPr>
        <w:t>un-matched, Wilcoxon rank-sum test (hereinafter “Wilcoxon test”) to calculate whether the aggregate domain score in the current BP is statistically better, not statistically different, or statistically worse, as compared to the pooled aggregate domain score from previous BPs. The State will use a p-value of 0.05 to establish statistical significance.</w:t>
      </w:r>
    </w:p>
    <w:p>
      <w:pPr>
        <w:pStyle w:val="ListParagraph"/>
        <w:numPr>
          <w:ilvl w:val="1"/>
          <w:numId w:val="81"/>
        </w:numPr>
        <w:tabs>
          <w:tab w:pos="1937" w:val="left" w:leader="none"/>
          <w:tab w:pos="1939" w:val="left" w:leader="none"/>
        </w:tabs>
        <w:spacing w:line="240" w:lineRule="auto" w:before="163" w:after="0"/>
        <w:ind w:left="1939" w:right="1092" w:hanging="361"/>
        <w:jc w:val="both"/>
        <w:rPr>
          <w:sz w:val="22"/>
        </w:rPr>
      </w:pPr>
      <w:r>
        <w:rPr>
          <w:sz w:val="22"/>
        </w:rPr>
        <w:t>If the aggregate domain</w:t>
      </w:r>
      <w:r>
        <w:rPr>
          <w:spacing w:val="-2"/>
          <w:sz w:val="22"/>
        </w:rPr>
        <w:t> </w:t>
      </w:r>
      <w:r>
        <w:rPr>
          <w:sz w:val="22"/>
        </w:rPr>
        <w:t>score</w:t>
      </w:r>
      <w:r>
        <w:rPr>
          <w:spacing w:val="-2"/>
          <w:sz w:val="22"/>
        </w:rPr>
        <w:t> </w:t>
      </w:r>
      <w:r>
        <w:rPr>
          <w:sz w:val="22"/>
        </w:rPr>
        <w:t>in</w:t>
      </w:r>
      <w:r>
        <w:rPr>
          <w:spacing w:val="-2"/>
          <w:sz w:val="22"/>
        </w:rPr>
        <w:t> </w:t>
      </w:r>
      <w:r>
        <w:rPr>
          <w:sz w:val="22"/>
        </w:rPr>
        <w:t>the</w:t>
      </w:r>
      <w:r>
        <w:rPr>
          <w:spacing w:val="-2"/>
          <w:sz w:val="22"/>
        </w:rPr>
        <w:t> </w:t>
      </w:r>
      <w:r>
        <w:rPr>
          <w:sz w:val="22"/>
        </w:rPr>
        <w:t>current</w:t>
      </w:r>
      <w:r>
        <w:rPr>
          <w:spacing w:val="-1"/>
          <w:sz w:val="22"/>
        </w:rPr>
        <w:t> </w:t>
      </w:r>
      <w:r>
        <w:rPr>
          <w:sz w:val="22"/>
        </w:rPr>
        <w:t>BP is better and statistically</w:t>
      </w:r>
      <w:r>
        <w:rPr>
          <w:spacing w:val="-2"/>
          <w:sz w:val="22"/>
        </w:rPr>
        <w:t> </w:t>
      </w:r>
      <w:r>
        <w:rPr>
          <w:sz w:val="22"/>
        </w:rPr>
        <w:t>significant (p&lt;0.05</w:t>
      </w:r>
      <w:r>
        <w:rPr>
          <w:spacing w:val="-2"/>
          <w:sz w:val="22"/>
        </w:rPr>
        <w:t> </w:t>
      </w:r>
      <w:r>
        <w:rPr>
          <w:sz w:val="22"/>
        </w:rPr>
        <w:t>using a Wilcoxon test) or not statistically different (p≥0.05 using a Wilcoxon test) than the pooled aggregate domain score from prior BPs; the State receives a 100% DSRIP domain score for the </w:t>
      </w:r>
      <w:r>
        <w:rPr>
          <w:spacing w:val="-2"/>
          <w:sz w:val="22"/>
        </w:rPr>
        <w:t>domain.</w:t>
      </w:r>
    </w:p>
    <w:p>
      <w:pPr>
        <w:pStyle w:val="ListParagraph"/>
        <w:numPr>
          <w:ilvl w:val="1"/>
          <w:numId w:val="81"/>
        </w:numPr>
        <w:tabs>
          <w:tab w:pos="1937" w:val="left" w:leader="none"/>
          <w:tab w:pos="1939" w:val="left" w:leader="none"/>
        </w:tabs>
        <w:spacing w:line="240" w:lineRule="auto" w:before="0" w:after="0"/>
        <w:ind w:left="1939" w:right="1095" w:hanging="361"/>
        <w:jc w:val="both"/>
        <w:rPr>
          <w:sz w:val="22"/>
        </w:rPr>
      </w:pPr>
      <w:r>
        <w:rPr>
          <w:sz w:val="22"/>
        </w:rPr>
        <w:t>If the aggregate domain score in the current Budget Period is worse, and statistically significant (p&lt;0.05, using</w:t>
      </w:r>
      <w:r>
        <w:rPr>
          <w:spacing w:val="-2"/>
          <w:sz w:val="22"/>
        </w:rPr>
        <w:t> </w:t>
      </w:r>
      <w:r>
        <w:rPr>
          <w:sz w:val="22"/>
        </w:rPr>
        <w:t>a Wilcoxon</w:t>
      </w:r>
      <w:r>
        <w:rPr>
          <w:spacing w:val="-2"/>
          <w:sz w:val="22"/>
        </w:rPr>
        <w:t> </w:t>
      </w:r>
      <w:r>
        <w:rPr>
          <w:sz w:val="22"/>
        </w:rPr>
        <w:t>test)</w:t>
      </w:r>
      <w:r>
        <w:rPr>
          <w:spacing w:val="-1"/>
          <w:sz w:val="22"/>
        </w:rPr>
        <w:t> </w:t>
      </w:r>
      <w:r>
        <w:rPr>
          <w:sz w:val="22"/>
        </w:rPr>
        <w:t>than</w:t>
      </w:r>
      <w:r>
        <w:rPr>
          <w:spacing w:val="-2"/>
          <w:sz w:val="22"/>
        </w:rPr>
        <w:t> </w:t>
      </w:r>
      <w:r>
        <w:rPr>
          <w:sz w:val="22"/>
        </w:rPr>
        <w:t>the pooled aggregate domain score from</w:t>
      </w:r>
      <w:r>
        <w:rPr>
          <w:spacing w:val="-4"/>
          <w:sz w:val="22"/>
        </w:rPr>
        <w:t> </w:t>
      </w:r>
      <w:r>
        <w:rPr>
          <w:sz w:val="22"/>
        </w:rPr>
        <w:t>prior BPs;</w:t>
      </w:r>
      <w:r>
        <w:rPr>
          <w:spacing w:val="-1"/>
          <w:sz w:val="22"/>
        </w:rPr>
        <w:t> </w:t>
      </w:r>
      <w:r>
        <w:rPr>
          <w:sz w:val="22"/>
        </w:rPr>
        <w:t>the State receives a 0% DSRIP domain score for the domain.</w:t>
      </w:r>
    </w:p>
    <w:p>
      <w:pPr>
        <w:pStyle w:val="BodyText"/>
      </w:pPr>
    </w:p>
    <w:p>
      <w:pPr>
        <w:pStyle w:val="BodyText"/>
        <w:spacing w:before="4"/>
        <w:rPr>
          <w:sz w:val="22"/>
        </w:rPr>
      </w:pPr>
    </w:p>
    <w:p>
      <w:pPr>
        <w:spacing w:before="0"/>
        <w:ind w:left="1219" w:right="0" w:firstLine="0"/>
        <w:jc w:val="left"/>
        <w:rPr>
          <w:sz w:val="22"/>
        </w:rPr>
      </w:pPr>
      <w:r>
        <w:rPr>
          <w:sz w:val="22"/>
        </w:rPr>
        <w:t>Using</w:t>
      </w:r>
      <w:r>
        <w:rPr>
          <w:spacing w:val="-8"/>
          <w:sz w:val="22"/>
        </w:rPr>
        <w:t> </w:t>
      </w:r>
      <w:r>
        <w:rPr>
          <w:sz w:val="22"/>
        </w:rPr>
        <w:t>the</w:t>
      </w:r>
      <w:r>
        <w:rPr>
          <w:spacing w:val="-2"/>
          <w:sz w:val="22"/>
        </w:rPr>
        <w:t> </w:t>
      </w:r>
      <w:r>
        <w:rPr>
          <w:sz w:val="22"/>
        </w:rPr>
        <w:t>Prevention</w:t>
      </w:r>
      <w:r>
        <w:rPr>
          <w:spacing w:val="-2"/>
          <w:sz w:val="22"/>
        </w:rPr>
        <w:t> </w:t>
      </w:r>
      <w:r>
        <w:rPr>
          <w:sz w:val="22"/>
        </w:rPr>
        <w:t>&amp;</w:t>
      </w:r>
      <w:r>
        <w:rPr>
          <w:spacing w:val="-4"/>
          <w:sz w:val="22"/>
        </w:rPr>
        <w:t> </w:t>
      </w:r>
      <w:r>
        <w:rPr>
          <w:sz w:val="22"/>
        </w:rPr>
        <w:t>Wellness</w:t>
      </w:r>
      <w:r>
        <w:rPr>
          <w:spacing w:val="-4"/>
          <w:sz w:val="22"/>
        </w:rPr>
        <w:t> </w:t>
      </w:r>
      <w:r>
        <w:rPr>
          <w:sz w:val="22"/>
        </w:rPr>
        <w:t>(P&amp;W)</w:t>
      </w:r>
      <w:r>
        <w:rPr>
          <w:spacing w:val="-4"/>
          <w:sz w:val="22"/>
        </w:rPr>
        <w:t> </w:t>
      </w:r>
      <w:r>
        <w:rPr>
          <w:sz w:val="22"/>
        </w:rPr>
        <w:t>domain</w:t>
      </w:r>
      <w:r>
        <w:rPr>
          <w:spacing w:val="-3"/>
          <w:sz w:val="22"/>
        </w:rPr>
        <w:t> </w:t>
      </w:r>
      <w:r>
        <w:rPr>
          <w:sz w:val="22"/>
        </w:rPr>
        <w:t>in</w:t>
      </w:r>
      <w:r>
        <w:rPr>
          <w:spacing w:val="-2"/>
          <w:sz w:val="22"/>
        </w:rPr>
        <w:t> </w:t>
      </w:r>
      <w:r>
        <w:rPr>
          <w:sz w:val="22"/>
        </w:rPr>
        <w:t>BP2</w:t>
      </w:r>
      <w:r>
        <w:rPr>
          <w:spacing w:val="-2"/>
          <w:sz w:val="22"/>
        </w:rPr>
        <w:t> </w:t>
      </w:r>
      <w:r>
        <w:rPr>
          <w:sz w:val="22"/>
        </w:rPr>
        <w:t>as</w:t>
      </w:r>
      <w:r>
        <w:rPr>
          <w:spacing w:val="-2"/>
          <w:sz w:val="22"/>
        </w:rPr>
        <w:t> </w:t>
      </w:r>
      <w:r>
        <w:rPr>
          <w:sz w:val="22"/>
        </w:rPr>
        <w:t>an</w:t>
      </w:r>
      <w:r>
        <w:rPr>
          <w:spacing w:val="-5"/>
          <w:sz w:val="22"/>
        </w:rPr>
        <w:t> </w:t>
      </w:r>
      <w:r>
        <w:rPr>
          <w:spacing w:val="-2"/>
          <w:sz w:val="22"/>
        </w:rPr>
        <w:t>example:</w:t>
      </w:r>
    </w:p>
    <w:p>
      <w:pPr>
        <w:pStyle w:val="ListParagraph"/>
        <w:numPr>
          <w:ilvl w:val="1"/>
          <w:numId w:val="81"/>
        </w:numPr>
        <w:tabs>
          <w:tab w:pos="1937" w:val="left" w:leader="none"/>
          <w:tab w:pos="1939" w:val="left" w:leader="none"/>
        </w:tabs>
        <w:spacing w:line="240" w:lineRule="auto" w:before="158" w:after="0"/>
        <w:ind w:left="1939" w:right="1095" w:hanging="361"/>
        <w:jc w:val="both"/>
        <w:rPr>
          <w:sz w:val="22"/>
        </w:rPr>
      </w:pPr>
      <w:r>
        <w:rPr>
          <w:sz w:val="22"/>
        </w:rPr>
        <w:t>The P&amp;W pooled aggregate domain score from BP1 is calculated using only the Achievement Points</w:t>
      </w:r>
      <w:r>
        <w:rPr>
          <w:spacing w:val="-7"/>
          <w:sz w:val="22"/>
        </w:rPr>
        <w:t> </w:t>
      </w:r>
      <w:r>
        <w:rPr>
          <w:sz w:val="22"/>
        </w:rPr>
        <w:t>(as</w:t>
      </w:r>
      <w:r>
        <w:rPr>
          <w:spacing w:val="-9"/>
          <w:sz w:val="22"/>
        </w:rPr>
        <w:t> </w:t>
      </w:r>
      <w:r>
        <w:rPr>
          <w:sz w:val="22"/>
        </w:rPr>
        <w:t>outlined</w:t>
      </w:r>
      <w:r>
        <w:rPr>
          <w:spacing w:val="-9"/>
          <w:sz w:val="22"/>
        </w:rPr>
        <w:t> </w:t>
      </w:r>
      <w:r>
        <w:rPr>
          <w:sz w:val="22"/>
        </w:rPr>
        <w:t>in</w:t>
      </w:r>
      <w:r>
        <w:rPr>
          <w:spacing w:val="-7"/>
          <w:sz w:val="22"/>
        </w:rPr>
        <w:t> </w:t>
      </w:r>
      <w:r>
        <w:rPr>
          <w:sz w:val="22"/>
        </w:rPr>
        <w:t>Section</w:t>
      </w:r>
      <w:r>
        <w:rPr>
          <w:spacing w:val="-7"/>
          <w:sz w:val="22"/>
        </w:rPr>
        <w:t> </w:t>
      </w:r>
      <w:r>
        <w:rPr>
          <w:sz w:val="22"/>
        </w:rPr>
        <w:t>5.3.1.2).</w:t>
      </w:r>
      <w:r>
        <w:rPr>
          <w:spacing w:val="-7"/>
          <w:sz w:val="22"/>
        </w:rPr>
        <w:t> </w:t>
      </w:r>
      <w:r>
        <w:rPr>
          <w:sz w:val="22"/>
        </w:rPr>
        <w:t>Pay-for-Reporting</w:t>
      </w:r>
      <w:r>
        <w:rPr>
          <w:spacing w:val="-10"/>
          <w:sz w:val="22"/>
        </w:rPr>
        <w:t> </w:t>
      </w:r>
      <w:r>
        <w:rPr>
          <w:sz w:val="22"/>
        </w:rPr>
        <w:t>(P4R)</w:t>
      </w:r>
      <w:r>
        <w:rPr>
          <w:spacing w:val="-6"/>
          <w:sz w:val="22"/>
        </w:rPr>
        <w:t> </w:t>
      </w:r>
      <w:r>
        <w:rPr>
          <w:sz w:val="22"/>
        </w:rPr>
        <w:t>Points</w:t>
      </w:r>
      <w:r>
        <w:rPr>
          <w:spacing w:val="-9"/>
          <w:sz w:val="22"/>
        </w:rPr>
        <w:t> </w:t>
      </w:r>
      <w:r>
        <w:rPr>
          <w:sz w:val="22"/>
        </w:rPr>
        <w:t>earned</w:t>
      </w:r>
      <w:r>
        <w:rPr>
          <w:spacing w:val="-10"/>
          <w:sz w:val="22"/>
        </w:rPr>
        <w:t> </w:t>
      </w:r>
      <w:r>
        <w:rPr>
          <w:sz w:val="22"/>
        </w:rPr>
        <w:t>by</w:t>
      </w:r>
      <w:r>
        <w:rPr>
          <w:spacing w:val="-10"/>
          <w:sz w:val="22"/>
        </w:rPr>
        <w:t> </w:t>
      </w:r>
      <w:r>
        <w:rPr>
          <w:sz w:val="22"/>
        </w:rPr>
        <w:t>ACOs</w:t>
      </w:r>
      <w:r>
        <w:rPr>
          <w:spacing w:val="-7"/>
          <w:sz w:val="22"/>
        </w:rPr>
        <w:t> </w:t>
      </w:r>
      <w:r>
        <w:rPr>
          <w:sz w:val="22"/>
        </w:rPr>
        <w:t>in</w:t>
      </w:r>
      <w:r>
        <w:rPr>
          <w:spacing w:val="-7"/>
          <w:sz w:val="22"/>
        </w:rPr>
        <w:t> </w:t>
      </w:r>
      <w:r>
        <w:rPr>
          <w:sz w:val="22"/>
        </w:rPr>
        <w:t>BP1</w:t>
      </w:r>
      <w:r>
        <w:rPr>
          <w:spacing w:val="-10"/>
          <w:sz w:val="22"/>
        </w:rPr>
        <w:t> </w:t>
      </w:r>
      <w:r>
        <w:rPr>
          <w:sz w:val="22"/>
        </w:rPr>
        <w:t>for the purposes of calculating ACO Accountability are not included.</w:t>
      </w:r>
    </w:p>
    <w:p>
      <w:pPr>
        <w:pStyle w:val="ListParagraph"/>
        <w:numPr>
          <w:ilvl w:val="1"/>
          <w:numId w:val="81"/>
        </w:numPr>
        <w:tabs>
          <w:tab w:pos="1937" w:val="left" w:leader="none"/>
          <w:tab w:pos="1939" w:val="left" w:leader="none"/>
        </w:tabs>
        <w:spacing w:line="240" w:lineRule="auto" w:before="199" w:after="0"/>
        <w:ind w:left="1939" w:right="1091" w:hanging="361"/>
        <w:jc w:val="both"/>
        <w:rPr>
          <w:sz w:val="22"/>
        </w:rPr>
      </w:pPr>
      <w:r>
        <w:rPr>
          <w:sz w:val="22"/>
        </w:rPr>
        <w:t>If</w:t>
      </w:r>
      <w:r>
        <w:rPr>
          <w:spacing w:val="-14"/>
          <w:sz w:val="22"/>
        </w:rPr>
        <w:t> </w:t>
      </w:r>
      <w:r>
        <w:rPr>
          <w:sz w:val="22"/>
        </w:rPr>
        <w:t>the</w:t>
      </w:r>
      <w:r>
        <w:rPr>
          <w:spacing w:val="-14"/>
          <w:sz w:val="22"/>
        </w:rPr>
        <w:t> </w:t>
      </w:r>
      <w:r>
        <w:rPr>
          <w:sz w:val="22"/>
        </w:rPr>
        <w:t>P&amp;W</w:t>
      </w:r>
      <w:r>
        <w:rPr>
          <w:spacing w:val="-14"/>
          <w:sz w:val="22"/>
        </w:rPr>
        <w:t> </w:t>
      </w:r>
      <w:r>
        <w:rPr>
          <w:sz w:val="22"/>
        </w:rPr>
        <w:t>aggregate</w:t>
      </w:r>
      <w:r>
        <w:rPr>
          <w:spacing w:val="-13"/>
          <w:sz w:val="22"/>
        </w:rPr>
        <w:t> </w:t>
      </w:r>
      <w:r>
        <w:rPr>
          <w:sz w:val="22"/>
        </w:rPr>
        <w:t>domain</w:t>
      </w:r>
      <w:r>
        <w:rPr>
          <w:spacing w:val="-14"/>
          <w:sz w:val="22"/>
        </w:rPr>
        <w:t> </w:t>
      </w:r>
      <w:r>
        <w:rPr>
          <w:sz w:val="22"/>
        </w:rPr>
        <w:t>score</w:t>
      </w:r>
      <w:r>
        <w:rPr>
          <w:spacing w:val="-14"/>
          <w:sz w:val="22"/>
        </w:rPr>
        <w:t> </w:t>
      </w:r>
      <w:r>
        <w:rPr>
          <w:sz w:val="22"/>
        </w:rPr>
        <w:t>in</w:t>
      </w:r>
      <w:r>
        <w:rPr>
          <w:spacing w:val="-14"/>
          <w:sz w:val="22"/>
        </w:rPr>
        <w:t> </w:t>
      </w:r>
      <w:r>
        <w:rPr>
          <w:sz w:val="22"/>
        </w:rPr>
        <w:t>BP2</w:t>
      </w:r>
      <w:r>
        <w:rPr>
          <w:spacing w:val="-13"/>
          <w:sz w:val="22"/>
        </w:rPr>
        <w:t> </w:t>
      </w:r>
      <w:r>
        <w:rPr>
          <w:sz w:val="22"/>
        </w:rPr>
        <w:t>is</w:t>
      </w:r>
      <w:r>
        <w:rPr>
          <w:spacing w:val="-14"/>
          <w:sz w:val="22"/>
        </w:rPr>
        <w:t> </w:t>
      </w:r>
      <w:r>
        <w:rPr>
          <w:sz w:val="22"/>
        </w:rPr>
        <w:t>not</w:t>
      </w:r>
      <w:r>
        <w:rPr>
          <w:spacing w:val="-14"/>
          <w:sz w:val="22"/>
        </w:rPr>
        <w:t> </w:t>
      </w:r>
      <w:r>
        <w:rPr>
          <w:sz w:val="22"/>
        </w:rPr>
        <w:t>statistically</w:t>
      </w:r>
      <w:r>
        <w:rPr>
          <w:spacing w:val="-14"/>
          <w:sz w:val="22"/>
        </w:rPr>
        <w:t> </w:t>
      </w:r>
      <w:r>
        <w:rPr>
          <w:sz w:val="22"/>
        </w:rPr>
        <w:t>worse</w:t>
      </w:r>
      <w:r>
        <w:rPr>
          <w:spacing w:val="-13"/>
          <w:sz w:val="22"/>
        </w:rPr>
        <w:t> </w:t>
      </w:r>
      <w:r>
        <w:rPr>
          <w:sz w:val="22"/>
        </w:rPr>
        <w:t>(i.e.,</w:t>
      </w:r>
      <w:r>
        <w:rPr>
          <w:spacing w:val="-14"/>
          <w:sz w:val="22"/>
        </w:rPr>
        <w:t> </w:t>
      </w:r>
      <w:r>
        <w:rPr>
          <w:sz w:val="22"/>
        </w:rPr>
        <w:t>comparable</w:t>
      </w:r>
      <w:r>
        <w:rPr>
          <w:spacing w:val="-14"/>
          <w:sz w:val="22"/>
        </w:rPr>
        <w:t> </w:t>
      </w:r>
      <w:r>
        <w:rPr>
          <w:sz w:val="22"/>
        </w:rPr>
        <w:t>or</w:t>
      </w:r>
      <w:r>
        <w:rPr>
          <w:spacing w:val="-14"/>
          <w:sz w:val="22"/>
        </w:rPr>
        <w:t> </w:t>
      </w:r>
      <w:r>
        <w:rPr>
          <w:sz w:val="22"/>
        </w:rPr>
        <w:t>statistically better)</w:t>
      </w:r>
      <w:r>
        <w:rPr>
          <w:spacing w:val="-1"/>
          <w:sz w:val="22"/>
        </w:rPr>
        <w:t> </w:t>
      </w:r>
      <w:r>
        <w:rPr>
          <w:sz w:val="22"/>
        </w:rPr>
        <w:t>than</w:t>
      </w:r>
      <w:r>
        <w:rPr>
          <w:spacing w:val="-2"/>
          <w:sz w:val="22"/>
        </w:rPr>
        <w:t> </w:t>
      </w:r>
      <w:r>
        <w:rPr>
          <w:sz w:val="22"/>
        </w:rPr>
        <w:t>the P&amp;W</w:t>
      </w:r>
      <w:r>
        <w:rPr>
          <w:spacing w:val="-2"/>
          <w:sz w:val="22"/>
        </w:rPr>
        <w:t> </w:t>
      </w:r>
      <w:r>
        <w:rPr>
          <w:sz w:val="22"/>
        </w:rPr>
        <w:t>aggregate domain score</w:t>
      </w:r>
      <w:r>
        <w:rPr>
          <w:spacing w:val="-2"/>
          <w:sz w:val="22"/>
        </w:rPr>
        <w:t> </w:t>
      </w:r>
      <w:r>
        <w:rPr>
          <w:sz w:val="22"/>
        </w:rPr>
        <w:t>in</w:t>
      </w:r>
      <w:r>
        <w:rPr>
          <w:spacing w:val="-2"/>
          <w:sz w:val="22"/>
        </w:rPr>
        <w:t> </w:t>
      </w:r>
      <w:r>
        <w:rPr>
          <w:sz w:val="22"/>
        </w:rPr>
        <w:t>BP1,</w:t>
      </w:r>
      <w:r>
        <w:rPr>
          <w:spacing w:val="-2"/>
          <w:sz w:val="22"/>
        </w:rPr>
        <w:t> </w:t>
      </w:r>
      <w:r>
        <w:rPr>
          <w:sz w:val="22"/>
        </w:rPr>
        <w:t>then the BP2</w:t>
      </w:r>
      <w:r>
        <w:rPr>
          <w:spacing w:val="-2"/>
          <w:sz w:val="22"/>
        </w:rPr>
        <w:t> </w:t>
      </w:r>
      <w:r>
        <w:rPr>
          <w:sz w:val="22"/>
        </w:rPr>
        <w:t>P&amp;W DSRIP domain score</w:t>
      </w:r>
      <w:r>
        <w:rPr>
          <w:spacing w:val="-2"/>
          <w:sz w:val="22"/>
        </w:rPr>
        <w:t> </w:t>
      </w:r>
      <w:r>
        <w:rPr>
          <w:sz w:val="22"/>
        </w:rPr>
        <w:t>is </w:t>
      </w:r>
      <w:r>
        <w:rPr>
          <w:spacing w:val="-2"/>
          <w:sz w:val="22"/>
        </w:rPr>
        <w:t>100%.</w:t>
      </w:r>
    </w:p>
    <w:p>
      <w:pPr>
        <w:pStyle w:val="ListParagraph"/>
        <w:numPr>
          <w:ilvl w:val="1"/>
          <w:numId w:val="81"/>
        </w:numPr>
        <w:tabs>
          <w:tab w:pos="1937" w:val="left" w:leader="none"/>
          <w:tab w:pos="1939" w:val="left" w:leader="none"/>
        </w:tabs>
        <w:spacing w:line="240" w:lineRule="auto" w:before="199" w:after="0"/>
        <w:ind w:left="1939" w:right="1094" w:hanging="361"/>
        <w:jc w:val="both"/>
        <w:rPr>
          <w:sz w:val="22"/>
        </w:rPr>
      </w:pPr>
      <w:r>
        <w:rPr>
          <w:sz w:val="22"/>
        </w:rPr>
        <w:t>If the P&amp;W aggregate domain</w:t>
      </w:r>
      <w:r>
        <w:rPr>
          <w:spacing w:val="-2"/>
          <w:sz w:val="22"/>
        </w:rPr>
        <w:t> </w:t>
      </w:r>
      <w:r>
        <w:rPr>
          <w:sz w:val="22"/>
        </w:rPr>
        <w:t>score</w:t>
      </w:r>
      <w:r>
        <w:rPr>
          <w:spacing w:val="-2"/>
          <w:sz w:val="22"/>
        </w:rPr>
        <w:t> </w:t>
      </w:r>
      <w:r>
        <w:rPr>
          <w:sz w:val="22"/>
        </w:rPr>
        <w:t>in BP2</w:t>
      </w:r>
      <w:r>
        <w:rPr>
          <w:spacing w:val="-2"/>
          <w:sz w:val="22"/>
        </w:rPr>
        <w:t> </w:t>
      </w:r>
      <w:r>
        <w:rPr>
          <w:sz w:val="22"/>
        </w:rPr>
        <w:t>is</w:t>
      </w:r>
      <w:r>
        <w:rPr>
          <w:spacing w:val="-2"/>
          <w:sz w:val="22"/>
        </w:rPr>
        <w:t> </w:t>
      </w:r>
      <w:r>
        <w:rPr>
          <w:sz w:val="22"/>
        </w:rPr>
        <w:t>statistically</w:t>
      </w:r>
      <w:r>
        <w:rPr>
          <w:spacing w:val="-2"/>
          <w:sz w:val="22"/>
        </w:rPr>
        <w:t> </w:t>
      </w:r>
      <w:r>
        <w:rPr>
          <w:sz w:val="22"/>
        </w:rPr>
        <w:t>worse</w:t>
      </w:r>
      <w:r>
        <w:rPr>
          <w:spacing w:val="-2"/>
          <w:sz w:val="22"/>
        </w:rPr>
        <w:t> </w:t>
      </w:r>
      <w:r>
        <w:rPr>
          <w:sz w:val="22"/>
        </w:rPr>
        <w:t>than</w:t>
      </w:r>
      <w:r>
        <w:rPr>
          <w:spacing w:val="-2"/>
          <w:sz w:val="22"/>
        </w:rPr>
        <w:t> </w:t>
      </w:r>
      <w:r>
        <w:rPr>
          <w:sz w:val="22"/>
        </w:rPr>
        <w:t>the</w:t>
      </w:r>
      <w:r>
        <w:rPr>
          <w:spacing w:val="-2"/>
          <w:sz w:val="22"/>
        </w:rPr>
        <w:t> </w:t>
      </w:r>
      <w:r>
        <w:rPr>
          <w:sz w:val="22"/>
        </w:rPr>
        <w:t>P&amp;W aggregate domain score in BP1, then the BP2 P&amp;W DSRIP domain score is 0%</w:t>
      </w:r>
    </w:p>
    <w:p>
      <w:pPr>
        <w:spacing w:before="201"/>
        <w:ind w:left="1219" w:right="0" w:firstLine="0"/>
        <w:jc w:val="left"/>
        <w:rPr>
          <w:sz w:val="22"/>
        </w:rPr>
      </w:pPr>
      <w:r>
        <w:rPr>
          <w:sz w:val="22"/>
        </w:rPr>
        <w:t>Using</w:t>
      </w:r>
      <w:r>
        <w:rPr>
          <w:spacing w:val="-8"/>
          <w:sz w:val="22"/>
        </w:rPr>
        <w:t> </w:t>
      </w:r>
      <w:r>
        <w:rPr>
          <w:sz w:val="22"/>
        </w:rPr>
        <w:t>the</w:t>
      </w:r>
      <w:r>
        <w:rPr>
          <w:spacing w:val="-2"/>
          <w:sz w:val="22"/>
        </w:rPr>
        <w:t> </w:t>
      </w:r>
      <w:r>
        <w:rPr>
          <w:sz w:val="22"/>
        </w:rPr>
        <w:t>Prevention</w:t>
      </w:r>
      <w:r>
        <w:rPr>
          <w:spacing w:val="-2"/>
          <w:sz w:val="22"/>
        </w:rPr>
        <w:t> </w:t>
      </w:r>
      <w:r>
        <w:rPr>
          <w:sz w:val="22"/>
        </w:rPr>
        <w:t>&amp;</w:t>
      </w:r>
      <w:r>
        <w:rPr>
          <w:spacing w:val="-4"/>
          <w:sz w:val="22"/>
        </w:rPr>
        <w:t> </w:t>
      </w:r>
      <w:r>
        <w:rPr>
          <w:sz w:val="22"/>
        </w:rPr>
        <w:t>Wellness</w:t>
      </w:r>
      <w:r>
        <w:rPr>
          <w:spacing w:val="-4"/>
          <w:sz w:val="22"/>
        </w:rPr>
        <w:t> </w:t>
      </w:r>
      <w:r>
        <w:rPr>
          <w:sz w:val="22"/>
        </w:rPr>
        <w:t>(P&amp;W)</w:t>
      </w:r>
      <w:r>
        <w:rPr>
          <w:spacing w:val="-4"/>
          <w:sz w:val="22"/>
        </w:rPr>
        <w:t> </w:t>
      </w:r>
      <w:r>
        <w:rPr>
          <w:sz w:val="22"/>
        </w:rPr>
        <w:t>domain</w:t>
      </w:r>
      <w:r>
        <w:rPr>
          <w:spacing w:val="-2"/>
          <w:sz w:val="22"/>
        </w:rPr>
        <w:t> </w:t>
      </w:r>
      <w:r>
        <w:rPr>
          <w:sz w:val="22"/>
        </w:rPr>
        <w:t>in</w:t>
      </w:r>
      <w:r>
        <w:rPr>
          <w:spacing w:val="-2"/>
          <w:sz w:val="22"/>
        </w:rPr>
        <w:t> </w:t>
      </w:r>
      <w:r>
        <w:rPr>
          <w:sz w:val="22"/>
        </w:rPr>
        <w:t>BP4</w:t>
      </w:r>
      <w:r>
        <w:rPr>
          <w:spacing w:val="-2"/>
          <w:sz w:val="22"/>
        </w:rPr>
        <w:t> </w:t>
      </w:r>
      <w:r>
        <w:rPr>
          <w:sz w:val="22"/>
        </w:rPr>
        <w:t>as</w:t>
      </w:r>
      <w:r>
        <w:rPr>
          <w:spacing w:val="-2"/>
          <w:sz w:val="22"/>
        </w:rPr>
        <w:t> </w:t>
      </w:r>
      <w:r>
        <w:rPr>
          <w:sz w:val="22"/>
        </w:rPr>
        <w:t>an</w:t>
      </w:r>
      <w:r>
        <w:rPr>
          <w:spacing w:val="-5"/>
          <w:sz w:val="22"/>
        </w:rPr>
        <w:t> </w:t>
      </w:r>
      <w:r>
        <w:rPr>
          <w:spacing w:val="-2"/>
          <w:sz w:val="22"/>
        </w:rPr>
        <w:t>example:</w:t>
      </w:r>
    </w:p>
    <w:p>
      <w:pPr>
        <w:pStyle w:val="ListParagraph"/>
        <w:numPr>
          <w:ilvl w:val="1"/>
          <w:numId w:val="81"/>
        </w:numPr>
        <w:tabs>
          <w:tab w:pos="1937" w:val="left" w:leader="none"/>
          <w:tab w:pos="1939" w:val="left" w:leader="none"/>
        </w:tabs>
        <w:spacing w:line="240" w:lineRule="auto" w:before="159" w:after="0"/>
        <w:ind w:left="1939" w:right="1094" w:hanging="361"/>
        <w:jc w:val="both"/>
        <w:rPr>
          <w:sz w:val="22"/>
        </w:rPr>
      </w:pPr>
      <w:r>
        <w:rPr>
          <w:sz w:val="22"/>
        </w:rPr>
        <w:t>The P&amp;W aggregate domain score for BP1 is calculated using only the Achievement Points (as outlined in Section 5.3.1.2). Pay-for-Reporting (P4R) Points earned by ACOs in BP1 for the purposes of calculating ACO Accountability are not included. The P&amp;W aggregate domain score for BP2 is calculated using the Achievement Points (as outlined in Section 5.3.1.2). Improvement points</w:t>
      </w:r>
      <w:r>
        <w:rPr>
          <w:spacing w:val="-2"/>
          <w:sz w:val="22"/>
        </w:rPr>
        <w:t> </w:t>
      </w:r>
      <w:r>
        <w:rPr>
          <w:sz w:val="22"/>
        </w:rPr>
        <w:t>potentially</w:t>
      </w:r>
      <w:r>
        <w:rPr>
          <w:spacing w:val="-5"/>
          <w:sz w:val="22"/>
        </w:rPr>
        <w:t> </w:t>
      </w:r>
      <w:r>
        <w:rPr>
          <w:sz w:val="22"/>
        </w:rPr>
        <w:t>earned</w:t>
      </w:r>
      <w:r>
        <w:rPr>
          <w:spacing w:val="-5"/>
          <w:sz w:val="22"/>
        </w:rPr>
        <w:t> </w:t>
      </w:r>
      <w:r>
        <w:rPr>
          <w:sz w:val="22"/>
        </w:rPr>
        <w:t>by</w:t>
      </w:r>
      <w:r>
        <w:rPr>
          <w:spacing w:val="-5"/>
          <w:sz w:val="22"/>
        </w:rPr>
        <w:t> </w:t>
      </w:r>
      <w:r>
        <w:rPr>
          <w:sz w:val="22"/>
        </w:rPr>
        <w:t>ACOs</w:t>
      </w:r>
      <w:r>
        <w:rPr>
          <w:spacing w:val="-2"/>
          <w:sz w:val="22"/>
        </w:rPr>
        <w:t> </w:t>
      </w:r>
      <w:r>
        <w:rPr>
          <w:sz w:val="22"/>
        </w:rPr>
        <w:t>in</w:t>
      </w:r>
      <w:r>
        <w:rPr>
          <w:spacing w:val="-5"/>
          <w:sz w:val="22"/>
        </w:rPr>
        <w:t> </w:t>
      </w:r>
      <w:r>
        <w:rPr>
          <w:sz w:val="22"/>
        </w:rPr>
        <w:t>BP2</w:t>
      </w:r>
      <w:r>
        <w:rPr>
          <w:spacing w:val="-5"/>
          <w:sz w:val="22"/>
        </w:rPr>
        <w:t> </w:t>
      </w:r>
      <w:r>
        <w:rPr>
          <w:sz w:val="22"/>
        </w:rPr>
        <w:t>for</w:t>
      </w:r>
      <w:r>
        <w:rPr>
          <w:spacing w:val="-4"/>
          <w:sz w:val="22"/>
        </w:rPr>
        <w:t> </w:t>
      </w:r>
      <w:r>
        <w:rPr>
          <w:sz w:val="22"/>
        </w:rPr>
        <w:t>the</w:t>
      </w:r>
      <w:r>
        <w:rPr>
          <w:spacing w:val="-2"/>
          <w:sz w:val="22"/>
        </w:rPr>
        <w:t> </w:t>
      </w:r>
      <w:r>
        <w:rPr>
          <w:sz w:val="22"/>
        </w:rPr>
        <w:t>purposes</w:t>
      </w:r>
      <w:r>
        <w:rPr>
          <w:spacing w:val="-4"/>
          <w:sz w:val="22"/>
        </w:rPr>
        <w:t> </w:t>
      </w:r>
      <w:r>
        <w:rPr>
          <w:sz w:val="22"/>
        </w:rPr>
        <w:t>of</w:t>
      </w:r>
      <w:r>
        <w:rPr>
          <w:spacing w:val="-4"/>
          <w:sz w:val="22"/>
        </w:rPr>
        <w:t> </w:t>
      </w:r>
      <w:r>
        <w:rPr>
          <w:sz w:val="22"/>
        </w:rPr>
        <w:t>calculating</w:t>
      </w:r>
      <w:r>
        <w:rPr>
          <w:spacing w:val="-5"/>
          <w:sz w:val="22"/>
        </w:rPr>
        <w:t> </w:t>
      </w:r>
      <w:r>
        <w:rPr>
          <w:sz w:val="22"/>
        </w:rPr>
        <w:t>ACO</w:t>
      </w:r>
      <w:r>
        <w:rPr>
          <w:spacing w:val="-3"/>
          <w:sz w:val="22"/>
        </w:rPr>
        <w:t> </w:t>
      </w:r>
      <w:r>
        <w:rPr>
          <w:sz w:val="22"/>
        </w:rPr>
        <w:t>Accountability</w:t>
      </w:r>
      <w:r>
        <w:rPr>
          <w:spacing w:val="-5"/>
          <w:sz w:val="22"/>
        </w:rPr>
        <w:t> </w:t>
      </w:r>
      <w:r>
        <w:rPr>
          <w:sz w:val="22"/>
        </w:rPr>
        <w:t>are not included.</w:t>
      </w:r>
      <w:r>
        <w:rPr>
          <w:spacing w:val="40"/>
          <w:sz w:val="22"/>
        </w:rPr>
        <w:t> </w:t>
      </w:r>
      <w:r>
        <w:rPr>
          <w:sz w:val="22"/>
        </w:rPr>
        <w:t>Therefore, the pooled aggregate domain score from</w:t>
      </w:r>
      <w:r>
        <w:rPr>
          <w:spacing w:val="-4"/>
          <w:sz w:val="22"/>
        </w:rPr>
        <w:t> </w:t>
      </w:r>
      <w:r>
        <w:rPr>
          <w:sz w:val="22"/>
        </w:rPr>
        <w:t>BP1 through BP2 is based only on the Achievement Points earned during those BPs.</w:t>
      </w:r>
    </w:p>
    <w:p>
      <w:pPr>
        <w:pStyle w:val="ListParagraph"/>
        <w:numPr>
          <w:ilvl w:val="1"/>
          <w:numId w:val="81"/>
        </w:numPr>
        <w:tabs>
          <w:tab w:pos="1937" w:val="left" w:leader="none"/>
          <w:tab w:pos="1939" w:val="left" w:leader="none"/>
        </w:tabs>
        <w:spacing w:line="240" w:lineRule="auto" w:before="199" w:after="0"/>
        <w:ind w:left="1939" w:right="1091" w:hanging="361"/>
        <w:jc w:val="both"/>
        <w:rPr>
          <w:sz w:val="22"/>
        </w:rPr>
      </w:pPr>
      <w:r>
        <w:rPr>
          <w:sz w:val="22"/>
        </w:rPr>
        <w:t>If</w:t>
      </w:r>
      <w:r>
        <w:rPr>
          <w:spacing w:val="-14"/>
          <w:sz w:val="22"/>
        </w:rPr>
        <w:t> </w:t>
      </w:r>
      <w:r>
        <w:rPr>
          <w:sz w:val="22"/>
        </w:rPr>
        <w:t>the</w:t>
      </w:r>
      <w:r>
        <w:rPr>
          <w:spacing w:val="-14"/>
          <w:sz w:val="22"/>
        </w:rPr>
        <w:t> </w:t>
      </w:r>
      <w:r>
        <w:rPr>
          <w:sz w:val="22"/>
        </w:rPr>
        <w:t>P&amp;W</w:t>
      </w:r>
      <w:r>
        <w:rPr>
          <w:spacing w:val="-14"/>
          <w:sz w:val="22"/>
        </w:rPr>
        <w:t> </w:t>
      </w:r>
      <w:r>
        <w:rPr>
          <w:sz w:val="22"/>
        </w:rPr>
        <w:t>aggregate</w:t>
      </w:r>
      <w:r>
        <w:rPr>
          <w:spacing w:val="-13"/>
          <w:sz w:val="22"/>
        </w:rPr>
        <w:t> </w:t>
      </w:r>
      <w:r>
        <w:rPr>
          <w:sz w:val="22"/>
        </w:rPr>
        <w:t>domain</w:t>
      </w:r>
      <w:r>
        <w:rPr>
          <w:spacing w:val="-14"/>
          <w:sz w:val="22"/>
        </w:rPr>
        <w:t> </w:t>
      </w:r>
      <w:r>
        <w:rPr>
          <w:sz w:val="22"/>
        </w:rPr>
        <w:t>score</w:t>
      </w:r>
      <w:r>
        <w:rPr>
          <w:spacing w:val="-14"/>
          <w:sz w:val="22"/>
        </w:rPr>
        <w:t> </w:t>
      </w:r>
      <w:r>
        <w:rPr>
          <w:sz w:val="22"/>
        </w:rPr>
        <w:t>in</w:t>
      </w:r>
      <w:r>
        <w:rPr>
          <w:spacing w:val="-14"/>
          <w:sz w:val="22"/>
        </w:rPr>
        <w:t> </w:t>
      </w:r>
      <w:r>
        <w:rPr>
          <w:sz w:val="22"/>
        </w:rPr>
        <w:t>BP3</w:t>
      </w:r>
      <w:r>
        <w:rPr>
          <w:spacing w:val="-13"/>
          <w:sz w:val="22"/>
        </w:rPr>
        <w:t> </w:t>
      </w:r>
      <w:r>
        <w:rPr>
          <w:sz w:val="22"/>
        </w:rPr>
        <w:t>is</w:t>
      </w:r>
      <w:r>
        <w:rPr>
          <w:spacing w:val="-14"/>
          <w:sz w:val="22"/>
        </w:rPr>
        <w:t> </w:t>
      </w:r>
      <w:r>
        <w:rPr>
          <w:sz w:val="22"/>
        </w:rPr>
        <w:t>not</w:t>
      </w:r>
      <w:r>
        <w:rPr>
          <w:spacing w:val="-14"/>
          <w:sz w:val="22"/>
        </w:rPr>
        <w:t> </w:t>
      </w:r>
      <w:r>
        <w:rPr>
          <w:sz w:val="22"/>
        </w:rPr>
        <w:t>statistically</w:t>
      </w:r>
      <w:r>
        <w:rPr>
          <w:spacing w:val="-14"/>
          <w:sz w:val="22"/>
        </w:rPr>
        <w:t> </w:t>
      </w:r>
      <w:r>
        <w:rPr>
          <w:sz w:val="22"/>
        </w:rPr>
        <w:t>worse</w:t>
      </w:r>
      <w:r>
        <w:rPr>
          <w:spacing w:val="-13"/>
          <w:sz w:val="22"/>
        </w:rPr>
        <w:t> </w:t>
      </w:r>
      <w:r>
        <w:rPr>
          <w:sz w:val="22"/>
        </w:rPr>
        <w:t>(i.e.,</w:t>
      </w:r>
      <w:r>
        <w:rPr>
          <w:spacing w:val="-14"/>
          <w:sz w:val="22"/>
        </w:rPr>
        <w:t> </w:t>
      </w:r>
      <w:r>
        <w:rPr>
          <w:sz w:val="22"/>
        </w:rPr>
        <w:t>comparable</w:t>
      </w:r>
      <w:r>
        <w:rPr>
          <w:spacing w:val="-14"/>
          <w:sz w:val="22"/>
        </w:rPr>
        <w:t> </w:t>
      </w:r>
      <w:r>
        <w:rPr>
          <w:sz w:val="22"/>
        </w:rPr>
        <w:t>or</w:t>
      </w:r>
      <w:r>
        <w:rPr>
          <w:spacing w:val="-14"/>
          <w:sz w:val="22"/>
        </w:rPr>
        <w:t> </w:t>
      </w:r>
      <w:r>
        <w:rPr>
          <w:sz w:val="22"/>
        </w:rPr>
        <w:t>statistically better)</w:t>
      </w:r>
      <w:r>
        <w:rPr>
          <w:spacing w:val="-3"/>
          <w:sz w:val="22"/>
        </w:rPr>
        <w:t> </w:t>
      </w:r>
      <w:r>
        <w:rPr>
          <w:sz w:val="22"/>
        </w:rPr>
        <w:t>than</w:t>
      </w:r>
      <w:r>
        <w:rPr>
          <w:spacing w:val="-4"/>
          <w:sz w:val="22"/>
        </w:rPr>
        <w:t> </w:t>
      </w:r>
      <w:r>
        <w:rPr>
          <w:sz w:val="22"/>
        </w:rPr>
        <w:t>the</w:t>
      </w:r>
      <w:r>
        <w:rPr>
          <w:spacing w:val="-3"/>
          <w:sz w:val="22"/>
        </w:rPr>
        <w:t> </w:t>
      </w:r>
      <w:r>
        <w:rPr>
          <w:sz w:val="22"/>
        </w:rPr>
        <w:t>pooled</w:t>
      </w:r>
      <w:r>
        <w:rPr>
          <w:spacing w:val="-4"/>
          <w:sz w:val="22"/>
        </w:rPr>
        <w:t> </w:t>
      </w:r>
      <w:r>
        <w:rPr>
          <w:sz w:val="22"/>
        </w:rPr>
        <w:t>P&amp;W</w:t>
      </w:r>
      <w:r>
        <w:rPr>
          <w:spacing w:val="-3"/>
          <w:sz w:val="22"/>
        </w:rPr>
        <w:t> </w:t>
      </w:r>
      <w:r>
        <w:rPr>
          <w:sz w:val="22"/>
        </w:rPr>
        <w:t>aggregate</w:t>
      </w:r>
      <w:r>
        <w:rPr>
          <w:spacing w:val="-3"/>
          <w:sz w:val="22"/>
        </w:rPr>
        <w:t> </w:t>
      </w:r>
      <w:r>
        <w:rPr>
          <w:sz w:val="22"/>
        </w:rPr>
        <w:t>domain</w:t>
      </w:r>
      <w:r>
        <w:rPr>
          <w:spacing w:val="-4"/>
          <w:sz w:val="22"/>
        </w:rPr>
        <w:t> </w:t>
      </w:r>
      <w:r>
        <w:rPr>
          <w:sz w:val="22"/>
        </w:rPr>
        <w:t>scores</w:t>
      </w:r>
      <w:r>
        <w:rPr>
          <w:spacing w:val="-6"/>
          <w:sz w:val="22"/>
        </w:rPr>
        <w:t> </w:t>
      </w:r>
      <w:r>
        <w:rPr>
          <w:sz w:val="22"/>
        </w:rPr>
        <w:t>from</w:t>
      </w:r>
      <w:r>
        <w:rPr>
          <w:spacing w:val="-7"/>
          <w:sz w:val="22"/>
        </w:rPr>
        <w:t> </w:t>
      </w:r>
      <w:r>
        <w:rPr>
          <w:sz w:val="22"/>
        </w:rPr>
        <w:t>BP1</w:t>
      </w:r>
      <w:r>
        <w:rPr>
          <w:spacing w:val="-4"/>
          <w:sz w:val="22"/>
        </w:rPr>
        <w:t> </w:t>
      </w:r>
      <w:r>
        <w:rPr>
          <w:sz w:val="22"/>
        </w:rPr>
        <w:t>through</w:t>
      </w:r>
      <w:r>
        <w:rPr>
          <w:spacing w:val="-4"/>
          <w:sz w:val="22"/>
        </w:rPr>
        <w:t> </w:t>
      </w:r>
      <w:r>
        <w:rPr>
          <w:sz w:val="22"/>
        </w:rPr>
        <w:t>BP2,</w:t>
      </w:r>
      <w:r>
        <w:rPr>
          <w:spacing w:val="-4"/>
          <w:sz w:val="22"/>
        </w:rPr>
        <w:t> </w:t>
      </w:r>
      <w:r>
        <w:rPr>
          <w:sz w:val="22"/>
        </w:rPr>
        <w:t>then</w:t>
      </w:r>
      <w:r>
        <w:rPr>
          <w:spacing w:val="-4"/>
          <w:sz w:val="22"/>
        </w:rPr>
        <w:t> </w:t>
      </w:r>
      <w:r>
        <w:rPr>
          <w:sz w:val="22"/>
        </w:rPr>
        <w:t>the</w:t>
      </w:r>
      <w:r>
        <w:rPr>
          <w:spacing w:val="-3"/>
          <w:sz w:val="22"/>
        </w:rPr>
        <w:t> </w:t>
      </w:r>
      <w:r>
        <w:rPr>
          <w:sz w:val="22"/>
        </w:rPr>
        <w:t>BP3</w:t>
      </w:r>
      <w:r>
        <w:rPr>
          <w:spacing w:val="-4"/>
          <w:sz w:val="22"/>
        </w:rPr>
        <w:t> </w:t>
      </w:r>
      <w:r>
        <w:rPr>
          <w:sz w:val="22"/>
        </w:rPr>
        <w:t>P&amp;W DSRIP domain score is 100%</w:t>
      </w:r>
    </w:p>
    <w:p>
      <w:pPr>
        <w:pStyle w:val="ListParagraph"/>
        <w:numPr>
          <w:ilvl w:val="1"/>
          <w:numId w:val="81"/>
        </w:numPr>
        <w:tabs>
          <w:tab w:pos="1937" w:val="left" w:leader="none"/>
          <w:tab w:pos="1939" w:val="left" w:leader="none"/>
        </w:tabs>
        <w:spacing w:line="240" w:lineRule="auto" w:before="199" w:after="0"/>
        <w:ind w:left="1939" w:right="1096" w:hanging="361"/>
        <w:jc w:val="both"/>
        <w:rPr>
          <w:sz w:val="22"/>
        </w:rPr>
      </w:pPr>
      <w:r>
        <w:rPr>
          <w:sz w:val="22"/>
        </w:rPr>
        <w:t>If the P&amp;W aggregate domain score in BP3 is statistically worse than the pooled P&amp;W aggregate domain scores from BP1 through BP2, then the BP3 P&amp;W DSRIP domain score is 0%</w:t>
      </w:r>
    </w:p>
    <w:p>
      <w:pPr>
        <w:spacing w:before="199"/>
        <w:ind w:left="1219" w:right="0" w:firstLine="0"/>
        <w:jc w:val="left"/>
        <w:rPr>
          <w:sz w:val="22"/>
        </w:rPr>
      </w:pPr>
      <w:r>
        <w:rPr>
          <w:sz w:val="22"/>
        </w:rPr>
        <w:t>See</w:t>
      </w:r>
      <w:r>
        <w:rPr>
          <w:spacing w:val="-3"/>
          <w:sz w:val="22"/>
        </w:rPr>
        <w:t> </w:t>
      </w:r>
      <w:r>
        <w:rPr>
          <w:sz w:val="22"/>
        </w:rPr>
        <w:t>Appendix</w:t>
      </w:r>
      <w:r>
        <w:rPr>
          <w:spacing w:val="-2"/>
          <w:sz w:val="22"/>
        </w:rPr>
        <w:t> </w:t>
      </w:r>
      <w:r>
        <w:rPr>
          <w:sz w:val="22"/>
        </w:rPr>
        <w:t>C</w:t>
      </w:r>
      <w:r>
        <w:rPr>
          <w:spacing w:val="-6"/>
          <w:sz w:val="22"/>
        </w:rPr>
        <w:t> </w:t>
      </w:r>
      <w:r>
        <w:rPr>
          <w:sz w:val="22"/>
        </w:rPr>
        <w:t>for</w:t>
      </w:r>
      <w:r>
        <w:rPr>
          <w:spacing w:val="-4"/>
          <w:sz w:val="22"/>
        </w:rPr>
        <w:t> </w:t>
      </w:r>
      <w:r>
        <w:rPr>
          <w:sz w:val="22"/>
        </w:rPr>
        <w:t>a</w:t>
      </w:r>
      <w:r>
        <w:rPr>
          <w:spacing w:val="-2"/>
          <w:sz w:val="22"/>
        </w:rPr>
        <w:t> </w:t>
      </w:r>
      <w:r>
        <w:rPr>
          <w:sz w:val="22"/>
        </w:rPr>
        <w:t>more</w:t>
      </w:r>
      <w:r>
        <w:rPr>
          <w:spacing w:val="-2"/>
          <w:sz w:val="22"/>
        </w:rPr>
        <w:t> </w:t>
      </w:r>
      <w:r>
        <w:rPr>
          <w:sz w:val="22"/>
        </w:rPr>
        <w:t>detailed</w:t>
      </w:r>
      <w:r>
        <w:rPr>
          <w:spacing w:val="-2"/>
          <w:sz w:val="22"/>
        </w:rPr>
        <w:t> </w:t>
      </w:r>
      <w:r>
        <w:rPr>
          <w:sz w:val="22"/>
        </w:rPr>
        <w:t>example</w:t>
      </w:r>
      <w:r>
        <w:rPr>
          <w:spacing w:val="-3"/>
          <w:sz w:val="22"/>
        </w:rPr>
        <w:t> </w:t>
      </w:r>
      <w:r>
        <w:rPr>
          <w:sz w:val="22"/>
        </w:rPr>
        <w:t>of</w:t>
      </w:r>
      <w:r>
        <w:rPr>
          <w:spacing w:val="-1"/>
          <w:sz w:val="22"/>
        </w:rPr>
        <w:t> </w:t>
      </w:r>
      <w:r>
        <w:rPr>
          <w:sz w:val="22"/>
        </w:rPr>
        <w:t>how</w:t>
      </w:r>
      <w:r>
        <w:rPr>
          <w:spacing w:val="-3"/>
          <w:sz w:val="22"/>
        </w:rPr>
        <w:t> </w:t>
      </w:r>
      <w:r>
        <w:rPr>
          <w:sz w:val="22"/>
        </w:rPr>
        <w:t>to</w:t>
      </w:r>
      <w:r>
        <w:rPr>
          <w:spacing w:val="-5"/>
          <w:sz w:val="22"/>
        </w:rPr>
        <w:t> </w:t>
      </w:r>
      <w:r>
        <w:rPr>
          <w:sz w:val="22"/>
        </w:rPr>
        <w:t>calculate</w:t>
      </w:r>
      <w:r>
        <w:rPr>
          <w:spacing w:val="-4"/>
          <w:sz w:val="22"/>
        </w:rPr>
        <w:t> </w:t>
      </w:r>
      <w:r>
        <w:rPr>
          <w:sz w:val="22"/>
        </w:rPr>
        <w:t>the</w:t>
      </w:r>
      <w:r>
        <w:rPr>
          <w:spacing w:val="-4"/>
          <w:sz w:val="22"/>
        </w:rPr>
        <w:t> </w:t>
      </w:r>
      <w:r>
        <w:rPr>
          <w:sz w:val="22"/>
        </w:rPr>
        <w:t>State’s</w:t>
      </w:r>
      <w:r>
        <w:rPr>
          <w:spacing w:val="-2"/>
          <w:sz w:val="22"/>
        </w:rPr>
        <w:t> </w:t>
      </w:r>
      <w:r>
        <w:rPr>
          <w:sz w:val="22"/>
        </w:rPr>
        <w:t>Quality</w:t>
      </w:r>
      <w:r>
        <w:rPr>
          <w:spacing w:val="-5"/>
          <w:sz w:val="22"/>
        </w:rPr>
        <w:t> </w:t>
      </w:r>
      <w:r>
        <w:rPr>
          <w:sz w:val="22"/>
        </w:rPr>
        <w:t>Domain</w:t>
      </w:r>
      <w:r>
        <w:rPr>
          <w:spacing w:val="-2"/>
          <w:sz w:val="22"/>
        </w:rPr>
        <w:t> score.</w:t>
      </w:r>
    </w:p>
    <w:p>
      <w:pPr>
        <w:spacing w:after="0"/>
        <w:jc w:val="left"/>
        <w:rPr>
          <w:sz w:val="22"/>
        </w:rPr>
        <w:sectPr>
          <w:pgSz w:w="12240" w:h="15840"/>
          <w:pgMar w:header="0" w:footer="967" w:top="1360" w:bottom="1160" w:left="220" w:right="340"/>
        </w:sectPr>
      </w:pPr>
    </w:p>
    <w:p>
      <w:pPr>
        <w:pStyle w:val="ListParagraph"/>
        <w:numPr>
          <w:ilvl w:val="2"/>
          <w:numId w:val="77"/>
        </w:numPr>
        <w:tabs>
          <w:tab w:pos="1938" w:val="left" w:leader="none"/>
        </w:tabs>
        <w:spacing w:line="252" w:lineRule="exact" w:before="78" w:after="0"/>
        <w:ind w:left="1938" w:right="0" w:hanging="719"/>
        <w:jc w:val="both"/>
        <w:rPr>
          <w:b/>
          <w:color w:val="4471C4"/>
          <w:sz w:val="22"/>
        </w:rPr>
      </w:pPr>
      <w:bookmarkStart w:name="5.2.2 DSRIP Expenditure Authority and Cl" w:id="1374"/>
      <w:bookmarkEnd w:id="1374"/>
      <w:r>
        <w:rPr/>
      </w:r>
      <w:bookmarkStart w:name="_bookmark78" w:id="1375"/>
      <w:bookmarkEnd w:id="1375"/>
      <w:r>
        <w:rPr/>
      </w:r>
      <w:r>
        <w:rPr>
          <w:b/>
          <w:color w:val="4471C4"/>
          <w:sz w:val="22"/>
        </w:rPr>
        <w:t>DSRIP</w:t>
      </w:r>
      <w:r>
        <w:rPr>
          <w:b/>
          <w:color w:val="4471C4"/>
          <w:spacing w:val="-4"/>
          <w:sz w:val="22"/>
        </w:rPr>
        <w:t> </w:t>
      </w:r>
      <w:r>
        <w:rPr>
          <w:b/>
          <w:color w:val="4471C4"/>
          <w:sz w:val="22"/>
        </w:rPr>
        <w:t>Expenditure</w:t>
      </w:r>
      <w:r>
        <w:rPr>
          <w:b/>
          <w:color w:val="4471C4"/>
          <w:spacing w:val="-6"/>
          <w:sz w:val="22"/>
        </w:rPr>
        <w:t> </w:t>
      </w:r>
      <w:r>
        <w:rPr>
          <w:b/>
          <w:color w:val="4471C4"/>
          <w:sz w:val="22"/>
        </w:rPr>
        <w:t>Authority</w:t>
      </w:r>
      <w:r>
        <w:rPr>
          <w:b/>
          <w:color w:val="4471C4"/>
          <w:spacing w:val="-6"/>
          <w:sz w:val="22"/>
        </w:rPr>
        <w:t> </w:t>
      </w:r>
      <w:r>
        <w:rPr>
          <w:b/>
          <w:color w:val="4471C4"/>
          <w:sz w:val="22"/>
        </w:rPr>
        <w:t>and</w:t>
      </w:r>
      <w:r>
        <w:rPr>
          <w:b/>
          <w:color w:val="4471C4"/>
          <w:spacing w:val="-6"/>
          <w:sz w:val="22"/>
        </w:rPr>
        <w:t> </w:t>
      </w:r>
      <w:r>
        <w:rPr>
          <w:b/>
          <w:color w:val="4471C4"/>
          <w:sz w:val="22"/>
        </w:rPr>
        <w:t>Claiming</w:t>
      </w:r>
      <w:r>
        <w:rPr>
          <w:b/>
          <w:color w:val="4471C4"/>
          <w:spacing w:val="-8"/>
          <w:sz w:val="22"/>
        </w:rPr>
        <w:t> </w:t>
      </w:r>
      <w:r>
        <w:rPr>
          <w:b/>
          <w:color w:val="4471C4"/>
          <w:spacing w:val="-5"/>
          <w:sz w:val="22"/>
        </w:rPr>
        <w:t>FFP</w:t>
      </w:r>
    </w:p>
    <w:p>
      <w:pPr>
        <w:spacing w:before="0"/>
        <w:ind w:left="1220" w:right="1092" w:firstLine="55"/>
        <w:jc w:val="both"/>
        <w:rPr>
          <w:sz w:val="22"/>
        </w:rPr>
      </w:pPr>
      <w:r>
        <w:rPr>
          <w:sz w:val="22"/>
        </w:rPr>
        <w:t>The State must use a permissible source of non-federal share to support the DSRIP program. The non- federal</w:t>
      </w:r>
      <w:r>
        <w:rPr>
          <w:spacing w:val="-13"/>
          <w:sz w:val="22"/>
        </w:rPr>
        <w:t> </w:t>
      </w:r>
      <w:r>
        <w:rPr>
          <w:sz w:val="22"/>
        </w:rPr>
        <w:t>share</w:t>
      </w:r>
      <w:r>
        <w:rPr>
          <w:spacing w:val="-11"/>
          <w:sz w:val="22"/>
        </w:rPr>
        <w:t> </w:t>
      </w:r>
      <w:r>
        <w:rPr>
          <w:sz w:val="22"/>
        </w:rPr>
        <w:t>of</w:t>
      </w:r>
      <w:r>
        <w:rPr>
          <w:spacing w:val="-12"/>
          <w:sz w:val="22"/>
        </w:rPr>
        <w:t> </w:t>
      </w:r>
      <w:r>
        <w:rPr>
          <w:sz w:val="22"/>
        </w:rPr>
        <w:t>DSRIP</w:t>
      </w:r>
      <w:r>
        <w:rPr>
          <w:spacing w:val="-13"/>
          <w:sz w:val="22"/>
        </w:rPr>
        <w:t> </w:t>
      </w:r>
      <w:r>
        <w:rPr>
          <w:sz w:val="22"/>
        </w:rPr>
        <w:t>payments</w:t>
      </w:r>
      <w:r>
        <w:rPr>
          <w:spacing w:val="-12"/>
          <w:sz w:val="22"/>
        </w:rPr>
        <w:t> </w:t>
      </w:r>
      <w:r>
        <w:rPr>
          <w:sz w:val="22"/>
        </w:rPr>
        <w:t>consists</w:t>
      </w:r>
      <w:r>
        <w:rPr>
          <w:spacing w:val="-14"/>
          <w:sz w:val="22"/>
        </w:rPr>
        <w:t> </w:t>
      </w:r>
      <w:r>
        <w:rPr>
          <w:sz w:val="22"/>
        </w:rPr>
        <w:t>of</w:t>
      </w:r>
      <w:r>
        <w:rPr>
          <w:spacing w:val="-13"/>
          <w:sz w:val="22"/>
        </w:rPr>
        <w:t> </w:t>
      </w:r>
      <w:r>
        <w:rPr>
          <w:sz w:val="22"/>
        </w:rPr>
        <w:t>revenues</w:t>
      </w:r>
      <w:r>
        <w:rPr>
          <w:spacing w:val="-14"/>
          <w:sz w:val="22"/>
        </w:rPr>
        <w:t> </w:t>
      </w:r>
      <w:r>
        <w:rPr>
          <w:sz w:val="22"/>
        </w:rPr>
        <w:t>deposited</w:t>
      </w:r>
      <w:r>
        <w:rPr>
          <w:spacing w:val="-14"/>
          <w:sz w:val="22"/>
        </w:rPr>
        <w:t> </w:t>
      </w:r>
      <w:r>
        <w:rPr>
          <w:sz w:val="22"/>
        </w:rPr>
        <w:t>in</w:t>
      </w:r>
      <w:r>
        <w:rPr>
          <w:spacing w:val="-14"/>
          <w:sz w:val="22"/>
        </w:rPr>
        <w:t> </w:t>
      </w:r>
      <w:r>
        <w:rPr>
          <w:sz w:val="22"/>
        </w:rPr>
        <w:t>the</w:t>
      </w:r>
      <w:r>
        <w:rPr>
          <w:spacing w:val="-13"/>
          <w:sz w:val="22"/>
        </w:rPr>
        <w:t> </w:t>
      </w:r>
      <w:r>
        <w:rPr>
          <w:sz w:val="22"/>
        </w:rPr>
        <w:t>State’s</w:t>
      </w:r>
      <w:r>
        <w:rPr>
          <w:spacing w:val="-14"/>
          <w:sz w:val="22"/>
        </w:rPr>
        <w:t> </w:t>
      </w:r>
      <w:r>
        <w:rPr>
          <w:sz w:val="22"/>
        </w:rPr>
        <w:t>MassHealth</w:t>
      </w:r>
      <w:r>
        <w:rPr>
          <w:spacing w:val="-12"/>
          <w:sz w:val="22"/>
        </w:rPr>
        <w:t> </w:t>
      </w:r>
      <w:r>
        <w:rPr>
          <w:sz w:val="22"/>
        </w:rPr>
        <w:t>Delivery</w:t>
      </w:r>
      <w:r>
        <w:rPr>
          <w:spacing w:val="-14"/>
          <w:sz w:val="22"/>
        </w:rPr>
        <w:t> </w:t>
      </w:r>
      <w:r>
        <w:rPr>
          <w:sz w:val="22"/>
        </w:rPr>
        <w:t>System Reform</w:t>
      </w:r>
      <w:r>
        <w:rPr>
          <w:spacing w:val="-7"/>
          <w:sz w:val="22"/>
        </w:rPr>
        <w:t> </w:t>
      </w:r>
      <w:r>
        <w:rPr>
          <w:sz w:val="22"/>
        </w:rPr>
        <w:t>Trust</w:t>
      </w:r>
      <w:r>
        <w:rPr>
          <w:spacing w:val="-3"/>
          <w:sz w:val="22"/>
        </w:rPr>
        <w:t> </w:t>
      </w:r>
      <w:r>
        <w:rPr>
          <w:sz w:val="22"/>
        </w:rPr>
        <w:t>Fund</w:t>
      </w:r>
      <w:r>
        <w:rPr>
          <w:spacing w:val="-6"/>
          <w:sz w:val="22"/>
        </w:rPr>
        <w:t> </w:t>
      </w:r>
      <w:r>
        <w:rPr>
          <w:sz w:val="22"/>
        </w:rPr>
        <w:t>administered</w:t>
      </w:r>
      <w:r>
        <w:rPr>
          <w:spacing w:val="-4"/>
          <w:sz w:val="22"/>
        </w:rPr>
        <w:t> </w:t>
      </w:r>
      <w:r>
        <w:rPr>
          <w:sz w:val="22"/>
        </w:rPr>
        <w:t>by</w:t>
      </w:r>
      <w:r>
        <w:rPr>
          <w:spacing w:val="-6"/>
          <w:sz w:val="22"/>
        </w:rPr>
        <w:t> </w:t>
      </w:r>
      <w:r>
        <w:rPr>
          <w:sz w:val="22"/>
        </w:rPr>
        <w:t>the</w:t>
      </w:r>
      <w:r>
        <w:rPr>
          <w:spacing w:val="-3"/>
          <w:sz w:val="22"/>
        </w:rPr>
        <w:t> </w:t>
      </w:r>
      <w:r>
        <w:rPr>
          <w:sz w:val="22"/>
        </w:rPr>
        <w:t>Executive</w:t>
      </w:r>
      <w:r>
        <w:rPr>
          <w:spacing w:val="-3"/>
          <w:sz w:val="22"/>
        </w:rPr>
        <w:t> </w:t>
      </w:r>
      <w:r>
        <w:rPr>
          <w:sz w:val="22"/>
        </w:rPr>
        <w:t>Office</w:t>
      </w:r>
      <w:r>
        <w:rPr>
          <w:spacing w:val="-3"/>
          <w:sz w:val="22"/>
        </w:rPr>
        <w:t> </w:t>
      </w:r>
      <w:r>
        <w:rPr>
          <w:sz w:val="22"/>
        </w:rPr>
        <w:t>of</w:t>
      </w:r>
      <w:r>
        <w:rPr>
          <w:spacing w:val="-3"/>
          <w:sz w:val="22"/>
        </w:rPr>
        <w:t> </w:t>
      </w:r>
      <w:r>
        <w:rPr>
          <w:sz w:val="22"/>
        </w:rPr>
        <w:t>Health</w:t>
      </w:r>
      <w:r>
        <w:rPr>
          <w:spacing w:val="-4"/>
          <w:sz w:val="22"/>
        </w:rPr>
        <w:t> </w:t>
      </w:r>
      <w:r>
        <w:rPr>
          <w:sz w:val="22"/>
        </w:rPr>
        <w:t>and</w:t>
      </w:r>
      <w:r>
        <w:rPr>
          <w:spacing w:val="-4"/>
          <w:sz w:val="22"/>
        </w:rPr>
        <w:t> </w:t>
      </w:r>
      <w:r>
        <w:rPr>
          <w:sz w:val="22"/>
        </w:rPr>
        <w:t>Human</w:t>
      </w:r>
      <w:r>
        <w:rPr>
          <w:spacing w:val="-4"/>
          <w:sz w:val="22"/>
        </w:rPr>
        <w:t> </w:t>
      </w:r>
      <w:r>
        <w:rPr>
          <w:sz w:val="22"/>
        </w:rPr>
        <w:t>Services.</w:t>
      </w:r>
      <w:r>
        <w:rPr>
          <w:spacing w:val="-4"/>
          <w:sz w:val="22"/>
        </w:rPr>
        <w:t> </w:t>
      </w:r>
      <w:r>
        <w:rPr>
          <w:sz w:val="22"/>
        </w:rPr>
        <w:t>Sources</w:t>
      </w:r>
      <w:r>
        <w:rPr>
          <w:spacing w:val="-3"/>
          <w:sz w:val="22"/>
        </w:rPr>
        <w:t> </w:t>
      </w:r>
      <w:r>
        <w:rPr>
          <w:sz w:val="22"/>
        </w:rPr>
        <w:t>of</w:t>
      </w:r>
      <w:r>
        <w:rPr>
          <w:spacing w:val="-3"/>
          <w:sz w:val="22"/>
        </w:rPr>
        <w:t> </w:t>
      </w:r>
      <w:r>
        <w:rPr>
          <w:sz w:val="22"/>
        </w:rPr>
        <w:t>funds in the Delivery System Reform Trust Fund are deposited at the direction of the Legislature and include hospital</w:t>
      </w:r>
      <w:r>
        <w:rPr>
          <w:spacing w:val="-3"/>
          <w:sz w:val="22"/>
        </w:rPr>
        <w:t> </w:t>
      </w:r>
      <w:r>
        <w:rPr>
          <w:sz w:val="22"/>
        </w:rPr>
        <w:t>assessments</w:t>
      </w:r>
      <w:r>
        <w:rPr>
          <w:spacing w:val="-6"/>
          <w:sz w:val="22"/>
        </w:rPr>
        <w:t> </w:t>
      </w:r>
      <w:r>
        <w:rPr>
          <w:sz w:val="22"/>
        </w:rPr>
        <w:t>transferred</w:t>
      </w:r>
      <w:r>
        <w:rPr>
          <w:spacing w:val="-4"/>
          <w:sz w:val="22"/>
        </w:rPr>
        <w:t> </w:t>
      </w:r>
      <w:r>
        <w:rPr>
          <w:sz w:val="22"/>
        </w:rPr>
        <w:t>from</w:t>
      </w:r>
      <w:r>
        <w:rPr>
          <w:spacing w:val="-7"/>
          <w:sz w:val="22"/>
        </w:rPr>
        <w:t> </w:t>
      </w:r>
      <w:r>
        <w:rPr>
          <w:sz w:val="22"/>
        </w:rPr>
        <w:t>the</w:t>
      </w:r>
      <w:r>
        <w:rPr>
          <w:spacing w:val="-3"/>
          <w:sz w:val="22"/>
        </w:rPr>
        <w:t> </w:t>
      </w:r>
      <w:r>
        <w:rPr>
          <w:sz w:val="22"/>
        </w:rPr>
        <w:t>Health</w:t>
      </w:r>
      <w:r>
        <w:rPr>
          <w:spacing w:val="-4"/>
          <w:sz w:val="22"/>
        </w:rPr>
        <w:t> </w:t>
      </w:r>
      <w:r>
        <w:rPr>
          <w:sz w:val="22"/>
        </w:rPr>
        <w:t>Safety</w:t>
      </w:r>
      <w:r>
        <w:rPr>
          <w:spacing w:val="-6"/>
          <w:sz w:val="22"/>
        </w:rPr>
        <w:t> </w:t>
      </w:r>
      <w:r>
        <w:rPr>
          <w:sz w:val="22"/>
        </w:rPr>
        <w:t>Net</w:t>
      </w:r>
      <w:r>
        <w:rPr>
          <w:spacing w:val="-3"/>
          <w:sz w:val="22"/>
        </w:rPr>
        <w:t> </w:t>
      </w:r>
      <w:r>
        <w:rPr>
          <w:sz w:val="22"/>
        </w:rPr>
        <w:t>Trust</w:t>
      </w:r>
      <w:r>
        <w:rPr>
          <w:spacing w:val="-3"/>
          <w:sz w:val="22"/>
        </w:rPr>
        <w:t> </w:t>
      </w:r>
      <w:r>
        <w:rPr>
          <w:sz w:val="22"/>
        </w:rPr>
        <w:t>Fund,</w:t>
      </w:r>
      <w:r>
        <w:rPr>
          <w:spacing w:val="-4"/>
          <w:sz w:val="22"/>
        </w:rPr>
        <w:t> </w:t>
      </w:r>
      <w:r>
        <w:rPr>
          <w:sz w:val="22"/>
        </w:rPr>
        <w:t>General</w:t>
      </w:r>
      <w:r>
        <w:rPr>
          <w:spacing w:val="-5"/>
          <w:sz w:val="22"/>
        </w:rPr>
        <w:t> </w:t>
      </w:r>
      <w:r>
        <w:rPr>
          <w:sz w:val="22"/>
        </w:rPr>
        <w:t>Fund</w:t>
      </w:r>
      <w:r>
        <w:rPr>
          <w:spacing w:val="-4"/>
          <w:sz w:val="22"/>
        </w:rPr>
        <w:t> </w:t>
      </w:r>
      <w:r>
        <w:rPr>
          <w:sz w:val="22"/>
        </w:rPr>
        <w:t>dollars,</w:t>
      </w:r>
      <w:r>
        <w:rPr>
          <w:spacing w:val="-4"/>
          <w:sz w:val="22"/>
        </w:rPr>
        <w:t> </w:t>
      </w:r>
      <w:r>
        <w:rPr>
          <w:sz w:val="22"/>
        </w:rPr>
        <w:t>and</w:t>
      </w:r>
      <w:r>
        <w:rPr>
          <w:spacing w:val="-6"/>
          <w:sz w:val="22"/>
        </w:rPr>
        <w:t> </w:t>
      </w:r>
      <w:r>
        <w:rPr>
          <w:sz w:val="22"/>
        </w:rPr>
        <w:t>interest earned.</w:t>
      </w:r>
      <w:r>
        <w:rPr>
          <w:spacing w:val="-6"/>
          <w:sz w:val="22"/>
        </w:rPr>
        <w:t> </w:t>
      </w:r>
      <w:r>
        <w:rPr>
          <w:sz w:val="22"/>
        </w:rPr>
        <w:t>The</w:t>
      </w:r>
      <w:r>
        <w:rPr>
          <w:spacing w:val="-6"/>
          <w:sz w:val="22"/>
        </w:rPr>
        <w:t> </w:t>
      </w:r>
      <w:r>
        <w:rPr>
          <w:sz w:val="22"/>
        </w:rPr>
        <w:t>non-federal</w:t>
      </w:r>
      <w:r>
        <w:rPr>
          <w:spacing w:val="-5"/>
          <w:sz w:val="22"/>
        </w:rPr>
        <w:t> </w:t>
      </w:r>
      <w:r>
        <w:rPr>
          <w:sz w:val="22"/>
        </w:rPr>
        <w:t>share</w:t>
      </w:r>
      <w:r>
        <w:rPr>
          <w:spacing w:val="-6"/>
          <w:sz w:val="22"/>
        </w:rPr>
        <w:t> </w:t>
      </w:r>
      <w:r>
        <w:rPr>
          <w:sz w:val="22"/>
        </w:rPr>
        <w:t>will</w:t>
      </w:r>
      <w:r>
        <w:rPr>
          <w:spacing w:val="-5"/>
          <w:sz w:val="22"/>
        </w:rPr>
        <w:t> </w:t>
      </w:r>
      <w:r>
        <w:rPr>
          <w:sz w:val="22"/>
        </w:rPr>
        <w:t>be</w:t>
      </w:r>
      <w:r>
        <w:rPr>
          <w:spacing w:val="-6"/>
          <w:sz w:val="22"/>
        </w:rPr>
        <w:t> </w:t>
      </w:r>
      <w:r>
        <w:rPr>
          <w:sz w:val="22"/>
        </w:rPr>
        <w:t>used</w:t>
      </w:r>
      <w:r>
        <w:rPr>
          <w:spacing w:val="-8"/>
          <w:sz w:val="22"/>
        </w:rPr>
        <w:t> </w:t>
      </w:r>
      <w:r>
        <w:rPr>
          <w:sz w:val="22"/>
        </w:rPr>
        <w:t>to</w:t>
      </w:r>
      <w:r>
        <w:rPr>
          <w:spacing w:val="-6"/>
          <w:sz w:val="22"/>
        </w:rPr>
        <w:t> </w:t>
      </w:r>
      <w:r>
        <w:rPr>
          <w:sz w:val="22"/>
        </w:rPr>
        <w:t>support</w:t>
      </w:r>
      <w:r>
        <w:rPr>
          <w:spacing w:val="-5"/>
          <w:sz w:val="22"/>
        </w:rPr>
        <w:t> </w:t>
      </w:r>
      <w:r>
        <w:rPr>
          <w:sz w:val="22"/>
        </w:rPr>
        <w:t>claiming</w:t>
      </w:r>
      <w:r>
        <w:rPr>
          <w:spacing w:val="-9"/>
          <w:sz w:val="22"/>
        </w:rPr>
        <w:t> </w:t>
      </w:r>
      <w:r>
        <w:rPr>
          <w:sz w:val="22"/>
        </w:rPr>
        <w:t>of</w:t>
      </w:r>
      <w:r>
        <w:rPr>
          <w:spacing w:val="-5"/>
          <w:sz w:val="22"/>
        </w:rPr>
        <w:t> </w:t>
      </w:r>
      <w:r>
        <w:rPr>
          <w:sz w:val="22"/>
        </w:rPr>
        <w:t>Federal</w:t>
      </w:r>
      <w:r>
        <w:rPr>
          <w:spacing w:val="-5"/>
          <w:sz w:val="22"/>
        </w:rPr>
        <w:t> </w:t>
      </w:r>
      <w:r>
        <w:rPr>
          <w:sz w:val="22"/>
        </w:rPr>
        <w:t>Financial</w:t>
      </w:r>
      <w:r>
        <w:rPr>
          <w:spacing w:val="-8"/>
          <w:sz w:val="22"/>
        </w:rPr>
        <w:t> </w:t>
      </w:r>
      <w:r>
        <w:rPr>
          <w:sz w:val="22"/>
        </w:rPr>
        <w:t>Participation</w:t>
      </w:r>
      <w:r>
        <w:rPr>
          <w:spacing w:val="-6"/>
          <w:sz w:val="22"/>
        </w:rPr>
        <w:t> </w:t>
      </w:r>
      <w:r>
        <w:rPr>
          <w:sz w:val="22"/>
        </w:rPr>
        <w:t>(FFP),</w:t>
      </w:r>
      <w:r>
        <w:rPr>
          <w:spacing w:val="-6"/>
          <w:sz w:val="22"/>
        </w:rPr>
        <w:t> </w:t>
      </w:r>
      <w:r>
        <w:rPr>
          <w:sz w:val="22"/>
        </w:rPr>
        <w:t>up to the State’s DSRIP expenditure authority. The amount of DSRIP expenditure authority is dependent on the State DSRIP Accountability Score, which is described above in Section 5.2.1, which describes:</w:t>
      </w:r>
    </w:p>
    <w:p>
      <w:pPr>
        <w:pStyle w:val="ListParagraph"/>
        <w:numPr>
          <w:ilvl w:val="0"/>
          <w:numId w:val="82"/>
        </w:numPr>
        <w:tabs>
          <w:tab w:pos="1990" w:val="left" w:leader="none"/>
        </w:tabs>
        <w:spacing w:line="240" w:lineRule="auto" w:before="161" w:after="0"/>
        <w:ind w:left="1990" w:right="0" w:hanging="360"/>
        <w:jc w:val="left"/>
        <w:rPr>
          <w:sz w:val="22"/>
        </w:rPr>
      </w:pPr>
      <w:r>
        <w:rPr>
          <w:sz w:val="22"/>
        </w:rPr>
        <w:t>How</w:t>
      </w:r>
      <w:r>
        <w:rPr>
          <w:spacing w:val="-4"/>
          <w:sz w:val="22"/>
        </w:rPr>
        <w:t> </w:t>
      </w:r>
      <w:r>
        <w:rPr>
          <w:sz w:val="22"/>
        </w:rPr>
        <w:t>the</w:t>
      </w:r>
      <w:r>
        <w:rPr>
          <w:spacing w:val="-3"/>
          <w:sz w:val="22"/>
        </w:rPr>
        <w:t> </w:t>
      </w:r>
      <w:r>
        <w:rPr>
          <w:sz w:val="22"/>
        </w:rPr>
        <w:t>State</w:t>
      </w:r>
      <w:r>
        <w:rPr>
          <w:spacing w:val="-3"/>
          <w:sz w:val="22"/>
        </w:rPr>
        <w:t> </w:t>
      </w:r>
      <w:r>
        <w:rPr>
          <w:sz w:val="22"/>
        </w:rPr>
        <w:t>DSRIP</w:t>
      </w:r>
      <w:r>
        <w:rPr>
          <w:spacing w:val="-4"/>
          <w:sz w:val="22"/>
        </w:rPr>
        <w:t> </w:t>
      </w:r>
      <w:r>
        <w:rPr>
          <w:sz w:val="22"/>
        </w:rPr>
        <w:t>Accountability</w:t>
      </w:r>
      <w:r>
        <w:rPr>
          <w:spacing w:val="-6"/>
          <w:sz w:val="22"/>
        </w:rPr>
        <w:t> </w:t>
      </w:r>
      <w:r>
        <w:rPr>
          <w:sz w:val="22"/>
        </w:rPr>
        <w:t>Score</w:t>
      </w:r>
      <w:r>
        <w:rPr>
          <w:spacing w:val="-5"/>
          <w:sz w:val="22"/>
        </w:rPr>
        <w:t> </w:t>
      </w:r>
      <w:r>
        <w:rPr>
          <w:sz w:val="22"/>
        </w:rPr>
        <w:t>is</w:t>
      </w:r>
      <w:r>
        <w:rPr>
          <w:spacing w:val="-2"/>
          <w:sz w:val="22"/>
        </w:rPr>
        <w:t> calculated</w:t>
      </w:r>
    </w:p>
    <w:p>
      <w:pPr>
        <w:pStyle w:val="ListParagraph"/>
        <w:numPr>
          <w:ilvl w:val="0"/>
          <w:numId w:val="82"/>
        </w:numPr>
        <w:tabs>
          <w:tab w:pos="1988" w:val="left" w:leader="none"/>
          <w:tab w:pos="1990" w:val="left" w:leader="none"/>
        </w:tabs>
        <w:spacing w:line="240" w:lineRule="auto" w:before="201" w:after="0"/>
        <w:ind w:left="1990" w:right="1094" w:hanging="361"/>
        <w:jc w:val="both"/>
        <w:rPr>
          <w:sz w:val="22"/>
        </w:rPr>
      </w:pPr>
      <w:r>
        <w:rPr>
          <w:sz w:val="22"/>
        </w:rPr>
        <w:t>The review and approval process for the State DSRIP Accountability Score, including how the State may submit a Corrective Action Plan to CMS if the State’s DSRIP Accountability Score is not 100% for a given Budget Period</w:t>
      </w:r>
    </w:p>
    <w:p>
      <w:pPr>
        <w:pStyle w:val="ListParagraph"/>
        <w:numPr>
          <w:ilvl w:val="0"/>
          <w:numId w:val="82"/>
        </w:numPr>
        <w:tabs>
          <w:tab w:pos="1988" w:val="left" w:leader="none"/>
          <w:tab w:pos="1990" w:val="left" w:leader="none"/>
        </w:tabs>
        <w:spacing w:line="276" w:lineRule="auto" w:before="198" w:after="0"/>
        <w:ind w:left="1990" w:right="1094" w:hanging="361"/>
        <w:jc w:val="both"/>
        <w:rPr>
          <w:sz w:val="22"/>
        </w:rPr>
      </w:pPr>
      <w:r>
        <w:rPr>
          <w:sz w:val="22"/>
        </w:rPr>
        <w:t>If the State chooses not to submit a Corrective Action Plan for a certain Budget Period, then the State’s</w:t>
      </w:r>
      <w:r>
        <w:rPr>
          <w:spacing w:val="-9"/>
          <w:sz w:val="22"/>
        </w:rPr>
        <w:t> </w:t>
      </w:r>
      <w:r>
        <w:rPr>
          <w:sz w:val="22"/>
        </w:rPr>
        <w:t>DSRIP</w:t>
      </w:r>
      <w:r>
        <w:rPr>
          <w:spacing w:val="-10"/>
          <w:sz w:val="22"/>
        </w:rPr>
        <w:t> </w:t>
      </w:r>
      <w:r>
        <w:rPr>
          <w:sz w:val="22"/>
        </w:rPr>
        <w:t>expenditure</w:t>
      </w:r>
      <w:r>
        <w:rPr>
          <w:spacing w:val="-11"/>
          <w:sz w:val="22"/>
        </w:rPr>
        <w:t> </w:t>
      </w:r>
      <w:r>
        <w:rPr>
          <w:sz w:val="22"/>
        </w:rPr>
        <w:t>authority</w:t>
      </w:r>
      <w:r>
        <w:rPr>
          <w:spacing w:val="-12"/>
          <w:sz w:val="22"/>
        </w:rPr>
        <w:t> </w:t>
      </w:r>
      <w:r>
        <w:rPr>
          <w:sz w:val="22"/>
        </w:rPr>
        <w:t>for</w:t>
      </w:r>
      <w:r>
        <w:rPr>
          <w:spacing w:val="-11"/>
          <w:sz w:val="22"/>
        </w:rPr>
        <w:t> </w:t>
      </w:r>
      <w:r>
        <w:rPr>
          <w:sz w:val="22"/>
        </w:rPr>
        <w:t>that</w:t>
      </w:r>
      <w:r>
        <w:rPr>
          <w:spacing w:val="-9"/>
          <w:sz w:val="22"/>
        </w:rPr>
        <w:t> </w:t>
      </w:r>
      <w:r>
        <w:rPr>
          <w:sz w:val="22"/>
        </w:rPr>
        <w:t>Budget</w:t>
      </w:r>
      <w:r>
        <w:rPr>
          <w:spacing w:val="-9"/>
          <w:sz w:val="22"/>
        </w:rPr>
        <w:t> </w:t>
      </w:r>
      <w:r>
        <w:rPr>
          <w:sz w:val="22"/>
        </w:rPr>
        <w:t>Period</w:t>
      </w:r>
      <w:r>
        <w:rPr>
          <w:spacing w:val="-10"/>
          <w:sz w:val="22"/>
        </w:rPr>
        <w:t> </w:t>
      </w:r>
      <w:r>
        <w:rPr>
          <w:sz w:val="22"/>
        </w:rPr>
        <w:t>will</w:t>
      </w:r>
      <w:r>
        <w:rPr>
          <w:spacing w:val="-9"/>
          <w:sz w:val="22"/>
        </w:rPr>
        <w:t> </w:t>
      </w:r>
      <w:r>
        <w:rPr>
          <w:sz w:val="22"/>
        </w:rPr>
        <w:t>be</w:t>
      </w:r>
      <w:r>
        <w:rPr>
          <w:spacing w:val="-11"/>
          <w:sz w:val="22"/>
        </w:rPr>
        <w:t> </w:t>
      </w:r>
      <w:r>
        <w:rPr>
          <w:sz w:val="22"/>
        </w:rPr>
        <w:t>reduced</w:t>
      </w:r>
      <w:r>
        <w:rPr>
          <w:spacing w:val="-12"/>
          <w:sz w:val="22"/>
        </w:rPr>
        <w:t> </w:t>
      </w:r>
      <w:r>
        <w:rPr>
          <w:sz w:val="22"/>
        </w:rPr>
        <w:t>in</w:t>
      </w:r>
      <w:r>
        <w:rPr>
          <w:spacing w:val="-10"/>
          <w:sz w:val="22"/>
        </w:rPr>
        <w:t> </w:t>
      </w:r>
      <w:r>
        <w:rPr>
          <w:sz w:val="22"/>
        </w:rPr>
        <w:t>accordance</w:t>
      </w:r>
      <w:r>
        <w:rPr>
          <w:spacing w:val="-9"/>
          <w:sz w:val="22"/>
        </w:rPr>
        <w:t> </w:t>
      </w:r>
      <w:r>
        <w:rPr>
          <w:sz w:val="22"/>
        </w:rPr>
        <w:t>with</w:t>
      </w:r>
      <w:r>
        <w:rPr>
          <w:spacing w:val="-10"/>
          <w:sz w:val="22"/>
        </w:rPr>
        <w:t> </w:t>
      </w:r>
      <w:r>
        <w:rPr>
          <w:sz w:val="22"/>
        </w:rPr>
        <w:t>the State DSRIP Accountability Score.</w:t>
      </w:r>
    </w:p>
    <w:p>
      <w:pPr>
        <w:spacing w:before="195"/>
        <w:ind w:left="1220" w:right="1096" w:firstLine="0"/>
        <w:jc w:val="both"/>
        <w:rPr>
          <w:sz w:val="22"/>
        </w:rPr>
      </w:pPr>
      <w:r>
        <w:rPr>
          <w:sz w:val="22"/>
        </w:rPr>
        <w:t>Federal</w:t>
      </w:r>
      <w:r>
        <w:rPr>
          <w:spacing w:val="-6"/>
          <w:sz w:val="22"/>
        </w:rPr>
        <w:t> </w:t>
      </w:r>
      <w:r>
        <w:rPr>
          <w:sz w:val="22"/>
        </w:rPr>
        <w:t>Financial</w:t>
      </w:r>
      <w:r>
        <w:rPr>
          <w:spacing w:val="-6"/>
          <w:sz w:val="22"/>
        </w:rPr>
        <w:t> </w:t>
      </w:r>
      <w:r>
        <w:rPr>
          <w:sz w:val="22"/>
        </w:rPr>
        <w:t>Participation</w:t>
      </w:r>
      <w:r>
        <w:rPr>
          <w:spacing w:val="-7"/>
          <w:sz w:val="22"/>
        </w:rPr>
        <w:t> </w:t>
      </w:r>
      <w:r>
        <w:rPr>
          <w:sz w:val="22"/>
        </w:rPr>
        <w:t>is</w:t>
      </w:r>
      <w:r>
        <w:rPr>
          <w:spacing w:val="-7"/>
          <w:sz w:val="22"/>
        </w:rPr>
        <w:t> </w:t>
      </w:r>
      <w:r>
        <w:rPr>
          <w:sz w:val="22"/>
        </w:rPr>
        <w:t>only</w:t>
      </w:r>
      <w:r>
        <w:rPr>
          <w:spacing w:val="-10"/>
          <w:sz w:val="22"/>
        </w:rPr>
        <w:t> </w:t>
      </w:r>
      <w:r>
        <w:rPr>
          <w:sz w:val="22"/>
        </w:rPr>
        <w:t>available</w:t>
      </w:r>
      <w:r>
        <w:rPr>
          <w:spacing w:val="-7"/>
          <w:sz w:val="22"/>
        </w:rPr>
        <w:t> </w:t>
      </w:r>
      <w:r>
        <w:rPr>
          <w:sz w:val="22"/>
        </w:rPr>
        <w:t>for</w:t>
      </w:r>
      <w:r>
        <w:rPr>
          <w:spacing w:val="-6"/>
          <w:sz w:val="22"/>
        </w:rPr>
        <w:t> </w:t>
      </w:r>
      <w:r>
        <w:rPr>
          <w:sz w:val="22"/>
        </w:rPr>
        <w:t>DSRIP</w:t>
      </w:r>
      <w:r>
        <w:rPr>
          <w:spacing w:val="-8"/>
          <w:sz w:val="22"/>
        </w:rPr>
        <w:t> </w:t>
      </w:r>
      <w:r>
        <w:rPr>
          <w:sz w:val="22"/>
        </w:rPr>
        <w:t>payments</w:t>
      </w:r>
      <w:r>
        <w:rPr>
          <w:spacing w:val="-7"/>
          <w:sz w:val="22"/>
        </w:rPr>
        <w:t> </w:t>
      </w:r>
      <w:r>
        <w:rPr>
          <w:sz w:val="22"/>
        </w:rPr>
        <w:t>to</w:t>
      </w:r>
      <w:r>
        <w:rPr>
          <w:spacing w:val="-7"/>
          <w:sz w:val="22"/>
        </w:rPr>
        <w:t> </w:t>
      </w:r>
      <w:r>
        <w:rPr>
          <w:sz w:val="22"/>
        </w:rPr>
        <w:t>ACOs</w:t>
      </w:r>
      <w:r>
        <w:rPr>
          <w:spacing w:val="-7"/>
          <w:sz w:val="22"/>
        </w:rPr>
        <w:t> </w:t>
      </w:r>
      <w:r>
        <w:rPr>
          <w:sz w:val="22"/>
        </w:rPr>
        <w:t>and</w:t>
      </w:r>
      <w:r>
        <w:rPr>
          <w:spacing w:val="-10"/>
          <w:sz w:val="22"/>
        </w:rPr>
        <w:t> </w:t>
      </w:r>
      <w:r>
        <w:rPr>
          <w:sz w:val="22"/>
        </w:rPr>
        <w:t>CPs</w:t>
      </w:r>
      <w:r>
        <w:rPr>
          <w:spacing w:val="-7"/>
          <w:sz w:val="22"/>
        </w:rPr>
        <w:t> </w:t>
      </w:r>
      <w:r>
        <w:rPr>
          <w:sz w:val="22"/>
        </w:rPr>
        <w:t>in</w:t>
      </w:r>
      <w:r>
        <w:rPr>
          <w:spacing w:val="-7"/>
          <w:sz w:val="22"/>
        </w:rPr>
        <w:t> </w:t>
      </w:r>
      <w:r>
        <w:rPr>
          <w:sz w:val="22"/>
        </w:rPr>
        <w:t>accordance</w:t>
      </w:r>
      <w:r>
        <w:rPr>
          <w:spacing w:val="-7"/>
          <w:sz w:val="22"/>
        </w:rPr>
        <w:t> </w:t>
      </w:r>
      <w:r>
        <w:rPr>
          <w:sz w:val="22"/>
        </w:rPr>
        <w:t>with the DSRIP Protocol and Participation Plans; or to other entities that receive funding through the DSRIP statewide</w:t>
      </w:r>
      <w:r>
        <w:rPr>
          <w:spacing w:val="-11"/>
          <w:sz w:val="22"/>
        </w:rPr>
        <w:t> </w:t>
      </w:r>
      <w:r>
        <w:rPr>
          <w:sz w:val="22"/>
        </w:rPr>
        <w:t>investments</w:t>
      </w:r>
      <w:r>
        <w:rPr>
          <w:spacing w:val="-11"/>
          <w:sz w:val="22"/>
        </w:rPr>
        <w:t> </w:t>
      </w:r>
      <w:r>
        <w:rPr>
          <w:sz w:val="22"/>
        </w:rPr>
        <w:t>or</w:t>
      </w:r>
      <w:r>
        <w:rPr>
          <w:spacing w:val="-9"/>
          <w:sz w:val="22"/>
        </w:rPr>
        <w:t> </w:t>
      </w:r>
      <w:r>
        <w:rPr>
          <w:sz w:val="22"/>
        </w:rPr>
        <w:t>DSRIP-supported</w:t>
      </w:r>
      <w:r>
        <w:rPr>
          <w:spacing w:val="-12"/>
          <w:sz w:val="22"/>
        </w:rPr>
        <w:t> </w:t>
      </w:r>
      <w:r>
        <w:rPr>
          <w:sz w:val="22"/>
        </w:rPr>
        <w:t>state</w:t>
      </w:r>
      <w:r>
        <w:rPr>
          <w:spacing w:val="-9"/>
          <w:sz w:val="22"/>
        </w:rPr>
        <w:t> </w:t>
      </w:r>
      <w:r>
        <w:rPr>
          <w:sz w:val="22"/>
        </w:rPr>
        <w:t>operations</w:t>
      </w:r>
      <w:r>
        <w:rPr>
          <w:spacing w:val="-12"/>
          <w:sz w:val="22"/>
        </w:rPr>
        <w:t> </w:t>
      </w:r>
      <w:r>
        <w:rPr>
          <w:sz w:val="22"/>
        </w:rPr>
        <w:t>and</w:t>
      </w:r>
      <w:r>
        <w:rPr>
          <w:spacing w:val="-12"/>
          <w:sz w:val="22"/>
        </w:rPr>
        <w:t> </w:t>
      </w:r>
      <w:r>
        <w:rPr>
          <w:sz w:val="22"/>
        </w:rPr>
        <w:t>implementation</w:t>
      </w:r>
      <w:r>
        <w:rPr>
          <w:spacing w:val="-12"/>
          <w:sz w:val="22"/>
        </w:rPr>
        <w:t> </w:t>
      </w:r>
      <w:r>
        <w:rPr>
          <w:sz w:val="22"/>
        </w:rPr>
        <w:t>funding</w:t>
      </w:r>
      <w:r>
        <w:rPr>
          <w:spacing w:val="-12"/>
          <w:sz w:val="22"/>
        </w:rPr>
        <w:t> </w:t>
      </w:r>
      <w:r>
        <w:rPr>
          <w:sz w:val="22"/>
        </w:rPr>
        <w:t>streams.</w:t>
      </w:r>
      <w:r>
        <w:rPr>
          <w:spacing w:val="-12"/>
          <w:sz w:val="22"/>
        </w:rPr>
        <w:t> </w:t>
      </w:r>
      <w:r>
        <w:rPr>
          <w:sz w:val="22"/>
        </w:rPr>
        <w:t>The</w:t>
      </w:r>
      <w:r>
        <w:rPr>
          <w:spacing w:val="-12"/>
          <w:sz w:val="22"/>
        </w:rPr>
        <w:t> </w:t>
      </w:r>
      <w:r>
        <w:rPr>
          <w:sz w:val="22"/>
        </w:rPr>
        <w:t>State may</w:t>
      </w:r>
      <w:r>
        <w:rPr>
          <w:spacing w:val="-1"/>
          <w:sz w:val="22"/>
        </w:rPr>
        <w:t> </w:t>
      </w:r>
      <w:r>
        <w:rPr>
          <w:sz w:val="22"/>
        </w:rPr>
        <w:t>claim</w:t>
      </w:r>
      <w:r>
        <w:rPr>
          <w:spacing w:val="-3"/>
          <w:sz w:val="22"/>
        </w:rPr>
        <w:t> </w:t>
      </w:r>
      <w:r>
        <w:rPr>
          <w:sz w:val="22"/>
        </w:rPr>
        <w:t>FFP for up to two years after the calendar quarter in which the State made DSRIP payments to eligible entities.</w:t>
      </w:r>
    </w:p>
    <w:p>
      <w:pPr>
        <w:spacing w:line="259" w:lineRule="auto" w:before="163"/>
        <w:ind w:left="1219" w:right="1093" w:firstLine="0"/>
        <w:jc w:val="both"/>
        <w:rPr>
          <w:sz w:val="22"/>
        </w:rPr>
      </w:pPr>
      <w:r>
        <w:rPr>
          <w:color w:val="202020"/>
          <w:sz w:val="22"/>
        </w:rPr>
        <w:t>The</w:t>
      </w:r>
      <w:r>
        <w:rPr>
          <w:color w:val="202020"/>
          <w:spacing w:val="-6"/>
          <w:sz w:val="22"/>
        </w:rPr>
        <w:t> </w:t>
      </w:r>
      <w:r>
        <w:rPr>
          <w:color w:val="202020"/>
          <w:sz w:val="22"/>
        </w:rPr>
        <w:t>State</w:t>
      </w:r>
      <w:r>
        <w:rPr>
          <w:color w:val="202020"/>
          <w:spacing w:val="-3"/>
          <w:sz w:val="22"/>
        </w:rPr>
        <w:t> </w:t>
      </w:r>
      <w:r>
        <w:rPr>
          <w:color w:val="202020"/>
          <w:sz w:val="22"/>
        </w:rPr>
        <w:t>may</w:t>
      </w:r>
      <w:r>
        <w:rPr>
          <w:color w:val="202020"/>
          <w:spacing w:val="-6"/>
          <w:sz w:val="22"/>
        </w:rPr>
        <w:t> </w:t>
      </w:r>
      <w:r>
        <w:rPr>
          <w:color w:val="202020"/>
          <w:sz w:val="22"/>
        </w:rPr>
        <w:t>claim</w:t>
      </w:r>
      <w:r>
        <w:rPr>
          <w:color w:val="202020"/>
          <w:spacing w:val="-7"/>
          <w:sz w:val="22"/>
        </w:rPr>
        <w:t> </w:t>
      </w:r>
      <w:r>
        <w:rPr>
          <w:color w:val="202020"/>
          <w:sz w:val="22"/>
        </w:rPr>
        <w:t>FFP</w:t>
      </w:r>
      <w:r>
        <w:rPr>
          <w:color w:val="202020"/>
          <w:spacing w:val="-4"/>
          <w:sz w:val="22"/>
        </w:rPr>
        <w:t> </w:t>
      </w:r>
      <w:r>
        <w:rPr>
          <w:color w:val="202020"/>
          <w:sz w:val="22"/>
        </w:rPr>
        <w:t>for</w:t>
      </w:r>
      <w:r>
        <w:rPr>
          <w:color w:val="202020"/>
          <w:spacing w:val="-3"/>
          <w:sz w:val="22"/>
        </w:rPr>
        <w:t> </w:t>
      </w:r>
      <w:r>
        <w:rPr>
          <w:color w:val="202020"/>
          <w:sz w:val="22"/>
        </w:rPr>
        <w:t>up</w:t>
      </w:r>
      <w:r>
        <w:rPr>
          <w:color w:val="202020"/>
          <w:spacing w:val="-9"/>
          <w:sz w:val="22"/>
        </w:rPr>
        <w:t> </w:t>
      </w:r>
      <w:r>
        <w:rPr>
          <w:color w:val="202020"/>
          <w:sz w:val="22"/>
        </w:rPr>
        <w:t>to</w:t>
      </w:r>
      <w:r>
        <w:rPr>
          <w:color w:val="202020"/>
          <w:spacing w:val="-4"/>
          <w:sz w:val="22"/>
        </w:rPr>
        <w:t> </w:t>
      </w:r>
      <w:r>
        <w:rPr>
          <w:color w:val="202020"/>
          <w:sz w:val="22"/>
        </w:rPr>
        <w:t>$1.8</w:t>
      </w:r>
      <w:r>
        <w:rPr>
          <w:color w:val="202020"/>
          <w:spacing w:val="-4"/>
          <w:sz w:val="22"/>
        </w:rPr>
        <w:t> </w:t>
      </w:r>
      <w:r>
        <w:rPr>
          <w:color w:val="202020"/>
          <w:sz w:val="22"/>
        </w:rPr>
        <w:t>billion</w:t>
      </w:r>
      <w:r>
        <w:rPr>
          <w:color w:val="202020"/>
          <w:spacing w:val="-6"/>
          <w:sz w:val="22"/>
        </w:rPr>
        <w:t> </w:t>
      </w:r>
      <w:r>
        <w:rPr>
          <w:color w:val="202020"/>
          <w:sz w:val="22"/>
        </w:rPr>
        <w:t>in</w:t>
      </w:r>
      <w:r>
        <w:rPr>
          <w:color w:val="202020"/>
          <w:spacing w:val="-6"/>
          <w:sz w:val="22"/>
        </w:rPr>
        <w:t> </w:t>
      </w:r>
      <w:r>
        <w:rPr>
          <w:color w:val="202020"/>
          <w:sz w:val="22"/>
        </w:rPr>
        <w:t>DSRIP</w:t>
      </w:r>
      <w:r>
        <w:rPr>
          <w:color w:val="202020"/>
          <w:spacing w:val="-4"/>
          <w:sz w:val="22"/>
        </w:rPr>
        <w:t> </w:t>
      </w:r>
      <w:r>
        <w:rPr>
          <w:color w:val="202020"/>
          <w:sz w:val="22"/>
        </w:rPr>
        <w:t>expenditures,</w:t>
      </w:r>
      <w:r>
        <w:rPr>
          <w:color w:val="202020"/>
          <w:spacing w:val="-6"/>
          <w:sz w:val="22"/>
        </w:rPr>
        <w:t> </w:t>
      </w:r>
      <w:r>
        <w:rPr>
          <w:color w:val="202020"/>
          <w:sz w:val="22"/>
        </w:rPr>
        <w:t>subject</w:t>
      </w:r>
      <w:r>
        <w:rPr>
          <w:color w:val="202020"/>
          <w:spacing w:val="-5"/>
          <w:sz w:val="22"/>
        </w:rPr>
        <w:t> </w:t>
      </w:r>
      <w:r>
        <w:rPr>
          <w:color w:val="202020"/>
          <w:sz w:val="22"/>
        </w:rPr>
        <w:t>to</w:t>
      </w:r>
      <w:r>
        <w:rPr>
          <w:color w:val="202020"/>
          <w:spacing w:val="-6"/>
          <w:sz w:val="22"/>
        </w:rPr>
        <w:t> </w:t>
      </w:r>
      <w:r>
        <w:rPr>
          <w:color w:val="202020"/>
          <w:sz w:val="22"/>
        </w:rPr>
        <w:t>all</w:t>
      </w:r>
      <w:r>
        <w:rPr>
          <w:color w:val="202020"/>
          <w:spacing w:val="-5"/>
          <w:sz w:val="22"/>
        </w:rPr>
        <w:t> </w:t>
      </w:r>
      <w:r>
        <w:rPr>
          <w:color w:val="202020"/>
          <w:sz w:val="22"/>
        </w:rPr>
        <w:t>requirements</w:t>
      </w:r>
      <w:r>
        <w:rPr>
          <w:color w:val="202020"/>
          <w:spacing w:val="-6"/>
          <w:sz w:val="22"/>
        </w:rPr>
        <w:t> </w:t>
      </w:r>
      <w:r>
        <w:rPr>
          <w:color w:val="202020"/>
          <w:sz w:val="22"/>
        </w:rPr>
        <w:t>set</w:t>
      </w:r>
      <w:r>
        <w:rPr>
          <w:color w:val="202020"/>
          <w:spacing w:val="-5"/>
          <w:sz w:val="22"/>
        </w:rPr>
        <w:t> </w:t>
      </w:r>
      <w:r>
        <w:rPr>
          <w:color w:val="202020"/>
          <w:sz w:val="22"/>
        </w:rPr>
        <w:t>forth in the demonstration Expenditure Authority, Special Terms and Conditions, and this DSRIP protocol. A portion of DSRIP payments to ACOs, CPs and CSAs are at-risk (Exhibits 16 and 17), and the State will withhold these at-risk payments from the entities until their DSRIP Accountability Scores or elements of the DSRIP Accountability</w:t>
      </w:r>
      <w:r>
        <w:rPr>
          <w:color w:val="202020"/>
          <w:spacing w:val="-1"/>
          <w:sz w:val="22"/>
        </w:rPr>
        <w:t> </w:t>
      </w:r>
      <w:r>
        <w:rPr>
          <w:color w:val="202020"/>
          <w:sz w:val="22"/>
        </w:rPr>
        <w:t>Scores are calculated by</w:t>
      </w:r>
      <w:r>
        <w:rPr>
          <w:color w:val="202020"/>
          <w:spacing w:val="-1"/>
          <w:sz w:val="22"/>
        </w:rPr>
        <w:t> </w:t>
      </w:r>
      <w:r>
        <w:rPr>
          <w:color w:val="202020"/>
          <w:sz w:val="22"/>
        </w:rPr>
        <w:t>the State. If only</w:t>
      </w:r>
      <w:r>
        <w:rPr>
          <w:color w:val="202020"/>
          <w:spacing w:val="-1"/>
          <w:sz w:val="22"/>
        </w:rPr>
        <w:t> </w:t>
      </w:r>
      <w:r>
        <w:rPr>
          <w:color w:val="202020"/>
          <w:sz w:val="22"/>
        </w:rPr>
        <w:t>some of the elements comprising</w:t>
      </w:r>
      <w:r>
        <w:rPr>
          <w:color w:val="202020"/>
          <w:spacing w:val="-1"/>
          <w:sz w:val="22"/>
        </w:rPr>
        <w:t> </w:t>
      </w:r>
      <w:r>
        <w:rPr>
          <w:color w:val="202020"/>
          <w:sz w:val="22"/>
        </w:rPr>
        <w:t>the DSRIP</w:t>
      </w:r>
      <w:r>
        <w:rPr>
          <w:color w:val="202020"/>
          <w:spacing w:val="-2"/>
          <w:sz w:val="22"/>
        </w:rPr>
        <w:t> </w:t>
      </w:r>
      <w:r>
        <w:rPr>
          <w:color w:val="202020"/>
          <w:sz w:val="22"/>
        </w:rPr>
        <w:t>Accountability</w:t>
      </w:r>
      <w:r>
        <w:rPr>
          <w:color w:val="202020"/>
          <w:spacing w:val="-4"/>
          <w:sz w:val="22"/>
        </w:rPr>
        <w:t> </w:t>
      </w:r>
      <w:r>
        <w:rPr>
          <w:color w:val="202020"/>
          <w:sz w:val="22"/>
        </w:rPr>
        <w:t>Scores</w:t>
      </w:r>
      <w:r>
        <w:rPr>
          <w:color w:val="202020"/>
          <w:spacing w:val="-1"/>
          <w:sz w:val="22"/>
        </w:rPr>
        <w:t> </w:t>
      </w:r>
      <w:r>
        <w:rPr>
          <w:color w:val="202020"/>
          <w:sz w:val="22"/>
        </w:rPr>
        <w:t>have</w:t>
      </w:r>
      <w:r>
        <w:rPr>
          <w:color w:val="202020"/>
          <w:spacing w:val="-1"/>
          <w:sz w:val="22"/>
        </w:rPr>
        <w:t> </w:t>
      </w:r>
      <w:r>
        <w:rPr>
          <w:color w:val="202020"/>
          <w:sz w:val="22"/>
        </w:rPr>
        <w:t>been</w:t>
      </w:r>
      <w:r>
        <w:rPr>
          <w:color w:val="202020"/>
          <w:spacing w:val="-1"/>
          <w:sz w:val="22"/>
        </w:rPr>
        <w:t> </w:t>
      </w:r>
      <w:r>
        <w:rPr>
          <w:color w:val="202020"/>
          <w:sz w:val="22"/>
        </w:rPr>
        <w:t>calculated,</w:t>
      </w:r>
      <w:r>
        <w:rPr>
          <w:color w:val="202020"/>
          <w:spacing w:val="-4"/>
          <w:sz w:val="22"/>
        </w:rPr>
        <w:t> </w:t>
      </w:r>
      <w:r>
        <w:rPr>
          <w:color w:val="202020"/>
          <w:sz w:val="22"/>
        </w:rPr>
        <w:t>the</w:t>
      </w:r>
      <w:r>
        <w:rPr>
          <w:color w:val="202020"/>
          <w:spacing w:val="-3"/>
          <w:sz w:val="22"/>
        </w:rPr>
        <w:t> </w:t>
      </w:r>
      <w:r>
        <w:rPr>
          <w:color w:val="202020"/>
          <w:sz w:val="22"/>
        </w:rPr>
        <w:t>State</w:t>
      </w:r>
      <w:r>
        <w:rPr>
          <w:color w:val="202020"/>
          <w:spacing w:val="-1"/>
          <w:sz w:val="22"/>
        </w:rPr>
        <w:t> </w:t>
      </w:r>
      <w:r>
        <w:rPr>
          <w:color w:val="202020"/>
          <w:sz w:val="22"/>
        </w:rPr>
        <w:t>will pay</w:t>
      </w:r>
      <w:r>
        <w:rPr>
          <w:color w:val="202020"/>
          <w:spacing w:val="-4"/>
          <w:sz w:val="22"/>
        </w:rPr>
        <w:t> </w:t>
      </w:r>
      <w:r>
        <w:rPr>
          <w:color w:val="202020"/>
          <w:sz w:val="22"/>
        </w:rPr>
        <w:t>out only</w:t>
      </w:r>
      <w:r>
        <w:rPr>
          <w:color w:val="202020"/>
          <w:spacing w:val="-4"/>
          <w:sz w:val="22"/>
        </w:rPr>
        <w:t> </w:t>
      </w:r>
      <w:r>
        <w:rPr>
          <w:color w:val="202020"/>
          <w:sz w:val="22"/>
        </w:rPr>
        <w:t>the</w:t>
      </w:r>
      <w:r>
        <w:rPr>
          <w:color w:val="202020"/>
          <w:spacing w:val="-4"/>
          <w:sz w:val="22"/>
        </w:rPr>
        <w:t> </w:t>
      </w:r>
      <w:r>
        <w:rPr>
          <w:color w:val="202020"/>
          <w:sz w:val="22"/>
        </w:rPr>
        <w:t>withheld</w:t>
      </w:r>
      <w:r>
        <w:rPr>
          <w:color w:val="202020"/>
          <w:spacing w:val="-1"/>
          <w:sz w:val="22"/>
        </w:rPr>
        <w:t> </w:t>
      </w:r>
      <w:r>
        <w:rPr>
          <w:color w:val="202020"/>
          <w:sz w:val="22"/>
        </w:rPr>
        <w:t>earned</w:t>
      </w:r>
      <w:r>
        <w:rPr>
          <w:color w:val="202020"/>
          <w:spacing w:val="-1"/>
          <w:sz w:val="22"/>
        </w:rPr>
        <w:t> </w:t>
      </w:r>
      <w:r>
        <w:rPr>
          <w:color w:val="202020"/>
          <w:sz w:val="22"/>
        </w:rPr>
        <w:t>at-risk funds tied</w:t>
      </w:r>
      <w:r>
        <w:rPr>
          <w:color w:val="202020"/>
          <w:spacing w:val="-1"/>
          <w:sz w:val="22"/>
        </w:rPr>
        <w:t> </w:t>
      </w:r>
      <w:r>
        <w:rPr>
          <w:color w:val="202020"/>
          <w:sz w:val="22"/>
        </w:rPr>
        <w:t>to those elements. The draw of the FFP match for all at-risk</w:t>
      </w:r>
      <w:r>
        <w:rPr>
          <w:color w:val="202020"/>
          <w:spacing w:val="-1"/>
          <w:sz w:val="22"/>
        </w:rPr>
        <w:t> </w:t>
      </w:r>
      <w:r>
        <w:rPr>
          <w:color w:val="202020"/>
          <w:sz w:val="22"/>
        </w:rPr>
        <w:t>funds, or reporting</w:t>
      </w:r>
      <w:r>
        <w:rPr>
          <w:color w:val="202020"/>
          <w:spacing w:val="-1"/>
          <w:sz w:val="22"/>
        </w:rPr>
        <w:t> </w:t>
      </w:r>
      <w:r>
        <w:rPr>
          <w:color w:val="202020"/>
          <w:sz w:val="22"/>
        </w:rPr>
        <w:t>of payments on the</w:t>
      </w:r>
      <w:r>
        <w:rPr>
          <w:color w:val="202020"/>
          <w:spacing w:val="-4"/>
          <w:sz w:val="22"/>
        </w:rPr>
        <w:t> </w:t>
      </w:r>
      <w:r>
        <w:rPr>
          <w:color w:val="202020"/>
          <w:sz w:val="22"/>
        </w:rPr>
        <w:t>CMS-64</w:t>
      </w:r>
      <w:r>
        <w:rPr>
          <w:color w:val="202020"/>
          <w:spacing w:val="-5"/>
          <w:sz w:val="22"/>
        </w:rPr>
        <w:t> </w:t>
      </w:r>
      <w:r>
        <w:rPr>
          <w:color w:val="202020"/>
          <w:sz w:val="22"/>
        </w:rPr>
        <w:t>form,</w:t>
      </w:r>
      <w:r>
        <w:rPr>
          <w:color w:val="202020"/>
          <w:spacing w:val="-5"/>
          <w:sz w:val="22"/>
        </w:rPr>
        <w:t> </w:t>
      </w:r>
      <w:r>
        <w:rPr>
          <w:color w:val="202020"/>
          <w:sz w:val="22"/>
        </w:rPr>
        <w:t>will</w:t>
      </w:r>
      <w:r>
        <w:rPr>
          <w:color w:val="202020"/>
          <w:spacing w:val="-4"/>
          <w:sz w:val="22"/>
        </w:rPr>
        <w:t> </w:t>
      </w:r>
      <w:r>
        <w:rPr>
          <w:color w:val="202020"/>
          <w:sz w:val="22"/>
        </w:rPr>
        <w:t>not</w:t>
      </w:r>
      <w:r>
        <w:rPr>
          <w:color w:val="202020"/>
          <w:spacing w:val="-8"/>
          <w:sz w:val="22"/>
        </w:rPr>
        <w:t> </w:t>
      </w:r>
      <w:r>
        <w:rPr>
          <w:color w:val="202020"/>
          <w:sz w:val="22"/>
        </w:rPr>
        <w:t>occur</w:t>
      </w:r>
      <w:r>
        <w:rPr>
          <w:color w:val="202020"/>
          <w:spacing w:val="-6"/>
          <w:sz w:val="22"/>
        </w:rPr>
        <w:t> </w:t>
      </w:r>
      <w:r>
        <w:rPr>
          <w:color w:val="202020"/>
          <w:sz w:val="22"/>
        </w:rPr>
        <w:t>until</w:t>
      </w:r>
      <w:r>
        <w:rPr>
          <w:color w:val="202020"/>
          <w:spacing w:val="-4"/>
          <w:sz w:val="22"/>
        </w:rPr>
        <w:t> </w:t>
      </w:r>
      <w:r>
        <w:rPr>
          <w:color w:val="202020"/>
          <w:sz w:val="22"/>
        </w:rPr>
        <w:t>DSRIP</w:t>
      </w:r>
      <w:r>
        <w:rPr>
          <w:color w:val="202020"/>
          <w:spacing w:val="-5"/>
          <w:sz w:val="22"/>
        </w:rPr>
        <w:t> </w:t>
      </w:r>
      <w:r>
        <w:rPr>
          <w:color w:val="202020"/>
          <w:sz w:val="22"/>
        </w:rPr>
        <w:t>Accountability</w:t>
      </w:r>
      <w:r>
        <w:rPr>
          <w:color w:val="202020"/>
          <w:spacing w:val="-7"/>
          <w:sz w:val="22"/>
        </w:rPr>
        <w:t> </w:t>
      </w:r>
      <w:r>
        <w:rPr>
          <w:color w:val="202020"/>
          <w:sz w:val="22"/>
        </w:rPr>
        <w:t>Scores</w:t>
      </w:r>
      <w:r>
        <w:rPr>
          <w:color w:val="202020"/>
          <w:spacing w:val="-7"/>
          <w:sz w:val="22"/>
        </w:rPr>
        <w:t> </w:t>
      </w:r>
      <w:r>
        <w:rPr>
          <w:color w:val="202020"/>
          <w:sz w:val="22"/>
        </w:rPr>
        <w:t>(see</w:t>
      </w:r>
      <w:r>
        <w:rPr>
          <w:color w:val="202020"/>
          <w:spacing w:val="-4"/>
          <w:sz w:val="22"/>
        </w:rPr>
        <w:t> </w:t>
      </w:r>
      <w:r>
        <w:rPr>
          <w:color w:val="202020"/>
          <w:sz w:val="22"/>
        </w:rPr>
        <w:t>Sections</w:t>
      </w:r>
      <w:r>
        <w:rPr>
          <w:color w:val="202020"/>
          <w:spacing w:val="-7"/>
          <w:sz w:val="22"/>
        </w:rPr>
        <w:t> </w:t>
      </w:r>
      <w:r>
        <w:rPr>
          <w:color w:val="202020"/>
          <w:sz w:val="22"/>
        </w:rPr>
        <w:t>5.3</w:t>
      </w:r>
      <w:r>
        <w:rPr>
          <w:color w:val="202020"/>
          <w:spacing w:val="-5"/>
          <w:sz w:val="22"/>
        </w:rPr>
        <w:t> </w:t>
      </w:r>
      <w:r>
        <w:rPr>
          <w:color w:val="202020"/>
          <w:sz w:val="22"/>
        </w:rPr>
        <w:t>and</w:t>
      </w:r>
      <w:r>
        <w:rPr>
          <w:color w:val="202020"/>
          <w:spacing w:val="-5"/>
          <w:sz w:val="22"/>
        </w:rPr>
        <w:t> </w:t>
      </w:r>
      <w:r>
        <w:rPr>
          <w:color w:val="202020"/>
          <w:sz w:val="22"/>
        </w:rPr>
        <w:t>5.4.1),</w:t>
      </w:r>
      <w:r>
        <w:rPr>
          <w:color w:val="202020"/>
          <w:spacing w:val="-7"/>
          <w:sz w:val="22"/>
        </w:rPr>
        <w:t> </w:t>
      </w:r>
      <w:r>
        <w:rPr>
          <w:color w:val="202020"/>
          <w:sz w:val="22"/>
        </w:rPr>
        <w:t>elements comprising DSRIP Accountability Scores, or DSRIP Performance Remediation Plan Scores (see Sections 5.3.4.2 and 5.4.6.1) have been calculated by the State. As described in Sections 5.3.4.2 and 5.4.6.1, the State</w:t>
      </w:r>
      <w:r>
        <w:rPr>
          <w:color w:val="202020"/>
          <w:spacing w:val="-11"/>
          <w:sz w:val="22"/>
        </w:rPr>
        <w:t> </w:t>
      </w:r>
      <w:r>
        <w:rPr>
          <w:color w:val="202020"/>
          <w:sz w:val="22"/>
        </w:rPr>
        <w:t>will</w:t>
      </w:r>
      <w:r>
        <w:rPr>
          <w:color w:val="202020"/>
          <w:spacing w:val="-11"/>
          <w:sz w:val="22"/>
        </w:rPr>
        <w:t> </w:t>
      </w:r>
      <w:r>
        <w:rPr>
          <w:color w:val="202020"/>
          <w:sz w:val="22"/>
        </w:rPr>
        <w:t>calculate</w:t>
      </w:r>
      <w:r>
        <w:rPr>
          <w:color w:val="202020"/>
          <w:spacing w:val="-12"/>
          <w:sz w:val="22"/>
        </w:rPr>
        <w:t> </w:t>
      </w:r>
      <w:r>
        <w:rPr>
          <w:color w:val="202020"/>
          <w:sz w:val="22"/>
        </w:rPr>
        <w:t>each</w:t>
      </w:r>
      <w:r>
        <w:rPr>
          <w:color w:val="202020"/>
          <w:spacing w:val="-12"/>
          <w:sz w:val="22"/>
        </w:rPr>
        <w:t> </w:t>
      </w:r>
      <w:r>
        <w:rPr>
          <w:color w:val="202020"/>
          <w:sz w:val="22"/>
        </w:rPr>
        <w:t>element</w:t>
      </w:r>
      <w:r>
        <w:rPr>
          <w:color w:val="202020"/>
          <w:spacing w:val="-11"/>
          <w:sz w:val="22"/>
        </w:rPr>
        <w:t> </w:t>
      </w:r>
      <w:r>
        <w:rPr>
          <w:color w:val="202020"/>
          <w:sz w:val="22"/>
        </w:rPr>
        <w:t>of</w:t>
      </w:r>
      <w:r>
        <w:rPr>
          <w:color w:val="202020"/>
          <w:spacing w:val="-11"/>
          <w:sz w:val="22"/>
        </w:rPr>
        <w:t> </w:t>
      </w:r>
      <w:r>
        <w:rPr>
          <w:color w:val="202020"/>
          <w:sz w:val="22"/>
        </w:rPr>
        <w:t>the</w:t>
      </w:r>
      <w:r>
        <w:rPr>
          <w:color w:val="202020"/>
          <w:spacing w:val="-11"/>
          <w:sz w:val="22"/>
        </w:rPr>
        <w:t> </w:t>
      </w:r>
      <w:r>
        <w:rPr>
          <w:color w:val="202020"/>
          <w:sz w:val="22"/>
        </w:rPr>
        <w:t>DSRIP</w:t>
      </w:r>
      <w:r>
        <w:rPr>
          <w:color w:val="202020"/>
          <w:spacing w:val="-12"/>
          <w:sz w:val="22"/>
        </w:rPr>
        <w:t> </w:t>
      </w:r>
      <w:r>
        <w:rPr>
          <w:color w:val="202020"/>
          <w:sz w:val="22"/>
        </w:rPr>
        <w:t>Accountability</w:t>
      </w:r>
      <w:r>
        <w:rPr>
          <w:color w:val="202020"/>
          <w:spacing w:val="-14"/>
          <w:sz w:val="22"/>
        </w:rPr>
        <w:t> </w:t>
      </w:r>
      <w:r>
        <w:rPr>
          <w:color w:val="202020"/>
          <w:sz w:val="22"/>
        </w:rPr>
        <w:t>Scores</w:t>
      </w:r>
      <w:r>
        <w:rPr>
          <w:color w:val="202020"/>
          <w:spacing w:val="-11"/>
          <w:sz w:val="22"/>
        </w:rPr>
        <w:t> </w:t>
      </w:r>
      <w:r>
        <w:rPr>
          <w:color w:val="202020"/>
          <w:sz w:val="22"/>
        </w:rPr>
        <w:t>and</w:t>
      </w:r>
      <w:r>
        <w:rPr>
          <w:color w:val="202020"/>
          <w:spacing w:val="-12"/>
          <w:sz w:val="22"/>
        </w:rPr>
        <w:t> </w:t>
      </w:r>
      <w:r>
        <w:rPr>
          <w:color w:val="202020"/>
          <w:sz w:val="22"/>
        </w:rPr>
        <w:t>disburse</w:t>
      </w:r>
      <w:r>
        <w:rPr>
          <w:color w:val="202020"/>
          <w:spacing w:val="-14"/>
          <w:sz w:val="22"/>
        </w:rPr>
        <w:t> </w:t>
      </w:r>
      <w:r>
        <w:rPr>
          <w:color w:val="202020"/>
          <w:sz w:val="22"/>
        </w:rPr>
        <w:t>the</w:t>
      </w:r>
      <w:r>
        <w:rPr>
          <w:color w:val="202020"/>
          <w:spacing w:val="-12"/>
          <w:sz w:val="22"/>
        </w:rPr>
        <w:t> </w:t>
      </w:r>
      <w:r>
        <w:rPr>
          <w:color w:val="202020"/>
          <w:sz w:val="22"/>
        </w:rPr>
        <w:t>portion</w:t>
      </w:r>
      <w:r>
        <w:rPr>
          <w:color w:val="202020"/>
          <w:spacing w:val="-12"/>
          <w:sz w:val="22"/>
        </w:rPr>
        <w:t> </w:t>
      </w:r>
      <w:r>
        <w:rPr>
          <w:color w:val="202020"/>
          <w:sz w:val="22"/>
        </w:rPr>
        <w:t>of</w:t>
      </w:r>
      <w:r>
        <w:rPr>
          <w:color w:val="202020"/>
          <w:spacing w:val="-11"/>
          <w:sz w:val="22"/>
        </w:rPr>
        <w:t> </w:t>
      </w:r>
      <w:r>
        <w:rPr>
          <w:color w:val="202020"/>
          <w:sz w:val="22"/>
        </w:rPr>
        <w:t>the</w:t>
      </w:r>
      <w:r>
        <w:rPr>
          <w:color w:val="202020"/>
          <w:spacing w:val="-11"/>
          <w:sz w:val="22"/>
        </w:rPr>
        <w:t> </w:t>
      </w:r>
      <w:r>
        <w:rPr>
          <w:color w:val="202020"/>
          <w:sz w:val="22"/>
        </w:rPr>
        <w:t>earned at-risk funds tied to each element, as appropriate. The State will report such expenditures on the CMS 64 form and draw down FFP accordingly.</w:t>
      </w:r>
    </w:p>
    <w:p>
      <w:pPr>
        <w:pStyle w:val="ListParagraph"/>
        <w:numPr>
          <w:ilvl w:val="2"/>
          <w:numId w:val="77"/>
        </w:numPr>
        <w:tabs>
          <w:tab w:pos="1939" w:val="left" w:leader="none"/>
        </w:tabs>
        <w:spacing w:line="268" w:lineRule="exact" w:before="196" w:after="0"/>
        <w:ind w:left="1939" w:right="0" w:hanging="719"/>
        <w:jc w:val="both"/>
        <w:rPr>
          <w:b/>
          <w:color w:val="4471C4"/>
          <w:sz w:val="22"/>
        </w:rPr>
      </w:pPr>
      <w:bookmarkStart w:name="5.2.3 Modification to State Accountabili" w:id="1376"/>
      <w:bookmarkEnd w:id="1376"/>
      <w:r>
        <w:rPr/>
      </w:r>
      <w:bookmarkStart w:name="_bookmark79" w:id="1377"/>
      <w:bookmarkEnd w:id="1377"/>
      <w:r>
        <w:rPr/>
      </w:r>
      <w:r>
        <w:rPr>
          <w:b/>
          <w:color w:val="4471C4"/>
          <w:sz w:val="22"/>
        </w:rPr>
        <w:t>Modification</w:t>
      </w:r>
      <w:r>
        <w:rPr>
          <w:b/>
          <w:color w:val="4471C4"/>
          <w:spacing w:val="-8"/>
          <w:sz w:val="22"/>
        </w:rPr>
        <w:t> </w:t>
      </w:r>
      <w:r>
        <w:rPr>
          <w:b/>
          <w:color w:val="4471C4"/>
          <w:sz w:val="22"/>
        </w:rPr>
        <w:t>to</w:t>
      </w:r>
      <w:r>
        <w:rPr>
          <w:b/>
          <w:color w:val="4471C4"/>
          <w:spacing w:val="-6"/>
          <w:sz w:val="22"/>
        </w:rPr>
        <w:t> </w:t>
      </w:r>
      <w:r>
        <w:rPr>
          <w:b/>
          <w:color w:val="4471C4"/>
          <w:sz w:val="22"/>
        </w:rPr>
        <w:t>State</w:t>
      </w:r>
      <w:r>
        <w:rPr>
          <w:b/>
          <w:color w:val="4471C4"/>
          <w:spacing w:val="-6"/>
          <w:sz w:val="22"/>
        </w:rPr>
        <w:t> </w:t>
      </w:r>
      <w:r>
        <w:rPr>
          <w:b/>
          <w:color w:val="4471C4"/>
          <w:sz w:val="22"/>
        </w:rPr>
        <w:t>Account</w:t>
      </w:r>
      <w:r>
        <w:rPr>
          <w:rFonts w:ascii="Calibri Light"/>
          <w:b w:val="0"/>
          <w:color w:val="4471C4"/>
          <w:sz w:val="22"/>
        </w:rPr>
        <w:t>a</w:t>
      </w:r>
      <w:r>
        <w:rPr>
          <w:b/>
          <w:color w:val="4471C4"/>
          <w:sz w:val="22"/>
        </w:rPr>
        <w:t>bility</w:t>
      </w:r>
      <w:r>
        <w:rPr>
          <w:b/>
          <w:color w:val="4471C4"/>
          <w:spacing w:val="-6"/>
          <w:sz w:val="22"/>
        </w:rPr>
        <w:t> </w:t>
      </w:r>
      <w:r>
        <w:rPr>
          <w:b/>
          <w:color w:val="4471C4"/>
          <w:spacing w:val="-2"/>
          <w:sz w:val="22"/>
        </w:rPr>
        <w:t>Targets</w:t>
      </w:r>
    </w:p>
    <w:p>
      <w:pPr>
        <w:spacing w:before="0"/>
        <w:ind w:left="1220" w:right="1092" w:firstLine="0"/>
        <w:jc w:val="both"/>
        <w:rPr>
          <w:sz w:val="22"/>
        </w:rPr>
      </w:pPr>
      <w:r>
        <w:rPr>
          <w:sz w:val="22"/>
        </w:rPr>
        <w:t>The State may modify State Accountability Targets during the demonstration period (e.g., in situations where an expensive, but highly needed prescription drug enters the market). The State will submit modification requests to CMS for review and approval. CMS will review and approve the proposed modifications within 90 calendar days of submission.</w:t>
      </w:r>
    </w:p>
    <w:p>
      <w:pPr>
        <w:pStyle w:val="Heading2"/>
        <w:numPr>
          <w:ilvl w:val="1"/>
          <w:numId w:val="77"/>
        </w:numPr>
        <w:tabs>
          <w:tab w:pos="1618" w:val="left" w:leader="none"/>
        </w:tabs>
        <w:spacing w:line="240" w:lineRule="auto" w:before="201" w:after="0"/>
        <w:ind w:left="1618" w:right="0" w:hanging="398"/>
        <w:jc w:val="both"/>
      </w:pPr>
      <w:bookmarkStart w:name="5.3 Accountability Framework &amp; Performan" w:id="1378"/>
      <w:bookmarkEnd w:id="1378"/>
      <w:r>
        <w:rPr>
          <w:b w:val="0"/>
        </w:rPr>
      </w:r>
      <w:bookmarkStart w:name="_bookmark80" w:id="1379"/>
      <w:bookmarkEnd w:id="1379"/>
      <w:r>
        <w:rPr>
          <w:b w:val="0"/>
        </w:rPr>
      </w:r>
      <w:r>
        <w:rPr>
          <w:color w:val="4471C4"/>
        </w:rPr>
        <w:t>Accountability</w:t>
      </w:r>
      <w:r>
        <w:rPr>
          <w:color w:val="4471C4"/>
          <w:spacing w:val="-10"/>
        </w:rPr>
        <w:t> </w:t>
      </w:r>
      <w:r>
        <w:rPr>
          <w:color w:val="4471C4"/>
        </w:rPr>
        <w:t>Framework</w:t>
      </w:r>
      <w:r>
        <w:rPr>
          <w:color w:val="4471C4"/>
          <w:spacing w:val="-11"/>
        </w:rPr>
        <w:t> </w:t>
      </w:r>
      <w:r>
        <w:rPr>
          <w:color w:val="4471C4"/>
        </w:rPr>
        <w:t>&amp;</w:t>
      </w:r>
      <w:r>
        <w:rPr>
          <w:color w:val="4471C4"/>
          <w:spacing w:val="-12"/>
        </w:rPr>
        <w:t> </w:t>
      </w:r>
      <w:r>
        <w:rPr>
          <w:color w:val="4471C4"/>
        </w:rPr>
        <w:t>Performance</w:t>
      </w:r>
      <w:r>
        <w:rPr>
          <w:color w:val="4471C4"/>
          <w:spacing w:val="-9"/>
        </w:rPr>
        <w:t> </w:t>
      </w:r>
      <w:r>
        <w:rPr>
          <w:color w:val="4471C4"/>
        </w:rPr>
        <w:t>Based</w:t>
      </w:r>
      <w:r>
        <w:rPr>
          <w:color w:val="4471C4"/>
          <w:spacing w:val="-11"/>
        </w:rPr>
        <w:t> </w:t>
      </w:r>
      <w:r>
        <w:rPr>
          <w:color w:val="4471C4"/>
        </w:rPr>
        <w:t>Payments</w:t>
      </w:r>
      <w:r>
        <w:rPr>
          <w:color w:val="4471C4"/>
          <w:spacing w:val="-9"/>
        </w:rPr>
        <w:t> </w:t>
      </w:r>
      <w:r>
        <w:rPr>
          <w:color w:val="4471C4"/>
        </w:rPr>
        <w:t>for</w:t>
      </w:r>
      <w:r>
        <w:rPr>
          <w:color w:val="4471C4"/>
          <w:spacing w:val="-9"/>
        </w:rPr>
        <w:t> </w:t>
      </w:r>
      <w:r>
        <w:rPr>
          <w:color w:val="4471C4"/>
          <w:spacing w:val="-4"/>
        </w:rPr>
        <w:t>ACOs</w:t>
      </w:r>
    </w:p>
    <w:p>
      <w:pPr>
        <w:spacing w:before="0"/>
        <w:ind w:left="1219" w:right="1094" w:firstLine="0"/>
        <w:jc w:val="both"/>
        <w:rPr>
          <w:sz w:val="22"/>
        </w:rPr>
      </w:pPr>
      <w:r>
        <w:rPr>
          <w:sz w:val="22"/>
        </w:rPr>
        <w:t>As described in Section 4.4 above, each of the four sub-streams of DSRIP funding that the State will pay to ACOs is subject to an accountability framework that aligns ACO incentives with the State’s delivery system</w:t>
      </w:r>
      <w:r>
        <w:rPr>
          <w:spacing w:val="-8"/>
          <w:sz w:val="22"/>
        </w:rPr>
        <w:t> </w:t>
      </w:r>
      <w:r>
        <w:rPr>
          <w:sz w:val="22"/>
        </w:rPr>
        <w:t>reform</w:t>
      </w:r>
      <w:r>
        <w:rPr>
          <w:spacing w:val="-8"/>
          <w:sz w:val="22"/>
        </w:rPr>
        <w:t> </w:t>
      </w:r>
      <w:r>
        <w:rPr>
          <w:sz w:val="22"/>
        </w:rPr>
        <w:t>goals.</w:t>
      </w:r>
      <w:r>
        <w:rPr>
          <w:spacing w:val="-5"/>
          <w:sz w:val="22"/>
        </w:rPr>
        <w:t> </w:t>
      </w:r>
      <w:r>
        <w:rPr>
          <w:sz w:val="22"/>
        </w:rPr>
        <w:t>For</w:t>
      </w:r>
      <w:r>
        <w:rPr>
          <w:spacing w:val="-6"/>
          <w:sz w:val="22"/>
        </w:rPr>
        <w:t> </w:t>
      </w:r>
      <w:r>
        <w:rPr>
          <w:sz w:val="22"/>
        </w:rPr>
        <w:t>two</w:t>
      </w:r>
      <w:r>
        <w:rPr>
          <w:spacing w:val="-5"/>
          <w:sz w:val="22"/>
        </w:rPr>
        <w:t> </w:t>
      </w:r>
      <w:r>
        <w:rPr>
          <w:sz w:val="22"/>
        </w:rPr>
        <w:t>of</w:t>
      </w:r>
      <w:r>
        <w:rPr>
          <w:spacing w:val="-4"/>
          <w:sz w:val="22"/>
        </w:rPr>
        <w:t> </w:t>
      </w:r>
      <w:r>
        <w:rPr>
          <w:sz w:val="22"/>
        </w:rPr>
        <w:t>these</w:t>
      </w:r>
      <w:r>
        <w:rPr>
          <w:spacing w:val="-7"/>
          <w:sz w:val="22"/>
        </w:rPr>
        <w:t> </w:t>
      </w:r>
      <w:r>
        <w:rPr>
          <w:sz w:val="22"/>
        </w:rPr>
        <w:t>sub-streams</w:t>
      </w:r>
      <w:r>
        <w:rPr>
          <w:spacing w:val="-4"/>
          <w:sz w:val="22"/>
        </w:rPr>
        <w:t> </w:t>
      </w:r>
      <w:r>
        <w:rPr>
          <w:sz w:val="22"/>
        </w:rPr>
        <w:t>(Startup/Ongoing:</w:t>
      </w:r>
      <w:r>
        <w:rPr>
          <w:spacing w:val="-4"/>
          <w:sz w:val="22"/>
        </w:rPr>
        <w:t> </w:t>
      </w:r>
      <w:r>
        <w:rPr>
          <w:sz w:val="22"/>
        </w:rPr>
        <w:t>discretionary;</w:t>
      </w:r>
      <w:r>
        <w:rPr>
          <w:spacing w:val="-4"/>
          <w:sz w:val="22"/>
        </w:rPr>
        <w:t> </w:t>
      </w:r>
      <w:r>
        <w:rPr>
          <w:sz w:val="22"/>
        </w:rPr>
        <w:t>and</w:t>
      </w:r>
      <w:r>
        <w:rPr>
          <w:spacing w:val="-5"/>
          <w:sz w:val="22"/>
        </w:rPr>
        <w:t> </w:t>
      </w:r>
      <w:r>
        <w:rPr>
          <w:sz w:val="22"/>
        </w:rPr>
        <w:t>DSTI</w:t>
      </w:r>
      <w:r>
        <w:rPr>
          <w:spacing w:val="-9"/>
          <w:sz w:val="22"/>
        </w:rPr>
        <w:t> </w:t>
      </w:r>
      <w:r>
        <w:rPr>
          <w:sz w:val="22"/>
        </w:rPr>
        <w:t>Glide</w:t>
      </w:r>
      <w:r>
        <w:rPr>
          <w:spacing w:val="-4"/>
          <w:sz w:val="22"/>
        </w:rPr>
        <w:t> </w:t>
      </w:r>
      <w:r>
        <w:rPr>
          <w:sz w:val="22"/>
        </w:rPr>
        <w:t>Path), the</w:t>
      </w:r>
      <w:r>
        <w:rPr>
          <w:spacing w:val="46"/>
          <w:sz w:val="22"/>
        </w:rPr>
        <w:t> </w:t>
      </w:r>
      <w:r>
        <w:rPr>
          <w:sz w:val="22"/>
        </w:rPr>
        <w:t>State</w:t>
      </w:r>
      <w:r>
        <w:rPr>
          <w:spacing w:val="46"/>
          <w:sz w:val="22"/>
        </w:rPr>
        <w:t> </w:t>
      </w:r>
      <w:r>
        <w:rPr>
          <w:sz w:val="22"/>
        </w:rPr>
        <w:t>will</w:t>
      </w:r>
      <w:r>
        <w:rPr>
          <w:spacing w:val="48"/>
          <w:sz w:val="22"/>
        </w:rPr>
        <w:t> </w:t>
      </w:r>
      <w:r>
        <w:rPr>
          <w:sz w:val="22"/>
        </w:rPr>
        <w:t>hold</w:t>
      </w:r>
      <w:r>
        <w:rPr>
          <w:spacing w:val="44"/>
          <w:sz w:val="22"/>
        </w:rPr>
        <w:t> </w:t>
      </w:r>
      <w:r>
        <w:rPr>
          <w:sz w:val="22"/>
        </w:rPr>
        <w:t>each</w:t>
      </w:r>
      <w:r>
        <w:rPr>
          <w:spacing w:val="45"/>
          <w:sz w:val="22"/>
        </w:rPr>
        <w:t> </w:t>
      </w:r>
      <w:r>
        <w:rPr>
          <w:sz w:val="22"/>
        </w:rPr>
        <w:t>ACO</w:t>
      </w:r>
      <w:r>
        <w:rPr>
          <w:spacing w:val="45"/>
          <w:sz w:val="22"/>
        </w:rPr>
        <w:t> </w:t>
      </w:r>
      <w:r>
        <w:rPr>
          <w:sz w:val="22"/>
        </w:rPr>
        <w:t>accountable</w:t>
      </w:r>
      <w:r>
        <w:rPr>
          <w:spacing w:val="45"/>
          <w:sz w:val="22"/>
        </w:rPr>
        <w:t> </w:t>
      </w:r>
      <w:r>
        <w:rPr>
          <w:sz w:val="22"/>
        </w:rPr>
        <w:t>for</w:t>
      </w:r>
      <w:r>
        <w:rPr>
          <w:spacing w:val="47"/>
          <w:sz w:val="22"/>
        </w:rPr>
        <w:t> </w:t>
      </w:r>
      <w:r>
        <w:rPr>
          <w:sz w:val="22"/>
        </w:rPr>
        <w:t>the</w:t>
      </w:r>
      <w:r>
        <w:rPr>
          <w:spacing w:val="45"/>
          <w:sz w:val="22"/>
        </w:rPr>
        <w:t> </w:t>
      </w:r>
      <w:r>
        <w:rPr>
          <w:sz w:val="22"/>
        </w:rPr>
        <w:t>ACO’s</w:t>
      </w:r>
      <w:r>
        <w:rPr>
          <w:spacing w:val="47"/>
          <w:sz w:val="22"/>
        </w:rPr>
        <w:t> </w:t>
      </w:r>
      <w:r>
        <w:rPr>
          <w:sz w:val="22"/>
        </w:rPr>
        <w:t>individual</w:t>
      </w:r>
      <w:r>
        <w:rPr>
          <w:spacing w:val="46"/>
          <w:sz w:val="22"/>
        </w:rPr>
        <w:t> </w:t>
      </w:r>
      <w:r>
        <w:rPr>
          <w:sz w:val="22"/>
        </w:rPr>
        <w:t>performance</w:t>
      </w:r>
      <w:r>
        <w:rPr>
          <w:spacing w:val="46"/>
          <w:sz w:val="22"/>
        </w:rPr>
        <w:t> </w:t>
      </w:r>
      <w:r>
        <w:rPr>
          <w:sz w:val="22"/>
        </w:rPr>
        <w:t>by</w:t>
      </w:r>
      <w:r>
        <w:rPr>
          <w:spacing w:val="45"/>
          <w:sz w:val="22"/>
        </w:rPr>
        <w:t> </w:t>
      </w:r>
      <w:r>
        <w:rPr>
          <w:sz w:val="22"/>
        </w:rPr>
        <w:t>withholding</w:t>
      </w:r>
      <w:r>
        <w:rPr>
          <w:spacing w:val="45"/>
          <w:sz w:val="22"/>
        </w:rPr>
        <w:t> </w:t>
      </w:r>
      <w:r>
        <w:rPr>
          <w:spacing w:val="-10"/>
          <w:sz w:val="22"/>
        </w:rPr>
        <w:t>a</w:t>
      </w:r>
    </w:p>
    <w:p>
      <w:pPr>
        <w:spacing w:after="0"/>
        <w:jc w:val="both"/>
        <w:rPr>
          <w:sz w:val="22"/>
        </w:rPr>
        <w:sectPr>
          <w:pgSz w:w="12240" w:h="15840"/>
          <w:pgMar w:header="0" w:footer="967" w:top="1360" w:bottom="1160" w:left="220" w:right="340"/>
        </w:sectPr>
      </w:pPr>
    </w:p>
    <w:p>
      <w:pPr>
        <w:spacing w:line="242" w:lineRule="auto" w:before="78"/>
        <w:ind w:left="1219" w:right="1094" w:firstLine="0"/>
        <w:jc w:val="both"/>
        <w:rPr>
          <w:sz w:val="22"/>
        </w:rPr>
      </w:pPr>
      <w:r>
        <w:rPr>
          <w:sz w:val="22"/>
        </w:rPr>
        <w:t>percentage of the funds each Budget Period, and retrospectively paying out a portion of the withheld amounts</w:t>
      </w:r>
      <w:r>
        <w:rPr>
          <w:spacing w:val="-10"/>
          <w:sz w:val="22"/>
        </w:rPr>
        <w:t> </w:t>
      </w:r>
      <w:r>
        <w:rPr>
          <w:sz w:val="22"/>
        </w:rPr>
        <w:t>to</w:t>
      </w:r>
      <w:r>
        <w:rPr>
          <w:spacing w:val="-11"/>
          <w:sz w:val="22"/>
        </w:rPr>
        <w:t> </w:t>
      </w:r>
      <w:r>
        <w:rPr>
          <w:sz w:val="22"/>
        </w:rPr>
        <w:t>the</w:t>
      </w:r>
      <w:r>
        <w:rPr>
          <w:spacing w:val="-10"/>
          <w:sz w:val="22"/>
        </w:rPr>
        <w:t> </w:t>
      </w:r>
      <w:r>
        <w:rPr>
          <w:sz w:val="22"/>
        </w:rPr>
        <w:t>ACO</w:t>
      </w:r>
      <w:r>
        <w:rPr>
          <w:spacing w:val="-12"/>
          <w:sz w:val="22"/>
        </w:rPr>
        <w:t> </w:t>
      </w:r>
      <w:r>
        <w:rPr>
          <w:sz w:val="22"/>
        </w:rPr>
        <w:t>based</w:t>
      </w:r>
      <w:r>
        <w:rPr>
          <w:spacing w:val="-13"/>
          <w:sz w:val="22"/>
        </w:rPr>
        <w:t> </w:t>
      </w:r>
      <w:r>
        <w:rPr>
          <w:sz w:val="22"/>
        </w:rPr>
        <w:t>on</w:t>
      </w:r>
      <w:r>
        <w:rPr>
          <w:spacing w:val="-11"/>
          <w:sz w:val="22"/>
        </w:rPr>
        <w:t> </w:t>
      </w:r>
      <w:r>
        <w:rPr>
          <w:sz w:val="22"/>
        </w:rPr>
        <w:t>the</w:t>
      </w:r>
      <w:r>
        <w:rPr>
          <w:spacing w:val="-10"/>
          <w:sz w:val="22"/>
        </w:rPr>
        <w:t> </w:t>
      </w:r>
      <w:r>
        <w:rPr>
          <w:sz w:val="22"/>
        </w:rPr>
        <w:t>ACO’s</w:t>
      </w:r>
      <w:r>
        <w:rPr>
          <w:spacing w:val="-10"/>
          <w:sz w:val="22"/>
        </w:rPr>
        <w:t> </w:t>
      </w:r>
      <w:r>
        <w:rPr>
          <w:sz w:val="22"/>
        </w:rPr>
        <w:t>performance</w:t>
      </w:r>
      <w:r>
        <w:rPr>
          <w:spacing w:val="-13"/>
          <w:sz w:val="22"/>
        </w:rPr>
        <w:t> </w:t>
      </w:r>
      <w:r>
        <w:rPr>
          <w:sz w:val="22"/>
        </w:rPr>
        <w:t>on</w:t>
      </w:r>
      <w:r>
        <w:rPr>
          <w:spacing w:val="-11"/>
          <w:sz w:val="22"/>
        </w:rPr>
        <w:t> </w:t>
      </w:r>
      <w:r>
        <w:rPr>
          <w:sz w:val="22"/>
        </w:rPr>
        <w:t>clinical</w:t>
      </w:r>
      <w:r>
        <w:rPr>
          <w:spacing w:val="-10"/>
          <w:sz w:val="22"/>
        </w:rPr>
        <w:t> </w:t>
      </w:r>
      <w:r>
        <w:rPr>
          <w:sz w:val="22"/>
        </w:rPr>
        <w:t>quality</w:t>
      </w:r>
      <w:r>
        <w:rPr>
          <w:spacing w:val="-13"/>
          <w:sz w:val="22"/>
        </w:rPr>
        <w:t> </w:t>
      </w:r>
      <w:r>
        <w:rPr>
          <w:sz w:val="22"/>
        </w:rPr>
        <w:t>and</w:t>
      </w:r>
      <w:r>
        <w:rPr>
          <w:spacing w:val="-11"/>
          <w:sz w:val="22"/>
        </w:rPr>
        <w:t> </w:t>
      </w:r>
      <w:r>
        <w:rPr>
          <w:sz w:val="22"/>
        </w:rPr>
        <w:t>member</w:t>
      </w:r>
      <w:r>
        <w:rPr>
          <w:spacing w:val="-10"/>
          <w:sz w:val="22"/>
        </w:rPr>
        <w:t> </w:t>
      </w:r>
      <w:r>
        <w:rPr>
          <w:sz w:val="22"/>
        </w:rPr>
        <w:t>experience</w:t>
      </w:r>
      <w:r>
        <w:rPr>
          <w:spacing w:val="-10"/>
          <w:sz w:val="22"/>
        </w:rPr>
        <w:t> </w:t>
      </w:r>
      <w:r>
        <w:rPr>
          <w:sz w:val="22"/>
        </w:rPr>
        <w:t>measures as well as on Total Cost of Care.</w:t>
      </w:r>
    </w:p>
    <w:p>
      <w:pPr>
        <w:spacing w:before="153"/>
        <w:ind w:left="1219" w:right="1093" w:firstLine="0"/>
        <w:jc w:val="both"/>
        <w:rPr>
          <w:sz w:val="22"/>
        </w:rPr>
      </w:pPr>
      <w:r>
        <w:rPr>
          <w:sz w:val="22"/>
        </w:rPr>
        <w:t>The State will measure ACO performance using a state-calculated score called the “ACO DSRIP Accountability Score.” The ACO DSRIP Accountability Score is a value between zero (0) and one (1), expressed</w:t>
      </w:r>
      <w:r>
        <w:rPr>
          <w:spacing w:val="-12"/>
          <w:sz w:val="22"/>
        </w:rPr>
        <w:t> </w:t>
      </w:r>
      <w:r>
        <w:rPr>
          <w:sz w:val="22"/>
        </w:rPr>
        <w:t>as</w:t>
      </w:r>
      <w:r>
        <w:rPr>
          <w:spacing w:val="-14"/>
          <w:sz w:val="22"/>
        </w:rPr>
        <w:t> </w:t>
      </w:r>
      <w:r>
        <w:rPr>
          <w:sz w:val="22"/>
        </w:rPr>
        <w:t>a</w:t>
      </w:r>
      <w:r>
        <w:rPr>
          <w:spacing w:val="-11"/>
          <w:sz w:val="22"/>
        </w:rPr>
        <w:t> </w:t>
      </w:r>
      <w:r>
        <w:rPr>
          <w:sz w:val="22"/>
        </w:rPr>
        <w:t>percentage</w:t>
      </w:r>
      <w:r>
        <w:rPr>
          <w:spacing w:val="-12"/>
          <w:sz w:val="22"/>
        </w:rPr>
        <w:t> </w:t>
      </w:r>
      <w:r>
        <w:rPr>
          <w:sz w:val="22"/>
        </w:rPr>
        <w:t>(i.e.,</w:t>
      </w:r>
      <w:r>
        <w:rPr>
          <w:spacing w:val="-12"/>
          <w:sz w:val="22"/>
        </w:rPr>
        <w:t> </w:t>
      </w:r>
      <w:r>
        <w:rPr>
          <w:sz w:val="22"/>
        </w:rPr>
        <w:t>between</w:t>
      </w:r>
      <w:r>
        <w:rPr>
          <w:spacing w:val="-14"/>
          <w:sz w:val="22"/>
        </w:rPr>
        <w:t> </w:t>
      </w:r>
      <w:r>
        <w:rPr>
          <w:sz w:val="22"/>
        </w:rPr>
        <w:t>0%</w:t>
      </w:r>
      <w:r>
        <w:rPr>
          <w:spacing w:val="-13"/>
          <w:sz w:val="22"/>
        </w:rPr>
        <w:t> </w:t>
      </w:r>
      <w:r>
        <w:rPr>
          <w:sz w:val="22"/>
        </w:rPr>
        <w:t>and</w:t>
      </w:r>
      <w:r>
        <w:rPr>
          <w:spacing w:val="-14"/>
          <w:sz w:val="22"/>
        </w:rPr>
        <w:t> </w:t>
      </w:r>
      <w:r>
        <w:rPr>
          <w:sz w:val="22"/>
        </w:rPr>
        <w:t>100%).</w:t>
      </w:r>
      <w:r>
        <w:rPr>
          <w:spacing w:val="-14"/>
          <w:sz w:val="22"/>
        </w:rPr>
        <w:t> </w:t>
      </w:r>
      <w:r>
        <w:rPr>
          <w:sz w:val="22"/>
        </w:rPr>
        <w:t>The</w:t>
      </w:r>
      <w:r>
        <w:rPr>
          <w:spacing w:val="-11"/>
          <w:sz w:val="22"/>
        </w:rPr>
        <w:t> </w:t>
      </w:r>
      <w:r>
        <w:rPr>
          <w:sz w:val="22"/>
        </w:rPr>
        <w:t>State</w:t>
      </w:r>
      <w:r>
        <w:rPr>
          <w:spacing w:val="-11"/>
          <w:sz w:val="22"/>
        </w:rPr>
        <w:t> </w:t>
      </w:r>
      <w:r>
        <w:rPr>
          <w:sz w:val="22"/>
        </w:rPr>
        <w:t>will</w:t>
      </w:r>
      <w:r>
        <w:rPr>
          <w:spacing w:val="-11"/>
          <w:sz w:val="22"/>
        </w:rPr>
        <w:t> </w:t>
      </w:r>
      <w:r>
        <w:rPr>
          <w:sz w:val="22"/>
        </w:rPr>
        <w:t>multiply</w:t>
      </w:r>
      <w:r>
        <w:rPr>
          <w:spacing w:val="-14"/>
          <w:sz w:val="22"/>
        </w:rPr>
        <w:t> </w:t>
      </w:r>
      <w:r>
        <w:rPr>
          <w:sz w:val="22"/>
        </w:rPr>
        <w:t>each</w:t>
      </w:r>
      <w:r>
        <w:rPr>
          <w:spacing w:val="-12"/>
          <w:sz w:val="22"/>
        </w:rPr>
        <w:t> </w:t>
      </w:r>
      <w:r>
        <w:rPr>
          <w:sz w:val="22"/>
        </w:rPr>
        <w:t>ACO’s</w:t>
      </w:r>
      <w:r>
        <w:rPr>
          <w:spacing w:val="-11"/>
          <w:sz w:val="22"/>
        </w:rPr>
        <w:t> </w:t>
      </w:r>
      <w:r>
        <w:rPr>
          <w:sz w:val="22"/>
        </w:rPr>
        <w:t>withheld</w:t>
      </w:r>
      <w:r>
        <w:rPr>
          <w:spacing w:val="-14"/>
          <w:sz w:val="22"/>
        </w:rPr>
        <w:t> </w:t>
      </w:r>
      <w:r>
        <w:rPr>
          <w:sz w:val="22"/>
        </w:rPr>
        <w:t>funds for a given Budget Period by the ACO’s ACO DSRIP Accountability Score for that Budget Period, and will retrospectively pay the ACO the resulting amount. Sections 4.4.1-4.4.3 focus on the technical methodology for calculating these scores. Section 4.4 describes process, timelines, key players and roles and responsibilities for calculating the scores.</w:t>
      </w:r>
    </w:p>
    <w:p>
      <w:pPr>
        <w:pStyle w:val="ListParagraph"/>
        <w:numPr>
          <w:ilvl w:val="0"/>
          <w:numId w:val="83"/>
        </w:numPr>
        <w:tabs>
          <w:tab w:pos="1940" w:val="left" w:leader="none"/>
        </w:tabs>
        <w:spacing w:line="240" w:lineRule="auto" w:before="160" w:after="0"/>
        <w:ind w:left="1940" w:right="0" w:hanging="360"/>
        <w:jc w:val="left"/>
        <w:rPr>
          <w:b/>
          <w:sz w:val="22"/>
        </w:rPr>
      </w:pPr>
      <w:r>
        <w:rPr>
          <w:b/>
          <w:sz w:val="22"/>
        </w:rPr>
        <w:t>Section</w:t>
      </w:r>
      <w:r>
        <w:rPr>
          <w:b/>
          <w:spacing w:val="-8"/>
          <w:sz w:val="22"/>
        </w:rPr>
        <w:t> </w:t>
      </w:r>
      <w:r>
        <w:rPr>
          <w:b/>
          <w:sz w:val="22"/>
        </w:rPr>
        <w:t>5.3.1:</w:t>
      </w:r>
      <w:r>
        <w:rPr>
          <w:b/>
          <w:spacing w:val="-6"/>
          <w:sz w:val="22"/>
        </w:rPr>
        <w:t> </w:t>
      </w:r>
      <w:r>
        <w:rPr>
          <w:b/>
          <w:sz w:val="22"/>
        </w:rPr>
        <w:t>Quality</w:t>
      </w:r>
      <w:r>
        <w:rPr>
          <w:b/>
          <w:spacing w:val="-5"/>
          <w:sz w:val="22"/>
        </w:rPr>
        <w:t> </w:t>
      </w:r>
      <w:r>
        <w:rPr>
          <w:b/>
          <w:sz w:val="22"/>
        </w:rPr>
        <w:t>and</w:t>
      </w:r>
      <w:r>
        <w:rPr>
          <w:b/>
          <w:spacing w:val="-7"/>
          <w:sz w:val="22"/>
        </w:rPr>
        <w:t> </w:t>
      </w:r>
      <w:r>
        <w:rPr>
          <w:b/>
          <w:sz w:val="22"/>
        </w:rPr>
        <w:t>TCOC</w:t>
      </w:r>
      <w:r>
        <w:rPr>
          <w:b/>
          <w:spacing w:val="-6"/>
          <w:sz w:val="22"/>
        </w:rPr>
        <w:t> </w:t>
      </w:r>
      <w:r>
        <w:rPr>
          <w:b/>
          <w:sz w:val="22"/>
        </w:rPr>
        <w:t>Components</w:t>
      </w:r>
      <w:r>
        <w:rPr>
          <w:b/>
          <w:spacing w:val="-4"/>
          <w:sz w:val="22"/>
        </w:rPr>
        <w:t> </w:t>
      </w:r>
      <w:r>
        <w:rPr>
          <w:b/>
          <w:sz w:val="22"/>
        </w:rPr>
        <w:t>of</w:t>
      </w:r>
      <w:r>
        <w:rPr>
          <w:b/>
          <w:spacing w:val="-4"/>
          <w:sz w:val="22"/>
        </w:rPr>
        <w:t> </w:t>
      </w:r>
      <w:r>
        <w:rPr>
          <w:b/>
          <w:sz w:val="22"/>
        </w:rPr>
        <w:t>the</w:t>
      </w:r>
      <w:r>
        <w:rPr>
          <w:b/>
          <w:spacing w:val="-5"/>
          <w:sz w:val="22"/>
        </w:rPr>
        <w:t> </w:t>
      </w:r>
      <w:r>
        <w:rPr>
          <w:b/>
          <w:sz w:val="22"/>
        </w:rPr>
        <w:t>ACO</w:t>
      </w:r>
      <w:r>
        <w:rPr>
          <w:b/>
          <w:spacing w:val="-3"/>
          <w:sz w:val="22"/>
        </w:rPr>
        <w:t> </w:t>
      </w:r>
      <w:r>
        <w:rPr>
          <w:b/>
          <w:sz w:val="22"/>
        </w:rPr>
        <w:t>DSRIP</w:t>
      </w:r>
      <w:r>
        <w:rPr>
          <w:b/>
          <w:spacing w:val="-3"/>
          <w:sz w:val="22"/>
        </w:rPr>
        <w:t> </w:t>
      </w:r>
      <w:r>
        <w:rPr>
          <w:b/>
          <w:sz w:val="22"/>
        </w:rPr>
        <w:t>Accountability</w:t>
      </w:r>
      <w:r>
        <w:rPr>
          <w:b/>
          <w:spacing w:val="-4"/>
          <w:sz w:val="22"/>
        </w:rPr>
        <w:t> </w:t>
      </w:r>
      <w:r>
        <w:rPr>
          <w:b/>
          <w:spacing w:val="-2"/>
          <w:sz w:val="22"/>
        </w:rPr>
        <w:t>Score</w:t>
      </w:r>
    </w:p>
    <w:p>
      <w:pPr>
        <w:pStyle w:val="ListParagraph"/>
        <w:numPr>
          <w:ilvl w:val="0"/>
          <w:numId w:val="83"/>
        </w:numPr>
        <w:tabs>
          <w:tab w:pos="1940" w:val="left" w:leader="none"/>
        </w:tabs>
        <w:spacing w:line="240" w:lineRule="auto" w:before="200" w:after="0"/>
        <w:ind w:left="1940" w:right="0" w:hanging="360"/>
        <w:jc w:val="left"/>
        <w:rPr>
          <w:b/>
          <w:sz w:val="22"/>
        </w:rPr>
      </w:pPr>
      <w:r>
        <w:rPr>
          <w:b/>
          <w:sz w:val="22"/>
        </w:rPr>
        <w:t>Section</w:t>
      </w:r>
      <w:r>
        <w:rPr>
          <w:b/>
          <w:spacing w:val="-9"/>
          <w:sz w:val="22"/>
        </w:rPr>
        <w:t> </w:t>
      </w:r>
      <w:r>
        <w:rPr>
          <w:b/>
          <w:sz w:val="22"/>
        </w:rPr>
        <w:t>5.3.2:</w:t>
      </w:r>
      <w:r>
        <w:rPr>
          <w:b/>
          <w:spacing w:val="-5"/>
          <w:sz w:val="22"/>
        </w:rPr>
        <w:t> </w:t>
      </w:r>
      <w:r>
        <w:rPr>
          <w:b/>
          <w:sz w:val="22"/>
        </w:rPr>
        <w:t>TCOC</w:t>
      </w:r>
      <w:r>
        <w:rPr>
          <w:b/>
          <w:spacing w:val="-6"/>
          <w:sz w:val="22"/>
        </w:rPr>
        <w:t> </w:t>
      </w:r>
      <w:r>
        <w:rPr>
          <w:b/>
          <w:sz w:val="22"/>
        </w:rPr>
        <w:t>Component</w:t>
      </w:r>
      <w:r>
        <w:rPr>
          <w:b/>
          <w:spacing w:val="-5"/>
          <w:sz w:val="22"/>
        </w:rPr>
        <w:t> </w:t>
      </w:r>
      <w:r>
        <w:rPr>
          <w:b/>
          <w:sz w:val="22"/>
        </w:rPr>
        <w:t>of</w:t>
      </w:r>
      <w:r>
        <w:rPr>
          <w:b/>
          <w:spacing w:val="-4"/>
          <w:sz w:val="22"/>
        </w:rPr>
        <w:t> </w:t>
      </w:r>
      <w:r>
        <w:rPr>
          <w:b/>
          <w:sz w:val="22"/>
        </w:rPr>
        <w:t>the</w:t>
      </w:r>
      <w:r>
        <w:rPr>
          <w:b/>
          <w:spacing w:val="-6"/>
          <w:sz w:val="22"/>
        </w:rPr>
        <w:t> </w:t>
      </w:r>
      <w:r>
        <w:rPr>
          <w:b/>
          <w:sz w:val="22"/>
        </w:rPr>
        <w:t>ACO</w:t>
      </w:r>
      <w:r>
        <w:rPr>
          <w:b/>
          <w:spacing w:val="-4"/>
          <w:sz w:val="22"/>
        </w:rPr>
        <w:t> </w:t>
      </w:r>
      <w:r>
        <w:rPr>
          <w:b/>
          <w:sz w:val="22"/>
        </w:rPr>
        <w:t>DSRIP</w:t>
      </w:r>
      <w:r>
        <w:rPr>
          <w:b/>
          <w:spacing w:val="-4"/>
          <w:sz w:val="22"/>
        </w:rPr>
        <w:t> </w:t>
      </w:r>
      <w:r>
        <w:rPr>
          <w:b/>
          <w:sz w:val="22"/>
        </w:rPr>
        <w:t>Accountability</w:t>
      </w:r>
      <w:r>
        <w:rPr>
          <w:b/>
          <w:spacing w:val="-5"/>
          <w:sz w:val="22"/>
        </w:rPr>
        <w:t> </w:t>
      </w:r>
      <w:r>
        <w:rPr>
          <w:b/>
          <w:spacing w:val="-2"/>
          <w:sz w:val="22"/>
        </w:rPr>
        <w:t>Score</w:t>
      </w:r>
    </w:p>
    <w:p>
      <w:pPr>
        <w:pStyle w:val="ListParagraph"/>
        <w:numPr>
          <w:ilvl w:val="0"/>
          <w:numId w:val="83"/>
        </w:numPr>
        <w:tabs>
          <w:tab w:pos="1940" w:val="left" w:leader="none"/>
        </w:tabs>
        <w:spacing w:line="240" w:lineRule="auto" w:before="199" w:after="0"/>
        <w:ind w:left="1940" w:right="0" w:hanging="360"/>
        <w:jc w:val="left"/>
        <w:rPr>
          <w:b/>
          <w:sz w:val="22"/>
        </w:rPr>
      </w:pPr>
      <w:r>
        <w:rPr>
          <w:b/>
          <w:sz w:val="22"/>
        </w:rPr>
        <w:t>Section</w:t>
      </w:r>
      <w:r>
        <w:rPr>
          <w:b/>
          <w:spacing w:val="-6"/>
          <w:sz w:val="22"/>
        </w:rPr>
        <w:t> </w:t>
      </w:r>
      <w:r>
        <w:rPr>
          <w:b/>
          <w:sz w:val="22"/>
        </w:rPr>
        <w:t>5.3.3:</w:t>
      </w:r>
      <w:r>
        <w:rPr>
          <w:b/>
          <w:spacing w:val="-4"/>
          <w:sz w:val="22"/>
        </w:rPr>
        <w:t> </w:t>
      </w:r>
      <w:r>
        <w:rPr>
          <w:b/>
          <w:sz w:val="22"/>
        </w:rPr>
        <w:t>Impact</w:t>
      </w:r>
      <w:r>
        <w:rPr>
          <w:b/>
          <w:spacing w:val="-4"/>
          <w:sz w:val="22"/>
        </w:rPr>
        <w:t> </w:t>
      </w:r>
      <w:r>
        <w:rPr>
          <w:b/>
          <w:sz w:val="22"/>
        </w:rPr>
        <w:t>of</w:t>
      </w:r>
      <w:r>
        <w:rPr>
          <w:b/>
          <w:spacing w:val="-4"/>
          <w:sz w:val="22"/>
        </w:rPr>
        <w:t> </w:t>
      </w:r>
      <w:r>
        <w:rPr>
          <w:b/>
          <w:sz w:val="22"/>
        </w:rPr>
        <w:t>DSRIP</w:t>
      </w:r>
      <w:r>
        <w:rPr>
          <w:b/>
          <w:spacing w:val="-3"/>
          <w:sz w:val="22"/>
        </w:rPr>
        <w:t> </w:t>
      </w:r>
      <w:r>
        <w:rPr>
          <w:b/>
          <w:sz w:val="22"/>
        </w:rPr>
        <w:t>Accountability</w:t>
      </w:r>
      <w:r>
        <w:rPr>
          <w:b/>
          <w:spacing w:val="-5"/>
          <w:sz w:val="22"/>
        </w:rPr>
        <w:t> </w:t>
      </w:r>
      <w:r>
        <w:rPr>
          <w:b/>
          <w:sz w:val="22"/>
        </w:rPr>
        <w:t>Scores</w:t>
      </w:r>
      <w:r>
        <w:rPr>
          <w:b/>
          <w:spacing w:val="-5"/>
          <w:sz w:val="22"/>
        </w:rPr>
        <w:t> </w:t>
      </w:r>
      <w:r>
        <w:rPr>
          <w:b/>
          <w:sz w:val="22"/>
        </w:rPr>
        <w:t>on</w:t>
      </w:r>
      <w:r>
        <w:rPr>
          <w:b/>
          <w:spacing w:val="-7"/>
          <w:sz w:val="22"/>
        </w:rPr>
        <w:t> </w:t>
      </w:r>
      <w:r>
        <w:rPr>
          <w:b/>
          <w:sz w:val="22"/>
        </w:rPr>
        <w:t>Payments</w:t>
      </w:r>
      <w:r>
        <w:rPr>
          <w:b/>
          <w:spacing w:val="-7"/>
          <w:sz w:val="22"/>
        </w:rPr>
        <w:t> </w:t>
      </w:r>
      <w:r>
        <w:rPr>
          <w:b/>
          <w:sz w:val="22"/>
        </w:rPr>
        <w:t>to</w:t>
      </w:r>
      <w:r>
        <w:rPr>
          <w:b/>
          <w:spacing w:val="-4"/>
          <w:sz w:val="22"/>
        </w:rPr>
        <w:t> ACOs</w:t>
      </w:r>
    </w:p>
    <w:p>
      <w:pPr>
        <w:pStyle w:val="ListParagraph"/>
        <w:numPr>
          <w:ilvl w:val="0"/>
          <w:numId w:val="83"/>
        </w:numPr>
        <w:tabs>
          <w:tab w:pos="1940" w:val="left" w:leader="none"/>
        </w:tabs>
        <w:spacing w:line="240" w:lineRule="auto" w:before="199" w:after="0"/>
        <w:ind w:left="1940" w:right="2087" w:hanging="361"/>
        <w:jc w:val="left"/>
        <w:rPr>
          <w:b/>
          <w:sz w:val="22"/>
        </w:rPr>
      </w:pPr>
      <w:r>
        <w:rPr>
          <w:b/>
          <w:sz w:val="22"/>
        </w:rPr>
        <w:t>Section</w:t>
      </w:r>
      <w:r>
        <w:rPr>
          <w:b/>
          <w:spacing w:val="-5"/>
          <w:sz w:val="22"/>
        </w:rPr>
        <w:t> </w:t>
      </w:r>
      <w:r>
        <w:rPr>
          <w:b/>
          <w:sz w:val="22"/>
        </w:rPr>
        <w:t>5.3.4:</w:t>
      </w:r>
      <w:r>
        <w:rPr>
          <w:b/>
          <w:spacing w:val="-6"/>
          <w:sz w:val="22"/>
        </w:rPr>
        <w:t> </w:t>
      </w:r>
      <w:r>
        <w:rPr>
          <w:b/>
          <w:sz w:val="22"/>
        </w:rPr>
        <w:t>Process,</w:t>
      </w:r>
      <w:r>
        <w:rPr>
          <w:b/>
          <w:spacing w:val="-4"/>
          <w:sz w:val="22"/>
        </w:rPr>
        <w:t> </w:t>
      </w:r>
      <w:r>
        <w:rPr>
          <w:b/>
          <w:sz w:val="22"/>
        </w:rPr>
        <w:t>Roles,</w:t>
      </w:r>
      <w:r>
        <w:rPr>
          <w:b/>
          <w:spacing w:val="-4"/>
          <w:sz w:val="22"/>
        </w:rPr>
        <w:t> </w:t>
      </w:r>
      <w:r>
        <w:rPr>
          <w:b/>
          <w:sz w:val="22"/>
        </w:rPr>
        <w:t>and</w:t>
      </w:r>
      <w:r>
        <w:rPr>
          <w:b/>
          <w:spacing w:val="-5"/>
          <w:sz w:val="22"/>
        </w:rPr>
        <w:t> </w:t>
      </w:r>
      <w:r>
        <w:rPr>
          <w:b/>
          <w:sz w:val="22"/>
        </w:rPr>
        <w:t>Responsibilities</w:t>
      </w:r>
      <w:r>
        <w:rPr>
          <w:b/>
          <w:spacing w:val="-6"/>
          <w:sz w:val="22"/>
        </w:rPr>
        <w:t> </w:t>
      </w:r>
      <w:r>
        <w:rPr>
          <w:b/>
          <w:sz w:val="22"/>
        </w:rPr>
        <w:t>for</w:t>
      </w:r>
      <w:r>
        <w:rPr>
          <w:b/>
          <w:spacing w:val="-4"/>
          <w:sz w:val="22"/>
        </w:rPr>
        <w:t> </w:t>
      </w:r>
      <w:r>
        <w:rPr>
          <w:b/>
          <w:sz w:val="22"/>
        </w:rPr>
        <w:t>calculating</w:t>
      </w:r>
      <w:r>
        <w:rPr>
          <w:b/>
          <w:spacing w:val="-4"/>
          <w:sz w:val="22"/>
        </w:rPr>
        <w:t> </w:t>
      </w:r>
      <w:r>
        <w:rPr>
          <w:b/>
          <w:sz w:val="22"/>
        </w:rPr>
        <w:t>the</w:t>
      </w:r>
      <w:r>
        <w:rPr>
          <w:b/>
          <w:spacing w:val="-6"/>
          <w:sz w:val="22"/>
        </w:rPr>
        <w:t> </w:t>
      </w:r>
      <w:r>
        <w:rPr>
          <w:b/>
          <w:sz w:val="22"/>
        </w:rPr>
        <w:t>ACO</w:t>
      </w:r>
      <w:r>
        <w:rPr>
          <w:b/>
          <w:spacing w:val="-3"/>
          <w:sz w:val="22"/>
        </w:rPr>
        <w:t> </w:t>
      </w:r>
      <w:r>
        <w:rPr>
          <w:b/>
          <w:sz w:val="22"/>
        </w:rPr>
        <w:t>DSRIP Accountability Score</w:t>
      </w:r>
    </w:p>
    <w:p>
      <w:pPr>
        <w:pStyle w:val="ListParagraph"/>
        <w:numPr>
          <w:ilvl w:val="0"/>
          <w:numId w:val="83"/>
        </w:numPr>
        <w:tabs>
          <w:tab w:pos="1940" w:val="left" w:leader="none"/>
        </w:tabs>
        <w:spacing w:line="240" w:lineRule="auto" w:before="199" w:after="0"/>
        <w:ind w:left="1940" w:right="1474" w:hanging="361"/>
        <w:jc w:val="left"/>
        <w:rPr>
          <w:b/>
          <w:sz w:val="22"/>
        </w:rPr>
      </w:pPr>
      <w:r>
        <w:rPr>
          <w:b/>
          <w:sz w:val="22"/>
        </w:rPr>
        <w:t>Section</w:t>
      </w:r>
      <w:r>
        <w:rPr>
          <w:b/>
          <w:spacing w:val="-5"/>
          <w:sz w:val="22"/>
        </w:rPr>
        <w:t> </w:t>
      </w:r>
      <w:r>
        <w:rPr>
          <w:b/>
          <w:sz w:val="22"/>
        </w:rPr>
        <w:t>5.3.5:</w:t>
      </w:r>
      <w:r>
        <w:rPr>
          <w:b/>
          <w:spacing w:val="-3"/>
          <w:sz w:val="22"/>
        </w:rPr>
        <w:t> </w:t>
      </w:r>
      <w:r>
        <w:rPr>
          <w:b/>
          <w:sz w:val="22"/>
        </w:rPr>
        <w:t>Timeline</w:t>
      </w:r>
      <w:r>
        <w:rPr>
          <w:b/>
          <w:spacing w:val="-4"/>
          <w:sz w:val="22"/>
        </w:rPr>
        <w:t> </w:t>
      </w:r>
      <w:r>
        <w:rPr>
          <w:b/>
          <w:sz w:val="22"/>
        </w:rPr>
        <w:t>of</w:t>
      </w:r>
      <w:r>
        <w:rPr>
          <w:b/>
          <w:spacing w:val="-6"/>
          <w:sz w:val="22"/>
        </w:rPr>
        <w:t> </w:t>
      </w:r>
      <w:r>
        <w:rPr>
          <w:b/>
          <w:sz w:val="22"/>
        </w:rPr>
        <w:t>ACO</w:t>
      </w:r>
      <w:r>
        <w:rPr>
          <w:b/>
          <w:spacing w:val="-3"/>
          <w:sz w:val="22"/>
        </w:rPr>
        <w:t> </w:t>
      </w:r>
      <w:r>
        <w:rPr>
          <w:b/>
          <w:sz w:val="22"/>
        </w:rPr>
        <w:t>DSRIP</w:t>
      </w:r>
      <w:r>
        <w:rPr>
          <w:b/>
          <w:spacing w:val="-2"/>
          <w:sz w:val="22"/>
        </w:rPr>
        <w:t> </w:t>
      </w:r>
      <w:r>
        <w:rPr>
          <w:b/>
          <w:sz w:val="22"/>
        </w:rPr>
        <w:t>Accountability</w:t>
      </w:r>
      <w:r>
        <w:rPr>
          <w:b/>
          <w:spacing w:val="-4"/>
          <w:sz w:val="22"/>
        </w:rPr>
        <w:t> </w:t>
      </w:r>
      <w:r>
        <w:rPr>
          <w:b/>
          <w:sz w:val="22"/>
        </w:rPr>
        <w:t>Score</w:t>
      </w:r>
      <w:r>
        <w:rPr>
          <w:b/>
          <w:spacing w:val="-4"/>
          <w:sz w:val="22"/>
        </w:rPr>
        <w:t> </w:t>
      </w:r>
      <w:r>
        <w:rPr>
          <w:b/>
          <w:sz w:val="22"/>
        </w:rPr>
        <w:t>data</w:t>
      </w:r>
      <w:r>
        <w:rPr>
          <w:b/>
          <w:spacing w:val="-7"/>
          <w:sz w:val="22"/>
        </w:rPr>
        <w:t> </w:t>
      </w:r>
      <w:r>
        <w:rPr>
          <w:b/>
          <w:sz w:val="22"/>
        </w:rPr>
        <w:t>collection,</w:t>
      </w:r>
      <w:r>
        <w:rPr>
          <w:b/>
          <w:spacing w:val="-4"/>
          <w:sz w:val="22"/>
        </w:rPr>
        <w:t> </w:t>
      </w:r>
      <w:r>
        <w:rPr>
          <w:b/>
          <w:sz w:val="22"/>
        </w:rPr>
        <w:t>calculation, and disbursement of DSRIP payments</w:t>
      </w:r>
    </w:p>
    <w:p>
      <w:pPr>
        <w:spacing w:after="0" w:line="240" w:lineRule="auto"/>
        <w:jc w:val="left"/>
        <w:rPr>
          <w:sz w:val="22"/>
        </w:rPr>
        <w:sectPr>
          <w:pgSz w:w="12240" w:h="15840"/>
          <w:pgMar w:header="0" w:footer="967" w:top="1360" w:bottom="1160" w:left="220" w:right="340"/>
        </w:sectPr>
      </w:pPr>
    </w:p>
    <w:p>
      <w:pPr>
        <w:tabs>
          <w:tab w:pos="10579" w:val="left" w:leader="none"/>
        </w:tabs>
        <w:spacing w:before="78"/>
        <w:ind w:left="1219" w:right="0" w:firstLine="0"/>
        <w:jc w:val="left"/>
        <w:rPr>
          <w:sz w:val="22"/>
        </w:rPr>
      </w:pPr>
      <w:r>
        <w:rPr/>
        <mc:AlternateContent>
          <mc:Choice Requires="wps">
            <w:drawing>
              <wp:anchor distT="0" distB="0" distL="0" distR="0" allowOverlap="1" layoutInCell="1" locked="0" behindDoc="1" simplePos="0" relativeHeight="488008704">
                <wp:simplePos x="0" y="0"/>
                <wp:positionH relativeFrom="page">
                  <wp:posOffset>905255</wp:posOffset>
                </wp:positionH>
                <wp:positionV relativeFrom="paragraph">
                  <wp:posOffset>217986</wp:posOffset>
                </wp:positionV>
                <wp:extent cx="5953125" cy="5175885"/>
                <wp:effectExtent l="0" t="0" r="0" b="0"/>
                <wp:wrapTopAndBottom/>
                <wp:docPr id="880" name="Group 880"/>
                <wp:cNvGraphicFramePr>
                  <a:graphicFrameLocks/>
                </wp:cNvGraphicFramePr>
                <a:graphic>
                  <a:graphicData uri="http://schemas.microsoft.com/office/word/2010/wordprocessingGroup">
                    <wpg:wgp>
                      <wpg:cNvPr id="880" name="Group 880"/>
                      <wpg:cNvGrpSpPr/>
                      <wpg:grpSpPr>
                        <a:xfrm>
                          <a:off x="0" y="0"/>
                          <a:ext cx="5953125" cy="5175885"/>
                          <a:chExt cx="5953125" cy="5175885"/>
                        </a:xfrm>
                      </wpg:grpSpPr>
                      <wps:wsp>
                        <wps:cNvPr id="881" name="Graphic 881"/>
                        <wps:cNvSpPr/>
                        <wps:spPr>
                          <a:xfrm>
                            <a:off x="0" y="5169395"/>
                            <a:ext cx="5953125" cy="6350"/>
                          </a:xfrm>
                          <a:custGeom>
                            <a:avLst/>
                            <a:gdLst/>
                            <a:ahLst/>
                            <a:cxnLst/>
                            <a:rect l="l" t="t" r="r" b="b"/>
                            <a:pathLst>
                              <a:path w="5953125" h="6350">
                                <a:moveTo>
                                  <a:pt x="5952744" y="0"/>
                                </a:moveTo>
                                <a:lnTo>
                                  <a:pt x="0" y="0"/>
                                </a:lnTo>
                                <a:lnTo>
                                  <a:pt x="0" y="6108"/>
                                </a:lnTo>
                                <a:lnTo>
                                  <a:pt x="5952744" y="6108"/>
                                </a:lnTo>
                                <a:lnTo>
                                  <a:pt x="5952744" y="0"/>
                                </a:lnTo>
                                <a:close/>
                              </a:path>
                            </a:pathLst>
                          </a:custGeom>
                          <a:solidFill>
                            <a:srgbClr val="000000"/>
                          </a:solidFill>
                        </wps:spPr>
                        <wps:bodyPr wrap="square" lIns="0" tIns="0" rIns="0" bIns="0" rtlCol="0">
                          <a:prstTxWarp prst="textNoShape">
                            <a:avLst/>
                          </a:prstTxWarp>
                          <a:noAutofit/>
                        </wps:bodyPr>
                      </wps:wsp>
                      <pic:pic>
                        <pic:nvPicPr>
                          <pic:cNvPr id="882" name="Image 882"/>
                          <pic:cNvPicPr/>
                        </pic:nvPicPr>
                        <pic:blipFill>
                          <a:blip r:embed="rId346" cstate="print"/>
                          <a:stretch>
                            <a:fillRect/>
                          </a:stretch>
                        </pic:blipFill>
                        <pic:spPr>
                          <a:xfrm>
                            <a:off x="77723" y="0"/>
                            <a:ext cx="5819343" cy="5168874"/>
                          </a:xfrm>
                          <a:prstGeom prst="rect">
                            <a:avLst/>
                          </a:prstGeom>
                        </pic:spPr>
                      </pic:pic>
                    </wpg:wgp>
                  </a:graphicData>
                </a:graphic>
              </wp:anchor>
            </w:drawing>
          </mc:Choice>
          <mc:Fallback>
            <w:pict>
              <v:group style="position:absolute;margin-left:71.279999pt;margin-top:17.164270pt;width:468.75pt;height:407.55pt;mso-position-horizontal-relative:page;mso-position-vertical-relative:paragraph;z-index:-15307776;mso-wrap-distance-left:0;mso-wrap-distance-right:0" id="docshapegroup97" coordorigin="1426,343" coordsize="9375,8151">
                <v:rect style="position:absolute;left:1425;top:8484;width:9375;height:10" id="docshape98" filled="true" fillcolor="#000000" stroked="false">
                  <v:fill type="solid"/>
                </v:rect>
                <v:shape style="position:absolute;left:1548;top:343;width:9165;height:8140" type="#_x0000_t75" id="docshape99" stroked="false">
                  <v:imagedata r:id="rId346" o:title=""/>
                </v:shape>
                <w10:wrap type="topAndBottom"/>
              </v:group>
            </w:pict>
          </mc:Fallback>
        </mc:AlternateContent>
      </w:r>
      <w:r>
        <w:rPr>
          <w:sz w:val="22"/>
          <w:u w:val="single"/>
        </w:rPr>
        <w:t>EXHIBIT</w:t>
      </w:r>
      <w:r>
        <w:rPr>
          <w:spacing w:val="-4"/>
          <w:sz w:val="22"/>
          <w:u w:val="single"/>
        </w:rPr>
        <w:t> </w:t>
      </w:r>
      <w:r>
        <w:rPr>
          <w:sz w:val="22"/>
          <w:u w:val="single"/>
        </w:rPr>
        <w:t>29</w:t>
      </w:r>
      <w:r>
        <w:rPr>
          <w:spacing w:val="-3"/>
          <w:sz w:val="22"/>
          <w:u w:val="single"/>
        </w:rPr>
        <w:t> </w:t>
      </w:r>
      <w:r>
        <w:rPr>
          <w:sz w:val="22"/>
          <w:u w:val="single"/>
        </w:rPr>
        <w:t>–</w:t>
      </w:r>
      <w:r>
        <w:rPr>
          <w:spacing w:val="-4"/>
          <w:sz w:val="22"/>
          <w:u w:val="single"/>
        </w:rPr>
        <w:t> </w:t>
      </w:r>
      <w:r>
        <w:rPr>
          <w:sz w:val="22"/>
          <w:u w:val="single"/>
        </w:rPr>
        <w:t>Process</w:t>
      </w:r>
      <w:r>
        <w:rPr>
          <w:spacing w:val="-3"/>
          <w:sz w:val="22"/>
          <w:u w:val="single"/>
        </w:rPr>
        <w:t> </w:t>
      </w:r>
      <w:r>
        <w:rPr>
          <w:sz w:val="22"/>
          <w:u w:val="single"/>
        </w:rPr>
        <w:t>Flow</w:t>
      </w:r>
      <w:r>
        <w:rPr>
          <w:spacing w:val="-5"/>
          <w:sz w:val="22"/>
          <w:u w:val="single"/>
        </w:rPr>
        <w:t> </w:t>
      </w:r>
      <w:r>
        <w:rPr>
          <w:sz w:val="22"/>
          <w:u w:val="single"/>
        </w:rPr>
        <w:t>for</w:t>
      </w:r>
      <w:r>
        <w:rPr>
          <w:spacing w:val="-2"/>
          <w:sz w:val="22"/>
          <w:u w:val="single"/>
        </w:rPr>
        <w:t> </w:t>
      </w:r>
      <w:r>
        <w:rPr>
          <w:sz w:val="22"/>
          <w:u w:val="single"/>
        </w:rPr>
        <w:t>Calculating</w:t>
      </w:r>
      <w:r>
        <w:rPr>
          <w:spacing w:val="-6"/>
          <w:sz w:val="22"/>
          <w:u w:val="single"/>
        </w:rPr>
        <w:t> </w:t>
      </w:r>
      <w:r>
        <w:rPr>
          <w:sz w:val="22"/>
          <w:u w:val="single"/>
        </w:rPr>
        <w:t>the</w:t>
      </w:r>
      <w:r>
        <w:rPr>
          <w:spacing w:val="-4"/>
          <w:sz w:val="22"/>
          <w:u w:val="single"/>
        </w:rPr>
        <w:t> </w:t>
      </w:r>
      <w:r>
        <w:rPr>
          <w:sz w:val="22"/>
          <w:u w:val="single"/>
        </w:rPr>
        <w:t>ACO</w:t>
      </w:r>
      <w:r>
        <w:rPr>
          <w:spacing w:val="-4"/>
          <w:sz w:val="22"/>
          <w:u w:val="single"/>
        </w:rPr>
        <w:t> </w:t>
      </w:r>
      <w:r>
        <w:rPr>
          <w:sz w:val="22"/>
          <w:u w:val="single"/>
        </w:rPr>
        <w:t>DSRIP</w:t>
      </w:r>
      <w:r>
        <w:rPr>
          <w:spacing w:val="-4"/>
          <w:sz w:val="22"/>
          <w:u w:val="single"/>
        </w:rPr>
        <w:t> </w:t>
      </w:r>
      <w:r>
        <w:rPr>
          <w:sz w:val="22"/>
          <w:u w:val="single"/>
        </w:rPr>
        <w:t>Accountability</w:t>
      </w:r>
      <w:r>
        <w:rPr>
          <w:spacing w:val="-6"/>
          <w:sz w:val="22"/>
          <w:u w:val="single"/>
        </w:rPr>
        <w:t> </w:t>
      </w:r>
      <w:r>
        <w:rPr>
          <w:spacing w:val="-2"/>
          <w:sz w:val="22"/>
          <w:u w:val="single"/>
        </w:rPr>
        <w:t>Score</w:t>
      </w:r>
      <w:r>
        <w:rPr>
          <w:sz w:val="22"/>
          <w:u w:val="single"/>
        </w:rPr>
        <w:tab/>
      </w:r>
    </w:p>
    <w:p>
      <w:pPr>
        <w:pStyle w:val="BodyText"/>
        <w:rPr>
          <w:sz w:val="20"/>
        </w:rPr>
      </w:pPr>
    </w:p>
    <w:p>
      <w:pPr>
        <w:pStyle w:val="Heading5"/>
        <w:numPr>
          <w:ilvl w:val="2"/>
          <w:numId w:val="77"/>
        </w:numPr>
        <w:tabs>
          <w:tab w:pos="1940" w:val="left" w:leader="none"/>
        </w:tabs>
        <w:spacing w:line="240" w:lineRule="auto" w:before="222" w:after="0"/>
        <w:ind w:left="1940" w:right="0" w:hanging="720"/>
        <w:jc w:val="both"/>
        <w:rPr>
          <w:color w:val="4471C4"/>
        </w:rPr>
      </w:pPr>
      <w:bookmarkStart w:name="5.3.1 Quality and TCOC Components of the" w:id="1380"/>
      <w:bookmarkEnd w:id="1380"/>
      <w:r>
        <w:rPr>
          <w:b w:val="0"/>
        </w:rPr>
      </w:r>
      <w:bookmarkStart w:name="_bookmark81" w:id="1381"/>
      <w:bookmarkEnd w:id="1381"/>
      <w:r>
        <w:rPr>
          <w:b w:val="0"/>
        </w:rPr>
      </w:r>
      <w:r>
        <w:rPr>
          <w:color w:val="4471C4"/>
        </w:rPr>
        <w:t>Quality</w:t>
      </w:r>
      <w:r>
        <w:rPr>
          <w:color w:val="4471C4"/>
          <w:spacing w:val="-4"/>
        </w:rPr>
        <w:t> </w:t>
      </w:r>
      <w:r>
        <w:rPr>
          <w:color w:val="4471C4"/>
        </w:rPr>
        <w:t>and</w:t>
      </w:r>
      <w:r>
        <w:rPr>
          <w:color w:val="4471C4"/>
          <w:spacing w:val="-4"/>
        </w:rPr>
        <w:t> </w:t>
      </w:r>
      <w:r>
        <w:rPr>
          <w:color w:val="4471C4"/>
        </w:rPr>
        <w:t>TCOC</w:t>
      </w:r>
      <w:r>
        <w:rPr>
          <w:color w:val="4471C4"/>
          <w:spacing w:val="-2"/>
        </w:rPr>
        <w:t> </w:t>
      </w:r>
      <w:r>
        <w:rPr>
          <w:color w:val="4471C4"/>
        </w:rPr>
        <w:t>Components</w:t>
      </w:r>
      <w:r>
        <w:rPr>
          <w:color w:val="4471C4"/>
          <w:spacing w:val="-2"/>
        </w:rPr>
        <w:t> </w:t>
      </w:r>
      <w:r>
        <w:rPr>
          <w:color w:val="4471C4"/>
        </w:rPr>
        <w:t>of</w:t>
      </w:r>
      <w:r>
        <w:rPr>
          <w:color w:val="4471C4"/>
          <w:spacing w:val="-1"/>
        </w:rPr>
        <w:t> </w:t>
      </w:r>
      <w:r>
        <w:rPr>
          <w:color w:val="4471C4"/>
        </w:rPr>
        <w:t>the</w:t>
      </w:r>
      <w:r>
        <w:rPr>
          <w:color w:val="4471C4"/>
          <w:spacing w:val="-2"/>
        </w:rPr>
        <w:t> </w:t>
      </w:r>
      <w:r>
        <w:rPr>
          <w:color w:val="4471C4"/>
        </w:rPr>
        <w:t>ACO DSRIP</w:t>
      </w:r>
      <w:r>
        <w:rPr>
          <w:color w:val="4471C4"/>
          <w:spacing w:val="-5"/>
        </w:rPr>
        <w:t> </w:t>
      </w:r>
      <w:r>
        <w:rPr>
          <w:color w:val="4471C4"/>
        </w:rPr>
        <w:t>Accountability</w:t>
      </w:r>
      <w:r>
        <w:rPr>
          <w:color w:val="4471C4"/>
          <w:spacing w:val="-1"/>
        </w:rPr>
        <w:t> </w:t>
      </w:r>
      <w:r>
        <w:rPr>
          <w:color w:val="4471C4"/>
          <w:spacing w:val="-2"/>
        </w:rPr>
        <w:t>Score</w:t>
      </w:r>
    </w:p>
    <w:p>
      <w:pPr>
        <w:spacing w:line="240" w:lineRule="auto" w:before="41"/>
        <w:ind w:left="1219" w:right="1094" w:firstLine="0"/>
        <w:jc w:val="both"/>
        <w:rPr>
          <w:sz w:val="22"/>
        </w:rPr>
      </w:pPr>
      <w:r>
        <w:rPr>
          <w:sz w:val="22"/>
        </w:rPr>
        <w:t>Each ACO’s ACO DSRIP Accountability Score is produced by blending two separate measures of the ACO’s performance during the Budget Period: (1) the Quality component of the ACO DSRIP Accountability Score; and (2) TCOC component of the ACO DSRIP Accountability Score. The Quality component of the ACO DSRIP Accountability Score is a score that the State will calculate that represents the</w:t>
      </w:r>
      <w:r>
        <w:rPr>
          <w:spacing w:val="-4"/>
          <w:sz w:val="22"/>
        </w:rPr>
        <w:t> </w:t>
      </w:r>
      <w:r>
        <w:rPr>
          <w:sz w:val="22"/>
        </w:rPr>
        <w:t>ACO’s</w:t>
      </w:r>
      <w:r>
        <w:rPr>
          <w:spacing w:val="-4"/>
          <w:sz w:val="22"/>
        </w:rPr>
        <w:t> </w:t>
      </w:r>
      <w:r>
        <w:rPr>
          <w:sz w:val="22"/>
        </w:rPr>
        <w:t>performance</w:t>
      </w:r>
      <w:r>
        <w:rPr>
          <w:spacing w:val="-7"/>
          <w:sz w:val="22"/>
        </w:rPr>
        <w:t> </w:t>
      </w:r>
      <w:r>
        <w:rPr>
          <w:sz w:val="22"/>
        </w:rPr>
        <w:t>on</w:t>
      </w:r>
      <w:r>
        <w:rPr>
          <w:spacing w:val="-7"/>
          <w:sz w:val="22"/>
        </w:rPr>
        <w:t> </w:t>
      </w:r>
      <w:r>
        <w:rPr>
          <w:sz w:val="22"/>
        </w:rPr>
        <w:t>quality</w:t>
      </w:r>
      <w:r>
        <w:rPr>
          <w:spacing w:val="-7"/>
          <w:sz w:val="22"/>
        </w:rPr>
        <w:t> </w:t>
      </w:r>
      <w:r>
        <w:rPr>
          <w:sz w:val="22"/>
        </w:rPr>
        <w:t>measures</w:t>
      </w:r>
      <w:r>
        <w:rPr>
          <w:spacing w:val="-4"/>
          <w:sz w:val="22"/>
        </w:rPr>
        <w:t> </w:t>
      </w:r>
      <w:r>
        <w:rPr>
          <w:sz w:val="22"/>
        </w:rPr>
        <w:t>during</w:t>
      </w:r>
      <w:r>
        <w:rPr>
          <w:spacing w:val="-7"/>
          <w:sz w:val="22"/>
        </w:rPr>
        <w:t> </w:t>
      </w:r>
      <w:r>
        <w:rPr>
          <w:sz w:val="22"/>
        </w:rPr>
        <w:t>the</w:t>
      </w:r>
      <w:r>
        <w:rPr>
          <w:spacing w:val="-7"/>
          <w:sz w:val="22"/>
        </w:rPr>
        <w:t> </w:t>
      </w:r>
      <w:r>
        <w:rPr>
          <w:sz w:val="22"/>
        </w:rPr>
        <w:t>Budget</w:t>
      </w:r>
      <w:r>
        <w:rPr>
          <w:spacing w:val="-4"/>
          <w:sz w:val="22"/>
        </w:rPr>
        <w:t> </w:t>
      </w:r>
      <w:r>
        <w:rPr>
          <w:sz w:val="22"/>
        </w:rPr>
        <w:t>Period.</w:t>
      </w:r>
      <w:r>
        <w:rPr>
          <w:spacing w:val="-7"/>
          <w:sz w:val="22"/>
        </w:rPr>
        <w:t> </w:t>
      </w:r>
      <w:r>
        <w:rPr>
          <w:sz w:val="22"/>
        </w:rPr>
        <w:t>The</w:t>
      </w:r>
      <w:r>
        <w:rPr>
          <w:spacing w:val="-7"/>
          <w:sz w:val="22"/>
        </w:rPr>
        <w:t> </w:t>
      </w:r>
      <w:r>
        <w:rPr>
          <w:sz w:val="22"/>
        </w:rPr>
        <w:t>TCOC</w:t>
      </w:r>
      <w:r>
        <w:rPr>
          <w:spacing w:val="-8"/>
          <w:sz w:val="22"/>
        </w:rPr>
        <w:t> </w:t>
      </w:r>
      <w:r>
        <w:rPr>
          <w:sz w:val="22"/>
        </w:rPr>
        <w:t>component</w:t>
      </w:r>
      <w:r>
        <w:rPr>
          <w:spacing w:val="-4"/>
          <w:sz w:val="22"/>
        </w:rPr>
        <w:t> </w:t>
      </w:r>
      <w:r>
        <w:rPr>
          <w:sz w:val="22"/>
        </w:rPr>
        <w:t>of</w:t>
      </w:r>
      <w:r>
        <w:rPr>
          <w:spacing w:val="-6"/>
          <w:sz w:val="22"/>
        </w:rPr>
        <w:t> </w:t>
      </w:r>
      <w:r>
        <w:rPr>
          <w:sz w:val="22"/>
        </w:rPr>
        <w:t>the</w:t>
      </w:r>
      <w:r>
        <w:rPr>
          <w:spacing w:val="-7"/>
          <w:sz w:val="22"/>
        </w:rPr>
        <w:t> </w:t>
      </w:r>
      <w:r>
        <w:rPr>
          <w:sz w:val="22"/>
        </w:rPr>
        <w:t>ACO DSRIP</w:t>
      </w:r>
      <w:r>
        <w:rPr>
          <w:spacing w:val="-3"/>
          <w:sz w:val="22"/>
        </w:rPr>
        <w:t> </w:t>
      </w:r>
      <w:r>
        <w:rPr>
          <w:sz w:val="22"/>
        </w:rPr>
        <w:t>Accountability</w:t>
      </w:r>
      <w:r>
        <w:rPr>
          <w:spacing w:val="-5"/>
          <w:sz w:val="22"/>
        </w:rPr>
        <w:t> </w:t>
      </w:r>
      <w:r>
        <w:rPr>
          <w:sz w:val="22"/>
        </w:rPr>
        <w:t>Score</w:t>
      </w:r>
      <w:r>
        <w:rPr>
          <w:spacing w:val="-2"/>
          <w:sz w:val="22"/>
        </w:rPr>
        <w:t> </w:t>
      </w:r>
      <w:r>
        <w:rPr>
          <w:sz w:val="22"/>
        </w:rPr>
        <w:t>is</w:t>
      </w:r>
      <w:r>
        <w:rPr>
          <w:spacing w:val="-2"/>
          <w:sz w:val="22"/>
        </w:rPr>
        <w:t> </w:t>
      </w:r>
      <w:r>
        <w:rPr>
          <w:sz w:val="22"/>
        </w:rPr>
        <w:t>a</w:t>
      </w:r>
      <w:r>
        <w:rPr>
          <w:spacing w:val="-2"/>
          <w:sz w:val="22"/>
        </w:rPr>
        <w:t> </w:t>
      </w:r>
      <w:r>
        <w:rPr>
          <w:sz w:val="22"/>
        </w:rPr>
        <w:t>score</w:t>
      </w:r>
      <w:r>
        <w:rPr>
          <w:spacing w:val="-2"/>
          <w:sz w:val="22"/>
        </w:rPr>
        <w:t> </w:t>
      </w:r>
      <w:r>
        <w:rPr>
          <w:sz w:val="22"/>
        </w:rPr>
        <w:t>that</w:t>
      </w:r>
      <w:r>
        <w:rPr>
          <w:spacing w:val="-4"/>
          <w:sz w:val="22"/>
        </w:rPr>
        <w:t> </w:t>
      </w:r>
      <w:r>
        <w:rPr>
          <w:sz w:val="22"/>
        </w:rPr>
        <w:t>the</w:t>
      </w:r>
      <w:r>
        <w:rPr>
          <w:spacing w:val="-2"/>
          <w:sz w:val="22"/>
        </w:rPr>
        <w:t> </w:t>
      </w:r>
      <w:r>
        <w:rPr>
          <w:sz w:val="22"/>
        </w:rPr>
        <w:t>State</w:t>
      </w:r>
      <w:r>
        <w:rPr>
          <w:spacing w:val="-2"/>
          <w:sz w:val="22"/>
        </w:rPr>
        <w:t> </w:t>
      </w:r>
      <w:r>
        <w:rPr>
          <w:sz w:val="22"/>
        </w:rPr>
        <w:t>will</w:t>
      </w:r>
      <w:r>
        <w:rPr>
          <w:spacing w:val="-1"/>
          <w:sz w:val="22"/>
        </w:rPr>
        <w:t> </w:t>
      </w:r>
      <w:r>
        <w:rPr>
          <w:sz w:val="22"/>
        </w:rPr>
        <w:t>calculate</w:t>
      </w:r>
      <w:r>
        <w:rPr>
          <w:spacing w:val="-4"/>
          <w:sz w:val="22"/>
        </w:rPr>
        <w:t> </w:t>
      </w:r>
      <w:r>
        <w:rPr>
          <w:sz w:val="22"/>
        </w:rPr>
        <w:t>that</w:t>
      </w:r>
      <w:r>
        <w:rPr>
          <w:spacing w:val="-1"/>
          <w:sz w:val="22"/>
        </w:rPr>
        <w:t> </w:t>
      </w:r>
      <w:r>
        <w:rPr>
          <w:sz w:val="22"/>
        </w:rPr>
        <w:t>represents</w:t>
      </w:r>
      <w:r>
        <w:rPr>
          <w:spacing w:val="-2"/>
          <w:sz w:val="22"/>
        </w:rPr>
        <w:t> </w:t>
      </w:r>
      <w:r>
        <w:rPr>
          <w:sz w:val="22"/>
        </w:rPr>
        <w:t>the</w:t>
      </w:r>
      <w:r>
        <w:rPr>
          <w:spacing w:val="-2"/>
          <w:sz w:val="22"/>
        </w:rPr>
        <w:t> </w:t>
      </w:r>
      <w:r>
        <w:rPr>
          <w:sz w:val="22"/>
        </w:rPr>
        <w:t>ACO’s</w:t>
      </w:r>
      <w:r>
        <w:rPr>
          <w:spacing w:val="-2"/>
          <w:sz w:val="22"/>
        </w:rPr>
        <w:t> </w:t>
      </w:r>
      <w:r>
        <w:rPr>
          <w:sz w:val="22"/>
        </w:rPr>
        <w:t>performance on</w:t>
      </w:r>
      <w:r>
        <w:rPr>
          <w:spacing w:val="-4"/>
          <w:sz w:val="22"/>
        </w:rPr>
        <w:t> </w:t>
      </w:r>
      <w:r>
        <w:rPr>
          <w:sz w:val="22"/>
        </w:rPr>
        <w:t>TCOC</w:t>
      </w:r>
      <w:r>
        <w:rPr>
          <w:spacing w:val="-5"/>
          <w:sz w:val="22"/>
        </w:rPr>
        <w:t> </w:t>
      </w:r>
      <w:r>
        <w:rPr>
          <w:sz w:val="22"/>
        </w:rPr>
        <w:t>management</w:t>
      </w:r>
      <w:r>
        <w:rPr>
          <w:spacing w:val="-3"/>
          <w:sz w:val="22"/>
        </w:rPr>
        <w:t> </w:t>
      </w:r>
      <w:r>
        <w:rPr>
          <w:sz w:val="22"/>
        </w:rPr>
        <w:t>during</w:t>
      </w:r>
      <w:r>
        <w:rPr>
          <w:spacing w:val="-6"/>
          <w:sz w:val="22"/>
        </w:rPr>
        <w:t> </w:t>
      </w:r>
      <w:r>
        <w:rPr>
          <w:sz w:val="22"/>
        </w:rPr>
        <w:t>the</w:t>
      </w:r>
      <w:r>
        <w:rPr>
          <w:spacing w:val="-3"/>
          <w:sz w:val="22"/>
        </w:rPr>
        <w:t> </w:t>
      </w:r>
      <w:r>
        <w:rPr>
          <w:sz w:val="22"/>
        </w:rPr>
        <w:t>Budget</w:t>
      </w:r>
      <w:r>
        <w:rPr>
          <w:spacing w:val="-3"/>
          <w:sz w:val="22"/>
        </w:rPr>
        <w:t> </w:t>
      </w:r>
      <w:r>
        <w:rPr>
          <w:sz w:val="22"/>
        </w:rPr>
        <w:t>Period.</w:t>
      </w:r>
      <w:r>
        <w:rPr>
          <w:spacing w:val="-4"/>
          <w:sz w:val="22"/>
        </w:rPr>
        <w:t> </w:t>
      </w:r>
      <w:r>
        <w:rPr>
          <w:sz w:val="22"/>
        </w:rPr>
        <w:t>Each</w:t>
      </w:r>
      <w:r>
        <w:rPr>
          <w:spacing w:val="-6"/>
          <w:sz w:val="22"/>
        </w:rPr>
        <w:t> </w:t>
      </w:r>
      <w:r>
        <w:rPr>
          <w:sz w:val="22"/>
        </w:rPr>
        <w:t>of</w:t>
      </w:r>
      <w:r>
        <w:rPr>
          <w:spacing w:val="-3"/>
          <w:sz w:val="22"/>
        </w:rPr>
        <w:t> </w:t>
      </w:r>
      <w:r>
        <w:rPr>
          <w:sz w:val="22"/>
        </w:rPr>
        <w:t>these</w:t>
      </w:r>
      <w:r>
        <w:rPr>
          <w:spacing w:val="-3"/>
          <w:sz w:val="22"/>
        </w:rPr>
        <w:t> </w:t>
      </w:r>
      <w:r>
        <w:rPr>
          <w:sz w:val="22"/>
        </w:rPr>
        <w:t>two</w:t>
      </w:r>
      <w:r>
        <w:rPr>
          <w:spacing w:val="-4"/>
          <w:sz w:val="22"/>
        </w:rPr>
        <w:t> </w:t>
      </w:r>
      <w:r>
        <w:rPr>
          <w:sz w:val="22"/>
        </w:rPr>
        <w:t>scores</w:t>
      </w:r>
      <w:r>
        <w:rPr>
          <w:spacing w:val="-3"/>
          <w:sz w:val="22"/>
        </w:rPr>
        <w:t> </w:t>
      </w:r>
      <w:r>
        <w:rPr>
          <w:sz w:val="22"/>
        </w:rPr>
        <w:t>is</w:t>
      </w:r>
      <w:r>
        <w:rPr>
          <w:spacing w:val="-3"/>
          <w:sz w:val="22"/>
        </w:rPr>
        <w:t> </w:t>
      </w:r>
      <w:r>
        <w:rPr>
          <w:sz w:val="22"/>
        </w:rPr>
        <w:t>a</w:t>
      </w:r>
      <w:r>
        <w:rPr>
          <w:spacing w:val="-3"/>
          <w:sz w:val="22"/>
        </w:rPr>
        <w:t> </w:t>
      </w:r>
      <w:r>
        <w:rPr>
          <w:sz w:val="22"/>
        </w:rPr>
        <w:t>value</w:t>
      </w:r>
      <w:r>
        <w:rPr>
          <w:spacing w:val="-3"/>
          <w:sz w:val="22"/>
        </w:rPr>
        <w:t> </w:t>
      </w:r>
      <w:r>
        <w:rPr>
          <w:sz w:val="22"/>
        </w:rPr>
        <w:t>between</w:t>
      </w:r>
      <w:r>
        <w:rPr>
          <w:spacing w:val="-4"/>
          <w:sz w:val="22"/>
        </w:rPr>
        <w:t> </w:t>
      </w:r>
      <w:r>
        <w:rPr>
          <w:sz w:val="22"/>
        </w:rPr>
        <w:t>zero</w:t>
      </w:r>
      <w:r>
        <w:rPr>
          <w:spacing w:val="-4"/>
          <w:sz w:val="22"/>
        </w:rPr>
        <w:t> </w:t>
      </w:r>
      <w:r>
        <w:rPr>
          <w:sz w:val="22"/>
        </w:rPr>
        <w:t>(0)</w:t>
      </w:r>
      <w:r>
        <w:rPr>
          <w:spacing w:val="-3"/>
          <w:sz w:val="22"/>
        </w:rPr>
        <w:t> </w:t>
      </w:r>
      <w:r>
        <w:rPr>
          <w:sz w:val="22"/>
        </w:rPr>
        <w:t>and one (1) expressed as a percentage (i.e., 0% to 100%).</w:t>
      </w:r>
    </w:p>
    <w:p>
      <w:pPr>
        <w:spacing w:before="160"/>
        <w:ind w:left="1219" w:right="1092" w:firstLine="0"/>
        <w:jc w:val="both"/>
        <w:rPr>
          <w:sz w:val="22"/>
        </w:rPr>
      </w:pPr>
      <w:r>
        <w:rPr>
          <w:sz w:val="22"/>
        </w:rPr>
        <w:t>For</w:t>
      </w:r>
      <w:r>
        <w:rPr>
          <w:spacing w:val="-5"/>
          <w:sz w:val="22"/>
        </w:rPr>
        <w:t> </w:t>
      </w:r>
      <w:r>
        <w:rPr>
          <w:sz w:val="22"/>
        </w:rPr>
        <w:t>each</w:t>
      </w:r>
      <w:r>
        <w:rPr>
          <w:spacing w:val="-6"/>
          <w:sz w:val="22"/>
        </w:rPr>
        <w:t> </w:t>
      </w:r>
      <w:r>
        <w:rPr>
          <w:sz w:val="22"/>
        </w:rPr>
        <w:t>ACO,</w:t>
      </w:r>
      <w:r>
        <w:rPr>
          <w:spacing w:val="-6"/>
          <w:sz w:val="22"/>
        </w:rPr>
        <w:t> </w:t>
      </w:r>
      <w:r>
        <w:rPr>
          <w:sz w:val="22"/>
        </w:rPr>
        <w:t>the</w:t>
      </w:r>
      <w:r>
        <w:rPr>
          <w:spacing w:val="-6"/>
          <w:sz w:val="22"/>
        </w:rPr>
        <w:t> </w:t>
      </w:r>
      <w:r>
        <w:rPr>
          <w:sz w:val="22"/>
        </w:rPr>
        <w:t>State</w:t>
      </w:r>
      <w:r>
        <w:rPr>
          <w:spacing w:val="-6"/>
          <w:sz w:val="22"/>
        </w:rPr>
        <w:t> </w:t>
      </w:r>
      <w:r>
        <w:rPr>
          <w:sz w:val="22"/>
        </w:rPr>
        <w:t>will</w:t>
      </w:r>
      <w:r>
        <w:rPr>
          <w:spacing w:val="-5"/>
          <w:sz w:val="22"/>
        </w:rPr>
        <w:t> </w:t>
      </w:r>
      <w:r>
        <w:rPr>
          <w:sz w:val="22"/>
        </w:rPr>
        <w:t>blend</w:t>
      </w:r>
      <w:r>
        <w:rPr>
          <w:spacing w:val="-6"/>
          <w:sz w:val="22"/>
        </w:rPr>
        <w:t> </w:t>
      </w:r>
      <w:r>
        <w:rPr>
          <w:sz w:val="22"/>
        </w:rPr>
        <w:t>these</w:t>
      </w:r>
      <w:r>
        <w:rPr>
          <w:spacing w:val="-6"/>
          <w:sz w:val="22"/>
        </w:rPr>
        <w:t> </w:t>
      </w:r>
      <w:r>
        <w:rPr>
          <w:sz w:val="22"/>
        </w:rPr>
        <w:t>two</w:t>
      </w:r>
      <w:r>
        <w:rPr>
          <w:spacing w:val="-6"/>
          <w:sz w:val="22"/>
        </w:rPr>
        <w:t> </w:t>
      </w:r>
      <w:r>
        <w:rPr>
          <w:sz w:val="22"/>
        </w:rPr>
        <w:t>scores</w:t>
      </w:r>
      <w:r>
        <w:rPr>
          <w:spacing w:val="-8"/>
          <w:sz w:val="22"/>
        </w:rPr>
        <w:t> </w:t>
      </w:r>
      <w:r>
        <w:rPr>
          <w:sz w:val="22"/>
        </w:rPr>
        <w:t>each</w:t>
      </w:r>
      <w:r>
        <w:rPr>
          <w:spacing w:val="-6"/>
          <w:sz w:val="22"/>
        </w:rPr>
        <w:t> </w:t>
      </w:r>
      <w:r>
        <w:rPr>
          <w:sz w:val="22"/>
        </w:rPr>
        <w:t>Budget</w:t>
      </w:r>
      <w:r>
        <w:rPr>
          <w:spacing w:val="-5"/>
          <w:sz w:val="22"/>
        </w:rPr>
        <w:t> </w:t>
      </w:r>
      <w:r>
        <w:rPr>
          <w:sz w:val="22"/>
        </w:rPr>
        <w:t>Period</w:t>
      </w:r>
      <w:r>
        <w:rPr>
          <w:spacing w:val="-6"/>
          <w:sz w:val="22"/>
        </w:rPr>
        <w:t> </w:t>
      </w:r>
      <w:r>
        <w:rPr>
          <w:sz w:val="22"/>
        </w:rPr>
        <w:t>using</w:t>
      </w:r>
      <w:r>
        <w:rPr>
          <w:spacing w:val="-9"/>
          <w:sz w:val="22"/>
        </w:rPr>
        <w:t> </w:t>
      </w:r>
      <w:r>
        <w:rPr>
          <w:sz w:val="22"/>
        </w:rPr>
        <w:t>a</w:t>
      </w:r>
      <w:r>
        <w:rPr>
          <w:spacing w:val="-6"/>
          <w:sz w:val="22"/>
        </w:rPr>
        <w:t> </w:t>
      </w:r>
      <w:r>
        <w:rPr>
          <w:sz w:val="22"/>
        </w:rPr>
        <w:t>weighted</w:t>
      </w:r>
      <w:r>
        <w:rPr>
          <w:spacing w:val="-6"/>
          <w:sz w:val="22"/>
        </w:rPr>
        <w:t> </w:t>
      </w:r>
      <w:r>
        <w:rPr>
          <w:sz w:val="22"/>
        </w:rPr>
        <w:t>average</w:t>
      </w:r>
      <w:r>
        <w:rPr>
          <w:spacing w:val="-6"/>
          <w:sz w:val="22"/>
        </w:rPr>
        <w:t> </w:t>
      </w:r>
      <w:r>
        <w:rPr>
          <w:sz w:val="22"/>
        </w:rPr>
        <w:t>(i.e.,</w:t>
      </w:r>
      <w:r>
        <w:rPr>
          <w:spacing w:val="-8"/>
          <w:sz w:val="22"/>
        </w:rPr>
        <w:t> </w:t>
      </w:r>
      <w:r>
        <w:rPr>
          <w:sz w:val="22"/>
        </w:rPr>
        <w:t>the Quality component of the ACO DSRIP Accountability Score will be multiplied by a weight; the TCOC component of the ACO DSRIP Accountability</w:t>
      </w:r>
      <w:r>
        <w:rPr>
          <w:spacing w:val="-1"/>
          <w:sz w:val="22"/>
        </w:rPr>
        <w:t> </w:t>
      </w:r>
      <w:r>
        <w:rPr>
          <w:sz w:val="22"/>
        </w:rPr>
        <w:t>Score</w:t>
      </w:r>
      <w:r>
        <w:rPr>
          <w:spacing w:val="-1"/>
          <w:sz w:val="22"/>
        </w:rPr>
        <w:t> </w:t>
      </w:r>
      <w:r>
        <w:rPr>
          <w:sz w:val="22"/>
        </w:rPr>
        <w:t>will be multiplied</w:t>
      </w:r>
      <w:r>
        <w:rPr>
          <w:spacing w:val="-1"/>
          <w:sz w:val="22"/>
        </w:rPr>
        <w:t> </w:t>
      </w:r>
      <w:r>
        <w:rPr>
          <w:sz w:val="22"/>
        </w:rPr>
        <w:t>by</w:t>
      </w:r>
      <w:r>
        <w:rPr>
          <w:spacing w:val="-1"/>
          <w:sz w:val="22"/>
        </w:rPr>
        <w:t> </w:t>
      </w:r>
      <w:r>
        <w:rPr>
          <w:sz w:val="22"/>
        </w:rPr>
        <w:t>a weight; and</w:t>
      </w:r>
      <w:r>
        <w:rPr>
          <w:spacing w:val="-1"/>
          <w:sz w:val="22"/>
        </w:rPr>
        <w:t> </w:t>
      </w:r>
      <w:r>
        <w:rPr>
          <w:sz w:val="22"/>
        </w:rPr>
        <w:t>the</w:t>
      </w:r>
      <w:r>
        <w:rPr>
          <w:spacing w:val="-1"/>
          <w:sz w:val="22"/>
        </w:rPr>
        <w:t> </w:t>
      </w:r>
      <w:r>
        <w:rPr>
          <w:sz w:val="22"/>
        </w:rPr>
        <w:t>two</w:t>
      </w:r>
      <w:r>
        <w:rPr>
          <w:spacing w:val="-1"/>
          <w:sz w:val="22"/>
        </w:rPr>
        <w:t> </w:t>
      </w:r>
      <w:r>
        <w:rPr>
          <w:sz w:val="22"/>
        </w:rPr>
        <w:t>resulting products will be summed to produce the ACO’s ACO DSRIP Accountability Score). Exhibit 30 below shows the anticipated weights for each Budget Period.</w:t>
      </w:r>
    </w:p>
    <w:p>
      <w:pPr>
        <w:spacing w:after="0"/>
        <w:jc w:val="both"/>
        <w:rPr>
          <w:sz w:val="22"/>
        </w:rPr>
        <w:sectPr>
          <w:pgSz w:w="12240" w:h="15840"/>
          <w:pgMar w:header="0" w:footer="967" w:top="1360" w:bottom="1160" w:left="220" w:right="340"/>
        </w:sectPr>
      </w:pPr>
    </w:p>
    <w:p>
      <w:pPr>
        <w:spacing w:before="78" w:after="2"/>
        <w:ind w:left="1219" w:right="0" w:firstLine="0"/>
        <w:jc w:val="both"/>
        <w:rPr>
          <w:b/>
          <w:sz w:val="22"/>
        </w:rPr>
      </w:pPr>
      <w:r>
        <w:rPr>
          <w:b/>
          <w:sz w:val="22"/>
        </w:rPr>
        <w:t>EXHIBIT</w:t>
      </w:r>
      <w:r>
        <w:rPr>
          <w:b/>
          <w:spacing w:val="-6"/>
          <w:sz w:val="22"/>
        </w:rPr>
        <w:t> </w:t>
      </w:r>
      <w:r>
        <w:rPr>
          <w:b/>
          <w:sz w:val="22"/>
        </w:rPr>
        <w:t>30</w:t>
      </w:r>
      <w:r>
        <w:rPr>
          <w:b/>
          <w:spacing w:val="-4"/>
          <w:sz w:val="22"/>
        </w:rPr>
        <w:t> </w:t>
      </w:r>
      <w:r>
        <w:rPr>
          <w:b/>
          <w:sz w:val="22"/>
        </w:rPr>
        <w:t>–</w:t>
      </w:r>
      <w:r>
        <w:rPr>
          <w:b/>
          <w:spacing w:val="-4"/>
          <w:sz w:val="22"/>
        </w:rPr>
        <w:t> </w:t>
      </w:r>
      <w:r>
        <w:rPr>
          <w:b/>
          <w:sz w:val="22"/>
        </w:rPr>
        <w:t>ACO</w:t>
      </w:r>
      <w:r>
        <w:rPr>
          <w:b/>
          <w:spacing w:val="-4"/>
          <w:sz w:val="22"/>
        </w:rPr>
        <w:t> </w:t>
      </w:r>
      <w:r>
        <w:rPr>
          <w:b/>
          <w:sz w:val="22"/>
        </w:rPr>
        <w:t>DSRIP</w:t>
      </w:r>
      <w:r>
        <w:rPr>
          <w:b/>
          <w:spacing w:val="-2"/>
          <w:sz w:val="22"/>
        </w:rPr>
        <w:t> </w:t>
      </w:r>
      <w:r>
        <w:rPr>
          <w:b/>
          <w:sz w:val="22"/>
        </w:rPr>
        <w:t>Accountability</w:t>
      </w:r>
      <w:r>
        <w:rPr>
          <w:b/>
          <w:spacing w:val="-4"/>
          <w:sz w:val="22"/>
        </w:rPr>
        <w:t> </w:t>
      </w:r>
      <w:r>
        <w:rPr>
          <w:b/>
          <w:spacing w:val="-2"/>
          <w:sz w:val="22"/>
        </w:rPr>
        <w:t>Domains</w:t>
      </w:r>
    </w:p>
    <w:tbl>
      <w:tblPr>
        <w:tblW w:w="0" w:type="auto"/>
        <w:jc w:val="left"/>
        <w:tblInd w:w="1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4"/>
        <w:gridCol w:w="3562"/>
        <w:gridCol w:w="1400"/>
        <w:gridCol w:w="1400"/>
        <w:gridCol w:w="1402"/>
        <w:gridCol w:w="800"/>
      </w:tblGrid>
      <w:tr>
        <w:trPr>
          <w:trHeight w:val="237" w:hRule="atLeast"/>
        </w:trPr>
        <w:tc>
          <w:tcPr>
            <w:tcW w:w="814" w:type="dxa"/>
            <w:vMerge w:val="restart"/>
            <w:tcBorders>
              <w:left w:val="nil"/>
              <w:right w:val="single" w:sz="8" w:space="0" w:color="BEBEBE"/>
            </w:tcBorders>
          </w:tcPr>
          <w:p>
            <w:pPr>
              <w:pStyle w:val="TableParagraph"/>
              <w:rPr>
                <w:sz w:val="20"/>
              </w:rPr>
            </w:pPr>
          </w:p>
        </w:tc>
        <w:tc>
          <w:tcPr>
            <w:tcW w:w="7764" w:type="dxa"/>
            <w:gridSpan w:val="4"/>
            <w:tcBorders>
              <w:top w:val="thinThickMediumGap" w:sz="4" w:space="0" w:color="BEBEBE"/>
              <w:left w:val="single" w:sz="8" w:space="0" w:color="BEBEBE"/>
              <w:bottom w:val="single" w:sz="4" w:space="0" w:color="BEBEBE"/>
              <w:right w:val="single" w:sz="8" w:space="0" w:color="BEBEBE"/>
            </w:tcBorders>
            <w:shd w:val="clear" w:color="auto" w:fill="1F487C"/>
          </w:tcPr>
          <w:p>
            <w:pPr>
              <w:pStyle w:val="TableParagraph"/>
              <w:spacing w:line="218" w:lineRule="exact"/>
              <w:ind w:left="1931"/>
              <w:rPr>
                <w:b/>
                <w:sz w:val="20"/>
              </w:rPr>
            </w:pPr>
            <w:r>
              <w:rPr>
                <w:b/>
                <w:color w:val="FFFFFF"/>
                <w:sz w:val="20"/>
              </w:rPr>
              <w:t>ACO</w:t>
            </w:r>
            <w:r>
              <w:rPr>
                <w:b/>
                <w:color w:val="FFFFFF"/>
                <w:spacing w:val="-8"/>
                <w:sz w:val="20"/>
              </w:rPr>
              <w:t> </w:t>
            </w:r>
            <w:r>
              <w:rPr>
                <w:b/>
                <w:color w:val="FFFFFF"/>
                <w:sz w:val="20"/>
              </w:rPr>
              <w:t>DSRIP</w:t>
            </w:r>
            <w:r>
              <w:rPr>
                <w:b/>
                <w:color w:val="FFFFFF"/>
                <w:spacing w:val="-8"/>
                <w:sz w:val="20"/>
              </w:rPr>
              <w:t> </w:t>
            </w:r>
            <w:r>
              <w:rPr>
                <w:b/>
                <w:color w:val="FFFFFF"/>
                <w:sz w:val="20"/>
              </w:rPr>
              <w:t>Accountability</w:t>
            </w:r>
            <w:r>
              <w:rPr>
                <w:b/>
                <w:color w:val="FFFFFF"/>
                <w:spacing w:val="-8"/>
                <w:sz w:val="20"/>
              </w:rPr>
              <w:t> </w:t>
            </w:r>
            <w:r>
              <w:rPr>
                <w:b/>
                <w:color w:val="FFFFFF"/>
                <w:sz w:val="20"/>
              </w:rPr>
              <w:t>Domain</w:t>
            </w:r>
            <w:r>
              <w:rPr>
                <w:b/>
                <w:color w:val="FFFFFF"/>
                <w:spacing w:val="-7"/>
                <w:sz w:val="20"/>
              </w:rPr>
              <w:t> </w:t>
            </w:r>
            <w:r>
              <w:rPr>
                <w:b/>
                <w:color w:val="FFFFFF"/>
                <w:spacing w:val="-2"/>
                <w:sz w:val="20"/>
              </w:rPr>
              <w:t>Weights</w:t>
            </w:r>
          </w:p>
        </w:tc>
        <w:tc>
          <w:tcPr>
            <w:tcW w:w="800" w:type="dxa"/>
            <w:vMerge w:val="restart"/>
            <w:tcBorders>
              <w:left w:val="single" w:sz="8" w:space="0" w:color="BEBEBE"/>
              <w:right w:val="nil"/>
            </w:tcBorders>
          </w:tcPr>
          <w:p>
            <w:pPr>
              <w:pStyle w:val="TableParagraph"/>
              <w:rPr>
                <w:sz w:val="20"/>
              </w:rPr>
            </w:pPr>
          </w:p>
        </w:tc>
      </w:tr>
      <w:tr>
        <w:trPr>
          <w:trHeight w:val="249" w:hRule="atLeast"/>
        </w:trPr>
        <w:tc>
          <w:tcPr>
            <w:tcW w:w="814" w:type="dxa"/>
            <w:vMerge/>
            <w:tcBorders>
              <w:top w:val="nil"/>
              <w:left w:val="nil"/>
              <w:right w:val="single" w:sz="8" w:space="0" w:color="BEBEBE"/>
            </w:tcBorders>
          </w:tcPr>
          <w:p>
            <w:pPr>
              <w:rPr>
                <w:sz w:val="2"/>
                <w:szCs w:val="2"/>
              </w:rPr>
            </w:pPr>
          </w:p>
        </w:tc>
        <w:tc>
          <w:tcPr>
            <w:tcW w:w="3562" w:type="dxa"/>
            <w:tcBorders>
              <w:top w:val="single" w:sz="4" w:space="0" w:color="BEBEBE"/>
              <w:left w:val="single" w:sz="8" w:space="0" w:color="BEBEBE"/>
              <w:bottom w:val="single" w:sz="4" w:space="0" w:color="BEBEBE"/>
              <w:right w:val="single" w:sz="4" w:space="0" w:color="BEBEBE"/>
            </w:tcBorders>
            <w:shd w:val="clear" w:color="auto" w:fill="D9D9D9"/>
          </w:tcPr>
          <w:p>
            <w:pPr>
              <w:pStyle w:val="TableParagraph"/>
              <w:rPr>
                <w:sz w:val="18"/>
              </w:rPr>
            </w:pPr>
          </w:p>
        </w:tc>
        <w:tc>
          <w:tcPr>
            <w:tcW w:w="1400"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line="229" w:lineRule="exact"/>
              <w:ind w:left="323" w:right="324"/>
              <w:jc w:val="center"/>
              <w:rPr>
                <w:b/>
                <w:sz w:val="20"/>
              </w:rPr>
            </w:pPr>
            <w:r>
              <w:rPr>
                <w:b/>
                <w:sz w:val="20"/>
              </w:rPr>
              <w:t>Prep</w:t>
            </w:r>
            <w:r>
              <w:rPr>
                <w:b/>
                <w:spacing w:val="-5"/>
                <w:sz w:val="20"/>
              </w:rPr>
              <w:t> BP</w:t>
            </w:r>
          </w:p>
        </w:tc>
        <w:tc>
          <w:tcPr>
            <w:tcW w:w="1400"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line="229" w:lineRule="exact"/>
              <w:ind w:left="321" w:right="324"/>
              <w:jc w:val="center"/>
              <w:rPr>
                <w:b/>
                <w:sz w:val="20"/>
              </w:rPr>
            </w:pPr>
            <w:r>
              <w:rPr>
                <w:b/>
                <w:sz w:val="20"/>
              </w:rPr>
              <w:t>BP</w:t>
            </w:r>
            <w:r>
              <w:rPr>
                <w:b/>
                <w:spacing w:val="-4"/>
                <w:sz w:val="20"/>
              </w:rPr>
              <w:t> </w:t>
            </w:r>
            <w:r>
              <w:rPr>
                <w:b/>
                <w:sz w:val="20"/>
              </w:rPr>
              <w:t>1-</w:t>
            </w:r>
            <w:r>
              <w:rPr>
                <w:b/>
                <w:spacing w:val="-10"/>
                <w:sz w:val="20"/>
              </w:rPr>
              <w:t>2</w:t>
            </w:r>
          </w:p>
        </w:tc>
        <w:tc>
          <w:tcPr>
            <w:tcW w:w="1402" w:type="dxa"/>
            <w:tcBorders>
              <w:top w:val="single" w:sz="4" w:space="0" w:color="BEBEBE"/>
              <w:left w:val="single" w:sz="4" w:space="0" w:color="BEBEBE"/>
              <w:bottom w:val="single" w:sz="4" w:space="0" w:color="BEBEBE"/>
              <w:right w:val="single" w:sz="8" w:space="0" w:color="BEBEBE"/>
            </w:tcBorders>
            <w:shd w:val="clear" w:color="auto" w:fill="D9D9D9"/>
          </w:tcPr>
          <w:p>
            <w:pPr>
              <w:pStyle w:val="TableParagraph"/>
              <w:spacing w:line="229" w:lineRule="exact"/>
              <w:ind w:left="394" w:right="393"/>
              <w:jc w:val="center"/>
              <w:rPr>
                <w:b/>
                <w:sz w:val="20"/>
              </w:rPr>
            </w:pPr>
            <w:r>
              <w:rPr>
                <w:b/>
                <w:sz w:val="20"/>
              </w:rPr>
              <w:t>BP</w:t>
            </w:r>
            <w:r>
              <w:rPr>
                <w:b/>
                <w:spacing w:val="-4"/>
                <w:sz w:val="20"/>
              </w:rPr>
              <w:t> </w:t>
            </w:r>
            <w:r>
              <w:rPr>
                <w:b/>
                <w:sz w:val="20"/>
              </w:rPr>
              <w:t>3-</w:t>
            </w:r>
            <w:r>
              <w:rPr>
                <w:b/>
                <w:spacing w:val="-10"/>
                <w:sz w:val="20"/>
              </w:rPr>
              <w:t>5</w:t>
            </w:r>
          </w:p>
        </w:tc>
        <w:tc>
          <w:tcPr>
            <w:tcW w:w="800" w:type="dxa"/>
            <w:vMerge/>
            <w:tcBorders>
              <w:top w:val="nil"/>
              <w:left w:val="single" w:sz="8" w:space="0" w:color="BEBEBE"/>
              <w:right w:val="nil"/>
            </w:tcBorders>
          </w:tcPr>
          <w:p>
            <w:pPr>
              <w:rPr>
                <w:sz w:val="2"/>
                <w:szCs w:val="2"/>
              </w:rPr>
            </w:pPr>
          </w:p>
        </w:tc>
      </w:tr>
      <w:tr>
        <w:trPr>
          <w:trHeight w:val="496" w:hRule="atLeast"/>
        </w:trPr>
        <w:tc>
          <w:tcPr>
            <w:tcW w:w="814" w:type="dxa"/>
            <w:vMerge/>
            <w:tcBorders>
              <w:top w:val="nil"/>
              <w:left w:val="nil"/>
              <w:right w:val="single" w:sz="8" w:space="0" w:color="BEBEBE"/>
            </w:tcBorders>
          </w:tcPr>
          <w:p>
            <w:pPr>
              <w:rPr>
                <w:sz w:val="2"/>
                <w:szCs w:val="2"/>
              </w:rPr>
            </w:pPr>
          </w:p>
        </w:tc>
        <w:tc>
          <w:tcPr>
            <w:tcW w:w="3562" w:type="dxa"/>
            <w:tcBorders>
              <w:top w:val="single" w:sz="4" w:space="0" w:color="BEBEBE"/>
              <w:left w:val="single" w:sz="8" w:space="0" w:color="BEBEBE"/>
              <w:bottom w:val="single" w:sz="4" w:space="0" w:color="BEBEBE"/>
              <w:right w:val="single" w:sz="4" w:space="0" w:color="BEBEBE"/>
            </w:tcBorders>
            <w:shd w:val="clear" w:color="auto" w:fill="DCE6F0"/>
          </w:tcPr>
          <w:p>
            <w:pPr>
              <w:pStyle w:val="TableParagraph"/>
              <w:ind w:left="100"/>
              <w:rPr>
                <w:sz w:val="20"/>
              </w:rPr>
            </w:pPr>
            <w:r>
              <w:rPr>
                <w:sz w:val="20"/>
              </w:rPr>
              <w:t>Quality</w:t>
            </w:r>
            <w:r>
              <w:rPr>
                <w:spacing w:val="-6"/>
                <w:sz w:val="20"/>
              </w:rPr>
              <w:t> </w:t>
            </w:r>
            <w:r>
              <w:rPr>
                <w:sz w:val="20"/>
              </w:rPr>
              <w:t>component</w:t>
            </w:r>
            <w:r>
              <w:rPr>
                <w:spacing w:val="-5"/>
                <w:sz w:val="20"/>
              </w:rPr>
              <w:t> </w:t>
            </w:r>
            <w:r>
              <w:rPr>
                <w:sz w:val="20"/>
              </w:rPr>
              <w:t>of</w:t>
            </w:r>
            <w:r>
              <w:rPr>
                <w:spacing w:val="-7"/>
                <w:sz w:val="20"/>
              </w:rPr>
              <w:t> </w:t>
            </w:r>
            <w:r>
              <w:rPr>
                <w:sz w:val="20"/>
              </w:rPr>
              <w:t>the</w:t>
            </w:r>
            <w:r>
              <w:rPr>
                <w:spacing w:val="-2"/>
                <w:sz w:val="20"/>
              </w:rPr>
              <w:t> </w:t>
            </w:r>
            <w:r>
              <w:rPr>
                <w:sz w:val="20"/>
              </w:rPr>
              <w:t>ACO</w:t>
            </w:r>
            <w:r>
              <w:rPr>
                <w:spacing w:val="-5"/>
                <w:sz w:val="20"/>
              </w:rPr>
              <w:t> </w:t>
            </w:r>
            <w:r>
              <w:rPr>
                <w:spacing w:val="-4"/>
                <w:sz w:val="20"/>
              </w:rPr>
              <w:t>DSRIP</w:t>
            </w:r>
          </w:p>
          <w:p>
            <w:pPr>
              <w:pStyle w:val="TableParagraph"/>
              <w:spacing w:line="229" w:lineRule="exact" w:before="17"/>
              <w:ind w:left="100"/>
              <w:rPr>
                <w:sz w:val="20"/>
              </w:rPr>
            </w:pPr>
            <w:r>
              <w:rPr>
                <w:spacing w:val="-2"/>
                <w:sz w:val="20"/>
              </w:rPr>
              <w:t>Accountability</w:t>
            </w:r>
            <w:r>
              <w:rPr>
                <w:spacing w:val="10"/>
                <w:sz w:val="20"/>
              </w:rPr>
              <w:t> </w:t>
            </w:r>
            <w:r>
              <w:rPr>
                <w:spacing w:val="-4"/>
                <w:sz w:val="20"/>
              </w:rPr>
              <w:t>Score</w:t>
            </w:r>
          </w:p>
        </w:tc>
        <w:tc>
          <w:tcPr>
            <w:tcW w:w="1400" w:type="dxa"/>
            <w:tcBorders>
              <w:top w:val="single" w:sz="4" w:space="0" w:color="BEBEBE"/>
              <w:left w:val="single" w:sz="4" w:space="0" w:color="BEBEBE"/>
              <w:bottom w:val="single" w:sz="4" w:space="0" w:color="BEBEBE"/>
              <w:right w:val="single" w:sz="4" w:space="0" w:color="BEBEBE"/>
            </w:tcBorders>
          </w:tcPr>
          <w:p>
            <w:pPr>
              <w:pStyle w:val="TableParagraph"/>
              <w:ind w:left="322" w:right="324"/>
              <w:jc w:val="center"/>
              <w:rPr>
                <w:sz w:val="20"/>
              </w:rPr>
            </w:pPr>
            <w:r>
              <w:rPr>
                <w:spacing w:val="-5"/>
                <w:sz w:val="20"/>
              </w:rPr>
              <w:t>N/A</w:t>
            </w:r>
          </w:p>
        </w:tc>
        <w:tc>
          <w:tcPr>
            <w:tcW w:w="1400" w:type="dxa"/>
            <w:tcBorders>
              <w:top w:val="single" w:sz="4" w:space="0" w:color="BEBEBE"/>
              <w:left w:val="single" w:sz="4" w:space="0" w:color="BEBEBE"/>
              <w:bottom w:val="single" w:sz="4" w:space="0" w:color="BEBEBE"/>
              <w:right w:val="single" w:sz="4" w:space="0" w:color="BEBEBE"/>
            </w:tcBorders>
          </w:tcPr>
          <w:p>
            <w:pPr>
              <w:pStyle w:val="TableParagraph"/>
              <w:ind w:left="323" w:right="323"/>
              <w:jc w:val="center"/>
              <w:rPr>
                <w:sz w:val="20"/>
              </w:rPr>
            </w:pPr>
            <w:r>
              <w:rPr>
                <w:spacing w:val="-4"/>
                <w:sz w:val="20"/>
              </w:rPr>
              <w:t>100%</w:t>
            </w:r>
          </w:p>
        </w:tc>
        <w:tc>
          <w:tcPr>
            <w:tcW w:w="1402" w:type="dxa"/>
            <w:tcBorders>
              <w:top w:val="single" w:sz="4" w:space="0" w:color="BEBEBE"/>
              <w:left w:val="single" w:sz="4" w:space="0" w:color="BEBEBE"/>
              <w:bottom w:val="single" w:sz="4" w:space="0" w:color="BEBEBE"/>
              <w:right w:val="single" w:sz="8" w:space="0" w:color="BEBEBE"/>
            </w:tcBorders>
          </w:tcPr>
          <w:p>
            <w:pPr>
              <w:pStyle w:val="TableParagraph"/>
              <w:ind w:left="394" w:right="391"/>
              <w:jc w:val="center"/>
              <w:rPr>
                <w:sz w:val="20"/>
              </w:rPr>
            </w:pPr>
            <w:r>
              <w:rPr>
                <w:spacing w:val="-5"/>
                <w:sz w:val="20"/>
              </w:rPr>
              <w:t>75%</w:t>
            </w:r>
          </w:p>
        </w:tc>
        <w:tc>
          <w:tcPr>
            <w:tcW w:w="800" w:type="dxa"/>
            <w:vMerge/>
            <w:tcBorders>
              <w:top w:val="nil"/>
              <w:left w:val="single" w:sz="8" w:space="0" w:color="BEBEBE"/>
              <w:right w:val="nil"/>
            </w:tcBorders>
          </w:tcPr>
          <w:p>
            <w:pPr>
              <w:rPr>
                <w:sz w:val="2"/>
                <w:szCs w:val="2"/>
              </w:rPr>
            </w:pPr>
          </w:p>
        </w:tc>
      </w:tr>
      <w:tr>
        <w:trPr>
          <w:trHeight w:val="495" w:hRule="atLeast"/>
        </w:trPr>
        <w:tc>
          <w:tcPr>
            <w:tcW w:w="814" w:type="dxa"/>
            <w:vMerge/>
            <w:tcBorders>
              <w:top w:val="nil"/>
              <w:left w:val="nil"/>
              <w:right w:val="single" w:sz="8" w:space="0" w:color="BEBEBE"/>
            </w:tcBorders>
          </w:tcPr>
          <w:p>
            <w:pPr>
              <w:rPr>
                <w:sz w:val="2"/>
                <w:szCs w:val="2"/>
              </w:rPr>
            </w:pPr>
          </w:p>
        </w:tc>
        <w:tc>
          <w:tcPr>
            <w:tcW w:w="3562" w:type="dxa"/>
            <w:tcBorders>
              <w:top w:val="single" w:sz="4" w:space="0" w:color="BEBEBE"/>
              <w:left w:val="single" w:sz="8" w:space="0" w:color="BEBEBE"/>
              <w:bottom w:val="single" w:sz="12" w:space="0" w:color="BEBEBE"/>
              <w:right w:val="single" w:sz="4" w:space="0" w:color="BEBEBE"/>
            </w:tcBorders>
            <w:shd w:val="clear" w:color="auto" w:fill="DCE6F0"/>
          </w:tcPr>
          <w:p>
            <w:pPr>
              <w:pStyle w:val="TableParagraph"/>
              <w:ind w:left="100"/>
              <w:rPr>
                <w:sz w:val="20"/>
              </w:rPr>
            </w:pPr>
            <w:r>
              <w:rPr>
                <w:sz w:val="20"/>
              </w:rPr>
              <w:t>TCOC</w:t>
            </w:r>
            <w:r>
              <w:rPr>
                <w:spacing w:val="-6"/>
                <w:sz w:val="20"/>
              </w:rPr>
              <w:t> </w:t>
            </w:r>
            <w:r>
              <w:rPr>
                <w:sz w:val="20"/>
              </w:rPr>
              <w:t>component</w:t>
            </w:r>
            <w:r>
              <w:rPr>
                <w:spacing w:val="-5"/>
                <w:sz w:val="20"/>
              </w:rPr>
              <w:t> </w:t>
            </w:r>
            <w:r>
              <w:rPr>
                <w:sz w:val="20"/>
              </w:rPr>
              <w:t>of</w:t>
            </w:r>
            <w:r>
              <w:rPr>
                <w:spacing w:val="-7"/>
                <w:sz w:val="20"/>
              </w:rPr>
              <w:t> </w:t>
            </w:r>
            <w:r>
              <w:rPr>
                <w:sz w:val="20"/>
              </w:rPr>
              <w:t>the</w:t>
            </w:r>
            <w:r>
              <w:rPr>
                <w:spacing w:val="-2"/>
                <w:sz w:val="20"/>
              </w:rPr>
              <w:t> </w:t>
            </w:r>
            <w:r>
              <w:rPr>
                <w:sz w:val="20"/>
              </w:rPr>
              <w:t>ACO</w:t>
            </w:r>
            <w:r>
              <w:rPr>
                <w:spacing w:val="-3"/>
                <w:sz w:val="20"/>
              </w:rPr>
              <w:t> </w:t>
            </w:r>
            <w:r>
              <w:rPr>
                <w:spacing w:val="-4"/>
                <w:sz w:val="20"/>
              </w:rPr>
              <w:t>DSRIP</w:t>
            </w:r>
          </w:p>
          <w:p>
            <w:pPr>
              <w:pStyle w:val="TableParagraph"/>
              <w:spacing w:line="229" w:lineRule="exact" w:before="17"/>
              <w:ind w:left="100"/>
              <w:rPr>
                <w:sz w:val="20"/>
              </w:rPr>
            </w:pPr>
            <w:r>
              <w:rPr>
                <w:spacing w:val="-2"/>
                <w:sz w:val="20"/>
              </w:rPr>
              <w:t>Accountability</w:t>
            </w:r>
            <w:r>
              <w:rPr>
                <w:spacing w:val="10"/>
                <w:sz w:val="20"/>
              </w:rPr>
              <w:t> </w:t>
            </w:r>
            <w:r>
              <w:rPr>
                <w:spacing w:val="-4"/>
                <w:sz w:val="20"/>
              </w:rPr>
              <w:t>Score</w:t>
            </w:r>
          </w:p>
        </w:tc>
        <w:tc>
          <w:tcPr>
            <w:tcW w:w="1400" w:type="dxa"/>
            <w:tcBorders>
              <w:top w:val="single" w:sz="4" w:space="0" w:color="BEBEBE"/>
              <w:left w:val="single" w:sz="4" w:space="0" w:color="BEBEBE"/>
              <w:bottom w:val="single" w:sz="12" w:space="0" w:color="BEBEBE"/>
              <w:right w:val="single" w:sz="4" w:space="0" w:color="BEBEBE"/>
            </w:tcBorders>
          </w:tcPr>
          <w:p>
            <w:pPr>
              <w:pStyle w:val="TableParagraph"/>
              <w:ind w:left="322" w:right="324"/>
              <w:jc w:val="center"/>
              <w:rPr>
                <w:sz w:val="20"/>
              </w:rPr>
            </w:pPr>
            <w:r>
              <w:rPr>
                <w:spacing w:val="-5"/>
                <w:sz w:val="20"/>
              </w:rPr>
              <w:t>N/A</w:t>
            </w:r>
          </w:p>
        </w:tc>
        <w:tc>
          <w:tcPr>
            <w:tcW w:w="1400" w:type="dxa"/>
            <w:tcBorders>
              <w:top w:val="single" w:sz="4" w:space="0" w:color="BEBEBE"/>
              <w:left w:val="single" w:sz="4" w:space="0" w:color="BEBEBE"/>
              <w:bottom w:val="single" w:sz="12" w:space="0" w:color="BEBEBE"/>
              <w:right w:val="single" w:sz="4" w:space="0" w:color="BEBEBE"/>
            </w:tcBorders>
          </w:tcPr>
          <w:p>
            <w:pPr>
              <w:pStyle w:val="TableParagraph"/>
              <w:ind w:left="320" w:right="324"/>
              <w:jc w:val="center"/>
              <w:rPr>
                <w:sz w:val="20"/>
              </w:rPr>
            </w:pPr>
            <w:r>
              <w:rPr>
                <w:spacing w:val="-5"/>
                <w:sz w:val="20"/>
              </w:rPr>
              <w:t>N/A</w:t>
            </w:r>
          </w:p>
        </w:tc>
        <w:tc>
          <w:tcPr>
            <w:tcW w:w="1402" w:type="dxa"/>
            <w:tcBorders>
              <w:top w:val="single" w:sz="4" w:space="0" w:color="BEBEBE"/>
              <w:left w:val="single" w:sz="4" w:space="0" w:color="BEBEBE"/>
              <w:bottom w:val="single" w:sz="12" w:space="0" w:color="BEBEBE"/>
              <w:right w:val="single" w:sz="8" w:space="0" w:color="BEBEBE"/>
            </w:tcBorders>
          </w:tcPr>
          <w:p>
            <w:pPr>
              <w:pStyle w:val="TableParagraph"/>
              <w:ind w:left="394" w:right="391"/>
              <w:jc w:val="center"/>
              <w:rPr>
                <w:sz w:val="20"/>
              </w:rPr>
            </w:pPr>
            <w:r>
              <w:rPr>
                <w:spacing w:val="-5"/>
                <w:sz w:val="20"/>
              </w:rPr>
              <w:t>25%</w:t>
            </w:r>
          </w:p>
        </w:tc>
        <w:tc>
          <w:tcPr>
            <w:tcW w:w="800" w:type="dxa"/>
            <w:vMerge/>
            <w:tcBorders>
              <w:top w:val="nil"/>
              <w:left w:val="single" w:sz="8" w:space="0" w:color="BEBEBE"/>
              <w:right w:val="nil"/>
            </w:tcBorders>
          </w:tcPr>
          <w:p>
            <w:pPr>
              <w:rPr>
                <w:sz w:val="2"/>
                <w:szCs w:val="2"/>
              </w:rPr>
            </w:pPr>
          </w:p>
        </w:tc>
      </w:tr>
    </w:tbl>
    <w:p>
      <w:pPr>
        <w:pStyle w:val="BodyText"/>
        <w:rPr>
          <w:b/>
          <w:sz w:val="35"/>
        </w:rPr>
      </w:pPr>
    </w:p>
    <w:p>
      <w:pPr>
        <w:spacing w:before="0"/>
        <w:ind w:left="1220" w:right="1095" w:firstLine="0"/>
        <w:jc w:val="both"/>
        <w:rPr>
          <w:sz w:val="22"/>
        </w:rPr>
      </w:pPr>
      <w:r>
        <w:rPr>
          <w:sz w:val="22"/>
        </w:rPr>
        <w:t>ACOs do not have ACO DSRIP Accountability Scores during the Preparation Budget Period because no funds are withheld. ACOs will not have enrolled or attributed members during this period, and the State will</w:t>
      </w:r>
      <w:r>
        <w:rPr>
          <w:spacing w:val="-5"/>
          <w:sz w:val="22"/>
        </w:rPr>
        <w:t> </w:t>
      </w:r>
      <w:r>
        <w:rPr>
          <w:sz w:val="22"/>
        </w:rPr>
        <w:t>therefore</w:t>
      </w:r>
      <w:r>
        <w:rPr>
          <w:spacing w:val="-3"/>
          <w:sz w:val="22"/>
        </w:rPr>
        <w:t> </w:t>
      </w:r>
      <w:r>
        <w:rPr>
          <w:sz w:val="22"/>
        </w:rPr>
        <w:t>not</w:t>
      </w:r>
      <w:r>
        <w:rPr>
          <w:spacing w:val="-3"/>
          <w:sz w:val="22"/>
        </w:rPr>
        <w:t> </w:t>
      </w:r>
      <w:r>
        <w:rPr>
          <w:sz w:val="22"/>
        </w:rPr>
        <w:t>be</w:t>
      </w:r>
      <w:r>
        <w:rPr>
          <w:spacing w:val="-6"/>
          <w:sz w:val="22"/>
        </w:rPr>
        <w:t> </w:t>
      </w:r>
      <w:r>
        <w:rPr>
          <w:sz w:val="22"/>
        </w:rPr>
        <w:t>able</w:t>
      </w:r>
      <w:r>
        <w:rPr>
          <w:spacing w:val="-3"/>
          <w:sz w:val="22"/>
        </w:rPr>
        <w:t> </w:t>
      </w:r>
      <w:r>
        <w:rPr>
          <w:sz w:val="22"/>
        </w:rPr>
        <w:t>to</w:t>
      </w:r>
      <w:r>
        <w:rPr>
          <w:spacing w:val="-6"/>
          <w:sz w:val="22"/>
        </w:rPr>
        <w:t> </w:t>
      </w:r>
      <w:r>
        <w:rPr>
          <w:sz w:val="22"/>
        </w:rPr>
        <w:t>calculate</w:t>
      </w:r>
      <w:r>
        <w:rPr>
          <w:spacing w:val="-6"/>
          <w:sz w:val="22"/>
        </w:rPr>
        <w:t> </w:t>
      </w:r>
      <w:r>
        <w:rPr>
          <w:sz w:val="22"/>
        </w:rPr>
        <w:t>performance</w:t>
      </w:r>
      <w:r>
        <w:rPr>
          <w:spacing w:val="-3"/>
          <w:sz w:val="22"/>
        </w:rPr>
        <w:t> </w:t>
      </w:r>
      <w:r>
        <w:rPr>
          <w:sz w:val="22"/>
        </w:rPr>
        <w:t>on</w:t>
      </w:r>
      <w:r>
        <w:rPr>
          <w:spacing w:val="-4"/>
          <w:sz w:val="22"/>
        </w:rPr>
        <w:t> </w:t>
      </w:r>
      <w:r>
        <w:rPr>
          <w:sz w:val="22"/>
        </w:rPr>
        <w:t>quality</w:t>
      </w:r>
      <w:r>
        <w:rPr>
          <w:spacing w:val="-6"/>
          <w:sz w:val="22"/>
        </w:rPr>
        <w:t> </w:t>
      </w:r>
      <w:r>
        <w:rPr>
          <w:sz w:val="22"/>
        </w:rPr>
        <w:t>measures</w:t>
      </w:r>
      <w:r>
        <w:rPr>
          <w:spacing w:val="-6"/>
          <w:sz w:val="22"/>
        </w:rPr>
        <w:t> </w:t>
      </w:r>
      <w:r>
        <w:rPr>
          <w:sz w:val="22"/>
        </w:rPr>
        <w:t>and</w:t>
      </w:r>
      <w:r>
        <w:rPr>
          <w:spacing w:val="-6"/>
          <w:sz w:val="22"/>
        </w:rPr>
        <w:t> </w:t>
      </w:r>
      <w:r>
        <w:rPr>
          <w:sz w:val="22"/>
        </w:rPr>
        <w:t>TCOC</w:t>
      </w:r>
      <w:r>
        <w:rPr>
          <w:spacing w:val="-7"/>
          <w:sz w:val="22"/>
        </w:rPr>
        <w:t> </w:t>
      </w:r>
      <w:r>
        <w:rPr>
          <w:sz w:val="22"/>
        </w:rPr>
        <w:t>metrics.</w:t>
      </w:r>
      <w:r>
        <w:rPr>
          <w:spacing w:val="-4"/>
          <w:sz w:val="22"/>
        </w:rPr>
        <w:t> </w:t>
      </w:r>
      <w:r>
        <w:rPr>
          <w:sz w:val="22"/>
        </w:rPr>
        <w:t>During</w:t>
      </w:r>
      <w:r>
        <w:rPr>
          <w:spacing w:val="-6"/>
          <w:sz w:val="22"/>
        </w:rPr>
        <w:t> </w:t>
      </w:r>
      <w:r>
        <w:rPr>
          <w:sz w:val="22"/>
        </w:rPr>
        <w:t>Budget Periods 1 and 2, the State will not hold ACOs accountable for TCOC performance in the ACO DSRIP Accountability Score, to allow ACOs time to analyze baseline TCOC performance, which will not be finalized for Budget Period 1 until close to the end of Budget Period 2.</w:t>
      </w:r>
    </w:p>
    <w:p>
      <w:pPr>
        <w:pStyle w:val="ListParagraph"/>
        <w:numPr>
          <w:ilvl w:val="3"/>
          <w:numId w:val="77"/>
        </w:numPr>
        <w:tabs>
          <w:tab w:pos="1580" w:val="left" w:leader="none"/>
          <w:tab w:pos="1938" w:val="left" w:leader="none"/>
        </w:tabs>
        <w:spacing w:line="240" w:lineRule="auto" w:before="202" w:after="0"/>
        <w:ind w:left="1580" w:right="1096" w:hanging="361"/>
        <w:jc w:val="left"/>
        <w:rPr>
          <w:b/>
          <w:i/>
          <w:color w:val="4471C4"/>
          <w:sz w:val="22"/>
        </w:rPr>
      </w:pPr>
      <w:bookmarkStart w:name="5.3.1.1 Calculating the Quality Componen" w:id="1382"/>
      <w:bookmarkEnd w:id="1382"/>
      <w:r>
        <w:rPr/>
      </w:r>
      <w:r>
        <w:rPr>
          <w:b/>
          <w:i/>
          <w:color w:val="4471C4"/>
          <w:sz w:val="22"/>
        </w:rPr>
        <w:t>Calculating</w:t>
      </w:r>
      <w:r>
        <w:rPr>
          <w:b/>
          <w:i/>
          <w:color w:val="4471C4"/>
          <w:spacing w:val="40"/>
          <w:sz w:val="22"/>
        </w:rPr>
        <w:t> </w:t>
      </w:r>
      <w:r>
        <w:rPr>
          <w:b/>
          <w:i/>
          <w:color w:val="4471C4"/>
          <w:sz w:val="22"/>
        </w:rPr>
        <w:t>the</w:t>
      </w:r>
      <w:r>
        <w:rPr>
          <w:b/>
          <w:i/>
          <w:color w:val="4471C4"/>
          <w:spacing w:val="40"/>
          <w:sz w:val="22"/>
        </w:rPr>
        <w:t> </w:t>
      </w:r>
      <w:r>
        <w:rPr>
          <w:b/>
          <w:i/>
          <w:color w:val="4471C4"/>
          <w:sz w:val="22"/>
        </w:rPr>
        <w:t>Quality</w:t>
      </w:r>
      <w:r>
        <w:rPr>
          <w:b/>
          <w:i/>
          <w:color w:val="4471C4"/>
          <w:spacing w:val="40"/>
          <w:sz w:val="22"/>
        </w:rPr>
        <w:t> </w:t>
      </w:r>
      <w:r>
        <w:rPr>
          <w:b/>
          <w:i/>
          <w:color w:val="4471C4"/>
          <w:sz w:val="22"/>
        </w:rPr>
        <w:t>Component</w:t>
      </w:r>
      <w:r>
        <w:rPr>
          <w:b/>
          <w:i/>
          <w:color w:val="4471C4"/>
          <w:spacing w:val="40"/>
          <w:sz w:val="22"/>
        </w:rPr>
        <w:t> </w:t>
      </w:r>
      <w:r>
        <w:rPr>
          <w:b/>
          <w:i/>
          <w:color w:val="4471C4"/>
          <w:sz w:val="22"/>
        </w:rPr>
        <w:t>of</w:t>
      </w:r>
      <w:r>
        <w:rPr>
          <w:b/>
          <w:i/>
          <w:color w:val="4471C4"/>
          <w:spacing w:val="40"/>
          <w:sz w:val="22"/>
        </w:rPr>
        <w:t> </w:t>
      </w:r>
      <w:r>
        <w:rPr>
          <w:b/>
          <w:i/>
          <w:color w:val="4471C4"/>
          <w:sz w:val="22"/>
        </w:rPr>
        <w:t>the</w:t>
      </w:r>
      <w:r>
        <w:rPr>
          <w:b/>
          <w:i/>
          <w:color w:val="4471C4"/>
          <w:spacing w:val="40"/>
          <w:sz w:val="22"/>
        </w:rPr>
        <w:t> </w:t>
      </w:r>
      <w:r>
        <w:rPr>
          <w:b/>
          <w:i/>
          <w:color w:val="4471C4"/>
          <w:sz w:val="22"/>
        </w:rPr>
        <w:t>ACO</w:t>
      </w:r>
      <w:r>
        <w:rPr>
          <w:b/>
          <w:i/>
          <w:color w:val="4471C4"/>
          <w:spacing w:val="40"/>
          <w:sz w:val="22"/>
        </w:rPr>
        <w:t> </w:t>
      </w:r>
      <w:r>
        <w:rPr>
          <w:b/>
          <w:i/>
          <w:color w:val="4471C4"/>
          <w:sz w:val="22"/>
        </w:rPr>
        <w:t>DSRIP</w:t>
      </w:r>
      <w:r>
        <w:rPr>
          <w:b/>
          <w:i/>
          <w:color w:val="4471C4"/>
          <w:spacing w:val="40"/>
          <w:sz w:val="22"/>
        </w:rPr>
        <w:t> </w:t>
      </w:r>
      <w:r>
        <w:rPr>
          <w:b/>
          <w:i/>
          <w:color w:val="4471C4"/>
          <w:sz w:val="22"/>
        </w:rPr>
        <w:t>Accountability</w:t>
      </w:r>
      <w:r>
        <w:rPr>
          <w:b/>
          <w:i/>
          <w:color w:val="4471C4"/>
          <w:spacing w:val="40"/>
          <w:sz w:val="22"/>
        </w:rPr>
        <w:t> </w:t>
      </w:r>
      <w:r>
        <w:rPr>
          <w:b/>
          <w:i/>
          <w:color w:val="4471C4"/>
          <w:sz w:val="22"/>
        </w:rPr>
        <w:t>Score by</w:t>
      </w:r>
      <w:r>
        <w:rPr>
          <w:b/>
          <w:i/>
          <w:color w:val="4471C4"/>
          <w:spacing w:val="40"/>
          <w:sz w:val="22"/>
        </w:rPr>
        <w:t> </w:t>
      </w:r>
      <w:r>
        <w:rPr>
          <w:b/>
          <w:i/>
          <w:color w:val="4471C4"/>
          <w:sz w:val="22"/>
        </w:rPr>
        <w:t>Combining</w:t>
      </w:r>
      <w:r>
        <w:rPr>
          <w:b/>
          <w:i/>
          <w:color w:val="4471C4"/>
          <w:sz w:val="22"/>
        </w:rPr>
        <w:t> Domain Scores</w:t>
      </w:r>
    </w:p>
    <w:p>
      <w:pPr>
        <w:pStyle w:val="BodyText"/>
        <w:rPr>
          <w:b/>
          <w:i/>
        </w:rPr>
      </w:pPr>
    </w:p>
    <w:p>
      <w:pPr>
        <w:spacing w:line="240" w:lineRule="auto" w:before="171"/>
        <w:ind w:left="1220" w:right="1093" w:firstLine="0"/>
        <w:jc w:val="both"/>
        <w:rPr>
          <w:sz w:val="22"/>
        </w:rPr>
      </w:pPr>
      <w:r>
        <w:rPr>
          <w:sz w:val="22"/>
        </w:rPr>
        <w:t>The State will calculate each ACO’s Quality Component of the ACO DSRIP Accountability Score based on the ACO’s performance on a range of State-defined quality measures. The quality measure slate was chosen to support the goals of the DSRIP program including promoting member-driven, integrated, coordinated care and improving integration among physical health, behavioral health, long-term services and</w:t>
      </w:r>
      <w:r>
        <w:rPr>
          <w:spacing w:val="-9"/>
          <w:sz w:val="22"/>
        </w:rPr>
        <w:t> </w:t>
      </w:r>
      <w:r>
        <w:rPr>
          <w:sz w:val="22"/>
        </w:rPr>
        <w:t>supports,</w:t>
      </w:r>
      <w:r>
        <w:rPr>
          <w:spacing w:val="-9"/>
          <w:sz w:val="22"/>
        </w:rPr>
        <w:t> </w:t>
      </w:r>
      <w:r>
        <w:rPr>
          <w:sz w:val="22"/>
        </w:rPr>
        <w:t>and</w:t>
      </w:r>
      <w:r>
        <w:rPr>
          <w:spacing w:val="-9"/>
          <w:sz w:val="22"/>
        </w:rPr>
        <w:t> </w:t>
      </w:r>
      <w:r>
        <w:rPr>
          <w:sz w:val="22"/>
        </w:rPr>
        <w:t>health-related</w:t>
      </w:r>
      <w:r>
        <w:rPr>
          <w:spacing w:val="-9"/>
          <w:sz w:val="22"/>
        </w:rPr>
        <w:t> </w:t>
      </w:r>
      <w:r>
        <w:rPr>
          <w:sz w:val="22"/>
        </w:rPr>
        <w:t>social</w:t>
      </w:r>
      <w:r>
        <w:rPr>
          <w:spacing w:val="-8"/>
          <w:sz w:val="22"/>
        </w:rPr>
        <w:t> </w:t>
      </w:r>
      <w:r>
        <w:rPr>
          <w:sz w:val="22"/>
        </w:rPr>
        <w:t>services.</w:t>
      </w:r>
      <w:r>
        <w:rPr>
          <w:spacing w:val="38"/>
          <w:sz w:val="22"/>
        </w:rPr>
        <w:t> </w:t>
      </w:r>
      <w:r>
        <w:rPr>
          <w:sz w:val="22"/>
        </w:rPr>
        <w:t>In</w:t>
      </w:r>
      <w:r>
        <w:rPr>
          <w:spacing w:val="-9"/>
          <w:sz w:val="22"/>
        </w:rPr>
        <w:t> </w:t>
      </w:r>
      <w:r>
        <w:rPr>
          <w:sz w:val="22"/>
        </w:rPr>
        <w:t>addition,</w:t>
      </w:r>
      <w:r>
        <w:rPr>
          <w:spacing w:val="-11"/>
          <w:sz w:val="22"/>
        </w:rPr>
        <w:t> </w:t>
      </w:r>
      <w:r>
        <w:rPr>
          <w:sz w:val="22"/>
        </w:rPr>
        <w:t>the</w:t>
      </w:r>
      <w:r>
        <w:rPr>
          <w:spacing w:val="-8"/>
          <w:sz w:val="22"/>
        </w:rPr>
        <w:t> </w:t>
      </w:r>
      <w:r>
        <w:rPr>
          <w:sz w:val="22"/>
        </w:rPr>
        <w:t>ACO</w:t>
      </w:r>
      <w:r>
        <w:rPr>
          <w:spacing w:val="-10"/>
          <w:sz w:val="22"/>
        </w:rPr>
        <w:t> </w:t>
      </w:r>
      <w:r>
        <w:rPr>
          <w:sz w:val="22"/>
        </w:rPr>
        <w:t>measure</w:t>
      </w:r>
      <w:r>
        <w:rPr>
          <w:spacing w:val="-8"/>
          <w:sz w:val="22"/>
        </w:rPr>
        <w:t> </w:t>
      </w:r>
      <w:r>
        <w:rPr>
          <w:sz w:val="22"/>
        </w:rPr>
        <w:t>slate</w:t>
      </w:r>
      <w:r>
        <w:rPr>
          <w:spacing w:val="-8"/>
          <w:sz w:val="22"/>
        </w:rPr>
        <w:t> </w:t>
      </w:r>
      <w:r>
        <w:rPr>
          <w:sz w:val="22"/>
        </w:rPr>
        <w:t>has</w:t>
      </w:r>
      <w:r>
        <w:rPr>
          <w:spacing w:val="-8"/>
          <w:sz w:val="22"/>
        </w:rPr>
        <w:t> </w:t>
      </w:r>
      <w:r>
        <w:rPr>
          <w:sz w:val="22"/>
        </w:rPr>
        <w:t>significant</w:t>
      </w:r>
      <w:r>
        <w:rPr>
          <w:spacing w:val="-8"/>
          <w:sz w:val="22"/>
        </w:rPr>
        <w:t> </w:t>
      </w:r>
      <w:r>
        <w:rPr>
          <w:sz w:val="22"/>
        </w:rPr>
        <w:t>overlap with the CP measure slate, helping to align ACO quality evaluation with CPs and furthering integration.</w:t>
      </w:r>
    </w:p>
    <w:p>
      <w:pPr>
        <w:spacing w:before="162"/>
        <w:ind w:left="1220" w:right="1094" w:firstLine="0"/>
        <w:jc w:val="both"/>
        <w:rPr>
          <w:sz w:val="22"/>
        </w:rPr>
      </w:pPr>
      <w:r>
        <w:rPr>
          <w:sz w:val="22"/>
        </w:rPr>
        <w:t>These measures are organized across four (4) Quality Domains. The State will calculate a Domain Score for each of these four (4) Quality Domains; each Domain Score will be a value between zero (0) and one</w:t>
      </w:r>
    </w:p>
    <w:p>
      <w:pPr>
        <w:spacing w:line="242" w:lineRule="auto" w:before="0"/>
        <w:ind w:left="1220" w:right="1094" w:firstLine="0"/>
        <w:jc w:val="both"/>
        <w:rPr>
          <w:sz w:val="22"/>
        </w:rPr>
      </w:pPr>
      <w:r>
        <w:rPr>
          <w:sz w:val="22"/>
        </w:rPr>
        <w:t>(1) expressed as a percentage (i.e., 0% to 100%). The State will combine these four (4) Domain Scores using a weighted average (i.e., the State will multiply each Domain Score by a Domain Weight and will sum</w:t>
      </w:r>
      <w:r>
        <w:rPr>
          <w:spacing w:val="-14"/>
          <w:sz w:val="22"/>
        </w:rPr>
        <w:t> </w:t>
      </w:r>
      <w:r>
        <w:rPr>
          <w:sz w:val="22"/>
        </w:rPr>
        <w:t>the</w:t>
      </w:r>
      <w:r>
        <w:rPr>
          <w:spacing w:val="-14"/>
          <w:sz w:val="22"/>
        </w:rPr>
        <w:t> </w:t>
      </w:r>
      <w:r>
        <w:rPr>
          <w:sz w:val="22"/>
        </w:rPr>
        <w:t>weighted</w:t>
      </w:r>
      <w:r>
        <w:rPr>
          <w:spacing w:val="-14"/>
          <w:sz w:val="22"/>
        </w:rPr>
        <w:t> </w:t>
      </w:r>
      <w:r>
        <w:rPr>
          <w:sz w:val="22"/>
        </w:rPr>
        <w:t>products</w:t>
      </w:r>
      <w:r>
        <w:rPr>
          <w:spacing w:val="-13"/>
          <w:sz w:val="22"/>
        </w:rPr>
        <w:t> </w:t>
      </w:r>
      <w:r>
        <w:rPr>
          <w:sz w:val="22"/>
        </w:rPr>
        <w:t>to</w:t>
      </w:r>
      <w:r>
        <w:rPr>
          <w:spacing w:val="-14"/>
          <w:sz w:val="22"/>
        </w:rPr>
        <w:t> </w:t>
      </w:r>
      <w:r>
        <w:rPr>
          <w:sz w:val="22"/>
        </w:rPr>
        <w:t>produce</w:t>
      </w:r>
      <w:r>
        <w:rPr>
          <w:spacing w:val="-14"/>
          <w:sz w:val="22"/>
        </w:rPr>
        <w:t> </w:t>
      </w:r>
      <w:r>
        <w:rPr>
          <w:sz w:val="22"/>
        </w:rPr>
        <w:t>the</w:t>
      </w:r>
      <w:r>
        <w:rPr>
          <w:spacing w:val="-14"/>
          <w:sz w:val="22"/>
        </w:rPr>
        <w:t> </w:t>
      </w:r>
      <w:r>
        <w:rPr>
          <w:sz w:val="22"/>
        </w:rPr>
        <w:t>ACO’s</w:t>
      </w:r>
      <w:r>
        <w:rPr>
          <w:spacing w:val="-13"/>
          <w:sz w:val="22"/>
        </w:rPr>
        <w:t> </w:t>
      </w:r>
      <w:r>
        <w:rPr>
          <w:sz w:val="22"/>
        </w:rPr>
        <w:t>Quality</w:t>
      </w:r>
      <w:r>
        <w:rPr>
          <w:spacing w:val="-14"/>
          <w:sz w:val="22"/>
        </w:rPr>
        <w:t> </w:t>
      </w:r>
      <w:r>
        <w:rPr>
          <w:sz w:val="22"/>
        </w:rPr>
        <w:t>Score</w:t>
      </w:r>
      <w:r>
        <w:rPr>
          <w:spacing w:val="-14"/>
          <w:sz w:val="22"/>
        </w:rPr>
        <w:t> </w:t>
      </w:r>
      <w:r>
        <w:rPr>
          <w:sz w:val="22"/>
        </w:rPr>
        <w:t>for</w:t>
      </w:r>
      <w:r>
        <w:rPr>
          <w:spacing w:val="-14"/>
          <w:sz w:val="22"/>
        </w:rPr>
        <w:t> </w:t>
      </w:r>
      <w:r>
        <w:rPr>
          <w:sz w:val="22"/>
        </w:rPr>
        <w:t>the</w:t>
      </w:r>
      <w:r>
        <w:rPr>
          <w:spacing w:val="-13"/>
          <w:sz w:val="22"/>
        </w:rPr>
        <w:t> </w:t>
      </w:r>
      <w:r>
        <w:rPr>
          <w:sz w:val="22"/>
        </w:rPr>
        <w:t>Budget</w:t>
      </w:r>
      <w:r>
        <w:rPr>
          <w:spacing w:val="-13"/>
          <w:sz w:val="22"/>
        </w:rPr>
        <w:t> </w:t>
      </w:r>
      <w:r>
        <w:rPr>
          <w:sz w:val="22"/>
        </w:rPr>
        <w:t>Period).</w:t>
      </w:r>
      <w:r>
        <w:rPr>
          <w:spacing w:val="-14"/>
          <w:sz w:val="22"/>
        </w:rPr>
        <w:t> </w:t>
      </w:r>
      <w:r>
        <w:rPr>
          <w:sz w:val="22"/>
        </w:rPr>
        <w:t>The</w:t>
      </w:r>
      <w:r>
        <w:rPr>
          <w:spacing w:val="-13"/>
          <w:sz w:val="22"/>
        </w:rPr>
        <w:t> </w:t>
      </w:r>
      <w:r>
        <w:rPr>
          <w:sz w:val="22"/>
        </w:rPr>
        <w:t>four</w:t>
      </w:r>
      <w:r>
        <w:rPr>
          <w:spacing w:val="-14"/>
          <w:sz w:val="22"/>
        </w:rPr>
        <w:t> </w:t>
      </w:r>
      <w:r>
        <w:rPr>
          <w:sz w:val="22"/>
        </w:rPr>
        <w:t>(4)</w:t>
      </w:r>
      <w:r>
        <w:rPr>
          <w:spacing w:val="-12"/>
          <w:sz w:val="22"/>
        </w:rPr>
        <w:t> </w:t>
      </w:r>
      <w:r>
        <w:rPr>
          <w:sz w:val="22"/>
        </w:rPr>
        <w:t>Quality Domains and their anticipated weights are listed below in Exhibit 31.</w:t>
      </w:r>
    </w:p>
    <w:p>
      <w:pPr>
        <w:spacing w:before="150"/>
        <w:ind w:left="1220" w:right="1094" w:firstLine="0"/>
        <w:jc w:val="both"/>
        <w:rPr>
          <w:sz w:val="22"/>
        </w:rPr>
      </w:pPr>
      <w:r>
        <w:rPr>
          <w:sz w:val="22"/>
        </w:rPr>
        <w:t>If an ACO does not meet eligibility requirements for a specific measure, then the weight assigned to the measure within the measure’s domain will be redistributed equally among all other measures within that domain.</w:t>
      </w:r>
      <w:r>
        <w:rPr>
          <w:spacing w:val="-2"/>
          <w:sz w:val="22"/>
        </w:rPr>
        <w:t> </w:t>
      </w:r>
      <w:r>
        <w:rPr>
          <w:sz w:val="22"/>
        </w:rPr>
        <w:t>Thus,</w:t>
      </w:r>
      <w:r>
        <w:rPr>
          <w:spacing w:val="-5"/>
          <w:sz w:val="22"/>
        </w:rPr>
        <w:t> </w:t>
      </w:r>
      <w:r>
        <w:rPr>
          <w:sz w:val="22"/>
        </w:rPr>
        <w:t>the</w:t>
      </w:r>
      <w:r>
        <w:rPr>
          <w:spacing w:val="-4"/>
          <w:sz w:val="22"/>
        </w:rPr>
        <w:t> </w:t>
      </w:r>
      <w:r>
        <w:rPr>
          <w:sz w:val="22"/>
        </w:rPr>
        <w:t>overall</w:t>
      </w:r>
      <w:r>
        <w:rPr>
          <w:spacing w:val="-1"/>
          <w:sz w:val="22"/>
        </w:rPr>
        <w:t> </w:t>
      </w:r>
      <w:r>
        <w:rPr>
          <w:sz w:val="22"/>
        </w:rPr>
        <w:t>domain</w:t>
      </w:r>
      <w:r>
        <w:rPr>
          <w:spacing w:val="-2"/>
          <w:sz w:val="22"/>
        </w:rPr>
        <w:t> </w:t>
      </w:r>
      <w:r>
        <w:rPr>
          <w:sz w:val="22"/>
        </w:rPr>
        <w:t>weights</w:t>
      </w:r>
      <w:r>
        <w:rPr>
          <w:spacing w:val="-2"/>
          <w:sz w:val="22"/>
        </w:rPr>
        <w:t> </w:t>
      </w:r>
      <w:r>
        <w:rPr>
          <w:sz w:val="22"/>
        </w:rPr>
        <w:t>will</w:t>
      </w:r>
      <w:r>
        <w:rPr>
          <w:spacing w:val="-1"/>
          <w:sz w:val="22"/>
        </w:rPr>
        <w:t> </w:t>
      </w:r>
      <w:r>
        <w:rPr>
          <w:sz w:val="22"/>
        </w:rPr>
        <w:t>not</w:t>
      </w:r>
      <w:r>
        <w:rPr>
          <w:spacing w:val="-1"/>
          <w:sz w:val="22"/>
        </w:rPr>
        <w:t> </w:t>
      </w:r>
      <w:r>
        <w:rPr>
          <w:sz w:val="22"/>
        </w:rPr>
        <w:t>increase</w:t>
      </w:r>
      <w:r>
        <w:rPr>
          <w:spacing w:val="-4"/>
          <w:sz w:val="22"/>
        </w:rPr>
        <w:t> </w:t>
      </w:r>
      <w:r>
        <w:rPr>
          <w:sz w:val="22"/>
        </w:rPr>
        <w:t>or</w:t>
      </w:r>
      <w:r>
        <w:rPr>
          <w:spacing w:val="-4"/>
          <w:sz w:val="22"/>
        </w:rPr>
        <w:t> </w:t>
      </w:r>
      <w:r>
        <w:rPr>
          <w:sz w:val="22"/>
        </w:rPr>
        <w:t>decrease</w:t>
      </w:r>
      <w:r>
        <w:rPr>
          <w:spacing w:val="-2"/>
          <w:sz w:val="22"/>
        </w:rPr>
        <w:t> </w:t>
      </w:r>
      <w:r>
        <w:rPr>
          <w:sz w:val="22"/>
        </w:rPr>
        <w:t>as</w:t>
      </w:r>
      <w:r>
        <w:rPr>
          <w:spacing w:val="-2"/>
          <w:sz w:val="22"/>
        </w:rPr>
        <w:t> </w:t>
      </w:r>
      <w:r>
        <w:rPr>
          <w:sz w:val="22"/>
        </w:rPr>
        <w:t>a</w:t>
      </w:r>
      <w:r>
        <w:rPr>
          <w:spacing w:val="-4"/>
          <w:sz w:val="22"/>
        </w:rPr>
        <w:t> </w:t>
      </w:r>
      <w:r>
        <w:rPr>
          <w:sz w:val="22"/>
        </w:rPr>
        <w:t>result</w:t>
      </w:r>
      <w:r>
        <w:rPr>
          <w:spacing w:val="-4"/>
          <w:sz w:val="22"/>
        </w:rPr>
        <w:t> </w:t>
      </w:r>
      <w:r>
        <w:rPr>
          <w:sz w:val="22"/>
        </w:rPr>
        <w:t>of</w:t>
      </w:r>
      <w:r>
        <w:rPr>
          <w:spacing w:val="-1"/>
          <w:sz w:val="22"/>
        </w:rPr>
        <w:t> </w:t>
      </w:r>
      <w:r>
        <w:rPr>
          <w:sz w:val="22"/>
        </w:rPr>
        <w:t>measure</w:t>
      </w:r>
      <w:r>
        <w:rPr>
          <w:spacing w:val="-4"/>
          <w:sz w:val="22"/>
        </w:rPr>
        <w:t> </w:t>
      </w:r>
      <w:r>
        <w:rPr>
          <w:sz w:val="22"/>
        </w:rPr>
        <w:t>ineligibility. If an ACO is ineligible to provide data on all measures within a given domain, the redistribution of that domain</w:t>
      </w:r>
      <w:r>
        <w:rPr>
          <w:spacing w:val="-2"/>
          <w:sz w:val="22"/>
        </w:rPr>
        <w:t> </w:t>
      </w:r>
      <w:r>
        <w:rPr>
          <w:sz w:val="22"/>
        </w:rPr>
        <w:t>weight</w:t>
      </w:r>
      <w:r>
        <w:rPr>
          <w:spacing w:val="-1"/>
          <w:sz w:val="22"/>
        </w:rPr>
        <w:t> </w:t>
      </w:r>
      <w:r>
        <w:rPr>
          <w:sz w:val="22"/>
        </w:rPr>
        <w:t>to</w:t>
      </w:r>
      <w:r>
        <w:rPr>
          <w:spacing w:val="-2"/>
          <w:sz w:val="22"/>
        </w:rPr>
        <w:t> </w:t>
      </w:r>
      <w:r>
        <w:rPr>
          <w:sz w:val="22"/>
        </w:rPr>
        <w:t>other</w:t>
      </w:r>
      <w:r>
        <w:rPr>
          <w:spacing w:val="-1"/>
          <w:sz w:val="22"/>
        </w:rPr>
        <w:t> </w:t>
      </w:r>
      <w:r>
        <w:rPr>
          <w:sz w:val="22"/>
        </w:rPr>
        <w:t>eligible</w:t>
      </w:r>
      <w:r>
        <w:rPr>
          <w:spacing w:val="-2"/>
          <w:sz w:val="22"/>
        </w:rPr>
        <w:t> </w:t>
      </w:r>
      <w:r>
        <w:rPr>
          <w:sz w:val="22"/>
        </w:rPr>
        <w:t>domains</w:t>
      </w:r>
      <w:r>
        <w:rPr>
          <w:spacing w:val="-2"/>
          <w:sz w:val="22"/>
        </w:rPr>
        <w:t> </w:t>
      </w:r>
      <w:r>
        <w:rPr>
          <w:sz w:val="22"/>
        </w:rPr>
        <w:t>will</w:t>
      </w:r>
      <w:r>
        <w:rPr>
          <w:spacing w:val="-1"/>
          <w:sz w:val="22"/>
        </w:rPr>
        <w:t> </w:t>
      </w:r>
      <w:r>
        <w:rPr>
          <w:sz w:val="22"/>
        </w:rPr>
        <w:t>be</w:t>
      </w:r>
      <w:r>
        <w:rPr>
          <w:spacing w:val="-2"/>
          <w:sz w:val="22"/>
        </w:rPr>
        <w:t> </w:t>
      </w:r>
      <w:r>
        <w:rPr>
          <w:sz w:val="22"/>
        </w:rPr>
        <w:t>reviewed</w:t>
      </w:r>
      <w:r>
        <w:rPr>
          <w:spacing w:val="-2"/>
          <w:sz w:val="22"/>
        </w:rPr>
        <w:t> </w:t>
      </w:r>
      <w:r>
        <w:rPr>
          <w:sz w:val="22"/>
        </w:rPr>
        <w:t>by</w:t>
      </w:r>
      <w:r>
        <w:rPr>
          <w:spacing w:val="-5"/>
          <w:sz w:val="22"/>
        </w:rPr>
        <w:t> </w:t>
      </w:r>
      <w:r>
        <w:rPr>
          <w:sz w:val="22"/>
        </w:rPr>
        <w:t>the</w:t>
      </w:r>
      <w:r>
        <w:rPr>
          <w:spacing w:val="-2"/>
          <w:sz w:val="22"/>
        </w:rPr>
        <w:t> </w:t>
      </w:r>
      <w:r>
        <w:rPr>
          <w:sz w:val="22"/>
        </w:rPr>
        <w:t>DSRIP Quality</w:t>
      </w:r>
      <w:r>
        <w:rPr>
          <w:spacing w:val="-5"/>
          <w:sz w:val="22"/>
        </w:rPr>
        <w:t> </w:t>
      </w:r>
      <w:r>
        <w:rPr>
          <w:sz w:val="22"/>
        </w:rPr>
        <w:t>Committee</w:t>
      </w:r>
      <w:r>
        <w:rPr>
          <w:spacing w:val="-2"/>
          <w:sz w:val="22"/>
        </w:rPr>
        <w:t> </w:t>
      </w:r>
      <w:r>
        <w:rPr>
          <w:sz w:val="22"/>
        </w:rPr>
        <w:t>and</w:t>
      </w:r>
      <w:r>
        <w:rPr>
          <w:spacing w:val="-5"/>
          <w:sz w:val="22"/>
        </w:rPr>
        <w:t> </w:t>
      </w:r>
      <w:r>
        <w:rPr>
          <w:sz w:val="22"/>
        </w:rPr>
        <w:t>the</w:t>
      </w:r>
      <w:r>
        <w:rPr>
          <w:spacing w:val="-2"/>
          <w:sz w:val="22"/>
        </w:rPr>
        <w:t> </w:t>
      </w:r>
      <w:r>
        <w:rPr>
          <w:sz w:val="22"/>
        </w:rPr>
        <w:t>State, and will be submitted to CMS for review and approval within 90 calendar days prior to final DSRIP Accountability scoring.</w:t>
      </w:r>
    </w:p>
    <w:p>
      <w:pPr>
        <w:spacing w:line="240" w:lineRule="auto" w:before="158"/>
        <w:ind w:left="1220" w:right="1091" w:firstLine="0"/>
        <w:jc w:val="both"/>
        <w:rPr>
          <w:sz w:val="22"/>
        </w:rPr>
      </w:pPr>
      <w:r>
        <w:rPr>
          <w:sz w:val="22"/>
        </w:rPr>
        <w:t>If an ACO receives approval from the State to down-weight one or more measures in a domain, then the excess</w:t>
      </w:r>
      <w:r>
        <w:rPr>
          <w:spacing w:val="-7"/>
          <w:sz w:val="22"/>
        </w:rPr>
        <w:t> </w:t>
      </w:r>
      <w:r>
        <w:rPr>
          <w:sz w:val="22"/>
        </w:rPr>
        <w:t>weight</w:t>
      </w:r>
      <w:r>
        <w:rPr>
          <w:spacing w:val="-6"/>
          <w:sz w:val="22"/>
        </w:rPr>
        <w:t> </w:t>
      </w:r>
      <w:r>
        <w:rPr>
          <w:sz w:val="22"/>
        </w:rPr>
        <w:t>assigned</w:t>
      </w:r>
      <w:r>
        <w:rPr>
          <w:spacing w:val="-9"/>
          <w:sz w:val="22"/>
        </w:rPr>
        <w:t> </w:t>
      </w:r>
      <w:r>
        <w:rPr>
          <w:sz w:val="22"/>
        </w:rPr>
        <w:t>to</w:t>
      </w:r>
      <w:r>
        <w:rPr>
          <w:spacing w:val="-9"/>
          <w:sz w:val="22"/>
        </w:rPr>
        <w:t> </w:t>
      </w:r>
      <w:r>
        <w:rPr>
          <w:sz w:val="22"/>
        </w:rPr>
        <w:t>the</w:t>
      </w:r>
      <w:r>
        <w:rPr>
          <w:spacing w:val="-7"/>
          <w:sz w:val="22"/>
        </w:rPr>
        <w:t> </w:t>
      </w:r>
      <w:r>
        <w:rPr>
          <w:sz w:val="22"/>
        </w:rPr>
        <w:t>measure</w:t>
      </w:r>
      <w:r>
        <w:rPr>
          <w:spacing w:val="-9"/>
          <w:sz w:val="22"/>
        </w:rPr>
        <w:t> </w:t>
      </w:r>
      <w:r>
        <w:rPr>
          <w:sz w:val="22"/>
        </w:rPr>
        <w:t>or</w:t>
      </w:r>
      <w:r>
        <w:rPr>
          <w:spacing w:val="-9"/>
          <w:sz w:val="22"/>
        </w:rPr>
        <w:t> </w:t>
      </w:r>
      <w:r>
        <w:rPr>
          <w:sz w:val="22"/>
        </w:rPr>
        <w:t>those</w:t>
      </w:r>
      <w:r>
        <w:rPr>
          <w:spacing w:val="-7"/>
          <w:sz w:val="22"/>
        </w:rPr>
        <w:t> </w:t>
      </w:r>
      <w:r>
        <w:rPr>
          <w:sz w:val="22"/>
        </w:rPr>
        <w:t>measures</w:t>
      </w:r>
      <w:r>
        <w:rPr>
          <w:spacing w:val="-7"/>
          <w:sz w:val="22"/>
        </w:rPr>
        <w:t> </w:t>
      </w:r>
      <w:r>
        <w:rPr>
          <w:sz w:val="22"/>
        </w:rPr>
        <w:t>within</w:t>
      </w:r>
      <w:r>
        <w:rPr>
          <w:spacing w:val="-7"/>
          <w:sz w:val="22"/>
        </w:rPr>
        <w:t> </w:t>
      </w:r>
      <w:r>
        <w:rPr>
          <w:sz w:val="22"/>
        </w:rPr>
        <w:t>the</w:t>
      </w:r>
      <w:r>
        <w:rPr>
          <w:spacing w:val="-7"/>
          <w:sz w:val="22"/>
        </w:rPr>
        <w:t> </w:t>
      </w:r>
      <w:r>
        <w:rPr>
          <w:sz w:val="22"/>
        </w:rPr>
        <w:t>measure’s</w:t>
      </w:r>
      <w:r>
        <w:rPr>
          <w:spacing w:val="-7"/>
          <w:sz w:val="22"/>
        </w:rPr>
        <w:t> </w:t>
      </w:r>
      <w:r>
        <w:rPr>
          <w:sz w:val="22"/>
        </w:rPr>
        <w:t>domain</w:t>
      </w:r>
      <w:r>
        <w:rPr>
          <w:spacing w:val="-7"/>
          <w:sz w:val="22"/>
        </w:rPr>
        <w:t> </w:t>
      </w:r>
      <w:r>
        <w:rPr>
          <w:sz w:val="22"/>
        </w:rPr>
        <w:t>will</w:t>
      </w:r>
      <w:r>
        <w:rPr>
          <w:spacing w:val="-9"/>
          <w:sz w:val="22"/>
        </w:rPr>
        <w:t> </w:t>
      </w:r>
      <w:r>
        <w:rPr>
          <w:sz w:val="22"/>
        </w:rPr>
        <w:t>be</w:t>
      </w:r>
      <w:r>
        <w:rPr>
          <w:spacing w:val="-9"/>
          <w:sz w:val="22"/>
        </w:rPr>
        <w:t> </w:t>
      </w:r>
      <w:r>
        <w:rPr>
          <w:sz w:val="22"/>
        </w:rPr>
        <w:t>redistributed equally among all other measures within that domain.</w:t>
      </w:r>
      <w:r>
        <w:rPr>
          <w:spacing w:val="80"/>
          <w:sz w:val="22"/>
        </w:rPr>
        <w:t> </w:t>
      </w:r>
      <w:r>
        <w:rPr>
          <w:sz w:val="22"/>
        </w:rPr>
        <w:t>Such a redistribution of measure weights will not impact the overall domain weights. For example, if a domain has 10 measures, each measure begins as being</w:t>
      </w:r>
      <w:r>
        <w:rPr>
          <w:spacing w:val="-10"/>
          <w:sz w:val="22"/>
        </w:rPr>
        <w:t> </w:t>
      </w:r>
      <w:r>
        <w:rPr>
          <w:sz w:val="22"/>
        </w:rPr>
        <w:t>weighted</w:t>
      </w:r>
      <w:r>
        <w:rPr>
          <w:spacing w:val="-7"/>
          <w:sz w:val="22"/>
        </w:rPr>
        <w:t> </w:t>
      </w:r>
      <w:r>
        <w:rPr>
          <w:sz w:val="22"/>
        </w:rPr>
        <w:t>at</w:t>
      </w:r>
      <w:r>
        <w:rPr>
          <w:spacing w:val="-6"/>
          <w:sz w:val="22"/>
        </w:rPr>
        <w:t> </w:t>
      </w:r>
      <w:r>
        <w:rPr>
          <w:sz w:val="22"/>
        </w:rPr>
        <w:t>10%</w:t>
      </w:r>
      <w:r>
        <w:rPr>
          <w:spacing w:val="-6"/>
          <w:sz w:val="22"/>
        </w:rPr>
        <w:t> </w:t>
      </w:r>
      <w:r>
        <w:rPr>
          <w:sz w:val="22"/>
        </w:rPr>
        <w:t>of</w:t>
      </w:r>
      <w:r>
        <w:rPr>
          <w:spacing w:val="-6"/>
          <w:sz w:val="22"/>
        </w:rPr>
        <w:t> </w:t>
      </w:r>
      <w:r>
        <w:rPr>
          <w:sz w:val="22"/>
        </w:rPr>
        <w:t>the</w:t>
      </w:r>
      <w:r>
        <w:rPr>
          <w:spacing w:val="-7"/>
          <w:sz w:val="22"/>
        </w:rPr>
        <w:t> </w:t>
      </w:r>
      <w:r>
        <w:rPr>
          <w:sz w:val="22"/>
        </w:rPr>
        <w:t>domain</w:t>
      </w:r>
      <w:r>
        <w:rPr>
          <w:spacing w:val="-7"/>
          <w:sz w:val="22"/>
        </w:rPr>
        <w:t> </w:t>
      </w:r>
      <w:r>
        <w:rPr>
          <w:sz w:val="22"/>
        </w:rPr>
        <w:t>score.</w:t>
      </w:r>
      <w:r>
        <w:rPr>
          <w:spacing w:val="40"/>
          <w:sz w:val="22"/>
        </w:rPr>
        <w:t> </w:t>
      </w:r>
      <w:r>
        <w:rPr>
          <w:sz w:val="22"/>
        </w:rPr>
        <w:t>If</w:t>
      </w:r>
      <w:r>
        <w:rPr>
          <w:spacing w:val="-6"/>
          <w:sz w:val="22"/>
        </w:rPr>
        <w:t> </w:t>
      </w:r>
      <w:r>
        <w:rPr>
          <w:sz w:val="22"/>
        </w:rPr>
        <w:t>four</w:t>
      </w:r>
      <w:r>
        <w:rPr>
          <w:spacing w:val="-9"/>
          <w:sz w:val="22"/>
        </w:rPr>
        <w:t> </w:t>
      </w:r>
      <w:r>
        <w:rPr>
          <w:sz w:val="22"/>
        </w:rPr>
        <w:t>of</w:t>
      </w:r>
      <w:r>
        <w:rPr>
          <w:spacing w:val="-9"/>
          <w:sz w:val="22"/>
        </w:rPr>
        <w:t> </w:t>
      </w:r>
      <w:r>
        <w:rPr>
          <w:sz w:val="22"/>
        </w:rPr>
        <w:t>the</w:t>
      </w:r>
      <w:r>
        <w:rPr>
          <w:spacing w:val="-7"/>
          <w:sz w:val="22"/>
        </w:rPr>
        <w:t> </w:t>
      </w:r>
      <w:r>
        <w:rPr>
          <w:sz w:val="22"/>
        </w:rPr>
        <w:t>measures</w:t>
      </w:r>
      <w:r>
        <w:rPr>
          <w:spacing w:val="-9"/>
          <w:sz w:val="22"/>
        </w:rPr>
        <w:t> </w:t>
      </w:r>
      <w:r>
        <w:rPr>
          <w:sz w:val="22"/>
        </w:rPr>
        <w:t>are</w:t>
      </w:r>
      <w:r>
        <w:rPr>
          <w:spacing w:val="-9"/>
          <w:sz w:val="22"/>
        </w:rPr>
        <w:t> </w:t>
      </w:r>
      <w:r>
        <w:rPr>
          <w:sz w:val="22"/>
        </w:rPr>
        <w:t>down-weighted</w:t>
      </w:r>
      <w:r>
        <w:rPr>
          <w:spacing w:val="-7"/>
          <w:sz w:val="22"/>
        </w:rPr>
        <w:t> </w:t>
      </w:r>
      <w:r>
        <w:rPr>
          <w:sz w:val="22"/>
        </w:rPr>
        <w:t>such</w:t>
      </w:r>
      <w:r>
        <w:rPr>
          <w:spacing w:val="-7"/>
          <w:sz w:val="22"/>
        </w:rPr>
        <w:t> </w:t>
      </w:r>
      <w:r>
        <w:rPr>
          <w:sz w:val="22"/>
        </w:rPr>
        <w:t>that</w:t>
      </w:r>
      <w:r>
        <w:rPr>
          <w:spacing w:val="-8"/>
          <w:sz w:val="22"/>
        </w:rPr>
        <w:t> </w:t>
      </w:r>
      <w:r>
        <w:rPr>
          <w:sz w:val="22"/>
        </w:rPr>
        <w:t>they</w:t>
      </w:r>
      <w:r>
        <w:rPr>
          <w:spacing w:val="-10"/>
          <w:sz w:val="22"/>
        </w:rPr>
        <w:t> </w:t>
      </w:r>
      <w:r>
        <w:rPr>
          <w:sz w:val="22"/>
        </w:rPr>
        <w:t>only contribute 2.5% each to the domain score, then the excess 30% is redistributed to the other six measures, such that they would be weighted at 15% of the domain score.</w:t>
      </w:r>
    </w:p>
    <w:p>
      <w:pPr>
        <w:spacing w:before="163"/>
        <w:ind w:left="1220" w:right="0" w:firstLine="0"/>
        <w:jc w:val="both"/>
        <w:rPr>
          <w:b/>
          <w:sz w:val="22"/>
        </w:rPr>
      </w:pPr>
      <w:r>
        <w:rPr>
          <w:b/>
          <w:sz w:val="22"/>
        </w:rPr>
        <w:t>EXHIBIT</w:t>
      </w:r>
      <w:r>
        <w:rPr>
          <w:b/>
          <w:spacing w:val="-5"/>
          <w:sz w:val="22"/>
        </w:rPr>
        <w:t> </w:t>
      </w:r>
      <w:r>
        <w:rPr>
          <w:b/>
          <w:sz w:val="22"/>
        </w:rPr>
        <w:t>31</w:t>
      </w:r>
      <w:r>
        <w:rPr>
          <w:b/>
          <w:spacing w:val="-4"/>
          <w:sz w:val="22"/>
        </w:rPr>
        <w:t> </w:t>
      </w:r>
      <w:r>
        <w:rPr>
          <w:b/>
          <w:sz w:val="22"/>
        </w:rPr>
        <w:t>–</w:t>
      </w:r>
      <w:r>
        <w:rPr>
          <w:b/>
          <w:spacing w:val="-3"/>
          <w:sz w:val="22"/>
        </w:rPr>
        <w:t> </w:t>
      </w:r>
      <w:r>
        <w:rPr>
          <w:b/>
          <w:sz w:val="22"/>
        </w:rPr>
        <w:t>ACO</w:t>
      </w:r>
      <w:r>
        <w:rPr>
          <w:b/>
          <w:spacing w:val="-3"/>
          <w:sz w:val="22"/>
        </w:rPr>
        <w:t> </w:t>
      </w:r>
      <w:r>
        <w:rPr>
          <w:b/>
          <w:sz w:val="22"/>
        </w:rPr>
        <w:t>Quality</w:t>
      </w:r>
      <w:r>
        <w:rPr>
          <w:b/>
          <w:spacing w:val="-4"/>
          <w:sz w:val="22"/>
        </w:rPr>
        <w:t> </w:t>
      </w:r>
      <w:r>
        <w:rPr>
          <w:b/>
          <w:sz w:val="22"/>
        </w:rPr>
        <w:t>Domains</w:t>
      </w:r>
      <w:r>
        <w:rPr>
          <w:b/>
          <w:spacing w:val="-3"/>
          <w:sz w:val="22"/>
        </w:rPr>
        <w:t> </w:t>
      </w:r>
      <w:r>
        <w:rPr>
          <w:b/>
          <w:sz w:val="22"/>
        </w:rPr>
        <w:t>and</w:t>
      </w:r>
      <w:r>
        <w:rPr>
          <w:b/>
          <w:spacing w:val="-5"/>
          <w:sz w:val="22"/>
        </w:rPr>
        <w:t> </w:t>
      </w:r>
      <w:r>
        <w:rPr>
          <w:b/>
          <w:sz w:val="22"/>
        </w:rPr>
        <w:t>Domain</w:t>
      </w:r>
      <w:r>
        <w:rPr>
          <w:b/>
          <w:spacing w:val="-6"/>
          <w:sz w:val="22"/>
        </w:rPr>
        <w:t> </w:t>
      </w:r>
      <w:r>
        <w:rPr>
          <w:b/>
          <w:spacing w:val="-2"/>
          <w:sz w:val="22"/>
        </w:rPr>
        <w:t>Weights</w:t>
      </w:r>
    </w:p>
    <w:p>
      <w:pPr>
        <w:spacing w:after="0"/>
        <w:jc w:val="both"/>
        <w:rPr>
          <w:sz w:val="22"/>
        </w:rPr>
        <w:sectPr>
          <w:pgSz w:w="12240" w:h="15840"/>
          <w:pgMar w:header="0" w:footer="967" w:top="1360" w:bottom="1160" w:left="220" w:right="340"/>
        </w:sectPr>
      </w:pPr>
    </w:p>
    <w:p>
      <w:pPr>
        <w:pStyle w:val="BodyText"/>
        <w:spacing w:line="20" w:lineRule="exact"/>
        <w:ind w:left="1220"/>
        <w:rPr>
          <w:sz w:val="2"/>
        </w:rPr>
      </w:pPr>
      <w:r>
        <w:rPr>
          <w:sz w:val="2"/>
        </w:rPr>
        <mc:AlternateContent>
          <mc:Choice Requires="wps">
            <w:drawing>
              <wp:inline distT="0" distB="0" distL="0" distR="0">
                <wp:extent cx="5943600" cy="6350"/>
                <wp:effectExtent l="0" t="0" r="0" b="0"/>
                <wp:docPr id="883" name="Group 883"/>
                <wp:cNvGraphicFramePr>
                  <a:graphicFrameLocks/>
                </wp:cNvGraphicFramePr>
                <a:graphic>
                  <a:graphicData uri="http://schemas.microsoft.com/office/word/2010/wordprocessingGroup">
                    <wpg:wgp>
                      <wpg:cNvPr id="883" name="Group 883"/>
                      <wpg:cNvGrpSpPr/>
                      <wpg:grpSpPr>
                        <a:xfrm>
                          <a:off x="0" y="0"/>
                          <a:ext cx="5943600" cy="6350"/>
                          <a:chExt cx="5943600" cy="6350"/>
                        </a:xfrm>
                      </wpg:grpSpPr>
                      <wps:wsp>
                        <wps:cNvPr id="884" name="Graphic 884"/>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68pt;height:.5pt;mso-position-horizontal-relative:char;mso-position-vertical-relative:line" id="docshapegroup100" coordorigin="0,0" coordsize="9360,10">
                <v:rect style="position:absolute;left:0;top:0;width:9360;height:10" id="docshape101" filled="true" fillcolor="#000000" stroked="false">
                  <v:fill type="solid"/>
                </v:rect>
              </v:group>
            </w:pict>
          </mc:Fallback>
        </mc:AlternateContent>
      </w:r>
      <w:r>
        <w:rPr>
          <w:sz w:val="2"/>
        </w:rPr>
      </w:r>
    </w:p>
    <w:p>
      <w:pPr>
        <w:pStyle w:val="BodyText"/>
        <w:spacing w:before="5"/>
        <w:rPr>
          <w:b/>
          <w:sz w:val="22"/>
        </w:rPr>
      </w:pPr>
    </w:p>
    <w:tbl>
      <w:tblPr>
        <w:tblW w:w="0" w:type="auto"/>
        <w:jc w:val="left"/>
        <w:tblInd w:w="133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406"/>
        <w:gridCol w:w="2787"/>
        <w:gridCol w:w="1481"/>
        <w:gridCol w:w="1495"/>
        <w:gridCol w:w="1411"/>
        <w:gridCol w:w="1555"/>
      </w:tblGrid>
      <w:tr>
        <w:trPr>
          <w:trHeight w:val="299" w:hRule="atLeast"/>
        </w:trPr>
        <w:tc>
          <w:tcPr>
            <w:tcW w:w="9135" w:type="dxa"/>
            <w:gridSpan w:val="6"/>
            <w:shd w:val="clear" w:color="auto" w:fill="1F487C"/>
          </w:tcPr>
          <w:p>
            <w:pPr>
              <w:pStyle w:val="TableParagraph"/>
              <w:spacing w:before="26"/>
              <w:ind w:left="3254" w:right="3250"/>
              <w:jc w:val="center"/>
              <w:rPr>
                <w:b/>
                <w:sz w:val="20"/>
              </w:rPr>
            </w:pPr>
            <w:r>
              <w:rPr>
                <w:b/>
                <w:color w:val="FFFFFF"/>
                <w:sz w:val="20"/>
              </w:rPr>
              <w:t>ACO</w:t>
            </w:r>
            <w:r>
              <w:rPr>
                <w:b/>
                <w:color w:val="FFFFFF"/>
                <w:spacing w:val="-7"/>
                <w:sz w:val="20"/>
              </w:rPr>
              <w:t> </w:t>
            </w:r>
            <w:r>
              <w:rPr>
                <w:b/>
                <w:color w:val="FFFFFF"/>
                <w:sz w:val="20"/>
              </w:rPr>
              <w:t>Quality</w:t>
            </w:r>
            <w:r>
              <w:rPr>
                <w:b/>
                <w:color w:val="FFFFFF"/>
                <w:spacing w:val="-7"/>
                <w:sz w:val="20"/>
              </w:rPr>
              <w:t> </w:t>
            </w:r>
            <w:r>
              <w:rPr>
                <w:b/>
                <w:color w:val="FFFFFF"/>
                <w:sz w:val="20"/>
              </w:rPr>
              <w:t>Domain</w:t>
            </w:r>
            <w:r>
              <w:rPr>
                <w:b/>
                <w:color w:val="FFFFFF"/>
                <w:spacing w:val="-8"/>
                <w:sz w:val="20"/>
              </w:rPr>
              <w:t> </w:t>
            </w:r>
            <w:r>
              <w:rPr>
                <w:b/>
                <w:color w:val="FFFFFF"/>
                <w:spacing w:val="-2"/>
                <w:sz w:val="20"/>
              </w:rPr>
              <w:t>Weights</w:t>
            </w:r>
          </w:p>
        </w:tc>
      </w:tr>
      <w:tr>
        <w:trPr>
          <w:trHeight w:val="510" w:hRule="atLeast"/>
        </w:trPr>
        <w:tc>
          <w:tcPr>
            <w:tcW w:w="3193" w:type="dxa"/>
            <w:gridSpan w:val="2"/>
            <w:shd w:val="clear" w:color="auto" w:fill="D9D9D9"/>
          </w:tcPr>
          <w:p>
            <w:pPr>
              <w:pStyle w:val="TableParagraph"/>
              <w:spacing w:before="132"/>
              <w:ind w:left="909"/>
              <w:rPr>
                <w:b/>
                <w:sz w:val="20"/>
              </w:rPr>
            </w:pPr>
            <w:r>
              <w:rPr>
                <w:b/>
                <w:sz w:val="20"/>
              </w:rPr>
              <w:t>Quality</w:t>
            </w:r>
            <w:r>
              <w:rPr>
                <w:b/>
                <w:spacing w:val="-10"/>
                <w:sz w:val="20"/>
              </w:rPr>
              <w:t> </w:t>
            </w:r>
            <w:r>
              <w:rPr>
                <w:b/>
                <w:spacing w:val="-2"/>
                <w:sz w:val="20"/>
              </w:rPr>
              <w:t>Domain</w:t>
            </w:r>
          </w:p>
        </w:tc>
        <w:tc>
          <w:tcPr>
            <w:tcW w:w="1481" w:type="dxa"/>
            <w:shd w:val="clear" w:color="auto" w:fill="D9D9D9"/>
          </w:tcPr>
          <w:p>
            <w:pPr>
              <w:pStyle w:val="TableParagraph"/>
              <w:spacing w:before="7"/>
              <w:ind w:left="155" w:right="148"/>
              <w:jc w:val="center"/>
              <w:rPr>
                <w:b/>
                <w:sz w:val="20"/>
              </w:rPr>
            </w:pPr>
            <w:r>
              <w:rPr>
                <w:b/>
                <w:spacing w:val="-2"/>
                <w:sz w:val="20"/>
              </w:rPr>
              <w:t>Domain</w:t>
            </w:r>
          </w:p>
          <w:p>
            <w:pPr>
              <w:pStyle w:val="TableParagraph"/>
              <w:spacing w:before="20"/>
              <w:ind w:left="156" w:right="148"/>
              <w:jc w:val="center"/>
              <w:rPr>
                <w:b/>
                <w:sz w:val="20"/>
              </w:rPr>
            </w:pPr>
            <w:r>
              <w:rPr>
                <w:b/>
                <w:sz w:val="20"/>
              </w:rPr>
              <w:t>Weight:</w:t>
            </w:r>
            <w:r>
              <w:rPr>
                <w:b/>
                <w:spacing w:val="-4"/>
                <w:sz w:val="20"/>
              </w:rPr>
              <w:t> </w:t>
            </w:r>
            <w:r>
              <w:rPr>
                <w:b/>
                <w:sz w:val="20"/>
              </w:rPr>
              <w:t>BP</w:t>
            </w:r>
            <w:r>
              <w:rPr>
                <w:b/>
                <w:spacing w:val="-4"/>
                <w:sz w:val="20"/>
              </w:rPr>
              <w:t> </w:t>
            </w:r>
            <w:r>
              <w:rPr>
                <w:b/>
                <w:spacing w:val="-10"/>
                <w:sz w:val="20"/>
              </w:rPr>
              <w:t>1</w:t>
            </w:r>
          </w:p>
        </w:tc>
        <w:tc>
          <w:tcPr>
            <w:tcW w:w="1495" w:type="dxa"/>
            <w:shd w:val="clear" w:color="auto" w:fill="D9D9D9"/>
          </w:tcPr>
          <w:p>
            <w:pPr>
              <w:pStyle w:val="TableParagraph"/>
              <w:spacing w:before="7"/>
              <w:ind w:left="159" w:right="157"/>
              <w:jc w:val="center"/>
              <w:rPr>
                <w:b/>
                <w:sz w:val="20"/>
              </w:rPr>
            </w:pPr>
            <w:r>
              <w:rPr>
                <w:b/>
                <w:spacing w:val="-2"/>
                <w:sz w:val="20"/>
              </w:rPr>
              <w:t>Domain</w:t>
            </w:r>
          </w:p>
          <w:p>
            <w:pPr>
              <w:pStyle w:val="TableParagraph"/>
              <w:spacing w:before="20"/>
              <w:ind w:left="160" w:right="157"/>
              <w:jc w:val="center"/>
              <w:rPr>
                <w:b/>
                <w:sz w:val="20"/>
              </w:rPr>
            </w:pPr>
            <w:r>
              <w:rPr>
                <w:b/>
                <w:sz w:val="20"/>
              </w:rPr>
              <w:t>Weight:</w:t>
            </w:r>
            <w:r>
              <w:rPr>
                <w:b/>
                <w:spacing w:val="-4"/>
                <w:sz w:val="20"/>
              </w:rPr>
              <w:t> </w:t>
            </w:r>
            <w:r>
              <w:rPr>
                <w:b/>
                <w:sz w:val="20"/>
              </w:rPr>
              <w:t>BP</w:t>
            </w:r>
            <w:r>
              <w:rPr>
                <w:b/>
                <w:spacing w:val="-4"/>
                <w:sz w:val="20"/>
              </w:rPr>
              <w:t> </w:t>
            </w:r>
            <w:r>
              <w:rPr>
                <w:b/>
                <w:spacing w:val="-10"/>
                <w:sz w:val="20"/>
              </w:rPr>
              <w:t>2</w:t>
            </w:r>
          </w:p>
        </w:tc>
        <w:tc>
          <w:tcPr>
            <w:tcW w:w="1411" w:type="dxa"/>
            <w:shd w:val="clear" w:color="auto" w:fill="D9D9D9"/>
          </w:tcPr>
          <w:p>
            <w:pPr>
              <w:pStyle w:val="TableParagraph"/>
              <w:ind w:left="148" w:right="138"/>
              <w:jc w:val="center"/>
              <w:rPr>
                <w:b/>
                <w:sz w:val="20"/>
              </w:rPr>
            </w:pPr>
            <w:r>
              <w:rPr>
                <w:b/>
                <w:spacing w:val="-2"/>
                <w:sz w:val="20"/>
              </w:rPr>
              <w:t>Domain</w:t>
            </w:r>
          </w:p>
          <w:p>
            <w:pPr>
              <w:pStyle w:val="TableParagraph"/>
              <w:spacing w:before="20"/>
              <w:ind w:left="148" w:right="140"/>
              <w:jc w:val="center"/>
              <w:rPr>
                <w:b/>
                <w:sz w:val="20"/>
              </w:rPr>
            </w:pPr>
            <w:r>
              <w:rPr>
                <w:b/>
                <w:sz w:val="20"/>
              </w:rPr>
              <w:t>Weight:</w:t>
            </w:r>
            <w:r>
              <w:rPr>
                <w:b/>
                <w:spacing w:val="-7"/>
                <w:sz w:val="20"/>
              </w:rPr>
              <w:t> </w:t>
            </w:r>
            <w:r>
              <w:rPr>
                <w:b/>
                <w:spacing w:val="-5"/>
                <w:sz w:val="20"/>
              </w:rPr>
              <w:t>BP3</w:t>
            </w:r>
          </w:p>
        </w:tc>
        <w:tc>
          <w:tcPr>
            <w:tcW w:w="1555" w:type="dxa"/>
            <w:shd w:val="clear" w:color="auto" w:fill="D9D9D9"/>
          </w:tcPr>
          <w:p>
            <w:pPr>
              <w:pStyle w:val="TableParagraph"/>
              <w:ind w:left="109" w:right="103"/>
              <w:jc w:val="center"/>
              <w:rPr>
                <w:b/>
                <w:sz w:val="20"/>
              </w:rPr>
            </w:pPr>
            <w:r>
              <w:rPr>
                <w:b/>
                <w:spacing w:val="-2"/>
                <w:sz w:val="20"/>
              </w:rPr>
              <w:t>Domain</w:t>
            </w:r>
          </w:p>
          <w:p>
            <w:pPr>
              <w:pStyle w:val="TableParagraph"/>
              <w:spacing w:before="20"/>
              <w:ind w:left="109" w:right="105"/>
              <w:jc w:val="center"/>
              <w:rPr>
                <w:b/>
                <w:sz w:val="20"/>
              </w:rPr>
            </w:pPr>
            <w:r>
              <w:rPr>
                <w:b/>
                <w:sz w:val="20"/>
              </w:rPr>
              <w:t>Weight:</w:t>
            </w:r>
            <w:r>
              <w:rPr>
                <w:b/>
                <w:spacing w:val="-6"/>
                <w:sz w:val="20"/>
              </w:rPr>
              <w:t> </w:t>
            </w:r>
            <w:r>
              <w:rPr>
                <w:b/>
                <w:sz w:val="20"/>
              </w:rPr>
              <w:t>BP</w:t>
            </w:r>
            <w:r>
              <w:rPr>
                <w:b/>
                <w:spacing w:val="-5"/>
                <w:sz w:val="20"/>
              </w:rPr>
              <w:t> </w:t>
            </w:r>
            <w:r>
              <w:rPr>
                <w:b/>
                <w:sz w:val="20"/>
              </w:rPr>
              <w:t>4-</w:t>
            </w:r>
            <w:r>
              <w:rPr>
                <w:b/>
                <w:spacing w:val="-10"/>
                <w:sz w:val="20"/>
              </w:rPr>
              <w:t>5</w:t>
            </w:r>
          </w:p>
        </w:tc>
      </w:tr>
      <w:tr>
        <w:trPr>
          <w:trHeight w:val="299" w:hRule="atLeast"/>
        </w:trPr>
        <w:tc>
          <w:tcPr>
            <w:tcW w:w="3193" w:type="dxa"/>
            <w:gridSpan w:val="2"/>
            <w:shd w:val="clear" w:color="auto" w:fill="DCE6F0"/>
          </w:tcPr>
          <w:p>
            <w:pPr>
              <w:pStyle w:val="TableParagraph"/>
              <w:spacing w:before="26"/>
              <w:ind w:left="107"/>
              <w:rPr>
                <w:i/>
                <w:sz w:val="20"/>
              </w:rPr>
            </w:pPr>
            <w:r>
              <w:rPr>
                <w:i/>
                <w:sz w:val="20"/>
              </w:rPr>
              <w:t>Clinical</w:t>
            </w:r>
            <w:r>
              <w:rPr>
                <w:i/>
                <w:spacing w:val="-8"/>
                <w:sz w:val="20"/>
              </w:rPr>
              <w:t> </w:t>
            </w:r>
            <w:r>
              <w:rPr>
                <w:i/>
                <w:sz w:val="20"/>
              </w:rPr>
              <w:t>Quality</w:t>
            </w:r>
            <w:r>
              <w:rPr>
                <w:i/>
                <w:spacing w:val="-8"/>
                <w:sz w:val="20"/>
              </w:rPr>
              <w:t> </w:t>
            </w:r>
            <w:r>
              <w:rPr>
                <w:i/>
                <w:spacing w:val="-2"/>
                <w:sz w:val="20"/>
              </w:rPr>
              <w:t>Measures</w:t>
            </w:r>
          </w:p>
        </w:tc>
        <w:tc>
          <w:tcPr>
            <w:tcW w:w="1481" w:type="dxa"/>
          </w:tcPr>
          <w:p>
            <w:pPr>
              <w:pStyle w:val="TableParagraph"/>
              <w:rPr>
                <w:sz w:val="20"/>
              </w:rPr>
            </w:pPr>
          </w:p>
        </w:tc>
        <w:tc>
          <w:tcPr>
            <w:tcW w:w="1495" w:type="dxa"/>
          </w:tcPr>
          <w:p>
            <w:pPr>
              <w:pStyle w:val="TableParagraph"/>
              <w:rPr>
                <w:sz w:val="20"/>
              </w:rPr>
            </w:pPr>
          </w:p>
        </w:tc>
        <w:tc>
          <w:tcPr>
            <w:tcW w:w="1411" w:type="dxa"/>
          </w:tcPr>
          <w:p>
            <w:pPr>
              <w:pStyle w:val="TableParagraph"/>
              <w:rPr>
                <w:sz w:val="20"/>
              </w:rPr>
            </w:pPr>
          </w:p>
        </w:tc>
        <w:tc>
          <w:tcPr>
            <w:tcW w:w="1555" w:type="dxa"/>
          </w:tcPr>
          <w:p>
            <w:pPr>
              <w:pStyle w:val="TableParagraph"/>
              <w:rPr>
                <w:sz w:val="20"/>
              </w:rPr>
            </w:pPr>
          </w:p>
        </w:tc>
      </w:tr>
      <w:tr>
        <w:trPr>
          <w:trHeight w:val="299" w:hRule="atLeast"/>
        </w:trPr>
        <w:tc>
          <w:tcPr>
            <w:tcW w:w="406" w:type="dxa"/>
            <w:shd w:val="clear" w:color="auto" w:fill="DCE6F0"/>
          </w:tcPr>
          <w:p>
            <w:pPr>
              <w:pStyle w:val="TableParagraph"/>
              <w:spacing w:before="26"/>
              <w:ind w:right="143"/>
              <w:jc w:val="right"/>
              <w:rPr>
                <w:sz w:val="20"/>
              </w:rPr>
            </w:pPr>
            <w:r>
              <w:rPr>
                <w:w w:val="99"/>
                <w:sz w:val="20"/>
              </w:rPr>
              <w:t>1</w:t>
            </w:r>
          </w:p>
        </w:tc>
        <w:tc>
          <w:tcPr>
            <w:tcW w:w="2787" w:type="dxa"/>
            <w:shd w:val="clear" w:color="auto" w:fill="DCE6F0"/>
          </w:tcPr>
          <w:p>
            <w:pPr>
              <w:pStyle w:val="TableParagraph"/>
              <w:spacing w:before="26"/>
              <w:ind w:left="107"/>
              <w:rPr>
                <w:sz w:val="20"/>
              </w:rPr>
            </w:pPr>
            <w:r>
              <w:rPr>
                <w:sz w:val="20"/>
              </w:rPr>
              <w:t>Prevention</w:t>
            </w:r>
            <w:r>
              <w:rPr>
                <w:spacing w:val="-6"/>
                <w:sz w:val="20"/>
              </w:rPr>
              <w:t> </w:t>
            </w:r>
            <w:r>
              <w:rPr>
                <w:sz w:val="20"/>
              </w:rPr>
              <w:t>&amp;</w:t>
            </w:r>
            <w:r>
              <w:rPr>
                <w:spacing w:val="-8"/>
                <w:sz w:val="20"/>
              </w:rPr>
              <w:t> </w:t>
            </w:r>
            <w:r>
              <w:rPr>
                <w:spacing w:val="-2"/>
                <w:sz w:val="20"/>
              </w:rPr>
              <w:t>Wellness</w:t>
            </w:r>
          </w:p>
        </w:tc>
        <w:tc>
          <w:tcPr>
            <w:tcW w:w="1481" w:type="dxa"/>
            <w:vMerge w:val="restart"/>
          </w:tcPr>
          <w:p>
            <w:pPr>
              <w:pStyle w:val="TableParagraph"/>
              <w:spacing w:before="58"/>
              <w:ind w:left="280" w:right="272"/>
              <w:jc w:val="center"/>
              <w:rPr>
                <w:sz w:val="20"/>
              </w:rPr>
            </w:pPr>
            <w:r>
              <w:rPr>
                <w:spacing w:val="-4"/>
                <w:sz w:val="20"/>
              </w:rPr>
              <w:t>100%</w:t>
            </w:r>
          </w:p>
          <w:p>
            <w:pPr>
              <w:pStyle w:val="TableParagraph"/>
              <w:spacing w:before="17"/>
              <w:ind w:left="280" w:right="279"/>
              <w:jc w:val="center"/>
              <w:rPr>
                <w:sz w:val="20"/>
              </w:rPr>
            </w:pPr>
            <w:r>
              <w:rPr>
                <w:sz w:val="20"/>
              </w:rPr>
              <w:t>(P4R</w:t>
            </w:r>
            <w:r>
              <w:rPr>
                <w:spacing w:val="-3"/>
                <w:sz w:val="20"/>
              </w:rPr>
              <w:t> </w:t>
            </w:r>
            <w:r>
              <w:rPr>
                <w:spacing w:val="-2"/>
                <w:sz w:val="20"/>
              </w:rPr>
              <w:t>only)</w:t>
            </w:r>
          </w:p>
        </w:tc>
        <w:tc>
          <w:tcPr>
            <w:tcW w:w="1495" w:type="dxa"/>
          </w:tcPr>
          <w:p>
            <w:pPr>
              <w:pStyle w:val="TableParagraph"/>
              <w:spacing w:before="26"/>
              <w:ind w:left="160" w:right="156"/>
              <w:jc w:val="center"/>
              <w:rPr>
                <w:sz w:val="20"/>
              </w:rPr>
            </w:pPr>
            <w:r>
              <w:rPr>
                <w:spacing w:val="-5"/>
                <w:sz w:val="20"/>
              </w:rPr>
              <w:t>85%</w:t>
            </w:r>
          </w:p>
        </w:tc>
        <w:tc>
          <w:tcPr>
            <w:tcW w:w="1411" w:type="dxa"/>
          </w:tcPr>
          <w:p>
            <w:pPr>
              <w:pStyle w:val="TableParagraph"/>
              <w:spacing w:before="26"/>
              <w:ind w:left="148" w:right="138"/>
              <w:jc w:val="center"/>
              <w:rPr>
                <w:sz w:val="20"/>
              </w:rPr>
            </w:pPr>
            <w:r>
              <w:rPr>
                <w:spacing w:val="-5"/>
                <w:sz w:val="20"/>
              </w:rPr>
              <w:t>65%</w:t>
            </w:r>
          </w:p>
        </w:tc>
        <w:tc>
          <w:tcPr>
            <w:tcW w:w="1555" w:type="dxa"/>
          </w:tcPr>
          <w:p>
            <w:pPr>
              <w:pStyle w:val="TableParagraph"/>
              <w:spacing w:before="26"/>
              <w:ind w:left="591"/>
              <w:rPr>
                <w:sz w:val="20"/>
              </w:rPr>
            </w:pPr>
            <w:r>
              <w:rPr>
                <w:spacing w:val="-5"/>
                <w:sz w:val="20"/>
              </w:rPr>
              <w:t>45%</w:t>
            </w:r>
          </w:p>
        </w:tc>
      </w:tr>
      <w:tr>
        <w:trPr>
          <w:trHeight w:val="299" w:hRule="atLeast"/>
        </w:trPr>
        <w:tc>
          <w:tcPr>
            <w:tcW w:w="406" w:type="dxa"/>
            <w:shd w:val="clear" w:color="auto" w:fill="DCE6F0"/>
          </w:tcPr>
          <w:p>
            <w:pPr>
              <w:pStyle w:val="TableParagraph"/>
              <w:spacing w:before="26"/>
              <w:ind w:right="143"/>
              <w:jc w:val="right"/>
              <w:rPr>
                <w:sz w:val="20"/>
              </w:rPr>
            </w:pPr>
            <w:r>
              <w:rPr>
                <w:w w:val="99"/>
                <w:sz w:val="20"/>
              </w:rPr>
              <w:t>2</w:t>
            </w:r>
          </w:p>
        </w:tc>
        <w:tc>
          <w:tcPr>
            <w:tcW w:w="2787" w:type="dxa"/>
            <w:shd w:val="clear" w:color="auto" w:fill="DCE6F0"/>
          </w:tcPr>
          <w:p>
            <w:pPr>
              <w:pStyle w:val="TableParagraph"/>
              <w:spacing w:before="26"/>
              <w:ind w:left="107"/>
              <w:rPr>
                <w:sz w:val="20"/>
              </w:rPr>
            </w:pPr>
            <w:r>
              <w:rPr>
                <w:sz w:val="20"/>
              </w:rPr>
              <w:t>Care</w:t>
            </w:r>
            <w:r>
              <w:rPr>
                <w:spacing w:val="-5"/>
                <w:sz w:val="20"/>
              </w:rPr>
              <w:t> </w:t>
            </w:r>
            <w:r>
              <w:rPr>
                <w:spacing w:val="-2"/>
                <w:sz w:val="20"/>
              </w:rPr>
              <w:t>Integration</w:t>
            </w:r>
          </w:p>
        </w:tc>
        <w:tc>
          <w:tcPr>
            <w:tcW w:w="1481" w:type="dxa"/>
            <w:vMerge/>
            <w:tcBorders>
              <w:top w:val="nil"/>
            </w:tcBorders>
          </w:tcPr>
          <w:p>
            <w:pPr>
              <w:rPr>
                <w:sz w:val="2"/>
                <w:szCs w:val="2"/>
              </w:rPr>
            </w:pPr>
          </w:p>
        </w:tc>
        <w:tc>
          <w:tcPr>
            <w:tcW w:w="1495" w:type="dxa"/>
          </w:tcPr>
          <w:p>
            <w:pPr>
              <w:pStyle w:val="TableParagraph"/>
              <w:spacing w:before="26"/>
              <w:ind w:left="160" w:right="156"/>
              <w:jc w:val="center"/>
              <w:rPr>
                <w:sz w:val="20"/>
              </w:rPr>
            </w:pPr>
            <w:r>
              <w:rPr>
                <w:spacing w:val="-2"/>
                <w:sz w:val="20"/>
              </w:rPr>
              <w:t>-</w:t>
            </w:r>
            <w:r>
              <w:rPr>
                <w:spacing w:val="-12"/>
                <w:sz w:val="20"/>
              </w:rPr>
              <w:t>-</w:t>
            </w:r>
          </w:p>
        </w:tc>
        <w:tc>
          <w:tcPr>
            <w:tcW w:w="1411" w:type="dxa"/>
          </w:tcPr>
          <w:p>
            <w:pPr>
              <w:pStyle w:val="TableParagraph"/>
              <w:spacing w:before="26"/>
              <w:ind w:left="148" w:right="138"/>
              <w:jc w:val="center"/>
              <w:rPr>
                <w:sz w:val="20"/>
              </w:rPr>
            </w:pPr>
            <w:r>
              <w:rPr>
                <w:spacing w:val="-5"/>
                <w:sz w:val="20"/>
              </w:rPr>
              <w:t>20%</w:t>
            </w:r>
          </w:p>
        </w:tc>
        <w:tc>
          <w:tcPr>
            <w:tcW w:w="1555" w:type="dxa"/>
          </w:tcPr>
          <w:p>
            <w:pPr>
              <w:pStyle w:val="TableParagraph"/>
              <w:spacing w:before="26"/>
              <w:ind w:left="591"/>
              <w:rPr>
                <w:sz w:val="20"/>
              </w:rPr>
            </w:pPr>
            <w:r>
              <w:rPr>
                <w:spacing w:val="-5"/>
                <w:sz w:val="20"/>
              </w:rPr>
              <w:t>40%</w:t>
            </w:r>
          </w:p>
        </w:tc>
      </w:tr>
      <w:tr>
        <w:trPr>
          <w:trHeight w:val="316" w:hRule="atLeast"/>
        </w:trPr>
        <w:tc>
          <w:tcPr>
            <w:tcW w:w="3193" w:type="dxa"/>
            <w:gridSpan w:val="2"/>
            <w:shd w:val="clear" w:color="auto" w:fill="DCE6F0"/>
          </w:tcPr>
          <w:p>
            <w:pPr>
              <w:pStyle w:val="TableParagraph"/>
              <w:spacing w:before="34"/>
              <w:ind w:left="107"/>
              <w:rPr>
                <w:i/>
                <w:sz w:val="20"/>
              </w:rPr>
            </w:pPr>
            <w:r>
              <w:rPr>
                <w:i/>
                <w:sz w:val="20"/>
              </w:rPr>
              <w:t>Patient</w:t>
            </w:r>
            <w:r>
              <w:rPr>
                <w:i/>
                <w:spacing w:val="-8"/>
                <w:sz w:val="20"/>
              </w:rPr>
              <w:t> </w:t>
            </w:r>
            <w:r>
              <w:rPr>
                <w:i/>
                <w:sz w:val="20"/>
              </w:rPr>
              <w:t>Experience</w:t>
            </w:r>
            <w:r>
              <w:rPr>
                <w:i/>
                <w:spacing w:val="-7"/>
                <w:sz w:val="20"/>
              </w:rPr>
              <w:t> </w:t>
            </w:r>
            <w:r>
              <w:rPr>
                <w:i/>
                <w:spacing w:val="-2"/>
                <w:sz w:val="20"/>
              </w:rPr>
              <w:t>Surveys</w:t>
            </w:r>
          </w:p>
        </w:tc>
        <w:tc>
          <w:tcPr>
            <w:tcW w:w="1481" w:type="dxa"/>
          </w:tcPr>
          <w:p>
            <w:pPr>
              <w:pStyle w:val="TableParagraph"/>
              <w:rPr>
                <w:sz w:val="20"/>
              </w:rPr>
            </w:pPr>
          </w:p>
        </w:tc>
        <w:tc>
          <w:tcPr>
            <w:tcW w:w="1495" w:type="dxa"/>
          </w:tcPr>
          <w:p>
            <w:pPr>
              <w:pStyle w:val="TableParagraph"/>
              <w:rPr>
                <w:sz w:val="20"/>
              </w:rPr>
            </w:pPr>
          </w:p>
        </w:tc>
        <w:tc>
          <w:tcPr>
            <w:tcW w:w="1411" w:type="dxa"/>
          </w:tcPr>
          <w:p>
            <w:pPr>
              <w:pStyle w:val="TableParagraph"/>
              <w:rPr>
                <w:sz w:val="20"/>
              </w:rPr>
            </w:pPr>
          </w:p>
        </w:tc>
        <w:tc>
          <w:tcPr>
            <w:tcW w:w="1555" w:type="dxa"/>
          </w:tcPr>
          <w:p>
            <w:pPr>
              <w:pStyle w:val="TableParagraph"/>
              <w:rPr>
                <w:sz w:val="20"/>
              </w:rPr>
            </w:pPr>
          </w:p>
        </w:tc>
      </w:tr>
      <w:tr>
        <w:trPr>
          <w:trHeight w:val="496" w:hRule="atLeast"/>
        </w:trPr>
        <w:tc>
          <w:tcPr>
            <w:tcW w:w="406" w:type="dxa"/>
            <w:shd w:val="clear" w:color="auto" w:fill="DCE6F0"/>
          </w:tcPr>
          <w:p>
            <w:pPr>
              <w:pStyle w:val="TableParagraph"/>
              <w:spacing w:before="125"/>
              <w:ind w:right="143"/>
              <w:jc w:val="right"/>
              <w:rPr>
                <w:sz w:val="20"/>
              </w:rPr>
            </w:pPr>
            <w:r>
              <w:rPr>
                <w:w w:val="99"/>
                <w:sz w:val="20"/>
              </w:rPr>
              <w:t>3</w:t>
            </w:r>
          </w:p>
        </w:tc>
        <w:tc>
          <w:tcPr>
            <w:tcW w:w="2787" w:type="dxa"/>
            <w:shd w:val="clear" w:color="auto" w:fill="DCE6F0"/>
          </w:tcPr>
          <w:p>
            <w:pPr>
              <w:pStyle w:val="TableParagraph"/>
              <w:ind w:left="107"/>
              <w:rPr>
                <w:sz w:val="20"/>
              </w:rPr>
            </w:pPr>
            <w:r>
              <w:rPr>
                <w:sz w:val="20"/>
              </w:rPr>
              <w:t>Overall</w:t>
            </w:r>
            <w:r>
              <w:rPr>
                <w:spacing w:val="-6"/>
                <w:sz w:val="20"/>
              </w:rPr>
              <w:t> </w:t>
            </w:r>
            <w:r>
              <w:rPr>
                <w:sz w:val="20"/>
              </w:rPr>
              <w:t>Rating</w:t>
            </w:r>
            <w:r>
              <w:rPr>
                <w:spacing w:val="-7"/>
                <w:sz w:val="20"/>
              </w:rPr>
              <w:t> </w:t>
            </w:r>
            <w:r>
              <w:rPr>
                <w:sz w:val="20"/>
              </w:rPr>
              <w:t>and</w:t>
            </w:r>
            <w:r>
              <w:rPr>
                <w:spacing w:val="-3"/>
                <w:sz w:val="20"/>
              </w:rPr>
              <w:t> </w:t>
            </w:r>
            <w:r>
              <w:rPr>
                <w:spacing w:val="-4"/>
                <w:sz w:val="20"/>
              </w:rPr>
              <w:t>Care</w:t>
            </w:r>
          </w:p>
          <w:p>
            <w:pPr>
              <w:pStyle w:val="TableParagraph"/>
              <w:spacing w:line="229" w:lineRule="exact" w:before="17"/>
              <w:ind w:left="107"/>
              <w:rPr>
                <w:sz w:val="20"/>
              </w:rPr>
            </w:pPr>
            <w:r>
              <w:rPr>
                <w:spacing w:val="-2"/>
                <w:sz w:val="20"/>
              </w:rPr>
              <w:t>Delivery</w:t>
            </w:r>
          </w:p>
        </w:tc>
        <w:tc>
          <w:tcPr>
            <w:tcW w:w="1481" w:type="dxa"/>
          </w:tcPr>
          <w:p>
            <w:pPr>
              <w:pStyle w:val="TableParagraph"/>
              <w:spacing w:before="125"/>
              <w:ind w:left="152" w:right="148"/>
              <w:jc w:val="center"/>
              <w:rPr>
                <w:sz w:val="20"/>
              </w:rPr>
            </w:pPr>
            <w:r>
              <w:rPr>
                <w:spacing w:val="-2"/>
                <w:sz w:val="20"/>
              </w:rPr>
              <w:t>-</w:t>
            </w:r>
            <w:r>
              <w:rPr>
                <w:spacing w:val="-12"/>
                <w:sz w:val="20"/>
              </w:rPr>
              <w:t>-</w:t>
            </w:r>
          </w:p>
        </w:tc>
        <w:tc>
          <w:tcPr>
            <w:tcW w:w="1495" w:type="dxa"/>
          </w:tcPr>
          <w:p>
            <w:pPr>
              <w:pStyle w:val="TableParagraph"/>
              <w:spacing w:before="125"/>
              <w:ind w:left="160" w:right="156"/>
              <w:jc w:val="center"/>
              <w:rPr>
                <w:sz w:val="20"/>
              </w:rPr>
            </w:pPr>
            <w:r>
              <w:rPr>
                <w:spacing w:val="-5"/>
                <w:sz w:val="20"/>
              </w:rPr>
              <w:t>15%</w:t>
            </w:r>
          </w:p>
        </w:tc>
        <w:tc>
          <w:tcPr>
            <w:tcW w:w="1411" w:type="dxa"/>
          </w:tcPr>
          <w:p>
            <w:pPr>
              <w:pStyle w:val="TableParagraph"/>
              <w:spacing w:before="125"/>
              <w:ind w:left="148" w:right="138"/>
              <w:jc w:val="center"/>
              <w:rPr>
                <w:sz w:val="20"/>
              </w:rPr>
            </w:pPr>
            <w:r>
              <w:rPr>
                <w:spacing w:val="-5"/>
                <w:sz w:val="20"/>
              </w:rPr>
              <w:t>15%</w:t>
            </w:r>
          </w:p>
        </w:tc>
        <w:tc>
          <w:tcPr>
            <w:tcW w:w="1555" w:type="dxa"/>
          </w:tcPr>
          <w:p>
            <w:pPr>
              <w:pStyle w:val="TableParagraph"/>
              <w:spacing w:before="125"/>
              <w:ind w:left="565"/>
              <w:rPr>
                <w:sz w:val="20"/>
              </w:rPr>
            </w:pPr>
            <w:r>
              <w:rPr>
                <w:spacing w:val="-4"/>
                <w:sz w:val="20"/>
              </w:rPr>
              <w:t>7.5%</w:t>
            </w:r>
          </w:p>
        </w:tc>
      </w:tr>
      <w:tr>
        <w:trPr>
          <w:trHeight w:val="496" w:hRule="atLeast"/>
        </w:trPr>
        <w:tc>
          <w:tcPr>
            <w:tcW w:w="406" w:type="dxa"/>
            <w:shd w:val="clear" w:color="auto" w:fill="DCE6F0"/>
          </w:tcPr>
          <w:p>
            <w:pPr>
              <w:pStyle w:val="TableParagraph"/>
              <w:spacing w:before="125"/>
              <w:ind w:right="143"/>
              <w:jc w:val="right"/>
              <w:rPr>
                <w:sz w:val="20"/>
              </w:rPr>
            </w:pPr>
            <w:r>
              <w:rPr>
                <w:w w:val="99"/>
                <w:sz w:val="20"/>
              </w:rPr>
              <w:t>4</w:t>
            </w:r>
          </w:p>
        </w:tc>
        <w:tc>
          <w:tcPr>
            <w:tcW w:w="2787" w:type="dxa"/>
            <w:shd w:val="clear" w:color="auto" w:fill="DCE6F0"/>
          </w:tcPr>
          <w:p>
            <w:pPr>
              <w:pStyle w:val="TableParagraph"/>
              <w:ind w:left="107"/>
              <w:rPr>
                <w:sz w:val="20"/>
              </w:rPr>
            </w:pPr>
            <w:r>
              <w:rPr>
                <w:spacing w:val="-2"/>
                <w:sz w:val="20"/>
              </w:rPr>
              <w:t>Person-centered</w:t>
            </w:r>
            <w:r>
              <w:rPr>
                <w:spacing w:val="13"/>
                <w:sz w:val="20"/>
              </w:rPr>
              <w:t> </w:t>
            </w:r>
            <w:r>
              <w:rPr>
                <w:spacing w:val="-2"/>
                <w:sz w:val="20"/>
              </w:rPr>
              <w:t>Integrated</w:t>
            </w:r>
          </w:p>
          <w:p>
            <w:pPr>
              <w:pStyle w:val="TableParagraph"/>
              <w:spacing w:line="229" w:lineRule="exact" w:before="17"/>
              <w:ind w:left="107"/>
              <w:rPr>
                <w:sz w:val="20"/>
              </w:rPr>
            </w:pPr>
            <w:r>
              <w:rPr>
                <w:spacing w:val="-4"/>
                <w:sz w:val="20"/>
              </w:rPr>
              <w:t>Care</w:t>
            </w:r>
          </w:p>
        </w:tc>
        <w:tc>
          <w:tcPr>
            <w:tcW w:w="1481" w:type="dxa"/>
          </w:tcPr>
          <w:p>
            <w:pPr>
              <w:pStyle w:val="TableParagraph"/>
              <w:spacing w:before="125"/>
              <w:ind w:left="152" w:right="148"/>
              <w:jc w:val="center"/>
              <w:rPr>
                <w:sz w:val="20"/>
              </w:rPr>
            </w:pPr>
            <w:r>
              <w:rPr>
                <w:spacing w:val="-2"/>
                <w:sz w:val="20"/>
              </w:rPr>
              <w:t>-</w:t>
            </w:r>
            <w:r>
              <w:rPr>
                <w:spacing w:val="-12"/>
                <w:sz w:val="20"/>
              </w:rPr>
              <w:t>-</w:t>
            </w:r>
          </w:p>
        </w:tc>
        <w:tc>
          <w:tcPr>
            <w:tcW w:w="1495" w:type="dxa"/>
          </w:tcPr>
          <w:p>
            <w:pPr>
              <w:pStyle w:val="TableParagraph"/>
              <w:spacing w:before="125"/>
              <w:ind w:left="160" w:right="156"/>
              <w:jc w:val="center"/>
              <w:rPr>
                <w:sz w:val="20"/>
              </w:rPr>
            </w:pPr>
            <w:r>
              <w:rPr>
                <w:spacing w:val="-2"/>
                <w:sz w:val="20"/>
              </w:rPr>
              <w:t>-</w:t>
            </w:r>
            <w:r>
              <w:rPr>
                <w:spacing w:val="-12"/>
                <w:sz w:val="20"/>
              </w:rPr>
              <w:t>-</w:t>
            </w:r>
          </w:p>
        </w:tc>
        <w:tc>
          <w:tcPr>
            <w:tcW w:w="1411" w:type="dxa"/>
          </w:tcPr>
          <w:p>
            <w:pPr>
              <w:pStyle w:val="TableParagraph"/>
              <w:ind w:left="147" w:right="140"/>
              <w:jc w:val="center"/>
              <w:rPr>
                <w:sz w:val="20"/>
              </w:rPr>
            </w:pPr>
            <w:r>
              <w:rPr>
                <w:spacing w:val="-2"/>
                <w:sz w:val="20"/>
              </w:rPr>
              <w:t>-</w:t>
            </w:r>
            <w:r>
              <w:rPr>
                <w:spacing w:val="-12"/>
                <w:sz w:val="20"/>
              </w:rPr>
              <w:t>-</w:t>
            </w:r>
          </w:p>
        </w:tc>
        <w:tc>
          <w:tcPr>
            <w:tcW w:w="1555" w:type="dxa"/>
          </w:tcPr>
          <w:p>
            <w:pPr>
              <w:pStyle w:val="TableParagraph"/>
              <w:spacing w:before="125"/>
              <w:ind w:left="565"/>
              <w:rPr>
                <w:sz w:val="20"/>
              </w:rPr>
            </w:pPr>
            <w:r>
              <w:rPr>
                <w:spacing w:val="-4"/>
                <w:sz w:val="20"/>
              </w:rPr>
              <w:t>7.5%</w:t>
            </w:r>
          </w:p>
        </w:tc>
      </w:tr>
    </w:tbl>
    <w:p>
      <w:pPr>
        <w:pStyle w:val="BodyText"/>
        <w:rPr>
          <w:b/>
          <w:sz w:val="20"/>
        </w:rPr>
      </w:pPr>
    </w:p>
    <w:p>
      <w:pPr>
        <w:pStyle w:val="BodyText"/>
        <w:spacing w:before="6"/>
        <w:rPr>
          <w:b/>
          <w:sz w:val="23"/>
        </w:rPr>
      </w:pPr>
      <w:r>
        <w:rPr/>
        <mc:AlternateContent>
          <mc:Choice Requires="wps">
            <w:drawing>
              <wp:anchor distT="0" distB="0" distL="0" distR="0" allowOverlap="1" layoutInCell="1" locked="0" behindDoc="1" simplePos="0" relativeHeight="488009728">
                <wp:simplePos x="0" y="0"/>
                <wp:positionH relativeFrom="page">
                  <wp:posOffset>905255</wp:posOffset>
                </wp:positionH>
                <wp:positionV relativeFrom="paragraph">
                  <wp:posOffset>187210</wp:posOffset>
                </wp:positionV>
                <wp:extent cx="5953125" cy="6350"/>
                <wp:effectExtent l="0" t="0" r="0" b="0"/>
                <wp:wrapTopAndBottom/>
                <wp:docPr id="885" name="Graphic 885"/>
                <wp:cNvGraphicFramePr>
                  <a:graphicFrameLocks/>
                </wp:cNvGraphicFramePr>
                <a:graphic>
                  <a:graphicData uri="http://schemas.microsoft.com/office/word/2010/wordprocessingShape">
                    <wps:wsp>
                      <wps:cNvPr id="885" name="Graphic 885"/>
                      <wps:cNvSpPr/>
                      <wps:spPr>
                        <a:xfrm>
                          <a:off x="0" y="0"/>
                          <a:ext cx="5953125" cy="6350"/>
                        </a:xfrm>
                        <a:custGeom>
                          <a:avLst/>
                          <a:gdLst/>
                          <a:ahLst/>
                          <a:cxnLst/>
                          <a:rect l="l" t="t" r="r" b="b"/>
                          <a:pathLst>
                            <a:path w="5953125" h="6350">
                              <a:moveTo>
                                <a:pt x="5952744" y="0"/>
                              </a:moveTo>
                              <a:lnTo>
                                <a:pt x="0" y="0"/>
                              </a:lnTo>
                              <a:lnTo>
                                <a:pt x="0" y="6096"/>
                              </a:lnTo>
                              <a:lnTo>
                                <a:pt x="5952744" y="6096"/>
                              </a:lnTo>
                              <a:lnTo>
                                <a:pt x="5952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1.279999pt;margin-top:14.740976pt;width:468.72pt;height:.48pt;mso-position-horizontal-relative:page;mso-position-vertical-relative:paragraph;z-index:-15306752;mso-wrap-distance-left:0;mso-wrap-distance-right:0" id="docshape102" filled="true" fillcolor="#000000" stroked="false">
                <v:fill type="solid"/>
                <w10:wrap type="topAndBottom"/>
              </v:rect>
            </w:pict>
          </mc:Fallback>
        </mc:AlternateContent>
      </w:r>
    </w:p>
    <w:p>
      <w:pPr>
        <w:pStyle w:val="BodyText"/>
        <w:rPr>
          <w:b/>
          <w:sz w:val="28"/>
        </w:rPr>
      </w:pPr>
    </w:p>
    <w:p>
      <w:pPr>
        <w:spacing w:line="240" w:lineRule="auto" w:before="92"/>
        <w:ind w:left="1220" w:right="1092" w:firstLine="0"/>
        <w:jc w:val="both"/>
        <w:rPr>
          <w:sz w:val="22"/>
        </w:rPr>
      </w:pPr>
      <w:r>
        <w:rPr>
          <w:sz w:val="22"/>
        </w:rPr>
        <w:t>Appendix</w:t>
      </w:r>
      <w:r>
        <w:rPr>
          <w:spacing w:val="-9"/>
          <w:sz w:val="22"/>
        </w:rPr>
        <w:t> </w:t>
      </w:r>
      <w:r>
        <w:rPr>
          <w:sz w:val="22"/>
        </w:rPr>
        <w:t>D</w:t>
      </w:r>
      <w:r>
        <w:rPr>
          <w:spacing w:val="-7"/>
          <w:sz w:val="22"/>
        </w:rPr>
        <w:t> </w:t>
      </w:r>
      <w:r>
        <w:rPr>
          <w:sz w:val="22"/>
        </w:rPr>
        <w:t>displays</w:t>
      </w:r>
      <w:r>
        <w:rPr>
          <w:spacing w:val="-8"/>
          <w:sz w:val="22"/>
        </w:rPr>
        <w:t> </w:t>
      </w:r>
      <w:r>
        <w:rPr>
          <w:sz w:val="22"/>
        </w:rPr>
        <w:t>the</w:t>
      </w:r>
      <w:r>
        <w:rPr>
          <w:spacing w:val="-8"/>
          <w:sz w:val="22"/>
        </w:rPr>
        <w:t> </w:t>
      </w:r>
      <w:r>
        <w:rPr>
          <w:sz w:val="22"/>
        </w:rPr>
        <w:t>Clinical</w:t>
      </w:r>
      <w:r>
        <w:rPr>
          <w:spacing w:val="-7"/>
          <w:sz w:val="22"/>
        </w:rPr>
        <w:t> </w:t>
      </w:r>
      <w:r>
        <w:rPr>
          <w:sz w:val="22"/>
        </w:rPr>
        <w:t>Quality</w:t>
      </w:r>
      <w:r>
        <w:rPr>
          <w:spacing w:val="-9"/>
          <w:sz w:val="22"/>
        </w:rPr>
        <w:t> </w:t>
      </w:r>
      <w:r>
        <w:rPr>
          <w:sz w:val="22"/>
        </w:rPr>
        <w:t>Measures,</w:t>
      </w:r>
      <w:r>
        <w:rPr>
          <w:spacing w:val="-9"/>
          <w:sz w:val="22"/>
        </w:rPr>
        <w:t> </w:t>
      </w:r>
      <w:r>
        <w:rPr>
          <w:sz w:val="22"/>
        </w:rPr>
        <w:t>including</w:t>
      </w:r>
      <w:r>
        <w:rPr>
          <w:spacing w:val="-9"/>
          <w:sz w:val="22"/>
        </w:rPr>
        <w:t> </w:t>
      </w:r>
      <w:r>
        <w:rPr>
          <w:sz w:val="22"/>
        </w:rPr>
        <w:t>an</w:t>
      </w:r>
      <w:r>
        <w:rPr>
          <w:spacing w:val="-8"/>
          <w:sz w:val="22"/>
        </w:rPr>
        <w:t> </w:t>
      </w:r>
      <w:r>
        <w:rPr>
          <w:sz w:val="22"/>
        </w:rPr>
        <w:t>indication</w:t>
      </w:r>
      <w:r>
        <w:rPr>
          <w:spacing w:val="-8"/>
          <w:sz w:val="22"/>
        </w:rPr>
        <w:t> </w:t>
      </w:r>
      <w:r>
        <w:rPr>
          <w:sz w:val="22"/>
        </w:rPr>
        <w:t>as</w:t>
      </w:r>
      <w:r>
        <w:rPr>
          <w:spacing w:val="-8"/>
          <w:sz w:val="22"/>
        </w:rPr>
        <w:t> </w:t>
      </w:r>
      <w:r>
        <w:rPr>
          <w:sz w:val="22"/>
        </w:rPr>
        <w:t>to</w:t>
      </w:r>
      <w:r>
        <w:rPr>
          <w:spacing w:val="-8"/>
          <w:sz w:val="22"/>
        </w:rPr>
        <w:t> </w:t>
      </w:r>
      <w:r>
        <w:rPr>
          <w:sz w:val="22"/>
        </w:rPr>
        <w:t>whether</w:t>
      </w:r>
      <w:r>
        <w:rPr>
          <w:spacing w:val="-8"/>
          <w:sz w:val="22"/>
        </w:rPr>
        <w:t> </w:t>
      </w:r>
      <w:r>
        <w:rPr>
          <w:sz w:val="22"/>
        </w:rPr>
        <w:t>the</w:t>
      </w:r>
      <w:r>
        <w:rPr>
          <w:spacing w:val="-8"/>
          <w:sz w:val="22"/>
        </w:rPr>
        <w:t> </w:t>
      </w:r>
      <w:r>
        <w:rPr>
          <w:sz w:val="22"/>
        </w:rPr>
        <w:t>measure</w:t>
      </w:r>
      <w:r>
        <w:rPr>
          <w:spacing w:val="-8"/>
          <w:sz w:val="22"/>
        </w:rPr>
        <w:t> </w:t>
      </w:r>
      <w:r>
        <w:rPr>
          <w:sz w:val="22"/>
        </w:rPr>
        <w:t>data will be collected via claims and encounter data only (“Admin”) or whether chart or record review data (“Hybrid”)</w:t>
      </w:r>
      <w:r>
        <w:rPr>
          <w:spacing w:val="-6"/>
          <w:sz w:val="22"/>
        </w:rPr>
        <w:t> </w:t>
      </w:r>
      <w:r>
        <w:rPr>
          <w:sz w:val="22"/>
        </w:rPr>
        <w:t>will</w:t>
      </w:r>
      <w:r>
        <w:rPr>
          <w:spacing w:val="-6"/>
          <w:sz w:val="22"/>
        </w:rPr>
        <w:t> </w:t>
      </w:r>
      <w:r>
        <w:rPr>
          <w:sz w:val="22"/>
        </w:rPr>
        <w:t>be</w:t>
      </w:r>
      <w:r>
        <w:rPr>
          <w:spacing w:val="-7"/>
          <w:sz w:val="22"/>
        </w:rPr>
        <w:t> </w:t>
      </w:r>
      <w:r>
        <w:rPr>
          <w:sz w:val="22"/>
        </w:rPr>
        <w:t>utilized.</w:t>
      </w:r>
      <w:r>
        <w:rPr>
          <w:spacing w:val="-7"/>
          <w:sz w:val="22"/>
        </w:rPr>
        <w:t> </w:t>
      </w:r>
      <w:r>
        <w:rPr>
          <w:sz w:val="22"/>
        </w:rPr>
        <w:t>Additionally,</w:t>
      </w:r>
      <w:r>
        <w:rPr>
          <w:spacing w:val="-7"/>
          <w:sz w:val="22"/>
        </w:rPr>
        <w:t> </w:t>
      </w:r>
      <w:r>
        <w:rPr>
          <w:sz w:val="22"/>
        </w:rPr>
        <w:t>there</w:t>
      </w:r>
      <w:r>
        <w:rPr>
          <w:spacing w:val="-7"/>
          <w:sz w:val="22"/>
        </w:rPr>
        <w:t> </w:t>
      </w:r>
      <w:r>
        <w:rPr>
          <w:sz w:val="22"/>
        </w:rPr>
        <w:t>is</w:t>
      </w:r>
      <w:r>
        <w:rPr>
          <w:spacing w:val="-7"/>
          <w:sz w:val="22"/>
        </w:rPr>
        <w:t> </w:t>
      </w:r>
      <w:r>
        <w:rPr>
          <w:sz w:val="22"/>
        </w:rPr>
        <w:t>an</w:t>
      </w:r>
      <w:r>
        <w:rPr>
          <w:spacing w:val="-7"/>
          <w:sz w:val="22"/>
        </w:rPr>
        <w:t> </w:t>
      </w:r>
      <w:r>
        <w:rPr>
          <w:sz w:val="22"/>
        </w:rPr>
        <w:t>indication</w:t>
      </w:r>
      <w:r>
        <w:rPr>
          <w:spacing w:val="-7"/>
          <w:sz w:val="22"/>
        </w:rPr>
        <w:t> </w:t>
      </w:r>
      <w:r>
        <w:rPr>
          <w:sz w:val="22"/>
        </w:rPr>
        <w:t>of</w:t>
      </w:r>
      <w:r>
        <w:rPr>
          <w:spacing w:val="-6"/>
          <w:sz w:val="22"/>
        </w:rPr>
        <w:t> </w:t>
      </w:r>
      <w:r>
        <w:rPr>
          <w:sz w:val="22"/>
        </w:rPr>
        <w:t>the</w:t>
      </w:r>
      <w:r>
        <w:rPr>
          <w:spacing w:val="-7"/>
          <w:sz w:val="22"/>
        </w:rPr>
        <w:t> </w:t>
      </w:r>
      <w:r>
        <w:rPr>
          <w:sz w:val="22"/>
        </w:rPr>
        <w:t>expected</w:t>
      </w:r>
      <w:r>
        <w:rPr>
          <w:spacing w:val="-7"/>
          <w:sz w:val="22"/>
        </w:rPr>
        <w:t> </w:t>
      </w:r>
      <w:r>
        <w:rPr>
          <w:sz w:val="22"/>
        </w:rPr>
        <w:t>“Pay-for-Reporting</w:t>
      </w:r>
      <w:r>
        <w:rPr>
          <w:spacing w:val="-10"/>
          <w:sz w:val="22"/>
        </w:rPr>
        <w:t> </w:t>
      </w:r>
      <w:r>
        <w:rPr>
          <w:sz w:val="22"/>
        </w:rPr>
        <w:t>(P4R)”, “Reporting” and/or “Pay-for-Performance (P4P)” role in the program by Budget Period. Appendix D includes further details regarding the measures including measure descriptions. The State will send the initial measure specifications to CMS for review and approval by July 2017.</w:t>
      </w:r>
    </w:p>
    <w:p>
      <w:pPr>
        <w:spacing w:before="159"/>
        <w:ind w:left="1219" w:right="1092" w:firstLine="0"/>
        <w:jc w:val="both"/>
        <w:rPr>
          <w:sz w:val="22"/>
        </w:rPr>
      </w:pPr>
      <w:r>
        <w:rPr>
          <w:sz w:val="22"/>
        </w:rPr>
        <w:t>For Quality Measures that are primarily based on national measure specifications (e.g., NCQA HEDIS), where</w:t>
      </w:r>
      <w:r>
        <w:rPr>
          <w:spacing w:val="-2"/>
          <w:sz w:val="22"/>
        </w:rPr>
        <w:t> </w:t>
      </w:r>
      <w:r>
        <w:rPr>
          <w:sz w:val="22"/>
        </w:rPr>
        <w:t>minimal</w:t>
      </w:r>
      <w:r>
        <w:rPr>
          <w:spacing w:val="-1"/>
          <w:sz w:val="22"/>
        </w:rPr>
        <w:t> </w:t>
      </w:r>
      <w:r>
        <w:rPr>
          <w:sz w:val="22"/>
        </w:rPr>
        <w:t>changes</w:t>
      </w:r>
      <w:r>
        <w:rPr>
          <w:spacing w:val="-2"/>
          <w:sz w:val="22"/>
        </w:rPr>
        <w:t> </w:t>
      </w:r>
      <w:r>
        <w:rPr>
          <w:sz w:val="22"/>
        </w:rPr>
        <w:t>have</w:t>
      </w:r>
      <w:r>
        <w:rPr>
          <w:spacing w:val="-2"/>
          <w:sz w:val="22"/>
        </w:rPr>
        <w:t> </w:t>
      </w:r>
      <w:r>
        <w:rPr>
          <w:sz w:val="22"/>
        </w:rPr>
        <w:t>been</w:t>
      </w:r>
      <w:r>
        <w:rPr>
          <w:spacing w:val="-2"/>
          <w:sz w:val="22"/>
        </w:rPr>
        <w:t> </w:t>
      </w:r>
      <w:r>
        <w:rPr>
          <w:sz w:val="22"/>
        </w:rPr>
        <w:t>made</w:t>
      </w:r>
      <w:r>
        <w:rPr>
          <w:spacing w:val="-2"/>
          <w:sz w:val="22"/>
        </w:rPr>
        <w:t> </w:t>
      </w:r>
      <w:r>
        <w:rPr>
          <w:sz w:val="22"/>
        </w:rPr>
        <w:t>to</w:t>
      </w:r>
      <w:r>
        <w:rPr>
          <w:spacing w:val="-2"/>
          <w:sz w:val="22"/>
        </w:rPr>
        <w:t> </w:t>
      </w:r>
      <w:r>
        <w:rPr>
          <w:sz w:val="22"/>
        </w:rPr>
        <w:t>the</w:t>
      </w:r>
      <w:r>
        <w:rPr>
          <w:spacing w:val="-2"/>
          <w:sz w:val="22"/>
        </w:rPr>
        <w:t> </w:t>
      </w:r>
      <w:r>
        <w:rPr>
          <w:sz w:val="22"/>
        </w:rPr>
        <w:t>specification</w:t>
      </w:r>
      <w:r>
        <w:rPr>
          <w:spacing w:val="-2"/>
          <w:sz w:val="22"/>
        </w:rPr>
        <w:t> </w:t>
      </w:r>
      <w:r>
        <w:rPr>
          <w:sz w:val="22"/>
        </w:rPr>
        <w:t>(e.g.,</w:t>
      </w:r>
      <w:r>
        <w:rPr>
          <w:spacing w:val="-2"/>
          <w:sz w:val="22"/>
        </w:rPr>
        <w:t> </w:t>
      </w:r>
      <w:r>
        <w:rPr>
          <w:sz w:val="22"/>
        </w:rPr>
        <w:t>a</w:t>
      </w:r>
      <w:r>
        <w:rPr>
          <w:spacing w:val="-2"/>
          <w:sz w:val="22"/>
        </w:rPr>
        <w:t> </w:t>
      </w:r>
      <w:r>
        <w:rPr>
          <w:sz w:val="22"/>
        </w:rPr>
        <w:t>change</w:t>
      </w:r>
      <w:r>
        <w:rPr>
          <w:spacing w:val="-2"/>
          <w:sz w:val="22"/>
        </w:rPr>
        <w:t> </w:t>
      </w:r>
      <w:r>
        <w:rPr>
          <w:sz w:val="22"/>
        </w:rPr>
        <w:t>from</w:t>
      </w:r>
      <w:r>
        <w:rPr>
          <w:spacing w:val="-4"/>
          <w:sz w:val="22"/>
        </w:rPr>
        <w:t> </w:t>
      </w:r>
      <w:r>
        <w:rPr>
          <w:sz w:val="22"/>
        </w:rPr>
        <w:t>health</w:t>
      </w:r>
      <w:r>
        <w:rPr>
          <w:spacing w:val="-2"/>
          <w:sz w:val="22"/>
        </w:rPr>
        <w:t> </w:t>
      </w:r>
      <w:r>
        <w:rPr>
          <w:sz w:val="22"/>
        </w:rPr>
        <w:t>plan</w:t>
      </w:r>
      <w:r>
        <w:rPr>
          <w:spacing w:val="-2"/>
          <w:sz w:val="22"/>
        </w:rPr>
        <w:t> </w:t>
      </w:r>
      <w:r>
        <w:rPr>
          <w:sz w:val="22"/>
        </w:rPr>
        <w:t>population</w:t>
      </w:r>
      <w:r>
        <w:rPr>
          <w:spacing w:val="-2"/>
          <w:sz w:val="22"/>
        </w:rPr>
        <w:t> </w:t>
      </w:r>
      <w:r>
        <w:rPr>
          <w:sz w:val="22"/>
        </w:rPr>
        <w:t>to ACO population), the State will use nationally available Medicaid benchmarks to establish its Attainment Thresholds and Goal Benchmarks where feasible (see Section 5.3.1.2). The State will propose these Attainment Thresholds and Goal Benchmarks to CMS by August 2017.</w:t>
      </w:r>
    </w:p>
    <w:p>
      <w:pPr>
        <w:spacing w:before="158"/>
        <w:ind w:left="1219" w:right="1092" w:firstLine="0"/>
        <w:jc w:val="both"/>
        <w:rPr>
          <w:sz w:val="22"/>
        </w:rPr>
      </w:pPr>
      <w:r>
        <w:rPr>
          <w:sz w:val="22"/>
        </w:rPr>
        <w:t>For Quality Measures for which there are related (i.e., same measure description) national measure specifications (e.g., ADA, AMA, CMS) but where changes may be significant (e.g., a change in risk adjustment</w:t>
      </w:r>
      <w:r>
        <w:rPr>
          <w:spacing w:val="-12"/>
          <w:sz w:val="22"/>
        </w:rPr>
        <w:t> </w:t>
      </w:r>
      <w:r>
        <w:rPr>
          <w:sz w:val="22"/>
        </w:rPr>
        <w:t>methodology</w:t>
      </w:r>
      <w:r>
        <w:rPr>
          <w:spacing w:val="-14"/>
          <w:sz w:val="22"/>
        </w:rPr>
        <w:t> </w:t>
      </w:r>
      <w:r>
        <w:rPr>
          <w:sz w:val="22"/>
        </w:rPr>
        <w:t>or</w:t>
      </w:r>
      <w:r>
        <w:rPr>
          <w:spacing w:val="-10"/>
          <w:sz w:val="22"/>
        </w:rPr>
        <w:t> </w:t>
      </w:r>
      <w:r>
        <w:rPr>
          <w:sz w:val="22"/>
        </w:rPr>
        <w:t>a</w:t>
      </w:r>
      <w:r>
        <w:rPr>
          <w:spacing w:val="-11"/>
          <w:sz w:val="22"/>
        </w:rPr>
        <w:t> </w:t>
      </w:r>
      <w:r>
        <w:rPr>
          <w:sz w:val="22"/>
        </w:rPr>
        <w:t>change</w:t>
      </w:r>
      <w:r>
        <w:rPr>
          <w:spacing w:val="-11"/>
          <w:sz w:val="22"/>
        </w:rPr>
        <w:t> </w:t>
      </w:r>
      <w:r>
        <w:rPr>
          <w:sz w:val="22"/>
        </w:rPr>
        <w:t>from</w:t>
      </w:r>
      <w:r>
        <w:rPr>
          <w:spacing w:val="-14"/>
          <w:sz w:val="22"/>
        </w:rPr>
        <w:t> </w:t>
      </w:r>
      <w:r>
        <w:rPr>
          <w:sz w:val="22"/>
        </w:rPr>
        <w:t>all-payer</w:t>
      </w:r>
      <w:r>
        <w:rPr>
          <w:spacing w:val="-10"/>
          <w:sz w:val="22"/>
        </w:rPr>
        <w:t> </w:t>
      </w:r>
      <w:r>
        <w:rPr>
          <w:sz w:val="22"/>
        </w:rPr>
        <w:t>population</w:t>
      </w:r>
      <w:r>
        <w:rPr>
          <w:spacing w:val="-14"/>
          <w:sz w:val="22"/>
        </w:rPr>
        <w:t> </w:t>
      </w:r>
      <w:r>
        <w:rPr>
          <w:sz w:val="22"/>
        </w:rPr>
        <w:t>to</w:t>
      </w:r>
      <w:r>
        <w:rPr>
          <w:spacing w:val="-13"/>
          <w:sz w:val="22"/>
        </w:rPr>
        <w:t> </w:t>
      </w:r>
      <w:r>
        <w:rPr>
          <w:sz w:val="22"/>
        </w:rPr>
        <w:t>Medicaid-only</w:t>
      </w:r>
      <w:r>
        <w:rPr>
          <w:spacing w:val="-14"/>
          <w:sz w:val="22"/>
        </w:rPr>
        <w:t> </w:t>
      </w:r>
      <w:r>
        <w:rPr>
          <w:sz w:val="22"/>
        </w:rPr>
        <w:t>population),</w:t>
      </w:r>
      <w:r>
        <w:rPr>
          <w:spacing w:val="-13"/>
          <w:sz w:val="22"/>
        </w:rPr>
        <w:t> </w:t>
      </w:r>
      <w:r>
        <w:rPr>
          <w:sz w:val="22"/>
        </w:rPr>
        <w:t>the</w:t>
      </w:r>
      <w:r>
        <w:rPr>
          <w:spacing w:val="-11"/>
          <w:sz w:val="22"/>
        </w:rPr>
        <w:t> </w:t>
      </w:r>
      <w:r>
        <w:rPr>
          <w:sz w:val="22"/>
        </w:rPr>
        <w:t>State</w:t>
      </w:r>
      <w:r>
        <w:rPr>
          <w:spacing w:val="-12"/>
          <w:sz w:val="22"/>
        </w:rPr>
        <w:t> </w:t>
      </w:r>
      <w:r>
        <w:rPr>
          <w:sz w:val="22"/>
        </w:rPr>
        <w:t>will research</w:t>
      </w:r>
      <w:r>
        <w:rPr>
          <w:spacing w:val="-12"/>
          <w:sz w:val="22"/>
        </w:rPr>
        <w:t> </w:t>
      </w:r>
      <w:r>
        <w:rPr>
          <w:sz w:val="22"/>
        </w:rPr>
        <w:t>existing</w:t>
      </w:r>
      <w:r>
        <w:rPr>
          <w:spacing w:val="-14"/>
          <w:sz w:val="22"/>
        </w:rPr>
        <w:t> </w:t>
      </w:r>
      <w:r>
        <w:rPr>
          <w:sz w:val="22"/>
        </w:rPr>
        <w:t>data</w:t>
      </w:r>
      <w:r>
        <w:rPr>
          <w:spacing w:val="-14"/>
          <w:sz w:val="22"/>
        </w:rPr>
        <w:t> </w:t>
      </w:r>
      <w:r>
        <w:rPr>
          <w:sz w:val="22"/>
        </w:rPr>
        <w:t>to</w:t>
      </w:r>
      <w:r>
        <w:rPr>
          <w:spacing w:val="-13"/>
          <w:sz w:val="22"/>
        </w:rPr>
        <w:t> </w:t>
      </w:r>
      <w:r>
        <w:rPr>
          <w:sz w:val="22"/>
        </w:rPr>
        <w:t>determine</w:t>
      </w:r>
      <w:r>
        <w:rPr>
          <w:spacing w:val="-11"/>
          <w:sz w:val="22"/>
        </w:rPr>
        <w:t> </w:t>
      </w:r>
      <w:r>
        <w:rPr>
          <w:sz w:val="22"/>
        </w:rPr>
        <w:t>if</w:t>
      </w:r>
      <w:r>
        <w:rPr>
          <w:spacing w:val="-11"/>
          <w:sz w:val="22"/>
        </w:rPr>
        <w:t> </w:t>
      </w:r>
      <w:r>
        <w:rPr>
          <w:sz w:val="22"/>
        </w:rPr>
        <w:t>the</w:t>
      </w:r>
      <w:r>
        <w:rPr>
          <w:spacing w:val="-14"/>
          <w:sz w:val="22"/>
        </w:rPr>
        <w:t> </w:t>
      </w:r>
      <w:r>
        <w:rPr>
          <w:sz w:val="22"/>
        </w:rPr>
        <w:t>related</w:t>
      </w:r>
      <w:r>
        <w:rPr>
          <w:spacing w:val="-12"/>
          <w:sz w:val="22"/>
        </w:rPr>
        <w:t> </w:t>
      </w:r>
      <w:r>
        <w:rPr>
          <w:sz w:val="22"/>
        </w:rPr>
        <w:t>national</w:t>
      </w:r>
      <w:r>
        <w:rPr>
          <w:spacing w:val="-12"/>
          <w:sz w:val="22"/>
        </w:rPr>
        <w:t> </w:t>
      </w:r>
      <w:r>
        <w:rPr>
          <w:sz w:val="22"/>
        </w:rPr>
        <w:t>and/or</w:t>
      </w:r>
      <w:r>
        <w:rPr>
          <w:spacing w:val="-11"/>
          <w:sz w:val="22"/>
        </w:rPr>
        <w:t> </w:t>
      </w:r>
      <w:r>
        <w:rPr>
          <w:sz w:val="22"/>
        </w:rPr>
        <w:t>state/local</w:t>
      </w:r>
      <w:r>
        <w:rPr>
          <w:spacing w:val="-13"/>
          <w:sz w:val="22"/>
        </w:rPr>
        <w:t> </w:t>
      </w:r>
      <w:r>
        <w:rPr>
          <w:sz w:val="22"/>
        </w:rPr>
        <w:t>data</w:t>
      </w:r>
      <w:r>
        <w:rPr>
          <w:spacing w:val="-14"/>
          <w:sz w:val="22"/>
        </w:rPr>
        <w:t> </w:t>
      </w:r>
      <w:r>
        <w:rPr>
          <w:sz w:val="22"/>
        </w:rPr>
        <w:t>is</w:t>
      </w:r>
      <w:r>
        <w:rPr>
          <w:spacing w:val="-11"/>
          <w:sz w:val="22"/>
        </w:rPr>
        <w:t> </w:t>
      </w:r>
      <w:r>
        <w:rPr>
          <w:sz w:val="22"/>
        </w:rPr>
        <w:t>applicable.</w:t>
      </w:r>
      <w:r>
        <w:rPr>
          <w:spacing w:val="30"/>
          <w:sz w:val="22"/>
        </w:rPr>
        <w:t> </w:t>
      </w:r>
      <w:r>
        <w:rPr>
          <w:sz w:val="22"/>
        </w:rPr>
        <w:t>If</w:t>
      </w:r>
      <w:r>
        <w:rPr>
          <w:spacing w:val="-11"/>
          <w:sz w:val="22"/>
        </w:rPr>
        <w:t> </w:t>
      </w:r>
      <w:r>
        <w:rPr>
          <w:sz w:val="22"/>
        </w:rPr>
        <w:t>the</w:t>
      </w:r>
      <w:r>
        <w:rPr>
          <w:spacing w:val="-11"/>
          <w:sz w:val="22"/>
        </w:rPr>
        <w:t> </w:t>
      </w:r>
      <w:r>
        <w:rPr>
          <w:sz w:val="22"/>
        </w:rPr>
        <w:t>existing data are relevant, the State will propose Attainment Thresholds and Goal Benchmarks for these measures to</w:t>
      </w:r>
      <w:r>
        <w:rPr>
          <w:spacing w:val="-9"/>
          <w:sz w:val="22"/>
        </w:rPr>
        <w:t> </w:t>
      </w:r>
      <w:r>
        <w:rPr>
          <w:sz w:val="22"/>
        </w:rPr>
        <w:t>CMS</w:t>
      </w:r>
      <w:r>
        <w:rPr>
          <w:spacing w:val="-9"/>
          <w:sz w:val="22"/>
        </w:rPr>
        <w:t> </w:t>
      </w:r>
      <w:r>
        <w:rPr>
          <w:sz w:val="22"/>
        </w:rPr>
        <w:t>by</w:t>
      </w:r>
      <w:r>
        <w:rPr>
          <w:spacing w:val="-11"/>
          <w:sz w:val="22"/>
        </w:rPr>
        <w:t> </w:t>
      </w:r>
      <w:r>
        <w:rPr>
          <w:sz w:val="22"/>
        </w:rPr>
        <w:t>August</w:t>
      </w:r>
      <w:r>
        <w:rPr>
          <w:spacing w:val="-8"/>
          <w:sz w:val="22"/>
        </w:rPr>
        <w:t> </w:t>
      </w:r>
      <w:r>
        <w:rPr>
          <w:sz w:val="22"/>
        </w:rPr>
        <w:t>2017.</w:t>
      </w:r>
      <w:r>
        <w:rPr>
          <w:spacing w:val="38"/>
          <w:sz w:val="22"/>
        </w:rPr>
        <w:t> </w:t>
      </w:r>
      <w:r>
        <w:rPr>
          <w:sz w:val="22"/>
        </w:rPr>
        <w:t>If</w:t>
      </w:r>
      <w:r>
        <w:rPr>
          <w:spacing w:val="-8"/>
          <w:sz w:val="22"/>
        </w:rPr>
        <w:t> </w:t>
      </w:r>
      <w:r>
        <w:rPr>
          <w:sz w:val="22"/>
        </w:rPr>
        <w:t>the</w:t>
      </w:r>
      <w:r>
        <w:rPr>
          <w:spacing w:val="-8"/>
          <w:sz w:val="22"/>
        </w:rPr>
        <w:t> </w:t>
      </w:r>
      <w:r>
        <w:rPr>
          <w:sz w:val="22"/>
        </w:rPr>
        <w:t>existing</w:t>
      </w:r>
      <w:r>
        <w:rPr>
          <w:spacing w:val="-11"/>
          <w:sz w:val="22"/>
        </w:rPr>
        <w:t> </w:t>
      </w:r>
      <w:r>
        <w:rPr>
          <w:sz w:val="22"/>
        </w:rPr>
        <w:t>data</w:t>
      </w:r>
      <w:r>
        <w:rPr>
          <w:spacing w:val="-8"/>
          <w:sz w:val="22"/>
        </w:rPr>
        <w:t> </w:t>
      </w:r>
      <w:r>
        <w:rPr>
          <w:sz w:val="22"/>
        </w:rPr>
        <w:t>are</w:t>
      </w:r>
      <w:r>
        <w:rPr>
          <w:spacing w:val="-8"/>
          <w:sz w:val="22"/>
        </w:rPr>
        <w:t> </w:t>
      </w:r>
      <w:r>
        <w:rPr>
          <w:sz w:val="22"/>
        </w:rPr>
        <w:t>not</w:t>
      </w:r>
      <w:r>
        <w:rPr>
          <w:spacing w:val="-8"/>
          <w:sz w:val="22"/>
        </w:rPr>
        <w:t> </w:t>
      </w:r>
      <w:r>
        <w:rPr>
          <w:sz w:val="22"/>
        </w:rPr>
        <w:t>relevant,</w:t>
      </w:r>
      <w:r>
        <w:rPr>
          <w:spacing w:val="-9"/>
          <w:sz w:val="22"/>
        </w:rPr>
        <w:t> </w:t>
      </w:r>
      <w:r>
        <w:rPr>
          <w:sz w:val="22"/>
        </w:rPr>
        <w:t>the</w:t>
      </w:r>
      <w:r>
        <w:rPr>
          <w:spacing w:val="-8"/>
          <w:sz w:val="22"/>
        </w:rPr>
        <w:t> </w:t>
      </w:r>
      <w:r>
        <w:rPr>
          <w:sz w:val="22"/>
        </w:rPr>
        <w:t>State</w:t>
      </w:r>
      <w:r>
        <w:rPr>
          <w:spacing w:val="-8"/>
          <w:sz w:val="22"/>
        </w:rPr>
        <w:t> </w:t>
      </w:r>
      <w:r>
        <w:rPr>
          <w:sz w:val="22"/>
        </w:rPr>
        <w:t>will</w:t>
      </w:r>
      <w:r>
        <w:rPr>
          <w:spacing w:val="-10"/>
          <w:sz w:val="22"/>
        </w:rPr>
        <w:t> </w:t>
      </w:r>
      <w:r>
        <w:rPr>
          <w:sz w:val="22"/>
        </w:rPr>
        <w:t>propose</w:t>
      </w:r>
      <w:r>
        <w:rPr>
          <w:spacing w:val="-8"/>
          <w:sz w:val="22"/>
        </w:rPr>
        <w:t> </w:t>
      </w:r>
      <w:r>
        <w:rPr>
          <w:sz w:val="22"/>
        </w:rPr>
        <w:t>Attainment</w:t>
      </w:r>
      <w:r>
        <w:rPr>
          <w:spacing w:val="-9"/>
          <w:sz w:val="22"/>
        </w:rPr>
        <w:t> </w:t>
      </w:r>
      <w:r>
        <w:rPr>
          <w:sz w:val="22"/>
        </w:rPr>
        <w:t>Thresholds and</w:t>
      </w:r>
      <w:r>
        <w:rPr>
          <w:spacing w:val="-11"/>
          <w:sz w:val="22"/>
        </w:rPr>
        <w:t> </w:t>
      </w:r>
      <w:r>
        <w:rPr>
          <w:sz w:val="22"/>
        </w:rPr>
        <w:t>Goal</w:t>
      </w:r>
      <w:r>
        <w:rPr>
          <w:spacing w:val="-10"/>
          <w:sz w:val="22"/>
        </w:rPr>
        <w:t> </w:t>
      </w:r>
      <w:r>
        <w:rPr>
          <w:sz w:val="22"/>
        </w:rPr>
        <w:t>Benchmarks</w:t>
      </w:r>
      <w:r>
        <w:rPr>
          <w:spacing w:val="-10"/>
          <w:sz w:val="22"/>
        </w:rPr>
        <w:t> </w:t>
      </w:r>
      <w:r>
        <w:rPr>
          <w:sz w:val="22"/>
        </w:rPr>
        <w:t>for</w:t>
      </w:r>
      <w:r>
        <w:rPr>
          <w:spacing w:val="-10"/>
          <w:sz w:val="22"/>
        </w:rPr>
        <w:t> </w:t>
      </w:r>
      <w:r>
        <w:rPr>
          <w:sz w:val="22"/>
        </w:rPr>
        <w:t>these</w:t>
      </w:r>
      <w:r>
        <w:rPr>
          <w:spacing w:val="-11"/>
          <w:sz w:val="22"/>
        </w:rPr>
        <w:t> </w:t>
      </w:r>
      <w:r>
        <w:rPr>
          <w:sz w:val="22"/>
        </w:rPr>
        <w:t>measures</w:t>
      </w:r>
      <w:r>
        <w:rPr>
          <w:spacing w:val="-10"/>
          <w:sz w:val="22"/>
        </w:rPr>
        <w:t> </w:t>
      </w:r>
      <w:r>
        <w:rPr>
          <w:sz w:val="22"/>
        </w:rPr>
        <w:t>to</w:t>
      </w:r>
      <w:r>
        <w:rPr>
          <w:spacing w:val="-11"/>
          <w:sz w:val="22"/>
        </w:rPr>
        <w:t> </w:t>
      </w:r>
      <w:r>
        <w:rPr>
          <w:sz w:val="22"/>
        </w:rPr>
        <w:t>CMS</w:t>
      </w:r>
      <w:r>
        <w:rPr>
          <w:spacing w:val="-11"/>
          <w:sz w:val="22"/>
        </w:rPr>
        <w:t> </w:t>
      </w:r>
      <w:r>
        <w:rPr>
          <w:sz w:val="22"/>
        </w:rPr>
        <w:t>by</w:t>
      </w:r>
      <w:r>
        <w:rPr>
          <w:spacing w:val="-13"/>
          <w:sz w:val="22"/>
        </w:rPr>
        <w:t> </w:t>
      </w:r>
      <w:r>
        <w:rPr>
          <w:sz w:val="22"/>
        </w:rPr>
        <w:t>November</w:t>
      </w:r>
      <w:r>
        <w:rPr>
          <w:spacing w:val="-10"/>
          <w:sz w:val="22"/>
        </w:rPr>
        <w:t> </w:t>
      </w:r>
      <w:r>
        <w:rPr>
          <w:sz w:val="22"/>
        </w:rPr>
        <w:t>2018</w:t>
      </w:r>
      <w:r>
        <w:rPr>
          <w:spacing w:val="-11"/>
          <w:sz w:val="22"/>
        </w:rPr>
        <w:t> </w:t>
      </w:r>
      <w:r>
        <w:rPr>
          <w:sz w:val="22"/>
        </w:rPr>
        <w:t>using</w:t>
      </w:r>
      <w:r>
        <w:rPr>
          <w:spacing w:val="-13"/>
          <w:sz w:val="22"/>
        </w:rPr>
        <w:t> </w:t>
      </w:r>
      <w:r>
        <w:rPr>
          <w:sz w:val="22"/>
        </w:rPr>
        <w:t>CY2017</w:t>
      </w:r>
      <w:r>
        <w:rPr>
          <w:spacing w:val="-11"/>
          <w:sz w:val="22"/>
        </w:rPr>
        <w:t> </w:t>
      </w:r>
      <w:r>
        <w:rPr>
          <w:sz w:val="22"/>
        </w:rPr>
        <w:t>data</w:t>
      </w:r>
      <w:r>
        <w:rPr>
          <w:spacing w:val="-13"/>
          <w:sz w:val="22"/>
        </w:rPr>
        <w:t> </w:t>
      </w:r>
      <w:r>
        <w:rPr>
          <w:sz w:val="22"/>
        </w:rPr>
        <w:t>(for</w:t>
      </w:r>
      <w:r>
        <w:rPr>
          <w:spacing w:val="-10"/>
          <w:sz w:val="22"/>
        </w:rPr>
        <w:t> </w:t>
      </w:r>
      <w:r>
        <w:rPr>
          <w:sz w:val="22"/>
        </w:rPr>
        <w:t>claims-based measures) or November 2019 using CY2018 (for measures requiring chart review).</w:t>
      </w:r>
    </w:p>
    <w:p>
      <w:pPr>
        <w:spacing w:before="160"/>
        <w:ind w:left="1219" w:right="1094" w:firstLine="0"/>
        <w:jc w:val="both"/>
        <w:rPr>
          <w:sz w:val="22"/>
        </w:rPr>
      </w:pPr>
      <w:r>
        <w:rPr>
          <w:sz w:val="22"/>
        </w:rPr>
        <w:t>For</w:t>
      </w:r>
      <w:r>
        <w:rPr>
          <w:spacing w:val="-4"/>
          <w:sz w:val="22"/>
        </w:rPr>
        <w:t> </w:t>
      </w:r>
      <w:r>
        <w:rPr>
          <w:sz w:val="22"/>
        </w:rPr>
        <w:t>novel</w:t>
      </w:r>
      <w:r>
        <w:rPr>
          <w:spacing w:val="-4"/>
          <w:sz w:val="22"/>
        </w:rPr>
        <w:t> </w:t>
      </w:r>
      <w:r>
        <w:rPr>
          <w:sz w:val="22"/>
        </w:rPr>
        <w:t>measures,</w:t>
      </w:r>
      <w:r>
        <w:rPr>
          <w:spacing w:val="-5"/>
          <w:sz w:val="22"/>
        </w:rPr>
        <w:t> </w:t>
      </w:r>
      <w:r>
        <w:rPr>
          <w:sz w:val="22"/>
        </w:rPr>
        <w:t>including</w:t>
      </w:r>
      <w:r>
        <w:rPr>
          <w:spacing w:val="-5"/>
          <w:sz w:val="22"/>
        </w:rPr>
        <w:t> </w:t>
      </w:r>
      <w:r>
        <w:rPr>
          <w:sz w:val="22"/>
        </w:rPr>
        <w:t>member</w:t>
      </w:r>
      <w:r>
        <w:rPr>
          <w:spacing w:val="-4"/>
          <w:sz w:val="22"/>
        </w:rPr>
        <w:t> </w:t>
      </w:r>
      <w:r>
        <w:rPr>
          <w:sz w:val="22"/>
        </w:rPr>
        <w:t>experience,</w:t>
      </w:r>
      <w:r>
        <w:rPr>
          <w:spacing w:val="-5"/>
          <w:sz w:val="22"/>
        </w:rPr>
        <w:t> </w:t>
      </w:r>
      <w:r>
        <w:rPr>
          <w:sz w:val="22"/>
        </w:rPr>
        <w:t>the</w:t>
      </w:r>
      <w:r>
        <w:rPr>
          <w:spacing w:val="-4"/>
          <w:sz w:val="22"/>
        </w:rPr>
        <w:t> </w:t>
      </w:r>
      <w:r>
        <w:rPr>
          <w:sz w:val="22"/>
        </w:rPr>
        <w:t>State</w:t>
      </w:r>
      <w:r>
        <w:rPr>
          <w:spacing w:val="-4"/>
          <w:sz w:val="22"/>
        </w:rPr>
        <w:t> </w:t>
      </w:r>
      <w:r>
        <w:rPr>
          <w:sz w:val="22"/>
        </w:rPr>
        <w:t>will</w:t>
      </w:r>
      <w:r>
        <w:rPr>
          <w:spacing w:val="-4"/>
          <w:sz w:val="22"/>
        </w:rPr>
        <w:t> </w:t>
      </w:r>
      <w:r>
        <w:rPr>
          <w:sz w:val="22"/>
        </w:rPr>
        <w:t>attempt</w:t>
      </w:r>
      <w:r>
        <w:rPr>
          <w:spacing w:val="-4"/>
          <w:sz w:val="22"/>
        </w:rPr>
        <w:t> </w:t>
      </w:r>
      <w:r>
        <w:rPr>
          <w:sz w:val="22"/>
        </w:rPr>
        <w:t>to</w:t>
      </w:r>
      <w:r>
        <w:rPr>
          <w:spacing w:val="-7"/>
          <w:sz w:val="22"/>
        </w:rPr>
        <w:t> </w:t>
      </w:r>
      <w:r>
        <w:rPr>
          <w:sz w:val="22"/>
        </w:rPr>
        <w:t>identify</w:t>
      </w:r>
      <w:r>
        <w:rPr>
          <w:spacing w:val="-7"/>
          <w:sz w:val="22"/>
        </w:rPr>
        <w:t> </w:t>
      </w:r>
      <w:r>
        <w:rPr>
          <w:sz w:val="22"/>
        </w:rPr>
        <w:t>similar</w:t>
      </w:r>
      <w:r>
        <w:rPr>
          <w:spacing w:val="-4"/>
          <w:sz w:val="22"/>
        </w:rPr>
        <w:t> </w:t>
      </w:r>
      <w:r>
        <w:rPr>
          <w:sz w:val="22"/>
        </w:rPr>
        <w:t>measures</w:t>
      </w:r>
      <w:r>
        <w:rPr>
          <w:spacing w:val="-4"/>
          <w:sz w:val="22"/>
        </w:rPr>
        <w:t> </w:t>
      </w:r>
      <w:r>
        <w:rPr>
          <w:sz w:val="22"/>
        </w:rPr>
        <w:t>with similar</w:t>
      </w:r>
      <w:r>
        <w:rPr>
          <w:spacing w:val="-9"/>
          <w:sz w:val="22"/>
        </w:rPr>
        <w:t> </w:t>
      </w:r>
      <w:r>
        <w:rPr>
          <w:sz w:val="22"/>
        </w:rPr>
        <w:t>specifications</w:t>
      </w:r>
      <w:r>
        <w:rPr>
          <w:spacing w:val="-9"/>
          <w:sz w:val="22"/>
        </w:rPr>
        <w:t> </w:t>
      </w:r>
      <w:r>
        <w:rPr>
          <w:sz w:val="22"/>
        </w:rPr>
        <w:t>from</w:t>
      </w:r>
      <w:r>
        <w:rPr>
          <w:spacing w:val="-10"/>
          <w:sz w:val="22"/>
        </w:rPr>
        <w:t> </w:t>
      </w:r>
      <w:r>
        <w:rPr>
          <w:sz w:val="22"/>
        </w:rPr>
        <w:t>other</w:t>
      </w:r>
      <w:r>
        <w:rPr>
          <w:spacing w:val="-9"/>
          <w:sz w:val="22"/>
        </w:rPr>
        <w:t> </w:t>
      </w:r>
      <w:r>
        <w:rPr>
          <w:sz w:val="22"/>
        </w:rPr>
        <w:t>data</w:t>
      </w:r>
      <w:r>
        <w:rPr>
          <w:spacing w:val="-9"/>
          <w:sz w:val="22"/>
        </w:rPr>
        <w:t> </w:t>
      </w:r>
      <w:r>
        <w:rPr>
          <w:sz w:val="22"/>
        </w:rPr>
        <w:t>sources</w:t>
      </w:r>
      <w:r>
        <w:rPr>
          <w:spacing w:val="-9"/>
          <w:sz w:val="22"/>
        </w:rPr>
        <w:t> </w:t>
      </w:r>
      <w:r>
        <w:rPr>
          <w:sz w:val="22"/>
        </w:rPr>
        <w:t>(e.g.,</w:t>
      </w:r>
      <w:r>
        <w:rPr>
          <w:spacing w:val="-9"/>
          <w:sz w:val="22"/>
        </w:rPr>
        <w:t> </w:t>
      </w:r>
      <w:r>
        <w:rPr>
          <w:sz w:val="22"/>
        </w:rPr>
        <w:t>other</w:t>
      </w:r>
      <w:r>
        <w:rPr>
          <w:spacing w:val="-9"/>
          <w:sz w:val="22"/>
        </w:rPr>
        <w:t> </w:t>
      </w:r>
      <w:r>
        <w:rPr>
          <w:sz w:val="22"/>
        </w:rPr>
        <w:t>DSRIP</w:t>
      </w:r>
      <w:r>
        <w:rPr>
          <w:spacing w:val="-8"/>
          <w:sz w:val="22"/>
        </w:rPr>
        <w:t> </w:t>
      </w:r>
      <w:r>
        <w:rPr>
          <w:sz w:val="22"/>
        </w:rPr>
        <w:t>programs,</w:t>
      </w:r>
      <w:r>
        <w:rPr>
          <w:spacing w:val="-9"/>
          <w:sz w:val="22"/>
        </w:rPr>
        <w:t> </w:t>
      </w:r>
      <w:r>
        <w:rPr>
          <w:sz w:val="22"/>
        </w:rPr>
        <w:t>statewide</w:t>
      </w:r>
      <w:r>
        <w:rPr>
          <w:spacing w:val="-9"/>
          <w:sz w:val="22"/>
        </w:rPr>
        <w:t> </w:t>
      </w:r>
      <w:r>
        <w:rPr>
          <w:sz w:val="22"/>
        </w:rPr>
        <w:t>data,</w:t>
      </w:r>
      <w:r>
        <w:rPr>
          <w:spacing w:val="-9"/>
          <w:sz w:val="22"/>
        </w:rPr>
        <w:t> </w:t>
      </w:r>
      <w:r>
        <w:rPr>
          <w:sz w:val="22"/>
        </w:rPr>
        <w:t>etc.)</w:t>
      </w:r>
      <w:r>
        <w:rPr>
          <w:spacing w:val="-9"/>
          <w:sz w:val="22"/>
        </w:rPr>
        <w:t> </w:t>
      </w:r>
      <w:r>
        <w:rPr>
          <w:sz w:val="22"/>
        </w:rPr>
        <w:t>as</w:t>
      </w:r>
      <w:r>
        <w:rPr>
          <w:spacing w:val="-9"/>
          <w:sz w:val="22"/>
        </w:rPr>
        <w:t> </w:t>
      </w:r>
      <w:r>
        <w:rPr>
          <w:sz w:val="22"/>
        </w:rPr>
        <w:t>a</w:t>
      </w:r>
      <w:r>
        <w:rPr>
          <w:spacing w:val="-9"/>
          <w:sz w:val="22"/>
        </w:rPr>
        <w:t> </w:t>
      </w:r>
      <w:r>
        <w:rPr>
          <w:sz w:val="22"/>
        </w:rPr>
        <w:t>source for</w:t>
      </w:r>
      <w:r>
        <w:rPr>
          <w:spacing w:val="-6"/>
          <w:sz w:val="22"/>
        </w:rPr>
        <w:t> </w:t>
      </w:r>
      <w:r>
        <w:rPr>
          <w:sz w:val="22"/>
        </w:rPr>
        <w:t>Attainment</w:t>
      </w:r>
      <w:r>
        <w:rPr>
          <w:spacing w:val="-6"/>
          <w:sz w:val="22"/>
        </w:rPr>
        <w:t> </w:t>
      </w:r>
      <w:r>
        <w:rPr>
          <w:sz w:val="22"/>
        </w:rPr>
        <w:t>Thresholds</w:t>
      </w:r>
      <w:r>
        <w:rPr>
          <w:spacing w:val="-7"/>
          <w:sz w:val="22"/>
        </w:rPr>
        <w:t> </w:t>
      </w:r>
      <w:r>
        <w:rPr>
          <w:sz w:val="22"/>
        </w:rPr>
        <w:t>and</w:t>
      </w:r>
      <w:r>
        <w:rPr>
          <w:spacing w:val="-7"/>
          <w:sz w:val="22"/>
        </w:rPr>
        <w:t> </w:t>
      </w:r>
      <w:r>
        <w:rPr>
          <w:sz w:val="22"/>
        </w:rPr>
        <w:t>Goal</w:t>
      </w:r>
      <w:r>
        <w:rPr>
          <w:spacing w:val="-6"/>
          <w:sz w:val="22"/>
        </w:rPr>
        <w:t> </w:t>
      </w:r>
      <w:r>
        <w:rPr>
          <w:sz w:val="22"/>
        </w:rPr>
        <w:t>Benchmarks.</w:t>
      </w:r>
      <w:r>
        <w:rPr>
          <w:spacing w:val="40"/>
          <w:sz w:val="22"/>
        </w:rPr>
        <w:t> </w:t>
      </w:r>
      <w:r>
        <w:rPr>
          <w:sz w:val="22"/>
        </w:rPr>
        <w:t>Should</w:t>
      </w:r>
      <w:r>
        <w:rPr>
          <w:spacing w:val="-7"/>
          <w:sz w:val="22"/>
        </w:rPr>
        <w:t> </w:t>
      </w:r>
      <w:r>
        <w:rPr>
          <w:sz w:val="22"/>
        </w:rPr>
        <w:t>other</w:t>
      </w:r>
      <w:r>
        <w:rPr>
          <w:spacing w:val="-6"/>
          <w:sz w:val="22"/>
        </w:rPr>
        <w:t> </w:t>
      </w:r>
      <w:r>
        <w:rPr>
          <w:sz w:val="22"/>
        </w:rPr>
        <w:t>sources</w:t>
      </w:r>
      <w:r>
        <w:rPr>
          <w:spacing w:val="-7"/>
          <w:sz w:val="22"/>
        </w:rPr>
        <w:t> </w:t>
      </w:r>
      <w:r>
        <w:rPr>
          <w:sz w:val="22"/>
        </w:rPr>
        <w:t>not</w:t>
      </w:r>
      <w:r>
        <w:rPr>
          <w:spacing w:val="-6"/>
          <w:sz w:val="22"/>
        </w:rPr>
        <w:t> </w:t>
      </w:r>
      <w:r>
        <w:rPr>
          <w:sz w:val="22"/>
        </w:rPr>
        <w:t>be</w:t>
      </w:r>
      <w:r>
        <w:rPr>
          <w:spacing w:val="-7"/>
          <w:sz w:val="22"/>
        </w:rPr>
        <w:t> </w:t>
      </w:r>
      <w:r>
        <w:rPr>
          <w:sz w:val="22"/>
        </w:rPr>
        <w:t>available,</w:t>
      </w:r>
      <w:r>
        <w:rPr>
          <w:spacing w:val="-9"/>
          <w:sz w:val="22"/>
        </w:rPr>
        <w:t> </w:t>
      </w:r>
      <w:r>
        <w:rPr>
          <w:sz w:val="22"/>
        </w:rPr>
        <w:t>the</w:t>
      </w:r>
      <w:r>
        <w:rPr>
          <w:spacing w:val="-7"/>
          <w:sz w:val="22"/>
        </w:rPr>
        <w:t> </w:t>
      </w:r>
      <w:r>
        <w:rPr>
          <w:sz w:val="22"/>
        </w:rPr>
        <w:t>State</w:t>
      </w:r>
      <w:r>
        <w:rPr>
          <w:spacing w:val="-7"/>
          <w:sz w:val="22"/>
        </w:rPr>
        <w:t> </w:t>
      </w:r>
      <w:r>
        <w:rPr>
          <w:sz w:val="22"/>
        </w:rPr>
        <w:t>will</w:t>
      </w:r>
      <w:r>
        <w:rPr>
          <w:spacing w:val="-6"/>
          <w:sz w:val="22"/>
        </w:rPr>
        <w:t> </w:t>
      </w:r>
      <w:r>
        <w:rPr>
          <w:sz w:val="22"/>
        </w:rPr>
        <w:t>use state-specific data reported from its ACOs.</w:t>
      </w:r>
      <w:r>
        <w:rPr>
          <w:spacing w:val="40"/>
          <w:sz w:val="22"/>
        </w:rPr>
        <w:t> </w:t>
      </w:r>
      <w:r>
        <w:rPr>
          <w:sz w:val="22"/>
        </w:rPr>
        <w:t>In particular, the State anticipates using CY2017 historical MassHealth benchmarks for claims-based measures without appropriate national measure specifications, with</w:t>
      </w:r>
      <w:r>
        <w:rPr>
          <w:spacing w:val="-2"/>
          <w:sz w:val="22"/>
        </w:rPr>
        <w:t> </w:t>
      </w:r>
      <w:r>
        <w:rPr>
          <w:sz w:val="22"/>
        </w:rPr>
        <w:t>the</w:t>
      </w:r>
      <w:r>
        <w:rPr>
          <w:spacing w:val="-2"/>
          <w:sz w:val="22"/>
        </w:rPr>
        <w:t> </w:t>
      </w:r>
      <w:r>
        <w:rPr>
          <w:sz w:val="22"/>
        </w:rPr>
        <w:t>benchmark</w:t>
      </w:r>
      <w:r>
        <w:rPr>
          <w:spacing w:val="-2"/>
          <w:sz w:val="22"/>
        </w:rPr>
        <w:t> </w:t>
      </w:r>
      <w:r>
        <w:rPr>
          <w:sz w:val="22"/>
        </w:rPr>
        <w:t>dataset</w:t>
      </w:r>
      <w:r>
        <w:rPr>
          <w:spacing w:val="-1"/>
          <w:sz w:val="22"/>
        </w:rPr>
        <w:t> </w:t>
      </w:r>
      <w:r>
        <w:rPr>
          <w:sz w:val="22"/>
        </w:rPr>
        <w:t>potentially</w:t>
      </w:r>
      <w:r>
        <w:rPr>
          <w:spacing w:val="-2"/>
          <w:sz w:val="22"/>
        </w:rPr>
        <w:t> </w:t>
      </w:r>
      <w:r>
        <w:rPr>
          <w:sz w:val="22"/>
        </w:rPr>
        <w:t>based on</w:t>
      </w:r>
      <w:r>
        <w:rPr>
          <w:spacing w:val="-2"/>
          <w:sz w:val="22"/>
        </w:rPr>
        <w:t> </w:t>
      </w:r>
      <w:r>
        <w:rPr>
          <w:sz w:val="22"/>
        </w:rPr>
        <w:t>performance of MassHealth ACO-eligible members.</w:t>
      </w:r>
      <w:r>
        <w:rPr>
          <w:spacing w:val="40"/>
          <w:sz w:val="22"/>
        </w:rPr>
        <w:t> </w:t>
      </w:r>
      <w:r>
        <w:rPr>
          <w:sz w:val="22"/>
        </w:rPr>
        <w:t>For these</w:t>
      </w:r>
      <w:r>
        <w:rPr>
          <w:spacing w:val="-8"/>
          <w:sz w:val="22"/>
        </w:rPr>
        <w:t> </w:t>
      </w:r>
      <w:r>
        <w:rPr>
          <w:sz w:val="22"/>
        </w:rPr>
        <w:t>measures,</w:t>
      </w:r>
      <w:r>
        <w:rPr>
          <w:spacing w:val="-11"/>
          <w:sz w:val="22"/>
        </w:rPr>
        <w:t> </w:t>
      </w:r>
      <w:r>
        <w:rPr>
          <w:sz w:val="22"/>
        </w:rPr>
        <w:t>the</w:t>
      </w:r>
      <w:r>
        <w:rPr>
          <w:spacing w:val="-8"/>
          <w:sz w:val="22"/>
        </w:rPr>
        <w:t> </w:t>
      </w:r>
      <w:r>
        <w:rPr>
          <w:sz w:val="22"/>
        </w:rPr>
        <w:t>State</w:t>
      </w:r>
      <w:r>
        <w:rPr>
          <w:spacing w:val="-8"/>
          <w:sz w:val="22"/>
        </w:rPr>
        <w:t> </w:t>
      </w:r>
      <w:r>
        <w:rPr>
          <w:sz w:val="22"/>
        </w:rPr>
        <w:t>will</w:t>
      </w:r>
      <w:r>
        <w:rPr>
          <w:spacing w:val="-9"/>
          <w:sz w:val="22"/>
        </w:rPr>
        <w:t> </w:t>
      </w:r>
      <w:r>
        <w:rPr>
          <w:sz w:val="22"/>
        </w:rPr>
        <w:t>propose</w:t>
      </w:r>
      <w:r>
        <w:rPr>
          <w:spacing w:val="-10"/>
          <w:sz w:val="22"/>
        </w:rPr>
        <w:t> </w:t>
      </w:r>
      <w:r>
        <w:rPr>
          <w:sz w:val="22"/>
        </w:rPr>
        <w:t>Attainment</w:t>
      </w:r>
      <w:r>
        <w:rPr>
          <w:spacing w:val="-9"/>
          <w:sz w:val="22"/>
        </w:rPr>
        <w:t> </w:t>
      </w:r>
      <w:r>
        <w:rPr>
          <w:sz w:val="22"/>
        </w:rPr>
        <w:t>Thresholds</w:t>
      </w:r>
      <w:r>
        <w:rPr>
          <w:spacing w:val="-8"/>
          <w:sz w:val="22"/>
        </w:rPr>
        <w:t> </w:t>
      </w:r>
      <w:r>
        <w:rPr>
          <w:sz w:val="22"/>
        </w:rPr>
        <w:t>and</w:t>
      </w:r>
      <w:r>
        <w:rPr>
          <w:spacing w:val="-8"/>
          <w:sz w:val="22"/>
        </w:rPr>
        <w:t> </w:t>
      </w:r>
      <w:r>
        <w:rPr>
          <w:sz w:val="22"/>
        </w:rPr>
        <w:t>Goal</w:t>
      </w:r>
      <w:r>
        <w:rPr>
          <w:spacing w:val="-7"/>
          <w:sz w:val="22"/>
        </w:rPr>
        <w:t> </w:t>
      </w:r>
      <w:r>
        <w:rPr>
          <w:sz w:val="22"/>
        </w:rPr>
        <w:t>Benchmarks</w:t>
      </w:r>
      <w:r>
        <w:rPr>
          <w:spacing w:val="-8"/>
          <w:sz w:val="22"/>
        </w:rPr>
        <w:t> </w:t>
      </w:r>
      <w:r>
        <w:rPr>
          <w:sz w:val="22"/>
        </w:rPr>
        <w:t>to</w:t>
      </w:r>
      <w:r>
        <w:rPr>
          <w:spacing w:val="-8"/>
          <w:sz w:val="22"/>
        </w:rPr>
        <w:t> </w:t>
      </w:r>
      <w:r>
        <w:rPr>
          <w:sz w:val="22"/>
        </w:rPr>
        <w:t>CMS</w:t>
      </w:r>
      <w:r>
        <w:rPr>
          <w:spacing w:val="-11"/>
          <w:sz w:val="22"/>
        </w:rPr>
        <w:t> </w:t>
      </w:r>
      <w:r>
        <w:rPr>
          <w:sz w:val="22"/>
        </w:rPr>
        <w:t>by</w:t>
      </w:r>
      <w:r>
        <w:rPr>
          <w:spacing w:val="-11"/>
          <w:sz w:val="22"/>
        </w:rPr>
        <w:t> </w:t>
      </w:r>
      <w:r>
        <w:rPr>
          <w:sz w:val="22"/>
        </w:rPr>
        <w:t>November </w:t>
      </w:r>
      <w:r>
        <w:rPr>
          <w:spacing w:val="-2"/>
          <w:sz w:val="22"/>
        </w:rPr>
        <w:t>2018.</w:t>
      </w:r>
    </w:p>
    <w:p>
      <w:pPr>
        <w:spacing w:before="160"/>
        <w:ind w:left="1219" w:right="1096" w:firstLine="0"/>
        <w:jc w:val="both"/>
        <w:rPr>
          <w:sz w:val="22"/>
        </w:rPr>
      </w:pPr>
      <w:r>
        <w:rPr>
          <w:sz w:val="22"/>
        </w:rPr>
        <w:t>The State anticipates using CY2018 MassHealth ACO-attributed benchmarks for patient experience measures, most measures that require chart review, or for most claims-based measures that were not previously</w:t>
      </w:r>
      <w:r>
        <w:rPr>
          <w:spacing w:val="-14"/>
          <w:sz w:val="22"/>
        </w:rPr>
        <w:t> </w:t>
      </w:r>
      <w:r>
        <w:rPr>
          <w:sz w:val="22"/>
        </w:rPr>
        <w:t>collected</w:t>
      </w:r>
      <w:r>
        <w:rPr>
          <w:spacing w:val="-14"/>
          <w:sz w:val="22"/>
        </w:rPr>
        <w:t> </w:t>
      </w:r>
      <w:r>
        <w:rPr>
          <w:sz w:val="22"/>
        </w:rPr>
        <w:t>prior</w:t>
      </w:r>
      <w:r>
        <w:rPr>
          <w:spacing w:val="-14"/>
          <w:sz w:val="22"/>
        </w:rPr>
        <w:t> </w:t>
      </w:r>
      <w:r>
        <w:rPr>
          <w:sz w:val="22"/>
        </w:rPr>
        <w:t>to</w:t>
      </w:r>
      <w:r>
        <w:rPr>
          <w:spacing w:val="-13"/>
          <w:sz w:val="22"/>
        </w:rPr>
        <w:t> </w:t>
      </w:r>
      <w:r>
        <w:rPr>
          <w:sz w:val="22"/>
        </w:rPr>
        <w:t>DSRIP</w:t>
      </w:r>
      <w:r>
        <w:rPr>
          <w:spacing w:val="-14"/>
          <w:sz w:val="22"/>
        </w:rPr>
        <w:t> </w:t>
      </w:r>
      <w:r>
        <w:rPr>
          <w:sz w:val="22"/>
        </w:rPr>
        <w:t>(e.g.</w:t>
      </w:r>
      <w:r>
        <w:rPr>
          <w:spacing w:val="-14"/>
          <w:sz w:val="22"/>
        </w:rPr>
        <w:t> </w:t>
      </w:r>
      <w:r>
        <w:rPr>
          <w:sz w:val="22"/>
        </w:rPr>
        <w:t>the</w:t>
      </w:r>
      <w:r>
        <w:rPr>
          <w:spacing w:val="-14"/>
          <w:sz w:val="22"/>
        </w:rPr>
        <w:t> </w:t>
      </w:r>
      <w:r>
        <w:rPr>
          <w:sz w:val="22"/>
        </w:rPr>
        <w:t>measures</w:t>
      </w:r>
      <w:r>
        <w:rPr>
          <w:spacing w:val="-13"/>
          <w:sz w:val="22"/>
        </w:rPr>
        <w:t> </w:t>
      </w:r>
      <w:r>
        <w:rPr>
          <w:sz w:val="22"/>
        </w:rPr>
        <w:t>in</w:t>
      </w:r>
      <w:r>
        <w:rPr>
          <w:spacing w:val="-14"/>
          <w:sz w:val="22"/>
        </w:rPr>
        <w:t> </w:t>
      </w:r>
      <w:r>
        <w:rPr>
          <w:sz w:val="22"/>
        </w:rPr>
        <w:t>the</w:t>
      </w:r>
      <w:r>
        <w:rPr>
          <w:spacing w:val="-14"/>
          <w:sz w:val="22"/>
        </w:rPr>
        <w:t> </w:t>
      </w:r>
      <w:r>
        <w:rPr>
          <w:sz w:val="22"/>
        </w:rPr>
        <w:t>Care</w:t>
      </w:r>
      <w:r>
        <w:rPr>
          <w:spacing w:val="-14"/>
          <w:sz w:val="22"/>
        </w:rPr>
        <w:t> </w:t>
      </w:r>
      <w:r>
        <w:rPr>
          <w:sz w:val="22"/>
        </w:rPr>
        <w:t>Integration</w:t>
      </w:r>
      <w:r>
        <w:rPr>
          <w:spacing w:val="-13"/>
          <w:sz w:val="22"/>
        </w:rPr>
        <w:t> </w:t>
      </w:r>
      <w:r>
        <w:rPr>
          <w:sz w:val="22"/>
        </w:rPr>
        <w:t>Domain).</w:t>
      </w:r>
      <w:r>
        <w:rPr>
          <w:spacing w:val="-14"/>
          <w:sz w:val="22"/>
        </w:rPr>
        <w:t> </w:t>
      </w:r>
      <w:r>
        <w:rPr>
          <w:sz w:val="22"/>
        </w:rPr>
        <w:t>For</w:t>
      </w:r>
      <w:r>
        <w:rPr>
          <w:spacing w:val="-14"/>
          <w:sz w:val="22"/>
        </w:rPr>
        <w:t> </w:t>
      </w:r>
      <w:r>
        <w:rPr>
          <w:sz w:val="22"/>
        </w:rPr>
        <w:t>these</w:t>
      </w:r>
      <w:r>
        <w:rPr>
          <w:spacing w:val="-14"/>
          <w:sz w:val="22"/>
        </w:rPr>
        <w:t> </w:t>
      </w:r>
      <w:r>
        <w:rPr>
          <w:sz w:val="22"/>
        </w:rPr>
        <w:t>measures, the State will propose Attainment Thresholds and Goal Benchmarks to CMS by November 2019.</w:t>
      </w:r>
    </w:p>
    <w:p>
      <w:pPr>
        <w:spacing w:after="0"/>
        <w:jc w:val="both"/>
        <w:rPr>
          <w:sz w:val="22"/>
        </w:rPr>
        <w:sectPr>
          <w:pgSz w:w="12240" w:h="15840"/>
          <w:pgMar w:header="0" w:footer="967" w:top="1440" w:bottom="1160" w:left="220" w:right="340"/>
        </w:sectPr>
      </w:pPr>
    </w:p>
    <w:p>
      <w:pPr>
        <w:spacing w:line="242" w:lineRule="auto" w:before="78"/>
        <w:ind w:left="1219" w:right="1095" w:firstLine="0"/>
        <w:jc w:val="both"/>
        <w:rPr>
          <w:sz w:val="22"/>
        </w:rPr>
      </w:pPr>
      <w:r>
        <w:rPr>
          <w:sz w:val="22"/>
        </w:rPr>
        <w:t>For claims-based measures that require more time to develop risk adjustment methodologies the State anticipates using CY2018 and/or CY2019 MassHealth ACO data for the purposes of benchmarking and will propose Attainment Thresholds and Goal Benchmarks to CMS in Q1 CY2022.</w:t>
      </w:r>
    </w:p>
    <w:p>
      <w:pPr>
        <w:spacing w:before="153"/>
        <w:ind w:left="1219" w:right="1096" w:firstLine="0"/>
        <w:jc w:val="both"/>
        <w:rPr>
          <w:sz w:val="22"/>
        </w:rPr>
      </w:pPr>
      <w:r>
        <w:rPr>
          <w:sz w:val="22"/>
        </w:rPr>
        <w:t>For</w:t>
      </w:r>
      <w:r>
        <w:rPr>
          <w:spacing w:val="-5"/>
          <w:sz w:val="22"/>
        </w:rPr>
        <w:t> </w:t>
      </w:r>
      <w:r>
        <w:rPr>
          <w:sz w:val="22"/>
        </w:rPr>
        <w:t>ACO</w:t>
      </w:r>
      <w:r>
        <w:rPr>
          <w:spacing w:val="-6"/>
          <w:sz w:val="22"/>
        </w:rPr>
        <w:t> </w:t>
      </w:r>
      <w:r>
        <w:rPr>
          <w:sz w:val="22"/>
        </w:rPr>
        <w:t>measures</w:t>
      </w:r>
      <w:r>
        <w:rPr>
          <w:spacing w:val="-5"/>
          <w:sz w:val="22"/>
        </w:rPr>
        <w:t> </w:t>
      </w:r>
      <w:r>
        <w:rPr>
          <w:sz w:val="22"/>
        </w:rPr>
        <w:t>which</w:t>
      </w:r>
      <w:r>
        <w:rPr>
          <w:spacing w:val="-7"/>
          <w:sz w:val="22"/>
        </w:rPr>
        <w:t> </w:t>
      </w:r>
      <w:r>
        <w:rPr>
          <w:sz w:val="22"/>
        </w:rPr>
        <w:t>require</w:t>
      </w:r>
      <w:r>
        <w:rPr>
          <w:spacing w:val="-5"/>
          <w:sz w:val="22"/>
        </w:rPr>
        <w:t> </w:t>
      </w:r>
      <w:r>
        <w:rPr>
          <w:sz w:val="22"/>
        </w:rPr>
        <w:t>processing</w:t>
      </w:r>
      <w:r>
        <w:rPr>
          <w:spacing w:val="-7"/>
          <w:sz w:val="22"/>
        </w:rPr>
        <w:t> </w:t>
      </w:r>
      <w:r>
        <w:rPr>
          <w:sz w:val="22"/>
        </w:rPr>
        <w:t>of</w:t>
      </w:r>
      <w:r>
        <w:rPr>
          <w:spacing w:val="-6"/>
          <w:sz w:val="22"/>
        </w:rPr>
        <w:t> </w:t>
      </w:r>
      <w:r>
        <w:rPr>
          <w:sz w:val="22"/>
        </w:rPr>
        <w:t>CP</w:t>
      </w:r>
      <w:r>
        <w:rPr>
          <w:spacing w:val="-6"/>
          <w:sz w:val="22"/>
        </w:rPr>
        <w:t> </w:t>
      </w:r>
      <w:r>
        <w:rPr>
          <w:sz w:val="22"/>
        </w:rPr>
        <w:t>qualifying</w:t>
      </w:r>
      <w:r>
        <w:rPr>
          <w:spacing w:val="-7"/>
          <w:sz w:val="22"/>
        </w:rPr>
        <w:t> </w:t>
      </w:r>
      <w:r>
        <w:rPr>
          <w:sz w:val="22"/>
        </w:rPr>
        <w:t>activities,</w:t>
      </w:r>
      <w:r>
        <w:rPr>
          <w:spacing w:val="-7"/>
          <w:sz w:val="22"/>
        </w:rPr>
        <w:t> </w:t>
      </w:r>
      <w:r>
        <w:rPr>
          <w:sz w:val="22"/>
        </w:rPr>
        <w:t>the</w:t>
      </w:r>
      <w:r>
        <w:rPr>
          <w:spacing w:val="-5"/>
          <w:sz w:val="22"/>
        </w:rPr>
        <w:t> </w:t>
      </w:r>
      <w:r>
        <w:rPr>
          <w:sz w:val="22"/>
        </w:rPr>
        <w:t>State</w:t>
      </w:r>
      <w:r>
        <w:rPr>
          <w:spacing w:val="-7"/>
          <w:sz w:val="22"/>
        </w:rPr>
        <w:t> </w:t>
      </w:r>
      <w:r>
        <w:rPr>
          <w:sz w:val="22"/>
        </w:rPr>
        <w:t>will</w:t>
      </w:r>
      <w:r>
        <w:rPr>
          <w:spacing w:val="-6"/>
          <w:sz w:val="22"/>
        </w:rPr>
        <w:t> </w:t>
      </w:r>
      <w:r>
        <w:rPr>
          <w:sz w:val="22"/>
        </w:rPr>
        <w:t>propose</w:t>
      </w:r>
      <w:r>
        <w:rPr>
          <w:spacing w:val="-5"/>
          <w:sz w:val="22"/>
        </w:rPr>
        <w:t> </w:t>
      </w:r>
      <w:r>
        <w:rPr>
          <w:sz w:val="22"/>
        </w:rPr>
        <w:t>Attainment Thresholds and Goal Benchmarks to CMS in Q4 CY2021.</w:t>
      </w:r>
    </w:p>
    <w:p>
      <w:pPr>
        <w:spacing w:before="159"/>
        <w:ind w:left="1219" w:right="1095" w:firstLine="0"/>
        <w:jc w:val="both"/>
        <w:rPr>
          <w:sz w:val="22"/>
        </w:rPr>
      </w:pPr>
      <w:r>
        <w:rPr>
          <w:sz w:val="22"/>
        </w:rPr>
        <w:t>All proposed benchmarks that the State submits to CMS will have been reviewed by the DSRIP Advisory Committee on Quality, and will be accompanied by individual rationales for each benchmark.</w:t>
      </w:r>
      <w:r>
        <w:rPr>
          <w:spacing w:val="40"/>
          <w:sz w:val="22"/>
        </w:rPr>
        <w:t> </w:t>
      </w:r>
      <w:r>
        <w:rPr>
          <w:sz w:val="22"/>
        </w:rPr>
        <w:t>CMS will provide written feedback</w:t>
      </w:r>
      <w:r>
        <w:rPr>
          <w:spacing w:val="-1"/>
          <w:sz w:val="22"/>
        </w:rPr>
        <w:t> </w:t>
      </w:r>
      <w:r>
        <w:rPr>
          <w:sz w:val="22"/>
        </w:rPr>
        <w:t>on the proposed benchmarks and rationale within 90 calendar days.</w:t>
      </w:r>
      <w:r>
        <w:rPr>
          <w:spacing w:val="40"/>
          <w:sz w:val="22"/>
        </w:rPr>
        <w:t> </w:t>
      </w:r>
      <w:r>
        <w:rPr>
          <w:sz w:val="22"/>
        </w:rPr>
        <w:t>If CMS has not provided written feedback within 90 calendar days, then the benchmarks will be deemed approved, given the necessity of providing these benchmarks to ACOs prior to the start of their next Budget Period.</w:t>
      </w:r>
    </w:p>
    <w:p>
      <w:pPr>
        <w:spacing w:line="240" w:lineRule="auto" w:before="161"/>
        <w:ind w:left="1219" w:right="1094" w:firstLine="0"/>
        <w:jc w:val="both"/>
        <w:rPr>
          <w:sz w:val="22"/>
        </w:rPr>
      </w:pPr>
      <w:r>
        <w:rPr>
          <w:sz w:val="22"/>
        </w:rPr>
        <w:t>The State will annually evaluate the impact(s) of any measure specification changes on the measure benchmarks, and will review the changes and any need for adjusting established benchmarks with the DSRIP Advisory Committee on Quality. The State will submit to CMS a list of proposed changes to measure</w:t>
      </w:r>
      <w:r>
        <w:rPr>
          <w:spacing w:val="-2"/>
          <w:sz w:val="22"/>
        </w:rPr>
        <w:t> </w:t>
      </w:r>
      <w:r>
        <w:rPr>
          <w:sz w:val="22"/>
        </w:rPr>
        <w:t>benchmarks</w:t>
      </w:r>
      <w:r>
        <w:rPr>
          <w:spacing w:val="-2"/>
          <w:sz w:val="22"/>
        </w:rPr>
        <w:t> </w:t>
      </w:r>
      <w:r>
        <w:rPr>
          <w:sz w:val="22"/>
        </w:rPr>
        <w:t>each</w:t>
      </w:r>
      <w:r>
        <w:rPr>
          <w:spacing w:val="-5"/>
          <w:sz w:val="22"/>
        </w:rPr>
        <w:t> </w:t>
      </w:r>
      <w:r>
        <w:rPr>
          <w:sz w:val="22"/>
        </w:rPr>
        <w:t>November</w:t>
      </w:r>
      <w:r>
        <w:rPr>
          <w:spacing w:val="-1"/>
          <w:sz w:val="22"/>
        </w:rPr>
        <w:t> </w:t>
      </w:r>
      <w:r>
        <w:rPr>
          <w:sz w:val="22"/>
        </w:rPr>
        <w:t>prior</w:t>
      </w:r>
      <w:r>
        <w:rPr>
          <w:spacing w:val="-4"/>
          <w:sz w:val="22"/>
        </w:rPr>
        <w:t> </w:t>
      </w:r>
      <w:r>
        <w:rPr>
          <w:sz w:val="22"/>
        </w:rPr>
        <w:t>to</w:t>
      </w:r>
      <w:r>
        <w:rPr>
          <w:spacing w:val="-5"/>
          <w:sz w:val="22"/>
        </w:rPr>
        <w:t> </w:t>
      </w:r>
      <w:r>
        <w:rPr>
          <w:sz w:val="22"/>
        </w:rPr>
        <w:t>the</w:t>
      </w:r>
      <w:r>
        <w:rPr>
          <w:spacing w:val="-4"/>
          <w:sz w:val="22"/>
        </w:rPr>
        <w:t> </w:t>
      </w:r>
      <w:r>
        <w:rPr>
          <w:sz w:val="22"/>
        </w:rPr>
        <w:t>start</w:t>
      </w:r>
      <w:r>
        <w:rPr>
          <w:spacing w:val="-4"/>
          <w:sz w:val="22"/>
        </w:rPr>
        <w:t> </w:t>
      </w:r>
      <w:r>
        <w:rPr>
          <w:sz w:val="22"/>
        </w:rPr>
        <w:t>of</w:t>
      </w:r>
      <w:r>
        <w:rPr>
          <w:spacing w:val="-1"/>
          <w:sz w:val="22"/>
        </w:rPr>
        <w:t> </w:t>
      </w:r>
      <w:r>
        <w:rPr>
          <w:sz w:val="22"/>
        </w:rPr>
        <w:t>the</w:t>
      </w:r>
      <w:r>
        <w:rPr>
          <w:spacing w:val="-2"/>
          <w:sz w:val="22"/>
        </w:rPr>
        <w:t> </w:t>
      </w:r>
      <w:r>
        <w:rPr>
          <w:sz w:val="22"/>
        </w:rPr>
        <w:t>measurement</w:t>
      </w:r>
      <w:r>
        <w:rPr>
          <w:spacing w:val="-1"/>
          <w:sz w:val="22"/>
        </w:rPr>
        <w:t> </w:t>
      </w:r>
      <w:r>
        <w:rPr>
          <w:sz w:val="22"/>
        </w:rPr>
        <w:t>year.</w:t>
      </w:r>
      <w:r>
        <w:rPr>
          <w:spacing w:val="80"/>
          <w:sz w:val="22"/>
        </w:rPr>
        <w:t> </w:t>
      </w:r>
      <w:r>
        <w:rPr>
          <w:sz w:val="22"/>
        </w:rPr>
        <w:t>The</w:t>
      </w:r>
      <w:r>
        <w:rPr>
          <w:spacing w:val="-4"/>
          <w:sz w:val="22"/>
        </w:rPr>
        <w:t> </w:t>
      </w:r>
      <w:r>
        <w:rPr>
          <w:sz w:val="22"/>
        </w:rPr>
        <w:t>State</w:t>
      </w:r>
      <w:r>
        <w:rPr>
          <w:spacing w:val="-4"/>
          <w:sz w:val="22"/>
        </w:rPr>
        <w:t> </w:t>
      </w:r>
      <w:r>
        <w:rPr>
          <w:sz w:val="22"/>
        </w:rPr>
        <w:t>will</w:t>
      </w:r>
      <w:r>
        <w:rPr>
          <w:spacing w:val="-1"/>
          <w:sz w:val="22"/>
        </w:rPr>
        <w:t> </w:t>
      </w:r>
      <w:r>
        <w:rPr>
          <w:sz w:val="22"/>
        </w:rPr>
        <w:t>also</w:t>
      </w:r>
      <w:r>
        <w:rPr>
          <w:spacing w:val="-5"/>
          <w:sz w:val="22"/>
        </w:rPr>
        <w:t> </w:t>
      </w:r>
      <w:r>
        <w:rPr>
          <w:sz w:val="22"/>
        </w:rPr>
        <w:t>share a rationale for such changes to CMS, and any changes will be subject to CMS approval.</w:t>
      </w:r>
    </w:p>
    <w:p>
      <w:pPr>
        <w:spacing w:before="160"/>
        <w:ind w:left="1219" w:right="1093" w:firstLine="0"/>
        <w:jc w:val="both"/>
        <w:rPr>
          <w:sz w:val="22"/>
        </w:rPr>
      </w:pPr>
      <w:r>
        <w:rPr>
          <w:sz w:val="22"/>
        </w:rPr>
        <w:t>In</w:t>
      </w:r>
      <w:r>
        <w:rPr>
          <w:spacing w:val="-11"/>
          <w:sz w:val="22"/>
        </w:rPr>
        <w:t> </w:t>
      </w:r>
      <w:r>
        <w:rPr>
          <w:sz w:val="22"/>
        </w:rPr>
        <w:t>response</w:t>
      </w:r>
      <w:r>
        <w:rPr>
          <w:spacing w:val="-11"/>
          <w:sz w:val="22"/>
        </w:rPr>
        <w:t> </w:t>
      </w:r>
      <w:r>
        <w:rPr>
          <w:sz w:val="22"/>
        </w:rPr>
        <w:t>to</w:t>
      </w:r>
      <w:r>
        <w:rPr>
          <w:spacing w:val="-13"/>
          <w:sz w:val="22"/>
        </w:rPr>
        <w:t> </w:t>
      </w:r>
      <w:r>
        <w:rPr>
          <w:sz w:val="22"/>
        </w:rPr>
        <w:t>the</w:t>
      </w:r>
      <w:r>
        <w:rPr>
          <w:spacing w:val="-13"/>
          <w:sz w:val="22"/>
        </w:rPr>
        <w:t> </w:t>
      </w:r>
      <w:r>
        <w:rPr>
          <w:sz w:val="22"/>
        </w:rPr>
        <w:t>public</w:t>
      </w:r>
      <w:r>
        <w:rPr>
          <w:spacing w:val="-10"/>
          <w:sz w:val="22"/>
        </w:rPr>
        <w:t> </w:t>
      </w:r>
      <w:r>
        <w:rPr>
          <w:sz w:val="22"/>
        </w:rPr>
        <w:t>health</w:t>
      </w:r>
      <w:r>
        <w:rPr>
          <w:spacing w:val="-11"/>
          <w:sz w:val="22"/>
        </w:rPr>
        <w:t> </w:t>
      </w:r>
      <w:r>
        <w:rPr>
          <w:sz w:val="22"/>
        </w:rPr>
        <w:t>emergency</w:t>
      </w:r>
      <w:r>
        <w:rPr>
          <w:spacing w:val="-13"/>
          <w:sz w:val="22"/>
        </w:rPr>
        <w:t> </w:t>
      </w:r>
      <w:r>
        <w:rPr>
          <w:sz w:val="22"/>
        </w:rPr>
        <w:t>declared</w:t>
      </w:r>
      <w:r>
        <w:rPr>
          <w:spacing w:val="-11"/>
          <w:sz w:val="22"/>
        </w:rPr>
        <w:t> </w:t>
      </w:r>
      <w:r>
        <w:rPr>
          <w:sz w:val="22"/>
        </w:rPr>
        <w:t>by</w:t>
      </w:r>
      <w:r>
        <w:rPr>
          <w:spacing w:val="-13"/>
          <w:sz w:val="22"/>
        </w:rPr>
        <w:t> </w:t>
      </w:r>
      <w:r>
        <w:rPr>
          <w:sz w:val="22"/>
        </w:rPr>
        <w:t>the</w:t>
      </w:r>
      <w:r>
        <w:rPr>
          <w:spacing w:val="-10"/>
          <w:sz w:val="22"/>
        </w:rPr>
        <w:t> </w:t>
      </w:r>
      <w:r>
        <w:rPr>
          <w:sz w:val="22"/>
        </w:rPr>
        <w:t>state</w:t>
      </w:r>
      <w:r>
        <w:rPr>
          <w:spacing w:val="-10"/>
          <w:sz w:val="22"/>
        </w:rPr>
        <w:t> </w:t>
      </w:r>
      <w:r>
        <w:rPr>
          <w:sz w:val="22"/>
        </w:rPr>
        <w:t>or</w:t>
      </w:r>
      <w:r>
        <w:rPr>
          <w:spacing w:val="-11"/>
          <w:sz w:val="22"/>
        </w:rPr>
        <w:t> </w:t>
      </w:r>
      <w:r>
        <w:rPr>
          <w:sz w:val="22"/>
        </w:rPr>
        <w:t>federal</w:t>
      </w:r>
      <w:r>
        <w:rPr>
          <w:spacing w:val="-10"/>
          <w:sz w:val="22"/>
        </w:rPr>
        <w:t> </w:t>
      </w:r>
      <w:r>
        <w:rPr>
          <w:sz w:val="22"/>
        </w:rPr>
        <w:t>government,</w:t>
      </w:r>
      <w:r>
        <w:rPr>
          <w:spacing w:val="-13"/>
          <w:sz w:val="22"/>
        </w:rPr>
        <w:t> </w:t>
      </w:r>
      <w:r>
        <w:rPr>
          <w:sz w:val="22"/>
        </w:rPr>
        <w:t>the</w:t>
      </w:r>
      <w:r>
        <w:rPr>
          <w:spacing w:val="-10"/>
          <w:sz w:val="22"/>
        </w:rPr>
        <w:t> </w:t>
      </w:r>
      <w:r>
        <w:rPr>
          <w:sz w:val="22"/>
        </w:rPr>
        <w:t>State</w:t>
      </w:r>
      <w:r>
        <w:rPr>
          <w:spacing w:val="-11"/>
          <w:sz w:val="22"/>
        </w:rPr>
        <w:t> </w:t>
      </w:r>
      <w:r>
        <w:rPr>
          <w:sz w:val="22"/>
        </w:rPr>
        <w:t>will</w:t>
      </w:r>
      <w:r>
        <w:rPr>
          <w:spacing w:val="-10"/>
          <w:sz w:val="22"/>
        </w:rPr>
        <w:t> </w:t>
      </w:r>
      <w:r>
        <w:rPr>
          <w:sz w:val="22"/>
        </w:rPr>
        <w:t>utilize CY2020 data to assess the appropriateness of ACO benchmarks (informed by data prior to the start of the public health emergency) on measures in “Pay-for-Performance" status after the start of the public health emergency. Data obtained from CY2020 may be utilized to adjust benchmarks for measures deemed impacted by</w:t>
      </w:r>
      <w:r>
        <w:rPr>
          <w:spacing w:val="-2"/>
          <w:sz w:val="22"/>
        </w:rPr>
        <w:t> </w:t>
      </w:r>
      <w:r>
        <w:rPr>
          <w:sz w:val="22"/>
        </w:rPr>
        <w:t>the public health emergency</w:t>
      </w:r>
      <w:r>
        <w:rPr>
          <w:spacing w:val="-2"/>
          <w:sz w:val="22"/>
        </w:rPr>
        <w:t> </w:t>
      </w:r>
      <w:r>
        <w:rPr>
          <w:sz w:val="22"/>
        </w:rPr>
        <w:t>(i.e.,</w:t>
      </w:r>
      <w:r>
        <w:rPr>
          <w:spacing w:val="-2"/>
          <w:sz w:val="22"/>
        </w:rPr>
        <w:t> </w:t>
      </w:r>
      <w:r>
        <w:rPr>
          <w:sz w:val="22"/>
        </w:rPr>
        <w:t>any</w:t>
      </w:r>
      <w:r>
        <w:rPr>
          <w:spacing w:val="-2"/>
          <w:sz w:val="22"/>
        </w:rPr>
        <w:t> </w:t>
      </w:r>
      <w:r>
        <w:rPr>
          <w:sz w:val="22"/>
        </w:rPr>
        <w:t>measure</w:t>
      </w:r>
      <w:r>
        <w:rPr>
          <w:spacing w:val="-2"/>
          <w:sz w:val="22"/>
        </w:rPr>
        <w:t> </w:t>
      </w:r>
      <w:r>
        <w:rPr>
          <w:sz w:val="22"/>
        </w:rPr>
        <w:t>demonstrating</w:t>
      </w:r>
      <w:r>
        <w:rPr>
          <w:spacing w:val="-2"/>
          <w:sz w:val="22"/>
        </w:rPr>
        <w:t> </w:t>
      </w:r>
      <w:r>
        <w:rPr>
          <w:sz w:val="22"/>
        </w:rPr>
        <w:t>a statewide median decrease in performance</w:t>
      </w:r>
      <w:r>
        <w:rPr>
          <w:spacing w:val="-8"/>
          <w:sz w:val="22"/>
        </w:rPr>
        <w:t> </w:t>
      </w:r>
      <w:r>
        <w:rPr>
          <w:sz w:val="22"/>
        </w:rPr>
        <w:t>from</w:t>
      </w:r>
      <w:r>
        <w:rPr>
          <w:spacing w:val="-10"/>
          <w:sz w:val="22"/>
        </w:rPr>
        <w:t> </w:t>
      </w:r>
      <w:r>
        <w:rPr>
          <w:sz w:val="22"/>
        </w:rPr>
        <w:t>CY2019</w:t>
      </w:r>
      <w:r>
        <w:rPr>
          <w:spacing w:val="-9"/>
          <w:sz w:val="22"/>
        </w:rPr>
        <w:t> </w:t>
      </w:r>
      <w:r>
        <w:rPr>
          <w:sz w:val="22"/>
        </w:rPr>
        <w:t>to</w:t>
      </w:r>
      <w:r>
        <w:rPr>
          <w:spacing w:val="-6"/>
          <w:sz w:val="22"/>
        </w:rPr>
        <w:t> </w:t>
      </w:r>
      <w:r>
        <w:rPr>
          <w:sz w:val="22"/>
        </w:rPr>
        <w:t>CY2020).</w:t>
      </w:r>
      <w:r>
        <w:rPr>
          <w:spacing w:val="-9"/>
          <w:sz w:val="22"/>
        </w:rPr>
        <w:t> </w:t>
      </w:r>
      <w:r>
        <w:rPr>
          <w:sz w:val="22"/>
        </w:rPr>
        <w:t>Updated</w:t>
      </w:r>
      <w:r>
        <w:rPr>
          <w:spacing w:val="-9"/>
          <w:sz w:val="22"/>
        </w:rPr>
        <w:t> </w:t>
      </w:r>
      <w:r>
        <w:rPr>
          <w:sz w:val="22"/>
        </w:rPr>
        <w:t>benchmarks</w:t>
      </w:r>
      <w:r>
        <w:rPr>
          <w:spacing w:val="-6"/>
          <w:sz w:val="22"/>
        </w:rPr>
        <w:t> </w:t>
      </w:r>
      <w:r>
        <w:rPr>
          <w:sz w:val="22"/>
        </w:rPr>
        <w:t>will</w:t>
      </w:r>
      <w:r>
        <w:rPr>
          <w:spacing w:val="-8"/>
          <w:sz w:val="22"/>
        </w:rPr>
        <w:t> </w:t>
      </w:r>
      <w:r>
        <w:rPr>
          <w:sz w:val="22"/>
        </w:rPr>
        <w:t>be</w:t>
      </w:r>
      <w:r>
        <w:rPr>
          <w:spacing w:val="-8"/>
          <w:sz w:val="22"/>
        </w:rPr>
        <w:t> </w:t>
      </w:r>
      <w:r>
        <w:rPr>
          <w:sz w:val="22"/>
        </w:rPr>
        <w:t>proposed</w:t>
      </w:r>
      <w:r>
        <w:rPr>
          <w:spacing w:val="-9"/>
          <w:sz w:val="22"/>
        </w:rPr>
        <w:t> </w:t>
      </w:r>
      <w:r>
        <w:rPr>
          <w:sz w:val="22"/>
        </w:rPr>
        <w:t>to</w:t>
      </w:r>
      <w:r>
        <w:rPr>
          <w:spacing w:val="-9"/>
          <w:sz w:val="22"/>
        </w:rPr>
        <w:t> </w:t>
      </w:r>
      <w:r>
        <w:rPr>
          <w:sz w:val="22"/>
        </w:rPr>
        <w:t>CMS</w:t>
      </w:r>
      <w:r>
        <w:rPr>
          <w:spacing w:val="-6"/>
          <w:sz w:val="22"/>
        </w:rPr>
        <w:t> </w:t>
      </w:r>
      <w:r>
        <w:rPr>
          <w:sz w:val="22"/>
        </w:rPr>
        <w:t>by</w:t>
      </w:r>
      <w:r>
        <w:rPr>
          <w:spacing w:val="-9"/>
          <w:sz w:val="22"/>
        </w:rPr>
        <w:t> </w:t>
      </w:r>
      <w:r>
        <w:rPr>
          <w:sz w:val="22"/>
        </w:rPr>
        <w:t>Q2</w:t>
      </w:r>
      <w:r>
        <w:rPr>
          <w:spacing w:val="-6"/>
          <w:sz w:val="22"/>
        </w:rPr>
        <w:t> </w:t>
      </w:r>
      <w:r>
        <w:rPr>
          <w:sz w:val="22"/>
        </w:rPr>
        <w:t>CY2022</w:t>
      </w:r>
      <w:r>
        <w:rPr>
          <w:spacing w:val="-8"/>
          <w:sz w:val="22"/>
        </w:rPr>
        <w:t> </w:t>
      </w:r>
      <w:r>
        <w:rPr>
          <w:sz w:val="22"/>
        </w:rPr>
        <w:t>for approval and will be applied to impacted measures for CY2021.</w:t>
      </w:r>
    </w:p>
    <w:p>
      <w:pPr>
        <w:pStyle w:val="ListParagraph"/>
        <w:numPr>
          <w:ilvl w:val="3"/>
          <w:numId w:val="77"/>
        </w:numPr>
        <w:tabs>
          <w:tab w:pos="1938" w:val="left" w:leader="none"/>
        </w:tabs>
        <w:spacing w:line="252" w:lineRule="exact" w:before="199" w:after="0"/>
        <w:ind w:left="1938" w:right="0" w:hanging="719"/>
        <w:jc w:val="left"/>
        <w:rPr>
          <w:b/>
          <w:i/>
          <w:color w:val="4471C4"/>
          <w:sz w:val="22"/>
        </w:rPr>
      </w:pPr>
      <w:bookmarkStart w:name="5.3.1.2 Calculating ACO Quality Score in" w:id="1383"/>
      <w:bookmarkEnd w:id="1383"/>
      <w:r>
        <w:rPr/>
      </w:r>
      <w:r>
        <w:rPr>
          <w:b/>
          <w:i/>
          <w:color w:val="4471C4"/>
          <w:sz w:val="22"/>
        </w:rPr>
        <w:t>Calculating</w:t>
      </w:r>
      <w:r>
        <w:rPr>
          <w:b/>
          <w:i/>
          <w:color w:val="4471C4"/>
          <w:spacing w:val="-3"/>
          <w:sz w:val="22"/>
        </w:rPr>
        <w:t> </w:t>
      </w:r>
      <w:r>
        <w:rPr>
          <w:b/>
          <w:i/>
          <w:color w:val="4471C4"/>
          <w:sz w:val="22"/>
        </w:rPr>
        <w:t>ACO</w:t>
      </w:r>
      <w:r>
        <w:rPr>
          <w:b/>
          <w:i/>
          <w:color w:val="4471C4"/>
          <w:spacing w:val="-3"/>
          <w:sz w:val="22"/>
        </w:rPr>
        <w:t> </w:t>
      </w:r>
      <w:r>
        <w:rPr>
          <w:b/>
          <w:i/>
          <w:color w:val="4471C4"/>
          <w:sz w:val="22"/>
        </w:rPr>
        <w:t>Quality</w:t>
      </w:r>
      <w:r>
        <w:rPr>
          <w:b/>
          <w:i/>
          <w:color w:val="4471C4"/>
          <w:spacing w:val="-4"/>
          <w:sz w:val="22"/>
        </w:rPr>
        <w:t> </w:t>
      </w:r>
      <w:r>
        <w:rPr>
          <w:b/>
          <w:i/>
          <w:color w:val="4471C4"/>
          <w:sz w:val="22"/>
        </w:rPr>
        <w:t>Score</w:t>
      </w:r>
      <w:r>
        <w:rPr>
          <w:b/>
          <w:i/>
          <w:color w:val="4471C4"/>
          <w:spacing w:val="-4"/>
          <w:sz w:val="22"/>
        </w:rPr>
        <w:t> </w:t>
      </w:r>
      <w:r>
        <w:rPr>
          <w:b/>
          <w:i/>
          <w:color w:val="4471C4"/>
          <w:sz w:val="22"/>
        </w:rPr>
        <w:t>in</w:t>
      </w:r>
      <w:r>
        <w:rPr>
          <w:b/>
          <w:i/>
          <w:color w:val="4471C4"/>
          <w:spacing w:val="-4"/>
          <w:sz w:val="22"/>
        </w:rPr>
        <w:t> </w:t>
      </w:r>
      <w:r>
        <w:rPr>
          <w:b/>
          <w:i/>
          <w:color w:val="4471C4"/>
          <w:sz w:val="22"/>
        </w:rPr>
        <w:t>Budget</w:t>
      </w:r>
      <w:r>
        <w:rPr>
          <w:b/>
          <w:i/>
          <w:color w:val="4471C4"/>
          <w:spacing w:val="-1"/>
          <w:sz w:val="22"/>
        </w:rPr>
        <w:t> </w:t>
      </w:r>
      <w:r>
        <w:rPr>
          <w:b/>
          <w:i/>
          <w:color w:val="4471C4"/>
          <w:sz w:val="22"/>
        </w:rPr>
        <w:t>Period</w:t>
      </w:r>
      <w:r>
        <w:rPr>
          <w:b/>
          <w:i/>
          <w:color w:val="4471C4"/>
          <w:spacing w:val="-5"/>
          <w:sz w:val="22"/>
        </w:rPr>
        <w:t> </w:t>
      </w:r>
      <w:r>
        <w:rPr>
          <w:b/>
          <w:i/>
          <w:color w:val="4471C4"/>
          <w:sz w:val="22"/>
        </w:rPr>
        <w:t>1</w:t>
      </w:r>
      <w:r>
        <w:rPr>
          <w:b/>
          <w:i/>
          <w:color w:val="4471C4"/>
          <w:spacing w:val="-2"/>
          <w:sz w:val="22"/>
        </w:rPr>
        <w:t> (BP1)</w:t>
      </w:r>
    </w:p>
    <w:p>
      <w:pPr>
        <w:spacing w:line="244" w:lineRule="auto" w:before="0"/>
        <w:ind w:left="1219" w:right="1096" w:firstLine="0"/>
        <w:jc w:val="both"/>
        <w:rPr>
          <w:sz w:val="22"/>
        </w:rPr>
      </w:pPr>
      <w:r>
        <w:rPr>
          <w:sz w:val="22"/>
        </w:rPr>
        <w:t>Clinical Quality</w:t>
      </w:r>
      <w:r>
        <w:rPr>
          <w:spacing w:val="-3"/>
          <w:sz w:val="22"/>
        </w:rPr>
        <w:t> </w:t>
      </w:r>
      <w:r>
        <w:rPr>
          <w:sz w:val="22"/>
        </w:rPr>
        <w:t>measures</w:t>
      </w:r>
      <w:r>
        <w:rPr>
          <w:spacing w:val="-3"/>
          <w:sz w:val="22"/>
        </w:rPr>
        <w:t> </w:t>
      </w:r>
      <w:r>
        <w:rPr>
          <w:sz w:val="22"/>
        </w:rPr>
        <w:t>in</w:t>
      </w:r>
      <w:r>
        <w:rPr>
          <w:spacing w:val="-1"/>
          <w:sz w:val="22"/>
        </w:rPr>
        <w:t> </w:t>
      </w:r>
      <w:r>
        <w:rPr>
          <w:sz w:val="22"/>
        </w:rPr>
        <w:t>BP1</w:t>
      </w:r>
      <w:r>
        <w:rPr>
          <w:spacing w:val="-1"/>
          <w:sz w:val="22"/>
        </w:rPr>
        <w:t> </w:t>
      </w:r>
      <w:r>
        <w:rPr>
          <w:sz w:val="22"/>
        </w:rPr>
        <w:t>will</w:t>
      </w:r>
      <w:r>
        <w:rPr>
          <w:spacing w:val="-2"/>
          <w:sz w:val="22"/>
        </w:rPr>
        <w:t> </w:t>
      </w:r>
      <w:r>
        <w:rPr>
          <w:sz w:val="22"/>
        </w:rPr>
        <w:t>be</w:t>
      </w:r>
      <w:r>
        <w:rPr>
          <w:spacing w:val="-3"/>
          <w:sz w:val="22"/>
        </w:rPr>
        <w:t> </w:t>
      </w:r>
      <w:r>
        <w:rPr>
          <w:sz w:val="22"/>
        </w:rPr>
        <w:t>categorized</w:t>
      </w:r>
      <w:r>
        <w:rPr>
          <w:spacing w:val="-1"/>
          <w:sz w:val="22"/>
        </w:rPr>
        <w:t> </w:t>
      </w:r>
      <w:r>
        <w:rPr>
          <w:sz w:val="22"/>
        </w:rPr>
        <w:t>as either</w:t>
      </w:r>
      <w:r>
        <w:rPr>
          <w:spacing w:val="-2"/>
          <w:sz w:val="22"/>
        </w:rPr>
        <w:t> </w:t>
      </w:r>
      <w:r>
        <w:rPr>
          <w:sz w:val="22"/>
        </w:rPr>
        <w:t>“Reporting” or</w:t>
      </w:r>
      <w:r>
        <w:rPr>
          <w:spacing w:val="-3"/>
          <w:sz w:val="22"/>
        </w:rPr>
        <w:t> </w:t>
      </w:r>
      <w:r>
        <w:rPr>
          <w:sz w:val="22"/>
        </w:rPr>
        <w:t>“Pay-for-Reporting”</w:t>
      </w:r>
      <w:r>
        <w:rPr>
          <w:spacing w:val="-3"/>
          <w:sz w:val="22"/>
        </w:rPr>
        <w:t> </w:t>
      </w:r>
      <w:r>
        <w:rPr>
          <w:sz w:val="22"/>
        </w:rPr>
        <w:t>(P4R). Member Experience measures do not factor into the ACO Quality Score in BP1.</w:t>
      </w:r>
    </w:p>
    <w:p>
      <w:pPr>
        <w:spacing w:line="242" w:lineRule="auto" w:before="151"/>
        <w:ind w:left="1219" w:right="1096" w:firstLine="0"/>
        <w:jc w:val="both"/>
        <w:rPr>
          <w:sz w:val="22"/>
        </w:rPr>
      </w:pPr>
      <w:r>
        <w:rPr>
          <w:sz w:val="22"/>
        </w:rPr>
        <w:t>“Pay-for-Reporting” (P4R) applies to Hybrid measures which require ACOs to collect and report chart- review</w:t>
      </w:r>
      <w:r>
        <w:rPr>
          <w:spacing w:val="-5"/>
          <w:sz w:val="22"/>
        </w:rPr>
        <w:t> </w:t>
      </w:r>
      <w:r>
        <w:rPr>
          <w:sz w:val="22"/>
        </w:rPr>
        <w:t>data</w:t>
      </w:r>
      <w:r>
        <w:rPr>
          <w:spacing w:val="-3"/>
          <w:sz w:val="22"/>
        </w:rPr>
        <w:t> </w:t>
      </w:r>
      <w:r>
        <w:rPr>
          <w:sz w:val="22"/>
        </w:rPr>
        <w:t>(designated</w:t>
      </w:r>
      <w:r>
        <w:rPr>
          <w:spacing w:val="-4"/>
          <w:sz w:val="22"/>
        </w:rPr>
        <w:t> </w:t>
      </w:r>
      <w:r>
        <w:rPr>
          <w:sz w:val="22"/>
        </w:rPr>
        <w:t>as</w:t>
      </w:r>
      <w:r>
        <w:rPr>
          <w:spacing w:val="-3"/>
          <w:sz w:val="22"/>
        </w:rPr>
        <w:t> </w:t>
      </w:r>
      <w:r>
        <w:rPr>
          <w:sz w:val="22"/>
        </w:rPr>
        <w:t>“Hybrid”</w:t>
      </w:r>
      <w:r>
        <w:rPr>
          <w:spacing w:val="-3"/>
          <w:sz w:val="22"/>
        </w:rPr>
        <w:t> </w:t>
      </w:r>
      <w:r>
        <w:rPr>
          <w:sz w:val="22"/>
        </w:rPr>
        <w:t>in</w:t>
      </w:r>
      <w:r>
        <w:rPr>
          <w:spacing w:val="-4"/>
          <w:sz w:val="22"/>
        </w:rPr>
        <w:t> </w:t>
      </w:r>
      <w:r>
        <w:rPr>
          <w:sz w:val="22"/>
        </w:rPr>
        <w:t>Appendix</w:t>
      </w:r>
      <w:r>
        <w:rPr>
          <w:spacing w:val="-4"/>
          <w:sz w:val="22"/>
        </w:rPr>
        <w:t> </w:t>
      </w:r>
      <w:r>
        <w:rPr>
          <w:sz w:val="22"/>
        </w:rPr>
        <w:t>D).</w:t>
      </w:r>
      <w:r>
        <w:rPr>
          <w:spacing w:val="-6"/>
          <w:sz w:val="22"/>
        </w:rPr>
        <w:t> </w:t>
      </w:r>
      <w:r>
        <w:rPr>
          <w:sz w:val="22"/>
        </w:rPr>
        <w:t>P4R</w:t>
      </w:r>
      <w:r>
        <w:rPr>
          <w:spacing w:val="-5"/>
          <w:sz w:val="22"/>
        </w:rPr>
        <w:t> </w:t>
      </w:r>
      <w:r>
        <w:rPr>
          <w:sz w:val="22"/>
        </w:rPr>
        <w:t>measures</w:t>
      </w:r>
      <w:r>
        <w:rPr>
          <w:spacing w:val="-3"/>
          <w:sz w:val="22"/>
        </w:rPr>
        <w:t> </w:t>
      </w:r>
      <w:r>
        <w:rPr>
          <w:sz w:val="22"/>
        </w:rPr>
        <w:t>factor</w:t>
      </w:r>
      <w:r>
        <w:rPr>
          <w:spacing w:val="-3"/>
          <w:sz w:val="22"/>
        </w:rPr>
        <w:t> </w:t>
      </w:r>
      <w:r>
        <w:rPr>
          <w:sz w:val="22"/>
        </w:rPr>
        <w:t>into</w:t>
      </w:r>
      <w:r>
        <w:rPr>
          <w:spacing w:val="-6"/>
          <w:sz w:val="22"/>
        </w:rPr>
        <w:t> </w:t>
      </w:r>
      <w:r>
        <w:rPr>
          <w:sz w:val="22"/>
        </w:rPr>
        <w:t>the</w:t>
      </w:r>
      <w:r>
        <w:rPr>
          <w:spacing w:val="-3"/>
          <w:sz w:val="22"/>
        </w:rPr>
        <w:t> </w:t>
      </w:r>
      <w:r>
        <w:rPr>
          <w:sz w:val="22"/>
        </w:rPr>
        <w:t>ACO</w:t>
      </w:r>
      <w:r>
        <w:rPr>
          <w:spacing w:val="-5"/>
          <w:sz w:val="22"/>
        </w:rPr>
        <w:t> </w:t>
      </w:r>
      <w:r>
        <w:rPr>
          <w:sz w:val="22"/>
        </w:rPr>
        <w:t>Quality</w:t>
      </w:r>
      <w:r>
        <w:rPr>
          <w:spacing w:val="-6"/>
          <w:sz w:val="22"/>
        </w:rPr>
        <w:t> </w:t>
      </w:r>
      <w:r>
        <w:rPr>
          <w:sz w:val="22"/>
        </w:rPr>
        <w:t>Score</w:t>
      </w:r>
      <w:r>
        <w:rPr>
          <w:spacing w:val="-3"/>
          <w:sz w:val="22"/>
        </w:rPr>
        <w:t> </w:t>
      </w:r>
      <w:r>
        <w:rPr>
          <w:sz w:val="22"/>
        </w:rPr>
        <w:t>for </w:t>
      </w:r>
      <w:r>
        <w:rPr>
          <w:spacing w:val="-4"/>
          <w:sz w:val="22"/>
        </w:rPr>
        <w:t>BP1.</w:t>
      </w:r>
    </w:p>
    <w:p>
      <w:pPr>
        <w:spacing w:line="242" w:lineRule="auto" w:before="153"/>
        <w:ind w:left="1219" w:right="1097" w:firstLine="0"/>
        <w:jc w:val="both"/>
        <w:rPr>
          <w:sz w:val="22"/>
        </w:rPr>
      </w:pPr>
      <w:r>
        <w:rPr>
          <w:sz w:val="22"/>
        </w:rPr>
        <w:t>“Reporting” applies to administrative or claims-based measures (designated as “Admin” in Appendix D) which do not require ACOs to collect and report chart or record-review data. Reporting measures do not factor into the Total ACO Quality Score for BP1.</w:t>
      </w:r>
    </w:p>
    <w:p>
      <w:pPr>
        <w:spacing w:before="155"/>
        <w:ind w:left="1219" w:right="0" w:firstLine="0"/>
        <w:jc w:val="both"/>
        <w:rPr>
          <w:b/>
          <w:sz w:val="22"/>
        </w:rPr>
      </w:pPr>
      <w:r>
        <w:rPr>
          <w:b/>
          <w:sz w:val="22"/>
        </w:rPr>
        <w:t>Domain-based</w:t>
      </w:r>
      <w:r>
        <w:rPr>
          <w:b/>
          <w:spacing w:val="-4"/>
          <w:sz w:val="22"/>
        </w:rPr>
        <w:t> </w:t>
      </w:r>
      <w:r>
        <w:rPr>
          <w:b/>
          <w:sz w:val="22"/>
        </w:rPr>
        <w:t>scoring</w:t>
      </w:r>
      <w:r>
        <w:rPr>
          <w:b/>
          <w:spacing w:val="-5"/>
          <w:sz w:val="22"/>
        </w:rPr>
        <w:t> </w:t>
      </w:r>
      <w:r>
        <w:rPr>
          <w:b/>
          <w:sz w:val="22"/>
        </w:rPr>
        <w:t>will</w:t>
      </w:r>
      <w:r>
        <w:rPr>
          <w:b/>
          <w:spacing w:val="-1"/>
          <w:sz w:val="22"/>
        </w:rPr>
        <w:t> </w:t>
      </w:r>
      <w:r>
        <w:rPr>
          <w:b/>
          <w:sz w:val="22"/>
        </w:rPr>
        <w:t>not</w:t>
      </w:r>
      <w:r>
        <w:rPr>
          <w:b/>
          <w:spacing w:val="-1"/>
          <w:sz w:val="22"/>
        </w:rPr>
        <w:t> </w:t>
      </w:r>
      <w:r>
        <w:rPr>
          <w:b/>
          <w:sz w:val="22"/>
        </w:rPr>
        <w:t>be</w:t>
      </w:r>
      <w:r>
        <w:rPr>
          <w:b/>
          <w:spacing w:val="-3"/>
          <w:sz w:val="22"/>
        </w:rPr>
        <w:t> </w:t>
      </w:r>
      <w:r>
        <w:rPr>
          <w:b/>
          <w:sz w:val="22"/>
        </w:rPr>
        <w:t>used</w:t>
      </w:r>
      <w:r>
        <w:rPr>
          <w:b/>
          <w:spacing w:val="-5"/>
          <w:sz w:val="22"/>
        </w:rPr>
        <w:t> </w:t>
      </w:r>
      <w:r>
        <w:rPr>
          <w:b/>
          <w:sz w:val="22"/>
        </w:rPr>
        <w:t>in</w:t>
      </w:r>
      <w:r>
        <w:rPr>
          <w:b/>
          <w:spacing w:val="-5"/>
          <w:sz w:val="22"/>
        </w:rPr>
        <w:t> </w:t>
      </w:r>
      <w:r>
        <w:rPr>
          <w:b/>
          <w:sz w:val="22"/>
        </w:rPr>
        <w:t>Budget</w:t>
      </w:r>
      <w:r>
        <w:rPr>
          <w:b/>
          <w:spacing w:val="-4"/>
          <w:sz w:val="22"/>
        </w:rPr>
        <w:t> </w:t>
      </w:r>
      <w:r>
        <w:rPr>
          <w:b/>
          <w:sz w:val="22"/>
        </w:rPr>
        <w:t>Period</w:t>
      </w:r>
      <w:r>
        <w:rPr>
          <w:b/>
          <w:spacing w:val="-5"/>
          <w:sz w:val="22"/>
        </w:rPr>
        <w:t> </w:t>
      </w:r>
      <w:r>
        <w:rPr>
          <w:b/>
          <w:sz w:val="22"/>
        </w:rPr>
        <w:t>(BP)</w:t>
      </w:r>
      <w:r>
        <w:rPr>
          <w:b/>
          <w:spacing w:val="-1"/>
          <w:sz w:val="22"/>
        </w:rPr>
        <w:t> </w:t>
      </w:r>
      <w:r>
        <w:rPr>
          <w:b/>
          <w:spacing w:val="-10"/>
          <w:sz w:val="22"/>
        </w:rPr>
        <w:t>1</w:t>
      </w:r>
    </w:p>
    <w:p>
      <w:pPr>
        <w:spacing w:line="242" w:lineRule="auto" w:before="176"/>
        <w:ind w:left="1219" w:right="1095" w:firstLine="0"/>
        <w:jc w:val="both"/>
        <w:rPr>
          <w:sz w:val="22"/>
        </w:rPr>
      </w:pPr>
      <w:r>
        <w:rPr>
          <w:sz w:val="22"/>
        </w:rPr>
        <w:t>The score for each Quality Measure in BP1 is calculated using a common methodology, described in this section. Each ACO may receive either zero (0) or one (1) Pay-for-Reporting (P4R) point for each Quality </w:t>
      </w:r>
      <w:r>
        <w:rPr>
          <w:spacing w:val="-2"/>
          <w:sz w:val="22"/>
        </w:rPr>
        <w:t>Measure.</w:t>
      </w:r>
    </w:p>
    <w:p>
      <w:pPr>
        <w:pStyle w:val="ListParagraph"/>
        <w:numPr>
          <w:ilvl w:val="4"/>
          <w:numId w:val="77"/>
        </w:numPr>
        <w:tabs>
          <w:tab w:pos="1992" w:val="left" w:leader="none"/>
        </w:tabs>
        <w:spacing w:line="240" w:lineRule="auto" w:before="154" w:after="0"/>
        <w:ind w:left="1992" w:right="1096" w:hanging="361"/>
        <w:jc w:val="left"/>
        <w:rPr>
          <w:sz w:val="22"/>
        </w:rPr>
      </w:pPr>
      <w:r>
        <w:rPr>
          <w:sz w:val="22"/>
        </w:rPr>
        <w:t>ACOs will earn one (1) Pay-for-Reporting (P4R) point if they provide timely and complete data for each Hybrid measure.</w:t>
      </w:r>
    </w:p>
    <w:p>
      <w:pPr>
        <w:pStyle w:val="ListParagraph"/>
        <w:numPr>
          <w:ilvl w:val="4"/>
          <w:numId w:val="77"/>
        </w:numPr>
        <w:tabs>
          <w:tab w:pos="1992" w:val="left" w:leader="none"/>
        </w:tabs>
        <w:spacing w:line="240" w:lineRule="auto" w:before="0" w:after="0"/>
        <w:ind w:left="1992" w:right="1098" w:hanging="361"/>
        <w:jc w:val="left"/>
        <w:rPr>
          <w:sz w:val="22"/>
        </w:rPr>
      </w:pPr>
      <w:r>
        <w:rPr>
          <w:sz w:val="22"/>
        </w:rPr>
        <w:t>ACOs</w:t>
      </w:r>
      <w:r>
        <w:rPr>
          <w:spacing w:val="-14"/>
          <w:sz w:val="22"/>
        </w:rPr>
        <w:t> </w:t>
      </w:r>
      <w:r>
        <w:rPr>
          <w:sz w:val="22"/>
        </w:rPr>
        <w:t>will</w:t>
      </w:r>
      <w:r>
        <w:rPr>
          <w:spacing w:val="-14"/>
          <w:sz w:val="22"/>
        </w:rPr>
        <w:t> </w:t>
      </w:r>
      <w:r>
        <w:rPr>
          <w:sz w:val="22"/>
        </w:rPr>
        <w:t>earn</w:t>
      </w:r>
      <w:r>
        <w:rPr>
          <w:spacing w:val="-15"/>
          <w:sz w:val="22"/>
        </w:rPr>
        <w:t> </w:t>
      </w:r>
      <w:r>
        <w:rPr>
          <w:sz w:val="22"/>
        </w:rPr>
        <w:t>zero</w:t>
      </w:r>
      <w:r>
        <w:rPr>
          <w:spacing w:val="-15"/>
          <w:sz w:val="22"/>
        </w:rPr>
        <w:t> </w:t>
      </w:r>
      <w:r>
        <w:rPr>
          <w:sz w:val="22"/>
        </w:rPr>
        <w:t>(0)</w:t>
      </w:r>
      <w:r>
        <w:rPr>
          <w:spacing w:val="-14"/>
          <w:sz w:val="22"/>
        </w:rPr>
        <w:t> </w:t>
      </w:r>
      <w:r>
        <w:rPr>
          <w:sz w:val="22"/>
        </w:rPr>
        <w:t>Pay-for-Reporting</w:t>
      </w:r>
      <w:r>
        <w:rPr>
          <w:spacing w:val="-15"/>
          <w:sz w:val="22"/>
        </w:rPr>
        <w:t> </w:t>
      </w:r>
      <w:r>
        <w:rPr>
          <w:sz w:val="22"/>
        </w:rPr>
        <w:t>(P4R)</w:t>
      </w:r>
      <w:r>
        <w:rPr>
          <w:spacing w:val="-13"/>
          <w:sz w:val="22"/>
        </w:rPr>
        <w:t> </w:t>
      </w:r>
      <w:r>
        <w:rPr>
          <w:sz w:val="22"/>
        </w:rPr>
        <w:t>points</w:t>
      </w:r>
      <w:r>
        <w:rPr>
          <w:spacing w:val="-14"/>
          <w:sz w:val="22"/>
        </w:rPr>
        <w:t> </w:t>
      </w:r>
      <w:r>
        <w:rPr>
          <w:sz w:val="22"/>
        </w:rPr>
        <w:t>if</w:t>
      </w:r>
      <w:r>
        <w:rPr>
          <w:spacing w:val="-14"/>
          <w:sz w:val="22"/>
        </w:rPr>
        <w:t> </w:t>
      </w:r>
      <w:r>
        <w:rPr>
          <w:sz w:val="22"/>
        </w:rPr>
        <w:t>they</w:t>
      </w:r>
      <w:r>
        <w:rPr>
          <w:spacing w:val="-15"/>
          <w:sz w:val="22"/>
        </w:rPr>
        <w:t> </w:t>
      </w:r>
      <w:r>
        <w:rPr>
          <w:sz w:val="22"/>
        </w:rPr>
        <w:t>do</w:t>
      </w:r>
      <w:r>
        <w:rPr>
          <w:spacing w:val="-15"/>
          <w:sz w:val="22"/>
        </w:rPr>
        <w:t> </w:t>
      </w:r>
      <w:r>
        <w:rPr>
          <w:sz w:val="22"/>
        </w:rPr>
        <w:t>not</w:t>
      </w:r>
      <w:r>
        <w:rPr>
          <w:spacing w:val="-14"/>
          <w:sz w:val="22"/>
        </w:rPr>
        <w:t> </w:t>
      </w:r>
      <w:r>
        <w:rPr>
          <w:sz w:val="22"/>
        </w:rPr>
        <w:t>provide</w:t>
      </w:r>
      <w:r>
        <w:rPr>
          <w:spacing w:val="-14"/>
          <w:sz w:val="22"/>
        </w:rPr>
        <w:t> </w:t>
      </w:r>
      <w:r>
        <w:rPr>
          <w:sz w:val="22"/>
        </w:rPr>
        <w:t>timely</w:t>
      </w:r>
      <w:r>
        <w:rPr>
          <w:spacing w:val="-15"/>
          <w:sz w:val="22"/>
        </w:rPr>
        <w:t> </w:t>
      </w:r>
      <w:r>
        <w:rPr>
          <w:sz w:val="22"/>
        </w:rPr>
        <w:t>and</w:t>
      </w:r>
      <w:r>
        <w:rPr>
          <w:spacing w:val="-14"/>
          <w:sz w:val="22"/>
        </w:rPr>
        <w:t> </w:t>
      </w:r>
      <w:r>
        <w:rPr>
          <w:sz w:val="22"/>
        </w:rPr>
        <w:t>complete data for each Hybrid measure. There is no partial credit.</w:t>
      </w:r>
    </w:p>
    <w:p>
      <w:pPr>
        <w:spacing w:line="242" w:lineRule="auto" w:before="197"/>
        <w:ind w:left="1219" w:right="1096" w:firstLine="0"/>
        <w:jc w:val="both"/>
        <w:rPr>
          <w:sz w:val="22"/>
        </w:rPr>
      </w:pPr>
      <w:r>
        <w:rPr>
          <w:sz w:val="22"/>
        </w:rPr>
        <w:t>The</w:t>
      </w:r>
      <w:r>
        <w:rPr>
          <w:spacing w:val="-16"/>
          <w:sz w:val="22"/>
        </w:rPr>
        <w:t> </w:t>
      </w:r>
      <w:r>
        <w:rPr>
          <w:sz w:val="22"/>
        </w:rPr>
        <w:t>Total</w:t>
      </w:r>
      <w:r>
        <w:rPr>
          <w:spacing w:val="-14"/>
          <w:sz w:val="22"/>
        </w:rPr>
        <w:t> </w:t>
      </w:r>
      <w:r>
        <w:rPr>
          <w:sz w:val="22"/>
        </w:rPr>
        <w:t>ACO</w:t>
      </w:r>
      <w:r>
        <w:rPr>
          <w:spacing w:val="-14"/>
          <w:sz w:val="22"/>
        </w:rPr>
        <w:t> </w:t>
      </w:r>
      <w:r>
        <w:rPr>
          <w:sz w:val="22"/>
        </w:rPr>
        <w:t>Quality</w:t>
      </w:r>
      <w:r>
        <w:rPr>
          <w:spacing w:val="-13"/>
          <w:sz w:val="22"/>
        </w:rPr>
        <w:t> </w:t>
      </w:r>
      <w:r>
        <w:rPr>
          <w:sz w:val="22"/>
        </w:rPr>
        <w:t>Score</w:t>
      </w:r>
      <w:r>
        <w:rPr>
          <w:spacing w:val="-14"/>
          <w:sz w:val="22"/>
        </w:rPr>
        <w:t> </w:t>
      </w:r>
      <w:r>
        <w:rPr>
          <w:sz w:val="22"/>
        </w:rPr>
        <w:t>in</w:t>
      </w:r>
      <w:r>
        <w:rPr>
          <w:spacing w:val="-14"/>
          <w:sz w:val="22"/>
        </w:rPr>
        <w:t> </w:t>
      </w:r>
      <w:r>
        <w:rPr>
          <w:sz w:val="22"/>
        </w:rPr>
        <w:t>BP1</w:t>
      </w:r>
      <w:r>
        <w:rPr>
          <w:spacing w:val="-14"/>
          <w:sz w:val="22"/>
        </w:rPr>
        <w:t> </w:t>
      </w:r>
      <w:r>
        <w:rPr>
          <w:sz w:val="22"/>
        </w:rPr>
        <w:t>will</w:t>
      </w:r>
      <w:r>
        <w:rPr>
          <w:spacing w:val="-13"/>
          <w:sz w:val="22"/>
        </w:rPr>
        <w:t> </w:t>
      </w:r>
      <w:r>
        <w:rPr>
          <w:sz w:val="22"/>
        </w:rPr>
        <w:t>be</w:t>
      </w:r>
      <w:r>
        <w:rPr>
          <w:spacing w:val="-14"/>
          <w:sz w:val="22"/>
        </w:rPr>
        <w:t> </w:t>
      </w:r>
      <w:r>
        <w:rPr>
          <w:sz w:val="22"/>
        </w:rPr>
        <w:t>calculated</w:t>
      </w:r>
      <w:r>
        <w:rPr>
          <w:spacing w:val="-14"/>
          <w:sz w:val="22"/>
        </w:rPr>
        <w:t> </w:t>
      </w:r>
      <w:r>
        <w:rPr>
          <w:sz w:val="22"/>
        </w:rPr>
        <w:t>by</w:t>
      </w:r>
      <w:r>
        <w:rPr>
          <w:spacing w:val="-14"/>
          <w:sz w:val="22"/>
        </w:rPr>
        <w:t> </w:t>
      </w:r>
      <w:r>
        <w:rPr>
          <w:sz w:val="22"/>
        </w:rPr>
        <w:t>counting</w:t>
      </w:r>
      <w:r>
        <w:rPr>
          <w:spacing w:val="-13"/>
          <w:sz w:val="22"/>
        </w:rPr>
        <w:t> </w:t>
      </w:r>
      <w:r>
        <w:rPr>
          <w:sz w:val="22"/>
        </w:rPr>
        <w:t>the</w:t>
      </w:r>
      <w:r>
        <w:rPr>
          <w:spacing w:val="-14"/>
          <w:sz w:val="22"/>
        </w:rPr>
        <w:t> </w:t>
      </w:r>
      <w:r>
        <w:rPr>
          <w:sz w:val="22"/>
        </w:rPr>
        <w:t>number</w:t>
      </w:r>
      <w:r>
        <w:rPr>
          <w:spacing w:val="-14"/>
          <w:sz w:val="22"/>
        </w:rPr>
        <w:t> </w:t>
      </w:r>
      <w:r>
        <w:rPr>
          <w:sz w:val="22"/>
        </w:rPr>
        <w:t>of</w:t>
      </w:r>
      <w:r>
        <w:rPr>
          <w:spacing w:val="-14"/>
          <w:sz w:val="22"/>
        </w:rPr>
        <w:t> </w:t>
      </w:r>
      <w:r>
        <w:rPr>
          <w:sz w:val="22"/>
        </w:rPr>
        <w:t>Pay-for-Reporting</w:t>
      </w:r>
      <w:r>
        <w:rPr>
          <w:spacing w:val="-13"/>
          <w:sz w:val="22"/>
        </w:rPr>
        <w:t> </w:t>
      </w:r>
      <w:r>
        <w:rPr>
          <w:sz w:val="22"/>
        </w:rPr>
        <w:t>(P4R) points</w:t>
      </w:r>
      <w:r>
        <w:rPr>
          <w:spacing w:val="-13"/>
          <w:sz w:val="22"/>
        </w:rPr>
        <w:t> </w:t>
      </w:r>
      <w:r>
        <w:rPr>
          <w:sz w:val="22"/>
        </w:rPr>
        <w:t>earned</w:t>
      </w:r>
      <w:r>
        <w:rPr>
          <w:spacing w:val="-11"/>
          <w:sz w:val="22"/>
        </w:rPr>
        <w:t> </w:t>
      </w:r>
      <w:r>
        <w:rPr>
          <w:sz w:val="22"/>
        </w:rPr>
        <w:t>in</w:t>
      </w:r>
      <w:r>
        <w:rPr>
          <w:spacing w:val="-12"/>
          <w:sz w:val="22"/>
        </w:rPr>
        <w:t> </w:t>
      </w:r>
      <w:r>
        <w:rPr>
          <w:sz w:val="22"/>
        </w:rPr>
        <w:t>BP1</w:t>
      </w:r>
      <w:r>
        <w:rPr>
          <w:spacing w:val="-12"/>
          <w:sz w:val="22"/>
        </w:rPr>
        <w:t> </w:t>
      </w:r>
      <w:r>
        <w:rPr>
          <w:sz w:val="22"/>
        </w:rPr>
        <w:t>(as</w:t>
      </w:r>
      <w:r>
        <w:rPr>
          <w:spacing w:val="-11"/>
          <w:sz w:val="22"/>
        </w:rPr>
        <w:t> </w:t>
      </w:r>
      <w:r>
        <w:rPr>
          <w:sz w:val="22"/>
        </w:rPr>
        <w:t>outlined</w:t>
      </w:r>
      <w:r>
        <w:rPr>
          <w:spacing w:val="-12"/>
          <w:sz w:val="22"/>
        </w:rPr>
        <w:t> </w:t>
      </w:r>
      <w:r>
        <w:rPr>
          <w:sz w:val="22"/>
        </w:rPr>
        <w:t>above)</w:t>
      </w:r>
      <w:r>
        <w:rPr>
          <w:spacing w:val="-13"/>
          <w:sz w:val="22"/>
        </w:rPr>
        <w:t> </w:t>
      </w:r>
      <w:r>
        <w:rPr>
          <w:sz w:val="22"/>
        </w:rPr>
        <w:t>and</w:t>
      </w:r>
      <w:r>
        <w:rPr>
          <w:spacing w:val="-14"/>
          <w:sz w:val="22"/>
        </w:rPr>
        <w:t> </w:t>
      </w:r>
      <w:r>
        <w:rPr>
          <w:sz w:val="22"/>
        </w:rPr>
        <w:t>dividing</w:t>
      </w:r>
      <w:r>
        <w:rPr>
          <w:spacing w:val="-14"/>
          <w:sz w:val="22"/>
        </w:rPr>
        <w:t> </w:t>
      </w:r>
      <w:r>
        <w:rPr>
          <w:sz w:val="22"/>
        </w:rPr>
        <w:t>this</w:t>
      </w:r>
      <w:r>
        <w:rPr>
          <w:spacing w:val="-10"/>
          <w:sz w:val="22"/>
        </w:rPr>
        <w:t> </w:t>
      </w:r>
      <w:r>
        <w:rPr>
          <w:sz w:val="22"/>
        </w:rPr>
        <w:t>number</w:t>
      </w:r>
      <w:r>
        <w:rPr>
          <w:spacing w:val="-11"/>
          <w:sz w:val="22"/>
        </w:rPr>
        <w:t> </w:t>
      </w:r>
      <w:r>
        <w:rPr>
          <w:sz w:val="22"/>
        </w:rPr>
        <w:t>by</w:t>
      </w:r>
      <w:r>
        <w:rPr>
          <w:spacing w:val="-14"/>
          <w:sz w:val="22"/>
        </w:rPr>
        <w:t> </w:t>
      </w:r>
      <w:r>
        <w:rPr>
          <w:sz w:val="22"/>
        </w:rPr>
        <w:t>the</w:t>
      </w:r>
      <w:r>
        <w:rPr>
          <w:spacing w:val="-11"/>
          <w:sz w:val="22"/>
        </w:rPr>
        <w:t> </w:t>
      </w:r>
      <w:r>
        <w:rPr>
          <w:sz w:val="22"/>
        </w:rPr>
        <w:t>number</w:t>
      </w:r>
      <w:r>
        <w:rPr>
          <w:spacing w:val="-11"/>
          <w:sz w:val="22"/>
        </w:rPr>
        <w:t> </w:t>
      </w:r>
      <w:r>
        <w:rPr>
          <w:sz w:val="22"/>
        </w:rPr>
        <w:t>of</w:t>
      </w:r>
      <w:r>
        <w:rPr>
          <w:spacing w:val="-14"/>
          <w:sz w:val="22"/>
        </w:rPr>
        <w:t> </w:t>
      </w:r>
      <w:r>
        <w:rPr>
          <w:sz w:val="22"/>
        </w:rPr>
        <w:t>assigned</w:t>
      </w:r>
      <w:r>
        <w:rPr>
          <w:spacing w:val="-12"/>
          <w:sz w:val="22"/>
        </w:rPr>
        <w:t> </w:t>
      </w:r>
      <w:r>
        <w:rPr>
          <w:sz w:val="22"/>
        </w:rPr>
        <w:t>P4R</w:t>
      </w:r>
      <w:r>
        <w:rPr>
          <w:spacing w:val="-13"/>
          <w:sz w:val="22"/>
        </w:rPr>
        <w:t> </w:t>
      </w:r>
      <w:r>
        <w:rPr>
          <w:sz w:val="22"/>
        </w:rPr>
        <w:t>measures (designated as “Hybrid” in Appendix D).</w:t>
      </w:r>
    </w:p>
    <w:p>
      <w:pPr>
        <w:spacing w:after="0" w:line="242" w:lineRule="auto"/>
        <w:jc w:val="both"/>
        <w:rPr>
          <w:sz w:val="22"/>
        </w:rPr>
        <w:sectPr>
          <w:pgSz w:w="12240" w:h="15840"/>
          <w:pgMar w:header="0" w:footer="967" w:top="1360" w:bottom="1160" w:left="220" w:right="340"/>
        </w:sectPr>
      </w:pPr>
    </w:p>
    <w:p>
      <w:pPr>
        <w:spacing w:before="81"/>
        <w:ind w:left="1580" w:right="0" w:firstLine="0"/>
        <w:jc w:val="left"/>
        <w:rPr>
          <w:i/>
          <w:sz w:val="22"/>
        </w:rPr>
      </w:pPr>
      <w:r>
        <w:rPr>
          <w:i/>
          <w:sz w:val="22"/>
        </w:rPr>
        <w:t>For</w:t>
      </w:r>
      <w:r>
        <w:rPr>
          <w:i/>
          <w:spacing w:val="-2"/>
          <w:sz w:val="22"/>
        </w:rPr>
        <w:t> </w:t>
      </w:r>
      <w:r>
        <w:rPr>
          <w:i/>
          <w:sz w:val="22"/>
        </w:rPr>
        <w:t>example,</w:t>
      </w:r>
      <w:r>
        <w:rPr>
          <w:i/>
          <w:spacing w:val="-2"/>
          <w:sz w:val="22"/>
        </w:rPr>
        <w:t> </w:t>
      </w:r>
      <w:r>
        <w:rPr>
          <w:i/>
          <w:sz w:val="22"/>
        </w:rPr>
        <w:t>if</w:t>
      </w:r>
      <w:r>
        <w:rPr>
          <w:i/>
          <w:spacing w:val="-1"/>
          <w:sz w:val="22"/>
        </w:rPr>
        <w:t> </w:t>
      </w:r>
      <w:r>
        <w:rPr>
          <w:i/>
          <w:sz w:val="22"/>
        </w:rPr>
        <w:t>an</w:t>
      </w:r>
      <w:r>
        <w:rPr>
          <w:i/>
          <w:spacing w:val="-2"/>
          <w:sz w:val="22"/>
        </w:rPr>
        <w:t> </w:t>
      </w:r>
      <w:r>
        <w:rPr>
          <w:i/>
          <w:sz w:val="22"/>
        </w:rPr>
        <w:t>ACO</w:t>
      </w:r>
      <w:r>
        <w:rPr>
          <w:i/>
          <w:spacing w:val="-2"/>
          <w:sz w:val="22"/>
        </w:rPr>
        <w:t> </w:t>
      </w:r>
      <w:r>
        <w:rPr>
          <w:i/>
          <w:sz w:val="22"/>
        </w:rPr>
        <w:t>submits</w:t>
      </w:r>
      <w:r>
        <w:rPr>
          <w:i/>
          <w:spacing w:val="-4"/>
          <w:sz w:val="22"/>
        </w:rPr>
        <w:t> </w:t>
      </w:r>
      <w:r>
        <w:rPr>
          <w:i/>
          <w:sz w:val="22"/>
        </w:rPr>
        <w:t>timely</w:t>
      </w:r>
      <w:r>
        <w:rPr>
          <w:i/>
          <w:spacing w:val="-2"/>
          <w:sz w:val="22"/>
        </w:rPr>
        <w:t> </w:t>
      </w:r>
      <w:r>
        <w:rPr>
          <w:i/>
          <w:sz w:val="22"/>
        </w:rPr>
        <w:t>and</w:t>
      </w:r>
      <w:r>
        <w:rPr>
          <w:i/>
          <w:spacing w:val="-2"/>
          <w:sz w:val="22"/>
        </w:rPr>
        <w:t> </w:t>
      </w:r>
      <w:r>
        <w:rPr>
          <w:i/>
          <w:sz w:val="22"/>
        </w:rPr>
        <w:t>complete</w:t>
      </w:r>
      <w:r>
        <w:rPr>
          <w:i/>
          <w:spacing w:val="-4"/>
          <w:sz w:val="22"/>
        </w:rPr>
        <w:t> </w:t>
      </w:r>
      <w:r>
        <w:rPr>
          <w:i/>
          <w:sz w:val="22"/>
        </w:rPr>
        <w:t>hybrid</w:t>
      </w:r>
      <w:r>
        <w:rPr>
          <w:i/>
          <w:spacing w:val="-1"/>
          <w:sz w:val="22"/>
        </w:rPr>
        <w:t> </w:t>
      </w:r>
      <w:r>
        <w:rPr>
          <w:i/>
          <w:sz w:val="22"/>
        </w:rPr>
        <w:t>or</w:t>
      </w:r>
      <w:r>
        <w:rPr>
          <w:i/>
          <w:spacing w:val="-2"/>
          <w:sz w:val="22"/>
        </w:rPr>
        <w:t> </w:t>
      </w:r>
      <w:r>
        <w:rPr>
          <w:i/>
          <w:sz w:val="22"/>
        </w:rPr>
        <w:t>clinical</w:t>
      </w:r>
      <w:r>
        <w:rPr>
          <w:i/>
          <w:spacing w:val="-1"/>
          <w:sz w:val="22"/>
        </w:rPr>
        <w:t> </w:t>
      </w:r>
      <w:r>
        <w:rPr>
          <w:i/>
          <w:sz w:val="22"/>
        </w:rPr>
        <w:t>data</w:t>
      </w:r>
      <w:r>
        <w:rPr>
          <w:i/>
          <w:spacing w:val="-2"/>
          <w:sz w:val="22"/>
        </w:rPr>
        <w:t> </w:t>
      </w:r>
      <w:r>
        <w:rPr>
          <w:i/>
          <w:sz w:val="22"/>
        </w:rPr>
        <w:t>on</w:t>
      </w:r>
      <w:r>
        <w:rPr>
          <w:i/>
          <w:spacing w:val="-4"/>
          <w:sz w:val="22"/>
        </w:rPr>
        <w:t> </w:t>
      </w:r>
      <w:r>
        <w:rPr>
          <w:i/>
          <w:sz w:val="22"/>
        </w:rPr>
        <w:t>four</w:t>
      </w:r>
      <w:r>
        <w:rPr>
          <w:i/>
          <w:spacing w:val="-2"/>
          <w:sz w:val="22"/>
        </w:rPr>
        <w:t> </w:t>
      </w:r>
      <w:r>
        <w:rPr>
          <w:i/>
          <w:sz w:val="22"/>
        </w:rPr>
        <w:t>(4)</w:t>
      </w:r>
      <w:r>
        <w:rPr>
          <w:i/>
          <w:spacing w:val="-4"/>
          <w:sz w:val="22"/>
        </w:rPr>
        <w:t> </w:t>
      </w:r>
      <w:r>
        <w:rPr>
          <w:i/>
          <w:sz w:val="22"/>
        </w:rPr>
        <w:t>out</w:t>
      </w:r>
      <w:r>
        <w:rPr>
          <w:i/>
          <w:spacing w:val="-1"/>
          <w:sz w:val="22"/>
        </w:rPr>
        <w:t> </w:t>
      </w:r>
      <w:r>
        <w:rPr>
          <w:i/>
          <w:sz w:val="22"/>
        </w:rPr>
        <w:t>of</w:t>
      </w:r>
      <w:r>
        <w:rPr>
          <w:i/>
          <w:spacing w:val="-1"/>
          <w:sz w:val="22"/>
        </w:rPr>
        <w:t> </w:t>
      </w:r>
      <w:r>
        <w:rPr>
          <w:i/>
          <w:sz w:val="22"/>
        </w:rPr>
        <w:t>the</w:t>
      </w:r>
      <w:r>
        <w:rPr>
          <w:i/>
          <w:spacing w:val="-1"/>
          <w:sz w:val="22"/>
        </w:rPr>
        <w:t> </w:t>
      </w:r>
      <w:r>
        <w:rPr>
          <w:i/>
          <w:spacing w:val="-4"/>
          <w:sz w:val="22"/>
        </w:rPr>
        <w:t>five</w:t>
      </w:r>
    </w:p>
    <w:p>
      <w:pPr>
        <w:spacing w:before="20"/>
        <w:ind w:left="1580" w:right="0" w:firstLine="0"/>
        <w:jc w:val="left"/>
        <w:rPr>
          <w:b/>
          <w:i/>
          <w:sz w:val="22"/>
        </w:rPr>
      </w:pPr>
      <w:r>
        <w:rPr>
          <w:i/>
          <w:sz w:val="22"/>
        </w:rPr>
        <w:t>(5)</w:t>
      </w:r>
      <w:r>
        <w:rPr>
          <w:i/>
          <w:spacing w:val="-4"/>
          <w:sz w:val="22"/>
        </w:rPr>
        <w:t> </w:t>
      </w:r>
      <w:r>
        <w:rPr>
          <w:i/>
          <w:sz w:val="22"/>
        </w:rPr>
        <w:t>P4R</w:t>
      </w:r>
      <w:r>
        <w:rPr>
          <w:i/>
          <w:spacing w:val="-3"/>
          <w:sz w:val="22"/>
        </w:rPr>
        <w:t> </w:t>
      </w:r>
      <w:r>
        <w:rPr>
          <w:i/>
          <w:sz w:val="22"/>
        </w:rPr>
        <w:t>measures</w:t>
      </w:r>
      <w:r>
        <w:rPr>
          <w:i/>
          <w:spacing w:val="-4"/>
          <w:sz w:val="22"/>
        </w:rPr>
        <w:t> </w:t>
      </w:r>
      <w:r>
        <w:rPr>
          <w:i/>
          <w:sz w:val="22"/>
        </w:rPr>
        <w:t>in</w:t>
      </w:r>
      <w:r>
        <w:rPr>
          <w:i/>
          <w:spacing w:val="-2"/>
          <w:sz w:val="22"/>
        </w:rPr>
        <w:t> </w:t>
      </w:r>
      <w:r>
        <w:rPr>
          <w:i/>
          <w:sz w:val="22"/>
        </w:rPr>
        <w:t>BP1,</w:t>
      </w:r>
      <w:r>
        <w:rPr>
          <w:i/>
          <w:spacing w:val="-4"/>
          <w:sz w:val="22"/>
        </w:rPr>
        <w:t> </w:t>
      </w:r>
      <w:r>
        <w:rPr>
          <w:i/>
          <w:sz w:val="22"/>
        </w:rPr>
        <w:t>the</w:t>
      </w:r>
      <w:r>
        <w:rPr>
          <w:i/>
          <w:spacing w:val="-2"/>
          <w:sz w:val="22"/>
        </w:rPr>
        <w:t> </w:t>
      </w:r>
      <w:r>
        <w:rPr>
          <w:i/>
          <w:sz w:val="22"/>
        </w:rPr>
        <w:t>ACO</w:t>
      </w:r>
      <w:r>
        <w:rPr>
          <w:i/>
          <w:spacing w:val="-3"/>
          <w:sz w:val="22"/>
        </w:rPr>
        <w:t> </w:t>
      </w:r>
      <w:r>
        <w:rPr>
          <w:i/>
          <w:sz w:val="22"/>
        </w:rPr>
        <w:t>will</w:t>
      </w:r>
      <w:r>
        <w:rPr>
          <w:i/>
          <w:spacing w:val="-1"/>
          <w:sz w:val="22"/>
        </w:rPr>
        <w:t> </w:t>
      </w:r>
      <w:r>
        <w:rPr>
          <w:i/>
          <w:sz w:val="22"/>
        </w:rPr>
        <w:t>receive</w:t>
      </w:r>
      <w:r>
        <w:rPr>
          <w:i/>
          <w:spacing w:val="-2"/>
          <w:sz w:val="22"/>
        </w:rPr>
        <w:t> </w:t>
      </w:r>
      <w:r>
        <w:rPr>
          <w:i/>
          <w:sz w:val="22"/>
        </w:rPr>
        <w:t>a</w:t>
      </w:r>
      <w:r>
        <w:rPr>
          <w:i/>
          <w:spacing w:val="-5"/>
          <w:sz w:val="22"/>
        </w:rPr>
        <w:t> </w:t>
      </w:r>
      <w:r>
        <w:rPr>
          <w:i/>
          <w:sz w:val="22"/>
        </w:rPr>
        <w:t>Total</w:t>
      </w:r>
      <w:r>
        <w:rPr>
          <w:i/>
          <w:spacing w:val="-1"/>
          <w:sz w:val="22"/>
        </w:rPr>
        <w:t> </w:t>
      </w:r>
      <w:r>
        <w:rPr>
          <w:i/>
          <w:sz w:val="22"/>
        </w:rPr>
        <w:t>ACO</w:t>
      </w:r>
      <w:r>
        <w:rPr>
          <w:i/>
          <w:spacing w:val="-2"/>
          <w:sz w:val="22"/>
        </w:rPr>
        <w:t> </w:t>
      </w:r>
      <w:r>
        <w:rPr>
          <w:i/>
          <w:sz w:val="22"/>
        </w:rPr>
        <w:t>Quality</w:t>
      </w:r>
      <w:r>
        <w:rPr>
          <w:i/>
          <w:spacing w:val="-4"/>
          <w:sz w:val="22"/>
        </w:rPr>
        <w:t> </w:t>
      </w:r>
      <w:r>
        <w:rPr>
          <w:i/>
          <w:sz w:val="22"/>
        </w:rPr>
        <w:t>Score</w:t>
      </w:r>
      <w:r>
        <w:rPr>
          <w:i/>
          <w:spacing w:val="-2"/>
          <w:sz w:val="22"/>
        </w:rPr>
        <w:t> </w:t>
      </w:r>
      <w:r>
        <w:rPr>
          <w:i/>
          <w:sz w:val="22"/>
        </w:rPr>
        <w:t>in</w:t>
      </w:r>
      <w:r>
        <w:rPr>
          <w:i/>
          <w:spacing w:val="-5"/>
          <w:sz w:val="22"/>
        </w:rPr>
        <w:t> </w:t>
      </w:r>
      <w:r>
        <w:rPr>
          <w:i/>
          <w:sz w:val="22"/>
        </w:rPr>
        <w:t>BP1</w:t>
      </w:r>
      <w:r>
        <w:rPr>
          <w:i/>
          <w:spacing w:val="-2"/>
          <w:sz w:val="22"/>
        </w:rPr>
        <w:t> </w:t>
      </w:r>
      <w:r>
        <w:rPr>
          <w:i/>
          <w:sz w:val="22"/>
        </w:rPr>
        <w:t>of </w:t>
      </w:r>
      <w:r>
        <w:rPr>
          <w:b/>
          <w:i/>
          <w:spacing w:val="-4"/>
          <w:sz w:val="22"/>
        </w:rPr>
        <w:t>80%.</w:t>
      </w:r>
    </w:p>
    <w:p>
      <w:pPr>
        <w:pStyle w:val="BodyText"/>
        <w:spacing w:before="10"/>
        <w:rPr>
          <w:b/>
          <w:i/>
          <w:sz w:val="18"/>
        </w:rPr>
      </w:pPr>
    </w:p>
    <w:p>
      <w:pPr>
        <w:pStyle w:val="ListParagraph"/>
        <w:numPr>
          <w:ilvl w:val="3"/>
          <w:numId w:val="77"/>
        </w:numPr>
        <w:tabs>
          <w:tab w:pos="1938" w:val="left" w:leader="none"/>
        </w:tabs>
        <w:spacing w:line="252" w:lineRule="exact" w:before="1" w:after="0"/>
        <w:ind w:left="1938" w:right="0" w:hanging="719"/>
        <w:jc w:val="both"/>
        <w:rPr>
          <w:b/>
          <w:i/>
          <w:color w:val="4471C4"/>
          <w:sz w:val="22"/>
        </w:rPr>
      </w:pPr>
      <w:bookmarkStart w:name="5.3.1.3 Calculating the Domain Score for" w:id="1384"/>
      <w:bookmarkEnd w:id="1384"/>
      <w:r>
        <w:rPr/>
      </w:r>
      <w:r>
        <w:rPr>
          <w:b/>
          <w:i/>
          <w:color w:val="4471C4"/>
          <w:sz w:val="22"/>
        </w:rPr>
        <w:t>Calculating</w:t>
      </w:r>
      <w:r>
        <w:rPr>
          <w:b/>
          <w:i/>
          <w:color w:val="4471C4"/>
          <w:spacing w:val="-4"/>
          <w:sz w:val="22"/>
        </w:rPr>
        <w:t> </w:t>
      </w:r>
      <w:r>
        <w:rPr>
          <w:b/>
          <w:i/>
          <w:color w:val="4471C4"/>
          <w:sz w:val="22"/>
        </w:rPr>
        <w:t>the</w:t>
      </w:r>
      <w:r>
        <w:rPr>
          <w:b/>
          <w:i/>
          <w:color w:val="4471C4"/>
          <w:spacing w:val="-4"/>
          <w:sz w:val="22"/>
        </w:rPr>
        <w:t> </w:t>
      </w:r>
      <w:r>
        <w:rPr>
          <w:b/>
          <w:i/>
          <w:color w:val="4471C4"/>
          <w:sz w:val="22"/>
        </w:rPr>
        <w:t>Domain</w:t>
      </w:r>
      <w:r>
        <w:rPr>
          <w:b/>
          <w:i/>
          <w:color w:val="4471C4"/>
          <w:spacing w:val="-4"/>
          <w:sz w:val="22"/>
        </w:rPr>
        <w:t> </w:t>
      </w:r>
      <w:r>
        <w:rPr>
          <w:b/>
          <w:i/>
          <w:color w:val="4471C4"/>
          <w:sz w:val="22"/>
        </w:rPr>
        <w:t>Score</w:t>
      </w:r>
      <w:r>
        <w:rPr>
          <w:b/>
          <w:i/>
          <w:color w:val="4471C4"/>
          <w:spacing w:val="-5"/>
          <w:sz w:val="22"/>
        </w:rPr>
        <w:t> </w:t>
      </w:r>
      <w:r>
        <w:rPr>
          <w:b/>
          <w:i/>
          <w:color w:val="4471C4"/>
          <w:sz w:val="22"/>
        </w:rPr>
        <w:t>for</w:t>
      </w:r>
      <w:r>
        <w:rPr>
          <w:b/>
          <w:i/>
          <w:color w:val="4471C4"/>
          <w:spacing w:val="-4"/>
          <w:sz w:val="22"/>
        </w:rPr>
        <w:t> </w:t>
      </w:r>
      <w:r>
        <w:rPr>
          <w:b/>
          <w:i/>
          <w:color w:val="4471C4"/>
          <w:sz w:val="22"/>
        </w:rPr>
        <w:t>Clinical</w:t>
      </w:r>
      <w:r>
        <w:rPr>
          <w:b/>
          <w:i/>
          <w:color w:val="4471C4"/>
          <w:spacing w:val="-2"/>
          <w:sz w:val="22"/>
        </w:rPr>
        <w:t> </w:t>
      </w:r>
      <w:r>
        <w:rPr>
          <w:b/>
          <w:i/>
          <w:color w:val="4471C4"/>
          <w:sz w:val="22"/>
        </w:rPr>
        <w:t>Quality</w:t>
      </w:r>
      <w:r>
        <w:rPr>
          <w:b/>
          <w:i/>
          <w:color w:val="4471C4"/>
          <w:spacing w:val="-6"/>
          <w:sz w:val="22"/>
        </w:rPr>
        <w:t> </w:t>
      </w:r>
      <w:r>
        <w:rPr>
          <w:b/>
          <w:i/>
          <w:color w:val="4471C4"/>
          <w:sz w:val="22"/>
        </w:rPr>
        <w:t>Measures</w:t>
      </w:r>
      <w:r>
        <w:rPr>
          <w:b/>
          <w:i/>
          <w:color w:val="4471C4"/>
          <w:spacing w:val="-5"/>
          <w:sz w:val="22"/>
        </w:rPr>
        <w:t> </w:t>
      </w:r>
      <w:r>
        <w:rPr>
          <w:b/>
          <w:i/>
          <w:color w:val="4471C4"/>
          <w:sz w:val="22"/>
        </w:rPr>
        <w:t>(BP2,</w:t>
      </w:r>
      <w:r>
        <w:rPr>
          <w:b/>
          <w:i/>
          <w:color w:val="4471C4"/>
          <w:spacing w:val="-4"/>
          <w:sz w:val="22"/>
        </w:rPr>
        <w:t> </w:t>
      </w:r>
      <w:r>
        <w:rPr>
          <w:b/>
          <w:i/>
          <w:color w:val="4471C4"/>
          <w:sz w:val="22"/>
        </w:rPr>
        <w:t>BP4,</w:t>
      </w:r>
      <w:r>
        <w:rPr>
          <w:b/>
          <w:i/>
          <w:color w:val="4471C4"/>
          <w:spacing w:val="-3"/>
          <w:sz w:val="22"/>
        </w:rPr>
        <w:t> </w:t>
      </w:r>
      <w:r>
        <w:rPr>
          <w:b/>
          <w:i/>
          <w:color w:val="4471C4"/>
          <w:sz w:val="22"/>
        </w:rPr>
        <w:t>and</w:t>
      </w:r>
      <w:r>
        <w:rPr>
          <w:b/>
          <w:i/>
          <w:color w:val="4471C4"/>
          <w:spacing w:val="-6"/>
          <w:sz w:val="22"/>
        </w:rPr>
        <w:t> </w:t>
      </w:r>
      <w:r>
        <w:rPr>
          <w:b/>
          <w:i/>
          <w:color w:val="4471C4"/>
          <w:spacing w:val="-4"/>
          <w:sz w:val="22"/>
        </w:rPr>
        <w:t>BP5)</w:t>
      </w:r>
    </w:p>
    <w:p>
      <w:pPr>
        <w:spacing w:line="240" w:lineRule="auto" w:before="0"/>
        <w:ind w:left="1220" w:right="1093" w:firstLine="0"/>
        <w:jc w:val="both"/>
        <w:rPr>
          <w:sz w:val="22"/>
        </w:rPr>
      </w:pPr>
      <w:r>
        <w:rPr>
          <w:sz w:val="22"/>
        </w:rPr>
        <w:t>Clinical Quality Measures in BP2 through BP5 will be categorized as either “Reporting” or “Pay-for- Performance” (P4P).</w:t>
      </w:r>
      <w:r>
        <w:rPr>
          <w:spacing w:val="40"/>
          <w:sz w:val="22"/>
        </w:rPr>
        <w:t> </w:t>
      </w:r>
      <w:r>
        <w:rPr>
          <w:sz w:val="22"/>
        </w:rPr>
        <w:t>“Pay-for-Performance” (P4P) applies to the quality measures for which actual performance</w:t>
      </w:r>
      <w:r>
        <w:rPr>
          <w:spacing w:val="-2"/>
          <w:sz w:val="22"/>
        </w:rPr>
        <w:t> </w:t>
      </w:r>
      <w:r>
        <w:rPr>
          <w:sz w:val="22"/>
        </w:rPr>
        <w:t>(measure</w:t>
      </w:r>
      <w:r>
        <w:rPr>
          <w:spacing w:val="-2"/>
          <w:sz w:val="22"/>
        </w:rPr>
        <w:t> </w:t>
      </w:r>
      <w:r>
        <w:rPr>
          <w:sz w:val="22"/>
        </w:rPr>
        <w:t>score)</w:t>
      </w:r>
      <w:r>
        <w:rPr>
          <w:spacing w:val="-1"/>
          <w:sz w:val="22"/>
        </w:rPr>
        <w:t> </w:t>
      </w:r>
      <w:r>
        <w:rPr>
          <w:sz w:val="22"/>
        </w:rPr>
        <w:t>will</w:t>
      </w:r>
      <w:r>
        <w:rPr>
          <w:spacing w:val="-1"/>
          <w:sz w:val="22"/>
        </w:rPr>
        <w:t> </w:t>
      </w:r>
      <w:r>
        <w:rPr>
          <w:sz w:val="22"/>
        </w:rPr>
        <w:t>be</w:t>
      </w:r>
      <w:r>
        <w:rPr>
          <w:spacing w:val="-4"/>
          <w:sz w:val="22"/>
        </w:rPr>
        <w:t> </w:t>
      </w:r>
      <w:r>
        <w:rPr>
          <w:sz w:val="22"/>
        </w:rPr>
        <w:t>used</w:t>
      </w:r>
      <w:r>
        <w:rPr>
          <w:spacing w:val="-5"/>
          <w:sz w:val="22"/>
        </w:rPr>
        <w:t> </w:t>
      </w:r>
      <w:r>
        <w:rPr>
          <w:sz w:val="22"/>
        </w:rPr>
        <w:t>to</w:t>
      </w:r>
      <w:r>
        <w:rPr>
          <w:spacing w:val="-2"/>
          <w:sz w:val="22"/>
        </w:rPr>
        <w:t> </w:t>
      </w:r>
      <w:r>
        <w:rPr>
          <w:sz w:val="22"/>
        </w:rPr>
        <w:t>calculate</w:t>
      </w:r>
      <w:r>
        <w:rPr>
          <w:spacing w:val="-4"/>
          <w:sz w:val="22"/>
        </w:rPr>
        <w:t> </w:t>
      </w:r>
      <w:r>
        <w:rPr>
          <w:sz w:val="22"/>
        </w:rPr>
        <w:t>the</w:t>
      </w:r>
      <w:r>
        <w:rPr>
          <w:spacing w:val="-4"/>
          <w:sz w:val="22"/>
        </w:rPr>
        <w:t> </w:t>
      </w:r>
      <w:r>
        <w:rPr>
          <w:sz w:val="22"/>
        </w:rPr>
        <w:t>Total</w:t>
      </w:r>
      <w:r>
        <w:rPr>
          <w:spacing w:val="-1"/>
          <w:sz w:val="22"/>
        </w:rPr>
        <w:t> </w:t>
      </w:r>
      <w:r>
        <w:rPr>
          <w:sz w:val="22"/>
        </w:rPr>
        <w:t>ACO</w:t>
      </w:r>
      <w:r>
        <w:rPr>
          <w:spacing w:val="-3"/>
          <w:sz w:val="22"/>
        </w:rPr>
        <w:t> </w:t>
      </w:r>
      <w:r>
        <w:rPr>
          <w:sz w:val="22"/>
        </w:rPr>
        <w:t>Quality</w:t>
      </w:r>
      <w:r>
        <w:rPr>
          <w:spacing w:val="-5"/>
          <w:sz w:val="22"/>
        </w:rPr>
        <w:t> </w:t>
      </w:r>
      <w:r>
        <w:rPr>
          <w:sz w:val="22"/>
        </w:rPr>
        <w:t>Score</w:t>
      </w:r>
      <w:r>
        <w:rPr>
          <w:spacing w:val="-2"/>
          <w:sz w:val="22"/>
        </w:rPr>
        <w:t> </w:t>
      </w:r>
      <w:r>
        <w:rPr>
          <w:sz w:val="22"/>
        </w:rPr>
        <w:t>for</w:t>
      </w:r>
      <w:r>
        <w:rPr>
          <w:spacing w:val="-1"/>
          <w:sz w:val="22"/>
        </w:rPr>
        <w:t> </w:t>
      </w:r>
      <w:r>
        <w:rPr>
          <w:sz w:val="22"/>
        </w:rPr>
        <w:t>BP2</w:t>
      </w:r>
      <w:r>
        <w:rPr>
          <w:spacing w:val="-2"/>
          <w:sz w:val="22"/>
        </w:rPr>
        <w:t> </w:t>
      </w:r>
      <w:r>
        <w:rPr>
          <w:sz w:val="22"/>
        </w:rPr>
        <w:t>through</w:t>
      </w:r>
      <w:r>
        <w:rPr>
          <w:spacing w:val="-2"/>
          <w:sz w:val="22"/>
        </w:rPr>
        <w:t> </w:t>
      </w:r>
      <w:r>
        <w:rPr>
          <w:sz w:val="22"/>
        </w:rPr>
        <w:t>BP5. Measures enter P4P status in BP2, BP3, or BP4 (as outlined in Appendix D).</w:t>
      </w:r>
      <w:r>
        <w:rPr>
          <w:spacing w:val="40"/>
          <w:sz w:val="22"/>
        </w:rPr>
        <w:t> </w:t>
      </w:r>
      <w:r>
        <w:rPr>
          <w:sz w:val="22"/>
        </w:rPr>
        <w:t>“Reporting” applies to administrative</w:t>
      </w:r>
      <w:r>
        <w:rPr>
          <w:spacing w:val="-14"/>
          <w:sz w:val="22"/>
        </w:rPr>
        <w:t> </w:t>
      </w:r>
      <w:r>
        <w:rPr>
          <w:sz w:val="22"/>
        </w:rPr>
        <w:t>or</w:t>
      </w:r>
      <w:r>
        <w:rPr>
          <w:spacing w:val="-14"/>
          <w:sz w:val="22"/>
        </w:rPr>
        <w:t> </w:t>
      </w:r>
      <w:r>
        <w:rPr>
          <w:sz w:val="22"/>
        </w:rPr>
        <w:t>claims-based</w:t>
      </w:r>
      <w:r>
        <w:rPr>
          <w:spacing w:val="-14"/>
          <w:sz w:val="22"/>
        </w:rPr>
        <w:t> </w:t>
      </w:r>
      <w:r>
        <w:rPr>
          <w:sz w:val="22"/>
        </w:rPr>
        <w:t>measures</w:t>
      </w:r>
      <w:r>
        <w:rPr>
          <w:spacing w:val="-13"/>
          <w:sz w:val="22"/>
        </w:rPr>
        <w:t> </w:t>
      </w:r>
      <w:r>
        <w:rPr>
          <w:sz w:val="22"/>
        </w:rPr>
        <w:t>which</w:t>
      </w:r>
      <w:r>
        <w:rPr>
          <w:spacing w:val="-14"/>
          <w:sz w:val="22"/>
        </w:rPr>
        <w:t> </w:t>
      </w:r>
      <w:r>
        <w:rPr>
          <w:sz w:val="22"/>
        </w:rPr>
        <w:t>do</w:t>
      </w:r>
      <w:r>
        <w:rPr>
          <w:spacing w:val="-14"/>
          <w:sz w:val="22"/>
        </w:rPr>
        <w:t> </w:t>
      </w:r>
      <w:r>
        <w:rPr>
          <w:sz w:val="22"/>
        </w:rPr>
        <w:t>not</w:t>
      </w:r>
      <w:r>
        <w:rPr>
          <w:spacing w:val="-14"/>
          <w:sz w:val="22"/>
        </w:rPr>
        <w:t> </w:t>
      </w:r>
      <w:r>
        <w:rPr>
          <w:sz w:val="22"/>
        </w:rPr>
        <w:t>require</w:t>
      </w:r>
      <w:r>
        <w:rPr>
          <w:spacing w:val="-13"/>
          <w:sz w:val="22"/>
        </w:rPr>
        <w:t> </w:t>
      </w:r>
      <w:r>
        <w:rPr>
          <w:sz w:val="22"/>
        </w:rPr>
        <w:t>ACOs</w:t>
      </w:r>
      <w:r>
        <w:rPr>
          <w:spacing w:val="-14"/>
          <w:sz w:val="22"/>
        </w:rPr>
        <w:t> </w:t>
      </w:r>
      <w:r>
        <w:rPr>
          <w:sz w:val="22"/>
        </w:rPr>
        <w:t>to</w:t>
      </w:r>
      <w:r>
        <w:rPr>
          <w:spacing w:val="-14"/>
          <w:sz w:val="22"/>
        </w:rPr>
        <w:t> </w:t>
      </w:r>
      <w:r>
        <w:rPr>
          <w:sz w:val="22"/>
        </w:rPr>
        <w:t>collect</w:t>
      </w:r>
      <w:r>
        <w:rPr>
          <w:spacing w:val="-14"/>
          <w:sz w:val="22"/>
        </w:rPr>
        <w:t> </w:t>
      </w:r>
      <w:r>
        <w:rPr>
          <w:sz w:val="22"/>
        </w:rPr>
        <w:t>and</w:t>
      </w:r>
      <w:r>
        <w:rPr>
          <w:spacing w:val="-13"/>
          <w:sz w:val="22"/>
        </w:rPr>
        <w:t> </w:t>
      </w:r>
      <w:r>
        <w:rPr>
          <w:sz w:val="22"/>
        </w:rPr>
        <w:t>report</w:t>
      </w:r>
      <w:r>
        <w:rPr>
          <w:spacing w:val="-14"/>
          <w:sz w:val="22"/>
        </w:rPr>
        <w:t> </w:t>
      </w:r>
      <w:r>
        <w:rPr>
          <w:sz w:val="22"/>
        </w:rPr>
        <w:t>chart-review</w:t>
      </w:r>
      <w:r>
        <w:rPr>
          <w:spacing w:val="-14"/>
          <w:sz w:val="22"/>
        </w:rPr>
        <w:t> </w:t>
      </w:r>
      <w:r>
        <w:rPr>
          <w:sz w:val="22"/>
        </w:rPr>
        <w:t>data. Reporting measures do not factor into the Total ACO Quality Score for BP2 through BP5.</w:t>
      </w:r>
      <w:r>
        <w:rPr>
          <w:spacing w:val="40"/>
          <w:sz w:val="22"/>
        </w:rPr>
        <w:t> </w:t>
      </w:r>
      <w:r>
        <w:rPr>
          <w:sz w:val="22"/>
        </w:rPr>
        <w:t>There are no Pay-For-Reporting (P4R) points included in BP2 through BP5.</w:t>
      </w:r>
    </w:p>
    <w:p>
      <w:pPr>
        <w:spacing w:line="242" w:lineRule="auto" w:before="160"/>
        <w:ind w:left="1220" w:right="1097" w:hanging="1"/>
        <w:jc w:val="both"/>
        <w:rPr>
          <w:sz w:val="22"/>
        </w:rPr>
      </w:pPr>
      <w:r>
        <w:rPr>
          <w:sz w:val="22"/>
        </w:rPr>
        <w:t>ACOs are eligible to receive two (2) types of points for each Quality Measure: </w:t>
      </w:r>
      <w:r>
        <w:rPr>
          <w:i/>
          <w:sz w:val="22"/>
        </w:rPr>
        <w:t>achievement points </w:t>
      </w:r>
      <w:r>
        <w:rPr>
          <w:sz w:val="22"/>
        </w:rPr>
        <w:t>and </w:t>
      </w:r>
      <w:r>
        <w:rPr>
          <w:i/>
          <w:sz w:val="22"/>
        </w:rPr>
        <w:t>improvement points</w:t>
      </w:r>
      <w:r>
        <w:rPr>
          <w:sz w:val="22"/>
        </w:rPr>
        <w:t>. The achievement and improvement points are calculated using the methodology described in this section.</w:t>
      </w:r>
    </w:p>
    <w:p>
      <w:pPr>
        <w:spacing w:line="252" w:lineRule="exact" w:before="194"/>
        <w:ind w:left="1220" w:right="0" w:firstLine="0"/>
        <w:jc w:val="both"/>
        <w:rPr>
          <w:sz w:val="22"/>
        </w:rPr>
      </w:pPr>
      <w:bookmarkStart w:name="Achievement Points" w:id="1385"/>
      <w:bookmarkEnd w:id="1385"/>
      <w:r>
        <w:rPr/>
      </w:r>
      <w:r>
        <w:rPr>
          <w:color w:val="1F3762"/>
          <w:sz w:val="22"/>
        </w:rPr>
        <w:t>Achievement</w:t>
      </w:r>
      <w:r>
        <w:rPr>
          <w:color w:val="1F3762"/>
          <w:spacing w:val="-7"/>
          <w:sz w:val="22"/>
        </w:rPr>
        <w:t> </w:t>
      </w:r>
      <w:r>
        <w:rPr>
          <w:color w:val="1F3762"/>
          <w:spacing w:val="-2"/>
          <w:sz w:val="22"/>
        </w:rPr>
        <w:t>Points</w:t>
      </w:r>
    </w:p>
    <w:p>
      <w:pPr>
        <w:spacing w:before="0"/>
        <w:ind w:left="1220" w:right="1094" w:firstLine="0"/>
        <w:jc w:val="both"/>
        <w:rPr>
          <w:sz w:val="22"/>
        </w:rPr>
      </w:pPr>
      <w:r>
        <w:rPr>
          <w:sz w:val="22"/>
        </w:rPr>
        <w:t>Each ACO may receive up to a maximum of ten (10) achievement points for each Quality Measure, as </w:t>
      </w:r>
      <w:r>
        <w:rPr>
          <w:spacing w:val="-2"/>
          <w:sz w:val="22"/>
        </w:rPr>
        <w:t>follows:</w:t>
      </w:r>
    </w:p>
    <w:p>
      <w:pPr>
        <w:pStyle w:val="ListParagraph"/>
        <w:numPr>
          <w:ilvl w:val="0"/>
          <w:numId w:val="84"/>
        </w:numPr>
        <w:tabs>
          <w:tab w:pos="1940" w:val="left" w:leader="none"/>
        </w:tabs>
        <w:spacing w:line="244" w:lineRule="auto" w:before="158" w:after="0"/>
        <w:ind w:left="1940" w:right="1095" w:hanging="360"/>
        <w:jc w:val="both"/>
        <w:rPr>
          <w:sz w:val="22"/>
        </w:rPr>
      </w:pPr>
      <w:r>
        <w:rPr>
          <w:sz w:val="22"/>
        </w:rPr>
        <w:t>The State will establish an “Attainment Threshold” and a “Goal Benchmark” for each Quality Measure as follows:</w:t>
      </w:r>
    </w:p>
    <w:p>
      <w:pPr>
        <w:pStyle w:val="ListParagraph"/>
        <w:numPr>
          <w:ilvl w:val="1"/>
          <w:numId w:val="84"/>
        </w:numPr>
        <w:tabs>
          <w:tab w:pos="2658" w:val="left" w:leader="none"/>
          <w:tab w:pos="2660" w:val="left" w:leader="none"/>
        </w:tabs>
        <w:spacing w:line="244" w:lineRule="auto" w:before="190" w:after="0"/>
        <w:ind w:left="2660" w:right="1093" w:hanging="361"/>
        <w:jc w:val="both"/>
        <w:rPr>
          <w:sz w:val="22"/>
        </w:rPr>
      </w:pPr>
      <w:r>
        <w:rPr>
          <w:sz w:val="22"/>
        </w:rPr>
        <w:t>“Attainment Threshold” sets the minimum level of performance at which the ACO can earn achievement points</w:t>
      </w:r>
    </w:p>
    <w:p>
      <w:pPr>
        <w:pStyle w:val="ListParagraph"/>
        <w:numPr>
          <w:ilvl w:val="1"/>
          <w:numId w:val="84"/>
        </w:numPr>
        <w:tabs>
          <w:tab w:pos="2660" w:val="left" w:leader="none"/>
        </w:tabs>
        <w:spacing w:line="240" w:lineRule="auto" w:before="192" w:after="0"/>
        <w:ind w:left="2660" w:right="1095" w:hanging="360"/>
        <w:jc w:val="both"/>
        <w:rPr>
          <w:sz w:val="22"/>
        </w:rPr>
      </w:pPr>
      <w:r>
        <w:rPr>
          <w:sz w:val="22"/>
        </w:rPr>
        <w:t>“Goal Benchmark” is a high performance standard above which the ACO earns the maximum number of achievement points (i.e., 10 points)</w:t>
      </w:r>
    </w:p>
    <w:p>
      <w:pPr>
        <w:pStyle w:val="ListParagraph"/>
        <w:numPr>
          <w:ilvl w:val="0"/>
          <w:numId w:val="84"/>
        </w:numPr>
        <w:tabs>
          <w:tab w:pos="1940" w:val="left" w:leader="none"/>
        </w:tabs>
        <w:spacing w:line="240" w:lineRule="auto" w:before="199" w:after="0"/>
        <w:ind w:left="1940" w:right="1093" w:hanging="360"/>
        <w:jc w:val="both"/>
        <w:rPr>
          <w:sz w:val="22"/>
        </w:rPr>
      </w:pPr>
      <w:r>
        <w:rPr>
          <w:sz w:val="22"/>
        </w:rPr>
        <w:t>The State will calculate each ACO’s performance score on each Quality Measure based on the measure specifications which will be reviewed and approved by CMS (see Section 5.3.4.2). Each Quality</w:t>
      </w:r>
      <w:r>
        <w:rPr>
          <w:spacing w:val="-14"/>
          <w:sz w:val="22"/>
        </w:rPr>
        <w:t> </w:t>
      </w:r>
      <w:r>
        <w:rPr>
          <w:sz w:val="22"/>
        </w:rPr>
        <w:t>Measure’s</w:t>
      </w:r>
      <w:r>
        <w:rPr>
          <w:spacing w:val="-14"/>
          <w:sz w:val="22"/>
        </w:rPr>
        <w:t> </w:t>
      </w:r>
      <w:r>
        <w:rPr>
          <w:sz w:val="22"/>
        </w:rPr>
        <w:t>specifications</w:t>
      </w:r>
      <w:r>
        <w:rPr>
          <w:spacing w:val="-14"/>
          <w:sz w:val="22"/>
        </w:rPr>
        <w:t> </w:t>
      </w:r>
      <w:r>
        <w:rPr>
          <w:sz w:val="22"/>
        </w:rPr>
        <w:t>will</w:t>
      </w:r>
      <w:r>
        <w:rPr>
          <w:spacing w:val="-13"/>
          <w:sz w:val="22"/>
        </w:rPr>
        <w:t> </w:t>
      </w:r>
      <w:r>
        <w:rPr>
          <w:sz w:val="22"/>
        </w:rPr>
        <w:t>describe</w:t>
      </w:r>
      <w:r>
        <w:rPr>
          <w:spacing w:val="-14"/>
          <w:sz w:val="22"/>
        </w:rPr>
        <w:t> </w:t>
      </w:r>
      <w:r>
        <w:rPr>
          <w:sz w:val="22"/>
        </w:rPr>
        <w:t>the</w:t>
      </w:r>
      <w:r>
        <w:rPr>
          <w:spacing w:val="-14"/>
          <w:sz w:val="22"/>
        </w:rPr>
        <w:t> </w:t>
      </w:r>
      <w:r>
        <w:rPr>
          <w:sz w:val="22"/>
        </w:rPr>
        <w:t>detailed</w:t>
      </w:r>
      <w:r>
        <w:rPr>
          <w:spacing w:val="-14"/>
          <w:sz w:val="22"/>
        </w:rPr>
        <w:t> </w:t>
      </w:r>
      <w:r>
        <w:rPr>
          <w:sz w:val="22"/>
        </w:rPr>
        <w:t>methodology</w:t>
      </w:r>
      <w:r>
        <w:rPr>
          <w:spacing w:val="-13"/>
          <w:sz w:val="22"/>
        </w:rPr>
        <w:t> </w:t>
      </w:r>
      <w:r>
        <w:rPr>
          <w:sz w:val="22"/>
        </w:rPr>
        <w:t>by</w:t>
      </w:r>
      <w:r>
        <w:rPr>
          <w:spacing w:val="-14"/>
          <w:sz w:val="22"/>
        </w:rPr>
        <w:t> </w:t>
      </w:r>
      <w:r>
        <w:rPr>
          <w:sz w:val="22"/>
        </w:rPr>
        <w:t>which</w:t>
      </w:r>
      <w:r>
        <w:rPr>
          <w:spacing w:val="-14"/>
          <w:sz w:val="22"/>
        </w:rPr>
        <w:t> </w:t>
      </w:r>
      <w:r>
        <w:rPr>
          <w:sz w:val="22"/>
        </w:rPr>
        <w:t>this</w:t>
      </w:r>
      <w:r>
        <w:rPr>
          <w:spacing w:val="-14"/>
          <w:sz w:val="22"/>
        </w:rPr>
        <w:t> </w:t>
      </w:r>
      <w:r>
        <w:rPr>
          <w:sz w:val="22"/>
        </w:rPr>
        <w:t>performance score is calculated.</w:t>
      </w:r>
    </w:p>
    <w:p>
      <w:pPr>
        <w:pStyle w:val="ListParagraph"/>
        <w:numPr>
          <w:ilvl w:val="0"/>
          <w:numId w:val="84"/>
        </w:numPr>
        <w:tabs>
          <w:tab w:pos="1940" w:val="left" w:leader="none"/>
        </w:tabs>
        <w:spacing w:line="240" w:lineRule="auto" w:before="200" w:after="0"/>
        <w:ind w:left="1940" w:right="1095" w:hanging="360"/>
        <w:jc w:val="both"/>
        <w:rPr>
          <w:sz w:val="22"/>
        </w:rPr>
      </w:pPr>
      <w:r>
        <w:rPr>
          <w:sz w:val="22"/>
        </w:rPr>
        <w:t>The</w:t>
      </w:r>
      <w:r>
        <w:rPr>
          <w:spacing w:val="-6"/>
          <w:sz w:val="22"/>
        </w:rPr>
        <w:t> </w:t>
      </w:r>
      <w:r>
        <w:rPr>
          <w:sz w:val="22"/>
        </w:rPr>
        <w:t>State</w:t>
      </w:r>
      <w:r>
        <w:rPr>
          <w:spacing w:val="-6"/>
          <w:sz w:val="22"/>
        </w:rPr>
        <w:t> </w:t>
      </w:r>
      <w:r>
        <w:rPr>
          <w:sz w:val="22"/>
        </w:rPr>
        <w:t>will</w:t>
      </w:r>
      <w:r>
        <w:rPr>
          <w:spacing w:val="-5"/>
          <w:sz w:val="22"/>
        </w:rPr>
        <w:t> </w:t>
      </w:r>
      <w:r>
        <w:rPr>
          <w:sz w:val="22"/>
        </w:rPr>
        <w:t>award</w:t>
      </w:r>
      <w:r>
        <w:rPr>
          <w:spacing w:val="-6"/>
          <w:sz w:val="22"/>
        </w:rPr>
        <w:t> </w:t>
      </w:r>
      <w:r>
        <w:rPr>
          <w:sz w:val="22"/>
        </w:rPr>
        <w:t>each</w:t>
      </w:r>
      <w:r>
        <w:rPr>
          <w:spacing w:val="-8"/>
          <w:sz w:val="22"/>
        </w:rPr>
        <w:t> </w:t>
      </w:r>
      <w:r>
        <w:rPr>
          <w:sz w:val="22"/>
        </w:rPr>
        <w:t>ACO</w:t>
      </w:r>
      <w:r>
        <w:rPr>
          <w:spacing w:val="-7"/>
          <w:sz w:val="22"/>
        </w:rPr>
        <w:t> </w:t>
      </w:r>
      <w:r>
        <w:rPr>
          <w:sz w:val="22"/>
        </w:rPr>
        <w:t>between</w:t>
      </w:r>
      <w:r>
        <w:rPr>
          <w:spacing w:val="-6"/>
          <w:sz w:val="22"/>
        </w:rPr>
        <w:t> </w:t>
      </w:r>
      <w:r>
        <w:rPr>
          <w:sz w:val="22"/>
        </w:rPr>
        <w:t>zero</w:t>
      </w:r>
      <w:r>
        <w:rPr>
          <w:spacing w:val="-6"/>
          <w:sz w:val="22"/>
        </w:rPr>
        <w:t> </w:t>
      </w:r>
      <w:r>
        <w:rPr>
          <w:sz w:val="22"/>
        </w:rPr>
        <w:t>(0)</w:t>
      </w:r>
      <w:r>
        <w:rPr>
          <w:spacing w:val="-5"/>
          <w:sz w:val="22"/>
        </w:rPr>
        <w:t> </w:t>
      </w:r>
      <w:r>
        <w:rPr>
          <w:sz w:val="22"/>
        </w:rPr>
        <w:t>and</w:t>
      </w:r>
      <w:r>
        <w:rPr>
          <w:spacing w:val="-8"/>
          <w:sz w:val="22"/>
        </w:rPr>
        <w:t> </w:t>
      </w:r>
      <w:r>
        <w:rPr>
          <w:sz w:val="22"/>
        </w:rPr>
        <w:t>ten</w:t>
      </w:r>
      <w:r>
        <w:rPr>
          <w:spacing w:val="-6"/>
          <w:sz w:val="22"/>
        </w:rPr>
        <w:t> </w:t>
      </w:r>
      <w:r>
        <w:rPr>
          <w:sz w:val="22"/>
        </w:rPr>
        <w:t>(10)</w:t>
      </w:r>
      <w:r>
        <w:rPr>
          <w:spacing w:val="-5"/>
          <w:sz w:val="22"/>
        </w:rPr>
        <w:t> </w:t>
      </w:r>
      <w:r>
        <w:rPr>
          <w:sz w:val="22"/>
        </w:rPr>
        <w:t>achievement</w:t>
      </w:r>
      <w:r>
        <w:rPr>
          <w:spacing w:val="-5"/>
          <w:sz w:val="22"/>
        </w:rPr>
        <w:t> </w:t>
      </w:r>
      <w:r>
        <w:rPr>
          <w:sz w:val="22"/>
        </w:rPr>
        <w:t>points</w:t>
      </w:r>
      <w:r>
        <w:rPr>
          <w:spacing w:val="-8"/>
          <w:sz w:val="22"/>
        </w:rPr>
        <w:t> </w:t>
      </w:r>
      <w:r>
        <w:rPr>
          <w:sz w:val="22"/>
        </w:rPr>
        <w:t>for</w:t>
      </w:r>
      <w:r>
        <w:rPr>
          <w:spacing w:val="-5"/>
          <w:sz w:val="22"/>
        </w:rPr>
        <w:t> </w:t>
      </w:r>
      <w:r>
        <w:rPr>
          <w:sz w:val="22"/>
        </w:rPr>
        <w:t>each</w:t>
      </w:r>
      <w:r>
        <w:rPr>
          <w:spacing w:val="-6"/>
          <w:sz w:val="22"/>
        </w:rPr>
        <w:t> </w:t>
      </w:r>
      <w:r>
        <w:rPr>
          <w:sz w:val="22"/>
        </w:rPr>
        <w:t>Quality Measure as follows:</w:t>
      </w:r>
    </w:p>
    <w:p>
      <w:pPr>
        <w:pStyle w:val="ListParagraph"/>
        <w:numPr>
          <w:ilvl w:val="1"/>
          <w:numId w:val="84"/>
        </w:numPr>
        <w:tabs>
          <w:tab w:pos="2658" w:val="left" w:leader="none"/>
          <w:tab w:pos="2660" w:val="left" w:leader="none"/>
        </w:tabs>
        <w:spacing w:line="240" w:lineRule="auto" w:before="199" w:after="0"/>
        <w:ind w:left="2660" w:right="1097" w:hanging="361"/>
        <w:jc w:val="both"/>
        <w:rPr>
          <w:sz w:val="22"/>
        </w:rPr>
      </w:pPr>
      <w:r>
        <w:rPr>
          <w:sz w:val="22"/>
        </w:rPr>
        <w:t>If the ACO’s performance score is less than the Attainment Threshold: 0 achievement </w:t>
      </w:r>
      <w:r>
        <w:rPr>
          <w:spacing w:val="-2"/>
          <w:sz w:val="22"/>
        </w:rPr>
        <w:t>points</w:t>
      </w:r>
    </w:p>
    <w:p>
      <w:pPr>
        <w:pStyle w:val="ListParagraph"/>
        <w:numPr>
          <w:ilvl w:val="1"/>
          <w:numId w:val="84"/>
        </w:numPr>
        <w:tabs>
          <w:tab w:pos="2660" w:val="left" w:leader="none"/>
        </w:tabs>
        <w:spacing w:line="240" w:lineRule="auto" w:before="200" w:after="0"/>
        <w:ind w:left="2660" w:right="1096" w:hanging="360"/>
        <w:jc w:val="both"/>
        <w:rPr>
          <w:sz w:val="22"/>
        </w:rPr>
      </w:pPr>
      <w:r>
        <w:rPr>
          <w:sz w:val="22"/>
        </w:rPr>
        <w:t>If the ACO’s performance score is greater than or equal to the Goal Benchmark: 10 achievement points</w:t>
      </w:r>
    </w:p>
    <w:p>
      <w:pPr>
        <w:pStyle w:val="ListParagraph"/>
        <w:numPr>
          <w:ilvl w:val="1"/>
          <w:numId w:val="84"/>
        </w:numPr>
        <w:tabs>
          <w:tab w:pos="2658" w:val="left" w:leader="none"/>
          <w:tab w:pos="2660" w:val="left" w:leader="none"/>
        </w:tabs>
        <w:spacing w:line="240" w:lineRule="auto" w:before="199" w:after="0"/>
        <w:ind w:left="2660" w:right="1094" w:hanging="361"/>
        <w:jc w:val="both"/>
        <w:rPr>
          <w:sz w:val="22"/>
        </w:rPr>
      </w:pPr>
      <w:r>
        <w:rPr>
          <w:sz w:val="22"/>
        </w:rPr>
        <w:t>If the performance score is between the Attainment Threshold and Goal Benchmark: the ACO</w:t>
      </w:r>
      <w:r>
        <w:rPr>
          <w:spacing w:val="-14"/>
          <w:sz w:val="22"/>
        </w:rPr>
        <w:t> </w:t>
      </w:r>
      <w:r>
        <w:rPr>
          <w:sz w:val="22"/>
        </w:rPr>
        <w:t>receives</w:t>
      </w:r>
      <w:r>
        <w:rPr>
          <w:spacing w:val="-14"/>
          <w:sz w:val="22"/>
        </w:rPr>
        <w:t> </w:t>
      </w:r>
      <w:r>
        <w:rPr>
          <w:sz w:val="22"/>
        </w:rPr>
        <w:t>a</w:t>
      </w:r>
      <w:r>
        <w:rPr>
          <w:spacing w:val="-13"/>
          <w:sz w:val="22"/>
        </w:rPr>
        <w:t> </w:t>
      </w:r>
      <w:r>
        <w:rPr>
          <w:sz w:val="22"/>
        </w:rPr>
        <w:t>portion</w:t>
      </w:r>
      <w:r>
        <w:rPr>
          <w:spacing w:val="-12"/>
          <w:sz w:val="22"/>
        </w:rPr>
        <w:t> </w:t>
      </w:r>
      <w:r>
        <w:rPr>
          <w:sz w:val="22"/>
        </w:rPr>
        <w:t>of</w:t>
      </w:r>
      <w:r>
        <w:rPr>
          <w:spacing w:val="-13"/>
          <w:sz w:val="22"/>
        </w:rPr>
        <w:t> </w:t>
      </w:r>
      <w:r>
        <w:rPr>
          <w:sz w:val="22"/>
        </w:rPr>
        <w:t>the</w:t>
      </w:r>
      <w:r>
        <w:rPr>
          <w:spacing w:val="-12"/>
          <w:sz w:val="22"/>
        </w:rPr>
        <w:t> </w:t>
      </w:r>
      <w:r>
        <w:rPr>
          <w:sz w:val="22"/>
        </w:rPr>
        <w:t>maximum</w:t>
      </w:r>
      <w:r>
        <w:rPr>
          <w:spacing w:val="-14"/>
          <w:sz w:val="22"/>
        </w:rPr>
        <w:t> </w:t>
      </w:r>
      <w:r>
        <w:rPr>
          <w:sz w:val="22"/>
        </w:rPr>
        <w:t>10</w:t>
      </w:r>
      <w:r>
        <w:rPr>
          <w:spacing w:val="-12"/>
          <w:sz w:val="22"/>
        </w:rPr>
        <w:t> </w:t>
      </w:r>
      <w:r>
        <w:rPr>
          <w:sz w:val="22"/>
        </w:rPr>
        <w:t>achievement</w:t>
      </w:r>
      <w:r>
        <w:rPr>
          <w:spacing w:val="-12"/>
          <w:sz w:val="22"/>
        </w:rPr>
        <w:t> </w:t>
      </w:r>
      <w:r>
        <w:rPr>
          <w:sz w:val="22"/>
        </w:rPr>
        <w:t>points</w:t>
      </w:r>
      <w:r>
        <w:rPr>
          <w:spacing w:val="-14"/>
          <w:sz w:val="22"/>
        </w:rPr>
        <w:t> </w:t>
      </w:r>
      <w:r>
        <w:rPr>
          <w:sz w:val="22"/>
        </w:rPr>
        <w:t>in</w:t>
      </w:r>
      <w:r>
        <w:rPr>
          <w:spacing w:val="-14"/>
          <w:sz w:val="22"/>
        </w:rPr>
        <w:t> </w:t>
      </w:r>
      <w:r>
        <w:rPr>
          <w:sz w:val="22"/>
        </w:rPr>
        <w:t>proportion</w:t>
      </w:r>
      <w:r>
        <w:rPr>
          <w:spacing w:val="-14"/>
          <w:sz w:val="22"/>
        </w:rPr>
        <w:t> </w:t>
      </w:r>
      <w:r>
        <w:rPr>
          <w:sz w:val="22"/>
        </w:rPr>
        <w:t>to</w:t>
      </w:r>
      <w:r>
        <w:rPr>
          <w:spacing w:val="-12"/>
          <w:sz w:val="22"/>
        </w:rPr>
        <w:t> </w:t>
      </w:r>
      <w:r>
        <w:rPr>
          <w:sz w:val="22"/>
        </w:rPr>
        <w:t>the</w:t>
      </w:r>
      <w:r>
        <w:rPr>
          <w:spacing w:val="-13"/>
          <w:sz w:val="22"/>
        </w:rPr>
        <w:t> </w:t>
      </w:r>
      <w:r>
        <w:rPr>
          <w:sz w:val="22"/>
        </w:rPr>
        <w:t>ACO’s performance. The State will calculate the number of achievement points using the following formula:</w:t>
      </w:r>
    </w:p>
    <w:p>
      <w:pPr>
        <w:pStyle w:val="ListParagraph"/>
        <w:numPr>
          <w:ilvl w:val="2"/>
          <w:numId w:val="84"/>
        </w:numPr>
        <w:tabs>
          <w:tab w:pos="3380" w:val="left" w:leader="none"/>
        </w:tabs>
        <w:spacing w:line="240" w:lineRule="auto" w:before="200" w:after="0"/>
        <w:ind w:left="3380" w:right="1099" w:hanging="295"/>
        <w:jc w:val="left"/>
        <w:rPr>
          <w:sz w:val="22"/>
        </w:rPr>
      </w:pPr>
      <w:r>
        <w:rPr>
          <w:sz w:val="22"/>
        </w:rPr>
        <w:t>10</w:t>
      </w:r>
      <w:r>
        <w:rPr>
          <w:spacing w:val="75"/>
          <w:sz w:val="22"/>
        </w:rPr>
        <w:t> </w:t>
      </w:r>
      <w:r>
        <w:rPr>
          <w:sz w:val="22"/>
        </w:rPr>
        <w:t>*</w:t>
      </w:r>
      <w:r>
        <w:rPr>
          <w:spacing w:val="75"/>
          <w:sz w:val="22"/>
        </w:rPr>
        <w:t> </w:t>
      </w:r>
      <w:r>
        <w:rPr>
          <w:sz w:val="22"/>
        </w:rPr>
        <w:t>((Performance</w:t>
      </w:r>
      <w:r>
        <w:rPr>
          <w:spacing w:val="75"/>
          <w:sz w:val="22"/>
        </w:rPr>
        <w:t> </w:t>
      </w:r>
      <w:r>
        <w:rPr>
          <w:sz w:val="22"/>
        </w:rPr>
        <w:t>Score</w:t>
      </w:r>
      <w:r>
        <w:rPr>
          <w:spacing w:val="75"/>
          <w:sz w:val="22"/>
        </w:rPr>
        <w:t> </w:t>
      </w:r>
      <w:r>
        <w:rPr>
          <w:sz w:val="22"/>
        </w:rPr>
        <w:t>–</w:t>
      </w:r>
      <w:r>
        <w:rPr>
          <w:spacing w:val="75"/>
          <w:sz w:val="22"/>
        </w:rPr>
        <w:t> </w:t>
      </w:r>
      <w:r>
        <w:rPr>
          <w:sz w:val="22"/>
        </w:rPr>
        <w:t>Attainment</w:t>
      </w:r>
      <w:r>
        <w:rPr>
          <w:spacing w:val="74"/>
          <w:sz w:val="22"/>
        </w:rPr>
        <w:t> </w:t>
      </w:r>
      <w:r>
        <w:rPr>
          <w:sz w:val="22"/>
        </w:rPr>
        <w:t>Threshold)</w:t>
      </w:r>
      <w:r>
        <w:rPr>
          <w:spacing w:val="76"/>
          <w:sz w:val="22"/>
        </w:rPr>
        <w:t> </w:t>
      </w:r>
      <w:r>
        <w:rPr>
          <w:sz w:val="22"/>
        </w:rPr>
        <w:t>/</w:t>
      </w:r>
      <w:r>
        <w:rPr>
          <w:spacing w:val="76"/>
          <w:sz w:val="22"/>
        </w:rPr>
        <w:t> </w:t>
      </w:r>
      <w:r>
        <w:rPr>
          <w:sz w:val="22"/>
        </w:rPr>
        <w:t>(Goal</w:t>
      </w:r>
      <w:r>
        <w:rPr>
          <w:spacing w:val="76"/>
          <w:sz w:val="22"/>
        </w:rPr>
        <w:t> </w:t>
      </w:r>
      <w:r>
        <w:rPr>
          <w:sz w:val="22"/>
        </w:rPr>
        <w:t>Benchmark</w:t>
      </w:r>
      <w:r>
        <w:rPr>
          <w:spacing w:val="73"/>
          <w:sz w:val="22"/>
        </w:rPr>
        <w:t> </w:t>
      </w:r>
      <w:r>
        <w:rPr>
          <w:sz w:val="22"/>
        </w:rPr>
        <w:t>– Attainment Threshold))</w:t>
      </w:r>
    </w:p>
    <w:p>
      <w:pPr>
        <w:pStyle w:val="ListParagraph"/>
        <w:numPr>
          <w:ilvl w:val="0"/>
          <w:numId w:val="84"/>
        </w:numPr>
        <w:tabs>
          <w:tab w:pos="1940" w:val="left" w:leader="none"/>
        </w:tabs>
        <w:spacing w:line="240" w:lineRule="auto" w:before="200" w:after="0"/>
        <w:ind w:left="1940" w:right="1095" w:hanging="360"/>
        <w:jc w:val="both"/>
        <w:rPr>
          <w:sz w:val="22"/>
        </w:rPr>
      </w:pPr>
      <w:r>
        <w:rPr>
          <w:sz w:val="22"/>
        </w:rPr>
        <w:t>If the State finds that 75% of ACOs have not met the Attainment Thresholds for a particular measure, then the State may reset this benchmark to a lower standard for future Budget Periods with</w:t>
      </w:r>
      <w:r>
        <w:rPr>
          <w:spacing w:val="-8"/>
          <w:sz w:val="22"/>
        </w:rPr>
        <w:t> </w:t>
      </w:r>
      <w:r>
        <w:rPr>
          <w:sz w:val="22"/>
        </w:rPr>
        <w:t>input</w:t>
      </w:r>
      <w:r>
        <w:rPr>
          <w:spacing w:val="-5"/>
          <w:sz w:val="22"/>
        </w:rPr>
        <w:t> </w:t>
      </w:r>
      <w:r>
        <w:rPr>
          <w:sz w:val="22"/>
        </w:rPr>
        <w:t>from</w:t>
      </w:r>
      <w:r>
        <w:rPr>
          <w:spacing w:val="-10"/>
          <w:sz w:val="22"/>
        </w:rPr>
        <w:t> </w:t>
      </w:r>
      <w:r>
        <w:rPr>
          <w:sz w:val="22"/>
        </w:rPr>
        <w:t>the</w:t>
      </w:r>
      <w:r>
        <w:rPr>
          <w:spacing w:val="-6"/>
          <w:sz w:val="22"/>
        </w:rPr>
        <w:t> </w:t>
      </w:r>
      <w:r>
        <w:rPr>
          <w:sz w:val="22"/>
        </w:rPr>
        <w:t>DSRIP</w:t>
      </w:r>
      <w:r>
        <w:rPr>
          <w:spacing w:val="-7"/>
          <w:sz w:val="22"/>
        </w:rPr>
        <w:t> </w:t>
      </w:r>
      <w:r>
        <w:rPr>
          <w:sz w:val="22"/>
        </w:rPr>
        <w:t>Advisory</w:t>
      </w:r>
      <w:r>
        <w:rPr>
          <w:spacing w:val="-9"/>
          <w:sz w:val="22"/>
        </w:rPr>
        <w:t> </w:t>
      </w:r>
      <w:r>
        <w:rPr>
          <w:sz w:val="22"/>
        </w:rPr>
        <w:t>Committee</w:t>
      </w:r>
      <w:r>
        <w:rPr>
          <w:spacing w:val="-8"/>
          <w:sz w:val="22"/>
        </w:rPr>
        <w:t> </w:t>
      </w:r>
      <w:r>
        <w:rPr>
          <w:sz w:val="22"/>
        </w:rPr>
        <w:t>for</w:t>
      </w:r>
      <w:r>
        <w:rPr>
          <w:spacing w:val="-5"/>
          <w:sz w:val="22"/>
        </w:rPr>
        <w:t> </w:t>
      </w:r>
      <w:r>
        <w:rPr>
          <w:sz w:val="22"/>
        </w:rPr>
        <w:t>Quality,</w:t>
      </w:r>
      <w:r>
        <w:rPr>
          <w:spacing w:val="-6"/>
          <w:sz w:val="22"/>
        </w:rPr>
        <w:t> </w:t>
      </w:r>
      <w:r>
        <w:rPr>
          <w:sz w:val="22"/>
        </w:rPr>
        <w:t>and</w:t>
      </w:r>
      <w:r>
        <w:rPr>
          <w:spacing w:val="-6"/>
          <w:sz w:val="22"/>
        </w:rPr>
        <w:t> </w:t>
      </w:r>
      <w:r>
        <w:rPr>
          <w:sz w:val="22"/>
        </w:rPr>
        <w:t>CMS</w:t>
      </w:r>
      <w:r>
        <w:rPr>
          <w:spacing w:val="-9"/>
          <w:sz w:val="22"/>
        </w:rPr>
        <w:t> </w:t>
      </w:r>
      <w:r>
        <w:rPr>
          <w:sz w:val="22"/>
        </w:rPr>
        <w:t>approval.</w:t>
      </w:r>
      <w:r>
        <w:rPr>
          <w:spacing w:val="40"/>
          <w:sz w:val="22"/>
        </w:rPr>
        <w:t> </w:t>
      </w:r>
      <w:r>
        <w:rPr>
          <w:sz w:val="22"/>
        </w:rPr>
        <w:t>If</w:t>
      </w:r>
      <w:r>
        <w:rPr>
          <w:spacing w:val="-5"/>
          <w:sz w:val="22"/>
        </w:rPr>
        <w:t> </w:t>
      </w:r>
      <w:r>
        <w:rPr>
          <w:sz w:val="22"/>
        </w:rPr>
        <w:t>the</w:t>
      </w:r>
      <w:r>
        <w:rPr>
          <w:spacing w:val="-6"/>
          <w:sz w:val="22"/>
        </w:rPr>
        <w:t> </w:t>
      </w:r>
      <w:r>
        <w:rPr>
          <w:sz w:val="22"/>
        </w:rPr>
        <w:t>State</w:t>
      </w:r>
      <w:r>
        <w:rPr>
          <w:spacing w:val="-6"/>
          <w:sz w:val="22"/>
        </w:rPr>
        <w:t> </w:t>
      </w:r>
      <w:r>
        <w:rPr>
          <w:sz w:val="22"/>
        </w:rPr>
        <w:t>finds</w:t>
      </w:r>
    </w:p>
    <w:p>
      <w:pPr>
        <w:spacing w:after="0" w:line="240" w:lineRule="auto"/>
        <w:jc w:val="both"/>
        <w:rPr>
          <w:sz w:val="22"/>
        </w:rPr>
        <w:sectPr>
          <w:pgSz w:w="12240" w:h="15840"/>
          <w:pgMar w:header="0" w:footer="967" w:top="1360" w:bottom="1160" w:left="220" w:right="340"/>
        </w:sectPr>
      </w:pPr>
    </w:p>
    <w:p>
      <w:pPr>
        <w:spacing w:line="240" w:lineRule="auto" w:before="78"/>
        <w:ind w:left="1939" w:right="1094" w:firstLine="0"/>
        <w:jc w:val="both"/>
        <w:rPr>
          <w:sz w:val="22"/>
        </w:rPr>
      </w:pPr>
      <w:r>
        <w:rPr>
          <w:sz w:val="22"/>
        </w:rPr>
        <w:t>that</w:t>
      </w:r>
      <w:r>
        <w:rPr>
          <w:spacing w:val="-2"/>
          <w:sz w:val="22"/>
        </w:rPr>
        <w:t> </w:t>
      </w:r>
      <w:r>
        <w:rPr>
          <w:sz w:val="22"/>
        </w:rPr>
        <w:t>75%</w:t>
      </w:r>
      <w:r>
        <w:rPr>
          <w:spacing w:val="-2"/>
          <w:sz w:val="22"/>
        </w:rPr>
        <w:t> </w:t>
      </w:r>
      <w:r>
        <w:rPr>
          <w:sz w:val="22"/>
        </w:rPr>
        <w:t>or</w:t>
      </w:r>
      <w:r>
        <w:rPr>
          <w:spacing w:val="-2"/>
          <w:sz w:val="22"/>
        </w:rPr>
        <w:t> </w:t>
      </w:r>
      <w:r>
        <w:rPr>
          <w:sz w:val="22"/>
        </w:rPr>
        <w:t>more</w:t>
      </w:r>
      <w:r>
        <w:rPr>
          <w:spacing w:val="-3"/>
          <w:sz w:val="22"/>
        </w:rPr>
        <w:t> </w:t>
      </w:r>
      <w:r>
        <w:rPr>
          <w:sz w:val="22"/>
        </w:rPr>
        <w:t>of</w:t>
      </w:r>
      <w:r>
        <w:rPr>
          <w:spacing w:val="-2"/>
          <w:sz w:val="22"/>
        </w:rPr>
        <w:t> </w:t>
      </w:r>
      <w:r>
        <w:rPr>
          <w:sz w:val="22"/>
        </w:rPr>
        <w:t>ACOs</w:t>
      </w:r>
      <w:r>
        <w:rPr>
          <w:spacing w:val="-4"/>
          <w:sz w:val="22"/>
        </w:rPr>
        <w:t> </w:t>
      </w:r>
      <w:r>
        <w:rPr>
          <w:sz w:val="22"/>
        </w:rPr>
        <w:t>have</w:t>
      </w:r>
      <w:r>
        <w:rPr>
          <w:spacing w:val="-3"/>
          <w:sz w:val="22"/>
        </w:rPr>
        <w:t> </w:t>
      </w:r>
      <w:r>
        <w:rPr>
          <w:sz w:val="22"/>
        </w:rPr>
        <w:t>met</w:t>
      </w:r>
      <w:r>
        <w:rPr>
          <w:spacing w:val="-2"/>
          <w:sz w:val="22"/>
        </w:rPr>
        <w:t> </w:t>
      </w:r>
      <w:r>
        <w:rPr>
          <w:sz w:val="22"/>
        </w:rPr>
        <w:t>the</w:t>
      </w:r>
      <w:r>
        <w:rPr>
          <w:spacing w:val="-4"/>
          <w:sz w:val="22"/>
        </w:rPr>
        <w:t> </w:t>
      </w:r>
      <w:r>
        <w:rPr>
          <w:sz w:val="22"/>
        </w:rPr>
        <w:t>Goal</w:t>
      </w:r>
      <w:r>
        <w:rPr>
          <w:spacing w:val="-4"/>
          <w:sz w:val="22"/>
        </w:rPr>
        <w:t> </w:t>
      </w:r>
      <w:r>
        <w:rPr>
          <w:sz w:val="22"/>
        </w:rPr>
        <w:t>Benchmarks</w:t>
      </w:r>
      <w:r>
        <w:rPr>
          <w:spacing w:val="-3"/>
          <w:sz w:val="22"/>
        </w:rPr>
        <w:t> </w:t>
      </w:r>
      <w:r>
        <w:rPr>
          <w:sz w:val="22"/>
        </w:rPr>
        <w:t>for</w:t>
      </w:r>
      <w:r>
        <w:rPr>
          <w:spacing w:val="-2"/>
          <w:sz w:val="22"/>
        </w:rPr>
        <w:t> </w:t>
      </w:r>
      <w:r>
        <w:rPr>
          <w:sz w:val="22"/>
        </w:rPr>
        <w:t>a</w:t>
      </w:r>
      <w:r>
        <w:rPr>
          <w:spacing w:val="-4"/>
          <w:sz w:val="22"/>
        </w:rPr>
        <w:t> </w:t>
      </w:r>
      <w:r>
        <w:rPr>
          <w:sz w:val="22"/>
        </w:rPr>
        <w:t>particular</w:t>
      </w:r>
      <w:r>
        <w:rPr>
          <w:spacing w:val="-4"/>
          <w:sz w:val="22"/>
        </w:rPr>
        <w:t> </w:t>
      </w:r>
      <w:r>
        <w:rPr>
          <w:sz w:val="22"/>
        </w:rPr>
        <w:t>measure,</w:t>
      </w:r>
      <w:r>
        <w:rPr>
          <w:spacing w:val="-3"/>
          <w:sz w:val="22"/>
        </w:rPr>
        <w:t> </w:t>
      </w:r>
      <w:r>
        <w:rPr>
          <w:sz w:val="22"/>
        </w:rPr>
        <w:t>then</w:t>
      </w:r>
      <w:r>
        <w:rPr>
          <w:spacing w:val="-5"/>
          <w:sz w:val="22"/>
        </w:rPr>
        <w:t> </w:t>
      </w:r>
      <w:r>
        <w:rPr>
          <w:sz w:val="22"/>
        </w:rPr>
        <w:t>the</w:t>
      </w:r>
      <w:r>
        <w:rPr>
          <w:spacing w:val="-4"/>
          <w:sz w:val="22"/>
        </w:rPr>
        <w:t> </w:t>
      </w:r>
      <w:r>
        <w:rPr>
          <w:sz w:val="22"/>
        </w:rPr>
        <w:t>State may</w:t>
      </w:r>
      <w:r>
        <w:rPr>
          <w:spacing w:val="-14"/>
          <w:sz w:val="22"/>
        </w:rPr>
        <w:t> </w:t>
      </w:r>
      <w:r>
        <w:rPr>
          <w:sz w:val="22"/>
        </w:rPr>
        <w:t>reset</w:t>
      </w:r>
      <w:r>
        <w:rPr>
          <w:spacing w:val="-10"/>
          <w:sz w:val="22"/>
        </w:rPr>
        <w:t> </w:t>
      </w:r>
      <w:r>
        <w:rPr>
          <w:sz w:val="22"/>
        </w:rPr>
        <w:t>this</w:t>
      </w:r>
      <w:r>
        <w:rPr>
          <w:spacing w:val="-10"/>
          <w:sz w:val="22"/>
        </w:rPr>
        <w:t> </w:t>
      </w:r>
      <w:r>
        <w:rPr>
          <w:sz w:val="22"/>
        </w:rPr>
        <w:t>benchmark</w:t>
      </w:r>
      <w:r>
        <w:rPr>
          <w:spacing w:val="-13"/>
          <w:sz w:val="22"/>
        </w:rPr>
        <w:t> </w:t>
      </w:r>
      <w:r>
        <w:rPr>
          <w:sz w:val="22"/>
        </w:rPr>
        <w:t>to</w:t>
      </w:r>
      <w:r>
        <w:rPr>
          <w:spacing w:val="-13"/>
          <w:sz w:val="22"/>
        </w:rPr>
        <w:t> </w:t>
      </w:r>
      <w:r>
        <w:rPr>
          <w:sz w:val="22"/>
        </w:rPr>
        <w:t>a</w:t>
      </w:r>
      <w:r>
        <w:rPr>
          <w:spacing w:val="-10"/>
          <w:sz w:val="22"/>
        </w:rPr>
        <w:t> </w:t>
      </w:r>
      <w:r>
        <w:rPr>
          <w:sz w:val="22"/>
        </w:rPr>
        <w:t>higher</w:t>
      </w:r>
      <w:r>
        <w:rPr>
          <w:spacing w:val="-10"/>
          <w:sz w:val="22"/>
        </w:rPr>
        <w:t> </w:t>
      </w:r>
      <w:r>
        <w:rPr>
          <w:sz w:val="22"/>
        </w:rPr>
        <w:t>standard</w:t>
      </w:r>
      <w:r>
        <w:rPr>
          <w:spacing w:val="-13"/>
          <w:sz w:val="22"/>
        </w:rPr>
        <w:t> </w:t>
      </w:r>
      <w:r>
        <w:rPr>
          <w:sz w:val="22"/>
        </w:rPr>
        <w:t>for</w:t>
      </w:r>
      <w:r>
        <w:rPr>
          <w:spacing w:val="-12"/>
          <w:sz w:val="22"/>
        </w:rPr>
        <w:t> </w:t>
      </w:r>
      <w:r>
        <w:rPr>
          <w:sz w:val="22"/>
        </w:rPr>
        <w:t>future</w:t>
      </w:r>
      <w:r>
        <w:rPr>
          <w:spacing w:val="-13"/>
          <w:sz w:val="22"/>
        </w:rPr>
        <w:t> </w:t>
      </w:r>
      <w:r>
        <w:rPr>
          <w:sz w:val="22"/>
        </w:rPr>
        <w:t>Budget</w:t>
      </w:r>
      <w:r>
        <w:rPr>
          <w:spacing w:val="-10"/>
          <w:sz w:val="22"/>
        </w:rPr>
        <w:t> </w:t>
      </w:r>
      <w:r>
        <w:rPr>
          <w:sz w:val="22"/>
        </w:rPr>
        <w:t>Periods</w:t>
      </w:r>
      <w:r>
        <w:rPr>
          <w:spacing w:val="-10"/>
          <w:sz w:val="22"/>
        </w:rPr>
        <w:t> </w:t>
      </w:r>
      <w:r>
        <w:rPr>
          <w:sz w:val="22"/>
        </w:rPr>
        <w:t>with</w:t>
      </w:r>
      <w:r>
        <w:rPr>
          <w:spacing w:val="-11"/>
          <w:sz w:val="22"/>
        </w:rPr>
        <w:t> </w:t>
      </w:r>
      <w:r>
        <w:rPr>
          <w:sz w:val="22"/>
        </w:rPr>
        <w:t>input</w:t>
      </w:r>
      <w:r>
        <w:rPr>
          <w:spacing w:val="-12"/>
          <w:sz w:val="22"/>
        </w:rPr>
        <w:t> </w:t>
      </w:r>
      <w:r>
        <w:rPr>
          <w:sz w:val="22"/>
        </w:rPr>
        <w:t>from</w:t>
      </w:r>
      <w:r>
        <w:rPr>
          <w:spacing w:val="-14"/>
          <w:sz w:val="22"/>
        </w:rPr>
        <w:t> </w:t>
      </w:r>
      <w:r>
        <w:rPr>
          <w:sz w:val="22"/>
        </w:rPr>
        <w:t>the</w:t>
      </w:r>
      <w:r>
        <w:rPr>
          <w:spacing w:val="-11"/>
          <w:sz w:val="22"/>
        </w:rPr>
        <w:t> </w:t>
      </w:r>
      <w:r>
        <w:rPr>
          <w:sz w:val="22"/>
        </w:rPr>
        <w:t>DSRIP Advisory Committee for Quality, and CMS approval. If 75% of ACOs meet the adjusted Goal Benchmark,</w:t>
      </w:r>
      <w:r>
        <w:rPr>
          <w:spacing w:val="-9"/>
          <w:sz w:val="22"/>
        </w:rPr>
        <w:t> </w:t>
      </w:r>
      <w:r>
        <w:rPr>
          <w:sz w:val="22"/>
        </w:rPr>
        <w:t>then</w:t>
      </w:r>
      <w:r>
        <w:rPr>
          <w:spacing w:val="-9"/>
          <w:sz w:val="22"/>
        </w:rPr>
        <w:t> </w:t>
      </w:r>
      <w:r>
        <w:rPr>
          <w:sz w:val="22"/>
        </w:rPr>
        <w:t>the</w:t>
      </w:r>
      <w:r>
        <w:rPr>
          <w:spacing w:val="-8"/>
          <w:sz w:val="22"/>
        </w:rPr>
        <w:t> </w:t>
      </w:r>
      <w:r>
        <w:rPr>
          <w:sz w:val="22"/>
        </w:rPr>
        <w:t>State</w:t>
      </w:r>
      <w:r>
        <w:rPr>
          <w:spacing w:val="-8"/>
          <w:sz w:val="22"/>
        </w:rPr>
        <w:t> </w:t>
      </w:r>
      <w:r>
        <w:rPr>
          <w:sz w:val="22"/>
        </w:rPr>
        <w:t>may</w:t>
      </w:r>
      <w:r>
        <w:rPr>
          <w:spacing w:val="-11"/>
          <w:sz w:val="22"/>
        </w:rPr>
        <w:t> </w:t>
      </w:r>
      <w:r>
        <w:rPr>
          <w:sz w:val="22"/>
        </w:rPr>
        <w:t>retire</w:t>
      </w:r>
      <w:r>
        <w:rPr>
          <w:spacing w:val="-8"/>
          <w:sz w:val="22"/>
        </w:rPr>
        <w:t> </w:t>
      </w:r>
      <w:r>
        <w:rPr>
          <w:sz w:val="22"/>
        </w:rPr>
        <w:t>the</w:t>
      </w:r>
      <w:r>
        <w:rPr>
          <w:spacing w:val="-8"/>
          <w:sz w:val="22"/>
        </w:rPr>
        <w:t> </w:t>
      </w:r>
      <w:r>
        <w:rPr>
          <w:sz w:val="22"/>
        </w:rPr>
        <w:t>measure</w:t>
      </w:r>
      <w:r>
        <w:rPr>
          <w:spacing w:val="-8"/>
          <w:sz w:val="22"/>
        </w:rPr>
        <w:t> </w:t>
      </w:r>
      <w:r>
        <w:rPr>
          <w:sz w:val="22"/>
        </w:rPr>
        <w:t>and</w:t>
      </w:r>
      <w:r>
        <w:rPr>
          <w:spacing w:val="-11"/>
          <w:sz w:val="22"/>
        </w:rPr>
        <w:t> </w:t>
      </w:r>
      <w:r>
        <w:rPr>
          <w:sz w:val="22"/>
        </w:rPr>
        <w:t>replace</w:t>
      </w:r>
      <w:r>
        <w:rPr>
          <w:spacing w:val="-10"/>
          <w:sz w:val="22"/>
        </w:rPr>
        <w:t> </w:t>
      </w:r>
      <w:r>
        <w:rPr>
          <w:sz w:val="22"/>
        </w:rPr>
        <w:t>it</w:t>
      </w:r>
      <w:r>
        <w:rPr>
          <w:spacing w:val="-8"/>
          <w:sz w:val="22"/>
        </w:rPr>
        <w:t> </w:t>
      </w:r>
      <w:r>
        <w:rPr>
          <w:sz w:val="22"/>
        </w:rPr>
        <w:t>with</w:t>
      </w:r>
      <w:r>
        <w:rPr>
          <w:spacing w:val="-9"/>
          <w:sz w:val="22"/>
        </w:rPr>
        <w:t> </w:t>
      </w:r>
      <w:r>
        <w:rPr>
          <w:sz w:val="22"/>
        </w:rPr>
        <w:t>a</w:t>
      </w:r>
      <w:r>
        <w:rPr>
          <w:spacing w:val="-8"/>
          <w:sz w:val="22"/>
        </w:rPr>
        <w:t> </w:t>
      </w:r>
      <w:r>
        <w:rPr>
          <w:sz w:val="22"/>
        </w:rPr>
        <w:t>new</w:t>
      </w:r>
      <w:r>
        <w:rPr>
          <w:spacing w:val="-10"/>
          <w:sz w:val="22"/>
        </w:rPr>
        <w:t> </w:t>
      </w:r>
      <w:r>
        <w:rPr>
          <w:sz w:val="22"/>
        </w:rPr>
        <w:t>measure</w:t>
      </w:r>
      <w:r>
        <w:rPr>
          <w:spacing w:val="-8"/>
          <w:sz w:val="22"/>
        </w:rPr>
        <w:t> </w:t>
      </w:r>
      <w:r>
        <w:rPr>
          <w:sz w:val="22"/>
        </w:rPr>
        <w:t>from</w:t>
      </w:r>
      <w:r>
        <w:rPr>
          <w:spacing w:val="-12"/>
          <w:sz w:val="22"/>
        </w:rPr>
        <w:t> </w:t>
      </w:r>
      <w:r>
        <w:rPr>
          <w:sz w:val="22"/>
        </w:rPr>
        <w:t>the</w:t>
      </w:r>
      <w:r>
        <w:rPr>
          <w:spacing w:val="-8"/>
          <w:sz w:val="22"/>
        </w:rPr>
        <w:t> </w:t>
      </w:r>
      <w:r>
        <w:rPr>
          <w:sz w:val="22"/>
        </w:rPr>
        <w:t>same domain.</w:t>
      </w:r>
      <w:r>
        <w:rPr>
          <w:spacing w:val="-1"/>
          <w:sz w:val="22"/>
        </w:rPr>
        <w:t> </w:t>
      </w:r>
      <w:r>
        <w:rPr>
          <w:sz w:val="22"/>
        </w:rPr>
        <w:t>The</w:t>
      </w:r>
      <w:r>
        <w:rPr>
          <w:spacing w:val="-1"/>
          <w:sz w:val="22"/>
        </w:rPr>
        <w:t> </w:t>
      </w:r>
      <w:r>
        <w:rPr>
          <w:sz w:val="22"/>
        </w:rPr>
        <w:t>new measure</w:t>
      </w:r>
      <w:r>
        <w:rPr>
          <w:spacing w:val="-1"/>
          <w:sz w:val="22"/>
        </w:rPr>
        <w:t> </w:t>
      </w:r>
      <w:r>
        <w:rPr>
          <w:sz w:val="22"/>
        </w:rPr>
        <w:t>will enter into</w:t>
      </w:r>
      <w:r>
        <w:rPr>
          <w:spacing w:val="-1"/>
          <w:sz w:val="22"/>
        </w:rPr>
        <w:t> </w:t>
      </w:r>
      <w:r>
        <w:rPr>
          <w:sz w:val="22"/>
        </w:rPr>
        <w:t>the</w:t>
      </w:r>
      <w:r>
        <w:rPr>
          <w:spacing w:val="-1"/>
          <w:sz w:val="22"/>
        </w:rPr>
        <w:t> </w:t>
      </w:r>
      <w:r>
        <w:rPr>
          <w:sz w:val="22"/>
        </w:rPr>
        <w:t>slate</w:t>
      </w:r>
      <w:r>
        <w:rPr>
          <w:spacing w:val="-1"/>
          <w:sz w:val="22"/>
        </w:rPr>
        <w:t> </w:t>
      </w:r>
      <w:r>
        <w:rPr>
          <w:sz w:val="22"/>
        </w:rPr>
        <w:t>as</w:t>
      </w:r>
      <w:r>
        <w:rPr>
          <w:spacing w:val="-1"/>
          <w:sz w:val="22"/>
        </w:rPr>
        <w:t> </w:t>
      </w:r>
      <w:r>
        <w:rPr>
          <w:sz w:val="22"/>
        </w:rPr>
        <w:t>reporting</w:t>
      </w:r>
      <w:r>
        <w:rPr>
          <w:spacing w:val="-1"/>
          <w:sz w:val="22"/>
        </w:rPr>
        <w:t> </w:t>
      </w:r>
      <w:r>
        <w:rPr>
          <w:sz w:val="22"/>
        </w:rPr>
        <w:t>only</w:t>
      </w:r>
      <w:r>
        <w:rPr>
          <w:spacing w:val="-1"/>
          <w:sz w:val="22"/>
        </w:rPr>
        <w:t> </w:t>
      </w:r>
      <w:r>
        <w:rPr>
          <w:sz w:val="22"/>
        </w:rPr>
        <w:t>(if claims measure) or pay</w:t>
      </w:r>
      <w:r>
        <w:rPr>
          <w:spacing w:val="-1"/>
          <w:sz w:val="22"/>
        </w:rPr>
        <w:t> </w:t>
      </w:r>
      <w:r>
        <w:rPr>
          <w:sz w:val="22"/>
        </w:rPr>
        <w:t>for reporting (if hybrid measure) for its first reporting year, switching over to pay for performance in the</w:t>
      </w:r>
      <w:r>
        <w:rPr>
          <w:spacing w:val="-9"/>
          <w:sz w:val="22"/>
        </w:rPr>
        <w:t> </w:t>
      </w:r>
      <w:r>
        <w:rPr>
          <w:sz w:val="22"/>
        </w:rPr>
        <w:t>second</w:t>
      </w:r>
      <w:r>
        <w:rPr>
          <w:spacing w:val="-7"/>
          <w:sz w:val="22"/>
        </w:rPr>
        <w:t> </w:t>
      </w:r>
      <w:r>
        <w:rPr>
          <w:sz w:val="22"/>
        </w:rPr>
        <w:t>or</w:t>
      </w:r>
      <w:r>
        <w:rPr>
          <w:spacing w:val="-9"/>
          <w:sz w:val="22"/>
        </w:rPr>
        <w:t> </w:t>
      </w:r>
      <w:r>
        <w:rPr>
          <w:sz w:val="22"/>
        </w:rPr>
        <w:t>third</w:t>
      </w:r>
      <w:r>
        <w:rPr>
          <w:spacing w:val="-10"/>
          <w:sz w:val="22"/>
        </w:rPr>
        <w:t> </w:t>
      </w:r>
      <w:r>
        <w:rPr>
          <w:sz w:val="22"/>
        </w:rPr>
        <w:t>year,</w:t>
      </w:r>
      <w:r>
        <w:rPr>
          <w:spacing w:val="-7"/>
          <w:sz w:val="22"/>
        </w:rPr>
        <w:t> </w:t>
      </w:r>
      <w:r>
        <w:rPr>
          <w:sz w:val="22"/>
        </w:rPr>
        <w:t>depending</w:t>
      </w:r>
      <w:r>
        <w:rPr>
          <w:spacing w:val="-10"/>
          <w:sz w:val="22"/>
        </w:rPr>
        <w:t> </w:t>
      </w:r>
      <w:r>
        <w:rPr>
          <w:sz w:val="22"/>
        </w:rPr>
        <w:t>on</w:t>
      </w:r>
      <w:r>
        <w:rPr>
          <w:spacing w:val="-7"/>
          <w:sz w:val="22"/>
        </w:rPr>
        <w:t> </w:t>
      </w:r>
      <w:r>
        <w:rPr>
          <w:sz w:val="22"/>
        </w:rPr>
        <w:t>benchmark</w:t>
      </w:r>
      <w:r>
        <w:rPr>
          <w:spacing w:val="-10"/>
          <w:sz w:val="22"/>
        </w:rPr>
        <w:t> </w:t>
      </w:r>
      <w:r>
        <w:rPr>
          <w:sz w:val="22"/>
        </w:rPr>
        <w:t>availability.</w:t>
      </w:r>
      <w:r>
        <w:rPr>
          <w:spacing w:val="-7"/>
          <w:sz w:val="22"/>
        </w:rPr>
        <w:t> </w:t>
      </w:r>
      <w:r>
        <w:rPr>
          <w:sz w:val="22"/>
        </w:rPr>
        <w:t>Benchmarking</w:t>
      </w:r>
      <w:r>
        <w:rPr>
          <w:spacing w:val="-10"/>
          <w:sz w:val="22"/>
        </w:rPr>
        <w:t> </w:t>
      </w:r>
      <w:r>
        <w:rPr>
          <w:sz w:val="22"/>
        </w:rPr>
        <w:t>for</w:t>
      </w:r>
      <w:r>
        <w:rPr>
          <w:spacing w:val="-9"/>
          <w:sz w:val="22"/>
        </w:rPr>
        <w:t> </w:t>
      </w:r>
      <w:r>
        <w:rPr>
          <w:sz w:val="22"/>
        </w:rPr>
        <w:t>the</w:t>
      </w:r>
      <w:r>
        <w:rPr>
          <w:spacing w:val="-7"/>
          <w:sz w:val="22"/>
        </w:rPr>
        <w:t> </w:t>
      </w:r>
      <w:r>
        <w:rPr>
          <w:sz w:val="22"/>
        </w:rPr>
        <w:t>new</w:t>
      </w:r>
      <w:r>
        <w:rPr>
          <w:spacing w:val="-8"/>
          <w:sz w:val="22"/>
        </w:rPr>
        <w:t> </w:t>
      </w:r>
      <w:r>
        <w:rPr>
          <w:sz w:val="22"/>
        </w:rPr>
        <w:t>measure will follow the same methodology as outlined in Section 5.3.1.1</w:t>
      </w:r>
    </w:p>
    <w:p>
      <w:pPr>
        <w:pStyle w:val="ListParagraph"/>
        <w:numPr>
          <w:ilvl w:val="0"/>
          <w:numId w:val="84"/>
        </w:numPr>
        <w:tabs>
          <w:tab w:pos="1939" w:val="left" w:leader="none"/>
        </w:tabs>
        <w:spacing w:line="240" w:lineRule="auto" w:before="201" w:after="0"/>
        <w:ind w:left="1939" w:right="1094" w:hanging="360"/>
        <w:jc w:val="left"/>
        <w:rPr>
          <w:sz w:val="22"/>
        </w:rPr>
      </w:pPr>
      <w:r>
        <w:rPr>
          <w:sz w:val="22"/>
        </w:rPr>
        <w:t>The</w:t>
      </w:r>
      <w:r>
        <w:rPr>
          <w:spacing w:val="-12"/>
          <w:sz w:val="22"/>
        </w:rPr>
        <w:t> </w:t>
      </w:r>
      <w:r>
        <w:rPr>
          <w:sz w:val="22"/>
        </w:rPr>
        <w:t>State</w:t>
      </w:r>
      <w:r>
        <w:rPr>
          <w:spacing w:val="-12"/>
          <w:sz w:val="22"/>
        </w:rPr>
        <w:t> </w:t>
      </w:r>
      <w:r>
        <w:rPr>
          <w:sz w:val="22"/>
        </w:rPr>
        <w:t>will</w:t>
      </w:r>
      <w:r>
        <w:rPr>
          <w:spacing w:val="-11"/>
          <w:sz w:val="22"/>
        </w:rPr>
        <w:t> </w:t>
      </w:r>
      <w:r>
        <w:rPr>
          <w:sz w:val="22"/>
        </w:rPr>
        <w:t>calculate</w:t>
      </w:r>
      <w:r>
        <w:rPr>
          <w:spacing w:val="-9"/>
          <w:sz w:val="22"/>
        </w:rPr>
        <w:t> </w:t>
      </w:r>
      <w:r>
        <w:rPr>
          <w:sz w:val="22"/>
        </w:rPr>
        <w:t>Achievement</w:t>
      </w:r>
      <w:r>
        <w:rPr>
          <w:spacing w:val="-9"/>
          <w:sz w:val="22"/>
        </w:rPr>
        <w:t> </w:t>
      </w:r>
      <w:r>
        <w:rPr>
          <w:sz w:val="22"/>
        </w:rPr>
        <w:t>Point</w:t>
      </w:r>
      <w:r>
        <w:rPr>
          <w:spacing w:val="-11"/>
          <w:sz w:val="22"/>
        </w:rPr>
        <w:t> </w:t>
      </w:r>
      <w:r>
        <w:rPr>
          <w:sz w:val="22"/>
        </w:rPr>
        <w:t>totals</w:t>
      </w:r>
      <w:r>
        <w:rPr>
          <w:spacing w:val="-11"/>
          <w:sz w:val="22"/>
        </w:rPr>
        <w:t> </w:t>
      </w:r>
      <w:r>
        <w:rPr>
          <w:sz w:val="22"/>
        </w:rPr>
        <w:t>for</w:t>
      </w:r>
      <w:r>
        <w:rPr>
          <w:spacing w:val="-9"/>
          <w:sz w:val="22"/>
        </w:rPr>
        <w:t> </w:t>
      </w:r>
      <w:r>
        <w:rPr>
          <w:sz w:val="22"/>
        </w:rPr>
        <w:t>every</w:t>
      </w:r>
      <w:r>
        <w:rPr>
          <w:spacing w:val="-9"/>
          <w:sz w:val="22"/>
        </w:rPr>
        <w:t> </w:t>
      </w:r>
      <w:r>
        <w:rPr>
          <w:sz w:val="22"/>
        </w:rPr>
        <w:t>measure,</w:t>
      </w:r>
      <w:r>
        <w:rPr>
          <w:spacing w:val="-12"/>
          <w:sz w:val="22"/>
        </w:rPr>
        <w:t> </w:t>
      </w:r>
      <w:r>
        <w:rPr>
          <w:sz w:val="22"/>
        </w:rPr>
        <w:t>for</w:t>
      </w:r>
      <w:r>
        <w:rPr>
          <w:spacing w:val="-11"/>
          <w:sz w:val="22"/>
        </w:rPr>
        <w:t> </w:t>
      </w:r>
      <w:r>
        <w:rPr>
          <w:sz w:val="22"/>
        </w:rPr>
        <w:t>every</w:t>
      </w:r>
      <w:r>
        <w:rPr>
          <w:spacing w:val="-12"/>
          <w:sz w:val="22"/>
        </w:rPr>
        <w:t> </w:t>
      </w:r>
      <w:r>
        <w:rPr>
          <w:sz w:val="22"/>
        </w:rPr>
        <w:t>BP,</w:t>
      </w:r>
      <w:r>
        <w:rPr>
          <w:spacing w:val="-10"/>
          <w:sz w:val="22"/>
        </w:rPr>
        <w:t> </w:t>
      </w:r>
      <w:r>
        <w:rPr>
          <w:sz w:val="22"/>
        </w:rPr>
        <w:t>for</w:t>
      </w:r>
      <w:r>
        <w:rPr>
          <w:spacing w:val="-11"/>
          <w:sz w:val="22"/>
        </w:rPr>
        <w:t> </w:t>
      </w:r>
      <w:r>
        <w:rPr>
          <w:sz w:val="22"/>
        </w:rPr>
        <w:t>the</w:t>
      </w:r>
      <w:r>
        <w:rPr>
          <w:spacing w:val="-9"/>
          <w:sz w:val="22"/>
        </w:rPr>
        <w:t> </w:t>
      </w:r>
      <w:r>
        <w:rPr>
          <w:sz w:val="22"/>
        </w:rPr>
        <w:t>purposes of</w:t>
      </w:r>
      <w:r>
        <w:rPr>
          <w:spacing w:val="-10"/>
          <w:sz w:val="22"/>
        </w:rPr>
        <w:t> </w:t>
      </w:r>
      <w:r>
        <w:rPr>
          <w:sz w:val="22"/>
        </w:rPr>
        <w:t>the</w:t>
      </w:r>
      <w:r>
        <w:rPr>
          <w:spacing w:val="-11"/>
          <w:sz w:val="22"/>
        </w:rPr>
        <w:t> </w:t>
      </w:r>
      <w:r>
        <w:rPr>
          <w:sz w:val="22"/>
        </w:rPr>
        <w:t>baseline</w:t>
      </w:r>
      <w:r>
        <w:rPr>
          <w:spacing w:val="-10"/>
          <w:sz w:val="22"/>
        </w:rPr>
        <w:t> </w:t>
      </w:r>
      <w:r>
        <w:rPr>
          <w:sz w:val="22"/>
        </w:rPr>
        <w:t>period</w:t>
      </w:r>
      <w:r>
        <w:rPr>
          <w:spacing w:val="-11"/>
          <w:sz w:val="22"/>
        </w:rPr>
        <w:t> </w:t>
      </w:r>
      <w:r>
        <w:rPr>
          <w:sz w:val="22"/>
        </w:rPr>
        <w:t>of</w:t>
      </w:r>
      <w:r>
        <w:rPr>
          <w:spacing w:val="-12"/>
          <w:sz w:val="22"/>
        </w:rPr>
        <w:t> </w:t>
      </w:r>
      <w:r>
        <w:rPr>
          <w:sz w:val="22"/>
        </w:rPr>
        <w:t>the</w:t>
      </w:r>
      <w:r>
        <w:rPr>
          <w:spacing w:val="-13"/>
          <w:sz w:val="22"/>
        </w:rPr>
        <w:t> </w:t>
      </w:r>
      <w:r>
        <w:rPr>
          <w:sz w:val="22"/>
        </w:rPr>
        <w:t>State</w:t>
      </w:r>
      <w:r>
        <w:rPr>
          <w:spacing w:val="-10"/>
          <w:sz w:val="22"/>
        </w:rPr>
        <w:t> </w:t>
      </w:r>
      <w:r>
        <w:rPr>
          <w:sz w:val="22"/>
        </w:rPr>
        <w:t>Accountability</w:t>
      </w:r>
      <w:r>
        <w:rPr>
          <w:spacing w:val="-13"/>
          <w:sz w:val="22"/>
        </w:rPr>
        <w:t> </w:t>
      </w:r>
      <w:r>
        <w:rPr>
          <w:sz w:val="22"/>
        </w:rPr>
        <w:t>Score</w:t>
      </w:r>
      <w:r>
        <w:rPr>
          <w:spacing w:val="-13"/>
          <w:sz w:val="22"/>
        </w:rPr>
        <w:t> </w:t>
      </w:r>
      <w:r>
        <w:rPr>
          <w:sz w:val="22"/>
        </w:rPr>
        <w:t>Calculation</w:t>
      </w:r>
      <w:r>
        <w:rPr>
          <w:spacing w:val="-13"/>
          <w:sz w:val="22"/>
        </w:rPr>
        <w:t> </w:t>
      </w:r>
      <w:r>
        <w:rPr>
          <w:sz w:val="22"/>
        </w:rPr>
        <w:t>(as</w:t>
      </w:r>
      <w:r>
        <w:rPr>
          <w:spacing w:val="-10"/>
          <w:sz w:val="22"/>
        </w:rPr>
        <w:t> </w:t>
      </w:r>
      <w:r>
        <w:rPr>
          <w:sz w:val="22"/>
        </w:rPr>
        <w:t>outlined</w:t>
      </w:r>
      <w:r>
        <w:rPr>
          <w:spacing w:val="-13"/>
          <w:sz w:val="22"/>
        </w:rPr>
        <w:t> </w:t>
      </w:r>
      <w:r>
        <w:rPr>
          <w:sz w:val="22"/>
        </w:rPr>
        <w:t>in</w:t>
      </w:r>
      <w:r>
        <w:rPr>
          <w:spacing w:val="-11"/>
          <w:sz w:val="22"/>
        </w:rPr>
        <w:t> </w:t>
      </w:r>
      <w:r>
        <w:rPr>
          <w:sz w:val="22"/>
        </w:rPr>
        <w:t>Section</w:t>
      </w:r>
      <w:r>
        <w:rPr>
          <w:spacing w:val="-11"/>
          <w:sz w:val="22"/>
        </w:rPr>
        <w:t> </w:t>
      </w:r>
      <w:r>
        <w:rPr>
          <w:sz w:val="22"/>
        </w:rPr>
        <w:t>5.2.1.3).</w:t>
      </w:r>
    </w:p>
    <w:p>
      <w:pPr>
        <w:spacing w:line="450" w:lineRule="atLeast" w:before="5" w:after="2"/>
        <w:ind w:left="1220" w:right="1111" w:firstLine="0"/>
        <w:jc w:val="left"/>
        <w:rPr>
          <w:sz w:val="22"/>
        </w:rPr>
      </w:pPr>
      <w:r>
        <w:rPr>
          <w:sz w:val="22"/>
        </w:rPr>
        <w:t>Exhibit 32</w:t>
      </w:r>
      <w:r>
        <w:rPr>
          <w:spacing w:val="-4"/>
          <w:sz w:val="22"/>
        </w:rPr>
        <w:t> </w:t>
      </w:r>
      <w:r>
        <w:rPr>
          <w:sz w:val="22"/>
        </w:rPr>
        <w:t>below</w:t>
      </w:r>
      <w:r>
        <w:rPr>
          <w:spacing w:val="-2"/>
          <w:sz w:val="22"/>
        </w:rPr>
        <w:t> </w:t>
      </w:r>
      <w:r>
        <w:rPr>
          <w:sz w:val="22"/>
        </w:rPr>
        <w:t>shows</w:t>
      </w:r>
      <w:r>
        <w:rPr>
          <w:spacing w:val="-3"/>
          <w:sz w:val="22"/>
        </w:rPr>
        <w:t> </w:t>
      </w:r>
      <w:r>
        <w:rPr>
          <w:sz w:val="22"/>
        </w:rPr>
        <w:t>an</w:t>
      </w:r>
      <w:r>
        <w:rPr>
          <w:spacing w:val="-4"/>
          <w:sz w:val="22"/>
        </w:rPr>
        <w:t> </w:t>
      </w:r>
      <w:r>
        <w:rPr>
          <w:sz w:val="22"/>
        </w:rPr>
        <w:t>example</w:t>
      </w:r>
      <w:r>
        <w:rPr>
          <w:spacing w:val="-1"/>
          <w:sz w:val="22"/>
        </w:rPr>
        <w:t> </w:t>
      </w:r>
      <w:r>
        <w:rPr>
          <w:sz w:val="22"/>
        </w:rPr>
        <w:t>calculation</w:t>
      </w:r>
      <w:r>
        <w:rPr>
          <w:spacing w:val="-4"/>
          <w:sz w:val="22"/>
        </w:rPr>
        <w:t> </w:t>
      </w:r>
      <w:r>
        <w:rPr>
          <w:sz w:val="22"/>
        </w:rPr>
        <w:t>of</w:t>
      </w:r>
      <w:r>
        <w:rPr>
          <w:spacing w:val="-3"/>
          <w:sz w:val="22"/>
        </w:rPr>
        <w:t> </w:t>
      </w:r>
      <w:r>
        <w:rPr>
          <w:sz w:val="22"/>
        </w:rPr>
        <w:t>an</w:t>
      </w:r>
      <w:r>
        <w:rPr>
          <w:spacing w:val="-4"/>
          <w:sz w:val="22"/>
        </w:rPr>
        <w:t> </w:t>
      </w:r>
      <w:r>
        <w:rPr>
          <w:sz w:val="22"/>
        </w:rPr>
        <w:t>ACO’s</w:t>
      </w:r>
      <w:r>
        <w:rPr>
          <w:spacing w:val="-1"/>
          <w:sz w:val="22"/>
        </w:rPr>
        <w:t> </w:t>
      </w:r>
      <w:r>
        <w:rPr>
          <w:sz w:val="22"/>
        </w:rPr>
        <w:t>achievement points</w:t>
      </w:r>
      <w:r>
        <w:rPr>
          <w:spacing w:val="-3"/>
          <w:sz w:val="22"/>
        </w:rPr>
        <w:t> </w:t>
      </w:r>
      <w:r>
        <w:rPr>
          <w:sz w:val="22"/>
        </w:rPr>
        <w:t>for a</w:t>
      </w:r>
      <w:r>
        <w:rPr>
          <w:spacing w:val="-3"/>
          <w:sz w:val="22"/>
        </w:rPr>
        <w:t> </w:t>
      </w:r>
      <w:r>
        <w:rPr>
          <w:sz w:val="22"/>
        </w:rPr>
        <w:t>Quality</w:t>
      </w:r>
      <w:r>
        <w:rPr>
          <w:spacing w:val="-4"/>
          <w:sz w:val="22"/>
        </w:rPr>
        <w:t> </w:t>
      </w:r>
      <w:r>
        <w:rPr>
          <w:sz w:val="22"/>
        </w:rPr>
        <w:t>Measure. EXHIBIT 32 – Example Calculation of Achievement Points for Measure A</w:t>
      </w:r>
    </w:p>
    <w:p>
      <w:pPr>
        <w:pStyle w:val="BodyText"/>
        <w:spacing w:line="20" w:lineRule="exact"/>
        <w:ind w:left="1220"/>
        <w:rPr>
          <w:sz w:val="2"/>
        </w:rPr>
      </w:pPr>
      <w:r>
        <w:rPr>
          <w:sz w:val="2"/>
        </w:rPr>
        <mc:AlternateContent>
          <mc:Choice Requires="wps">
            <w:drawing>
              <wp:inline distT="0" distB="0" distL="0" distR="0">
                <wp:extent cx="5943600" cy="6350"/>
                <wp:effectExtent l="0" t="0" r="0" b="0"/>
                <wp:docPr id="886" name="Group 886"/>
                <wp:cNvGraphicFramePr>
                  <a:graphicFrameLocks/>
                </wp:cNvGraphicFramePr>
                <a:graphic>
                  <a:graphicData uri="http://schemas.microsoft.com/office/word/2010/wordprocessingGroup">
                    <wpg:wgp>
                      <wpg:cNvPr id="886" name="Group 886"/>
                      <wpg:cNvGrpSpPr/>
                      <wpg:grpSpPr>
                        <a:xfrm>
                          <a:off x="0" y="0"/>
                          <a:ext cx="5943600" cy="6350"/>
                          <a:chExt cx="5943600" cy="6350"/>
                        </a:xfrm>
                      </wpg:grpSpPr>
                      <wps:wsp>
                        <wps:cNvPr id="887" name="Graphic 887"/>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68pt;height:.5pt;mso-position-horizontal-relative:char;mso-position-vertical-relative:line" id="docshapegroup103" coordorigin="0,0" coordsize="9360,10">
                <v:rect style="position:absolute;left:0;top:0;width:9360;height:10" id="docshape104" filled="true" fillcolor="#000000" stroked="false">
                  <v:fill type="solid"/>
                </v:rect>
              </v:group>
            </w:pict>
          </mc:Fallback>
        </mc:AlternateContent>
      </w:r>
      <w:r>
        <w:rPr>
          <w:sz w:val="2"/>
        </w:rPr>
      </w:r>
    </w:p>
    <w:p>
      <w:pPr>
        <w:spacing w:before="0"/>
        <w:ind w:left="1220" w:right="0" w:firstLine="0"/>
        <w:jc w:val="left"/>
        <w:rPr>
          <w:sz w:val="22"/>
        </w:rPr>
      </w:pPr>
      <w:r>
        <w:rPr>
          <w:b/>
          <w:sz w:val="22"/>
        </w:rPr>
        <w:t>Measure</w:t>
      </w:r>
      <w:r>
        <w:rPr>
          <w:b/>
          <w:spacing w:val="1"/>
          <w:sz w:val="22"/>
        </w:rPr>
        <w:t> </w:t>
      </w:r>
      <w:r>
        <w:rPr>
          <w:b/>
          <w:sz w:val="22"/>
        </w:rPr>
        <w:t>A Attainment</w:t>
      </w:r>
      <w:r>
        <w:rPr>
          <w:b/>
          <w:spacing w:val="1"/>
          <w:sz w:val="22"/>
        </w:rPr>
        <w:t> </w:t>
      </w:r>
      <w:r>
        <w:rPr>
          <w:b/>
          <w:sz w:val="22"/>
        </w:rPr>
        <w:t>Threshold </w:t>
      </w:r>
      <w:r>
        <w:rPr>
          <w:sz w:val="22"/>
        </w:rPr>
        <w:t>=</w:t>
      </w:r>
      <w:r>
        <w:rPr>
          <w:spacing w:val="1"/>
          <w:sz w:val="22"/>
        </w:rPr>
        <w:t> </w:t>
      </w:r>
      <w:r>
        <w:rPr>
          <w:sz w:val="22"/>
        </w:rPr>
        <w:t>45%</w:t>
      </w:r>
      <w:r>
        <w:rPr>
          <w:spacing w:val="-1"/>
          <w:sz w:val="22"/>
        </w:rPr>
        <w:t> </w:t>
      </w:r>
      <w:r>
        <w:rPr>
          <w:sz w:val="22"/>
        </w:rPr>
        <w:t>(e.g.,</w:t>
      </w:r>
      <w:r>
        <w:rPr>
          <w:spacing w:val="1"/>
          <w:sz w:val="22"/>
        </w:rPr>
        <w:t> </w:t>
      </w:r>
      <w:r>
        <w:rPr>
          <w:sz w:val="22"/>
        </w:rPr>
        <w:t>corresponding</w:t>
      </w:r>
      <w:r>
        <w:rPr>
          <w:spacing w:val="-1"/>
          <w:sz w:val="22"/>
        </w:rPr>
        <w:t> </w:t>
      </w:r>
      <w:r>
        <w:rPr>
          <w:sz w:val="22"/>
        </w:rPr>
        <w:t>to</w:t>
      </w:r>
      <w:r>
        <w:rPr>
          <w:spacing w:val="1"/>
          <w:sz w:val="22"/>
        </w:rPr>
        <w:t> </w:t>
      </w:r>
      <w:r>
        <w:rPr>
          <w:sz w:val="22"/>
        </w:rPr>
        <w:t>25</w:t>
      </w:r>
      <w:r>
        <w:rPr>
          <w:sz w:val="22"/>
          <w:vertAlign w:val="superscript"/>
        </w:rPr>
        <w:t>th</w:t>
      </w:r>
      <w:r>
        <w:rPr>
          <w:spacing w:val="-2"/>
          <w:sz w:val="22"/>
          <w:vertAlign w:val="baseline"/>
        </w:rPr>
        <w:t> </w:t>
      </w:r>
      <w:r>
        <w:rPr>
          <w:sz w:val="22"/>
          <w:vertAlign w:val="baseline"/>
        </w:rPr>
        <w:t>percentile</w:t>
      </w:r>
      <w:r>
        <w:rPr>
          <w:spacing w:val="-1"/>
          <w:sz w:val="22"/>
          <w:vertAlign w:val="baseline"/>
        </w:rPr>
        <w:t> </w:t>
      </w:r>
      <w:r>
        <w:rPr>
          <w:sz w:val="22"/>
          <w:vertAlign w:val="baseline"/>
        </w:rPr>
        <w:t>of</w:t>
      </w:r>
      <w:r>
        <w:rPr>
          <w:spacing w:val="1"/>
          <w:sz w:val="22"/>
          <w:vertAlign w:val="baseline"/>
        </w:rPr>
        <w:t> </w:t>
      </w:r>
      <w:r>
        <w:rPr>
          <w:sz w:val="22"/>
          <w:vertAlign w:val="baseline"/>
        </w:rPr>
        <w:t>HEDIS </w:t>
      </w:r>
      <w:r>
        <w:rPr>
          <w:spacing w:val="-2"/>
          <w:sz w:val="22"/>
          <w:vertAlign w:val="baseline"/>
        </w:rPr>
        <w:t>benchmarks)</w:t>
      </w:r>
    </w:p>
    <w:p>
      <w:pPr>
        <w:spacing w:before="0"/>
        <w:ind w:left="1220" w:right="0" w:firstLine="0"/>
        <w:jc w:val="left"/>
        <w:rPr>
          <w:sz w:val="22"/>
        </w:rPr>
      </w:pPr>
      <w:r>
        <w:rPr>
          <w:b/>
          <w:sz w:val="22"/>
        </w:rPr>
        <w:t>Measure</w:t>
      </w:r>
      <w:r>
        <w:rPr>
          <w:b/>
          <w:spacing w:val="-4"/>
          <w:sz w:val="22"/>
        </w:rPr>
        <w:t> </w:t>
      </w:r>
      <w:r>
        <w:rPr>
          <w:b/>
          <w:sz w:val="22"/>
        </w:rPr>
        <w:t>A</w:t>
      </w:r>
      <w:r>
        <w:rPr>
          <w:b/>
          <w:spacing w:val="-4"/>
          <w:sz w:val="22"/>
        </w:rPr>
        <w:t> </w:t>
      </w:r>
      <w:r>
        <w:rPr>
          <w:b/>
          <w:sz w:val="22"/>
        </w:rPr>
        <w:t>Goal</w:t>
      </w:r>
      <w:r>
        <w:rPr>
          <w:b/>
          <w:spacing w:val="-6"/>
          <w:sz w:val="22"/>
        </w:rPr>
        <w:t> </w:t>
      </w:r>
      <w:r>
        <w:rPr>
          <w:b/>
          <w:sz w:val="22"/>
        </w:rPr>
        <w:t>Benchmark</w:t>
      </w:r>
      <w:r>
        <w:rPr>
          <w:b/>
          <w:spacing w:val="-4"/>
          <w:sz w:val="22"/>
        </w:rPr>
        <w:t> </w:t>
      </w:r>
      <w:r>
        <w:rPr>
          <w:sz w:val="22"/>
        </w:rPr>
        <w:t>=</w:t>
      </w:r>
      <w:r>
        <w:rPr>
          <w:spacing w:val="-3"/>
          <w:sz w:val="22"/>
        </w:rPr>
        <w:t> </w:t>
      </w:r>
      <w:r>
        <w:rPr>
          <w:sz w:val="22"/>
        </w:rPr>
        <w:t>80%</w:t>
      </w:r>
      <w:r>
        <w:rPr>
          <w:spacing w:val="-3"/>
          <w:sz w:val="22"/>
        </w:rPr>
        <w:t> </w:t>
      </w:r>
      <w:r>
        <w:rPr>
          <w:sz w:val="22"/>
        </w:rPr>
        <w:t>(e.g.,</w:t>
      </w:r>
      <w:r>
        <w:rPr>
          <w:spacing w:val="-3"/>
          <w:sz w:val="22"/>
        </w:rPr>
        <w:t> </w:t>
      </w:r>
      <w:r>
        <w:rPr>
          <w:sz w:val="22"/>
        </w:rPr>
        <w:t>corresponding</w:t>
      </w:r>
      <w:r>
        <w:rPr>
          <w:spacing w:val="-7"/>
          <w:sz w:val="22"/>
        </w:rPr>
        <w:t> </w:t>
      </w:r>
      <w:r>
        <w:rPr>
          <w:sz w:val="22"/>
        </w:rPr>
        <w:t>to</w:t>
      </w:r>
      <w:r>
        <w:rPr>
          <w:spacing w:val="-3"/>
          <w:sz w:val="22"/>
        </w:rPr>
        <w:t> </w:t>
      </w:r>
      <w:r>
        <w:rPr>
          <w:sz w:val="22"/>
        </w:rPr>
        <w:t>90</w:t>
      </w:r>
      <w:r>
        <w:rPr>
          <w:sz w:val="22"/>
          <w:vertAlign w:val="superscript"/>
        </w:rPr>
        <w:t>th</w:t>
      </w:r>
      <w:r>
        <w:rPr>
          <w:spacing w:val="-6"/>
          <w:sz w:val="22"/>
          <w:vertAlign w:val="baseline"/>
        </w:rPr>
        <w:t> </w:t>
      </w:r>
      <w:r>
        <w:rPr>
          <w:sz w:val="22"/>
          <w:vertAlign w:val="baseline"/>
        </w:rPr>
        <w:t>percentile</w:t>
      </w:r>
      <w:r>
        <w:rPr>
          <w:spacing w:val="-4"/>
          <w:sz w:val="22"/>
          <w:vertAlign w:val="baseline"/>
        </w:rPr>
        <w:t> </w:t>
      </w:r>
      <w:r>
        <w:rPr>
          <w:sz w:val="22"/>
          <w:vertAlign w:val="baseline"/>
        </w:rPr>
        <w:t>of</w:t>
      </w:r>
      <w:r>
        <w:rPr>
          <w:spacing w:val="-2"/>
          <w:sz w:val="22"/>
          <w:vertAlign w:val="baseline"/>
        </w:rPr>
        <w:t> </w:t>
      </w:r>
      <w:r>
        <w:rPr>
          <w:sz w:val="22"/>
          <w:vertAlign w:val="baseline"/>
        </w:rPr>
        <w:t>HEDIS</w:t>
      </w:r>
      <w:r>
        <w:rPr>
          <w:spacing w:val="-5"/>
          <w:sz w:val="22"/>
          <w:vertAlign w:val="baseline"/>
        </w:rPr>
        <w:t> </w:t>
      </w:r>
      <w:r>
        <w:rPr>
          <w:spacing w:val="-2"/>
          <w:sz w:val="22"/>
          <w:vertAlign w:val="baseline"/>
        </w:rPr>
        <w:t>benchmarks)</w:t>
      </w:r>
    </w:p>
    <w:p>
      <w:pPr>
        <w:pStyle w:val="BodyText"/>
        <w:spacing w:before="1"/>
        <w:rPr>
          <w:sz w:val="13"/>
        </w:rPr>
      </w:pPr>
    </w:p>
    <w:tbl>
      <w:tblPr>
        <w:tblW w:w="0" w:type="auto"/>
        <w:jc w:val="left"/>
        <w:tblInd w:w="2372" w:type="dxa"/>
        <w:tblBorders>
          <w:top w:val="single" w:sz="8" w:space="0" w:color="BEBEBE"/>
          <w:left w:val="single" w:sz="8" w:space="0" w:color="BEBEBE"/>
          <w:bottom w:val="single" w:sz="8" w:space="0" w:color="BEBEBE"/>
          <w:right w:val="single" w:sz="8" w:space="0" w:color="BEBEBE"/>
          <w:insideH w:val="single" w:sz="8" w:space="0" w:color="BEBEBE"/>
          <w:insideV w:val="single" w:sz="8" w:space="0" w:color="BEBEBE"/>
        </w:tblBorders>
        <w:tblLayout w:type="fixed"/>
        <w:tblCellMar>
          <w:top w:w="0" w:type="dxa"/>
          <w:left w:w="0" w:type="dxa"/>
          <w:bottom w:w="0" w:type="dxa"/>
          <w:right w:w="0" w:type="dxa"/>
        </w:tblCellMar>
        <w:tblLook w:val="01E0"/>
      </w:tblPr>
      <w:tblGrid>
        <w:gridCol w:w="1267"/>
        <w:gridCol w:w="2945"/>
        <w:gridCol w:w="2863"/>
      </w:tblGrid>
      <w:tr>
        <w:trPr>
          <w:trHeight w:val="407" w:hRule="atLeast"/>
        </w:trPr>
        <w:tc>
          <w:tcPr>
            <w:tcW w:w="7075" w:type="dxa"/>
            <w:gridSpan w:val="3"/>
            <w:tcBorders>
              <w:bottom w:val="single" w:sz="4" w:space="0" w:color="BEBEBE"/>
            </w:tcBorders>
            <w:shd w:val="clear" w:color="auto" w:fill="1F487C"/>
          </w:tcPr>
          <w:p>
            <w:pPr>
              <w:pStyle w:val="TableParagraph"/>
              <w:ind w:left="1022" w:right="1003"/>
              <w:jc w:val="center"/>
              <w:rPr>
                <w:b/>
                <w:sz w:val="20"/>
              </w:rPr>
            </w:pPr>
            <w:r>
              <w:rPr>
                <w:b/>
                <w:color w:val="FFFFFF"/>
                <w:sz w:val="20"/>
              </w:rPr>
              <w:t>Example</w:t>
            </w:r>
            <w:r>
              <w:rPr>
                <w:b/>
                <w:color w:val="FFFFFF"/>
                <w:spacing w:val="-7"/>
                <w:sz w:val="20"/>
              </w:rPr>
              <w:t> </w:t>
            </w:r>
            <w:r>
              <w:rPr>
                <w:b/>
                <w:color w:val="FFFFFF"/>
                <w:sz w:val="20"/>
              </w:rPr>
              <w:t>Calculation</w:t>
            </w:r>
            <w:r>
              <w:rPr>
                <w:b/>
                <w:color w:val="FFFFFF"/>
                <w:spacing w:val="-7"/>
                <w:sz w:val="20"/>
              </w:rPr>
              <w:t> </w:t>
            </w:r>
            <w:r>
              <w:rPr>
                <w:b/>
                <w:color w:val="FFFFFF"/>
                <w:sz w:val="20"/>
              </w:rPr>
              <w:t>of</w:t>
            </w:r>
            <w:r>
              <w:rPr>
                <w:b/>
                <w:color w:val="FFFFFF"/>
                <w:spacing w:val="-6"/>
                <w:sz w:val="20"/>
              </w:rPr>
              <w:t> </w:t>
            </w:r>
            <w:r>
              <w:rPr>
                <w:b/>
                <w:color w:val="FFFFFF"/>
                <w:sz w:val="20"/>
              </w:rPr>
              <w:t>Achievement</w:t>
            </w:r>
            <w:r>
              <w:rPr>
                <w:b/>
                <w:color w:val="FFFFFF"/>
                <w:spacing w:val="-7"/>
                <w:sz w:val="20"/>
              </w:rPr>
              <w:t> </w:t>
            </w:r>
            <w:r>
              <w:rPr>
                <w:b/>
                <w:color w:val="FFFFFF"/>
                <w:sz w:val="20"/>
              </w:rPr>
              <w:t>Points</w:t>
            </w:r>
            <w:r>
              <w:rPr>
                <w:b/>
                <w:color w:val="FFFFFF"/>
                <w:spacing w:val="-7"/>
                <w:sz w:val="20"/>
              </w:rPr>
              <w:t> </w:t>
            </w:r>
            <w:r>
              <w:rPr>
                <w:b/>
                <w:color w:val="FFFFFF"/>
                <w:sz w:val="20"/>
              </w:rPr>
              <w:t>for</w:t>
            </w:r>
            <w:r>
              <w:rPr>
                <w:b/>
                <w:color w:val="FFFFFF"/>
                <w:spacing w:val="-9"/>
                <w:sz w:val="20"/>
              </w:rPr>
              <w:t> </w:t>
            </w:r>
            <w:r>
              <w:rPr>
                <w:b/>
                <w:color w:val="FFFFFF"/>
                <w:sz w:val="20"/>
              </w:rPr>
              <w:t>Measure</w:t>
            </w:r>
            <w:r>
              <w:rPr>
                <w:b/>
                <w:color w:val="FFFFFF"/>
                <w:spacing w:val="-7"/>
                <w:sz w:val="20"/>
              </w:rPr>
              <w:t> </w:t>
            </w:r>
            <w:r>
              <w:rPr>
                <w:b/>
                <w:color w:val="FFFFFF"/>
                <w:spacing w:val="-10"/>
                <w:sz w:val="20"/>
              </w:rPr>
              <w:t>A</w:t>
            </w:r>
          </w:p>
        </w:tc>
      </w:tr>
      <w:tr>
        <w:trPr>
          <w:trHeight w:val="453" w:hRule="atLeast"/>
        </w:trPr>
        <w:tc>
          <w:tcPr>
            <w:tcW w:w="1267" w:type="dxa"/>
            <w:tcBorders>
              <w:top w:val="single" w:sz="4" w:space="0" w:color="BEBEBE"/>
              <w:bottom w:val="single" w:sz="4" w:space="0" w:color="BEBEBE"/>
              <w:right w:val="single" w:sz="4" w:space="0" w:color="BEBEBE"/>
            </w:tcBorders>
            <w:shd w:val="clear" w:color="auto" w:fill="D9D9D9"/>
          </w:tcPr>
          <w:p>
            <w:pPr>
              <w:pStyle w:val="TableParagraph"/>
              <w:rPr>
                <w:sz w:val="20"/>
              </w:rPr>
            </w:pPr>
          </w:p>
        </w:tc>
        <w:tc>
          <w:tcPr>
            <w:tcW w:w="2945"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before="24"/>
              <w:ind w:left="160" w:right="141"/>
              <w:jc w:val="center"/>
              <w:rPr>
                <w:b/>
                <w:sz w:val="20"/>
              </w:rPr>
            </w:pPr>
            <w:r>
              <w:rPr>
                <w:b/>
                <w:sz w:val="20"/>
              </w:rPr>
              <w:t>Measure</w:t>
            </w:r>
            <w:r>
              <w:rPr>
                <w:b/>
                <w:spacing w:val="-8"/>
                <w:sz w:val="20"/>
              </w:rPr>
              <w:t> </w:t>
            </w:r>
            <w:r>
              <w:rPr>
                <w:b/>
                <w:sz w:val="20"/>
              </w:rPr>
              <w:t>A</w:t>
            </w:r>
            <w:r>
              <w:rPr>
                <w:b/>
                <w:spacing w:val="-8"/>
                <w:sz w:val="20"/>
              </w:rPr>
              <w:t> </w:t>
            </w:r>
            <w:r>
              <w:rPr>
                <w:b/>
                <w:sz w:val="20"/>
              </w:rPr>
              <w:t>Performance</w:t>
            </w:r>
            <w:r>
              <w:rPr>
                <w:b/>
                <w:spacing w:val="-7"/>
                <w:sz w:val="20"/>
              </w:rPr>
              <w:t> </w:t>
            </w:r>
            <w:r>
              <w:rPr>
                <w:b/>
                <w:spacing w:val="-2"/>
                <w:sz w:val="20"/>
              </w:rPr>
              <w:t>Score</w:t>
            </w:r>
          </w:p>
        </w:tc>
        <w:tc>
          <w:tcPr>
            <w:tcW w:w="2863" w:type="dxa"/>
            <w:tcBorders>
              <w:top w:val="single" w:sz="4" w:space="0" w:color="BEBEBE"/>
              <w:left w:val="single" w:sz="4" w:space="0" w:color="BEBEBE"/>
              <w:bottom w:val="single" w:sz="4" w:space="0" w:color="BEBEBE"/>
            </w:tcBorders>
            <w:shd w:val="clear" w:color="auto" w:fill="D9D9D9"/>
          </w:tcPr>
          <w:p>
            <w:pPr>
              <w:pStyle w:val="TableParagraph"/>
              <w:spacing w:before="24"/>
              <w:ind w:left="242" w:right="220"/>
              <w:jc w:val="center"/>
              <w:rPr>
                <w:b/>
                <w:sz w:val="20"/>
              </w:rPr>
            </w:pPr>
            <w:r>
              <w:rPr>
                <w:b/>
                <w:sz w:val="20"/>
              </w:rPr>
              <w:t>Achievement</w:t>
            </w:r>
            <w:r>
              <w:rPr>
                <w:b/>
                <w:spacing w:val="-10"/>
                <w:sz w:val="20"/>
              </w:rPr>
              <w:t> </w:t>
            </w:r>
            <w:r>
              <w:rPr>
                <w:b/>
                <w:sz w:val="20"/>
              </w:rPr>
              <w:t>Points</w:t>
            </w:r>
            <w:r>
              <w:rPr>
                <w:b/>
                <w:spacing w:val="-11"/>
                <w:sz w:val="20"/>
              </w:rPr>
              <w:t> </w:t>
            </w:r>
            <w:r>
              <w:rPr>
                <w:b/>
                <w:spacing w:val="-2"/>
                <w:sz w:val="20"/>
              </w:rPr>
              <w:t>Earned</w:t>
            </w:r>
          </w:p>
        </w:tc>
      </w:tr>
      <w:tr>
        <w:trPr>
          <w:trHeight w:val="467" w:hRule="atLeast"/>
        </w:trPr>
        <w:tc>
          <w:tcPr>
            <w:tcW w:w="1267" w:type="dxa"/>
            <w:tcBorders>
              <w:top w:val="single" w:sz="4" w:space="0" w:color="BEBEBE"/>
              <w:bottom w:val="single" w:sz="4" w:space="0" w:color="BEBEBE"/>
              <w:right w:val="single" w:sz="4" w:space="0" w:color="BEBEBE"/>
            </w:tcBorders>
            <w:shd w:val="clear" w:color="auto" w:fill="DCE6F0"/>
          </w:tcPr>
          <w:p>
            <w:pPr>
              <w:pStyle w:val="TableParagraph"/>
              <w:spacing w:before="31"/>
              <w:ind w:left="157" w:right="144"/>
              <w:jc w:val="center"/>
              <w:rPr>
                <w:sz w:val="20"/>
              </w:rPr>
            </w:pPr>
            <w:r>
              <w:rPr>
                <w:sz w:val="20"/>
              </w:rPr>
              <w:t>Scenario</w:t>
            </w:r>
            <w:r>
              <w:rPr>
                <w:spacing w:val="-10"/>
                <w:sz w:val="20"/>
              </w:rPr>
              <w:t> 1</w:t>
            </w:r>
          </w:p>
        </w:tc>
        <w:tc>
          <w:tcPr>
            <w:tcW w:w="2945" w:type="dxa"/>
            <w:tcBorders>
              <w:top w:val="single" w:sz="4" w:space="0" w:color="BEBEBE"/>
              <w:left w:val="single" w:sz="4" w:space="0" w:color="BEBEBE"/>
              <w:bottom w:val="single" w:sz="4" w:space="0" w:color="BEBEBE"/>
              <w:right w:val="single" w:sz="4" w:space="0" w:color="BEBEBE"/>
            </w:tcBorders>
          </w:tcPr>
          <w:p>
            <w:pPr>
              <w:pStyle w:val="TableParagraph"/>
              <w:spacing w:before="31"/>
              <w:ind w:left="160" w:right="140"/>
              <w:jc w:val="center"/>
              <w:rPr>
                <w:sz w:val="20"/>
              </w:rPr>
            </w:pPr>
            <w:r>
              <w:rPr>
                <w:spacing w:val="-5"/>
                <w:sz w:val="20"/>
              </w:rPr>
              <w:t>25%</w:t>
            </w:r>
          </w:p>
        </w:tc>
        <w:tc>
          <w:tcPr>
            <w:tcW w:w="2863" w:type="dxa"/>
            <w:tcBorders>
              <w:top w:val="single" w:sz="4" w:space="0" w:color="BEBEBE"/>
              <w:left w:val="single" w:sz="4" w:space="0" w:color="BEBEBE"/>
              <w:bottom w:val="single" w:sz="4" w:space="0" w:color="BEBEBE"/>
            </w:tcBorders>
          </w:tcPr>
          <w:p>
            <w:pPr>
              <w:pStyle w:val="TableParagraph"/>
              <w:spacing w:before="31"/>
              <w:ind w:left="20"/>
              <w:jc w:val="center"/>
              <w:rPr>
                <w:sz w:val="20"/>
              </w:rPr>
            </w:pPr>
            <w:r>
              <w:rPr>
                <w:w w:val="99"/>
                <w:sz w:val="20"/>
              </w:rPr>
              <w:t>0</w:t>
            </w:r>
          </w:p>
        </w:tc>
      </w:tr>
      <w:tr>
        <w:trPr>
          <w:trHeight w:val="453" w:hRule="atLeast"/>
        </w:trPr>
        <w:tc>
          <w:tcPr>
            <w:tcW w:w="1267" w:type="dxa"/>
            <w:tcBorders>
              <w:top w:val="single" w:sz="4" w:space="0" w:color="BEBEBE"/>
              <w:bottom w:val="single" w:sz="4" w:space="0" w:color="BEBEBE"/>
              <w:right w:val="single" w:sz="4" w:space="0" w:color="BEBEBE"/>
            </w:tcBorders>
            <w:shd w:val="clear" w:color="auto" w:fill="DCE6F0"/>
          </w:tcPr>
          <w:p>
            <w:pPr>
              <w:pStyle w:val="TableParagraph"/>
              <w:spacing w:before="24"/>
              <w:ind w:left="157" w:right="144"/>
              <w:jc w:val="center"/>
              <w:rPr>
                <w:sz w:val="20"/>
              </w:rPr>
            </w:pPr>
            <w:r>
              <w:rPr>
                <w:sz w:val="20"/>
              </w:rPr>
              <w:t>Scenario</w:t>
            </w:r>
            <w:r>
              <w:rPr>
                <w:spacing w:val="-10"/>
                <w:sz w:val="20"/>
              </w:rPr>
              <w:t> 2</w:t>
            </w:r>
          </w:p>
        </w:tc>
        <w:tc>
          <w:tcPr>
            <w:tcW w:w="2945" w:type="dxa"/>
            <w:tcBorders>
              <w:top w:val="single" w:sz="4" w:space="0" w:color="BEBEBE"/>
              <w:left w:val="single" w:sz="4" w:space="0" w:color="BEBEBE"/>
              <w:bottom w:val="single" w:sz="4" w:space="0" w:color="BEBEBE"/>
              <w:right w:val="single" w:sz="4" w:space="0" w:color="BEBEBE"/>
            </w:tcBorders>
          </w:tcPr>
          <w:p>
            <w:pPr>
              <w:pStyle w:val="TableParagraph"/>
              <w:spacing w:before="24"/>
              <w:ind w:left="160" w:right="140"/>
              <w:jc w:val="center"/>
              <w:rPr>
                <w:sz w:val="20"/>
              </w:rPr>
            </w:pPr>
            <w:r>
              <w:rPr>
                <w:spacing w:val="-5"/>
                <w:sz w:val="20"/>
              </w:rPr>
              <w:t>90%</w:t>
            </w:r>
          </w:p>
        </w:tc>
        <w:tc>
          <w:tcPr>
            <w:tcW w:w="2863" w:type="dxa"/>
            <w:tcBorders>
              <w:top w:val="single" w:sz="4" w:space="0" w:color="BEBEBE"/>
              <w:left w:val="single" w:sz="4" w:space="0" w:color="BEBEBE"/>
              <w:bottom w:val="single" w:sz="4" w:space="0" w:color="BEBEBE"/>
            </w:tcBorders>
          </w:tcPr>
          <w:p>
            <w:pPr>
              <w:pStyle w:val="TableParagraph"/>
              <w:spacing w:before="24"/>
              <w:ind w:left="242" w:right="216"/>
              <w:jc w:val="center"/>
              <w:rPr>
                <w:sz w:val="20"/>
              </w:rPr>
            </w:pPr>
            <w:r>
              <w:rPr>
                <w:spacing w:val="-5"/>
                <w:sz w:val="20"/>
              </w:rPr>
              <w:t>10</w:t>
            </w:r>
          </w:p>
        </w:tc>
      </w:tr>
      <w:tr>
        <w:trPr>
          <w:trHeight w:val="467" w:hRule="atLeast"/>
        </w:trPr>
        <w:tc>
          <w:tcPr>
            <w:tcW w:w="1267" w:type="dxa"/>
            <w:tcBorders>
              <w:top w:val="single" w:sz="4" w:space="0" w:color="BEBEBE"/>
              <w:right w:val="single" w:sz="4" w:space="0" w:color="BEBEBE"/>
            </w:tcBorders>
            <w:shd w:val="clear" w:color="auto" w:fill="DCE6F0"/>
          </w:tcPr>
          <w:p>
            <w:pPr>
              <w:pStyle w:val="TableParagraph"/>
              <w:spacing w:before="31"/>
              <w:ind w:left="157" w:right="144"/>
              <w:jc w:val="center"/>
              <w:rPr>
                <w:sz w:val="20"/>
              </w:rPr>
            </w:pPr>
            <w:r>
              <w:rPr>
                <w:sz w:val="20"/>
              </w:rPr>
              <w:t>Scenario</w:t>
            </w:r>
            <w:r>
              <w:rPr>
                <w:spacing w:val="-10"/>
                <w:sz w:val="20"/>
              </w:rPr>
              <w:t> 3</w:t>
            </w:r>
          </w:p>
        </w:tc>
        <w:tc>
          <w:tcPr>
            <w:tcW w:w="2945" w:type="dxa"/>
            <w:tcBorders>
              <w:top w:val="single" w:sz="4" w:space="0" w:color="BEBEBE"/>
              <w:left w:val="single" w:sz="4" w:space="0" w:color="BEBEBE"/>
              <w:right w:val="single" w:sz="4" w:space="0" w:color="BEBEBE"/>
            </w:tcBorders>
          </w:tcPr>
          <w:p>
            <w:pPr>
              <w:pStyle w:val="TableParagraph"/>
              <w:spacing w:before="31"/>
              <w:ind w:left="160" w:right="140"/>
              <w:jc w:val="center"/>
              <w:rPr>
                <w:sz w:val="20"/>
              </w:rPr>
            </w:pPr>
            <w:r>
              <w:rPr>
                <w:spacing w:val="-5"/>
                <w:sz w:val="20"/>
              </w:rPr>
              <w:t>60%</w:t>
            </w:r>
          </w:p>
        </w:tc>
        <w:tc>
          <w:tcPr>
            <w:tcW w:w="2863" w:type="dxa"/>
            <w:tcBorders>
              <w:top w:val="single" w:sz="4" w:space="0" w:color="BEBEBE"/>
              <w:left w:val="single" w:sz="4" w:space="0" w:color="BEBEBE"/>
            </w:tcBorders>
          </w:tcPr>
          <w:p>
            <w:pPr>
              <w:pStyle w:val="TableParagraph"/>
              <w:spacing w:before="31"/>
              <w:ind w:left="1185"/>
              <w:rPr>
                <w:sz w:val="20"/>
              </w:rPr>
            </w:pPr>
            <w:r>
              <w:rPr>
                <w:sz w:val="20"/>
              </w:rPr>
              <w:t>4.29</w:t>
            </w:r>
            <w:r>
              <w:rPr>
                <w:spacing w:val="-1"/>
                <w:sz w:val="20"/>
              </w:rPr>
              <w:t> </w:t>
            </w:r>
            <w:r>
              <w:rPr>
                <w:spacing w:val="-10"/>
                <w:sz w:val="20"/>
              </w:rPr>
              <w:t>*</w:t>
            </w:r>
          </w:p>
        </w:tc>
      </w:tr>
    </w:tbl>
    <w:p>
      <w:pPr>
        <w:pStyle w:val="BodyText"/>
      </w:pPr>
    </w:p>
    <w:p>
      <w:pPr>
        <w:spacing w:before="141"/>
        <w:ind w:left="1220" w:right="0" w:firstLine="0"/>
        <w:jc w:val="left"/>
        <w:rPr>
          <w:i/>
          <w:sz w:val="22"/>
        </w:rPr>
      </w:pPr>
      <w:r>
        <w:rPr>
          <w:sz w:val="22"/>
        </w:rPr>
        <w:t>*</w:t>
      </w:r>
      <w:r>
        <w:rPr>
          <w:i/>
          <w:sz w:val="22"/>
        </w:rPr>
        <w:t>Achievement</w:t>
      </w:r>
      <w:r>
        <w:rPr>
          <w:i/>
          <w:spacing w:val="-1"/>
          <w:sz w:val="22"/>
        </w:rPr>
        <w:t> </w:t>
      </w:r>
      <w:r>
        <w:rPr>
          <w:i/>
          <w:sz w:val="22"/>
        </w:rPr>
        <w:t>points</w:t>
      </w:r>
      <w:r>
        <w:rPr>
          <w:i/>
          <w:spacing w:val="-2"/>
          <w:sz w:val="22"/>
        </w:rPr>
        <w:t> </w:t>
      </w:r>
      <w:r>
        <w:rPr>
          <w:i/>
          <w:sz w:val="22"/>
        </w:rPr>
        <w:t>earned</w:t>
      </w:r>
      <w:r>
        <w:rPr>
          <w:i/>
          <w:spacing w:val="-2"/>
          <w:sz w:val="22"/>
        </w:rPr>
        <w:t> </w:t>
      </w:r>
      <w:r>
        <w:rPr>
          <w:i/>
          <w:sz w:val="22"/>
        </w:rPr>
        <w:t>=</w:t>
      </w:r>
      <w:r>
        <w:rPr>
          <w:i/>
          <w:spacing w:val="-2"/>
          <w:sz w:val="22"/>
        </w:rPr>
        <w:t> </w:t>
      </w:r>
      <w:r>
        <w:rPr>
          <w:i/>
          <w:sz w:val="22"/>
        </w:rPr>
        <w:t>10*((60%</w:t>
      </w:r>
      <w:r>
        <w:rPr>
          <w:i/>
          <w:spacing w:val="-9"/>
          <w:sz w:val="22"/>
        </w:rPr>
        <w:t> </w:t>
      </w:r>
      <w:r>
        <w:rPr>
          <w:i/>
          <w:sz w:val="22"/>
        </w:rPr>
        <w:t>-</w:t>
      </w:r>
      <w:r>
        <w:rPr>
          <w:i/>
          <w:spacing w:val="-1"/>
          <w:sz w:val="22"/>
        </w:rPr>
        <w:t> </w:t>
      </w:r>
      <w:r>
        <w:rPr>
          <w:i/>
          <w:sz w:val="22"/>
        </w:rPr>
        <w:t>45%)</w:t>
      </w:r>
      <w:r>
        <w:rPr>
          <w:i/>
          <w:spacing w:val="-4"/>
          <w:sz w:val="22"/>
        </w:rPr>
        <w:t> </w:t>
      </w:r>
      <w:r>
        <w:rPr>
          <w:i/>
          <w:sz w:val="22"/>
        </w:rPr>
        <w:t>/</w:t>
      </w:r>
      <w:r>
        <w:rPr>
          <w:i/>
          <w:spacing w:val="-1"/>
          <w:sz w:val="22"/>
        </w:rPr>
        <w:t> </w:t>
      </w:r>
      <w:r>
        <w:rPr>
          <w:i/>
          <w:sz w:val="22"/>
        </w:rPr>
        <w:t>(80%</w:t>
      </w:r>
      <w:r>
        <w:rPr>
          <w:i/>
          <w:spacing w:val="-6"/>
          <w:sz w:val="22"/>
        </w:rPr>
        <w:t> </w:t>
      </w:r>
      <w:r>
        <w:rPr>
          <w:i/>
          <w:sz w:val="22"/>
        </w:rPr>
        <w:t>-</w:t>
      </w:r>
      <w:r>
        <w:rPr>
          <w:i/>
          <w:spacing w:val="-1"/>
          <w:sz w:val="22"/>
        </w:rPr>
        <w:t> </w:t>
      </w:r>
      <w:r>
        <w:rPr>
          <w:i/>
          <w:sz w:val="22"/>
        </w:rPr>
        <w:t>45%))</w:t>
      </w:r>
      <w:r>
        <w:rPr>
          <w:i/>
          <w:spacing w:val="-4"/>
          <w:sz w:val="22"/>
        </w:rPr>
        <w:t> </w:t>
      </w:r>
      <w:r>
        <w:rPr>
          <w:i/>
          <w:sz w:val="22"/>
        </w:rPr>
        <w:t>=</w:t>
      </w:r>
      <w:r>
        <w:rPr>
          <w:i/>
          <w:spacing w:val="-2"/>
          <w:sz w:val="22"/>
        </w:rPr>
        <w:t> </w:t>
      </w:r>
      <w:r>
        <w:rPr>
          <w:i/>
          <w:sz w:val="22"/>
        </w:rPr>
        <w:t>4.29</w:t>
      </w:r>
      <w:r>
        <w:rPr>
          <w:i/>
          <w:spacing w:val="-1"/>
          <w:sz w:val="22"/>
        </w:rPr>
        <w:t> </w:t>
      </w:r>
      <w:r>
        <w:rPr>
          <w:i/>
          <w:spacing w:val="-2"/>
          <w:sz w:val="22"/>
        </w:rPr>
        <w:t>points</w:t>
      </w:r>
    </w:p>
    <w:p>
      <w:pPr>
        <w:pStyle w:val="BodyText"/>
        <w:spacing w:before="8"/>
        <w:rPr>
          <w:i/>
          <w:sz w:val="11"/>
        </w:rPr>
      </w:pPr>
      <w:r>
        <w:rPr/>
        <mc:AlternateContent>
          <mc:Choice Requires="wps">
            <w:drawing>
              <wp:anchor distT="0" distB="0" distL="0" distR="0" allowOverlap="1" layoutInCell="1" locked="0" behindDoc="1" simplePos="0" relativeHeight="488010752">
                <wp:simplePos x="0" y="0"/>
                <wp:positionH relativeFrom="page">
                  <wp:posOffset>905255</wp:posOffset>
                </wp:positionH>
                <wp:positionV relativeFrom="paragraph">
                  <wp:posOffset>100980</wp:posOffset>
                </wp:positionV>
                <wp:extent cx="5953125" cy="6350"/>
                <wp:effectExtent l="0" t="0" r="0" b="0"/>
                <wp:wrapTopAndBottom/>
                <wp:docPr id="888" name="Graphic 888"/>
                <wp:cNvGraphicFramePr>
                  <a:graphicFrameLocks/>
                </wp:cNvGraphicFramePr>
                <a:graphic>
                  <a:graphicData uri="http://schemas.microsoft.com/office/word/2010/wordprocessingShape">
                    <wps:wsp>
                      <wps:cNvPr id="888" name="Graphic 888"/>
                      <wps:cNvSpPr/>
                      <wps:spPr>
                        <a:xfrm>
                          <a:off x="0" y="0"/>
                          <a:ext cx="5953125" cy="6350"/>
                        </a:xfrm>
                        <a:custGeom>
                          <a:avLst/>
                          <a:gdLst/>
                          <a:ahLst/>
                          <a:cxnLst/>
                          <a:rect l="l" t="t" r="r" b="b"/>
                          <a:pathLst>
                            <a:path w="5953125" h="6350">
                              <a:moveTo>
                                <a:pt x="5952744" y="0"/>
                              </a:moveTo>
                              <a:lnTo>
                                <a:pt x="0" y="0"/>
                              </a:lnTo>
                              <a:lnTo>
                                <a:pt x="0" y="6108"/>
                              </a:lnTo>
                              <a:lnTo>
                                <a:pt x="5952744" y="6108"/>
                              </a:lnTo>
                              <a:lnTo>
                                <a:pt x="5952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1.279999pt;margin-top:7.951246pt;width:468.72pt;height:.481pt;mso-position-horizontal-relative:page;mso-position-vertical-relative:paragraph;z-index:-15305728;mso-wrap-distance-left:0;mso-wrap-distance-right:0" id="docshape105" filled="true" fillcolor="#000000" stroked="false">
                <v:fill type="solid"/>
                <w10:wrap type="topAndBottom"/>
              </v:rect>
            </w:pict>
          </mc:Fallback>
        </mc:AlternateContent>
      </w:r>
    </w:p>
    <w:p>
      <w:pPr>
        <w:pStyle w:val="BodyText"/>
        <w:spacing w:before="5"/>
        <w:rPr>
          <w:i/>
          <w:sz w:val="9"/>
        </w:rPr>
      </w:pPr>
    </w:p>
    <w:p>
      <w:pPr>
        <w:spacing w:before="91"/>
        <w:ind w:left="1220" w:right="0" w:firstLine="0"/>
        <w:jc w:val="both"/>
        <w:rPr>
          <w:sz w:val="22"/>
        </w:rPr>
      </w:pPr>
      <w:bookmarkStart w:name="Improvement Points (BP2, BP4, and BP5)" w:id="1386"/>
      <w:bookmarkEnd w:id="1386"/>
      <w:r>
        <w:rPr/>
      </w:r>
      <w:r>
        <w:rPr>
          <w:color w:val="1F3762"/>
          <w:sz w:val="22"/>
        </w:rPr>
        <w:t>Improvement</w:t>
      </w:r>
      <w:r>
        <w:rPr>
          <w:color w:val="1F3762"/>
          <w:spacing w:val="-3"/>
          <w:sz w:val="22"/>
        </w:rPr>
        <w:t> </w:t>
      </w:r>
      <w:r>
        <w:rPr>
          <w:color w:val="1F3762"/>
          <w:sz w:val="22"/>
        </w:rPr>
        <w:t>Points</w:t>
      </w:r>
      <w:r>
        <w:rPr>
          <w:color w:val="1F3762"/>
          <w:spacing w:val="-3"/>
          <w:sz w:val="22"/>
        </w:rPr>
        <w:t> </w:t>
      </w:r>
      <w:r>
        <w:rPr>
          <w:color w:val="1F3762"/>
          <w:sz w:val="22"/>
        </w:rPr>
        <w:t>(BP2,</w:t>
      </w:r>
      <w:r>
        <w:rPr>
          <w:color w:val="1F3762"/>
          <w:spacing w:val="-7"/>
          <w:sz w:val="22"/>
        </w:rPr>
        <w:t> </w:t>
      </w:r>
      <w:r>
        <w:rPr>
          <w:color w:val="1F3762"/>
          <w:sz w:val="22"/>
        </w:rPr>
        <w:t>BP4,</w:t>
      </w:r>
      <w:r>
        <w:rPr>
          <w:color w:val="1F3762"/>
          <w:spacing w:val="-3"/>
          <w:sz w:val="22"/>
        </w:rPr>
        <w:t> </w:t>
      </w:r>
      <w:r>
        <w:rPr>
          <w:color w:val="1F3762"/>
          <w:sz w:val="22"/>
        </w:rPr>
        <w:t>and</w:t>
      </w:r>
      <w:r>
        <w:rPr>
          <w:color w:val="1F3762"/>
          <w:spacing w:val="-3"/>
          <w:sz w:val="22"/>
        </w:rPr>
        <w:t> </w:t>
      </w:r>
      <w:r>
        <w:rPr>
          <w:color w:val="1F3762"/>
          <w:spacing w:val="-4"/>
          <w:sz w:val="22"/>
        </w:rPr>
        <w:t>BP5)</w:t>
      </w:r>
    </w:p>
    <w:p>
      <w:pPr>
        <w:spacing w:line="259" w:lineRule="auto" w:before="2"/>
        <w:ind w:left="1220" w:right="1095" w:firstLine="0"/>
        <w:jc w:val="both"/>
        <w:rPr>
          <w:sz w:val="22"/>
        </w:rPr>
      </w:pPr>
      <w:r>
        <w:rPr>
          <w:sz w:val="22"/>
        </w:rPr>
        <w:t>In addition to receiving achievement points based on performance (on a 0 to 10 scale), ACOs may earn improvement</w:t>
      </w:r>
      <w:r>
        <w:rPr>
          <w:spacing w:val="-4"/>
          <w:sz w:val="22"/>
        </w:rPr>
        <w:t> </w:t>
      </w:r>
      <w:r>
        <w:rPr>
          <w:sz w:val="22"/>
        </w:rPr>
        <w:t>points</w:t>
      </w:r>
      <w:r>
        <w:rPr>
          <w:spacing w:val="-4"/>
          <w:sz w:val="22"/>
        </w:rPr>
        <w:t> </w:t>
      </w:r>
      <w:r>
        <w:rPr>
          <w:sz w:val="22"/>
        </w:rPr>
        <w:t>for</w:t>
      </w:r>
      <w:r>
        <w:rPr>
          <w:spacing w:val="-6"/>
          <w:sz w:val="22"/>
        </w:rPr>
        <w:t> </w:t>
      </w:r>
      <w:r>
        <w:rPr>
          <w:sz w:val="22"/>
        </w:rPr>
        <w:t>reaching</w:t>
      </w:r>
      <w:r>
        <w:rPr>
          <w:spacing w:val="-7"/>
          <w:sz w:val="22"/>
        </w:rPr>
        <w:t> </w:t>
      </w:r>
      <w:r>
        <w:rPr>
          <w:sz w:val="22"/>
        </w:rPr>
        <w:t>established</w:t>
      </w:r>
      <w:r>
        <w:rPr>
          <w:spacing w:val="-5"/>
          <w:sz w:val="22"/>
        </w:rPr>
        <w:t> </w:t>
      </w:r>
      <w:r>
        <w:rPr>
          <w:sz w:val="22"/>
        </w:rPr>
        <w:t>improvement</w:t>
      </w:r>
      <w:r>
        <w:rPr>
          <w:spacing w:val="-4"/>
          <w:sz w:val="22"/>
        </w:rPr>
        <w:t> </w:t>
      </w:r>
      <w:r>
        <w:rPr>
          <w:sz w:val="22"/>
        </w:rPr>
        <w:t>targets</w:t>
      </w:r>
      <w:r>
        <w:rPr>
          <w:spacing w:val="-7"/>
          <w:sz w:val="22"/>
        </w:rPr>
        <w:t> </w:t>
      </w:r>
      <w:r>
        <w:rPr>
          <w:sz w:val="22"/>
        </w:rPr>
        <w:t>for</w:t>
      </w:r>
      <w:r>
        <w:rPr>
          <w:spacing w:val="-6"/>
          <w:sz w:val="22"/>
        </w:rPr>
        <w:t> </w:t>
      </w:r>
      <w:r>
        <w:rPr>
          <w:sz w:val="22"/>
        </w:rPr>
        <w:t>each</w:t>
      </w:r>
      <w:r>
        <w:rPr>
          <w:spacing w:val="-5"/>
          <w:sz w:val="22"/>
        </w:rPr>
        <w:t> </w:t>
      </w:r>
      <w:r>
        <w:rPr>
          <w:sz w:val="22"/>
        </w:rPr>
        <w:t>Quality</w:t>
      </w:r>
      <w:r>
        <w:rPr>
          <w:spacing w:val="-7"/>
          <w:sz w:val="22"/>
        </w:rPr>
        <w:t> </w:t>
      </w:r>
      <w:r>
        <w:rPr>
          <w:sz w:val="22"/>
        </w:rPr>
        <w:t>Measure.</w:t>
      </w:r>
      <w:r>
        <w:rPr>
          <w:spacing w:val="-5"/>
          <w:sz w:val="22"/>
        </w:rPr>
        <w:t> </w:t>
      </w:r>
      <w:r>
        <w:rPr>
          <w:sz w:val="22"/>
        </w:rPr>
        <w:t>Improvement points will be calculated as follows:</w:t>
      </w:r>
    </w:p>
    <w:p>
      <w:pPr>
        <w:pStyle w:val="ListParagraph"/>
        <w:numPr>
          <w:ilvl w:val="0"/>
          <w:numId w:val="85"/>
        </w:numPr>
        <w:tabs>
          <w:tab w:pos="1939" w:val="left" w:leader="none"/>
        </w:tabs>
        <w:spacing w:line="240" w:lineRule="auto" w:before="155" w:after="0"/>
        <w:ind w:left="1939" w:right="1093" w:hanging="360"/>
        <w:jc w:val="both"/>
        <w:rPr>
          <w:sz w:val="22"/>
        </w:rPr>
      </w:pPr>
      <w:r>
        <w:rPr>
          <w:sz w:val="22"/>
        </w:rPr>
        <w:t>The State will calculate each ACO’s performance score on each Quality Measure based on the measure specifications. Each Quality Measure’s specifications will describe the detailed methodology by which this performance score is calculated.</w:t>
      </w:r>
    </w:p>
    <w:p>
      <w:pPr>
        <w:pStyle w:val="ListParagraph"/>
        <w:numPr>
          <w:ilvl w:val="0"/>
          <w:numId w:val="85"/>
        </w:numPr>
        <w:tabs>
          <w:tab w:pos="1939" w:val="left" w:leader="none"/>
        </w:tabs>
        <w:spacing w:line="240" w:lineRule="auto" w:before="200" w:after="0"/>
        <w:ind w:left="1939" w:right="1093" w:hanging="360"/>
        <w:jc w:val="both"/>
        <w:rPr>
          <w:sz w:val="22"/>
        </w:rPr>
      </w:pPr>
      <w:r>
        <w:rPr>
          <w:sz w:val="22"/>
        </w:rPr>
        <w:t>The State will compare each ACO’s performance score on each Quality Measure to the ACO’s performance score on that same Quality Measure from a previous Performance Year (excluding BP3 due </w:t>
      </w:r>
      <w:r>
        <w:rPr>
          <w:rFonts w:ascii="Calibri" w:hAnsi="Calibri"/>
          <w:sz w:val="22"/>
        </w:rPr>
        <w:t>to a </w:t>
      </w:r>
      <w:r>
        <w:rPr>
          <w:sz w:val="22"/>
        </w:rPr>
        <w:t>state of emergency declared by the federal or state government)</w:t>
      </w:r>
    </w:p>
    <w:p>
      <w:pPr>
        <w:pStyle w:val="ListParagraph"/>
        <w:numPr>
          <w:ilvl w:val="0"/>
          <w:numId w:val="85"/>
        </w:numPr>
        <w:tabs>
          <w:tab w:pos="1939" w:val="left" w:leader="none"/>
        </w:tabs>
        <w:spacing w:line="242" w:lineRule="auto" w:before="200" w:after="0"/>
        <w:ind w:left="1939" w:right="1095" w:hanging="360"/>
        <w:jc w:val="both"/>
        <w:rPr>
          <w:sz w:val="22"/>
        </w:rPr>
      </w:pPr>
      <w:r>
        <w:rPr>
          <w:sz w:val="22"/>
        </w:rPr>
        <w:t>The State will calculate an Improvement Target for each Quality Measure using the following formula. The Improvement Target is based on at least a 20% improvement each year in the gap between Goal Benchmark and the Attainment Level of each ACO measure.</w:t>
      </w:r>
    </w:p>
    <w:p>
      <w:pPr>
        <w:pStyle w:val="ListParagraph"/>
        <w:numPr>
          <w:ilvl w:val="1"/>
          <w:numId w:val="85"/>
        </w:numPr>
        <w:tabs>
          <w:tab w:pos="2714" w:val="left" w:leader="none"/>
        </w:tabs>
        <w:spacing w:line="240" w:lineRule="auto" w:before="196" w:after="0"/>
        <w:ind w:left="2714" w:right="0" w:hanging="415"/>
        <w:jc w:val="left"/>
        <w:rPr>
          <w:sz w:val="22"/>
        </w:rPr>
      </w:pPr>
      <w:r>
        <w:rPr>
          <w:sz w:val="22"/>
        </w:rPr>
        <w:t>Improvement</w:t>
      </w:r>
      <w:r>
        <w:rPr>
          <w:spacing w:val="-4"/>
          <w:sz w:val="22"/>
        </w:rPr>
        <w:t> </w:t>
      </w:r>
      <w:r>
        <w:rPr>
          <w:sz w:val="22"/>
        </w:rPr>
        <w:t>Target</w:t>
      </w:r>
      <w:r>
        <w:rPr>
          <w:spacing w:val="-7"/>
          <w:sz w:val="22"/>
        </w:rPr>
        <w:t> </w:t>
      </w:r>
      <w:r>
        <w:rPr>
          <w:sz w:val="22"/>
        </w:rPr>
        <w:t>formula</w:t>
      </w:r>
      <w:r>
        <w:rPr>
          <w:spacing w:val="-4"/>
          <w:sz w:val="22"/>
        </w:rPr>
        <w:t> </w:t>
      </w:r>
      <w:r>
        <w:rPr>
          <w:sz w:val="22"/>
        </w:rPr>
        <w:t>=</w:t>
      </w:r>
      <w:r>
        <w:rPr>
          <w:spacing w:val="-7"/>
          <w:sz w:val="22"/>
        </w:rPr>
        <w:t> </w:t>
      </w:r>
      <w:r>
        <w:rPr>
          <w:sz w:val="22"/>
        </w:rPr>
        <w:t>[(Goal</w:t>
      </w:r>
      <w:r>
        <w:rPr>
          <w:spacing w:val="-4"/>
          <w:sz w:val="22"/>
        </w:rPr>
        <w:t> </w:t>
      </w:r>
      <w:r>
        <w:rPr>
          <w:sz w:val="22"/>
        </w:rPr>
        <w:t>Benchmark</w:t>
      </w:r>
      <w:r>
        <w:rPr>
          <w:spacing w:val="-7"/>
          <w:sz w:val="22"/>
        </w:rPr>
        <w:t> </w:t>
      </w:r>
      <w:r>
        <w:rPr>
          <w:sz w:val="22"/>
        </w:rPr>
        <w:t>–Attainment</w:t>
      </w:r>
      <w:r>
        <w:rPr>
          <w:spacing w:val="-4"/>
          <w:sz w:val="22"/>
        </w:rPr>
        <w:t> </w:t>
      </w:r>
      <w:r>
        <w:rPr>
          <w:sz w:val="22"/>
        </w:rPr>
        <w:t>Level)</w:t>
      </w:r>
      <w:r>
        <w:rPr>
          <w:spacing w:val="-6"/>
          <w:sz w:val="22"/>
        </w:rPr>
        <w:t> </w:t>
      </w:r>
      <w:r>
        <w:rPr>
          <w:spacing w:val="-5"/>
          <w:sz w:val="22"/>
        </w:rPr>
        <w:t>/5]</w:t>
      </w:r>
    </w:p>
    <w:p>
      <w:pPr>
        <w:pStyle w:val="BodyText"/>
        <w:spacing w:before="3"/>
        <w:rPr>
          <w:sz w:val="15"/>
        </w:rPr>
      </w:pPr>
      <w:r>
        <w:rPr/>
        <mc:AlternateContent>
          <mc:Choice Requires="wps">
            <w:drawing>
              <wp:anchor distT="0" distB="0" distL="0" distR="0" allowOverlap="1" layoutInCell="1" locked="0" behindDoc="1" simplePos="0" relativeHeight="488011264">
                <wp:simplePos x="0" y="0"/>
                <wp:positionH relativeFrom="page">
                  <wp:posOffset>842772</wp:posOffset>
                </wp:positionH>
                <wp:positionV relativeFrom="paragraph">
                  <wp:posOffset>129848</wp:posOffset>
                </wp:positionV>
                <wp:extent cx="6087110" cy="378460"/>
                <wp:effectExtent l="0" t="0" r="0" b="0"/>
                <wp:wrapTopAndBottom/>
                <wp:docPr id="889" name="Textbox 889"/>
                <wp:cNvGraphicFramePr>
                  <a:graphicFrameLocks/>
                </wp:cNvGraphicFramePr>
                <a:graphic>
                  <a:graphicData uri="http://schemas.microsoft.com/office/word/2010/wordprocessingShape">
                    <wps:wsp>
                      <wps:cNvPr id="889" name="Textbox 889"/>
                      <wps:cNvSpPr txBox="1"/>
                      <wps:spPr>
                        <a:xfrm>
                          <a:off x="0" y="0"/>
                          <a:ext cx="6087110" cy="378460"/>
                        </a:xfrm>
                        <a:prstGeom prst="rect">
                          <a:avLst/>
                        </a:prstGeom>
                        <a:ln w="6096">
                          <a:solidFill>
                            <a:srgbClr val="000000"/>
                          </a:solidFill>
                          <a:prstDash val="solid"/>
                        </a:ln>
                      </wps:spPr>
                      <wps:txbx>
                        <w:txbxContent>
                          <w:p>
                            <w:pPr>
                              <w:spacing w:line="259" w:lineRule="auto" w:before="20"/>
                              <w:ind w:left="107" w:right="0" w:firstLine="0"/>
                              <w:jc w:val="left"/>
                              <w:rPr>
                                <w:i/>
                                <w:sz w:val="22"/>
                              </w:rPr>
                            </w:pPr>
                            <w:r>
                              <w:rPr>
                                <w:i/>
                                <w:sz w:val="22"/>
                              </w:rPr>
                              <w:t>For</w:t>
                            </w:r>
                            <w:r>
                              <w:rPr>
                                <w:i/>
                                <w:spacing w:val="40"/>
                                <w:sz w:val="22"/>
                              </w:rPr>
                              <w:t> </w:t>
                            </w:r>
                            <w:r>
                              <w:rPr>
                                <w:i/>
                                <w:sz w:val="22"/>
                              </w:rPr>
                              <w:t>example,</w:t>
                            </w:r>
                            <w:r>
                              <w:rPr>
                                <w:i/>
                                <w:spacing w:val="40"/>
                                <w:sz w:val="22"/>
                              </w:rPr>
                              <w:t> </w:t>
                            </w:r>
                            <w:r>
                              <w:rPr>
                                <w:i/>
                                <w:sz w:val="22"/>
                              </w:rPr>
                              <w:t>for</w:t>
                            </w:r>
                            <w:r>
                              <w:rPr>
                                <w:i/>
                                <w:spacing w:val="40"/>
                                <w:sz w:val="22"/>
                              </w:rPr>
                              <w:t> </w:t>
                            </w:r>
                            <w:r>
                              <w:rPr>
                                <w:i/>
                                <w:sz w:val="22"/>
                              </w:rPr>
                              <w:t>Measure</w:t>
                            </w:r>
                            <w:r>
                              <w:rPr>
                                <w:i/>
                                <w:spacing w:val="40"/>
                                <w:sz w:val="22"/>
                              </w:rPr>
                              <w:t> </w:t>
                            </w:r>
                            <w:r>
                              <w:rPr>
                                <w:i/>
                                <w:sz w:val="22"/>
                              </w:rPr>
                              <w:t>A,</w:t>
                            </w:r>
                            <w:r>
                              <w:rPr>
                                <w:i/>
                                <w:spacing w:val="40"/>
                                <w:sz w:val="22"/>
                              </w:rPr>
                              <w:t> </w:t>
                            </w:r>
                            <w:r>
                              <w:rPr>
                                <w:i/>
                                <w:sz w:val="22"/>
                              </w:rPr>
                              <w:t>if</w:t>
                            </w:r>
                            <w:r>
                              <w:rPr>
                                <w:i/>
                                <w:spacing w:val="40"/>
                                <w:sz w:val="22"/>
                              </w:rPr>
                              <w:t> </w:t>
                            </w:r>
                            <w:r>
                              <w:rPr>
                                <w:i/>
                                <w:sz w:val="22"/>
                              </w:rPr>
                              <w:t>the</w:t>
                            </w:r>
                            <w:r>
                              <w:rPr>
                                <w:i/>
                                <w:spacing w:val="40"/>
                                <w:sz w:val="22"/>
                              </w:rPr>
                              <w:t> </w:t>
                            </w:r>
                            <w:r>
                              <w:rPr>
                                <w:i/>
                                <w:sz w:val="22"/>
                              </w:rPr>
                              <w:t>Attainment</w:t>
                            </w:r>
                            <w:r>
                              <w:rPr>
                                <w:i/>
                                <w:spacing w:val="40"/>
                                <w:sz w:val="22"/>
                              </w:rPr>
                              <w:t> </w:t>
                            </w:r>
                            <w:r>
                              <w:rPr>
                                <w:i/>
                                <w:sz w:val="22"/>
                              </w:rPr>
                              <w:t>Level</w:t>
                            </w:r>
                            <w:r>
                              <w:rPr>
                                <w:i/>
                                <w:spacing w:val="40"/>
                                <w:sz w:val="22"/>
                              </w:rPr>
                              <w:t> </w:t>
                            </w:r>
                            <w:r>
                              <w:rPr>
                                <w:i/>
                                <w:sz w:val="22"/>
                              </w:rPr>
                              <w:t>is</w:t>
                            </w:r>
                            <w:r>
                              <w:rPr>
                                <w:i/>
                                <w:spacing w:val="40"/>
                                <w:sz w:val="22"/>
                              </w:rPr>
                              <w:t> </w:t>
                            </w:r>
                            <w:r>
                              <w:rPr>
                                <w:i/>
                                <w:sz w:val="22"/>
                              </w:rPr>
                              <w:t>50%</w:t>
                            </w:r>
                            <w:r>
                              <w:rPr>
                                <w:i/>
                                <w:spacing w:val="36"/>
                                <w:sz w:val="22"/>
                              </w:rPr>
                              <w:t> </w:t>
                            </w:r>
                            <w:r>
                              <w:rPr>
                                <w:i/>
                                <w:sz w:val="22"/>
                              </w:rPr>
                              <w:t>and</w:t>
                            </w:r>
                            <w:r>
                              <w:rPr>
                                <w:i/>
                                <w:spacing w:val="40"/>
                                <w:sz w:val="22"/>
                              </w:rPr>
                              <w:t> </w:t>
                            </w:r>
                            <w:r>
                              <w:rPr>
                                <w:i/>
                                <w:sz w:val="22"/>
                              </w:rPr>
                              <w:t>the</w:t>
                            </w:r>
                            <w:r>
                              <w:rPr>
                                <w:i/>
                                <w:spacing w:val="40"/>
                                <w:sz w:val="22"/>
                              </w:rPr>
                              <w:t> </w:t>
                            </w:r>
                            <w:r>
                              <w:rPr>
                                <w:i/>
                                <w:sz w:val="22"/>
                              </w:rPr>
                              <w:t>Goal</w:t>
                            </w:r>
                            <w:r>
                              <w:rPr>
                                <w:i/>
                                <w:spacing w:val="40"/>
                                <w:sz w:val="22"/>
                              </w:rPr>
                              <w:t> </w:t>
                            </w:r>
                            <w:r>
                              <w:rPr>
                                <w:i/>
                                <w:sz w:val="22"/>
                              </w:rPr>
                              <w:t>Benchmark</w:t>
                            </w:r>
                            <w:r>
                              <w:rPr>
                                <w:i/>
                                <w:spacing w:val="40"/>
                                <w:sz w:val="22"/>
                              </w:rPr>
                              <w:t> </w:t>
                            </w:r>
                            <w:r>
                              <w:rPr>
                                <w:i/>
                                <w:sz w:val="22"/>
                              </w:rPr>
                              <w:t>is</w:t>
                            </w:r>
                            <w:r>
                              <w:rPr>
                                <w:i/>
                                <w:spacing w:val="40"/>
                                <w:sz w:val="22"/>
                              </w:rPr>
                              <w:t> </w:t>
                            </w:r>
                            <w:r>
                              <w:rPr>
                                <w:i/>
                                <w:sz w:val="22"/>
                              </w:rPr>
                              <w:t>60%,</w:t>
                            </w:r>
                            <w:r>
                              <w:rPr>
                                <w:i/>
                                <w:spacing w:val="40"/>
                                <w:sz w:val="22"/>
                              </w:rPr>
                              <w:t> </w:t>
                            </w:r>
                            <w:r>
                              <w:rPr>
                                <w:i/>
                                <w:sz w:val="22"/>
                              </w:rPr>
                              <w:t>the</w:t>
                            </w:r>
                            <w:r>
                              <w:rPr>
                                <w:i/>
                                <w:sz w:val="22"/>
                              </w:rPr>
                              <w:t> Improvement Target is 2% [(60 – 50)/5)]</w:t>
                            </w:r>
                          </w:p>
                        </w:txbxContent>
                      </wps:txbx>
                      <wps:bodyPr wrap="square" lIns="0" tIns="0" rIns="0" bIns="0" rtlCol="0">
                        <a:noAutofit/>
                      </wps:bodyPr>
                    </wps:wsp>
                  </a:graphicData>
                </a:graphic>
              </wp:anchor>
            </w:drawing>
          </mc:Choice>
          <mc:Fallback>
            <w:pict>
              <v:shape style="position:absolute;margin-left:66.360001pt;margin-top:10.224268pt;width:479.3pt;height:29.8pt;mso-position-horizontal-relative:page;mso-position-vertical-relative:paragraph;z-index:-15305216;mso-wrap-distance-left:0;mso-wrap-distance-right:0" type="#_x0000_t202" id="docshape106" filled="false" stroked="true" strokeweight=".48pt" strokecolor="#000000">
                <v:textbox inset="0,0,0,0">
                  <w:txbxContent>
                    <w:p>
                      <w:pPr>
                        <w:spacing w:line="259" w:lineRule="auto" w:before="20"/>
                        <w:ind w:left="107" w:right="0" w:firstLine="0"/>
                        <w:jc w:val="left"/>
                        <w:rPr>
                          <w:i/>
                          <w:sz w:val="22"/>
                        </w:rPr>
                      </w:pPr>
                      <w:r>
                        <w:rPr>
                          <w:i/>
                          <w:sz w:val="22"/>
                        </w:rPr>
                        <w:t>For</w:t>
                      </w:r>
                      <w:r>
                        <w:rPr>
                          <w:i/>
                          <w:spacing w:val="40"/>
                          <w:sz w:val="22"/>
                        </w:rPr>
                        <w:t> </w:t>
                      </w:r>
                      <w:r>
                        <w:rPr>
                          <w:i/>
                          <w:sz w:val="22"/>
                        </w:rPr>
                        <w:t>example,</w:t>
                      </w:r>
                      <w:r>
                        <w:rPr>
                          <w:i/>
                          <w:spacing w:val="40"/>
                          <w:sz w:val="22"/>
                        </w:rPr>
                        <w:t> </w:t>
                      </w:r>
                      <w:r>
                        <w:rPr>
                          <w:i/>
                          <w:sz w:val="22"/>
                        </w:rPr>
                        <w:t>for</w:t>
                      </w:r>
                      <w:r>
                        <w:rPr>
                          <w:i/>
                          <w:spacing w:val="40"/>
                          <w:sz w:val="22"/>
                        </w:rPr>
                        <w:t> </w:t>
                      </w:r>
                      <w:r>
                        <w:rPr>
                          <w:i/>
                          <w:sz w:val="22"/>
                        </w:rPr>
                        <w:t>Measure</w:t>
                      </w:r>
                      <w:r>
                        <w:rPr>
                          <w:i/>
                          <w:spacing w:val="40"/>
                          <w:sz w:val="22"/>
                        </w:rPr>
                        <w:t> </w:t>
                      </w:r>
                      <w:r>
                        <w:rPr>
                          <w:i/>
                          <w:sz w:val="22"/>
                        </w:rPr>
                        <w:t>A,</w:t>
                      </w:r>
                      <w:r>
                        <w:rPr>
                          <w:i/>
                          <w:spacing w:val="40"/>
                          <w:sz w:val="22"/>
                        </w:rPr>
                        <w:t> </w:t>
                      </w:r>
                      <w:r>
                        <w:rPr>
                          <w:i/>
                          <w:sz w:val="22"/>
                        </w:rPr>
                        <w:t>if</w:t>
                      </w:r>
                      <w:r>
                        <w:rPr>
                          <w:i/>
                          <w:spacing w:val="40"/>
                          <w:sz w:val="22"/>
                        </w:rPr>
                        <w:t> </w:t>
                      </w:r>
                      <w:r>
                        <w:rPr>
                          <w:i/>
                          <w:sz w:val="22"/>
                        </w:rPr>
                        <w:t>the</w:t>
                      </w:r>
                      <w:r>
                        <w:rPr>
                          <w:i/>
                          <w:spacing w:val="40"/>
                          <w:sz w:val="22"/>
                        </w:rPr>
                        <w:t> </w:t>
                      </w:r>
                      <w:r>
                        <w:rPr>
                          <w:i/>
                          <w:sz w:val="22"/>
                        </w:rPr>
                        <w:t>Attainment</w:t>
                      </w:r>
                      <w:r>
                        <w:rPr>
                          <w:i/>
                          <w:spacing w:val="40"/>
                          <w:sz w:val="22"/>
                        </w:rPr>
                        <w:t> </w:t>
                      </w:r>
                      <w:r>
                        <w:rPr>
                          <w:i/>
                          <w:sz w:val="22"/>
                        </w:rPr>
                        <w:t>Level</w:t>
                      </w:r>
                      <w:r>
                        <w:rPr>
                          <w:i/>
                          <w:spacing w:val="40"/>
                          <w:sz w:val="22"/>
                        </w:rPr>
                        <w:t> </w:t>
                      </w:r>
                      <w:r>
                        <w:rPr>
                          <w:i/>
                          <w:sz w:val="22"/>
                        </w:rPr>
                        <w:t>is</w:t>
                      </w:r>
                      <w:r>
                        <w:rPr>
                          <w:i/>
                          <w:spacing w:val="40"/>
                          <w:sz w:val="22"/>
                        </w:rPr>
                        <w:t> </w:t>
                      </w:r>
                      <w:r>
                        <w:rPr>
                          <w:i/>
                          <w:sz w:val="22"/>
                        </w:rPr>
                        <w:t>50%</w:t>
                      </w:r>
                      <w:r>
                        <w:rPr>
                          <w:i/>
                          <w:spacing w:val="36"/>
                          <w:sz w:val="22"/>
                        </w:rPr>
                        <w:t> </w:t>
                      </w:r>
                      <w:r>
                        <w:rPr>
                          <w:i/>
                          <w:sz w:val="22"/>
                        </w:rPr>
                        <w:t>and</w:t>
                      </w:r>
                      <w:r>
                        <w:rPr>
                          <w:i/>
                          <w:spacing w:val="40"/>
                          <w:sz w:val="22"/>
                        </w:rPr>
                        <w:t> </w:t>
                      </w:r>
                      <w:r>
                        <w:rPr>
                          <w:i/>
                          <w:sz w:val="22"/>
                        </w:rPr>
                        <w:t>the</w:t>
                      </w:r>
                      <w:r>
                        <w:rPr>
                          <w:i/>
                          <w:spacing w:val="40"/>
                          <w:sz w:val="22"/>
                        </w:rPr>
                        <w:t> </w:t>
                      </w:r>
                      <w:r>
                        <w:rPr>
                          <w:i/>
                          <w:sz w:val="22"/>
                        </w:rPr>
                        <w:t>Goal</w:t>
                      </w:r>
                      <w:r>
                        <w:rPr>
                          <w:i/>
                          <w:spacing w:val="40"/>
                          <w:sz w:val="22"/>
                        </w:rPr>
                        <w:t> </w:t>
                      </w:r>
                      <w:r>
                        <w:rPr>
                          <w:i/>
                          <w:sz w:val="22"/>
                        </w:rPr>
                        <w:t>Benchmark</w:t>
                      </w:r>
                      <w:r>
                        <w:rPr>
                          <w:i/>
                          <w:spacing w:val="40"/>
                          <w:sz w:val="22"/>
                        </w:rPr>
                        <w:t> </w:t>
                      </w:r>
                      <w:r>
                        <w:rPr>
                          <w:i/>
                          <w:sz w:val="22"/>
                        </w:rPr>
                        <w:t>is</w:t>
                      </w:r>
                      <w:r>
                        <w:rPr>
                          <w:i/>
                          <w:spacing w:val="40"/>
                          <w:sz w:val="22"/>
                        </w:rPr>
                        <w:t> </w:t>
                      </w:r>
                      <w:r>
                        <w:rPr>
                          <w:i/>
                          <w:sz w:val="22"/>
                        </w:rPr>
                        <w:t>60%,</w:t>
                      </w:r>
                      <w:r>
                        <w:rPr>
                          <w:i/>
                          <w:spacing w:val="40"/>
                          <w:sz w:val="22"/>
                        </w:rPr>
                        <w:t> </w:t>
                      </w:r>
                      <w:r>
                        <w:rPr>
                          <w:i/>
                          <w:sz w:val="22"/>
                        </w:rPr>
                        <w:t>the</w:t>
                      </w:r>
                      <w:r>
                        <w:rPr>
                          <w:i/>
                          <w:sz w:val="22"/>
                        </w:rPr>
                        <w:t> Improvement Target is 2% [(60 – 50)/5)]</w:t>
                      </w:r>
                    </w:p>
                  </w:txbxContent>
                </v:textbox>
                <v:stroke dashstyle="solid"/>
                <w10:wrap type="topAndBottom"/>
              </v:shape>
            </w:pict>
          </mc:Fallback>
        </mc:AlternateContent>
      </w:r>
    </w:p>
    <w:p>
      <w:pPr>
        <w:spacing w:after="0"/>
        <w:rPr>
          <w:sz w:val="15"/>
        </w:rPr>
        <w:sectPr>
          <w:pgSz w:w="12240" w:h="15840"/>
          <w:pgMar w:header="0" w:footer="967" w:top="1360" w:bottom="1160" w:left="220" w:right="340"/>
        </w:sectPr>
      </w:pPr>
    </w:p>
    <w:p>
      <w:pPr>
        <w:pStyle w:val="ListParagraph"/>
        <w:numPr>
          <w:ilvl w:val="1"/>
          <w:numId w:val="85"/>
        </w:numPr>
        <w:tabs>
          <w:tab w:pos="2659" w:val="left" w:leader="none"/>
        </w:tabs>
        <w:spacing w:line="240" w:lineRule="auto" w:before="70" w:after="0"/>
        <w:ind w:left="2659" w:right="1093" w:hanging="360"/>
        <w:jc w:val="left"/>
        <w:rPr>
          <w:sz w:val="22"/>
        </w:rPr>
      </w:pPr>
      <w:r>
        <w:rPr>
          <w:sz w:val="22"/>
        </w:rPr>
        <w:t>For</w:t>
      </w:r>
      <w:r>
        <w:rPr>
          <w:spacing w:val="-11"/>
          <w:sz w:val="22"/>
        </w:rPr>
        <w:t> </w:t>
      </w:r>
      <w:r>
        <w:rPr>
          <w:sz w:val="22"/>
        </w:rPr>
        <w:t>the</w:t>
      </w:r>
      <w:r>
        <w:rPr>
          <w:spacing w:val="-11"/>
          <w:sz w:val="22"/>
        </w:rPr>
        <w:t> </w:t>
      </w:r>
      <w:r>
        <w:rPr>
          <w:sz w:val="22"/>
        </w:rPr>
        <w:t>purposes</w:t>
      </w:r>
      <w:r>
        <w:rPr>
          <w:spacing w:val="-11"/>
          <w:sz w:val="22"/>
        </w:rPr>
        <w:t> </w:t>
      </w:r>
      <w:r>
        <w:rPr>
          <w:sz w:val="22"/>
        </w:rPr>
        <w:t>of</w:t>
      </w:r>
      <w:r>
        <w:rPr>
          <w:spacing w:val="-11"/>
          <w:sz w:val="22"/>
        </w:rPr>
        <w:t> </w:t>
      </w:r>
      <w:r>
        <w:rPr>
          <w:sz w:val="22"/>
        </w:rPr>
        <w:t>calculating</w:t>
      </w:r>
      <w:r>
        <w:rPr>
          <w:spacing w:val="-14"/>
          <w:sz w:val="22"/>
        </w:rPr>
        <w:t> </w:t>
      </w:r>
      <w:r>
        <w:rPr>
          <w:sz w:val="22"/>
        </w:rPr>
        <w:t>the</w:t>
      </w:r>
      <w:r>
        <w:rPr>
          <w:spacing w:val="-11"/>
          <w:sz w:val="22"/>
        </w:rPr>
        <w:t> </w:t>
      </w:r>
      <w:r>
        <w:rPr>
          <w:sz w:val="22"/>
        </w:rPr>
        <w:t>Improvement</w:t>
      </w:r>
      <w:r>
        <w:rPr>
          <w:spacing w:val="-11"/>
          <w:sz w:val="22"/>
        </w:rPr>
        <w:t> </w:t>
      </w:r>
      <w:r>
        <w:rPr>
          <w:sz w:val="22"/>
        </w:rPr>
        <w:t>Target,</w:t>
      </w:r>
      <w:r>
        <w:rPr>
          <w:spacing w:val="-12"/>
          <w:sz w:val="22"/>
        </w:rPr>
        <w:t> </w:t>
      </w:r>
      <w:r>
        <w:rPr>
          <w:sz w:val="22"/>
        </w:rPr>
        <w:t>the</w:t>
      </w:r>
      <w:r>
        <w:rPr>
          <w:spacing w:val="-11"/>
          <w:sz w:val="22"/>
        </w:rPr>
        <w:t> </w:t>
      </w:r>
      <w:r>
        <w:rPr>
          <w:sz w:val="22"/>
        </w:rPr>
        <w:t>result</w:t>
      </w:r>
      <w:r>
        <w:rPr>
          <w:spacing w:val="-11"/>
          <w:sz w:val="22"/>
        </w:rPr>
        <w:t> </w:t>
      </w:r>
      <w:r>
        <w:rPr>
          <w:sz w:val="22"/>
        </w:rPr>
        <w:t>is</w:t>
      </w:r>
      <w:r>
        <w:rPr>
          <w:spacing w:val="-11"/>
          <w:sz w:val="22"/>
        </w:rPr>
        <w:t> </w:t>
      </w:r>
      <w:r>
        <w:rPr>
          <w:sz w:val="22"/>
        </w:rPr>
        <w:t>rounded</w:t>
      </w:r>
      <w:r>
        <w:rPr>
          <w:spacing w:val="-14"/>
          <w:sz w:val="22"/>
        </w:rPr>
        <w:t> </w:t>
      </w:r>
      <w:r>
        <w:rPr>
          <w:sz w:val="22"/>
        </w:rPr>
        <w:t>to</w:t>
      </w:r>
      <w:r>
        <w:rPr>
          <w:spacing w:val="-12"/>
          <w:sz w:val="22"/>
        </w:rPr>
        <w:t> </w:t>
      </w:r>
      <w:r>
        <w:rPr>
          <w:sz w:val="22"/>
        </w:rPr>
        <w:t>the</w:t>
      </w:r>
      <w:r>
        <w:rPr>
          <w:spacing w:val="-11"/>
          <w:sz w:val="22"/>
        </w:rPr>
        <w:t> </w:t>
      </w:r>
      <w:r>
        <w:rPr>
          <w:sz w:val="22"/>
        </w:rPr>
        <w:t>nearest tenth (i.e., one decimal point).</w:t>
      </w:r>
    </w:p>
    <w:p>
      <w:pPr>
        <w:pStyle w:val="BodyText"/>
        <w:rPr>
          <w:sz w:val="20"/>
        </w:rPr>
      </w:pPr>
    </w:p>
    <w:p>
      <w:pPr>
        <w:pStyle w:val="BodyText"/>
        <w:spacing w:before="10"/>
        <w:rPr>
          <w:sz w:val="15"/>
        </w:rPr>
      </w:pPr>
      <w:r>
        <w:rPr/>
        <mc:AlternateContent>
          <mc:Choice Requires="wps">
            <w:drawing>
              <wp:anchor distT="0" distB="0" distL="0" distR="0" allowOverlap="1" layoutInCell="1" locked="0" behindDoc="1" simplePos="0" relativeHeight="488011776">
                <wp:simplePos x="0" y="0"/>
                <wp:positionH relativeFrom="page">
                  <wp:posOffset>842772</wp:posOffset>
                </wp:positionH>
                <wp:positionV relativeFrom="paragraph">
                  <wp:posOffset>134405</wp:posOffset>
                </wp:positionV>
                <wp:extent cx="6087110" cy="352425"/>
                <wp:effectExtent l="0" t="0" r="0" b="0"/>
                <wp:wrapTopAndBottom/>
                <wp:docPr id="890" name="Textbox 890"/>
                <wp:cNvGraphicFramePr>
                  <a:graphicFrameLocks/>
                </wp:cNvGraphicFramePr>
                <a:graphic>
                  <a:graphicData uri="http://schemas.microsoft.com/office/word/2010/wordprocessingShape">
                    <wps:wsp>
                      <wps:cNvPr id="890" name="Textbox 890"/>
                      <wps:cNvSpPr txBox="1"/>
                      <wps:spPr>
                        <a:xfrm>
                          <a:off x="0" y="0"/>
                          <a:ext cx="6087110" cy="352425"/>
                        </a:xfrm>
                        <a:prstGeom prst="rect">
                          <a:avLst/>
                        </a:prstGeom>
                        <a:ln w="6096">
                          <a:solidFill>
                            <a:srgbClr val="000000"/>
                          </a:solidFill>
                          <a:prstDash val="solid"/>
                        </a:ln>
                      </wps:spPr>
                      <wps:txbx>
                        <w:txbxContent>
                          <w:p>
                            <w:pPr>
                              <w:spacing w:before="20"/>
                              <w:ind w:left="107" w:right="0" w:firstLine="0"/>
                              <w:jc w:val="left"/>
                              <w:rPr>
                                <w:i/>
                                <w:sz w:val="22"/>
                              </w:rPr>
                            </w:pPr>
                            <w:r>
                              <w:rPr>
                                <w:i/>
                                <w:sz w:val="22"/>
                              </w:rPr>
                              <w:t>For</w:t>
                            </w:r>
                            <w:r>
                              <w:rPr>
                                <w:i/>
                                <w:spacing w:val="35"/>
                                <w:sz w:val="22"/>
                              </w:rPr>
                              <w:t> </w:t>
                            </w:r>
                            <w:r>
                              <w:rPr>
                                <w:i/>
                                <w:sz w:val="22"/>
                              </w:rPr>
                              <w:t>example,</w:t>
                            </w:r>
                            <w:r>
                              <w:rPr>
                                <w:i/>
                                <w:spacing w:val="35"/>
                                <w:sz w:val="22"/>
                              </w:rPr>
                              <w:t> </w:t>
                            </w:r>
                            <w:r>
                              <w:rPr>
                                <w:i/>
                                <w:sz w:val="22"/>
                              </w:rPr>
                              <w:t>for</w:t>
                            </w:r>
                            <w:r>
                              <w:rPr>
                                <w:i/>
                                <w:spacing w:val="35"/>
                                <w:sz w:val="22"/>
                              </w:rPr>
                              <w:t> </w:t>
                            </w:r>
                            <w:r>
                              <w:rPr>
                                <w:i/>
                                <w:sz w:val="22"/>
                              </w:rPr>
                              <w:t>Measure</w:t>
                            </w:r>
                            <w:r>
                              <w:rPr>
                                <w:i/>
                                <w:spacing w:val="33"/>
                                <w:sz w:val="22"/>
                              </w:rPr>
                              <w:t> </w:t>
                            </w:r>
                            <w:r>
                              <w:rPr>
                                <w:i/>
                                <w:sz w:val="22"/>
                              </w:rPr>
                              <w:t>B,</w:t>
                            </w:r>
                            <w:r>
                              <w:rPr>
                                <w:i/>
                                <w:spacing w:val="35"/>
                                <w:sz w:val="22"/>
                              </w:rPr>
                              <w:t> </w:t>
                            </w:r>
                            <w:r>
                              <w:rPr>
                                <w:i/>
                                <w:sz w:val="22"/>
                              </w:rPr>
                              <w:t>if</w:t>
                            </w:r>
                            <w:r>
                              <w:rPr>
                                <w:i/>
                                <w:spacing w:val="36"/>
                                <w:sz w:val="22"/>
                              </w:rPr>
                              <w:t> </w:t>
                            </w:r>
                            <w:r>
                              <w:rPr>
                                <w:i/>
                                <w:sz w:val="22"/>
                              </w:rPr>
                              <w:t>the</w:t>
                            </w:r>
                            <w:r>
                              <w:rPr>
                                <w:i/>
                                <w:spacing w:val="35"/>
                                <w:sz w:val="22"/>
                              </w:rPr>
                              <w:t> </w:t>
                            </w:r>
                            <w:r>
                              <w:rPr>
                                <w:i/>
                                <w:sz w:val="22"/>
                              </w:rPr>
                              <w:t>Attainment</w:t>
                            </w:r>
                            <w:r>
                              <w:rPr>
                                <w:i/>
                                <w:spacing w:val="36"/>
                                <w:sz w:val="22"/>
                              </w:rPr>
                              <w:t> </w:t>
                            </w:r>
                            <w:r>
                              <w:rPr>
                                <w:i/>
                                <w:sz w:val="22"/>
                              </w:rPr>
                              <w:t>Level</w:t>
                            </w:r>
                            <w:r>
                              <w:rPr>
                                <w:i/>
                                <w:spacing w:val="36"/>
                                <w:sz w:val="22"/>
                              </w:rPr>
                              <w:t> </w:t>
                            </w:r>
                            <w:r>
                              <w:rPr>
                                <w:i/>
                                <w:sz w:val="22"/>
                              </w:rPr>
                              <w:t>is</w:t>
                            </w:r>
                            <w:r>
                              <w:rPr>
                                <w:i/>
                                <w:spacing w:val="35"/>
                                <w:sz w:val="22"/>
                              </w:rPr>
                              <w:t> </w:t>
                            </w:r>
                            <w:r>
                              <w:rPr>
                                <w:i/>
                                <w:sz w:val="22"/>
                              </w:rPr>
                              <w:t>80%</w:t>
                            </w:r>
                            <w:r>
                              <w:rPr>
                                <w:i/>
                                <w:spacing w:val="28"/>
                                <w:sz w:val="22"/>
                              </w:rPr>
                              <w:t> </w:t>
                            </w:r>
                            <w:r>
                              <w:rPr>
                                <w:i/>
                                <w:sz w:val="22"/>
                              </w:rPr>
                              <w:t>and</w:t>
                            </w:r>
                            <w:r>
                              <w:rPr>
                                <w:i/>
                                <w:spacing w:val="35"/>
                                <w:sz w:val="22"/>
                              </w:rPr>
                              <w:t> </w:t>
                            </w:r>
                            <w:r>
                              <w:rPr>
                                <w:i/>
                                <w:sz w:val="22"/>
                              </w:rPr>
                              <w:t>the</w:t>
                            </w:r>
                            <w:r>
                              <w:rPr>
                                <w:i/>
                                <w:spacing w:val="35"/>
                                <w:sz w:val="22"/>
                              </w:rPr>
                              <w:t> </w:t>
                            </w:r>
                            <w:r>
                              <w:rPr>
                                <w:i/>
                                <w:sz w:val="22"/>
                              </w:rPr>
                              <w:t>Goal</w:t>
                            </w:r>
                            <w:r>
                              <w:rPr>
                                <w:i/>
                                <w:spacing w:val="36"/>
                                <w:sz w:val="22"/>
                              </w:rPr>
                              <w:t> </w:t>
                            </w:r>
                            <w:r>
                              <w:rPr>
                                <w:i/>
                                <w:sz w:val="22"/>
                              </w:rPr>
                              <w:t>Benchmark</w:t>
                            </w:r>
                            <w:r>
                              <w:rPr>
                                <w:i/>
                                <w:spacing w:val="35"/>
                                <w:sz w:val="22"/>
                              </w:rPr>
                              <w:t> </w:t>
                            </w:r>
                            <w:r>
                              <w:rPr>
                                <w:i/>
                                <w:sz w:val="22"/>
                              </w:rPr>
                              <w:t>is</w:t>
                            </w:r>
                            <w:r>
                              <w:rPr>
                                <w:i/>
                                <w:spacing w:val="35"/>
                                <w:sz w:val="22"/>
                              </w:rPr>
                              <w:t> </w:t>
                            </w:r>
                            <w:r>
                              <w:rPr>
                                <w:i/>
                                <w:sz w:val="22"/>
                              </w:rPr>
                              <w:t>90.2%,</w:t>
                            </w:r>
                            <w:r>
                              <w:rPr>
                                <w:i/>
                                <w:spacing w:val="37"/>
                                <w:sz w:val="22"/>
                              </w:rPr>
                              <w:t> </w:t>
                            </w:r>
                            <w:r>
                              <w:rPr>
                                <w:i/>
                                <w:sz w:val="22"/>
                              </w:rPr>
                              <w:t>the</w:t>
                            </w:r>
                            <w:r>
                              <w:rPr>
                                <w:i/>
                                <w:sz w:val="22"/>
                              </w:rPr>
                              <w:t> Improvement Target is calculated to 2.04% [(90.2 – 80)/5)] which rounds to 2.0%.</w:t>
                            </w:r>
                          </w:p>
                        </w:txbxContent>
                      </wps:txbx>
                      <wps:bodyPr wrap="square" lIns="0" tIns="0" rIns="0" bIns="0" rtlCol="0">
                        <a:noAutofit/>
                      </wps:bodyPr>
                    </wps:wsp>
                  </a:graphicData>
                </a:graphic>
              </wp:anchor>
            </w:drawing>
          </mc:Choice>
          <mc:Fallback>
            <w:pict>
              <v:shape style="position:absolute;margin-left:66.360001pt;margin-top:10.583125pt;width:479.3pt;height:27.75pt;mso-position-horizontal-relative:page;mso-position-vertical-relative:paragraph;z-index:-15304704;mso-wrap-distance-left:0;mso-wrap-distance-right:0" type="#_x0000_t202" id="docshape107" filled="false" stroked="true" strokeweight=".48pt" strokecolor="#000000">
                <v:textbox inset="0,0,0,0">
                  <w:txbxContent>
                    <w:p>
                      <w:pPr>
                        <w:spacing w:before="20"/>
                        <w:ind w:left="107" w:right="0" w:firstLine="0"/>
                        <w:jc w:val="left"/>
                        <w:rPr>
                          <w:i/>
                          <w:sz w:val="22"/>
                        </w:rPr>
                      </w:pPr>
                      <w:r>
                        <w:rPr>
                          <w:i/>
                          <w:sz w:val="22"/>
                        </w:rPr>
                        <w:t>For</w:t>
                      </w:r>
                      <w:r>
                        <w:rPr>
                          <w:i/>
                          <w:spacing w:val="35"/>
                          <w:sz w:val="22"/>
                        </w:rPr>
                        <w:t> </w:t>
                      </w:r>
                      <w:r>
                        <w:rPr>
                          <w:i/>
                          <w:sz w:val="22"/>
                        </w:rPr>
                        <w:t>example,</w:t>
                      </w:r>
                      <w:r>
                        <w:rPr>
                          <w:i/>
                          <w:spacing w:val="35"/>
                          <w:sz w:val="22"/>
                        </w:rPr>
                        <w:t> </w:t>
                      </w:r>
                      <w:r>
                        <w:rPr>
                          <w:i/>
                          <w:sz w:val="22"/>
                        </w:rPr>
                        <w:t>for</w:t>
                      </w:r>
                      <w:r>
                        <w:rPr>
                          <w:i/>
                          <w:spacing w:val="35"/>
                          <w:sz w:val="22"/>
                        </w:rPr>
                        <w:t> </w:t>
                      </w:r>
                      <w:r>
                        <w:rPr>
                          <w:i/>
                          <w:sz w:val="22"/>
                        </w:rPr>
                        <w:t>Measure</w:t>
                      </w:r>
                      <w:r>
                        <w:rPr>
                          <w:i/>
                          <w:spacing w:val="33"/>
                          <w:sz w:val="22"/>
                        </w:rPr>
                        <w:t> </w:t>
                      </w:r>
                      <w:r>
                        <w:rPr>
                          <w:i/>
                          <w:sz w:val="22"/>
                        </w:rPr>
                        <w:t>B,</w:t>
                      </w:r>
                      <w:r>
                        <w:rPr>
                          <w:i/>
                          <w:spacing w:val="35"/>
                          <w:sz w:val="22"/>
                        </w:rPr>
                        <w:t> </w:t>
                      </w:r>
                      <w:r>
                        <w:rPr>
                          <w:i/>
                          <w:sz w:val="22"/>
                        </w:rPr>
                        <w:t>if</w:t>
                      </w:r>
                      <w:r>
                        <w:rPr>
                          <w:i/>
                          <w:spacing w:val="36"/>
                          <w:sz w:val="22"/>
                        </w:rPr>
                        <w:t> </w:t>
                      </w:r>
                      <w:r>
                        <w:rPr>
                          <w:i/>
                          <w:sz w:val="22"/>
                        </w:rPr>
                        <w:t>the</w:t>
                      </w:r>
                      <w:r>
                        <w:rPr>
                          <w:i/>
                          <w:spacing w:val="35"/>
                          <w:sz w:val="22"/>
                        </w:rPr>
                        <w:t> </w:t>
                      </w:r>
                      <w:r>
                        <w:rPr>
                          <w:i/>
                          <w:sz w:val="22"/>
                        </w:rPr>
                        <w:t>Attainment</w:t>
                      </w:r>
                      <w:r>
                        <w:rPr>
                          <w:i/>
                          <w:spacing w:val="36"/>
                          <w:sz w:val="22"/>
                        </w:rPr>
                        <w:t> </w:t>
                      </w:r>
                      <w:r>
                        <w:rPr>
                          <w:i/>
                          <w:sz w:val="22"/>
                        </w:rPr>
                        <w:t>Level</w:t>
                      </w:r>
                      <w:r>
                        <w:rPr>
                          <w:i/>
                          <w:spacing w:val="36"/>
                          <w:sz w:val="22"/>
                        </w:rPr>
                        <w:t> </w:t>
                      </w:r>
                      <w:r>
                        <w:rPr>
                          <w:i/>
                          <w:sz w:val="22"/>
                        </w:rPr>
                        <w:t>is</w:t>
                      </w:r>
                      <w:r>
                        <w:rPr>
                          <w:i/>
                          <w:spacing w:val="35"/>
                          <w:sz w:val="22"/>
                        </w:rPr>
                        <w:t> </w:t>
                      </w:r>
                      <w:r>
                        <w:rPr>
                          <w:i/>
                          <w:sz w:val="22"/>
                        </w:rPr>
                        <w:t>80%</w:t>
                      </w:r>
                      <w:r>
                        <w:rPr>
                          <w:i/>
                          <w:spacing w:val="28"/>
                          <w:sz w:val="22"/>
                        </w:rPr>
                        <w:t> </w:t>
                      </w:r>
                      <w:r>
                        <w:rPr>
                          <w:i/>
                          <w:sz w:val="22"/>
                        </w:rPr>
                        <w:t>and</w:t>
                      </w:r>
                      <w:r>
                        <w:rPr>
                          <w:i/>
                          <w:spacing w:val="35"/>
                          <w:sz w:val="22"/>
                        </w:rPr>
                        <w:t> </w:t>
                      </w:r>
                      <w:r>
                        <w:rPr>
                          <w:i/>
                          <w:sz w:val="22"/>
                        </w:rPr>
                        <w:t>the</w:t>
                      </w:r>
                      <w:r>
                        <w:rPr>
                          <w:i/>
                          <w:spacing w:val="35"/>
                          <w:sz w:val="22"/>
                        </w:rPr>
                        <w:t> </w:t>
                      </w:r>
                      <w:r>
                        <w:rPr>
                          <w:i/>
                          <w:sz w:val="22"/>
                        </w:rPr>
                        <w:t>Goal</w:t>
                      </w:r>
                      <w:r>
                        <w:rPr>
                          <w:i/>
                          <w:spacing w:val="36"/>
                          <w:sz w:val="22"/>
                        </w:rPr>
                        <w:t> </w:t>
                      </w:r>
                      <w:r>
                        <w:rPr>
                          <w:i/>
                          <w:sz w:val="22"/>
                        </w:rPr>
                        <w:t>Benchmark</w:t>
                      </w:r>
                      <w:r>
                        <w:rPr>
                          <w:i/>
                          <w:spacing w:val="35"/>
                          <w:sz w:val="22"/>
                        </w:rPr>
                        <w:t> </w:t>
                      </w:r>
                      <w:r>
                        <w:rPr>
                          <w:i/>
                          <w:sz w:val="22"/>
                        </w:rPr>
                        <w:t>is</w:t>
                      </w:r>
                      <w:r>
                        <w:rPr>
                          <w:i/>
                          <w:spacing w:val="35"/>
                          <w:sz w:val="22"/>
                        </w:rPr>
                        <w:t> </w:t>
                      </w:r>
                      <w:r>
                        <w:rPr>
                          <w:i/>
                          <w:sz w:val="22"/>
                        </w:rPr>
                        <w:t>90.2%,</w:t>
                      </w:r>
                      <w:r>
                        <w:rPr>
                          <w:i/>
                          <w:spacing w:val="37"/>
                          <w:sz w:val="22"/>
                        </w:rPr>
                        <w:t> </w:t>
                      </w:r>
                      <w:r>
                        <w:rPr>
                          <w:i/>
                          <w:sz w:val="22"/>
                        </w:rPr>
                        <w:t>the</w:t>
                      </w:r>
                      <w:r>
                        <w:rPr>
                          <w:i/>
                          <w:sz w:val="22"/>
                        </w:rPr>
                        <w:t> Improvement Target is calculated to 2.04% [(90.2 – 80)/5)] which rounds to 2.0%.</w:t>
                      </w:r>
                    </w:p>
                  </w:txbxContent>
                </v:textbox>
                <v:stroke dashstyle="solid"/>
                <w10:wrap type="topAndBottom"/>
              </v:shape>
            </w:pict>
          </mc:Fallback>
        </mc:AlternateContent>
      </w:r>
    </w:p>
    <w:p>
      <w:pPr>
        <w:pStyle w:val="BodyText"/>
        <w:spacing w:before="3"/>
        <w:rPr>
          <w:sz w:val="6"/>
        </w:rPr>
      </w:pPr>
    </w:p>
    <w:p>
      <w:pPr>
        <w:pStyle w:val="ListParagraph"/>
        <w:numPr>
          <w:ilvl w:val="1"/>
          <w:numId w:val="85"/>
        </w:numPr>
        <w:tabs>
          <w:tab w:pos="2660" w:val="left" w:leader="none"/>
        </w:tabs>
        <w:spacing w:line="240" w:lineRule="auto" w:before="92" w:after="0"/>
        <w:ind w:left="2660" w:right="1095" w:hanging="360"/>
        <w:jc w:val="both"/>
        <w:rPr>
          <w:sz w:val="22"/>
        </w:rPr>
      </w:pPr>
      <w:r>
        <w:rPr>
          <w:sz w:val="22"/>
        </w:rPr>
        <w:t>Starting</w:t>
      </w:r>
      <w:r>
        <w:rPr>
          <w:spacing w:val="-12"/>
          <w:sz w:val="22"/>
        </w:rPr>
        <w:t> </w:t>
      </w:r>
      <w:r>
        <w:rPr>
          <w:sz w:val="22"/>
        </w:rPr>
        <w:t>in</w:t>
      </w:r>
      <w:r>
        <w:rPr>
          <w:spacing w:val="-10"/>
          <w:sz w:val="22"/>
        </w:rPr>
        <w:t> </w:t>
      </w:r>
      <w:r>
        <w:rPr>
          <w:sz w:val="22"/>
        </w:rPr>
        <w:t>BP2,</w:t>
      </w:r>
      <w:r>
        <w:rPr>
          <w:spacing w:val="-12"/>
          <w:sz w:val="22"/>
        </w:rPr>
        <w:t> </w:t>
      </w:r>
      <w:r>
        <w:rPr>
          <w:sz w:val="22"/>
        </w:rPr>
        <w:t>the</w:t>
      </w:r>
      <w:r>
        <w:rPr>
          <w:spacing w:val="-9"/>
          <w:sz w:val="22"/>
        </w:rPr>
        <w:t> </w:t>
      </w:r>
      <w:r>
        <w:rPr>
          <w:sz w:val="22"/>
        </w:rPr>
        <w:t>ACO</w:t>
      </w:r>
      <w:r>
        <w:rPr>
          <w:spacing w:val="-11"/>
          <w:sz w:val="22"/>
        </w:rPr>
        <w:t> </w:t>
      </w:r>
      <w:r>
        <w:rPr>
          <w:sz w:val="22"/>
        </w:rPr>
        <w:t>may</w:t>
      </w:r>
      <w:r>
        <w:rPr>
          <w:spacing w:val="-12"/>
          <w:sz w:val="22"/>
        </w:rPr>
        <w:t> </w:t>
      </w:r>
      <w:r>
        <w:rPr>
          <w:sz w:val="22"/>
        </w:rPr>
        <w:t>earn</w:t>
      </w:r>
      <w:r>
        <w:rPr>
          <w:spacing w:val="-12"/>
          <w:sz w:val="22"/>
        </w:rPr>
        <w:t> </w:t>
      </w:r>
      <w:r>
        <w:rPr>
          <w:sz w:val="22"/>
        </w:rPr>
        <w:t>up</w:t>
      </w:r>
      <w:r>
        <w:rPr>
          <w:spacing w:val="-12"/>
          <w:sz w:val="22"/>
        </w:rPr>
        <w:t> </w:t>
      </w:r>
      <w:r>
        <w:rPr>
          <w:sz w:val="22"/>
        </w:rPr>
        <w:t>to</w:t>
      </w:r>
      <w:r>
        <w:rPr>
          <w:spacing w:val="-12"/>
          <w:sz w:val="22"/>
        </w:rPr>
        <w:t> </w:t>
      </w:r>
      <w:r>
        <w:rPr>
          <w:sz w:val="22"/>
        </w:rPr>
        <w:t>five</w:t>
      </w:r>
      <w:r>
        <w:rPr>
          <w:spacing w:val="-11"/>
          <w:sz w:val="22"/>
        </w:rPr>
        <w:t> </w:t>
      </w:r>
      <w:r>
        <w:rPr>
          <w:sz w:val="22"/>
        </w:rPr>
        <w:t>(5)</w:t>
      </w:r>
      <w:r>
        <w:rPr>
          <w:spacing w:val="-11"/>
          <w:sz w:val="22"/>
        </w:rPr>
        <w:t> </w:t>
      </w:r>
      <w:r>
        <w:rPr>
          <w:sz w:val="22"/>
        </w:rPr>
        <w:t>improvement</w:t>
      </w:r>
      <w:r>
        <w:rPr>
          <w:spacing w:val="-9"/>
          <w:sz w:val="22"/>
        </w:rPr>
        <w:t> </w:t>
      </w:r>
      <w:r>
        <w:rPr>
          <w:sz w:val="22"/>
        </w:rPr>
        <w:t>points</w:t>
      </w:r>
      <w:r>
        <w:rPr>
          <w:spacing w:val="-11"/>
          <w:sz w:val="22"/>
        </w:rPr>
        <w:t> </w:t>
      </w:r>
      <w:r>
        <w:rPr>
          <w:sz w:val="22"/>
        </w:rPr>
        <w:t>per</w:t>
      </w:r>
      <w:r>
        <w:rPr>
          <w:spacing w:val="-9"/>
          <w:sz w:val="22"/>
        </w:rPr>
        <w:t> </w:t>
      </w:r>
      <w:r>
        <w:rPr>
          <w:sz w:val="22"/>
        </w:rPr>
        <w:t>measure</w:t>
      </w:r>
      <w:r>
        <w:rPr>
          <w:spacing w:val="-11"/>
          <w:sz w:val="22"/>
        </w:rPr>
        <w:t> </w:t>
      </w:r>
      <w:r>
        <w:rPr>
          <w:sz w:val="22"/>
        </w:rPr>
        <w:t>per</w:t>
      </w:r>
      <w:r>
        <w:rPr>
          <w:spacing w:val="-9"/>
          <w:sz w:val="22"/>
        </w:rPr>
        <w:t> </w:t>
      </w:r>
      <w:r>
        <w:rPr>
          <w:sz w:val="22"/>
        </w:rPr>
        <w:t>year for increases in measure score which </w:t>
      </w:r>
      <w:r>
        <w:rPr>
          <w:sz w:val="22"/>
          <w:u w:val="single"/>
        </w:rPr>
        <w:t>meet or exceed</w:t>
      </w:r>
      <w:r>
        <w:rPr>
          <w:sz w:val="22"/>
        </w:rPr>
        <w:t> the improvement target.</w:t>
      </w:r>
      <w:r>
        <w:rPr>
          <w:spacing w:val="-5"/>
          <w:sz w:val="22"/>
        </w:rPr>
        <w:t> </w:t>
      </w:r>
      <w:r>
        <w:rPr>
          <w:sz w:val="22"/>
        </w:rPr>
        <w:t>The same improvement target is used for every ACO for each measure.</w:t>
      </w:r>
    </w:p>
    <w:p>
      <w:pPr>
        <w:pStyle w:val="BodyText"/>
        <w:rPr>
          <w:sz w:val="20"/>
        </w:rPr>
      </w:pPr>
    </w:p>
    <w:p>
      <w:pPr>
        <w:pStyle w:val="BodyText"/>
        <w:spacing w:before="8"/>
        <w:rPr>
          <w:sz w:val="15"/>
        </w:rPr>
      </w:pPr>
      <w:r>
        <w:rPr/>
        <mc:AlternateContent>
          <mc:Choice Requires="wps">
            <w:drawing>
              <wp:anchor distT="0" distB="0" distL="0" distR="0" allowOverlap="1" layoutInCell="1" locked="0" behindDoc="1" simplePos="0" relativeHeight="488012288">
                <wp:simplePos x="0" y="0"/>
                <wp:positionH relativeFrom="page">
                  <wp:posOffset>842772</wp:posOffset>
                </wp:positionH>
                <wp:positionV relativeFrom="paragraph">
                  <wp:posOffset>133534</wp:posOffset>
                </wp:positionV>
                <wp:extent cx="6087110" cy="673735"/>
                <wp:effectExtent l="0" t="0" r="0" b="0"/>
                <wp:wrapTopAndBottom/>
                <wp:docPr id="891" name="Textbox 891"/>
                <wp:cNvGraphicFramePr>
                  <a:graphicFrameLocks/>
                </wp:cNvGraphicFramePr>
                <a:graphic>
                  <a:graphicData uri="http://schemas.microsoft.com/office/word/2010/wordprocessingShape">
                    <wps:wsp>
                      <wps:cNvPr id="891" name="Textbox 891"/>
                      <wps:cNvSpPr txBox="1"/>
                      <wps:spPr>
                        <a:xfrm>
                          <a:off x="0" y="0"/>
                          <a:ext cx="6087110" cy="673735"/>
                        </a:xfrm>
                        <a:prstGeom prst="rect">
                          <a:avLst/>
                        </a:prstGeom>
                        <a:ln w="6096">
                          <a:solidFill>
                            <a:srgbClr val="000000"/>
                          </a:solidFill>
                          <a:prstDash val="solid"/>
                        </a:ln>
                      </wps:spPr>
                      <wps:txbx>
                        <w:txbxContent>
                          <w:p>
                            <w:pPr>
                              <w:spacing w:before="20"/>
                              <w:ind w:left="107" w:right="103" w:firstLine="0"/>
                              <w:jc w:val="both"/>
                              <w:rPr>
                                <w:i/>
                                <w:sz w:val="22"/>
                              </w:rPr>
                            </w:pPr>
                            <w:r>
                              <w:rPr>
                                <w:i/>
                                <w:sz w:val="22"/>
                              </w:rPr>
                              <w:t>For</w:t>
                            </w:r>
                            <w:r>
                              <w:rPr>
                                <w:i/>
                                <w:spacing w:val="-3"/>
                                <w:sz w:val="22"/>
                              </w:rPr>
                              <w:t> </w:t>
                            </w:r>
                            <w:r>
                              <w:rPr>
                                <w:i/>
                                <w:sz w:val="22"/>
                              </w:rPr>
                              <w:t>example,</w:t>
                            </w:r>
                            <w:r>
                              <w:rPr>
                                <w:i/>
                                <w:spacing w:val="-4"/>
                                <w:sz w:val="22"/>
                              </w:rPr>
                              <w:t> </w:t>
                            </w:r>
                            <w:r>
                              <w:rPr>
                                <w:i/>
                                <w:sz w:val="22"/>
                              </w:rPr>
                              <w:t>for</w:t>
                            </w:r>
                            <w:r>
                              <w:rPr>
                                <w:i/>
                                <w:spacing w:val="-6"/>
                                <w:sz w:val="22"/>
                              </w:rPr>
                              <w:t> </w:t>
                            </w:r>
                            <w:r>
                              <w:rPr>
                                <w:i/>
                                <w:sz w:val="22"/>
                              </w:rPr>
                              <w:t>Measure</w:t>
                            </w:r>
                            <w:r>
                              <w:rPr>
                                <w:i/>
                                <w:spacing w:val="-6"/>
                                <w:sz w:val="22"/>
                              </w:rPr>
                              <w:t> </w:t>
                            </w:r>
                            <w:r>
                              <w:rPr>
                                <w:i/>
                                <w:sz w:val="22"/>
                              </w:rPr>
                              <w:t>B,</w:t>
                            </w:r>
                            <w:r>
                              <w:rPr>
                                <w:i/>
                                <w:spacing w:val="-4"/>
                                <w:sz w:val="22"/>
                              </w:rPr>
                              <w:t> </w:t>
                            </w:r>
                            <w:r>
                              <w:rPr>
                                <w:i/>
                                <w:sz w:val="22"/>
                              </w:rPr>
                              <w:t>the</w:t>
                            </w:r>
                            <w:r>
                              <w:rPr>
                                <w:i/>
                                <w:spacing w:val="-6"/>
                                <w:sz w:val="22"/>
                              </w:rPr>
                              <w:t> </w:t>
                            </w:r>
                            <w:r>
                              <w:rPr>
                                <w:i/>
                                <w:sz w:val="22"/>
                              </w:rPr>
                              <w:t>Improvement</w:t>
                            </w:r>
                            <w:r>
                              <w:rPr>
                                <w:i/>
                                <w:spacing w:val="-5"/>
                                <w:sz w:val="22"/>
                              </w:rPr>
                              <w:t> </w:t>
                            </w:r>
                            <w:r>
                              <w:rPr>
                                <w:i/>
                                <w:sz w:val="22"/>
                              </w:rPr>
                              <w:t>Target</w:t>
                            </w:r>
                            <w:r>
                              <w:rPr>
                                <w:i/>
                                <w:spacing w:val="-5"/>
                                <w:sz w:val="22"/>
                              </w:rPr>
                              <w:t> </w:t>
                            </w:r>
                            <w:r>
                              <w:rPr>
                                <w:i/>
                                <w:sz w:val="22"/>
                              </w:rPr>
                              <w:t>is</w:t>
                            </w:r>
                            <w:r>
                              <w:rPr>
                                <w:i/>
                                <w:spacing w:val="-3"/>
                                <w:sz w:val="22"/>
                              </w:rPr>
                              <w:t> </w:t>
                            </w:r>
                            <w:r>
                              <w:rPr>
                                <w:i/>
                                <w:sz w:val="22"/>
                              </w:rPr>
                              <w:t>2.0%.</w:t>
                            </w:r>
                            <w:r>
                              <w:rPr>
                                <w:i/>
                                <w:spacing w:val="-4"/>
                                <w:sz w:val="22"/>
                              </w:rPr>
                              <w:t> </w:t>
                            </w:r>
                            <w:r>
                              <w:rPr>
                                <w:i/>
                                <w:sz w:val="22"/>
                              </w:rPr>
                              <w:t>If</w:t>
                            </w:r>
                            <w:r>
                              <w:rPr>
                                <w:i/>
                                <w:spacing w:val="-3"/>
                                <w:sz w:val="22"/>
                              </w:rPr>
                              <w:t> </w:t>
                            </w:r>
                            <w:r>
                              <w:rPr>
                                <w:i/>
                                <w:sz w:val="22"/>
                              </w:rPr>
                              <w:t>ACO</w:t>
                            </w:r>
                            <w:r>
                              <w:rPr>
                                <w:i/>
                                <w:spacing w:val="-5"/>
                                <w:sz w:val="22"/>
                              </w:rPr>
                              <w:t> </w:t>
                            </w:r>
                            <w:r>
                              <w:rPr>
                                <w:i/>
                                <w:sz w:val="22"/>
                              </w:rPr>
                              <w:t>performance</w:t>
                            </w:r>
                            <w:r>
                              <w:rPr>
                                <w:i/>
                                <w:spacing w:val="-6"/>
                                <w:sz w:val="22"/>
                              </w:rPr>
                              <w:t> </w:t>
                            </w:r>
                            <w:r>
                              <w:rPr>
                                <w:i/>
                                <w:sz w:val="22"/>
                              </w:rPr>
                              <w:t>in</w:t>
                            </w:r>
                            <w:r>
                              <w:rPr>
                                <w:i/>
                                <w:spacing w:val="-4"/>
                                <w:sz w:val="22"/>
                              </w:rPr>
                              <w:t> </w:t>
                            </w:r>
                            <w:r>
                              <w:rPr>
                                <w:i/>
                                <w:sz w:val="22"/>
                              </w:rPr>
                              <w:t>BP4</w:t>
                            </w:r>
                            <w:r>
                              <w:rPr>
                                <w:i/>
                                <w:spacing w:val="-6"/>
                                <w:sz w:val="22"/>
                              </w:rPr>
                              <w:t> </w:t>
                            </w:r>
                            <w:r>
                              <w:rPr>
                                <w:i/>
                                <w:sz w:val="22"/>
                              </w:rPr>
                              <w:t>is</w:t>
                            </w:r>
                            <w:r>
                              <w:rPr>
                                <w:i/>
                                <w:spacing w:val="-6"/>
                                <w:sz w:val="22"/>
                              </w:rPr>
                              <w:t> </w:t>
                            </w:r>
                            <w:r>
                              <w:rPr>
                                <w:i/>
                                <w:sz w:val="22"/>
                              </w:rPr>
                              <w:t>54.0%</w:t>
                            </w:r>
                            <w:r>
                              <w:rPr>
                                <w:i/>
                                <w:spacing w:val="-12"/>
                                <w:sz w:val="22"/>
                              </w:rPr>
                              <w:t> </w:t>
                            </w:r>
                            <w:r>
                              <w:rPr>
                                <w:i/>
                                <w:sz w:val="22"/>
                              </w:rPr>
                              <w:t>and</w:t>
                            </w:r>
                            <w:r>
                              <w:rPr>
                                <w:i/>
                                <w:spacing w:val="-4"/>
                                <w:sz w:val="22"/>
                              </w:rPr>
                              <w:t> </w:t>
                            </w:r>
                            <w:r>
                              <w:rPr>
                                <w:i/>
                                <w:sz w:val="22"/>
                              </w:rPr>
                              <w:t>if</w:t>
                            </w:r>
                            <w:r>
                              <w:rPr>
                                <w:i/>
                                <w:sz w:val="22"/>
                              </w:rPr>
                              <w:t> ACO</w:t>
                            </w:r>
                            <w:r>
                              <w:rPr>
                                <w:i/>
                                <w:spacing w:val="-5"/>
                                <w:sz w:val="22"/>
                              </w:rPr>
                              <w:t> </w:t>
                            </w:r>
                            <w:r>
                              <w:rPr>
                                <w:i/>
                                <w:sz w:val="22"/>
                              </w:rPr>
                              <w:t>performance</w:t>
                            </w:r>
                            <w:r>
                              <w:rPr>
                                <w:i/>
                                <w:spacing w:val="-3"/>
                                <w:sz w:val="22"/>
                              </w:rPr>
                              <w:t> </w:t>
                            </w:r>
                            <w:r>
                              <w:rPr>
                                <w:i/>
                                <w:sz w:val="22"/>
                              </w:rPr>
                              <w:t>in</w:t>
                            </w:r>
                            <w:r>
                              <w:rPr>
                                <w:i/>
                                <w:spacing w:val="-4"/>
                                <w:sz w:val="22"/>
                              </w:rPr>
                              <w:t> </w:t>
                            </w:r>
                            <w:r>
                              <w:rPr>
                                <w:i/>
                                <w:sz w:val="22"/>
                              </w:rPr>
                              <w:t>BP5</w:t>
                            </w:r>
                            <w:r>
                              <w:rPr>
                                <w:i/>
                                <w:spacing w:val="-4"/>
                                <w:sz w:val="22"/>
                              </w:rPr>
                              <w:t> </w:t>
                            </w:r>
                            <w:r>
                              <w:rPr>
                                <w:i/>
                                <w:sz w:val="22"/>
                              </w:rPr>
                              <w:t>is</w:t>
                            </w:r>
                            <w:r>
                              <w:rPr>
                                <w:i/>
                                <w:spacing w:val="-3"/>
                                <w:sz w:val="22"/>
                              </w:rPr>
                              <w:t> </w:t>
                            </w:r>
                            <w:r>
                              <w:rPr>
                                <w:i/>
                                <w:sz w:val="22"/>
                              </w:rPr>
                              <w:t>60.0%,</w:t>
                            </w:r>
                            <w:r>
                              <w:rPr>
                                <w:i/>
                                <w:spacing w:val="-4"/>
                                <w:sz w:val="22"/>
                              </w:rPr>
                              <w:t> </w:t>
                            </w:r>
                            <w:r>
                              <w:rPr>
                                <w:i/>
                                <w:sz w:val="22"/>
                              </w:rPr>
                              <w:t>the</w:t>
                            </w:r>
                            <w:r>
                              <w:rPr>
                                <w:i/>
                                <w:spacing w:val="-3"/>
                                <w:sz w:val="22"/>
                              </w:rPr>
                              <w:t> </w:t>
                            </w:r>
                            <w:r>
                              <w:rPr>
                                <w:i/>
                                <w:sz w:val="22"/>
                              </w:rPr>
                              <w:t>ACO</w:t>
                            </w:r>
                            <w:r>
                              <w:rPr>
                                <w:i/>
                                <w:spacing w:val="-5"/>
                                <w:sz w:val="22"/>
                              </w:rPr>
                              <w:t> </w:t>
                            </w:r>
                            <w:r>
                              <w:rPr>
                                <w:i/>
                                <w:sz w:val="22"/>
                              </w:rPr>
                              <w:t>improvement</w:t>
                            </w:r>
                            <w:r>
                              <w:rPr>
                                <w:i/>
                                <w:spacing w:val="-3"/>
                                <w:sz w:val="22"/>
                              </w:rPr>
                              <w:t> </w:t>
                            </w:r>
                            <w:r>
                              <w:rPr>
                                <w:i/>
                                <w:sz w:val="22"/>
                              </w:rPr>
                              <w:t>from</w:t>
                            </w:r>
                            <w:r>
                              <w:rPr>
                                <w:i/>
                                <w:spacing w:val="-5"/>
                                <w:sz w:val="22"/>
                              </w:rPr>
                              <w:t> </w:t>
                            </w:r>
                            <w:r>
                              <w:rPr>
                                <w:i/>
                                <w:sz w:val="22"/>
                              </w:rPr>
                              <w:t>BP4</w:t>
                            </w:r>
                            <w:r>
                              <w:rPr>
                                <w:i/>
                                <w:spacing w:val="-4"/>
                                <w:sz w:val="22"/>
                              </w:rPr>
                              <w:t> </w:t>
                            </w:r>
                            <w:r>
                              <w:rPr>
                                <w:i/>
                                <w:sz w:val="22"/>
                              </w:rPr>
                              <w:t>to</w:t>
                            </w:r>
                            <w:r>
                              <w:rPr>
                                <w:i/>
                                <w:spacing w:val="-4"/>
                                <w:sz w:val="22"/>
                              </w:rPr>
                              <w:t> </w:t>
                            </w:r>
                            <w:r>
                              <w:rPr>
                                <w:i/>
                                <w:sz w:val="22"/>
                              </w:rPr>
                              <w:t>BP5</w:t>
                            </w:r>
                            <w:r>
                              <w:rPr>
                                <w:i/>
                                <w:spacing w:val="-4"/>
                                <w:sz w:val="22"/>
                              </w:rPr>
                              <w:t> </w:t>
                            </w:r>
                            <w:r>
                              <w:rPr>
                                <w:i/>
                                <w:sz w:val="22"/>
                              </w:rPr>
                              <w:t>is</w:t>
                            </w:r>
                            <w:r>
                              <w:rPr>
                                <w:i/>
                                <w:spacing w:val="-3"/>
                                <w:sz w:val="22"/>
                              </w:rPr>
                              <w:t> </w:t>
                            </w:r>
                            <w:r>
                              <w:rPr>
                                <w:i/>
                                <w:sz w:val="22"/>
                              </w:rPr>
                              <w:t>6.0%</w:t>
                            </w:r>
                            <w:r>
                              <w:rPr>
                                <w:i/>
                                <w:spacing w:val="-10"/>
                                <w:sz w:val="22"/>
                              </w:rPr>
                              <w:t> </w:t>
                            </w:r>
                            <w:r>
                              <w:rPr>
                                <w:i/>
                                <w:sz w:val="22"/>
                              </w:rPr>
                              <w:t>[(60.0-54.0)] and</w:t>
                            </w:r>
                            <w:r>
                              <w:rPr>
                                <w:i/>
                                <w:spacing w:val="-4"/>
                                <w:sz w:val="22"/>
                              </w:rPr>
                              <w:t> </w:t>
                            </w:r>
                            <w:r>
                              <w:rPr>
                                <w:i/>
                                <w:sz w:val="22"/>
                              </w:rPr>
                              <w:t>the ACO is awarded 5 improvement points.</w:t>
                            </w:r>
                            <w:r>
                              <w:rPr>
                                <w:i/>
                                <w:spacing w:val="40"/>
                                <w:sz w:val="22"/>
                              </w:rPr>
                              <w:t> </w:t>
                            </w:r>
                            <w:r>
                              <w:rPr>
                                <w:i/>
                                <w:sz w:val="22"/>
                              </w:rPr>
                              <w:t>No points above 5 are awarded for increases in excess of the improvement target.</w:t>
                            </w:r>
                          </w:p>
                        </w:txbxContent>
                      </wps:txbx>
                      <wps:bodyPr wrap="square" lIns="0" tIns="0" rIns="0" bIns="0" rtlCol="0">
                        <a:noAutofit/>
                      </wps:bodyPr>
                    </wps:wsp>
                  </a:graphicData>
                </a:graphic>
              </wp:anchor>
            </w:drawing>
          </mc:Choice>
          <mc:Fallback>
            <w:pict>
              <v:shape style="position:absolute;margin-left:66.360001pt;margin-top:10.514492pt;width:479.3pt;height:53.05pt;mso-position-horizontal-relative:page;mso-position-vertical-relative:paragraph;z-index:-15304192;mso-wrap-distance-left:0;mso-wrap-distance-right:0" type="#_x0000_t202" id="docshape108" filled="false" stroked="true" strokeweight=".48pt" strokecolor="#000000">
                <v:textbox inset="0,0,0,0">
                  <w:txbxContent>
                    <w:p>
                      <w:pPr>
                        <w:spacing w:before="20"/>
                        <w:ind w:left="107" w:right="103" w:firstLine="0"/>
                        <w:jc w:val="both"/>
                        <w:rPr>
                          <w:i/>
                          <w:sz w:val="22"/>
                        </w:rPr>
                      </w:pPr>
                      <w:r>
                        <w:rPr>
                          <w:i/>
                          <w:sz w:val="22"/>
                        </w:rPr>
                        <w:t>For</w:t>
                      </w:r>
                      <w:r>
                        <w:rPr>
                          <w:i/>
                          <w:spacing w:val="-3"/>
                          <w:sz w:val="22"/>
                        </w:rPr>
                        <w:t> </w:t>
                      </w:r>
                      <w:r>
                        <w:rPr>
                          <w:i/>
                          <w:sz w:val="22"/>
                        </w:rPr>
                        <w:t>example,</w:t>
                      </w:r>
                      <w:r>
                        <w:rPr>
                          <w:i/>
                          <w:spacing w:val="-4"/>
                          <w:sz w:val="22"/>
                        </w:rPr>
                        <w:t> </w:t>
                      </w:r>
                      <w:r>
                        <w:rPr>
                          <w:i/>
                          <w:sz w:val="22"/>
                        </w:rPr>
                        <w:t>for</w:t>
                      </w:r>
                      <w:r>
                        <w:rPr>
                          <w:i/>
                          <w:spacing w:val="-6"/>
                          <w:sz w:val="22"/>
                        </w:rPr>
                        <w:t> </w:t>
                      </w:r>
                      <w:r>
                        <w:rPr>
                          <w:i/>
                          <w:sz w:val="22"/>
                        </w:rPr>
                        <w:t>Measure</w:t>
                      </w:r>
                      <w:r>
                        <w:rPr>
                          <w:i/>
                          <w:spacing w:val="-6"/>
                          <w:sz w:val="22"/>
                        </w:rPr>
                        <w:t> </w:t>
                      </w:r>
                      <w:r>
                        <w:rPr>
                          <w:i/>
                          <w:sz w:val="22"/>
                        </w:rPr>
                        <w:t>B,</w:t>
                      </w:r>
                      <w:r>
                        <w:rPr>
                          <w:i/>
                          <w:spacing w:val="-4"/>
                          <w:sz w:val="22"/>
                        </w:rPr>
                        <w:t> </w:t>
                      </w:r>
                      <w:r>
                        <w:rPr>
                          <w:i/>
                          <w:sz w:val="22"/>
                        </w:rPr>
                        <w:t>the</w:t>
                      </w:r>
                      <w:r>
                        <w:rPr>
                          <w:i/>
                          <w:spacing w:val="-6"/>
                          <w:sz w:val="22"/>
                        </w:rPr>
                        <w:t> </w:t>
                      </w:r>
                      <w:r>
                        <w:rPr>
                          <w:i/>
                          <w:sz w:val="22"/>
                        </w:rPr>
                        <w:t>Improvement</w:t>
                      </w:r>
                      <w:r>
                        <w:rPr>
                          <w:i/>
                          <w:spacing w:val="-5"/>
                          <w:sz w:val="22"/>
                        </w:rPr>
                        <w:t> </w:t>
                      </w:r>
                      <w:r>
                        <w:rPr>
                          <w:i/>
                          <w:sz w:val="22"/>
                        </w:rPr>
                        <w:t>Target</w:t>
                      </w:r>
                      <w:r>
                        <w:rPr>
                          <w:i/>
                          <w:spacing w:val="-5"/>
                          <w:sz w:val="22"/>
                        </w:rPr>
                        <w:t> </w:t>
                      </w:r>
                      <w:r>
                        <w:rPr>
                          <w:i/>
                          <w:sz w:val="22"/>
                        </w:rPr>
                        <w:t>is</w:t>
                      </w:r>
                      <w:r>
                        <w:rPr>
                          <w:i/>
                          <w:spacing w:val="-3"/>
                          <w:sz w:val="22"/>
                        </w:rPr>
                        <w:t> </w:t>
                      </w:r>
                      <w:r>
                        <w:rPr>
                          <w:i/>
                          <w:sz w:val="22"/>
                        </w:rPr>
                        <w:t>2.0%.</w:t>
                      </w:r>
                      <w:r>
                        <w:rPr>
                          <w:i/>
                          <w:spacing w:val="-4"/>
                          <w:sz w:val="22"/>
                        </w:rPr>
                        <w:t> </w:t>
                      </w:r>
                      <w:r>
                        <w:rPr>
                          <w:i/>
                          <w:sz w:val="22"/>
                        </w:rPr>
                        <w:t>If</w:t>
                      </w:r>
                      <w:r>
                        <w:rPr>
                          <w:i/>
                          <w:spacing w:val="-3"/>
                          <w:sz w:val="22"/>
                        </w:rPr>
                        <w:t> </w:t>
                      </w:r>
                      <w:r>
                        <w:rPr>
                          <w:i/>
                          <w:sz w:val="22"/>
                        </w:rPr>
                        <w:t>ACO</w:t>
                      </w:r>
                      <w:r>
                        <w:rPr>
                          <w:i/>
                          <w:spacing w:val="-5"/>
                          <w:sz w:val="22"/>
                        </w:rPr>
                        <w:t> </w:t>
                      </w:r>
                      <w:r>
                        <w:rPr>
                          <w:i/>
                          <w:sz w:val="22"/>
                        </w:rPr>
                        <w:t>performance</w:t>
                      </w:r>
                      <w:r>
                        <w:rPr>
                          <w:i/>
                          <w:spacing w:val="-6"/>
                          <w:sz w:val="22"/>
                        </w:rPr>
                        <w:t> </w:t>
                      </w:r>
                      <w:r>
                        <w:rPr>
                          <w:i/>
                          <w:sz w:val="22"/>
                        </w:rPr>
                        <w:t>in</w:t>
                      </w:r>
                      <w:r>
                        <w:rPr>
                          <w:i/>
                          <w:spacing w:val="-4"/>
                          <w:sz w:val="22"/>
                        </w:rPr>
                        <w:t> </w:t>
                      </w:r>
                      <w:r>
                        <w:rPr>
                          <w:i/>
                          <w:sz w:val="22"/>
                        </w:rPr>
                        <w:t>BP4</w:t>
                      </w:r>
                      <w:r>
                        <w:rPr>
                          <w:i/>
                          <w:spacing w:val="-6"/>
                          <w:sz w:val="22"/>
                        </w:rPr>
                        <w:t> </w:t>
                      </w:r>
                      <w:r>
                        <w:rPr>
                          <w:i/>
                          <w:sz w:val="22"/>
                        </w:rPr>
                        <w:t>is</w:t>
                      </w:r>
                      <w:r>
                        <w:rPr>
                          <w:i/>
                          <w:spacing w:val="-6"/>
                          <w:sz w:val="22"/>
                        </w:rPr>
                        <w:t> </w:t>
                      </w:r>
                      <w:r>
                        <w:rPr>
                          <w:i/>
                          <w:sz w:val="22"/>
                        </w:rPr>
                        <w:t>54.0%</w:t>
                      </w:r>
                      <w:r>
                        <w:rPr>
                          <w:i/>
                          <w:spacing w:val="-12"/>
                          <w:sz w:val="22"/>
                        </w:rPr>
                        <w:t> </w:t>
                      </w:r>
                      <w:r>
                        <w:rPr>
                          <w:i/>
                          <w:sz w:val="22"/>
                        </w:rPr>
                        <w:t>and</w:t>
                      </w:r>
                      <w:r>
                        <w:rPr>
                          <w:i/>
                          <w:spacing w:val="-4"/>
                          <w:sz w:val="22"/>
                        </w:rPr>
                        <w:t> </w:t>
                      </w:r>
                      <w:r>
                        <w:rPr>
                          <w:i/>
                          <w:sz w:val="22"/>
                        </w:rPr>
                        <w:t>if</w:t>
                      </w:r>
                      <w:r>
                        <w:rPr>
                          <w:i/>
                          <w:sz w:val="22"/>
                        </w:rPr>
                        <w:t> ACO</w:t>
                      </w:r>
                      <w:r>
                        <w:rPr>
                          <w:i/>
                          <w:spacing w:val="-5"/>
                          <w:sz w:val="22"/>
                        </w:rPr>
                        <w:t> </w:t>
                      </w:r>
                      <w:r>
                        <w:rPr>
                          <w:i/>
                          <w:sz w:val="22"/>
                        </w:rPr>
                        <w:t>performance</w:t>
                      </w:r>
                      <w:r>
                        <w:rPr>
                          <w:i/>
                          <w:spacing w:val="-3"/>
                          <w:sz w:val="22"/>
                        </w:rPr>
                        <w:t> </w:t>
                      </w:r>
                      <w:r>
                        <w:rPr>
                          <w:i/>
                          <w:sz w:val="22"/>
                        </w:rPr>
                        <w:t>in</w:t>
                      </w:r>
                      <w:r>
                        <w:rPr>
                          <w:i/>
                          <w:spacing w:val="-4"/>
                          <w:sz w:val="22"/>
                        </w:rPr>
                        <w:t> </w:t>
                      </w:r>
                      <w:r>
                        <w:rPr>
                          <w:i/>
                          <w:sz w:val="22"/>
                        </w:rPr>
                        <w:t>BP5</w:t>
                      </w:r>
                      <w:r>
                        <w:rPr>
                          <w:i/>
                          <w:spacing w:val="-4"/>
                          <w:sz w:val="22"/>
                        </w:rPr>
                        <w:t> </w:t>
                      </w:r>
                      <w:r>
                        <w:rPr>
                          <w:i/>
                          <w:sz w:val="22"/>
                        </w:rPr>
                        <w:t>is</w:t>
                      </w:r>
                      <w:r>
                        <w:rPr>
                          <w:i/>
                          <w:spacing w:val="-3"/>
                          <w:sz w:val="22"/>
                        </w:rPr>
                        <w:t> </w:t>
                      </w:r>
                      <w:r>
                        <w:rPr>
                          <w:i/>
                          <w:sz w:val="22"/>
                        </w:rPr>
                        <w:t>60.0%,</w:t>
                      </w:r>
                      <w:r>
                        <w:rPr>
                          <w:i/>
                          <w:spacing w:val="-4"/>
                          <w:sz w:val="22"/>
                        </w:rPr>
                        <w:t> </w:t>
                      </w:r>
                      <w:r>
                        <w:rPr>
                          <w:i/>
                          <w:sz w:val="22"/>
                        </w:rPr>
                        <w:t>the</w:t>
                      </w:r>
                      <w:r>
                        <w:rPr>
                          <w:i/>
                          <w:spacing w:val="-3"/>
                          <w:sz w:val="22"/>
                        </w:rPr>
                        <w:t> </w:t>
                      </w:r>
                      <w:r>
                        <w:rPr>
                          <w:i/>
                          <w:sz w:val="22"/>
                        </w:rPr>
                        <w:t>ACO</w:t>
                      </w:r>
                      <w:r>
                        <w:rPr>
                          <w:i/>
                          <w:spacing w:val="-5"/>
                          <w:sz w:val="22"/>
                        </w:rPr>
                        <w:t> </w:t>
                      </w:r>
                      <w:r>
                        <w:rPr>
                          <w:i/>
                          <w:sz w:val="22"/>
                        </w:rPr>
                        <w:t>improvement</w:t>
                      </w:r>
                      <w:r>
                        <w:rPr>
                          <w:i/>
                          <w:spacing w:val="-3"/>
                          <w:sz w:val="22"/>
                        </w:rPr>
                        <w:t> </w:t>
                      </w:r>
                      <w:r>
                        <w:rPr>
                          <w:i/>
                          <w:sz w:val="22"/>
                        </w:rPr>
                        <w:t>from</w:t>
                      </w:r>
                      <w:r>
                        <w:rPr>
                          <w:i/>
                          <w:spacing w:val="-5"/>
                          <w:sz w:val="22"/>
                        </w:rPr>
                        <w:t> </w:t>
                      </w:r>
                      <w:r>
                        <w:rPr>
                          <w:i/>
                          <w:sz w:val="22"/>
                        </w:rPr>
                        <w:t>BP4</w:t>
                      </w:r>
                      <w:r>
                        <w:rPr>
                          <w:i/>
                          <w:spacing w:val="-4"/>
                          <w:sz w:val="22"/>
                        </w:rPr>
                        <w:t> </w:t>
                      </w:r>
                      <w:r>
                        <w:rPr>
                          <w:i/>
                          <w:sz w:val="22"/>
                        </w:rPr>
                        <w:t>to</w:t>
                      </w:r>
                      <w:r>
                        <w:rPr>
                          <w:i/>
                          <w:spacing w:val="-4"/>
                          <w:sz w:val="22"/>
                        </w:rPr>
                        <w:t> </w:t>
                      </w:r>
                      <w:r>
                        <w:rPr>
                          <w:i/>
                          <w:sz w:val="22"/>
                        </w:rPr>
                        <w:t>BP5</w:t>
                      </w:r>
                      <w:r>
                        <w:rPr>
                          <w:i/>
                          <w:spacing w:val="-4"/>
                          <w:sz w:val="22"/>
                        </w:rPr>
                        <w:t> </w:t>
                      </w:r>
                      <w:r>
                        <w:rPr>
                          <w:i/>
                          <w:sz w:val="22"/>
                        </w:rPr>
                        <w:t>is</w:t>
                      </w:r>
                      <w:r>
                        <w:rPr>
                          <w:i/>
                          <w:spacing w:val="-3"/>
                          <w:sz w:val="22"/>
                        </w:rPr>
                        <w:t> </w:t>
                      </w:r>
                      <w:r>
                        <w:rPr>
                          <w:i/>
                          <w:sz w:val="22"/>
                        </w:rPr>
                        <w:t>6.0%</w:t>
                      </w:r>
                      <w:r>
                        <w:rPr>
                          <w:i/>
                          <w:spacing w:val="-10"/>
                          <w:sz w:val="22"/>
                        </w:rPr>
                        <w:t> </w:t>
                      </w:r>
                      <w:r>
                        <w:rPr>
                          <w:i/>
                          <w:sz w:val="22"/>
                        </w:rPr>
                        <w:t>[(60.0-54.0)] and</w:t>
                      </w:r>
                      <w:r>
                        <w:rPr>
                          <w:i/>
                          <w:spacing w:val="-4"/>
                          <w:sz w:val="22"/>
                        </w:rPr>
                        <w:t> </w:t>
                      </w:r>
                      <w:r>
                        <w:rPr>
                          <w:i/>
                          <w:sz w:val="22"/>
                        </w:rPr>
                        <w:t>the ACO is awarded 5 improvement points.</w:t>
                      </w:r>
                      <w:r>
                        <w:rPr>
                          <w:i/>
                          <w:spacing w:val="40"/>
                          <w:sz w:val="22"/>
                        </w:rPr>
                        <w:t> </w:t>
                      </w:r>
                      <w:r>
                        <w:rPr>
                          <w:i/>
                          <w:sz w:val="22"/>
                        </w:rPr>
                        <w:t>No points above 5 are awarded for increases in excess of the improvement target.</w:t>
                      </w:r>
                    </w:p>
                  </w:txbxContent>
                </v:textbox>
                <v:stroke dashstyle="solid"/>
                <w10:wrap type="topAndBottom"/>
              </v:shape>
            </w:pict>
          </mc:Fallback>
        </mc:AlternateContent>
      </w:r>
    </w:p>
    <w:p>
      <w:pPr>
        <w:pStyle w:val="BodyText"/>
        <w:spacing w:before="3"/>
        <w:rPr>
          <w:sz w:val="6"/>
        </w:rPr>
      </w:pPr>
    </w:p>
    <w:p>
      <w:pPr>
        <w:pStyle w:val="ListParagraph"/>
        <w:numPr>
          <w:ilvl w:val="1"/>
          <w:numId w:val="85"/>
        </w:numPr>
        <w:tabs>
          <w:tab w:pos="2659" w:val="left" w:leader="none"/>
        </w:tabs>
        <w:spacing w:line="240" w:lineRule="auto" w:before="92" w:after="0"/>
        <w:ind w:left="2659" w:right="1099" w:hanging="360"/>
        <w:jc w:val="both"/>
        <w:rPr>
          <w:sz w:val="22"/>
        </w:rPr>
      </w:pPr>
      <w:r>
        <w:rPr>
          <w:sz w:val="22"/>
        </w:rPr>
        <w:t>For</w:t>
      </w:r>
      <w:r>
        <w:rPr>
          <w:spacing w:val="-7"/>
          <w:sz w:val="22"/>
        </w:rPr>
        <w:t> </w:t>
      </w:r>
      <w:r>
        <w:rPr>
          <w:sz w:val="22"/>
        </w:rPr>
        <w:t>the</w:t>
      </w:r>
      <w:r>
        <w:rPr>
          <w:spacing w:val="-8"/>
          <w:sz w:val="22"/>
        </w:rPr>
        <w:t> </w:t>
      </w:r>
      <w:r>
        <w:rPr>
          <w:sz w:val="22"/>
        </w:rPr>
        <w:t>purposes</w:t>
      </w:r>
      <w:r>
        <w:rPr>
          <w:spacing w:val="-8"/>
          <w:sz w:val="22"/>
        </w:rPr>
        <w:t> </w:t>
      </w:r>
      <w:r>
        <w:rPr>
          <w:sz w:val="22"/>
        </w:rPr>
        <w:t>of</w:t>
      </w:r>
      <w:r>
        <w:rPr>
          <w:spacing w:val="-7"/>
          <w:sz w:val="22"/>
        </w:rPr>
        <w:t> </w:t>
      </w:r>
      <w:r>
        <w:rPr>
          <w:sz w:val="22"/>
        </w:rPr>
        <w:t>calculating</w:t>
      </w:r>
      <w:r>
        <w:rPr>
          <w:spacing w:val="-11"/>
          <w:sz w:val="22"/>
        </w:rPr>
        <w:t> </w:t>
      </w:r>
      <w:r>
        <w:rPr>
          <w:sz w:val="22"/>
        </w:rPr>
        <w:t>the</w:t>
      </w:r>
      <w:r>
        <w:rPr>
          <w:spacing w:val="-8"/>
          <w:sz w:val="22"/>
        </w:rPr>
        <w:t> </w:t>
      </w:r>
      <w:r>
        <w:rPr>
          <w:sz w:val="22"/>
        </w:rPr>
        <w:t>difference</w:t>
      </w:r>
      <w:r>
        <w:rPr>
          <w:spacing w:val="-8"/>
          <w:sz w:val="22"/>
        </w:rPr>
        <w:t> </w:t>
      </w:r>
      <w:r>
        <w:rPr>
          <w:sz w:val="22"/>
        </w:rPr>
        <w:t>in</w:t>
      </w:r>
      <w:r>
        <w:rPr>
          <w:spacing w:val="-8"/>
          <w:sz w:val="22"/>
        </w:rPr>
        <w:t> </w:t>
      </w:r>
      <w:r>
        <w:rPr>
          <w:sz w:val="22"/>
        </w:rPr>
        <w:t>ACO</w:t>
      </w:r>
      <w:r>
        <w:rPr>
          <w:spacing w:val="-9"/>
          <w:sz w:val="22"/>
        </w:rPr>
        <w:t> </w:t>
      </w:r>
      <w:r>
        <w:rPr>
          <w:sz w:val="22"/>
        </w:rPr>
        <w:t>quality</w:t>
      </w:r>
      <w:r>
        <w:rPr>
          <w:spacing w:val="-11"/>
          <w:sz w:val="22"/>
        </w:rPr>
        <w:t> </w:t>
      </w:r>
      <w:r>
        <w:rPr>
          <w:sz w:val="22"/>
        </w:rPr>
        <w:t>performance</w:t>
      </w:r>
      <w:r>
        <w:rPr>
          <w:spacing w:val="-10"/>
          <w:sz w:val="22"/>
        </w:rPr>
        <w:t> </w:t>
      </w:r>
      <w:r>
        <w:rPr>
          <w:sz w:val="22"/>
        </w:rPr>
        <w:t>over</w:t>
      </w:r>
      <w:r>
        <w:rPr>
          <w:spacing w:val="-7"/>
          <w:sz w:val="22"/>
        </w:rPr>
        <w:t> </w:t>
      </w:r>
      <w:r>
        <w:rPr>
          <w:sz w:val="22"/>
        </w:rPr>
        <w:t>a</w:t>
      </w:r>
      <w:r>
        <w:rPr>
          <w:spacing w:val="-8"/>
          <w:sz w:val="22"/>
        </w:rPr>
        <w:t> </w:t>
      </w:r>
      <w:r>
        <w:rPr>
          <w:sz w:val="22"/>
        </w:rPr>
        <w:t>previous year, the results are rounded to the nearest tenth (i.e., one decimal point). Rounding takes place after the calculation.</w:t>
      </w:r>
    </w:p>
    <w:p>
      <w:pPr>
        <w:pStyle w:val="BodyText"/>
        <w:spacing w:before="1"/>
        <w:rPr>
          <w:sz w:val="20"/>
        </w:rPr>
      </w:pPr>
      <w:r>
        <w:rPr/>
        <mc:AlternateContent>
          <mc:Choice Requires="wps">
            <w:drawing>
              <wp:anchor distT="0" distB="0" distL="0" distR="0" allowOverlap="1" layoutInCell="1" locked="0" behindDoc="1" simplePos="0" relativeHeight="488012800">
                <wp:simplePos x="0" y="0"/>
                <wp:positionH relativeFrom="page">
                  <wp:posOffset>842772</wp:posOffset>
                </wp:positionH>
                <wp:positionV relativeFrom="paragraph">
                  <wp:posOffset>165277</wp:posOffset>
                </wp:positionV>
                <wp:extent cx="6087110" cy="513715"/>
                <wp:effectExtent l="0" t="0" r="0" b="0"/>
                <wp:wrapTopAndBottom/>
                <wp:docPr id="892" name="Textbox 892"/>
                <wp:cNvGraphicFramePr>
                  <a:graphicFrameLocks/>
                </wp:cNvGraphicFramePr>
                <a:graphic>
                  <a:graphicData uri="http://schemas.microsoft.com/office/word/2010/wordprocessingShape">
                    <wps:wsp>
                      <wps:cNvPr id="892" name="Textbox 892"/>
                      <wps:cNvSpPr txBox="1"/>
                      <wps:spPr>
                        <a:xfrm>
                          <a:off x="0" y="0"/>
                          <a:ext cx="6087110" cy="513715"/>
                        </a:xfrm>
                        <a:prstGeom prst="rect">
                          <a:avLst/>
                        </a:prstGeom>
                        <a:ln w="6096">
                          <a:solidFill>
                            <a:srgbClr val="000000"/>
                          </a:solidFill>
                          <a:prstDash val="solid"/>
                        </a:ln>
                      </wps:spPr>
                      <wps:txbx>
                        <w:txbxContent>
                          <w:p>
                            <w:pPr>
                              <w:spacing w:before="20"/>
                              <w:ind w:left="107" w:right="104" w:firstLine="0"/>
                              <w:jc w:val="both"/>
                              <w:rPr>
                                <w:i/>
                                <w:sz w:val="22"/>
                              </w:rPr>
                            </w:pPr>
                            <w:r>
                              <w:rPr>
                                <w:i/>
                                <w:sz w:val="22"/>
                              </w:rPr>
                              <w:t>For example, for Measure B, if ACO performance in BP4 is 54.54% and if ACO performance in BP5 is</w:t>
                            </w:r>
                            <w:r>
                              <w:rPr>
                                <w:i/>
                                <w:sz w:val="22"/>
                              </w:rPr>
                              <w:t> 60.17%,</w:t>
                            </w:r>
                            <w:r>
                              <w:rPr>
                                <w:i/>
                                <w:spacing w:val="-6"/>
                                <w:sz w:val="22"/>
                              </w:rPr>
                              <w:t> </w:t>
                            </w:r>
                            <w:r>
                              <w:rPr>
                                <w:i/>
                                <w:sz w:val="22"/>
                              </w:rPr>
                              <w:t>the</w:t>
                            </w:r>
                            <w:r>
                              <w:rPr>
                                <w:i/>
                                <w:spacing w:val="-6"/>
                                <w:sz w:val="22"/>
                              </w:rPr>
                              <w:t> </w:t>
                            </w:r>
                            <w:r>
                              <w:rPr>
                                <w:i/>
                                <w:sz w:val="22"/>
                              </w:rPr>
                              <w:t>ACO</w:t>
                            </w:r>
                            <w:r>
                              <w:rPr>
                                <w:i/>
                                <w:spacing w:val="-7"/>
                                <w:sz w:val="22"/>
                              </w:rPr>
                              <w:t> </w:t>
                            </w:r>
                            <w:r>
                              <w:rPr>
                                <w:i/>
                                <w:sz w:val="22"/>
                              </w:rPr>
                              <w:t>improvement</w:t>
                            </w:r>
                            <w:r>
                              <w:rPr>
                                <w:i/>
                                <w:spacing w:val="-5"/>
                                <w:sz w:val="22"/>
                              </w:rPr>
                              <w:t> </w:t>
                            </w:r>
                            <w:r>
                              <w:rPr>
                                <w:i/>
                                <w:sz w:val="22"/>
                              </w:rPr>
                              <w:t>from</w:t>
                            </w:r>
                            <w:r>
                              <w:rPr>
                                <w:i/>
                                <w:spacing w:val="-7"/>
                                <w:sz w:val="22"/>
                              </w:rPr>
                              <w:t> </w:t>
                            </w:r>
                            <w:r>
                              <w:rPr>
                                <w:i/>
                                <w:sz w:val="22"/>
                              </w:rPr>
                              <w:t>BP4</w:t>
                            </w:r>
                            <w:r>
                              <w:rPr>
                                <w:i/>
                                <w:spacing w:val="-6"/>
                                <w:sz w:val="22"/>
                              </w:rPr>
                              <w:t> </w:t>
                            </w:r>
                            <w:r>
                              <w:rPr>
                                <w:i/>
                                <w:sz w:val="22"/>
                              </w:rPr>
                              <w:t>to</w:t>
                            </w:r>
                            <w:r>
                              <w:rPr>
                                <w:i/>
                                <w:spacing w:val="-6"/>
                                <w:sz w:val="22"/>
                              </w:rPr>
                              <w:t> </w:t>
                            </w:r>
                            <w:r>
                              <w:rPr>
                                <w:i/>
                                <w:sz w:val="22"/>
                              </w:rPr>
                              <w:t>BP5</w:t>
                            </w:r>
                            <w:r>
                              <w:rPr>
                                <w:i/>
                                <w:spacing w:val="-6"/>
                                <w:sz w:val="22"/>
                              </w:rPr>
                              <w:t> </w:t>
                            </w:r>
                            <w:r>
                              <w:rPr>
                                <w:i/>
                                <w:sz w:val="22"/>
                              </w:rPr>
                              <w:t>is</w:t>
                            </w:r>
                            <w:r>
                              <w:rPr>
                                <w:i/>
                                <w:spacing w:val="-8"/>
                                <w:sz w:val="22"/>
                              </w:rPr>
                              <w:t> </w:t>
                            </w:r>
                            <w:r>
                              <w:rPr>
                                <w:i/>
                                <w:sz w:val="22"/>
                              </w:rPr>
                              <w:t>5.63%</w:t>
                            </w:r>
                            <w:r>
                              <w:rPr>
                                <w:i/>
                                <w:spacing w:val="-12"/>
                                <w:sz w:val="22"/>
                              </w:rPr>
                              <w:t> </w:t>
                            </w:r>
                            <w:r>
                              <w:rPr>
                                <w:i/>
                                <w:sz w:val="22"/>
                              </w:rPr>
                              <w:t>[(60.17-54.54)],</w:t>
                            </w:r>
                            <w:r>
                              <w:rPr>
                                <w:i/>
                                <w:spacing w:val="-9"/>
                                <w:sz w:val="22"/>
                              </w:rPr>
                              <w:t> </w:t>
                            </w:r>
                            <w:r>
                              <w:rPr>
                                <w:i/>
                                <w:sz w:val="22"/>
                              </w:rPr>
                              <w:t>and</w:t>
                            </w:r>
                            <w:r>
                              <w:rPr>
                                <w:i/>
                                <w:spacing w:val="-8"/>
                                <w:sz w:val="22"/>
                              </w:rPr>
                              <w:t> </w:t>
                            </w:r>
                            <w:r>
                              <w:rPr>
                                <w:i/>
                                <w:sz w:val="22"/>
                              </w:rPr>
                              <w:t>the</w:t>
                            </w:r>
                            <w:r>
                              <w:rPr>
                                <w:i/>
                                <w:spacing w:val="-6"/>
                                <w:sz w:val="22"/>
                              </w:rPr>
                              <w:t> </w:t>
                            </w:r>
                            <w:r>
                              <w:rPr>
                                <w:i/>
                                <w:sz w:val="22"/>
                              </w:rPr>
                              <w:t>ACO</w:t>
                            </w:r>
                            <w:r>
                              <w:rPr>
                                <w:i/>
                                <w:spacing w:val="-7"/>
                                <w:sz w:val="22"/>
                              </w:rPr>
                              <w:t> </w:t>
                            </w:r>
                            <w:r>
                              <w:rPr>
                                <w:i/>
                                <w:sz w:val="22"/>
                              </w:rPr>
                              <w:t>improvement</w:t>
                            </w:r>
                            <w:r>
                              <w:rPr>
                                <w:i/>
                                <w:spacing w:val="-5"/>
                                <w:sz w:val="22"/>
                              </w:rPr>
                              <w:t> </w:t>
                            </w:r>
                            <w:r>
                              <w:rPr>
                                <w:i/>
                                <w:sz w:val="22"/>
                              </w:rPr>
                              <w:t>will be rounded to the nearest tenth (i.e., one decimal point) to 5.6%.</w:t>
                            </w:r>
                          </w:p>
                        </w:txbxContent>
                      </wps:txbx>
                      <wps:bodyPr wrap="square" lIns="0" tIns="0" rIns="0" bIns="0" rtlCol="0">
                        <a:noAutofit/>
                      </wps:bodyPr>
                    </wps:wsp>
                  </a:graphicData>
                </a:graphic>
              </wp:anchor>
            </w:drawing>
          </mc:Choice>
          <mc:Fallback>
            <w:pict>
              <v:shape style="position:absolute;margin-left:66.360001pt;margin-top:13.014015pt;width:479.3pt;height:40.450pt;mso-position-horizontal-relative:page;mso-position-vertical-relative:paragraph;z-index:-15303680;mso-wrap-distance-left:0;mso-wrap-distance-right:0" type="#_x0000_t202" id="docshape109" filled="false" stroked="true" strokeweight=".48pt" strokecolor="#000000">
                <v:textbox inset="0,0,0,0">
                  <w:txbxContent>
                    <w:p>
                      <w:pPr>
                        <w:spacing w:before="20"/>
                        <w:ind w:left="107" w:right="104" w:firstLine="0"/>
                        <w:jc w:val="both"/>
                        <w:rPr>
                          <w:i/>
                          <w:sz w:val="22"/>
                        </w:rPr>
                      </w:pPr>
                      <w:r>
                        <w:rPr>
                          <w:i/>
                          <w:sz w:val="22"/>
                        </w:rPr>
                        <w:t>For example, for Measure B, if ACO performance in BP4 is 54.54% and if ACO performance in BP5 is</w:t>
                      </w:r>
                      <w:r>
                        <w:rPr>
                          <w:i/>
                          <w:sz w:val="22"/>
                        </w:rPr>
                        <w:t> 60.17%,</w:t>
                      </w:r>
                      <w:r>
                        <w:rPr>
                          <w:i/>
                          <w:spacing w:val="-6"/>
                          <w:sz w:val="22"/>
                        </w:rPr>
                        <w:t> </w:t>
                      </w:r>
                      <w:r>
                        <w:rPr>
                          <w:i/>
                          <w:sz w:val="22"/>
                        </w:rPr>
                        <w:t>the</w:t>
                      </w:r>
                      <w:r>
                        <w:rPr>
                          <w:i/>
                          <w:spacing w:val="-6"/>
                          <w:sz w:val="22"/>
                        </w:rPr>
                        <w:t> </w:t>
                      </w:r>
                      <w:r>
                        <w:rPr>
                          <w:i/>
                          <w:sz w:val="22"/>
                        </w:rPr>
                        <w:t>ACO</w:t>
                      </w:r>
                      <w:r>
                        <w:rPr>
                          <w:i/>
                          <w:spacing w:val="-7"/>
                          <w:sz w:val="22"/>
                        </w:rPr>
                        <w:t> </w:t>
                      </w:r>
                      <w:r>
                        <w:rPr>
                          <w:i/>
                          <w:sz w:val="22"/>
                        </w:rPr>
                        <w:t>improvement</w:t>
                      </w:r>
                      <w:r>
                        <w:rPr>
                          <w:i/>
                          <w:spacing w:val="-5"/>
                          <w:sz w:val="22"/>
                        </w:rPr>
                        <w:t> </w:t>
                      </w:r>
                      <w:r>
                        <w:rPr>
                          <w:i/>
                          <w:sz w:val="22"/>
                        </w:rPr>
                        <w:t>from</w:t>
                      </w:r>
                      <w:r>
                        <w:rPr>
                          <w:i/>
                          <w:spacing w:val="-7"/>
                          <w:sz w:val="22"/>
                        </w:rPr>
                        <w:t> </w:t>
                      </w:r>
                      <w:r>
                        <w:rPr>
                          <w:i/>
                          <w:sz w:val="22"/>
                        </w:rPr>
                        <w:t>BP4</w:t>
                      </w:r>
                      <w:r>
                        <w:rPr>
                          <w:i/>
                          <w:spacing w:val="-6"/>
                          <w:sz w:val="22"/>
                        </w:rPr>
                        <w:t> </w:t>
                      </w:r>
                      <w:r>
                        <w:rPr>
                          <w:i/>
                          <w:sz w:val="22"/>
                        </w:rPr>
                        <w:t>to</w:t>
                      </w:r>
                      <w:r>
                        <w:rPr>
                          <w:i/>
                          <w:spacing w:val="-6"/>
                          <w:sz w:val="22"/>
                        </w:rPr>
                        <w:t> </w:t>
                      </w:r>
                      <w:r>
                        <w:rPr>
                          <w:i/>
                          <w:sz w:val="22"/>
                        </w:rPr>
                        <w:t>BP5</w:t>
                      </w:r>
                      <w:r>
                        <w:rPr>
                          <w:i/>
                          <w:spacing w:val="-6"/>
                          <w:sz w:val="22"/>
                        </w:rPr>
                        <w:t> </w:t>
                      </w:r>
                      <w:r>
                        <w:rPr>
                          <w:i/>
                          <w:sz w:val="22"/>
                        </w:rPr>
                        <w:t>is</w:t>
                      </w:r>
                      <w:r>
                        <w:rPr>
                          <w:i/>
                          <w:spacing w:val="-8"/>
                          <w:sz w:val="22"/>
                        </w:rPr>
                        <w:t> </w:t>
                      </w:r>
                      <w:r>
                        <w:rPr>
                          <w:i/>
                          <w:sz w:val="22"/>
                        </w:rPr>
                        <w:t>5.63%</w:t>
                      </w:r>
                      <w:r>
                        <w:rPr>
                          <w:i/>
                          <w:spacing w:val="-12"/>
                          <w:sz w:val="22"/>
                        </w:rPr>
                        <w:t> </w:t>
                      </w:r>
                      <w:r>
                        <w:rPr>
                          <w:i/>
                          <w:sz w:val="22"/>
                        </w:rPr>
                        <w:t>[(60.17-54.54)],</w:t>
                      </w:r>
                      <w:r>
                        <w:rPr>
                          <w:i/>
                          <w:spacing w:val="-9"/>
                          <w:sz w:val="22"/>
                        </w:rPr>
                        <w:t> </w:t>
                      </w:r>
                      <w:r>
                        <w:rPr>
                          <w:i/>
                          <w:sz w:val="22"/>
                        </w:rPr>
                        <w:t>and</w:t>
                      </w:r>
                      <w:r>
                        <w:rPr>
                          <w:i/>
                          <w:spacing w:val="-8"/>
                          <w:sz w:val="22"/>
                        </w:rPr>
                        <w:t> </w:t>
                      </w:r>
                      <w:r>
                        <w:rPr>
                          <w:i/>
                          <w:sz w:val="22"/>
                        </w:rPr>
                        <w:t>the</w:t>
                      </w:r>
                      <w:r>
                        <w:rPr>
                          <w:i/>
                          <w:spacing w:val="-6"/>
                          <w:sz w:val="22"/>
                        </w:rPr>
                        <w:t> </w:t>
                      </w:r>
                      <w:r>
                        <w:rPr>
                          <w:i/>
                          <w:sz w:val="22"/>
                        </w:rPr>
                        <w:t>ACO</w:t>
                      </w:r>
                      <w:r>
                        <w:rPr>
                          <w:i/>
                          <w:spacing w:val="-7"/>
                          <w:sz w:val="22"/>
                        </w:rPr>
                        <w:t> </w:t>
                      </w:r>
                      <w:r>
                        <w:rPr>
                          <w:i/>
                          <w:sz w:val="22"/>
                        </w:rPr>
                        <w:t>improvement</w:t>
                      </w:r>
                      <w:r>
                        <w:rPr>
                          <w:i/>
                          <w:spacing w:val="-5"/>
                          <w:sz w:val="22"/>
                        </w:rPr>
                        <w:t> </w:t>
                      </w:r>
                      <w:r>
                        <w:rPr>
                          <w:i/>
                          <w:sz w:val="22"/>
                        </w:rPr>
                        <w:t>will be rounded to the nearest tenth (i.e., one decimal point) to 5.6%.</w:t>
                      </w:r>
                    </w:p>
                  </w:txbxContent>
                </v:textbox>
                <v:stroke dashstyle="solid"/>
                <w10:wrap type="topAndBottom"/>
              </v:shape>
            </w:pict>
          </mc:Fallback>
        </mc:AlternateContent>
      </w:r>
    </w:p>
    <w:p>
      <w:pPr>
        <w:pStyle w:val="BodyText"/>
        <w:spacing w:before="3"/>
        <w:rPr>
          <w:sz w:val="6"/>
        </w:rPr>
      </w:pPr>
    </w:p>
    <w:p>
      <w:pPr>
        <w:pStyle w:val="ListParagraph"/>
        <w:numPr>
          <w:ilvl w:val="1"/>
          <w:numId w:val="85"/>
        </w:numPr>
        <w:tabs>
          <w:tab w:pos="2660" w:val="left" w:leader="none"/>
        </w:tabs>
        <w:spacing w:line="240" w:lineRule="auto" w:before="92" w:after="0"/>
        <w:ind w:left="2660" w:right="1095" w:hanging="360"/>
        <w:jc w:val="both"/>
        <w:rPr>
          <w:sz w:val="22"/>
        </w:rPr>
      </w:pPr>
      <w:r>
        <w:rPr>
          <w:sz w:val="22"/>
        </w:rPr>
        <w:t>The</w:t>
      </w:r>
      <w:r>
        <w:rPr>
          <w:spacing w:val="-11"/>
          <w:sz w:val="22"/>
        </w:rPr>
        <w:t> </w:t>
      </w:r>
      <w:r>
        <w:rPr>
          <w:sz w:val="22"/>
        </w:rPr>
        <w:t>Improvement</w:t>
      </w:r>
      <w:r>
        <w:rPr>
          <w:spacing w:val="-11"/>
          <w:sz w:val="22"/>
        </w:rPr>
        <w:t> </w:t>
      </w:r>
      <w:r>
        <w:rPr>
          <w:sz w:val="22"/>
        </w:rPr>
        <w:t>Target</w:t>
      </w:r>
      <w:r>
        <w:rPr>
          <w:spacing w:val="-13"/>
          <w:sz w:val="22"/>
        </w:rPr>
        <w:t> </w:t>
      </w:r>
      <w:r>
        <w:rPr>
          <w:sz w:val="22"/>
        </w:rPr>
        <w:t>is</w:t>
      </w:r>
      <w:r>
        <w:rPr>
          <w:spacing w:val="-14"/>
          <w:sz w:val="22"/>
        </w:rPr>
        <w:t> </w:t>
      </w:r>
      <w:r>
        <w:rPr>
          <w:sz w:val="22"/>
        </w:rPr>
        <w:t>based</w:t>
      </w:r>
      <w:r>
        <w:rPr>
          <w:spacing w:val="-12"/>
          <w:sz w:val="22"/>
        </w:rPr>
        <w:t> </w:t>
      </w:r>
      <w:r>
        <w:rPr>
          <w:sz w:val="22"/>
        </w:rPr>
        <w:t>on</w:t>
      </w:r>
      <w:r>
        <w:rPr>
          <w:spacing w:val="-12"/>
          <w:sz w:val="22"/>
        </w:rPr>
        <w:t> </w:t>
      </w:r>
      <w:r>
        <w:rPr>
          <w:sz w:val="22"/>
        </w:rPr>
        <w:t>the</w:t>
      </w:r>
      <w:r>
        <w:rPr>
          <w:spacing w:val="-14"/>
          <w:sz w:val="22"/>
        </w:rPr>
        <w:t> </w:t>
      </w:r>
      <w:r>
        <w:rPr>
          <w:i/>
          <w:sz w:val="22"/>
          <w:u w:val="single"/>
        </w:rPr>
        <w:t>higher</w:t>
      </w:r>
      <w:r>
        <w:rPr>
          <w:i/>
          <w:spacing w:val="-11"/>
          <w:sz w:val="22"/>
        </w:rPr>
        <w:t> </w:t>
      </w:r>
      <w:r>
        <w:rPr>
          <w:sz w:val="22"/>
        </w:rPr>
        <w:t>of</w:t>
      </w:r>
      <w:r>
        <w:rPr>
          <w:spacing w:val="-11"/>
          <w:sz w:val="22"/>
        </w:rPr>
        <w:t> </w:t>
      </w:r>
      <w:r>
        <w:rPr>
          <w:sz w:val="22"/>
        </w:rPr>
        <w:t>the</w:t>
      </w:r>
      <w:r>
        <w:rPr>
          <w:spacing w:val="-14"/>
          <w:sz w:val="22"/>
        </w:rPr>
        <w:t> </w:t>
      </w:r>
      <w:r>
        <w:rPr>
          <w:sz w:val="22"/>
        </w:rPr>
        <w:t>original</w:t>
      </w:r>
      <w:r>
        <w:rPr>
          <w:spacing w:val="-11"/>
          <w:sz w:val="22"/>
        </w:rPr>
        <w:t> </w:t>
      </w:r>
      <w:r>
        <w:rPr>
          <w:sz w:val="22"/>
        </w:rPr>
        <w:t>baseline</w:t>
      </w:r>
      <w:r>
        <w:rPr>
          <w:spacing w:val="-14"/>
          <w:sz w:val="22"/>
        </w:rPr>
        <w:t> </w:t>
      </w:r>
      <w:r>
        <w:rPr>
          <w:sz w:val="22"/>
        </w:rPr>
        <w:t>(BP1)</w:t>
      </w:r>
      <w:r>
        <w:rPr>
          <w:spacing w:val="-11"/>
          <w:sz w:val="22"/>
        </w:rPr>
        <w:t> </w:t>
      </w:r>
      <w:r>
        <w:rPr>
          <w:sz w:val="22"/>
        </w:rPr>
        <w:t>or</w:t>
      </w:r>
      <w:r>
        <w:rPr>
          <w:spacing w:val="-11"/>
          <w:sz w:val="22"/>
        </w:rPr>
        <w:t> </w:t>
      </w:r>
      <w:r>
        <w:rPr>
          <w:sz w:val="22"/>
        </w:rPr>
        <w:t>any</w:t>
      </w:r>
      <w:r>
        <w:rPr>
          <w:spacing w:val="-12"/>
          <w:sz w:val="22"/>
        </w:rPr>
        <w:t> </w:t>
      </w:r>
      <w:r>
        <w:rPr>
          <w:sz w:val="22"/>
        </w:rPr>
        <w:t>year’s performance prior to the current BP. This is intended to avoid rewarding regression in </w:t>
      </w:r>
      <w:r>
        <w:rPr>
          <w:spacing w:val="-2"/>
          <w:sz w:val="22"/>
        </w:rPr>
        <w:t>performance.</w:t>
      </w:r>
    </w:p>
    <w:p>
      <w:pPr>
        <w:pStyle w:val="BodyText"/>
        <w:spacing w:before="10"/>
        <w:rPr>
          <w:sz w:val="19"/>
        </w:rPr>
      </w:pPr>
      <w:r>
        <w:rPr/>
        <mc:AlternateContent>
          <mc:Choice Requires="wps">
            <w:drawing>
              <wp:anchor distT="0" distB="0" distL="0" distR="0" allowOverlap="1" layoutInCell="1" locked="0" behindDoc="1" simplePos="0" relativeHeight="488013312">
                <wp:simplePos x="0" y="0"/>
                <wp:positionH relativeFrom="page">
                  <wp:posOffset>842772</wp:posOffset>
                </wp:positionH>
                <wp:positionV relativeFrom="paragraph">
                  <wp:posOffset>163747</wp:posOffset>
                </wp:positionV>
                <wp:extent cx="6087110" cy="513715"/>
                <wp:effectExtent l="0" t="0" r="0" b="0"/>
                <wp:wrapTopAndBottom/>
                <wp:docPr id="893" name="Textbox 893"/>
                <wp:cNvGraphicFramePr>
                  <a:graphicFrameLocks/>
                </wp:cNvGraphicFramePr>
                <a:graphic>
                  <a:graphicData uri="http://schemas.microsoft.com/office/word/2010/wordprocessingShape">
                    <wps:wsp>
                      <wps:cNvPr id="893" name="Textbox 893"/>
                      <wps:cNvSpPr txBox="1"/>
                      <wps:spPr>
                        <a:xfrm>
                          <a:off x="0" y="0"/>
                          <a:ext cx="6087110" cy="513715"/>
                        </a:xfrm>
                        <a:prstGeom prst="rect">
                          <a:avLst/>
                        </a:prstGeom>
                        <a:ln w="6096">
                          <a:solidFill>
                            <a:srgbClr val="000000"/>
                          </a:solidFill>
                          <a:prstDash val="solid"/>
                        </a:ln>
                      </wps:spPr>
                      <wps:txbx>
                        <w:txbxContent>
                          <w:p>
                            <w:pPr>
                              <w:spacing w:line="242" w:lineRule="auto" w:before="20"/>
                              <w:ind w:left="107" w:right="103" w:firstLine="0"/>
                              <w:jc w:val="both"/>
                              <w:rPr>
                                <w:i/>
                                <w:sz w:val="22"/>
                              </w:rPr>
                            </w:pPr>
                            <w:r>
                              <w:rPr>
                                <w:i/>
                                <w:sz w:val="22"/>
                              </w:rPr>
                              <w:t>For</w:t>
                            </w:r>
                            <w:r>
                              <w:rPr>
                                <w:i/>
                                <w:spacing w:val="-2"/>
                                <w:sz w:val="22"/>
                              </w:rPr>
                              <w:t> </w:t>
                            </w:r>
                            <w:r>
                              <w:rPr>
                                <w:i/>
                                <w:sz w:val="22"/>
                              </w:rPr>
                              <w:t>example,</w:t>
                            </w:r>
                            <w:r>
                              <w:rPr>
                                <w:i/>
                                <w:spacing w:val="-2"/>
                                <w:sz w:val="22"/>
                              </w:rPr>
                              <w:t> </w:t>
                            </w:r>
                            <w:r>
                              <w:rPr>
                                <w:i/>
                                <w:sz w:val="22"/>
                              </w:rPr>
                              <w:t>for</w:t>
                            </w:r>
                            <w:r>
                              <w:rPr>
                                <w:i/>
                                <w:spacing w:val="-4"/>
                                <w:sz w:val="22"/>
                              </w:rPr>
                              <w:t> </w:t>
                            </w:r>
                            <w:r>
                              <w:rPr>
                                <w:i/>
                                <w:sz w:val="22"/>
                              </w:rPr>
                              <w:t>Measure</w:t>
                            </w:r>
                            <w:r>
                              <w:rPr>
                                <w:i/>
                                <w:spacing w:val="-4"/>
                                <w:sz w:val="22"/>
                              </w:rPr>
                              <w:t> </w:t>
                            </w:r>
                            <w:r>
                              <w:rPr>
                                <w:i/>
                                <w:sz w:val="22"/>
                              </w:rPr>
                              <w:t>B,</w:t>
                            </w:r>
                            <w:r>
                              <w:rPr>
                                <w:i/>
                                <w:spacing w:val="-2"/>
                                <w:sz w:val="22"/>
                              </w:rPr>
                              <w:t> </w:t>
                            </w:r>
                            <w:r>
                              <w:rPr>
                                <w:i/>
                                <w:sz w:val="22"/>
                              </w:rPr>
                              <w:t>assume</w:t>
                            </w:r>
                            <w:r>
                              <w:rPr>
                                <w:i/>
                                <w:spacing w:val="-2"/>
                                <w:sz w:val="22"/>
                              </w:rPr>
                              <w:t> </w:t>
                            </w:r>
                            <w:r>
                              <w:rPr>
                                <w:i/>
                                <w:sz w:val="22"/>
                              </w:rPr>
                              <w:t>ACO</w:t>
                            </w:r>
                            <w:r>
                              <w:rPr>
                                <w:i/>
                                <w:spacing w:val="-3"/>
                                <w:sz w:val="22"/>
                              </w:rPr>
                              <w:t> </w:t>
                            </w:r>
                            <w:r>
                              <w:rPr>
                                <w:i/>
                                <w:sz w:val="22"/>
                              </w:rPr>
                              <w:t>A</w:t>
                            </w:r>
                            <w:r>
                              <w:rPr>
                                <w:i/>
                                <w:spacing w:val="-5"/>
                                <w:sz w:val="22"/>
                              </w:rPr>
                              <w:t> </w:t>
                            </w:r>
                            <w:r>
                              <w:rPr>
                                <w:i/>
                                <w:sz w:val="22"/>
                              </w:rPr>
                              <w:t>performance</w:t>
                            </w:r>
                            <w:r>
                              <w:rPr>
                                <w:i/>
                                <w:spacing w:val="-4"/>
                                <w:sz w:val="22"/>
                              </w:rPr>
                              <w:t> </w:t>
                            </w:r>
                            <w:r>
                              <w:rPr>
                                <w:i/>
                                <w:sz w:val="22"/>
                              </w:rPr>
                              <w:t>in</w:t>
                            </w:r>
                            <w:r>
                              <w:rPr>
                                <w:i/>
                                <w:spacing w:val="-2"/>
                                <w:sz w:val="22"/>
                              </w:rPr>
                              <w:t> </w:t>
                            </w:r>
                            <w:r>
                              <w:rPr>
                                <w:i/>
                                <w:sz w:val="22"/>
                              </w:rPr>
                              <w:t>BP1</w:t>
                            </w:r>
                            <w:r>
                              <w:rPr>
                                <w:i/>
                                <w:spacing w:val="-5"/>
                                <w:sz w:val="22"/>
                              </w:rPr>
                              <w:t> </w:t>
                            </w:r>
                            <w:r>
                              <w:rPr>
                                <w:i/>
                                <w:sz w:val="22"/>
                              </w:rPr>
                              <w:t>is</w:t>
                            </w:r>
                            <w:r>
                              <w:rPr>
                                <w:i/>
                                <w:spacing w:val="-2"/>
                                <w:sz w:val="22"/>
                              </w:rPr>
                              <w:t> </w:t>
                            </w:r>
                            <w:r>
                              <w:rPr>
                                <w:i/>
                                <w:sz w:val="22"/>
                              </w:rPr>
                              <w:t>90.0%</w:t>
                            </w:r>
                            <w:r>
                              <w:rPr>
                                <w:i/>
                                <w:spacing w:val="-11"/>
                                <w:sz w:val="22"/>
                              </w:rPr>
                              <w:t> </w:t>
                            </w:r>
                            <w:r>
                              <w:rPr>
                                <w:i/>
                                <w:sz w:val="22"/>
                              </w:rPr>
                              <w:t>and</w:t>
                            </w:r>
                            <w:r>
                              <w:rPr>
                                <w:i/>
                                <w:spacing w:val="-2"/>
                                <w:sz w:val="22"/>
                              </w:rPr>
                              <w:t> </w:t>
                            </w:r>
                            <w:r>
                              <w:rPr>
                                <w:i/>
                                <w:sz w:val="22"/>
                              </w:rPr>
                              <w:t>the</w:t>
                            </w:r>
                            <w:r>
                              <w:rPr>
                                <w:i/>
                                <w:spacing w:val="-2"/>
                                <w:sz w:val="22"/>
                              </w:rPr>
                              <w:t> </w:t>
                            </w:r>
                            <w:r>
                              <w:rPr>
                                <w:i/>
                                <w:sz w:val="22"/>
                              </w:rPr>
                              <w:t>Improvement</w:t>
                            </w:r>
                            <w:r>
                              <w:rPr>
                                <w:i/>
                                <w:spacing w:val="-1"/>
                                <w:sz w:val="22"/>
                              </w:rPr>
                              <w:t> </w:t>
                            </w:r>
                            <w:r>
                              <w:rPr>
                                <w:i/>
                                <w:sz w:val="22"/>
                              </w:rPr>
                              <w:t>Target</w:t>
                            </w:r>
                            <w:r>
                              <w:rPr>
                                <w:i/>
                                <w:spacing w:val="-4"/>
                                <w:sz w:val="22"/>
                              </w:rPr>
                              <w:t> </w:t>
                            </w:r>
                            <w:r>
                              <w:rPr>
                                <w:i/>
                                <w:sz w:val="22"/>
                              </w:rPr>
                              <w:t>is</w:t>
                            </w:r>
                            <w:r>
                              <w:rPr>
                                <w:i/>
                                <w:sz w:val="22"/>
                              </w:rPr>
                              <w:t> 2.0%.</w:t>
                            </w:r>
                            <w:r>
                              <w:rPr>
                                <w:i/>
                                <w:spacing w:val="40"/>
                                <w:sz w:val="22"/>
                              </w:rPr>
                              <w:t> </w:t>
                            </w:r>
                            <w:r>
                              <w:rPr>
                                <w:i/>
                                <w:sz w:val="22"/>
                              </w:rPr>
                              <w:t>If in BP4 the performance for ACO A decreases to 89.0%, in BP5 the ACO would need to reach 92.0% to reach the Improvement Target.</w:t>
                            </w:r>
                          </w:p>
                        </w:txbxContent>
                      </wps:txbx>
                      <wps:bodyPr wrap="square" lIns="0" tIns="0" rIns="0" bIns="0" rtlCol="0">
                        <a:noAutofit/>
                      </wps:bodyPr>
                    </wps:wsp>
                  </a:graphicData>
                </a:graphic>
              </wp:anchor>
            </w:drawing>
          </mc:Choice>
          <mc:Fallback>
            <w:pict>
              <v:shape style="position:absolute;margin-left:66.360001pt;margin-top:12.893516pt;width:479.3pt;height:40.450pt;mso-position-horizontal-relative:page;mso-position-vertical-relative:paragraph;z-index:-15303168;mso-wrap-distance-left:0;mso-wrap-distance-right:0" type="#_x0000_t202" id="docshape110" filled="false" stroked="true" strokeweight=".48pt" strokecolor="#000000">
                <v:textbox inset="0,0,0,0">
                  <w:txbxContent>
                    <w:p>
                      <w:pPr>
                        <w:spacing w:line="242" w:lineRule="auto" w:before="20"/>
                        <w:ind w:left="107" w:right="103" w:firstLine="0"/>
                        <w:jc w:val="both"/>
                        <w:rPr>
                          <w:i/>
                          <w:sz w:val="22"/>
                        </w:rPr>
                      </w:pPr>
                      <w:r>
                        <w:rPr>
                          <w:i/>
                          <w:sz w:val="22"/>
                        </w:rPr>
                        <w:t>For</w:t>
                      </w:r>
                      <w:r>
                        <w:rPr>
                          <w:i/>
                          <w:spacing w:val="-2"/>
                          <w:sz w:val="22"/>
                        </w:rPr>
                        <w:t> </w:t>
                      </w:r>
                      <w:r>
                        <w:rPr>
                          <w:i/>
                          <w:sz w:val="22"/>
                        </w:rPr>
                        <w:t>example,</w:t>
                      </w:r>
                      <w:r>
                        <w:rPr>
                          <w:i/>
                          <w:spacing w:val="-2"/>
                          <w:sz w:val="22"/>
                        </w:rPr>
                        <w:t> </w:t>
                      </w:r>
                      <w:r>
                        <w:rPr>
                          <w:i/>
                          <w:sz w:val="22"/>
                        </w:rPr>
                        <w:t>for</w:t>
                      </w:r>
                      <w:r>
                        <w:rPr>
                          <w:i/>
                          <w:spacing w:val="-4"/>
                          <w:sz w:val="22"/>
                        </w:rPr>
                        <w:t> </w:t>
                      </w:r>
                      <w:r>
                        <w:rPr>
                          <w:i/>
                          <w:sz w:val="22"/>
                        </w:rPr>
                        <w:t>Measure</w:t>
                      </w:r>
                      <w:r>
                        <w:rPr>
                          <w:i/>
                          <w:spacing w:val="-4"/>
                          <w:sz w:val="22"/>
                        </w:rPr>
                        <w:t> </w:t>
                      </w:r>
                      <w:r>
                        <w:rPr>
                          <w:i/>
                          <w:sz w:val="22"/>
                        </w:rPr>
                        <w:t>B,</w:t>
                      </w:r>
                      <w:r>
                        <w:rPr>
                          <w:i/>
                          <w:spacing w:val="-2"/>
                          <w:sz w:val="22"/>
                        </w:rPr>
                        <w:t> </w:t>
                      </w:r>
                      <w:r>
                        <w:rPr>
                          <w:i/>
                          <w:sz w:val="22"/>
                        </w:rPr>
                        <w:t>assume</w:t>
                      </w:r>
                      <w:r>
                        <w:rPr>
                          <w:i/>
                          <w:spacing w:val="-2"/>
                          <w:sz w:val="22"/>
                        </w:rPr>
                        <w:t> </w:t>
                      </w:r>
                      <w:r>
                        <w:rPr>
                          <w:i/>
                          <w:sz w:val="22"/>
                        </w:rPr>
                        <w:t>ACO</w:t>
                      </w:r>
                      <w:r>
                        <w:rPr>
                          <w:i/>
                          <w:spacing w:val="-3"/>
                          <w:sz w:val="22"/>
                        </w:rPr>
                        <w:t> </w:t>
                      </w:r>
                      <w:r>
                        <w:rPr>
                          <w:i/>
                          <w:sz w:val="22"/>
                        </w:rPr>
                        <w:t>A</w:t>
                      </w:r>
                      <w:r>
                        <w:rPr>
                          <w:i/>
                          <w:spacing w:val="-5"/>
                          <w:sz w:val="22"/>
                        </w:rPr>
                        <w:t> </w:t>
                      </w:r>
                      <w:r>
                        <w:rPr>
                          <w:i/>
                          <w:sz w:val="22"/>
                        </w:rPr>
                        <w:t>performance</w:t>
                      </w:r>
                      <w:r>
                        <w:rPr>
                          <w:i/>
                          <w:spacing w:val="-4"/>
                          <w:sz w:val="22"/>
                        </w:rPr>
                        <w:t> </w:t>
                      </w:r>
                      <w:r>
                        <w:rPr>
                          <w:i/>
                          <w:sz w:val="22"/>
                        </w:rPr>
                        <w:t>in</w:t>
                      </w:r>
                      <w:r>
                        <w:rPr>
                          <w:i/>
                          <w:spacing w:val="-2"/>
                          <w:sz w:val="22"/>
                        </w:rPr>
                        <w:t> </w:t>
                      </w:r>
                      <w:r>
                        <w:rPr>
                          <w:i/>
                          <w:sz w:val="22"/>
                        </w:rPr>
                        <w:t>BP1</w:t>
                      </w:r>
                      <w:r>
                        <w:rPr>
                          <w:i/>
                          <w:spacing w:val="-5"/>
                          <w:sz w:val="22"/>
                        </w:rPr>
                        <w:t> </w:t>
                      </w:r>
                      <w:r>
                        <w:rPr>
                          <w:i/>
                          <w:sz w:val="22"/>
                        </w:rPr>
                        <w:t>is</w:t>
                      </w:r>
                      <w:r>
                        <w:rPr>
                          <w:i/>
                          <w:spacing w:val="-2"/>
                          <w:sz w:val="22"/>
                        </w:rPr>
                        <w:t> </w:t>
                      </w:r>
                      <w:r>
                        <w:rPr>
                          <w:i/>
                          <w:sz w:val="22"/>
                        </w:rPr>
                        <w:t>90.0%</w:t>
                      </w:r>
                      <w:r>
                        <w:rPr>
                          <w:i/>
                          <w:spacing w:val="-11"/>
                          <w:sz w:val="22"/>
                        </w:rPr>
                        <w:t> </w:t>
                      </w:r>
                      <w:r>
                        <w:rPr>
                          <w:i/>
                          <w:sz w:val="22"/>
                        </w:rPr>
                        <w:t>and</w:t>
                      </w:r>
                      <w:r>
                        <w:rPr>
                          <w:i/>
                          <w:spacing w:val="-2"/>
                          <w:sz w:val="22"/>
                        </w:rPr>
                        <w:t> </w:t>
                      </w:r>
                      <w:r>
                        <w:rPr>
                          <w:i/>
                          <w:sz w:val="22"/>
                        </w:rPr>
                        <w:t>the</w:t>
                      </w:r>
                      <w:r>
                        <w:rPr>
                          <w:i/>
                          <w:spacing w:val="-2"/>
                          <w:sz w:val="22"/>
                        </w:rPr>
                        <w:t> </w:t>
                      </w:r>
                      <w:r>
                        <w:rPr>
                          <w:i/>
                          <w:sz w:val="22"/>
                        </w:rPr>
                        <w:t>Improvement</w:t>
                      </w:r>
                      <w:r>
                        <w:rPr>
                          <w:i/>
                          <w:spacing w:val="-1"/>
                          <w:sz w:val="22"/>
                        </w:rPr>
                        <w:t> </w:t>
                      </w:r>
                      <w:r>
                        <w:rPr>
                          <w:i/>
                          <w:sz w:val="22"/>
                        </w:rPr>
                        <w:t>Target</w:t>
                      </w:r>
                      <w:r>
                        <w:rPr>
                          <w:i/>
                          <w:spacing w:val="-4"/>
                          <w:sz w:val="22"/>
                        </w:rPr>
                        <w:t> </w:t>
                      </w:r>
                      <w:r>
                        <w:rPr>
                          <w:i/>
                          <w:sz w:val="22"/>
                        </w:rPr>
                        <w:t>is</w:t>
                      </w:r>
                      <w:r>
                        <w:rPr>
                          <w:i/>
                          <w:sz w:val="22"/>
                        </w:rPr>
                        <w:t> 2.0%.</w:t>
                      </w:r>
                      <w:r>
                        <w:rPr>
                          <w:i/>
                          <w:spacing w:val="40"/>
                          <w:sz w:val="22"/>
                        </w:rPr>
                        <w:t> </w:t>
                      </w:r>
                      <w:r>
                        <w:rPr>
                          <w:i/>
                          <w:sz w:val="22"/>
                        </w:rPr>
                        <w:t>If in BP4 the performance for ACO A decreases to 89.0%, in BP5 the ACO would need to reach 92.0% to reach the Improvement Target.</w:t>
                      </w:r>
                    </w:p>
                  </w:txbxContent>
                </v:textbox>
                <v:stroke dashstyle="solid"/>
                <w10:wrap type="topAndBottom"/>
              </v:shape>
            </w:pict>
          </mc:Fallback>
        </mc:AlternateContent>
      </w:r>
    </w:p>
    <w:p>
      <w:pPr>
        <w:pStyle w:val="BodyText"/>
        <w:spacing w:before="3"/>
        <w:rPr>
          <w:sz w:val="6"/>
        </w:rPr>
      </w:pPr>
    </w:p>
    <w:p>
      <w:pPr>
        <w:pStyle w:val="ListParagraph"/>
        <w:numPr>
          <w:ilvl w:val="1"/>
          <w:numId w:val="85"/>
        </w:numPr>
        <w:tabs>
          <w:tab w:pos="2657" w:val="left" w:leader="none"/>
          <w:tab w:pos="2659" w:val="left" w:leader="none"/>
        </w:tabs>
        <w:spacing w:line="240" w:lineRule="auto" w:before="92" w:after="0"/>
        <w:ind w:left="2659" w:right="1097" w:hanging="360"/>
        <w:jc w:val="both"/>
        <w:rPr>
          <w:sz w:val="22"/>
        </w:rPr>
      </w:pPr>
      <w:r>
        <w:rPr>
          <w:sz w:val="22"/>
        </w:rPr>
        <w:t>ACOs will not earn improvement points if performance is lower in the current BP as compared to the prior BP (excluding BP3 due to a state of emergency declared by the federal or state government)</w:t>
      </w:r>
    </w:p>
    <w:p>
      <w:pPr>
        <w:pStyle w:val="BodyText"/>
        <w:rPr>
          <w:sz w:val="20"/>
        </w:rPr>
      </w:pPr>
    </w:p>
    <w:p>
      <w:pPr>
        <w:pStyle w:val="BodyText"/>
        <w:spacing w:before="8"/>
        <w:rPr>
          <w:sz w:val="15"/>
        </w:rPr>
      </w:pPr>
      <w:r>
        <w:rPr/>
        <mc:AlternateContent>
          <mc:Choice Requires="wps">
            <w:drawing>
              <wp:anchor distT="0" distB="0" distL="0" distR="0" allowOverlap="1" layoutInCell="1" locked="0" behindDoc="1" simplePos="0" relativeHeight="488013824">
                <wp:simplePos x="0" y="0"/>
                <wp:positionH relativeFrom="page">
                  <wp:posOffset>842772</wp:posOffset>
                </wp:positionH>
                <wp:positionV relativeFrom="paragraph">
                  <wp:posOffset>133540</wp:posOffset>
                </wp:positionV>
                <wp:extent cx="6087110" cy="513715"/>
                <wp:effectExtent l="0" t="0" r="0" b="0"/>
                <wp:wrapTopAndBottom/>
                <wp:docPr id="894" name="Textbox 894"/>
                <wp:cNvGraphicFramePr>
                  <a:graphicFrameLocks/>
                </wp:cNvGraphicFramePr>
                <a:graphic>
                  <a:graphicData uri="http://schemas.microsoft.com/office/word/2010/wordprocessingShape">
                    <wps:wsp>
                      <wps:cNvPr id="894" name="Textbox 894"/>
                      <wps:cNvSpPr txBox="1"/>
                      <wps:spPr>
                        <a:xfrm>
                          <a:off x="0" y="0"/>
                          <a:ext cx="6087110" cy="513715"/>
                        </a:xfrm>
                        <a:prstGeom prst="rect">
                          <a:avLst/>
                        </a:prstGeom>
                        <a:ln w="6096">
                          <a:solidFill>
                            <a:srgbClr val="000000"/>
                          </a:solidFill>
                          <a:prstDash val="solid"/>
                        </a:ln>
                      </wps:spPr>
                      <wps:txbx>
                        <w:txbxContent>
                          <w:p>
                            <w:pPr>
                              <w:spacing w:before="20"/>
                              <w:ind w:left="107" w:right="104" w:firstLine="0"/>
                              <w:jc w:val="both"/>
                              <w:rPr>
                                <w:i/>
                                <w:sz w:val="22"/>
                              </w:rPr>
                            </w:pPr>
                            <w:r>
                              <w:rPr>
                                <w:i/>
                                <w:sz w:val="22"/>
                              </w:rPr>
                              <w:t>For</w:t>
                            </w:r>
                            <w:r>
                              <w:rPr>
                                <w:i/>
                                <w:spacing w:val="-4"/>
                                <w:sz w:val="22"/>
                              </w:rPr>
                              <w:t> </w:t>
                            </w:r>
                            <w:r>
                              <w:rPr>
                                <w:i/>
                                <w:sz w:val="22"/>
                              </w:rPr>
                              <w:t>example,</w:t>
                            </w:r>
                            <w:r>
                              <w:rPr>
                                <w:i/>
                                <w:spacing w:val="-4"/>
                                <w:sz w:val="22"/>
                              </w:rPr>
                              <w:t> </w:t>
                            </w:r>
                            <w:r>
                              <w:rPr>
                                <w:i/>
                                <w:sz w:val="22"/>
                              </w:rPr>
                              <w:t>for</w:t>
                            </w:r>
                            <w:r>
                              <w:rPr>
                                <w:i/>
                                <w:spacing w:val="-5"/>
                                <w:sz w:val="22"/>
                              </w:rPr>
                              <w:t> </w:t>
                            </w:r>
                            <w:r>
                              <w:rPr>
                                <w:i/>
                                <w:sz w:val="22"/>
                              </w:rPr>
                              <w:t>Measure</w:t>
                            </w:r>
                            <w:r>
                              <w:rPr>
                                <w:i/>
                                <w:spacing w:val="-6"/>
                                <w:sz w:val="22"/>
                              </w:rPr>
                              <w:t> </w:t>
                            </w:r>
                            <w:r>
                              <w:rPr>
                                <w:i/>
                                <w:sz w:val="22"/>
                              </w:rPr>
                              <w:t>B,</w:t>
                            </w:r>
                            <w:r>
                              <w:rPr>
                                <w:i/>
                                <w:spacing w:val="-4"/>
                                <w:sz w:val="22"/>
                              </w:rPr>
                              <w:t> </w:t>
                            </w:r>
                            <w:r>
                              <w:rPr>
                                <w:i/>
                                <w:sz w:val="22"/>
                              </w:rPr>
                              <w:t>the</w:t>
                            </w:r>
                            <w:r>
                              <w:rPr>
                                <w:i/>
                                <w:spacing w:val="-6"/>
                                <w:sz w:val="22"/>
                              </w:rPr>
                              <w:t> </w:t>
                            </w:r>
                            <w:r>
                              <w:rPr>
                                <w:i/>
                                <w:sz w:val="22"/>
                              </w:rPr>
                              <w:t>Improvement</w:t>
                            </w:r>
                            <w:r>
                              <w:rPr>
                                <w:i/>
                                <w:spacing w:val="-5"/>
                                <w:sz w:val="22"/>
                              </w:rPr>
                              <w:t> </w:t>
                            </w:r>
                            <w:r>
                              <w:rPr>
                                <w:i/>
                                <w:sz w:val="22"/>
                              </w:rPr>
                              <w:t>Target</w:t>
                            </w:r>
                            <w:r>
                              <w:rPr>
                                <w:i/>
                                <w:spacing w:val="-5"/>
                                <w:sz w:val="22"/>
                              </w:rPr>
                              <w:t> </w:t>
                            </w:r>
                            <w:r>
                              <w:rPr>
                                <w:i/>
                                <w:sz w:val="22"/>
                              </w:rPr>
                              <w:t>is</w:t>
                            </w:r>
                            <w:r>
                              <w:rPr>
                                <w:i/>
                                <w:spacing w:val="-4"/>
                                <w:sz w:val="22"/>
                              </w:rPr>
                              <w:t> </w:t>
                            </w:r>
                            <w:r>
                              <w:rPr>
                                <w:i/>
                                <w:sz w:val="22"/>
                              </w:rPr>
                              <w:t>2.0%.</w:t>
                            </w:r>
                            <w:r>
                              <w:rPr>
                                <w:i/>
                                <w:spacing w:val="-4"/>
                                <w:sz w:val="22"/>
                              </w:rPr>
                              <w:t> </w:t>
                            </w:r>
                            <w:r>
                              <w:rPr>
                                <w:i/>
                                <w:sz w:val="22"/>
                              </w:rPr>
                              <w:t>If</w:t>
                            </w:r>
                            <w:r>
                              <w:rPr>
                                <w:i/>
                                <w:spacing w:val="-4"/>
                                <w:sz w:val="22"/>
                              </w:rPr>
                              <w:t> </w:t>
                            </w:r>
                            <w:r>
                              <w:rPr>
                                <w:i/>
                                <w:sz w:val="22"/>
                              </w:rPr>
                              <w:t>ACO</w:t>
                            </w:r>
                            <w:r>
                              <w:rPr>
                                <w:i/>
                                <w:spacing w:val="-5"/>
                                <w:sz w:val="22"/>
                              </w:rPr>
                              <w:t> </w:t>
                            </w:r>
                            <w:r>
                              <w:rPr>
                                <w:i/>
                                <w:sz w:val="22"/>
                              </w:rPr>
                              <w:t>performance</w:t>
                            </w:r>
                            <w:r>
                              <w:rPr>
                                <w:i/>
                                <w:spacing w:val="-6"/>
                                <w:sz w:val="22"/>
                              </w:rPr>
                              <w:t> </w:t>
                            </w:r>
                            <w:r>
                              <w:rPr>
                                <w:i/>
                                <w:sz w:val="22"/>
                              </w:rPr>
                              <w:t>in</w:t>
                            </w:r>
                            <w:r>
                              <w:rPr>
                                <w:i/>
                                <w:spacing w:val="-4"/>
                                <w:sz w:val="22"/>
                              </w:rPr>
                              <w:t> </w:t>
                            </w:r>
                            <w:r>
                              <w:rPr>
                                <w:i/>
                                <w:sz w:val="22"/>
                              </w:rPr>
                              <w:t>BP4</w:t>
                            </w:r>
                            <w:r>
                              <w:rPr>
                                <w:i/>
                                <w:spacing w:val="-6"/>
                                <w:sz w:val="22"/>
                              </w:rPr>
                              <w:t> </w:t>
                            </w:r>
                            <w:r>
                              <w:rPr>
                                <w:i/>
                                <w:sz w:val="22"/>
                              </w:rPr>
                              <w:t>is</w:t>
                            </w:r>
                            <w:r>
                              <w:rPr>
                                <w:i/>
                                <w:spacing w:val="-6"/>
                                <w:sz w:val="22"/>
                              </w:rPr>
                              <w:t> </w:t>
                            </w:r>
                            <w:r>
                              <w:rPr>
                                <w:i/>
                                <w:sz w:val="22"/>
                              </w:rPr>
                              <w:t>54.0%</w:t>
                            </w:r>
                            <w:r>
                              <w:rPr>
                                <w:i/>
                                <w:spacing w:val="-12"/>
                                <w:sz w:val="22"/>
                              </w:rPr>
                              <w:t> </w:t>
                            </w:r>
                            <w:r>
                              <w:rPr>
                                <w:i/>
                                <w:sz w:val="22"/>
                              </w:rPr>
                              <w:t>and</w:t>
                            </w:r>
                            <w:r>
                              <w:rPr>
                                <w:i/>
                                <w:spacing w:val="-4"/>
                                <w:sz w:val="22"/>
                              </w:rPr>
                              <w:t> </w:t>
                            </w:r>
                            <w:r>
                              <w:rPr>
                                <w:i/>
                                <w:sz w:val="22"/>
                              </w:rPr>
                              <w:t>if</w:t>
                            </w:r>
                            <w:r>
                              <w:rPr>
                                <w:i/>
                                <w:sz w:val="22"/>
                              </w:rPr>
                              <w:t> ACO performance in BP5 is 53.0%, the ACO improvement from BP4 to BP5 is -1.0%</w:t>
                            </w:r>
                            <w:r>
                              <w:rPr>
                                <w:i/>
                                <w:spacing w:val="-3"/>
                                <w:sz w:val="22"/>
                              </w:rPr>
                              <w:t> </w:t>
                            </w:r>
                            <w:r>
                              <w:rPr>
                                <w:i/>
                                <w:sz w:val="22"/>
                              </w:rPr>
                              <w:t>and the ACO is not eligible to receive any improvement points.</w:t>
                            </w:r>
                          </w:p>
                        </w:txbxContent>
                      </wps:txbx>
                      <wps:bodyPr wrap="square" lIns="0" tIns="0" rIns="0" bIns="0" rtlCol="0">
                        <a:noAutofit/>
                      </wps:bodyPr>
                    </wps:wsp>
                  </a:graphicData>
                </a:graphic>
              </wp:anchor>
            </w:drawing>
          </mc:Choice>
          <mc:Fallback>
            <w:pict>
              <v:shape style="position:absolute;margin-left:66.360001pt;margin-top:10.514992pt;width:479.3pt;height:40.450pt;mso-position-horizontal-relative:page;mso-position-vertical-relative:paragraph;z-index:-15302656;mso-wrap-distance-left:0;mso-wrap-distance-right:0" type="#_x0000_t202" id="docshape111" filled="false" stroked="true" strokeweight=".48pt" strokecolor="#000000">
                <v:textbox inset="0,0,0,0">
                  <w:txbxContent>
                    <w:p>
                      <w:pPr>
                        <w:spacing w:before="20"/>
                        <w:ind w:left="107" w:right="104" w:firstLine="0"/>
                        <w:jc w:val="both"/>
                        <w:rPr>
                          <w:i/>
                          <w:sz w:val="22"/>
                        </w:rPr>
                      </w:pPr>
                      <w:r>
                        <w:rPr>
                          <w:i/>
                          <w:sz w:val="22"/>
                        </w:rPr>
                        <w:t>For</w:t>
                      </w:r>
                      <w:r>
                        <w:rPr>
                          <w:i/>
                          <w:spacing w:val="-4"/>
                          <w:sz w:val="22"/>
                        </w:rPr>
                        <w:t> </w:t>
                      </w:r>
                      <w:r>
                        <w:rPr>
                          <w:i/>
                          <w:sz w:val="22"/>
                        </w:rPr>
                        <w:t>example,</w:t>
                      </w:r>
                      <w:r>
                        <w:rPr>
                          <w:i/>
                          <w:spacing w:val="-4"/>
                          <w:sz w:val="22"/>
                        </w:rPr>
                        <w:t> </w:t>
                      </w:r>
                      <w:r>
                        <w:rPr>
                          <w:i/>
                          <w:sz w:val="22"/>
                        </w:rPr>
                        <w:t>for</w:t>
                      </w:r>
                      <w:r>
                        <w:rPr>
                          <w:i/>
                          <w:spacing w:val="-5"/>
                          <w:sz w:val="22"/>
                        </w:rPr>
                        <w:t> </w:t>
                      </w:r>
                      <w:r>
                        <w:rPr>
                          <w:i/>
                          <w:sz w:val="22"/>
                        </w:rPr>
                        <w:t>Measure</w:t>
                      </w:r>
                      <w:r>
                        <w:rPr>
                          <w:i/>
                          <w:spacing w:val="-6"/>
                          <w:sz w:val="22"/>
                        </w:rPr>
                        <w:t> </w:t>
                      </w:r>
                      <w:r>
                        <w:rPr>
                          <w:i/>
                          <w:sz w:val="22"/>
                        </w:rPr>
                        <w:t>B,</w:t>
                      </w:r>
                      <w:r>
                        <w:rPr>
                          <w:i/>
                          <w:spacing w:val="-4"/>
                          <w:sz w:val="22"/>
                        </w:rPr>
                        <w:t> </w:t>
                      </w:r>
                      <w:r>
                        <w:rPr>
                          <w:i/>
                          <w:sz w:val="22"/>
                        </w:rPr>
                        <w:t>the</w:t>
                      </w:r>
                      <w:r>
                        <w:rPr>
                          <w:i/>
                          <w:spacing w:val="-6"/>
                          <w:sz w:val="22"/>
                        </w:rPr>
                        <w:t> </w:t>
                      </w:r>
                      <w:r>
                        <w:rPr>
                          <w:i/>
                          <w:sz w:val="22"/>
                        </w:rPr>
                        <w:t>Improvement</w:t>
                      </w:r>
                      <w:r>
                        <w:rPr>
                          <w:i/>
                          <w:spacing w:val="-5"/>
                          <w:sz w:val="22"/>
                        </w:rPr>
                        <w:t> </w:t>
                      </w:r>
                      <w:r>
                        <w:rPr>
                          <w:i/>
                          <w:sz w:val="22"/>
                        </w:rPr>
                        <w:t>Target</w:t>
                      </w:r>
                      <w:r>
                        <w:rPr>
                          <w:i/>
                          <w:spacing w:val="-5"/>
                          <w:sz w:val="22"/>
                        </w:rPr>
                        <w:t> </w:t>
                      </w:r>
                      <w:r>
                        <w:rPr>
                          <w:i/>
                          <w:sz w:val="22"/>
                        </w:rPr>
                        <w:t>is</w:t>
                      </w:r>
                      <w:r>
                        <w:rPr>
                          <w:i/>
                          <w:spacing w:val="-4"/>
                          <w:sz w:val="22"/>
                        </w:rPr>
                        <w:t> </w:t>
                      </w:r>
                      <w:r>
                        <w:rPr>
                          <w:i/>
                          <w:sz w:val="22"/>
                        </w:rPr>
                        <w:t>2.0%.</w:t>
                      </w:r>
                      <w:r>
                        <w:rPr>
                          <w:i/>
                          <w:spacing w:val="-4"/>
                          <w:sz w:val="22"/>
                        </w:rPr>
                        <w:t> </w:t>
                      </w:r>
                      <w:r>
                        <w:rPr>
                          <w:i/>
                          <w:sz w:val="22"/>
                        </w:rPr>
                        <w:t>If</w:t>
                      </w:r>
                      <w:r>
                        <w:rPr>
                          <w:i/>
                          <w:spacing w:val="-4"/>
                          <w:sz w:val="22"/>
                        </w:rPr>
                        <w:t> </w:t>
                      </w:r>
                      <w:r>
                        <w:rPr>
                          <w:i/>
                          <w:sz w:val="22"/>
                        </w:rPr>
                        <w:t>ACO</w:t>
                      </w:r>
                      <w:r>
                        <w:rPr>
                          <w:i/>
                          <w:spacing w:val="-5"/>
                          <w:sz w:val="22"/>
                        </w:rPr>
                        <w:t> </w:t>
                      </w:r>
                      <w:r>
                        <w:rPr>
                          <w:i/>
                          <w:sz w:val="22"/>
                        </w:rPr>
                        <w:t>performance</w:t>
                      </w:r>
                      <w:r>
                        <w:rPr>
                          <w:i/>
                          <w:spacing w:val="-6"/>
                          <w:sz w:val="22"/>
                        </w:rPr>
                        <w:t> </w:t>
                      </w:r>
                      <w:r>
                        <w:rPr>
                          <w:i/>
                          <w:sz w:val="22"/>
                        </w:rPr>
                        <w:t>in</w:t>
                      </w:r>
                      <w:r>
                        <w:rPr>
                          <w:i/>
                          <w:spacing w:val="-4"/>
                          <w:sz w:val="22"/>
                        </w:rPr>
                        <w:t> </w:t>
                      </w:r>
                      <w:r>
                        <w:rPr>
                          <w:i/>
                          <w:sz w:val="22"/>
                        </w:rPr>
                        <w:t>BP4</w:t>
                      </w:r>
                      <w:r>
                        <w:rPr>
                          <w:i/>
                          <w:spacing w:val="-6"/>
                          <w:sz w:val="22"/>
                        </w:rPr>
                        <w:t> </w:t>
                      </w:r>
                      <w:r>
                        <w:rPr>
                          <w:i/>
                          <w:sz w:val="22"/>
                        </w:rPr>
                        <w:t>is</w:t>
                      </w:r>
                      <w:r>
                        <w:rPr>
                          <w:i/>
                          <w:spacing w:val="-6"/>
                          <w:sz w:val="22"/>
                        </w:rPr>
                        <w:t> </w:t>
                      </w:r>
                      <w:r>
                        <w:rPr>
                          <w:i/>
                          <w:sz w:val="22"/>
                        </w:rPr>
                        <w:t>54.0%</w:t>
                      </w:r>
                      <w:r>
                        <w:rPr>
                          <w:i/>
                          <w:spacing w:val="-12"/>
                          <w:sz w:val="22"/>
                        </w:rPr>
                        <w:t> </w:t>
                      </w:r>
                      <w:r>
                        <w:rPr>
                          <w:i/>
                          <w:sz w:val="22"/>
                        </w:rPr>
                        <w:t>and</w:t>
                      </w:r>
                      <w:r>
                        <w:rPr>
                          <w:i/>
                          <w:spacing w:val="-4"/>
                          <w:sz w:val="22"/>
                        </w:rPr>
                        <w:t> </w:t>
                      </w:r>
                      <w:r>
                        <w:rPr>
                          <w:i/>
                          <w:sz w:val="22"/>
                        </w:rPr>
                        <w:t>if</w:t>
                      </w:r>
                      <w:r>
                        <w:rPr>
                          <w:i/>
                          <w:sz w:val="22"/>
                        </w:rPr>
                        <w:t> ACO performance in BP5 is 53.0%, the ACO improvement from BP4 to BP5 is -1.0%</w:t>
                      </w:r>
                      <w:r>
                        <w:rPr>
                          <w:i/>
                          <w:spacing w:val="-3"/>
                          <w:sz w:val="22"/>
                        </w:rPr>
                        <w:t> </w:t>
                      </w:r>
                      <w:r>
                        <w:rPr>
                          <w:i/>
                          <w:sz w:val="22"/>
                        </w:rPr>
                        <w:t>and the ACO is not eligible to receive any improvement points.</w:t>
                      </w:r>
                    </w:p>
                  </w:txbxContent>
                </v:textbox>
                <v:stroke dashstyle="solid"/>
                <w10:wrap type="topAndBottom"/>
              </v:shape>
            </w:pict>
          </mc:Fallback>
        </mc:AlternateContent>
      </w:r>
    </w:p>
    <w:p>
      <w:pPr>
        <w:pStyle w:val="BodyText"/>
        <w:spacing w:before="3"/>
        <w:rPr>
          <w:sz w:val="6"/>
        </w:rPr>
      </w:pPr>
    </w:p>
    <w:p>
      <w:pPr>
        <w:pStyle w:val="ListParagraph"/>
        <w:numPr>
          <w:ilvl w:val="1"/>
          <w:numId w:val="85"/>
        </w:numPr>
        <w:tabs>
          <w:tab w:pos="2658" w:val="left" w:leader="none"/>
        </w:tabs>
        <w:spacing w:line="252" w:lineRule="exact" w:before="92" w:after="0"/>
        <w:ind w:left="2658" w:right="0" w:hanging="358"/>
        <w:jc w:val="both"/>
        <w:rPr>
          <w:sz w:val="22"/>
        </w:rPr>
      </w:pPr>
      <w:r>
        <w:rPr>
          <w:sz w:val="22"/>
        </w:rPr>
        <w:t>There</w:t>
      </w:r>
      <w:r>
        <w:rPr>
          <w:spacing w:val="-5"/>
          <w:sz w:val="22"/>
        </w:rPr>
        <w:t> </w:t>
      </w:r>
      <w:r>
        <w:rPr>
          <w:sz w:val="22"/>
        </w:rPr>
        <w:t>are</w:t>
      </w:r>
      <w:r>
        <w:rPr>
          <w:spacing w:val="-4"/>
          <w:sz w:val="22"/>
        </w:rPr>
        <w:t> </w:t>
      </w:r>
      <w:r>
        <w:rPr>
          <w:sz w:val="22"/>
        </w:rPr>
        <w:t>several</w:t>
      </w:r>
      <w:r>
        <w:rPr>
          <w:spacing w:val="-2"/>
          <w:sz w:val="22"/>
        </w:rPr>
        <w:t> </w:t>
      </w:r>
      <w:r>
        <w:rPr>
          <w:sz w:val="22"/>
        </w:rPr>
        <w:t>special</w:t>
      </w:r>
      <w:r>
        <w:rPr>
          <w:spacing w:val="-4"/>
          <w:sz w:val="22"/>
        </w:rPr>
        <w:t> </w:t>
      </w:r>
      <w:r>
        <w:rPr>
          <w:spacing w:val="-2"/>
          <w:sz w:val="22"/>
        </w:rPr>
        <w:t>circumstances:</w:t>
      </w:r>
    </w:p>
    <w:p>
      <w:pPr>
        <w:pStyle w:val="ListParagraph"/>
        <w:numPr>
          <w:ilvl w:val="2"/>
          <w:numId w:val="85"/>
        </w:numPr>
        <w:tabs>
          <w:tab w:pos="3378" w:val="left" w:leader="none"/>
          <w:tab w:pos="3380" w:val="left" w:leader="none"/>
        </w:tabs>
        <w:spacing w:line="240" w:lineRule="auto" w:before="0" w:after="0"/>
        <w:ind w:left="3380" w:right="1094" w:hanging="296"/>
        <w:jc w:val="both"/>
        <w:rPr>
          <w:sz w:val="22"/>
        </w:rPr>
      </w:pPr>
      <w:r>
        <w:rPr>
          <w:i/>
          <w:sz w:val="22"/>
        </w:rPr>
        <w:t>At</w:t>
      </w:r>
      <w:r>
        <w:rPr>
          <w:i/>
          <w:spacing w:val="-13"/>
          <w:sz w:val="22"/>
        </w:rPr>
        <w:t> </w:t>
      </w:r>
      <w:r>
        <w:rPr>
          <w:i/>
          <w:sz w:val="22"/>
        </w:rPr>
        <w:t>or</w:t>
      </w:r>
      <w:r>
        <w:rPr>
          <w:i/>
          <w:spacing w:val="-14"/>
          <w:sz w:val="22"/>
        </w:rPr>
        <w:t> </w:t>
      </w:r>
      <w:r>
        <w:rPr>
          <w:i/>
          <w:sz w:val="22"/>
        </w:rPr>
        <w:t>Above</w:t>
      </w:r>
      <w:r>
        <w:rPr>
          <w:i/>
          <w:spacing w:val="-12"/>
          <w:sz w:val="22"/>
        </w:rPr>
        <w:t> </w:t>
      </w:r>
      <w:r>
        <w:rPr>
          <w:i/>
          <w:sz w:val="22"/>
        </w:rPr>
        <w:t>Goal:</w:t>
      </w:r>
      <w:r>
        <w:rPr>
          <w:i/>
          <w:spacing w:val="-11"/>
          <w:sz w:val="22"/>
        </w:rPr>
        <w:t> </w:t>
      </w:r>
      <w:r>
        <w:rPr>
          <w:sz w:val="22"/>
        </w:rPr>
        <w:t>ACOs</w:t>
      </w:r>
      <w:r>
        <w:rPr>
          <w:spacing w:val="-14"/>
          <w:sz w:val="22"/>
        </w:rPr>
        <w:t> </w:t>
      </w:r>
      <w:r>
        <w:rPr>
          <w:sz w:val="22"/>
        </w:rPr>
        <w:t>with</w:t>
      </w:r>
      <w:r>
        <w:rPr>
          <w:spacing w:val="-12"/>
          <w:sz w:val="22"/>
        </w:rPr>
        <w:t> </w:t>
      </w:r>
      <w:r>
        <w:rPr>
          <w:sz w:val="22"/>
        </w:rPr>
        <w:t>prior</w:t>
      </w:r>
      <w:r>
        <w:rPr>
          <w:spacing w:val="-11"/>
          <w:sz w:val="22"/>
        </w:rPr>
        <w:t> </w:t>
      </w:r>
      <w:r>
        <w:rPr>
          <w:sz w:val="22"/>
        </w:rPr>
        <w:t>BP</w:t>
      </w:r>
      <w:r>
        <w:rPr>
          <w:spacing w:val="-14"/>
          <w:sz w:val="22"/>
        </w:rPr>
        <w:t> </w:t>
      </w:r>
      <w:r>
        <w:rPr>
          <w:sz w:val="22"/>
        </w:rPr>
        <w:t>performance</w:t>
      </w:r>
      <w:r>
        <w:rPr>
          <w:spacing w:val="-14"/>
          <w:sz w:val="22"/>
        </w:rPr>
        <w:t> </w:t>
      </w:r>
      <w:r>
        <w:rPr>
          <w:sz w:val="22"/>
        </w:rPr>
        <w:t>scores</w:t>
      </w:r>
      <w:r>
        <w:rPr>
          <w:spacing w:val="-14"/>
          <w:sz w:val="22"/>
        </w:rPr>
        <w:t> </w:t>
      </w:r>
      <w:r>
        <w:rPr>
          <w:sz w:val="22"/>
        </w:rPr>
        <w:t>equal</w:t>
      </w:r>
      <w:r>
        <w:rPr>
          <w:spacing w:val="-13"/>
          <w:sz w:val="22"/>
        </w:rPr>
        <w:t> </w:t>
      </w:r>
      <w:r>
        <w:rPr>
          <w:sz w:val="22"/>
        </w:rPr>
        <w:t>to</w:t>
      </w:r>
      <w:r>
        <w:rPr>
          <w:spacing w:val="-12"/>
          <w:sz w:val="22"/>
        </w:rPr>
        <w:t> </w:t>
      </w:r>
      <w:r>
        <w:rPr>
          <w:sz w:val="22"/>
        </w:rPr>
        <w:t>or</w:t>
      </w:r>
      <w:r>
        <w:rPr>
          <w:spacing w:val="-11"/>
          <w:sz w:val="22"/>
        </w:rPr>
        <w:t> </w:t>
      </w:r>
      <w:r>
        <w:rPr>
          <w:sz w:val="22"/>
        </w:rPr>
        <w:t>greater</w:t>
      </w:r>
      <w:r>
        <w:rPr>
          <w:spacing w:val="-13"/>
          <w:sz w:val="22"/>
        </w:rPr>
        <w:t> </w:t>
      </w:r>
      <w:r>
        <w:rPr>
          <w:sz w:val="22"/>
        </w:rPr>
        <w:t>than the Goal Benchmark</w:t>
      </w:r>
      <w:r>
        <w:rPr>
          <w:spacing w:val="-5"/>
          <w:sz w:val="22"/>
        </w:rPr>
        <w:t> </w:t>
      </w:r>
      <w:r>
        <w:rPr>
          <w:sz w:val="22"/>
        </w:rPr>
        <w:t>may still earn up to five (5) improvement points in each BP if improvement from the prior BP (excluding BP3 due to a state of emergency declared by the federal or state government) is greater than or equal to the Improvement Target.</w:t>
      </w:r>
    </w:p>
    <w:p>
      <w:pPr>
        <w:pStyle w:val="BodyText"/>
        <w:spacing w:before="9"/>
        <w:rPr>
          <w:sz w:val="21"/>
        </w:rPr>
      </w:pPr>
    </w:p>
    <w:p>
      <w:pPr>
        <w:pStyle w:val="ListParagraph"/>
        <w:numPr>
          <w:ilvl w:val="2"/>
          <w:numId w:val="85"/>
        </w:numPr>
        <w:tabs>
          <w:tab w:pos="3377" w:val="left" w:leader="none"/>
          <w:tab w:pos="3379" w:val="left" w:leader="none"/>
        </w:tabs>
        <w:spacing w:line="240" w:lineRule="auto" w:before="0" w:after="0"/>
        <w:ind w:left="3379" w:right="1096" w:hanging="358"/>
        <w:jc w:val="both"/>
        <w:rPr>
          <w:sz w:val="22"/>
        </w:rPr>
      </w:pPr>
      <w:r>
        <w:rPr>
          <w:i/>
          <w:sz w:val="22"/>
        </w:rPr>
        <w:t>At or Below Attainment:</w:t>
      </w:r>
      <w:r>
        <w:rPr>
          <w:i/>
          <w:spacing w:val="40"/>
          <w:sz w:val="22"/>
        </w:rPr>
        <w:t> </w:t>
      </w:r>
      <w:r>
        <w:rPr>
          <w:sz w:val="22"/>
        </w:rPr>
        <w:t>ACOs with prior BP performance scores less than the Attainment</w:t>
      </w:r>
      <w:r>
        <w:rPr>
          <w:spacing w:val="-1"/>
          <w:sz w:val="22"/>
        </w:rPr>
        <w:t> </w:t>
      </w:r>
      <w:r>
        <w:rPr>
          <w:sz w:val="22"/>
        </w:rPr>
        <w:t>Threshold</w:t>
      </w:r>
      <w:r>
        <w:rPr>
          <w:spacing w:val="-2"/>
          <w:sz w:val="22"/>
        </w:rPr>
        <w:t> </w:t>
      </w:r>
      <w:r>
        <w:rPr>
          <w:sz w:val="22"/>
        </w:rPr>
        <w:t>may</w:t>
      </w:r>
      <w:r>
        <w:rPr>
          <w:spacing w:val="-1"/>
          <w:sz w:val="22"/>
        </w:rPr>
        <w:t> </w:t>
      </w:r>
      <w:r>
        <w:rPr>
          <w:sz w:val="22"/>
        </w:rPr>
        <w:t>still</w:t>
      </w:r>
      <w:r>
        <w:rPr>
          <w:spacing w:val="-4"/>
          <w:sz w:val="22"/>
        </w:rPr>
        <w:t> </w:t>
      </w:r>
      <w:r>
        <w:rPr>
          <w:sz w:val="22"/>
        </w:rPr>
        <w:t>earn</w:t>
      </w:r>
      <w:r>
        <w:rPr>
          <w:spacing w:val="-2"/>
          <w:sz w:val="22"/>
        </w:rPr>
        <w:t> </w:t>
      </w:r>
      <w:r>
        <w:rPr>
          <w:sz w:val="22"/>
        </w:rPr>
        <w:t>up</w:t>
      </w:r>
      <w:r>
        <w:rPr>
          <w:spacing w:val="-2"/>
          <w:sz w:val="22"/>
        </w:rPr>
        <w:t> </w:t>
      </w:r>
      <w:r>
        <w:rPr>
          <w:sz w:val="22"/>
        </w:rPr>
        <w:t>to</w:t>
      </w:r>
      <w:r>
        <w:rPr>
          <w:spacing w:val="-2"/>
          <w:sz w:val="22"/>
        </w:rPr>
        <w:t> </w:t>
      </w:r>
      <w:r>
        <w:rPr>
          <w:sz w:val="22"/>
        </w:rPr>
        <w:t>five</w:t>
      </w:r>
      <w:r>
        <w:rPr>
          <w:spacing w:val="-2"/>
          <w:sz w:val="22"/>
        </w:rPr>
        <w:t> </w:t>
      </w:r>
      <w:r>
        <w:rPr>
          <w:sz w:val="22"/>
        </w:rPr>
        <w:t>(5)</w:t>
      </w:r>
      <w:r>
        <w:rPr>
          <w:spacing w:val="-4"/>
          <w:sz w:val="22"/>
        </w:rPr>
        <w:t> </w:t>
      </w:r>
      <w:r>
        <w:rPr>
          <w:sz w:val="22"/>
        </w:rPr>
        <w:t>improvement</w:t>
      </w:r>
      <w:r>
        <w:rPr>
          <w:spacing w:val="-1"/>
          <w:sz w:val="22"/>
        </w:rPr>
        <w:t> </w:t>
      </w:r>
      <w:r>
        <w:rPr>
          <w:sz w:val="22"/>
        </w:rPr>
        <w:t>points</w:t>
      </w:r>
      <w:r>
        <w:rPr>
          <w:spacing w:val="-2"/>
          <w:sz w:val="22"/>
        </w:rPr>
        <w:t> </w:t>
      </w:r>
      <w:r>
        <w:rPr>
          <w:sz w:val="22"/>
        </w:rPr>
        <w:t>each</w:t>
      </w:r>
      <w:r>
        <w:rPr>
          <w:spacing w:val="-2"/>
          <w:sz w:val="22"/>
        </w:rPr>
        <w:t> </w:t>
      </w:r>
      <w:r>
        <w:rPr>
          <w:sz w:val="22"/>
        </w:rPr>
        <w:t>BP</w:t>
      </w:r>
      <w:r>
        <w:rPr>
          <w:spacing w:val="-3"/>
          <w:sz w:val="22"/>
        </w:rPr>
        <w:t> </w:t>
      </w:r>
      <w:r>
        <w:rPr>
          <w:sz w:val="22"/>
        </w:rPr>
        <w:t>if</w:t>
      </w:r>
    </w:p>
    <w:p>
      <w:pPr>
        <w:spacing w:after="0" w:line="240" w:lineRule="auto"/>
        <w:jc w:val="both"/>
        <w:rPr>
          <w:sz w:val="22"/>
        </w:rPr>
        <w:sectPr>
          <w:pgSz w:w="12240" w:h="15840"/>
          <w:pgMar w:header="0" w:footer="967" w:top="1620" w:bottom="1160" w:left="220" w:right="340"/>
        </w:sectPr>
      </w:pPr>
    </w:p>
    <w:p>
      <w:pPr>
        <w:spacing w:before="78"/>
        <w:ind w:left="3380" w:right="1092" w:firstLine="0"/>
        <w:jc w:val="both"/>
        <w:rPr>
          <w:sz w:val="22"/>
        </w:rPr>
      </w:pPr>
      <w:r>
        <w:rPr>
          <w:sz w:val="22"/>
        </w:rPr>
        <w:t>improvement from the prior BP (excluding BP3 due to a state of emergency declared by the federal or state government) is greater than or equal to the Improvement</w:t>
      </w:r>
      <w:r>
        <w:rPr>
          <w:spacing w:val="-2"/>
          <w:sz w:val="22"/>
        </w:rPr>
        <w:t> </w:t>
      </w:r>
      <w:r>
        <w:rPr>
          <w:sz w:val="22"/>
        </w:rPr>
        <w:t>Target,</w:t>
      </w:r>
      <w:r>
        <w:rPr>
          <w:spacing w:val="-3"/>
          <w:sz w:val="22"/>
        </w:rPr>
        <w:t> </w:t>
      </w:r>
      <w:r>
        <w:rPr>
          <w:sz w:val="22"/>
        </w:rPr>
        <w:t>and</w:t>
      </w:r>
      <w:r>
        <w:rPr>
          <w:spacing w:val="-3"/>
          <w:sz w:val="22"/>
        </w:rPr>
        <w:t> </w:t>
      </w:r>
      <w:r>
        <w:rPr>
          <w:sz w:val="22"/>
        </w:rPr>
        <w:t>performance</w:t>
      </w:r>
      <w:r>
        <w:rPr>
          <w:spacing w:val="-3"/>
          <w:sz w:val="22"/>
        </w:rPr>
        <w:t> </w:t>
      </w:r>
      <w:r>
        <w:rPr>
          <w:sz w:val="22"/>
        </w:rPr>
        <w:t>in</w:t>
      </w:r>
      <w:r>
        <w:rPr>
          <w:spacing w:val="-3"/>
          <w:sz w:val="22"/>
        </w:rPr>
        <w:t> </w:t>
      </w:r>
      <w:r>
        <w:rPr>
          <w:sz w:val="22"/>
        </w:rPr>
        <w:t>the</w:t>
      </w:r>
      <w:r>
        <w:rPr>
          <w:spacing w:val="-3"/>
          <w:sz w:val="22"/>
        </w:rPr>
        <w:t> </w:t>
      </w:r>
      <w:r>
        <w:rPr>
          <w:sz w:val="22"/>
        </w:rPr>
        <w:t>current</w:t>
      </w:r>
      <w:r>
        <w:rPr>
          <w:spacing w:val="-2"/>
          <w:sz w:val="22"/>
        </w:rPr>
        <w:t> </w:t>
      </w:r>
      <w:r>
        <w:rPr>
          <w:sz w:val="22"/>
        </w:rPr>
        <w:t>BP</w:t>
      </w:r>
      <w:r>
        <w:rPr>
          <w:spacing w:val="-4"/>
          <w:sz w:val="22"/>
        </w:rPr>
        <w:t> </w:t>
      </w:r>
      <w:r>
        <w:rPr>
          <w:sz w:val="22"/>
        </w:rPr>
        <w:t>does</w:t>
      </w:r>
      <w:r>
        <w:rPr>
          <w:spacing w:val="-3"/>
          <w:sz w:val="22"/>
        </w:rPr>
        <w:t> </w:t>
      </w:r>
      <w:r>
        <w:rPr>
          <w:sz w:val="22"/>
        </w:rPr>
        <w:t>not</w:t>
      </w:r>
      <w:r>
        <w:rPr>
          <w:spacing w:val="-2"/>
          <w:sz w:val="22"/>
        </w:rPr>
        <w:t> </w:t>
      </w:r>
      <w:r>
        <w:rPr>
          <w:sz w:val="22"/>
        </w:rPr>
        <w:t>equal</w:t>
      </w:r>
      <w:r>
        <w:rPr>
          <w:spacing w:val="-2"/>
          <w:sz w:val="22"/>
        </w:rPr>
        <w:t> </w:t>
      </w:r>
      <w:r>
        <w:rPr>
          <w:sz w:val="22"/>
        </w:rPr>
        <w:t>or</w:t>
      </w:r>
      <w:r>
        <w:rPr>
          <w:spacing w:val="-2"/>
          <w:sz w:val="22"/>
        </w:rPr>
        <w:t> </w:t>
      </w:r>
      <w:r>
        <w:rPr>
          <w:sz w:val="22"/>
        </w:rPr>
        <w:t>exceed the</w:t>
      </w:r>
      <w:r>
        <w:rPr>
          <w:spacing w:val="-5"/>
          <w:sz w:val="22"/>
        </w:rPr>
        <w:t> </w:t>
      </w:r>
      <w:r>
        <w:rPr>
          <w:sz w:val="22"/>
        </w:rPr>
        <w:t>Attainment</w:t>
      </w:r>
      <w:r>
        <w:rPr>
          <w:spacing w:val="-7"/>
          <w:sz w:val="22"/>
        </w:rPr>
        <w:t> </w:t>
      </w:r>
      <w:r>
        <w:rPr>
          <w:sz w:val="22"/>
        </w:rPr>
        <w:t>Threshold.</w:t>
      </w:r>
      <w:r>
        <w:rPr>
          <w:spacing w:val="40"/>
          <w:sz w:val="22"/>
        </w:rPr>
        <w:t> </w:t>
      </w:r>
      <w:r>
        <w:rPr>
          <w:sz w:val="22"/>
        </w:rPr>
        <w:t>Additionally,</w:t>
      </w:r>
      <w:r>
        <w:rPr>
          <w:spacing w:val="-6"/>
          <w:sz w:val="22"/>
        </w:rPr>
        <w:t> </w:t>
      </w:r>
      <w:r>
        <w:rPr>
          <w:sz w:val="22"/>
        </w:rPr>
        <w:t>ACOs</w:t>
      </w:r>
      <w:r>
        <w:rPr>
          <w:spacing w:val="-5"/>
          <w:sz w:val="22"/>
        </w:rPr>
        <w:t> </w:t>
      </w:r>
      <w:r>
        <w:rPr>
          <w:sz w:val="22"/>
        </w:rPr>
        <w:t>with</w:t>
      </w:r>
      <w:r>
        <w:rPr>
          <w:spacing w:val="-8"/>
          <w:sz w:val="22"/>
        </w:rPr>
        <w:t> </w:t>
      </w:r>
      <w:r>
        <w:rPr>
          <w:sz w:val="22"/>
        </w:rPr>
        <w:t>prior</w:t>
      </w:r>
      <w:r>
        <w:rPr>
          <w:spacing w:val="-5"/>
          <w:sz w:val="22"/>
        </w:rPr>
        <w:t> </w:t>
      </w:r>
      <w:r>
        <w:rPr>
          <w:sz w:val="22"/>
        </w:rPr>
        <w:t>BP</w:t>
      </w:r>
      <w:r>
        <w:rPr>
          <w:spacing w:val="-6"/>
          <w:sz w:val="22"/>
        </w:rPr>
        <w:t> </w:t>
      </w:r>
      <w:r>
        <w:rPr>
          <w:sz w:val="22"/>
        </w:rPr>
        <w:t>performance</w:t>
      </w:r>
      <w:r>
        <w:rPr>
          <w:spacing w:val="-5"/>
          <w:sz w:val="22"/>
        </w:rPr>
        <w:t> </w:t>
      </w:r>
      <w:r>
        <w:rPr>
          <w:sz w:val="22"/>
        </w:rPr>
        <w:t>scores less</w:t>
      </w:r>
      <w:r>
        <w:rPr>
          <w:spacing w:val="-7"/>
          <w:sz w:val="22"/>
        </w:rPr>
        <w:t> </w:t>
      </w:r>
      <w:r>
        <w:rPr>
          <w:sz w:val="22"/>
        </w:rPr>
        <w:t>than</w:t>
      </w:r>
      <w:r>
        <w:rPr>
          <w:spacing w:val="-7"/>
          <w:sz w:val="22"/>
        </w:rPr>
        <w:t> </w:t>
      </w:r>
      <w:r>
        <w:rPr>
          <w:sz w:val="22"/>
        </w:rPr>
        <w:t>the</w:t>
      </w:r>
      <w:r>
        <w:rPr>
          <w:spacing w:val="-4"/>
          <w:sz w:val="22"/>
        </w:rPr>
        <w:t> </w:t>
      </w:r>
      <w:r>
        <w:rPr>
          <w:sz w:val="22"/>
        </w:rPr>
        <w:t>Attainment</w:t>
      </w:r>
      <w:r>
        <w:rPr>
          <w:spacing w:val="-4"/>
          <w:sz w:val="22"/>
        </w:rPr>
        <w:t> </w:t>
      </w:r>
      <w:r>
        <w:rPr>
          <w:sz w:val="22"/>
        </w:rPr>
        <w:t>Threshold</w:t>
      </w:r>
      <w:r>
        <w:rPr>
          <w:spacing w:val="-5"/>
          <w:sz w:val="22"/>
        </w:rPr>
        <w:t> </w:t>
      </w:r>
      <w:r>
        <w:rPr>
          <w:sz w:val="22"/>
        </w:rPr>
        <w:t>and</w:t>
      </w:r>
      <w:r>
        <w:rPr>
          <w:spacing w:val="-5"/>
          <w:sz w:val="22"/>
        </w:rPr>
        <w:t> </w:t>
      </w:r>
      <w:r>
        <w:rPr>
          <w:sz w:val="22"/>
        </w:rPr>
        <w:t>current</w:t>
      </w:r>
      <w:r>
        <w:rPr>
          <w:spacing w:val="-4"/>
          <w:sz w:val="22"/>
        </w:rPr>
        <w:t> </w:t>
      </w:r>
      <w:r>
        <w:rPr>
          <w:sz w:val="22"/>
        </w:rPr>
        <w:t>BP</w:t>
      </w:r>
      <w:r>
        <w:rPr>
          <w:spacing w:val="-5"/>
          <w:sz w:val="22"/>
        </w:rPr>
        <w:t> </w:t>
      </w:r>
      <w:r>
        <w:rPr>
          <w:sz w:val="22"/>
        </w:rPr>
        <w:t>performance</w:t>
      </w:r>
      <w:r>
        <w:rPr>
          <w:spacing w:val="-4"/>
          <w:sz w:val="22"/>
        </w:rPr>
        <w:t> </w:t>
      </w:r>
      <w:r>
        <w:rPr>
          <w:sz w:val="22"/>
        </w:rPr>
        <w:t>scores</w:t>
      </w:r>
      <w:r>
        <w:rPr>
          <w:spacing w:val="-4"/>
          <w:sz w:val="22"/>
        </w:rPr>
        <w:t> </w:t>
      </w:r>
      <w:r>
        <w:rPr>
          <w:sz w:val="22"/>
        </w:rPr>
        <w:t>equal</w:t>
      </w:r>
      <w:r>
        <w:rPr>
          <w:spacing w:val="-6"/>
          <w:sz w:val="22"/>
        </w:rPr>
        <w:t> </w:t>
      </w:r>
      <w:r>
        <w:rPr>
          <w:sz w:val="22"/>
        </w:rPr>
        <w:t>to</w:t>
      </w:r>
      <w:r>
        <w:rPr>
          <w:spacing w:val="-5"/>
          <w:sz w:val="22"/>
        </w:rPr>
        <w:t> </w:t>
      </w:r>
      <w:r>
        <w:rPr>
          <w:sz w:val="22"/>
        </w:rPr>
        <w:t>or above the Attainment Threshold may still earn up to five (5) improvement points if the improvement is greater than or equal to the Improvement Target.</w:t>
      </w:r>
    </w:p>
    <w:p>
      <w:pPr>
        <w:pStyle w:val="BodyText"/>
      </w:pPr>
    </w:p>
    <w:p>
      <w:pPr>
        <w:spacing w:before="159"/>
        <w:ind w:left="1219" w:right="0" w:firstLine="0"/>
        <w:jc w:val="both"/>
        <w:rPr>
          <w:b/>
          <w:sz w:val="22"/>
        </w:rPr>
      </w:pPr>
      <w:r>
        <w:rPr>
          <w:b/>
          <w:sz w:val="22"/>
        </w:rPr>
        <w:t>EXHIBIT</w:t>
      </w:r>
      <w:r>
        <w:rPr>
          <w:b/>
          <w:spacing w:val="-5"/>
          <w:sz w:val="22"/>
        </w:rPr>
        <w:t> </w:t>
      </w:r>
      <w:r>
        <w:rPr>
          <w:b/>
          <w:sz w:val="22"/>
        </w:rPr>
        <w:t>33</w:t>
      </w:r>
      <w:r>
        <w:rPr>
          <w:b/>
          <w:spacing w:val="-3"/>
          <w:sz w:val="22"/>
        </w:rPr>
        <w:t> </w:t>
      </w:r>
      <w:r>
        <w:rPr>
          <w:b/>
          <w:sz w:val="22"/>
        </w:rPr>
        <w:t>–</w:t>
      </w:r>
      <w:r>
        <w:rPr>
          <w:b/>
          <w:spacing w:val="-3"/>
          <w:sz w:val="22"/>
        </w:rPr>
        <w:t> </w:t>
      </w:r>
      <w:r>
        <w:rPr>
          <w:b/>
          <w:sz w:val="22"/>
        </w:rPr>
        <w:t>Example</w:t>
      </w:r>
      <w:r>
        <w:rPr>
          <w:b/>
          <w:spacing w:val="-5"/>
          <w:sz w:val="22"/>
        </w:rPr>
        <w:t> </w:t>
      </w:r>
      <w:r>
        <w:rPr>
          <w:b/>
          <w:sz w:val="22"/>
        </w:rPr>
        <w:t>Calculation</w:t>
      </w:r>
      <w:r>
        <w:rPr>
          <w:b/>
          <w:spacing w:val="-4"/>
          <w:sz w:val="22"/>
        </w:rPr>
        <w:t> </w:t>
      </w:r>
      <w:r>
        <w:rPr>
          <w:b/>
          <w:sz w:val="22"/>
        </w:rPr>
        <w:t>of</w:t>
      </w:r>
      <w:r>
        <w:rPr>
          <w:b/>
          <w:spacing w:val="-2"/>
          <w:sz w:val="22"/>
        </w:rPr>
        <w:t> </w:t>
      </w:r>
      <w:r>
        <w:rPr>
          <w:b/>
          <w:sz w:val="22"/>
        </w:rPr>
        <w:t>Improvement</w:t>
      </w:r>
      <w:r>
        <w:rPr>
          <w:b/>
          <w:spacing w:val="-5"/>
          <w:sz w:val="22"/>
        </w:rPr>
        <w:t> </w:t>
      </w:r>
      <w:r>
        <w:rPr>
          <w:b/>
          <w:sz w:val="22"/>
        </w:rPr>
        <w:t>Points</w:t>
      </w:r>
      <w:r>
        <w:rPr>
          <w:b/>
          <w:spacing w:val="-5"/>
          <w:sz w:val="22"/>
        </w:rPr>
        <w:t> </w:t>
      </w:r>
      <w:r>
        <w:rPr>
          <w:b/>
          <w:sz w:val="22"/>
        </w:rPr>
        <w:t>for</w:t>
      </w:r>
      <w:r>
        <w:rPr>
          <w:b/>
          <w:spacing w:val="-5"/>
          <w:sz w:val="22"/>
        </w:rPr>
        <w:t> </w:t>
      </w:r>
      <w:r>
        <w:rPr>
          <w:b/>
          <w:sz w:val="22"/>
        </w:rPr>
        <w:t>Measure</w:t>
      </w:r>
      <w:r>
        <w:rPr>
          <w:b/>
          <w:spacing w:val="-5"/>
          <w:sz w:val="22"/>
        </w:rPr>
        <w:t> </w:t>
      </w:r>
      <w:r>
        <w:rPr>
          <w:b/>
          <w:spacing w:val="-10"/>
          <w:sz w:val="22"/>
        </w:rPr>
        <w:t>B</w:t>
      </w:r>
    </w:p>
    <w:p>
      <w:pPr>
        <w:pStyle w:val="BodyText"/>
        <w:spacing w:before="7"/>
        <w:rPr>
          <w:b/>
          <w:sz w:val="13"/>
        </w:rPr>
      </w:pPr>
      <w:r>
        <w:rPr/>
        <mc:AlternateContent>
          <mc:Choice Requires="wps">
            <w:drawing>
              <wp:anchor distT="0" distB="0" distL="0" distR="0" allowOverlap="1" layoutInCell="1" locked="0" behindDoc="1" simplePos="0" relativeHeight="488014336">
                <wp:simplePos x="0" y="0"/>
                <wp:positionH relativeFrom="page">
                  <wp:posOffset>914400</wp:posOffset>
                </wp:positionH>
                <wp:positionV relativeFrom="paragraph">
                  <wp:posOffset>114791</wp:posOffset>
                </wp:positionV>
                <wp:extent cx="5943600" cy="12700"/>
                <wp:effectExtent l="0" t="0" r="0" b="0"/>
                <wp:wrapTopAndBottom/>
                <wp:docPr id="895" name="Graphic 895"/>
                <wp:cNvGraphicFramePr>
                  <a:graphicFrameLocks/>
                </wp:cNvGraphicFramePr>
                <a:graphic>
                  <a:graphicData uri="http://schemas.microsoft.com/office/word/2010/wordprocessingShape">
                    <wps:wsp>
                      <wps:cNvPr id="895" name="Graphic 895"/>
                      <wps:cNvSpPr/>
                      <wps:spPr>
                        <a:xfrm>
                          <a:off x="0" y="0"/>
                          <a:ext cx="5943600" cy="12700"/>
                        </a:xfrm>
                        <a:custGeom>
                          <a:avLst/>
                          <a:gdLst/>
                          <a:ahLst/>
                          <a:cxnLst/>
                          <a:rect l="l" t="t" r="r" b="b"/>
                          <a:pathLst>
                            <a:path w="5943600" h="12700">
                              <a:moveTo>
                                <a:pt x="5943600" y="0"/>
                              </a:moveTo>
                              <a:lnTo>
                                <a:pt x="0" y="0"/>
                              </a:lnTo>
                              <a:lnTo>
                                <a:pt x="0" y="6108"/>
                              </a:lnTo>
                              <a:lnTo>
                                <a:pt x="0" y="12204"/>
                              </a:lnTo>
                              <a:lnTo>
                                <a:pt x="5943600" y="12204"/>
                              </a:lnTo>
                              <a:lnTo>
                                <a:pt x="5943600" y="6108"/>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pt;margin-top:9.038737pt;width:468pt;height:1pt;mso-position-horizontal-relative:page;mso-position-vertical-relative:paragraph;z-index:-15302144;mso-wrap-distance-left:0;mso-wrap-distance-right:0" id="docshape112" coordorigin="1440,181" coordsize="9360,20" path="m10800,181l1440,181,1440,190,1440,200,10800,200,10800,190,10800,181xe" filled="true" fillcolor="#000000" stroked="false">
                <v:path arrowok="t"/>
                <v:fill type="solid"/>
                <w10:wrap type="topAndBottom"/>
              </v:shape>
            </w:pict>
          </mc:Fallback>
        </mc:AlternateContent>
      </w:r>
    </w:p>
    <w:p>
      <w:pPr>
        <w:spacing w:before="20" w:after="39"/>
        <w:ind w:left="1220" w:right="0" w:firstLine="0"/>
        <w:jc w:val="both"/>
        <w:rPr>
          <w:sz w:val="22"/>
        </w:rPr>
      </w:pPr>
      <w:r>
        <w:rPr>
          <w:sz w:val="22"/>
        </w:rPr>
        <w:t>Measure</w:t>
      </w:r>
      <w:r>
        <w:rPr>
          <w:spacing w:val="-3"/>
          <w:sz w:val="22"/>
        </w:rPr>
        <w:t> </w:t>
      </w:r>
      <w:r>
        <w:rPr>
          <w:sz w:val="22"/>
        </w:rPr>
        <w:t>B</w:t>
      </w:r>
      <w:r>
        <w:rPr>
          <w:spacing w:val="-3"/>
          <w:sz w:val="22"/>
        </w:rPr>
        <w:t> </w:t>
      </w:r>
      <w:r>
        <w:rPr>
          <w:sz w:val="22"/>
        </w:rPr>
        <w:t>Attainment</w:t>
      </w:r>
      <w:r>
        <w:rPr>
          <w:spacing w:val="-1"/>
          <w:sz w:val="22"/>
        </w:rPr>
        <w:t> </w:t>
      </w:r>
      <w:r>
        <w:rPr>
          <w:sz w:val="22"/>
        </w:rPr>
        <w:t>=</w:t>
      </w:r>
      <w:r>
        <w:rPr>
          <w:spacing w:val="-4"/>
          <w:sz w:val="22"/>
        </w:rPr>
        <w:t> </w:t>
      </w:r>
      <w:r>
        <w:rPr>
          <w:sz w:val="22"/>
        </w:rPr>
        <w:t>48.9%</w:t>
      </w:r>
      <w:r>
        <w:rPr>
          <w:spacing w:val="52"/>
          <w:sz w:val="22"/>
        </w:rPr>
        <w:t> </w:t>
      </w:r>
      <w:r>
        <w:rPr>
          <w:sz w:val="22"/>
        </w:rPr>
        <w:t>|</w:t>
      </w:r>
      <w:r>
        <w:rPr>
          <w:spacing w:val="48"/>
          <w:sz w:val="22"/>
        </w:rPr>
        <w:t> </w:t>
      </w:r>
      <w:r>
        <w:rPr>
          <w:sz w:val="22"/>
        </w:rPr>
        <w:t>Goal</w:t>
      </w:r>
      <w:r>
        <w:rPr>
          <w:spacing w:val="-1"/>
          <w:sz w:val="22"/>
        </w:rPr>
        <w:t> </w:t>
      </w:r>
      <w:r>
        <w:rPr>
          <w:sz w:val="22"/>
        </w:rPr>
        <w:t>=</w:t>
      </w:r>
      <w:r>
        <w:rPr>
          <w:spacing w:val="-2"/>
          <w:sz w:val="22"/>
        </w:rPr>
        <w:t> </w:t>
      </w:r>
      <w:r>
        <w:rPr>
          <w:sz w:val="22"/>
        </w:rPr>
        <w:t>59.4%</w:t>
      </w:r>
      <w:r>
        <w:rPr>
          <w:spacing w:val="-4"/>
          <w:sz w:val="22"/>
        </w:rPr>
        <w:t> </w:t>
      </w:r>
      <w:r>
        <w:rPr>
          <w:sz w:val="22"/>
        </w:rPr>
        <w:t>|</w:t>
      </w:r>
      <w:r>
        <w:rPr>
          <w:spacing w:val="-3"/>
          <w:sz w:val="22"/>
        </w:rPr>
        <w:t> </w:t>
      </w:r>
      <w:r>
        <w:rPr>
          <w:sz w:val="22"/>
        </w:rPr>
        <w:t>Improvement</w:t>
      </w:r>
      <w:r>
        <w:rPr>
          <w:spacing w:val="-1"/>
          <w:sz w:val="22"/>
        </w:rPr>
        <w:t> </w:t>
      </w:r>
      <w:r>
        <w:rPr>
          <w:sz w:val="22"/>
        </w:rPr>
        <w:t>Target</w:t>
      </w:r>
      <w:r>
        <w:rPr>
          <w:spacing w:val="-1"/>
          <w:sz w:val="22"/>
        </w:rPr>
        <w:t> </w:t>
      </w:r>
      <w:r>
        <w:rPr>
          <w:sz w:val="22"/>
        </w:rPr>
        <w:t>=</w:t>
      </w:r>
      <w:r>
        <w:rPr>
          <w:spacing w:val="-2"/>
          <w:sz w:val="22"/>
        </w:rPr>
        <w:t> </w:t>
      </w:r>
      <w:r>
        <w:rPr>
          <w:spacing w:val="-4"/>
          <w:sz w:val="22"/>
        </w:rPr>
        <w:t>2.1%</w:t>
      </w:r>
    </w:p>
    <w:p>
      <w:pPr>
        <w:pStyle w:val="BodyText"/>
        <w:spacing w:line="20" w:lineRule="exact"/>
        <w:ind w:left="1220"/>
        <w:rPr>
          <w:sz w:val="2"/>
        </w:rPr>
      </w:pPr>
      <w:r>
        <w:rPr>
          <w:sz w:val="2"/>
        </w:rPr>
        <mc:AlternateContent>
          <mc:Choice Requires="wps">
            <w:drawing>
              <wp:inline distT="0" distB="0" distL="0" distR="0">
                <wp:extent cx="5943600" cy="6350"/>
                <wp:effectExtent l="0" t="0" r="0" b="0"/>
                <wp:docPr id="896" name="Group 896"/>
                <wp:cNvGraphicFramePr>
                  <a:graphicFrameLocks/>
                </wp:cNvGraphicFramePr>
                <a:graphic>
                  <a:graphicData uri="http://schemas.microsoft.com/office/word/2010/wordprocessingGroup">
                    <wpg:wgp>
                      <wpg:cNvPr id="896" name="Group 896"/>
                      <wpg:cNvGrpSpPr/>
                      <wpg:grpSpPr>
                        <a:xfrm>
                          <a:off x="0" y="0"/>
                          <a:ext cx="5943600" cy="6350"/>
                          <a:chExt cx="5943600" cy="6350"/>
                        </a:xfrm>
                      </wpg:grpSpPr>
                      <wps:wsp>
                        <wps:cNvPr id="897" name="Graphic 897"/>
                        <wps:cNvSpPr/>
                        <wps:spPr>
                          <a:xfrm>
                            <a:off x="0" y="0"/>
                            <a:ext cx="5943600" cy="6350"/>
                          </a:xfrm>
                          <a:custGeom>
                            <a:avLst/>
                            <a:gdLst/>
                            <a:ahLst/>
                            <a:cxnLst/>
                            <a:rect l="l" t="t" r="r" b="b"/>
                            <a:pathLst>
                              <a:path w="5943600" h="6350">
                                <a:moveTo>
                                  <a:pt x="5943600" y="0"/>
                                </a:move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68pt;height:.5pt;mso-position-horizontal-relative:char;mso-position-vertical-relative:line" id="docshapegroup113" coordorigin="0,0" coordsize="9360,10">
                <v:rect style="position:absolute;left:0;top:0;width:9360;height:10" id="docshape114" filled="true" fillcolor="#000000" stroked="false">
                  <v:fill type="solid"/>
                </v:rect>
              </v:group>
            </w:pict>
          </mc:Fallback>
        </mc:AlternateContent>
      </w:r>
      <w:r>
        <w:rPr>
          <w:sz w:val="2"/>
        </w:rPr>
      </w:r>
    </w:p>
    <w:p>
      <w:pPr>
        <w:pStyle w:val="BodyText"/>
        <w:spacing w:before="7"/>
        <w:rPr>
          <w:sz w:val="12"/>
        </w:rPr>
      </w:pPr>
    </w:p>
    <w:tbl>
      <w:tblPr>
        <w:tblW w:w="0" w:type="auto"/>
        <w:jc w:val="left"/>
        <w:tblInd w:w="1225" w:type="dxa"/>
        <w:tblBorders>
          <w:top w:val="single" w:sz="2" w:space="0" w:color="BEBEBE"/>
          <w:left w:val="single" w:sz="2" w:space="0" w:color="BEBEBE"/>
          <w:bottom w:val="single" w:sz="2" w:space="0" w:color="BEBEBE"/>
          <w:right w:val="single" w:sz="2" w:space="0" w:color="BEBEBE"/>
          <w:insideH w:val="single" w:sz="2" w:space="0" w:color="BEBEBE"/>
          <w:insideV w:val="single" w:sz="2" w:space="0" w:color="BEBEBE"/>
        </w:tblBorders>
        <w:tblLayout w:type="fixed"/>
        <w:tblCellMar>
          <w:top w:w="0" w:type="dxa"/>
          <w:left w:w="0" w:type="dxa"/>
          <w:bottom w:w="0" w:type="dxa"/>
          <w:right w:w="0" w:type="dxa"/>
        </w:tblCellMar>
        <w:tblLook w:val="01E0"/>
      </w:tblPr>
      <w:tblGrid>
        <w:gridCol w:w="1342"/>
        <w:gridCol w:w="824"/>
        <w:gridCol w:w="1011"/>
        <w:gridCol w:w="1496"/>
        <w:gridCol w:w="2161"/>
        <w:gridCol w:w="1532"/>
        <w:gridCol w:w="997"/>
      </w:tblGrid>
      <w:tr>
        <w:trPr>
          <w:trHeight w:val="976" w:hRule="atLeast"/>
        </w:trPr>
        <w:tc>
          <w:tcPr>
            <w:tcW w:w="1342" w:type="dxa"/>
            <w:shd w:val="clear" w:color="auto" w:fill="D9D9D9"/>
          </w:tcPr>
          <w:p>
            <w:pPr>
              <w:pStyle w:val="TableParagraph"/>
              <w:rPr>
                <w:sz w:val="20"/>
              </w:rPr>
            </w:pPr>
          </w:p>
        </w:tc>
        <w:tc>
          <w:tcPr>
            <w:tcW w:w="824" w:type="dxa"/>
            <w:shd w:val="clear" w:color="auto" w:fill="D9D9D9"/>
          </w:tcPr>
          <w:p>
            <w:pPr>
              <w:pStyle w:val="TableParagraph"/>
              <w:spacing w:before="137"/>
              <w:ind w:left="213"/>
              <w:rPr>
                <w:b/>
                <w:sz w:val="22"/>
              </w:rPr>
            </w:pPr>
            <w:r>
              <w:rPr>
                <w:b/>
                <w:spacing w:val="-5"/>
                <w:sz w:val="22"/>
              </w:rPr>
              <w:t>BP4</w:t>
            </w:r>
          </w:p>
          <w:p>
            <w:pPr>
              <w:pStyle w:val="TableParagraph"/>
              <w:spacing w:before="21"/>
              <w:ind w:left="148"/>
              <w:rPr>
                <w:b/>
                <w:sz w:val="22"/>
              </w:rPr>
            </w:pPr>
            <w:r>
              <w:rPr>
                <w:b/>
                <w:spacing w:val="-2"/>
                <w:sz w:val="22"/>
              </w:rPr>
              <w:t>Score</w:t>
            </w:r>
          </w:p>
        </w:tc>
        <w:tc>
          <w:tcPr>
            <w:tcW w:w="1011" w:type="dxa"/>
            <w:shd w:val="clear" w:color="auto" w:fill="D9D9D9"/>
          </w:tcPr>
          <w:p>
            <w:pPr>
              <w:pStyle w:val="TableParagraph"/>
              <w:spacing w:before="3"/>
              <w:rPr>
                <w:sz w:val="19"/>
              </w:rPr>
            </w:pPr>
          </w:p>
          <w:p>
            <w:pPr>
              <w:pStyle w:val="TableParagraph"/>
              <w:ind w:left="305"/>
              <w:rPr>
                <w:b/>
                <w:sz w:val="22"/>
              </w:rPr>
            </w:pPr>
            <w:r>
              <w:rPr>
                <w:b/>
                <w:spacing w:val="-5"/>
                <w:sz w:val="22"/>
              </w:rPr>
              <w:t>BP5</w:t>
            </w:r>
          </w:p>
          <w:p>
            <w:pPr>
              <w:pStyle w:val="TableParagraph"/>
              <w:spacing w:before="16"/>
              <w:ind w:left="241"/>
              <w:rPr>
                <w:b/>
                <w:sz w:val="22"/>
              </w:rPr>
            </w:pPr>
            <w:r>
              <w:rPr>
                <w:b/>
                <w:spacing w:val="-2"/>
                <w:sz w:val="22"/>
              </w:rPr>
              <w:t>Score</w:t>
            </w:r>
          </w:p>
        </w:tc>
        <w:tc>
          <w:tcPr>
            <w:tcW w:w="1496" w:type="dxa"/>
            <w:shd w:val="clear" w:color="auto" w:fill="D9D9D9"/>
          </w:tcPr>
          <w:p>
            <w:pPr>
              <w:pStyle w:val="TableParagraph"/>
              <w:spacing w:before="11"/>
              <w:rPr>
                <w:sz w:val="30"/>
              </w:rPr>
            </w:pPr>
          </w:p>
          <w:p>
            <w:pPr>
              <w:pStyle w:val="TableParagraph"/>
              <w:ind w:left="95" w:right="94"/>
              <w:jc w:val="center"/>
              <w:rPr>
                <w:b/>
                <w:sz w:val="22"/>
              </w:rPr>
            </w:pPr>
            <w:r>
              <w:rPr>
                <w:b/>
                <w:spacing w:val="-2"/>
                <w:sz w:val="22"/>
              </w:rPr>
              <w:t>Improvement</w:t>
            </w:r>
          </w:p>
        </w:tc>
        <w:tc>
          <w:tcPr>
            <w:tcW w:w="2161" w:type="dxa"/>
            <w:shd w:val="clear" w:color="auto" w:fill="D9D9D9"/>
          </w:tcPr>
          <w:p>
            <w:pPr>
              <w:pStyle w:val="TableParagraph"/>
              <w:spacing w:before="3"/>
              <w:rPr>
                <w:sz w:val="19"/>
              </w:rPr>
            </w:pPr>
          </w:p>
          <w:p>
            <w:pPr>
              <w:pStyle w:val="TableParagraph"/>
              <w:spacing w:line="254" w:lineRule="auto"/>
              <w:ind w:left="542" w:hanging="108"/>
              <w:rPr>
                <w:b/>
                <w:sz w:val="22"/>
              </w:rPr>
            </w:pPr>
            <w:r>
              <w:rPr>
                <w:b/>
                <w:spacing w:val="-2"/>
                <w:sz w:val="22"/>
              </w:rPr>
              <w:t>Improvement </w:t>
            </w:r>
            <w:r>
              <w:rPr>
                <w:b/>
                <w:sz w:val="22"/>
              </w:rPr>
              <w:t>Target Met</w:t>
            </w:r>
          </w:p>
        </w:tc>
        <w:tc>
          <w:tcPr>
            <w:tcW w:w="1532" w:type="dxa"/>
            <w:shd w:val="clear" w:color="auto" w:fill="D9D9D9"/>
          </w:tcPr>
          <w:p>
            <w:pPr>
              <w:pStyle w:val="TableParagraph"/>
              <w:spacing w:line="259" w:lineRule="auto" w:before="1"/>
              <w:ind w:left="129" w:right="136"/>
              <w:jc w:val="center"/>
              <w:rPr>
                <w:b/>
                <w:sz w:val="22"/>
              </w:rPr>
            </w:pPr>
            <w:r>
              <w:rPr>
                <w:b/>
                <w:spacing w:val="-2"/>
                <w:sz w:val="22"/>
              </w:rPr>
              <w:t>Improvement Points</w:t>
            </w:r>
            <w:r>
              <w:rPr>
                <w:b/>
                <w:spacing w:val="40"/>
                <w:sz w:val="22"/>
              </w:rPr>
              <w:t> </w:t>
            </w:r>
            <w:r>
              <w:rPr>
                <w:b/>
                <w:spacing w:val="-2"/>
                <w:sz w:val="22"/>
              </w:rPr>
              <w:t>Earned</w:t>
            </w:r>
          </w:p>
        </w:tc>
        <w:tc>
          <w:tcPr>
            <w:tcW w:w="997" w:type="dxa"/>
            <w:vMerge w:val="restart"/>
            <w:tcBorders>
              <w:top w:val="nil"/>
              <w:bottom w:val="single" w:sz="4" w:space="0" w:color="000000"/>
              <w:right w:val="nil"/>
            </w:tcBorders>
          </w:tcPr>
          <w:p>
            <w:pPr>
              <w:pStyle w:val="TableParagraph"/>
              <w:rPr>
                <w:sz w:val="20"/>
              </w:rPr>
            </w:pPr>
          </w:p>
        </w:tc>
      </w:tr>
      <w:tr>
        <w:trPr>
          <w:trHeight w:val="285" w:hRule="atLeast"/>
        </w:trPr>
        <w:tc>
          <w:tcPr>
            <w:tcW w:w="1342" w:type="dxa"/>
            <w:shd w:val="clear" w:color="auto" w:fill="DCE6F0"/>
          </w:tcPr>
          <w:p>
            <w:pPr>
              <w:pStyle w:val="TableParagraph"/>
              <w:spacing w:before="10"/>
              <w:ind w:left="170"/>
              <w:rPr>
                <w:sz w:val="22"/>
              </w:rPr>
            </w:pPr>
            <w:r>
              <w:rPr>
                <w:sz w:val="22"/>
              </w:rPr>
              <w:t>Scenario</w:t>
            </w:r>
            <w:r>
              <w:rPr>
                <w:spacing w:val="-8"/>
                <w:sz w:val="22"/>
              </w:rPr>
              <w:t> </w:t>
            </w:r>
            <w:r>
              <w:rPr>
                <w:spacing w:val="-5"/>
                <w:sz w:val="22"/>
              </w:rPr>
              <w:t>1:</w:t>
            </w:r>
          </w:p>
        </w:tc>
        <w:tc>
          <w:tcPr>
            <w:tcW w:w="824" w:type="dxa"/>
          </w:tcPr>
          <w:p>
            <w:pPr>
              <w:pStyle w:val="TableParagraph"/>
              <w:spacing w:line="250" w:lineRule="exact" w:before="15"/>
              <w:ind w:left="112" w:right="108"/>
              <w:jc w:val="center"/>
              <w:rPr>
                <w:sz w:val="22"/>
              </w:rPr>
            </w:pPr>
            <w:r>
              <w:rPr>
                <w:spacing w:val="-2"/>
                <w:sz w:val="22"/>
              </w:rPr>
              <w:t>50.0%</w:t>
            </w:r>
          </w:p>
        </w:tc>
        <w:tc>
          <w:tcPr>
            <w:tcW w:w="1011" w:type="dxa"/>
          </w:tcPr>
          <w:p>
            <w:pPr>
              <w:pStyle w:val="TableParagraph"/>
              <w:spacing w:line="250" w:lineRule="exact" w:before="15"/>
              <w:ind w:left="205" w:right="202"/>
              <w:jc w:val="center"/>
              <w:rPr>
                <w:sz w:val="22"/>
              </w:rPr>
            </w:pPr>
            <w:r>
              <w:rPr>
                <w:spacing w:val="-2"/>
                <w:sz w:val="22"/>
              </w:rPr>
              <w:t>52.1%</w:t>
            </w:r>
          </w:p>
        </w:tc>
        <w:tc>
          <w:tcPr>
            <w:tcW w:w="1496" w:type="dxa"/>
          </w:tcPr>
          <w:p>
            <w:pPr>
              <w:pStyle w:val="TableParagraph"/>
              <w:spacing w:line="250" w:lineRule="exact" w:before="15"/>
              <w:ind w:left="95" w:right="94"/>
              <w:jc w:val="center"/>
              <w:rPr>
                <w:sz w:val="22"/>
              </w:rPr>
            </w:pPr>
            <w:r>
              <w:rPr>
                <w:spacing w:val="-4"/>
                <w:sz w:val="22"/>
              </w:rPr>
              <w:t>2.1%</w:t>
            </w:r>
          </w:p>
        </w:tc>
        <w:tc>
          <w:tcPr>
            <w:tcW w:w="2161" w:type="dxa"/>
          </w:tcPr>
          <w:p>
            <w:pPr>
              <w:pStyle w:val="TableParagraph"/>
              <w:spacing w:before="10"/>
              <w:ind w:right="906"/>
              <w:jc w:val="right"/>
              <w:rPr>
                <w:sz w:val="22"/>
              </w:rPr>
            </w:pPr>
            <w:r>
              <w:rPr>
                <w:spacing w:val="-5"/>
                <w:sz w:val="22"/>
              </w:rPr>
              <w:t>Yes</w:t>
            </w:r>
          </w:p>
        </w:tc>
        <w:tc>
          <w:tcPr>
            <w:tcW w:w="1532" w:type="dxa"/>
          </w:tcPr>
          <w:p>
            <w:pPr>
              <w:pStyle w:val="TableParagraph"/>
              <w:spacing w:line="250" w:lineRule="exact" w:before="15"/>
              <w:ind w:right="7"/>
              <w:jc w:val="center"/>
              <w:rPr>
                <w:sz w:val="22"/>
              </w:rPr>
            </w:pPr>
            <w:r>
              <w:rPr>
                <w:w w:val="100"/>
                <w:sz w:val="22"/>
              </w:rPr>
              <w:t>5</w:t>
            </w:r>
          </w:p>
        </w:tc>
        <w:tc>
          <w:tcPr>
            <w:tcW w:w="997" w:type="dxa"/>
            <w:vMerge/>
            <w:tcBorders>
              <w:top w:val="nil"/>
              <w:bottom w:val="single" w:sz="4" w:space="0" w:color="000000"/>
              <w:right w:val="nil"/>
            </w:tcBorders>
          </w:tcPr>
          <w:p>
            <w:pPr>
              <w:rPr>
                <w:sz w:val="2"/>
                <w:szCs w:val="2"/>
              </w:rPr>
            </w:pPr>
          </w:p>
        </w:tc>
      </w:tr>
      <w:tr>
        <w:trPr>
          <w:trHeight w:val="287" w:hRule="atLeast"/>
        </w:trPr>
        <w:tc>
          <w:tcPr>
            <w:tcW w:w="1342" w:type="dxa"/>
            <w:shd w:val="clear" w:color="auto" w:fill="DCE6F0"/>
          </w:tcPr>
          <w:p>
            <w:pPr>
              <w:pStyle w:val="TableParagraph"/>
              <w:spacing w:before="10"/>
              <w:ind w:left="170"/>
              <w:rPr>
                <w:sz w:val="22"/>
              </w:rPr>
            </w:pPr>
            <w:r>
              <w:rPr>
                <w:sz w:val="22"/>
              </w:rPr>
              <w:t>Scenario</w:t>
            </w:r>
            <w:r>
              <w:rPr>
                <w:spacing w:val="-8"/>
                <w:sz w:val="22"/>
              </w:rPr>
              <w:t> </w:t>
            </w:r>
            <w:r>
              <w:rPr>
                <w:spacing w:val="-5"/>
                <w:sz w:val="22"/>
              </w:rPr>
              <w:t>2:</w:t>
            </w:r>
          </w:p>
        </w:tc>
        <w:tc>
          <w:tcPr>
            <w:tcW w:w="824" w:type="dxa"/>
          </w:tcPr>
          <w:p>
            <w:pPr>
              <w:pStyle w:val="TableParagraph"/>
              <w:spacing w:before="10"/>
              <w:ind w:left="112" w:right="108"/>
              <w:jc w:val="center"/>
              <w:rPr>
                <w:sz w:val="22"/>
              </w:rPr>
            </w:pPr>
            <w:r>
              <w:rPr>
                <w:spacing w:val="-2"/>
                <w:sz w:val="22"/>
              </w:rPr>
              <w:t>50.0%</w:t>
            </w:r>
          </w:p>
        </w:tc>
        <w:tc>
          <w:tcPr>
            <w:tcW w:w="1011" w:type="dxa"/>
          </w:tcPr>
          <w:p>
            <w:pPr>
              <w:pStyle w:val="TableParagraph"/>
              <w:spacing w:before="10"/>
              <w:ind w:left="205" w:right="202"/>
              <w:jc w:val="center"/>
              <w:rPr>
                <w:sz w:val="22"/>
              </w:rPr>
            </w:pPr>
            <w:r>
              <w:rPr>
                <w:spacing w:val="-2"/>
                <w:sz w:val="22"/>
              </w:rPr>
              <w:t>56.7%</w:t>
            </w:r>
          </w:p>
        </w:tc>
        <w:tc>
          <w:tcPr>
            <w:tcW w:w="1496" w:type="dxa"/>
          </w:tcPr>
          <w:p>
            <w:pPr>
              <w:pStyle w:val="TableParagraph"/>
              <w:spacing w:before="10"/>
              <w:ind w:left="95" w:right="94"/>
              <w:jc w:val="center"/>
              <w:rPr>
                <w:sz w:val="22"/>
              </w:rPr>
            </w:pPr>
            <w:r>
              <w:rPr>
                <w:spacing w:val="-4"/>
                <w:sz w:val="22"/>
              </w:rPr>
              <w:t>6.7%</w:t>
            </w:r>
          </w:p>
        </w:tc>
        <w:tc>
          <w:tcPr>
            <w:tcW w:w="2161" w:type="dxa"/>
          </w:tcPr>
          <w:p>
            <w:pPr>
              <w:pStyle w:val="TableParagraph"/>
              <w:spacing w:before="10"/>
              <w:ind w:right="906"/>
              <w:jc w:val="right"/>
              <w:rPr>
                <w:sz w:val="22"/>
              </w:rPr>
            </w:pPr>
            <w:r>
              <w:rPr>
                <w:spacing w:val="-5"/>
                <w:sz w:val="22"/>
              </w:rPr>
              <w:t>Yes</w:t>
            </w:r>
          </w:p>
        </w:tc>
        <w:tc>
          <w:tcPr>
            <w:tcW w:w="1532" w:type="dxa"/>
          </w:tcPr>
          <w:p>
            <w:pPr>
              <w:pStyle w:val="TableParagraph"/>
              <w:spacing w:before="10"/>
              <w:ind w:right="7"/>
              <w:jc w:val="center"/>
              <w:rPr>
                <w:sz w:val="22"/>
              </w:rPr>
            </w:pPr>
            <w:r>
              <w:rPr>
                <w:w w:val="100"/>
                <w:sz w:val="22"/>
              </w:rPr>
              <w:t>5</w:t>
            </w:r>
          </w:p>
        </w:tc>
        <w:tc>
          <w:tcPr>
            <w:tcW w:w="997" w:type="dxa"/>
            <w:vMerge/>
            <w:tcBorders>
              <w:top w:val="nil"/>
              <w:bottom w:val="single" w:sz="4" w:space="0" w:color="000000"/>
              <w:right w:val="nil"/>
            </w:tcBorders>
          </w:tcPr>
          <w:p>
            <w:pPr>
              <w:rPr>
                <w:sz w:val="2"/>
                <w:szCs w:val="2"/>
              </w:rPr>
            </w:pPr>
          </w:p>
        </w:tc>
      </w:tr>
      <w:tr>
        <w:trPr>
          <w:trHeight w:val="534" w:hRule="atLeast"/>
        </w:trPr>
        <w:tc>
          <w:tcPr>
            <w:tcW w:w="1342" w:type="dxa"/>
            <w:shd w:val="clear" w:color="auto" w:fill="DCE6F0"/>
          </w:tcPr>
          <w:p>
            <w:pPr>
              <w:pStyle w:val="TableParagraph"/>
              <w:spacing w:before="133"/>
              <w:ind w:left="170"/>
              <w:rPr>
                <w:sz w:val="22"/>
              </w:rPr>
            </w:pPr>
            <w:r>
              <w:rPr>
                <w:sz w:val="22"/>
              </w:rPr>
              <w:t>Scenario</w:t>
            </w:r>
            <w:r>
              <w:rPr>
                <w:spacing w:val="-8"/>
                <w:sz w:val="22"/>
              </w:rPr>
              <w:t> </w:t>
            </w:r>
            <w:r>
              <w:rPr>
                <w:spacing w:val="-5"/>
                <w:sz w:val="22"/>
              </w:rPr>
              <w:t>3:</w:t>
            </w:r>
          </w:p>
        </w:tc>
        <w:tc>
          <w:tcPr>
            <w:tcW w:w="824" w:type="dxa"/>
          </w:tcPr>
          <w:p>
            <w:pPr>
              <w:pStyle w:val="TableParagraph"/>
              <w:spacing w:before="133"/>
              <w:ind w:left="112" w:right="108"/>
              <w:jc w:val="center"/>
              <w:rPr>
                <w:sz w:val="22"/>
              </w:rPr>
            </w:pPr>
            <w:r>
              <w:rPr>
                <w:spacing w:val="-2"/>
                <w:sz w:val="22"/>
              </w:rPr>
              <w:t>59.5%</w:t>
            </w:r>
          </w:p>
        </w:tc>
        <w:tc>
          <w:tcPr>
            <w:tcW w:w="1011" w:type="dxa"/>
          </w:tcPr>
          <w:p>
            <w:pPr>
              <w:pStyle w:val="TableParagraph"/>
              <w:spacing w:before="133"/>
              <w:ind w:left="205" w:right="202"/>
              <w:jc w:val="center"/>
              <w:rPr>
                <w:sz w:val="22"/>
              </w:rPr>
            </w:pPr>
            <w:r>
              <w:rPr>
                <w:spacing w:val="-2"/>
                <w:sz w:val="22"/>
              </w:rPr>
              <w:t>63.0%</w:t>
            </w:r>
          </w:p>
        </w:tc>
        <w:tc>
          <w:tcPr>
            <w:tcW w:w="1496" w:type="dxa"/>
          </w:tcPr>
          <w:p>
            <w:pPr>
              <w:pStyle w:val="TableParagraph"/>
              <w:spacing w:before="133"/>
              <w:ind w:left="95" w:right="94"/>
              <w:jc w:val="center"/>
              <w:rPr>
                <w:sz w:val="22"/>
              </w:rPr>
            </w:pPr>
            <w:r>
              <w:rPr>
                <w:spacing w:val="-4"/>
                <w:sz w:val="22"/>
              </w:rPr>
              <w:t>3.5%</w:t>
            </w:r>
          </w:p>
        </w:tc>
        <w:tc>
          <w:tcPr>
            <w:tcW w:w="2161" w:type="dxa"/>
          </w:tcPr>
          <w:p>
            <w:pPr>
              <w:pStyle w:val="TableParagraph"/>
              <w:spacing w:line="251" w:lineRule="exact"/>
              <w:ind w:left="102" w:right="102"/>
              <w:jc w:val="center"/>
              <w:rPr>
                <w:sz w:val="22"/>
              </w:rPr>
            </w:pPr>
            <w:r>
              <w:rPr>
                <w:sz w:val="22"/>
              </w:rPr>
              <w:t>Yes;</w:t>
            </w:r>
            <w:r>
              <w:rPr>
                <w:spacing w:val="-4"/>
                <w:sz w:val="22"/>
              </w:rPr>
              <w:t> </w:t>
            </w:r>
            <w:r>
              <w:rPr>
                <w:sz w:val="22"/>
              </w:rPr>
              <w:t>above</w:t>
            </w:r>
            <w:r>
              <w:rPr>
                <w:spacing w:val="-3"/>
                <w:sz w:val="22"/>
              </w:rPr>
              <w:t> </w:t>
            </w:r>
            <w:r>
              <w:rPr>
                <w:spacing w:val="-4"/>
                <w:sz w:val="22"/>
              </w:rPr>
              <w:t>Goal</w:t>
            </w:r>
          </w:p>
          <w:p>
            <w:pPr>
              <w:pStyle w:val="TableParagraph"/>
              <w:spacing w:line="248" w:lineRule="exact" w:before="16"/>
              <w:ind w:left="101" w:right="102"/>
              <w:jc w:val="center"/>
              <w:rPr>
                <w:sz w:val="22"/>
              </w:rPr>
            </w:pPr>
            <w:r>
              <w:rPr>
                <w:spacing w:val="-2"/>
                <w:sz w:val="22"/>
              </w:rPr>
              <w:t>Benchmark</w:t>
            </w:r>
          </w:p>
        </w:tc>
        <w:tc>
          <w:tcPr>
            <w:tcW w:w="1532" w:type="dxa"/>
          </w:tcPr>
          <w:p>
            <w:pPr>
              <w:pStyle w:val="TableParagraph"/>
              <w:spacing w:before="133"/>
              <w:ind w:right="7"/>
              <w:jc w:val="center"/>
              <w:rPr>
                <w:sz w:val="22"/>
              </w:rPr>
            </w:pPr>
            <w:r>
              <w:rPr>
                <w:w w:val="100"/>
                <w:sz w:val="22"/>
              </w:rPr>
              <w:t>5</w:t>
            </w:r>
          </w:p>
        </w:tc>
        <w:tc>
          <w:tcPr>
            <w:tcW w:w="997" w:type="dxa"/>
            <w:vMerge/>
            <w:tcBorders>
              <w:top w:val="nil"/>
              <w:bottom w:val="single" w:sz="4" w:space="0" w:color="000000"/>
              <w:right w:val="nil"/>
            </w:tcBorders>
          </w:tcPr>
          <w:p>
            <w:pPr>
              <w:rPr>
                <w:sz w:val="2"/>
                <w:szCs w:val="2"/>
              </w:rPr>
            </w:pPr>
          </w:p>
        </w:tc>
      </w:tr>
      <w:tr>
        <w:trPr>
          <w:trHeight w:val="534" w:hRule="atLeast"/>
        </w:trPr>
        <w:tc>
          <w:tcPr>
            <w:tcW w:w="1342" w:type="dxa"/>
            <w:shd w:val="clear" w:color="auto" w:fill="DCE6F0"/>
          </w:tcPr>
          <w:p>
            <w:pPr>
              <w:pStyle w:val="TableParagraph"/>
              <w:spacing w:before="132"/>
              <w:ind w:left="201"/>
              <w:rPr>
                <w:sz w:val="22"/>
              </w:rPr>
            </w:pPr>
            <w:r>
              <w:rPr>
                <w:sz w:val="22"/>
              </w:rPr>
              <w:t>Scenario</w:t>
            </w:r>
            <w:r>
              <w:rPr>
                <w:spacing w:val="-8"/>
                <w:sz w:val="22"/>
              </w:rPr>
              <w:t> </w:t>
            </w:r>
            <w:r>
              <w:rPr>
                <w:spacing w:val="-10"/>
                <w:sz w:val="22"/>
              </w:rPr>
              <w:t>4</w:t>
            </w:r>
          </w:p>
        </w:tc>
        <w:tc>
          <w:tcPr>
            <w:tcW w:w="824" w:type="dxa"/>
          </w:tcPr>
          <w:p>
            <w:pPr>
              <w:pStyle w:val="TableParagraph"/>
              <w:spacing w:before="132"/>
              <w:ind w:left="112" w:right="108"/>
              <w:jc w:val="center"/>
              <w:rPr>
                <w:sz w:val="22"/>
              </w:rPr>
            </w:pPr>
            <w:r>
              <w:rPr>
                <w:spacing w:val="-2"/>
                <w:sz w:val="22"/>
              </w:rPr>
              <w:t>45.0%</w:t>
            </w:r>
          </w:p>
        </w:tc>
        <w:tc>
          <w:tcPr>
            <w:tcW w:w="1011" w:type="dxa"/>
          </w:tcPr>
          <w:p>
            <w:pPr>
              <w:pStyle w:val="TableParagraph"/>
              <w:spacing w:before="132"/>
              <w:ind w:left="205" w:right="202"/>
              <w:jc w:val="center"/>
              <w:rPr>
                <w:sz w:val="22"/>
              </w:rPr>
            </w:pPr>
            <w:r>
              <w:rPr>
                <w:spacing w:val="-2"/>
                <w:sz w:val="22"/>
              </w:rPr>
              <w:t>48.0%</w:t>
            </w:r>
          </w:p>
        </w:tc>
        <w:tc>
          <w:tcPr>
            <w:tcW w:w="1496" w:type="dxa"/>
          </w:tcPr>
          <w:p>
            <w:pPr>
              <w:pStyle w:val="TableParagraph"/>
              <w:spacing w:before="132"/>
              <w:ind w:left="95" w:right="94"/>
              <w:jc w:val="center"/>
              <w:rPr>
                <w:sz w:val="22"/>
              </w:rPr>
            </w:pPr>
            <w:r>
              <w:rPr>
                <w:spacing w:val="-4"/>
                <w:sz w:val="22"/>
              </w:rPr>
              <w:t>3.0%</w:t>
            </w:r>
          </w:p>
        </w:tc>
        <w:tc>
          <w:tcPr>
            <w:tcW w:w="2161" w:type="dxa"/>
          </w:tcPr>
          <w:p>
            <w:pPr>
              <w:pStyle w:val="TableParagraph"/>
              <w:spacing w:line="251" w:lineRule="exact"/>
              <w:ind w:left="102" w:right="102"/>
              <w:jc w:val="center"/>
              <w:rPr>
                <w:sz w:val="22"/>
              </w:rPr>
            </w:pPr>
            <w:r>
              <w:rPr>
                <w:sz w:val="22"/>
              </w:rPr>
              <w:t>Yes;</w:t>
            </w:r>
            <w:r>
              <w:rPr>
                <w:spacing w:val="-1"/>
                <w:sz w:val="22"/>
              </w:rPr>
              <w:t> </w:t>
            </w:r>
            <w:r>
              <w:rPr>
                <w:spacing w:val="-2"/>
                <w:sz w:val="22"/>
              </w:rPr>
              <w:t>below</w:t>
            </w:r>
          </w:p>
          <w:p>
            <w:pPr>
              <w:pStyle w:val="TableParagraph"/>
              <w:spacing w:line="248" w:lineRule="exact" w:before="16"/>
              <w:ind w:left="102" w:right="102"/>
              <w:jc w:val="center"/>
              <w:rPr>
                <w:sz w:val="22"/>
              </w:rPr>
            </w:pPr>
            <w:r>
              <w:rPr>
                <w:sz w:val="22"/>
              </w:rPr>
              <w:t>Attainment</w:t>
            </w:r>
            <w:r>
              <w:rPr>
                <w:spacing w:val="-7"/>
                <w:sz w:val="22"/>
              </w:rPr>
              <w:t> </w:t>
            </w:r>
            <w:r>
              <w:rPr>
                <w:spacing w:val="-2"/>
                <w:sz w:val="22"/>
              </w:rPr>
              <w:t>Threshold</w:t>
            </w:r>
          </w:p>
        </w:tc>
        <w:tc>
          <w:tcPr>
            <w:tcW w:w="1532" w:type="dxa"/>
          </w:tcPr>
          <w:p>
            <w:pPr>
              <w:pStyle w:val="TableParagraph"/>
              <w:spacing w:before="132"/>
              <w:ind w:right="7"/>
              <w:jc w:val="center"/>
              <w:rPr>
                <w:sz w:val="22"/>
              </w:rPr>
            </w:pPr>
            <w:r>
              <w:rPr>
                <w:w w:val="100"/>
                <w:sz w:val="22"/>
              </w:rPr>
              <w:t>5</w:t>
            </w:r>
          </w:p>
        </w:tc>
        <w:tc>
          <w:tcPr>
            <w:tcW w:w="997" w:type="dxa"/>
            <w:vMerge/>
            <w:tcBorders>
              <w:top w:val="nil"/>
              <w:bottom w:val="single" w:sz="4" w:space="0" w:color="000000"/>
              <w:right w:val="nil"/>
            </w:tcBorders>
          </w:tcPr>
          <w:p>
            <w:pPr>
              <w:rPr>
                <w:sz w:val="2"/>
                <w:szCs w:val="2"/>
              </w:rPr>
            </w:pPr>
          </w:p>
        </w:tc>
      </w:tr>
      <w:tr>
        <w:trPr>
          <w:trHeight w:val="618" w:hRule="atLeast"/>
        </w:trPr>
        <w:tc>
          <w:tcPr>
            <w:tcW w:w="1342" w:type="dxa"/>
            <w:shd w:val="clear" w:color="auto" w:fill="DCE6F0"/>
          </w:tcPr>
          <w:p>
            <w:pPr>
              <w:pStyle w:val="TableParagraph"/>
              <w:spacing w:before="176"/>
              <w:ind w:left="170"/>
              <w:rPr>
                <w:sz w:val="22"/>
              </w:rPr>
            </w:pPr>
            <w:r>
              <w:rPr>
                <w:sz w:val="22"/>
              </w:rPr>
              <w:t>Scenario</w:t>
            </w:r>
            <w:r>
              <w:rPr>
                <w:spacing w:val="-8"/>
                <w:sz w:val="22"/>
              </w:rPr>
              <w:t> </w:t>
            </w:r>
            <w:r>
              <w:rPr>
                <w:spacing w:val="-5"/>
                <w:sz w:val="22"/>
              </w:rPr>
              <w:t>5:</w:t>
            </w:r>
          </w:p>
        </w:tc>
        <w:tc>
          <w:tcPr>
            <w:tcW w:w="824" w:type="dxa"/>
          </w:tcPr>
          <w:p>
            <w:pPr>
              <w:pStyle w:val="TableParagraph"/>
              <w:spacing w:before="176"/>
              <w:ind w:left="112" w:right="108"/>
              <w:jc w:val="center"/>
              <w:rPr>
                <w:sz w:val="22"/>
              </w:rPr>
            </w:pPr>
            <w:r>
              <w:rPr>
                <w:spacing w:val="-2"/>
                <w:sz w:val="22"/>
              </w:rPr>
              <w:t>46.0%</w:t>
            </w:r>
          </w:p>
        </w:tc>
        <w:tc>
          <w:tcPr>
            <w:tcW w:w="1011" w:type="dxa"/>
          </w:tcPr>
          <w:p>
            <w:pPr>
              <w:pStyle w:val="TableParagraph"/>
              <w:spacing w:before="176"/>
              <w:ind w:left="205" w:right="202"/>
              <w:jc w:val="center"/>
              <w:rPr>
                <w:sz w:val="22"/>
              </w:rPr>
            </w:pPr>
            <w:r>
              <w:rPr>
                <w:spacing w:val="-2"/>
                <w:sz w:val="22"/>
              </w:rPr>
              <w:t>49.0%</w:t>
            </w:r>
          </w:p>
        </w:tc>
        <w:tc>
          <w:tcPr>
            <w:tcW w:w="1496" w:type="dxa"/>
          </w:tcPr>
          <w:p>
            <w:pPr>
              <w:pStyle w:val="TableParagraph"/>
              <w:spacing w:before="176"/>
              <w:ind w:left="487"/>
              <w:rPr>
                <w:sz w:val="22"/>
              </w:rPr>
            </w:pPr>
            <w:r>
              <w:rPr>
                <w:sz w:val="22"/>
              </w:rPr>
              <w:t>3.0 </w:t>
            </w:r>
            <w:r>
              <w:rPr>
                <w:spacing w:val="-10"/>
                <w:sz w:val="22"/>
              </w:rPr>
              <w:t>%</w:t>
            </w:r>
          </w:p>
        </w:tc>
        <w:tc>
          <w:tcPr>
            <w:tcW w:w="2161" w:type="dxa"/>
          </w:tcPr>
          <w:p>
            <w:pPr>
              <w:pStyle w:val="TableParagraph"/>
              <w:spacing w:line="254" w:lineRule="auto" w:before="41"/>
              <w:ind w:left="582" w:hanging="104"/>
              <w:rPr>
                <w:sz w:val="22"/>
              </w:rPr>
            </w:pPr>
            <w:r>
              <w:rPr>
                <w:sz w:val="22"/>
              </w:rPr>
              <w:t>Yes;</w:t>
            </w:r>
            <w:r>
              <w:rPr>
                <w:spacing w:val="-14"/>
                <w:sz w:val="22"/>
              </w:rPr>
              <w:t> </w:t>
            </w:r>
            <w:r>
              <w:rPr>
                <w:sz w:val="22"/>
              </w:rPr>
              <w:t>crossing </w:t>
            </w:r>
            <w:r>
              <w:rPr>
                <w:spacing w:val="-2"/>
                <w:sz w:val="22"/>
              </w:rPr>
              <w:t>Attainment</w:t>
            </w:r>
          </w:p>
        </w:tc>
        <w:tc>
          <w:tcPr>
            <w:tcW w:w="1532" w:type="dxa"/>
          </w:tcPr>
          <w:p>
            <w:pPr>
              <w:pStyle w:val="TableParagraph"/>
              <w:spacing w:before="175"/>
              <w:ind w:right="6"/>
              <w:jc w:val="center"/>
              <w:rPr>
                <w:sz w:val="22"/>
              </w:rPr>
            </w:pPr>
            <w:r>
              <w:rPr>
                <w:w w:val="100"/>
                <w:sz w:val="22"/>
              </w:rPr>
              <w:t>5</w:t>
            </w:r>
          </w:p>
        </w:tc>
        <w:tc>
          <w:tcPr>
            <w:tcW w:w="997" w:type="dxa"/>
            <w:vMerge/>
            <w:tcBorders>
              <w:top w:val="nil"/>
              <w:bottom w:val="single" w:sz="4" w:space="0" w:color="000000"/>
              <w:right w:val="nil"/>
            </w:tcBorders>
          </w:tcPr>
          <w:p>
            <w:pPr>
              <w:rPr>
                <w:sz w:val="2"/>
                <w:szCs w:val="2"/>
              </w:rPr>
            </w:pPr>
          </w:p>
        </w:tc>
      </w:tr>
      <w:tr>
        <w:trPr>
          <w:trHeight w:val="301" w:hRule="atLeast"/>
        </w:trPr>
        <w:tc>
          <w:tcPr>
            <w:tcW w:w="1342" w:type="dxa"/>
            <w:tcBorders>
              <w:bottom w:val="single" w:sz="6" w:space="0" w:color="000000"/>
            </w:tcBorders>
            <w:shd w:val="clear" w:color="auto" w:fill="DCE6F0"/>
          </w:tcPr>
          <w:p>
            <w:pPr>
              <w:pStyle w:val="TableParagraph"/>
              <w:spacing w:before="17"/>
              <w:ind w:left="170"/>
              <w:rPr>
                <w:sz w:val="22"/>
              </w:rPr>
            </w:pPr>
            <w:r>
              <w:rPr>
                <w:sz w:val="22"/>
              </w:rPr>
              <w:t>Scenario</w:t>
            </w:r>
            <w:r>
              <w:rPr>
                <w:spacing w:val="-8"/>
                <w:sz w:val="22"/>
              </w:rPr>
              <w:t> </w:t>
            </w:r>
            <w:r>
              <w:rPr>
                <w:spacing w:val="-5"/>
                <w:sz w:val="22"/>
              </w:rPr>
              <w:t>6:</w:t>
            </w:r>
          </w:p>
        </w:tc>
        <w:tc>
          <w:tcPr>
            <w:tcW w:w="824" w:type="dxa"/>
            <w:tcBorders>
              <w:bottom w:val="single" w:sz="6" w:space="0" w:color="000000"/>
            </w:tcBorders>
          </w:tcPr>
          <w:p>
            <w:pPr>
              <w:pStyle w:val="TableParagraph"/>
              <w:spacing w:before="17"/>
              <w:ind w:left="112" w:right="108"/>
              <w:jc w:val="center"/>
              <w:rPr>
                <w:sz w:val="22"/>
              </w:rPr>
            </w:pPr>
            <w:r>
              <w:rPr>
                <w:spacing w:val="-2"/>
                <w:sz w:val="22"/>
              </w:rPr>
              <w:t>45.0%</w:t>
            </w:r>
          </w:p>
        </w:tc>
        <w:tc>
          <w:tcPr>
            <w:tcW w:w="1011" w:type="dxa"/>
            <w:tcBorders>
              <w:bottom w:val="single" w:sz="6" w:space="0" w:color="000000"/>
            </w:tcBorders>
          </w:tcPr>
          <w:p>
            <w:pPr>
              <w:pStyle w:val="TableParagraph"/>
              <w:spacing w:before="17"/>
              <w:ind w:left="205" w:right="202"/>
              <w:jc w:val="center"/>
              <w:rPr>
                <w:sz w:val="22"/>
              </w:rPr>
            </w:pPr>
            <w:r>
              <w:rPr>
                <w:spacing w:val="-2"/>
                <w:sz w:val="22"/>
              </w:rPr>
              <w:t>46.0%</w:t>
            </w:r>
          </w:p>
        </w:tc>
        <w:tc>
          <w:tcPr>
            <w:tcW w:w="1496" w:type="dxa"/>
            <w:tcBorders>
              <w:bottom w:val="single" w:sz="6" w:space="0" w:color="000000"/>
            </w:tcBorders>
          </w:tcPr>
          <w:p>
            <w:pPr>
              <w:pStyle w:val="TableParagraph"/>
              <w:spacing w:before="17"/>
              <w:ind w:left="95" w:right="94"/>
              <w:jc w:val="center"/>
              <w:rPr>
                <w:sz w:val="22"/>
              </w:rPr>
            </w:pPr>
            <w:r>
              <w:rPr>
                <w:spacing w:val="-4"/>
                <w:sz w:val="22"/>
              </w:rPr>
              <w:t>1.0%</w:t>
            </w:r>
          </w:p>
        </w:tc>
        <w:tc>
          <w:tcPr>
            <w:tcW w:w="2161" w:type="dxa"/>
            <w:tcBorders>
              <w:bottom w:val="single" w:sz="6" w:space="0" w:color="000000"/>
            </w:tcBorders>
          </w:tcPr>
          <w:p>
            <w:pPr>
              <w:pStyle w:val="TableParagraph"/>
              <w:spacing w:before="17"/>
              <w:ind w:right="943"/>
              <w:jc w:val="right"/>
              <w:rPr>
                <w:sz w:val="22"/>
              </w:rPr>
            </w:pPr>
            <w:r>
              <w:rPr>
                <w:spacing w:val="-5"/>
                <w:sz w:val="22"/>
              </w:rPr>
              <w:t>No</w:t>
            </w:r>
          </w:p>
        </w:tc>
        <w:tc>
          <w:tcPr>
            <w:tcW w:w="1532" w:type="dxa"/>
            <w:tcBorders>
              <w:bottom w:val="single" w:sz="6" w:space="0" w:color="000000"/>
            </w:tcBorders>
          </w:tcPr>
          <w:p>
            <w:pPr>
              <w:pStyle w:val="TableParagraph"/>
              <w:spacing w:before="17"/>
              <w:ind w:right="7"/>
              <w:jc w:val="center"/>
              <w:rPr>
                <w:sz w:val="22"/>
              </w:rPr>
            </w:pPr>
            <w:r>
              <w:rPr>
                <w:w w:val="100"/>
                <w:sz w:val="22"/>
              </w:rPr>
              <w:t>0</w:t>
            </w:r>
          </w:p>
        </w:tc>
        <w:tc>
          <w:tcPr>
            <w:tcW w:w="997" w:type="dxa"/>
            <w:vMerge/>
            <w:tcBorders>
              <w:top w:val="nil"/>
              <w:bottom w:val="single" w:sz="4" w:space="0" w:color="000000"/>
              <w:right w:val="nil"/>
            </w:tcBorders>
          </w:tcPr>
          <w:p>
            <w:pPr>
              <w:rPr>
                <w:sz w:val="2"/>
                <w:szCs w:val="2"/>
              </w:rPr>
            </w:pPr>
          </w:p>
        </w:tc>
      </w:tr>
    </w:tbl>
    <w:p>
      <w:pPr>
        <w:spacing w:line="252" w:lineRule="exact" w:before="209"/>
        <w:ind w:left="1220" w:right="0" w:firstLine="0"/>
        <w:jc w:val="both"/>
        <w:rPr>
          <w:sz w:val="22"/>
        </w:rPr>
      </w:pPr>
      <w:bookmarkStart w:name="Domain Score" w:id="1387"/>
      <w:bookmarkEnd w:id="1387"/>
      <w:r>
        <w:rPr/>
      </w:r>
      <w:r>
        <w:rPr>
          <w:color w:val="1F3762"/>
          <w:sz w:val="22"/>
        </w:rPr>
        <w:t>Domain</w:t>
      </w:r>
      <w:r>
        <w:rPr>
          <w:color w:val="1F3762"/>
          <w:spacing w:val="-5"/>
          <w:sz w:val="22"/>
        </w:rPr>
        <w:t> </w:t>
      </w:r>
      <w:r>
        <w:rPr>
          <w:color w:val="1F3762"/>
          <w:spacing w:val="-2"/>
          <w:sz w:val="22"/>
        </w:rPr>
        <w:t>Score</w:t>
      </w:r>
    </w:p>
    <w:p>
      <w:pPr>
        <w:spacing w:before="0"/>
        <w:ind w:left="1219" w:right="1094" w:firstLine="0"/>
        <w:jc w:val="both"/>
        <w:rPr>
          <w:sz w:val="22"/>
        </w:rPr>
      </w:pPr>
      <w:r>
        <w:rPr>
          <w:sz w:val="22"/>
        </w:rPr>
        <w:t>Domain-based scoring will not be used in Budget Period (BP) 1, as described in Section 5.3.1.2.</w:t>
      </w:r>
      <w:r>
        <w:rPr>
          <w:spacing w:val="40"/>
          <w:sz w:val="22"/>
        </w:rPr>
        <w:t> </w:t>
      </w:r>
      <w:r>
        <w:rPr>
          <w:sz w:val="22"/>
        </w:rPr>
        <w:t>In BP2, BP4, and BP5, for each ACO, the State will sum the ACO’s achievement and improvement points for all Quality Measures within each Quality Domain.</w:t>
      </w:r>
      <w:r>
        <w:rPr>
          <w:spacing w:val="40"/>
          <w:sz w:val="22"/>
        </w:rPr>
        <w:t> </w:t>
      </w:r>
      <w:r>
        <w:rPr>
          <w:sz w:val="22"/>
        </w:rPr>
        <w:t>Improvement points earned in one Quality Domain may only be summed with achievement points from the same Quality Domain.</w:t>
      </w:r>
      <w:r>
        <w:rPr>
          <w:spacing w:val="40"/>
          <w:sz w:val="22"/>
        </w:rPr>
        <w:t> </w:t>
      </w:r>
      <w:r>
        <w:rPr>
          <w:sz w:val="22"/>
        </w:rPr>
        <w:t>The total number of points earned by the ACO in each domain cannot exceed the maximum number of achievement points available in the domain.</w:t>
      </w:r>
      <w:r>
        <w:rPr>
          <w:spacing w:val="40"/>
          <w:sz w:val="22"/>
        </w:rPr>
        <w:t> </w:t>
      </w:r>
      <w:r>
        <w:rPr>
          <w:sz w:val="22"/>
        </w:rPr>
        <w:t>The maximum number of achievement points in the domain is calculated by multiplying the number of Pay-for-Performance (P4P) measures in the domain, in the given BP, by the number of available achievement points per measure.</w:t>
      </w:r>
    </w:p>
    <w:p>
      <w:pPr>
        <w:spacing w:line="240" w:lineRule="auto" w:before="159"/>
        <w:ind w:left="1219" w:right="1094" w:firstLine="0"/>
        <w:jc w:val="both"/>
        <w:rPr>
          <w:i/>
          <w:sz w:val="22"/>
        </w:rPr>
      </w:pPr>
      <w:r>
        <w:rPr>
          <w:i/>
          <w:sz w:val="22"/>
        </w:rPr>
        <w:t>For</w:t>
      </w:r>
      <w:r>
        <w:rPr>
          <w:i/>
          <w:spacing w:val="-1"/>
          <w:sz w:val="22"/>
        </w:rPr>
        <w:t> </w:t>
      </w:r>
      <w:r>
        <w:rPr>
          <w:i/>
          <w:sz w:val="22"/>
        </w:rPr>
        <w:t>example,</w:t>
      </w:r>
      <w:r>
        <w:rPr>
          <w:i/>
          <w:spacing w:val="-1"/>
          <w:sz w:val="22"/>
        </w:rPr>
        <w:t> </w:t>
      </w:r>
      <w:r>
        <w:rPr>
          <w:i/>
          <w:sz w:val="22"/>
        </w:rPr>
        <w:t>if</w:t>
      </w:r>
      <w:r>
        <w:rPr>
          <w:i/>
          <w:spacing w:val="-3"/>
          <w:sz w:val="22"/>
        </w:rPr>
        <w:t> </w:t>
      </w:r>
      <w:r>
        <w:rPr>
          <w:i/>
          <w:sz w:val="22"/>
        </w:rPr>
        <w:t>in</w:t>
      </w:r>
      <w:r>
        <w:rPr>
          <w:i/>
          <w:spacing w:val="-1"/>
          <w:sz w:val="22"/>
        </w:rPr>
        <w:t> </w:t>
      </w:r>
      <w:r>
        <w:rPr>
          <w:i/>
          <w:sz w:val="22"/>
        </w:rPr>
        <w:t>BP4,</w:t>
      </w:r>
      <w:r>
        <w:rPr>
          <w:i/>
          <w:spacing w:val="-1"/>
          <w:sz w:val="22"/>
        </w:rPr>
        <w:t> </w:t>
      </w:r>
      <w:r>
        <w:rPr>
          <w:i/>
          <w:sz w:val="22"/>
        </w:rPr>
        <w:t>there</w:t>
      </w:r>
      <w:r>
        <w:rPr>
          <w:i/>
          <w:spacing w:val="-1"/>
          <w:sz w:val="22"/>
        </w:rPr>
        <w:t> </w:t>
      </w:r>
      <w:r>
        <w:rPr>
          <w:i/>
          <w:sz w:val="22"/>
        </w:rPr>
        <w:t>are</w:t>
      </w:r>
      <w:r>
        <w:rPr>
          <w:i/>
          <w:spacing w:val="-1"/>
          <w:sz w:val="22"/>
        </w:rPr>
        <w:t> </w:t>
      </w:r>
      <w:r>
        <w:rPr>
          <w:i/>
          <w:sz w:val="22"/>
        </w:rPr>
        <w:t>ten</w:t>
      </w:r>
      <w:r>
        <w:rPr>
          <w:i/>
          <w:spacing w:val="-1"/>
          <w:sz w:val="22"/>
        </w:rPr>
        <w:t> </w:t>
      </w:r>
      <w:r>
        <w:rPr>
          <w:i/>
          <w:sz w:val="22"/>
        </w:rPr>
        <w:t>(10)</w:t>
      </w:r>
      <w:r>
        <w:rPr>
          <w:i/>
          <w:spacing w:val="-3"/>
          <w:sz w:val="22"/>
        </w:rPr>
        <w:t> </w:t>
      </w:r>
      <w:r>
        <w:rPr>
          <w:i/>
          <w:sz w:val="22"/>
        </w:rPr>
        <w:t>clinical quality</w:t>
      </w:r>
      <w:r>
        <w:rPr>
          <w:i/>
          <w:spacing w:val="-1"/>
          <w:sz w:val="22"/>
        </w:rPr>
        <w:t> </w:t>
      </w:r>
      <w:r>
        <w:rPr>
          <w:i/>
          <w:sz w:val="22"/>
        </w:rPr>
        <w:t>measures</w:t>
      </w:r>
      <w:r>
        <w:rPr>
          <w:i/>
          <w:spacing w:val="-1"/>
          <w:sz w:val="22"/>
        </w:rPr>
        <w:t> </w:t>
      </w:r>
      <w:r>
        <w:rPr>
          <w:i/>
          <w:sz w:val="22"/>
        </w:rPr>
        <w:t>in</w:t>
      </w:r>
      <w:r>
        <w:rPr>
          <w:i/>
          <w:spacing w:val="-1"/>
          <w:sz w:val="22"/>
        </w:rPr>
        <w:t> </w:t>
      </w:r>
      <w:r>
        <w:rPr>
          <w:i/>
          <w:sz w:val="22"/>
        </w:rPr>
        <w:t>Domain</w:t>
      </w:r>
      <w:r>
        <w:rPr>
          <w:i/>
          <w:spacing w:val="-1"/>
          <w:sz w:val="22"/>
        </w:rPr>
        <w:t> </w:t>
      </w:r>
      <w:r>
        <w:rPr>
          <w:i/>
          <w:sz w:val="22"/>
        </w:rPr>
        <w:t>X</w:t>
      </w:r>
      <w:r>
        <w:rPr>
          <w:i/>
          <w:spacing w:val="-2"/>
          <w:sz w:val="22"/>
        </w:rPr>
        <w:t> </w:t>
      </w:r>
      <w:r>
        <w:rPr>
          <w:i/>
          <w:sz w:val="22"/>
        </w:rPr>
        <w:t>in</w:t>
      </w:r>
      <w:r>
        <w:rPr>
          <w:i/>
          <w:spacing w:val="-1"/>
          <w:sz w:val="22"/>
        </w:rPr>
        <w:t> </w:t>
      </w:r>
      <w:r>
        <w:rPr>
          <w:i/>
          <w:sz w:val="22"/>
        </w:rPr>
        <w:t>Pay-for-Performance,</w:t>
      </w:r>
      <w:r>
        <w:rPr>
          <w:i/>
          <w:sz w:val="22"/>
        </w:rPr>
        <w:t> and each measure is worth ten (10) achievement points, the maximum number of achievement points in Domain</w:t>
      </w:r>
      <w:r>
        <w:rPr>
          <w:i/>
          <w:spacing w:val="-12"/>
          <w:sz w:val="22"/>
        </w:rPr>
        <w:t> </w:t>
      </w:r>
      <w:r>
        <w:rPr>
          <w:i/>
          <w:sz w:val="22"/>
        </w:rPr>
        <w:t>X</w:t>
      </w:r>
      <w:r>
        <w:rPr>
          <w:i/>
          <w:spacing w:val="-14"/>
          <w:sz w:val="22"/>
        </w:rPr>
        <w:t> </w:t>
      </w:r>
      <w:r>
        <w:rPr>
          <w:i/>
          <w:sz w:val="22"/>
        </w:rPr>
        <w:t>would</w:t>
      </w:r>
      <w:r>
        <w:rPr>
          <w:i/>
          <w:spacing w:val="-13"/>
          <w:sz w:val="22"/>
        </w:rPr>
        <w:t> </w:t>
      </w:r>
      <w:r>
        <w:rPr>
          <w:i/>
          <w:sz w:val="22"/>
        </w:rPr>
        <w:t>be</w:t>
      </w:r>
      <w:r>
        <w:rPr>
          <w:i/>
          <w:spacing w:val="-14"/>
          <w:sz w:val="22"/>
        </w:rPr>
        <w:t> </w:t>
      </w:r>
      <w:r>
        <w:rPr>
          <w:i/>
          <w:sz w:val="22"/>
        </w:rPr>
        <w:t>100.</w:t>
      </w:r>
      <w:r>
        <w:rPr>
          <w:i/>
          <w:spacing w:val="-13"/>
          <w:sz w:val="22"/>
        </w:rPr>
        <w:t> </w:t>
      </w:r>
      <w:r>
        <w:rPr>
          <w:i/>
          <w:sz w:val="22"/>
        </w:rPr>
        <w:t>Assume</w:t>
      </w:r>
      <w:r>
        <w:rPr>
          <w:i/>
          <w:spacing w:val="-14"/>
          <w:sz w:val="22"/>
        </w:rPr>
        <w:t> </w:t>
      </w:r>
      <w:r>
        <w:rPr>
          <w:i/>
          <w:sz w:val="22"/>
        </w:rPr>
        <w:t>that</w:t>
      </w:r>
      <w:r>
        <w:rPr>
          <w:i/>
          <w:spacing w:val="-12"/>
          <w:sz w:val="22"/>
        </w:rPr>
        <w:t> </w:t>
      </w:r>
      <w:r>
        <w:rPr>
          <w:i/>
          <w:sz w:val="22"/>
        </w:rPr>
        <w:t>in</w:t>
      </w:r>
      <w:r>
        <w:rPr>
          <w:i/>
          <w:spacing w:val="-12"/>
          <w:sz w:val="22"/>
        </w:rPr>
        <w:t> </w:t>
      </w:r>
      <w:r>
        <w:rPr>
          <w:i/>
          <w:sz w:val="22"/>
        </w:rPr>
        <w:t>BP5</w:t>
      </w:r>
      <w:r>
        <w:rPr>
          <w:i/>
          <w:spacing w:val="-14"/>
          <w:sz w:val="22"/>
        </w:rPr>
        <w:t> </w:t>
      </w:r>
      <w:r>
        <w:rPr>
          <w:i/>
          <w:sz w:val="22"/>
        </w:rPr>
        <w:t>there</w:t>
      </w:r>
      <w:r>
        <w:rPr>
          <w:i/>
          <w:spacing w:val="-13"/>
          <w:sz w:val="22"/>
        </w:rPr>
        <w:t> </w:t>
      </w:r>
      <w:r>
        <w:rPr>
          <w:i/>
          <w:sz w:val="22"/>
        </w:rPr>
        <w:t>are</w:t>
      </w:r>
      <w:r>
        <w:rPr>
          <w:i/>
          <w:spacing w:val="-14"/>
          <w:sz w:val="22"/>
        </w:rPr>
        <w:t> </w:t>
      </w:r>
      <w:r>
        <w:rPr>
          <w:i/>
          <w:sz w:val="22"/>
        </w:rPr>
        <w:t>now</w:t>
      </w:r>
      <w:r>
        <w:rPr>
          <w:i/>
          <w:spacing w:val="-12"/>
          <w:sz w:val="22"/>
        </w:rPr>
        <w:t> </w:t>
      </w:r>
      <w:r>
        <w:rPr>
          <w:i/>
          <w:sz w:val="22"/>
        </w:rPr>
        <w:t>twelve</w:t>
      </w:r>
      <w:r>
        <w:rPr>
          <w:i/>
          <w:spacing w:val="-12"/>
          <w:sz w:val="22"/>
        </w:rPr>
        <w:t> </w:t>
      </w:r>
      <w:r>
        <w:rPr>
          <w:i/>
          <w:sz w:val="22"/>
        </w:rPr>
        <w:t>(12)</w:t>
      </w:r>
      <w:r>
        <w:rPr>
          <w:i/>
          <w:spacing w:val="-13"/>
          <w:sz w:val="22"/>
        </w:rPr>
        <w:t> </w:t>
      </w:r>
      <w:r>
        <w:rPr>
          <w:i/>
          <w:sz w:val="22"/>
        </w:rPr>
        <w:t>clinical</w:t>
      </w:r>
      <w:r>
        <w:rPr>
          <w:i/>
          <w:spacing w:val="-11"/>
          <w:sz w:val="22"/>
        </w:rPr>
        <w:t> </w:t>
      </w:r>
      <w:r>
        <w:rPr>
          <w:i/>
          <w:sz w:val="22"/>
        </w:rPr>
        <w:t>quality</w:t>
      </w:r>
      <w:r>
        <w:rPr>
          <w:i/>
          <w:spacing w:val="-14"/>
          <w:sz w:val="22"/>
        </w:rPr>
        <w:t> </w:t>
      </w:r>
      <w:r>
        <w:rPr>
          <w:i/>
          <w:sz w:val="22"/>
        </w:rPr>
        <w:t>measures</w:t>
      </w:r>
      <w:r>
        <w:rPr>
          <w:i/>
          <w:spacing w:val="-13"/>
          <w:sz w:val="22"/>
        </w:rPr>
        <w:t> </w:t>
      </w:r>
      <w:r>
        <w:rPr>
          <w:i/>
          <w:sz w:val="22"/>
        </w:rPr>
        <w:t>in</w:t>
      </w:r>
      <w:r>
        <w:rPr>
          <w:i/>
          <w:spacing w:val="-14"/>
          <w:sz w:val="22"/>
        </w:rPr>
        <w:t> </w:t>
      </w:r>
      <w:r>
        <w:rPr>
          <w:i/>
          <w:sz w:val="22"/>
        </w:rPr>
        <w:t>Domain X in Pay-for-Performance, and that each measure is worth ten (10) achievement points, the maximum number of achievement points in Domain X would be 120.</w:t>
      </w:r>
    </w:p>
    <w:p>
      <w:pPr>
        <w:pStyle w:val="BodyText"/>
        <w:spacing w:before="1"/>
        <w:rPr>
          <w:i/>
          <w:sz w:val="12"/>
        </w:rPr>
      </w:pPr>
      <w:r>
        <w:rPr/>
        <mc:AlternateContent>
          <mc:Choice Requires="wps">
            <w:drawing>
              <wp:anchor distT="0" distB="0" distL="0" distR="0" allowOverlap="1" layoutInCell="1" locked="0" behindDoc="1" simplePos="0" relativeHeight="488015360">
                <wp:simplePos x="0" y="0"/>
                <wp:positionH relativeFrom="page">
                  <wp:posOffset>839724</wp:posOffset>
                </wp:positionH>
                <wp:positionV relativeFrom="paragraph">
                  <wp:posOffset>103513</wp:posOffset>
                </wp:positionV>
                <wp:extent cx="6093460" cy="1329055"/>
                <wp:effectExtent l="0" t="0" r="0" b="0"/>
                <wp:wrapTopAndBottom/>
                <wp:docPr id="898" name="Group 898"/>
                <wp:cNvGraphicFramePr>
                  <a:graphicFrameLocks/>
                </wp:cNvGraphicFramePr>
                <a:graphic>
                  <a:graphicData uri="http://schemas.microsoft.com/office/word/2010/wordprocessingGroup">
                    <wpg:wgp>
                      <wpg:cNvPr id="898" name="Group 898"/>
                      <wpg:cNvGrpSpPr/>
                      <wpg:grpSpPr>
                        <a:xfrm>
                          <a:off x="0" y="0"/>
                          <a:ext cx="6093460" cy="1329055"/>
                          <a:chExt cx="6093460" cy="1329055"/>
                        </a:xfrm>
                      </wpg:grpSpPr>
                      <wps:wsp>
                        <wps:cNvPr id="899" name="Graphic 899"/>
                        <wps:cNvSpPr/>
                        <wps:spPr>
                          <a:xfrm>
                            <a:off x="0" y="0"/>
                            <a:ext cx="6093460" cy="1329055"/>
                          </a:xfrm>
                          <a:custGeom>
                            <a:avLst/>
                            <a:gdLst/>
                            <a:ahLst/>
                            <a:cxnLst/>
                            <a:rect l="l" t="t" r="r" b="b"/>
                            <a:pathLst>
                              <a:path w="6093460" h="1329055">
                                <a:moveTo>
                                  <a:pt x="6096" y="661428"/>
                                </a:moveTo>
                                <a:lnTo>
                                  <a:pt x="0" y="661428"/>
                                </a:lnTo>
                                <a:lnTo>
                                  <a:pt x="0" y="821436"/>
                                </a:lnTo>
                                <a:lnTo>
                                  <a:pt x="0" y="982980"/>
                                </a:lnTo>
                                <a:lnTo>
                                  <a:pt x="0" y="1155192"/>
                                </a:lnTo>
                                <a:lnTo>
                                  <a:pt x="0" y="1328928"/>
                                </a:lnTo>
                                <a:lnTo>
                                  <a:pt x="6096" y="1328928"/>
                                </a:lnTo>
                                <a:lnTo>
                                  <a:pt x="6096" y="1155192"/>
                                </a:lnTo>
                                <a:lnTo>
                                  <a:pt x="6096" y="982980"/>
                                </a:lnTo>
                                <a:lnTo>
                                  <a:pt x="6096" y="821436"/>
                                </a:lnTo>
                                <a:lnTo>
                                  <a:pt x="6096" y="661428"/>
                                </a:lnTo>
                                <a:close/>
                              </a:path>
                              <a:path w="6093460" h="1329055">
                                <a:moveTo>
                                  <a:pt x="6092952" y="661428"/>
                                </a:moveTo>
                                <a:lnTo>
                                  <a:pt x="6086856" y="661428"/>
                                </a:lnTo>
                                <a:lnTo>
                                  <a:pt x="6086856" y="821436"/>
                                </a:lnTo>
                                <a:lnTo>
                                  <a:pt x="6086856" y="982980"/>
                                </a:lnTo>
                                <a:lnTo>
                                  <a:pt x="6086856" y="1155192"/>
                                </a:lnTo>
                                <a:lnTo>
                                  <a:pt x="6086856" y="1328928"/>
                                </a:lnTo>
                                <a:lnTo>
                                  <a:pt x="6092952" y="1328928"/>
                                </a:lnTo>
                                <a:lnTo>
                                  <a:pt x="6092952" y="1155192"/>
                                </a:lnTo>
                                <a:lnTo>
                                  <a:pt x="6092952" y="982980"/>
                                </a:lnTo>
                                <a:lnTo>
                                  <a:pt x="6092952" y="821436"/>
                                </a:lnTo>
                                <a:lnTo>
                                  <a:pt x="6092952" y="661428"/>
                                </a:lnTo>
                                <a:close/>
                              </a:path>
                              <a:path w="6093460" h="1329055">
                                <a:moveTo>
                                  <a:pt x="6092952" y="0"/>
                                </a:moveTo>
                                <a:lnTo>
                                  <a:pt x="6086856" y="0"/>
                                </a:lnTo>
                                <a:lnTo>
                                  <a:pt x="6096" y="0"/>
                                </a:lnTo>
                                <a:lnTo>
                                  <a:pt x="0" y="0"/>
                                </a:lnTo>
                                <a:lnTo>
                                  <a:pt x="0" y="6096"/>
                                </a:lnTo>
                                <a:lnTo>
                                  <a:pt x="0" y="661416"/>
                                </a:lnTo>
                                <a:lnTo>
                                  <a:pt x="6096" y="661416"/>
                                </a:lnTo>
                                <a:lnTo>
                                  <a:pt x="6096" y="6096"/>
                                </a:lnTo>
                                <a:lnTo>
                                  <a:pt x="6086856" y="6096"/>
                                </a:lnTo>
                                <a:lnTo>
                                  <a:pt x="6086856" y="661416"/>
                                </a:lnTo>
                                <a:lnTo>
                                  <a:pt x="6092952" y="661416"/>
                                </a:lnTo>
                                <a:lnTo>
                                  <a:pt x="6092952" y="6096"/>
                                </a:lnTo>
                                <a:lnTo>
                                  <a:pt x="6092952" y="0"/>
                                </a:lnTo>
                                <a:close/>
                              </a:path>
                            </a:pathLst>
                          </a:custGeom>
                          <a:solidFill>
                            <a:srgbClr val="000000"/>
                          </a:solidFill>
                        </wps:spPr>
                        <wps:bodyPr wrap="square" lIns="0" tIns="0" rIns="0" bIns="0" rtlCol="0">
                          <a:prstTxWarp prst="textNoShape">
                            <a:avLst/>
                          </a:prstTxWarp>
                          <a:noAutofit/>
                        </wps:bodyPr>
                      </wps:wsp>
                      <wps:wsp>
                        <wps:cNvPr id="900" name="Textbox 900"/>
                        <wps:cNvSpPr txBox="1"/>
                        <wps:spPr>
                          <a:xfrm>
                            <a:off x="6095" y="6095"/>
                            <a:ext cx="6080760" cy="1323340"/>
                          </a:xfrm>
                          <a:prstGeom prst="rect">
                            <a:avLst/>
                          </a:prstGeom>
                        </wps:spPr>
                        <wps:txbx>
                          <w:txbxContent>
                            <w:p>
                              <w:pPr>
                                <w:spacing w:line="252" w:lineRule="exact" w:before="20"/>
                                <w:ind w:left="107" w:right="0" w:firstLine="0"/>
                                <w:jc w:val="left"/>
                                <w:rPr>
                                  <w:i/>
                                  <w:sz w:val="22"/>
                                </w:rPr>
                              </w:pPr>
                              <w:r>
                                <w:rPr>
                                  <w:i/>
                                  <w:sz w:val="22"/>
                                </w:rPr>
                                <w:t>Cumulative</w:t>
                              </w:r>
                              <w:r>
                                <w:rPr>
                                  <w:i/>
                                  <w:spacing w:val="-4"/>
                                  <w:sz w:val="22"/>
                                </w:rPr>
                                <w:t> </w:t>
                              </w:r>
                              <w:r>
                                <w:rPr>
                                  <w:i/>
                                  <w:spacing w:val="-2"/>
                                  <w:sz w:val="22"/>
                                </w:rPr>
                                <w:t>Example:</w:t>
                              </w:r>
                            </w:p>
                            <w:p>
                              <w:pPr>
                                <w:spacing w:line="252" w:lineRule="exact" w:before="0"/>
                                <w:ind w:left="107" w:right="0" w:firstLine="0"/>
                                <w:jc w:val="left"/>
                                <w:rPr>
                                  <w:i/>
                                  <w:sz w:val="22"/>
                                </w:rPr>
                              </w:pPr>
                              <w:r>
                                <w:rPr>
                                  <w:i/>
                                  <w:sz w:val="22"/>
                                </w:rPr>
                                <w:t>Total</w:t>
                              </w:r>
                              <w:r>
                                <w:rPr>
                                  <w:i/>
                                  <w:spacing w:val="-6"/>
                                  <w:sz w:val="22"/>
                                </w:rPr>
                                <w:t> </w:t>
                              </w:r>
                              <w:r>
                                <w:rPr>
                                  <w:i/>
                                  <w:sz w:val="22"/>
                                </w:rPr>
                                <w:t>number</w:t>
                              </w:r>
                              <w:r>
                                <w:rPr>
                                  <w:i/>
                                  <w:spacing w:val="-5"/>
                                  <w:sz w:val="22"/>
                                </w:rPr>
                                <w:t> </w:t>
                              </w:r>
                              <w:r>
                                <w:rPr>
                                  <w:i/>
                                  <w:sz w:val="22"/>
                                </w:rPr>
                                <w:t>of</w:t>
                              </w:r>
                              <w:r>
                                <w:rPr>
                                  <w:i/>
                                  <w:spacing w:val="-2"/>
                                  <w:sz w:val="22"/>
                                </w:rPr>
                                <w:t> </w:t>
                              </w:r>
                              <w:r>
                                <w:rPr>
                                  <w:i/>
                                  <w:sz w:val="22"/>
                                </w:rPr>
                                <w:t>measures</w:t>
                              </w:r>
                              <w:r>
                                <w:rPr>
                                  <w:i/>
                                  <w:spacing w:val="-6"/>
                                  <w:sz w:val="22"/>
                                </w:rPr>
                                <w:t> </w:t>
                              </w:r>
                              <w:r>
                                <w:rPr>
                                  <w:i/>
                                  <w:sz w:val="22"/>
                                </w:rPr>
                                <w:t>in</w:t>
                              </w:r>
                              <w:r>
                                <w:rPr>
                                  <w:i/>
                                  <w:spacing w:val="-3"/>
                                  <w:sz w:val="22"/>
                                </w:rPr>
                                <w:t> </w:t>
                              </w:r>
                              <w:r>
                                <w:rPr>
                                  <w:i/>
                                  <w:sz w:val="22"/>
                                </w:rPr>
                                <w:t>domain:</w:t>
                              </w:r>
                              <w:r>
                                <w:rPr>
                                  <w:i/>
                                  <w:spacing w:val="-2"/>
                                  <w:sz w:val="22"/>
                                </w:rPr>
                                <w:t> </w:t>
                              </w:r>
                              <w:r>
                                <w:rPr>
                                  <w:i/>
                                  <w:spacing w:val="-10"/>
                                  <w:sz w:val="22"/>
                                </w:rPr>
                                <w:t>2</w:t>
                              </w:r>
                            </w:p>
                            <w:p>
                              <w:pPr>
                                <w:spacing w:line="252" w:lineRule="exact" w:before="0"/>
                                <w:ind w:left="107" w:right="0" w:firstLine="0"/>
                                <w:jc w:val="left"/>
                                <w:rPr>
                                  <w:sz w:val="22"/>
                                </w:rPr>
                              </w:pPr>
                              <w:r>
                                <w:rPr>
                                  <w:i/>
                                  <w:sz w:val="22"/>
                                </w:rPr>
                                <w:t>Maximum</w:t>
                              </w:r>
                              <w:r>
                                <w:rPr>
                                  <w:i/>
                                  <w:spacing w:val="-4"/>
                                  <w:sz w:val="22"/>
                                </w:rPr>
                                <w:t> </w:t>
                              </w:r>
                              <w:r>
                                <w:rPr>
                                  <w:i/>
                                  <w:sz w:val="22"/>
                                </w:rPr>
                                <w:t>number</w:t>
                              </w:r>
                              <w:r>
                                <w:rPr>
                                  <w:i/>
                                  <w:spacing w:val="-5"/>
                                  <w:sz w:val="22"/>
                                </w:rPr>
                                <w:t> </w:t>
                              </w:r>
                              <w:r>
                                <w:rPr>
                                  <w:i/>
                                  <w:sz w:val="22"/>
                                </w:rPr>
                                <w:t>of</w:t>
                              </w:r>
                              <w:r>
                                <w:rPr>
                                  <w:i/>
                                  <w:spacing w:val="-2"/>
                                  <w:sz w:val="22"/>
                                </w:rPr>
                                <w:t> </w:t>
                              </w:r>
                              <w:r>
                                <w:rPr>
                                  <w:i/>
                                  <w:sz w:val="22"/>
                                </w:rPr>
                                <w:t>achievement</w:t>
                              </w:r>
                              <w:r>
                                <w:rPr>
                                  <w:i/>
                                  <w:spacing w:val="-5"/>
                                  <w:sz w:val="22"/>
                                </w:rPr>
                                <w:t> </w:t>
                              </w:r>
                              <w:r>
                                <w:rPr>
                                  <w:i/>
                                  <w:sz w:val="22"/>
                                </w:rPr>
                                <w:t>points</w:t>
                              </w:r>
                              <w:r>
                                <w:rPr>
                                  <w:i/>
                                  <w:spacing w:val="-4"/>
                                  <w:sz w:val="22"/>
                                </w:rPr>
                                <w:t> </w:t>
                              </w:r>
                              <w:r>
                                <w:rPr>
                                  <w:i/>
                                  <w:sz w:val="22"/>
                                </w:rPr>
                                <w:t>in</w:t>
                              </w:r>
                              <w:r>
                                <w:rPr>
                                  <w:i/>
                                  <w:spacing w:val="-6"/>
                                  <w:sz w:val="22"/>
                                </w:rPr>
                                <w:t> </w:t>
                              </w:r>
                              <w:r>
                                <w:rPr>
                                  <w:i/>
                                  <w:sz w:val="22"/>
                                </w:rPr>
                                <w:t>the</w:t>
                              </w:r>
                              <w:r>
                                <w:rPr>
                                  <w:i/>
                                  <w:spacing w:val="-3"/>
                                  <w:sz w:val="22"/>
                                </w:rPr>
                                <w:t> </w:t>
                              </w:r>
                              <w:r>
                                <w:rPr>
                                  <w:i/>
                                  <w:sz w:val="22"/>
                                </w:rPr>
                                <w:t>domain</w:t>
                              </w:r>
                              <w:r>
                                <w:rPr>
                                  <w:i/>
                                  <w:spacing w:val="-3"/>
                                  <w:sz w:val="22"/>
                                </w:rPr>
                                <w:t> </w:t>
                              </w:r>
                              <w:r>
                                <w:rPr>
                                  <w:sz w:val="22"/>
                                </w:rPr>
                                <w:t>=</w:t>
                              </w:r>
                              <w:r>
                                <w:rPr>
                                  <w:spacing w:val="-2"/>
                                  <w:sz w:val="22"/>
                                </w:rPr>
                                <w:t> </w:t>
                              </w:r>
                              <w:r>
                                <w:rPr>
                                  <w:spacing w:val="-5"/>
                                  <w:sz w:val="22"/>
                                </w:rPr>
                                <w:t>20</w:t>
                              </w:r>
                            </w:p>
                            <w:p>
                              <w:pPr>
                                <w:spacing w:line="252" w:lineRule="exact" w:before="0"/>
                                <w:ind w:left="107" w:right="0" w:firstLine="0"/>
                                <w:jc w:val="left"/>
                                <w:rPr>
                                  <w:i/>
                                  <w:sz w:val="22"/>
                                </w:rPr>
                              </w:pPr>
                              <w:r>
                                <w:rPr>
                                  <w:i/>
                                  <w:sz w:val="22"/>
                                </w:rPr>
                                <w:t>Measure</w:t>
                              </w:r>
                              <w:r>
                                <w:rPr>
                                  <w:i/>
                                  <w:spacing w:val="-3"/>
                                  <w:sz w:val="22"/>
                                </w:rPr>
                                <w:t> </w:t>
                              </w:r>
                              <w:r>
                                <w:rPr>
                                  <w:i/>
                                  <w:sz w:val="22"/>
                                </w:rPr>
                                <w:t>Attainment</w:t>
                              </w:r>
                              <w:r>
                                <w:rPr>
                                  <w:i/>
                                  <w:spacing w:val="-2"/>
                                  <w:sz w:val="22"/>
                                </w:rPr>
                                <w:t> </w:t>
                              </w:r>
                              <w:r>
                                <w:rPr>
                                  <w:i/>
                                  <w:sz w:val="22"/>
                                </w:rPr>
                                <w:t>=</w:t>
                              </w:r>
                              <w:r>
                                <w:rPr>
                                  <w:i/>
                                  <w:spacing w:val="-3"/>
                                  <w:sz w:val="22"/>
                                </w:rPr>
                                <w:t> </w:t>
                              </w:r>
                              <w:r>
                                <w:rPr>
                                  <w:i/>
                                  <w:sz w:val="22"/>
                                </w:rPr>
                                <w:t>48.9%</w:t>
                              </w:r>
                              <w:r>
                                <w:rPr>
                                  <w:i/>
                                  <w:spacing w:val="-7"/>
                                  <w:sz w:val="22"/>
                                </w:rPr>
                                <w:t> </w:t>
                              </w:r>
                              <w:r>
                                <w:rPr>
                                  <w:i/>
                                  <w:sz w:val="22"/>
                                </w:rPr>
                                <w:t>|</w:t>
                              </w:r>
                              <w:r>
                                <w:rPr>
                                  <w:i/>
                                  <w:spacing w:val="-2"/>
                                  <w:sz w:val="22"/>
                                </w:rPr>
                                <w:t> </w:t>
                              </w:r>
                              <w:r>
                                <w:rPr>
                                  <w:i/>
                                  <w:sz w:val="22"/>
                                </w:rPr>
                                <w:t>Goal</w:t>
                              </w:r>
                              <w:r>
                                <w:rPr>
                                  <w:i/>
                                  <w:spacing w:val="-2"/>
                                  <w:sz w:val="22"/>
                                </w:rPr>
                                <w:t> </w:t>
                              </w:r>
                              <w:r>
                                <w:rPr>
                                  <w:i/>
                                  <w:sz w:val="22"/>
                                </w:rPr>
                                <w:t>=</w:t>
                              </w:r>
                              <w:r>
                                <w:rPr>
                                  <w:i/>
                                  <w:spacing w:val="-2"/>
                                  <w:sz w:val="22"/>
                                </w:rPr>
                                <w:t> 59.4%</w:t>
                              </w:r>
                            </w:p>
                            <w:p>
                              <w:pPr>
                                <w:spacing w:before="1"/>
                                <w:ind w:left="107" w:right="0" w:firstLine="0"/>
                                <w:jc w:val="left"/>
                                <w:rPr>
                                  <w:sz w:val="22"/>
                                </w:rPr>
                              </w:pPr>
                              <w:r>
                                <w:rPr>
                                  <w:i/>
                                  <w:sz w:val="22"/>
                                </w:rPr>
                                <w:t>Improvement</w:t>
                              </w:r>
                              <w:r>
                                <w:rPr>
                                  <w:i/>
                                  <w:spacing w:val="-3"/>
                                  <w:sz w:val="22"/>
                                </w:rPr>
                                <w:t> </w:t>
                              </w:r>
                              <w:r>
                                <w:rPr>
                                  <w:i/>
                                  <w:sz w:val="22"/>
                                </w:rPr>
                                <w:t>Target</w:t>
                              </w:r>
                              <w:r>
                                <w:rPr>
                                  <w:i/>
                                  <w:spacing w:val="-3"/>
                                  <w:sz w:val="22"/>
                                </w:rPr>
                                <w:t> </w:t>
                              </w:r>
                              <w:r>
                                <w:rPr>
                                  <w:sz w:val="22"/>
                                </w:rPr>
                                <w:t>=</w:t>
                              </w:r>
                              <w:r>
                                <w:rPr>
                                  <w:spacing w:val="-6"/>
                                  <w:sz w:val="22"/>
                                </w:rPr>
                                <w:t> </w:t>
                              </w:r>
                              <w:r>
                                <w:rPr>
                                  <w:sz w:val="22"/>
                                </w:rPr>
                                <w:t>[(Goal</w:t>
                              </w:r>
                              <w:r>
                                <w:rPr>
                                  <w:spacing w:val="-3"/>
                                  <w:sz w:val="22"/>
                                </w:rPr>
                                <w:t> </w:t>
                              </w:r>
                              <w:r>
                                <w:rPr>
                                  <w:sz w:val="22"/>
                                </w:rPr>
                                <w:t>Benchmark</w:t>
                              </w:r>
                              <w:r>
                                <w:rPr>
                                  <w:spacing w:val="-6"/>
                                  <w:sz w:val="22"/>
                                </w:rPr>
                                <w:t> </w:t>
                              </w:r>
                              <w:r>
                                <w:rPr>
                                  <w:sz w:val="22"/>
                                </w:rPr>
                                <w:t>–Attainment</w:t>
                              </w:r>
                              <w:r>
                                <w:rPr>
                                  <w:spacing w:val="-6"/>
                                  <w:sz w:val="22"/>
                                </w:rPr>
                                <w:t> </w:t>
                              </w:r>
                              <w:r>
                                <w:rPr>
                                  <w:sz w:val="22"/>
                                </w:rPr>
                                <w:t>Level)</w:t>
                              </w:r>
                              <w:r>
                                <w:rPr>
                                  <w:spacing w:val="-3"/>
                                  <w:sz w:val="22"/>
                                </w:rPr>
                                <w:t> </w:t>
                              </w:r>
                              <w:r>
                                <w:rPr>
                                  <w:sz w:val="22"/>
                                </w:rPr>
                                <w:t>/5]</w:t>
                              </w:r>
                              <w:r>
                                <w:rPr>
                                  <w:spacing w:val="-2"/>
                                  <w:sz w:val="22"/>
                                </w:rPr>
                                <w:t> </w:t>
                              </w:r>
                              <w:r>
                                <w:rPr>
                                  <w:sz w:val="22"/>
                                </w:rPr>
                                <w:t>=</w:t>
                              </w:r>
                              <w:r>
                                <w:rPr>
                                  <w:spacing w:val="-6"/>
                                  <w:sz w:val="22"/>
                                </w:rPr>
                                <w:t> </w:t>
                              </w:r>
                              <w:r>
                                <w:rPr>
                                  <w:sz w:val="22"/>
                                </w:rPr>
                                <w:t>[59.4-48.9]/5</w:t>
                              </w:r>
                              <w:r>
                                <w:rPr>
                                  <w:spacing w:val="-4"/>
                                  <w:sz w:val="22"/>
                                </w:rPr>
                                <w:t> </w:t>
                              </w:r>
                              <w:r>
                                <w:rPr>
                                  <w:sz w:val="22"/>
                                </w:rPr>
                                <w:t>=</w:t>
                              </w:r>
                              <w:r>
                                <w:rPr>
                                  <w:spacing w:val="-5"/>
                                  <w:sz w:val="22"/>
                                </w:rPr>
                                <w:t> 2.1</w:t>
                              </w:r>
                            </w:p>
                            <w:p>
                              <w:pPr>
                                <w:spacing w:line="240" w:lineRule="auto" w:before="3"/>
                                <w:rPr>
                                  <w:sz w:val="22"/>
                                </w:rPr>
                              </w:pPr>
                            </w:p>
                            <w:p>
                              <w:pPr>
                                <w:spacing w:line="256" w:lineRule="auto" w:before="0"/>
                                <w:ind w:left="107" w:right="0" w:firstLine="0"/>
                                <w:jc w:val="left"/>
                                <w:rPr>
                                  <w:sz w:val="22"/>
                                </w:rPr>
                              </w:pPr>
                              <w:r>
                                <w:rPr>
                                  <w:sz w:val="22"/>
                                </w:rPr>
                                <w:t>For example, for Measure A, if ACO performance in BP4 is 54.54% and if ACO performance in BP5 is 58.17%</w:t>
                              </w:r>
                              <w:r>
                                <w:rPr>
                                  <w:spacing w:val="17"/>
                                  <w:sz w:val="22"/>
                                </w:rPr>
                                <w:t> </w:t>
                              </w:r>
                              <w:r>
                                <w:rPr>
                                  <w:sz w:val="22"/>
                                </w:rPr>
                                <w:t>the</w:t>
                              </w:r>
                              <w:r>
                                <w:rPr>
                                  <w:spacing w:val="20"/>
                                  <w:sz w:val="22"/>
                                </w:rPr>
                                <w:t> </w:t>
                              </w:r>
                              <w:r>
                                <w:rPr>
                                  <w:sz w:val="22"/>
                                </w:rPr>
                                <w:t>ACO</w:t>
                              </w:r>
                              <w:r>
                                <w:rPr>
                                  <w:spacing w:val="18"/>
                                  <w:sz w:val="22"/>
                                </w:rPr>
                                <w:t> </w:t>
                              </w:r>
                              <w:r>
                                <w:rPr>
                                  <w:sz w:val="22"/>
                                </w:rPr>
                                <w:t>will</w:t>
                              </w:r>
                              <w:r>
                                <w:rPr>
                                  <w:spacing w:val="20"/>
                                  <w:sz w:val="22"/>
                                </w:rPr>
                                <w:t> </w:t>
                              </w:r>
                              <w:r>
                                <w:rPr>
                                  <w:sz w:val="22"/>
                                </w:rPr>
                                <w:t>earn</w:t>
                              </w:r>
                              <w:r>
                                <w:rPr>
                                  <w:spacing w:val="17"/>
                                  <w:sz w:val="22"/>
                                </w:rPr>
                                <w:t> </w:t>
                              </w:r>
                              <w:r>
                                <w:rPr>
                                  <w:sz w:val="22"/>
                                </w:rPr>
                                <w:t>8.8</w:t>
                              </w:r>
                              <w:r>
                                <w:rPr>
                                  <w:spacing w:val="18"/>
                                  <w:sz w:val="22"/>
                                </w:rPr>
                                <w:t> </w:t>
                              </w:r>
                              <w:r>
                                <w:rPr>
                                  <w:sz w:val="22"/>
                                </w:rPr>
                                <w:t>Achievement</w:t>
                              </w:r>
                              <w:r>
                                <w:rPr>
                                  <w:spacing w:val="20"/>
                                  <w:sz w:val="22"/>
                                </w:rPr>
                                <w:t> </w:t>
                              </w:r>
                              <w:r>
                                <w:rPr>
                                  <w:sz w:val="22"/>
                                </w:rPr>
                                <w:t>Points</w:t>
                              </w:r>
                              <w:r>
                                <w:rPr>
                                  <w:spacing w:val="64"/>
                                  <w:w w:val="150"/>
                                  <w:sz w:val="22"/>
                                </w:rPr>
                                <w:t> </w:t>
                              </w:r>
                              <w:r>
                                <w:rPr>
                                  <w:sz w:val="22"/>
                                </w:rPr>
                                <w:t>[10</w:t>
                              </w:r>
                              <w:r>
                                <w:rPr>
                                  <w:spacing w:val="19"/>
                                  <w:sz w:val="22"/>
                                </w:rPr>
                                <w:t> </w:t>
                              </w:r>
                              <w:r>
                                <w:rPr>
                                  <w:sz w:val="22"/>
                                </w:rPr>
                                <w:t>*</w:t>
                              </w:r>
                              <w:r>
                                <w:rPr>
                                  <w:spacing w:val="19"/>
                                  <w:sz w:val="22"/>
                                </w:rPr>
                                <w:t> </w:t>
                              </w:r>
                              <w:r>
                                <w:rPr>
                                  <w:sz w:val="22"/>
                                </w:rPr>
                                <w:t>(58.17</w:t>
                              </w:r>
                              <w:r>
                                <w:rPr>
                                  <w:spacing w:val="19"/>
                                  <w:sz w:val="22"/>
                                </w:rPr>
                                <w:t> </w:t>
                              </w:r>
                              <w:r>
                                <w:rPr>
                                  <w:sz w:val="22"/>
                                </w:rPr>
                                <w:t>–</w:t>
                              </w:r>
                              <w:r>
                                <w:rPr>
                                  <w:spacing w:val="17"/>
                                  <w:sz w:val="22"/>
                                </w:rPr>
                                <w:t> </w:t>
                              </w:r>
                              <w:r>
                                <w:rPr>
                                  <w:sz w:val="22"/>
                                </w:rPr>
                                <w:t>48.9)/(59.4</w:t>
                              </w:r>
                              <w:r>
                                <w:rPr>
                                  <w:spacing w:val="17"/>
                                  <w:sz w:val="22"/>
                                </w:rPr>
                                <w:t> </w:t>
                              </w:r>
                              <w:r>
                                <w:rPr>
                                  <w:sz w:val="22"/>
                                </w:rPr>
                                <w:t>–</w:t>
                              </w:r>
                              <w:r>
                                <w:rPr>
                                  <w:spacing w:val="18"/>
                                  <w:sz w:val="22"/>
                                </w:rPr>
                                <w:t> </w:t>
                              </w:r>
                              <w:r>
                                <w:rPr>
                                  <w:sz w:val="22"/>
                                </w:rPr>
                                <w:t>48.9)].</w:t>
                              </w:r>
                              <w:r>
                                <w:rPr>
                                  <w:spacing w:val="17"/>
                                  <w:sz w:val="22"/>
                                </w:rPr>
                                <w:t> </w:t>
                              </w:r>
                              <w:r>
                                <w:rPr>
                                  <w:sz w:val="22"/>
                                </w:rPr>
                                <w:t>The</w:t>
                              </w:r>
                              <w:r>
                                <w:rPr>
                                  <w:spacing w:val="20"/>
                                  <w:sz w:val="22"/>
                                </w:rPr>
                                <w:t> </w:t>
                              </w:r>
                              <w:r>
                                <w:rPr>
                                  <w:sz w:val="22"/>
                                </w:rPr>
                                <w:t>ACO</w:t>
                              </w:r>
                              <w:r>
                                <w:rPr>
                                  <w:spacing w:val="18"/>
                                  <w:sz w:val="22"/>
                                </w:rPr>
                                <w:t> </w:t>
                              </w:r>
                              <w:r>
                                <w:rPr>
                                  <w:spacing w:val="-5"/>
                                  <w:sz w:val="22"/>
                                </w:rPr>
                                <w:t>has</w:t>
                              </w:r>
                            </w:p>
                          </w:txbxContent>
                        </wps:txbx>
                        <wps:bodyPr wrap="square" lIns="0" tIns="0" rIns="0" bIns="0" rtlCol="0">
                          <a:noAutofit/>
                        </wps:bodyPr>
                      </wps:wsp>
                    </wpg:wgp>
                  </a:graphicData>
                </a:graphic>
              </wp:anchor>
            </w:drawing>
          </mc:Choice>
          <mc:Fallback>
            <w:pict>
              <v:group style="position:absolute;margin-left:66.120003pt;margin-top:8.150693pt;width:479.8pt;height:104.65pt;mso-position-horizontal-relative:page;mso-position-vertical-relative:paragraph;z-index:-15301120;mso-wrap-distance-left:0;mso-wrap-distance-right:0" id="docshapegroup115" coordorigin="1322,163" coordsize="9596,2093">
                <v:shape style="position:absolute;left:1322;top:163;width:9596;height:2093" id="docshape116" coordorigin="1322,163" coordsize="9596,2093" path="m1332,1205l1322,1205,1322,1457,1322,1711,1322,1982,1322,2256,1332,2256,1332,1982,1332,1711,1332,1457,1332,1205xm10918,1205l10908,1205,10908,1457,10908,1711,10908,1982,10908,2256,10918,2256,10918,1982,10918,1711,10918,1457,10918,1205xm10918,163l10908,163,1332,163,1322,163,1322,173,1322,446,1322,698,1322,950,1322,950,1322,1205,1332,1205,1332,950,1332,950,1332,698,1332,446,1332,173,10908,173,10908,446,10908,698,10908,950,10908,950,10908,1205,10918,1205,10918,950,10918,950,10918,698,10918,446,10918,173,10918,163xe" filled="true" fillcolor="#000000" stroked="false">
                  <v:path arrowok="t"/>
                  <v:fill type="solid"/>
                </v:shape>
                <v:shape style="position:absolute;left:1332;top:172;width:9576;height:2084" type="#_x0000_t202" id="docshape117" filled="false" stroked="false">
                  <v:textbox inset="0,0,0,0">
                    <w:txbxContent>
                      <w:p>
                        <w:pPr>
                          <w:spacing w:line="252" w:lineRule="exact" w:before="20"/>
                          <w:ind w:left="107" w:right="0" w:firstLine="0"/>
                          <w:jc w:val="left"/>
                          <w:rPr>
                            <w:i/>
                            <w:sz w:val="22"/>
                          </w:rPr>
                        </w:pPr>
                        <w:r>
                          <w:rPr>
                            <w:i/>
                            <w:sz w:val="22"/>
                          </w:rPr>
                          <w:t>Cumulative</w:t>
                        </w:r>
                        <w:r>
                          <w:rPr>
                            <w:i/>
                            <w:spacing w:val="-4"/>
                            <w:sz w:val="22"/>
                          </w:rPr>
                          <w:t> </w:t>
                        </w:r>
                        <w:r>
                          <w:rPr>
                            <w:i/>
                            <w:spacing w:val="-2"/>
                            <w:sz w:val="22"/>
                          </w:rPr>
                          <w:t>Example:</w:t>
                        </w:r>
                      </w:p>
                      <w:p>
                        <w:pPr>
                          <w:spacing w:line="252" w:lineRule="exact" w:before="0"/>
                          <w:ind w:left="107" w:right="0" w:firstLine="0"/>
                          <w:jc w:val="left"/>
                          <w:rPr>
                            <w:i/>
                            <w:sz w:val="22"/>
                          </w:rPr>
                        </w:pPr>
                        <w:r>
                          <w:rPr>
                            <w:i/>
                            <w:sz w:val="22"/>
                          </w:rPr>
                          <w:t>Total</w:t>
                        </w:r>
                        <w:r>
                          <w:rPr>
                            <w:i/>
                            <w:spacing w:val="-6"/>
                            <w:sz w:val="22"/>
                          </w:rPr>
                          <w:t> </w:t>
                        </w:r>
                        <w:r>
                          <w:rPr>
                            <w:i/>
                            <w:sz w:val="22"/>
                          </w:rPr>
                          <w:t>number</w:t>
                        </w:r>
                        <w:r>
                          <w:rPr>
                            <w:i/>
                            <w:spacing w:val="-5"/>
                            <w:sz w:val="22"/>
                          </w:rPr>
                          <w:t> </w:t>
                        </w:r>
                        <w:r>
                          <w:rPr>
                            <w:i/>
                            <w:sz w:val="22"/>
                          </w:rPr>
                          <w:t>of</w:t>
                        </w:r>
                        <w:r>
                          <w:rPr>
                            <w:i/>
                            <w:spacing w:val="-2"/>
                            <w:sz w:val="22"/>
                          </w:rPr>
                          <w:t> </w:t>
                        </w:r>
                        <w:r>
                          <w:rPr>
                            <w:i/>
                            <w:sz w:val="22"/>
                          </w:rPr>
                          <w:t>measures</w:t>
                        </w:r>
                        <w:r>
                          <w:rPr>
                            <w:i/>
                            <w:spacing w:val="-6"/>
                            <w:sz w:val="22"/>
                          </w:rPr>
                          <w:t> </w:t>
                        </w:r>
                        <w:r>
                          <w:rPr>
                            <w:i/>
                            <w:sz w:val="22"/>
                          </w:rPr>
                          <w:t>in</w:t>
                        </w:r>
                        <w:r>
                          <w:rPr>
                            <w:i/>
                            <w:spacing w:val="-3"/>
                            <w:sz w:val="22"/>
                          </w:rPr>
                          <w:t> </w:t>
                        </w:r>
                        <w:r>
                          <w:rPr>
                            <w:i/>
                            <w:sz w:val="22"/>
                          </w:rPr>
                          <w:t>domain:</w:t>
                        </w:r>
                        <w:r>
                          <w:rPr>
                            <w:i/>
                            <w:spacing w:val="-2"/>
                            <w:sz w:val="22"/>
                          </w:rPr>
                          <w:t> </w:t>
                        </w:r>
                        <w:r>
                          <w:rPr>
                            <w:i/>
                            <w:spacing w:val="-10"/>
                            <w:sz w:val="22"/>
                          </w:rPr>
                          <w:t>2</w:t>
                        </w:r>
                      </w:p>
                      <w:p>
                        <w:pPr>
                          <w:spacing w:line="252" w:lineRule="exact" w:before="0"/>
                          <w:ind w:left="107" w:right="0" w:firstLine="0"/>
                          <w:jc w:val="left"/>
                          <w:rPr>
                            <w:sz w:val="22"/>
                          </w:rPr>
                        </w:pPr>
                        <w:r>
                          <w:rPr>
                            <w:i/>
                            <w:sz w:val="22"/>
                          </w:rPr>
                          <w:t>Maximum</w:t>
                        </w:r>
                        <w:r>
                          <w:rPr>
                            <w:i/>
                            <w:spacing w:val="-4"/>
                            <w:sz w:val="22"/>
                          </w:rPr>
                          <w:t> </w:t>
                        </w:r>
                        <w:r>
                          <w:rPr>
                            <w:i/>
                            <w:sz w:val="22"/>
                          </w:rPr>
                          <w:t>number</w:t>
                        </w:r>
                        <w:r>
                          <w:rPr>
                            <w:i/>
                            <w:spacing w:val="-5"/>
                            <w:sz w:val="22"/>
                          </w:rPr>
                          <w:t> </w:t>
                        </w:r>
                        <w:r>
                          <w:rPr>
                            <w:i/>
                            <w:sz w:val="22"/>
                          </w:rPr>
                          <w:t>of</w:t>
                        </w:r>
                        <w:r>
                          <w:rPr>
                            <w:i/>
                            <w:spacing w:val="-2"/>
                            <w:sz w:val="22"/>
                          </w:rPr>
                          <w:t> </w:t>
                        </w:r>
                        <w:r>
                          <w:rPr>
                            <w:i/>
                            <w:sz w:val="22"/>
                          </w:rPr>
                          <w:t>achievement</w:t>
                        </w:r>
                        <w:r>
                          <w:rPr>
                            <w:i/>
                            <w:spacing w:val="-5"/>
                            <w:sz w:val="22"/>
                          </w:rPr>
                          <w:t> </w:t>
                        </w:r>
                        <w:r>
                          <w:rPr>
                            <w:i/>
                            <w:sz w:val="22"/>
                          </w:rPr>
                          <w:t>points</w:t>
                        </w:r>
                        <w:r>
                          <w:rPr>
                            <w:i/>
                            <w:spacing w:val="-4"/>
                            <w:sz w:val="22"/>
                          </w:rPr>
                          <w:t> </w:t>
                        </w:r>
                        <w:r>
                          <w:rPr>
                            <w:i/>
                            <w:sz w:val="22"/>
                          </w:rPr>
                          <w:t>in</w:t>
                        </w:r>
                        <w:r>
                          <w:rPr>
                            <w:i/>
                            <w:spacing w:val="-6"/>
                            <w:sz w:val="22"/>
                          </w:rPr>
                          <w:t> </w:t>
                        </w:r>
                        <w:r>
                          <w:rPr>
                            <w:i/>
                            <w:sz w:val="22"/>
                          </w:rPr>
                          <w:t>the</w:t>
                        </w:r>
                        <w:r>
                          <w:rPr>
                            <w:i/>
                            <w:spacing w:val="-3"/>
                            <w:sz w:val="22"/>
                          </w:rPr>
                          <w:t> </w:t>
                        </w:r>
                        <w:r>
                          <w:rPr>
                            <w:i/>
                            <w:sz w:val="22"/>
                          </w:rPr>
                          <w:t>domain</w:t>
                        </w:r>
                        <w:r>
                          <w:rPr>
                            <w:i/>
                            <w:spacing w:val="-3"/>
                            <w:sz w:val="22"/>
                          </w:rPr>
                          <w:t> </w:t>
                        </w:r>
                        <w:r>
                          <w:rPr>
                            <w:sz w:val="22"/>
                          </w:rPr>
                          <w:t>=</w:t>
                        </w:r>
                        <w:r>
                          <w:rPr>
                            <w:spacing w:val="-2"/>
                            <w:sz w:val="22"/>
                          </w:rPr>
                          <w:t> </w:t>
                        </w:r>
                        <w:r>
                          <w:rPr>
                            <w:spacing w:val="-5"/>
                            <w:sz w:val="22"/>
                          </w:rPr>
                          <w:t>20</w:t>
                        </w:r>
                      </w:p>
                      <w:p>
                        <w:pPr>
                          <w:spacing w:line="252" w:lineRule="exact" w:before="0"/>
                          <w:ind w:left="107" w:right="0" w:firstLine="0"/>
                          <w:jc w:val="left"/>
                          <w:rPr>
                            <w:i/>
                            <w:sz w:val="22"/>
                          </w:rPr>
                        </w:pPr>
                        <w:r>
                          <w:rPr>
                            <w:i/>
                            <w:sz w:val="22"/>
                          </w:rPr>
                          <w:t>Measure</w:t>
                        </w:r>
                        <w:r>
                          <w:rPr>
                            <w:i/>
                            <w:spacing w:val="-3"/>
                            <w:sz w:val="22"/>
                          </w:rPr>
                          <w:t> </w:t>
                        </w:r>
                        <w:r>
                          <w:rPr>
                            <w:i/>
                            <w:sz w:val="22"/>
                          </w:rPr>
                          <w:t>Attainment</w:t>
                        </w:r>
                        <w:r>
                          <w:rPr>
                            <w:i/>
                            <w:spacing w:val="-2"/>
                            <w:sz w:val="22"/>
                          </w:rPr>
                          <w:t> </w:t>
                        </w:r>
                        <w:r>
                          <w:rPr>
                            <w:i/>
                            <w:sz w:val="22"/>
                          </w:rPr>
                          <w:t>=</w:t>
                        </w:r>
                        <w:r>
                          <w:rPr>
                            <w:i/>
                            <w:spacing w:val="-3"/>
                            <w:sz w:val="22"/>
                          </w:rPr>
                          <w:t> </w:t>
                        </w:r>
                        <w:r>
                          <w:rPr>
                            <w:i/>
                            <w:sz w:val="22"/>
                          </w:rPr>
                          <w:t>48.9%</w:t>
                        </w:r>
                        <w:r>
                          <w:rPr>
                            <w:i/>
                            <w:spacing w:val="-7"/>
                            <w:sz w:val="22"/>
                          </w:rPr>
                          <w:t> </w:t>
                        </w:r>
                        <w:r>
                          <w:rPr>
                            <w:i/>
                            <w:sz w:val="22"/>
                          </w:rPr>
                          <w:t>|</w:t>
                        </w:r>
                        <w:r>
                          <w:rPr>
                            <w:i/>
                            <w:spacing w:val="-2"/>
                            <w:sz w:val="22"/>
                          </w:rPr>
                          <w:t> </w:t>
                        </w:r>
                        <w:r>
                          <w:rPr>
                            <w:i/>
                            <w:sz w:val="22"/>
                          </w:rPr>
                          <w:t>Goal</w:t>
                        </w:r>
                        <w:r>
                          <w:rPr>
                            <w:i/>
                            <w:spacing w:val="-2"/>
                            <w:sz w:val="22"/>
                          </w:rPr>
                          <w:t> </w:t>
                        </w:r>
                        <w:r>
                          <w:rPr>
                            <w:i/>
                            <w:sz w:val="22"/>
                          </w:rPr>
                          <w:t>=</w:t>
                        </w:r>
                        <w:r>
                          <w:rPr>
                            <w:i/>
                            <w:spacing w:val="-2"/>
                            <w:sz w:val="22"/>
                          </w:rPr>
                          <w:t> 59.4%</w:t>
                        </w:r>
                      </w:p>
                      <w:p>
                        <w:pPr>
                          <w:spacing w:before="1"/>
                          <w:ind w:left="107" w:right="0" w:firstLine="0"/>
                          <w:jc w:val="left"/>
                          <w:rPr>
                            <w:sz w:val="22"/>
                          </w:rPr>
                        </w:pPr>
                        <w:r>
                          <w:rPr>
                            <w:i/>
                            <w:sz w:val="22"/>
                          </w:rPr>
                          <w:t>Improvement</w:t>
                        </w:r>
                        <w:r>
                          <w:rPr>
                            <w:i/>
                            <w:spacing w:val="-3"/>
                            <w:sz w:val="22"/>
                          </w:rPr>
                          <w:t> </w:t>
                        </w:r>
                        <w:r>
                          <w:rPr>
                            <w:i/>
                            <w:sz w:val="22"/>
                          </w:rPr>
                          <w:t>Target</w:t>
                        </w:r>
                        <w:r>
                          <w:rPr>
                            <w:i/>
                            <w:spacing w:val="-3"/>
                            <w:sz w:val="22"/>
                          </w:rPr>
                          <w:t> </w:t>
                        </w:r>
                        <w:r>
                          <w:rPr>
                            <w:sz w:val="22"/>
                          </w:rPr>
                          <w:t>=</w:t>
                        </w:r>
                        <w:r>
                          <w:rPr>
                            <w:spacing w:val="-6"/>
                            <w:sz w:val="22"/>
                          </w:rPr>
                          <w:t> </w:t>
                        </w:r>
                        <w:r>
                          <w:rPr>
                            <w:sz w:val="22"/>
                          </w:rPr>
                          <w:t>[(Goal</w:t>
                        </w:r>
                        <w:r>
                          <w:rPr>
                            <w:spacing w:val="-3"/>
                            <w:sz w:val="22"/>
                          </w:rPr>
                          <w:t> </w:t>
                        </w:r>
                        <w:r>
                          <w:rPr>
                            <w:sz w:val="22"/>
                          </w:rPr>
                          <w:t>Benchmark</w:t>
                        </w:r>
                        <w:r>
                          <w:rPr>
                            <w:spacing w:val="-6"/>
                            <w:sz w:val="22"/>
                          </w:rPr>
                          <w:t> </w:t>
                        </w:r>
                        <w:r>
                          <w:rPr>
                            <w:sz w:val="22"/>
                          </w:rPr>
                          <w:t>–Attainment</w:t>
                        </w:r>
                        <w:r>
                          <w:rPr>
                            <w:spacing w:val="-6"/>
                            <w:sz w:val="22"/>
                          </w:rPr>
                          <w:t> </w:t>
                        </w:r>
                        <w:r>
                          <w:rPr>
                            <w:sz w:val="22"/>
                          </w:rPr>
                          <w:t>Level)</w:t>
                        </w:r>
                        <w:r>
                          <w:rPr>
                            <w:spacing w:val="-3"/>
                            <w:sz w:val="22"/>
                          </w:rPr>
                          <w:t> </w:t>
                        </w:r>
                        <w:r>
                          <w:rPr>
                            <w:sz w:val="22"/>
                          </w:rPr>
                          <w:t>/5]</w:t>
                        </w:r>
                        <w:r>
                          <w:rPr>
                            <w:spacing w:val="-2"/>
                            <w:sz w:val="22"/>
                          </w:rPr>
                          <w:t> </w:t>
                        </w:r>
                        <w:r>
                          <w:rPr>
                            <w:sz w:val="22"/>
                          </w:rPr>
                          <w:t>=</w:t>
                        </w:r>
                        <w:r>
                          <w:rPr>
                            <w:spacing w:val="-6"/>
                            <w:sz w:val="22"/>
                          </w:rPr>
                          <w:t> </w:t>
                        </w:r>
                        <w:r>
                          <w:rPr>
                            <w:sz w:val="22"/>
                          </w:rPr>
                          <w:t>[59.4-48.9]/5</w:t>
                        </w:r>
                        <w:r>
                          <w:rPr>
                            <w:spacing w:val="-4"/>
                            <w:sz w:val="22"/>
                          </w:rPr>
                          <w:t> </w:t>
                        </w:r>
                        <w:r>
                          <w:rPr>
                            <w:sz w:val="22"/>
                          </w:rPr>
                          <w:t>=</w:t>
                        </w:r>
                        <w:r>
                          <w:rPr>
                            <w:spacing w:val="-5"/>
                            <w:sz w:val="22"/>
                          </w:rPr>
                          <w:t> 2.1</w:t>
                        </w:r>
                      </w:p>
                      <w:p>
                        <w:pPr>
                          <w:spacing w:line="240" w:lineRule="auto" w:before="3"/>
                          <w:rPr>
                            <w:sz w:val="22"/>
                          </w:rPr>
                        </w:pPr>
                      </w:p>
                      <w:p>
                        <w:pPr>
                          <w:spacing w:line="256" w:lineRule="auto" w:before="0"/>
                          <w:ind w:left="107" w:right="0" w:firstLine="0"/>
                          <w:jc w:val="left"/>
                          <w:rPr>
                            <w:sz w:val="22"/>
                          </w:rPr>
                        </w:pPr>
                        <w:r>
                          <w:rPr>
                            <w:sz w:val="22"/>
                          </w:rPr>
                          <w:t>For example, for Measure A, if ACO performance in BP4 is 54.54% and if ACO performance in BP5 is 58.17%</w:t>
                        </w:r>
                        <w:r>
                          <w:rPr>
                            <w:spacing w:val="17"/>
                            <w:sz w:val="22"/>
                          </w:rPr>
                          <w:t> </w:t>
                        </w:r>
                        <w:r>
                          <w:rPr>
                            <w:sz w:val="22"/>
                          </w:rPr>
                          <w:t>the</w:t>
                        </w:r>
                        <w:r>
                          <w:rPr>
                            <w:spacing w:val="20"/>
                            <w:sz w:val="22"/>
                          </w:rPr>
                          <w:t> </w:t>
                        </w:r>
                        <w:r>
                          <w:rPr>
                            <w:sz w:val="22"/>
                          </w:rPr>
                          <w:t>ACO</w:t>
                        </w:r>
                        <w:r>
                          <w:rPr>
                            <w:spacing w:val="18"/>
                            <w:sz w:val="22"/>
                          </w:rPr>
                          <w:t> </w:t>
                        </w:r>
                        <w:r>
                          <w:rPr>
                            <w:sz w:val="22"/>
                          </w:rPr>
                          <w:t>will</w:t>
                        </w:r>
                        <w:r>
                          <w:rPr>
                            <w:spacing w:val="20"/>
                            <w:sz w:val="22"/>
                          </w:rPr>
                          <w:t> </w:t>
                        </w:r>
                        <w:r>
                          <w:rPr>
                            <w:sz w:val="22"/>
                          </w:rPr>
                          <w:t>earn</w:t>
                        </w:r>
                        <w:r>
                          <w:rPr>
                            <w:spacing w:val="17"/>
                            <w:sz w:val="22"/>
                          </w:rPr>
                          <w:t> </w:t>
                        </w:r>
                        <w:r>
                          <w:rPr>
                            <w:sz w:val="22"/>
                          </w:rPr>
                          <w:t>8.8</w:t>
                        </w:r>
                        <w:r>
                          <w:rPr>
                            <w:spacing w:val="18"/>
                            <w:sz w:val="22"/>
                          </w:rPr>
                          <w:t> </w:t>
                        </w:r>
                        <w:r>
                          <w:rPr>
                            <w:sz w:val="22"/>
                          </w:rPr>
                          <w:t>Achievement</w:t>
                        </w:r>
                        <w:r>
                          <w:rPr>
                            <w:spacing w:val="20"/>
                            <w:sz w:val="22"/>
                          </w:rPr>
                          <w:t> </w:t>
                        </w:r>
                        <w:r>
                          <w:rPr>
                            <w:sz w:val="22"/>
                          </w:rPr>
                          <w:t>Points</w:t>
                        </w:r>
                        <w:r>
                          <w:rPr>
                            <w:spacing w:val="64"/>
                            <w:w w:val="150"/>
                            <w:sz w:val="22"/>
                          </w:rPr>
                          <w:t> </w:t>
                        </w:r>
                        <w:r>
                          <w:rPr>
                            <w:sz w:val="22"/>
                          </w:rPr>
                          <w:t>[10</w:t>
                        </w:r>
                        <w:r>
                          <w:rPr>
                            <w:spacing w:val="19"/>
                            <w:sz w:val="22"/>
                          </w:rPr>
                          <w:t> </w:t>
                        </w:r>
                        <w:r>
                          <w:rPr>
                            <w:sz w:val="22"/>
                          </w:rPr>
                          <w:t>*</w:t>
                        </w:r>
                        <w:r>
                          <w:rPr>
                            <w:spacing w:val="19"/>
                            <w:sz w:val="22"/>
                          </w:rPr>
                          <w:t> </w:t>
                        </w:r>
                        <w:r>
                          <w:rPr>
                            <w:sz w:val="22"/>
                          </w:rPr>
                          <w:t>(58.17</w:t>
                        </w:r>
                        <w:r>
                          <w:rPr>
                            <w:spacing w:val="19"/>
                            <w:sz w:val="22"/>
                          </w:rPr>
                          <w:t> </w:t>
                        </w:r>
                        <w:r>
                          <w:rPr>
                            <w:sz w:val="22"/>
                          </w:rPr>
                          <w:t>–</w:t>
                        </w:r>
                        <w:r>
                          <w:rPr>
                            <w:spacing w:val="17"/>
                            <w:sz w:val="22"/>
                          </w:rPr>
                          <w:t> </w:t>
                        </w:r>
                        <w:r>
                          <w:rPr>
                            <w:sz w:val="22"/>
                          </w:rPr>
                          <w:t>48.9)/(59.4</w:t>
                        </w:r>
                        <w:r>
                          <w:rPr>
                            <w:spacing w:val="17"/>
                            <w:sz w:val="22"/>
                          </w:rPr>
                          <w:t> </w:t>
                        </w:r>
                        <w:r>
                          <w:rPr>
                            <w:sz w:val="22"/>
                          </w:rPr>
                          <w:t>–</w:t>
                        </w:r>
                        <w:r>
                          <w:rPr>
                            <w:spacing w:val="18"/>
                            <w:sz w:val="22"/>
                          </w:rPr>
                          <w:t> </w:t>
                        </w:r>
                        <w:r>
                          <w:rPr>
                            <w:sz w:val="22"/>
                          </w:rPr>
                          <w:t>48.9)].</w:t>
                        </w:r>
                        <w:r>
                          <w:rPr>
                            <w:spacing w:val="17"/>
                            <w:sz w:val="22"/>
                          </w:rPr>
                          <w:t> </w:t>
                        </w:r>
                        <w:r>
                          <w:rPr>
                            <w:sz w:val="22"/>
                          </w:rPr>
                          <w:t>The</w:t>
                        </w:r>
                        <w:r>
                          <w:rPr>
                            <w:spacing w:val="20"/>
                            <w:sz w:val="22"/>
                          </w:rPr>
                          <w:t> </w:t>
                        </w:r>
                        <w:r>
                          <w:rPr>
                            <w:sz w:val="22"/>
                          </w:rPr>
                          <w:t>ACO</w:t>
                        </w:r>
                        <w:r>
                          <w:rPr>
                            <w:spacing w:val="18"/>
                            <w:sz w:val="22"/>
                          </w:rPr>
                          <w:t> </w:t>
                        </w:r>
                        <w:r>
                          <w:rPr>
                            <w:spacing w:val="-5"/>
                            <w:sz w:val="22"/>
                          </w:rPr>
                          <w:t>has</w:t>
                        </w:r>
                      </w:p>
                    </w:txbxContent>
                  </v:textbox>
                  <w10:wrap type="none"/>
                </v:shape>
                <w10:wrap type="topAndBottom"/>
              </v:group>
            </w:pict>
          </mc:Fallback>
        </mc:AlternateContent>
      </w:r>
    </w:p>
    <w:p>
      <w:pPr>
        <w:spacing w:after="0"/>
        <w:rPr>
          <w:sz w:val="12"/>
        </w:rPr>
        <w:sectPr>
          <w:pgSz w:w="12240" w:h="15840"/>
          <w:pgMar w:header="0" w:footer="967" w:top="1360" w:bottom="1160" w:left="220" w:right="340"/>
        </w:sectPr>
      </w:pPr>
    </w:p>
    <w:p>
      <w:pPr>
        <w:pStyle w:val="BodyText"/>
        <w:ind w:left="1102"/>
        <w:rPr>
          <w:sz w:val="20"/>
        </w:rPr>
      </w:pPr>
      <w:r>
        <w:rPr>
          <w:sz w:val="20"/>
        </w:rPr>
        <mc:AlternateContent>
          <mc:Choice Requires="wps">
            <w:drawing>
              <wp:inline distT="0" distB="0" distL="0" distR="0">
                <wp:extent cx="6093460" cy="1605280"/>
                <wp:effectExtent l="0" t="0" r="0" b="4444"/>
                <wp:docPr id="901" name="Group 901"/>
                <wp:cNvGraphicFramePr>
                  <a:graphicFrameLocks/>
                </wp:cNvGraphicFramePr>
                <a:graphic>
                  <a:graphicData uri="http://schemas.microsoft.com/office/word/2010/wordprocessingGroup">
                    <wpg:wgp>
                      <wpg:cNvPr id="901" name="Group 901"/>
                      <wpg:cNvGrpSpPr/>
                      <wpg:grpSpPr>
                        <a:xfrm>
                          <a:off x="0" y="0"/>
                          <a:ext cx="6093460" cy="1605280"/>
                          <a:chExt cx="6093460" cy="1605280"/>
                        </a:xfrm>
                      </wpg:grpSpPr>
                      <wps:wsp>
                        <wps:cNvPr id="902" name="Graphic 902"/>
                        <wps:cNvSpPr/>
                        <wps:spPr>
                          <a:xfrm>
                            <a:off x="0" y="0"/>
                            <a:ext cx="6093460" cy="1605280"/>
                          </a:xfrm>
                          <a:custGeom>
                            <a:avLst/>
                            <a:gdLst/>
                            <a:ahLst/>
                            <a:cxnLst/>
                            <a:rect l="l" t="t" r="r" b="b"/>
                            <a:pathLst>
                              <a:path w="6093460" h="1605280">
                                <a:moveTo>
                                  <a:pt x="6096" y="0"/>
                                </a:moveTo>
                                <a:lnTo>
                                  <a:pt x="0" y="0"/>
                                </a:lnTo>
                                <a:lnTo>
                                  <a:pt x="0" y="173736"/>
                                </a:lnTo>
                                <a:lnTo>
                                  <a:pt x="6096" y="173736"/>
                                </a:lnTo>
                                <a:lnTo>
                                  <a:pt x="6096" y="0"/>
                                </a:lnTo>
                                <a:close/>
                              </a:path>
                              <a:path w="6093460" h="1605280">
                                <a:moveTo>
                                  <a:pt x="6092952" y="173748"/>
                                </a:moveTo>
                                <a:lnTo>
                                  <a:pt x="6086856" y="173748"/>
                                </a:lnTo>
                                <a:lnTo>
                                  <a:pt x="6086856" y="347472"/>
                                </a:lnTo>
                                <a:lnTo>
                                  <a:pt x="6086856" y="621792"/>
                                </a:lnTo>
                                <a:lnTo>
                                  <a:pt x="6086856" y="1598676"/>
                                </a:lnTo>
                                <a:lnTo>
                                  <a:pt x="6096" y="1598676"/>
                                </a:lnTo>
                                <a:lnTo>
                                  <a:pt x="6096" y="173748"/>
                                </a:lnTo>
                                <a:lnTo>
                                  <a:pt x="0" y="173748"/>
                                </a:lnTo>
                                <a:lnTo>
                                  <a:pt x="0" y="1604772"/>
                                </a:lnTo>
                                <a:lnTo>
                                  <a:pt x="6096" y="1604772"/>
                                </a:lnTo>
                                <a:lnTo>
                                  <a:pt x="6086856" y="1604772"/>
                                </a:lnTo>
                                <a:lnTo>
                                  <a:pt x="6092952" y="1604772"/>
                                </a:lnTo>
                                <a:lnTo>
                                  <a:pt x="6092952" y="1598676"/>
                                </a:lnTo>
                                <a:lnTo>
                                  <a:pt x="6092952" y="347472"/>
                                </a:lnTo>
                                <a:lnTo>
                                  <a:pt x="6092952" y="173748"/>
                                </a:lnTo>
                                <a:close/>
                              </a:path>
                              <a:path w="6093460" h="1605280">
                                <a:moveTo>
                                  <a:pt x="6092952" y="0"/>
                                </a:moveTo>
                                <a:lnTo>
                                  <a:pt x="6086856" y="0"/>
                                </a:lnTo>
                                <a:lnTo>
                                  <a:pt x="6086856" y="173736"/>
                                </a:lnTo>
                                <a:lnTo>
                                  <a:pt x="6092952" y="173736"/>
                                </a:lnTo>
                                <a:lnTo>
                                  <a:pt x="6092952" y="0"/>
                                </a:lnTo>
                                <a:close/>
                              </a:path>
                            </a:pathLst>
                          </a:custGeom>
                          <a:solidFill>
                            <a:srgbClr val="000000"/>
                          </a:solidFill>
                        </wps:spPr>
                        <wps:bodyPr wrap="square" lIns="0" tIns="0" rIns="0" bIns="0" rtlCol="0">
                          <a:prstTxWarp prst="textNoShape">
                            <a:avLst/>
                          </a:prstTxWarp>
                          <a:noAutofit/>
                        </wps:bodyPr>
                      </wps:wsp>
                      <wps:wsp>
                        <wps:cNvPr id="903" name="Textbox 903"/>
                        <wps:cNvSpPr txBox="1"/>
                        <wps:spPr>
                          <a:xfrm>
                            <a:off x="6095" y="0"/>
                            <a:ext cx="6080760" cy="1598930"/>
                          </a:xfrm>
                          <a:prstGeom prst="rect">
                            <a:avLst/>
                          </a:prstGeom>
                        </wps:spPr>
                        <wps:txbx>
                          <w:txbxContent>
                            <w:p>
                              <w:pPr>
                                <w:spacing w:line="259" w:lineRule="auto" w:before="1"/>
                                <w:ind w:left="107" w:right="103" w:firstLine="0"/>
                                <w:jc w:val="both"/>
                                <w:rPr>
                                  <w:sz w:val="22"/>
                                </w:rPr>
                              </w:pPr>
                              <w:r>
                                <w:rPr>
                                  <w:sz w:val="22"/>
                                </w:rPr>
                                <w:t>improved</w:t>
                              </w:r>
                              <w:r>
                                <w:rPr>
                                  <w:spacing w:val="-6"/>
                                  <w:sz w:val="22"/>
                                </w:rPr>
                                <w:t> </w:t>
                              </w:r>
                              <w:r>
                                <w:rPr>
                                  <w:sz w:val="22"/>
                                </w:rPr>
                                <w:t>from</w:t>
                              </w:r>
                              <w:r>
                                <w:rPr>
                                  <w:spacing w:val="-10"/>
                                  <w:sz w:val="22"/>
                                </w:rPr>
                                <w:t> </w:t>
                              </w:r>
                              <w:r>
                                <w:rPr>
                                  <w:sz w:val="22"/>
                                </w:rPr>
                                <w:t>BP4</w:t>
                              </w:r>
                              <w:r>
                                <w:rPr>
                                  <w:spacing w:val="-6"/>
                                  <w:sz w:val="22"/>
                                </w:rPr>
                                <w:t> </w:t>
                              </w:r>
                              <w:r>
                                <w:rPr>
                                  <w:sz w:val="22"/>
                                </w:rPr>
                                <w:t>to</w:t>
                              </w:r>
                              <w:r>
                                <w:rPr>
                                  <w:spacing w:val="-9"/>
                                  <w:sz w:val="22"/>
                                </w:rPr>
                                <w:t> </w:t>
                              </w:r>
                              <w:r>
                                <w:rPr>
                                  <w:sz w:val="22"/>
                                </w:rPr>
                                <w:t>BP5</w:t>
                              </w:r>
                              <w:r>
                                <w:rPr>
                                  <w:spacing w:val="-9"/>
                                  <w:sz w:val="22"/>
                                </w:rPr>
                                <w:t> </w:t>
                              </w:r>
                              <w:r>
                                <w:rPr>
                                  <w:sz w:val="22"/>
                                </w:rPr>
                                <w:t>by</w:t>
                              </w:r>
                              <w:r>
                                <w:rPr>
                                  <w:spacing w:val="-8"/>
                                  <w:sz w:val="22"/>
                                </w:rPr>
                                <w:t> </w:t>
                              </w:r>
                              <w:r>
                                <w:rPr>
                                  <w:sz w:val="22"/>
                                </w:rPr>
                                <w:t>3.63%</w:t>
                              </w:r>
                              <w:r>
                                <w:rPr>
                                  <w:spacing w:val="-8"/>
                                  <w:sz w:val="22"/>
                                </w:rPr>
                                <w:t> </w:t>
                              </w:r>
                              <w:r>
                                <w:rPr>
                                  <w:sz w:val="22"/>
                                </w:rPr>
                                <w:t>[(58.17</w:t>
                              </w:r>
                              <w:r>
                                <w:rPr>
                                  <w:spacing w:val="-6"/>
                                  <w:sz w:val="22"/>
                                </w:rPr>
                                <w:t> </w:t>
                              </w:r>
                              <w:r>
                                <w:rPr>
                                  <w:sz w:val="22"/>
                                </w:rPr>
                                <w:t>-</w:t>
                              </w:r>
                              <w:r>
                                <w:rPr>
                                  <w:spacing w:val="-10"/>
                                  <w:sz w:val="22"/>
                                </w:rPr>
                                <w:t> </w:t>
                              </w:r>
                              <w:r>
                                <w:rPr>
                                  <w:sz w:val="22"/>
                                </w:rPr>
                                <w:t>54.54)]</w:t>
                              </w:r>
                              <w:r>
                                <w:rPr>
                                  <w:spacing w:val="-8"/>
                                  <w:sz w:val="22"/>
                                </w:rPr>
                                <w:t> </w:t>
                              </w:r>
                              <w:r>
                                <w:rPr>
                                  <w:sz w:val="22"/>
                                </w:rPr>
                                <w:t>which</w:t>
                              </w:r>
                              <w:r>
                                <w:rPr>
                                  <w:spacing w:val="-6"/>
                                  <w:sz w:val="22"/>
                                </w:rPr>
                                <w:t> </w:t>
                              </w:r>
                              <w:r>
                                <w:rPr>
                                  <w:sz w:val="22"/>
                                </w:rPr>
                                <w:t>will</w:t>
                              </w:r>
                              <w:r>
                                <w:rPr>
                                  <w:spacing w:val="-6"/>
                                  <w:sz w:val="22"/>
                                </w:rPr>
                                <w:t> </w:t>
                              </w:r>
                              <w:r>
                                <w:rPr>
                                  <w:sz w:val="22"/>
                                </w:rPr>
                                <w:t>be</w:t>
                              </w:r>
                              <w:r>
                                <w:rPr>
                                  <w:spacing w:val="-6"/>
                                  <w:sz w:val="22"/>
                                </w:rPr>
                                <w:t> </w:t>
                              </w:r>
                              <w:r>
                                <w:rPr>
                                  <w:sz w:val="22"/>
                                </w:rPr>
                                <w:t>rounded</w:t>
                              </w:r>
                              <w:r>
                                <w:rPr>
                                  <w:spacing w:val="-7"/>
                                  <w:sz w:val="22"/>
                                </w:rPr>
                                <w:t> </w:t>
                              </w:r>
                              <w:r>
                                <w:rPr>
                                  <w:sz w:val="22"/>
                                </w:rPr>
                                <w:t>to</w:t>
                              </w:r>
                              <w:r>
                                <w:rPr>
                                  <w:spacing w:val="-8"/>
                                  <w:sz w:val="22"/>
                                </w:rPr>
                                <w:t> </w:t>
                              </w:r>
                              <w:r>
                                <w:rPr>
                                  <w:sz w:val="22"/>
                                </w:rPr>
                                <w:t>the</w:t>
                              </w:r>
                              <w:r>
                                <w:rPr>
                                  <w:spacing w:val="-6"/>
                                  <w:sz w:val="22"/>
                                </w:rPr>
                                <w:t> </w:t>
                              </w:r>
                              <w:r>
                                <w:rPr>
                                  <w:sz w:val="22"/>
                                </w:rPr>
                                <w:t>nearest</w:t>
                              </w:r>
                              <w:r>
                                <w:rPr>
                                  <w:spacing w:val="-7"/>
                                  <w:sz w:val="22"/>
                                </w:rPr>
                                <w:t> </w:t>
                              </w:r>
                              <w:r>
                                <w:rPr>
                                  <w:sz w:val="22"/>
                                </w:rPr>
                                <w:t>tenth</w:t>
                              </w:r>
                              <w:r>
                                <w:rPr>
                                  <w:spacing w:val="-9"/>
                                  <w:sz w:val="22"/>
                                </w:rPr>
                                <w:t> </w:t>
                              </w:r>
                              <w:r>
                                <w:rPr>
                                  <w:sz w:val="22"/>
                                </w:rPr>
                                <w:t>(e.g.,</w:t>
                              </w:r>
                              <w:r>
                                <w:rPr>
                                  <w:spacing w:val="-6"/>
                                  <w:sz w:val="22"/>
                                </w:rPr>
                                <w:t> </w:t>
                              </w:r>
                              <w:r>
                                <w:rPr>
                                  <w:sz w:val="22"/>
                                </w:rPr>
                                <w:t>one decimal point) to 3.6% which exceeds the Improvement Target of 2.1%. Thus the ACO will earn five (5) improvement points.</w:t>
                              </w:r>
                              <w:r>
                                <w:rPr>
                                  <w:spacing w:val="40"/>
                                  <w:sz w:val="22"/>
                                </w:rPr>
                                <w:t> </w:t>
                              </w:r>
                              <w:r>
                                <w:rPr>
                                  <w:sz w:val="22"/>
                                </w:rPr>
                                <w:t>No points above 5 are awarded for increases in excess of the improvement target.</w:t>
                              </w:r>
                            </w:p>
                            <w:p>
                              <w:pPr>
                                <w:spacing w:line="240" w:lineRule="auto" w:before="6"/>
                                <w:rPr>
                                  <w:sz w:val="35"/>
                                </w:rPr>
                              </w:pPr>
                            </w:p>
                            <w:p>
                              <w:pPr>
                                <w:spacing w:before="0"/>
                                <w:ind w:left="107" w:right="0" w:firstLine="0"/>
                                <w:jc w:val="both"/>
                                <w:rPr>
                                  <w:i/>
                                  <w:sz w:val="22"/>
                                </w:rPr>
                              </w:pPr>
                              <w:r>
                                <w:rPr>
                                  <w:i/>
                                  <w:sz w:val="22"/>
                                </w:rPr>
                                <w:t>In</w:t>
                              </w:r>
                              <w:r>
                                <w:rPr>
                                  <w:i/>
                                  <w:spacing w:val="-3"/>
                                  <w:sz w:val="22"/>
                                </w:rPr>
                                <w:t> </w:t>
                              </w:r>
                              <w:r>
                                <w:rPr>
                                  <w:i/>
                                  <w:sz w:val="22"/>
                                </w:rPr>
                                <w:t>this</w:t>
                              </w:r>
                              <w:r>
                                <w:rPr>
                                  <w:i/>
                                  <w:spacing w:val="-4"/>
                                  <w:sz w:val="22"/>
                                </w:rPr>
                                <w:t> </w:t>
                              </w:r>
                              <w:r>
                                <w:rPr>
                                  <w:i/>
                                  <w:sz w:val="22"/>
                                </w:rPr>
                                <w:t>scenario</w:t>
                              </w:r>
                              <w:r>
                                <w:rPr>
                                  <w:i/>
                                  <w:spacing w:val="-2"/>
                                  <w:sz w:val="22"/>
                                </w:rPr>
                                <w:t> </w:t>
                              </w:r>
                              <w:r>
                                <w:rPr>
                                  <w:i/>
                                  <w:sz w:val="22"/>
                                </w:rPr>
                                <w:t>the</w:t>
                              </w:r>
                              <w:r>
                                <w:rPr>
                                  <w:i/>
                                  <w:spacing w:val="-2"/>
                                  <w:sz w:val="22"/>
                                </w:rPr>
                                <w:t> </w:t>
                              </w:r>
                              <w:r>
                                <w:rPr>
                                  <w:i/>
                                  <w:sz w:val="22"/>
                                </w:rPr>
                                <w:t>ACO</w:t>
                              </w:r>
                              <w:r>
                                <w:rPr>
                                  <w:i/>
                                  <w:spacing w:val="-3"/>
                                  <w:sz w:val="22"/>
                                </w:rPr>
                                <w:t> </w:t>
                              </w:r>
                              <w:r>
                                <w:rPr>
                                  <w:i/>
                                  <w:sz w:val="22"/>
                                </w:rPr>
                                <w:t>would</w:t>
                              </w:r>
                              <w:r>
                                <w:rPr>
                                  <w:i/>
                                  <w:spacing w:val="-2"/>
                                  <w:sz w:val="22"/>
                                </w:rPr>
                                <w:t> </w:t>
                              </w:r>
                              <w:r>
                                <w:rPr>
                                  <w:i/>
                                  <w:sz w:val="22"/>
                                </w:rPr>
                                <w:t>earn</w:t>
                              </w:r>
                              <w:r>
                                <w:rPr>
                                  <w:i/>
                                  <w:spacing w:val="-2"/>
                                  <w:sz w:val="22"/>
                                </w:rPr>
                                <w:t> </w:t>
                              </w:r>
                              <w:r>
                                <w:rPr>
                                  <w:i/>
                                  <w:sz w:val="22"/>
                                </w:rPr>
                                <w:t>13.8</w:t>
                              </w:r>
                              <w:r>
                                <w:rPr>
                                  <w:i/>
                                  <w:spacing w:val="-2"/>
                                  <w:sz w:val="22"/>
                                </w:rPr>
                                <w:t> points.</w:t>
                              </w:r>
                            </w:p>
                            <w:p>
                              <w:pPr>
                                <w:spacing w:line="240" w:lineRule="auto" w:before="1"/>
                                <w:rPr>
                                  <w:i/>
                                  <w:sz w:val="22"/>
                                </w:rPr>
                              </w:pPr>
                            </w:p>
                            <w:p>
                              <w:pPr>
                                <w:spacing w:before="0"/>
                                <w:ind w:left="107" w:right="102" w:firstLine="0"/>
                                <w:jc w:val="both"/>
                                <w:rPr>
                                  <w:sz w:val="22"/>
                                </w:rPr>
                              </w:pPr>
                              <w:r>
                                <w:rPr>
                                  <w:sz w:val="22"/>
                                </w:rPr>
                                <w:t>If</w:t>
                              </w:r>
                              <w:r>
                                <w:rPr>
                                  <w:spacing w:val="-16"/>
                                  <w:sz w:val="22"/>
                                </w:rPr>
                                <w:t> </w:t>
                              </w:r>
                              <w:r>
                                <w:rPr>
                                  <w:sz w:val="22"/>
                                </w:rPr>
                                <w:t>there</w:t>
                              </w:r>
                              <w:r>
                                <w:rPr>
                                  <w:spacing w:val="-14"/>
                                  <w:sz w:val="22"/>
                                </w:rPr>
                                <w:t> </w:t>
                              </w:r>
                              <w:r>
                                <w:rPr>
                                  <w:sz w:val="22"/>
                                </w:rPr>
                                <w:t>is</w:t>
                              </w:r>
                              <w:r>
                                <w:rPr>
                                  <w:spacing w:val="-14"/>
                                  <w:sz w:val="22"/>
                                </w:rPr>
                                <w:t> </w:t>
                              </w:r>
                              <w:r>
                                <w:rPr>
                                  <w:sz w:val="22"/>
                                </w:rPr>
                                <w:t>only</w:t>
                              </w:r>
                              <w:r>
                                <w:rPr>
                                  <w:spacing w:val="-13"/>
                                  <w:sz w:val="22"/>
                                </w:rPr>
                                <w:t> </w:t>
                              </w:r>
                              <w:r>
                                <w:rPr>
                                  <w:sz w:val="22"/>
                                </w:rPr>
                                <w:t>one</w:t>
                              </w:r>
                              <w:r>
                                <w:rPr>
                                  <w:spacing w:val="-14"/>
                                  <w:sz w:val="22"/>
                                </w:rPr>
                                <w:t> </w:t>
                              </w:r>
                              <w:r>
                                <w:rPr>
                                  <w:sz w:val="22"/>
                                </w:rPr>
                                <w:t>(1)</w:t>
                              </w:r>
                              <w:r>
                                <w:rPr>
                                  <w:spacing w:val="-14"/>
                                  <w:sz w:val="22"/>
                                </w:rPr>
                                <w:t> </w:t>
                              </w:r>
                              <w:r>
                                <w:rPr>
                                  <w:sz w:val="22"/>
                                </w:rPr>
                                <w:t>additional</w:t>
                              </w:r>
                              <w:r>
                                <w:rPr>
                                  <w:spacing w:val="-14"/>
                                  <w:sz w:val="22"/>
                                </w:rPr>
                                <w:t> </w:t>
                              </w:r>
                              <w:r>
                                <w:rPr>
                                  <w:sz w:val="22"/>
                                </w:rPr>
                                <w:t>measure</w:t>
                              </w:r>
                              <w:r>
                                <w:rPr>
                                  <w:spacing w:val="-13"/>
                                  <w:sz w:val="22"/>
                                </w:rPr>
                                <w:t> </w:t>
                              </w:r>
                              <w:r>
                                <w:rPr>
                                  <w:sz w:val="22"/>
                                </w:rPr>
                                <w:t>in</w:t>
                              </w:r>
                              <w:r>
                                <w:rPr>
                                  <w:spacing w:val="-14"/>
                                  <w:sz w:val="22"/>
                                </w:rPr>
                                <w:t> </w:t>
                              </w:r>
                              <w:r>
                                <w:rPr>
                                  <w:sz w:val="22"/>
                                </w:rPr>
                                <w:t>the</w:t>
                              </w:r>
                              <w:r>
                                <w:rPr>
                                  <w:spacing w:val="-14"/>
                                  <w:sz w:val="22"/>
                                </w:rPr>
                                <w:t> </w:t>
                              </w:r>
                              <w:r>
                                <w:rPr>
                                  <w:sz w:val="22"/>
                                </w:rPr>
                                <w:t>Domain</w:t>
                              </w:r>
                              <w:r>
                                <w:rPr>
                                  <w:spacing w:val="-14"/>
                                  <w:sz w:val="22"/>
                                </w:rPr>
                                <w:t> </w:t>
                              </w:r>
                              <w:r>
                                <w:rPr>
                                  <w:sz w:val="22"/>
                                </w:rPr>
                                <w:t>and</w:t>
                              </w:r>
                              <w:r>
                                <w:rPr>
                                  <w:spacing w:val="-13"/>
                                  <w:sz w:val="22"/>
                                </w:rPr>
                                <w:t> </w:t>
                              </w:r>
                              <w:r>
                                <w:rPr>
                                  <w:sz w:val="22"/>
                                </w:rPr>
                                <w:t>the</w:t>
                              </w:r>
                              <w:r>
                                <w:rPr>
                                  <w:spacing w:val="-14"/>
                                  <w:sz w:val="22"/>
                                </w:rPr>
                                <w:t> </w:t>
                              </w:r>
                              <w:r>
                                <w:rPr>
                                  <w:sz w:val="22"/>
                                </w:rPr>
                                <w:t>ACO</w:t>
                              </w:r>
                              <w:r>
                                <w:rPr>
                                  <w:spacing w:val="-14"/>
                                  <w:sz w:val="22"/>
                                </w:rPr>
                                <w:t> </w:t>
                              </w:r>
                              <w:r>
                                <w:rPr>
                                  <w:sz w:val="22"/>
                                </w:rPr>
                                <w:t>earned</w:t>
                              </w:r>
                              <w:r>
                                <w:rPr>
                                  <w:spacing w:val="-14"/>
                                  <w:sz w:val="22"/>
                                </w:rPr>
                                <w:t> </w:t>
                              </w:r>
                              <w:r>
                                <w:rPr>
                                  <w:sz w:val="22"/>
                                </w:rPr>
                                <w:t>9</w:t>
                              </w:r>
                              <w:r>
                                <w:rPr>
                                  <w:spacing w:val="-13"/>
                                  <w:sz w:val="22"/>
                                </w:rPr>
                                <w:t> </w:t>
                              </w:r>
                              <w:r>
                                <w:rPr>
                                  <w:sz w:val="22"/>
                                </w:rPr>
                                <w:t>total</w:t>
                              </w:r>
                              <w:r>
                                <w:rPr>
                                  <w:spacing w:val="-14"/>
                                  <w:sz w:val="22"/>
                                </w:rPr>
                                <w:t> </w:t>
                              </w:r>
                              <w:r>
                                <w:rPr>
                                  <w:sz w:val="22"/>
                                </w:rPr>
                                <w:t>points</w:t>
                              </w:r>
                              <w:r>
                                <w:rPr>
                                  <w:spacing w:val="-14"/>
                                  <w:sz w:val="22"/>
                                </w:rPr>
                                <w:t> </w:t>
                              </w:r>
                              <w:r>
                                <w:rPr>
                                  <w:sz w:val="22"/>
                                </w:rPr>
                                <w:t>for</w:t>
                              </w:r>
                              <w:r>
                                <w:rPr>
                                  <w:spacing w:val="-14"/>
                                  <w:sz w:val="22"/>
                                </w:rPr>
                                <w:t> </w:t>
                              </w:r>
                              <w:r>
                                <w:rPr>
                                  <w:sz w:val="22"/>
                                </w:rPr>
                                <w:t>this</w:t>
                              </w:r>
                              <w:r>
                                <w:rPr>
                                  <w:spacing w:val="-13"/>
                                  <w:sz w:val="22"/>
                                </w:rPr>
                                <w:t> </w:t>
                              </w:r>
                              <w:r>
                                <w:rPr>
                                  <w:sz w:val="22"/>
                                </w:rPr>
                                <w:t>measure; the</w:t>
                              </w:r>
                              <w:r>
                                <w:rPr>
                                  <w:spacing w:val="-7"/>
                                  <w:sz w:val="22"/>
                                </w:rPr>
                                <w:t> </w:t>
                              </w:r>
                              <w:r>
                                <w:rPr>
                                  <w:sz w:val="22"/>
                                </w:rPr>
                                <w:t>total</w:t>
                              </w:r>
                              <w:r>
                                <w:rPr>
                                  <w:spacing w:val="-4"/>
                                  <w:sz w:val="22"/>
                                </w:rPr>
                                <w:t> </w:t>
                              </w:r>
                              <w:r>
                                <w:rPr>
                                  <w:sz w:val="22"/>
                                </w:rPr>
                                <w:t>score</w:t>
                              </w:r>
                              <w:r>
                                <w:rPr>
                                  <w:spacing w:val="-7"/>
                                  <w:sz w:val="22"/>
                                </w:rPr>
                                <w:t> </w:t>
                              </w:r>
                              <w:r>
                                <w:rPr>
                                  <w:sz w:val="22"/>
                                </w:rPr>
                                <w:t>for</w:t>
                              </w:r>
                              <w:r>
                                <w:rPr>
                                  <w:spacing w:val="-6"/>
                                  <w:sz w:val="22"/>
                                </w:rPr>
                                <w:t> </w:t>
                              </w:r>
                              <w:r>
                                <w:rPr>
                                  <w:sz w:val="22"/>
                                </w:rPr>
                                <w:t>the</w:t>
                              </w:r>
                              <w:r>
                                <w:rPr>
                                  <w:spacing w:val="-4"/>
                                  <w:sz w:val="22"/>
                                </w:rPr>
                                <w:t> </w:t>
                              </w:r>
                              <w:r>
                                <w:rPr>
                                  <w:sz w:val="22"/>
                                </w:rPr>
                                <w:t>ACO</w:t>
                              </w:r>
                              <w:r>
                                <w:rPr>
                                  <w:spacing w:val="-8"/>
                                  <w:sz w:val="22"/>
                                </w:rPr>
                                <w:t> </w:t>
                              </w:r>
                              <w:r>
                                <w:rPr>
                                  <w:sz w:val="22"/>
                                </w:rPr>
                                <w:t>would</w:t>
                              </w:r>
                              <w:r>
                                <w:rPr>
                                  <w:spacing w:val="-5"/>
                                  <w:sz w:val="22"/>
                                </w:rPr>
                                <w:t> </w:t>
                              </w:r>
                              <w:r>
                                <w:rPr>
                                  <w:sz w:val="22"/>
                                </w:rPr>
                                <w:t>be</w:t>
                              </w:r>
                              <w:r>
                                <w:rPr>
                                  <w:spacing w:val="-4"/>
                                  <w:sz w:val="22"/>
                                </w:rPr>
                                <w:t> </w:t>
                              </w:r>
                              <w:r>
                                <w:rPr>
                                  <w:sz w:val="22"/>
                                </w:rPr>
                                <w:t>20.0</w:t>
                              </w:r>
                              <w:r>
                                <w:rPr>
                                  <w:spacing w:val="-7"/>
                                  <w:sz w:val="22"/>
                                </w:rPr>
                                <w:t> </w:t>
                              </w:r>
                              <w:r>
                                <w:rPr>
                                  <w:sz w:val="22"/>
                                </w:rPr>
                                <w:t>(out</w:t>
                              </w:r>
                              <w:r>
                                <w:rPr>
                                  <w:spacing w:val="-4"/>
                                  <w:sz w:val="22"/>
                                </w:rPr>
                                <w:t> </w:t>
                              </w:r>
                              <w:r>
                                <w:rPr>
                                  <w:sz w:val="22"/>
                                </w:rPr>
                                <w:t>of</w:t>
                              </w:r>
                              <w:r>
                                <w:rPr>
                                  <w:spacing w:val="-4"/>
                                  <w:sz w:val="22"/>
                                </w:rPr>
                                <w:t> </w:t>
                              </w:r>
                              <w:r>
                                <w:rPr>
                                  <w:sz w:val="22"/>
                                </w:rPr>
                                <w:t>20)</w:t>
                              </w:r>
                              <w:r>
                                <w:rPr>
                                  <w:spacing w:val="-4"/>
                                  <w:sz w:val="22"/>
                                </w:rPr>
                                <w:t> </w:t>
                              </w:r>
                              <w:r>
                                <w:rPr>
                                  <w:sz w:val="22"/>
                                </w:rPr>
                                <w:t>given</w:t>
                              </w:r>
                              <w:r>
                                <w:rPr>
                                  <w:spacing w:val="-5"/>
                                  <w:sz w:val="22"/>
                                </w:rPr>
                                <w:t> </w:t>
                              </w:r>
                              <w:r>
                                <w:rPr>
                                  <w:sz w:val="22"/>
                                </w:rPr>
                                <w:t>that</w:t>
                              </w:r>
                              <w:r>
                                <w:rPr>
                                  <w:spacing w:val="-4"/>
                                  <w:sz w:val="22"/>
                                </w:rPr>
                                <w:t> </w:t>
                              </w:r>
                              <w:r>
                                <w:rPr>
                                  <w:sz w:val="22"/>
                                </w:rPr>
                                <w:t>domain</w:t>
                              </w:r>
                              <w:r>
                                <w:rPr>
                                  <w:spacing w:val="-7"/>
                                  <w:sz w:val="22"/>
                                </w:rPr>
                                <w:t> </w:t>
                              </w:r>
                              <w:r>
                                <w:rPr>
                                  <w:sz w:val="22"/>
                                </w:rPr>
                                <w:t>scores</w:t>
                              </w:r>
                              <w:r>
                                <w:rPr>
                                  <w:spacing w:val="-4"/>
                                  <w:sz w:val="22"/>
                                </w:rPr>
                                <w:t> </w:t>
                              </w:r>
                              <w:r>
                                <w:rPr>
                                  <w:sz w:val="22"/>
                                </w:rPr>
                                <w:t>are</w:t>
                              </w:r>
                              <w:r>
                                <w:rPr>
                                  <w:spacing w:val="-9"/>
                                  <w:sz w:val="22"/>
                                </w:rPr>
                                <w:t> </w:t>
                              </w:r>
                              <w:r>
                                <w:rPr>
                                  <w:sz w:val="22"/>
                                </w:rPr>
                                <w:t>capped</w:t>
                              </w:r>
                              <w:r>
                                <w:rPr>
                                  <w:spacing w:val="-7"/>
                                  <w:sz w:val="22"/>
                                </w:rPr>
                                <w:t> </w:t>
                              </w:r>
                              <w:r>
                                <w:rPr>
                                  <w:sz w:val="22"/>
                                </w:rPr>
                                <w:t>at</w:t>
                              </w:r>
                              <w:r>
                                <w:rPr>
                                  <w:spacing w:val="-6"/>
                                  <w:sz w:val="22"/>
                                </w:rPr>
                                <w:t> </w:t>
                              </w:r>
                              <w:r>
                                <w:rPr>
                                  <w:sz w:val="22"/>
                                </w:rPr>
                                <w:t>the</w:t>
                              </w:r>
                              <w:r>
                                <w:rPr>
                                  <w:spacing w:val="-7"/>
                                  <w:sz w:val="22"/>
                                </w:rPr>
                                <w:t> </w:t>
                              </w:r>
                              <w:r>
                                <w:rPr>
                                  <w:sz w:val="22"/>
                                </w:rPr>
                                <w:t>maximum number of achievement points (20) in the domain.</w:t>
                              </w:r>
                            </w:p>
                          </w:txbxContent>
                        </wps:txbx>
                        <wps:bodyPr wrap="square" lIns="0" tIns="0" rIns="0" bIns="0" rtlCol="0">
                          <a:noAutofit/>
                        </wps:bodyPr>
                      </wps:wsp>
                    </wpg:wgp>
                  </a:graphicData>
                </a:graphic>
              </wp:inline>
            </w:drawing>
          </mc:Choice>
          <mc:Fallback>
            <w:pict>
              <v:group style="width:479.8pt;height:126.4pt;mso-position-horizontal-relative:char;mso-position-vertical-relative:line" id="docshapegroup118" coordorigin="0,0" coordsize="9596,2528">
                <v:shape style="position:absolute;left:0;top:0;width:9596;height:2528" id="docshape119" coordorigin="0,0" coordsize="9596,2528" path="m10,0l0,0,0,274,10,274,10,0xm9595,274l9586,274,9586,547,9586,979,9586,1231,9586,1486,9586,1738,9586,1738,9586,1992,9586,2244,9586,2518,10,2518,10,2244,10,1992,10,1738,10,1738,10,1486,10,1231,10,979,10,547,10,274,0,274,0,547,0,979,0,1231,0,1486,0,1738,0,1738,0,1992,0,2244,0,2518,0,2527,10,2527,9586,2527,9595,2527,9595,2518,9595,2244,9595,1992,9595,1738,9595,1738,9595,1486,9595,1231,9595,979,9595,547,9595,274xm9595,0l9586,0,9586,274,9595,274,9595,0xe" filled="true" fillcolor="#000000" stroked="false">
                  <v:path arrowok="t"/>
                  <v:fill type="solid"/>
                </v:shape>
                <v:shape style="position:absolute;left:9;top:0;width:9576;height:2518" type="#_x0000_t202" id="docshape120" filled="false" stroked="false">
                  <v:textbox inset="0,0,0,0">
                    <w:txbxContent>
                      <w:p>
                        <w:pPr>
                          <w:spacing w:line="259" w:lineRule="auto" w:before="1"/>
                          <w:ind w:left="107" w:right="103" w:firstLine="0"/>
                          <w:jc w:val="both"/>
                          <w:rPr>
                            <w:sz w:val="22"/>
                          </w:rPr>
                        </w:pPr>
                        <w:r>
                          <w:rPr>
                            <w:sz w:val="22"/>
                          </w:rPr>
                          <w:t>improved</w:t>
                        </w:r>
                        <w:r>
                          <w:rPr>
                            <w:spacing w:val="-6"/>
                            <w:sz w:val="22"/>
                          </w:rPr>
                          <w:t> </w:t>
                        </w:r>
                        <w:r>
                          <w:rPr>
                            <w:sz w:val="22"/>
                          </w:rPr>
                          <w:t>from</w:t>
                        </w:r>
                        <w:r>
                          <w:rPr>
                            <w:spacing w:val="-10"/>
                            <w:sz w:val="22"/>
                          </w:rPr>
                          <w:t> </w:t>
                        </w:r>
                        <w:r>
                          <w:rPr>
                            <w:sz w:val="22"/>
                          </w:rPr>
                          <w:t>BP4</w:t>
                        </w:r>
                        <w:r>
                          <w:rPr>
                            <w:spacing w:val="-6"/>
                            <w:sz w:val="22"/>
                          </w:rPr>
                          <w:t> </w:t>
                        </w:r>
                        <w:r>
                          <w:rPr>
                            <w:sz w:val="22"/>
                          </w:rPr>
                          <w:t>to</w:t>
                        </w:r>
                        <w:r>
                          <w:rPr>
                            <w:spacing w:val="-9"/>
                            <w:sz w:val="22"/>
                          </w:rPr>
                          <w:t> </w:t>
                        </w:r>
                        <w:r>
                          <w:rPr>
                            <w:sz w:val="22"/>
                          </w:rPr>
                          <w:t>BP5</w:t>
                        </w:r>
                        <w:r>
                          <w:rPr>
                            <w:spacing w:val="-9"/>
                            <w:sz w:val="22"/>
                          </w:rPr>
                          <w:t> </w:t>
                        </w:r>
                        <w:r>
                          <w:rPr>
                            <w:sz w:val="22"/>
                          </w:rPr>
                          <w:t>by</w:t>
                        </w:r>
                        <w:r>
                          <w:rPr>
                            <w:spacing w:val="-8"/>
                            <w:sz w:val="22"/>
                          </w:rPr>
                          <w:t> </w:t>
                        </w:r>
                        <w:r>
                          <w:rPr>
                            <w:sz w:val="22"/>
                          </w:rPr>
                          <w:t>3.63%</w:t>
                        </w:r>
                        <w:r>
                          <w:rPr>
                            <w:spacing w:val="-8"/>
                            <w:sz w:val="22"/>
                          </w:rPr>
                          <w:t> </w:t>
                        </w:r>
                        <w:r>
                          <w:rPr>
                            <w:sz w:val="22"/>
                          </w:rPr>
                          <w:t>[(58.17</w:t>
                        </w:r>
                        <w:r>
                          <w:rPr>
                            <w:spacing w:val="-6"/>
                            <w:sz w:val="22"/>
                          </w:rPr>
                          <w:t> </w:t>
                        </w:r>
                        <w:r>
                          <w:rPr>
                            <w:sz w:val="22"/>
                          </w:rPr>
                          <w:t>-</w:t>
                        </w:r>
                        <w:r>
                          <w:rPr>
                            <w:spacing w:val="-10"/>
                            <w:sz w:val="22"/>
                          </w:rPr>
                          <w:t> </w:t>
                        </w:r>
                        <w:r>
                          <w:rPr>
                            <w:sz w:val="22"/>
                          </w:rPr>
                          <w:t>54.54)]</w:t>
                        </w:r>
                        <w:r>
                          <w:rPr>
                            <w:spacing w:val="-8"/>
                            <w:sz w:val="22"/>
                          </w:rPr>
                          <w:t> </w:t>
                        </w:r>
                        <w:r>
                          <w:rPr>
                            <w:sz w:val="22"/>
                          </w:rPr>
                          <w:t>which</w:t>
                        </w:r>
                        <w:r>
                          <w:rPr>
                            <w:spacing w:val="-6"/>
                            <w:sz w:val="22"/>
                          </w:rPr>
                          <w:t> </w:t>
                        </w:r>
                        <w:r>
                          <w:rPr>
                            <w:sz w:val="22"/>
                          </w:rPr>
                          <w:t>will</w:t>
                        </w:r>
                        <w:r>
                          <w:rPr>
                            <w:spacing w:val="-6"/>
                            <w:sz w:val="22"/>
                          </w:rPr>
                          <w:t> </w:t>
                        </w:r>
                        <w:r>
                          <w:rPr>
                            <w:sz w:val="22"/>
                          </w:rPr>
                          <w:t>be</w:t>
                        </w:r>
                        <w:r>
                          <w:rPr>
                            <w:spacing w:val="-6"/>
                            <w:sz w:val="22"/>
                          </w:rPr>
                          <w:t> </w:t>
                        </w:r>
                        <w:r>
                          <w:rPr>
                            <w:sz w:val="22"/>
                          </w:rPr>
                          <w:t>rounded</w:t>
                        </w:r>
                        <w:r>
                          <w:rPr>
                            <w:spacing w:val="-7"/>
                            <w:sz w:val="22"/>
                          </w:rPr>
                          <w:t> </w:t>
                        </w:r>
                        <w:r>
                          <w:rPr>
                            <w:sz w:val="22"/>
                          </w:rPr>
                          <w:t>to</w:t>
                        </w:r>
                        <w:r>
                          <w:rPr>
                            <w:spacing w:val="-8"/>
                            <w:sz w:val="22"/>
                          </w:rPr>
                          <w:t> </w:t>
                        </w:r>
                        <w:r>
                          <w:rPr>
                            <w:sz w:val="22"/>
                          </w:rPr>
                          <w:t>the</w:t>
                        </w:r>
                        <w:r>
                          <w:rPr>
                            <w:spacing w:val="-6"/>
                            <w:sz w:val="22"/>
                          </w:rPr>
                          <w:t> </w:t>
                        </w:r>
                        <w:r>
                          <w:rPr>
                            <w:sz w:val="22"/>
                          </w:rPr>
                          <w:t>nearest</w:t>
                        </w:r>
                        <w:r>
                          <w:rPr>
                            <w:spacing w:val="-7"/>
                            <w:sz w:val="22"/>
                          </w:rPr>
                          <w:t> </w:t>
                        </w:r>
                        <w:r>
                          <w:rPr>
                            <w:sz w:val="22"/>
                          </w:rPr>
                          <w:t>tenth</w:t>
                        </w:r>
                        <w:r>
                          <w:rPr>
                            <w:spacing w:val="-9"/>
                            <w:sz w:val="22"/>
                          </w:rPr>
                          <w:t> </w:t>
                        </w:r>
                        <w:r>
                          <w:rPr>
                            <w:sz w:val="22"/>
                          </w:rPr>
                          <w:t>(e.g.,</w:t>
                        </w:r>
                        <w:r>
                          <w:rPr>
                            <w:spacing w:val="-6"/>
                            <w:sz w:val="22"/>
                          </w:rPr>
                          <w:t> </w:t>
                        </w:r>
                        <w:r>
                          <w:rPr>
                            <w:sz w:val="22"/>
                          </w:rPr>
                          <w:t>one decimal point) to 3.6% which exceeds the Improvement Target of 2.1%. Thus the ACO will earn five (5) improvement points.</w:t>
                        </w:r>
                        <w:r>
                          <w:rPr>
                            <w:spacing w:val="40"/>
                            <w:sz w:val="22"/>
                          </w:rPr>
                          <w:t> </w:t>
                        </w:r>
                        <w:r>
                          <w:rPr>
                            <w:sz w:val="22"/>
                          </w:rPr>
                          <w:t>No points above 5 are awarded for increases in excess of the improvement target.</w:t>
                        </w:r>
                      </w:p>
                      <w:p>
                        <w:pPr>
                          <w:spacing w:line="240" w:lineRule="auto" w:before="6"/>
                          <w:rPr>
                            <w:sz w:val="35"/>
                          </w:rPr>
                        </w:pPr>
                      </w:p>
                      <w:p>
                        <w:pPr>
                          <w:spacing w:before="0"/>
                          <w:ind w:left="107" w:right="0" w:firstLine="0"/>
                          <w:jc w:val="both"/>
                          <w:rPr>
                            <w:i/>
                            <w:sz w:val="22"/>
                          </w:rPr>
                        </w:pPr>
                        <w:r>
                          <w:rPr>
                            <w:i/>
                            <w:sz w:val="22"/>
                          </w:rPr>
                          <w:t>In</w:t>
                        </w:r>
                        <w:r>
                          <w:rPr>
                            <w:i/>
                            <w:spacing w:val="-3"/>
                            <w:sz w:val="22"/>
                          </w:rPr>
                          <w:t> </w:t>
                        </w:r>
                        <w:r>
                          <w:rPr>
                            <w:i/>
                            <w:sz w:val="22"/>
                          </w:rPr>
                          <w:t>this</w:t>
                        </w:r>
                        <w:r>
                          <w:rPr>
                            <w:i/>
                            <w:spacing w:val="-4"/>
                            <w:sz w:val="22"/>
                          </w:rPr>
                          <w:t> </w:t>
                        </w:r>
                        <w:r>
                          <w:rPr>
                            <w:i/>
                            <w:sz w:val="22"/>
                          </w:rPr>
                          <w:t>scenario</w:t>
                        </w:r>
                        <w:r>
                          <w:rPr>
                            <w:i/>
                            <w:spacing w:val="-2"/>
                            <w:sz w:val="22"/>
                          </w:rPr>
                          <w:t> </w:t>
                        </w:r>
                        <w:r>
                          <w:rPr>
                            <w:i/>
                            <w:sz w:val="22"/>
                          </w:rPr>
                          <w:t>the</w:t>
                        </w:r>
                        <w:r>
                          <w:rPr>
                            <w:i/>
                            <w:spacing w:val="-2"/>
                            <w:sz w:val="22"/>
                          </w:rPr>
                          <w:t> </w:t>
                        </w:r>
                        <w:r>
                          <w:rPr>
                            <w:i/>
                            <w:sz w:val="22"/>
                          </w:rPr>
                          <w:t>ACO</w:t>
                        </w:r>
                        <w:r>
                          <w:rPr>
                            <w:i/>
                            <w:spacing w:val="-3"/>
                            <w:sz w:val="22"/>
                          </w:rPr>
                          <w:t> </w:t>
                        </w:r>
                        <w:r>
                          <w:rPr>
                            <w:i/>
                            <w:sz w:val="22"/>
                          </w:rPr>
                          <w:t>would</w:t>
                        </w:r>
                        <w:r>
                          <w:rPr>
                            <w:i/>
                            <w:spacing w:val="-2"/>
                            <w:sz w:val="22"/>
                          </w:rPr>
                          <w:t> </w:t>
                        </w:r>
                        <w:r>
                          <w:rPr>
                            <w:i/>
                            <w:sz w:val="22"/>
                          </w:rPr>
                          <w:t>earn</w:t>
                        </w:r>
                        <w:r>
                          <w:rPr>
                            <w:i/>
                            <w:spacing w:val="-2"/>
                            <w:sz w:val="22"/>
                          </w:rPr>
                          <w:t> </w:t>
                        </w:r>
                        <w:r>
                          <w:rPr>
                            <w:i/>
                            <w:sz w:val="22"/>
                          </w:rPr>
                          <w:t>13.8</w:t>
                        </w:r>
                        <w:r>
                          <w:rPr>
                            <w:i/>
                            <w:spacing w:val="-2"/>
                            <w:sz w:val="22"/>
                          </w:rPr>
                          <w:t> points.</w:t>
                        </w:r>
                      </w:p>
                      <w:p>
                        <w:pPr>
                          <w:spacing w:line="240" w:lineRule="auto" w:before="1"/>
                          <w:rPr>
                            <w:i/>
                            <w:sz w:val="22"/>
                          </w:rPr>
                        </w:pPr>
                      </w:p>
                      <w:p>
                        <w:pPr>
                          <w:spacing w:before="0"/>
                          <w:ind w:left="107" w:right="102" w:firstLine="0"/>
                          <w:jc w:val="both"/>
                          <w:rPr>
                            <w:sz w:val="22"/>
                          </w:rPr>
                        </w:pPr>
                        <w:r>
                          <w:rPr>
                            <w:sz w:val="22"/>
                          </w:rPr>
                          <w:t>If</w:t>
                        </w:r>
                        <w:r>
                          <w:rPr>
                            <w:spacing w:val="-16"/>
                            <w:sz w:val="22"/>
                          </w:rPr>
                          <w:t> </w:t>
                        </w:r>
                        <w:r>
                          <w:rPr>
                            <w:sz w:val="22"/>
                          </w:rPr>
                          <w:t>there</w:t>
                        </w:r>
                        <w:r>
                          <w:rPr>
                            <w:spacing w:val="-14"/>
                            <w:sz w:val="22"/>
                          </w:rPr>
                          <w:t> </w:t>
                        </w:r>
                        <w:r>
                          <w:rPr>
                            <w:sz w:val="22"/>
                          </w:rPr>
                          <w:t>is</w:t>
                        </w:r>
                        <w:r>
                          <w:rPr>
                            <w:spacing w:val="-14"/>
                            <w:sz w:val="22"/>
                          </w:rPr>
                          <w:t> </w:t>
                        </w:r>
                        <w:r>
                          <w:rPr>
                            <w:sz w:val="22"/>
                          </w:rPr>
                          <w:t>only</w:t>
                        </w:r>
                        <w:r>
                          <w:rPr>
                            <w:spacing w:val="-13"/>
                            <w:sz w:val="22"/>
                          </w:rPr>
                          <w:t> </w:t>
                        </w:r>
                        <w:r>
                          <w:rPr>
                            <w:sz w:val="22"/>
                          </w:rPr>
                          <w:t>one</w:t>
                        </w:r>
                        <w:r>
                          <w:rPr>
                            <w:spacing w:val="-14"/>
                            <w:sz w:val="22"/>
                          </w:rPr>
                          <w:t> </w:t>
                        </w:r>
                        <w:r>
                          <w:rPr>
                            <w:sz w:val="22"/>
                          </w:rPr>
                          <w:t>(1)</w:t>
                        </w:r>
                        <w:r>
                          <w:rPr>
                            <w:spacing w:val="-14"/>
                            <w:sz w:val="22"/>
                          </w:rPr>
                          <w:t> </w:t>
                        </w:r>
                        <w:r>
                          <w:rPr>
                            <w:sz w:val="22"/>
                          </w:rPr>
                          <w:t>additional</w:t>
                        </w:r>
                        <w:r>
                          <w:rPr>
                            <w:spacing w:val="-14"/>
                            <w:sz w:val="22"/>
                          </w:rPr>
                          <w:t> </w:t>
                        </w:r>
                        <w:r>
                          <w:rPr>
                            <w:sz w:val="22"/>
                          </w:rPr>
                          <w:t>measure</w:t>
                        </w:r>
                        <w:r>
                          <w:rPr>
                            <w:spacing w:val="-13"/>
                            <w:sz w:val="22"/>
                          </w:rPr>
                          <w:t> </w:t>
                        </w:r>
                        <w:r>
                          <w:rPr>
                            <w:sz w:val="22"/>
                          </w:rPr>
                          <w:t>in</w:t>
                        </w:r>
                        <w:r>
                          <w:rPr>
                            <w:spacing w:val="-14"/>
                            <w:sz w:val="22"/>
                          </w:rPr>
                          <w:t> </w:t>
                        </w:r>
                        <w:r>
                          <w:rPr>
                            <w:sz w:val="22"/>
                          </w:rPr>
                          <w:t>the</w:t>
                        </w:r>
                        <w:r>
                          <w:rPr>
                            <w:spacing w:val="-14"/>
                            <w:sz w:val="22"/>
                          </w:rPr>
                          <w:t> </w:t>
                        </w:r>
                        <w:r>
                          <w:rPr>
                            <w:sz w:val="22"/>
                          </w:rPr>
                          <w:t>Domain</w:t>
                        </w:r>
                        <w:r>
                          <w:rPr>
                            <w:spacing w:val="-14"/>
                            <w:sz w:val="22"/>
                          </w:rPr>
                          <w:t> </w:t>
                        </w:r>
                        <w:r>
                          <w:rPr>
                            <w:sz w:val="22"/>
                          </w:rPr>
                          <w:t>and</w:t>
                        </w:r>
                        <w:r>
                          <w:rPr>
                            <w:spacing w:val="-13"/>
                            <w:sz w:val="22"/>
                          </w:rPr>
                          <w:t> </w:t>
                        </w:r>
                        <w:r>
                          <w:rPr>
                            <w:sz w:val="22"/>
                          </w:rPr>
                          <w:t>the</w:t>
                        </w:r>
                        <w:r>
                          <w:rPr>
                            <w:spacing w:val="-14"/>
                            <w:sz w:val="22"/>
                          </w:rPr>
                          <w:t> </w:t>
                        </w:r>
                        <w:r>
                          <w:rPr>
                            <w:sz w:val="22"/>
                          </w:rPr>
                          <w:t>ACO</w:t>
                        </w:r>
                        <w:r>
                          <w:rPr>
                            <w:spacing w:val="-14"/>
                            <w:sz w:val="22"/>
                          </w:rPr>
                          <w:t> </w:t>
                        </w:r>
                        <w:r>
                          <w:rPr>
                            <w:sz w:val="22"/>
                          </w:rPr>
                          <w:t>earned</w:t>
                        </w:r>
                        <w:r>
                          <w:rPr>
                            <w:spacing w:val="-14"/>
                            <w:sz w:val="22"/>
                          </w:rPr>
                          <w:t> </w:t>
                        </w:r>
                        <w:r>
                          <w:rPr>
                            <w:sz w:val="22"/>
                          </w:rPr>
                          <w:t>9</w:t>
                        </w:r>
                        <w:r>
                          <w:rPr>
                            <w:spacing w:val="-13"/>
                            <w:sz w:val="22"/>
                          </w:rPr>
                          <w:t> </w:t>
                        </w:r>
                        <w:r>
                          <w:rPr>
                            <w:sz w:val="22"/>
                          </w:rPr>
                          <w:t>total</w:t>
                        </w:r>
                        <w:r>
                          <w:rPr>
                            <w:spacing w:val="-14"/>
                            <w:sz w:val="22"/>
                          </w:rPr>
                          <w:t> </w:t>
                        </w:r>
                        <w:r>
                          <w:rPr>
                            <w:sz w:val="22"/>
                          </w:rPr>
                          <w:t>points</w:t>
                        </w:r>
                        <w:r>
                          <w:rPr>
                            <w:spacing w:val="-14"/>
                            <w:sz w:val="22"/>
                          </w:rPr>
                          <w:t> </w:t>
                        </w:r>
                        <w:r>
                          <w:rPr>
                            <w:sz w:val="22"/>
                          </w:rPr>
                          <w:t>for</w:t>
                        </w:r>
                        <w:r>
                          <w:rPr>
                            <w:spacing w:val="-14"/>
                            <w:sz w:val="22"/>
                          </w:rPr>
                          <w:t> </w:t>
                        </w:r>
                        <w:r>
                          <w:rPr>
                            <w:sz w:val="22"/>
                          </w:rPr>
                          <w:t>this</w:t>
                        </w:r>
                        <w:r>
                          <w:rPr>
                            <w:spacing w:val="-13"/>
                            <w:sz w:val="22"/>
                          </w:rPr>
                          <w:t> </w:t>
                        </w:r>
                        <w:r>
                          <w:rPr>
                            <w:sz w:val="22"/>
                          </w:rPr>
                          <w:t>measure; the</w:t>
                        </w:r>
                        <w:r>
                          <w:rPr>
                            <w:spacing w:val="-7"/>
                            <w:sz w:val="22"/>
                          </w:rPr>
                          <w:t> </w:t>
                        </w:r>
                        <w:r>
                          <w:rPr>
                            <w:sz w:val="22"/>
                          </w:rPr>
                          <w:t>total</w:t>
                        </w:r>
                        <w:r>
                          <w:rPr>
                            <w:spacing w:val="-4"/>
                            <w:sz w:val="22"/>
                          </w:rPr>
                          <w:t> </w:t>
                        </w:r>
                        <w:r>
                          <w:rPr>
                            <w:sz w:val="22"/>
                          </w:rPr>
                          <w:t>score</w:t>
                        </w:r>
                        <w:r>
                          <w:rPr>
                            <w:spacing w:val="-7"/>
                            <w:sz w:val="22"/>
                          </w:rPr>
                          <w:t> </w:t>
                        </w:r>
                        <w:r>
                          <w:rPr>
                            <w:sz w:val="22"/>
                          </w:rPr>
                          <w:t>for</w:t>
                        </w:r>
                        <w:r>
                          <w:rPr>
                            <w:spacing w:val="-6"/>
                            <w:sz w:val="22"/>
                          </w:rPr>
                          <w:t> </w:t>
                        </w:r>
                        <w:r>
                          <w:rPr>
                            <w:sz w:val="22"/>
                          </w:rPr>
                          <w:t>the</w:t>
                        </w:r>
                        <w:r>
                          <w:rPr>
                            <w:spacing w:val="-4"/>
                            <w:sz w:val="22"/>
                          </w:rPr>
                          <w:t> </w:t>
                        </w:r>
                        <w:r>
                          <w:rPr>
                            <w:sz w:val="22"/>
                          </w:rPr>
                          <w:t>ACO</w:t>
                        </w:r>
                        <w:r>
                          <w:rPr>
                            <w:spacing w:val="-8"/>
                            <w:sz w:val="22"/>
                          </w:rPr>
                          <w:t> </w:t>
                        </w:r>
                        <w:r>
                          <w:rPr>
                            <w:sz w:val="22"/>
                          </w:rPr>
                          <w:t>would</w:t>
                        </w:r>
                        <w:r>
                          <w:rPr>
                            <w:spacing w:val="-5"/>
                            <w:sz w:val="22"/>
                          </w:rPr>
                          <w:t> </w:t>
                        </w:r>
                        <w:r>
                          <w:rPr>
                            <w:sz w:val="22"/>
                          </w:rPr>
                          <w:t>be</w:t>
                        </w:r>
                        <w:r>
                          <w:rPr>
                            <w:spacing w:val="-4"/>
                            <w:sz w:val="22"/>
                          </w:rPr>
                          <w:t> </w:t>
                        </w:r>
                        <w:r>
                          <w:rPr>
                            <w:sz w:val="22"/>
                          </w:rPr>
                          <w:t>20.0</w:t>
                        </w:r>
                        <w:r>
                          <w:rPr>
                            <w:spacing w:val="-7"/>
                            <w:sz w:val="22"/>
                          </w:rPr>
                          <w:t> </w:t>
                        </w:r>
                        <w:r>
                          <w:rPr>
                            <w:sz w:val="22"/>
                          </w:rPr>
                          <w:t>(out</w:t>
                        </w:r>
                        <w:r>
                          <w:rPr>
                            <w:spacing w:val="-4"/>
                            <w:sz w:val="22"/>
                          </w:rPr>
                          <w:t> </w:t>
                        </w:r>
                        <w:r>
                          <w:rPr>
                            <w:sz w:val="22"/>
                          </w:rPr>
                          <w:t>of</w:t>
                        </w:r>
                        <w:r>
                          <w:rPr>
                            <w:spacing w:val="-4"/>
                            <w:sz w:val="22"/>
                          </w:rPr>
                          <w:t> </w:t>
                        </w:r>
                        <w:r>
                          <w:rPr>
                            <w:sz w:val="22"/>
                          </w:rPr>
                          <w:t>20)</w:t>
                        </w:r>
                        <w:r>
                          <w:rPr>
                            <w:spacing w:val="-4"/>
                            <w:sz w:val="22"/>
                          </w:rPr>
                          <w:t> </w:t>
                        </w:r>
                        <w:r>
                          <w:rPr>
                            <w:sz w:val="22"/>
                          </w:rPr>
                          <w:t>given</w:t>
                        </w:r>
                        <w:r>
                          <w:rPr>
                            <w:spacing w:val="-5"/>
                            <w:sz w:val="22"/>
                          </w:rPr>
                          <w:t> </w:t>
                        </w:r>
                        <w:r>
                          <w:rPr>
                            <w:sz w:val="22"/>
                          </w:rPr>
                          <w:t>that</w:t>
                        </w:r>
                        <w:r>
                          <w:rPr>
                            <w:spacing w:val="-4"/>
                            <w:sz w:val="22"/>
                          </w:rPr>
                          <w:t> </w:t>
                        </w:r>
                        <w:r>
                          <w:rPr>
                            <w:sz w:val="22"/>
                          </w:rPr>
                          <w:t>domain</w:t>
                        </w:r>
                        <w:r>
                          <w:rPr>
                            <w:spacing w:val="-7"/>
                            <w:sz w:val="22"/>
                          </w:rPr>
                          <w:t> </w:t>
                        </w:r>
                        <w:r>
                          <w:rPr>
                            <w:sz w:val="22"/>
                          </w:rPr>
                          <w:t>scores</w:t>
                        </w:r>
                        <w:r>
                          <w:rPr>
                            <w:spacing w:val="-4"/>
                            <w:sz w:val="22"/>
                          </w:rPr>
                          <w:t> </w:t>
                        </w:r>
                        <w:r>
                          <w:rPr>
                            <w:sz w:val="22"/>
                          </w:rPr>
                          <w:t>are</w:t>
                        </w:r>
                        <w:r>
                          <w:rPr>
                            <w:spacing w:val="-9"/>
                            <w:sz w:val="22"/>
                          </w:rPr>
                          <w:t> </w:t>
                        </w:r>
                        <w:r>
                          <w:rPr>
                            <w:sz w:val="22"/>
                          </w:rPr>
                          <w:t>capped</w:t>
                        </w:r>
                        <w:r>
                          <w:rPr>
                            <w:spacing w:val="-7"/>
                            <w:sz w:val="22"/>
                          </w:rPr>
                          <w:t> </w:t>
                        </w:r>
                        <w:r>
                          <w:rPr>
                            <w:sz w:val="22"/>
                          </w:rPr>
                          <w:t>at</w:t>
                        </w:r>
                        <w:r>
                          <w:rPr>
                            <w:spacing w:val="-6"/>
                            <w:sz w:val="22"/>
                          </w:rPr>
                          <w:t> </w:t>
                        </w:r>
                        <w:r>
                          <w:rPr>
                            <w:sz w:val="22"/>
                          </w:rPr>
                          <w:t>the</w:t>
                        </w:r>
                        <w:r>
                          <w:rPr>
                            <w:spacing w:val="-7"/>
                            <w:sz w:val="22"/>
                          </w:rPr>
                          <w:t> </w:t>
                        </w:r>
                        <w:r>
                          <w:rPr>
                            <w:sz w:val="22"/>
                          </w:rPr>
                          <w:t>maximum number of achievement points (20) in the domain.</w:t>
                        </w:r>
                      </w:p>
                    </w:txbxContent>
                  </v:textbox>
                  <w10:wrap type="none"/>
                </v:shape>
              </v:group>
            </w:pict>
          </mc:Fallback>
        </mc:AlternateContent>
      </w:r>
      <w:r>
        <w:rPr>
          <w:sz w:val="20"/>
        </w:rPr>
      </w:r>
    </w:p>
    <w:p>
      <w:pPr>
        <w:pStyle w:val="BodyText"/>
        <w:spacing w:before="11"/>
        <w:rPr>
          <w:i/>
        </w:rPr>
      </w:pPr>
    </w:p>
    <w:p>
      <w:pPr>
        <w:spacing w:before="91"/>
        <w:ind w:left="1219" w:right="1093" w:firstLine="0"/>
        <w:jc w:val="both"/>
        <w:rPr>
          <w:sz w:val="22"/>
        </w:rPr>
      </w:pPr>
      <w:r>
        <w:rPr>
          <w:sz w:val="22"/>
        </w:rPr>
        <w:t>Once</w:t>
      </w:r>
      <w:r>
        <w:rPr>
          <w:spacing w:val="-14"/>
          <w:sz w:val="22"/>
        </w:rPr>
        <w:t> </w:t>
      </w:r>
      <w:r>
        <w:rPr>
          <w:sz w:val="22"/>
        </w:rPr>
        <w:t>the</w:t>
      </w:r>
      <w:r>
        <w:rPr>
          <w:spacing w:val="-14"/>
          <w:sz w:val="22"/>
        </w:rPr>
        <w:t> </w:t>
      </w:r>
      <w:r>
        <w:rPr>
          <w:sz w:val="22"/>
        </w:rPr>
        <w:t>total</w:t>
      </w:r>
      <w:r>
        <w:rPr>
          <w:spacing w:val="-10"/>
          <w:sz w:val="22"/>
        </w:rPr>
        <w:t> </w:t>
      </w:r>
      <w:r>
        <w:rPr>
          <w:sz w:val="22"/>
        </w:rPr>
        <w:t>number</w:t>
      </w:r>
      <w:r>
        <w:rPr>
          <w:spacing w:val="-13"/>
          <w:sz w:val="22"/>
        </w:rPr>
        <w:t> </w:t>
      </w:r>
      <w:r>
        <w:rPr>
          <w:sz w:val="22"/>
        </w:rPr>
        <w:t>of</w:t>
      </w:r>
      <w:r>
        <w:rPr>
          <w:spacing w:val="-13"/>
          <w:sz w:val="22"/>
        </w:rPr>
        <w:t> </w:t>
      </w:r>
      <w:r>
        <w:rPr>
          <w:sz w:val="22"/>
        </w:rPr>
        <w:t>points</w:t>
      </w:r>
      <w:r>
        <w:rPr>
          <w:spacing w:val="-11"/>
          <w:sz w:val="22"/>
        </w:rPr>
        <w:t> </w:t>
      </w:r>
      <w:r>
        <w:rPr>
          <w:sz w:val="22"/>
        </w:rPr>
        <w:t>has</w:t>
      </w:r>
      <w:r>
        <w:rPr>
          <w:spacing w:val="-11"/>
          <w:sz w:val="22"/>
        </w:rPr>
        <w:t> </w:t>
      </w:r>
      <w:r>
        <w:rPr>
          <w:sz w:val="22"/>
        </w:rPr>
        <w:t>been</w:t>
      </w:r>
      <w:r>
        <w:rPr>
          <w:spacing w:val="-14"/>
          <w:sz w:val="22"/>
        </w:rPr>
        <w:t> </w:t>
      </w:r>
      <w:r>
        <w:rPr>
          <w:sz w:val="22"/>
        </w:rPr>
        <w:t>calculated,</w:t>
      </w:r>
      <w:r>
        <w:rPr>
          <w:spacing w:val="-13"/>
          <w:sz w:val="22"/>
        </w:rPr>
        <w:t> </w:t>
      </w:r>
      <w:r>
        <w:rPr>
          <w:sz w:val="22"/>
        </w:rPr>
        <w:t>the</w:t>
      </w:r>
      <w:r>
        <w:rPr>
          <w:spacing w:val="-14"/>
          <w:sz w:val="22"/>
        </w:rPr>
        <w:t> </w:t>
      </w:r>
      <w:r>
        <w:rPr>
          <w:sz w:val="22"/>
        </w:rPr>
        <w:t>State</w:t>
      </w:r>
      <w:r>
        <w:rPr>
          <w:spacing w:val="-13"/>
          <w:sz w:val="22"/>
        </w:rPr>
        <w:t> </w:t>
      </w:r>
      <w:r>
        <w:rPr>
          <w:sz w:val="22"/>
        </w:rPr>
        <w:t>will</w:t>
      </w:r>
      <w:r>
        <w:rPr>
          <w:spacing w:val="-13"/>
          <w:sz w:val="22"/>
        </w:rPr>
        <w:t> </w:t>
      </w:r>
      <w:r>
        <w:rPr>
          <w:sz w:val="22"/>
        </w:rPr>
        <w:t>divide</w:t>
      </w:r>
      <w:r>
        <w:rPr>
          <w:spacing w:val="-14"/>
          <w:sz w:val="22"/>
        </w:rPr>
        <w:t> </w:t>
      </w:r>
      <w:r>
        <w:rPr>
          <w:sz w:val="22"/>
        </w:rPr>
        <w:t>the</w:t>
      </w:r>
      <w:r>
        <w:rPr>
          <w:spacing w:val="-13"/>
          <w:sz w:val="22"/>
        </w:rPr>
        <w:t> </w:t>
      </w:r>
      <w:r>
        <w:rPr>
          <w:sz w:val="22"/>
        </w:rPr>
        <w:t>resulting</w:t>
      </w:r>
      <w:r>
        <w:rPr>
          <w:spacing w:val="-14"/>
          <w:sz w:val="22"/>
        </w:rPr>
        <w:t> </w:t>
      </w:r>
      <w:r>
        <w:rPr>
          <w:sz w:val="22"/>
        </w:rPr>
        <w:t>sum</w:t>
      </w:r>
      <w:r>
        <w:rPr>
          <w:spacing w:val="-14"/>
          <w:sz w:val="22"/>
        </w:rPr>
        <w:t> </w:t>
      </w:r>
      <w:r>
        <w:rPr>
          <w:sz w:val="22"/>
        </w:rPr>
        <w:t>by</w:t>
      </w:r>
      <w:r>
        <w:rPr>
          <w:spacing w:val="-13"/>
          <w:sz w:val="22"/>
        </w:rPr>
        <w:t> </w:t>
      </w:r>
      <w:r>
        <w:rPr>
          <w:sz w:val="22"/>
        </w:rPr>
        <w:t>the</w:t>
      </w:r>
      <w:r>
        <w:rPr>
          <w:spacing w:val="-11"/>
          <w:sz w:val="22"/>
        </w:rPr>
        <w:t> </w:t>
      </w:r>
      <w:r>
        <w:rPr>
          <w:sz w:val="22"/>
        </w:rPr>
        <w:t>maximum number of achievement points that the ACO is eligible for in the domain to produce the ACO’s Domain Score. Domain Scores are a value between zero (0) and one (1) expressed as a percentage (i.e., 0% to 100%).</w:t>
      </w:r>
      <w:r>
        <w:rPr>
          <w:spacing w:val="40"/>
          <w:sz w:val="22"/>
        </w:rPr>
        <w:t> </w:t>
      </w:r>
      <w:r>
        <w:rPr>
          <w:sz w:val="22"/>
        </w:rPr>
        <w:t>In BP2, BP4, and BP5, the State will score each ACO on each P4P Quality Measure unless the ACO does not meet eligibility requirements for a specific measure based on the measure specifications (e.g.,</w:t>
      </w:r>
      <w:r>
        <w:rPr>
          <w:spacing w:val="-7"/>
          <w:sz w:val="22"/>
        </w:rPr>
        <w:t> </w:t>
      </w:r>
      <w:r>
        <w:rPr>
          <w:sz w:val="22"/>
        </w:rPr>
        <w:t>it</w:t>
      </w:r>
      <w:r>
        <w:rPr>
          <w:spacing w:val="-6"/>
          <w:sz w:val="22"/>
        </w:rPr>
        <w:t> </w:t>
      </w:r>
      <w:r>
        <w:rPr>
          <w:sz w:val="22"/>
        </w:rPr>
        <w:t>does</w:t>
      </w:r>
      <w:r>
        <w:rPr>
          <w:spacing w:val="-7"/>
          <w:sz w:val="22"/>
        </w:rPr>
        <w:t> </w:t>
      </w:r>
      <w:r>
        <w:rPr>
          <w:sz w:val="22"/>
        </w:rPr>
        <w:t>not</w:t>
      </w:r>
      <w:r>
        <w:rPr>
          <w:spacing w:val="-6"/>
          <w:sz w:val="22"/>
        </w:rPr>
        <w:t> </w:t>
      </w:r>
      <w:r>
        <w:rPr>
          <w:sz w:val="22"/>
        </w:rPr>
        <w:t>meet</w:t>
      </w:r>
      <w:r>
        <w:rPr>
          <w:spacing w:val="-8"/>
          <w:sz w:val="22"/>
        </w:rPr>
        <w:t> </w:t>
      </w:r>
      <w:r>
        <w:rPr>
          <w:sz w:val="22"/>
        </w:rPr>
        <w:t>the</w:t>
      </w:r>
      <w:r>
        <w:rPr>
          <w:spacing w:val="-7"/>
          <w:sz w:val="22"/>
        </w:rPr>
        <w:t> </w:t>
      </w:r>
      <w:r>
        <w:rPr>
          <w:sz w:val="22"/>
        </w:rPr>
        <w:t>minimum</w:t>
      </w:r>
      <w:r>
        <w:rPr>
          <w:spacing w:val="-11"/>
          <w:sz w:val="22"/>
        </w:rPr>
        <w:t> </w:t>
      </w:r>
      <w:r>
        <w:rPr>
          <w:sz w:val="22"/>
        </w:rPr>
        <w:t>denominator</w:t>
      </w:r>
      <w:r>
        <w:rPr>
          <w:spacing w:val="-9"/>
          <w:sz w:val="22"/>
        </w:rPr>
        <w:t> </w:t>
      </w:r>
      <w:r>
        <w:rPr>
          <w:sz w:val="22"/>
        </w:rPr>
        <w:t>requirement)</w:t>
      </w:r>
      <w:r>
        <w:rPr>
          <w:spacing w:val="-6"/>
          <w:sz w:val="22"/>
        </w:rPr>
        <w:t> </w:t>
      </w:r>
      <w:r>
        <w:rPr>
          <w:sz w:val="22"/>
        </w:rPr>
        <w:t>or</w:t>
      </w:r>
      <w:r>
        <w:rPr>
          <w:spacing w:val="-6"/>
          <w:sz w:val="22"/>
        </w:rPr>
        <w:t> </w:t>
      </w:r>
      <w:r>
        <w:rPr>
          <w:sz w:val="22"/>
        </w:rPr>
        <w:t>as</w:t>
      </w:r>
      <w:r>
        <w:rPr>
          <w:spacing w:val="-7"/>
          <w:sz w:val="22"/>
        </w:rPr>
        <w:t> </w:t>
      </w:r>
      <w:r>
        <w:rPr>
          <w:sz w:val="22"/>
        </w:rPr>
        <w:t>otherwise</w:t>
      </w:r>
      <w:r>
        <w:rPr>
          <w:spacing w:val="-9"/>
          <w:sz w:val="22"/>
        </w:rPr>
        <w:t> </w:t>
      </w:r>
      <w:r>
        <w:rPr>
          <w:sz w:val="22"/>
        </w:rPr>
        <w:t>specified</w:t>
      </w:r>
      <w:r>
        <w:rPr>
          <w:spacing w:val="-9"/>
          <w:sz w:val="22"/>
        </w:rPr>
        <w:t> </w:t>
      </w:r>
      <w:r>
        <w:rPr>
          <w:sz w:val="22"/>
        </w:rPr>
        <w:t>in</w:t>
      </w:r>
      <w:r>
        <w:rPr>
          <w:spacing w:val="-7"/>
          <w:sz w:val="22"/>
        </w:rPr>
        <w:t> </w:t>
      </w:r>
      <w:r>
        <w:rPr>
          <w:sz w:val="22"/>
        </w:rPr>
        <w:t>Appendix</w:t>
      </w:r>
      <w:r>
        <w:rPr>
          <w:spacing w:val="-7"/>
          <w:sz w:val="22"/>
        </w:rPr>
        <w:t> </w:t>
      </w:r>
      <w:r>
        <w:rPr>
          <w:sz w:val="22"/>
        </w:rPr>
        <w:t>D.</w:t>
      </w:r>
      <w:r>
        <w:rPr>
          <w:spacing w:val="40"/>
          <w:sz w:val="22"/>
        </w:rPr>
        <w:t> </w:t>
      </w:r>
      <w:r>
        <w:rPr>
          <w:sz w:val="22"/>
        </w:rPr>
        <w:t>In cases</w:t>
      </w:r>
      <w:r>
        <w:rPr>
          <w:spacing w:val="-1"/>
          <w:sz w:val="22"/>
        </w:rPr>
        <w:t> </w:t>
      </w:r>
      <w:r>
        <w:rPr>
          <w:sz w:val="22"/>
        </w:rPr>
        <w:t>like</w:t>
      </w:r>
      <w:r>
        <w:rPr>
          <w:spacing w:val="-1"/>
          <w:sz w:val="22"/>
        </w:rPr>
        <w:t> </w:t>
      </w:r>
      <w:r>
        <w:rPr>
          <w:sz w:val="22"/>
        </w:rPr>
        <w:t>this,</w:t>
      </w:r>
      <w:r>
        <w:rPr>
          <w:spacing w:val="-1"/>
          <w:sz w:val="22"/>
        </w:rPr>
        <w:t> </w:t>
      </w:r>
      <w:r>
        <w:rPr>
          <w:sz w:val="22"/>
        </w:rPr>
        <w:t>the</w:t>
      </w:r>
      <w:r>
        <w:rPr>
          <w:spacing w:val="-1"/>
          <w:sz w:val="22"/>
        </w:rPr>
        <w:t> </w:t>
      </w:r>
      <w:r>
        <w:rPr>
          <w:sz w:val="22"/>
        </w:rPr>
        <w:t>measure</w:t>
      </w:r>
      <w:r>
        <w:rPr>
          <w:spacing w:val="-3"/>
          <w:sz w:val="22"/>
        </w:rPr>
        <w:t> </w:t>
      </w:r>
      <w:r>
        <w:rPr>
          <w:sz w:val="22"/>
        </w:rPr>
        <w:t>is</w:t>
      </w:r>
      <w:r>
        <w:rPr>
          <w:spacing w:val="-1"/>
          <w:sz w:val="22"/>
        </w:rPr>
        <w:t> </w:t>
      </w:r>
      <w:r>
        <w:rPr>
          <w:sz w:val="22"/>
        </w:rPr>
        <w:t>not factored</w:t>
      </w:r>
      <w:r>
        <w:rPr>
          <w:spacing w:val="-4"/>
          <w:sz w:val="22"/>
        </w:rPr>
        <w:t> </w:t>
      </w:r>
      <w:r>
        <w:rPr>
          <w:sz w:val="22"/>
        </w:rPr>
        <w:t>into</w:t>
      </w:r>
      <w:r>
        <w:rPr>
          <w:spacing w:val="-1"/>
          <w:sz w:val="22"/>
        </w:rPr>
        <w:t> </w:t>
      </w:r>
      <w:r>
        <w:rPr>
          <w:sz w:val="22"/>
        </w:rPr>
        <w:t>the</w:t>
      </w:r>
      <w:r>
        <w:rPr>
          <w:spacing w:val="-1"/>
          <w:sz w:val="22"/>
        </w:rPr>
        <w:t> </w:t>
      </w:r>
      <w:r>
        <w:rPr>
          <w:sz w:val="22"/>
        </w:rPr>
        <w:t>denominator.</w:t>
      </w:r>
      <w:r>
        <w:rPr>
          <w:spacing w:val="-1"/>
          <w:sz w:val="22"/>
        </w:rPr>
        <w:t> </w:t>
      </w:r>
      <w:r>
        <w:rPr>
          <w:sz w:val="22"/>
        </w:rPr>
        <w:t>Reporting</w:t>
      </w:r>
      <w:r>
        <w:rPr>
          <w:spacing w:val="-4"/>
          <w:sz w:val="22"/>
        </w:rPr>
        <w:t> </w:t>
      </w:r>
      <w:r>
        <w:rPr>
          <w:sz w:val="22"/>
        </w:rPr>
        <w:t>measures</w:t>
      </w:r>
      <w:r>
        <w:rPr>
          <w:spacing w:val="-1"/>
          <w:sz w:val="22"/>
        </w:rPr>
        <w:t> </w:t>
      </w:r>
      <w:r>
        <w:rPr>
          <w:sz w:val="22"/>
        </w:rPr>
        <w:t>do</w:t>
      </w:r>
      <w:r>
        <w:rPr>
          <w:spacing w:val="-1"/>
          <w:sz w:val="22"/>
        </w:rPr>
        <w:t> </w:t>
      </w:r>
      <w:r>
        <w:rPr>
          <w:sz w:val="22"/>
        </w:rPr>
        <w:t>not</w:t>
      </w:r>
      <w:r>
        <w:rPr>
          <w:spacing w:val="-3"/>
          <w:sz w:val="22"/>
        </w:rPr>
        <w:t> </w:t>
      </w:r>
      <w:r>
        <w:rPr>
          <w:sz w:val="22"/>
        </w:rPr>
        <w:t>factor</w:t>
      </w:r>
      <w:r>
        <w:rPr>
          <w:spacing w:val="-3"/>
          <w:sz w:val="22"/>
        </w:rPr>
        <w:t> </w:t>
      </w:r>
      <w:r>
        <w:rPr>
          <w:sz w:val="22"/>
        </w:rPr>
        <w:t>into</w:t>
      </w:r>
      <w:r>
        <w:rPr>
          <w:spacing w:val="-1"/>
          <w:sz w:val="22"/>
        </w:rPr>
        <w:t> </w:t>
      </w:r>
      <w:r>
        <w:rPr>
          <w:sz w:val="22"/>
        </w:rPr>
        <w:t>the Domain</w:t>
      </w:r>
      <w:r>
        <w:rPr>
          <w:spacing w:val="-12"/>
          <w:sz w:val="22"/>
        </w:rPr>
        <w:t> </w:t>
      </w:r>
      <w:r>
        <w:rPr>
          <w:sz w:val="22"/>
        </w:rPr>
        <w:t>Score.</w:t>
      </w:r>
      <w:r>
        <w:rPr>
          <w:spacing w:val="33"/>
          <w:sz w:val="22"/>
        </w:rPr>
        <w:t> </w:t>
      </w:r>
      <w:r>
        <w:rPr>
          <w:sz w:val="22"/>
        </w:rPr>
        <w:t>Additionally,</w:t>
      </w:r>
      <w:r>
        <w:rPr>
          <w:spacing w:val="-12"/>
          <w:sz w:val="22"/>
        </w:rPr>
        <w:t> </w:t>
      </w:r>
      <w:r>
        <w:rPr>
          <w:sz w:val="22"/>
        </w:rPr>
        <w:t>improvement</w:t>
      </w:r>
      <w:r>
        <w:rPr>
          <w:spacing w:val="-11"/>
          <w:sz w:val="22"/>
        </w:rPr>
        <w:t> </w:t>
      </w:r>
      <w:r>
        <w:rPr>
          <w:sz w:val="22"/>
        </w:rPr>
        <w:t>points</w:t>
      </w:r>
      <w:r>
        <w:rPr>
          <w:spacing w:val="-11"/>
          <w:sz w:val="22"/>
        </w:rPr>
        <w:t> </w:t>
      </w:r>
      <w:r>
        <w:rPr>
          <w:sz w:val="22"/>
        </w:rPr>
        <w:t>do</w:t>
      </w:r>
      <w:r>
        <w:rPr>
          <w:spacing w:val="-12"/>
          <w:sz w:val="22"/>
        </w:rPr>
        <w:t> </w:t>
      </w:r>
      <w:r>
        <w:rPr>
          <w:sz w:val="22"/>
        </w:rPr>
        <w:t>not</w:t>
      </w:r>
      <w:r>
        <w:rPr>
          <w:spacing w:val="-11"/>
          <w:sz w:val="22"/>
        </w:rPr>
        <w:t> </w:t>
      </w:r>
      <w:r>
        <w:rPr>
          <w:sz w:val="22"/>
        </w:rPr>
        <w:t>count</w:t>
      </w:r>
      <w:r>
        <w:rPr>
          <w:spacing w:val="-11"/>
          <w:sz w:val="22"/>
        </w:rPr>
        <w:t> </w:t>
      </w:r>
      <w:r>
        <w:rPr>
          <w:sz w:val="22"/>
        </w:rPr>
        <w:t>towards</w:t>
      </w:r>
      <w:r>
        <w:rPr>
          <w:spacing w:val="-11"/>
          <w:sz w:val="22"/>
        </w:rPr>
        <w:t> </w:t>
      </w:r>
      <w:r>
        <w:rPr>
          <w:sz w:val="22"/>
        </w:rPr>
        <w:t>the</w:t>
      </w:r>
      <w:r>
        <w:rPr>
          <w:spacing w:val="-12"/>
          <w:sz w:val="22"/>
        </w:rPr>
        <w:t> </w:t>
      </w:r>
      <w:r>
        <w:rPr>
          <w:sz w:val="22"/>
        </w:rPr>
        <w:t>denominator;</w:t>
      </w:r>
      <w:r>
        <w:rPr>
          <w:spacing w:val="-11"/>
          <w:sz w:val="22"/>
        </w:rPr>
        <w:t> </w:t>
      </w:r>
      <w:r>
        <w:rPr>
          <w:sz w:val="22"/>
        </w:rPr>
        <w:t>they</w:t>
      </w:r>
      <w:r>
        <w:rPr>
          <w:spacing w:val="-14"/>
          <w:sz w:val="22"/>
        </w:rPr>
        <w:t> </w:t>
      </w:r>
      <w:r>
        <w:rPr>
          <w:sz w:val="22"/>
        </w:rPr>
        <w:t>are</w:t>
      </w:r>
      <w:r>
        <w:rPr>
          <w:spacing w:val="-13"/>
          <w:sz w:val="22"/>
        </w:rPr>
        <w:t> </w:t>
      </w:r>
      <w:r>
        <w:rPr>
          <w:sz w:val="22"/>
        </w:rPr>
        <w:t>therefore “bonus” points. Domain Scores are each capped at a maximum value of 100%.</w:t>
      </w:r>
    </w:p>
    <w:p>
      <w:pPr>
        <w:spacing w:line="244" w:lineRule="auto" w:before="159"/>
        <w:ind w:left="1220" w:right="1094" w:firstLine="0"/>
        <w:jc w:val="both"/>
        <w:rPr>
          <w:sz w:val="22"/>
        </w:rPr>
      </w:pPr>
      <w:r>
        <w:rPr>
          <w:sz w:val="22"/>
        </w:rPr>
        <w:t>Exhibit 34 below shows an example calculation of an ACO’s unweighted Domain Score for a Quality </w:t>
      </w:r>
      <w:r>
        <w:rPr>
          <w:spacing w:val="-2"/>
          <w:sz w:val="22"/>
        </w:rPr>
        <w:t>Domain.</w:t>
      </w:r>
    </w:p>
    <w:p>
      <w:pPr>
        <w:spacing w:before="154"/>
        <w:ind w:left="1220" w:right="0" w:firstLine="0"/>
        <w:jc w:val="both"/>
        <w:rPr>
          <w:sz w:val="22"/>
        </w:rPr>
      </w:pPr>
      <w:r>
        <w:rPr>
          <w:sz w:val="22"/>
        </w:rPr>
        <w:t>EXHIBIT</w:t>
      </w:r>
      <w:r>
        <w:rPr>
          <w:spacing w:val="-3"/>
          <w:sz w:val="22"/>
        </w:rPr>
        <w:t> </w:t>
      </w:r>
      <w:r>
        <w:rPr>
          <w:sz w:val="22"/>
        </w:rPr>
        <w:t>34</w:t>
      </w:r>
      <w:r>
        <w:rPr>
          <w:spacing w:val="-5"/>
          <w:sz w:val="22"/>
        </w:rPr>
        <w:t> </w:t>
      </w:r>
      <w:r>
        <w:rPr>
          <w:sz w:val="22"/>
        </w:rPr>
        <w:t>–</w:t>
      </w:r>
      <w:r>
        <w:rPr>
          <w:spacing w:val="-4"/>
          <w:sz w:val="22"/>
        </w:rPr>
        <w:t> </w:t>
      </w:r>
      <w:r>
        <w:rPr>
          <w:sz w:val="22"/>
        </w:rPr>
        <w:t>Example</w:t>
      </w:r>
      <w:r>
        <w:rPr>
          <w:spacing w:val="-5"/>
          <w:sz w:val="22"/>
        </w:rPr>
        <w:t> </w:t>
      </w:r>
      <w:r>
        <w:rPr>
          <w:sz w:val="22"/>
        </w:rPr>
        <w:t>Calculations</w:t>
      </w:r>
      <w:r>
        <w:rPr>
          <w:spacing w:val="-5"/>
          <w:sz w:val="22"/>
        </w:rPr>
        <w:t> </w:t>
      </w:r>
      <w:r>
        <w:rPr>
          <w:sz w:val="22"/>
        </w:rPr>
        <w:t>of</w:t>
      </w:r>
      <w:r>
        <w:rPr>
          <w:spacing w:val="-3"/>
          <w:sz w:val="22"/>
        </w:rPr>
        <w:t> </w:t>
      </w:r>
      <w:r>
        <w:rPr>
          <w:sz w:val="22"/>
        </w:rPr>
        <w:t>Unweighted</w:t>
      </w:r>
      <w:r>
        <w:rPr>
          <w:spacing w:val="-5"/>
          <w:sz w:val="22"/>
        </w:rPr>
        <w:t> </w:t>
      </w:r>
      <w:r>
        <w:rPr>
          <w:sz w:val="22"/>
        </w:rPr>
        <w:t>Domain</w:t>
      </w:r>
      <w:r>
        <w:rPr>
          <w:spacing w:val="-4"/>
          <w:sz w:val="22"/>
        </w:rPr>
        <w:t> </w:t>
      </w:r>
      <w:r>
        <w:rPr>
          <w:spacing w:val="-2"/>
          <w:sz w:val="22"/>
        </w:rPr>
        <w:t>Score</w:t>
      </w:r>
    </w:p>
    <w:p>
      <w:pPr>
        <w:pStyle w:val="BodyText"/>
        <w:spacing w:before="4" w:after="1"/>
        <w:rPr>
          <w:sz w:val="13"/>
        </w:rPr>
      </w:pPr>
    </w:p>
    <w:tbl>
      <w:tblPr>
        <w:tblW w:w="0" w:type="auto"/>
        <w:jc w:val="left"/>
        <w:tblInd w:w="1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93"/>
        <w:gridCol w:w="2170"/>
        <w:gridCol w:w="4438"/>
      </w:tblGrid>
      <w:tr>
        <w:trPr>
          <w:trHeight w:val="407" w:hRule="atLeast"/>
        </w:trPr>
        <w:tc>
          <w:tcPr>
            <w:tcW w:w="8101" w:type="dxa"/>
            <w:gridSpan w:val="3"/>
            <w:tcBorders>
              <w:left w:val="single" w:sz="8" w:space="0" w:color="BEBEBE"/>
              <w:bottom w:val="single" w:sz="4" w:space="0" w:color="BEBEBE"/>
              <w:right w:val="single" w:sz="8" w:space="0" w:color="BEBEBE"/>
            </w:tcBorders>
            <w:shd w:val="clear" w:color="auto" w:fill="44536A"/>
          </w:tcPr>
          <w:p>
            <w:pPr>
              <w:pStyle w:val="TableParagraph"/>
              <w:ind w:left="1849" w:right="1834"/>
              <w:jc w:val="center"/>
              <w:rPr>
                <w:b/>
                <w:sz w:val="20"/>
              </w:rPr>
            </w:pPr>
            <w:r>
              <w:rPr>
                <w:b/>
                <w:color w:val="FFFFFF"/>
                <w:sz w:val="20"/>
              </w:rPr>
              <w:t>Example</w:t>
            </w:r>
            <w:r>
              <w:rPr>
                <w:b/>
                <w:color w:val="FFFFFF"/>
                <w:spacing w:val="-8"/>
                <w:sz w:val="20"/>
              </w:rPr>
              <w:t> </w:t>
            </w:r>
            <w:r>
              <w:rPr>
                <w:b/>
                <w:color w:val="FFFFFF"/>
                <w:sz w:val="20"/>
              </w:rPr>
              <w:t>Calculations</w:t>
            </w:r>
            <w:r>
              <w:rPr>
                <w:b/>
                <w:color w:val="FFFFFF"/>
                <w:spacing w:val="-9"/>
                <w:sz w:val="20"/>
              </w:rPr>
              <w:t> </w:t>
            </w:r>
            <w:r>
              <w:rPr>
                <w:b/>
                <w:color w:val="FFFFFF"/>
                <w:sz w:val="20"/>
              </w:rPr>
              <w:t>of</w:t>
            </w:r>
            <w:r>
              <w:rPr>
                <w:b/>
                <w:color w:val="FFFFFF"/>
                <w:spacing w:val="-7"/>
                <w:sz w:val="20"/>
              </w:rPr>
              <w:t> </w:t>
            </w:r>
            <w:r>
              <w:rPr>
                <w:b/>
                <w:color w:val="FFFFFF"/>
                <w:sz w:val="20"/>
              </w:rPr>
              <w:t>Unweighted</w:t>
            </w:r>
            <w:r>
              <w:rPr>
                <w:b/>
                <w:color w:val="FFFFFF"/>
                <w:spacing w:val="-8"/>
                <w:sz w:val="20"/>
              </w:rPr>
              <w:t> </w:t>
            </w:r>
            <w:r>
              <w:rPr>
                <w:b/>
                <w:color w:val="FFFFFF"/>
                <w:sz w:val="20"/>
              </w:rPr>
              <w:t>Domain</w:t>
            </w:r>
            <w:r>
              <w:rPr>
                <w:b/>
                <w:color w:val="FFFFFF"/>
                <w:spacing w:val="-8"/>
                <w:sz w:val="20"/>
              </w:rPr>
              <w:t> </w:t>
            </w:r>
            <w:r>
              <w:rPr>
                <w:b/>
                <w:color w:val="FFFFFF"/>
                <w:spacing w:val="-4"/>
                <w:sz w:val="20"/>
              </w:rPr>
              <w:t>Score</w:t>
            </w:r>
          </w:p>
        </w:tc>
      </w:tr>
      <w:tr>
        <w:trPr>
          <w:trHeight w:val="407" w:hRule="atLeast"/>
        </w:trPr>
        <w:tc>
          <w:tcPr>
            <w:tcW w:w="1493" w:type="dxa"/>
            <w:tcBorders>
              <w:top w:val="single" w:sz="4" w:space="0" w:color="BEBEBE"/>
              <w:left w:val="single" w:sz="8" w:space="0" w:color="BEBEBE"/>
              <w:right w:val="single" w:sz="4" w:space="0" w:color="BEBEBE"/>
            </w:tcBorders>
            <w:shd w:val="clear" w:color="auto" w:fill="DCE6F0"/>
          </w:tcPr>
          <w:p>
            <w:pPr>
              <w:pStyle w:val="TableParagraph"/>
              <w:ind w:left="303" w:right="296"/>
              <w:jc w:val="center"/>
              <w:rPr>
                <w:sz w:val="20"/>
              </w:rPr>
            </w:pPr>
            <w:r>
              <w:rPr>
                <w:sz w:val="20"/>
              </w:rPr>
              <w:t>Example</w:t>
            </w:r>
            <w:r>
              <w:rPr>
                <w:spacing w:val="-12"/>
                <w:sz w:val="20"/>
              </w:rPr>
              <w:t> </w:t>
            </w:r>
            <w:r>
              <w:rPr>
                <w:spacing w:val="-10"/>
                <w:sz w:val="20"/>
              </w:rPr>
              <w:t>1</w:t>
            </w:r>
          </w:p>
        </w:tc>
        <w:tc>
          <w:tcPr>
            <w:tcW w:w="6608" w:type="dxa"/>
            <w:gridSpan w:val="2"/>
            <w:tcBorders>
              <w:top w:val="single" w:sz="4" w:space="0" w:color="BEBEBE"/>
              <w:left w:val="single" w:sz="4" w:space="0" w:color="BEBEBE"/>
              <w:bottom w:val="single" w:sz="4" w:space="0" w:color="BEBEBE"/>
              <w:right w:val="single" w:sz="8" w:space="0" w:color="BEBEBE"/>
            </w:tcBorders>
            <w:shd w:val="clear" w:color="auto" w:fill="D9D9D9"/>
          </w:tcPr>
          <w:p>
            <w:pPr>
              <w:pStyle w:val="TableParagraph"/>
              <w:ind w:left="112"/>
              <w:rPr>
                <w:sz w:val="20"/>
              </w:rPr>
            </w:pPr>
            <w:r>
              <w:rPr>
                <w:sz w:val="20"/>
              </w:rPr>
              <w:t>Domain</w:t>
            </w:r>
            <w:r>
              <w:rPr>
                <w:spacing w:val="-7"/>
                <w:sz w:val="20"/>
              </w:rPr>
              <w:t> </w:t>
            </w:r>
            <w:r>
              <w:rPr>
                <w:sz w:val="20"/>
              </w:rPr>
              <w:t>only</w:t>
            </w:r>
            <w:r>
              <w:rPr>
                <w:spacing w:val="-7"/>
                <w:sz w:val="20"/>
              </w:rPr>
              <w:t> </w:t>
            </w:r>
            <w:r>
              <w:rPr>
                <w:sz w:val="20"/>
              </w:rPr>
              <w:t>has</w:t>
            </w:r>
            <w:r>
              <w:rPr>
                <w:spacing w:val="-6"/>
                <w:sz w:val="20"/>
              </w:rPr>
              <w:t> </w:t>
            </w:r>
            <w:r>
              <w:rPr>
                <w:sz w:val="20"/>
              </w:rPr>
              <w:t>two</w:t>
            </w:r>
            <w:r>
              <w:rPr>
                <w:spacing w:val="-5"/>
                <w:sz w:val="20"/>
              </w:rPr>
              <w:t> </w:t>
            </w:r>
            <w:r>
              <w:rPr>
                <w:sz w:val="20"/>
              </w:rPr>
              <w:t>Quality</w:t>
            </w:r>
            <w:r>
              <w:rPr>
                <w:spacing w:val="-5"/>
                <w:sz w:val="20"/>
              </w:rPr>
              <w:t> </w:t>
            </w:r>
            <w:r>
              <w:rPr>
                <w:sz w:val="20"/>
              </w:rPr>
              <w:t>Measures</w:t>
            </w:r>
            <w:r>
              <w:rPr>
                <w:spacing w:val="-7"/>
                <w:sz w:val="20"/>
              </w:rPr>
              <w:t> </w:t>
            </w:r>
            <w:r>
              <w:rPr>
                <w:sz w:val="20"/>
              </w:rPr>
              <w:t>(Measure</w:t>
            </w:r>
            <w:r>
              <w:rPr>
                <w:spacing w:val="-3"/>
                <w:sz w:val="20"/>
              </w:rPr>
              <w:t> </w:t>
            </w:r>
            <w:r>
              <w:rPr>
                <w:sz w:val="20"/>
              </w:rPr>
              <w:t>A</w:t>
            </w:r>
            <w:r>
              <w:rPr>
                <w:spacing w:val="-7"/>
                <w:sz w:val="20"/>
              </w:rPr>
              <w:t> </w:t>
            </w:r>
            <w:r>
              <w:rPr>
                <w:sz w:val="20"/>
              </w:rPr>
              <w:t>and</w:t>
            </w:r>
            <w:r>
              <w:rPr>
                <w:spacing w:val="-5"/>
                <w:sz w:val="20"/>
              </w:rPr>
              <w:t> </w:t>
            </w:r>
            <w:r>
              <w:rPr>
                <w:sz w:val="20"/>
              </w:rPr>
              <w:t>Measure</w:t>
            </w:r>
            <w:r>
              <w:rPr>
                <w:spacing w:val="-6"/>
                <w:sz w:val="20"/>
              </w:rPr>
              <w:t> </w:t>
            </w:r>
            <w:r>
              <w:rPr>
                <w:spacing w:val="-5"/>
                <w:sz w:val="20"/>
              </w:rPr>
              <w:t>B)</w:t>
            </w:r>
          </w:p>
        </w:tc>
      </w:tr>
      <w:tr>
        <w:trPr>
          <w:trHeight w:val="407" w:hRule="atLeast"/>
        </w:trPr>
        <w:tc>
          <w:tcPr>
            <w:tcW w:w="1493" w:type="dxa"/>
            <w:shd w:val="clear" w:color="auto" w:fill="DCE6F0"/>
          </w:tcPr>
          <w:p>
            <w:pPr>
              <w:pStyle w:val="TableParagraph"/>
              <w:rPr>
                <w:sz w:val="20"/>
              </w:rPr>
            </w:pPr>
          </w:p>
        </w:tc>
        <w:tc>
          <w:tcPr>
            <w:tcW w:w="6608" w:type="dxa"/>
            <w:gridSpan w:val="2"/>
            <w:tcBorders>
              <w:top w:val="single" w:sz="4" w:space="0" w:color="BEBEBE"/>
              <w:bottom w:val="single" w:sz="4" w:space="0" w:color="BEBEBE"/>
              <w:right w:val="single" w:sz="8" w:space="0" w:color="BEBEBE"/>
            </w:tcBorders>
          </w:tcPr>
          <w:p>
            <w:pPr>
              <w:pStyle w:val="TableParagraph"/>
              <w:ind w:left="518"/>
              <w:rPr>
                <w:sz w:val="20"/>
              </w:rPr>
            </w:pPr>
            <w:r>
              <w:rPr>
                <w:sz w:val="20"/>
              </w:rPr>
              <w:t>Therefore,</w:t>
            </w:r>
            <w:r>
              <w:rPr>
                <w:spacing w:val="-5"/>
                <w:sz w:val="20"/>
              </w:rPr>
              <w:t> </w:t>
            </w:r>
            <w:r>
              <w:rPr>
                <w:sz w:val="20"/>
              </w:rPr>
              <w:t>maximum</w:t>
            </w:r>
            <w:r>
              <w:rPr>
                <w:spacing w:val="-4"/>
                <w:sz w:val="20"/>
              </w:rPr>
              <w:t> </w:t>
            </w:r>
            <w:r>
              <w:rPr>
                <w:sz w:val="20"/>
              </w:rPr>
              <w:t>number</w:t>
            </w:r>
            <w:r>
              <w:rPr>
                <w:spacing w:val="-5"/>
                <w:sz w:val="20"/>
              </w:rPr>
              <w:t> </w:t>
            </w:r>
            <w:r>
              <w:rPr>
                <w:sz w:val="20"/>
              </w:rPr>
              <w:t>of</w:t>
            </w:r>
            <w:r>
              <w:rPr>
                <w:spacing w:val="-7"/>
                <w:sz w:val="20"/>
              </w:rPr>
              <w:t> </w:t>
            </w:r>
            <w:r>
              <w:rPr>
                <w:sz w:val="20"/>
              </w:rPr>
              <w:t>achievement</w:t>
            </w:r>
            <w:r>
              <w:rPr>
                <w:spacing w:val="-5"/>
                <w:sz w:val="20"/>
              </w:rPr>
              <w:t> </w:t>
            </w:r>
            <w:r>
              <w:rPr>
                <w:sz w:val="20"/>
              </w:rPr>
              <w:t>points</w:t>
            </w:r>
            <w:r>
              <w:rPr>
                <w:spacing w:val="-7"/>
                <w:sz w:val="20"/>
              </w:rPr>
              <w:t> </w:t>
            </w:r>
            <w:r>
              <w:rPr>
                <w:sz w:val="20"/>
              </w:rPr>
              <w:t>is</w:t>
            </w:r>
            <w:r>
              <w:rPr>
                <w:spacing w:val="-6"/>
                <w:sz w:val="20"/>
              </w:rPr>
              <w:t> </w:t>
            </w:r>
            <w:r>
              <w:rPr>
                <w:sz w:val="20"/>
              </w:rPr>
              <w:t>2x10</w:t>
            </w:r>
            <w:r>
              <w:rPr>
                <w:spacing w:val="-4"/>
                <w:sz w:val="20"/>
              </w:rPr>
              <w:t> </w:t>
            </w:r>
            <w:r>
              <w:rPr>
                <w:sz w:val="20"/>
              </w:rPr>
              <w:t>=</w:t>
            </w:r>
            <w:r>
              <w:rPr>
                <w:spacing w:val="-6"/>
                <w:sz w:val="20"/>
              </w:rPr>
              <w:t> </w:t>
            </w:r>
            <w:r>
              <w:rPr>
                <w:sz w:val="20"/>
              </w:rPr>
              <w:t>20</w:t>
            </w:r>
            <w:r>
              <w:rPr>
                <w:spacing w:val="-4"/>
                <w:sz w:val="20"/>
              </w:rPr>
              <w:t> </w:t>
            </w:r>
            <w:r>
              <w:rPr>
                <w:spacing w:val="-2"/>
                <w:sz w:val="20"/>
              </w:rPr>
              <w:t>points</w:t>
            </w:r>
          </w:p>
        </w:tc>
      </w:tr>
      <w:tr>
        <w:trPr>
          <w:trHeight w:val="410" w:hRule="atLeast"/>
        </w:trPr>
        <w:tc>
          <w:tcPr>
            <w:tcW w:w="1493" w:type="dxa"/>
            <w:tcBorders>
              <w:right w:val="single" w:sz="4" w:space="0" w:color="BEBEBE"/>
            </w:tcBorders>
            <w:shd w:val="clear" w:color="auto" w:fill="DCE6F0"/>
          </w:tcPr>
          <w:p>
            <w:pPr>
              <w:pStyle w:val="TableParagraph"/>
              <w:rPr>
                <w:sz w:val="20"/>
              </w:rPr>
            </w:pPr>
          </w:p>
        </w:tc>
        <w:tc>
          <w:tcPr>
            <w:tcW w:w="2170" w:type="dxa"/>
            <w:tcBorders>
              <w:top w:val="single" w:sz="4" w:space="0" w:color="BEBEBE"/>
              <w:left w:val="single" w:sz="4" w:space="0" w:color="BEBEBE"/>
              <w:right w:val="single" w:sz="4" w:space="0" w:color="BEBEBE"/>
            </w:tcBorders>
          </w:tcPr>
          <w:p>
            <w:pPr>
              <w:pStyle w:val="TableParagraph"/>
              <w:spacing w:before="2"/>
              <w:ind w:left="618"/>
              <w:rPr>
                <w:sz w:val="20"/>
              </w:rPr>
            </w:pPr>
            <w:r>
              <w:rPr>
                <w:sz w:val="20"/>
              </w:rPr>
              <w:t>Measure</w:t>
            </w:r>
            <w:r>
              <w:rPr>
                <w:spacing w:val="-7"/>
                <w:sz w:val="20"/>
              </w:rPr>
              <w:t> </w:t>
            </w:r>
            <w:r>
              <w:rPr>
                <w:spacing w:val="-5"/>
                <w:sz w:val="20"/>
              </w:rPr>
              <w:t>A:</w:t>
            </w:r>
          </w:p>
        </w:tc>
        <w:tc>
          <w:tcPr>
            <w:tcW w:w="4438" w:type="dxa"/>
            <w:tcBorders>
              <w:top w:val="single" w:sz="4" w:space="0" w:color="BEBEBE"/>
              <w:left w:val="single" w:sz="4" w:space="0" w:color="BEBEBE"/>
              <w:bottom w:val="single" w:sz="4" w:space="0" w:color="BEBEBE"/>
              <w:right w:val="single" w:sz="8" w:space="0" w:color="BEBEBE"/>
            </w:tcBorders>
          </w:tcPr>
          <w:p>
            <w:pPr>
              <w:pStyle w:val="TableParagraph"/>
              <w:spacing w:before="2"/>
              <w:ind w:left="111"/>
              <w:rPr>
                <w:sz w:val="20"/>
              </w:rPr>
            </w:pPr>
            <w:r>
              <w:rPr>
                <w:sz w:val="20"/>
              </w:rPr>
              <w:t>Achievement</w:t>
            </w:r>
            <w:r>
              <w:rPr>
                <w:spacing w:val="-12"/>
                <w:sz w:val="20"/>
              </w:rPr>
              <w:t> </w:t>
            </w:r>
            <w:r>
              <w:rPr>
                <w:sz w:val="20"/>
              </w:rPr>
              <w:t>points:</w:t>
            </w:r>
            <w:r>
              <w:rPr>
                <w:spacing w:val="-11"/>
                <w:sz w:val="20"/>
              </w:rPr>
              <w:t> </w:t>
            </w:r>
            <w:r>
              <w:rPr>
                <w:spacing w:val="-5"/>
                <w:sz w:val="20"/>
              </w:rPr>
              <w:t>1.5</w:t>
            </w:r>
          </w:p>
        </w:tc>
      </w:tr>
      <w:tr>
        <w:trPr>
          <w:trHeight w:val="407" w:hRule="atLeast"/>
        </w:trPr>
        <w:tc>
          <w:tcPr>
            <w:tcW w:w="1493" w:type="dxa"/>
            <w:shd w:val="clear" w:color="auto" w:fill="DCE6F0"/>
          </w:tcPr>
          <w:p>
            <w:pPr>
              <w:pStyle w:val="TableParagraph"/>
              <w:rPr>
                <w:sz w:val="20"/>
              </w:rPr>
            </w:pPr>
          </w:p>
        </w:tc>
        <w:tc>
          <w:tcPr>
            <w:tcW w:w="6608" w:type="dxa"/>
            <w:gridSpan w:val="2"/>
            <w:tcBorders>
              <w:right w:val="single" w:sz="8" w:space="0" w:color="BEBEBE"/>
            </w:tcBorders>
          </w:tcPr>
          <w:p>
            <w:pPr>
              <w:pStyle w:val="TableParagraph"/>
              <w:ind w:left="2277" w:right="2469"/>
              <w:jc w:val="center"/>
              <w:rPr>
                <w:sz w:val="20"/>
              </w:rPr>
            </w:pPr>
            <w:r>
              <w:rPr>
                <w:sz w:val="20"/>
              </w:rPr>
              <w:t>Improvement</w:t>
            </w:r>
            <w:r>
              <w:rPr>
                <w:spacing w:val="-11"/>
                <w:sz w:val="20"/>
              </w:rPr>
              <w:t> </w:t>
            </w:r>
            <w:r>
              <w:rPr>
                <w:sz w:val="20"/>
              </w:rPr>
              <w:t>Points:</w:t>
            </w:r>
            <w:r>
              <w:rPr>
                <w:spacing w:val="-11"/>
                <w:sz w:val="20"/>
              </w:rPr>
              <w:t> </w:t>
            </w:r>
            <w:r>
              <w:rPr>
                <w:spacing w:val="-10"/>
                <w:sz w:val="20"/>
              </w:rPr>
              <w:t>0</w:t>
            </w:r>
          </w:p>
        </w:tc>
      </w:tr>
      <w:tr>
        <w:trPr>
          <w:trHeight w:val="407" w:hRule="atLeast"/>
        </w:trPr>
        <w:tc>
          <w:tcPr>
            <w:tcW w:w="1493" w:type="dxa"/>
            <w:tcBorders>
              <w:right w:val="single" w:sz="4" w:space="0" w:color="BEBEBE"/>
            </w:tcBorders>
            <w:shd w:val="clear" w:color="auto" w:fill="DCE6F0"/>
          </w:tcPr>
          <w:p>
            <w:pPr>
              <w:pStyle w:val="TableParagraph"/>
              <w:rPr>
                <w:sz w:val="20"/>
              </w:rPr>
            </w:pPr>
          </w:p>
        </w:tc>
        <w:tc>
          <w:tcPr>
            <w:tcW w:w="2170" w:type="dxa"/>
            <w:tcBorders>
              <w:left w:val="single" w:sz="4" w:space="0" w:color="BEBEBE"/>
              <w:right w:val="single" w:sz="4" w:space="0" w:color="BEBEBE"/>
            </w:tcBorders>
          </w:tcPr>
          <w:p>
            <w:pPr>
              <w:pStyle w:val="TableParagraph"/>
              <w:ind w:left="623"/>
              <w:rPr>
                <w:sz w:val="20"/>
              </w:rPr>
            </w:pPr>
            <w:r>
              <w:rPr>
                <w:sz w:val="20"/>
              </w:rPr>
              <w:t>Measure</w:t>
            </w:r>
            <w:r>
              <w:rPr>
                <w:spacing w:val="-10"/>
                <w:sz w:val="20"/>
              </w:rPr>
              <w:t> </w:t>
            </w:r>
            <w:r>
              <w:rPr>
                <w:spacing w:val="-5"/>
                <w:sz w:val="20"/>
              </w:rPr>
              <w:t>B:</w:t>
            </w:r>
          </w:p>
        </w:tc>
        <w:tc>
          <w:tcPr>
            <w:tcW w:w="4438" w:type="dxa"/>
            <w:tcBorders>
              <w:top w:val="single" w:sz="4" w:space="0" w:color="BEBEBE"/>
              <w:left w:val="single" w:sz="4" w:space="0" w:color="BEBEBE"/>
              <w:bottom w:val="single" w:sz="4" w:space="0" w:color="BEBEBE"/>
              <w:right w:val="single" w:sz="8" w:space="0" w:color="BEBEBE"/>
            </w:tcBorders>
          </w:tcPr>
          <w:p>
            <w:pPr>
              <w:pStyle w:val="TableParagraph"/>
              <w:ind w:left="111"/>
              <w:rPr>
                <w:sz w:val="20"/>
              </w:rPr>
            </w:pPr>
            <w:r>
              <w:rPr>
                <w:sz w:val="20"/>
              </w:rPr>
              <w:t>Achievement</w:t>
            </w:r>
            <w:r>
              <w:rPr>
                <w:spacing w:val="-12"/>
                <w:sz w:val="20"/>
              </w:rPr>
              <w:t> </w:t>
            </w:r>
            <w:r>
              <w:rPr>
                <w:sz w:val="20"/>
              </w:rPr>
              <w:t>points:</w:t>
            </w:r>
            <w:r>
              <w:rPr>
                <w:spacing w:val="-11"/>
                <w:sz w:val="20"/>
              </w:rPr>
              <w:t> </w:t>
            </w:r>
            <w:r>
              <w:rPr>
                <w:spacing w:val="-10"/>
                <w:sz w:val="20"/>
              </w:rPr>
              <w:t>0</w:t>
            </w:r>
          </w:p>
        </w:tc>
      </w:tr>
      <w:tr>
        <w:trPr>
          <w:trHeight w:val="407" w:hRule="atLeast"/>
        </w:trPr>
        <w:tc>
          <w:tcPr>
            <w:tcW w:w="1493" w:type="dxa"/>
            <w:shd w:val="clear" w:color="auto" w:fill="DCE6F0"/>
          </w:tcPr>
          <w:p>
            <w:pPr>
              <w:pStyle w:val="TableParagraph"/>
              <w:rPr>
                <w:sz w:val="20"/>
              </w:rPr>
            </w:pPr>
          </w:p>
        </w:tc>
        <w:tc>
          <w:tcPr>
            <w:tcW w:w="6608" w:type="dxa"/>
            <w:gridSpan w:val="2"/>
            <w:tcBorders>
              <w:bottom w:val="single" w:sz="4" w:space="0" w:color="BEBEBE"/>
              <w:right w:val="single" w:sz="8" w:space="0" w:color="BEBEBE"/>
            </w:tcBorders>
          </w:tcPr>
          <w:p>
            <w:pPr>
              <w:pStyle w:val="TableParagraph"/>
              <w:ind w:left="2277" w:right="2469"/>
              <w:jc w:val="center"/>
              <w:rPr>
                <w:sz w:val="20"/>
              </w:rPr>
            </w:pPr>
            <w:r>
              <w:rPr>
                <w:sz w:val="20"/>
              </w:rPr>
              <w:t>Improvement</w:t>
            </w:r>
            <w:r>
              <w:rPr>
                <w:spacing w:val="-11"/>
                <w:sz w:val="20"/>
              </w:rPr>
              <w:t> </w:t>
            </w:r>
            <w:r>
              <w:rPr>
                <w:sz w:val="20"/>
              </w:rPr>
              <w:t>Points:</w:t>
            </w:r>
            <w:r>
              <w:rPr>
                <w:spacing w:val="-11"/>
                <w:sz w:val="20"/>
              </w:rPr>
              <w:t> </w:t>
            </w:r>
            <w:r>
              <w:rPr>
                <w:spacing w:val="-10"/>
                <w:sz w:val="20"/>
              </w:rPr>
              <w:t>5</w:t>
            </w:r>
          </w:p>
        </w:tc>
      </w:tr>
      <w:tr>
        <w:trPr>
          <w:trHeight w:val="410" w:hRule="atLeast"/>
        </w:trPr>
        <w:tc>
          <w:tcPr>
            <w:tcW w:w="1493" w:type="dxa"/>
            <w:shd w:val="clear" w:color="auto" w:fill="DCE6F0"/>
          </w:tcPr>
          <w:p>
            <w:pPr>
              <w:pStyle w:val="TableParagraph"/>
              <w:rPr>
                <w:sz w:val="20"/>
              </w:rPr>
            </w:pPr>
          </w:p>
        </w:tc>
        <w:tc>
          <w:tcPr>
            <w:tcW w:w="6608" w:type="dxa"/>
            <w:gridSpan w:val="2"/>
            <w:tcBorders>
              <w:top w:val="single" w:sz="4" w:space="0" w:color="BEBEBE"/>
              <w:bottom w:val="single" w:sz="4" w:space="0" w:color="BEBEBE"/>
              <w:right w:val="single" w:sz="8" w:space="0" w:color="BEBEBE"/>
            </w:tcBorders>
          </w:tcPr>
          <w:p>
            <w:pPr>
              <w:pStyle w:val="TableParagraph"/>
              <w:spacing w:before="2"/>
              <w:ind w:left="518"/>
              <w:rPr>
                <w:sz w:val="20"/>
              </w:rPr>
            </w:pPr>
            <w:r>
              <w:rPr>
                <w:sz w:val="20"/>
              </w:rPr>
              <w:t>Total</w:t>
            </w:r>
            <w:r>
              <w:rPr>
                <w:spacing w:val="-5"/>
                <w:sz w:val="20"/>
              </w:rPr>
              <w:t> </w:t>
            </w:r>
            <w:r>
              <w:rPr>
                <w:sz w:val="20"/>
              </w:rPr>
              <w:t>achievement</w:t>
            </w:r>
            <w:r>
              <w:rPr>
                <w:spacing w:val="-4"/>
                <w:sz w:val="20"/>
              </w:rPr>
              <w:t> </w:t>
            </w:r>
            <w:r>
              <w:rPr>
                <w:sz w:val="20"/>
              </w:rPr>
              <w:t>points:</w:t>
            </w:r>
            <w:r>
              <w:rPr>
                <w:spacing w:val="-4"/>
                <w:sz w:val="20"/>
              </w:rPr>
              <w:t> </w:t>
            </w:r>
            <w:r>
              <w:rPr>
                <w:sz w:val="20"/>
              </w:rPr>
              <w:t>1.5</w:t>
            </w:r>
            <w:r>
              <w:rPr>
                <w:spacing w:val="-5"/>
                <w:sz w:val="20"/>
              </w:rPr>
              <w:t> </w:t>
            </w:r>
            <w:r>
              <w:rPr>
                <w:sz w:val="20"/>
              </w:rPr>
              <w:t>+</w:t>
            </w:r>
            <w:r>
              <w:rPr>
                <w:spacing w:val="-4"/>
                <w:sz w:val="20"/>
              </w:rPr>
              <w:t> </w:t>
            </w:r>
            <w:r>
              <w:rPr>
                <w:sz w:val="20"/>
              </w:rPr>
              <w:t>0</w:t>
            </w:r>
            <w:r>
              <w:rPr>
                <w:spacing w:val="-3"/>
                <w:sz w:val="20"/>
              </w:rPr>
              <w:t> </w:t>
            </w:r>
            <w:r>
              <w:rPr>
                <w:sz w:val="20"/>
              </w:rPr>
              <w:t>=</w:t>
            </w:r>
            <w:r>
              <w:rPr>
                <w:spacing w:val="-4"/>
                <w:sz w:val="20"/>
              </w:rPr>
              <w:t> </w:t>
            </w:r>
            <w:r>
              <w:rPr>
                <w:sz w:val="20"/>
              </w:rPr>
              <w:t>1.5</w:t>
            </w:r>
            <w:r>
              <w:rPr>
                <w:spacing w:val="-4"/>
                <w:sz w:val="20"/>
              </w:rPr>
              <w:t> </w:t>
            </w:r>
            <w:r>
              <w:rPr>
                <w:spacing w:val="-2"/>
                <w:sz w:val="20"/>
              </w:rPr>
              <w:t>points</w:t>
            </w:r>
          </w:p>
        </w:tc>
      </w:tr>
      <w:tr>
        <w:trPr>
          <w:trHeight w:val="407" w:hRule="atLeast"/>
        </w:trPr>
        <w:tc>
          <w:tcPr>
            <w:tcW w:w="1493" w:type="dxa"/>
            <w:shd w:val="clear" w:color="auto" w:fill="DCE6F0"/>
          </w:tcPr>
          <w:p>
            <w:pPr>
              <w:pStyle w:val="TableParagraph"/>
              <w:rPr>
                <w:sz w:val="20"/>
              </w:rPr>
            </w:pPr>
          </w:p>
        </w:tc>
        <w:tc>
          <w:tcPr>
            <w:tcW w:w="6608" w:type="dxa"/>
            <w:gridSpan w:val="2"/>
            <w:tcBorders>
              <w:top w:val="single" w:sz="4" w:space="0" w:color="BEBEBE"/>
              <w:bottom w:val="single" w:sz="4" w:space="0" w:color="BEBEBE"/>
              <w:right w:val="single" w:sz="8" w:space="0" w:color="BEBEBE"/>
            </w:tcBorders>
          </w:tcPr>
          <w:p>
            <w:pPr>
              <w:pStyle w:val="TableParagraph"/>
              <w:ind w:left="518"/>
              <w:rPr>
                <w:sz w:val="20"/>
              </w:rPr>
            </w:pPr>
            <w:r>
              <w:rPr>
                <w:sz w:val="20"/>
              </w:rPr>
              <w:t>Total</w:t>
            </w:r>
            <w:r>
              <w:rPr>
                <w:spacing w:val="-4"/>
                <w:sz w:val="20"/>
              </w:rPr>
              <w:t> </w:t>
            </w:r>
            <w:r>
              <w:rPr>
                <w:sz w:val="20"/>
              </w:rPr>
              <w:t>improvement</w:t>
            </w:r>
            <w:r>
              <w:rPr>
                <w:spacing w:val="-4"/>
                <w:sz w:val="20"/>
              </w:rPr>
              <w:t> </w:t>
            </w:r>
            <w:r>
              <w:rPr>
                <w:sz w:val="20"/>
              </w:rPr>
              <w:t>points:</w:t>
            </w:r>
            <w:r>
              <w:rPr>
                <w:spacing w:val="-4"/>
                <w:sz w:val="20"/>
              </w:rPr>
              <w:t> </w:t>
            </w:r>
            <w:r>
              <w:rPr>
                <w:sz w:val="20"/>
              </w:rPr>
              <w:t>0</w:t>
            </w:r>
            <w:r>
              <w:rPr>
                <w:spacing w:val="-2"/>
                <w:sz w:val="20"/>
              </w:rPr>
              <w:t> </w:t>
            </w:r>
            <w:r>
              <w:rPr>
                <w:sz w:val="20"/>
              </w:rPr>
              <w:t>+</w:t>
            </w:r>
            <w:r>
              <w:rPr>
                <w:spacing w:val="-4"/>
                <w:sz w:val="20"/>
              </w:rPr>
              <w:t> </w:t>
            </w:r>
            <w:r>
              <w:rPr>
                <w:sz w:val="20"/>
              </w:rPr>
              <w:t>5</w:t>
            </w:r>
            <w:r>
              <w:rPr>
                <w:spacing w:val="-3"/>
                <w:sz w:val="20"/>
              </w:rPr>
              <w:t> </w:t>
            </w:r>
            <w:r>
              <w:rPr>
                <w:sz w:val="20"/>
              </w:rPr>
              <w:t>=</w:t>
            </w:r>
            <w:r>
              <w:rPr>
                <w:spacing w:val="-3"/>
                <w:sz w:val="20"/>
              </w:rPr>
              <w:t> </w:t>
            </w:r>
            <w:r>
              <w:rPr>
                <w:sz w:val="20"/>
              </w:rPr>
              <w:t>5</w:t>
            </w:r>
            <w:r>
              <w:rPr>
                <w:spacing w:val="-5"/>
                <w:sz w:val="20"/>
              </w:rPr>
              <w:t> </w:t>
            </w:r>
            <w:r>
              <w:rPr>
                <w:spacing w:val="-2"/>
                <w:sz w:val="20"/>
              </w:rPr>
              <w:t>points</w:t>
            </w:r>
          </w:p>
        </w:tc>
      </w:tr>
      <w:tr>
        <w:trPr>
          <w:trHeight w:val="407" w:hRule="atLeast"/>
        </w:trPr>
        <w:tc>
          <w:tcPr>
            <w:tcW w:w="1493" w:type="dxa"/>
            <w:shd w:val="clear" w:color="auto" w:fill="DCE6F0"/>
          </w:tcPr>
          <w:p>
            <w:pPr>
              <w:pStyle w:val="TableParagraph"/>
              <w:rPr>
                <w:sz w:val="20"/>
              </w:rPr>
            </w:pPr>
          </w:p>
        </w:tc>
        <w:tc>
          <w:tcPr>
            <w:tcW w:w="6608" w:type="dxa"/>
            <w:gridSpan w:val="2"/>
            <w:tcBorders>
              <w:top w:val="single" w:sz="4" w:space="0" w:color="BEBEBE"/>
              <w:bottom w:val="single" w:sz="4" w:space="0" w:color="BEBEBE"/>
              <w:right w:val="single" w:sz="8" w:space="0" w:color="BEBEBE"/>
            </w:tcBorders>
          </w:tcPr>
          <w:p>
            <w:pPr>
              <w:pStyle w:val="TableParagraph"/>
              <w:ind w:left="518"/>
              <w:rPr>
                <w:sz w:val="20"/>
              </w:rPr>
            </w:pPr>
            <w:r>
              <w:rPr>
                <w:sz w:val="20"/>
              </w:rPr>
              <w:t>Sum</w:t>
            </w:r>
            <w:r>
              <w:rPr>
                <w:spacing w:val="-6"/>
                <w:sz w:val="20"/>
              </w:rPr>
              <w:t> </w:t>
            </w:r>
            <w:r>
              <w:rPr>
                <w:sz w:val="20"/>
              </w:rPr>
              <w:t>of</w:t>
            </w:r>
            <w:r>
              <w:rPr>
                <w:spacing w:val="-6"/>
                <w:sz w:val="20"/>
              </w:rPr>
              <w:t> </w:t>
            </w:r>
            <w:r>
              <w:rPr>
                <w:sz w:val="20"/>
              </w:rPr>
              <w:t>achievement</w:t>
            </w:r>
            <w:r>
              <w:rPr>
                <w:spacing w:val="-4"/>
                <w:sz w:val="20"/>
              </w:rPr>
              <w:t> </w:t>
            </w:r>
            <w:r>
              <w:rPr>
                <w:sz w:val="20"/>
              </w:rPr>
              <w:t>and</w:t>
            </w:r>
            <w:r>
              <w:rPr>
                <w:spacing w:val="-3"/>
                <w:sz w:val="20"/>
              </w:rPr>
              <w:t> </w:t>
            </w:r>
            <w:r>
              <w:rPr>
                <w:sz w:val="20"/>
              </w:rPr>
              <w:t>improvement</w:t>
            </w:r>
            <w:r>
              <w:rPr>
                <w:spacing w:val="-5"/>
                <w:sz w:val="20"/>
              </w:rPr>
              <w:t> </w:t>
            </w:r>
            <w:r>
              <w:rPr>
                <w:sz w:val="20"/>
              </w:rPr>
              <w:t>points:</w:t>
            </w:r>
            <w:r>
              <w:rPr>
                <w:spacing w:val="-4"/>
                <w:sz w:val="20"/>
              </w:rPr>
              <w:t> </w:t>
            </w:r>
            <w:r>
              <w:rPr>
                <w:sz w:val="20"/>
              </w:rPr>
              <w:t>1.5</w:t>
            </w:r>
            <w:r>
              <w:rPr>
                <w:spacing w:val="-3"/>
                <w:sz w:val="20"/>
              </w:rPr>
              <w:t> </w:t>
            </w:r>
            <w:r>
              <w:rPr>
                <w:sz w:val="20"/>
              </w:rPr>
              <w:t>+</w:t>
            </w:r>
            <w:r>
              <w:rPr>
                <w:spacing w:val="-5"/>
                <w:sz w:val="20"/>
              </w:rPr>
              <w:t> </w:t>
            </w:r>
            <w:r>
              <w:rPr>
                <w:sz w:val="20"/>
              </w:rPr>
              <w:t>5</w:t>
            </w:r>
            <w:r>
              <w:rPr>
                <w:spacing w:val="-3"/>
                <w:sz w:val="20"/>
              </w:rPr>
              <w:t> </w:t>
            </w:r>
            <w:r>
              <w:rPr>
                <w:sz w:val="20"/>
              </w:rPr>
              <w:t>=</w:t>
            </w:r>
            <w:r>
              <w:rPr>
                <w:spacing w:val="-6"/>
                <w:sz w:val="20"/>
              </w:rPr>
              <w:t> </w:t>
            </w:r>
            <w:r>
              <w:rPr>
                <w:sz w:val="20"/>
              </w:rPr>
              <w:t>6.5</w:t>
            </w:r>
            <w:r>
              <w:rPr>
                <w:spacing w:val="-5"/>
                <w:sz w:val="20"/>
              </w:rPr>
              <w:t> </w:t>
            </w:r>
            <w:r>
              <w:rPr>
                <w:spacing w:val="-2"/>
                <w:sz w:val="20"/>
              </w:rPr>
              <w:t>points</w:t>
            </w:r>
          </w:p>
        </w:tc>
      </w:tr>
      <w:tr>
        <w:trPr>
          <w:trHeight w:val="407" w:hRule="atLeast"/>
        </w:trPr>
        <w:tc>
          <w:tcPr>
            <w:tcW w:w="1493" w:type="dxa"/>
            <w:shd w:val="clear" w:color="auto" w:fill="DCE6F0"/>
          </w:tcPr>
          <w:p>
            <w:pPr>
              <w:pStyle w:val="TableParagraph"/>
              <w:rPr>
                <w:sz w:val="20"/>
              </w:rPr>
            </w:pPr>
          </w:p>
        </w:tc>
        <w:tc>
          <w:tcPr>
            <w:tcW w:w="6608" w:type="dxa"/>
            <w:gridSpan w:val="2"/>
            <w:tcBorders>
              <w:top w:val="single" w:sz="4" w:space="0" w:color="BEBEBE"/>
              <w:bottom w:val="single" w:sz="4" w:space="0" w:color="BEBEBE"/>
              <w:right w:val="single" w:sz="8" w:space="0" w:color="BEBEBE"/>
            </w:tcBorders>
          </w:tcPr>
          <w:p>
            <w:pPr>
              <w:pStyle w:val="TableParagraph"/>
              <w:ind w:left="518"/>
              <w:rPr>
                <w:sz w:val="20"/>
              </w:rPr>
            </w:pPr>
            <w:r>
              <w:rPr>
                <w:sz w:val="20"/>
              </w:rPr>
              <w:t>Unweighted</w:t>
            </w:r>
            <w:r>
              <w:rPr>
                <w:spacing w:val="-3"/>
                <w:sz w:val="20"/>
              </w:rPr>
              <w:t> </w:t>
            </w:r>
            <w:r>
              <w:rPr>
                <w:sz w:val="20"/>
              </w:rPr>
              <w:t>domain</w:t>
            </w:r>
            <w:r>
              <w:rPr>
                <w:spacing w:val="-5"/>
                <w:sz w:val="20"/>
              </w:rPr>
              <w:t> </w:t>
            </w:r>
            <w:r>
              <w:rPr>
                <w:sz w:val="20"/>
              </w:rPr>
              <w:t>score</w:t>
            </w:r>
            <w:r>
              <w:rPr>
                <w:spacing w:val="-4"/>
                <w:sz w:val="20"/>
              </w:rPr>
              <w:t> </w:t>
            </w:r>
            <w:r>
              <w:rPr>
                <w:sz w:val="20"/>
              </w:rPr>
              <w:t>=</w:t>
            </w:r>
            <w:r>
              <w:rPr>
                <w:spacing w:val="-3"/>
                <w:sz w:val="20"/>
              </w:rPr>
              <w:t> </w:t>
            </w:r>
            <w:r>
              <w:rPr>
                <w:sz w:val="20"/>
              </w:rPr>
              <w:t>6.5/20</w:t>
            </w:r>
            <w:r>
              <w:rPr>
                <w:spacing w:val="-3"/>
                <w:sz w:val="20"/>
              </w:rPr>
              <w:t> </w:t>
            </w:r>
            <w:r>
              <w:rPr>
                <w:sz w:val="20"/>
              </w:rPr>
              <w:t>*</w:t>
            </w:r>
            <w:r>
              <w:rPr>
                <w:spacing w:val="-7"/>
                <w:sz w:val="20"/>
              </w:rPr>
              <w:t> </w:t>
            </w:r>
            <w:r>
              <w:rPr>
                <w:sz w:val="20"/>
              </w:rPr>
              <w:t>100</w:t>
            </w:r>
            <w:r>
              <w:rPr>
                <w:spacing w:val="-3"/>
                <w:sz w:val="20"/>
              </w:rPr>
              <w:t> </w:t>
            </w:r>
            <w:r>
              <w:rPr>
                <w:sz w:val="20"/>
              </w:rPr>
              <w:t>=</w:t>
            </w:r>
            <w:r>
              <w:rPr>
                <w:spacing w:val="-4"/>
                <w:sz w:val="20"/>
              </w:rPr>
              <w:t> 32.5%</w:t>
            </w:r>
          </w:p>
        </w:tc>
      </w:tr>
      <w:tr>
        <w:trPr>
          <w:trHeight w:val="409" w:hRule="atLeast"/>
        </w:trPr>
        <w:tc>
          <w:tcPr>
            <w:tcW w:w="1493" w:type="dxa"/>
            <w:tcBorders>
              <w:left w:val="single" w:sz="8" w:space="0" w:color="BEBEBE"/>
              <w:right w:val="single" w:sz="4" w:space="0" w:color="BEBEBE"/>
            </w:tcBorders>
            <w:shd w:val="clear" w:color="auto" w:fill="DCE6F0"/>
          </w:tcPr>
          <w:p>
            <w:pPr>
              <w:pStyle w:val="TableParagraph"/>
              <w:spacing w:before="2"/>
              <w:ind w:left="303" w:right="296"/>
              <w:jc w:val="center"/>
              <w:rPr>
                <w:sz w:val="20"/>
              </w:rPr>
            </w:pPr>
            <w:r>
              <w:rPr>
                <w:sz w:val="20"/>
              </w:rPr>
              <w:t>Example</w:t>
            </w:r>
            <w:r>
              <w:rPr>
                <w:spacing w:val="-12"/>
                <w:sz w:val="20"/>
              </w:rPr>
              <w:t> </w:t>
            </w:r>
            <w:r>
              <w:rPr>
                <w:spacing w:val="-10"/>
                <w:sz w:val="20"/>
              </w:rPr>
              <w:t>2</w:t>
            </w:r>
          </w:p>
        </w:tc>
        <w:tc>
          <w:tcPr>
            <w:tcW w:w="6608" w:type="dxa"/>
            <w:gridSpan w:val="2"/>
            <w:tcBorders>
              <w:top w:val="single" w:sz="4" w:space="0" w:color="BEBEBE"/>
              <w:left w:val="single" w:sz="4" w:space="0" w:color="BEBEBE"/>
              <w:bottom w:val="single" w:sz="4" w:space="0" w:color="BEBEBE"/>
              <w:right w:val="single" w:sz="8" w:space="0" w:color="BEBEBE"/>
            </w:tcBorders>
            <w:shd w:val="clear" w:color="auto" w:fill="D9D9D9"/>
          </w:tcPr>
          <w:p>
            <w:pPr>
              <w:pStyle w:val="TableParagraph"/>
              <w:spacing w:before="2"/>
              <w:ind w:left="112"/>
              <w:rPr>
                <w:sz w:val="20"/>
              </w:rPr>
            </w:pPr>
            <w:r>
              <w:rPr>
                <w:sz w:val="20"/>
              </w:rPr>
              <w:t>Domain</w:t>
            </w:r>
            <w:r>
              <w:rPr>
                <w:spacing w:val="-7"/>
                <w:sz w:val="20"/>
              </w:rPr>
              <w:t> </w:t>
            </w:r>
            <w:r>
              <w:rPr>
                <w:sz w:val="20"/>
              </w:rPr>
              <w:t>only</w:t>
            </w:r>
            <w:r>
              <w:rPr>
                <w:spacing w:val="-7"/>
                <w:sz w:val="20"/>
              </w:rPr>
              <w:t> </w:t>
            </w:r>
            <w:r>
              <w:rPr>
                <w:sz w:val="20"/>
              </w:rPr>
              <w:t>has</w:t>
            </w:r>
            <w:r>
              <w:rPr>
                <w:spacing w:val="-6"/>
                <w:sz w:val="20"/>
              </w:rPr>
              <w:t> </w:t>
            </w:r>
            <w:r>
              <w:rPr>
                <w:sz w:val="20"/>
              </w:rPr>
              <w:t>two</w:t>
            </w:r>
            <w:r>
              <w:rPr>
                <w:spacing w:val="-5"/>
                <w:sz w:val="20"/>
              </w:rPr>
              <w:t> </w:t>
            </w:r>
            <w:r>
              <w:rPr>
                <w:sz w:val="20"/>
              </w:rPr>
              <w:t>Quality</w:t>
            </w:r>
            <w:r>
              <w:rPr>
                <w:spacing w:val="-5"/>
                <w:sz w:val="20"/>
              </w:rPr>
              <w:t> </w:t>
            </w:r>
            <w:r>
              <w:rPr>
                <w:sz w:val="20"/>
              </w:rPr>
              <w:t>Measures</w:t>
            </w:r>
            <w:r>
              <w:rPr>
                <w:spacing w:val="-7"/>
                <w:sz w:val="20"/>
              </w:rPr>
              <w:t> </w:t>
            </w:r>
            <w:r>
              <w:rPr>
                <w:sz w:val="20"/>
              </w:rPr>
              <w:t>(Measure</w:t>
            </w:r>
            <w:r>
              <w:rPr>
                <w:spacing w:val="-3"/>
                <w:sz w:val="20"/>
              </w:rPr>
              <w:t> </w:t>
            </w:r>
            <w:r>
              <w:rPr>
                <w:sz w:val="20"/>
              </w:rPr>
              <w:t>A</w:t>
            </w:r>
            <w:r>
              <w:rPr>
                <w:spacing w:val="-7"/>
                <w:sz w:val="20"/>
              </w:rPr>
              <w:t> </w:t>
            </w:r>
            <w:r>
              <w:rPr>
                <w:sz w:val="20"/>
              </w:rPr>
              <w:t>and</w:t>
            </w:r>
            <w:r>
              <w:rPr>
                <w:spacing w:val="-5"/>
                <w:sz w:val="20"/>
              </w:rPr>
              <w:t> </w:t>
            </w:r>
            <w:r>
              <w:rPr>
                <w:sz w:val="20"/>
              </w:rPr>
              <w:t>Measure</w:t>
            </w:r>
            <w:r>
              <w:rPr>
                <w:spacing w:val="-6"/>
                <w:sz w:val="20"/>
              </w:rPr>
              <w:t> </w:t>
            </w:r>
            <w:r>
              <w:rPr>
                <w:spacing w:val="-5"/>
                <w:sz w:val="20"/>
              </w:rPr>
              <w:t>B)</w:t>
            </w:r>
          </w:p>
        </w:tc>
      </w:tr>
      <w:tr>
        <w:trPr>
          <w:trHeight w:val="417" w:hRule="atLeast"/>
        </w:trPr>
        <w:tc>
          <w:tcPr>
            <w:tcW w:w="1493" w:type="dxa"/>
            <w:shd w:val="clear" w:color="auto" w:fill="DCE6F0"/>
          </w:tcPr>
          <w:p>
            <w:pPr>
              <w:pStyle w:val="TableParagraph"/>
              <w:rPr>
                <w:sz w:val="20"/>
              </w:rPr>
            </w:pPr>
          </w:p>
        </w:tc>
        <w:tc>
          <w:tcPr>
            <w:tcW w:w="6608" w:type="dxa"/>
            <w:gridSpan w:val="2"/>
            <w:tcBorders>
              <w:top w:val="single" w:sz="4" w:space="0" w:color="BEBEBE"/>
              <w:bottom w:val="single" w:sz="4" w:space="0" w:color="BEBEBE"/>
              <w:right w:val="single" w:sz="8" w:space="0" w:color="BEBEBE"/>
            </w:tcBorders>
          </w:tcPr>
          <w:p>
            <w:pPr>
              <w:pStyle w:val="TableParagraph"/>
              <w:spacing w:before="10"/>
              <w:ind w:left="518"/>
              <w:rPr>
                <w:sz w:val="20"/>
              </w:rPr>
            </w:pPr>
            <w:r>
              <w:rPr>
                <w:sz w:val="20"/>
              </w:rPr>
              <w:t>Therefore,</w:t>
            </w:r>
            <w:r>
              <w:rPr>
                <w:spacing w:val="-5"/>
                <w:sz w:val="20"/>
              </w:rPr>
              <w:t> </w:t>
            </w:r>
            <w:r>
              <w:rPr>
                <w:sz w:val="20"/>
              </w:rPr>
              <w:t>maximum</w:t>
            </w:r>
            <w:r>
              <w:rPr>
                <w:spacing w:val="-4"/>
                <w:sz w:val="20"/>
              </w:rPr>
              <w:t> </w:t>
            </w:r>
            <w:r>
              <w:rPr>
                <w:sz w:val="20"/>
              </w:rPr>
              <w:t>number</w:t>
            </w:r>
            <w:r>
              <w:rPr>
                <w:spacing w:val="-5"/>
                <w:sz w:val="20"/>
              </w:rPr>
              <w:t> </w:t>
            </w:r>
            <w:r>
              <w:rPr>
                <w:sz w:val="20"/>
              </w:rPr>
              <w:t>of</w:t>
            </w:r>
            <w:r>
              <w:rPr>
                <w:spacing w:val="-7"/>
                <w:sz w:val="20"/>
              </w:rPr>
              <w:t> </w:t>
            </w:r>
            <w:r>
              <w:rPr>
                <w:sz w:val="20"/>
              </w:rPr>
              <w:t>achievement</w:t>
            </w:r>
            <w:r>
              <w:rPr>
                <w:spacing w:val="-5"/>
                <w:sz w:val="20"/>
              </w:rPr>
              <w:t> </w:t>
            </w:r>
            <w:r>
              <w:rPr>
                <w:sz w:val="20"/>
              </w:rPr>
              <w:t>points</w:t>
            </w:r>
            <w:r>
              <w:rPr>
                <w:spacing w:val="-7"/>
                <w:sz w:val="20"/>
              </w:rPr>
              <w:t> </w:t>
            </w:r>
            <w:r>
              <w:rPr>
                <w:sz w:val="20"/>
              </w:rPr>
              <w:t>is</w:t>
            </w:r>
            <w:r>
              <w:rPr>
                <w:spacing w:val="-6"/>
                <w:sz w:val="20"/>
              </w:rPr>
              <w:t> </w:t>
            </w:r>
            <w:r>
              <w:rPr>
                <w:sz w:val="20"/>
              </w:rPr>
              <w:t>2x10</w:t>
            </w:r>
            <w:r>
              <w:rPr>
                <w:spacing w:val="-4"/>
                <w:sz w:val="20"/>
              </w:rPr>
              <w:t> </w:t>
            </w:r>
            <w:r>
              <w:rPr>
                <w:sz w:val="20"/>
              </w:rPr>
              <w:t>=</w:t>
            </w:r>
            <w:r>
              <w:rPr>
                <w:spacing w:val="-6"/>
                <w:sz w:val="20"/>
              </w:rPr>
              <w:t> </w:t>
            </w:r>
            <w:r>
              <w:rPr>
                <w:sz w:val="20"/>
              </w:rPr>
              <w:t>20</w:t>
            </w:r>
            <w:r>
              <w:rPr>
                <w:spacing w:val="-4"/>
                <w:sz w:val="20"/>
              </w:rPr>
              <w:t> </w:t>
            </w:r>
            <w:r>
              <w:rPr>
                <w:spacing w:val="-2"/>
                <w:sz w:val="20"/>
              </w:rPr>
              <w:t>points</w:t>
            </w:r>
          </w:p>
        </w:tc>
      </w:tr>
      <w:tr>
        <w:trPr>
          <w:trHeight w:val="407" w:hRule="atLeast"/>
        </w:trPr>
        <w:tc>
          <w:tcPr>
            <w:tcW w:w="1493" w:type="dxa"/>
            <w:tcBorders>
              <w:right w:val="single" w:sz="4" w:space="0" w:color="BEBEBE"/>
            </w:tcBorders>
            <w:shd w:val="clear" w:color="auto" w:fill="DCE6F0"/>
          </w:tcPr>
          <w:p>
            <w:pPr>
              <w:pStyle w:val="TableParagraph"/>
              <w:rPr>
                <w:sz w:val="20"/>
              </w:rPr>
            </w:pPr>
          </w:p>
        </w:tc>
        <w:tc>
          <w:tcPr>
            <w:tcW w:w="2170" w:type="dxa"/>
            <w:tcBorders>
              <w:top w:val="single" w:sz="4" w:space="0" w:color="BEBEBE"/>
              <w:left w:val="single" w:sz="4" w:space="0" w:color="BEBEBE"/>
              <w:right w:val="single" w:sz="4" w:space="0" w:color="BEBEBE"/>
            </w:tcBorders>
          </w:tcPr>
          <w:p>
            <w:pPr>
              <w:pStyle w:val="TableParagraph"/>
              <w:ind w:left="618"/>
              <w:rPr>
                <w:sz w:val="20"/>
              </w:rPr>
            </w:pPr>
            <w:r>
              <w:rPr>
                <w:sz w:val="20"/>
              </w:rPr>
              <w:t>Measure</w:t>
            </w:r>
            <w:r>
              <w:rPr>
                <w:spacing w:val="-7"/>
                <w:sz w:val="20"/>
              </w:rPr>
              <w:t> </w:t>
            </w:r>
            <w:r>
              <w:rPr>
                <w:spacing w:val="-5"/>
                <w:sz w:val="20"/>
              </w:rPr>
              <w:t>A:</w:t>
            </w:r>
          </w:p>
        </w:tc>
        <w:tc>
          <w:tcPr>
            <w:tcW w:w="4438" w:type="dxa"/>
            <w:tcBorders>
              <w:top w:val="single" w:sz="4" w:space="0" w:color="BEBEBE"/>
              <w:left w:val="single" w:sz="4" w:space="0" w:color="BEBEBE"/>
              <w:bottom w:val="single" w:sz="4" w:space="0" w:color="BEBEBE"/>
              <w:right w:val="single" w:sz="8" w:space="0" w:color="BEBEBE"/>
            </w:tcBorders>
          </w:tcPr>
          <w:p>
            <w:pPr>
              <w:pStyle w:val="TableParagraph"/>
              <w:ind w:left="111"/>
              <w:rPr>
                <w:sz w:val="20"/>
              </w:rPr>
            </w:pPr>
            <w:r>
              <w:rPr>
                <w:sz w:val="20"/>
              </w:rPr>
              <w:t>Achievement</w:t>
            </w:r>
            <w:r>
              <w:rPr>
                <w:spacing w:val="-12"/>
                <w:sz w:val="20"/>
              </w:rPr>
              <w:t> </w:t>
            </w:r>
            <w:r>
              <w:rPr>
                <w:sz w:val="20"/>
              </w:rPr>
              <w:t>points:</w:t>
            </w:r>
            <w:r>
              <w:rPr>
                <w:spacing w:val="-11"/>
                <w:sz w:val="20"/>
              </w:rPr>
              <w:t> </w:t>
            </w:r>
            <w:r>
              <w:rPr>
                <w:spacing w:val="-10"/>
                <w:sz w:val="20"/>
              </w:rPr>
              <w:t>8</w:t>
            </w:r>
          </w:p>
        </w:tc>
      </w:tr>
      <w:tr>
        <w:trPr>
          <w:trHeight w:val="407" w:hRule="atLeast"/>
        </w:trPr>
        <w:tc>
          <w:tcPr>
            <w:tcW w:w="1493" w:type="dxa"/>
            <w:shd w:val="clear" w:color="auto" w:fill="DCE6F0"/>
          </w:tcPr>
          <w:p>
            <w:pPr>
              <w:pStyle w:val="TableParagraph"/>
              <w:rPr>
                <w:sz w:val="20"/>
              </w:rPr>
            </w:pPr>
          </w:p>
        </w:tc>
        <w:tc>
          <w:tcPr>
            <w:tcW w:w="2170" w:type="dxa"/>
          </w:tcPr>
          <w:p>
            <w:pPr>
              <w:pStyle w:val="TableParagraph"/>
              <w:rPr>
                <w:sz w:val="20"/>
              </w:rPr>
            </w:pPr>
          </w:p>
        </w:tc>
        <w:tc>
          <w:tcPr>
            <w:tcW w:w="4438" w:type="dxa"/>
            <w:tcBorders>
              <w:top w:val="single" w:sz="4" w:space="0" w:color="BEBEBE"/>
              <w:bottom w:val="single" w:sz="4" w:space="0" w:color="BEBEBE"/>
              <w:right w:val="single" w:sz="8" w:space="0" w:color="BEBEBE"/>
            </w:tcBorders>
          </w:tcPr>
          <w:p>
            <w:pPr>
              <w:pStyle w:val="TableParagraph"/>
              <w:ind w:left="116"/>
              <w:rPr>
                <w:sz w:val="20"/>
              </w:rPr>
            </w:pPr>
            <w:r>
              <w:rPr>
                <w:sz w:val="20"/>
              </w:rPr>
              <w:t>Improvement</w:t>
            </w:r>
            <w:r>
              <w:rPr>
                <w:spacing w:val="-11"/>
                <w:sz w:val="20"/>
              </w:rPr>
              <w:t> </w:t>
            </w:r>
            <w:r>
              <w:rPr>
                <w:sz w:val="20"/>
              </w:rPr>
              <w:t>Points:</w:t>
            </w:r>
            <w:r>
              <w:rPr>
                <w:spacing w:val="-11"/>
                <w:sz w:val="20"/>
              </w:rPr>
              <w:t> </w:t>
            </w:r>
            <w:r>
              <w:rPr>
                <w:spacing w:val="-10"/>
                <w:sz w:val="20"/>
              </w:rPr>
              <w:t>5</w:t>
            </w:r>
          </w:p>
        </w:tc>
      </w:tr>
    </w:tbl>
    <w:p>
      <w:pPr>
        <w:spacing w:after="0"/>
        <w:rPr>
          <w:sz w:val="20"/>
        </w:rPr>
        <w:sectPr>
          <w:pgSz w:w="12240" w:h="15840"/>
          <w:pgMar w:header="0" w:footer="967" w:top="1440" w:bottom="1472" w:left="220" w:right="340"/>
        </w:sectPr>
      </w:pPr>
    </w:p>
    <w:tbl>
      <w:tblPr>
        <w:tblW w:w="0" w:type="auto"/>
        <w:jc w:val="left"/>
        <w:tblInd w:w="272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170"/>
        <w:gridCol w:w="4438"/>
      </w:tblGrid>
      <w:tr>
        <w:trPr>
          <w:trHeight w:val="407" w:hRule="atLeast"/>
        </w:trPr>
        <w:tc>
          <w:tcPr>
            <w:tcW w:w="2170" w:type="dxa"/>
            <w:tcBorders>
              <w:top w:val="nil"/>
              <w:bottom w:val="nil"/>
            </w:tcBorders>
          </w:tcPr>
          <w:p>
            <w:pPr>
              <w:pStyle w:val="TableParagraph"/>
              <w:ind w:left="628"/>
              <w:rPr>
                <w:sz w:val="20"/>
              </w:rPr>
            </w:pPr>
            <w:r>
              <w:rPr>
                <w:sz w:val="20"/>
              </w:rPr>
              <w:t>Measure</w:t>
            </w:r>
            <w:r>
              <w:rPr>
                <w:spacing w:val="-10"/>
                <w:sz w:val="20"/>
              </w:rPr>
              <w:t> </w:t>
            </w:r>
            <w:r>
              <w:rPr>
                <w:spacing w:val="-5"/>
                <w:sz w:val="20"/>
              </w:rPr>
              <w:t>B:</w:t>
            </w:r>
          </w:p>
        </w:tc>
        <w:tc>
          <w:tcPr>
            <w:tcW w:w="4438" w:type="dxa"/>
            <w:tcBorders>
              <w:top w:val="nil"/>
              <w:right w:val="single" w:sz="8" w:space="0" w:color="BEBEBE"/>
            </w:tcBorders>
          </w:tcPr>
          <w:p>
            <w:pPr>
              <w:pStyle w:val="TableParagraph"/>
              <w:ind w:left="116"/>
              <w:rPr>
                <w:sz w:val="20"/>
              </w:rPr>
            </w:pPr>
            <w:r>
              <w:rPr>
                <w:sz w:val="20"/>
              </w:rPr>
              <w:t>Achievement</w:t>
            </w:r>
            <w:r>
              <w:rPr>
                <w:spacing w:val="-12"/>
                <w:sz w:val="20"/>
              </w:rPr>
              <w:t> </w:t>
            </w:r>
            <w:r>
              <w:rPr>
                <w:sz w:val="20"/>
              </w:rPr>
              <w:t>points:</w:t>
            </w:r>
            <w:r>
              <w:rPr>
                <w:spacing w:val="-11"/>
                <w:sz w:val="20"/>
              </w:rPr>
              <w:t> </w:t>
            </w:r>
            <w:r>
              <w:rPr>
                <w:spacing w:val="-5"/>
                <w:sz w:val="20"/>
              </w:rPr>
              <w:t>9.3</w:t>
            </w:r>
          </w:p>
        </w:tc>
      </w:tr>
      <w:tr>
        <w:trPr>
          <w:trHeight w:val="407" w:hRule="atLeast"/>
        </w:trPr>
        <w:tc>
          <w:tcPr>
            <w:tcW w:w="6608" w:type="dxa"/>
            <w:gridSpan w:val="2"/>
            <w:tcBorders>
              <w:top w:val="nil"/>
              <w:left w:val="nil"/>
              <w:right w:val="single" w:sz="8" w:space="0" w:color="BEBEBE"/>
            </w:tcBorders>
          </w:tcPr>
          <w:p>
            <w:pPr>
              <w:pStyle w:val="TableParagraph"/>
              <w:ind w:left="2282" w:right="2464"/>
              <w:jc w:val="center"/>
              <w:rPr>
                <w:sz w:val="20"/>
              </w:rPr>
            </w:pPr>
            <w:r>
              <w:rPr>
                <w:sz w:val="20"/>
              </w:rPr>
              <w:t>Improvement</w:t>
            </w:r>
            <w:r>
              <w:rPr>
                <w:spacing w:val="-11"/>
                <w:sz w:val="20"/>
              </w:rPr>
              <w:t> </w:t>
            </w:r>
            <w:r>
              <w:rPr>
                <w:sz w:val="20"/>
              </w:rPr>
              <w:t>Points:</w:t>
            </w:r>
            <w:r>
              <w:rPr>
                <w:spacing w:val="-11"/>
                <w:sz w:val="20"/>
              </w:rPr>
              <w:t> </w:t>
            </w:r>
            <w:r>
              <w:rPr>
                <w:spacing w:val="-10"/>
                <w:sz w:val="20"/>
              </w:rPr>
              <w:t>0</w:t>
            </w:r>
          </w:p>
        </w:tc>
      </w:tr>
      <w:tr>
        <w:trPr>
          <w:trHeight w:val="410" w:hRule="atLeast"/>
        </w:trPr>
        <w:tc>
          <w:tcPr>
            <w:tcW w:w="6608" w:type="dxa"/>
            <w:gridSpan w:val="2"/>
            <w:tcBorders>
              <w:left w:val="nil"/>
              <w:right w:val="single" w:sz="8" w:space="0" w:color="BEBEBE"/>
            </w:tcBorders>
          </w:tcPr>
          <w:p>
            <w:pPr>
              <w:pStyle w:val="TableParagraph"/>
              <w:ind w:left="523"/>
              <w:rPr>
                <w:sz w:val="20"/>
              </w:rPr>
            </w:pPr>
            <w:r>
              <w:rPr>
                <w:sz w:val="20"/>
              </w:rPr>
              <w:t>Total</w:t>
            </w:r>
            <w:r>
              <w:rPr>
                <w:spacing w:val="-5"/>
                <w:sz w:val="20"/>
              </w:rPr>
              <w:t> </w:t>
            </w:r>
            <w:r>
              <w:rPr>
                <w:sz w:val="20"/>
              </w:rPr>
              <w:t>achievement</w:t>
            </w:r>
            <w:r>
              <w:rPr>
                <w:spacing w:val="-4"/>
                <w:sz w:val="20"/>
              </w:rPr>
              <w:t> </w:t>
            </w:r>
            <w:r>
              <w:rPr>
                <w:sz w:val="20"/>
              </w:rPr>
              <w:t>points:</w:t>
            </w:r>
            <w:r>
              <w:rPr>
                <w:spacing w:val="-4"/>
                <w:sz w:val="20"/>
              </w:rPr>
              <w:t> </w:t>
            </w:r>
            <w:r>
              <w:rPr>
                <w:sz w:val="20"/>
              </w:rPr>
              <w:t>8</w:t>
            </w:r>
            <w:r>
              <w:rPr>
                <w:spacing w:val="-3"/>
                <w:sz w:val="20"/>
              </w:rPr>
              <w:t> </w:t>
            </w:r>
            <w:r>
              <w:rPr>
                <w:sz w:val="20"/>
              </w:rPr>
              <w:t>+</w:t>
            </w:r>
            <w:r>
              <w:rPr>
                <w:spacing w:val="-5"/>
                <w:sz w:val="20"/>
              </w:rPr>
              <w:t> </w:t>
            </w:r>
            <w:r>
              <w:rPr>
                <w:sz w:val="20"/>
              </w:rPr>
              <w:t>9.3</w:t>
            </w:r>
            <w:r>
              <w:rPr>
                <w:spacing w:val="-3"/>
                <w:sz w:val="20"/>
              </w:rPr>
              <w:t> </w:t>
            </w:r>
            <w:r>
              <w:rPr>
                <w:sz w:val="20"/>
              </w:rPr>
              <w:t>=</w:t>
            </w:r>
            <w:r>
              <w:rPr>
                <w:spacing w:val="-4"/>
                <w:sz w:val="20"/>
              </w:rPr>
              <w:t> 17.3</w:t>
            </w:r>
          </w:p>
        </w:tc>
      </w:tr>
      <w:tr>
        <w:trPr>
          <w:trHeight w:val="407" w:hRule="atLeast"/>
        </w:trPr>
        <w:tc>
          <w:tcPr>
            <w:tcW w:w="6608" w:type="dxa"/>
            <w:gridSpan w:val="2"/>
            <w:tcBorders>
              <w:left w:val="nil"/>
              <w:right w:val="single" w:sz="8" w:space="0" w:color="BEBEBE"/>
            </w:tcBorders>
          </w:tcPr>
          <w:p>
            <w:pPr>
              <w:pStyle w:val="TableParagraph"/>
              <w:ind w:left="523"/>
              <w:rPr>
                <w:sz w:val="20"/>
              </w:rPr>
            </w:pPr>
            <w:r>
              <w:rPr>
                <w:sz w:val="20"/>
              </w:rPr>
              <w:t>Total</w:t>
            </w:r>
            <w:r>
              <w:rPr>
                <w:spacing w:val="-7"/>
                <w:sz w:val="20"/>
              </w:rPr>
              <w:t> </w:t>
            </w:r>
            <w:r>
              <w:rPr>
                <w:sz w:val="20"/>
              </w:rPr>
              <w:t>improvement</w:t>
            </w:r>
            <w:r>
              <w:rPr>
                <w:spacing w:val="-6"/>
                <w:sz w:val="20"/>
              </w:rPr>
              <w:t> </w:t>
            </w:r>
            <w:r>
              <w:rPr>
                <w:sz w:val="20"/>
              </w:rPr>
              <w:t>points:</w:t>
            </w:r>
            <w:r>
              <w:rPr>
                <w:spacing w:val="-6"/>
                <w:sz w:val="20"/>
              </w:rPr>
              <w:t> </w:t>
            </w:r>
            <w:r>
              <w:rPr>
                <w:sz w:val="20"/>
              </w:rPr>
              <w:t>5</w:t>
            </w:r>
            <w:r>
              <w:rPr>
                <w:spacing w:val="-6"/>
                <w:sz w:val="20"/>
              </w:rPr>
              <w:t> </w:t>
            </w:r>
            <w:r>
              <w:rPr>
                <w:spacing w:val="-2"/>
                <w:sz w:val="20"/>
              </w:rPr>
              <w:t>points</w:t>
            </w:r>
          </w:p>
        </w:tc>
      </w:tr>
      <w:tr>
        <w:trPr>
          <w:trHeight w:val="407" w:hRule="atLeast"/>
        </w:trPr>
        <w:tc>
          <w:tcPr>
            <w:tcW w:w="6608" w:type="dxa"/>
            <w:gridSpan w:val="2"/>
            <w:tcBorders>
              <w:left w:val="nil"/>
              <w:right w:val="single" w:sz="8" w:space="0" w:color="BEBEBE"/>
            </w:tcBorders>
          </w:tcPr>
          <w:p>
            <w:pPr>
              <w:pStyle w:val="TableParagraph"/>
              <w:ind w:left="523"/>
              <w:rPr>
                <w:sz w:val="20"/>
              </w:rPr>
            </w:pPr>
            <w:r>
              <w:rPr>
                <w:sz w:val="20"/>
              </w:rPr>
              <w:t>Sum</w:t>
            </w:r>
            <w:r>
              <w:rPr>
                <w:spacing w:val="-6"/>
                <w:sz w:val="20"/>
              </w:rPr>
              <w:t> </w:t>
            </w:r>
            <w:r>
              <w:rPr>
                <w:sz w:val="20"/>
              </w:rPr>
              <w:t>of</w:t>
            </w:r>
            <w:r>
              <w:rPr>
                <w:spacing w:val="-6"/>
                <w:sz w:val="20"/>
              </w:rPr>
              <w:t> </w:t>
            </w:r>
            <w:r>
              <w:rPr>
                <w:sz w:val="20"/>
              </w:rPr>
              <w:t>achievement</w:t>
            </w:r>
            <w:r>
              <w:rPr>
                <w:spacing w:val="-5"/>
                <w:sz w:val="20"/>
              </w:rPr>
              <w:t> </w:t>
            </w:r>
            <w:r>
              <w:rPr>
                <w:sz w:val="20"/>
              </w:rPr>
              <w:t>and</w:t>
            </w:r>
            <w:r>
              <w:rPr>
                <w:spacing w:val="-3"/>
                <w:sz w:val="20"/>
              </w:rPr>
              <w:t> </w:t>
            </w:r>
            <w:r>
              <w:rPr>
                <w:sz w:val="20"/>
              </w:rPr>
              <w:t>improvement</w:t>
            </w:r>
            <w:r>
              <w:rPr>
                <w:spacing w:val="-5"/>
                <w:sz w:val="20"/>
              </w:rPr>
              <w:t> </w:t>
            </w:r>
            <w:r>
              <w:rPr>
                <w:sz w:val="20"/>
              </w:rPr>
              <w:t>points:</w:t>
            </w:r>
            <w:r>
              <w:rPr>
                <w:spacing w:val="-4"/>
                <w:sz w:val="20"/>
              </w:rPr>
              <w:t> </w:t>
            </w:r>
            <w:r>
              <w:rPr>
                <w:sz w:val="20"/>
              </w:rPr>
              <w:t>17.3</w:t>
            </w:r>
            <w:r>
              <w:rPr>
                <w:spacing w:val="-4"/>
                <w:sz w:val="20"/>
              </w:rPr>
              <w:t> </w:t>
            </w:r>
            <w:r>
              <w:rPr>
                <w:sz w:val="20"/>
              </w:rPr>
              <w:t>+</w:t>
            </w:r>
            <w:r>
              <w:rPr>
                <w:spacing w:val="-5"/>
                <w:sz w:val="20"/>
              </w:rPr>
              <w:t> </w:t>
            </w:r>
            <w:r>
              <w:rPr>
                <w:sz w:val="20"/>
              </w:rPr>
              <w:t>5</w:t>
            </w:r>
            <w:r>
              <w:rPr>
                <w:spacing w:val="-3"/>
                <w:sz w:val="20"/>
              </w:rPr>
              <w:t> </w:t>
            </w:r>
            <w:r>
              <w:rPr>
                <w:sz w:val="20"/>
              </w:rPr>
              <w:t>=</w:t>
            </w:r>
            <w:r>
              <w:rPr>
                <w:spacing w:val="-7"/>
                <w:sz w:val="20"/>
              </w:rPr>
              <w:t> </w:t>
            </w:r>
            <w:r>
              <w:rPr>
                <w:sz w:val="20"/>
              </w:rPr>
              <w:t>22.3</w:t>
            </w:r>
            <w:r>
              <w:rPr>
                <w:spacing w:val="-3"/>
                <w:sz w:val="20"/>
              </w:rPr>
              <w:t> </w:t>
            </w:r>
            <w:r>
              <w:rPr>
                <w:spacing w:val="-2"/>
                <w:sz w:val="20"/>
              </w:rPr>
              <w:t>points</w:t>
            </w:r>
          </w:p>
        </w:tc>
      </w:tr>
      <w:tr>
        <w:trPr>
          <w:trHeight w:val="657" w:hRule="atLeast"/>
        </w:trPr>
        <w:tc>
          <w:tcPr>
            <w:tcW w:w="6608" w:type="dxa"/>
            <w:gridSpan w:val="2"/>
            <w:tcBorders>
              <w:left w:val="nil"/>
              <w:right w:val="single" w:sz="8" w:space="0" w:color="BEBEBE"/>
            </w:tcBorders>
          </w:tcPr>
          <w:p>
            <w:pPr>
              <w:pStyle w:val="TableParagraph"/>
              <w:spacing w:line="261" w:lineRule="auto"/>
              <w:ind w:left="122" w:firstLine="799"/>
              <w:rPr>
                <w:sz w:val="20"/>
              </w:rPr>
            </w:pPr>
            <w:r>
              <w:rPr>
                <w:sz w:val="20"/>
              </w:rPr>
              <w:t>However,</w:t>
            </w:r>
            <w:r>
              <w:rPr>
                <w:spacing w:val="-4"/>
                <w:sz w:val="20"/>
              </w:rPr>
              <w:t> </w:t>
            </w:r>
            <w:r>
              <w:rPr>
                <w:sz w:val="20"/>
              </w:rPr>
              <w:t>total</w:t>
            </w:r>
            <w:r>
              <w:rPr>
                <w:spacing w:val="-5"/>
                <w:sz w:val="20"/>
              </w:rPr>
              <w:t> </w:t>
            </w:r>
            <w:r>
              <w:rPr>
                <w:sz w:val="20"/>
              </w:rPr>
              <w:t>number</w:t>
            </w:r>
            <w:r>
              <w:rPr>
                <w:spacing w:val="-4"/>
                <w:sz w:val="20"/>
              </w:rPr>
              <w:t> </w:t>
            </w:r>
            <w:r>
              <w:rPr>
                <w:sz w:val="20"/>
              </w:rPr>
              <w:t>of</w:t>
            </w:r>
            <w:r>
              <w:rPr>
                <w:spacing w:val="-7"/>
                <w:sz w:val="20"/>
              </w:rPr>
              <w:t> </w:t>
            </w:r>
            <w:r>
              <w:rPr>
                <w:sz w:val="20"/>
              </w:rPr>
              <w:t>points</w:t>
            </w:r>
            <w:r>
              <w:rPr>
                <w:spacing w:val="-6"/>
                <w:sz w:val="20"/>
              </w:rPr>
              <w:t> </w:t>
            </w:r>
            <w:r>
              <w:rPr>
                <w:sz w:val="20"/>
              </w:rPr>
              <w:t>cannot</w:t>
            </w:r>
            <w:r>
              <w:rPr>
                <w:spacing w:val="-5"/>
                <w:sz w:val="20"/>
              </w:rPr>
              <w:t> </w:t>
            </w:r>
            <w:r>
              <w:rPr>
                <w:sz w:val="20"/>
              </w:rPr>
              <w:t>exceed</w:t>
            </w:r>
            <w:r>
              <w:rPr>
                <w:spacing w:val="-1"/>
                <w:sz w:val="20"/>
              </w:rPr>
              <w:t> </w:t>
            </w:r>
            <w:r>
              <w:rPr>
                <w:sz w:val="20"/>
              </w:rPr>
              <w:t>maximum</w:t>
            </w:r>
            <w:r>
              <w:rPr>
                <w:spacing w:val="-4"/>
                <w:sz w:val="20"/>
              </w:rPr>
              <w:t> </w:t>
            </w:r>
            <w:r>
              <w:rPr>
                <w:sz w:val="20"/>
              </w:rPr>
              <w:t>number</w:t>
            </w:r>
            <w:r>
              <w:rPr>
                <w:spacing w:val="-4"/>
                <w:sz w:val="20"/>
              </w:rPr>
              <w:t> </w:t>
            </w:r>
            <w:r>
              <w:rPr>
                <w:sz w:val="20"/>
              </w:rPr>
              <w:t>of achievement points (20)</w:t>
            </w:r>
          </w:p>
        </w:tc>
      </w:tr>
      <w:tr>
        <w:trPr>
          <w:trHeight w:val="407" w:hRule="atLeast"/>
        </w:trPr>
        <w:tc>
          <w:tcPr>
            <w:tcW w:w="6608" w:type="dxa"/>
            <w:gridSpan w:val="2"/>
            <w:tcBorders>
              <w:left w:val="nil"/>
              <w:right w:val="single" w:sz="8" w:space="0" w:color="BEBEBE"/>
            </w:tcBorders>
          </w:tcPr>
          <w:p>
            <w:pPr>
              <w:pStyle w:val="TableParagraph"/>
              <w:ind w:left="921"/>
              <w:rPr>
                <w:sz w:val="20"/>
              </w:rPr>
            </w:pPr>
            <w:r>
              <w:rPr>
                <w:sz w:val="20"/>
              </w:rPr>
              <w:t>Therefore,</w:t>
            </w:r>
            <w:r>
              <w:rPr>
                <w:spacing w:val="-5"/>
                <w:sz w:val="20"/>
              </w:rPr>
              <w:t> </w:t>
            </w:r>
            <w:r>
              <w:rPr>
                <w:sz w:val="20"/>
              </w:rPr>
              <w:t>total</w:t>
            </w:r>
            <w:r>
              <w:rPr>
                <w:spacing w:val="-5"/>
                <w:sz w:val="20"/>
              </w:rPr>
              <w:t> </w:t>
            </w:r>
            <w:r>
              <w:rPr>
                <w:sz w:val="20"/>
              </w:rPr>
              <w:t>domain</w:t>
            </w:r>
            <w:r>
              <w:rPr>
                <w:spacing w:val="-7"/>
                <w:sz w:val="20"/>
              </w:rPr>
              <w:t> </w:t>
            </w:r>
            <w:r>
              <w:rPr>
                <w:sz w:val="20"/>
              </w:rPr>
              <w:t>points</w:t>
            </w:r>
            <w:r>
              <w:rPr>
                <w:spacing w:val="-3"/>
                <w:sz w:val="20"/>
              </w:rPr>
              <w:t> </w:t>
            </w:r>
            <w:r>
              <w:rPr>
                <w:sz w:val="20"/>
              </w:rPr>
              <w:t>=</w:t>
            </w:r>
            <w:r>
              <w:rPr>
                <w:spacing w:val="-5"/>
                <w:sz w:val="20"/>
              </w:rPr>
              <w:t> 20</w:t>
            </w:r>
          </w:p>
        </w:tc>
      </w:tr>
      <w:tr>
        <w:trPr>
          <w:trHeight w:val="409" w:hRule="atLeast"/>
        </w:trPr>
        <w:tc>
          <w:tcPr>
            <w:tcW w:w="6608" w:type="dxa"/>
            <w:gridSpan w:val="2"/>
            <w:tcBorders>
              <w:left w:val="nil"/>
              <w:bottom w:val="single" w:sz="8" w:space="0" w:color="BEBEBE"/>
              <w:right w:val="single" w:sz="8" w:space="0" w:color="BEBEBE"/>
            </w:tcBorders>
          </w:tcPr>
          <w:p>
            <w:pPr>
              <w:pStyle w:val="TableParagraph"/>
              <w:ind w:left="523"/>
              <w:rPr>
                <w:sz w:val="20"/>
              </w:rPr>
            </w:pPr>
            <w:r>
              <w:rPr>
                <w:sz w:val="20"/>
              </w:rPr>
              <w:t>Unweighted</w:t>
            </w:r>
            <w:r>
              <w:rPr>
                <w:spacing w:val="-3"/>
                <w:sz w:val="20"/>
              </w:rPr>
              <w:t> </w:t>
            </w:r>
            <w:r>
              <w:rPr>
                <w:sz w:val="20"/>
              </w:rPr>
              <w:t>domain</w:t>
            </w:r>
            <w:r>
              <w:rPr>
                <w:spacing w:val="-5"/>
                <w:sz w:val="20"/>
              </w:rPr>
              <w:t> </w:t>
            </w:r>
            <w:r>
              <w:rPr>
                <w:sz w:val="20"/>
              </w:rPr>
              <w:t>score</w:t>
            </w:r>
            <w:r>
              <w:rPr>
                <w:spacing w:val="-3"/>
                <w:sz w:val="20"/>
              </w:rPr>
              <w:t> </w:t>
            </w:r>
            <w:r>
              <w:rPr>
                <w:sz w:val="20"/>
              </w:rPr>
              <w:t>=</w:t>
            </w:r>
            <w:r>
              <w:rPr>
                <w:spacing w:val="-4"/>
                <w:sz w:val="20"/>
              </w:rPr>
              <w:t> </w:t>
            </w:r>
            <w:r>
              <w:rPr>
                <w:sz w:val="20"/>
              </w:rPr>
              <w:t>20/20</w:t>
            </w:r>
            <w:r>
              <w:rPr>
                <w:spacing w:val="-3"/>
                <w:sz w:val="20"/>
              </w:rPr>
              <w:t> </w:t>
            </w:r>
            <w:r>
              <w:rPr>
                <w:sz w:val="20"/>
              </w:rPr>
              <w:t>*</w:t>
            </w:r>
            <w:r>
              <w:rPr>
                <w:spacing w:val="-7"/>
                <w:sz w:val="20"/>
              </w:rPr>
              <w:t> </w:t>
            </w:r>
            <w:r>
              <w:rPr>
                <w:sz w:val="20"/>
              </w:rPr>
              <w:t>100</w:t>
            </w:r>
            <w:r>
              <w:rPr>
                <w:spacing w:val="-3"/>
                <w:sz w:val="20"/>
              </w:rPr>
              <w:t> </w:t>
            </w:r>
            <w:r>
              <w:rPr>
                <w:sz w:val="20"/>
              </w:rPr>
              <w:t>=</w:t>
            </w:r>
            <w:r>
              <w:rPr>
                <w:spacing w:val="-3"/>
                <w:sz w:val="20"/>
              </w:rPr>
              <w:t> </w:t>
            </w:r>
            <w:r>
              <w:rPr>
                <w:spacing w:val="-4"/>
                <w:sz w:val="20"/>
              </w:rPr>
              <w:t>100%</w:t>
            </w:r>
          </w:p>
        </w:tc>
      </w:tr>
    </w:tbl>
    <w:p>
      <w:pPr>
        <w:pStyle w:val="BodyText"/>
        <w:spacing w:before="3"/>
        <w:rPr>
          <w:sz w:val="11"/>
        </w:rPr>
      </w:pPr>
    </w:p>
    <w:p>
      <w:pPr>
        <w:pStyle w:val="ListParagraph"/>
        <w:numPr>
          <w:ilvl w:val="3"/>
          <w:numId w:val="77"/>
        </w:numPr>
        <w:tabs>
          <w:tab w:pos="1939" w:val="left" w:leader="none"/>
        </w:tabs>
        <w:spacing w:line="240" w:lineRule="auto" w:before="92" w:after="0"/>
        <w:ind w:left="1939" w:right="0" w:hanging="719"/>
        <w:jc w:val="left"/>
        <w:rPr>
          <w:b/>
          <w:i/>
          <w:color w:val="4471C4"/>
          <w:sz w:val="22"/>
        </w:rPr>
      </w:pPr>
      <w:r>
        <w:rPr/>
        <mc:AlternateContent>
          <mc:Choice Requires="wps">
            <w:drawing>
              <wp:anchor distT="0" distB="0" distL="0" distR="0" allowOverlap="1" layoutInCell="1" locked="0" behindDoc="0" simplePos="0" relativeHeight="16157184">
                <wp:simplePos x="0" y="0"/>
                <wp:positionH relativeFrom="page">
                  <wp:posOffset>920496</wp:posOffset>
                </wp:positionH>
                <wp:positionV relativeFrom="paragraph">
                  <wp:posOffset>-2356237</wp:posOffset>
                </wp:positionV>
                <wp:extent cx="939165" cy="2275840"/>
                <wp:effectExtent l="0" t="0" r="0" b="0"/>
                <wp:wrapNone/>
                <wp:docPr id="904" name="Graphic 904"/>
                <wp:cNvGraphicFramePr>
                  <a:graphicFrameLocks/>
                </wp:cNvGraphicFramePr>
                <a:graphic>
                  <a:graphicData uri="http://schemas.microsoft.com/office/word/2010/wordprocessingShape">
                    <wps:wsp>
                      <wps:cNvPr id="904" name="Graphic 904"/>
                      <wps:cNvSpPr/>
                      <wps:spPr>
                        <a:xfrm>
                          <a:off x="0" y="0"/>
                          <a:ext cx="939165" cy="2275840"/>
                        </a:xfrm>
                        <a:custGeom>
                          <a:avLst/>
                          <a:gdLst/>
                          <a:ahLst/>
                          <a:cxnLst/>
                          <a:rect l="l" t="t" r="r" b="b"/>
                          <a:pathLst>
                            <a:path w="939165" h="2275840">
                              <a:moveTo>
                                <a:pt x="938784" y="0"/>
                              </a:moveTo>
                              <a:lnTo>
                                <a:pt x="0" y="0"/>
                              </a:lnTo>
                              <a:lnTo>
                                <a:pt x="0" y="259080"/>
                              </a:lnTo>
                              <a:lnTo>
                                <a:pt x="0" y="524256"/>
                              </a:lnTo>
                              <a:lnTo>
                                <a:pt x="0" y="2275332"/>
                              </a:lnTo>
                              <a:lnTo>
                                <a:pt x="938784" y="2275332"/>
                              </a:lnTo>
                              <a:lnTo>
                                <a:pt x="938784" y="259080"/>
                              </a:lnTo>
                              <a:lnTo>
                                <a:pt x="938784" y="0"/>
                              </a:lnTo>
                              <a:close/>
                            </a:path>
                          </a:pathLst>
                        </a:custGeom>
                        <a:solidFill>
                          <a:srgbClr val="DCE6F0"/>
                        </a:solidFill>
                      </wps:spPr>
                      <wps:bodyPr wrap="square" lIns="0" tIns="0" rIns="0" bIns="0" rtlCol="0">
                        <a:prstTxWarp prst="textNoShape">
                          <a:avLst/>
                        </a:prstTxWarp>
                        <a:noAutofit/>
                      </wps:bodyPr>
                    </wps:wsp>
                  </a:graphicData>
                </a:graphic>
              </wp:anchor>
            </w:drawing>
          </mc:Choice>
          <mc:Fallback>
            <w:pict>
              <v:shape style="position:absolute;margin-left:72.480003pt;margin-top:-185.530533pt;width:73.95pt;height:179.2pt;mso-position-horizontal-relative:page;mso-position-vertical-relative:paragraph;z-index:16157184" id="docshape121" coordorigin="1450,-3711" coordsize="1479,3584" path="m2928,-3711l1450,-3711,1450,-3303,1450,-2885,1450,-127,2928,-127,2928,-3303,2928,-3711xe" filled="true" fillcolor="#dce6f0" stroked="false">
                <v:path arrowok="t"/>
                <v:fill type="solid"/>
                <w10:wrap type="none"/>
              </v:shape>
            </w:pict>
          </mc:Fallback>
        </mc:AlternateContent>
      </w:r>
      <w:bookmarkStart w:name="5.3.1.4 Calculating the Domain Score for" w:id="1388"/>
      <w:bookmarkEnd w:id="1388"/>
      <w:r>
        <w:rPr/>
      </w:r>
      <w:r>
        <w:rPr>
          <w:b/>
          <w:i/>
          <w:color w:val="4471C4"/>
          <w:sz w:val="22"/>
        </w:rPr>
        <w:t>Calculating</w:t>
      </w:r>
      <w:r>
        <w:rPr>
          <w:b/>
          <w:i/>
          <w:color w:val="4471C4"/>
          <w:spacing w:val="-4"/>
          <w:sz w:val="22"/>
        </w:rPr>
        <w:t> </w:t>
      </w:r>
      <w:r>
        <w:rPr>
          <w:b/>
          <w:i/>
          <w:color w:val="4471C4"/>
          <w:sz w:val="22"/>
        </w:rPr>
        <w:t>the</w:t>
      </w:r>
      <w:r>
        <w:rPr>
          <w:b/>
          <w:i/>
          <w:color w:val="4471C4"/>
          <w:spacing w:val="-3"/>
          <w:sz w:val="22"/>
        </w:rPr>
        <w:t> </w:t>
      </w:r>
      <w:r>
        <w:rPr>
          <w:b/>
          <w:i/>
          <w:color w:val="4471C4"/>
          <w:sz w:val="22"/>
        </w:rPr>
        <w:t>Domain</w:t>
      </w:r>
      <w:r>
        <w:rPr>
          <w:b/>
          <w:i/>
          <w:color w:val="4471C4"/>
          <w:spacing w:val="-4"/>
          <w:sz w:val="22"/>
        </w:rPr>
        <w:t> </w:t>
      </w:r>
      <w:r>
        <w:rPr>
          <w:b/>
          <w:i/>
          <w:color w:val="4471C4"/>
          <w:sz w:val="22"/>
        </w:rPr>
        <w:t>Score</w:t>
      </w:r>
      <w:r>
        <w:rPr>
          <w:b/>
          <w:i/>
          <w:color w:val="4471C4"/>
          <w:spacing w:val="-5"/>
          <w:sz w:val="22"/>
        </w:rPr>
        <w:t> </w:t>
      </w:r>
      <w:r>
        <w:rPr>
          <w:b/>
          <w:i/>
          <w:color w:val="4471C4"/>
          <w:sz w:val="22"/>
        </w:rPr>
        <w:t>for</w:t>
      </w:r>
      <w:r>
        <w:rPr>
          <w:b/>
          <w:i/>
          <w:color w:val="4471C4"/>
          <w:spacing w:val="-3"/>
          <w:sz w:val="22"/>
        </w:rPr>
        <w:t> </w:t>
      </w:r>
      <w:r>
        <w:rPr>
          <w:b/>
          <w:i/>
          <w:color w:val="4471C4"/>
          <w:sz w:val="22"/>
        </w:rPr>
        <w:t>Clinical</w:t>
      </w:r>
      <w:r>
        <w:rPr>
          <w:b/>
          <w:i/>
          <w:color w:val="4471C4"/>
          <w:spacing w:val="-2"/>
          <w:sz w:val="22"/>
        </w:rPr>
        <w:t> </w:t>
      </w:r>
      <w:r>
        <w:rPr>
          <w:b/>
          <w:i/>
          <w:color w:val="4471C4"/>
          <w:sz w:val="22"/>
        </w:rPr>
        <w:t>Quality</w:t>
      </w:r>
      <w:r>
        <w:rPr>
          <w:b/>
          <w:i/>
          <w:color w:val="4471C4"/>
          <w:spacing w:val="-5"/>
          <w:sz w:val="22"/>
        </w:rPr>
        <w:t> </w:t>
      </w:r>
      <w:r>
        <w:rPr>
          <w:b/>
          <w:i/>
          <w:color w:val="4471C4"/>
          <w:sz w:val="22"/>
        </w:rPr>
        <w:t>Measures</w:t>
      </w:r>
      <w:r>
        <w:rPr>
          <w:b/>
          <w:i/>
          <w:color w:val="4471C4"/>
          <w:spacing w:val="-5"/>
          <w:sz w:val="22"/>
        </w:rPr>
        <w:t> </w:t>
      </w:r>
      <w:r>
        <w:rPr>
          <w:b/>
          <w:i/>
          <w:color w:val="4471C4"/>
          <w:sz w:val="22"/>
        </w:rPr>
        <w:t>in</w:t>
      </w:r>
      <w:r>
        <w:rPr>
          <w:b/>
          <w:i/>
          <w:color w:val="4471C4"/>
          <w:spacing w:val="-4"/>
          <w:sz w:val="22"/>
        </w:rPr>
        <w:t> </w:t>
      </w:r>
      <w:r>
        <w:rPr>
          <w:b/>
          <w:i/>
          <w:color w:val="4471C4"/>
          <w:spacing w:val="-5"/>
          <w:sz w:val="22"/>
        </w:rPr>
        <w:t>BP3</w:t>
      </w:r>
    </w:p>
    <w:p>
      <w:pPr>
        <w:pStyle w:val="BodyText"/>
        <w:rPr>
          <w:b/>
          <w:i/>
        </w:rPr>
      </w:pPr>
    </w:p>
    <w:p>
      <w:pPr>
        <w:spacing w:line="256" w:lineRule="auto" w:before="177"/>
        <w:ind w:left="1220" w:right="1111" w:firstLine="0"/>
        <w:jc w:val="left"/>
        <w:rPr>
          <w:sz w:val="22"/>
        </w:rPr>
      </w:pPr>
      <w:r>
        <w:rPr>
          <w:sz w:val="22"/>
        </w:rPr>
        <w:t>In</w:t>
      </w:r>
      <w:r>
        <w:rPr>
          <w:spacing w:val="-2"/>
          <w:sz w:val="22"/>
        </w:rPr>
        <w:t> </w:t>
      </w:r>
      <w:r>
        <w:rPr>
          <w:sz w:val="22"/>
        </w:rPr>
        <w:t>order</w:t>
      </w:r>
      <w:r>
        <w:rPr>
          <w:spacing w:val="-1"/>
          <w:sz w:val="22"/>
        </w:rPr>
        <w:t> </w:t>
      </w:r>
      <w:r>
        <w:rPr>
          <w:sz w:val="22"/>
        </w:rPr>
        <w:t>to</w:t>
      </w:r>
      <w:r>
        <w:rPr>
          <w:spacing w:val="-2"/>
          <w:sz w:val="22"/>
        </w:rPr>
        <w:t> </w:t>
      </w:r>
      <w:r>
        <w:rPr>
          <w:sz w:val="22"/>
        </w:rPr>
        <w:t>address</w:t>
      </w:r>
      <w:r>
        <w:rPr>
          <w:spacing w:val="-4"/>
          <w:sz w:val="22"/>
        </w:rPr>
        <w:t> </w:t>
      </w:r>
      <w:r>
        <w:rPr>
          <w:sz w:val="22"/>
        </w:rPr>
        <w:t>the</w:t>
      </w:r>
      <w:r>
        <w:rPr>
          <w:spacing w:val="-4"/>
          <w:sz w:val="22"/>
        </w:rPr>
        <w:t> </w:t>
      </w:r>
      <w:r>
        <w:rPr>
          <w:sz w:val="22"/>
        </w:rPr>
        <w:t>impact</w:t>
      </w:r>
      <w:r>
        <w:rPr>
          <w:spacing w:val="-1"/>
          <w:sz w:val="22"/>
        </w:rPr>
        <w:t> </w:t>
      </w:r>
      <w:r>
        <w:rPr>
          <w:sz w:val="22"/>
        </w:rPr>
        <w:t>of</w:t>
      </w:r>
      <w:r>
        <w:rPr>
          <w:spacing w:val="-1"/>
          <w:sz w:val="22"/>
        </w:rPr>
        <w:t> </w:t>
      </w:r>
      <w:r>
        <w:rPr>
          <w:sz w:val="22"/>
        </w:rPr>
        <w:t>the</w:t>
      </w:r>
      <w:r>
        <w:rPr>
          <w:spacing w:val="-2"/>
          <w:sz w:val="22"/>
        </w:rPr>
        <w:t> </w:t>
      </w:r>
      <w:r>
        <w:rPr>
          <w:sz w:val="22"/>
        </w:rPr>
        <w:t>state</w:t>
      </w:r>
      <w:r>
        <w:rPr>
          <w:spacing w:val="-2"/>
          <w:sz w:val="22"/>
        </w:rPr>
        <w:t> </w:t>
      </w:r>
      <w:r>
        <w:rPr>
          <w:sz w:val="22"/>
        </w:rPr>
        <w:t>of</w:t>
      </w:r>
      <w:r>
        <w:rPr>
          <w:spacing w:val="-1"/>
          <w:sz w:val="22"/>
        </w:rPr>
        <w:t> </w:t>
      </w:r>
      <w:r>
        <w:rPr>
          <w:sz w:val="22"/>
        </w:rPr>
        <w:t>emergency</w:t>
      </w:r>
      <w:r>
        <w:rPr>
          <w:spacing w:val="-5"/>
          <w:sz w:val="22"/>
        </w:rPr>
        <w:t> </w:t>
      </w:r>
      <w:r>
        <w:rPr>
          <w:sz w:val="22"/>
        </w:rPr>
        <w:t>declared</w:t>
      </w:r>
      <w:r>
        <w:rPr>
          <w:spacing w:val="-2"/>
          <w:sz w:val="22"/>
        </w:rPr>
        <w:t> </w:t>
      </w:r>
      <w:r>
        <w:rPr>
          <w:sz w:val="22"/>
        </w:rPr>
        <w:t>by</w:t>
      </w:r>
      <w:r>
        <w:rPr>
          <w:spacing w:val="-5"/>
          <w:sz w:val="22"/>
        </w:rPr>
        <w:t> </w:t>
      </w:r>
      <w:r>
        <w:rPr>
          <w:sz w:val="22"/>
        </w:rPr>
        <w:t>the</w:t>
      </w:r>
      <w:r>
        <w:rPr>
          <w:spacing w:val="-4"/>
          <w:sz w:val="22"/>
        </w:rPr>
        <w:t> </w:t>
      </w:r>
      <w:r>
        <w:rPr>
          <w:sz w:val="22"/>
        </w:rPr>
        <w:t>federal</w:t>
      </w:r>
      <w:r>
        <w:rPr>
          <w:spacing w:val="-1"/>
          <w:sz w:val="22"/>
        </w:rPr>
        <w:t> </w:t>
      </w:r>
      <w:r>
        <w:rPr>
          <w:sz w:val="22"/>
        </w:rPr>
        <w:t>or</w:t>
      </w:r>
      <w:r>
        <w:rPr>
          <w:spacing w:val="-4"/>
          <w:sz w:val="22"/>
        </w:rPr>
        <w:t> </w:t>
      </w:r>
      <w:r>
        <w:rPr>
          <w:sz w:val="22"/>
        </w:rPr>
        <w:t>state</w:t>
      </w:r>
      <w:r>
        <w:rPr>
          <w:spacing w:val="-2"/>
          <w:sz w:val="22"/>
        </w:rPr>
        <w:t> </w:t>
      </w:r>
      <w:r>
        <w:rPr>
          <w:sz w:val="22"/>
        </w:rPr>
        <w:t>government</w:t>
      </w:r>
      <w:r>
        <w:rPr>
          <w:spacing w:val="-2"/>
          <w:sz w:val="22"/>
        </w:rPr>
        <w:t> </w:t>
      </w:r>
      <w:r>
        <w:rPr>
          <w:sz w:val="22"/>
        </w:rPr>
        <w:t>on ACO quality performance, domain scores for BP3 are calculated using the following methodology.</w:t>
      </w:r>
    </w:p>
    <w:p>
      <w:pPr>
        <w:spacing w:before="202"/>
        <w:ind w:left="1220" w:right="0" w:firstLine="0"/>
        <w:jc w:val="left"/>
        <w:rPr>
          <w:sz w:val="22"/>
        </w:rPr>
      </w:pPr>
      <w:bookmarkStart w:name="Achievement Points" w:id="1389"/>
      <w:bookmarkEnd w:id="1389"/>
      <w:r>
        <w:rPr/>
      </w:r>
      <w:r>
        <w:rPr>
          <w:color w:val="1F3762"/>
          <w:sz w:val="22"/>
        </w:rPr>
        <w:t>Achievement</w:t>
      </w:r>
      <w:r>
        <w:rPr>
          <w:color w:val="1F3762"/>
          <w:spacing w:val="-7"/>
          <w:sz w:val="22"/>
        </w:rPr>
        <w:t> </w:t>
      </w:r>
      <w:r>
        <w:rPr>
          <w:color w:val="1F3762"/>
          <w:spacing w:val="-2"/>
          <w:sz w:val="22"/>
        </w:rPr>
        <w:t>Points</w:t>
      </w:r>
    </w:p>
    <w:p>
      <w:pPr>
        <w:spacing w:line="259" w:lineRule="auto" w:before="1"/>
        <w:ind w:left="1219" w:right="1155" w:firstLine="0"/>
        <w:jc w:val="left"/>
        <w:rPr>
          <w:sz w:val="22"/>
        </w:rPr>
      </w:pPr>
      <w:r>
        <w:rPr>
          <w:sz w:val="22"/>
        </w:rPr>
        <w:t>For</w:t>
      </w:r>
      <w:r>
        <w:rPr>
          <w:spacing w:val="-1"/>
          <w:sz w:val="22"/>
        </w:rPr>
        <w:t> </w:t>
      </w:r>
      <w:r>
        <w:rPr>
          <w:sz w:val="22"/>
        </w:rPr>
        <w:t>each</w:t>
      </w:r>
      <w:r>
        <w:rPr>
          <w:spacing w:val="-2"/>
          <w:sz w:val="22"/>
        </w:rPr>
        <w:t> </w:t>
      </w:r>
      <w:r>
        <w:rPr>
          <w:sz w:val="22"/>
        </w:rPr>
        <w:t>measure</w:t>
      </w:r>
      <w:r>
        <w:rPr>
          <w:spacing w:val="-4"/>
          <w:sz w:val="22"/>
        </w:rPr>
        <w:t> </w:t>
      </w:r>
      <w:r>
        <w:rPr>
          <w:sz w:val="22"/>
        </w:rPr>
        <w:t>in</w:t>
      </w:r>
      <w:r>
        <w:rPr>
          <w:spacing w:val="-5"/>
          <w:sz w:val="22"/>
        </w:rPr>
        <w:t> </w:t>
      </w:r>
      <w:r>
        <w:rPr>
          <w:sz w:val="22"/>
        </w:rPr>
        <w:t>pay-for-performance</w:t>
      </w:r>
      <w:r>
        <w:rPr>
          <w:spacing w:val="-2"/>
          <w:sz w:val="22"/>
        </w:rPr>
        <w:t> </w:t>
      </w:r>
      <w:r>
        <w:rPr>
          <w:sz w:val="22"/>
        </w:rPr>
        <w:t>status</w:t>
      </w:r>
      <w:r>
        <w:rPr>
          <w:spacing w:val="-4"/>
          <w:sz w:val="22"/>
        </w:rPr>
        <w:t> </w:t>
      </w:r>
      <w:r>
        <w:rPr>
          <w:sz w:val="22"/>
        </w:rPr>
        <w:t>in</w:t>
      </w:r>
      <w:r>
        <w:rPr>
          <w:spacing w:val="-2"/>
          <w:sz w:val="22"/>
        </w:rPr>
        <w:t> </w:t>
      </w:r>
      <w:r>
        <w:rPr>
          <w:sz w:val="22"/>
        </w:rPr>
        <w:t>BP3</w:t>
      </w:r>
      <w:r>
        <w:rPr>
          <w:spacing w:val="-2"/>
          <w:sz w:val="22"/>
        </w:rPr>
        <w:t> </w:t>
      </w:r>
      <w:r>
        <w:rPr>
          <w:sz w:val="22"/>
        </w:rPr>
        <w:t>(as</w:t>
      </w:r>
      <w:r>
        <w:rPr>
          <w:spacing w:val="-4"/>
          <w:sz w:val="22"/>
        </w:rPr>
        <w:t> </w:t>
      </w:r>
      <w:r>
        <w:rPr>
          <w:sz w:val="22"/>
        </w:rPr>
        <w:t>set</w:t>
      </w:r>
      <w:r>
        <w:rPr>
          <w:spacing w:val="-1"/>
          <w:sz w:val="22"/>
        </w:rPr>
        <w:t> </w:t>
      </w:r>
      <w:r>
        <w:rPr>
          <w:sz w:val="22"/>
        </w:rPr>
        <w:t>forth</w:t>
      </w:r>
      <w:r>
        <w:rPr>
          <w:spacing w:val="-5"/>
          <w:sz w:val="22"/>
        </w:rPr>
        <w:t> </w:t>
      </w:r>
      <w:r>
        <w:rPr>
          <w:sz w:val="22"/>
        </w:rPr>
        <w:t>in</w:t>
      </w:r>
      <w:r>
        <w:rPr>
          <w:spacing w:val="-2"/>
          <w:sz w:val="22"/>
        </w:rPr>
        <w:t> </w:t>
      </w:r>
      <w:r>
        <w:rPr>
          <w:sz w:val="22"/>
        </w:rPr>
        <w:t>Appendix</w:t>
      </w:r>
      <w:r>
        <w:rPr>
          <w:spacing w:val="-5"/>
          <w:sz w:val="22"/>
        </w:rPr>
        <w:t> </w:t>
      </w:r>
      <w:r>
        <w:rPr>
          <w:sz w:val="22"/>
        </w:rPr>
        <w:t>D),</w:t>
      </w:r>
      <w:r>
        <w:rPr>
          <w:spacing w:val="-2"/>
          <w:sz w:val="22"/>
        </w:rPr>
        <w:t> </w:t>
      </w:r>
      <w:r>
        <w:rPr>
          <w:sz w:val="22"/>
        </w:rPr>
        <w:t>the</w:t>
      </w:r>
      <w:r>
        <w:rPr>
          <w:spacing w:val="-4"/>
          <w:sz w:val="22"/>
        </w:rPr>
        <w:t> </w:t>
      </w:r>
      <w:r>
        <w:rPr>
          <w:sz w:val="22"/>
        </w:rPr>
        <w:t>State</w:t>
      </w:r>
      <w:r>
        <w:rPr>
          <w:spacing w:val="-2"/>
          <w:sz w:val="22"/>
        </w:rPr>
        <w:t> </w:t>
      </w:r>
      <w:r>
        <w:rPr>
          <w:sz w:val="22"/>
        </w:rPr>
        <w:t>will</w:t>
      </w:r>
      <w:r>
        <w:rPr>
          <w:spacing w:val="-1"/>
          <w:sz w:val="22"/>
        </w:rPr>
        <w:t> </w:t>
      </w:r>
      <w:r>
        <w:rPr>
          <w:sz w:val="22"/>
        </w:rPr>
        <w:t>decide whether to set the individual ACOs’ BP3 measure performance rates to 1) the higher of the ACOs’ BP3 or BP2 actual measure rates, or 2) the higher</w:t>
      </w:r>
      <w:r>
        <w:rPr>
          <w:spacing w:val="-2"/>
          <w:sz w:val="22"/>
        </w:rPr>
        <w:t> </w:t>
      </w:r>
      <w:r>
        <w:rPr>
          <w:sz w:val="22"/>
        </w:rPr>
        <w:t>of</w:t>
      </w:r>
      <w:r>
        <w:rPr>
          <w:spacing w:val="-2"/>
          <w:sz w:val="22"/>
        </w:rPr>
        <w:t> </w:t>
      </w:r>
      <w:r>
        <w:rPr>
          <w:sz w:val="22"/>
        </w:rPr>
        <w:t>the ACO’s BP2 actual rates or the</w:t>
      </w:r>
      <w:r>
        <w:rPr>
          <w:spacing w:val="-2"/>
          <w:sz w:val="22"/>
        </w:rPr>
        <w:t> </w:t>
      </w:r>
      <w:r>
        <w:rPr>
          <w:sz w:val="22"/>
        </w:rPr>
        <w:t>statewide median</w:t>
      </w:r>
      <w:r>
        <w:rPr>
          <w:spacing w:val="-3"/>
          <w:sz w:val="22"/>
        </w:rPr>
        <w:t> </w:t>
      </w:r>
      <w:r>
        <w:rPr>
          <w:sz w:val="22"/>
        </w:rPr>
        <w:t>rates (i.e., measure level median performance among all ACOs) in BP2.</w:t>
      </w:r>
    </w:p>
    <w:p>
      <w:pPr>
        <w:spacing w:line="259" w:lineRule="auto" w:before="160"/>
        <w:ind w:left="1219" w:right="1111" w:firstLine="0"/>
        <w:jc w:val="left"/>
        <w:rPr>
          <w:sz w:val="22"/>
        </w:rPr>
      </w:pPr>
      <w:r>
        <w:rPr>
          <w:sz w:val="22"/>
        </w:rPr>
        <w:t>If the State determines BP3 measure performance rates by comparing the individual ACOs’ BP2 actual rates</w:t>
      </w:r>
      <w:r>
        <w:rPr>
          <w:spacing w:val="-3"/>
          <w:sz w:val="22"/>
        </w:rPr>
        <w:t> </w:t>
      </w:r>
      <w:r>
        <w:rPr>
          <w:sz w:val="22"/>
        </w:rPr>
        <w:t>to</w:t>
      </w:r>
      <w:r>
        <w:rPr>
          <w:spacing w:val="-1"/>
          <w:sz w:val="22"/>
        </w:rPr>
        <w:t> </w:t>
      </w:r>
      <w:r>
        <w:rPr>
          <w:sz w:val="22"/>
        </w:rPr>
        <w:t>BP3</w:t>
      </w:r>
      <w:r>
        <w:rPr>
          <w:spacing w:val="-1"/>
          <w:sz w:val="22"/>
        </w:rPr>
        <w:t> </w:t>
      </w:r>
      <w:r>
        <w:rPr>
          <w:sz w:val="22"/>
        </w:rPr>
        <w:t>actual</w:t>
      </w:r>
      <w:r>
        <w:rPr>
          <w:spacing w:val="-3"/>
          <w:sz w:val="22"/>
        </w:rPr>
        <w:t> </w:t>
      </w:r>
      <w:r>
        <w:rPr>
          <w:sz w:val="22"/>
        </w:rPr>
        <w:t>rates,</w:t>
      </w:r>
      <w:r>
        <w:rPr>
          <w:spacing w:val="-4"/>
          <w:sz w:val="22"/>
        </w:rPr>
        <w:t> </w:t>
      </w:r>
      <w:r>
        <w:rPr>
          <w:sz w:val="22"/>
        </w:rPr>
        <w:t>then</w:t>
      </w:r>
      <w:r>
        <w:rPr>
          <w:spacing w:val="-1"/>
          <w:sz w:val="22"/>
        </w:rPr>
        <w:t> </w:t>
      </w:r>
      <w:r>
        <w:rPr>
          <w:sz w:val="22"/>
        </w:rPr>
        <w:t>ACOs</w:t>
      </w:r>
      <w:r>
        <w:rPr>
          <w:spacing w:val="-1"/>
          <w:sz w:val="22"/>
        </w:rPr>
        <w:t> </w:t>
      </w:r>
      <w:r>
        <w:rPr>
          <w:sz w:val="22"/>
        </w:rPr>
        <w:t>earn</w:t>
      </w:r>
      <w:r>
        <w:rPr>
          <w:spacing w:val="-1"/>
          <w:sz w:val="22"/>
        </w:rPr>
        <w:t> </w:t>
      </w:r>
      <w:r>
        <w:rPr>
          <w:sz w:val="22"/>
        </w:rPr>
        <w:t>achievement</w:t>
      </w:r>
      <w:r>
        <w:rPr>
          <w:spacing w:val="-3"/>
          <w:sz w:val="22"/>
        </w:rPr>
        <w:t> </w:t>
      </w:r>
      <w:r>
        <w:rPr>
          <w:sz w:val="22"/>
        </w:rPr>
        <w:t>points</w:t>
      </w:r>
      <w:r>
        <w:rPr>
          <w:spacing w:val="-3"/>
          <w:sz w:val="22"/>
        </w:rPr>
        <w:t> </w:t>
      </w:r>
      <w:r>
        <w:rPr>
          <w:sz w:val="22"/>
        </w:rPr>
        <w:t>following</w:t>
      </w:r>
      <w:r>
        <w:rPr>
          <w:spacing w:val="-4"/>
          <w:sz w:val="22"/>
        </w:rPr>
        <w:t> </w:t>
      </w:r>
      <w:r>
        <w:rPr>
          <w:sz w:val="22"/>
        </w:rPr>
        <w:t>the</w:t>
      </w:r>
      <w:r>
        <w:rPr>
          <w:spacing w:val="-1"/>
          <w:sz w:val="22"/>
        </w:rPr>
        <w:t> </w:t>
      </w:r>
      <w:r>
        <w:rPr>
          <w:sz w:val="22"/>
        </w:rPr>
        <w:t>scoring</w:t>
      </w:r>
      <w:r>
        <w:rPr>
          <w:spacing w:val="-4"/>
          <w:sz w:val="22"/>
        </w:rPr>
        <w:t> </w:t>
      </w:r>
      <w:r>
        <w:rPr>
          <w:sz w:val="22"/>
        </w:rPr>
        <w:t>approach</w:t>
      </w:r>
      <w:r>
        <w:rPr>
          <w:spacing w:val="-4"/>
          <w:sz w:val="22"/>
        </w:rPr>
        <w:t> </w:t>
      </w:r>
      <w:r>
        <w:rPr>
          <w:sz w:val="22"/>
        </w:rPr>
        <w:t>set forth</w:t>
      </w:r>
      <w:r>
        <w:rPr>
          <w:spacing w:val="-4"/>
          <w:sz w:val="22"/>
        </w:rPr>
        <w:t> </w:t>
      </w:r>
      <w:r>
        <w:rPr>
          <w:sz w:val="22"/>
        </w:rPr>
        <w:t>in Section</w:t>
      </w:r>
      <w:r>
        <w:rPr>
          <w:spacing w:val="-3"/>
          <w:sz w:val="22"/>
        </w:rPr>
        <w:t> </w:t>
      </w:r>
      <w:r>
        <w:rPr>
          <w:sz w:val="22"/>
        </w:rPr>
        <w:t>5.3.1.3.</w:t>
      </w:r>
      <w:r>
        <w:rPr>
          <w:spacing w:val="40"/>
          <w:sz w:val="22"/>
        </w:rPr>
        <w:t> </w:t>
      </w:r>
      <w:r>
        <w:rPr>
          <w:sz w:val="22"/>
        </w:rPr>
        <w:t>If</w:t>
      </w:r>
      <w:r>
        <w:rPr>
          <w:spacing w:val="-2"/>
          <w:sz w:val="22"/>
        </w:rPr>
        <w:t> </w:t>
      </w:r>
      <w:r>
        <w:rPr>
          <w:sz w:val="22"/>
        </w:rPr>
        <w:t>the</w:t>
      </w:r>
      <w:r>
        <w:rPr>
          <w:spacing w:val="-3"/>
          <w:sz w:val="22"/>
        </w:rPr>
        <w:t> </w:t>
      </w:r>
      <w:r>
        <w:rPr>
          <w:sz w:val="22"/>
        </w:rPr>
        <w:t>State</w:t>
      </w:r>
      <w:r>
        <w:rPr>
          <w:spacing w:val="-5"/>
          <w:sz w:val="22"/>
        </w:rPr>
        <w:t> </w:t>
      </w:r>
      <w:r>
        <w:rPr>
          <w:sz w:val="22"/>
        </w:rPr>
        <w:t>determines</w:t>
      </w:r>
      <w:r>
        <w:rPr>
          <w:spacing w:val="-3"/>
          <w:sz w:val="22"/>
        </w:rPr>
        <w:t> </w:t>
      </w:r>
      <w:r>
        <w:rPr>
          <w:sz w:val="22"/>
        </w:rPr>
        <w:t>BP3</w:t>
      </w:r>
      <w:r>
        <w:rPr>
          <w:spacing w:val="-3"/>
          <w:sz w:val="22"/>
        </w:rPr>
        <w:t> </w:t>
      </w:r>
      <w:r>
        <w:rPr>
          <w:sz w:val="22"/>
        </w:rPr>
        <w:t>measure</w:t>
      </w:r>
      <w:r>
        <w:rPr>
          <w:spacing w:val="-3"/>
          <w:sz w:val="22"/>
        </w:rPr>
        <w:t> </w:t>
      </w:r>
      <w:r>
        <w:rPr>
          <w:sz w:val="22"/>
        </w:rPr>
        <w:t>performance</w:t>
      </w:r>
      <w:r>
        <w:rPr>
          <w:spacing w:val="-3"/>
          <w:sz w:val="22"/>
        </w:rPr>
        <w:t> </w:t>
      </w:r>
      <w:r>
        <w:rPr>
          <w:sz w:val="22"/>
        </w:rPr>
        <w:t>rates</w:t>
      </w:r>
      <w:r>
        <w:rPr>
          <w:spacing w:val="-3"/>
          <w:sz w:val="22"/>
        </w:rPr>
        <w:t> </w:t>
      </w:r>
      <w:r>
        <w:rPr>
          <w:sz w:val="22"/>
        </w:rPr>
        <w:t>by</w:t>
      </w:r>
      <w:r>
        <w:rPr>
          <w:spacing w:val="-6"/>
          <w:sz w:val="22"/>
        </w:rPr>
        <w:t> </w:t>
      </w:r>
      <w:r>
        <w:rPr>
          <w:sz w:val="22"/>
        </w:rPr>
        <w:t>comparing</w:t>
      </w:r>
      <w:r>
        <w:rPr>
          <w:spacing w:val="-6"/>
          <w:sz w:val="22"/>
        </w:rPr>
        <w:t> </w:t>
      </w:r>
      <w:r>
        <w:rPr>
          <w:sz w:val="22"/>
        </w:rPr>
        <w:t>individual</w:t>
      </w:r>
      <w:r>
        <w:rPr>
          <w:spacing w:val="-2"/>
          <w:sz w:val="22"/>
        </w:rPr>
        <w:t> </w:t>
      </w:r>
      <w:r>
        <w:rPr>
          <w:sz w:val="22"/>
        </w:rPr>
        <w:t>ACOs’ BP2 actual rates to the BP2 statewide median rates, then:</w:t>
      </w:r>
    </w:p>
    <w:p>
      <w:pPr>
        <w:pStyle w:val="ListParagraph"/>
        <w:numPr>
          <w:ilvl w:val="4"/>
          <w:numId w:val="77"/>
        </w:numPr>
        <w:tabs>
          <w:tab w:pos="1937" w:val="left" w:leader="none"/>
          <w:tab w:pos="1939" w:val="left" w:leader="none"/>
        </w:tabs>
        <w:spacing w:line="259" w:lineRule="auto" w:before="156" w:after="0"/>
        <w:ind w:left="1939" w:right="1216" w:hanging="361"/>
        <w:jc w:val="both"/>
        <w:rPr>
          <w:sz w:val="22"/>
        </w:rPr>
      </w:pPr>
      <w:r>
        <w:rPr>
          <w:sz w:val="22"/>
        </w:rPr>
        <w:t>For</w:t>
      </w:r>
      <w:r>
        <w:rPr>
          <w:spacing w:val="-1"/>
          <w:sz w:val="22"/>
        </w:rPr>
        <w:t> </w:t>
      </w:r>
      <w:r>
        <w:rPr>
          <w:sz w:val="22"/>
        </w:rPr>
        <w:t>measures</w:t>
      </w:r>
      <w:r>
        <w:rPr>
          <w:spacing w:val="-2"/>
          <w:sz w:val="22"/>
        </w:rPr>
        <w:t> </w:t>
      </w:r>
      <w:r>
        <w:rPr>
          <w:sz w:val="22"/>
        </w:rPr>
        <w:t>where</w:t>
      </w:r>
      <w:r>
        <w:rPr>
          <w:spacing w:val="-2"/>
          <w:sz w:val="22"/>
        </w:rPr>
        <w:t> </w:t>
      </w:r>
      <w:r>
        <w:rPr>
          <w:sz w:val="22"/>
        </w:rPr>
        <w:t>an</w:t>
      </w:r>
      <w:r>
        <w:rPr>
          <w:spacing w:val="-2"/>
          <w:sz w:val="22"/>
        </w:rPr>
        <w:t> </w:t>
      </w:r>
      <w:r>
        <w:rPr>
          <w:sz w:val="22"/>
        </w:rPr>
        <w:t>ACO</w:t>
      </w:r>
      <w:r>
        <w:rPr>
          <w:spacing w:val="-3"/>
          <w:sz w:val="22"/>
        </w:rPr>
        <w:t> </w:t>
      </w:r>
      <w:r>
        <w:rPr>
          <w:sz w:val="22"/>
        </w:rPr>
        <w:t>demonstrates</w:t>
      </w:r>
      <w:r>
        <w:rPr>
          <w:spacing w:val="-4"/>
          <w:sz w:val="22"/>
        </w:rPr>
        <w:t> </w:t>
      </w:r>
      <w:r>
        <w:rPr>
          <w:sz w:val="22"/>
        </w:rPr>
        <w:t>a</w:t>
      </w:r>
      <w:r>
        <w:rPr>
          <w:spacing w:val="-2"/>
          <w:sz w:val="22"/>
        </w:rPr>
        <w:t> </w:t>
      </w:r>
      <w:r>
        <w:rPr>
          <w:sz w:val="22"/>
        </w:rPr>
        <w:t>higher</w:t>
      </w:r>
      <w:r>
        <w:rPr>
          <w:spacing w:val="-4"/>
          <w:sz w:val="22"/>
        </w:rPr>
        <w:t> </w:t>
      </w:r>
      <w:r>
        <w:rPr>
          <w:sz w:val="22"/>
        </w:rPr>
        <w:t>BP2</w:t>
      </w:r>
      <w:r>
        <w:rPr>
          <w:spacing w:val="-2"/>
          <w:sz w:val="22"/>
        </w:rPr>
        <w:t> </w:t>
      </w:r>
      <w:r>
        <w:rPr>
          <w:sz w:val="22"/>
        </w:rPr>
        <w:t>rate</w:t>
      </w:r>
      <w:r>
        <w:rPr>
          <w:spacing w:val="-2"/>
          <w:sz w:val="22"/>
        </w:rPr>
        <w:t> </w:t>
      </w:r>
      <w:r>
        <w:rPr>
          <w:sz w:val="22"/>
        </w:rPr>
        <w:t>than</w:t>
      </w:r>
      <w:r>
        <w:rPr>
          <w:spacing w:val="-5"/>
          <w:sz w:val="22"/>
        </w:rPr>
        <w:t> </w:t>
      </w:r>
      <w:r>
        <w:rPr>
          <w:sz w:val="22"/>
        </w:rPr>
        <w:t>the</w:t>
      </w:r>
      <w:r>
        <w:rPr>
          <w:spacing w:val="-2"/>
          <w:sz w:val="22"/>
        </w:rPr>
        <w:t> </w:t>
      </w:r>
      <w:r>
        <w:rPr>
          <w:sz w:val="22"/>
        </w:rPr>
        <w:t>BP2</w:t>
      </w:r>
      <w:r>
        <w:rPr>
          <w:spacing w:val="-5"/>
          <w:sz w:val="22"/>
        </w:rPr>
        <w:t> </w:t>
      </w:r>
      <w:r>
        <w:rPr>
          <w:sz w:val="22"/>
        </w:rPr>
        <w:t>statewide</w:t>
      </w:r>
      <w:r>
        <w:rPr>
          <w:spacing w:val="-2"/>
          <w:sz w:val="22"/>
        </w:rPr>
        <w:t> </w:t>
      </w:r>
      <w:r>
        <w:rPr>
          <w:sz w:val="22"/>
        </w:rPr>
        <w:t>median,</w:t>
      </w:r>
      <w:r>
        <w:rPr>
          <w:spacing w:val="-5"/>
          <w:sz w:val="22"/>
        </w:rPr>
        <w:t> </w:t>
      </w:r>
      <w:r>
        <w:rPr>
          <w:sz w:val="22"/>
        </w:rPr>
        <w:t>the ACO</w:t>
      </w:r>
      <w:r>
        <w:rPr>
          <w:spacing w:val="-2"/>
          <w:sz w:val="22"/>
        </w:rPr>
        <w:t> </w:t>
      </w:r>
      <w:r>
        <w:rPr>
          <w:sz w:val="22"/>
        </w:rPr>
        <w:t>earns</w:t>
      </w:r>
      <w:r>
        <w:rPr>
          <w:spacing w:val="-3"/>
          <w:sz w:val="22"/>
        </w:rPr>
        <w:t> </w:t>
      </w:r>
      <w:r>
        <w:rPr>
          <w:sz w:val="22"/>
        </w:rPr>
        <w:t>achievement points</w:t>
      </w:r>
      <w:r>
        <w:rPr>
          <w:spacing w:val="-1"/>
          <w:sz w:val="22"/>
        </w:rPr>
        <w:t> </w:t>
      </w:r>
      <w:r>
        <w:rPr>
          <w:sz w:val="22"/>
        </w:rPr>
        <w:t>based</w:t>
      </w:r>
      <w:r>
        <w:rPr>
          <w:spacing w:val="-1"/>
          <w:sz w:val="22"/>
        </w:rPr>
        <w:t> </w:t>
      </w:r>
      <w:r>
        <w:rPr>
          <w:sz w:val="22"/>
        </w:rPr>
        <w:t>on</w:t>
      </w:r>
      <w:r>
        <w:rPr>
          <w:spacing w:val="-4"/>
          <w:sz w:val="22"/>
        </w:rPr>
        <w:t> </w:t>
      </w:r>
      <w:r>
        <w:rPr>
          <w:sz w:val="22"/>
        </w:rPr>
        <w:t>its</w:t>
      </w:r>
      <w:r>
        <w:rPr>
          <w:spacing w:val="-1"/>
          <w:sz w:val="22"/>
        </w:rPr>
        <w:t> </w:t>
      </w:r>
      <w:r>
        <w:rPr>
          <w:sz w:val="22"/>
        </w:rPr>
        <w:t>own</w:t>
      </w:r>
      <w:r>
        <w:rPr>
          <w:spacing w:val="-4"/>
          <w:sz w:val="22"/>
        </w:rPr>
        <w:t> </w:t>
      </w:r>
      <w:r>
        <w:rPr>
          <w:sz w:val="22"/>
        </w:rPr>
        <w:t>rate,</w:t>
      </w:r>
      <w:r>
        <w:rPr>
          <w:spacing w:val="-1"/>
          <w:sz w:val="22"/>
        </w:rPr>
        <w:t> </w:t>
      </w:r>
      <w:r>
        <w:rPr>
          <w:sz w:val="22"/>
        </w:rPr>
        <w:t>following</w:t>
      </w:r>
      <w:r>
        <w:rPr>
          <w:spacing w:val="-4"/>
          <w:sz w:val="22"/>
        </w:rPr>
        <w:t> </w:t>
      </w:r>
      <w:r>
        <w:rPr>
          <w:sz w:val="22"/>
        </w:rPr>
        <w:t>the</w:t>
      </w:r>
      <w:r>
        <w:rPr>
          <w:spacing w:val="-3"/>
          <w:sz w:val="22"/>
        </w:rPr>
        <w:t> </w:t>
      </w:r>
      <w:r>
        <w:rPr>
          <w:sz w:val="22"/>
        </w:rPr>
        <w:t>scoring</w:t>
      </w:r>
      <w:r>
        <w:rPr>
          <w:spacing w:val="-4"/>
          <w:sz w:val="22"/>
        </w:rPr>
        <w:t> </w:t>
      </w:r>
      <w:r>
        <w:rPr>
          <w:sz w:val="22"/>
        </w:rPr>
        <w:t>approach</w:t>
      </w:r>
      <w:r>
        <w:rPr>
          <w:spacing w:val="-1"/>
          <w:sz w:val="22"/>
        </w:rPr>
        <w:t> </w:t>
      </w:r>
      <w:r>
        <w:rPr>
          <w:sz w:val="22"/>
        </w:rPr>
        <w:t>set</w:t>
      </w:r>
      <w:r>
        <w:rPr>
          <w:spacing w:val="-3"/>
          <w:sz w:val="22"/>
        </w:rPr>
        <w:t> </w:t>
      </w:r>
      <w:r>
        <w:rPr>
          <w:sz w:val="22"/>
        </w:rPr>
        <w:t>forth</w:t>
      </w:r>
      <w:r>
        <w:rPr>
          <w:spacing w:val="-4"/>
          <w:sz w:val="22"/>
        </w:rPr>
        <w:t> </w:t>
      </w:r>
      <w:r>
        <w:rPr>
          <w:sz w:val="22"/>
        </w:rPr>
        <w:t>in Section 5.3.1.3</w:t>
      </w:r>
    </w:p>
    <w:p>
      <w:pPr>
        <w:pStyle w:val="ListParagraph"/>
        <w:numPr>
          <w:ilvl w:val="4"/>
          <w:numId w:val="77"/>
        </w:numPr>
        <w:tabs>
          <w:tab w:pos="1939" w:val="left" w:leader="none"/>
        </w:tabs>
        <w:spacing w:line="259" w:lineRule="auto" w:before="0" w:after="0"/>
        <w:ind w:left="1939" w:right="1374" w:hanging="360"/>
        <w:jc w:val="left"/>
        <w:rPr>
          <w:sz w:val="22"/>
        </w:rPr>
      </w:pPr>
      <w:r>
        <w:rPr>
          <w:sz w:val="22"/>
        </w:rPr>
        <w:t>For</w:t>
      </w:r>
      <w:r>
        <w:rPr>
          <w:spacing w:val="-1"/>
          <w:sz w:val="22"/>
        </w:rPr>
        <w:t> </w:t>
      </w:r>
      <w:r>
        <w:rPr>
          <w:sz w:val="22"/>
        </w:rPr>
        <w:t>measures</w:t>
      </w:r>
      <w:r>
        <w:rPr>
          <w:spacing w:val="-2"/>
          <w:sz w:val="22"/>
        </w:rPr>
        <w:t> </w:t>
      </w:r>
      <w:r>
        <w:rPr>
          <w:sz w:val="22"/>
        </w:rPr>
        <w:t>where</w:t>
      </w:r>
      <w:r>
        <w:rPr>
          <w:spacing w:val="-2"/>
          <w:sz w:val="22"/>
        </w:rPr>
        <w:t> </w:t>
      </w:r>
      <w:r>
        <w:rPr>
          <w:sz w:val="22"/>
        </w:rPr>
        <w:t>the</w:t>
      </w:r>
      <w:r>
        <w:rPr>
          <w:spacing w:val="-2"/>
          <w:sz w:val="22"/>
        </w:rPr>
        <w:t> </w:t>
      </w:r>
      <w:r>
        <w:rPr>
          <w:sz w:val="22"/>
        </w:rPr>
        <w:t>statewide</w:t>
      </w:r>
      <w:r>
        <w:rPr>
          <w:spacing w:val="-2"/>
          <w:sz w:val="22"/>
        </w:rPr>
        <w:t> </w:t>
      </w:r>
      <w:r>
        <w:rPr>
          <w:sz w:val="22"/>
        </w:rPr>
        <w:t>median</w:t>
      </w:r>
      <w:r>
        <w:rPr>
          <w:spacing w:val="-5"/>
          <w:sz w:val="22"/>
        </w:rPr>
        <w:t> </w:t>
      </w:r>
      <w:r>
        <w:rPr>
          <w:sz w:val="22"/>
        </w:rPr>
        <w:t>demonstrates</w:t>
      </w:r>
      <w:r>
        <w:rPr>
          <w:spacing w:val="-4"/>
          <w:sz w:val="22"/>
        </w:rPr>
        <w:t> </w:t>
      </w:r>
      <w:r>
        <w:rPr>
          <w:sz w:val="22"/>
        </w:rPr>
        <w:t>a</w:t>
      </w:r>
      <w:r>
        <w:rPr>
          <w:spacing w:val="-2"/>
          <w:sz w:val="22"/>
        </w:rPr>
        <w:t> </w:t>
      </w:r>
      <w:r>
        <w:rPr>
          <w:sz w:val="22"/>
        </w:rPr>
        <w:t>higher</w:t>
      </w:r>
      <w:r>
        <w:rPr>
          <w:spacing w:val="-4"/>
          <w:sz w:val="22"/>
        </w:rPr>
        <w:t> </w:t>
      </w:r>
      <w:r>
        <w:rPr>
          <w:sz w:val="22"/>
        </w:rPr>
        <w:t>rate</w:t>
      </w:r>
      <w:r>
        <w:rPr>
          <w:spacing w:val="-4"/>
          <w:sz w:val="22"/>
        </w:rPr>
        <w:t> </w:t>
      </w:r>
      <w:r>
        <w:rPr>
          <w:sz w:val="22"/>
        </w:rPr>
        <w:t>than</w:t>
      </w:r>
      <w:r>
        <w:rPr>
          <w:spacing w:val="-5"/>
          <w:sz w:val="22"/>
        </w:rPr>
        <w:t> </w:t>
      </w:r>
      <w:r>
        <w:rPr>
          <w:sz w:val="22"/>
        </w:rPr>
        <w:t>the</w:t>
      </w:r>
      <w:r>
        <w:rPr>
          <w:spacing w:val="-2"/>
          <w:sz w:val="22"/>
        </w:rPr>
        <w:t> </w:t>
      </w:r>
      <w:r>
        <w:rPr>
          <w:sz w:val="22"/>
        </w:rPr>
        <w:t>ACO’s</w:t>
      </w:r>
      <w:r>
        <w:rPr>
          <w:spacing w:val="-2"/>
          <w:sz w:val="22"/>
        </w:rPr>
        <w:t> </w:t>
      </w:r>
      <w:r>
        <w:rPr>
          <w:sz w:val="22"/>
        </w:rPr>
        <w:t>own</w:t>
      </w:r>
      <w:r>
        <w:rPr>
          <w:spacing w:val="-5"/>
          <w:sz w:val="22"/>
        </w:rPr>
        <w:t> </w:t>
      </w:r>
      <w:r>
        <w:rPr>
          <w:sz w:val="22"/>
        </w:rPr>
        <w:t>rate, the ACO earns achievement points based on the statewide median, following the scoring approach set forth in Section 5.3.1.3</w:t>
      </w:r>
    </w:p>
    <w:p>
      <w:pPr>
        <w:pStyle w:val="ListParagraph"/>
        <w:numPr>
          <w:ilvl w:val="4"/>
          <w:numId w:val="77"/>
        </w:numPr>
        <w:tabs>
          <w:tab w:pos="1939" w:val="left" w:leader="none"/>
        </w:tabs>
        <w:spacing w:line="276" w:lineRule="auto" w:before="0" w:after="0"/>
        <w:ind w:left="1939" w:right="1221" w:hanging="360"/>
        <w:jc w:val="left"/>
        <w:rPr>
          <w:sz w:val="22"/>
        </w:rPr>
      </w:pPr>
      <w:r>
        <w:rPr>
          <w:sz w:val="22"/>
        </w:rPr>
        <w:t>In order to prevent such cases where an ACO’s measure performance rate would improve excessively through the use of the statewide median, the number of raw (i.e., percentage) points an</w:t>
      </w:r>
      <w:r>
        <w:rPr>
          <w:spacing w:val="-1"/>
          <w:sz w:val="22"/>
        </w:rPr>
        <w:t> </w:t>
      </w:r>
      <w:r>
        <w:rPr>
          <w:sz w:val="22"/>
        </w:rPr>
        <w:t>ACO</w:t>
      </w:r>
      <w:r>
        <w:rPr>
          <w:spacing w:val="-2"/>
          <w:sz w:val="22"/>
        </w:rPr>
        <w:t> </w:t>
      </w:r>
      <w:r>
        <w:rPr>
          <w:sz w:val="22"/>
        </w:rPr>
        <w:t>may</w:t>
      </w:r>
      <w:r>
        <w:rPr>
          <w:spacing w:val="-4"/>
          <w:sz w:val="22"/>
        </w:rPr>
        <w:t> </w:t>
      </w:r>
      <w:r>
        <w:rPr>
          <w:sz w:val="22"/>
        </w:rPr>
        <w:t>earn</w:t>
      </w:r>
      <w:r>
        <w:rPr>
          <w:spacing w:val="-1"/>
          <w:sz w:val="22"/>
        </w:rPr>
        <w:t> </w:t>
      </w:r>
      <w:r>
        <w:rPr>
          <w:sz w:val="22"/>
        </w:rPr>
        <w:t>when</w:t>
      </w:r>
      <w:r>
        <w:rPr>
          <w:spacing w:val="-4"/>
          <w:sz w:val="22"/>
        </w:rPr>
        <w:t> </w:t>
      </w:r>
      <w:r>
        <w:rPr>
          <w:sz w:val="22"/>
        </w:rPr>
        <w:t>replacing</w:t>
      </w:r>
      <w:r>
        <w:rPr>
          <w:spacing w:val="-4"/>
          <w:sz w:val="22"/>
        </w:rPr>
        <w:t> </w:t>
      </w:r>
      <w:r>
        <w:rPr>
          <w:sz w:val="22"/>
        </w:rPr>
        <w:t>an</w:t>
      </w:r>
      <w:r>
        <w:rPr>
          <w:spacing w:val="-1"/>
          <w:sz w:val="22"/>
        </w:rPr>
        <w:t> </w:t>
      </w:r>
      <w:r>
        <w:rPr>
          <w:sz w:val="22"/>
        </w:rPr>
        <w:t>ACO</w:t>
      </w:r>
      <w:r>
        <w:rPr>
          <w:spacing w:val="-2"/>
          <w:sz w:val="22"/>
        </w:rPr>
        <w:t> </w:t>
      </w:r>
      <w:r>
        <w:rPr>
          <w:sz w:val="22"/>
        </w:rPr>
        <w:t>actual</w:t>
      </w:r>
      <w:r>
        <w:rPr>
          <w:spacing w:val="-3"/>
          <w:sz w:val="22"/>
        </w:rPr>
        <w:t> </w:t>
      </w:r>
      <w:r>
        <w:rPr>
          <w:sz w:val="22"/>
        </w:rPr>
        <w:t>measure</w:t>
      </w:r>
      <w:r>
        <w:rPr>
          <w:spacing w:val="-3"/>
          <w:sz w:val="22"/>
        </w:rPr>
        <w:t> </w:t>
      </w:r>
      <w:r>
        <w:rPr>
          <w:sz w:val="22"/>
        </w:rPr>
        <w:t>rate</w:t>
      </w:r>
      <w:r>
        <w:rPr>
          <w:spacing w:val="-1"/>
          <w:sz w:val="22"/>
        </w:rPr>
        <w:t> </w:t>
      </w:r>
      <w:r>
        <w:rPr>
          <w:sz w:val="22"/>
        </w:rPr>
        <w:t>with</w:t>
      </w:r>
      <w:r>
        <w:rPr>
          <w:spacing w:val="-4"/>
          <w:sz w:val="22"/>
        </w:rPr>
        <w:t> </w:t>
      </w:r>
      <w:r>
        <w:rPr>
          <w:sz w:val="22"/>
        </w:rPr>
        <w:t>that of</w:t>
      </w:r>
      <w:r>
        <w:rPr>
          <w:spacing w:val="-3"/>
          <w:sz w:val="22"/>
        </w:rPr>
        <w:t> </w:t>
      </w:r>
      <w:r>
        <w:rPr>
          <w:sz w:val="22"/>
        </w:rPr>
        <w:t>the</w:t>
      </w:r>
      <w:r>
        <w:rPr>
          <w:spacing w:val="-4"/>
          <w:sz w:val="22"/>
        </w:rPr>
        <w:t> </w:t>
      </w:r>
      <w:r>
        <w:rPr>
          <w:sz w:val="22"/>
        </w:rPr>
        <w:t>statewide</w:t>
      </w:r>
      <w:r>
        <w:rPr>
          <w:spacing w:val="-1"/>
          <w:sz w:val="22"/>
        </w:rPr>
        <w:t> </w:t>
      </w:r>
      <w:r>
        <w:rPr>
          <w:sz w:val="22"/>
        </w:rPr>
        <w:t>median rate is capped at 10 raw points</w:t>
      </w:r>
    </w:p>
    <w:p>
      <w:pPr>
        <w:pStyle w:val="BodyText"/>
      </w:pPr>
    </w:p>
    <w:p>
      <w:pPr>
        <w:spacing w:before="208"/>
        <w:ind w:left="1219" w:right="0" w:firstLine="0"/>
        <w:jc w:val="left"/>
        <w:rPr>
          <w:sz w:val="22"/>
        </w:rPr>
      </w:pPr>
      <w:r>
        <w:rPr>
          <w:sz w:val="22"/>
        </w:rPr>
        <w:t>EXHIBIT</w:t>
      </w:r>
      <w:r>
        <w:rPr>
          <w:spacing w:val="-1"/>
          <w:sz w:val="22"/>
        </w:rPr>
        <w:t> </w:t>
      </w:r>
      <w:r>
        <w:rPr>
          <w:sz w:val="22"/>
        </w:rPr>
        <w:t>35</w:t>
      </w:r>
      <w:r>
        <w:rPr>
          <w:spacing w:val="-1"/>
          <w:sz w:val="22"/>
        </w:rPr>
        <w:t> </w:t>
      </w:r>
      <w:r>
        <w:rPr>
          <w:sz w:val="22"/>
        </w:rPr>
        <w:t>-</w:t>
      </w:r>
      <w:r>
        <w:rPr>
          <w:spacing w:val="-7"/>
          <w:sz w:val="22"/>
        </w:rPr>
        <w:t> </w:t>
      </w:r>
      <w:r>
        <w:rPr>
          <w:sz w:val="22"/>
        </w:rPr>
        <w:t>BP3</w:t>
      </w:r>
      <w:r>
        <w:rPr>
          <w:spacing w:val="-2"/>
          <w:sz w:val="22"/>
        </w:rPr>
        <w:t> </w:t>
      </w:r>
      <w:r>
        <w:rPr>
          <w:sz w:val="22"/>
        </w:rPr>
        <w:t>Measure</w:t>
      </w:r>
      <w:r>
        <w:rPr>
          <w:spacing w:val="-3"/>
          <w:sz w:val="22"/>
        </w:rPr>
        <w:t> </w:t>
      </w:r>
      <w:r>
        <w:rPr>
          <w:sz w:val="22"/>
        </w:rPr>
        <w:t>Rate</w:t>
      </w:r>
      <w:r>
        <w:rPr>
          <w:spacing w:val="-3"/>
          <w:sz w:val="22"/>
        </w:rPr>
        <w:t> </w:t>
      </w:r>
      <w:r>
        <w:rPr>
          <w:sz w:val="22"/>
        </w:rPr>
        <w:t>Calculation</w:t>
      </w:r>
      <w:r>
        <w:rPr>
          <w:spacing w:val="-3"/>
          <w:sz w:val="22"/>
        </w:rPr>
        <w:t> </w:t>
      </w:r>
      <w:r>
        <w:rPr>
          <w:sz w:val="22"/>
        </w:rPr>
        <w:t>with</w:t>
      </w:r>
      <w:r>
        <w:rPr>
          <w:spacing w:val="-2"/>
          <w:sz w:val="22"/>
        </w:rPr>
        <w:t> </w:t>
      </w:r>
      <w:r>
        <w:rPr>
          <w:sz w:val="22"/>
        </w:rPr>
        <w:t>Raw</w:t>
      </w:r>
      <w:r>
        <w:rPr>
          <w:spacing w:val="-4"/>
          <w:sz w:val="22"/>
        </w:rPr>
        <w:t> </w:t>
      </w:r>
      <w:r>
        <w:rPr>
          <w:sz w:val="22"/>
        </w:rPr>
        <w:t>Point</w:t>
      </w:r>
      <w:r>
        <w:rPr>
          <w:spacing w:val="-2"/>
          <w:sz w:val="22"/>
        </w:rPr>
        <w:t> </w:t>
      </w:r>
      <w:r>
        <w:rPr>
          <w:sz w:val="22"/>
        </w:rPr>
        <w:t>Cap</w:t>
      </w:r>
      <w:r>
        <w:rPr>
          <w:spacing w:val="-3"/>
          <w:sz w:val="22"/>
        </w:rPr>
        <w:t> </w:t>
      </w:r>
      <w:r>
        <w:rPr>
          <w:sz w:val="22"/>
        </w:rPr>
        <w:t>=</w:t>
      </w:r>
      <w:r>
        <w:rPr>
          <w:spacing w:val="-2"/>
          <w:sz w:val="22"/>
        </w:rPr>
        <w:t> </w:t>
      </w:r>
      <w:r>
        <w:rPr>
          <w:spacing w:val="-4"/>
          <w:sz w:val="22"/>
        </w:rPr>
        <w:t>10.0</w:t>
      </w:r>
    </w:p>
    <w:p>
      <w:pPr>
        <w:pStyle w:val="BodyText"/>
        <w:spacing w:before="10"/>
        <w:rPr>
          <w:sz w:val="13"/>
        </w:rPr>
      </w:pPr>
    </w:p>
    <w:tbl>
      <w:tblPr>
        <w:tblW w:w="0" w:type="auto"/>
        <w:jc w:val="left"/>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80"/>
        <w:gridCol w:w="1080"/>
        <w:gridCol w:w="1171"/>
        <w:gridCol w:w="1260"/>
        <w:gridCol w:w="1526"/>
        <w:gridCol w:w="991"/>
        <w:gridCol w:w="1665"/>
      </w:tblGrid>
      <w:tr>
        <w:trPr>
          <w:trHeight w:val="757" w:hRule="atLeast"/>
        </w:trPr>
        <w:tc>
          <w:tcPr>
            <w:tcW w:w="1680" w:type="dxa"/>
            <w:vMerge w:val="restart"/>
            <w:tcBorders>
              <w:left w:val="nil"/>
              <w:right w:val="single" w:sz="2" w:space="0" w:color="BEBEBE"/>
            </w:tcBorders>
          </w:tcPr>
          <w:p>
            <w:pPr>
              <w:pStyle w:val="TableParagraph"/>
              <w:rPr>
                <w:sz w:val="20"/>
              </w:rPr>
            </w:pPr>
          </w:p>
        </w:tc>
        <w:tc>
          <w:tcPr>
            <w:tcW w:w="1080" w:type="dxa"/>
            <w:tcBorders>
              <w:top w:val="single" w:sz="6" w:space="0" w:color="000000"/>
              <w:left w:val="single" w:sz="2" w:space="0" w:color="BEBEBE"/>
              <w:bottom w:val="single" w:sz="2" w:space="0" w:color="BEBEBE"/>
              <w:right w:val="single" w:sz="2" w:space="0" w:color="BEBEBE"/>
            </w:tcBorders>
            <w:shd w:val="clear" w:color="auto" w:fill="D9D9D9"/>
          </w:tcPr>
          <w:p>
            <w:pPr>
              <w:pStyle w:val="TableParagraph"/>
              <w:spacing w:line="251" w:lineRule="exact"/>
              <w:ind w:left="117" w:right="113"/>
              <w:jc w:val="center"/>
              <w:rPr>
                <w:b/>
                <w:sz w:val="22"/>
              </w:rPr>
            </w:pPr>
            <w:r>
              <w:rPr>
                <w:b/>
                <w:spacing w:val="-2"/>
                <w:sz w:val="22"/>
              </w:rPr>
              <w:t>Measure</w:t>
            </w:r>
          </w:p>
        </w:tc>
        <w:tc>
          <w:tcPr>
            <w:tcW w:w="1171" w:type="dxa"/>
            <w:tcBorders>
              <w:top w:val="single" w:sz="6" w:space="0" w:color="000000"/>
              <w:left w:val="single" w:sz="2" w:space="0" w:color="BEBEBE"/>
              <w:bottom w:val="single" w:sz="2" w:space="0" w:color="BEBEBE"/>
              <w:right w:val="single" w:sz="2" w:space="0" w:color="BEBEBE"/>
            </w:tcBorders>
            <w:shd w:val="clear" w:color="auto" w:fill="D9D9D9"/>
          </w:tcPr>
          <w:p>
            <w:pPr>
              <w:pStyle w:val="TableParagraph"/>
              <w:spacing w:line="251" w:lineRule="exact"/>
              <w:ind w:left="105" w:right="103"/>
              <w:jc w:val="center"/>
              <w:rPr>
                <w:b/>
                <w:sz w:val="22"/>
              </w:rPr>
            </w:pPr>
            <w:r>
              <w:rPr>
                <w:b/>
                <w:sz w:val="22"/>
              </w:rPr>
              <w:t>ACO</w:t>
            </w:r>
            <w:r>
              <w:rPr>
                <w:b/>
                <w:spacing w:val="-3"/>
                <w:sz w:val="22"/>
              </w:rPr>
              <w:t> </w:t>
            </w:r>
            <w:r>
              <w:rPr>
                <w:b/>
                <w:spacing w:val="-5"/>
                <w:sz w:val="22"/>
              </w:rPr>
              <w:t>BP2</w:t>
            </w:r>
          </w:p>
          <w:p>
            <w:pPr>
              <w:pStyle w:val="TableParagraph"/>
              <w:spacing w:before="1"/>
              <w:ind w:left="105" w:right="101"/>
              <w:jc w:val="center"/>
              <w:rPr>
                <w:b/>
                <w:sz w:val="22"/>
              </w:rPr>
            </w:pPr>
            <w:r>
              <w:rPr>
                <w:b/>
                <w:spacing w:val="-4"/>
                <w:sz w:val="22"/>
              </w:rPr>
              <w:t>Rate</w:t>
            </w:r>
          </w:p>
        </w:tc>
        <w:tc>
          <w:tcPr>
            <w:tcW w:w="1260" w:type="dxa"/>
            <w:tcBorders>
              <w:top w:val="single" w:sz="6" w:space="0" w:color="000000"/>
              <w:left w:val="single" w:sz="2" w:space="0" w:color="BEBEBE"/>
              <w:bottom w:val="single" w:sz="2" w:space="0" w:color="BEBEBE"/>
              <w:right w:val="single" w:sz="2" w:space="0" w:color="BEBEBE"/>
            </w:tcBorders>
            <w:shd w:val="clear" w:color="auto" w:fill="D9D9D9"/>
          </w:tcPr>
          <w:p>
            <w:pPr>
              <w:pStyle w:val="TableParagraph"/>
              <w:spacing w:line="251" w:lineRule="exact"/>
              <w:ind w:left="165" w:right="166"/>
              <w:jc w:val="center"/>
              <w:rPr>
                <w:b/>
                <w:sz w:val="22"/>
              </w:rPr>
            </w:pPr>
            <w:r>
              <w:rPr>
                <w:b/>
                <w:spacing w:val="-5"/>
                <w:sz w:val="22"/>
              </w:rPr>
              <w:t>BP2</w:t>
            </w:r>
          </w:p>
          <w:p>
            <w:pPr>
              <w:pStyle w:val="TableParagraph"/>
              <w:spacing w:line="252" w:lineRule="exact"/>
              <w:ind w:left="168" w:right="166"/>
              <w:jc w:val="center"/>
              <w:rPr>
                <w:b/>
                <w:sz w:val="22"/>
              </w:rPr>
            </w:pPr>
            <w:r>
              <w:rPr>
                <w:b/>
                <w:spacing w:val="-2"/>
                <w:sz w:val="22"/>
              </w:rPr>
              <w:t>Statewide Median</w:t>
            </w:r>
          </w:p>
        </w:tc>
        <w:tc>
          <w:tcPr>
            <w:tcW w:w="1526" w:type="dxa"/>
            <w:tcBorders>
              <w:top w:val="single" w:sz="6" w:space="0" w:color="000000"/>
              <w:left w:val="single" w:sz="2" w:space="0" w:color="BEBEBE"/>
              <w:bottom w:val="single" w:sz="2" w:space="0" w:color="BEBEBE"/>
              <w:right w:val="single" w:sz="2" w:space="0" w:color="BEBEBE"/>
            </w:tcBorders>
            <w:shd w:val="clear" w:color="auto" w:fill="D9D9D9"/>
          </w:tcPr>
          <w:p>
            <w:pPr>
              <w:pStyle w:val="TableParagraph"/>
              <w:spacing w:line="251" w:lineRule="exact"/>
              <w:ind w:left="138" w:right="138"/>
              <w:jc w:val="center"/>
              <w:rPr>
                <w:b/>
                <w:sz w:val="22"/>
              </w:rPr>
            </w:pPr>
            <w:r>
              <w:rPr>
                <w:b/>
                <w:spacing w:val="-2"/>
                <w:sz w:val="22"/>
              </w:rPr>
              <w:t>Performance</w:t>
            </w:r>
          </w:p>
          <w:p>
            <w:pPr>
              <w:pStyle w:val="TableParagraph"/>
              <w:spacing w:line="252" w:lineRule="exact"/>
              <w:ind w:left="139" w:right="138"/>
              <w:jc w:val="center"/>
              <w:rPr>
                <w:b/>
                <w:sz w:val="22"/>
              </w:rPr>
            </w:pPr>
            <w:r>
              <w:rPr>
                <w:b/>
                <w:sz w:val="22"/>
              </w:rPr>
              <w:t>Rate</w:t>
            </w:r>
            <w:r>
              <w:rPr>
                <w:b/>
                <w:spacing w:val="-14"/>
                <w:sz w:val="22"/>
              </w:rPr>
              <w:t> </w:t>
            </w:r>
            <w:r>
              <w:rPr>
                <w:b/>
                <w:sz w:val="22"/>
              </w:rPr>
              <w:t>Used For BP3</w:t>
            </w:r>
          </w:p>
        </w:tc>
        <w:tc>
          <w:tcPr>
            <w:tcW w:w="991" w:type="dxa"/>
            <w:tcBorders>
              <w:top w:val="single" w:sz="6" w:space="0" w:color="000000"/>
              <w:left w:val="single" w:sz="2" w:space="0" w:color="BEBEBE"/>
              <w:bottom w:val="single" w:sz="2" w:space="0" w:color="BEBEBE"/>
              <w:right w:val="single" w:sz="2" w:space="0" w:color="BEBEBE"/>
            </w:tcBorders>
            <w:shd w:val="clear" w:color="auto" w:fill="D9D9D9"/>
          </w:tcPr>
          <w:p>
            <w:pPr>
              <w:pStyle w:val="TableParagraph"/>
              <w:spacing w:line="251" w:lineRule="exact"/>
              <w:ind w:left="240" w:firstLine="36"/>
              <w:rPr>
                <w:b/>
                <w:sz w:val="22"/>
              </w:rPr>
            </w:pPr>
            <w:r>
              <w:rPr>
                <w:b/>
                <w:spacing w:val="-5"/>
                <w:sz w:val="22"/>
              </w:rPr>
              <w:t>Raw</w:t>
            </w:r>
          </w:p>
          <w:p>
            <w:pPr>
              <w:pStyle w:val="TableParagraph"/>
              <w:spacing w:line="252" w:lineRule="exact"/>
              <w:ind w:left="295" w:right="235" w:hanging="56"/>
              <w:rPr>
                <w:b/>
                <w:sz w:val="22"/>
              </w:rPr>
            </w:pPr>
            <w:r>
              <w:rPr>
                <w:b/>
                <w:spacing w:val="-2"/>
                <w:sz w:val="22"/>
              </w:rPr>
              <w:t>Point </w:t>
            </w:r>
            <w:r>
              <w:rPr>
                <w:b/>
                <w:spacing w:val="-4"/>
                <w:sz w:val="22"/>
              </w:rPr>
              <w:t>Cap</w:t>
            </w:r>
          </w:p>
        </w:tc>
        <w:tc>
          <w:tcPr>
            <w:tcW w:w="1665" w:type="dxa"/>
            <w:vMerge w:val="restart"/>
            <w:tcBorders>
              <w:left w:val="single" w:sz="2" w:space="0" w:color="BEBEBE"/>
              <w:right w:val="nil"/>
            </w:tcBorders>
          </w:tcPr>
          <w:p>
            <w:pPr>
              <w:pStyle w:val="TableParagraph"/>
              <w:rPr>
                <w:sz w:val="20"/>
              </w:rPr>
            </w:pPr>
          </w:p>
        </w:tc>
      </w:tr>
      <w:tr>
        <w:trPr>
          <w:trHeight w:val="249" w:hRule="atLeast"/>
        </w:trPr>
        <w:tc>
          <w:tcPr>
            <w:tcW w:w="1680" w:type="dxa"/>
            <w:vMerge/>
            <w:tcBorders>
              <w:top w:val="nil"/>
              <w:left w:val="nil"/>
              <w:right w:val="single" w:sz="2" w:space="0" w:color="BEBEBE"/>
            </w:tcBorders>
          </w:tcPr>
          <w:p>
            <w:pPr>
              <w:rPr>
                <w:sz w:val="2"/>
                <w:szCs w:val="2"/>
              </w:rPr>
            </w:pPr>
          </w:p>
        </w:tc>
        <w:tc>
          <w:tcPr>
            <w:tcW w:w="1080" w:type="dxa"/>
            <w:tcBorders>
              <w:top w:val="single" w:sz="2" w:space="0" w:color="BEBEBE"/>
              <w:left w:val="single" w:sz="2" w:space="0" w:color="BEBEBE"/>
              <w:bottom w:val="single" w:sz="6" w:space="0" w:color="000000"/>
              <w:right w:val="single" w:sz="2" w:space="0" w:color="BEBEBE"/>
            </w:tcBorders>
            <w:shd w:val="clear" w:color="auto" w:fill="D9E1F3"/>
          </w:tcPr>
          <w:p>
            <w:pPr>
              <w:pStyle w:val="TableParagraph"/>
              <w:spacing w:line="229" w:lineRule="exact"/>
              <w:ind w:left="5"/>
              <w:jc w:val="center"/>
              <w:rPr>
                <w:sz w:val="22"/>
              </w:rPr>
            </w:pPr>
            <w:r>
              <w:rPr>
                <w:w w:val="100"/>
                <w:sz w:val="22"/>
              </w:rPr>
              <w:t>A</w:t>
            </w:r>
          </w:p>
        </w:tc>
        <w:tc>
          <w:tcPr>
            <w:tcW w:w="1171" w:type="dxa"/>
            <w:tcBorders>
              <w:top w:val="single" w:sz="2" w:space="0" w:color="BEBEBE"/>
              <w:left w:val="single" w:sz="2" w:space="0" w:color="BEBEBE"/>
              <w:bottom w:val="single" w:sz="6" w:space="0" w:color="000000"/>
              <w:right w:val="single" w:sz="2" w:space="0" w:color="BEBEBE"/>
            </w:tcBorders>
          </w:tcPr>
          <w:p>
            <w:pPr>
              <w:pStyle w:val="TableParagraph"/>
              <w:spacing w:line="229" w:lineRule="exact"/>
              <w:ind w:left="299"/>
              <w:rPr>
                <w:sz w:val="22"/>
              </w:rPr>
            </w:pPr>
            <w:r>
              <w:rPr>
                <w:spacing w:val="-2"/>
                <w:sz w:val="22"/>
              </w:rPr>
              <w:t>73.0%</w:t>
            </w:r>
          </w:p>
        </w:tc>
        <w:tc>
          <w:tcPr>
            <w:tcW w:w="1260" w:type="dxa"/>
            <w:tcBorders>
              <w:top w:val="single" w:sz="2" w:space="0" w:color="BEBEBE"/>
              <w:left w:val="single" w:sz="2" w:space="0" w:color="BEBEBE"/>
              <w:bottom w:val="single" w:sz="6" w:space="0" w:color="000000"/>
              <w:right w:val="single" w:sz="2" w:space="0" w:color="BEBEBE"/>
            </w:tcBorders>
          </w:tcPr>
          <w:p>
            <w:pPr>
              <w:pStyle w:val="TableParagraph"/>
              <w:spacing w:line="229" w:lineRule="exact"/>
              <w:ind w:left="343"/>
              <w:rPr>
                <w:sz w:val="22"/>
              </w:rPr>
            </w:pPr>
            <w:r>
              <w:rPr>
                <w:spacing w:val="-2"/>
                <w:sz w:val="22"/>
              </w:rPr>
              <w:t>74.0%</w:t>
            </w:r>
          </w:p>
        </w:tc>
        <w:tc>
          <w:tcPr>
            <w:tcW w:w="1526" w:type="dxa"/>
            <w:tcBorders>
              <w:top w:val="single" w:sz="2" w:space="0" w:color="BEBEBE"/>
              <w:left w:val="single" w:sz="2" w:space="0" w:color="BEBEBE"/>
              <w:bottom w:val="single" w:sz="6" w:space="0" w:color="000000"/>
              <w:right w:val="single" w:sz="2" w:space="0" w:color="BEBEBE"/>
            </w:tcBorders>
          </w:tcPr>
          <w:p>
            <w:pPr>
              <w:pStyle w:val="TableParagraph"/>
              <w:spacing w:line="229" w:lineRule="exact"/>
              <w:ind w:left="475"/>
              <w:rPr>
                <w:sz w:val="22"/>
              </w:rPr>
            </w:pPr>
            <w:r>
              <w:rPr>
                <w:spacing w:val="-2"/>
                <w:sz w:val="22"/>
              </w:rPr>
              <w:t>74.0%</w:t>
            </w:r>
          </w:p>
        </w:tc>
        <w:tc>
          <w:tcPr>
            <w:tcW w:w="991" w:type="dxa"/>
            <w:tcBorders>
              <w:top w:val="single" w:sz="2" w:space="0" w:color="BEBEBE"/>
              <w:left w:val="single" w:sz="2" w:space="0" w:color="BEBEBE"/>
              <w:bottom w:val="single" w:sz="6" w:space="0" w:color="000000"/>
              <w:right w:val="single" w:sz="2" w:space="0" w:color="BEBEBE"/>
            </w:tcBorders>
          </w:tcPr>
          <w:p>
            <w:pPr>
              <w:pStyle w:val="TableParagraph"/>
              <w:spacing w:line="229" w:lineRule="exact"/>
              <w:ind w:left="122" w:right="122"/>
              <w:jc w:val="center"/>
              <w:rPr>
                <w:sz w:val="22"/>
              </w:rPr>
            </w:pPr>
            <w:r>
              <w:rPr>
                <w:spacing w:val="-5"/>
                <w:sz w:val="22"/>
              </w:rPr>
              <w:t>No</w:t>
            </w:r>
          </w:p>
        </w:tc>
        <w:tc>
          <w:tcPr>
            <w:tcW w:w="1665" w:type="dxa"/>
            <w:vMerge/>
            <w:tcBorders>
              <w:top w:val="nil"/>
              <w:left w:val="single" w:sz="2" w:space="0" w:color="BEBEBE"/>
              <w:right w:val="nil"/>
            </w:tcBorders>
          </w:tcPr>
          <w:p>
            <w:pPr>
              <w:rPr>
                <w:sz w:val="2"/>
                <w:szCs w:val="2"/>
              </w:rPr>
            </w:pPr>
          </w:p>
        </w:tc>
      </w:tr>
    </w:tbl>
    <w:p>
      <w:pPr>
        <w:spacing w:after="0"/>
        <w:rPr>
          <w:sz w:val="2"/>
          <w:szCs w:val="2"/>
        </w:rPr>
        <w:sectPr>
          <w:type w:val="continuous"/>
          <w:pgSz w:w="12240" w:h="15840"/>
          <w:pgMar w:header="0" w:footer="967" w:top="1420" w:bottom="1465" w:left="220" w:right="340"/>
        </w:sectPr>
      </w:pPr>
    </w:p>
    <w:tbl>
      <w:tblPr>
        <w:tblW w:w="0" w:type="auto"/>
        <w:jc w:val="left"/>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6"/>
        <w:gridCol w:w="1080"/>
        <w:gridCol w:w="1171"/>
        <w:gridCol w:w="1260"/>
        <w:gridCol w:w="1526"/>
        <w:gridCol w:w="991"/>
        <w:gridCol w:w="1665"/>
      </w:tblGrid>
      <w:tr>
        <w:trPr>
          <w:trHeight w:val="253" w:hRule="atLeast"/>
        </w:trPr>
        <w:tc>
          <w:tcPr>
            <w:tcW w:w="1666" w:type="dxa"/>
            <w:vMerge w:val="restart"/>
            <w:tcBorders>
              <w:left w:val="nil"/>
              <w:bottom w:val="nil"/>
              <w:right w:val="single" w:sz="2" w:space="0" w:color="BEBEBE"/>
            </w:tcBorders>
          </w:tcPr>
          <w:p>
            <w:pPr>
              <w:pStyle w:val="TableParagraph"/>
              <w:rPr>
                <w:sz w:val="20"/>
              </w:rPr>
            </w:pPr>
          </w:p>
        </w:tc>
        <w:tc>
          <w:tcPr>
            <w:tcW w:w="1080" w:type="dxa"/>
            <w:tcBorders>
              <w:top w:val="single" w:sz="6" w:space="0" w:color="000000"/>
              <w:left w:val="single" w:sz="2" w:space="0" w:color="BEBEBE"/>
              <w:bottom w:val="single" w:sz="2" w:space="0" w:color="BEBEBE"/>
              <w:right w:val="single" w:sz="2" w:space="0" w:color="BEBEBE"/>
            </w:tcBorders>
            <w:shd w:val="clear" w:color="auto" w:fill="D9E1F3"/>
          </w:tcPr>
          <w:p>
            <w:pPr>
              <w:pStyle w:val="TableParagraph"/>
              <w:spacing w:line="234" w:lineRule="exact"/>
              <w:ind w:right="460"/>
              <w:jc w:val="right"/>
              <w:rPr>
                <w:sz w:val="22"/>
              </w:rPr>
            </w:pPr>
            <w:r>
              <w:rPr>
                <w:w w:val="100"/>
                <w:sz w:val="22"/>
              </w:rPr>
              <w:t>B</w:t>
            </w:r>
          </w:p>
        </w:tc>
        <w:tc>
          <w:tcPr>
            <w:tcW w:w="1171" w:type="dxa"/>
            <w:tcBorders>
              <w:top w:val="single" w:sz="6" w:space="0" w:color="000000"/>
              <w:left w:val="single" w:sz="2" w:space="0" w:color="BEBEBE"/>
              <w:bottom w:val="single" w:sz="2" w:space="0" w:color="BEBEBE"/>
              <w:right w:val="single" w:sz="2" w:space="0" w:color="BEBEBE"/>
            </w:tcBorders>
          </w:tcPr>
          <w:p>
            <w:pPr>
              <w:pStyle w:val="TableParagraph"/>
              <w:spacing w:line="234" w:lineRule="exact"/>
              <w:ind w:left="105" w:right="102"/>
              <w:jc w:val="center"/>
              <w:rPr>
                <w:sz w:val="22"/>
              </w:rPr>
            </w:pPr>
            <w:r>
              <w:rPr>
                <w:spacing w:val="-2"/>
                <w:sz w:val="22"/>
              </w:rPr>
              <w:t>73.0%</w:t>
            </w:r>
          </w:p>
        </w:tc>
        <w:tc>
          <w:tcPr>
            <w:tcW w:w="1260" w:type="dxa"/>
            <w:tcBorders>
              <w:top w:val="single" w:sz="6" w:space="0" w:color="000000"/>
              <w:left w:val="single" w:sz="2" w:space="0" w:color="BEBEBE"/>
              <w:bottom w:val="single" w:sz="2" w:space="0" w:color="BEBEBE"/>
              <w:right w:val="single" w:sz="2" w:space="0" w:color="BEBEBE"/>
            </w:tcBorders>
          </w:tcPr>
          <w:p>
            <w:pPr>
              <w:pStyle w:val="TableParagraph"/>
              <w:spacing w:line="234" w:lineRule="exact"/>
              <w:ind w:left="342"/>
              <w:rPr>
                <w:sz w:val="22"/>
              </w:rPr>
            </w:pPr>
            <w:r>
              <w:rPr>
                <w:spacing w:val="-2"/>
                <w:sz w:val="22"/>
              </w:rPr>
              <w:t>70.0%</w:t>
            </w:r>
          </w:p>
        </w:tc>
        <w:tc>
          <w:tcPr>
            <w:tcW w:w="1526" w:type="dxa"/>
            <w:tcBorders>
              <w:top w:val="single" w:sz="6" w:space="0" w:color="000000"/>
              <w:left w:val="single" w:sz="2" w:space="0" w:color="BEBEBE"/>
              <w:bottom w:val="single" w:sz="2" w:space="0" w:color="BEBEBE"/>
              <w:right w:val="single" w:sz="2" w:space="0" w:color="BEBEBE"/>
            </w:tcBorders>
          </w:tcPr>
          <w:p>
            <w:pPr>
              <w:pStyle w:val="TableParagraph"/>
              <w:spacing w:line="234" w:lineRule="exact"/>
              <w:ind w:left="474"/>
              <w:rPr>
                <w:sz w:val="22"/>
              </w:rPr>
            </w:pPr>
            <w:r>
              <w:rPr>
                <w:spacing w:val="-2"/>
                <w:sz w:val="22"/>
              </w:rPr>
              <w:t>73.0%</w:t>
            </w:r>
          </w:p>
        </w:tc>
        <w:tc>
          <w:tcPr>
            <w:tcW w:w="991" w:type="dxa"/>
            <w:tcBorders>
              <w:top w:val="single" w:sz="6" w:space="0" w:color="000000"/>
              <w:left w:val="single" w:sz="2" w:space="0" w:color="BEBEBE"/>
              <w:bottom w:val="single" w:sz="2" w:space="0" w:color="BEBEBE"/>
              <w:right w:val="single" w:sz="2" w:space="0" w:color="BEBEBE"/>
            </w:tcBorders>
          </w:tcPr>
          <w:p>
            <w:pPr>
              <w:pStyle w:val="TableParagraph"/>
              <w:spacing w:line="234" w:lineRule="exact"/>
              <w:ind w:left="121" w:right="122"/>
              <w:jc w:val="center"/>
              <w:rPr>
                <w:sz w:val="22"/>
              </w:rPr>
            </w:pPr>
            <w:r>
              <w:rPr>
                <w:spacing w:val="-5"/>
                <w:sz w:val="22"/>
              </w:rPr>
              <w:t>No</w:t>
            </w:r>
          </w:p>
        </w:tc>
        <w:tc>
          <w:tcPr>
            <w:tcW w:w="1665" w:type="dxa"/>
            <w:vMerge w:val="restart"/>
            <w:tcBorders>
              <w:left w:val="single" w:sz="2" w:space="0" w:color="BEBEBE"/>
              <w:bottom w:val="nil"/>
              <w:right w:val="nil"/>
            </w:tcBorders>
          </w:tcPr>
          <w:p>
            <w:pPr>
              <w:pStyle w:val="TableParagraph"/>
              <w:rPr>
                <w:sz w:val="20"/>
              </w:rPr>
            </w:pPr>
          </w:p>
        </w:tc>
      </w:tr>
      <w:tr>
        <w:trPr>
          <w:trHeight w:val="251" w:hRule="atLeast"/>
        </w:trPr>
        <w:tc>
          <w:tcPr>
            <w:tcW w:w="1666" w:type="dxa"/>
            <w:vMerge/>
            <w:tcBorders>
              <w:top w:val="nil"/>
              <w:left w:val="nil"/>
              <w:bottom w:val="nil"/>
              <w:right w:val="single" w:sz="2" w:space="0" w:color="BEBEBE"/>
            </w:tcBorders>
          </w:tcPr>
          <w:p>
            <w:pPr>
              <w:rPr>
                <w:sz w:val="2"/>
                <w:szCs w:val="2"/>
              </w:rPr>
            </w:pPr>
          </w:p>
        </w:tc>
        <w:tc>
          <w:tcPr>
            <w:tcW w:w="1080" w:type="dxa"/>
            <w:tcBorders>
              <w:top w:val="single" w:sz="2" w:space="0" w:color="BEBEBE"/>
              <w:left w:val="single" w:sz="2" w:space="0" w:color="BEBEBE"/>
              <w:bottom w:val="single" w:sz="2" w:space="0" w:color="BEBEBE"/>
              <w:right w:val="single" w:sz="2" w:space="0" w:color="BEBEBE"/>
            </w:tcBorders>
            <w:shd w:val="clear" w:color="auto" w:fill="D9E1F3"/>
          </w:tcPr>
          <w:p>
            <w:pPr>
              <w:pStyle w:val="TableParagraph"/>
              <w:spacing w:line="232" w:lineRule="exact"/>
              <w:ind w:right="460"/>
              <w:jc w:val="right"/>
              <w:rPr>
                <w:sz w:val="22"/>
              </w:rPr>
            </w:pPr>
            <w:r>
              <w:rPr>
                <w:w w:val="100"/>
                <w:sz w:val="22"/>
              </w:rPr>
              <w:t>C</w:t>
            </w:r>
          </w:p>
        </w:tc>
        <w:tc>
          <w:tcPr>
            <w:tcW w:w="1171" w:type="dxa"/>
            <w:tcBorders>
              <w:top w:val="single" w:sz="2" w:space="0" w:color="BEBEBE"/>
              <w:left w:val="single" w:sz="2" w:space="0" w:color="BEBEBE"/>
              <w:bottom w:val="single" w:sz="2" w:space="0" w:color="BEBEBE"/>
              <w:right w:val="single" w:sz="2" w:space="0" w:color="BEBEBE"/>
            </w:tcBorders>
          </w:tcPr>
          <w:p>
            <w:pPr>
              <w:pStyle w:val="TableParagraph"/>
              <w:spacing w:line="232" w:lineRule="exact"/>
              <w:ind w:left="105" w:right="102"/>
              <w:jc w:val="center"/>
              <w:rPr>
                <w:sz w:val="22"/>
              </w:rPr>
            </w:pPr>
            <w:r>
              <w:rPr>
                <w:spacing w:val="-2"/>
                <w:sz w:val="22"/>
              </w:rPr>
              <w:t>73.0%</w:t>
            </w:r>
          </w:p>
        </w:tc>
        <w:tc>
          <w:tcPr>
            <w:tcW w:w="1260" w:type="dxa"/>
            <w:tcBorders>
              <w:top w:val="single" w:sz="2" w:space="0" w:color="BEBEBE"/>
              <w:left w:val="single" w:sz="2" w:space="0" w:color="BEBEBE"/>
              <w:bottom w:val="single" w:sz="2" w:space="0" w:color="BEBEBE"/>
              <w:right w:val="single" w:sz="2" w:space="0" w:color="BEBEBE"/>
            </w:tcBorders>
          </w:tcPr>
          <w:p>
            <w:pPr>
              <w:pStyle w:val="TableParagraph"/>
              <w:spacing w:line="232" w:lineRule="exact"/>
              <w:ind w:left="342"/>
              <w:rPr>
                <w:sz w:val="22"/>
              </w:rPr>
            </w:pPr>
            <w:r>
              <w:rPr>
                <w:spacing w:val="-2"/>
                <w:sz w:val="22"/>
              </w:rPr>
              <w:t>80.0%</w:t>
            </w:r>
          </w:p>
        </w:tc>
        <w:tc>
          <w:tcPr>
            <w:tcW w:w="1526" w:type="dxa"/>
            <w:tcBorders>
              <w:top w:val="single" w:sz="2" w:space="0" w:color="BEBEBE"/>
              <w:left w:val="single" w:sz="2" w:space="0" w:color="BEBEBE"/>
              <w:bottom w:val="single" w:sz="2" w:space="0" w:color="BEBEBE"/>
              <w:right w:val="single" w:sz="2" w:space="0" w:color="BEBEBE"/>
            </w:tcBorders>
          </w:tcPr>
          <w:p>
            <w:pPr>
              <w:pStyle w:val="TableParagraph"/>
              <w:spacing w:line="232" w:lineRule="exact"/>
              <w:ind w:left="474"/>
              <w:rPr>
                <w:sz w:val="22"/>
              </w:rPr>
            </w:pPr>
            <w:r>
              <w:rPr>
                <w:spacing w:val="-2"/>
                <w:sz w:val="22"/>
              </w:rPr>
              <w:t>80.0%</w:t>
            </w:r>
          </w:p>
        </w:tc>
        <w:tc>
          <w:tcPr>
            <w:tcW w:w="991" w:type="dxa"/>
            <w:tcBorders>
              <w:top w:val="single" w:sz="2" w:space="0" w:color="BEBEBE"/>
              <w:left w:val="single" w:sz="2" w:space="0" w:color="BEBEBE"/>
              <w:bottom w:val="single" w:sz="2" w:space="0" w:color="BEBEBE"/>
              <w:right w:val="single" w:sz="2" w:space="0" w:color="BEBEBE"/>
            </w:tcBorders>
          </w:tcPr>
          <w:p>
            <w:pPr>
              <w:pStyle w:val="TableParagraph"/>
              <w:spacing w:line="232" w:lineRule="exact"/>
              <w:ind w:left="121" w:right="122"/>
              <w:jc w:val="center"/>
              <w:rPr>
                <w:sz w:val="22"/>
              </w:rPr>
            </w:pPr>
            <w:r>
              <w:rPr>
                <w:spacing w:val="-5"/>
                <w:sz w:val="22"/>
              </w:rPr>
              <w:t>No</w:t>
            </w:r>
          </w:p>
        </w:tc>
        <w:tc>
          <w:tcPr>
            <w:tcW w:w="1665" w:type="dxa"/>
            <w:vMerge/>
            <w:tcBorders>
              <w:top w:val="nil"/>
              <w:left w:val="single" w:sz="2" w:space="0" w:color="BEBEBE"/>
              <w:bottom w:val="nil"/>
              <w:right w:val="nil"/>
            </w:tcBorders>
          </w:tcPr>
          <w:p>
            <w:pPr>
              <w:rPr>
                <w:sz w:val="2"/>
                <w:szCs w:val="2"/>
              </w:rPr>
            </w:pPr>
          </w:p>
        </w:tc>
      </w:tr>
      <w:tr>
        <w:trPr>
          <w:trHeight w:val="254" w:hRule="atLeast"/>
        </w:trPr>
        <w:tc>
          <w:tcPr>
            <w:tcW w:w="1666" w:type="dxa"/>
            <w:vMerge/>
            <w:tcBorders>
              <w:top w:val="nil"/>
              <w:left w:val="nil"/>
              <w:bottom w:val="nil"/>
              <w:right w:val="single" w:sz="2" w:space="0" w:color="BEBEBE"/>
            </w:tcBorders>
          </w:tcPr>
          <w:p>
            <w:pPr>
              <w:rPr>
                <w:sz w:val="2"/>
                <w:szCs w:val="2"/>
              </w:rPr>
            </w:pPr>
          </w:p>
        </w:tc>
        <w:tc>
          <w:tcPr>
            <w:tcW w:w="1080" w:type="dxa"/>
            <w:tcBorders>
              <w:top w:val="single" w:sz="2" w:space="0" w:color="BEBEBE"/>
              <w:left w:val="single" w:sz="2" w:space="0" w:color="BEBEBE"/>
              <w:bottom w:val="single" w:sz="2" w:space="0" w:color="BEBEBE"/>
              <w:right w:val="single" w:sz="2" w:space="0" w:color="BEBEBE"/>
            </w:tcBorders>
            <w:shd w:val="clear" w:color="auto" w:fill="D9E1F3"/>
          </w:tcPr>
          <w:p>
            <w:pPr>
              <w:pStyle w:val="TableParagraph"/>
              <w:spacing w:line="234" w:lineRule="exact"/>
              <w:ind w:right="453"/>
              <w:jc w:val="right"/>
              <w:rPr>
                <w:sz w:val="22"/>
              </w:rPr>
            </w:pPr>
            <w:r>
              <w:rPr>
                <w:w w:val="100"/>
                <w:sz w:val="22"/>
              </w:rPr>
              <w:t>D</w:t>
            </w:r>
          </w:p>
        </w:tc>
        <w:tc>
          <w:tcPr>
            <w:tcW w:w="1171" w:type="dxa"/>
            <w:tcBorders>
              <w:top w:val="single" w:sz="2" w:space="0" w:color="BEBEBE"/>
              <w:left w:val="single" w:sz="2" w:space="0" w:color="BEBEBE"/>
              <w:bottom w:val="single" w:sz="2" w:space="0" w:color="BEBEBE"/>
              <w:right w:val="single" w:sz="2" w:space="0" w:color="BEBEBE"/>
            </w:tcBorders>
          </w:tcPr>
          <w:p>
            <w:pPr>
              <w:pStyle w:val="TableParagraph"/>
              <w:spacing w:line="234" w:lineRule="exact"/>
              <w:ind w:left="105" w:right="102"/>
              <w:jc w:val="center"/>
              <w:rPr>
                <w:sz w:val="22"/>
              </w:rPr>
            </w:pPr>
            <w:r>
              <w:rPr>
                <w:spacing w:val="-2"/>
                <w:sz w:val="22"/>
              </w:rPr>
              <w:t>73.0%</w:t>
            </w:r>
          </w:p>
        </w:tc>
        <w:tc>
          <w:tcPr>
            <w:tcW w:w="1260" w:type="dxa"/>
            <w:tcBorders>
              <w:top w:val="single" w:sz="2" w:space="0" w:color="BEBEBE"/>
              <w:left w:val="single" w:sz="2" w:space="0" w:color="BEBEBE"/>
              <w:bottom w:val="single" w:sz="2" w:space="0" w:color="BEBEBE"/>
              <w:right w:val="single" w:sz="2" w:space="0" w:color="BEBEBE"/>
            </w:tcBorders>
          </w:tcPr>
          <w:p>
            <w:pPr>
              <w:pStyle w:val="TableParagraph"/>
              <w:spacing w:line="234" w:lineRule="exact"/>
              <w:ind w:left="342"/>
              <w:rPr>
                <w:sz w:val="22"/>
              </w:rPr>
            </w:pPr>
            <w:r>
              <w:rPr>
                <w:spacing w:val="-2"/>
                <w:sz w:val="22"/>
              </w:rPr>
              <w:t>84.0%</w:t>
            </w:r>
          </w:p>
        </w:tc>
        <w:tc>
          <w:tcPr>
            <w:tcW w:w="1526" w:type="dxa"/>
            <w:tcBorders>
              <w:top w:val="single" w:sz="2" w:space="0" w:color="BEBEBE"/>
              <w:left w:val="single" w:sz="2" w:space="0" w:color="BEBEBE"/>
              <w:bottom w:val="single" w:sz="2" w:space="0" w:color="BEBEBE"/>
              <w:right w:val="single" w:sz="2" w:space="0" w:color="BEBEBE"/>
            </w:tcBorders>
          </w:tcPr>
          <w:p>
            <w:pPr>
              <w:pStyle w:val="TableParagraph"/>
              <w:spacing w:line="234" w:lineRule="exact"/>
              <w:ind w:left="477"/>
              <w:rPr>
                <w:sz w:val="22"/>
              </w:rPr>
            </w:pPr>
            <w:r>
              <w:rPr>
                <w:spacing w:val="-2"/>
                <w:sz w:val="22"/>
              </w:rPr>
              <w:t>83.0%*</w:t>
            </w:r>
          </w:p>
        </w:tc>
        <w:tc>
          <w:tcPr>
            <w:tcW w:w="991" w:type="dxa"/>
            <w:tcBorders>
              <w:top w:val="single" w:sz="2" w:space="0" w:color="BEBEBE"/>
              <w:left w:val="single" w:sz="2" w:space="0" w:color="BEBEBE"/>
              <w:bottom w:val="single" w:sz="2" w:space="0" w:color="BEBEBE"/>
              <w:right w:val="single" w:sz="2" w:space="0" w:color="BEBEBE"/>
            </w:tcBorders>
          </w:tcPr>
          <w:p>
            <w:pPr>
              <w:pStyle w:val="TableParagraph"/>
              <w:spacing w:line="234" w:lineRule="exact"/>
              <w:ind w:left="120" w:right="122"/>
              <w:jc w:val="center"/>
              <w:rPr>
                <w:sz w:val="22"/>
              </w:rPr>
            </w:pPr>
            <w:r>
              <w:rPr>
                <w:spacing w:val="-5"/>
                <w:sz w:val="22"/>
              </w:rPr>
              <w:t>Yes</w:t>
            </w:r>
          </w:p>
        </w:tc>
        <w:tc>
          <w:tcPr>
            <w:tcW w:w="1665" w:type="dxa"/>
            <w:vMerge/>
            <w:tcBorders>
              <w:top w:val="nil"/>
              <w:left w:val="single" w:sz="2" w:space="0" w:color="BEBEBE"/>
              <w:bottom w:val="nil"/>
              <w:right w:val="nil"/>
            </w:tcBorders>
          </w:tcPr>
          <w:p>
            <w:pPr>
              <w:rPr>
                <w:sz w:val="2"/>
                <w:szCs w:val="2"/>
              </w:rPr>
            </w:pPr>
          </w:p>
        </w:tc>
      </w:tr>
    </w:tbl>
    <w:p>
      <w:pPr>
        <w:pStyle w:val="BodyText"/>
        <w:spacing w:before="6"/>
        <w:rPr>
          <w:sz w:val="17"/>
        </w:rPr>
      </w:pPr>
    </w:p>
    <w:p>
      <w:pPr>
        <w:spacing w:line="259" w:lineRule="auto" w:before="92"/>
        <w:ind w:left="1220" w:right="1111" w:firstLine="0"/>
        <w:jc w:val="left"/>
        <w:rPr>
          <w:sz w:val="22"/>
        </w:rPr>
      </w:pPr>
      <w:r>
        <w:rPr>
          <w:sz w:val="22"/>
        </w:rPr>
        <w:t>*BP3</w:t>
      </w:r>
      <w:r>
        <w:rPr>
          <w:spacing w:val="-2"/>
          <w:sz w:val="22"/>
        </w:rPr>
        <w:t> </w:t>
      </w:r>
      <w:r>
        <w:rPr>
          <w:sz w:val="22"/>
        </w:rPr>
        <w:t>Performance</w:t>
      </w:r>
      <w:r>
        <w:rPr>
          <w:spacing w:val="-2"/>
          <w:sz w:val="22"/>
        </w:rPr>
        <w:t> </w:t>
      </w:r>
      <w:r>
        <w:rPr>
          <w:sz w:val="22"/>
        </w:rPr>
        <w:t>Rate</w:t>
      </w:r>
      <w:r>
        <w:rPr>
          <w:spacing w:val="-4"/>
          <w:sz w:val="22"/>
        </w:rPr>
        <w:t> </w:t>
      </w:r>
      <w:r>
        <w:rPr>
          <w:sz w:val="22"/>
        </w:rPr>
        <w:t>‘capped’</w:t>
      </w:r>
      <w:r>
        <w:rPr>
          <w:spacing w:val="-4"/>
          <w:sz w:val="22"/>
        </w:rPr>
        <w:t> </w:t>
      </w:r>
      <w:r>
        <w:rPr>
          <w:sz w:val="22"/>
        </w:rPr>
        <w:t>at</w:t>
      </w:r>
      <w:r>
        <w:rPr>
          <w:spacing w:val="-1"/>
          <w:sz w:val="22"/>
        </w:rPr>
        <w:t> </w:t>
      </w:r>
      <w:r>
        <w:rPr>
          <w:sz w:val="22"/>
        </w:rPr>
        <w:t>83.0%</w:t>
      </w:r>
      <w:r>
        <w:rPr>
          <w:spacing w:val="-4"/>
          <w:sz w:val="22"/>
        </w:rPr>
        <w:t> </w:t>
      </w:r>
      <w:r>
        <w:rPr>
          <w:sz w:val="22"/>
        </w:rPr>
        <w:t>(i.e.,</w:t>
      </w:r>
      <w:r>
        <w:rPr>
          <w:spacing w:val="-2"/>
          <w:sz w:val="22"/>
        </w:rPr>
        <w:t> </w:t>
      </w:r>
      <w:r>
        <w:rPr>
          <w:sz w:val="22"/>
        </w:rPr>
        <w:t>73.0%</w:t>
      </w:r>
      <w:r>
        <w:rPr>
          <w:spacing w:val="-4"/>
          <w:sz w:val="22"/>
        </w:rPr>
        <w:t> </w:t>
      </w:r>
      <w:r>
        <w:rPr>
          <w:sz w:val="22"/>
        </w:rPr>
        <w:t>+</w:t>
      </w:r>
      <w:r>
        <w:rPr>
          <w:spacing w:val="-2"/>
          <w:sz w:val="22"/>
        </w:rPr>
        <w:t> </w:t>
      </w:r>
      <w:r>
        <w:rPr>
          <w:sz w:val="22"/>
        </w:rPr>
        <w:t>maximum</w:t>
      </w:r>
      <w:r>
        <w:rPr>
          <w:spacing w:val="-6"/>
          <w:sz w:val="22"/>
        </w:rPr>
        <w:t> </w:t>
      </w:r>
      <w:r>
        <w:rPr>
          <w:sz w:val="22"/>
        </w:rPr>
        <w:t>allowance</w:t>
      </w:r>
      <w:r>
        <w:rPr>
          <w:spacing w:val="-2"/>
          <w:sz w:val="22"/>
        </w:rPr>
        <w:t> </w:t>
      </w:r>
      <w:r>
        <w:rPr>
          <w:sz w:val="22"/>
        </w:rPr>
        <w:t>of</w:t>
      </w:r>
      <w:r>
        <w:rPr>
          <w:spacing w:val="-4"/>
          <w:sz w:val="22"/>
        </w:rPr>
        <w:t> </w:t>
      </w:r>
      <w:r>
        <w:rPr>
          <w:sz w:val="22"/>
        </w:rPr>
        <w:t>10.0</w:t>
      </w:r>
      <w:r>
        <w:rPr>
          <w:spacing w:val="-2"/>
          <w:sz w:val="22"/>
        </w:rPr>
        <w:t> </w:t>
      </w:r>
      <w:r>
        <w:rPr>
          <w:sz w:val="22"/>
        </w:rPr>
        <w:t>raw</w:t>
      </w:r>
      <w:r>
        <w:rPr>
          <w:spacing w:val="-3"/>
          <w:sz w:val="22"/>
        </w:rPr>
        <w:t> </w:t>
      </w:r>
      <w:r>
        <w:rPr>
          <w:sz w:val="22"/>
        </w:rPr>
        <w:t>points,</w:t>
      </w:r>
      <w:r>
        <w:rPr>
          <w:spacing w:val="-5"/>
          <w:sz w:val="22"/>
        </w:rPr>
        <w:t> </w:t>
      </w:r>
      <w:r>
        <w:rPr>
          <w:sz w:val="22"/>
        </w:rPr>
        <w:t>using BP2 state median)</w:t>
      </w:r>
    </w:p>
    <w:p>
      <w:pPr>
        <w:pStyle w:val="BodyText"/>
        <w:spacing w:before="7"/>
        <w:rPr>
          <w:sz w:val="23"/>
        </w:rPr>
      </w:pPr>
    </w:p>
    <w:p>
      <w:pPr>
        <w:spacing w:before="1"/>
        <w:ind w:left="1220" w:right="1104" w:firstLine="0"/>
        <w:jc w:val="left"/>
        <w:rPr>
          <w:sz w:val="22"/>
        </w:rPr>
      </w:pPr>
      <w:r>
        <w:rPr>
          <w:sz w:val="22"/>
        </w:rPr>
        <w:t>Results</w:t>
      </w:r>
      <w:r>
        <w:rPr>
          <w:spacing w:val="-2"/>
          <w:sz w:val="22"/>
        </w:rPr>
        <w:t> </w:t>
      </w:r>
      <w:r>
        <w:rPr>
          <w:sz w:val="22"/>
        </w:rPr>
        <w:t>from</w:t>
      </w:r>
      <w:r>
        <w:rPr>
          <w:spacing w:val="-4"/>
          <w:sz w:val="22"/>
        </w:rPr>
        <w:t> </w:t>
      </w:r>
      <w:r>
        <w:rPr>
          <w:sz w:val="22"/>
        </w:rPr>
        <w:t>the</w:t>
      </w:r>
      <w:r>
        <w:rPr>
          <w:spacing w:val="-2"/>
          <w:sz w:val="22"/>
        </w:rPr>
        <w:t> </w:t>
      </w:r>
      <w:r>
        <w:rPr>
          <w:sz w:val="22"/>
        </w:rPr>
        <w:t>‘Performance Rate Used for BP3’ column are then compared</w:t>
      </w:r>
      <w:r>
        <w:rPr>
          <w:spacing w:val="-2"/>
          <w:sz w:val="22"/>
        </w:rPr>
        <w:t> </w:t>
      </w:r>
      <w:r>
        <w:rPr>
          <w:sz w:val="22"/>
        </w:rPr>
        <w:t>to</w:t>
      </w:r>
      <w:r>
        <w:rPr>
          <w:spacing w:val="-5"/>
          <w:sz w:val="22"/>
        </w:rPr>
        <w:t> </w:t>
      </w:r>
      <w:r>
        <w:rPr>
          <w:sz w:val="22"/>
        </w:rPr>
        <w:t>measure benchmarks for the calculation of Achievements Points, following the scoring approach described in Section 5.3.1.3</w:t>
      </w:r>
    </w:p>
    <w:p>
      <w:pPr>
        <w:pStyle w:val="BodyText"/>
        <w:spacing w:before="9"/>
        <w:rPr>
          <w:sz w:val="11"/>
        </w:rPr>
      </w:pPr>
      <w:r>
        <w:rPr/>
        <mc:AlternateContent>
          <mc:Choice Requires="wps">
            <w:drawing>
              <wp:anchor distT="0" distB="0" distL="0" distR="0" allowOverlap="1" layoutInCell="1" locked="0" behindDoc="1" simplePos="0" relativeHeight="488016896">
                <wp:simplePos x="0" y="0"/>
                <wp:positionH relativeFrom="page">
                  <wp:posOffset>905255</wp:posOffset>
                </wp:positionH>
                <wp:positionV relativeFrom="paragraph">
                  <wp:posOffset>101630</wp:posOffset>
                </wp:positionV>
                <wp:extent cx="5953125" cy="6350"/>
                <wp:effectExtent l="0" t="0" r="0" b="0"/>
                <wp:wrapTopAndBottom/>
                <wp:docPr id="905" name="Graphic 905"/>
                <wp:cNvGraphicFramePr>
                  <a:graphicFrameLocks/>
                </wp:cNvGraphicFramePr>
                <a:graphic>
                  <a:graphicData uri="http://schemas.microsoft.com/office/word/2010/wordprocessingShape">
                    <wps:wsp>
                      <wps:cNvPr id="905" name="Graphic 905"/>
                      <wps:cNvSpPr/>
                      <wps:spPr>
                        <a:xfrm>
                          <a:off x="0" y="0"/>
                          <a:ext cx="5953125" cy="6350"/>
                        </a:xfrm>
                        <a:custGeom>
                          <a:avLst/>
                          <a:gdLst/>
                          <a:ahLst/>
                          <a:cxnLst/>
                          <a:rect l="l" t="t" r="r" b="b"/>
                          <a:pathLst>
                            <a:path w="5953125" h="6350">
                              <a:moveTo>
                                <a:pt x="5952744" y="0"/>
                              </a:moveTo>
                              <a:lnTo>
                                <a:pt x="0" y="0"/>
                              </a:lnTo>
                              <a:lnTo>
                                <a:pt x="0" y="6096"/>
                              </a:lnTo>
                              <a:lnTo>
                                <a:pt x="5952744" y="6096"/>
                              </a:lnTo>
                              <a:lnTo>
                                <a:pt x="5952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1.279999pt;margin-top:8.002422pt;width:468.72pt;height:.48pt;mso-position-horizontal-relative:page;mso-position-vertical-relative:paragraph;z-index:-15299584;mso-wrap-distance-left:0;mso-wrap-distance-right:0" id="docshape122" filled="true" fillcolor="#000000" stroked="false">
                <v:fill type="solid"/>
                <w10:wrap type="topAndBottom"/>
              </v:rect>
            </w:pict>
          </mc:Fallback>
        </mc:AlternateContent>
      </w:r>
    </w:p>
    <w:p>
      <w:pPr>
        <w:pStyle w:val="BodyText"/>
        <w:spacing w:before="5"/>
        <w:rPr>
          <w:sz w:val="9"/>
        </w:rPr>
      </w:pPr>
    </w:p>
    <w:p>
      <w:pPr>
        <w:spacing w:before="91"/>
        <w:ind w:left="1220" w:right="0" w:firstLine="0"/>
        <w:jc w:val="left"/>
        <w:rPr>
          <w:sz w:val="22"/>
        </w:rPr>
      </w:pPr>
      <w:bookmarkStart w:name="Improvement Points" w:id="1390"/>
      <w:bookmarkEnd w:id="1390"/>
      <w:r>
        <w:rPr/>
      </w:r>
      <w:r>
        <w:rPr>
          <w:color w:val="1F3762"/>
          <w:sz w:val="22"/>
        </w:rPr>
        <w:t>Improvement</w:t>
      </w:r>
      <w:r>
        <w:rPr>
          <w:color w:val="1F3762"/>
          <w:spacing w:val="-8"/>
          <w:sz w:val="22"/>
        </w:rPr>
        <w:t> </w:t>
      </w:r>
      <w:r>
        <w:rPr>
          <w:color w:val="1F3762"/>
          <w:spacing w:val="-2"/>
          <w:sz w:val="22"/>
        </w:rPr>
        <w:t>Points</w:t>
      </w:r>
    </w:p>
    <w:p>
      <w:pPr>
        <w:spacing w:line="259" w:lineRule="auto" w:before="2"/>
        <w:ind w:left="1219" w:right="1178" w:firstLine="0"/>
        <w:jc w:val="left"/>
        <w:rPr>
          <w:sz w:val="22"/>
        </w:rPr>
      </w:pPr>
      <w:r>
        <w:rPr>
          <w:sz w:val="22"/>
        </w:rPr>
        <w:t>If the State sets individual ACOs’ BP3 measure performance rates to be the ACOs’ actual BP3 measure rates, then the improvement point calculation process will follow the process used for BP2, BP4, and BP5,</w:t>
      </w:r>
      <w:r>
        <w:rPr>
          <w:spacing w:val="-2"/>
          <w:sz w:val="22"/>
        </w:rPr>
        <w:t> </w:t>
      </w:r>
      <w:r>
        <w:rPr>
          <w:sz w:val="22"/>
        </w:rPr>
        <w:t>as</w:t>
      </w:r>
      <w:r>
        <w:rPr>
          <w:spacing w:val="-2"/>
          <w:sz w:val="22"/>
        </w:rPr>
        <w:t> </w:t>
      </w:r>
      <w:r>
        <w:rPr>
          <w:sz w:val="22"/>
        </w:rPr>
        <w:t>described</w:t>
      </w:r>
      <w:r>
        <w:rPr>
          <w:spacing w:val="-2"/>
          <w:sz w:val="22"/>
        </w:rPr>
        <w:t> </w:t>
      </w:r>
      <w:r>
        <w:rPr>
          <w:sz w:val="22"/>
        </w:rPr>
        <w:t>above</w:t>
      </w:r>
      <w:r>
        <w:rPr>
          <w:spacing w:val="-2"/>
          <w:sz w:val="22"/>
        </w:rPr>
        <w:t> </w:t>
      </w:r>
      <w:r>
        <w:rPr>
          <w:sz w:val="22"/>
        </w:rPr>
        <w:t>in</w:t>
      </w:r>
      <w:r>
        <w:rPr>
          <w:spacing w:val="-5"/>
          <w:sz w:val="22"/>
        </w:rPr>
        <w:t> </w:t>
      </w:r>
      <w:r>
        <w:rPr>
          <w:sz w:val="22"/>
        </w:rPr>
        <w:t>Section</w:t>
      </w:r>
      <w:r>
        <w:rPr>
          <w:spacing w:val="-2"/>
          <w:sz w:val="22"/>
        </w:rPr>
        <w:t> </w:t>
      </w:r>
      <w:r>
        <w:rPr>
          <w:sz w:val="22"/>
        </w:rPr>
        <w:t>5.3.1.2.</w:t>
      </w:r>
      <w:r>
        <w:rPr>
          <w:spacing w:val="40"/>
          <w:sz w:val="22"/>
        </w:rPr>
        <w:t> </w:t>
      </w:r>
      <w:r>
        <w:rPr>
          <w:sz w:val="22"/>
        </w:rPr>
        <w:t>If</w:t>
      </w:r>
      <w:r>
        <w:rPr>
          <w:spacing w:val="-1"/>
          <w:sz w:val="22"/>
        </w:rPr>
        <w:t> </w:t>
      </w:r>
      <w:r>
        <w:rPr>
          <w:sz w:val="22"/>
        </w:rPr>
        <w:t>the</w:t>
      </w:r>
      <w:r>
        <w:rPr>
          <w:spacing w:val="-2"/>
          <w:sz w:val="22"/>
        </w:rPr>
        <w:t> </w:t>
      </w:r>
      <w:r>
        <w:rPr>
          <w:sz w:val="22"/>
        </w:rPr>
        <w:t>State</w:t>
      </w:r>
      <w:r>
        <w:rPr>
          <w:spacing w:val="-4"/>
          <w:sz w:val="22"/>
        </w:rPr>
        <w:t> </w:t>
      </w:r>
      <w:r>
        <w:rPr>
          <w:sz w:val="22"/>
        </w:rPr>
        <w:t>sets</w:t>
      </w:r>
      <w:r>
        <w:rPr>
          <w:spacing w:val="-2"/>
          <w:sz w:val="22"/>
        </w:rPr>
        <w:t> </w:t>
      </w:r>
      <w:r>
        <w:rPr>
          <w:sz w:val="22"/>
        </w:rPr>
        <w:t>individual</w:t>
      </w:r>
      <w:r>
        <w:rPr>
          <w:spacing w:val="-1"/>
          <w:sz w:val="22"/>
        </w:rPr>
        <w:t> </w:t>
      </w:r>
      <w:r>
        <w:rPr>
          <w:sz w:val="22"/>
        </w:rPr>
        <w:t>ACOs’</w:t>
      </w:r>
      <w:r>
        <w:rPr>
          <w:spacing w:val="-1"/>
          <w:sz w:val="22"/>
        </w:rPr>
        <w:t> </w:t>
      </w:r>
      <w:r>
        <w:rPr>
          <w:sz w:val="22"/>
        </w:rPr>
        <w:t>BP3</w:t>
      </w:r>
      <w:r>
        <w:rPr>
          <w:spacing w:val="-5"/>
          <w:sz w:val="22"/>
        </w:rPr>
        <w:t> </w:t>
      </w:r>
      <w:r>
        <w:rPr>
          <w:sz w:val="22"/>
        </w:rPr>
        <w:t>measure</w:t>
      </w:r>
      <w:r>
        <w:rPr>
          <w:spacing w:val="-2"/>
          <w:sz w:val="22"/>
        </w:rPr>
        <w:t> </w:t>
      </w:r>
      <w:r>
        <w:rPr>
          <w:sz w:val="22"/>
        </w:rPr>
        <w:t>performance rates as either</w:t>
      </w:r>
      <w:r>
        <w:rPr>
          <w:spacing w:val="-1"/>
          <w:sz w:val="22"/>
        </w:rPr>
        <w:t> </w:t>
      </w:r>
      <w:r>
        <w:rPr>
          <w:sz w:val="22"/>
        </w:rPr>
        <w:t>individual ACOs’ BP2 rates or</w:t>
      </w:r>
      <w:r>
        <w:rPr>
          <w:spacing w:val="-1"/>
          <w:sz w:val="22"/>
        </w:rPr>
        <w:t> </w:t>
      </w:r>
      <w:r>
        <w:rPr>
          <w:sz w:val="22"/>
        </w:rPr>
        <w:t>the BP2</w:t>
      </w:r>
      <w:r>
        <w:rPr>
          <w:spacing w:val="-3"/>
          <w:sz w:val="22"/>
        </w:rPr>
        <w:t> </w:t>
      </w:r>
      <w:r>
        <w:rPr>
          <w:sz w:val="22"/>
        </w:rPr>
        <w:t>statewide median</w:t>
      </w:r>
      <w:r>
        <w:rPr>
          <w:spacing w:val="-3"/>
          <w:sz w:val="22"/>
        </w:rPr>
        <w:t> </w:t>
      </w:r>
      <w:r>
        <w:rPr>
          <w:sz w:val="22"/>
        </w:rPr>
        <w:t>rates</w:t>
      </w:r>
      <w:r>
        <w:rPr>
          <w:spacing w:val="-3"/>
          <w:sz w:val="22"/>
        </w:rPr>
        <w:t> </w:t>
      </w:r>
      <w:r>
        <w:rPr>
          <w:sz w:val="22"/>
        </w:rPr>
        <w:t>(capped or</w:t>
      </w:r>
      <w:r>
        <w:rPr>
          <w:spacing w:val="-1"/>
          <w:sz w:val="22"/>
        </w:rPr>
        <w:t> </w:t>
      </w:r>
      <w:r>
        <w:rPr>
          <w:sz w:val="22"/>
        </w:rPr>
        <w:t>uncapped), then improvement point calculation for BP3 is determined by the following methodology:</w:t>
      </w:r>
    </w:p>
    <w:p>
      <w:pPr>
        <w:spacing w:before="160"/>
        <w:ind w:left="1760" w:right="0" w:firstLine="0"/>
        <w:jc w:val="left"/>
        <w:rPr>
          <w:i/>
          <w:sz w:val="22"/>
        </w:rPr>
      </w:pPr>
      <w:r>
        <w:rPr>
          <w:i/>
          <w:sz w:val="22"/>
        </w:rPr>
        <w:t>Step</w:t>
      </w:r>
      <w:r>
        <w:rPr>
          <w:i/>
          <w:spacing w:val="-2"/>
          <w:sz w:val="22"/>
        </w:rPr>
        <w:t> </w:t>
      </w:r>
      <w:r>
        <w:rPr>
          <w:i/>
          <w:sz w:val="22"/>
        </w:rPr>
        <w:t>1: ACO</w:t>
      </w:r>
      <w:r>
        <w:rPr>
          <w:i/>
          <w:spacing w:val="-2"/>
          <w:sz w:val="22"/>
        </w:rPr>
        <w:t> Improvement</w:t>
      </w:r>
    </w:p>
    <w:p>
      <w:pPr>
        <w:pStyle w:val="ListParagraph"/>
        <w:numPr>
          <w:ilvl w:val="0"/>
          <w:numId w:val="86"/>
        </w:numPr>
        <w:tabs>
          <w:tab w:pos="2120" w:val="left" w:leader="none"/>
        </w:tabs>
        <w:spacing w:line="240" w:lineRule="auto" w:before="179" w:after="0"/>
        <w:ind w:left="2120" w:right="0" w:hanging="360"/>
        <w:jc w:val="left"/>
        <w:rPr>
          <w:sz w:val="22"/>
        </w:rPr>
      </w:pPr>
      <w:r>
        <w:rPr>
          <w:sz w:val="22"/>
        </w:rPr>
        <w:t>For</w:t>
      </w:r>
      <w:r>
        <w:rPr>
          <w:spacing w:val="-4"/>
          <w:sz w:val="22"/>
        </w:rPr>
        <w:t> </w:t>
      </w:r>
      <w:r>
        <w:rPr>
          <w:sz w:val="22"/>
        </w:rPr>
        <w:t>each</w:t>
      </w:r>
      <w:r>
        <w:rPr>
          <w:spacing w:val="-3"/>
          <w:sz w:val="22"/>
        </w:rPr>
        <w:t> </w:t>
      </w:r>
      <w:r>
        <w:rPr>
          <w:sz w:val="22"/>
        </w:rPr>
        <w:t>applicable</w:t>
      </w:r>
      <w:r>
        <w:rPr>
          <w:spacing w:val="-3"/>
          <w:sz w:val="22"/>
        </w:rPr>
        <w:t> </w:t>
      </w:r>
      <w:r>
        <w:rPr>
          <w:sz w:val="22"/>
        </w:rPr>
        <w:t>measure,</w:t>
      </w:r>
      <w:r>
        <w:rPr>
          <w:spacing w:val="-3"/>
          <w:sz w:val="22"/>
        </w:rPr>
        <w:t> </w:t>
      </w:r>
      <w:r>
        <w:rPr>
          <w:sz w:val="22"/>
        </w:rPr>
        <w:t>ACO</w:t>
      </w:r>
      <w:r>
        <w:rPr>
          <w:spacing w:val="-4"/>
          <w:sz w:val="22"/>
        </w:rPr>
        <w:t> </w:t>
      </w:r>
      <w:r>
        <w:rPr>
          <w:sz w:val="22"/>
        </w:rPr>
        <w:t>BP2</w:t>
      </w:r>
      <w:r>
        <w:rPr>
          <w:spacing w:val="-3"/>
          <w:sz w:val="22"/>
        </w:rPr>
        <w:t> </w:t>
      </w:r>
      <w:r>
        <w:rPr>
          <w:sz w:val="22"/>
        </w:rPr>
        <w:t>actual</w:t>
      </w:r>
      <w:r>
        <w:rPr>
          <w:spacing w:val="-5"/>
          <w:sz w:val="22"/>
        </w:rPr>
        <w:t> </w:t>
      </w:r>
      <w:r>
        <w:rPr>
          <w:sz w:val="22"/>
        </w:rPr>
        <w:t>rates</w:t>
      </w:r>
      <w:r>
        <w:rPr>
          <w:spacing w:val="-4"/>
          <w:sz w:val="22"/>
        </w:rPr>
        <w:t> </w:t>
      </w:r>
      <w:r>
        <w:rPr>
          <w:sz w:val="22"/>
        </w:rPr>
        <w:t>are</w:t>
      </w:r>
      <w:r>
        <w:rPr>
          <w:spacing w:val="-3"/>
          <w:sz w:val="22"/>
        </w:rPr>
        <w:t> </w:t>
      </w:r>
      <w:r>
        <w:rPr>
          <w:sz w:val="22"/>
        </w:rPr>
        <w:t>compared</w:t>
      </w:r>
      <w:r>
        <w:rPr>
          <w:spacing w:val="-6"/>
          <w:sz w:val="22"/>
        </w:rPr>
        <w:t> </w:t>
      </w:r>
      <w:r>
        <w:rPr>
          <w:sz w:val="22"/>
        </w:rPr>
        <w:t>to</w:t>
      </w:r>
      <w:r>
        <w:rPr>
          <w:spacing w:val="-3"/>
          <w:sz w:val="22"/>
        </w:rPr>
        <w:t> </w:t>
      </w:r>
      <w:r>
        <w:rPr>
          <w:sz w:val="22"/>
        </w:rPr>
        <w:t>ACO</w:t>
      </w:r>
      <w:r>
        <w:rPr>
          <w:spacing w:val="-4"/>
          <w:sz w:val="22"/>
        </w:rPr>
        <w:t> </w:t>
      </w:r>
      <w:r>
        <w:rPr>
          <w:sz w:val="22"/>
        </w:rPr>
        <w:t>BP1</w:t>
      </w:r>
      <w:r>
        <w:rPr>
          <w:spacing w:val="-3"/>
          <w:sz w:val="22"/>
        </w:rPr>
        <w:t> </w:t>
      </w:r>
      <w:r>
        <w:rPr>
          <w:sz w:val="22"/>
        </w:rPr>
        <w:t>actual</w:t>
      </w:r>
      <w:r>
        <w:rPr>
          <w:spacing w:val="-1"/>
          <w:sz w:val="22"/>
        </w:rPr>
        <w:t> </w:t>
      </w:r>
      <w:r>
        <w:rPr>
          <w:spacing w:val="-2"/>
          <w:sz w:val="22"/>
        </w:rPr>
        <w:t>rates</w:t>
      </w:r>
    </w:p>
    <w:p>
      <w:pPr>
        <w:pStyle w:val="ListParagraph"/>
        <w:numPr>
          <w:ilvl w:val="1"/>
          <w:numId w:val="86"/>
        </w:numPr>
        <w:tabs>
          <w:tab w:pos="2840" w:val="left" w:leader="none"/>
        </w:tabs>
        <w:spacing w:line="247" w:lineRule="auto" w:before="19" w:after="0"/>
        <w:ind w:left="2840" w:right="2348" w:hanging="360"/>
        <w:jc w:val="left"/>
        <w:rPr>
          <w:sz w:val="22"/>
        </w:rPr>
      </w:pPr>
      <w:r>
        <w:rPr>
          <w:sz w:val="22"/>
        </w:rPr>
        <w:t>For</w:t>
      </w:r>
      <w:r>
        <w:rPr>
          <w:spacing w:val="-3"/>
          <w:sz w:val="22"/>
        </w:rPr>
        <w:t> </w:t>
      </w:r>
      <w:r>
        <w:rPr>
          <w:sz w:val="22"/>
        </w:rPr>
        <w:t>measures</w:t>
      </w:r>
      <w:r>
        <w:rPr>
          <w:spacing w:val="-4"/>
          <w:sz w:val="22"/>
        </w:rPr>
        <w:t> </w:t>
      </w:r>
      <w:r>
        <w:rPr>
          <w:sz w:val="22"/>
        </w:rPr>
        <w:t>where</w:t>
      </w:r>
      <w:r>
        <w:rPr>
          <w:spacing w:val="-4"/>
          <w:sz w:val="22"/>
        </w:rPr>
        <w:t> </w:t>
      </w:r>
      <w:r>
        <w:rPr>
          <w:sz w:val="22"/>
        </w:rPr>
        <w:t>an</w:t>
      </w:r>
      <w:r>
        <w:rPr>
          <w:spacing w:val="-4"/>
          <w:sz w:val="22"/>
        </w:rPr>
        <w:t> </w:t>
      </w:r>
      <w:r>
        <w:rPr>
          <w:sz w:val="22"/>
        </w:rPr>
        <w:t>ACO</w:t>
      </w:r>
      <w:r>
        <w:rPr>
          <w:spacing w:val="-5"/>
          <w:sz w:val="22"/>
        </w:rPr>
        <w:t> </w:t>
      </w:r>
      <w:r>
        <w:rPr>
          <w:sz w:val="22"/>
        </w:rPr>
        <w:t>demonstrates</w:t>
      </w:r>
      <w:r>
        <w:rPr>
          <w:spacing w:val="-6"/>
          <w:sz w:val="22"/>
        </w:rPr>
        <w:t> </w:t>
      </w:r>
      <w:r>
        <w:rPr>
          <w:sz w:val="22"/>
        </w:rPr>
        <w:t>improvement</w:t>
      </w:r>
      <w:r>
        <w:rPr>
          <w:spacing w:val="-3"/>
          <w:sz w:val="22"/>
        </w:rPr>
        <w:t> </w:t>
      </w:r>
      <w:r>
        <w:rPr>
          <w:sz w:val="22"/>
        </w:rPr>
        <w:t>(i.e.,</w:t>
      </w:r>
      <w:r>
        <w:rPr>
          <w:spacing w:val="-7"/>
          <w:sz w:val="22"/>
        </w:rPr>
        <w:t> </w:t>
      </w:r>
      <w:r>
        <w:rPr>
          <w:sz w:val="22"/>
        </w:rPr>
        <w:t>reaches</w:t>
      </w:r>
      <w:r>
        <w:rPr>
          <w:spacing w:val="-4"/>
          <w:sz w:val="22"/>
        </w:rPr>
        <w:t> </w:t>
      </w:r>
      <w:r>
        <w:rPr>
          <w:sz w:val="22"/>
        </w:rPr>
        <w:t>the predetermined improvement targets), the ACO</w:t>
      </w:r>
      <w:r>
        <w:rPr>
          <w:spacing w:val="-1"/>
          <w:sz w:val="22"/>
        </w:rPr>
        <w:t> </w:t>
      </w:r>
      <w:r>
        <w:rPr>
          <w:sz w:val="22"/>
        </w:rPr>
        <w:t>earns</w:t>
      </w:r>
      <w:r>
        <w:rPr>
          <w:spacing w:val="-2"/>
          <w:sz w:val="22"/>
        </w:rPr>
        <w:t> </w:t>
      </w:r>
      <w:r>
        <w:rPr>
          <w:sz w:val="22"/>
        </w:rPr>
        <w:t>improvement points</w:t>
      </w:r>
    </w:p>
    <w:p>
      <w:pPr>
        <w:pStyle w:val="ListParagraph"/>
        <w:numPr>
          <w:ilvl w:val="1"/>
          <w:numId w:val="86"/>
        </w:numPr>
        <w:tabs>
          <w:tab w:pos="2840" w:val="left" w:leader="none"/>
        </w:tabs>
        <w:spacing w:line="247" w:lineRule="auto" w:before="12" w:after="0"/>
        <w:ind w:left="2840" w:right="1962" w:hanging="361"/>
        <w:jc w:val="left"/>
        <w:rPr>
          <w:sz w:val="22"/>
        </w:rPr>
      </w:pPr>
      <w:r>
        <w:rPr>
          <w:sz w:val="22"/>
        </w:rPr>
        <w:t>For</w:t>
      </w:r>
      <w:r>
        <w:rPr>
          <w:spacing w:val="-2"/>
          <w:sz w:val="22"/>
        </w:rPr>
        <w:t> </w:t>
      </w:r>
      <w:r>
        <w:rPr>
          <w:sz w:val="22"/>
        </w:rPr>
        <w:t>measures</w:t>
      </w:r>
      <w:r>
        <w:rPr>
          <w:spacing w:val="-3"/>
          <w:sz w:val="22"/>
        </w:rPr>
        <w:t> </w:t>
      </w:r>
      <w:r>
        <w:rPr>
          <w:sz w:val="22"/>
        </w:rPr>
        <w:t>where</w:t>
      </w:r>
      <w:r>
        <w:rPr>
          <w:spacing w:val="-3"/>
          <w:sz w:val="22"/>
        </w:rPr>
        <w:t> </w:t>
      </w:r>
      <w:r>
        <w:rPr>
          <w:sz w:val="22"/>
        </w:rPr>
        <w:t>an</w:t>
      </w:r>
      <w:r>
        <w:rPr>
          <w:spacing w:val="-3"/>
          <w:sz w:val="22"/>
        </w:rPr>
        <w:t> </w:t>
      </w:r>
      <w:r>
        <w:rPr>
          <w:sz w:val="22"/>
        </w:rPr>
        <w:t>ACO</w:t>
      </w:r>
      <w:r>
        <w:rPr>
          <w:spacing w:val="-4"/>
          <w:sz w:val="22"/>
        </w:rPr>
        <w:t> </w:t>
      </w:r>
      <w:r>
        <w:rPr>
          <w:sz w:val="22"/>
        </w:rPr>
        <w:t>fails</w:t>
      </w:r>
      <w:r>
        <w:rPr>
          <w:spacing w:val="-5"/>
          <w:sz w:val="22"/>
        </w:rPr>
        <w:t> </w:t>
      </w:r>
      <w:r>
        <w:rPr>
          <w:sz w:val="22"/>
        </w:rPr>
        <w:t>to</w:t>
      </w:r>
      <w:r>
        <w:rPr>
          <w:spacing w:val="-3"/>
          <w:sz w:val="22"/>
        </w:rPr>
        <w:t> </w:t>
      </w:r>
      <w:r>
        <w:rPr>
          <w:sz w:val="22"/>
        </w:rPr>
        <w:t>demonstrate</w:t>
      </w:r>
      <w:r>
        <w:rPr>
          <w:spacing w:val="-3"/>
          <w:sz w:val="22"/>
        </w:rPr>
        <w:t> </w:t>
      </w:r>
      <w:r>
        <w:rPr>
          <w:sz w:val="22"/>
        </w:rPr>
        <w:t>improvement,</w:t>
      </w:r>
      <w:r>
        <w:rPr>
          <w:spacing w:val="-3"/>
          <w:sz w:val="22"/>
        </w:rPr>
        <w:t> </w:t>
      </w:r>
      <w:r>
        <w:rPr>
          <w:sz w:val="22"/>
        </w:rPr>
        <w:t>then</w:t>
      </w:r>
      <w:r>
        <w:rPr>
          <w:spacing w:val="-3"/>
          <w:sz w:val="22"/>
        </w:rPr>
        <w:t> </w:t>
      </w:r>
      <w:r>
        <w:rPr>
          <w:sz w:val="22"/>
        </w:rPr>
        <w:t>Step</w:t>
      </w:r>
      <w:r>
        <w:rPr>
          <w:spacing w:val="-3"/>
          <w:sz w:val="22"/>
        </w:rPr>
        <w:t> </w:t>
      </w:r>
      <w:r>
        <w:rPr>
          <w:sz w:val="22"/>
        </w:rPr>
        <w:t>2</w:t>
      </w:r>
      <w:r>
        <w:rPr>
          <w:spacing w:val="-6"/>
          <w:sz w:val="22"/>
        </w:rPr>
        <w:t> </w:t>
      </w:r>
      <w:r>
        <w:rPr>
          <w:sz w:val="22"/>
        </w:rPr>
        <w:t>is </w:t>
      </w:r>
      <w:r>
        <w:rPr>
          <w:spacing w:val="-2"/>
          <w:sz w:val="22"/>
        </w:rPr>
        <w:t>implemented</w:t>
      </w:r>
    </w:p>
    <w:p>
      <w:pPr>
        <w:spacing w:before="175"/>
        <w:ind w:left="1580" w:right="0" w:firstLine="0"/>
        <w:jc w:val="left"/>
        <w:rPr>
          <w:i/>
          <w:sz w:val="22"/>
        </w:rPr>
      </w:pPr>
      <w:r>
        <w:rPr>
          <w:i/>
          <w:sz w:val="22"/>
        </w:rPr>
        <w:t>Step</w:t>
      </w:r>
      <w:r>
        <w:rPr>
          <w:i/>
          <w:spacing w:val="-4"/>
          <w:sz w:val="22"/>
        </w:rPr>
        <w:t> </w:t>
      </w:r>
      <w:r>
        <w:rPr>
          <w:i/>
          <w:sz w:val="22"/>
        </w:rPr>
        <w:t>2:</w:t>
      </w:r>
      <w:r>
        <w:rPr>
          <w:i/>
          <w:spacing w:val="-2"/>
          <w:sz w:val="22"/>
        </w:rPr>
        <w:t> </w:t>
      </w:r>
      <w:r>
        <w:rPr>
          <w:i/>
          <w:sz w:val="22"/>
        </w:rPr>
        <w:t>Statewide</w:t>
      </w:r>
      <w:r>
        <w:rPr>
          <w:i/>
          <w:spacing w:val="-3"/>
          <w:sz w:val="22"/>
        </w:rPr>
        <w:t> </w:t>
      </w:r>
      <w:r>
        <w:rPr>
          <w:i/>
          <w:sz w:val="22"/>
        </w:rPr>
        <w:t>Median</w:t>
      </w:r>
      <w:r>
        <w:rPr>
          <w:i/>
          <w:spacing w:val="-3"/>
          <w:sz w:val="22"/>
        </w:rPr>
        <w:t> </w:t>
      </w:r>
      <w:r>
        <w:rPr>
          <w:i/>
          <w:spacing w:val="-2"/>
          <w:sz w:val="22"/>
        </w:rPr>
        <w:t>Improvement</w:t>
      </w:r>
    </w:p>
    <w:p>
      <w:pPr>
        <w:pStyle w:val="ListParagraph"/>
        <w:numPr>
          <w:ilvl w:val="0"/>
          <w:numId w:val="87"/>
        </w:numPr>
        <w:tabs>
          <w:tab w:pos="1940" w:val="left" w:leader="none"/>
        </w:tabs>
        <w:spacing w:line="259" w:lineRule="auto" w:before="179" w:after="0"/>
        <w:ind w:left="1940" w:right="1212" w:hanging="361"/>
        <w:jc w:val="left"/>
        <w:rPr>
          <w:sz w:val="22"/>
        </w:rPr>
      </w:pPr>
      <w:r>
        <w:rPr>
          <w:sz w:val="22"/>
        </w:rPr>
        <w:t>For</w:t>
      </w:r>
      <w:r>
        <w:rPr>
          <w:spacing w:val="-1"/>
          <w:sz w:val="22"/>
        </w:rPr>
        <w:t> </w:t>
      </w:r>
      <w:r>
        <w:rPr>
          <w:sz w:val="22"/>
        </w:rPr>
        <w:t>each</w:t>
      </w:r>
      <w:r>
        <w:rPr>
          <w:spacing w:val="-2"/>
          <w:sz w:val="22"/>
        </w:rPr>
        <w:t> </w:t>
      </w:r>
      <w:r>
        <w:rPr>
          <w:sz w:val="22"/>
        </w:rPr>
        <w:t>applicable</w:t>
      </w:r>
      <w:r>
        <w:rPr>
          <w:spacing w:val="-2"/>
          <w:sz w:val="22"/>
        </w:rPr>
        <w:t> </w:t>
      </w:r>
      <w:r>
        <w:rPr>
          <w:sz w:val="22"/>
        </w:rPr>
        <w:t>measure</w:t>
      </w:r>
      <w:r>
        <w:rPr>
          <w:spacing w:val="-2"/>
          <w:sz w:val="22"/>
        </w:rPr>
        <w:t> </w:t>
      </w:r>
      <w:r>
        <w:rPr>
          <w:sz w:val="22"/>
        </w:rPr>
        <w:t>(i.e.,</w:t>
      </w:r>
      <w:r>
        <w:rPr>
          <w:spacing w:val="-4"/>
          <w:sz w:val="22"/>
        </w:rPr>
        <w:t> </w:t>
      </w:r>
      <w:r>
        <w:rPr>
          <w:sz w:val="22"/>
        </w:rPr>
        <w:t>from</w:t>
      </w:r>
      <w:r>
        <w:rPr>
          <w:spacing w:val="-5"/>
          <w:sz w:val="22"/>
        </w:rPr>
        <w:t> </w:t>
      </w:r>
      <w:r>
        <w:rPr>
          <w:sz w:val="22"/>
        </w:rPr>
        <w:t>Step</w:t>
      </w:r>
      <w:r>
        <w:rPr>
          <w:spacing w:val="-2"/>
          <w:sz w:val="22"/>
        </w:rPr>
        <w:t> </w:t>
      </w:r>
      <w:r>
        <w:rPr>
          <w:sz w:val="22"/>
        </w:rPr>
        <w:t>1.a.ii),</w:t>
      </w:r>
      <w:r>
        <w:rPr>
          <w:spacing w:val="-4"/>
          <w:sz w:val="22"/>
        </w:rPr>
        <w:t> </w:t>
      </w:r>
      <w:r>
        <w:rPr>
          <w:sz w:val="22"/>
        </w:rPr>
        <w:t>the</w:t>
      </w:r>
      <w:r>
        <w:rPr>
          <w:spacing w:val="-4"/>
          <w:sz w:val="22"/>
        </w:rPr>
        <w:t> </w:t>
      </w:r>
      <w:r>
        <w:rPr>
          <w:sz w:val="22"/>
        </w:rPr>
        <w:t>statewide</w:t>
      </w:r>
      <w:r>
        <w:rPr>
          <w:spacing w:val="-2"/>
          <w:sz w:val="22"/>
        </w:rPr>
        <w:t> </w:t>
      </w:r>
      <w:r>
        <w:rPr>
          <w:sz w:val="22"/>
        </w:rPr>
        <w:t>median</w:t>
      </w:r>
      <w:r>
        <w:rPr>
          <w:spacing w:val="-4"/>
          <w:sz w:val="22"/>
        </w:rPr>
        <w:t> </w:t>
      </w:r>
      <w:r>
        <w:rPr>
          <w:sz w:val="22"/>
        </w:rPr>
        <w:t>for</w:t>
      </w:r>
      <w:r>
        <w:rPr>
          <w:spacing w:val="-1"/>
          <w:sz w:val="22"/>
        </w:rPr>
        <w:t> </w:t>
      </w:r>
      <w:r>
        <w:rPr>
          <w:sz w:val="22"/>
        </w:rPr>
        <w:t>BP1</w:t>
      </w:r>
      <w:r>
        <w:rPr>
          <w:spacing w:val="-4"/>
          <w:sz w:val="22"/>
        </w:rPr>
        <w:t> </w:t>
      </w:r>
      <w:r>
        <w:rPr>
          <w:sz w:val="22"/>
        </w:rPr>
        <w:t>is</w:t>
      </w:r>
      <w:r>
        <w:rPr>
          <w:spacing w:val="-2"/>
          <w:sz w:val="22"/>
        </w:rPr>
        <w:t> </w:t>
      </w:r>
      <w:r>
        <w:rPr>
          <w:sz w:val="22"/>
        </w:rPr>
        <w:t>compared</w:t>
      </w:r>
      <w:r>
        <w:rPr>
          <w:spacing w:val="-4"/>
          <w:sz w:val="22"/>
        </w:rPr>
        <w:t> </w:t>
      </w:r>
      <w:r>
        <w:rPr>
          <w:sz w:val="22"/>
        </w:rPr>
        <w:t>to the statewide median for BP2</w:t>
      </w:r>
    </w:p>
    <w:p>
      <w:pPr>
        <w:pStyle w:val="ListParagraph"/>
        <w:numPr>
          <w:ilvl w:val="1"/>
          <w:numId w:val="87"/>
        </w:numPr>
        <w:tabs>
          <w:tab w:pos="2660" w:val="left" w:leader="none"/>
        </w:tabs>
        <w:spacing w:line="247" w:lineRule="auto" w:before="0" w:after="0"/>
        <w:ind w:left="2660" w:right="1169" w:hanging="360"/>
        <w:jc w:val="left"/>
        <w:rPr>
          <w:sz w:val="22"/>
        </w:rPr>
      </w:pPr>
      <w:r>
        <w:rPr>
          <w:sz w:val="22"/>
        </w:rPr>
        <w:t>For</w:t>
      </w:r>
      <w:r>
        <w:rPr>
          <w:spacing w:val="-3"/>
          <w:sz w:val="22"/>
        </w:rPr>
        <w:t> </w:t>
      </w:r>
      <w:r>
        <w:rPr>
          <w:sz w:val="22"/>
        </w:rPr>
        <w:t>measures</w:t>
      </w:r>
      <w:r>
        <w:rPr>
          <w:spacing w:val="-4"/>
          <w:sz w:val="22"/>
        </w:rPr>
        <w:t> </w:t>
      </w:r>
      <w:r>
        <w:rPr>
          <w:sz w:val="22"/>
        </w:rPr>
        <w:t>where</w:t>
      </w:r>
      <w:r>
        <w:rPr>
          <w:spacing w:val="-4"/>
          <w:sz w:val="22"/>
        </w:rPr>
        <w:t> </w:t>
      </w:r>
      <w:r>
        <w:rPr>
          <w:sz w:val="22"/>
        </w:rPr>
        <w:t>the</w:t>
      </w:r>
      <w:r>
        <w:rPr>
          <w:spacing w:val="-4"/>
          <w:sz w:val="22"/>
        </w:rPr>
        <w:t> </w:t>
      </w:r>
      <w:r>
        <w:rPr>
          <w:sz w:val="22"/>
        </w:rPr>
        <w:t>State</w:t>
      </w:r>
      <w:r>
        <w:rPr>
          <w:spacing w:val="-4"/>
          <w:sz w:val="22"/>
        </w:rPr>
        <w:t> </w:t>
      </w:r>
      <w:r>
        <w:rPr>
          <w:sz w:val="22"/>
        </w:rPr>
        <w:t>demonstrates</w:t>
      </w:r>
      <w:r>
        <w:rPr>
          <w:spacing w:val="-6"/>
          <w:sz w:val="22"/>
        </w:rPr>
        <w:t> </w:t>
      </w:r>
      <w:r>
        <w:rPr>
          <w:sz w:val="22"/>
        </w:rPr>
        <w:t>improvement</w:t>
      </w:r>
      <w:r>
        <w:rPr>
          <w:spacing w:val="-3"/>
          <w:sz w:val="22"/>
        </w:rPr>
        <w:t> </w:t>
      </w:r>
      <w:r>
        <w:rPr>
          <w:sz w:val="22"/>
        </w:rPr>
        <w:t>(i.e.,</w:t>
      </w:r>
      <w:r>
        <w:rPr>
          <w:spacing w:val="-7"/>
          <w:sz w:val="22"/>
        </w:rPr>
        <w:t> </w:t>
      </w:r>
      <w:r>
        <w:rPr>
          <w:sz w:val="22"/>
        </w:rPr>
        <w:t>reaches</w:t>
      </w:r>
      <w:r>
        <w:rPr>
          <w:spacing w:val="-4"/>
          <w:sz w:val="22"/>
        </w:rPr>
        <w:t> </w:t>
      </w:r>
      <w:r>
        <w:rPr>
          <w:sz w:val="22"/>
        </w:rPr>
        <w:t>the</w:t>
      </w:r>
      <w:r>
        <w:rPr>
          <w:spacing w:val="-4"/>
          <w:sz w:val="22"/>
        </w:rPr>
        <w:t> </w:t>
      </w:r>
      <w:r>
        <w:rPr>
          <w:sz w:val="22"/>
        </w:rPr>
        <w:t>predetermined improvement targets), the ACO earns improvement points</w:t>
      </w:r>
    </w:p>
    <w:p>
      <w:pPr>
        <w:spacing w:line="276" w:lineRule="auto" w:before="13"/>
        <w:ind w:left="2660" w:right="1104" w:firstLine="0"/>
        <w:jc w:val="left"/>
        <w:rPr>
          <w:sz w:val="22"/>
        </w:rPr>
      </w:pPr>
      <w:r>
        <w:rPr>
          <w:i/>
          <w:sz w:val="22"/>
        </w:rPr>
        <w:t>Note</w:t>
      </w:r>
      <w:r>
        <w:rPr>
          <w:sz w:val="22"/>
        </w:rPr>
        <w:t>:</w:t>
      </w:r>
      <w:r>
        <w:rPr>
          <w:spacing w:val="-4"/>
          <w:sz w:val="22"/>
        </w:rPr>
        <w:t> </w:t>
      </w:r>
      <w:r>
        <w:rPr>
          <w:sz w:val="22"/>
        </w:rPr>
        <w:t>The</w:t>
      </w:r>
      <w:r>
        <w:rPr>
          <w:spacing w:val="-2"/>
          <w:sz w:val="22"/>
        </w:rPr>
        <w:t> </w:t>
      </w:r>
      <w:r>
        <w:rPr>
          <w:sz w:val="22"/>
        </w:rPr>
        <w:t>number</w:t>
      </w:r>
      <w:r>
        <w:rPr>
          <w:spacing w:val="-1"/>
          <w:sz w:val="22"/>
        </w:rPr>
        <w:t> </w:t>
      </w:r>
      <w:r>
        <w:rPr>
          <w:sz w:val="22"/>
        </w:rPr>
        <w:t>of</w:t>
      </w:r>
      <w:r>
        <w:rPr>
          <w:spacing w:val="-1"/>
          <w:sz w:val="22"/>
        </w:rPr>
        <w:t> </w:t>
      </w:r>
      <w:r>
        <w:rPr>
          <w:sz w:val="22"/>
        </w:rPr>
        <w:t>measures</w:t>
      </w:r>
      <w:r>
        <w:rPr>
          <w:spacing w:val="-2"/>
          <w:sz w:val="22"/>
        </w:rPr>
        <w:t> </w:t>
      </w:r>
      <w:r>
        <w:rPr>
          <w:sz w:val="22"/>
        </w:rPr>
        <w:t>by</w:t>
      </w:r>
      <w:r>
        <w:rPr>
          <w:spacing w:val="-5"/>
          <w:sz w:val="22"/>
        </w:rPr>
        <w:t> </w:t>
      </w:r>
      <w:r>
        <w:rPr>
          <w:sz w:val="22"/>
        </w:rPr>
        <w:t>which</w:t>
      </w:r>
      <w:r>
        <w:rPr>
          <w:spacing w:val="-2"/>
          <w:sz w:val="22"/>
        </w:rPr>
        <w:t> </w:t>
      </w:r>
      <w:r>
        <w:rPr>
          <w:sz w:val="22"/>
        </w:rPr>
        <w:t>an</w:t>
      </w:r>
      <w:r>
        <w:rPr>
          <w:spacing w:val="-2"/>
          <w:sz w:val="22"/>
        </w:rPr>
        <w:t> </w:t>
      </w:r>
      <w:r>
        <w:rPr>
          <w:sz w:val="22"/>
        </w:rPr>
        <w:t>ACO</w:t>
      </w:r>
      <w:r>
        <w:rPr>
          <w:spacing w:val="-3"/>
          <w:sz w:val="22"/>
        </w:rPr>
        <w:t> </w:t>
      </w:r>
      <w:r>
        <w:rPr>
          <w:sz w:val="22"/>
        </w:rPr>
        <w:t>may</w:t>
      </w:r>
      <w:r>
        <w:rPr>
          <w:spacing w:val="-2"/>
          <w:sz w:val="22"/>
        </w:rPr>
        <w:t> </w:t>
      </w:r>
      <w:r>
        <w:rPr>
          <w:sz w:val="22"/>
        </w:rPr>
        <w:t>use</w:t>
      </w:r>
      <w:r>
        <w:rPr>
          <w:spacing w:val="-2"/>
          <w:sz w:val="22"/>
        </w:rPr>
        <w:t> </w:t>
      </w:r>
      <w:r>
        <w:rPr>
          <w:sz w:val="22"/>
        </w:rPr>
        <w:t>Step</w:t>
      </w:r>
      <w:r>
        <w:rPr>
          <w:spacing w:val="-2"/>
          <w:sz w:val="22"/>
        </w:rPr>
        <w:t> </w:t>
      </w:r>
      <w:r>
        <w:rPr>
          <w:sz w:val="22"/>
        </w:rPr>
        <w:t>2.a.i</w:t>
      </w:r>
      <w:r>
        <w:rPr>
          <w:spacing w:val="-4"/>
          <w:sz w:val="22"/>
        </w:rPr>
        <w:t> </w:t>
      </w:r>
      <w:r>
        <w:rPr>
          <w:sz w:val="22"/>
        </w:rPr>
        <w:t>to</w:t>
      </w:r>
      <w:r>
        <w:rPr>
          <w:spacing w:val="-2"/>
          <w:sz w:val="22"/>
        </w:rPr>
        <w:t> </w:t>
      </w:r>
      <w:r>
        <w:rPr>
          <w:sz w:val="22"/>
        </w:rPr>
        <w:t>earn</w:t>
      </w:r>
      <w:r>
        <w:rPr>
          <w:spacing w:val="-5"/>
          <w:sz w:val="22"/>
        </w:rPr>
        <w:t> </w:t>
      </w:r>
      <w:r>
        <w:rPr>
          <w:sz w:val="22"/>
        </w:rPr>
        <w:t>improvement points is capped at a number to be determined by the State, thereby preventing an unintended inflation of ACO scores (see example in Exhibit 36)</w:t>
      </w:r>
    </w:p>
    <w:p>
      <w:pPr>
        <w:pStyle w:val="ListParagraph"/>
        <w:numPr>
          <w:ilvl w:val="1"/>
          <w:numId w:val="87"/>
        </w:numPr>
        <w:tabs>
          <w:tab w:pos="2660" w:val="left" w:leader="none"/>
        </w:tabs>
        <w:spacing w:line="247" w:lineRule="auto" w:before="0" w:after="0"/>
        <w:ind w:left="2660" w:right="1279" w:hanging="361"/>
        <w:jc w:val="left"/>
        <w:rPr>
          <w:sz w:val="22"/>
        </w:rPr>
      </w:pPr>
      <w:r>
        <w:rPr>
          <w:sz w:val="22"/>
        </w:rPr>
        <w:t>For</w:t>
      </w:r>
      <w:r>
        <w:rPr>
          <w:spacing w:val="-2"/>
          <w:sz w:val="22"/>
        </w:rPr>
        <w:t> </w:t>
      </w:r>
      <w:r>
        <w:rPr>
          <w:sz w:val="22"/>
        </w:rPr>
        <w:t>measures</w:t>
      </w:r>
      <w:r>
        <w:rPr>
          <w:spacing w:val="-3"/>
          <w:sz w:val="22"/>
        </w:rPr>
        <w:t> </w:t>
      </w:r>
      <w:r>
        <w:rPr>
          <w:sz w:val="22"/>
        </w:rPr>
        <w:t>where</w:t>
      </w:r>
      <w:r>
        <w:rPr>
          <w:spacing w:val="-3"/>
          <w:sz w:val="22"/>
        </w:rPr>
        <w:t> </w:t>
      </w:r>
      <w:r>
        <w:rPr>
          <w:sz w:val="22"/>
        </w:rPr>
        <w:t>the</w:t>
      </w:r>
      <w:r>
        <w:rPr>
          <w:spacing w:val="-3"/>
          <w:sz w:val="22"/>
        </w:rPr>
        <w:t> </w:t>
      </w:r>
      <w:r>
        <w:rPr>
          <w:sz w:val="22"/>
        </w:rPr>
        <w:t>State</w:t>
      </w:r>
      <w:r>
        <w:rPr>
          <w:spacing w:val="-3"/>
          <w:sz w:val="22"/>
        </w:rPr>
        <w:t> </w:t>
      </w:r>
      <w:r>
        <w:rPr>
          <w:sz w:val="22"/>
        </w:rPr>
        <w:t>fails</w:t>
      </w:r>
      <w:r>
        <w:rPr>
          <w:spacing w:val="-5"/>
          <w:sz w:val="22"/>
        </w:rPr>
        <w:t> </w:t>
      </w:r>
      <w:r>
        <w:rPr>
          <w:sz w:val="22"/>
        </w:rPr>
        <w:t>to</w:t>
      </w:r>
      <w:r>
        <w:rPr>
          <w:spacing w:val="-3"/>
          <w:sz w:val="22"/>
        </w:rPr>
        <w:t> </w:t>
      </w:r>
      <w:r>
        <w:rPr>
          <w:sz w:val="22"/>
        </w:rPr>
        <w:t>demonstrate</w:t>
      </w:r>
      <w:r>
        <w:rPr>
          <w:spacing w:val="-5"/>
          <w:sz w:val="22"/>
        </w:rPr>
        <w:t> </w:t>
      </w:r>
      <w:r>
        <w:rPr>
          <w:sz w:val="22"/>
        </w:rPr>
        <w:t>improvement,</w:t>
      </w:r>
      <w:r>
        <w:rPr>
          <w:spacing w:val="-3"/>
          <w:sz w:val="22"/>
        </w:rPr>
        <w:t> </w:t>
      </w:r>
      <w:r>
        <w:rPr>
          <w:sz w:val="22"/>
        </w:rPr>
        <w:t>the</w:t>
      </w:r>
      <w:r>
        <w:rPr>
          <w:spacing w:val="-3"/>
          <w:sz w:val="22"/>
        </w:rPr>
        <w:t> </w:t>
      </w:r>
      <w:r>
        <w:rPr>
          <w:sz w:val="22"/>
        </w:rPr>
        <w:t>ACO</w:t>
      </w:r>
      <w:r>
        <w:rPr>
          <w:spacing w:val="-4"/>
          <w:sz w:val="22"/>
        </w:rPr>
        <w:t> </w:t>
      </w:r>
      <w:r>
        <w:rPr>
          <w:sz w:val="22"/>
        </w:rPr>
        <w:t>does</w:t>
      </w:r>
      <w:r>
        <w:rPr>
          <w:spacing w:val="-3"/>
          <w:sz w:val="22"/>
        </w:rPr>
        <w:t> </w:t>
      </w:r>
      <w:r>
        <w:rPr>
          <w:sz w:val="22"/>
        </w:rPr>
        <w:t>not</w:t>
      </w:r>
      <w:r>
        <w:rPr>
          <w:spacing w:val="-5"/>
          <w:sz w:val="22"/>
        </w:rPr>
        <w:t> </w:t>
      </w:r>
      <w:r>
        <w:rPr>
          <w:sz w:val="22"/>
        </w:rPr>
        <w:t>earn improvement points</w:t>
      </w:r>
    </w:p>
    <w:p>
      <w:pPr>
        <w:spacing w:after="0" w:line="247" w:lineRule="auto"/>
        <w:jc w:val="left"/>
        <w:rPr>
          <w:sz w:val="22"/>
        </w:rPr>
        <w:sectPr>
          <w:type w:val="continuous"/>
          <w:pgSz w:w="12240" w:h="15840"/>
          <w:pgMar w:header="0" w:footer="967" w:top="1420" w:bottom="1160" w:left="220" w:right="340"/>
        </w:sectPr>
      </w:pPr>
    </w:p>
    <w:p>
      <w:pPr>
        <w:spacing w:before="74"/>
        <w:ind w:left="1219" w:right="0" w:firstLine="0"/>
        <w:jc w:val="left"/>
        <w:rPr>
          <w:sz w:val="22"/>
        </w:rPr>
      </w:pPr>
      <w:r>
        <w:rPr>
          <w:sz w:val="22"/>
        </w:rPr>
        <w:t>EXHIBIT</w:t>
      </w:r>
      <w:r>
        <w:rPr>
          <w:spacing w:val="-3"/>
          <w:sz w:val="22"/>
        </w:rPr>
        <w:t> </w:t>
      </w:r>
      <w:r>
        <w:rPr>
          <w:sz w:val="22"/>
        </w:rPr>
        <w:t>36</w:t>
      </w:r>
      <w:r>
        <w:rPr>
          <w:spacing w:val="-1"/>
          <w:sz w:val="22"/>
        </w:rPr>
        <w:t> </w:t>
      </w:r>
      <w:r>
        <w:rPr>
          <w:sz w:val="22"/>
        </w:rPr>
        <w:t>-</w:t>
      </w:r>
      <w:r>
        <w:rPr>
          <w:spacing w:val="-7"/>
          <w:sz w:val="22"/>
        </w:rPr>
        <w:t> </w:t>
      </w:r>
      <w:r>
        <w:rPr>
          <w:sz w:val="22"/>
        </w:rPr>
        <w:t>Example</w:t>
      </w:r>
      <w:r>
        <w:rPr>
          <w:spacing w:val="-3"/>
          <w:sz w:val="22"/>
        </w:rPr>
        <w:t> </w:t>
      </w:r>
      <w:r>
        <w:rPr>
          <w:sz w:val="22"/>
        </w:rPr>
        <w:t>of</w:t>
      </w:r>
      <w:r>
        <w:rPr>
          <w:spacing w:val="-1"/>
          <w:sz w:val="22"/>
        </w:rPr>
        <w:t> </w:t>
      </w:r>
      <w:r>
        <w:rPr>
          <w:sz w:val="22"/>
        </w:rPr>
        <w:t>Improvement</w:t>
      </w:r>
      <w:r>
        <w:rPr>
          <w:spacing w:val="-2"/>
          <w:sz w:val="22"/>
        </w:rPr>
        <w:t> </w:t>
      </w:r>
      <w:r>
        <w:rPr>
          <w:sz w:val="22"/>
        </w:rPr>
        <w:t>Point</w:t>
      </w:r>
      <w:r>
        <w:rPr>
          <w:spacing w:val="-2"/>
          <w:sz w:val="22"/>
        </w:rPr>
        <w:t> </w:t>
      </w:r>
      <w:r>
        <w:rPr>
          <w:sz w:val="22"/>
        </w:rPr>
        <w:t>Calculation</w:t>
      </w:r>
      <w:r>
        <w:rPr>
          <w:spacing w:val="-3"/>
          <w:sz w:val="22"/>
        </w:rPr>
        <w:t> </w:t>
      </w:r>
      <w:r>
        <w:rPr>
          <w:sz w:val="22"/>
        </w:rPr>
        <w:t>with</w:t>
      </w:r>
      <w:r>
        <w:rPr>
          <w:spacing w:val="-5"/>
          <w:sz w:val="22"/>
        </w:rPr>
        <w:t> </w:t>
      </w:r>
      <w:r>
        <w:rPr>
          <w:sz w:val="22"/>
        </w:rPr>
        <w:t>Cap</w:t>
      </w:r>
      <w:r>
        <w:rPr>
          <w:spacing w:val="-3"/>
          <w:sz w:val="22"/>
        </w:rPr>
        <w:t> </w:t>
      </w:r>
      <w:r>
        <w:rPr>
          <w:sz w:val="22"/>
        </w:rPr>
        <w:t>=</w:t>
      </w:r>
      <w:r>
        <w:rPr>
          <w:spacing w:val="-5"/>
          <w:sz w:val="22"/>
        </w:rPr>
        <w:t> </w:t>
      </w:r>
      <w:r>
        <w:rPr>
          <w:sz w:val="22"/>
        </w:rPr>
        <w:t>3</w:t>
      </w:r>
      <w:r>
        <w:rPr>
          <w:spacing w:val="-2"/>
          <w:sz w:val="22"/>
        </w:rPr>
        <w:t> Measures</w:t>
      </w:r>
    </w:p>
    <w:p>
      <w:pPr>
        <w:pStyle w:val="BodyText"/>
        <w:spacing w:before="6"/>
        <w:rPr>
          <w:sz w:val="15"/>
        </w:rPr>
      </w:pPr>
      <w:r>
        <w:rPr/>
        <mc:AlternateContent>
          <mc:Choice Requires="wps">
            <w:drawing>
              <wp:anchor distT="0" distB="0" distL="0" distR="0" allowOverlap="1" layoutInCell="1" locked="0" behindDoc="1" simplePos="0" relativeHeight="488017408">
                <wp:simplePos x="0" y="0"/>
                <wp:positionH relativeFrom="page">
                  <wp:posOffset>914400</wp:posOffset>
                </wp:positionH>
                <wp:positionV relativeFrom="paragraph">
                  <wp:posOffset>128651</wp:posOffset>
                </wp:positionV>
                <wp:extent cx="5943600" cy="6350"/>
                <wp:effectExtent l="0" t="0" r="0" b="0"/>
                <wp:wrapTopAndBottom/>
                <wp:docPr id="906" name="Graphic 906"/>
                <wp:cNvGraphicFramePr>
                  <a:graphicFrameLocks/>
                </wp:cNvGraphicFramePr>
                <a:graphic>
                  <a:graphicData uri="http://schemas.microsoft.com/office/word/2010/wordprocessingShape">
                    <wps:wsp>
                      <wps:cNvPr id="906" name="Graphic 906"/>
                      <wps:cNvSpPr/>
                      <wps:spPr>
                        <a:xfrm>
                          <a:off x="0" y="0"/>
                          <a:ext cx="5943600" cy="6350"/>
                        </a:xfrm>
                        <a:custGeom>
                          <a:avLst/>
                          <a:gdLst/>
                          <a:ahLst/>
                          <a:cxnLst/>
                          <a:rect l="l" t="t" r="r" b="b"/>
                          <a:pathLst>
                            <a:path w="5943600" h="6350">
                              <a:moveTo>
                                <a:pt x="5943600" y="0"/>
                              </a:move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0.130075pt;width:468pt;height:.481pt;mso-position-horizontal-relative:page;mso-position-vertical-relative:paragraph;z-index:-15299072;mso-wrap-distance-left:0;mso-wrap-distance-right:0" id="docshape123" filled="true" fillcolor="#000000" stroked="false">
                <v:fill type="solid"/>
                <w10:wrap type="topAndBottom"/>
              </v:rect>
            </w:pict>
          </mc:Fallback>
        </mc:AlternateContent>
      </w:r>
    </w:p>
    <w:p>
      <w:pPr>
        <w:spacing w:before="0"/>
        <w:ind w:left="1220" w:right="1111" w:firstLine="0"/>
        <w:jc w:val="left"/>
        <w:rPr>
          <w:sz w:val="22"/>
        </w:rPr>
      </w:pPr>
      <w:r>
        <w:rPr>
          <w:sz w:val="22"/>
        </w:rPr>
        <w:t>Note:</w:t>
      </w:r>
      <w:r>
        <w:rPr>
          <w:spacing w:val="-2"/>
          <w:sz w:val="22"/>
        </w:rPr>
        <w:t> </w:t>
      </w:r>
      <w:r>
        <w:rPr>
          <w:sz w:val="22"/>
        </w:rPr>
        <w:t>For</w:t>
      </w:r>
      <w:r>
        <w:rPr>
          <w:spacing w:val="-2"/>
          <w:sz w:val="22"/>
        </w:rPr>
        <w:t> </w:t>
      </w:r>
      <w:r>
        <w:rPr>
          <w:sz w:val="22"/>
        </w:rPr>
        <w:t>purposes</w:t>
      </w:r>
      <w:r>
        <w:rPr>
          <w:spacing w:val="-3"/>
          <w:sz w:val="22"/>
        </w:rPr>
        <w:t> </w:t>
      </w:r>
      <w:r>
        <w:rPr>
          <w:sz w:val="22"/>
        </w:rPr>
        <w:t>of</w:t>
      </w:r>
      <w:r>
        <w:rPr>
          <w:spacing w:val="-2"/>
          <w:sz w:val="22"/>
        </w:rPr>
        <w:t> </w:t>
      </w:r>
      <w:r>
        <w:rPr>
          <w:sz w:val="22"/>
        </w:rPr>
        <w:t>simplicity,</w:t>
      </w:r>
      <w:r>
        <w:rPr>
          <w:spacing w:val="-3"/>
          <w:sz w:val="22"/>
        </w:rPr>
        <w:t> </w:t>
      </w:r>
      <w:r>
        <w:rPr>
          <w:sz w:val="22"/>
        </w:rPr>
        <w:t>this</w:t>
      </w:r>
      <w:r>
        <w:rPr>
          <w:spacing w:val="-5"/>
          <w:sz w:val="22"/>
        </w:rPr>
        <w:t> </w:t>
      </w:r>
      <w:r>
        <w:rPr>
          <w:sz w:val="22"/>
        </w:rPr>
        <w:t>example</w:t>
      </w:r>
      <w:r>
        <w:rPr>
          <w:spacing w:val="-3"/>
          <w:sz w:val="22"/>
        </w:rPr>
        <w:t> </w:t>
      </w:r>
      <w:r>
        <w:rPr>
          <w:sz w:val="22"/>
        </w:rPr>
        <w:t>assumes</w:t>
      </w:r>
      <w:r>
        <w:rPr>
          <w:spacing w:val="-3"/>
          <w:sz w:val="22"/>
        </w:rPr>
        <w:t> </w:t>
      </w:r>
      <w:r>
        <w:rPr>
          <w:sz w:val="22"/>
        </w:rPr>
        <w:t>each</w:t>
      </w:r>
      <w:r>
        <w:rPr>
          <w:spacing w:val="-3"/>
          <w:sz w:val="22"/>
        </w:rPr>
        <w:t> </w:t>
      </w:r>
      <w:r>
        <w:rPr>
          <w:sz w:val="22"/>
        </w:rPr>
        <w:t>measure</w:t>
      </w:r>
      <w:r>
        <w:rPr>
          <w:spacing w:val="-3"/>
          <w:sz w:val="22"/>
        </w:rPr>
        <w:t> </w:t>
      </w:r>
      <w:r>
        <w:rPr>
          <w:sz w:val="22"/>
        </w:rPr>
        <w:t>has</w:t>
      </w:r>
      <w:r>
        <w:rPr>
          <w:spacing w:val="-5"/>
          <w:sz w:val="22"/>
        </w:rPr>
        <w:t> </w:t>
      </w:r>
      <w:r>
        <w:rPr>
          <w:sz w:val="22"/>
        </w:rPr>
        <w:t>the</w:t>
      </w:r>
      <w:r>
        <w:rPr>
          <w:spacing w:val="-5"/>
          <w:sz w:val="22"/>
        </w:rPr>
        <w:t> </w:t>
      </w:r>
      <w:r>
        <w:rPr>
          <w:sz w:val="22"/>
        </w:rPr>
        <w:t>same</w:t>
      </w:r>
      <w:r>
        <w:rPr>
          <w:spacing w:val="-3"/>
          <w:sz w:val="22"/>
        </w:rPr>
        <w:t> </w:t>
      </w:r>
      <w:r>
        <w:rPr>
          <w:sz w:val="22"/>
        </w:rPr>
        <w:t>Improvement</w:t>
      </w:r>
      <w:r>
        <w:rPr>
          <w:spacing w:val="-2"/>
          <w:sz w:val="22"/>
        </w:rPr>
        <w:t> </w:t>
      </w:r>
      <w:r>
        <w:rPr>
          <w:sz w:val="22"/>
        </w:rPr>
        <w:t>Target across measures A-G</w:t>
      </w:r>
    </w:p>
    <w:p>
      <w:pPr>
        <w:spacing w:before="0"/>
        <w:ind w:left="1220" w:right="6940" w:firstLine="0"/>
        <w:jc w:val="left"/>
        <w:rPr>
          <w:sz w:val="22"/>
        </w:rPr>
      </w:pPr>
      <w:r>
        <w:rPr>
          <w:sz w:val="22"/>
        </w:rPr>
        <w:t>Measure</w:t>
      </w:r>
      <w:r>
        <w:rPr>
          <w:spacing w:val="-9"/>
          <w:sz w:val="22"/>
        </w:rPr>
        <w:t> </w:t>
      </w:r>
      <w:r>
        <w:rPr>
          <w:sz w:val="22"/>
        </w:rPr>
        <w:t>Improvement</w:t>
      </w:r>
      <w:r>
        <w:rPr>
          <w:spacing w:val="-9"/>
          <w:sz w:val="22"/>
        </w:rPr>
        <w:t> </w:t>
      </w:r>
      <w:r>
        <w:rPr>
          <w:sz w:val="22"/>
        </w:rPr>
        <w:t>Target</w:t>
      </w:r>
      <w:r>
        <w:rPr>
          <w:spacing w:val="-9"/>
          <w:sz w:val="22"/>
        </w:rPr>
        <w:t> </w:t>
      </w:r>
      <w:r>
        <w:rPr>
          <w:sz w:val="22"/>
        </w:rPr>
        <w:t>=</w:t>
      </w:r>
      <w:r>
        <w:rPr>
          <w:spacing w:val="-9"/>
          <w:sz w:val="22"/>
        </w:rPr>
        <w:t> </w:t>
      </w:r>
      <w:r>
        <w:rPr>
          <w:sz w:val="22"/>
        </w:rPr>
        <w:t>2.1 State Improvement Median = 2.1</w:t>
      </w:r>
    </w:p>
    <w:p>
      <w:pPr>
        <w:pStyle w:val="BodyText"/>
        <w:spacing w:before="11"/>
        <w:rPr>
          <w:sz w:val="21"/>
        </w:rPr>
      </w:pPr>
    </w:p>
    <w:tbl>
      <w:tblPr>
        <w:tblW w:w="0" w:type="auto"/>
        <w:jc w:val="left"/>
        <w:tblInd w:w="1287" w:type="dxa"/>
        <w:tblBorders>
          <w:top w:val="single" w:sz="2" w:space="0" w:color="BEBEBE"/>
          <w:left w:val="single" w:sz="2" w:space="0" w:color="BEBEBE"/>
          <w:bottom w:val="single" w:sz="2" w:space="0" w:color="BEBEBE"/>
          <w:right w:val="single" w:sz="2" w:space="0" w:color="BEBEBE"/>
          <w:insideH w:val="single" w:sz="2" w:space="0" w:color="BEBEBE"/>
          <w:insideV w:val="single" w:sz="2" w:space="0" w:color="BEBEBE"/>
        </w:tblBorders>
        <w:tblLayout w:type="fixed"/>
        <w:tblCellMar>
          <w:top w:w="0" w:type="dxa"/>
          <w:left w:w="0" w:type="dxa"/>
          <w:bottom w:w="0" w:type="dxa"/>
          <w:right w:w="0" w:type="dxa"/>
        </w:tblCellMar>
        <w:tblLook w:val="01E0"/>
      </w:tblPr>
      <w:tblGrid>
        <w:gridCol w:w="907"/>
        <w:gridCol w:w="1176"/>
        <w:gridCol w:w="1301"/>
        <w:gridCol w:w="1510"/>
        <w:gridCol w:w="1628"/>
        <w:gridCol w:w="2708"/>
      </w:tblGrid>
      <w:tr>
        <w:trPr>
          <w:trHeight w:val="919" w:hRule="atLeast"/>
        </w:trPr>
        <w:tc>
          <w:tcPr>
            <w:tcW w:w="907" w:type="dxa"/>
            <w:shd w:val="clear" w:color="auto" w:fill="D9D9D9"/>
          </w:tcPr>
          <w:p>
            <w:pPr>
              <w:pStyle w:val="TableParagraph"/>
              <w:spacing w:before="11"/>
              <w:rPr>
                <w:sz w:val="22"/>
              </w:rPr>
            </w:pPr>
          </w:p>
          <w:p>
            <w:pPr>
              <w:pStyle w:val="TableParagraph"/>
              <w:ind w:left="67" w:right="63"/>
              <w:jc w:val="center"/>
              <w:rPr>
                <w:b/>
                <w:sz w:val="20"/>
              </w:rPr>
            </w:pPr>
            <w:r>
              <w:rPr>
                <w:b/>
                <w:spacing w:val="-2"/>
                <w:sz w:val="20"/>
              </w:rPr>
              <w:t>Measure</w:t>
            </w:r>
          </w:p>
        </w:tc>
        <w:tc>
          <w:tcPr>
            <w:tcW w:w="1176" w:type="dxa"/>
            <w:shd w:val="clear" w:color="auto" w:fill="D9D9D9"/>
          </w:tcPr>
          <w:p>
            <w:pPr>
              <w:pStyle w:val="TableParagraph"/>
              <w:spacing w:before="14"/>
              <w:ind w:left="150" w:right="149"/>
              <w:jc w:val="center"/>
              <w:rPr>
                <w:b/>
                <w:sz w:val="20"/>
              </w:rPr>
            </w:pPr>
            <w:r>
              <w:rPr>
                <w:b/>
                <w:sz w:val="20"/>
              </w:rPr>
              <w:t>ACO</w:t>
            </w:r>
            <w:r>
              <w:rPr>
                <w:b/>
                <w:spacing w:val="-4"/>
                <w:sz w:val="20"/>
              </w:rPr>
              <w:t> </w:t>
            </w:r>
            <w:r>
              <w:rPr>
                <w:b/>
                <w:spacing w:val="-5"/>
                <w:sz w:val="20"/>
              </w:rPr>
              <w:t>BP1</w:t>
            </w:r>
          </w:p>
          <w:p>
            <w:pPr>
              <w:pStyle w:val="TableParagraph"/>
              <w:spacing w:line="256" w:lineRule="auto" w:before="20"/>
              <w:ind w:left="150" w:right="143"/>
              <w:jc w:val="center"/>
              <w:rPr>
                <w:b/>
                <w:sz w:val="20"/>
              </w:rPr>
            </w:pPr>
            <w:r>
              <w:rPr>
                <w:b/>
                <w:spacing w:val="-2"/>
                <w:sz w:val="20"/>
              </w:rPr>
              <w:t>Actual </w:t>
            </w:r>
            <w:r>
              <w:rPr>
                <w:b/>
                <w:spacing w:val="-4"/>
                <w:sz w:val="20"/>
              </w:rPr>
              <w:t>Rate</w:t>
            </w:r>
          </w:p>
        </w:tc>
        <w:tc>
          <w:tcPr>
            <w:tcW w:w="1301" w:type="dxa"/>
            <w:shd w:val="clear" w:color="auto" w:fill="D9D9D9"/>
          </w:tcPr>
          <w:p>
            <w:pPr>
              <w:pStyle w:val="TableParagraph"/>
              <w:spacing w:before="139"/>
              <w:ind w:left="223"/>
              <w:rPr>
                <w:b/>
                <w:sz w:val="20"/>
              </w:rPr>
            </w:pPr>
            <w:r>
              <w:rPr>
                <w:b/>
                <w:sz w:val="20"/>
              </w:rPr>
              <w:t>ACO</w:t>
            </w:r>
            <w:r>
              <w:rPr>
                <w:b/>
                <w:spacing w:val="-4"/>
                <w:sz w:val="20"/>
              </w:rPr>
              <w:t> </w:t>
            </w:r>
            <w:r>
              <w:rPr>
                <w:b/>
                <w:spacing w:val="-5"/>
                <w:sz w:val="20"/>
              </w:rPr>
              <w:t>BP2</w:t>
            </w:r>
          </w:p>
          <w:p>
            <w:pPr>
              <w:pStyle w:val="TableParagraph"/>
              <w:spacing w:before="18"/>
              <w:ind w:left="141"/>
              <w:rPr>
                <w:b/>
                <w:sz w:val="20"/>
              </w:rPr>
            </w:pPr>
            <w:r>
              <w:rPr>
                <w:b/>
                <w:sz w:val="20"/>
              </w:rPr>
              <w:t>Actual</w:t>
            </w:r>
            <w:r>
              <w:rPr>
                <w:b/>
                <w:spacing w:val="-6"/>
                <w:sz w:val="20"/>
              </w:rPr>
              <w:t> </w:t>
            </w:r>
            <w:r>
              <w:rPr>
                <w:b/>
                <w:spacing w:val="-4"/>
                <w:sz w:val="20"/>
              </w:rPr>
              <w:t>Rate</w:t>
            </w:r>
          </w:p>
        </w:tc>
        <w:tc>
          <w:tcPr>
            <w:tcW w:w="1510" w:type="dxa"/>
            <w:shd w:val="clear" w:color="auto" w:fill="D9D9D9"/>
          </w:tcPr>
          <w:p>
            <w:pPr>
              <w:pStyle w:val="TableParagraph"/>
              <w:spacing w:before="139"/>
              <w:ind w:left="161" w:right="153"/>
              <w:jc w:val="center"/>
              <w:rPr>
                <w:b/>
                <w:sz w:val="20"/>
              </w:rPr>
            </w:pPr>
            <w:r>
              <w:rPr>
                <w:b/>
                <w:spacing w:val="-5"/>
                <w:sz w:val="20"/>
              </w:rPr>
              <w:t>ACO</w:t>
            </w:r>
          </w:p>
          <w:p>
            <w:pPr>
              <w:pStyle w:val="TableParagraph"/>
              <w:spacing w:before="18"/>
              <w:ind w:left="161" w:right="158"/>
              <w:jc w:val="center"/>
              <w:rPr>
                <w:b/>
                <w:sz w:val="20"/>
              </w:rPr>
            </w:pPr>
            <w:r>
              <w:rPr>
                <w:b/>
                <w:spacing w:val="-2"/>
                <w:sz w:val="20"/>
              </w:rPr>
              <w:t>Improvement</w:t>
            </w:r>
          </w:p>
        </w:tc>
        <w:tc>
          <w:tcPr>
            <w:tcW w:w="1628" w:type="dxa"/>
            <w:shd w:val="clear" w:color="auto" w:fill="D9D9D9"/>
          </w:tcPr>
          <w:p>
            <w:pPr>
              <w:pStyle w:val="TableParagraph"/>
              <w:spacing w:line="256" w:lineRule="auto" w:before="139"/>
              <w:ind w:left="601" w:hanging="370"/>
              <w:rPr>
                <w:b/>
                <w:sz w:val="20"/>
              </w:rPr>
            </w:pPr>
            <w:r>
              <w:rPr>
                <w:b/>
                <w:spacing w:val="-2"/>
                <w:sz w:val="20"/>
              </w:rPr>
              <w:t>Improvement </w:t>
            </w:r>
            <w:r>
              <w:rPr>
                <w:b/>
                <w:spacing w:val="-4"/>
                <w:sz w:val="20"/>
              </w:rPr>
              <w:t>Used</w:t>
            </w:r>
          </w:p>
        </w:tc>
        <w:tc>
          <w:tcPr>
            <w:tcW w:w="2708" w:type="dxa"/>
            <w:shd w:val="clear" w:color="auto" w:fill="D9D9D9"/>
          </w:tcPr>
          <w:p>
            <w:pPr>
              <w:pStyle w:val="TableParagraph"/>
              <w:spacing w:line="256" w:lineRule="auto" w:before="139"/>
              <w:ind w:left="584" w:right="466" w:hanging="104"/>
              <w:rPr>
                <w:b/>
                <w:sz w:val="20"/>
              </w:rPr>
            </w:pPr>
            <w:r>
              <w:rPr>
                <w:b/>
                <w:sz w:val="20"/>
              </w:rPr>
              <w:t>Improvement</w:t>
            </w:r>
            <w:r>
              <w:rPr>
                <w:b/>
                <w:spacing w:val="-13"/>
                <w:sz w:val="20"/>
              </w:rPr>
              <w:t> </w:t>
            </w:r>
            <w:r>
              <w:rPr>
                <w:b/>
                <w:sz w:val="20"/>
              </w:rPr>
              <w:t>Points Received (Source)</w:t>
            </w:r>
          </w:p>
        </w:tc>
      </w:tr>
      <w:tr>
        <w:trPr>
          <w:trHeight w:val="424" w:hRule="atLeast"/>
        </w:trPr>
        <w:tc>
          <w:tcPr>
            <w:tcW w:w="907" w:type="dxa"/>
            <w:shd w:val="clear" w:color="auto" w:fill="D9E1F3"/>
          </w:tcPr>
          <w:p>
            <w:pPr>
              <w:pStyle w:val="TableParagraph"/>
              <w:spacing w:before="17"/>
              <w:ind w:left="4"/>
              <w:jc w:val="center"/>
              <w:rPr>
                <w:b/>
                <w:sz w:val="20"/>
              </w:rPr>
            </w:pPr>
            <w:r>
              <w:rPr>
                <w:b/>
                <w:w w:val="99"/>
                <w:sz w:val="20"/>
              </w:rPr>
              <w:t>A</w:t>
            </w:r>
          </w:p>
        </w:tc>
        <w:tc>
          <w:tcPr>
            <w:tcW w:w="1176" w:type="dxa"/>
          </w:tcPr>
          <w:p>
            <w:pPr>
              <w:pStyle w:val="TableParagraph"/>
              <w:spacing w:before="17"/>
              <w:ind w:left="150" w:right="144"/>
              <w:jc w:val="center"/>
              <w:rPr>
                <w:sz w:val="20"/>
              </w:rPr>
            </w:pPr>
            <w:r>
              <w:rPr>
                <w:spacing w:val="-2"/>
                <w:sz w:val="20"/>
              </w:rPr>
              <w:t>50.0%</w:t>
            </w:r>
          </w:p>
        </w:tc>
        <w:tc>
          <w:tcPr>
            <w:tcW w:w="1301" w:type="dxa"/>
          </w:tcPr>
          <w:p>
            <w:pPr>
              <w:pStyle w:val="TableParagraph"/>
              <w:spacing w:before="17"/>
              <w:ind w:left="293" w:right="287"/>
              <w:jc w:val="center"/>
              <w:rPr>
                <w:sz w:val="20"/>
              </w:rPr>
            </w:pPr>
            <w:r>
              <w:rPr>
                <w:spacing w:val="-2"/>
                <w:sz w:val="20"/>
              </w:rPr>
              <w:t>53.1%</w:t>
            </w:r>
          </w:p>
        </w:tc>
        <w:tc>
          <w:tcPr>
            <w:tcW w:w="1510" w:type="dxa"/>
          </w:tcPr>
          <w:p>
            <w:pPr>
              <w:pStyle w:val="TableParagraph"/>
              <w:spacing w:before="17"/>
              <w:ind w:right="620"/>
              <w:jc w:val="right"/>
              <w:rPr>
                <w:sz w:val="20"/>
              </w:rPr>
            </w:pPr>
            <w:r>
              <w:rPr>
                <w:spacing w:val="-5"/>
                <w:sz w:val="20"/>
              </w:rPr>
              <w:t>3.1</w:t>
            </w:r>
          </w:p>
        </w:tc>
        <w:tc>
          <w:tcPr>
            <w:tcW w:w="1628" w:type="dxa"/>
          </w:tcPr>
          <w:p>
            <w:pPr>
              <w:pStyle w:val="TableParagraph"/>
              <w:spacing w:before="17"/>
              <w:ind w:left="165" w:right="161"/>
              <w:jc w:val="center"/>
              <w:rPr>
                <w:sz w:val="20"/>
              </w:rPr>
            </w:pPr>
            <w:r>
              <w:rPr>
                <w:sz w:val="20"/>
              </w:rPr>
              <w:t>ACO</w:t>
            </w:r>
            <w:r>
              <w:rPr>
                <w:spacing w:val="-4"/>
                <w:sz w:val="20"/>
              </w:rPr>
              <w:t> </w:t>
            </w:r>
            <w:r>
              <w:rPr>
                <w:sz w:val="20"/>
              </w:rPr>
              <w:t>=</w:t>
            </w:r>
            <w:r>
              <w:rPr>
                <w:spacing w:val="-3"/>
                <w:sz w:val="20"/>
              </w:rPr>
              <w:t> </w:t>
            </w:r>
            <w:r>
              <w:rPr>
                <w:spacing w:val="-5"/>
                <w:sz w:val="20"/>
              </w:rPr>
              <w:t>3.1</w:t>
            </w:r>
          </w:p>
        </w:tc>
        <w:tc>
          <w:tcPr>
            <w:tcW w:w="2708" w:type="dxa"/>
          </w:tcPr>
          <w:p>
            <w:pPr>
              <w:pStyle w:val="TableParagraph"/>
              <w:spacing w:before="17"/>
              <w:ind w:right="811"/>
              <w:jc w:val="right"/>
              <w:rPr>
                <w:sz w:val="20"/>
              </w:rPr>
            </w:pPr>
            <w:r>
              <w:rPr>
                <w:sz w:val="20"/>
              </w:rPr>
              <w:t>YES</w:t>
            </w:r>
            <w:r>
              <w:rPr>
                <w:spacing w:val="-8"/>
                <w:sz w:val="20"/>
              </w:rPr>
              <w:t> </w:t>
            </w:r>
            <w:r>
              <w:rPr>
                <w:sz w:val="20"/>
              </w:rPr>
              <w:t>(Step</w:t>
            </w:r>
            <w:r>
              <w:rPr>
                <w:spacing w:val="-4"/>
                <w:sz w:val="20"/>
              </w:rPr>
              <w:t> </w:t>
            </w:r>
            <w:r>
              <w:rPr>
                <w:spacing w:val="-5"/>
                <w:sz w:val="20"/>
              </w:rPr>
              <w:t>1)</w:t>
            </w:r>
          </w:p>
        </w:tc>
      </w:tr>
      <w:tr>
        <w:trPr>
          <w:trHeight w:val="422" w:hRule="atLeast"/>
        </w:trPr>
        <w:tc>
          <w:tcPr>
            <w:tcW w:w="907" w:type="dxa"/>
            <w:shd w:val="clear" w:color="auto" w:fill="D9E1F3"/>
          </w:tcPr>
          <w:p>
            <w:pPr>
              <w:pStyle w:val="TableParagraph"/>
              <w:spacing w:before="14"/>
              <w:ind w:left="3"/>
              <w:jc w:val="center"/>
              <w:rPr>
                <w:b/>
                <w:sz w:val="20"/>
              </w:rPr>
            </w:pPr>
            <w:r>
              <w:rPr>
                <w:b/>
                <w:w w:val="99"/>
                <w:sz w:val="20"/>
              </w:rPr>
              <w:t>B</w:t>
            </w:r>
          </w:p>
        </w:tc>
        <w:tc>
          <w:tcPr>
            <w:tcW w:w="1176" w:type="dxa"/>
          </w:tcPr>
          <w:p>
            <w:pPr>
              <w:pStyle w:val="TableParagraph"/>
              <w:spacing w:before="14"/>
              <w:ind w:left="150" w:right="144"/>
              <w:jc w:val="center"/>
              <w:rPr>
                <w:sz w:val="20"/>
              </w:rPr>
            </w:pPr>
            <w:r>
              <w:rPr>
                <w:spacing w:val="-2"/>
                <w:sz w:val="20"/>
              </w:rPr>
              <w:t>40.0%</w:t>
            </w:r>
          </w:p>
        </w:tc>
        <w:tc>
          <w:tcPr>
            <w:tcW w:w="1301" w:type="dxa"/>
          </w:tcPr>
          <w:p>
            <w:pPr>
              <w:pStyle w:val="TableParagraph"/>
              <w:spacing w:before="14"/>
              <w:ind w:left="293" w:right="291"/>
              <w:jc w:val="center"/>
              <w:rPr>
                <w:sz w:val="20"/>
              </w:rPr>
            </w:pPr>
            <w:r>
              <w:rPr>
                <w:spacing w:val="-2"/>
                <w:sz w:val="20"/>
              </w:rPr>
              <w:t>49.1%%</w:t>
            </w:r>
          </w:p>
        </w:tc>
        <w:tc>
          <w:tcPr>
            <w:tcW w:w="1510" w:type="dxa"/>
          </w:tcPr>
          <w:p>
            <w:pPr>
              <w:pStyle w:val="TableParagraph"/>
              <w:spacing w:before="14"/>
              <w:ind w:right="620"/>
              <w:jc w:val="right"/>
              <w:rPr>
                <w:sz w:val="20"/>
              </w:rPr>
            </w:pPr>
            <w:r>
              <w:rPr>
                <w:spacing w:val="-5"/>
                <w:sz w:val="20"/>
              </w:rPr>
              <w:t>9.1</w:t>
            </w:r>
          </w:p>
        </w:tc>
        <w:tc>
          <w:tcPr>
            <w:tcW w:w="1628" w:type="dxa"/>
          </w:tcPr>
          <w:p>
            <w:pPr>
              <w:pStyle w:val="TableParagraph"/>
              <w:spacing w:before="14"/>
              <w:ind w:left="165" w:right="161"/>
              <w:jc w:val="center"/>
              <w:rPr>
                <w:sz w:val="20"/>
              </w:rPr>
            </w:pPr>
            <w:r>
              <w:rPr>
                <w:sz w:val="20"/>
              </w:rPr>
              <w:t>ACO</w:t>
            </w:r>
            <w:r>
              <w:rPr>
                <w:spacing w:val="-4"/>
                <w:sz w:val="20"/>
              </w:rPr>
              <w:t> </w:t>
            </w:r>
            <w:r>
              <w:rPr>
                <w:sz w:val="20"/>
              </w:rPr>
              <w:t>=</w:t>
            </w:r>
            <w:r>
              <w:rPr>
                <w:spacing w:val="-3"/>
                <w:sz w:val="20"/>
              </w:rPr>
              <w:t> </w:t>
            </w:r>
            <w:r>
              <w:rPr>
                <w:spacing w:val="-5"/>
                <w:sz w:val="20"/>
              </w:rPr>
              <w:t>9.1</w:t>
            </w:r>
          </w:p>
        </w:tc>
        <w:tc>
          <w:tcPr>
            <w:tcW w:w="2708" w:type="dxa"/>
          </w:tcPr>
          <w:p>
            <w:pPr>
              <w:pStyle w:val="TableParagraph"/>
              <w:spacing w:before="14"/>
              <w:ind w:right="811"/>
              <w:jc w:val="right"/>
              <w:rPr>
                <w:sz w:val="20"/>
              </w:rPr>
            </w:pPr>
            <w:r>
              <w:rPr>
                <w:sz w:val="20"/>
              </w:rPr>
              <w:t>YES</w:t>
            </w:r>
            <w:r>
              <w:rPr>
                <w:spacing w:val="-8"/>
                <w:sz w:val="20"/>
              </w:rPr>
              <w:t> </w:t>
            </w:r>
            <w:r>
              <w:rPr>
                <w:sz w:val="20"/>
              </w:rPr>
              <w:t>(Step</w:t>
            </w:r>
            <w:r>
              <w:rPr>
                <w:spacing w:val="-4"/>
                <w:sz w:val="20"/>
              </w:rPr>
              <w:t> </w:t>
            </w:r>
            <w:r>
              <w:rPr>
                <w:spacing w:val="-5"/>
                <w:sz w:val="20"/>
              </w:rPr>
              <w:t>1)</w:t>
            </w:r>
          </w:p>
        </w:tc>
      </w:tr>
      <w:tr>
        <w:trPr>
          <w:trHeight w:val="832" w:hRule="atLeast"/>
        </w:trPr>
        <w:tc>
          <w:tcPr>
            <w:tcW w:w="907" w:type="dxa"/>
            <w:shd w:val="clear" w:color="auto" w:fill="D9E1F3"/>
          </w:tcPr>
          <w:p>
            <w:pPr>
              <w:pStyle w:val="TableParagraph"/>
              <w:rPr>
                <w:sz w:val="19"/>
              </w:rPr>
            </w:pPr>
          </w:p>
          <w:p>
            <w:pPr>
              <w:pStyle w:val="TableParagraph"/>
              <w:ind w:left="4"/>
              <w:jc w:val="center"/>
              <w:rPr>
                <w:b/>
                <w:sz w:val="20"/>
              </w:rPr>
            </w:pPr>
            <w:r>
              <w:rPr>
                <w:b/>
                <w:w w:val="99"/>
                <w:sz w:val="20"/>
              </w:rPr>
              <w:t>C</w:t>
            </w:r>
          </w:p>
        </w:tc>
        <w:tc>
          <w:tcPr>
            <w:tcW w:w="1176" w:type="dxa"/>
          </w:tcPr>
          <w:p>
            <w:pPr>
              <w:pStyle w:val="TableParagraph"/>
              <w:rPr>
                <w:sz w:val="19"/>
              </w:rPr>
            </w:pPr>
          </w:p>
          <w:p>
            <w:pPr>
              <w:pStyle w:val="TableParagraph"/>
              <w:ind w:left="150" w:right="144"/>
              <w:jc w:val="center"/>
              <w:rPr>
                <w:sz w:val="20"/>
              </w:rPr>
            </w:pPr>
            <w:r>
              <w:rPr>
                <w:spacing w:val="-2"/>
                <w:sz w:val="20"/>
              </w:rPr>
              <w:t>59.0%</w:t>
            </w:r>
          </w:p>
        </w:tc>
        <w:tc>
          <w:tcPr>
            <w:tcW w:w="1301" w:type="dxa"/>
          </w:tcPr>
          <w:p>
            <w:pPr>
              <w:pStyle w:val="TableParagraph"/>
              <w:rPr>
                <w:sz w:val="19"/>
              </w:rPr>
            </w:pPr>
          </w:p>
          <w:p>
            <w:pPr>
              <w:pStyle w:val="TableParagraph"/>
              <w:ind w:left="293" w:right="287"/>
              <w:jc w:val="center"/>
              <w:rPr>
                <w:sz w:val="20"/>
              </w:rPr>
            </w:pPr>
            <w:r>
              <w:rPr>
                <w:spacing w:val="-2"/>
                <w:sz w:val="20"/>
              </w:rPr>
              <w:t>58.0%</w:t>
            </w:r>
          </w:p>
        </w:tc>
        <w:tc>
          <w:tcPr>
            <w:tcW w:w="1510" w:type="dxa"/>
          </w:tcPr>
          <w:p>
            <w:pPr>
              <w:pStyle w:val="TableParagraph"/>
              <w:rPr>
                <w:sz w:val="19"/>
              </w:rPr>
            </w:pPr>
          </w:p>
          <w:p>
            <w:pPr>
              <w:pStyle w:val="TableParagraph"/>
              <w:ind w:right="589"/>
              <w:jc w:val="right"/>
              <w:rPr>
                <w:sz w:val="20"/>
              </w:rPr>
            </w:pPr>
            <w:r>
              <w:rPr>
                <w:spacing w:val="-4"/>
                <w:sz w:val="20"/>
              </w:rPr>
              <w:t>-</w:t>
            </w:r>
            <w:r>
              <w:rPr>
                <w:spacing w:val="-5"/>
                <w:sz w:val="20"/>
              </w:rPr>
              <w:t>1.0</w:t>
            </w:r>
          </w:p>
        </w:tc>
        <w:tc>
          <w:tcPr>
            <w:tcW w:w="1628" w:type="dxa"/>
          </w:tcPr>
          <w:p>
            <w:pPr>
              <w:pStyle w:val="TableParagraph"/>
              <w:rPr>
                <w:sz w:val="19"/>
              </w:rPr>
            </w:pPr>
          </w:p>
          <w:p>
            <w:pPr>
              <w:pStyle w:val="TableParagraph"/>
              <w:ind w:left="167" w:right="161"/>
              <w:jc w:val="center"/>
              <w:rPr>
                <w:sz w:val="20"/>
              </w:rPr>
            </w:pPr>
            <w:r>
              <w:rPr>
                <w:sz w:val="20"/>
              </w:rPr>
              <w:t>State</w:t>
            </w:r>
            <w:r>
              <w:rPr>
                <w:spacing w:val="-4"/>
                <w:sz w:val="20"/>
              </w:rPr>
              <w:t> </w:t>
            </w:r>
            <w:r>
              <w:rPr>
                <w:sz w:val="20"/>
              </w:rPr>
              <w:t>Med</w:t>
            </w:r>
            <w:r>
              <w:rPr>
                <w:spacing w:val="-3"/>
                <w:sz w:val="20"/>
              </w:rPr>
              <w:t> </w:t>
            </w:r>
            <w:r>
              <w:rPr>
                <w:sz w:val="20"/>
              </w:rPr>
              <w:t>=</w:t>
            </w:r>
            <w:r>
              <w:rPr>
                <w:spacing w:val="-4"/>
                <w:sz w:val="20"/>
              </w:rPr>
              <w:t> </w:t>
            </w:r>
            <w:r>
              <w:rPr>
                <w:spacing w:val="-5"/>
                <w:sz w:val="20"/>
              </w:rPr>
              <w:t>2.1</w:t>
            </w:r>
          </w:p>
        </w:tc>
        <w:tc>
          <w:tcPr>
            <w:tcW w:w="2708" w:type="dxa"/>
          </w:tcPr>
          <w:p>
            <w:pPr>
              <w:pStyle w:val="TableParagraph"/>
              <w:spacing w:before="14"/>
              <w:ind w:left="821"/>
              <w:rPr>
                <w:sz w:val="20"/>
              </w:rPr>
            </w:pPr>
            <w:r>
              <w:rPr>
                <w:sz w:val="20"/>
              </w:rPr>
              <w:t>YES</w:t>
            </w:r>
            <w:r>
              <w:rPr>
                <w:spacing w:val="-8"/>
                <w:sz w:val="20"/>
              </w:rPr>
              <w:t> </w:t>
            </w:r>
            <w:r>
              <w:rPr>
                <w:sz w:val="20"/>
              </w:rPr>
              <w:t>(Step</w:t>
            </w:r>
            <w:r>
              <w:rPr>
                <w:spacing w:val="-4"/>
                <w:sz w:val="20"/>
              </w:rPr>
              <w:t> </w:t>
            </w:r>
            <w:r>
              <w:rPr>
                <w:spacing w:val="-5"/>
                <w:sz w:val="20"/>
              </w:rPr>
              <w:t>2)</w:t>
            </w:r>
          </w:p>
          <w:p>
            <w:pPr>
              <w:pStyle w:val="TableParagraph"/>
              <w:spacing w:before="178"/>
              <w:ind w:left="814"/>
              <w:rPr>
                <w:sz w:val="20"/>
              </w:rPr>
            </w:pPr>
            <w:r>
              <w:rPr>
                <w:color w:val="FF0000"/>
                <w:sz w:val="20"/>
              </w:rPr>
              <w:t>cap</w:t>
            </w:r>
            <w:r>
              <w:rPr>
                <w:color w:val="FF0000"/>
                <w:spacing w:val="-5"/>
                <w:sz w:val="20"/>
              </w:rPr>
              <w:t> </w:t>
            </w:r>
            <w:r>
              <w:rPr>
                <w:color w:val="FF0000"/>
                <w:sz w:val="20"/>
              </w:rPr>
              <w:t>count</w:t>
            </w:r>
            <w:r>
              <w:rPr>
                <w:color w:val="FF0000"/>
                <w:spacing w:val="-5"/>
                <w:sz w:val="20"/>
              </w:rPr>
              <w:t> 1/3</w:t>
            </w:r>
          </w:p>
        </w:tc>
      </w:tr>
      <w:tr>
        <w:trPr>
          <w:trHeight w:val="830" w:hRule="atLeast"/>
        </w:trPr>
        <w:tc>
          <w:tcPr>
            <w:tcW w:w="907" w:type="dxa"/>
            <w:shd w:val="clear" w:color="auto" w:fill="D9E1F3"/>
          </w:tcPr>
          <w:p>
            <w:pPr>
              <w:pStyle w:val="TableParagraph"/>
              <w:rPr>
                <w:sz w:val="19"/>
              </w:rPr>
            </w:pPr>
          </w:p>
          <w:p>
            <w:pPr>
              <w:pStyle w:val="TableParagraph"/>
              <w:ind w:left="4"/>
              <w:jc w:val="center"/>
              <w:rPr>
                <w:b/>
                <w:sz w:val="20"/>
              </w:rPr>
            </w:pPr>
            <w:r>
              <w:rPr>
                <w:b/>
                <w:w w:val="99"/>
                <w:sz w:val="20"/>
              </w:rPr>
              <w:t>D</w:t>
            </w:r>
          </w:p>
        </w:tc>
        <w:tc>
          <w:tcPr>
            <w:tcW w:w="1176" w:type="dxa"/>
          </w:tcPr>
          <w:p>
            <w:pPr>
              <w:pStyle w:val="TableParagraph"/>
              <w:rPr>
                <w:sz w:val="19"/>
              </w:rPr>
            </w:pPr>
          </w:p>
          <w:p>
            <w:pPr>
              <w:pStyle w:val="TableParagraph"/>
              <w:ind w:left="150" w:right="144"/>
              <w:jc w:val="center"/>
              <w:rPr>
                <w:sz w:val="20"/>
              </w:rPr>
            </w:pPr>
            <w:r>
              <w:rPr>
                <w:spacing w:val="-2"/>
                <w:sz w:val="20"/>
              </w:rPr>
              <w:t>65.0%</w:t>
            </w:r>
          </w:p>
        </w:tc>
        <w:tc>
          <w:tcPr>
            <w:tcW w:w="1301" w:type="dxa"/>
          </w:tcPr>
          <w:p>
            <w:pPr>
              <w:pStyle w:val="TableParagraph"/>
              <w:rPr>
                <w:sz w:val="19"/>
              </w:rPr>
            </w:pPr>
          </w:p>
          <w:p>
            <w:pPr>
              <w:pStyle w:val="TableParagraph"/>
              <w:ind w:left="293" w:right="287"/>
              <w:jc w:val="center"/>
              <w:rPr>
                <w:sz w:val="20"/>
              </w:rPr>
            </w:pPr>
            <w:r>
              <w:rPr>
                <w:spacing w:val="-2"/>
                <w:sz w:val="20"/>
              </w:rPr>
              <w:t>65.0%</w:t>
            </w:r>
          </w:p>
        </w:tc>
        <w:tc>
          <w:tcPr>
            <w:tcW w:w="1510" w:type="dxa"/>
          </w:tcPr>
          <w:p>
            <w:pPr>
              <w:pStyle w:val="TableParagraph"/>
              <w:rPr>
                <w:sz w:val="19"/>
              </w:rPr>
            </w:pPr>
          </w:p>
          <w:p>
            <w:pPr>
              <w:pStyle w:val="TableParagraph"/>
              <w:ind w:right="620"/>
              <w:jc w:val="right"/>
              <w:rPr>
                <w:sz w:val="20"/>
              </w:rPr>
            </w:pPr>
            <w:r>
              <w:rPr>
                <w:spacing w:val="-5"/>
                <w:sz w:val="20"/>
              </w:rPr>
              <w:t>0.0</w:t>
            </w:r>
          </w:p>
        </w:tc>
        <w:tc>
          <w:tcPr>
            <w:tcW w:w="1628" w:type="dxa"/>
          </w:tcPr>
          <w:p>
            <w:pPr>
              <w:pStyle w:val="TableParagraph"/>
              <w:rPr>
                <w:sz w:val="19"/>
              </w:rPr>
            </w:pPr>
          </w:p>
          <w:p>
            <w:pPr>
              <w:pStyle w:val="TableParagraph"/>
              <w:ind w:left="167" w:right="161"/>
              <w:jc w:val="center"/>
              <w:rPr>
                <w:sz w:val="20"/>
              </w:rPr>
            </w:pPr>
            <w:r>
              <w:rPr>
                <w:sz w:val="20"/>
              </w:rPr>
              <w:t>State</w:t>
            </w:r>
            <w:r>
              <w:rPr>
                <w:spacing w:val="-4"/>
                <w:sz w:val="20"/>
              </w:rPr>
              <w:t> </w:t>
            </w:r>
            <w:r>
              <w:rPr>
                <w:sz w:val="20"/>
              </w:rPr>
              <w:t>Med</w:t>
            </w:r>
            <w:r>
              <w:rPr>
                <w:spacing w:val="-3"/>
                <w:sz w:val="20"/>
              </w:rPr>
              <w:t> </w:t>
            </w:r>
            <w:r>
              <w:rPr>
                <w:sz w:val="20"/>
              </w:rPr>
              <w:t>=</w:t>
            </w:r>
            <w:r>
              <w:rPr>
                <w:spacing w:val="-4"/>
                <w:sz w:val="20"/>
              </w:rPr>
              <w:t> </w:t>
            </w:r>
            <w:r>
              <w:rPr>
                <w:spacing w:val="-5"/>
                <w:sz w:val="20"/>
              </w:rPr>
              <w:t>2.1</w:t>
            </w:r>
          </w:p>
        </w:tc>
        <w:tc>
          <w:tcPr>
            <w:tcW w:w="2708" w:type="dxa"/>
          </w:tcPr>
          <w:p>
            <w:pPr>
              <w:pStyle w:val="TableParagraph"/>
              <w:spacing w:before="14"/>
              <w:ind w:left="821"/>
              <w:rPr>
                <w:sz w:val="20"/>
              </w:rPr>
            </w:pPr>
            <w:r>
              <w:rPr>
                <w:sz w:val="20"/>
              </w:rPr>
              <w:t>YES</w:t>
            </w:r>
            <w:r>
              <w:rPr>
                <w:spacing w:val="-8"/>
                <w:sz w:val="20"/>
              </w:rPr>
              <w:t> </w:t>
            </w:r>
            <w:r>
              <w:rPr>
                <w:sz w:val="20"/>
              </w:rPr>
              <w:t>(Step</w:t>
            </w:r>
            <w:r>
              <w:rPr>
                <w:spacing w:val="-4"/>
                <w:sz w:val="20"/>
              </w:rPr>
              <w:t> </w:t>
            </w:r>
            <w:r>
              <w:rPr>
                <w:spacing w:val="-5"/>
                <w:sz w:val="20"/>
              </w:rPr>
              <w:t>2)</w:t>
            </w:r>
          </w:p>
          <w:p>
            <w:pPr>
              <w:pStyle w:val="TableParagraph"/>
              <w:spacing w:before="179"/>
              <w:ind w:left="814"/>
              <w:rPr>
                <w:sz w:val="20"/>
              </w:rPr>
            </w:pPr>
            <w:r>
              <w:rPr>
                <w:color w:val="FF0000"/>
                <w:sz w:val="20"/>
              </w:rPr>
              <w:t>cap</w:t>
            </w:r>
            <w:r>
              <w:rPr>
                <w:color w:val="FF0000"/>
                <w:spacing w:val="-5"/>
                <w:sz w:val="20"/>
              </w:rPr>
              <w:t> </w:t>
            </w:r>
            <w:r>
              <w:rPr>
                <w:color w:val="FF0000"/>
                <w:sz w:val="20"/>
              </w:rPr>
              <w:t>count</w:t>
            </w:r>
            <w:r>
              <w:rPr>
                <w:color w:val="FF0000"/>
                <w:spacing w:val="-5"/>
                <w:sz w:val="20"/>
              </w:rPr>
              <w:t> 2/3</w:t>
            </w:r>
          </w:p>
        </w:tc>
      </w:tr>
      <w:tr>
        <w:trPr>
          <w:trHeight w:val="830" w:hRule="atLeast"/>
        </w:trPr>
        <w:tc>
          <w:tcPr>
            <w:tcW w:w="907" w:type="dxa"/>
            <w:shd w:val="clear" w:color="auto" w:fill="D9E1F3"/>
          </w:tcPr>
          <w:p>
            <w:pPr>
              <w:pStyle w:val="TableParagraph"/>
              <w:rPr>
                <w:sz w:val="19"/>
              </w:rPr>
            </w:pPr>
          </w:p>
          <w:p>
            <w:pPr>
              <w:pStyle w:val="TableParagraph"/>
              <w:ind w:left="3"/>
              <w:jc w:val="center"/>
              <w:rPr>
                <w:b/>
                <w:sz w:val="20"/>
              </w:rPr>
            </w:pPr>
            <w:r>
              <w:rPr>
                <w:b/>
                <w:w w:val="99"/>
                <w:sz w:val="20"/>
              </w:rPr>
              <w:t>E</w:t>
            </w:r>
          </w:p>
        </w:tc>
        <w:tc>
          <w:tcPr>
            <w:tcW w:w="1176" w:type="dxa"/>
          </w:tcPr>
          <w:p>
            <w:pPr>
              <w:pStyle w:val="TableParagraph"/>
              <w:rPr>
                <w:sz w:val="19"/>
              </w:rPr>
            </w:pPr>
          </w:p>
          <w:p>
            <w:pPr>
              <w:pStyle w:val="TableParagraph"/>
              <w:ind w:left="150" w:right="144"/>
              <w:jc w:val="center"/>
              <w:rPr>
                <w:sz w:val="20"/>
              </w:rPr>
            </w:pPr>
            <w:r>
              <w:rPr>
                <w:spacing w:val="-2"/>
                <w:sz w:val="20"/>
              </w:rPr>
              <w:t>20.0%</w:t>
            </w:r>
          </w:p>
        </w:tc>
        <w:tc>
          <w:tcPr>
            <w:tcW w:w="1301" w:type="dxa"/>
          </w:tcPr>
          <w:p>
            <w:pPr>
              <w:pStyle w:val="TableParagraph"/>
              <w:rPr>
                <w:sz w:val="19"/>
              </w:rPr>
            </w:pPr>
          </w:p>
          <w:p>
            <w:pPr>
              <w:pStyle w:val="TableParagraph"/>
              <w:ind w:left="293" w:right="287"/>
              <w:jc w:val="center"/>
              <w:rPr>
                <w:sz w:val="20"/>
              </w:rPr>
            </w:pPr>
            <w:r>
              <w:rPr>
                <w:spacing w:val="-2"/>
                <w:sz w:val="20"/>
              </w:rPr>
              <w:t>22.0%</w:t>
            </w:r>
          </w:p>
        </w:tc>
        <w:tc>
          <w:tcPr>
            <w:tcW w:w="1510" w:type="dxa"/>
          </w:tcPr>
          <w:p>
            <w:pPr>
              <w:pStyle w:val="TableParagraph"/>
              <w:rPr>
                <w:sz w:val="19"/>
              </w:rPr>
            </w:pPr>
          </w:p>
          <w:p>
            <w:pPr>
              <w:pStyle w:val="TableParagraph"/>
              <w:ind w:right="620"/>
              <w:jc w:val="right"/>
              <w:rPr>
                <w:sz w:val="20"/>
              </w:rPr>
            </w:pPr>
            <w:r>
              <w:rPr>
                <w:spacing w:val="-5"/>
                <w:sz w:val="20"/>
              </w:rPr>
              <w:t>2.0</w:t>
            </w:r>
          </w:p>
        </w:tc>
        <w:tc>
          <w:tcPr>
            <w:tcW w:w="1628" w:type="dxa"/>
          </w:tcPr>
          <w:p>
            <w:pPr>
              <w:pStyle w:val="TableParagraph"/>
              <w:rPr>
                <w:sz w:val="19"/>
              </w:rPr>
            </w:pPr>
          </w:p>
          <w:p>
            <w:pPr>
              <w:pStyle w:val="TableParagraph"/>
              <w:ind w:left="167" w:right="161"/>
              <w:jc w:val="center"/>
              <w:rPr>
                <w:sz w:val="20"/>
              </w:rPr>
            </w:pPr>
            <w:r>
              <w:rPr>
                <w:sz w:val="20"/>
              </w:rPr>
              <w:t>State</w:t>
            </w:r>
            <w:r>
              <w:rPr>
                <w:spacing w:val="-4"/>
                <w:sz w:val="20"/>
              </w:rPr>
              <w:t> </w:t>
            </w:r>
            <w:r>
              <w:rPr>
                <w:sz w:val="20"/>
              </w:rPr>
              <w:t>Med</w:t>
            </w:r>
            <w:r>
              <w:rPr>
                <w:spacing w:val="-3"/>
                <w:sz w:val="20"/>
              </w:rPr>
              <w:t> </w:t>
            </w:r>
            <w:r>
              <w:rPr>
                <w:sz w:val="20"/>
              </w:rPr>
              <w:t>=</w:t>
            </w:r>
            <w:r>
              <w:rPr>
                <w:spacing w:val="-4"/>
                <w:sz w:val="20"/>
              </w:rPr>
              <w:t> </w:t>
            </w:r>
            <w:r>
              <w:rPr>
                <w:spacing w:val="-5"/>
                <w:sz w:val="20"/>
              </w:rPr>
              <w:t>2.1</w:t>
            </w:r>
          </w:p>
        </w:tc>
        <w:tc>
          <w:tcPr>
            <w:tcW w:w="2708" w:type="dxa"/>
          </w:tcPr>
          <w:p>
            <w:pPr>
              <w:pStyle w:val="TableParagraph"/>
              <w:spacing w:before="14"/>
              <w:ind w:left="821"/>
              <w:rPr>
                <w:sz w:val="20"/>
              </w:rPr>
            </w:pPr>
            <w:r>
              <w:rPr>
                <w:sz w:val="20"/>
              </w:rPr>
              <w:t>YES</w:t>
            </w:r>
            <w:r>
              <w:rPr>
                <w:spacing w:val="-8"/>
                <w:sz w:val="20"/>
              </w:rPr>
              <w:t> </w:t>
            </w:r>
            <w:r>
              <w:rPr>
                <w:sz w:val="20"/>
              </w:rPr>
              <w:t>(Step</w:t>
            </w:r>
            <w:r>
              <w:rPr>
                <w:spacing w:val="-4"/>
                <w:sz w:val="20"/>
              </w:rPr>
              <w:t> </w:t>
            </w:r>
            <w:r>
              <w:rPr>
                <w:spacing w:val="-5"/>
                <w:sz w:val="20"/>
              </w:rPr>
              <w:t>2)</w:t>
            </w:r>
          </w:p>
          <w:p>
            <w:pPr>
              <w:pStyle w:val="TableParagraph"/>
              <w:spacing w:before="179"/>
              <w:ind w:left="814"/>
              <w:rPr>
                <w:sz w:val="20"/>
              </w:rPr>
            </w:pPr>
            <w:r>
              <w:rPr>
                <w:color w:val="FF0000"/>
                <w:sz w:val="20"/>
              </w:rPr>
              <w:t>cap</w:t>
            </w:r>
            <w:r>
              <w:rPr>
                <w:color w:val="FF0000"/>
                <w:spacing w:val="-5"/>
                <w:sz w:val="20"/>
              </w:rPr>
              <w:t> </w:t>
            </w:r>
            <w:r>
              <w:rPr>
                <w:color w:val="FF0000"/>
                <w:sz w:val="20"/>
              </w:rPr>
              <w:t>count</w:t>
            </w:r>
            <w:r>
              <w:rPr>
                <w:color w:val="FF0000"/>
                <w:spacing w:val="-5"/>
                <w:sz w:val="20"/>
              </w:rPr>
              <w:t> 3/3</w:t>
            </w:r>
          </w:p>
        </w:tc>
      </w:tr>
      <w:tr>
        <w:trPr>
          <w:trHeight w:val="832" w:hRule="atLeast"/>
        </w:trPr>
        <w:tc>
          <w:tcPr>
            <w:tcW w:w="907" w:type="dxa"/>
            <w:shd w:val="clear" w:color="auto" w:fill="D9E1F3"/>
          </w:tcPr>
          <w:p>
            <w:pPr>
              <w:pStyle w:val="TableParagraph"/>
              <w:spacing w:before="2"/>
              <w:rPr>
                <w:sz w:val="19"/>
              </w:rPr>
            </w:pPr>
          </w:p>
          <w:p>
            <w:pPr>
              <w:pStyle w:val="TableParagraph"/>
              <w:ind w:left="1"/>
              <w:jc w:val="center"/>
              <w:rPr>
                <w:b/>
                <w:sz w:val="20"/>
              </w:rPr>
            </w:pPr>
            <w:r>
              <w:rPr>
                <w:b/>
                <w:w w:val="99"/>
                <w:sz w:val="20"/>
              </w:rPr>
              <w:t>F</w:t>
            </w:r>
          </w:p>
        </w:tc>
        <w:tc>
          <w:tcPr>
            <w:tcW w:w="1176" w:type="dxa"/>
          </w:tcPr>
          <w:p>
            <w:pPr>
              <w:pStyle w:val="TableParagraph"/>
              <w:spacing w:before="2"/>
              <w:rPr>
                <w:sz w:val="19"/>
              </w:rPr>
            </w:pPr>
          </w:p>
          <w:p>
            <w:pPr>
              <w:pStyle w:val="TableParagraph"/>
              <w:ind w:left="150" w:right="144"/>
              <w:jc w:val="center"/>
              <w:rPr>
                <w:sz w:val="20"/>
              </w:rPr>
            </w:pPr>
            <w:r>
              <w:rPr>
                <w:spacing w:val="-2"/>
                <w:sz w:val="20"/>
              </w:rPr>
              <w:t>25.0%</w:t>
            </w:r>
          </w:p>
        </w:tc>
        <w:tc>
          <w:tcPr>
            <w:tcW w:w="1301" w:type="dxa"/>
          </w:tcPr>
          <w:p>
            <w:pPr>
              <w:pStyle w:val="TableParagraph"/>
              <w:spacing w:before="2"/>
              <w:rPr>
                <w:sz w:val="19"/>
              </w:rPr>
            </w:pPr>
          </w:p>
          <w:p>
            <w:pPr>
              <w:pStyle w:val="TableParagraph"/>
              <w:ind w:left="293" w:right="287"/>
              <w:jc w:val="center"/>
              <w:rPr>
                <w:sz w:val="20"/>
              </w:rPr>
            </w:pPr>
            <w:r>
              <w:rPr>
                <w:spacing w:val="-2"/>
                <w:sz w:val="20"/>
              </w:rPr>
              <w:t>26.0%</w:t>
            </w:r>
          </w:p>
        </w:tc>
        <w:tc>
          <w:tcPr>
            <w:tcW w:w="1510" w:type="dxa"/>
          </w:tcPr>
          <w:p>
            <w:pPr>
              <w:pStyle w:val="TableParagraph"/>
              <w:spacing w:before="2"/>
              <w:rPr>
                <w:sz w:val="19"/>
              </w:rPr>
            </w:pPr>
          </w:p>
          <w:p>
            <w:pPr>
              <w:pStyle w:val="TableParagraph"/>
              <w:ind w:right="620"/>
              <w:jc w:val="right"/>
              <w:rPr>
                <w:sz w:val="20"/>
              </w:rPr>
            </w:pPr>
            <w:r>
              <w:rPr>
                <w:spacing w:val="-5"/>
                <w:sz w:val="20"/>
              </w:rPr>
              <w:t>1.0</w:t>
            </w:r>
          </w:p>
        </w:tc>
        <w:tc>
          <w:tcPr>
            <w:tcW w:w="1628" w:type="dxa"/>
          </w:tcPr>
          <w:p>
            <w:pPr>
              <w:pStyle w:val="TableParagraph"/>
              <w:spacing w:before="2"/>
              <w:rPr>
                <w:sz w:val="19"/>
              </w:rPr>
            </w:pPr>
          </w:p>
          <w:p>
            <w:pPr>
              <w:pStyle w:val="TableParagraph"/>
              <w:ind w:left="167" w:right="161"/>
              <w:jc w:val="center"/>
              <w:rPr>
                <w:sz w:val="20"/>
              </w:rPr>
            </w:pPr>
            <w:r>
              <w:rPr>
                <w:sz w:val="20"/>
              </w:rPr>
              <w:t>State</w:t>
            </w:r>
            <w:r>
              <w:rPr>
                <w:spacing w:val="-4"/>
                <w:sz w:val="20"/>
              </w:rPr>
              <w:t> </w:t>
            </w:r>
            <w:r>
              <w:rPr>
                <w:sz w:val="20"/>
              </w:rPr>
              <w:t>Med</w:t>
            </w:r>
            <w:r>
              <w:rPr>
                <w:spacing w:val="-3"/>
                <w:sz w:val="20"/>
              </w:rPr>
              <w:t> </w:t>
            </w:r>
            <w:r>
              <w:rPr>
                <w:sz w:val="20"/>
              </w:rPr>
              <w:t>=</w:t>
            </w:r>
            <w:r>
              <w:rPr>
                <w:spacing w:val="-4"/>
                <w:sz w:val="20"/>
              </w:rPr>
              <w:t> </w:t>
            </w:r>
            <w:r>
              <w:rPr>
                <w:spacing w:val="-5"/>
                <w:sz w:val="20"/>
              </w:rPr>
              <w:t>2.1</w:t>
            </w:r>
          </w:p>
        </w:tc>
        <w:tc>
          <w:tcPr>
            <w:tcW w:w="2708" w:type="dxa"/>
          </w:tcPr>
          <w:p>
            <w:pPr>
              <w:pStyle w:val="TableParagraph"/>
              <w:spacing w:before="17"/>
              <w:ind w:left="818" w:right="812"/>
              <w:jc w:val="center"/>
              <w:rPr>
                <w:sz w:val="20"/>
              </w:rPr>
            </w:pPr>
            <w:r>
              <w:rPr>
                <w:spacing w:val="-5"/>
                <w:sz w:val="20"/>
              </w:rPr>
              <w:t>NO</w:t>
            </w:r>
          </w:p>
          <w:p>
            <w:pPr>
              <w:pStyle w:val="TableParagraph"/>
              <w:spacing w:before="178"/>
              <w:ind w:left="818" w:right="813"/>
              <w:jc w:val="center"/>
              <w:rPr>
                <w:sz w:val="20"/>
              </w:rPr>
            </w:pPr>
            <w:r>
              <w:rPr>
                <w:color w:val="FF0000"/>
                <w:sz w:val="20"/>
              </w:rPr>
              <w:t>cap</w:t>
            </w:r>
            <w:r>
              <w:rPr>
                <w:color w:val="FF0000"/>
                <w:spacing w:val="-2"/>
                <w:sz w:val="20"/>
              </w:rPr>
              <w:t> reached*</w:t>
            </w:r>
          </w:p>
        </w:tc>
      </w:tr>
      <w:tr>
        <w:trPr>
          <w:trHeight w:val="422" w:hRule="atLeast"/>
        </w:trPr>
        <w:tc>
          <w:tcPr>
            <w:tcW w:w="907" w:type="dxa"/>
            <w:shd w:val="clear" w:color="auto" w:fill="D9E1F3"/>
          </w:tcPr>
          <w:p>
            <w:pPr>
              <w:pStyle w:val="TableParagraph"/>
              <w:spacing w:before="14"/>
              <w:ind w:left="1"/>
              <w:jc w:val="center"/>
              <w:rPr>
                <w:b/>
                <w:sz w:val="20"/>
              </w:rPr>
            </w:pPr>
            <w:r>
              <w:rPr>
                <w:b/>
                <w:w w:val="99"/>
                <w:sz w:val="20"/>
              </w:rPr>
              <w:t>G</w:t>
            </w:r>
          </w:p>
        </w:tc>
        <w:tc>
          <w:tcPr>
            <w:tcW w:w="1176" w:type="dxa"/>
          </w:tcPr>
          <w:p>
            <w:pPr>
              <w:pStyle w:val="TableParagraph"/>
              <w:spacing w:before="14"/>
              <w:ind w:left="150" w:right="144"/>
              <w:jc w:val="center"/>
              <w:rPr>
                <w:sz w:val="20"/>
              </w:rPr>
            </w:pPr>
            <w:r>
              <w:rPr>
                <w:spacing w:val="-2"/>
                <w:sz w:val="20"/>
              </w:rPr>
              <w:t>20.0%</w:t>
            </w:r>
          </w:p>
        </w:tc>
        <w:tc>
          <w:tcPr>
            <w:tcW w:w="1301" w:type="dxa"/>
          </w:tcPr>
          <w:p>
            <w:pPr>
              <w:pStyle w:val="TableParagraph"/>
              <w:spacing w:before="14"/>
              <w:ind w:left="293" w:right="287"/>
              <w:jc w:val="center"/>
              <w:rPr>
                <w:sz w:val="20"/>
              </w:rPr>
            </w:pPr>
            <w:r>
              <w:rPr>
                <w:spacing w:val="-2"/>
                <w:sz w:val="20"/>
              </w:rPr>
              <w:t>30.0%</w:t>
            </w:r>
          </w:p>
        </w:tc>
        <w:tc>
          <w:tcPr>
            <w:tcW w:w="1510" w:type="dxa"/>
          </w:tcPr>
          <w:p>
            <w:pPr>
              <w:pStyle w:val="TableParagraph"/>
              <w:spacing w:before="14"/>
              <w:ind w:right="570"/>
              <w:jc w:val="right"/>
              <w:rPr>
                <w:sz w:val="20"/>
              </w:rPr>
            </w:pPr>
            <w:r>
              <w:rPr>
                <w:spacing w:val="-4"/>
                <w:sz w:val="20"/>
              </w:rPr>
              <w:t>10.0</w:t>
            </w:r>
          </w:p>
        </w:tc>
        <w:tc>
          <w:tcPr>
            <w:tcW w:w="1628" w:type="dxa"/>
          </w:tcPr>
          <w:p>
            <w:pPr>
              <w:pStyle w:val="TableParagraph"/>
              <w:spacing w:before="14"/>
              <w:ind w:left="165" w:right="161"/>
              <w:jc w:val="center"/>
              <w:rPr>
                <w:sz w:val="20"/>
              </w:rPr>
            </w:pPr>
            <w:r>
              <w:rPr>
                <w:sz w:val="20"/>
              </w:rPr>
              <w:t>ACO</w:t>
            </w:r>
            <w:r>
              <w:rPr>
                <w:spacing w:val="-4"/>
                <w:sz w:val="20"/>
              </w:rPr>
              <w:t> </w:t>
            </w:r>
            <w:r>
              <w:rPr>
                <w:sz w:val="20"/>
              </w:rPr>
              <w:t>=</w:t>
            </w:r>
            <w:r>
              <w:rPr>
                <w:spacing w:val="-3"/>
                <w:sz w:val="20"/>
              </w:rPr>
              <w:t> </w:t>
            </w:r>
            <w:r>
              <w:rPr>
                <w:spacing w:val="-4"/>
                <w:sz w:val="20"/>
              </w:rPr>
              <w:t>10.0</w:t>
            </w:r>
          </w:p>
        </w:tc>
        <w:tc>
          <w:tcPr>
            <w:tcW w:w="2708" w:type="dxa"/>
          </w:tcPr>
          <w:p>
            <w:pPr>
              <w:pStyle w:val="TableParagraph"/>
              <w:spacing w:before="14"/>
              <w:ind w:right="811"/>
              <w:jc w:val="right"/>
              <w:rPr>
                <w:sz w:val="20"/>
              </w:rPr>
            </w:pPr>
            <w:r>
              <w:rPr>
                <w:sz w:val="20"/>
              </w:rPr>
              <w:t>YES</w:t>
            </w:r>
            <w:r>
              <w:rPr>
                <w:spacing w:val="-8"/>
                <w:sz w:val="20"/>
              </w:rPr>
              <w:t> </w:t>
            </w:r>
            <w:r>
              <w:rPr>
                <w:sz w:val="20"/>
              </w:rPr>
              <w:t>(Step</w:t>
            </w:r>
            <w:r>
              <w:rPr>
                <w:spacing w:val="-4"/>
                <w:sz w:val="20"/>
              </w:rPr>
              <w:t> </w:t>
            </w:r>
            <w:r>
              <w:rPr>
                <w:spacing w:val="-5"/>
                <w:sz w:val="20"/>
              </w:rPr>
              <w:t>1)</w:t>
            </w:r>
          </w:p>
        </w:tc>
      </w:tr>
    </w:tbl>
    <w:p>
      <w:pPr>
        <w:spacing w:before="1"/>
        <w:ind w:left="1220" w:right="1093" w:firstLine="0"/>
        <w:jc w:val="both"/>
        <w:rPr>
          <w:sz w:val="22"/>
        </w:rPr>
      </w:pPr>
      <w:r>
        <w:rPr>
          <w:sz w:val="22"/>
        </w:rPr>
        <w:t>*In</w:t>
      </w:r>
      <w:r>
        <w:rPr>
          <w:spacing w:val="-14"/>
          <w:sz w:val="22"/>
        </w:rPr>
        <w:t> </w:t>
      </w:r>
      <w:r>
        <w:rPr>
          <w:sz w:val="22"/>
        </w:rPr>
        <w:t>this</w:t>
      </w:r>
      <w:r>
        <w:rPr>
          <w:spacing w:val="-14"/>
          <w:sz w:val="22"/>
        </w:rPr>
        <w:t> </w:t>
      </w:r>
      <w:r>
        <w:rPr>
          <w:sz w:val="22"/>
        </w:rPr>
        <w:t>example,</w:t>
      </w:r>
      <w:r>
        <w:rPr>
          <w:spacing w:val="-13"/>
          <w:sz w:val="22"/>
        </w:rPr>
        <w:t> </w:t>
      </w:r>
      <w:r>
        <w:rPr>
          <w:sz w:val="22"/>
        </w:rPr>
        <w:t>this</w:t>
      </w:r>
      <w:r>
        <w:rPr>
          <w:spacing w:val="-14"/>
          <w:sz w:val="22"/>
        </w:rPr>
        <w:t> </w:t>
      </w:r>
      <w:r>
        <w:rPr>
          <w:sz w:val="22"/>
        </w:rPr>
        <w:t>ACO</w:t>
      </w:r>
      <w:r>
        <w:rPr>
          <w:spacing w:val="-14"/>
          <w:sz w:val="22"/>
        </w:rPr>
        <w:t> </w:t>
      </w:r>
      <w:r>
        <w:rPr>
          <w:sz w:val="22"/>
        </w:rPr>
        <w:t>used</w:t>
      </w:r>
      <w:r>
        <w:rPr>
          <w:spacing w:val="-13"/>
          <w:sz w:val="22"/>
        </w:rPr>
        <w:t> </w:t>
      </w:r>
      <w:r>
        <w:rPr>
          <w:sz w:val="22"/>
        </w:rPr>
        <w:t>the</w:t>
      </w:r>
      <w:r>
        <w:rPr>
          <w:spacing w:val="-12"/>
          <w:sz w:val="22"/>
        </w:rPr>
        <w:t> </w:t>
      </w:r>
      <w:r>
        <w:rPr>
          <w:sz w:val="22"/>
        </w:rPr>
        <w:t>state</w:t>
      </w:r>
      <w:r>
        <w:rPr>
          <w:spacing w:val="-14"/>
          <w:sz w:val="22"/>
        </w:rPr>
        <w:t> </w:t>
      </w:r>
      <w:r>
        <w:rPr>
          <w:sz w:val="22"/>
        </w:rPr>
        <w:t>median</w:t>
      </w:r>
      <w:r>
        <w:rPr>
          <w:spacing w:val="-14"/>
          <w:sz w:val="22"/>
        </w:rPr>
        <w:t> </w:t>
      </w:r>
      <w:r>
        <w:rPr>
          <w:sz w:val="22"/>
        </w:rPr>
        <w:t>improvement</w:t>
      </w:r>
      <w:r>
        <w:rPr>
          <w:spacing w:val="-10"/>
          <w:sz w:val="22"/>
        </w:rPr>
        <w:t> </w:t>
      </w:r>
      <w:r>
        <w:rPr>
          <w:sz w:val="22"/>
        </w:rPr>
        <w:t>(2.1)</w:t>
      </w:r>
      <w:r>
        <w:rPr>
          <w:spacing w:val="-13"/>
          <w:sz w:val="22"/>
        </w:rPr>
        <w:t> </w:t>
      </w:r>
      <w:r>
        <w:rPr>
          <w:sz w:val="22"/>
        </w:rPr>
        <w:t>for</w:t>
      </w:r>
      <w:r>
        <w:rPr>
          <w:spacing w:val="-11"/>
          <w:sz w:val="22"/>
        </w:rPr>
        <w:t> </w:t>
      </w:r>
      <w:r>
        <w:rPr>
          <w:sz w:val="22"/>
        </w:rPr>
        <w:t>measures</w:t>
      </w:r>
      <w:r>
        <w:rPr>
          <w:spacing w:val="-14"/>
          <w:sz w:val="22"/>
        </w:rPr>
        <w:t> </w:t>
      </w:r>
      <w:r>
        <w:rPr>
          <w:sz w:val="22"/>
        </w:rPr>
        <w:t>C,</w:t>
      </w:r>
      <w:r>
        <w:rPr>
          <w:spacing w:val="-12"/>
          <w:sz w:val="22"/>
        </w:rPr>
        <w:t> </w:t>
      </w:r>
      <w:r>
        <w:rPr>
          <w:sz w:val="22"/>
        </w:rPr>
        <w:t>D,</w:t>
      </w:r>
      <w:r>
        <w:rPr>
          <w:spacing w:val="-12"/>
          <w:sz w:val="22"/>
        </w:rPr>
        <w:t> </w:t>
      </w:r>
      <w:r>
        <w:rPr>
          <w:sz w:val="22"/>
        </w:rPr>
        <w:t>E,</w:t>
      </w:r>
      <w:r>
        <w:rPr>
          <w:spacing w:val="-14"/>
          <w:sz w:val="22"/>
        </w:rPr>
        <w:t> </w:t>
      </w:r>
      <w:r>
        <w:rPr>
          <w:sz w:val="22"/>
        </w:rPr>
        <w:t>thereby</w:t>
      </w:r>
      <w:r>
        <w:rPr>
          <w:spacing w:val="-14"/>
          <w:sz w:val="22"/>
        </w:rPr>
        <w:t> </w:t>
      </w:r>
      <w:r>
        <w:rPr>
          <w:sz w:val="22"/>
        </w:rPr>
        <w:t>reaching the cap of using</w:t>
      </w:r>
      <w:r>
        <w:rPr>
          <w:spacing w:val="-1"/>
          <w:sz w:val="22"/>
        </w:rPr>
        <w:t> </w:t>
      </w:r>
      <w:r>
        <w:rPr>
          <w:sz w:val="22"/>
        </w:rPr>
        <w:t>the state median 3</w:t>
      </w:r>
      <w:r>
        <w:rPr>
          <w:spacing w:val="-1"/>
          <w:sz w:val="22"/>
        </w:rPr>
        <w:t> </w:t>
      </w:r>
      <w:r>
        <w:rPr>
          <w:sz w:val="22"/>
        </w:rPr>
        <w:t>times. As such, this</w:t>
      </w:r>
      <w:r>
        <w:rPr>
          <w:spacing w:val="-1"/>
          <w:sz w:val="22"/>
        </w:rPr>
        <w:t> </w:t>
      </w:r>
      <w:r>
        <w:rPr>
          <w:sz w:val="22"/>
        </w:rPr>
        <w:t>ACO may</w:t>
      </w:r>
      <w:r>
        <w:rPr>
          <w:spacing w:val="-1"/>
          <w:sz w:val="22"/>
        </w:rPr>
        <w:t> </w:t>
      </w:r>
      <w:r>
        <w:rPr>
          <w:sz w:val="22"/>
        </w:rPr>
        <w:t>not utilize the</w:t>
      </w:r>
      <w:r>
        <w:rPr>
          <w:spacing w:val="-1"/>
          <w:sz w:val="22"/>
        </w:rPr>
        <w:t> </w:t>
      </w:r>
      <w:r>
        <w:rPr>
          <w:sz w:val="22"/>
        </w:rPr>
        <w:t>state median for measure </w:t>
      </w:r>
      <w:r>
        <w:rPr>
          <w:spacing w:val="-6"/>
          <w:sz w:val="22"/>
        </w:rPr>
        <w:t>F.</w:t>
      </w:r>
    </w:p>
    <w:p>
      <w:pPr>
        <w:pStyle w:val="BodyText"/>
        <w:spacing w:before="2"/>
        <w:rPr>
          <w:sz w:val="12"/>
        </w:rPr>
      </w:pPr>
      <w:r>
        <w:rPr/>
        <mc:AlternateContent>
          <mc:Choice Requires="wps">
            <w:drawing>
              <wp:anchor distT="0" distB="0" distL="0" distR="0" allowOverlap="1" layoutInCell="1" locked="0" behindDoc="1" simplePos="0" relativeHeight="488017920">
                <wp:simplePos x="0" y="0"/>
                <wp:positionH relativeFrom="page">
                  <wp:posOffset>905255</wp:posOffset>
                </wp:positionH>
                <wp:positionV relativeFrom="paragraph">
                  <wp:posOffset>104168</wp:posOffset>
                </wp:positionV>
                <wp:extent cx="5953125" cy="6350"/>
                <wp:effectExtent l="0" t="0" r="0" b="0"/>
                <wp:wrapTopAndBottom/>
                <wp:docPr id="907" name="Graphic 907"/>
                <wp:cNvGraphicFramePr>
                  <a:graphicFrameLocks/>
                </wp:cNvGraphicFramePr>
                <a:graphic>
                  <a:graphicData uri="http://schemas.microsoft.com/office/word/2010/wordprocessingShape">
                    <wps:wsp>
                      <wps:cNvPr id="907" name="Graphic 907"/>
                      <wps:cNvSpPr/>
                      <wps:spPr>
                        <a:xfrm>
                          <a:off x="0" y="0"/>
                          <a:ext cx="5953125" cy="6350"/>
                        </a:xfrm>
                        <a:custGeom>
                          <a:avLst/>
                          <a:gdLst/>
                          <a:ahLst/>
                          <a:cxnLst/>
                          <a:rect l="l" t="t" r="r" b="b"/>
                          <a:pathLst>
                            <a:path w="5953125" h="6350">
                              <a:moveTo>
                                <a:pt x="5952744" y="0"/>
                              </a:moveTo>
                              <a:lnTo>
                                <a:pt x="0" y="0"/>
                              </a:lnTo>
                              <a:lnTo>
                                <a:pt x="0" y="6108"/>
                              </a:lnTo>
                              <a:lnTo>
                                <a:pt x="5952744" y="6108"/>
                              </a:lnTo>
                              <a:lnTo>
                                <a:pt x="5952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1.279999pt;margin-top:8.202223pt;width:468.72pt;height:.481pt;mso-position-horizontal-relative:page;mso-position-vertical-relative:paragraph;z-index:-15298560;mso-wrap-distance-left:0;mso-wrap-distance-right:0" id="docshape124" filled="true" fillcolor="#000000" stroked="false">
                <v:fill type="solid"/>
                <w10:wrap type="topAndBottom"/>
              </v:rect>
            </w:pict>
          </mc:Fallback>
        </mc:AlternateContent>
      </w:r>
    </w:p>
    <w:p>
      <w:pPr>
        <w:spacing w:line="259" w:lineRule="auto" w:before="1"/>
        <w:ind w:left="1220" w:right="1111" w:hanging="1"/>
        <w:jc w:val="left"/>
        <w:rPr>
          <w:sz w:val="22"/>
        </w:rPr>
      </w:pPr>
      <w:r>
        <w:rPr>
          <w:sz w:val="22"/>
        </w:rPr>
        <w:t>Note:</w:t>
      </w:r>
      <w:r>
        <w:rPr>
          <w:spacing w:val="-1"/>
          <w:sz w:val="22"/>
        </w:rPr>
        <w:t> </w:t>
      </w:r>
      <w:r>
        <w:rPr>
          <w:sz w:val="22"/>
        </w:rPr>
        <w:t>Use</w:t>
      </w:r>
      <w:r>
        <w:rPr>
          <w:spacing w:val="-2"/>
          <w:sz w:val="22"/>
        </w:rPr>
        <w:t> </w:t>
      </w:r>
      <w:r>
        <w:rPr>
          <w:sz w:val="22"/>
        </w:rPr>
        <w:t>of</w:t>
      </w:r>
      <w:r>
        <w:rPr>
          <w:spacing w:val="-1"/>
          <w:sz w:val="22"/>
        </w:rPr>
        <w:t> </w:t>
      </w:r>
      <w:r>
        <w:rPr>
          <w:sz w:val="22"/>
        </w:rPr>
        <w:t>the</w:t>
      </w:r>
      <w:r>
        <w:rPr>
          <w:spacing w:val="-2"/>
          <w:sz w:val="22"/>
        </w:rPr>
        <w:t> </w:t>
      </w:r>
      <w:r>
        <w:rPr>
          <w:sz w:val="22"/>
        </w:rPr>
        <w:t>state</w:t>
      </w:r>
      <w:r>
        <w:rPr>
          <w:spacing w:val="-2"/>
          <w:sz w:val="22"/>
        </w:rPr>
        <w:t> </w:t>
      </w:r>
      <w:r>
        <w:rPr>
          <w:sz w:val="22"/>
        </w:rPr>
        <w:t>median</w:t>
      </w:r>
      <w:r>
        <w:rPr>
          <w:spacing w:val="-2"/>
          <w:sz w:val="22"/>
        </w:rPr>
        <w:t> </w:t>
      </w:r>
      <w:r>
        <w:rPr>
          <w:sz w:val="22"/>
        </w:rPr>
        <w:t>only</w:t>
      </w:r>
      <w:r>
        <w:rPr>
          <w:spacing w:val="-5"/>
          <w:sz w:val="22"/>
        </w:rPr>
        <w:t> </w:t>
      </w:r>
      <w:r>
        <w:rPr>
          <w:sz w:val="22"/>
        </w:rPr>
        <w:t>‘counts’</w:t>
      </w:r>
      <w:r>
        <w:rPr>
          <w:spacing w:val="-4"/>
          <w:sz w:val="22"/>
        </w:rPr>
        <w:t> </w:t>
      </w:r>
      <w:r>
        <w:rPr>
          <w:sz w:val="22"/>
        </w:rPr>
        <w:t>toward</w:t>
      </w:r>
      <w:r>
        <w:rPr>
          <w:spacing w:val="-2"/>
          <w:sz w:val="22"/>
        </w:rPr>
        <w:t> </w:t>
      </w:r>
      <w:r>
        <w:rPr>
          <w:sz w:val="22"/>
        </w:rPr>
        <w:t>the</w:t>
      </w:r>
      <w:r>
        <w:rPr>
          <w:spacing w:val="-4"/>
          <w:sz w:val="22"/>
        </w:rPr>
        <w:t> </w:t>
      </w:r>
      <w:r>
        <w:rPr>
          <w:sz w:val="22"/>
        </w:rPr>
        <w:t>cap</w:t>
      </w:r>
      <w:r>
        <w:rPr>
          <w:spacing w:val="-2"/>
          <w:sz w:val="22"/>
        </w:rPr>
        <w:t> </w:t>
      </w:r>
      <w:r>
        <w:rPr>
          <w:sz w:val="22"/>
        </w:rPr>
        <w:t>in</w:t>
      </w:r>
      <w:r>
        <w:rPr>
          <w:spacing w:val="-2"/>
          <w:sz w:val="22"/>
        </w:rPr>
        <w:t> </w:t>
      </w:r>
      <w:r>
        <w:rPr>
          <w:sz w:val="22"/>
        </w:rPr>
        <w:t>such</w:t>
      </w:r>
      <w:r>
        <w:rPr>
          <w:spacing w:val="-2"/>
          <w:sz w:val="22"/>
        </w:rPr>
        <w:t> </w:t>
      </w:r>
      <w:r>
        <w:rPr>
          <w:sz w:val="22"/>
        </w:rPr>
        <w:t>measures</w:t>
      </w:r>
      <w:r>
        <w:rPr>
          <w:spacing w:val="-2"/>
          <w:sz w:val="22"/>
        </w:rPr>
        <w:t> </w:t>
      </w:r>
      <w:r>
        <w:rPr>
          <w:sz w:val="22"/>
        </w:rPr>
        <w:t>where</w:t>
      </w:r>
      <w:r>
        <w:rPr>
          <w:spacing w:val="-2"/>
          <w:sz w:val="22"/>
        </w:rPr>
        <w:t> </w:t>
      </w:r>
      <w:r>
        <w:rPr>
          <w:sz w:val="22"/>
        </w:rPr>
        <w:t>its</w:t>
      </w:r>
      <w:r>
        <w:rPr>
          <w:spacing w:val="-2"/>
          <w:sz w:val="22"/>
        </w:rPr>
        <w:t> </w:t>
      </w:r>
      <w:r>
        <w:rPr>
          <w:sz w:val="22"/>
        </w:rPr>
        <w:t>usage</w:t>
      </w:r>
      <w:r>
        <w:rPr>
          <w:spacing w:val="-2"/>
          <w:sz w:val="22"/>
        </w:rPr>
        <w:t> </w:t>
      </w:r>
      <w:r>
        <w:rPr>
          <w:sz w:val="22"/>
        </w:rPr>
        <w:t>results</w:t>
      </w:r>
      <w:r>
        <w:rPr>
          <w:spacing w:val="-2"/>
          <w:sz w:val="22"/>
        </w:rPr>
        <w:t> </w:t>
      </w:r>
      <w:r>
        <w:rPr>
          <w:sz w:val="22"/>
        </w:rPr>
        <w:t>in</w:t>
      </w:r>
      <w:r>
        <w:rPr>
          <w:spacing w:val="-2"/>
          <w:sz w:val="22"/>
        </w:rPr>
        <w:t> </w:t>
      </w:r>
      <w:r>
        <w:rPr>
          <w:sz w:val="22"/>
        </w:rPr>
        <w:t>the allocation of improvement points. In other words, in such cases where the state median is higher than ACO improvement, but does not reach the Improvement Target, then use of the state median does not count toward the cap.</w:t>
      </w:r>
    </w:p>
    <w:p>
      <w:pPr>
        <w:pStyle w:val="ListParagraph"/>
        <w:numPr>
          <w:ilvl w:val="3"/>
          <w:numId w:val="77"/>
        </w:numPr>
        <w:tabs>
          <w:tab w:pos="1939" w:val="left" w:leader="none"/>
        </w:tabs>
        <w:spacing w:line="252" w:lineRule="exact" w:before="195" w:after="0"/>
        <w:ind w:left="1939" w:right="0" w:hanging="719"/>
        <w:jc w:val="both"/>
        <w:rPr>
          <w:b/>
          <w:i/>
          <w:color w:val="4471C4"/>
          <w:sz w:val="22"/>
        </w:rPr>
      </w:pPr>
      <w:bookmarkStart w:name="5.3.1.5 Calculating the Domain Score for" w:id="1391"/>
      <w:bookmarkEnd w:id="1391"/>
      <w:r>
        <w:rPr/>
      </w:r>
      <w:r>
        <w:rPr>
          <w:b/>
          <w:i/>
          <w:color w:val="4471C4"/>
          <w:sz w:val="22"/>
        </w:rPr>
        <w:t>Calculating</w:t>
      </w:r>
      <w:r>
        <w:rPr>
          <w:b/>
          <w:i/>
          <w:color w:val="4471C4"/>
          <w:spacing w:val="-6"/>
          <w:sz w:val="22"/>
        </w:rPr>
        <w:t> </w:t>
      </w:r>
      <w:r>
        <w:rPr>
          <w:b/>
          <w:i/>
          <w:color w:val="4471C4"/>
          <w:sz w:val="22"/>
        </w:rPr>
        <w:t>the</w:t>
      </w:r>
      <w:r>
        <w:rPr>
          <w:b/>
          <w:i/>
          <w:color w:val="4471C4"/>
          <w:spacing w:val="-4"/>
          <w:sz w:val="22"/>
        </w:rPr>
        <w:t> </w:t>
      </w:r>
      <w:r>
        <w:rPr>
          <w:b/>
          <w:i/>
          <w:color w:val="4471C4"/>
          <w:sz w:val="22"/>
        </w:rPr>
        <w:t>Domain</w:t>
      </w:r>
      <w:r>
        <w:rPr>
          <w:b/>
          <w:i/>
          <w:color w:val="4471C4"/>
          <w:spacing w:val="-4"/>
          <w:sz w:val="22"/>
        </w:rPr>
        <w:t> </w:t>
      </w:r>
      <w:r>
        <w:rPr>
          <w:b/>
          <w:i/>
          <w:color w:val="4471C4"/>
          <w:sz w:val="22"/>
        </w:rPr>
        <w:t>Score</w:t>
      </w:r>
      <w:r>
        <w:rPr>
          <w:b/>
          <w:i/>
          <w:color w:val="4471C4"/>
          <w:spacing w:val="-6"/>
          <w:sz w:val="22"/>
        </w:rPr>
        <w:t> </w:t>
      </w:r>
      <w:r>
        <w:rPr>
          <w:b/>
          <w:i/>
          <w:color w:val="4471C4"/>
          <w:sz w:val="22"/>
        </w:rPr>
        <w:t>for</w:t>
      </w:r>
      <w:r>
        <w:rPr>
          <w:b/>
          <w:i/>
          <w:color w:val="4471C4"/>
          <w:spacing w:val="-5"/>
          <w:sz w:val="22"/>
        </w:rPr>
        <w:t> </w:t>
      </w:r>
      <w:r>
        <w:rPr>
          <w:b/>
          <w:i/>
          <w:color w:val="4471C4"/>
          <w:sz w:val="22"/>
        </w:rPr>
        <w:t>Member</w:t>
      </w:r>
      <w:r>
        <w:rPr>
          <w:b/>
          <w:i/>
          <w:color w:val="4471C4"/>
          <w:spacing w:val="-4"/>
          <w:sz w:val="22"/>
        </w:rPr>
        <w:t> </w:t>
      </w:r>
      <w:r>
        <w:rPr>
          <w:b/>
          <w:i/>
          <w:color w:val="4471C4"/>
          <w:sz w:val="22"/>
        </w:rPr>
        <w:t>Experience</w:t>
      </w:r>
      <w:r>
        <w:rPr>
          <w:b/>
          <w:i/>
          <w:color w:val="4471C4"/>
          <w:spacing w:val="-3"/>
          <w:sz w:val="22"/>
        </w:rPr>
        <w:t> </w:t>
      </w:r>
      <w:r>
        <w:rPr>
          <w:b/>
          <w:i/>
          <w:color w:val="4471C4"/>
          <w:sz w:val="22"/>
        </w:rPr>
        <w:t>Quality</w:t>
      </w:r>
      <w:r>
        <w:rPr>
          <w:b/>
          <w:i/>
          <w:color w:val="4471C4"/>
          <w:spacing w:val="-4"/>
          <w:sz w:val="22"/>
        </w:rPr>
        <w:t> </w:t>
      </w:r>
      <w:r>
        <w:rPr>
          <w:b/>
          <w:i/>
          <w:color w:val="4471C4"/>
          <w:sz w:val="22"/>
        </w:rPr>
        <w:t>Domains</w:t>
      </w:r>
      <w:r>
        <w:rPr>
          <w:b/>
          <w:i/>
          <w:color w:val="4471C4"/>
          <w:spacing w:val="-6"/>
          <w:sz w:val="22"/>
        </w:rPr>
        <w:t> </w:t>
      </w:r>
      <w:r>
        <w:rPr>
          <w:b/>
          <w:i/>
          <w:color w:val="4471C4"/>
          <w:sz w:val="22"/>
        </w:rPr>
        <w:t>for</w:t>
      </w:r>
      <w:r>
        <w:rPr>
          <w:b/>
          <w:i/>
          <w:color w:val="4471C4"/>
          <w:spacing w:val="-4"/>
          <w:sz w:val="22"/>
        </w:rPr>
        <w:t> </w:t>
      </w:r>
      <w:r>
        <w:rPr>
          <w:b/>
          <w:i/>
          <w:color w:val="4471C4"/>
          <w:sz w:val="22"/>
        </w:rPr>
        <w:t>BP</w:t>
      </w:r>
      <w:r>
        <w:rPr>
          <w:b/>
          <w:i/>
          <w:color w:val="4471C4"/>
          <w:spacing w:val="-4"/>
          <w:sz w:val="22"/>
        </w:rPr>
        <w:t> </w:t>
      </w:r>
      <w:r>
        <w:rPr>
          <w:b/>
          <w:i/>
          <w:color w:val="4471C4"/>
          <w:sz w:val="22"/>
        </w:rPr>
        <w:t>4-</w:t>
      </w:r>
      <w:r>
        <w:rPr>
          <w:b/>
          <w:i/>
          <w:color w:val="4471C4"/>
          <w:spacing w:val="-10"/>
          <w:sz w:val="22"/>
        </w:rPr>
        <w:t>5</w:t>
      </w:r>
    </w:p>
    <w:p>
      <w:pPr>
        <w:spacing w:line="242" w:lineRule="auto" w:before="0"/>
        <w:ind w:left="1220" w:right="1094" w:firstLine="0"/>
        <w:jc w:val="both"/>
        <w:rPr>
          <w:sz w:val="22"/>
        </w:rPr>
      </w:pPr>
      <w:r>
        <w:rPr>
          <w:sz w:val="22"/>
        </w:rPr>
        <w:t>The Member Experience Quality Domains will be calculated based on surveying a representative sample of</w:t>
      </w:r>
      <w:r>
        <w:rPr>
          <w:spacing w:val="-9"/>
          <w:sz w:val="22"/>
        </w:rPr>
        <w:t> </w:t>
      </w:r>
      <w:r>
        <w:rPr>
          <w:sz w:val="22"/>
        </w:rPr>
        <w:t>an</w:t>
      </w:r>
      <w:r>
        <w:rPr>
          <w:spacing w:val="-10"/>
          <w:sz w:val="22"/>
        </w:rPr>
        <w:t> </w:t>
      </w:r>
      <w:r>
        <w:rPr>
          <w:sz w:val="22"/>
        </w:rPr>
        <w:t>ACO’s</w:t>
      </w:r>
      <w:r>
        <w:rPr>
          <w:spacing w:val="-9"/>
          <w:sz w:val="22"/>
        </w:rPr>
        <w:t> </w:t>
      </w:r>
      <w:r>
        <w:rPr>
          <w:sz w:val="22"/>
        </w:rPr>
        <w:t>attributed</w:t>
      </w:r>
      <w:r>
        <w:rPr>
          <w:spacing w:val="-10"/>
          <w:sz w:val="22"/>
        </w:rPr>
        <w:t> </w:t>
      </w:r>
      <w:r>
        <w:rPr>
          <w:sz w:val="22"/>
        </w:rPr>
        <w:t>members</w:t>
      </w:r>
      <w:r>
        <w:rPr>
          <w:spacing w:val="-9"/>
          <w:sz w:val="22"/>
        </w:rPr>
        <w:t> </w:t>
      </w:r>
      <w:r>
        <w:rPr>
          <w:sz w:val="22"/>
        </w:rPr>
        <w:t>to</w:t>
      </w:r>
      <w:r>
        <w:rPr>
          <w:spacing w:val="-10"/>
          <w:sz w:val="22"/>
        </w:rPr>
        <w:t> </w:t>
      </w:r>
      <w:r>
        <w:rPr>
          <w:sz w:val="22"/>
        </w:rPr>
        <w:t>assess</w:t>
      </w:r>
      <w:r>
        <w:rPr>
          <w:spacing w:val="-9"/>
          <w:sz w:val="22"/>
        </w:rPr>
        <w:t> </w:t>
      </w:r>
      <w:r>
        <w:rPr>
          <w:sz w:val="22"/>
        </w:rPr>
        <w:t>their</w:t>
      </w:r>
      <w:r>
        <w:rPr>
          <w:spacing w:val="-9"/>
          <w:sz w:val="22"/>
        </w:rPr>
        <w:t> </w:t>
      </w:r>
      <w:r>
        <w:rPr>
          <w:sz w:val="22"/>
        </w:rPr>
        <w:t>experience</w:t>
      </w:r>
      <w:r>
        <w:rPr>
          <w:spacing w:val="-9"/>
          <w:sz w:val="22"/>
        </w:rPr>
        <w:t> </w:t>
      </w:r>
      <w:r>
        <w:rPr>
          <w:sz w:val="22"/>
        </w:rPr>
        <w:t>of</w:t>
      </w:r>
      <w:r>
        <w:rPr>
          <w:spacing w:val="-9"/>
          <w:sz w:val="22"/>
        </w:rPr>
        <w:t> </w:t>
      </w:r>
      <w:r>
        <w:rPr>
          <w:sz w:val="22"/>
        </w:rPr>
        <w:t>care.</w:t>
      </w:r>
      <w:r>
        <w:rPr>
          <w:spacing w:val="33"/>
          <w:sz w:val="22"/>
        </w:rPr>
        <w:t> </w:t>
      </w:r>
      <w:r>
        <w:rPr>
          <w:sz w:val="22"/>
        </w:rPr>
        <w:t>The</w:t>
      </w:r>
      <w:r>
        <w:rPr>
          <w:spacing w:val="-9"/>
          <w:sz w:val="22"/>
        </w:rPr>
        <w:t> </w:t>
      </w:r>
      <w:r>
        <w:rPr>
          <w:sz w:val="22"/>
        </w:rPr>
        <w:t>State</w:t>
      </w:r>
      <w:r>
        <w:rPr>
          <w:spacing w:val="-9"/>
          <w:sz w:val="22"/>
        </w:rPr>
        <w:t> </w:t>
      </w:r>
      <w:r>
        <w:rPr>
          <w:sz w:val="22"/>
        </w:rPr>
        <w:t>anticipates</w:t>
      </w:r>
      <w:r>
        <w:rPr>
          <w:spacing w:val="-11"/>
          <w:sz w:val="22"/>
        </w:rPr>
        <w:t> </w:t>
      </w:r>
      <w:r>
        <w:rPr>
          <w:sz w:val="22"/>
        </w:rPr>
        <w:t>assessing</w:t>
      </w:r>
      <w:r>
        <w:rPr>
          <w:spacing w:val="-12"/>
          <w:sz w:val="22"/>
        </w:rPr>
        <w:t> </w:t>
      </w:r>
      <w:r>
        <w:rPr>
          <w:sz w:val="22"/>
        </w:rPr>
        <w:t>member experience</w:t>
      </w:r>
      <w:r>
        <w:rPr>
          <w:spacing w:val="-14"/>
          <w:sz w:val="22"/>
        </w:rPr>
        <w:t> </w:t>
      </w:r>
      <w:r>
        <w:rPr>
          <w:sz w:val="22"/>
        </w:rPr>
        <w:t>for</w:t>
      </w:r>
      <w:r>
        <w:rPr>
          <w:spacing w:val="-12"/>
          <w:sz w:val="22"/>
        </w:rPr>
        <w:t> </w:t>
      </w:r>
      <w:r>
        <w:rPr>
          <w:sz w:val="22"/>
        </w:rPr>
        <w:t>(1)</w:t>
      </w:r>
      <w:r>
        <w:rPr>
          <w:spacing w:val="-11"/>
          <w:sz w:val="22"/>
        </w:rPr>
        <w:t> </w:t>
      </w:r>
      <w:r>
        <w:rPr>
          <w:sz w:val="22"/>
        </w:rPr>
        <w:t>primary</w:t>
      </w:r>
      <w:r>
        <w:rPr>
          <w:spacing w:val="-14"/>
          <w:sz w:val="22"/>
        </w:rPr>
        <w:t> </w:t>
      </w:r>
      <w:r>
        <w:rPr>
          <w:sz w:val="22"/>
        </w:rPr>
        <w:t>care</w:t>
      </w:r>
      <w:r>
        <w:rPr>
          <w:spacing w:val="-13"/>
          <w:sz w:val="22"/>
        </w:rPr>
        <w:t> </w:t>
      </w:r>
      <w:r>
        <w:rPr>
          <w:sz w:val="22"/>
        </w:rPr>
        <w:t>(commencing</w:t>
      </w:r>
      <w:r>
        <w:rPr>
          <w:spacing w:val="-14"/>
          <w:sz w:val="22"/>
        </w:rPr>
        <w:t> </w:t>
      </w:r>
      <w:r>
        <w:rPr>
          <w:sz w:val="22"/>
        </w:rPr>
        <w:t>in</w:t>
      </w:r>
      <w:r>
        <w:rPr>
          <w:spacing w:val="-11"/>
          <w:sz w:val="22"/>
        </w:rPr>
        <w:t> </w:t>
      </w:r>
      <w:r>
        <w:rPr>
          <w:sz w:val="22"/>
        </w:rPr>
        <w:t>CY2018),</w:t>
      </w:r>
      <w:r>
        <w:rPr>
          <w:spacing w:val="-14"/>
          <w:sz w:val="22"/>
        </w:rPr>
        <w:t> </w:t>
      </w:r>
      <w:r>
        <w:rPr>
          <w:sz w:val="22"/>
        </w:rPr>
        <w:t>(2)</w:t>
      </w:r>
      <w:r>
        <w:rPr>
          <w:spacing w:val="-10"/>
          <w:sz w:val="22"/>
        </w:rPr>
        <w:t> </w:t>
      </w:r>
      <w:r>
        <w:rPr>
          <w:sz w:val="22"/>
        </w:rPr>
        <w:t>BH</w:t>
      </w:r>
      <w:r>
        <w:rPr>
          <w:spacing w:val="-14"/>
          <w:sz w:val="22"/>
        </w:rPr>
        <w:t> </w:t>
      </w:r>
      <w:r>
        <w:rPr>
          <w:sz w:val="22"/>
        </w:rPr>
        <w:t>(commencing</w:t>
      </w:r>
      <w:r>
        <w:rPr>
          <w:spacing w:val="-13"/>
          <w:sz w:val="22"/>
        </w:rPr>
        <w:t> </w:t>
      </w:r>
      <w:r>
        <w:rPr>
          <w:sz w:val="22"/>
        </w:rPr>
        <w:t>in</w:t>
      </w:r>
      <w:r>
        <w:rPr>
          <w:spacing w:val="-14"/>
          <w:sz w:val="22"/>
        </w:rPr>
        <w:t> </w:t>
      </w:r>
      <w:r>
        <w:rPr>
          <w:sz w:val="22"/>
        </w:rPr>
        <w:t>CY2019),</w:t>
      </w:r>
      <w:r>
        <w:rPr>
          <w:spacing w:val="-11"/>
          <w:sz w:val="22"/>
        </w:rPr>
        <w:t> </w:t>
      </w:r>
      <w:r>
        <w:rPr>
          <w:sz w:val="22"/>
        </w:rPr>
        <w:t>and</w:t>
      </w:r>
      <w:r>
        <w:rPr>
          <w:spacing w:val="-14"/>
          <w:sz w:val="22"/>
        </w:rPr>
        <w:t> </w:t>
      </w:r>
      <w:r>
        <w:rPr>
          <w:sz w:val="22"/>
        </w:rPr>
        <w:t>(3)</w:t>
      </w:r>
      <w:r>
        <w:rPr>
          <w:spacing w:val="-12"/>
          <w:sz w:val="22"/>
        </w:rPr>
        <w:t> </w:t>
      </w:r>
      <w:r>
        <w:rPr>
          <w:sz w:val="22"/>
        </w:rPr>
        <w:t>LTSS (commencing in CY2020) services.</w:t>
      </w:r>
    </w:p>
    <w:p>
      <w:pPr>
        <w:spacing w:before="151"/>
        <w:ind w:left="1220" w:right="1094" w:firstLine="0"/>
        <w:jc w:val="both"/>
        <w:rPr>
          <w:sz w:val="22"/>
        </w:rPr>
      </w:pPr>
      <w:r>
        <w:rPr>
          <w:sz w:val="22"/>
        </w:rPr>
        <w:t>The State plans to procure a vendor to administer these member experience surveys for ACOs. The State will</w:t>
      </w:r>
      <w:r>
        <w:rPr>
          <w:spacing w:val="-14"/>
          <w:sz w:val="22"/>
        </w:rPr>
        <w:t> </w:t>
      </w:r>
      <w:r>
        <w:rPr>
          <w:sz w:val="22"/>
        </w:rPr>
        <w:t>work</w:t>
      </w:r>
      <w:r>
        <w:rPr>
          <w:spacing w:val="-14"/>
          <w:sz w:val="22"/>
        </w:rPr>
        <w:t> </w:t>
      </w:r>
      <w:r>
        <w:rPr>
          <w:sz w:val="22"/>
        </w:rPr>
        <w:t>in</w:t>
      </w:r>
      <w:r>
        <w:rPr>
          <w:spacing w:val="-14"/>
          <w:sz w:val="22"/>
        </w:rPr>
        <w:t> </w:t>
      </w:r>
      <w:r>
        <w:rPr>
          <w:sz w:val="22"/>
        </w:rPr>
        <w:t>collaboration</w:t>
      </w:r>
      <w:r>
        <w:rPr>
          <w:spacing w:val="-13"/>
          <w:sz w:val="22"/>
        </w:rPr>
        <w:t> </w:t>
      </w:r>
      <w:r>
        <w:rPr>
          <w:sz w:val="22"/>
        </w:rPr>
        <w:t>with</w:t>
      </w:r>
      <w:r>
        <w:rPr>
          <w:spacing w:val="-14"/>
          <w:sz w:val="22"/>
        </w:rPr>
        <w:t> </w:t>
      </w:r>
      <w:r>
        <w:rPr>
          <w:sz w:val="22"/>
        </w:rPr>
        <w:t>its</w:t>
      </w:r>
      <w:r>
        <w:rPr>
          <w:spacing w:val="-14"/>
          <w:sz w:val="22"/>
        </w:rPr>
        <w:t> </w:t>
      </w:r>
      <w:r>
        <w:rPr>
          <w:sz w:val="22"/>
        </w:rPr>
        <w:t>procured</w:t>
      </w:r>
      <w:r>
        <w:rPr>
          <w:spacing w:val="-14"/>
          <w:sz w:val="22"/>
        </w:rPr>
        <w:t> </w:t>
      </w:r>
      <w:r>
        <w:rPr>
          <w:sz w:val="22"/>
        </w:rPr>
        <w:t>vendor</w:t>
      </w:r>
      <w:r>
        <w:rPr>
          <w:spacing w:val="-13"/>
          <w:sz w:val="22"/>
        </w:rPr>
        <w:t> </w:t>
      </w:r>
      <w:r>
        <w:rPr>
          <w:sz w:val="22"/>
        </w:rPr>
        <w:t>to</w:t>
      </w:r>
      <w:r>
        <w:rPr>
          <w:spacing w:val="-14"/>
          <w:sz w:val="22"/>
        </w:rPr>
        <w:t> </w:t>
      </w:r>
      <w:r>
        <w:rPr>
          <w:sz w:val="22"/>
        </w:rPr>
        <w:t>finalize</w:t>
      </w:r>
      <w:r>
        <w:rPr>
          <w:spacing w:val="-14"/>
          <w:sz w:val="22"/>
        </w:rPr>
        <w:t> </w:t>
      </w:r>
      <w:r>
        <w:rPr>
          <w:sz w:val="22"/>
        </w:rPr>
        <w:t>the</w:t>
      </w:r>
      <w:r>
        <w:rPr>
          <w:spacing w:val="-14"/>
          <w:sz w:val="22"/>
        </w:rPr>
        <w:t> </w:t>
      </w:r>
      <w:r>
        <w:rPr>
          <w:sz w:val="22"/>
        </w:rPr>
        <w:t>survey</w:t>
      </w:r>
      <w:r>
        <w:rPr>
          <w:spacing w:val="-13"/>
          <w:sz w:val="22"/>
        </w:rPr>
        <w:t> </w:t>
      </w:r>
      <w:r>
        <w:rPr>
          <w:sz w:val="22"/>
        </w:rPr>
        <w:t>instruments,</w:t>
      </w:r>
      <w:r>
        <w:rPr>
          <w:spacing w:val="-14"/>
          <w:sz w:val="22"/>
        </w:rPr>
        <w:t> </w:t>
      </w:r>
      <w:r>
        <w:rPr>
          <w:sz w:val="22"/>
        </w:rPr>
        <w:t>and</w:t>
      </w:r>
      <w:r>
        <w:rPr>
          <w:spacing w:val="-14"/>
          <w:sz w:val="22"/>
        </w:rPr>
        <w:t> </w:t>
      </w:r>
      <w:r>
        <w:rPr>
          <w:sz w:val="22"/>
        </w:rPr>
        <w:t>identify</w:t>
      </w:r>
      <w:r>
        <w:rPr>
          <w:spacing w:val="-14"/>
          <w:sz w:val="22"/>
        </w:rPr>
        <w:t> </w:t>
      </w:r>
      <w:r>
        <w:rPr>
          <w:sz w:val="22"/>
        </w:rPr>
        <w:t>questions and methodology for calculating survey results. The State is planning to use or adapt (as appropriate) validated instruments wherever possible to capture member experience for each population. For example, the State may use:</w:t>
      </w:r>
    </w:p>
    <w:p>
      <w:pPr>
        <w:pStyle w:val="ListParagraph"/>
        <w:numPr>
          <w:ilvl w:val="4"/>
          <w:numId w:val="77"/>
        </w:numPr>
        <w:tabs>
          <w:tab w:pos="1940" w:val="left" w:leader="none"/>
        </w:tabs>
        <w:spacing w:line="240" w:lineRule="auto" w:before="159" w:after="0"/>
        <w:ind w:left="1940" w:right="0" w:hanging="360"/>
        <w:jc w:val="left"/>
        <w:rPr>
          <w:sz w:val="22"/>
        </w:rPr>
      </w:pPr>
      <w:r>
        <w:rPr>
          <w:sz w:val="22"/>
        </w:rPr>
        <w:t>For</w:t>
      </w:r>
      <w:r>
        <w:rPr>
          <w:spacing w:val="-3"/>
          <w:sz w:val="22"/>
        </w:rPr>
        <w:t> </w:t>
      </w:r>
      <w:r>
        <w:rPr>
          <w:sz w:val="22"/>
        </w:rPr>
        <w:t>the</w:t>
      </w:r>
      <w:r>
        <w:rPr>
          <w:spacing w:val="-3"/>
          <w:sz w:val="22"/>
        </w:rPr>
        <w:t> </w:t>
      </w:r>
      <w:r>
        <w:rPr>
          <w:sz w:val="22"/>
        </w:rPr>
        <w:t>population</w:t>
      </w:r>
      <w:r>
        <w:rPr>
          <w:spacing w:val="-4"/>
          <w:sz w:val="22"/>
        </w:rPr>
        <w:t> </w:t>
      </w:r>
      <w:r>
        <w:rPr>
          <w:sz w:val="22"/>
        </w:rPr>
        <w:t>receiving</w:t>
      </w:r>
      <w:r>
        <w:rPr>
          <w:spacing w:val="-6"/>
          <w:sz w:val="22"/>
        </w:rPr>
        <w:t> </w:t>
      </w:r>
      <w:r>
        <w:rPr>
          <w:sz w:val="22"/>
        </w:rPr>
        <w:t>primary</w:t>
      </w:r>
      <w:r>
        <w:rPr>
          <w:spacing w:val="-6"/>
          <w:sz w:val="22"/>
        </w:rPr>
        <w:t> </w:t>
      </w:r>
      <w:r>
        <w:rPr>
          <w:sz w:val="22"/>
        </w:rPr>
        <w:t>care</w:t>
      </w:r>
      <w:r>
        <w:rPr>
          <w:spacing w:val="-3"/>
          <w:sz w:val="22"/>
        </w:rPr>
        <w:t> </w:t>
      </w:r>
      <w:r>
        <w:rPr>
          <w:spacing w:val="-2"/>
          <w:sz w:val="22"/>
        </w:rPr>
        <w:t>services:</w:t>
      </w:r>
    </w:p>
    <w:p>
      <w:pPr>
        <w:spacing w:after="0" w:line="240" w:lineRule="auto"/>
        <w:jc w:val="left"/>
        <w:rPr>
          <w:sz w:val="22"/>
        </w:rPr>
        <w:sectPr>
          <w:pgSz w:w="12240" w:h="15840"/>
          <w:pgMar w:header="0" w:footer="967" w:top="1640" w:bottom="1160" w:left="220" w:right="340"/>
        </w:sectPr>
      </w:pPr>
    </w:p>
    <w:p>
      <w:pPr>
        <w:pStyle w:val="ListParagraph"/>
        <w:numPr>
          <w:ilvl w:val="5"/>
          <w:numId w:val="77"/>
        </w:numPr>
        <w:tabs>
          <w:tab w:pos="2659" w:val="left" w:leader="none"/>
        </w:tabs>
        <w:spacing w:line="240" w:lineRule="auto" w:before="81" w:after="0"/>
        <w:ind w:left="2659" w:right="0" w:hanging="359"/>
        <w:jc w:val="left"/>
        <w:rPr>
          <w:sz w:val="22"/>
        </w:rPr>
      </w:pPr>
      <w:r>
        <w:rPr>
          <w:sz w:val="22"/>
        </w:rPr>
        <w:t>CAHPS</w:t>
      </w:r>
      <w:r>
        <w:rPr>
          <w:spacing w:val="-7"/>
          <w:sz w:val="22"/>
        </w:rPr>
        <w:t> </w:t>
      </w:r>
      <w:r>
        <w:rPr>
          <w:sz w:val="22"/>
        </w:rPr>
        <w:t>Clinician</w:t>
      </w:r>
      <w:r>
        <w:rPr>
          <w:spacing w:val="-6"/>
          <w:sz w:val="22"/>
        </w:rPr>
        <w:t> </w:t>
      </w:r>
      <w:r>
        <w:rPr>
          <w:sz w:val="22"/>
        </w:rPr>
        <w:t>and</w:t>
      </w:r>
      <w:r>
        <w:rPr>
          <w:spacing w:val="-3"/>
          <w:sz w:val="22"/>
        </w:rPr>
        <w:t> </w:t>
      </w:r>
      <w:r>
        <w:rPr>
          <w:sz w:val="22"/>
        </w:rPr>
        <w:t>Group</w:t>
      </w:r>
      <w:r>
        <w:rPr>
          <w:spacing w:val="-3"/>
          <w:sz w:val="22"/>
        </w:rPr>
        <w:t> </w:t>
      </w:r>
      <w:r>
        <w:rPr>
          <w:sz w:val="22"/>
        </w:rPr>
        <w:t>Survey</w:t>
      </w:r>
      <w:r>
        <w:rPr>
          <w:spacing w:val="-7"/>
          <w:sz w:val="22"/>
        </w:rPr>
        <w:t> </w:t>
      </w:r>
      <w:r>
        <w:rPr>
          <w:sz w:val="22"/>
        </w:rPr>
        <w:t>+</w:t>
      </w:r>
      <w:r>
        <w:rPr>
          <w:spacing w:val="-3"/>
          <w:sz w:val="22"/>
        </w:rPr>
        <w:t> </w:t>
      </w:r>
      <w:r>
        <w:rPr>
          <w:sz w:val="22"/>
        </w:rPr>
        <w:t>CAHPS</w:t>
      </w:r>
      <w:r>
        <w:rPr>
          <w:spacing w:val="-4"/>
          <w:sz w:val="22"/>
        </w:rPr>
        <w:t> </w:t>
      </w:r>
      <w:r>
        <w:rPr>
          <w:sz w:val="22"/>
        </w:rPr>
        <w:t>PCMH</w:t>
      </w:r>
      <w:r>
        <w:rPr>
          <w:spacing w:val="-4"/>
          <w:sz w:val="22"/>
        </w:rPr>
        <w:t> </w:t>
      </w:r>
      <w:r>
        <w:rPr>
          <w:sz w:val="22"/>
        </w:rPr>
        <w:t>supplemental</w:t>
      </w:r>
      <w:r>
        <w:rPr>
          <w:spacing w:val="-5"/>
          <w:sz w:val="22"/>
        </w:rPr>
        <w:t> </w:t>
      </w:r>
      <w:r>
        <w:rPr>
          <w:spacing w:val="-2"/>
          <w:sz w:val="22"/>
        </w:rPr>
        <w:t>questions</w:t>
      </w:r>
    </w:p>
    <w:p>
      <w:pPr>
        <w:pStyle w:val="ListParagraph"/>
        <w:numPr>
          <w:ilvl w:val="4"/>
          <w:numId w:val="77"/>
        </w:numPr>
        <w:tabs>
          <w:tab w:pos="1940" w:val="left" w:leader="none"/>
        </w:tabs>
        <w:spacing w:line="240" w:lineRule="auto" w:before="180" w:after="0"/>
        <w:ind w:left="1940" w:right="0" w:hanging="360"/>
        <w:jc w:val="left"/>
        <w:rPr>
          <w:sz w:val="22"/>
        </w:rPr>
      </w:pPr>
      <w:r>
        <w:rPr>
          <w:sz w:val="22"/>
        </w:rPr>
        <w:t>For</w:t>
      </w:r>
      <w:r>
        <w:rPr>
          <w:spacing w:val="-3"/>
          <w:sz w:val="22"/>
        </w:rPr>
        <w:t> </w:t>
      </w:r>
      <w:r>
        <w:rPr>
          <w:sz w:val="22"/>
        </w:rPr>
        <w:t>the</w:t>
      </w:r>
      <w:r>
        <w:rPr>
          <w:spacing w:val="-3"/>
          <w:sz w:val="22"/>
        </w:rPr>
        <w:t> </w:t>
      </w:r>
      <w:r>
        <w:rPr>
          <w:sz w:val="22"/>
        </w:rPr>
        <w:t>population</w:t>
      </w:r>
      <w:r>
        <w:rPr>
          <w:spacing w:val="-3"/>
          <w:sz w:val="22"/>
        </w:rPr>
        <w:t> </w:t>
      </w:r>
      <w:r>
        <w:rPr>
          <w:sz w:val="22"/>
        </w:rPr>
        <w:t>receiving</w:t>
      </w:r>
      <w:r>
        <w:rPr>
          <w:spacing w:val="-6"/>
          <w:sz w:val="22"/>
        </w:rPr>
        <w:t> </w:t>
      </w:r>
      <w:r>
        <w:rPr>
          <w:sz w:val="22"/>
        </w:rPr>
        <w:t>behavioral</w:t>
      </w:r>
      <w:r>
        <w:rPr>
          <w:spacing w:val="-5"/>
          <w:sz w:val="22"/>
        </w:rPr>
        <w:t> </w:t>
      </w:r>
      <w:r>
        <w:rPr>
          <w:sz w:val="22"/>
        </w:rPr>
        <w:t>health</w:t>
      </w:r>
      <w:r>
        <w:rPr>
          <w:spacing w:val="-6"/>
          <w:sz w:val="22"/>
        </w:rPr>
        <w:t> </w:t>
      </w:r>
      <w:r>
        <w:rPr>
          <w:spacing w:val="-2"/>
          <w:sz w:val="22"/>
        </w:rPr>
        <w:t>services:</w:t>
      </w:r>
    </w:p>
    <w:p>
      <w:pPr>
        <w:pStyle w:val="ListParagraph"/>
        <w:numPr>
          <w:ilvl w:val="5"/>
          <w:numId w:val="77"/>
        </w:numPr>
        <w:tabs>
          <w:tab w:pos="2658" w:val="left" w:leader="none"/>
          <w:tab w:pos="2660" w:val="left" w:leader="none"/>
        </w:tabs>
        <w:spacing w:line="232" w:lineRule="auto" w:before="203" w:after="0"/>
        <w:ind w:left="2660" w:right="1094" w:hanging="361"/>
        <w:jc w:val="both"/>
        <w:rPr>
          <w:sz w:val="22"/>
        </w:rPr>
      </w:pPr>
      <w:r>
        <w:rPr>
          <w:sz w:val="22"/>
        </w:rPr>
        <w:t>Massachusetts Department of Mental Health, Massachusetts Consumer Surveys (MCS): Based off of the Substance Abuse and Mental Health Services Administrations (SAMHSA’s) Mental Health Statistics Improvement Program (MHSIP) survey</w:t>
      </w:r>
    </w:p>
    <w:p>
      <w:pPr>
        <w:pStyle w:val="ListParagraph"/>
        <w:numPr>
          <w:ilvl w:val="4"/>
          <w:numId w:val="77"/>
        </w:numPr>
        <w:tabs>
          <w:tab w:pos="1940" w:val="left" w:leader="none"/>
        </w:tabs>
        <w:spacing w:line="240" w:lineRule="auto" w:before="201" w:after="0"/>
        <w:ind w:left="1940" w:right="0" w:hanging="360"/>
        <w:jc w:val="left"/>
        <w:rPr>
          <w:sz w:val="22"/>
        </w:rPr>
      </w:pPr>
      <w:r>
        <w:rPr>
          <w:sz w:val="22"/>
        </w:rPr>
        <w:t>For</w:t>
      </w:r>
      <w:r>
        <w:rPr>
          <w:spacing w:val="-3"/>
          <w:sz w:val="22"/>
        </w:rPr>
        <w:t> </w:t>
      </w:r>
      <w:r>
        <w:rPr>
          <w:sz w:val="22"/>
        </w:rPr>
        <w:t>the</w:t>
      </w:r>
      <w:r>
        <w:rPr>
          <w:spacing w:val="-3"/>
          <w:sz w:val="22"/>
        </w:rPr>
        <w:t> </w:t>
      </w:r>
      <w:r>
        <w:rPr>
          <w:sz w:val="22"/>
        </w:rPr>
        <w:t>population</w:t>
      </w:r>
      <w:r>
        <w:rPr>
          <w:spacing w:val="-4"/>
          <w:sz w:val="22"/>
        </w:rPr>
        <w:t> </w:t>
      </w:r>
      <w:r>
        <w:rPr>
          <w:sz w:val="22"/>
        </w:rPr>
        <w:t>receiving</w:t>
      </w:r>
      <w:r>
        <w:rPr>
          <w:spacing w:val="-6"/>
          <w:sz w:val="22"/>
        </w:rPr>
        <w:t> </w:t>
      </w:r>
      <w:r>
        <w:rPr>
          <w:sz w:val="22"/>
        </w:rPr>
        <w:t>LTSS</w:t>
      </w:r>
      <w:r>
        <w:rPr>
          <w:spacing w:val="-4"/>
          <w:sz w:val="22"/>
        </w:rPr>
        <w:t> </w:t>
      </w:r>
      <w:r>
        <w:rPr>
          <w:spacing w:val="-2"/>
          <w:sz w:val="22"/>
        </w:rPr>
        <w:t>Services:</w:t>
      </w:r>
    </w:p>
    <w:p>
      <w:pPr>
        <w:pStyle w:val="ListParagraph"/>
        <w:numPr>
          <w:ilvl w:val="5"/>
          <w:numId w:val="77"/>
        </w:numPr>
        <w:tabs>
          <w:tab w:pos="2660" w:val="left" w:leader="none"/>
        </w:tabs>
        <w:spacing w:line="232" w:lineRule="auto" w:before="203" w:after="0"/>
        <w:ind w:left="2660" w:right="1095" w:hanging="360"/>
        <w:jc w:val="both"/>
        <w:rPr>
          <w:sz w:val="22"/>
        </w:rPr>
      </w:pPr>
      <w:r>
        <w:rPr>
          <w:sz w:val="22"/>
        </w:rPr>
        <w:t>HCBS CAHPS Survey: recently released by CMS, is the first cross-disability survey of home</w:t>
      </w:r>
      <w:r>
        <w:rPr>
          <w:spacing w:val="-8"/>
          <w:sz w:val="22"/>
        </w:rPr>
        <w:t> </w:t>
      </w:r>
      <w:r>
        <w:rPr>
          <w:sz w:val="22"/>
        </w:rPr>
        <w:t>and</w:t>
      </w:r>
      <w:r>
        <w:rPr>
          <w:spacing w:val="-8"/>
          <w:sz w:val="22"/>
        </w:rPr>
        <w:t> </w:t>
      </w:r>
      <w:r>
        <w:rPr>
          <w:sz w:val="22"/>
        </w:rPr>
        <w:t>community-based</w:t>
      </w:r>
      <w:r>
        <w:rPr>
          <w:spacing w:val="-8"/>
          <w:sz w:val="22"/>
        </w:rPr>
        <w:t> </w:t>
      </w:r>
      <w:r>
        <w:rPr>
          <w:sz w:val="22"/>
        </w:rPr>
        <w:t>service</w:t>
      </w:r>
      <w:r>
        <w:rPr>
          <w:spacing w:val="-10"/>
          <w:sz w:val="22"/>
        </w:rPr>
        <w:t> </w:t>
      </w:r>
      <w:r>
        <w:rPr>
          <w:sz w:val="22"/>
        </w:rPr>
        <w:t>(HCBS)</w:t>
      </w:r>
      <w:r>
        <w:rPr>
          <w:spacing w:val="-7"/>
          <w:sz w:val="22"/>
        </w:rPr>
        <w:t> </w:t>
      </w:r>
      <w:r>
        <w:rPr>
          <w:sz w:val="22"/>
        </w:rPr>
        <w:t>beneficiary’s</w:t>
      </w:r>
      <w:r>
        <w:rPr>
          <w:spacing w:val="-8"/>
          <w:sz w:val="22"/>
        </w:rPr>
        <w:t> </w:t>
      </w:r>
      <w:r>
        <w:rPr>
          <w:sz w:val="22"/>
        </w:rPr>
        <w:t>experience</w:t>
      </w:r>
      <w:r>
        <w:rPr>
          <w:spacing w:val="-10"/>
          <w:sz w:val="22"/>
        </w:rPr>
        <w:t> </w:t>
      </w:r>
      <w:r>
        <w:rPr>
          <w:sz w:val="22"/>
        </w:rPr>
        <w:t>receiving</w:t>
      </w:r>
      <w:r>
        <w:rPr>
          <w:spacing w:val="-11"/>
          <w:sz w:val="22"/>
        </w:rPr>
        <w:t> </w:t>
      </w:r>
      <w:r>
        <w:rPr>
          <w:sz w:val="22"/>
        </w:rPr>
        <w:t>long-term services and supports</w:t>
      </w:r>
    </w:p>
    <w:p>
      <w:pPr>
        <w:spacing w:before="198"/>
        <w:ind w:left="1220" w:right="1093" w:firstLine="0"/>
        <w:jc w:val="both"/>
        <w:rPr>
          <w:sz w:val="22"/>
        </w:rPr>
      </w:pPr>
      <w:r>
        <w:rPr>
          <w:sz w:val="22"/>
        </w:rPr>
        <w:t>ACOs will be evaluated based on surveys of a representative sample of their attributed members. Scores will be based on performance on a combination of composite and specific questions contained in each survey. Examples of question categories include but are not limited to:</w:t>
      </w:r>
    </w:p>
    <w:p>
      <w:pPr>
        <w:spacing w:before="162"/>
        <w:ind w:left="1220" w:right="0" w:firstLine="0"/>
        <w:jc w:val="both"/>
        <w:rPr>
          <w:sz w:val="22"/>
        </w:rPr>
      </w:pPr>
      <w:r>
        <w:rPr>
          <w:sz w:val="22"/>
        </w:rPr>
        <w:t>EXHIBIT</w:t>
      </w:r>
      <w:r>
        <w:rPr>
          <w:spacing w:val="-2"/>
          <w:sz w:val="22"/>
        </w:rPr>
        <w:t> </w:t>
      </w:r>
      <w:r>
        <w:rPr>
          <w:sz w:val="22"/>
        </w:rPr>
        <w:t>37</w:t>
      </w:r>
      <w:r>
        <w:rPr>
          <w:spacing w:val="-3"/>
          <w:sz w:val="22"/>
        </w:rPr>
        <w:t> </w:t>
      </w:r>
      <w:r>
        <w:rPr>
          <w:sz w:val="22"/>
        </w:rPr>
        <w:t>–</w:t>
      </w:r>
      <w:r>
        <w:rPr>
          <w:spacing w:val="-4"/>
          <w:sz w:val="22"/>
        </w:rPr>
        <w:t> </w:t>
      </w:r>
      <w:r>
        <w:rPr>
          <w:sz w:val="22"/>
        </w:rPr>
        <w:t>Examples</w:t>
      </w:r>
      <w:r>
        <w:rPr>
          <w:spacing w:val="-3"/>
          <w:sz w:val="22"/>
        </w:rPr>
        <w:t> </w:t>
      </w:r>
      <w:r>
        <w:rPr>
          <w:sz w:val="22"/>
        </w:rPr>
        <w:t>of</w:t>
      </w:r>
      <w:r>
        <w:rPr>
          <w:spacing w:val="-3"/>
          <w:sz w:val="22"/>
        </w:rPr>
        <w:t> </w:t>
      </w:r>
      <w:r>
        <w:rPr>
          <w:sz w:val="22"/>
        </w:rPr>
        <w:t>Survey</w:t>
      </w:r>
      <w:r>
        <w:rPr>
          <w:spacing w:val="-6"/>
          <w:sz w:val="22"/>
        </w:rPr>
        <w:t> </w:t>
      </w:r>
      <w:r>
        <w:rPr>
          <w:sz w:val="22"/>
        </w:rPr>
        <w:t>Question</w:t>
      </w:r>
      <w:r>
        <w:rPr>
          <w:spacing w:val="-3"/>
          <w:sz w:val="22"/>
        </w:rPr>
        <w:t> </w:t>
      </w:r>
      <w:r>
        <w:rPr>
          <w:spacing w:val="-2"/>
          <w:sz w:val="22"/>
        </w:rPr>
        <w:t>Categories</w:t>
      </w:r>
    </w:p>
    <w:p>
      <w:pPr>
        <w:pStyle w:val="BodyText"/>
        <w:spacing w:before="10"/>
        <w:rPr>
          <w:sz w:val="13"/>
        </w:rPr>
      </w:pPr>
    </w:p>
    <w:tbl>
      <w:tblPr>
        <w:tblW w:w="0" w:type="auto"/>
        <w:jc w:val="left"/>
        <w:tblInd w:w="1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30"/>
        <w:gridCol w:w="3104"/>
        <w:gridCol w:w="3109"/>
      </w:tblGrid>
      <w:tr>
        <w:trPr>
          <w:trHeight w:val="409" w:hRule="atLeast"/>
        </w:trPr>
        <w:tc>
          <w:tcPr>
            <w:tcW w:w="3130" w:type="dxa"/>
            <w:shd w:val="clear" w:color="auto" w:fill="313D4F"/>
          </w:tcPr>
          <w:p>
            <w:pPr>
              <w:pStyle w:val="TableParagraph"/>
              <w:spacing w:before="2"/>
              <w:ind w:left="966"/>
              <w:rPr>
                <w:b/>
                <w:sz w:val="20"/>
              </w:rPr>
            </w:pPr>
            <w:r>
              <w:rPr>
                <w:b/>
                <w:color w:val="FFFFFF"/>
                <w:sz w:val="20"/>
              </w:rPr>
              <w:t>Primary</w:t>
            </w:r>
            <w:r>
              <w:rPr>
                <w:b/>
                <w:color w:val="FFFFFF"/>
                <w:spacing w:val="-10"/>
                <w:sz w:val="20"/>
              </w:rPr>
              <w:t> </w:t>
            </w:r>
            <w:r>
              <w:rPr>
                <w:b/>
                <w:color w:val="FFFFFF"/>
                <w:spacing w:val="-4"/>
                <w:sz w:val="20"/>
              </w:rPr>
              <w:t>Care</w:t>
            </w:r>
          </w:p>
        </w:tc>
        <w:tc>
          <w:tcPr>
            <w:tcW w:w="3104" w:type="dxa"/>
            <w:shd w:val="clear" w:color="auto" w:fill="313D4F"/>
          </w:tcPr>
          <w:p>
            <w:pPr>
              <w:pStyle w:val="TableParagraph"/>
              <w:spacing w:before="2"/>
              <w:ind w:left="769"/>
              <w:rPr>
                <w:b/>
                <w:sz w:val="20"/>
              </w:rPr>
            </w:pPr>
            <w:r>
              <w:rPr>
                <w:b/>
                <w:color w:val="FFFFFF"/>
                <w:sz w:val="20"/>
              </w:rPr>
              <w:t>Behavioral</w:t>
            </w:r>
            <w:r>
              <w:rPr>
                <w:b/>
                <w:color w:val="FFFFFF"/>
                <w:spacing w:val="-7"/>
                <w:sz w:val="20"/>
              </w:rPr>
              <w:t> </w:t>
            </w:r>
            <w:r>
              <w:rPr>
                <w:b/>
                <w:color w:val="FFFFFF"/>
                <w:spacing w:val="-2"/>
                <w:sz w:val="20"/>
              </w:rPr>
              <w:t>Health</w:t>
            </w:r>
          </w:p>
        </w:tc>
        <w:tc>
          <w:tcPr>
            <w:tcW w:w="3109" w:type="dxa"/>
            <w:shd w:val="clear" w:color="auto" w:fill="313D4F"/>
          </w:tcPr>
          <w:p>
            <w:pPr>
              <w:pStyle w:val="TableParagraph"/>
              <w:spacing w:before="2"/>
              <w:ind w:left="1293" w:right="1282"/>
              <w:jc w:val="center"/>
              <w:rPr>
                <w:b/>
                <w:sz w:val="20"/>
              </w:rPr>
            </w:pPr>
            <w:r>
              <w:rPr>
                <w:b/>
                <w:color w:val="FFFFFF"/>
                <w:spacing w:val="-4"/>
                <w:sz w:val="20"/>
              </w:rPr>
              <w:t>LTSS</w:t>
            </w:r>
          </w:p>
        </w:tc>
      </w:tr>
      <w:tr>
        <w:trPr>
          <w:trHeight w:val="4523" w:hRule="atLeast"/>
        </w:trPr>
        <w:tc>
          <w:tcPr>
            <w:tcW w:w="3130" w:type="dxa"/>
          </w:tcPr>
          <w:p>
            <w:pPr>
              <w:pStyle w:val="TableParagraph"/>
              <w:numPr>
                <w:ilvl w:val="0"/>
                <w:numId w:val="88"/>
              </w:numPr>
              <w:tabs>
                <w:tab w:pos="467" w:val="left" w:leader="none"/>
              </w:tabs>
              <w:spacing w:line="240" w:lineRule="auto" w:before="1" w:after="0"/>
              <w:ind w:left="467" w:right="0" w:hanging="360"/>
              <w:jc w:val="left"/>
              <w:rPr>
                <w:rFonts w:ascii="Symbol" w:hAnsi="Symbol"/>
                <w:sz w:val="22"/>
              </w:rPr>
            </w:pPr>
            <w:r>
              <w:rPr>
                <w:sz w:val="20"/>
              </w:rPr>
              <w:t>Access</w:t>
            </w:r>
            <w:r>
              <w:rPr>
                <w:spacing w:val="-6"/>
                <w:sz w:val="20"/>
              </w:rPr>
              <w:t> </w:t>
            </w:r>
            <w:r>
              <w:rPr>
                <w:sz w:val="20"/>
              </w:rPr>
              <w:t>to</w:t>
            </w:r>
            <w:r>
              <w:rPr>
                <w:spacing w:val="-5"/>
                <w:sz w:val="20"/>
              </w:rPr>
              <w:t> </w:t>
            </w:r>
            <w:r>
              <w:rPr>
                <w:spacing w:val="-4"/>
                <w:sz w:val="20"/>
              </w:rPr>
              <w:t>care</w:t>
            </w:r>
          </w:p>
          <w:p>
            <w:pPr>
              <w:pStyle w:val="TableParagraph"/>
              <w:numPr>
                <w:ilvl w:val="0"/>
                <w:numId w:val="88"/>
              </w:numPr>
              <w:tabs>
                <w:tab w:pos="467" w:val="left" w:leader="none"/>
              </w:tabs>
              <w:spacing w:line="240" w:lineRule="auto" w:before="29" w:after="0"/>
              <w:ind w:left="467" w:right="0" w:hanging="360"/>
              <w:jc w:val="left"/>
              <w:rPr>
                <w:rFonts w:ascii="Symbol" w:hAnsi="Symbol"/>
                <w:sz w:val="20"/>
              </w:rPr>
            </w:pPr>
            <w:r>
              <w:rPr>
                <w:spacing w:val="-2"/>
                <w:sz w:val="20"/>
              </w:rPr>
              <w:t>Communications</w:t>
            </w:r>
          </w:p>
          <w:p>
            <w:pPr>
              <w:pStyle w:val="TableParagraph"/>
              <w:numPr>
                <w:ilvl w:val="0"/>
                <w:numId w:val="88"/>
              </w:numPr>
              <w:tabs>
                <w:tab w:pos="467" w:val="left" w:leader="none"/>
              </w:tabs>
              <w:spacing w:line="240" w:lineRule="auto" w:before="2" w:after="0"/>
              <w:ind w:left="467" w:right="0" w:hanging="360"/>
              <w:jc w:val="left"/>
              <w:rPr>
                <w:rFonts w:ascii="Symbol" w:hAnsi="Symbol"/>
                <w:sz w:val="22"/>
              </w:rPr>
            </w:pPr>
            <w:r>
              <w:rPr>
                <w:spacing w:val="-2"/>
                <w:sz w:val="20"/>
              </w:rPr>
              <w:t>Comprehensiveness</w:t>
            </w:r>
          </w:p>
          <w:p>
            <w:pPr>
              <w:pStyle w:val="TableParagraph"/>
              <w:numPr>
                <w:ilvl w:val="0"/>
                <w:numId w:val="88"/>
              </w:numPr>
              <w:tabs>
                <w:tab w:pos="467" w:val="left" w:leader="none"/>
              </w:tabs>
              <w:spacing w:line="240" w:lineRule="auto" w:before="28" w:after="0"/>
              <w:ind w:left="467" w:right="0" w:hanging="360"/>
              <w:jc w:val="left"/>
              <w:rPr>
                <w:rFonts w:ascii="Symbol" w:hAnsi="Symbol"/>
                <w:sz w:val="22"/>
              </w:rPr>
            </w:pPr>
            <w:r>
              <w:rPr>
                <w:spacing w:val="-2"/>
                <w:sz w:val="20"/>
              </w:rPr>
              <w:t>Self-management</w:t>
            </w:r>
            <w:r>
              <w:rPr>
                <w:spacing w:val="9"/>
                <w:sz w:val="20"/>
              </w:rPr>
              <w:t> </w:t>
            </w:r>
            <w:r>
              <w:rPr>
                <w:spacing w:val="-2"/>
                <w:sz w:val="20"/>
              </w:rPr>
              <w:t>support</w:t>
            </w:r>
          </w:p>
          <w:p>
            <w:pPr>
              <w:pStyle w:val="TableParagraph"/>
              <w:numPr>
                <w:ilvl w:val="0"/>
                <w:numId w:val="88"/>
              </w:numPr>
              <w:tabs>
                <w:tab w:pos="467" w:val="left" w:leader="none"/>
              </w:tabs>
              <w:spacing w:line="240" w:lineRule="auto" w:before="30" w:after="0"/>
              <w:ind w:left="467" w:right="0" w:hanging="360"/>
              <w:jc w:val="left"/>
              <w:rPr>
                <w:rFonts w:ascii="Symbol" w:hAnsi="Symbol"/>
                <w:sz w:val="22"/>
              </w:rPr>
            </w:pPr>
            <w:r>
              <w:rPr>
                <w:sz w:val="20"/>
              </w:rPr>
              <w:t>Coordination</w:t>
            </w:r>
            <w:r>
              <w:rPr>
                <w:spacing w:val="-8"/>
                <w:sz w:val="20"/>
              </w:rPr>
              <w:t> </w:t>
            </w:r>
            <w:r>
              <w:rPr>
                <w:sz w:val="20"/>
              </w:rPr>
              <w:t>of</w:t>
            </w:r>
            <w:r>
              <w:rPr>
                <w:spacing w:val="-9"/>
                <w:sz w:val="20"/>
              </w:rPr>
              <w:t> </w:t>
            </w:r>
            <w:r>
              <w:rPr>
                <w:spacing w:val="-4"/>
                <w:sz w:val="20"/>
              </w:rPr>
              <w:t>care</w:t>
            </w:r>
          </w:p>
          <w:p>
            <w:pPr>
              <w:pStyle w:val="TableParagraph"/>
              <w:numPr>
                <w:ilvl w:val="0"/>
                <w:numId w:val="88"/>
              </w:numPr>
              <w:tabs>
                <w:tab w:pos="467" w:val="left" w:leader="none"/>
              </w:tabs>
              <w:spacing w:line="266" w:lineRule="auto" w:before="28" w:after="0"/>
              <w:ind w:left="467" w:right="721" w:hanging="360"/>
              <w:jc w:val="left"/>
              <w:rPr>
                <w:rFonts w:ascii="Symbol" w:hAnsi="Symbol"/>
                <w:sz w:val="22"/>
              </w:rPr>
            </w:pPr>
            <w:r>
              <w:rPr>
                <w:sz w:val="20"/>
              </w:rPr>
              <w:t>Helpful,</w:t>
            </w:r>
            <w:r>
              <w:rPr>
                <w:spacing w:val="-13"/>
                <w:sz w:val="20"/>
              </w:rPr>
              <w:t> </w:t>
            </w:r>
            <w:r>
              <w:rPr>
                <w:sz w:val="20"/>
              </w:rPr>
              <w:t>Courteous,</w:t>
            </w:r>
            <w:r>
              <w:rPr>
                <w:spacing w:val="-12"/>
                <w:sz w:val="20"/>
              </w:rPr>
              <w:t> </w:t>
            </w:r>
            <w:r>
              <w:rPr>
                <w:sz w:val="20"/>
              </w:rPr>
              <w:t>and Respectful Office Staff</w:t>
            </w:r>
          </w:p>
          <w:p>
            <w:pPr>
              <w:pStyle w:val="TableParagraph"/>
              <w:numPr>
                <w:ilvl w:val="0"/>
                <w:numId w:val="88"/>
              </w:numPr>
              <w:tabs>
                <w:tab w:pos="467" w:val="left" w:leader="none"/>
              </w:tabs>
              <w:spacing w:line="240" w:lineRule="auto" w:before="10" w:after="0"/>
              <w:ind w:left="467" w:right="0" w:hanging="360"/>
              <w:jc w:val="left"/>
              <w:rPr>
                <w:rFonts w:ascii="Symbol" w:hAnsi="Symbol"/>
                <w:sz w:val="22"/>
              </w:rPr>
            </w:pPr>
            <w:r>
              <w:rPr>
                <w:sz w:val="20"/>
              </w:rPr>
              <w:t>Patient</w:t>
            </w:r>
            <w:r>
              <w:rPr>
                <w:spacing w:val="-5"/>
                <w:sz w:val="20"/>
              </w:rPr>
              <w:t> </w:t>
            </w:r>
            <w:r>
              <w:rPr>
                <w:sz w:val="20"/>
              </w:rPr>
              <w:t>Ratings</w:t>
            </w:r>
            <w:r>
              <w:rPr>
                <w:spacing w:val="-5"/>
                <w:sz w:val="20"/>
              </w:rPr>
              <w:t> </w:t>
            </w:r>
            <w:r>
              <w:rPr>
                <w:sz w:val="20"/>
              </w:rPr>
              <w:t>of</w:t>
            </w:r>
            <w:r>
              <w:rPr>
                <w:spacing w:val="-7"/>
                <w:sz w:val="20"/>
              </w:rPr>
              <w:t> </w:t>
            </w:r>
            <w:r>
              <w:rPr>
                <w:sz w:val="20"/>
              </w:rPr>
              <w:t>the</w:t>
            </w:r>
            <w:r>
              <w:rPr>
                <w:spacing w:val="-4"/>
                <w:sz w:val="20"/>
              </w:rPr>
              <w:t> </w:t>
            </w:r>
            <w:r>
              <w:rPr>
                <w:spacing w:val="-2"/>
                <w:sz w:val="20"/>
              </w:rPr>
              <w:t>Provider</w:t>
            </w:r>
          </w:p>
          <w:p>
            <w:pPr>
              <w:pStyle w:val="TableParagraph"/>
              <w:numPr>
                <w:ilvl w:val="0"/>
                <w:numId w:val="88"/>
              </w:numPr>
              <w:tabs>
                <w:tab w:pos="467" w:val="left" w:leader="none"/>
              </w:tabs>
              <w:spacing w:line="264" w:lineRule="auto" w:before="30" w:after="0"/>
              <w:ind w:left="467" w:right="578" w:hanging="360"/>
              <w:jc w:val="left"/>
              <w:rPr>
                <w:rFonts w:ascii="Symbol" w:hAnsi="Symbol"/>
                <w:sz w:val="22"/>
              </w:rPr>
            </w:pPr>
            <w:r>
              <w:rPr>
                <w:sz w:val="20"/>
              </w:rPr>
              <w:t>Self-management</w:t>
            </w:r>
            <w:r>
              <w:rPr>
                <w:spacing w:val="-13"/>
                <w:sz w:val="20"/>
              </w:rPr>
              <w:t> </w:t>
            </w:r>
            <w:r>
              <w:rPr>
                <w:sz w:val="20"/>
              </w:rPr>
              <w:t>support (composite measure)</w:t>
            </w:r>
          </w:p>
          <w:p>
            <w:pPr>
              <w:pStyle w:val="TableParagraph"/>
              <w:numPr>
                <w:ilvl w:val="0"/>
                <w:numId w:val="88"/>
              </w:numPr>
              <w:tabs>
                <w:tab w:pos="467" w:val="left" w:leader="none"/>
              </w:tabs>
              <w:spacing w:line="240" w:lineRule="auto" w:before="12" w:after="0"/>
              <w:ind w:left="467" w:right="0" w:hanging="360"/>
              <w:jc w:val="left"/>
              <w:rPr>
                <w:rFonts w:ascii="Symbol" w:hAnsi="Symbol"/>
                <w:sz w:val="22"/>
              </w:rPr>
            </w:pPr>
            <w:r>
              <w:rPr>
                <w:spacing w:val="-2"/>
                <w:sz w:val="20"/>
              </w:rPr>
              <w:t>Comprehensiveness</w:t>
            </w:r>
          </w:p>
          <w:p>
            <w:pPr>
              <w:pStyle w:val="TableParagraph"/>
              <w:numPr>
                <w:ilvl w:val="0"/>
                <w:numId w:val="88"/>
              </w:numPr>
              <w:tabs>
                <w:tab w:pos="467" w:val="left" w:leader="none"/>
              </w:tabs>
              <w:spacing w:line="271" w:lineRule="auto" w:before="31" w:after="0"/>
              <w:ind w:left="467" w:right="102" w:hanging="361"/>
              <w:jc w:val="left"/>
              <w:rPr>
                <w:rFonts w:ascii="Symbol" w:hAnsi="Symbol"/>
                <w:sz w:val="22"/>
              </w:rPr>
            </w:pPr>
            <w:r>
              <w:rPr>
                <w:sz w:val="20"/>
              </w:rPr>
              <w:t>Integration or coordination of physical</w:t>
            </w:r>
            <w:r>
              <w:rPr>
                <w:spacing w:val="-11"/>
                <w:sz w:val="20"/>
              </w:rPr>
              <w:t> </w:t>
            </w:r>
            <w:r>
              <w:rPr>
                <w:sz w:val="20"/>
              </w:rPr>
              <w:t>health,</w:t>
            </w:r>
            <w:r>
              <w:rPr>
                <w:spacing w:val="-10"/>
                <w:sz w:val="20"/>
              </w:rPr>
              <w:t> </w:t>
            </w:r>
            <w:r>
              <w:rPr>
                <w:sz w:val="20"/>
              </w:rPr>
              <w:t>BH,</w:t>
            </w:r>
            <w:r>
              <w:rPr>
                <w:spacing w:val="-10"/>
                <w:sz w:val="20"/>
              </w:rPr>
              <w:t> </w:t>
            </w:r>
            <w:r>
              <w:rPr>
                <w:sz w:val="20"/>
              </w:rPr>
              <w:t>LTSS,</w:t>
            </w:r>
            <w:r>
              <w:rPr>
                <w:spacing w:val="-10"/>
                <w:sz w:val="20"/>
              </w:rPr>
              <w:t> </w:t>
            </w:r>
            <w:r>
              <w:rPr>
                <w:sz w:val="20"/>
              </w:rPr>
              <w:t>and health-related social services</w:t>
            </w:r>
          </w:p>
        </w:tc>
        <w:tc>
          <w:tcPr>
            <w:tcW w:w="3104" w:type="dxa"/>
          </w:tcPr>
          <w:p>
            <w:pPr>
              <w:pStyle w:val="TableParagraph"/>
              <w:numPr>
                <w:ilvl w:val="0"/>
                <w:numId w:val="89"/>
              </w:numPr>
              <w:tabs>
                <w:tab w:pos="464" w:val="left" w:leader="none"/>
              </w:tabs>
              <w:spacing w:line="240" w:lineRule="auto" w:before="1" w:after="0"/>
              <w:ind w:left="464" w:right="0" w:hanging="360"/>
              <w:jc w:val="left"/>
              <w:rPr>
                <w:rFonts w:ascii="Symbol" w:hAnsi="Symbol"/>
                <w:sz w:val="22"/>
              </w:rPr>
            </w:pPr>
            <w:r>
              <w:rPr>
                <w:sz w:val="20"/>
              </w:rPr>
              <w:t>Access</w:t>
            </w:r>
            <w:r>
              <w:rPr>
                <w:spacing w:val="-6"/>
                <w:sz w:val="20"/>
              </w:rPr>
              <w:t> </w:t>
            </w:r>
            <w:r>
              <w:rPr>
                <w:sz w:val="20"/>
              </w:rPr>
              <w:t>to</w:t>
            </w:r>
            <w:r>
              <w:rPr>
                <w:spacing w:val="-5"/>
                <w:sz w:val="20"/>
              </w:rPr>
              <w:t> </w:t>
            </w:r>
            <w:r>
              <w:rPr>
                <w:spacing w:val="-2"/>
                <w:sz w:val="20"/>
              </w:rPr>
              <w:t>services</w:t>
            </w:r>
          </w:p>
          <w:p>
            <w:pPr>
              <w:pStyle w:val="TableParagraph"/>
              <w:numPr>
                <w:ilvl w:val="0"/>
                <w:numId w:val="89"/>
              </w:numPr>
              <w:tabs>
                <w:tab w:pos="464" w:val="left" w:leader="none"/>
              </w:tabs>
              <w:spacing w:line="240" w:lineRule="auto" w:before="29" w:after="0"/>
              <w:ind w:left="464" w:right="0" w:hanging="360"/>
              <w:jc w:val="left"/>
              <w:rPr>
                <w:rFonts w:ascii="Symbol" w:hAnsi="Symbol"/>
                <w:sz w:val="20"/>
              </w:rPr>
            </w:pPr>
            <w:r>
              <w:rPr>
                <w:sz w:val="20"/>
              </w:rPr>
              <w:t>Quality</w:t>
            </w:r>
            <w:r>
              <w:rPr>
                <w:spacing w:val="-8"/>
                <w:sz w:val="20"/>
              </w:rPr>
              <w:t> </w:t>
            </w:r>
            <w:r>
              <w:rPr>
                <w:sz w:val="20"/>
              </w:rPr>
              <w:t>and</w:t>
            </w:r>
            <w:r>
              <w:rPr>
                <w:spacing w:val="-5"/>
                <w:sz w:val="20"/>
              </w:rPr>
              <w:t> </w:t>
            </w:r>
            <w:r>
              <w:rPr>
                <w:spacing w:val="-2"/>
                <w:sz w:val="20"/>
              </w:rPr>
              <w:t>appropriateness</w:t>
            </w:r>
          </w:p>
          <w:p>
            <w:pPr>
              <w:pStyle w:val="TableParagraph"/>
              <w:numPr>
                <w:ilvl w:val="0"/>
                <w:numId w:val="89"/>
              </w:numPr>
              <w:tabs>
                <w:tab w:pos="464" w:val="left" w:leader="none"/>
              </w:tabs>
              <w:spacing w:line="240" w:lineRule="auto" w:before="2" w:after="0"/>
              <w:ind w:left="464" w:right="0" w:hanging="360"/>
              <w:jc w:val="left"/>
              <w:rPr>
                <w:rFonts w:ascii="Symbol" w:hAnsi="Symbol"/>
                <w:sz w:val="22"/>
              </w:rPr>
            </w:pPr>
            <w:r>
              <w:rPr>
                <w:sz w:val="20"/>
              </w:rPr>
              <w:t>Treatment</w:t>
            </w:r>
            <w:r>
              <w:rPr>
                <w:spacing w:val="-13"/>
                <w:sz w:val="20"/>
              </w:rPr>
              <w:t> </w:t>
            </w:r>
            <w:r>
              <w:rPr>
                <w:spacing w:val="-2"/>
                <w:sz w:val="20"/>
              </w:rPr>
              <w:t>outcomes</w:t>
            </w:r>
          </w:p>
          <w:p>
            <w:pPr>
              <w:pStyle w:val="TableParagraph"/>
              <w:numPr>
                <w:ilvl w:val="0"/>
                <w:numId w:val="89"/>
              </w:numPr>
              <w:tabs>
                <w:tab w:pos="464" w:val="left" w:leader="none"/>
              </w:tabs>
              <w:spacing w:line="240" w:lineRule="auto" w:before="28" w:after="0"/>
              <w:ind w:left="464" w:right="0" w:hanging="360"/>
              <w:jc w:val="left"/>
              <w:rPr>
                <w:rFonts w:ascii="Symbol" w:hAnsi="Symbol"/>
                <w:sz w:val="22"/>
              </w:rPr>
            </w:pPr>
            <w:r>
              <w:rPr>
                <w:spacing w:val="-2"/>
                <w:sz w:val="20"/>
              </w:rPr>
              <w:t>Person-centered</w:t>
            </w:r>
            <w:r>
              <w:rPr>
                <w:spacing w:val="13"/>
                <w:sz w:val="20"/>
              </w:rPr>
              <w:t> </w:t>
            </w:r>
            <w:r>
              <w:rPr>
                <w:spacing w:val="-2"/>
                <w:sz w:val="20"/>
              </w:rPr>
              <w:t>planning</w:t>
            </w:r>
          </w:p>
          <w:p>
            <w:pPr>
              <w:pStyle w:val="TableParagraph"/>
              <w:numPr>
                <w:ilvl w:val="0"/>
                <w:numId w:val="89"/>
              </w:numPr>
              <w:tabs>
                <w:tab w:pos="464" w:val="left" w:leader="none"/>
              </w:tabs>
              <w:spacing w:line="240" w:lineRule="auto" w:before="30" w:after="0"/>
              <w:ind w:left="464" w:right="0" w:hanging="360"/>
              <w:jc w:val="left"/>
              <w:rPr>
                <w:rFonts w:ascii="Symbol" w:hAnsi="Symbol"/>
                <w:sz w:val="22"/>
              </w:rPr>
            </w:pPr>
            <w:r>
              <w:rPr>
                <w:sz w:val="20"/>
              </w:rPr>
              <w:t>Social</w:t>
            </w:r>
            <w:r>
              <w:rPr>
                <w:spacing w:val="-6"/>
                <w:sz w:val="20"/>
              </w:rPr>
              <w:t> </w:t>
            </w:r>
            <w:r>
              <w:rPr>
                <w:spacing w:val="-2"/>
                <w:sz w:val="20"/>
              </w:rPr>
              <w:t>connectedness</w:t>
            </w:r>
          </w:p>
          <w:p>
            <w:pPr>
              <w:pStyle w:val="TableParagraph"/>
              <w:numPr>
                <w:ilvl w:val="0"/>
                <w:numId w:val="89"/>
              </w:numPr>
              <w:tabs>
                <w:tab w:pos="464" w:val="left" w:leader="none"/>
              </w:tabs>
              <w:spacing w:line="240" w:lineRule="auto" w:before="28" w:after="0"/>
              <w:ind w:left="464" w:right="0" w:hanging="360"/>
              <w:jc w:val="left"/>
              <w:rPr>
                <w:rFonts w:ascii="Symbol" w:hAnsi="Symbol"/>
                <w:sz w:val="22"/>
              </w:rPr>
            </w:pPr>
            <w:r>
              <w:rPr>
                <w:spacing w:val="-2"/>
                <w:sz w:val="20"/>
              </w:rPr>
              <w:t>Functioning</w:t>
            </w:r>
          </w:p>
          <w:p>
            <w:pPr>
              <w:pStyle w:val="TableParagraph"/>
              <w:numPr>
                <w:ilvl w:val="0"/>
                <w:numId w:val="89"/>
              </w:numPr>
              <w:tabs>
                <w:tab w:pos="464" w:val="left" w:leader="none"/>
              </w:tabs>
              <w:spacing w:line="240" w:lineRule="auto" w:before="31" w:after="0"/>
              <w:ind w:left="464" w:right="0" w:hanging="360"/>
              <w:jc w:val="left"/>
              <w:rPr>
                <w:rFonts w:ascii="Symbol" w:hAnsi="Symbol"/>
                <w:sz w:val="22"/>
              </w:rPr>
            </w:pPr>
            <w:r>
              <w:rPr>
                <w:spacing w:val="-2"/>
                <w:sz w:val="20"/>
              </w:rPr>
              <w:t>Self-determination</w:t>
            </w:r>
          </w:p>
          <w:p>
            <w:pPr>
              <w:pStyle w:val="TableParagraph"/>
              <w:numPr>
                <w:ilvl w:val="0"/>
                <w:numId w:val="89"/>
              </w:numPr>
              <w:tabs>
                <w:tab w:pos="464" w:val="left" w:leader="none"/>
              </w:tabs>
              <w:spacing w:line="271" w:lineRule="auto" w:before="28" w:after="0"/>
              <w:ind w:left="464" w:right="247" w:hanging="360"/>
              <w:jc w:val="left"/>
              <w:rPr>
                <w:rFonts w:ascii="Symbol" w:hAnsi="Symbol"/>
                <w:sz w:val="22"/>
              </w:rPr>
            </w:pPr>
            <w:r>
              <w:rPr>
                <w:sz w:val="20"/>
              </w:rPr>
              <w:t>Integration</w:t>
            </w:r>
            <w:r>
              <w:rPr>
                <w:spacing w:val="-13"/>
                <w:sz w:val="20"/>
              </w:rPr>
              <w:t> </w:t>
            </w:r>
            <w:r>
              <w:rPr>
                <w:sz w:val="20"/>
              </w:rPr>
              <w:t>or</w:t>
            </w:r>
            <w:r>
              <w:rPr>
                <w:spacing w:val="-12"/>
                <w:sz w:val="20"/>
              </w:rPr>
              <w:t> </w:t>
            </w:r>
            <w:r>
              <w:rPr>
                <w:sz w:val="20"/>
              </w:rPr>
              <w:t>coordination</w:t>
            </w:r>
            <w:r>
              <w:rPr>
                <w:spacing w:val="-13"/>
                <w:sz w:val="20"/>
              </w:rPr>
              <w:t> </w:t>
            </w:r>
            <w:r>
              <w:rPr>
                <w:sz w:val="20"/>
              </w:rPr>
              <w:t>of BH services by Community </w:t>
            </w:r>
            <w:r>
              <w:rPr>
                <w:spacing w:val="-2"/>
                <w:sz w:val="20"/>
              </w:rPr>
              <w:t>Partners</w:t>
            </w:r>
          </w:p>
        </w:tc>
        <w:tc>
          <w:tcPr>
            <w:tcW w:w="3109" w:type="dxa"/>
          </w:tcPr>
          <w:p>
            <w:pPr>
              <w:pStyle w:val="TableParagraph"/>
              <w:numPr>
                <w:ilvl w:val="0"/>
                <w:numId w:val="90"/>
              </w:numPr>
              <w:tabs>
                <w:tab w:pos="466" w:val="left" w:leader="none"/>
              </w:tabs>
              <w:spacing w:line="240" w:lineRule="auto" w:before="1" w:after="0"/>
              <w:ind w:left="466" w:right="0" w:hanging="360"/>
              <w:jc w:val="left"/>
              <w:rPr>
                <w:rFonts w:ascii="Symbol" w:hAnsi="Symbol"/>
                <w:sz w:val="22"/>
              </w:rPr>
            </w:pPr>
            <w:r>
              <w:rPr>
                <w:sz w:val="20"/>
              </w:rPr>
              <w:t>Getting</w:t>
            </w:r>
            <w:r>
              <w:rPr>
                <w:spacing w:val="-9"/>
                <w:sz w:val="20"/>
              </w:rPr>
              <w:t> </w:t>
            </w:r>
            <w:r>
              <w:rPr>
                <w:sz w:val="20"/>
              </w:rPr>
              <w:t>needed</w:t>
            </w:r>
            <w:r>
              <w:rPr>
                <w:spacing w:val="-6"/>
                <w:sz w:val="20"/>
              </w:rPr>
              <w:t> </w:t>
            </w:r>
            <w:r>
              <w:rPr>
                <w:spacing w:val="-2"/>
                <w:sz w:val="20"/>
              </w:rPr>
              <w:t>services</w:t>
            </w:r>
          </w:p>
          <w:p>
            <w:pPr>
              <w:pStyle w:val="TableParagraph"/>
              <w:numPr>
                <w:ilvl w:val="0"/>
                <w:numId w:val="90"/>
              </w:numPr>
              <w:tabs>
                <w:tab w:pos="466" w:val="left" w:leader="none"/>
              </w:tabs>
              <w:spacing w:line="240" w:lineRule="auto" w:before="29" w:after="0"/>
              <w:ind w:left="466" w:right="0" w:hanging="360"/>
              <w:jc w:val="left"/>
              <w:rPr>
                <w:rFonts w:ascii="Symbol" w:hAnsi="Symbol"/>
                <w:sz w:val="20"/>
              </w:rPr>
            </w:pPr>
            <w:r>
              <w:rPr>
                <w:sz w:val="20"/>
              </w:rPr>
              <w:t>HCBS</w:t>
            </w:r>
            <w:r>
              <w:rPr>
                <w:spacing w:val="-5"/>
                <w:sz w:val="20"/>
              </w:rPr>
              <w:t> </w:t>
            </w:r>
            <w:r>
              <w:rPr>
                <w:sz w:val="20"/>
              </w:rPr>
              <w:t>staff</w:t>
            </w:r>
            <w:r>
              <w:rPr>
                <w:spacing w:val="-6"/>
                <w:sz w:val="20"/>
              </w:rPr>
              <w:t> </w:t>
            </w:r>
            <w:r>
              <w:rPr>
                <w:spacing w:val="-2"/>
                <w:sz w:val="20"/>
              </w:rPr>
              <w:t>reliability</w:t>
            </w:r>
          </w:p>
          <w:p>
            <w:pPr>
              <w:pStyle w:val="TableParagraph"/>
              <w:numPr>
                <w:ilvl w:val="0"/>
                <w:numId w:val="90"/>
              </w:numPr>
              <w:tabs>
                <w:tab w:pos="466" w:val="left" w:leader="none"/>
              </w:tabs>
              <w:spacing w:line="264" w:lineRule="auto" w:before="2" w:after="0"/>
              <w:ind w:left="466" w:right="354" w:hanging="360"/>
              <w:jc w:val="left"/>
              <w:rPr>
                <w:rFonts w:ascii="Symbol" w:hAnsi="Symbol"/>
                <w:sz w:val="22"/>
              </w:rPr>
            </w:pPr>
            <w:r>
              <w:rPr>
                <w:sz w:val="20"/>
              </w:rPr>
              <w:t>Communication</w:t>
            </w:r>
            <w:r>
              <w:rPr>
                <w:spacing w:val="-13"/>
                <w:sz w:val="20"/>
              </w:rPr>
              <w:t> </w:t>
            </w:r>
            <w:r>
              <w:rPr>
                <w:sz w:val="20"/>
              </w:rPr>
              <w:t>with</w:t>
            </w:r>
            <w:r>
              <w:rPr>
                <w:spacing w:val="-12"/>
                <w:sz w:val="20"/>
              </w:rPr>
              <w:t> </w:t>
            </w:r>
            <w:r>
              <w:rPr>
                <w:sz w:val="20"/>
              </w:rPr>
              <w:t>HCBS </w:t>
            </w:r>
            <w:r>
              <w:rPr>
                <w:spacing w:val="-2"/>
                <w:sz w:val="20"/>
              </w:rPr>
              <w:t>staff</w:t>
            </w:r>
          </w:p>
          <w:p>
            <w:pPr>
              <w:pStyle w:val="TableParagraph"/>
              <w:numPr>
                <w:ilvl w:val="0"/>
                <w:numId w:val="90"/>
              </w:numPr>
              <w:tabs>
                <w:tab w:pos="466" w:val="left" w:leader="none"/>
              </w:tabs>
              <w:spacing w:line="266" w:lineRule="auto" w:before="12" w:after="0"/>
              <w:ind w:left="466" w:right="797" w:hanging="360"/>
              <w:jc w:val="left"/>
              <w:rPr>
                <w:rFonts w:ascii="Symbol" w:hAnsi="Symbol"/>
                <w:sz w:val="22"/>
              </w:rPr>
            </w:pPr>
            <w:r>
              <w:rPr>
                <w:sz w:val="20"/>
              </w:rPr>
              <w:t>Getting</w:t>
            </w:r>
            <w:r>
              <w:rPr>
                <w:spacing w:val="-13"/>
                <w:sz w:val="20"/>
              </w:rPr>
              <w:t> </w:t>
            </w:r>
            <w:r>
              <w:rPr>
                <w:sz w:val="20"/>
              </w:rPr>
              <w:t>help</w:t>
            </w:r>
            <w:r>
              <w:rPr>
                <w:spacing w:val="-12"/>
                <w:sz w:val="20"/>
              </w:rPr>
              <w:t> </w:t>
            </w:r>
            <w:r>
              <w:rPr>
                <w:sz w:val="20"/>
              </w:rPr>
              <w:t>from</w:t>
            </w:r>
            <w:r>
              <w:rPr>
                <w:spacing w:val="-13"/>
                <w:sz w:val="20"/>
              </w:rPr>
              <w:t> </w:t>
            </w:r>
            <w:r>
              <w:rPr>
                <w:sz w:val="20"/>
              </w:rPr>
              <w:t>case </w:t>
            </w:r>
            <w:r>
              <w:rPr>
                <w:spacing w:val="-2"/>
                <w:sz w:val="20"/>
              </w:rPr>
              <w:t>managers</w:t>
            </w:r>
          </w:p>
          <w:p>
            <w:pPr>
              <w:pStyle w:val="TableParagraph"/>
              <w:numPr>
                <w:ilvl w:val="0"/>
                <w:numId w:val="90"/>
              </w:numPr>
              <w:tabs>
                <w:tab w:pos="466" w:val="left" w:leader="none"/>
              </w:tabs>
              <w:spacing w:line="240" w:lineRule="auto" w:before="9" w:after="0"/>
              <w:ind w:left="466" w:right="0" w:hanging="360"/>
              <w:jc w:val="left"/>
              <w:rPr>
                <w:rFonts w:ascii="Symbol" w:hAnsi="Symbol"/>
                <w:sz w:val="22"/>
              </w:rPr>
            </w:pPr>
            <w:r>
              <w:rPr>
                <w:sz w:val="20"/>
              </w:rPr>
              <w:t>Choice</w:t>
            </w:r>
            <w:r>
              <w:rPr>
                <w:spacing w:val="-5"/>
                <w:sz w:val="20"/>
              </w:rPr>
              <w:t> </w:t>
            </w:r>
            <w:r>
              <w:rPr>
                <w:sz w:val="20"/>
              </w:rPr>
              <w:t>of</w:t>
            </w:r>
            <w:r>
              <w:rPr>
                <w:spacing w:val="-4"/>
                <w:sz w:val="20"/>
              </w:rPr>
              <w:t> </w:t>
            </w:r>
            <w:r>
              <w:rPr>
                <w:spacing w:val="-2"/>
                <w:sz w:val="20"/>
              </w:rPr>
              <w:t>services</w:t>
            </w:r>
          </w:p>
          <w:p>
            <w:pPr>
              <w:pStyle w:val="TableParagraph"/>
              <w:numPr>
                <w:ilvl w:val="0"/>
                <w:numId w:val="90"/>
              </w:numPr>
              <w:tabs>
                <w:tab w:pos="466" w:val="left" w:leader="none"/>
              </w:tabs>
              <w:spacing w:line="240" w:lineRule="auto" w:before="31" w:after="0"/>
              <w:ind w:left="466" w:right="0" w:hanging="360"/>
              <w:jc w:val="left"/>
              <w:rPr>
                <w:rFonts w:ascii="Symbol" w:hAnsi="Symbol"/>
                <w:sz w:val="22"/>
              </w:rPr>
            </w:pPr>
            <w:r>
              <w:rPr>
                <w:sz w:val="20"/>
              </w:rPr>
              <w:t>Personal</w:t>
            </w:r>
            <w:r>
              <w:rPr>
                <w:spacing w:val="-7"/>
                <w:sz w:val="20"/>
              </w:rPr>
              <w:t> </w:t>
            </w:r>
            <w:r>
              <w:rPr>
                <w:spacing w:val="-2"/>
                <w:sz w:val="20"/>
              </w:rPr>
              <w:t>safety</w:t>
            </w:r>
          </w:p>
          <w:p>
            <w:pPr>
              <w:pStyle w:val="TableParagraph"/>
              <w:numPr>
                <w:ilvl w:val="0"/>
                <w:numId w:val="90"/>
              </w:numPr>
              <w:tabs>
                <w:tab w:pos="466" w:val="left" w:leader="none"/>
              </w:tabs>
              <w:spacing w:line="266" w:lineRule="auto" w:before="28" w:after="0"/>
              <w:ind w:left="466" w:right="911" w:hanging="361"/>
              <w:jc w:val="left"/>
              <w:rPr>
                <w:rFonts w:ascii="Symbol" w:hAnsi="Symbol"/>
                <w:sz w:val="22"/>
              </w:rPr>
            </w:pPr>
            <w:r>
              <w:rPr>
                <w:sz w:val="20"/>
              </w:rPr>
              <w:t>Adequacy</w:t>
            </w:r>
            <w:r>
              <w:rPr>
                <w:spacing w:val="-13"/>
                <w:sz w:val="20"/>
              </w:rPr>
              <w:t> </w:t>
            </w:r>
            <w:r>
              <w:rPr>
                <w:sz w:val="20"/>
              </w:rPr>
              <w:t>of</w:t>
            </w:r>
            <w:r>
              <w:rPr>
                <w:spacing w:val="-12"/>
                <w:sz w:val="20"/>
              </w:rPr>
              <w:t> </w:t>
            </w:r>
            <w:r>
              <w:rPr>
                <w:sz w:val="20"/>
              </w:rPr>
              <w:t>medical </w:t>
            </w:r>
            <w:r>
              <w:rPr>
                <w:spacing w:val="-2"/>
                <w:sz w:val="20"/>
              </w:rPr>
              <w:t>transportation</w:t>
            </w:r>
          </w:p>
          <w:p>
            <w:pPr>
              <w:pStyle w:val="TableParagraph"/>
              <w:numPr>
                <w:ilvl w:val="0"/>
                <w:numId w:val="90"/>
              </w:numPr>
              <w:tabs>
                <w:tab w:pos="466" w:val="left" w:leader="none"/>
              </w:tabs>
              <w:spacing w:line="266" w:lineRule="auto" w:before="9" w:after="0"/>
              <w:ind w:left="466" w:right="546" w:hanging="360"/>
              <w:jc w:val="left"/>
              <w:rPr>
                <w:rFonts w:ascii="Symbol" w:hAnsi="Symbol"/>
                <w:sz w:val="22"/>
              </w:rPr>
            </w:pPr>
            <w:r>
              <w:rPr>
                <w:sz w:val="20"/>
              </w:rPr>
              <w:t>Community</w:t>
            </w:r>
            <w:r>
              <w:rPr>
                <w:spacing w:val="-13"/>
                <w:sz w:val="20"/>
              </w:rPr>
              <w:t> </w:t>
            </w:r>
            <w:r>
              <w:rPr>
                <w:sz w:val="20"/>
              </w:rPr>
              <w:t>inclusion</w:t>
            </w:r>
            <w:r>
              <w:rPr>
                <w:spacing w:val="-12"/>
                <w:sz w:val="20"/>
              </w:rPr>
              <w:t> </w:t>
            </w:r>
            <w:r>
              <w:rPr>
                <w:sz w:val="20"/>
              </w:rPr>
              <w:t>and </w:t>
            </w:r>
            <w:r>
              <w:rPr>
                <w:spacing w:val="-2"/>
                <w:sz w:val="20"/>
              </w:rPr>
              <w:t>empowerment</w:t>
            </w:r>
          </w:p>
          <w:p>
            <w:pPr>
              <w:pStyle w:val="TableParagraph"/>
              <w:numPr>
                <w:ilvl w:val="0"/>
                <w:numId w:val="90"/>
              </w:numPr>
              <w:tabs>
                <w:tab w:pos="465" w:val="left" w:leader="none"/>
              </w:tabs>
              <w:spacing w:line="240" w:lineRule="auto" w:before="10" w:after="0"/>
              <w:ind w:left="465" w:right="0" w:hanging="359"/>
              <w:jc w:val="both"/>
              <w:rPr>
                <w:rFonts w:ascii="Symbol" w:hAnsi="Symbol"/>
                <w:sz w:val="22"/>
              </w:rPr>
            </w:pPr>
            <w:r>
              <w:rPr>
                <w:sz w:val="20"/>
              </w:rPr>
              <w:t>Employment</w:t>
            </w:r>
            <w:r>
              <w:rPr>
                <w:spacing w:val="-12"/>
                <w:sz w:val="20"/>
              </w:rPr>
              <w:t> </w:t>
            </w:r>
            <w:r>
              <w:rPr>
                <w:spacing w:val="-2"/>
                <w:sz w:val="20"/>
              </w:rPr>
              <w:t>(supplement)</w:t>
            </w:r>
          </w:p>
          <w:p>
            <w:pPr>
              <w:pStyle w:val="TableParagraph"/>
              <w:numPr>
                <w:ilvl w:val="0"/>
                <w:numId w:val="90"/>
              </w:numPr>
              <w:tabs>
                <w:tab w:pos="466" w:val="left" w:leader="none"/>
              </w:tabs>
              <w:spacing w:line="264" w:lineRule="exact" w:before="38" w:after="0"/>
              <w:ind w:left="466" w:right="205" w:hanging="360"/>
              <w:jc w:val="both"/>
              <w:rPr>
                <w:rFonts w:ascii="Symbol" w:hAnsi="Symbol"/>
                <w:sz w:val="22"/>
              </w:rPr>
            </w:pPr>
            <w:r>
              <w:rPr>
                <w:sz w:val="20"/>
              </w:rPr>
              <w:t>Integration or coordination of LTSS</w:t>
            </w:r>
            <w:r>
              <w:rPr>
                <w:spacing w:val="-13"/>
                <w:sz w:val="20"/>
              </w:rPr>
              <w:t> </w:t>
            </w:r>
            <w:r>
              <w:rPr>
                <w:sz w:val="20"/>
              </w:rPr>
              <w:t>services</w:t>
            </w:r>
            <w:r>
              <w:rPr>
                <w:spacing w:val="-12"/>
                <w:sz w:val="20"/>
              </w:rPr>
              <w:t> </w:t>
            </w:r>
            <w:r>
              <w:rPr>
                <w:sz w:val="20"/>
              </w:rPr>
              <w:t>by</w:t>
            </w:r>
            <w:r>
              <w:rPr>
                <w:spacing w:val="-13"/>
                <w:sz w:val="20"/>
              </w:rPr>
              <w:t> </w:t>
            </w:r>
            <w:r>
              <w:rPr>
                <w:sz w:val="20"/>
              </w:rPr>
              <w:t>Community </w:t>
            </w:r>
            <w:r>
              <w:rPr>
                <w:spacing w:val="-2"/>
                <w:sz w:val="20"/>
              </w:rPr>
              <w:t>Partners</w:t>
            </w:r>
          </w:p>
        </w:tc>
      </w:tr>
    </w:tbl>
    <w:p>
      <w:pPr>
        <w:spacing w:before="0"/>
        <w:ind w:left="1220" w:right="1093" w:firstLine="0"/>
        <w:jc w:val="both"/>
        <w:rPr>
          <w:sz w:val="22"/>
        </w:rPr>
      </w:pPr>
      <w:r>
        <w:rPr>
          <w:sz w:val="22"/>
        </w:rPr>
        <w:t>The scoring approach will be similar to the approach used for clinical quality measures where scoring is based on attainment of benchmarks for excellent performance and/or improved performance relative to previous performance (as described in Section 5.3.1.3).</w:t>
      </w:r>
    </w:p>
    <w:p>
      <w:pPr>
        <w:spacing w:before="197"/>
        <w:ind w:left="1219" w:right="0" w:firstLine="0"/>
        <w:jc w:val="left"/>
        <w:rPr>
          <w:sz w:val="22"/>
        </w:rPr>
      </w:pPr>
      <w:bookmarkStart w:name="Calculating the Domain Score for Member " w:id="1392"/>
      <w:bookmarkEnd w:id="1392"/>
      <w:r>
        <w:rPr/>
      </w:r>
      <w:r>
        <w:rPr>
          <w:color w:val="1F3762"/>
          <w:sz w:val="22"/>
        </w:rPr>
        <w:t>Calculating</w:t>
      </w:r>
      <w:r>
        <w:rPr>
          <w:color w:val="1F3762"/>
          <w:spacing w:val="-6"/>
          <w:sz w:val="22"/>
        </w:rPr>
        <w:t> </w:t>
      </w:r>
      <w:r>
        <w:rPr>
          <w:color w:val="1F3762"/>
          <w:sz w:val="22"/>
        </w:rPr>
        <w:t>the</w:t>
      </w:r>
      <w:r>
        <w:rPr>
          <w:color w:val="1F3762"/>
          <w:spacing w:val="-4"/>
          <w:sz w:val="22"/>
        </w:rPr>
        <w:t> </w:t>
      </w:r>
      <w:r>
        <w:rPr>
          <w:color w:val="1F3762"/>
          <w:sz w:val="22"/>
        </w:rPr>
        <w:t>Domain</w:t>
      </w:r>
      <w:r>
        <w:rPr>
          <w:color w:val="1F3762"/>
          <w:spacing w:val="-3"/>
          <w:sz w:val="22"/>
        </w:rPr>
        <w:t> </w:t>
      </w:r>
      <w:r>
        <w:rPr>
          <w:color w:val="1F3762"/>
          <w:sz w:val="22"/>
        </w:rPr>
        <w:t>Score</w:t>
      </w:r>
      <w:r>
        <w:rPr>
          <w:color w:val="1F3762"/>
          <w:spacing w:val="-2"/>
          <w:sz w:val="22"/>
        </w:rPr>
        <w:t> </w:t>
      </w:r>
      <w:r>
        <w:rPr>
          <w:color w:val="1F3762"/>
          <w:sz w:val="22"/>
        </w:rPr>
        <w:t>for</w:t>
      </w:r>
      <w:r>
        <w:rPr>
          <w:color w:val="1F3762"/>
          <w:spacing w:val="-5"/>
          <w:sz w:val="22"/>
        </w:rPr>
        <w:t> </w:t>
      </w:r>
      <w:r>
        <w:rPr>
          <w:color w:val="1F3762"/>
          <w:sz w:val="22"/>
        </w:rPr>
        <w:t>Member</w:t>
      </w:r>
      <w:r>
        <w:rPr>
          <w:color w:val="1F3762"/>
          <w:spacing w:val="-2"/>
          <w:sz w:val="22"/>
        </w:rPr>
        <w:t> </w:t>
      </w:r>
      <w:r>
        <w:rPr>
          <w:color w:val="1F3762"/>
          <w:sz w:val="22"/>
        </w:rPr>
        <w:t>Experience</w:t>
      </w:r>
      <w:r>
        <w:rPr>
          <w:color w:val="1F3762"/>
          <w:spacing w:val="-4"/>
          <w:sz w:val="22"/>
        </w:rPr>
        <w:t> </w:t>
      </w:r>
      <w:r>
        <w:rPr>
          <w:color w:val="1F3762"/>
          <w:sz w:val="22"/>
        </w:rPr>
        <w:t>Quality</w:t>
      </w:r>
      <w:r>
        <w:rPr>
          <w:color w:val="1F3762"/>
          <w:spacing w:val="-5"/>
          <w:sz w:val="22"/>
        </w:rPr>
        <w:t> </w:t>
      </w:r>
      <w:r>
        <w:rPr>
          <w:color w:val="1F3762"/>
          <w:sz w:val="22"/>
        </w:rPr>
        <w:t>Domains</w:t>
      </w:r>
      <w:r>
        <w:rPr>
          <w:color w:val="1F3762"/>
          <w:spacing w:val="-3"/>
          <w:sz w:val="22"/>
        </w:rPr>
        <w:t> </w:t>
      </w:r>
      <w:r>
        <w:rPr>
          <w:color w:val="1F3762"/>
          <w:sz w:val="22"/>
        </w:rPr>
        <w:t>for</w:t>
      </w:r>
      <w:r>
        <w:rPr>
          <w:color w:val="1F3762"/>
          <w:spacing w:val="-2"/>
          <w:sz w:val="22"/>
        </w:rPr>
        <w:t> </w:t>
      </w:r>
      <w:r>
        <w:rPr>
          <w:color w:val="1F3762"/>
          <w:sz w:val="22"/>
        </w:rPr>
        <w:t>BP2</w:t>
      </w:r>
      <w:r>
        <w:rPr>
          <w:color w:val="1F3762"/>
          <w:spacing w:val="-7"/>
          <w:sz w:val="22"/>
        </w:rPr>
        <w:t> </w:t>
      </w:r>
      <w:r>
        <w:rPr>
          <w:color w:val="1F3762"/>
          <w:sz w:val="22"/>
        </w:rPr>
        <w:t>and</w:t>
      </w:r>
      <w:r>
        <w:rPr>
          <w:color w:val="1F3762"/>
          <w:spacing w:val="-2"/>
          <w:sz w:val="22"/>
        </w:rPr>
        <w:t> </w:t>
      </w:r>
      <w:r>
        <w:rPr>
          <w:color w:val="1F3762"/>
          <w:spacing w:val="-5"/>
          <w:sz w:val="22"/>
        </w:rPr>
        <w:t>BP3</w:t>
      </w:r>
    </w:p>
    <w:p>
      <w:pPr>
        <w:spacing w:line="259" w:lineRule="auto" w:before="4"/>
        <w:ind w:left="1219" w:right="1111" w:firstLine="0"/>
        <w:jc w:val="left"/>
        <w:rPr>
          <w:sz w:val="22"/>
        </w:rPr>
      </w:pPr>
      <w:r>
        <w:rPr>
          <w:sz w:val="22"/>
        </w:rPr>
        <w:t>In order to address the impact of the state of emergency declared by the federal or state government on ACO</w:t>
      </w:r>
      <w:r>
        <w:rPr>
          <w:spacing w:val="-2"/>
          <w:sz w:val="22"/>
        </w:rPr>
        <w:t> </w:t>
      </w:r>
      <w:r>
        <w:rPr>
          <w:sz w:val="22"/>
        </w:rPr>
        <w:t>quality</w:t>
      </w:r>
      <w:r>
        <w:rPr>
          <w:spacing w:val="-4"/>
          <w:sz w:val="22"/>
        </w:rPr>
        <w:t> </w:t>
      </w:r>
      <w:r>
        <w:rPr>
          <w:sz w:val="22"/>
        </w:rPr>
        <w:t>performance,</w:t>
      </w:r>
      <w:r>
        <w:rPr>
          <w:spacing w:val="-4"/>
          <w:sz w:val="22"/>
        </w:rPr>
        <w:t> </w:t>
      </w:r>
      <w:r>
        <w:rPr>
          <w:sz w:val="22"/>
        </w:rPr>
        <w:t>member experience</w:t>
      </w:r>
      <w:r>
        <w:rPr>
          <w:spacing w:val="-1"/>
          <w:sz w:val="22"/>
        </w:rPr>
        <w:t> </w:t>
      </w:r>
      <w:r>
        <w:rPr>
          <w:sz w:val="22"/>
        </w:rPr>
        <w:t>domain</w:t>
      </w:r>
      <w:r>
        <w:rPr>
          <w:spacing w:val="-4"/>
          <w:sz w:val="22"/>
        </w:rPr>
        <w:t> </w:t>
      </w:r>
      <w:r>
        <w:rPr>
          <w:sz w:val="22"/>
        </w:rPr>
        <w:t>scores</w:t>
      </w:r>
      <w:r>
        <w:rPr>
          <w:spacing w:val="-3"/>
          <w:sz w:val="22"/>
        </w:rPr>
        <w:t> </w:t>
      </w:r>
      <w:r>
        <w:rPr>
          <w:sz w:val="22"/>
        </w:rPr>
        <w:t>for</w:t>
      </w:r>
      <w:r>
        <w:rPr>
          <w:spacing w:val="-1"/>
          <w:sz w:val="22"/>
        </w:rPr>
        <w:t> </w:t>
      </w:r>
      <w:r>
        <w:rPr>
          <w:sz w:val="22"/>
        </w:rPr>
        <w:t>BP2</w:t>
      </w:r>
      <w:r>
        <w:rPr>
          <w:spacing w:val="-4"/>
          <w:sz w:val="22"/>
        </w:rPr>
        <w:t> </w:t>
      </w:r>
      <w:r>
        <w:rPr>
          <w:sz w:val="22"/>
        </w:rPr>
        <w:t>and</w:t>
      </w:r>
      <w:r>
        <w:rPr>
          <w:spacing w:val="-1"/>
          <w:sz w:val="22"/>
        </w:rPr>
        <w:t> </w:t>
      </w:r>
      <w:r>
        <w:rPr>
          <w:sz w:val="22"/>
        </w:rPr>
        <w:t>BP3</w:t>
      </w:r>
      <w:r>
        <w:rPr>
          <w:spacing w:val="-4"/>
          <w:sz w:val="22"/>
        </w:rPr>
        <w:t> </w:t>
      </w:r>
      <w:r>
        <w:rPr>
          <w:sz w:val="22"/>
        </w:rPr>
        <w:t>are</w:t>
      </w:r>
      <w:r>
        <w:rPr>
          <w:spacing w:val="-1"/>
          <w:sz w:val="22"/>
        </w:rPr>
        <w:t> </w:t>
      </w:r>
      <w:r>
        <w:rPr>
          <w:sz w:val="22"/>
        </w:rPr>
        <w:t>calculated</w:t>
      </w:r>
      <w:r>
        <w:rPr>
          <w:spacing w:val="-1"/>
          <w:sz w:val="22"/>
        </w:rPr>
        <w:t> </w:t>
      </w:r>
      <w:r>
        <w:rPr>
          <w:sz w:val="22"/>
        </w:rPr>
        <w:t>using</w:t>
      </w:r>
      <w:r>
        <w:rPr>
          <w:spacing w:val="-4"/>
          <w:sz w:val="22"/>
        </w:rPr>
        <w:t> </w:t>
      </w:r>
      <w:r>
        <w:rPr>
          <w:sz w:val="22"/>
        </w:rPr>
        <w:t>the following methodology:</w:t>
      </w:r>
    </w:p>
    <w:p>
      <w:pPr>
        <w:spacing w:before="195"/>
        <w:ind w:left="1219" w:right="0" w:firstLine="0"/>
        <w:jc w:val="both"/>
        <w:rPr>
          <w:sz w:val="22"/>
        </w:rPr>
      </w:pPr>
      <w:bookmarkStart w:name="Achievement Points" w:id="1393"/>
      <w:bookmarkEnd w:id="1393"/>
      <w:r>
        <w:rPr/>
      </w:r>
      <w:r>
        <w:rPr>
          <w:color w:val="1F3762"/>
          <w:sz w:val="22"/>
        </w:rPr>
        <w:t>Achievement</w:t>
      </w:r>
      <w:r>
        <w:rPr>
          <w:color w:val="1F3762"/>
          <w:spacing w:val="-7"/>
          <w:sz w:val="22"/>
        </w:rPr>
        <w:t> </w:t>
      </w:r>
      <w:r>
        <w:rPr>
          <w:color w:val="1F3762"/>
          <w:spacing w:val="-2"/>
          <w:sz w:val="22"/>
        </w:rPr>
        <w:t>Points</w:t>
      </w:r>
    </w:p>
    <w:p>
      <w:pPr>
        <w:spacing w:before="1"/>
        <w:ind w:left="1219" w:right="1096" w:firstLine="0"/>
        <w:jc w:val="both"/>
        <w:rPr>
          <w:sz w:val="22"/>
        </w:rPr>
      </w:pPr>
      <w:r>
        <w:rPr>
          <w:sz w:val="22"/>
        </w:rPr>
        <w:t>For</w:t>
      </w:r>
      <w:r>
        <w:rPr>
          <w:spacing w:val="-6"/>
          <w:sz w:val="22"/>
        </w:rPr>
        <w:t> </w:t>
      </w:r>
      <w:r>
        <w:rPr>
          <w:sz w:val="22"/>
        </w:rPr>
        <w:t>each</w:t>
      </w:r>
      <w:r>
        <w:rPr>
          <w:spacing w:val="-10"/>
          <w:sz w:val="22"/>
        </w:rPr>
        <w:t> </w:t>
      </w:r>
      <w:r>
        <w:rPr>
          <w:sz w:val="22"/>
        </w:rPr>
        <w:t>composite</w:t>
      </w:r>
      <w:r>
        <w:rPr>
          <w:spacing w:val="-9"/>
          <w:sz w:val="22"/>
        </w:rPr>
        <w:t> </w:t>
      </w:r>
      <w:r>
        <w:rPr>
          <w:sz w:val="22"/>
        </w:rPr>
        <w:t>in</w:t>
      </w:r>
      <w:r>
        <w:rPr>
          <w:spacing w:val="-9"/>
          <w:sz w:val="22"/>
        </w:rPr>
        <w:t> </w:t>
      </w:r>
      <w:r>
        <w:rPr>
          <w:sz w:val="22"/>
        </w:rPr>
        <w:t>the</w:t>
      </w:r>
      <w:r>
        <w:rPr>
          <w:spacing w:val="-11"/>
          <w:sz w:val="22"/>
        </w:rPr>
        <w:t> </w:t>
      </w:r>
      <w:r>
        <w:rPr>
          <w:sz w:val="22"/>
        </w:rPr>
        <w:t>Overall</w:t>
      </w:r>
      <w:r>
        <w:rPr>
          <w:spacing w:val="-9"/>
          <w:sz w:val="22"/>
        </w:rPr>
        <w:t> </w:t>
      </w:r>
      <w:r>
        <w:rPr>
          <w:sz w:val="22"/>
        </w:rPr>
        <w:t>Care</w:t>
      </w:r>
      <w:r>
        <w:rPr>
          <w:spacing w:val="-7"/>
          <w:sz w:val="22"/>
        </w:rPr>
        <w:t> </w:t>
      </w:r>
      <w:r>
        <w:rPr>
          <w:sz w:val="22"/>
        </w:rPr>
        <w:t>Delivery</w:t>
      </w:r>
      <w:r>
        <w:rPr>
          <w:spacing w:val="-10"/>
          <w:sz w:val="22"/>
        </w:rPr>
        <w:t> </w:t>
      </w:r>
      <w:r>
        <w:rPr>
          <w:sz w:val="22"/>
        </w:rPr>
        <w:t>domain,</w:t>
      </w:r>
      <w:r>
        <w:rPr>
          <w:spacing w:val="-10"/>
          <w:sz w:val="22"/>
        </w:rPr>
        <w:t> </w:t>
      </w:r>
      <w:r>
        <w:rPr>
          <w:sz w:val="22"/>
        </w:rPr>
        <w:t>the</w:t>
      </w:r>
      <w:r>
        <w:rPr>
          <w:spacing w:val="-7"/>
          <w:sz w:val="22"/>
        </w:rPr>
        <w:t> </w:t>
      </w:r>
      <w:r>
        <w:rPr>
          <w:sz w:val="22"/>
        </w:rPr>
        <w:t>State</w:t>
      </w:r>
      <w:r>
        <w:rPr>
          <w:spacing w:val="-7"/>
          <w:sz w:val="22"/>
        </w:rPr>
        <w:t> </w:t>
      </w:r>
      <w:r>
        <w:rPr>
          <w:sz w:val="22"/>
        </w:rPr>
        <w:t>will</w:t>
      </w:r>
      <w:r>
        <w:rPr>
          <w:spacing w:val="-6"/>
          <w:sz w:val="22"/>
        </w:rPr>
        <w:t> </w:t>
      </w:r>
      <w:r>
        <w:rPr>
          <w:sz w:val="22"/>
        </w:rPr>
        <w:t>decide</w:t>
      </w:r>
      <w:r>
        <w:rPr>
          <w:spacing w:val="-7"/>
          <w:sz w:val="22"/>
        </w:rPr>
        <w:t> </w:t>
      </w:r>
      <w:r>
        <w:rPr>
          <w:sz w:val="22"/>
        </w:rPr>
        <w:t>whether</w:t>
      </w:r>
      <w:r>
        <w:rPr>
          <w:spacing w:val="-9"/>
          <w:sz w:val="22"/>
        </w:rPr>
        <w:t> </w:t>
      </w:r>
      <w:r>
        <w:rPr>
          <w:sz w:val="22"/>
        </w:rPr>
        <w:t>to</w:t>
      </w:r>
      <w:r>
        <w:rPr>
          <w:spacing w:val="-10"/>
          <w:sz w:val="22"/>
        </w:rPr>
        <w:t> </w:t>
      </w:r>
      <w:r>
        <w:rPr>
          <w:sz w:val="22"/>
        </w:rPr>
        <w:t>set</w:t>
      </w:r>
      <w:r>
        <w:rPr>
          <w:spacing w:val="-8"/>
          <w:sz w:val="22"/>
        </w:rPr>
        <w:t> </w:t>
      </w:r>
      <w:r>
        <w:rPr>
          <w:sz w:val="22"/>
        </w:rPr>
        <w:t>the</w:t>
      </w:r>
      <w:r>
        <w:rPr>
          <w:spacing w:val="-9"/>
          <w:sz w:val="22"/>
        </w:rPr>
        <w:t> </w:t>
      </w:r>
      <w:r>
        <w:rPr>
          <w:sz w:val="22"/>
        </w:rPr>
        <w:t>individual ACOs’ BP3 performance rates to 1) the higher of their BP1 or BP2 actual rates, or 2) the higher of their BP2</w:t>
      </w:r>
      <w:r>
        <w:rPr>
          <w:spacing w:val="-8"/>
          <w:sz w:val="22"/>
        </w:rPr>
        <w:t> </w:t>
      </w:r>
      <w:r>
        <w:rPr>
          <w:sz w:val="22"/>
        </w:rPr>
        <w:t>or</w:t>
      </w:r>
      <w:r>
        <w:rPr>
          <w:spacing w:val="-6"/>
          <w:sz w:val="22"/>
        </w:rPr>
        <w:t> </w:t>
      </w:r>
      <w:r>
        <w:rPr>
          <w:sz w:val="22"/>
        </w:rPr>
        <w:t>BP3</w:t>
      </w:r>
      <w:r>
        <w:rPr>
          <w:spacing w:val="-8"/>
          <w:sz w:val="22"/>
        </w:rPr>
        <w:t> </w:t>
      </w:r>
      <w:r>
        <w:rPr>
          <w:sz w:val="22"/>
        </w:rPr>
        <w:t>actual</w:t>
      </w:r>
      <w:r>
        <w:rPr>
          <w:spacing w:val="-9"/>
          <w:sz w:val="22"/>
        </w:rPr>
        <w:t> </w:t>
      </w:r>
      <w:r>
        <w:rPr>
          <w:sz w:val="22"/>
        </w:rPr>
        <w:t>rates.</w:t>
      </w:r>
      <w:r>
        <w:rPr>
          <w:spacing w:val="40"/>
          <w:sz w:val="22"/>
        </w:rPr>
        <w:t> </w:t>
      </w:r>
      <w:r>
        <w:rPr>
          <w:sz w:val="22"/>
        </w:rPr>
        <w:t>Regardless</w:t>
      </w:r>
      <w:r>
        <w:rPr>
          <w:spacing w:val="-7"/>
          <w:sz w:val="22"/>
        </w:rPr>
        <w:t> </w:t>
      </w:r>
      <w:r>
        <w:rPr>
          <w:sz w:val="22"/>
        </w:rPr>
        <w:t>of</w:t>
      </w:r>
      <w:r>
        <w:rPr>
          <w:spacing w:val="-7"/>
          <w:sz w:val="22"/>
        </w:rPr>
        <w:t> </w:t>
      </w:r>
      <w:r>
        <w:rPr>
          <w:sz w:val="22"/>
        </w:rPr>
        <w:t>which</w:t>
      </w:r>
      <w:r>
        <w:rPr>
          <w:spacing w:val="-7"/>
          <w:sz w:val="22"/>
        </w:rPr>
        <w:t> </w:t>
      </w:r>
      <w:r>
        <w:rPr>
          <w:sz w:val="22"/>
        </w:rPr>
        <w:t>comparison</w:t>
      </w:r>
      <w:r>
        <w:rPr>
          <w:spacing w:val="-8"/>
          <w:sz w:val="22"/>
        </w:rPr>
        <w:t> </w:t>
      </w:r>
      <w:r>
        <w:rPr>
          <w:sz w:val="22"/>
        </w:rPr>
        <w:t>the</w:t>
      </w:r>
      <w:r>
        <w:rPr>
          <w:spacing w:val="-7"/>
          <w:sz w:val="22"/>
        </w:rPr>
        <w:t> </w:t>
      </w:r>
      <w:r>
        <w:rPr>
          <w:sz w:val="22"/>
        </w:rPr>
        <w:t>State</w:t>
      </w:r>
      <w:r>
        <w:rPr>
          <w:spacing w:val="-8"/>
          <w:sz w:val="22"/>
        </w:rPr>
        <w:t> </w:t>
      </w:r>
      <w:r>
        <w:rPr>
          <w:sz w:val="22"/>
        </w:rPr>
        <w:t>decides</w:t>
      </w:r>
      <w:r>
        <w:rPr>
          <w:spacing w:val="-7"/>
          <w:sz w:val="22"/>
        </w:rPr>
        <w:t> </w:t>
      </w:r>
      <w:r>
        <w:rPr>
          <w:sz w:val="22"/>
        </w:rPr>
        <w:t>to</w:t>
      </w:r>
      <w:r>
        <w:rPr>
          <w:spacing w:val="-7"/>
          <w:sz w:val="22"/>
        </w:rPr>
        <w:t> </w:t>
      </w:r>
      <w:r>
        <w:rPr>
          <w:sz w:val="22"/>
        </w:rPr>
        <w:t>use,</w:t>
      </w:r>
      <w:r>
        <w:rPr>
          <w:spacing w:val="-11"/>
          <w:sz w:val="22"/>
        </w:rPr>
        <w:t> </w:t>
      </w:r>
      <w:r>
        <w:rPr>
          <w:sz w:val="22"/>
        </w:rPr>
        <w:t>the</w:t>
      </w:r>
      <w:r>
        <w:rPr>
          <w:spacing w:val="-7"/>
          <w:sz w:val="22"/>
        </w:rPr>
        <w:t> </w:t>
      </w:r>
      <w:r>
        <w:rPr>
          <w:sz w:val="22"/>
        </w:rPr>
        <w:t>rate</w:t>
      </w:r>
      <w:r>
        <w:rPr>
          <w:spacing w:val="-8"/>
          <w:sz w:val="22"/>
        </w:rPr>
        <w:t> </w:t>
      </w:r>
      <w:r>
        <w:rPr>
          <w:sz w:val="22"/>
        </w:rPr>
        <w:t>selected</w:t>
      </w:r>
      <w:r>
        <w:rPr>
          <w:spacing w:val="-7"/>
          <w:sz w:val="22"/>
        </w:rPr>
        <w:t> </w:t>
      </w:r>
      <w:r>
        <w:rPr>
          <w:sz w:val="22"/>
        </w:rPr>
        <w:t>will</w:t>
      </w:r>
      <w:r>
        <w:rPr>
          <w:spacing w:val="-6"/>
          <w:sz w:val="22"/>
        </w:rPr>
        <w:t> </w:t>
      </w:r>
      <w:r>
        <w:rPr>
          <w:spacing w:val="-7"/>
          <w:sz w:val="22"/>
        </w:rPr>
        <w:t>be</w:t>
      </w:r>
    </w:p>
    <w:p>
      <w:pPr>
        <w:spacing w:after="0"/>
        <w:jc w:val="both"/>
        <w:rPr>
          <w:sz w:val="22"/>
        </w:rPr>
        <w:sectPr>
          <w:pgSz w:w="12240" w:h="15840"/>
          <w:pgMar w:header="0" w:footer="967" w:top="1360" w:bottom="1160" w:left="220" w:right="340"/>
        </w:sectPr>
      </w:pPr>
    </w:p>
    <w:p>
      <w:pPr>
        <w:spacing w:line="240" w:lineRule="auto" w:before="78"/>
        <w:ind w:left="1219" w:right="1094" w:firstLine="0"/>
        <w:jc w:val="both"/>
        <w:rPr>
          <w:sz w:val="22"/>
        </w:rPr>
      </w:pPr>
      <w:r>
        <w:rPr>
          <w:sz w:val="22"/>
        </w:rPr>
        <w:t>used not just for the BP3 performance rates, but also the BP2 performance rates, given that the timing of BP2 data collection (i.e., January through May of 2020) could lead to BP2 actual rates being variably impacted across ACOs as a result of the state of emergency declared by the federal or state government. Upon</w:t>
      </w:r>
      <w:r>
        <w:rPr>
          <w:spacing w:val="-12"/>
          <w:sz w:val="22"/>
        </w:rPr>
        <w:t> </w:t>
      </w:r>
      <w:r>
        <w:rPr>
          <w:sz w:val="22"/>
        </w:rPr>
        <w:t>determination</w:t>
      </w:r>
      <w:r>
        <w:rPr>
          <w:spacing w:val="-12"/>
          <w:sz w:val="22"/>
        </w:rPr>
        <w:t> </w:t>
      </w:r>
      <w:r>
        <w:rPr>
          <w:sz w:val="22"/>
        </w:rPr>
        <w:t>of</w:t>
      </w:r>
      <w:r>
        <w:rPr>
          <w:spacing w:val="-11"/>
          <w:sz w:val="22"/>
        </w:rPr>
        <w:t> </w:t>
      </w:r>
      <w:r>
        <w:rPr>
          <w:sz w:val="22"/>
        </w:rPr>
        <w:t>the</w:t>
      </w:r>
      <w:r>
        <w:rPr>
          <w:spacing w:val="-14"/>
          <w:sz w:val="22"/>
        </w:rPr>
        <w:t> </w:t>
      </w:r>
      <w:r>
        <w:rPr>
          <w:sz w:val="22"/>
        </w:rPr>
        <w:t>ACOs’</w:t>
      </w:r>
      <w:r>
        <w:rPr>
          <w:spacing w:val="-11"/>
          <w:sz w:val="22"/>
        </w:rPr>
        <w:t> </w:t>
      </w:r>
      <w:r>
        <w:rPr>
          <w:sz w:val="22"/>
        </w:rPr>
        <w:t>BP2</w:t>
      </w:r>
      <w:r>
        <w:rPr>
          <w:spacing w:val="-12"/>
          <w:sz w:val="22"/>
        </w:rPr>
        <w:t> </w:t>
      </w:r>
      <w:r>
        <w:rPr>
          <w:sz w:val="22"/>
        </w:rPr>
        <w:t>and</w:t>
      </w:r>
      <w:r>
        <w:rPr>
          <w:spacing w:val="-12"/>
          <w:sz w:val="22"/>
        </w:rPr>
        <w:t> </w:t>
      </w:r>
      <w:r>
        <w:rPr>
          <w:sz w:val="22"/>
        </w:rPr>
        <w:t>BP3</w:t>
      </w:r>
      <w:r>
        <w:rPr>
          <w:spacing w:val="-12"/>
          <w:sz w:val="22"/>
        </w:rPr>
        <w:t> </w:t>
      </w:r>
      <w:r>
        <w:rPr>
          <w:sz w:val="22"/>
        </w:rPr>
        <w:t>performance</w:t>
      </w:r>
      <w:r>
        <w:rPr>
          <w:spacing w:val="-12"/>
          <w:sz w:val="22"/>
        </w:rPr>
        <w:t> </w:t>
      </w:r>
      <w:r>
        <w:rPr>
          <w:sz w:val="22"/>
        </w:rPr>
        <w:t>rates,</w:t>
      </w:r>
      <w:r>
        <w:rPr>
          <w:spacing w:val="-12"/>
          <w:sz w:val="22"/>
        </w:rPr>
        <w:t> </w:t>
      </w:r>
      <w:r>
        <w:rPr>
          <w:sz w:val="22"/>
        </w:rPr>
        <w:t>achievements</w:t>
      </w:r>
      <w:r>
        <w:rPr>
          <w:spacing w:val="-14"/>
          <w:sz w:val="22"/>
        </w:rPr>
        <w:t> </w:t>
      </w:r>
      <w:r>
        <w:rPr>
          <w:sz w:val="22"/>
        </w:rPr>
        <w:t>points</w:t>
      </w:r>
      <w:r>
        <w:rPr>
          <w:spacing w:val="-11"/>
          <w:sz w:val="22"/>
        </w:rPr>
        <w:t> </w:t>
      </w:r>
      <w:r>
        <w:rPr>
          <w:sz w:val="22"/>
        </w:rPr>
        <w:t>will</w:t>
      </w:r>
      <w:r>
        <w:rPr>
          <w:spacing w:val="-11"/>
          <w:sz w:val="22"/>
        </w:rPr>
        <w:t> </w:t>
      </w:r>
      <w:r>
        <w:rPr>
          <w:sz w:val="22"/>
        </w:rPr>
        <w:t>be</w:t>
      </w:r>
      <w:r>
        <w:rPr>
          <w:spacing w:val="-11"/>
          <w:sz w:val="22"/>
        </w:rPr>
        <w:t> </w:t>
      </w:r>
      <w:r>
        <w:rPr>
          <w:sz w:val="22"/>
        </w:rPr>
        <w:t>determined following the process set forth in Section 5.3.1.3.</w:t>
      </w:r>
    </w:p>
    <w:p>
      <w:pPr>
        <w:spacing w:before="161"/>
        <w:ind w:left="1219" w:right="1111" w:hanging="1"/>
        <w:jc w:val="left"/>
        <w:rPr>
          <w:sz w:val="22"/>
        </w:rPr>
      </w:pPr>
      <w:r>
        <w:rPr>
          <w:sz w:val="22"/>
        </w:rPr>
        <w:t>EXHIBIT 38 Example of Member Experience Calculation When Deciding</w:t>
      </w:r>
      <w:r>
        <w:rPr>
          <w:spacing w:val="-1"/>
          <w:sz w:val="22"/>
        </w:rPr>
        <w:t> </w:t>
      </w:r>
      <w:r>
        <w:rPr>
          <w:sz w:val="22"/>
        </w:rPr>
        <w:t>Between BP1 and BP2 Actual </w:t>
      </w:r>
      <w:r>
        <w:rPr>
          <w:spacing w:val="-4"/>
          <w:sz w:val="22"/>
        </w:rPr>
        <w:t>Rates</w:t>
      </w:r>
    </w:p>
    <w:p>
      <w:pPr>
        <w:pStyle w:val="BodyText"/>
        <w:spacing w:before="8"/>
        <w:rPr>
          <w:sz w:val="13"/>
        </w:rPr>
      </w:pPr>
    </w:p>
    <w:tbl>
      <w:tblPr>
        <w:tblW w:w="0" w:type="auto"/>
        <w:jc w:val="left"/>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35"/>
        <w:gridCol w:w="2045"/>
        <w:gridCol w:w="843"/>
        <w:gridCol w:w="1009"/>
        <w:gridCol w:w="1424"/>
        <w:gridCol w:w="2022"/>
      </w:tblGrid>
      <w:tr>
        <w:trPr>
          <w:trHeight w:val="997" w:hRule="atLeast"/>
        </w:trPr>
        <w:tc>
          <w:tcPr>
            <w:tcW w:w="2035" w:type="dxa"/>
            <w:vMerge w:val="restart"/>
            <w:tcBorders>
              <w:left w:val="nil"/>
              <w:right w:val="single" w:sz="2" w:space="0" w:color="BEBEBE"/>
            </w:tcBorders>
          </w:tcPr>
          <w:p>
            <w:pPr>
              <w:pStyle w:val="TableParagraph"/>
              <w:rPr>
                <w:sz w:val="20"/>
              </w:rPr>
            </w:pPr>
          </w:p>
        </w:tc>
        <w:tc>
          <w:tcPr>
            <w:tcW w:w="2045" w:type="dxa"/>
            <w:tcBorders>
              <w:top w:val="single" w:sz="6" w:space="0" w:color="000000"/>
              <w:left w:val="single" w:sz="2" w:space="0" w:color="BEBEBE"/>
              <w:bottom w:val="single" w:sz="2" w:space="0" w:color="BEBEBE"/>
              <w:right w:val="single" w:sz="2" w:space="0" w:color="BEBEBE"/>
            </w:tcBorders>
            <w:shd w:val="clear" w:color="auto" w:fill="D9D9D9"/>
          </w:tcPr>
          <w:p>
            <w:pPr>
              <w:pStyle w:val="TableParagraph"/>
              <w:spacing w:line="254" w:lineRule="auto" w:before="19"/>
              <w:ind w:left="156" w:right="150" w:hanging="2"/>
              <w:jc w:val="center"/>
              <w:rPr>
                <w:b/>
                <w:sz w:val="20"/>
              </w:rPr>
            </w:pPr>
            <w:r>
              <w:rPr>
                <w:b/>
                <w:spacing w:val="-2"/>
                <w:sz w:val="20"/>
              </w:rPr>
              <w:t>Composite </w:t>
            </w:r>
            <w:r>
              <w:rPr>
                <w:b/>
                <w:sz w:val="20"/>
              </w:rPr>
              <w:t>(Willingness to recommend</w:t>
            </w:r>
            <w:r>
              <w:rPr>
                <w:b/>
                <w:spacing w:val="-13"/>
                <w:sz w:val="20"/>
              </w:rPr>
              <w:t> </w:t>
            </w:r>
            <w:r>
              <w:rPr>
                <w:b/>
                <w:sz w:val="20"/>
              </w:rPr>
              <w:t>-</w:t>
            </w:r>
            <w:r>
              <w:rPr>
                <w:b/>
                <w:spacing w:val="-12"/>
                <w:sz w:val="20"/>
              </w:rPr>
              <w:t> </w:t>
            </w:r>
            <w:r>
              <w:rPr>
                <w:b/>
                <w:sz w:val="20"/>
              </w:rPr>
              <w:t>Adult)</w:t>
            </w:r>
          </w:p>
        </w:tc>
        <w:tc>
          <w:tcPr>
            <w:tcW w:w="843" w:type="dxa"/>
            <w:tcBorders>
              <w:top w:val="single" w:sz="6" w:space="0" w:color="000000"/>
              <w:left w:val="single" w:sz="2" w:space="0" w:color="BEBEBE"/>
              <w:bottom w:val="single" w:sz="2" w:space="0" w:color="BEBEBE"/>
              <w:right w:val="single" w:sz="2" w:space="0" w:color="BEBEBE"/>
            </w:tcBorders>
            <w:shd w:val="clear" w:color="auto" w:fill="D9D9D9"/>
          </w:tcPr>
          <w:p>
            <w:pPr>
              <w:pStyle w:val="TableParagraph"/>
              <w:spacing w:line="254" w:lineRule="auto" w:before="19"/>
              <w:ind w:left="242" w:right="187" w:hanging="44"/>
              <w:rPr>
                <w:b/>
                <w:sz w:val="20"/>
              </w:rPr>
            </w:pPr>
            <w:r>
              <w:rPr>
                <w:b/>
                <w:spacing w:val="-4"/>
                <w:sz w:val="20"/>
              </w:rPr>
              <w:t>ACO BP1</w:t>
            </w:r>
          </w:p>
          <w:p>
            <w:pPr>
              <w:pStyle w:val="TableParagraph"/>
              <w:spacing w:before="2"/>
              <w:ind w:left="136"/>
              <w:rPr>
                <w:b/>
                <w:sz w:val="20"/>
              </w:rPr>
            </w:pPr>
            <w:r>
              <w:rPr>
                <w:b/>
                <w:spacing w:val="-2"/>
                <w:sz w:val="20"/>
              </w:rPr>
              <w:t>Actual</w:t>
            </w:r>
          </w:p>
          <w:p>
            <w:pPr>
              <w:pStyle w:val="TableParagraph"/>
              <w:spacing w:line="224" w:lineRule="exact" w:before="15"/>
              <w:ind w:left="220"/>
              <w:rPr>
                <w:b/>
                <w:sz w:val="20"/>
              </w:rPr>
            </w:pPr>
            <w:r>
              <w:rPr>
                <w:b/>
                <w:spacing w:val="-4"/>
                <w:sz w:val="20"/>
              </w:rPr>
              <w:t>Rate</w:t>
            </w:r>
          </w:p>
        </w:tc>
        <w:tc>
          <w:tcPr>
            <w:tcW w:w="1009" w:type="dxa"/>
            <w:tcBorders>
              <w:top w:val="single" w:sz="6" w:space="0" w:color="000000"/>
              <w:left w:val="single" w:sz="2" w:space="0" w:color="BEBEBE"/>
              <w:bottom w:val="single" w:sz="2" w:space="0" w:color="BEBEBE"/>
              <w:right w:val="single" w:sz="2" w:space="0" w:color="BEBEBE"/>
            </w:tcBorders>
            <w:shd w:val="clear" w:color="auto" w:fill="D9D9D9"/>
          </w:tcPr>
          <w:p>
            <w:pPr>
              <w:pStyle w:val="TableParagraph"/>
              <w:spacing w:line="254" w:lineRule="auto" w:before="19"/>
              <w:ind w:left="320" w:right="275" w:hanging="44"/>
              <w:rPr>
                <w:b/>
                <w:sz w:val="20"/>
              </w:rPr>
            </w:pPr>
            <w:r>
              <w:rPr>
                <w:b/>
                <w:spacing w:val="-4"/>
                <w:sz w:val="20"/>
              </w:rPr>
              <w:t>ACO BP2</w:t>
            </w:r>
          </w:p>
          <w:p>
            <w:pPr>
              <w:pStyle w:val="TableParagraph"/>
              <w:spacing w:before="2"/>
              <w:ind w:left="217"/>
              <w:rPr>
                <w:b/>
                <w:sz w:val="20"/>
              </w:rPr>
            </w:pPr>
            <w:r>
              <w:rPr>
                <w:b/>
                <w:spacing w:val="-2"/>
                <w:sz w:val="20"/>
              </w:rPr>
              <w:t>Actual</w:t>
            </w:r>
          </w:p>
          <w:p>
            <w:pPr>
              <w:pStyle w:val="TableParagraph"/>
              <w:spacing w:line="224" w:lineRule="exact" w:before="15"/>
              <w:ind w:left="299"/>
              <w:rPr>
                <w:b/>
                <w:sz w:val="20"/>
              </w:rPr>
            </w:pPr>
            <w:r>
              <w:rPr>
                <w:b/>
                <w:spacing w:val="-4"/>
                <w:sz w:val="20"/>
              </w:rPr>
              <w:t>Rate</w:t>
            </w:r>
          </w:p>
        </w:tc>
        <w:tc>
          <w:tcPr>
            <w:tcW w:w="1424" w:type="dxa"/>
            <w:tcBorders>
              <w:top w:val="single" w:sz="6" w:space="0" w:color="000000"/>
              <w:left w:val="single" w:sz="2" w:space="0" w:color="BEBEBE"/>
              <w:bottom w:val="single" w:sz="2" w:space="0" w:color="BEBEBE"/>
              <w:right w:val="single" w:sz="2" w:space="0" w:color="BEBEBE"/>
            </w:tcBorders>
            <w:shd w:val="clear" w:color="auto" w:fill="D9D9D9"/>
          </w:tcPr>
          <w:p>
            <w:pPr>
              <w:pStyle w:val="TableParagraph"/>
              <w:spacing w:line="240" w:lineRule="atLeast" w:before="9"/>
              <w:ind w:left="118" w:right="120" w:hanging="2"/>
              <w:jc w:val="center"/>
              <w:rPr>
                <w:b/>
                <w:sz w:val="20"/>
              </w:rPr>
            </w:pPr>
            <w:r>
              <w:rPr>
                <w:b/>
                <w:spacing w:val="-2"/>
                <w:sz w:val="20"/>
              </w:rPr>
              <w:t>Performance </w:t>
            </w:r>
            <w:r>
              <w:rPr>
                <w:b/>
                <w:sz w:val="20"/>
              </w:rPr>
              <w:t>Rate</w:t>
            </w:r>
            <w:r>
              <w:rPr>
                <w:b/>
                <w:spacing w:val="-13"/>
                <w:sz w:val="20"/>
              </w:rPr>
              <w:t> </w:t>
            </w:r>
            <w:r>
              <w:rPr>
                <w:b/>
                <w:sz w:val="20"/>
              </w:rPr>
              <w:t>Used</w:t>
            </w:r>
            <w:r>
              <w:rPr>
                <w:b/>
                <w:spacing w:val="-12"/>
                <w:sz w:val="20"/>
              </w:rPr>
              <w:t> </w:t>
            </w:r>
            <w:r>
              <w:rPr>
                <w:b/>
                <w:sz w:val="20"/>
              </w:rPr>
              <w:t>for Scoring BP 2 and BP3</w:t>
            </w:r>
          </w:p>
        </w:tc>
        <w:tc>
          <w:tcPr>
            <w:tcW w:w="2022" w:type="dxa"/>
            <w:vMerge w:val="restart"/>
            <w:tcBorders>
              <w:left w:val="single" w:sz="2" w:space="0" w:color="BEBEBE"/>
              <w:right w:val="nil"/>
            </w:tcBorders>
          </w:tcPr>
          <w:p>
            <w:pPr>
              <w:pStyle w:val="TableParagraph"/>
              <w:rPr>
                <w:sz w:val="20"/>
              </w:rPr>
            </w:pPr>
          </w:p>
        </w:tc>
      </w:tr>
      <w:tr>
        <w:trPr>
          <w:trHeight w:val="268" w:hRule="atLeast"/>
        </w:trPr>
        <w:tc>
          <w:tcPr>
            <w:tcW w:w="2035" w:type="dxa"/>
            <w:vMerge/>
            <w:tcBorders>
              <w:top w:val="nil"/>
              <w:left w:val="nil"/>
              <w:right w:val="single" w:sz="2" w:space="0" w:color="BEBEBE"/>
            </w:tcBorders>
          </w:tcPr>
          <w:p>
            <w:pPr>
              <w:rPr>
                <w:sz w:val="2"/>
                <w:szCs w:val="2"/>
              </w:rPr>
            </w:pPr>
          </w:p>
        </w:tc>
        <w:tc>
          <w:tcPr>
            <w:tcW w:w="2045" w:type="dxa"/>
            <w:tcBorders>
              <w:top w:val="single" w:sz="2" w:space="0" w:color="BEBEBE"/>
              <w:left w:val="single" w:sz="2" w:space="0" w:color="BEBEBE"/>
              <w:bottom w:val="single" w:sz="2" w:space="0" w:color="BEBEBE"/>
              <w:right w:val="single" w:sz="2" w:space="0" w:color="BEBEBE"/>
            </w:tcBorders>
            <w:shd w:val="clear" w:color="auto" w:fill="D9E1F3"/>
          </w:tcPr>
          <w:p>
            <w:pPr>
              <w:pStyle w:val="TableParagraph"/>
              <w:spacing w:line="229" w:lineRule="exact" w:before="19"/>
              <w:ind w:right="571"/>
              <w:jc w:val="right"/>
              <w:rPr>
                <w:b/>
                <w:sz w:val="20"/>
              </w:rPr>
            </w:pPr>
            <w:r>
              <w:rPr>
                <w:b/>
                <w:sz w:val="20"/>
              </w:rPr>
              <w:t>ACO</w:t>
            </w:r>
            <w:r>
              <w:rPr>
                <w:b/>
                <w:spacing w:val="-4"/>
                <w:sz w:val="20"/>
              </w:rPr>
              <w:t> </w:t>
            </w:r>
            <w:r>
              <w:rPr>
                <w:b/>
                <w:spacing w:val="-10"/>
                <w:sz w:val="20"/>
              </w:rPr>
              <w:t>A</w:t>
            </w:r>
          </w:p>
        </w:tc>
        <w:tc>
          <w:tcPr>
            <w:tcW w:w="843" w:type="dxa"/>
            <w:tcBorders>
              <w:top w:val="single" w:sz="2" w:space="0" w:color="BEBEBE"/>
              <w:left w:val="single" w:sz="2" w:space="0" w:color="BEBEBE"/>
              <w:bottom w:val="single" w:sz="2" w:space="0" w:color="BEBEBE"/>
              <w:right w:val="single" w:sz="2" w:space="0" w:color="BEBEBE"/>
            </w:tcBorders>
          </w:tcPr>
          <w:p>
            <w:pPr>
              <w:pStyle w:val="TableParagraph"/>
              <w:spacing w:line="229" w:lineRule="exact" w:before="19"/>
              <w:ind w:left="211" w:right="206"/>
              <w:jc w:val="center"/>
              <w:rPr>
                <w:sz w:val="20"/>
              </w:rPr>
            </w:pPr>
            <w:r>
              <w:rPr>
                <w:spacing w:val="-5"/>
                <w:sz w:val="20"/>
              </w:rPr>
              <w:t>85%</w:t>
            </w:r>
          </w:p>
        </w:tc>
        <w:tc>
          <w:tcPr>
            <w:tcW w:w="1009" w:type="dxa"/>
            <w:tcBorders>
              <w:top w:val="single" w:sz="2" w:space="0" w:color="BEBEBE"/>
              <w:left w:val="single" w:sz="2" w:space="0" w:color="BEBEBE"/>
              <w:bottom w:val="single" w:sz="2" w:space="0" w:color="BEBEBE"/>
              <w:right w:val="single" w:sz="2" w:space="0" w:color="BEBEBE"/>
            </w:tcBorders>
          </w:tcPr>
          <w:p>
            <w:pPr>
              <w:pStyle w:val="TableParagraph"/>
              <w:spacing w:line="229" w:lineRule="exact" w:before="19"/>
              <w:ind w:left="217"/>
              <w:rPr>
                <w:sz w:val="20"/>
              </w:rPr>
            </w:pPr>
            <w:r>
              <w:rPr>
                <w:sz w:val="20"/>
              </w:rPr>
              <w:t>87.0</w:t>
            </w:r>
            <w:r>
              <w:rPr>
                <w:spacing w:val="-1"/>
                <w:sz w:val="20"/>
              </w:rPr>
              <w:t> </w:t>
            </w:r>
            <w:r>
              <w:rPr>
                <w:spacing w:val="-10"/>
                <w:sz w:val="20"/>
              </w:rPr>
              <w:t>%</w:t>
            </w:r>
          </w:p>
        </w:tc>
        <w:tc>
          <w:tcPr>
            <w:tcW w:w="1424" w:type="dxa"/>
            <w:tcBorders>
              <w:top w:val="single" w:sz="2" w:space="0" w:color="BEBEBE"/>
              <w:left w:val="single" w:sz="2" w:space="0" w:color="BEBEBE"/>
              <w:bottom w:val="single" w:sz="2" w:space="0" w:color="BEBEBE"/>
              <w:right w:val="single" w:sz="2" w:space="0" w:color="BEBEBE"/>
            </w:tcBorders>
          </w:tcPr>
          <w:p>
            <w:pPr>
              <w:pStyle w:val="TableParagraph"/>
              <w:spacing w:line="229" w:lineRule="exact" w:before="19"/>
              <w:ind w:left="436" w:right="436"/>
              <w:jc w:val="center"/>
              <w:rPr>
                <w:sz w:val="20"/>
              </w:rPr>
            </w:pPr>
            <w:r>
              <w:rPr>
                <w:spacing w:val="-2"/>
                <w:sz w:val="20"/>
              </w:rPr>
              <w:t>87.0%</w:t>
            </w:r>
          </w:p>
        </w:tc>
        <w:tc>
          <w:tcPr>
            <w:tcW w:w="2022" w:type="dxa"/>
            <w:vMerge/>
            <w:tcBorders>
              <w:top w:val="nil"/>
              <w:left w:val="single" w:sz="2" w:space="0" w:color="BEBEBE"/>
              <w:right w:val="nil"/>
            </w:tcBorders>
          </w:tcPr>
          <w:p>
            <w:pPr>
              <w:rPr>
                <w:sz w:val="2"/>
                <w:szCs w:val="2"/>
              </w:rPr>
            </w:pPr>
          </w:p>
        </w:tc>
      </w:tr>
      <w:tr>
        <w:trPr>
          <w:trHeight w:val="261" w:hRule="atLeast"/>
        </w:trPr>
        <w:tc>
          <w:tcPr>
            <w:tcW w:w="2035" w:type="dxa"/>
            <w:vMerge/>
            <w:tcBorders>
              <w:top w:val="nil"/>
              <w:left w:val="nil"/>
              <w:right w:val="single" w:sz="2" w:space="0" w:color="BEBEBE"/>
            </w:tcBorders>
          </w:tcPr>
          <w:p>
            <w:pPr>
              <w:rPr>
                <w:sz w:val="2"/>
                <w:szCs w:val="2"/>
              </w:rPr>
            </w:pPr>
          </w:p>
        </w:tc>
        <w:tc>
          <w:tcPr>
            <w:tcW w:w="2045" w:type="dxa"/>
            <w:tcBorders>
              <w:top w:val="single" w:sz="2" w:space="0" w:color="BEBEBE"/>
              <w:left w:val="single" w:sz="2" w:space="0" w:color="BEBEBE"/>
              <w:bottom w:val="single" w:sz="6" w:space="0" w:color="000000"/>
              <w:right w:val="single" w:sz="2" w:space="0" w:color="BEBEBE"/>
            </w:tcBorders>
            <w:shd w:val="clear" w:color="auto" w:fill="D9E1F3"/>
          </w:tcPr>
          <w:p>
            <w:pPr>
              <w:pStyle w:val="TableParagraph"/>
              <w:spacing w:line="226" w:lineRule="exact" w:before="14"/>
              <w:ind w:right="582"/>
              <w:jc w:val="right"/>
              <w:rPr>
                <w:b/>
                <w:sz w:val="20"/>
              </w:rPr>
            </w:pPr>
            <w:r>
              <w:rPr>
                <w:b/>
                <w:sz w:val="20"/>
              </w:rPr>
              <w:t>ACO</w:t>
            </w:r>
            <w:r>
              <w:rPr>
                <w:b/>
                <w:spacing w:val="-4"/>
                <w:sz w:val="20"/>
              </w:rPr>
              <w:t> </w:t>
            </w:r>
            <w:r>
              <w:rPr>
                <w:b/>
                <w:spacing w:val="-10"/>
                <w:sz w:val="20"/>
              </w:rPr>
              <w:t>B</w:t>
            </w:r>
          </w:p>
        </w:tc>
        <w:tc>
          <w:tcPr>
            <w:tcW w:w="843" w:type="dxa"/>
            <w:tcBorders>
              <w:top w:val="single" w:sz="2" w:space="0" w:color="BEBEBE"/>
              <w:left w:val="single" w:sz="2" w:space="0" w:color="BEBEBE"/>
              <w:bottom w:val="single" w:sz="6" w:space="0" w:color="000000"/>
              <w:right w:val="single" w:sz="2" w:space="0" w:color="BEBEBE"/>
            </w:tcBorders>
          </w:tcPr>
          <w:p>
            <w:pPr>
              <w:pStyle w:val="TableParagraph"/>
              <w:spacing w:line="226" w:lineRule="exact" w:before="14"/>
              <w:ind w:left="225" w:right="191"/>
              <w:jc w:val="center"/>
              <w:rPr>
                <w:sz w:val="20"/>
              </w:rPr>
            </w:pPr>
            <w:r>
              <w:rPr>
                <w:spacing w:val="-5"/>
                <w:sz w:val="20"/>
              </w:rPr>
              <w:t>89%</w:t>
            </w:r>
          </w:p>
        </w:tc>
        <w:tc>
          <w:tcPr>
            <w:tcW w:w="1009" w:type="dxa"/>
            <w:tcBorders>
              <w:top w:val="single" w:sz="2" w:space="0" w:color="BEBEBE"/>
              <w:left w:val="single" w:sz="2" w:space="0" w:color="BEBEBE"/>
              <w:bottom w:val="single" w:sz="6" w:space="0" w:color="000000"/>
              <w:right w:val="single" w:sz="2" w:space="0" w:color="BEBEBE"/>
            </w:tcBorders>
          </w:tcPr>
          <w:p>
            <w:pPr>
              <w:pStyle w:val="TableParagraph"/>
              <w:spacing w:line="226" w:lineRule="exact" w:before="14"/>
              <w:ind w:left="228" w:right="228"/>
              <w:jc w:val="center"/>
              <w:rPr>
                <w:sz w:val="20"/>
              </w:rPr>
            </w:pPr>
            <w:r>
              <w:rPr>
                <w:spacing w:val="-2"/>
                <w:sz w:val="20"/>
              </w:rPr>
              <w:t>87.0%</w:t>
            </w:r>
          </w:p>
        </w:tc>
        <w:tc>
          <w:tcPr>
            <w:tcW w:w="1424" w:type="dxa"/>
            <w:tcBorders>
              <w:top w:val="single" w:sz="2" w:space="0" w:color="BEBEBE"/>
              <w:left w:val="single" w:sz="2" w:space="0" w:color="BEBEBE"/>
              <w:bottom w:val="single" w:sz="6" w:space="0" w:color="000000"/>
              <w:right w:val="single" w:sz="2" w:space="0" w:color="BEBEBE"/>
            </w:tcBorders>
          </w:tcPr>
          <w:p>
            <w:pPr>
              <w:pStyle w:val="TableParagraph"/>
              <w:spacing w:line="226" w:lineRule="exact" w:before="14"/>
              <w:ind w:left="436" w:right="436"/>
              <w:jc w:val="center"/>
              <w:rPr>
                <w:sz w:val="20"/>
              </w:rPr>
            </w:pPr>
            <w:r>
              <w:rPr>
                <w:spacing w:val="-2"/>
                <w:sz w:val="20"/>
              </w:rPr>
              <w:t>89.0%</w:t>
            </w:r>
          </w:p>
        </w:tc>
        <w:tc>
          <w:tcPr>
            <w:tcW w:w="2022" w:type="dxa"/>
            <w:vMerge/>
            <w:tcBorders>
              <w:top w:val="nil"/>
              <w:left w:val="single" w:sz="2" w:space="0" w:color="BEBEBE"/>
              <w:right w:val="nil"/>
            </w:tcBorders>
          </w:tcPr>
          <w:p>
            <w:pPr>
              <w:rPr>
                <w:sz w:val="2"/>
                <w:szCs w:val="2"/>
              </w:rPr>
            </w:pPr>
          </w:p>
        </w:tc>
      </w:tr>
    </w:tbl>
    <w:p>
      <w:pPr>
        <w:spacing w:before="198"/>
        <w:ind w:left="1220" w:right="0" w:firstLine="0"/>
        <w:jc w:val="left"/>
        <w:rPr>
          <w:sz w:val="22"/>
        </w:rPr>
      </w:pPr>
      <w:bookmarkStart w:name="Improvement Points" w:id="1394"/>
      <w:bookmarkEnd w:id="1394"/>
      <w:r>
        <w:rPr/>
      </w:r>
      <w:r>
        <w:rPr>
          <w:color w:val="1F3762"/>
          <w:sz w:val="22"/>
        </w:rPr>
        <w:t>Improvement</w:t>
      </w:r>
      <w:r>
        <w:rPr>
          <w:color w:val="1F3762"/>
          <w:spacing w:val="-8"/>
          <w:sz w:val="22"/>
        </w:rPr>
        <w:t> </w:t>
      </w:r>
      <w:r>
        <w:rPr>
          <w:color w:val="1F3762"/>
          <w:spacing w:val="-2"/>
          <w:sz w:val="22"/>
        </w:rPr>
        <w:t>Points</w:t>
      </w:r>
    </w:p>
    <w:p>
      <w:pPr>
        <w:spacing w:before="2"/>
        <w:ind w:left="1220" w:right="0" w:firstLine="0"/>
        <w:jc w:val="left"/>
        <w:rPr>
          <w:sz w:val="22"/>
        </w:rPr>
      </w:pPr>
      <w:r>
        <w:rPr>
          <w:sz w:val="22"/>
        </w:rPr>
        <w:t>Improvement</w:t>
      </w:r>
      <w:r>
        <w:rPr>
          <w:spacing w:val="-4"/>
          <w:sz w:val="22"/>
        </w:rPr>
        <w:t> </w:t>
      </w:r>
      <w:r>
        <w:rPr>
          <w:sz w:val="22"/>
        </w:rPr>
        <w:t>point</w:t>
      </w:r>
      <w:r>
        <w:rPr>
          <w:spacing w:val="-2"/>
          <w:sz w:val="22"/>
        </w:rPr>
        <w:t> </w:t>
      </w:r>
      <w:r>
        <w:rPr>
          <w:sz w:val="22"/>
        </w:rPr>
        <w:t>calculation</w:t>
      </w:r>
      <w:r>
        <w:rPr>
          <w:spacing w:val="-3"/>
          <w:sz w:val="22"/>
        </w:rPr>
        <w:t> </w:t>
      </w:r>
      <w:r>
        <w:rPr>
          <w:sz w:val="22"/>
        </w:rPr>
        <w:t>for</w:t>
      </w:r>
      <w:r>
        <w:rPr>
          <w:spacing w:val="-2"/>
          <w:sz w:val="22"/>
        </w:rPr>
        <w:t> </w:t>
      </w:r>
      <w:r>
        <w:rPr>
          <w:sz w:val="22"/>
        </w:rPr>
        <w:t>BP2</w:t>
      </w:r>
      <w:r>
        <w:rPr>
          <w:spacing w:val="-6"/>
          <w:sz w:val="22"/>
        </w:rPr>
        <w:t> </w:t>
      </w:r>
      <w:r>
        <w:rPr>
          <w:sz w:val="22"/>
        </w:rPr>
        <w:t>and</w:t>
      </w:r>
      <w:r>
        <w:rPr>
          <w:spacing w:val="-3"/>
          <w:sz w:val="22"/>
        </w:rPr>
        <w:t> </w:t>
      </w:r>
      <w:r>
        <w:rPr>
          <w:sz w:val="22"/>
        </w:rPr>
        <w:t>BP3</w:t>
      </w:r>
      <w:r>
        <w:rPr>
          <w:spacing w:val="-6"/>
          <w:sz w:val="22"/>
        </w:rPr>
        <w:t> </w:t>
      </w:r>
      <w:r>
        <w:rPr>
          <w:sz w:val="22"/>
        </w:rPr>
        <w:t>is</w:t>
      </w:r>
      <w:r>
        <w:rPr>
          <w:spacing w:val="-2"/>
          <w:sz w:val="22"/>
        </w:rPr>
        <w:t> </w:t>
      </w:r>
      <w:r>
        <w:rPr>
          <w:sz w:val="22"/>
        </w:rPr>
        <w:t>determined</w:t>
      </w:r>
      <w:r>
        <w:rPr>
          <w:spacing w:val="-3"/>
          <w:sz w:val="22"/>
        </w:rPr>
        <w:t> </w:t>
      </w:r>
      <w:r>
        <w:rPr>
          <w:sz w:val="22"/>
        </w:rPr>
        <w:t>by</w:t>
      </w:r>
      <w:r>
        <w:rPr>
          <w:spacing w:val="-6"/>
          <w:sz w:val="22"/>
        </w:rPr>
        <w:t> </w:t>
      </w:r>
      <w:r>
        <w:rPr>
          <w:sz w:val="22"/>
        </w:rPr>
        <w:t>the</w:t>
      </w:r>
      <w:r>
        <w:rPr>
          <w:spacing w:val="-5"/>
          <w:sz w:val="22"/>
        </w:rPr>
        <w:t> </w:t>
      </w:r>
      <w:r>
        <w:rPr>
          <w:sz w:val="22"/>
        </w:rPr>
        <w:t>following</w:t>
      </w:r>
      <w:r>
        <w:rPr>
          <w:spacing w:val="-5"/>
          <w:sz w:val="22"/>
        </w:rPr>
        <w:t> </w:t>
      </w:r>
      <w:r>
        <w:rPr>
          <w:spacing w:val="-2"/>
          <w:sz w:val="22"/>
        </w:rPr>
        <w:t>methodology:</w:t>
      </w:r>
    </w:p>
    <w:p>
      <w:pPr>
        <w:spacing w:before="179"/>
        <w:ind w:left="1940" w:right="0" w:firstLine="0"/>
        <w:jc w:val="left"/>
        <w:rPr>
          <w:i/>
          <w:sz w:val="22"/>
        </w:rPr>
      </w:pPr>
      <w:r>
        <w:rPr>
          <w:i/>
          <w:sz w:val="22"/>
        </w:rPr>
        <w:t>Step</w:t>
      </w:r>
      <w:r>
        <w:rPr>
          <w:i/>
          <w:spacing w:val="-2"/>
          <w:sz w:val="22"/>
        </w:rPr>
        <w:t> </w:t>
      </w:r>
      <w:r>
        <w:rPr>
          <w:i/>
          <w:sz w:val="22"/>
        </w:rPr>
        <w:t>1: ACO</w:t>
      </w:r>
      <w:r>
        <w:rPr>
          <w:i/>
          <w:spacing w:val="-2"/>
          <w:sz w:val="22"/>
        </w:rPr>
        <w:t> Improvement</w:t>
      </w:r>
    </w:p>
    <w:p>
      <w:pPr>
        <w:pStyle w:val="ListParagraph"/>
        <w:numPr>
          <w:ilvl w:val="0"/>
          <w:numId w:val="91"/>
        </w:numPr>
        <w:tabs>
          <w:tab w:pos="2300" w:val="left" w:leader="none"/>
        </w:tabs>
        <w:spacing w:line="256" w:lineRule="auto" w:before="181" w:after="0"/>
        <w:ind w:left="2300" w:right="1470" w:hanging="361"/>
        <w:jc w:val="left"/>
        <w:rPr>
          <w:sz w:val="22"/>
        </w:rPr>
      </w:pPr>
      <w:r>
        <w:rPr>
          <w:sz w:val="22"/>
        </w:rPr>
        <w:t>For</w:t>
      </w:r>
      <w:r>
        <w:rPr>
          <w:spacing w:val="-2"/>
          <w:sz w:val="22"/>
        </w:rPr>
        <w:t> </w:t>
      </w:r>
      <w:r>
        <w:rPr>
          <w:sz w:val="22"/>
        </w:rPr>
        <w:t>each</w:t>
      </w:r>
      <w:r>
        <w:rPr>
          <w:spacing w:val="-3"/>
          <w:sz w:val="22"/>
        </w:rPr>
        <w:t> </w:t>
      </w:r>
      <w:r>
        <w:rPr>
          <w:sz w:val="22"/>
        </w:rPr>
        <w:t>composite</w:t>
      </w:r>
      <w:r>
        <w:rPr>
          <w:spacing w:val="-3"/>
          <w:sz w:val="22"/>
        </w:rPr>
        <w:t> </w:t>
      </w:r>
      <w:r>
        <w:rPr>
          <w:sz w:val="22"/>
        </w:rPr>
        <w:t>within</w:t>
      </w:r>
      <w:r>
        <w:rPr>
          <w:spacing w:val="-5"/>
          <w:sz w:val="22"/>
        </w:rPr>
        <w:t> </w:t>
      </w:r>
      <w:r>
        <w:rPr>
          <w:sz w:val="22"/>
        </w:rPr>
        <w:t>a</w:t>
      </w:r>
      <w:r>
        <w:rPr>
          <w:spacing w:val="-3"/>
          <w:sz w:val="22"/>
        </w:rPr>
        <w:t> </w:t>
      </w:r>
      <w:r>
        <w:rPr>
          <w:sz w:val="22"/>
        </w:rPr>
        <w:t>domain,</w:t>
      </w:r>
      <w:r>
        <w:rPr>
          <w:spacing w:val="-3"/>
          <w:sz w:val="22"/>
        </w:rPr>
        <w:t> </w:t>
      </w:r>
      <w:r>
        <w:rPr>
          <w:sz w:val="22"/>
        </w:rPr>
        <w:t>compare</w:t>
      </w:r>
      <w:r>
        <w:rPr>
          <w:spacing w:val="-3"/>
          <w:sz w:val="22"/>
        </w:rPr>
        <w:t> </w:t>
      </w:r>
      <w:r>
        <w:rPr>
          <w:sz w:val="22"/>
        </w:rPr>
        <w:t>ACO</w:t>
      </w:r>
      <w:r>
        <w:rPr>
          <w:spacing w:val="-3"/>
          <w:sz w:val="22"/>
        </w:rPr>
        <w:t> </w:t>
      </w:r>
      <w:r>
        <w:rPr>
          <w:sz w:val="22"/>
        </w:rPr>
        <w:t>BP1</w:t>
      </w:r>
      <w:r>
        <w:rPr>
          <w:spacing w:val="-3"/>
          <w:sz w:val="22"/>
        </w:rPr>
        <w:t> </w:t>
      </w:r>
      <w:r>
        <w:rPr>
          <w:sz w:val="22"/>
        </w:rPr>
        <w:t>actual</w:t>
      </w:r>
      <w:r>
        <w:rPr>
          <w:spacing w:val="-4"/>
          <w:sz w:val="22"/>
        </w:rPr>
        <w:t> </w:t>
      </w:r>
      <w:r>
        <w:rPr>
          <w:sz w:val="22"/>
        </w:rPr>
        <w:t>rates</w:t>
      </w:r>
      <w:r>
        <w:rPr>
          <w:spacing w:val="-4"/>
          <w:sz w:val="22"/>
        </w:rPr>
        <w:t> </w:t>
      </w:r>
      <w:r>
        <w:rPr>
          <w:sz w:val="22"/>
        </w:rPr>
        <w:t>to</w:t>
      </w:r>
      <w:r>
        <w:rPr>
          <w:spacing w:val="-3"/>
          <w:sz w:val="22"/>
        </w:rPr>
        <w:t> </w:t>
      </w:r>
      <w:r>
        <w:rPr>
          <w:sz w:val="22"/>
        </w:rPr>
        <w:t>BP2</w:t>
      </w:r>
      <w:r>
        <w:rPr>
          <w:spacing w:val="-5"/>
          <w:sz w:val="22"/>
        </w:rPr>
        <w:t> </w:t>
      </w:r>
      <w:r>
        <w:rPr>
          <w:sz w:val="22"/>
        </w:rPr>
        <w:t>performance </w:t>
      </w:r>
      <w:r>
        <w:rPr>
          <w:spacing w:val="-2"/>
          <w:sz w:val="22"/>
        </w:rPr>
        <w:t>rates</w:t>
      </w:r>
    </w:p>
    <w:p>
      <w:pPr>
        <w:pStyle w:val="ListParagraph"/>
        <w:numPr>
          <w:ilvl w:val="1"/>
          <w:numId w:val="91"/>
        </w:numPr>
        <w:tabs>
          <w:tab w:pos="3020" w:val="left" w:leader="none"/>
        </w:tabs>
        <w:spacing w:line="249" w:lineRule="auto" w:before="2" w:after="0"/>
        <w:ind w:left="3020" w:right="2000" w:hanging="360"/>
        <w:jc w:val="left"/>
        <w:rPr>
          <w:sz w:val="22"/>
        </w:rPr>
      </w:pPr>
      <w:r>
        <w:rPr>
          <w:sz w:val="22"/>
        </w:rPr>
        <w:t>For</w:t>
      </w:r>
      <w:r>
        <w:rPr>
          <w:spacing w:val="-3"/>
          <w:sz w:val="22"/>
        </w:rPr>
        <w:t> </w:t>
      </w:r>
      <w:r>
        <w:rPr>
          <w:sz w:val="22"/>
        </w:rPr>
        <w:t>composites</w:t>
      </w:r>
      <w:r>
        <w:rPr>
          <w:spacing w:val="-4"/>
          <w:sz w:val="22"/>
        </w:rPr>
        <w:t> </w:t>
      </w:r>
      <w:r>
        <w:rPr>
          <w:sz w:val="22"/>
        </w:rPr>
        <w:t>where</w:t>
      </w:r>
      <w:r>
        <w:rPr>
          <w:spacing w:val="-6"/>
          <w:sz w:val="22"/>
        </w:rPr>
        <w:t> </w:t>
      </w:r>
      <w:r>
        <w:rPr>
          <w:sz w:val="22"/>
        </w:rPr>
        <w:t>an</w:t>
      </w:r>
      <w:r>
        <w:rPr>
          <w:spacing w:val="-4"/>
          <w:sz w:val="22"/>
        </w:rPr>
        <w:t> </w:t>
      </w:r>
      <w:r>
        <w:rPr>
          <w:sz w:val="22"/>
        </w:rPr>
        <w:t>ACO</w:t>
      </w:r>
      <w:r>
        <w:rPr>
          <w:spacing w:val="-5"/>
          <w:sz w:val="22"/>
        </w:rPr>
        <w:t> </w:t>
      </w:r>
      <w:r>
        <w:rPr>
          <w:sz w:val="22"/>
        </w:rPr>
        <w:t>demonstrates</w:t>
      </w:r>
      <w:r>
        <w:rPr>
          <w:spacing w:val="-6"/>
          <w:sz w:val="22"/>
        </w:rPr>
        <w:t> </w:t>
      </w:r>
      <w:r>
        <w:rPr>
          <w:sz w:val="22"/>
        </w:rPr>
        <w:t>improvement</w:t>
      </w:r>
      <w:r>
        <w:rPr>
          <w:spacing w:val="-3"/>
          <w:sz w:val="22"/>
        </w:rPr>
        <w:t> </w:t>
      </w:r>
      <w:r>
        <w:rPr>
          <w:sz w:val="22"/>
        </w:rPr>
        <w:t>(i.e.,</w:t>
      </w:r>
      <w:r>
        <w:rPr>
          <w:spacing w:val="-7"/>
          <w:sz w:val="22"/>
        </w:rPr>
        <w:t> </w:t>
      </w:r>
      <w:r>
        <w:rPr>
          <w:sz w:val="22"/>
        </w:rPr>
        <w:t>reaches</w:t>
      </w:r>
      <w:r>
        <w:rPr>
          <w:spacing w:val="-4"/>
          <w:sz w:val="22"/>
        </w:rPr>
        <w:t> </w:t>
      </w:r>
      <w:r>
        <w:rPr>
          <w:sz w:val="22"/>
        </w:rPr>
        <w:t>the improvement target), the ACO earns improvement points</w:t>
      </w:r>
    </w:p>
    <w:p>
      <w:pPr>
        <w:pStyle w:val="ListParagraph"/>
        <w:numPr>
          <w:ilvl w:val="1"/>
          <w:numId w:val="91"/>
        </w:numPr>
        <w:tabs>
          <w:tab w:pos="3020" w:val="left" w:leader="none"/>
        </w:tabs>
        <w:spacing w:line="249" w:lineRule="auto" w:before="7" w:after="0"/>
        <w:ind w:left="3020" w:right="1611" w:hanging="361"/>
        <w:jc w:val="left"/>
        <w:rPr>
          <w:sz w:val="22"/>
        </w:rPr>
      </w:pPr>
      <w:r>
        <w:rPr>
          <w:sz w:val="22"/>
        </w:rPr>
        <w:t>For</w:t>
      </w:r>
      <w:r>
        <w:rPr>
          <w:spacing w:val="-2"/>
          <w:sz w:val="22"/>
        </w:rPr>
        <w:t> </w:t>
      </w:r>
      <w:r>
        <w:rPr>
          <w:sz w:val="22"/>
        </w:rPr>
        <w:t>composites</w:t>
      </w:r>
      <w:r>
        <w:rPr>
          <w:spacing w:val="-3"/>
          <w:sz w:val="22"/>
        </w:rPr>
        <w:t> </w:t>
      </w:r>
      <w:r>
        <w:rPr>
          <w:sz w:val="22"/>
        </w:rPr>
        <w:t>where</w:t>
      </w:r>
      <w:r>
        <w:rPr>
          <w:spacing w:val="-5"/>
          <w:sz w:val="22"/>
        </w:rPr>
        <w:t> </w:t>
      </w:r>
      <w:r>
        <w:rPr>
          <w:sz w:val="22"/>
        </w:rPr>
        <w:t>an</w:t>
      </w:r>
      <w:r>
        <w:rPr>
          <w:spacing w:val="-3"/>
          <w:sz w:val="22"/>
        </w:rPr>
        <w:t> </w:t>
      </w:r>
      <w:r>
        <w:rPr>
          <w:sz w:val="22"/>
        </w:rPr>
        <w:t>ACO</w:t>
      </w:r>
      <w:r>
        <w:rPr>
          <w:spacing w:val="-4"/>
          <w:sz w:val="22"/>
        </w:rPr>
        <w:t> </w:t>
      </w:r>
      <w:r>
        <w:rPr>
          <w:sz w:val="22"/>
        </w:rPr>
        <w:t>fails</w:t>
      </w:r>
      <w:r>
        <w:rPr>
          <w:spacing w:val="-5"/>
          <w:sz w:val="22"/>
        </w:rPr>
        <w:t> </w:t>
      </w:r>
      <w:r>
        <w:rPr>
          <w:sz w:val="22"/>
        </w:rPr>
        <w:t>to</w:t>
      </w:r>
      <w:r>
        <w:rPr>
          <w:spacing w:val="-3"/>
          <w:sz w:val="22"/>
        </w:rPr>
        <w:t> </w:t>
      </w:r>
      <w:r>
        <w:rPr>
          <w:sz w:val="22"/>
        </w:rPr>
        <w:t>demonstrate</w:t>
      </w:r>
      <w:r>
        <w:rPr>
          <w:spacing w:val="-3"/>
          <w:sz w:val="22"/>
        </w:rPr>
        <w:t> </w:t>
      </w:r>
      <w:r>
        <w:rPr>
          <w:sz w:val="22"/>
        </w:rPr>
        <w:t>improvement,</w:t>
      </w:r>
      <w:r>
        <w:rPr>
          <w:spacing w:val="-3"/>
          <w:sz w:val="22"/>
        </w:rPr>
        <w:t> </w:t>
      </w:r>
      <w:r>
        <w:rPr>
          <w:sz w:val="22"/>
        </w:rPr>
        <w:t>then</w:t>
      </w:r>
      <w:r>
        <w:rPr>
          <w:spacing w:val="-3"/>
          <w:sz w:val="22"/>
        </w:rPr>
        <w:t> </w:t>
      </w:r>
      <w:r>
        <w:rPr>
          <w:sz w:val="22"/>
        </w:rPr>
        <w:t>Step</w:t>
      </w:r>
      <w:r>
        <w:rPr>
          <w:spacing w:val="-6"/>
          <w:sz w:val="22"/>
        </w:rPr>
        <w:t> </w:t>
      </w:r>
      <w:r>
        <w:rPr>
          <w:sz w:val="22"/>
        </w:rPr>
        <w:t>2</w:t>
      </w:r>
      <w:r>
        <w:rPr>
          <w:spacing w:val="-3"/>
          <w:sz w:val="22"/>
        </w:rPr>
        <w:t> </w:t>
      </w:r>
      <w:r>
        <w:rPr>
          <w:sz w:val="22"/>
        </w:rPr>
        <w:t>is </w:t>
      </w:r>
      <w:r>
        <w:rPr>
          <w:spacing w:val="-2"/>
          <w:sz w:val="22"/>
        </w:rPr>
        <w:t>implemented</w:t>
      </w:r>
    </w:p>
    <w:p>
      <w:pPr>
        <w:spacing w:before="170"/>
        <w:ind w:left="1940" w:right="0" w:firstLine="0"/>
        <w:jc w:val="left"/>
        <w:rPr>
          <w:i/>
          <w:sz w:val="22"/>
        </w:rPr>
      </w:pPr>
      <w:r>
        <w:rPr>
          <w:i/>
          <w:sz w:val="22"/>
        </w:rPr>
        <w:t>Step</w:t>
      </w:r>
      <w:r>
        <w:rPr>
          <w:i/>
          <w:spacing w:val="-3"/>
          <w:sz w:val="22"/>
        </w:rPr>
        <w:t> </w:t>
      </w:r>
      <w:r>
        <w:rPr>
          <w:i/>
          <w:sz w:val="22"/>
        </w:rPr>
        <w:t>2:</w:t>
      </w:r>
      <w:r>
        <w:rPr>
          <w:i/>
          <w:spacing w:val="-3"/>
          <w:sz w:val="22"/>
        </w:rPr>
        <w:t> </w:t>
      </w:r>
      <w:r>
        <w:rPr>
          <w:i/>
          <w:sz w:val="22"/>
        </w:rPr>
        <w:t>Statewide</w:t>
      </w:r>
      <w:r>
        <w:rPr>
          <w:i/>
          <w:spacing w:val="-2"/>
          <w:sz w:val="22"/>
        </w:rPr>
        <w:t> Improvement</w:t>
      </w:r>
    </w:p>
    <w:p>
      <w:pPr>
        <w:pStyle w:val="ListParagraph"/>
        <w:numPr>
          <w:ilvl w:val="0"/>
          <w:numId w:val="92"/>
        </w:numPr>
        <w:tabs>
          <w:tab w:pos="2299" w:val="left" w:leader="none"/>
        </w:tabs>
        <w:spacing w:line="259" w:lineRule="auto" w:before="181" w:after="0"/>
        <w:ind w:left="2299" w:right="1157" w:hanging="360"/>
        <w:jc w:val="left"/>
        <w:rPr>
          <w:sz w:val="22"/>
        </w:rPr>
      </w:pPr>
      <w:r>
        <w:rPr>
          <w:sz w:val="22"/>
        </w:rPr>
        <w:t>If the State sets individual ACOs’ BP2 and BP3 performance rates to be the higher of their actual BP1 or BP2 rates, then for each composite within a domain, compare BP1 statewide median rates to BP2 statewide median rates.</w:t>
      </w:r>
      <w:r>
        <w:rPr>
          <w:spacing w:val="40"/>
          <w:sz w:val="22"/>
        </w:rPr>
        <w:t> </w:t>
      </w:r>
      <w:r>
        <w:rPr>
          <w:sz w:val="22"/>
        </w:rPr>
        <w:t>If the State sets ACOs’ BP2 and BP3 performance rates to be the higher of their BP2 or BP3 actual rates, then for each composite within</w:t>
      </w:r>
      <w:r>
        <w:rPr>
          <w:spacing w:val="-2"/>
          <w:sz w:val="22"/>
        </w:rPr>
        <w:t> </w:t>
      </w:r>
      <w:r>
        <w:rPr>
          <w:sz w:val="22"/>
        </w:rPr>
        <w:t>a</w:t>
      </w:r>
      <w:r>
        <w:rPr>
          <w:spacing w:val="-2"/>
          <w:sz w:val="22"/>
        </w:rPr>
        <w:t> </w:t>
      </w:r>
      <w:r>
        <w:rPr>
          <w:sz w:val="22"/>
        </w:rPr>
        <w:t>domain,</w:t>
      </w:r>
      <w:r>
        <w:rPr>
          <w:spacing w:val="-2"/>
          <w:sz w:val="22"/>
        </w:rPr>
        <w:t> </w:t>
      </w:r>
      <w:r>
        <w:rPr>
          <w:sz w:val="22"/>
        </w:rPr>
        <w:t>compare</w:t>
      </w:r>
      <w:r>
        <w:rPr>
          <w:spacing w:val="-4"/>
          <w:sz w:val="22"/>
        </w:rPr>
        <w:t> </w:t>
      </w:r>
      <w:r>
        <w:rPr>
          <w:sz w:val="22"/>
        </w:rPr>
        <w:t>BP1</w:t>
      </w:r>
      <w:r>
        <w:rPr>
          <w:spacing w:val="-2"/>
          <w:sz w:val="22"/>
        </w:rPr>
        <w:t> </w:t>
      </w:r>
      <w:r>
        <w:rPr>
          <w:sz w:val="22"/>
        </w:rPr>
        <w:t>statewide</w:t>
      </w:r>
      <w:r>
        <w:rPr>
          <w:spacing w:val="-2"/>
          <w:sz w:val="22"/>
        </w:rPr>
        <w:t> </w:t>
      </w:r>
      <w:r>
        <w:rPr>
          <w:sz w:val="22"/>
        </w:rPr>
        <w:t>median</w:t>
      </w:r>
      <w:r>
        <w:rPr>
          <w:spacing w:val="-5"/>
          <w:sz w:val="22"/>
        </w:rPr>
        <w:t> </w:t>
      </w:r>
      <w:r>
        <w:rPr>
          <w:sz w:val="22"/>
        </w:rPr>
        <w:t>rates</w:t>
      </w:r>
      <w:r>
        <w:rPr>
          <w:spacing w:val="-4"/>
          <w:sz w:val="22"/>
        </w:rPr>
        <w:t> </w:t>
      </w:r>
      <w:r>
        <w:rPr>
          <w:sz w:val="22"/>
        </w:rPr>
        <w:t>to</w:t>
      </w:r>
      <w:r>
        <w:rPr>
          <w:spacing w:val="-2"/>
          <w:sz w:val="22"/>
        </w:rPr>
        <w:t> </w:t>
      </w:r>
      <w:r>
        <w:rPr>
          <w:sz w:val="22"/>
        </w:rPr>
        <w:t>the</w:t>
      </w:r>
      <w:r>
        <w:rPr>
          <w:spacing w:val="-2"/>
          <w:sz w:val="22"/>
        </w:rPr>
        <w:t> </w:t>
      </w:r>
      <w:r>
        <w:rPr>
          <w:sz w:val="22"/>
        </w:rPr>
        <w:t>higher</w:t>
      </w:r>
      <w:r>
        <w:rPr>
          <w:spacing w:val="-1"/>
          <w:sz w:val="22"/>
        </w:rPr>
        <w:t> </w:t>
      </w:r>
      <w:r>
        <w:rPr>
          <w:sz w:val="22"/>
        </w:rPr>
        <w:t>of</w:t>
      </w:r>
      <w:r>
        <w:rPr>
          <w:spacing w:val="-4"/>
          <w:sz w:val="22"/>
        </w:rPr>
        <w:t> </w:t>
      </w:r>
      <w:r>
        <w:rPr>
          <w:sz w:val="22"/>
        </w:rPr>
        <w:t>BP2</w:t>
      </w:r>
      <w:r>
        <w:rPr>
          <w:spacing w:val="-2"/>
          <w:sz w:val="22"/>
        </w:rPr>
        <w:t> </w:t>
      </w:r>
      <w:r>
        <w:rPr>
          <w:sz w:val="22"/>
        </w:rPr>
        <w:t>statewide</w:t>
      </w:r>
      <w:r>
        <w:rPr>
          <w:spacing w:val="-2"/>
          <w:sz w:val="22"/>
        </w:rPr>
        <w:t> </w:t>
      </w:r>
      <w:r>
        <w:rPr>
          <w:sz w:val="22"/>
        </w:rPr>
        <w:t>median rates or BP3 statewide median rates.</w:t>
      </w:r>
    </w:p>
    <w:p>
      <w:pPr>
        <w:pStyle w:val="ListParagraph"/>
        <w:numPr>
          <w:ilvl w:val="1"/>
          <w:numId w:val="92"/>
        </w:numPr>
        <w:tabs>
          <w:tab w:pos="3019" w:val="left" w:leader="none"/>
        </w:tabs>
        <w:spacing w:line="249" w:lineRule="auto" w:before="0" w:after="0"/>
        <w:ind w:left="3019" w:right="1965" w:hanging="360"/>
        <w:jc w:val="left"/>
        <w:rPr>
          <w:sz w:val="22"/>
        </w:rPr>
      </w:pPr>
      <w:r>
        <w:rPr>
          <w:sz w:val="22"/>
        </w:rPr>
        <w:t>For</w:t>
      </w:r>
      <w:r>
        <w:rPr>
          <w:spacing w:val="-3"/>
          <w:sz w:val="22"/>
        </w:rPr>
        <w:t> </w:t>
      </w:r>
      <w:r>
        <w:rPr>
          <w:sz w:val="22"/>
        </w:rPr>
        <w:t>composites</w:t>
      </w:r>
      <w:r>
        <w:rPr>
          <w:spacing w:val="-4"/>
          <w:sz w:val="22"/>
        </w:rPr>
        <w:t> </w:t>
      </w:r>
      <w:r>
        <w:rPr>
          <w:sz w:val="22"/>
        </w:rPr>
        <w:t>where</w:t>
      </w:r>
      <w:r>
        <w:rPr>
          <w:spacing w:val="-6"/>
          <w:sz w:val="22"/>
        </w:rPr>
        <w:t> </w:t>
      </w:r>
      <w:r>
        <w:rPr>
          <w:sz w:val="22"/>
        </w:rPr>
        <w:t>the</w:t>
      </w:r>
      <w:r>
        <w:rPr>
          <w:spacing w:val="-6"/>
          <w:sz w:val="22"/>
        </w:rPr>
        <w:t> </w:t>
      </w:r>
      <w:r>
        <w:rPr>
          <w:sz w:val="22"/>
        </w:rPr>
        <w:t>State</w:t>
      </w:r>
      <w:r>
        <w:rPr>
          <w:spacing w:val="-4"/>
          <w:sz w:val="22"/>
        </w:rPr>
        <w:t> </w:t>
      </w:r>
      <w:r>
        <w:rPr>
          <w:sz w:val="22"/>
        </w:rPr>
        <w:t>demonstrates</w:t>
      </w:r>
      <w:r>
        <w:rPr>
          <w:spacing w:val="-6"/>
          <w:sz w:val="22"/>
        </w:rPr>
        <w:t> </w:t>
      </w:r>
      <w:r>
        <w:rPr>
          <w:sz w:val="22"/>
        </w:rPr>
        <w:t>improvement</w:t>
      </w:r>
      <w:r>
        <w:rPr>
          <w:spacing w:val="-3"/>
          <w:sz w:val="22"/>
        </w:rPr>
        <w:t> </w:t>
      </w:r>
      <w:r>
        <w:rPr>
          <w:sz w:val="22"/>
        </w:rPr>
        <w:t>(i.e.,</w:t>
      </w:r>
      <w:r>
        <w:rPr>
          <w:spacing w:val="-7"/>
          <w:sz w:val="22"/>
        </w:rPr>
        <w:t> </w:t>
      </w:r>
      <w:r>
        <w:rPr>
          <w:sz w:val="22"/>
        </w:rPr>
        <w:t>reaches</w:t>
      </w:r>
      <w:r>
        <w:rPr>
          <w:spacing w:val="-4"/>
          <w:sz w:val="22"/>
        </w:rPr>
        <w:t> </w:t>
      </w:r>
      <w:r>
        <w:rPr>
          <w:sz w:val="22"/>
        </w:rPr>
        <w:t>the improvement target), the ACO earns improvement points</w:t>
      </w:r>
    </w:p>
    <w:p>
      <w:pPr>
        <w:pStyle w:val="ListParagraph"/>
        <w:numPr>
          <w:ilvl w:val="1"/>
          <w:numId w:val="92"/>
        </w:numPr>
        <w:tabs>
          <w:tab w:pos="3019" w:val="left" w:leader="none"/>
        </w:tabs>
        <w:spacing w:line="249" w:lineRule="auto" w:before="3" w:after="0"/>
        <w:ind w:left="3019" w:right="1216" w:hanging="361"/>
        <w:jc w:val="left"/>
        <w:rPr>
          <w:sz w:val="22"/>
        </w:rPr>
      </w:pPr>
      <w:r>
        <w:rPr>
          <w:sz w:val="22"/>
        </w:rPr>
        <w:t>For</w:t>
      </w:r>
      <w:r>
        <w:rPr>
          <w:spacing w:val="-2"/>
          <w:sz w:val="22"/>
        </w:rPr>
        <w:t> </w:t>
      </w:r>
      <w:r>
        <w:rPr>
          <w:sz w:val="22"/>
        </w:rPr>
        <w:t>composites</w:t>
      </w:r>
      <w:r>
        <w:rPr>
          <w:spacing w:val="-3"/>
          <w:sz w:val="22"/>
        </w:rPr>
        <w:t> </w:t>
      </w:r>
      <w:r>
        <w:rPr>
          <w:sz w:val="22"/>
        </w:rPr>
        <w:t>where</w:t>
      </w:r>
      <w:r>
        <w:rPr>
          <w:spacing w:val="-5"/>
          <w:sz w:val="22"/>
        </w:rPr>
        <w:t> </w:t>
      </w:r>
      <w:r>
        <w:rPr>
          <w:sz w:val="22"/>
        </w:rPr>
        <w:t>the</w:t>
      </w:r>
      <w:r>
        <w:rPr>
          <w:spacing w:val="-5"/>
          <w:sz w:val="22"/>
        </w:rPr>
        <w:t> </w:t>
      </w:r>
      <w:r>
        <w:rPr>
          <w:sz w:val="22"/>
        </w:rPr>
        <w:t>State</w:t>
      </w:r>
      <w:r>
        <w:rPr>
          <w:spacing w:val="-3"/>
          <w:sz w:val="22"/>
        </w:rPr>
        <w:t> </w:t>
      </w:r>
      <w:r>
        <w:rPr>
          <w:sz w:val="22"/>
        </w:rPr>
        <w:t>fails</w:t>
      </w:r>
      <w:r>
        <w:rPr>
          <w:spacing w:val="-5"/>
          <w:sz w:val="22"/>
        </w:rPr>
        <w:t> </w:t>
      </w:r>
      <w:r>
        <w:rPr>
          <w:sz w:val="22"/>
        </w:rPr>
        <w:t>to</w:t>
      </w:r>
      <w:r>
        <w:rPr>
          <w:spacing w:val="-3"/>
          <w:sz w:val="22"/>
        </w:rPr>
        <w:t> </w:t>
      </w:r>
      <w:r>
        <w:rPr>
          <w:sz w:val="22"/>
        </w:rPr>
        <w:t>demonstrate</w:t>
      </w:r>
      <w:r>
        <w:rPr>
          <w:spacing w:val="-3"/>
          <w:sz w:val="22"/>
        </w:rPr>
        <w:t> </w:t>
      </w:r>
      <w:r>
        <w:rPr>
          <w:sz w:val="22"/>
        </w:rPr>
        <w:t>targeted</w:t>
      </w:r>
      <w:r>
        <w:rPr>
          <w:spacing w:val="-3"/>
          <w:sz w:val="22"/>
        </w:rPr>
        <w:t> </w:t>
      </w:r>
      <w:r>
        <w:rPr>
          <w:sz w:val="22"/>
        </w:rPr>
        <w:t>improvement,</w:t>
      </w:r>
      <w:r>
        <w:rPr>
          <w:spacing w:val="-3"/>
          <w:sz w:val="22"/>
        </w:rPr>
        <w:t> </w:t>
      </w:r>
      <w:r>
        <w:rPr>
          <w:sz w:val="22"/>
        </w:rPr>
        <w:t>the</w:t>
      </w:r>
      <w:r>
        <w:rPr>
          <w:spacing w:val="-3"/>
          <w:sz w:val="22"/>
        </w:rPr>
        <w:t> </w:t>
      </w:r>
      <w:r>
        <w:rPr>
          <w:sz w:val="22"/>
        </w:rPr>
        <w:t>ACO does not earn improvement points</w:t>
      </w:r>
    </w:p>
    <w:p>
      <w:pPr>
        <w:spacing w:line="276" w:lineRule="auto" w:before="11"/>
        <w:ind w:left="2299" w:right="1178" w:firstLine="0"/>
        <w:jc w:val="left"/>
        <w:rPr>
          <w:sz w:val="22"/>
        </w:rPr>
      </w:pPr>
      <w:r>
        <w:rPr>
          <w:sz w:val="22"/>
        </w:rPr>
        <w:t>Note: In order to prevent such cases where an ACO’s performance would improve excessively</w:t>
      </w:r>
      <w:r>
        <w:rPr>
          <w:spacing w:val="-5"/>
          <w:sz w:val="22"/>
        </w:rPr>
        <w:t> </w:t>
      </w:r>
      <w:r>
        <w:rPr>
          <w:sz w:val="22"/>
        </w:rPr>
        <w:t>through</w:t>
      </w:r>
      <w:r>
        <w:rPr>
          <w:spacing w:val="-2"/>
          <w:sz w:val="22"/>
        </w:rPr>
        <w:t> </w:t>
      </w:r>
      <w:r>
        <w:rPr>
          <w:sz w:val="22"/>
        </w:rPr>
        <w:t>the</w:t>
      </w:r>
      <w:r>
        <w:rPr>
          <w:spacing w:val="-4"/>
          <w:sz w:val="22"/>
        </w:rPr>
        <w:t> </w:t>
      </w:r>
      <w:r>
        <w:rPr>
          <w:sz w:val="22"/>
        </w:rPr>
        <w:t>use</w:t>
      </w:r>
      <w:r>
        <w:rPr>
          <w:spacing w:val="-4"/>
          <w:sz w:val="22"/>
        </w:rPr>
        <w:t> </w:t>
      </w:r>
      <w:r>
        <w:rPr>
          <w:sz w:val="22"/>
        </w:rPr>
        <w:t>of</w:t>
      </w:r>
      <w:r>
        <w:rPr>
          <w:spacing w:val="-1"/>
          <w:sz w:val="22"/>
        </w:rPr>
        <w:t> </w:t>
      </w:r>
      <w:r>
        <w:rPr>
          <w:sz w:val="22"/>
        </w:rPr>
        <w:t>the</w:t>
      </w:r>
      <w:r>
        <w:rPr>
          <w:spacing w:val="-2"/>
          <w:sz w:val="22"/>
        </w:rPr>
        <w:t> </w:t>
      </w:r>
      <w:r>
        <w:rPr>
          <w:sz w:val="22"/>
        </w:rPr>
        <w:t>statewide</w:t>
      </w:r>
      <w:r>
        <w:rPr>
          <w:spacing w:val="-2"/>
          <w:sz w:val="22"/>
        </w:rPr>
        <w:t> </w:t>
      </w:r>
      <w:r>
        <w:rPr>
          <w:sz w:val="22"/>
        </w:rPr>
        <w:t>median,</w:t>
      </w:r>
      <w:r>
        <w:rPr>
          <w:spacing w:val="-5"/>
          <w:sz w:val="22"/>
        </w:rPr>
        <w:t> </w:t>
      </w:r>
      <w:r>
        <w:rPr>
          <w:sz w:val="22"/>
        </w:rPr>
        <w:t>the</w:t>
      </w:r>
      <w:r>
        <w:rPr>
          <w:spacing w:val="-2"/>
          <w:sz w:val="22"/>
        </w:rPr>
        <w:t> </w:t>
      </w:r>
      <w:r>
        <w:rPr>
          <w:sz w:val="22"/>
        </w:rPr>
        <w:t>number</w:t>
      </w:r>
      <w:r>
        <w:rPr>
          <w:spacing w:val="-1"/>
          <w:sz w:val="22"/>
        </w:rPr>
        <w:t> </w:t>
      </w:r>
      <w:r>
        <w:rPr>
          <w:sz w:val="22"/>
        </w:rPr>
        <w:t>of</w:t>
      </w:r>
      <w:r>
        <w:rPr>
          <w:spacing w:val="-1"/>
          <w:sz w:val="22"/>
        </w:rPr>
        <w:t> </w:t>
      </w:r>
      <w:r>
        <w:rPr>
          <w:sz w:val="22"/>
        </w:rPr>
        <w:t>composites</w:t>
      </w:r>
      <w:r>
        <w:rPr>
          <w:spacing w:val="-2"/>
          <w:sz w:val="22"/>
        </w:rPr>
        <w:t> </w:t>
      </w:r>
      <w:r>
        <w:rPr>
          <w:sz w:val="22"/>
        </w:rPr>
        <w:t>by</w:t>
      </w:r>
      <w:r>
        <w:rPr>
          <w:spacing w:val="-5"/>
          <w:sz w:val="22"/>
        </w:rPr>
        <w:t> </w:t>
      </w:r>
      <w:r>
        <w:rPr>
          <w:sz w:val="22"/>
        </w:rPr>
        <w:t>which</w:t>
      </w:r>
      <w:r>
        <w:rPr>
          <w:spacing w:val="-2"/>
          <w:sz w:val="22"/>
        </w:rPr>
        <w:t> </w:t>
      </w:r>
      <w:r>
        <w:rPr>
          <w:sz w:val="22"/>
        </w:rPr>
        <w:t>an ACO may use Step 2.a.i to earn improvement points is capped at one</w:t>
      </w:r>
    </w:p>
    <w:p>
      <w:pPr>
        <w:spacing w:after="0" w:line="276" w:lineRule="auto"/>
        <w:jc w:val="left"/>
        <w:rPr>
          <w:sz w:val="22"/>
        </w:rPr>
        <w:sectPr>
          <w:pgSz w:w="12240" w:h="15840"/>
          <w:pgMar w:header="0" w:footer="967" w:top="1360" w:bottom="1160" w:left="220" w:right="340"/>
        </w:sectPr>
      </w:pPr>
    </w:p>
    <w:p>
      <w:pPr>
        <w:spacing w:before="78"/>
        <w:ind w:left="1219" w:right="0" w:firstLine="0"/>
        <w:jc w:val="left"/>
        <w:rPr>
          <w:sz w:val="22"/>
        </w:rPr>
      </w:pPr>
      <w:bookmarkStart w:name="EXHIBIT 39 - Example of Improvement Poin" w:id="1395"/>
      <w:bookmarkEnd w:id="1395"/>
      <w:r>
        <w:rPr/>
      </w:r>
      <w:r>
        <w:rPr>
          <w:sz w:val="22"/>
        </w:rPr>
        <w:t>EXHIBIT</w:t>
      </w:r>
      <w:r>
        <w:rPr>
          <w:spacing w:val="-3"/>
          <w:sz w:val="22"/>
        </w:rPr>
        <w:t> </w:t>
      </w:r>
      <w:r>
        <w:rPr>
          <w:sz w:val="22"/>
        </w:rPr>
        <w:t>39</w:t>
      </w:r>
      <w:r>
        <w:rPr>
          <w:spacing w:val="-1"/>
          <w:sz w:val="22"/>
        </w:rPr>
        <w:t> </w:t>
      </w:r>
      <w:r>
        <w:rPr>
          <w:sz w:val="22"/>
        </w:rPr>
        <w:t>-</w:t>
      </w:r>
      <w:r>
        <w:rPr>
          <w:spacing w:val="-7"/>
          <w:sz w:val="22"/>
        </w:rPr>
        <w:t> </w:t>
      </w:r>
      <w:r>
        <w:rPr>
          <w:sz w:val="22"/>
        </w:rPr>
        <w:t>Example</w:t>
      </w:r>
      <w:r>
        <w:rPr>
          <w:spacing w:val="-3"/>
          <w:sz w:val="22"/>
        </w:rPr>
        <w:t> </w:t>
      </w:r>
      <w:r>
        <w:rPr>
          <w:sz w:val="22"/>
        </w:rPr>
        <w:t>of</w:t>
      </w:r>
      <w:r>
        <w:rPr>
          <w:spacing w:val="-1"/>
          <w:sz w:val="22"/>
        </w:rPr>
        <w:t> </w:t>
      </w:r>
      <w:r>
        <w:rPr>
          <w:sz w:val="22"/>
        </w:rPr>
        <w:t>Improvement</w:t>
      </w:r>
      <w:r>
        <w:rPr>
          <w:spacing w:val="-2"/>
          <w:sz w:val="22"/>
        </w:rPr>
        <w:t> </w:t>
      </w:r>
      <w:r>
        <w:rPr>
          <w:sz w:val="22"/>
        </w:rPr>
        <w:t>Point</w:t>
      </w:r>
      <w:r>
        <w:rPr>
          <w:spacing w:val="-2"/>
          <w:sz w:val="22"/>
        </w:rPr>
        <w:t> </w:t>
      </w:r>
      <w:r>
        <w:rPr>
          <w:sz w:val="22"/>
        </w:rPr>
        <w:t>Calculation</w:t>
      </w:r>
      <w:r>
        <w:rPr>
          <w:spacing w:val="-3"/>
          <w:sz w:val="22"/>
        </w:rPr>
        <w:t> </w:t>
      </w:r>
      <w:r>
        <w:rPr>
          <w:sz w:val="22"/>
        </w:rPr>
        <w:t>with</w:t>
      </w:r>
      <w:r>
        <w:rPr>
          <w:spacing w:val="-5"/>
          <w:sz w:val="22"/>
        </w:rPr>
        <w:t> </w:t>
      </w:r>
      <w:r>
        <w:rPr>
          <w:sz w:val="22"/>
        </w:rPr>
        <w:t>Cap</w:t>
      </w:r>
      <w:r>
        <w:rPr>
          <w:spacing w:val="-3"/>
          <w:sz w:val="22"/>
        </w:rPr>
        <w:t> </w:t>
      </w:r>
      <w:r>
        <w:rPr>
          <w:sz w:val="22"/>
        </w:rPr>
        <w:t>=</w:t>
      </w:r>
      <w:r>
        <w:rPr>
          <w:spacing w:val="-5"/>
          <w:sz w:val="22"/>
        </w:rPr>
        <w:t> </w:t>
      </w:r>
      <w:r>
        <w:rPr>
          <w:sz w:val="22"/>
        </w:rPr>
        <w:t>1</w:t>
      </w:r>
      <w:r>
        <w:rPr>
          <w:spacing w:val="-2"/>
          <w:sz w:val="22"/>
        </w:rPr>
        <w:t> Composite</w:t>
      </w:r>
    </w:p>
    <w:p>
      <w:pPr>
        <w:pStyle w:val="BodyText"/>
        <w:spacing w:line="20" w:lineRule="exact"/>
        <w:ind w:left="1220"/>
        <w:rPr>
          <w:sz w:val="2"/>
        </w:rPr>
      </w:pPr>
      <w:r>
        <w:rPr>
          <w:sz w:val="2"/>
        </w:rPr>
        <mc:AlternateContent>
          <mc:Choice Requires="wps">
            <w:drawing>
              <wp:inline distT="0" distB="0" distL="0" distR="0">
                <wp:extent cx="5943600" cy="6350"/>
                <wp:effectExtent l="0" t="0" r="0" b="0"/>
                <wp:docPr id="908" name="Group 908"/>
                <wp:cNvGraphicFramePr>
                  <a:graphicFrameLocks/>
                </wp:cNvGraphicFramePr>
                <a:graphic>
                  <a:graphicData uri="http://schemas.microsoft.com/office/word/2010/wordprocessingGroup">
                    <wpg:wgp>
                      <wpg:cNvPr id="908" name="Group 908"/>
                      <wpg:cNvGrpSpPr/>
                      <wpg:grpSpPr>
                        <a:xfrm>
                          <a:off x="0" y="0"/>
                          <a:ext cx="5943600" cy="6350"/>
                          <a:chExt cx="5943600" cy="6350"/>
                        </a:xfrm>
                      </wpg:grpSpPr>
                      <wps:wsp>
                        <wps:cNvPr id="909" name="Graphic 909"/>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68pt;height:.5pt;mso-position-horizontal-relative:char;mso-position-vertical-relative:line" id="docshapegroup125" coordorigin="0,0" coordsize="9360,10">
                <v:rect style="position:absolute;left:0;top:0;width:9360;height:10" id="docshape126" filled="true" fillcolor="#000000" stroked="false">
                  <v:fill type="solid"/>
                </v:rect>
              </v:group>
            </w:pict>
          </mc:Fallback>
        </mc:AlternateContent>
      </w:r>
      <w:r>
        <w:rPr>
          <w:sz w:val="2"/>
        </w:rPr>
      </w:r>
    </w:p>
    <w:p>
      <w:pPr>
        <w:spacing w:before="0"/>
        <w:ind w:left="1220" w:right="1111" w:firstLine="0"/>
        <w:jc w:val="left"/>
        <w:rPr>
          <w:sz w:val="22"/>
        </w:rPr>
      </w:pPr>
      <w:r>
        <w:rPr>
          <w:sz w:val="22"/>
        </w:rPr>
        <w:t>Note:</w:t>
      </w:r>
      <w:r>
        <w:rPr>
          <w:spacing w:val="-5"/>
          <w:sz w:val="22"/>
        </w:rPr>
        <w:t> </w:t>
      </w:r>
      <w:r>
        <w:rPr>
          <w:sz w:val="22"/>
        </w:rPr>
        <w:t>This</w:t>
      </w:r>
      <w:r>
        <w:rPr>
          <w:spacing w:val="-5"/>
          <w:sz w:val="22"/>
        </w:rPr>
        <w:t> </w:t>
      </w:r>
      <w:r>
        <w:rPr>
          <w:sz w:val="22"/>
        </w:rPr>
        <w:t>example</w:t>
      </w:r>
      <w:r>
        <w:rPr>
          <w:spacing w:val="-3"/>
          <w:sz w:val="22"/>
        </w:rPr>
        <w:t> </w:t>
      </w:r>
      <w:r>
        <w:rPr>
          <w:sz w:val="22"/>
        </w:rPr>
        <w:t>assumes</w:t>
      </w:r>
      <w:r>
        <w:rPr>
          <w:spacing w:val="-3"/>
          <w:sz w:val="22"/>
        </w:rPr>
        <w:t> </w:t>
      </w:r>
      <w:r>
        <w:rPr>
          <w:sz w:val="22"/>
        </w:rPr>
        <w:t>each</w:t>
      </w:r>
      <w:r>
        <w:rPr>
          <w:spacing w:val="-4"/>
          <w:sz w:val="22"/>
        </w:rPr>
        <w:t> </w:t>
      </w:r>
      <w:r>
        <w:rPr>
          <w:sz w:val="22"/>
        </w:rPr>
        <w:t>composite</w:t>
      </w:r>
      <w:r>
        <w:rPr>
          <w:spacing w:val="-3"/>
          <w:sz w:val="22"/>
        </w:rPr>
        <w:t> </w:t>
      </w:r>
      <w:r>
        <w:rPr>
          <w:sz w:val="22"/>
        </w:rPr>
        <w:t>has</w:t>
      </w:r>
      <w:r>
        <w:rPr>
          <w:spacing w:val="-3"/>
          <w:sz w:val="22"/>
        </w:rPr>
        <w:t> </w:t>
      </w:r>
      <w:r>
        <w:rPr>
          <w:sz w:val="22"/>
        </w:rPr>
        <w:t>the</w:t>
      </w:r>
      <w:r>
        <w:rPr>
          <w:spacing w:val="-3"/>
          <w:sz w:val="22"/>
        </w:rPr>
        <w:t> </w:t>
      </w:r>
      <w:r>
        <w:rPr>
          <w:sz w:val="22"/>
        </w:rPr>
        <w:t>same Improvement</w:t>
      </w:r>
      <w:r>
        <w:rPr>
          <w:spacing w:val="-2"/>
          <w:sz w:val="22"/>
        </w:rPr>
        <w:t> </w:t>
      </w:r>
      <w:r>
        <w:rPr>
          <w:sz w:val="22"/>
        </w:rPr>
        <w:t>Target</w:t>
      </w:r>
      <w:r>
        <w:rPr>
          <w:spacing w:val="-2"/>
          <w:sz w:val="22"/>
        </w:rPr>
        <w:t> </w:t>
      </w:r>
      <w:r>
        <w:rPr>
          <w:sz w:val="22"/>
        </w:rPr>
        <w:t>across</w:t>
      </w:r>
      <w:r>
        <w:rPr>
          <w:spacing w:val="-5"/>
          <w:sz w:val="22"/>
        </w:rPr>
        <w:t> </w:t>
      </w:r>
      <w:r>
        <w:rPr>
          <w:sz w:val="22"/>
        </w:rPr>
        <w:t>composites</w:t>
      </w:r>
      <w:r>
        <w:rPr>
          <w:spacing w:val="-3"/>
          <w:sz w:val="22"/>
        </w:rPr>
        <w:t> </w:t>
      </w:r>
      <w:r>
        <w:rPr>
          <w:sz w:val="22"/>
        </w:rPr>
        <w:t>A-D, and that the State is comparing BP1 rates to BP2 rates.</w:t>
      </w:r>
    </w:p>
    <w:p>
      <w:pPr>
        <w:spacing w:before="0"/>
        <w:ind w:left="1220" w:right="6940" w:firstLine="0"/>
        <w:jc w:val="left"/>
        <w:rPr>
          <w:sz w:val="22"/>
        </w:rPr>
      </w:pPr>
      <w:r>
        <w:rPr>
          <w:sz w:val="22"/>
        </w:rPr>
        <w:t>Measure</w:t>
      </w:r>
      <w:r>
        <w:rPr>
          <w:spacing w:val="-9"/>
          <w:sz w:val="22"/>
        </w:rPr>
        <w:t> </w:t>
      </w:r>
      <w:r>
        <w:rPr>
          <w:sz w:val="22"/>
        </w:rPr>
        <w:t>Improvement</w:t>
      </w:r>
      <w:r>
        <w:rPr>
          <w:spacing w:val="-9"/>
          <w:sz w:val="22"/>
        </w:rPr>
        <w:t> </w:t>
      </w:r>
      <w:r>
        <w:rPr>
          <w:sz w:val="22"/>
        </w:rPr>
        <w:t>Target</w:t>
      </w:r>
      <w:r>
        <w:rPr>
          <w:spacing w:val="-9"/>
          <w:sz w:val="22"/>
        </w:rPr>
        <w:t> </w:t>
      </w:r>
      <w:r>
        <w:rPr>
          <w:sz w:val="22"/>
        </w:rPr>
        <w:t>=</w:t>
      </w:r>
      <w:r>
        <w:rPr>
          <w:spacing w:val="-9"/>
          <w:sz w:val="22"/>
        </w:rPr>
        <w:t> </w:t>
      </w:r>
      <w:r>
        <w:rPr>
          <w:sz w:val="22"/>
        </w:rPr>
        <w:t>1.0 State Improvement Median = 1.0</w:t>
      </w:r>
    </w:p>
    <w:p>
      <w:pPr>
        <w:pStyle w:val="BodyText"/>
        <w:spacing w:before="3"/>
        <w:rPr>
          <w:sz w:val="21"/>
        </w:rPr>
      </w:pPr>
    </w:p>
    <w:tbl>
      <w:tblPr>
        <w:tblW w:w="0" w:type="auto"/>
        <w:jc w:val="left"/>
        <w:tblInd w:w="1333" w:type="dxa"/>
        <w:tblBorders>
          <w:top w:val="single" w:sz="2" w:space="0" w:color="BEBEBE"/>
          <w:left w:val="single" w:sz="2" w:space="0" w:color="BEBEBE"/>
          <w:bottom w:val="single" w:sz="2" w:space="0" w:color="BEBEBE"/>
          <w:right w:val="single" w:sz="2" w:space="0" w:color="BEBEBE"/>
          <w:insideH w:val="single" w:sz="2" w:space="0" w:color="BEBEBE"/>
          <w:insideV w:val="single" w:sz="2" w:space="0" w:color="BEBEBE"/>
        </w:tblBorders>
        <w:tblLayout w:type="fixed"/>
        <w:tblCellMar>
          <w:top w:w="0" w:type="dxa"/>
          <w:left w:w="0" w:type="dxa"/>
          <w:bottom w:w="0" w:type="dxa"/>
          <w:right w:w="0" w:type="dxa"/>
        </w:tblCellMar>
        <w:tblLook w:val="01E0"/>
      </w:tblPr>
      <w:tblGrid>
        <w:gridCol w:w="1728"/>
        <w:gridCol w:w="1171"/>
        <w:gridCol w:w="1296"/>
        <w:gridCol w:w="1349"/>
        <w:gridCol w:w="1620"/>
        <w:gridCol w:w="1975"/>
      </w:tblGrid>
      <w:tr>
        <w:trPr>
          <w:trHeight w:val="919" w:hRule="atLeast"/>
        </w:trPr>
        <w:tc>
          <w:tcPr>
            <w:tcW w:w="1728" w:type="dxa"/>
            <w:shd w:val="clear" w:color="auto" w:fill="D9D9D9"/>
          </w:tcPr>
          <w:p>
            <w:pPr>
              <w:pStyle w:val="TableParagraph"/>
              <w:spacing w:line="256" w:lineRule="auto" w:before="139"/>
              <w:ind w:left="487" w:right="338" w:hanging="137"/>
              <w:rPr>
                <w:b/>
                <w:sz w:val="20"/>
              </w:rPr>
            </w:pPr>
            <w:r>
              <w:rPr>
                <w:b/>
                <w:sz w:val="20"/>
              </w:rPr>
              <w:t>Composite</w:t>
            </w:r>
            <w:r>
              <w:rPr>
                <w:b/>
                <w:spacing w:val="-13"/>
                <w:sz w:val="20"/>
              </w:rPr>
              <w:t> </w:t>
            </w:r>
            <w:r>
              <w:rPr>
                <w:b/>
                <w:sz w:val="20"/>
              </w:rPr>
              <w:t>- </w:t>
            </w:r>
            <w:r>
              <w:rPr>
                <w:b/>
                <w:spacing w:val="-2"/>
                <w:sz w:val="20"/>
              </w:rPr>
              <w:t>Example</w:t>
            </w:r>
          </w:p>
        </w:tc>
        <w:tc>
          <w:tcPr>
            <w:tcW w:w="1171" w:type="dxa"/>
            <w:shd w:val="clear" w:color="auto" w:fill="D9D9D9"/>
          </w:tcPr>
          <w:p>
            <w:pPr>
              <w:pStyle w:val="TableParagraph"/>
              <w:spacing w:before="14"/>
              <w:ind w:left="104" w:right="103"/>
              <w:jc w:val="center"/>
              <w:rPr>
                <w:b/>
                <w:sz w:val="20"/>
              </w:rPr>
            </w:pPr>
            <w:r>
              <w:rPr>
                <w:b/>
                <w:sz w:val="20"/>
              </w:rPr>
              <w:t>ACO</w:t>
            </w:r>
            <w:r>
              <w:rPr>
                <w:b/>
                <w:spacing w:val="-4"/>
                <w:sz w:val="20"/>
              </w:rPr>
              <w:t> </w:t>
            </w:r>
            <w:r>
              <w:rPr>
                <w:b/>
                <w:spacing w:val="-5"/>
                <w:sz w:val="20"/>
              </w:rPr>
              <w:t>BP1</w:t>
            </w:r>
          </w:p>
          <w:p>
            <w:pPr>
              <w:pStyle w:val="TableParagraph"/>
              <w:spacing w:line="261" w:lineRule="auto" w:before="18"/>
              <w:ind w:left="302" w:right="295"/>
              <w:jc w:val="center"/>
              <w:rPr>
                <w:b/>
                <w:sz w:val="20"/>
              </w:rPr>
            </w:pPr>
            <w:r>
              <w:rPr>
                <w:b/>
                <w:spacing w:val="-2"/>
                <w:sz w:val="20"/>
              </w:rPr>
              <w:t>Actual </w:t>
            </w:r>
            <w:r>
              <w:rPr>
                <w:b/>
                <w:spacing w:val="-4"/>
                <w:sz w:val="20"/>
              </w:rPr>
              <w:t>Rate</w:t>
            </w:r>
          </w:p>
        </w:tc>
        <w:tc>
          <w:tcPr>
            <w:tcW w:w="1296" w:type="dxa"/>
            <w:shd w:val="clear" w:color="auto" w:fill="D9D9D9"/>
          </w:tcPr>
          <w:p>
            <w:pPr>
              <w:pStyle w:val="TableParagraph"/>
              <w:spacing w:before="14"/>
              <w:ind w:left="87" w:right="86"/>
              <w:jc w:val="center"/>
              <w:rPr>
                <w:b/>
                <w:sz w:val="20"/>
              </w:rPr>
            </w:pPr>
            <w:r>
              <w:rPr>
                <w:b/>
                <w:sz w:val="20"/>
              </w:rPr>
              <w:t>ACO</w:t>
            </w:r>
            <w:r>
              <w:rPr>
                <w:b/>
                <w:spacing w:val="-4"/>
                <w:sz w:val="20"/>
              </w:rPr>
              <w:t> </w:t>
            </w:r>
            <w:r>
              <w:rPr>
                <w:b/>
                <w:spacing w:val="-5"/>
                <w:sz w:val="20"/>
              </w:rPr>
              <w:t>BP2</w:t>
            </w:r>
          </w:p>
          <w:p>
            <w:pPr>
              <w:pStyle w:val="TableParagraph"/>
              <w:spacing w:line="261" w:lineRule="auto" w:before="18"/>
              <w:ind w:left="93" w:right="86"/>
              <w:jc w:val="center"/>
              <w:rPr>
                <w:b/>
                <w:sz w:val="20"/>
              </w:rPr>
            </w:pPr>
            <w:r>
              <w:rPr>
                <w:b/>
                <w:spacing w:val="-2"/>
                <w:sz w:val="20"/>
              </w:rPr>
              <w:t>Performance </w:t>
            </w:r>
            <w:r>
              <w:rPr>
                <w:b/>
                <w:spacing w:val="-4"/>
                <w:sz w:val="20"/>
              </w:rPr>
              <w:t>Rate</w:t>
            </w:r>
          </w:p>
        </w:tc>
        <w:tc>
          <w:tcPr>
            <w:tcW w:w="1349" w:type="dxa"/>
            <w:shd w:val="clear" w:color="auto" w:fill="D9D9D9"/>
          </w:tcPr>
          <w:p>
            <w:pPr>
              <w:pStyle w:val="TableParagraph"/>
              <w:spacing w:before="139"/>
              <w:ind w:left="80" w:right="79"/>
              <w:jc w:val="center"/>
              <w:rPr>
                <w:b/>
                <w:sz w:val="20"/>
              </w:rPr>
            </w:pPr>
            <w:r>
              <w:rPr>
                <w:b/>
                <w:spacing w:val="-5"/>
                <w:sz w:val="20"/>
              </w:rPr>
              <w:t>ACO</w:t>
            </w:r>
          </w:p>
          <w:p>
            <w:pPr>
              <w:pStyle w:val="TableParagraph"/>
              <w:spacing w:before="18"/>
              <w:ind w:left="80" w:right="79"/>
              <w:jc w:val="center"/>
              <w:rPr>
                <w:b/>
                <w:sz w:val="20"/>
              </w:rPr>
            </w:pPr>
            <w:r>
              <w:rPr>
                <w:b/>
                <w:spacing w:val="-2"/>
                <w:sz w:val="20"/>
              </w:rPr>
              <w:t>Improvement</w:t>
            </w:r>
          </w:p>
        </w:tc>
        <w:tc>
          <w:tcPr>
            <w:tcW w:w="1620" w:type="dxa"/>
            <w:shd w:val="clear" w:color="auto" w:fill="D9D9D9"/>
          </w:tcPr>
          <w:p>
            <w:pPr>
              <w:pStyle w:val="TableParagraph"/>
              <w:spacing w:line="256" w:lineRule="auto" w:before="139"/>
              <w:ind w:left="597" w:hanging="370"/>
              <w:rPr>
                <w:b/>
                <w:sz w:val="20"/>
              </w:rPr>
            </w:pPr>
            <w:r>
              <w:rPr>
                <w:b/>
                <w:spacing w:val="-2"/>
                <w:sz w:val="20"/>
              </w:rPr>
              <w:t>Improvement </w:t>
            </w:r>
            <w:r>
              <w:rPr>
                <w:b/>
                <w:spacing w:val="-4"/>
                <w:sz w:val="20"/>
              </w:rPr>
              <w:t>Used</w:t>
            </w:r>
          </w:p>
        </w:tc>
        <w:tc>
          <w:tcPr>
            <w:tcW w:w="1975" w:type="dxa"/>
            <w:shd w:val="clear" w:color="auto" w:fill="D9D9D9"/>
          </w:tcPr>
          <w:p>
            <w:pPr>
              <w:pStyle w:val="TableParagraph"/>
              <w:spacing w:line="256" w:lineRule="auto" w:before="139"/>
              <w:ind w:left="218" w:right="101" w:hanging="106"/>
              <w:rPr>
                <w:b/>
                <w:sz w:val="20"/>
              </w:rPr>
            </w:pPr>
            <w:r>
              <w:rPr>
                <w:b/>
                <w:sz w:val="20"/>
              </w:rPr>
              <w:t>Improvement</w:t>
            </w:r>
            <w:r>
              <w:rPr>
                <w:b/>
                <w:spacing w:val="-13"/>
                <w:sz w:val="20"/>
              </w:rPr>
              <w:t> </w:t>
            </w:r>
            <w:r>
              <w:rPr>
                <w:b/>
                <w:sz w:val="20"/>
              </w:rPr>
              <w:t>Points Received (Source)</w:t>
            </w:r>
          </w:p>
        </w:tc>
      </w:tr>
      <w:tr>
        <w:trPr>
          <w:trHeight w:val="1079" w:hRule="atLeast"/>
        </w:trPr>
        <w:tc>
          <w:tcPr>
            <w:tcW w:w="1728" w:type="dxa"/>
            <w:shd w:val="clear" w:color="auto" w:fill="D9E1F3"/>
          </w:tcPr>
          <w:p>
            <w:pPr>
              <w:pStyle w:val="TableParagraph"/>
              <w:spacing w:line="256" w:lineRule="auto" w:before="96"/>
              <w:ind w:left="88" w:right="83"/>
              <w:jc w:val="center"/>
              <w:rPr>
                <w:b/>
                <w:sz w:val="20"/>
              </w:rPr>
            </w:pPr>
            <w:r>
              <w:rPr>
                <w:b/>
                <w:sz w:val="20"/>
              </w:rPr>
              <w:t>A</w:t>
            </w:r>
            <w:r>
              <w:rPr>
                <w:b/>
                <w:spacing w:val="-13"/>
                <w:sz w:val="20"/>
              </w:rPr>
              <w:t> </w:t>
            </w:r>
            <w:r>
              <w:rPr>
                <w:b/>
                <w:sz w:val="20"/>
              </w:rPr>
              <w:t>–</w:t>
            </w:r>
            <w:r>
              <w:rPr>
                <w:b/>
                <w:spacing w:val="-12"/>
                <w:sz w:val="20"/>
              </w:rPr>
              <w:t> </w:t>
            </w:r>
            <w:r>
              <w:rPr>
                <w:b/>
                <w:sz w:val="20"/>
              </w:rPr>
              <w:t>Willingness</w:t>
            </w:r>
            <w:r>
              <w:rPr>
                <w:b/>
                <w:spacing w:val="-13"/>
                <w:sz w:val="20"/>
              </w:rPr>
              <w:t> </w:t>
            </w:r>
            <w:r>
              <w:rPr>
                <w:b/>
                <w:sz w:val="20"/>
              </w:rPr>
              <w:t>to </w:t>
            </w:r>
            <w:r>
              <w:rPr>
                <w:b/>
                <w:spacing w:val="-2"/>
                <w:sz w:val="20"/>
              </w:rPr>
              <w:t>Recommend </w:t>
            </w:r>
            <w:r>
              <w:rPr>
                <w:b/>
                <w:sz w:val="20"/>
              </w:rPr>
              <w:t>(Adult Survey)</w:t>
            </w:r>
          </w:p>
        </w:tc>
        <w:tc>
          <w:tcPr>
            <w:tcW w:w="1171" w:type="dxa"/>
          </w:tcPr>
          <w:p>
            <w:pPr>
              <w:pStyle w:val="TableParagraph"/>
              <w:spacing w:before="10"/>
              <w:rPr>
                <w:sz w:val="29"/>
              </w:rPr>
            </w:pPr>
          </w:p>
          <w:p>
            <w:pPr>
              <w:pStyle w:val="TableParagraph"/>
              <w:ind w:left="105" w:right="99"/>
              <w:jc w:val="center"/>
              <w:rPr>
                <w:sz w:val="20"/>
              </w:rPr>
            </w:pPr>
            <w:r>
              <w:rPr>
                <w:spacing w:val="-2"/>
                <w:sz w:val="20"/>
              </w:rPr>
              <w:t>75.1%</w:t>
            </w:r>
          </w:p>
        </w:tc>
        <w:tc>
          <w:tcPr>
            <w:tcW w:w="1296" w:type="dxa"/>
          </w:tcPr>
          <w:p>
            <w:pPr>
              <w:pStyle w:val="TableParagraph"/>
              <w:spacing w:before="10"/>
              <w:rPr>
                <w:sz w:val="29"/>
              </w:rPr>
            </w:pPr>
          </w:p>
          <w:p>
            <w:pPr>
              <w:pStyle w:val="TableParagraph"/>
              <w:ind w:left="388"/>
              <w:rPr>
                <w:sz w:val="20"/>
              </w:rPr>
            </w:pPr>
            <w:r>
              <w:rPr>
                <w:spacing w:val="-2"/>
                <w:sz w:val="20"/>
              </w:rPr>
              <w:t>75.9%</w:t>
            </w:r>
          </w:p>
        </w:tc>
        <w:tc>
          <w:tcPr>
            <w:tcW w:w="1349" w:type="dxa"/>
          </w:tcPr>
          <w:p>
            <w:pPr>
              <w:pStyle w:val="TableParagraph"/>
              <w:spacing w:before="14"/>
              <w:ind w:left="80" w:right="79"/>
              <w:jc w:val="center"/>
              <w:rPr>
                <w:sz w:val="20"/>
              </w:rPr>
            </w:pPr>
            <w:r>
              <w:rPr>
                <w:spacing w:val="-5"/>
                <w:sz w:val="20"/>
              </w:rPr>
              <w:t>0.8</w:t>
            </w:r>
          </w:p>
          <w:p>
            <w:pPr>
              <w:pStyle w:val="TableParagraph"/>
              <w:spacing w:line="261" w:lineRule="auto" w:before="178"/>
              <w:ind w:left="80" w:right="73"/>
              <w:jc w:val="center"/>
              <w:rPr>
                <w:sz w:val="20"/>
              </w:rPr>
            </w:pPr>
            <w:r>
              <w:rPr>
                <w:sz w:val="20"/>
              </w:rPr>
              <w:t>(target</w:t>
            </w:r>
            <w:r>
              <w:rPr>
                <w:spacing w:val="-13"/>
                <w:sz w:val="20"/>
              </w:rPr>
              <w:t> </w:t>
            </w:r>
            <w:r>
              <w:rPr>
                <w:sz w:val="20"/>
              </w:rPr>
              <w:t>not</w:t>
            </w:r>
            <w:r>
              <w:rPr>
                <w:spacing w:val="-12"/>
                <w:sz w:val="20"/>
              </w:rPr>
              <w:t> </w:t>
            </w:r>
            <w:r>
              <w:rPr>
                <w:sz w:val="20"/>
              </w:rPr>
              <w:t>met by ACO)</w:t>
            </w:r>
          </w:p>
        </w:tc>
        <w:tc>
          <w:tcPr>
            <w:tcW w:w="1620" w:type="dxa"/>
          </w:tcPr>
          <w:p>
            <w:pPr>
              <w:pStyle w:val="TableParagraph"/>
              <w:spacing w:before="10"/>
              <w:rPr>
                <w:sz w:val="29"/>
              </w:rPr>
            </w:pPr>
          </w:p>
          <w:p>
            <w:pPr>
              <w:pStyle w:val="TableParagraph"/>
              <w:ind w:left="163" w:right="157"/>
              <w:jc w:val="center"/>
              <w:rPr>
                <w:sz w:val="20"/>
              </w:rPr>
            </w:pPr>
            <w:r>
              <w:rPr>
                <w:sz w:val="20"/>
              </w:rPr>
              <w:t>State</w:t>
            </w:r>
            <w:r>
              <w:rPr>
                <w:spacing w:val="-4"/>
                <w:sz w:val="20"/>
              </w:rPr>
              <w:t> </w:t>
            </w:r>
            <w:r>
              <w:rPr>
                <w:sz w:val="20"/>
              </w:rPr>
              <w:t>Med</w:t>
            </w:r>
            <w:r>
              <w:rPr>
                <w:spacing w:val="-3"/>
                <w:sz w:val="20"/>
              </w:rPr>
              <w:t> </w:t>
            </w:r>
            <w:r>
              <w:rPr>
                <w:sz w:val="20"/>
              </w:rPr>
              <w:t>=</w:t>
            </w:r>
            <w:r>
              <w:rPr>
                <w:spacing w:val="-4"/>
                <w:sz w:val="20"/>
              </w:rPr>
              <w:t> </w:t>
            </w:r>
            <w:r>
              <w:rPr>
                <w:spacing w:val="-5"/>
                <w:sz w:val="20"/>
              </w:rPr>
              <w:t>1.0</w:t>
            </w:r>
          </w:p>
        </w:tc>
        <w:tc>
          <w:tcPr>
            <w:tcW w:w="1975" w:type="dxa"/>
          </w:tcPr>
          <w:p>
            <w:pPr>
              <w:pStyle w:val="TableParagraph"/>
              <w:spacing w:before="139"/>
              <w:ind w:left="198" w:right="193"/>
              <w:jc w:val="center"/>
              <w:rPr>
                <w:sz w:val="20"/>
              </w:rPr>
            </w:pPr>
            <w:r>
              <w:rPr>
                <w:spacing w:val="-5"/>
                <w:sz w:val="20"/>
              </w:rPr>
              <w:t>YES</w:t>
            </w:r>
          </w:p>
          <w:p>
            <w:pPr>
              <w:pStyle w:val="TableParagraph"/>
              <w:spacing w:before="178"/>
              <w:ind w:left="197" w:right="193"/>
              <w:jc w:val="center"/>
              <w:rPr>
                <w:sz w:val="20"/>
              </w:rPr>
            </w:pPr>
            <w:r>
              <w:rPr>
                <w:sz w:val="20"/>
              </w:rPr>
              <w:t>(Step</w:t>
            </w:r>
            <w:r>
              <w:rPr>
                <w:spacing w:val="-3"/>
                <w:sz w:val="20"/>
              </w:rPr>
              <w:t> </w:t>
            </w:r>
            <w:r>
              <w:rPr>
                <w:sz w:val="20"/>
              </w:rPr>
              <w:t>2</w:t>
            </w:r>
            <w:r>
              <w:rPr>
                <w:spacing w:val="-3"/>
                <w:sz w:val="20"/>
              </w:rPr>
              <w:t> </w:t>
            </w:r>
            <w:r>
              <w:rPr>
                <w:spacing w:val="-2"/>
                <w:sz w:val="20"/>
              </w:rPr>
              <w:t>applied)</w:t>
            </w:r>
          </w:p>
        </w:tc>
      </w:tr>
      <w:tr>
        <w:trPr>
          <w:trHeight w:val="1079" w:hRule="atLeast"/>
        </w:trPr>
        <w:tc>
          <w:tcPr>
            <w:tcW w:w="1728" w:type="dxa"/>
            <w:shd w:val="clear" w:color="auto" w:fill="D9E1F3"/>
          </w:tcPr>
          <w:p>
            <w:pPr>
              <w:pStyle w:val="TableParagraph"/>
              <w:spacing w:line="259" w:lineRule="auto" w:before="94"/>
              <w:ind w:left="90" w:right="83"/>
              <w:jc w:val="center"/>
              <w:rPr>
                <w:b/>
                <w:sz w:val="20"/>
              </w:rPr>
            </w:pPr>
            <w:r>
              <w:rPr>
                <w:b/>
                <w:sz w:val="20"/>
              </w:rPr>
              <w:t>B</w:t>
            </w:r>
            <w:r>
              <w:rPr>
                <w:b/>
                <w:spacing w:val="-13"/>
                <w:sz w:val="20"/>
              </w:rPr>
              <w:t> </w:t>
            </w:r>
            <w:r>
              <w:rPr>
                <w:b/>
                <w:sz w:val="20"/>
              </w:rPr>
              <w:t>-</w:t>
            </w:r>
            <w:r>
              <w:rPr>
                <w:b/>
                <w:spacing w:val="-12"/>
                <w:sz w:val="20"/>
              </w:rPr>
              <w:t> </w:t>
            </w:r>
            <w:r>
              <w:rPr>
                <w:b/>
                <w:sz w:val="20"/>
              </w:rPr>
              <w:t>Willingness</w:t>
            </w:r>
            <w:r>
              <w:rPr>
                <w:b/>
                <w:spacing w:val="-13"/>
                <w:sz w:val="20"/>
              </w:rPr>
              <w:t> </w:t>
            </w:r>
            <w:r>
              <w:rPr>
                <w:b/>
                <w:sz w:val="20"/>
              </w:rPr>
              <w:t>to </w:t>
            </w:r>
            <w:r>
              <w:rPr>
                <w:b/>
                <w:spacing w:val="-2"/>
                <w:sz w:val="20"/>
              </w:rPr>
              <w:t>Recommend </w:t>
            </w:r>
            <w:r>
              <w:rPr>
                <w:b/>
                <w:sz w:val="20"/>
              </w:rPr>
              <w:t>(Child Survey)</w:t>
            </w:r>
          </w:p>
        </w:tc>
        <w:tc>
          <w:tcPr>
            <w:tcW w:w="1171" w:type="dxa"/>
          </w:tcPr>
          <w:p>
            <w:pPr>
              <w:pStyle w:val="TableParagraph"/>
              <w:spacing w:before="10"/>
              <w:rPr>
                <w:sz w:val="29"/>
              </w:rPr>
            </w:pPr>
          </w:p>
          <w:p>
            <w:pPr>
              <w:pStyle w:val="TableParagraph"/>
              <w:ind w:left="105" w:right="99"/>
              <w:jc w:val="center"/>
              <w:rPr>
                <w:sz w:val="20"/>
              </w:rPr>
            </w:pPr>
            <w:r>
              <w:rPr>
                <w:spacing w:val="-2"/>
                <w:sz w:val="20"/>
              </w:rPr>
              <w:t>85.1%</w:t>
            </w:r>
          </w:p>
        </w:tc>
        <w:tc>
          <w:tcPr>
            <w:tcW w:w="1296" w:type="dxa"/>
          </w:tcPr>
          <w:p>
            <w:pPr>
              <w:pStyle w:val="TableParagraph"/>
              <w:spacing w:before="10"/>
              <w:rPr>
                <w:sz w:val="29"/>
              </w:rPr>
            </w:pPr>
          </w:p>
          <w:p>
            <w:pPr>
              <w:pStyle w:val="TableParagraph"/>
              <w:ind w:left="388"/>
              <w:rPr>
                <w:sz w:val="20"/>
              </w:rPr>
            </w:pPr>
            <w:r>
              <w:rPr>
                <w:spacing w:val="-2"/>
                <w:sz w:val="20"/>
              </w:rPr>
              <w:t>87.0%</w:t>
            </w:r>
          </w:p>
        </w:tc>
        <w:tc>
          <w:tcPr>
            <w:tcW w:w="1349" w:type="dxa"/>
          </w:tcPr>
          <w:p>
            <w:pPr>
              <w:pStyle w:val="TableParagraph"/>
              <w:spacing w:before="14"/>
              <w:ind w:left="80" w:right="74"/>
              <w:jc w:val="center"/>
              <w:rPr>
                <w:sz w:val="20"/>
              </w:rPr>
            </w:pPr>
            <w:r>
              <w:rPr>
                <w:spacing w:val="-5"/>
                <w:sz w:val="20"/>
              </w:rPr>
              <w:t>1.9</w:t>
            </w:r>
          </w:p>
          <w:p>
            <w:pPr>
              <w:pStyle w:val="TableParagraph"/>
              <w:spacing w:line="261" w:lineRule="auto" w:before="179"/>
              <w:ind w:left="80" w:right="69"/>
              <w:jc w:val="center"/>
              <w:rPr>
                <w:sz w:val="20"/>
              </w:rPr>
            </w:pPr>
            <w:r>
              <w:rPr>
                <w:sz w:val="20"/>
              </w:rPr>
              <w:t>(target</w:t>
            </w:r>
            <w:r>
              <w:rPr>
                <w:spacing w:val="-13"/>
                <w:sz w:val="20"/>
              </w:rPr>
              <w:t> </w:t>
            </w:r>
            <w:r>
              <w:rPr>
                <w:sz w:val="20"/>
              </w:rPr>
              <w:t>met</w:t>
            </w:r>
            <w:r>
              <w:rPr>
                <w:spacing w:val="-12"/>
                <w:sz w:val="20"/>
              </w:rPr>
              <w:t> </w:t>
            </w:r>
            <w:r>
              <w:rPr>
                <w:sz w:val="20"/>
              </w:rPr>
              <w:t>by </w:t>
            </w:r>
            <w:r>
              <w:rPr>
                <w:spacing w:val="-4"/>
                <w:sz w:val="20"/>
              </w:rPr>
              <w:t>ACO)</w:t>
            </w:r>
          </w:p>
        </w:tc>
        <w:tc>
          <w:tcPr>
            <w:tcW w:w="1620" w:type="dxa"/>
          </w:tcPr>
          <w:p>
            <w:pPr>
              <w:pStyle w:val="TableParagraph"/>
              <w:spacing w:before="10"/>
              <w:rPr>
                <w:sz w:val="29"/>
              </w:rPr>
            </w:pPr>
          </w:p>
          <w:p>
            <w:pPr>
              <w:pStyle w:val="TableParagraph"/>
              <w:ind w:left="160" w:right="157"/>
              <w:jc w:val="center"/>
              <w:rPr>
                <w:sz w:val="20"/>
              </w:rPr>
            </w:pPr>
            <w:r>
              <w:rPr>
                <w:sz w:val="20"/>
              </w:rPr>
              <w:t>ACO</w:t>
            </w:r>
            <w:r>
              <w:rPr>
                <w:spacing w:val="-4"/>
                <w:sz w:val="20"/>
              </w:rPr>
              <w:t> </w:t>
            </w:r>
            <w:r>
              <w:rPr>
                <w:sz w:val="20"/>
              </w:rPr>
              <w:t>=</w:t>
            </w:r>
            <w:r>
              <w:rPr>
                <w:spacing w:val="-3"/>
                <w:sz w:val="20"/>
              </w:rPr>
              <w:t> </w:t>
            </w:r>
            <w:r>
              <w:rPr>
                <w:spacing w:val="-5"/>
                <w:sz w:val="20"/>
              </w:rPr>
              <w:t>1.9</w:t>
            </w:r>
          </w:p>
        </w:tc>
        <w:tc>
          <w:tcPr>
            <w:tcW w:w="1975" w:type="dxa"/>
          </w:tcPr>
          <w:p>
            <w:pPr>
              <w:pStyle w:val="TableParagraph"/>
              <w:spacing w:before="139"/>
              <w:ind w:left="198" w:right="193"/>
              <w:jc w:val="center"/>
              <w:rPr>
                <w:sz w:val="20"/>
              </w:rPr>
            </w:pPr>
            <w:r>
              <w:rPr>
                <w:spacing w:val="-5"/>
                <w:sz w:val="20"/>
              </w:rPr>
              <w:t>YES</w:t>
            </w:r>
          </w:p>
          <w:p>
            <w:pPr>
              <w:pStyle w:val="TableParagraph"/>
              <w:spacing w:before="178"/>
              <w:ind w:left="198" w:right="193"/>
              <w:jc w:val="center"/>
              <w:rPr>
                <w:sz w:val="20"/>
              </w:rPr>
            </w:pPr>
            <w:r>
              <w:rPr>
                <w:sz w:val="20"/>
              </w:rPr>
              <w:t>(Step</w:t>
            </w:r>
            <w:r>
              <w:rPr>
                <w:spacing w:val="-3"/>
                <w:sz w:val="20"/>
              </w:rPr>
              <w:t> </w:t>
            </w:r>
            <w:r>
              <w:rPr>
                <w:sz w:val="20"/>
              </w:rPr>
              <w:t>2</w:t>
            </w:r>
            <w:r>
              <w:rPr>
                <w:spacing w:val="-3"/>
                <w:sz w:val="20"/>
              </w:rPr>
              <w:t> </w:t>
            </w:r>
            <w:r>
              <w:rPr>
                <w:sz w:val="20"/>
              </w:rPr>
              <w:t>not</w:t>
            </w:r>
            <w:r>
              <w:rPr>
                <w:spacing w:val="-3"/>
                <w:sz w:val="20"/>
              </w:rPr>
              <w:t> </w:t>
            </w:r>
            <w:r>
              <w:rPr>
                <w:spacing w:val="-2"/>
                <w:sz w:val="20"/>
              </w:rPr>
              <w:t>needed)</w:t>
            </w:r>
          </w:p>
        </w:tc>
      </w:tr>
      <w:tr>
        <w:trPr>
          <w:trHeight w:val="1326" w:hRule="atLeast"/>
        </w:trPr>
        <w:tc>
          <w:tcPr>
            <w:tcW w:w="1728" w:type="dxa"/>
            <w:shd w:val="clear" w:color="auto" w:fill="D9E1F3"/>
          </w:tcPr>
          <w:p>
            <w:pPr>
              <w:pStyle w:val="TableParagraph"/>
              <w:rPr>
                <w:sz w:val="19"/>
              </w:rPr>
            </w:pPr>
          </w:p>
          <w:p>
            <w:pPr>
              <w:pStyle w:val="TableParagraph"/>
              <w:ind w:left="88" w:right="82"/>
              <w:jc w:val="center"/>
              <w:rPr>
                <w:b/>
                <w:sz w:val="20"/>
              </w:rPr>
            </w:pPr>
            <w:r>
              <w:rPr>
                <w:b/>
                <w:sz w:val="20"/>
              </w:rPr>
              <w:t>C</w:t>
            </w:r>
            <w:r>
              <w:rPr>
                <w:b/>
                <w:spacing w:val="-2"/>
                <w:sz w:val="20"/>
              </w:rPr>
              <w:t> </w:t>
            </w:r>
            <w:r>
              <w:rPr>
                <w:b/>
                <w:spacing w:val="-10"/>
                <w:sz w:val="20"/>
              </w:rPr>
              <w:t>-</w:t>
            </w:r>
          </w:p>
          <w:p>
            <w:pPr>
              <w:pStyle w:val="TableParagraph"/>
              <w:spacing w:line="261" w:lineRule="auto" w:before="17"/>
              <w:ind w:left="88" w:right="81"/>
              <w:jc w:val="center"/>
              <w:rPr>
                <w:b/>
                <w:sz w:val="20"/>
              </w:rPr>
            </w:pPr>
            <w:r>
              <w:rPr>
                <w:b/>
                <w:spacing w:val="-2"/>
                <w:sz w:val="20"/>
              </w:rPr>
              <w:t>Communications </w:t>
            </w:r>
            <w:r>
              <w:rPr>
                <w:b/>
                <w:sz w:val="20"/>
              </w:rPr>
              <w:t>(Adult Survey)</w:t>
            </w:r>
          </w:p>
        </w:tc>
        <w:tc>
          <w:tcPr>
            <w:tcW w:w="1171" w:type="dxa"/>
          </w:tcPr>
          <w:p>
            <w:pPr>
              <w:pStyle w:val="TableParagraph"/>
              <w:rPr>
                <w:sz w:val="22"/>
              </w:rPr>
            </w:pPr>
          </w:p>
          <w:p>
            <w:pPr>
              <w:pStyle w:val="TableParagraph"/>
              <w:spacing w:before="6"/>
              <w:rPr>
                <w:sz w:val="18"/>
              </w:rPr>
            </w:pPr>
          </w:p>
          <w:p>
            <w:pPr>
              <w:pStyle w:val="TableParagraph"/>
              <w:ind w:left="105" w:right="99"/>
              <w:jc w:val="center"/>
              <w:rPr>
                <w:sz w:val="20"/>
              </w:rPr>
            </w:pPr>
            <w:r>
              <w:rPr>
                <w:spacing w:val="-4"/>
                <w:sz w:val="20"/>
              </w:rPr>
              <w:t>89.5</w:t>
            </w:r>
          </w:p>
        </w:tc>
        <w:tc>
          <w:tcPr>
            <w:tcW w:w="1296" w:type="dxa"/>
          </w:tcPr>
          <w:p>
            <w:pPr>
              <w:pStyle w:val="TableParagraph"/>
              <w:rPr>
                <w:sz w:val="22"/>
              </w:rPr>
            </w:pPr>
          </w:p>
          <w:p>
            <w:pPr>
              <w:pStyle w:val="TableParagraph"/>
              <w:spacing w:before="6"/>
              <w:rPr>
                <w:sz w:val="18"/>
              </w:rPr>
            </w:pPr>
          </w:p>
          <w:p>
            <w:pPr>
              <w:pStyle w:val="TableParagraph"/>
              <w:ind w:left="388"/>
              <w:rPr>
                <w:sz w:val="20"/>
              </w:rPr>
            </w:pPr>
            <w:r>
              <w:rPr>
                <w:spacing w:val="-2"/>
                <w:sz w:val="20"/>
              </w:rPr>
              <w:t>88.7%</w:t>
            </w:r>
          </w:p>
        </w:tc>
        <w:tc>
          <w:tcPr>
            <w:tcW w:w="1349" w:type="dxa"/>
          </w:tcPr>
          <w:p>
            <w:pPr>
              <w:pStyle w:val="TableParagraph"/>
              <w:spacing w:before="139"/>
              <w:ind w:left="80" w:right="76"/>
              <w:jc w:val="center"/>
              <w:rPr>
                <w:sz w:val="20"/>
              </w:rPr>
            </w:pPr>
            <w:r>
              <w:rPr>
                <w:spacing w:val="-4"/>
                <w:sz w:val="20"/>
              </w:rPr>
              <w:t>-</w:t>
            </w:r>
            <w:r>
              <w:rPr>
                <w:spacing w:val="-5"/>
                <w:sz w:val="20"/>
              </w:rPr>
              <w:t>0.8</w:t>
            </w:r>
          </w:p>
          <w:p>
            <w:pPr>
              <w:pStyle w:val="TableParagraph"/>
              <w:spacing w:line="256" w:lineRule="auto" w:before="178"/>
              <w:ind w:left="80" w:right="73"/>
              <w:jc w:val="center"/>
              <w:rPr>
                <w:sz w:val="20"/>
              </w:rPr>
            </w:pPr>
            <w:r>
              <w:rPr>
                <w:sz w:val="20"/>
              </w:rPr>
              <w:t>(target</w:t>
            </w:r>
            <w:r>
              <w:rPr>
                <w:spacing w:val="-13"/>
                <w:sz w:val="20"/>
              </w:rPr>
              <w:t> </w:t>
            </w:r>
            <w:r>
              <w:rPr>
                <w:sz w:val="20"/>
              </w:rPr>
              <w:t>not</w:t>
            </w:r>
            <w:r>
              <w:rPr>
                <w:spacing w:val="-12"/>
                <w:sz w:val="20"/>
              </w:rPr>
              <w:t> </w:t>
            </w:r>
            <w:r>
              <w:rPr>
                <w:sz w:val="20"/>
              </w:rPr>
              <w:t>met by ACO)</w:t>
            </w:r>
          </w:p>
        </w:tc>
        <w:tc>
          <w:tcPr>
            <w:tcW w:w="1620" w:type="dxa"/>
          </w:tcPr>
          <w:p>
            <w:pPr>
              <w:pStyle w:val="TableParagraph"/>
              <w:rPr>
                <w:sz w:val="22"/>
              </w:rPr>
            </w:pPr>
          </w:p>
          <w:p>
            <w:pPr>
              <w:pStyle w:val="TableParagraph"/>
              <w:spacing w:before="5"/>
              <w:rPr>
                <w:sz w:val="18"/>
              </w:rPr>
            </w:pPr>
          </w:p>
          <w:p>
            <w:pPr>
              <w:pStyle w:val="TableParagraph"/>
              <w:spacing w:before="1"/>
              <w:ind w:left="162" w:right="157"/>
              <w:jc w:val="center"/>
              <w:rPr>
                <w:sz w:val="20"/>
              </w:rPr>
            </w:pPr>
            <w:r>
              <w:rPr>
                <w:sz w:val="20"/>
              </w:rPr>
              <w:t>State</w:t>
            </w:r>
            <w:r>
              <w:rPr>
                <w:spacing w:val="-4"/>
                <w:sz w:val="20"/>
              </w:rPr>
              <w:t> </w:t>
            </w:r>
            <w:r>
              <w:rPr>
                <w:sz w:val="20"/>
              </w:rPr>
              <w:t>Med</w:t>
            </w:r>
            <w:r>
              <w:rPr>
                <w:spacing w:val="-3"/>
                <w:sz w:val="20"/>
              </w:rPr>
              <w:t> </w:t>
            </w:r>
            <w:r>
              <w:rPr>
                <w:sz w:val="20"/>
              </w:rPr>
              <w:t>=</w:t>
            </w:r>
            <w:r>
              <w:rPr>
                <w:spacing w:val="-4"/>
                <w:sz w:val="20"/>
              </w:rPr>
              <w:t> </w:t>
            </w:r>
            <w:r>
              <w:rPr>
                <w:spacing w:val="-5"/>
                <w:sz w:val="20"/>
              </w:rPr>
              <w:t>1.0</w:t>
            </w:r>
          </w:p>
        </w:tc>
        <w:tc>
          <w:tcPr>
            <w:tcW w:w="1975" w:type="dxa"/>
          </w:tcPr>
          <w:p>
            <w:pPr>
              <w:pStyle w:val="TableParagraph"/>
              <w:spacing w:before="14"/>
              <w:ind w:left="195" w:right="193"/>
              <w:jc w:val="center"/>
              <w:rPr>
                <w:sz w:val="20"/>
              </w:rPr>
            </w:pPr>
            <w:r>
              <w:rPr>
                <w:spacing w:val="-5"/>
                <w:sz w:val="20"/>
              </w:rPr>
              <w:t>NO</w:t>
            </w:r>
          </w:p>
          <w:p>
            <w:pPr>
              <w:pStyle w:val="TableParagraph"/>
              <w:spacing w:line="259" w:lineRule="auto" w:before="179"/>
              <w:ind w:left="139" w:right="128" w:hanging="5"/>
              <w:jc w:val="center"/>
              <w:rPr>
                <w:sz w:val="20"/>
              </w:rPr>
            </w:pPr>
            <w:r>
              <w:rPr>
                <w:sz w:val="20"/>
              </w:rPr>
              <w:t>(Capped at 1: Composite</w:t>
            </w:r>
            <w:r>
              <w:rPr>
                <w:spacing w:val="-13"/>
                <w:sz w:val="20"/>
              </w:rPr>
              <w:t> </w:t>
            </w:r>
            <w:r>
              <w:rPr>
                <w:sz w:val="20"/>
              </w:rPr>
              <w:t>A</w:t>
            </w:r>
            <w:r>
              <w:rPr>
                <w:spacing w:val="-12"/>
                <w:sz w:val="20"/>
              </w:rPr>
              <w:t> </w:t>
            </w:r>
            <w:r>
              <w:rPr>
                <w:sz w:val="20"/>
              </w:rPr>
              <w:t>already received points)</w:t>
            </w:r>
          </w:p>
        </w:tc>
      </w:tr>
      <w:tr>
        <w:trPr>
          <w:trHeight w:val="1084" w:hRule="atLeast"/>
        </w:trPr>
        <w:tc>
          <w:tcPr>
            <w:tcW w:w="1728" w:type="dxa"/>
            <w:tcBorders>
              <w:bottom w:val="single" w:sz="2" w:space="0" w:color="000000"/>
            </w:tcBorders>
            <w:shd w:val="clear" w:color="auto" w:fill="D9E1F3"/>
          </w:tcPr>
          <w:p>
            <w:pPr>
              <w:pStyle w:val="TableParagraph"/>
              <w:spacing w:before="96"/>
              <w:ind w:left="88" w:right="82"/>
              <w:jc w:val="center"/>
              <w:rPr>
                <w:b/>
                <w:sz w:val="20"/>
              </w:rPr>
            </w:pPr>
            <w:r>
              <w:rPr>
                <w:b/>
                <w:sz w:val="20"/>
              </w:rPr>
              <w:t>D</w:t>
            </w:r>
            <w:r>
              <w:rPr>
                <w:b/>
                <w:spacing w:val="-2"/>
                <w:sz w:val="20"/>
              </w:rPr>
              <w:t> </w:t>
            </w:r>
            <w:r>
              <w:rPr>
                <w:b/>
                <w:spacing w:val="-10"/>
                <w:sz w:val="20"/>
              </w:rPr>
              <w:t>-</w:t>
            </w:r>
          </w:p>
          <w:p>
            <w:pPr>
              <w:pStyle w:val="TableParagraph"/>
              <w:spacing w:line="256" w:lineRule="auto" w:before="17"/>
              <w:ind w:left="88" w:right="81"/>
              <w:jc w:val="center"/>
              <w:rPr>
                <w:b/>
                <w:sz w:val="20"/>
              </w:rPr>
            </w:pPr>
            <w:r>
              <w:rPr>
                <w:b/>
                <w:spacing w:val="-2"/>
                <w:sz w:val="20"/>
              </w:rPr>
              <w:t>Communications </w:t>
            </w:r>
            <w:r>
              <w:rPr>
                <w:b/>
                <w:sz w:val="20"/>
              </w:rPr>
              <w:t>(Child Survey)</w:t>
            </w:r>
          </w:p>
        </w:tc>
        <w:tc>
          <w:tcPr>
            <w:tcW w:w="1171" w:type="dxa"/>
            <w:tcBorders>
              <w:bottom w:val="single" w:sz="2" w:space="0" w:color="000000"/>
            </w:tcBorders>
          </w:tcPr>
          <w:p>
            <w:pPr>
              <w:pStyle w:val="TableParagraph"/>
              <w:spacing w:before="10"/>
              <w:rPr>
                <w:sz w:val="29"/>
              </w:rPr>
            </w:pPr>
          </w:p>
          <w:p>
            <w:pPr>
              <w:pStyle w:val="TableParagraph"/>
              <w:ind w:left="105" w:right="99"/>
              <w:jc w:val="center"/>
              <w:rPr>
                <w:sz w:val="20"/>
              </w:rPr>
            </w:pPr>
            <w:r>
              <w:rPr>
                <w:spacing w:val="-2"/>
                <w:sz w:val="20"/>
              </w:rPr>
              <w:t>78.1%</w:t>
            </w:r>
          </w:p>
        </w:tc>
        <w:tc>
          <w:tcPr>
            <w:tcW w:w="1296" w:type="dxa"/>
            <w:tcBorders>
              <w:bottom w:val="single" w:sz="2" w:space="0" w:color="000000"/>
            </w:tcBorders>
          </w:tcPr>
          <w:p>
            <w:pPr>
              <w:pStyle w:val="TableParagraph"/>
              <w:spacing w:before="10"/>
              <w:rPr>
                <w:sz w:val="29"/>
              </w:rPr>
            </w:pPr>
          </w:p>
          <w:p>
            <w:pPr>
              <w:pStyle w:val="TableParagraph"/>
              <w:ind w:left="388"/>
              <w:rPr>
                <w:sz w:val="20"/>
              </w:rPr>
            </w:pPr>
            <w:r>
              <w:rPr>
                <w:spacing w:val="-2"/>
                <w:sz w:val="20"/>
              </w:rPr>
              <w:t>78.5%</w:t>
            </w:r>
          </w:p>
        </w:tc>
        <w:tc>
          <w:tcPr>
            <w:tcW w:w="1349" w:type="dxa"/>
            <w:tcBorders>
              <w:bottom w:val="single" w:sz="2" w:space="0" w:color="000000"/>
            </w:tcBorders>
          </w:tcPr>
          <w:p>
            <w:pPr>
              <w:pStyle w:val="TableParagraph"/>
              <w:spacing w:before="14"/>
              <w:ind w:left="80" w:right="74"/>
              <w:jc w:val="center"/>
              <w:rPr>
                <w:sz w:val="20"/>
              </w:rPr>
            </w:pPr>
            <w:r>
              <w:rPr>
                <w:spacing w:val="-5"/>
                <w:sz w:val="20"/>
              </w:rPr>
              <w:t>0.4</w:t>
            </w:r>
          </w:p>
          <w:p>
            <w:pPr>
              <w:pStyle w:val="TableParagraph"/>
              <w:spacing w:line="261" w:lineRule="auto" w:before="179"/>
              <w:ind w:left="80" w:right="73"/>
              <w:jc w:val="center"/>
              <w:rPr>
                <w:sz w:val="20"/>
              </w:rPr>
            </w:pPr>
            <w:r>
              <w:rPr>
                <w:sz w:val="20"/>
              </w:rPr>
              <w:t>(target</w:t>
            </w:r>
            <w:r>
              <w:rPr>
                <w:spacing w:val="-13"/>
                <w:sz w:val="20"/>
              </w:rPr>
              <w:t> </w:t>
            </w:r>
            <w:r>
              <w:rPr>
                <w:sz w:val="20"/>
              </w:rPr>
              <w:t>not</w:t>
            </w:r>
            <w:r>
              <w:rPr>
                <w:spacing w:val="-12"/>
                <w:sz w:val="20"/>
              </w:rPr>
              <w:t> </w:t>
            </w:r>
            <w:r>
              <w:rPr>
                <w:sz w:val="20"/>
              </w:rPr>
              <w:t>met by ACO)</w:t>
            </w:r>
          </w:p>
        </w:tc>
        <w:tc>
          <w:tcPr>
            <w:tcW w:w="1620" w:type="dxa"/>
            <w:tcBorders>
              <w:bottom w:val="single" w:sz="2" w:space="0" w:color="000000"/>
            </w:tcBorders>
          </w:tcPr>
          <w:p>
            <w:pPr>
              <w:pStyle w:val="TableParagraph"/>
              <w:spacing w:line="256" w:lineRule="auto" w:before="96"/>
              <w:ind w:left="95" w:right="88" w:hanging="5"/>
              <w:jc w:val="center"/>
              <w:rPr>
                <w:sz w:val="20"/>
              </w:rPr>
            </w:pPr>
            <w:r>
              <w:rPr>
                <w:sz w:val="20"/>
              </w:rPr>
              <w:t>State Med = 0.8 (target</w:t>
            </w:r>
            <w:r>
              <w:rPr>
                <w:spacing w:val="-13"/>
                <w:sz w:val="20"/>
              </w:rPr>
              <w:t> </w:t>
            </w:r>
            <w:r>
              <w:rPr>
                <w:sz w:val="20"/>
              </w:rPr>
              <w:t>not</w:t>
            </w:r>
            <w:r>
              <w:rPr>
                <w:spacing w:val="-11"/>
                <w:sz w:val="20"/>
              </w:rPr>
              <w:t> </w:t>
            </w:r>
            <w:r>
              <w:rPr>
                <w:sz w:val="20"/>
              </w:rPr>
              <w:t>met</w:t>
            </w:r>
            <w:r>
              <w:rPr>
                <w:spacing w:val="-13"/>
                <w:sz w:val="20"/>
              </w:rPr>
              <w:t> </w:t>
            </w:r>
            <w:r>
              <w:rPr>
                <w:sz w:val="20"/>
              </w:rPr>
              <w:t>by </w:t>
            </w:r>
            <w:r>
              <w:rPr>
                <w:spacing w:val="-2"/>
                <w:sz w:val="20"/>
              </w:rPr>
              <w:t>State)</w:t>
            </w:r>
          </w:p>
        </w:tc>
        <w:tc>
          <w:tcPr>
            <w:tcW w:w="1975" w:type="dxa"/>
            <w:tcBorders>
              <w:bottom w:val="single" w:sz="2" w:space="0" w:color="000000"/>
            </w:tcBorders>
          </w:tcPr>
          <w:p>
            <w:pPr>
              <w:pStyle w:val="TableParagraph"/>
              <w:spacing w:before="10"/>
              <w:rPr>
                <w:sz w:val="29"/>
              </w:rPr>
            </w:pPr>
          </w:p>
          <w:p>
            <w:pPr>
              <w:pStyle w:val="TableParagraph"/>
              <w:ind w:left="195" w:right="193"/>
              <w:jc w:val="center"/>
              <w:rPr>
                <w:sz w:val="20"/>
              </w:rPr>
            </w:pPr>
            <w:r>
              <w:rPr>
                <w:spacing w:val="-5"/>
                <w:sz w:val="20"/>
              </w:rPr>
              <w:t>NO</w:t>
            </w:r>
          </w:p>
        </w:tc>
      </w:tr>
    </w:tbl>
    <w:p>
      <w:pPr>
        <w:pStyle w:val="BodyText"/>
        <w:spacing w:line="20" w:lineRule="exact"/>
        <w:ind w:left="1205"/>
        <w:rPr>
          <w:sz w:val="2"/>
        </w:rPr>
      </w:pPr>
      <w:r>
        <w:rPr>
          <w:sz w:val="2"/>
        </w:rPr>
        <mc:AlternateContent>
          <mc:Choice Requires="wps">
            <w:drawing>
              <wp:inline distT="0" distB="0" distL="0" distR="0">
                <wp:extent cx="5953125" cy="6350"/>
                <wp:effectExtent l="0" t="0" r="0" b="0"/>
                <wp:docPr id="910" name="Group 910"/>
                <wp:cNvGraphicFramePr>
                  <a:graphicFrameLocks/>
                </wp:cNvGraphicFramePr>
                <a:graphic>
                  <a:graphicData uri="http://schemas.microsoft.com/office/word/2010/wordprocessingGroup">
                    <wpg:wgp>
                      <wpg:cNvPr id="910" name="Group 910"/>
                      <wpg:cNvGrpSpPr/>
                      <wpg:grpSpPr>
                        <a:xfrm>
                          <a:off x="0" y="0"/>
                          <a:ext cx="5953125" cy="6350"/>
                          <a:chExt cx="5953125" cy="6350"/>
                        </a:xfrm>
                      </wpg:grpSpPr>
                      <wps:wsp>
                        <wps:cNvPr id="911" name="Graphic 911"/>
                        <wps:cNvSpPr/>
                        <wps:spPr>
                          <a:xfrm>
                            <a:off x="0" y="0"/>
                            <a:ext cx="5953125" cy="6350"/>
                          </a:xfrm>
                          <a:custGeom>
                            <a:avLst/>
                            <a:gdLst/>
                            <a:ahLst/>
                            <a:cxnLst/>
                            <a:rect l="l" t="t" r="r" b="b"/>
                            <a:pathLst>
                              <a:path w="5953125" h="6350">
                                <a:moveTo>
                                  <a:pt x="5952744" y="0"/>
                                </a:moveTo>
                                <a:lnTo>
                                  <a:pt x="0" y="0"/>
                                </a:lnTo>
                                <a:lnTo>
                                  <a:pt x="0" y="6108"/>
                                </a:lnTo>
                                <a:lnTo>
                                  <a:pt x="5952744" y="6108"/>
                                </a:lnTo>
                                <a:lnTo>
                                  <a:pt x="5952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68.75pt;height:.5pt;mso-position-horizontal-relative:char;mso-position-vertical-relative:line" id="docshapegroup127" coordorigin="0,0" coordsize="9375,10">
                <v:rect style="position:absolute;left:0;top:0;width:9375;height:10" id="docshape128" filled="true" fillcolor="#000000" stroked="false">
                  <v:fill type="solid"/>
                </v:rect>
              </v:group>
            </w:pict>
          </mc:Fallback>
        </mc:AlternateContent>
      </w:r>
      <w:r>
        <w:rPr>
          <w:sz w:val="2"/>
        </w:rPr>
      </w:r>
    </w:p>
    <w:p>
      <w:pPr>
        <w:spacing w:before="188"/>
        <w:ind w:left="1220" w:right="0" w:firstLine="0"/>
        <w:jc w:val="left"/>
        <w:rPr>
          <w:sz w:val="22"/>
        </w:rPr>
      </w:pPr>
      <w:bookmarkStart w:name="Calculation of Composite Scores" w:id="1396"/>
      <w:bookmarkEnd w:id="1396"/>
      <w:r>
        <w:rPr/>
      </w:r>
      <w:r>
        <w:rPr>
          <w:color w:val="1F3762"/>
          <w:sz w:val="22"/>
        </w:rPr>
        <w:t>Calculation</w:t>
      </w:r>
      <w:r>
        <w:rPr>
          <w:color w:val="1F3762"/>
          <w:spacing w:val="-7"/>
          <w:sz w:val="22"/>
        </w:rPr>
        <w:t> </w:t>
      </w:r>
      <w:r>
        <w:rPr>
          <w:color w:val="1F3762"/>
          <w:sz w:val="22"/>
        </w:rPr>
        <w:t>of</w:t>
      </w:r>
      <w:r>
        <w:rPr>
          <w:color w:val="1F3762"/>
          <w:spacing w:val="-2"/>
          <w:sz w:val="22"/>
        </w:rPr>
        <w:t> </w:t>
      </w:r>
      <w:r>
        <w:rPr>
          <w:color w:val="1F3762"/>
          <w:sz w:val="22"/>
        </w:rPr>
        <w:t>Composite</w:t>
      </w:r>
      <w:r>
        <w:rPr>
          <w:color w:val="1F3762"/>
          <w:spacing w:val="-3"/>
          <w:sz w:val="22"/>
        </w:rPr>
        <w:t> </w:t>
      </w:r>
      <w:r>
        <w:rPr>
          <w:color w:val="1F3762"/>
          <w:spacing w:val="-2"/>
          <w:sz w:val="22"/>
        </w:rPr>
        <w:t>Scores</w:t>
      </w:r>
    </w:p>
    <w:p>
      <w:pPr>
        <w:spacing w:line="259" w:lineRule="auto" w:before="1"/>
        <w:ind w:left="1220" w:right="1158" w:firstLine="0"/>
        <w:jc w:val="left"/>
        <w:rPr>
          <w:sz w:val="22"/>
        </w:rPr>
      </w:pPr>
      <w:r>
        <w:rPr>
          <w:sz w:val="22"/>
        </w:rPr>
        <w:t>This section clarifies calculation of measures consisting of composite scores, applicable to a specific subset of ACO and CP measures. Two distinct calculations are applicable to composite scores with (1) equally weighted component measures, or (2) unequally weighted component measures. Composite scores</w:t>
      </w:r>
      <w:r>
        <w:rPr>
          <w:spacing w:val="-3"/>
          <w:sz w:val="22"/>
        </w:rPr>
        <w:t> </w:t>
      </w:r>
      <w:r>
        <w:rPr>
          <w:sz w:val="22"/>
        </w:rPr>
        <w:t>with</w:t>
      </w:r>
      <w:r>
        <w:rPr>
          <w:spacing w:val="-3"/>
          <w:sz w:val="22"/>
        </w:rPr>
        <w:t> </w:t>
      </w:r>
      <w:r>
        <w:rPr>
          <w:sz w:val="22"/>
        </w:rPr>
        <w:t>equally</w:t>
      </w:r>
      <w:r>
        <w:rPr>
          <w:spacing w:val="-6"/>
          <w:sz w:val="22"/>
        </w:rPr>
        <w:t> </w:t>
      </w:r>
      <w:r>
        <w:rPr>
          <w:sz w:val="22"/>
        </w:rPr>
        <w:t>weighted</w:t>
      </w:r>
      <w:r>
        <w:rPr>
          <w:spacing w:val="-3"/>
          <w:sz w:val="22"/>
        </w:rPr>
        <w:t> </w:t>
      </w:r>
      <w:r>
        <w:rPr>
          <w:sz w:val="22"/>
        </w:rPr>
        <w:t>component</w:t>
      </w:r>
      <w:r>
        <w:rPr>
          <w:spacing w:val="-2"/>
          <w:sz w:val="22"/>
        </w:rPr>
        <w:t> </w:t>
      </w:r>
      <w:r>
        <w:rPr>
          <w:sz w:val="22"/>
        </w:rPr>
        <w:t>measures</w:t>
      </w:r>
      <w:r>
        <w:rPr>
          <w:spacing w:val="-3"/>
          <w:sz w:val="22"/>
        </w:rPr>
        <w:t> </w:t>
      </w:r>
      <w:r>
        <w:rPr>
          <w:sz w:val="22"/>
        </w:rPr>
        <w:t>consist</w:t>
      </w:r>
      <w:r>
        <w:rPr>
          <w:spacing w:val="-2"/>
          <w:sz w:val="22"/>
        </w:rPr>
        <w:t> </w:t>
      </w:r>
      <w:r>
        <w:rPr>
          <w:sz w:val="22"/>
        </w:rPr>
        <w:t>of</w:t>
      </w:r>
      <w:r>
        <w:rPr>
          <w:spacing w:val="-5"/>
          <w:sz w:val="22"/>
        </w:rPr>
        <w:t> </w:t>
      </w:r>
      <w:r>
        <w:rPr>
          <w:sz w:val="22"/>
        </w:rPr>
        <w:t>ACO</w:t>
      </w:r>
      <w:r>
        <w:rPr>
          <w:spacing w:val="-4"/>
          <w:sz w:val="22"/>
        </w:rPr>
        <w:t> </w:t>
      </w:r>
      <w:r>
        <w:rPr>
          <w:sz w:val="22"/>
        </w:rPr>
        <w:t>and</w:t>
      </w:r>
      <w:r>
        <w:rPr>
          <w:spacing w:val="-3"/>
          <w:sz w:val="22"/>
        </w:rPr>
        <w:t> </w:t>
      </w:r>
      <w:r>
        <w:rPr>
          <w:sz w:val="22"/>
        </w:rPr>
        <w:t>CP</w:t>
      </w:r>
      <w:r>
        <w:rPr>
          <w:spacing w:val="-4"/>
          <w:sz w:val="22"/>
        </w:rPr>
        <w:t> </w:t>
      </w:r>
      <w:r>
        <w:rPr>
          <w:sz w:val="22"/>
        </w:rPr>
        <w:t>member</w:t>
      </w:r>
      <w:r>
        <w:rPr>
          <w:spacing w:val="-2"/>
          <w:sz w:val="22"/>
        </w:rPr>
        <w:t> </w:t>
      </w:r>
      <w:r>
        <w:rPr>
          <w:sz w:val="22"/>
        </w:rPr>
        <w:t>experience</w:t>
      </w:r>
      <w:r>
        <w:rPr>
          <w:spacing w:val="-3"/>
          <w:sz w:val="22"/>
        </w:rPr>
        <w:t> </w:t>
      </w:r>
      <w:r>
        <w:rPr>
          <w:sz w:val="22"/>
        </w:rPr>
        <w:t>measures, ACO </w:t>
      </w:r>
      <w:r>
        <w:rPr>
          <w:i/>
          <w:sz w:val="22"/>
        </w:rPr>
        <w:t>Engagement </w:t>
      </w:r>
      <w:r>
        <w:rPr>
          <w:sz w:val="22"/>
        </w:rPr>
        <w:t>measures, ACO </w:t>
      </w:r>
      <w:r>
        <w:rPr>
          <w:i/>
          <w:sz w:val="22"/>
        </w:rPr>
        <w:t>Community Tenure</w:t>
      </w:r>
      <w:r>
        <w:rPr>
          <w:i/>
          <w:spacing w:val="-1"/>
          <w:sz w:val="22"/>
        </w:rPr>
        <w:t> </w:t>
      </w:r>
      <w:r>
        <w:rPr>
          <w:sz w:val="22"/>
        </w:rPr>
        <w:t>measure, as</w:t>
      </w:r>
      <w:r>
        <w:rPr>
          <w:spacing w:val="-1"/>
          <w:sz w:val="22"/>
        </w:rPr>
        <w:t> </w:t>
      </w:r>
      <w:r>
        <w:rPr>
          <w:sz w:val="22"/>
        </w:rPr>
        <w:t>well as</w:t>
      </w:r>
      <w:r>
        <w:rPr>
          <w:spacing w:val="-1"/>
          <w:sz w:val="22"/>
        </w:rPr>
        <w:t> </w:t>
      </w:r>
      <w:r>
        <w:rPr>
          <w:sz w:val="22"/>
        </w:rPr>
        <w:t>the ACO and BH CP versions of </w:t>
      </w:r>
      <w:r>
        <w:rPr>
          <w:i/>
          <w:sz w:val="22"/>
        </w:rPr>
        <w:t>Initiation of Alcohol, Opioid, or Other Drug Abuse or Dependence Treatment </w:t>
      </w:r>
      <w:r>
        <w:rPr>
          <w:sz w:val="22"/>
        </w:rPr>
        <w:t>(IET) measure.</w:t>
      </w:r>
    </w:p>
    <w:p>
      <w:pPr>
        <w:spacing w:line="250" w:lineRule="exact" w:before="0"/>
        <w:ind w:left="1220" w:right="0" w:firstLine="0"/>
        <w:jc w:val="left"/>
        <w:rPr>
          <w:sz w:val="22"/>
        </w:rPr>
      </w:pPr>
      <w:r>
        <w:rPr>
          <w:sz w:val="22"/>
        </w:rPr>
        <w:t>Calculation</w:t>
      </w:r>
      <w:r>
        <w:rPr>
          <w:spacing w:val="-8"/>
          <w:sz w:val="22"/>
        </w:rPr>
        <w:t> </w:t>
      </w:r>
      <w:r>
        <w:rPr>
          <w:sz w:val="22"/>
        </w:rPr>
        <w:t>of</w:t>
      </w:r>
      <w:r>
        <w:rPr>
          <w:spacing w:val="-5"/>
          <w:sz w:val="22"/>
        </w:rPr>
        <w:t> </w:t>
      </w:r>
      <w:r>
        <w:rPr>
          <w:sz w:val="22"/>
        </w:rPr>
        <w:t>these</w:t>
      </w:r>
      <w:r>
        <w:rPr>
          <w:spacing w:val="-2"/>
          <w:sz w:val="22"/>
        </w:rPr>
        <w:t> </w:t>
      </w:r>
      <w:r>
        <w:rPr>
          <w:sz w:val="22"/>
        </w:rPr>
        <w:t>composite</w:t>
      </w:r>
      <w:r>
        <w:rPr>
          <w:spacing w:val="-3"/>
          <w:sz w:val="22"/>
        </w:rPr>
        <w:t> </w:t>
      </w:r>
      <w:r>
        <w:rPr>
          <w:sz w:val="22"/>
        </w:rPr>
        <w:t>scores</w:t>
      </w:r>
      <w:r>
        <w:rPr>
          <w:spacing w:val="-2"/>
          <w:sz w:val="22"/>
        </w:rPr>
        <w:t> </w:t>
      </w:r>
      <w:r>
        <w:rPr>
          <w:sz w:val="22"/>
        </w:rPr>
        <w:t>consists</w:t>
      </w:r>
      <w:r>
        <w:rPr>
          <w:spacing w:val="-5"/>
          <w:sz w:val="22"/>
        </w:rPr>
        <w:t> </w:t>
      </w:r>
      <w:r>
        <w:rPr>
          <w:sz w:val="22"/>
        </w:rPr>
        <w:t>of</w:t>
      </w:r>
      <w:r>
        <w:rPr>
          <w:spacing w:val="-4"/>
          <w:sz w:val="22"/>
        </w:rPr>
        <w:t> </w:t>
      </w:r>
      <w:r>
        <w:rPr>
          <w:sz w:val="22"/>
        </w:rPr>
        <w:t>the</w:t>
      </w:r>
      <w:r>
        <w:rPr>
          <w:spacing w:val="-5"/>
          <w:sz w:val="22"/>
        </w:rPr>
        <w:t> </w:t>
      </w:r>
      <w:r>
        <w:rPr>
          <w:sz w:val="22"/>
        </w:rPr>
        <w:t>following</w:t>
      </w:r>
      <w:r>
        <w:rPr>
          <w:spacing w:val="-5"/>
          <w:sz w:val="22"/>
        </w:rPr>
        <w:t> </w:t>
      </w:r>
      <w:r>
        <w:rPr>
          <w:spacing w:val="-2"/>
          <w:sz w:val="22"/>
        </w:rPr>
        <w:t>methodology:</w:t>
      </w:r>
    </w:p>
    <w:p>
      <w:pPr>
        <w:pStyle w:val="BodyText"/>
        <w:spacing w:before="5"/>
        <w:rPr>
          <w:sz w:val="25"/>
        </w:rPr>
      </w:pPr>
    </w:p>
    <w:p>
      <w:pPr>
        <w:pStyle w:val="ListParagraph"/>
        <w:numPr>
          <w:ilvl w:val="0"/>
          <w:numId w:val="93"/>
        </w:numPr>
        <w:tabs>
          <w:tab w:pos="1940" w:val="left" w:leader="none"/>
        </w:tabs>
        <w:spacing w:line="256" w:lineRule="auto" w:before="0" w:after="0"/>
        <w:ind w:left="1940" w:right="1309" w:hanging="361"/>
        <w:jc w:val="left"/>
        <w:rPr>
          <w:sz w:val="22"/>
        </w:rPr>
      </w:pPr>
      <w:r>
        <w:rPr>
          <w:sz w:val="22"/>
        </w:rPr>
        <w:t>Achievement</w:t>
      </w:r>
      <w:r>
        <w:rPr>
          <w:spacing w:val="-2"/>
          <w:sz w:val="22"/>
        </w:rPr>
        <w:t> </w:t>
      </w:r>
      <w:r>
        <w:rPr>
          <w:sz w:val="22"/>
        </w:rPr>
        <w:t>points</w:t>
      </w:r>
      <w:r>
        <w:rPr>
          <w:spacing w:val="-5"/>
          <w:sz w:val="22"/>
        </w:rPr>
        <w:t> </w:t>
      </w:r>
      <w:r>
        <w:rPr>
          <w:sz w:val="22"/>
        </w:rPr>
        <w:t>are</w:t>
      </w:r>
      <w:r>
        <w:rPr>
          <w:spacing w:val="-5"/>
          <w:sz w:val="22"/>
        </w:rPr>
        <w:t> </w:t>
      </w:r>
      <w:r>
        <w:rPr>
          <w:sz w:val="22"/>
        </w:rPr>
        <w:t>averaged</w:t>
      </w:r>
      <w:r>
        <w:rPr>
          <w:spacing w:val="-3"/>
          <w:sz w:val="22"/>
        </w:rPr>
        <w:t> </w:t>
      </w:r>
      <w:r>
        <w:rPr>
          <w:sz w:val="22"/>
        </w:rPr>
        <w:t>across</w:t>
      </w:r>
      <w:r>
        <w:rPr>
          <w:spacing w:val="-5"/>
          <w:sz w:val="22"/>
        </w:rPr>
        <w:t> </w:t>
      </w:r>
      <w:r>
        <w:rPr>
          <w:sz w:val="22"/>
        </w:rPr>
        <w:t>component</w:t>
      </w:r>
      <w:r>
        <w:rPr>
          <w:spacing w:val="-2"/>
          <w:sz w:val="22"/>
        </w:rPr>
        <w:t> </w:t>
      </w:r>
      <w:r>
        <w:rPr>
          <w:sz w:val="22"/>
        </w:rPr>
        <w:t>measures</w:t>
      </w:r>
      <w:r>
        <w:rPr>
          <w:spacing w:val="-3"/>
          <w:sz w:val="22"/>
        </w:rPr>
        <w:t> </w:t>
      </w:r>
      <w:r>
        <w:rPr>
          <w:sz w:val="22"/>
        </w:rPr>
        <w:t>within</w:t>
      </w:r>
      <w:r>
        <w:rPr>
          <w:spacing w:val="-3"/>
          <w:sz w:val="22"/>
        </w:rPr>
        <w:t> </w:t>
      </w:r>
      <w:r>
        <w:rPr>
          <w:sz w:val="22"/>
        </w:rPr>
        <w:t>the</w:t>
      </w:r>
      <w:r>
        <w:rPr>
          <w:spacing w:val="-3"/>
          <w:sz w:val="22"/>
        </w:rPr>
        <w:t> </w:t>
      </w:r>
      <w:r>
        <w:rPr>
          <w:sz w:val="22"/>
        </w:rPr>
        <w:t>composite</w:t>
      </w:r>
      <w:r>
        <w:rPr>
          <w:spacing w:val="-6"/>
          <w:sz w:val="22"/>
        </w:rPr>
        <w:t> </w:t>
      </w:r>
      <w:r>
        <w:rPr>
          <w:sz w:val="22"/>
        </w:rPr>
        <w:t>(rounded</w:t>
      </w:r>
      <w:r>
        <w:rPr>
          <w:spacing w:val="-6"/>
          <w:sz w:val="22"/>
        </w:rPr>
        <w:t> </w:t>
      </w:r>
      <w:r>
        <w:rPr>
          <w:sz w:val="22"/>
        </w:rPr>
        <w:t>to nearest tenth)</w:t>
      </w:r>
    </w:p>
    <w:p>
      <w:pPr>
        <w:pStyle w:val="ListParagraph"/>
        <w:numPr>
          <w:ilvl w:val="0"/>
          <w:numId w:val="93"/>
        </w:numPr>
        <w:tabs>
          <w:tab w:pos="1940" w:val="left" w:leader="none"/>
        </w:tabs>
        <w:spacing w:line="256" w:lineRule="auto" w:before="3" w:after="0"/>
        <w:ind w:left="1940" w:right="1102" w:hanging="361"/>
        <w:jc w:val="left"/>
        <w:rPr>
          <w:sz w:val="22"/>
        </w:rPr>
      </w:pPr>
      <w:r>
        <w:rPr>
          <w:sz w:val="22"/>
        </w:rPr>
        <w:t>Improvement</w:t>
      </w:r>
      <w:r>
        <w:rPr>
          <w:spacing w:val="-2"/>
          <w:sz w:val="22"/>
        </w:rPr>
        <w:t> </w:t>
      </w:r>
      <w:r>
        <w:rPr>
          <w:sz w:val="22"/>
        </w:rPr>
        <w:t>points</w:t>
      </w:r>
      <w:r>
        <w:rPr>
          <w:spacing w:val="-5"/>
          <w:sz w:val="22"/>
        </w:rPr>
        <w:t> </w:t>
      </w:r>
      <w:r>
        <w:rPr>
          <w:sz w:val="22"/>
        </w:rPr>
        <w:t>(applicable</w:t>
      </w:r>
      <w:r>
        <w:rPr>
          <w:spacing w:val="-5"/>
          <w:sz w:val="22"/>
        </w:rPr>
        <w:t> </w:t>
      </w:r>
      <w:r>
        <w:rPr>
          <w:sz w:val="22"/>
        </w:rPr>
        <w:t>to</w:t>
      </w:r>
      <w:r>
        <w:rPr>
          <w:spacing w:val="-3"/>
          <w:sz w:val="22"/>
        </w:rPr>
        <w:t> </w:t>
      </w:r>
      <w:r>
        <w:rPr>
          <w:sz w:val="22"/>
        </w:rPr>
        <w:t>ACO</w:t>
      </w:r>
      <w:r>
        <w:rPr>
          <w:spacing w:val="-4"/>
          <w:sz w:val="22"/>
        </w:rPr>
        <w:t> </w:t>
      </w:r>
      <w:r>
        <w:rPr>
          <w:sz w:val="22"/>
        </w:rPr>
        <w:t>measures</w:t>
      </w:r>
      <w:r>
        <w:rPr>
          <w:spacing w:val="-3"/>
          <w:sz w:val="22"/>
        </w:rPr>
        <w:t> </w:t>
      </w:r>
      <w:r>
        <w:rPr>
          <w:sz w:val="22"/>
        </w:rPr>
        <w:t>only)</w:t>
      </w:r>
      <w:r>
        <w:rPr>
          <w:spacing w:val="-3"/>
          <w:sz w:val="22"/>
        </w:rPr>
        <w:t> </w:t>
      </w:r>
      <w:r>
        <w:rPr>
          <w:sz w:val="22"/>
        </w:rPr>
        <w:t>are</w:t>
      </w:r>
      <w:r>
        <w:rPr>
          <w:spacing w:val="-3"/>
          <w:sz w:val="22"/>
        </w:rPr>
        <w:t> </w:t>
      </w:r>
      <w:r>
        <w:rPr>
          <w:sz w:val="22"/>
        </w:rPr>
        <w:t>averaged</w:t>
      </w:r>
      <w:r>
        <w:rPr>
          <w:spacing w:val="-4"/>
          <w:sz w:val="22"/>
        </w:rPr>
        <w:t> </w:t>
      </w:r>
      <w:r>
        <w:rPr>
          <w:sz w:val="22"/>
        </w:rPr>
        <w:t>across</w:t>
      </w:r>
      <w:r>
        <w:rPr>
          <w:spacing w:val="-3"/>
          <w:sz w:val="22"/>
        </w:rPr>
        <w:t> </w:t>
      </w:r>
      <w:r>
        <w:rPr>
          <w:sz w:val="22"/>
        </w:rPr>
        <w:t>component</w:t>
      </w:r>
      <w:r>
        <w:rPr>
          <w:spacing w:val="-2"/>
          <w:sz w:val="22"/>
        </w:rPr>
        <w:t> </w:t>
      </w:r>
      <w:r>
        <w:rPr>
          <w:sz w:val="22"/>
        </w:rPr>
        <w:t>measures within a composite (rounded to nearest tenth)</w:t>
      </w:r>
    </w:p>
    <w:p>
      <w:pPr>
        <w:pStyle w:val="ListParagraph"/>
        <w:numPr>
          <w:ilvl w:val="0"/>
          <w:numId w:val="93"/>
        </w:numPr>
        <w:tabs>
          <w:tab w:pos="1940" w:val="left" w:leader="none"/>
        </w:tabs>
        <w:spacing w:line="256" w:lineRule="auto" w:before="2" w:after="0"/>
        <w:ind w:left="1940" w:right="1680" w:hanging="361"/>
        <w:jc w:val="left"/>
        <w:rPr>
          <w:sz w:val="22"/>
        </w:rPr>
      </w:pPr>
      <w:r>
        <w:rPr>
          <w:sz w:val="22"/>
        </w:rPr>
        <w:t>The</w:t>
      </w:r>
      <w:r>
        <w:rPr>
          <w:spacing w:val="-5"/>
          <w:sz w:val="22"/>
        </w:rPr>
        <w:t> </w:t>
      </w:r>
      <w:r>
        <w:rPr>
          <w:sz w:val="22"/>
        </w:rPr>
        <w:t>average</w:t>
      </w:r>
      <w:r>
        <w:rPr>
          <w:spacing w:val="-3"/>
          <w:sz w:val="22"/>
        </w:rPr>
        <w:t> </w:t>
      </w:r>
      <w:r>
        <w:rPr>
          <w:sz w:val="22"/>
        </w:rPr>
        <w:t>composite</w:t>
      </w:r>
      <w:r>
        <w:rPr>
          <w:spacing w:val="-3"/>
          <w:sz w:val="22"/>
        </w:rPr>
        <w:t> </w:t>
      </w:r>
      <w:r>
        <w:rPr>
          <w:sz w:val="22"/>
        </w:rPr>
        <w:t>achievement</w:t>
      </w:r>
      <w:r>
        <w:rPr>
          <w:spacing w:val="-2"/>
          <w:sz w:val="22"/>
        </w:rPr>
        <w:t> </w:t>
      </w:r>
      <w:r>
        <w:rPr>
          <w:sz w:val="22"/>
        </w:rPr>
        <w:t>points</w:t>
      </w:r>
      <w:r>
        <w:rPr>
          <w:spacing w:val="-3"/>
          <w:sz w:val="22"/>
        </w:rPr>
        <w:t> </w:t>
      </w:r>
      <w:r>
        <w:rPr>
          <w:sz w:val="22"/>
        </w:rPr>
        <w:t>value</w:t>
      </w:r>
      <w:r>
        <w:rPr>
          <w:spacing w:val="-3"/>
          <w:sz w:val="22"/>
        </w:rPr>
        <w:t> </w:t>
      </w:r>
      <w:r>
        <w:rPr>
          <w:sz w:val="22"/>
        </w:rPr>
        <w:t>is</w:t>
      </w:r>
      <w:r>
        <w:rPr>
          <w:spacing w:val="-5"/>
          <w:sz w:val="22"/>
        </w:rPr>
        <w:t> </w:t>
      </w:r>
      <w:r>
        <w:rPr>
          <w:sz w:val="22"/>
        </w:rPr>
        <w:t>applied</w:t>
      </w:r>
      <w:r>
        <w:rPr>
          <w:spacing w:val="-3"/>
          <w:sz w:val="22"/>
        </w:rPr>
        <w:t> </w:t>
      </w:r>
      <w:r>
        <w:rPr>
          <w:sz w:val="22"/>
        </w:rPr>
        <w:t>to</w:t>
      </w:r>
      <w:r>
        <w:rPr>
          <w:spacing w:val="-6"/>
          <w:sz w:val="22"/>
        </w:rPr>
        <w:t> </w:t>
      </w:r>
      <w:r>
        <w:rPr>
          <w:sz w:val="22"/>
        </w:rPr>
        <w:t>the</w:t>
      </w:r>
      <w:r>
        <w:rPr>
          <w:spacing w:val="-3"/>
          <w:sz w:val="22"/>
        </w:rPr>
        <w:t> </w:t>
      </w:r>
      <w:r>
        <w:rPr>
          <w:sz w:val="22"/>
        </w:rPr>
        <w:t>sum</w:t>
      </w:r>
      <w:r>
        <w:rPr>
          <w:spacing w:val="-7"/>
          <w:sz w:val="22"/>
        </w:rPr>
        <w:t> </w:t>
      </w:r>
      <w:r>
        <w:rPr>
          <w:sz w:val="22"/>
        </w:rPr>
        <w:t>of</w:t>
      </w:r>
      <w:r>
        <w:rPr>
          <w:spacing w:val="-2"/>
          <w:sz w:val="22"/>
        </w:rPr>
        <w:t> </w:t>
      </w:r>
      <w:r>
        <w:rPr>
          <w:sz w:val="22"/>
        </w:rPr>
        <w:t>total</w:t>
      </w:r>
      <w:r>
        <w:rPr>
          <w:spacing w:val="-2"/>
          <w:sz w:val="22"/>
        </w:rPr>
        <w:t> </w:t>
      </w:r>
      <w:r>
        <w:rPr>
          <w:sz w:val="22"/>
        </w:rPr>
        <w:t>achievement points in the domain</w:t>
      </w:r>
    </w:p>
    <w:p>
      <w:pPr>
        <w:pStyle w:val="ListParagraph"/>
        <w:numPr>
          <w:ilvl w:val="0"/>
          <w:numId w:val="93"/>
        </w:numPr>
        <w:tabs>
          <w:tab w:pos="1941" w:val="left" w:leader="none"/>
        </w:tabs>
        <w:spacing w:line="256" w:lineRule="auto" w:before="3" w:after="0"/>
        <w:ind w:left="1941" w:right="1555" w:hanging="361"/>
        <w:jc w:val="left"/>
        <w:rPr>
          <w:sz w:val="22"/>
        </w:rPr>
      </w:pPr>
      <w:r>
        <w:rPr>
          <w:sz w:val="22"/>
        </w:rPr>
        <w:t>The</w:t>
      </w:r>
      <w:r>
        <w:rPr>
          <w:spacing w:val="-5"/>
          <w:sz w:val="22"/>
        </w:rPr>
        <w:t> </w:t>
      </w:r>
      <w:r>
        <w:rPr>
          <w:sz w:val="22"/>
        </w:rPr>
        <w:t>average</w:t>
      </w:r>
      <w:r>
        <w:rPr>
          <w:spacing w:val="-3"/>
          <w:sz w:val="22"/>
        </w:rPr>
        <w:t> </w:t>
      </w:r>
      <w:r>
        <w:rPr>
          <w:sz w:val="22"/>
        </w:rPr>
        <w:t>composite</w:t>
      </w:r>
      <w:r>
        <w:rPr>
          <w:spacing w:val="-3"/>
          <w:sz w:val="22"/>
        </w:rPr>
        <w:t> </w:t>
      </w:r>
      <w:r>
        <w:rPr>
          <w:sz w:val="22"/>
        </w:rPr>
        <w:t>improvement</w:t>
      </w:r>
      <w:r>
        <w:rPr>
          <w:spacing w:val="-2"/>
          <w:sz w:val="22"/>
        </w:rPr>
        <w:t> </w:t>
      </w:r>
      <w:r>
        <w:rPr>
          <w:sz w:val="22"/>
        </w:rPr>
        <w:t>points</w:t>
      </w:r>
      <w:r>
        <w:rPr>
          <w:spacing w:val="-3"/>
          <w:sz w:val="22"/>
        </w:rPr>
        <w:t> </w:t>
      </w:r>
      <w:r>
        <w:rPr>
          <w:sz w:val="22"/>
        </w:rPr>
        <w:t>value</w:t>
      </w:r>
      <w:r>
        <w:rPr>
          <w:spacing w:val="-5"/>
          <w:sz w:val="22"/>
        </w:rPr>
        <w:t> </w:t>
      </w:r>
      <w:r>
        <w:rPr>
          <w:sz w:val="22"/>
        </w:rPr>
        <w:t>is</w:t>
      </w:r>
      <w:r>
        <w:rPr>
          <w:spacing w:val="-5"/>
          <w:sz w:val="22"/>
        </w:rPr>
        <w:t> </w:t>
      </w:r>
      <w:r>
        <w:rPr>
          <w:sz w:val="22"/>
        </w:rPr>
        <w:t>applied</w:t>
      </w:r>
      <w:r>
        <w:rPr>
          <w:spacing w:val="-3"/>
          <w:sz w:val="22"/>
        </w:rPr>
        <w:t> </w:t>
      </w:r>
      <w:r>
        <w:rPr>
          <w:sz w:val="22"/>
        </w:rPr>
        <w:t>to</w:t>
      </w:r>
      <w:r>
        <w:rPr>
          <w:spacing w:val="-5"/>
          <w:sz w:val="22"/>
        </w:rPr>
        <w:t> </w:t>
      </w:r>
      <w:r>
        <w:rPr>
          <w:sz w:val="22"/>
        </w:rPr>
        <w:t>the</w:t>
      </w:r>
      <w:r>
        <w:rPr>
          <w:spacing w:val="-3"/>
          <w:sz w:val="22"/>
        </w:rPr>
        <w:t> </w:t>
      </w:r>
      <w:r>
        <w:rPr>
          <w:sz w:val="22"/>
        </w:rPr>
        <w:t>sum</w:t>
      </w:r>
      <w:r>
        <w:rPr>
          <w:spacing w:val="-6"/>
          <w:sz w:val="22"/>
        </w:rPr>
        <w:t> </w:t>
      </w:r>
      <w:r>
        <w:rPr>
          <w:sz w:val="22"/>
        </w:rPr>
        <w:t>of</w:t>
      </w:r>
      <w:r>
        <w:rPr>
          <w:spacing w:val="-2"/>
          <w:sz w:val="22"/>
        </w:rPr>
        <w:t> </w:t>
      </w:r>
      <w:r>
        <w:rPr>
          <w:sz w:val="22"/>
        </w:rPr>
        <w:t>total</w:t>
      </w:r>
      <w:r>
        <w:rPr>
          <w:spacing w:val="-2"/>
          <w:sz w:val="22"/>
        </w:rPr>
        <w:t> </w:t>
      </w:r>
      <w:r>
        <w:rPr>
          <w:sz w:val="22"/>
        </w:rPr>
        <w:t>improvement points in the domain</w:t>
      </w:r>
    </w:p>
    <w:p>
      <w:pPr>
        <w:pStyle w:val="BodyText"/>
        <w:spacing w:before="5"/>
        <w:rPr>
          <w:sz w:val="22"/>
        </w:rPr>
      </w:pPr>
    </w:p>
    <w:p>
      <w:pPr>
        <w:spacing w:line="256" w:lineRule="auto" w:before="0"/>
        <w:ind w:left="1221" w:right="1111" w:firstLine="0"/>
        <w:jc w:val="left"/>
        <w:rPr>
          <w:sz w:val="22"/>
        </w:rPr>
      </w:pPr>
      <w:r>
        <w:rPr>
          <w:sz w:val="22"/>
        </w:rPr>
        <w:t>Composite scores with unequally weighted component measures consist of the BH CP Treatment Plan based</w:t>
      </w:r>
      <w:r>
        <w:rPr>
          <w:spacing w:val="-5"/>
          <w:sz w:val="22"/>
        </w:rPr>
        <w:t> </w:t>
      </w:r>
      <w:r>
        <w:rPr>
          <w:sz w:val="22"/>
        </w:rPr>
        <w:t>composite</w:t>
      </w:r>
      <w:r>
        <w:rPr>
          <w:spacing w:val="-3"/>
          <w:sz w:val="22"/>
        </w:rPr>
        <w:t> </w:t>
      </w:r>
      <w:r>
        <w:rPr>
          <w:sz w:val="22"/>
        </w:rPr>
        <w:t>(i.e.,</w:t>
      </w:r>
      <w:r>
        <w:rPr>
          <w:spacing w:val="-3"/>
          <w:sz w:val="22"/>
        </w:rPr>
        <w:t> </w:t>
      </w:r>
      <w:r>
        <w:rPr>
          <w:i/>
          <w:sz w:val="22"/>
        </w:rPr>
        <w:t>Engagement</w:t>
      </w:r>
      <w:r>
        <w:rPr>
          <w:i/>
          <w:spacing w:val="-4"/>
          <w:sz w:val="22"/>
        </w:rPr>
        <w:t> </w:t>
      </w:r>
      <w:r>
        <w:rPr>
          <w:sz w:val="22"/>
        </w:rPr>
        <w:t>and</w:t>
      </w:r>
      <w:r>
        <w:rPr>
          <w:spacing w:val="-3"/>
          <w:sz w:val="22"/>
        </w:rPr>
        <w:t> </w:t>
      </w:r>
      <w:r>
        <w:rPr>
          <w:i/>
          <w:sz w:val="22"/>
        </w:rPr>
        <w:t>Annual</w:t>
      </w:r>
      <w:r>
        <w:rPr>
          <w:i/>
          <w:spacing w:val="-2"/>
          <w:sz w:val="22"/>
        </w:rPr>
        <w:t> </w:t>
      </w:r>
      <w:r>
        <w:rPr>
          <w:i/>
          <w:sz w:val="22"/>
        </w:rPr>
        <w:t>Treatment</w:t>
      </w:r>
      <w:r>
        <w:rPr>
          <w:i/>
          <w:spacing w:val="-2"/>
          <w:sz w:val="22"/>
        </w:rPr>
        <w:t> </w:t>
      </w:r>
      <w:r>
        <w:rPr>
          <w:i/>
          <w:sz w:val="22"/>
        </w:rPr>
        <w:t>Plan</w:t>
      </w:r>
      <w:r>
        <w:rPr>
          <w:i/>
          <w:spacing w:val="-3"/>
          <w:sz w:val="22"/>
        </w:rPr>
        <w:t> </w:t>
      </w:r>
      <w:r>
        <w:rPr>
          <w:i/>
          <w:sz w:val="22"/>
        </w:rPr>
        <w:t>Completion</w:t>
      </w:r>
      <w:r>
        <w:rPr>
          <w:i/>
          <w:spacing w:val="-3"/>
          <w:sz w:val="22"/>
        </w:rPr>
        <w:t> </w:t>
      </w:r>
      <w:r>
        <w:rPr>
          <w:sz w:val="22"/>
        </w:rPr>
        <w:t>measures)</w:t>
      </w:r>
      <w:r>
        <w:rPr>
          <w:spacing w:val="-2"/>
          <w:sz w:val="22"/>
        </w:rPr>
        <w:t> </w:t>
      </w:r>
      <w:r>
        <w:rPr>
          <w:sz w:val="22"/>
        </w:rPr>
        <w:t>and</w:t>
      </w:r>
      <w:r>
        <w:rPr>
          <w:spacing w:val="-5"/>
          <w:sz w:val="22"/>
        </w:rPr>
        <w:t> </w:t>
      </w:r>
      <w:r>
        <w:rPr>
          <w:sz w:val="22"/>
        </w:rPr>
        <w:t>the</w:t>
      </w:r>
      <w:r>
        <w:rPr>
          <w:spacing w:val="-3"/>
          <w:sz w:val="22"/>
        </w:rPr>
        <w:t> </w:t>
      </w:r>
      <w:r>
        <w:rPr>
          <w:sz w:val="22"/>
        </w:rPr>
        <w:t>LTSS</w:t>
      </w:r>
      <w:r>
        <w:rPr>
          <w:spacing w:val="-5"/>
          <w:sz w:val="22"/>
        </w:rPr>
        <w:t> </w:t>
      </w:r>
      <w:r>
        <w:rPr>
          <w:sz w:val="22"/>
        </w:rPr>
        <w:t>CP</w:t>
      </w:r>
    </w:p>
    <w:p>
      <w:pPr>
        <w:spacing w:after="0" w:line="256" w:lineRule="auto"/>
        <w:jc w:val="left"/>
        <w:rPr>
          <w:sz w:val="22"/>
        </w:rPr>
        <w:sectPr>
          <w:pgSz w:w="12240" w:h="15840"/>
          <w:pgMar w:header="0" w:footer="967" w:top="1360" w:bottom="1160" w:left="220" w:right="340"/>
        </w:sectPr>
      </w:pPr>
    </w:p>
    <w:p>
      <w:pPr>
        <w:spacing w:line="259" w:lineRule="auto" w:before="81"/>
        <w:ind w:left="1219" w:right="1178" w:firstLine="0"/>
        <w:jc w:val="left"/>
        <w:rPr>
          <w:sz w:val="22"/>
        </w:rPr>
      </w:pPr>
      <w:r>
        <w:rPr>
          <w:sz w:val="22"/>
        </w:rPr>
        <w:t>Care</w:t>
      </w:r>
      <w:r>
        <w:rPr>
          <w:spacing w:val="-2"/>
          <w:sz w:val="22"/>
        </w:rPr>
        <w:t> </w:t>
      </w:r>
      <w:r>
        <w:rPr>
          <w:sz w:val="22"/>
        </w:rPr>
        <w:t>Plan</w:t>
      </w:r>
      <w:r>
        <w:rPr>
          <w:spacing w:val="-2"/>
          <w:sz w:val="22"/>
        </w:rPr>
        <w:t> </w:t>
      </w:r>
      <w:r>
        <w:rPr>
          <w:sz w:val="22"/>
        </w:rPr>
        <w:t>based</w:t>
      </w:r>
      <w:r>
        <w:rPr>
          <w:spacing w:val="-5"/>
          <w:sz w:val="22"/>
        </w:rPr>
        <w:t> </w:t>
      </w:r>
      <w:r>
        <w:rPr>
          <w:sz w:val="22"/>
        </w:rPr>
        <w:t>composite</w:t>
      </w:r>
      <w:r>
        <w:rPr>
          <w:spacing w:val="-4"/>
          <w:sz w:val="22"/>
        </w:rPr>
        <w:t> </w:t>
      </w:r>
      <w:r>
        <w:rPr>
          <w:sz w:val="22"/>
        </w:rPr>
        <w:t>(i.e.,</w:t>
      </w:r>
      <w:r>
        <w:rPr>
          <w:spacing w:val="-2"/>
          <w:sz w:val="22"/>
        </w:rPr>
        <w:t> </w:t>
      </w:r>
      <w:r>
        <w:rPr>
          <w:i/>
          <w:sz w:val="22"/>
        </w:rPr>
        <w:t>Engagement</w:t>
      </w:r>
      <w:r>
        <w:rPr>
          <w:i/>
          <w:spacing w:val="-4"/>
          <w:sz w:val="22"/>
        </w:rPr>
        <w:t> </w:t>
      </w:r>
      <w:r>
        <w:rPr>
          <w:sz w:val="22"/>
        </w:rPr>
        <w:t>and</w:t>
      </w:r>
      <w:r>
        <w:rPr>
          <w:spacing w:val="-2"/>
          <w:sz w:val="22"/>
        </w:rPr>
        <w:t> </w:t>
      </w:r>
      <w:r>
        <w:rPr>
          <w:i/>
          <w:sz w:val="22"/>
        </w:rPr>
        <w:t>Annual</w:t>
      </w:r>
      <w:r>
        <w:rPr>
          <w:i/>
          <w:spacing w:val="-1"/>
          <w:sz w:val="22"/>
        </w:rPr>
        <w:t> </w:t>
      </w:r>
      <w:r>
        <w:rPr>
          <w:i/>
          <w:sz w:val="22"/>
        </w:rPr>
        <w:t>Care</w:t>
      </w:r>
      <w:r>
        <w:rPr>
          <w:i/>
          <w:spacing w:val="-4"/>
          <w:sz w:val="22"/>
        </w:rPr>
        <w:t> </w:t>
      </w:r>
      <w:r>
        <w:rPr>
          <w:i/>
          <w:sz w:val="22"/>
        </w:rPr>
        <w:t>Plan</w:t>
      </w:r>
      <w:r>
        <w:rPr>
          <w:i/>
          <w:spacing w:val="-2"/>
          <w:sz w:val="22"/>
        </w:rPr>
        <w:t> </w:t>
      </w:r>
      <w:r>
        <w:rPr>
          <w:i/>
          <w:sz w:val="22"/>
        </w:rPr>
        <w:t>Completion</w:t>
      </w:r>
      <w:r>
        <w:rPr>
          <w:i/>
          <w:spacing w:val="-2"/>
          <w:sz w:val="22"/>
        </w:rPr>
        <w:t> </w:t>
      </w:r>
      <w:r>
        <w:rPr>
          <w:sz w:val="22"/>
        </w:rPr>
        <w:t>measures).</w:t>
      </w:r>
      <w:r>
        <w:rPr>
          <w:spacing w:val="40"/>
          <w:sz w:val="22"/>
        </w:rPr>
        <w:t> </w:t>
      </w:r>
      <w:r>
        <w:rPr>
          <w:sz w:val="22"/>
        </w:rPr>
        <w:t>Calculation of these composite scores consists of the following methodology:</w:t>
      </w:r>
    </w:p>
    <w:p>
      <w:pPr>
        <w:pStyle w:val="ListParagraph"/>
        <w:numPr>
          <w:ilvl w:val="0"/>
          <w:numId w:val="93"/>
        </w:numPr>
        <w:tabs>
          <w:tab w:pos="1939" w:val="left" w:leader="none"/>
        </w:tabs>
        <w:spacing w:line="276" w:lineRule="auto" w:before="157" w:after="0"/>
        <w:ind w:left="1939" w:right="1101" w:hanging="360"/>
        <w:jc w:val="left"/>
        <w:rPr>
          <w:sz w:val="22"/>
        </w:rPr>
      </w:pPr>
      <w:r>
        <w:rPr>
          <w:sz w:val="22"/>
        </w:rPr>
        <w:t>Achievement points are weighted across component measures within a composite score. The Annual</w:t>
      </w:r>
      <w:r>
        <w:rPr>
          <w:spacing w:val="-5"/>
          <w:sz w:val="22"/>
        </w:rPr>
        <w:t> </w:t>
      </w:r>
      <w:r>
        <w:rPr>
          <w:sz w:val="22"/>
        </w:rPr>
        <w:t>Treatment/Care</w:t>
      </w:r>
      <w:r>
        <w:rPr>
          <w:spacing w:val="-3"/>
          <w:sz w:val="22"/>
        </w:rPr>
        <w:t> </w:t>
      </w:r>
      <w:r>
        <w:rPr>
          <w:sz w:val="22"/>
        </w:rPr>
        <w:t>Plan</w:t>
      </w:r>
      <w:r>
        <w:rPr>
          <w:spacing w:val="-3"/>
          <w:sz w:val="22"/>
        </w:rPr>
        <w:t> </w:t>
      </w:r>
      <w:r>
        <w:rPr>
          <w:sz w:val="22"/>
        </w:rPr>
        <w:t>Completion</w:t>
      </w:r>
      <w:r>
        <w:rPr>
          <w:spacing w:val="-3"/>
          <w:sz w:val="22"/>
        </w:rPr>
        <w:t> </w:t>
      </w:r>
      <w:r>
        <w:rPr>
          <w:sz w:val="22"/>
        </w:rPr>
        <w:t>measure</w:t>
      </w:r>
      <w:r>
        <w:rPr>
          <w:spacing w:val="-6"/>
          <w:sz w:val="22"/>
        </w:rPr>
        <w:t> </w:t>
      </w:r>
      <w:r>
        <w:rPr>
          <w:sz w:val="22"/>
        </w:rPr>
        <w:t>is</w:t>
      </w:r>
      <w:r>
        <w:rPr>
          <w:spacing w:val="-3"/>
          <w:sz w:val="22"/>
        </w:rPr>
        <w:t> </w:t>
      </w:r>
      <w:r>
        <w:rPr>
          <w:sz w:val="22"/>
        </w:rPr>
        <w:t>80%</w:t>
      </w:r>
      <w:r>
        <w:rPr>
          <w:spacing w:val="-2"/>
          <w:sz w:val="22"/>
        </w:rPr>
        <w:t> </w:t>
      </w:r>
      <w:r>
        <w:rPr>
          <w:sz w:val="22"/>
        </w:rPr>
        <w:t>of</w:t>
      </w:r>
      <w:r>
        <w:rPr>
          <w:spacing w:val="-2"/>
          <w:sz w:val="22"/>
        </w:rPr>
        <w:t> </w:t>
      </w:r>
      <w:r>
        <w:rPr>
          <w:sz w:val="22"/>
        </w:rPr>
        <w:t>the</w:t>
      </w:r>
      <w:r>
        <w:rPr>
          <w:spacing w:val="-3"/>
          <w:sz w:val="22"/>
        </w:rPr>
        <w:t> </w:t>
      </w:r>
      <w:r>
        <w:rPr>
          <w:sz w:val="22"/>
        </w:rPr>
        <w:t>composite</w:t>
      </w:r>
      <w:r>
        <w:rPr>
          <w:spacing w:val="-3"/>
          <w:sz w:val="22"/>
        </w:rPr>
        <w:t> </w:t>
      </w:r>
      <w:r>
        <w:rPr>
          <w:sz w:val="22"/>
        </w:rPr>
        <w:t>score</w:t>
      </w:r>
      <w:r>
        <w:rPr>
          <w:spacing w:val="-6"/>
          <w:sz w:val="22"/>
        </w:rPr>
        <w:t> </w:t>
      </w:r>
      <w:r>
        <w:rPr>
          <w:sz w:val="22"/>
        </w:rPr>
        <w:t>and</w:t>
      </w:r>
      <w:r>
        <w:rPr>
          <w:spacing w:val="-3"/>
          <w:sz w:val="22"/>
        </w:rPr>
        <w:t> </w:t>
      </w:r>
      <w:r>
        <w:rPr>
          <w:sz w:val="22"/>
        </w:rPr>
        <w:t>Engagement is 20% of the composite (rounded to the nearest tenth)</w:t>
      </w:r>
    </w:p>
    <w:p>
      <w:pPr>
        <w:pStyle w:val="ListParagraph"/>
        <w:numPr>
          <w:ilvl w:val="0"/>
          <w:numId w:val="93"/>
        </w:numPr>
        <w:tabs>
          <w:tab w:pos="1939" w:val="left" w:leader="none"/>
        </w:tabs>
        <w:spacing w:line="273" w:lineRule="auto" w:before="0" w:after="0"/>
        <w:ind w:left="1939" w:right="1557" w:hanging="361"/>
        <w:jc w:val="left"/>
        <w:rPr>
          <w:sz w:val="22"/>
        </w:rPr>
      </w:pPr>
      <w:r>
        <w:rPr>
          <w:sz w:val="22"/>
        </w:rPr>
        <w:t>The</w:t>
      </w:r>
      <w:r>
        <w:rPr>
          <w:spacing w:val="-5"/>
          <w:sz w:val="22"/>
        </w:rPr>
        <w:t> </w:t>
      </w:r>
      <w:r>
        <w:rPr>
          <w:sz w:val="22"/>
        </w:rPr>
        <w:t>weighted</w:t>
      </w:r>
      <w:r>
        <w:rPr>
          <w:spacing w:val="-3"/>
          <w:sz w:val="22"/>
        </w:rPr>
        <w:t> </w:t>
      </w:r>
      <w:r>
        <w:rPr>
          <w:sz w:val="22"/>
        </w:rPr>
        <w:t>composite</w:t>
      </w:r>
      <w:r>
        <w:rPr>
          <w:spacing w:val="-3"/>
          <w:sz w:val="22"/>
        </w:rPr>
        <w:t> </w:t>
      </w:r>
      <w:r>
        <w:rPr>
          <w:sz w:val="22"/>
        </w:rPr>
        <w:t>achievement</w:t>
      </w:r>
      <w:r>
        <w:rPr>
          <w:spacing w:val="-2"/>
          <w:sz w:val="22"/>
        </w:rPr>
        <w:t> </w:t>
      </w:r>
      <w:r>
        <w:rPr>
          <w:sz w:val="22"/>
        </w:rPr>
        <w:t>points</w:t>
      </w:r>
      <w:r>
        <w:rPr>
          <w:spacing w:val="-3"/>
          <w:sz w:val="22"/>
        </w:rPr>
        <w:t> </w:t>
      </w:r>
      <w:r>
        <w:rPr>
          <w:sz w:val="22"/>
        </w:rPr>
        <w:t>value</w:t>
      </w:r>
      <w:r>
        <w:rPr>
          <w:spacing w:val="-3"/>
          <w:sz w:val="22"/>
        </w:rPr>
        <w:t> </w:t>
      </w:r>
      <w:r>
        <w:rPr>
          <w:sz w:val="22"/>
        </w:rPr>
        <w:t>is</w:t>
      </w:r>
      <w:r>
        <w:rPr>
          <w:spacing w:val="-3"/>
          <w:sz w:val="22"/>
        </w:rPr>
        <w:t> </w:t>
      </w:r>
      <w:r>
        <w:rPr>
          <w:sz w:val="22"/>
        </w:rPr>
        <w:t>applied</w:t>
      </w:r>
      <w:r>
        <w:rPr>
          <w:spacing w:val="-3"/>
          <w:sz w:val="22"/>
        </w:rPr>
        <w:t> </w:t>
      </w:r>
      <w:r>
        <w:rPr>
          <w:sz w:val="22"/>
        </w:rPr>
        <w:t>to</w:t>
      </w:r>
      <w:r>
        <w:rPr>
          <w:spacing w:val="-3"/>
          <w:sz w:val="22"/>
        </w:rPr>
        <w:t> </w:t>
      </w:r>
      <w:r>
        <w:rPr>
          <w:sz w:val="22"/>
        </w:rPr>
        <w:t>the</w:t>
      </w:r>
      <w:r>
        <w:rPr>
          <w:spacing w:val="-3"/>
          <w:sz w:val="22"/>
        </w:rPr>
        <w:t> </w:t>
      </w:r>
      <w:r>
        <w:rPr>
          <w:sz w:val="22"/>
        </w:rPr>
        <w:t>sum</w:t>
      </w:r>
      <w:r>
        <w:rPr>
          <w:spacing w:val="-7"/>
          <w:sz w:val="22"/>
        </w:rPr>
        <w:t> </w:t>
      </w:r>
      <w:r>
        <w:rPr>
          <w:sz w:val="22"/>
        </w:rPr>
        <w:t>of</w:t>
      </w:r>
      <w:r>
        <w:rPr>
          <w:spacing w:val="-2"/>
          <w:sz w:val="22"/>
        </w:rPr>
        <w:t> </w:t>
      </w:r>
      <w:r>
        <w:rPr>
          <w:sz w:val="22"/>
        </w:rPr>
        <w:t>total</w:t>
      </w:r>
      <w:r>
        <w:rPr>
          <w:spacing w:val="-2"/>
          <w:sz w:val="22"/>
        </w:rPr>
        <w:t> </w:t>
      </w:r>
      <w:r>
        <w:rPr>
          <w:sz w:val="22"/>
        </w:rPr>
        <w:t>achievement points in the domain</w:t>
      </w:r>
    </w:p>
    <w:p>
      <w:pPr>
        <w:pStyle w:val="BodyText"/>
        <w:spacing w:before="10"/>
        <w:rPr>
          <w:sz w:val="21"/>
        </w:rPr>
      </w:pPr>
    </w:p>
    <w:p>
      <w:pPr>
        <w:spacing w:before="0"/>
        <w:ind w:left="1219" w:right="0" w:firstLine="0"/>
        <w:jc w:val="left"/>
        <w:rPr>
          <w:sz w:val="22"/>
        </w:rPr>
      </w:pPr>
      <w:r>
        <w:rPr>
          <w:sz w:val="22"/>
        </w:rPr>
        <w:t>EXHIBIT</w:t>
      </w:r>
      <w:r>
        <w:rPr>
          <w:spacing w:val="-2"/>
          <w:sz w:val="22"/>
        </w:rPr>
        <w:t> </w:t>
      </w:r>
      <w:r>
        <w:rPr>
          <w:sz w:val="22"/>
        </w:rPr>
        <w:t>40:</w:t>
      </w:r>
      <w:r>
        <w:rPr>
          <w:spacing w:val="-3"/>
          <w:sz w:val="22"/>
        </w:rPr>
        <w:t> </w:t>
      </w:r>
      <w:r>
        <w:rPr>
          <w:sz w:val="22"/>
        </w:rPr>
        <w:t>Example</w:t>
      </w:r>
      <w:r>
        <w:rPr>
          <w:spacing w:val="-4"/>
          <w:sz w:val="22"/>
        </w:rPr>
        <w:t> </w:t>
      </w:r>
      <w:r>
        <w:rPr>
          <w:sz w:val="22"/>
        </w:rPr>
        <w:t>of</w:t>
      </w:r>
      <w:r>
        <w:rPr>
          <w:spacing w:val="-6"/>
          <w:sz w:val="22"/>
        </w:rPr>
        <w:t> </w:t>
      </w:r>
      <w:r>
        <w:rPr>
          <w:sz w:val="22"/>
        </w:rPr>
        <w:t>Composite</w:t>
      </w:r>
      <w:r>
        <w:rPr>
          <w:spacing w:val="-4"/>
          <w:sz w:val="22"/>
        </w:rPr>
        <w:t> </w:t>
      </w:r>
      <w:r>
        <w:rPr>
          <w:sz w:val="22"/>
        </w:rPr>
        <w:t>Scoring</w:t>
      </w:r>
      <w:r>
        <w:rPr>
          <w:spacing w:val="-6"/>
          <w:sz w:val="22"/>
        </w:rPr>
        <w:t> </w:t>
      </w:r>
      <w:r>
        <w:rPr>
          <w:sz w:val="22"/>
        </w:rPr>
        <w:t>(Equally</w:t>
      </w:r>
      <w:r>
        <w:rPr>
          <w:spacing w:val="-7"/>
          <w:sz w:val="22"/>
        </w:rPr>
        <w:t> </w:t>
      </w:r>
      <w:r>
        <w:rPr>
          <w:sz w:val="22"/>
        </w:rPr>
        <w:t>and</w:t>
      </w:r>
      <w:r>
        <w:rPr>
          <w:spacing w:val="-3"/>
          <w:sz w:val="22"/>
        </w:rPr>
        <w:t> </w:t>
      </w:r>
      <w:r>
        <w:rPr>
          <w:sz w:val="22"/>
        </w:rPr>
        <w:t>Unequally</w:t>
      </w:r>
      <w:r>
        <w:rPr>
          <w:spacing w:val="-7"/>
          <w:sz w:val="22"/>
        </w:rPr>
        <w:t> </w:t>
      </w:r>
      <w:r>
        <w:rPr>
          <w:sz w:val="22"/>
        </w:rPr>
        <w:t>Weighted</w:t>
      </w:r>
      <w:r>
        <w:rPr>
          <w:spacing w:val="-7"/>
          <w:sz w:val="22"/>
        </w:rPr>
        <w:t> </w:t>
      </w:r>
      <w:r>
        <w:rPr>
          <w:sz w:val="22"/>
        </w:rPr>
        <w:t>Component</w:t>
      </w:r>
      <w:r>
        <w:rPr>
          <w:spacing w:val="-2"/>
          <w:sz w:val="22"/>
        </w:rPr>
        <w:t> Measures)</w:t>
      </w:r>
    </w:p>
    <w:tbl>
      <w:tblPr>
        <w:tblW w:w="0" w:type="auto"/>
        <w:jc w:val="left"/>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3"/>
        <w:gridCol w:w="2818"/>
        <w:gridCol w:w="5146"/>
        <w:gridCol w:w="699"/>
      </w:tblGrid>
      <w:tr>
        <w:trPr>
          <w:trHeight w:val="491" w:hRule="atLeast"/>
        </w:trPr>
        <w:tc>
          <w:tcPr>
            <w:tcW w:w="713" w:type="dxa"/>
            <w:vMerge w:val="restart"/>
            <w:tcBorders>
              <w:left w:val="nil"/>
              <w:right w:val="single" w:sz="2" w:space="0" w:color="BEBEBE"/>
            </w:tcBorders>
          </w:tcPr>
          <w:p>
            <w:pPr>
              <w:pStyle w:val="TableParagraph"/>
              <w:rPr>
                <w:sz w:val="20"/>
              </w:rPr>
            </w:pPr>
          </w:p>
        </w:tc>
        <w:tc>
          <w:tcPr>
            <w:tcW w:w="7964" w:type="dxa"/>
            <w:gridSpan w:val="2"/>
            <w:tcBorders>
              <w:top w:val="single" w:sz="6" w:space="0" w:color="000000"/>
              <w:left w:val="single" w:sz="2" w:space="0" w:color="BEBEBE"/>
              <w:bottom w:val="single" w:sz="2" w:space="0" w:color="BEBEBE"/>
              <w:right w:val="single" w:sz="2" w:space="0" w:color="BEBEBE"/>
            </w:tcBorders>
            <w:shd w:val="clear" w:color="auto" w:fill="313D4F"/>
          </w:tcPr>
          <w:p>
            <w:pPr>
              <w:pStyle w:val="TableParagraph"/>
              <w:spacing w:before="31"/>
              <w:ind w:left="105"/>
              <w:rPr>
                <w:b/>
                <w:sz w:val="20"/>
              </w:rPr>
            </w:pPr>
            <w:r>
              <w:rPr>
                <w:b/>
                <w:color w:val="FFFFFF"/>
                <w:sz w:val="20"/>
              </w:rPr>
              <w:t>Composite</w:t>
            </w:r>
            <w:r>
              <w:rPr>
                <w:b/>
                <w:color w:val="FFFFFF"/>
                <w:spacing w:val="-9"/>
                <w:sz w:val="20"/>
              </w:rPr>
              <w:t> </w:t>
            </w:r>
            <w:r>
              <w:rPr>
                <w:b/>
                <w:color w:val="FFFFFF"/>
                <w:sz w:val="20"/>
              </w:rPr>
              <w:t>Scores:</w:t>
            </w:r>
            <w:r>
              <w:rPr>
                <w:b/>
                <w:color w:val="FFFFFF"/>
                <w:spacing w:val="-8"/>
                <w:sz w:val="20"/>
              </w:rPr>
              <w:t> </w:t>
            </w:r>
            <w:r>
              <w:rPr>
                <w:b/>
                <w:color w:val="FFFFFF"/>
                <w:sz w:val="20"/>
              </w:rPr>
              <w:t>Equally</w:t>
            </w:r>
            <w:r>
              <w:rPr>
                <w:b/>
                <w:color w:val="FFFFFF"/>
                <w:spacing w:val="-8"/>
                <w:sz w:val="20"/>
              </w:rPr>
              <w:t> </w:t>
            </w:r>
            <w:r>
              <w:rPr>
                <w:b/>
                <w:color w:val="FFFFFF"/>
                <w:sz w:val="20"/>
              </w:rPr>
              <w:t>Weighted</w:t>
            </w:r>
            <w:r>
              <w:rPr>
                <w:b/>
                <w:color w:val="FFFFFF"/>
                <w:spacing w:val="-9"/>
                <w:sz w:val="20"/>
              </w:rPr>
              <w:t> </w:t>
            </w:r>
            <w:r>
              <w:rPr>
                <w:b/>
                <w:color w:val="FFFFFF"/>
                <w:spacing w:val="-2"/>
                <w:sz w:val="20"/>
              </w:rPr>
              <w:t>Components</w:t>
            </w:r>
          </w:p>
        </w:tc>
        <w:tc>
          <w:tcPr>
            <w:tcW w:w="699" w:type="dxa"/>
            <w:vMerge w:val="restart"/>
            <w:tcBorders>
              <w:left w:val="single" w:sz="2" w:space="0" w:color="BEBEBE"/>
              <w:right w:val="nil"/>
            </w:tcBorders>
          </w:tcPr>
          <w:p>
            <w:pPr>
              <w:pStyle w:val="TableParagraph"/>
              <w:rPr>
                <w:sz w:val="20"/>
              </w:rPr>
            </w:pPr>
          </w:p>
        </w:tc>
      </w:tr>
      <w:tr>
        <w:trPr>
          <w:trHeight w:val="818" w:hRule="atLeast"/>
        </w:trPr>
        <w:tc>
          <w:tcPr>
            <w:tcW w:w="713" w:type="dxa"/>
            <w:vMerge/>
            <w:tcBorders>
              <w:top w:val="nil"/>
              <w:left w:val="nil"/>
              <w:right w:val="single" w:sz="2" w:space="0" w:color="BEBEBE"/>
            </w:tcBorders>
          </w:tcPr>
          <w:p>
            <w:pPr>
              <w:rPr>
                <w:sz w:val="2"/>
                <w:szCs w:val="2"/>
              </w:rPr>
            </w:pPr>
          </w:p>
        </w:tc>
        <w:tc>
          <w:tcPr>
            <w:tcW w:w="2818" w:type="dxa"/>
            <w:tcBorders>
              <w:top w:val="single" w:sz="2" w:space="0" w:color="BEBEBE"/>
              <w:left w:val="single" w:sz="2" w:space="0" w:color="BEBEBE"/>
              <w:bottom w:val="single" w:sz="2" w:space="0" w:color="BEBEBE"/>
              <w:right w:val="single" w:sz="2" w:space="0" w:color="BEBEBE"/>
            </w:tcBorders>
            <w:shd w:val="clear" w:color="auto" w:fill="D9D9D9"/>
          </w:tcPr>
          <w:p>
            <w:pPr>
              <w:pStyle w:val="TableParagraph"/>
              <w:spacing w:line="276" w:lineRule="auto" w:before="26"/>
              <w:ind w:left="105"/>
              <w:rPr>
                <w:b/>
                <w:sz w:val="20"/>
              </w:rPr>
            </w:pPr>
            <w:r>
              <w:rPr>
                <w:b/>
                <w:sz w:val="20"/>
              </w:rPr>
              <w:t>Domain: Overall Rating and Care</w:t>
            </w:r>
            <w:r>
              <w:rPr>
                <w:b/>
                <w:spacing w:val="-10"/>
                <w:sz w:val="20"/>
              </w:rPr>
              <w:t> </w:t>
            </w:r>
            <w:r>
              <w:rPr>
                <w:b/>
                <w:sz w:val="20"/>
              </w:rPr>
              <w:t>Delivery</w:t>
            </w:r>
            <w:r>
              <w:rPr>
                <w:b/>
                <w:spacing w:val="-9"/>
                <w:sz w:val="20"/>
              </w:rPr>
              <w:t> </w:t>
            </w:r>
            <w:r>
              <w:rPr>
                <w:b/>
                <w:sz w:val="20"/>
              </w:rPr>
              <w:t>(consisting</w:t>
            </w:r>
            <w:r>
              <w:rPr>
                <w:b/>
                <w:spacing w:val="-9"/>
                <w:sz w:val="20"/>
              </w:rPr>
              <w:t> </w:t>
            </w:r>
            <w:r>
              <w:rPr>
                <w:b/>
                <w:sz w:val="20"/>
              </w:rPr>
              <w:t>of</w:t>
            </w:r>
            <w:r>
              <w:rPr>
                <w:b/>
                <w:spacing w:val="-12"/>
                <w:sz w:val="20"/>
              </w:rPr>
              <w:t> </w:t>
            </w:r>
            <w:r>
              <w:rPr>
                <w:b/>
                <w:sz w:val="20"/>
              </w:rPr>
              <w:t>4</w:t>
            </w:r>
          </w:p>
          <w:p>
            <w:pPr>
              <w:pStyle w:val="TableParagraph"/>
              <w:spacing w:before="2"/>
              <w:ind w:left="105"/>
              <w:rPr>
                <w:b/>
                <w:sz w:val="20"/>
              </w:rPr>
            </w:pPr>
            <w:r>
              <w:rPr>
                <w:b/>
                <w:sz w:val="20"/>
              </w:rPr>
              <w:t>composite</w:t>
            </w:r>
            <w:r>
              <w:rPr>
                <w:b/>
                <w:spacing w:val="-12"/>
                <w:sz w:val="20"/>
              </w:rPr>
              <w:t> </w:t>
            </w:r>
            <w:r>
              <w:rPr>
                <w:b/>
                <w:spacing w:val="-2"/>
                <w:sz w:val="20"/>
              </w:rPr>
              <w:t>scores)</w:t>
            </w:r>
          </w:p>
        </w:tc>
        <w:tc>
          <w:tcPr>
            <w:tcW w:w="5146" w:type="dxa"/>
            <w:tcBorders>
              <w:top w:val="single" w:sz="2" w:space="0" w:color="BEBEBE"/>
              <w:left w:val="single" w:sz="2" w:space="0" w:color="BEBEBE"/>
              <w:bottom w:val="single" w:sz="2" w:space="0" w:color="BEBEBE"/>
              <w:right w:val="single" w:sz="2" w:space="0" w:color="BEBEBE"/>
            </w:tcBorders>
            <w:shd w:val="clear" w:color="auto" w:fill="D9D9D9"/>
          </w:tcPr>
          <w:p>
            <w:pPr>
              <w:pStyle w:val="TableParagraph"/>
              <w:spacing w:before="26"/>
              <w:ind w:left="104"/>
              <w:rPr>
                <w:sz w:val="20"/>
              </w:rPr>
            </w:pPr>
            <w:r>
              <w:rPr>
                <w:sz w:val="20"/>
              </w:rPr>
              <w:t>Point</w:t>
            </w:r>
            <w:r>
              <w:rPr>
                <w:spacing w:val="-5"/>
                <w:sz w:val="20"/>
              </w:rPr>
              <w:t> </w:t>
            </w:r>
            <w:r>
              <w:rPr>
                <w:spacing w:val="-2"/>
                <w:sz w:val="20"/>
              </w:rPr>
              <w:t>Calculation</w:t>
            </w:r>
          </w:p>
        </w:tc>
        <w:tc>
          <w:tcPr>
            <w:tcW w:w="699" w:type="dxa"/>
            <w:vMerge/>
            <w:tcBorders>
              <w:top w:val="nil"/>
              <w:left w:val="single" w:sz="2" w:space="0" w:color="BEBEBE"/>
              <w:right w:val="nil"/>
            </w:tcBorders>
          </w:tcPr>
          <w:p>
            <w:pPr>
              <w:rPr>
                <w:sz w:val="2"/>
                <w:szCs w:val="2"/>
              </w:rPr>
            </w:pPr>
          </w:p>
        </w:tc>
      </w:tr>
      <w:tr>
        <w:trPr>
          <w:trHeight w:val="753" w:hRule="atLeast"/>
        </w:trPr>
        <w:tc>
          <w:tcPr>
            <w:tcW w:w="713" w:type="dxa"/>
            <w:vMerge/>
            <w:tcBorders>
              <w:top w:val="nil"/>
              <w:left w:val="nil"/>
              <w:right w:val="single" w:sz="2" w:space="0" w:color="BEBEBE"/>
            </w:tcBorders>
          </w:tcPr>
          <w:p>
            <w:pPr>
              <w:rPr>
                <w:sz w:val="2"/>
                <w:szCs w:val="2"/>
              </w:rPr>
            </w:pPr>
          </w:p>
        </w:tc>
        <w:tc>
          <w:tcPr>
            <w:tcW w:w="2818" w:type="dxa"/>
            <w:tcBorders>
              <w:top w:val="single" w:sz="2" w:space="0" w:color="BEBEBE"/>
              <w:left w:val="single" w:sz="2" w:space="0" w:color="BEBEBE"/>
              <w:bottom w:val="single" w:sz="2" w:space="0" w:color="BEBEBE"/>
              <w:right w:val="single" w:sz="2" w:space="0" w:color="BEBEBE"/>
            </w:tcBorders>
            <w:shd w:val="clear" w:color="auto" w:fill="D9E1F3"/>
          </w:tcPr>
          <w:p>
            <w:pPr>
              <w:pStyle w:val="TableParagraph"/>
              <w:spacing w:line="276" w:lineRule="auto" w:before="26"/>
              <w:ind w:left="105" w:right="324"/>
              <w:rPr>
                <w:b/>
                <w:sz w:val="20"/>
              </w:rPr>
            </w:pPr>
            <w:r>
              <w:rPr>
                <w:b/>
                <w:sz w:val="20"/>
              </w:rPr>
              <w:t>Composite</w:t>
            </w:r>
            <w:r>
              <w:rPr>
                <w:b/>
                <w:spacing w:val="-13"/>
                <w:sz w:val="20"/>
              </w:rPr>
              <w:t> </w:t>
            </w:r>
            <w:r>
              <w:rPr>
                <w:b/>
                <w:sz w:val="20"/>
              </w:rPr>
              <w:t>1:</w:t>
            </w:r>
            <w:r>
              <w:rPr>
                <w:b/>
                <w:spacing w:val="-12"/>
                <w:sz w:val="20"/>
              </w:rPr>
              <w:t> </w:t>
            </w:r>
            <w:r>
              <w:rPr>
                <w:b/>
                <w:sz w:val="20"/>
              </w:rPr>
              <w:t>Willingness</w:t>
            </w:r>
            <w:r>
              <w:rPr>
                <w:b/>
                <w:spacing w:val="-13"/>
                <w:sz w:val="20"/>
              </w:rPr>
              <w:t> </w:t>
            </w:r>
            <w:r>
              <w:rPr>
                <w:b/>
                <w:sz w:val="20"/>
              </w:rPr>
              <w:t>to Recommend-Adult Survey</w:t>
            </w:r>
          </w:p>
        </w:tc>
        <w:tc>
          <w:tcPr>
            <w:tcW w:w="5146" w:type="dxa"/>
            <w:tcBorders>
              <w:top w:val="single" w:sz="2" w:space="0" w:color="BEBEBE"/>
              <w:left w:val="single" w:sz="2" w:space="0" w:color="BEBEBE"/>
              <w:bottom w:val="single" w:sz="2" w:space="0" w:color="BEBEBE"/>
              <w:right w:val="single" w:sz="2" w:space="0" w:color="BEBEBE"/>
            </w:tcBorders>
          </w:tcPr>
          <w:p>
            <w:pPr>
              <w:pStyle w:val="TableParagraph"/>
              <w:spacing w:before="26"/>
              <w:ind w:left="104"/>
              <w:rPr>
                <w:sz w:val="20"/>
              </w:rPr>
            </w:pPr>
            <w:r>
              <w:rPr>
                <w:sz w:val="20"/>
              </w:rPr>
              <w:t>Achievement</w:t>
            </w:r>
            <w:r>
              <w:rPr>
                <w:spacing w:val="-12"/>
                <w:sz w:val="20"/>
              </w:rPr>
              <w:t> </w:t>
            </w:r>
            <w:r>
              <w:rPr>
                <w:sz w:val="20"/>
              </w:rPr>
              <w:t>points:</w:t>
            </w:r>
            <w:r>
              <w:rPr>
                <w:spacing w:val="-11"/>
                <w:sz w:val="20"/>
              </w:rPr>
              <w:t> </w:t>
            </w:r>
            <w:r>
              <w:rPr>
                <w:spacing w:val="-5"/>
                <w:sz w:val="20"/>
              </w:rPr>
              <w:t>5.6</w:t>
            </w:r>
          </w:p>
          <w:p>
            <w:pPr>
              <w:pStyle w:val="TableParagraph"/>
              <w:spacing w:before="34"/>
              <w:ind w:left="104"/>
              <w:rPr>
                <w:sz w:val="20"/>
              </w:rPr>
            </w:pPr>
            <w:r>
              <w:rPr>
                <w:sz w:val="20"/>
              </w:rPr>
              <w:t>Improvement</w:t>
            </w:r>
            <w:r>
              <w:rPr>
                <w:spacing w:val="-10"/>
                <w:sz w:val="20"/>
              </w:rPr>
              <w:t> </w:t>
            </w:r>
            <w:r>
              <w:rPr>
                <w:sz w:val="20"/>
              </w:rPr>
              <w:t>points:</w:t>
            </w:r>
            <w:r>
              <w:rPr>
                <w:spacing w:val="-10"/>
                <w:sz w:val="20"/>
              </w:rPr>
              <w:t> 5</w:t>
            </w:r>
          </w:p>
        </w:tc>
        <w:tc>
          <w:tcPr>
            <w:tcW w:w="699" w:type="dxa"/>
            <w:vMerge/>
            <w:tcBorders>
              <w:top w:val="nil"/>
              <w:left w:val="single" w:sz="2" w:space="0" w:color="BEBEBE"/>
              <w:right w:val="nil"/>
            </w:tcBorders>
          </w:tcPr>
          <w:p>
            <w:pPr>
              <w:rPr>
                <w:sz w:val="2"/>
                <w:szCs w:val="2"/>
              </w:rPr>
            </w:pPr>
          </w:p>
        </w:tc>
      </w:tr>
      <w:tr>
        <w:trPr>
          <w:trHeight w:val="753" w:hRule="atLeast"/>
        </w:trPr>
        <w:tc>
          <w:tcPr>
            <w:tcW w:w="713" w:type="dxa"/>
            <w:vMerge/>
            <w:tcBorders>
              <w:top w:val="nil"/>
              <w:left w:val="nil"/>
              <w:right w:val="single" w:sz="2" w:space="0" w:color="BEBEBE"/>
            </w:tcBorders>
          </w:tcPr>
          <w:p>
            <w:pPr>
              <w:rPr>
                <w:sz w:val="2"/>
                <w:szCs w:val="2"/>
              </w:rPr>
            </w:pPr>
          </w:p>
        </w:tc>
        <w:tc>
          <w:tcPr>
            <w:tcW w:w="2818" w:type="dxa"/>
            <w:tcBorders>
              <w:top w:val="single" w:sz="2" w:space="0" w:color="BEBEBE"/>
              <w:left w:val="single" w:sz="2" w:space="0" w:color="BEBEBE"/>
              <w:bottom w:val="single" w:sz="2" w:space="0" w:color="BEBEBE"/>
              <w:right w:val="single" w:sz="2" w:space="0" w:color="BEBEBE"/>
            </w:tcBorders>
            <w:shd w:val="clear" w:color="auto" w:fill="D9E1F3"/>
          </w:tcPr>
          <w:p>
            <w:pPr>
              <w:pStyle w:val="TableParagraph"/>
              <w:spacing w:line="276" w:lineRule="auto" w:before="26"/>
              <w:ind w:left="105" w:right="324"/>
              <w:rPr>
                <w:b/>
                <w:sz w:val="20"/>
              </w:rPr>
            </w:pPr>
            <w:r>
              <w:rPr>
                <w:b/>
                <w:sz w:val="20"/>
              </w:rPr>
              <w:t>Composite</w:t>
            </w:r>
            <w:r>
              <w:rPr>
                <w:b/>
                <w:spacing w:val="-13"/>
                <w:sz w:val="20"/>
              </w:rPr>
              <w:t> </w:t>
            </w:r>
            <w:r>
              <w:rPr>
                <w:b/>
                <w:sz w:val="20"/>
              </w:rPr>
              <w:t>2:</w:t>
            </w:r>
            <w:r>
              <w:rPr>
                <w:b/>
                <w:spacing w:val="-12"/>
                <w:sz w:val="20"/>
              </w:rPr>
              <w:t> </w:t>
            </w:r>
            <w:r>
              <w:rPr>
                <w:b/>
                <w:sz w:val="20"/>
              </w:rPr>
              <w:t>Willingness</w:t>
            </w:r>
            <w:r>
              <w:rPr>
                <w:b/>
                <w:spacing w:val="-13"/>
                <w:sz w:val="20"/>
              </w:rPr>
              <w:t> </w:t>
            </w:r>
            <w:r>
              <w:rPr>
                <w:b/>
                <w:sz w:val="20"/>
              </w:rPr>
              <w:t>to Recommend-Child Survey</w:t>
            </w:r>
          </w:p>
        </w:tc>
        <w:tc>
          <w:tcPr>
            <w:tcW w:w="5146" w:type="dxa"/>
            <w:tcBorders>
              <w:top w:val="single" w:sz="2" w:space="0" w:color="BEBEBE"/>
              <w:left w:val="single" w:sz="2" w:space="0" w:color="BEBEBE"/>
              <w:bottom w:val="single" w:sz="2" w:space="0" w:color="BEBEBE"/>
              <w:right w:val="single" w:sz="2" w:space="0" w:color="BEBEBE"/>
            </w:tcBorders>
          </w:tcPr>
          <w:p>
            <w:pPr>
              <w:pStyle w:val="TableParagraph"/>
              <w:spacing w:before="26"/>
              <w:ind w:left="104"/>
              <w:rPr>
                <w:sz w:val="20"/>
              </w:rPr>
            </w:pPr>
            <w:r>
              <w:rPr>
                <w:sz w:val="20"/>
              </w:rPr>
              <w:t>Achievement</w:t>
            </w:r>
            <w:r>
              <w:rPr>
                <w:spacing w:val="-12"/>
                <w:sz w:val="20"/>
              </w:rPr>
              <w:t> </w:t>
            </w:r>
            <w:r>
              <w:rPr>
                <w:sz w:val="20"/>
              </w:rPr>
              <w:t>points:</w:t>
            </w:r>
            <w:r>
              <w:rPr>
                <w:spacing w:val="-11"/>
                <w:sz w:val="20"/>
              </w:rPr>
              <w:t> </w:t>
            </w:r>
            <w:r>
              <w:rPr>
                <w:spacing w:val="-5"/>
                <w:sz w:val="20"/>
              </w:rPr>
              <w:t>7.5</w:t>
            </w:r>
          </w:p>
          <w:p>
            <w:pPr>
              <w:pStyle w:val="TableParagraph"/>
              <w:spacing w:before="34"/>
              <w:ind w:left="104"/>
              <w:rPr>
                <w:sz w:val="20"/>
              </w:rPr>
            </w:pPr>
            <w:r>
              <w:rPr>
                <w:sz w:val="20"/>
              </w:rPr>
              <w:t>Improvement</w:t>
            </w:r>
            <w:r>
              <w:rPr>
                <w:spacing w:val="-10"/>
                <w:sz w:val="20"/>
              </w:rPr>
              <w:t> </w:t>
            </w:r>
            <w:r>
              <w:rPr>
                <w:sz w:val="20"/>
              </w:rPr>
              <w:t>points:</w:t>
            </w:r>
            <w:r>
              <w:rPr>
                <w:spacing w:val="-10"/>
                <w:sz w:val="20"/>
              </w:rPr>
              <w:t> 0</w:t>
            </w:r>
          </w:p>
        </w:tc>
        <w:tc>
          <w:tcPr>
            <w:tcW w:w="699" w:type="dxa"/>
            <w:vMerge/>
            <w:tcBorders>
              <w:top w:val="nil"/>
              <w:left w:val="single" w:sz="2" w:space="0" w:color="BEBEBE"/>
              <w:right w:val="nil"/>
            </w:tcBorders>
          </w:tcPr>
          <w:p>
            <w:pPr>
              <w:rPr>
                <w:sz w:val="2"/>
                <w:szCs w:val="2"/>
              </w:rPr>
            </w:pPr>
          </w:p>
        </w:tc>
      </w:tr>
      <w:tr>
        <w:trPr>
          <w:trHeight w:val="815" w:hRule="atLeast"/>
        </w:trPr>
        <w:tc>
          <w:tcPr>
            <w:tcW w:w="713" w:type="dxa"/>
            <w:vMerge/>
            <w:tcBorders>
              <w:top w:val="nil"/>
              <w:left w:val="nil"/>
              <w:right w:val="single" w:sz="2" w:space="0" w:color="BEBEBE"/>
            </w:tcBorders>
          </w:tcPr>
          <w:p>
            <w:pPr>
              <w:rPr>
                <w:sz w:val="2"/>
                <w:szCs w:val="2"/>
              </w:rPr>
            </w:pPr>
          </w:p>
        </w:tc>
        <w:tc>
          <w:tcPr>
            <w:tcW w:w="2818" w:type="dxa"/>
            <w:tcBorders>
              <w:top w:val="single" w:sz="2" w:space="0" w:color="BEBEBE"/>
              <w:left w:val="single" w:sz="2" w:space="0" w:color="BEBEBE"/>
              <w:bottom w:val="single" w:sz="2" w:space="0" w:color="BEBEBE"/>
              <w:right w:val="single" w:sz="2" w:space="0" w:color="BEBEBE"/>
            </w:tcBorders>
            <w:shd w:val="clear" w:color="auto" w:fill="D9E1F3"/>
          </w:tcPr>
          <w:p>
            <w:pPr>
              <w:pStyle w:val="TableParagraph"/>
              <w:spacing w:line="264" w:lineRule="exact" w:before="2"/>
              <w:ind w:left="105" w:right="697"/>
              <w:rPr>
                <w:b/>
                <w:sz w:val="20"/>
              </w:rPr>
            </w:pPr>
            <w:r>
              <w:rPr>
                <w:b/>
                <w:sz w:val="20"/>
              </w:rPr>
              <w:t>Composite 3: </w:t>
            </w:r>
            <w:r>
              <w:rPr>
                <w:b/>
                <w:spacing w:val="-2"/>
                <w:sz w:val="20"/>
              </w:rPr>
              <w:t>Communications-Adult Survey</w:t>
            </w:r>
          </w:p>
        </w:tc>
        <w:tc>
          <w:tcPr>
            <w:tcW w:w="5146" w:type="dxa"/>
            <w:tcBorders>
              <w:top w:val="single" w:sz="2" w:space="0" w:color="BEBEBE"/>
              <w:left w:val="single" w:sz="2" w:space="0" w:color="BEBEBE"/>
              <w:bottom w:val="single" w:sz="2" w:space="0" w:color="BEBEBE"/>
              <w:right w:val="single" w:sz="2" w:space="0" w:color="BEBEBE"/>
            </w:tcBorders>
          </w:tcPr>
          <w:p>
            <w:pPr>
              <w:pStyle w:val="TableParagraph"/>
              <w:spacing w:before="26"/>
              <w:ind w:left="104"/>
              <w:rPr>
                <w:sz w:val="20"/>
              </w:rPr>
            </w:pPr>
            <w:r>
              <w:rPr>
                <w:sz w:val="20"/>
              </w:rPr>
              <w:t>Achievement</w:t>
            </w:r>
            <w:r>
              <w:rPr>
                <w:spacing w:val="-12"/>
                <w:sz w:val="20"/>
              </w:rPr>
              <w:t> </w:t>
            </w:r>
            <w:r>
              <w:rPr>
                <w:sz w:val="20"/>
              </w:rPr>
              <w:t>points:</w:t>
            </w:r>
            <w:r>
              <w:rPr>
                <w:spacing w:val="-11"/>
                <w:sz w:val="20"/>
              </w:rPr>
              <w:t> </w:t>
            </w:r>
            <w:r>
              <w:rPr>
                <w:spacing w:val="-5"/>
                <w:sz w:val="20"/>
              </w:rPr>
              <w:t>8.0</w:t>
            </w:r>
          </w:p>
          <w:p>
            <w:pPr>
              <w:pStyle w:val="TableParagraph"/>
              <w:spacing w:before="34"/>
              <w:ind w:left="104"/>
              <w:rPr>
                <w:sz w:val="20"/>
              </w:rPr>
            </w:pPr>
            <w:r>
              <w:rPr>
                <w:sz w:val="20"/>
              </w:rPr>
              <w:t>Improvement</w:t>
            </w:r>
            <w:r>
              <w:rPr>
                <w:spacing w:val="-10"/>
                <w:sz w:val="20"/>
              </w:rPr>
              <w:t> </w:t>
            </w:r>
            <w:r>
              <w:rPr>
                <w:sz w:val="20"/>
              </w:rPr>
              <w:t>points:</w:t>
            </w:r>
            <w:r>
              <w:rPr>
                <w:spacing w:val="-10"/>
                <w:sz w:val="20"/>
              </w:rPr>
              <w:t> 0</w:t>
            </w:r>
          </w:p>
        </w:tc>
        <w:tc>
          <w:tcPr>
            <w:tcW w:w="699" w:type="dxa"/>
            <w:vMerge/>
            <w:tcBorders>
              <w:top w:val="nil"/>
              <w:left w:val="single" w:sz="2" w:space="0" w:color="BEBEBE"/>
              <w:right w:val="nil"/>
            </w:tcBorders>
          </w:tcPr>
          <w:p>
            <w:pPr>
              <w:rPr>
                <w:sz w:val="2"/>
                <w:szCs w:val="2"/>
              </w:rPr>
            </w:pPr>
          </w:p>
        </w:tc>
      </w:tr>
      <w:tr>
        <w:trPr>
          <w:trHeight w:val="817" w:hRule="atLeast"/>
        </w:trPr>
        <w:tc>
          <w:tcPr>
            <w:tcW w:w="713" w:type="dxa"/>
            <w:vMerge/>
            <w:tcBorders>
              <w:top w:val="nil"/>
              <w:left w:val="nil"/>
              <w:right w:val="single" w:sz="2" w:space="0" w:color="BEBEBE"/>
            </w:tcBorders>
          </w:tcPr>
          <w:p>
            <w:pPr>
              <w:rPr>
                <w:sz w:val="2"/>
                <w:szCs w:val="2"/>
              </w:rPr>
            </w:pPr>
          </w:p>
        </w:tc>
        <w:tc>
          <w:tcPr>
            <w:tcW w:w="2818" w:type="dxa"/>
            <w:tcBorders>
              <w:top w:val="single" w:sz="2" w:space="0" w:color="BEBEBE"/>
              <w:left w:val="single" w:sz="2" w:space="0" w:color="BEBEBE"/>
              <w:bottom w:val="single" w:sz="2" w:space="0" w:color="BEBEBE"/>
              <w:right w:val="single" w:sz="2" w:space="0" w:color="BEBEBE"/>
            </w:tcBorders>
            <w:shd w:val="clear" w:color="auto" w:fill="D9E1F3"/>
          </w:tcPr>
          <w:p>
            <w:pPr>
              <w:pStyle w:val="TableParagraph"/>
              <w:spacing w:line="264" w:lineRule="exact" w:before="4"/>
              <w:ind w:left="105" w:right="706"/>
              <w:rPr>
                <w:b/>
                <w:sz w:val="20"/>
              </w:rPr>
            </w:pPr>
            <w:r>
              <w:rPr>
                <w:b/>
                <w:sz w:val="20"/>
              </w:rPr>
              <w:t>Composite 4: </w:t>
            </w:r>
            <w:r>
              <w:rPr>
                <w:b/>
                <w:spacing w:val="-2"/>
                <w:sz w:val="20"/>
              </w:rPr>
              <w:t>Communications-Child Survey</w:t>
            </w:r>
          </w:p>
        </w:tc>
        <w:tc>
          <w:tcPr>
            <w:tcW w:w="5146" w:type="dxa"/>
            <w:tcBorders>
              <w:top w:val="single" w:sz="2" w:space="0" w:color="BEBEBE"/>
              <w:left w:val="single" w:sz="2" w:space="0" w:color="BEBEBE"/>
              <w:bottom w:val="single" w:sz="2" w:space="0" w:color="BEBEBE"/>
              <w:right w:val="single" w:sz="2" w:space="0" w:color="BEBEBE"/>
            </w:tcBorders>
          </w:tcPr>
          <w:p>
            <w:pPr>
              <w:pStyle w:val="TableParagraph"/>
              <w:spacing w:before="29"/>
              <w:ind w:left="104"/>
              <w:rPr>
                <w:sz w:val="20"/>
              </w:rPr>
            </w:pPr>
            <w:r>
              <w:rPr>
                <w:sz w:val="20"/>
              </w:rPr>
              <w:t>Achievement</w:t>
            </w:r>
            <w:r>
              <w:rPr>
                <w:spacing w:val="-12"/>
                <w:sz w:val="20"/>
              </w:rPr>
              <w:t> </w:t>
            </w:r>
            <w:r>
              <w:rPr>
                <w:sz w:val="20"/>
              </w:rPr>
              <w:t>points:</w:t>
            </w:r>
            <w:r>
              <w:rPr>
                <w:spacing w:val="-11"/>
                <w:sz w:val="20"/>
              </w:rPr>
              <w:t> </w:t>
            </w:r>
            <w:r>
              <w:rPr>
                <w:spacing w:val="-5"/>
                <w:sz w:val="20"/>
              </w:rPr>
              <w:t>9.1</w:t>
            </w:r>
          </w:p>
          <w:p>
            <w:pPr>
              <w:pStyle w:val="TableParagraph"/>
              <w:spacing w:before="34"/>
              <w:ind w:left="104"/>
              <w:rPr>
                <w:sz w:val="20"/>
              </w:rPr>
            </w:pPr>
            <w:r>
              <w:rPr>
                <w:sz w:val="20"/>
              </w:rPr>
              <w:t>Improvement</w:t>
            </w:r>
            <w:r>
              <w:rPr>
                <w:spacing w:val="-10"/>
                <w:sz w:val="20"/>
              </w:rPr>
              <w:t> </w:t>
            </w:r>
            <w:r>
              <w:rPr>
                <w:sz w:val="20"/>
              </w:rPr>
              <w:t>points:</w:t>
            </w:r>
            <w:r>
              <w:rPr>
                <w:spacing w:val="-10"/>
                <w:sz w:val="20"/>
              </w:rPr>
              <w:t> 5</w:t>
            </w:r>
          </w:p>
        </w:tc>
        <w:tc>
          <w:tcPr>
            <w:tcW w:w="699" w:type="dxa"/>
            <w:vMerge/>
            <w:tcBorders>
              <w:top w:val="nil"/>
              <w:left w:val="single" w:sz="2" w:space="0" w:color="BEBEBE"/>
              <w:right w:val="nil"/>
            </w:tcBorders>
          </w:tcPr>
          <w:p>
            <w:pPr>
              <w:rPr>
                <w:sz w:val="2"/>
                <w:szCs w:val="2"/>
              </w:rPr>
            </w:pPr>
          </w:p>
        </w:tc>
      </w:tr>
      <w:tr>
        <w:trPr>
          <w:trHeight w:val="489" w:hRule="atLeast"/>
        </w:trPr>
        <w:tc>
          <w:tcPr>
            <w:tcW w:w="713" w:type="dxa"/>
            <w:vMerge/>
            <w:tcBorders>
              <w:top w:val="nil"/>
              <w:left w:val="nil"/>
              <w:right w:val="single" w:sz="2" w:space="0" w:color="BEBEBE"/>
            </w:tcBorders>
          </w:tcPr>
          <w:p>
            <w:pPr>
              <w:rPr>
                <w:sz w:val="2"/>
                <w:szCs w:val="2"/>
              </w:rPr>
            </w:pPr>
          </w:p>
        </w:tc>
        <w:tc>
          <w:tcPr>
            <w:tcW w:w="7964" w:type="dxa"/>
            <w:gridSpan w:val="2"/>
            <w:tcBorders>
              <w:top w:val="single" w:sz="2" w:space="0" w:color="BEBEBE"/>
              <w:left w:val="single" w:sz="2" w:space="0" w:color="BEBEBE"/>
              <w:bottom w:val="single" w:sz="2" w:space="0" w:color="BEBEBE"/>
              <w:right w:val="single" w:sz="2" w:space="0" w:color="BEBEBE"/>
            </w:tcBorders>
          </w:tcPr>
          <w:p>
            <w:pPr>
              <w:pStyle w:val="TableParagraph"/>
              <w:spacing w:before="26"/>
              <w:ind w:left="105"/>
              <w:rPr>
                <w:b/>
                <w:sz w:val="20"/>
              </w:rPr>
            </w:pPr>
            <w:r>
              <w:rPr>
                <w:b/>
                <w:sz w:val="20"/>
              </w:rPr>
              <w:t>Average</w:t>
            </w:r>
            <w:r>
              <w:rPr>
                <w:b/>
                <w:spacing w:val="-5"/>
                <w:sz w:val="20"/>
              </w:rPr>
              <w:t> </w:t>
            </w:r>
            <w:r>
              <w:rPr>
                <w:b/>
                <w:sz w:val="20"/>
              </w:rPr>
              <w:t>Achievement</w:t>
            </w:r>
            <w:r>
              <w:rPr>
                <w:b/>
                <w:spacing w:val="-3"/>
                <w:sz w:val="20"/>
              </w:rPr>
              <w:t> </w:t>
            </w:r>
            <w:r>
              <w:rPr>
                <w:b/>
                <w:sz w:val="20"/>
              </w:rPr>
              <w:t>points:</w:t>
            </w:r>
            <w:r>
              <w:rPr>
                <w:b/>
                <w:spacing w:val="-3"/>
                <w:sz w:val="20"/>
              </w:rPr>
              <w:t> </w:t>
            </w:r>
            <w:r>
              <w:rPr>
                <w:b/>
                <w:sz w:val="20"/>
              </w:rPr>
              <w:t>(5.6</w:t>
            </w:r>
            <w:r>
              <w:rPr>
                <w:b/>
                <w:spacing w:val="-6"/>
                <w:sz w:val="20"/>
              </w:rPr>
              <w:t> </w:t>
            </w:r>
            <w:r>
              <w:rPr>
                <w:b/>
                <w:sz w:val="20"/>
              </w:rPr>
              <w:t>+</w:t>
            </w:r>
            <w:r>
              <w:rPr>
                <w:b/>
                <w:spacing w:val="-5"/>
                <w:sz w:val="20"/>
              </w:rPr>
              <w:t> </w:t>
            </w:r>
            <w:r>
              <w:rPr>
                <w:b/>
                <w:sz w:val="20"/>
              </w:rPr>
              <w:t>7.5</w:t>
            </w:r>
            <w:r>
              <w:rPr>
                <w:b/>
                <w:spacing w:val="-3"/>
                <w:sz w:val="20"/>
              </w:rPr>
              <w:t> </w:t>
            </w:r>
            <w:r>
              <w:rPr>
                <w:b/>
                <w:sz w:val="20"/>
              </w:rPr>
              <w:t>+</w:t>
            </w:r>
            <w:r>
              <w:rPr>
                <w:b/>
                <w:spacing w:val="-5"/>
                <w:sz w:val="20"/>
              </w:rPr>
              <w:t> </w:t>
            </w:r>
            <w:r>
              <w:rPr>
                <w:b/>
                <w:sz w:val="20"/>
              </w:rPr>
              <w:t>8.0</w:t>
            </w:r>
            <w:r>
              <w:rPr>
                <w:b/>
                <w:spacing w:val="-3"/>
                <w:sz w:val="20"/>
              </w:rPr>
              <w:t> </w:t>
            </w:r>
            <w:r>
              <w:rPr>
                <w:b/>
                <w:sz w:val="20"/>
              </w:rPr>
              <w:t>+</w:t>
            </w:r>
            <w:r>
              <w:rPr>
                <w:b/>
                <w:spacing w:val="-6"/>
                <w:sz w:val="20"/>
              </w:rPr>
              <w:t> </w:t>
            </w:r>
            <w:r>
              <w:rPr>
                <w:b/>
                <w:sz w:val="20"/>
              </w:rPr>
              <w:t>9.1)/4</w:t>
            </w:r>
            <w:r>
              <w:rPr>
                <w:b/>
                <w:spacing w:val="-3"/>
                <w:sz w:val="20"/>
              </w:rPr>
              <w:t> </w:t>
            </w:r>
            <w:r>
              <w:rPr>
                <w:b/>
                <w:sz w:val="20"/>
              </w:rPr>
              <w:t>=</w:t>
            </w:r>
            <w:r>
              <w:rPr>
                <w:b/>
                <w:spacing w:val="-5"/>
                <w:sz w:val="20"/>
              </w:rPr>
              <w:t> 7.6</w:t>
            </w:r>
          </w:p>
        </w:tc>
        <w:tc>
          <w:tcPr>
            <w:tcW w:w="699" w:type="dxa"/>
            <w:vMerge/>
            <w:tcBorders>
              <w:top w:val="nil"/>
              <w:left w:val="single" w:sz="2" w:space="0" w:color="BEBEBE"/>
              <w:right w:val="nil"/>
            </w:tcBorders>
          </w:tcPr>
          <w:p>
            <w:pPr>
              <w:rPr>
                <w:sz w:val="2"/>
                <w:szCs w:val="2"/>
              </w:rPr>
            </w:pPr>
          </w:p>
        </w:tc>
      </w:tr>
      <w:tr>
        <w:trPr>
          <w:trHeight w:val="489" w:hRule="atLeast"/>
        </w:trPr>
        <w:tc>
          <w:tcPr>
            <w:tcW w:w="713" w:type="dxa"/>
            <w:vMerge/>
            <w:tcBorders>
              <w:top w:val="nil"/>
              <w:left w:val="nil"/>
              <w:right w:val="single" w:sz="2" w:space="0" w:color="BEBEBE"/>
            </w:tcBorders>
          </w:tcPr>
          <w:p>
            <w:pPr>
              <w:rPr>
                <w:sz w:val="2"/>
                <w:szCs w:val="2"/>
              </w:rPr>
            </w:pPr>
          </w:p>
        </w:tc>
        <w:tc>
          <w:tcPr>
            <w:tcW w:w="7964" w:type="dxa"/>
            <w:gridSpan w:val="2"/>
            <w:tcBorders>
              <w:top w:val="single" w:sz="2" w:space="0" w:color="BEBEBE"/>
              <w:left w:val="single" w:sz="2" w:space="0" w:color="BEBEBE"/>
              <w:bottom w:val="single" w:sz="2" w:space="0" w:color="BEBEBE"/>
              <w:right w:val="single" w:sz="2" w:space="0" w:color="BEBEBE"/>
            </w:tcBorders>
          </w:tcPr>
          <w:p>
            <w:pPr>
              <w:pStyle w:val="TableParagraph"/>
              <w:spacing w:before="26"/>
              <w:ind w:left="105"/>
              <w:rPr>
                <w:b/>
                <w:sz w:val="20"/>
              </w:rPr>
            </w:pPr>
            <w:r>
              <w:rPr>
                <w:b/>
                <w:sz w:val="20"/>
              </w:rPr>
              <w:t>Average</w:t>
            </w:r>
            <w:r>
              <w:rPr>
                <w:b/>
                <w:spacing w:val="-4"/>
                <w:sz w:val="20"/>
              </w:rPr>
              <w:t> </w:t>
            </w:r>
            <w:r>
              <w:rPr>
                <w:b/>
                <w:sz w:val="20"/>
              </w:rPr>
              <w:t>Improvement</w:t>
            </w:r>
            <w:r>
              <w:rPr>
                <w:b/>
                <w:spacing w:val="-3"/>
                <w:sz w:val="20"/>
              </w:rPr>
              <w:t> </w:t>
            </w:r>
            <w:r>
              <w:rPr>
                <w:b/>
                <w:sz w:val="20"/>
              </w:rPr>
              <w:t>points:</w:t>
            </w:r>
            <w:r>
              <w:rPr>
                <w:b/>
                <w:spacing w:val="-2"/>
                <w:sz w:val="20"/>
              </w:rPr>
              <w:t> </w:t>
            </w:r>
            <w:r>
              <w:rPr>
                <w:b/>
                <w:sz w:val="20"/>
              </w:rPr>
              <w:t>(5</w:t>
            </w:r>
            <w:r>
              <w:rPr>
                <w:b/>
                <w:spacing w:val="-3"/>
                <w:sz w:val="20"/>
              </w:rPr>
              <w:t> </w:t>
            </w:r>
            <w:r>
              <w:rPr>
                <w:b/>
                <w:sz w:val="20"/>
              </w:rPr>
              <w:t>+</w:t>
            </w:r>
            <w:r>
              <w:rPr>
                <w:b/>
                <w:spacing w:val="-4"/>
                <w:sz w:val="20"/>
              </w:rPr>
              <w:t> </w:t>
            </w:r>
            <w:r>
              <w:rPr>
                <w:b/>
                <w:sz w:val="20"/>
              </w:rPr>
              <w:t>0</w:t>
            </w:r>
            <w:r>
              <w:rPr>
                <w:b/>
                <w:spacing w:val="-3"/>
                <w:sz w:val="20"/>
              </w:rPr>
              <w:t> </w:t>
            </w:r>
            <w:r>
              <w:rPr>
                <w:b/>
                <w:sz w:val="20"/>
              </w:rPr>
              <w:t>+</w:t>
            </w:r>
            <w:r>
              <w:rPr>
                <w:b/>
                <w:spacing w:val="-5"/>
                <w:sz w:val="20"/>
              </w:rPr>
              <w:t> </w:t>
            </w:r>
            <w:r>
              <w:rPr>
                <w:b/>
                <w:sz w:val="20"/>
              </w:rPr>
              <w:t>0</w:t>
            </w:r>
            <w:r>
              <w:rPr>
                <w:b/>
                <w:spacing w:val="-2"/>
                <w:sz w:val="20"/>
              </w:rPr>
              <w:t> </w:t>
            </w:r>
            <w:r>
              <w:rPr>
                <w:b/>
                <w:sz w:val="20"/>
              </w:rPr>
              <w:t>+</w:t>
            </w:r>
            <w:r>
              <w:rPr>
                <w:b/>
                <w:spacing w:val="-5"/>
                <w:sz w:val="20"/>
              </w:rPr>
              <w:t> </w:t>
            </w:r>
            <w:r>
              <w:rPr>
                <w:b/>
                <w:sz w:val="20"/>
              </w:rPr>
              <w:t>5)/4</w:t>
            </w:r>
            <w:r>
              <w:rPr>
                <w:b/>
                <w:spacing w:val="-4"/>
                <w:sz w:val="20"/>
              </w:rPr>
              <w:t> </w:t>
            </w:r>
            <w:r>
              <w:rPr>
                <w:b/>
                <w:sz w:val="20"/>
              </w:rPr>
              <w:t>=</w:t>
            </w:r>
            <w:r>
              <w:rPr>
                <w:b/>
                <w:spacing w:val="-5"/>
                <w:sz w:val="20"/>
              </w:rPr>
              <w:t> 2.5</w:t>
            </w:r>
          </w:p>
        </w:tc>
        <w:tc>
          <w:tcPr>
            <w:tcW w:w="699" w:type="dxa"/>
            <w:vMerge/>
            <w:tcBorders>
              <w:top w:val="nil"/>
              <w:left w:val="single" w:sz="2" w:space="0" w:color="BEBEBE"/>
              <w:right w:val="nil"/>
            </w:tcBorders>
          </w:tcPr>
          <w:p>
            <w:pPr>
              <w:rPr>
                <w:sz w:val="2"/>
                <w:szCs w:val="2"/>
              </w:rPr>
            </w:pPr>
          </w:p>
        </w:tc>
      </w:tr>
      <w:tr>
        <w:trPr>
          <w:trHeight w:val="1281" w:hRule="atLeast"/>
        </w:trPr>
        <w:tc>
          <w:tcPr>
            <w:tcW w:w="713" w:type="dxa"/>
            <w:vMerge/>
            <w:tcBorders>
              <w:top w:val="nil"/>
              <w:left w:val="nil"/>
              <w:right w:val="single" w:sz="2" w:space="0" w:color="BEBEBE"/>
            </w:tcBorders>
          </w:tcPr>
          <w:p>
            <w:pPr>
              <w:rPr>
                <w:sz w:val="2"/>
                <w:szCs w:val="2"/>
              </w:rPr>
            </w:pPr>
          </w:p>
        </w:tc>
        <w:tc>
          <w:tcPr>
            <w:tcW w:w="7964" w:type="dxa"/>
            <w:gridSpan w:val="2"/>
            <w:tcBorders>
              <w:top w:val="single" w:sz="2" w:space="0" w:color="BEBEBE"/>
              <w:left w:val="single" w:sz="2" w:space="0" w:color="BEBEBE"/>
              <w:bottom w:val="single" w:sz="2" w:space="0" w:color="BEBEBE"/>
              <w:right w:val="single" w:sz="2" w:space="0" w:color="BEBEBE"/>
            </w:tcBorders>
          </w:tcPr>
          <w:p>
            <w:pPr>
              <w:pStyle w:val="TableParagraph"/>
              <w:spacing w:line="276" w:lineRule="auto" w:before="26"/>
              <w:ind w:left="105" w:right="58"/>
              <w:rPr>
                <w:b/>
                <w:sz w:val="20"/>
              </w:rPr>
            </w:pPr>
            <w:r>
              <w:rPr>
                <w:b/>
                <w:sz w:val="20"/>
              </w:rPr>
              <w:t>Average Achievement points (7.6) and Average Improvement points (2.5) are summed (10.1) as total points. Total number of points cannot exceed the maximum available achievement</w:t>
            </w:r>
            <w:r>
              <w:rPr>
                <w:b/>
                <w:spacing w:val="-2"/>
                <w:sz w:val="20"/>
              </w:rPr>
              <w:t> </w:t>
            </w:r>
            <w:r>
              <w:rPr>
                <w:b/>
                <w:sz w:val="20"/>
              </w:rPr>
              <w:t>points</w:t>
            </w:r>
            <w:r>
              <w:rPr>
                <w:b/>
                <w:spacing w:val="-4"/>
                <w:sz w:val="20"/>
              </w:rPr>
              <w:t> </w:t>
            </w:r>
            <w:r>
              <w:rPr>
                <w:b/>
                <w:sz w:val="20"/>
              </w:rPr>
              <w:t>within</w:t>
            </w:r>
            <w:r>
              <w:rPr>
                <w:b/>
                <w:spacing w:val="-4"/>
                <w:sz w:val="20"/>
              </w:rPr>
              <w:t> </w:t>
            </w:r>
            <w:r>
              <w:rPr>
                <w:b/>
                <w:sz w:val="20"/>
              </w:rPr>
              <w:t>a</w:t>
            </w:r>
            <w:r>
              <w:rPr>
                <w:b/>
                <w:spacing w:val="-2"/>
                <w:sz w:val="20"/>
              </w:rPr>
              <w:t> </w:t>
            </w:r>
            <w:r>
              <w:rPr>
                <w:b/>
                <w:sz w:val="20"/>
              </w:rPr>
              <w:t>given</w:t>
            </w:r>
            <w:r>
              <w:rPr>
                <w:b/>
                <w:spacing w:val="-4"/>
                <w:sz w:val="20"/>
              </w:rPr>
              <w:t> </w:t>
            </w:r>
            <w:r>
              <w:rPr>
                <w:b/>
                <w:sz w:val="20"/>
              </w:rPr>
              <w:t>domain</w:t>
            </w:r>
            <w:r>
              <w:rPr>
                <w:b/>
                <w:spacing w:val="-4"/>
                <w:sz w:val="20"/>
              </w:rPr>
              <w:t> </w:t>
            </w:r>
            <w:r>
              <w:rPr>
                <w:b/>
                <w:sz w:val="20"/>
              </w:rPr>
              <w:t>(in</w:t>
            </w:r>
            <w:r>
              <w:rPr>
                <w:b/>
                <w:spacing w:val="-4"/>
                <w:sz w:val="20"/>
              </w:rPr>
              <w:t> </w:t>
            </w:r>
            <w:r>
              <w:rPr>
                <w:b/>
                <w:sz w:val="20"/>
              </w:rPr>
              <w:t>this</w:t>
            </w:r>
            <w:r>
              <w:rPr>
                <w:b/>
                <w:spacing w:val="-4"/>
                <w:sz w:val="20"/>
              </w:rPr>
              <w:t> </w:t>
            </w:r>
            <w:r>
              <w:rPr>
                <w:b/>
                <w:sz w:val="20"/>
              </w:rPr>
              <w:t>case</w:t>
            </w:r>
            <w:r>
              <w:rPr>
                <w:b/>
                <w:spacing w:val="-3"/>
                <w:sz w:val="20"/>
              </w:rPr>
              <w:t> </w:t>
            </w:r>
            <w:r>
              <w:rPr>
                <w:b/>
                <w:sz w:val="20"/>
              </w:rPr>
              <w:t>10);</w:t>
            </w:r>
            <w:r>
              <w:rPr>
                <w:b/>
                <w:spacing w:val="-2"/>
                <w:sz w:val="20"/>
              </w:rPr>
              <w:t> </w:t>
            </w:r>
            <w:r>
              <w:rPr>
                <w:b/>
                <w:sz w:val="20"/>
              </w:rPr>
              <w:t>therefore,</w:t>
            </w:r>
            <w:r>
              <w:rPr>
                <w:b/>
                <w:spacing w:val="-5"/>
                <w:sz w:val="20"/>
              </w:rPr>
              <w:t> </w:t>
            </w:r>
            <w:r>
              <w:rPr>
                <w:b/>
                <w:sz w:val="20"/>
              </w:rPr>
              <w:t>total</w:t>
            </w:r>
            <w:r>
              <w:rPr>
                <w:b/>
                <w:spacing w:val="-3"/>
                <w:sz w:val="20"/>
              </w:rPr>
              <w:t> </w:t>
            </w:r>
            <w:r>
              <w:rPr>
                <w:b/>
                <w:sz w:val="20"/>
              </w:rPr>
              <w:t>domain</w:t>
            </w:r>
            <w:r>
              <w:rPr>
                <w:b/>
                <w:spacing w:val="-4"/>
                <w:sz w:val="20"/>
              </w:rPr>
              <w:t> </w:t>
            </w:r>
            <w:r>
              <w:rPr>
                <w:b/>
                <w:sz w:val="20"/>
              </w:rPr>
              <w:t>points for the Overall Rating and Care Delivery domain = 10.0</w:t>
            </w:r>
          </w:p>
        </w:tc>
        <w:tc>
          <w:tcPr>
            <w:tcW w:w="699" w:type="dxa"/>
            <w:vMerge/>
            <w:tcBorders>
              <w:top w:val="nil"/>
              <w:left w:val="single" w:sz="2" w:space="0" w:color="BEBEBE"/>
              <w:right w:val="nil"/>
            </w:tcBorders>
          </w:tcPr>
          <w:p>
            <w:pPr>
              <w:rPr>
                <w:sz w:val="2"/>
                <w:szCs w:val="2"/>
              </w:rPr>
            </w:pPr>
          </w:p>
        </w:tc>
      </w:tr>
      <w:tr>
        <w:trPr>
          <w:trHeight w:val="489" w:hRule="atLeast"/>
        </w:trPr>
        <w:tc>
          <w:tcPr>
            <w:tcW w:w="713" w:type="dxa"/>
            <w:vMerge/>
            <w:tcBorders>
              <w:top w:val="nil"/>
              <w:left w:val="nil"/>
              <w:right w:val="single" w:sz="2" w:space="0" w:color="BEBEBE"/>
            </w:tcBorders>
          </w:tcPr>
          <w:p>
            <w:pPr>
              <w:rPr>
                <w:sz w:val="2"/>
                <w:szCs w:val="2"/>
              </w:rPr>
            </w:pPr>
          </w:p>
        </w:tc>
        <w:tc>
          <w:tcPr>
            <w:tcW w:w="7964" w:type="dxa"/>
            <w:gridSpan w:val="2"/>
            <w:tcBorders>
              <w:top w:val="single" w:sz="2" w:space="0" w:color="BEBEBE"/>
              <w:left w:val="single" w:sz="2" w:space="0" w:color="BEBEBE"/>
              <w:bottom w:val="single" w:sz="2" w:space="0" w:color="BEBEBE"/>
              <w:right w:val="single" w:sz="2" w:space="0" w:color="BEBEBE"/>
            </w:tcBorders>
            <w:shd w:val="clear" w:color="auto" w:fill="313D4F"/>
          </w:tcPr>
          <w:p>
            <w:pPr>
              <w:pStyle w:val="TableParagraph"/>
              <w:spacing w:before="26"/>
              <w:ind w:left="105"/>
              <w:rPr>
                <w:b/>
                <w:sz w:val="20"/>
              </w:rPr>
            </w:pPr>
            <w:r>
              <w:rPr>
                <w:b/>
                <w:color w:val="FFFFFF"/>
                <w:sz w:val="20"/>
              </w:rPr>
              <w:t>Composite</w:t>
            </w:r>
            <w:r>
              <w:rPr>
                <w:b/>
                <w:color w:val="FFFFFF"/>
                <w:spacing w:val="-7"/>
                <w:sz w:val="20"/>
              </w:rPr>
              <w:t> </w:t>
            </w:r>
            <w:r>
              <w:rPr>
                <w:b/>
                <w:color w:val="FFFFFF"/>
                <w:sz w:val="20"/>
              </w:rPr>
              <w:t>Scores:</w:t>
            </w:r>
            <w:r>
              <w:rPr>
                <w:b/>
                <w:color w:val="FFFFFF"/>
                <w:spacing w:val="-6"/>
                <w:sz w:val="20"/>
              </w:rPr>
              <w:t> </w:t>
            </w:r>
            <w:r>
              <w:rPr>
                <w:b/>
                <w:color w:val="FFFFFF"/>
                <w:sz w:val="20"/>
              </w:rPr>
              <w:t>Unequally</w:t>
            </w:r>
            <w:r>
              <w:rPr>
                <w:b/>
                <w:color w:val="FFFFFF"/>
                <w:spacing w:val="-6"/>
                <w:sz w:val="20"/>
              </w:rPr>
              <w:t> </w:t>
            </w:r>
            <w:r>
              <w:rPr>
                <w:b/>
                <w:color w:val="FFFFFF"/>
                <w:sz w:val="20"/>
              </w:rPr>
              <w:t>Weighted</w:t>
            </w:r>
            <w:r>
              <w:rPr>
                <w:b/>
                <w:color w:val="FFFFFF"/>
                <w:spacing w:val="36"/>
                <w:sz w:val="20"/>
              </w:rPr>
              <w:t> </w:t>
            </w:r>
            <w:r>
              <w:rPr>
                <w:b/>
                <w:color w:val="FFFFFF"/>
                <w:spacing w:val="-2"/>
                <w:sz w:val="20"/>
              </w:rPr>
              <w:t>Components</w:t>
            </w:r>
          </w:p>
        </w:tc>
        <w:tc>
          <w:tcPr>
            <w:tcW w:w="699" w:type="dxa"/>
            <w:vMerge/>
            <w:tcBorders>
              <w:top w:val="nil"/>
              <w:left w:val="single" w:sz="2" w:space="0" w:color="BEBEBE"/>
              <w:right w:val="nil"/>
            </w:tcBorders>
          </w:tcPr>
          <w:p>
            <w:pPr>
              <w:rPr>
                <w:sz w:val="2"/>
                <w:szCs w:val="2"/>
              </w:rPr>
            </w:pPr>
          </w:p>
        </w:tc>
      </w:tr>
      <w:tr>
        <w:trPr>
          <w:trHeight w:val="815" w:hRule="atLeast"/>
        </w:trPr>
        <w:tc>
          <w:tcPr>
            <w:tcW w:w="713" w:type="dxa"/>
            <w:vMerge/>
            <w:tcBorders>
              <w:top w:val="nil"/>
              <w:left w:val="nil"/>
              <w:right w:val="single" w:sz="2" w:space="0" w:color="BEBEBE"/>
            </w:tcBorders>
          </w:tcPr>
          <w:p>
            <w:pPr>
              <w:rPr>
                <w:sz w:val="2"/>
                <w:szCs w:val="2"/>
              </w:rPr>
            </w:pPr>
          </w:p>
        </w:tc>
        <w:tc>
          <w:tcPr>
            <w:tcW w:w="2818" w:type="dxa"/>
            <w:tcBorders>
              <w:top w:val="single" w:sz="2" w:space="0" w:color="BEBEBE"/>
              <w:left w:val="single" w:sz="2" w:space="0" w:color="BEBEBE"/>
              <w:bottom w:val="single" w:sz="2" w:space="0" w:color="BEBEBE"/>
              <w:right w:val="single" w:sz="2" w:space="0" w:color="BEBEBE"/>
            </w:tcBorders>
            <w:shd w:val="clear" w:color="auto" w:fill="D9D9D9"/>
          </w:tcPr>
          <w:p>
            <w:pPr>
              <w:pStyle w:val="TableParagraph"/>
              <w:spacing w:line="264" w:lineRule="exact" w:before="2"/>
              <w:ind w:left="105" w:right="446"/>
              <w:jc w:val="both"/>
              <w:rPr>
                <w:b/>
                <w:sz w:val="20"/>
              </w:rPr>
            </w:pPr>
            <w:r>
              <w:rPr>
                <w:b/>
                <w:sz w:val="20"/>
              </w:rPr>
              <w:t>Domain:</w:t>
            </w:r>
            <w:r>
              <w:rPr>
                <w:b/>
                <w:spacing w:val="-6"/>
                <w:sz w:val="20"/>
              </w:rPr>
              <w:t> </w:t>
            </w:r>
            <w:r>
              <w:rPr>
                <w:b/>
                <w:sz w:val="20"/>
              </w:rPr>
              <w:t>Care</w:t>
            </w:r>
            <w:r>
              <w:rPr>
                <w:b/>
                <w:spacing w:val="-7"/>
                <w:sz w:val="20"/>
              </w:rPr>
              <w:t> </w:t>
            </w:r>
            <w:r>
              <w:rPr>
                <w:b/>
                <w:sz w:val="20"/>
              </w:rPr>
              <w:t>Integration (consisting</w:t>
            </w:r>
            <w:r>
              <w:rPr>
                <w:b/>
                <w:spacing w:val="-13"/>
                <w:sz w:val="20"/>
              </w:rPr>
              <w:t> </w:t>
            </w:r>
            <w:r>
              <w:rPr>
                <w:b/>
                <w:sz w:val="20"/>
              </w:rPr>
              <w:t>of</w:t>
            </w:r>
            <w:r>
              <w:rPr>
                <w:b/>
                <w:spacing w:val="-12"/>
                <w:sz w:val="20"/>
              </w:rPr>
              <w:t> </w:t>
            </w:r>
            <w:r>
              <w:rPr>
                <w:b/>
                <w:sz w:val="20"/>
              </w:rPr>
              <w:t>2</w:t>
            </w:r>
            <w:r>
              <w:rPr>
                <w:b/>
                <w:spacing w:val="-13"/>
                <w:sz w:val="20"/>
              </w:rPr>
              <w:t> </w:t>
            </w:r>
            <w:r>
              <w:rPr>
                <w:b/>
                <w:sz w:val="20"/>
              </w:rPr>
              <w:t>composites </w:t>
            </w:r>
            <w:r>
              <w:rPr>
                <w:b/>
                <w:spacing w:val="-2"/>
                <w:sz w:val="20"/>
              </w:rPr>
              <w:t>scores)</w:t>
            </w:r>
          </w:p>
        </w:tc>
        <w:tc>
          <w:tcPr>
            <w:tcW w:w="5146" w:type="dxa"/>
            <w:tcBorders>
              <w:top w:val="single" w:sz="2" w:space="0" w:color="BEBEBE"/>
              <w:left w:val="single" w:sz="2" w:space="0" w:color="BEBEBE"/>
              <w:bottom w:val="single" w:sz="2" w:space="0" w:color="BEBEBE"/>
              <w:right w:val="single" w:sz="2" w:space="0" w:color="BEBEBE"/>
            </w:tcBorders>
            <w:shd w:val="clear" w:color="auto" w:fill="D9D9D9"/>
          </w:tcPr>
          <w:p>
            <w:pPr>
              <w:pStyle w:val="TableParagraph"/>
              <w:spacing w:before="26"/>
              <w:ind w:left="104"/>
              <w:rPr>
                <w:sz w:val="20"/>
              </w:rPr>
            </w:pPr>
            <w:r>
              <w:rPr>
                <w:sz w:val="20"/>
              </w:rPr>
              <w:t>Point</w:t>
            </w:r>
            <w:r>
              <w:rPr>
                <w:spacing w:val="-5"/>
                <w:sz w:val="20"/>
              </w:rPr>
              <w:t> </w:t>
            </w:r>
            <w:r>
              <w:rPr>
                <w:spacing w:val="-2"/>
                <w:sz w:val="20"/>
              </w:rPr>
              <w:t>Calculation</w:t>
            </w:r>
          </w:p>
        </w:tc>
        <w:tc>
          <w:tcPr>
            <w:tcW w:w="699" w:type="dxa"/>
            <w:vMerge/>
            <w:tcBorders>
              <w:top w:val="nil"/>
              <w:left w:val="single" w:sz="2" w:space="0" w:color="BEBEBE"/>
              <w:right w:val="nil"/>
            </w:tcBorders>
          </w:tcPr>
          <w:p>
            <w:pPr>
              <w:rPr>
                <w:sz w:val="2"/>
                <w:szCs w:val="2"/>
              </w:rPr>
            </w:pPr>
          </w:p>
        </w:tc>
      </w:tr>
      <w:tr>
        <w:trPr>
          <w:trHeight w:val="753" w:hRule="atLeast"/>
        </w:trPr>
        <w:tc>
          <w:tcPr>
            <w:tcW w:w="713" w:type="dxa"/>
            <w:vMerge/>
            <w:tcBorders>
              <w:top w:val="nil"/>
              <w:left w:val="nil"/>
              <w:right w:val="single" w:sz="2" w:space="0" w:color="BEBEBE"/>
            </w:tcBorders>
          </w:tcPr>
          <w:p>
            <w:pPr>
              <w:rPr>
                <w:sz w:val="2"/>
                <w:szCs w:val="2"/>
              </w:rPr>
            </w:pPr>
          </w:p>
        </w:tc>
        <w:tc>
          <w:tcPr>
            <w:tcW w:w="2818" w:type="dxa"/>
            <w:tcBorders>
              <w:top w:val="single" w:sz="2" w:space="0" w:color="BEBEBE"/>
              <w:left w:val="single" w:sz="2" w:space="0" w:color="BEBEBE"/>
              <w:bottom w:val="single" w:sz="2" w:space="0" w:color="BEBEBE"/>
              <w:right w:val="single" w:sz="2" w:space="0" w:color="BEBEBE"/>
            </w:tcBorders>
          </w:tcPr>
          <w:p>
            <w:pPr>
              <w:pStyle w:val="TableParagraph"/>
              <w:spacing w:line="276" w:lineRule="auto" w:before="29"/>
              <w:ind w:left="105"/>
              <w:rPr>
                <w:b/>
                <w:sz w:val="20"/>
              </w:rPr>
            </w:pPr>
            <w:r>
              <w:rPr>
                <w:b/>
                <w:sz w:val="20"/>
              </w:rPr>
              <w:t>Component1:</w:t>
            </w:r>
            <w:r>
              <w:rPr>
                <w:b/>
                <w:spacing w:val="-13"/>
                <w:sz w:val="20"/>
              </w:rPr>
              <w:t> </w:t>
            </w:r>
            <w:r>
              <w:rPr>
                <w:b/>
                <w:sz w:val="20"/>
              </w:rPr>
              <w:t>BH</w:t>
            </w:r>
            <w:r>
              <w:rPr>
                <w:b/>
                <w:spacing w:val="-12"/>
                <w:sz w:val="20"/>
              </w:rPr>
              <w:t> </w:t>
            </w:r>
            <w:r>
              <w:rPr>
                <w:b/>
                <w:sz w:val="20"/>
              </w:rPr>
              <w:t>CP </w:t>
            </w:r>
            <w:r>
              <w:rPr>
                <w:b/>
                <w:spacing w:val="-2"/>
                <w:sz w:val="20"/>
              </w:rPr>
              <w:t>Engagement</w:t>
            </w:r>
          </w:p>
        </w:tc>
        <w:tc>
          <w:tcPr>
            <w:tcW w:w="5146" w:type="dxa"/>
            <w:tcBorders>
              <w:top w:val="single" w:sz="2" w:space="0" w:color="BEBEBE"/>
              <w:left w:val="single" w:sz="2" w:space="0" w:color="BEBEBE"/>
              <w:bottom w:val="single" w:sz="2" w:space="0" w:color="BEBEBE"/>
              <w:right w:val="single" w:sz="2" w:space="0" w:color="BEBEBE"/>
            </w:tcBorders>
          </w:tcPr>
          <w:p>
            <w:pPr>
              <w:pStyle w:val="TableParagraph"/>
              <w:spacing w:before="26"/>
              <w:ind w:left="104"/>
              <w:rPr>
                <w:sz w:val="20"/>
              </w:rPr>
            </w:pPr>
            <w:r>
              <w:rPr>
                <w:sz w:val="20"/>
              </w:rPr>
              <w:t>Achievement</w:t>
            </w:r>
            <w:r>
              <w:rPr>
                <w:spacing w:val="-12"/>
                <w:sz w:val="20"/>
              </w:rPr>
              <w:t> </w:t>
            </w:r>
            <w:r>
              <w:rPr>
                <w:sz w:val="20"/>
              </w:rPr>
              <w:t>points:</w:t>
            </w:r>
            <w:r>
              <w:rPr>
                <w:spacing w:val="-11"/>
                <w:sz w:val="20"/>
              </w:rPr>
              <w:t> </w:t>
            </w:r>
            <w:r>
              <w:rPr>
                <w:spacing w:val="-5"/>
                <w:sz w:val="20"/>
              </w:rPr>
              <w:t>5.6</w:t>
            </w:r>
          </w:p>
          <w:p>
            <w:pPr>
              <w:pStyle w:val="TableParagraph"/>
              <w:spacing w:before="1"/>
              <w:ind w:left="104"/>
              <w:rPr>
                <w:sz w:val="20"/>
              </w:rPr>
            </w:pPr>
            <w:r>
              <w:rPr>
                <w:sz w:val="20"/>
              </w:rPr>
              <w:t>Weighted</w:t>
            </w:r>
            <w:r>
              <w:rPr>
                <w:spacing w:val="-3"/>
                <w:sz w:val="20"/>
              </w:rPr>
              <w:t> </w:t>
            </w:r>
            <w:r>
              <w:rPr>
                <w:sz w:val="20"/>
              </w:rPr>
              <w:t>(20%):</w:t>
            </w:r>
            <w:r>
              <w:rPr>
                <w:spacing w:val="-4"/>
                <w:sz w:val="20"/>
              </w:rPr>
              <w:t> </w:t>
            </w:r>
            <w:r>
              <w:rPr>
                <w:sz w:val="20"/>
              </w:rPr>
              <w:t>5.6</w:t>
            </w:r>
            <w:r>
              <w:rPr>
                <w:spacing w:val="-3"/>
                <w:sz w:val="20"/>
              </w:rPr>
              <w:t> </w:t>
            </w:r>
            <w:r>
              <w:rPr>
                <w:sz w:val="20"/>
              </w:rPr>
              <w:t>*</w:t>
            </w:r>
            <w:r>
              <w:rPr>
                <w:spacing w:val="-8"/>
                <w:sz w:val="20"/>
              </w:rPr>
              <w:t> </w:t>
            </w:r>
            <w:r>
              <w:rPr>
                <w:sz w:val="20"/>
              </w:rPr>
              <w:t>(0.2)</w:t>
            </w:r>
            <w:r>
              <w:rPr>
                <w:spacing w:val="-3"/>
                <w:sz w:val="20"/>
              </w:rPr>
              <w:t> </w:t>
            </w:r>
            <w:r>
              <w:rPr>
                <w:sz w:val="20"/>
              </w:rPr>
              <w:t>=</w:t>
            </w:r>
            <w:r>
              <w:rPr>
                <w:spacing w:val="-5"/>
                <w:sz w:val="20"/>
              </w:rPr>
              <w:t> 1.1</w:t>
            </w:r>
          </w:p>
        </w:tc>
        <w:tc>
          <w:tcPr>
            <w:tcW w:w="699" w:type="dxa"/>
            <w:vMerge/>
            <w:tcBorders>
              <w:top w:val="nil"/>
              <w:left w:val="single" w:sz="2" w:space="0" w:color="BEBEBE"/>
              <w:right w:val="nil"/>
            </w:tcBorders>
          </w:tcPr>
          <w:p>
            <w:pPr>
              <w:rPr>
                <w:sz w:val="2"/>
                <w:szCs w:val="2"/>
              </w:rPr>
            </w:pPr>
          </w:p>
        </w:tc>
      </w:tr>
      <w:tr>
        <w:trPr>
          <w:trHeight w:val="753" w:hRule="atLeast"/>
        </w:trPr>
        <w:tc>
          <w:tcPr>
            <w:tcW w:w="713" w:type="dxa"/>
            <w:vMerge/>
            <w:tcBorders>
              <w:top w:val="nil"/>
              <w:left w:val="nil"/>
              <w:right w:val="single" w:sz="2" w:space="0" w:color="BEBEBE"/>
            </w:tcBorders>
          </w:tcPr>
          <w:p>
            <w:pPr>
              <w:rPr>
                <w:sz w:val="2"/>
                <w:szCs w:val="2"/>
              </w:rPr>
            </w:pPr>
          </w:p>
        </w:tc>
        <w:tc>
          <w:tcPr>
            <w:tcW w:w="2818" w:type="dxa"/>
            <w:tcBorders>
              <w:top w:val="single" w:sz="2" w:space="0" w:color="BEBEBE"/>
              <w:left w:val="single" w:sz="2" w:space="0" w:color="BEBEBE"/>
              <w:bottom w:val="single" w:sz="2" w:space="0" w:color="BEBEBE"/>
              <w:right w:val="single" w:sz="2" w:space="0" w:color="BEBEBE"/>
            </w:tcBorders>
          </w:tcPr>
          <w:p>
            <w:pPr>
              <w:pStyle w:val="TableParagraph"/>
              <w:spacing w:line="278" w:lineRule="auto" w:before="26"/>
              <w:ind w:left="105"/>
              <w:rPr>
                <w:b/>
                <w:sz w:val="20"/>
              </w:rPr>
            </w:pPr>
            <w:r>
              <w:rPr>
                <w:b/>
                <w:sz w:val="20"/>
              </w:rPr>
              <w:t>Component</w:t>
            </w:r>
            <w:r>
              <w:rPr>
                <w:b/>
                <w:spacing w:val="-13"/>
                <w:sz w:val="20"/>
              </w:rPr>
              <w:t> </w:t>
            </w:r>
            <w:r>
              <w:rPr>
                <w:b/>
                <w:sz w:val="20"/>
              </w:rPr>
              <w:t>2:</w:t>
            </w:r>
            <w:r>
              <w:rPr>
                <w:b/>
                <w:spacing w:val="-12"/>
                <w:sz w:val="20"/>
              </w:rPr>
              <w:t> </w:t>
            </w:r>
            <w:r>
              <w:rPr>
                <w:b/>
                <w:sz w:val="20"/>
              </w:rPr>
              <w:t>Annual Treatment Plan</w:t>
            </w:r>
          </w:p>
        </w:tc>
        <w:tc>
          <w:tcPr>
            <w:tcW w:w="5146" w:type="dxa"/>
            <w:tcBorders>
              <w:top w:val="single" w:sz="2" w:space="0" w:color="BEBEBE"/>
              <w:left w:val="single" w:sz="2" w:space="0" w:color="BEBEBE"/>
              <w:bottom w:val="single" w:sz="2" w:space="0" w:color="BEBEBE"/>
              <w:right w:val="single" w:sz="2" w:space="0" w:color="BEBEBE"/>
            </w:tcBorders>
          </w:tcPr>
          <w:p>
            <w:pPr>
              <w:pStyle w:val="TableParagraph"/>
              <w:spacing w:before="26"/>
              <w:ind w:left="104"/>
              <w:rPr>
                <w:sz w:val="20"/>
              </w:rPr>
            </w:pPr>
            <w:r>
              <w:rPr>
                <w:sz w:val="20"/>
              </w:rPr>
              <w:t>Achievement</w:t>
            </w:r>
            <w:r>
              <w:rPr>
                <w:spacing w:val="-12"/>
                <w:sz w:val="20"/>
              </w:rPr>
              <w:t> </w:t>
            </w:r>
            <w:r>
              <w:rPr>
                <w:sz w:val="20"/>
              </w:rPr>
              <w:t>points:</w:t>
            </w:r>
            <w:r>
              <w:rPr>
                <w:spacing w:val="-11"/>
                <w:sz w:val="20"/>
              </w:rPr>
              <w:t> </w:t>
            </w:r>
            <w:r>
              <w:rPr>
                <w:spacing w:val="-5"/>
                <w:sz w:val="20"/>
              </w:rPr>
              <w:t>7.5</w:t>
            </w:r>
          </w:p>
          <w:p>
            <w:pPr>
              <w:pStyle w:val="TableParagraph"/>
              <w:spacing w:before="1"/>
              <w:ind w:left="104"/>
              <w:rPr>
                <w:sz w:val="20"/>
              </w:rPr>
            </w:pPr>
            <w:r>
              <w:rPr>
                <w:sz w:val="20"/>
              </w:rPr>
              <w:t>Weighted</w:t>
            </w:r>
            <w:r>
              <w:rPr>
                <w:spacing w:val="-3"/>
                <w:sz w:val="20"/>
              </w:rPr>
              <w:t> </w:t>
            </w:r>
            <w:r>
              <w:rPr>
                <w:sz w:val="20"/>
              </w:rPr>
              <w:t>(80%):</w:t>
            </w:r>
            <w:r>
              <w:rPr>
                <w:spacing w:val="-4"/>
                <w:sz w:val="20"/>
              </w:rPr>
              <w:t> </w:t>
            </w:r>
            <w:r>
              <w:rPr>
                <w:sz w:val="20"/>
              </w:rPr>
              <w:t>7.5</w:t>
            </w:r>
            <w:r>
              <w:rPr>
                <w:spacing w:val="-3"/>
                <w:sz w:val="20"/>
              </w:rPr>
              <w:t> </w:t>
            </w:r>
            <w:r>
              <w:rPr>
                <w:sz w:val="20"/>
              </w:rPr>
              <w:t>*</w:t>
            </w:r>
            <w:r>
              <w:rPr>
                <w:spacing w:val="-8"/>
                <w:sz w:val="20"/>
              </w:rPr>
              <w:t> </w:t>
            </w:r>
            <w:r>
              <w:rPr>
                <w:sz w:val="20"/>
              </w:rPr>
              <w:t>(0.8)</w:t>
            </w:r>
            <w:r>
              <w:rPr>
                <w:spacing w:val="-3"/>
                <w:sz w:val="20"/>
              </w:rPr>
              <w:t> </w:t>
            </w:r>
            <w:r>
              <w:rPr>
                <w:sz w:val="20"/>
              </w:rPr>
              <w:t>=</w:t>
            </w:r>
            <w:r>
              <w:rPr>
                <w:spacing w:val="-5"/>
                <w:sz w:val="20"/>
              </w:rPr>
              <w:t> 6.0</w:t>
            </w:r>
          </w:p>
        </w:tc>
        <w:tc>
          <w:tcPr>
            <w:tcW w:w="699" w:type="dxa"/>
            <w:vMerge/>
            <w:tcBorders>
              <w:top w:val="nil"/>
              <w:left w:val="single" w:sz="2" w:space="0" w:color="BEBEBE"/>
              <w:right w:val="nil"/>
            </w:tcBorders>
          </w:tcPr>
          <w:p>
            <w:pPr>
              <w:rPr>
                <w:sz w:val="2"/>
                <w:szCs w:val="2"/>
              </w:rPr>
            </w:pPr>
          </w:p>
        </w:tc>
      </w:tr>
      <w:tr>
        <w:trPr>
          <w:trHeight w:val="256" w:hRule="atLeast"/>
        </w:trPr>
        <w:tc>
          <w:tcPr>
            <w:tcW w:w="713" w:type="dxa"/>
            <w:vMerge/>
            <w:tcBorders>
              <w:top w:val="nil"/>
              <w:left w:val="nil"/>
              <w:right w:val="single" w:sz="2" w:space="0" w:color="BEBEBE"/>
            </w:tcBorders>
          </w:tcPr>
          <w:p>
            <w:pPr>
              <w:rPr>
                <w:sz w:val="2"/>
                <w:szCs w:val="2"/>
              </w:rPr>
            </w:pPr>
          </w:p>
        </w:tc>
        <w:tc>
          <w:tcPr>
            <w:tcW w:w="7964" w:type="dxa"/>
            <w:gridSpan w:val="2"/>
            <w:tcBorders>
              <w:top w:val="single" w:sz="2" w:space="0" w:color="BEBEBE"/>
              <w:left w:val="single" w:sz="2" w:space="0" w:color="BEBEBE"/>
              <w:bottom w:val="single" w:sz="6" w:space="0" w:color="000000"/>
              <w:right w:val="single" w:sz="2" w:space="0" w:color="BEBEBE"/>
            </w:tcBorders>
          </w:tcPr>
          <w:p>
            <w:pPr>
              <w:pStyle w:val="TableParagraph"/>
              <w:spacing w:line="210" w:lineRule="exact" w:before="26"/>
              <w:ind w:left="105"/>
              <w:rPr>
                <w:b/>
                <w:sz w:val="20"/>
              </w:rPr>
            </w:pPr>
            <w:r>
              <w:rPr>
                <w:b/>
                <w:sz w:val="20"/>
              </w:rPr>
              <w:t>Sum</w:t>
            </w:r>
            <w:r>
              <w:rPr>
                <w:b/>
                <w:spacing w:val="-7"/>
                <w:sz w:val="20"/>
              </w:rPr>
              <w:t> </w:t>
            </w:r>
            <w:r>
              <w:rPr>
                <w:b/>
                <w:sz w:val="20"/>
              </w:rPr>
              <w:t>of</w:t>
            </w:r>
            <w:r>
              <w:rPr>
                <w:b/>
                <w:spacing w:val="-3"/>
                <w:sz w:val="20"/>
              </w:rPr>
              <w:t> </w:t>
            </w:r>
            <w:r>
              <w:rPr>
                <w:b/>
                <w:sz w:val="20"/>
              </w:rPr>
              <w:t>weighted</w:t>
            </w:r>
            <w:r>
              <w:rPr>
                <w:b/>
                <w:spacing w:val="-5"/>
                <w:sz w:val="20"/>
              </w:rPr>
              <w:t> </w:t>
            </w:r>
            <w:r>
              <w:rPr>
                <w:b/>
                <w:sz w:val="20"/>
              </w:rPr>
              <w:t>components:</w:t>
            </w:r>
            <w:r>
              <w:rPr>
                <w:b/>
                <w:spacing w:val="-3"/>
                <w:sz w:val="20"/>
              </w:rPr>
              <w:t> </w:t>
            </w:r>
            <w:r>
              <w:rPr>
                <w:b/>
                <w:sz w:val="20"/>
              </w:rPr>
              <w:t>(1.1</w:t>
            </w:r>
            <w:r>
              <w:rPr>
                <w:b/>
                <w:spacing w:val="-3"/>
                <w:sz w:val="20"/>
              </w:rPr>
              <w:t> </w:t>
            </w:r>
            <w:r>
              <w:rPr>
                <w:b/>
                <w:sz w:val="20"/>
              </w:rPr>
              <w:t>+</w:t>
            </w:r>
            <w:r>
              <w:rPr>
                <w:b/>
                <w:spacing w:val="-5"/>
                <w:sz w:val="20"/>
              </w:rPr>
              <w:t> </w:t>
            </w:r>
            <w:r>
              <w:rPr>
                <w:b/>
                <w:sz w:val="20"/>
              </w:rPr>
              <w:t>6.0)</w:t>
            </w:r>
            <w:r>
              <w:rPr>
                <w:b/>
                <w:spacing w:val="-3"/>
                <w:sz w:val="20"/>
              </w:rPr>
              <w:t> </w:t>
            </w:r>
            <w:r>
              <w:rPr>
                <w:b/>
                <w:sz w:val="20"/>
              </w:rPr>
              <w:t>=</w:t>
            </w:r>
            <w:r>
              <w:rPr>
                <w:b/>
                <w:spacing w:val="-5"/>
                <w:sz w:val="20"/>
              </w:rPr>
              <w:t> </w:t>
            </w:r>
            <w:r>
              <w:rPr>
                <w:b/>
                <w:spacing w:val="-4"/>
                <w:sz w:val="20"/>
              </w:rPr>
              <w:t>7.10</w:t>
            </w:r>
          </w:p>
        </w:tc>
        <w:tc>
          <w:tcPr>
            <w:tcW w:w="699" w:type="dxa"/>
            <w:vMerge/>
            <w:tcBorders>
              <w:top w:val="nil"/>
              <w:left w:val="single" w:sz="2" w:space="0" w:color="BEBEBE"/>
              <w:right w:val="nil"/>
            </w:tcBorders>
          </w:tcPr>
          <w:p>
            <w:pPr>
              <w:rPr>
                <w:sz w:val="2"/>
                <w:szCs w:val="2"/>
              </w:rPr>
            </w:pPr>
          </w:p>
        </w:tc>
      </w:tr>
    </w:tbl>
    <w:p>
      <w:pPr>
        <w:spacing w:after="0"/>
        <w:rPr>
          <w:sz w:val="2"/>
          <w:szCs w:val="2"/>
        </w:rPr>
        <w:sectPr>
          <w:pgSz w:w="12240" w:h="15840"/>
          <w:pgMar w:header="0" w:footer="967" w:top="1360" w:bottom="1160" w:left="220" w:right="340"/>
        </w:sectPr>
      </w:pPr>
    </w:p>
    <w:p>
      <w:pPr>
        <w:pStyle w:val="ListParagraph"/>
        <w:numPr>
          <w:ilvl w:val="3"/>
          <w:numId w:val="77"/>
        </w:numPr>
        <w:tabs>
          <w:tab w:pos="1938" w:val="left" w:leader="none"/>
        </w:tabs>
        <w:spacing w:line="252" w:lineRule="exact" w:before="78" w:after="0"/>
        <w:ind w:left="1938" w:right="0" w:hanging="719"/>
        <w:jc w:val="both"/>
        <w:rPr>
          <w:b/>
          <w:i/>
          <w:color w:val="4471C4"/>
          <w:sz w:val="22"/>
        </w:rPr>
      </w:pPr>
      <w:bookmarkStart w:name="5.3.1.6 Quality Data Collection Approach" w:id="1397"/>
      <w:bookmarkEnd w:id="1397"/>
      <w:r>
        <w:rPr/>
      </w:r>
      <w:r>
        <w:rPr>
          <w:b/>
          <w:i/>
          <w:color w:val="4471C4"/>
          <w:sz w:val="22"/>
        </w:rPr>
        <w:t>Quality</w:t>
      </w:r>
      <w:r>
        <w:rPr>
          <w:b/>
          <w:i/>
          <w:color w:val="4471C4"/>
          <w:spacing w:val="-5"/>
          <w:sz w:val="22"/>
        </w:rPr>
        <w:t> </w:t>
      </w:r>
      <w:r>
        <w:rPr>
          <w:b/>
          <w:i/>
          <w:color w:val="4471C4"/>
          <w:sz w:val="22"/>
        </w:rPr>
        <w:t>Data</w:t>
      </w:r>
      <w:r>
        <w:rPr>
          <w:b/>
          <w:i/>
          <w:color w:val="4471C4"/>
          <w:spacing w:val="-4"/>
          <w:sz w:val="22"/>
        </w:rPr>
        <w:t> </w:t>
      </w:r>
      <w:r>
        <w:rPr>
          <w:b/>
          <w:i/>
          <w:color w:val="4471C4"/>
          <w:sz w:val="22"/>
        </w:rPr>
        <w:t>Collection</w:t>
      </w:r>
      <w:r>
        <w:rPr>
          <w:b/>
          <w:i/>
          <w:color w:val="4471C4"/>
          <w:spacing w:val="-5"/>
          <w:sz w:val="22"/>
        </w:rPr>
        <w:t> </w:t>
      </w:r>
      <w:r>
        <w:rPr>
          <w:b/>
          <w:i/>
          <w:color w:val="4471C4"/>
          <w:spacing w:val="-2"/>
          <w:sz w:val="22"/>
        </w:rPr>
        <w:t>Approach</w:t>
      </w:r>
    </w:p>
    <w:p>
      <w:pPr>
        <w:spacing w:line="240" w:lineRule="auto" w:before="0"/>
        <w:ind w:left="1220" w:right="1092" w:firstLine="0"/>
        <w:jc w:val="both"/>
        <w:rPr>
          <w:sz w:val="22"/>
        </w:rPr>
      </w:pPr>
      <w:r>
        <w:rPr>
          <w:sz w:val="22"/>
        </w:rPr>
        <w:t>Quality measure data will be collected in one of three ways. Claims and encounter data will flow through the</w:t>
      </w:r>
      <w:r>
        <w:rPr>
          <w:spacing w:val="-4"/>
          <w:sz w:val="22"/>
        </w:rPr>
        <w:t> </w:t>
      </w:r>
      <w:r>
        <w:rPr>
          <w:sz w:val="22"/>
        </w:rPr>
        <w:t>normal</w:t>
      </w:r>
      <w:r>
        <w:rPr>
          <w:spacing w:val="-4"/>
          <w:sz w:val="22"/>
        </w:rPr>
        <w:t> </w:t>
      </w:r>
      <w:r>
        <w:rPr>
          <w:sz w:val="22"/>
        </w:rPr>
        <w:t>channels</w:t>
      </w:r>
      <w:r>
        <w:rPr>
          <w:spacing w:val="-4"/>
          <w:sz w:val="22"/>
        </w:rPr>
        <w:t> </w:t>
      </w:r>
      <w:r>
        <w:rPr>
          <w:sz w:val="22"/>
        </w:rPr>
        <w:t>currently</w:t>
      </w:r>
      <w:r>
        <w:rPr>
          <w:spacing w:val="-7"/>
          <w:sz w:val="22"/>
        </w:rPr>
        <w:t> </w:t>
      </w:r>
      <w:r>
        <w:rPr>
          <w:sz w:val="22"/>
        </w:rPr>
        <w:t>used</w:t>
      </w:r>
      <w:r>
        <w:rPr>
          <w:spacing w:val="-5"/>
          <w:sz w:val="22"/>
        </w:rPr>
        <w:t> </w:t>
      </w:r>
      <w:r>
        <w:rPr>
          <w:sz w:val="22"/>
        </w:rPr>
        <w:t>to</w:t>
      </w:r>
      <w:r>
        <w:rPr>
          <w:spacing w:val="-5"/>
          <w:sz w:val="22"/>
        </w:rPr>
        <w:t> </w:t>
      </w:r>
      <w:r>
        <w:rPr>
          <w:sz w:val="22"/>
        </w:rPr>
        <w:t>process</w:t>
      </w:r>
      <w:r>
        <w:rPr>
          <w:spacing w:val="-4"/>
          <w:sz w:val="22"/>
        </w:rPr>
        <w:t> </w:t>
      </w:r>
      <w:r>
        <w:rPr>
          <w:sz w:val="22"/>
        </w:rPr>
        <w:t>and</w:t>
      </w:r>
      <w:r>
        <w:rPr>
          <w:spacing w:val="-7"/>
          <w:sz w:val="22"/>
        </w:rPr>
        <w:t> </w:t>
      </w:r>
      <w:r>
        <w:rPr>
          <w:sz w:val="22"/>
        </w:rPr>
        <w:t>pay</w:t>
      </w:r>
      <w:r>
        <w:rPr>
          <w:spacing w:val="-7"/>
          <w:sz w:val="22"/>
        </w:rPr>
        <w:t> </w:t>
      </w:r>
      <w:r>
        <w:rPr>
          <w:sz w:val="22"/>
        </w:rPr>
        <w:t>claims.</w:t>
      </w:r>
      <w:r>
        <w:rPr>
          <w:spacing w:val="-5"/>
          <w:sz w:val="22"/>
        </w:rPr>
        <w:t> </w:t>
      </w:r>
      <w:r>
        <w:rPr>
          <w:sz w:val="22"/>
        </w:rPr>
        <w:t>Clinical</w:t>
      </w:r>
      <w:r>
        <w:rPr>
          <w:spacing w:val="-6"/>
          <w:sz w:val="22"/>
        </w:rPr>
        <w:t> </w:t>
      </w:r>
      <w:r>
        <w:rPr>
          <w:sz w:val="22"/>
        </w:rPr>
        <w:t>data</w:t>
      </w:r>
      <w:r>
        <w:rPr>
          <w:spacing w:val="-4"/>
          <w:sz w:val="22"/>
        </w:rPr>
        <w:t> </w:t>
      </w:r>
      <w:r>
        <w:rPr>
          <w:sz w:val="22"/>
        </w:rPr>
        <w:t>(i.e.,</w:t>
      </w:r>
      <w:r>
        <w:rPr>
          <w:spacing w:val="-7"/>
          <w:sz w:val="22"/>
        </w:rPr>
        <w:t> </w:t>
      </w:r>
      <w:r>
        <w:rPr>
          <w:sz w:val="22"/>
        </w:rPr>
        <w:t>data</w:t>
      </w:r>
      <w:r>
        <w:rPr>
          <w:spacing w:val="-4"/>
          <w:sz w:val="22"/>
        </w:rPr>
        <w:t> </w:t>
      </w:r>
      <w:r>
        <w:rPr>
          <w:sz w:val="22"/>
        </w:rPr>
        <w:t>that</w:t>
      </w:r>
      <w:r>
        <w:rPr>
          <w:spacing w:val="-6"/>
          <w:sz w:val="22"/>
        </w:rPr>
        <w:t> </w:t>
      </w:r>
      <w:r>
        <w:rPr>
          <w:sz w:val="22"/>
        </w:rPr>
        <w:t>will</w:t>
      </w:r>
      <w:r>
        <w:rPr>
          <w:spacing w:val="-4"/>
          <w:sz w:val="22"/>
        </w:rPr>
        <w:t> </w:t>
      </w:r>
      <w:r>
        <w:rPr>
          <w:sz w:val="22"/>
        </w:rPr>
        <w:t>be</w:t>
      </w:r>
      <w:r>
        <w:rPr>
          <w:spacing w:val="-4"/>
          <w:sz w:val="22"/>
        </w:rPr>
        <w:t> </w:t>
      </w:r>
      <w:r>
        <w:rPr>
          <w:sz w:val="22"/>
        </w:rPr>
        <w:t>extracted from EHRs) will initially be submitted to the State by ACOs, using spreadsheets and secure transmission methods (e.g., Secure File Transfer Protocol). The ultimate goal will be to have secure two-way data exchange between the State and ACOs to support continuous sharing of clinical quality data. Member experience will be measured via a patient experience survey performed by a vendor. The State anticipates that the survey will be conducted by typical methodologies such as by mail and/or phone.</w:t>
      </w:r>
    </w:p>
    <w:p>
      <w:pPr>
        <w:pStyle w:val="ListParagraph"/>
        <w:numPr>
          <w:ilvl w:val="2"/>
          <w:numId w:val="77"/>
        </w:numPr>
        <w:tabs>
          <w:tab w:pos="1939" w:val="left" w:leader="none"/>
        </w:tabs>
        <w:spacing w:line="252" w:lineRule="exact" w:before="201" w:after="0"/>
        <w:ind w:left="1939" w:right="0" w:hanging="719"/>
        <w:jc w:val="both"/>
        <w:rPr>
          <w:b/>
          <w:color w:val="4471C4"/>
          <w:sz w:val="22"/>
        </w:rPr>
      </w:pPr>
      <w:bookmarkStart w:name="5.3.2 TCOC component of the ACO DSRIP Ac" w:id="1398"/>
      <w:bookmarkEnd w:id="1398"/>
      <w:r>
        <w:rPr/>
      </w:r>
      <w:bookmarkStart w:name="_bookmark82" w:id="1399"/>
      <w:bookmarkEnd w:id="1399"/>
      <w:r>
        <w:rPr/>
      </w:r>
      <w:r>
        <w:rPr>
          <w:b/>
          <w:color w:val="4471C4"/>
          <w:sz w:val="22"/>
        </w:rPr>
        <w:t>TCOC</w:t>
      </w:r>
      <w:r>
        <w:rPr>
          <w:b/>
          <w:color w:val="4471C4"/>
          <w:spacing w:val="-6"/>
          <w:sz w:val="22"/>
        </w:rPr>
        <w:t> </w:t>
      </w:r>
      <w:r>
        <w:rPr>
          <w:b/>
          <w:color w:val="4471C4"/>
          <w:sz w:val="22"/>
        </w:rPr>
        <w:t>component</w:t>
      </w:r>
      <w:r>
        <w:rPr>
          <w:b/>
          <w:color w:val="4471C4"/>
          <w:spacing w:val="-6"/>
          <w:sz w:val="22"/>
        </w:rPr>
        <w:t> </w:t>
      </w:r>
      <w:r>
        <w:rPr>
          <w:b/>
          <w:color w:val="4471C4"/>
          <w:sz w:val="22"/>
        </w:rPr>
        <w:t>of</w:t>
      </w:r>
      <w:r>
        <w:rPr>
          <w:b/>
          <w:color w:val="4471C4"/>
          <w:spacing w:val="-4"/>
          <w:sz w:val="22"/>
        </w:rPr>
        <w:t> </w:t>
      </w:r>
      <w:r>
        <w:rPr>
          <w:b/>
          <w:color w:val="4471C4"/>
          <w:sz w:val="22"/>
        </w:rPr>
        <w:t>the</w:t>
      </w:r>
      <w:r>
        <w:rPr>
          <w:b/>
          <w:color w:val="4471C4"/>
          <w:spacing w:val="-6"/>
          <w:sz w:val="22"/>
        </w:rPr>
        <w:t> </w:t>
      </w:r>
      <w:r>
        <w:rPr>
          <w:b/>
          <w:color w:val="4471C4"/>
          <w:sz w:val="22"/>
        </w:rPr>
        <w:t>ACO</w:t>
      </w:r>
      <w:r>
        <w:rPr>
          <w:b/>
          <w:color w:val="4471C4"/>
          <w:spacing w:val="-4"/>
          <w:sz w:val="22"/>
        </w:rPr>
        <w:t> </w:t>
      </w:r>
      <w:r>
        <w:rPr>
          <w:b/>
          <w:color w:val="4471C4"/>
          <w:sz w:val="22"/>
        </w:rPr>
        <w:t>DSRIP</w:t>
      </w:r>
      <w:r>
        <w:rPr>
          <w:b/>
          <w:color w:val="4471C4"/>
          <w:spacing w:val="-3"/>
          <w:sz w:val="22"/>
        </w:rPr>
        <w:t> </w:t>
      </w:r>
      <w:r>
        <w:rPr>
          <w:b/>
          <w:color w:val="4471C4"/>
          <w:sz w:val="22"/>
        </w:rPr>
        <w:t>Accountability</w:t>
      </w:r>
      <w:r>
        <w:rPr>
          <w:b/>
          <w:color w:val="4471C4"/>
          <w:spacing w:val="-4"/>
          <w:sz w:val="22"/>
        </w:rPr>
        <w:t> </w:t>
      </w:r>
      <w:r>
        <w:rPr>
          <w:b/>
          <w:color w:val="4471C4"/>
          <w:spacing w:val="-2"/>
          <w:sz w:val="22"/>
        </w:rPr>
        <w:t>Score</w:t>
      </w:r>
    </w:p>
    <w:p>
      <w:pPr>
        <w:spacing w:before="0"/>
        <w:ind w:left="1220" w:right="1093" w:firstLine="0"/>
        <w:jc w:val="both"/>
        <w:rPr>
          <w:sz w:val="22"/>
        </w:rPr>
      </w:pPr>
      <w:r>
        <w:rPr>
          <w:sz w:val="22"/>
        </w:rPr>
        <w:t>Each</w:t>
      </w:r>
      <w:r>
        <w:rPr>
          <w:spacing w:val="-1"/>
          <w:sz w:val="22"/>
        </w:rPr>
        <w:t> </w:t>
      </w:r>
      <w:r>
        <w:rPr>
          <w:sz w:val="22"/>
        </w:rPr>
        <w:t>ACO’s</w:t>
      </w:r>
      <w:r>
        <w:rPr>
          <w:spacing w:val="-3"/>
          <w:sz w:val="22"/>
        </w:rPr>
        <w:t> </w:t>
      </w:r>
      <w:r>
        <w:rPr>
          <w:sz w:val="22"/>
        </w:rPr>
        <w:t>TCOC</w:t>
      </w:r>
      <w:r>
        <w:rPr>
          <w:spacing w:val="-2"/>
          <w:sz w:val="22"/>
        </w:rPr>
        <w:t> </w:t>
      </w:r>
      <w:r>
        <w:rPr>
          <w:sz w:val="22"/>
        </w:rPr>
        <w:t>component of the</w:t>
      </w:r>
      <w:r>
        <w:rPr>
          <w:spacing w:val="-1"/>
          <w:sz w:val="22"/>
        </w:rPr>
        <w:t> </w:t>
      </w:r>
      <w:r>
        <w:rPr>
          <w:sz w:val="22"/>
        </w:rPr>
        <w:t>ACO</w:t>
      </w:r>
      <w:r>
        <w:rPr>
          <w:spacing w:val="-2"/>
          <w:sz w:val="22"/>
        </w:rPr>
        <w:t> </w:t>
      </w:r>
      <w:r>
        <w:rPr>
          <w:sz w:val="22"/>
        </w:rPr>
        <w:t>DSRIP</w:t>
      </w:r>
      <w:r>
        <w:rPr>
          <w:spacing w:val="-2"/>
          <w:sz w:val="22"/>
        </w:rPr>
        <w:t> </w:t>
      </w:r>
      <w:r>
        <w:rPr>
          <w:sz w:val="22"/>
        </w:rPr>
        <w:t>Accountability</w:t>
      </w:r>
      <w:r>
        <w:rPr>
          <w:spacing w:val="-4"/>
          <w:sz w:val="22"/>
        </w:rPr>
        <w:t> </w:t>
      </w:r>
      <w:r>
        <w:rPr>
          <w:sz w:val="22"/>
        </w:rPr>
        <w:t>Score</w:t>
      </w:r>
      <w:r>
        <w:rPr>
          <w:spacing w:val="-1"/>
          <w:sz w:val="22"/>
        </w:rPr>
        <w:t> </w:t>
      </w:r>
      <w:r>
        <w:rPr>
          <w:sz w:val="22"/>
        </w:rPr>
        <w:t>will be</w:t>
      </w:r>
      <w:r>
        <w:rPr>
          <w:spacing w:val="-1"/>
          <w:sz w:val="22"/>
        </w:rPr>
        <w:t> </w:t>
      </w:r>
      <w:r>
        <w:rPr>
          <w:sz w:val="22"/>
        </w:rPr>
        <w:t>a</w:t>
      </w:r>
      <w:r>
        <w:rPr>
          <w:spacing w:val="-3"/>
          <w:sz w:val="22"/>
        </w:rPr>
        <w:t> </w:t>
      </w:r>
      <w:r>
        <w:rPr>
          <w:sz w:val="22"/>
        </w:rPr>
        <w:t>value</w:t>
      </w:r>
      <w:r>
        <w:rPr>
          <w:spacing w:val="-1"/>
          <w:sz w:val="22"/>
        </w:rPr>
        <w:t> </w:t>
      </w:r>
      <w:r>
        <w:rPr>
          <w:sz w:val="22"/>
        </w:rPr>
        <w:t>between</w:t>
      </w:r>
      <w:r>
        <w:rPr>
          <w:spacing w:val="-1"/>
          <w:sz w:val="22"/>
        </w:rPr>
        <w:t> </w:t>
      </w:r>
      <w:r>
        <w:rPr>
          <w:sz w:val="22"/>
        </w:rPr>
        <w:t>zero</w:t>
      </w:r>
      <w:r>
        <w:rPr>
          <w:spacing w:val="-1"/>
          <w:sz w:val="22"/>
        </w:rPr>
        <w:t> </w:t>
      </w:r>
      <w:r>
        <w:rPr>
          <w:sz w:val="22"/>
        </w:rPr>
        <w:t>(0) and one</w:t>
      </w:r>
      <w:r>
        <w:rPr>
          <w:spacing w:val="-2"/>
          <w:sz w:val="22"/>
        </w:rPr>
        <w:t> </w:t>
      </w:r>
      <w:r>
        <w:rPr>
          <w:sz w:val="22"/>
        </w:rPr>
        <w:t>(1) expressed</w:t>
      </w:r>
      <w:r>
        <w:rPr>
          <w:spacing w:val="-2"/>
          <w:sz w:val="22"/>
        </w:rPr>
        <w:t> </w:t>
      </w:r>
      <w:r>
        <w:rPr>
          <w:sz w:val="22"/>
        </w:rPr>
        <w:t>as</w:t>
      </w:r>
      <w:r>
        <w:rPr>
          <w:spacing w:val="-2"/>
          <w:sz w:val="22"/>
        </w:rPr>
        <w:t> </w:t>
      </w:r>
      <w:r>
        <w:rPr>
          <w:sz w:val="22"/>
        </w:rPr>
        <w:t>a</w:t>
      </w:r>
      <w:r>
        <w:rPr>
          <w:spacing w:val="-2"/>
          <w:sz w:val="22"/>
        </w:rPr>
        <w:t> </w:t>
      </w:r>
      <w:r>
        <w:rPr>
          <w:sz w:val="22"/>
        </w:rPr>
        <w:t>percentage (i.e., 0% to 100%)</w:t>
      </w:r>
      <w:r>
        <w:rPr>
          <w:spacing w:val="-1"/>
          <w:sz w:val="22"/>
        </w:rPr>
        <w:t> </w:t>
      </w:r>
      <w:r>
        <w:rPr>
          <w:sz w:val="22"/>
        </w:rPr>
        <w:t>that reflects</w:t>
      </w:r>
      <w:r>
        <w:rPr>
          <w:spacing w:val="-2"/>
          <w:sz w:val="22"/>
        </w:rPr>
        <w:t> </w:t>
      </w:r>
      <w:r>
        <w:rPr>
          <w:sz w:val="22"/>
        </w:rPr>
        <w:t>an ACO’s</w:t>
      </w:r>
      <w:r>
        <w:rPr>
          <w:spacing w:val="-2"/>
          <w:sz w:val="22"/>
        </w:rPr>
        <w:t> </w:t>
      </w:r>
      <w:r>
        <w:rPr>
          <w:sz w:val="22"/>
        </w:rPr>
        <w:t>performance at managing TCOC for its enrolled or attributed members. Each ACO’s TCOC component of the ACO DSRIP Accountability Score will be calculated in the following manner:</w:t>
      </w:r>
    </w:p>
    <w:p>
      <w:pPr>
        <w:spacing w:line="244" w:lineRule="auto" w:before="159"/>
        <w:ind w:left="1220" w:right="1094" w:firstLine="0"/>
        <w:jc w:val="both"/>
        <w:rPr>
          <w:sz w:val="22"/>
        </w:rPr>
      </w:pPr>
      <w:r>
        <w:rPr>
          <w:sz w:val="22"/>
        </w:rPr>
        <w:t>If the ACO is a Primary Care ACO or MCO-Administered ACO, the State will perform the following </w:t>
      </w:r>
      <w:r>
        <w:rPr>
          <w:spacing w:val="-2"/>
          <w:sz w:val="22"/>
        </w:rPr>
        <w:t>comparison:</w:t>
      </w:r>
    </w:p>
    <w:p>
      <w:pPr>
        <w:pStyle w:val="ListParagraph"/>
        <w:numPr>
          <w:ilvl w:val="0"/>
          <w:numId w:val="94"/>
        </w:numPr>
        <w:tabs>
          <w:tab w:pos="1940" w:val="left" w:leader="none"/>
        </w:tabs>
        <w:spacing w:line="242" w:lineRule="auto" w:before="151" w:after="0"/>
        <w:ind w:left="1940" w:right="1093" w:hanging="360"/>
        <w:jc w:val="both"/>
        <w:rPr>
          <w:sz w:val="22"/>
        </w:rPr>
      </w:pPr>
      <w:r>
        <w:rPr>
          <w:sz w:val="22"/>
        </w:rPr>
        <w:t>In</w:t>
      </w:r>
      <w:r>
        <w:rPr>
          <w:spacing w:val="-14"/>
          <w:sz w:val="22"/>
        </w:rPr>
        <w:t> </w:t>
      </w:r>
      <w:r>
        <w:rPr>
          <w:sz w:val="22"/>
        </w:rPr>
        <w:t>advance</w:t>
      </w:r>
      <w:r>
        <w:rPr>
          <w:spacing w:val="-10"/>
          <w:sz w:val="22"/>
        </w:rPr>
        <w:t> </w:t>
      </w:r>
      <w:r>
        <w:rPr>
          <w:sz w:val="22"/>
        </w:rPr>
        <w:t>of</w:t>
      </w:r>
      <w:r>
        <w:rPr>
          <w:spacing w:val="-13"/>
          <w:sz w:val="22"/>
        </w:rPr>
        <w:t> </w:t>
      </w:r>
      <w:r>
        <w:rPr>
          <w:sz w:val="22"/>
        </w:rPr>
        <w:t>each</w:t>
      </w:r>
      <w:r>
        <w:rPr>
          <w:spacing w:val="-14"/>
          <w:sz w:val="22"/>
        </w:rPr>
        <w:t> </w:t>
      </w:r>
      <w:r>
        <w:rPr>
          <w:sz w:val="22"/>
        </w:rPr>
        <w:t>Budget</w:t>
      </w:r>
      <w:r>
        <w:rPr>
          <w:spacing w:val="-14"/>
          <w:sz w:val="22"/>
        </w:rPr>
        <w:t> </w:t>
      </w:r>
      <w:r>
        <w:rPr>
          <w:sz w:val="22"/>
        </w:rPr>
        <w:t>Period,</w:t>
      </w:r>
      <w:r>
        <w:rPr>
          <w:spacing w:val="-13"/>
          <w:sz w:val="22"/>
        </w:rPr>
        <w:t> </w:t>
      </w:r>
      <w:r>
        <w:rPr>
          <w:sz w:val="22"/>
        </w:rPr>
        <w:t>the</w:t>
      </w:r>
      <w:r>
        <w:rPr>
          <w:spacing w:val="-14"/>
          <w:sz w:val="22"/>
        </w:rPr>
        <w:t> </w:t>
      </w:r>
      <w:r>
        <w:rPr>
          <w:sz w:val="22"/>
        </w:rPr>
        <w:t>State</w:t>
      </w:r>
      <w:r>
        <w:rPr>
          <w:spacing w:val="-14"/>
          <w:sz w:val="22"/>
        </w:rPr>
        <w:t> </w:t>
      </w:r>
      <w:r>
        <w:rPr>
          <w:sz w:val="22"/>
        </w:rPr>
        <w:t>will</w:t>
      </w:r>
      <w:r>
        <w:rPr>
          <w:spacing w:val="-12"/>
          <w:sz w:val="22"/>
        </w:rPr>
        <w:t> </w:t>
      </w:r>
      <w:r>
        <w:rPr>
          <w:sz w:val="22"/>
        </w:rPr>
        <w:t>establish</w:t>
      </w:r>
      <w:r>
        <w:rPr>
          <w:spacing w:val="-12"/>
          <w:sz w:val="22"/>
        </w:rPr>
        <w:t> </w:t>
      </w:r>
      <w:r>
        <w:rPr>
          <w:sz w:val="22"/>
        </w:rPr>
        <w:t>a</w:t>
      </w:r>
      <w:r>
        <w:rPr>
          <w:spacing w:val="-14"/>
          <w:sz w:val="22"/>
        </w:rPr>
        <w:t> </w:t>
      </w:r>
      <w:r>
        <w:rPr>
          <w:sz w:val="22"/>
        </w:rPr>
        <w:t>Preliminary</w:t>
      </w:r>
      <w:r>
        <w:rPr>
          <w:spacing w:val="-14"/>
          <w:sz w:val="22"/>
        </w:rPr>
        <w:t> </w:t>
      </w:r>
      <w:r>
        <w:rPr>
          <w:sz w:val="22"/>
        </w:rPr>
        <w:t>TCOC</w:t>
      </w:r>
      <w:r>
        <w:rPr>
          <w:spacing w:val="-12"/>
          <w:sz w:val="22"/>
        </w:rPr>
        <w:t> </w:t>
      </w:r>
      <w:r>
        <w:rPr>
          <w:sz w:val="22"/>
        </w:rPr>
        <w:t>Benchmark</w:t>
      </w:r>
      <w:r>
        <w:rPr>
          <w:spacing w:val="-14"/>
          <w:sz w:val="22"/>
        </w:rPr>
        <w:t> </w:t>
      </w:r>
      <w:r>
        <w:rPr>
          <w:sz w:val="22"/>
        </w:rPr>
        <w:t>for</w:t>
      </w:r>
      <w:r>
        <w:rPr>
          <w:spacing w:val="-11"/>
          <w:sz w:val="22"/>
        </w:rPr>
        <w:t> </w:t>
      </w:r>
      <w:r>
        <w:rPr>
          <w:sz w:val="22"/>
        </w:rPr>
        <w:t>each ACO,</w:t>
      </w:r>
      <w:r>
        <w:rPr>
          <w:spacing w:val="-10"/>
          <w:sz w:val="22"/>
        </w:rPr>
        <w:t> </w:t>
      </w:r>
      <w:r>
        <w:rPr>
          <w:sz w:val="22"/>
        </w:rPr>
        <w:t>working</w:t>
      </w:r>
      <w:r>
        <w:rPr>
          <w:spacing w:val="-12"/>
          <w:sz w:val="22"/>
        </w:rPr>
        <w:t> </w:t>
      </w:r>
      <w:r>
        <w:rPr>
          <w:sz w:val="22"/>
        </w:rPr>
        <w:t>with</w:t>
      </w:r>
      <w:r>
        <w:rPr>
          <w:spacing w:val="-10"/>
          <w:sz w:val="22"/>
        </w:rPr>
        <w:t> </w:t>
      </w:r>
      <w:r>
        <w:rPr>
          <w:sz w:val="22"/>
        </w:rPr>
        <w:t>the</w:t>
      </w:r>
      <w:r>
        <w:rPr>
          <w:spacing w:val="-9"/>
          <w:sz w:val="22"/>
        </w:rPr>
        <w:t> </w:t>
      </w:r>
      <w:r>
        <w:rPr>
          <w:sz w:val="22"/>
        </w:rPr>
        <w:t>State’s</w:t>
      </w:r>
      <w:r>
        <w:rPr>
          <w:spacing w:val="-11"/>
          <w:sz w:val="22"/>
        </w:rPr>
        <w:t> </w:t>
      </w:r>
      <w:r>
        <w:rPr>
          <w:sz w:val="22"/>
        </w:rPr>
        <w:t>actuaries</w:t>
      </w:r>
      <w:r>
        <w:rPr>
          <w:spacing w:val="-9"/>
          <w:sz w:val="22"/>
        </w:rPr>
        <w:t> </w:t>
      </w:r>
      <w:r>
        <w:rPr>
          <w:sz w:val="22"/>
        </w:rPr>
        <w:t>and</w:t>
      </w:r>
      <w:r>
        <w:rPr>
          <w:spacing w:val="-12"/>
          <w:sz w:val="22"/>
        </w:rPr>
        <w:t> </w:t>
      </w:r>
      <w:r>
        <w:rPr>
          <w:sz w:val="22"/>
        </w:rPr>
        <w:t>following</w:t>
      </w:r>
      <w:r>
        <w:rPr>
          <w:spacing w:val="-12"/>
          <w:sz w:val="22"/>
        </w:rPr>
        <w:t> </w:t>
      </w:r>
      <w:r>
        <w:rPr>
          <w:sz w:val="22"/>
        </w:rPr>
        <w:t>the</w:t>
      </w:r>
      <w:r>
        <w:rPr>
          <w:spacing w:val="-9"/>
          <w:sz w:val="22"/>
        </w:rPr>
        <w:t> </w:t>
      </w:r>
      <w:r>
        <w:rPr>
          <w:sz w:val="22"/>
        </w:rPr>
        <w:t>detailed</w:t>
      </w:r>
      <w:r>
        <w:rPr>
          <w:spacing w:val="-10"/>
          <w:sz w:val="22"/>
        </w:rPr>
        <w:t> </w:t>
      </w:r>
      <w:r>
        <w:rPr>
          <w:sz w:val="22"/>
        </w:rPr>
        <w:t>methodology</w:t>
      </w:r>
      <w:r>
        <w:rPr>
          <w:spacing w:val="-12"/>
          <w:sz w:val="22"/>
        </w:rPr>
        <w:t> </w:t>
      </w:r>
      <w:r>
        <w:rPr>
          <w:sz w:val="22"/>
        </w:rPr>
        <w:t>for</w:t>
      </w:r>
      <w:r>
        <w:rPr>
          <w:spacing w:val="-9"/>
          <w:sz w:val="22"/>
        </w:rPr>
        <w:t> </w:t>
      </w:r>
      <w:r>
        <w:rPr>
          <w:sz w:val="22"/>
        </w:rPr>
        <w:t>setting</w:t>
      </w:r>
      <w:r>
        <w:rPr>
          <w:spacing w:val="-12"/>
          <w:sz w:val="22"/>
        </w:rPr>
        <w:t> </w:t>
      </w:r>
      <w:r>
        <w:rPr>
          <w:sz w:val="22"/>
        </w:rPr>
        <w:t>TCOC Benchmarks outlined in the State’s ACO contracts</w:t>
      </w:r>
    </w:p>
    <w:p>
      <w:pPr>
        <w:pStyle w:val="ListParagraph"/>
        <w:numPr>
          <w:ilvl w:val="0"/>
          <w:numId w:val="94"/>
        </w:numPr>
        <w:tabs>
          <w:tab w:pos="1939" w:val="left" w:leader="none"/>
        </w:tabs>
        <w:spacing w:line="244" w:lineRule="auto" w:before="191" w:after="0"/>
        <w:ind w:left="1939" w:right="1094" w:hanging="360"/>
        <w:jc w:val="both"/>
        <w:rPr>
          <w:sz w:val="22"/>
        </w:rPr>
      </w:pPr>
      <w:r>
        <w:rPr>
          <w:sz w:val="22"/>
        </w:rPr>
        <w:t>Approximately 7-8 quarters after the Budget Period has ended, the State will retrospectively calculate each ACO’s TCOC Performance for the Budget Period</w:t>
      </w:r>
    </w:p>
    <w:p>
      <w:pPr>
        <w:pStyle w:val="ListParagraph"/>
        <w:numPr>
          <w:ilvl w:val="0"/>
          <w:numId w:val="94"/>
        </w:numPr>
        <w:tabs>
          <w:tab w:pos="1939" w:val="left" w:leader="none"/>
        </w:tabs>
        <w:spacing w:line="240" w:lineRule="auto" w:before="190" w:after="0"/>
        <w:ind w:left="1939" w:right="1093" w:hanging="360"/>
        <w:jc w:val="both"/>
        <w:rPr>
          <w:sz w:val="22"/>
        </w:rPr>
      </w:pPr>
      <w:r>
        <w:rPr>
          <w:sz w:val="22"/>
        </w:rPr>
        <w:t>The State will retrospectively compare each ACO’s TCOC Performance to its Final TCOC Benchmark, as set forth in the Primary Care ACO or MCO-Administered ACO contract. TCOC Performance,</w:t>
      </w:r>
      <w:r>
        <w:rPr>
          <w:spacing w:val="-6"/>
          <w:sz w:val="22"/>
        </w:rPr>
        <w:t> </w:t>
      </w:r>
      <w:r>
        <w:rPr>
          <w:sz w:val="22"/>
        </w:rPr>
        <w:t>which</w:t>
      </w:r>
      <w:r>
        <w:rPr>
          <w:spacing w:val="-6"/>
          <w:sz w:val="22"/>
        </w:rPr>
        <w:t> </w:t>
      </w:r>
      <w:r>
        <w:rPr>
          <w:sz w:val="22"/>
        </w:rPr>
        <w:t>will</w:t>
      </w:r>
      <w:r>
        <w:rPr>
          <w:spacing w:val="-8"/>
          <w:sz w:val="22"/>
        </w:rPr>
        <w:t> </w:t>
      </w:r>
      <w:r>
        <w:rPr>
          <w:sz w:val="22"/>
        </w:rPr>
        <w:t>include</w:t>
      </w:r>
      <w:r>
        <w:rPr>
          <w:spacing w:val="-8"/>
          <w:sz w:val="22"/>
        </w:rPr>
        <w:t> </w:t>
      </w:r>
      <w:r>
        <w:rPr>
          <w:sz w:val="22"/>
        </w:rPr>
        <w:t>only</w:t>
      </w:r>
      <w:r>
        <w:rPr>
          <w:spacing w:val="-9"/>
          <w:sz w:val="22"/>
        </w:rPr>
        <w:t> </w:t>
      </w:r>
      <w:r>
        <w:rPr>
          <w:sz w:val="22"/>
        </w:rPr>
        <w:t>the</w:t>
      </w:r>
      <w:r>
        <w:rPr>
          <w:spacing w:val="-6"/>
          <w:sz w:val="22"/>
        </w:rPr>
        <w:t> </w:t>
      </w:r>
      <w:r>
        <w:rPr>
          <w:sz w:val="22"/>
        </w:rPr>
        <w:t>Included</w:t>
      </w:r>
      <w:r>
        <w:rPr>
          <w:spacing w:val="-6"/>
          <w:sz w:val="22"/>
        </w:rPr>
        <w:t> </w:t>
      </w:r>
      <w:r>
        <w:rPr>
          <w:sz w:val="22"/>
        </w:rPr>
        <w:t>Spending</w:t>
      </w:r>
      <w:r>
        <w:rPr>
          <w:spacing w:val="-9"/>
          <w:sz w:val="22"/>
        </w:rPr>
        <w:t> </w:t>
      </w:r>
      <w:r>
        <w:rPr>
          <w:sz w:val="22"/>
        </w:rPr>
        <w:t>Category</w:t>
      </w:r>
      <w:r>
        <w:rPr>
          <w:spacing w:val="-9"/>
          <w:sz w:val="22"/>
        </w:rPr>
        <w:t> </w:t>
      </w:r>
      <w:r>
        <w:rPr>
          <w:sz w:val="22"/>
        </w:rPr>
        <w:t>services</w:t>
      </w:r>
      <w:r>
        <w:rPr>
          <w:spacing w:val="-6"/>
          <w:sz w:val="22"/>
        </w:rPr>
        <w:t> </w:t>
      </w:r>
      <w:r>
        <w:rPr>
          <w:sz w:val="22"/>
        </w:rPr>
        <w:t>set</w:t>
      </w:r>
      <w:r>
        <w:rPr>
          <w:spacing w:val="-8"/>
          <w:sz w:val="22"/>
        </w:rPr>
        <w:t> </w:t>
      </w:r>
      <w:r>
        <w:rPr>
          <w:sz w:val="22"/>
        </w:rPr>
        <w:t>forth</w:t>
      </w:r>
      <w:r>
        <w:rPr>
          <w:spacing w:val="-6"/>
          <w:sz w:val="22"/>
        </w:rPr>
        <w:t> </w:t>
      </w:r>
      <w:r>
        <w:rPr>
          <w:sz w:val="22"/>
        </w:rPr>
        <w:t>in</w:t>
      </w:r>
      <w:r>
        <w:rPr>
          <w:spacing w:val="-6"/>
          <w:sz w:val="22"/>
        </w:rPr>
        <w:t> </w:t>
      </w:r>
      <w:r>
        <w:rPr>
          <w:sz w:val="22"/>
        </w:rPr>
        <w:t>Section 5.2.1.2, will reflect savings or losses after taking into account risk sharing arrangements with the State for the Budget Period. In the process, the State will make several updates to each ACO’s Preliminary TCOC Benchmark to produce the ACO’s Final TCOC Benchmark for the Included Spending Category services, including, for example, actuarial adjustments to account for the ACO’s risk profile and population mix during the Budget Period</w:t>
      </w:r>
    </w:p>
    <w:p>
      <w:pPr>
        <w:spacing w:before="203"/>
        <w:ind w:left="1219" w:right="0" w:firstLine="0"/>
        <w:jc w:val="both"/>
        <w:rPr>
          <w:sz w:val="22"/>
        </w:rPr>
      </w:pPr>
      <w:r>
        <w:rPr>
          <w:sz w:val="22"/>
        </w:rPr>
        <w:t>If</w:t>
      </w:r>
      <w:r>
        <w:rPr>
          <w:spacing w:val="-3"/>
          <w:sz w:val="22"/>
        </w:rPr>
        <w:t> </w:t>
      </w:r>
      <w:r>
        <w:rPr>
          <w:sz w:val="22"/>
        </w:rPr>
        <w:t>the</w:t>
      </w:r>
      <w:r>
        <w:rPr>
          <w:spacing w:val="-3"/>
          <w:sz w:val="22"/>
        </w:rPr>
        <w:t> </w:t>
      </w:r>
      <w:r>
        <w:rPr>
          <w:sz w:val="22"/>
        </w:rPr>
        <w:t>ACO</w:t>
      </w:r>
      <w:r>
        <w:rPr>
          <w:spacing w:val="-4"/>
          <w:sz w:val="22"/>
        </w:rPr>
        <w:t> </w:t>
      </w:r>
      <w:r>
        <w:rPr>
          <w:sz w:val="22"/>
        </w:rPr>
        <w:t>is</w:t>
      </w:r>
      <w:r>
        <w:rPr>
          <w:spacing w:val="-3"/>
          <w:sz w:val="22"/>
        </w:rPr>
        <w:t> </w:t>
      </w:r>
      <w:r>
        <w:rPr>
          <w:sz w:val="22"/>
        </w:rPr>
        <w:t>an</w:t>
      </w:r>
      <w:r>
        <w:rPr>
          <w:spacing w:val="-3"/>
          <w:sz w:val="22"/>
        </w:rPr>
        <w:t> </w:t>
      </w:r>
      <w:r>
        <w:rPr>
          <w:sz w:val="22"/>
        </w:rPr>
        <w:t>Accountable</w:t>
      </w:r>
      <w:r>
        <w:rPr>
          <w:spacing w:val="-3"/>
          <w:sz w:val="22"/>
        </w:rPr>
        <w:t> </w:t>
      </w:r>
      <w:r>
        <w:rPr>
          <w:sz w:val="22"/>
        </w:rPr>
        <w:t>Care</w:t>
      </w:r>
      <w:r>
        <w:rPr>
          <w:spacing w:val="-3"/>
          <w:sz w:val="22"/>
        </w:rPr>
        <w:t> </w:t>
      </w:r>
      <w:r>
        <w:rPr>
          <w:sz w:val="22"/>
        </w:rPr>
        <w:t>Partnership</w:t>
      </w:r>
      <w:r>
        <w:rPr>
          <w:spacing w:val="-3"/>
          <w:sz w:val="22"/>
        </w:rPr>
        <w:t> </w:t>
      </w:r>
      <w:r>
        <w:rPr>
          <w:sz w:val="22"/>
        </w:rPr>
        <w:t>Plan,</w:t>
      </w:r>
      <w:r>
        <w:rPr>
          <w:spacing w:val="-3"/>
          <w:sz w:val="22"/>
        </w:rPr>
        <w:t> </w:t>
      </w:r>
      <w:r>
        <w:rPr>
          <w:sz w:val="22"/>
        </w:rPr>
        <w:t>the</w:t>
      </w:r>
      <w:r>
        <w:rPr>
          <w:spacing w:val="-3"/>
          <w:sz w:val="22"/>
        </w:rPr>
        <w:t> </w:t>
      </w:r>
      <w:r>
        <w:rPr>
          <w:sz w:val="22"/>
        </w:rPr>
        <w:t>State</w:t>
      </w:r>
      <w:r>
        <w:rPr>
          <w:spacing w:val="-3"/>
          <w:sz w:val="22"/>
        </w:rPr>
        <w:t> </w:t>
      </w:r>
      <w:r>
        <w:rPr>
          <w:sz w:val="22"/>
        </w:rPr>
        <w:t>will</w:t>
      </w:r>
      <w:r>
        <w:rPr>
          <w:spacing w:val="-2"/>
          <w:sz w:val="22"/>
        </w:rPr>
        <w:t> </w:t>
      </w:r>
      <w:r>
        <w:rPr>
          <w:sz w:val="22"/>
        </w:rPr>
        <w:t>perform</w:t>
      </w:r>
      <w:r>
        <w:rPr>
          <w:spacing w:val="-7"/>
          <w:sz w:val="22"/>
        </w:rPr>
        <w:t> </w:t>
      </w:r>
      <w:r>
        <w:rPr>
          <w:sz w:val="22"/>
        </w:rPr>
        <w:t>the</w:t>
      </w:r>
      <w:r>
        <w:rPr>
          <w:spacing w:val="-3"/>
          <w:sz w:val="22"/>
        </w:rPr>
        <w:t> </w:t>
      </w:r>
      <w:r>
        <w:rPr>
          <w:sz w:val="22"/>
        </w:rPr>
        <w:t>following</w:t>
      </w:r>
      <w:r>
        <w:rPr>
          <w:spacing w:val="-5"/>
          <w:sz w:val="22"/>
        </w:rPr>
        <w:t> </w:t>
      </w:r>
      <w:r>
        <w:rPr>
          <w:spacing w:val="-2"/>
          <w:sz w:val="22"/>
        </w:rPr>
        <w:t>comparison:</w:t>
      </w:r>
    </w:p>
    <w:p>
      <w:pPr>
        <w:pStyle w:val="ListParagraph"/>
        <w:numPr>
          <w:ilvl w:val="0"/>
          <w:numId w:val="94"/>
        </w:numPr>
        <w:tabs>
          <w:tab w:pos="1939" w:val="left" w:leader="none"/>
        </w:tabs>
        <w:spacing w:line="244" w:lineRule="auto" w:before="157" w:after="0"/>
        <w:ind w:left="1939" w:right="1096" w:hanging="360"/>
        <w:jc w:val="both"/>
        <w:rPr>
          <w:sz w:val="22"/>
        </w:rPr>
      </w:pPr>
      <w:r>
        <w:rPr>
          <w:sz w:val="22"/>
        </w:rPr>
        <w:t>Approximately 7-8 quarters after the Budget Period has ended, the State will retrospectively calculate each ACO’s TCOC Performance for the Budget Period</w:t>
      </w:r>
    </w:p>
    <w:p>
      <w:pPr>
        <w:pStyle w:val="ListParagraph"/>
        <w:numPr>
          <w:ilvl w:val="0"/>
          <w:numId w:val="94"/>
        </w:numPr>
        <w:tabs>
          <w:tab w:pos="1937" w:val="left" w:leader="none"/>
          <w:tab w:pos="1939" w:val="left" w:leader="none"/>
        </w:tabs>
        <w:spacing w:line="240" w:lineRule="auto" w:before="190" w:after="0"/>
        <w:ind w:left="1939" w:right="1093" w:hanging="361"/>
        <w:jc w:val="both"/>
        <w:rPr>
          <w:sz w:val="22"/>
        </w:rPr>
      </w:pPr>
      <w:r>
        <w:rPr>
          <w:sz w:val="22"/>
        </w:rPr>
        <w:t>The State will retrospectively compare capitation payments to the Partnership Plan’s Non-High Cost Drug/Non-HCV actual medical expenditures (hereinafter “Total Medical Expense (TME)”) as set forth in the Accountable Care Partnership Plan contract. TME performance, which will include</w:t>
      </w:r>
      <w:r>
        <w:rPr>
          <w:spacing w:val="-10"/>
          <w:sz w:val="22"/>
        </w:rPr>
        <w:t> </w:t>
      </w:r>
      <w:r>
        <w:rPr>
          <w:sz w:val="22"/>
        </w:rPr>
        <w:t>only</w:t>
      </w:r>
      <w:r>
        <w:rPr>
          <w:spacing w:val="-13"/>
          <w:sz w:val="22"/>
        </w:rPr>
        <w:t> </w:t>
      </w:r>
      <w:r>
        <w:rPr>
          <w:sz w:val="22"/>
        </w:rPr>
        <w:t>the</w:t>
      </w:r>
      <w:r>
        <w:rPr>
          <w:spacing w:val="-10"/>
          <w:sz w:val="22"/>
        </w:rPr>
        <w:t> </w:t>
      </w:r>
      <w:r>
        <w:rPr>
          <w:sz w:val="22"/>
        </w:rPr>
        <w:t>Included</w:t>
      </w:r>
      <w:r>
        <w:rPr>
          <w:spacing w:val="-11"/>
          <w:sz w:val="22"/>
        </w:rPr>
        <w:t> </w:t>
      </w:r>
      <w:r>
        <w:rPr>
          <w:sz w:val="22"/>
        </w:rPr>
        <w:t>Spending</w:t>
      </w:r>
      <w:r>
        <w:rPr>
          <w:spacing w:val="-13"/>
          <w:sz w:val="22"/>
        </w:rPr>
        <w:t> </w:t>
      </w:r>
      <w:r>
        <w:rPr>
          <w:sz w:val="22"/>
        </w:rPr>
        <w:t>Category</w:t>
      </w:r>
      <w:r>
        <w:rPr>
          <w:spacing w:val="-13"/>
          <w:sz w:val="22"/>
        </w:rPr>
        <w:t> </w:t>
      </w:r>
      <w:r>
        <w:rPr>
          <w:sz w:val="22"/>
        </w:rPr>
        <w:t>Services</w:t>
      </w:r>
      <w:r>
        <w:rPr>
          <w:spacing w:val="-13"/>
          <w:sz w:val="22"/>
        </w:rPr>
        <w:t> </w:t>
      </w:r>
      <w:r>
        <w:rPr>
          <w:sz w:val="22"/>
        </w:rPr>
        <w:t>set</w:t>
      </w:r>
      <w:r>
        <w:rPr>
          <w:spacing w:val="-10"/>
          <w:sz w:val="22"/>
        </w:rPr>
        <w:t> </w:t>
      </w:r>
      <w:r>
        <w:rPr>
          <w:sz w:val="22"/>
        </w:rPr>
        <w:t>forth</w:t>
      </w:r>
      <w:r>
        <w:rPr>
          <w:spacing w:val="-11"/>
          <w:sz w:val="22"/>
        </w:rPr>
        <w:t> </w:t>
      </w:r>
      <w:r>
        <w:rPr>
          <w:sz w:val="22"/>
        </w:rPr>
        <w:t>in</w:t>
      </w:r>
      <w:r>
        <w:rPr>
          <w:spacing w:val="-11"/>
          <w:sz w:val="22"/>
        </w:rPr>
        <w:t> </w:t>
      </w:r>
      <w:r>
        <w:rPr>
          <w:sz w:val="22"/>
        </w:rPr>
        <w:t>Section</w:t>
      </w:r>
      <w:r>
        <w:rPr>
          <w:spacing w:val="-11"/>
          <w:sz w:val="22"/>
        </w:rPr>
        <w:t> </w:t>
      </w:r>
      <w:r>
        <w:rPr>
          <w:sz w:val="22"/>
        </w:rPr>
        <w:t>5.2.1.2,</w:t>
      </w:r>
      <w:r>
        <w:rPr>
          <w:spacing w:val="-14"/>
          <w:sz w:val="22"/>
        </w:rPr>
        <w:t> </w:t>
      </w:r>
      <w:r>
        <w:rPr>
          <w:sz w:val="22"/>
        </w:rPr>
        <w:t>will</w:t>
      </w:r>
      <w:r>
        <w:rPr>
          <w:spacing w:val="-12"/>
          <w:sz w:val="22"/>
        </w:rPr>
        <w:t> </w:t>
      </w:r>
      <w:r>
        <w:rPr>
          <w:sz w:val="22"/>
        </w:rPr>
        <w:t>reflect</w:t>
      </w:r>
      <w:r>
        <w:rPr>
          <w:spacing w:val="-10"/>
          <w:sz w:val="22"/>
        </w:rPr>
        <w:t> </w:t>
      </w:r>
      <w:r>
        <w:rPr>
          <w:sz w:val="22"/>
        </w:rPr>
        <w:t>gains or losses after taking into account risk sharing arrangements with EOHHS for the Budget Period, such as market level risk corridors. Administrative or underwriting gains or losses will not count towards</w:t>
      </w:r>
      <w:r>
        <w:rPr>
          <w:spacing w:val="-4"/>
          <w:sz w:val="22"/>
        </w:rPr>
        <w:t> </w:t>
      </w:r>
      <w:r>
        <w:rPr>
          <w:sz w:val="22"/>
        </w:rPr>
        <w:t>gains</w:t>
      </w:r>
      <w:r>
        <w:rPr>
          <w:spacing w:val="-7"/>
          <w:sz w:val="22"/>
        </w:rPr>
        <w:t> </w:t>
      </w:r>
      <w:r>
        <w:rPr>
          <w:sz w:val="22"/>
        </w:rPr>
        <w:t>or</w:t>
      </w:r>
      <w:r>
        <w:rPr>
          <w:spacing w:val="-6"/>
          <w:sz w:val="22"/>
        </w:rPr>
        <w:t> </w:t>
      </w:r>
      <w:r>
        <w:rPr>
          <w:sz w:val="22"/>
        </w:rPr>
        <w:t>losses</w:t>
      </w:r>
      <w:r>
        <w:rPr>
          <w:spacing w:val="-7"/>
          <w:sz w:val="22"/>
        </w:rPr>
        <w:t> </w:t>
      </w:r>
      <w:r>
        <w:rPr>
          <w:sz w:val="22"/>
        </w:rPr>
        <w:t>used</w:t>
      </w:r>
      <w:r>
        <w:rPr>
          <w:spacing w:val="-5"/>
          <w:sz w:val="22"/>
        </w:rPr>
        <w:t> </w:t>
      </w:r>
      <w:r>
        <w:rPr>
          <w:sz w:val="22"/>
        </w:rPr>
        <w:t>to</w:t>
      </w:r>
      <w:r>
        <w:rPr>
          <w:spacing w:val="-5"/>
          <w:sz w:val="22"/>
        </w:rPr>
        <w:t> </w:t>
      </w:r>
      <w:r>
        <w:rPr>
          <w:sz w:val="22"/>
        </w:rPr>
        <w:t>calculate</w:t>
      </w:r>
      <w:r>
        <w:rPr>
          <w:spacing w:val="-7"/>
          <w:sz w:val="22"/>
        </w:rPr>
        <w:t> </w:t>
      </w:r>
      <w:r>
        <w:rPr>
          <w:sz w:val="22"/>
        </w:rPr>
        <w:t>the</w:t>
      </w:r>
      <w:r>
        <w:rPr>
          <w:spacing w:val="-7"/>
          <w:sz w:val="22"/>
        </w:rPr>
        <w:t> </w:t>
      </w:r>
      <w:r>
        <w:rPr>
          <w:sz w:val="22"/>
        </w:rPr>
        <w:t>TCOC</w:t>
      </w:r>
      <w:r>
        <w:rPr>
          <w:spacing w:val="-6"/>
          <w:sz w:val="22"/>
        </w:rPr>
        <w:t> </w:t>
      </w:r>
      <w:r>
        <w:rPr>
          <w:sz w:val="22"/>
        </w:rPr>
        <w:t>component</w:t>
      </w:r>
      <w:r>
        <w:rPr>
          <w:spacing w:val="-4"/>
          <w:sz w:val="22"/>
        </w:rPr>
        <w:t> </w:t>
      </w:r>
      <w:r>
        <w:rPr>
          <w:sz w:val="22"/>
        </w:rPr>
        <w:t>of</w:t>
      </w:r>
      <w:r>
        <w:rPr>
          <w:spacing w:val="-6"/>
          <w:sz w:val="22"/>
        </w:rPr>
        <w:t> </w:t>
      </w:r>
      <w:r>
        <w:rPr>
          <w:sz w:val="22"/>
        </w:rPr>
        <w:t>the</w:t>
      </w:r>
      <w:r>
        <w:rPr>
          <w:spacing w:val="-4"/>
          <w:sz w:val="22"/>
        </w:rPr>
        <w:t> </w:t>
      </w:r>
      <w:r>
        <w:rPr>
          <w:sz w:val="22"/>
        </w:rPr>
        <w:t>ACO</w:t>
      </w:r>
      <w:r>
        <w:rPr>
          <w:spacing w:val="-6"/>
          <w:sz w:val="22"/>
        </w:rPr>
        <w:t> </w:t>
      </w:r>
      <w:r>
        <w:rPr>
          <w:sz w:val="22"/>
        </w:rPr>
        <w:t>DSRIP</w:t>
      </w:r>
      <w:r>
        <w:rPr>
          <w:spacing w:val="-5"/>
          <w:sz w:val="22"/>
        </w:rPr>
        <w:t> </w:t>
      </w:r>
      <w:r>
        <w:rPr>
          <w:sz w:val="22"/>
        </w:rPr>
        <w:t>Accountability </w:t>
      </w:r>
      <w:r>
        <w:rPr>
          <w:spacing w:val="-2"/>
          <w:sz w:val="22"/>
        </w:rPr>
        <w:t>Score</w:t>
      </w:r>
    </w:p>
    <w:p>
      <w:pPr>
        <w:spacing w:before="201"/>
        <w:ind w:left="1219" w:right="1094" w:firstLine="0"/>
        <w:jc w:val="both"/>
        <w:rPr>
          <w:sz w:val="22"/>
        </w:rPr>
      </w:pPr>
      <w:r>
        <w:rPr>
          <w:sz w:val="22"/>
        </w:rPr>
        <w:t>For all ACOs, after performing the above comparisons, the State will calculate the ACO’s TCOC component as follows:</w:t>
      </w:r>
    </w:p>
    <w:p>
      <w:pPr>
        <w:pStyle w:val="ListParagraph"/>
        <w:numPr>
          <w:ilvl w:val="0"/>
          <w:numId w:val="94"/>
        </w:numPr>
        <w:tabs>
          <w:tab w:pos="1939" w:val="left" w:leader="none"/>
        </w:tabs>
        <w:spacing w:line="244" w:lineRule="auto" w:before="158" w:after="0"/>
        <w:ind w:left="1939" w:right="1095" w:hanging="360"/>
        <w:jc w:val="both"/>
        <w:rPr>
          <w:sz w:val="22"/>
        </w:rPr>
      </w:pPr>
      <w:r>
        <w:rPr>
          <w:sz w:val="22"/>
        </w:rPr>
        <w:t>Based on the comparison, the State will calculate each ACO’s TCOC component of the ACO DSRIP Accountability Score as follows:</w:t>
      </w:r>
    </w:p>
    <w:p>
      <w:pPr>
        <w:spacing w:after="0" w:line="244" w:lineRule="auto"/>
        <w:jc w:val="both"/>
        <w:rPr>
          <w:sz w:val="22"/>
        </w:rPr>
        <w:sectPr>
          <w:pgSz w:w="12240" w:h="15840"/>
          <w:pgMar w:header="0" w:footer="967" w:top="1360" w:bottom="1160" w:left="220" w:right="340"/>
        </w:sectPr>
      </w:pPr>
    </w:p>
    <w:p>
      <w:pPr>
        <w:pStyle w:val="ListParagraph"/>
        <w:numPr>
          <w:ilvl w:val="1"/>
          <w:numId w:val="94"/>
        </w:numPr>
        <w:tabs>
          <w:tab w:pos="2659" w:val="left" w:leader="none"/>
        </w:tabs>
        <w:spacing w:line="225" w:lineRule="auto" w:before="90" w:after="0"/>
        <w:ind w:left="2659" w:right="1094" w:hanging="360"/>
        <w:jc w:val="both"/>
        <w:rPr>
          <w:sz w:val="22"/>
        </w:rPr>
      </w:pPr>
      <w:r>
        <w:rPr/>
        <mc:AlternateContent>
          <mc:Choice Requires="wps">
            <w:drawing>
              <wp:anchor distT="0" distB="0" distL="0" distR="0" allowOverlap="1" layoutInCell="1" locked="0" behindDoc="0" simplePos="0" relativeHeight="16160256">
                <wp:simplePos x="0" y="0"/>
                <wp:positionH relativeFrom="page">
                  <wp:posOffset>905255</wp:posOffset>
                </wp:positionH>
                <wp:positionV relativeFrom="page">
                  <wp:posOffset>8781288</wp:posOffset>
                </wp:positionV>
                <wp:extent cx="5953125" cy="6350"/>
                <wp:effectExtent l="0" t="0" r="0" b="0"/>
                <wp:wrapNone/>
                <wp:docPr id="912" name="Graphic 912"/>
                <wp:cNvGraphicFramePr>
                  <a:graphicFrameLocks/>
                </wp:cNvGraphicFramePr>
                <a:graphic>
                  <a:graphicData uri="http://schemas.microsoft.com/office/word/2010/wordprocessingShape">
                    <wps:wsp>
                      <wps:cNvPr id="912" name="Graphic 912"/>
                      <wps:cNvSpPr/>
                      <wps:spPr>
                        <a:xfrm>
                          <a:off x="0" y="0"/>
                          <a:ext cx="5953125" cy="6350"/>
                        </a:xfrm>
                        <a:custGeom>
                          <a:avLst/>
                          <a:gdLst/>
                          <a:ahLst/>
                          <a:cxnLst/>
                          <a:rect l="l" t="t" r="r" b="b"/>
                          <a:pathLst>
                            <a:path w="5953125" h="6350">
                              <a:moveTo>
                                <a:pt x="5952744" y="0"/>
                              </a:moveTo>
                              <a:lnTo>
                                <a:pt x="0" y="0"/>
                              </a:lnTo>
                              <a:lnTo>
                                <a:pt x="0" y="6095"/>
                              </a:lnTo>
                              <a:lnTo>
                                <a:pt x="5952744" y="6095"/>
                              </a:lnTo>
                              <a:lnTo>
                                <a:pt x="5952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1.279999pt;margin-top:691.440002pt;width:468.72pt;height:.48pt;mso-position-horizontal-relative:page;mso-position-vertical-relative:page;z-index:16160256" id="docshape129" filled="true" fillcolor="#000000" stroked="false">
                <v:fill type="solid"/>
                <w10:wrap type="none"/>
              </v:rect>
            </w:pict>
          </mc:Fallback>
        </mc:AlternateContent>
      </w:r>
      <w:r>
        <w:rPr>
          <w:sz w:val="22"/>
        </w:rPr>
        <w:t>If the ACO has savings or medical gains after risk sharing, then the ACO’s TCOC component of the ACO DSRIP Accountability Score equals 100%</w:t>
      </w:r>
    </w:p>
    <w:p>
      <w:pPr>
        <w:pStyle w:val="ListParagraph"/>
        <w:numPr>
          <w:ilvl w:val="1"/>
          <w:numId w:val="94"/>
        </w:numPr>
        <w:tabs>
          <w:tab w:pos="2658" w:val="left" w:leader="none"/>
          <w:tab w:pos="2660" w:val="left" w:leader="none"/>
        </w:tabs>
        <w:spacing w:line="232" w:lineRule="auto" w:before="205" w:after="0"/>
        <w:ind w:left="2660" w:right="1095" w:hanging="361"/>
        <w:jc w:val="both"/>
        <w:rPr>
          <w:sz w:val="22"/>
        </w:rPr>
      </w:pPr>
      <w:r>
        <w:rPr>
          <w:sz w:val="22"/>
        </w:rPr>
        <w:t>If the ACO</w:t>
      </w:r>
      <w:r>
        <w:rPr>
          <w:spacing w:val="-1"/>
          <w:sz w:val="22"/>
        </w:rPr>
        <w:t> </w:t>
      </w:r>
      <w:r>
        <w:rPr>
          <w:sz w:val="22"/>
        </w:rPr>
        <w:t>has losses</w:t>
      </w:r>
      <w:r>
        <w:rPr>
          <w:spacing w:val="-2"/>
          <w:sz w:val="22"/>
        </w:rPr>
        <w:t> </w:t>
      </w:r>
      <w:r>
        <w:rPr>
          <w:sz w:val="22"/>
        </w:rPr>
        <w:t>after</w:t>
      </w:r>
      <w:r>
        <w:rPr>
          <w:spacing w:val="-1"/>
          <w:sz w:val="22"/>
        </w:rPr>
        <w:t> </w:t>
      </w:r>
      <w:r>
        <w:rPr>
          <w:sz w:val="22"/>
        </w:rPr>
        <w:t>risk</w:t>
      </w:r>
      <w:r>
        <w:rPr>
          <w:spacing w:val="-2"/>
          <w:sz w:val="22"/>
        </w:rPr>
        <w:t> </w:t>
      </w:r>
      <w:r>
        <w:rPr>
          <w:sz w:val="22"/>
        </w:rPr>
        <w:t>sharing</w:t>
      </w:r>
      <w:r>
        <w:rPr>
          <w:spacing w:val="-2"/>
          <w:sz w:val="22"/>
        </w:rPr>
        <w:t> </w:t>
      </w:r>
      <w:r>
        <w:rPr>
          <w:sz w:val="22"/>
        </w:rPr>
        <w:t>that</w:t>
      </w:r>
      <w:r>
        <w:rPr>
          <w:spacing w:val="-1"/>
          <w:sz w:val="22"/>
        </w:rPr>
        <w:t> </w:t>
      </w:r>
      <w:r>
        <w:rPr>
          <w:sz w:val="22"/>
        </w:rPr>
        <w:t>exceed 5%</w:t>
      </w:r>
      <w:r>
        <w:rPr>
          <w:spacing w:val="-1"/>
          <w:sz w:val="22"/>
        </w:rPr>
        <w:t> </w:t>
      </w:r>
      <w:r>
        <w:rPr>
          <w:sz w:val="22"/>
        </w:rPr>
        <w:t>of the Final</w:t>
      </w:r>
      <w:r>
        <w:rPr>
          <w:spacing w:val="-1"/>
          <w:sz w:val="22"/>
        </w:rPr>
        <w:t> </w:t>
      </w:r>
      <w:r>
        <w:rPr>
          <w:sz w:val="22"/>
        </w:rPr>
        <w:t>TCOC</w:t>
      </w:r>
      <w:r>
        <w:rPr>
          <w:spacing w:val="-1"/>
          <w:sz w:val="22"/>
        </w:rPr>
        <w:t> </w:t>
      </w:r>
      <w:r>
        <w:rPr>
          <w:sz w:val="22"/>
        </w:rPr>
        <w:t>Benchmark</w:t>
      </w:r>
      <w:r>
        <w:rPr>
          <w:spacing w:val="-2"/>
          <w:sz w:val="22"/>
        </w:rPr>
        <w:t> </w:t>
      </w:r>
      <w:r>
        <w:rPr>
          <w:sz w:val="22"/>
        </w:rPr>
        <w:t>or exceed</w:t>
      </w:r>
      <w:r>
        <w:rPr>
          <w:spacing w:val="-14"/>
          <w:sz w:val="22"/>
        </w:rPr>
        <w:t> </w:t>
      </w:r>
      <w:r>
        <w:rPr>
          <w:sz w:val="22"/>
        </w:rPr>
        <w:t>5%</w:t>
      </w:r>
      <w:r>
        <w:rPr>
          <w:spacing w:val="-14"/>
          <w:sz w:val="22"/>
        </w:rPr>
        <w:t> </w:t>
      </w:r>
      <w:r>
        <w:rPr>
          <w:sz w:val="22"/>
        </w:rPr>
        <w:t>of</w:t>
      </w:r>
      <w:r>
        <w:rPr>
          <w:spacing w:val="-14"/>
          <w:sz w:val="22"/>
        </w:rPr>
        <w:t> </w:t>
      </w:r>
      <w:r>
        <w:rPr>
          <w:sz w:val="22"/>
        </w:rPr>
        <w:t>the</w:t>
      </w:r>
      <w:r>
        <w:rPr>
          <w:spacing w:val="-13"/>
          <w:sz w:val="22"/>
        </w:rPr>
        <w:t> </w:t>
      </w:r>
      <w:r>
        <w:rPr>
          <w:sz w:val="22"/>
        </w:rPr>
        <w:t>ACO’s</w:t>
      </w:r>
      <w:r>
        <w:rPr>
          <w:spacing w:val="-14"/>
          <w:sz w:val="22"/>
        </w:rPr>
        <w:t> </w:t>
      </w:r>
      <w:r>
        <w:rPr>
          <w:sz w:val="22"/>
        </w:rPr>
        <w:t>risk</w:t>
      </w:r>
      <w:r>
        <w:rPr>
          <w:spacing w:val="-14"/>
          <w:sz w:val="22"/>
        </w:rPr>
        <w:t> </w:t>
      </w:r>
      <w:r>
        <w:rPr>
          <w:sz w:val="22"/>
        </w:rPr>
        <w:t>adjusted</w:t>
      </w:r>
      <w:r>
        <w:rPr>
          <w:spacing w:val="-14"/>
          <w:sz w:val="22"/>
        </w:rPr>
        <w:t> </w:t>
      </w:r>
      <w:r>
        <w:rPr>
          <w:sz w:val="22"/>
        </w:rPr>
        <w:t>medical</w:t>
      </w:r>
      <w:r>
        <w:rPr>
          <w:spacing w:val="-13"/>
          <w:sz w:val="22"/>
        </w:rPr>
        <w:t> </w:t>
      </w:r>
      <w:r>
        <w:rPr>
          <w:sz w:val="22"/>
        </w:rPr>
        <w:t>capitation</w:t>
      </w:r>
      <w:r>
        <w:rPr>
          <w:spacing w:val="-14"/>
          <w:sz w:val="22"/>
        </w:rPr>
        <w:t> </w:t>
      </w:r>
      <w:r>
        <w:rPr>
          <w:sz w:val="22"/>
        </w:rPr>
        <w:t>payments,</w:t>
      </w:r>
      <w:r>
        <w:rPr>
          <w:spacing w:val="-14"/>
          <w:sz w:val="22"/>
        </w:rPr>
        <w:t> </w:t>
      </w:r>
      <w:r>
        <w:rPr>
          <w:sz w:val="22"/>
        </w:rPr>
        <w:t>then</w:t>
      </w:r>
      <w:r>
        <w:rPr>
          <w:spacing w:val="-14"/>
          <w:sz w:val="22"/>
        </w:rPr>
        <w:t> </w:t>
      </w:r>
      <w:r>
        <w:rPr>
          <w:sz w:val="22"/>
        </w:rPr>
        <w:t>the</w:t>
      </w:r>
      <w:r>
        <w:rPr>
          <w:spacing w:val="-13"/>
          <w:sz w:val="22"/>
        </w:rPr>
        <w:t> </w:t>
      </w:r>
      <w:r>
        <w:rPr>
          <w:sz w:val="22"/>
        </w:rPr>
        <w:t>ACO’s</w:t>
      </w:r>
      <w:r>
        <w:rPr>
          <w:spacing w:val="-14"/>
          <w:sz w:val="22"/>
        </w:rPr>
        <w:t> </w:t>
      </w:r>
      <w:r>
        <w:rPr>
          <w:sz w:val="22"/>
        </w:rPr>
        <w:t>TCOC component of the ACO DSRIP Accountability Score equals 0%</w:t>
      </w:r>
    </w:p>
    <w:p>
      <w:pPr>
        <w:pStyle w:val="ListParagraph"/>
        <w:numPr>
          <w:ilvl w:val="1"/>
          <w:numId w:val="94"/>
        </w:numPr>
        <w:tabs>
          <w:tab w:pos="2658" w:val="left" w:leader="none"/>
          <w:tab w:pos="2660" w:val="left" w:leader="none"/>
        </w:tabs>
        <w:spacing w:line="235" w:lineRule="auto" w:before="204" w:after="0"/>
        <w:ind w:left="2660" w:right="1093" w:hanging="361"/>
        <w:jc w:val="both"/>
        <w:rPr>
          <w:sz w:val="22"/>
        </w:rPr>
      </w:pPr>
      <w:r>
        <w:rPr>
          <w:sz w:val="22"/>
        </w:rPr>
        <w:t>If the ACO has losses after risk sharing but they do not exceed 5% of the Final TCOC Benchmark</w:t>
      </w:r>
      <w:r>
        <w:rPr>
          <w:spacing w:val="-14"/>
          <w:sz w:val="22"/>
        </w:rPr>
        <w:t> </w:t>
      </w:r>
      <w:r>
        <w:rPr>
          <w:sz w:val="22"/>
        </w:rPr>
        <w:t>or</w:t>
      </w:r>
      <w:r>
        <w:rPr>
          <w:spacing w:val="-14"/>
          <w:sz w:val="22"/>
        </w:rPr>
        <w:t> </w:t>
      </w:r>
      <w:r>
        <w:rPr>
          <w:sz w:val="22"/>
        </w:rPr>
        <w:t>5%</w:t>
      </w:r>
      <w:r>
        <w:rPr>
          <w:spacing w:val="-14"/>
          <w:sz w:val="22"/>
        </w:rPr>
        <w:t> </w:t>
      </w:r>
      <w:r>
        <w:rPr>
          <w:sz w:val="22"/>
        </w:rPr>
        <w:t>of</w:t>
      </w:r>
      <w:r>
        <w:rPr>
          <w:spacing w:val="-13"/>
          <w:sz w:val="22"/>
        </w:rPr>
        <w:t> </w:t>
      </w:r>
      <w:r>
        <w:rPr>
          <w:sz w:val="22"/>
        </w:rPr>
        <w:t>the</w:t>
      </w:r>
      <w:r>
        <w:rPr>
          <w:spacing w:val="-14"/>
          <w:sz w:val="22"/>
        </w:rPr>
        <w:t> </w:t>
      </w:r>
      <w:r>
        <w:rPr>
          <w:sz w:val="22"/>
        </w:rPr>
        <w:t>ACO’s</w:t>
      </w:r>
      <w:r>
        <w:rPr>
          <w:spacing w:val="-14"/>
          <w:sz w:val="22"/>
        </w:rPr>
        <w:t> </w:t>
      </w:r>
      <w:r>
        <w:rPr>
          <w:sz w:val="22"/>
        </w:rPr>
        <w:t>risk</w:t>
      </w:r>
      <w:r>
        <w:rPr>
          <w:spacing w:val="-14"/>
          <w:sz w:val="22"/>
        </w:rPr>
        <w:t> </w:t>
      </w:r>
      <w:r>
        <w:rPr>
          <w:sz w:val="22"/>
        </w:rPr>
        <w:t>adjusted</w:t>
      </w:r>
      <w:r>
        <w:rPr>
          <w:spacing w:val="-13"/>
          <w:sz w:val="22"/>
        </w:rPr>
        <w:t> </w:t>
      </w:r>
      <w:r>
        <w:rPr>
          <w:sz w:val="22"/>
        </w:rPr>
        <w:t>medical</w:t>
      </w:r>
      <w:r>
        <w:rPr>
          <w:spacing w:val="-14"/>
          <w:sz w:val="22"/>
        </w:rPr>
        <w:t> </w:t>
      </w:r>
      <w:r>
        <w:rPr>
          <w:sz w:val="22"/>
        </w:rPr>
        <w:t>capitation</w:t>
      </w:r>
      <w:r>
        <w:rPr>
          <w:spacing w:val="-14"/>
          <w:sz w:val="22"/>
        </w:rPr>
        <w:t> </w:t>
      </w:r>
      <w:r>
        <w:rPr>
          <w:sz w:val="22"/>
        </w:rPr>
        <w:t>payments,</w:t>
      </w:r>
      <w:r>
        <w:rPr>
          <w:spacing w:val="-14"/>
          <w:sz w:val="22"/>
        </w:rPr>
        <w:t> </w:t>
      </w:r>
      <w:r>
        <w:rPr>
          <w:sz w:val="22"/>
        </w:rPr>
        <w:t>then</w:t>
      </w:r>
      <w:r>
        <w:rPr>
          <w:spacing w:val="-13"/>
          <w:sz w:val="22"/>
        </w:rPr>
        <w:t> </w:t>
      </w:r>
      <w:r>
        <w:rPr>
          <w:sz w:val="22"/>
        </w:rPr>
        <w:t>the</w:t>
      </w:r>
      <w:r>
        <w:rPr>
          <w:spacing w:val="-14"/>
          <w:sz w:val="22"/>
        </w:rPr>
        <w:t> </w:t>
      </w:r>
      <w:r>
        <w:rPr>
          <w:sz w:val="22"/>
        </w:rPr>
        <w:t>ACO’s TCOC component of the ACO DSRIP Accountability Score is proportionate to the magnitude of the ACO’s losses, and is equal to:</w:t>
      </w:r>
    </w:p>
    <w:p>
      <w:pPr>
        <w:pStyle w:val="ListParagraph"/>
        <w:numPr>
          <w:ilvl w:val="2"/>
          <w:numId w:val="94"/>
        </w:numPr>
        <w:tabs>
          <w:tab w:pos="3380" w:val="left" w:leader="none"/>
        </w:tabs>
        <w:spacing w:line="240" w:lineRule="auto" w:before="198" w:after="0"/>
        <w:ind w:left="3380" w:right="1093" w:hanging="361"/>
        <w:jc w:val="both"/>
        <w:rPr>
          <w:sz w:val="22"/>
        </w:rPr>
      </w:pPr>
      <w:r>
        <w:rPr>
          <w:sz w:val="22"/>
        </w:rPr>
        <w:t>For Primary Care ACOs and MCO-Administered ACOs: (105% * Final TCOC Benchmark - TCOC Performance after risk sharing) / (5% * Final TCOC </w:t>
      </w:r>
      <w:r>
        <w:rPr>
          <w:spacing w:val="-2"/>
          <w:sz w:val="22"/>
        </w:rPr>
        <w:t>Benchmark)</w:t>
      </w:r>
    </w:p>
    <w:p>
      <w:pPr>
        <w:pStyle w:val="ListParagraph"/>
        <w:numPr>
          <w:ilvl w:val="2"/>
          <w:numId w:val="94"/>
        </w:numPr>
        <w:tabs>
          <w:tab w:pos="3380" w:val="left" w:leader="none"/>
        </w:tabs>
        <w:spacing w:line="244" w:lineRule="auto" w:before="198" w:after="0"/>
        <w:ind w:left="3380" w:right="1094" w:hanging="360"/>
        <w:jc w:val="both"/>
        <w:rPr>
          <w:sz w:val="22"/>
        </w:rPr>
      </w:pPr>
      <w:r>
        <w:rPr>
          <w:sz w:val="22"/>
        </w:rPr>
        <w:t>For</w:t>
      </w:r>
      <w:r>
        <w:rPr>
          <w:spacing w:val="-3"/>
          <w:sz w:val="22"/>
        </w:rPr>
        <w:t> </w:t>
      </w:r>
      <w:r>
        <w:rPr>
          <w:sz w:val="22"/>
        </w:rPr>
        <w:t>Partnership</w:t>
      </w:r>
      <w:r>
        <w:rPr>
          <w:spacing w:val="-4"/>
          <w:sz w:val="22"/>
        </w:rPr>
        <w:t> </w:t>
      </w:r>
      <w:r>
        <w:rPr>
          <w:sz w:val="22"/>
        </w:rPr>
        <w:t>Plans:</w:t>
      </w:r>
      <w:r>
        <w:rPr>
          <w:spacing w:val="-5"/>
          <w:sz w:val="22"/>
        </w:rPr>
        <w:t> </w:t>
      </w:r>
      <w:r>
        <w:rPr>
          <w:sz w:val="22"/>
        </w:rPr>
        <w:t>(105%</w:t>
      </w:r>
      <w:r>
        <w:rPr>
          <w:spacing w:val="-3"/>
          <w:sz w:val="22"/>
        </w:rPr>
        <w:t> </w:t>
      </w:r>
      <w:r>
        <w:rPr>
          <w:sz w:val="22"/>
        </w:rPr>
        <w:t>*</w:t>
      </w:r>
      <w:r>
        <w:rPr>
          <w:spacing w:val="-6"/>
          <w:sz w:val="22"/>
        </w:rPr>
        <w:t> </w:t>
      </w:r>
      <w:r>
        <w:rPr>
          <w:sz w:val="22"/>
        </w:rPr>
        <w:t>risk-adjusted</w:t>
      </w:r>
      <w:r>
        <w:rPr>
          <w:spacing w:val="-6"/>
          <w:sz w:val="22"/>
        </w:rPr>
        <w:t> </w:t>
      </w:r>
      <w:r>
        <w:rPr>
          <w:sz w:val="22"/>
        </w:rPr>
        <w:t>medical</w:t>
      </w:r>
      <w:r>
        <w:rPr>
          <w:spacing w:val="-3"/>
          <w:sz w:val="22"/>
        </w:rPr>
        <w:t> </w:t>
      </w:r>
      <w:r>
        <w:rPr>
          <w:sz w:val="22"/>
        </w:rPr>
        <w:t>capitation</w:t>
      </w:r>
      <w:r>
        <w:rPr>
          <w:spacing w:val="-6"/>
          <w:sz w:val="22"/>
        </w:rPr>
        <w:t> </w:t>
      </w:r>
      <w:r>
        <w:rPr>
          <w:sz w:val="22"/>
        </w:rPr>
        <w:t>payments</w:t>
      </w:r>
      <w:r>
        <w:rPr>
          <w:spacing w:val="-4"/>
          <w:sz w:val="22"/>
        </w:rPr>
        <w:t> </w:t>
      </w:r>
      <w:r>
        <w:rPr>
          <w:sz w:val="22"/>
        </w:rPr>
        <w:t>–</w:t>
      </w:r>
      <w:r>
        <w:rPr>
          <w:spacing w:val="-9"/>
          <w:sz w:val="22"/>
        </w:rPr>
        <w:t> </w:t>
      </w:r>
      <w:r>
        <w:rPr>
          <w:sz w:val="22"/>
        </w:rPr>
        <w:t>TME Performance</w:t>
      </w:r>
      <w:r>
        <w:rPr>
          <w:spacing w:val="-8"/>
          <w:sz w:val="22"/>
        </w:rPr>
        <w:t> </w:t>
      </w:r>
      <w:r>
        <w:rPr>
          <w:sz w:val="22"/>
        </w:rPr>
        <w:t>after</w:t>
      </w:r>
      <w:r>
        <w:rPr>
          <w:spacing w:val="-10"/>
          <w:sz w:val="22"/>
        </w:rPr>
        <w:t> </w:t>
      </w:r>
      <w:r>
        <w:rPr>
          <w:sz w:val="22"/>
        </w:rPr>
        <w:t>risk</w:t>
      </w:r>
      <w:r>
        <w:rPr>
          <w:spacing w:val="-11"/>
          <w:sz w:val="22"/>
        </w:rPr>
        <w:t> </w:t>
      </w:r>
      <w:r>
        <w:rPr>
          <w:sz w:val="22"/>
        </w:rPr>
        <w:t>sharing)</w:t>
      </w:r>
      <w:r>
        <w:rPr>
          <w:spacing w:val="-7"/>
          <w:sz w:val="22"/>
        </w:rPr>
        <w:t> </w:t>
      </w:r>
      <w:r>
        <w:rPr>
          <w:sz w:val="22"/>
        </w:rPr>
        <w:t>/</w:t>
      </w:r>
      <w:r>
        <w:rPr>
          <w:spacing w:val="-9"/>
          <w:sz w:val="22"/>
        </w:rPr>
        <w:t> </w:t>
      </w:r>
      <w:r>
        <w:rPr>
          <w:sz w:val="22"/>
        </w:rPr>
        <w:t>(5%</w:t>
      </w:r>
      <w:r>
        <w:rPr>
          <w:spacing w:val="-7"/>
          <w:sz w:val="22"/>
        </w:rPr>
        <w:t> </w:t>
      </w:r>
      <w:r>
        <w:rPr>
          <w:sz w:val="22"/>
        </w:rPr>
        <w:t>*</w:t>
      </w:r>
      <w:r>
        <w:rPr>
          <w:spacing w:val="-11"/>
          <w:sz w:val="22"/>
        </w:rPr>
        <w:t> </w:t>
      </w:r>
      <w:r>
        <w:rPr>
          <w:sz w:val="22"/>
        </w:rPr>
        <w:t>risk</w:t>
      </w:r>
      <w:r>
        <w:rPr>
          <w:spacing w:val="-11"/>
          <w:sz w:val="22"/>
        </w:rPr>
        <w:t> </w:t>
      </w:r>
      <w:r>
        <w:rPr>
          <w:sz w:val="22"/>
        </w:rPr>
        <w:t>adjusted</w:t>
      </w:r>
      <w:r>
        <w:rPr>
          <w:spacing w:val="-11"/>
          <w:sz w:val="22"/>
        </w:rPr>
        <w:t> </w:t>
      </w:r>
      <w:r>
        <w:rPr>
          <w:sz w:val="22"/>
        </w:rPr>
        <w:t>medical</w:t>
      </w:r>
      <w:r>
        <w:rPr>
          <w:spacing w:val="-10"/>
          <w:sz w:val="22"/>
        </w:rPr>
        <w:t> </w:t>
      </w:r>
      <w:r>
        <w:rPr>
          <w:sz w:val="22"/>
        </w:rPr>
        <w:t>capitation</w:t>
      </w:r>
      <w:r>
        <w:rPr>
          <w:spacing w:val="-11"/>
          <w:sz w:val="22"/>
        </w:rPr>
        <w:t> </w:t>
      </w:r>
      <w:r>
        <w:rPr>
          <w:sz w:val="22"/>
        </w:rPr>
        <w:t>payments)</w:t>
      </w:r>
    </w:p>
    <w:p>
      <w:pPr>
        <w:pStyle w:val="ListParagraph"/>
        <w:numPr>
          <w:ilvl w:val="1"/>
          <w:numId w:val="94"/>
        </w:numPr>
        <w:tabs>
          <w:tab w:pos="2658" w:val="left" w:leader="none"/>
          <w:tab w:pos="2660" w:val="left" w:leader="none"/>
        </w:tabs>
        <w:spacing w:line="228" w:lineRule="auto" w:before="199" w:after="0"/>
        <w:ind w:left="2660" w:right="1091" w:hanging="361"/>
        <w:jc w:val="both"/>
        <w:rPr>
          <w:sz w:val="22"/>
        </w:rPr>
      </w:pPr>
      <w:r>
        <w:rPr>
          <w:sz w:val="22"/>
        </w:rPr>
        <w:t>If the ACO has neither savings or medical gains nor losses after risk sharing, then the ACO’s TCOC component of the ACO DSRIP Accountability score equals 100%.</w:t>
      </w:r>
    </w:p>
    <w:p>
      <w:pPr>
        <w:pStyle w:val="BodyText"/>
      </w:pPr>
    </w:p>
    <w:p>
      <w:pPr>
        <w:pStyle w:val="BodyText"/>
        <w:spacing w:before="9"/>
        <w:rPr>
          <w:sz w:val="32"/>
        </w:rPr>
      </w:pPr>
    </w:p>
    <w:p>
      <w:pPr>
        <w:spacing w:before="0" w:after="6"/>
        <w:ind w:left="1220" w:right="0" w:firstLine="0"/>
        <w:jc w:val="left"/>
        <w:rPr>
          <w:sz w:val="22"/>
        </w:rPr>
      </w:pPr>
      <w:r>
        <w:rPr>
          <w:sz w:val="22"/>
        </w:rPr>
        <w:t>EXHIBIT</w:t>
      </w:r>
      <w:r>
        <w:rPr>
          <w:spacing w:val="-4"/>
          <w:sz w:val="22"/>
        </w:rPr>
        <w:t> </w:t>
      </w:r>
      <w:r>
        <w:rPr>
          <w:sz w:val="22"/>
        </w:rPr>
        <w:t>41</w:t>
      </w:r>
      <w:r>
        <w:rPr>
          <w:spacing w:val="-4"/>
          <w:sz w:val="22"/>
        </w:rPr>
        <w:t> </w:t>
      </w:r>
      <w:r>
        <w:rPr>
          <w:sz w:val="22"/>
        </w:rPr>
        <w:t>–</w:t>
      </w:r>
      <w:r>
        <w:rPr>
          <w:spacing w:val="-4"/>
          <w:sz w:val="22"/>
        </w:rPr>
        <w:t> </w:t>
      </w:r>
      <w:r>
        <w:rPr>
          <w:sz w:val="22"/>
        </w:rPr>
        <w:t>Example</w:t>
      </w:r>
      <w:r>
        <w:rPr>
          <w:spacing w:val="-3"/>
          <w:sz w:val="22"/>
        </w:rPr>
        <w:t> </w:t>
      </w:r>
      <w:r>
        <w:rPr>
          <w:sz w:val="22"/>
        </w:rPr>
        <w:t>Calculations</w:t>
      </w:r>
      <w:r>
        <w:rPr>
          <w:spacing w:val="-4"/>
          <w:sz w:val="22"/>
        </w:rPr>
        <w:t> </w:t>
      </w:r>
      <w:r>
        <w:rPr>
          <w:sz w:val="22"/>
        </w:rPr>
        <w:t>of</w:t>
      </w:r>
      <w:r>
        <w:rPr>
          <w:spacing w:val="-5"/>
          <w:sz w:val="22"/>
        </w:rPr>
        <w:t> </w:t>
      </w:r>
      <w:r>
        <w:rPr>
          <w:sz w:val="22"/>
        </w:rPr>
        <w:t>TCOC</w:t>
      </w:r>
      <w:r>
        <w:rPr>
          <w:spacing w:val="-5"/>
          <w:sz w:val="22"/>
        </w:rPr>
        <w:t> </w:t>
      </w:r>
      <w:r>
        <w:rPr>
          <w:sz w:val="22"/>
        </w:rPr>
        <w:t>component</w:t>
      </w:r>
      <w:r>
        <w:rPr>
          <w:spacing w:val="-3"/>
          <w:sz w:val="22"/>
        </w:rPr>
        <w:t> </w:t>
      </w:r>
      <w:r>
        <w:rPr>
          <w:sz w:val="22"/>
        </w:rPr>
        <w:t>of</w:t>
      </w:r>
      <w:r>
        <w:rPr>
          <w:spacing w:val="-2"/>
          <w:sz w:val="22"/>
        </w:rPr>
        <w:t> </w:t>
      </w:r>
      <w:r>
        <w:rPr>
          <w:sz w:val="22"/>
        </w:rPr>
        <w:t>the</w:t>
      </w:r>
      <w:r>
        <w:rPr>
          <w:spacing w:val="-4"/>
          <w:sz w:val="22"/>
        </w:rPr>
        <w:t> </w:t>
      </w:r>
      <w:r>
        <w:rPr>
          <w:sz w:val="22"/>
        </w:rPr>
        <w:t>ACO</w:t>
      </w:r>
      <w:r>
        <w:rPr>
          <w:spacing w:val="-4"/>
          <w:sz w:val="22"/>
        </w:rPr>
        <w:t> </w:t>
      </w:r>
      <w:r>
        <w:rPr>
          <w:sz w:val="22"/>
        </w:rPr>
        <w:t>DSRIP</w:t>
      </w:r>
      <w:r>
        <w:rPr>
          <w:spacing w:val="-5"/>
          <w:sz w:val="22"/>
        </w:rPr>
        <w:t> </w:t>
      </w:r>
      <w:r>
        <w:rPr>
          <w:sz w:val="22"/>
        </w:rPr>
        <w:t>Accountability</w:t>
      </w:r>
      <w:r>
        <w:rPr>
          <w:spacing w:val="-6"/>
          <w:sz w:val="22"/>
        </w:rPr>
        <w:t> </w:t>
      </w:r>
      <w:r>
        <w:rPr>
          <w:spacing w:val="-2"/>
          <w:sz w:val="22"/>
        </w:rPr>
        <w:t>Score</w:t>
      </w:r>
    </w:p>
    <w:tbl>
      <w:tblPr>
        <w:tblW w:w="0" w:type="auto"/>
        <w:jc w:val="left"/>
        <w:tblInd w:w="1240" w:type="dxa"/>
        <w:tblBorders>
          <w:top w:val="single" w:sz="8" w:space="0" w:color="BEBEBE"/>
          <w:left w:val="single" w:sz="8" w:space="0" w:color="BEBEBE"/>
          <w:bottom w:val="single" w:sz="8" w:space="0" w:color="BEBEBE"/>
          <w:right w:val="single" w:sz="8" w:space="0" w:color="BEBEBE"/>
          <w:insideH w:val="single" w:sz="8" w:space="0" w:color="BEBEBE"/>
          <w:insideV w:val="single" w:sz="8" w:space="0" w:color="BEBEBE"/>
        </w:tblBorders>
        <w:tblLayout w:type="fixed"/>
        <w:tblCellMar>
          <w:top w:w="0" w:type="dxa"/>
          <w:left w:w="0" w:type="dxa"/>
          <w:bottom w:w="0" w:type="dxa"/>
          <w:right w:w="0" w:type="dxa"/>
        </w:tblCellMar>
        <w:tblLook w:val="01E0"/>
      </w:tblPr>
      <w:tblGrid>
        <w:gridCol w:w="1181"/>
        <w:gridCol w:w="8103"/>
      </w:tblGrid>
      <w:tr>
        <w:trPr>
          <w:trHeight w:val="412" w:hRule="atLeast"/>
        </w:trPr>
        <w:tc>
          <w:tcPr>
            <w:tcW w:w="9284" w:type="dxa"/>
            <w:gridSpan w:val="2"/>
            <w:tcBorders>
              <w:bottom w:val="single" w:sz="4" w:space="0" w:color="BEBEBE"/>
            </w:tcBorders>
            <w:shd w:val="clear" w:color="auto" w:fill="1F487C"/>
          </w:tcPr>
          <w:p>
            <w:pPr>
              <w:pStyle w:val="TableParagraph"/>
              <w:spacing w:before="5"/>
              <w:ind w:left="1000"/>
              <w:rPr>
                <w:b/>
                <w:sz w:val="20"/>
              </w:rPr>
            </w:pPr>
            <w:r>
              <w:rPr>
                <w:b/>
                <w:color w:val="FFFFFF"/>
                <w:sz w:val="20"/>
              </w:rPr>
              <w:t>Example</w:t>
            </w:r>
            <w:r>
              <w:rPr>
                <w:b/>
                <w:color w:val="FFFFFF"/>
                <w:spacing w:val="-9"/>
                <w:sz w:val="20"/>
              </w:rPr>
              <w:t> </w:t>
            </w:r>
            <w:r>
              <w:rPr>
                <w:b/>
                <w:color w:val="FFFFFF"/>
                <w:sz w:val="20"/>
              </w:rPr>
              <w:t>Calculations</w:t>
            </w:r>
            <w:r>
              <w:rPr>
                <w:b/>
                <w:color w:val="FFFFFF"/>
                <w:spacing w:val="-8"/>
                <w:sz w:val="20"/>
              </w:rPr>
              <w:t> </w:t>
            </w:r>
            <w:r>
              <w:rPr>
                <w:b/>
                <w:color w:val="FFFFFF"/>
                <w:sz w:val="20"/>
              </w:rPr>
              <w:t>of</w:t>
            </w:r>
            <w:r>
              <w:rPr>
                <w:b/>
                <w:color w:val="FFFFFF"/>
                <w:spacing w:val="-6"/>
                <w:sz w:val="20"/>
              </w:rPr>
              <w:t> </w:t>
            </w:r>
            <w:r>
              <w:rPr>
                <w:b/>
                <w:color w:val="FFFFFF"/>
                <w:sz w:val="20"/>
              </w:rPr>
              <w:t>TCOC</w:t>
            </w:r>
            <w:r>
              <w:rPr>
                <w:b/>
                <w:color w:val="FFFFFF"/>
                <w:spacing w:val="-7"/>
                <w:sz w:val="20"/>
              </w:rPr>
              <w:t> </w:t>
            </w:r>
            <w:r>
              <w:rPr>
                <w:b/>
                <w:color w:val="FFFFFF"/>
                <w:sz w:val="20"/>
              </w:rPr>
              <w:t>Component</w:t>
            </w:r>
            <w:r>
              <w:rPr>
                <w:b/>
                <w:color w:val="FFFFFF"/>
                <w:spacing w:val="-6"/>
                <w:sz w:val="20"/>
              </w:rPr>
              <w:t> </w:t>
            </w:r>
            <w:r>
              <w:rPr>
                <w:b/>
                <w:color w:val="FFFFFF"/>
                <w:sz w:val="20"/>
              </w:rPr>
              <w:t>of</w:t>
            </w:r>
            <w:r>
              <w:rPr>
                <w:b/>
                <w:color w:val="FFFFFF"/>
                <w:spacing w:val="-6"/>
                <w:sz w:val="20"/>
              </w:rPr>
              <w:t> </w:t>
            </w:r>
            <w:r>
              <w:rPr>
                <w:b/>
                <w:color w:val="FFFFFF"/>
                <w:sz w:val="20"/>
              </w:rPr>
              <w:t>the</w:t>
            </w:r>
            <w:r>
              <w:rPr>
                <w:b/>
                <w:color w:val="FFFFFF"/>
                <w:spacing w:val="-7"/>
                <w:sz w:val="20"/>
              </w:rPr>
              <w:t> </w:t>
            </w:r>
            <w:r>
              <w:rPr>
                <w:b/>
                <w:color w:val="FFFFFF"/>
                <w:sz w:val="20"/>
              </w:rPr>
              <w:t>ACO</w:t>
            </w:r>
            <w:r>
              <w:rPr>
                <w:b/>
                <w:color w:val="FFFFFF"/>
                <w:spacing w:val="-6"/>
                <w:sz w:val="20"/>
              </w:rPr>
              <w:t> </w:t>
            </w:r>
            <w:r>
              <w:rPr>
                <w:b/>
                <w:color w:val="FFFFFF"/>
                <w:sz w:val="20"/>
              </w:rPr>
              <w:t>DSRIP</w:t>
            </w:r>
            <w:r>
              <w:rPr>
                <w:b/>
                <w:color w:val="FFFFFF"/>
                <w:spacing w:val="-6"/>
                <w:sz w:val="20"/>
              </w:rPr>
              <w:t> </w:t>
            </w:r>
            <w:r>
              <w:rPr>
                <w:b/>
                <w:color w:val="FFFFFF"/>
                <w:sz w:val="20"/>
              </w:rPr>
              <w:t>Accountability</w:t>
            </w:r>
            <w:r>
              <w:rPr>
                <w:b/>
                <w:color w:val="FFFFFF"/>
                <w:spacing w:val="-6"/>
                <w:sz w:val="20"/>
              </w:rPr>
              <w:t> </w:t>
            </w:r>
            <w:r>
              <w:rPr>
                <w:b/>
                <w:color w:val="FFFFFF"/>
                <w:spacing w:val="-2"/>
                <w:sz w:val="20"/>
              </w:rPr>
              <w:t>Score</w:t>
            </w:r>
          </w:p>
        </w:tc>
      </w:tr>
      <w:tr>
        <w:trPr>
          <w:trHeight w:val="433" w:hRule="atLeast"/>
        </w:trPr>
        <w:tc>
          <w:tcPr>
            <w:tcW w:w="9284" w:type="dxa"/>
            <w:gridSpan w:val="2"/>
            <w:tcBorders>
              <w:top w:val="single" w:sz="4" w:space="0" w:color="BEBEBE"/>
              <w:bottom w:val="single" w:sz="4" w:space="0" w:color="BEBEBE"/>
            </w:tcBorders>
            <w:shd w:val="clear" w:color="auto" w:fill="D9D9D9"/>
          </w:tcPr>
          <w:p>
            <w:pPr>
              <w:pStyle w:val="TableParagraph"/>
              <w:spacing w:before="1"/>
              <w:ind w:left="107"/>
              <w:rPr>
                <w:b/>
                <w:sz w:val="22"/>
              </w:rPr>
            </w:pPr>
            <w:r>
              <w:rPr>
                <w:b/>
                <w:sz w:val="22"/>
              </w:rPr>
              <w:t>Final</w:t>
            </w:r>
            <w:r>
              <w:rPr>
                <w:b/>
                <w:spacing w:val="-2"/>
                <w:sz w:val="22"/>
              </w:rPr>
              <w:t> </w:t>
            </w:r>
            <w:r>
              <w:rPr>
                <w:b/>
                <w:sz w:val="22"/>
              </w:rPr>
              <w:t>TCOC</w:t>
            </w:r>
            <w:r>
              <w:rPr>
                <w:b/>
                <w:spacing w:val="-3"/>
                <w:sz w:val="22"/>
              </w:rPr>
              <w:t> </w:t>
            </w:r>
            <w:r>
              <w:rPr>
                <w:b/>
                <w:sz w:val="22"/>
              </w:rPr>
              <w:t>Benchmark</w:t>
            </w:r>
            <w:r>
              <w:rPr>
                <w:b/>
                <w:spacing w:val="-5"/>
                <w:sz w:val="22"/>
              </w:rPr>
              <w:t> </w:t>
            </w:r>
            <w:r>
              <w:rPr>
                <w:b/>
                <w:sz w:val="22"/>
              </w:rPr>
              <w:t>=</w:t>
            </w:r>
            <w:r>
              <w:rPr>
                <w:b/>
                <w:spacing w:val="-3"/>
                <w:sz w:val="22"/>
              </w:rPr>
              <w:t> </w:t>
            </w:r>
            <w:r>
              <w:rPr>
                <w:b/>
                <w:sz w:val="22"/>
              </w:rPr>
              <w:t>$500</w:t>
            </w:r>
            <w:r>
              <w:rPr>
                <w:b/>
                <w:spacing w:val="-4"/>
                <w:sz w:val="22"/>
              </w:rPr>
              <w:t> PMPM</w:t>
            </w:r>
          </w:p>
        </w:tc>
      </w:tr>
      <w:tr>
        <w:trPr>
          <w:trHeight w:val="299" w:hRule="atLeast"/>
        </w:trPr>
        <w:tc>
          <w:tcPr>
            <w:tcW w:w="1181" w:type="dxa"/>
            <w:vMerge w:val="restart"/>
            <w:tcBorders>
              <w:top w:val="single" w:sz="4" w:space="0" w:color="BEBEBE"/>
              <w:bottom w:val="single" w:sz="4" w:space="0" w:color="BEBEBE"/>
              <w:right w:val="single" w:sz="4" w:space="0" w:color="BEBEBE"/>
            </w:tcBorders>
            <w:shd w:val="clear" w:color="auto" w:fill="DCE6F0"/>
          </w:tcPr>
          <w:p>
            <w:pPr>
              <w:pStyle w:val="TableParagraph"/>
              <w:rPr>
                <w:sz w:val="24"/>
              </w:rPr>
            </w:pPr>
          </w:p>
          <w:p>
            <w:pPr>
              <w:pStyle w:val="TableParagraph"/>
              <w:rPr>
                <w:sz w:val="24"/>
              </w:rPr>
            </w:pPr>
          </w:p>
          <w:p>
            <w:pPr>
              <w:pStyle w:val="TableParagraph"/>
              <w:spacing w:before="145"/>
              <w:ind w:left="122"/>
              <w:rPr>
                <w:sz w:val="22"/>
              </w:rPr>
            </w:pPr>
            <w:r>
              <w:rPr>
                <w:sz w:val="22"/>
              </w:rPr>
              <w:t>Scenario</w:t>
            </w:r>
            <w:r>
              <w:rPr>
                <w:spacing w:val="-8"/>
                <w:sz w:val="22"/>
              </w:rPr>
              <w:t> </w:t>
            </w:r>
            <w:r>
              <w:rPr>
                <w:spacing w:val="-10"/>
                <w:sz w:val="22"/>
              </w:rPr>
              <w:t>1</w:t>
            </w:r>
          </w:p>
        </w:tc>
        <w:tc>
          <w:tcPr>
            <w:tcW w:w="8103" w:type="dxa"/>
            <w:tcBorders>
              <w:top w:val="single" w:sz="4" w:space="0" w:color="BEBEBE"/>
              <w:left w:val="single" w:sz="4" w:space="0" w:color="BEBEBE"/>
              <w:bottom w:val="single" w:sz="4" w:space="0" w:color="BEBEBE"/>
            </w:tcBorders>
          </w:tcPr>
          <w:p>
            <w:pPr>
              <w:pStyle w:val="TableParagraph"/>
              <w:spacing w:before="22"/>
              <w:ind w:left="112"/>
              <w:rPr>
                <w:sz w:val="22"/>
              </w:rPr>
            </w:pPr>
            <w:r>
              <w:rPr>
                <w:sz w:val="22"/>
              </w:rPr>
              <w:t>ACO's</w:t>
            </w:r>
            <w:r>
              <w:rPr>
                <w:spacing w:val="-4"/>
                <w:sz w:val="22"/>
              </w:rPr>
              <w:t> </w:t>
            </w:r>
            <w:r>
              <w:rPr>
                <w:sz w:val="22"/>
              </w:rPr>
              <w:t>TCOC</w:t>
            </w:r>
            <w:r>
              <w:rPr>
                <w:spacing w:val="-4"/>
                <w:sz w:val="22"/>
              </w:rPr>
              <w:t> </w:t>
            </w:r>
            <w:r>
              <w:rPr>
                <w:sz w:val="22"/>
              </w:rPr>
              <w:t>Plan</w:t>
            </w:r>
            <w:r>
              <w:rPr>
                <w:spacing w:val="-4"/>
                <w:sz w:val="22"/>
              </w:rPr>
              <w:t> </w:t>
            </w:r>
            <w:r>
              <w:rPr>
                <w:sz w:val="22"/>
              </w:rPr>
              <w:t>Share</w:t>
            </w:r>
            <w:r>
              <w:rPr>
                <w:spacing w:val="-3"/>
                <w:sz w:val="22"/>
              </w:rPr>
              <w:t> </w:t>
            </w:r>
            <w:r>
              <w:rPr>
                <w:sz w:val="22"/>
              </w:rPr>
              <w:t>Performance</w:t>
            </w:r>
            <w:r>
              <w:rPr>
                <w:spacing w:val="-4"/>
                <w:sz w:val="22"/>
              </w:rPr>
              <w:t> </w:t>
            </w:r>
            <w:r>
              <w:rPr>
                <w:sz w:val="22"/>
              </w:rPr>
              <w:t>is</w:t>
            </w:r>
            <w:r>
              <w:rPr>
                <w:spacing w:val="-3"/>
                <w:sz w:val="22"/>
              </w:rPr>
              <w:t> </w:t>
            </w:r>
            <w:r>
              <w:rPr>
                <w:sz w:val="22"/>
              </w:rPr>
              <w:t>$490</w:t>
            </w:r>
            <w:r>
              <w:rPr>
                <w:spacing w:val="-3"/>
                <w:sz w:val="22"/>
              </w:rPr>
              <w:t> </w:t>
            </w:r>
            <w:r>
              <w:rPr>
                <w:spacing w:val="-4"/>
                <w:sz w:val="22"/>
              </w:rPr>
              <w:t>PMPM</w:t>
            </w:r>
          </w:p>
        </w:tc>
      </w:tr>
      <w:tr>
        <w:trPr>
          <w:trHeight w:val="299" w:hRule="atLeast"/>
        </w:trPr>
        <w:tc>
          <w:tcPr>
            <w:tcW w:w="1181" w:type="dxa"/>
            <w:vMerge/>
            <w:tcBorders>
              <w:top w:val="nil"/>
              <w:bottom w:val="single" w:sz="4" w:space="0" w:color="BEBEBE"/>
              <w:right w:val="single" w:sz="4" w:space="0" w:color="BEBEBE"/>
            </w:tcBorders>
            <w:shd w:val="clear" w:color="auto" w:fill="DCE6F0"/>
          </w:tcPr>
          <w:p>
            <w:pPr>
              <w:rPr>
                <w:sz w:val="2"/>
                <w:szCs w:val="2"/>
              </w:rPr>
            </w:pPr>
          </w:p>
        </w:tc>
        <w:tc>
          <w:tcPr>
            <w:tcW w:w="8103" w:type="dxa"/>
            <w:tcBorders>
              <w:top w:val="single" w:sz="4" w:space="0" w:color="BEBEBE"/>
              <w:left w:val="single" w:sz="4" w:space="0" w:color="BEBEBE"/>
              <w:bottom w:val="single" w:sz="4" w:space="0" w:color="BEBEBE"/>
            </w:tcBorders>
          </w:tcPr>
          <w:p>
            <w:pPr>
              <w:pStyle w:val="TableParagraph"/>
              <w:spacing w:before="22"/>
              <w:ind w:left="112"/>
              <w:rPr>
                <w:sz w:val="22"/>
              </w:rPr>
            </w:pPr>
            <w:r>
              <w:rPr>
                <w:sz w:val="22"/>
              </w:rPr>
              <w:t>ACO</w:t>
            </w:r>
            <w:r>
              <w:rPr>
                <w:spacing w:val="-3"/>
                <w:sz w:val="22"/>
              </w:rPr>
              <w:t> </w:t>
            </w:r>
            <w:r>
              <w:rPr>
                <w:sz w:val="22"/>
              </w:rPr>
              <w:t>has</w:t>
            </w:r>
            <w:r>
              <w:rPr>
                <w:spacing w:val="-2"/>
                <w:sz w:val="22"/>
              </w:rPr>
              <w:t> </w:t>
            </w:r>
            <w:r>
              <w:rPr>
                <w:sz w:val="22"/>
              </w:rPr>
              <w:t>savings</w:t>
            </w:r>
            <w:r>
              <w:rPr>
                <w:spacing w:val="-2"/>
                <w:sz w:val="22"/>
              </w:rPr>
              <w:t> </w:t>
            </w:r>
            <w:r>
              <w:rPr>
                <w:sz w:val="22"/>
              </w:rPr>
              <w:t>after risk</w:t>
            </w:r>
            <w:r>
              <w:rPr>
                <w:spacing w:val="-5"/>
                <w:sz w:val="22"/>
              </w:rPr>
              <w:t> </w:t>
            </w:r>
            <w:r>
              <w:rPr>
                <w:sz w:val="22"/>
              </w:rPr>
              <w:t>sharing</w:t>
            </w:r>
            <w:r>
              <w:rPr>
                <w:spacing w:val="-5"/>
                <w:sz w:val="22"/>
              </w:rPr>
              <w:t> </w:t>
            </w:r>
            <w:r>
              <w:rPr>
                <w:sz w:val="22"/>
              </w:rPr>
              <w:t>of $10</w:t>
            </w:r>
            <w:r>
              <w:rPr>
                <w:spacing w:val="-5"/>
                <w:sz w:val="22"/>
              </w:rPr>
              <w:t> </w:t>
            </w:r>
            <w:r>
              <w:rPr>
                <w:sz w:val="22"/>
              </w:rPr>
              <w:t>PMPM,</w:t>
            </w:r>
            <w:r>
              <w:rPr>
                <w:spacing w:val="-2"/>
                <w:sz w:val="22"/>
              </w:rPr>
              <w:t> </w:t>
            </w:r>
            <w:r>
              <w:rPr>
                <w:sz w:val="22"/>
              </w:rPr>
              <w:t>or</w:t>
            </w:r>
            <w:r>
              <w:rPr>
                <w:spacing w:val="-3"/>
                <w:sz w:val="22"/>
              </w:rPr>
              <w:t> </w:t>
            </w:r>
            <w:r>
              <w:rPr>
                <w:spacing w:val="-5"/>
                <w:sz w:val="22"/>
              </w:rPr>
              <w:t>2%</w:t>
            </w:r>
          </w:p>
        </w:tc>
      </w:tr>
      <w:tr>
        <w:trPr>
          <w:trHeight w:val="1029" w:hRule="atLeast"/>
        </w:trPr>
        <w:tc>
          <w:tcPr>
            <w:tcW w:w="1181" w:type="dxa"/>
            <w:vMerge/>
            <w:tcBorders>
              <w:top w:val="nil"/>
              <w:bottom w:val="single" w:sz="4" w:space="0" w:color="BEBEBE"/>
              <w:right w:val="single" w:sz="4" w:space="0" w:color="BEBEBE"/>
            </w:tcBorders>
            <w:shd w:val="clear" w:color="auto" w:fill="DCE6F0"/>
          </w:tcPr>
          <w:p>
            <w:pPr>
              <w:rPr>
                <w:sz w:val="2"/>
                <w:szCs w:val="2"/>
              </w:rPr>
            </w:pPr>
          </w:p>
        </w:tc>
        <w:tc>
          <w:tcPr>
            <w:tcW w:w="8103" w:type="dxa"/>
            <w:tcBorders>
              <w:top w:val="single" w:sz="4" w:space="0" w:color="BEBEBE"/>
              <w:left w:val="single" w:sz="4" w:space="0" w:color="BEBEBE"/>
              <w:bottom w:val="single" w:sz="4" w:space="0" w:color="BEBEBE"/>
            </w:tcBorders>
          </w:tcPr>
          <w:p>
            <w:pPr>
              <w:pStyle w:val="TableParagraph"/>
              <w:spacing w:before="7"/>
              <w:rPr>
                <w:sz w:val="22"/>
              </w:rPr>
            </w:pPr>
          </w:p>
          <w:p>
            <w:pPr>
              <w:pStyle w:val="TableParagraph"/>
              <w:ind w:left="112"/>
              <w:rPr>
                <w:sz w:val="22"/>
              </w:rPr>
            </w:pPr>
            <w:r>
              <w:rPr>
                <w:sz w:val="22"/>
              </w:rPr>
              <w:t>ACO</w:t>
            </w:r>
            <w:r>
              <w:rPr>
                <w:spacing w:val="-4"/>
                <w:sz w:val="22"/>
              </w:rPr>
              <w:t> </w:t>
            </w:r>
            <w:r>
              <w:rPr>
                <w:sz w:val="22"/>
              </w:rPr>
              <w:t>has</w:t>
            </w:r>
            <w:r>
              <w:rPr>
                <w:spacing w:val="-3"/>
                <w:sz w:val="22"/>
              </w:rPr>
              <w:t> </w:t>
            </w:r>
            <w:r>
              <w:rPr>
                <w:sz w:val="22"/>
              </w:rPr>
              <w:t>achieved</w:t>
            </w:r>
            <w:r>
              <w:rPr>
                <w:spacing w:val="-3"/>
                <w:sz w:val="22"/>
              </w:rPr>
              <w:t> </w:t>
            </w:r>
            <w:r>
              <w:rPr>
                <w:sz w:val="22"/>
              </w:rPr>
              <w:t>savings,</w:t>
            </w:r>
            <w:r>
              <w:rPr>
                <w:spacing w:val="-6"/>
                <w:sz w:val="22"/>
              </w:rPr>
              <w:t> </w:t>
            </w:r>
            <w:r>
              <w:rPr>
                <w:sz w:val="22"/>
              </w:rPr>
              <w:t>therefore</w:t>
            </w:r>
            <w:r>
              <w:rPr>
                <w:spacing w:val="-5"/>
                <w:sz w:val="22"/>
              </w:rPr>
              <w:t> </w:t>
            </w:r>
            <w:r>
              <w:rPr>
                <w:sz w:val="22"/>
              </w:rPr>
              <w:t>the</w:t>
            </w:r>
            <w:r>
              <w:rPr>
                <w:spacing w:val="-3"/>
                <w:sz w:val="22"/>
              </w:rPr>
              <w:t> </w:t>
            </w:r>
            <w:r>
              <w:rPr>
                <w:sz w:val="22"/>
              </w:rPr>
              <w:t>ACO's</w:t>
            </w:r>
            <w:r>
              <w:rPr>
                <w:spacing w:val="-3"/>
                <w:sz w:val="22"/>
              </w:rPr>
              <w:t> </w:t>
            </w:r>
            <w:r>
              <w:rPr>
                <w:sz w:val="22"/>
              </w:rPr>
              <w:t>TCOC</w:t>
            </w:r>
            <w:r>
              <w:rPr>
                <w:spacing w:val="-4"/>
                <w:sz w:val="22"/>
              </w:rPr>
              <w:t> </w:t>
            </w:r>
            <w:r>
              <w:rPr>
                <w:sz w:val="22"/>
              </w:rPr>
              <w:t>component</w:t>
            </w:r>
            <w:r>
              <w:rPr>
                <w:spacing w:val="-2"/>
                <w:sz w:val="22"/>
              </w:rPr>
              <w:t> </w:t>
            </w:r>
            <w:r>
              <w:rPr>
                <w:sz w:val="22"/>
              </w:rPr>
              <w:t>of</w:t>
            </w:r>
            <w:r>
              <w:rPr>
                <w:spacing w:val="-5"/>
                <w:sz w:val="22"/>
              </w:rPr>
              <w:t> </w:t>
            </w:r>
            <w:r>
              <w:rPr>
                <w:sz w:val="22"/>
              </w:rPr>
              <w:t>the</w:t>
            </w:r>
            <w:r>
              <w:rPr>
                <w:spacing w:val="-3"/>
                <w:sz w:val="22"/>
              </w:rPr>
              <w:t> </w:t>
            </w:r>
            <w:r>
              <w:rPr>
                <w:sz w:val="22"/>
              </w:rPr>
              <w:t>ACO</w:t>
            </w:r>
            <w:r>
              <w:rPr>
                <w:spacing w:val="-6"/>
                <w:sz w:val="22"/>
              </w:rPr>
              <w:t> </w:t>
            </w:r>
            <w:r>
              <w:rPr>
                <w:sz w:val="22"/>
              </w:rPr>
              <w:t>DSRIP Accountability Score is 100%</w:t>
            </w:r>
          </w:p>
        </w:tc>
      </w:tr>
      <w:tr>
        <w:trPr>
          <w:trHeight w:val="299" w:hRule="atLeast"/>
        </w:trPr>
        <w:tc>
          <w:tcPr>
            <w:tcW w:w="1181" w:type="dxa"/>
            <w:vMerge w:val="restart"/>
            <w:tcBorders>
              <w:top w:val="single" w:sz="4" w:space="0" w:color="BEBEBE"/>
              <w:bottom w:val="single" w:sz="4" w:space="0" w:color="BEBEBE"/>
              <w:right w:val="single" w:sz="4" w:space="0" w:color="BEBEBE"/>
            </w:tcBorders>
            <w:shd w:val="clear" w:color="auto" w:fill="DCE6F0"/>
          </w:tcPr>
          <w:p>
            <w:pPr>
              <w:pStyle w:val="TableParagraph"/>
              <w:rPr>
                <w:sz w:val="24"/>
              </w:rPr>
            </w:pPr>
          </w:p>
          <w:p>
            <w:pPr>
              <w:pStyle w:val="TableParagraph"/>
              <w:rPr>
                <w:sz w:val="24"/>
              </w:rPr>
            </w:pPr>
          </w:p>
          <w:p>
            <w:pPr>
              <w:pStyle w:val="TableParagraph"/>
              <w:spacing w:before="142"/>
              <w:ind w:left="122"/>
              <w:rPr>
                <w:sz w:val="22"/>
              </w:rPr>
            </w:pPr>
            <w:r>
              <w:rPr>
                <w:sz w:val="22"/>
              </w:rPr>
              <w:t>Scenario</w:t>
            </w:r>
            <w:r>
              <w:rPr>
                <w:spacing w:val="-8"/>
                <w:sz w:val="22"/>
              </w:rPr>
              <w:t> </w:t>
            </w:r>
            <w:r>
              <w:rPr>
                <w:spacing w:val="-10"/>
                <w:sz w:val="22"/>
              </w:rPr>
              <w:t>2</w:t>
            </w:r>
          </w:p>
        </w:tc>
        <w:tc>
          <w:tcPr>
            <w:tcW w:w="8103" w:type="dxa"/>
            <w:tcBorders>
              <w:top w:val="single" w:sz="4" w:space="0" w:color="BEBEBE"/>
              <w:left w:val="single" w:sz="4" w:space="0" w:color="BEBEBE"/>
              <w:bottom w:val="single" w:sz="4" w:space="0" w:color="BEBEBE"/>
            </w:tcBorders>
          </w:tcPr>
          <w:p>
            <w:pPr>
              <w:pStyle w:val="TableParagraph"/>
              <w:spacing w:before="22"/>
              <w:ind w:left="112"/>
              <w:rPr>
                <w:sz w:val="22"/>
              </w:rPr>
            </w:pPr>
            <w:r>
              <w:rPr>
                <w:sz w:val="22"/>
              </w:rPr>
              <w:t>ACO's</w:t>
            </w:r>
            <w:r>
              <w:rPr>
                <w:spacing w:val="-4"/>
                <w:sz w:val="22"/>
              </w:rPr>
              <w:t> </w:t>
            </w:r>
            <w:r>
              <w:rPr>
                <w:sz w:val="22"/>
              </w:rPr>
              <w:t>TCOC</w:t>
            </w:r>
            <w:r>
              <w:rPr>
                <w:spacing w:val="-5"/>
                <w:sz w:val="22"/>
              </w:rPr>
              <w:t> </w:t>
            </w:r>
            <w:r>
              <w:rPr>
                <w:sz w:val="22"/>
              </w:rPr>
              <w:t>Performance</w:t>
            </w:r>
            <w:r>
              <w:rPr>
                <w:spacing w:val="-5"/>
                <w:sz w:val="22"/>
              </w:rPr>
              <w:t> </w:t>
            </w:r>
            <w:r>
              <w:rPr>
                <w:sz w:val="22"/>
              </w:rPr>
              <w:t>is</w:t>
            </w:r>
            <w:r>
              <w:rPr>
                <w:spacing w:val="-4"/>
                <w:sz w:val="22"/>
              </w:rPr>
              <w:t> </w:t>
            </w:r>
            <w:r>
              <w:rPr>
                <w:sz w:val="22"/>
              </w:rPr>
              <w:t>$550</w:t>
            </w:r>
            <w:r>
              <w:rPr>
                <w:spacing w:val="-3"/>
                <w:sz w:val="22"/>
              </w:rPr>
              <w:t> </w:t>
            </w:r>
            <w:r>
              <w:rPr>
                <w:spacing w:val="-4"/>
                <w:sz w:val="22"/>
              </w:rPr>
              <w:t>PMPM</w:t>
            </w:r>
          </w:p>
        </w:tc>
      </w:tr>
      <w:tr>
        <w:trPr>
          <w:trHeight w:val="299" w:hRule="atLeast"/>
        </w:trPr>
        <w:tc>
          <w:tcPr>
            <w:tcW w:w="1181" w:type="dxa"/>
            <w:vMerge/>
            <w:tcBorders>
              <w:top w:val="nil"/>
              <w:bottom w:val="single" w:sz="4" w:space="0" w:color="BEBEBE"/>
              <w:right w:val="single" w:sz="4" w:space="0" w:color="BEBEBE"/>
            </w:tcBorders>
            <w:shd w:val="clear" w:color="auto" w:fill="DCE6F0"/>
          </w:tcPr>
          <w:p>
            <w:pPr>
              <w:rPr>
                <w:sz w:val="2"/>
                <w:szCs w:val="2"/>
              </w:rPr>
            </w:pPr>
          </w:p>
        </w:tc>
        <w:tc>
          <w:tcPr>
            <w:tcW w:w="8103" w:type="dxa"/>
            <w:tcBorders>
              <w:top w:val="single" w:sz="4" w:space="0" w:color="BEBEBE"/>
              <w:left w:val="single" w:sz="4" w:space="0" w:color="BEBEBE"/>
              <w:bottom w:val="single" w:sz="4" w:space="0" w:color="BEBEBE"/>
            </w:tcBorders>
          </w:tcPr>
          <w:p>
            <w:pPr>
              <w:pStyle w:val="TableParagraph"/>
              <w:spacing w:before="22"/>
              <w:ind w:left="112"/>
              <w:rPr>
                <w:sz w:val="22"/>
              </w:rPr>
            </w:pPr>
            <w:r>
              <w:rPr>
                <w:sz w:val="22"/>
              </w:rPr>
              <w:t>ACO</w:t>
            </w:r>
            <w:r>
              <w:rPr>
                <w:spacing w:val="-3"/>
                <w:sz w:val="22"/>
              </w:rPr>
              <w:t> </w:t>
            </w:r>
            <w:r>
              <w:rPr>
                <w:sz w:val="22"/>
              </w:rPr>
              <w:t>has</w:t>
            </w:r>
            <w:r>
              <w:rPr>
                <w:spacing w:val="-2"/>
                <w:sz w:val="22"/>
              </w:rPr>
              <w:t> </w:t>
            </w:r>
            <w:r>
              <w:rPr>
                <w:sz w:val="22"/>
              </w:rPr>
              <w:t>losses</w:t>
            </w:r>
            <w:r>
              <w:rPr>
                <w:spacing w:val="-3"/>
                <w:sz w:val="22"/>
              </w:rPr>
              <w:t> </w:t>
            </w:r>
            <w:r>
              <w:rPr>
                <w:sz w:val="22"/>
              </w:rPr>
              <w:t>after</w:t>
            </w:r>
            <w:r>
              <w:rPr>
                <w:spacing w:val="-1"/>
                <w:sz w:val="22"/>
              </w:rPr>
              <w:t> </w:t>
            </w:r>
            <w:r>
              <w:rPr>
                <w:sz w:val="22"/>
              </w:rPr>
              <w:t>risk</w:t>
            </w:r>
            <w:r>
              <w:rPr>
                <w:spacing w:val="-5"/>
                <w:sz w:val="22"/>
              </w:rPr>
              <w:t> </w:t>
            </w:r>
            <w:r>
              <w:rPr>
                <w:sz w:val="22"/>
              </w:rPr>
              <w:t>sharing</w:t>
            </w:r>
            <w:r>
              <w:rPr>
                <w:spacing w:val="-4"/>
                <w:sz w:val="22"/>
              </w:rPr>
              <w:t> </w:t>
            </w:r>
            <w:r>
              <w:rPr>
                <w:sz w:val="22"/>
              </w:rPr>
              <w:t>of</w:t>
            </w:r>
            <w:r>
              <w:rPr>
                <w:spacing w:val="-1"/>
                <w:sz w:val="22"/>
              </w:rPr>
              <w:t> </w:t>
            </w:r>
            <w:r>
              <w:rPr>
                <w:sz w:val="22"/>
              </w:rPr>
              <w:t>$50,</w:t>
            </w:r>
            <w:r>
              <w:rPr>
                <w:spacing w:val="-2"/>
                <w:sz w:val="22"/>
              </w:rPr>
              <w:t> </w:t>
            </w:r>
            <w:r>
              <w:rPr>
                <w:sz w:val="22"/>
              </w:rPr>
              <w:t>or </w:t>
            </w:r>
            <w:r>
              <w:rPr>
                <w:spacing w:val="-5"/>
                <w:sz w:val="22"/>
              </w:rPr>
              <w:t>10%</w:t>
            </w:r>
          </w:p>
        </w:tc>
      </w:tr>
      <w:tr>
        <w:trPr>
          <w:trHeight w:val="1029" w:hRule="atLeast"/>
        </w:trPr>
        <w:tc>
          <w:tcPr>
            <w:tcW w:w="1181" w:type="dxa"/>
            <w:vMerge/>
            <w:tcBorders>
              <w:top w:val="nil"/>
              <w:bottom w:val="single" w:sz="4" w:space="0" w:color="BEBEBE"/>
              <w:right w:val="single" w:sz="4" w:space="0" w:color="BEBEBE"/>
            </w:tcBorders>
            <w:shd w:val="clear" w:color="auto" w:fill="DCE6F0"/>
          </w:tcPr>
          <w:p>
            <w:pPr>
              <w:rPr>
                <w:sz w:val="2"/>
                <w:szCs w:val="2"/>
              </w:rPr>
            </w:pPr>
          </w:p>
        </w:tc>
        <w:tc>
          <w:tcPr>
            <w:tcW w:w="8103" w:type="dxa"/>
            <w:tcBorders>
              <w:top w:val="single" w:sz="4" w:space="0" w:color="BEBEBE"/>
              <w:left w:val="single" w:sz="4" w:space="0" w:color="BEBEBE"/>
              <w:bottom w:val="single" w:sz="4" w:space="0" w:color="BEBEBE"/>
            </w:tcBorders>
          </w:tcPr>
          <w:p>
            <w:pPr>
              <w:pStyle w:val="TableParagraph"/>
              <w:spacing w:before="7"/>
              <w:rPr>
                <w:sz w:val="22"/>
              </w:rPr>
            </w:pPr>
          </w:p>
          <w:p>
            <w:pPr>
              <w:pStyle w:val="TableParagraph"/>
              <w:ind w:left="112"/>
              <w:rPr>
                <w:sz w:val="22"/>
              </w:rPr>
            </w:pPr>
            <w:r>
              <w:rPr>
                <w:sz w:val="22"/>
              </w:rPr>
              <w:t>ACO</w:t>
            </w:r>
            <w:r>
              <w:rPr>
                <w:spacing w:val="-3"/>
                <w:sz w:val="22"/>
              </w:rPr>
              <w:t> </w:t>
            </w:r>
            <w:r>
              <w:rPr>
                <w:sz w:val="22"/>
              </w:rPr>
              <w:t>has</w:t>
            </w:r>
            <w:r>
              <w:rPr>
                <w:spacing w:val="-3"/>
                <w:sz w:val="22"/>
              </w:rPr>
              <w:t> </w:t>
            </w:r>
            <w:r>
              <w:rPr>
                <w:sz w:val="22"/>
              </w:rPr>
              <w:t>losses</w:t>
            </w:r>
            <w:r>
              <w:rPr>
                <w:spacing w:val="-4"/>
                <w:sz w:val="22"/>
              </w:rPr>
              <w:t> </w:t>
            </w:r>
            <w:r>
              <w:rPr>
                <w:sz w:val="22"/>
              </w:rPr>
              <w:t>that</w:t>
            </w:r>
            <w:r>
              <w:rPr>
                <w:spacing w:val="-2"/>
                <w:sz w:val="22"/>
              </w:rPr>
              <w:t> </w:t>
            </w:r>
            <w:r>
              <w:rPr>
                <w:sz w:val="22"/>
              </w:rPr>
              <w:t>exceed</w:t>
            </w:r>
            <w:r>
              <w:rPr>
                <w:spacing w:val="-5"/>
                <w:sz w:val="22"/>
              </w:rPr>
              <w:t> </w:t>
            </w:r>
            <w:r>
              <w:rPr>
                <w:sz w:val="22"/>
              </w:rPr>
              <w:t>5%</w:t>
            </w:r>
            <w:r>
              <w:rPr>
                <w:spacing w:val="-2"/>
                <w:sz w:val="22"/>
              </w:rPr>
              <w:t> </w:t>
            </w:r>
            <w:r>
              <w:rPr>
                <w:sz w:val="22"/>
              </w:rPr>
              <w:t>of</w:t>
            </w:r>
            <w:r>
              <w:rPr>
                <w:spacing w:val="-2"/>
                <w:sz w:val="22"/>
              </w:rPr>
              <w:t> </w:t>
            </w:r>
            <w:r>
              <w:rPr>
                <w:sz w:val="22"/>
              </w:rPr>
              <w:t>the</w:t>
            </w:r>
            <w:r>
              <w:rPr>
                <w:spacing w:val="-4"/>
                <w:sz w:val="22"/>
              </w:rPr>
              <w:t> </w:t>
            </w:r>
            <w:r>
              <w:rPr>
                <w:sz w:val="22"/>
              </w:rPr>
              <w:t>TCOC</w:t>
            </w:r>
            <w:r>
              <w:rPr>
                <w:spacing w:val="-3"/>
                <w:sz w:val="22"/>
              </w:rPr>
              <w:t> </w:t>
            </w:r>
            <w:r>
              <w:rPr>
                <w:sz w:val="22"/>
              </w:rPr>
              <w:t>Benchmark,</w:t>
            </w:r>
            <w:r>
              <w:rPr>
                <w:spacing w:val="-3"/>
                <w:sz w:val="22"/>
              </w:rPr>
              <w:t> </w:t>
            </w:r>
            <w:r>
              <w:rPr>
                <w:sz w:val="22"/>
              </w:rPr>
              <w:t>therefore</w:t>
            </w:r>
            <w:r>
              <w:rPr>
                <w:spacing w:val="-4"/>
                <w:sz w:val="22"/>
              </w:rPr>
              <w:t> </w:t>
            </w:r>
            <w:r>
              <w:rPr>
                <w:sz w:val="22"/>
              </w:rPr>
              <w:t>the</w:t>
            </w:r>
            <w:r>
              <w:rPr>
                <w:spacing w:val="-3"/>
                <w:sz w:val="22"/>
              </w:rPr>
              <w:t> </w:t>
            </w:r>
            <w:r>
              <w:rPr>
                <w:sz w:val="22"/>
              </w:rPr>
              <w:t>ACO’s</w:t>
            </w:r>
            <w:r>
              <w:rPr>
                <w:spacing w:val="-4"/>
                <w:sz w:val="22"/>
              </w:rPr>
              <w:t> </w:t>
            </w:r>
            <w:r>
              <w:rPr>
                <w:sz w:val="22"/>
              </w:rPr>
              <w:t>TCOC component of the ACO DSRIP Accountability Score is 0%</w:t>
            </w:r>
          </w:p>
        </w:tc>
      </w:tr>
      <w:tr>
        <w:trPr>
          <w:trHeight w:val="294" w:hRule="atLeast"/>
        </w:trPr>
        <w:tc>
          <w:tcPr>
            <w:tcW w:w="1181" w:type="dxa"/>
            <w:vMerge w:val="restart"/>
            <w:tcBorders>
              <w:top w:val="single" w:sz="4" w:space="0" w:color="BEBEBE"/>
              <w:right w:val="single" w:sz="4" w:space="0" w:color="BEBEBE"/>
            </w:tcBorders>
            <w:shd w:val="clear" w:color="auto" w:fill="DCE6F0"/>
          </w:tcPr>
          <w:p>
            <w:pPr>
              <w:pStyle w:val="TableParagraph"/>
              <w:rPr>
                <w:sz w:val="24"/>
              </w:rPr>
            </w:pPr>
          </w:p>
          <w:p>
            <w:pPr>
              <w:pStyle w:val="TableParagraph"/>
              <w:rPr>
                <w:sz w:val="24"/>
              </w:rPr>
            </w:pPr>
          </w:p>
          <w:p>
            <w:pPr>
              <w:pStyle w:val="TableParagraph"/>
              <w:rPr>
                <w:sz w:val="24"/>
              </w:rPr>
            </w:pPr>
          </w:p>
          <w:p>
            <w:pPr>
              <w:pStyle w:val="TableParagraph"/>
              <w:spacing w:before="147"/>
              <w:ind w:left="122"/>
              <w:rPr>
                <w:sz w:val="22"/>
              </w:rPr>
            </w:pPr>
            <w:r>
              <w:rPr>
                <w:sz w:val="22"/>
              </w:rPr>
              <w:t>Scenario</w:t>
            </w:r>
            <w:r>
              <w:rPr>
                <w:spacing w:val="-8"/>
                <w:sz w:val="22"/>
              </w:rPr>
              <w:t> </w:t>
            </w:r>
            <w:r>
              <w:rPr>
                <w:spacing w:val="-10"/>
                <w:sz w:val="22"/>
              </w:rPr>
              <w:t>3</w:t>
            </w:r>
          </w:p>
        </w:tc>
        <w:tc>
          <w:tcPr>
            <w:tcW w:w="8103" w:type="dxa"/>
            <w:tcBorders>
              <w:top w:val="single" w:sz="4" w:space="0" w:color="BEBEBE"/>
              <w:left w:val="single" w:sz="4" w:space="0" w:color="BEBEBE"/>
              <w:bottom w:val="single" w:sz="4" w:space="0" w:color="BEBEBE"/>
            </w:tcBorders>
          </w:tcPr>
          <w:p>
            <w:pPr>
              <w:pStyle w:val="TableParagraph"/>
              <w:spacing w:before="20"/>
              <w:ind w:left="112"/>
              <w:rPr>
                <w:sz w:val="22"/>
              </w:rPr>
            </w:pPr>
            <w:r>
              <w:rPr>
                <w:sz w:val="22"/>
              </w:rPr>
              <w:t>ACO's</w:t>
            </w:r>
            <w:r>
              <w:rPr>
                <w:spacing w:val="-4"/>
                <w:sz w:val="22"/>
              </w:rPr>
              <w:t> </w:t>
            </w:r>
            <w:r>
              <w:rPr>
                <w:sz w:val="22"/>
              </w:rPr>
              <w:t>TCOC</w:t>
            </w:r>
            <w:r>
              <w:rPr>
                <w:spacing w:val="-5"/>
                <w:sz w:val="22"/>
              </w:rPr>
              <w:t> </w:t>
            </w:r>
            <w:r>
              <w:rPr>
                <w:sz w:val="22"/>
              </w:rPr>
              <w:t>Performance</w:t>
            </w:r>
            <w:r>
              <w:rPr>
                <w:spacing w:val="-5"/>
                <w:sz w:val="22"/>
              </w:rPr>
              <w:t> </w:t>
            </w:r>
            <w:r>
              <w:rPr>
                <w:sz w:val="22"/>
              </w:rPr>
              <w:t>is</w:t>
            </w:r>
            <w:r>
              <w:rPr>
                <w:spacing w:val="-4"/>
                <w:sz w:val="22"/>
              </w:rPr>
              <w:t> </w:t>
            </w:r>
            <w:r>
              <w:rPr>
                <w:sz w:val="22"/>
              </w:rPr>
              <w:t>$520</w:t>
            </w:r>
            <w:r>
              <w:rPr>
                <w:spacing w:val="-3"/>
                <w:sz w:val="22"/>
              </w:rPr>
              <w:t> </w:t>
            </w:r>
            <w:r>
              <w:rPr>
                <w:spacing w:val="-4"/>
                <w:sz w:val="22"/>
              </w:rPr>
              <w:t>PMPM</w:t>
            </w:r>
          </w:p>
        </w:tc>
      </w:tr>
      <w:tr>
        <w:trPr>
          <w:trHeight w:val="299" w:hRule="atLeast"/>
        </w:trPr>
        <w:tc>
          <w:tcPr>
            <w:tcW w:w="1181" w:type="dxa"/>
            <w:vMerge/>
            <w:tcBorders>
              <w:top w:val="nil"/>
              <w:right w:val="single" w:sz="4" w:space="0" w:color="BEBEBE"/>
            </w:tcBorders>
            <w:shd w:val="clear" w:color="auto" w:fill="DCE6F0"/>
          </w:tcPr>
          <w:p>
            <w:pPr>
              <w:rPr>
                <w:sz w:val="2"/>
                <w:szCs w:val="2"/>
              </w:rPr>
            </w:pPr>
          </w:p>
        </w:tc>
        <w:tc>
          <w:tcPr>
            <w:tcW w:w="8103" w:type="dxa"/>
            <w:tcBorders>
              <w:top w:val="single" w:sz="4" w:space="0" w:color="BEBEBE"/>
              <w:left w:val="single" w:sz="4" w:space="0" w:color="BEBEBE"/>
              <w:bottom w:val="single" w:sz="4" w:space="0" w:color="BEBEBE"/>
            </w:tcBorders>
          </w:tcPr>
          <w:p>
            <w:pPr>
              <w:pStyle w:val="TableParagraph"/>
              <w:spacing w:line="252" w:lineRule="exact" w:before="27"/>
              <w:ind w:left="112"/>
              <w:rPr>
                <w:sz w:val="22"/>
              </w:rPr>
            </w:pPr>
            <w:r>
              <w:rPr>
                <w:sz w:val="22"/>
              </w:rPr>
              <w:t>ACO</w:t>
            </w:r>
            <w:r>
              <w:rPr>
                <w:spacing w:val="-3"/>
                <w:sz w:val="22"/>
              </w:rPr>
              <w:t> </w:t>
            </w:r>
            <w:r>
              <w:rPr>
                <w:sz w:val="22"/>
              </w:rPr>
              <w:t>has</w:t>
            </w:r>
            <w:r>
              <w:rPr>
                <w:spacing w:val="-2"/>
                <w:sz w:val="22"/>
              </w:rPr>
              <w:t> </w:t>
            </w:r>
            <w:r>
              <w:rPr>
                <w:sz w:val="22"/>
              </w:rPr>
              <w:t>losses</w:t>
            </w:r>
            <w:r>
              <w:rPr>
                <w:spacing w:val="-3"/>
                <w:sz w:val="22"/>
              </w:rPr>
              <w:t> </w:t>
            </w:r>
            <w:r>
              <w:rPr>
                <w:sz w:val="22"/>
              </w:rPr>
              <w:t>after</w:t>
            </w:r>
            <w:r>
              <w:rPr>
                <w:spacing w:val="-1"/>
                <w:sz w:val="22"/>
              </w:rPr>
              <w:t> </w:t>
            </w:r>
            <w:r>
              <w:rPr>
                <w:sz w:val="22"/>
              </w:rPr>
              <w:t>risk</w:t>
            </w:r>
            <w:r>
              <w:rPr>
                <w:spacing w:val="-5"/>
                <w:sz w:val="22"/>
              </w:rPr>
              <w:t> </w:t>
            </w:r>
            <w:r>
              <w:rPr>
                <w:sz w:val="22"/>
              </w:rPr>
              <w:t>sharing</w:t>
            </w:r>
            <w:r>
              <w:rPr>
                <w:spacing w:val="-4"/>
                <w:sz w:val="22"/>
              </w:rPr>
              <w:t> </w:t>
            </w:r>
            <w:r>
              <w:rPr>
                <w:sz w:val="22"/>
              </w:rPr>
              <w:t>of</w:t>
            </w:r>
            <w:r>
              <w:rPr>
                <w:spacing w:val="-1"/>
                <w:sz w:val="22"/>
              </w:rPr>
              <w:t> </w:t>
            </w:r>
            <w:r>
              <w:rPr>
                <w:sz w:val="22"/>
              </w:rPr>
              <w:t>$20,</w:t>
            </w:r>
            <w:r>
              <w:rPr>
                <w:spacing w:val="-2"/>
                <w:sz w:val="22"/>
              </w:rPr>
              <w:t> </w:t>
            </w:r>
            <w:r>
              <w:rPr>
                <w:sz w:val="22"/>
              </w:rPr>
              <w:t>or </w:t>
            </w:r>
            <w:r>
              <w:rPr>
                <w:spacing w:val="-5"/>
                <w:sz w:val="22"/>
              </w:rPr>
              <w:t>4%</w:t>
            </w:r>
          </w:p>
        </w:tc>
      </w:tr>
      <w:tr>
        <w:trPr>
          <w:trHeight w:val="1573" w:hRule="atLeast"/>
        </w:trPr>
        <w:tc>
          <w:tcPr>
            <w:tcW w:w="1181" w:type="dxa"/>
            <w:vMerge/>
            <w:tcBorders>
              <w:top w:val="nil"/>
              <w:right w:val="single" w:sz="4" w:space="0" w:color="BEBEBE"/>
            </w:tcBorders>
            <w:shd w:val="clear" w:color="auto" w:fill="DCE6F0"/>
          </w:tcPr>
          <w:p>
            <w:pPr>
              <w:rPr>
                <w:sz w:val="2"/>
                <w:szCs w:val="2"/>
              </w:rPr>
            </w:pPr>
          </w:p>
        </w:tc>
        <w:tc>
          <w:tcPr>
            <w:tcW w:w="8103" w:type="dxa"/>
            <w:tcBorders>
              <w:top w:val="single" w:sz="4" w:space="0" w:color="BEBEBE"/>
              <w:left w:val="single" w:sz="4" w:space="0" w:color="BEBEBE"/>
            </w:tcBorders>
          </w:tcPr>
          <w:p>
            <w:pPr>
              <w:pStyle w:val="TableParagraph"/>
              <w:spacing w:before="5"/>
              <w:rPr>
                <w:sz w:val="24"/>
              </w:rPr>
            </w:pPr>
          </w:p>
          <w:p>
            <w:pPr>
              <w:pStyle w:val="TableParagraph"/>
              <w:ind w:left="112" w:right="192"/>
              <w:rPr>
                <w:sz w:val="22"/>
              </w:rPr>
            </w:pPr>
            <w:r>
              <w:rPr>
                <w:sz w:val="22"/>
              </w:rPr>
              <w:t>ACO</w:t>
            </w:r>
            <w:r>
              <w:rPr>
                <w:spacing w:val="-3"/>
                <w:sz w:val="22"/>
              </w:rPr>
              <w:t> </w:t>
            </w:r>
            <w:r>
              <w:rPr>
                <w:sz w:val="22"/>
              </w:rPr>
              <w:t>has</w:t>
            </w:r>
            <w:r>
              <w:rPr>
                <w:spacing w:val="-2"/>
                <w:sz w:val="22"/>
              </w:rPr>
              <w:t> </w:t>
            </w:r>
            <w:r>
              <w:rPr>
                <w:sz w:val="22"/>
              </w:rPr>
              <w:t>losses</w:t>
            </w:r>
            <w:r>
              <w:rPr>
                <w:spacing w:val="-4"/>
                <w:sz w:val="22"/>
              </w:rPr>
              <w:t> </w:t>
            </w:r>
            <w:r>
              <w:rPr>
                <w:sz w:val="22"/>
              </w:rPr>
              <w:t>that</w:t>
            </w:r>
            <w:r>
              <w:rPr>
                <w:spacing w:val="-1"/>
                <w:sz w:val="22"/>
              </w:rPr>
              <w:t> </w:t>
            </w:r>
            <w:r>
              <w:rPr>
                <w:sz w:val="22"/>
              </w:rPr>
              <w:t>are</w:t>
            </w:r>
            <w:r>
              <w:rPr>
                <w:spacing w:val="-4"/>
                <w:sz w:val="22"/>
              </w:rPr>
              <w:t> </w:t>
            </w:r>
            <w:r>
              <w:rPr>
                <w:sz w:val="22"/>
              </w:rPr>
              <w:t>less</w:t>
            </w:r>
            <w:r>
              <w:rPr>
                <w:spacing w:val="-2"/>
                <w:sz w:val="22"/>
              </w:rPr>
              <w:t> </w:t>
            </w:r>
            <w:r>
              <w:rPr>
                <w:sz w:val="22"/>
              </w:rPr>
              <w:t>than</w:t>
            </w:r>
            <w:r>
              <w:rPr>
                <w:spacing w:val="-2"/>
                <w:sz w:val="22"/>
              </w:rPr>
              <w:t> </w:t>
            </w:r>
            <w:r>
              <w:rPr>
                <w:sz w:val="22"/>
              </w:rPr>
              <w:t>5%</w:t>
            </w:r>
            <w:r>
              <w:rPr>
                <w:spacing w:val="-4"/>
                <w:sz w:val="22"/>
              </w:rPr>
              <w:t> </w:t>
            </w:r>
            <w:r>
              <w:rPr>
                <w:sz w:val="22"/>
              </w:rPr>
              <w:t>of</w:t>
            </w:r>
            <w:r>
              <w:rPr>
                <w:spacing w:val="-4"/>
                <w:sz w:val="22"/>
              </w:rPr>
              <w:t> </w:t>
            </w:r>
            <w:r>
              <w:rPr>
                <w:sz w:val="22"/>
              </w:rPr>
              <w:t>the</w:t>
            </w:r>
            <w:r>
              <w:rPr>
                <w:spacing w:val="-4"/>
                <w:sz w:val="22"/>
              </w:rPr>
              <w:t> </w:t>
            </w:r>
            <w:r>
              <w:rPr>
                <w:sz w:val="22"/>
              </w:rPr>
              <w:t>TCOC</w:t>
            </w:r>
            <w:r>
              <w:rPr>
                <w:spacing w:val="-3"/>
                <w:sz w:val="22"/>
              </w:rPr>
              <w:t> </w:t>
            </w:r>
            <w:r>
              <w:rPr>
                <w:sz w:val="22"/>
              </w:rPr>
              <w:t>Benchmark,</w:t>
            </w:r>
            <w:r>
              <w:rPr>
                <w:spacing w:val="-2"/>
                <w:sz w:val="22"/>
              </w:rPr>
              <w:t> </w:t>
            </w:r>
            <w:r>
              <w:rPr>
                <w:sz w:val="22"/>
              </w:rPr>
              <w:t>therefore</w:t>
            </w:r>
            <w:r>
              <w:rPr>
                <w:spacing w:val="-2"/>
                <w:sz w:val="22"/>
              </w:rPr>
              <w:t> </w:t>
            </w:r>
            <w:r>
              <w:rPr>
                <w:sz w:val="22"/>
              </w:rPr>
              <w:t>the</w:t>
            </w:r>
            <w:r>
              <w:rPr>
                <w:spacing w:val="-2"/>
                <w:sz w:val="22"/>
              </w:rPr>
              <w:t> </w:t>
            </w:r>
            <w:r>
              <w:rPr>
                <w:sz w:val="22"/>
              </w:rPr>
              <w:t>ACO’s TCOC component of the ACO DSRIP Accountability Score = ((5% of the TCOC Benchmark</w:t>
            </w:r>
            <w:r>
              <w:rPr>
                <w:spacing w:val="-2"/>
                <w:sz w:val="22"/>
              </w:rPr>
              <w:t> </w:t>
            </w:r>
            <w:r>
              <w:rPr>
                <w:sz w:val="22"/>
              </w:rPr>
              <w:t>-</w:t>
            </w:r>
            <w:r>
              <w:rPr>
                <w:spacing w:val="-6"/>
                <w:sz w:val="22"/>
              </w:rPr>
              <w:t> </w:t>
            </w:r>
            <w:r>
              <w:rPr>
                <w:sz w:val="22"/>
              </w:rPr>
              <w:t>$20)</w:t>
            </w:r>
            <w:r>
              <w:rPr>
                <w:spacing w:val="-1"/>
                <w:sz w:val="22"/>
              </w:rPr>
              <w:t> </w:t>
            </w:r>
            <w:r>
              <w:rPr>
                <w:sz w:val="22"/>
              </w:rPr>
              <w:t>/</w:t>
            </w:r>
            <w:r>
              <w:rPr>
                <w:spacing w:val="-1"/>
                <w:sz w:val="22"/>
              </w:rPr>
              <w:t> </w:t>
            </w:r>
            <w:r>
              <w:rPr>
                <w:sz w:val="22"/>
              </w:rPr>
              <w:t>5%</w:t>
            </w:r>
            <w:r>
              <w:rPr>
                <w:spacing w:val="-1"/>
                <w:sz w:val="22"/>
              </w:rPr>
              <w:t> </w:t>
            </w:r>
            <w:r>
              <w:rPr>
                <w:sz w:val="22"/>
              </w:rPr>
              <w:t>of</w:t>
            </w:r>
            <w:r>
              <w:rPr>
                <w:spacing w:val="-4"/>
                <w:sz w:val="22"/>
              </w:rPr>
              <w:t> </w:t>
            </w:r>
            <w:r>
              <w:rPr>
                <w:sz w:val="22"/>
              </w:rPr>
              <w:t>the</w:t>
            </w:r>
            <w:r>
              <w:rPr>
                <w:spacing w:val="-4"/>
                <w:sz w:val="22"/>
              </w:rPr>
              <w:t> </w:t>
            </w:r>
            <w:r>
              <w:rPr>
                <w:sz w:val="22"/>
              </w:rPr>
              <w:t>TCOC</w:t>
            </w:r>
            <w:r>
              <w:rPr>
                <w:spacing w:val="-3"/>
                <w:sz w:val="22"/>
              </w:rPr>
              <w:t> </w:t>
            </w:r>
            <w:r>
              <w:rPr>
                <w:sz w:val="22"/>
              </w:rPr>
              <w:t>Benchmark)</w:t>
            </w:r>
            <w:r>
              <w:rPr>
                <w:spacing w:val="-1"/>
                <w:sz w:val="22"/>
              </w:rPr>
              <w:t> </w:t>
            </w:r>
            <w:r>
              <w:rPr>
                <w:sz w:val="22"/>
              </w:rPr>
              <w:t>=</w:t>
            </w:r>
            <w:r>
              <w:rPr>
                <w:spacing w:val="-2"/>
                <w:sz w:val="22"/>
              </w:rPr>
              <w:t> </w:t>
            </w:r>
            <w:r>
              <w:rPr>
                <w:sz w:val="22"/>
              </w:rPr>
              <w:t>(($25</w:t>
            </w:r>
            <w:r>
              <w:rPr>
                <w:spacing w:val="-2"/>
                <w:sz w:val="22"/>
              </w:rPr>
              <w:t> </w:t>
            </w:r>
            <w:r>
              <w:rPr>
                <w:sz w:val="22"/>
              </w:rPr>
              <w:t>-</w:t>
            </w:r>
            <w:r>
              <w:rPr>
                <w:spacing w:val="-6"/>
                <w:sz w:val="22"/>
              </w:rPr>
              <w:t> </w:t>
            </w:r>
            <w:r>
              <w:rPr>
                <w:sz w:val="22"/>
              </w:rPr>
              <w:t>$20)</w:t>
            </w:r>
            <w:r>
              <w:rPr>
                <w:spacing w:val="-1"/>
                <w:sz w:val="22"/>
              </w:rPr>
              <w:t> </w:t>
            </w:r>
            <w:r>
              <w:rPr>
                <w:sz w:val="22"/>
              </w:rPr>
              <w:t>/</w:t>
            </w:r>
            <w:r>
              <w:rPr>
                <w:spacing w:val="-1"/>
                <w:sz w:val="22"/>
              </w:rPr>
              <w:t> </w:t>
            </w:r>
            <w:r>
              <w:rPr>
                <w:sz w:val="22"/>
              </w:rPr>
              <w:t>$25)</w:t>
            </w:r>
            <w:r>
              <w:rPr>
                <w:spacing w:val="-1"/>
                <w:sz w:val="22"/>
              </w:rPr>
              <w:t> </w:t>
            </w:r>
            <w:r>
              <w:rPr>
                <w:sz w:val="22"/>
              </w:rPr>
              <w:t>=</w:t>
            </w:r>
            <w:r>
              <w:rPr>
                <w:spacing w:val="-4"/>
                <w:sz w:val="22"/>
              </w:rPr>
              <w:t> </w:t>
            </w:r>
            <w:r>
              <w:rPr>
                <w:sz w:val="22"/>
              </w:rPr>
              <w:t>($5/$25)</w:t>
            </w:r>
            <w:r>
              <w:rPr>
                <w:spacing w:val="-1"/>
                <w:sz w:val="22"/>
              </w:rPr>
              <w:t> </w:t>
            </w:r>
            <w:r>
              <w:rPr>
                <w:sz w:val="22"/>
              </w:rPr>
              <w:t>= </w:t>
            </w:r>
            <w:r>
              <w:rPr>
                <w:spacing w:val="-4"/>
                <w:sz w:val="22"/>
              </w:rPr>
              <w:t>20%</w:t>
            </w:r>
          </w:p>
        </w:tc>
      </w:tr>
    </w:tbl>
    <w:p>
      <w:pPr>
        <w:spacing w:after="0"/>
        <w:rPr>
          <w:sz w:val="22"/>
        </w:rPr>
        <w:sectPr>
          <w:pgSz w:w="12240" w:h="15840"/>
          <w:pgMar w:header="0" w:footer="967" w:top="1360" w:bottom="1160" w:left="220" w:right="340"/>
        </w:sectPr>
      </w:pPr>
    </w:p>
    <w:p>
      <w:pPr>
        <w:pStyle w:val="ListParagraph"/>
        <w:numPr>
          <w:ilvl w:val="2"/>
          <w:numId w:val="77"/>
        </w:numPr>
        <w:tabs>
          <w:tab w:pos="1938" w:val="left" w:leader="none"/>
        </w:tabs>
        <w:spacing w:line="252" w:lineRule="exact" w:before="78" w:after="0"/>
        <w:ind w:left="1938" w:right="0" w:hanging="719"/>
        <w:jc w:val="both"/>
        <w:rPr>
          <w:b/>
          <w:color w:val="4471C4"/>
          <w:sz w:val="22"/>
        </w:rPr>
      </w:pPr>
      <w:bookmarkStart w:name="5.3.3 Impact of DSRIP Accountability Sco" w:id="1400"/>
      <w:bookmarkEnd w:id="1400"/>
      <w:r>
        <w:rPr/>
      </w:r>
      <w:bookmarkStart w:name="_bookmark83" w:id="1401"/>
      <w:bookmarkEnd w:id="1401"/>
      <w:r>
        <w:rPr/>
      </w:r>
      <w:r>
        <w:rPr>
          <w:b/>
          <w:color w:val="4471C4"/>
          <w:sz w:val="22"/>
        </w:rPr>
        <w:t>Impact</w:t>
      </w:r>
      <w:r>
        <w:rPr>
          <w:b/>
          <w:color w:val="4471C4"/>
          <w:spacing w:val="-4"/>
          <w:sz w:val="22"/>
        </w:rPr>
        <w:t> </w:t>
      </w:r>
      <w:r>
        <w:rPr>
          <w:b/>
          <w:color w:val="4471C4"/>
          <w:sz w:val="22"/>
        </w:rPr>
        <w:t>of</w:t>
      </w:r>
      <w:r>
        <w:rPr>
          <w:b/>
          <w:color w:val="4471C4"/>
          <w:spacing w:val="-3"/>
          <w:sz w:val="22"/>
        </w:rPr>
        <w:t> </w:t>
      </w:r>
      <w:r>
        <w:rPr>
          <w:b/>
          <w:color w:val="4471C4"/>
          <w:sz w:val="22"/>
        </w:rPr>
        <w:t>DSRIP</w:t>
      </w:r>
      <w:r>
        <w:rPr>
          <w:b/>
          <w:color w:val="4471C4"/>
          <w:spacing w:val="-3"/>
          <w:sz w:val="22"/>
        </w:rPr>
        <w:t> </w:t>
      </w:r>
      <w:r>
        <w:rPr>
          <w:b/>
          <w:color w:val="4471C4"/>
          <w:sz w:val="22"/>
        </w:rPr>
        <w:t>Accountability</w:t>
      </w:r>
      <w:r>
        <w:rPr>
          <w:b/>
          <w:color w:val="4471C4"/>
          <w:spacing w:val="-4"/>
          <w:sz w:val="22"/>
        </w:rPr>
        <w:t> </w:t>
      </w:r>
      <w:r>
        <w:rPr>
          <w:b/>
          <w:color w:val="4471C4"/>
          <w:sz w:val="22"/>
        </w:rPr>
        <w:t>Scores</w:t>
      </w:r>
      <w:r>
        <w:rPr>
          <w:b/>
          <w:color w:val="4471C4"/>
          <w:spacing w:val="-7"/>
          <w:sz w:val="22"/>
        </w:rPr>
        <w:t> </w:t>
      </w:r>
      <w:r>
        <w:rPr>
          <w:b/>
          <w:color w:val="4471C4"/>
          <w:sz w:val="22"/>
        </w:rPr>
        <w:t>on</w:t>
      </w:r>
      <w:r>
        <w:rPr>
          <w:b/>
          <w:color w:val="4471C4"/>
          <w:spacing w:val="-7"/>
          <w:sz w:val="22"/>
        </w:rPr>
        <w:t> </w:t>
      </w:r>
      <w:r>
        <w:rPr>
          <w:b/>
          <w:color w:val="4471C4"/>
          <w:sz w:val="22"/>
        </w:rPr>
        <w:t>Payments</w:t>
      </w:r>
      <w:r>
        <w:rPr>
          <w:b/>
          <w:color w:val="4471C4"/>
          <w:spacing w:val="-4"/>
          <w:sz w:val="22"/>
        </w:rPr>
        <w:t> </w:t>
      </w:r>
      <w:r>
        <w:rPr>
          <w:b/>
          <w:color w:val="4471C4"/>
          <w:sz w:val="22"/>
        </w:rPr>
        <w:t>to</w:t>
      </w:r>
      <w:r>
        <w:rPr>
          <w:b/>
          <w:color w:val="4471C4"/>
          <w:spacing w:val="-4"/>
          <w:sz w:val="22"/>
        </w:rPr>
        <w:t> ACOs</w:t>
      </w:r>
    </w:p>
    <w:p>
      <w:pPr>
        <w:spacing w:before="0"/>
        <w:ind w:left="1219" w:right="1095" w:firstLine="0"/>
        <w:jc w:val="both"/>
        <w:rPr>
          <w:sz w:val="22"/>
        </w:rPr>
      </w:pPr>
      <w:r>
        <w:rPr>
          <w:sz w:val="22"/>
        </w:rPr>
        <w:t>Once the State has determined the ACO’s Quality and TCOC components of the ACO’s DSRIP Accountability Score, it will calculate the DSRIP Accountability Score using the methodology described in Section 5.3.1.</w:t>
      </w:r>
      <w:r>
        <w:rPr>
          <w:spacing w:val="40"/>
          <w:sz w:val="22"/>
        </w:rPr>
        <w:t> </w:t>
      </w:r>
      <w:r>
        <w:rPr>
          <w:sz w:val="22"/>
        </w:rPr>
        <w:t>As an example:</w:t>
      </w:r>
    </w:p>
    <w:p>
      <w:pPr>
        <w:spacing w:before="201"/>
        <w:ind w:left="1219" w:right="0" w:firstLine="0"/>
        <w:jc w:val="left"/>
        <w:rPr>
          <w:sz w:val="22"/>
        </w:rPr>
      </w:pPr>
      <w:r>
        <w:rPr>
          <w:sz w:val="22"/>
        </w:rPr>
        <w:t>Example</w:t>
      </w:r>
      <w:r>
        <w:rPr>
          <w:spacing w:val="-6"/>
          <w:sz w:val="22"/>
        </w:rPr>
        <w:t> </w:t>
      </w:r>
      <w:r>
        <w:rPr>
          <w:sz w:val="22"/>
        </w:rPr>
        <w:t>Calculation</w:t>
      </w:r>
      <w:r>
        <w:rPr>
          <w:spacing w:val="-3"/>
          <w:sz w:val="22"/>
        </w:rPr>
        <w:t> </w:t>
      </w:r>
      <w:r>
        <w:rPr>
          <w:sz w:val="22"/>
        </w:rPr>
        <w:t>of</w:t>
      </w:r>
      <w:r>
        <w:rPr>
          <w:spacing w:val="-2"/>
          <w:sz w:val="22"/>
        </w:rPr>
        <w:t> </w:t>
      </w:r>
      <w:r>
        <w:rPr>
          <w:sz w:val="22"/>
        </w:rPr>
        <w:t>ACO</w:t>
      </w:r>
      <w:r>
        <w:rPr>
          <w:spacing w:val="-4"/>
          <w:sz w:val="22"/>
        </w:rPr>
        <w:t> </w:t>
      </w:r>
      <w:r>
        <w:rPr>
          <w:sz w:val="22"/>
        </w:rPr>
        <w:t>DSRIP</w:t>
      </w:r>
      <w:r>
        <w:rPr>
          <w:spacing w:val="-4"/>
          <w:sz w:val="22"/>
        </w:rPr>
        <w:t> </w:t>
      </w:r>
      <w:r>
        <w:rPr>
          <w:sz w:val="22"/>
        </w:rPr>
        <w:t>Accountability</w:t>
      </w:r>
      <w:r>
        <w:rPr>
          <w:spacing w:val="-6"/>
          <w:sz w:val="22"/>
        </w:rPr>
        <w:t> </w:t>
      </w:r>
      <w:r>
        <w:rPr>
          <w:sz w:val="22"/>
        </w:rPr>
        <w:t>Score</w:t>
      </w:r>
      <w:r>
        <w:rPr>
          <w:spacing w:val="-4"/>
          <w:sz w:val="22"/>
        </w:rPr>
        <w:t> </w:t>
      </w:r>
      <w:r>
        <w:rPr>
          <w:sz w:val="22"/>
        </w:rPr>
        <w:t>in</w:t>
      </w:r>
      <w:r>
        <w:rPr>
          <w:spacing w:val="-3"/>
          <w:sz w:val="22"/>
        </w:rPr>
        <w:t> </w:t>
      </w:r>
      <w:r>
        <w:rPr>
          <w:spacing w:val="-5"/>
          <w:sz w:val="22"/>
        </w:rPr>
        <w:t>BP4</w:t>
      </w:r>
    </w:p>
    <w:p>
      <w:pPr>
        <w:pStyle w:val="BodyText"/>
        <w:spacing w:line="20" w:lineRule="exact"/>
        <w:ind w:left="1220"/>
        <w:rPr>
          <w:sz w:val="2"/>
        </w:rPr>
      </w:pPr>
      <w:r>
        <w:rPr>
          <w:sz w:val="2"/>
        </w:rPr>
        <mc:AlternateContent>
          <mc:Choice Requires="wps">
            <w:drawing>
              <wp:inline distT="0" distB="0" distL="0" distR="0">
                <wp:extent cx="5943600" cy="6350"/>
                <wp:effectExtent l="0" t="0" r="0" b="0"/>
                <wp:docPr id="913" name="Group 913"/>
                <wp:cNvGraphicFramePr>
                  <a:graphicFrameLocks/>
                </wp:cNvGraphicFramePr>
                <a:graphic>
                  <a:graphicData uri="http://schemas.microsoft.com/office/word/2010/wordprocessingGroup">
                    <wpg:wgp>
                      <wpg:cNvPr id="913" name="Group 913"/>
                      <wpg:cNvGrpSpPr/>
                      <wpg:grpSpPr>
                        <a:xfrm>
                          <a:off x="0" y="0"/>
                          <a:ext cx="5943600" cy="6350"/>
                          <a:chExt cx="5943600" cy="6350"/>
                        </a:xfrm>
                      </wpg:grpSpPr>
                      <wps:wsp>
                        <wps:cNvPr id="914" name="Graphic 914"/>
                        <wps:cNvSpPr/>
                        <wps:spPr>
                          <a:xfrm>
                            <a:off x="0" y="0"/>
                            <a:ext cx="5943600" cy="6350"/>
                          </a:xfrm>
                          <a:custGeom>
                            <a:avLst/>
                            <a:gdLst/>
                            <a:ahLst/>
                            <a:cxnLst/>
                            <a:rect l="l" t="t" r="r" b="b"/>
                            <a:pathLst>
                              <a:path w="5943600" h="6350">
                                <a:moveTo>
                                  <a:pt x="5943600" y="0"/>
                                </a:move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68pt;height:.5pt;mso-position-horizontal-relative:char;mso-position-vertical-relative:line" id="docshapegroup130" coordorigin="0,0" coordsize="9360,10">
                <v:rect style="position:absolute;left:0;top:0;width:9360;height:10" id="docshape131" filled="true" fillcolor="#000000" stroked="false">
                  <v:fill type="solid"/>
                </v:rect>
              </v:group>
            </w:pict>
          </mc:Fallback>
        </mc:AlternateContent>
      </w:r>
      <w:r>
        <w:rPr>
          <w:sz w:val="2"/>
        </w:rPr>
      </w:r>
    </w:p>
    <w:p>
      <w:pPr>
        <w:pStyle w:val="ListParagraph"/>
        <w:numPr>
          <w:ilvl w:val="0"/>
          <w:numId w:val="95"/>
        </w:numPr>
        <w:tabs>
          <w:tab w:pos="1940" w:val="left" w:leader="none"/>
        </w:tabs>
        <w:spacing w:line="240" w:lineRule="auto" w:before="0" w:after="0"/>
        <w:ind w:left="1940" w:right="1599" w:hanging="360"/>
        <w:jc w:val="left"/>
        <w:rPr>
          <w:sz w:val="22"/>
        </w:rPr>
      </w:pPr>
      <w:r>
        <w:rPr>
          <w:sz w:val="22"/>
        </w:rPr>
        <w:t>Quality</w:t>
      </w:r>
      <w:r>
        <w:rPr>
          <w:spacing w:val="-6"/>
          <w:sz w:val="22"/>
        </w:rPr>
        <w:t> </w:t>
      </w:r>
      <w:r>
        <w:rPr>
          <w:sz w:val="22"/>
        </w:rPr>
        <w:t>Component</w:t>
      </w:r>
      <w:r>
        <w:rPr>
          <w:spacing w:val="-2"/>
          <w:sz w:val="22"/>
        </w:rPr>
        <w:t> </w:t>
      </w:r>
      <w:r>
        <w:rPr>
          <w:sz w:val="22"/>
        </w:rPr>
        <w:t>of</w:t>
      </w:r>
      <w:r>
        <w:rPr>
          <w:spacing w:val="-2"/>
          <w:sz w:val="22"/>
        </w:rPr>
        <w:t> </w:t>
      </w:r>
      <w:r>
        <w:rPr>
          <w:sz w:val="22"/>
        </w:rPr>
        <w:t>DSRIP</w:t>
      </w:r>
      <w:r>
        <w:rPr>
          <w:spacing w:val="-4"/>
          <w:sz w:val="22"/>
        </w:rPr>
        <w:t> </w:t>
      </w:r>
      <w:r>
        <w:rPr>
          <w:sz w:val="22"/>
        </w:rPr>
        <w:t>Accountability</w:t>
      </w:r>
      <w:r>
        <w:rPr>
          <w:spacing w:val="-6"/>
          <w:sz w:val="22"/>
        </w:rPr>
        <w:t> </w:t>
      </w:r>
      <w:r>
        <w:rPr>
          <w:sz w:val="22"/>
        </w:rPr>
        <w:t>Score</w:t>
      </w:r>
      <w:r>
        <w:rPr>
          <w:spacing w:val="-5"/>
          <w:sz w:val="22"/>
        </w:rPr>
        <w:t> </w:t>
      </w:r>
      <w:r>
        <w:rPr>
          <w:sz w:val="22"/>
        </w:rPr>
        <w:t>in</w:t>
      </w:r>
      <w:r>
        <w:rPr>
          <w:spacing w:val="-3"/>
          <w:sz w:val="22"/>
        </w:rPr>
        <w:t> </w:t>
      </w:r>
      <w:r>
        <w:rPr>
          <w:sz w:val="22"/>
        </w:rPr>
        <w:t>BP4:</w:t>
      </w:r>
      <w:r>
        <w:rPr>
          <w:spacing w:val="-2"/>
          <w:sz w:val="22"/>
        </w:rPr>
        <w:t> </w:t>
      </w:r>
      <w:r>
        <w:rPr>
          <w:sz w:val="22"/>
        </w:rPr>
        <w:t>75%</w:t>
      </w:r>
      <w:r>
        <w:rPr>
          <w:spacing w:val="-2"/>
          <w:sz w:val="22"/>
        </w:rPr>
        <w:t> </w:t>
      </w:r>
      <w:r>
        <w:rPr>
          <w:sz w:val="22"/>
        </w:rPr>
        <w:t>(calculated</w:t>
      </w:r>
      <w:r>
        <w:rPr>
          <w:spacing w:val="-3"/>
          <w:sz w:val="22"/>
        </w:rPr>
        <w:t> </w:t>
      </w:r>
      <w:r>
        <w:rPr>
          <w:sz w:val="22"/>
        </w:rPr>
        <w:t>as</w:t>
      </w:r>
      <w:r>
        <w:rPr>
          <w:spacing w:val="-5"/>
          <w:sz w:val="22"/>
        </w:rPr>
        <w:t> </w:t>
      </w:r>
      <w:r>
        <w:rPr>
          <w:sz w:val="22"/>
        </w:rPr>
        <w:t>described</w:t>
      </w:r>
      <w:r>
        <w:rPr>
          <w:spacing w:val="-3"/>
          <w:sz w:val="22"/>
        </w:rPr>
        <w:t> </w:t>
      </w:r>
      <w:r>
        <w:rPr>
          <w:sz w:val="22"/>
        </w:rPr>
        <w:t>in Section 5.3.1)</w:t>
      </w:r>
    </w:p>
    <w:p>
      <w:pPr>
        <w:pStyle w:val="ListParagraph"/>
        <w:numPr>
          <w:ilvl w:val="0"/>
          <w:numId w:val="95"/>
        </w:numPr>
        <w:tabs>
          <w:tab w:pos="1940" w:val="left" w:leader="none"/>
        </w:tabs>
        <w:spacing w:line="240" w:lineRule="auto" w:before="0" w:after="0"/>
        <w:ind w:left="1940" w:right="1668" w:hanging="361"/>
        <w:jc w:val="left"/>
        <w:rPr>
          <w:sz w:val="22"/>
        </w:rPr>
      </w:pPr>
      <w:r>
        <w:rPr>
          <w:sz w:val="22"/>
        </w:rPr>
        <w:t>TCOC</w:t>
      </w:r>
      <w:r>
        <w:rPr>
          <w:spacing w:val="-3"/>
          <w:sz w:val="22"/>
        </w:rPr>
        <w:t> </w:t>
      </w:r>
      <w:r>
        <w:rPr>
          <w:sz w:val="22"/>
        </w:rPr>
        <w:t>Component</w:t>
      </w:r>
      <w:r>
        <w:rPr>
          <w:spacing w:val="-1"/>
          <w:sz w:val="22"/>
        </w:rPr>
        <w:t> </w:t>
      </w:r>
      <w:r>
        <w:rPr>
          <w:sz w:val="22"/>
        </w:rPr>
        <w:t>of</w:t>
      </w:r>
      <w:r>
        <w:rPr>
          <w:spacing w:val="-1"/>
          <w:sz w:val="22"/>
        </w:rPr>
        <w:t> </w:t>
      </w:r>
      <w:r>
        <w:rPr>
          <w:sz w:val="22"/>
        </w:rPr>
        <w:t>DSRIP</w:t>
      </w:r>
      <w:r>
        <w:rPr>
          <w:spacing w:val="-3"/>
          <w:sz w:val="22"/>
        </w:rPr>
        <w:t> </w:t>
      </w:r>
      <w:r>
        <w:rPr>
          <w:sz w:val="22"/>
        </w:rPr>
        <w:t>Accountability</w:t>
      </w:r>
      <w:r>
        <w:rPr>
          <w:spacing w:val="-5"/>
          <w:sz w:val="22"/>
        </w:rPr>
        <w:t> </w:t>
      </w:r>
      <w:r>
        <w:rPr>
          <w:sz w:val="22"/>
        </w:rPr>
        <w:t>Score</w:t>
      </w:r>
      <w:r>
        <w:rPr>
          <w:spacing w:val="-4"/>
          <w:sz w:val="22"/>
        </w:rPr>
        <w:t> </w:t>
      </w:r>
      <w:r>
        <w:rPr>
          <w:sz w:val="22"/>
        </w:rPr>
        <w:t>in</w:t>
      </w:r>
      <w:r>
        <w:rPr>
          <w:spacing w:val="-5"/>
          <w:sz w:val="22"/>
        </w:rPr>
        <w:t> </w:t>
      </w:r>
      <w:r>
        <w:rPr>
          <w:sz w:val="22"/>
        </w:rPr>
        <w:t>BP4:</w:t>
      </w:r>
      <w:r>
        <w:rPr>
          <w:spacing w:val="-1"/>
          <w:sz w:val="22"/>
        </w:rPr>
        <w:t> </w:t>
      </w:r>
      <w:r>
        <w:rPr>
          <w:sz w:val="22"/>
        </w:rPr>
        <w:t>80%</w:t>
      </w:r>
      <w:r>
        <w:rPr>
          <w:spacing w:val="-1"/>
          <w:sz w:val="22"/>
        </w:rPr>
        <w:t> </w:t>
      </w:r>
      <w:r>
        <w:rPr>
          <w:sz w:val="22"/>
        </w:rPr>
        <w:t>(calculated</w:t>
      </w:r>
      <w:r>
        <w:rPr>
          <w:spacing w:val="-2"/>
          <w:sz w:val="22"/>
        </w:rPr>
        <w:t> </w:t>
      </w:r>
      <w:r>
        <w:rPr>
          <w:sz w:val="22"/>
        </w:rPr>
        <w:t>as</w:t>
      </w:r>
      <w:r>
        <w:rPr>
          <w:spacing w:val="-4"/>
          <w:sz w:val="22"/>
        </w:rPr>
        <w:t> </w:t>
      </w:r>
      <w:r>
        <w:rPr>
          <w:sz w:val="22"/>
        </w:rPr>
        <w:t>described</w:t>
      </w:r>
      <w:r>
        <w:rPr>
          <w:spacing w:val="-5"/>
          <w:sz w:val="22"/>
        </w:rPr>
        <w:t> </w:t>
      </w:r>
      <w:r>
        <w:rPr>
          <w:sz w:val="22"/>
        </w:rPr>
        <w:t>in Section 5.3.2)</w:t>
      </w:r>
    </w:p>
    <w:p>
      <w:pPr>
        <w:pStyle w:val="ListParagraph"/>
        <w:numPr>
          <w:ilvl w:val="0"/>
          <w:numId w:val="95"/>
        </w:numPr>
        <w:tabs>
          <w:tab w:pos="1940" w:val="left" w:leader="none"/>
        </w:tabs>
        <w:spacing w:line="240" w:lineRule="auto" w:before="0" w:after="0"/>
        <w:ind w:left="1940" w:right="1527" w:hanging="361"/>
        <w:jc w:val="left"/>
        <w:rPr>
          <w:sz w:val="22"/>
        </w:rPr>
      </w:pPr>
      <w:r>
        <w:rPr>
          <w:sz w:val="22"/>
        </w:rPr>
        <w:t>Weight</w:t>
      </w:r>
      <w:r>
        <w:rPr>
          <w:spacing w:val="-4"/>
          <w:sz w:val="22"/>
        </w:rPr>
        <w:t> </w:t>
      </w:r>
      <w:r>
        <w:rPr>
          <w:sz w:val="22"/>
        </w:rPr>
        <w:t>for</w:t>
      </w:r>
      <w:r>
        <w:rPr>
          <w:spacing w:val="-2"/>
          <w:sz w:val="22"/>
        </w:rPr>
        <w:t> </w:t>
      </w:r>
      <w:r>
        <w:rPr>
          <w:sz w:val="22"/>
        </w:rPr>
        <w:t>Quality</w:t>
      </w:r>
      <w:r>
        <w:rPr>
          <w:spacing w:val="-5"/>
          <w:sz w:val="22"/>
        </w:rPr>
        <w:t> </w:t>
      </w:r>
      <w:r>
        <w:rPr>
          <w:sz w:val="22"/>
        </w:rPr>
        <w:t>Component</w:t>
      </w:r>
      <w:r>
        <w:rPr>
          <w:spacing w:val="-2"/>
          <w:sz w:val="22"/>
        </w:rPr>
        <w:t> </w:t>
      </w:r>
      <w:r>
        <w:rPr>
          <w:sz w:val="22"/>
        </w:rPr>
        <w:t>of</w:t>
      </w:r>
      <w:r>
        <w:rPr>
          <w:spacing w:val="-2"/>
          <w:sz w:val="22"/>
        </w:rPr>
        <w:t> </w:t>
      </w:r>
      <w:r>
        <w:rPr>
          <w:sz w:val="22"/>
        </w:rPr>
        <w:t>DSRIP</w:t>
      </w:r>
      <w:r>
        <w:rPr>
          <w:spacing w:val="-3"/>
          <w:sz w:val="22"/>
        </w:rPr>
        <w:t> </w:t>
      </w:r>
      <w:r>
        <w:rPr>
          <w:sz w:val="22"/>
        </w:rPr>
        <w:t>Accountability</w:t>
      </w:r>
      <w:r>
        <w:rPr>
          <w:spacing w:val="-5"/>
          <w:sz w:val="22"/>
        </w:rPr>
        <w:t> </w:t>
      </w:r>
      <w:r>
        <w:rPr>
          <w:sz w:val="22"/>
        </w:rPr>
        <w:t>Score</w:t>
      </w:r>
      <w:r>
        <w:rPr>
          <w:spacing w:val="-3"/>
          <w:sz w:val="22"/>
        </w:rPr>
        <w:t> </w:t>
      </w:r>
      <w:r>
        <w:rPr>
          <w:sz w:val="22"/>
        </w:rPr>
        <w:t>in</w:t>
      </w:r>
      <w:r>
        <w:rPr>
          <w:spacing w:val="-3"/>
          <w:sz w:val="22"/>
        </w:rPr>
        <w:t> </w:t>
      </w:r>
      <w:r>
        <w:rPr>
          <w:sz w:val="22"/>
        </w:rPr>
        <w:t>BP4:</w:t>
      </w:r>
      <w:r>
        <w:rPr>
          <w:spacing w:val="-2"/>
          <w:sz w:val="22"/>
        </w:rPr>
        <w:t> </w:t>
      </w:r>
      <w:r>
        <w:rPr>
          <w:sz w:val="22"/>
        </w:rPr>
        <w:t>75%</w:t>
      </w:r>
      <w:r>
        <w:rPr>
          <w:spacing w:val="-4"/>
          <w:sz w:val="22"/>
        </w:rPr>
        <w:t> </w:t>
      </w:r>
      <w:r>
        <w:rPr>
          <w:sz w:val="22"/>
        </w:rPr>
        <w:t>(as</w:t>
      </w:r>
      <w:r>
        <w:rPr>
          <w:spacing w:val="-3"/>
          <w:sz w:val="22"/>
        </w:rPr>
        <w:t> </w:t>
      </w:r>
      <w:r>
        <w:rPr>
          <w:sz w:val="22"/>
        </w:rPr>
        <w:t>described</w:t>
      </w:r>
      <w:r>
        <w:rPr>
          <w:spacing w:val="-3"/>
          <w:sz w:val="22"/>
        </w:rPr>
        <w:t> </w:t>
      </w:r>
      <w:r>
        <w:rPr>
          <w:sz w:val="22"/>
        </w:rPr>
        <w:t>in Exhibit 30)</w:t>
      </w:r>
    </w:p>
    <w:p>
      <w:pPr>
        <w:pStyle w:val="ListParagraph"/>
        <w:numPr>
          <w:ilvl w:val="0"/>
          <w:numId w:val="95"/>
        </w:numPr>
        <w:tabs>
          <w:tab w:pos="1940" w:val="left" w:leader="none"/>
        </w:tabs>
        <w:spacing w:line="240" w:lineRule="auto" w:before="0" w:after="0"/>
        <w:ind w:left="1940" w:right="1601" w:hanging="361"/>
        <w:jc w:val="left"/>
        <w:rPr>
          <w:sz w:val="22"/>
        </w:rPr>
      </w:pPr>
      <w:r>
        <w:rPr>
          <w:sz w:val="22"/>
        </w:rPr>
        <w:t>Weight</w:t>
      </w:r>
      <w:r>
        <w:rPr>
          <w:spacing w:val="-4"/>
          <w:sz w:val="22"/>
        </w:rPr>
        <w:t> </w:t>
      </w:r>
      <w:r>
        <w:rPr>
          <w:sz w:val="22"/>
        </w:rPr>
        <w:t>for</w:t>
      </w:r>
      <w:r>
        <w:rPr>
          <w:spacing w:val="-4"/>
          <w:sz w:val="22"/>
        </w:rPr>
        <w:t> </w:t>
      </w:r>
      <w:r>
        <w:rPr>
          <w:sz w:val="22"/>
        </w:rPr>
        <w:t>TCOC</w:t>
      </w:r>
      <w:r>
        <w:rPr>
          <w:spacing w:val="-3"/>
          <w:sz w:val="22"/>
        </w:rPr>
        <w:t> </w:t>
      </w:r>
      <w:r>
        <w:rPr>
          <w:sz w:val="22"/>
        </w:rPr>
        <w:t>Component</w:t>
      </w:r>
      <w:r>
        <w:rPr>
          <w:spacing w:val="-1"/>
          <w:sz w:val="22"/>
        </w:rPr>
        <w:t> </w:t>
      </w:r>
      <w:r>
        <w:rPr>
          <w:sz w:val="22"/>
        </w:rPr>
        <w:t>of</w:t>
      </w:r>
      <w:r>
        <w:rPr>
          <w:spacing w:val="-1"/>
          <w:sz w:val="22"/>
        </w:rPr>
        <w:t> </w:t>
      </w:r>
      <w:r>
        <w:rPr>
          <w:sz w:val="22"/>
        </w:rPr>
        <w:t>DSRIP</w:t>
      </w:r>
      <w:r>
        <w:rPr>
          <w:spacing w:val="-3"/>
          <w:sz w:val="22"/>
        </w:rPr>
        <w:t> </w:t>
      </w:r>
      <w:r>
        <w:rPr>
          <w:sz w:val="22"/>
        </w:rPr>
        <w:t>Accountability</w:t>
      </w:r>
      <w:r>
        <w:rPr>
          <w:spacing w:val="-5"/>
          <w:sz w:val="22"/>
        </w:rPr>
        <w:t> </w:t>
      </w:r>
      <w:r>
        <w:rPr>
          <w:sz w:val="22"/>
        </w:rPr>
        <w:t>Score</w:t>
      </w:r>
      <w:r>
        <w:rPr>
          <w:spacing w:val="-2"/>
          <w:sz w:val="22"/>
        </w:rPr>
        <w:t> </w:t>
      </w:r>
      <w:r>
        <w:rPr>
          <w:sz w:val="22"/>
        </w:rPr>
        <w:t>in</w:t>
      </w:r>
      <w:r>
        <w:rPr>
          <w:spacing w:val="-2"/>
          <w:sz w:val="22"/>
        </w:rPr>
        <w:t> </w:t>
      </w:r>
      <w:r>
        <w:rPr>
          <w:sz w:val="22"/>
        </w:rPr>
        <w:t>BP4:</w:t>
      </w:r>
      <w:r>
        <w:rPr>
          <w:spacing w:val="-1"/>
          <w:sz w:val="22"/>
        </w:rPr>
        <w:t> </w:t>
      </w:r>
      <w:r>
        <w:rPr>
          <w:sz w:val="22"/>
        </w:rPr>
        <w:t>25%</w:t>
      </w:r>
      <w:r>
        <w:rPr>
          <w:spacing w:val="-4"/>
          <w:sz w:val="22"/>
        </w:rPr>
        <w:t> </w:t>
      </w:r>
      <w:r>
        <w:rPr>
          <w:sz w:val="22"/>
        </w:rPr>
        <w:t>(as</w:t>
      </w:r>
      <w:r>
        <w:rPr>
          <w:spacing w:val="-2"/>
          <w:sz w:val="22"/>
        </w:rPr>
        <w:t> </w:t>
      </w:r>
      <w:r>
        <w:rPr>
          <w:sz w:val="22"/>
        </w:rPr>
        <w:t>described</w:t>
      </w:r>
      <w:r>
        <w:rPr>
          <w:spacing w:val="-5"/>
          <w:sz w:val="22"/>
        </w:rPr>
        <w:t> </w:t>
      </w:r>
      <w:r>
        <w:rPr>
          <w:sz w:val="22"/>
        </w:rPr>
        <w:t>in Exhibit 30)</w:t>
      </w:r>
    </w:p>
    <w:p>
      <w:pPr>
        <w:spacing w:line="244" w:lineRule="auto" w:before="185"/>
        <w:ind w:left="1760" w:right="1111" w:hanging="351"/>
        <w:jc w:val="left"/>
        <w:rPr>
          <w:sz w:val="22"/>
        </w:rPr>
      </w:pPr>
      <w:r>
        <w:rPr>
          <w:sz w:val="22"/>
        </w:rPr>
        <w:t>ACO</w:t>
      </w:r>
      <w:r>
        <w:rPr>
          <w:spacing w:val="-3"/>
          <w:sz w:val="22"/>
        </w:rPr>
        <w:t> </w:t>
      </w:r>
      <w:r>
        <w:rPr>
          <w:sz w:val="22"/>
        </w:rPr>
        <w:t>DSRIP</w:t>
      </w:r>
      <w:r>
        <w:rPr>
          <w:spacing w:val="-3"/>
          <w:sz w:val="22"/>
        </w:rPr>
        <w:t> </w:t>
      </w:r>
      <w:r>
        <w:rPr>
          <w:sz w:val="22"/>
        </w:rPr>
        <w:t>Accountability</w:t>
      </w:r>
      <w:r>
        <w:rPr>
          <w:spacing w:val="-5"/>
          <w:sz w:val="22"/>
        </w:rPr>
        <w:t> </w:t>
      </w:r>
      <w:r>
        <w:rPr>
          <w:sz w:val="22"/>
        </w:rPr>
        <w:t>Score</w:t>
      </w:r>
      <w:r>
        <w:rPr>
          <w:spacing w:val="-2"/>
          <w:sz w:val="22"/>
        </w:rPr>
        <w:t> </w:t>
      </w:r>
      <w:r>
        <w:rPr>
          <w:sz w:val="22"/>
        </w:rPr>
        <w:t>=</w:t>
      </w:r>
      <w:r>
        <w:rPr>
          <w:spacing w:val="-2"/>
          <w:sz w:val="22"/>
        </w:rPr>
        <w:t> </w:t>
      </w:r>
      <w:r>
        <w:rPr>
          <w:sz w:val="22"/>
        </w:rPr>
        <w:t>(Quality</w:t>
      </w:r>
      <w:r>
        <w:rPr>
          <w:spacing w:val="-5"/>
          <w:sz w:val="22"/>
        </w:rPr>
        <w:t> </w:t>
      </w:r>
      <w:r>
        <w:rPr>
          <w:sz w:val="22"/>
        </w:rPr>
        <w:t>Component</w:t>
      </w:r>
      <w:r>
        <w:rPr>
          <w:spacing w:val="-1"/>
          <w:sz w:val="22"/>
        </w:rPr>
        <w:t> </w:t>
      </w:r>
      <w:r>
        <w:rPr>
          <w:sz w:val="22"/>
        </w:rPr>
        <w:t>*</w:t>
      </w:r>
      <w:r>
        <w:rPr>
          <w:spacing w:val="-5"/>
          <w:sz w:val="22"/>
        </w:rPr>
        <w:t> </w:t>
      </w:r>
      <w:r>
        <w:rPr>
          <w:sz w:val="22"/>
        </w:rPr>
        <w:t>Weight</w:t>
      </w:r>
      <w:r>
        <w:rPr>
          <w:spacing w:val="-1"/>
          <w:sz w:val="22"/>
        </w:rPr>
        <w:t> </w:t>
      </w:r>
      <w:r>
        <w:rPr>
          <w:sz w:val="22"/>
        </w:rPr>
        <w:t>of</w:t>
      </w:r>
      <w:r>
        <w:rPr>
          <w:spacing w:val="-1"/>
          <w:sz w:val="22"/>
        </w:rPr>
        <w:t> </w:t>
      </w:r>
      <w:r>
        <w:rPr>
          <w:sz w:val="22"/>
        </w:rPr>
        <w:t>Quality</w:t>
      </w:r>
      <w:r>
        <w:rPr>
          <w:spacing w:val="-5"/>
          <w:sz w:val="22"/>
        </w:rPr>
        <w:t> </w:t>
      </w:r>
      <w:r>
        <w:rPr>
          <w:sz w:val="22"/>
        </w:rPr>
        <w:t>Component)</w:t>
      </w:r>
      <w:r>
        <w:rPr>
          <w:spacing w:val="-1"/>
          <w:sz w:val="22"/>
        </w:rPr>
        <w:t> </w:t>
      </w:r>
      <w:r>
        <w:rPr>
          <w:sz w:val="22"/>
        </w:rPr>
        <w:t>+</w:t>
      </w:r>
      <w:r>
        <w:rPr>
          <w:spacing w:val="-4"/>
          <w:sz w:val="22"/>
        </w:rPr>
        <w:t> </w:t>
      </w:r>
      <w:r>
        <w:rPr>
          <w:sz w:val="22"/>
        </w:rPr>
        <w:t>(TCOC Component * Weight of TCOC Component) = (75% * 75%) + (80% * 25%) * 100% = 76.2%</w:t>
      </w:r>
    </w:p>
    <w:p>
      <w:pPr>
        <w:pStyle w:val="BodyText"/>
        <w:spacing w:before="2"/>
        <w:rPr>
          <w:sz w:val="11"/>
        </w:rPr>
      </w:pPr>
      <w:r>
        <w:rPr/>
        <mc:AlternateContent>
          <mc:Choice Requires="wps">
            <w:drawing>
              <wp:anchor distT="0" distB="0" distL="0" distR="0" allowOverlap="1" layoutInCell="1" locked="0" behindDoc="1" simplePos="0" relativeHeight="488020480">
                <wp:simplePos x="0" y="0"/>
                <wp:positionH relativeFrom="page">
                  <wp:posOffset>905255</wp:posOffset>
                </wp:positionH>
                <wp:positionV relativeFrom="paragraph">
                  <wp:posOffset>97119</wp:posOffset>
                </wp:positionV>
                <wp:extent cx="5953125" cy="6350"/>
                <wp:effectExtent l="0" t="0" r="0" b="0"/>
                <wp:wrapTopAndBottom/>
                <wp:docPr id="915" name="Graphic 915"/>
                <wp:cNvGraphicFramePr>
                  <a:graphicFrameLocks/>
                </wp:cNvGraphicFramePr>
                <a:graphic>
                  <a:graphicData uri="http://schemas.microsoft.com/office/word/2010/wordprocessingShape">
                    <wps:wsp>
                      <wps:cNvPr id="915" name="Graphic 915"/>
                      <wps:cNvSpPr/>
                      <wps:spPr>
                        <a:xfrm>
                          <a:off x="0" y="0"/>
                          <a:ext cx="5953125" cy="6350"/>
                        </a:xfrm>
                        <a:custGeom>
                          <a:avLst/>
                          <a:gdLst/>
                          <a:ahLst/>
                          <a:cxnLst/>
                          <a:rect l="l" t="t" r="r" b="b"/>
                          <a:pathLst>
                            <a:path w="5953125" h="6350">
                              <a:moveTo>
                                <a:pt x="5952744" y="0"/>
                              </a:moveTo>
                              <a:lnTo>
                                <a:pt x="0" y="0"/>
                              </a:lnTo>
                              <a:lnTo>
                                <a:pt x="0" y="6096"/>
                              </a:lnTo>
                              <a:lnTo>
                                <a:pt x="5952744" y="6096"/>
                              </a:lnTo>
                              <a:lnTo>
                                <a:pt x="5952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1.279999pt;margin-top:7.647192pt;width:468.72pt;height:.48pt;mso-position-horizontal-relative:page;mso-position-vertical-relative:paragraph;z-index:-15296000;mso-wrap-distance-left:0;mso-wrap-distance-right:0" id="docshape132" filled="true" fillcolor="#000000" stroked="false">
                <v:fill type="solid"/>
                <w10:wrap type="topAndBottom"/>
              </v:rect>
            </w:pict>
          </mc:Fallback>
        </mc:AlternateContent>
      </w:r>
    </w:p>
    <w:p>
      <w:pPr>
        <w:pStyle w:val="BodyText"/>
        <w:spacing w:before="9"/>
        <w:rPr>
          <w:sz w:val="27"/>
        </w:rPr>
      </w:pPr>
    </w:p>
    <w:p>
      <w:pPr>
        <w:spacing w:line="244" w:lineRule="auto" w:before="92"/>
        <w:ind w:left="1220" w:right="1095" w:firstLine="0"/>
        <w:jc w:val="both"/>
        <w:rPr>
          <w:sz w:val="22"/>
        </w:rPr>
      </w:pPr>
      <w:r>
        <w:rPr>
          <w:sz w:val="22"/>
        </w:rPr>
        <w:t>The</w:t>
      </w:r>
      <w:r>
        <w:rPr>
          <w:spacing w:val="-1"/>
          <w:sz w:val="22"/>
        </w:rPr>
        <w:t> </w:t>
      </w:r>
      <w:r>
        <w:rPr>
          <w:sz w:val="22"/>
        </w:rPr>
        <w:t>DSRIP</w:t>
      </w:r>
      <w:r>
        <w:rPr>
          <w:spacing w:val="-2"/>
          <w:sz w:val="22"/>
        </w:rPr>
        <w:t> </w:t>
      </w:r>
      <w:r>
        <w:rPr>
          <w:sz w:val="22"/>
        </w:rPr>
        <w:t>Accountability</w:t>
      </w:r>
      <w:r>
        <w:rPr>
          <w:spacing w:val="-4"/>
          <w:sz w:val="22"/>
        </w:rPr>
        <w:t> </w:t>
      </w:r>
      <w:r>
        <w:rPr>
          <w:sz w:val="22"/>
        </w:rPr>
        <w:t>Score</w:t>
      </w:r>
      <w:r>
        <w:rPr>
          <w:spacing w:val="-1"/>
          <w:sz w:val="22"/>
        </w:rPr>
        <w:t> </w:t>
      </w:r>
      <w:r>
        <w:rPr>
          <w:sz w:val="22"/>
        </w:rPr>
        <w:t>will</w:t>
      </w:r>
      <w:r>
        <w:rPr>
          <w:spacing w:val="-3"/>
          <w:sz w:val="22"/>
        </w:rPr>
        <w:t> </w:t>
      </w:r>
      <w:r>
        <w:rPr>
          <w:sz w:val="22"/>
        </w:rPr>
        <w:t>then</w:t>
      </w:r>
      <w:r>
        <w:rPr>
          <w:spacing w:val="-1"/>
          <w:sz w:val="22"/>
        </w:rPr>
        <w:t> </w:t>
      </w:r>
      <w:r>
        <w:rPr>
          <w:sz w:val="22"/>
        </w:rPr>
        <w:t>be</w:t>
      </w:r>
      <w:r>
        <w:rPr>
          <w:spacing w:val="-1"/>
          <w:sz w:val="22"/>
        </w:rPr>
        <w:t> </w:t>
      </w:r>
      <w:r>
        <w:rPr>
          <w:sz w:val="22"/>
        </w:rPr>
        <w:t>applied</w:t>
      </w:r>
      <w:r>
        <w:rPr>
          <w:spacing w:val="-1"/>
          <w:sz w:val="22"/>
        </w:rPr>
        <w:t> </w:t>
      </w:r>
      <w:r>
        <w:rPr>
          <w:sz w:val="22"/>
        </w:rPr>
        <w:t>to</w:t>
      </w:r>
      <w:r>
        <w:rPr>
          <w:spacing w:val="-1"/>
          <w:sz w:val="22"/>
        </w:rPr>
        <w:t> </w:t>
      </w:r>
      <w:r>
        <w:rPr>
          <w:sz w:val="22"/>
        </w:rPr>
        <w:t>the</w:t>
      </w:r>
      <w:r>
        <w:rPr>
          <w:spacing w:val="-1"/>
          <w:sz w:val="22"/>
        </w:rPr>
        <w:t> </w:t>
      </w:r>
      <w:r>
        <w:rPr>
          <w:sz w:val="22"/>
        </w:rPr>
        <w:t>ACO</w:t>
      </w:r>
      <w:r>
        <w:rPr>
          <w:spacing w:val="-2"/>
          <w:sz w:val="22"/>
        </w:rPr>
        <w:t> </w:t>
      </w:r>
      <w:r>
        <w:rPr>
          <w:sz w:val="22"/>
        </w:rPr>
        <w:t>funding</w:t>
      </w:r>
      <w:r>
        <w:rPr>
          <w:spacing w:val="-4"/>
          <w:sz w:val="22"/>
        </w:rPr>
        <w:t> </w:t>
      </w:r>
      <w:r>
        <w:rPr>
          <w:sz w:val="22"/>
        </w:rPr>
        <w:t>sub-streams</w:t>
      </w:r>
      <w:r>
        <w:rPr>
          <w:spacing w:val="-1"/>
          <w:sz w:val="22"/>
        </w:rPr>
        <w:t> </w:t>
      </w:r>
      <w:r>
        <w:rPr>
          <w:sz w:val="22"/>
        </w:rPr>
        <w:t>that have</w:t>
      </w:r>
      <w:r>
        <w:rPr>
          <w:spacing w:val="-1"/>
          <w:sz w:val="22"/>
        </w:rPr>
        <w:t> </w:t>
      </w:r>
      <w:r>
        <w:rPr>
          <w:sz w:val="22"/>
        </w:rPr>
        <w:t>a</w:t>
      </w:r>
      <w:r>
        <w:rPr>
          <w:spacing w:val="-1"/>
          <w:sz w:val="22"/>
        </w:rPr>
        <w:t> </w:t>
      </w:r>
      <w:r>
        <w:rPr>
          <w:sz w:val="22"/>
        </w:rPr>
        <w:t>portion of funds at-risk.</w:t>
      </w:r>
      <w:r>
        <w:rPr>
          <w:spacing w:val="40"/>
          <w:sz w:val="22"/>
        </w:rPr>
        <w:t> </w:t>
      </w:r>
      <w:r>
        <w:rPr>
          <w:sz w:val="22"/>
        </w:rPr>
        <w:t>Specifically:</w:t>
      </w:r>
    </w:p>
    <w:p>
      <w:pPr>
        <w:pStyle w:val="ListParagraph"/>
        <w:numPr>
          <w:ilvl w:val="0"/>
          <w:numId w:val="95"/>
        </w:numPr>
        <w:tabs>
          <w:tab w:pos="1989" w:val="left" w:leader="none"/>
        </w:tabs>
        <w:spacing w:line="269" w:lineRule="exact" w:before="152" w:after="0"/>
        <w:ind w:left="1989" w:right="0" w:hanging="359"/>
        <w:jc w:val="both"/>
        <w:rPr>
          <w:sz w:val="22"/>
        </w:rPr>
      </w:pPr>
      <w:r>
        <w:rPr>
          <w:sz w:val="22"/>
        </w:rPr>
        <w:t>ACO</w:t>
      </w:r>
      <w:r>
        <w:rPr>
          <w:spacing w:val="-4"/>
          <w:sz w:val="22"/>
        </w:rPr>
        <w:t> </w:t>
      </w:r>
      <w:r>
        <w:rPr>
          <w:sz w:val="22"/>
        </w:rPr>
        <w:t>Sub-Stream</w:t>
      </w:r>
      <w:r>
        <w:rPr>
          <w:spacing w:val="-7"/>
          <w:sz w:val="22"/>
        </w:rPr>
        <w:t> </w:t>
      </w:r>
      <w:r>
        <w:rPr>
          <w:sz w:val="22"/>
        </w:rPr>
        <w:t>#1</w:t>
      </w:r>
      <w:r>
        <w:rPr>
          <w:spacing w:val="-3"/>
          <w:sz w:val="22"/>
        </w:rPr>
        <w:t> </w:t>
      </w:r>
      <w:r>
        <w:rPr>
          <w:sz w:val="22"/>
        </w:rPr>
        <w:t>-</w:t>
      </w:r>
      <w:r>
        <w:rPr>
          <w:spacing w:val="-6"/>
          <w:sz w:val="22"/>
        </w:rPr>
        <w:t> </w:t>
      </w:r>
      <w:r>
        <w:rPr>
          <w:sz w:val="22"/>
        </w:rPr>
        <w:t>Startup/Ongoing</w:t>
      </w:r>
      <w:r>
        <w:rPr>
          <w:spacing w:val="-6"/>
          <w:sz w:val="22"/>
        </w:rPr>
        <w:t> </w:t>
      </w:r>
      <w:r>
        <w:rPr>
          <w:sz w:val="22"/>
        </w:rPr>
        <w:t>Funding</w:t>
      </w:r>
      <w:r>
        <w:rPr>
          <w:spacing w:val="-6"/>
          <w:sz w:val="22"/>
        </w:rPr>
        <w:t> </w:t>
      </w:r>
      <w:r>
        <w:rPr>
          <w:sz w:val="22"/>
        </w:rPr>
        <w:t>(Primary</w:t>
      </w:r>
      <w:r>
        <w:rPr>
          <w:spacing w:val="-5"/>
          <w:sz w:val="22"/>
        </w:rPr>
        <w:t> </w:t>
      </w:r>
      <w:r>
        <w:rPr>
          <w:sz w:val="22"/>
        </w:rPr>
        <w:t>Care):</w:t>
      </w:r>
      <w:r>
        <w:rPr>
          <w:spacing w:val="-2"/>
          <w:sz w:val="22"/>
        </w:rPr>
        <w:t> </w:t>
      </w:r>
      <w:r>
        <w:rPr>
          <w:sz w:val="22"/>
        </w:rPr>
        <w:t>No</w:t>
      </w:r>
      <w:r>
        <w:rPr>
          <w:spacing w:val="-3"/>
          <w:sz w:val="22"/>
        </w:rPr>
        <w:t> </w:t>
      </w:r>
      <w:r>
        <w:rPr>
          <w:sz w:val="22"/>
        </w:rPr>
        <w:t>at-risk</w:t>
      </w:r>
      <w:r>
        <w:rPr>
          <w:spacing w:val="-5"/>
          <w:sz w:val="22"/>
        </w:rPr>
        <w:t> </w:t>
      </w:r>
      <w:r>
        <w:rPr>
          <w:spacing w:val="-2"/>
          <w:sz w:val="22"/>
        </w:rPr>
        <w:t>funds</w:t>
      </w:r>
    </w:p>
    <w:p>
      <w:pPr>
        <w:pStyle w:val="ListParagraph"/>
        <w:numPr>
          <w:ilvl w:val="0"/>
          <w:numId w:val="95"/>
        </w:numPr>
        <w:tabs>
          <w:tab w:pos="1990" w:val="left" w:leader="none"/>
        </w:tabs>
        <w:spacing w:line="240" w:lineRule="auto" w:before="0" w:after="0"/>
        <w:ind w:left="1990" w:right="1092" w:hanging="360"/>
        <w:jc w:val="both"/>
        <w:rPr>
          <w:sz w:val="22"/>
        </w:rPr>
      </w:pPr>
      <w:r>
        <w:rPr>
          <w:sz w:val="22"/>
        </w:rPr>
        <w:t>ACO Sub-Stream #2 - Startup/Ongoing Funding (Discretionary): Portion of funds are at-risk, according</w:t>
      </w:r>
      <w:r>
        <w:rPr>
          <w:spacing w:val="-4"/>
          <w:sz w:val="22"/>
        </w:rPr>
        <w:t> </w:t>
      </w:r>
      <w:r>
        <w:rPr>
          <w:sz w:val="22"/>
        </w:rPr>
        <w:t>to</w:t>
      </w:r>
      <w:r>
        <w:rPr>
          <w:spacing w:val="-1"/>
          <w:sz w:val="22"/>
        </w:rPr>
        <w:t> </w:t>
      </w:r>
      <w:r>
        <w:rPr>
          <w:sz w:val="22"/>
        </w:rPr>
        <w:t>schedule</w:t>
      </w:r>
      <w:r>
        <w:rPr>
          <w:spacing w:val="-1"/>
          <w:sz w:val="22"/>
        </w:rPr>
        <w:t> </w:t>
      </w:r>
      <w:r>
        <w:rPr>
          <w:sz w:val="22"/>
        </w:rPr>
        <w:t>detailed</w:t>
      </w:r>
      <w:r>
        <w:rPr>
          <w:spacing w:val="-1"/>
          <w:sz w:val="22"/>
        </w:rPr>
        <w:t> </w:t>
      </w:r>
      <w:r>
        <w:rPr>
          <w:sz w:val="22"/>
        </w:rPr>
        <w:t>in</w:t>
      </w:r>
      <w:r>
        <w:rPr>
          <w:spacing w:val="-1"/>
          <w:sz w:val="22"/>
        </w:rPr>
        <w:t> </w:t>
      </w:r>
      <w:r>
        <w:rPr>
          <w:sz w:val="22"/>
        </w:rPr>
        <w:t>Exhibit 20; DSRIP Accountability</w:t>
      </w:r>
      <w:r>
        <w:rPr>
          <w:spacing w:val="-4"/>
          <w:sz w:val="22"/>
        </w:rPr>
        <w:t> </w:t>
      </w:r>
      <w:r>
        <w:rPr>
          <w:sz w:val="22"/>
        </w:rPr>
        <w:t>Score</w:t>
      </w:r>
      <w:r>
        <w:rPr>
          <w:spacing w:val="-3"/>
          <w:sz w:val="22"/>
        </w:rPr>
        <w:t> </w:t>
      </w:r>
      <w:r>
        <w:rPr>
          <w:sz w:val="22"/>
        </w:rPr>
        <w:t>is</w:t>
      </w:r>
      <w:r>
        <w:rPr>
          <w:spacing w:val="-1"/>
          <w:sz w:val="22"/>
        </w:rPr>
        <w:t> </w:t>
      </w:r>
      <w:r>
        <w:rPr>
          <w:sz w:val="22"/>
        </w:rPr>
        <w:t>multiplied</w:t>
      </w:r>
      <w:r>
        <w:rPr>
          <w:spacing w:val="-1"/>
          <w:sz w:val="22"/>
        </w:rPr>
        <w:t> </w:t>
      </w:r>
      <w:r>
        <w:rPr>
          <w:sz w:val="22"/>
        </w:rPr>
        <w:t>by</w:t>
      </w:r>
      <w:r>
        <w:rPr>
          <w:spacing w:val="-4"/>
          <w:sz w:val="22"/>
        </w:rPr>
        <w:t> </w:t>
      </w:r>
      <w:r>
        <w:rPr>
          <w:sz w:val="22"/>
        </w:rPr>
        <w:t>the</w:t>
      </w:r>
      <w:r>
        <w:rPr>
          <w:spacing w:val="-1"/>
          <w:sz w:val="22"/>
        </w:rPr>
        <w:t> </w:t>
      </w:r>
      <w:r>
        <w:rPr>
          <w:sz w:val="22"/>
        </w:rPr>
        <w:t>at- risk funding amount to determine how much is earned</w:t>
      </w:r>
    </w:p>
    <w:p>
      <w:pPr>
        <w:pStyle w:val="ListParagraph"/>
        <w:numPr>
          <w:ilvl w:val="0"/>
          <w:numId w:val="95"/>
        </w:numPr>
        <w:tabs>
          <w:tab w:pos="1989" w:val="left" w:leader="none"/>
        </w:tabs>
        <w:spacing w:line="266" w:lineRule="exact" w:before="0" w:after="0"/>
        <w:ind w:left="1989" w:right="0" w:hanging="359"/>
        <w:jc w:val="both"/>
        <w:rPr>
          <w:sz w:val="22"/>
        </w:rPr>
      </w:pPr>
      <w:r>
        <w:rPr>
          <w:sz w:val="22"/>
        </w:rPr>
        <w:t>ACO</w:t>
      </w:r>
      <w:r>
        <w:rPr>
          <w:spacing w:val="-4"/>
          <w:sz w:val="22"/>
        </w:rPr>
        <w:t> </w:t>
      </w:r>
      <w:r>
        <w:rPr>
          <w:sz w:val="22"/>
        </w:rPr>
        <w:t>Sub-Stream</w:t>
      </w:r>
      <w:r>
        <w:rPr>
          <w:spacing w:val="-6"/>
          <w:sz w:val="22"/>
        </w:rPr>
        <w:t> </w:t>
      </w:r>
      <w:r>
        <w:rPr>
          <w:sz w:val="22"/>
        </w:rPr>
        <w:t>#3</w:t>
      </w:r>
      <w:r>
        <w:rPr>
          <w:spacing w:val="-3"/>
          <w:sz w:val="22"/>
        </w:rPr>
        <w:t> </w:t>
      </w:r>
      <w:r>
        <w:rPr>
          <w:sz w:val="22"/>
        </w:rPr>
        <w:t>-</w:t>
      </w:r>
      <w:r>
        <w:rPr>
          <w:spacing w:val="-6"/>
          <w:sz w:val="22"/>
        </w:rPr>
        <w:t> </w:t>
      </w:r>
      <w:r>
        <w:rPr>
          <w:sz w:val="22"/>
        </w:rPr>
        <w:t>Flexible</w:t>
      </w:r>
      <w:r>
        <w:rPr>
          <w:spacing w:val="-3"/>
          <w:sz w:val="22"/>
        </w:rPr>
        <w:t> </w:t>
      </w:r>
      <w:r>
        <w:rPr>
          <w:sz w:val="22"/>
        </w:rPr>
        <w:t>Services</w:t>
      </w:r>
      <w:r>
        <w:rPr>
          <w:spacing w:val="-2"/>
          <w:sz w:val="22"/>
        </w:rPr>
        <w:t> </w:t>
      </w:r>
      <w:r>
        <w:rPr>
          <w:sz w:val="22"/>
        </w:rPr>
        <w:t>Funding:</w:t>
      </w:r>
      <w:r>
        <w:rPr>
          <w:spacing w:val="-2"/>
          <w:sz w:val="22"/>
        </w:rPr>
        <w:t> </w:t>
      </w:r>
      <w:r>
        <w:rPr>
          <w:sz w:val="22"/>
        </w:rPr>
        <w:t>No</w:t>
      </w:r>
      <w:r>
        <w:rPr>
          <w:spacing w:val="-5"/>
          <w:sz w:val="22"/>
        </w:rPr>
        <w:t> </w:t>
      </w:r>
      <w:r>
        <w:rPr>
          <w:sz w:val="22"/>
        </w:rPr>
        <w:t>at-risk</w:t>
      </w:r>
      <w:r>
        <w:rPr>
          <w:spacing w:val="-5"/>
          <w:sz w:val="22"/>
        </w:rPr>
        <w:t> </w:t>
      </w:r>
      <w:r>
        <w:rPr>
          <w:spacing w:val="-2"/>
          <w:sz w:val="22"/>
        </w:rPr>
        <w:t>funds</w:t>
      </w:r>
    </w:p>
    <w:p>
      <w:pPr>
        <w:pStyle w:val="ListParagraph"/>
        <w:numPr>
          <w:ilvl w:val="0"/>
          <w:numId w:val="95"/>
        </w:numPr>
        <w:tabs>
          <w:tab w:pos="1989" w:val="left" w:leader="none"/>
        </w:tabs>
        <w:spacing w:line="240" w:lineRule="auto" w:before="0" w:after="0"/>
        <w:ind w:left="1989" w:right="1093" w:hanging="360"/>
        <w:jc w:val="both"/>
        <w:rPr>
          <w:sz w:val="22"/>
        </w:rPr>
      </w:pPr>
      <w:r>
        <w:rPr>
          <w:sz w:val="22"/>
        </w:rPr>
        <w:t>ACO Sub-Stream #4 - DSTI Glide Path Funding: Portion of funds are at-risk, according to schedule detailed in Exhibit 20; DSRIP Accountability Score is multiplied by the at-risk funding amount to determine how much is earned</w:t>
      </w:r>
    </w:p>
    <w:p>
      <w:pPr>
        <w:pStyle w:val="ListParagraph"/>
        <w:numPr>
          <w:ilvl w:val="2"/>
          <w:numId w:val="77"/>
        </w:numPr>
        <w:tabs>
          <w:tab w:pos="1938" w:val="left" w:leader="none"/>
        </w:tabs>
        <w:spacing w:line="240" w:lineRule="auto" w:before="199" w:after="0"/>
        <w:ind w:left="1938" w:right="0" w:hanging="719"/>
        <w:jc w:val="both"/>
        <w:rPr>
          <w:b/>
          <w:color w:val="4471C4"/>
          <w:sz w:val="22"/>
        </w:rPr>
      </w:pPr>
      <w:bookmarkStart w:name="5.3.4 Process, Roles, and Responsibiliti" w:id="1402"/>
      <w:bookmarkEnd w:id="1402"/>
      <w:r>
        <w:rPr/>
      </w:r>
      <w:bookmarkStart w:name="_bookmark84" w:id="1403"/>
      <w:bookmarkEnd w:id="1403"/>
      <w:r>
        <w:rPr/>
      </w:r>
      <w:r>
        <w:rPr>
          <w:b/>
          <w:color w:val="4471C4"/>
          <w:sz w:val="22"/>
        </w:rPr>
        <w:t>Process,</w:t>
      </w:r>
      <w:r>
        <w:rPr>
          <w:b/>
          <w:color w:val="4471C4"/>
          <w:spacing w:val="-6"/>
          <w:sz w:val="22"/>
        </w:rPr>
        <w:t> </w:t>
      </w:r>
      <w:r>
        <w:rPr>
          <w:b/>
          <w:color w:val="4471C4"/>
          <w:sz w:val="22"/>
        </w:rPr>
        <w:t>Roles,</w:t>
      </w:r>
      <w:r>
        <w:rPr>
          <w:b/>
          <w:color w:val="4471C4"/>
          <w:spacing w:val="-5"/>
          <w:sz w:val="22"/>
        </w:rPr>
        <w:t> </w:t>
      </w:r>
      <w:r>
        <w:rPr>
          <w:b/>
          <w:color w:val="4471C4"/>
          <w:sz w:val="22"/>
        </w:rPr>
        <w:t>and</w:t>
      </w:r>
      <w:r>
        <w:rPr>
          <w:b/>
          <w:color w:val="4471C4"/>
          <w:spacing w:val="-6"/>
          <w:sz w:val="22"/>
        </w:rPr>
        <w:t> </w:t>
      </w:r>
      <w:r>
        <w:rPr>
          <w:b/>
          <w:color w:val="4471C4"/>
          <w:sz w:val="22"/>
        </w:rPr>
        <w:t>Responsibilities</w:t>
      </w:r>
      <w:r>
        <w:rPr>
          <w:b/>
          <w:color w:val="4471C4"/>
          <w:spacing w:val="-7"/>
          <w:sz w:val="22"/>
        </w:rPr>
        <w:t> </w:t>
      </w:r>
      <w:r>
        <w:rPr>
          <w:b/>
          <w:color w:val="4471C4"/>
          <w:sz w:val="22"/>
        </w:rPr>
        <w:t>for</w:t>
      </w:r>
      <w:r>
        <w:rPr>
          <w:b/>
          <w:color w:val="4471C4"/>
          <w:spacing w:val="-7"/>
          <w:sz w:val="22"/>
        </w:rPr>
        <w:t> </w:t>
      </w:r>
      <w:r>
        <w:rPr>
          <w:b/>
          <w:color w:val="4471C4"/>
          <w:sz w:val="22"/>
        </w:rPr>
        <w:t>calculating</w:t>
      </w:r>
      <w:r>
        <w:rPr>
          <w:b/>
          <w:color w:val="4471C4"/>
          <w:spacing w:val="-8"/>
          <w:sz w:val="22"/>
        </w:rPr>
        <w:t> </w:t>
      </w:r>
      <w:r>
        <w:rPr>
          <w:b/>
          <w:color w:val="4471C4"/>
          <w:sz w:val="22"/>
        </w:rPr>
        <w:t>the</w:t>
      </w:r>
      <w:r>
        <w:rPr>
          <w:b/>
          <w:color w:val="4471C4"/>
          <w:spacing w:val="-5"/>
          <w:sz w:val="22"/>
        </w:rPr>
        <w:t> </w:t>
      </w:r>
      <w:r>
        <w:rPr>
          <w:b/>
          <w:color w:val="4471C4"/>
          <w:sz w:val="22"/>
        </w:rPr>
        <w:t>ACO</w:t>
      </w:r>
      <w:r>
        <w:rPr>
          <w:b/>
          <w:color w:val="4471C4"/>
          <w:spacing w:val="-5"/>
          <w:sz w:val="22"/>
        </w:rPr>
        <w:t> </w:t>
      </w:r>
      <w:r>
        <w:rPr>
          <w:b/>
          <w:color w:val="4471C4"/>
          <w:sz w:val="22"/>
        </w:rPr>
        <w:t>DSRIP</w:t>
      </w:r>
      <w:r>
        <w:rPr>
          <w:b/>
          <w:color w:val="4471C4"/>
          <w:spacing w:val="-3"/>
          <w:sz w:val="22"/>
        </w:rPr>
        <w:t> </w:t>
      </w:r>
      <w:r>
        <w:rPr>
          <w:b/>
          <w:color w:val="4471C4"/>
          <w:sz w:val="22"/>
        </w:rPr>
        <w:t>Accountability</w:t>
      </w:r>
      <w:r>
        <w:rPr>
          <w:b/>
          <w:color w:val="4471C4"/>
          <w:spacing w:val="-5"/>
          <w:sz w:val="22"/>
        </w:rPr>
        <w:t> </w:t>
      </w:r>
      <w:r>
        <w:rPr>
          <w:b/>
          <w:color w:val="4471C4"/>
          <w:spacing w:val="-2"/>
          <w:sz w:val="22"/>
        </w:rPr>
        <w:t>Score</w:t>
      </w:r>
    </w:p>
    <w:p>
      <w:pPr>
        <w:pStyle w:val="ListParagraph"/>
        <w:numPr>
          <w:ilvl w:val="3"/>
          <w:numId w:val="77"/>
        </w:numPr>
        <w:tabs>
          <w:tab w:pos="1938" w:val="left" w:leader="none"/>
        </w:tabs>
        <w:spacing w:line="252" w:lineRule="exact" w:before="201" w:after="0"/>
        <w:ind w:left="1938" w:right="0" w:hanging="719"/>
        <w:jc w:val="both"/>
        <w:rPr>
          <w:b/>
          <w:i/>
          <w:color w:val="4471C4"/>
          <w:sz w:val="22"/>
        </w:rPr>
      </w:pPr>
      <w:bookmarkStart w:name="5.3.4.1 Roles and responsibilities" w:id="1404"/>
      <w:bookmarkEnd w:id="1404"/>
      <w:r>
        <w:rPr/>
      </w:r>
      <w:r>
        <w:rPr>
          <w:b/>
          <w:i/>
          <w:color w:val="4471C4"/>
          <w:sz w:val="22"/>
        </w:rPr>
        <w:t>Roles</w:t>
      </w:r>
      <w:r>
        <w:rPr>
          <w:b/>
          <w:i/>
          <w:color w:val="4471C4"/>
          <w:spacing w:val="-2"/>
          <w:sz w:val="22"/>
        </w:rPr>
        <w:t> </w:t>
      </w:r>
      <w:r>
        <w:rPr>
          <w:b/>
          <w:i/>
          <w:color w:val="4471C4"/>
          <w:sz w:val="22"/>
        </w:rPr>
        <w:t>and</w:t>
      </w:r>
      <w:r>
        <w:rPr>
          <w:b/>
          <w:i/>
          <w:color w:val="4471C4"/>
          <w:spacing w:val="-2"/>
          <w:sz w:val="22"/>
        </w:rPr>
        <w:t> responsibilities</w:t>
      </w:r>
    </w:p>
    <w:p>
      <w:pPr>
        <w:spacing w:line="240" w:lineRule="auto" w:before="0"/>
        <w:ind w:left="1219" w:right="1091" w:firstLine="0"/>
        <w:jc w:val="both"/>
        <w:rPr>
          <w:sz w:val="22"/>
        </w:rPr>
      </w:pPr>
      <w:r>
        <w:rPr>
          <w:sz w:val="22"/>
        </w:rPr>
        <w:t>The State will be responsible for establishing the elements that comprise the ACO DSRIP Accountability Score, including its Quality Measures, the specifications for each Quality Measure, the data sources for calculating the Quality Measures, the methodology for setting the Attainment Threshold and Goal Benchmark</w:t>
      </w:r>
      <w:r>
        <w:rPr>
          <w:spacing w:val="-2"/>
          <w:sz w:val="22"/>
        </w:rPr>
        <w:t> </w:t>
      </w:r>
      <w:r>
        <w:rPr>
          <w:sz w:val="22"/>
        </w:rPr>
        <w:t>for each</w:t>
      </w:r>
      <w:r>
        <w:rPr>
          <w:spacing w:val="-2"/>
          <w:sz w:val="22"/>
        </w:rPr>
        <w:t> </w:t>
      </w:r>
      <w:r>
        <w:rPr>
          <w:sz w:val="22"/>
        </w:rPr>
        <w:t>Quality</w:t>
      </w:r>
      <w:r>
        <w:rPr>
          <w:spacing w:val="-2"/>
          <w:sz w:val="22"/>
        </w:rPr>
        <w:t> </w:t>
      </w:r>
      <w:r>
        <w:rPr>
          <w:sz w:val="22"/>
        </w:rPr>
        <w:t>Measure</w:t>
      </w:r>
      <w:r>
        <w:rPr>
          <w:spacing w:val="-2"/>
          <w:sz w:val="22"/>
        </w:rPr>
        <w:t> </w:t>
      </w:r>
      <w:r>
        <w:rPr>
          <w:sz w:val="22"/>
        </w:rPr>
        <w:t>(where applicable) and</w:t>
      </w:r>
      <w:r>
        <w:rPr>
          <w:spacing w:val="-2"/>
          <w:sz w:val="22"/>
        </w:rPr>
        <w:t> </w:t>
      </w:r>
      <w:r>
        <w:rPr>
          <w:sz w:val="22"/>
        </w:rPr>
        <w:t>the values</w:t>
      </w:r>
      <w:r>
        <w:rPr>
          <w:spacing w:val="-2"/>
          <w:sz w:val="22"/>
        </w:rPr>
        <w:t> </w:t>
      </w:r>
      <w:r>
        <w:rPr>
          <w:sz w:val="22"/>
        </w:rPr>
        <w:t>of</w:t>
      </w:r>
      <w:r>
        <w:rPr>
          <w:spacing w:val="-1"/>
          <w:sz w:val="22"/>
        </w:rPr>
        <w:t> </w:t>
      </w:r>
      <w:r>
        <w:rPr>
          <w:sz w:val="22"/>
        </w:rPr>
        <w:t>the</w:t>
      </w:r>
      <w:r>
        <w:rPr>
          <w:spacing w:val="-2"/>
          <w:sz w:val="22"/>
        </w:rPr>
        <w:t> </w:t>
      </w:r>
      <w:r>
        <w:rPr>
          <w:sz w:val="22"/>
        </w:rPr>
        <w:t>thresholds and benchmarks themselves. This sub-section 5.3.4.1 details the roles and responsibilities of the State, the State’s DSRIP Quality Advisory Committee, and CMS with respect to these elements.</w:t>
      </w:r>
    </w:p>
    <w:p>
      <w:pPr>
        <w:pStyle w:val="ListParagraph"/>
        <w:numPr>
          <w:ilvl w:val="3"/>
          <w:numId w:val="77"/>
        </w:numPr>
        <w:tabs>
          <w:tab w:pos="1938" w:val="left" w:leader="none"/>
        </w:tabs>
        <w:spacing w:line="252" w:lineRule="exact" w:before="199" w:after="0"/>
        <w:ind w:left="1938" w:right="0" w:hanging="719"/>
        <w:jc w:val="both"/>
        <w:rPr>
          <w:b/>
          <w:i/>
          <w:color w:val="4471C4"/>
          <w:sz w:val="22"/>
        </w:rPr>
      </w:pPr>
      <w:bookmarkStart w:name="5.3.4.2 The State" w:id="1405"/>
      <w:bookmarkEnd w:id="1405"/>
      <w:r>
        <w:rPr/>
      </w:r>
      <w:r>
        <w:rPr>
          <w:b/>
          <w:i/>
          <w:color w:val="4471C4"/>
          <w:sz w:val="22"/>
        </w:rPr>
        <w:t>The</w:t>
      </w:r>
      <w:r>
        <w:rPr>
          <w:b/>
          <w:i/>
          <w:color w:val="4471C4"/>
          <w:spacing w:val="-4"/>
          <w:sz w:val="22"/>
        </w:rPr>
        <w:t> </w:t>
      </w:r>
      <w:r>
        <w:rPr>
          <w:b/>
          <w:i/>
          <w:color w:val="4471C4"/>
          <w:spacing w:val="-2"/>
          <w:sz w:val="22"/>
        </w:rPr>
        <w:t>State</w:t>
      </w:r>
    </w:p>
    <w:p>
      <w:pPr>
        <w:spacing w:line="240" w:lineRule="auto" w:before="0"/>
        <w:ind w:left="1219" w:right="1093" w:firstLine="0"/>
        <w:jc w:val="both"/>
        <w:rPr>
          <w:sz w:val="22"/>
        </w:rPr>
      </w:pPr>
      <w:r>
        <w:rPr>
          <w:sz w:val="22"/>
        </w:rPr>
        <w:t>The State will establish the elements that comprise the ACO DSRIP Accountability Score, based on the advice of the DSRIP Advisory</w:t>
      </w:r>
      <w:r>
        <w:rPr>
          <w:spacing w:val="-1"/>
          <w:sz w:val="22"/>
        </w:rPr>
        <w:t> </w:t>
      </w:r>
      <w:r>
        <w:rPr>
          <w:sz w:val="22"/>
        </w:rPr>
        <w:t>Committee on Quality as described in</w:t>
      </w:r>
      <w:r>
        <w:rPr>
          <w:spacing w:val="-1"/>
          <w:sz w:val="22"/>
        </w:rPr>
        <w:t> </w:t>
      </w:r>
      <w:r>
        <w:rPr>
          <w:sz w:val="22"/>
        </w:rPr>
        <w:t>this Protocol (see Section 6.2.1). By August 2017, the State will submit the Quality Measure slate and specifications, the benchmark sources, and performance thresholds (i.e., Attainment Thresholds and Goal Benchmarks) to CMS for review and </w:t>
      </w:r>
      <w:r>
        <w:rPr>
          <w:spacing w:val="-2"/>
          <w:sz w:val="22"/>
        </w:rPr>
        <w:t>approval.</w:t>
      </w:r>
    </w:p>
    <w:p>
      <w:pPr>
        <w:spacing w:before="160"/>
        <w:ind w:left="1219" w:right="1094" w:firstLine="0"/>
        <w:jc w:val="both"/>
        <w:rPr>
          <w:sz w:val="22"/>
        </w:rPr>
      </w:pPr>
      <w:r>
        <w:rPr>
          <w:sz w:val="22"/>
        </w:rPr>
        <w:t>The State may</w:t>
      </w:r>
      <w:r>
        <w:rPr>
          <w:spacing w:val="-2"/>
          <w:sz w:val="22"/>
        </w:rPr>
        <w:t> </w:t>
      </w:r>
      <w:r>
        <w:rPr>
          <w:sz w:val="22"/>
        </w:rPr>
        <w:t>request modification to any</w:t>
      </w:r>
      <w:r>
        <w:rPr>
          <w:spacing w:val="-2"/>
          <w:sz w:val="22"/>
        </w:rPr>
        <w:t> </w:t>
      </w:r>
      <w:r>
        <w:rPr>
          <w:sz w:val="22"/>
        </w:rPr>
        <w:t>element that comprises the ACO</w:t>
      </w:r>
      <w:r>
        <w:rPr>
          <w:spacing w:val="-1"/>
          <w:sz w:val="22"/>
        </w:rPr>
        <w:t> </w:t>
      </w:r>
      <w:r>
        <w:rPr>
          <w:sz w:val="22"/>
        </w:rPr>
        <w:t>DSRIP Accountability</w:t>
      </w:r>
      <w:r>
        <w:rPr>
          <w:spacing w:val="-2"/>
          <w:sz w:val="22"/>
        </w:rPr>
        <w:t> </w:t>
      </w:r>
      <w:r>
        <w:rPr>
          <w:sz w:val="22"/>
        </w:rPr>
        <w:t>Score, based on its own assessment or on the recommendation of the State’s DSRIP Advisory Committee on Quality.</w:t>
      </w:r>
      <w:r>
        <w:rPr>
          <w:spacing w:val="-1"/>
          <w:sz w:val="22"/>
        </w:rPr>
        <w:t> </w:t>
      </w:r>
      <w:r>
        <w:rPr>
          <w:sz w:val="22"/>
        </w:rPr>
        <w:t>In</w:t>
      </w:r>
      <w:r>
        <w:rPr>
          <w:spacing w:val="-2"/>
          <w:sz w:val="22"/>
        </w:rPr>
        <w:t> </w:t>
      </w:r>
      <w:r>
        <w:rPr>
          <w:sz w:val="22"/>
        </w:rPr>
        <w:t>the</w:t>
      </w:r>
      <w:r>
        <w:rPr>
          <w:spacing w:val="-2"/>
          <w:sz w:val="22"/>
        </w:rPr>
        <w:t> </w:t>
      </w:r>
      <w:r>
        <w:rPr>
          <w:sz w:val="22"/>
        </w:rPr>
        <w:t>event</w:t>
      </w:r>
      <w:r>
        <w:rPr>
          <w:spacing w:val="-1"/>
          <w:sz w:val="22"/>
        </w:rPr>
        <w:t> </w:t>
      </w:r>
      <w:r>
        <w:rPr>
          <w:sz w:val="22"/>
        </w:rPr>
        <w:t>that</w:t>
      </w:r>
      <w:r>
        <w:rPr>
          <w:spacing w:val="-4"/>
          <w:sz w:val="22"/>
        </w:rPr>
        <w:t> </w:t>
      </w:r>
      <w:r>
        <w:rPr>
          <w:sz w:val="22"/>
        </w:rPr>
        <w:t>the</w:t>
      </w:r>
      <w:r>
        <w:rPr>
          <w:spacing w:val="-3"/>
          <w:sz w:val="22"/>
        </w:rPr>
        <w:t> </w:t>
      </w:r>
      <w:r>
        <w:rPr>
          <w:sz w:val="22"/>
        </w:rPr>
        <w:t>State</w:t>
      </w:r>
      <w:r>
        <w:rPr>
          <w:spacing w:val="-2"/>
          <w:sz w:val="22"/>
        </w:rPr>
        <w:t> </w:t>
      </w:r>
      <w:r>
        <w:rPr>
          <w:sz w:val="22"/>
        </w:rPr>
        <w:t>wishes</w:t>
      </w:r>
      <w:r>
        <w:rPr>
          <w:spacing w:val="-2"/>
          <w:sz w:val="22"/>
        </w:rPr>
        <w:t> </w:t>
      </w:r>
      <w:r>
        <w:rPr>
          <w:sz w:val="22"/>
        </w:rPr>
        <w:t>to</w:t>
      </w:r>
      <w:r>
        <w:rPr>
          <w:spacing w:val="-2"/>
          <w:sz w:val="22"/>
        </w:rPr>
        <w:t> </w:t>
      </w:r>
      <w:r>
        <w:rPr>
          <w:sz w:val="22"/>
        </w:rPr>
        <w:t>change</w:t>
      </w:r>
      <w:r>
        <w:rPr>
          <w:spacing w:val="-2"/>
          <w:sz w:val="22"/>
        </w:rPr>
        <w:t> </w:t>
      </w:r>
      <w:r>
        <w:rPr>
          <w:sz w:val="22"/>
        </w:rPr>
        <w:t>a</w:t>
      </w:r>
      <w:r>
        <w:rPr>
          <w:spacing w:val="-2"/>
          <w:sz w:val="22"/>
        </w:rPr>
        <w:t> </w:t>
      </w:r>
      <w:r>
        <w:rPr>
          <w:sz w:val="22"/>
        </w:rPr>
        <w:t>previously</w:t>
      </w:r>
      <w:r>
        <w:rPr>
          <w:spacing w:val="-5"/>
          <w:sz w:val="22"/>
        </w:rPr>
        <w:t> </w:t>
      </w:r>
      <w:r>
        <w:rPr>
          <w:sz w:val="22"/>
        </w:rPr>
        <w:t>approved</w:t>
      </w:r>
      <w:r>
        <w:rPr>
          <w:spacing w:val="-3"/>
          <w:sz w:val="22"/>
        </w:rPr>
        <w:t> </w:t>
      </w:r>
      <w:r>
        <w:rPr>
          <w:sz w:val="22"/>
        </w:rPr>
        <w:t>element</w:t>
      </w:r>
      <w:r>
        <w:rPr>
          <w:spacing w:val="-1"/>
          <w:sz w:val="22"/>
        </w:rPr>
        <w:t> </w:t>
      </w:r>
      <w:r>
        <w:rPr>
          <w:sz w:val="22"/>
        </w:rPr>
        <w:t>that</w:t>
      </w:r>
      <w:r>
        <w:rPr>
          <w:spacing w:val="-1"/>
          <w:sz w:val="22"/>
        </w:rPr>
        <w:t> </w:t>
      </w:r>
      <w:r>
        <w:rPr>
          <w:sz w:val="22"/>
        </w:rPr>
        <w:t>is</w:t>
      </w:r>
      <w:r>
        <w:rPr>
          <w:spacing w:val="-2"/>
          <w:sz w:val="22"/>
        </w:rPr>
        <w:t> </w:t>
      </w:r>
      <w:r>
        <w:rPr>
          <w:sz w:val="22"/>
        </w:rPr>
        <w:t>a</w:t>
      </w:r>
      <w:r>
        <w:rPr>
          <w:spacing w:val="-2"/>
          <w:sz w:val="22"/>
        </w:rPr>
        <w:t> </w:t>
      </w:r>
      <w:r>
        <w:rPr>
          <w:sz w:val="22"/>
        </w:rPr>
        <w:t>component</w:t>
      </w:r>
      <w:r>
        <w:rPr>
          <w:spacing w:val="-1"/>
          <w:sz w:val="22"/>
        </w:rPr>
        <w:t> </w:t>
      </w:r>
      <w:r>
        <w:rPr>
          <w:spacing w:val="-5"/>
          <w:sz w:val="22"/>
        </w:rPr>
        <w:t>of</w:t>
      </w:r>
    </w:p>
    <w:p>
      <w:pPr>
        <w:spacing w:after="0"/>
        <w:jc w:val="both"/>
        <w:rPr>
          <w:sz w:val="22"/>
        </w:rPr>
        <w:sectPr>
          <w:pgSz w:w="12240" w:h="15840"/>
          <w:pgMar w:header="0" w:footer="967" w:top="1360" w:bottom="1160" w:left="220" w:right="340"/>
        </w:sectPr>
      </w:pPr>
    </w:p>
    <w:p>
      <w:pPr>
        <w:spacing w:before="78"/>
        <w:ind w:left="1219" w:right="1095" w:firstLine="0"/>
        <w:jc w:val="both"/>
        <w:rPr>
          <w:sz w:val="22"/>
        </w:rPr>
      </w:pPr>
      <w:r>
        <w:rPr>
          <w:sz w:val="22"/>
        </w:rPr>
        <w:t>the</w:t>
      </w:r>
      <w:r>
        <w:rPr>
          <w:spacing w:val="-8"/>
          <w:sz w:val="22"/>
        </w:rPr>
        <w:t> </w:t>
      </w:r>
      <w:r>
        <w:rPr>
          <w:sz w:val="22"/>
        </w:rPr>
        <w:t>ACO</w:t>
      </w:r>
      <w:r>
        <w:rPr>
          <w:spacing w:val="-10"/>
          <w:sz w:val="22"/>
        </w:rPr>
        <w:t> </w:t>
      </w:r>
      <w:r>
        <w:rPr>
          <w:sz w:val="22"/>
        </w:rPr>
        <w:t>DSRIP</w:t>
      </w:r>
      <w:r>
        <w:rPr>
          <w:spacing w:val="-6"/>
          <w:sz w:val="22"/>
        </w:rPr>
        <w:t> </w:t>
      </w:r>
      <w:r>
        <w:rPr>
          <w:sz w:val="22"/>
        </w:rPr>
        <w:t>Accountability</w:t>
      </w:r>
      <w:r>
        <w:rPr>
          <w:spacing w:val="-11"/>
          <w:sz w:val="22"/>
        </w:rPr>
        <w:t> </w:t>
      </w:r>
      <w:r>
        <w:rPr>
          <w:sz w:val="22"/>
        </w:rPr>
        <w:t>Score,</w:t>
      </w:r>
      <w:r>
        <w:rPr>
          <w:spacing w:val="-11"/>
          <w:sz w:val="22"/>
        </w:rPr>
        <w:t> </w:t>
      </w:r>
      <w:r>
        <w:rPr>
          <w:sz w:val="22"/>
        </w:rPr>
        <w:t>the</w:t>
      </w:r>
      <w:r>
        <w:rPr>
          <w:spacing w:val="-8"/>
          <w:sz w:val="22"/>
        </w:rPr>
        <w:t> </w:t>
      </w:r>
      <w:r>
        <w:rPr>
          <w:sz w:val="22"/>
        </w:rPr>
        <w:t>State</w:t>
      </w:r>
      <w:r>
        <w:rPr>
          <w:spacing w:val="-8"/>
          <w:sz w:val="22"/>
        </w:rPr>
        <w:t> </w:t>
      </w:r>
      <w:r>
        <w:rPr>
          <w:sz w:val="22"/>
        </w:rPr>
        <w:t>will</w:t>
      </w:r>
      <w:r>
        <w:rPr>
          <w:spacing w:val="-8"/>
          <w:sz w:val="22"/>
        </w:rPr>
        <w:t> </w:t>
      </w:r>
      <w:r>
        <w:rPr>
          <w:sz w:val="22"/>
        </w:rPr>
        <w:t>submit</w:t>
      </w:r>
      <w:r>
        <w:rPr>
          <w:spacing w:val="-8"/>
          <w:sz w:val="22"/>
        </w:rPr>
        <w:t> </w:t>
      </w:r>
      <w:r>
        <w:rPr>
          <w:sz w:val="22"/>
        </w:rPr>
        <w:t>a</w:t>
      </w:r>
      <w:r>
        <w:rPr>
          <w:spacing w:val="-8"/>
          <w:sz w:val="22"/>
        </w:rPr>
        <w:t> </w:t>
      </w:r>
      <w:r>
        <w:rPr>
          <w:sz w:val="22"/>
        </w:rPr>
        <w:t>formal,</w:t>
      </w:r>
      <w:r>
        <w:rPr>
          <w:spacing w:val="-9"/>
          <w:sz w:val="22"/>
        </w:rPr>
        <w:t> </w:t>
      </w:r>
      <w:r>
        <w:rPr>
          <w:sz w:val="22"/>
        </w:rPr>
        <w:t>written</w:t>
      </w:r>
      <w:r>
        <w:rPr>
          <w:spacing w:val="-9"/>
          <w:sz w:val="22"/>
        </w:rPr>
        <w:t> </w:t>
      </w:r>
      <w:r>
        <w:rPr>
          <w:sz w:val="22"/>
        </w:rPr>
        <w:t>modification</w:t>
      </w:r>
      <w:r>
        <w:rPr>
          <w:spacing w:val="-9"/>
          <w:sz w:val="22"/>
        </w:rPr>
        <w:t> </w:t>
      </w:r>
      <w:r>
        <w:rPr>
          <w:sz w:val="22"/>
        </w:rPr>
        <w:t>request</w:t>
      </w:r>
      <w:r>
        <w:rPr>
          <w:spacing w:val="-8"/>
          <w:sz w:val="22"/>
        </w:rPr>
        <w:t> </w:t>
      </w:r>
      <w:r>
        <w:rPr>
          <w:sz w:val="22"/>
        </w:rPr>
        <w:t>to</w:t>
      </w:r>
      <w:r>
        <w:rPr>
          <w:spacing w:val="-9"/>
          <w:sz w:val="22"/>
        </w:rPr>
        <w:t> </w:t>
      </w:r>
      <w:r>
        <w:rPr>
          <w:sz w:val="22"/>
        </w:rPr>
        <w:t>CMS for review and approval. CMS will have 90 calendar days to review and approve.</w:t>
      </w:r>
    </w:p>
    <w:p>
      <w:pPr>
        <w:spacing w:before="159"/>
        <w:ind w:left="1219" w:right="1093" w:firstLine="0"/>
        <w:jc w:val="both"/>
        <w:rPr>
          <w:sz w:val="22"/>
        </w:rPr>
      </w:pPr>
      <w:r>
        <w:rPr>
          <w:sz w:val="22"/>
        </w:rPr>
        <w:t>As part of its program management and contract oversight processes, the State will establish a structured process for ACOs to seek clarification on or request revisions to certain aspects of their ACO DSRIP Accountability Scores (e.g., if an ACO seeks clarification on the inclusion of certain members in the denominator for a Quality Measure’s performance score). Each ACO will identify a key contact, responsible</w:t>
      </w:r>
      <w:r>
        <w:rPr>
          <w:spacing w:val="-4"/>
          <w:sz w:val="22"/>
        </w:rPr>
        <w:t> </w:t>
      </w:r>
      <w:r>
        <w:rPr>
          <w:sz w:val="22"/>
        </w:rPr>
        <w:t>for</w:t>
      </w:r>
      <w:r>
        <w:rPr>
          <w:spacing w:val="-1"/>
          <w:sz w:val="22"/>
        </w:rPr>
        <w:t> </w:t>
      </w:r>
      <w:r>
        <w:rPr>
          <w:sz w:val="22"/>
        </w:rPr>
        <w:t>raising</w:t>
      </w:r>
      <w:r>
        <w:rPr>
          <w:spacing w:val="-4"/>
          <w:sz w:val="22"/>
        </w:rPr>
        <w:t> </w:t>
      </w:r>
      <w:r>
        <w:rPr>
          <w:sz w:val="22"/>
        </w:rPr>
        <w:t>such</w:t>
      </w:r>
      <w:r>
        <w:rPr>
          <w:spacing w:val="-4"/>
          <w:sz w:val="22"/>
        </w:rPr>
        <w:t> </w:t>
      </w:r>
      <w:r>
        <w:rPr>
          <w:sz w:val="22"/>
        </w:rPr>
        <w:t>issues</w:t>
      </w:r>
      <w:r>
        <w:rPr>
          <w:spacing w:val="-4"/>
          <w:sz w:val="22"/>
        </w:rPr>
        <w:t> </w:t>
      </w:r>
      <w:r>
        <w:rPr>
          <w:sz w:val="22"/>
        </w:rPr>
        <w:t>to</w:t>
      </w:r>
      <w:r>
        <w:rPr>
          <w:spacing w:val="-2"/>
          <w:sz w:val="22"/>
        </w:rPr>
        <w:t> </w:t>
      </w:r>
      <w:r>
        <w:rPr>
          <w:sz w:val="22"/>
        </w:rPr>
        <w:t>the</w:t>
      </w:r>
      <w:r>
        <w:rPr>
          <w:spacing w:val="-2"/>
          <w:sz w:val="22"/>
        </w:rPr>
        <w:t> </w:t>
      </w:r>
      <w:r>
        <w:rPr>
          <w:sz w:val="22"/>
        </w:rPr>
        <w:t>State</w:t>
      </w:r>
      <w:r>
        <w:rPr>
          <w:spacing w:val="-2"/>
          <w:sz w:val="22"/>
        </w:rPr>
        <w:t> </w:t>
      </w:r>
      <w:r>
        <w:rPr>
          <w:sz w:val="22"/>
        </w:rPr>
        <w:t>and</w:t>
      </w:r>
      <w:r>
        <w:rPr>
          <w:spacing w:val="-4"/>
          <w:sz w:val="22"/>
        </w:rPr>
        <w:t> </w:t>
      </w:r>
      <w:r>
        <w:rPr>
          <w:sz w:val="22"/>
        </w:rPr>
        <w:t>working</w:t>
      </w:r>
      <w:r>
        <w:rPr>
          <w:spacing w:val="-4"/>
          <w:sz w:val="22"/>
        </w:rPr>
        <w:t> </w:t>
      </w:r>
      <w:r>
        <w:rPr>
          <w:sz w:val="22"/>
        </w:rPr>
        <w:t>with</w:t>
      </w:r>
      <w:r>
        <w:rPr>
          <w:spacing w:val="-2"/>
          <w:sz w:val="22"/>
        </w:rPr>
        <w:t> </w:t>
      </w:r>
      <w:r>
        <w:rPr>
          <w:sz w:val="22"/>
        </w:rPr>
        <w:t>the</w:t>
      </w:r>
      <w:r>
        <w:rPr>
          <w:spacing w:val="-4"/>
          <w:sz w:val="22"/>
        </w:rPr>
        <w:t> </w:t>
      </w:r>
      <w:r>
        <w:rPr>
          <w:sz w:val="22"/>
        </w:rPr>
        <w:t>appropriate</w:t>
      </w:r>
      <w:r>
        <w:rPr>
          <w:spacing w:val="-2"/>
          <w:sz w:val="22"/>
        </w:rPr>
        <w:t> </w:t>
      </w:r>
      <w:r>
        <w:rPr>
          <w:sz w:val="22"/>
        </w:rPr>
        <w:t>State</w:t>
      </w:r>
      <w:r>
        <w:rPr>
          <w:spacing w:val="-2"/>
          <w:sz w:val="22"/>
        </w:rPr>
        <w:t> </w:t>
      </w:r>
      <w:r>
        <w:rPr>
          <w:sz w:val="22"/>
        </w:rPr>
        <w:t>personnel</w:t>
      </w:r>
      <w:r>
        <w:rPr>
          <w:spacing w:val="-1"/>
          <w:sz w:val="22"/>
        </w:rPr>
        <w:t> </w:t>
      </w:r>
      <w:r>
        <w:rPr>
          <w:sz w:val="22"/>
        </w:rPr>
        <w:t>to</w:t>
      </w:r>
      <w:r>
        <w:rPr>
          <w:spacing w:val="-2"/>
          <w:sz w:val="22"/>
        </w:rPr>
        <w:t> </w:t>
      </w:r>
      <w:r>
        <w:rPr>
          <w:sz w:val="22"/>
        </w:rPr>
        <w:t>discuss and resolve issues</w:t>
      </w:r>
      <w:r>
        <w:rPr>
          <w:spacing w:val="-2"/>
          <w:sz w:val="22"/>
        </w:rPr>
        <w:t> </w:t>
      </w:r>
      <w:r>
        <w:rPr>
          <w:sz w:val="22"/>
        </w:rPr>
        <w:t>as appropriate.</w:t>
      </w:r>
      <w:r>
        <w:rPr>
          <w:spacing w:val="-5"/>
          <w:sz w:val="22"/>
        </w:rPr>
        <w:t> </w:t>
      </w:r>
      <w:r>
        <w:rPr>
          <w:sz w:val="22"/>
        </w:rPr>
        <w:t>The State will</w:t>
      </w:r>
      <w:r>
        <w:rPr>
          <w:spacing w:val="-1"/>
          <w:sz w:val="22"/>
        </w:rPr>
        <w:t> </w:t>
      </w:r>
      <w:r>
        <w:rPr>
          <w:sz w:val="22"/>
        </w:rPr>
        <w:t>also</w:t>
      </w:r>
      <w:r>
        <w:rPr>
          <w:spacing w:val="-2"/>
          <w:sz w:val="22"/>
        </w:rPr>
        <w:t> </w:t>
      </w:r>
      <w:r>
        <w:rPr>
          <w:sz w:val="22"/>
        </w:rPr>
        <w:t>identify</w:t>
      </w:r>
      <w:r>
        <w:rPr>
          <w:spacing w:val="-2"/>
          <w:sz w:val="22"/>
        </w:rPr>
        <w:t> </w:t>
      </w:r>
      <w:r>
        <w:rPr>
          <w:sz w:val="22"/>
        </w:rPr>
        <w:t>a reciprocal contact</w:t>
      </w:r>
      <w:r>
        <w:rPr>
          <w:spacing w:val="-1"/>
          <w:sz w:val="22"/>
        </w:rPr>
        <w:t> </w:t>
      </w:r>
      <w:r>
        <w:rPr>
          <w:sz w:val="22"/>
        </w:rPr>
        <w:t>to</w:t>
      </w:r>
      <w:r>
        <w:rPr>
          <w:spacing w:val="-2"/>
          <w:sz w:val="22"/>
        </w:rPr>
        <w:t> </w:t>
      </w:r>
      <w:r>
        <w:rPr>
          <w:sz w:val="22"/>
        </w:rPr>
        <w:t>liaise with each ACO and support these types of requests.</w:t>
      </w:r>
    </w:p>
    <w:p>
      <w:pPr>
        <w:spacing w:line="240" w:lineRule="auto" w:before="161"/>
        <w:ind w:left="1219" w:right="1093" w:firstLine="0"/>
        <w:jc w:val="both"/>
        <w:rPr>
          <w:sz w:val="22"/>
        </w:rPr>
      </w:pPr>
      <w:r>
        <w:rPr>
          <w:sz w:val="22"/>
        </w:rPr>
        <w:t>The</w:t>
      </w:r>
      <w:r>
        <w:rPr>
          <w:spacing w:val="-4"/>
          <w:sz w:val="22"/>
        </w:rPr>
        <w:t> </w:t>
      </w:r>
      <w:r>
        <w:rPr>
          <w:sz w:val="22"/>
        </w:rPr>
        <w:t>State</w:t>
      </w:r>
      <w:r>
        <w:rPr>
          <w:spacing w:val="-4"/>
          <w:sz w:val="22"/>
        </w:rPr>
        <w:t> </w:t>
      </w:r>
      <w:r>
        <w:rPr>
          <w:sz w:val="22"/>
        </w:rPr>
        <w:t>may</w:t>
      </w:r>
      <w:r>
        <w:rPr>
          <w:spacing w:val="-5"/>
          <w:sz w:val="22"/>
        </w:rPr>
        <w:t> </w:t>
      </w:r>
      <w:r>
        <w:rPr>
          <w:sz w:val="22"/>
        </w:rPr>
        <w:t>provide</w:t>
      </w:r>
      <w:r>
        <w:rPr>
          <w:spacing w:val="-2"/>
          <w:sz w:val="22"/>
        </w:rPr>
        <w:t> </w:t>
      </w:r>
      <w:r>
        <w:rPr>
          <w:sz w:val="22"/>
        </w:rPr>
        <w:t>an</w:t>
      </w:r>
      <w:r>
        <w:rPr>
          <w:spacing w:val="-2"/>
          <w:sz w:val="22"/>
        </w:rPr>
        <w:t> </w:t>
      </w:r>
      <w:r>
        <w:rPr>
          <w:sz w:val="22"/>
        </w:rPr>
        <w:t>opportunity</w:t>
      </w:r>
      <w:r>
        <w:rPr>
          <w:spacing w:val="-5"/>
          <w:sz w:val="22"/>
        </w:rPr>
        <w:t> </w:t>
      </w:r>
      <w:r>
        <w:rPr>
          <w:sz w:val="22"/>
        </w:rPr>
        <w:t>for</w:t>
      </w:r>
      <w:r>
        <w:rPr>
          <w:spacing w:val="-4"/>
          <w:sz w:val="22"/>
        </w:rPr>
        <w:t> </w:t>
      </w:r>
      <w:r>
        <w:rPr>
          <w:sz w:val="22"/>
        </w:rPr>
        <w:t>ACOs</w:t>
      </w:r>
      <w:r>
        <w:rPr>
          <w:spacing w:val="-2"/>
          <w:sz w:val="22"/>
        </w:rPr>
        <w:t> </w:t>
      </w:r>
      <w:r>
        <w:rPr>
          <w:sz w:val="22"/>
        </w:rPr>
        <w:t>to</w:t>
      </w:r>
      <w:r>
        <w:rPr>
          <w:spacing w:val="-5"/>
          <w:sz w:val="22"/>
        </w:rPr>
        <w:t> </w:t>
      </w:r>
      <w:r>
        <w:rPr>
          <w:sz w:val="22"/>
        </w:rPr>
        <w:t>submit</w:t>
      </w:r>
      <w:r>
        <w:rPr>
          <w:spacing w:val="-1"/>
          <w:sz w:val="22"/>
        </w:rPr>
        <w:t> </w:t>
      </w:r>
      <w:r>
        <w:rPr>
          <w:sz w:val="22"/>
        </w:rPr>
        <w:t>DSRIP</w:t>
      </w:r>
      <w:r>
        <w:rPr>
          <w:spacing w:val="-3"/>
          <w:sz w:val="22"/>
        </w:rPr>
        <w:t> </w:t>
      </w:r>
      <w:r>
        <w:rPr>
          <w:sz w:val="22"/>
        </w:rPr>
        <w:t>Performance</w:t>
      </w:r>
      <w:r>
        <w:rPr>
          <w:spacing w:val="-2"/>
          <w:sz w:val="22"/>
        </w:rPr>
        <w:t> </w:t>
      </w:r>
      <w:r>
        <w:rPr>
          <w:sz w:val="22"/>
        </w:rPr>
        <w:t>Remediation</w:t>
      </w:r>
      <w:r>
        <w:rPr>
          <w:spacing w:val="-5"/>
          <w:sz w:val="22"/>
        </w:rPr>
        <w:t> </w:t>
      </w:r>
      <w:r>
        <w:rPr>
          <w:sz w:val="22"/>
        </w:rPr>
        <w:t>Plans</w:t>
      </w:r>
      <w:r>
        <w:rPr>
          <w:spacing w:val="-4"/>
          <w:sz w:val="22"/>
        </w:rPr>
        <w:t> </w:t>
      </w:r>
      <w:r>
        <w:rPr>
          <w:sz w:val="22"/>
        </w:rPr>
        <w:t>to</w:t>
      </w:r>
      <w:r>
        <w:rPr>
          <w:spacing w:val="-5"/>
          <w:sz w:val="22"/>
        </w:rPr>
        <w:t> </w:t>
      </w:r>
      <w:r>
        <w:rPr>
          <w:sz w:val="22"/>
        </w:rPr>
        <w:t>earn back</w:t>
      </w:r>
      <w:r>
        <w:rPr>
          <w:spacing w:val="-16"/>
          <w:sz w:val="22"/>
        </w:rPr>
        <w:t> </w:t>
      </w:r>
      <w:r>
        <w:rPr>
          <w:sz w:val="22"/>
        </w:rPr>
        <w:t>a</w:t>
      </w:r>
      <w:r>
        <w:rPr>
          <w:spacing w:val="-14"/>
          <w:sz w:val="22"/>
        </w:rPr>
        <w:t> </w:t>
      </w:r>
      <w:r>
        <w:rPr>
          <w:sz w:val="22"/>
        </w:rPr>
        <w:t>portion</w:t>
      </w:r>
      <w:r>
        <w:rPr>
          <w:spacing w:val="-14"/>
          <w:sz w:val="22"/>
        </w:rPr>
        <w:t> </w:t>
      </w:r>
      <w:r>
        <w:rPr>
          <w:sz w:val="22"/>
        </w:rPr>
        <w:t>of</w:t>
      </w:r>
      <w:r>
        <w:rPr>
          <w:spacing w:val="-13"/>
          <w:sz w:val="22"/>
        </w:rPr>
        <w:t> </w:t>
      </w:r>
      <w:r>
        <w:rPr>
          <w:sz w:val="22"/>
        </w:rPr>
        <w:t>the</w:t>
      </w:r>
      <w:r>
        <w:rPr>
          <w:spacing w:val="-14"/>
          <w:sz w:val="22"/>
        </w:rPr>
        <w:t> </w:t>
      </w:r>
      <w:r>
        <w:rPr>
          <w:sz w:val="22"/>
        </w:rPr>
        <w:t>unearned,</w:t>
      </w:r>
      <w:r>
        <w:rPr>
          <w:spacing w:val="-14"/>
          <w:sz w:val="22"/>
        </w:rPr>
        <w:t> </w:t>
      </w:r>
      <w:r>
        <w:rPr>
          <w:sz w:val="22"/>
        </w:rPr>
        <w:t>withheld</w:t>
      </w:r>
      <w:r>
        <w:rPr>
          <w:spacing w:val="-14"/>
          <w:sz w:val="22"/>
        </w:rPr>
        <w:t> </w:t>
      </w:r>
      <w:r>
        <w:rPr>
          <w:sz w:val="22"/>
        </w:rPr>
        <w:t>funds,</w:t>
      </w:r>
      <w:r>
        <w:rPr>
          <w:spacing w:val="-13"/>
          <w:sz w:val="22"/>
        </w:rPr>
        <w:t> </w:t>
      </w:r>
      <w:r>
        <w:rPr>
          <w:sz w:val="22"/>
        </w:rPr>
        <w:t>at</w:t>
      </w:r>
      <w:r>
        <w:rPr>
          <w:spacing w:val="-14"/>
          <w:sz w:val="22"/>
        </w:rPr>
        <w:t> </w:t>
      </w:r>
      <w:r>
        <w:rPr>
          <w:sz w:val="22"/>
        </w:rPr>
        <w:t>the</w:t>
      </w:r>
      <w:r>
        <w:rPr>
          <w:spacing w:val="-14"/>
          <w:sz w:val="22"/>
        </w:rPr>
        <w:t> </w:t>
      </w:r>
      <w:r>
        <w:rPr>
          <w:sz w:val="22"/>
        </w:rPr>
        <w:t>State’s</w:t>
      </w:r>
      <w:r>
        <w:rPr>
          <w:spacing w:val="-14"/>
          <w:sz w:val="22"/>
        </w:rPr>
        <w:t> </w:t>
      </w:r>
      <w:r>
        <w:rPr>
          <w:sz w:val="22"/>
        </w:rPr>
        <w:t>discretion.</w:t>
      </w:r>
      <w:r>
        <w:rPr>
          <w:spacing w:val="-13"/>
          <w:sz w:val="22"/>
        </w:rPr>
        <w:t> </w:t>
      </w:r>
      <w:r>
        <w:rPr>
          <w:sz w:val="22"/>
        </w:rPr>
        <w:t>The</w:t>
      </w:r>
      <w:r>
        <w:rPr>
          <w:spacing w:val="-14"/>
          <w:sz w:val="22"/>
        </w:rPr>
        <w:t> </w:t>
      </w:r>
      <w:r>
        <w:rPr>
          <w:sz w:val="22"/>
        </w:rPr>
        <w:t>State</w:t>
      </w:r>
      <w:r>
        <w:rPr>
          <w:spacing w:val="-14"/>
          <w:sz w:val="22"/>
        </w:rPr>
        <w:t> </w:t>
      </w:r>
      <w:r>
        <w:rPr>
          <w:sz w:val="22"/>
        </w:rPr>
        <w:t>may</w:t>
      </w:r>
      <w:r>
        <w:rPr>
          <w:spacing w:val="-14"/>
          <w:sz w:val="22"/>
        </w:rPr>
        <w:t> </w:t>
      </w:r>
      <w:r>
        <w:rPr>
          <w:sz w:val="22"/>
        </w:rPr>
        <w:t>combine</w:t>
      </w:r>
      <w:r>
        <w:rPr>
          <w:spacing w:val="-13"/>
          <w:sz w:val="22"/>
        </w:rPr>
        <w:t> </w:t>
      </w:r>
      <w:r>
        <w:rPr>
          <w:sz w:val="22"/>
        </w:rPr>
        <w:t>remediation opportunities for multiple years to streamline processes (e.g., combining BP2 and BP3 remediation processes</w:t>
      </w:r>
      <w:r>
        <w:rPr>
          <w:spacing w:val="-4"/>
          <w:sz w:val="22"/>
        </w:rPr>
        <w:t> </w:t>
      </w:r>
      <w:r>
        <w:rPr>
          <w:sz w:val="22"/>
        </w:rPr>
        <w:t>into</w:t>
      </w:r>
      <w:r>
        <w:rPr>
          <w:spacing w:val="-5"/>
          <w:sz w:val="22"/>
        </w:rPr>
        <w:t> </w:t>
      </w:r>
      <w:r>
        <w:rPr>
          <w:sz w:val="22"/>
        </w:rPr>
        <w:t>a</w:t>
      </w:r>
      <w:r>
        <w:rPr>
          <w:spacing w:val="-7"/>
          <w:sz w:val="22"/>
        </w:rPr>
        <w:t> </w:t>
      </w:r>
      <w:r>
        <w:rPr>
          <w:sz w:val="22"/>
        </w:rPr>
        <w:t>single</w:t>
      </w:r>
      <w:r>
        <w:rPr>
          <w:spacing w:val="-4"/>
          <w:sz w:val="22"/>
        </w:rPr>
        <w:t> </w:t>
      </w:r>
      <w:r>
        <w:rPr>
          <w:sz w:val="22"/>
        </w:rPr>
        <w:t>remediation</w:t>
      </w:r>
      <w:r>
        <w:rPr>
          <w:spacing w:val="-5"/>
          <w:sz w:val="22"/>
        </w:rPr>
        <w:t> </w:t>
      </w:r>
      <w:r>
        <w:rPr>
          <w:sz w:val="22"/>
        </w:rPr>
        <w:t>process).</w:t>
      </w:r>
      <w:r>
        <w:rPr>
          <w:spacing w:val="-5"/>
          <w:sz w:val="22"/>
        </w:rPr>
        <w:t> </w:t>
      </w:r>
      <w:r>
        <w:rPr>
          <w:sz w:val="22"/>
        </w:rPr>
        <w:t>If</w:t>
      </w:r>
      <w:r>
        <w:rPr>
          <w:spacing w:val="-4"/>
          <w:sz w:val="22"/>
        </w:rPr>
        <w:t> </w:t>
      </w:r>
      <w:r>
        <w:rPr>
          <w:sz w:val="22"/>
        </w:rPr>
        <w:t>the</w:t>
      </w:r>
      <w:r>
        <w:rPr>
          <w:spacing w:val="-4"/>
          <w:sz w:val="22"/>
        </w:rPr>
        <w:t> </w:t>
      </w:r>
      <w:r>
        <w:rPr>
          <w:sz w:val="22"/>
        </w:rPr>
        <w:t>State</w:t>
      </w:r>
      <w:r>
        <w:rPr>
          <w:spacing w:val="-4"/>
          <w:sz w:val="22"/>
        </w:rPr>
        <w:t> </w:t>
      </w:r>
      <w:r>
        <w:rPr>
          <w:sz w:val="22"/>
        </w:rPr>
        <w:t>allows</w:t>
      </w:r>
      <w:r>
        <w:rPr>
          <w:spacing w:val="-4"/>
          <w:sz w:val="22"/>
        </w:rPr>
        <w:t> </w:t>
      </w:r>
      <w:r>
        <w:rPr>
          <w:sz w:val="22"/>
        </w:rPr>
        <w:t>this</w:t>
      </w:r>
      <w:r>
        <w:rPr>
          <w:spacing w:val="-4"/>
          <w:sz w:val="22"/>
        </w:rPr>
        <w:t> </w:t>
      </w:r>
      <w:r>
        <w:rPr>
          <w:sz w:val="22"/>
        </w:rPr>
        <w:t>opportunity,</w:t>
      </w:r>
      <w:r>
        <w:rPr>
          <w:spacing w:val="-5"/>
          <w:sz w:val="22"/>
        </w:rPr>
        <w:t> </w:t>
      </w:r>
      <w:r>
        <w:rPr>
          <w:sz w:val="22"/>
        </w:rPr>
        <w:t>then</w:t>
      </w:r>
      <w:r>
        <w:rPr>
          <w:spacing w:val="-5"/>
          <w:sz w:val="22"/>
        </w:rPr>
        <w:t> </w:t>
      </w:r>
      <w:r>
        <w:rPr>
          <w:sz w:val="22"/>
        </w:rPr>
        <w:t>an</w:t>
      </w:r>
      <w:r>
        <w:rPr>
          <w:spacing w:val="-5"/>
          <w:sz w:val="22"/>
        </w:rPr>
        <w:t> </w:t>
      </w:r>
      <w:r>
        <w:rPr>
          <w:sz w:val="22"/>
        </w:rPr>
        <w:t>ACO</w:t>
      </w:r>
      <w:r>
        <w:rPr>
          <w:spacing w:val="-6"/>
          <w:sz w:val="22"/>
        </w:rPr>
        <w:t> </w:t>
      </w:r>
      <w:r>
        <w:rPr>
          <w:sz w:val="22"/>
        </w:rPr>
        <w:t>may</w:t>
      </w:r>
      <w:r>
        <w:rPr>
          <w:spacing w:val="-7"/>
          <w:sz w:val="22"/>
        </w:rPr>
        <w:t> </w:t>
      </w:r>
      <w:r>
        <w:rPr>
          <w:sz w:val="22"/>
        </w:rPr>
        <w:t>choose to provide the State a DSRIP Performance Remediation Plan within 30 calendar days of receipt of</w:t>
      </w:r>
      <w:r>
        <w:rPr>
          <w:spacing w:val="40"/>
          <w:sz w:val="22"/>
        </w:rPr>
        <w:t> </w:t>
      </w:r>
      <w:r>
        <w:rPr>
          <w:sz w:val="22"/>
        </w:rPr>
        <w:t>the State’s notification of the opportunity to submit a Performance Remediation Plan, in which case the ACO may have the opportunity to earn back up to 60% of the unearned, withheld funds, as further described </w:t>
      </w:r>
      <w:r>
        <w:rPr>
          <w:spacing w:val="-2"/>
          <w:sz w:val="22"/>
        </w:rPr>
        <w:t>below.</w:t>
      </w:r>
    </w:p>
    <w:p>
      <w:pPr>
        <w:spacing w:before="163"/>
        <w:ind w:left="1219" w:right="0" w:firstLine="0"/>
        <w:jc w:val="both"/>
        <w:rPr>
          <w:sz w:val="22"/>
        </w:rPr>
      </w:pPr>
      <w:r>
        <w:rPr>
          <w:sz w:val="22"/>
        </w:rPr>
        <w:t>The</w:t>
      </w:r>
      <w:r>
        <w:rPr>
          <w:spacing w:val="-6"/>
          <w:sz w:val="22"/>
        </w:rPr>
        <w:t> </w:t>
      </w:r>
      <w:r>
        <w:rPr>
          <w:sz w:val="22"/>
        </w:rPr>
        <w:t>DSRIP</w:t>
      </w:r>
      <w:r>
        <w:rPr>
          <w:spacing w:val="-5"/>
          <w:sz w:val="22"/>
        </w:rPr>
        <w:t> </w:t>
      </w:r>
      <w:r>
        <w:rPr>
          <w:sz w:val="22"/>
        </w:rPr>
        <w:t>Performance</w:t>
      </w:r>
      <w:r>
        <w:rPr>
          <w:spacing w:val="-4"/>
          <w:sz w:val="22"/>
        </w:rPr>
        <w:t> </w:t>
      </w:r>
      <w:r>
        <w:rPr>
          <w:sz w:val="22"/>
        </w:rPr>
        <w:t>Remediation</w:t>
      </w:r>
      <w:r>
        <w:rPr>
          <w:spacing w:val="-5"/>
          <w:sz w:val="22"/>
        </w:rPr>
        <w:t> </w:t>
      </w:r>
      <w:r>
        <w:rPr>
          <w:sz w:val="22"/>
        </w:rPr>
        <w:t>Plan</w:t>
      </w:r>
      <w:r>
        <w:rPr>
          <w:spacing w:val="-4"/>
          <w:sz w:val="22"/>
        </w:rPr>
        <w:t> </w:t>
      </w:r>
      <w:r>
        <w:rPr>
          <w:sz w:val="22"/>
        </w:rPr>
        <w:t>will</w:t>
      </w:r>
      <w:r>
        <w:rPr>
          <w:spacing w:val="-5"/>
          <w:sz w:val="22"/>
        </w:rPr>
        <w:t> </w:t>
      </w:r>
      <w:r>
        <w:rPr>
          <w:spacing w:val="-2"/>
          <w:sz w:val="22"/>
        </w:rPr>
        <w:t>include:</w:t>
      </w:r>
    </w:p>
    <w:p>
      <w:pPr>
        <w:pStyle w:val="ListParagraph"/>
        <w:numPr>
          <w:ilvl w:val="0"/>
          <w:numId w:val="96"/>
        </w:numPr>
        <w:tabs>
          <w:tab w:pos="2046" w:val="left" w:leader="none"/>
        </w:tabs>
        <w:spacing w:line="269" w:lineRule="exact" w:before="158" w:after="0"/>
        <w:ind w:left="2046" w:right="0" w:hanging="359"/>
        <w:jc w:val="both"/>
        <w:rPr>
          <w:sz w:val="22"/>
        </w:rPr>
      </w:pPr>
      <w:r>
        <w:rPr>
          <w:sz w:val="22"/>
        </w:rPr>
        <w:t>As</w:t>
      </w:r>
      <w:r>
        <w:rPr>
          <w:spacing w:val="-3"/>
          <w:sz w:val="22"/>
        </w:rPr>
        <w:t> </w:t>
      </w:r>
      <w:r>
        <w:rPr>
          <w:sz w:val="22"/>
        </w:rPr>
        <w:t>specified</w:t>
      </w:r>
      <w:r>
        <w:rPr>
          <w:spacing w:val="-5"/>
          <w:sz w:val="22"/>
        </w:rPr>
        <w:t> </w:t>
      </w:r>
      <w:r>
        <w:rPr>
          <w:sz w:val="22"/>
        </w:rPr>
        <w:t>by</w:t>
      </w:r>
      <w:r>
        <w:rPr>
          <w:spacing w:val="-5"/>
          <w:sz w:val="22"/>
        </w:rPr>
        <w:t> </w:t>
      </w:r>
      <w:r>
        <w:rPr>
          <w:sz w:val="22"/>
        </w:rPr>
        <w:t>the</w:t>
      </w:r>
      <w:r>
        <w:rPr>
          <w:spacing w:val="-3"/>
          <w:sz w:val="22"/>
        </w:rPr>
        <w:t> </w:t>
      </w:r>
      <w:r>
        <w:rPr>
          <w:sz w:val="22"/>
        </w:rPr>
        <w:t>State,</w:t>
      </w:r>
      <w:r>
        <w:rPr>
          <w:spacing w:val="-2"/>
          <w:sz w:val="22"/>
        </w:rPr>
        <w:t> </w:t>
      </w:r>
      <w:r>
        <w:rPr>
          <w:sz w:val="22"/>
        </w:rPr>
        <w:t>a</w:t>
      </w:r>
      <w:r>
        <w:rPr>
          <w:spacing w:val="-6"/>
          <w:sz w:val="22"/>
        </w:rPr>
        <w:t> </w:t>
      </w:r>
      <w:r>
        <w:rPr>
          <w:sz w:val="22"/>
        </w:rPr>
        <w:t>detailed</w:t>
      </w:r>
      <w:r>
        <w:rPr>
          <w:spacing w:val="-2"/>
          <w:sz w:val="22"/>
        </w:rPr>
        <w:t> </w:t>
      </w:r>
      <w:r>
        <w:rPr>
          <w:sz w:val="22"/>
        </w:rPr>
        <w:t>assessment</w:t>
      </w:r>
      <w:r>
        <w:rPr>
          <w:spacing w:val="-1"/>
          <w:sz w:val="22"/>
        </w:rPr>
        <w:t> </w:t>
      </w:r>
      <w:r>
        <w:rPr>
          <w:sz w:val="22"/>
        </w:rPr>
        <w:t>of</w:t>
      </w:r>
      <w:r>
        <w:rPr>
          <w:spacing w:val="-5"/>
          <w:sz w:val="22"/>
        </w:rPr>
        <w:t> </w:t>
      </w:r>
      <w:r>
        <w:rPr>
          <w:sz w:val="22"/>
        </w:rPr>
        <w:t>the</w:t>
      </w:r>
      <w:r>
        <w:rPr>
          <w:spacing w:val="-4"/>
          <w:sz w:val="22"/>
        </w:rPr>
        <w:t> </w:t>
      </w:r>
      <w:r>
        <w:rPr>
          <w:sz w:val="22"/>
        </w:rPr>
        <w:t>reason(s)</w:t>
      </w:r>
      <w:r>
        <w:rPr>
          <w:spacing w:val="-1"/>
          <w:sz w:val="22"/>
        </w:rPr>
        <w:t> </w:t>
      </w:r>
      <w:r>
        <w:rPr>
          <w:spacing w:val="-4"/>
          <w:sz w:val="22"/>
        </w:rPr>
        <w:t>why:</w:t>
      </w:r>
    </w:p>
    <w:p>
      <w:pPr>
        <w:pStyle w:val="ListParagraph"/>
        <w:numPr>
          <w:ilvl w:val="1"/>
          <w:numId w:val="96"/>
        </w:numPr>
        <w:tabs>
          <w:tab w:pos="2767" w:val="left" w:leader="none"/>
          <w:tab w:pos="2820" w:val="left" w:leader="none"/>
        </w:tabs>
        <w:spacing w:line="223" w:lineRule="auto" w:before="12" w:after="0"/>
        <w:ind w:left="2767" w:right="1095" w:hanging="361"/>
        <w:jc w:val="both"/>
        <w:rPr>
          <w:sz w:val="22"/>
        </w:rPr>
      </w:pPr>
      <w:r>
        <w:rPr>
          <w:sz w:val="22"/>
        </w:rPr>
        <w:tab/>
        <w:t>The ACO did not or is not anticipated to achieve a 100% Quality Score, separately addressing State-specified measures on which the ACO scored less than full points; or</w:t>
      </w:r>
    </w:p>
    <w:p>
      <w:pPr>
        <w:pStyle w:val="ListParagraph"/>
        <w:numPr>
          <w:ilvl w:val="1"/>
          <w:numId w:val="96"/>
        </w:numPr>
        <w:tabs>
          <w:tab w:pos="2766" w:val="left" w:leader="none"/>
        </w:tabs>
        <w:spacing w:line="262" w:lineRule="exact" w:before="4" w:after="0"/>
        <w:ind w:left="2766" w:right="0" w:hanging="359"/>
        <w:jc w:val="both"/>
        <w:rPr>
          <w:sz w:val="22"/>
        </w:rPr>
      </w:pPr>
      <w:r>
        <w:rPr>
          <w:sz w:val="22"/>
        </w:rPr>
        <w:t>The</w:t>
      </w:r>
      <w:r>
        <w:rPr>
          <w:spacing w:val="-7"/>
          <w:sz w:val="22"/>
        </w:rPr>
        <w:t> </w:t>
      </w:r>
      <w:r>
        <w:rPr>
          <w:sz w:val="22"/>
        </w:rPr>
        <w:t>ACO</w:t>
      </w:r>
      <w:r>
        <w:rPr>
          <w:spacing w:val="-3"/>
          <w:sz w:val="22"/>
        </w:rPr>
        <w:t> </w:t>
      </w:r>
      <w:r>
        <w:rPr>
          <w:sz w:val="22"/>
        </w:rPr>
        <w:t>did</w:t>
      </w:r>
      <w:r>
        <w:rPr>
          <w:spacing w:val="-2"/>
          <w:sz w:val="22"/>
        </w:rPr>
        <w:t> </w:t>
      </w:r>
      <w:r>
        <w:rPr>
          <w:sz w:val="22"/>
        </w:rPr>
        <w:t>not</w:t>
      </w:r>
      <w:r>
        <w:rPr>
          <w:spacing w:val="-2"/>
          <w:sz w:val="22"/>
        </w:rPr>
        <w:t> </w:t>
      </w:r>
      <w:r>
        <w:rPr>
          <w:sz w:val="22"/>
        </w:rPr>
        <w:t>or</w:t>
      </w:r>
      <w:r>
        <w:rPr>
          <w:spacing w:val="-1"/>
          <w:sz w:val="22"/>
        </w:rPr>
        <w:t> </w:t>
      </w:r>
      <w:r>
        <w:rPr>
          <w:sz w:val="22"/>
        </w:rPr>
        <w:t>is</w:t>
      </w:r>
      <w:r>
        <w:rPr>
          <w:spacing w:val="-2"/>
          <w:sz w:val="22"/>
        </w:rPr>
        <w:t> </w:t>
      </w:r>
      <w:r>
        <w:rPr>
          <w:sz w:val="22"/>
        </w:rPr>
        <w:t>not</w:t>
      </w:r>
      <w:r>
        <w:rPr>
          <w:spacing w:val="-6"/>
          <w:sz w:val="22"/>
        </w:rPr>
        <w:t> </w:t>
      </w:r>
      <w:r>
        <w:rPr>
          <w:sz w:val="22"/>
        </w:rPr>
        <w:t>anticipated</w:t>
      </w:r>
      <w:r>
        <w:rPr>
          <w:spacing w:val="-3"/>
          <w:sz w:val="22"/>
        </w:rPr>
        <w:t> </w:t>
      </w:r>
      <w:r>
        <w:rPr>
          <w:sz w:val="22"/>
        </w:rPr>
        <w:t>to</w:t>
      </w:r>
      <w:r>
        <w:rPr>
          <w:spacing w:val="-3"/>
          <w:sz w:val="22"/>
        </w:rPr>
        <w:t> </w:t>
      </w:r>
      <w:r>
        <w:rPr>
          <w:sz w:val="22"/>
        </w:rPr>
        <w:t>achieve</w:t>
      </w:r>
      <w:r>
        <w:rPr>
          <w:spacing w:val="-2"/>
          <w:sz w:val="22"/>
        </w:rPr>
        <w:t> </w:t>
      </w:r>
      <w:r>
        <w:rPr>
          <w:sz w:val="22"/>
        </w:rPr>
        <w:t>a</w:t>
      </w:r>
      <w:r>
        <w:rPr>
          <w:spacing w:val="-3"/>
          <w:sz w:val="22"/>
        </w:rPr>
        <w:t> </w:t>
      </w:r>
      <w:r>
        <w:rPr>
          <w:sz w:val="22"/>
        </w:rPr>
        <w:t>100%</w:t>
      </w:r>
      <w:r>
        <w:rPr>
          <w:spacing w:val="-4"/>
          <w:sz w:val="22"/>
        </w:rPr>
        <w:t> </w:t>
      </w:r>
      <w:r>
        <w:rPr>
          <w:sz w:val="22"/>
        </w:rPr>
        <w:t>TCOC</w:t>
      </w:r>
      <w:r>
        <w:rPr>
          <w:spacing w:val="-3"/>
          <w:sz w:val="22"/>
        </w:rPr>
        <w:t> </w:t>
      </w:r>
      <w:r>
        <w:rPr>
          <w:sz w:val="22"/>
        </w:rPr>
        <w:t>Score;</w:t>
      </w:r>
      <w:r>
        <w:rPr>
          <w:spacing w:val="-1"/>
          <w:sz w:val="22"/>
        </w:rPr>
        <w:t> </w:t>
      </w:r>
      <w:r>
        <w:rPr>
          <w:spacing w:val="-5"/>
          <w:sz w:val="22"/>
        </w:rPr>
        <w:t>or</w:t>
      </w:r>
    </w:p>
    <w:p>
      <w:pPr>
        <w:pStyle w:val="ListParagraph"/>
        <w:numPr>
          <w:ilvl w:val="1"/>
          <w:numId w:val="96"/>
        </w:numPr>
        <w:tabs>
          <w:tab w:pos="2766" w:val="left" w:leader="none"/>
          <w:tab w:pos="2768" w:val="left" w:leader="none"/>
        </w:tabs>
        <w:spacing w:line="225" w:lineRule="auto" w:before="2" w:after="0"/>
        <w:ind w:left="2768" w:right="1094" w:hanging="361"/>
        <w:jc w:val="both"/>
        <w:rPr>
          <w:sz w:val="22"/>
        </w:rPr>
      </w:pPr>
      <w:r>
        <w:rPr>
          <w:sz w:val="22"/>
        </w:rPr>
        <w:t>The ACO did not or is not anticipated to perform well on other quality, utilization, cost, or member experience metrics or analyses</w:t>
      </w:r>
    </w:p>
    <w:p>
      <w:pPr>
        <w:pStyle w:val="ListParagraph"/>
        <w:numPr>
          <w:ilvl w:val="0"/>
          <w:numId w:val="96"/>
        </w:numPr>
        <w:tabs>
          <w:tab w:pos="2046" w:val="left" w:leader="none"/>
          <w:tab w:pos="2048" w:val="left" w:leader="none"/>
        </w:tabs>
        <w:spacing w:line="240" w:lineRule="auto" w:before="2" w:after="0"/>
        <w:ind w:left="2048" w:right="1095" w:hanging="361"/>
        <w:jc w:val="both"/>
        <w:rPr>
          <w:sz w:val="22"/>
        </w:rPr>
      </w:pPr>
      <w:r>
        <w:rPr>
          <w:sz w:val="22"/>
        </w:rPr>
        <w:t>As</w:t>
      </w:r>
      <w:r>
        <w:rPr>
          <w:spacing w:val="-3"/>
          <w:sz w:val="22"/>
        </w:rPr>
        <w:t> </w:t>
      </w:r>
      <w:r>
        <w:rPr>
          <w:sz w:val="22"/>
        </w:rPr>
        <w:t>specified</w:t>
      </w:r>
      <w:r>
        <w:rPr>
          <w:spacing w:val="-6"/>
          <w:sz w:val="22"/>
        </w:rPr>
        <w:t> </w:t>
      </w:r>
      <w:r>
        <w:rPr>
          <w:sz w:val="22"/>
        </w:rPr>
        <w:t>by</w:t>
      </w:r>
      <w:r>
        <w:rPr>
          <w:spacing w:val="-6"/>
          <w:sz w:val="22"/>
        </w:rPr>
        <w:t> </w:t>
      </w:r>
      <w:r>
        <w:rPr>
          <w:sz w:val="22"/>
        </w:rPr>
        <w:t>the</w:t>
      </w:r>
      <w:r>
        <w:rPr>
          <w:spacing w:val="-3"/>
          <w:sz w:val="22"/>
        </w:rPr>
        <w:t> </w:t>
      </w:r>
      <w:r>
        <w:rPr>
          <w:sz w:val="22"/>
        </w:rPr>
        <w:t>State,</w:t>
      </w:r>
      <w:r>
        <w:rPr>
          <w:spacing w:val="-6"/>
          <w:sz w:val="22"/>
        </w:rPr>
        <w:t> </w:t>
      </w:r>
      <w:r>
        <w:rPr>
          <w:sz w:val="22"/>
        </w:rPr>
        <w:t>discrete</w:t>
      </w:r>
      <w:r>
        <w:rPr>
          <w:spacing w:val="-6"/>
          <w:sz w:val="22"/>
        </w:rPr>
        <w:t> </w:t>
      </w:r>
      <w:r>
        <w:rPr>
          <w:sz w:val="22"/>
        </w:rPr>
        <w:t>project(s)</w:t>
      </w:r>
      <w:r>
        <w:rPr>
          <w:spacing w:val="-5"/>
          <w:sz w:val="22"/>
        </w:rPr>
        <w:t> </w:t>
      </w:r>
      <w:r>
        <w:rPr>
          <w:sz w:val="22"/>
        </w:rPr>
        <w:t>the</w:t>
      </w:r>
      <w:r>
        <w:rPr>
          <w:spacing w:val="-6"/>
          <w:sz w:val="22"/>
        </w:rPr>
        <w:t> </w:t>
      </w:r>
      <w:r>
        <w:rPr>
          <w:sz w:val="22"/>
        </w:rPr>
        <w:t>ACO</w:t>
      </w:r>
      <w:r>
        <w:rPr>
          <w:spacing w:val="-5"/>
          <w:sz w:val="22"/>
        </w:rPr>
        <w:t> </w:t>
      </w:r>
      <w:r>
        <w:rPr>
          <w:sz w:val="22"/>
        </w:rPr>
        <w:t>will</w:t>
      </w:r>
      <w:r>
        <w:rPr>
          <w:spacing w:val="-5"/>
          <w:sz w:val="22"/>
        </w:rPr>
        <w:t> </w:t>
      </w:r>
      <w:r>
        <w:rPr>
          <w:sz w:val="22"/>
        </w:rPr>
        <w:t>undertake</w:t>
      </w:r>
      <w:r>
        <w:rPr>
          <w:spacing w:val="-3"/>
          <w:sz w:val="22"/>
        </w:rPr>
        <w:t> </w:t>
      </w:r>
      <w:r>
        <w:rPr>
          <w:sz w:val="22"/>
        </w:rPr>
        <w:t>to</w:t>
      </w:r>
      <w:r>
        <w:rPr>
          <w:spacing w:val="-6"/>
          <w:sz w:val="22"/>
        </w:rPr>
        <w:t> </w:t>
      </w:r>
      <w:r>
        <w:rPr>
          <w:sz w:val="22"/>
        </w:rPr>
        <w:t>address</w:t>
      </w:r>
      <w:r>
        <w:rPr>
          <w:spacing w:val="-6"/>
          <w:sz w:val="22"/>
        </w:rPr>
        <w:t> </w:t>
      </w:r>
      <w:r>
        <w:rPr>
          <w:sz w:val="22"/>
        </w:rPr>
        <w:t>some</w:t>
      </w:r>
      <w:r>
        <w:rPr>
          <w:spacing w:val="-3"/>
          <w:sz w:val="22"/>
        </w:rPr>
        <w:t> </w:t>
      </w:r>
      <w:r>
        <w:rPr>
          <w:sz w:val="22"/>
        </w:rPr>
        <w:t>or</w:t>
      </w:r>
      <w:r>
        <w:rPr>
          <w:spacing w:val="-3"/>
          <w:sz w:val="22"/>
        </w:rPr>
        <w:t> </w:t>
      </w:r>
      <w:r>
        <w:rPr>
          <w:sz w:val="22"/>
        </w:rPr>
        <w:t>all</w:t>
      </w:r>
      <w:r>
        <w:rPr>
          <w:spacing w:val="-5"/>
          <w:sz w:val="22"/>
        </w:rPr>
        <w:t> </w:t>
      </w:r>
      <w:r>
        <w:rPr>
          <w:sz w:val="22"/>
        </w:rPr>
        <w:t>of</w:t>
      </w:r>
      <w:r>
        <w:rPr>
          <w:spacing w:val="-5"/>
          <w:sz w:val="22"/>
        </w:rPr>
        <w:t> </w:t>
      </w:r>
      <w:r>
        <w:rPr>
          <w:sz w:val="22"/>
        </w:rPr>
        <w:t>the reasons identified in the detailed assessment described</w:t>
      </w:r>
      <w:r>
        <w:rPr>
          <w:spacing w:val="-2"/>
          <w:sz w:val="22"/>
        </w:rPr>
        <w:t> </w:t>
      </w:r>
      <w:r>
        <w:rPr>
          <w:sz w:val="22"/>
        </w:rPr>
        <w:t>above, along</w:t>
      </w:r>
      <w:r>
        <w:rPr>
          <w:spacing w:val="-3"/>
          <w:sz w:val="22"/>
        </w:rPr>
        <w:t> </w:t>
      </w:r>
      <w:r>
        <w:rPr>
          <w:sz w:val="22"/>
        </w:rPr>
        <w:t>with rationale</w:t>
      </w:r>
      <w:r>
        <w:rPr>
          <w:spacing w:val="-2"/>
          <w:sz w:val="22"/>
        </w:rPr>
        <w:t> </w:t>
      </w:r>
      <w:r>
        <w:rPr>
          <w:sz w:val="22"/>
        </w:rPr>
        <w:t>for why</w:t>
      </w:r>
      <w:r>
        <w:rPr>
          <w:spacing w:val="-2"/>
          <w:sz w:val="22"/>
        </w:rPr>
        <w:t> </w:t>
      </w:r>
      <w:r>
        <w:rPr>
          <w:sz w:val="22"/>
        </w:rPr>
        <w:t>these activities</w:t>
      </w:r>
      <w:r>
        <w:rPr>
          <w:spacing w:val="-4"/>
          <w:sz w:val="22"/>
        </w:rPr>
        <w:t> </w:t>
      </w:r>
      <w:r>
        <w:rPr>
          <w:sz w:val="22"/>
        </w:rPr>
        <w:t>are</w:t>
      </w:r>
      <w:r>
        <w:rPr>
          <w:spacing w:val="-4"/>
          <w:sz w:val="22"/>
        </w:rPr>
        <w:t> </w:t>
      </w:r>
      <w:r>
        <w:rPr>
          <w:sz w:val="22"/>
        </w:rPr>
        <w:t>appropriate;</w:t>
      </w:r>
      <w:r>
        <w:rPr>
          <w:spacing w:val="-4"/>
          <w:sz w:val="22"/>
        </w:rPr>
        <w:t> </w:t>
      </w:r>
      <w:r>
        <w:rPr>
          <w:sz w:val="22"/>
        </w:rPr>
        <w:t>or</w:t>
      </w:r>
      <w:r>
        <w:rPr>
          <w:spacing w:val="-4"/>
          <w:sz w:val="22"/>
        </w:rPr>
        <w:t> </w:t>
      </w:r>
      <w:r>
        <w:rPr>
          <w:sz w:val="22"/>
        </w:rPr>
        <w:t>other</w:t>
      </w:r>
      <w:r>
        <w:rPr>
          <w:spacing w:val="-4"/>
          <w:sz w:val="22"/>
        </w:rPr>
        <w:t> </w:t>
      </w:r>
      <w:r>
        <w:rPr>
          <w:sz w:val="22"/>
        </w:rPr>
        <w:t>discrete</w:t>
      </w:r>
      <w:r>
        <w:rPr>
          <w:spacing w:val="-4"/>
          <w:sz w:val="22"/>
        </w:rPr>
        <w:t> </w:t>
      </w:r>
      <w:r>
        <w:rPr>
          <w:sz w:val="22"/>
        </w:rPr>
        <w:t>projects</w:t>
      </w:r>
      <w:r>
        <w:rPr>
          <w:spacing w:val="-7"/>
          <w:sz w:val="22"/>
        </w:rPr>
        <w:t> </w:t>
      </w:r>
      <w:r>
        <w:rPr>
          <w:sz w:val="22"/>
        </w:rPr>
        <w:t>that</w:t>
      </w:r>
      <w:r>
        <w:rPr>
          <w:spacing w:val="-6"/>
          <w:sz w:val="22"/>
        </w:rPr>
        <w:t> </w:t>
      </w:r>
      <w:r>
        <w:rPr>
          <w:sz w:val="22"/>
        </w:rPr>
        <w:t>align</w:t>
      </w:r>
      <w:r>
        <w:rPr>
          <w:spacing w:val="-5"/>
          <w:sz w:val="22"/>
        </w:rPr>
        <w:t> </w:t>
      </w:r>
      <w:r>
        <w:rPr>
          <w:sz w:val="22"/>
        </w:rPr>
        <w:t>with</w:t>
      </w:r>
      <w:r>
        <w:rPr>
          <w:spacing w:val="-7"/>
          <w:sz w:val="22"/>
        </w:rPr>
        <w:t> </w:t>
      </w:r>
      <w:r>
        <w:rPr>
          <w:sz w:val="22"/>
        </w:rPr>
        <w:t>the</w:t>
      </w:r>
      <w:r>
        <w:rPr>
          <w:spacing w:val="-4"/>
          <w:sz w:val="22"/>
        </w:rPr>
        <w:t> </w:t>
      </w:r>
      <w:r>
        <w:rPr>
          <w:sz w:val="22"/>
        </w:rPr>
        <w:t>goals</w:t>
      </w:r>
      <w:r>
        <w:rPr>
          <w:spacing w:val="-4"/>
          <w:sz w:val="22"/>
        </w:rPr>
        <w:t> </w:t>
      </w:r>
      <w:r>
        <w:rPr>
          <w:sz w:val="22"/>
        </w:rPr>
        <w:t>of</w:t>
      </w:r>
      <w:r>
        <w:rPr>
          <w:spacing w:val="-6"/>
          <w:sz w:val="22"/>
        </w:rPr>
        <w:t> </w:t>
      </w:r>
      <w:r>
        <w:rPr>
          <w:sz w:val="22"/>
        </w:rPr>
        <w:t>the</w:t>
      </w:r>
      <w:r>
        <w:rPr>
          <w:spacing w:val="-7"/>
          <w:sz w:val="22"/>
        </w:rPr>
        <w:t> </w:t>
      </w:r>
      <w:r>
        <w:rPr>
          <w:sz w:val="22"/>
        </w:rPr>
        <w:t>ACO’s</w:t>
      </w:r>
      <w:r>
        <w:rPr>
          <w:spacing w:val="-4"/>
          <w:sz w:val="22"/>
        </w:rPr>
        <w:t> </w:t>
      </w:r>
      <w:r>
        <w:rPr>
          <w:sz w:val="22"/>
        </w:rPr>
        <w:t>DSRIP Participation Plan</w:t>
      </w:r>
    </w:p>
    <w:p>
      <w:pPr>
        <w:pStyle w:val="ListParagraph"/>
        <w:numPr>
          <w:ilvl w:val="0"/>
          <w:numId w:val="96"/>
        </w:numPr>
        <w:tabs>
          <w:tab w:pos="2046" w:val="left" w:leader="none"/>
          <w:tab w:pos="2048" w:val="left" w:leader="none"/>
        </w:tabs>
        <w:spacing w:line="240" w:lineRule="auto" w:before="0" w:after="0"/>
        <w:ind w:left="2048" w:right="1094" w:hanging="361"/>
        <w:jc w:val="both"/>
        <w:rPr>
          <w:sz w:val="22"/>
        </w:rPr>
      </w:pPr>
      <w:r>
        <w:rPr>
          <w:sz w:val="22"/>
        </w:rPr>
        <w:t>A workplan, which includes a timeline for the implementation of these activities during a time period determined by the State, as well as identification of the resources that will be responsible for their completion</w:t>
      </w:r>
    </w:p>
    <w:p>
      <w:pPr>
        <w:pStyle w:val="ListParagraph"/>
        <w:numPr>
          <w:ilvl w:val="0"/>
          <w:numId w:val="96"/>
        </w:numPr>
        <w:tabs>
          <w:tab w:pos="2046" w:val="left" w:leader="none"/>
          <w:tab w:pos="2048" w:val="left" w:leader="none"/>
        </w:tabs>
        <w:spacing w:line="240" w:lineRule="auto" w:before="0" w:after="0"/>
        <w:ind w:left="2048" w:right="1093" w:hanging="361"/>
        <w:jc w:val="both"/>
        <w:rPr>
          <w:sz w:val="22"/>
        </w:rPr>
      </w:pPr>
      <w:r>
        <w:rPr>
          <w:sz w:val="22"/>
        </w:rPr>
        <w:t>An accountability plan for these activities, including any milestones or metrics the ACO anticipates and when the ACO anticipates realizing them, and also including a proposed model for</w:t>
      </w:r>
      <w:r>
        <w:rPr>
          <w:spacing w:val="-4"/>
          <w:sz w:val="22"/>
        </w:rPr>
        <w:t> </w:t>
      </w:r>
      <w:r>
        <w:rPr>
          <w:sz w:val="22"/>
        </w:rPr>
        <w:t>the</w:t>
      </w:r>
      <w:r>
        <w:rPr>
          <w:spacing w:val="-2"/>
          <w:sz w:val="22"/>
        </w:rPr>
        <w:t> </w:t>
      </w:r>
      <w:r>
        <w:rPr>
          <w:sz w:val="22"/>
        </w:rPr>
        <w:t>State</w:t>
      </w:r>
      <w:r>
        <w:rPr>
          <w:spacing w:val="-4"/>
          <w:sz w:val="22"/>
        </w:rPr>
        <w:t> </w:t>
      </w:r>
      <w:r>
        <w:rPr>
          <w:sz w:val="22"/>
        </w:rPr>
        <w:t>to</w:t>
      </w:r>
      <w:r>
        <w:rPr>
          <w:spacing w:val="-5"/>
          <w:sz w:val="22"/>
        </w:rPr>
        <w:t> </w:t>
      </w:r>
      <w:r>
        <w:rPr>
          <w:sz w:val="22"/>
        </w:rPr>
        <w:t>monitor</w:t>
      </w:r>
      <w:r>
        <w:rPr>
          <w:spacing w:val="-4"/>
          <w:sz w:val="22"/>
        </w:rPr>
        <w:t> </w:t>
      </w:r>
      <w:r>
        <w:rPr>
          <w:sz w:val="22"/>
        </w:rPr>
        <w:t>the</w:t>
      </w:r>
      <w:r>
        <w:rPr>
          <w:spacing w:val="-4"/>
          <w:sz w:val="22"/>
        </w:rPr>
        <w:t> </w:t>
      </w:r>
      <w:r>
        <w:rPr>
          <w:sz w:val="22"/>
        </w:rPr>
        <w:t>ACO’s</w:t>
      </w:r>
      <w:r>
        <w:rPr>
          <w:spacing w:val="-2"/>
          <w:sz w:val="22"/>
        </w:rPr>
        <w:t> </w:t>
      </w:r>
      <w:r>
        <w:rPr>
          <w:sz w:val="22"/>
        </w:rPr>
        <w:t>implementation</w:t>
      </w:r>
      <w:r>
        <w:rPr>
          <w:spacing w:val="-5"/>
          <w:sz w:val="22"/>
        </w:rPr>
        <w:t> </w:t>
      </w:r>
      <w:r>
        <w:rPr>
          <w:sz w:val="22"/>
        </w:rPr>
        <w:t>of</w:t>
      </w:r>
      <w:r>
        <w:rPr>
          <w:spacing w:val="-4"/>
          <w:sz w:val="22"/>
        </w:rPr>
        <w:t> </w:t>
      </w:r>
      <w:r>
        <w:rPr>
          <w:sz w:val="22"/>
        </w:rPr>
        <w:t>the</w:t>
      </w:r>
      <w:r>
        <w:rPr>
          <w:spacing w:val="-2"/>
          <w:sz w:val="22"/>
        </w:rPr>
        <w:t> </w:t>
      </w:r>
      <w:r>
        <w:rPr>
          <w:sz w:val="22"/>
        </w:rPr>
        <w:t>proposed</w:t>
      </w:r>
      <w:r>
        <w:rPr>
          <w:spacing w:val="-5"/>
          <w:sz w:val="22"/>
        </w:rPr>
        <w:t> </w:t>
      </w:r>
      <w:r>
        <w:rPr>
          <w:sz w:val="22"/>
        </w:rPr>
        <w:t>activities</w:t>
      </w:r>
      <w:r>
        <w:rPr>
          <w:spacing w:val="-2"/>
          <w:sz w:val="22"/>
        </w:rPr>
        <w:t> </w:t>
      </w:r>
      <w:r>
        <w:rPr>
          <w:sz w:val="22"/>
        </w:rPr>
        <w:t>and</w:t>
      </w:r>
      <w:r>
        <w:rPr>
          <w:spacing w:val="-5"/>
          <w:sz w:val="22"/>
        </w:rPr>
        <w:t> </w:t>
      </w:r>
      <w:r>
        <w:rPr>
          <w:sz w:val="22"/>
        </w:rPr>
        <w:t>their</w:t>
      </w:r>
      <w:r>
        <w:rPr>
          <w:spacing w:val="-4"/>
          <w:sz w:val="22"/>
        </w:rPr>
        <w:t> </w:t>
      </w:r>
      <w:r>
        <w:rPr>
          <w:sz w:val="22"/>
        </w:rPr>
        <w:t>success</w:t>
      </w:r>
      <w:r>
        <w:rPr>
          <w:spacing w:val="-4"/>
          <w:sz w:val="22"/>
        </w:rPr>
        <w:t> </w:t>
      </w:r>
      <w:r>
        <w:rPr>
          <w:sz w:val="22"/>
        </w:rPr>
        <w:t>or failure</w:t>
      </w:r>
      <w:r>
        <w:rPr>
          <w:spacing w:val="-5"/>
          <w:sz w:val="22"/>
        </w:rPr>
        <w:t> </w:t>
      </w:r>
      <w:r>
        <w:rPr>
          <w:sz w:val="22"/>
        </w:rPr>
        <w:t>throughout</w:t>
      </w:r>
      <w:r>
        <w:rPr>
          <w:spacing w:val="-5"/>
          <w:sz w:val="22"/>
        </w:rPr>
        <w:t> </w:t>
      </w:r>
      <w:r>
        <w:rPr>
          <w:sz w:val="22"/>
        </w:rPr>
        <w:t>the</w:t>
      </w:r>
      <w:r>
        <w:rPr>
          <w:spacing w:val="-5"/>
          <w:sz w:val="22"/>
        </w:rPr>
        <w:t> </w:t>
      </w:r>
      <w:r>
        <w:rPr>
          <w:sz w:val="22"/>
        </w:rPr>
        <w:t>implementation</w:t>
      </w:r>
      <w:r>
        <w:rPr>
          <w:spacing w:val="-6"/>
          <w:sz w:val="22"/>
        </w:rPr>
        <w:t> </w:t>
      </w:r>
      <w:r>
        <w:rPr>
          <w:sz w:val="22"/>
        </w:rPr>
        <w:t>time</w:t>
      </w:r>
      <w:r>
        <w:rPr>
          <w:spacing w:val="-3"/>
          <w:sz w:val="22"/>
        </w:rPr>
        <w:t> </w:t>
      </w:r>
      <w:r>
        <w:rPr>
          <w:sz w:val="22"/>
        </w:rPr>
        <w:t>period</w:t>
      </w:r>
      <w:r>
        <w:rPr>
          <w:spacing w:val="-6"/>
          <w:sz w:val="22"/>
        </w:rPr>
        <w:t> </w:t>
      </w:r>
      <w:r>
        <w:rPr>
          <w:sz w:val="22"/>
        </w:rPr>
        <w:t>(e.g.,</w:t>
      </w:r>
      <w:r>
        <w:rPr>
          <w:spacing w:val="-3"/>
          <w:sz w:val="22"/>
        </w:rPr>
        <w:t> </w:t>
      </w:r>
      <w:r>
        <w:rPr>
          <w:sz w:val="22"/>
        </w:rPr>
        <w:t>a</w:t>
      </w:r>
      <w:r>
        <w:rPr>
          <w:spacing w:val="-5"/>
          <w:sz w:val="22"/>
        </w:rPr>
        <w:t> </w:t>
      </w:r>
      <w:r>
        <w:rPr>
          <w:sz w:val="22"/>
        </w:rPr>
        <w:t>schedule</w:t>
      </w:r>
      <w:r>
        <w:rPr>
          <w:spacing w:val="-3"/>
          <w:sz w:val="22"/>
        </w:rPr>
        <w:t> </w:t>
      </w:r>
      <w:r>
        <w:rPr>
          <w:sz w:val="22"/>
        </w:rPr>
        <w:t>of</w:t>
      </w:r>
      <w:r>
        <w:rPr>
          <w:spacing w:val="-2"/>
          <w:sz w:val="22"/>
        </w:rPr>
        <w:t> </w:t>
      </w:r>
      <w:r>
        <w:rPr>
          <w:sz w:val="22"/>
        </w:rPr>
        <w:t>site</w:t>
      </w:r>
      <w:r>
        <w:rPr>
          <w:spacing w:val="-3"/>
          <w:sz w:val="22"/>
        </w:rPr>
        <w:t> </w:t>
      </w:r>
      <w:r>
        <w:rPr>
          <w:sz w:val="22"/>
        </w:rPr>
        <w:t>visits,</w:t>
      </w:r>
      <w:r>
        <w:rPr>
          <w:spacing w:val="-3"/>
          <w:sz w:val="22"/>
        </w:rPr>
        <w:t> </w:t>
      </w:r>
      <w:r>
        <w:rPr>
          <w:sz w:val="22"/>
        </w:rPr>
        <w:t>staff</w:t>
      </w:r>
      <w:r>
        <w:rPr>
          <w:spacing w:val="-5"/>
          <w:sz w:val="22"/>
        </w:rPr>
        <w:t> </w:t>
      </w:r>
      <w:r>
        <w:rPr>
          <w:sz w:val="22"/>
        </w:rPr>
        <w:t>interviews, desk reviews, etc.)</w:t>
      </w:r>
    </w:p>
    <w:p>
      <w:pPr>
        <w:pStyle w:val="BodyText"/>
      </w:pPr>
    </w:p>
    <w:p>
      <w:pPr>
        <w:spacing w:before="172"/>
        <w:ind w:left="1220" w:right="1091" w:firstLine="0"/>
        <w:jc w:val="both"/>
        <w:rPr>
          <w:sz w:val="22"/>
        </w:rPr>
      </w:pPr>
      <w:r>
        <w:rPr>
          <w:sz w:val="22"/>
        </w:rPr>
        <w:t>Within 45 calendar days of receiving the Performance Remediation Plan, the State and the Independent Assessor will review the Plan in parallel, and the State, considering the Independent Assessor’s recommendation, will either request additional information regarding the Performance Remediation Plan, or approve it. During the State’s review process, it will determine how much of the 60% of unearned, withheld funds the ACO will be able to earn back, based on the caliber and relevance of the Performance Remediation Plan to the goals of the ACO’s DSRIP Participation Plan. The State will monitor the Plan during the implementation period on an ongoing basis.</w:t>
      </w:r>
      <w:r>
        <w:rPr>
          <w:spacing w:val="40"/>
          <w:sz w:val="22"/>
        </w:rPr>
        <w:t> </w:t>
      </w:r>
      <w:r>
        <w:rPr>
          <w:sz w:val="22"/>
        </w:rPr>
        <w:t>Additionally, the State will assign a Performance Remediation Plan Score to</w:t>
      </w:r>
      <w:r>
        <w:rPr>
          <w:spacing w:val="-1"/>
          <w:sz w:val="22"/>
        </w:rPr>
        <w:t> </w:t>
      </w:r>
      <w:r>
        <w:rPr>
          <w:sz w:val="22"/>
        </w:rPr>
        <w:t>the ACO, based on the State’s ongoing monitoring of the Plan, and supporting documentation</w:t>
      </w:r>
      <w:r>
        <w:rPr>
          <w:spacing w:val="22"/>
          <w:sz w:val="22"/>
        </w:rPr>
        <w:t> </w:t>
      </w:r>
      <w:r>
        <w:rPr>
          <w:sz w:val="22"/>
        </w:rPr>
        <w:t>submitted</w:t>
      </w:r>
      <w:r>
        <w:rPr>
          <w:spacing w:val="22"/>
          <w:sz w:val="22"/>
        </w:rPr>
        <w:t> </w:t>
      </w:r>
      <w:r>
        <w:rPr>
          <w:sz w:val="22"/>
        </w:rPr>
        <w:t>by</w:t>
      </w:r>
      <w:r>
        <w:rPr>
          <w:spacing w:val="19"/>
          <w:sz w:val="22"/>
        </w:rPr>
        <w:t> </w:t>
      </w:r>
      <w:r>
        <w:rPr>
          <w:sz w:val="22"/>
        </w:rPr>
        <w:t>the</w:t>
      </w:r>
      <w:r>
        <w:rPr>
          <w:spacing w:val="22"/>
          <w:sz w:val="22"/>
        </w:rPr>
        <w:t> </w:t>
      </w:r>
      <w:r>
        <w:rPr>
          <w:sz w:val="22"/>
        </w:rPr>
        <w:t>ACO</w:t>
      </w:r>
      <w:r>
        <w:rPr>
          <w:spacing w:val="21"/>
          <w:sz w:val="22"/>
        </w:rPr>
        <w:t> </w:t>
      </w:r>
      <w:r>
        <w:rPr>
          <w:sz w:val="22"/>
        </w:rPr>
        <w:t>in</w:t>
      </w:r>
      <w:r>
        <w:rPr>
          <w:spacing w:val="22"/>
          <w:sz w:val="22"/>
        </w:rPr>
        <w:t> </w:t>
      </w:r>
      <w:r>
        <w:rPr>
          <w:sz w:val="22"/>
        </w:rPr>
        <w:t>its</w:t>
      </w:r>
      <w:r>
        <w:rPr>
          <w:spacing w:val="19"/>
          <w:sz w:val="22"/>
        </w:rPr>
        <w:t> </w:t>
      </w:r>
      <w:r>
        <w:rPr>
          <w:sz w:val="22"/>
        </w:rPr>
        <w:t>semiannual</w:t>
      </w:r>
      <w:r>
        <w:rPr>
          <w:spacing w:val="23"/>
          <w:sz w:val="22"/>
        </w:rPr>
        <w:t> </w:t>
      </w:r>
      <w:r>
        <w:rPr>
          <w:sz w:val="22"/>
        </w:rPr>
        <w:t>progress</w:t>
      </w:r>
      <w:r>
        <w:rPr>
          <w:spacing w:val="21"/>
          <w:sz w:val="22"/>
        </w:rPr>
        <w:t> </w:t>
      </w:r>
      <w:r>
        <w:rPr>
          <w:sz w:val="22"/>
        </w:rPr>
        <w:t>report</w:t>
      </w:r>
      <w:r>
        <w:rPr>
          <w:spacing w:val="20"/>
          <w:sz w:val="22"/>
        </w:rPr>
        <w:t> </w:t>
      </w:r>
      <w:r>
        <w:rPr>
          <w:sz w:val="22"/>
        </w:rPr>
        <w:t>for</w:t>
      </w:r>
      <w:r>
        <w:rPr>
          <w:spacing w:val="20"/>
          <w:sz w:val="22"/>
        </w:rPr>
        <w:t> </w:t>
      </w:r>
      <w:r>
        <w:rPr>
          <w:sz w:val="22"/>
        </w:rPr>
        <w:t>the</w:t>
      </w:r>
      <w:r>
        <w:rPr>
          <w:spacing w:val="20"/>
          <w:sz w:val="22"/>
        </w:rPr>
        <w:t> </w:t>
      </w:r>
      <w:r>
        <w:rPr>
          <w:sz w:val="22"/>
        </w:rPr>
        <w:t>first</w:t>
      </w:r>
      <w:r>
        <w:rPr>
          <w:spacing w:val="23"/>
          <w:sz w:val="22"/>
        </w:rPr>
        <w:t> </w:t>
      </w:r>
      <w:r>
        <w:rPr>
          <w:sz w:val="22"/>
        </w:rPr>
        <w:t>half</w:t>
      </w:r>
      <w:r>
        <w:rPr>
          <w:spacing w:val="23"/>
          <w:sz w:val="22"/>
        </w:rPr>
        <w:t> </w:t>
      </w:r>
      <w:r>
        <w:rPr>
          <w:sz w:val="22"/>
        </w:rPr>
        <w:t>of</w:t>
      </w:r>
      <w:r>
        <w:rPr>
          <w:spacing w:val="20"/>
          <w:sz w:val="22"/>
        </w:rPr>
        <w:t> </w:t>
      </w:r>
      <w:r>
        <w:rPr>
          <w:sz w:val="22"/>
        </w:rPr>
        <w:t>the</w:t>
      </w:r>
      <w:r>
        <w:rPr>
          <w:spacing w:val="23"/>
          <w:sz w:val="22"/>
        </w:rPr>
        <w:t> </w:t>
      </w:r>
      <w:r>
        <w:rPr>
          <w:spacing w:val="-2"/>
          <w:sz w:val="22"/>
        </w:rPr>
        <w:t>Budget</w:t>
      </w:r>
    </w:p>
    <w:p>
      <w:pPr>
        <w:spacing w:after="0"/>
        <w:jc w:val="both"/>
        <w:rPr>
          <w:sz w:val="22"/>
        </w:rPr>
        <w:sectPr>
          <w:pgSz w:w="12240" w:h="15840"/>
          <w:pgMar w:header="0" w:footer="967" w:top="1360" w:bottom="1160" w:left="220" w:right="340"/>
        </w:sectPr>
      </w:pPr>
    </w:p>
    <w:p>
      <w:pPr>
        <w:spacing w:before="78"/>
        <w:ind w:left="1219" w:right="1093" w:firstLine="0"/>
        <w:jc w:val="both"/>
        <w:rPr>
          <w:sz w:val="22"/>
        </w:rPr>
      </w:pPr>
      <w:r>
        <w:rPr>
          <w:sz w:val="22"/>
        </w:rPr>
        <w:t>Period in question.</w:t>
      </w:r>
      <w:r>
        <w:rPr>
          <w:spacing w:val="40"/>
          <w:sz w:val="22"/>
        </w:rPr>
        <w:t> </w:t>
      </w:r>
      <w:r>
        <w:rPr>
          <w:sz w:val="22"/>
        </w:rPr>
        <w:t>The Performance Remediation Plan Score will be a single point value between 0 and 10 inclusive, and will determine how much of the ACO’s unearned, withheld funds can be earned back.</w:t>
      </w:r>
    </w:p>
    <w:p>
      <w:pPr>
        <w:spacing w:line="242" w:lineRule="auto" w:before="159"/>
        <w:ind w:left="1219" w:right="1092" w:firstLine="0"/>
        <w:jc w:val="both"/>
        <w:rPr>
          <w:sz w:val="22"/>
        </w:rPr>
      </w:pPr>
      <w:r>
        <w:rPr>
          <w:sz w:val="22"/>
        </w:rPr>
        <w:t>For example, if (1) an ACO has $100,000 of unearned, withheld funds; (2) the State determines that an ACO will be able to earn back 50% of the ACO’s unearned, withheld funds (out of a 60% maximum percentage); and (3) the ACO achieves a Performance Remediation Plan Score of 7 out of 10, then the ACO’s final earned funds will be equal to $100,000 * 50% * (7 / 10) = $35,000.</w:t>
      </w:r>
    </w:p>
    <w:p>
      <w:pPr>
        <w:pStyle w:val="ListParagraph"/>
        <w:numPr>
          <w:ilvl w:val="3"/>
          <w:numId w:val="77"/>
        </w:numPr>
        <w:tabs>
          <w:tab w:pos="1938" w:val="left" w:leader="none"/>
        </w:tabs>
        <w:spacing w:line="240" w:lineRule="auto" w:before="192" w:after="0"/>
        <w:ind w:left="1938" w:right="0" w:hanging="719"/>
        <w:jc w:val="left"/>
        <w:rPr>
          <w:b/>
          <w:i/>
          <w:color w:val="4471C4"/>
          <w:sz w:val="22"/>
        </w:rPr>
      </w:pPr>
      <w:bookmarkStart w:name="5.3.4.3 The DSRIP Advisory Committee on " w:id="1406"/>
      <w:bookmarkEnd w:id="1406"/>
      <w:r>
        <w:rPr/>
      </w:r>
      <w:r>
        <w:rPr>
          <w:b/>
          <w:i/>
          <w:color w:val="4471C4"/>
          <w:sz w:val="22"/>
        </w:rPr>
        <w:t>The</w:t>
      </w:r>
      <w:r>
        <w:rPr>
          <w:b/>
          <w:i/>
          <w:color w:val="4471C4"/>
          <w:spacing w:val="-3"/>
          <w:sz w:val="22"/>
        </w:rPr>
        <w:t> </w:t>
      </w:r>
      <w:r>
        <w:rPr>
          <w:b/>
          <w:i/>
          <w:color w:val="4471C4"/>
          <w:sz w:val="22"/>
        </w:rPr>
        <w:t>DSRIP</w:t>
      </w:r>
      <w:r>
        <w:rPr>
          <w:b/>
          <w:i/>
          <w:color w:val="4471C4"/>
          <w:spacing w:val="-4"/>
          <w:sz w:val="22"/>
        </w:rPr>
        <w:t> </w:t>
      </w:r>
      <w:r>
        <w:rPr>
          <w:b/>
          <w:i/>
          <w:color w:val="4471C4"/>
          <w:sz w:val="22"/>
        </w:rPr>
        <w:t>Advisory</w:t>
      </w:r>
      <w:r>
        <w:rPr>
          <w:b/>
          <w:i/>
          <w:color w:val="4471C4"/>
          <w:spacing w:val="-5"/>
          <w:sz w:val="22"/>
        </w:rPr>
        <w:t> </w:t>
      </w:r>
      <w:r>
        <w:rPr>
          <w:b/>
          <w:i/>
          <w:color w:val="4471C4"/>
          <w:sz w:val="22"/>
        </w:rPr>
        <w:t>Committee</w:t>
      </w:r>
      <w:r>
        <w:rPr>
          <w:b/>
          <w:i/>
          <w:color w:val="4471C4"/>
          <w:spacing w:val="-3"/>
          <w:sz w:val="22"/>
        </w:rPr>
        <w:t> </w:t>
      </w:r>
      <w:r>
        <w:rPr>
          <w:b/>
          <w:i/>
          <w:color w:val="4471C4"/>
          <w:sz w:val="22"/>
        </w:rPr>
        <w:t>on</w:t>
      </w:r>
      <w:r>
        <w:rPr>
          <w:b/>
          <w:i/>
          <w:color w:val="4471C4"/>
          <w:spacing w:val="-3"/>
          <w:sz w:val="22"/>
        </w:rPr>
        <w:t> </w:t>
      </w:r>
      <w:r>
        <w:rPr>
          <w:b/>
          <w:i/>
          <w:color w:val="4471C4"/>
          <w:spacing w:val="-2"/>
          <w:sz w:val="22"/>
        </w:rPr>
        <w:t>Quality</w:t>
      </w:r>
    </w:p>
    <w:p>
      <w:pPr>
        <w:spacing w:before="2"/>
        <w:ind w:left="1275" w:right="0" w:firstLine="0"/>
        <w:jc w:val="both"/>
        <w:rPr>
          <w:b/>
          <w:sz w:val="22"/>
        </w:rPr>
      </w:pPr>
      <w:r>
        <w:rPr>
          <w:sz w:val="22"/>
        </w:rPr>
        <w:t>See</w:t>
      </w:r>
      <w:r>
        <w:rPr>
          <w:spacing w:val="-6"/>
          <w:sz w:val="22"/>
        </w:rPr>
        <w:t> </w:t>
      </w:r>
      <w:r>
        <w:rPr>
          <w:sz w:val="22"/>
        </w:rPr>
        <w:t>Section</w:t>
      </w:r>
      <w:r>
        <w:rPr>
          <w:spacing w:val="-3"/>
          <w:sz w:val="22"/>
        </w:rPr>
        <w:t> </w:t>
      </w:r>
      <w:r>
        <w:rPr>
          <w:sz w:val="22"/>
        </w:rPr>
        <w:t>6.2.1</w:t>
      </w:r>
      <w:r>
        <w:rPr>
          <w:spacing w:val="-3"/>
          <w:sz w:val="22"/>
        </w:rPr>
        <w:t> </w:t>
      </w:r>
      <w:r>
        <w:rPr>
          <w:sz w:val="22"/>
        </w:rPr>
        <w:t>for</w:t>
      </w:r>
      <w:r>
        <w:rPr>
          <w:spacing w:val="-3"/>
          <w:sz w:val="22"/>
        </w:rPr>
        <w:t> </w:t>
      </w:r>
      <w:r>
        <w:rPr>
          <w:sz w:val="22"/>
        </w:rPr>
        <w:t>discussion</w:t>
      </w:r>
      <w:r>
        <w:rPr>
          <w:spacing w:val="-3"/>
          <w:sz w:val="22"/>
        </w:rPr>
        <w:t> </w:t>
      </w:r>
      <w:r>
        <w:rPr>
          <w:sz w:val="22"/>
        </w:rPr>
        <w:t>of</w:t>
      </w:r>
      <w:r>
        <w:rPr>
          <w:spacing w:val="-5"/>
          <w:sz w:val="22"/>
        </w:rPr>
        <w:t> </w:t>
      </w:r>
      <w:r>
        <w:rPr>
          <w:sz w:val="22"/>
        </w:rPr>
        <w:t>the</w:t>
      </w:r>
      <w:r>
        <w:rPr>
          <w:spacing w:val="-4"/>
          <w:sz w:val="22"/>
        </w:rPr>
        <w:t> </w:t>
      </w:r>
      <w:r>
        <w:rPr>
          <w:sz w:val="22"/>
        </w:rPr>
        <w:t>Advisory</w:t>
      </w:r>
      <w:r>
        <w:rPr>
          <w:spacing w:val="-6"/>
          <w:sz w:val="22"/>
        </w:rPr>
        <w:t> </w:t>
      </w:r>
      <w:r>
        <w:rPr>
          <w:sz w:val="22"/>
        </w:rPr>
        <w:t>Committee</w:t>
      </w:r>
      <w:r>
        <w:rPr>
          <w:spacing w:val="-3"/>
          <w:sz w:val="22"/>
        </w:rPr>
        <w:t> </w:t>
      </w:r>
      <w:r>
        <w:rPr>
          <w:sz w:val="22"/>
        </w:rPr>
        <w:t>on</w:t>
      </w:r>
      <w:r>
        <w:rPr>
          <w:spacing w:val="-3"/>
          <w:sz w:val="22"/>
        </w:rPr>
        <w:t> </w:t>
      </w:r>
      <w:r>
        <w:rPr>
          <w:sz w:val="22"/>
        </w:rPr>
        <w:t>Quality’s</w:t>
      </w:r>
      <w:r>
        <w:rPr>
          <w:spacing w:val="-5"/>
          <w:sz w:val="22"/>
        </w:rPr>
        <w:t> </w:t>
      </w:r>
      <w:r>
        <w:rPr>
          <w:spacing w:val="-2"/>
          <w:sz w:val="22"/>
        </w:rPr>
        <w:t>role</w:t>
      </w:r>
      <w:r>
        <w:rPr>
          <w:b/>
          <w:spacing w:val="-2"/>
          <w:sz w:val="22"/>
        </w:rPr>
        <w:t>.</w:t>
      </w:r>
    </w:p>
    <w:p>
      <w:pPr>
        <w:pStyle w:val="ListParagraph"/>
        <w:numPr>
          <w:ilvl w:val="2"/>
          <w:numId w:val="77"/>
        </w:numPr>
        <w:tabs>
          <w:tab w:pos="1580" w:val="left" w:leader="none"/>
          <w:tab w:pos="1939" w:val="left" w:leader="none"/>
        </w:tabs>
        <w:spacing w:line="240" w:lineRule="auto" w:before="198" w:after="0"/>
        <w:ind w:left="1580" w:right="2374" w:hanging="361"/>
        <w:jc w:val="left"/>
        <w:rPr>
          <w:b/>
          <w:color w:val="4471C4"/>
          <w:sz w:val="22"/>
        </w:rPr>
      </w:pPr>
      <w:bookmarkStart w:name="5.3.5 Timeline of ACO DSRIP Accountabili" w:id="1407"/>
      <w:bookmarkEnd w:id="1407"/>
      <w:r>
        <w:rPr/>
      </w:r>
      <w:bookmarkStart w:name="_bookmark85" w:id="1408"/>
      <w:bookmarkEnd w:id="1408"/>
      <w:r>
        <w:rPr/>
      </w:r>
      <w:r>
        <w:rPr>
          <w:b/>
          <w:color w:val="4471C4"/>
          <w:sz w:val="22"/>
        </w:rPr>
        <w:t>Timeline of ACO DSRIP Accountability Score data collection, calculation, and disbursement of DSRIP payments</w:t>
      </w:r>
    </w:p>
    <w:p>
      <w:pPr>
        <w:spacing w:line="244" w:lineRule="auto" w:before="0"/>
        <w:ind w:left="1220" w:right="1095" w:firstLine="0"/>
        <w:jc w:val="both"/>
        <w:rPr>
          <w:sz w:val="22"/>
        </w:rPr>
      </w:pPr>
      <w:r>
        <w:rPr>
          <w:sz w:val="22"/>
        </w:rPr>
        <w:t>The timeline for ACO DSRIP Accountability Score calculation and disbursement of DSRIP payments to ACOs is anticipated to be as follows:</w:t>
      </w:r>
    </w:p>
    <w:p>
      <w:pPr>
        <w:pStyle w:val="ListParagraph"/>
        <w:numPr>
          <w:ilvl w:val="0"/>
          <w:numId w:val="97"/>
        </w:numPr>
        <w:tabs>
          <w:tab w:pos="1940" w:val="left" w:leader="none"/>
        </w:tabs>
        <w:spacing w:line="240" w:lineRule="auto" w:before="150" w:after="0"/>
        <w:ind w:left="1940" w:right="0" w:hanging="360"/>
        <w:jc w:val="left"/>
        <w:rPr>
          <w:sz w:val="22"/>
        </w:rPr>
      </w:pPr>
      <w:r>
        <w:rPr>
          <w:sz w:val="22"/>
        </w:rPr>
        <w:t>ACO</w:t>
      </w:r>
      <w:r>
        <w:rPr>
          <w:spacing w:val="-4"/>
          <w:sz w:val="22"/>
        </w:rPr>
        <w:t> </w:t>
      </w:r>
      <w:r>
        <w:rPr>
          <w:sz w:val="22"/>
        </w:rPr>
        <w:t>Budget</w:t>
      </w:r>
      <w:r>
        <w:rPr>
          <w:spacing w:val="-1"/>
          <w:sz w:val="22"/>
        </w:rPr>
        <w:t> </w:t>
      </w:r>
      <w:r>
        <w:rPr>
          <w:sz w:val="22"/>
        </w:rPr>
        <w:t>Period</w:t>
      </w:r>
      <w:r>
        <w:rPr>
          <w:spacing w:val="-5"/>
          <w:sz w:val="22"/>
        </w:rPr>
        <w:t> </w:t>
      </w:r>
      <w:r>
        <w:rPr>
          <w:spacing w:val="-2"/>
          <w:sz w:val="22"/>
        </w:rPr>
        <w:t>Closes</w:t>
      </w:r>
    </w:p>
    <w:p>
      <w:pPr>
        <w:pStyle w:val="ListParagraph"/>
        <w:numPr>
          <w:ilvl w:val="0"/>
          <w:numId w:val="97"/>
        </w:numPr>
        <w:tabs>
          <w:tab w:pos="1940" w:val="left" w:leader="none"/>
        </w:tabs>
        <w:spacing w:line="240" w:lineRule="auto" w:before="199" w:after="0"/>
        <w:ind w:left="1940" w:right="0" w:hanging="360"/>
        <w:jc w:val="left"/>
        <w:rPr>
          <w:sz w:val="22"/>
        </w:rPr>
      </w:pPr>
      <w:r>
        <w:rPr>
          <w:sz w:val="22"/>
        </w:rPr>
        <w:t>Member</w:t>
      </w:r>
      <w:r>
        <w:rPr>
          <w:spacing w:val="-5"/>
          <w:sz w:val="22"/>
        </w:rPr>
        <w:t> </w:t>
      </w:r>
      <w:r>
        <w:rPr>
          <w:sz w:val="22"/>
        </w:rPr>
        <w:t>experience</w:t>
      </w:r>
      <w:r>
        <w:rPr>
          <w:spacing w:val="-3"/>
          <w:sz w:val="22"/>
        </w:rPr>
        <w:t> </w:t>
      </w:r>
      <w:r>
        <w:rPr>
          <w:sz w:val="22"/>
        </w:rPr>
        <w:t>survey</w:t>
      </w:r>
      <w:r>
        <w:rPr>
          <w:spacing w:val="-4"/>
          <w:sz w:val="22"/>
        </w:rPr>
        <w:t> </w:t>
      </w:r>
      <w:r>
        <w:rPr>
          <w:sz w:val="22"/>
        </w:rPr>
        <w:t>results</w:t>
      </w:r>
      <w:r>
        <w:rPr>
          <w:spacing w:val="-3"/>
          <w:sz w:val="22"/>
        </w:rPr>
        <w:t> </w:t>
      </w:r>
      <w:r>
        <w:rPr>
          <w:sz w:val="22"/>
        </w:rPr>
        <w:t>270</w:t>
      </w:r>
      <w:r>
        <w:rPr>
          <w:spacing w:val="-7"/>
          <w:sz w:val="22"/>
        </w:rPr>
        <w:t> </w:t>
      </w:r>
      <w:r>
        <w:rPr>
          <w:sz w:val="22"/>
        </w:rPr>
        <w:t>calendar</w:t>
      </w:r>
      <w:r>
        <w:rPr>
          <w:spacing w:val="-2"/>
          <w:sz w:val="22"/>
        </w:rPr>
        <w:t> </w:t>
      </w:r>
      <w:r>
        <w:rPr>
          <w:sz w:val="22"/>
        </w:rPr>
        <w:t>days</w:t>
      </w:r>
      <w:r>
        <w:rPr>
          <w:spacing w:val="-4"/>
          <w:sz w:val="22"/>
        </w:rPr>
        <w:t> </w:t>
      </w:r>
      <w:r>
        <w:rPr>
          <w:sz w:val="22"/>
        </w:rPr>
        <w:t>of</w:t>
      </w:r>
      <w:r>
        <w:rPr>
          <w:spacing w:val="-5"/>
          <w:sz w:val="22"/>
        </w:rPr>
        <w:t> </w:t>
      </w:r>
      <w:r>
        <w:rPr>
          <w:sz w:val="22"/>
        </w:rPr>
        <w:t>BP</w:t>
      </w:r>
      <w:r>
        <w:rPr>
          <w:spacing w:val="-4"/>
          <w:sz w:val="22"/>
        </w:rPr>
        <w:t> </w:t>
      </w:r>
      <w:r>
        <w:rPr>
          <w:spacing w:val="-2"/>
          <w:sz w:val="22"/>
        </w:rPr>
        <w:t>closing</w:t>
      </w:r>
    </w:p>
    <w:p>
      <w:pPr>
        <w:pStyle w:val="ListParagraph"/>
        <w:numPr>
          <w:ilvl w:val="0"/>
          <w:numId w:val="97"/>
        </w:numPr>
        <w:tabs>
          <w:tab w:pos="1940" w:val="left" w:leader="none"/>
        </w:tabs>
        <w:spacing w:line="240" w:lineRule="auto" w:before="200" w:after="0"/>
        <w:ind w:left="1940" w:right="1094" w:hanging="361"/>
        <w:jc w:val="left"/>
        <w:rPr>
          <w:sz w:val="22"/>
        </w:rPr>
      </w:pPr>
      <w:r>
        <w:rPr>
          <w:sz w:val="22"/>
        </w:rPr>
        <w:t>State</w:t>
      </w:r>
      <w:r>
        <w:rPr>
          <w:spacing w:val="-10"/>
          <w:sz w:val="22"/>
        </w:rPr>
        <w:t> </w:t>
      </w:r>
      <w:r>
        <w:rPr>
          <w:sz w:val="22"/>
        </w:rPr>
        <w:t>determines</w:t>
      </w:r>
      <w:r>
        <w:rPr>
          <w:spacing w:val="-10"/>
          <w:sz w:val="22"/>
        </w:rPr>
        <w:t> </w:t>
      </w:r>
      <w:r>
        <w:rPr>
          <w:sz w:val="22"/>
        </w:rPr>
        <w:t>denominators</w:t>
      </w:r>
      <w:r>
        <w:rPr>
          <w:spacing w:val="-10"/>
          <w:sz w:val="22"/>
        </w:rPr>
        <w:t> </w:t>
      </w:r>
      <w:r>
        <w:rPr>
          <w:sz w:val="22"/>
        </w:rPr>
        <w:t>and</w:t>
      </w:r>
      <w:r>
        <w:rPr>
          <w:spacing w:val="-10"/>
          <w:sz w:val="22"/>
        </w:rPr>
        <w:t> </w:t>
      </w:r>
      <w:r>
        <w:rPr>
          <w:sz w:val="22"/>
        </w:rPr>
        <w:t>sample</w:t>
      </w:r>
      <w:r>
        <w:rPr>
          <w:spacing w:val="-10"/>
          <w:sz w:val="22"/>
        </w:rPr>
        <w:t> </w:t>
      </w:r>
      <w:r>
        <w:rPr>
          <w:sz w:val="22"/>
        </w:rPr>
        <w:t>populations</w:t>
      </w:r>
      <w:r>
        <w:rPr>
          <w:spacing w:val="-11"/>
          <w:sz w:val="22"/>
        </w:rPr>
        <w:t> </w:t>
      </w:r>
      <w:r>
        <w:rPr>
          <w:sz w:val="22"/>
        </w:rPr>
        <w:t>(i.e.,</w:t>
      </w:r>
      <w:r>
        <w:rPr>
          <w:spacing w:val="-10"/>
          <w:sz w:val="22"/>
        </w:rPr>
        <w:t> </w:t>
      </w:r>
      <w:r>
        <w:rPr>
          <w:sz w:val="22"/>
        </w:rPr>
        <w:t>the</w:t>
      </w:r>
      <w:r>
        <w:rPr>
          <w:spacing w:val="-10"/>
          <w:sz w:val="22"/>
        </w:rPr>
        <w:t> </w:t>
      </w:r>
      <w:r>
        <w:rPr>
          <w:sz w:val="22"/>
        </w:rPr>
        <w:t>specific</w:t>
      </w:r>
      <w:r>
        <w:rPr>
          <w:spacing w:val="-10"/>
          <w:sz w:val="22"/>
        </w:rPr>
        <w:t> </w:t>
      </w:r>
      <w:r>
        <w:rPr>
          <w:sz w:val="22"/>
        </w:rPr>
        <w:t>members</w:t>
      </w:r>
      <w:r>
        <w:rPr>
          <w:spacing w:val="-10"/>
          <w:sz w:val="22"/>
        </w:rPr>
        <w:t> </w:t>
      </w:r>
      <w:r>
        <w:rPr>
          <w:sz w:val="22"/>
        </w:rPr>
        <w:t>whose</w:t>
      </w:r>
      <w:r>
        <w:rPr>
          <w:spacing w:val="-10"/>
          <w:sz w:val="22"/>
        </w:rPr>
        <w:t> </w:t>
      </w:r>
      <w:r>
        <w:rPr>
          <w:sz w:val="22"/>
        </w:rPr>
        <w:t>data</w:t>
      </w:r>
      <w:r>
        <w:rPr>
          <w:spacing w:val="-10"/>
          <w:sz w:val="22"/>
        </w:rPr>
        <w:t> </w:t>
      </w:r>
      <w:r>
        <w:rPr>
          <w:sz w:val="22"/>
        </w:rPr>
        <w:t>each ACO must submit) for the clinical quality measures within 210 calendar days of BP closing</w:t>
      </w:r>
    </w:p>
    <w:p>
      <w:pPr>
        <w:pStyle w:val="ListParagraph"/>
        <w:numPr>
          <w:ilvl w:val="0"/>
          <w:numId w:val="97"/>
        </w:numPr>
        <w:tabs>
          <w:tab w:pos="1940" w:val="left" w:leader="none"/>
        </w:tabs>
        <w:spacing w:line="240" w:lineRule="auto" w:before="198" w:after="0"/>
        <w:ind w:left="1940" w:right="1094" w:hanging="361"/>
        <w:jc w:val="left"/>
        <w:rPr>
          <w:sz w:val="22"/>
        </w:rPr>
      </w:pPr>
      <w:r>
        <w:rPr>
          <w:sz w:val="22"/>
        </w:rPr>
        <w:t>ACOs</w:t>
      </w:r>
      <w:r>
        <w:rPr>
          <w:spacing w:val="31"/>
          <w:sz w:val="22"/>
        </w:rPr>
        <w:t> </w:t>
      </w:r>
      <w:r>
        <w:rPr>
          <w:sz w:val="22"/>
        </w:rPr>
        <w:t>submit</w:t>
      </w:r>
      <w:r>
        <w:rPr>
          <w:spacing w:val="31"/>
          <w:sz w:val="22"/>
        </w:rPr>
        <w:t> </w:t>
      </w:r>
      <w:r>
        <w:rPr>
          <w:sz w:val="22"/>
        </w:rPr>
        <w:t>clinical</w:t>
      </w:r>
      <w:r>
        <w:rPr>
          <w:spacing w:val="31"/>
          <w:sz w:val="22"/>
        </w:rPr>
        <w:t> </w:t>
      </w:r>
      <w:r>
        <w:rPr>
          <w:sz w:val="22"/>
        </w:rPr>
        <w:t>quality</w:t>
      </w:r>
      <w:r>
        <w:rPr>
          <w:spacing w:val="28"/>
          <w:sz w:val="22"/>
        </w:rPr>
        <w:t> </w:t>
      </w:r>
      <w:r>
        <w:rPr>
          <w:sz w:val="22"/>
        </w:rPr>
        <w:t>data</w:t>
      </w:r>
      <w:r>
        <w:rPr>
          <w:spacing w:val="31"/>
          <w:sz w:val="22"/>
        </w:rPr>
        <w:t> </w:t>
      </w:r>
      <w:r>
        <w:rPr>
          <w:sz w:val="22"/>
        </w:rPr>
        <w:t>within</w:t>
      </w:r>
      <w:r>
        <w:rPr>
          <w:spacing w:val="30"/>
          <w:sz w:val="22"/>
        </w:rPr>
        <w:t> </w:t>
      </w:r>
      <w:r>
        <w:rPr>
          <w:sz w:val="22"/>
        </w:rPr>
        <w:t>90</w:t>
      </w:r>
      <w:r>
        <w:rPr>
          <w:spacing w:val="30"/>
          <w:sz w:val="22"/>
        </w:rPr>
        <w:t> </w:t>
      </w:r>
      <w:r>
        <w:rPr>
          <w:sz w:val="22"/>
        </w:rPr>
        <w:t>calendar</w:t>
      </w:r>
      <w:r>
        <w:rPr>
          <w:spacing w:val="31"/>
          <w:sz w:val="22"/>
        </w:rPr>
        <w:t> </w:t>
      </w:r>
      <w:r>
        <w:rPr>
          <w:sz w:val="22"/>
        </w:rPr>
        <w:t>days</w:t>
      </w:r>
      <w:r>
        <w:rPr>
          <w:spacing w:val="31"/>
          <w:sz w:val="22"/>
        </w:rPr>
        <w:t> </w:t>
      </w:r>
      <w:r>
        <w:rPr>
          <w:sz w:val="22"/>
        </w:rPr>
        <w:t>of</w:t>
      </w:r>
      <w:r>
        <w:rPr>
          <w:spacing w:val="29"/>
          <w:sz w:val="22"/>
        </w:rPr>
        <w:t> </w:t>
      </w:r>
      <w:r>
        <w:rPr>
          <w:sz w:val="22"/>
        </w:rPr>
        <w:t>receiving</w:t>
      </w:r>
      <w:r>
        <w:rPr>
          <w:spacing w:val="28"/>
          <w:sz w:val="22"/>
        </w:rPr>
        <w:t> </w:t>
      </w:r>
      <w:r>
        <w:rPr>
          <w:sz w:val="22"/>
        </w:rPr>
        <w:t>the</w:t>
      </w:r>
      <w:r>
        <w:rPr>
          <w:spacing w:val="31"/>
          <w:sz w:val="22"/>
        </w:rPr>
        <w:t> </w:t>
      </w:r>
      <w:r>
        <w:rPr>
          <w:sz w:val="22"/>
        </w:rPr>
        <w:t>denominators</w:t>
      </w:r>
      <w:r>
        <w:rPr>
          <w:spacing w:val="31"/>
          <w:sz w:val="22"/>
        </w:rPr>
        <w:t> </w:t>
      </w:r>
      <w:r>
        <w:rPr>
          <w:sz w:val="22"/>
        </w:rPr>
        <w:t>and sample populations for the clinical quality measures</w:t>
      </w:r>
    </w:p>
    <w:p>
      <w:pPr>
        <w:pStyle w:val="ListParagraph"/>
        <w:numPr>
          <w:ilvl w:val="0"/>
          <w:numId w:val="97"/>
        </w:numPr>
        <w:tabs>
          <w:tab w:pos="1940" w:val="left" w:leader="none"/>
        </w:tabs>
        <w:spacing w:line="240" w:lineRule="auto" w:before="200" w:after="0"/>
        <w:ind w:left="1940" w:right="1095" w:hanging="361"/>
        <w:jc w:val="left"/>
        <w:rPr>
          <w:sz w:val="22"/>
        </w:rPr>
      </w:pPr>
      <w:r>
        <w:rPr>
          <w:sz w:val="22"/>
        </w:rPr>
        <w:t>State</w:t>
      </w:r>
      <w:r>
        <w:rPr>
          <w:spacing w:val="40"/>
          <w:sz w:val="22"/>
        </w:rPr>
        <w:t> </w:t>
      </w:r>
      <w:r>
        <w:rPr>
          <w:sz w:val="22"/>
        </w:rPr>
        <w:t>calculates</w:t>
      </w:r>
      <w:r>
        <w:rPr>
          <w:spacing w:val="40"/>
          <w:sz w:val="22"/>
        </w:rPr>
        <w:t> </w:t>
      </w:r>
      <w:r>
        <w:rPr>
          <w:sz w:val="22"/>
        </w:rPr>
        <w:t>ACO</w:t>
      </w:r>
      <w:r>
        <w:rPr>
          <w:spacing w:val="40"/>
          <w:sz w:val="22"/>
        </w:rPr>
        <w:t> </w:t>
      </w:r>
      <w:r>
        <w:rPr>
          <w:sz w:val="22"/>
        </w:rPr>
        <w:t>DSRIP</w:t>
      </w:r>
      <w:r>
        <w:rPr>
          <w:spacing w:val="40"/>
          <w:sz w:val="22"/>
        </w:rPr>
        <w:t> </w:t>
      </w:r>
      <w:r>
        <w:rPr>
          <w:sz w:val="22"/>
        </w:rPr>
        <w:t>Accountability</w:t>
      </w:r>
      <w:r>
        <w:rPr>
          <w:spacing w:val="40"/>
          <w:sz w:val="22"/>
        </w:rPr>
        <w:t> </w:t>
      </w:r>
      <w:r>
        <w:rPr>
          <w:sz w:val="22"/>
        </w:rPr>
        <w:t>Score</w:t>
      </w:r>
      <w:r>
        <w:rPr>
          <w:spacing w:val="40"/>
          <w:sz w:val="22"/>
        </w:rPr>
        <w:t> </w:t>
      </w:r>
      <w:r>
        <w:rPr>
          <w:sz w:val="22"/>
        </w:rPr>
        <w:t>within</w:t>
      </w:r>
      <w:r>
        <w:rPr>
          <w:spacing w:val="40"/>
          <w:sz w:val="22"/>
        </w:rPr>
        <w:t> </w:t>
      </w:r>
      <w:r>
        <w:rPr>
          <w:sz w:val="22"/>
        </w:rPr>
        <w:t>90</w:t>
      </w:r>
      <w:r>
        <w:rPr>
          <w:spacing w:val="40"/>
          <w:sz w:val="22"/>
        </w:rPr>
        <w:t> </w:t>
      </w:r>
      <w:r>
        <w:rPr>
          <w:sz w:val="22"/>
        </w:rPr>
        <w:t>calendar</w:t>
      </w:r>
      <w:r>
        <w:rPr>
          <w:spacing w:val="40"/>
          <w:sz w:val="22"/>
        </w:rPr>
        <w:t> </w:t>
      </w:r>
      <w:r>
        <w:rPr>
          <w:sz w:val="22"/>
        </w:rPr>
        <w:t>days</w:t>
      </w:r>
      <w:r>
        <w:rPr>
          <w:spacing w:val="40"/>
          <w:sz w:val="22"/>
        </w:rPr>
        <w:t> </w:t>
      </w:r>
      <w:r>
        <w:rPr>
          <w:sz w:val="22"/>
        </w:rPr>
        <w:t>of</w:t>
      </w:r>
      <w:r>
        <w:rPr>
          <w:spacing w:val="40"/>
          <w:sz w:val="22"/>
        </w:rPr>
        <w:t> </w:t>
      </w:r>
      <w:r>
        <w:rPr>
          <w:sz w:val="22"/>
        </w:rPr>
        <w:t>receiving</w:t>
      </w:r>
      <w:r>
        <w:rPr>
          <w:spacing w:val="40"/>
          <w:sz w:val="22"/>
        </w:rPr>
        <w:t> </w:t>
      </w:r>
      <w:r>
        <w:rPr>
          <w:sz w:val="22"/>
        </w:rPr>
        <w:t>all underlying required data</w:t>
      </w:r>
    </w:p>
    <w:p>
      <w:pPr>
        <w:pStyle w:val="ListParagraph"/>
        <w:numPr>
          <w:ilvl w:val="0"/>
          <w:numId w:val="97"/>
        </w:numPr>
        <w:tabs>
          <w:tab w:pos="1941" w:val="left" w:leader="none"/>
        </w:tabs>
        <w:spacing w:line="240" w:lineRule="auto" w:before="200" w:after="0"/>
        <w:ind w:left="1941" w:right="1092" w:hanging="361"/>
        <w:jc w:val="left"/>
        <w:rPr>
          <w:sz w:val="22"/>
        </w:rPr>
      </w:pPr>
      <w:r>
        <w:rPr>
          <w:sz w:val="22"/>
        </w:rPr>
        <w:t>Once</w:t>
      </w:r>
      <w:r>
        <w:rPr>
          <w:spacing w:val="29"/>
          <w:sz w:val="22"/>
        </w:rPr>
        <w:t> </w:t>
      </w:r>
      <w:r>
        <w:rPr>
          <w:sz w:val="22"/>
        </w:rPr>
        <w:t>ACO</w:t>
      </w:r>
      <w:r>
        <w:rPr>
          <w:spacing w:val="28"/>
          <w:sz w:val="22"/>
        </w:rPr>
        <w:t> </w:t>
      </w:r>
      <w:r>
        <w:rPr>
          <w:sz w:val="22"/>
        </w:rPr>
        <w:t>DSRIP</w:t>
      </w:r>
      <w:r>
        <w:rPr>
          <w:spacing w:val="28"/>
          <w:sz w:val="22"/>
        </w:rPr>
        <w:t> </w:t>
      </w:r>
      <w:r>
        <w:rPr>
          <w:sz w:val="22"/>
        </w:rPr>
        <w:t>Accountability</w:t>
      </w:r>
      <w:r>
        <w:rPr>
          <w:spacing w:val="26"/>
          <w:sz w:val="22"/>
        </w:rPr>
        <w:t> </w:t>
      </w:r>
      <w:r>
        <w:rPr>
          <w:sz w:val="22"/>
        </w:rPr>
        <w:t>Scores</w:t>
      </w:r>
      <w:r>
        <w:rPr>
          <w:spacing w:val="29"/>
          <w:sz w:val="22"/>
        </w:rPr>
        <w:t> </w:t>
      </w:r>
      <w:r>
        <w:rPr>
          <w:sz w:val="22"/>
        </w:rPr>
        <w:t>have</w:t>
      </w:r>
      <w:r>
        <w:rPr>
          <w:spacing w:val="29"/>
          <w:sz w:val="22"/>
        </w:rPr>
        <w:t> </w:t>
      </w:r>
      <w:r>
        <w:rPr>
          <w:sz w:val="22"/>
        </w:rPr>
        <w:t>been</w:t>
      </w:r>
      <w:r>
        <w:rPr>
          <w:spacing w:val="26"/>
          <w:sz w:val="22"/>
        </w:rPr>
        <w:t> </w:t>
      </w:r>
      <w:r>
        <w:rPr>
          <w:sz w:val="22"/>
        </w:rPr>
        <w:t>calculated</w:t>
      </w:r>
      <w:r>
        <w:rPr>
          <w:spacing w:val="29"/>
          <w:sz w:val="22"/>
        </w:rPr>
        <w:t> </w:t>
      </w:r>
      <w:r>
        <w:rPr>
          <w:sz w:val="22"/>
        </w:rPr>
        <w:t>by</w:t>
      </w:r>
      <w:r>
        <w:rPr>
          <w:spacing w:val="26"/>
          <w:sz w:val="22"/>
        </w:rPr>
        <w:t> </w:t>
      </w:r>
      <w:r>
        <w:rPr>
          <w:sz w:val="22"/>
        </w:rPr>
        <w:t>the</w:t>
      </w:r>
      <w:r>
        <w:rPr>
          <w:spacing w:val="29"/>
          <w:sz w:val="22"/>
        </w:rPr>
        <w:t> </w:t>
      </w:r>
      <w:r>
        <w:rPr>
          <w:sz w:val="22"/>
        </w:rPr>
        <w:t>State,</w:t>
      </w:r>
      <w:r>
        <w:rPr>
          <w:spacing w:val="27"/>
          <w:sz w:val="22"/>
        </w:rPr>
        <w:t> </w:t>
      </w:r>
      <w:r>
        <w:rPr>
          <w:sz w:val="22"/>
        </w:rPr>
        <w:t>the</w:t>
      </w:r>
      <w:r>
        <w:rPr>
          <w:spacing w:val="29"/>
          <w:sz w:val="22"/>
        </w:rPr>
        <w:t> </w:t>
      </w:r>
      <w:r>
        <w:rPr>
          <w:sz w:val="22"/>
        </w:rPr>
        <w:t>State</w:t>
      </w:r>
      <w:r>
        <w:rPr>
          <w:spacing w:val="27"/>
          <w:sz w:val="22"/>
        </w:rPr>
        <w:t> </w:t>
      </w:r>
      <w:r>
        <w:rPr>
          <w:sz w:val="22"/>
        </w:rPr>
        <w:t>notifies ACOs of ACO DSRIP Accountability Score within 30 calendar days of determining Score</w:t>
      </w:r>
    </w:p>
    <w:p>
      <w:pPr>
        <w:pStyle w:val="ListParagraph"/>
        <w:numPr>
          <w:ilvl w:val="0"/>
          <w:numId w:val="97"/>
        </w:numPr>
        <w:tabs>
          <w:tab w:pos="1941" w:val="left" w:leader="none"/>
        </w:tabs>
        <w:spacing w:line="240" w:lineRule="auto" w:before="197" w:after="0"/>
        <w:ind w:left="1941" w:right="1095" w:hanging="360"/>
        <w:jc w:val="left"/>
        <w:rPr>
          <w:sz w:val="22"/>
        </w:rPr>
      </w:pPr>
      <w:r>
        <w:rPr>
          <w:sz w:val="22"/>
        </w:rPr>
        <w:t>State disburses DSRIP at-risk payments to ACOs within 30 calendar days of notification of their ACO DSRIP Accountability Scores</w:t>
      </w:r>
    </w:p>
    <w:p>
      <w:pPr>
        <w:pStyle w:val="ListParagraph"/>
        <w:numPr>
          <w:ilvl w:val="2"/>
          <w:numId w:val="77"/>
        </w:numPr>
        <w:tabs>
          <w:tab w:pos="1940" w:val="left" w:leader="none"/>
        </w:tabs>
        <w:spacing w:line="240" w:lineRule="auto" w:before="202" w:after="0"/>
        <w:ind w:left="1940" w:right="0" w:hanging="719"/>
        <w:jc w:val="left"/>
        <w:rPr>
          <w:b/>
          <w:color w:val="4471C4"/>
          <w:sz w:val="22"/>
        </w:rPr>
      </w:pPr>
      <w:bookmarkStart w:name="5.3.6 ACO Exit from the DSRIP Program" w:id="1409"/>
      <w:bookmarkEnd w:id="1409"/>
      <w:r>
        <w:rPr/>
      </w:r>
      <w:bookmarkStart w:name="_bookmark86" w:id="1410"/>
      <w:bookmarkEnd w:id="1410"/>
      <w:r>
        <w:rPr/>
      </w:r>
      <w:r>
        <w:rPr>
          <w:b/>
          <w:color w:val="4471C4"/>
          <w:sz w:val="22"/>
        </w:rPr>
        <w:t>ACO</w:t>
      </w:r>
      <w:r>
        <w:rPr>
          <w:b/>
          <w:color w:val="4471C4"/>
          <w:spacing w:val="-3"/>
          <w:sz w:val="22"/>
        </w:rPr>
        <w:t> </w:t>
      </w:r>
      <w:r>
        <w:rPr>
          <w:b/>
          <w:color w:val="4471C4"/>
          <w:sz w:val="22"/>
        </w:rPr>
        <w:t>Exit</w:t>
      </w:r>
      <w:r>
        <w:rPr>
          <w:b/>
          <w:color w:val="4471C4"/>
          <w:spacing w:val="-5"/>
          <w:sz w:val="22"/>
        </w:rPr>
        <w:t> </w:t>
      </w:r>
      <w:r>
        <w:rPr>
          <w:b/>
          <w:color w:val="4471C4"/>
          <w:sz w:val="22"/>
        </w:rPr>
        <w:t>from</w:t>
      </w:r>
      <w:r>
        <w:rPr>
          <w:b/>
          <w:color w:val="4471C4"/>
          <w:spacing w:val="-4"/>
          <w:sz w:val="22"/>
        </w:rPr>
        <w:t> </w:t>
      </w:r>
      <w:r>
        <w:rPr>
          <w:b/>
          <w:color w:val="4471C4"/>
          <w:sz w:val="22"/>
        </w:rPr>
        <w:t>the</w:t>
      </w:r>
      <w:r>
        <w:rPr>
          <w:b/>
          <w:color w:val="4471C4"/>
          <w:spacing w:val="-4"/>
          <w:sz w:val="22"/>
        </w:rPr>
        <w:t> </w:t>
      </w:r>
      <w:r>
        <w:rPr>
          <w:b/>
          <w:color w:val="4471C4"/>
          <w:sz w:val="22"/>
        </w:rPr>
        <w:t>DSRIP</w:t>
      </w:r>
      <w:r>
        <w:rPr>
          <w:b/>
          <w:color w:val="4471C4"/>
          <w:spacing w:val="-3"/>
          <w:sz w:val="22"/>
        </w:rPr>
        <w:t> </w:t>
      </w:r>
      <w:r>
        <w:rPr>
          <w:b/>
          <w:color w:val="4471C4"/>
          <w:spacing w:val="-2"/>
          <w:sz w:val="22"/>
        </w:rPr>
        <w:t>Program</w:t>
      </w:r>
    </w:p>
    <w:p>
      <w:pPr>
        <w:spacing w:before="34"/>
        <w:ind w:left="1220" w:right="1094" w:firstLine="0"/>
        <w:jc w:val="both"/>
        <w:rPr>
          <w:sz w:val="22"/>
        </w:rPr>
      </w:pPr>
      <w:r>
        <w:rPr>
          <w:sz w:val="22"/>
        </w:rPr>
        <w:t>Per STC 69(b)(ii), if an ACO decides to exit the DSRIP program prior to the end of the five year 1115 waiver</w:t>
      </w:r>
      <w:r>
        <w:rPr>
          <w:spacing w:val="-4"/>
          <w:sz w:val="22"/>
        </w:rPr>
        <w:t> </w:t>
      </w:r>
      <w:r>
        <w:rPr>
          <w:sz w:val="22"/>
        </w:rPr>
        <w:t>demonstration</w:t>
      </w:r>
      <w:r>
        <w:rPr>
          <w:spacing w:val="-5"/>
          <w:sz w:val="22"/>
        </w:rPr>
        <w:t> </w:t>
      </w:r>
      <w:r>
        <w:rPr>
          <w:sz w:val="22"/>
        </w:rPr>
        <w:t>period,</w:t>
      </w:r>
      <w:r>
        <w:rPr>
          <w:spacing w:val="-5"/>
          <w:sz w:val="22"/>
        </w:rPr>
        <w:t> </w:t>
      </w:r>
      <w:r>
        <w:rPr>
          <w:sz w:val="22"/>
        </w:rPr>
        <w:t>it</w:t>
      </w:r>
      <w:r>
        <w:rPr>
          <w:spacing w:val="-4"/>
          <w:sz w:val="22"/>
        </w:rPr>
        <w:t> </w:t>
      </w:r>
      <w:r>
        <w:rPr>
          <w:sz w:val="22"/>
        </w:rPr>
        <w:t>will</w:t>
      </w:r>
      <w:r>
        <w:rPr>
          <w:spacing w:val="-4"/>
          <w:sz w:val="22"/>
        </w:rPr>
        <w:t> </w:t>
      </w:r>
      <w:r>
        <w:rPr>
          <w:sz w:val="22"/>
        </w:rPr>
        <w:t>be</w:t>
      </w:r>
      <w:r>
        <w:rPr>
          <w:spacing w:val="-4"/>
          <w:sz w:val="22"/>
        </w:rPr>
        <w:t> </w:t>
      </w:r>
      <w:r>
        <w:rPr>
          <w:sz w:val="22"/>
        </w:rPr>
        <w:t>required</w:t>
      </w:r>
      <w:r>
        <w:rPr>
          <w:spacing w:val="-7"/>
          <w:sz w:val="22"/>
        </w:rPr>
        <w:t> </w:t>
      </w:r>
      <w:r>
        <w:rPr>
          <w:sz w:val="22"/>
        </w:rPr>
        <w:t>to</w:t>
      </w:r>
      <w:r>
        <w:rPr>
          <w:spacing w:val="-5"/>
          <w:sz w:val="22"/>
        </w:rPr>
        <w:t> </w:t>
      </w:r>
      <w:r>
        <w:rPr>
          <w:sz w:val="22"/>
        </w:rPr>
        <w:t>return</w:t>
      </w:r>
      <w:r>
        <w:rPr>
          <w:spacing w:val="-5"/>
          <w:sz w:val="22"/>
        </w:rPr>
        <w:t> </w:t>
      </w:r>
      <w:r>
        <w:rPr>
          <w:sz w:val="22"/>
        </w:rPr>
        <w:t>at</w:t>
      </w:r>
      <w:r>
        <w:rPr>
          <w:spacing w:val="-6"/>
          <w:sz w:val="22"/>
        </w:rPr>
        <w:t> </w:t>
      </w:r>
      <w:r>
        <w:rPr>
          <w:sz w:val="22"/>
        </w:rPr>
        <w:t>least</w:t>
      </w:r>
      <w:r>
        <w:rPr>
          <w:spacing w:val="-4"/>
          <w:sz w:val="22"/>
        </w:rPr>
        <w:t> </w:t>
      </w:r>
      <w:r>
        <w:rPr>
          <w:sz w:val="22"/>
        </w:rPr>
        <w:t>50</w:t>
      </w:r>
      <w:r>
        <w:rPr>
          <w:spacing w:val="-5"/>
          <w:sz w:val="22"/>
        </w:rPr>
        <w:t> </w:t>
      </w:r>
      <w:r>
        <w:rPr>
          <w:sz w:val="22"/>
        </w:rPr>
        <w:t>percent</w:t>
      </w:r>
      <w:r>
        <w:rPr>
          <w:spacing w:val="-4"/>
          <w:sz w:val="22"/>
        </w:rPr>
        <w:t> </w:t>
      </w:r>
      <w:r>
        <w:rPr>
          <w:sz w:val="22"/>
        </w:rPr>
        <w:t>of</w:t>
      </w:r>
      <w:r>
        <w:rPr>
          <w:spacing w:val="-4"/>
          <w:sz w:val="22"/>
        </w:rPr>
        <w:t> </w:t>
      </w:r>
      <w:r>
        <w:rPr>
          <w:sz w:val="22"/>
        </w:rPr>
        <w:t>DSRIP</w:t>
      </w:r>
      <w:r>
        <w:rPr>
          <w:spacing w:val="-5"/>
          <w:sz w:val="22"/>
        </w:rPr>
        <w:t> </w:t>
      </w:r>
      <w:r>
        <w:rPr>
          <w:sz w:val="22"/>
        </w:rPr>
        <w:t>startup/ongoing</w:t>
      </w:r>
      <w:r>
        <w:rPr>
          <w:spacing w:val="-7"/>
          <w:sz w:val="22"/>
        </w:rPr>
        <w:t> </w:t>
      </w:r>
      <w:r>
        <w:rPr>
          <w:sz w:val="22"/>
        </w:rPr>
        <w:t>and DSTI Glide Path funding received up to that point.</w:t>
      </w:r>
    </w:p>
    <w:p>
      <w:pPr>
        <w:pStyle w:val="BodyText"/>
        <w:spacing w:before="1"/>
        <w:rPr>
          <w:sz w:val="22"/>
        </w:rPr>
      </w:pPr>
    </w:p>
    <w:p>
      <w:pPr>
        <w:spacing w:before="0"/>
        <w:ind w:left="1220" w:right="1094" w:firstLine="0"/>
        <w:jc w:val="both"/>
        <w:rPr>
          <w:sz w:val="22"/>
        </w:rPr>
      </w:pPr>
      <w:r>
        <w:rPr>
          <w:sz w:val="22"/>
        </w:rPr>
        <w:t>ACO exit from the DSRIP program is defined as termination of the contract between an ACO and MassHealth for reasons other than the following reasons:</w:t>
      </w:r>
    </w:p>
    <w:p>
      <w:pPr>
        <w:pStyle w:val="ListParagraph"/>
        <w:numPr>
          <w:ilvl w:val="0"/>
          <w:numId w:val="98"/>
        </w:numPr>
        <w:tabs>
          <w:tab w:pos="1939" w:val="left" w:leader="none"/>
          <w:tab w:pos="1941" w:val="left" w:leader="none"/>
        </w:tabs>
        <w:spacing w:line="240" w:lineRule="auto" w:before="1" w:after="0"/>
        <w:ind w:left="1941" w:right="1093" w:hanging="361"/>
        <w:jc w:val="both"/>
        <w:rPr>
          <w:sz w:val="22"/>
        </w:rPr>
      </w:pPr>
      <w:r>
        <w:rPr>
          <w:sz w:val="22"/>
        </w:rPr>
        <w:t>Material financial losses resulting from poor total cost of care performance, as determined by the </w:t>
      </w:r>
      <w:r>
        <w:rPr>
          <w:spacing w:val="-2"/>
          <w:sz w:val="22"/>
        </w:rPr>
        <w:t>State</w:t>
      </w:r>
    </w:p>
    <w:p>
      <w:pPr>
        <w:pStyle w:val="ListParagraph"/>
        <w:numPr>
          <w:ilvl w:val="0"/>
          <w:numId w:val="98"/>
        </w:numPr>
        <w:tabs>
          <w:tab w:pos="1939" w:val="left" w:leader="none"/>
          <w:tab w:pos="1941" w:val="left" w:leader="none"/>
        </w:tabs>
        <w:spacing w:line="240" w:lineRule="auto" w:before="0" w:after="0"/>
        <w:ind w:left="1941" w:right="1091" w:hanging="361"/>
        <w:jc w:val="both"/>
        <w:rPr>
          <w:sz w:val="22"/>
        </w:rPr>
      </w:pPr>
      <w:r>
        <w:rPr>
          <w:sz w:val="22"/>
        </w:rPr>
        <w:t>Reasons</w:t>
      </w:r>
      <w:r>
        <w:rPr>
          <w:spacing w:val="-14"/>
          <w:sz w:val="22"/>
        </w:rPr>
        <w:t> </w:t>
      </w:r>
      <w:r>
        <w:rPr>
          <w:sz w:val="22"/>
        </w:rPr>
        <w:t>outside</w:t>
      </w:r>
      <w:r>
        <w:rPr>
          <w:spacing w:val="-14"/>
          <w:sz w:val="22"/>
        </w:rPr>
        <w:t> </w:t>
      </w:r>
      <w:r>
        <w:rPr>
          <w:sz w:val="22"/>
        </w:rPr>
        <w:t>of</w:t>
      </w:r>
      <w:r>
        <w:rPr>
          <w:spacing w:val="-14"/>
          <w:sz w:val="22"/>
        </w:rPr>
        <w:t> </w:t>
      </w:r>
      <w:r>
        <w:rPr>
          <w:sz w:val="22"/>
        </w:rPr>
        <w:t>the</w:t>
      </w:r>
      <w:r>
        <w:rPr>
          <w:spacing w:val="-13"/>
          <w:sz w:val="22"/>
        </w:rPr>
        <w:t> </w:t>
      </w:r>
      <w:r>
        <w:rPr>
          <w:sz w:val="22"/>
        </w:rPr>
        <w:t>ACO’s</w:t>
      </w:r>
      <w:r>
        <w:rPr>
          <w:spacing w:val="-14"/>
          <w:sz w:val="22"/>
        </w:rPr>
        <w:t> </w:t>
      </w:r>
      <w:r>
        <w:rPr>
          <w:sz w:val="22"/>
        </w:rPr>
        <w:t>control,</w:t>
      </w:r>
      <w:r>
        <w:rPr>
          <w:spacing w:val="-14"/>
          <w:sz w:val="22"/>
        </w:rPr>
        <w:t> </w:t>
      </w:r>
      <w:r>
        <w:rPr>
          <w:sz w:val="22"/>
        </w:rPr>
        <w:t>including</w:t>
      </w:r>
      <w:r>
        <w:rPr>
          <w:spacing w:val="-14"/>
          <w:sz w:val="22"/>
        </w:rPr>
        <w:t> </w:t>
      </w:r>
      <w:r>
        <w:rPr>
          <w:sz w:val="22"/>
        </w:rPr>
        <w:t>but</w:t>
      </w:r>
      <w:r>
        <w:rPr>
          <w:spacing w:val="-13"/>
          <w:sz w:val="22"/>
        </w:rPr>
        <w:t> </w:t>
      </w:r>
      <w:r>
        <w:rPr>
          <w:sz w:val="22"/>
        </w:rPr>
        <w:t>not</w:t>
      </w:r>
      <w:r>
        <w:rPr>
          <w:spacing w:val="-14"/>
          <w:sz w:val="22"/>
        </w:rPr>
        <w:t> </w:t>
      </w:r>
      <w:r>
        <w:rPr>
          <w:sz w:val="22"/>
        </w:rPr>
        <w:t>limited</w:t>
      </w:r>
      <w:r>
        <w:rPr>
          <w:spacing w:val="-14"/>
          <w:sz w:val="22"/>
        </w:rPr>
        <w:t> </w:t>
      </w:r>
      <w:r>
        <w:rPr>
          <w:sz w:val="22"/>
        </w:rPr>
        <w:t>to</w:t>
      </w:r>
      <w:r>
        <w:rPr>
          <w:spacing w:val="-14"/>
          <w:sz w:val="22"/>
        </w:rPr>
        <w:t> </w:t>
      </w:r>
      <w:r>
        <w:rPr>
          <w:sz w:val="22"/>
        </w:rPr>
        <w:t>material</w:t>
      </w:r>
      <w:r>
        <w:rPr>
          <w:spacing w:val="-13"/>
          <w:sz w:val="22"/>
        </w:rPr>
        <w:t> </w:t>
      </w:r>
      <w:r>
        <w:rPr>
          <w:sz w:val="22"/>
        </w:rPr>
        <w:t>changes</w:t>
      </w:r>
      <w:r>
        <w:rPr>
          <w:spacing w:val="-14"/>
          <w:sz w:val="22"/>
        </w:rPr>
        <w:t> </w:t>
      </w:r>
      <w:r>
        <w:rPr>
          <w:sz w:val="22"/>
        </w:rPr>
        <w:t>to</w:t>
      </w:r>
      <w:r>
        <w:rPr>
          <w:spacing w:val="-14"/>
          <w:sz w:val="22"/>
        </w:rPr>
        <w:t> </w:t>
      </w:r>
      <w:r>
        <w:rPr>
          <w:sz w:val="22"/>
        </w:rPr>
        <w:t>the</w:t>
      </w:r>
      <w:r>
        <w:rPr>
          <w:spacing w:val="-14"/>
          <w:sz w:val="22"/>
        </w:rPr>
        <w:t> </w:t>
      </w:r>
      <w:r>
        <w:rPr>
          <w:sz w:val="22"/>
        </w:rPr>
        <w:t>Medicaid program,</w:t>
      </w:r>
      <w:r>
        <w:rPr>
          <w:spacing w:val="-13"/>
          <w:sz w:val="22"/>
        </w:rPr>
        <w:t> </w:t>
      </w:r>
      <w:r>
        <w:rPr>
          <w:sz w:val="22"/>
        </w:rPr>
        <w:t>or</w:t>
      </w:r>
      <w:r>
        <w:rPr>
          <w:spacing w:val="-12"/>
          <w:sz w:val="22"/>
        </w:rPr>
        <w:t> </w:t>
      </w:r>
      <w:r>
        <w:rPr>
          <w:sz w:val="22"/>
        </w:rPr>
        <w:t>material</w:t>
      </w:r>
      <w:r>
        <w:rPr>
          <w:spacing w:val="-14"/>
          <w:sz w:val="22"/>
        </w:rPr>
        <w:t> </w:t>
      </w:r>
      <w:r>
        <w:rPr>
          <w:sz w:val="22"/>
        </w:rPr>
        <w:t>changes</w:t>
      </w:r>
      <w:r>
        <w:rPr>
          <w:spacing w:val="-11"/>
          <w:sz w:val="22"/>
        </w:rPr>
        <w:t> </w:t>
      </w:r>
      <w:r>
        <w:rPr>
          <w:sz w:val="22"/>
        </w:rPr>
        <w:t>to</w:t>
      </w:r>
      <w:r>
        <w:rPr>
          <w:spacing w:val="-13"/>
          <w:sz w:val="22"/>
        </w:rPr>
        <w:t> </w:t>
      </w:r>
      <w:r>
        <w:rPr>
          <w:sz w:val="22"/>
        </w:rPr>
        <w:t>the</w:t>
      </w:r>
      <w:r>
        <w:rPr>
          <w:spacing w:val="-12"/>
          <w:sz w:val="22"/>
        </w:rPr>
        <w:t> </w:t>
      </w:r>
      <w:r>
        <w:rPr>
          <w:sz w:val="22"/>
        </w:rPr>
        <w:t>nature</w:t>
      </w:r>
      <w:r>
        <w:rPr>
          <w:spacing w:val="-12"/>
          <w:sz w:val="22"/>
        </w:rPr>
        <w:t> </w:t>
      </w:r>
      <w:r>
        <w:rPr>
          <w:sz w:val="22"/>
        </w:rPr>
        <w:t>of</w:t>
      </w:r>
      <w:r>
        <w:rPr>
          <w:spacing w:val="-14"/>
          <w:sz w:val="22"/>
        </w:rPr>
        <w:t> </w:t>
      </w:r>
      <w:r>
        <w:rPr>
          <w:sz w:val="22"/>
        </w:rPr>
        <w:t>the</w:t>
      </w:r>
      <w:r>
        <w:rPr>
          <w:spacing w:val="-11"/>
          <w:sz w:val="22"/>
        </w:rPr>
        <w:t> </w:t>
      </w:r>
      <w:r>
        <w:rPr>
          <w:sz w:val="22"/>
        </w:rPr>
        <w:t>ACO’s</w:t>
      </w:r>
      <w:r>
        <w:rPr>
          <w:spacing w:val="-12"/>
          <w:sz w:val="22"/>
        </w:rPr>
        <w:t> </w:t>
      </w:r>
      <w:r>
        <w:rPr>
          <w:sz w:val="22"/>
        </w:rPr>
        <w:t>participation</w:t>
      </w:r>
      <w:r>
        <w:rPr>
          <w:spacing w:val="-14"/>
          <w:sz w:val="22"/>
        </w:rPr>
        <w:t> </w:t>
      </w:r>
      <w:r>
        <w:rPr>
          <w:sz w:val="22"/>
        </w:rPr>
        <w:t>in</w:t>
      </w:r>
      <w:r>
        <w:rPr>
          <w:spacing w:val="-14"/>
          <w:sz w:val="22"/>
        </w:rPr>
        <w:t> </w:t>
      </w:r>
      <w:r>
        <w:rPr>
          <w:sz w:val="22"/>
        </w:rPr>
        <w:t>MassHealth</w:t>
      </w:r>
      <w:r>
        <w:rPr>
          <w:spacing w:val="-12"/>
          <w:sz w:val="22"/>
        </w:rPr>
        <w:t> </w:t>
      </w:r>
      <w:r>
        <w:rPr>
          <w:sz w:val="22"/>
        </w:rPr>
        <w:t>resulting</w:t>
      </w:r>
      <w:r>
        <w:rPr>
          <w:spacing w:val="-14"/>
          <w:sz w:val="22"/>
        </w:rPr>
        <w:t> </w:t>
      </w:r>
      <w:r>
        <w:rPr>
          <w:sz w:val="22"/>
        </w:rPr>
        <w:t>from legislation or other developments, as determined by the State</w:t>
      </w:r>
    </w:p>
    <w:p>
      <w:pPr>
        <w:pStyle w:val="ListParagraph"/>
        <w:numPr>
          <w:ilvl w:val="0"/>
          <w:numId w:val="98"/>
        </w:numPr>
        <w:tabs>
          <w:tab w:pos="1939" w:val="left" w:leader="none"/>
          <w:tab w:pos="1941" w:val="left" w:leader="none"/>
        </w:tabs>
        <w:spacing w:line="240" w:lineRule="auto" w:before="0" w:after="0"/>
        <w:ind w:left="1941" w:right="1091" w:hanging="361"/>
        <w:jc w:val="both"/>
        <w:rPr>
          <w:sz w:val="22"/>
        </w:rPr>
      </w:pPr>
      <w:r>
        <w:rPr>
          <w:sz w:val="22"/>
        </w:rPr>
        <w:t>Transition to a different ACO model (e.g., the ACO Partner in an Accountable Care Partnership Plan is approved to become a Primary Care ACO)</w:t>
      </w:r>
    </w:p>
    <w:p>
      <w:pPr>
        <w:pStyle w:val="ListParagraph"/>
        <w:numPr>
          <w:ilvl w:val="3"/>
          <w:numId w:val="77"/>
        </w:numPr>
        <w:tabs>
          <w:tab w:pos="1935" w:val="left" w:leader="none"/>
        </w:tabs>
        <w:spacing w:line="240" w:lineRule="auto" w:before="189" w:after="0"/>
        <w:ind w:left="1935" w:right="0" w:hanging="715"/>
        <w:jc w:val="left"/>
        <w:rPr>
          <w:rFonts w:ascii="Calibri Light"/>
          <w:b w:val="0"/>
          <w:i/>
          <w:color w:val="4471C4"/>
          <w:sz w:val="23"/>
        </w:rPr>
      </w:pPr>
      <w:bookmarkStart w:name="5.3.6.1 Other ACO Contract Terminations" w:id="1411"/>
      <w:bookmarkEnd w:id="1411"/>
      <w:r>
        <w:rPr/>
      </w:r>
      <w:r>
        <w:rPr>
          <w:rFonts w:ascii="Calibri Light"/>
          <w:b w:val="0"/>
          <w:color w:val="4471C4"/>
          <w:spacing w:val="-2"/>
          <w:sz w:val="22"/>
        </w:rPr>
        <w:t>Other</w:t>
      </w:r>
      <w:r>
        <w:rPr>
          <w:rFonts w:ascii="Calibri Light"/>
          <w:b w:val="0"/>
          <w:color w:val="4471C4"/>
          <w:spacing w:val="-5"/>
          <w:sz w:val="22"/>
        </w:rPr>
        <w:t> </w:t>
      </w:r>
      <w:r>
        <w:rPr>
          <w:rFonts w:ascii="Calibri Light"/>
          <w:b w:val="0"/>
          <w:color w:val="4471C4"/>
          <w:spacing w:val="-2"/>
          <w:sz w:val="22"/>
        </w:rPr>
        <w:t>ACO</w:t>
      </w:r>
      <w:r>
        <w:rPr>
          <w:rFonts w:ascii="Calibri Light"/>
          <w:b w:val="0"/>
          <w:color w:val="4471C4"/>
          <w:spacing w:val="-5"/>
          <w:sz w:val="22"/>
        </w:rPr>
        <w:t> </w:t>
      </w:r>
      <w:r>
        <w:rPr>
          <w:rFonts w:ascii="Calibri Light"/>
          <w:b w:val="0"/>
          <w:color w:val="4471C4"/>
          <w:spacing w:val="-2"/>
          <w:sz w:val="22"/>
        </w:rPr>
        <w:t>Contract</w:t>
      </w:r>
      <w:r>
        <w:rPr>
          <w:rFonts w:ascii="Calibri Light"/>
          <w:b w:val="0"/>
          <w:color w:val="4471C4"/>
          <w:spacing w:val="-3"/>
          <w:sz w:val="22"/>
        </w:rPr>
        <w:t> </w:t>
      </w:r>
      <w:r>
        <w:rPr>
          <w:rFonts w:ascii="Calibri Light"/>
          <w:b w:val="0"/>
          <w:color w:val="4471C4"/>
          <w:spacing w:val="-2"/>
          <w:sz w:val="22"/>
        </w:rPr>
        <w:t>Terminations</w:t>
      </w:r>
    </w:p>
    <w:p>
      <w:pPr>
        <w:spacing w:before="35"/>
        <w:ind w:left="1220" w:right="1095" w:firstLine="0"/>
        <w:jc w:val="both"/>
        <w:rPr>
          <w:sz w:val="22"/>
        </w:rPr>
      </w:pPr>
      <w:r>
        <w:rPr>
          <w:sz w:val="22"/>
        </w:rPr>
        <w:t>Under its MassHealth contract, an ACO may experience material financial loss, defined as a loss greater than</w:t>
      </w:r>
      <w:r>
        <w:rPr>
          <w:spacing w:val="-2"/>
          <w:sz w:val="22"/>
        </w:rPr>
        <w:t> </w:t>
      </w:r>
      <w:r>
        <w:rPr>
          <w:sz w:val="22"/>
        </w:rPr>
        <w:t>3% medical losses</w:t>
      </w:r>
      <w:r>
        <w:rPr>
          <w:spacing w:val="-1"/>
          <w:sz w:val="22"/>
        </w:rPr>
        <w:t> </w:t>
      </w:r>
      <w:r>
        <w:rPr>
          <w:sz w:val="22"/>
        </w:rPr>
        <w:t>relative to</w:t>
      </w:r>
      <w:r>
        <w:rPr>
          <w:spacing w:val="-3"/>
          <w:sz w:val="22"/>
        </w:rPr>
        <w:t> </w:t>
      </w:r>
      <w:r>
        <w:rPr>
          <w:sz w:val="22"/>
        </w:rPr>
        <w:t>risk-adjusted</w:t>
      </w:r>
      <w:r>
        <w:rPr>
          <w:spacing w:val="-2"/>
          <w:sz w:val="22"/>
        </w:rPr>
        <w:t> </w:t>
      </w:r>
      <w:r>
        <w:rPr>
          <w:sz w:val="22"/>
        </w:rPr>
        <w:t>medical capitation</w:t>
      </w:r>
      <w:r>
        <w:rPr>
          <w:spacing w:val="-3"/>
          <w:sz w:val="22"/>
        </w:rPr>
        <w:t> </w:t>
      </w:r>
      <w:r>
        <w:rPr>
          <w:sz w:val="22"/>
        </w:rPr>
        <w:t>for Partnership</w:t>
      </w:r>
      <w:r>
        <w:rPr>
          <w:spacing w:val="-4"/>
          <w:sz w:val="22"/>
        </w:rPr>
        <w:t> </w:t>
      </w:r>
      <w:r>
        <w:rPr>
          <w:sz w:val="22"/>
        </w:rPr>
        <w:t>Plans,</w:t>
      </w:r>
      <w:r>
        <w:rPr>
          <w:spacing w:val="-3"/>
          <w:sz w:val="22"/>
        </w:rPr>
        <w:t> </w:t>
      </w:r>
      <w:r>
        <w:rPr>
          <w:sz w:val="22"/>
        </w:rPr>
        <w:t>or</w:t>
      </w:r>
      <w:r>
        <w:rPr>
          <w:spacing w:val="-2"/>
          <w:sz w:val="22"/>
        </w:rPr>
        <w:t> </w:t>
      </w:r>
      <w:r>
        <w:rPr>
          <w:sz w:val="22"/>
        </w:rPr>
        <w:t>relative to</w:t>
      </w:r>
      <w:r>
        <w:rPr>
          <w:spacing w:val="-3"/>
          <w:sz w:val="22"/>
        </w:rPr>
        <w:t> </w:t>
      </w:r>
      <w:r>
        <w:rPr>
          <w:spacing w:val="-5"/>
          <w:sz w:val="22"/>
        </w:rPr>
        <w:t>the</w:t>
      </w:r>
    </w:p>
    <w:p>
      <w:pPr>
        <w:spacing w:after="0"/>
        <w:jc w:val="both"/>
        <w:rPr>
          <w:sz w:val="22"/>
        </w:rPr>
        <w:sectPr>
          <w:pgSz w:w="12240" w:h="15840"/>
          <w:pgMar w:header="0" w:footer="967" w:top="1360" w:bottom="1160" w:left="220" w:right="340"/>
        </w:sectPr>
      </w:pPr>
    </w:p>
    <w:p>
      <w:pPr>
        <w:spacing w:before="78"/>
        <w:ind w:left="1220" w:right="1095" w:hanging="1"/>
        <w:jc w:val="both"/>
        <w:rPr>
          <w:sz w:val="22"/>
        </w:rPr>
      </w:pPr>
      <w:r>
        <w:rPr>
          <w:sz w:val="22"/>
        </w:rPr>
        <w:t>TCOC</w:t>
      </w:r>
      <w:r>
        <w:rPr>
          <w:spacing w:val="-14"/>
          <w:sz w:val="22"/>
        </w:rPr>
        <w:t> </w:t>
      </w:r>
      <w:r>
        <w:rPr>
          <w:sz w:val="22"/>
        </w:rPr>
        <w:t>benchmark</w:t>
      </w:r>
      <w:r>
        <w:rPr>
          <w:spacing w:val="-14"/>
          <w:sz w:val="22"/>
        </w:rPr>
        <w:t> </w:t>
      </w:r>
      <w:r>
        <w:rPr>
          <w:sz w:val="22"/>
        </w:rPr>
        <w:t>for</w:t>
      </w:r>
      <w:r>
        <w:rPr>
          <w:spacing w:val="-14"/>
          <w:sz w:val="22"/>
        </w:rPr>
        <w:t> </w:t>
      </w:r>
      <w:r>
        <w:rPr>
          <w:sz w:val="22"/>
        </w:rPr>
        <w:t>Primary</w:t>
      </w:r>
      <w:r>
        <w:rPr>
          <w:spacing w:val="-13"/>
          <w:sz w:val="22"/>
        </w:rPr>
        <w:t> </w:t>
      </w:r>
      <w:r>
        <w:rPr>
          <w:sz w:val="22"/>
        </w:rPr>
        <w:t>Care</w:t>
      </w:r>
      <w:r>
        <w:rPr>
          <w:spacing w:val="-14"/>
          <w:sz w:val="22"/>
        </w:rPr>
        <w:t> </w:t>
      </w:r>
      <w:r>
        <w:rPr>
          <w:sz w:val="22"/>
        </w:rPr>
        <w:t>ACOs</w:t>
      </w:r>
      <w:r>
        <w:rPr>
          <w:spacing w:val="-14"/>
          <w:sz w:val="22"/>
        </w:rPr>
        <w:t> </w:t>
      </w:r>
      <w:r>
        <w:rPr>
          <w:sz w:val="22"/>
        </w:rPr>
        <w:t>and</w:t>
      </w:r>
      <w:r>
        <w:rPr>
          <w:spacing w:val="-14"/>
          <w:sz w:val="22"/>
        </w:rPr>
        <w:t> </w:t>
      </w:r>
      <w:r>
        <w:rPr>
          <w:sz w:val="22"/>
        </w:rPr>
        <w:t>MCO-Administered</w:t>
      </w:r>
      <w:r>
        <w:rPr>
          <w:spacing w:val="-13"/>
          <w:sz w:val="22"/>
        </w:rPr>
        <w:t> </w:t>
      </w:r>
      <w:r>
        <w:rPr>
          <w:sz w:val="22"/>
        </w:rPr>
        <w:t>ACOs.</w:t>
      </w:r>
      <w:r>
        <w:rPr>
          <w:spacing w:val="7"/>
          <w:sz w:val="22"/>
        </w:rPr>
        <w:t> </w:t>
      </w:r>
      <w:r>
        <w:rPr>
          <w:sz w:val="22"/>
        </w:rPr>
        <w:t>If</w:t>
      </w:r>
      <w:r>
        <w:rPr>
          <w:spacing w:val="-13"/>
          <w:sz w:val="22"/>
        </w:rPr>
        <w:t> </w:t>
      </w:r>
      <w:r>
        <w:rPr>
          <w:sz w:val="22"/>
        </w:rPr>
        <w:t>an</w:t>
      </w:r>
      <w:r>
        <w:rPr>
          <w:spacing w:val="-14"/>
          <w:sz w:val="22"/>
        </w:rPr>
        <w:t> </w:t>
      </w:r>
      <w:r>
        <w:rPr>
          <w:sz w:val="22"/>
        </w:rPr>
        <w:t>ACO</w:t>
      </w:r>
      <w:r>
        <w:rPr>
          <w:spacing w:val="-14"/>
          <w:sz w:val="22"/>
        </w:rPr>
        <w:t> </w:t>
      </w:r>
      <w:r>
        <w:rPr>
          <w:sz w:val="22"/>
        </w:rPr>
        <w:t>experiences</w:t>
      </w:r>
      <w:r>
        <w:rPr>
          <w:spacing w:val="-14"/>
          <w:sz w:val="22"/>
        </w:rPr>
        <w:t> </w:t>
      </w:r>
      <w:r>
        <w:rPr>
          <w:sz w:val="22"/>
        </w:rPr>
        <w:t>material financial loss in one or more preceding Budget Periods and has a projected material financial loss in the current Budget Period, the contract between the ACO and MassHealth may be terminated and the ACO will be required to return DSRIP startup/ongoing and DSTI Glide Path funding in accordance with percentages established by the State.</w:t>
      </w:r>
    </w:p>
    <w:p>
      <w:pPr>
        <w:pStyle w:val="BodyText"/>
        <w:spacing w:before="10"/>
        <w:rPr>
          <w:sz w:val="21"/>
        </w:rPr>
      </w:pPr>
    </w:p>
    <w:p>
      <w:pPr>
        <w:spacing w:before="0"/>
        <w:ind w:left="1220" w:right="1094" w:firstLine="0"/>
        <w:jc w:val="both"/>
        <w:rPr>
          <w:sz w:val="22"/>
        </w:rPr>
      </w:pPr>
      <w:r>
        <w:rPr>
          <w:sz w:val="22"/>
        </w:rPr>
        <w:t>If the ACO’s contract is terminated because the ACO, or in the case of an ACPP, the ACO Partner, is transitioning to a different ACO model, the State may waive the requirement that the ACO return DSRIP startup/ongoing and DSTI Glide Path funding to the State.</w:t>
      </w:r>
    </w:p>
    <w:p>
      <w:pPr>
        <w:pStyle w:val="BodyText"/>
        <w:spacing w:before="1"/>
        <w:rPr>
          <w:sz w:val="22"/>
        </w:rPr>
      </w:pPr>
    </w:p>
    <w:p>
      <w:pPr>
        <w:spacing w:before="0"/>
        <w:ind w:left="1220" w:right="1095" w:firstLine="0"/>
        <w:jc w:val="both"/>
        <w:rPr>
          <w:sz w:val="22"/>
        </w:rPr>
      </w:pPr>
      <w:r>
        <w:rPr>
          <w:sz w:val="22"/>
        </w:rPr>
        <w:t>If</w:t>
      </w:r>
      <w:r>
        <w:rPr>
          <w:spacing w:val="-3"/>
          <w:sz w:val="22"/>
        </w:rPr>
        <w:t> </w:t>
      </w:r>
      <w:r>
        <w:rPr>
          <w:sz w:val="22"/>
        </w:rPr>
        <w:t>the</w:t>
      </w:r>
      <w:r>
        <w:rPr>
          <w:spacing w:val="-3"/>
          <w:sz w:val="22"/>
        </w:rPr>
        <w:t> </w:t>
      </w:r>
      <w:r>
        <w:rPr>
          <w:sz w:val="22"/>
        </w:rPr>
        <w:t>ACO’s</w:t>
      </w:r>
      <w:r>
        <w:rPr>
          <w:spacing w:val="-3"/>
          <w:sz w:val="22"/>
        </w:rPr>
        <w:t> </w:t>
      </w:r>
      <w:r>
        <w:rPr>
          <w:sz w:val="22"/>
        </w:rPr>
        <w:t>contract</w:t>
      </w:r>
      <w:r>
        <w:rPr>
          <w:spacing w:val="-3"/>
          <w:sz w:val="22"/>
        </w:rPr>
        <w:t> </w:t>
      </w:r>
      <w:r>
        <w:rPr>
          <w:sz w:val="22"/>
        </w:rPr>
        <w:t>is</w:t>
      </w:r>
      <w:r>
        <w:rPr>
          <w:spacing w:val="-6"/>
          <w:sz w:val="22"/>
        </w:rPr>
        <w:t> </w:t>
      </w:r>
      <w:r>
        <w:rPr>
          <w:sz w:val="22"/>
        </w:rPr>
        <w:t>terminated</w:t>
      </w:r>
      <w:r>
        <w:rPr>
          <w:spacing w:val="-4"/>
          <w:sz w:val="22"/>
        </w:rPr>
        <w:t> </w:t>
      </w:r>
      <w:r>
        <w:rPr>
          <w:sz w:val="22"/>
        </w:rPr>
        <w:t>and</w:t>
      </w:r>
      <w:r>
        <w:rPr>
          <w:spacing w:val="-4"/>
          <w:sz w:val="22"/>
        </w:rPr>
        <w:t> </w:t>
      </w:r>
      <w:r>
        <w:rPr>
          <w:sz w:val="22"/>
        </w:rPr>
        <w:t>a</w:t>
      </w:r>
      <w:r>
        <w:rPr>
          <w:spacing w:val="-3"/>
          <w:sz w:val="22"/>
        </w:rPr>
        <w:t> </w:t>
      </w:r>
      <w:r>
        <w:rPr>
          <w:sz w:val="22"/>
        </w:rPr>
        <w:t>portion</w:t>
      </w:r>
      <w:r>
        <w:rPr>
          <w:spacing w:val="-6"/>
          <w:sz w:val="22"/>
        </w:rPr>
        <w:t> </w:t>
      </w:r>
      <w:r>
        <w:rPr>
          <w:sz w:val="22"/>
        </w:rPr>
        <w:t>of</w:t>
      </w:r>
      <w:r>
        <w:rPr>
          <w:spacing w:val="-3"/>
          <w:sz w:val="22"/>
        </w:rPr>
        <w:t> </w:t>
      </w:r>
      <w:r>
        <w:rPr>
          <w:sz w:val="22"/>
        </w:rPr>
        <w:t>its</w:t>
      </w:r>
      <w:r>
        <w:rPr>
          <w:spacing w:val="-6"/>
          <w:sz w:val="22"/>
        </w:rPr>
        <w:t> </w:t>
      </w:r>
      <w:r>
        <w:rPr>
          <w:sz w:val="22"/>
        </w:rPr>
        <w:t>practice</w:t>
      </w:r>
      <w:r>
        <w:rPr>
          <w:spacing w:val="-3"/>
          <w:sz w:val="22"/>
        </w:rPr>
        <w:t> </w:t>
      </w:r>
      <w:r>
        <w:rPr>
          <w:sz w:val="22"/>
        </w:rPr>
        <w:t>sites</w:t>
      </w:r>
      <w:r>
        <w:rPr>
          <w:spacing w:val="-6"/>
          <w:sz w:val="22"/>
        </w:rPr>
        <w:t> </w:t>
      </w:r>
      <w:r>
        <w:rPr>
          <w:sz w:val="22"/>
        </w:rPr>
        <w:t>join</w:t>
      </w:r>
      <w:r>
        <w:rPr>
          <w:spacing w:val="-4"/>
          <w:sz w:val="22"/>
        </w:rPr>
        <w:t> </w:t>
      </w:r>
      <w:r>
        <w:rPr>
          <w:sz w:val="22"/>
        </w:rPr>
        <w:t>another</w:t>
      </w:r>
      <w:r>
        <w:rPr>
          <w:spacing w:val="-5"/>
          <w:sz w:val="22"/>
        </w:rPr>
        <w:t> </w:t>
      </w:r>
      <w:r>
        <w:rPr>
          <w:sz w:val="22"/>
        </w:rPr>
        <w:t>ACO,</w:t>
      </w:r>
      <w:r>
        <w:rPr>
          <w:spacing w:val="-4"/>
          <w:sz w:val="22"/>
        </w:rPr>
        <w:t> </w:t>
      </w:r>
      <w:r>
        <w:rPr>
          <w:sz w:val="22"/>
        </w:rPr>
        <w:t>then</w:t>
      </w:r>
      <w:r>
        <w:rPr>
          <w:spacing w:val="-4"/>
          <w:sz w:val="22"/>
        </w:rPr>
        <w:t> </w:t>
      </w:r>
      <w:r>
        <w:rPr>
          <w:sz w:val="22"/>
        </w:rPr>
        <w:t>the</w:t>
      </w:r>
      <w:r>
        <w:rPr>
          <w:spacing w:val="-3"/>
          <w:sz w:val="22"/>
        </w:rPr>
        <w:t> </w:t>
      </w:r>
      <w:r>
        <w:rPr>
          <w:sz w:val="22"/>
        </w:rPr>
        <w:t>State</w:t>
      </w:r>
      <w:r>
        <w:rPr>
          <w:spacing w:val="-3"/>
          <w:sz w:val="22"/>
        </w:rPr>
        <w:t> </w:t>
      </w:r>
      <w:r>
        <w:rPr>
          <w:sz w:val="22"/>
        </w:rPr>
        <w:t>may reduce the amount of DSRIP startup/ongoing and DSTI Glide Path funding that the ACO is required to return</w:t>
      </w:r>
      <w:r>
        <w:rPr>
          <w:spacing w:val="-11"/>
          <w:sz w:val="22"/>
        </w:rPr>
        <w:t> </w:t>
      </w:r>
      <w:r>
        <w:rPr>
          <w:sz w:val="22"/>
        </w:rPr>
        <w:t>to</w:t>
      </w:r>
      <w:r>
        <w:rPr>
          <w:spacing w:val="-11"/>
          <w:sz w:val="22"/>
        </w:rPr>
        <w:t> </w:t>
      </w:r>
      <w:r>
        <w:rPr>
          <w:sz w:val="22"/>
        </w:rPr>
        <w:t>the</w:t>
      </w:r>
      <w:r>
        <w:rPr>
          <w:spacing w:val="-8"/>
          <w:sz w:val="22"/>
        </w:rPr>
        <w:t> </w:t>
      </w:r>
      <w:r>
        <w:rPr>
          <w:sz w:val="22"/>
        </w:rPr>
        <w:t>State.</w:t>
      </w:r>
      <w:r>
        <w:rPr>
          <w:spacing w:val="-9"/>
          <w:sz w:val="22"/>
        </w:rPr>
        <w:t> </w:t>
      </w:r>
      <w:r>
        <w:rPr>
          <w:sz w:val="22"/>
        </w:rPr>
        <w:t>In</w:t>
      </w:r>
      <w:r>
        <w:rPr>
          <w:spacing w:val="-9"/>
          <w:sz w:val="22"/>
        </w:rPr>
        <w:t> </w:t>
      </w:r>
      <w:r>
        <w:rPr>
          <w:sz w:val="22"/>
        </w:rPr>
        <w:t>such</w:t>
      </w:r>
      <w:r>
        <w:rPr>
          <w:spacing w:val="-9"/>
          <w:sz w:val="22"/>
        </w:rPr>
        <w:t> </w:t>
      </w:r>
      <w:r>
        <w:rPr>
          <w:sz w:val="22"/>
        </w:rPr>
        <w:t>cases,</w:t>
      </w:r>
      <w:r>
        <w:rPr>
          <w:spacing w:val="-11"/>
          <w:sz w:val="22"/>
        </w:rPr>
        <w:t> </w:t>
      </w:r>
      <w:r>
        <w:rPr>
          <w:sz w:val="22"/>
        </w:rPr>
        <w:t>the</w:t>
      </w:r>
      <w:r>
        <w:rPr>
          <w:spacing w:val="-11"/>
          <w:sz w:val="22"/>
        </w:rPr>
        <w:t> </w:t>
      </w:r>
      <w:r>
        <w:rPr>
          <w:sz w:val="22"/>
        </w:rPr>
        <w:t>State</w:t>
      </w:r>
      <w:r>
        <w:rPr>
          <w:spacing w:val="-8"/>
          <w:sz w:val="22"/>
        </w:rPr>
        <w:t> </w:t>
      </w:r>
      <w:r>
        <w:rPr>
          <w:sz w:val="22"/>
        </w:rPr>
        <w:t>may</w:t>
      </w:r>
      <w:r>
        <w:rPr>
          <w:spacing w:val="-11"/>
          <w:sz w:val="22"/>
        </w:rPr>
        <w:t> </w:t>
      </w:r>
      <w:r>
        <w:rPr>
          <w:sz w:val="22"/>
        </w:rPr>
        <w:t>reduce</w:t>
      </w:r>
      <w:r>
        <w:rPr>
          <w:spacing w:val="-11"/>
          <w:sz w:val="22"/>
        </w:rPr>
        <w:t> </w:t>
      </w:r>
      <w:r>
        <w:rPr>
          <w:sz w:val="22"/>
        </w:rPr>
        <w:t>the</w:t>
      </w:r>
      <w:r>
        <w:rPr>
          <w:spacing w:val="-8"/>
          <w:sz w:val="22"/>
        </w:rPr>
        <w:t> </w:t>
      </w:r>
      <w:r>
        <w:rPr>
          <w:sz w:val="22"/>
        </w:rPr>
        <w:t>required</w:t>
      </w:r>
      <w:r>
        <w:rPr>
          <w:spacing w:val="-11"/>
          <w:sz w:val="22"/>
        </w:rPr>
        <w:t> </w:t>
      </w:r>
      <w:r>
        <w:rPr>
          <w:sz w:val="22"/>
        </w:rPr>
        <w:t>amount</w:t>
      </w:r>
      <w:r>
        <w:rPr>
          <w:spacing w:val="-8"/>
          <w:sz w:val="22"/>
        </w:rPr>
        <w:t> </w:t>
      </w:r>
      <w:r>
        <w:rPr>
          <w:sz w:val="22"/>
        </w:rPr>
        <w:t>to</w:t>
      </w:r>
      <w:r>
        <w:rPr>
          <w:spacing w:val="-9"/>
          <w:sz w:val="22"/>
        </w:rPr>
        <w:t> </w:t>
      </w:r>
      <w:r>
        <w:rPr>
          <w:sz w:val="22"/>
        </w:rPr>
        <w:t>be</w:t>
      </w:r>
      <w:r>
        <w:rPr>
          <w:spacing w:val="-8"/>
          <w:sz w:val="22"/>
        </w:rPr>
        <w:t> </w:t>
      </w:r>
      <w:r>
        <w:rPr>
          <w:sz w:val="22"/>
        </w:rPr>
        <w:t>returned</w:t>
      </w:r>
      <w:r>
        <w:rPr>
          <w:spacing w:val="-11"/>
          <w:sz w:val="22"/>
        </w:rPr>
        <w:t> </w:t>
      </w:r>
      <w:r>
        <w:rPr>
          <w:sz w:val="22"/>
        </w:rPr>
        <w:t>by</w:t>
      </w:r>
      <w:r>
        <w:rPr>
          <w:spacing w:val="-11"/>
          <w:sz w:val="22"/>
        </w:rPr>
        <w:t> </w:t>
      </w:r>
      <w:r>
        <w:rPr>
          <w:sz w:val="22"/>
        </w:rPr>
        <w:t>the</w:t>
      </w:r>
      <w:r>
        <w:rPr>
          <w:spacing w:val="-8"/>
          <w:sz w:val="22"/>
        </w:rPr>
        <w:t> </w:t>
      </w:r>
      <w:r>
        <w:rPr>
          <w:sz w:val="22"/>
        </w:rPr>
        <w:t>percentage of the ACO’s enrolled members attributed to the primary care practice sites joining another ACO.</w:t>
      </w:r>
    </w:p>
    <w:p>
      <w:pPr>
        <w:pStyle w:val="BodyText"/>
      </w:pPr>
    </w:p>
    <w:p>
      <w:pPr>
        <w:pStyle w:val="Heading2"/>
        <w:numPr>
          <w:ilvl w:val="1"/>
          <w:numId w:val="77"/>
        </w:numPr>
        <w:tabs>
          <w:tab w:pos="1618" w:val="left" w:leader="none"/>
        </w:tabs>
        <w:spacing w:line="240" w:lineRule="auto" w:before="197" w:after="0"/>
        <w:ind w:left="1618" w:right="0" w:hanging="398"/>
        <w:jc w:val="both"/>
      </w:pPr>
      <w:bookmarkStart w:name="5.4 Accountability Framework &amp; Performan" w:id="1412"/>
      <w:bookmarkEnd w:id="1412"/>
      <w:r>
        <w:rPr>
          <w:b w:val="0"/>
        </w:rPr>
      </w:r>
      <w:bookmarkStart w:name="5.4.1 Overview" w:id="1413"/>
      <w:bookmarkEnd w:id="1413"/>
      <w:r>
        <w:rPr>
          <w:b w:val="0"/>
        </w:rPr>
      </w:r>
      <w:bookmarkStart w:name="_bookmark87" w:id="1414"/>
      <w:bookmarkEnd w:id="1414"/>
      <w:r>
        <w:rPr>
          <w:b w:val="0"/>
        </w:rPr>
      </w:r>
      <w:bookmarkStart w:name="_bookmark88" w:id="1415"/>
      <w:bookmarkEnd w:id="1415"/>
      <w:r>
        <w:rPr>
          <w:b w:val="0"/>
        </w:rPr>
      </w:r>
      <w:r>
        <w:rPr>
          <w:color w:val="4471C4"/>
        </w:rPr>
        <w:t>Accountability</w:t>
      </w:r>
      <w:r>
        <w:rPr>
          <w:color w:val="4471C4"/>
          <w:spacing w:val="-9"/>
        </w:rPr>
        <w:t> </w:t>
      </w:r>
      <w:r>
        <w:rPr>
          <w:color w:val="4471C4"/>
        </w:rPr>
        <w:t>Framework</w:t>
      </w:r>
      <w:r>
        <w:rPr>
          <w:color w:val="4471C4"/>
          <w:spacing w:val="-10"/>
        </w:rPr>
        <w:t> </w:t>
      </w:r>
      <w:r>
        <w:rPr>
          <w:color w:val="4471C4"/>
        </w:rPr>
        <w:t>&amp;</w:t>
      </w:r>
      <w:r>
        <w:rPr>
          <w:color w:val="4471C4"/>
          <w:spacing w:val="-11"/>
        </w:rPr>
        <w:t> </w:t>
      </w:r>
      <w:r>
        <w:rPr>
          <w:color w:val="4471C4"/>
        </w:rPr>
        <w:t>Performance</w:t>
      </w:r>
      <w:r>
        <w:rPr>
          <w:color w:val="4471C4"/>
          <w:spacing w:val="-8"/>
        </w:rPr>
        <w:t> </w:t>
      </w:r>
      <w:r>
        <w:rPr>
          <w:color w:val="4471C4"/>
        </w:rPr>
        <w:t>Based</w:t>
      </w:r>
      <w:r>
        <w:rPr>
          <w:color w:val="4471C4"/>
          <w:spacing w:val="-10"/>
        </w:rPr>
        <w:t> </w:t>
      </w:r>
      <w:r>
        <w:rPr>
          <w:color w:val="4471C4"/>
        </w:rPr>
        <w:t>Payments</w:t>
      </w:r>
      <w:r>
        <w:rPr>
          <w:color w:val="4471C4"/>
          <w:spacing w:val="-8"/>
        </w:rPr>
        <w:t> </w:t>
      </w:r>
      <w:r>
        <w:rPr>
          <w:color w:val="4471C4"/>
        </w:rPr>
        <w:t>for</w:t>
      </w:r>
      <w:r>
        <w:rPr>
          <w:color w:val="4471C4"/>
          <w:spacing w:val="-8"/>
        </w:rPr>
        <w:t> </w:t>
      </w:r>
      <w:r>
        <w:rPr>
          <w:color w:val="4471C4"/>
        </w:rPr>
        <w:t>CPs</w:t>
      </w:r>
      <w:r>
        <w:rPr>
          <w:color w:val="4471C4"/>
          <w:spacing w:val="-11"/>
        </w:rPr>
        <w:t> </w:t>
      </w:r>
      <w:r>
        <w:rPr>
          <w:color w:val="4471C4"/>
        </w:rPr>
        <w:t>and</w:t>
      </w:r>
      <w:r>
        <w:rPr>
          <w:color w:val="4471C4"/>
          <w:spacing w:val="-8"/>
        </w:rPr>
        <w:t> </w:t>
      </w:r>
      <w:r>
        <w:rPr>
          <w:color w:val="4471C4"/>
          <w:spacing w:val="-4"/>
        </w:rPr>
        <w:t>CSAs</w:t>
      </w:r>
    </w:p>
    <w:p>
      <w:pPr>
        <w:pStyle w:val="ListParagraph"/>
        <w:numPr>
          <w:ilvl w:val="2"/>
          <w:numId w:val="77"/>
        </w:numPr>
        <w:tabs>
          <w:tab w:pos="1939" w:val="left" w:leader="none"/>
        </w:tabs>
        <w:spacing w:line="252" w:lineRule="exact" w:before="197" w:after="0"/>
        <w:ind w:left="1939" w:right="0" w:hanging="719"/>
        <w:jc w:val="both"/>
        <w:rPr>
          <w:b/>
          <w:color w:val="4471C4"/>
          <w:sz w:val="22"/>
        </w:rPr>
      </w:pPr>
      <w:r>
        <w:rPr>
          <w:b/>
          <w:color w:val="4471C4"/>
          <w:spacing w:val="-2"/>
          <w:sz w:val="22"/>
        </w:rPr>
        <w:t>Overview</w:t>
      </w:r>
    </w:p>
    <w:p>
      <w:pPr>
        <w:spacing w:before="0"/>
        <w:ind w:left="1220" w:right="1092" w:firstLine="0"/>
        <w:jc w:val="both"/>
        <w:rPr>
          <w:sz w:val="22"/>
        </w:rPr>
      </w:pPr>
      <w:r>
        <w:rPr>
          <w:sz w:val="22"/>
        </w:rPr>
        <w:t>As described in Section 4.5 above, payment streams for CPs and CSAs are subject to an accountability framework that aligns the CPs’ and CSAs’ incentives with the State’s delivery system reform goals. For CPs and CSAs, a portion of the Infrastructure funds will be at-risk based on performance.</w:t>
      </w:r>
    </w:p>
    <w:p>
      <w:pPr>
        <w:spacing w:before="162"/>
        <w:ind w:left="1220" w:right="0" w:firstLine="0"/>
        <w:jc w:val="both"/>
        <w:rPr>
          <w:sz w:val="22"/>
        </w:rPr>
      </w:pPr>
      <w:r>
        <w:rPr>
          <w:sz w:val="22"/>
        </w:rPr>
        <w:t>EXHIBIT</w:t>
      </w:r>
      <w:r>
        <w:rPr>
          <w:spacing w:val="-2"/>
          <w:sz w:val="22"/>
        </w:rPr>
        <w:t> </w:t>
      </w:r>
      <w:r>
        <w:rPr>
          <w:sz w:val="22"/>
        </w:rPr>
        <w:t>42</w:t>
      </w:r>
      <w:r>
        <w:rPr>
          <w:spacing w:val="-3"/>
          <w:sz w:val="22"/>
        </w:rPr>
        <w:t> </w:t>
      </w:r>
      <w:r>
        <w:rPr>
          <w:sz w:val="22"/>
        </w:rPr>
        <w:t>–</w:t>
      </w:r>
      <w:r>
        <w:rPr>
          <w:spacing w:val="-3"/>
          <w:sz w:val="22"/>
        </w:rPr>
        <w:t> </w:t>
      </w:r>
      <w:r>
        <w:rPr>
          <w:sz w:val="22"/>
        </w:rPr>
        <w:t>CP</w:t>
      </w:r>
      <w:r>
        <w:rPr>
          <w:spacing w:val="-4"/>
          <w:sz w:val="22"/>
        </w:rPr>
        <w:t> </w:t>
      </w:r>
      <w:r>
        <w:rPr>
          <w:sz w:val="22"/>
        </w:rPr>
        <w:t>and</w:t>
      </w:r>
      <w:r>
        <w:rPr>
          <w:spacing w:val="-3"/>
          <w:sz w:val="22"/>
        </w:rPr>
        <w:t> </w:t>
      </w:r>
      <w:r>
        <w:rPr>
          <w:sz w:val="22"/>
        </w:rPr>
        <w:t>CSA</w:t>
      </w:r>
      <w:r>
        <w:rPr>
          <w:spacing w:val="-4"/>
          <w:sz w:val="22"/>
        </w:rPr>
        <w:t> </w:t>
      </w:r>
      <w:r>
        <w:rPr>
          <w:sz w:val="22"/>
        </w:rPr>
        <w:t>Accountability</w:t>
      </w:r>
      <w:r>
        <w:rPr>
          <w:spacing w:val="-5"/>
          <w:sz w:val="22"/>
        </w:rPr>
        <w:t> </w:t>
      </w:r>
      <w:r>
        <w:rPr>
          <w:spacing w:val="-2"/>
          <w:sz w:val="22"/>
        </w:rPr>
        <w:t>Framework</w:t>
      </w:r>
    </w:p>
    <w:p>
      <w:pPr>
        <w:pStyle w:val="BodyText"/>
        <w:spacing w:before="8"/>
        <w:rPr>
          <w:sz w:val="11"/>
        </w:rPr>
      </w:pPr>
      <w:r>
        <w:rPr/>
        <mc:AlternateContent>
          <mc:Choice Requires="wps">
            <w:drawing>
              <wp:anchor distT="0" distB="0" distL="0" distR="0" allowOverlap="1" layoutInCell="1" locked="0" behindDoc="1" simplePos="0" relativeHeight="488020992">
                <wp:simplePos x="0" y="0"/>
                <wp:positionH relativeFrom="page">
                  <wp:posOffset>905255</wp:posOffset>
                </wp:positionH>
                <wp:positionV relativeFrom="paragraph">
                  <wp:posOffset>100640</wp:posOffset>
                </wp:positionV>
                <wp:extent cx="5953125" cy="4261485"/>
                <wp:effectExtent l="0" t="0" r="0" b="0"/>
                <wp:wrapTopAndBottom/>
                <wp:docPr id="916" name="Group 916"/>
                <wp:cNvGraphicFramePr>
                  <a:graphicFrameLocks/>
                </wp:cNvGraphicFramePr>
                <a:graphic>
                  <a:graphicData uri="http://schemas.microsoft.com/office/word/2010/wordprocessingGroup">
                    <wpg:wgp>
                      <wpg:cNvPr id="916" name="Group 916"/>
                      <wpg:cNvGrpSpPr/>
                      <wpg:grpSpPr>
                        <a:xfrm>
                          <a:off x="0" y="0"/>
                          <a:ext cx="5953125" cy="4261485"/>
                          <a:chExt cx="5953125" cy="4261485"/>
                        </a:xfrm>
                      </wpg:grpSpPr>
                      <wps:wsp>
                        <wps:cNvPr id="917" name="Graphic 917"/>
                        <wps:cNvSpPr/>
                        <wps:spPr>
                          <a:xfrm>
                            <a:off x="0" y="12"/>
                            <a:ext cx="5953125" cy="4261485"/>
                          </a:xfrm>
                          <a:custGeom>
                            <a:avLst/>
                            <a:gdLst/>
                            <a:ahLst/>
                            <a:cxnLst/>
                            <a:rect l="l" t="t" r="r" b="b"/>
                            <a:pathLst>
                              <a:path w="5953125" h="4261485">
                                <a:moveTo>
                                  <a:pt x="5952744" y="4255008"/>
                                </a:moveTo>
                                <a:lnTo>
                                  <a:pt x="0" y="4255008"/>
                                </a:lnTo>
                                <a:lnTo>
                                  <a:pt x="0" y="4261104"/>
                                </a:lnTo>
                                <a:lnTo>
                                  <a:pt x="5952744" y="4261104"/>
                                </a:lnTo>
                                <a:lnTo>
                                  <a:pt x="5952744" y="4255008"/>
                                </a:lnTo>
                                <a:close/>
                              </a:path>
                              <a:path w="5953125" h="4261485">
                                <a:moveTo>
                                  <a:pt x="5952744" y="0"/>
                                </a:moveTo>
                                <a:lnTo>
                                  <a:pt x="9144" y="0"/>
                                </a:lnTo>
                                <a:lnTo>
                                  <a:pt x="9144" y="6096"/>
                                </a:lnTo>
                                <a:lnTo>
                                  <a:pt x="5952744" y="6096"/>
                                </a:lnTo>
                                <a:lnTo>
                                  <a:pt x="5952744" y="0"/>
                                </a:lnTo>
                                <a:close/>
                              </a:path>
                            </a:pathLst>
                          </a:custGeom>
                          <a:solidFill>
                            <a:srgbClr val="000000"/>
                          </a:solidFill>
                        </wps:spPr>
                        <wps:bodyPr wrap="square" lIns="0" tIns="0" rIns="0" bIns="0" rtlCol="0">
                          <a:prstTxWarp prst="textNoShape">
                            <a:avLst/>
                          </a:prstTxWarp>
                          <a:noAutofit/>
                        </wps:bodyPr>
                      </wps:wsp>
                      <pic:pic>
                        <pic:nvPicPr>
                          <pic:cNvPr id="918" name="Image 918"/>
                          <pic:cNvPicPr/>
                        </pic:nvPicPr>
                        <pic:blipFill>
                          <a:blip r:embed="rId347" cstate="print"/>
                          <a:stretch>
                            <a:fillRect/>
                          </a:stretch>
                        </pic:blipFill>
                        <pic:spPr>
                          <a:xfrm>
                            <a:off x="77723" y="6693"/>
                            <a:ext cx="5875020" cy="4238624"/>
                          </a:xfrm>
                          <a:prstGeom prst="rect">
                            <a:avLst/>
                          </a:prstGeom>
                        </pic:spPr>
                      </pic:pic>
                    </wpg:wgp>
                  </a:graphicData>
                </a:graphic>
              </wp:anchor>
            </w:drawing>
          </mc:Choice>
          <mc:Fallback>
            <w:pict>
              <v:group style="position:absolute;margin-left:71.279999pt;margin-top:7.924463pt;width:468.75pt;height:335.55pt;mso-position-horizontal-relative:page;mso-position-vertical-relative:paragraph;z-index:-15295488;mso-wrap-distance-left:0;mso-wrap-distance-right:0" id="docshapegroup133" coordorigin="1426,158" coordsize="9375,6711">
                <v:shape style="position:absolute;left:1425;top:158;width:9375;height:6711" id="docshape134" coordorigin="1426,159" coordsize="9375,6711" path="m10800,6859l1426,6859,1426,6869,10800,6869,10800,6859xm10800,159l1440,159,1440,168,10800,168,10800,159xe" filled="true" fillcolor="#000000" stroked="false">
                  <v:path arrowok="t"/>
                  <v:fill type="solid"/>
                </v:shape>
                <v:shape style="position:absolute;left:1548;top:169;width:9252;height:6675" type="#_x0000_t75" id="docshape135" stroked="false">
                  <v:imagedata r:id="rId347" o:title=""/>
                </v:shape>
                <w10:wrap type="topAndBottom"/>
              </v:group>
            </w:pict>
          </mc:Fallback>
        </mc:AlternateContent>
      </w:r>
    </w:p>
    <w:p>
      <w:pPr>
        <w:spacing w:after="0"/>
        <w:rPr>
          <w:sz w:val="11"/>
        </w:rPr>
        <w:sectPr>
          <w:pgSz w:w="12240" w:h="15840"/>
          <w:pgMar w:header="0" w:footer="967" w:top="1360" w:bottom="1160" w:left="220" w:right="340"/>
        </w:sectPr>
      </w:pPr>
    </w:p>
    <w:p>
      <w:pPr>
        <w:pStyle w:val="ListParagraph"/>
        <w:numPr>
          <w:ilvl w:val="2"/>
          <w:numId w:val="77"/>
        </w:numPr>
        <w:tabs>
          <w:tab w:pos="1938" w:val="left" w:leader="none"/>
        </w:tabs>
        <w:spacing w:line="252" w:lineRule="exact" w:before="72" w:after="0"/>
        <w:ind w:left="1938" w:right="0" w:hanging="719"/>
        <w:jc w:val="both"/>
        <w:rPr>
          <w:b/>
          <w:color w:val="4471C4"/>
          <w:sz w:val="22"/>
        </w:rPr>
      </w:pPr>
      <w:bookmarkStart w:name="5.4.2 Alignment of Quality Measure Slate" w:id="1416"/>
      <w:bookmarkEnd w:id="1416"/>
      <w:r>
        <w:rPr/>
      </w:r>
      <w:bookmarkStart w:name="_bookmark89" w:id="1417"/>
      <w:bookmarkEnd w:id="1417"/>
      <w:r>
        <w:rPr/>
      </w:r>
      <w:r>
        <w:rPr>
          <w:b/>
          <w:color w:val="4471C4"/>
          <w:sz w:val="22"/>
        </w:rPr>
        <w:t>Alignment</w:t>
      </w:r>
      <w:r>
        <w:rPr>
          <w:b/>
          <w:color w:val="4471C4"/>
          <w:spacing w:val="-8"/>
          <w:sz w:val="22"/>
        </w:rPr>
        <w:t> </w:t>
      </w:r>
      <w:r>
        <w:rPr>
          <w:b/>
          <w:color w:val="4471C4"/>
          <w:sz w:val="22"/>
        </w:rPr>
        <w:t>of</w:t>
      </w:r>
      <w:r>
        <w:rPr>
          <w:b/>
          <w:color w:val="4471C4"/>
          <w:spacing w:val="-3"/>
          <w:sz w:val="22"/>
        </w:rPr>
        <w:t> </w:t>
      </w:r>
      <w:r>
        <w:rPr>
          <w:b/>
          <w:color w:val="4471C4"/>
          <w:sz w:val="22"/>
        </w:rPr>
        <w:t>Quality</w:t>
      </w:r>
      <w:r>
        <w:rPr>
          <w:b/>
          <w:color w:val="4471C4"/>
          <w:spacing w:val="-3"/>
          <w:sz w:val="22"/>
        </w:rPr>
        <w:t> </w:t>
      </w:r>
      <w:r>
        <w:rPr>
          <w:b/>
          <w:color w:val="4471C4"/>
          <w:sz w:val="22"/>
        </w:rPr>
        <w:t>Measure</w:t>
      </w:r>
      <w:r>
        <w:rPr>
          <w:b/>
          <w:color w:val="4471C4"/>
          <w:spacing w:val="-3"/>
          <w:sz w:val="22"/>
        </w:rPr>
        <w:t> </w:t>
      </w:r>
      <w:r>
        <w:rPr>
          <w:b/>
          <w:color w:val="4471C4"/>
          <w:sz w:val="22"/>
        </w:rPr>
        <w:t>Slate</w:t>
      </w:r>
      <w:r>
        <w:rPr>
          <w:b/>
          <w:color w:val="4471C4"/>
          <w:spacing w:val="-5"/>
          <w:sz w:val="22"/>
        </w:rPr>
        <w:t> </w:t>
      </w:r>
      <w:r>
        <w:rPr>
          <w:b/>
          <w:color w:val="4471C4"/>
          <w:sz w:val="22"/>
        </w:rPr>
        <w:t>with</w:t>
      </w:r>
      <w:r>
        <w:rPr>
          <w:b/>
          <w:color w:val="4471C4"/>
          <w:spacing w:val="-5"/>
          <w:sz w:val="22"/>
        </w:rPr>
        <w:t> </w:t>
      </w:r>
      <w:r>
        <w:rPr>
          <w:b/>
          <w:color w:val="4471C4"/>
          <w:sz w:val="22"/>
        </w:rPr>
        <w:t>Overall</w:t>
      </w:r>
      <w:r>
        <w:rPr>
          <w:b/>
          <w:color w:val="4471C4"/>
          <w:spacing w:val="-5"/>
          <w:sz w:val="22"/>
        </w:rPr>
        <w:t> </w:t>
      </w:r>
      <w:r>
        <w:rPr>
          <w:b/>
          <w:color w:val="4471C4"/>
          <w:sz w:val="22"/>
        </w:rPr>
        <w:t>Goals</w:t>
      </w:r>
      <w:r>
        <w:rPr>
          <w:b/>
          <w:color w:val="4471C4"/>
          <w:spacing w:val="-3"/>
          <w:sz w:val="22"/>
        </w:rPr>
        <w:t> </w:t>
      </w:r>
      <w:r>
        <w:rPr>
          <w:b/>
          <w:color w:val="4471C4"/>
          <w:sz w:val="22"/>
        </w:rPr>
        <w:t>of</w:t>
      </w:r>
      <w:r>
        <w:rPr>
          <w:b/>
          <w:color w:val="4471C4"/>
          <w:spacing w:val="-2"/>
          <w:sz w:val="22"/>
        </w:rPr>
        <w:t> </w:t>
      </w:r>
      <w:r>
        <w:rPr>
          <w:b/>
          <w:color w:val="4471C4"/>
          <w:sz w:val="22"/>
        </w:rPr>
        <w:t>the</w:t>
      </w:r>
      <w:r>
        <w:rPr>
          <w:b/>
          <w:color w:val="4471C4"/>
          <w:spacing w:val="-5"/>
          <w:sz w:val="22"/>
        </w:rPr>
        <w:t> </w:t>
      </w:r>
      <w:r>
        <w:rPr>
          <w:b/>
          <w:color w:val="4471C4"/>
          <w:sz w:val="22"/>
        </w:rPr>
        <w:t>DSRIP</w:t>
      </w:r>
      <w:r>
        <w:rPr>
          <w:b/>
          <w:color w:val="4471C4"/>
          <w:spacing w:val="-4"/>
          <w:sz w:val="22"/>
        </w:rPr>
        <w:t> </w:t>
      </w:r>
      <w:r>
        <w:rPr>
          <w:b/>
          <w:color w:val="4471C4"/>
          <w:spacing w:val="-2"/>
          <w:sz w:val="22"/>
        </w:rPr>
        <w:t>program</w:t>
      </w:r>
    </w:p>
    <w:p>
      <w:pPr>
        <w:spacing w:line="240" w:lineRule="auto" w:before="0"/>
        <w:ind w:left="1219" w:right="1092" w:firstLine="0"/>
        <w:jc w:val="both"/>
        <w:rPr>
          <w:sz w:val="22"/>
        </w:rPr>
      </w:pPr>
      <w:r>
        <w:rPr>
          <w:sz w:val="22"/>
        </w:rPr>
        <w:t>The quality measure slate was chosen to support the goals of the DSRIP program including promoting member-driven, integrated,</w:t>
      </w:r>
      <w:r>
        <w:rPr>
          <w:spacing w:val="-2"/>
          <w:sz w:val="22"/>
        </w:rPr>
        <w:t> </w:t>
      </w:r>
      <w:r>
        <w:rPr>
          <w:sz w:val="22"/>
        </w:rPr>
        <w:t>coordinated care</w:t>
      </w:r>
      <w:r>
        <w:rPr>
          <w:spacing w:val="-2"/>
          <w:sz w:val="22"/>
        </w:rPr>
        <w:t> </w:t>
      </w:r>
      <w:r>
        <w:rPr>
          <w:sz w:val="22"/>
        </w:rPr>
        <w:t>and</w:t>
      </w:r>
      <w:r>
        <w:rPr>
          <w:spacing w:val="-2"/>
          <w:sz w:val="22"/>
        </w:rPr>
        <w:t> </w:t>
      </w:r>
      <w:r>
        <w:rPr>
          <w:sz w:val="22"/>
        </w:rPr>
        <w:t>improving</w:t>
      </w:r>
      <w:r>
        <w:rPr>
          <w:spacing w:val="-2"/>
          <w:sz w:val="22"/>
        </w:rPr>
        <w:t> </w:t>
      </w:r>
      <w:r>
        <w:rPr>
          <w:sz w:val="22"/>
        </w:rPr>
        <w:t>integration</w:t>
      </w:r>
      <w:r>
        <w:rPr>
          <w:spacing w:val="-2"/>
          <w:sz w:val="22"/>
        </w:rPr>
        <w:t> </w:t>
      </w:r>
      <w:r>
        <w:rPr>
          <w:sz w:val="22"/>
        </w:rPr>
        <w:t>among</w:t>
      </w:r>
      <w:r>
        <w:rPr>
          <w:spacing w:val="-2"/>
          <w:sz w:val="22"/>
        </w:rPr>
        <w:t> </w:t>
      </w:r>
      <w:r>
        <w:rPr>
          <w:sz w:val="22"/>
        </w:rPr>
        <w:t>physical</w:t>
      </w:r>
      <w:r>
        <w:rPr>
          <w:spacing w:val="-1"/>
          <w:sz w:val="22"/>
        </w:rPr>
        <w:t> </w:t>
      </w:r>
      <w:r>
        <w:rPr>
          <w:sz w:val="22"/>
        </w:rPr>
        <w:t>health, behavioral health, long-term services and supports, and health-related social services. In addition, the CP and CSA measure slate has many cross-cutting measures with the ACO measure slate thus aligning the ACOs with their CPs and with CSAs.</w:t>
      </w:r>
    </w:p>
    <w:p>
      <w:pPr>
        <w:spacing w:before="160"/>
        <w:ind w:left="1219" w:right="1094" w:firstLine="0"/>
        <w:jc w:val="both"/>
        <w:rPr>
          <w:sz w:val="22"/>
        </w:rPr>
      </w:pPr>
      <w:r>
        <w:rPr>
          <w:sz w:val="22"/>
        </w:rPr>
        <w:t>Appendix D contains the measures for the LTSS and BH CPs and CSAs, along with an indication as to whether the</w:t>
      </w:r>
      <w:r>
        <w:rPr>
          <w:spacing w:val="-1"/>
          <w:sz w:val="22"/>
        </w:rPr>
        <w:t> </w:t>
      </w:r>
      <w:r>
        <w:rPr>
          <w:sz w:val="22"/>
        </w:rPr>
        <w:t>measure</w:t>
      </w:r>
      <w:r>
        <w:rPr>
          <w:spacing w:val="-1"/>
          <w:sz w:val="22"/>
        </w:rPr>
        <w:t> </w:t>
      </w:r>
      <w:r>
        <w:rPr>
          <w:sz w:val="22"/>
        </w:rPr>
        <w:t>data</w:t>
      </w:r>
      <w:r>
        <w:rPr>
          <w:spacing w:val="-3"/>
          <w:sz w:val="22"/>
        </w:rPr>
        <w:t> </w:t>
      </w:r>
      <w:r>
        <w:rPr>
          <w:sz w:val="22"/>
        </w:rPr>
        <w:t>will be</w:t>
      </w:r>
      <w:r>
        <w:rPr>
          <w:spacing w:val="-1"/>
          <w:sz w:val="22"/>
        </w:rPr>
        <w:t> </w:t>
      </w:r>
      <w:r>
        <w:rPr>
          <w:sz w:val="22"/>
        </w:rPr>
        <w:t>collected</w:t>
      </w:r>
      <w:r>
        <w:rPr>
          <w:spacing w:val="-1"/>
          <w:sz w:val="22"/>
        </w:rPr>
        <w:t> </w:t>
      </w:r>
      <w:r>
        <w:rPr>
          <w:sz w:val="22"/>
        </w:rPr>
        <w:t>via</w:t>
      </w:r>
      <w:r>
        <w:rPr>
          <w:spacing w:val="-1"/>
          <w:sz w:val="22"/>
        </w:rPr>
        <w:t> </w:t>
      </w:r>
      <w:r>
        <w:rPr>
          <w:sz w:val="22"/>
        </w:rPr>
        <w:t>claims</w:t>
      </w:r>
      <w:r>
        <w:rPr>
          <w:spacing w:val="-1"/>
          <w:sz w:val="22"/>
        </w:rPr>
        <w:t> </w:t>
      </w:r>
      <w:r>
        <w:rPr>
          <w:sz w:val="22"/>
        </w:rPr>
        <w:t>and</w:t>
      </w:r>
      <w:r>
        <w:rPr>
          <w:spacing w:val="-1"/>
          <w:sz w:val="22"/>
        </w:rPr>
        <w:t> </w:t>
      </w:r>
      <w:r>
        <w:rPr>
          <w:sz w:val="22"/>
        </w:rPr>
        <w:t>encounters</w:t>
      </w:r>
      <w:r>
        <w:rPr>
          <w:spacing w:val="-1"/>
          <w:sz w:val="22"/>
        </w:rPr>
        <w:t> </w:t>
      </w:r>
      <w:r>
        <w:rPr>
          <w:sz w:val="22"/>
        </w:rPr>
        <w:t>only</w:t>
      </w:r>
      <w:r>
        <w:rPr>
          <w:spacing w:val="-4"/>
          <w:sz w:val="22"/>
        </w:rPr>
        <w:t> </w:t>
      </w:r>
      <w:r>
        <w:rPr>
          <w:sz w:val="22"/>
        </w:rPr>
        <w:t>or whether chart review</w:t>
      </w:r>
      <w:r>
        <w:rPr>
          <w:spacing w:val="-2"/>
          <w:sz w:val="22"/>
        </w:rPr>
        <w:t> </w:t>
      </w:r>
      <w:r>
        <w:rPr>
          <w:sz w:val="22"/>
        </w:rPr>
        <w:t>will be utilized. Additionally, there is an indication of the expected “reporting” and/or “performance” role in the program by program year. Appendix D includes further details regarding the measures including measure descriptions, measure stewards, benchmark sources and reporting frequency.</w:t>
      </w:r>
    </w:p>
    <w:p>
      <w:pPr>
        <w:spacing w:before="161"/>
        <w:ind w:left="1220" w:right="1093" w:firstLine="0"/>
        <w:jc w:val="both"/>
        <w:rPr>
          <w:sz w:val="22"/>
        </w:rPr>
      </w:pPr>
      <w:r>
        <w:rPr>
          <w:sz w:val="22"/>
        </w:rPr>
        <w:t>In the event of a state of emergency declared by the federal or state government, due dates for quality- related benchmarks and rates that</w:t>
      </w:r>
      <w:r>
        <w:rPr>
          <w:spacing w:val="-1"/>
          <w:sz w:val="22"/>
        </w:rPr>
        <w:t> </w:t>
      </w:r>
      <w:r>
        <w:rPr>
          <w:sz w:val="22"/>
        </w:rPr>
        <w:t>the State must submit</w:t>
      </w:r>
      <w:r>
        <w:rPr>
          <w:spacing w:val="-1"/>
          <w:sz w:val="22"/>
        </w:rPr>
        <w:t> </w:t>
      </w:r>
      <w:r>
        <w:rPr>
          <w:sz w:val="22"/>
        </w:rPr>
        <w:t>to CMS</w:t>
      </w:r>
      <w:r>
        <w:rPr>
          <w:spacing w:val="-3"/>
          <w:sz w:val="22"/>
        </w:rPr>
        <w:t> </w:t>
      </w:r>
      <w:r>
        <w:rPr>
          <w:sz w:val="22"/>
        </w:rPr>
        <w:t>shall</w:t>
      </w:r>
      <w:r>
        <w:rPr>
          <w:spacing w:val="-1"/>
          <w:sz w:val="22"/>
        </w:rPr>
        <w:t> </w:t>
      </w:r>
      <w:r>
        <w:rPr>
          <w:sz w:val="22"/>
        </w:rPr>
        <w:t>be extended by</w:t>
      </w:r>
      <w:r>
        <w:rPr>
          <w:spacing w:val="-2"/>
          <w:sz w:val="22"/>
        </w:rPr>
        <w:t> </w:t>
      </w:r>
      <w:r>
        <w:rPr>
          <w:sz w:val="22"/>
        </w:rPr>
        <w:t>at least two</w:t>
      </w:r>
      <w:r>
        <w:rPr>
          <w:spacing w:val="-1"/>
          <w:sz w:val="22"/>
        </w:rPr>
        <w:t> </w:t>
      </w:r>
      <w:r>
        <w:rPr>
          <w:sz w:val="22"/>
        </w:rPr>
        <w:t>months, as determined by the State and CMS.</w:t>
      </w:r>
    </w:p>
    <w:p>
      <w:pPr>
        <w:pStyle w:val="ListParagraph"/>
        <w:numPr>
          <w:ilvl w:val="2"/>
          <w:numId w:val="77"/>
        </w:numPr>
        <w:tabs>
          <w:tab w:pos="1939" w:val="left" w:leader="none"/>
        </w:tabs>
        <w:spacing w:line="240" w:lineRule="auto" w:before="199" w:after="0"/>
        <w:ind w:left="1939" w:right="0" w:hanging="719"/>
        <w:jc w:val="both"/>
        <w:rPr>
          <w:b/>
          <w:color w:val="4471C4"/>
          <w:sz w:val="22"/>
        </w:rPr>
      </w:pPr>
      <w:bookmarkStart w:name="5.4.3 Pay for Reporting vs. Pay for Perf" w:id="1418"/>
      <w:bookmarkEnd w:id="1418"/>
      <w:r>
        <w:rPr/>
      </w:r>
      <w:bookmarkStart w:name="_bookmark90" w:id="1419"/>
      <w:bookmarkEnd w:id="1419"/>
      <w:r>
        <w:rPr/>
      </w:r>
      <w:r>
        <w:rPr>
          <w:b/>
          <w:color w:val="4471C4"/>
          <w:sz w:val="22"/>
        </w:rPr>
        <w:t>Pay</w:t>
      </w:r>
      <w:r>
        <w:rPr>
          <w:b/>
          <w:color w:val="4471C4"/>
          <w:spacing w:val="-4"/>
          <w:sz w:val="22"/>
        </w:rPr>
        <w:t> </w:t>
      </w:r>
      <w:r>
        <w:rPr>
          <w:b/>
          <w:color w:val="4471C4"/>
          <w:sz w:val="22"/>
        </w:rPr>
        <w:t>for</w:t>
      </w:r>
      <w:r>
        <w:rPr>
          <w:b/>
          <w:color w:val="4471C4"/>
          <w:spacing w:val="-1"/>
          <w:sz w:val="22"/>
        </w:rPr>
        <w:t> </w:t>
      </w:r>
      <w:r>
        <w:rPr>
          <w:b/>
          <w:color w:val="4471C4"/>
          <w:sz w:val="22"/>
        </w:rPr>
        <w:t>Reporting</w:t>
      </w:r>
      <w:r>
        <w:rPr>
          <w:b/>
          <w:color w:val="4471C4"/>
          <w:spacing w:val="-1"/>
          <w:sz w:val="22"/>
        </w:rPr>
        <w:t> </w:t>
      </w:r>
      <w:r>
        <w:rPr>
          <w:b/>
          <w:color w:val="4471C4"/>
          <w:sz w:val="22"/>
        </w:rPr>
        <w:t>vs.</w:t>
      </w:r>
      <w:r>
        <w:rPr>
          <w:b/>
          <w:color w:val="4471C4"/>
          <w:spacing w:val="-4"/>
          <w:sz w:val="22"/>
        </w:rPr>
        <w:t> </w:t>
      </w:r>
      <w:r>
        <w:rPr>
          <w:b/>
          <w:color w:val="4471C4"/>
          <w:sz w:val="22"/>
        </w:rPr>
        <w:t>Pay</w:t>
      </w:r>
      <w:r>
        <w:rPr>
          <w:b/>
          <w:color w:val="4471C4"/>
          <w:spacing w:val="-6"/>
          <w:sz w:val="22"/>
        </w:rPr>
        <w:t> </w:t>
      </w:r>
      <w:r>
        <w:rPr>
          <w:b/>
          <w:color w:val="4471C4"/>
          <w:sz w:val="22"/>
        </w:rPr>
        <w:t>for</w:t>
      </w:r>
      <w:r>
        <w:rPr>
          <w:b/>
          <w:color w:val="4471C4"/>
          <w:spacing w:val="-2"/>
          <w:sz w:val="22"/>
        </w:rPr>
        <w:t> Performance</w:t>
      </w:r>
    </w:p>
    <w:p>
      <w:pPr>
        <w:spacing w:before="1"/>
        <w:ind w:left="1220" w:right="1093" w:firstLine="0"/>
        <w:jc w:val="both"/>
        <w:rPr>
          <w:sz w:val="22"/>
        </w:rPr>
      </w:pPr>
      <w:r>
        <w:rPr>
          <w:sz w:val="22"/>
        </w:rPr>
        <w:t>As</w:t>
      </w:r>
      <w:r>
        <w:rPr>
          <w:spacing w:val="-1"/>
          <w:sz w:val="22"/>
        </w:rPr>
        <w:t> </w:t>
      </w:r>
      <w:r>
        <w:rPr>
          <w:sz w:val="22"/>
        </w:rPr>
        <w:t>demonstrated</w:t>
      </w:r>
      <w:r>
        <w:rPr>
          <w:spacing w:val="-1"/>
          <w:sz w:val="22"/>
        </w:rPr>
        <w:t> </w:t>
      </w:r>
      <w:r>
        <w:rPr>
          <w:sz w:val="22"/>
        </w:rPr>
        <w:t>in</w:t>
      </w:r>
      <w:r>
        <w:rPr>
          <w:spacing w:val="-1"/>
          <w:sz w:val="22"/>
        </w:rPr>
        <w:t> </w:t>
      </w:r>
      <w:r>
        <w:rPr>
          <w:sz w:val="22"/>
        </w:rPr>
        <w:t>Appendix</w:t>
      </w:r>
      <w:r>
        <w:rPr>
          <w:spacing w:val="-1"/>
          <w:sz w:val="22"/>
        </w:rPr>
        <w:t> </w:t>
      </w:r>
      <w:r>
        <w:rPr>
          <w:sz w:val="22"/>
        </w:rPr>
        <w:t>D,</w:t>
      </w:r>
      <w:r>
        <w:rPr>
          <w:spacing w:val="-1"/>
          <w:sz w:val="22"/>
        </w:rPr>
        <w:t> </w:t>
      </w:r>
      <w:r>
        <w:rPr>
          <w:sz w:val="22"/>
        </w:rPr>
        <w:t>the</w:t>
      </w:r>
      <w:r>
        <w:rPr>
          <w:spacing w:val="-1"/>
          <w:sz w:val="22"/>
        </w:rPr>
        <w:t> </w:t>
      </w:r>
      <w:r>
        <w:rPr>
          <w:sz w:val="22"/>
        </w:rPr>
        <w:t>State</w:t>
      </w:r>
      <w:r>
        <w:rPr>
          <w:spacing w:val="-1"/>
          <w:sz w:val="22"/>
        </w:rPr>
        <w:t> </w:t>
      </w:r>
      <w:r>
        <w:rPr>
          <w:sz w:val="22"/>
        </w:rPr>
        <w:t>anticipates</w:t>
      </w:r>
      <w:r>
        <w:rPr>
          <w:spacing w:val="-3"/>
          <w:sz w:val="22"/>
        </w:rPr>
        <w:t> </w:t>
      </w:r>
      <w:r>
        <w:rPr>
          <w:sz w:val="22"/>
        </w:rPr>
        <w:t>that most Quality</w:t>
      </w:r>
      <w:r>
        <w:rPr>
          <w:spacing w:val="-4"/>
          <w:sz w:val="22"/>
        </w:rPr>
        <w:t> </w:t>
      </w:r>
      <w:r>
        <w:rPr>
          <w:sz w:val="22"/>
        </w:rPr>
        <w:t>Measures</w:t>
      </w:r>
      <w:r>
        <w:rPr>
          <w:spacing w:val="-3"/>
          <w:sz w:val="22"/>
        </w:rPr>
        <w:t> </w:t>
      </w:r>
      <w:r>
        <w:rPr>
          <w:sz w:val="22"/>
        </w:rPr>
        <w:t>will transition</w:t>
      </w:r>
      <w:r>
        <w:rPr>
          <w:spacing w:val="-1"/>
          <w:sz w:val="22"/>
        </w:rPr>
        <w:t> </w:t>
      </w:r>
      <w:r>
        <w:rPr>
          <w:sz w:val="22"/>
        </w:rPr>
        <w:t>from</w:t>
      </w:r>
      <w:r>
        <w:rPr>
          <w:spacing w:val="-5"/>
          <w:sz w:val="22"/>
        </w:rPr>
        <w:t> </w:t>
      </w:r>
      <w:r>
        <w:rPr>
          <w:sz w:val="22"/>
        </w:rPr>
        <w:t>Pay for Reporting (P4R) to Pay for Performance (P4P) over the duration of the program. All CP measures in the first two performance years are Reporting or Pay for Reporting (P4R), with a subset transitioning to Pay for Performance (P4P) starting in Performance Year 3. All measures will transition to P4P by Performance Year 4. Given the unique needs and demographics of the member populations supported by the</w:t>
      </w:r>
      <w:r>
        <w:rPr>
          <w:spacing w:val="-7"/>
          <w:sz w:val="22"/>
        </w:rPr>
        <w:t> </w:t>
      </w:r>
      <w:r>
        <w:rPr>
          <w:sz w:val="22"/>
        </w:rPr>
        <w:t>CPs</w:t>
      </w:r>
      <w:r>
        <w:rPr>
          <w:spacing w:val="-7"/>
          <w:sz w:val="22"/>
        </w:rPr>
        <w:t> </w:t>
      </w:r>
      <w:r>
        <w:rPr>
          <w:sz w:val="22"/>
        </w:rPr>
        <w:t>and</w:t>
      </w:r>
      <w:r>
        <w:rPr>
          <w:spacing w:val="-7"/>
          <w:sz w:val="22"/>
        </w:rPr>
        <w:t> </w:t>
      </w:r>
      <w:r>
        <w:rPr>
          <w:sz w:val="22"/>
        </w:rPr>
        <w:t>CSAs,</w:t>
      </w:r>
      <w:r>
        <w:rPr>
          <w:spacing w:val="-10"/>
          <w:sz w:val="22"/>
        </w:rPr>
        <w:t> </w:t>
      </w:r>
      <w:r>
        <w:rPr>
          <w:sz w:val="22"/>
        </w:rPr>
        <w:t>there</w:t>
      </w:r>
      <w:r>
        <w:rPr>
          <w:spacing w:val="-9"/>
          <w:sz w:val="22"/>
        </w:rPr>
        <w:t> </w:t>
      </w:r>
      <w:r>
        <w:rPr>
          <w:sz w:val="22"/>
        </w:rPr>
        <w:t>are</w:t>
      </w:r>
      <w:r>
        <w:rPr>
          <w:spacing w:val="-7"/>
          <w:sz w:val="22"/>
        </w:rPr>
        <w:t> </w:t>
      </w:r>
      <w:r>
        <w:rPr>
          <w:sz w:val="22"/>
        </w:rPr>
        <w:t>challenges</w:t>
      </w:r>
      <w:r>
        <w:rPr>
          <w:spacing w:val="-9"/>
          <w:sz w:val="22"/>
        </w:rPr>
        <w:t> </w:t>
      </w:r>
      <w:r>
        <w:rPr>
          <w:sz w:val="22"/>
        </w:rPr>
        <w:t>to</w:t>
      </w:r>
      <w:r>
        <w:rPr>
          <w:spacing w:val="-9"/>
          <w:sz w:val="22"/>
        </w:rPr>
        <w:t> </w:t>
      </w:r>
      <w:r>
        <w:rPr>
          <w:sz w:val="22"/>
        </w:rPr>
        <w:t>utilizing</w:t>
      </w:r>
      <w:r>
        <w:rPr>
          <w:spacing w:val="-10"/>
          <w:sz w:val="22"/>
        </w:rPr>
        <w:t> </w:t>
      </w:r>
      <w:r>
        <w:rPr>
          <w:sz w:val="22"/>
        </w:rPr>
        <w:t>nationally</w:t>
      </w:r>
      <w:r>
        <w:rPr>
          <w:spacing w:val="-10"/>
          <w:sz w:val="22"/>
        </w:rPr>
        <w:t> </w:t>
      </w:r>
      <w:r>
        <w:rPr>
          <w:sz w:val="22"/>
        </w:rPr>
        <w:t>established</w:t>
      </w:r>
      <w:r>
        <w:rPr>
          <w:spacing w:val="-10"/>
          <w:sz w:val="22"/>
        </w:rPr>
        <w:t> </w:t>
      </w:r>
      <w:r>
        <w:rPr>
          <w:sz w:val="22"/>
        </w:rPr>
        <w:t>benchmarks</w:t>
      </w:r>
      <w:r>
        <w:rPr>
          <w:spacing w:val="-7"/>
          <w:sz w:val="22"/>
        </w:rPr>
        <w:t> </w:t>
      </w:r>
      <w:r>
        <w:rPr>
          <w:sz w:val="22"/>
        </w:rPr>
        <w:t>for</w:t>
      </w:r>
      <w:r>
        <w:rPr>
          <w:spacing w:val="-6"/>
          <w:sz w:val="22"/>
        </w:rPr>
        <w:t> </w:t>
      </w:r>
      <w:r>
        <w:rPr>
          <w:sz w:val="22"/>
        </w:rPr>
        <w:t>performance</w:t>
      </w:r>
      <w:r>
        <w:rPr>
          <w:spacing w:val="-9"/>
          <w:sz w:val="22"/>
        </w:rPr>
        <w:t> </w:t>
      </w:r>
      <w:r>
        <w:rPr>
          <w:sz w:val="22"/>
        </w:rPr>
        <w:t>that reflect the overall population. Therefore, the State will utilize the first two Performance Years of the demonstration to establish an appropriate baseline and achievement targets as described below for the quality measures. This will allow time for familiarization with the measures, data collection, reporting, as well as to provide baseline</w:t>
      </w:r>
      <w:r>
        <w:rPr>
          <w:spacing w:val="-1"/>
          <w:sz w:val="22"/>
        </w:rPr>
        <w:t> </w:t>
      </w:r>
      <w:r>
        <w:rPr>
          <w:sz w:val="22"/>
        </w:rPr>
        <w:t>performance. This will also allow for two years of data to confirm, as needed:</w:t>
      </w:r>
    </w:p>
    <w:p>
      <w:pPr>
        <w:pStyle w:val="ListParagraph"/>
        <w:numPr>
          <w:ilvl w:val="0"/>
          <w:numId w:val="99"/>
        </w:numPr>
        <w:tabs>
          <w:tab w:pos="2299" w:val="left" w:leader="none"/>
        </w:tabs>
        <w:spacing w:line="263" w:lineRule="exact" w:before="0" w:after="0"/>
        <w:ind w:left="2299" w:right="0" w:hanging="359"/>
        <w:jc w:val="left"/>
        <w:rPr>
          <w:sz w:val="22"/>
        </w:rPr>
      </w:pPr>
      <w:r>
        <w:rPr>
          <w:sz w:val="22"/>
        </w:rPr>
        <w:t>Numerator</w:t>
      </w:r>
      <w:r>
        <w:rPr>
          <w:spacing w:val="-4"/>
          <w:sz w:val="22"/>
        </w:rPr>
        <w:t> </w:t>
      </w:r>
      <w:r>
        <w:rPr>
          <w:spacing w:val="-2"/>
          <w:sz w:val="22"/>
        </w:rPr>
        <w:t>details</w:t>
      </w:r>
    </w:p>
    <w:p>
      <w:pPr>
        <w:pStyle w:val="ListParagraph"/>
        <w:numPr>
          <w:ilvl w:val="0"/>
          <w:numId w:val="99"/>
        </w:numPr>
        <w:tabs>
          <w:tab w:pos="2299" w:val="left" w:leader="none"/>
        </w:tabs>
        <w:spacing w:line="257" w:lineRule="exact" w:before="0" w:after="0"/>
        <w:ind w:left="2299" w:right="0" w:hanging="359"/>
        <w:jc w:val="left"/>
        <w:rPr>
          <w:sz w:val="22"/>
        </w:rPr>
      </w:pPr>
      <w:r>
        <w:rPr>
          <w:sz w:val="22"/>
        </w:rPr>
        <w:t>Denominator</w:t>
      </w:r>
      <w:r>
        <w:rPr>
          <w:spacing w:val="-6"/>
          <w:sz w:val="22"/>
        </w:rPr>
        <w:t> </w:t>
      </w:r>
      <w:r>
        <w:rPr>
          <w:sz w:val="22"/>
        </w:rPr>
        <w:t>details</w:t>
      </w:r>
      <w:r>
        <w:rPr>
          <w:spacing w:val="-3"/>
          <w:sz w:val="22"/>
        </w:rPr>
        <w:t> </w:t>
      </w:r>
      <w:r>
        <w:rPr>
          <w:sz w:val="22"/>
        </w:rPr>
        <w:t>and</w:t>
      </w:r>
      <w:r>
        <w:rPr>
          <w:spacing w:val="-3"/>
          <w:sz w:val="22"/>
        </w:rPr>
        <w:t> </w:t>
      </w:r>
      <w:r>
        <w:rPr>
          <w:spacing w:val="-2"/>
          <w:sz w:val="22"/>
        </w:rPr>
        <w:t>exclusions</w:t>
      </w:r>
    </w:p>
    <w:p>
      <w:pPr>
        <w:pStyle w:val="ListParagraph"/>
        <w:numPr>
          <w:ilvl w:val="0"/>
          <w:numId w:val="99"/>
        </w:numPr>
        <w:tabs>
          <w:tab w:pos="2299" w:val="left" w:leader="none"/>
        </w:tabs>
        <w:spacing w:line="257" w:lineRule="exact" w:before="0" w:after="0"/>
        <w:ind w:left="2299" w:right="0" w:hanging="359"/>
        <w:jc w:val="left"/>
        <w:rPr>
          <w:sz w:val="22"/>
        </w:rPr>
      </w:pPr>
      <w:r>
        <w:rPr>
          <w:sz w:val="22"/>
        </w:rPr>
        <w:t>Sampling</w:t>
      </w:r>
      <w:r>
        <w:rPr>
          <w:spacing w:val="-3"/>
          <w:sz w:val="22"/>
        </w:rPr>
        <w:t> </w:t>
      </w:r>
      <w:r>
        <w:rPr>
          <w:spacing w:val="-2"/>
          <w:sz w:val="22"/>
        </w:rPr>
        <w:t>methodology</w:t>
      </w:r>
    </w:p>
    <w:p>
      <w:pPr>
        <w:pStyle w:val="ListParagraph"/>
        <w:numPr>
          <w:ilvl w:val="0"/>
          <w:numId w:val="99"/>
        </w:numPr>
        <w:tabs>
          <w:tab w:pos="2299" w:val="left" w:leader="none"/>
        </w:tabs>
        <w:spacing w:line="257" w:lineRule="exact" w:before="0" w:after="0"/>
        <w:ind w:left="2299" w:right="0" w:hanging="359"/>
        <w:jc w:val="left"/>
        <w:rPr>
          <w:sz w:val="22"/>
        </w:rPr>
      </w:pPr>
      <w:r>
        <w:rPr>
          <w:sz w:val="22"/>
        </w:rPr>
        <w:t>Sample</w:t>
      </w:r>
      <w:r>
        <w:rPr>
          <w:spacing w:val="-6"/>
          <w:sz w:val="22"/>
        </w:rPr>
        <w:t> </w:t>
      </w:r>
      <w:r>
        <w:rPr>
          <w:spacing w:val="-4"/>
          <w:sz w:val="22"/>
        </w:rPr>
        <w:t>size</w:t>
      </w:r>
    </w:p>
    <w:p>
      <w:pPr>
        <w:pStyle w:val="ListParagraph"/>
        <w:numPr>
          <w:ilvl w:val="0"/>
          <w:numId w:val="99"/>
        </w:numPr>
        <w:tabs>
          <w:tab w:pos="2299" w:val="left" w:leader="none"/>
        </w:tabs>
        <w:spacing w:line="257" w:lineRule="exact" w:before="0" w:after="0"/>
        <w:ind w:left="2299" w:right="0" w:hanging="359"/>
        <w:jc w:val="left"/>
        <w:rPr>
          <w:sz w:val="22"/>
        </w:rPr>
      </w:pPr>
      <w:r>
        <w:rPr>
          <w:sz w:val="22"/>
        </w:rPr>
        <w:t>Data</w:t>
      </w:r>
      <w:r>
        <w:rPr>
          <w:spacing w:val="-1"/>
          <w:sz w:val="22"/>
        </w:rPr>
        <w:t> </w:t>
      </w:r>
      <w:r>
        <w:rPr>
          <w:spacing w:val="-2"/>
          <w:sz w:val="22"/>
        </w:rPr>
        <w:t>sources</w:t>
      </w:r>
    </w:p>
    <w:p>
      <w:pPr>
        <w:pStyle w:val="ListParagraph"/>
        <w:numPr>
          <w:ilvl w:val="0"/>
          <w:numId w:val="99"/>
        </w:numPr>
        <w:tabs>
          <w:tab w:pos="2299" w:val="left" w:leader="none"/>
        </w:tabs>
        <w:spacing w:line="263" w:lineRule="exact" w:before="0" w:after="0"/>
        <w:ind w:left="2299" w:right="0" w:hanging="359"/>
        <w:jc w:val="left"/>
        <w:rPr>
          <w:sz w:val="22"/>
        </w:rPr>
      </w:pPr>
      <w:bookmarkStart w:name="5.4.4 Calculating the CP/CSA DSRIP Accou" w:id="1420"/>
      <w:bookmarkEnd w:id="1420"/>
      <w:r>
        <w:rPr/>
      </w:r>
      <w:bookmarkStart w:name="_bookmark91" w:id="1421"/>
      <w:bookmarkEnd w:id="1421"/>
      <w:r>
        <w:rPr/>
      </w:r>
      <w:r>
        <w:rPr>
          <w:sz w:val="22"/>
        </w:rPr>
        <w:t>Measure</w:t>
      </w:r>
      <w:r>
        <w:rPr>
          <w:spacing w:val="-7"/>
          <w:sz w:val="22"/>
        </w:rPr>
        <w:t> </w:t>
      </w:r>
      <w:r>
        <w:rPr>
          <w:sz w:val="22"/>
        </w:rPr>
        <w:t>reliability</w:t>
      </w:r>
      <w:r>
        <w:rPr>
          <w:spacing w:val="-7"/>
          <w:sz w:val="22"/>
        </w:rPr>
        <w:t> </w:t>
      </w:r>
      <w:r>
        <w:rPr>
          <w:sz w:val="22"/>
        </w:rPr>
        <w:t>from</w:t>
      </w:r>
      <w:r>
        <w:rPr>
          <w:spacing w:val="-8"/>
          <w:sz w:val="22"/>
        </w:rPr>
        <w:t> </w:t>
      </w:r>
      <w:r>
        <w:rPr>
          <w:sz w:val="22"/>
        </w:rPr>
        <w:t>year-to-</w:t>
      </w:r>
      <w:r>
        <w:rPr>
          <w:spacing w:val="-4"/>
          <w:sz w:val="22"/>
        </w:rPr>
        <w:t>year</w:t>
      </w:r>
    </w:p>
    <w:p>
      <w:pPr>
        <w:pStyle w:val="ListParagraph"/>
        <w:numPr>
          <w:ilvl w:val="2"/>
          <w:numId w:val="77"/>
        </w:numPr>
        <w:tabs>
          <w:tab w:pos="1938" w:val="left" w:leader="none"/>
        </w:tabs>
        <w:spacing w:line="252" w:lineRule="exact" w:before="189" w:after="0"/>
        <w:ind w:left="1938" w:right="0" w:hanging="719"/>
        <w:jc w:val="both"/>
        <w:rPr>
          <w:b/>
          <w:color w:val="4471C4"/>
          <w:sz w:val="22"/>
        </w:rPr>
      </w:pPr>
      <w:r>
        <w:rPr>
          <w:b/>
          <w:color w:val="4471C4"/>
          <w:sz w:val="22"/>
        </w:rPr>
        <w:t>Calculating</w:t>
      </w:r>
      <w:r>
        <w:rPr>
          <w:b/>
          <w:color w:val="4471C4"/>
          <w:spacing w:val="-7"/>
          <w:sz w:val="22"/>
        </w:rPr>
        <w:t> </w:t>
      </w:r>
      <w:r>
        <w:rPr>
          <w:b/>
          <w:color w:val="4471C4"/>
          <w:sz w:val="22"/>
        </w:rPr>
        <w:t>the</w:t>
      </w:r>
      <w:r>
        <w:rPr>
          <w:b/>
          <w:color w:val="4471C4"/>
          <w:spacing w:val="-6"/>
          <w:sz w:val="22"/>
        </w:rPr>
        <w:t> </w:t>
      </w:r>
      <w:r>
        <w:rPr>
          <w:b/>
          <w:color w:val="4471C4"/>
          <w:sz w:val="22"/>
        </w:rPr>
        <w:t>CP/CSA</w:t>
      </w:r>
      <w:r>
        <w:rPr>
          <w:b/>
          <w:color w:val="4471C4"/>
          <w:spacing w:val="-9"/>
          <w:sz w:val="22"/>
        </w:rPr>
        <w:t> </w:t>
      </w:r>
      <w:r>
        <w:rPr>
          <w:b/>
          <w:color w:val="4471C4"/>
          <w:sz w:val="22"/>
        </w:rPr>
        <w:t>DSRIP</w:t>
      </w:r>
      <w:r>
        <w:rPr>
          <w:b/>
          <w:color w:val="4471C4"/>
          <w:spacing w:val="-4"/>
          <w:sz w:val="22"/>
        </w:rPr>
        <w:t> </w:t>
      </w:r>
      <w:r>
        <w:rPr>
          <w:b/>
          <w:color w:val="4471C4"/>
          <w:sz w:val="22"/>
        </w:rPr>
        <w:t>Accountability</w:t>
      </w:r>
      <w:r>
        <w:rPr>
          <w:b/>
          <w:color w:val="4471C4"/>
          <w:spacing w:val="-6"/>
          <w:sz w:val="22"/>
        </w:rPr>
        <w:t> </w:t>
      </w:r>
      <w:r>
        <w:rPr>
          <w:b/>
          <w:color w:val="4471C4"/>
          <w:spacing w:val="-4"/>
          <w:sz w:val="22"/>
        </w:rPr>
        <w:t>Score</w:t>
      </w:r>
    </w:p>
    <w:p>
      <w:pPr>
        <w:spacing w:before="0"/>
        <w:ind w:left="1219" w:right="1096" w:firstLine="0"/>
        <w:jc w:val="both"/>
        <w:rPr>
          <w:sz w:val="22"/>
        </w:rPr>
      </w:pPr>
      <w:r>
        <w:rPr>
          <w:sz w:val="22"/>
        </w:rPr>
        <w:t>The State will measure performance using a state-calculated score called the CP/CSA DSRIP Accountability Score. The CP/CSA DSRIP Accountability Score is a value between zero (0) and one hundred (100), expressed as a percentage (i.e. between 0%-100%). This section details the State’s calculation of each CP’s and CSA’s CP/CSA DSRIP Accountability Score as follows:</w:t>
      </w:r>
    </w:p>
    <w:p>
      <w:pPr>
        <w:pStyle w:val="ListParagraph"/>
        <w:numPr>
          <w:ilvl w:val="0"/>
          <w:numId w:val="100"/>
        </w:numPr>
        <w:tabs>
          <w:tab w:pos="1939" w:val="left" w:leader="none"/>
        </w:tabs>
        <w:spacing w:line="240" w:lineRule="auto" w:before="160" w:after="0"/>
        <w:ind w:left="1939" w:right="0" w:hanging="360"/>
        <w:jc w:val="left"/>
        <w:rPr>
          <w:sz w:val="22"/>
        </w:rPr>
      </w:pPr>
      <w:r>
        <w:rPr>
          <w:sz w:val="22"/>
        </w:rPr>
        <w:t>5.4.4.1</w:t>
      </w:r>
      <w:r>
        <w:rPr>
          <w:spacing w:val="-4"/>
          <w:sz w:val="22"/>
        </w:rPr>
        <w:t> </w:t>
      </w:r>
      <w:r>
        <w:rPr>
          <w:sz w:val="22"/>
        </w:rPr>
        <w:t>Measure</w:t>
      </w:r>
      <w:r>
        <w:rPr>
          <w:spacing w:val="-3"/>
          <w:sz w:val="22"/>
        </w:rPr>
        <w:t> </w:t>
      </w:r>
      <w:r>
        <w:rPr>
          <w:sz w:val="22"/>
        </w:rPr>
        <w:t>Scoring</w:t>
      </w:r>
      <w:r>
        <w:rPr>
          <w:spacing w:val="-5"/>
          <w:sz w:val="22"/>
        </w:rPr>
        <w:t> </w:t>
      </w:r>
      <w:r>
        <w:rPr>
          <w:sz w:val="22"/>
        </w:rPr>
        <w:t>Methodology</w:t>
      </w:r>
      <w:r>
        <w:rPr>
          <w:spacing w:val="-6"/>
          <w:sz w:val="22"/>
        </w:rPr>
        <w:t> </w:t>
      </w:r>
      <w:r>
        <w:rPr>
          <w:sz w:val="22"/>
        </w:rPr>
        <w:t>for</w:t>
      </w:r>
      <w:r>
        <w:rPr>
          <w:spacing w:val="-2"/>
          <w:sz w:val="22"/>
        </w:rPr>
        <w:t> </w:t>
      </w:r>
      <w:r>
        <w:rPr>
          <w:sz w:val="22"/>
        </w:rPr>
        <w:t>All</w:t>
      </w:r>
      <w:r>
        <w:rPr>
          <w:spacing w:val="-2"/>
          <w:sz w:val="22"/>
        </w:rPr>
        <w:t> Measures</w:t>
      </w:r>
    </w:p>
    <w:p>
      <w:pPr>
        <w:pStyle w:val="ListParagraph"/>
        <w:numPr>
          <w:ilvl w:val="0"/>
          <w:numId w:val="100"/>
        </w:numPr>
        <w:tabs>
          <w:tab w:pos="1939" w:val="left" w:leader="none"/>
        </w:tabs>
        <w:spacing w:line="240" w:lineRule="auto" w:before="160" w:after="0"/>
        <w:ind w:left="1939" w:right="0" w:hanging="360"/>
        <w:jc w:val="left"/>
        <w:rPr>
          <w:sz w:val="22"/>
        </w:rPr>
      </w:pPr>
      <w:r>
        <w:rPr>
          <w:sz w:val="22"/>
        </w:rPr>
        <w:t>5.4.4.2</w:t>
      </w:r>
      <w:r>
        <w:rPr>
          <w:spacing w:val="-4"/>
          <w:sz w:val="22"/>
        </w:rPr>
        <w:t> </w:t>
      </w:r>
      <w:r>
        <w:rPr>
          <w:sz w:val="22"/>
        </w:rPr>
        <w:t>Calculating</w:t>
      </w:r>
      <w:r>
        <w:rPr>
          <w:spacing w:val="-5"/>
          <w:sz w:val="22"/>
        </w:rPr>
        <w:t> </w:t>
      </w:r>
      <w:r>
        <w:rPr>
          <w:sz w:val="22"/>
        </w:rPr>
        <w:t>the</w:t>
      </w:r>
      <w:r>
        <w:rPr>
          <w:spacing w:val="-5"/>
          <w:sz w:val="22"/>
        </w:rPr>
        <w:t> </w:t>
      </w:r>
      <w:r>
        <w:rPr>
          <w:sz w:val="22"/>
        </w:rPr>
        <w:t>Domain</w:t>
      </w:r>
      <w:r>
        <w:rPr>
          <w:spacing w:val="-3"/>
          <w:sz w:val="22"/>
        </w:rPr>
        <w:t> </w:t>
      </w:r>
      <w:r>
        <w:rPr>
          <w:spacing w:val="-2"/>
          <w:sz w:val="22"/>
        </w:rPr>
        <w:t>Score</w:t>
      </w:r>
    </w:p>
    <w:p>
      <w:pPr>
        <w:pStyle w:val="ListParagraph"/>
        <w:numPr>
          <w:ilvl w:val="0"/>
          <w:numId w:val="100"/>
        </w:numPr>
        <w:tabs>
          <w:tab w:pos="1939" w:val="left" w:leader="none"/>
        </w:tabs>
        <w:spacing w:line="240" w:lineRule="auto" w:before="160" w:after="0"/>
        <w:ind w:left="1939" w:right="0" w:hanging="360"/>
        <w:jc w:val="left"/>
        <w:rPr>
          <w:sz w:val="22"/>
        </w:rPr>
      </w:pPr>
      <w:r>
        <w:rPr>
          <w:sz w:val="22"/>
        </w:rPr>
        <w:t>5.4.4.3</w:t>
      </w:r>
      <w:r>
        <w:rPr>
          <w:spacing w:val="-3"/>
          <w:sz w:val="22"/>
        </w:rPr>
        <w:t> </w:t>
      </w:r>
      <w:r>
        <w:rPr>
          <w:sz w:val="22"/>
        </w:rPr>
        <w:t>Combining</w:t>
      </w:r>
      <w:r>
        <w:rPr>
          <w:spacing w:val="-6"/>
          <w:sz w:val="22"/>
        </w:rPr>
        <w:t> </w:t>
      </w:r>
      <w:r>
        <w:rPr>
          <w:sz w:val="22"/>
        </w:rPr>
        <w:t>Domain</w:t>
      </w:r>
      <w:r>
        <w:rPr>
          <w:spacing w:val="-2"/>
          <w:sz w:val="22"/>
        </w:rPr>
        <w:t> </w:t>
      </w:r>
      <w:r>
        <w:rPr>
          <w:sz w:val="22"/>
        </w:rPr>
        <w:t>Scores</w:t>
      </w:r>
      <w:r>
        <w:rPr>
          <w:spacing w:val="-3"/>
          <w:sz w:val="22"/>
        </w:rPr>
        <w:t> </w:t>
      </w:r>
      <w:r>
        <w:rPr>
          <w:sz w:val="22"/>
        </w:rPr>
        <w:t>to</w:t>
      </w:r>
      <w:r>
        <w:rPr>
          <w:spacing w:val="-5"/>
          <w:sz w:val="22"/>
        </w:rPr>
        <w:t> </w:t>
      </w:r>
      <w:r>
        <w:rPr>
          <w:sz w:val="22"/>
        </w:rPr>
        <w:t>Produce</w:t>
      </w:r>
      <w:r>
        <w:rPr>
          <w:spacing w:val="-3"/>
          <w:sz w:val="22"/>
        </w:rPr>
        <w:t> </w:t>
      </w:r>
      <w:r>
        <w:rPr>
          <w:sz w:val="22"/>
        </w:rPr>
        <w:t>Quality</w:t>
      </w:r>
      <w:r>
        <w:rPr>
          <w:spacing w:val="-5"/>
          <w:sz w:val="22"/>
        </w:rPr>
        <w:t> </w:t>
      </w:r>
      <w:r>
        <w:rPr>
          <w:spacing w:val="-2"/>
          <w:sz w:val="22"/>
        </w:rPr>
        <w:t>Score</w:t>
      </w:r>
    </w:p>
    <w:p>
      <w:pPr>
        <w:pStyle w:val="ListParagraph"/>
        <w:numPr>
          <w:ilvl w:val="0"/>
          <w:numId w:val="100"/>
        </w:numPr>
        <w:tabs>
          <w:tab w:pos="1939" w:val="left" w:leader="none"/>
        </w:tabs>
        <w:spacing w:line="240" w:lineRule="auto" w:before="158" w:after="0"/>
        <w:ind w:left="1939" w:right="0" w:hanging="360"/>
        <w:jc w:val="left"/>
        <w:rPr>
          <w:sz w:val="22"/>
        </w:rPr>
      </w:pPr>
      <w:r>
        <w:rPr>
          <w:sz w:val="22"/>
        </w:rPr>
        <w:t>5.4.4.4</w:t>
      </w:r>
      <w:r>
        <w:rPr>
          <w:spacing w:val="-4"/>
          <w:sz w:val="22"/>
        </w:rPr>
        <w:t> </w:t>
      </w:r>
      <w:r>
        <w:rPr>
          <w:sz w:val="22"/>
        </w:rPr>
        <w:t>Comparing</w:t>
      </w:r>
      <w:r>
        <w:rPr>
          <w:spacing w:val="-6"/>
          <w:sz w:val="22"/>
        </w:rPr>
        <w:t> </w:t>
      </w:r>
      <w:r>
        <w:rPr>
          <w:sz w:val="22"/>
        </w:rPr>
        <w:t>Quality</w:t>
      </w:r>
      <w:r>
        <w:rPr>
          <w:spacing w:val="-8"/>
          <w:sz w:val="22"/>
        </w:rPr>
        <w:t> </w:t>
      </w:r>
      <w:r>
        <w:rPr>
          <w:sz w:val="22"/>
        </w:rPr>
        <w:t>Scores</w:t>
      </w:r>
      <w:r>
        <w:rPr>
          <w:spacing w:val="-3"/>
          <w:sz w:val="22"/>
        </w:rPr>
        <w:t> </w:t>
      </w:r>
      <w:r>
        <w:rPr>
          <w:sz w:val="22"/>
        </w:rPr>
        <w:t>to</w:t>
      </w:r>
      <w:r>
        <w:rPr>
          <w:spacing w:val="-3"/>
          <w:sz w:val="22"/>
        </w:rPr>
        <w:t> </w:t>
      </w:r>
      <w:r>
        <w:rPr>
          <w:sz w:val="22"/>
        </w:rPr>
        <w:t>Calculate</w:t>
      </w:r>
      <w:r>
        <w:rPr>
          <w:spacing w:val="-6"/>
          <w:sz w:val="22"/>
        </w:rPr>
        <w:t> </w:t>
      </w:r>
      <w:r>
        <w:rPr>
          <w:sz w:val="22"/>
        </w:rPr>
        <w:t>the</w:t>
      </w:r>
      <w:r>
        <w:rPr>
          <w:spacing w:val="-3"/>
          <w:sz w:val="22"/>
        </w:rPr>
        <w:t> </w:t>
      </w:r>
      <w:r>
        <w:rPr>
          <w:sz w:val="22"/>
        </w:rPr>
        <w:t>CP/CSA</w:t>
      </w:r>
      <w:r>
        <w:rPr>
          <w:spacing w:val="-4"/>
          <w:sz w:val="22"/>
        </w:rPr>
        <w:t> </w:t>
      </w:r>
      <w:r>
        <w:rPr>
          <w:sz w:val="22"/>
        </w:rPr>
        <w:t>DSRIP</w:t>
      </w:r>
      <w:r>
        <w:rPr>
          <w:spacing w:val="-4"/>
          <w:sz w:val="22"/>
        </w:rPr>
        <w:t> </w:t>
      </w:r>
      <w:r>
        <w:rPr>
          <w:sz w:val="22"/>
        </w:rPr>
        <w:t>Accountability</w:t>
      </w:r>
      <w:r>
        <w:rPr>
          <w:spacing w:val="-6"/>
          <w:sz w:val="22"/>
        </w:rPr>
        <w:t> </w:t>
      </w:r>
      <w:r>
        <w:rPr>
          <w:spacing w:val="-2"/>
          <w:sz w:val="22"/>
        </w:rPr>
        <w:t>Score</w:t>
      </w:r>
    </w:p>
    <w:p>
      <w:pPr>
        <w:spacing w:after="0" w:line="240" w:lineRule="auto"/>
        <w:jc w:val="left"/>
        <w:rPr>
          <w:sz w:val="22"/>
        </w:rPr>
        <w:sectPr>
          <w:pgSz w:w="12240" w:h="15840"/>
          <w:pgMar w:header="0" w:footer="967" w:top="1820" w:bottom="1160" w:left="220" w:right="340"/>
        </w:sectPr>
      </w:pPr>
    </w:p>
    <w:p>
      <w:pPr>
        <w:pStyle w:val="ListParagraph"/>
        <w:numPr>
          <w:ilvl w:val="3"/>
          <w:numId w:val="77"/>
        </w:numPr>
        <w:tabs>
          <w:tab w:pos="1938" w:val="left" w:leader="none"/>
        </w:tabs>
        <w:spacing w:line="252" w:lineRule="exact" w:before="78" w:after="0"/>
        <w:ind w:left="1938" w:right="0" w:hanging="719"/>
        <w:jc w:val="both"/>
        <w:rPr>
          <w:b/>
          <w:i/>
          <w:color w:val="4471C4"/>
          <w:sz w:val="22"/>
        </w:rPr>
      </w:pPr>
      <w:bookmarkStart w:name="5.4.4.1 Measure Scoring Methodology for " w:id="1422"/>
      <w:bookmarkEnd w:id="1422"/>
      <w:r>
        <w:rPr/>
      </w:r>
      <w:r>
        <w:rPr>
          <w:b/>
          <w:i/>
          <w:color w:val="4471C4"/>
          <w:sz w:val="22"/>
        </w:rPr>
        <w:t>Measure</w:t>
      </w:r>
      <w:r>
        <w:rPr>
          <w:b/>
          <w:i/>
          <w:color w:val="4471C4"/>
          <w:spacing w:val="-4"/>
          <w:sz w:val="22"/>
        </w:rPr>
        <w:t> </w:t>
      </w:r>
      <w:r>
        <w:rPr>
          <w:b/>
          <w:i/>
          <w:color w:val="4471C4"/>
          <w:sz w:val="22"/>
        </w:rPr>
        <w:t>Scoring</w:t>
      </w:r>
      <w:r>
        <w:rPr>
          <w:b/>
          <w:i/>
          <w:color w:val="4471C4"/>
          <w:spacing w:val="-3"/>
          <w:sz w:val="22"/>
        </w:rPr>
        <w:t> </w:t>
      </w:r>
      <w:r>
        <w:rPr>
          <w:b/>
          <w:i/>
          <w:color w:val="4471C4"/>
          <w:sz w:val="22"/>
        </w:rPr>
        <w:t>Methodology</w:t>
      </w:r>
      <w:r>
        <w:rPr>
          <w:b/>
          <w:i/>
          <w:color w:val="4471C4"/>
          <w:spacing w:val="-6"/>
          <w:sz w:val="22"/>
        </w:rPr>
        <w:t> </w:t>
      </w:r>
      <w:r>
        <w:rPr>
          <w:b/>
          <w:i/>
          <w:color w:val="4471C4"/>
          <w:sz w:val="22"/>
        </w:rPr>
        <w:t>for</w:t>
      </w:r>
      <w:r>
        <w:rPr>
          <w:b/>
          <w:i/>
          <w:color w:val="4471C4"/>
          <w:spacing w:val="-3"/>
          <w:sz w:val="22"/>
        </w:rPr>
        <w:t> </w:t>
      </w:r>
      <w:r>
        <w:rPr>
          <w:b/>
          <w:i/>
          <w:color w:val="4471C4"/>
          <w:sz w:val="22"/>
        </w:rPr>
        <w:t>All</w:t>
      </w:r>
      <w:r>
        <w:rPr>
          <w:b/>
          <w:i/>
          <w:color w:val="4471C4"/>
          <w:spacing w:val="-5"/>
          <w:sz w:val="22"/>
        </w:rPr>
        <w:t> </w:t>
      </w:r>
      <w:r>
        <w:rPr>
          <w:b/>
          <w:i/>
          <w:color w:val="4471C4"/>
          <w:spacing w:val="-2"/>
          <w:sz w:val="22"/>
        </w:rPr>
        <w:t>Measures</w:t>
      </w:r>
    </w:p>
    <w:p>
      <w:pPr>
        <w:spacing w:before="0"/>
        <w:ind w:left="1219" w:right="1095" w:firstLine="0"/>
        <w:jc w:val="both"/>
        <w:rPr>
          <w:sz w:val="22"/>
        </w:rPr>
      </w:pPr>
      <w:r>
        <w:rPr>
          <w:sz w:val="22"/>
        </w:rPr>
        <w:t>CPs</w:t>
      </w:r>
      <w:r>
        <w:rPr>
          <w:spacing w:val="-3"/>
          <w:sz w:val="22"/>
        </w:rPr>
        <w:t> </w:t>
      </w:r>
      <w:r>
        <w:rPr>
          <w:sz w:val="22"/>
        </w:rPr>
        <w:t>and</w:t>
      </w:r>
      <w:r>
        <w:rPr>
          <w:spacing w:val="-4"/>
          <w:sz w:val="22"/>
        </w:rPr>
        <w:t> </w:t>
      </w:r>
      <w:r>
        <w:rPr>
          <w:sz w:val="22"/>
        </w:rPr>
        <w:t>CSAs</w:t>
      </w:r>
      <w:r>
        <w:rPr>
          <w:spacing w:val="-6"/>
          <w:sz w:val="22"/>
        </w:rPr>
        <w:t> </w:t>
      </w:r>
      <w:r>
        <w:rPr>
          <w:sz w:val="22"/>
        </w:rPr>
        <w:t>will</w:t>
      </w:r>
      <w:r>
        <w:rPr>
          <w:spacing w:val="-5"/>
          <w:sz w:val="22"/>
        </w:rPr>
        <w:t> </w:t>
      </w:r>
      <w:r>
        <w:rPr>
          <w:sz w:val="22"/>
        </w:rPr>
        <w:t>be</w:t>
      </w:r>
      <w:r>
        <w:rPr>
          <w:spacing w:val="-6"/>
          <w:sz w:val="22"/>
        </w:rPr>
        <w:t> </w:t>
      </w:r>
      <w:r>
        <w:rPr>
          <w:sz w:val="22"/>
        </w:rPr>
        <w:t>accountable</w:t>
      </w:r>
      <w:r>
        <w:rPr>
          <w:spacing w:val="-6"/>
          <w:sz w:val="22"/>
        </w:rPr>
        <w:t> </w:t>
      </w:r>
      <w:r>
        <w:rPr>
          <w:sz w:val="22"/>
        </w:rPr>
        <w:t>for</w:t>
      </w:r>
      <w:r>
        <w:rPr>
          <w:spacing w:val="-3"/>
          <w:sz w:val="22"/>
        </w:rPr>
        <w:t> </w:t>
      </w:r>
      <w:r>
        <w:rPr>
          <w:sz w:val="22"/>
        </w:rPr>
        <w:t>all</w:t>
      </w:r>
      <w:r>
        <w:rPr>
          <w:spacing w:val="-5"/>
          <w:sz w:val="22"/>
        </w:rPr>
        <w:t> </w:t>
      </w:r>
      <w:r>
        <w:rPr>
          <w:sz w:val="22"/>
        </w:rPr>
        <w:t>measures</w:t>
      </w:r>
      <w:r>
        <w:rPr>
          <w:spacing w:val="-6"/>
          <w:sz w:val="22"/>
        </w:rPr>
        <w:t> </w:t>
      </w:r>
      <w:r>
        <w:rPr>
          <w:sz w:val="22"/>
        </w:rPr>
        <w:t>as</w:t>
      </w:r>
      <w:r>
        <w:rPr>
          <w:spacing w:val="-6"/>
          <w:sz w:val="22"/>
        </w:rPr>
        <w:t> </w:t>
      </w:r>
      <w:r>
        <w:rPr>
          <w:sz w:val="22"/>
        </w:rPr>
        <w:t>indicated</w:t>
      </w:r>
      <w:r>
        <w:rPr>
          <w:spacing w:val="-6"/>
          <w:sz w:val="22"/>
        </w:rPr>
        <w:t> </w:t>
      </w:r>
      <w:r>
        <w:rPr>
          <w:sz w:val="22"/>
        </w:rPr>
        <w:t>in</w:t>
      </w:r>
      <w:r>
        <w:rPr>
          <w:spacing w:val="-6"/>
          <w:sz w:val="22"/>
        </w:rPr>
        <w:t> </w:t>
      </w:r>
      <w:r>
        <w:rPr>
          <w:sz w:val="22"/>
        </w:rPr>
        <w:t>Appendix</w:t>
      </w:r>
      <w:r>
        <w:rPr>
          <w:spacing w:val="-6"/>
          <w:sz w:val="22"/>
        </w:rPr>
        <w:t> </w:t>
      </w:r>
      <w:r>
        <w:rPr>
          <w:sz w:val="22"/>
        </w:rPr>
        <w:t>D</w:t>
      </w:r>
      <w:r>
        <w:rPr>
          <w:spacing w:val="-5"/>
          <w:sz w:val="22"/>
        </w:rPr>
        <w:t> </w:t>
      </w:r>
      <w:r>
        <w:rPr>
          <w:sz w:val="22"/>
        </w:rPr>
        <w:t>unless</w:t>
      </w:r>
      <w:r>
        <w:rPr>
          <w:spacing w:val="-6"/>
          <w:sz w:val="22"/>
        </w:rPr>
        <w:t> </w:t>
      </w:r>
      <w:r>
        <w:rPr>
          <w:sz w:val="22"/>
        </w:rPr>
        <w:t>the</w:t>
      </w:r>
      <w:r>
        <w:rPr>
          <w:spacing w:val="-6"/>
          <w:sz w:val="22"/>
        </w:rPr>
        <w:t> </w:t>
      </w:r>
      <w:r>
        <w:rPr>
          <w:sz w:val="22"/>
        </w:rPr>
        <w:t>CP</w:t>
      </w:r>
      <w:r>
        <w:rPr>
          <w:spacing w:val="-4"/>
          <w:sz w:val="22"/>
        </w:rPr>
        <w:t> </w:t>
      </w:r>
      <w:r>
        <w:rPr>
          <w:sz w:val="22"/>
        </w:rPr>
        <w:t>or</w:t>
      </w:r>
      <w:r>
        <w:rPr>
          <w:spacing w:val="-5"/>
          <w:sz w:val="22"/>
        </w:rPr>
        <w:t> </w:t>
      </w:r>
      <w:r>
        <w:rPr>
          <w:sz w:val="22"/>
        </w:rPr>
        <w:t>CSA</w:t>
      </w:r>
      <w:r>
        <w:rPr>
          <w:spacing w:val="-5"/>
          <w:sz w:val="22"/>
        </w:rPr>
        <w:t> </w:t>
      </w:r>
      <w:r>
        <w:rPr>
          <w:sz w:val="22"/>
        </w:rPr>
        <w:t>does not meet eligibility requirements for a specific measure based on the measure’s specifications (e.g., a minimum denominator required).</w:t>
      </w:r>
    </w:p>
    <w:p>
      <w:pPr>
        <w:spacing w:before="203"/>
        <w:ind w:left="1219" w:right="0" w:firstLine="0"/>
        <w:jc w:val="both"/>
        <w:rPr>
          <w:sz w:val="22"/>
        </w:rPr>
      </w:pPr>
      <w:bookmarkStart w:name="Benchmark Determination" w:id="1423"/>
      <w:bookmarkEnd w:id="1423"/>
      <w:r>
        <w:rPr/>
      </w:r>
      <w:r>
        <w:rPr>
          <w:color w:val="1F3762"/>
          <w:sz w:val="22"/>
        </w:rPr>
        <w:t>Benchmark</w:t>
      </w:r>
      <w:r>
        <w:rPr>
          <w:color w:val="1F3762"/>
          <w:spacing w:val="-8"/>
          <w:sz w:val="22"/>
        </w:rPr>
        <w:t> </w:t>
      </w:r>
      <w:r>
        <w:rPr>
          <w:color w:val="1F3762"/>
          <w:spacing w:val="-2"/>
          <w:sz w:val="22"/>
        </w:rPr>
        <w:t>Determination</w:t>
      </w:r>
    </w:p>
    <w:p>
      <w:pPr>
        <w:spacing w:line="240" w:lineRule="auto" w:before="35"/>
        <w:ind w:left="1219" w:right="1094" w:firstLine="0"/>
        <w:jc w:val="both"/>
        <w:rPr>
          <w:sz w:val="22"/>
        </w:rPr>
      </w:pPr>
      <w:r>
        <w:rPr>
          <w:sz w:val="22"/>
        </w:rPr>
        <w:t>Given that the CP population is defined by utilization criteria and therefore does not have national benchmarks, the State anticipates using historical CY2018 and/or CY2019 data to inform benchmarking determinations</w:t>
      </w:r>
      <w:r>
        <w:rPr>
          <w:spacing w:val="-4"/>
          <w:sz w:val="22"/>
        </w:rPr>
        <w:t> </w:t>
      </w:r>
      <w:r>
        <w:rPr>
          <w:sz w:val="22"/>
        </w:rPr>
        <w:t>for</w:t>
      </w:r>
      <w:r>
        <w:rPr>
          <w:spacing w:val="-1"/>
          <w:sz w:val="22"/>
        </w:rPr>
        <w:t> </w:t>
      </w:r>
      <w:r>
        <w:rPr>
          <w:sz w:val="22"/>
        </w:rPr>
        <w:t>all</w:t>
      </w:r>
      <w:r>
        <w:rPr>
          <w:spacing w:val="-4"/>
          <w:sz w:val="22"/>
        </w:rPr>
        <w:t> </w:t>
      </w:r>
      <w:r>
        <w:rPr>
          <w:sz w:val="22"/>
        </w:rPr>
        <w:t>claims-based</w:t>
      </w:r>
      <w:r>
        <w:rPr>
          <w:spacing w:val="-2"/>
          <w:sz w:val="22"/>
        </w:rPr>
        <w:t> </w:t>
      </w:r>
      <w:r>
        <w:rPr>
          <w:sz w:val="22"/>
        </w:rPr>
        <w:t>measures,</w:t>
      </w:r>
      <w:r>
        <w:rPr>
          <w:spacing w:val="-2"/>
          <w:sz w:val="22"/>
        </w:rPr>
        <w:t> </w:t>
      </w:r>
      <w:r>
        <w:rPr>
          <w:sz w:val="22"/>
        </w:rPr>
        <w:t>and</w:t>
      </w:r>
      <w:r>
        <w:rPr>
          <w:spacing w:val="-2"/>
          <w:sz w:val="22"/>
        </w:rPr>
        <w:t> </w:t>
      </w:r>
      <w:r>
        <w:rPr>
          <w:sz w:val="22"/>
        </w:rPr>
        <w:t>CY2018</w:t>
      </w:r>
      <w:r>
        <w:rPr>
          <w:spacing w:val="-2"/>
          <w:sz w:val="22"/>
        </w:rPr>
        <w:t> </w:t>
      </w:r>
      <w:r>
        <w:rPr>
          <w:sz w:val="22"/>
        </w:rPr>
        <w:t>through</w:t>
      </w:r>
      <w:r>
        <w:rPr>
          <w:spacing w:val="-2"/>
          <w:sz w:val="22"/>
        </w:rPr>
        <w:t> </w:t>
      </w:r>
      <w:r>
        <w:rPr>
          <w:sz w:val="22"/>
        </w:rPr>
        <w:t>CY2020</w:t>
      </w:r>
      <w:r>
        <w:rPr>
          <w:spacing w:val="-2"/>
          <w:sz w:val="22"/>
        </w:rPr>
        <w:t> </w:t>
      </w:r>
      <w:r>
        <w:rPr>
          <w:sz w:val="22"/>
        </w:rPr>
        <w:t>data</w:t>
      </w:r>
      <w:r>
        <w:rPr>
          <w:spacing w:val="-2"/>
          <w:sz w:val="22"/>
        </w:rPr>
        <w:t> </w:t>
      </w:r>
      <w:r>
        <w:rPr>
          <w:sz w:val="22"/>
        </w:rPr>
        <w:t>to</w:t>
      </w:r>
      <w:r>
        <w:rPr>
          <w:spacing w:val="-2"/>
          <w:sz w:val="22"/>
        </w:rPr>
        <w:t> </w:t>
      </w:r>
      <w:r>
        <w:rPr>
          <w:sz w:val="22"/>
        </w:rPr>
        <w:t>inform</w:t>
      </w:r>
      <w:r>
        <w:rPr>
          <w:spacing w:val="-6"/>
          <w:sz w:val="22"/>
        </w:rPr>
        <w:t> </w:t>
      </w:r>
      <w:r>
        <w:rPr>
          <w:sz w:val="22"/>
        </w:rPr>
        <w:t>benchmarking determinations</w:t>
      </w:r>
      <w:r>
        <w:rPr>
          <w:spacing w:val="-7"/>
          <w:sz w:val="22"/>
        </w:rPr>
        <w:t> </w:t>
      </w:r>
      <w:r>
        <w:rPr>
          <w:sz w:val="22"/>
        </w:rPr>
        <w:t>for</w:t>
      </w:r>
      <w:r>
        <w:rPr>
          <w:spacing w:val="-6"/>
          <w:sz w:val="22"/>
        </w:rPr>
        <w:t> </w:t>
      </w:r>
      <w:r>
        <w:rPr>
          <w:sz w:val="22"/>
        </w:rPr>
        <w:t>all</w:t>
      </w:r>
      <w:r>
        <w:rPr>
          <w:spacing w:val="-4"/>
          <w:sz w:val="22"/>
        </w:rPr>
        <w:t> </w:t>
      </w:r>
      <w:r>
        <w:rPr>
          <w:sz w:val="22"/>
        </w:rPr>
        <w:t>member</w:t>
      </w:r>
      <w:r>
        <w:rPr>
          <w:spacing w:val="-6"/>
          <w:sz w:val="22"/>
        </w:rPr>
        <w:t> </w:t>
      </w:r>
      <w:r>
        <w:rPr>
          <w:sz w:val="22"/>
        </w:rPr>
        <w:t>experience</w:t>
      </w:r>
      <w:r>
        <w:rPr>
          <w:spacing w:val="-4"/>
          <w:sz w:val="22"/>
        </w:rPr>
        <w:t> </w:t>
      </w:r>
      <w:r>
        <w:rPr>
          <w:sz w:val="22"/>
        </w:rPr>
        <w:t>measures.</w:t>
      </w:r>
      <w:r>
        <w:rPr>
          <w:spacing w:val="-7"/>
          <w:sz w:val="22"/>
        </w:rPr>
        <w:t> </w:t>
      </w:r>
      <w:r>
        <w:rPr>
          <w:sz w:val="22"/>
        </w:rPr>
        <w:t>For</w:t>
      </w:r>
      <w:r>
        <w:rPr>
          <w:spacing w:val="-4"/>
          <w:sz w:val="22"/>
        </w:rPr>
        <w:t> </w:t>
      </w:r>
      <w:r>
        <w:rPr>
          <w:sz w:val="22"/>
        </w:rPr>
        <w:t>example,</w:t>
      </w:r>
      <w:r>
        <w:rPr>
          <w:spacing w:val="-7"/>
          <w:sz w:val="22"/>
        </w:rPr>
        <w:t> </w:t>
      </w:r>
      <w:r>
        <w:rPr>
          <w:sz w:val="22"/>
        </w:rPr>
        <w:t>the</w:t>
      </w:r>
      <w:r>
        <w:rPr>
          <w:spacing w:val="-7"/>
          <w:sz w:val="22"/>
        </w:rPr>
        <w:t> </w:t>
      </w:r>
      <w:r>
        <w:rPr>
          <w:sz w:val="22"/>
        </w:rPr>
        <w:t>BH</w:t>
      </w:r>
      <w:r>
        <w:rPr>
          <w:spacing w:val="-6"/>
          <w:sz w:val="22"/>
        </w:rPr>
        <w:t> </w:t>
      </w:r>
      <w:r>
        <w:rPr>
          <w:sz w:val="22"/>
        </w:rPr>
        <w:t>CP</w:t>
      </w:r>
      <w:r>
        <w:rPr>
          <w:spacing w:val="-7"/>
          <w:sz w:val="22"/>
        </w:rPr>
        <w:t> </w:t>
      </w:r>
      <w:r>
        <w:rPr>
          <w:sz w:val="22"/>
        </w:rPr>
        <w:t>population</w:t>
      </w:r>
      <w:r>
        <w:rPr>
          <w:spacing w:val="-7"/>
          <w:sz w:val="22"/>
        </w:rPr>
        <w:t> </w:t>
      </w:r>
      <w:r>
        <w:rPr>
          <w:sz w:val="22"/>
        </w:rPr>
        <w:t>by</w:t>
      </w:r>
      <w:r>
        <w:rPr>
          <w:spacing w:val="-7"/>
          <w:sz w:val="22"/>
        </w:rPr>
        <w:t> </w:t>
      </w:r>
      <w:r>
        <w:rPr>
          <w:sz w:val="22"/>
        </w:rPr>
        <w:t>definition</w:t>
      </w:r>
      <w:r>
        <w:rPr>
          <w:spacing w:val="-7"/>
          <w:sz w:val="22"/>
        </w:rPr>
        <w:t> </w:t>
      </w:r>
      <w:r>
        <w:rPr>
          <w:sz w:val="22"/>
        </w:rPr>
        <w:t>will include high-risk members with significant behavioral health diagnoses in addition to high utilization. National benchmarks for a general Medicaid population will be difficult to use for this selected high risk population; accordingly, the State will need to develop state-specific benchmarks.</w:t>
      </w:r>
    </w:p>
    <w:p>
      <w:pPr>
        <w:spacing w:before="161"/>
        <w:ind w:left="1219" w:right="1094" w:firstLine="0"/>
        <w:jc w:val="both"/>
        <w:rPr>
          <w:sz w:val="22"/>
        </w:rPr>
      </w:pPr>
      <w:r>
        <w:rPr>
          <w:sz w:val="22"/>
        </w:rPr>
        <w:t>In addition to requiring standard MassHealth administrative data for calculation, many CP and CSA measures</w:t>
      </w:r>
      <w:r>
        <w:rPr>
          <w:spacing w:val="-7"/>
          <w:sz w:val="22"/>
        </w:rPr>
        <w:t> </w:t>
      </w:r>
      <w:r>
        <w:rPr>
          <w:sz w:val="22"/>
        </w:rPr>
        <w:t>also</w:t>
      </w:r>
      <w:r>
        <w:rPr>
          <w:spacing w:val="-5"/>
          <w:sz w:val="22"/>
        </w:rPr>
        <w:t> </w:t>
      </w:r>
      <w:r>
        <w:rPr>
          <w:sz w:val="22"/>
        </w:rPr>
        <w:t>require</w:t>
      </w:r>
      <w:r>
        <w:rPr>
          <w:spacing w:val="-7"/>
          <w:sz w:val="22"/>
        </w:rPr>
        <w:t> </w:t>
      </w:r>
      <w:r>
        <w:rPr>
          <w:sz w:val="22"/>
        </w:rPr>
        <w:t>additional</w:t>
      </w:r>
      <w:r>
        <w:rPr>
          <w:spacing w:val="-6"/>
          <w:sz w:val="22"/>
        </w:rPr>
        <w:t> </w:t>
      </w:r>
      <w:r>
        <w:rPr>
          <w:sz w:val="22"/>
        </w:rPr>
        <w:t>data</w:t>
      </w:r>
      <w:r>
        <w:rPr>
          <w:spacing w:val="-7"/>
          <w:sz w:val="22"/>
        </w:rPr>
        <w:t> </w:t>
      </w:r>
      <w:r>
        <w:rPr>
          <w:sz w:val="22"/>
        </w:rPr>
        <w:t>types</w:t>
      </w:r>
      <w:r>
        <w:rPr>
          <w:spacing w:val="-4"/>
          <w:sz w:val="22"/>
        </w:rPr>
        <w:t> </w:t>
      </w:r>
      <w:r>
        <w:rPr>
          <w:sz w:val="22"/>
        </w:rPr>
        <w:t>or</w:t>
      </w:r>
      <w:r>
        <w:rPr>
          <w:spacing w:val="-4"/>
          <w:sz w:val="22"/>
        </w:rPr>
        <w:t> </w:t>
      </w:r>
      <w:r>
        <w:rPr>
          <w:sz w:val="22"/>
        </w:rPr>
        <w:t>inputs</w:t>
      </w:r>
      <w:r>
        <w:rPr>
          <w:spacing w:val="-7"/>
          <w:sz w:val="22"/>
        </w:rPr>
        <w:t> </w:t>
      </w:r>
      <w:r>
        <w:rPr>
          <w:sz w:val="22"/>
        </w:rPr>
        <w:t>including</w:t>
      </w:r>
      <w:r>
        <w:rPr>
          <w:spacing w:val="-7"/>
          <w:sz w:val="22"/>
        </w:rPr>
        <w:t> </w:t>
      </w:r>
      <w:r>
        <w:rPr>
          <w:sz w:val="22"/>
        </w:rPr>
        <w:t>Medicare</w:t>
      </w:r>
      <w:r>
        <w:rPr>
          <w:spacing w:val="-7"/>
          <w:sz w:val="22"/>
        </w:rPr>
        <w:t> </w:t>
      </w:r>
      <w:r>
        <w:rPr>
          <w:sz w:val="22"/>
        </w:rPr>
        <w:t>administrative</w:t>
      </w:r>
      <w:r>
        <w:rPr>
          <w:spacing w:val="-4"/>
          <w:sz w:val="22"/>
        </w:rPr>
        <w:t> </w:t>
      </w:r>
      <w:r>
        <w:rPr>
          <w:sz w:val="22"/>
        </w:rPr>
        <w:t>data,</w:t>
      </w:r>
      <w:r>
        <w:rPr>
          <w:spacing w:val="-5"/>
          <w:sz w:val="22"/>
        </w:rPr>
        <w:t> </w:t>
      </w:r>
      <w:r>
        <w:rPr>
          <w:sz w:val="22"/>
        </w:rPr>
        <w:t>data</w:t>
      </w:r>
      <w:r>
        <w:rPr>
          <w:spacing w:val="-7"/>
          <w:sz w:val="22"/>
        </w:rPr>
        <w:t> </w:t>
      </w:r>
      <w:r>
        <w:rPr>
          <w:sz w:val="22"/>
        </w:rPr>
        <w:t>from</w:t>
      </w:r>
      <w:r>
        <w:rPr>
          <w:spacing w:val="-8"/>
          <w:sz w:val="22"/>
        </w:rPr>
        <w:t> </w:t>
      </w:r>
      <w:r>
        <w:rPr>
          <w:sz w:val="22"/>
        </w:rPr>
        <w:t>the submission of Qualifying Activities, hybrid data, and risk-adjusted data.</w:t>
      </w:r>
      <w:r>
        <w:rPr>
          <w:spacing w:val="40"/>
          <w:sz w:val="22"/>
        </w:rPr>
        <w:t> </w:t>
      </w:r>
      <w:r>
        <w:rPr>
          <w:sz w:val="22"/>
        </w:rPr>
        <w:t>Given the limitations associated with</w:t>
      </w:r>
      <w:r>
        <w:rPr>
          <w:spacing w:val="-2"/>
          <w:sz w:val="22"/>
        </w:rPr>
        <w:t> </w:t>
      </w:r>
      <w:r>
        <w:rPr>
          <w:sz w:val="22"/>
        </w:rPr>
        <w:t>availability</w:t>
      </w:r>
      <w:r>
        <w:rPr>
          <w:spacing w:val="-4"/>
          <w:sz w:val="22"/>
        </w:rPr>
        <w:t> </w:t>
      </w:r>
      <w:r>
        <w:rPr>
          <w:sz w:val="22"/>
        </w:rPr>
        <w:t>of</w:t>
      </w:r>
      <w:r>
        <w:rPr>
          <w:spacing w:val="-1"/>
          <w:sz w:val="22"/>
        </w:rPr>
        <w:t> </w:t>
      </w:r>
      <w:r>
        <w:rPr>
          <w:sz w:val="22"/>
        </w:rPr>
        <w:t>those</w:t>
      </w:r>
      <w:r>
        <w:rPr>
          <w:spacing w:val="-2"/>
          <w:sz w:val="22"/>
        </w:rPr>
        <w:t> </w:t>
      </w:r>
      <w:r>
        <w:rPr>
          <w:sz w:val="22"/>
        </w:rPr>
        <w:t>data</w:t>
      </w:r>
      <w:r>
        <w:rPr>
          <w:spacing w:val="-2"/>
          <w:sz w:val="22"/>
        </w:rPr>
        <w:t> </w:t>
      </w:r>
      <w:r>
        <w:rPr>
          <w:sz w:val="22"/>
        </w:rPr>
        <w:t>and</w:t>
      </w:r>
      <w:r>
        <w:rPr>
          <w:spacing w:val="-2"/>
          <w:sz w:val="22"/>
        </w:rPr>
        <w:t> </w:t>
      </w:r>
      <w:r>
        <w:rPr>
          <w:sz w:val="22"/>
        </w:rPr>
        <w:t>in</w:t>
      </w:r>
      <w:r>
        <w:rPr>
          <w:spacing w:val="-2"/>
          <w:sz w:val="22"/>
        </w:rPr>
        <w:t> </w:t>
      </w:r>
      <w:r>
        <w:rPr>
          <w:sz w:val="22"/>
        </w:rPr>
        <w:t>recognition</w:t>
      </w:r>
      <w:r>
        <w:rPr>
          <w:spacing w:val="-2"/>
          <w:sz w:val="22"/>
        </w:rPr>
        <w:t> </w:t>
      </w:r>
      <w:r>
        <w:rPr>
          <w:sz w:val="22"/>
        </w:rPr>
        <w:t>of</w:t>
      </w:r>
      <w:r>
        <w:rPr>
          <w:spacing w:val="-1"/>
          <w:sz w:val="22"/>
        </w:rPr>
        <w:t> </w:t>
      </w:r>
      <w:r>
        <w:rPr>
          <w:sz w:val="22"/>
        </w:rPr>
        <w:t>time</w:t>
      </w:r>
      <w:r>
        <w:rPr>
          <w:spacing w:val="-2"/>
          <w:sz w:val="22"/>
        </w:rPr>
        <w:t> </w:t>
      </w:r>
      <w:r>
        <w:rPr>
          <w:sz w:val="22"/>
        </w:rPr>
        <w:t>needed</w:t>
      </w:r>
      <w:r>
        <w:rPr>
          <w:spacing w:val="-2"/>
          <w:sz w:val="22"/>
        </w:rPr>
        <w:t> </w:t>
      </w:r>
      <w:r>
        <w:rPr>
          <w:sz w:val="22"/>
        </w:rPr>
        <w:t>for</w:t>
      </w:r>
      <w:r>
        <w:rPr>
          <w:spacing w:val="-1"/>
          <w:sz w:val="22"/>
        </w:rPr>
        <w:t> </w:t>
      </w:r>
      <w:r>
        <w:rPr>
          <w:sz w:val="22"/>
        </w:rPr>
        <w:t>processing</w:t>
      </w:r>
      <w:r>
        <w:rPr>
          <w:spacing w:val="-4"/>
          <w:sz w:val="22"/>
        </w:rPr>
        <w:t> </w:t>
      </w:r>
      <w:r>
        <w:rPr>
          <w:sz w:val="22"/>
        </w:rPr>
        <w:t>and</w:t>
      </w:r>
      <w:r>
        <w:rPr>
          <w:spacing w:val="-2"/>
          <w:sz w:val="22"/>
        </w:rPr>
        <w:t> </w:t>
      </w:r>
      <w:r>
        <w:rPr>
          <w:sz w:val="22"/>
        </w:rPr>
        <w:t>analysis,</w:t>
      </w:r>
      <w:r>
        <w:rPr>
          <w:spacing w:val="-2"/>
          <w:sz w:val="22"/>
        </w:rPr>
        <w:t> </w:t>
      </w:r>
      <w:r>
        <w:rPr>
          <w:sz w:val="22"/>
        </w:rPr>
        <w:t>the</w:t>
      </w:r>
      <w:r>
        <w:rPr>
          <w:spacing w:val="-2"/>
          <w:sz w:val="22"/>
        </w:rPr>
        <w:t> </w:t>
      </w:r>
      <w:r>
        <w:rPr>
          <w:sz w:val="22"/>
        </w:rPr>
        <w:t>State</w:t>
      </w:r>
      <w:r>
        <w:rPr>
          <w:spacing w:val="-2"/>
          <w:sz w:val="22"/>
        </w:rPr>
        <w:t> </w:t>
      </w:r>
      <w:r>
        <w:rPr>
          <w:sz w:val="22"/>
        </w:rPr>
        <w:t>will propose</w:t>
      </w:r>
      <w:r>
        <w:rPr>
          <w:spacing w:val="-2"/>
          <w:sz w:val="22"/>
        </w:rPr>
        <w:t> </w:t>
      </w:r>
      <w:r>
        <w:rPr>
          <w:sz w:val="22"/>
        </w:rPr>
        <w:t>Attainment</w:t>
      </w:r>
      <w:r>
        <w:rPr>
          <w:spacing w:val="-1"/>
          <w:sz w:val="22"/>
        </w:rPr>
        <w:t> </w:t>
      </w:r>
      <w:r>
        <w:rPr>
          <w:sz w:val="22"/>
        </w:rPr>
        <w:t>Thresholds</w:t>
      </w:r>
      <w:r>
        <w:rPr>
          <w:spacing w:val="-4"/>
          <w:sz w:val="22"/>
        </w:rPr>
        <w:t> </w:t>
      </w:r>
      <w:r>
        <w:rPr>
          <w:sz w:val="22"/>
        </w:rPr>
        <w:t>and</w:t>
      </w:r>
      <w:r>
        <w:rPr>
          <w:spacing w:val="-2"/>
          <w:sz w:val="22"/>
        </w:rPr>
        <w:t> </w:t>
      </w:r>
      <w:r>
        <w:rPr>
          <w:sz w:val="22"/>
        </w:rPr>
        <w:t>Goal</w:t>
      </w:r>
      <w:r>
        <w:rPr>
          <w:spacing w:val="-1"/>
          <w:sz w:val="22"/>
        </w:rPr>
        <w:t> </w:t>
      </w:r>
      <w:r>
        <w:rPr>
          <w:sz w:val="22"/>
        </w:rPr>
        <w:t>Benchmarks</w:t>
      </w:r>
      <w:r>
        <w:rPr>
          <w:spacing w:val="-2"/>
          <w:sz w:val="22"/>
        </w:rPr>
        <w:t> </w:t>
      </w:r>
      <w:r>
        <w:rPr>
          <w:sz w:val="22"/>
        </w:rPr>
        <w:t>to</w:t>
      </w:r>
      <w:r>
        <w:rPr>
          <w:spacing w:val="-2"/>
          <w:sz w:val="22"/>
        </w:rPr>
        <w:t> </w:t>
      </w:r>
      <w:r>
        <w:rPr>
          <w:sz w:val="22"/>
        </w:rPr>
        <w:t>CMS</w:t>
      </w:r>
      <w:r>
        <w:rPr>
          <w:spacing w:val="-4"/>
          <w:sz w:val="22"/>
        </w:rPr>
        <w:t> </w:t>
      </w:r>
      <w:r>
        <w:rPr>
          <w:sz w:val="22"/>
        </w:rPr>
        <w:t>as</w:t>
      </w:r>
      <w:r>
        <w:rPr>
          <w:spacing w:val="-2"/>
          <w:sz w:val="22"/>
        </w:rPr>
        <w:t> </w:t>
      </w:r>
      <w:r>
        <w:rPr>
          <w:sz w:val="22"/>
        </w:rPr>
        <w:t>follows</w:t>
      </w:r>
      <w:r>
        <w:rPr>
          <w:spacing w:val="-2"/>
          <w:sz w:val="22"/>
        </w:rPr>
        <w:t> </w:t>
      </w:r>
      <w:r>
        <w:rPr>
          <w:sz w:val="22"/>
        </w:rPr>
        <w:t>(see</w:t>
      </w:r>
      <w:r>
        <w:rPr>
          <w:spacing w:val="-2"/>
          <w:sz w:val="22"/>
        </w:rPr>
        <w:t> </w:t>
      </w:r>
      <w:r>
        <w:rPr>
          <w:sz w:val="22"/>
        </w:rPr>
        <w:t>Appendix</w:t>
      </w:r>
      <w:r>
        <w:rPr>
          <w:spacing w:val="-4"/>
          <w:sz w:val="22"/>
        </w:rPr>
        <w:t> </w:t>
      </w:r>
      <w:r>
        <w:rPr>
          <w:sz w:val="22"/>
        </w:rPr>
        <w:t>D</w:t>
      </w:r>
      <w:r>
        <w:rPr>
          <w:spacing w:val="-3"/>
          <w:sz w:val="22"/>
        </w:rPr>
        <w:t> </w:t>
      </w:r>
      <w:r>
        <w:rPr>
          <w:sz w:val="22"/>
        </w:rPr>
        <w:t>for</w:t>
      </w:r>
      <w:r>
        <w:rPr>
          <w:spacing w:val="-1"/>
          <w:sz w:val="22"/>
        </w:rPr>
        <w:t> </w:t>
      </w:r>
      <w:r>
        <w:rPr>
          <w:sz w:val="22"/>
        </w:rPr>
        <w:t>reference):</w:t>
      </w:r>
    </w:p>
    <w:p>
      <w:pPr>
        <w:pStyle w:val="ListParagraph"/>
        <w:numPr>
          <w:ilvl w:val="4"/>
          <w:numId w:val="77"/>
        </w:numPr>
        <w:tabs>
          <w:tab w:pos="1937" w:val="left" w:leader="none"/>
          <w:tab w:pos="1939" w:val="left" w:leader="none"/>
        </w:tabs>
        <w:spacing w:line="240" w:lineRule="auto" w:before="159" w:after="0"/>
        <w:ind w:left="1939" w:right="1095" w:hanging="361"/>
        <w:jc w:val="both"/>
        <w:rPr>
          <w:sz w:val="22"/>
        </w:rPr>
      </w:pPr>
      <w:r>
        <w:rPr>
          <w:sz w:val="22"/>
        </w:rPr>
        <w:t>For</w:t>
      </w:r>
      <w:r>
        <w:rPr>
          <w:spacing w:val="-4"/>
          <w:sz w:val="22"/>
        </w:rPr>
        <w:t> </w:t>
      </w:r>
      <w:r>
        <w:rPr>
          <w:sz w:val="22"/>
        </w:rPr>
        <w:t>all</w:t>
      </w:r>
      <w:r>
        <w:rPr>
          <w:spacing w:val="-6"/>
          <w:sz w:val="22"/>
        </w:rPr>
        <w:t> </w:t>
      </w:r>
      <w:r>
        <w:rPr>
          <w:sz w:val="22"/>
        </w:rPr>
        <w:t>LTSS</w:t>
      </w:r>
      <w:r>
        <w:rPr>
          <w:spacing w:val="-5"/>
          <w:sz w:val="22"/>
        </w:rPr>
        <w:t> </w:t>
      </w:r>
      <w:r>
        <w:rPr>
          <w:sz w:val="22"/>
        </w:rPr>
        <w:t>CP</w:t>
      </w:r>
      <w:r>
        <w:rPr>
          <w:spacing w:val="-5"/>
          <w:sz w:val="22"/>
        </w:rPr>
        <w:t> </w:t>
      </w:r>
      <w:r>
        <w:rPr>
          <w:sz w:val="22"/>
        </w:rPr>
        <w:t>and</w:t>
      </w:r>
      <w:r>
        <w:rPr>
          <w:spacing w:val="-4"/>
          <w:sz w:val="22"/>
        </w:rPr>
        <w:t> </w:t>
      </w:r>
      <w:r>
        <w:rPr>
          <w:sz w:val="22"/>
        </w:rPr>
        <w:t>BH</w:t>
      </w:r>
      <w:r>
        <w:rPr>
          <w:spacing w:val="-6"/>
          <w:sz w:val="22"/>
        </w:rPr>
        <w:t> </w:t>
      </w:r>
      <w:r>
        <w:rPr>
          <w:sz w:val="22"/>
        </w:rPr>
        <w:t>CP</w:t>
      </w:r>
      <w:r>
        <w:rPr>
          <w:spacing w:val="-5"/>
          <w:sz w:val="22"/>
        </w:rPr>
        <w:t> </w:t>
      </w:r>
      <w:r>
        <w:rPr>
          <w:sz w:val="22"/>
        </w:rPr>
        <w:t>measures</w:t>
      </w:r>
      <w:r>
        <w:rPr>
          <w:spacing w:val="-7"/>
          <w:sz w:val="22"/>
        </w:rPr>
        <w:t> </w:t>
      </w:r>
      <w:r>
        <w:rPr>
          <w:sz w:val="22"/>
        </w:rPr>
        <w:t>that</w:t>
      </w:r>
      <w:r>
        <w:rPr>
          <w:spacing w:val="-6"/>
          <w:sz w:val="22"/>
        </w:rPr>
        <w:t> </w:t>
      </w:r>
      <w:r>
        <w:rPr>
          <w:sz w:val="22"/>
        </w:rPr>
        <w:t>can</w:t>
      </w:r>
      <w:r>
        <w:rPr>
          <w:spacing w:val="-5"/>
          <w:sz w:val="22"/>
        </w:rPr>
        <w:t> </w:t>
      </w:r>
      <w:r>
        <w:rPr>
          <w:sz w:val="22"/>
        </w:rPr>
        <w:t>be</w:t>
      </w:r>
      <w:r>
        <w:rPr>
          <w:spacing w:val="-4"/>
          <w:sz w:val="22"/>
        </w:rPr>
        <w:t> </w:t>
      </w:r>
      <w:r>
        <w:rPr>
          <w:sz w:val="22"/>
        </w:rPr>
        <w:t>calculated</w:t>
      </w:r>
      <w:r>
        <w:rPr>
          <w:spacing w:val="-7"/>
          <w:sz w:val="22"/>
        </w:rPr>
        <w:t> </w:t>
      </w:r>
      <w:r>
        <w:rPr>
          <w:sz w:val="22"/>
        </w:rPr>
        <w:t>from</w:t>
      </w:r>
      <w:r>
        <w:rPr>
          <w:spacing w:val="-8"/>
          <w:sz w:val="22"/>
        </w:rPr>
        <w:t> </w:t>
      </w:r>
      <w:r>
        <w:rPr>
          <w:sz w:val="22"/>
        </w:rPr>
        <w:t>MassHealth</w:t>
      </w:r>
      <w:r>
        <w:rPr>
          <w:spacing w:val="-7"/>
          <w:sz w:val="22"/>
        </w:rPr>
        <w:t> </w:t>
      </w:r>
      <w:r>
        <w:rPr>
          <w:sz w:val="22"/>
        </w:rPr>
        <w:t>administrative</w:t>
      </w:r>
      <w:r>
        <w:rPr>
          <w:spacing w:val="-4"/>
          <w:sz w:val="22"/>
        </w:rPr>
        <w:t> </w:t>
      </w:r>
      <w:r>
        <w:rPr>
          <w:sz w:val="22"/>
        </w:rPr>
        <w:t>data alone, inclusive of measures requiring Qualifying Activities, thresholds and benchmarks will be submitted in Q4 CY2021.</w:t>
      </w:r>
    </w:p>
    <w:p>
      <w:pPr>
        <w:pStyle w:val="ListParagraph"/>
        <w:numPr>
          <w:ilvl w:val="4"/>
          <w:numId w:val="77"/>
        </w:numPr>
        <w:tabs>
          <w:tab w:pos="1937" w:val="left" w:leader="none"/>
          <w:tab w:pos="1939" w:val="left" w:leader="none"/>
        </w:tabs>
        <w:spacing w:line="240" w:lineRule="auto" w:before="0" w:after="0"/>
        <w:ind w:left="1939" w:right="1095" w:hanging="361"/>
        <w:jc w:val="both"/>
        <w:rPr>
          <w:sz w:val="22"/>
        </w:rPr>
      </w:pPr>
      <w:r>
        <w:rPr>
          <w:sz w:val="22"/>
        </w:rPr>
        <w:t>For BH CP claims-based measures that require Medicare data in addition to Medicaid data, thresholds and benchmarks will be submitted in Q4 CY2021.</w:t>
      </w:r>
    </w:p>
    <w:p>
      <w:pPr>
        <w:pStyle w:val="ListParagraph"/>
        <w:numPr>
          <w:ilvl w:val="4"/>
          <w:numId w:val="77"/>
        </w:numPr>
        <w:tabs>
          <w:tab w:pos="1937" w:val="left" w:leader="none"/>
          <w:tab w:pos="1939" w:val="left" w:leader="none"/>
        </w:tabs>
        <w:spacing w:line="240" w:lineRule="auto" w:before="0" w:after="0"/>
        <w:ind w:left="1939" w:right="1093" w:hanging="361"/>
        <w:jc w:val="both"/>
        <w:rPr>
          <w:sz w:val="22"/>
        </w:rPr>
      </w:pPr>
      <w:r>
        <w:rPr>
          <w:sz w:val="22"/>
        </w:rPr>
        <w:t>For the CSA hybrid measure, thresholds and benchmarks will be submitted by September 2020 based on data sampled from CY2019 performance.</w:t>
      </w:r>
    </w:p>
    <w:p>
      <w:pPr>
        <w:pStyle w:val="ListParagraph"/>
        <w:numPr>
          <w:ilvl w:val="4"/>
          <w:numId w:val="77"/>
        </w:numPr>
        <w:tabs>
          <w:tab w:pos="1938" w:val="left" w:leader="none"/>
          <w:tab w:pos="1940" w:val="left" w:leader="none"/>
        </w:tabs>
        <w:spacing w:line="240" w:lineRule="auto" w:before="0" w:after="0"/>
        <w:ind w:left="1940" w:right="1094" w:hanging="361"/>
        <w:jc w:val="both"/>
        <w:rPr>
          <w:sz w:val="22"/>
        </w:rPr>
      </w:pPr>
      <w:r>
        <w:rPr>
          <w:sz w:val="22"/>
        </w:rPr>
        <w:t>For the CSA member experience measures, thresholds and benchmarks will be submitted by September 2020.</w:t>
      </w:r>
    </w:p>
    <w:p>
      <w:pPr>
        <w:pStyle w:val="ListParagraph"/>
        <w:numPr>
          <w:ilvl w:val="4"/>
          <w:numId w:val="77"/>
        </w:numPr>
        <w:tabs>
          <w:tab w:pos="1938" w:val="left" w:leader="none"/>
          <w:tab w:pos="1940" w:val="left" w:leader="none"/>
        </w:tabs>
        <w:spacing w:line="240" w:lineRule="auto" w:before="0" w:after="0"/>
        <w:ind w:left="1940" w:right="1094" w:hanging="361"/>
        <w:jc w:val="both"/>
        <w:rPr>
          <w:sz w:val="22"/>
        </w:rPr>
      </w:pPr>
      <w:r>
        <w:rPr>
          <w:sz w:val="22"/>
        </w:rPr>
        <w:t>For</w:t>
      </w:r>
      <w:r>
        <w:rPr>
          <w:spacing w:val="-14"/>
          <w:sz w:val="22"/>
        </w:rPr>
        <w:t> </w:t>
      </w:r>
      <w:r>
        <w:rPr>
          <w:sz w:val="22"/>
        </w:rPr>
        <w:t>the</w:t>
      </w:r>
      <w:r>
        <w:rPr>
          <w:spacing w:val="-14"/>
          <w:sz w:val="22"/>
        </w:rPr>
        <w:t> </w:t>
      </w:r>
      <w:r>
        <w:rPr>
          <w:sz w:val="22"/>
        </w:rPr>
        <w:t>BH</w:t>
      </w:r>
      <w:r>
        <w:rPr>
          <w:spacing w:val="-14"/>
          <w:sz w:val="22"/>
        </w:rPr>
        <w:t> </w:t>
      </w:r>
      <w:r>
        <w:rPr>
          <w:sz w:val="22"/>
        </w:rPr>
        <w:t>CP</w:t>
      </w:r>
      <w:r>
        <w:rPr>
          <w:spacing w:val="-13"/>
          <w:sz w:val="22"/>
        </w:rPr>
        <w:t> </w:t>
      </w:r>
      <w:r>
        <w:rPr>
          <w:sz w:val="22"/>
        </w:rPr>
        <w:t>and</w:t>
      </w:r>
      <w:r>
        <w:rPr>
          <w:spacing w:val="-14"/>
          <w:sz w:val="22"/>
        </w:rPr>
        <w:t> </w:t>
      </w:r>
      <w:r>
        <w:rPr>
          <w:sz w:val="22"/>
        </w:rPr>
        <w:t>LTSS</w:t>
      </w:r>
      <w:r>
        <w:rPr>
          <w:spacing w:val="-14"/>
          <w:sz w:val="22"/>
        </w:rPr>
        <w:t> </w:t>
      </w:r>
      <w:r>
        <w:rPr>
          <w:sz w:val="22"/>
        </w:rPr>
        <w:t>CP</w:t>
      </w:r>
      <w:r>
        <w:rPr>
          <w:spacing w:val="-14"/>
          <w:sz w:val="22"/>
        </w:rPr>
        <w:t> </w:t>
      </w:r>
      <w:r>
        <w:rPr>
          <w:sz w:val="22"/>
        </w:rPr>
        <w:t>member</w:t>
      </w:r>
      <w:r>
        <w:rPr>
          <w:spacing w:val="-13"/>
          <w:sz w:val="22"/>
        </w:rPr>
        <w:t> </w:t>
      </w:r>
      <w:r>
        <w:rPr>
          <w:sz w:val="22"/>
        </w:rPr>
        <w:t>experience</w:t>
      </w:r>
      <w:r>
        <w:rPr>
          <w:spacing w:val="-14"/>
          <w:sz w:val="22"/>
        </w:rPr>
        <w:t> </w:t>
      </w:r>
      <w:r>
        <w:rPr>
          <w:sz w:val="22"/>
        </w:rPr>
        <w:t>measures</w:t>
      </w:r>
      <w:r>
        <w:rPr>
          <w:spacing w:val="-14"/>
          <w:sz w:val="22"/>
        </w:rPr>
        <w:t> </w:t>
      </w:r>
      <w:r>
        <w:rPr>
          <w:sz w:val="22"/>
        </w:rPr>
        <w:t>(member</w:t>
      </w:r>
      <w:r>
        <w:rPr>
          <w:spacing w:val="-14"/>
          <w:sz w:val="22"/>
        </w:rPr>
        <w:t> </w:t>
      </w:r>
      <w:r>
        <w:rPr>
          <w:sz w:val="22"/>
        </w:rPr>
        <w:t>engagement</w:t>
      </w:r>
      <w:r>
        <w:rPr>
          <w:spacing w:val="-13"/>
          <w:sz w:val="22"/>
        </w:rPr>
        <w:t> </w:t>
      </w:r>
      <w:r>
        <w:rPr>
          <w:sz w:val="22"/>
        </w:rPr>
        <w:t>and</w:t>
      </w:r>
      <w:r>
        <w:rPr>
          <w:spacing w:val="-14"/>
          <w:sz w:val="22"/>
        </w:rPr>
        <w:t> </w:t>
      </w:r>
      <w:r>
        <w:rPr>
          <w:sz w:val="22"/>
        </w:rPr>
        <w:t>care</w:t>
      </w:r>
      <w:r>
        <w:rPr>
          <w:spacing w:val="-14"/>
          <w:sz w:val="22"/>
        </w:rPr>
        <w:t> </w:t>
      </w:r>
      <w:r>
        <w:rPr>
          <w:sz w:val="22"/>
        </w:rPr>
        <w:t>planning submeasures), thresholds and benchmarks will be submitted by Q4 2021.</w:t>
      </w:r>
    </w:p>
    <w:p>
      <w:pPr>
        <w:pStyle w:val="ListParagraph"/>
        <w:numPr>
          <w:ilvl w:val="4"/>
          <w:numId w:val="77"/>
        </w:numPr>
        <w:tabs>
          <w:tab w:pos="1938" w:val="left" w:leader="none"/>
          <w:tab w:pos="1940" w:val="left" w:leader="none"/>
        </w:tabs>
        <w:spacing w:line="240" w:lineRule="auto" w:before="0" w:after="0"/>
        <w:ind w:left="1940" w:right="1094" w:hanging="361"/>
        <w:jc w:val="both"/>
        <w:rPr>
          <w:sz w:val="22"/>
        </w:rPr>
      </w:pPr>
      <w:r>
        <w:rPr>
          <w:sz w:val="22"/>
        </w:rPr>
        <w:t>For the BH CP and LTSS CP member experience measures (community tenure submeasure), thresholds and benchmarks will be submitted in Q4 CY2021.</w:t>
      </w:r>
    </w:p>
    <w:p>
      <w:pPr>
        <w:spacing w:line="259" w:lineRule="auto" w:before="198"/>
        <w:ind w:left="1220" w:right="1093" w:firstLine="0"/>
        <w:jc w:val="both"/>
        <w:rPr>
          <w:sz w:val="22"/>
        </w:rPr>
      </w:pPr>
      <w:r>
        <w:rPr>
          <w:sz w:val="22"/>
        </w:rPr>
        <w:t>All proposed benchmarks that the State submits will have been reviewed by the DSRIP Advisory Committee on Quality, and will be accompanied by individual rationales for each benchmark.</w:t>
      </w:r>
      <w:r>
        <w:rPr>
          <w:spacing w:val="40"/>
          <w:sz w:val="22"/>
        </w:rPr>
        <w:t> </w:t>
      </w:r>
      <w:r>
        <w:rPr>
          <w:sz w:val="22"/>
        </w:rPr>
        <w:t>CMS will provide written feedback</w:t>
      </w:r>
      <w:r>
        <w:rPr>
          <w:spacing w:val="-1"/>
          <w:sz w:val="22"/>
        </w:rPr>
        <w:t> </w:t>
      </w:r>
      <w:r>
        <w:rPr>
          <w:sz w:val="22"/>
        </w:rPr>
        <w:t>on the proposed benchmarks and rationale within 90 calendar days.</w:t>
      </w:r>
      <w:r>
        <w:rPr>
          <w:spacing w:val="40"/>
          <w:sz w:val="22"/>
        </w:rPr>
        <w:t> </w:t>
      </w:r>
      <w:r>
        <w:rPr>
          <w:sz w:val="22"/>
        </w:rPr>
        <w:t>If CMS has not provided written feedback within 90 calendar days, then the benchmarks will be deemed approved, given the necessity of providing these benchmarks to CPs so that they have sufficient time to plan </w:t>
      </w:r>
      <w:r>
        <w:rPr>
          <w:spacing w:val="-2"/>
          <w:sz w:val="22"/>
        </w:rPr>
        <w:t>accordingly.</w:t>
      </w:r>
    </w:p>
    <w:p>
      <w:pPr>
        <w:spacing w:before="156"/>
        <w:ind w:left="1220" w:right="1094" w:firstLine="0"/>
        <w:jc w:val="both"/>
        <w:rPr>
          <w:sz w:val="22"/>
        </w:rPr>
      </w:pPr>
      <w:r>
        <w:rPr>
          <w:sz w:val="22"/>
        </w:rPr>
        <w:t>Benchmarks will be adjusted based on expert clinical judgment from the DSRIP Advisory Committee on Quality and the State, with</w:t>
      </w:r>
      <w:r>
        <w:rPr>
          <w:spacing w:val="-2"/>
          <w:sz w:val="22"/>
        </w:rPr>
        <w:t> </w:t>
      </w:r>
      <w:r>
        <w:rPr>
          <w:sz w:val="22"/>
        </w:rPr>
        <w:t>approval by CMS. Attainment Thresholds will be reviewed yearly and may be adjusted by the State based on prior CP or CSA performance, in consultation with the DSRIP Advisory Committee for Quality, and CMS approval. If all CPs have high levels of achievement on a particular measure, that measure will be retired and a new one may be added.</w:t>
      </w:r>
      <w:r>
        <w:rPr>
          <w:spacing w:val="40"/>
          <w:sz w:val="22"/>
        </w:rPr>
        <w:t> </w:t>
      </w:r>
      <w:r>
        <w:rPr>
          <w:sz w:val="22"/>
        </w:rPr>
        <w:t>Goal Benchmarks will be reviewed yearly and set with respect to the CP performance from the prior year.</w:t>
      </w:r>
      <w:r>
        <w:rPr>
          <w:spacing w:val="40"/>
          <w:sz w:val="22"/>
        </w:rPr>
        <w:t> </w:t>
      </w:r>
      <w:r>
        <w:rPr>
          <w:sz w:val="22"/>
        </w:rPr>
        <w:t>This will properly reward maintenance of quality, while not overly penalizing CPs.</w:t>
      </w:r>
    </w:p>
    <w:p>
      <w:pPr>
        <w:spacing w:before="159"/>
        <w:ind w:left="1220" w:right="1090" w:firstLine="0"/>
        <w:jc w:val="both"/>
        <w:rPr>
          <w:sz w:val="22"/>
        </w:rPr>
      </w:pPr>
      <w:r>
        <w:rPr>
          <w:sz w:val="22"/>
        </w:rPr>
        <w:t>In</w:t>
      </w:r>
      <w:r>
        <w:rPr>
          <w:spacing w:val="-11"/>
          <w:sz w:val="22"/>
        </w:rPr>
        <w:t> </w:t>
      </w:r>
      <w:r>
        <w:rPr>
          <w:sz w:val="22"/>
        </w:rPr>
        <w:t>response</w:t>
      </w:r>
      <w:r>
        <w:rPr>
          <w:spacing w:val="-11"/>
          <w:sz w:val="22"/>
        </w:rPr>
        <w:t> </w:t>
      </w:r>
      <w:r>
        <w:rPr>
          <w:sz w:val="22"/>
        </w:rPr>
        <w:t>to</w:t>
      </w:r>
      <w:r>
        <w:rPr>
          <w:spacing w:val="-13"/>
          <w:sz w:val="22"/>
        </w:rPr>
        <w:t> </w:t>
      </w:r>
      <w:r>
        <w:rPr>
          <w:sz w:val="22"/>
        </w:rPr>
        <w:t>the</w:t>
      </w:r>
      <w:r>
        <w:rPr>
          <w:spacing w:val="-13"/>
          <w:sz w:val="22"/>
        </w:rPr>
        <w:t> </w:t>
      </w:r>
      <w:r>
        <w:rPr>
          <w:sz w:val="22"/>
        </w:rPr>
        <w:t>public</w:t>
      </w:r>
      <w:r>
        <w:rPr>
          <w:spacing w:val="-11"/>
          <w:sz w:val="22"/>
        </w:rPr>
        <w:t> </w:t>
      </w:r>
      <w:r>
        <w:rPr>
          <w:sz w:val="22"/>
        </w:rPr>
        <w:t>health</w:t>
      </w:r>
      <w:r>
        <w:rPr>
          <w:spacing w:val="-11"/>
          <w:sz w:val="22"/>
        </w:rPr>
        <w:t> </w:t>
      </w:r>
      <w:r>
        <w:rPr>
          <w:sz w:val="22"/>
        </w:rPr>
        <w:t>emergency</w:t>
      </w:r>
      <w:r>
        <w:rPr>
          <w:spacing w:val="-13"/>
          <w:sz w:val="22"/>
        </w:rPr>
        <w:t> </w:t>
      </w:r>
      <w:r>
        <w:rPr>
          <w:sz w:val="22"/>
        </w:rPr>
        <w:t>declared</w:t>
      </w:r>
      <w:r>
        <w:rPr>
          <w:spacing w:val="-11"/>
          <w:sz w:val="22"/>
        </w:rPr>
        <w:t> </w:t>
      </w:r>
      <w:r>
        <w:rPr>
          <w:sz w:val="22"/>
        </w:rPr>
        <w:t>by</w:t>
      </w:r>
      <w:r>
        <w:rPr>
          <w:spacing w:val="-13"/>
          <w:sz w:val="22"/>
        </w:rPr>
        <w:t> </w:t>
      </w:r>
      <w:r>
        <w:rPr>
          <w:sz w:val="22"/>
        </w:rPr>
        <w:t>the</w:t>
      </w:r>
      <w:r>
        <w:rPr>
          <w:spacing w:val="-10"/>
          <w:sz w:val="22"/>
        </w:rPr>
        <w:t> </w:t>
      </w:r>
      <w:r>
        <w:rPr>
          <w:sz w:val="22"/>
        </w:rPr>
        <w:t>state</w:t>
      </w:r>
      <w:r>
        <w:rPr>
          <w:spacing w:val="-10"/>
          <w:sz w:val="22"/>
        </w:rPr>
        <w:t> </w:t>
      </w:r>
      <w:r>
        <w:rPr>
          <w:sz w:val="22"/>
        </w:rPr>
        <w:t>or</w:t>
      </w:r>
      <w:r>
        <w:rPr>
          <w:spacing w:val="-10"/>
          <w:sz w:val="22"/>
        </w:rPr>
        <w:t> </w:t>
      </w:r>
      <w:r>
        <w:rPr>
          <w:sz w:val="22"/>
        </w:rPr>
        <w:t>federal</w:t>
      </w:r>
      <w:r>
        <w:rPr>
          <w:spacing w:val="-10"/>
          <w:sz w:val="22"/>
        </w:rPr>
        <w:t> </w:t>
      </w:r>
      <w:r>
        <w:rPr>
          <w:sz w:val="22"/>
        </w:rPr>
        <w:t>government,</w:t>
      </w:r>
      <w:r>
        <w:rPr>
          <w:spacing w:val="-13"/>
          <w:sz w:val="22"/>
        </w:rPr>
        <w:t> </w:t>
      </w:r>
      <w:r>
        <w:rPr>
          <w:sz w:val="22"/>
        </w:rPr>
        <w:t>the</w:t>
      </w:r>
      <w:r>
        <w:rPr>
          <w:spacing w:val="-10"/>
          <w:sz w:val="22"/>
        </w:rPr>
        <w:t> </w:t>
      </w:r>
      <w:r>
        <w:rPr>
          <w:sz w:val="22"/>
        </w:rPr>
        <w:t>State</w:t>
      </w:r>
      <w:r>
        <w:rPr>
          <w:spacing w:val="-11"/>
          <w:sz w:val="22"/>
        </w:rPr>
        <w:t> </w:t>
      </w:r>
      <w:r>
        <w:rPr>
          <w:sz w:val="22"/>
        </w:rPr>
        <w:t>will</w:t>
      </w:r>
      <w:r>
        <w:rPr>
          <w:spacing w:val="-10"/>
          <w:sz w:val="22"/>
        </w:rPr>
        <w:t> </w:t>
      </w:r>
      <w:r>
        <w:rPr>
          <w:sz w:val="22"/>
        </w:rPr>
        <w:t>utilize CY2020 data to assess the appropriateness of CP benchmarks (informed by data prior to the start of the public</w:t>
      </w:r>
      <w:r>
        <w:rPr>
          <w:spacing w:val="3"/>
          <w:sz w:val="22"/>
        </w:rPr>
        <w:t> </w:t>
      </w:r>
      <w:r>
        <w:rPr>
          <w:sz w:val="22"/>
        </w:rPr>
        <w:t>health</w:t>
      </w:r>
      <w:r>
        <w:rPr>
          <w:spacing w:val="4"/>
          <w:sz w:val="22"/>
        </w:rPr>
        <w:t> </w:t>
      </w:r>
      <w:r>
        <w:rPr>
          <w:sz w:val="22"/>
        </w:rPr>
        <w:t>emergency)</w:t>
      </w:r>
      <w:r>
        <w:rPr>
          <w:spacing w:val="6"/>
          <w:sz w:val="22"/>
        </w:rPr>
        <w:t> </w:t>
      </w:r>
      <w:r>
        <w:rPr>
          <w:sz w:val="22"/>
        </w:rPr>
        <w:t>on</w:t>
      </w:r>
      <w:r>
        <w:rPr>
          <w:spacing w:val="6"/>
          <w:sz w:val="22"/>
        </w:rPr>
        <w:t> </w:t>
      </w:r>
      <w:r>
        <w:rPr>
          <w:sz w:val="22"/>
        </w:rPr>
        <w:t>measures</w:t>
      </w:r>
      <w:r>
        <w:rPr>
          <w:spacing w:val="4"/>
          <w:sz w:val="22"/>
        </w:rPr>
        <w:t> </w:t>
      </w:r>
      <w:r>
        <w:rPr>
          <w:sz w:val="22"/>
        </w:rPr>
        <w:t>in</w:t>
      </w:r>
      <w:r>
        <w:rPr>
          <w:spacing w:val="3"/>
          <w:sz w:val="22"/>
        </w:rPr>
        <w:t> </w:t>
      </w:r>
      <w:r>
        <w:rPr>
          <w:sz w:val="22"/>
        </w:rPr>
        <w:t>“Pay-for-Performance"</w:t>
      </w:r>
      <w:r>
        <w:rPr>
          <w:spacing w:val="5"/>
          <w:sz w:val="22"/>
        </w:rPr>
        <w:t> </w:t>
      </w:r>
      <w:r>
        <w:rPr>
          <w:sz w:val="22"/>
        </w:rPr>
        <w:t>status</w:t>
      </w:r>
      <w:r>
        <w:rPr>
          <w:spacing w:val="4"/>
          <w:sz w:val="22"/>
        </w:rPr>
        <w:t> </w:t>
      </w:r>
      <w:r>
        <w:rPr>
          <w:sz w:val="22"/>
        </w:rPr>
        <w:t>after</w:t>
      </w:r>
      <w:r>
        <w:rPr>
          <w:spacing w:val="4"/>
          <w:sz w:val="22"/>
        </w:rPr>
        <w:t> </w:t>
      </w:r>
      <w:r>
        <w:rPr>
          <w:sz w:val="22"/>
        </w:rPr>
        <w:t>the</w:t>
      </w:r>
      <w:r>
        <w:rPr>
          <w:spacing w:val="4"/>
          <w:sz w:val="22"/>
        </w:rPr>
        <w:t> </w:t>
      </w:r>
      <w:r>
        <w:rPr>
          <w:sz w:val="22"/>
        </w:rPr>
        <w:t>start</w:t>
      </w:r>
      <w:r>
        <w:rPr>
          <w:spacing w:val="5"/>
          <w:sz w:val="22"/>
        </w:rPr>
        <w:t> </w:t>
      </w:r>
      <w:r>
        <w:rPr>
          <w:sz w:val="22"/>
        </w:rPr>
        <w:t>of</w:t>
      </w:r>
      <w:r>
        <w:rPr>
          <w:spacing w:val="4"/>
          <w:sz w:val="22"/>
        </w:rPr>
        <w:t> </w:t>
      </w:r>
      <w:r>
        <w:rPr>
          <w:sz w:val="22"/>
        </w:rPr>
        <w:t>the</w:t>
      </w:r>
      <w:r>
        <w:rPr>
          <w:spacing w:val="7"/>
          <w:sz w:val="22"/>
        </w:rPr>
        <w:t> </w:t>
      </w:r>
      <w:r>
        <w:rPr>
          <w:sz w:val="22"/>
        </w:rPr>
        <w:t>public</w:t>
      </w:r>
      <w:r>
        <w:rPr>
          <w:spacing w:val="4"/>
          <w:sz w:val="22"/>
        </w:rPr>
        <w:t> </w:t>
      </w:r>
      <w:r>
        <w:rPr>
          <w:spacing w:val="-2"/>
          <w:sz w:val="22"/>
        </w:rPr>
        <w:t>health</w:t>
      </w:r>
    </w:p>
    <w:p>
      <w:pPr>
        <w:spacing w:after="0"/>
        <w:jc w:val="both"/>
        <w:rPr>
          <w:sz w:val="22"/>
        </w:rPr>
        <w:sectPr>
          <w:pgSz w:w="12240" w:h="15840"/>
          <w:pgMar w:header="0" w:footer="967" w:top="1360" w:bottom="1160" w:left="220" w:right="340"/>
        </w:sectPr>
      </w:pPr>
    </w:p>
    <w:p>
      <w:pPr>
        <w:spacing w:before="78"/>
        <w:ind w:left="1219" w:right="1094" w:firstLine="0"/>
        <w:jc w:val="both"/>
        <w:rPr>
          <w:sz w:val="22"/>
        </w:rPr>
      </w:pPr>
      <w:r>
        <w:rPr>
          <w:sz w:val="22"/>
        </w:rPr>
        <w:t>emergency. Data obtained from CY2020 may be utilized to adjust benchmarks for measures deemed impacted by</w:t>
      </w:r>
      <w:r>
        <w:rPr>
          <w:spacing w:val="-2"/>
          <w:sz w:val="22"/>
        </w:rPr>
        <w:t> </w:t>
      </w:r>
      <w:r>
        <w:rPr>
          <w:sz w:val="22"/>
        </w:rPr>
        <w:t>the public health emergency</w:t>
      </w:r>
      <w:r>
        <w:rPr>
          <w:spacing w:val="-2"/>
          <w:sz w:val="22"/>
        </w:rPr>
        <w:t> </w:t>
      </w:r>
      <w:r>
        <w:rPr>
          <w:sz w:val="22"/>
        </w:rPr>
        <w:t>(i.e.,</w:t>
      </w:r>
      <w:r>
        <w:rPr>
          <w:spacing w:val="-2"/>
          <w:sz w:val="22"/>
        </w:rPr>
        <w:t> </w:t>
      </w:r>
      <w:r>
        <w:rPr>
          <w:sz w:val="22"/>
        </w:rPr>
        <w:t>any</w:t>
      </w:r>
      <w:r>
        <w:rPr>
          <w:spacing w:val="-2"/>
          <w:sz w:val="22"/>
        </w:rPr>
        <w:t> </w:t>
      </w:r>
      <w:r>
        <w:rPr>
          <w:sz w:val="22"/>
        </w:rPr>
        <w:t>measure</w:t>
      </w:r>
      <w:r>
        <w:rPr>
          <w:spacing w:val="-2"/>
          <w:sz w:val="22"/>
        </w:rPr>
        <w:t> </w:t>
      </w:r>
      <w:r>
        <w:rPr>
          <w:sz w:val="22"/>
        </w:rPr>
        <w:t>demonstrating</w:t>
      </w:r>
      <w:r>
        <w:rPr>
          <w:spacing w:val="-2"/>
          <w:sz w:val="22"/>
        </w:rPr>
        <w:t> </w:t>
      </w:r>
      <w:r>
        <w:rPr>
          <w:sz w:val="22"/>
        </w:rPr>
        <w:t>a statewide median</w:t>
      </w:r>
      <w:r>
        <w:rPr>
          <w:spacing w:val="-1"/>
          <w:sz w:val="22"/>
        </w:rPr>
        <w:t> </w:t>
      </w:r>
      <w:r>
        <w:rPr>
          <w:sz w:val="22"/>
        </w:rPr>
        <w:t>decrease in performance</w:t>
      </w:r>
      <w:r>
        <w:rPr>
          <w:spacing w:val="-9"/>
          <w:sz w:val="22"/>
        </w:rPr>
        <w:t> </w:t>
      </w:r>
      <w:r>
        <w:rPr>
          <w:sz w:val="22"/>
        </w:rPr>
        <w:t>from</w:t>
      </w:r>
      <w:r>
        <w:rPr>
          <w:spacing w:val="-11"/>
          <w:sz w:val="22"/>
        </w:rPr>
        <w:t> </w:t>
      </w:r>
      <w:r>
        <w:rPr>
          <w:sz w:val="22"/>
        </w:rPr>
        <w:t>CY2019</w:t>
      </w:r>
      <w:r>
        <w:rPr>
          <w:spacing w:val="-10"/>
          <w:sz w:val="22"/>
        </w:rPr>
        <w:t> </w:t>
      </w:r>
      <w:r>
        <w:rPr>
          <w:sz w:val="22"/>
        </w:rPr>
        <w:t>to</w:t>
      </w:r>
      <w:r>
        <w:rPr>
          <w:spacing w:val="-7"/>
          <w:sz w:val="22"/>
        </w:rPr>
        <w:t> </w:t>
      </w:r>
      <w:r>
        <w:rPr>
          <w:sz w:val="22"/>
        </w:rPr>
        <w:t>CY2020).</w:t>
      </w:r>
      <w:r>
        <w:rPr>
          <w:spacing w:val="-9"/>
          <w:sz w:val="22"/>
        </w:rPr>
        <w:t> </w:t>
      </w:r>
      <w:r>
        <w:rPr>
          <w:sz w:val="22"/>
        </w:rPr>
        <w:t>Updated</w:t>
      </w:r>
      <w:r>
        <w:rPr>
          <w:spacing w:val="-10"/>
          <w:sz w:val="22"/>
        </w:rPr>
        <w:t> </w:t>
      </w:r>
      <w:r>
        <w:rPr>
          <w:sz w:val="22"/>
        </w:rPr>
        <w:t>benchmarks</w:t>
      </w:r>
      <w:r>
        <w:rPr>
          <w:spacing w:val="-7"/>
          <w:sz w:val="22"/>
        </w:rPr>
        <w:t> </w:t>
      </w:r>
      <w:r>
        <w:rPr>
          <w:sz w:val="22"/>
        </w:rPr>
        <w:t>will</w:t>
      </w:r>
      <w:r>
        <w:rPr>
          <w:spacing w:val="-9"/>
          <w:sz w:val="22"/>
        </w:rPr>
        <w:t> </w:t>
      </w:r>
      <w:r>
        <w:rPr>
          <w:sz w:val="22"/>
        </w:rPr>
        <w:t>be</w:t>
      </w:r>
      <w:r>
        <w:rPr>
          <w:spacing w:val="-9"/>
          <w:sz w:val="22"/>
        </w:rPr>
        <w:t> </w:t>
      </w:r>
      <w:r>
        <w:rPr>
          <w:sz w:val="22"/>
        </w:rPr>
        <w:t>proposed</w:t>
      </w:r>
      <w:r>
        <w:rPr>
          <w:spacing w:val="-9"/>
          <w:sz w:val="22"/>
        </w:rPr>
        <w:t> </w:t>
      </w:r>
      <w:r>
        <w:rPr>
          <w:sz w:val="22"/>
        </w:rPr>
        <w:t>to</w:t>
      </w:r>
      <w:r>
        <w:rPr>
          <w:spacing w:val="-10"/>
          <w:sz w:val="22"/>
        </w:rPr>
        <w:t> </w:t>
      </w:r>
      <w:r>
        <w:rPr>
          <w:sz w:val="22"/>
        </w:rPr>
        <w:t>CMS</w:t>
      </w:r>
      <w:r>
        <w:rPr>
          <w:spacing w:val="-7"/>
          <w:sz w:val="22"/>
        </w:rPr>
        <w:t> </w:t>
      </w:r>
      <w:r>
        <w:rPr>
          <w:sz w:val="22"/>
        </w:rPr>
        <w:t>by</w:t>
      </w:r>
      <w:r>
        <w:rPr>
          <w:spacing w:val="-10"/>
          <w:sz w:val="22"/>
        </w:rPr>
        <w:t> </w:t>
      </w:r>
      <w:r>
        <w:rPr>
          <w:sz w:val="22"/>
        </w:rPr>
        <w:t>Q2</w:t>
      </w:r>
      <w:r>
        <w:rPr>
          <w:spacing w:val="-7"/>
          <w:sz w:val="22"/>
        </w:rPr>
        <w:t> </w:t>
      </w:r>
      <w:r>
        <w:rPr>
          <w:sz w:val="22"/>
        </w:rPr>
        <w:t>CY2022</w:t>
      </w:r>
      <w:r>
        <w:rPr>
          <w:spacing w:val="-9"/>
          <w:sz w:val="22"/>
        </w:rPr>
        <w:t> </w:t>
      </w:r>
      <w:r>
        <w:rPr>
          <w:sz w:val="22"/>
        </w:rPr>
        <w:t>for approval and will be applied to impacted measures for CY2021.</w:t>
      </w:r>
    </w:p>
    <w:p>
      <w:pPr>
        <w:spacing w:before="160"/>
        <w:ind w:left="1219" w:right="1095" w:firstLine="0"/>
        <w:jc w:val="both"/>
        <w:rPr>
          <w:sz w:val="22"/>
        </w:rPr>
      </w:pPr>
      <w:r>
        <w:rPr>
          <w:sz w:val="22"/>
        </w:rPr>
        <w:t>CPs and CSAs will be assigned achievement points based on their performance on each Quality Measure. The</w:t>
      </w:r>
      <w:r>
        <w:rPr>
          <w:spacing w:val="-3"/>
          <w:sz w:val="22"/>
        </w:rPr>
        <w:t> </w:t>
      </w:r>
      <w:r>
        <w:rPr>
          <w:sz w:val="22"/>
        </w:rPr>
        <w:t>Domain</w:t>
      </w:r>
      <w:r>
        <w:rPr>
          <w:spacing w:val="-4"/>
          <w:sz w:val="22"/>
        </w:rPr>
        <w:t> </w:t>
      </w:r>
      <w:r>
        <w:rPr>
          <w:sz w:val="22"/>
        </w:rPr>
        <w:t>Score</w:t>
      </w:r>
      <w:r>
        <w:rPr>
          <w:spacing w:val="-3"/>
          <w:sz w:val="22"/>
        </w:rPr>
        <w:t> </w:t>
      </w:r>
      <w:r>
        <w:rPr>
          <w:sz w:val="22"/>
        </w:rPr>
        <w:t>will</w:t>
      </w:r>
      <w:r>
        <w:rPr>
          <w:spacing w:val="-3"/>
          <w:sz w:val="22"/>
        </w:rPr>
        <w:t> </w:t>
      </w:r>
      <w:r>
        <w:rPr>
          <w:sz w:val="22"/>
        </w:rPr>
        <w:t>be</w:t>
      </w:r>
      <w:r>
        <w:rPr>
          <w:spacing w:val="-6"/>
          <w:sz w:val="22"/>
        </w:rPr>
        <w:t> </w:t>
      </w:r>
      <w:r>
        <w:rPr>
          <w:sz w:val="22"/>
        </w:rPr>
        <w:t>calculated</w:t>
      </w:r>
      <w:r>
        <w:rPr>
          <w:spacing w:val="-6"/>
          <w:sz w:val="22"/>
        </w:rPr>
        <w:t> </w:t>
      </w:r>
      <w:r>
        <w:rPr>
          <w:sz w:val="22"/>
        </w:rPr>
        <w:t>as</w:t>
      </w:r>
      <w:r>
        <w:rPr>
          <w:spacing w:val="-3"/>
          <w:sz w:val="22"/>
        </w:rPr>
        <w:t> </w:t>
      </w:r>
      <w:r>
        <w:rPr>
          <w:sz w:val="22"/>
        </w:rPr>
        <w:t>the</w:t>
      </w:r>
      <w:r>
        <w:rPr>
          <w:spacing w:val="-3"/>
          <w:sz w:val="22"/>
        </w:rPr>
        <w:t> </w:t>
      </w:r>
      <w:r>
        <w:rPr>
          <w:sz w:val="22"/>
        </w:rPr>
        <w:t>average</w:t>
      </w:r>
      <w:r>
        <w:rPr>
          <w:spacing w:val="-3"/>
          <w:sz w:val="22"/>
        </w:rPr>
        <w:t> </w:t>
      </w:r>
      <w:r>
        <w:rPr>
          <w:sz w:val="22"/>
        </w:rPr>
        <w:t>of</w:t>
      </w:r>
      <w:r>
        <w:rPr>
          <w:spacing w:val="-5"/>
          <w:sz w:val="22"/>
        </w:rPr>
        <w:t> </w:t>
      </w:r>
      <w:r>
        <w:rPr>
          <w:sz w:val="22"/>
        </w:rPr>
        <w:t>the</w:t>
      </w:r>
      <w:r>
        <w:rPr>
          <w:spacing w:val="-3"/>
          <w:sz w:val="22"/>
        </w:rPr>
        <w:t> </w:t>
      </w:r>
      <w:r>
        <w:rPr>
          <w:sz w:val="22"/>
        </w:rPr>
        <w:t>achievement</w:t>
      </w:r>
      <w:r>
        <w:rPr>
          <w:spacing w:val="-3"/>
          <w:sz w:val="22"/>
        </w:rPr>
        <w:t> </w:t>
      </w:r>
      <w:r>
        <w:rPr>
          <w:sz w:val="22"/>
        </w:rPr>
        <w:t>points</w:t>
      </w:r>
      <w:r>
        <w:rPr>
          <w:spacing w:val="-3"/>
          <w:sz w:val="22"/>
        </w:rPr>
        <w:t> </w:t>
      </w:r>
      <w:r>
        <w:rPr>
          <w:sz w:val="22"/>
        </w:rPr>
        <w:t>for</w:t>
      </w:r>
      <w:r>
        <w:rPr>
          <w:spacing w:val="-5"/>
          <w:sz w:val="22"/>
        </w:rPr>
        <w:t> </w:t>
      </w:r>
      <w:r>
        <w:rPr>
          <w:sz w:val="22"/>
        </w:rPr>
        <w:t>all</w:t>
      </w:r>
      <w:r>
        <w:rPr>
          <w:spacing w:val="-5"/>
          <w:sz w:val="22"/>
        </w:rPr>
        <w:t> </w:t>
      </w:r>
      <w:r>
        <w:rPr>
          <w:sz w:val="22"/>
        </w:rPr>
        <w:t>the</w:t>
      </w:r>
      <w:r>
        <w:rPr>
          <w:spacing w:val="-3"/>
          <w:sz w:val="22"/>
        </w:rPr>
        <w:t> </w:t>
      </w:r>
      <w:r>
        <w:rPr>
          <w:sz w:val="22"/>
        </w:rPr>
        <w:t>Quality</w:t>
      </w:r>
      <w:r>
        <w:rPr>
          <w:spacing w:val="-4"/>
          <w:sz w:val="22"/>
        </w:rPr>
        <w:t> </w:t>
      </w:r>
      <w:r>
        <w:rPr>
          <w:sz w:val="22"/>
        </w:rPr>
        <w:t>measures in a given Domain.</w:t>
      </w:r>
    </w:p>
    <w:p>
      <w:pPr>
        <w:spacing w:line="244" w:lineRule="auto" w:before="160"/>
        <w:ind w:left="1219" w:right="1094" w:firstLine="0"/>
        <w:jc w:val="both"/>
        <w:rPr>
          <w:sz w:val="22"/>
        </w:rPr>
      </w:pPr>
      <w:r>
        <w:rPr>
          <w:sz w:val="22"/>
        </w:rPr>
        <w:t>Each CP</w:t>
      </w:r>
      <w:r>
        <w:rPr>
          <w:spacing w:val="-3"/>
          <w:sz w:val="22"/>
        </w:rPr>
        <w:t> </w:t>
      </w:r>
      <w:r>
        <w:rPr>
          <w:sz w:val="22"/>
        </w:rPr>
        <w:t>or CSA</w:t>
      </w:r>
      <w:r>
        <w:rPr>
          <w:spacing w:val="-3"/>
          <w:sz w:val="22"/>
        </w:rPr>
        <w:t> </w:t>
      </w:r>
      <w:r>
        <w:rPr>
          <w:sz w:val="22"/>
        </w:rPr>
        <w:t>may</w:t>
      </w:r>
      <w:r>
        <w:rPr>
          <w:spacing w:val="-2"/>
          <w:sz w:val="22"/>
        </w:rPr>
        <w:t> </w:t>
      </w:r>
      <w:r>
        <w:rPr>
          <w:sz w:val="22"/>
        </w:rPr>
        <w:t>receive up to</w:t>
      </w:r>
      <w:r>
        <w:rPr>
          <w:spacing w:val="-2"/>
          <w:sz w:val="22"/>
        </w:rPr>
        <w:t> </w:t>
      </w:r>
      <w:r>
        <w:rPr>
          <w:sz w:val="22"/>
        </w:rPr>
        <w:t>a maximum</w:t>
      </w:r>
      <w:r>
        <w:rPr>
          <w:spacing w:val="-4"/>
          <w:sz w:val="22"/>
        </w:rPr>
        <w:t> </w:t>
      </w:r>
      <w:r>
        <w:rPr>
          <w:sz w:val="22"/>
        </w:rPr>
        <w:t>of one</w:t>
      </w:r>
      <w:r>
        <w:rPr>
          <w:spacing w:val="-2"/>
          <w:sz w:val="22"/>
        </w:rPr>
        <w:t> </w:t>
      </w:r>
      <w:r>
        <w:rPr>
          <w:sz w:val="22"/>
        </w:rPr>
        <w:t>(1) achievement point</w:t>
      </w:r>
      <w:r>
        <w:rPr>
          <w:spacing w:val="-1"/>
          <w:sz w:val="22"/>
        </w:rPr>
        <w:t> </w:t>
      </w:r>
      <w:r>
        <w:rPr>
          <w:sz w:val="22"/>
        </w:rPr>
        <w:t>for</w:t>
      </w:r>
      <w:r>
        <w:rPr>
          <w:spacing w:val="-4"/>
          <w:sz w:val="22"/>
        </w:rPr>
        <w:t> </w:t>
      </w:r>
      <w:r>
        <w:rPr>
          <w:sz w:val="22"/>
        </w:rPr>
        <w:t>each Quality</w:t>
      </w:r>
      <w:r>
        <w:rPr>
          <w:spacing w:val="-2"/>
          <w:sz w:val="22"/>
        </w:rPr>
        <w:t> </w:t>
      </w:r>
      <w:r>
        <w:rPr>
          <w:sz w:val="22"/>
        </w:rPr>
        <w:t>Measure</w:t>
      </w:r>
      <w:r>
        <w:rPr>
          <w:spacing w:val="-2"/>
          <w:sz w:val="22"/>
        </w:rPr>
        <w:t> </w:t>
      </w:r>
      <w:r>
        <w:rPr>
          <w:sz w:val="22"/>
        </w:rPr>
        <w:t>in a given Domain, as follows:</w:t>
      </w:r>
    </w:p>
    <w:p>
      <w:pPr>
        <w:pStyle w:val="ListParagraph"/>
        <w:numPr>
          <w:ilvl w:val="0"/>
          <w:numId w:val="101"/>
        </w:numPr>
        <w:tabs>
          <w:tab w:pos="1939" w:val="left" w:leader="none"/>
        </w:tabs>
        <w:spacing w:line="240" w:lineRule="auto" w:before="151" w:after="0"/>
        <w:ind w:left="1939" w:right="1096" w:hanging="360"/>
        <w:jc w:val="both"/>
        <w:rPr>
          <w:sz w:val="22"/>
        </w:rPr>
      </w:pPr>
      <w:r>
        <w:rPr>
          <w:sz w:val="22"/>
        </w:rPr>
        <w:t>The State will establish an “Attainment Threshold” and an “Goal Benchmark” for each Quality </w:t>
      </w:r>
      <w:r>
        <w:rPr>
          <w:spacing w:val="-2"/>
          <w:sz w:val="22"/>
        </w:rPr>
        <w:t>Measure</w:t>
      </w:r>
    </w:p>
    <w:p>
      <w:pPr>
        <w:pStyle w:val="ListParagraph"/>
        <w:numPr>
          <w:ilvl w:val="1"/>
          <w:numId w:val="101"/>
        </w:numPr>
        <w:tabs>
          <w:tab w:pos="2658" w:val="left" w:leader="none"/>
          <w:tab w:pos="2660" w:val="left" w:leader="none"/>
        </w:tabs>
        <w:spacing w:line="240" w:lineRule="auto" w:before="200" w:after="0"/>
        <w:ind w:left="2660" w:right="1094" w:hanging="361"/>
        <w:jc w:val="both"/>
        <w:rPr>
          <w:sz w:val="22"/>
        </w:rPr>
      </w:pPr>
      <w:r>
        <w:rPr>
          <w:sz w:val="22"/>
        </w:rPr>
        <w:t>“Attainment Threshold” sets the minimum level of performance at which the CP or CSA can earn achievement points</w:t>
      </w:r>
    </w:p>
    <w:p>
      <w:pPr>
        <w:pStyle w:val="ListParagraph"/>
        <w:numPr>
          <w:ilvl w:val="1"/>
          <w:numId w:val="101"/>
        </w:numPr>
        <w:tabs>
          <w:tab w:pos="2660" w:val="left" w:leader="none"/>
        </w:tabs>
        <w:spacing w:line="240" w:lineRule="auto" w:before="199" w:after="0"/>
        <w:ind w:left="2660" w:right="1094" w:hanging="360"/>
        <w:jc w:val="both"/>
        <w:rPr>
          <w:sz w:val="22"/>
        </w:rPr>
      </w:pPr>
      <w:r>
        <w:rPr>
          <w:sz w:val="22"/>
        </w:rPr>
        <w:t>“Goal Benchmark” is a high performance standard above which the CP or CSA</w:t>
      </w:r>
      <w:r>
        <w:rPr>
          <w:spacing w:val="-1"/>
          <w:sz w:val="22"/>
        </w:rPr>
        <w:t> </w:t>
      </w:r>
      <w:r>
        <w:rPr>
          <w:sz w:val="22"/>
        </w:rPr>
        <w:t>earns the maximum number of achievement points (i.e., 1 point)</w:t>
      </w:r>
    </w:p>
    <w:p>
      <w:pPr>
        <w:pStyle w:val="ListParagraph"/>
        <w:numPr>
          <w:ilvl w:val="0"/>
          <w:numId w:val="101"/>
        </w:numPr>
        <w:tabs>
          <w:tab w:pos="1940" w:val="left" w:leader="none"/>
        </w:tabs>
        <w:spacing w:line="240" w:lineRule="auto" w:before="200" w:after="0"/>
        <w:ind w:left="1940" w:right="1094" w:hanging="360"/>
        <w:jc w:val="both"/>
        <w:rPr>
          <w:sz w:val="22"/>
        </w:rPr>
      </w:pPr>
      <w:r>
        <w:rPr>
          <w:sz w:val="22"/>
        </w:rPr>
        <w:t>The State will calculate each CP’s and CSA’s performance score on each Quality Measure based on</w:t>
      </w:r>
      <w:r>
        <w:rPr>
          <w:spacing w:val="-4"/>
          <w:sz w:val="22"/>
        </w:rPr>
        <w:t> </w:t>
      </w:r>
      <w:r>
        <w:rPr>
          <w:sz w:val="22"/>
        </w:rPr>
        <w:t>the</w:t>
      </w:r>
      <w:r>
        <w:rPr>
          <w:spacing w:val="-3"/>
          <w:sz w:val="22"/>
        </w:rPr>
        <w:t> </w:t>
      </w:r>
      <w:r>
        <w:rPr>
          <w:sz w:val="22"/>
        </w:rPr>
        <w:t>measure</w:t>
      </w:r>
      <w:r>
        <w:rPr>
          <w:spacing w:val="-6"/>
          <w:sz w:val="22"/>
        </w:rPr>
        <w:t> </w:t>
      </w:r>
      <w:r>
        <w:rPr>
          <w:sz w:val="22"/>
        </w:rPr>
        <w:t>specifications</w:t>
      </w:r>
      <w:r>
        <w:rPr>
          <w:spacing w:val="-3"/>
          <w:sz w:val="22"/>
        </w:rPr>
        <w:t> </w:t>
      </w:r>
      <w:r>
        <w:rPr>
          <w:sz w:val="22"/>
        </w:rPr>
        <w:t>which</w:t>
      </w:r>
      <w:r>
        <w:rPr>
          <w:spacing w:val="-4"/>
          <w:sz w:val="22"/>
        </w:rPr>
        <w:t> </w:t>
      </w:r>
      <w:r>
        <w:rPr>
          <w:sz w:val="22"/>
        </w:rPr>
        <w:t>will</w:t>
      </w:r>
      <w:r>
        <w:rPr>
          <w:spacing w:val="-3"/>
          <w:sz w:val="22"/>
        </w:rPr>
        <w:t> </w:t>
      </w:r>
      <w:r>
        <w:rPr>
          <w:sz w:val="22"/>
        </w:rPr>
        <w:t>be</w:t>
      </w:r>
      <w:r>
        <w:rPr>
          <w:spacing w:val="-3"/>
          <w:sz w:val="22"/>
        </w:rPr>
        <w:t> </w:t>
      </w:r>
      <w:r>
        <w:rPr>
          <w:sz w:val="22"/>
        </w:rPr>
        <w:t>reviewed</w:t>
      </w:r>
      <w:r>
        <w:rPr>
          <w:spacing w:val="-6"/>
          <w:sz w:val="22"/>
        </w:rPr>
        <w:t> </w:t>
      </w:r>
      <w:r>
        <w:rPr>
          <w:sz w:val="22"/>
        </w:rPr>
        <w:t>and</w:t>
      </w:r>
      <w:r>
        <w:rPr>
          <w:spacing w:val="-4"/>
          <w:sz w:val="22"/>
        </w:rPr>
        <w:t> </w:t>
      </w:r>
      <w:r>
        <w:rPr>
          <w:sz w:val="22"/>
        </w:rPr>
        <w:t>approved</w:t>
      </w:r>
      <w:r>
        <w:rPr>
          <w:spacing w:val="-4"/>
          <w:sz w:val="22"/>
        </w:rPr>
        <w:t> </w:t>
      </w:r>
      <w:r>
        <w:rPr>
          <w:sz w:val="22"/>
        </w:rPr>
        <w:t>by</w:t>
      </w:r>
      <w:r>
        <w:rPr>
          <w:spacing w:val="-6"/>
          <w:sz w:val="22"/>
        </w:rPr>
        <w:t> </w:t>
      </w:r>
      <w:r>
        <w:rPr>
          <w:sz w:val="22"/>
        </w:rPr>
        <w:t>CMS</w:t>
      </w:r>
      <w:r>
        <w:rPr>
          <w:spacing w:val="-4"/>
          <w:sz w:val="22"/>
        </w:rPr>
        <w:t> </w:t>
      </w:r>
      <w:r>
        <w:rPr>
          <w:sz w:val="22"/>
        </w:rPr>
        <w:t>(see</w:t>
      </w:r>
      <w:r>
        <w:rPr>
          <w:spacing w:val="-6"/>
          <w:sz w:val="22"/>
        </w:rPr>
        <w:t> </w:t>
      </w:r>
      <w:r>
        <w:rPr>
          <w:sz w:val="22"/>
        </w:rPr>
        <w:t>Section</w:t>
      </w:r>
      <w:r>
        <w:rPr>
          <w:spacing w:val="-4"/>
          <w:sz w:val="22"/>
        </w:rPr>
        <w:t> </w:t>
      </w:r>
      <w:r>
        <w:rPr>
          <w:sz w:val="22"/>
        </w:rPr>
        <w:t>5.4.6.1). Each Quality Measure’s specifications will describe the detailed methodology by which this performance score is calculated</w:t>
      </w:r>
    </w:p>
    <w:p>
      <w:pPr>
        <w:pStyle w:val="ListParagraph"/>
        <w:numPr>
          <w:ilvl w:val="0"/>
          <w:numId w:val="101"/>
        </w:numPr>
        <w:tabs>
          <w:tab w:pos="1940" w:val="left" w:leader="none"/>
        </w:tabs>
        <w:spacing w:line="240" w:lineRule="auto" w:before="199" w:after="0"/>
        <w:ind w:left="1940" w:right="1095" w:hanging="360"/>
        <w:jc w:val="both"/>
        <w:rPr>
          <w:sz w:val="22"/>
        </w:rPr>
      </w:pPr>
      <w:r>
        <w:rPr>
          <w:sz w:val="22"/>
        </w:rPr>
        <w:t>The State will award each CP or CSA between zero (0) and one (1) achievement point for each Quality Measure as follows:</w:t>
      </w:r>
    </w:p>
    <w:p>
      <w:pPr>
        <w:pStyle w:val="ListParagraph"/>
        <w:numPr>
          <w:ilvl w:val="1"/>
          <w:numId w:val="101"/>
        </w:numPr>
        <w:tabs>
          <w:tab w:pos="2658" w:val="left" w:leader="none"/>
          <w:tab w:pos="2660" w:val="left" w:leader="none"/>
        </w:tabs>
        <w:spacing w:line="244" w:lineRule="auto" w:before="200" w:after="0"/>
        <w:ind w:left="2660" w:right="1094" w:hanging="361"/>
        <w:jc w:val="both"/>
        <w:rPr>
          <w:sz w:val="22"/>
        </w:rPr>
      </w:pPr>
      <w:r>
        <w:rPr>
          <w:sz w:val="22"/>
        </w:rPr>
        <w:t>If the CP’s or CSA’s performance score is less than the Attainment Threshold: 0 achievement points</w:t>
      </w:r>
    </w:p>
    <w:p>
      <w:pPr>
        <w:pStyle w:val="ListParagraph"/>
        <w:numPr>
          <w:ilvl w:val="1"/>
          <w:numId w:val="101"/>
        </w:numPr>
        <w:tabs>
          <w:tab w:pos="2660" w:val="left" w:leader="none"/>
        </w:tabs>
        <w:spacing w:line="244" w:lineRule="auto" w:before="189" w:after="0"/>
        <w:ind w:left="2660" w:right="1097" w:hanging="360"/>
        <w:jc w:val="both"/>
        <w:rPr>
          <w:sz w:val="22"/>
        </w:rPr>
      </w:pPr>
      <w:r>
        <w:rPr>
          <w:sz w:val="22"/>
        </w:rPr>
        <w:t>If</w:t>
      </w:r>
      <w:r>
        <w:rPr>
          <w:spacing w:val="-2"/>
          <w:sz w:val="22"/>
        </w:rPr>
        <w:t> </w:t>
      </w:r>
      <w:r>
        <w:rPr>
          <w:sz w:val="22"/>
        </w:rPr>
        <w:t>the</w:t>
      </w:r>
      <w:r>
        <w:rPr>
          <w:spacing w:val="-3"/>
          <w:sz w:val="22"/>
        </w:rPr>
        <w:t> </w:t>
      </w:r>
      <w:r>
        <w:rPr>
          <w:sz w:val="22"/>
        </w:rPr>
        <w:t>CP’s</w:t>
      </w:r>
      <w:r>
        <w:rPr>
          <w:spacing w:val="-3"/>
          <w:sz w:val="22"/>
        </w:rPr>
        <w:t> </w:t>
      </w:r>
      <w:r>
        <w:rPr>
          <w:sz w:val="22"/>
        </w:rPr>
        <w:t>or</w:t>
      </w:r>
      <w:r>
        <w:rPr>
          <w:spacing w:val="-2"/>
          <w:sz w:val="22"/>
        </w:rPr>
        <w:t> </w:t>
      </w:r>
      <w:r>
        <w:rPr>
          <w:sz w:val="22"/>
        </w:rPr>
        <w:t>CSA’s</w:t>
      </w:r>
      <w:r>
        <w:rPr>
          <w:spacing w:val="-3"/>
          <w:sz w:val="22"/>
        </w:rPr>
        <w:t> </w:t>
      </w:r>
      <w:r>
        <w:rPr>
          <w:sz w:val="22"/>
        </w:rPr>
        <w:t>performance</w:t>
      </w:r>
      <w:r>
        <w:rPr>
          <w:spacing w:val="-3"/>
          <w:sz w:val="22"/>
        </w:rPr>
        <w:t> </w:t>
      </w:r>
      <w:r>
        <w:rPr>
          <w:sz w:val="22"/>
        </w:rPr>
        <w:t>score</w:t>
      </w:r>
      <w:r>
        <w:rPr>
          <w:spacing w:val="-5"/>
          <w:sz w:val="22"/>
        </w:rPr>
        <w:t> </w:t>
      </w:r>
      <w:r>
        <w:rPr>
          <w:sz w:val="22"/>
        </w:rPr>
        <w:t>is</w:t>
      </w:r>
      <w:r>
        <w:rPr>
          <w:spacing w:val="-3"/>
          <w:sz w:val="22"/>
        </w:rPr>
        <w:t> </w:t>
      </w:r>
      <w:r>
        <w:rPr>
          <w:sz w:val="22"/>
        </w:rPr>
        <w:t>greater</w:t>
      </w:r>
      <w:r>
        <w:rPr>
          <w:spacing w:val="-2"/>
          <w:sz w:val="22"/>
        </w:rPr>
        <w:t> </w:t>
      </w:r>
      <w:r>
        <w:rPr>
          <w:sz w:val="22"/>
        </w:rPr>
        <w:t>than</w:t>
      </w:r>
      <w:r>
        <w:rPr>
          <w:spacing w:val="-5"/>
          <w:sz w:val="22"/>
        </w:rPr>
        <w:t> </w:t>
      </w:r>
      <w:r>
        <w:rPr>
          <w:sz w:val="22"/>
        </w:rPr>
        <w:t>or</w:t>
      </w:r>
      <w:r>
        <w:rPr>
          <w:spacing w:val="-2"/>
          <w:sz w:val="22"/>
        </w:rPr>
        <w:t> </w:t>
      </w:r>
      <w:r>
        <w:rPr>
          <w:sz w:val="22"/>
        </w:rPr>
        <w:t>equal</w:t>
      </w:r>
      <w:r>
        <w:rPr>
          <w:spacing w:val="-5"/>
          <w:sz w:val="22"/>
        </w:rPr>
        <w:t> </w:t>
      </w:r>
      <w:r>
        <w:rPr>
          <w:sz w:val="22"/>
        </w:rPr>
        <w:t>to</w:t>
      </w:r>
      <w:r>
        <w:rPr>
          <w:spacing w:val="-3"/>
          <w:sz w:val="22"/>
        </w:rPr>
        <w:t> </w:t>
      </w:r>
      <w:r>
        <w:rPr>
          <w:sz w:val="22"/>
        </w:rPr>
        <w:t>the</w:t>
      </w:r>
      <w:r>
        <w:rPr>
          <w:spacing w:val="-3"/>
          <w:sz w:val="22"/>
        </w:rPr>
        <w:t> </w:t>
      </w:r>
      <w:r>
        <w:rPr>
          <w:sz w:val="22"/>
        </w:rPr>
        <w:t>Goal</w:t>
      </w:r>
      <w:r>
        <w:rPr>
          <w:spacing w:val="-2"/>
          <w:sz w:val="22"/>
        </w:rPr>
        <w:t> </w:t>
      </w:r>
      <w:r>
        <w:rPr>
          <w:sz w:val="22"/>
        </w:rPr>
        <w:t>Benchmark:</w:t>
      </w:r>
      <w:r>
        <w:rPr>
          <w:spacing w:val="-2"/>
          <w:sz w:val="22"/>
        </w:rPr>
        <w:t> </w:t>
      </w:r>
      <w:r>
        <w:rPr>
          <w:sz w:val="22"/>
        </w:rPr>
        <w:t>1 achievement point</w:t>
      </w:r>
    </w:p>
    <w:p>
      <w:pPr>
        <w:pStyle w:val="ListParagraph"/>
        <w:numPr>
          <w:ilvl w:val="1"/>
          <w:numId w:val="101"/>
        </w:numPr>
        <w:tabs>
          <w:tab w:pos="2658" w:val="left" w:leader="none"/>
          <w:tab w:pos="2660" w:val="left" w:leader="none"/>
        </w:tabs>
        <w:spacing w:line="240" w:lineRule="auto" w:before="192" w:after="0"/>
        <w:ind w:left="2660" w:right="1094" w:hanging="361"/>
        <w:jc w:val="both"/>
        <w:rPr>
          <w:sz w:val="22"/>
        </w:rPr>
      </w:pPr>
      <w:r>
        <w:rPr>
          <w:sz w:val="22"/>
        </w:rPr>
        <w:t>If the CP’s or CSA’s performance score is between the Attainment Threshold and Goal Benchmark: the CP or CSA receives a portion of the maximum</w:t>
      </w:r>
      <w:r>
        <w:rPr>
          <w:spacing w:val="-1"/>
          <w:sz w:val="22"/>
        </w:rPr>
        <w:t> </w:t>
      </w:r>
      <w:r>
        <w:rPr>
          <w:sz w:val="22"/>
        </w:rPr>
        <w:t>1 achievement point; this portion is proportional to the CP’s or CSA’s performance. The State will calculate the achievement point using the following formula:</w:t>
      </w:r>
    </w:p>
    <w:p>
      <w:pPr>
        <w:pStyle w:val="ListParagraph"/>
        <w:numPr>
          <w:ilvl w:val="2"/>
          <w:numId w:val="101"/>
        </w:numPr>
        <w:tabs>
          <w:tab w:pos="3378" w:val="left" w:leader="none"/>
          <w:tab w:pos="3380" w:val="left" w:leader="none"/>
        </w:tabs>
        <w:spacing w:line="244" w:lineRule="auto" w:before="198" w:after="0"/>
        <w:ind w:left="3380" w:right="1096" w:hanging="296"/>
        <w:jc w:val="left"/>
        <w:rPr>
          <w:sz w:val="22"/>
        </w:rPr>
      </w:pPr>
      <w:r>
        <w:rPr>
          <w:sz w:val="22"/>
        </w:rPr>
        <w:t>1*((Performance</w:t>
      </w:r>
      <w:r>
        <w:rPr>
          <w:spacing w:val="-6"/>
          <w:sz w:val="22"/>
        </w:rPr>
        <w:t> </w:t>
      </w:r>
      <w:r>
        <w:rPr>
          <w:sz w:val="22"/>
        </w:rPr>
        <w:t>Score</w:t>
      </w:r>
      <w:r>
        <w:rPr>
          <w:spacing w:val="-6"/>
          <w:sz w:val="22"/>
        </w:rPr>
        <w:t> </w:t>
      </w:r>
      <w:r>
        <w:rPr>
          <w:sz w:val="22"/>
        </w:rPr>
        <w:t>–</w:t>
      </w:r>
      <w:r>
        <w:rPr>
          <w:spacing w:val="-7"/>
          <w:sz w:val="22"/>
        </w:rPr>
        <w:t> </w:t>
      </w:r>
      <w:r>
        <w:rPr>
          <w:sz w:val="22"/>
        </w:rPr>
        <w:t>Attainment</w:t>
      </w:r>
      <w:r>
        <w:rPr>
          <w:spacing w:val="-8"/>
          <w:sz w:val="22"/>
        </w:rPr>
        <w:t> </w:t>
      </w:r>
      <w:r>
        <w:rPr>
          <w:sz w:val="22"/>
        </w:rPr>
        <w:t>Threshold)</w:t>
      </w:r>
      <w:r>
        <w:rPr>
          <w:spacing w:val="-8"/>
          <w:sz w:val="22"/>
        </w:rPr>
        <w:t> </w:t>
      </w:r>
      <w:r>
        <w:rPr>
          <w:sz w:val="22"/>
        </w:rPr>
        <w:t>/</w:t>
      </w:r>
      <w:r>
        <w:rPr>
          <w:spacing w:val="-8"/>
          <w:sz w:val="22"/>
        </w:rPr>
        <w:t> </w:t>
      </w:r>
      <w:r>
        <w:rPr>
          <w:sz w:val="22"/>
        </w:rPr>
        <w:t>(Goal</w:t>
      </w:r>
      <w:r>
        <w:rPr>
          <w:spacing w:val="-6"/>
          <w:sz w:val="22"/>
        </w:rPr>
        <w:t> </w:t>
      </w:r>
      <w:r>
        <w:rPr>
          <w:sz w:val="22"/>
        </w:rPr>
        <w:t>Benchmark</w:t>
      </w:r>
      <w:r>
        <w:rPr>
          <w:spacing w:val="-9"/>
          <w:sz w:val="22"/>
        </w:rPr>
        <w:t> </w:t>
      </w:r>
      <w:r>
        <w:rPr>
          <w:sz w:val="22"/>
        </w:rPr>
        <w:t>–</w:t>
      </w:r>
      <w:r>
        <w:rPr>
          <w:spacing w:val="-7"/>
          <w:sz w:val="22"/>
        </w:rPr>
        <w:t> </w:t>
      </w:r>
      <w:r>
        <w:rPr>
          <w:sz w:val="22"/>
        </w:rPr>
        <w:t>Attainment </w:t>
      </w:r>
      <w:r>
        <w:rPr>
          <w:spacing w:val="-2"/>
          <w:sz w:val="22"/>
        </w:rPr>
        <w:t>Threshold))</w:t>
      </w:r>
    </w:p>
    <w:p>
      <w:pPr>
        <w:spacing w:before="194"/>
        <w:ind w:left="1220" w:right="0" w:firstLine="0"/>
        <w:jc w:val="both"/>
        <w:rPr>
          <w:sz w:val="22"/>
        </w:rPr>
      </w:pPr>
      <w:r>
        <w:rPr>
          <w:sz w:val="22"/>
        </w:rPr>
        <w:t>Exhibit</w:t>
      </w:r>
      <w:r>
        <w:rPr>
          <w:spacing w:val="-2"/>
          <w:sz w:val="22"/>
        </w:rPr>
        <w:t> </w:t>
      </w:r>
      <w:r>
        <w:rPr>
          <w:sz w:val="22"/>
        </w:rPr>
        <w:t>43</w:t>
      </w:r>
      <w:r>
        <w:rPr>
          <w:spacing w:val="-5"/>
          <w:sz w:val="22"/>
        </w:rPr>
        <w:t> </w:t>
      </w:r>
      <w:r>
        <w:rPr>
          <w:sz w:val="22"/>
        </w:rPr>
        <w:t>below</w:t>
      </w:r>
      <w:r>
        <w:rPr>
          <w:spacing w:val="-3"/>
          <w:sz w:val="22"/>
        </w:rPr>
        <w:t> </w:t>
      </w:r>
      <w:r>
        <w:rPr>
          <w:sz w:val="22"/>
        </w:rPr>
        <w:t>shows</w:t>
      </w:r>
      <w:r>
        <w:rPr>
          <w:spacing w:val="-4"/>
          <w:sz w:val="22"/>
        </w:rPr>
        <w:t> </w:t>
      </w:r>
      <w:r>
        <w:rPr>
          <w:sz w:val="22"/>
        </w:rPr>
        <w:t>an</w:t>
      </w:r>
      <w:r>
        <w:rPr>
          <w:spacing w:val="-5"/>
          <w:sz w:val="22"/>
        </w:rPr>
        <w:t> </w:t>
      </w:r>
      <w:r>
        <w:rPr>
          <w:sz w:val="22"/>
        </w:rPr>
        <w:t>example</w:t>
      </w:r>
      <w:r>
        <w:rPr>
          <w:spacing w:val="-2"/>
          <w:sz w:val="22"/>
        </w:rPr>
        <w:t> </w:t>
      </w:r>
      <w:r>
        <w:rPr>
          <w:sz w:val="22"/>
        </w:rPr>
        <w:t>calculation</w:t>
      </w:r>
      <w:r>
        <w:rPr>
          <w:spacing w:val="-5"/>
          <w:sz w:val="22"/>
        </w:rPr>
        <w:t> </w:t>
      </w:r>
      <w:r>
        <w:rPr>
          <w:sz w:val="22"/>
        </w:rPr>
        <w:t>of</w:t>
      </w:r>
      <w:r>
        <w:rPr>
          <w:spacing w:val="-4"/>
          <w:sz w:val="22"/>
        </w:rPr>
        <w:t> </w:t>
      </w:r>
      <w:r>
        <w:rPr>
          <w:sz w:val="22"/>
        </w:rPr>
        <w:t>a</w:t>
      </w:r>
      <w:r>
        <w:rPr>
          <w:spacing w:val="-2"/>
          <w:sz w:val="22"/>
        </w:rPr>
        <w:t> </w:t>
      </w:r>
      <w:r>
        <w:rPr>
          <w:sz w:val="22"/>
        </w:rPr>
        <w:t>CP’s</w:t>
      </w:r>
      <w:r>
        <w:rPr>
          <w:spacing w:val="-2"/>
          <w:sz w:val="22"/>
        </w:rPr>
        <w:t> </w:t>
      </w:r>
      <w:r>
        <w:rPr>
          <w:sz w:val="22"/>
        </w:rPr>
        <w:t>achievement</w:t>
      </w:r>
      <w:r>
        <w:rPr>
          <w:spacing w:val="-1"/>
          <w:sz w:val="22"/>
        </w:rPr>
        <w:t> </w:t>
      </w:r>
      <w:r>
        <w:rPr>
          <w:sz w:val="22"/>
        </w:rPr>
        <w:t>points</w:t>
      </w:r>
      <w:r>
        <w:rPr>
          <w:spacing w:val="-2"/>
          <w:sz w:val="22"/>
        </w:rPr>
        <w:t> </w:t>
      </w:r>
      <w:r>
        <w:rPr>
          <w:sz w:val="22"/>
        </w:rPr>
        <w:t>for</w:t>
      </w:r>
      <w:r>
        <w:rPr>
          <w:spacing w:val="-4"/>
          <w:sz w:val="22"/>
        </w:rPr>
        <w:t> </w:t>
      </w:r>
      <w:r>
        <w:rPr>
          <w:sz w:val="22"/>
        </w:rPr>
        <w:t>a</w:t>
      </w:r>
      <w:r>
        <w:rPr>
          <w:spacing w:val="-2"/>
          <w:sz w:val="22"/>
        </w:rPr>
        <w:t> </w:t>
      </w:r>
      <w:r>
        <w:rPr>
          <w:sz w:val="22"/>
        </w:rPr>
        <w:t>Quality</w:t>
      </w:r>
      <w:r>
        <w:rPr>
          <w:spacing w:val="-5"/>
          <w:sz w:val="22"/>
        </w:rPr>
        <w:t> </w:t>
      </w:r>
      <w:r>
        <w:rPr>
          <w:spacing w:val="-2"/>
          <w:sz w:val="22"/>
        </w:rPr>
        <w:t>Measure.</w:t>
      </w:r>
    </w:p>
    <w:p>
      <w:pPr>
        <w:pStyle w:val="BodyText"/>
      </w:pPr>
    </w:p>
    <w:p>
      <w:pPr>
        <w:pStyle w:val="BodyText"/>
        <w:spacing w:before="2"/>
        <w:rPr>
          <w:sz w:val="29"/>
        </w:rPr>
      </w:pPr>
    </w:p>
    <w:p>
      <w:pPr>
        <w:spacing w:before="0"/>
        <w:ind w:left="1220" w:right="0" w:firstLine="0"/>
        <w:jc w:val="left"/>
        <w:rPr>
          <w:sz w:val="22"/>
        </w:rPr>
      </w:pPr>
      <w:r>
        <w:rPr>
          <w:sz w:val="22"/>
        </w:rPr>
        <w:t>EXHIBIT</w:t>
      </w:r>
      <w:r>
        <w:rPr>
          <w:spacing w:val="-5"/>
          <w:sz w:val="22"/>
        </w:rPr>
        <w:t> </w:t>
      </w:r>
      <w:r>
        <w:rPr>
          <w:sz w:val="22"/>
        </w:rPr>
        <w:t>43</w:t>
      </w:r>
      <w:r>
        <w:rPr>
          <w:spacing w:val="-4"/>
          <w:sz w:val="22"/>
        </w:rPr>
        <w:t> </w:t>
      </w:r>
      <w:r>
        <w:rPr>
          <w:sz w:val="22"/>
        </w:rPr>
        <w:t>–</w:t>
      </w:r>
      <w:r>
        <w:rPr>
          <w:spacing w:val="-4"/>
          <w:sz w:val="22"/>
        </w:rPr>
        <w:t> </w:t>
      </w:r>
      <w:r>
        <w:rPr>
          <w:sz w:val="22"/>
        </w:rPr>
        <w:t>Example</w:t>
      </w:r>
      <w:r>
        <w:rPr>
          <w:spacing w:val="-4"/>
          <w:sz w:val="22"/>
        </w:rPr>
        <w:t> </w:t>
      </w:r>
      <w:r>
        <w:rPr>
          <w:sz w:val="22"/>
        </w:rPr>
        <w:t>Calculation</w:t>
      </w:r>
      <w:r>
        <w:rPr>
          <w:spacing w:val="-4"/>
          <w:sz w:val="22"/>
        </w:rPr>
        <w:t> </w:t>
      </w:r>
      <w:r>
        <w:rPr>
          <w:sz w:val="22"/>
        </w:rPr>
        <w:t>of</w:t>
      </w:r>
      <w:r>
        <w:rPr>
          <w:spacing w:val="-4"/>
          <w:sz w:val="22"/>
        </w:rPr>
        <w:t> </w:t>
      </w:r>
      <w:r>
        <w:rPr>
          <w:sz w:val="22"/>
        </w:rPr>
        <w:t>Achievement</w:t>
      </w:r>
      <w:r>
        <w:rPr>
          <w:spacing w:val="-3"/>
          <w:sz w:val="22"/>
        </w:rPr>
        <w:t> </w:t>
      </w:r>
      <w:r>
        <w:rPr>
          <w:sz w:val="22"/>
        </w:rPr>
        <w:t>Points</w:t>
      </w:r>
      <w:r>
        <w:rPr>
          <w:spacing w:val="-4"/>
          <w:sz w:val="22"/>
        </w:rPr>
        <w:t> </w:t>
      </w:r>
      <w:r>
        <w:rPr>
          <w:sz w:val="22"/>
        </w:rPr>
        <w:t>for</w:t>
      </w:r>
      <w:r>
        <w:rPr>
          <w:spacing w:val="-3"/>
          <w:sz w:val="22"/>
        </w:rPr>
        <w:t> </w:t>
      </w:r>
      <w:r>
        <w:rPr>
          <w:sz w:val="22"/>
        </w:rPr>
        <w:t>Measure</w:t>
      </w:r>
      <w:r>
        <w:rPr>
          <w:spacing w:val="-4"/>
          <w:sz w:val="22"/>
        </w:rPr>
        <w:t> </w:t>
      </w:r>
      <w:r>
        <w:rPr>
          <w:spacing w:val="-10"/>
          <w:sz w:val="22"/>
        </w:rPr>
        <w:t>A</w:t>
      </w:r>
    </w:p>
    <w:p>
      <w:pPr>
        <w:pStyle w:val="BodyText"/>
        <w:spacing w:line="20" w:lineRule="exact"/>
        <w:ind w:left="1220"/>
        <w:rPr>
          <w:sz w:val="2"/>
        </w:rPr>
      </w:pPr>
      <w:r>
        <w:rPr>
          <w:sz w:val="2"/>
        </w:rPr>
        <mc:AlternateContent>
          <mc:Choice Requires="wps">
            <w:drawing>
              <wp:inline distT="0" distB="0" distL="0" distR="0">
                <wp:extent cx="5943600" cy="6350"/>
                <wp:effectExtent l="0" t="0" r="0" b="0"/>
                <wp:docPr id="919" name="Group 919"/>
                <wp:cNvGraphicFramePr>
                  <a:graphicFrameLocks/>
                </wp:cNvGraphicFramePr>
                <a:graphic>
                  <a:graphicData uri="http://schemas.microsoft.com/office/word/2010/wordprocessingGroup">
                    <wpg:wgp>
                      <wpg:cNvPr id="919" name="Group 919"/>
                      <wpg:cNvGrpSpPr/>
                      <wpg:grpSpPr>
                        <a:xfrm>
                          <a:off x="0" y="0"/>
                          <a:ext cx="5943600" cy="6350"/>
                          <a:chExt cx="5943600" cy="6350"/>
                        </a:xfrm>
                      </wpg:grpSpPr>
                      <wps:wsp>
                        <wps:cNvPr id="920" name="Graphic 920"/>
                        <wps:cNvSpPr/>
                        <wps:spPr>
                          <a:xfrm>
                            <a:off x="0" y="0"/>
                            <a:ext cx="5943600" cy="6350"/>
                          </a:xfrm>
                          <a:custGeom>
                            <a:avLst/>
                            <a:gdLst/>
                            <a:ahLst/>
                            <a:cxnLst/>
                            <a:rect l="l" t="t" r="r" b="b"/>
                            <a:pathLst>
                              <a:path w="5943600" h="6350">
                                <a:moveTo>
                                  <a:pt x="5943600" y="0"/>
                                </a:move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68pt;height:.5pt;mso-position-horizontal-relative:char;mso-position-vertical-relative:line" id="docshapegroup136" coordorigin="0,0" coordsize="9360,10">
                <v:rect style="position:absolute;left:0;top:0;width:9360;height:10" id="docshape137" filled="true" fillcolor="#000000" stroked="false">
                  <v:fill type="solid"/>
                </v:rect>
              </v:group>
            </w:pict>
          </mc:Fallback>
        </mc:AlternateContent>
      </w:r>
      <w:r>
        <w:rPr>
          <w:sz w:val="2"/>
        </w:rPr>
      </w:r>
    </w:p>
    <w:p>
      <w:pPr>
        <w:spacing w:before="0"/>
        <w:ind w:left="1220" w:right="0" w:firstLine="0"/>
        <w:jc w:val="left"/>
        <w:rPr>
          <w:sz w:val="22"/>
        </w:rPr>
      </w:pPr>
      <w:r>
        <w:rPr>
          <w:b/>
          <w:sz w:val="22"/>
        </w:rPr>
        <w:t>Measure</w:t>
      </w:r>
      <w:r>
        <w:rPr>
          <w:b/>
          <w:spacing w:val="-7"/>
          <w:sz w:val="22"/>
        </w:rPr>
        <w:t> </w:t>
      </w:r>
      <w:r>
        <w:rPr>
          <w:b/>
          <w:sz w:val="22"/>
        </w:rPr>
        <w:t>A</w:t>
      </w:r>
      <w:r>
        <w:rPr>
          <w:b/>
          <w:spacing w:val="-4"/>
          <w:sz w:val="22"/>
        </w:rPr>
        <w:t> </w:t>
      </w:r>
      <w:r>
        <w:rPr>
          <w:b/>
          <w:sz w:val="22"/>
        </w:rPr>
        <w:t>Attainment</w:t>
      </w:r>
      <w:r>
        <w:rPr>
          <w:b/>
          <w:spacing w:val="-4"/>
          <w:sz w:val="22"/>
        </w:rPr>
        <w:t> </w:t>
      </w:r>
      <w:r>
        <w:rPr>
          <w:b/>
          <w:sz w:val="22"/>
        </w:rPr>
        <w:t>Threshold</w:t>
      </w:r>
      <w:r>
        <w:rPr>
          <w:b/>
          <w:spacing w:val="-4"/>
          <w:sz w:val="22"/>
        </w:rPr>
        <w:t> </w:t>
      </w:r>
      <w:r>
        <w:rPr>
          <w:sz w:val="22"/>
        </w:rPr>
        <w:t>=</w:t>
      </w:r>
      <w:r>
        <w:rPr>
          <w:spacing w:val="-4"/>
          <w:sz w:val="22"/>
        </w:rPr>
        <w:t> </w:t>
      </w:r>
      <w:r>
        <w:rPr>
          <w:spacing w:val="-5"/>
          <w:sz w:val="22"/>
        </w:rPr>
        <w:t>45%</w:t>
      </w:r>
    </w:p>
    <w:p>
      <w:pPr>
        <w:spacing w:before="0"/>
        <w:ind w:left="1220" w:right="0" w:firstLine="0"/>
        <w:jc w:val="left"/>
        <w:rPr>
          <w:sz w:val="22"/>
        </w:rPr>
      </w:pPr>
      <w:r>
        <w:rPr>
          <w:b/>
          <w:sz w:val="22"/>
        </w:rPr>
        <w:t>Measure</w:t>
      </w:r>
      <w:r>
        <w:rPr>
          <w:b/>
          <w:spacing w:val="-3"/>
          <w:sz w:val="22"/>
        </w:rPr>
        <w:t> </w:t>
      </w:r>
      <w:r>
        <w:rPr>
          <w:b/>
          <w:sz w:val="22"/>
        </w:rPr>
        <w:t>A</w:t>
      </w:r>
      <w:r>
        <w:rPr>
          <w:b/>
          <w:spacing w:val="-3"/>
          <w:sz w:val="22"/>
        </w:rPr>
        <w:t> </w:t>
      </w:r>
      <w:r>
        <w:rPr>
          <w:b/>
          <w:sz w:val="22"/>
        </w:rPr>
        <w:t>Goal</w:t>
      </w:r>
      <w:r>
        <w:rPr>
          <w:b/>
          <w:spacing w:val="-5"/>
          <w:sz w:val="22"/>
        </w:rPr>
        <w:t> </w:t>
      </w:r>
      <w:r>
        <w:rPr>
          <w:b/>
          <w:sz w:val="22"/>
        </w:rPr>
        <w:t>Benchmark</w:t>
      </w:r>
      <w:r>
        <w:rPr>
          <w:b/>
          <w:spacing w:val="-3"/>
          <w:sz w:val="22"/>
        </w:rPr>
        <w:t> </w:t>
      </w:r>
      <w:r>
        <w:rPr>
          <w:sz w:val="22"/>
        </w:rPr>
        <w:t>=</w:t>
      </w:r>
      <w:r>
        <w:rPr>
          <w:spacing w:val="-2"/>
          <w:sz w:val="22"/>
        </w:rPr>
        <w:t> </w:t>
      </w:r>
      <w:r>
        <w:rPr>
          <w:spacing w:val="-5"/>
          <w:sz w:val="22"/>
        </w:rPr>
        <w:t>80%</w:t>
      </w:r>
    </w:p>
    <w:p>
      <w:pPr>
        <w:pStyle w:val="BodyText"/>
        <w:spacing w:before="1"/>
        <w:rPr>
          <w:sz w:val="13"/>
        </w:rPr>
      </w:pPr>
    </w:p>
    <w:tbl>
      <w:tblPr>
        <w:tblW w:w="0" w:type="auto"/>
        <w:jc w:val="left"/>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4"/>
        <w:gridCol w:w="1210"/>
        <w:gridCol w:w="3552"/>
        <w:gridCol w:w="3240"/>
        <w:gridCol w:w="679"/>
      </w:tblGrid>
      <w:tr>
        <w:trPr>
          <w:trHeight w:val="508" w:hRule="atLeast"/>
        </w:trPr>
        <w:tc>
          <w:tcPr>
            <w:tcW w:w="694" w:type="dxa"/>
            <w:vMerge w:val="restart"/>
            <w:tcBorders>
              <w:top w:val="nil"/>
              <w:left w:val="nil"/>
              <w:right w:val="single" w:sz="8" w:space="0" w:color="BEBEBE"/>
            </w:tcBorders>
          </w:tcPr>
          <w:p>
            <w:pPr>
              <w:pStyle w:val="TableParagraph"/>
              <w:rPr>
                <w:sz w:val="20"/>
              </w:rPr>
            </w:pPr>
          </w:p>
        </w:tc>
        <w:tc>
          <w:tcPr>
            <w:tcW w:w="8002" w:type="dxa"/>
            <w:gridSpan w:val="3"/>
            <w:tcBorders>
              <w:top w:val="single" w:sz="8" w:space="0" w:color="BEBEBE"/>
              <w:left w:val="single" w:sz="8" w:space="0" w:color="BEBEBE"/>
              <w:bottom w:val="single" w:sz="4" w:space="0" w:color="BEBEBE"/>
              <w:right w:val="single" w:sz="8" w:space="0" w:color="BEBEBE"/>
            </w:tcBorders>
            <w:shd w:val="clear" w:color="auto" w:fill="1F487C"/>
          </w:tcPr>
          <w:p>
            <w:pPr>
              <w:pStyle w:val="TableParagraph"/>
              <w:spacing w:before="129"/>
              <w:ind w:left="1474" w:right="1477"/>
              <w:jc w:val="center"/>
              <w:rPr>
                <w:b/>
                <w:sz w:val="20"/>
              </w:rPr>
            </w:pPr>
            <w:r>
              <w:rPr>
                <w:b/>
                <w:color w:val="FFFFFF"/>
                <w:sz w:val="20"/>
              </w:rPr>
              <w:t>Example</w:t>
            </w:r>
            <w:r>
              <w:rPr>
                <w:b/>
                <w:color w:val="FFFFFF"/>
                <w:spacing w:val="-7"/>
                <w:sz w:val="20"/>
              </w:rPr>
              <w:t> </w:t>
            </w:r>
            <w:r>
              <w:rPr>
                <w:b/>
                <w:color w:val="FFFFFF"/>
                <w:sz w:val="20"/>
              </w:rPr>
              <w:t>Calculation</w:t>
            </w:r>
            <w:r>
              <w:rPr>
                <w:b/>
                <w:color w:val="FFFFFF"/>
                <w:spacing w:val="-7"/>
                <w:sz w:val="20"/>
              </w:rPr>
              <w:t> </w:t>
            </w:r>
            <w:r>
              <w:rPr>
                <w:b/>
                <w:color w:val="FFFFFF"/>
                <w:sz w:val="20"/>
              </w:rPr>
              <w:t>of</w:t>
            </w:r>
            <w:r>
              <w:rPr>
                <w:b/>
                <w:color w:val="FFFFFF"/>
                <w:spacing w:val="-6"/>
                <w:sz w:val="20"/>
              </w:rPr>
              <w:t> </w:t>
            </w:r>
            <w:r>
              <w:rPr>
                <w:b/>
                <w:color w:val="FFFFFF"/>
                <w:sz w:val="20"/>
              </w:rPr>
              <w:t>Achievement</w:t>
            </w:r>
            <w:r>
              <w:rPr>
                <w:b/>
                <w:color w:val="FFFFFF"/>
                <w:spacing w:val="-7"/>
                <w:sz w:val="20"/>
              </w:rPr>
              <w:t> </w:t>
            </w:r>
            <w:r>
              <w:rPr>
                <w:b/>
                <w:color w:val="FFFFFF"/>
                <w:sz w:val="20"/>
              </w:rPr>
              <w:t>Points</w:t>
            </w:r>
            <w:r>
              <w:rPr>
                <w:b/>
                <w:color w:val="FFFFFF"/>
                <w:spacing w:val="-7"/>
                <w:sz w:val="20"/>
              </w:rPr>
              <w:t> </w:t>
            </w:r>
            <w:r>
              <w:rPr>
                <w:b/>
                <w:color w:val="FFFFFF"/>
                <w:sz w:val="20"/>
              </w:rPr>
              <w:t>for</w:t>
            </w:r>
            <w:r>
              <w:rPr>
                <w:b/>
                <w:color w:val="FFFFFF"/>
                <w:spacing w:val="-9"/>
                <w:sz w:val="20"/>
              </w:rPr>
              <w:t> </w:t>
            </w:r>
            <w:r>
              <w:rPr>
                <w:b/>
                <w:color w:val="FFFFFF"/>
                <w:sz w:val="20"/>
              </w:rPr>
              <w:t>Measure</w:t>
            </w:r>
            <w:r>
              <w:rPr>
                <w:b/>
                <w:color w:val="FFFFFF"/>
                <w:spacing w:val="-7"/>
                <w:sz w:val="20"/>
              </w:rPr>
              <w:t> </w:t>
            </w:r>
            <w:r>
              <w:rPr>
                <w:b/>
                <w:color w:val="FFFFFF"/>
                <w:spacing w:val="-10"/>
                <w:sz w:val="20"/>
              </w:rPr>
              <w:t>A</w:t>
            </w:r>
          </w:p>
        </w:tc>
        <w:tc>
          <w:tcPr>
            <w:tcW w:w="679" w:type="dxa"/>
            <w:vMerge w:val="restart"/>
            <w:tcBorders>
              <w:top w:val="nil"/>
              <w:left w:val="single" w:sz="8" w:space="0" w:color="BEBEBE"/>
              <w:right w:val="nil"/>
            </w:tcBorders>
          </w:tcPr>
          <w:p>
            <w:pPr>
              <w:pStyle w:val="TableParagraph"/>
              <w:rPr>
                <w:sz w:val="20"/>
              </w:rPr>
            </w:pPr>
          </w:p>
        </w:tc>
      </w:tr>
      <w:tr>
        <w:trPr>
          <w:trHeight w:val="301" w:hRule="atLeast"/>
        </w:trPr>
        <w:tc>
          <w:tcPr>
            <w:tcW w:w="694" w:type="dxa"/>
            <w:vMerge/>
            <w:tcBorders>
              <w:top w:val="nil"/>
              <w:left w:val="nil"/>
              <w:right w:val="single" w:sz="8" w:space="0" w:color="BEBEBE"/>
            </w:tcBorders>
          </w:tcPr>
          <w:p>
            <w:pPr>
              <w:rPr>
                <w:sz w:val="2"/>
                <w:szCs w:val="2"/>
              </w:rPr>
            </w:pPr>
          </w:p>
        </w:tc>
        <w:tc>
          <w:tcPr>
            <w:tcW w:w="1210" w:type="dxa"/>
            <w:tcBorders>
              <w:top w:val="single" w:sz="4" w:space="0" w:color="BEBEBE"/>
              <w:left w:val="single" w:sz="8" w:space="0" w:color="BEBEBE"/>
              <w:bottom w:val="single" w:sz="8" w:space="0" w:color="000000"/>
              <w:right w:val="single" w:sz="4" w:space="0" w:color="BEBEBE"/>
            </w:tcBorders>
            <w:shd w:val="clear" w:color="auto" w:fill="D9D9D9"/>
          </w:tcPr>
          <w:p>
            <w:pPr>
              <w:pStyle w:val="TableParagraph"/>
              <w:rPr>
                <w:sz w:val="20"/>
              </w:rPr>
            </w:pPr>
          </w:p>
        </w:tc>
        <w:tc>
          <w:tcPr>
            <w:tcW w:w="3552" w:type="dxa"/>
            <w:tcBorders>
              <w:top w:val="single" w:sz="4" w:space="0" w:color="BEBEBE"/>
              <w:left w:val="single" w:sz="4" w:space="0" w:color="BEBEBE"/>
              <w:bottom w:val="single" w:sz="8" w:space="0" w:color="000000"/>
              <w:right w:val="single" w:sz="4" w:space="0" w:color="BEBEBE"/>
            </w:tcBorders>
            <w:shd w:val="clear" w:color="auto" w:fill="D9D9D9"/>
          </w:tcPr>
          <w:p>
            <w:pPr>
              <w:pStyle w:val="TableParagraph"/>
              <w:spacing w:before="26"/>
              <w:ind w:left="457"/>
              <w:rPr>
                <w:b/>
                <w:sz w:val="20"/>
              </w:rPr>
            </w:pPr>
            <w:r>
              <w:rPr>
                <w:b/>
                <w:sz w:val="20"/>
              </w:rPr>
              <w:t>Measure</w:t>
            </w:r>
            <w:r>
              <w:rPr>
                <w:b/>
                <w:spacing w:val="-8"/>
                <w:sz w:val="20"/>
              </w:rPr>
              <w:t> </w:t>
            </w:r>
            <w:r>
              <w:rPr>
                <w:b/>
                <w:sz w:val="20"/>
              </w:rPr>
              <w:t>A</w:t>
            </w:r>
            <w:r>
              <w:rPr>
                <w:b/>
                <w:spacing w:val="-8"/>
                <w:sz w:val="20"/>
              </w:rPr>
              <w:t> </w:t>
            </w:r>
            <w:r>
              <w:rPr>
                <w:b/>
                <w:sz w:val="20"/>
              </w:rPr>
              <w:t>Performance</w:t>
            </w:r>
            <w:r>
              <w:rPr>
                <w:b/>
                <w:spacing w:val="-7"/>
                <w:sz w:val="20"/>
              </w:rPr>
              <w:t> </w:t>
            </w:r>
            <w:r>
              <w:rPr>
                <w:b/>
                <w:spacing w:val="-2"/>
                <w:sz w:val="20"/>
              </w:rPr>
              <w:t>Score</w:t>
            </w:r>
          </w:p>
        </w:tc>
        <w:tc>
          <w:tcPr>
            <w:tcW w:w="3240" w:type="dxa"/>
            <w:tcBorders>
              <w:top w:val="single" w:sz="4" w:space="0" w:color="BEBEBE"/>
              <w:left w:val="single" w:sz="4" w:space="0" w:color="BEBEBE"/>
              <w:bottom w:val="single" w:sz="8" w:space="0" w:color="000000"/>
              <w:right w:val="single" w:sz="8" w:space="0" w:color="BEBEBE"/>
            </w:tcBorders>
            <w:shd w:val="clear" w:color="auto" w:fill="D9D9D9"/>
          </w:tcPr>
          <w:p>
            <w:pPr>
              <w:pStyle w:val="TableParagraph"/>
              <w:spacing w:before="26"/>
              <w:ind w:left="426"/>
              <w:rPr>
                <w:b/>
                <w:sz w:val="20"/>
              </w:rPr>
            </w:pPr>
            <w:r>
              <w:rPr>
                <w:b/>
                <w:sz w:val="20"/>
              </w:rPr>
              <w:t>Achievement</w:t>
            </w:r>
            <w:r>
              <w:rPr>
                <w:b/>
                <w:spacing w:val="-10"/>
                <w:sz w:val="20"/>
              </w:rPr>
              <w:t> </w:t>
            </w:r>
            <w:r>
              <w:rPr>
                <w:b/>
                <w:sz w:val="20"/>
              </w:rPr>
              <w:t>Points</w:t>
            </w:r>
            <w:r>
              <w:rPr>
                <w:b/>
                <w:spacing w:val="-11"/>
                <w:sz w:val="20"/>
              </w:rPr>
              <w:t> </w:t>
            </w:r>
            <w:r>
              <w:rPr>
                <w:b/>
                <w:spacing w:val="-2"/>
                <w:sz w:val="20"/>
              </w:rPr>
              <w:t>Earned</w:t>
            </w:r>
          </w:p>
        </w:tc>
        <w:tc>
          <w:tcPr>
            <w:tcW w:w="679" w:type="dxa"/>
            <w:vMerge/>
            <w:tcBorders>
              <w:top w:val="nil"/>
              <w:left w:val="single" w:sz="8" w:space="0" w:color="BEBEBE"/>
              <w:right w:val="nil"/>
            </w:tcBorders>
          </w:tcPr>
          <w:p>
            <w:pPr>
              <w:rPr>
                <w:sz w:val="2"/>
                <w:szCs w:val="2"/>
              </w:rPr>
            </w:pPr>
          </w:p>
        </w:tc>
      </w:tr>
    </w:tbl>
    <w:p>
      <w:pPr>
        <w:spacing w:after="0"/>
        <w:rPr>
          <w:sz w:val="2"/>
          <w:szCs w:val="2"/>
        </w:rPr>
        <w:sectPr>
          <w:pgSz w:w="12240" w:h="15840"/>
          <w:pgMar w:header="0" w:footer="967" w:top="1360" w:bottom="1473" w:left="220" w:right="340"/>
        </w:sectPr>
      </w:pPr>
    </w:p>
    <w:tbl>
      <w:tblPr>
        <w:tblW w:w="0" w:type="auto"/>
        <w:jc w:val="left"/>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9"/>
        <w:gridCol w:w="1209"/>
        <w:gridCol w:w="3551"/>
        <w:gridCol w:w="3239"/>
        <w:gridCol w:w="678"/>
      </w:tblGrid>
      <w:tr>
        <w:trPr>
          <w:trHeight w:val="299" w:hRule="atLeast"/>
        </w:trPr>
        <w:tc>
          <w:tcPr>
            <w:tcW w:w="679" w:type="dxa"/>
            <w:vMerge w:val="restart"/>
            <w:tcBorders>
              <w:left w:val="nil"/>
              <w:bottom w:val="nil"/>
              <w:right w:val="single" w:sz="8" w:space="0" w:color="BEBEBE"/>
            </w:tcBorders>
          </w:tcPr>
          <w:p>
            <w:pPr>
              <w:pStyle w:val="TableParagraph"/>
              <w:rPr>
                <w:sz w:val="20"/>
              </w:rPr>
            </w:pPr>
          </w:p>
        </w:tc>
        <w:tc>
          <w:tcPr>
            <w:tcW w:w="1209" w:type="dxa"/>
            <w:tcBorders>
              <w:left w:val="single" w:sz="8" w:space="0" w:color="BEBEBE"/>
              <w:bottom w:val="single" w:sz="4" w:space="0" w:color="BEBEBE"/>
              <w:right w:val="single" w:sz="4" w:space="0" w:color="BEBEBE"/>
            </w:tcBorders>
            <w:shd w:val="clear" w:color="auto" w:fill="DCE6F0"/>
          </w:tcPr>
          <w:p>
            <w:pPr>
              <w:pStyle w:val="TableParagraph"/>
              <w:spacing w:before="26"/>
              <w:ind w:left="158" w:right="165"/>
              <w:jc w:val="center"/>
              <w:rPr>
                <w:sz w:val="20"/>
              </w:rPr>
            </w:pPr>
            <w:r>
              <w:rPr>
                <w:sz w:val="20"/>
              </w:rPr>
              <w:t>Scenario</w:t>
            </w:r>
            <w:r>
              <w:rPr>
                <w:spacing w:val="-10"/>
                <w:sz w:val="20"/>
              </w:rPr>
              <w:t> 1</w:t>
            </w:r>
          </w:p>
        </w:tc>
        <w:tc>
          <w:tcPr>
            <w:tcW w:w="3551" w:type="dxa"/>
            <w:tcBorders>
              <w:left w:val="single" w:sz="4" w:space="0" w:color="BEBEBE"/>
              <w:bottom w:val="single" w:sz="4" w:space="0" w:color="BEBEBE"/>
              <w:right w:val="single" w:sz="4" w:space="0" w:color="BEBEBE"/>
            </w:tcBorders>
          </w:tcPr>
          <w:p>
            <w:pPr>
              <w:pStyle w:val="TableParagraph"/>
              <w:spacing w:before="26"/>
              <w:ind w:left="1577" w:right="1571"/>
              <w:jc w:val="center"/>
              <w:rPr>
                <w:sz w:val="20"/>
              </w:rPr>
            </w:pPr>
            <w:r>
              <w:rPr>
                <w:spacing w:val="-5"/>
                <w:sz w:val="20"/>
              </w:rPr>
              <w:t>25%</w:t>
            </w:r>
          </w:p>
        </w:tc>
        <w:tc>
          <w:tcPr>
            <w:tcW w:w="3239" w:type="dxa"/>
            <w:tcBorders>
              <w:left w:val="single" w:sz="4" w:space="0" w:color="BEBEBE"/>
              <w:bottom w:val="single" w:sz="4" w:space="0" w:color="BEBEBE"/>
              <w:right w:val="single" w:sz="8" w:space="0" w:color="BEBEBE"/>
            </w:tcBorders>
          </w:tcPr>
          <w:p>
            <w:pPr>
              <w:pStyle w:val="TableParagraph"/>
              <w:spacing w:before="26"/>
              <w:ind w:left="8"/>
              <w:jc w:val="center"/>
              <w:rPr>
                <w:sz w:val="20"/>
              </w:rPr>
            </w:pPr>
            <w:r>
              <w:rPr>
                <w:w w:val="99"/>
                <w:sz w:val="20"/>
              </w:rPr>
              <w:t>0</w:t>
            </w:r>
          </w:p>
        </w:tc>
        <w:tc>
          <w:tcPr>
            <w:tcW w:w="678" w:type="dxa"/>
            <w:vMerge w:val="restart"/>
            <w:tcBorders>
              <w:left w:val="single" w:sz="8" w:space="0" w:color="BEBEBE"/>
              <w:bottom w:val="nil"/>
              <w:right w:val="nil"/>
            </w:tcBorders>
          </w:tcPr>
          <w:p>
            <w:pPr>
              <w:pStyle w:val="TableParagraph"/>
              <w:rPr>
                <w:sz w:val="20"/>
              </w:rPr>
            </w:pPr>
          </w:p>
        </w:tc>
      </w:tr>
      <w:tr>
        <w:trPr>
          <w:trHeight w:val="316" w:hRule="atLeast"/>
        </w:trPr>
        <w:tc>
          <w:tcPr>
            <w:tcW w:w="679" w:type="dxa"/>
            <w:vMerge/>
            <w:tcBorders>
              <w:top w:val="nil"/>
              <w:left w:val="nil"/>
              <w:bottom w:val="nil"/>
              <w:right w:val="single" w:sz="8" w:space="0" w:color="BEBEBE"/>
            </w:tcBorders>
          </w:tcPr>
          <w:p>
            <w:pPr>
              <w:rPr>
                <w:sz w:val="2"/>
                <w:szCs w:val="2"/>
              </w:rPr>
            </w:pPr>
          </w:p>
        </w:tc>
        <w:tc>
          <w:tcPr>
            <w:tcW w:w="1209" w:type="dxa"/>
            <w:tcBorders>
              <w:top w:val="single" w:sz="4" w:space="0" w:color="BEBEBE"/>
              <w:left w:val="single" w:sz="8" w:space="0" w:color="BEBEBE"/>
              <w:bottom w:val="single" w:sz="4" w:space="0" w:color="BEBEBE"/>
              <w:right w:val="single" w:sz="4" w:space="0" w:color="BEBEBE"/>
            </w:tcBorders>
            <w:shd w:val="clear" w:color="auto" w:fill="DCE6F0"/>
          </w:tcPr>
          <w:p>
            <w:pPr>
              <w:pStyle w:val="TableParagraph"/>
              <w:spacing w:before="34"/>
              <w:ind w:left="158" w:right="165"/>
              <w:jc w:val="center"/>
              <w:rPr>
                <w:sz w:val="20"/>
              </w:rPr>
            </w:pPr>
            <w:r>
              <w:rPr>
                <w:sz w:val="20"/>
              </w:rPr>
              <w:t>Scenario</w:t>
            </w:r>
            <w:r>
              <w:rPr>
                <w:spacing w:val="-10"/>
                <w:sz w:val="20"/>
              </w:rPr>
              <w:t> 2</w:t>
            </w:r>
          </w:p>
        </w:tc>
        <w:tc>
          <w:tcPr>
            <w:tcW w:w="3551" w:type="dxa"/>
            <w:tcBorders>
              <w:top w:val="single" w:sz="4" w:space="0" w:color="BEBEBE"/>
              <w:left w:val="single" w:sz="4" w:space="0" w:color="BEBEBE"/>
              <w:bottom w:val="single" w:sz="4" w:space="0" w:color="BEBEBE"/>
              <w:right w:val="single" w:sz="4" w:space="0" w:color="BEBEBE"/>
            </w:tcBorders>
          </w:tcPr>
          <w:p>
            <w:pPr>
              <w:pStyle w:val="TableParagraph"/>
              <w:spacing w:before="34"/>
              <w:ind w:left="1577" w:right="1571"/>
              <w:jc w:val="center"/>
              <w:rPr>
                <w:sz w:val="20"/>
              </w:rPr>
            </w:pPr>
            <w:r>
              <w:rPr>
                <w:spacing w:val="-5"/>
                <w:sz w:val="20"/>
              </w:rPr>
              <w:t>90%</w:t>
            </w:r>
          </w:p>
        </w:tc>
        <w:tc>
          <w:tcPr>
            <w:tcW w:w="3239" w:type="dxa"/>
            <w:tcBorders>
              <w:top w:val="single" w:sz="4" w:space="0" w:color="BEBEBE"/>
              <w:left w:val="single" w:sz="4" w:space="0" w:color="BEBEBE"/>
              <w:bottom w:val="single" w:sz="4" w:space="0" w:color="BEBEBE"/>
              <w:right w:val="single" w:sz="8" w:space="0" w:color="BEBEBE"/>
            </w:tcBorders>
          </w:tcPr>
          <w:p>
            <w:pPr>
              <w:pStyle w:val="TableParagraph"/>
              <w:spacing w:before="34"/>
              <w:ind w:left="8"/>
              <w:jc w:val="center"/>
              <w:rPr>
                <w:sz w:val="20"/>
              </w:rPr>
            </w:pPr>
            <w:r>
              <w:rPr>
                <w:w w:val="99"/>
                <w:sz w:val="20"/>
              </w:rPr>
              <w:t>1</w:t>
            </w:r>
          </w:p>
        </w:tc>
        <w:tc>
          <w:tcPr>
            <w:tcW w:w="678" w:type="dxa"/>
            <w:vMerge/>
            <w:tcBorders>
              <w:top w:val="nil"/>
              <w:left w:val="single" w:sz="8" w:space="0" w:color="BEBEBE"/>
              <w:bottom w:val="nil"/>
              <w:right w:val="nil"/>
            </w:tcBorders>
          </w:tcPr>
          <w:p>
            <w:pPr>
              <w:rPr>
                <w:sz w:val="2"/>
                <w:szCs w:val="2"/>
              </w:rPr>
            </w:pPr>
          </w:p>
        </w:tc>
      </w:tr>
      <w:tr>
        <w:trPr>
          <w:trHeight w:val="313" w:hRule="atLeast"/>
        </w:trPr>
        <w:tc>
          <w:tcPr>
            <w:tcW w:w="679" w:type="dxa"/>
            <w:vMerge/>
            <w:tcBorders>
              <w:top w:val="nil"/>
              <w:left w:val="nil"/>
              <w:bottom w:val="nil"/>
              <w:right w:val="single" w:sz="8" w:space="0" w:color="BEBEBE"/>
            </w:tcBorders>
          </w:tcPr>
          <w:p>
            <w:pPr>
              <w:rPr>
                <w:sz w:val="2"/>
                <w:szCs w:val="2"/>
              </w:rPr>
            </w:pPr>
          </w:p>
        </w:tc>
        <w:tc>
          <w:tcPr>
            <w:tcW w:w="1209" w:type="dxa"/>
            <w:tcBorders>
              <w:top w:val="single" w:sz="4" w:space="0" w:color="BEBEBE"/>
              <w:left w:val="single" w:sz="8" w:space="0" w:color="BEBEBE"/>
              <w:bottom w:val="single" w:sz="8" w:space="0" w:color="BEBEBE"/>
              <w:right w:val="single" w:sz="4" w:space="0" w:color="BEBEBE"/>
            </w:tcBorders>
            <w:shd w:val="clear" w:color="auto" w:fill="DCE6F0"/>
          </w:tcPr>
          <w:p>
            <w:pPr>
              <w:pStyle w:val="TableParagraph"/>
              <w:spacing w:before="34"/>
              <w:ind w:left="158" w:right="165"/>
              <w:jc w:val="center"/>
              <w:rPr>
                <w:sz w:val="20"/>
              </w:rPr>
            </w:pPr>
            <w:r>
              <w:rPr>
                <w:sz w:val="20"/>
              </w:rPr>
              <w:t>Scenario</w:t>
            </w:r>
            <w:r>
              <w:rPr>
                <w:spacing w:val="-10"/>
                <w:sz w:val="20"/>
              </w:rPr>
              <w:t> 3</w:t>
            </w:r>
          </w:p>
        </w:tc>
        <w:tc>
          <w:tcPr>
            <w:tcW w:w="3551" w:type="dxa"/>
            <w:tcBorders>
              <w:top w:val="single" w:sz="4" w:space="0" w:color="BEBEBE"/>
              <w:left w:val="single" w:sz="4" w:space="0" w:color="BEBEBE"/>
              <w:bottom w:val="single" w:sz="8" w:space="0" w:color="BEBEBE"/>
              <w:right w:val="single" w:sz="4" w:space="0" w:color="BEBEBE"/>
            </w:tcBorders>
          </w:tcPr>
          <w:p>
            <w:pPr>
              <w:pStyle w:val="TableParagraph"/>
              <w:spacing w:before="34"/>
              <w:ind w:left="1577" w:right="1571"/>
              <w:jc w:val="center"/>
              <w:rPr>
                <w:sz w:val="20"/>
              </w:rPr>
            </w:pPr>
            <w:r>
              <w:rPr>
                <w:spacing w:val="-5"/>
                <w:sz w:val="20"/>
              </w:rPr>
              <w:t>58%</w:t>
            </w:r>
          </w:p>
        </w:tc>
        <w:tc>
          <w:tcPr>
            <w:tcW w:w="3239" w:type="dxa"/>
            <w:tcBorders>
              <w:top w:val="single" w:sz="4" w:space="0" w:color="BEBEBE"/>
              <w:left w:val="single" w:sz="4" w:space="0" w:color="BEBEBE"/>
              <w:bottom w:val="single" w:sz="8" w:space="0" w:color="BEBEBE"/>
              <w:right w:val="single" w:sz="8" w:space="0" w:color="BEBEBE"/>
            </w:tcBorders>
          </w:tcPr>
          <w:p>
            <w:pPr>
              <w:pStyle w:val="TableParagraph"/>
              <w:spacing w:before="34"/>
              <w:ind w:left="1367"/>
              <w:rPr>
                <w:sz w:val="20"/>
              </w:rPr>
            </w:pPr>
            <w:r>
              <w:rPr>
                <w:sz w:val="20"/>
              </w:rPr>
              <w:t>0.37</w:t>
            </w:r>
            <w:r>
              <w:rPr>
                <w:spacing w:val="-1"/>
                <w:sz w:val="20"/>
              </w:rPr>
              <w:t> </w:t>
            </w:r>
            <w:r>
              <w:rPr>
                <w:spacing w:val="-10"/>
                <w:sz w:val="20"/>
              </w:rPr>
              <w:t>*</w:t>
            </w:r>
          </w:p>
        </w:tc>
        <w:tc>
          <w:tcPr>
            <w:tcW w:w="678" w:type="dxa"/>
            <w:vMerge/>
            <w:tcBorders>
              <w:top w:val="nil"/>
              <w:left w:val="single" w:sz="8" w:space="0" w:color="BEBEBE"/>
              <w:bottom w:val="nil"/>
              <w:right w:val="nil"/>
            </w:tcBorders>
          </w:tcPr>
          <w:p>
            <w:pPr>
              <w:rPr>
                <w:sz w:val="2"/>
                <w:szCs w:val="2"/>
              </w:rPr>
            </w:pPr>
          </w:p>
        </w:tc>
      </w:tr>
    </w:tbl>
    <w:p>
      <w:pPr>
        <w:pStyle w:val="BodyText"/>
        <w:spacing w:before="10"/>
        <w:rPr>
          <w:sz w:val="29"/>
        </w:rPr>
      </w:pPr>
    </w:p>
    <w:p>
      <w:pPr>
        <w:spacing w:before="91"/>
        <w:ind w:left="1220" w:right="0" w:firstLine="0"/>
        <w:jc w:val="left"/>
        <w:rPr>
          <w:i/>
          <w:sz w:val="22"/>
        </w:rPr>
      </w:pPr>
      <w:r>
        <w:rPr>
          <w:sz w:val="22"/>
        </w:rPr>
        <w:t>*</w:t>
      </w:r>
      <w:r>
        <w:rPr>
          <w:i/>
          <w:sz w:val="22"/>
        </w:rPr>
        <w:t>Achievement</w:t>
      </w:r>
      <w:r>
        <w:rPr>
          <w:i/>
          <w:spacing w:val="-4"/>
          <w:sz w:val="22"/>
        </w:rPr>
        <w:t> </w:t>
      </w:r>
      <w:r>
        <w:rPr>
          <w:i/>
          <w:sz w:val="22"/>
        </w:rPr>
        <w:t>points</w:t>
      </w:r>
      <w:r>
        <w:rPr>
          <w:i/>
          <w:spacing w:val="-2"/>
          <w:sz w:val="22"/>
        </w:rPr>
        <w:t> </w:t>
      </w:r>
      <w:r>
        <w:rPr>
          <w:i/>
          <w:sz w:val="22"/>
        </w:rPr>
        <w:t>earned</w:t>
      </w:r>
      <w:r>
        <w:rPr>
          <w:i/>
          <w:spacing w:val="-2"/>
          <w:sz w:val="22"/>
        </w:rPr>
        <w:t> </w:t>
      </w:r>
      <w:r>
        <w:rPr>
          <w:i/>
          <w:sz w:val="22"/>
        </w:rPr>
        <w:t>=</w:t>
      </w:r>
      <w:r>
        <w:rPr>
          <w:i/>
          <w:spacing w:val="-2"/>
          <w:sz w:val="22"/>
        </w:rPr>
        <w:t> </w:t>
      </w:r>
      <w:r>
        <w:rPr>
          <w:i/>
          <w:sz w:val="22"/>
        </w:rPr>
        <w:t>1*((58%</w:t>
      </w:r>
      <w:r>
        <w:rPr>
          <w:i/>
          <w:spacing w:val="-9"/>
          <w:sz w:val="22"/>
        </w:rPr>
        <w:t> </w:t>
      </w:r>
      <w:r>
        <w:rPr>
          <w:i/>
          <w:sz w:val="22"/>
        </w:rPr>
        <w:t>-</w:t>
      </w:r>
      <w:r>
        <w:rPr>
          <w:i/>
          <w:spacing w:val="-1"/>
          <w:sz w:val="22"/>
        </w:rPr>
        <w:t> </w:t>
      </w:r>
      <w:r>
        <w:rPr>
          <w:i/>
          <w:sz w:val="22"/>
        </w:rPr>
        <w:t>45%)</w:t>
      </w:r>
      <w:r>
        <w:rPr>
          <w:i/>
          <w:spacing w:val="-4"/>
          <w:sz w:val="22"/>
        </w:rPr>
        <w:t> </w:t>
      </w:r>
      <w:r>
        <w:rPr>
          <w:i/>
          <w:sz w:val="22"/>
        </w:rPr>
        <w:t>/</w:t>
      </w:r>
      <w:r>
        <w:rPr>
          <w:i/>
          <w:spacing w:val="-1"/>
          <w:sz w:val="22"/>
        </w:rPr>
        <w:t> </w:t>
      </w:r>
      <w:r>
        <w:rPr>
          <w:i/>
          <w:sz w:val="22"/>
        </w:rPr>
        <w:t>(80%</w:t>
      </w:r>
      <w:r>
        <w:rPr>
          <w:i/>
          <w:spacing w:val="-6"/>
          <w:sz w:val="22"/>
        </w:rPr>
        <w:t> </w:t>
      </w:r>
      <w:r>
        <w:rPr>
          <w:i/>
          <w:sz w:val="22"/>
        </w:rPr>
        <w:t>-</w:t>
      </w:r>
      <w:r>
        <w:rPr>
          <w:i/>
          <w:spacing w:val="-1"/>
          <w:sz w:val="22"/>
        </w:rPr>
        <w:t> </w:t>
      </w:r>
      <w:r>
        <w:rPr>
          <w:i/>
          <w:sz w:val="22"/>
        </w:rPr>
        <w:t>45%))</w:t>
      </w:r>
      <w:r>
        <w:rPr>
          <w:i/>
          <w:spacing w:val="-4"/>
          <w:sz w:val="22"/>
        </w:rPr>
        <w:t> </w:t>
      </w:r>
      <w:r>
        <w:rPr>
          <w:i/>
          <w:sz w:val="22"/>
        </w:rPr>
        <w:t>=</w:t>
      </w:r>
      <w:r>
        <w:rPr>
          <w:i/>
          <w:spacing w:val="-2"/>
          <w:sz w:val="22"/>
        </w:rPr>
        <w:t> </w:t>
      </w:r>
      <w:r>
        <w:rPr>
          <w:i/>
          <w:sz w:val="22"/>
        </w:rPr>
        <w:t>0.37</w:t>
      </w:r>
      <w:r>
        <w:rPr>
          <w:i/>
          <w:spacing w:val="-2"/>
          <w:sz w:val="22"/>
        </w:rPr>
        <w:t> points</w:t>
      </w:r>
    </w:p>
    <w:p>
      <w:pPr>
        <w:pStyle w:val="BodyText"/>
        <w:spacing w:before="11"/>
        <w:rPr>
          <w:i/>
          <w:sz w:val="11"/>
        </w:rPr>
      </w:pPr>
      <w:r>
        <w:rPr/>
        <mc:AlternateContent>
          <mc:Choice Requires="wps">
            <w:drawing>
              <wp:anchor distT="0" distB="0" distL="0" distR="0" allowOverlap="1" layoutInCell="1" locked="0" behindDoc="1" simplePos="0" relativeHeight="488022016">
                <wp:simplePos x="0" y="0"/>
                <wp:positionH relativeFrom="page">
                  <wp:posOffset>905255</wp:posOffset>
                </wp:positionH>
                <wp:positionV relativeFrom="paragraph">
                  <wp:posOffset>102711</wp:posOffset>
                </wp:positionV>
                <wp:extent cx="5953125" cy="6350"/>
                <wp:effectExtent l="0" t="0" r="0" b="0"/>
                <wp:wrapTopAndBottom/>
                <wp:docPr id="921" name="Graphic 921"/>
                <wp:cNvGraphicFramePr>
                  <a:graphicFrameLocks/>
                </wp:cNvGraphicFramePr>
                <a:graphic>
                  <a:graphicData uri="http://schemas.microsoft.com/office/word/2010/wordprocessingShape">
                    <wps:wsp>
                      <wps:cNvPr id="921" name="Graphic 921"/>
                      <wps:cNvSpPr/>
                      <wps:spPr>
                        <a:xfrm>
                          <a:off x="0" y="0"/>
                          <a:ext cx="5953125" cy="6350"/>
                        </a:xfrm>
                        <a:custGeom>
                          <a:avLst/>
                          <a:gdLst/>
                          <a:ahLst/>
                          <a:cxnLst/>
                          <a:rect l="l" t="t" r="r" b="b"/>
                          <a:pathLst>
                            <a:path w="5953125" h="6350">
                              <a:moveTo>
                                <a:pt x="5952744" y="0"/>
                              </a:moveTo>
                              <a:lnTo>
                                <a:pt x="0" y="0"/>
                              </a:lnTo>
                              <a:lnTo>
                                <a:pt x="0" y="6096"/>
                              </a:lnTo>
                              <a:lnTo>
                                <a:pt x="5952744" y="6096"/>
                              </a:lnTo>
                              <a:lnTo>
                                <a:pt x="5952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1.279999pt;margin-top:8.087490pt;width:468.72pt;height:.48pt;mso-position-horizontal-relative:page;mso-position-vertical-relative:paragraph;z-index:-15294464;mso-wrap-distance-left:0;mso-wrap-distance-right:0" id="docshape138" filled="true" fillcolor="#000000" stroked="false">
                <v:fill type="solid"/>
                <w10:wrap type="topAndBottom"/>
              </v:rect>
            </w:pict>
          </mc:Fallback>
        </mc:AlternateContent>
      </w:r>
    </w:p>
    <w:p>
      <w:pPr>
        <w:pStyle w:val="BodyText"/>
        <w:spacing w:before="2"/>
        <w:rPr>
          <w:i/>
          <w:sz w:val="9"/>
        </w:rPr>
      </w:pPr>
    </w:p>
    <w:p>
      <w:pPr>
        <w:pStyle w:val="ListParagraph"/>
        <w:numPr>
          <w:ilvl w:val="3"/>
          <w:numId w:val="77"/>
        </w:numPr>
        <w:tabs>
          <w:tab w:pos="1939" w:val="left" w:leader="none"/>
        </w:tabs>
        <w:spacing w:line="252" w:lineRule="exact" w:before="92" w:after="0"/>
        <w:ind w:left="1939" w:right="0" w:hanging="719"/>
        <w:jc w:val="left"/>
        <w:rPr>
          <w:b/>
          <w:i/>
          <w:color w:val="4471C4"/>
          <w:sz w:val="22"/>
        </w:rPr>
      </w:pPr>
      <w:bookmarkStart w:name="5.4.4.2 Calculating the Domain Score" w:id="1424"/>
      <w:bookmarkEnd w:id="1424"/>
      <w:r>
        <w:rPr/>
      </w:r>
      <w:r>
        <w:rPr>
          <w:b/>
          <w:i/>
          <w:color w:val="4471C4"/>
          <w:sz w:val="22"/>
        </w:rPr>
        <w:t>Calculating</w:t>
      </w:r>
      <w:r>
        <w:rPr>
          <w:b/>
          <w:i/>
          <w:color w:val="4471C4"/>
          <w:spacing w:val="-4"/>
          <w:sz w:val="22"/>
        </w:rPr>
        <w:t> </w:t>
      </w:r>
      <w:r>
        <w:rPr>
          <w:b/>
          <w:i/>
          <w:color w:val="4471C4"/>
          <w:sz w:val="22"/>
        </w:rPr>
        <w:t>the</w:t>
      </w:r>
      <w:r>
        <w:rPr>
          <w:b/>
          <w:i/>
          <w:color w:val="4471C4"/>
          <w:spacing w:val="-3"/>
          <w:sz w:val="22"/>
        </w:rPr>
        <w:t> </w:t>
      </w:r>
      <w:r>
        <w:rPr>
          <w:b/>
          <w:i/>
          <w:color w:val="4471C4"/>
          <w:sz w:val="22"/>
        </w:rPr>
        <w:t>Domain</w:t>
      </w:r>
      <w:r>
        <w:rPr>
          <w:b/>
          <w:i/>
          <w:color w:val="4471C4"/>
          <w:spacing w:val="-4"/>
          <w:sz w:val="22"/>
        </w:rPr>
        <w:t> Score</w:t>
      </w:r>
    </w:p>
    <w:p>
      <w:pPr>
        <w:spacing w:line="244" w:lineRule="auto" w:before="0"/>
        <w:ind w:left="1220" w:right="1111" w:firstLine="0"/>
        <w:jc w:val="left"/>
        <w:rPr>
          <w:sz w:val="22"/>
        </w:rPr>
      </w:pPr>
      <w:r>
        <w:rPr>
          <w:sz w:val="22"/>
        </w:rPr>
        <w:t>Each Quality Domain comprises several Quality Measures. For each CP or CSA, the State will calculate the average achievement points for all Quality Measures in each Quality Domain.</w:t>
      </w:r>
    </w:p>
    <w:p>
      <w:pPr>
        <w:spacing w:line="388" w:lineRule="auto" w:before="153"/>
        <w:ind w:left="1220" w:right="1111" w:firstLine="0"/>
        <w:jc w:val="left"/>
        <w:rPr>
          <w:sz w:val="22"/>
        </w:rPr>
      </w:pPr>
      <w:r>
        <w:rPr/>
        <mc:AlternateContent>
          <mc:Choice Requires="wps">
            <w:drawing>
              <wp:anchor distT="0" distB="0" distL="0" distR="0" allowOverlap="1" layoutInCell="1" locked="0" behindDoc="0" simplePos="0" relativeHeight="16163328">
                <wp:simplePos x="0" y="0"/>
                <wp:positionH relativeFrom="page">
                  <wp:posOffset>867155</wp:posOffset>
                </wp:positionH>
                <wp:positionV relativeFrom="paragraph">
                  <wp:posOffset>512554</wp:posOffset>
                </wp:positionV>
                <wp:extent cx="6029325" cy="1257300"/>
                <wp:effectExtent l="0" t="0" r="0" b="0"/>
                <wp:wrapNone/>
                <wp:docPr id="922" name="Textbox 922"/>
                <wp:cNvGraphicFramePr>
                  <a:graphicFrameLocks/>
                </wp:cNvGraphicFramePr>
                <a:graphic>
                  <a:graphicData uri="http://schemas.microsoft.com/office/word/2010/wordprocessingShape">
                    <wps:wsp>
                      <wps:cNvPr id="922" name="Textbox 922"/>
                      <wps:cNvSpPr txBox="1"/>
                      <wps:spPr>
                        <a:xfrm>
                          <a:off x="0" y="0"/>
                          <a:ext cx="6029325" cy="1257300"/>
                        </a:xfrm>
                        <a:prstGeom prst="rect">
                          <a:avLst/>
                        </a:prstGeom>
                      </wps:spPr>
                      <wps:txbx>
                        <w:txbxContent>
                          <w:tbl>
                            <w:tblPr>
                              <w:tblW w:w="0" w:type="auto"/>
                              <w:jc w:val="left"/>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8"/>
                              <w:gridCol w:w="1900"/>
                              <w:gridCol w:w="1480"/>
                              <w:gridCol w:w="1478"/>
                              <w:gridCol w:w="1480"/>
                              <w:gridCol w:w="1900"/>
                              <w:gridCol w:w="554"/>
                            </w:tblGrid>
                            <w:tr>
                              <w:trPr>
                                <w:trHeight w:val="378" w:hRule="atLeast"/>
                              </w:trPr>
                              <w:tc>
                                <w:tcPr>
                                  <w:tcW w:w="578" w:type="dxa"/>
                                  <w:vMerge w:val="restart"/>
                                  <w:tcBorders>
                                    <w:left w:val="nil"/>
                                    <w:right w:val="single" w:sz="8" w:space="0" w:color="BEBEBE"/>
                                  </w:tcBorders>
                                </w:tcPr>
                                <w:p>
                                  <w:pPr>
                                    <w:pStyle w:val="TableParagraph"/>
                                    <w:rPr>
                                      <w:sz w:val="20"/>
                                    </w:rPr>
                                  </w:pPr>
                                </w:p>
                              </w:tc>
                              <w:tc>
                                <w:tcPr>
                                  <w:tcW w:w="8238" w:type="dxa"/>
                                  <w:gridSpan w:val="5"/>
                                  <w:tcBorders>
                                    <w:left w:val="single" w:sz="8" w:space="0" w:color="BEBEBE"/>
                                    <w:bottom w:val="single" w:sz="4" w:space="0" w:color="BEBEBE"/>
                                    <w:right w:val="nil"/>
                                  </w:tcBorders>
                                  <w:shd w:val="clear" w:color="auto" w:fill="1F487C"/>
                                </w:tcPr>
                                <w:p>
                                  <w:pPr>
                                    <w:pStyle w:val="TableParagraph"/>
                                    <w:spacing w:before="2"/>
                                    <w:ind w:left="825"/>
                                    <w:rPr>
                                      <w:b/>
                                      <w:sz w:val="20"/>
                                    </w:rPr>
                                  </w:pPr>
                                  <w:r>
                                    <w:rPr>
                                      <w:b/>
                                      <w:color w:val="FFFFFF"/>
                                      <w:sz w:val="20"/>
                                    </w:rPr>
                                    <w:t>Example</w:t>
                                  </w:r>
                                  <w:r>
                                    <w:rPr>
                                      <w:b/>
                                      <w:color w:val="FFFFFF"/>
                                      <w:spacing w:val="-5"/>
                                      <w:sz w:val="20"/>
                                    </w:rPr>
                                    <w:t> </w:t>
                                  </w:r>
                                  <w:r>
                                    <w:rPr>
                                      <w:b/>
                                      <w:color w:val="FFFFFF"/>
                                      <w:sz w:val="20"/>
                                    </w:rPr>
                                    <w:t>Calculation</w:t>
                                  </w:r>
                                  <w:r>
                                    <w:rPr>
                                      <w:b/>
                                      <w:color w:val="FFFFFF"/>
                                      <w:spacing w:val="-5"/>
                                      <w:sz w:val="20"/>
                                    </w:rPr>
                                    <w:t> </w:t>
                                  </w:r>
                                  <w:r>
                                    <w:rPr>
                                      <w:b/>
                                      <w:color w:val="FFFFFF"/>
                                      <w:sz w:val="20"/>
                                    </w:rPr>
                                    <w:t>of</w:t>
                                  </w:r>
                                  <w:r>
                                    <w:rPr>
                                      <w:b/>
                                      <w:color w:val="FFFFFF"/>
                                      <w:spacing w:val="-4"/>
                                      <w:sz w:val="20"/>
                                    </w:rPr>
                                    <w:t> </w:t>
                                  </w:r>
                                  <w:r>
                                    <w:rPr>
                                      <w:b/>
                                      <w:color w:val="FFFFFF"/>
                                      <w:sz w:val="20"/>
                                    </w:rPr>
                                    <w:t>a</w:t>
                                  </w:r>
                                  <w:r>
                                    <w:rPr>
                                      <w:b/>
                                      <w:color w:val="FFFFFF"/>
                                      <w:spacing w:val="-5"/>
                                      <w:sz w:val="20"/>
                                    </w:rPr>
                                    <w:t> </w:t>
                                  </w:r>
                                  <w:r>
                                    <w:rPr>
                                      <w:b/>
                                      <w:color w:val="FFFFFF"/>
                                      <w:sz w:val="20"/>
                                    </w:rPr>
                                    <w:t>CP's</w:t>
                                  </w:r>
                                  <w:r>
                                    <w:rPr>
                                      <w:b/>
                                      <w:color w:val="FFFFFF"/>
                                      <w:spacing w:val="-5"/>
                                      <w:sz w:val="20"/>
                                    </w:rPr>
                                    <w:t> </w:t>
                                  </w:r>
                                  <w:r>
                                    <w:rPr>
                                      <w:b/>
                                      <w:color w:val="FFFFFF"/>
                                      <w:sz w:val="20"/>
                                    </w:rPr>
                                    <w:t>or</w:t>
                                  </w:r>
                                  <w:r>
                                    <w:rPr>
                                      <w:b/>
                                      <w:color w:val="FFFFFF"/>
                                      <w:spacing w:val="-5"/>
                                      <w:sz w:val="20"/>
                                    </w:rPr>
                                    <w:t> </w:t>
                                  </w:r>
                                  <w:r>
                                    <w:rPr>
                                      <w:b/>
                                      <w:color w:val="FFFFFF"/>
                                      <w:sz w:val="20"/>
                                    </w:rPr>
                                    <w:t>CSA's</w:t>
                                  </w:r>
                                  <w:r>
                                    <w:rPr>
                                      <w:b/>
                                      <w:color w:val="FFFFFF"/>
                                      <w:spacing w:val="-6"/>
                                      <w:sz w:val="20"/>
                                    </w:rPr>
                                    <w:t> </w:t>
                                  </w:r>
                                  <w:r>
                                    <w:rPr>
                                      <w:b/>
                                      <w:color w:val="FFFFFF"/>
                                      <w:sz w:val="20"/>
                                    </w:rPr>
                                    <w:t>Domain</w:t>
                                  </w:r>
                                  <w:r>
                                    <w:rPr>
                                      <w:b/>
                                      <w:color w:val="FFFFFF"/>
                                      <w:spacing w:val="-3"/>
                                      <w:sz w:val="20"/>
                                    </w:rPr>
                                    <w:t> </w:t>
                                  </w:r>
                                  <w:r>
                                    <w:rPr>
                                      <w:b/>
                                      <w:color w:val="FFFFFF"/>
                                      <w:sz w:val="20"/>
                                    </w:rPr>
                                    <w:t>Score</w:t>
                                  </w:r>
                                  <w:r>
                                    <w:rPr>
                                      <w:b/>
                                      <w:color w:val="FFFFFF"/>
                                      <w:spacing w:val="-5"/>
                                      <w:sz w:val="20"/>
                                    </w:rPr>
                                    <w:t> </w:t>
                                  </w:r>
                                  <w:r>
                                    <w:rPr>
                                      <w:b/>
                                      <w:color w:val="FFFFFF"/>
                                      <w:sz w:val="20"/>
                                    </w:rPr>
                                    <w:t>for</w:t>
                                  </w:r>
                                  <w:r>
                                    <w:rPr>
                                      <w:b/>
                                      <w:color w:val="FFFFFF"/>
                                      <w:spacing w:val="-5"/>
                                      <w:sz w:val="20"/>
                                    </w:rPr>
                                    <w:t> </w:t>
                                  </w:r>
                                  <w:r>
                                    <w:rPr>
                                      <w:b/>
                                      <w:color w:val="FFFFFF"/>
                                      <w:sz w:val="20"/>
                                    </w:rPr>
                                    <w:t>a</w:t>
                                  </w:r>
                                  <w:r>
                                    <w:rPr>
                                      <w:b/>
                                      <w:color w:val="FFFFFF"/>
                                      <w:spacing w:val="-4"/>
                                      <w:sz w:val="20"/>
                                    </w:rPr>
                                    <w:t> </w:t>
                                  </w:r>
                                  <w:r>
                                    <w:rPr>
                                      <w:b/>
                                      <w:color w:val="FFFFFF"/>
                                      <w:sz w:val="20"/>
                                    </w:rPr>
                                    <w:t>Quality</w:t>
                                  </w:r>
                                  <w:r>
                                    <w:rPr>
                                      <w:b/>
                                      <w:color w:val="FFFFFF"/>
                                      <w:spacing w:val="-4"/>
                                      <w:sz w:val="20"/>
                                    </w:rPr>
                                    <w:t> </w:t>
                                  </w:r>
                                  <w:r>
                                    <w:rPr>
                                      <w:b/>
                                      <w:color w:val="FFFFFF"/>
                                      <w:spacing w:val="-2"/>
                                      <w:sz w:val="20"/>
                                    </w:rPr>
                                    <w:t>Domain</w:t>
                                  </w:r>
                                </w:p>
                              </w:tc>
                              <w:tc>
                                <w:tcPr>
                                  <w:tcW w:w="554" w:type="dxa"/>
                                  <w:vMerge w:val="restart"/>
                                  <w:tcBorders>
                                    <w:left w:val="nil"/>
                                    <w:right w:val="nil"/>
                                  </w:tcBorders>
                                </w:tcPr>
                                <w:p>
                                  <w:pPr>
                                    <w:pStyle w:val="TableParagraph"/>
                                    <w:rPr>
                                      <w:sz w:val="20"/>
                                    </w:rPr>
                                  </w:pPr>
                                </w:p>
                              </w:tc>
                            </w:tr>
                            <w:tr>
                              <w:trPr>
                                <w:trHeight w:val="520" w:hRule="atLeast"/>
                              </w:trPr>
                              <w:tc>
                                <w:tcPr>
                                  <w:tcW w:w="578" w:type="dxa"/>
                                  <w:vMerge/>
                                  <w:tcBorders>
                                    <w:top w:val="nil"/>
                                    <w:left w:val="nil"/>
                                    <w:right w:val="single" w:sz="8" w:space="0" w:color="BEBEBE"/>
                                  </w:tcBorders>
                                </w:tcPr>
                                <w:p>
                                  <w:pPr>
                                    <w:rPr>
                                      <w:sz w:val="2"/>
                                      <w:szCs w:val="2"/>
                                    </w:rPr>
                                  </w:pPr>
                                </w:p>
                              </w:tc>
                              <w:tc>
                                <w:tcPr>
                                  <w:tcW w:w="1900"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ind w:left="249" w:right="248"/>
                                    <w:jc w:val="center"/>
                                    <w:rPr>
                                      <w:b/>
                                      <w:sz w:val="20"/>
                                    </w:rPr>
                                  </w:pPr>
                                  <w:r>
                                    <w:rPr>
                                      <w:b/>
                                      <w:sz w:val="20"/>
                                    </w:rPr>
                                    <w:t>Measures</w:t>
                                  </w:r>
                                  <w:r>
                                    <w:rPr>
                                      <w:b/>
                                      <w:spacing w:val="-10"/>
                                      <w:sz w:val="20"/>
                                    </w:rPr>
                                    <w:t> </w:t>
                                  </w:r>
                                  <w:r>
                                    <w:rPr>
                                      <w:b/>
                                      <w:spacing w:val="-5"/>
                                      <w:sz w:val="20"/>
                                    </w:rPr>
                                    <w:t>in</w:t>
                                  </w:r>
                                </w:p>
                                <w:p>
                                  <w:pPr>
                                    <w:pStyle w:val="TableParagraph"/>
                                    <w:spacing w:before="20"/>
                                    <w:ind w:left="249" w:right="249"/>
                                    <w:jc w:val="center"/>
                                    <w:rPr>
                                      <w:b/>
                                      <w:sz w:val="20"/>
                                    </w:rPr>
                                  </w:pPr>
                                  <w:r>
                                    <w:rPr>
                                      <w:b/>
                                      <w:sz w:val="20"/>
                                    </w:rPr>
                                    <w:t>Quality</w:t>
                                  </w:r>
                                  <w:r>
                                    <w:rPr>
                                      <w:b/>
                                      <w:spacing w:val="-10"/>
                                      <w:sz w:val="20"/>
                                    </w:rPr>
                                    <w:t> </w:t>
                                  </w:r>
                                  <w:r>
                                    <w:rPr>
                                      <w:b/>
                                      <w:spacing w:val="-2"/>
                                      <w:sz w:val="20"/>
                                    </w:rPr>
                                    <w:t>Domain</w:t>
                                  </w:r>
                                </w:p>
                              </w:tc>
                              <w:tc>
                                <w:tcPr>
                                  <w:tcW w:w="1480"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ind w:left="248"/>
                                    <w:rPr>
                                      <w:b/>
                                      <w:sz w:val="20"/>
                                    </w:rPr>
                                  </w:pPr>
                                  <w:r>
                                    <w:rPr>
                                      <w:b/>
                                      <w:spacing w:val="-2"/>
                                      <w:sz w:val="20"/>
                                    </w:rPr>
                                    <w:t>Attainment</w:t>
                                  </w:r>
                                </w:p>
                                <w:p>
                                  <w:pPr>
                                    <w:pStyle w:val="TableParagraph"/>
                                    <w:spacing w:before="20"/>
                                    <w:ind w:left="296"/>
                                    <w:rPr>
                                      <w:b/>
                                      <w:sz w:val="20"/>
                                    </w:rPr>
                                  </w:pPr>
                                  <w:r>
                                    <w:rPr>
                                      <w:b/>
                                      <w:spacing w:val="-2"/>
                                      <w:sz w:val="20"/>
                                    </w:rPr>
                                    <w:t>Threshold</w:t>
                                  </w:r>
                                </w:p>
                              </w:tc>
                              <w:tc>
                                <w:tcPr>
                                  <w:tcW w:w="1478"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before="1"/>
                                    <w:ind w:left="225" w:right="220"/>
                                    <w:jc w:val="center"/>
                                    <w:rPr>
                                      <w:b/>
                                      <w:sz w:val="22"/>
                                    </w:rPr>
                                  </w:pPr>
                                  <w:r>
                                    <w:rPr>
                                      <w:b/>
                                      <w:spacing w:val="-4"/>
                                      <w:sz w:val="22"/>
                                    </w:rPr>
                                    <w:t>Goal</w:t>
                                  </w:r>
                                </w:p>
                                <w:p>
                                  <w:pPr>
                                    <w:pStyle w:val="TableParagraph"/>
                                    <w:spacing w:line="227" w:lineRule="exact" w:before="20"/>
                                    <w:ind w:left="225" w:right="221"/>
                                    <w:jc w:val="center"/>
                                    <w:rPr>
                                      <w:b/>
                                      <w:sz w:val="20"/>
                                    </w:rPr>
                                  </w:pPr>
                                  <w:r>
                                    <w:rPr>
                                      <w:b/>
                                      <w:spacing w:val="-2"/>
                                      <w:sz w:val="20"/>
                                    </w:rPr>
                                    <w:t>Benchmark</w:t>
                                  </w:r>
                                </w:p>
                              </w:tc>
                              <w:tc>
                                <w:tcPr>
                                  <w:tcW w:w="1480"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ind w:left="172" w:right="169"/>
                                    <w:jc w:val="center"/>
                                    <w:rPr>
                                      <w:b/>
                                      <w:sz w:val="20"/>
                                    </w:rPr>
                                  </w:pPr>
                                  <w:r>
                                    <w:rPr>
                                      <w:b/>
                                      <w:spacing w:val="-2"/>
                                      <w:sz w:val="20"/>
                                    </w:rPr>
                                    <w:t>Performance</w:t>
                                  </w:r>
                                </w:p>
                                <w:p>
                                  <w:pPr>
                                    <w:pStyle w:val="TableParagraph"/>
                                    <w:spacing w:before="20"/>
                                    <w:ind w:left="172" w:right="167"/>
                                    <w:jc w:val="center"/>
                                    <w:rPr>
                                      <w:b/>
                                      <w:sz w:val="20"/>
                                    </w:rPr>
                                  </w:pPr>
                                  <w:r>
                                    <w:rPr>
                                      <w:b/>
                                      <w:spacing w:val="-2"/>
                                      <w:sz w:val="20"/>
                                    </w:rPr>
                                    <w:t>Score</w:t>
                                  </w:r>
                                </w:p>
                              </w:tc>
                              <w:tc>
                                <w:tcPr>
                                  <w:tcW w:w="1900"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ind w:left="394"/>
                                    <w:rPr>
                                      <w:b/>
                                      <w:sz w:val="20"/>
                                    </w:rPr>
                                  </w:pPr>
                                  <w:r>
                                    <w:rPr>
                                      <w:b/>
                                      <w:spacing w:val="-2"/>
                                      <w:sz w:val="20"/>
                                    </w:rPr>
                                    <w:t>Achievement</w:t>
                                  </w:r>
                                </w:p>
                                <w:p>
                                  <w:pPr>
                                    <w:pStyle w:val="TableParagraph"/>
                                    <w:spacing w:before="20"/>
                                    <w:ind w:left="338"/>
                                    <w:rPr>
                                      <w:b/>
                                      <w:sz w:val="20"/>
                                    </w:rPr>
                                  </w:pPr>
                                  <w:r>
                                    <w:rPr>
                                      <w:b/>
                                      <w:sz w:val="20"/>
                                    </w:rPr>
                                    <w:t>Points</w:t>
                                  </w:r>
                                  <w:r>
                                    <w:rPr>
                                      <w:b/>
                                      <w:spacing w:val="-8"/>
                                      <w:sz w:val="20"/>
                                    </w:rPr>
                                    <w:t> </w:t>
                                  </w:r>
                                  <w:r>
                                    <w:rPr>
                                      <w:b/>
                                      <w:spacing w:val="-2"/>
                                      <w:sz w:val="20"/>
                                    </w:rPr>
                                    <w:t>Earned</w:t>
                                  </w:r>
                                </w:p>
                              </w:tc>
                              <w:tc>
                                <w:tcPr>
                                  <w:tcW w:w="554" w:type="dxa"/>
                                  <w:vMerge/>
                                  <w:tcBorders>
                                    <w:top w:val="nil"/>
                                    <w:left w:val="nil"/>
                                    <w:right w:val="nil"/>
                                  </w:tcBorders>
                                </w:tcPr>
                                <w:p>
                                  <w:pPr>
                                    <w:rPr>
                                      <w:sz w:val="2"/>
                                      <w:szCs w:val="2"/>
                                    </w:rPr>
                                  </w:pPr>
                                </w:p>
                              </w:tc>
                            </w:tr>
                            <w:tr>
                              <w:trPr>
                                <w:trHeight w:val="249" w:hRule="atLeast"/>
                              </w:trPr>
                              <w:tc>
                                <w:tcPr>
                                  <w:tcW w:w="578" w:type="dxa"/>
                                  <w:vMerge/>
                                  <w:tcBorders>
                                    <w:top w:val="nil"/>
                                    <w:left w:val="nil"/>
                                    <w:right w:val="single" w:sz="8" w:space="0" w:color="BEBEBE"/>
                                  </w:tcBorders>
                                </w:tcPr>
                                <w:p>
                                  <w:pPr>
                                    <w:rPr>
                                      <w:sz w:val="2"/>
                                      <w:szCs w:val="2"/>
                                    </w:rPr>
                                  </w:pPr>
                                </w:p>
                              </w:tc>
                              <w:tc>
                                <w:tcPr>
                                  <w:tcW w:w="1900" w:type="dxa"/>
                                  <w:tcBorders>
                                    <w:top w:val="single" w:sz="4" w:space="0" w:color="BEBEBE"/>
                                    <w:left w:val="single" w:sz="8" w:space="0" w:color="BEBEBE"/>
                                    <w:bottom w:val="single" w:sz="4" w:space="0" w:color="BEBEBE"/>
                                    <w:right w:val="single" w:sz="4" w:space="0" w:color="BEBEBE"/>
                                  </w:tcBorders>
                                  <w:shd w:val="clear" w:color="auto" w:fill="DCE6F0"/>
                                </w:tcPr>
                                <w:p>
                                  <w:pPr>
                                    <w:pStyle w:val="TableParagraph"/>
                                    <w:spacing w:line="227" w:lineRule="exact" w:before="2"/>
                                    <w:ind w:left="98"/>
                                    <w:rPr>
                                      <w:sz w:val="20"/>
                                    </w:rPr>
                                  </w:pPr>
                                  <w:r>
                                    <w:rPr>
                                      <w:sz w:val="20"/>
                                    </w:rPr>
                                    <w:t>Measure</w:t>
                                  </w:r>
                                  <w:r>
                                    <w:rPr>
                                      <w:spacing w:val="-7"/>
                                      <w:sz w:val="20"/>
                                    </w:rPr>
                                    <w:t> </w:t>
                                  </w:r>
                                  <w:r>
                                    <w:rPr>
                                      <w:spacing w:val="-10"/>
                                      <w:sz w:val="20"/>
                                    </w:rPr>
                                    <w:t>A</w:t>
                                  </w:r>
                                </w:p>
                              </w:tc>
                              <w:tc>
                                <w:tcPr>
                                  <w:tcW w:w="1480" w:type="dxa"/>
                                  <w:tcBorders>
                                    <w:top w:val="single" w:sz="4" w:space="0" w:color="BEBEBE"/>
                                    <w:left w:val="single" w:sz="4" w:space="0" w:color="BEBEBE"/>
                                    <w:bottom w:val="single" w:sz="4" w:space="0" w:color="BEBEBE"/>
                                    <w:right w:val="single" w:sz="4" w:space="0" w:color="BEBEBE"/>
                                  </w:tcBorders>
                                </w:tcPr>
                                <w:p>
                                  <w:pPr>
                                    <w:pStyle w:val="TableParagraph"/>
                                    <w:spacing w:line="227" w:lineRule="exact" w:before="2"/>
                                    <w:ind w:left="172" w:right="168"/>
                                    <w:jc w:val="center"/>
                                    <w:rPr>
                                      <w:sz w:val="20"/>
                                    </w:rPr>
                                  </w:pPr>
                                  <w:r>
                                    <w:rPr>
                                      <w:spacing w:val="-5"/>
                                      <w:sz w:val="20"/>
                                    </w:rPr>
                                    <w:t>45%</w:t>
                                  </w:r>
                                </w:p>
                              </w:tc>
                              <w:tc>
                                <w:tcPr>
                                  <w:tcW w:w="1478" w:type="dxa"/>
                                  <w:tcBorders>
                                    <w:top w:val="single" w:sz="4" w:space="0" w:color="BEBEBE"/>
                                    <w:left w:val="single" w:sz="4" w:space="0" w:color="BEBEBE"/>
                                    <w:bottom w:val="single" w:sz="4" w:space="0" w:color="BEBEBE"/>
                                    <w:right w:val="single" w:sz="4" w:space="0" w:color="BEBEBE"/>
                                  </w:tcBorders>
                                </w:tcPr>
                                <w:p>
                                  <w:pPr>
                                    <w:pStyle w:val="TableParagraph"/>
                                    <w:spacing w:line="227" w:lineRule="exact" w:before="2"/>
                                    <w:ind w:left="225" w:right="217"/>
                                    <w:jc w:val="center"/>
                                    <w:rPr>
                                      <w:sz w:val="20"/>
                                    </w:rPr>
                                  </w:pPr>
                                  <w:r>
                                    <w:rPr>
                                      <w:spacing w:val="-5"/>
                                      <w:sz w:val="20"/>
                                    </w:rPr>
                                    <w:t>80%</w:t>
                                  </w:r>
                                </w:p>
                              </w:tc>
                              <w:tc>
                                <w:tcPr>
                                  <w:tcW w:w="1480" w:type="dxa"/>
                                  <w:tcBorders>
                                    <w:top w:val="single" w:sz="4" w:space="0" w:color="BEBEBE"/>
                                    <w:left w:val="single" w:sz="4" w:space="0" w:color="BEBEBE"/>
                                    <w:bottom w:val="single" w:sz="4" w:space="0" w:color="BEBEBE"/>
                                    <w:right w:val="single" w:sz="4" w:space="0" w:color="BEBEBE"/>
                                  </w:tcBorders>
                                </w:tcPr>
                                <w:p>
                                  <w:pPr>
                                    <w:pStyle w:val="TableParagraph"/>
                                    <w:spacing w:line="227" w:lineRule="exact" w:before="2"/>
                                    <w:ind w:left="172" w:right="165"/>
                                    <w:jc w:val="center"/>
                                    <w:rPr>
                                      <w:sz w:val="20"/>
                                    </w:rPr>
                                  </w:pPr>
                                  <w:r>
                                    <w:rPr>
                                      <w:spacing w:val="-5"/>
                                      <w:sz w:val="20"/>
                                    </w:rPr>
                                    <w:t>58%</w:t>
                                  </w:r>
                                </w:p>
                              </w:tc>
                              <w:tc>
                                <w:tcPr>
                                  <w:tcW w:w="1900" w:type="dxa"/>
                                  <w:tcBorders>
                                    <w:top w:val="single" w:sz="4" w:space="0" w:color="BEBEBE"/>
                                    <w:left w:val="single" w:sz="4" w:space="0" w:color="BEBEBE"/>
                                    <w:bottom w:val="single" w:sz="4" w:space="0" w:color="BEBEBE"/>
                                    <w:right w:val="single" w:sz="8" w:space="0" w:color="BEBEBE"/>
                                  </w:tcBorders>
                                </w:tcPr>
                                <w:p>
                                  <w:pPr>
                                    <w:pStyle w:val="TableParagraph"/>
                                    <w:spacing w:line="227" w:lineRule="exact" w:before="2"/>
                                    <w:ind w:left="323" w:right="309"/>
                                    <w:jc w:val="center"/>
                                    <w:rPr>
                                      <w:sz w:val="20"/>
                                    </w:rPr>
                                  </w:pPr>
                                  <w:r>
                                    <w:rPr>
                                      <w:spacing w:val="-4"/>
                                      <w:sz w:val="20"/>
                                    </w:rPr>
                                    <w:t>0.37</w:t>
                                  </w:r>
                                </w:p>
                              </w:tc>
                              <w:tc>
                                <w:tcPr>
                                  <w:tcW w:w="554" w:type="dxa"/>
                                  <w:vMerge/>
                                  <w:tcBorders>
                                    <w:top w:val="nil"/>
                                    <w:left w:val="nil"/>
                                    <w:right w:val="nil"/>
                                  </w:tcBorders>
                                </w:tcPr>
                                <w:p>
                                  <w:pPr>
                                    <w:rPr>
                                      <w:sz w:val="2"/>
                                      <w:szCs w:val="2"/>
                                    </w:rPr>
                                  </w:pPr>
                                </w:p>
                              </w:tc>
                            </w:tr>
                            <w:tr>
                              <w:trPr>
                                <w:trHeight w:val="249" w:hRule="atLeast"/>
                              </w:trPr>
                              <w:tc>
                                <w:tcPr>
                                  <w:tcW w:w="578" w:type="dxa"/>
                                  <w:vMerge/>
                                  <w:tcBorders>
                                    <w:top w:val="nil"/>
                                    <w:left w:val="nil"/>
                                    <w:right w:val="single" w:sz="8" w:space="0" w:color="BEBEBE"/>
                                  </w:tcBorders>
                                </w:tcPr>
                                <w:p>
                                  <w:pPr>
                                    <w:rPr>
                                      <w:sz w:val="2"/>
                                      <w:szCs w:val="2"/>
                                    </w:rPr>
                                  </w:pPr>
                                </w:p>
                              </w:tc>
                              <w:tc>
                                <w:tcPr>
                                  <w:tcW w:w="1900" w:type="dxa"/>
                                  <w:tcBorders>
                                    <w:top w:val="single" w:sz="4" w:space="0" w:color="BEBEBE"/>
                                    <w:left w:val="single" w:sz="8" w:space="0" w:color="BEBEBE"/>
                                    <w:bottom w:val="single" w:sz="4" w:space="0" w:color="BEBEBE"/>
                                    <w:right w:val="single" w:sz="4" w:space="0" w:color="BEBEBE"/>
                                  </w:tcBorders>
                                  <w:shd w:val="clear" w:color="auto" w:fill="DCE6F0"/>
                                </w:tcPr>
                                <w:p>
                                  <w:pPr>
                                    <w:pStyle w:val="TableParagraph"/>
                                    <w:spacing w:line="229" w:lineRule="exact"/>
                                    <w:ind w:left="98"/>
                                    <w:rPr>
                                      <w:sz w:val="20"/>
                                    </w:rPr>
                                  </w:pPr>
                                  <w:r>
                                    <w:rPr>
                                      <w:sz w:val="20"/>
                                    </w:rPr>
                                    <w:t>Measure</w:t>
                                  </w:r>
                                  <w:r>
                                    <w:rPr>
                                      <w:spacing w:val="-10"/>
                                      <w:sz w:val="20"/>
                                    </w:rPr>
                                    <w:t> B</w:t>
                                  </w:r>
                                </w:p>
                              </w:tc>
                              <w:tc>
                                <w:tcPr>
                                  <w:tcW w:w="1480" w:type="dxa"/>
                                  <w:tcBorders>
                                    <w:top w:val="single" w:sz="4" w:space="0" w:color="BEBEBE"/>
                                    <w:left w:val="single" w:sz="4" w:space="0" w:color="BEBEBE"/>
                                    <w:bottom w:val="single" w:sz="4" w:space="0" w:color="BEBEBE"/>
                                    <w:right w:val="single" w:sz="4" w:space="0" w:color="BEBEBE"/>
                                  </w:tcBorders>
                                </w:tcPr>
                                <w:p>
                                  <w:pPr>
                                    <w:pStyle w:val="TableParagraph"/>
                                    <w:spacing w:line="229" w:lineRule="exact"/>
                                    <w:ind w:left="172" w:right="168"/>
                                    <w:jc w:val="center"/>
                                    <w:rPr>
                                      <w:sz w:val="20"/>
                                    </w:rPr>
                                  </w:pPr>
                                  <w:r>
                                    <w:rPr>
                                      <w:spacing w:val="-5"/>
                                      <w:sz w:val="20"/>
                                    </w:rPr>
                                    <w:t>40%</w:t>
                                  </w:r>
                                </w:p>
                              </w:tc>
                              <w:tc>
                                <w:tcPr>
                                  <w:tcW w:w="1478" w:type="dxa"/>
                                  <w:tcBorders>
                                    <w:top w:val="single" w:sz="4" w:space="0" w:color="BEBEBE"/>
                                    <w:left w:val="single" w:sz="4" w:space="0" w:color="BEBEBE"/>
                                    <w:bottom w:val="single" w:sz="4" w:space="0" w:color="BEBEBE"/>
                                    <w:right w:val="single" w:sz="4" w:space="0" w:color="BEBEBE"/>
                                  </w:tcBorders>
                                </w:tcPr>
                                <w:p>
                                  <w:pPr>
                                    <w:pStyle w:val="TableParagraph"/>
                                    <w:spacing w:line="229" w:lineRule="exact"/>
                                    <w:ind w:left="225" w:right="217"/>
                                    <w:jc w:val="center"/>
                                    <w:rPr>
                                      <w:sz w:val="20"/>
                                    </w:rPr>
                                  </w:pPr>
                                  <w:r>
                                    <w:rPr>
                                      <w:spacing w:val="-5"/>
                                      <w:sz w:val="20"/>
                                    </w:rPr>
                                    <w:t>75%</w:t>
                                  </w:r>
                                </w:p>
                              </w:tc>
                              <w:tc>
                                <w:tcPr>
                                  <w:tcW w:w="1480" w:type="dxa"/>
                                  <w:tcBorders>
                                    <w:top w:val="single" w:sz="4" w:space="0" w:color="BEBEBE"/>
                                    <w:left w:val="single" w:sz="4" w:space="0" w:color="BEBEBE"/>
                                    <w:bottom w:val="single" w:sz="4" w:space="0" w:color="BEBEBE"/>
                                    <w:right w:val="single" w:sz="4" w:space="0" w:color="BEBEBE"/>
                                  </w:tcBorders>
                                </w:tcPr>
                                <w:p>
                                  <w:pPr>
                                    <w:pStyle w:val="TableParagraph"/>
                                    <w:spacing w:line="229" w:lineRule="exact"/>
                                    <w:ind w:left="172" w:right="165"/>
                                    <w:jc w:val="center"/>
                                    <w:rPr>
                                      <w:sz w:val="20"/>
                                    </w:rPr>
                                  </w:pPr>
                                  <w:r>
                                    <w:rPr>
                                      <w:spacing w:val="-5"/>
                                      <w:sz w:val="20"/>
                                    </w:rPr>
                                    <w:t>60%</w:t>
                                  </w:r>
                                </w:p>
                              </w:tc>
                              <w:tc>
                                <w:tcPr>
                                  <w:tcW w:w="1900" w:type="dxa"/>
                                  <w:tcBorders>
                                    <w:top w:val="single" w:sz="4" w:space="0" w:color="BEBEBE"/>
                                    <w:left w:val="single" w:sz="4" w:space="0" w:color="BEBEBE"/>
                                    <w:bottom w:val="single" w:sz="4" w:space="0" w:color="BEBEBE"/>
                                    <w:right w:val="single" w:sz="8" w:space="0" w:color="BEBEBE"/>
                                  </w:tcBorders>
                                </w:tcPr>
                                <w:p>
                                  <w:pPr>
                                    <w:pStyle w:val="TableParagraph"/>
                                    <w:spacing w:line="229" w:lineRule="exact"/>
                                    <w:ind w:left="323" w:right="309"/>
                                    <w:jc w:val="center"/>
                                    <w:rPr>
                                      <w:sz w:val="20"/>
                                    </w:rPr>
                                  </w:pPr>
                                  <w:r>
                                    <w:rPr>
                                      <w:spacing w:val="-4"/>
                                      <w:sz w:val="20"/>
                                    </w:rPr>
                                    <w:t>0.57</w:t>
                                  </w:r>
                                </w:p>
                              </w:tc>
                              <w:tc>
                                <w:tcPr>
                                  <w:tcW w:w="554" w:type="dxa"/>
                                  <w:vMerge/>
                                  <w:tcBorders>
                                    <w:top w:val="nil"/>
                                    <w:left w:val="nil"/>
                                    <w:right w:val="nil"/>
                                  </w:tcBorders>
                                </w:tcPr>
                                <w:p>
                                  <w:pPr>
                                    <w:rPr>
                                      <w:sz w:val="2"/>
                                      <w:szCs w:val="2"/>
                                    </w:rPr>
                                  </w:pPr>
                                </w:p>
                              </w:tc>
                            </w:tr>
                            <w:tr>
                              <w:trPr>
                                <w:trHeight w:val="246" w:hRule="atLeast"/>
                              </w:trPr>
                              <w:tc>
                                <w:tcPr>
                                  <w:tcW w:w="578" w:type="dxa"/>
                                  <w:vMerge/>
                                  <w:tcBorders>
                                    <w:top w:val="nil"/>
                                    <w:left w:val="nil"/>
                                    <w:right w:val="single" w:sz="8" w:space="0" w:color="BEBEBE"/>
                                  </w:tcBorders>
                                </w:tcPr>
                                <w:p>
                                  <w:pPr>
                                    <w:rPr>
                                      <w:sz w:val="2"/>
                                      <w:szCs w:val="2"/>
                                    </w:rPr>
                                  </w:pPr>
                                </w:p>
                              </w:tc>
                              <w:tc>
                                <w:tcPr>
                                  <w:tcW w:w="1900" w:type="dxa"/>
                                  <w:tcBorders>
                                    <w:top w:val="single" w:sz="4" w:space="0" w:color="BEBEBE"/>
                                    <w:left w:val="single" w:sz="8" w:space="0" w:color="BEBEBE"/>
                                    <w:bottom w:val="single" w:sz="4" w:space="0" w:color="BEBEBE"/>
                                    <w:right w:val="single" w:sz="4" w:space="0" w:color="BEBEBE"/>
                                  </w:tcBorders>
                                  <w:shd w:val="clear" w:color="auto" w:fill="DCE6F0"/>
                                </w:tcPr>
                                <w:p>
                                  <w:pPr>
                                    <w:pStyle w:val="TableParagraph"/>
                                    <w:spacing w:line="227" w:lineRule="exact"/>
                                    <w:ind w:left="98"/>
                                    <w:rPr>
                                      <w:sz w:val="20"/>
                                    </w:rPr>
                                  </w:pPr>
                                  <w:r>
                                    <w:rPr>
                                      <w:sz w:val="20"/>
                                    </w:rPr>
                                    <w:t>Measure</w:t>
                                  </w:r>
                                  <w:r>
                                    <w:rPr>
                                      <w:spacing w:val="-10"/>
                                      <w:sz w:val="20"/>
                                    </w:rPr>
                                    <w:t> C</w:t>
                                  </w:r>
                                </w:p>
                              </w:tc>
                              <w:tc>
                                <w:tcPr>
                                  <w:tcW w:w="1480" w:type="dxa"/>
                                  <w:tcBorders>
                                    <w:top w:val="single" w:sz="4" w:space="0" w:color="BEBEBE"/>
                                    <w:left w:val="single" w:sz="4" w:space="0" w:color="BEBEBE"/>
                                    <w:bottom w:val="single" w:sz="4" w:space="0" w:color="BEBEBE"/>
                                    <w:right w:val="single" w:sz="4" w:space="0" w:color="BEBEBE"/>
                                  </w:tcBorders>
                                </w:tcPr>
                                <w:p>
                                  <w:pPr>
                                    <w:pStyle w:val="TableParagraph"/>
                                    <w:spacing w:line="227" w:lineRule="exact"/>
                                    <w:ind w:left="172" w:right="168"/>
                                    <w:jc w:val="center"/>
                                    <w:rPr>
                                      <w:sz w:val="20"/>
                                    </w:rPr>
                                  </w:pPr>
                                  <w:r>
                                    <w:rPr>
                                      <w:spacing w:val="-5"/>
                                      <w:sz w:val="20"/>
                                    </w:rPr>
                                    <w:t>41%</w:t>
                                  </w:r>
                                </w:p>
                              </w:tc>
                              <w:tc>
                                <w:tcPr>
                                  <w:tcW w:w="1478" w:type="dxa"/>
                                  <w:tcBorders>
                                    <w:top w:val="single" w:sz="4" w:space="0" w:color="BEBEBE"/>
                                    <w:left w:val="single" w:sz="4" w:space="0" w:color="BEBEBE"/>
                                    <w:bottom w:val="single" w:sz="4" w:space="0" w:color="BEBEBE"/>
                                    <w:right w:val="single" w:sz="4" w:space="0" w:color="BEBEBE"/>
                                  </w:tcBorders>
                                </w:tcPr>
                                <w:p>
                                  <w:pPr>
                                    <w:pStyle w:val="TableParagraph"/>
                                    <w:spacing w:line="227" w:lineRule="exact"/>
                                    <w:ind w:left="225" w:right="217"/>
                                    <w:jc w:val="center"/>
                                    <w:rPr>
                                      <w:sz w:val="20"/>
                                    </w:rPr>
                                  </w:pPr>
                                  <w:r>
                                    <w:rPr>
                                      <w:spacing w:val="-5"/>
                                      <w:sz w:val="20"/>
                                    </w:rPr>
                                    <w:t>85%</w:t>
                                  </w:r>
                                </w:p>
                              </w:tc>
                              <w:tc>
                                <w:tcPr>
                                  <w:tcW w:w="1480" w:type="dxa"/>
                                  <w:tcBorders>
                                    <w:top w:val="single" w:sz="4" w:space="0" w:color="BEBEBE"/>
                                    <w:left w:val="single" w:sz="4" w:space="0" w:color="BEBEBE"/>
                                    <w:bottom w:val="single" w:sz="4" w:space="0" w:color="BEBEBE"/>
                                    <w:right w:val="single" w:sz="4" w:space="0" w:color="BEBEBE"/>
                                  </w:tcBorders>
                                </w:tcPr>
                                <w:p>
                                  <w:pPr>
                                    <w:pStyle w:val="TableParagraph"/>
                                    <w:spacing w:line="227" w:lineRule="exact"/>
                                    <w:ind w:left="172" w:right="165"/>
                                    <w:jc w:val="center"/>
                                    <w:rPr>
                                      <w:sz w:val="20"/>
                                    </w:rPr>
                                  </w:pPr>
                                  <w:r>
                                    <w:rPr>
                                      <w:spacing w:val="-5"/>
                                      <w:sz w:val="20"/>
                                    </w:rPr>
                                    <w:t>79%</w:t>
                                  </w:r>
                                </w:p>
                              </w:tc>
                              <w:tc>
                                <w:tcPr>
                                  <w:tcW w:w="1900" w:type="dxa"/>
                                  <w:tcBorders>
                                    <w:top w:val="single" w:sz="4" w:space="0" w:color="BEBEBE"/>
                                    <w:left w:val="single" w:sz="4" w:space="0" w:color="BEBEBE"/>
                                    <w:bottom w:val="single" w:sz="4" w:space="0" w:color="BEBEBE"/>
                                    <w:right w:val="single" w:sz="8" w:space="0" w:color="BEBEBE"/>
                                  </w:tcBorders>
                                </w:tcPr>
                                <w:p>
                                  <w:pPr>
                                    <w:pStyle w:val="TableParagraph"/>
                                    <w:spacing w:line="227" w:lineRule="exact"/>
                                    <w:ind w:left="323" w:right="309"/>
                                    <w:jc w:val="center"/>
                                    <w:rPr>
                                      <w:sz w:val="20"/>
                                    </w:rPr>
                                  </w:pPr>
                                  <w:r>
                                    <w:rPr>
                                      <w:spacing w:val="-4"/>
                                      <w:sz w:val="20"/>
                                    </w:rPr>
                                    <w:t>0.86</w:t>
                                  </w:r>
                                </w:p>
                              </w:tc>
                              <w:tc>
                                <w:tcPr>
                                  <w:tcW w:w="554" w:type="dxa"/>
                                  <w:vMerge/>
                                  <w:tcBorders>
                                    <w:top w:val="nil"/>
                                    <w:left w:val="nil"/>
                                    <w:right w:val="nil"/>
                                  </w:tcBorders>
                                </w:tcPr>
                                <w:p>
                                  <w:pPr>
                                    <w:rPr>
                                      <w:sz w:val="2"/>
                                      <w:szCs w:val="2"/>
                                    </w:rPr>
                                  </w:pPr>
                                </w:p>
                              </w:tc>
                            </w:tr>
                            <w:tr>
                              <w:trPr>
                                <w:trHeight w:val="248" w:hRule="atLeast"/>
                              </w:trPr>
                              <w:tc>
                                <w:tcPr>
                                  <w:tcW w:w="578" w:type="dxa"/>
                                  <w:vMerge/>
                                  <w:tcBorders>
                                    <w:top w:val="nil"/>
                                    <w:left w:val="nil"/>
                                    <w:right w:val="single" w:sz="8" w:space="0" w:color="BEBEBE"/>
                                  </w:tcBorders>
                                </w:tcPr>
                                <w:p>
                                  <w:pPr>
                                    <w:rPr>
                                      <w:sz w:val="2"/>
                                      <w:szCs w:val="2"/>
                                    </w:rPr>
                                  </w:pPr>
                                </w:p>
                              </w:tc>
                              <w:tc>
                                <w:tcPr>
                                  <w:tcW w:w="6338" w:type="dxa"/>
                                  <w:gridSpan w:val="4"/>
                                  <w:tcBorders>
                                    <w:top w:val="single" w:sz="4" w:space="0" w:color="BEBEBE"/>
                                    <w:left w:val="single" w:sz="8" w:space="0" w:color="BEBEBE"/>
                                    <w:bottom w:val="single" w:sz="12" w:space="0" w:color="BEBEBE"/>
                                    <w:right w:val="single" w:sz="4" w:space="0" w:color="BEBEBE"/>
                                  </w:tcBorders>
                                </w:tcPr>
                                <w:p>
                                  <w:pPr>
                                    <w:pStyle w:val="TableParagraph"/>
                                    <w:spacing w:line="229" w:lineRule="exact"/>
                                    <w:ind w:left="3084"/>
                                    <w:rPr>
                                      <w:b/>
                                      <w:sz w:val="20"/>
                                    </w:rPr>
                                  </w:pPr>
                                  <w:r>
                                    <w:rPr>
                                      <w:b/>
                                      <w:sz w:val="20"/>
                                    </w:rPr>
                                    <w:t>Average</w:t>
                                  </w:r>
                                  <w:r>
                                    <w:rPr>
                                      <w:b/>
                                      <w:spacing w:val="-9"/>
                                      <w:sz w:val="20"/>
                                    </w:rPr>
                                    <w:t> </w:t>
                                  </w:r>
                                  <w:r>
                                    <w:rPr>
                                      <w:b/>
                                      <w:sz w:val="20"/>
                                    </w:rPr>
                                    <w:t>Achievement</w:t>
                                  </w:r>
                                  <w:r>
                                    <w:rPr>
                                      <w:b/>
                                      <w:spacing w:val="-9"/>
                                      <w:sz w:val="20"/>
                                    </w:rPr>
                                    <w:t> </w:t>
                                  </w:r>
                                  <w:r>
                                    <w:rPr>
                                      <w:b/>
                                      <w:sz w:val="20"/>
                                    </w:rPr>
                                    <w:t>Points</w:t>
                                  </w:r>
                                  <w:r>
                                    <w:rPr>
                                      <w:b/>
                                      <w:spacing w:val="-7"/>
                                      <w:sz w:val="20"/>
                                    </w:rPr>
                                    <w:t> </w:t>
                                  </w:r>
                                  <w:r>
                                    <w:rPr>
                                      <w:b/>
                                      <w:spacing w:val="-2"/>
                                      <w:sz w:val="20"/>
                                    </w:rPr>
                                    <w:t>Earned</w:t>
                                  </w:r>
                                </w:p>
                              </w:tc>
                              <w:tc>
                                <w:tcPr>
                                  <w:tcW w:w="1900" w:type="dxa"/>
                                  <w:tcBorders>
                                    <w:top w:val="single" w:sz="4" w:space="0" w:color="BEBEBE"/>
                                    <w:left w:val="single" w:sz="4" w:space="0" w:color="BEBEBE"/>
                                    <w:bottom w:val="single" w:sz="12" w:space="0" w:color="BEBEBE"/>
                                    <w:right w:val="single" w:sz="8" w:space="0" w:color="BEBEBE"/>
                                  </w:tcBorders>
                                </w:tcPr>
                                <w:p>
                                  <w:pPr>
                                    <w:pStyle w:val="TableParagraph"/>
                                    <w:spacing w:line="229" w:lineRule="exact"/>
                                    <w:ind w:left="323" w:right="309"/>
                                    <w:jc w:val="center"/>
                                    <w:rPr>
                                      <w:b/>
                                      <w:sz w:val="20"/>
                                    </w:rPr>
                                  </w:pPr>
                                  <w:r>
                                    <w:rPr>
                                      <w:b/>
                                      <w:spacing w:val="-4"/>
                                      <w:sz w:val="20"/>
                                    </w:rPr>
                                    <w:t>0.60</w:t>
                                  </w:r>
                                </w:p>
                              </w:tc>
                              <w:tc>
                                <w:tcPr>
                                  <w:tcW w:w="554" w:type="dxa"/>
                                  <w:vMerge/>
                                  <w:tcBorders>
                                    <w:top w:val="nil"/>
                                    <w:left w:val="nil"/>
                                    <w:right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68.279999pt;margin-top:40.358597pt;width:474.75pt;height:99pt;mso-position-horizontal-relative:page;mso-position-vertical-relative:paragraph;z-index:16163328" type="#_x0000_t202" id="docshape139" filled="false" stroked="false">
                <v:textbox inset="0,0,0,0">
                  <w:txbxContent>
                    <w:tbl>
                      <w:tblPr>
                        <w:tblW w:w="0" w:type="auto"/>
                        <w:jc w:val="left"/>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8"/>
                        <w:gridCol w:w="1900"/>
                        <w:gridCol w:w="1480"/>
                        <w:gridCol w:w="1478"/>
                        <w:gridCol w:w="1480"/>
                        <w:gridCol w:w="1900"/>
                        <w:gridCol w:w="554"/>
                      </w:tblGrid>
                      <w:tr>
                        <w:trPr>
                          <w:trHeight w:val="378" w:hRule="atLeast"/>
                        </w:trPr>
                        <w:tc>
                          <w:tcPr>
                            <w:tcW w:w="578" w:type="dxa"/>
                            <w:vMerge w:val="restart"/>
                            <w:tcBorders>
                              <w:left w:val="nil"/>
                              <w:right w:val="single" w:sz="8" w:space="0" w:color="BEBEBE"/>
                            </w:tcBorders>
                          </w:tcPr>
                          <w:p>
                            <w:pPr>
                              <w:pStyle w:val="TableParagraph"/>
                              <w:rPr>
                                <w:sz w:val="20"/>
                              </w:rPr>
                            </w:pPr>
                          </w:p>
                        </w:tc>
                        <w:tc>
                          <w:tcPr>
                            <w:tcW w:w="8238" w:type="dxa"/>
                            <w:gridSpan w:val="5"/>
                            <w:tcBorders>
                              <w:left w:val="single" w:sz="8" w:space="0" w:color="BEBEBE"/>
                              <w:bottom w:val="single" w:sz="4" w:space="0" w:color="BEBEBE"/>
                              <w:right w:val="nil"/>
                            </w:tcBorders>
                            <w:shd w:val="clear" w:color="auto" w:fill="1F487C"/>
                          </w:tcPr>
                          <w:p>
                            <w:pPr>
                              <w:pStyle w:val="TableParagraph"/>
                              <w:spacing w:before="2"/>
                              <w:ind w:left="825"/>
                              <w:rPr>
                                <w:b/>
                                <w:sz w:val="20"/>
                              </w:rPr>
                            </w:pPr>
                            <w:r>
                              <w:rPr>
                                <w:b/>
                                <w:color w:val="FFFFFF"/>
                                <w:sz w:val="20"/>
                              </w:rPr>
                              <w:t>Example</w:t>
                            </w:r>
                            <w:r>
                              <w:rPr>
                                <w:b/>
                                <w:color w:val="FFFFFF"/>
                                <w:spacing w:val="-5"/>
                                <w:sz w:val="20"/>
                              </w:rPr>
                              <w:t> </w:t>
                            </w:r>
                            <w:r>
                              <w:rPr>
                                <w:b/>
                                <w:color w:val="FFFFFF"/>
                                <w:sz w:val="20"/>
                              </w:rPr>
                              <w:t>Calculation</w:t>
                            </w:r>
                            <w:r>
                              <w:rPr>
                                <w:b/>
                                <w:color w:val="FFFFFF"/>
                                <w:spacing w:val="-5"/>
                                <w:sz w:val="20"/>
                              </w:rPr>
                              <w:t> </w:t>
                            </w:r>
                            <w:r>
                              <w:rPr>
                                <w:b/>
                                <w:color w:val="FFFFFF"/>
                                <w:sz w:val="20"/>
                              </w:rPr>
                              <w:t>of</w:t>
                            </w:r>
                            <w:r>
                              <w:rPr>
                                <w:b/>
                                <w:color w:val="FFFFFF"/>
                                <w:spacing w:val="-4"/>
                                <w:sz w:val="20"/>
                              </w:rPr>
                              <w:t> </w:t>
                            </w:r>
                            <w:r>
                              <w:rPr>
                                <w:b/>
                                <w:color w:val="FFFFFF"/>
                                <w:sz w:val="20"/>
                              </w:rPr>
                              <w:t>a</w:t>
                            </w:r>
                            <w:r>
                              <w:rPr>
                                <w:b/>
                                <w:color w:val="FFFFFF"/>
                                <w:spacing w:val="-5"/>
                                <w:sz w:val="20"/>
                              </w:rPr>
                              <w:t> </w:t>
                            </w:r>
                            <w:r>
                              <w:rPr>
                                <w:b/>
                                <w:color w:val="FFFFFF"/>
                                <w:sz w:val="20"/>
                              </w:rPr>
                              <w:t>CP's</w:t>
                            </w:r>
                            <w:r>
                              <w:rPr>
                                <w:b/>
                                <w:color w:val="FFFFFF"/>
                                <w:spacing w:val="-5"/>
                                <w:sz w:val="20"/>
                              </w:rPr>
                              <w:t> </w:t>
                            </w:r>
                            <w:r>
                              <w:rPr>
                                <w:b/>
                                <w:color w:val="FFFFFF"/>
                                <w:sz w:val="20"/>
                              </w:rPr>
                              <w:t>or</w:t>
                            </w:r>
                            <w:r>
                              <w:rPr>
                                <w:b/>
                                <w:color w:val="FFFFFF"/>
                                <w:spacing w:val="-5"/>
                                <w:sz w:val="20"/>
                              </w:rPr>
                              <w:t> </w:t>
                            </w:r>
                            <w:r>
                              <w:rPr>
                                <w:b/>
                                <w:color w:val="FFFFFF"/>
                                <w:sz w:val="20"/>
                              </w:rPr>
                              <w:t>CSA's</w:t>
                            </w:r>
                            <w:r>
                              <w:rPr>
                                <w:b/>
                                <w:color w:val="FFFFFF"/>
                                <w:spacing w:val="-6"/>
                                <w:sz w:val="20"/>
                              </w:rPr>
                              <w:t> </w:t>
                            </w:r>
                            <w:r>
                              <w:rPr>
                                <w:b/>
                                <w:color w:val="FFFFFF"/>
                                <w:sz w:val="20"/>
                              </w:rPr>
                              <w:t>Domain</w:t>
                            </w:r>
                            <w:r>
                              <w:rPr>
                                <w:b/>
                                <w:color w:val="FFFFFF"/>
                                <w:spacing w:val="-3"/>
                                <w:sz w:val="20"/>
                              </w:rPr>
                              <w:t> </w:t>
                            </w:r>
                            <w:r>
                              <w:rPr>
                                <w:b/>
                                <w:color w:val="FFFFFF"/>
                                <w:sz w:val="20"/>
                              </w:rPr>
                              <w:t>Score</w:t>
                            </w:r>
                            <w:r>
                              <w:rPr>
                                <w:b/>
                                <w:color w:val="FFFFFF"/>
                                <w:spacing w:val="-5"/>
                                <w:sz w:val="20"/>
                              </w:rPr>
                              <w:t> </w:t>
                            </w:r>
                            <w:r>
                              <w:rPr>
                                <w:b/>
                                <w:color w:val="FFFFFF"/>
                                <w:sz w:val="20"/>
                              </w:rPr>
                              <w:t>for</w:t>
                            </w:r>
                            <w:r>
                              <w:rPr>
                                <w:b/>
                                <w:color w:val="FFFFFF"/>
                                <w:spacing w:val="-5"/>
                                <w:sz w:val="20"/>
                              </w:rPr>
                              <w:t> </w:t>
                            </w:r>
                            <w:r>
                              <w:rPr>
                                <w:b/>
                                <w:color w:val="FFFFFF"/>
                                <w:sz w:val="20"/>
                              </w:rPr>
                              <w:t>a</w:t>
                            </w:r>
                            <w:r>
                              <w:rPr>
                                <w:b/>
                                <w:color w:val="FFFFFF"/>
                                <w:spacing w:val="-4"/>
                                <w:sz w:val="20"/>
                              </w:rPr>
                              <w:t> </w:t>
                            </w:r>
                            <w:r>
                              <w:rPr>
                                <w:b/>
                                <w:color w:val="FFFFFF"/>
                                <w:sz w:val="20"/>
                              </w:rPr>
                              <w:t>Quality</w:t>
                            </w:r>
                            <w:r>
                              <w:rPr>
                                <w:b/>
                                <w:color w:val="FFFFFF"/>
                                <w:spacing w:val="-4"/>
                                <w:sz w:val="20"/>
                              </w:rPr>
                              <w:t> </w:t>
                            </w:r>
                            <w:r>
                              <w:rPr>
                                <w:b/>
                                <w:color w:val="FFFFFF"/>
                                <w:spacing w:val="-2"/>
                                <w:sz w:val="20"/>
                              </w:rPr>
                              <w:t>Domain</w:t>
                            </w:r>
                          </w:p>
                        </w:tc>
                        <w:tc>
                          <w:tcPr>
                            <w:tcW w:w="554" w:type="dxa"/>
                            <w:vMerge w:val="restart"/>
                            <w:tcBorders>
                              <w:left w:val="nil"/>
                              <w:right w:val="nil"/>
                            </w:tcBorders>
                          </w:tcPr>
                          <w:p>
                            <w:pPr>
                              <w:pStyle w:val="TableParagraph"/>
                              <w:rPr>
                                <w:sz w:val="20"/>
                              </w:rPr>
                            </w:pPr>
                          </w:p>
                        </w:tc>
                      </w:tr>
                      <w:tr>
                        <w:trPr>
                          <w:trHeight w:val="520" w:hRule="atLeast"/>
                        </w:trPr>
                        <w:tc>
                          <w:tcPr>
                            <w:tcW w:w="578" w:type="dxa"/>
                            <w:vMerge/>
                            <w:tcBorders>
                              <w:top w:val="nil"/>
                              <w:left w:val="nil"/>
                              <w:right w:val="single" w:sz="8" w:space="0" w:color="BEBEBE"/>
                            </w:tcBorders>
                          </w:tcPr>
                          <w:p>
                            <w:pPr>
                              <w:rPr>
                                <w:sz w:val="2"/>
                                <w:szCs w:val="2"/>
                              </w:rPr>
                            </w:pPr>
                          </w:p>
                        </w:tc>
                        <w:tc>
                          <w:tcPr>
                            <w:tcW w:w="1900"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ind w:left="249" w:right="248"/>
                              <w:jc w:val="center"/>
                              <w:rPr>
                                <w:b/>
                                <w:sz w:val="20"/>
                              </w:rPr>
                            </w:pPr>
                            <w:r>
                              <w:rPr>
                                <w:b/>
                                <w:sz w:val="20"/>
                              </w:rPr>
                              <w:t>Measures</w:t>
                            </w:r>
                            <w:r>
                              <w:rPr>
                                <w:b/>
                                <w:spacing w:val="-10"/>
                                <w:sz w:val="20"/>
                              </w:rPr>
                              <w:t> </w:t>
                            </w:r>
                            <w:r>
                              <w:rPr>
                                <w:b/>
                                <w:spacing w:val="-5"/>
                                <w:sz w:val="20"/>
                              </w:rPr>
                              <w:t>in</w:t>
                            </w:r>
                          </w:p>
                          <w:p>
                            <w:pPr>
                              <w:pStyle w:val="TableParagraph"/>
                              <w:spacing w:before="20"/>
                              <w:ind w:left="249" w:right="249"/>
                              <w:jc w:val="center"/>
                              <w:rPr>
                                <w:b/>
                                <w:sz w:val="20"/>
                              </w:rPr>
                            </w:pPr>
                            <w:r>
                              <w:rPr>
                                <w:b/>
                                <w:sz w:val="20"/>
                              </w:rPr>
                              <w:t>Quality</w:t>
                            </w:r>
                            <w:r>
                              <w:rPr>
                                <w:b/>
                                <w:spacing w:val="-10"/>
                                <w:sz w:val="20"/>
                              </w:rPr>
                              <w:t> </w:t>
                            </w:r>
                            <w:r>
                              <w:rPr>
                                <w:b/>
                                <w:spacing w:val="-2"/>
                                <w:sz w:val="20"/>
                              </w:rPr>
                              <w:t>Domain</w:t>
                            </w:r>
                          </w:p>
                        </w:tc>
                        <w:tc>
                          <w:tcPr>
                            <w:tcW w:w="1480"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ind w:left="248"/>
                              <w:rPr>
                                <w:b/>
                                <w:sz w:val="20"/>
                              </w:rPr>
                            </w:pPr>
                            <w:r>
                              <w:rPr>
                                <w:b/>
                                <w:spacing w:val="-2"/>
                                <w:sz w:val="20"/>
                              </w:rPr>
                              <w:t>Attainment</w:t>
                            </w:r>
                          </w:p>
                          <w:p>
                            <w:pPr>
                              <w:pStyle w:val="TableParagraph"/>
                              <w:spacing w:before="20"/>
                              <w:ind w:left="296"/>
                              <w:rPr>
                                <w:b/>
                                <w:sz w:val="20"/>
                              </w:rPr>
                            </w:pPr>
                            <w:r>
                              <w:rPr>
                                <w:b/>
                                <w:spacing w:val="-2"/>
                                <w:sz w:val="20"/>
                              </w:rPr>
                              <w:t>Threshold</w:t>
                            </w:r>
                          </w:p>
                        </w:tc>
                        <w:tc>
                          <w:tcPr>
                            <w:tcW w:w="1478"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before="1"/>
                              <w:ind w:left="225" w:right="220"/>
                              <w:jc w:val="center"/>
                              <w:rPr>
                                <w:b/>
                                <w:sz w:val="22"/>
                              </w:rPr>
                            </w:pPr>
                            <w:r>
                              <w:rPr>
                                <w:b/>
                                <w:spacing w:val="-4"/>
                                <w:sz w:val="22"/>
                              </w:rPr>
                              <w:t>Goal</w:t>
                            </w:r>
                          </w:p>
                          <w:p>
                            <w:pPr>
                              <w:pStyle w:val="TableParagraph"/>
                              <w:spacing w:line="227" w:lineRule="exact" w:before="20"/>
                              <w:ind w:left="225" w:right="221"/>
                              <w:jc w:val="center"/>
                              <w:rPr>
                                <w:b/>
                                <w:sz w:val="20"/>
                              </w:rPr>
                            </w:pPr>
                            <w:r>
                              <w:rPr>
                                <w:b/>
                                <w:spacing w:val="-2"/>
                                <w:sz w:val="20"/>
                              </w:rPr>
                              <w:t>Benchmark</w:t>
                            </w:r>
                          </w:p>
                        </w:tc>
                        <w:tc>
                          <w:tcPr>
                            <w:tcW w:w="1480"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ind w:left="172" w:right="169"/>
                              <w:jc w:val="center"/>
                              <w:rPr>
                                <w:b/>
                                <w:sz w:val="20"/>
                              </w:rPr>
                            </w:pPr>
                            <w:r>
                              <w:rPr>
                                <w:b/>
                                <w:spacing w:val="-2"/>
                                <w:sz w:val="20"/>
                              </w:rPr>
                              <w:t>Performance</w:t>
                            </w:r>
                          </w:p>
                          <w:p>
                            <w:pPr>
                              <w:pStyle w:val="TableParagraph"/>
                              <w:spacing w:before="20"/>
                              <w:ind w:left="172" w:right="167"/>
                              <w:jc w:val="center"/>
                              <w:rPr>
                                <w:b/>
                                <w:sz w:val="20"/>
                              </w:rPr>
                            </w:pPr>
                            <w:r>
                              <w:rPr>
                                <w:b/>
                                <w:spacing w:val="-2"/>
                                <w:sz w:val="20"/>
                              </w:rPr>
                              <w:t>Score</w:t>
                            </w:r>
                          </w:p>
                        </w:tc>
                        <w:tc>
                          <w:tcPr>
                            <w:tcW w:w="1900"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ind w:left="394"/>
                              <w:rPr>
                                <w:b/>
                                <w:sz w:val="20"/>
                              </w:rPr>
                            </w:pPr>
                            <w:r>
                              <w:rPr>
                                <w:b/>
                                <w:spacing w:val="-2"/>
                                <w:sz w:val="20"/>
                              </w:rPr>
                              <w:t>Achievement</w:t>
                            </w:r>
                          </w:p>
                          <w:p>
                            <w:pPr>
                              <w:pStyle w:val="TableParagraph"/>
                              <w:spacing w:before="20"/>
                              <w:ind w:left="338"/>
                              <w:rPr>
                                <w:b/>
                                <w:sz w:val="20"/>
                              </w:rPr>
                            </w:pPr>
                            <w:r>
                              <w:rPr>
                                <w:b/>
                                <w:sz w:val="20"/>
                              </w:rPr>
                              <w:t>Points</w:t>
                            </w:r>
                            <w:r>
                              <w:rPr>
                                <w:b/>
                                <w:spacing w:val="-8"/>
                                <w:sz w:val="20"/>
                              </w:rPr>
                              <w:t> </w:t>
                            </w:r>
                            <w:r>
                              <w:rPr>
                                <w:b/>
                                <w:spacing w:val="-2"/>
                                <w:sz w:val="20"/>
                              </w:rPr>
                              <w:t>Earned</w:t>
                            </w:r>
                          </w:p>
                        </w:tc>
                        <w:tc>
                          <w:tcPr>
                            <w:tcW w:w="554" w:type="dxa"/>
                            <w:vMerge/>
                            <w:tcBorders>
                              <w:top w:val="nil"/>
                              <w:left w:val="nil"/>
                              <w:right w:val="nil"/>
                            </w:tcBorders>
                          </w:tcPr>
                          <w:p>
                            <w:pPr>
                              <w:rPr>
                                <w:sz w:val="2"/>
                                <w:szCs w:val="2"/>
                              </w:rPr>
                            </w:pPr>
                          </w:p>
                        </w:tc>
                      </w:tr>
                      <w:tr>
                        <w:trPr>
                          <w:trHeight w:val="249" w:hRule="atLeast"/>
                        </w:trPr>
                        <w:tc>
                          <w:tcPr>
                            <w:tcW w:w="578" w:type="dxa"/>
                            <w:vMerge/>
                            <w:tcBorders>
                              <w:top w:val="nil"/>
                              <w:left w:val="nil"/>
                              <w:right w:val="single" w:sz="8" w:space="0" w:color="BEBEBE"/>
                            </w:tcBorders>
                          </w:tcPr>
                          <w:p>
                            <w:pPr>
                              <w:rPr>
                                <w:sz w:val="2"/>
                                <w:szCs w:val="2"/>
                              </w:rPr>
                            </w:pPr>
                          </w:p>
                        </w:tc>
                        <w:tc>
                          <w:tcPr>
                            <w:tcW w:w="1900" w:type="dxa"/>
                            <w:tcBorders>
                              <w:top w:val="single" w:sz="4" w:space="0" w:color="BEBEBE"/>
                              <w:left w:val="single" w:sz="8" w:space="0" w:color="BEBEBE"/>
                              <w:bottom w:val="single" w:sz="4" w:space="0" w:color="BEBEBE"/>
                              <w:right w:val="single" w:sz="4" w:space="0" w:color="BEBEBE"/>
                            </w:tcBorders>
                            <w:shd w:val="clear" w:color="auto" w:fill="DCE6F0"/>
                          </w:tcPr>
                          <w:p>
                            <w:pPr>
                              <w:pStyle w:val="TableParagraph"/>
                              <w:spacing w:line="227" w:lineRule="exact" w:before="2"/>
                              <w:ind w:left="98"/>
                              <w:rPr>
                                <w:sz w:val="20"/>
                              </w:rPr>
                            </w:pPr>
                            <w:r>
                              <w:rPr>
                                <w:sz w:val="20"/>
                              </w:rPr>
                              <w:t>Measure</w:t>
                            </w:r>
                            <w:r>
                              <w:rPr>
                                <w:spacing w:val="-7"/>
                                <w:sz w:val="20"/>
                              </w:rPr>
                              <w:t> </w:t>
                            </w:r>
                            <w:r>
                              <w:rPr>
                                <w:spacing w:val="-10"/>
                                <w:sz w:val="20"/>
                              </w:rPr>
                              <w:t>A</w:t>
                            </w:r>
                          </w:p>
                        </w:tc>
                        <w:tc>
                          <w:tcPr>
                            <w:tcW w:w="1480" w:type="dxa"/>
                            <w:tcBorders>
                              <w:top w:val="single" w:sz="4" w:space="0" w:color="BEBEBE"/>
                              <w:left w:val="single" w:sz="4" w:space="0" w:color="BEBEBE"/>
                              <w:bottom w:val="single" w:sz="4" w:space="0" w:color="BEBEBE"/>
                              <w:right w:val="single" w:sz="4" w:space="0" w:color="BEBEBE"/>
                            </w:tcBorders>
                          </w:tcPr>
                          <w:p>
                            <w:pPr>
                              <w:pStyle w:val="TableParagraph"/>
                              <w:spacing w:line="227" w:lineRule="exact" w:before="2"/>
                              <w:ind w:left="172" w:right="168"/>
                              <w:jc w:val="center"/>
                              <w:rPr>
                                <w:sz w:val="20"/>
                              </w:rPr>
                            </w:pPr>
                            <w:r>
                              <w:rPr>
                                <w:spacing w:val="-5"/>
                                <w:sz w:val="20"/>
                              </w:rPr>
                              <w:t>45%</w:t>
                            </w:r>
                          </w:p>
                        </w:tc>
                        <w:tc>
                          <w:tcPr>
                            <w:tcW w:w="1478" w:type="dxa"/>
                            <w:tcBorders>
                              <w:top w:val="single" w:sz="4" w:space="0" w:color="BEBEBE"/>
                              <w:left w:val="single" w:sz="4" w:space="0" w:color="BEBEBE"/>
                              <w:bottom w:val="single" w:sz="4" w:space="0" w:color="BEBEBE"/>
                              <w:right w:val="single" w:sz="4" w:space="0" w:color="BEBEBE"/>
                            </w:tcBorders>
                          </w:tcPr>
                          <w:p>
                            <w:pPr>
                              <w:pStyle w:val="TableParagraph"/>
                              <w:spacing w:line="227" w:lineRule="exact" w:before="2"/>
                              <w:ind w:left="225" w:right="217"/>
                              <w:jc w:val="center"/>
                              <w:rPr>
                                <w:sz w:val="20"/>
                              </w:rPr>
                            </w:pPr>
                            <w:r>
                              <w:rPr>
                                <w:spacing w:val="-5"/>
                                <w:sz w:val="20"/>
                              </w:rPr>
                              <w:t>80%</w:t>
                            </w:r>
                          </w:p>
                        </w:tc>
                        <w:tc>
                          <w:tcPr>
                            <w:tcW w:w="1480" w:type="dxa"/>
                            <w:tcBorders>
                              <w:top w:val="single" w:sz="4" w:space="0" w:color="BEBEBE"/>
                              <w:left w:val="single" w:sz="4" w:space="0" w:color="BEBEBE"/>
                              <w:bottom w:val="single" w:sz="4" w:space="0" w:color="BEBEBE"/>
                              <w:right w:val="single" w:sz="4" w:space="0" w:color="BEBEBE"/>
                            </w:tcBorders>
                          </w:tcPr>
                          <w:p>
                            <w:pPr>
                              <w:pStyle w:val="TableParagraph"/>
                              <w:spacing w:line="227" w:lineRule="exact" w:before="2"/>
                              <w:ind w:left="172" w:right="165"/>
                              <w:jc w:val="center"/>
                              <w:rPr>
                                <w:sz w:val="20"/>
                              </w:rPr>
                            </w:pPr>
                            <w:r>
                              <w:rPr>
                                <w:spacing w:val="-5"/>
                                <w:sz w:val="20"/>
                              </w:rPr>
                              <w:t>58%</w:t>
                            </w:r>
                          </w:p>
                        </w:tc>
                        <w:tc>
                          <w:tcPr>
                            <w:tcW w:w="1900" w:type="dxa"/>
                            <w:tcBorders>
                              <w:top w:val="single" w:sz="4" w:space="0" w:color="BEBEBE"/>
                              <w:left w:val="single" w:sz="4" w:space="0" w:color="BEBEBE"/>
                              <w:bottom w:val="single" w:sz="4" w:space="0" w:color="BEBEBE"/>
                              <w:right w:val="single" w:sz="8" w:space="0" w:color="BEBEBE"/>
                            </w:tcBorders>
                          </w:tcPr>
                          <w:p>
                            <w:pPr>
                              <w:pStyle w:val="TableParagraph"/>
                              <w:spacing w:line="227" w:lineRule="exact" w:before="2"/>
                              <w:ind w:left="323" w:right="309"/>
                              <w:jc w:val="center"/>
                              <w:rPr>
                                <w:sz w:val="20"/>
                              </w:rPr>
                            </w:pPr>
                            <w:r>
                              <w:rPr>
                                <w:spacing w:val="-4"/>
                                <w:sz w:val="20"/>
                              </w:rPr>
                              <w:t>0.37</w:t>
                            </w:r>
                          </w:p>
                        </w:tc>
                        <w:tc>
                          <w:tcPr>
                            <w:tcW w:w="554" w:type="dxa"/>
                            <w:vMerge/>
                            <w:tcBorders>
                              <w:top w:val="nil"/>
                              <w:left w:val="nil"/>
                              <w:right w:val="nil"/>
                            </w:tcBorders>
                          </w:tcPr>
                          <w:p>
                            <w:pPr>
                              <w:rPr>
                                <w:sz w:val="2"/>
                                <w:szCs w:val="2"/>
                              </w:rPr>
                            </w:pPr>
                          </w:p>
                        </w:tc>
                      </w:tr>
                      <w:tr>
                        <w:trPr>
                          <w:trHeight w:val="249" w:hRule="atLeast"/>
                        </w:trPr>
                        <w:tc>
                          <w:tcPr>
                            <w:tcW w:w="578" w:type="dxa"/>
                            <w:vMerge/>
                            <w:tcBorders>
                              <w:top w:val="nil"/>
                              <w:left w:val="nil"/>
                              <w:right w:val="single" w:sz="8" w:space="0" w:color="BEBEBE"/>
                            </w:tcBorders>
                          </w:tcPr>
                          <w:p>
                            <w:pPr>
                              <w:rPr>
                                <w:sz w:val="2"/>
                                <w:szCs w:val="2"/>
                              </w:rPr>
                            </w:pPr>
                          </w:p>
                        </w:tc>
                        <w:tc>
                          <w:tcPr>
                            <w:tcW w:w="1900" w:type="dxa"/>
                            <w:tcBorders>
                              <w:top w:val="single" w:sz="4" w:space="0" w:color="BEBEBE"/>
                              <w:left w:val="single" w:sz="8" w:space="0" w:color="BEBEBE"/>
                              <w:bottom w:val="single" w:sz="4" w:space="0" w:color="BEBEBE"/>
                              <w:right w:val="single" w:sz="4" w:space="0" w:color="BEBEBE"/>
                            </w:tcBorders>
                            <w:shd w:val="clear" w:color="auto" w:fill="DCE6F0"/>
                          </w:tcPr>
                          <w:p>
                            <w:pPr>
                              <w:pStyle w:val="TableParagraph"/>
                              <w:spacing w:line="229" w:lineRule="exact"/>
                              <w:ind w:left="98"/>
                              <w:rPr>
                                <w:sz w:val="20"/>
                              </w:rPr>
                            </w:pPr>
                            <w:r>
                              <w:rPr>
                                <w:sz w:val="20"/>
                              </w:rPr>
                              <w:t>Measure</w:t>
                            </w:r>
                            <w:r>
                              <w:rPr>
                                <w:spacing w:val="-10"/>
                                <w:sz w:val="20"/>
                              </w:rPr>
                              <w:t> B</w:t>
                            </w:r>
                          </w:p>
                        </w:tc>
                        <w:tc>
                          <w:tcPr>
                            <w:tcW w:w="1480" w:type="dxa"/>
                            <w:tcBorders>
                              <w:top w:val="single" w:sz="4" w:space="0" w:color="BEBEBE"/>
                              <w:left w:val="single" w:sz="4" w:space="0" w:color="BEBEBE"/>
                              <w:bottom w:val="single" w:sz="4" w:space="0" w:color="BEBEBE"/>
                              <w:right w:val="single" w:sz="4" w:space="0" w:color="BEBEBE"/>
                            </w:tcBorders>
                          </w:tcPr>
                          <w:p>
                            <w:pPr>
                              <w:pStyle w:val="TableParagraph"/>
                              <w:spacing w:line="229" w:lineRule="exact"/>
                              <w:ind w:left="172" w:right="168"/>
                              <w:jc w:val="center"/>
                              <w:rPr>
                                <w:sz w:val="20"/>
                              </w:rPr>
                            </w:pPr>
                            <w:r>
                              <w:rPr>
                                <w:spacing w:val="-5"/>
                                <w:sz w:val="20"/>
                              </w:rPr>
                              <w:t>40%</w:t>
                            </w:r>
                          </w:p>
                        </w:tc>
                        <w:tc>
                          <w:tcPr>
                            <w:tcW w:w="1478" w:type="dxa"/>
                            <w:tcBorders>
                              <w:top w:val="single" w:sz="4" w:space="0" w:color="BEBEBE"/>
                              <w:left w:val="single" w:sz="4" w:space="0" w:color="BEBEBE"/>
                              <w:bottom w:val="single" w:sz="4" w:space="0" w:color="BEBEBE"/>
                              <w:right w:val="single" w:sz="4" w:space="0" w:color="BEBEBE"/>
                            </w:tcBorders>
                          </w:tcPr>
                          <w:p>
                            <w:pPr>
                              <w:pStyle w:val="TableParagraph"/>
                              <w:spacing w:line="229" w:lineRule="exact"/>
                              <w:ind w:left="225" w:right="217"/>
                              <w:jc w:val="center"/>
                              <w:rPr>
                                <w:sz w:val="20"/>
                              </w:rPr>
                            </w:pPr>
                            <w:r>
                              <w:rPr>
                                <w:spacing w:val="-5"/>
                                <w:sz w:val="20"/>
                              </w:rPr>
                              <w:t>75%</w:t>
                            </w:r>
                          </w:p>
                        </w:tc>
                        <w:tc>
                          <w:tcPr>
                            <w:tcW w:w="1480" w:type="dxa"/>
                            <w:tcBorders>
                              <w:top w:val="single" w:sz="4" w:space="0" w:color="BEBEBE"/>
                              <w:left w:val="single" w:sz="4" w:space="0" w:color="BEBEBE"/>
                              <w:bottom w:val="single" w:sz="4" w:space="0" w:color="BEBEBE"/>
                              <w:right w:val="single" w:sz="4" w:space="0" w:color="BEBEBE"/>
                            </w:tcBorders>
                          </w:tcPr>
                          <w:p>
                            <w:pPr>
                              <w:pStyle w:val="TableParagraph"/>
                              <w:spacing w:line="229" w:lineRule="exact"/>
                              <w:ind w:left="172" w:right="165"/>
                              <w:jc w:val="center"/>
                              <w:rPr>
                                <w:sz w:val="20"/>
                              </w:rPr>
                            </w:pPr>
                            <w:r>
                              <w:rPr>
                                <w:spacing w:val="-5"/>
                                <w:sz w:val="20"/>
                              </w:rPr>
                              <w:t>60%</w:t>
                            </w:r>
                          </w:p>
                        </w:tc>
                        <w:tc>
                          <w:tcPr>
                            <w:tcW w:w="1900" w:type="dxa"/>
                            <w:tcBorders>
                              <w:top w:val="single" w:sz="4" w:space="0" w:color="BEBEBE"/>
                              <w:left w:val="single" w:sz="4" w:space="0" w:color="BEBEBE"/>
                              <w:bottom w:val="single" w:sz="4" w:space="0" w:color="BEBEBE"/>
                              <w:right w:val="single" w:sz="8" w:space="0" w:color="BEBEBE"/>
                            </w:tcBorders>
                          </w:tcPr>
                          <w:p>
                            <w:pPr>
                              <w:pStyle w:val="TableParagraph"/>
                              <w:spacing w:line="229" w:lineRule="exact"/>
                              <w:ind w:left="323" w:right="309"/>
                              <w:jc w:val="center"/>
                              <w:rPr>
                                <w:sz w:val="20"/>
                              </w:rPr>
                            </w:pPr>
                            <w:r>
                              <w:rPr>
                                <w:spacing w:val="-4"/>
                                <w:sz w:val="20"/>
                              </w:rPr>
                              <w:t>0.57</w:t>
                            </w:r>
                          </w:p>
                        </w:tc>
                        <w:tc>
                          <w:tcPr>
                            <w:tcW w:w="554" w:type="dxa"/>
                            <w:vMerge/>
                            <w:tcBorders>
                              <w:top w:val="nil"/>
                              <w:left w:val="nil"/>
                              <w:right w:val="nil"/>
                            </w:tcBorders>
                          </w:tcPr>
                          <w:p>
                            <w:pPr>
                              <w:rPr>
                                <w:sz w:val="2"/>
                                <w:szCs w:val="2"/>
                              </w:rPr>
                            </w:pPr>
                          </w:p>
                        </w:tc>
                      </w:tr>
                      <w:tr>
                        <w:trPr>
                          <w:trHeight w:val="246" w:hRule="atLeast"/>
                        </w:trPr>
                        <w:tc>
                          <w:tcPr>
                            <w:tcW w:w="578" w:type="dxa"/>
                            <w:vMerge/>
                            <w:tcBorders>
                              <w:top w:val="nil"/>
                              <w:left w:val="nil"/>
                              <w:right w:val="single" w:sz="8" w:space="0" w:color="BEBEBE"/>
                            </w:tcBorders>
                          </w:tcPr>
                          <w:p>
                            <w:pPr>
                              <w:rPr>
                                <w:sz w:val="2"/>
                                <w:szCs w:val="2"/>
                              </w:rPr>
                            </w:pPr>
                          </w:p>
                        </w:tc>
                        <w:tc>
                          <w:tcPr>
                            <w:tcW w:w="1900" w:type="dxa"/>
                            <w:tcBorders>
                              <w:top w:val="single" w:sz="4" w:space="0" w:color="BEBEBE"/>
                              <w:left w:val="single" w:sz="8" w:space="0" w:color="BEBEBE"/>
                              <w:bottom w:val="single" w:sz="4" w:space="0" w:color="BEBEBE"/>
                              <w:right w:val="single" w:sz="4" w:space="0" w:color="BEBEBE"/>
                            </w:tcBorders>
                            <w:shd w:val="clear" w:color="auto" w:fill="DCE6F0"/>
                          </w:tcPr>
                          <w:p>
                            <w:pPr>
                              <w:pStyle w:val="TableParagraph"/>
                              <w:spacing w:line="227" w:lineRule="exact"/>
                              <w:ind w:left="98"/>
                              <w:rPr>
                                <w:sz w:val="20"/>
                              </w:rPr>
                            </w:pPr>
                            <w:r>
                              <w:rPr>
                                <w:sz w:val="20"/>
                              </w:rPr>
                              <w:t>Measure</w:t>
                            </w:r>
                            <w:r>
                              <w:rPr>
                                <w:spacing w:val="-10"/>
                                <w:sz w:val="20"/>
                              </w:rPr>
                              <w:t> C</w:t>
                            </w:r>
                          </w:p>
                        </w:tc>
                        <w:tc>
                          <w:tcPr>
                            <w:tcW w:w="1480" w:type="dxa"/>
                            <w:tcBorders>
                              <w:top w:val="single" w:sz="4" w:space="0" w:color="BEBEBE"/>
                              <w:left w:val="single" w:sz="4" w:space="0" w:color="BEBEBE"/>
                              <w:bottom w:val="single" w:sz="4" w:space="0" w:color="BEBEBE"/>
                              <w:right w:val="single" w:sz="4" w:space="0" w:color="BEBEBE"/>
                            </w:tcBorders>
                          </w:tcPr>
                          <w:p>
                            <w:pPr>
                              <w:pStyle w:val="TableParagraph"/>
                              <w:spacing w:line="227" w:lineRule="exact"/>
                              <w:ind w:left="172" w:right="168"/>
                              <w:jc w:val="center"/>
                              <w:rPr>
                                <w:sz w:val="20"/>
                              </w:rPr>
                            </w:pPr>
                            <w:r>
                              <w:rPr>
                                <w:spacing w:val="-5"/>
                                <w:sz w:val="20"/>
                              </w:rPr>
                              <w:t>41%</w:t>
                            </w:r>
                          </w:p>
                        </w:tc>
                        <w:tc>
                          <w:tcPr>
                            <w:tcW w:w="1478" w:type="dxa"/>
                            <w:tcBorders>
                              <w:top w:val="single" w:sz="4" w:space="0" w:color="BEBEBE"/>
                              <w:left w:val="single" w:sz="4" w:space="0" w:color="BEBEBE"/>
                              <w:bottom w:val="single" w:sz="4" w:space="0" w:color="BEBEBE"/>
                              <w:right w:val="single" w:sz="4" w:space="0" w:color="BEBEBE"/>
                            </w:tcBorders>
                          </w:tcPr>
                          <w:p>
                            <w:pPr>
                              <w:pStyle w:val="TableParagraph"/>
                              <w:spacing w:line="227" w:lineRule="exact"/>
                              <w:ind w:left="225" w:right="217"/>
                              <w:jc w:val="center"/>
                              <w:rPr>
                                <w:sz w:val="20"/>
                              </w:rPr>
                            </w:pPr>
                            <w:r>
                              <w:rPr>
                                <w:spacing w:val="-5"/>
                                <w:sz w:val="20"/>
                              </w:rPr>
                              <w:t>85%</w:t>
                            </w:r>
                          </w:p>
                        </w:tc>
                        <w:tc>
                          <w:tcPr>
                            <w:tcW w:w="1480" w:type="dxa"/>
                            <w:tcBorders>
                              <w:top w:val="single" w:sz="4" w:space="0" w:color="BEBEBE"/>
                              <w:left w:val="single" w:sz="4" w:space="0" w:color="BEBEBE"/>
                              <w:bottom w:val="single" w:sz="4" w:space="0" w:color="BEBEBE"/>
                              <w:right w:val="single" w:sz="4" w:space="0" w:color="BEBEBE"/>
                            </w:tcBorders>
                          </w:tcPr>
                          <w:p>
                            <w:pPr>
                              <w:pStyle w:val="TableParagraph"/>
                              <w:spacing w:line="227" w:lineRule="exact"/>
                              <w:ind w:left="172" w:right="165"/>
                              <w:jc w:val="center"/>
                              <w:rPr>
                                <w:sz w:val="20"/>
                              </w:rPr>
                            </w:pPr>
                            <w:r>
                              <w:rPr>
                                <w:spacing w:val="-5"/>
                                <w:sz w:val="20"/>
                              </w:rPr>
                              <w:t>79%</w:t>
                            </w:r>
                          </w:p>
                        </w:tc>
                        <w:tc>
                          <w:tcPr>
                            <w:tcW w:w="1900" w:type="dxa"/>
                            <w:tcBorders>
                              <w:top w:val="single" w:sz="4" w:space="0" w:color="BEBEBE"/>
                              <w:left w:val="single" w:sz="4" w:space="0" w:color="BEBEBE"/>
                              <w:bottom w:val="single" w:sz="4" w:space="0" w:color="BEBEBE"/>
                              <w:right w:val="single" w:sz="8" w:space="0" w:color="BEBEBE"/>
                            </w:tcBorders>
                          </w:tcPr>
                          <w:p>
                            <w:pPr>
                              <w:pStyle w:val="TableParagraph"/>
                              <w:spacing w:line="227" w:lineRule="exact"/>
                              <w:ind w:left="323" w:right="309"/>
                              <w:jc w:val="center"/>
                              <w:rPr>
                                <w:sz w:val="20"/>
                              </w:rPr>
                            </w:pPr>
                            <w:r>
                              <w:rPr>
                                <w:spacing w:val="-4"/>
                                <w:sz w:val="20"/>
                              </w:rPr>
                              <w:t>0.86</w:t>
                            </w:r>
                          </w:p>
                        </w:tc>
                        <w:tc>
                          <w:tcPr>
                            <w:tcW w:w="554" w:type="dxa"/>
                            <w:vMerge/>
                            <w:tcBorders>
                              <w:top w:val="nil"/>
                              <w:left w:val="nil"/>
                              <w:right w:val="nil"/>
                            </w:tcBorders>
                          </w:tcPr>
                          <w:p>
                            <w:pPr>
                              <w:rPr>
                                <w:sz w:val="2"/>
                                <w:szCs w:val="2"/>
                              </w:rPr>
                            </w:pPr>
                          </w:p>
                        </w:tc>
                      </w:tr>
                      <w:tr>
                        <w:trPr>
                          <w:trHeight w:val="248" w:hRule="atLeast"/>
                        </w:trPr>
                        <w:tc>
                          <w:tcPr>
                            <w:tcW w:w="578" w:type="dxa"/>
                            <w:vMerge/>
                            <w:tcBorders>
                              <w:top w:val="nil"/>
                              <w:left w:val="nil"/>
                              <w:right w:val="single" w:sz="8" w:space="0" w:color="BEBEBE"/>
                            </w:tcBorders>
                          </w:tcPr>
                          <w:p>
                            <w:pPr>
                              <w:rPr>
                                <w:sz w:val="2"/>
                                <w:szCs w:val="2"/>
                              </w:rPr>
                            </w:pPr>
                          </w:p>
                        </w:tc>
                        <w:tc>
                          <w:tcPr>
                            <w:tcW w:w="6338" w:type="dxa"/>
                            <w:gridSpan w:val="4"/>
                            <w:tcBorders>
                              <w:top w:val="single" w:sz="4" w:space="0" w:color="BEBEBE"/>
                              <w:left w:val="single" w:sz="8" w:space="0" w:color="BEBEBE"/>
                              <w:bottom w:val="single" w:sz="12" w:space="0" w:color="BEBEBE"/>
                              <w:right w:val="single" w:sz="4" w:space="0" w:color="BEBEBE"/>
                            </w:tcBorders>
                          </w:tcPr>
                          <w:p>
                            <w:pPr>
                              <w:pStyle w:val="TableParagraph"/>
                              <w:spacing w:line="229" w:lineRule="exact"/>
                              <w:ind w:left="3084"/>
                              <w:rPr>
                                <w:b/>
                                <w:sz w:val="20"/>
                              </w:rPr>
                            </w:pPr>
                            <w:r>
                              <w:rPr>
                                <w:b/>
                                <w:sz w:val="20"/>
                              </w:rPr>
                              <w:t>Average</w:t>
                            </w:r>
                            <w:r>
                              <w:rPr>
                                <w:b/>
                                <w:spacing w:val="-9"/>
                                <w:sz w:val="20"/>
                              </w:rPr>
                              <w:t> </w:t>
                            </w:r>
                            <w:r>
                              <w:rPr>
                                <w:b/>
                                <w:sz w:val="20"/>
                              </w:rPr>
                              <w:t>Achievement</w:t>
                            </w:r>
                            <w:r>
                              <w:rPr>
                                <w:b/>
                                <w:spacing w:val="-9"/>
                                <w:sz w:val="20"/>
                              </w:rPr>
                              <w:t> </w:t>
                            </w:r>
                            <w:r>
                              <w:rPr>
                                <w:b/>
                                <w:sz w:val="20"/>
                              </w:rPr>
                              <w:t>Points</w:t>
                            </w:r>
                            <w:r>
                              <w:rPr>
                                <w:b/>
                                <w:spacing w:val="-7"/>
                                <w:sz w:val="20"/>
                              </w:rPr>
                              <w:t> </w:t>
                            </w:r>
                            <w:r>
                              <w:rPr>
                                <w:b/>
                                <w:spacing w:val="-2"/>
                                <w:sz w:val="20"/>
                              </w:rPr>
                              <w:t>Earned</w:t>
                            </w:r>
                          </w:p>
                        </w:tc>
                        <w:tc>
                          <w:tcPr>
                            <w:tcW w:w="1900" w:type="dxa"/>
                            <w:tcBorders>
                              <w:top w:val="single" w:sz="4" w:space="0" w:color="BEBEBE"/>
                              <w:left w:val="single" w:sz="4" w:space="0" w:color="BEBEBE"/>
                              <w:bottom w:val="single" w:sz="12" w:space="0" w:color="BEBEBE"/>
                              <w:right w:val="single" w:sz="8" w:space="0" w:color="BEBEBE"/>
                            </w:tcBorders>
                          </w:tcPr>
                          <w:p>
                            <w:pPr>
                              <w:pStyle w:val="TableParagraph"/>
                              <w:spacing w:line="229" w:lineRule="exact"/>
                              <w:ind w:left="323" w:right="309"/>
                              <w:jc w:val="center"/>
                              <w:rPr>
                                <w:b/>
                                <w:sz w:val="20"/>
                              </w:rPr>
                            </w:pPr>
                            <w:r>
                              <w:rPr>
                                <w:b/>
                                <w:spacing w:val="-4"/>
                                <w:sz w:val="20"/>
                              </w:rPr>
                              <w:t>0.60</w:t>
                            </w:r>
                          </w:p>
                        </w:tc>
                        <w:tc>
                          <w:tcPr>
                            <w:tcW w:w="554" w:type="dxa"/>
                            <w:vMerge/>
                            <w:tcBorders>
                              <w:top w:val="nil"/>
                              <w:left w:val="nil"/>
                              <w:right w:val="nil"/>
                            </w:tcBorders>
                          </w:tcPr>
                          <w:p>
                            <w:pPr>
                              <w:rPr>
                                <w:sz w:val="2"/>
                                <w:szCs w:val="2"/>
                              </w:rPr>
                            </w:pPr>
                          </w:p>
                        </w:tc>
                      </w:tr>
                    </w:tbl>
                    <w:p>
                      <w:pPr>
                        <w:pStyle w:val="BodyText"/>
                      </w:pPr>
                    </w:p>
                  </w:txbxContent>
                </v:textbox>
                <w10:wrap type="none"/>
              </v:shape>
            </w:pict>
          </mc:Fallback>
        </mc:AlternateContent>
      </w:r>
      <w:r>
        <w:rPr>
          <w:sz w:val="22"/>
        </w:rPr>
        <w:t>Exhibit</w:t>
      </w:r>
      <w:r>
        <w:rPr>
          <w:spacing w:val="-1"/>
          <w:sz w:val="22"/>
        </w:rPr>
        <w:t> </w:t>
      </w:r>
      <w:r>
        <w:rPr>
          <w:sz w:val="22"/>
        </w:rPr>
        <w:t>44</w:t>
      </w:r>
      <w:r>
        <w:rPr>
          <w:spacing w:val="-5"/>
          <w:sz w:val="22"/>
        </w:rPr>
        <w:t> </w:t>
      </w:r>
      <w:r>
        <w:rPr>
          <w:sz w:val="22"/>
        </w:rPr>
        <w:t>below</w:t>
      </w:r>
      <w:r>
        <w:rPr>
          <w:spacing w:val="-3"/>
          <w:sz w:val="22"/>
        </w:rPr>
        <w:t> </w:t>
      </w:r>
      <w:r>
        <w:rPr>
          <w:sz w:val="22"/>
        </w:rPr>
        <w:t>shows</w:t>
      </w:r>
      <w:r>
        <w:rPr>
          <w:spacing w:val="-4"/>
          <w:sz w:val="22"/>
        </w:rPr>
        <w:t> </w:t>
      </w:r>
      <w:r>
        <w:rPr>
          <w:sz w:val="22"/>
        </w:rPr>
        <w:t>an</w:t>
      </w:r>
      <w:r>
        <w:rPr>
          <w:spacing w:val="-5"/>
          <w:sz w:val="22"/>
        </w:rPr>
        <w:t> </w:t>
      </w:r>
      <w:r>
        <w:rPr>
          <w:sz w:val="22"/>
        </w:rPr>
        <w:t>example</w:t>
      </w:r>
      <w:r>
        <w:rPr>
          <w:spacing w:val="-2"/>
          <w:sz w:val="22"/>
        </w:rPr>
        <w:t> </w:t>
      </w:r>
      <w:r>
        <w:rPr>
          <w:sz w:val="22"/>
        </w:rPr>
        <w:t>calculation</w:t>
      </w:r>
      <w:r>
        <w:rPr>
          <w:spacing w:val="-5"/>
          <w:sz w:val="22"/>
        </w:rPr>
        <w:t> </w:t>
      </w:r>
      <w:r>
        <w:rPr>
          <w:sz w:val="22"/>
        </w:rPr>
        <w:t>of</w:t>
      </w:r>
      <w:r>
        <w:rPr>
          <w:spacing w:val="-4"/>
          <w:sz w:val="22"/>
        </w:rPr>
        <w:t> </w:t>
      </w:r>
      <w:r>
        <w:rPr>
          <w:sz w:val="22"/>
        </w:rPr>
        <w:t>a</w:t>
      </w:r>
      <w:r>
        <w:rPr>
          <w:spacing w:val="-2"/>
          <w:sz w:val="22"/>
        </w:rPr>
        <w:t> </w:t>
      </w:r>
      <w:r>
        <w:rPr>
          <w:sz w:val="22"/>
        </w:rPr>
        <w:t>CP’s</w:t>
      </w:r>
      <w:r>
        <w:rPr>
          <w:spacing w:val="-2"/>
          <w:sz w:val="22"/>
        </w:rPr>
        <w:t> </w:t>
      </w:r>
      <w:r>
        <w:rPr>
          <w:sz w:val="22"/>
        </w:rPr>
        <w:t>or</w:t>
      </w:r>
      <w:r>
        <w:rPr>
          <w:spacing w:val="-1"/>
          <w:sz w:val="22"/>
        </w:rPr>
        <w:t> </w:t>
      </w:r>
      <w:r>
        <w:rPr>
          <w:sz w:val="22"/>
        </w:rPr>
        <w:t>CSA’s</w:t>
      </w:r>
      <w:r>
        <w:rPr>
          <w:spacing w:val="-2"/>
          <w:sz w:val="22"/>
        </w:rPr>
        <w:t> </w:t>
      </w:r>
      <w:r>
        <w:rPr>
          <w:sz w:val="22"/>
        </w:rPr>
        <w:t>Domain</w:t>
      </w:r>
      <w:r>
        <w:rPr>
          <w:spacing w:val="-2"/>
          <w:sz w:val="22"/>
        </w:rPr>
        <w:t> </w:t>
      </w:r>
      <w:r>
        <w:rPr>
          <w:sz w:val="22"/>
        </w:rPr>
        <w:t>Score</w:t>
      </w:r>
      <w:r>
        <w:rPr>
          <w:spacing w:val="-2"/>
          <w:sz w:val="22"/>
        </w:rPr>
        <w:t> </w:t>
      </w:r>
      <w:r>
        <w:rPr>
          <w:sz w:val="22"/>
        </w:rPr>
        <w:t>for</w:t>
      </w:r>
      <w:r>
        <w:rPr>
          <w:spacing w:val="-4"/>
          <w:sz w:val="22"/>
        </w:rPr>
        <w:t> </w:t>
      </w:r>
      <w:r>
        <w:rPr>
          <w:sz w:val="22"/>
        </w:rPr>
        <w:t>a</w:t>
      </w:r>
      <w:r>
        <w:rPr>
          <w:spacing w:val="-2"/>
          <w:sz w:val="22"/>
        </w:rPr>
        <w:t> </w:t>
      </w:r>
      <w:r>
        <w:rPr>
          <w:sz w:val="22"/>
        </w:rPr>
        <w:t>Quality</w:t>
      </w:r>
      <w:r>
        <w:rPr>
          <w:spacing w:val="-5"/>
          <w:sz w:val="22"/>
        </w:rPr>
        <w:t> </w:t>
      </w:r>
      <w:r>
        <w:rPr>
          <w:sz w:val="22"/>
        </w:rPr>
        <w:t>Domain. EXHIBIT 44 – Example Calculation of CP or CSA Quality Domain Score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30"/>
        </w:rPr>
      </w:pPr>
    </w:p>
    <w:p>
      <w:pPr>
        <w:pStyle w:val="ListParagraph"/>
        <w:numPr>
          <w:ilvl w:val="3"/>
          <w:numId w:val="77"/>
        </w:numPr>
        <w:tabs>
          <w:tab w:pos="1939" w:val="left" w:leader="none"/>
        </w:tabs>
        <w:spacing w:line="252" w:lineRule="exact" w:before="0" w:after="0"/>
        <w:ind w:left="1939" w:right="0" w:hanging="719"/>
        <w:jc w:val="both"/>
        <w:rPr>
          <w:b/>
          <w:i/>
          <w:color w:val="4471C4"/>
          <w:sz w:val="22"/>
        </w:rPr>
      </w:pPr>
      <w:bookmarkStart w:name="5.4.4.3 Combining Domain Scores to Produ" w:id="1425"/>
      <w:bookmarkEnd w:id="1425"/>
      <w:r>
        <w:rPr/>
      </w:r>
      <w:r>
        <w:rPr>
          <w:b/>
          <w:i/>
          <w:color w:val="4471C4"/>
          <w:sz w:val="22"/>
        </w:rPr>
        <w:t>Combining</w:t>
      </w:r>
      <w:r>
        <w:rPr>
          <w:b/>
          <w:i/>
          <w:color w:val="4471C4"/>
          <w:spacing w:val="-6"/>
          <w:sz w:val="22"/>
        </w:rPr>
        <w:t> </w:t>
      </w:r>
      <w:r>
        <w:rPr>
          <w:b/>
          <w:i/>
          <w:color w:val="4471C4"/>
          <w:sz w:val="22"/>
        </w:rPr>
        <w:t>Domain</w:t>
      </w:r>
      <w:r>
        <w:rPr>
          <w:b/>
          <w:i/>
          <w:color w:val="4471C4"/>
          <w:spacing w:val="-5"/>
          <w:sz w:val="22"/>
        </w:rPr>
        <w:t> </w:t>
      </w:r>
      <w:r>
        <w:rPr>
          <w:b/>
          <w:i/>
          <w:color w:val="4471C4"/>
          <w:sz w:val="22"/>
        </w:rPr>
        <w:t>Scores</w:t>
      </w:r>
      <w:r>
        <w:rPr>
          <w:b/>
          <w:i/>
          <w:color w:val="4471C4"/>
          <w:spacing w:val="-3"/>
          <w:sz w:val="22"/>
        </w:rPr>
        <w:t> </w:t>
      </w:r>
      <w:r>
        <w:rPr>
          <w:b/>
          <w:i/>
          <w:color w:val="4471C4"/>
          <w:sz w:val="22"/>
        </w:rPr>
        <w:t>to</w:t>
      </w:r>
      <w:r>
        <w:rPr>
          <w:b/>
          <w:i/>
          <w:color w:val="4471C4"/>
          <w:spacing w:val="-4"/>
          <w:sz w:val="22"/>
        </w:rPr>
        <w:t> </w:t>
      </w:r>
      <w:r>
        <w:rPr>
          <w:b/>
          <w:i/>
          <w:color w:val="4471C4"/>
          <w:sz w:val="22"/>
        </w:rPr>
        <w:t>Produce</w:t>
      </w:r>
      <w:r>
        <w:rPr>
          <w:b/>
          <w:i/>
          <w:color w:val="4471C4"/>
          <w:spacing w:val="-5"/>
          <w:sz w:val="22"/>
        </w:rPr>
        <w:t> </w:t>
      </w:r>
      <w:r>
        <w:rPr>
          <w:b/>
          <w:i/>
          <w:color w:val="4471C4"/>
          <w:sz w:val="22"/>
        </w:rPr>
        <w:t>the</w:t>
      </w:r>
      <w:r>
        <w:rPr>
          <w:b/>
          <w:i/>
          <w:color w:val="4471C4"/>
          <w:spacing w:val="-4"/>
          <w:sz w:val="22"/>
        </w:rPr>
        <w:t> </w:t>
      </w:r>
      <w:r>
        <w:rPr>
          <w:b/>
          <w:i/>
          <w:color w:val="4471C4"/>
          <w:sz w:val="22"/>
        </w:rPr>
        <w:t>Quality</w:t>
      </w:r>
      <w:r>
        <w:rPr>
          <w:b/>
          <w:i/>
          <w:color w:val="4471C4"/>
          <w:spacing w:val="-3"/>
          <w:sz w:val="22"/>
        </w:rPr>
        <w:t> </w:t>
      </w:r>
      <w:r>
        <w:rPr>
          <w:b/>
          <w:i/>
          <w:color w:val="4471C4"/>
          <w:spacing w:val="-2"/>
          <w:sz w:val="22"/>
        </w:rPr>
        <w:t>Score</w:t>
      </w:r>
    </w:p>
    <w:p>
      <w:pPr>
        <w:spacing w:before="0"/>
        <w:ind w:left="1220" w:right="1096" w:firstLine="0"/>
        <w:jc w:val="both"/>
        <w:rPr>
          <w:sz w:val="22"/>
        </w:rPr>
      </w:pPr>
      <w:r>
        <w:rPr>
          <w:sz w:val="22"/>
        </w:rPr>
        <w:t>A CP’s or CSA’s Quality Score will be a weighted average of scores the CP or CSA achieves on the different</w:t>
      </w:r>
      <w:r>
        <w:rPr>
          <w:spacing w:val="-6"/>
          <w:sz w:val="22"/>
        </w:rPr>
        <w:t> </w:t>
      </w:r>
      <w:r>
        <w:rPr>
          <w:sz w:val="22"/>
        </w:rPr>
        <w:t>Domains</w:t>
      </w:r>
      <w:r>
        <w:rPr>
          <w:spacing w:val="-7"/>
          <w:sz w:val="22"/>
        </w:rPr>
        <w:t> </w:t>
      </w:r>
      <w:r>
        <w:rPr>
          <w:sz w:val="22"/>
        </w:rPr>
        <w:t>for</w:t>
      </w:r>
      <w:r>
        <w:rPr>
          <w:spacing w:val="-6"/>
          <w:sz w:val="22"/>
        </w:rPr>
        <w:t> </w:t>
      </w:r>
      <w:r>
        <w:rPr>
          <w:sz w:val="22"/>
        </w:rPr>
        <w:t>which</w:t>
      </w:r>
      <w:r>
        <w:rPr>
          <w:spacing w:val="-5"/>
          <w:sz w:val="22"/>
        </w:rPr>
        <w:t> </w:t>
      </w:r>
      <w:r>
        <w:rPr>
          <w:sz w:val="22"/>
        </w:rPr>
        <w:t>it</w:t>
      </w:r>
      <w:r>
        <w:rPr>
          <w:spacing w:val="-4"/>
          <w:sz w:val="22"/>
        </w:rPr>
        <w:t> </w:t>
      </w:r>
      <w:r>
        <w:rPr>
          <w:sz w:val="22"/>
        </w:rPr>
        <w:t>is</w:t>
      </w:r>
      <w:r>
        <w:rPr>
          <w:spacing w:val="-4"/>
          <w:sz w:val="22"/>
        </w:rPr>
        <w:t> </w:t>
      </w:r>
      <w:r>
        <w:rPr>
          <w:sz w:val="22"/>
        </w:rPr>
        <w:t>accountable.</w:t>
      </w:r>
      <w:r>
        <w:rPr>
          <w:spacing w:val="-9"/>
          <w:sz w:val="22"/>
        </w:rPr>
        <w:t> </w:t>
      </w:r>
      <w:r>
        <w:rPr>
          <w:sz w:val="22"/>
        </w:rPr>
        <w:t>The</w:t>
      </w:r>
      <w:r>
        <w:rPr>
          <w:spacing w:val="-7"/>
          <w:sz w:val="22"/>
        </w:rPr>
        <w:t> </w:t>
      </w:r>
      <w:r>
        <w:rPr>
          <w:sz w:val="22"/>
        </w:rPr>
        <w:t>anticipated</w:t>
      </w:r>
      <w:r>
        <w:rPr>
          <w:spacing w:val="-7"/>
          <w:sz w:val="22"/>
        </w:rPr>
        <w:t> </w:t>
      </w:r>
      <w:r>
        <w:rPr>
          <w:sz w:val="22"/>
        </w:rPr>
        <w:t>Domains</w:t>
      </w:r>
      <w:r>
        <w:rPr>
          <w:spacing w:val="-4"/>
          <w:sz w:val="22"/>
        </w:rPr>
        <w:t> </w:t>
      </w:r>
      <w:r>
        <w:rPr>
          <w:sz w:val="22"/>
        </w:rPr>
        <w:t>and</w:t>
      </w:r>
      <w:r>
        <w:rPr>
          <w:spacing w:val="-5"/>
          <w:sz w:val="22"/>
        </w:rPr>
        <w:t> </w:t>
      </w:r>
      <w:r>
        <w:rPr>
          <w:sz w:val="22"/>
        </w:rPr>
        <w:t>Domain</w:t>
      </w:r>
      <w:r>
        <w:rPr>
          <w:spacing w:val="-5"/>
          <w:sz w:val="22"/>
        </w:rPr>
        <w:t> </w:t>
      </w:r>
      <w:r>
        <w:rPr>
          <w:sz w:val="22"/>
        </w:rPr>
        <w:t>weighting</w:t>
      </w:r>
      <w:r>
        <w:rPr>
          <w:spacing w:val="-7"/>
          <w:sz w:val="22"/>
        </w:rPr>
        <w:t> </w:t>
      </w:r>
      <w:r>
        <w:rPr>
          <w:sz w:val="22"/>
        </w:rPr>
        <w:t>is</w:t>
      </w:r>
      <w:r>
        <w:rPr>
          <w:spacing w:val="-4"/>
          <w:sz w:val="22"/>
        </w:rPr>
        <w:t> </w:t>
      </w:r>
      <w:r>
        <w:rPr>
          <w:sz w:val="22"/>
        </w:rPr>
        <w:t>different across BH CPs, LTSS CPs and CSAs, as set forth in the following Exhibits.</w:t>
      </w:r>
    </w:p>
    <w:p>
      <w:pPr>
        <w:pStyle w:val="BodyText"/>
      </w:pPr>
    </w:p>
    <w:p>
      <w:pPr>
        <w:pStyle w:val="BodyText"/>
      </w:pPr>
    </w:p>
    <w:p>
      <w:pPr>
        <w:pStyle w:val="BodyText"/>
      </w:pPr>
    </w:p>
    <w:p>
      <w:pPr>
        <w:pStyle w:val="BodyText"/>
        <w:spacing w:before="11"/>
        <w:rPr>
          <w:sz w:val="29"/>
        </w:rPr>
      </w:pPr>
    </w:p>
    <w:p>
      <w:pPr>
        <w:spacing w:before="0"/>
        <w:ind w:left="1220" w:right="0" w:firstLine="0"/>
        <w:jc w:val="left"/>
        <w:rPr>
          <w:sz w:val="22"/>
        </w:rPr>
      </w:pPr>
      <w:r>
        <w:rPr>
          <w:sz w:val="22"/>
        </w:rPr>
        <w:t>EXHIBIT</w:t>
      </w:r>
      <w:r>
        <w:rPr>
          <w:spacing w:val="-3"/>
          <w:sz w:val="22"/>
        </w:rPr>
        <w:t> </w:t>
      </w:r>
      <w:r>
        <w:rPr>
          <w:sz w:val="22"/>
        </w:rPr>
        <w:t>45</w:t>
      </w:r>
      <w:r>
        <w:rPr>
          <w:spacing w:val="-3"/>
          <w:sz w:val="22"/>
        </w:rPr>
        <w:t> </w:t>
      </w:r>
      <w:r>
        <w:rPr>
          <w:sz w:val="22"/>
        </w:rPr>
        <w:t>–</w:t>
      </w:r>
      <w:r>
        <w:rPr>
          <w:spacing w:val="-2"/>
          <w:sz w:val="22"/>
        </w:rPr>
        <w:t> </w:t>
      </w:r>
      <w:r>
        <w:rPr>
          <w:sz w:val="22"/>
        </w:rPr>
        <w:t>Domain</w:t>
      </w:r>
      <w:r>
        <w:rPr>
          <w:spacing w:val="-3"/>
          <w:sz w:val="22"/>
        </w:rPr>
        <w:t> </w:t>
      </w:r>
      <w:r>
        <w:rPr>
          <w:sz w:val="22"/>
        </w:rPr>
        <w:t>Weighting</w:t>
      </w:r>
      <w:r>
        <w:rPr>
          <w:spacing w:val="-5"/>
          <w:sz w:val="22"/>
        </w:rPr>
        <w:t> </w:t>
      </w:r>
      <w:r>
        <w:rPr>
          <w:sz w:val="22"/>
        </w:rPr>
        <w:t>for</w:t>
      </w:r>
      <w:r>
        <w:rPr>
          <w:spacing w:val="-5"/>
          <w:sz w:val="22"/>
        </w:rPr>
        <w:t> </w:t>
      </w:r>
      <w:r>
        <w:rPr>
          <w:sz w:val="22"/>
        </w:rPr>
        <w:t>BH</w:t>
      </w:r>
      <w:r>
        <w:rPr>
          <w:spacing w:val="-3"/>
          <w:sz w:val="22"/>
        </w:rPr>
        <w:t> </w:t>
      </w:r>
      <w:r>
        <w:rPr>
          <w:spacing w:val="-5"/>
          <w:sz w:val="22"/>
        </w:rPr>
        <w:t>CPs</w:t>
      </w:r>
    </w:p>
    <w:tbl>
      <w:tblPr>
        <w:tblW w:w="0" w:type="auto"/>
        <w:jc w:val="left"/>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4"/>
        <w:gridCol w:w="326"/>
        <w:gridCol w:w="3460"/>
        <w:gridCol w:w="1644"/>
        <w:gridCol w:w="1645"/>
        <w:gridCol w:w="1142"/>
      </w:tblGrid>
      <w:tr>
        <w:trPr>
          <w:trHeight w:val="409" w:hRule="atLeast"/>
        </w:trPr>
        <w:tc>
          <w:tcPr>
            <w:tcW w:w="1154" w:type="dxa"/>
            <w:vMerge w:val="restart"/>
            <w:tcBorders>
              <w:left w:val="nil"/>
              <w:right w:val="single" w:sz="8" w:space="0" w:color="BEBEBE"/>
            </w:tcBorders>
          </w:tcPr>
          <w:p>
            <w:pPr>
              <w:pStyle w:val="TableParagraph"/>
              <w:rPr>
                <w:sz w:val="20"/>
              </w:rPr>
            </w:pPr>
          </w:p>
        </w:tc>
        <w:tc>
          <w:tcPr>
            <w:tcW w:w="7075" w:type="dxa"/>
            <w:gridSpan w:val="4"/>
            <w:tcBorders>
              <w:top w:val="single" w:sz="12" w:space="0" w:color="BEBEBE"/>
              <w:left w:val="single" w:sz="8" w:space="0" w:color="BEBEBE"/>
              <w:bottom w:val="single" w:sz="8" w:space="0" w:color="BEBEBE"/>
              <w:right w:val="single" w:sz="8" w:space="0" w:color="BEBEBE"/>
            </w:tcBorders>
            <w:shd w:val="clear" w:color="auto" w:fill="1F487C"/>
          </w:tcPr>
          <w:p>
            <w:pPr>
              <w:pStyle w:val="TableParagraph"/>
              <w:spacing w:before="2"/>
              <w:ind w:left="1011" w:right="1003"/>
              <w:jc w:val="center"/>
              <w:rPr>
                <w:b/>
                <w:sz w:val="20"/>
              </w:rPr>
            </w:pPr>
            <w:r>
              <w:rPr>
                <w:b/>
                <w:color w:val="FFFFFF"/>
                <w:sz w:val="20"/>
              </w:rPr>
              <w:t>BH</w:t>
            </w:r>
            <w:r>
              <w:rPr>
                <w:b/>
                <w:color w:val="FFFFFF"/>
                <w:spacing w:val="-6"/>
                <w:sz w:val="20"/>
              </w:rPr>
              <w:t> </w:t>
            </w:r>
            <w:r>
              <w:rPr>
                <w:b/>
                <w:color w:val="FFFFFF"/>
                <w:sz w:val="20"/>
              </w:rPr>
              <w:t>CP</w:t>
            </w:r>
            <w:r>
              <w:rPr>
                <w:b/>
                <w:color w:val="FFFFFF"/>
                <w:spacing w:val="-5"/>
                <w:sz w:val="20"/>
              </w:rPr>
              <w:t> </w:t>
            </w:r>
            <w:r>
              <w:rPr>
                <w:b/>
                <w:color w:val="FFFFFF"/>
                <w:sz w:val="20"/>
              </w:rPr>
              <w:t>Quality</w:t>
            </w:r>
            <w:r>
              <w:rPr>
                <w:b/>
                <w:color w:val="FFFFFF"/>
                <w:spacing w:val="-5"/>
                <w:sz w:val="20"/>
              </w:rPr>
              <w:t> </w:t>
            </w:r>
            <w:r>
              <w:rPr>
                <w:b/>
                <w:color w:val="FFFFFF"/>
                <w:sz w:val="20"/>
              </w:rPr>
              <w:t>Domain</w:t>
            </w:r>
            <w:r>
              <w:rPr>
                <w:b/>
                <w:color w:val="FFFFFF"/>
                <w:spacing w:val="-6"/>
                <w:sz w:val="20"/>
              </w:rPr>
              <w:t> </w:t>
            </w:r>
            <w:r>
              <w:rPr>
                <w:b/>
                <w:color w:val="FFFFFF"/>
                <w:spacing w:val="-2"/>
                <w:sz w:val="20"/>
              </w:rPr>
              <w:t>Weights</w:t>
            </w:r>
          </w:p>
        </w:tc>
        <w:tc>
          <w:tcPr>
            <w:tcW w:w="1142" w:type="dxa"/>
            <w:vMerge w:val="restart"/>
            <w:tcBorders>
              <w:left w:val="single" w:sz="8" w:space="0" w:color="BEBEBE"/>
              <w:right w:val="nil"/>
            </w:tcBorders>
          </w:tcPr>
          <w:p>
            <w:pPr>
              <w:pStyle w:val="TableParagraph"/>
              <w:rPr>
                <w:sz w:val="20"/>
              </w:rPr>
            </w:pPr>
          </w:p>
        </w:tc>
      </w:tr>
      <w:tr>
        <w:trPr>
          <w:trHeight w:val="460" w:hRule="atLeast"/>
        </w:trPr>
        <w:tc>
          <w:tcPr>
            <w:tcW w:w="1154" w:type="dxa"/>
            <w:vMerge/>
            <w:tcBorders>
              <w:top w:val="nil"/>
              <w:left w:val="nil"/>
              <w:right w:val="single" w:sz="8" w:space="0" w:color="BEBEBE"/>
            </w:tcBorders>
          </w:tcPr>
          <w:p>
            <w:pPr>
              <w:rPr>
                <w:sz w:val="2"/>
                <w:szCs w:val="2"/>
              </w:rPr>
            </w:pPr>
          </w:p>
        </w:tc>
        <w:tc>
          <w:tcPr>
            <w:tcW w:w="3786" w:type="dxa"/>
            <w:gridSpan w:val="2"/>
            <w:tcBorders>
              <w:top w:val="single" w:sz="8" w:space="0" w:color="BEBEBE"/>
              <w:left w:val="single" w:sz="8" w:space="0" w:color="BEBEBE"/>
              <w:bottom w:val="single" w:sz="4" w:space="0" w:color="BEBEBE"/>
              <w:right w:val="single" w:sz="4" w:space="0" w:color="BEBEBE"/>
            </w:tcBorders>
            <w:shd w:val="clear" w:color="auto" w:fill="D9D9D9"/>
          </w:tcPr>
          <w:p>
            <w:pPr>
              <w:pStyle w:val="TableParagraph"/>
              <w:ind w:left="1199"/>
              <w:rPr>
                <w:b/>
                <w:sz w:val="20"/>
              </w:rPr>
            </w:pPr>
            <w:r>
              <w:rPr>
                <w:b/>
                <w:sz w:val="20"/>
              </w:rPr>
              <w:t>Quality</w:t>
            </w:r>
            <w:r>
              <w:rPr>
                <w:b/>
                <w:spacing w:val="-10"/>
                <w:sz w:val="20"/>
              </w:rPr>
              <w:t> </w:t>
            </w:r>
            <w:r>
              <w:rPr>
                <w:b/>
                <w:spacing w:val="-2"/>
                <w:sz w:val="20"/>
              </w:rPr>
              <w:t>Domain</w:t>
            </w:r>
          </w:p>
        </w:tc>
        <w:tc>
          <w:tcPr>
            <w:tcW w:w="1644" w:type="dxa"/>
            <w:tcBorders>
              <w:top w:val="single" w:sz="8" w:space="0" w:color="BEBEBE"/>
              <w:left w:val="single" w:sz="4" w:space="0" w:color="BEBEBE"/>
              <w:bottom w:val="single" w:sz="4" w:space="0" w:color="BEBEBE"/>
              <w:right w:val="nil"/>
            </w:tcBorders>
            <w:shd w:val="clear" w:color="auto" w:fill="D9D9D9"/>
          </w:tcPr>
          <w:p>
            <w:pPr>
              <w:pStyle w:val="TableParagraph"/>
              <w:spacing w:line="230" w:lineRule="exact"/>
              <w:ind w:left="618" w:right="137" w:hanging="473"/>
              <w:rPr>
                <w:b/>
                <w:sz w:val="20"/>
              </w:rPr>
            </w:pPr>
            <w:r>
              <w:rPr>
                <w:b/>
                <w:sz w:val="20"/>
              </w:rPr>
              <w:t>Domain</w:t>
            </w:r>
            <w:r>
              <w:rPr>
                <w:b/>
                <w:spacing w:val="-13"/>
                <w:sz w:val="20"/>
              </w:rPr>
              <w:t> </w:t>
            </w:r>
            <w:r>
              <w:rPr>
                <w:b/>
                <w:sz w:val="20"/>
              </w:rPr>
              <w:t>Weight BP 3</w:t>
            </w:r>
          </w:p>
        </w:tc>
        <w:tc>
          <w:tcPr>
            <w:tcW w:w="1645" w:type="dxa"/>
            <w:tcBorders>
              <w:top w:val="single" w:sz="8" w:space="0" w:color="BEBEBE"/>
              <w:left w:val="nil"/>
              <w:bottom w:val="single" w:sz="4" w:space="0" w:color="BEBEBE"/>
              <w:right w:val="single" w:sz="8" w:space="0" w:color="BEBEBE"/>
            </w:tcBorders>
            <w:shd w:val="clear" w:color="auto" w:fill="D9D9D9"/>
          </w:tcPr>
          <w:p>
            <w:pPr>
              <w:pStyle w:val="TableParagraph"/>
              <w:spacing w:line="230" w:lineRule="exact"/>
              <w:ind w:left="488" w:right="129" w:hanging="339"/>
              <w:rPr>
                <w:b/>
                <w:sz w:val="20"/>
              </w:rPr>
            </w:pPr>
            <w:r>
              <w:rPr>
                <w:b/>
                <w:sz w:val="20"/>
              </w:rPr>
              <w:t>Domain</w:t>
            </w:r>
            <w:r>
              <w:rPr>
                <w:b/>
                <w:spacing w:val="-13"/>
                <w:sz w:val="20"/>
              </w:rPr>
              <w:t> </w:t>
            </w:r>
            <w:r>
              <w:rPr>
                <w:b/>
                <w:sz w:val="20"/>
              </w:rPr>
              <w:t>Weight BP 4 - 5</w:t>
            </w:r>
          </w:p>
        </w:tc>
        <w:tc>
          <w:tcPr>
            <w:tcW w:w="1142" w:type="dxa"/>
            <w:vMerge/>
            <w:tcBorders>
              <w:top w:val="nil"/>
              <w:left w:val="single" w:sz="8" w:space="0" w:color="BEBEBE"/>
              <w:right w:val="nil"/>
            </w:tcBorders>
          </w:tcPr>
          <w:p>
            <w:pPr>
              <w:rPr>
                <w:sz w:val="2"/>
                <w:szCs w:val="2"/>
              </w:rPr>
            </w:pPr>
          </w:p>
        </w:tc>
      </w:tr>
      <w:tr>
        <w:trPr>
          <w:trHeight w:val="230" w:hRule="atLeast"/>
        </w:trPr>
        <w:tc>
          <w:tcPr>
            <w:tcW w:w="1154" w:type="dxa"/>
            <w:vMerge/>
            <w:tcBorders>
              <w:top w:val="nil"/>
              <w:left w:val="nil"/>
              <w:right w:val="single" w:sz="8" w:space="0" w:color="BEBEBE"/>
            </w:tcBorders>
          </w:tcPr>
          <w:p>
            <w:pPr>
              <w:rPr>
                <w:sz w:val="2"/>
                <w:szCs w:val="2"/>
              </w:rPr>
            </w:pPr>
          </w:p>
        </w:tc>
        <w:tc>
          <w:tcPr>
            <w:tcW w:w="326" w:type="dxa"/>
            <w:tcBorders>
              <w:top w:val="single" w:sz="4" w:space="0" w:color="BEBEBE"/>
              <w:left w:val="single" w:sz="8" w:space="0" w:color="BEBEBE"/>
              <w:bottom w:val="single" w:sz="4" w:space="0" w:color="BEBEBE"/>
              <w:right w:val="single" w:sz="4" w:space="0" w:color="BEBEBE"/>
            </w:tcBorders>
          </w:tcPr>
          <w:p>
            <w:pPr>
              <w:pStyle w:val="TableParagraph"/>
              <w:spacing w:line="210" w:lineRule="exact"/>
              <w:ind w:right="103"/>
              <w:jc w:val="right"/>
              <w:rPr>
                <w:sz w:val="20"/>
              </w:rPr>
            </w:pPr>
            <w:r>
              <w:rPr>
                <w:w w:val="99"/>
                <w:sz w:val="20"/>
              </w:rPr>
              <w:t>1</w:t>
            </w:r>
          </w:p>
        </w:tc>
        <w:tc>
          <w:tcPr>
            <w:tcW w:w="3460" w:type="dxa"/>
            <w:tcBorders>
              <w:top w:val="single" w:sz="4" w:space="0" w:color="BEBEBE"/>
              <w:left w:val="single" w:sz="4" w:space="0" w:color="BEBEBE"/>
              <w:bottom w:val="single" w:sz="4" w:space="0" w:color="BEBEBE"/>
              <w:right w:val="single" w:sz="4" w:space="0" w:color="BEBEBE"/>
            </w:tcBorders>
          </w:tcPr>
          <w:p>
            <w:pPr>
              <w:pStyle w:val="TableParagraph"/>
              <w:spacing w:line="210" w:lineRule="exact"/>
              <w:ind w:left="106"/>
              <w:rPr>
                <w:sz w:val="20"/>
              </w:rPr>
            </w:pPr>
            <w:r>
              <w:rPr>
                <w:sz w:val="20"/>
              </w:rPr>
              <w:t>Care</w:t>
            </w:r>
            <w:r>
              <w:rPr>
                <w:spacing w:val="-5"/>
                <w:sz w:val="20"/>
              </w:rPr>
              <w:t> </w:t>
            </w:r>
            <w:r>
              <w:rPr>
                <w:spacing w:val="-2"/>
                <w:sz w:val="20"/>
              </w:rPr>
              <w:t>Integration</w:t>
            </w:r>
          </w:p>
        </w:tc>
        <w:tc>
          <w:tcPr>
            <w:tcW w:w="1644" w:type="dxa"/>
            <w:tcBorders>
              <w:top w:val="single" w:sz="4" w:space="0" w:color="BEBEBE"/>
              <w:left w:val="single" w:sz="4" w:space="0" w:color="BEBEBE"/>
              <w:bottom w:val="single" w:sz="4" w:space="0" w:color="BEBEBE"/>
              <w:right w:val="nil"/>
            </w:tcBorders>
          </w:tcPr>
          <w:p>
            <w:pPr>
              <w:pStyle w:val="TableParagraph"/>
              <w:spacing w:line="210" w:lineRule="exact"/>
              <w:ind w:left="559" w:right="555"/>
              <w:jc w:val="center"/>
              <w:rPr>
                <w:sz w:val="20"/>
              </w:rPr>
            </w:pPr>
            <w:r>
              <w:rPr>
                <w:spacing w:val="-5"/>
                <w:sz w:val="20"/>
              </w:rPr>
              <w:t>45%</w:t>
            </w:r>
          </w:p>
        </w:tc>
        <w:tc>
          <w:tcPr>
            <w:tcW w:w="1645" w:type="dxa"/>
            <w:tcBorders>
              <w:top w:val="single" w:sz="4" w:space="0" w:color="BEBEBE"/>
              <w:left w:val="nil"/>
              <w:bottom w:val="single" w:sz="4" w:space="0" w:color="BEBEBE"/>
              <w:right w:val="single" w:sz="8" w:space="0" w:color="BEBEBE"/>
            </w:tcBorders>
          </w:tcPr>
          <w:p>
            <w:pPr>
              <w:pStyle w:val="TableParagraph"/>
              <w:spacing w:line="210" w:lineRule="exact"/>
              <w:ind w:left="212" w:right="194"/>
              <w:jc w:val="center"/>
              <w:rPr>
                <w:sz w:val="20"/>
              </w:rPr>
            </w:pPr>
            <w:r>
              <w:rPr>
                <w:spacing w:val="-5"/>
                <w:sz w:val="20"/>
              </w:rPr>
              <w:t>40%</w:t>
            </w:r>
          </w:p>
        </w:tc>
        <w:tc>
          <w:tcPr>
            <w:tcW w:w="1142" w:type="dxa"/>
            <w:vMerge/>
            <w:tcBorders>
              <w:top w:val="nil"/>
              <w:left w:val="single" w:sz="8" w:space="0" w:color="BEBEBE"/>
              <w:right w:val="nil"/>
            </w:tcBorders>
          </w:tcPr>
          <w:p>
            <w:pPr>
              <w:rPr>
                <w:sz w:val="2"/>
                <w:szCs w:val="2"/>
              </w:rPr>
            </w:pPr>
          </w:p>
        </w:tc>
      </w:tr>
      <w:tr>
        <w:trPr>
          <w:trHeight w:val="230" w:hRule="atLeast"/>
        </w:trPr>
        <w:tc>
          <w:tcPr>
            <w:tcW w:w="1154" w:type="dxa"/>
            <w:vMerge/>
            <w:tcBorders>
              <w:top w:val="nil"/>
              <w:left w:val="nil"/>
              <w:right w:val="single" w:sz="8" w:space="0" w:color="BEBEBE"/>
            </w:tcBorders>
          </w:tcPr>
          <w:p>
            <w:pPr>
              <w:rPr>
                <w:sz w:val="2"/>
                <w:szCs w:val="2"/>
              </w:rPr>
            </w:pPr>
          </w:p>
        </w:tc>
        <w:tc>
          <w:tcPr>
            <w:tcW w:w="326" w:type="dxa"/>
            <w:tcBorders>
              <w:top w:val="single" w:sz="4" w:space="0" w:color="BEBEBE"/>
              <w:left w:val="single" w:sz="8" w:space="0" w:color="BEBEBE"/>
              <w:bottom w:val="single" w:sz="4" w:space="0" w:color="BEBEBE"/>
              <w:right w:val="single" w:sz="4" w:space="0" w:color="BEBEBE"/>
            </w:tcBorders>
          </w:tcPr>
          <w:p>
            <w:pPr>
              <w:pStyle w:val="TableParagraph"/>
              <w:spacing w:line="210" w:lineRule="exact"/>
              <w:ind w:right="103"/>
              <w:jc w:val="right"/>
              <w:rPr>
                <w:sz w:val="20"/>
              </w:rPr>
            </w:pPr>
            <w:r>
              <w:rPr>
                <w:w w:val="99"/>
                <w:sz w:val="20"/>
              </w:rPr>
              <w:t>2</w:t>
            </w:r>
          </w:p>
        </w:tc>
        <w:tc>
          <w:tcPr>
            <w:tcW w:w="3460" w:type="dxa"/>
            <w:tcBorders>
              <w:top w:val="single" w:sz="4" w:space="0" w:color="BEBEBE"/>
              <w:left w:val="single" w:sz="4" w:space="0" w:color="BEBEBE"/>
              <w:bottom w:val="single" w:sz="4" w:space="0" w:color="BEBEBE"/>
              <w:right w:val="single" w:sz="4" w:space="0" w:color="BEBEBE"/>
            </w:tcBorders>
          </w:tcPr>
          <w:p>
            <w:pPr>
              <w:pStyle w:val="TableParagraph"/>
              <w:spacing w:line="210" w:lineRule="exact"/>
              <w:ind w:left="106"/>
              <w:rPr>
                <w:sz w:val="20"/>
              </w:rPr>
            </w:pPr>
            <w:r>
              <w:rPr>
                <w:sz w:val="20"/>
              </w:rPr>
              <w:t>Population</w:t>
            </w:r>
            <w:r>
              <w:rPr>
                <w:spacing w:val="-10"/>
                <w:sz w:val="20"/>
              </w:rPr>
              <w:t> </w:t>
            </w:r>
            <w:r>
              <w:rPr>
                <w:spacing w:val="-2"/>
                <w:sz w:val="20"/>
              </w:rPr>
              <w:t>Health</w:t>
            </w:r>
          </w:p>
        </w:tc>
        <w:tc>
          <w:tcPr>
            <w:tcW w:w="1644" w:type="dxa"/>
            <w:tcBorders>
              <w:top w:val="single" w:sz="4" w:space="0" w:color="BEBEBE"/>
              <w:left w:val="single" w:sz="4" w:space="0" w:color="BEBEBE"/>
              <w:bottom w:val="single" w:sz="4" w:space="0" w:color="BEBEBE"/>
              <w:right w:val="nil"/>
            </w:tcBorders>
          </w:tcPr>
          <w:p>
            <w:pPr>
              <w:pStyle w:val="TableParagraph"/>
              <w:spacing w:line="210" w:lineRule="exact"/>
              <w:ind w:left="559" w:right="555"/>
              <w:jc w:val="center"/>
              <w:rPr>
                <w:sz w:val="20"/>
              </w:rPr>
            </w:pPr>
            <w:r>
              <w:rPr>
                <w:spacing w:val="-5"/>
                <w:sz w:val="20"/>
              </w:rPr>
              <w:t>40%</w:t>
            </w:r>
          </w:p>
        </w:tc>
        <w:tc>
          <w:tcPr>
            <w:tcW w:w="1645" w:type="dxa"/>
            <w:tcBorders>
              <w:top w:val="single" w:sz="4" w:space="0" w:color="BEBEBE"/>
              <w:left w:val="nil"/>
              <w:bottom w:val="single" w:sz="4" w:space="0" w:color="BEBEBE"/>
              <w:right w:val="single" w:sz="8" w:space="0" w:color="BEBEBE"/>
            </w:tcBorders>
          </w:tcPr>
          <w:p>
            <w:pPr>
              <w:pStyle w:val="TableParagraph"/>
              <w:spacing w:line="210" w:lineRule="exact"/>
              <w:ind w:left="212" w:right="194"/>
              <w:jc w:val="center"/>
              <w:rPr>
                <w:sz w:val="20"/>
              </w:rPr>
            </w:pPr>
            <w:r>
              <w:rPr>
                <w:spacing w:val="-5"/>
                <w:sz w:val="20"/>
              </w:rPr>
              <w:t>35%</w:t>
            </w:r>
          </w:p>
        </w:tc>
        <w:tc>
          <w:tcPr>
            <w:tcW w:w="1142" w:type="dxa"/>
            <w:vMerge/>
            <w:tcBorders>
              <w:top w:val="nil"/>
              <w:left w:val="single" w:sz="8" w:space="0" w:color="BEBEBE"/>
              <w:right w:val="nil"/>
            </w:tcBorders>
          </w:tcPr>
          <w:p>
            <w:pPr>
              <w:rPr>
                <w:sz w:val="2"/>
                <w:szCs w:val="2"/>
              </w:rPr>
            </w:pPr>
          </w:p>
        </w:tc>
      </w:tr>
      <w:tr>
        <w:trPr>
          <w:trHeight w:val="229" w:hRule="atLeast"/>
        </w:trPr>
        <w:tc>
          <w:tcPr>
            <w:tcW w:w="1154" w:type="dxa"/>
            <w:vMerge/>
            <w:tcBorders>
              <w:top w:val="nil"/>
              <w:left w:val="nil"/>
              <w:right w:val="single" w:sz="8" w:space="0" w:color="BEBEBE"/>
            </w:tcBorders>
          </w:tcPr>
          <w:p>
            <w:pPr>
              <w:rPr>
                <w:sz w:val="2"/>
                <w:szCs w:val="2"/>
              </w:rPr>
            </w:pPr>
          </w:p>
        </w:tc>
        <w:tc>
          <w:tcPr>
            <w:tcW w:w="326" w:type="dxa"/>
            <w:tcBorders>
              <w:top w:val="single" w:sz="4" w:space="0" w:color="BEBEBE"/>
              <w:left w:val="single" w:sz="8" w:space="0" w:color="BEBEBE"/>
              <w:bottom w:val="single" w:sz="4" w:space="0" w:color="BEBEBE"/>
              <w:right w:val="single" w:sz="4" w:space="0" w:color="BEBEBE"/>
            </w:tcBorders>
          </w:tcPr>
          <w:p>
            <w:pPr>
              <w:pStyle w:val="TableParagraph"/>
              <w:spacing w:line="210" w:lineRule="exact"/>
              <w:ind w:right="103"/>
              <w:jc w:val="right"/>
              <w:rPr>
                <w:sz w:val="20"/>
              </w:rPr>
            </w:pPr>
            <w:r>
              <w:rPr>
                <w:w w:val="99"/>
                <w:sz w:val="20"/>
              </w:rPr>
              <w:t>3</w:t>
            </w:r>
          </w:p>
        </w:tc>
        <w:tc>
          <w:tcPr>
            <w:tcW w:w="3460" w:type="dxa"/>
            <w:tcBorders>
              <w:top w:val="single" w:sz="4" w:space="0" w:color="BEBEBE"/>
              <w:left w:val="single" w:sz="4" w:space="0" w:color="BEBEBE"/>
              <w:bottom w:val="single" w:sz="4" w:space="0" w:color="BEBEBE"/>
              <w:right w:val="single" w:sz="4" w:space="0" w:color="BEBEBE"/>
            </w:tcBorders>
          </w:tcPr>
          <w:p>
            <w:pPr>
              <w:pStyle w:val="TableParagraph"/>
              <w:spacing w:line="210" w:lineRule="exact"/>
              <w:ind w:left="106"/>
              <w:rPr>
                <w:sz w:val="20"/>
              </w:rPr>
            </w:pPr>
            <w:r>
              <w:rPr>
                <w:sz w:val="20"/>
              </w:rPr>
              <w:t>Avoidable</w:t>
            </w:r>
            <w:r>
              <w:rPr>
                <w:spacing w:val="-10"/>
                <w:sz w:val="20"/>
              </w:rPr>
              <w:t> </w:t>
            </w:r>
            <w:r>
              <w:rPr>
                <w:spacing w:val="-2"/>
                <w:sz w:val="20"/>
              </w:rPr>
              <w:t>Utilization</w:t>
            </w:r>
          </w:p>
        </w:tc>
        <w:tc>
          <w:tcPr>
            <w:tcW w:w="1644" w:type="dxa"/>
            <w:tcBorders>
              <w:top w:val="single" w:sz="4" w:space="0" w:color="BEBEBE"/>
              <w:left w:val="single" w:sz="4" w:space="0" w:color="BEBEBE"/>
              <w:bottom w:val="single" w:sz="4" w:space="0" w:color="BEBEBE"/>
              <w:right w:val="nil"/>
            </w:tcBorders>
          </w:tcPr>
          <w:p>
            <w:pPr>
              <w:pStyle w:val="TableParagraph"/>
              <w:spacing w:line="210" w:lineRule="exact"/>
              <w:ind w:left="559" w:right="555"/>
              <w:jc w:val="center"/>
              <w:rPr>
                <w:sz w:val="20"/>
              </w:rPr>
            </w:pPr>
            <w:r>
              <w:rPr>
                <w:spacing w:val="-5"/>
                <w:sz w:val="20"/>
              </w:rPr>
              <w:t>15%</w:t>
            </w:r>
          </w:p>
        </w:tc>
        <w:tc>
          <w:tcPr>
            <w:tcW w:w="1645" w:type="dxa"/>
            <w:tcBorders>
              <w:top w:val="single" w:sz="4" w:space="0" w:color="BEBEBE"/>
              <w:left w:val="nil"/>
              <w:bottom w:val="single" w:sz="4" w:space="0" w:color="BEBEBE"/>
              <w:right w:val="single" w:sz="8" w:space="0" w:color="BEBEBE"/>
            </w:tcBorders>
          </w:tcPr>
          <w:p>
            <w:pPr>
              <w:pStyle w:val="TableParagraph"/>
              <w:spacing w:line="210" w:lineRule="exact"/>
              <w:ind w:left="212" w:right="194"/>
              <w:jc w:val="center"/>
              <w:rPr>
                <w:sz w:val="20"/>
              </w:rPr>
            </w:pPr>
            <w:r>
              <w:rPr>
                <w:spacing w:val="-5"/>
                <w:sz w:val="20"/>
              </w:rPr>
              <w:t>10%</w:t>
            </w:r>
          </w:p>
        </w:tc>
        <w:tc>
          <w:tcPr>
            <w:tcW w:w="1142" w:type="dxa"/>
            <w:vMerge/>
            <w:tcBorders>
              <w:top w:val="nil"/>
              <w:left w:val="single" w:sz="8" w:space="0" w:color="BEBEBE"/>
              <w:right w:val="nil"/>
            </w:tcBorders>
          </w:tcPr>
          <w:p>
            <w:pPr>
              <w:rPr>
                <w:sz w:val="2"/>
                <w:szCs w:val="2"/>
              </w:rPr>
            </w:pPr>
          </w:p>
        </w:tc>
      </w:tr>
      <w:tr>
        <w:trPr>
          <w:trHeight w:val="229" w:hRule="atLeast"/>
        </w:trPr>
        <w:tc>
          <w:tcPr>
            <w:tcW w:w="1154" w:type="dxa"/>
            <w:vMerge/>
            <w:tcBorders>
              <w:top w:val="nil"/>
              <w:left w:val="nil"/>
              <w:right w:val="single" w:sz="8" w:space="0" w:color="BEBEBE"/>
            </w:tcBorders>
          </w:tcPr>
          <w:p>
            <w:pPr>
              <w:rPr>
                <w:sz w:val="2"/>
                <w:szCs w:val="2"/>
              </w:rPr>
            </w:pPr>
          </w:p>
        </w:tc>
        <w:tc>
          <w:tcPr>
            <w:tcW w:w="326" w:type="dxa"/>
            <w:tcBorders>
              <w:top w:val="single" w:sz="4" w:space="0" w:color="BEBEBE"/>
              <w:left w:val="single" w:sz="8" w:space="0" w:color="BEBEBE"/>
              <w:bottom w:val="single" w:sz="8" w:space="0" w:color="BEBEBE"/>
              <w:right w:val="single" w:sz="4" w:space="0" w:color="BEBEBE"/>
            </w:tcBorders>
          </w:tcPr>
          <w:p>
            <w:pPr>
              <w:pStyle w:val="TableParagraph"/>
              <w:spacing w:line="210" w:lineRule="exact"/>
              <w:ind w:right="103"/>
              <w:jc w:val="right"/>
              <w:rPr>
                <w:sz w:val="20"/>
              </w:rPr>
            </w:pPr>
            <w:r>
              <w:rPr>
                <w:w w:val="99"/>
                <w:sz w:val="20"/>
              </w:rPr>
              <w:t>4</w:t>
            </w:r>
          </w:p>
        </w:tc>
        <w:tc>
          <w:tcPr>
            <w:tcW w:w="3460" w:type="dxa"/>
            <w:tcBorders>
              <w:top w:val="single" w:sz="4" w:space="0" w:color="BEBEBE"/>
              <w:left w:val="single" w:sz="4" w:space="0" w:color="BEBEBE"/>
              <w:bottom w:val="single" w:sz="8" w:space="0" w:color="BEBEBE"/>
              <w:right w:val="single" w:sz="4" w:space="0" w:color="BEBEBE"/>
            </w:tcBorders>
          </w:tcPr>
          <w:p>
            <w:pPr>
              <w:pStyle w:val="TableParagraph"/>
              <w:spacing w:line="210" w:lineRule="exact"/>
              <w:ind w:left="106"/>
              <w:rPr>
                <w:sz w:val="20"/>
              </w:rPr>
            </w:pPr>
            <w:r>
              <w:rPr>
                <w:sz w:val="20"/>
              </w:rPr>
              <w:t>Member</w:t>
            </w:r>
            <w:r>
              <w:rPr>
                <w:spacing w:val="-7"/>
                <w:sz w:val="20"/>
              </w:rPr>
              <w:t> </w:t>
            </w:r>
            <w:r>
              <w:rPr>
                <w:spacing w:val="-2"/>
                <w:sz w:val="20"/>
              </w:rPr>
              <w:t>Experience</w:t>
            </w:r>
          </w:p>
        </w:tc>
        <w:tc>
          <w:tcPr>
            <w:tcW w:w="1644" w:type="dxa"/>
            <w:tcBorders>
              <w:top w:val="single" w:sz="4" w:space="0" w:color="BEBEBE"/>
              <w:left w:val="single" w:sz="4" w:space="0" w:color="BEBEBE"/>
              <w:bottom w:val="single" w:sz="8" w:space="0" w:color="BEBEBE"/>
              <w:right w:val="nil"/>
            </w:tcBorders>
          </w:tcPr>
          <w:p>
            <w:pPr>
              <w:pStyle w:val="TableParagraph"/>
              <w:spacing w:line="210" w:lineRule="exact"/>
              <w:ind w:left="555" w:right="555"/>
              <w:jc w:val="center"/>
              <w:rPr>
                <w:sz w:val="20"/>
              </w:rPr>
            </w:pPr>
            <w:r>
              <w:rPr>
                <w:spacing w:val="-2"/>
                <w:sz w:val="20"/>
              </w:rPr>
              <w:t>-</w:t>
            </w:r>
            <w:r>
              <w:rPr>
                <w:spacing w:val="-12"/>
                <w:sz w:val="20"/>
              </w:rPr>
              <w:t>-</w:t>
            </w:r>
          </w:p>
        </w:tc>
        <w:tc>
          <w:tcPr>
            <w:tcW w:w="1645" w:type="dxa"/>
            <w:tcBorders>
              <w:top w:val="single" w:sz="4" w:space="0" w:color="BEBEBE"/>
              <w:left w:val="nil"/>
              <w:bottom w:val="single" w:sz="8" w:space="0" w:color="BEBEBE"/>
              <w:right w:val="single" w:sz="8" w:space="0" w:color="BEBEBE"/>
            </w:tcBorders>
          </w:tcPr>
          <w:p>
            <w:pPr>
              <w:pStyle w:val="TableParagraph"/>
              <w:spacing w:line="210" w:lineRule="exact"/>
              <w:ind w:left="212" w:right="194"/>
              <w:jc w:val="center"/>
              <w:rPr>
                <w:sz w:val="20"/>
              </w:rPr>
            </w:pPr>
            <w:r>
              <w:rPr>
                <w:spacing w:val="-5"/>
                <w:sz w:val="20"/>
              </w:rPr>
              <w:t>15%</w:t>
            </w:r>
          </w:p>
        </w:tc>
        <w:tc>
          <w:tcPr>
            <w:tcW w:w="1142" w:type="dxa"/>
            <w:vMerge/>
            <w:tcBorders>
              <w:top w:val="nil"/>
              <w:left w:val="single" w:sz="8" w:space="0" w:color="BEBEBE"/>
              <w:right w:val="nil"/>
            </w:tcBorders>
          </w:tcPr>
          <w:p>
            <w:pPr>
              <w:rPr>
                <w:sz w:val="2"/>
                <w:szCs w:val="2"/>
              </w:rPr>
            </w:pPr>
          </w:p>
        </w:tc>
      </w:tr>
      <w:tr>
        <w:trPr>
          <w:trHeight w:val="229" w:hRule="atLeast"/>
        </w:trPr>
        <w:tc>
          <w:tcPr>
            <w:tcW w:w="1154" w:type="dxa"/>
            <w:vMerge/>
            <w:tcBorders>
              <w:top w:val="nil"/>
              <w:left w:val="nil"/>
              <w:right w:val="single" w:sz="8" w:space="0" w:color="BEBEBE"/>
            </w:tcBorders>
          </w:tcPr>
          <w:p>
            <w:pPr>
              <w:rPr>
                <w:sz w:val="2"/>
                <w:szCs w:val="2"/>
              </w:rPr>
            </w:pPr>
          </w:p>
        </w:tc>
        <w:tc>
          <w:tcPr>
            <w:tcW w:w="3786" w:type="dxa"/>
            <w:gridSpan w:val="2"/>
            <w:tcBorders>
              <w:top w:val="single" w:sz="8" w:space="0" w:color="BEBEBE"/>
              <w:left w:val="single" w:sz="8" w:space="0" w:color="BEBEBE"/>
              <w:bottom w:val="single" w:sz="12" w:space="0" w:color="BEBEBE"/>
              <w:right w:val="single" w:sz="4" w:space="0" w:color="BEBEBE"/>
            </w:tcBorders>
          </w:tcPr>
          <w:p>
            <w:pPr>
              <w:pStyle w:val="TableParagraph"/>
              <w:spacing w:line="209" w:lineRule="exact"/>
              <w:ind w:left="1520" w:right="1520"/>
              <w:jc w:val="center"/>
              <w:rPr>
                <w:b/>
                <w:sz w:val="20"/>
              </w:rPr>
            </w:pPr>
            <w:r>
              <w:rPr>
                <w:b/>
                <w:spacing w:val="-2"/>
                <w:sz w:val="20"/>
              </w:rPr>
              <w:t>TOTAL</w:t>
            </w:r>
          </w:p>
        </w:tc>
        <w:tc>
          <w:tcPr>
            <w:tcW w:w="1644" w:type="dxa"/>
            <w:tcBorders>
              <w:top w:val="single" w:sz="8" w:space="0" w:color="BEBEBE"/>
              <w:left w:val="single" w:sz="4" w:space="0" w:color="BEBEBE"/>
              <w:bottom w:val="single" w:sz="12" w:space="0" w:color="BEBEBE"/>
              <w:right w:val="nil"/>
            </w:tcBorders>
          </w:tcPr>
          <w:p>
            <w:pPr>
              <w:pStyle w:val="TableParagraph"/>
              <w:spacing w:line="209" w:lineRule="exact"/>
              <w:ind w:left="559" w:right="555"/>
              <w:jc w:val="center"/>
              <w:rPr>
                <w:b/>
                <w:sz w:val="20"/>
              </w:rPr>
            </w:pPr>
            <w:r>
              <w:rPr>
                <w:b/>
                <w:spacing w:val="-4"/>
                <w:sz w:val="20"/>
              </w:rPr>
              <w:t>100%</w:t>
            </w:r>
          </w:p>
        </w:tc>
        <w:tc>
          <w:tcPr>
            <w:tcW w:w="1645" w:type="dxa"/>
            <w:tcBorders>
              <w:top w:val="single" w:sz="8" w:space="0" w:color="BEBEBE"/>
              <w:left w:val="nil"/>
              <w:bottom w:val="single" w:sz="12" w:space="0" w:color="BEBEBE"/>
              <w:right w:val="single" w:sz="8" w:space="0" w:color="BEBEBE"/>
            </w:tcBorders>
          </w:tcPr>
          <w:p>
            <w:pPr>
              <w:pStyle w:val="TableParagraph"/>
              <w:spacing w:line="209" w:lineRule="exact"/>
              <w:ind w:left="212" w:right="194"/>
              <w:jc w:val="center"/>
              <w:rPr>
                <w:b/>
                <w:sz w:val="20"/>
              </w:rPr>
            </w:pPr>
            <w:r>
              <w:rPr>
                <w:b/>
                <w:spacing w:val="-4"/>
                <w:sz w:val="20"/>
              </w:rPr>
              <w:t>100%</w:t>
            </w:r>
          </w:p>
        </w:tc>
        <w:tc>
          <w:tcPr>
            <w:tcW w:w="1142" w:type="dxa"/>
            <w:vMerge/>
            <w:tcBorders>
              <w:top w:val="nil"/>
              <w:left w:val="single" w:sz="8" w:space="0" w:color="BEBEBE"/>
              <w:right w:val="nil"/>
            </w:tcBorders>
          </w:tcPr>
          <w:p>
            <w:pPr>
              <w:rPr>
                <w:sz w:val="2"/>
                <w:szCs w:val="2"/>
              </w:rPr>
            </w:pPr>
          </w:p>
        </w:tc>
      </w:tr>
    </w:tbl>
    <w:p>
      <w:pPr>
        <w:pStyle w:val="BodyText"/>
      </w:pPr>
    </w:p>
    <w:p>
      <w:pPr>
        <w:pStyle w:val="BodyText"/>
        <w:spacing w:before="2"/>
        <w:rPr>
          <w:sz w:val="20"/>
        </w:rPr>
      </w:pPr>
    </w:p>
    <w:p>
      <w:pPr>
        <w:spacing w:line="388" w:lineRule="auto" w:before="1"/>
        <w:ind w:left="1220" w:right="4336" w:firstLine="0"/>
        <w:jc w:val="left"/>
        <w:rPr>
          <w:sz w:val="22"/>
        </w:rPr>
      </w:pPr>
      <w:r>
        <w:rPr/>
        <mc:AlternateContent>
          <mc:Choice Requires="wps">
            <w:drawing>
              <wp:anchor distT="0" distB="0" distL="0" distR="0" allowOverlap="1" layoutInCell="1" locked="0" behindDoc="0" simplePos="0" relativeHeight="16163840">
                <wp:simplePos x="0" y="0"/>
                <wp:positionH relativeFrom="page">
                  <wp:posOffset>867155</wp:posOffset>
                </wp:positionH>
                <wp:positionV relativeFrom="paragraph">
                  <wp:posOffset>423702</wp:posOffset>
                </wp:positionV>
                <wp:extent cx="6029325" cy="598805"/>
                <wp:effectExtent l="0" t="0" r="0" b="0"/>
                <wp:wrapNone/>
                <wp:docPr id="923" name="Textbox 923"/>
                <wp:cNvGraphicFramePr>
                  <a:graphicFrameLocks/>
                </wp:cNvGraphicFramePr>
                <a:graphic>
                  <a:graphicData uri="http://schemas.microsoft.com/office/word/2010/wordprocessingShape">
                    <wps:wsp>
                      <wps:cNvPr id="923" name="Textbox 923"/>
                      <wps:cNvSpPr txBox="1"/>
                      <wps:spPr>
                        <a:xfrm>
                          <a:off x="0" y="0"/>
                          <a:ext cx="6029325" cy="598805"/>
                        </a:xfrm>
                        <a:prstGeom prst="rect">
                          <a:avLst/>
                        </a:prstGeom>
                      </wps:spPr>
                      <wps:txbx>
                        <w:txbxContent>
                          <w:tbl>
                            <w:tblPr>
                              <w:tblW w:w="0" w:type="auto"/>
                              <w:jc w:val="left"/>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2"/>
                              <w:gridCol w:w="4193"/>
                              <w:gridCol w:w="1745"/>
                              <w:gridCol w:w="1745"/>
                              <w:gridCol w:w="840"/>
                            </w:tblGrid>
                            <w:tr>
                              <w:trPr>
                                <w:trHeight w:val="407" w:hRule="atLeast"/>
                              </w:trPr>
                              <w:tc>
                                <w:tcPr>
                                  <w:tcW w:w="852" w:type="dxa"/>
                                  <w:vMerge w:val="restart"/>
                                  <w:tcBorders>
                                    <w:left w:val="nil"/>
                                    <w:right w:val="single" w:sz="8" w:space="0" w:color="BEBEBE"/>
                                  </w:tcBorders>
                                </w:tcPr>
                                <w:p>
                                  <w:pPr>
                                    <w:pStyle w:val="TableParagraph"/>
                                    <w:rPr>
                                      <w:sz w:val="20"/>
                                    </w:rPr>
                                  </w:pPr>
                                </w:p>
                              </w:tc>
                              <w:tc>
                                <w:tcPr>
                                  <w:tcW w:w="7683" w:type="dxa"/>
                                  <w:gridSpan w:val="3"/>
                                  <w:tcBorders>
                                    <w:top w:val="single" w:sz="12" w:space="0" w:color="BEBEBE"/>
                                    <w:left w:val="single" w:sz="8" w:space="0" w:color="BEBEBE"/>
                                    <w:bottom w:val="single" w:sz="8" w:space="0" w:color="BEBEBE"/>
                                    <w:right w:val="single" w:sz="8" w:space="0" w:color="BEBEBE"/>
                                  </w:tcBorders>
                                  <w:shd w:val="clear" w:color="auto" w:fill="1F487C"/>
                                </w:tcPr>
                                <w:p>
                                  <w:pPr>
                                    <w:pStyle w:val="TableParagraph"/>
                                    <w:ind w:left="2542" w:right="2542"/>
                                    <w:jc w:val="center"/>
                                    <w:rPr>
                                      <w:b/>
                                      <w:sz w:val="20"/>
                                    </w:rPr>
                                  </w:pPr>
                                  <w:r>
                                    <w:rPr>
                                      <w:b/>
                                      <w:color w:val="FFFFFF"/>
                                      <w:sz w:val="20"/>
                                    </w:rPr>
                                    <w:t>CSA</w:t>
                                  </w:r>
                                  <w:r>
                                    <w:rPr>
                                      <w:b/>
                                      <w:color w:val="FFFFFF"/>
                                      <w:spacing w:val="-8"/>
                                      <w:sz w:val="20"/>
                                    </w:rPr>
                                    <w:t> </w:t>
                                  </w:r>
                                  <w:r>
                                    <w:rPr>
                                      <w:b/>
                                      <w:color w:val="FFFFFF"/>
                                      <w:sz w:val="20"/>
                                    </w:rPr>
                                    <w:t>Quality</w:t>
                                  </w:r>
                                  <w:r>
                                    <w:rPr>
                                      <w:b/>
                                      <w:color w:val="FFFFFF"/>
                                      <w:spacing w:val="-6"/>
                                      <w:sz w:val="20"/>
                                    </w:rPr>
                                    <w:t> </w:t>
                                  </w:r>
                                  <w:r>
                                    <w:rPr>
                                      <w:b/>
                                      <w:color w:val="FFFFFF"/>
                                      <w:sz w:val="20"/>
                                    </w:rPr>
                                    <w:t>Domain</w:t>
                                  </w:r>
                                  <w:r>
                                    <w:rPr>
                                      <w:b/>
                                      <w:color w:val="FFFFFF"/>
                                      <w:spacing w:val="-6"/>
                                      <w:sz w:val="20"/>
                                    </w:rPr>
                                    <w:t> </w:t>
                                  </w:r>
                                  <w:r>
                                    <w:rPr>
                                      <w:b/>
                                      <w:color w:val="FFFFFF"/>
                                      <w:spacing w:val="-2"/>
                                      <w:sz w:val="20"/>
                                    </w:rPr>
                                    <w:t>Weights</w:t>
                                  </w:r>
                                </w:p>
                              </w:tc>
                              <w:tc>
                                <w:tcPr>
                                  <w:tcW w:w="840" w:type="dxa"/>
                                  <w:vMerge w:val="restart"/>
                                  <w:tcBorders>
                                    <w:left w:val="single" w:sz="8" w:space="0" w:color="BEBEBE"/>
                                    <w:right w:val="nil"/>
                                  </w:tcBorders>
                                </w:tcPr>
                                <w:p>
                                  <w:pPr>
                                    <w:pStyle w:val="TableParagraph"/>
                                    <w:rPr>
                                      <w:sz w:val="20"/>
                                    </w:rPr>
                                  </w:pPr>
                                </w:p>
                              </w:tc>
                            </w:tr>
                            <w:tr>
                              <w:trPr>
                                <w:trHeight w:val="456" w:hRule="atLeast"/>
                              </w:trPr>
                              <w:tc>
                                <w:tcPr>
                                  <w:tcW w:w="852" w:type="dxa"/>
                                  <w:vMerge/>
                                  <w:tcBorders>
                                    <w:top w:val="nil"/>
                                    <w:left w:val="nil"/>
                                    <w:right w:val="single" w:sz="8" w:space="0" w:color="BEBEBE"/>
                                  </w:tcBorders>
                                </w:tcPr>
                                <w:p>
                                  <w:pPr>
                                    <w:rPr>
                                      <w:sz w:val="2"/>
                                      <w:szCs w:val="2"/>
                                    </w:rPr>
                                  </w:pPr>
                                </w:p>
                              </w:tc>
                              <w:tc>
                                <w:tcPr>
                                  <w:tcW w:w="4193" w:type="dxa"/>
                                  <w:tcBorders>
                                    <w:top w:val="single" w:sz="8" w:space="0" w:color="BEBEBE"/>
                                    <w:left w:val="single" w:sz="8" w:space="0" w:color="BEBEBE"/>
                                    <w:bottom w:val="double" w:sz="4" w:space="0" w:color="000000"/>
                                    <w:right w:val="single" w:sz="4" w:space="0" w:color="BEBEBE"/>
                                  </w:tcBorders>
                                  <w:shd w:val="clear" w:color="auto" w:fill="D9D9D9"/>
                                </w:tcPr>
                                <w:p>
                                  <w:pPr>
                                    <w:pStyle w:val="TableParagraph"/>
                                    <w:ind w:left="1389" w:right="1397"/>
                                    <w:jc w:val="center"/>
                                    <w:rPr>
                                      <w:b/>
                                      <w:sz w:val="20"/>
                                    </w:rPr>
                                  </w:pPr>
                                  <w:r>
                                    <w:rPr>
                                      <w:b/>
                                      <w:sz w:val="20"/>
                                    </w:rPr>
                                    <w:t>Quality</w:t>
                                  </w:r>
                                  <w:r>
                                    <w:rPr>
                                      <w:b/>
                                      <w:spacing w:val="-10"/>
                                      <w:sz w:val="20"/>
                                    </w:rPr>
                                    <w:t> </w:t>
                                  </w:r>
                                  <w:r>
                                    <w:rPr>
                                      <w:b/>
                                      <w:spacing w:val="-2"/>
                                      <w:sz w:val="20"/>
                                    </w:rPr>
                                    <w:t>Domain</w:t>
                                  </w:r>
                                </w:p>
                              </w:tc>
                              <w:tc>
                                <w:tcPr>
                                  <w:tcW w:w="1745" w:type="dxa"/>
                                  <w:tcBorders>
                                    <w:top w:val="single" w:sz="8" w:space="0" w:color="BEBEBE"/>
                                    <w:left w:val="single" w:sz="4" w:space="0" w:color="BEBEBE"/>
                                    <w:bottom w:val="double" w:sz="4" w:space="0" w:color="000000"/>
                                    <w:right w:val="single" w:sz="8" w:space="0" w:color="BEBEBE"/>
                                  </w:tcBorders>
                                  <w:shd w:val="clear" w:color="auto" w:fill="D9D9D9"/>
                                </w:tcPr>
                                <w:p>
                                  <w:pPr>
                                    <w:pStyle w:val="TableParagraph"/>
                                    <w:spacing w:line="230" w:lineRule="exact"/>
                                    <w:ind w:left="664" w:right="182" w:hanging="473"/>
                                    <w:rPr>
                                      <w:b/>
                                      <w:sz w:val="20"/>
                                    </w:rPr>
                                  </w:pPr>
                                  <w:r>
                                    <w:rPr>
                                      <w:b/>
                                      <w:sz w:val="20"/>
                                    </w:rPr>
                                    <w:t>Domain</w:t>
                                  </w:r>
                                  <w:r>
                                    <w:rPr>
                                      <w:b/>
                                      <w:spacing w:val="-13"/>
                                      <w:sz w:val="20"/>
                                    </w:rPr>
                                    <w:t> </w:t>
                                  </w:r>
                                  <w:r>
                                    <w:rPr>
                                      <w:b/>
                                      <w:sz w:val="20"/>
                                    </w:rPr>
                                    <w:t>Weight BP 3</w:t>
                                  </w:r>
                                </w:p>
                              </w:tc>
                              <w:tc>
                                <w:tcPr>
                                  <w:tcW w:w="1745" w:type="dxa"/>
                                  <w:tcBorders>
                                    <w:top w:val="single" w:sz="8" w:space="0" w:color="BEBEBE"/>
                                    <w:left w:val="single" w:sz="8" w:space="0" w:color="BEBEBE"/>
                                    <w:bottom w:val="double" w:sz="4" w:space="0" w:color="000000"/>
                                    <w:right w:val="single" w:sz="8" w:space="0" w:color="BEBEBE"/>
                                  </w:tcBorders>
                                  <w:shd w:val="clear" w:color="auto" w:fill="D9D9D9"/>
                                </w:tcPr>
                                <w:p>
                                  <w:pPr>
                                    <w:pStyle w:val="TableParagraph"/>
                                    <w:spacing w:line="230" w:lineRule="exact"/>
                                    <w:ind w:left="527" w:right="180" w:hanging="339"/>
                                    <w:rPr>
                                      <w:b/>
                                      <w:sz w:val="20"/>
                                    </w:rPr>
                                  </w:pPr>
                                  <w:r>
                                    <w:rPr>
                                      <w:b/>
                                      <w:sz w:val="20"/>
                                    </w:rPr>
                                    <w:t>Domain</w:t>
                                  </w:r>
                                  <w:r>
                                    <w:rPr>
                                      <w:b/>
                                      <w:spacing w:val="-13"/>
                                      <w:sz w:val="20"/>
                                    </w:rPr>
                                    <w:t> </w:t>
                                  </w:r>
                                  <w:r>
                                    <w:rPr>
                                      <w:b/>
                                      <w:sz w:val="20"/>
                                    </w:rPr>
                                    <w:t>Weight BP 4 - 5</w:t>
                                  </w:r>
                                </w:p>
                              </w:tc>
                              <w:tc>
                                <w:tcPr>
                                  <w:tcW w:w="840" w:type="dxa"/>
                                  <w:vMerge/>
                                  <w:tcBorders>
                                    <w:top w:val="nil"/>
                                    <w:left w:val="single" w:sz="8" w:space="0" w:color="BEBEBE"/>
                                    <w:right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68.279999pt;margin-top:33.362366pt;width:474.75pt;height:47.15pt;mso-position-horizontal-relative:page;mso-position-vertical-relative:paragraph;z-index:16163840" type="#_x0000_t202" id="docshape140" filled="false" stroked="false">
                <v:textbox inset="0,0,0,0">
                  <w:txbxContent>
                    <w:tbl>
                      <w:tblPr>
                        <w:tblW w:w="0" w:type="auto"/>
                        <w:jc w:val="left"/>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2"/>
                        <w:gridCol w:w="4193"/>
                        <w:gridCol w:w="1745"/>
                        <w:gridCol w:w="1745"/>
                        <w:gridCol w:w="840"/>
                      </w:tblGrid>
                      <w:tr>
                        <w:trPr>
                          <w:trHeight w:val="407" w:hRule="atLeast"/>
                        </w:trPr>
                        <w:tc>
                          <w:tcPr>
                            <w:tcW w:w="852" w:type="dxa"/>
                            <w:vMerge w:val="restart"/>
                            <w:tcBorders>
                              <w:left w:val="nil"/>
                              <w:right w:val="single" w:sz="8" w:space="0" w:color="BEBEBE"/>
                            </w:tcBorders>
                          </w:tcPr>
                          <w:p>
                            <w:pPr>
                              <w:pStyle w:val="TableParagraph"/>
                              <w:rPr>
                                <w:sz w:val="20"/>
                              </w:rPr>
                            </w:pPr>
                          </w:p>
                        </w:tc>
                        <w:tc>
                          <w:tcPr>
                            <w:tcW w:w="7683" w:type="dxa"/>
                            <w:gridSpan w:val="3"/>
                            <w:tcBorders>
                              <w:top w:val="single" w:sz="12" w:space="0" w:color="BEBEBE"/>
                              <w:left w:val="single" w:sz="8" w:space="0" w:color="BEBEBE"/>
                              <w:bottom w:val="single" w:sz="8" w:space="0" w:color="BEBEBE"/>
                              <w:right w:val="single" w:sz="8" w:space="0" w:color="BEBEBE"/>
                            </w:tcBorders>
                            <w:shd w:val="clear" w:color="auto" w:fill="1F487C"/>
                          </w:tcPr>
                          <w:p>
                            <w:pPr>
                              <w:pStyle w:val="TableParagraph"/>
                              <w:ind w:left="2542" w:right="2542"/>
                              <w:jc w:val="center"/>
                              <w:rPr>
                                <w:b/>
                                <w:sz w:val="20"/>
                              </w:rPr>
                            </w:pPr>
                            <w:r>
                              <w:rPr>
                                <w:b/>
                                <w:color w:val="FFFFFF"/>
                                <w:sz w:val="20"/>
                              </w:rPr>
                              <w:t>CSA</w:t>
                            </w:r>
                            <w:r>
                              <w:rPr>
                                <w:b/>
                                <w:color w:val="FFFFFF"/>
                                <w:spacing w:val="-8"/>
                                <w:sz w:val="20"/>
                              </w:rPr>
                              <w:t> </w:t>
                            </w:r>
                            <w:r>
                              <w:rPr>
                                <w:b/>
                                <w:color w:val="FFFFFF"/>
                                <w:sz w:val="20"/>
                              </w:rPr>
                              <w:t>Quality</w:t>
                            </w:r>
                            <w:r>
                              <w:rPr>
                                <w:b/>
                                <w:color w:val="FFFFFF"/>
                                <w:spacing w:val="-6"/>
                                <w:sz w:val="20"/>
                              </w:rPr>
                              <w:t> </w:t>
                            </w:r>
                            <w:r>
                              <w:rPr>
                                <w:b/>
                                <w:color w:val="FFFFFF"/>
                                <w:sz w:val="20"/>
                              </w:rPr>
                              <w:t>Domain</w:t>
                            </w:r>
                            <w:r>
                              <w:rPr>
                                <w:b/>
                                <w:color w:val="FFFFFF"/>
                                <w:spacing w:val="-6"/>
                                <w:sz w:val="20"/>
                              </w:rPr>
                              <w:t> </w:t>
                            </w:r>
                            <w:r>
                              <w:rPr>
                                <w:b/>
                                <w:color w:val="FFFFFF"/>
                                <w:spacing w:val="-2"/>
                                <w:sz w:val="20"/>
                              </w:rPr>
                              <w:t>Weights</w:t>
                            </w:r>
                          </w:p>
                        </w:tc>
                        <w:tc>
                          <w:tcPr>
                            <w:tcW w:w="840" w:type="dxa"/>
                            <w:vMerge w:val="restart"/>
                            <w:tcBorders>
                              <w:left w:val="single" w:sz="8" w:space="0" w:color="BEBEBE"/>
                              <w:right w:val="nil"/>
                            </w:tcBorders>
                          </w:tcPr>
                          <w:p>
                            <w:pPr>
                              <w:pStyle w:val="TableParagraph"/>
                              <w:rPr>
                                <w:sz w:val="20"/>
                              </w:rPr>
                            </w:pPr>
                          </w:p>
                        </w:tc>
                      </w:tr>
                      <w:tr>
                        <w:trPr>
                          <w:trHeight w:val="456" w:hRule="atLeast"/>
                        </w:trPr>
                        <w:tc>
                          <w:tcPr>
                            <w:tcW w:w="852" w:type="dxa"/>
                            <w:vMerge/>
                            <w:tcBorders>
                              <w:top w:val="nil"/>
                              <w:left w:val="nil"/>
                              <w:right w:val="single" w:sz="8" w:space="0" w:color="BEBEBE"/>
                            </w:tcBorders>
                          </w:tcPr>
                          <w:p>
                            <w:pPr>
                              <w:rPr>
                                <w:sz w:val="2"/>
                                <w:szCs w:val="2"/>
                              </w:rPr>
                            </w:pPr>
                          </w:p>
                        </w:tc>
                        <w:tc>
                          <w:tcPr>
                            <w:tcW w:w="4193" w:type="dxa"/>
                            <w:tcBorders>
                              <w:top w:val="single" w:sz="8" w:space="0" w:color="BEBEBE"/>
                              <w:left w:val="single" w:sz="8" w:space="0" w:color="BEBEBE"/>
                              <w:bottom w:val="double" w:sz="4" w:space="0" w:color="000000"/>
                              <w:right w:val="single" w:sz="4" w:space="0" w:color="BEBEBE"/>
                            </w:tcBorders>
                            <w:shd w:val="clear" w:color="auto" w:fill="D9D9D9"/>
                          </w:tcPr>
                          <w:p>
                            <w:pPr>
                              <w:pStyle w:val="TableParagraph"/>
                              <w:ind w:left="1389" w:right="1397"/>
                              <w:jc w:val="center"/>
                              <w:rPr>
                                <w:b/>
                                <w:sz w:val="20"/>
                              </w:rPr>
                            </w:pPr>
                            <w:r>
                              <w:rPr>
                                <w:b/>
                                <w:sz w:val="20"/>
                              </w:rPr>
                              <w:t>Quality</w:t>
                            </w:r>
                            <w:r>
                              <w:rPr>
                                <w:b/>
                                <w:spacing w:val="-10"/>
                                <w:sz w:val="20"/>
                              </w:rPr>
                              <w:t> </w:t>
                            </w:r>
                            <w:r>
                              <w:rPr>
                                <w:b/>
                                <w:spacing w:val="-2"/>
                                <w:sz w:val="20"/>
                              </w:rPr>
                              <w:t>Domain</w:t>
                            </w:r>
                          </w:p>
                        </w:tc>
                        <w:tc>
                          <w:tcPr>
                            <w:tcW w:w="1745" w:type="dxa"/>
                            <w:tcBorders>
                              <w:top w:val="single" w:sz="8" w:space="0" w:color="BEBEBE"/>
                              <w:left w:val="single" w:sz="4" w:space="0" w:color="BEBEBE"/>
                              <w:bottom w:val="double" w:sz="4" w:space="0" w:color="000000"/>
                              <w:right w:val="single" w:sz="8" w:space="0" w:color="BEBEBE"/>
                            </w:tcBorders>
                            <w:shd w:val="clear" w:color="auto" w:fill="D9D9D9"/>
                          </w:tcPr>
                          <w:p>
                            <w:pPr>
                              <w:pStyle w:val="TableParagraph"/>
                              <w:spacing w:line="230" w:lineRule="exact"/>
                              <w:ind w:left="664" w:right="182" w:hanging="473"/>
                              <w:rPr>
                                <w:b/>
                                <w:sz w:val="20"/>
                              </w:rPr>
                            </w:pPr>
                            <w:r>
                              <w:rPr>
                                <w:b/>
                                <w:sz w:val="20"/>
                              </w:rPr>
                              <w:t>Domain</w:t>
                            </w:r>
                            <w:r>
                              <w:rPr>
                                <w:b/>
                                <w:spacing w:val="-13"/>
                                <w:sz w:val="20"/>
                              </w:rPr>
                              <w:t> </w:t>
                            </w:r>
                            <w:r>
                              <w:rPr>
                                <w:b/>
                                <w:sz w:val="20"/>
                              </w:rPr>
                              <w:t>Weight BP 3</w:t>
                            </w:r>
                          </w:p>
                        </w:tc>
                        <w:tc>
                          <w:tcPr>
                            <w:tcW w:w="1745" w:type="dxa"/>
                            <w:tcBorders>
                              <w:top w:val="single" w:sz="8" w:space="0" w:color="BEBEBE"/>
                              <w:left w:val="single" w:sz="8" w:space="0" w:color="BEBEBE"/>
                              <w:bottom w:val="double" w:sz="4" w:space="0" w:color="000000"/>
                              <w:right w:val="single" w:sz="8" w:space="0" w:color="BEBEBE"/>
                            </w:tcBorders>
                            <w:shd w:val="clear" w:color="auto" w:fill="D9D9D9"/>
                          </w:tcPr>
                          <w:p>
                            <w:pPr>
                              <w:pStyle w:val="TableParagraph"/>
                              <w:spacing w:line="230" w:lineRule="exact"/>
                              <w:ind w:left="527" w:right="180" w:hanging="339"/>
                              <w:rPr>
                                <w:b/>
                                <w:sz w:val="20"/>
                              </w:rPr>
                            </w:pPr>
                            <w:r>
                              <w:rPr>
                                <w:b/>
                                <w:sz w:val="20"/>
                              </w:rPr>
                              <w:t>Domain</w:t>
                            </w:r>
                            <w:r>
                              <w:rPr>
                                <w:b/>
                                <w:spacing w:val="-13"/>
                                <w:sz w:val="20"/>
                              </w:rPr>
                              <w:t> </w:t>
                            </w:r>
                            <w:r>
                              <w:rPr>
                                <w:b/>
                                <w:sz w:val="20"/>
                              </w:rPr>
                              <w:t>Weight BP 4 - 5</w:t>
                            </w:r>
                          </w:p>
                        </w:tc>
                        <w:tc>
                          <w:tcPr>
                            <w:tcW w:w="840" w:type="dxa"/>
                            <w:vMerge/>
                            <w:tcBorders>
                              <w:top w:val="nil"/>
                              <w:left w:val="single" w:sz="8" w:space="0" w:color="BEBEBE"/>
                              <w:right w:val="nil"/>
                            </w:tcBorders>
                          </w:tcPr>
                          <w:p>
                            <w:pPr>
                              <w:rPr>
                                <w:sz w:val="2"/>
                                <w:szCs w:val="2"/>
                              </w:rPr>
                            </w:pPr>
                          </w:p>
                        </w:tc>
                      </w:tr>
                    </w:tbl>
                    <w:p>
                      <w:pPr>
                        <w:pStyle w:val="BodyText"/>
                      </w:pPr>
                    </w:p>
                  </w:txbxContent>
                </v:textbox>
                <w10:wrap type="none"/>
              </v:shape>
            </w:pict>
          </mc:Fallback>
        </mc:AlternateContent>
      </w:r>
      <w:r>
        <w:rPr>
          <w:sz w:val="22"/>
        </w:rPr>
        <w:t>See</w:t>
      </w:r>
      <w:r>
        <w:rPr>
          <w:spacing w:val="-3"/>
          <w:sz w:val="22"/>
        </w:rPr>
        <w:t> </w:t>
      </w:r>
      <w:r>
        <w:rPr>
          <w:sz w:val="22"/>
        </w:rPr>
        <w:t>Appendix</w:t>
      </w:r>
      <w:r>
        <w:rPr>
          <w:spacing w:val="-3"/>
          <w:sz w:val="22"/>
        </w:rPr>
        <w:t> </w:t>
      </w:r>
      <w:r>
        <w:rPr>
          <w:sz w:val="22"/>
        </w:rPr>
        <w:t>D</w:t>
      </w:r>
      <w:r>
        <w:rPr>
          <w:spacing w:val="-7"/>
          <w:sz w:val="22"/>
        </w:rPr>
        <w:t> </w:t>
      </w:r>
      <w:r>
        <w:rPr>
          <w:sz w:val="22"/>
        </w:rPr>
        <w:t>for</w:t>
      </w:r>
      <w:r>
        <w:rPr>
          <w:spacing w:val="-5"/>
          <w:sz w:val="22"/>
        </w:rPr>
        <w:t> </w:t>
      </w:r>
      <w:r>
        <w:rPr>
          <w:sz w:val="22"/>
        </w:rPr>
        <w:t>the</w:t>
      </w:r>
      <w:r>
        <w:rPr>
          <w:spacing w:val="-5"/>
          <w:sz w:val="22"/>
        </w:rPr>
        <w:t> </w:t>
      </w:r>
      <w:r>
        <w:rPr>
          <w:sz w:val="22"/>
        </w:rPr>
        <w:t>full</w:t>
      </w:r>
      <w:r>
        <w:rPr>
          <w:spacing w:val="-5"/>
          <w:sz w:val="22"/>
        </w:rPr>
        <w:t> </w:t>
      </w:r>
      <w:r>
        <w:rPr>
          <w:sz w:val="22"/>
        </w:rPr>
        <w:t>list</w:t>
      </w:r>
      <w:r>
        <w:rPr>
          <w:spacing w:val="-2"/>
          <w:sz w:val="22"/>
        </w:rPr>
        <w:t> </w:t>
      </w:r>
      <w:r>
        <w:rPr>
          <w:sz w:val="22"/>
        </w:rPr>
        <w:t>of</w:t>
      </w:r>
      <w:r>
        <w:rPr>
          <w:spacing w:val="-2"/>
          <w:sz w:val="22"/>
        </w:rPr>
        <w:t> </w:t>
      </w:r>
      <w:r>
        <w:rPr>
          <w:sz w:val="22"/>
        </w:rPr>
        <w:t>BH</w:t>
      </w:r>
      <w:r>
        <w:rPr>
          <w:spacing w:val="-4"/>
          <w:sz w:val="22"/>
        </w:rPr>
        <w:t> </w:t>
      </w:r>
      <w:r>
        <w:rPr>
          <w:sz w:val="22"/>
        </w:rPr>
        <w:t>CP</w:t>
      </w:r>
      <w:r>
        <w:rPr>
          <w:spacing w:val="-4"/>
          <w:sz w:val="22"/>
        </w:rPr>
        <w:t> </w:t>
      </w:r>
      <w:r>
        <w:rPr>
          <w:sz w:val="22"/>
        </w:rPr>
        <w:t>Quality</w:t>
      </w:r>
      <w:r>
        <w:rPr>
          <w:spacing w:val="-6"/>
          <w:sz w:val="22"/>
        </w:rPr>
        <w:t> </w:t>
      </w:r>
      <w:r>
        <w:rPr>
          <w:sz w:val="22"/>
        </w:rPr>
        <w:t>Measures EXHIBIT 46 – Domain Weighting for CSAs</w:t>
      </w:r>
    </w:p>
    <w:p>
      <w:pPr>
        <w:spacing w:after="0" w:line="388" w:lineRule="auto"/>
        <w:jc w:val="left"/>
        <w:rPr>
          <w:sz w:val="22"/>
        </w:rPr>
        <w:sectPr>
          <w:type w:val="continuous"/>
          <w:pgSz w:w="12240" w:h="15840"/>
          <w:pgMar w:header="0" w:footer="967" w:top="1420" w:bottom="1160" w:left="220" w:right="340"/>
        </w:sectPr>
      </w:pPr>
    </w:p>
    <w:tbl>
      <w:tblPr>
        <w:tblW w:w="0" w:type="auto"/>
        <w:jc w:val="left"/>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2"/>
        <w:gridCol w:w="418"/>
        <w:gridCol w:w="3776"/>
        <w:gridCol w:w="1746"/>
        <w:gridCol w:w="1746"/>
        <w:gridCol w:w="841"/>
      </w:tblGrid>
      <w:tr>
        <w:trPr>
          <w:trHeight w:val="229" w:hRule="atLeast"/>
        </w:trPr>
        <w:tc>
          <w:tcPr>
            <w:tcW w:w="852" w:type="dxa"/>
            <w:vMerge w:val="restart"/>
            <w:tcBorders>
              <w:left w:val="nil"/>
              <w:right w:val="single" w:sz="8" w:space="0" w:color="BEBEBE"/>
            </w:tcBorders>
          </w:tcPr>
          <w:p>
            <w:pPr>
              <w:pStyle w:val="TableParagraph"/>
              <w:rPr>
                <w:sz w:val="20"/>
              </w:rPr>
            </w:pPr>
          </w:p>
        </w:tc>
        <w:tc>
          <w:tcPr>
            <w:tcW w:w="418" w:type="dxa"/>
            <w:tcBorders>
              <w:left w:val="single" w:sz="8" w:space="0" w:color="BEBEBE"/>
              <w:bottom w:val="single" w:sz="4" w:space="0" w:color="BEBEBE"/>
              <w:right w:val="single" w:sz="4" w:space="0" w:color="BEBEBE"/>
            </w:tcBorders>
          </w:tcPr>
          <w:p>
            <w:pPr>
              <w:pStyle w:val="TableParagraph"/>
              <w:spacing w:line="210" w:lineRule="exact"/>
              <w:ind w:right="9"/>
              <w:jc w:val="center"/>
              <w:rPr>
                <w:sz w:val="20"/>
              </w:rPr>
            </w:pPr>
            <w:r>
              <w:rPr>
                <w:w w:val="99"/>
                <w:sz w:val="20"/>
              </w:rPr>
              <w:t>1</w:t>
            </w:r>
          </w:p>
        </w:tc>
        <w:tc>
          <w:tcPr>
            <w:tcW w:w="3776" w:type="dxa"/>
            <w:tcBorders>
              <w:left w:val="single" w:sz="4" w:space="0" w:color="BEBEBE"/>
              <w:bottom w:val="single" w:sz="4" w:space="0" w:color="BEBEBE"/>
              <w:right w:val="single" w:sz="4" w:space="0" w:color="BEBEBE"/>
            </w:tcBorders>
          </w:tcPr>
          <w:p>
            <w:pPr>
              <w:pStyle w:val="TableParagraph"/>
              <w:spacing w:line="210" w:lineRule="exact"/>
              <w:ind w:left="102"/>
              <w:rPr>
                <w:sz w:val="20"/>
              </w:rPr>
            </w:pPr>
            <w:r>
              <w:rPr>
                <w:sz w:val="20"/>
              </w:rPr>
              <w:t>Care</w:t>
            </w:r>
            <w:r>
              <w:rPr>
                <w:spacing w:val="-5"/>
                <w:sz w:val="20"/>
              </w:rPr>
              <w:t> </w:t>
            </w:r>
            <w:r>
              <w:rPr>
                <w:spacing w:val="-2"/>
                <w:sz w:val="20"/>
              </w:rPr>
              <w:t>Integration</w:t>
            </w:r>
          </w:p>
        </w:tc>
        <w:tc>
          <w:tcPr>
            <w:tcW w:w="1746" w:type="dxa"/>
            <w:tcBorders>
              <w:left w:val="single" w:sz="4" w:space="0" w:color="BEBEBE"/>
              <w:bottom w:val="single" w:sz="4" w:space="0" w:color="BEBEBE"/>
              <w:right w:val="single" w:sz="8" w:space="0" w:color="BEBEBE"/>
            </w:tcBorders>
          </w:tcPr>
          <w:p>
            <w:pPr>
              <w:pStyle w:val="TableParagraph"/>
              <w:spacing w:line="210" w:lineRule="exact"/>
              <w:ind w:left="604" w:right="602"/>
              <w:jc w:val="center"/>
              <w:rPr>
                <w:sz w:val="20"/>
              </w:rPr>
            </w:pPr>
            <w:r>
              <w:rPr>
                <w:spacing w:val="-4"/>
                <w:sz w:val="20"/>
              </w:rPr>
              <w:t>100%</w:t>
            </w:r>
          </w:p>
        </w:tc>
        <w:tc>
          <w:tcPr>
            <w:tcW w:w="1746" w:type="dxa"/>
            <w:tcBorders>
              <w:left w:val="single" w:sz="8" w:space="0" w:color="BEBEBE"/>
              <w:bottom w:val="single" w:sz="4" w:space="0" w:color="BEBEBE"/>
              <w:right w:val="single" w:sz="8" w:space="0" w:color="BEBEBE"/>
            </w:tcBorders>
          </w:tcPr>
          <w:p>
            <w:pPr>
              <w:pStyle w:val="TableParagraph"/>
              <w:spacing w:line="210" w:lineRule="exact"/>
              <w:ind w:left="601" w:right="601"/>
              <w:jc w:val="center"/>
              <w:rPr>
                <w:sz w:val="20"/>
              </w:rPr>
            </w:pPr>
            <w:r>
              <w:rPr>
                <w:spacing w:val="-5"/>
                <w:sz w:val="20"/>
              </w:rPr>
              <w:t>50%</w:t>
            </w:r>
          </w:p>
        </w:tc>
        <w:tc>
          <w:tcPr>
            <w:tcW w:w="841" w:type="dxa"/>
            <w:vMerge w:val="restart"/>
            <w:tcBorders>
              <w:left w:val="single" w:sz="8" w:space="0" w:color="BEBEBE"/>
              <w:right w:val="nil"/>
            </w:tcBorders>
          </w:tcPr>
          <w:p>
            <w:pPr>
              <w:pStyle w:val="TableParagraph"/>
              <w:rPr>
                <w:sz w:val="20"/>
              </w:rPr>
            </w:pPr>
          </w:p>
        </w:tc>
      </w:tr>
      <w:tr>
        <w:trPr>
          <w:trHeight w:val="230" w:hRule="atLeast"/>
        </w:trPr>
        <w:tc>
          <w:tcPr>
            <w:tcW w:w="852" w:type="dxa"/>
            <w:vMerge/>
            <w:tcBorders>
              <w:top w:val="nil"/>
              <w:left w:val="nil"/>
              <w:right w:val="single" w:sz="8" w:space="0" w:color="BEBEBE"/>
            </w:tcBorders>
          </w:tcPr>
          <w:p>
            <w:pPr>
              <w:rPr>
                <w:sz w:val="2"/>
                <w:szCs w:val="2"/>
              </w:rPr>
            </w:pPr>
          </w:p>
        </w:tc>
        <w:tc>
          <w:tcPr>
            <w:tcW w:w="418" w:type="dxa"/>
            <w:tcBorders>
              <w:top w:val="single" w:sz="4" w:space="0" w:color="BEBEBE"/>
              <w:left w:val="single" w:sz="8" w:space="0" w:color="BEBEBE"/>
              <w:bottom w:val="single" w:sz="4" w:space="0" w:color="BEBEBE"/>
              <w:right w:val="single" w:sz="4" w:space="0" w:color="BEBEBE"/>
            </w:tcBorders>
          </w:tcPr>
          <w:p>
            <w:pPr>
              <w:pStyle w:val="TableParagraph"/>
              <w:spacing w:line="210" w:lineRule="exact"/>
              <w:ind w:right="9"/>
              <w:jc w:val="center"/>
              <w:rPr>
                <w:sz w:val="20"/>
              </w:rPr>
            </w:pPr>
            <w:r>
              <w:rPr>
                <w:w w:val="99"/>
                <w:sz w:val="20"/>
              </w:rPr>
              <w:t>2</w:t>
            </w:r>
          </w:p>
        </w:tc>
        <w:tc>
          <w:tcPr>
            <w:tcW w:w="3776" w:type="dxa"/>
            <w:tcBorders>
              <w:top w:val="single" w:sz="4" w:space="0" w:color="BEBEBE"/>
              <w:left w:val="single" w:sz="4" w:space="0" w:color="BEBEBE"/>
              <w:bottom w:val="single" w:sz="4" w:space="0" w:color="BEBEBE"/>
              <w:right w:val="single" w:sz="4" w:space="0" w:color="BEBEBE"/>
            </w:tcBorders>
          </w:tcPr>
          <w:p>
            <w:pPr>
              <w:pStyle w:val="TableParagraph"/>
              <w:spacing w:line="210" w:lineRule="exact"/>
              <w:ind w:left="102"/>
              <w:rPr>
                <w:sz w:val="20"/>
              </w:rPr>
            </w:pPr>
            <w:r>
              <w:rPr>
                <w:sz w:val="20"/>
              </w:rPr>
              <w:t>Member</w:t>
            </w:r>
            <w:r>
              <w:rPr>
                <w:spacing w:val="-7"/>
                <w:sz w:val="20"/>
              </w:rPr>
              <w:t> </w:t>
            </w:r>
            <w:r>
              <w:rPr>
                <w:spacing w:val="-2"/>
                <w:sz w:val="20"/>
              </w:rPr>
              <w:t>Experience</w:t>
            </w:r>
          </w:p>
        </w:tc>
        <w:tc>
          <w:tcPr>
            <w:tcW w:w="1746" w:type="dxa"/>
            <w:tcBorders>
              <w:top w:val="single" w:sz="4" w:space="0" w:color="BEBEBE"/>
              <w:left w:val="single" w:sz="4" w:space="0" w:color="BEBEBE"/>
              <w:bottom w:val="single" w:sz="4" w:space="0" w:color="BEBEBE"/>
              <w:right w:val="single" w:sz="8" w:space="0" w:color="BEBEBE"/>
            </w:tcBorders>
          </w:tcPr>
          <w:p>
            <w:pPr>
              <w:pStyle w:val="TableParagraph"/>
              <w:spacing w:line="210" w:lineRule="exact"/>
              <w:ind w:left="604" w:right="602"/>
              <w:jc w:val="center"/>
              <w:rPr>
                <w:sz w:val="20"/>
              </w:rPr>
            </w:pPr>
            <w:r>
              <w:rPr>
                <w:spacing w:val="-5"/>
                <w:sz w:val="20"/>
              </w:rPr>
              <w:t>0%</w:t>
            </w:r>
          </w:p>
        </w:tc>
        <w:tc>
          <w:tcPr>
            <w:tcW w:w="1746" w:type="dxa"/>
            <w:tcBorders>
              <w:top w:val="single" w:sz="4" w:space="0" w:color="BEBEBE"/>
              <w:left w:val="single" w:sz="8" w:space="0" w:color="BEBEBE"/>
              <w:bottom w:val="single" w:sz="4" w:space="0" w:color="BEBEBE"/>
              <w:right w:val="single" w:sz="8" w:space="0" w:color="BEBEBE"/>
            </w:tcBorders>
          </w:tcPr>
          <w:p>
            <w:pPr>
              <w:pStyle w:val="TableParagraph"/>
              <w:spacing w:line="210" w:lineRule="exact"/>
              <w:ind w:left="601" w:right="601"/>
              <w:jc w:val="center"/>
              <w:rPr>
                <w:sz w:val="20"/>
              </w:rPr>
            </w:pPr>
            <w:r>
              <w:rPr>
                <w:spacing w:val="-5"/>
                <w:sz w:val="20"/>
              </w:rPr>
              <w:t>50%</w:t>
            </w:r>
          </w:p>
        </w:tc>
        <w:tc>
          <w:tcPr>
            <w:tcW w:w="841" w:type="dxa"/>
            <w:vMerge/>
            <w:tcBorders>
              <w:top w:val="nil"/>
              <w:left w:val="single" w:sz="8" w:space="0" w:color="BEBEBE"/>
              <w:right w:val="nil"/>
            </w:tcBorders>
          </w:tcPr>
          <w:p>
            <w:pPr>
              <w:rPr>
                <w:sz w:val="2"/>
                <w:szCs w:val="2"/>
              </w:rPr>
            </w:pPr>
          </w:p>
        </w:tc>
      </w:tr>
      <w:tr>
        <w:trPr>
          <w:trHeight w:val="229" w:hRule="atLeast"/>
        </w:trPr>
        <w:tc>
          <w:tcPr>
            <w:tcW w:w="852" w:type="dxa"/>
            <w:vMerge/>
            <w:tcBorders>
              <w:top w:val="nil"/>
              <w:left w:val="nil"/>
              <w:right w:val="single" w:sz="8" w:space="0" w:color="BEBEBE"/>
            </w:tcBorders>
          </w:tcPr>
          <w:p>
            <w:pPr>
              <w:rPr>
                <w:sz w:val="2"/>
                <w:szCs w:val="2"/>
              </w:rPr>
            </w:pPr>
          </w:p>
        </w:tc>
        <w:tc>
          <w:tcPr>
            <w:tcW w:w="4194" w:type="dxa"/>
            <w:gridSpan w:val="2"/>
            <w:tcBorders>
              <w:top w:val="single" w:sz="4" w:space="0" w:color="BEBEBE"/>
              <w:left w:val="single" w:sz="8" w:space="0" w:color="BEBEBE"/>
              <w:bottom w:val="single" w:sz="12" w:space="0" w:color="BEBEBE"/>
              <w:right w:val="single" w:sz="4" w:space="0" w:color="BEBEBE"/>
            </w:tcBorders>
          </w:tcPr>
          <w:p>
            <w:pPr>
              <w:pStyle w:val="TableParagraph"/>
              <w:spacing w:line="209" w:lineRule="exact"/>
              <w:ind w:left="1743" w:right="1749"/>
              <w:jc w:val="center"/>
              <w:rPr>
                <w:sz w:val="20"/>
              </w:rPr>
            </w:pPr>
            <w:r>
              <w:rPr>
                <w:spacing w:val="-2"/>
                <w:sz w:val="20"/>
              </w:rPr>
              <w:t>TOTAL</w:t>
            </w:r>
          </w:p>
        </w:tc>
        <w:tc>
          <w:tcPr>
            <w:tcW w:w="1746" w:type="dxa"/>
            <w:tcBorders>
              <w:top w:val="single" w:sz="4" w:space="0" w:color="BEBEBE"/>
              <w:left w:val="single" w:sz="4" w:space="0" w:color="BEBEBE"/>
              <w:bottom w:val="single" w:sz="12" w:space="0" w:color="BEBEBE"/>
              <w:right w:val="single" w:sz="8" w:space="0" w:color="BEBEBE"/>
            </w:tcBorders>
          </w:tcPr>
          <w:p>
            <w:pPr>
              <w:pStyle w:val="TableParagraph"/>
              <w:spacing w:line="209" w:lineRule="exact"/>
              <w:ind w:left="604" w:right="602"/>
              <w:jc w:val="center"/>
              <w:rPr>
                <w:b/>
                <w:sz w:val="20"/>
              </w:rPr>
            </w:pPr>
            <w:r>
              <w:rPr>
                <w:b/>
                <w:spacing w:val="-4"/>
                <w:sz w:val="20"/>
              </w:rPr>
              <w:t>100%</w:t>
            </w:r>
          </w:p>
        </w:tc>
        <w:tc>
          <w:tcPr>
            <w:tcW w:w="1746" w:type="dxa"/>
            <w:tcBorders>
              <w:top w:val="single" w:sz="4" w:space="0" w:color="BEBEBE"/>
              <w:left w:val="single" w:sz="8" w:space="0" w:color="BEBEBE"/>
              <w:bottom w:val="single" w:sz="12" w:space="0" w:color="BEBEBE"/>
              <w:right w:val="single" w:sz="8" w:space="0" w:color="BEBEBE"/>
            </w:tcBorders>
          </w:tcPr>
          <w:p>
            <w:pPr>
              <w:pStyle w:val="TableParagraph"/>
              <w:spacing w:line="209" w:lineRule="exact"/>
              <w:ind w:left="601" w:right="601"/>
              <w:jc w:val="center"/>
              <w:rPr>
                <w:b/>
                <w:sz w:val="20"/>
              </w:rPr>
            </w:pPr>
            <w:r>
              <w:rPr>
                <w:b/>
                <w:spacing w:val="-4"/>
                <w:sz w:val="20"/>
              </w:rPr>
              <w:t>100%</w:t>
            </w:r>
          </w:p>
        </w:tc>
        <w:tc>
          <w:tcPr>
            <w:tcW w:w="841" w:type="dxa"/>
            <w:vMerge/>
            <w:tcBorders>
              <w:top w:val="nil"/>
              <w:left w:val="single" w:sz="8" w:space="0" w:color="BEBEBE"/>
              <w:right w:val="nil"/>
            </w:tcBorders>
          </w:tcPr>
          <w:p>
            <w:pPr>
              <w:rPr>
                <w:sz w:val="2"/>
                <w:szCs w:val="2"/>
              </w:rPr>
            </w:pPr>
          </w:p>
        </w:tc>
      </w:tr>
    </w:tbl>
    <w:p>
      <w:pPr>
        <w:pStyle w:val="BodyText"/>
        <w:spacing w:before="9"/>
        <w:rPr>
          <w:sz w:val="14"/>
        </w:rPr>
      </w:pPr>
    </w:p>
    <w:p>
      <w:pPr>
        <w:spacing w:before="92"/>
        <w:ind w:left="1220" w:right="0" w:firstLine="0"/>
        <w:jc w:val="left"/>
        <w:rPr>
          <w:sz w:val="22"/>
        </w:rPr>
      </w:pPr>
      <w:r>
        <w:rPr>
          <w:sz w:val="22"/>
        </w:rPr>
        <w:t>See</w:t>
      </w:r>
      <w:r>
        <w:rPr>
          <w:spacing w:val="-2"/>
          <w:sz w:val="22"/>
        </w:rPr>
        <w:t> </w:t>
      </w:r>
      <w:r>
        <w:rPr>
          <w:sz w:val="22"/>
        </w:rPr>
        <w:t>Appendix</w:t>
      </w:r>
      <w:r>
        <w:rPr>
          <w:spacing w:val="-1"/>
          <w:sz w:val="22"/>
        </w:rPr>
        <w:t> </w:t>
      </w:r>
      <w:r>
        <w:rPr>
          <w:sz w:val="22"/>
        </w:rPr>
        <w:t>D</w:t>
      </w:r>
      <w:r>
        <w:rPr>
          <w:spacing w:val="-6"/>
          <w:sz w:val="22"/>
        </w:rPr>
        <w:t> </w:t>
      </w:r>
      <w:r>
        <w:rPr>
          <w:sz w:val="22"/>
        </w:rPr>
        <w:t>for</w:t>
      </w:r>
      <w:r>
        <w:rPr>
          <w:spacing w:val="-3"/>
          <w:sz w:val="22"/>
        </w:rPr>
        <w:t> </w:t>
      </w:r>
      <w:r>
        <w:rPr>
          <w:sz w:val="22"/>
        </w:rPr>
        <w:t>the</w:t>
      </w:r>
      <w:r>
        <w:rPr>
          <w:spacing w:val="-3"/>
          <w:sz w:val="22"/>
        </w:rPr>
        <w:t> </w:t>
      </w:r>
      <w:r>
        <w:rPr>
          <w:sz w:val="22"/>
        </w:rPr>
        <w:t>full</w:t>
      </w:r>
      <w:r>
        <w:rPr>
          <w:spacing w:val="-4"/>
          <w:sz w:val="22"/>
        </w:rPr>
        <w:t> </w:t>
      </w:r>
      <w:r>
        <w:rPr>
          <w:sz w:val="22"/>
        </w:rPr>
        <w:t>list of</w:t>
      </w:r>
      <w:r>
        <w:rPr>
          <w:spacing w:val="-1"/>
          <w:sz w:val="22"/>
        </w:rPr>
        <w:t> </w:t>
      </w:r>
      <w:r>
        <w:rPr>
          <w:sz w:val="22"/>
        </w:rPr>
        <w:t>CSA</w:t>
      </w:r>
      <w:r>
        <w:rPr>
          <w:spacing w:val="-2"/>
          <w:sz w:val="22"/>
        </w:rPr>
        <w:t> </w:t>
      </w:r>
      <w:r>
        <w:rPr>
          <w:sz w:val="22"/>
        </w:rPr>
        <w:t>Quality</w:t>
      </w:r>
      <w:r>
        <w:rPr>
          <w:spacing w:val="-4"/>
          <w:sz w:val="22"/>
        </w:rPr>
        <w:t> </w:t>
      </w:r>
      <w:r>
        <w:rPr>
          <w:spacing w:val="-2"/>
          <w:sz w:val="22"/>
        </w:rPr>
        <w:t>Measures.</w:t>
      </w:r>
    </w:p>
    <w:p>
      <w:pPr>
        <w:pStyle w:val="BodyText"/>
      </w:pPr>
    </w:p>
    <w:p>
      <w:pPr>
        <w:pStyle w:val="BodyText"/>
        <w:spacing w:before="7"/>
        <w:rPr>
          <w:sz w:val="32"/>
        </w:rPr>
      </w:pPr>
    </w:p>
    <w:p>
      <w:pPr>
        <w:spacing w:before="0"/>
        <w:ind w:left="1220" w:right="0" w:firstLine="0"/>
        <w:jc w:val="left"/>
        <w:rPr>
          <w:sz w:val="22"/>
        </w:rPr>
      </w:pPr>
      <w:r>
        <w:rPr>
          <w:sz w:val="22"/>
        </w:rPr>
        <w:t>EXHIBIT</w:t>
      </w:r>
      <w:r>
        <w:rPr>
          <w:spacing w:val="-1"/>
          <w:sz w:val="22"/>
        </w:rPr>
        <w:t> </w:t>
      </w:r>
      <w:r>
        <w:rPr>
          <w:sz w:val="22"/>
        </w:rPr>
        <w:t>47</w:t>
      </w:r>
      <w:r>
        <w:rPr>
          <w:spacing w:val="-3"/>
          <w:sz w:val="22"/>
        </w:rPr>
        <w:t> </w:t>
      </w:r>
      <w:r>
        <w:rPr>
          <w:sz w:val="22"/>
        </w:rPr>
        <w:t>–</w:t>
      </w:r>
      <w:r>
        <w:rPr>
          <w:spacing w:val="-3"/>
          <w:sz w:val="22"/>
        </w:rPr>
        <w:t> </w:t>
      </w:r>
      <w:r>
        <w:rPr>
          <w:sz w:val="22"/>
        </w:rPr>
        <w:t>Domain</w:t>
      </w:r>
      <w:r>
        <w:rPr>
          <w:spacing w:val="-3"/>
          <w:sz w:val="22"/>
        </w:rPr>
        <w:t> </w:t>
      </w:r>
      <w:r>
        <w:rPr>
          <w:sz w:val="22"/>
        </w:rPr>
        <w:t>Weighting</w:t>
      </w:r>
      <w:r>
        <w:rPr>
          <w:spacing w:val="-6"/>
          <w:sz w:val="22"/>
        </w:rPr>
        <w:t> </w:t>
      </w:r>
      <w:r>
        <w:rPr>
          <w:sz w:val="22"/>
        </w:rPr>
        <w:t>for</w:t>
      </w:r>
      <w:r>
        <w:rPr>
          <w:spacing w:val="-5"/>
          <w:sz w:val="22"/>
        </w:rPr>
        <w:t> </w:t>
      </w:r>
      <w:r>
        <w:rPr>
          <w:sz w:val="22"/>
        </w:rPr>
        <w:t>LTSS</w:t>
      </w:r>
      <w:r>
        <w:rPr>
          <w:spacing w:val="-3"/>
          <w:sz w:val="22"/>
        </w:rPr>
        <w:t> </w:t>
      </w:r>
      <w:r>
        <w:rPr>
          <w:spacing w:val="-5"/>
          <w:sz w:val="22"/>
        </w:rPr>
        <w:t>CPs</w:t>
      </w:r>
    </w:p>
    <w:p>
      <w:pPr>
        <w:pStyle w:val="BodyText"/>
        <w:spacing w:before="2"/>
        <w:rPr>
          <w:sz w:val="22"/>
        </w:rPr>
      </w:pPr>
    </w:p>
    <w:tbl>
      <w:tblPr>
        <w:tblW w:w="0" w:type="auto"/>
        <w:jc w:val="left"/>
        <w:tblInd w:w="2468" w:type="dxa"/>
        <w:tblBorders>
          <w:top w:val="single" w:sz="8" w:space="0" w:color="BEBEBE"/>
          <w:left w:val="single" w:sz="8" w:space="0" w:color="BEBEBE"/>
          <w:bottom w:val="single" w:sz="8" w:space="0" w:color="BEBEBE"/>
          <w:right w:val="single" w:sz="8" w:space="0" w:color="BEBEBE"/>
          <w:insideH w:val="single" w:sz="8" w:space="0" w:color="BEBEBE"/>
          <w:insideV w:val="single" w:sz="8" w:space="0" w:color="BEBEBE"/>
        </w:tblBorders>
        <w:tblLayout w:type="fixed"/>
        <w:tblCellMar>
          <w:top w:w="0" w:type="dxa"/>
          <w:left w:w="0" w:type="dxa"/>
          <w:bottom w:w="0" w:type="dxa"/>
          <w:right w:w="0" w:type="dxa"/>
        </w:tblCellMar>
        <w:tblLook w:val="01E0"/>
      </w:tblPr>
      <w:tblGrid>
        <w:gridCol w:w="317"/>
        <w:gridCol w:w="3363"/>
        <w:gridCol w:w="1597"/>
        <w:gridCol w:w="1608"/>
      </w:tblGrid>
      <w:tr>
        <w:trPr>
          <w:trHeight w:val="407" w:hRule="atLeast"/>
        </w:trPr>
        <w:tc>
          <w:tcPr>
            <w:tcW w:w="6885" w:type="dxa"/>
            <w:gridSpan w:val="4"/>
            <w:shd w:val="clear" w:color="auto" w:fill="1F487C"/>
          </w:tcPr>
          <w:p>
            <w:pPr>
              <w:pStyle w:val="TableParagraph"/>
              <w:ind w:left="1950"/>
              <w:rPr>
                <w:b/>
                <w:sz w:val="20"/>
              </w:rPr>
            </w:pPr>
            <w:r>
              <w:rPr>
                <w:b/>
                <w:color w:val="FFFFFF"/>
                <w:sz w:val="20"/>
              </w:rPr>
              <w:t>LTSS</w:t>
            </w:r>
            <w:r>
              <w:rPr>
                <w:b/>
                <w:color w:val="FFFFFF"/>
                <w:spacing w:val="-8"/>
                <w:sz w:val="20"/>
              </w:rPr>
              <w:t> </w:t>
            </w:r>
            <w:r>
              <w:rPr>
                <w:b/>
                <w:color w:val="FFFFFF"/>
                <w:sz w:val="20"/>
              </w:rPr>
              <w:t>CP</w:t>
            </w:r>
            <w:r>
              <w:rPr>
                <w:b/>
                <w:color w:val="FFFFFF"/>
                <w:spacing w:val="-5"/>
                <w:sz w:val="20"/>
              </w:rPr>
              <w:t> </w:t>
            </w:r>
            <w:r>
              <w:rPr>
                <w:b/>
                <w:color w:val="FFFFFF"/>
                <w:sz w:val="20"/>
              </w:rPr>
              <w:t>Quality</w:t>
            </w:r>
            <w:r>
              <w:rPr>
                <w:b/>
                <w:color w:val="FFFFFF"/>
                <w:spacing w:val="-6"/>
                <w:sz w:val="20"/>
              </w:rPr>
              <w:t> </w:t>
            </w:r>
            <w:r>
              <w:rPr>
                <w:b/>
                <w:color w:val="FFFFFF"/>
                <w:sz w:val="20"/>
              </w:rPr>
              <w:t>Domain</w:t>
            </w:r>
            <w:r>
              <w:rPr>
                <w:b/>
                <w:color w:val="FFFFFF"/>
                <w:spacing w:val="-4"/>
                <w:sz w:val="20"/>
              </w:rPr>
              <w:t> </w:t>
            </w:r>
            <w:r>
              <w:rPr>
                <w:b/>
                <w:color w:val="FFFFFF"/>
                <w:spacing w:val="-2"/>
                <w:sz w:val="20"/>
              </w:rPr>
              <w:t>Weights</w:t>
            </w:r>
          </w:p>
        </w:tc>
      </w:tr>
      <w:tr>
        <w:trPr>
          <w:trHeight w:val="496" w:hRule="atLeast"/>
        </w:trPr>
        <w:tc>
          <w:tcPr>
            <w:tcW w:w="3680" w:type="dxa"/>
            <w:gridSpan w:val="2"/>
            <w:shd w:val="clear" w:color="auto" w:fill="D9D9D9"/>
          </w:tcPr>
          <w:p>
            <w:pPr>
              <w:pStyle w:val="TableParagraph"/>
              <w:spacing w:before="2"/>
              <w:ind w:left="1151"/>
              <w:rPr>
                <w:b/>
                <w:sz w:val="20"/>
              </w:rPr>
            </w:pPr>
            <w:r>
              <w:rPr>
                <w:b/>
                <w:sz w:val="20"/>
              </w:rPr>
              <w:t>Quality</w:t>
            </w:r>
            <w:r>
              <w:rPr>
                <w:b/>
                <w:spacing w:val="-10"/>
                <w:sz w:val="20"/>
              </w:rPr>
              <w:t> </w:t>
            </w:r>
            <w:r>
              <w:rPr>
                <w:b/>
                <w:spacing w:val="-2"/>
                <w:sz w:val="20"/>
              </w:rPr>
              <w:t>Domain</w:t>
            </w:r>
          </w:p>
        </w:tc>
        <w:tc>
          <w:tcPr>
            <w:tcW w:w="1597" w:type="dxa"/>
            <w:tcBorders>
              <w:right w:val="nil"/>
            </w:tcBorders>
            <w:shd w:val="clear" w:color="auto" w:fill="D9D9D9"/>
          </w:tcPr>
          <w:p>
            <w:pPr>
              <w:pStyle w:val="TableParagraph"/>
              <w:spacing w:before="2"/>
              <w:ind w:left="108" w:right="109"/>
              <w:jc w:val="center"/>
              <w:rPr>
                <w:b/>
                <w:sz w:val="20"/>
              </w:rPr>
            </w:pPr>
            <w:r>
              <w:rPr>
                <w:b/>
                <w:sz w:val="20"/>
              </w:rPr>
              <w:t>Domain</w:t>
            </w:r>
            <w:r>
              <w:rPr>
                <w:b/>
                <w:spacing w:val="-8"/>
                <w:sz w:val="20"/>
              </w:rPr>
              <w:t> </w:t>
            </w:r>
            <w:r>
              <w:rPr>
                <w:b/>
                <w:spacing w:val="-2"/>
                <w:sz w:val="20"/>
              </w:rPr>
              <w:t>Weight</w:t>
            </w:r>
          </w:p>
          <w:p>
            <w:pPr>
              <w:pStyle w:val="TableParagraph"/>
              <w:spacing w:line="226" w:lineRule="exact" w:before="17"/>
              <w:ind w:left="108" w:right="105"/>
              <w:jc w:val="center"/>
              <w:rPr>
                <w:b/>
                <w:sz w:val="20"/>
              </w:rPr>
            </w:pPr>
            <w:r>
              <w:rPr>
                <w:b/>
                <w:sz w:val="20"/>
              </w:rPr>
              <w:t>BP</w:t>
            </w:r>
            <w:r>
              <w:rPr>
                <w:b/>
                <w:spacing w:val="-1"/>
                <w:sz w:val="20"/>
              </w:rPr>
              <w:t> </w:t>
            </w:r>
            <w:r>
              <w:rPr>
                <w:b/>
                <w:spacing w:val="-10"/>
                <w:sz w:val="20"/>
              </w:rPr>
              <w:t>3</w:t>
            </w:r>
          </w:p>
        </w:tc>
        <w:tc>
          <w:tcPr>
            <w:tcW w:w="1608" w:type="dxa"/>
            <w:tcBorders>
              <w:left w:val="nil"/>
            </w:tcBorders>
            <w:shd w:val="clear" w:color="auto" w:fill="D9D9D9"/>
          </w:tcPr>
          <w:p>
            <w:pPr>
              <w:pStyle w:val="TableParagraph"/>
              <w:spacing w:before="2"/>
              <w:ind w:left="126" w:right="102"/>
              <w:jc w:val="center"/>
              <w:rPr>
                <w:b/>
                <w:sz w:val="20"/>
              </w:rPr>
            </w:pPr>
            <w:r>
              <w:rPr>
                <w:b/>
                <w:sz w:val="20"/>
              </w:rPr>
              <w:t>Domain</w:t>
            </w:r>
            <w:r>
              <w:rPr>
                <w:b/>
                <w:spacing w:val="-8"/>
                <w:sz w:val="20"/>
              </w:rPr>
              <w:t> </w:t>
            </w:r>
            <w:r>
              <w:rPr>
                <w:b/>
                <w:spacing w:val="-2"/>
                <w:sz w:val="20"/>
              </w:rPr>
              <w:t>Weight</w:t>
            </w:r>
          </w:p>
          <w:p>
            <w:pPr>
              <w:pStyle w:val="TableParagraph"/>
              <w:spacing w:line="226" w:lineRule="exact" w:before="17"/>
              <w:ind w:left="126" w:right="95"/>
              <w:jc w:val="center"/>
              <w:rPr>
                <w:b/>
                <w:sz w:val="20"/>
              </w:rPr>
            </w:pPr>
            <w:r>
              <w:rPr>
                <w:b/>
                <w:sz w:val="20"/>
              </w:rPr>
              <w:t>BP</w:t>
            </w:r>
            <w:r>
              <w:rPr>
                <w:b/>
                <w:spacing w:val="-1"/>
                <w:sz w:val="20"/>
              </w:rPr>
              <w:t> </w:t>
            </w:r>
            <w:r>
              <w:rPr>
                <w:b/>
                <w:sz w:val="20"/>
              </w:rPr>
              <w:t>4 -</w:t>
            </w:r>
            <w:r>
              <w:rPr>
                <w:b/>
                <w:spacing w:val="-3"/>
                <w:sz w:val="20"/>
              </w:rPr>
              <w:t> </w:t>
            </w:r>
            <w:r>
              <w:rPr>
                <w:b/>
                <w:spacing w:val="-10"/>
                <w:sz w:val="20"/>
              </w:rPr>
              <w:t>5</w:t>
            </w:r>
          </w:p>
        </w:tc>
      </w:tr>
      <w:tr>
        <w:trPr>
          <w:trHeight w:val="248" w:hRule="atLeast"/>
        </w:trPr>
        <w:tc>
          <w:tcPr>
            <w:tcW w:w="317" w:type="dxa"/>
          </w:tcPr>
          <w:p>
            <w:pPr>
              <w:pStyle w:val="TableParagraph"/>
              <w:spacing w:line="226" w:lineRule="exact" w:before="2"/>
              <w:ind w:right="87"/>
              <w:jc w:val="right"/>
              <w:rPr>
                <w:sz w:val="20"/>
              </w:rPr>
            </w:pPr>
            <w:r>
              <w:rPr>
                <w:w w:val="99"/>
                <w:sz w:val="20"/>
              </w:rPr>
              <w:t>1</w:t>
            </w:r>
          </w:p>
        </w:tc>
        <w:tc>
          <w:tcPr>
            <w:tcW w:w="3363" w:type="dxa"/>
          </w:tcPr>
          <w:p>
            <w:pPr>
              <w:pStyle w:val="TableParagraph"/>
              <w:spacing w:line="226" w:lineRule="exact" w:before="2"/>
              <w:ind w:left="107"/>
              <w:rPr>
                <w:sz w:val="20"/>
              </w:rPr>
            </w:pPr>
            <w:r>
              <w:rPr>
                <w:sz w:val="20"/>
              </w:rPr>
              <w:t>Care</w:t>
            </w:r>
            <w:r>
              <w:rPr>
                <w:spacing w:val="-5"/>
                <w:sz w:val="20"/>
              </w:rPr>
              <w:t> </w:t>
            </w:r>
            <w:r>
              <w:rPr>
                <w:spacing w:val="-2"/>
                <w:sz w:val="20"/>
              </w:rPr>
              <w:t>Integration</w:t>
            </w:r>
          </w:p>
        </w:tc>
        <w:tc>
          <w:tcPr>
            <w:tcW w:w="1597" w:type="dxa"/>
            <w:tcBorders>
              <w:right w:val="nil"/>
            </w:tcBorders>
          </w:tcPr>
          <w:p>
            <w:pPr>
              <w:pStyle w:val="TableParagraph"/>
              <w:spacing w:line="226" w:lineRule="exact" w:before="2"/>
              <w:ind w:left="108" w:right="106"/>
              <w:jc w:val="center"/>
              <w:rPr>
                <w:sz w:val="20"/>
              </w:rPr>
            </w:pPr>
            <w:r>
              <w:rPr>
                <w:spacing w:val="-5"/>
                <w:sz w:val="20"/>
              </w:rPr>
              <w:t>52%</w:t>
            </w:r>
          </w:p>
        </w:tc>
        <w:tc>
          <w:tcPr>
            <w:tcW w:w="1608" w:type="dxa"/>
            <w:tcBorders>
              <w:left w:val="nil"/>
            </w:tcBorders>
          </w:tcPr>
          <w:p>
            <w:pPr>
              <w:pStyle w:val="TableParagraph"/>
              <w:spacing w:line="226" w:lineRule="exact" w:before="2"/>
              <w:ind w:left="126" w:right="98"/>
              <w:jc w:val="center"/>
              <w:rPr>
                <w:sz w:val="20"/>
              </w:rPr>
            </w:pPr>
            <w:r>
              <w:rPr>
                <w:spacing w:val="-5"/>
                <w:sz w:val="20"/>
              </w:rPr>
              <w:t>40%</w:t>
            </w:r>
          </w:p>
        </w:tc>
      </w:tr>
      <w:tr>
        <w:trPr>
          <w:trHeight w:val="248" w:hRule="atLeast"/>
        </w:trPr>
        <w:tc>
          <w:tcPr>
            <w:tcW w:w="317" w:type="dxa"/>
          </w:tcPr>
          <w:p>
            <w:pPr>
              <w:pStyle w:val="TableParagraph"/>
              <w:spacing w:line="229" w:lineRule="exact"/>
              <w:ind w:right="87"/>
              <w:jc w:val="right"/>
              <w:rPr>
                <w:sz w:val="20"/>
              </w:rPr>
            </w:pPr>
            <w:r>
              <w:rPr>
                <w:w w:val="99"/>
                <w:sz w:val="20"/>
              </w:rPr>
              <w:t>2</w:t>
            </w:r>
          </w:p>
        </w:tc>
        <w:tc>
          <w:tcPr>
            <w:tcW w:w="3363" w:type="dxa"/>
          </w:tcPr>
          <w:p>
            <w:pPr>
              <w:pStyle w:val="TableParagraph"/>
              <w:spacing w:line="229" w:lineRule="exact"/>
              <w:ind w:left="107"/>
              <w:rPr>
                <w:sz w:val="20"/>
              </w:rPr>
            </w:pPr>
            <w:r>
              <w:rPr>
                <w:sz w:val="20"/>
              </w:rPr>
              <w:t>Population</w:t>
            </w:r>
            <w:r>
              <w:rPr>
                <w:spacing w:val="-10"/>
                <w:sz w:val="20"/>
              </w:rPr>
              <w:t> </w:t>
            </w:r>
            <w:r>
              <w:rPr>
                <w:spacing w:val="-2"/>
                <w:sz w:val="20"/>
              </w:rPr>
              <w:t>Health</w:t>
            </w:r>
          </w:p>
        </w:tc>
        <w:tc>
          <w:tcPr>
            <w:tcW w:w="1597" w:type="dxa"/>
            <w:tcBorders>
              <w:right w:val="nil"/>
            </w:tcBorders>
          </w:tcPr>
          <w:p>
            <w:pPr>
              <w:pStyle w:val="TableParagraph"/>
              <w:spacing w:line="229" w:lineRule="exact"/>
              <w:ind w:left="108" w:right="106"/>
              <w:jc w:val="center"/>
              <w:rPr>
                <w:sz w:val="20"/>
              </w:rPr>
            </w:pPr>
            <w:r>
              <w:rPr>
                <w:spacing w:val="-5"/>
                <w:sz w:val="20"/>
              </w:rPr>
              <w:t>32%</w:t>
            </w:r>
          </w:p>
        </w:tc>
        <w:tc>
          <w:tcPr>
            <w:tcW w:w="1608" w:type="dxa"/>
            <w:tcBorders>
              <w:left w:val="nil"/>
            </w:tcBorders>
          </w:tcPr>
          <w:p>
            <w:pPr>
              <w:pStyle w:val="TableParagraph"/>
              <w:spacing w:line="229" w:lineRule="exact"/>
              <w:ind w:left="126" w:right="98"/>
              <w:jc w:val="center"/>
              <w:rPr>
                <w:sz w:val="20"/>
              </w:rPr>
            </w:pPr>
            <w:r>
              <w:rPr>
                <w:spacing w:val="-5"/>
                <w:sz w:val="20"/>
              </w:rPr>
              <w:t>25%</w:t>
            </w:r>
          </w:p>
        </w:tc>
      </w:tr>
      <w:tr>
        <w:trPr>
          <w:trHeight w:val="248" w:hRule="atLeast"/>
        </w:trPr>
        <w:tc>
          <w:tcPr>
            <w:tcW w:w="317" w:type="dxa"/>
          </w:tcPr>
          <w:p>
            <w:pPr>
              <w:pStyle w:val="TableParagraph"/>
              <w:spacing w:line="229" w:lineRule="exact"/>
              <w:ind w:right="87"/>
              <w:jc w:val="right"/>
              <w:rPr>
                <w:sz w:val="20"/>
              </w:rPr>
            </w:pPr>
            <w:r>
              <w:rPr>
                <w:w w:val="99"/>
                <w:sz w:val="20"/>
              </w:rPr>
              <w:t>3</w:t>
            </w:r>
          </w:p>
        </w:tc>
        <w:tc>
          <w:tcPr>
            <w:tcW w:w="3363" w:type="dxa"/>
          </w:tcPr>
          <w:p>
            <w:pPr>
              <w:pStyle w:val="TableParagraph"/>
              <w:spacing w:line="229" w:lineRule="exact"/>
              <w:ind w:left="107"/>
              <w:rPr>
                <w:sz w:val="20"/>
              </w:rPr>
            </w:pPr>
            <w:r>
              <w:rPr>
                <w:sz w:val="20"/>
              </w:rPr>
              <w:t>Avoidable</w:t>
            </w:r>
            <w:r>
              <w:rPr>
                <w:spacing w:val="-10"/>
                <w:sz w:val="20"/>
              </w:rPr>
              <w:t> </w:t>
            </w:r>
            <w:r>
              <w:rPr>
                <w:spacing w:val="-2"/>
                <w:sz w:val="20"/>
              </w:rPr>
              <w:t>Utilization</w:t>
            </w:r>
          </w:p>
        </w:tc>
        <w:tc>
          <w:tcPr>
            <w:tcW w:w="1597" w:type="dxa"/>
            <w:tcBorders>
              <w:right w:val="nil"/>
            </w:tcBorders>
          </w:tcPr>
          <w:p>
            <w:pPr>
              <w:pStyle w:val="TableParagraph"/>
              <w:spacing w:line="229" w:lineRule="exact"/>
              <w:ind w:left="108" w:right="106"/>
              <w:jc w:val="center"/>
              <w:rPr>
                <w:sz w:val="20"/>
              </w:rPr>
            </w:pPr>
            <w:r>
              <w:rPr>
                <w:spacing w:val="-5"/>
                <w:sz w:val="20"/>
              </w:rPr>
              <w:t>16%</w:t>
            </w:r>
          </w:p>
        </w:tc>
        <w:tc>
          <w:tcPr>
            <w:tcW w:w="1608" w:type="dxa"/>
            <w:tcBorders>
              <w:left w:val="nil"/>
            </w:tcBorders>
          </w:tcPr>
          <w:p>
            <w:pPr>
              <w:pStyle w:val="TableParagraph"/>
              <w:spacing w:line="229" w:lineRule="exact"/>
              <w:ind w:left="126" w:right="98"/>
              <w:jc w:val="center"/>
              <w:rPr>
                <w:sz w:val="20"/>
              </w:rPr>
            </w:pPr>
            <w:r>
              <w:rPr>
                <w:spacing w:val="-5"/>
                <w:sz w:val="20"/>
              </w:rPr>
              <w:t>15%</w:t>
            </w:r>
          </w:p>
        </w:tc>
      </w:tr>
      <w:tr>
        <w:trPr>
          <w:trHeight w:val="246" w:hRule="atLeast"/>
        </w:trPr>
        <w:tc>
          <w:tcPr>
            <w:tcW w:w="317" w:type="dxa"/>
          </w:tcPr>
          <w:p>
            <w:pPr>
              <w:pStyle w:val="TableParagraph"/>
              <w:spacing w:line="226" w:lineRule="exact"/>
              <w:ind w:right="87"/>
              <w:jc w:val="right"/>
              <w:rPr>
                <w:sz w:val="20"/>
              </w:rPr>
            </w:pPr>
            <w:r>
              <w:rPr>
                <w:w w:val="99"/>
                <w:sz w:val="20"/>
              </w:rPr>
              <w:t>4</w:t>
            </w:r>
          </w:p>
        </w:tc>
        <w:tc>
          <w:tcPr>
            <w:tcW w:w="3363" w:type="dxa"/>
          </w:tcPr>
          <w:p>
            <w:pPr>
              <w:pStyle w:val="TableParagraph"/>
              <w:spacing w:line="226" w:lineRule="exact"/>
              <w:ind w:left="107"/>
              <w:rPr>
                <w:sz w:val="20"/>
              </w:rPr>
            </w:pPr>
            <w:r>
              <w:rPr>
                <w:sz w:val="20"/>
              </w:rPr>
              <w:t>Member</w:t>
            </w:r>
            <w:r>
              <w:rPr>
                <w:spacing w:val="-7"/>
                <w:sz w:val="20"/>
              </w:rPr>
              <w:t> </w:t>
            </w:r>
            <w:r>
              <w:rPr>
                <w:spacing w:val="-2"/>
                <w:sz w:val="20"/>
              </w:rPr>
              <w:t>Experience</w:t>
            </w:r>
          </w:p>
        </w:tc>
        <w:tc>
          <w:tcPr>
            <w:tcW w:w="1597" w:type="dxa"/>
            <w:tcBorders>
              <w:right w:val="nil"/>
            </w:tcBorders>
          </w:tcPr>
          <w:p>
            <w:pPr>
              <w:pStyle w:val="TableParagraph"/>
              <w:spacing w:line="226" w:lineRule="exact"/>
              <w:ind w:left="108" w:right="105"/>
              <w:jc w:val="center"/>
              <w:rPr>
                <w:sz w:val="20"/>
              </w:rPr>
            </w:pPr>
            <w:r>
              <w:rPr>
                <w:spacing w:val="-5"/>
                <w:sz w:val="20"/>
              </w:rPr>
              <w:t>0%</w:t>
            </w:r>
          </w:p>
        </w:tc>
        <w:tc>
          <w:tcPr>
            <w:tcW w:w="1608" w:type="dxa"/>
            <w:tcBorders>
              <w:left w:val="nil"/>
            </w:tcBorders>
          </w:tcPr>
          <w:p>
            <w:pPr>
              <w:pStyle w:val="TableParagraph"/>
              <w:spacing w:line="226" w:lineRule="exact"/>
              <w:ind w:left="126" w:right="97"/>
              <w:jc w:val="center"/>
              <w:rPr>
                <w:sz w:val="20"/>
              </w:rPr>
            </w:pPr>
            <w:r>
              <w:rPr>
                <w:spacing w:val="-5"/>
                <w:sz w:val="20"/>
              </w:rPr>
              <w:t>20%</w:t>
            </w:r>
          </w:p>
        </w:tc>
      </w:tr>
      <w:tr>
        <w:trPr>
          <w:trHeight w:val="248" w:hRule="atLeast"/>
        </w:trPr>
        <w:tc>
          <w:tcPr>
            <w:tcW w:w="3680" w:type="dxa"/>
            <w:gridSpan w:val="2"/>
          </w:tcPr>
          <w:p>
            <w:pPr>
              <w:pStyle w:val="TableParagraph"/>
              <w:spacing w:line="226" w:lineRule="exact" w:before="2"/>
              <w:ind w:left="1471" w:right="1457"/>
              <w:jc w:val="center"/>
              <w:rPr>
                <w:b/>
                <w:sz w:val="20"/>
              </w:rPr>
            </w:pPr>
            <w:r>
              <w:rPr>
                <w:b/>
                <w:spacing w:val="-2"/>
                <w:sz w:val="20"/>
              </w:rPr>
              <w:t>TOTAL</w:t>
            </w:r>
          </w:p>
        </w:tc>
        <w:tc>
          <w:tcPr>
            <w:tcW w:w="1597" w:type="dxa"/>
            <w:tcBorders>
              <w:right w:val="nil"/>
            </w:tcBorders>
          </w:tcPr>
          <w:p>
            <w:pPr>
              <w:pStyle w:val="TableParagraph"/>
              <w:spacing w:line="226" w:lineRule="exact" w:before="2"/>
              <w:ind w:left="108" w:right="106"/>
              <w:jc w:val="center"/>
              <w:rPr>
                <w:b/>
                <w:sz w:val="20"/>
              </w:rPr>
            </w:pPr>
            <w:r>
              <w:rPr>
                <w:b/>
                <w:spacing w:val="-4"/>
                <w:sz w:val="20"/>
              </w:rPr>
              <w:t>100%</w:t>
            </w:r>
          </w:p>
        </w:tc>
        <w:tc>
          <w:tcPr>
            <w:tcW w:w="1608" w:type="dxa"/>
            <w:tcBorders>
              <w:left w:val="nil"/>
            </w:tcBorders>
          </w:tcPr>
          <w:p>
            <w:pPr>
              <w:pStyle w:val="TableParagraph"/>
              <w:spacing w:line="226" w:lineRule="exact" w:before="2"/>
              <w:ind w:left="126" w:right="93"/>
              <w:jc w:val="center"/>
              <w:rPr>
                <w:b/>
                <w:sz w:val="20"/>
              </w:rPr>
            </w:pPr>
            <w:r>
              <w:rPr>
                <w:b/>
                <w:spacing w:val="-4"/>
                <w:sz w:val="20"/>
              </w:rPr>
              <w:t>100%</w:t>
            </w:r>
          </w:p>
        </w:tc>
      </w:tr>
    </w:tbl>
    <w:p>
      <w:pPr>
        <w:pStyle w:val="BodyText"/>
      </w:pPr>
    </w:p>
    <w:p>
      <w:pPr>
        <w:pStyle w:val="BodyText"/>
        <w:spacing w:before="1"/>
        <w:rPr>
          <w:sz w:val="33"/>
        </w:rPr>
      </w:pPr>
    </w:p>
    <w:p>
      <w:pPr>
        <w:spacing w:before="0"/>
        <w:ind w:left="1220" w:right="0" w:firstLine="0"/>
        <w:jc w:val="left"/>
        <w:rPr>
          <w:sz w:val="22"/>
        </w:rPr>
      </w:pPr>
      <w:r>
        <w:rPr>
          <w:sz w:val="22"/>
        </w:rPr>
        <w:t>See</w:t>
      </w:r>
      <w:r>
        <w:rPr>
          <w:spacing w:val="-2"/>
          <w:sz w:val="22"/>
        </w:rPr>
        <w:t> </w:t>
      </w:r>
      <w:r>
        <w:rPr>
          <w:sz w:val="22"/>
        </w:rPr>
        <w:t>Appendix</w:t>
      </w:r>
      <w:r>
        <w:rPr>
          <w:spacing w:val="-2"/>
          <w:sz w:val="22"/>
        </w:rPr>
        <w:t> </w:t>
      </w:r>
      <w:r>
        <w:rPr>
          <w:sz w:val="22"/>
        </w:rPr>
        <w:t>D</w:t>
      </w:r>
      <w:r>
        <w:rPr>
          <w:spacing w:val="-5"/>
          <w:sz w:val="22"/>
        </w:rPr>
        <w:t> </w:t>
      </w:r>
      <w:r>
        <w:rPr>
          <w:sz w:val="22"/>
        </w:rPr>
        <w:t>for</w:t>
      </w:r>
      <w:r>
        <w:rPr>
          <w:spacing w:val="-4"/>
          <w:sz w:val="22"/>
        </w:rPr>
        <w:t> </w:t>
      </w:r>
      <w:r>
        <w:rPr>
          <w:sz w:val="22"/>
        </w:rPr>
        <w:t>the</w:t>
      </w:r>
      <w:r>
        <w:rPr>
          <w:spacing w:val="-4"/>
          <w:sz w:val="22"/>
        </w:rPr>
        <w:t> </w:t>
      </w:r>
      <w:r>
        <w:rPr>
          <w:sz w:val="22"/>
        </w:rPr>
        <w:t>full</w:t>
      </w:r>
      <w:r>
        <w:rPr>
          <w:spacing w:val="-3"/>
          <w:sz w:val="22"/>
        </w:rPr>
        <w:t> </w:t>
      </w:r>
      <w:r>
        <w:rPr>
          <w:sz w:val="22"/>
        </w:rPr>
        <w:t>list</w:t>
      </w:r>
      <w:r>
        <w:rPr>
          <w:spacing w:val="-1"/>
          <w:sz w:val="22"/>
        </w:rPr>
        <w:t> </w:t>
      </w:r>
      <w:r>
        <w:rPr>
          <w:sz w:val="22"/>
        </w:rPr>
        <w:t>of</w:t>
      </w:r>
      <w:r>
        <w:rPr>
          <w:spacing w:val="-1"/>
          <w:sz w:val="22"/>
        </w:rPr>
        <w:t> </w:t>
      </w:r>
      <w:r>
        <w:rPr>
          <w:sz w:val="22"/>
        </w:rPr>
        <w:t>LTSS</w:t>
      </w:r>
      <w:r>
        <w:rPr>
          <w:spacing w:val="-2"/>
          <w:sz w:val="22"/>
        </w:rPr>
        <w:t> </w:t>
      </w:r>
      <w:r>
        <w:rPr>
          <w:sz w:val="22"/>
        </w:rPr>
        <w:t>CP</w:t>
      </w:r>
      <w:r>
        <w:rPr>
          <w:spacing w:val="-3"/>
          <w:sz w:val="22"/>
        </w:rPr>
        <w:t> </w:t>
      </w:r>
      <w:r>
        <w:rPr>
          <w:sz w:val="22"/>
        </w:rPr>
        <w:t>Quality</w:t>
      </w:r>
      <w:r>
        <w:rPr>
          <w:spacing w:val="-4"/>
          <w:sz w:val="22"/>
        </w:rPr>
        <w:t> </w:t>
      </w:r>
      <w:r>
        <w:rPr>
          <w:spacing w:val="-2"/>
          <w:sz w:val="22"/>
        </w:rPr>
        <w:t>Measures</w:t>
      </w:r>
    </w:p>
    <w:p>
      <w:pPr>
        <w:pStyle w:val="BodyText"/>
      </w:pPr>
    </w:p>
    <w:p>
      <w:pPr>
        <w:pStyle w:val="BodyText"/>
        <w:spacing w:before="9"/>
        <w:rPr>
          <w:sz w:val="25"/>
        </w:rPr>
      </w:pPr>
    </w:p>
    <w:p>
      <w:pPr>
        <w:spacing w:before="0" w:after="6"/>
        <w:ind w:left="1220" w:right="0" w:firstLine="0"/>
        <w:jc w:val="left"/>
        <w:rPr>
          <w:sz w:val="22"/>
        </w:rPr>
      </w:pPr>
      <w:r>
        <w:rPr/>
        <mc:AlternateContent>
          <mc:Choice Requires="wps">
            <w:drawing>
              <wp:anchor distT="0" distB="0" distL="0" distR="0" allowOverlap="1" layoutInCell="1" locked="0" behindDoc="0" simplePos="0" relativeHeight="16164864">
                <wp:simplePos x="0" y="0"/>
                <wp:positionH relativeFrom="page">
                  <wp:posOffset>914400</wp:posOffset>
                </wp:positionH>
                <wp:positionV relativeFrom="paragraph">
                  <wp:posOffset>160847</wp:posOffset>
                </wp:positionV>
                <wp:extent cx="5943600" cy="6350"/>
                <wp:effectExtent l="0" t="0" r="0" b="0"/>
                <wp:wrapNone/>
                <wp:docPr id="924" name="Graphic 924"/>
                <wp:cNvGraphicFramePr>
                  <a:graphicFrameLocks/>
                </wp:cNvGraphicFramePr>
                <a:graphic>
                  <a:graphicData uri="http://schemas.microsoft.com/office/word/2010/wordprocessingShape">
                    <wps:wsp>
                      <wps:cNvPr id="924" name="Graphic 924"/>
                      <wps:cNvSpPr/>
                      <wps:spPr>
                        <a:xfrm>
                          <a:off x="0" y="0"/>
                          <a:ext cx="5943600" cy="6350"/>
                        </a:xfrm>
                        <a:custGeom>
                          <a:avLst/>
                          <a:gdLst/>
                          <a:ahLst/>
                          <a:cxnLst/>
                          <a:rect l="l" t="t" r="r" b="b"/>
                          <a:pathLst>
                            <a:path w="5943600" h="6350">
                              <a:moveTo>
                                <a:pt x="5943600" y="0"/>
                              </a:move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2.665176pt;width:468pt;height:.481pt;mso-position-horizontal-relative:page;mso-position-vertical-relative:paragraph;z-index:16164864" id="docshape141" filled="true" fillcolor="#000000" stroked="false">
                <v:fill type="solid"/>
                <w10:wrap type="none"/>
              </v:rect>
            </w:pict>
          </mc:Fallback>
        </mc:AlternateContent>
      </w:r>
      <w:r>
        <w:rPr>
          <w:sz w:val="22"/>
        </w:rPr>
        <w:t>EXHIBIT</w:t>
      </w:r>
      <w:r>
        <w:rPr>
          <w:spacing w:val="-1"/>
          <w:sz w:val="22"/>
        </w:rPr>
        <w:t> </w:t>
      </w:r>
      <w:r>
        <w:rPr>
          <w:sz w:val="22"/>
        </w:rPr>
        <w:t>48</w:t>
      </w:r>
      <w:r>
        <w:rPr>
          <w:spacing w:val="-3"/>
          <w:sz w:val="22"/>
        </w:rPr>
        <w:t> </w:t>
      </w:r>
      <w:r>
        <w:rPr>
          <w:sz w:val="22"/>
        </w:rPr>
        <w:t>–</w:t>
      </w:r>
      <w:r>
        <w:rPr>
          <w:spacing w:val="-3"/>
          <w:sz w:val="22"/>
        </w:rPr>
        <w:t> </w:t>
      </w:r>
      <w:r>
        <w:rPr>
          <w:sz w:val="22"/>
        </w:rPr>
        <w:t>Example</w:t>
      </w:r>
      <w:r>
        <w:rPr>
          <w:spacing w:val="-3"/>
          <w:sz w:val="22"/>
        </w:rPr>
        <w:t> </w:t>
      </w:r>
      <w:r>
        <w:rPr>
          <w:sz w:val="22"/>
        </w:rPr>
        <w:t>Calculation</w:t>
      </w:r>
      <w:r>
        <w:rPr>
          <w:spacing w:val="-2"/>
          <w:sz w:val="22"/>
        </w:rPr>
        <w:t> </w:t>
      </w:r>
      <w:r>
        <w:rPr>
          <w:sz w:val="22"/>
        </w:rPr>
        <w:t>of</w:t>
      </w:r>
      <w:r>
        <w:rPr>
          <w:spacing w:val="-5"/>
          <w:sz w:val="22"/>
        </w:rPr>
        <w:t> </w:t>
      </w:r>
      <w:r>
        <w:rPr>
          <w:sz w:val="22"/>
        </w:rPr>
        <w:t>the</w:t>
      </w:r>
      <w:r>
        <w:rPr>
          <w:spacing w:val="-3"/>
          <w:sz w:val="22"/>
        </w:rPr>
        <w:t> </w:t>
      </w:r>
      <w:r>
        <w:rPr>
          <w:sz w:val="22"/>
        </w:rPr>
        <w:t>Quality</w:t>
      </w:r>
      <w:r>
        <w:rPr>
          <w:spacing w:val="-5"/>
          <w:sz w:val="22"/>
        </w:rPr>
        <w:t> </w:t>
      </w:r>
      <w:r>
        <w:rPr>
          <w:sz w:val="22"/>
        </w:rPr>
        <w:t>Score</w:t>
      </w:r>
      <w:r>
        <w:rPr>
          <w:spacing w:val="-3"/>
          <w:sz w:val="22"/>
        </w:rPr>
        <w:t> </w:t>
      </w:r>
      <w:r>
        <w:rPr>
          <w:sz w:val="22"/>
        </w:rPr>
        <w:t>for</w:t>
      </w:r>
      <w:r>
        <w:rPr>
          <w:spacing w:val="-2"/>
          <w:sz w:val="22"/>
        </w:rPr>
        <w:t> </w:t>
      </w:r>
      <w:r>
        <w:rPr>
          <w:sz w:val="22"/>
        </w:rPr>
        <w:t>a</w:t>
      </w:r>
      <w:r>
        <w:rPr>
          <w:spacing w:val="-3"/>
          <w:sz w:val="22"/>
        </w:rPr>
        <w:t> </w:t>
      </w:r>
      <w:r>
        <w:rPr>
          <w:sz w:val="22"/>
        </w:rPr>
        <w:t>BH</w:t>
      </w:r>
      <w:r>
        <w:rPr>
          <w:spacing w:val="-3"/>
          <w:sz w:val="22"/>
        </w:rPr>
        <w:t> </w:t>
      </w:r>
      <w:r>
        <w:rPr>
          <w:spacing w:val="-5"/>
          <w:sz w:val="22"/>
        </w:rPr>
        <w:t>CP</w:t>
      </w:r>
    </w:p>
    <w:tbl>
      <w:tblPr>
        <w:tblW w:w="0" w:type="auto"/>
        <w:jc w:val="left"/>
        <w:tblInd w:w="1348" w:type="dxa"/>
        <w:tblBorders>
          <w:top w:val="single" w:sz="8" w:space="0" w:color="BEBEBE"/>
          <w:left w:val="single" w:sz="8" w:space="0" w:color="BEBEBE"/>
          <w:bottom w:val="single" w:sz="8" w:space="0" w:color="BEBEBE"/>
          <w:right w:val="single" w:sz="8" w:space="0" w:color="BEBEBE"/>
          <w:insideH w:val="single" w:sz="8" w:space="0" w:color="BEBEBE"/>
          <w:insideV w:val="single" w:sz="8" w:space="0" w:color="BEBEBE"/>
        </w:tblBorders>
        <w:tblLayout w:type="fixed"/>
        <w:tblCellMar>
          <w:top w:w="0" w:type="dxa"/>
          <w:left w:w="0" w:type="dxa"/>
          <w:bottom w:w="0" w:type="dxa"/>
          <w:right w:w="0" w:type="dxa"/>
        </w:tblCellMar>
        <w:tblLook w:val="01E0"/>
      </w:tblPr>
      <w:tblGrid>
        <w:gridCol w:w="3230"/>
        <w:gridCol w:w="1732"/>
        <w:gridCol w:w="1734"/>
        <w:gridCol w:w="2425"/>
      </w:tblGrid>
      <w:tr>
        <w:trPr>
          <w:trHeight w:val="414" w:hRule="atLeast"/>
        </w:trPr>
        <w:tc>
          <w:tcPr>
            <w:tcW w:w="9121" w:type="dxa"/>
            <w:gridSpan w:val="4"/>
            <w:tcBorders>
              <w:bottom w:val="single" w:sz="4" w:space="0" w:color="BEBEBE"/>
            </w:tcBorders>
            <w:shd w:val="clear" w:color="auto" w:fill="1F487C"/>
          </w:tcPr>
          <w:p>
            <w:pPr>
              <w:pStyle w:val="TableParagraph"/>
              <w:spacing w:before="7"/>
              <w:ind w:left="2699" w:right="2677"/>
              <w:jc w:val="center"/>
              <w:rPr>
                <w:b/>
                <w:sz w:val="20"/>
              </w:rPr>
            </w:pPr>
            <w:r>
              <w:rPr>
                <w:b/>
                <w:color w:val="FFFFFF"/>
                <w:sz w:val="20"/>
              </w:rPr>
              <w:t>Example</w:t>
            </w:r>
            <w:r>
              <w:rPr>
                <w:b/>
                <w:color w:val="FFFFFF"/>
                <w:spacing w:val="-7"/>
                <w:sz w:val="20"/>
              </w:rPr>
              <w:t> </w:t>
            </w:r>
            <w:r>
              <w:rPr>
                <w:b/>
                <w:color w:val="FFFFFF"/>
                <w:sz w:val="20"/>
              </w:rPr>
              <w:t>Calculation</w:t>
            </w:r>
            <w:r>
              <w:rPr>
                <w:b/>
                <w:color w:val="FFFFFF"/>
                <w:spacing w:val="-7"/>
                <w:sz w:val="20"/>
              </w:rPr>
              <w:t> </w:t>
            </w:r>
            <w:r>
              <w:rPr>
                <w:b/>
                <w:color w:val="FFFFFF"/>
                <w:sz w:val="20"/>
              </w:rPr>
              <w:t>of</w:t>
            </w:r>
            <w:r>
              <w:rPr>
                <w:b/>
                <w:color w:val="FFFFFF"/>
                <w:spacing w:val="-7"/>
                <w:sz w:val="20"/>
              </w:rPr>
              <w:t> </w:t>
            </w:r>
            <w:r>
              <w:rPr>
                <w:b/>
                <w:color w:val="FFFFFF"/>
                <w:sz w:val="20"/>
              </w:rPr>
              <w:t>Total</w:t>
            </w:r>
            <w:r>
              <w:rPr>
                <w:b/>
                <w:color w:val="FFFFFF"/>
                <w:spacing w:val="-6"/>
                <w:sz w:val="20"/>
              </w:rPr>
              <w:t> </w:t>
            </w:r>
            <w:r>
              <w:rPr>
                <w:b/>
                <w:color w:val="FFFFFF"/>
                <w:sz w:val="20"/>
              </w:rPr>
              <w:t>Quality</w:t>
            </w:r>
            <w:r>
              <w:rPr>
                <w:b/>
                <w:color w:val="FFFFFF"/>
                <w:spacing w:val="-7"/>
                <w:sz w:val="20"/>
              </w:rPr>
              <w:t> </w:t>
            </w:r>
            <w:r>
              <w:rPr>
                <w:b/>
                <w:color w:val="FFFFFF"/>
                <w:spacing w:val="-4"/>
                <w:sz w:val="20"/>
              </w:rPr>
              <w:t>Score</w:t>
            </w:r>
          </w:p>
        </w:tc>
      </w:tr>
      <w:tr>
        <w:trPr>
          <w:trHeight w:val="496" w:hRule="atLeast"/>
        </w:trPr>
        <w:tc>
          <w:tcPr>
            <w:tcW w:w="3230" w:type="dxa"/>
            <w:tcBorders>
              <w:top w:val="single" w:sz="4" w:space="0" w:color="BEBEBE"/>
              <w:bottom w:val="single" w:sz="4" w:space="0" w:color="BEBEBE"/>
              <w:right w:val="single" w:sz="4" w:space="0" w:color="BEBEBE"/>
            </w:tcBorders>
            <w:shd w:val="clear" w:color="auto" w:fill="D9D9D9"/>
          </w:tcPr>
          <w:p>
            <w:pPr>
              <w:pStyle w:val="TableParagraph"/>
              <w:ind w:left="107"/>
              <w:rPr>
                <w:b/>
                <w:sz w:val="20"/>
              </w:rPr>
            </w:pPr>
            <w:r>
              <w:rPr>
                <w:b/>
                <w:spacing w:val="-2"/>
                <w:sz w:val="20"/>
              </w:rPr>
              <w:t>Domain</w:t>
            </w:r>
          </w:p>
        </w:tc>
        <w:tc>
          <w:tcPr>
            <w:tcW w:w="1732"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ind w:left="415" w:right="396"/>
              <w:jc w:val="center"/>
              <w:rPr>
                <w:b/>
                <w:sz w:val="20"/>
              </w:rPr>
            </w:pPr>
            <w:r>
              <w:rPr>
                <w:b/>
                <w:spacing w:val="-2"/>
                <w:sz w:val="20"/>
              </w:rPr>
              <w:t>Weighting</w:t>
            </w:r>
          </w:p>
        </w:tc>
        <w:tc>
          <w:tcPr>
            <w:tcW w:w="1734"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ind w:left="108" w:right="91"/>
              <w:jc w:val="center"/>
              <w:rPr>
                <w:b/>
                <w:sz w:val="20"/>
              </w:rPr>
            </w:pPr>
            <w:r>
              <w:rPr>
                <w:b/>
                <w:spacing w:val="-2"/>
                <w:sz w:val="20"/>
              </w:rPr>
              <w:t>Average</w:t>
            </w:r>
          </w:p>
          <w:p>
            <w:pPr>
              <w:pStyle w:val="TableParagraph"/>
              <w:spacing w:line="229" w:lineRule="exact" w:before="17"/>
              <w:ind w:left="108" w:right="91"/>
              <w:jc w:val="center"/>
              <w:rPr>
                <w:b/>
                <w:sz w:val="20"/>
              </w:rPr>
            </w:pPr>
            <w:r>
              <w:rPr>
                <w:b/>
                <w:sz w:val="20"/>
              </w:rPr>
              <w:t>Attainment</w:t>
            </w:r>
            <w:r>
              <w:rPr>
                <w:b/>
                <w:spacing w:val="-12"/>
                <w:sz w:val="20"/>
              </w:rPr>
              <w:t> </w:t>
            </w:r>
            <w:r>
              <w:rPr>
                <w:b/>
                <w:spacing w:val="-2"/>
                <w:sz w:val="20"/>
              </w:rPr>
              <w:t>Score</w:t>
            </w:r>
          </w:p>
        </w:tc>
        <w:tc>
          <w:tcPr>
            <w:tcW w:w="2425" w:type="dxa"/>
            <w:tcBorders>
              <w:top w:val="single" w:sz="4" w:space="0" w:color="BEBEBE"/>
              <w:left w:val="single" w:sz="4" w:space="0" w:color="BEBEBE"/>
              <w:bottom w:val="single" w:sz="4" w:space="0" w:color="BEBEBE"/>
            </w:tcBorders>
            <w:shd w:val="clear" w:color="auto" w:fill="D9D9D9"/>
          </w:tcPr>
          <w:p>
            <w:pPr>
              <w:pStyle w:val="TableParagraph"/>
              <w:ind w:left="288" w:right="262"/>
              <w:jc w:val="center"/>
              <w:rPr>
                <w:b/>
                <w:sz w:val="20"/>
              </w:rPr>
            </w:pPr>
            <w:r>
              <w:rPr>
                <w:b/>
                <w:sz w:val="20"/>
              </w:rPr>
              <w:t>Weighted</w:t>
            </w:r>
            <w:r>
              <w:rPr>
                <w:b/>
                <w:spacing w:val="-10"/>
                <w:sz w:val="20"/>
              </w:rPr>
              <w:t> </w:t>
            </w:r>
            <w:r>
              <w:rPr>
                <w:b/>
                <w:spacing w:val="-2"/>
                <w:sz w:val="20"/>
              </w:rPr>
              <w:t>Attainment</w:t>
            </w:r>
          </w:p>
          <w:p>
            <w:pPr>
              <w:pStyle w:val="TableParagraph"/>
              <w:spacing w:line="229" w:lineRule="exact" w:before="17"/>
              <w:ind w:left="288" w:right="258"/>
              <w:jc w:val="center"/>
              <w:rPr>
                <w:b/>
                <w:sz w:val="20"/>
              </w:rPr>
            </w:pPr>
            <w:r>
              <w:rPr>
                <w:b/>
                <w:spacing w:val="-2"/>
                <w:sz w:val="20"/>
              </w:rPr>
              <w:t>Score</w:t>
            </w:r>
          </w:p>
        </w:tc>
      </w:tr>
      <w:tr>
        <w:trPr>
          <w:trHeight w:val="246" w:hRule="atLeast"/>
        </w:trPr>
        <w:tc>
          <w:tcPr>
            <w:tcW w:w="3230" w:type="dxa"/>
            <w:tcBorders>
              <w:top w:val="single" w:sz="4" w:space="0" w:color="BEBEBE"/>
              <w:bottom w:val="single" w:sz="4" w:space="0" w:color="BEBEBE"/>
              <w:right w:val="single" w:sz="4" w:space="0" w:color="BEBEBE"/>
            </w:tcBorders>
            <w:shd w:val="clear" w:color="auto" w:fill="D9E1F3"/>
          </w:tcPr>
          <w:p>
            <w:pPr>
              <w:pStyle w:val="TableParagraph"/>
              <w:spacing w:line="227" w:lineRule="exact"/>
              <w:ind w:left="107"/>
              <w:rPr>
                <w:sz w:val="20"/>
              </w:rPr>
            </w:pPr>
            <w:r>
              <w:rPr>
                <w:sz w:val="20"/>
              </w:rPr>
              <w:t>Care</w:t>
            </w:r>
            <w:r>
              <w:rPr>
                <w:spacing w:val="-5"/>
                <w:sz w:val="20"/>
              </w:rPr>
              <w:t> </w:t>
            </w:r>
            <w:r>
              <w:rPr>
                <w:spacing w:val="-2"/>
                <w:sz w:val="20"/>
              </w:rPr>
              <w:t>Integration</w:t>
            </w:r>
          </w:p>
        </w:tc>
        <w:tc>
          <w:tcPr>
            <w:tcW w:w="1732" w:type="dxa"/>
            <w:tcBorders>
              <w:top w:val="single" w:sz="4" w:space="0" w:color="BEBEBE"/>
              <w:left w:val="single" w:sz="4" w:space="0" w:color="BEBEBE"/>
              <w:bottom w:val="single" w:sz="4" w:space="0" w:color="BEBEBE"/>
              <w:right w:val="single" w:sz="4" w:space="0" w:color="BEBEBE"/>
            </w:tcBorders>
          </w:tcPr>
          <w:p>
            <w:pPr>
              <w:pStyle w:val="TableParagraph"/>
              <w:spacing w:line="227" w:lineRule="exact"/>
              <w:ind w:left="415" w:right="396"/>
              <w:jc w:val="center"/>
              <w:rPr>
                <w:sz w:val="20"/>
              </w:rPr>
            </w:pPr>
            <w:r>
              <w:rPr>
                <w:spacing w:val="-5"/>
                <w:sz w:val="20"/>
              </w:rPr>
              <w:t>40%</w:t>
            </w:r>
          </w:p>
        </w:tc>
        <w:tc>
          <w:tcPr>
            <w:tcW w:w="1734" w:type="dxa"/>
            <w:tcBorders>
              <w:top w:val="single" w:sz="4" w:space="0" w:color="BEBEBE"/>
              <w:left w:val="single" w:sz="4" w:space="0" w:color="BEBEBE"/>
              <w:bottom w:val="single" w:sz="4" w:space="0" w:color="BEBEBE"/>
              <w:right w:val="single" w:sz="4" w:space="0" w:color="BEBEBE"/>
            </w:tcBorders>
          </w:tcPr>
          <w:p>
            <w:pPr>
              <w:pStyle w:val="TableParagraph"/>
              <w:spacing w:line="227" w:lineRule="exact"/>
              <w:ind w:left="108" w:right="86"/>
              <w:jc w:val="center"/>
              <w:rPr>
                <w:sz w:val="20"/>
              </w:rPr>
            </w:pPr>
            <w:r>
              <w:rPr>
                <w:spacing w:val="-4"/>
                <w:sz w:val="20"/>
              </w:rPr>
              <w:t>0.51</w:t>
            </w:r>
          </w:p>
        </w:tc>
        <w:tc>
          <w:tcPr>
            <w:tcW w:w="2425" w:type="dxa"/>
            <w:tcBorders>
              <w:top w:val="single" w:sz="4" w:space="0" w:color="BEBEBE"/>
              <w:left w:val="single" w:sz="4" w:space="0" w:color="BEBEBE"/>
              <w:bottom w:val="single" w:sz="4" w:space="0" w:color="BEBEBE"/>
            </w:tcBorders>
          </w:tcPr>
          <w:p>
            <w:pPr>
              <w:pStyle w:val="TableParagraph"/>
              <w:spacing w:line="227" w:lineRule="exact"/>
              <w:ind w:left="115"/>
              <w:rPr>
                <w:sz w:val="20"/>
              </w:rPr>
            </w:pPr>
            <w:r>
              <w:rPr>
                <w:sz w:val="20"/>
              </w:rPr>
              <w:t>40%*0.51=</w:t>
            </w:r>
            <w:r>
              <w:rPr>
                <w:spacing w:val="-10"/>
                <w:sz w:val="20"/>
              </w:rPr>
              <w:t> </w:t>
            </w:r>
            <w:r>
              <w:rPr>
                <w:spacing w:val="-2"/>
                <w:sz w:val="20"/>
              </w:rPr>
              <w:t>20.4%</w:t>
            </w:r>
          </w:p>
        </w:tc>
      </w:tr>
      <w:tr>
        <w:trPr>
          <w:trHeight w:val="249" w:hRule="atLeast"/>
        </w:trPr>
        <w:tc>
          <w:tcPr>
            <w:tcW w:w="3230" w:type="dxa"/>
            <w:tcBorders>
              <w:top w:val="single" w:sz="4" w:space="0" w:color="BEBEBE"/>
              <w:bottom w:val="single" w:sz="4" w:space="0" w:color="BEBEBE"/>
              <w:right w:val="single" w:sz="4" w:space="0" w:color="BEBEBE"/>
            </w:tcBorders>
            <w:shd w:val="clear" w:color="auto" w:fill="D9E1F3"/>
          </w:tcPr>
          <w:p>
            <w:pPr>
              <w:pStyle w:val="TableParagraph"/>
              <w:spacing w:line="229" w:lineRule="exact"/>
              <w:ind w:left="107"/>
              <w:rPr>
                <w:sz w:val="20"/>
              </w:rPr>
            </w:pPr>
            <w:r>
              <w:rPr>
                <w:sz w:val="20"/>
              </w:rPr>
              <w:t>Population</w:t>
            </w:r>
            <w:r>
              <w:rPr>
                <w:spacing w:val="-10"/>
                <w:sz w:val="20"/>
              </w:rPr>
              <w:t> </w:t>
            </w:r>
            <w:r>
              <w:rPr>
                <w:spacing w:val="-2"/>
                <w:sz w:val="20"/>
              </w:rPr>
              <w:t>Health</w:t>
            </w:r>
          </w:p>
        </w:tc>
        <w:tc>
          <w:tcPr>
            <w:tcW w:w="1732" w:type="dxa"/>
            <w:tcBorders>
              <w:top w:val="single" w:sz="4" w:space="0" w:color="BEBEBE"/>
              <w:left w:val="single" w:sz="4" w:space="0" w:color="BEBEBE"/>
              <w:bottom w:val="single" w:sz="4" w:space="0" w:color="BEBEBE"/>
              <w:right w:val="single" w:sz="4" w:space="0" w:color="BEBEBE"/>
            </w:tcBorders>
          </w:tcPr>
          <w:p>
            <w:pPr>
              <w:pStyle w:val="TableParagraph"/>
              <w:spacing w:line="229" w:lineRule="exact"/>
              <w:ind w:left="415" w:right="396"/>
              <w:jc w:val="center"/>
              <w:rPr>
                <w:sz w:val="20"/>
              </w:rPr>
            </w:pPr>
            <w:r>
              <w:rPr>
                <w:spacing w:val="-5"/>
                <w:sz w:val="20"/>
              </w:rPr>
              <w:t>35%</w:t>
            </w:r>
          </w:p>
        </w:tc>
        <w:tc>
          <w:tcPr>
            <w:tcW w:w="1734" w:type="dxa"/>
            <w:tcBorders>
              <w:top w:val="single" w:sz="4" w:space="0" w:color="BEBEBE"/>
              <w:left w:val="single" w:sz="4" w:space="0" w:color="BEBEBE"/>
              <w:bottom w:val="single" w:sz="4" w:space="0" w:color="BEBEBE"/>
              <w:right w:val="single" w:sz="4" w:space="0" w:color="BEBEBE"/>
            </w:tcBorders>
          </w:tcPr>
          <w:p>
            <w:pPr>
              <w:pStyle w:val="TableParagraph"/>
              <w:spacing w:line="229" w:lineRule="exact"/>
              <w:ind w:left="108" w:right="86"/>
              <w:jc w:val="center"/>
              <w:rPr>
                <w:sz w:val="20"/>
              </w:rPr>
            </w:pPr>
            <w:r>
              <w:rPr>
                <w:spacing w:val="-4"/>
                <w:sz w:val="20"/>
              </w:rPr>
              <w:t>0.60</w:t>
            </w:r>
          </w:p>
        </w:tc>
        <w:tc>
          <w:tcPr>
            <w:tcW w:w="2425" w:type="dxa"/>
            <w:tcBorders>
              <w:top w:val="single" w:sz="4" w:space="0" w:color="BEBEBE"/>
              <w:left w:val="single" w:sz="4" w:space="0" w:color="BEBEBE"/>
              <w:bottom w:val="single" w:sz="4" w:space="0" w:color="BEBEBE"/>
            </w:tcBorders>
          </w:tcPr>
          <w:p>
            <w:pPr>
              <w:pStyle w:val="TableParagraph"/>
              <w:spacing w:line="229" w:lineRule="exact"/>
              <w:ind w:left="115"/>
              <w:rPr>
                <w:sz w:val="20"/>
              </w:rPr>
            </w:pPr>
            <w:r>
              <w:rPr>
                <w:sz w:val="20"/>
              </w:rPr>
              <w:t>35%*0.60=</w:t>
            </w:r>
            <w:r>
              <w:rPr>
                <w:spacing w:val="-10"/>
                <w:sz w:val="20"/>
              </w:rPr>
              <w:t> </w:t>
            </w:r>
            <w:r>
              <w:rPr>
                <w:spacing w:val="-2"/>
                <w:sz w:val="20"/>
              </w:rPr>
              <w:t>21.0%</w:t>
            </w:r>
          </w:p>
        </w:tc>
      </w:tr>
      <w:tr>
        <w:trPr>
          <w:trHeight w:val="246" w:hRule="atLeast"/>
        </w:trPr>
        <w:tc>
          <w:tcPr>
            <w:tcW w:w="3230" w:type="dxa"/>
            <w:tcBorders>
              <w:top w:val="single" w:sz="4" w:space="0" w:color="BEBEBE"/>
              <w:bottom w:val="single" w:sz="4" w:space="0" w:color="BEBEBE"/>
              <w:right w:val="single" w:sz="4" w:space="0" w:color="BEBEBE"/>
            </w:tcBorders>
            <w:shd w:val="clear" w:color="auto" w:fill="D9E1F3"/>
          </w:tcPr>
          <w:p>
            <w:pPr>
              <w:pStyle w:val="TableParagraph"/>
              <w:spacing w:line="227" w:lineRule="exact"/>
              <w:ind w:left="107"/>
              <w:rPr>
                <w:sz w:val="20"/>
              </w:rPr>
            </w:pPr>
            <w:r>
              <w:rPr>
                <w:sz w:val="20"/>
              </w:rPr>
              <w:t>Avoidable</w:t>
            </w:r>
            <w:r>
              <w:rPr>
                <w:spacing w:val="-10"/>
                <w:sz w:val="20"/>
              </w:rPr>
              <w:t> </w:t>
            </w:r>
            <w:r>
              <w:rPr>
                <w:spacing w:val="-2"/>
                <w:sz w:val="20"/>
              </w:rPr>
              <w:t>Utilization</w:t>
            </w:r>
          </w:p>
        </w:tc>
        <w:tc>
          <w:tcPr>
            <w:tcW w:w="1732" w:type="dxa"/>
            <w:tcBorders>
              <w:top w:val="single" w:sz="4" w:space="0" w:color="BEBEBE"/>
              <w:left w:val="single" w:sz="4" w:space="0" w:color="BEBEBE"/>
              <w:bottom w:val="single" w:sz="4" w:space="0" w:color="BEBEBE"/>
              <w:right w:val="single" w:sz="4" w:space="0" w:color="BEBEBE"/>
            </w:tcBorders>
          </w:tcPr>
          <w:p>
            <w:pPr>
              <w:pStyle w:val="TableParagraph"/>
              <w:spacing w:line="227" w:lineRule="exact"/>
              <w:ind w:left="415" w:right="396"/>
              <w:jc w:val="center"/>
              <w:rPr>
                <w:sz w:val="20"/>
              </w:rPr>
            </w:pPr>
            <w:r>
              <w:rPr>
                <w:spacing w:val="-5"/>
                <w:sz w:val="20"/>
              </w:rPr>
              <w:t>10%</w:t>
            </w:r>
          </w:p>
        </w:tc>
        <w:tc>
          <w:tcPr>
            <w:tcW w:w="1734" w:type="dxa"/>
            <w:tcBorders>
              <w:top w:val="single" w:sz="4" w:space="0" w:color="BEBEBE"/>
              <w:left w:val="single" w:sz="4" w:space="0" w:color="BEBEBE"/>
              <w:bottom w:val="single" w:sz="4" w:space="0" w:color="BEBEBE"/>
              <w:right w:val="single" w:sz="4" w:space="0" w:color="BEBEBE"/>
            </w:tcBorders>
          </w:tcPr>
          <w:p>
            <w:pPr>
              <w:pStyle w:val="TableParagraph"/>
              <w:spacing w:line="227" w:lineRule="exact"/>
              <w:ind w:left="108" w:right="86"/>
              <w:jc w:val="center"/>
              <w:rPr>
                <w:sz w:val="20"/>
              </w:rPr>
            </w:pPr>
            <w:r>
              <w:rPr>
                <w:spacing w:val="-4"/>
                <w:sz w:val="20"/>
              </w:rPr>
              <w:t>0.73</w:t>
            </w:r>
          </w:p>
        </w:tc>
        <w:tc>
          <w:tcPr>
            <w:tcW w:w="2425" w:type="dxa"/>
            <w:tcBorders>
              <w:top w:val="single" w:sz="4" w:space="0" w:color="BEBEBE"/>
              <w:left w:val="single" w:sz="4" w:space="0" w:color="BEBEBE"/>
              <w:bottom w:val="single" w:sz="4" w:space="0" w:color="BEBEBE"/>
            </w:tcBorders>
          </w:tcPr>
          <w:p>
            <w:pPr>
              <w:pStyle w:val="TableParagraph"/>
              <w:spacing w:line="227" w:lineRule="exact"/>
              <w:ind w:left="115"/>
              <w:rPr>
                <w:sz w:val="20"/>
              </w:rPr>
            </w:pPr>
            <w:r>
              <w:rPr>
                <w:sz w:val="20"/>
              </w:rPr>
              <w:t>10%*.73=</w:t>
            </w:r>
            <w:r>
              <w:rPr>
                <w:spacing w:val="-10"/>
                <w:sz w:val="20"/>
              </w:rPr>
              <w:t> </w:t>
            </w:r>
            <w:r>
              <w:rPr>
                <w:spacing w:val="-4"/>
                <w:sz w:val="20"/>
              </w:rPr>
              <w:t>7.3%</w:t>
            </w:r>
          </w:p>
        </w:tc>
      </w:tr>
      <w:tr>
        <w:trPr>
          <w:trHeight w:val="249" w:hRule="atLeast"/>
        </w:trPr>
        <w:tc>
          <w:tcPr>
            <w:tcW w:w="3230" w:type="dxa"/>
            <w:tcBorders>
              <w:top w:val="single" w:sz="4" w:space="0" w:color="BEBEBE"/>
              <w:bottom w:val="single" w:sz="4" w:space="0" w:color="BEBEBE"/>
              <w:right w:val="single" w:sz="4" w:space="0" w:color="BEBEBE"/>
            </w:tcBorders>
            <w:shd w:val="clear" w:color="auto" w:fill="D9E1F3"/>
          </w:tcPr>
          <w:p>
            <w:pPr>
              <w:pStyle w:val="TableParagraph"/>
              <w:spacing w:line="227" w:lineRule="exact" w:before="2"/>
              <w:ind w:left="107"/>
              <w:rPr>
                <w:sz w:val="20"/>
              </w:rPr>
            </w:pPr>
            <w:r>
              <w:rPr>
                <w:sz w:val="20"/>
              </w:rPr>
              <w:t>Member</w:t>
            </w:r>
            <w:r>
              <w:rPr>
                <w:spacing w:val="-7"/>
                <w:sz w:val="20"/>
              </w:rPr>
              <w:t> </w:t>
            </w:r>
            <w:r>
              <w:rPr>
                <w:spacing w:val="-2"/>
                <w:sz w:val="20"/>
              </w:rPr>
              <w:t>Experience</w:t>
            </w:r>
          </w:p>
        </w:tc>
        <w:tc>
          <w:tcPr>
            <w:tcW w:w="1732" w:type="dxa"/>
            <w:tcBorders>
              <w:top w:val="single" w:sz="4" w:space="0" w:color="BEBEBE"/>
              <w:left w:val="single" w:sz="4" w:space="0" w:color="BEBEBE"/>
              <w:bottom w:val="single" w:sz="4" w:space="0" w:color="BEBEBE"/>
              <w:right w:val="single" w:sz="4" w:space="0" w:color="BEBEBE"/>
            </w:tcBorders>
          </w:tcPr>
          <w:p>
            <w:pPr>
              <w:pStyle w:val="TableParagraph"/>
              <w:spacing w:line="227" w:lineRule="exact" w:before="2"/>
              <w:ind w:left="415" w:right="396"/>
              <w:jc w:val="center"/>
              <w:rPr>
                <w:sz w:val="20"/>
              </w:rPr>
            </w:pPr>
            <w:r>
              <w:rPr>
                <w:spacing w:val="-5"/>
                <w:sz w:val="20"/>
              </w:rPr>
              <w:t>15%</w:t>
            </w:r>
          </w:p>
        </w:tc>
        <w:tc>
          <w:tcPr>
            <w:tcW w:w="1734" w:type="dxa"/>
            <w:tcBorders>
              <w:top w:val="single" w:sz="4" w:space="0" w:color="BEBEBE"/>
              <w:left w:val="single" w:sz="4" w:space="0" w:color="BEBEBE"/>
              <w:bottom w:val="single" w:sz="4" w:space="0" w:color="BEBEBE"/>
              <w:right w:val="single" w:sz="4" w:space="0" w:color="BEBEBE"/>
            </w:tcBorders>
          </w:tcPr>
          <w:p>
            <w:pPr>
              <w:pStyle w:val="TableParagraph"/>
              <w:spacing w:line="227" w:lineRule="exact" w:before="2"/>
              <w:ind w:left="108" w:right="86"/>
              <w:jc w:val="center"/>
              <w:rPr>
                <w:sz w:val="20"/>
              </w:rPr>
            </w:pPr>
            <w:r>
              <w:rPr>
                <w:spacing w:val="-4"/>
                <w:sz w:val="20"/>
              </w:rPr>
              <w:t>0.88</w:t>
            </w:r>
          </w:p>
        </w:tc>
        <w:tc>
          <w:tcPr>
            <w:tcW w:w="2425" w:type="dxa"/>
            <w:tcBorders>
              <w:top w:val="single" w:sz="4" w:space="0" w:color="BEBEBE"/>
              <w:left w:val="single" w:sz="4" w:space="0" w:color="BEBEBE"/>
              <w:bottom w:val="single" w:sz="4" w:space="0" w:color="BEBEBE"/>
            </w:tcBorders>
          </w:tcPr>
          <w:p>
            <w:pPr>
              <w:pStyle w:val="TableParagraph"/>
              <w:spacing w:line="227" w:lineRule="exact" w:before="2"/>
              <w:ind w:left="115"/>
              <w:rPr>
                <w:sz w:val="20"/>
              </w:rPr>
            </w:pPr>
            <w:r>
              <w:rPr>
                <w:sz w:val="20"/>
              </w:rPr>
              <w:t>15%*0.88=</w:t>
            </w:r>
            <w:r>
              <w:rPr>
                <w:spacing w:val="-10"/>
                <w:sz w:val="20"/>
              </w:rPr>
              <w:t> </w:t>
            </w:r>
            <w:r>
              <w:rPr>
                <w:spacing w:val="-2"/>
                <w:sz w:val="20"/>
              </w:rPr>
              <w:t>13.2%</w:t>
            </w:r>
          </w:p>
        </w:tc>
      </w:tr>
      <w:tr>
        <w:trPr>
          <w:trHeight w:val="253" w:hRule="atLeast"/>
        </w:trPr>
        <w:tc>
          <w:tcPr>
            <w:tcW w:w="3230" w:type="dxa"/>
            <w:tcBorders>
              <w:top w:val="single" w:sz="4" w:space="0" w:color="BEBEBE"/>
              <w:right w:val="single" w:sz="4" w:space="0" w:color="BEBEBE"/>
            </w:tcBorders>
          </w:tcPr>
          <w:p>
            <w:pPr>
              <w:pStyle w:val="TableParagraph"/>
              <w:rPr>
                <w:sz w:val="18"/>
              </w:rPr>
            </w:pPr>
          </w:p>
        </w:tc>
        <w:tc>
          <w:tcPr>
            <w:tcW w:w="3466" w:type="dxa"/>
            <w:gridSpan w:val="2"/>
            <w:tcBorders>
              <w:top w:val="single" w:sz="4" w:space="0" w:color="BEBEBE"/>
              <w:left w:val="single" w:sz="4" w:space="0" w:color="BEBEBE"/>
              <w:right w:val="single" w:sz="4" w:space="0" w:color="BEBEBE"/>
            </w:tcBorders>
          </w:tcPr>
          <w:p>
            <w:pPr>
              <w:pStyle w:val="TableParagraph"/>
              <w:ind w:left="900"/>
              <w:rPr>
                <w:b/>
                <w:sz w:val="20"/>
              </w:rPr>
            </w:pPr>
            <w:r>
              <w:rPr>
                <w:b/>
                <w:sz w:val="20"/>
              </w:rPr>
              <w:t>Total</w:t>
            </w:r>
            <w:r>
              <w:rPr>
                <w:b/>
                <w:spacing w:val="-9"/>
                <w:sz w:val="20"/>
              </w:rPr>
              <w:t> </w:t>
            </w:r>
            <w:r>
              <w:rPr>
                <w:b/>
                <w:sz w:val="20"/>
              </w:rPr>
              <w:t>Quality</w:t>
            </w:r>
            <w:r>
              <w:rPr>
                <w:b/>
                <w:spacing w:val="-6"/>
                <w:sz w:val="20"/>
              </w:rPr>
              <w:t> </w:t>
            </w:r>
            <w:r>
              <w:rPr>
                <w:b/>
                <w:spacing w:val="-4"/>
                <w:sz w:val="20"/>
              </w:rPr>
              <w:t>Score</w:t>
            </w:r>
          </w:p>
        </w:tc>
        <w:tc>
          <w:tcPr>
            <w:tcW w:w="2425" w:type="dxa"/>
            <w:tcBorders>
              <w:top w:val="single" w:sz="4" w:space="0" w:color="BEBEBE"/>
              <w:left w:val="single" w:sz="4" w:space="0" w:color="BEBEBE"/>
            </w:tcBorders>
          </w:tcPr>
          <w:p>
            <w:pPr>
              <w:pStyle w:val="TableParagraph"/>
              <w:ind w:left="288" w:right="255"/>
              <w:jc w:val="center"/>
              <w:rPr>
                <w:b/>
                <w:sz w:val="20"/>
              </w:rPr>
            </w:pPr>
            <w:r>
              <w:rPr>
                <w:b/>
                <w:spacing w:val="-2"/>
                <w:sz w:val="20"/>
              </w:rPr>
              <w:t>61.90%</w:t>
            </w:r>
          </w:p>
        </w:tc>
      </w:tr>
    </w:tbl>
    <w:p>
      <w:pPr>
        <w:pStyle w:val="BodyText"/>
        <w:spacing w:line="20" w:lineRule="exact"/>
        <w:ind w:left="1205"/>
        <w:rPr>
          <w:sz w:val="2"/>
        </w:rPr>
      </w:pPr>
      <w:r>
        <w:rPr>
          <w:sz w:val="2"/>
        </w:rPr>
        <mc:AlternateContent>
          <mc:Choice Requires="wps">
            <w:drawing>
              <wp:inline distT="0" distB="0" distL="0" distR="0">
                <wp:extent cx="5953125" cy="6350"/>
                <wp:effectExtent l="0" t="0" r="0" b="0"/>
                <wp:docPr id="925" name="Group 925"/>
                <wp:cNvGraphicFramePr>
                  <a:graphicFrameLocks/>
                </wp:cNvGraphicFramePr>
                <a:graphic>
                  <a:graphicData uri="http://schemas.microsoft.com/office/word/2010/wordprocessingGroup">
                    <wpg:wgp>
                      <wpg:cNvPr id="925" name="Group 925"/>
                      <wpg:cNvGrpSpPr/>
                      <wpg:grpSpPr>
                        <a:xfrm>
                          <a:off x="0" y="0"/>
                          <a:ext cx="5953125" cy="6350"/>
                          <a:chExt cx="5953125" cy="6350"/>
                        </a:xfrm>
                      </wpg:grpSpPr>
                      <wps:wsp>
                        <wps:cNvPr id="926" name="Graphic 926"/>
                        <wps:cNvSpPr/>
                        <wps:spPr>
                          <a:xfrm>
                            <a:off x="0" y="0"/>
                            <a:ext cx="5953125" cy="6350"/>
                          </a:xfrm>
                          <a:custGeom>
                            <a:avLst/>
                            <a:gdLst/>
                            <a:ahLst/>
                            <a:cxnLst/>
                            <a:rect l="l" t="t" r="r" b="b"/>
                            <a:pathLst>
                              <a:path w="5953125" h="6350">
                                <a:moveTo>
                                  <a:pt x="5952744" y="0"/>
                                </a:moveTo>
                                <a:lnTo>
                                  <a:pt x="0" y="0"/>
                                </a:lnTo>
                                <a:lnTo>
                                  <a:pt x="0" y="6096"/>
                                </a:lnTo>
                                <a:lnTo>
                                  <a:pt x="5952744" y="6096"/>
                                </a:lnTo>
                                <a:lnTo>
                                  <a:pt x="5952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68.75pt;height:.5pt;mso-position-horizontal-relative:char;mso-position-vertical-relative:line" id="docshapegroup142" coordorigin="0,0" coordsize="9375,10">
                <v:rect style="position:absolute;left:0;top:0;width:9375;height:10" id="docshape143" filled="true" fillcolor="#000000" stroked="false">
                  <v:fill type="solid"/>
                </v:rect>
              </v:group>
            </w:pict>
          </mc:Fallback>
        </mc:AlternateContent>
      </w:r>
      <w:r>
        <w:rPr>
          <w:sz w:val="2"/>
        </w:rPr>
      </w:r>
    </w:p>
    <w:p>
      <w:pPr>
        <w:pStyle w:val="BodyText"/>
      </w:pPr>
    </w:p>
    <w:p>
      <w:pPr>
        <w:pStyle w:val="ListParagraph"/>
        <w:numPr>
          <w:ilvl w:val="3"/>
          <w:numId w:val="77"/>
        </w:numPr>
        <w:tabs>
          <w:tab w:pos="1939" w:val="left" w:leader="none"/>
        </w:tabs>
        <w:spacing w:line="240" w:lineRule="auto" w:before="164" w:after="0"/>
        <w:ind w:left="1939" w:right="0" w:hanging="719"/>
        <w:jc w:val="left"/>
        <w:rPr>
          <w:b/>
          <w:i/>
          <w:color w:val="4471C4"/>
          <w:sz w:val="22"/>
        </w:rPr>
      </w:pPr>
      <w:bookmarkStart w:name="5.4.4.4 Comparing Quality Scores to Calc" w:id="1426"/>
      <w:bookmarkEnd w:id="1426"/>
      <w:r>
        <w:rPr/>
      </w:r>
      <w:r>
        <w:rPr>
          <w:b/>
          <w:i/>
          <w:color w:val="4471C4"/>
          <w:sz w:val="22"/>
        </w:rPr>
        <w:t>Comparing</w:t>
      </w:r>
      <w:r>
        <w:rPr>
          <w:b/>
          <w:i/>
          <w:color w:val="4471C4"/>
          <w:spacing w:val="-6"/>
          <w:sz w:val="22"/>
        </w:rPr>
        <w:t> </w:t>
      </w:r>
      <w:r>
        <w:rPr>
          <w:b/>
          <w:i/>
          <w:color w:val="4471C4"/>
          <w:sz w:val="22"/>
        </w:rPr>
        <w:t>Quality</w:t>
      </w:r>
      <w:r>
        <w:rPr>
          <w:b/>
          <w:i/>
          <w:color w:val="4471C4"/>
          <w:spacing w:val="-4"/>
          <w:sz w:val="22"/>
        </w:rPr>
        <w:t> </w:t>
      </w:r>
      <w:r>
        <w:rPr>
          <w:b/>
          <w:i/>
          <w:color w:val="4471C4"/>
          <w:sz w:val="22"/>
        </w:rPr>
        <w:t>Scores</w:t>
      </w:r>
      <w:r>
        <w:rPr>
          <w:b/>
          <w:i/>
          <w:color w:val="4471C4"/>
          <w:spacing w:val="-6"/>
          <w:sz w:val="22"/>
        </w:rPr>
        <w:t> </w:t>
      </w:r>
      <w:r>
        <w:rPr>
          <w:b/>
          <w:i/>
          <w:color w:val="4471C4"/>
          <w:sz w:val="22"/>
        </w:rPr>
        <w:t>to</w:t>
      </w:r>
      <w:r>
        <w:rPr>
          <w:b/>
          <w:i/>
          <w:color w:val="4471C4"/>
          <w:spacing w:val="-3"/>
          <w:sz w:val="22"/>
        </w:rPr>
        <w:t> </w:t>
      </w:r>
      <w:r>
        <w:rPr>
          <w:b/>
          <w:i/>
          <w:color w:val="4471C4"/>
          <w:sz w:val="22"/>
        </w:rPr>
        <w:t>Calculate</w:t>
      </w:r>
      <w:r>
        <w:rPr>
          <w:b/>
          <w:i/>
          <w:color w:val="4471C4"/>
          <w:spacing w:val="-6"/>
          <w:sz w:val="22"/>
        </w:rPr>
        <w:t> </w:t>
      </w:r>
      <w:r>
        <w:rPr>
          <w:b/>
          <w:i/>
          <w:color w:val="4471C4"/>
          <w:sz w:val="22"/>
        </w:rPr>
        <w:t>the</w:t>
      </w:r>
      <w:r>
        <w:rPr>
          <w:b/>
          <w:i/>
          <w:color w:val="4471C4"/>
          <w:spacing w:val="-4"/>
          <w:sz w:val="22"/>
        </w:rPr>
        <w:t> </w:t>
      </w:r>
      <w:r>
        <w:rPr>
          <w:b/>
          <w:i/>
          <w:color w:val="4471C4"/>
          <w:sz w:val="22"/>
        </w:rPr>
        <w:t>CP/CSA</w:t>
      </w:r>
      <w:r>
        <w:rPr>
          <w:b/>
          <w:i/>
          <w:color w:val="4471C4"/>
          <w:spacing w:val="-5"/>
          <w:sz w:val="22"/>
        </w:rPr>
        <w:t> </w:t>
      </w:r>
      <w:r>
        <w:rPr>
          <w:b/>
          <w:i/>
          <w:color w:val="4471C4"/>
          <w:sz w:val="22"/>
        </w:rPr>
        <w:t>DSRIP</w:t>
      </w:r>
      <w:r>
        <w:rPr>
          <w:b/>
          <w:i/>
          <w:color w:val="4471C4"/>
          <w:spacing w:val="-4"/>
          <w:sz w:val="22"/>
        </w:rPr>
        <w:t> </w:t>
      </w:r>
      <w:r>
        <w:rPr>
          <w:b/>
          <w:i/>
          <w:color w:val="4471C4"/>
          <w:sz w:val="22"/>
        </w:rPr>
        <w:t>Accountability</w:t>
      </w:r>
      <w:r>
        <w:rPr>
          <w:b/>
          <w:i/>
          <w:color w:val="4471C4"/>
          <w:spacing w:val="-4"/>
          <w:sz w:val="22"/>
        </w:rPr>
        <w:t> </w:t>
      </w:r>
      <w:r>
        <w:rPr>
          <w:b/>
          <w:i/>
          <w:color w:val="4471C4"/>
          <w:sz w:val="22"/>
        </w:rPr>
        <w:t>Score</w:t>
      </w:r>
      <w:r>
        <w:rPr>
          <w:b/>
          <w:i/>
          <w:color w:val="4471C4"/>
          <w:spacing w:val="-4"/>
          <w:sz w:val="22"/>
        </w:rPr>
        <w:t> </w:t>
      </w:r>
      <w:r>
        <w:rPr>
          <w:b/>
          <w:i/>
          <w:color w:val="4471C4"/>
          <w:sz w:val="22"/>
        </w:rPr>
        <w:t>in</w:t>
      </w:r>
      <w:r>
        <w:rPr>
          <w:b/>
          <w:i/>
          <w:color w:val="4471C4"/>
          <w:spacing w:val="-4"/>
          <w:sz w:val="22"/>
        </w:rPr>
        <w:t> </w:t>
      </w:r>
      <w:r>
        <w:rPr>
          <w:b/>
          <w:i/>
          <w:color w:val="4471C4"/>
          <w:spacing w:val="-5"/>
          <w:sz w:val="22"/>
        </w:rPr>
        <w:t>BP3</w:t>
      </w:r>
    </w:p>
    <w:p>
      <w:pPr>
        <w:pStyle w:val="BodyText"/>
        <w:rPr>
          <w:b/>
          <w:i/>
        </w:rPr>
      </w:pPr>
    </w:p>
    <w:p>
      <w:pPr>
        <w:spacing w:before="174"/>
        <w:ind w:left="1220" w:right="1111" w:firstLine="0"/>
        <w:jc w:val="left"/>
        <w:rPr>
          <w:sz w:val="22"/>
        </w:rPr>
      </w:pPr>
      <w:r>
        <w:rPr>
          <w:sz w:val="22"/>
        </w:rPr>
        <w:t>This</w:t>
      </w:r>
      <w:r>
        <w:rPr>
          <w:spacing w:val="-9"/>
          <w:sz w:val="22"/>
        </w:rPr>
        <w:t> </w:t>
      </w:r>
      <w:r>
        <w:rPr>
          <w:sz w:val="22"/>
        </w:rPr>
        <w:t>section</w:t>
      </w:r>
      <w:r>
        <w:rPr>
          <w:spacing w:val="-10"/>
          <w:sz w:val="22"/>
        </w:rPr>
        <w:t> </w:t>
      </w:r>
      <w:r>
        <w:rPr>
          <w:sz w:val="22"/>
        </w:rPr>
        <w:t>clarifies</w:t>
      </w:r>
      <w:r>
        <w:rPr>
          <w:spacing w:val="-9"/>
          <w:sz w:val="22"/>
        </w:rPr>
        <w:t> </w:t>
      </w:r>
      <w:r>
        <w:rPr>
          <w:sz w:val="22"/>
        </w:rPr>
        <w:t>the</w:t>
      </w:r>
      <w:r>
        <w:rPr>
          <w:spacing w:val="-9"/>
          <w:sz w:val="22"/>
        </w:rPr>
        <w:t> </w:t>
      </w:r>
      <w:r>
        <w:rPr>
          <w:sz w:val="22"/>
        </w:rPr>
        <w:t>application</w:t>
      </w:r>
      <w:r>
        <w:rPr>
          <w:spacing w:val="-10"/>
          <w:sz w:val="22"/>
        </w:rPr>
        <w:t> </w:t>
      </w:r>
      <w:r>
        <w:rPr>
          <w:sz w:val="22"/>
        </w:rPr>
        <w:t>of</w:t>
      </w:r>
      <w:r>
        <w:rPr>
          <w:spacing w:val="-9"/>
          <w:sz w:val="22"/>
        </w:rPr>
        <w:t> </w:t>
      </w:r>
      <w:r>
        <w:rPr>
          <w:sz w:val="22"/>
        </w:rPr>
        <w:t>sections</w:t>
      </w:r>
      <w:r>
        <w:rPr>
          <w:spacing w:val="-9"/>
          <w:sz w:val="22"/>
        </w:rPr>
        <w:t> </w:t>
      </w:r>
      <w:r>
        <w:rPr>
          <w:sz w:val="22"/>
        </w:rPr>
        <w:t>5.4.4.2</w:t>
      </w:r>
      <w:r>
        <w:rPr>
          <w:spacing w:val="-12"/>
          <w:sz w:val="22"/>
        </w:rPr>
        <w:t> </w:t>
      </w:r>
      <w:r>
        <w:rPr>
          <w:sz w:val="22"/>
        </w:rPr>
        <w:t>and</w:t>
      </w:r>
      <w:r>
        <w:rPr>
          <w:spacing w:val="-10"/>
          <w:sz w:val="22"/>
        </w:rPr>
        <w:t> </w:t>
      </w:r>
      <w:r>
        <w:rPr>
          <w:sz w:val="22"/>
        </w:rPr>
        <w:t>5.4.4.3</w:t>
      </w:r>
      <w:r>
        <w:rPr>
          <w:spacing w:val="-12"/>
          <w:sz w:val="22"/>
        </w:rPr>
        <w:t> </w:t>
      </w:r>
      <w:r>
        <w:rPr>
          <w:sz w:val="22"/>
        </w:rPr>
        <w:t>to</w:t>
      </w:r>
      <w:r>
        <w:rPr>
          <w:spacing w:val="-10"/>
          <w:sz w:val="22"/>
        </w:rPr>
        <w:t> </w:t>
      </w:r>
      <w:r>
        <w:rPr>
          <w:sz w:val="22"/>
        </w:rPr>
        <w:t>BP3</w:t>
      </w:r>
      <w:r>
        <w:rPr>
          <w:spacing w:val="-10"/>
          <w:sz w:val="22"/>
        </w:rPr>
        <w:t> </w:t>
      </w:r>
      <w:r>
        <w:rPr>
          <w:sz w:val="22"/>
        </w:rPr>
        <w:t>to</w:t>
      </w:r>
      <w:r>
        <w:rPr>
          <w:spacing w:val="-10"/>
          <w:sz w:val="22"/>
        </w:rPr>
        <w:t> </w:t>
      </w:r>
      <w:r>
        <w:rPr>
          <w:sz w:val="22"/>
        </w:rPr>
        <w:t>address</w:t>
      </w:r>
      <w:r>
        <w:rPr>
          <w:spacing w:val="-9"/>
          <w:sz w:val="22"/>
        </w:rPr>
        <w:t> </w:t>
      </w:r>
      <w:r>
        <w:rPr>
          <w:sz w:val="22"/>
        </w:rPr>
        <w:t>the</w:t>
      </w:r>
      <w:r>
        <w:rPr>
          <w:spacing w:val="-9"/>
          <w:sz w:val="22"/>
        </w:rPr>
        <w:t> </w:t>
      </w:r>
      <w:r>
        <w:rPr>
          <w:sz w:val="22"/>
        </w:rPr>
        <w:t>impact</w:t>
      </w:r>
      <w:r>
        <w:rPr>
          <w:spacing w:val="-9"/>
          <w:sz w:val="22"/>
        </w:rPr>
        <w:t> </w:t>
      </w:r>
      <w:r>
        <w:rPr>
          <w:sz w:val="22"/>
        </w:rPr>
        <w:t>of</w:t>
      </w:r>
      <w:r>
        <w:rPr>
          <w:spacing w:val="-9"/>
          <w:sz w:val="22"/>
        </w:rPr>
        <w:t> </w:t>
      </w:r>
      <w:r>
        <w:rPr>
          <w:sz w:val="22"/>
        </w:rPr>
        <w:t>the</w:t>
      </w:r>
      <w:r>
        <w:rPr>
          <w:spacing w:val="-11"/>
          <w:sz w:val="22"/>
        </w:rPr>
        <w:t> </w:t>
      </w:r>
      <w:r>
        <w:rPr>
          <w:sz w:val="22"/>
        </w:rPr>
        <w:t>state of emergency declared by the federal or state government.</w:t>
      </w:r>
    </w:p>
    <w:p>
      <w:pPr>
        <w:spacing w:before="199"/>
        <w:ind w:left="1220" w:right="0" w:firstLine="0"/>
        <w:jc w:val="left"/>
        <w:rPr>
          <w:sz w:val="22"/>
        </w:rPr>
      </w:pPr>
      <w:bookmarkStart w:name="Achievement Points" w:id="1427"/>
      <w:bookmarkEnd w:id="1427"/>
      <w:r>
        <w:rPr/>
      </w:r>
      <w:r>
        <w:rPr>
          <w:color w:val="1F3762"/>
          <w:sz w:val="22"/>
        </w:rPr>
        <w:t>Achievement</w:t>
      </w:r>
      <w:r>
        <w:rPr>
          <w:color w:val="1F3762"/>
          <w:spacing w:val="-8"/>
          <w:sz w:val="22"/>
        </w:rPr>
        <w:t> </w:t>
      </w:r>
      <w:r>
        <w:rPr>
          <w:color w:val="1F3762"/>
          <w:spacing w:val="-2"/>
          <w:sz w:val="22"/>
        </w:rPr>
        <w:t>Points</w:t>
      </w:r>
    </w:p>
    <w:p>
      <w:pPr>
        <w:spacing w:line="259" w:lineRule="auto" w:before="2"/>
        <w:ind w:left="1219" w:right="1111" w:firstLine="0"/>
        <w:jc w:val="left"/>
        <w:rPr>
          <w:sz w:val="22"/>
        </w:rPr>
      </w:pPr>
      <w:r>
        <w:rPr>
          <w:sz w:val="22"/>
        </w:rPr>
        <w:t>For</w:t>
      </w:r>
      <w:r>
        <w:rPr>
          <w:spacing w:val="-1"/>
          <w:sz w:val="22"/>
        </w:rPr>
        <w:t> </w:t>
      </w:r>
      <w:r>
        <w:rPr>
          <w:sz w:val="22"/>
        </w:rPr>
        <w:t>each</w:t>
      </w:r>
      <w:r>
        <w:rPr>
          <w:spacing w:val="-2"/>
          <w:sz w:val="22"/>
        </w:rPr>
        <w:t> </w:t>
      </w:r>
      <w:r>
        <w:rPr>
          <w:sz w:val="22"/>
        </w:rPr>
        <w:t>measure</w:t>
      </w:r>
      <w:r>
        <w:rPr>
          <w:spacing w:val="-4"/>
          <w:sz w:val="22"/>
        </w:rPr>
        <w:t> </w:t>
      </w:r>
      <w:r>
        <w:rPr>
          <w:sz w:val="22"/>
        </w:rPr>
        <w:t>in</w:t>
      </w:r>
      <w:r>
        <w:rPr>
          <w:spacing w:val="-5"/>
          <w:sz w:val="22"/>
        </w:rPr>
        <w:t> </w:t>
      </w:r>
      <w:r>
        <w:rPr>
          <w:sz w:val="22"/>
        </w:rPr>
        <w:t>pay-for-performance</w:t>
      </w:r>
      <w:r>
        <w:rPr>
          <w:spacing w:val="-2"/>
          <w:sz w:val="22"/>
        </w:rPr>
        <w:t> </w:t>
      </w:r>
      <w:r>
        <w:rPr>
          <w:sz w:val="22"/>
        </w:rPr>
        <w:t>status</w:t>
      </w:r>
      <w:r>
        <w:rPr>
          <w:spacing w:val="-4"/>
          <w:sz w:val="22"/>
        </w:rPr>
        <w:t> </w:t>
      </w:r>
      <w:r>
        <w:rPr>
          <w:sz w:val="22"/>
        </w:rPr>
        <w:t>in</w:t>
      </w:r>
      <w:r>
        <w:rPr>
          <w:spacing w:val="-2"/>
          <w:sz w:val="22"/>
        </w:rPr>
        <w:t> </w:t>
      </w:r>
      <w:r>
        <w:rPr>
          <w:sz w:val="22"/>
        </w:rPr>
        <w:t>BP3</w:t>
      </w:r>
      <w:r>
        <w:rPr>
          <w:spacing w:val="-2"/>
          <w:sz w:val="22"/>
        </w:rPr>
        <w:t> </w:t>
      </w:r>
      <w:r>
        <w:rPr>
          <w:sz w:val="22"/>
        </w:rPr>
        <w:t>(as</w:t>
      </w:r>
      <w:r>
        <w:rPr>
          <w:spacing w:val="-4"/>
          <w:sz w:val="22"/>
        </w:rPr>
        <w:t> </w:t>
      </w:r>
      <w:r>
        <w:rPr>
          <w:sz w:val="22"/>
        </w:rPr>
        <w:t>set</w:t>
      </w:r>
      <w:r>
        <w:rPr>
          <w:spacing w:val="-1"/>
          <w:sz w:val="22"/>
        </w:rPr>
        <w:t> </w:t>
      </w:r>
      <w:r>
        <w:rPr>
          <w:sz w:val="22"/>
        </w:rPr>
        <w:t>forth</w:t>
      </w:r>
      <w:r>
        <w:rPr>
          <w:spacing w:val="-5"/>
          <w:sz w:val="22"/>
        </w:rPr>
        <w:t> </w:t>
      </w:r>
      <w:r>
        <w:rPr>
          <w:sz w:val="22"/>
        </w:rPr>
        <w:t>in</w:t>
      </w:r>
      <w:r>
        <w:rPr>
          <w:spacing w:val="-2"/>
          <w:sz w:val="22"/>
        </w:rPr>
        <w:t> </w:t>
      </w:r>
      <w:r>
        <w:rPr>
          <w:sz w:val="22"/>
        </w:rPr>
        <w:t>Appendix</w:t>
      </w:r>
      <w:r>
        <w:rPr>
          <w:spacing w:val="-5"/>
          <w:sz w:val="22"/>
        </w:rPr>
        <w:t> </w:t>
      </w:r>
      <w:r>
        <w:rPr>
          <w:sz w:val="22"/>
        </w:rPr>
        <w:t>D),</w:t>
      </w:r>
      <w:r>
        <w:rPr>
          <w:spacing w:val="-2"/>
          <w:sz w:val="22"/>
        </w:rPr>
        <w:t> </w:t>
      </w:r>
      <w:r>
        <w:rPr>
          <w:sz w:val="22"/>
        </w:rPr>
        <w:t>the</w:t>
      </w:r>
      <w:r>
        <w:rPr>
          <w:spacing w:val="-4"/>
          <w:sz w:val="22"/>
        </w:rPr>
        <w:t> </w:t>
      </w:r>
      <w:r>
        <w:rPr>
          <w:sz w:val="22"/>
        </w:rPr>
        <w:t>State</w:t>
      </w:r>
      <w:r>
        <w:rPr>
          <w:spacing w:val="-2"/>
          <w:sz w:val="22"/>
        </w:rPr>
        <w:t> </w:t>
      </w:r>
      <w:r>
        <w:rPr>
          <w:sz w:val="22"/>
        </w:rPr>
        <w:t>will</w:t>
      </w:r>
      <w:r>
        <w:rPr>
          <w:spacing w:val="-1"/>
          <w:sz w:val="22"/>
        </w:rPr>
        <w:t> </w:t>
      </w:r>
      <w:r>
        <w:rPr>
          <w:sz w:val="22"/>
        </w:rPr>
        <w:t>decide whether to set the individual CPs/CSAs’ BP3 measure performance rates to 1) the higher of the CPs/CSAs’ BP3 or BP2 actual measure rates, or 2) the higher of the CPs/CSAs’ BP2 actual rates or the statewide median rates (i.e., measure level median performance among all CPs/CSAs) in BP2.</w:t>
      </w:r>
    </w:p>
    <w:p>
      <w:pPr>
        <w:spacing w:line="259" w:lineRule="auto" w:before="160"/>
        <w:ind w:left="1219" w:right="1111" w:firstLine="0"/>
        <w:jc w:val="left"/>
        <w:rPr>
          <w:sz w:val="22"/>
        </w:rPr>
      </w:pPr>
      <w:r>
        <w:rPr>
          <w:sz w:val="22"/>
        </w:rPr>
        <w:t>If the State determines BP3 measure performance rates by comparing the individual CPs/CSAs’ BP2 actual</w:t>
      </w:r>
      <w:r>
        <w:rPr>
          <w:spacing w:val="-4"/>
          <w:sz w:val="22"/>
        </w:rPr>
        <w:t> </w:t>
      </w:r>
      <w:r>
        <w:rPr>
          <w:sz w:val="22"/>
        </w:rPr>
        <w:t>rates</w:t>
      </w:r>
      <w:r>
        <w:rPr>
          <w:spacing w:val="-4"/>
          <w:sz w:val="22"/>
        </w:rPr>
        <w:t> </w:t>
      </w:r>
      <w:r>
        <w:rPr>
          <w:sz w:val="22"/>
        </w:rPr>
        <w:t>to</w:t>
      </w:r>
      <w:r>
        <w:rPr>
          <w:spacing w:val="-2"/>
          <w:sz w:val="22"/>
        </w:rPr>
        <w:t> </w:t>
      </w:r>
      <w:r>
        <w:rPr>
          <w:sz w:val="22"/>
        </w:rPr>
        <w:t>BP3</w:t>
      </w:r>
      <w:r>
        <w:rPr>
          <w:spacing w:val="-2"/>
          <w:sz w:val="22"/>
        </w:rPr>
        <w:t> </w:t>
      </w:r>
      <w:r>
        <w:rPr>
          <w:sz w:val="22"/>
        </w:rPr>
        <w:t>actual</w:t>
      </w:r>
      <w:r>
        <w:rPr>
          <w:spacing w:val="-4"/>
          <w:sz w:val="22"/>
        </w:rPr>
        <w:t> </w:t>
      </w:r>
      <w:r>
        <w:rPr>
          <w:sz w:val="22"/>
        </w:rPr>
        <w:t>rates,</w:t>
      </w:r>
      <w:r>
        <w:rPr>
          <w:spacing w:val="-2"/>
          <w:sz w:val="22"/>
        </w:rPr>
        <w:t> </w:t>
      </w:r>
      <w:r>
        <w:rPr>
          <w:sz w:val="22"/>
        </w:rPr>
        <w:t>then</w:t>
      </w:r>
      <w:r>
        <w:rPr>
          <w:spacing w:val="-2"/>
          <w:sz w:val="22"/>
        </w:rPr>
        <w:t> </w:t>
      </w:r>
      <w:r>
        <w:rPr>
          <w:sz w:val="22"/>
        </w:rPr>
        <w:t>CPs/CSAs</w:t>
      </w:r>
      <w:r>
        <w:rPr>
          <w:spacing w:val="-2"/>
          <w:sz w:val="22"/>
        </w:rPr>
        <w:t> </w:t>
      </w:r>
      <w:r>
        <w:rPr>
          <w:sz w:val="22"/>
        </w:rPr>
        <w:t>earn</w:t>
      </w:r>
      <w:r>
        <w:rPr>
          <w:spacing w:val="-2"/>
          <w:sz w:val="22"/>
        </w:rPr>
        <w:t> </w:t>
      </w:r>
      <w:r>
        <w:rPr>
          <w:sz w:val="22"/>
        </w:rPr>
        <w:t>achievement</w:t>
      </w:r>
      <w:r>
        <w:rPr>
          <w:spacing w:val="-1"/>
          <w:sz w:val="22"/>
        </w:rPr>
        <w:t> </w:t>
      </w:r>
      <w:r>
        <w:rPr>
          <w:sz w:val="22"/>
        </w:rPr>
        <w:t>points</w:t>
      </w:r>
      <w:r>
        <w:rPr>
          <w:spacing w:val="-4"/>
          <w:sz w:val="22"/>
        </w:rPr>
        <w:t> </w:t>
      </w:r>
      <w:r>
        <w:rPr>
          <w:sz w:val="22"/>
        </w:rPr>
        <w:t>following</w:t>
      </w:r>
      <w:r>
        <w:rPr>
          <w:spacing w:val="-5"/>
          <w:sz w:val="22"/>
        </w:rPr>
        <w:t> </w:t>
      </w:r>
      <w:r>
        <w:rPr>
          <w:sz w:val="22"/>
        </w:rPr>
        <w:t>the</w:t>
      </w:r>
      <w:r>
        <w:rPr>
          <w:spacing w:val="-2"/>
          <w:sz w:val="22"/>
        </w:rPr>
        <w:t> </w:t>
      </w:r>
      <w:r>
        <w:rPr>
          <w:sz w:val="22"/>
        </w:rPr>
        <w:t>scoring</w:t>
      </w:r>
      <w:r>
        <w:rPr>
          <w:spacing w:val="-5"/>
          <w:sz w:val="22"/>
        </w:rPr>
        <w:t> </w:t>
      </w:r>
      <w:r>
        <w:rPr>
          <w:sz w:val="22"/>
        </w:rPr>
        <w:t>approach</w:t>
      </w:r>
    </w:p>
    <w:p>
      <w:pPr>
        <w:spacing w:after="0" w:line="259" w:lineRule="auto"/>
        <w:jc w:val="left"/>
        <w:rPr>
          <w:sz w:val="22"/>
        </w:rPr>
        <w:sectPr>
          <w:pgSz w:w="12240" w:h="15840"/>
          <w:pgMar w:header="0" w:footer="967" w:top="1420" w:bottom="1160" w:left="220" w:right="340"/>
        </w:sectPr>
      </w:pPr>
    </w:p>
    <w:p>
      <w:pPr>
        <w:spacing w:line="259" w:lineRule="auto" w:before="81"/>
        <w:ind w:left="1219" w:right="1111" w:firstLine="0"/>
        <w:jc w:val="left"/>
        <w:rPr>
          <w:sz w:val="22"/>
        </w:rPr>
      </w:pPr>
      <w:r>
        <w:rPr>
          <w:sz w:val="22"/>
        </w:rPr>
        <w:t>set</w:t>
      </w:r>
      <w:r>
        <w:rPr>
          <w:spacing w:val="-4"/>
          <w:sz w:val="22"/>
        </w:rPr>
        <w:t> </w:t>
      </w:r>
      <w:r>
        <w:rPr>
          <w:sz w:val="22"/>
        </w:rPr>
        <w:t>forth</w:t>
      </w:r>
      <w:r>
        <w:rPr>
          <w:spacing w:val="-5"/>
          <w:sz w:val="22"/>
        </w:rPr>
        <w:t> </w:t>
      </w:r>
      <w:r>
        <w:rPr>
          <w:sz w:val="22"/>
        </w:rPr>
        <w:t>in</w:t>
      </w:r>
      <w:r>
        <w:rPr>
          <w:spacing w:val="-2"/>
          <w:sz w:val="22"/>
        </w:rPr>
        <w:t> </w:t>
      </w:r>
      <w:r>
        <w:rPr>
          <w:sz w:val="22"/>
        </w:rPr>
        <w:t>Section</w:t>
      </w:r>
      <w:r>
        <w:rPr>
          <w:spacing w:val="-2"/>
          <w:sz w:val="22"/>
        </w:rPr>
        <w:t> </w:t>
      </w:r>
      <w:r>
        <w:rPr>
          <w:sz w:val="22"/>
        </w:rPr>
        <w:t>5.3.1.3.</w:t>
      </w:r>
      <w:r>
        <w:rPr>
          <w:spacing w:val="40"/>
          <w:sz w:val="22"/>
        </w:rPr>
        <w:t> </w:t>
      </w:r>
      <w:r>
        <w:rPr>
          <w:sz w:val="22"/>
        </w:rPr>
        <w:t>If</w:t>
      </w:r>
      <w:r>
        <w:rPr>
          <w:spacing w:val="-1"/>
          <w:sz w:val="22"/>
        </w:rPr>
        <w:t> </w:t>
      </w:r>
      <w:r>
        <w:rPr>
          <w:sz w:val="22"/>
        </w:rPr>
        <w:t>the</w:t>
      </w:r>
      <w:r>
        <w:rPr>
          <w:spacing w:val="-2"/>
          <w:sz w:val="22"/>
        </w:rPr>
        <w:t> </w:t>
      </w:r>
      <w:r>
        <w:rPr>
          <w:sz w:val="22"/>
        </w:rPr>
        <w:t>State</w:t>
      </w:r>
      <w:r>
        <w:rPr>
          <w:spacing w:val="-2"/>
          <w:sz w:val="22"/>
        </w:rPr>
        <w:t> </w:t>
      </w:r>
      <w:r>
        <w:rPr>
          <w:sz w:val="22"/>
        </w:rPr>
        <w:t>determines</w:t>
      </w:r>
      <w:r>
        <w:rPr>
          <w:spacing w:val="-2"/>
          <w:sz w:val="22"/>
        </w:rPr>
        <w:t> </w:t>
      </w:r>
      <w:r>
        <w:rPr>
          <w:sz w:val="22"/>
        </w:rPr>
        <w:t>BP3</w:t>
      </w:r>
      <w:r>
        <w:rPr>
          <w:spacing w:val="-2"/>
          <w:sz w:val="22"/>
        </w:rPr>
        <w:t> </w:t>
      </w:r>
      <w:r>
        <w:rPr>
          <w:sz w:val="22"/>
        </w:rPr>
        <w:t>measure</w:t>
      </w:r>
      <w:r>
        <w:rPr>
          <w:spacing w:val="-2"/>
          <w:sz w:val="22"/>
        </w:rPr>
        <w:t> </w:t>
      </w:r>
      <w:r>
        <w:rPr>
          <w:sz w:val="22"/>
        </w:rPr>
        <w:t>performance</w:t>
      </w:r>
      <w:r>
        <w:rPr>
          <w:spacing w:val="-2"/>
          <w:sz w:val="22"/>
        </w:rPr>
        <w:t> </w:t>
      </w:r>
      <w:r>
        <w:rPr>
          <w:sz w:val="22"/>
        </w:rPr>
        <w:t>rates</w:t>
      </w:r>
      <w:r>
        <w:rPr>
          <w:spacing w:val="-2"/>
          <w:sz w:val="22"/>
        </w:rPr>
        <w:t> </w:t>
      </w:r>
      <w:r>
        <w:rPr>
          <w:sz w:val="22"/>
        </w:rPr>
        <w:t>by</w:t>
      </w:r>
      <w:r>
        <w:rPr>
          <w:spacing w:val="-5"/>
          <w:sz w:val="22"/>
        </w:rPr>
        <w:t> </w:t>
      </w:r>
      <w:r>
        <w:rPr>
          <w:sz w:val="22"/>
        </w:rPr>
        <w:t>comparing individual CPs/CSAs’ BP2 actual rates to the BP2 statewide median rates, then:</w:t>
      </w:r>
    </w:p>
    <w:p>
      <w:pPr>
        <w:pStyle w:val="ListParagraph"/>
        <w:numPr>
          <w:ilvl w:val="4"/>
          <w:numId w:val="77"/>
        </w:numPr>
        <w:tabs>
          <w:tab w:pos="1939" w:val="left" w:leader="none"/>
        </w:tabs>
        <w:spacing w:line="259" w:lineRule="auto" w:before="157" w:after="0"/>
        <w:ind w:left="1939" w:right="1359" w:hanging="361"/>
        <w:jc w:val="left"/>
        <w:rPr>
          <w:sz w:val="22"/>
        </w:rPr>
      </w:pPr>
      <w:r>
        <w:rPr>
          <w:sz w:val="22"/>
        </w:rPr>
        <w:t>For</w:t>
      </w:r>
      <w:r>
        <w:rPr>
          <w:spacing w:val="-1"/>
          <w:sz w:val="22"/>
        </w:rPr>
        <w:t> </w:t>
      </w:r>
      <w:r>
        <w:rPr>
          <w:sz w:val="22"/>
        </w:rPr>
        <w:t>measures</w:t>
      </w:r>
      <w:r>
        <w:rPr>
          <w:spacing w:val="-2"/>
          <w:sz w:val="22"/>
        </w:rPr>
        <w:t> </w:t>
      </w:r>
      <w:r>
        <w:rPr>
          <w:sz w:val="22"/>
        </w:rPr>
        <w:t>where</w:t>
      </w:r>
      <w:r>
        <w:rPr>
          <w:spacing w:val="-2"/>
          <w:sz w:val="22"/>
        </w:rPr>
        <w:t> </w:t>
      </w:r>
      <w:r>
        <w:rPr>
          <w:sz w:val="22"/>
        </w:rPr>
        <w:t>a</w:t>
      </w:r>
      <w:r>
        <w:rPr>
          <w:spacing w:val="-2"/>
          <w:sz w:val="22"/>
        </w:rPr>
        <w:t> </w:t>
      </w:r>
      <w:r>
        <w:rPr>
          <w:sz w:val="22"/>
        </w:rPr>
        <w:t>CP/CSA</w:t>
      </w:r>
      <w:r>
        <w:rPr>
          <w:spacing w:val="-4"/>
          <w:sz w:val="22"/>
        </w:rPr>
        <w:t> </w:t>
      </w:r>
      <w:r>
        <w:rPr>
          <w:sz w:val="22"/>
        </w:rPr>
        <w:t>demonstrates</w:t>
      </w:r>
      <w:r>
        <w:rPr>
          <w:spacing w:val="-4"/>
          <w:sz w:val="22"/>
        </w:rPr>
        <w:t> </w:t>
      </w:r>
      <w:r>
        <w:rPr>
          <w:sz w:val="22"/>
        </w:rPr>
        <w:t>a</w:t>
      </w:r>
      <w:r>
        <w:rPr>
          <w:spacing w:val="-2"/>
          <w:sz w:val="22"/>
        </w:rPr>
        <w:t> </w:t>
      </w:r>
      <w:r>
        <w:rPr>
          <w:sz w:val="22"/>
        </w:rPr>
        <w:t>higher</w:t>
      </w:r>
      <w:r>
        <w:rPr>
          <w:spacing w:val="-6"/>
          <w:sz w:val="22"/>
        </w:rPr>
        <w:t> </w:t>
      </w:r>
      <w:r>
        <w:rPr>
          <w:sz w:val="22"/>
        </w:rPr>
        <w:t>BP2</w:t>
      </w:r>
      <w:r>
        <w:rPr>
          <w:spacing w:val="-2"/>
          <w:sz w:val="22"/>
        </w:rPr>
        <w:t> </w:t>
      </w:r>
      <w:r>
        <w:rPr>
          <w:sz w:val="22"/>
        </w:rPr>
        <w:t>rate</w:t>
      </w:r>
      <w:r>
        <w:rPr>
          <w:spacing w:val="-2"/>
          <w:sz w:val="22"/>
        </w:rPr>
        <w:t> </w:t>
      </w:r>
      <w:r>
        <w:rPr>
          <w:sz w:val="22"/>
        </w:rPr>
        <w:t>than</w:t>
      </w:r>
      <w:r>
        <w:rPr>
          <w:spacing w:val="-5"/>
          <w:sz w:val="22"/>
        </w:rPr>
        <w:t> </w:t>
      </w:r>
      <w:r>
        <w:rPr>
          <w:sz w:val="22"/>
        </w:rPr>
        <w:t>the</w:t>
      </w:r>
      <w:r>
        <w:rPr>
          <w:spacing w:val="-2"/>
          <w:sz w:val="22"/>
        </w:rPr>
        <w:t> </w:t>
      </w:r>
      <w:r>
        <w:rPr>
          <w:sz w:val="22"/>
        </w:rPr>
        <w:t>BP2</w:t>
      </w:r>
      <w:r>
        <w:rPr>
          <w:spacing w:val="-5"/>
          <w:sz w:val="22"/>
        </w:rPr>
        <w:t> </w:t>
      </w:r>
      <w:r>
        <w:rPr>
          <w:sz w:val="22"/>
        </w:rPr>
        <w:t>statewide</w:t>
      </w:r>
      <w:r>
        <w:rPr>
          <w:spacing w:val="-2"/>
          <w:sz w:val="22"/>
        </w:rPr>
        <w:t> </w:t>
      </w:r>
      <w:r>
        <w:rPr>
          <w:sz w:val="22"/>
        </w:rPr>
        <w:t>median, the CP/CSA earns achievement points based on its own rate, following the scoring approach described in Section 5.4.4.1</w:t>
      </w:r>
    </w:p>
    <w:p>
      <w:pPr>
        <w:pStyle w:val="ListParagraph"/>
        <w:numPr>
          <w:ilvl w:val="4"/>
          <w:numId w:val="77"/>
        </w:numPr>
        <w:tabs>
          <w:tab w:pos="1939" w:val="left" w:leader="none"/>
        </w:tabs>
        <w:spacing w:line="259" w:lineRule="auto" w:before="0" w:after="0"/>
        <w:ind w:left="1939" w:right="1199" w:hanging="360"/>
        <w:jc w:val="left"/>
        <w:rPr>
          <w:sz w:val="22"/>
        </w:rPr>
      </w:pPr>
      <w:r>
        <w:rPr>
          <w:sz w:val="22"/>
        </w:rPr>
        <w:t>For measures where the statewide median demonstrates a higher rate than the CP/CSA’s own rate,</w:t>
      </w:r>
      <w:r>
        <w:rPr>
          <w:spacing w:val="-3"/>
          <w:sz w:val="22"/>
        </w:rPr>
        <w:t> </w:t>
      </w:r>
      <w:r>
        <w:rPr>
          <w:sz w:val="22"/>
        </w:rPr>
        <w:t>the</w:t>
      </w:r>
      <w:r>
        <w:rPr>
          <w:spacing w:val="-3"/>
          <w:sz w:val="22"/>
        </w:rPr>
        <w:t> </w:t>
      </w:r>
      <w:r>
        <w:rPr>
          <w:sz w:val="22"/>
        </w:rPr>
        <w:t>CP/CSA</w:t>
      </w:r>
      <w:r>
        <w:rPr>
          <w:spacing w:val="-4"/>
          <w:sz w:val="22"/>
        </w:rPr>
        <w:t> </w:t>
      </w:r>
      <w:r>
        <w:rPr>
          <w:sz w:val="22"/>
        </w:rPr>
        <w:t>earns</w:t>
      </w:r>
      <w:r>
        <w:rPr>
          <w:spacing w:val="-3"/>
          <w:sz w:val="22"/>
        </w:rPr>
        <w:t> </w:t>
      </w:r>
      <w:r>
        <w:rPr>
          <w:sz w:val="22"/>
        </w:rPr>
        <w:t>achievement</w:t>
      </w:r>
      <w:r>
        <w:rPr>
          <w:spacing w:val="-2"/>
          <w:sz w:val="22"/>
        </w:rPr>
        <w:t> </w:t>
      </w:r>
      <w:r>
        <w:rPr>
          <w:sz w:val="22"/>
        </w:rPr>
        <w:t>points</w:t>
      </w:r>
      <w:r>
        <w:rPr>
          <w:spacing w:val="-3"/>
          <w:sz w:val="22"/>
        </w:rPr>
        <w:t> </w:t>
      </w:r>
      <w:r>
        <w:rPr>
          <w:sz w:val="22"/>
        </w:rPr>
        <w:t>based</w:t>
      </w:r>
      <w:r>
        <w:rPr>
          <w:spacing w:val="-5"/>
          <w:sz w:val="22"/>
        </w:rPr>
        <w:t> </w:t>
      </w:r>
      <w:r>
        <w:rPr>
          <w:sz w:val="22"/>
        </w:rPr>
        <w:t>on</w:t>
      </w:r>
      <w:r>
        <w:rPr>
          <w:spacing w:val="-3"/>
          <w:sz w:val="22"/>
        </w:rPr>
        <w:t> </w:t>
      </w:r>
      <w:r>
        <w:rPr>
          <w:sz w:val="22"/>
        </w:rPr>
        <w:t>the</w:t>
      </w:r>
      <w:r>
        <w:rPr>
          <w:spacing w:val="-3"/>
          <w:sz w:val="22"/>
        </w:rPr>
        <w:t> </w:t>
      </w:r>
      <w:r>
        <w:rPr>
          <w:sz w:val="22"/>
        </w:rPr>
        <w:t>statewide</w:t>
      </w:r>
      <w:r>
        <w:rPr>
          <w:spacing w:val="-3"/>
          <w:sz w:val="22"/>
        </w:rPr>
        <w:t> </w:t>
      </w:r>
      <w:r>
        <w:rPr>
          <w:sz w:val="22"/>
        </w:rPr>
        <w:t>median,</w:t>
      </w:r>
      <w:r>
        <w:rPr>
          <w:spacing w:val="-4"/>
          <w:sz w:val="22"/>
        </w:rPr>
        <w:t> </w:t>
      </w:r>
      <w:r>
        <w:rPr>
          <w:sz w:val="22"/>
        </w:rPr>
        <w:t>following</w:t>
      </w:r>
      <w:r>
        <w:rPr>
          <w:spacing w:val="-5"/>
          <w:sz w:val="22"/>
        </w:rPr>
        <w:t> </w:t>
      </w:r>
      <w:r>
        <w:rPr>
          <w:sz w:val="22"/>
        </w:rPr>
        <w:t>the</w:t>
      </w:r>
      <w:r>
        <w:rPr>
          <w:spacing w:val="-3"/>
          <w:sz w:val="22"/>
        </w:rPr>
        <w:t> </w:t>
      </w:r>
      <w:r>
        <w:rPr>
          <w:sz w:val="22"/>
        </w:rPr>
        <w:t>scoring approach described in Section 5.4.4.1</w:t>
      </w:r>
    </w:p>
    <w:p>
      <w:pPr>
        <w:pStyle w:val="ListParagraph"/>
        <w:numPr>
          <w:ilvl w:val="4"/>
          <w:numId w:val="77"/>
        </w:numPr>
        <w:tabs>
          <w:tab w:pos="1939" w:val="left" w:leader="none"/>
        </w:tabs>
        <w:spacing w:line="276" w:lineRule="auto" w:before="0" w:after="0"/>
        <w:ind w:left="1939" w:right="1151" w:hanging="361"/>
        <w:jc w:val="left"/>
        <w:rPr>
          <w:sz w:val="22"/>
        </w:rPr>
      </w:pPr>
      <w:r>
        <w:rPr>
          <w:sz w:val="22"/>
        </w:rPr>
        <w:t>In order to prevent such cases where a CP/CSA’s performance measure rate would improve excessively</w:t>
      </w:r>
      <w:r>
        <w:rPr>
          <w:spacing w:val="-5"/>
          <w:sz w:val="22"/>
        </w:rPr>
        <w:t> </w:t>
      </w:r>
      <w:r>
        <w:rPr>
          <w:sz w:val="22"/>
        </w:rPr>
        <w:t>through</w:t>
      </w:r>
      <w:r>
        <w:rPr>
          <w:spacing w:val="-2"/>
          <w:sz w:val="22"/>
        </w:rPr>
        <w:t> </w:t>
      </w:r>
      <w:r>
        <w:rPr>
          <w:sz w:val="22"/>
        </w:rPr>
        <w:t>the</w:t>
      </w:r>
      <w:r>
        <w:rPr>
          <w:spacing w:val="-4"/>
          <w:sz w:val="22"/>
        </w:rPr>
        <w:t> </w:t>
      </w:r>
      <w:r>
        <w:rPr>
          <w:sz w:val="22"/>
        </w:rPr>
        <w:t>use</w:t>
      </w:r>
      <w:r>
        <w:rPr>
          <w:spacing w:val="-4"/>
          <w:sz w:val="22"/>
        </w:rPr>
        <w:t> </w:t>
      </w:r>
      <w:r>
        <w:rPr>
          <w:sz w:val="22"/>
        </w:rPr>
        <w:t>of</w:t>
      </w:r>
      <w:r>
        <w:rPr>
          <w:spacing w:val="-1"/>
          <w:sz w:val="22"/>
        </w:rPr>
        <w:t> </w:t>
      </w:r>
      <w:r>
        <w:rPr>
          <w:sz w:val="22"/>
        </w:rPr>
        <w:t>the</w:t>
      </w:r>
      <w:r>
        <w:rPr>
          <w:spacing w:val="-2"/>
          <w:sz w:val="22"/>
        </w:rPr>
        <w:t> </w:t>
      </w:r>
      <w:r>
        <w:rPr>
          <w:sz w:val="22"/>
        </w:rPr>
        <w:t>statewide</w:t>
      </w:r>
      <w:r>
        <w:rPr>
          <w:spacing w:val="-2"/>
          <w:sz w:val="22"/>
        </w:rPr>
        <w:t> </w:t>
      </w:r>
      <w:r>
        <w:rPr>
          <w:sz w:val="22"/>
        </w:rPr>
        <w:t>median,</w:t>
      </w:r>
      <w:r>
        <w:rPr>
          <w:spacing w:val="-5"/>
          <w:sz w:val="22"/>
        </w:rPr>
        <w:t> </w:t>
      </w:r>
      <w:r>
        <w:rPr>
          <w:sz w:val="22"/>
        </w:rPr>
        <w:t>the</w:t>
      </w:r>
      <w:r>
        <w:rPr>
          <w:spacing w:val="-2"/>
          <w:sz w:val="22"/>
        </w:rPr>
        <w:t> </w:t>
      </w:r>
      <w:r>
        <w:rPr>
          <w:sz w:val="22"/>
        </w:rPr>
        <w:t>number</w:t>
      </w:r>
      <w:r>
        <w:rPr>
          <w:spacing w:val="-1"/>
          <w:sz w:val="22"/>
        </w:rPr>
        <w:t> </w:t>
      </w:r>
      <w:r>
        <w:rPr>
          <w:sz w:val="22"/>
        </w:rPr>
        <w:t>of</w:t>
      </w:r>
      <w:r>
        <w:rPr>
          <w:spacing w:val="-4"/>
          <w:sz w:val="22"/>
        </w:rPr>
        <w:t> </w:t>
      </w:r>
      <w:r>
        <w:rPr>
          <w:sz w:val="22"/>
        </w:rPr>
        <w:t>raw</w:t>
      </w:r>
      <w:r>
        <w:rPr>
          <w:spacing w:val="-3"/>
          <w:sz w:val="22"/>
        </w:rPr>
        <w:t> </w:t>
      </w:r>
      <w:r>
        <w:rPr>
          <w:sz w:val="22"/>
        </w:rPr>
        <w:t>(i.e.,</w:t>
      </w:r>
      <w:r>
        <w:rPr>
          <w:spacing w:val="-5"/>
          <w:sz w:val="22"/>
        </w:rPr>
        <w:t> </w:t>
      </w:r>
      <w:r>
        <w:rPr>
          <w:sz w:val="22"/>
        </w:rPr>
        <w:t>percentage)</w:t>
      </w:r>
      <w:r>
        <w:rPr>
          <w:spacing w:val="-1"/>
          <w:sz w:val="22"/>
        </w:rPr>
        <w:t> </w:t>
      </w:r>
      <w:r>
        <w:rPr>
          <w:sz w:val="22"/>
        </w:rPr>
        <w:t>points</w:t>
      </w:r>
      <w:r>
        <w:rPr>
          <w:spacing w:val="-2"/>
          <w:sz w:val="22"/>
        </w:rPr>
        <w:t> </w:t>
      </w:r>
      <w:r>
        <w:rPr>
          <w:sz w:val="22"/>
        </w:rPr>
        <w:t>a CP/CSA may earn when replacing a measure rate with that of the Statewide Median rate is capped at 15 raw points</w:t>
      </w:r>
    </w:p>
    <w:p>
      <w:pPr>
        <w:pStyle w:val="BodyText"/>
      </w:pPr>
    </w:p>
    <w:p>
      <w:pPr>
        <w:pStyle w:val="BodyText"/>
      </w:pPr>
    </w:p>
    <w:p>
      <w:pPr>
        <w:pStyle w:val="BodyText"/>
        <w:spacing w:before="3"/>
        <w:rPr>
          <w:sz w:val="27"/>
        </w:rPr>
      </w:pPr>
    </w:p>
    <w:p>
      <w:pPr>
        <w:spacing w:before="0"/>
        <w:ind w:left="1219" w:right="0" w:firstLine="0"/>
        <w:jc w:val="left"/>
        <w:rPr>
          <w:sz w:val="22"/>
        </w:rPr>
      </w:pPr>
      <w:r>
        <w:rPr>
          <w:sz w:val="22"/>
        </w:rPr>
        <w:t>EXHIBIT</w:t>
      </w:r>
      <w:r>
        <w:rPr>
          <w:spacing w:val="-1"/>
          <w:sz w:val="22"/>
        </w:rPr>
        <w:t> </w:t>
      </w:r>
      <w:r>
        <w:rPr>
          <w:sz w:val="22"/>
        </w:rPr>
        <w:t>49</w:t>
      </w:r>
      <w:r>
        <w:rPr>
          <w:spacing w:val="-1"/>
          <w:sz w:val="22"/>
        </w:rPr>
        <w:t> </w:t>
      </w:r>
      <w:r>
        <w:rPr>
          <w:sz w:val="22"/>
        </w:rPr>
        <w:t>-</w:t>
      </w:r>
      <w:r>
        <w:rPr>
          <w:spacing w:val="-7"/>
          <w:sz w:val="22"/>
        </w:rPr>
        <w:t> </w:t>
      </w:r>
      <w:r>
        <w:rPr>
          <w:sz w:val="22"/>
        </w:rPr>
        <w:t>BP3</w:t>
      </w:r>
      <w:r>
        <w:rPr>
          <w:spacing w:val="-3"/>
          <w:sz w:val="22"/>
        </w:rPr>
        <w:t> </w:t>
      </w:r>
      <w:r>
        <w:rPr>
          <w:sz w:val="22"/>
        </w:rPr>
        <w:t>Measure</w:t>
      </w:r>
      <w:r>
        <w:rPr>
          <w:spacing w:val="-3"/>
          <w:sz w:val="22"/>
        </w:rPr>
        <w:t> </w:t>
      </w:r>
      <w:r>
        <w:rPr>
          <w:sz w:val="22"/>
        </w:rPr>
        <w:t>Rate</w:t>
      </w:r>
      <w:r>
        <w:rPr>
          <w:spacing w:val="-2"/>
          <w:sz w:val="22"/>
        </w:rPr>
        <w:t> </w:t>
      </w:r>
      <w:r>
        <w:rPr>
          <w:sz w:val="22"/>
        </w:rPr>
        <w:t>Calculation</w:t>
      </w:r>
      <w:r>
        <w:rPr>
          <w:spacing w:val="-3"/>
          <w:sz w:val="22"/>
        </w:rPr>
        <w:t> </w:t>
      </w:r>
      <w:r>
        <w:rPr>
          <w:sz w:val="22"/>
        </w:rPr>
        <w:t>with</w:t>
      </w:r>
      <w:r>
        <w:rPr>
          <w:spacing w:val="-3"/>
          <w:sz w:val="22"/>
        </w:rPr>
        <w:t> </w:t>
      </w:r>
      <w:r>
        <w:rPr>
          <w:sz w:val="22"/>
        </w:rPr>
        <w:t>Raw</w:t>
      </w:r>
      <w:r>
        <w:rPr>
          <w:spacing w:val="-4"/>
          <w:sz w:val="22"/>
        </w:rPr>
        <w:t> </w:t>
      </w:r>
      <w:r>
        <w:rPr>
          <w:sz w:val="22"/>
        </w:rPr>
        <w:t>Point</w:t>
      </w:r>
      <w:r>
        <w:rPr>
          <w:spacing w:val="-2"/>
          <w:sz w:val="22"/>
        </w:rPr>
        <w:t> </w:t>
      </w:r>
      <w:r>
        <w:rPr>
          <w:sz w:val="22"/>
        </w:rPr>
        <w:t>Cap</w:t>
      </w:r>
      <w:r>
        <w:rPr>
          <w:spacing w:val="-3"/>
          <w:sz w:val="22"/>
        </w:rPr>
        <w:t> </w:t>
      </w:r>
      <w:r>
        <w:rPr>
          <w:sz w:val="22"/>
        </w:rPr>
        <w:t>=</w:t>
      </w:r>
      <w:r>
        <w:rPr>
          <w:spacing w:val="-2"/>
          <w:sz w:val="22"/>
        </w:rPr>
        <w:t> </w:t>
      </w:r>
      <w:r>
        <w:rPr>
          <w:spacing w:val="-4"/>
          <w:sz w:val="22"/>
        </w:rPr>
        <w:t>15.0</w:t>
      </w:r>
    </w:p>
    <w:p>
      <w:pPr>
        <w:pStyle w:val="BodyText"/>
        <w:spacing w:before="9"/>
        <w:rPr>
          <w:sz w:val="20"/>
        </w:rPr>
      </w:pPr>
    </w:p>
    <w:tbl>
      <w:tblPr>
        <w:tblW w:w="0" w:type="auto"/>
        <w:jc w:val="left"/>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8"/>
        <w:gridCol w:w="1251"/>
        <w:gridCol w:w="1630"/>
        <w:gridCol w:w="1892"/>
        <w:gridCol w:w="1801"/>
        <w:gridCol w:w="1890"/>
        <w:gridCol w:w="184"/>
      </w:tblGrid>
      <w:tr>
        <w:trPr>
          <w:trHeight w:val="458" w:hRule="atLeast"/>
        </w:trPr>
        <w:tc>
          <w:tcPr>
            <w:tcW w:w="718" w:type="dxa"/>
            <w:vMerge w:val="restart"/>
            <w:tcBorders>
              <w:left w:val="nil"/>
              <w:bottom w:val="nil"/>
              <w:right w:val="single" w:sz="2" w:space="0" w:color="BEBEBE"/>
            </w:tcBorders>
          </w:tcPr>
          <w:p>
            <w:pPr>
              <w:pStyle w:val="TableParagraph"/>
              <w:rPr>
                <w:sz w:val="20"/>
              </w:rPr>
            </w:pPr>
          </w:p>
        </w:tc>
        <w:tc>
          <w:tcPr>
            <w:tcW w:w="1251" w:type="dxa"/>
            <w:tcBorders>
              <w:top w:val="single" w:sz="6" w:space="0" w:color="000000"/>
              <w:left w:val="single" w:sz="2" w:space="0" w:color="BEBEBE"/>
              <w:bottom w:val="single" w:sz="2" w:space="0" w:color="BEBEBE"/>
              <w:right w:val="single" w:sz="2" w:space="0" w:color="BEBEBE"/>
            </w:tcBorders>
            <w:shd w:val="clear" w:color="auto" w:fill="D9D9D9"/>
          </w:tcPr>
          <w:p>
            <w:pPr>
              <w:pStyle w:val="TableParagraph"/>
              <w:ind w:left="262" w:right="269"/>
              <w:jc w:val="center"/>
              <w:rPr>
                <w:sz w:val="20"/>
              </w:rPr>
            </w:pPr>
            <w:r>
              <w:rPr>
                <w:spacing w:val="-2"/>
                <w:sz w:val="20"/>
              </w:rPr>
              <w:t>Measure</w:t>
            </w:r>
          </w:p>
        </w:tc>
        <w:tc>
          <w:tcPr>
            <w:tcW w:w="1630" w:type="dxa"/>
            <w:tcBorders>
              <w:top w:val="single" w:sz="6" w:space="0" w:color="000000"/>
              <w:left w:val="single" w:sz="2" w:space="0" w:color="BEBEBE"/>
              <w:bottom w:val="single" w:sz="2" w:space="0" w:color="BEBEBE"/>
              <w:right w:val="single" w:sz="2" w:space="0" w:color="BEBEBE"/>
            </w:tcBorders>
            <w:shd w:val="clear" w:color="auto" w:fill="D9D9D9"/>
          </w:tcPr>
          <w:p>
            <w:pPr>
              <w:pStyle w:val="TableParagraph"/>
              <w:spacing w:line="229" w:lineRule="exact"/>
              <w:ind w:left="270"/>
              <w:rPr>
                <w:sz w:val="20"/>
              </w:rPr>
            </w:pPr>
            <w:r>
              <w:rPr>
                <w:sz w:val="20"/>
              </w:rPr>
              <w:t>BP2</w:t>
            </w:r>
            <w:r>
              <w:rPr>
                <w:spacing w:val="-2"/>
                <w:sz w:val="20"/>
              </w:rPr>
              <w:t> CP/CSA</w:t>
            </w:r>
          </w:p>
          <w:p>
            <w:pPr>
              <w:pStyle w:val="TableParagraph"/>
              <w:spacing w:line="209" w:lineRule="exact"/>
              <w:ind w:left="337"/>
              <w:rPr>
                <w:sz w:val="20"/>
              </w:rPr>
            </w:pPr>
            <w:r>
              <w:rPr>
                <w:sz w:val="20"/>
              </w:rPr>
              <w:t>Actual</w:t>
            </w:r>
            <w:r>
              <w:rPr>
                <w:spacing w:val="-7"/>
                <w:sz w:val="20"/>
              </w:rPr>
              <w:t> </w:t>
            </w:r>
            <w:r>
              <w:rPr>
                <w:spacing w:val="-4"/>
                <w:sz w:val="20"/>
              </w:rPr>
              <w:t>Rate</w:t>
            </w:r>
          </w:p>
        </w:tc>
        <w:tc>
          <w:tcPr>
            <w:tcW w:w="1892" w:type="dxa"/>
            <w:tcBorders>
              <w:top w:val="single" w:sz="6" w:space="0" w:color="000000"/>
              <w:left w:val="single" w:sz="2" w:space="0" w:color="BEBEBE"/>
              <w:bottom w:val="single" w:sz="2" w:space="0" w:color="BEBEBE"/>
              <w:right w:val="single" w:sz="2" w:space="0" w:color="BEBEBE"/>
            </w:tcBorders>
            <w:shd w:val="clear" w:color="auto" w:fill="D9D9D9"/>
          </w:tcPr>
          <w:p>
            <w:pPr>
              <w:pStyle w:val="TableParagraph"/>
              <w:spacing w:line="228" w:lineRule="exact"/>
              <w:ind w:left="634" w:right="348" w:hanging="286"/>
              <w:rPr>
                <w:sz w:val="20"/>
              </w:rPr>
            </w:pPr>
            <w:r>
              <w:rPr>
                <w:sz w:val="20"/>
              </w:rPr>
              <w:t>BP2</w:t>
            </w:r>
            <w:r>
              <w:rPr>
                <w:spacing w:val="-13"/>
                <w:sz w:val="20"/>
              </w:rPr>
              <w:t> </w:t>
            </w:r>
            <w:r>
              <w:rPr>
                <w:sz w:val="20"/>
              </w:rPr>
              <w:t>Statewide </w:t>
            </w:r>
            <w:r>
              <w:rPr>
                <w:spacing w:val="-2"/>
                <w:sz w:val="20"/>
              </w:rPr>
              <w:t>Median</w:t>
            </w:r>
          </w:p>
        </w:tc>
        <w:tc>
          <w:tcPr>
            <w:tcW w:w="1801" w:type="dxa"/>
            <w:tcBorders>
              <w:top w:val="single" w:sz="6" w:space="0" w:color="000000"/>
              <w:left w:val="single" w:sz="2" w:space="0" w:color="BEBEBE"/>
              <w:bottom w:val="single" w:sz="2" w:space="0" w:color="BEBEBE"/>
              <w:right w:val="single" w:sz="2" w:space="0" w:color="BEBEBE"/>
            </w:tcBorders>
            <w:shd w:val="clear" w:color="auto" w:fill="D9D9D9"/>
          </w:tcPr>
          <w:p>
            <w:pPr>
              <w:pStyle w:val="TableParagraph"/>
              <w:spacing w:line="228" w:lineRule="exact"/>
              <w:ind w:left="326" w:right="173" w:hanging="149"/>
              <w:rPr>
                <w:sz w:val="20"/>
              </w:rPr>
            </w:pPr>
            <w:r>
              <w:rPr>
                <w:sz w:val="20"/>
              </w:rPr>
              <w:t>Performance</w:t>
            </w:r>
            <w:r>
              <w:rPr>
                <w:spacing w:val="-13"/>
                <w:sz w:val="20"/>
              </w:rPr>
              <w:t> </w:t>
            </w:r>
            <w:r>
              <w:rPr>
                <w:sz w:val="20"/>
              </w:rPr>
              <w:t>Rate Used For BP3</w:t>
            </w:r>
          </w:p>
        </w:tc>
        <w:tc>
          <w:tcPr>
            <w:tcW w:w="1890" w:type="dxa"/>
            <w:tcBorders>
              <w:top w:val="single" w:sz="6" w:space="0" w:color="000000"/>
              <w:left w:val="single" w:sz="2" w:space="0" w:color="BEBEBE"/>
              <w:bottom w:val="single" w:sz="2" w:space="0" w:color="BEBEBE"/>
              <w:right w:val="single" w:sz="2" w:space="0" w:color="BEBEBE"/>
            </w:tcBorders>
            <w:shd w:val="clear" w:color="auto" w:fill="D9D9D9"/>
          </w:tcPr>
          <w:p>
            <w:pPr>
              <w:pStyle w:val="TableParagraph"/>
              <w:ind w:left="323" w:right="333"/>
              <w:jc w:val="center"/>
              <w:rPr>
                <w:sz w:val="20"/>
              </w:rPr>
            </w:pPr>
            <w:r>
              <w:rPr>
                <w:sz w:val="20"/>
              </w:rPr>
              <w:t>Raw</w:t>
            </w:r>
            <w:r>
              <w:rPr>
                <w:spacing w:val="-6"/>
                <w:sz w:val="20"/>
              </w:rPr>
              <w:t> </w:t>
            </w:r>
            <w:r>
              <w:rPr>
                <w:sz w:val="20"/>
              </w:rPr>
              <w:t>Point</w:t>
            </w:r>
            <w:r>
              <w:rPr>
                <w:spacing w:val="-3"/>
                <w:sz w:val="20"/>
              </w:rPr>
              <w:t> </w:t>
            </w:r>
            <w:r>
              <w:rPr>
                <w:spacing w:val="-5"/>
                <w:sz w:val="20"/>
              </w:rPr>
              <w:t>Cap</w:t>
            </w:r>
          </w:p>
        </w:tc>
        <w:tc>
          <w:tcPr>
            <w:tcW w:w="184" w:type="dxa"/>
            <w:vMerge w:val="restart"/>
            <w:tcBorders>
              <w:left w:val="single" w:sz="2" w:space="0" w:color="BEBEBE"/>
              <w:bottom w:val="nil"/>
              <w:right w:val="nil"/>
            </w:tcBorders>
          </w:tcPr>
          <w:p>
            <w:pPr>
              <w:pStyle w:val="TableParagraph"/>
              <w:rPr>
                <w:sz w:val="20"/>
              </w:rPr>
            </w:pPr>
          </w:p>
        </w:tc>
      </w:tr>
      <w:tr>
        <w:trPr>
          <w:trHeight w:val="230" w:hRule="atLeast"/>
        </w:trPr>
        <w:tc>
          <w:tcPr>
            <w:tcW w:w="718" w:type="dxa"/>
            <w:vMerge/>
            <w:tcBorders>
              <w:top w:val="nil"/>
              <w:left w:val="nil"/>
              <w:bottom w:val="nil"/>
              <w:right w:val="single" w:sz="2" w:space="0" w:color="BEBEBE"/>
            </w:tcBorders>
          </w:tcPr>
          <w:p>
            <w:pPr>
              <w:rPr>
                <w:sz w:val="2"/>
                <w:szCs w:val="2"/>
              </w:rPr>
            </w:pPr>
          </w:p>
        </w:tc>
        <w:tc>
          <w:tcPr>
            <w:tcW w:w="1251" w:type="dxa"/>
            <w:tcBorders>
              <w:top w:val="single" w:sz="2" w:space="0" w:color="BEBEBE"/>
              <w:left w:val="single" w:sz="2" w:space="0" w:color="BEBEBE"/>
              <w:bottom w:val="single" w:sz="2" w:space="0" w:color="BEBEBE"/>
              <w:right w:val="single" w:sz="2" w:space="0" w:color="BEBEBE"/>
            </w:tcBorders>
            <w:shd w:val="clear" w:color="auto" w:fill="D9E1F3"/>
          </w:tcPr>
          <w:p>
            <w:pPr>
              <w:pStyle w:val="TableParagraph"/>
              <w:spacing w:line="210" w:lineRule="exact"/>
              <w:ind w:right="1"/>
              <w:jc w:val="center"/>
              <w:rPr>
                <w:sz w:val="20"/>
              </w:rPr>
            </w:pPr>
            <w:r>
              <w:rPr>
                <w:w w:val="99"/>
                <w:sz w:val="20"/>
              </w:rPr>
              <w:t>A</w:t>
            </w:r>
          </w:p>
        </w:tc>
        <w:tc>
          <w:tcPr>
            <w:tcW w:w="1630" w:type="dxa"/>
            <w:tcBorders>
              <w:top w:val="single" w:sz="2" w:space="0" w:color="BEBEBE"/>
              <w:left w:val="single" w:sz="2" w:space="0" w:color="BEBEBE"/>
              <w:bottom w:val="single" w:sz="2" w:space="0" w:color="BEBEBE"/>
              <w:right w:val="single" w:sz="2" w:space="0" w:color="BEBEBE"/>
            </w:tcBorders>
          </w:tcPr>
          <w:p>
            <w:pPr>
              <w:pStyle w:val="TableParagraph"/>
              <w:spacing w:line="210" w:lineRule="exact"/>
              <w:ind w:left="539" w:right="538"/>
              <w:jc w:val="center"/>
              <w:rPr>
                <w:sz w:val="20"/>
              </w:rPr>
            </w:pPr>
            <w:r>
              <w:rPr>
                <w:spacing w:val="-2"/>
                <w:sz w:val="20"/>
              </w:rPr>
              <w:t>73.0%</w:t>
            </w:r>
          </w:p>
        </w:tc>
        <w:tc>
          <w:tcPr>
            <w:tcW w:w="1892" w:type="dxa"/>
            <w:tcBorders>
              <w:top w:val="single" w:sz="2" w:space="0" w:color="BEBEBE"/>
              <w:left w:val="single" w:sz="2" w:space="0" w:color="BEBEBE"/>
              <w:bottom w:val="single" w:sz="2" w:space="0" w:color="BEBEBE"/>
              <w:right w:val="single" w:sz="2" w:space="0" w:color="BEBEBE"/>
            </w:tcBorders>
          </w:tcPr>
          <w:p>
            <w:pPr>
              <w:pStyle w:val="TableParagraph"/>
              <w:spacing w:line="210" w:lineRule="exact"/>
              <w:ind w:left="669" w:right="669"/>
              <w:jc w:val="center"/>
              <w:rPr>
                <w:sz w:val="20"/>
              </w:rPr>
            </w:pPr>
            <w:r>
              <w:rPr>
                <w:spacing w:val="-2"/>
                <w:sz w:val="20"/>
              </w:rPr>
              <w:t>74.0%</w:t>
            </w:r>
          </w:p>
        </w:tc>
        <w:tc>
          <w:tcPr>
            <w:tcW w:w="1801" w:type="dxa"/>
            <w:tcBorders>
              <w:top w:val="single" w:sz="2" w:space="0" w:color="BEBEBE"/>
              <w:left w:val="single" w:sz="2" w:space="0" w:color="BEBEBE"/>
              <w:bottom w:val="single" w:sz="2" w:space="0" w:color="BEBEBE"/>
              <w:right w:val="single" w:sz="2" w:space="0" w:color="BEBEBE"/>
            </w:tcBorders>
          </w:tcPr>
          <w:p>
            <w:pPr>
              <w:pStyle w:val="TableParagraph"/>
              <w:spacing w:line="210" w:lineRule="exact"/>
              <w:ind w:left="636"/>
              <w:rPr>
                <w:sz w:val="20"/>
              </w:rPr>
            </w:pPr>
            <w:r>
              <w:rPr>
                <w:spacing w:val="-2"/>
                <w:sz w:val="20"/>
              </w:rPr>
              <w:t>74.0%</w:t>
            </w:r>
          </w:p>
        </w:tc>
        <w:tc>
          <w:tcPr>
            <w:tcW w:w="1890" w:type="dxa"/>
            <w:tcBorders>
              <w:top w:val="single" w:sz="2" w:space="0" w:color="BEBEBE"/>
              <w:left w:val="single" w:sz="2" w:space="0" w:color="BEBEBE"/>
              <w:bottom w:val="single" w:sz="2" w:space="0" w:color="BEBEBE"/>
              <w:right w:val="single" w:sz="2" w:space="0" w:color="BEBEBE"/>
            </w:tcBorders>
          </w:tcPr>
          <w:p>
            <w:pPr>
              <w:pStyle w:val="TableParagraph"/>
              <w:spacing w:line="210" w:lineRule="exact"/>
              <w:ind w:left="323" w:right="331"/>
              <w:jc w:val="center"/>
              <w:rPr>
                <w:sz w:val="20"/>
              </w:rPr>
            </w:pPr>
            <w:r>
              <w:rPr>
                <w:spacing w:val="-5"/>
                <w:sz w:val="20"/>
              </w:rPr>
              <w:t>No</w:t>
            </w:r>
          </w:p>
        </w:tc>
        <w:tc>
          <w:tcPr>
            <w:tcW w:w="184" w:type="dxa"/>
            <w:vMerge/>
            <w:tcBorders>
              <w:top w:val="nil"/>
              <w:left w:val="single" w:sz="2" w:space="0" w:color="BEBEBE"/>
              <w:bottom w:val="nil"/>
              <w:right w:val="nil"/>
            </w:tcBorders>
          </w:tcPr>
          <w:p>
            <w:pPr>
              <w:rPr>
                <w:sz w:val="2"/>
                <w:szCs w:val="2"/>
              </w:rPr>
            </w:pPr>
          </w:p>
        </w:tc>
      </w:tr>
      <w:tr>
        <w:trPr>
          <w:trHeight w:val="230" w:hRule="atLeast"/>
        </w:trPr>
        <w:tc>
          <w:tcPr>
            <w:tcW w:w="718" w:type="dxa"/>
            <w:vMerge/>
            <w:tcBorders>
              <w:top w:val="nil"/>
              <w:left w:val="nil"/>
              <w:bottom w:val="nil"/>
              <w:right w:val="single" w:sz="2" w:space="0" w:color="BEBEBE"/>
            </w:tcBorders>
          </w:tcPr>
          <w:p>
            <w:pPr>
              <w:rPr>
                <w:sz w:val="2"/>
                <w:szCs w:val="2"/>
              </w:rPr>
            </w:pPr>
          </w:p>
        </w:tc>
        <w:tc>
          <w:tcPr>
            <w:tcW w:w="1251" w:type="dxa"/>
            <w:tcBorders>
              <w:top w:val="single" w:sz="2" w:space="0" w:color="BEBEBE"/>
              <w:left w:val="single" w:sz="2" w:space="0" w:color="BEBEBE"/>
              <w:bottom w:val="single" w:sz="2" w:space="0" w:color="BEBEBE"/>
              <w:right w:val="single" w:sz="2" w:space="0" w:color="BEBEBE"/>
            </w:tcBorders>
            <w:shd w:val="clear" w:color="auto" w:fill="D9E1F3"/>
          </w:tcPr>
          <w:p>
            <w:pPr>
              <w:pStyle w:val="TableParagraph"/>
              <w:spacing w:line="210" w:lineRule="exact"/>
              <w:ind w:right="3"/>
              <w:jc w:val="center"/>
              <w:rPr>
                <w:sz w:val="20"/>
              </w:rPr>
            </w:pPr>
            <w:r>
              <w:rPr>
                <w:w w:val="99"/>
                <w:sz w:val="20"/>
              </w:rPr>
              <w:t>B</w:t>
            </w:r>
          </w:p>
        </w:tc>
        <w:tc>
          <w:tcPr>
            <w:tcW w:w="1630" w:type="dxa"/>
            <w:tcBorders>
              <w:top w:val="single" w:sz="2" w:space="0" w:color="BEBEBE"/>
              <w:left w:val="single" w:sz="2" w:space="0" w:color="BEBEBE"/>
              <w:bottom w:val="single" w:sz="2" w:space="0" w:color="BEBEBE"/>
              <w:right w:val="single" w:sz="2" w:space="0" w:color="BEBEBE"/>
            </w:tcBorders>
          </w:tcPr>
          <w:p>
            <w:pPr>
              <w:pStyle w:val="TableParagraph"/>
              <w:spacing w:line="210" w:lineRule="exact"/>
              <w:ind w:left="539" w:right="538"/>
              <w:jc w:val="center"/>
              <w:rPr>
                <w:sz w:val="20"/>
              </w:rPr>
            </w:pPr>
            <w:r>
              <w:rPr>
                <w:spacing w:val="-2"/>
                <w:sz w:val="20"/>
              </w:rPr>
              <w:t>73.0%</w:t>
            </w:r>
          </w:p>
        </w:tc>
        <w:tc>
          <w:tcPr>
            <w:tcW w:w="1892" w:type="dxa"/>
            <w:tcBorders>
              <w:top w:val="single" w:sz="2" w:space="0" w:color="BEBEBE"/>
              <w:left w:val="single" w:sz="2" w:space="0" w:color="BEBEBE"/>
              <w:bottom w:val="single" w:sz="2" w:space="0" w:color="BEBEBE"/>
              <w:right w:val="single" w:sz="2" w:space="0" w:color="BEBEBE"/>
            </w:tcBorders>
          </w:tcPr>
          <w:p>
            <w:pPr>
              <w:pStyle w:val="TableParagraph"/>
              <w:spacing w:line="210" w:lineRule="exact"/>
              <w:ind w:left="669" w:right="669"/>
              <w:jc w:val="center"/>
              <w:rPr>
                <w:sz w:val="20"/>
              </w:rPr>
            </w:pPr>
            <w:r>
              <w:rPr>
                <w:spacing w:val="-2"/>
                <w:sz w:val="20"/>
              </w:rPr>
              <w:t>70.0%</w:t>
            </w:r>
          </w:p>
        </w:tc>
        <w:tc>
          <w:tcPr>
            <w:tcW w:w="1801" w:type="dxa"/>
            <w:tcBorders>
              <w:top w:val="single" w:sz="2" w:space="0" w:color="BEBEBE"/>
              <w:left w:val="single" w:sz="2" w:space="0" w:color="BEBEBE"/>
              <w:bottom w:val="single" w:sz="2" w:space="0" w:color="BEBEBE"/>
              <w:right w:val="single" w:sz="2" w:space="0" w:color="BEBEBE"/>
            </w:tcBorders>
          </w:tcPr>
          <w:p>
            <w:pPr>
              <w:pStyle w:val="TableParagraph"/>
              <w:spacing w:line="210" w:lineRule="exact"/>
              <w:ind w:left="636"/>
              <w:rPr>
                <w:sz w:val="20"/>
              </w:rPr>
            </w:pPr>
            <w:r>
              <w:rPr>
                <w:spacing w:val="-2"/>
                <w:sz w:val="20"/>
              </w:rPr>
              <w:t>73.0%</w:t>
            </w:r>
          </w:p>
        </w:tc>
        <w:tc>
          <w:tcPr>
            <w:tcW w:w="1890" w:type="dxa"/>
            <w:tcBorders>
              <w:top w:val="single" w:sz="2" w:space="0" w:color="BEBEBE"/>
              <w:left w:val="single" w:sz="2" w:space="0" w:color="BEBEBE"/>
              <w:bottom w:val="single" w:sz="2" w:space="0" w:color="BEBEBE"/>
              <w:right w:val="single" w:sz="2" w:space="0" w:color="BEBEBE"/>
            </w:tcBorders>
          </w:tcPr>
          <w:p>
            <w:pPr>
              <w:pStyle w:val="TableParagraph"/>
              <w:spacing w:line="210" w:lineRule="exact"/>
              <w:ind w:left="323" w:right="331"/>
              <w:jc w:val="center"/>
              <w:rPr>
                <w:sz w:val="20"/>
              </w:rPr>
            </w:pPr>
            <w:r>
              <w:rPr>
                <w:spacing w:val="-5"/>
                <w:sz w:val="20"/>
              </w:rPr>
              <w:t>No</w:t>
            </w:r>
          </w:p>
        </w:tc>
        <w:tc>
          <w:tcPr>
            <w:tcW w:w="184" w:type="dxa"/>
            <w:vMerge/>
            <w:tcBorders>
              <w:top w:val="nil"/>
              <w:left w:val="single" w:sz="2" w:space="0" w:color="BEBEBE"/>
              <w:bottom w:val="nil"/>
              <w:right w:val="nil"/>
            </w:tcBorders>
          </w:tcPr>
          <w:p>
            <w:pPr>
              <w:rPr>
                <w:sz w:val="2"/>
                <w:szCs w:val="2"/>
              </w:rPr>
            </w:pPr>
          </w:p>
        </w:tc>
      </w:tr>
      <w:tr>
        <w:trPr>
          <w:trHeight w:val="230" w:hRule="atLeast"/>
        </w:trPr>
        <w:tc>
          <w:tcPr>
            <w:tcW w:w="718" w:type="dxa"/>
            <w:vMerge/>
            <w:tcBorders>
              <w:top w:val="nil"/>
              <w:left w:val="nil"/>
              <w:bottom w:val="nil"/>
              <w:right w:val="single" w:sz="2" w:space="0" w:color="BEBEBE"/>
            </w:tcBorders>
          </w:tcPr>
          <w:p>
            <w:pPr>
              <w:rPr>
                <w:sz w:val="2"/>
                <w:szCs w:val="2"/>
              </w:rPr>
            </w:pPr>
          </w:p>
        </w:tc>
        <w:tc>
          <w:tcPr>
            <w:tcW w:w="1251" w:type="dxa"/>
            <w:tcBorders>
              <w:top w:val="single" w:sz="2" w:space="0" w:color="BEBEBE"/>
              <w:left w:val="single" w:sz="2" w:space="0" w:color="BEBEBE"/>
              <w:bottom w:val="single" w:sz="2" w:space="0" w:color="BEBEBE"/>
              <w:right w:val="single" w:sz="2" w:space="0" w:color="BEBEBE"/>
            </w:tcBorders>
            <w:shd w:val="clear" w:color="auto" w:fill="D9E1F3"/>
          </w:tcPr>
          <w:p>
            <w:pPr>
              <w:pStyle w:val="TableParagraph"/>
              <w:spacing w:line="210" w:lineRule="exact"/>
              <w:ind w:right="3"/>
              <w:jc w:val="center"/>
              <w:rPr>
                <w:sz w:val="20"/>
              </w:rPr>
            </w:pPr>
            <w:r>
              <w:rPr>
                <w:w w:val="99"/>
                <w:sz w:val="20"/>
              </w:rPr>
              <w:t>C</w:t>
            </w:r>
          </w:p>
        </w:tc>
        <w:tc>
          <w:tcPr>
            <w:tcW w:w="1630" w:type="dxa"/>
            <w:tcBorders>
              <w:top w:val="single" w:sz="2" w:space="0" w:color="BEBEBE"/>
              <w:left w:val="single" w:sz="2" w:space="0" w:color="BEBEBE"/>
              <w:bottom w:val="single" w:sz="2" w:space="0" w:color="BEBEBE"/>
              <w:right w:val="single" w:sz="2" w:space="0" w:color="BEBEBE"/>
            </w:tcBorders>
          </w:tcPr>
          <w:p>
            <w:pPr>
              <w:pStyle w:val="TableParagraph"/>
              <w:spacing w:line="210" w:lineRule="exact"/>
              <w:ind w:left="539" w:right="538"/>
              <w:jc w:val="center"/>
              <w:rPr>
                <w:sz w:val="20"/>
              </w:rPr>
            </w:pPr>
            <w:r>
              <w:rPr>
                <w:spacing w:val="-2"/>
                <w:sz w:val="20"/>
              </w:rPr>
              <w:t>73.0%</w:t>
            </w:r>
          </w:p>
        </w:tc>
        <w:tc>
          <w:tcPr>
            <w:tcW w:w="1892" w:type="dxa"/>
            <w:tcBorders>
              <w:top w:val="single" w:sz="2" w:space="0" w:color="BEBEBE"/>
              <w:left w:val="single" w:sz="2" w:space="0" w:color="BEBEBE"/>
              <w:bottom w:val="single" w:sz="2" w:space="0" w:color="BEBEBE"/>
              <w:right w:val="single" w:sz="2" w:space="0" w:color="BEBEBE"/>
            </w:tcBorders>
          </w:tcPr>
          <w:p>
            <w:pPr>
              <w:pStyle w:val="TableParagraph"/>
              <w:spacing w:line="210" w:lineRule="exact"/>
              <w:ind w:left="669" w:right="669"/>
              <w:jc w:val="center"/>
              <w:rPr>
                <w:sz w:val="20"/>
              </w:rPr>
            </w:pPr>
            <w:r>
              <w:rPr>
                <w:spacing w:val="-2"/>
                <w:sz w:val="20"/>
              </w:rPr>
              <w:t>80.0%</w:t>
            </w:r>
          </w:p>
        </w:tc>
        <w:tc>
          <w:tcPr>
            <w:tcW w:w="1801" w:type="dxa"/>
            <w:tcBorders>
              <w:top w:val="single" w:sz="2" w:space="0" w:color="BEBEBE"/>
              <w:left w:val="single" w:sz="2" w:space="0" w:color="BEBEBE"/>
              <w:bottom w:val="single" w:sz="2" w:space="0" w:color="BEBEBE"/>
              <w:right w:val="single" w:sz="2" w:space="0" w:color="BEBEBE"/>
            </w:tcBorders>
          </w:tcPr>
          <w:p>
            <w:pPr>
              <w:pStyle w:val="TableParagraph"/>
              <w:spacing w:line="210" w:lineRule="exact"/>
              <w:ind w:left="636"/>
              <w:rPr>
                <w:sz w:val="20"/>
              </w:rPr>
            </w:pPr>
            <w:r>
              <w:rPr>
                <w:spacing w:val="-2"/>
                <w:sz w:val="20"/>
              </w:rPr>
              <w:t>80.0%</w:t>
            </w:r>
          </w:p>
        </w:tc>
        <w:tc>
          <w:tcPr>
            <w:tcW w:w="1890" w:type="dxa"/>
            <w:tcBorders>
              <w:top w:val="single" w:sz="2" w:space="0" w:color="BEBEBE"/>
              <w:left w:val="single" w:sz="2" w:space="0" w:color="BEBEBE"/>
              <w:bottom w:val="single" w:sz="2" w:space="0" w:color="BEBEBE"/>
              <w:right w:val="single" w:sz="2" w:space="0" w:color="BEBEBE"/>
            </w:tcBorders>
          </w:tcPr>
          <w:p>
            <w:pPr>
              <w:pStyle w:val="TableParagraph"/>
              <w:spacing w:line="210" w:lineRule="exact"/>
              <w:ind w:left="323" w:right="331"/>
              <w:jc w:val="center"/>
              <w:rPr>
                <w:sz w:val="20"/>
              </w:rPr>
            </w:pPr>
            <w:r>
              <w:rPr>
                <w:spacing w:val="-5"/>
                <w:sz w:val="20"/>
              </w:rPr>
              <w:t>No</w:t>
            </w:r>
          </w:p>
        </w:tc>
        <w:tc>
          <w:tcPr>
            <w:tcW w:w="184" w:type="dxa"/>
            <w:vMerge/>
            <w:tcBorders>
              <w:top w:val="nil"/>
              <w:left w:val="single" w:sz="2" w:space="0" w:color="BEBEBE"/>
              <w:bottom w:val="nil"/>
              <w:right w:val="nil"/>
            </w:tcBorders>
          </w:tcPr>
          <w:p>
            <w:pPr>
              <w:rPr>
                <w:sz w:val="2"/>
                <w:szCs w:val="2"/>
              </w:rPr>
            </w:pPr>
          </w:p>
        </w:tc>
      </w:tr>
      <w:tr>
        <w:trPr>
          <w:trHeight w:val="230" w:hRule="atLeast"/>
        </w:trPr>
        <w:tc>
          <w:tcPr>
            <w:tcW w:w="718" w:type="dxa"/>
            <w:vMerge/>
            <w:tcBorders>
              <w:top w:val="nil"/>
              <w:left w:val="nil"/>
              <w:bottom w:val="nil"/>
              <w:right w:val="single" w:sz="2" w:space="0" w:color="BEBEBE"/>
            </w:tcBorders>
          </w:tcPr>
          <w:p>
            <w:pPr>
              <w:rPr>
                <w:sz w:val="2"/>
                <w:szCs w:val="2"/>
              </w:rPr>
            </w:pPr>
          </w:p>
        </w:tc>
        <w:tc>
          <w:tcPr>
            <w:tcW w:w="1251" w:type="dxa"/>
            <w:tcBorders>
              <w:top w:val="single" w:sz="2" w:space="0" w:color="BEBEBE"/>
              <w:left w:val="single" w:sz="2" w:space="0" w:color="BEBEBE"/>
              <w:bottom w:val="single" w:sz="2" w:space="0" w:color="BEBEBE"/>
              <w:right w:val="single" w:sz="2" w:space="0" w:color="BEBEBE"/>
            </w:tcBorders>
            <w:shd w:val="clear" w:color="auto" w:fill="D9E1F3"/>
          </w:tcPr>
          <w:p>
            <w:pPr>
              <w:pStyle w:val="TableParagraph"/>
              <w:spacing w:line="210" w:lineRule="exact"/>
              <w:ind w:right="1"/>
              <w:jc w:val="center"/>
              <w:rPr>
                <w:sz w:val="20"/>
              </w:rPr>
            </w:pPr>
            <w:r>
              <w:rPr>
                <w:w w:val="99"/>
                <w:sz w:val="20"/>
              </w:rPr>
              <w:t>D</w:t>
            </w:r>
          </w:p>
        </w:tc>
        <w:tc>
          <w:tcPr>
            <w:tcW w:w="1630" w:type="dxa"/>
            <w:tcBorders>
              <w:top w:val="single" w:sz="2" w:space="0" w:color="BEBEBE"/>
              <w:left w:val="single" w:sz="2" w:space="0" w:color="BEBEBE"/>
              <w:bottom w:val="single" w:sz="2" w:space="0" w:color="BEBEBE"/>
              <w:right w:val="single" w:sz="2" w:space="0" w:color="BEBEBE"/>
            </w:tcBorders>
          </w:tcPr>
          <w:p>
            <w:pPr>
              <w:pStyle w:val="TableParagraph"/>
              <w:spacing w:line="210" w:lineRule="exact"/>
              <w:ind w:left="539" w:right="538"/>
              <w:jc w:val="center"/>
              <w:rPr>
                <w:sz w:val="20"/>
              </w:rPr>
            </w:pPr>
            <w:r>
              <w:rPr>
                <w:spacing w:val="-2"/>
                <w:sz w:val="20"/>
              </w:rPr>
              <w:t>73.0%</w:t>
            </w:r>
          </w:p>
        </w:tc>
        <w:tc>
          <w:tcPr>
            <w:tcW w:w="1892" w:type="dxa"/>
            <w:tcBorders>
              <w:top w:val="single" w:sz="2" w:space="0" w:color="BEBEBE"/>
              <w:left w:val="single" w:sz="2" w:space="0" w:color="BEBEBE"/>
              <w:bottom w:val="single" w:sz="2" w:space="0" w:color="BEBEBE"/>
              <w:right w:val="single" w:sz="2" w:space="0" w:color="BEBEBE"/>
            </w:tcBorders>
          </w:tcPr>
          <w:p>
            <w:pPr>
              <w:pStyle w:val="TableParagraph"/>
              <w:spacing w:line="210" w:lineRule="exact"/>
              <w:ind w:left="669" w:right="670"/>
              <w:jc w:val="center"/>
              <w:rPr>
                <w:sz w:val="20"/>
              </w:rPr>
            </w:pPr>
            <w:r>
              <w:rPr>
                <w:spacing w:val="-2"/>
                <w:sz w:val="20"/>
              </w:rPr>
              <w:t>89.0%</w:t>
            </w:r>
          </w:p>
        </w:tc>
        <w:tc>
          <w:tcPr>
            <w:tcW w:w="1801" w:type="dxa"/>
            <w:tcBorders>
              <w:top w:val="single" w:sz="2" w:space="0" w:color="BEBEBE"/>
              <w:left w:val="single" w:sz="2" w:space="0" w:color="BEBEBE"/>
              <w:bottom w:val="single" w:sz="2" w:space="0" w:color="BEBEBE"/>
              <w:right w:val="single" w:sz="2" w:space="0" w:color="BEBEBE"/>
            </w:tcBorders>
          </w:tcPr>
          <w:p>
            <w:pPr>
              <w:pStyle w:val="TableParagraph"/>
              <w:spacing w:line="210" w:lineRule="exact"/>
              <w:ind w:left="636"/>
              <w:rPr>
                <w:sz w:val="20"/>
              </w:rPr>
            </w:pPr>
            <w:r>
              <w:rPr>
                <w:spacing w:val="-2"/>
                <w:sz w:val="20"/>
              </w:rPr>
              <w:t>88.0%*</w:t>
            </w:r>
          </w:p>
        </w:tc>
        <w:tc>
          <w:tcPr>
            <w:tcW w:w="1890" w:type="dxa"/>
            <w:tcBorders>
              <w:top w:val="single" w:sz="2" w:space="0" w:color="BEBEBE"/>
              <w:left w:val="single" w:sz="2" w:space="0" w:color="BEBEBE"/>
              <w:bottom w:val="single" w:sz="2" w:space="0" w:color="BEBEBE"/>
              <w:right w:val="single" w:sz="2" w:space="0" w:color="BEBEBE"/>
            </w:tcBorders>
          </w:tcPr>
          <w:p>
            <w:pPr>
              <w:pStyle w:val="TableParagraph"/>
              <w:spacing w:line="210" w:lineRule="exact"/>
              <w:ind w:left="323" w:right="332"/>
              <w:jc w:val="center"/>
              <w:rPr>
                <w:sz w:val="20"/>
              </w:rPr>
            </w:pPr>
            <w:r>
              <w:rPr>
                <w:spacing w:val="-5"/>
                <w:sz w:val="20"/>
              </w:rPr>
              <w:t>Yes</w:t>
            </w:r>
          </w:p>
        </w:tc>
        <w:tc>
          <w:tcPr>
            <w:tcW w:w="184" w:type="dxa"/>
            <w:vMerge/>
            <w:tcBorders>
              <w:top w:val="nil"/>
              <w:left w:val="single" w:sz="2" w:space="0" w:color="BEBEBE"/>
              <w:bottom w:val="nil"/>
              <w:right w:val="nil"/>
            </w:tcBorders>
          </w:tcPr>
          <w:p>
            <w:pPr>
              <w:rPr>
                <w:sz w:val="2"/>
                <w:szCs w:val="2"/>
              </w:rPr>
            </w:pPr>
          </w:p>
        </w:tc>
      </w:tr>
    </w:tbl>
    <w:p>
      <w:pPr>
        <w:spacing w:before="1"/>
        <w:ind w:left="1220" w:right="0" w:firstLine="0"/>
        <w:jc w:val="left"/>
        <w:rPr>
          <w:sz w:val="20"/>
        </w:rPr>
      </w:pPr>
      <w:r>
        <w:rPr>
          <w:sz w:val="20"/>
        </w:rPr>
        <w:t>*BP3</w:t>
      </w:r>
      <w:r>
        <w:rPr>
          <w:spacing w:val="-4"/>
          <w:sz w:val="20"/>
        </w:rPr>
        <w:t> </w:t>
      </w:r>
      <w:r>
        <w:rPr>
          <w:sz w:val="20"/>
        </w:rPr>
        <w:t>Rate</w:t>
      </w:r>
      <w:r>
        <w:rPr>
          <w:spacing w:val="-4"/>
          <w:sz w:val="20"/>
        </w:rPr>
        <w:t> </w:t>
      </w:r>
      <w:r>
        <w:rPr>
          <w:sz w:val="20"/>
        </w:rPr>
        <w:t>‘capped’</w:t>
      </w:r>
      <w:r>
        <w:rPr>
          <w:spacing w:val="-7"/>
          <w:sz w:val="20"/>
        </w:rPr>
        <w:t> </w:t>
      </w:r>
      <w:r>
        <w:rPr>
          <w:sz w:val="20"/>
        </w:rPr>
        <w:t>at</w:t>
      </w:r>
      <w:r>
        <w:rPr>
          <w:spacing w:val="-4"/>
          <w:sz w:val="20"/>
        </w:rPr>
        <w:t> </w:t>
      </w:r>
      <w:r>
        <w:rPr>
          <w:sz w:val="20"/>
        </w:rPr>
        <w:t>88.0%</w:t>
      </w:r>
      <w:r>
        <w:rPr>
          <w:spacing w:val="-4"/>
          <w:sz w:val="20"/>
        </w:rPr>
        <w:t> </w:t>
      </w:r>
      <w:r>
        <w:rPr>
          <w:sz w:val="20"/>
        </w:rPr>
        <w:t>(i.e.,</w:t>
      </w:r>
      <w:r>
        <w:rPr>
          <w:spacing w:val="-4"/>
          <w:sz w:val="20"/>
        </w:rPr>
        <w:t> </w:t>
      </w:r>
      <w:r>
        <w:rPr>
          <w:sz w:val="20"/>
        </w:rPr>
        <w:t>73.0%</w:t>
      </w:r>
      <w:r>
        <w:rPr>
          <w:spacing w:val="-4"/>
          <w:sz w:val="20"/>
        </w:rPr>
        <w:t> </w:t>
      </w:r>
      <w:r>
        <w:rPr>
          <w:sz w:val="20"/>
        </w:rPr>
        <w:t>+</w:t>
      </w:r>
      <w:r>
        <w:rPr>
          <w:spacing w:val="-5"/>
          <w:sz w:val="20"/>
        </w:rPr>
        <w:t> </w:t>
      </w:r>
      <w:r>
        <w:rPr>
          <w:sz w:val="20"/>
        </w:rPr>
        <w:t>maximum</w:t>
      </w:r>
      <w:r>
        <w:rPr>
          <w:spacing w:val="-5"/>
          <w:sz w:val="20"/>
        </w:rPr>
        <w:t> </w:t>
      </w:r>
      <w:r>
        <w:rPr>
          <w:sz w:val="20"/>
        </w:rPr>
        <w:t>allowance</w:t>
      </w:r>
      <w:r>
        <w:rPr>
          <w:spacing w:val="-4"/>
          <w:sz w:val="20"/>
        </w:rPr>
        <w:t> </w:t>
      </w:r>
      <w:r>
        <w:rPr>
          <w:sz w:val="20"/>
        </w:rPr>
        <w:t>of</w:t>
      </w:r>
      <w:r>
        <w:rPr>
          <w:spacing w:val="-7"/>
          <w:sz w:val="20"/>
        </w:rPr>
        <w:t> </w:t>
      </w:r>
      <w:r>
        <w:rPr>
          <w:sz w:val="20"/>
        </w:rPr>
        <w:t>15.0</w:t>
      </w:r>
      <w:r>
        <w:rPr>
          <w:spacing w:val="-3"/>
          <w:sz w:val="20"/>
        </w:rPr>
        <w:t> </w:t>
      </w:r>
      <w:r>
        <w:rPr>
          <w:sz w:val="20"/>
        </w:rPr>
        <w:t>raw</w:t>
      </w:r>
      <w:r>
        <w:rPr>
          <w:spacing w:val="-9"/>
          <w:sz w:val="20"/>
        </w:rPr>
        <w:t> </w:t>
      </w:r>
      <w:r>
        <w:rPr>
          <w:sz w:val="20"/>
        </w:rPr>
        <w:t>points,</w:t>
      </w:r>
      <w:r>
        <w:rPr>
          <w:spacing w:val="-3"/>
          <w:sz w:val="20"/>
        </w:rPr>
        <w:t> </w:t>
      </w:r>
      <w:r>
        <w:rPr>
          <w:sz w:val="20"/>
        </w:rPr>
        <w:t>using</w:t>
      </w:r>
      <w:r>
        <w:rPr>
          <w:spacing w:val="-4"/>
          <w:sz w:val="20"/>
        </w:rPr>
        <w:t> </w:t>
      </w:r>
      <w:r>
        <w:rPr>
          <w:sz w:val="20"/>
        </w:rPr>
        <w:t>BP2</w:t>
      </w:r>
      <w:r>
        <w:rPr>
          <w:spacing w:val="-5"/>
          <w:sz w:val="20"/>
        </w:rPr>
        <w:t> </w:t>
      </w:r>
      <w:r>
        <w:rPr>
          <w:sz w:val="20"/>
        </w:rPr>
        <w:t>State</w:t>
      </w:r>
      <w:r>
        <w:rPr>
          <w:spacing w:val="-5"/>
          <w:sz w:val="20"/>
        </w:rPr>
        <w:t> </w:t>
      </w:r>
      <w:r>
        <w:rPr>
          <w:spacing w:val="-2"/>
          <w:sz w:val="20"/>
        </w:rPr>
        <w:t>Median)</w:t>
      </w:r>
    </w:p>
    <w:p>
      <w:pPr>
        <w:pStyle w:val="BodyText"/>
        <w:spacing w:before="2"/>
        <w:rPr>
          <w:sz w:val="23"/>
        </w:rPr>
      </w:pPr>
    </w:p>
    <w:p>
      <w:pPr>
        <w:spacing w:before="0"/>
        <w:ind w:left="1220" w:right="1104" w:firstLine="0"/>
        <w:jc w:val="left"/>
        <w:rPr>
          <w:sz w:val="20"/>
        </w:rPr>
      </w:pPr>
      <w:r>
        <w:rPr>
          <w:sz w:val="20"/>
        </w:rPr>
        <w:t>Results</w:t>
      </w:r>
      <w:r>
        <w:rPr>
          <w:spacing w:val="32"/>
          <w:sz w:val="20"/>
        </w:rPr>
        <w:t> </w:t>
      </w:r>
      <w:r>
        <w:rPr>
          <w:sz w:val="20"/>
        </w:rPr>
        <w:t>from</w:t>
      </w:r>
      <w:r>
        <w:rPr>
          <w:spacing w:val="27"/>
          <w:sz w:val="20"/>
        </w:rPr>
        <w:t> </w:t>
      </w:r>
      <w:r>
        <w:rPr>
          <w:sz w:val="20"/>
        </w:rPr>
        <w:t>the</w:t>
      </w:r>
      <w:r>
        <w:rPr>
          <w:spacing w:val="33"/>
          <w:sz w:val="20"/>
        </w:rPr>
        <w:t> </w:t>
      </w:r>
      <w:r>
        <w:rPr>
          <w:sz w:val="20"/>
        </w:rPr>
        <w:t>‘Performance</w:t>
      </w:r>
      <w:r>
        <w:rPr>
          <w:spacing w:val="31"/>
          <w:sz w:val="20"/>
        </w:rPr>
        <w:t> </w:t>
      </w:r>
      <w:r>
        <w:rPr>
          <w:sz w:val="20"/>
        </w:rPr>
        <w:t>Rate</w:t>
      </w:r>
      <w:r>
        <w:rPr>
          <w:spacing w:val="31"/>
          <w:sz w:val="20"/>
        </w:rPr>
        <w:t> </w:t>
      </w:r>
      <w:r>
        <w:rPr>
          <w:sz w:val="20"/>
        </w:rPr>
        <w:t>Used</w:t>
      </w:r>
      <w:r>
        <w:rPr>
          <w:spacing w:val="32"/>
          <w:sz w:val="20"/>
        </w:rPr>
        <w:t> </w:t>
      </w:r>
      <w:r>
        <w:rPr>
          <w:sz w:val="20"/>
        </w:rPr>
        <w:t>For</w:t>
      </w:r>
      <w:r>
        <w:rPr>
          <w:spacing w:val="31"/>
          <w:sz w:val="20"/>
        </w:rPr>
        <w:t> </w:t>
      </w:r>
      <w:r>
        <w:rPr>
          <w:sz w:val="20"/>
        </w:rPr>
        <w:t>BP3’</w:t>
      </w:r>
      <w:r>
        <w:rPr>
          <w:spacing w:val="29"/>
          <w:sz w:val="20"/>
        </w:rPr>
        <w:t> </w:t>
      </w:r>
      <w:r>
        <w:rPr>
          <w:sz w:val="20"/>
        </w:rPr>
        <w:t>column</w:t>
      </w:r>
      <w:r>
        <w:rPr>
          <w:spacing w:val="29"/>
          <w:sz w:val="20"/>
        </w:rPr>
        <w:t> </w:t>
      </w:r>
      <w:r>
        <w:rPr>
          <w:sz w:val="20"/>
        </w:rPr>
        <w:t>are</w:t>
      </w:r>
      <w:r>
        <w:rPr>
          <w:spacing w:val="31"/>
          <w:sz w:val="20"/>
        </w:rPr>
        <w:t> </w:t>
      </w:r>
      <w:r>
        <w:rPr>
          <w:sz w:val="20"/>
        </w:rPr>
        <w:t>then</w:t>
      </w:r>
      <w:r>
        <w:rPr>
          <w:spacing w:val="29"/>
          <w:sz w:val="20"/>
        </w:rPr>
        <w:t> </w:t>
      </w:r>
      <w:r>
        <w:rPr>
          <w:sz w:val="20"/>
        </w:rPr>
        <w:t>compared</w:t>
      </w:r>
      <w:r>
        <w:rPr>
          <w:spacing w:val="32"/>
          <w:sz w:val="20"/>
        </w:rPr>
        <w:t> </w:t>
      </w:r>
      <w:r>
        <w:rPr>
          <w:sz w:val="20"/>
        </w:rPr>
        <w:t>to</w:t>
      </w:r>
      <w:r>
        <w:rPr>
          <w:spacing w:val="32"/>
          <w:sz w:val="20"/>
        </w:rPr>
        <w:t> </w:t>
      </w:r>
      <w:r>
        <w:rPr>
          <w:sz w:val="20"/>
        </w:rPr>
        <w:t>measure</w:t>
      </w:r>
      <w:r>
        <w:rPr>
          <w:spacing w:val="31"/>
          <w:sz w:val="20"/>
        </w:rPr>
        <w:t> </w:t>
      </w:r>
      <w:r>
        <w:rPr>
          <w:sz w:val="20"/>
        </w:rPr>
        <w:t>benchmarks</w:t>
      </w:r>
      <w:r>
        <w:rPr>
          <w:spacing w:val="32"/>
          <w:sz w:val="20"/>
        </w:rPr>
        <w:t> </w:t>
      </w:r>
      <w:r>
        <w:rPr>
          <w:sz w:val="20"/>
        </w:rPr>
        <w:t>for</w:t>
      </w:r>
      <w:r>
        <w:rPr>
          <w:spacing w:val="31"/>
          <w:sz w:val="20"/>
        </w:rPr>
        <w:t> </w:t>
      </w:r>
      <w:r>
        <w:rPr>
          <w:sz w:val="20"/>
        </w:rPr>
        <w:t>the calculation of Achievements Points (as outlined in Section 5.4.4.1)</w:t>
      </w:r>
    </w:p>
    <w:p>
      <w:pPr>
        <w:pStyle w:val="BodyText"/>
        <w:spacing w:before="8"/>
        <w:rPr>
          <w:sz w:val="11"/>
        </w:rPr>
      </w:pPr>
      <w:r>
        <w:rPr/>
        <mc:AlternateContent>
          <mc:Choice Requires="wps">
            <w:drawing>
              <wp:anchor distT="0" distB="0" distL="0" distR="0" allowOverlap="1" layoutInCell="1" locked="0" behindDoc="1" simplePos="0" relativeHeight="488024576">
                <wp:simplePos x="0" y="0"/>
                <wp:positionH relativeFrom="page">
                  <wp:posOffset>905255</wp:posOffset>
                </wp:positionH>
                <wp:positionV relativeFrom="paragraph">
                  <wp:posOffset>100952</wp:posOffset>
                </wp:positionV>
                <wp:extent cx="5953125" cy="6350"/>
                <wp:effectExtent l="0" t="0" r="0" b="0"/>
                <wp:wrapTopAndBottom/>
                <wp:docPr id="927" name="Graphic 927"/>
                <wp:cNvGraphicFramePr>
                  <a:graphicFrameLocks/>
                </wp:cNvGraphicFramePr>
                <a:graphic>
                  <a:graphicData uri="http://schemas.microsoft.com/office/word/2010/wordprocessingShape">
                    <wps:wsp>
                      <wps:cNvPr id="927" name="Graphic 927"/>
                      <wps:cNvSpPr/>
                      <wps:spPr>
                        <a:xfrm>
                          <a:off x="0" y="0"/>
                          <a:ext cx="5953125" cy="6350"/>
                        </a:xfrm>
                        <a:custGeom>
                          <a:avLst/>
                          <a:gdLst/>
                          <a:ahLst/>
                          <a:cxnLst/>
                          <a:rect l="l" t="t" r="r" b="b"/>
                          <a:pathLst>
                            <a:path w="5953125" h="6350">
                              <a:moveTo>
                                <a:pt x="5952744" y="0"/>
                              </a:moveTo>
                              <a:lnTo>
                                <a:pt x="0" y="0"/>
                              </a:lnTo>
                              <a:lnTo>
                                <a:pt x="0" y="6108"/>
                              </a:lnTo>
                              <a:lnTo>
                                <a:pt x="5952744" y="6108"/>
                              </a:lnTo>
                              <a:lnTo>
                                <a:pt x="5952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1.279999pt;margin-top:7.949053pt;width:468.72pt;height:.481pt;mso-position-horizontal-relative:page;mso-position-vertical-relative:paragraph;z-index:-15291904;mso-wrap-distance-left:0;mso-wrap-distance-right:0" id="docshape144" filled="true" fillcolor="#000000" stroked="false">
                <v:fill type="solid"/>
                <w10:wrap type="topAndBottom"/>
              </v:rect>
            </w:pict>
          </mc:Fallback>
        </mc:AlternateContent>
      </w:r>
    </w:p>
    <w:p>
      <w:pPr>
        <w:pStyle w:val="BodyText"/>
        <w:spacing w:before="5"/>
        <w:rPr>
          <w:sz w:val="9"/>
        </w:rPr>
      </w:pPr>
    </w:p>
    <w:p>
      <w:pPr>
        <w:pStyle w:val="ListParagraph"/>
        <w:numPr>
          <w:ilvl w:val="3"/>
          <w:numId w:val="77"/>
        </w:numPr>
        <w:tabs>
          <w:tab w:pos="1995" w:val="left" w:leader="none"/>
        </w:tabs>
        <w:spacing w:line="252" w:lineRule="exact" w:before="91" w:after="0"/>
        <w:ind w:left="1995" w:right="0" w:hanging="775"/>
        <w:jc w:val="both"/>
        <w:rPr>
          <w:b/>
          <w:i/>
          <w:color w:val="4471C4"/>
          <w:sz w:val="22"/>
        </w:rPr>
      </w:pPr>
      <w:bookmarkStart w:name="5.4.4.5  Comparing Quality Scores to Cal" w:id="1428"/>
      <w:bookmarkEnd w:id="1428"/>
      <w:r>
        <w:rPr/>
      </w:r>
      <w:r>
        <w:rPr>
          <w:b/>
          <w:i/>
          <w:color w:val="4471C4"/>
          <w:sz w:val="22"/>
        </w:rPr>
        <w:t>Comparing</w:t>
      </w:r>
      <w:r>
        <w:rPr>
          <w:b/>
          <w:i/>
          <w:color w:val="4471C4"/>
          <w:spacing w:val="-7"/>
          <w:sz w:val="22"/>
        </w:rPr>
        <w:t> </w:t>
      </w:r>
      <w:r>
        <w:rPr>
          <w:b/>
          <w:i/>
          <w:color w:val="4471C4"/>
          <w:sz w:val="22"/>
        </w:rPr>
        <w:t>Quality</w:t>
      </w:r>
      <w:r>
        <w:rPr>
          <w:b/>
          <w:i/>
          <w:color w:val="4471C4"/>
          <w:spacing w:val="-4"/>
          <w:sz w:val="22"/>
        </w:rPr>
        <w:t> </w:t>
      </w:r>
      <w:r>
        <w:rPr>
          <w:b/>
          <w:i/>
          <w:color w:val="4471C4"/>
          <w:sz w:val="22"/>
        </w:rPr>
        <w:t>Scores</w:t>
      </w:r>
      <w:r>
        <w:rPr>
          <w:b/>
          <w:i/>
          <w:color w:val="4471C4"/>
          <w:spacing w:val="-4"/>
          <w:sz w:val="22"/>
        </w:rPr>
        <w:t> </w:t>
      </w:r>
      <w:r>
        <w:rPr>
          <w:b/>
          <w:i/>
          <w:color w:val="4471C4"/>
          <w:sz w:val="22"/>
        </w:rPr>
        <w:t>to</w:t>
      </w:r>
      <w:r>
        <w:rPr>
          <w:b/>
          <w:i/>
          <w:color w:val="4471C4"/>
          <w:spacing w:val="-4"/>
          <w:sz w:val="22"/>
        </w:rPr>
        <w:t> </w:t>
      </w:r>
      <w:r>
        <w:rPr>
          <w:b/>
          <w:i/>
          <w:color w:val="4471C4"/>
          <w:sz w:val="22"/>
        </w:rPr>
        <w:t>Calculate</w:t>
      </w:r>
      <w:r>
        <w:rPr>
          <w:b/>
          <w:i/>
          <w:color w:val="4471C4"/>
          <w:spacing w:val="-4"/>
          <w:sz w:val="22"/>
        </w:rPr>
        <w:t> </w:t>
      </w:r>
      <w:r>
        <w:rPr>
          <w:b/>
          <w:i/>
          <w:color w:val="4471C4"/>
          <w:sz w:val="22"/>
        </w:rPr>
        <w:t>the</w:t>
      </w:r>
      <w:r>
        <w:rPr>
          <w:b/>
          <w:i/>
          <w:color w:val="4471C4"/>
          <w:spacing w:val="-4"/>
          <w:sz w:val="22"/>
        </w:rPr>
        <w:t> </w:t>
      </w:r>
      <w:r>
        <w:rPr>
          <w:b/>
          <w:i/>
          <w:color w:val="4471C4"/>
          <w:sz w:val="22"/>
        </w:rPr>
        <w:t>CP/CSA</w:t>
      </w:r>
      <w:r>
        <w:rPr>
          <w:b/>
          <w:i/>
          <w:color w:val="4471C4"/>
          <w:spacing w:val="-8"/>
          <w:sz w:val="22"/>
        </w:rPr>
        <w:t> </w:t>
      </w:r>
      <w:r>
        <w:rPr>
          <w:b/>
          <w:i/>
          <w:color w:val="4471C4"/>
          <w:sz w:val="22"/>
        </w:rPr>
        <w:t>DSRIP</w:t>
      </w:r>
      <w:r>
        <w:rPr>
          <w:b/>
          <w:i/>
          <w:color w:val="4471C4"/>
          <w:spacing w:val="-5"/>
          <w:sz w:val="22"/>
        </w:rPr>
        <w:t> </w:t>
      </w:r>
      <w:r>
        <w:rPr>
          <w:b/>
          <w:i/>
          <w:color w:val="4471C4"/>
          <w:sz w:val="22"/>
        </w:rPr>
        <w:t>Accountability</w:t>
      </w:r>
      <w:r>
        <w:rPr>
          <w:b/>
          <w:i/>
          <w:color w:val="4471C4"/>
          <w:spacing w:val="-4"/>
          <w:sz w:val="22"/>
        </w:rPr>
        <w:t> </w:t>
      </w:r>
      <w:r>
        <w:rPr>
          <w:b/>
          <w:i/>
          <w:color w:val="4471C4"/>
          <w:spacing w:val="-2"/>
          <w:sz w:val="22"/>
        </w:rPr>
        <w:t>Score</w:t>
      </w:r>
    </w:p>
    <w:p>
      <w:pPr>
        <w:spacing w:line="240" w:lineRule="auto" w:before="0"/>
        <w:ind w:left="1220" w:right="1094" w:firstLine="0"/>
        <w:jc w:val="both"/>
        <w:rPr>
          <w:sz w:val="22"/>
        </w:rPr>
      </w:pPr>
      <w:r>
        <w:rPr>
          <w:sz w:val="22"/>
        </w:rPr>
        <w:t>For each Performance Period CPs and CSAs will be measured on their (1) Total Quality Score and on (2) Improvement</w:t>
      </w:r>
      <w:r>
        <w:rPr>
          <w:spacing w:val="-9"/>
          <w:sz w:val="22"/>
        </w:rPr>
        <w:t> </w:t>
      </w:r>
      <w:r>
        <w:rPr>
          <w:sz w:val="22"/>
        </w:rPr>
        <w:t>Over</w:t>
      </w:r>
      <w:r>
        <w:rPr>
          <w:spacing w:val="-9"/>
          <w:sz w:val="22"/>
        </w:rPr>
        <w:t> </w:t>
      </w:r>
      <w:r>
        <w:rPr>
          <w:sz w:val="22"/>
        </w:rPr>
        <w:t>Self</w:t>
      </w:r>
      <w:r>
        <w:rPr>
          <w:spacing w:val="-11"/>
          <w:sz w:val="22"/>
        </w:rPr>
        <w:t> </w:t>
      </w:r>
      <w:r>
        <w:rPr>
          <w:sz w:val="22"/>
        </w:rPr>
        <w:t>from</w:t>
      </w:r>
      <w:r>
        <w:rPr>
          <w:spacing w:val="-13"/>
          <w:sz w:val="22"/>
        </w:rPr>
        <w:t> </w:t>
      </w:r>
      <w:r>
        <w:rPr>
          <w:sz w:val="22"/>
        </w:rPr>
        <w:t>the</w:t>
      </w:r>
      <w:r>
        <w:rPr>
          <w:spacing w:val="-9"/>
          <w:sz w:val="22"/>
        </w:rPr>
        <w:t> </w:t>
      </w:r>
      <w:r>
        <w:rPr>
          <w:sz w:val="22"/>
        </w:rPr>
        <w:t>previous</w:t>
      </w:r>
      <w:r>
        <w:rPr>
          <w:spacing w:val="-9"/>
          <w:sz w:val="22"/>
        </w:rPr>
        <w:t> </w:t>
      </w:r>
      <w:r>
        <w:rPr>
          <w:sz w:val="22"/>
        </w:rPr>
        <w:t>Performance</w:t>
      </w:r>
      <w:r>
        <w:rPr>
          <w:spacing w:val="-9"/>
          <w:sz w:val="22"/>
        </w:rPr>
        <w:t> </w:t>
      </w:r>
      <w:r>
        <w:rPr>
          <w:sz w:val="22"/>
        </w:rPr>
        <w:t>Period.</w:t>
      </w:r>
      <w:r>
        <w:rPr>
          <w:spacing w:val="-12"/>
          <w:sz w:val="22"/>
        </w:rPr>
        <w:t> </w:t>
      </w:r>
      <w:r>
        <w:rPr>
          <w:sz w:val="22"/>
        </w:rPr>
        <w:t>For</w:t>
      </w:r>
      <w:r>
        <w:rPr>
          <w:spacing w:val="-11"/>
          <w:sz w:val="22"/>
        </w:rPr>
        <w:t> </w:t>
      </w:r>
      <w:r>
        <w:rPr>
          <w:sz w:val="22"/>
        </w:rPr>
        <w:t>each</w:t>
      </w:r>
      <w:r>
        <w:rPr>
          <w:spacing w:val="-10"/>
          <w:sz w:val="22"/>
        </w:rPr>
        <w:t> </w:t>
      </w:r>
      <w:r>
        <w:rPr>
          <w:sz w:val="22"/>
        </w:rPr>
        <w:t>Performance</w:t>
      </w:r>
      <w:r>
        <w:rPr>
          <w:spacing w:val="-9"/>
          <w:sz w:val="22"/>
        </w:rPr>
        <w:t> </w:t>
      </w:r>
      <w:r>
        <w:rPr>
          <w:sz w:val="22"/>
        </w:rPr>
        <w:t>Period,</w:t>
      </w:r>
      <w:r>
        <w:rPr>
          <w:spacing w:val="-12"/>
          <w:sz w:val="22"/>
        </w:rPr>
        <w:t> </w:t>
      </w:r>
      <w:r>
        <w:rPr>
          <w:sz w:val="22"/>
        </w:rPr>
        <w:t>the</w:t>
      </w:r>
      <w:r>
        <w:rPr>
          <w:spacing w:val="-12"/>
          <w:sz w:val="22"/>
        </w:rPr>
        <w:t> </w:t>
      </w:r>
      <w:r>
        <w:rPr>
          <w:sz w:val="22"/>
        </w:rPr>
        <w:t>State</w:t>
      </w:r>
      <w:r>
        <w:rPr>
          <w:spacing w:val="-12"/>
          <w:sz w:val="22"/>
        </w:rPr>
        <w:t> </w:t>
      </w:r>
      <w:r>
        <w:rPr>
          <w:sz w:val="22"/>
        </w:rPr>
        <w:t>will set</w:t>
      </w:r>
      <w:r>
        <w:rPr>
          <w:spacing w:val="-1"/>
          <w:sz w:val="22"/>
        </w:rPr>
        <w:t> </w:t>
      </w:r>
      <w:r>
        <w:rPr>
          <w:sz w:val="22"/>
        </w:rPr>
        <w:t>a Minimum</w:t>
      </w:r>
      <w:r>
        <w:rPr>
          <w:spacing w:val="-4"/>
          <w:sz w:val="22"/>
        </w:rPr>
        <w:t> </w:t>
      </w:r>
      <w:r>
        <w:rPr>
          <w:sz w:val="22"/>
        </w:rPr>
        <w:t>Quality</w:t>
      </w:r>
      <w:r>
        <w:rPr>
          <w:spacing w:val="-2"/>
          <w:sz w:val="22"/>
        </w:rPr>
        <w:t> </w:t>
      </w:r>
      <w:r>
        <w:rPr>
          <w:sz w:val="22"/>
        </w:rPr>
        <w:t>Score</w:t>
      </w:r>
      <w:r>
        <w:rPr>
          <w:spacing w:val="-2"/>
          <w:sz w:val="22"/>
        </w:rPr>
        <w:t> </w:t>
      </w:r>
      <w:r>
        <w:rPr>
          <w:sz w:val="22"/>
        </w:rPr>
        <w:t>Threshold</w:t>
      </w:r>
      <w:r>
        <w:rPr>
          <w:spacing w:val="-2"/>
          <w:sz w:val="22"/>
        </w:rPr>
        <w:t> </w:t>
      </w:r>
      <w:r>
        <w:rPr>
          <w:sz w:val="22"/>
        </w:rPr>
        <w:t>and</w:t>
      </w:r>
      <w:r>
        <w:rPr>
          <w:spacing w:val="-2"/>
          <w:sz w:val="22"/>
        </w:rPr>
        <w:t> </w:t>
      </w:r>
      <w:r>
        <w:rPr>
          <w:sz w:val="22"/>
        </w:rPr>
        <w:t>a Goal Quality</w:t>
      </w:r>
      <w:r>
        <w:rPr>
          <w:spacing w:val="-2"/>
          <w:sz w:val="22"/>
        </w:rPr>
        <w:t> </w:t>
      </w:r>
      <w:r>
        <w:rPr>
          <w:sz w:val="22"/>
        </w:rPr>
        <w:t>Score Benchmark</w:t>
      </w:r>
      <w:r>
        <w:rPr>
          <w:spacing w:val="-2"/>
          <w:sz w:val="22"/>
        </w:rPr>
        <w:t> </w:t>
      </w:r>
      <w:r>
        <w:rPr>
          <w:sz w:val="22"/>
        </w:rPr>
        <w:t>for</w:t>
      </w:r>
      <w:r>
        <w:rPr>
          <w:spacing w:val="-1"/>
          <w:sz w:val="22"/>
        </w:rPr>
        <w:t> </w:t>
      </w:r>
      <w:r>
        <w:rPr>
          <w:sz w:val="22"/>
        </w:rPr>
        <w:t>LTSS CPs, for BH</w:t>
      </w:r>
      <w:r>
        <w:rPr>
          <w:spacing w:val="-1"/>
          <w:sz w:val="22"/>
        </w:rPr>
        <w:t> </w:t>
      </w:r>
      <w:r>
        <w:rPr>
          <w:sz w:val="22"/>
        </w:rPr>
        <w:t>CPs and for CSAs.</w:t>
      </w:r>
      <w:r>
        <w:rPr>
          <w:spacing w:val="-1"/>
          <w:sz w:val="22"/>
        </w:rPr>
        <w:t> </w:t>
      </w:r>
      <w:r>
        <w:rPr>
          <w:sz w:val="22"/>
        </w:rPr>
        <w:t>Improvement Over Self will be calculated as 50% of the CP’s or CSA’s improvement year over year in percentage points.</w:t>
      </w:r>
    </w:p>
    <w:p>
      <w:pPr>
        <w:spacing w:line="242" w:lineRule="auto" w:before="160"/>
        <w:ind w:left="1220" w:right="1095" w:firstLine="0"/>
        <w:jc w:val="both"/>
        <w:rPr>
          <w:sz w:val="22"/>
        </w:rPr>
      </w:pPr>
      <w:r>
        <w:rPr>
          <w:sz w:val="22"/>
        </w:rPr>
        <w:t>The CP/CSA DSRIP Accountability Score, therefore, will be the sum of the (1) Total Quality Score and the (2) Improvement Over Self contribution. CP/CSA DSRIP Accountability Scores will be calculated as </w:t>
      </w:r>
      <w:r>
        <w:rPr>
          <w:spacing w:val="-2"/>
          <w:sz w:val="22"/>
        </w:rPr>
        <w:t>follows:</w:t>
      </w:r>
    </w:p>
    <w:p>
      <w:pPr>
        <w:pStyle w:val="ListParagraph"/>
        <w:numPr>
          <w:ilvl w:val="4"/>
          <w:numId w:val="77"/>
        </w:numPr>
        <w:tabs>
          <w:tab w:pos="1938" w:val="left" w:leader="none"/>
          <w:tab w:pos="1940" w:val="left" w:leader="none"/>
        </w:tabs>
        <w:spacing w:line="240" w:lineRule="auto" w:before="154" w:after="0"/>
        <w:ind w:left="1940" w:right="1094" w:hanging="361"/>
        <w:jc w:val="both"/>
        <w:rPr>
          <w:sz w:val="22"/>
        </w:rPr>
      </w:pPr>
      <w:r>
        <w:rPr>
          <w:sz w:val="22"/>
        </w:rPr>
        <w:t>An</w:t>
      </w:r>
      <w:r>
        <w:rPr>
          <w:spacing w:val="-1"/>
          <w:sz w:val="22"/>
        </w:rPr>
        <w:t> </w:t>
      </w:r>
      <w:r>
        <w:rPr>
          <w:sz w:val="22"/>
        </w:rPr>
        <w:t>entity</w:t>
      </w:r>
      <w:r>
        <w:rPr>
          <w:spacing w:val="-4"/>
          <w:sz w:val="22"/>
        </w:rPr>
        <w:t> </w:t>
      </w:r>
      <w:r>
        <w:rPr>
          <w:sz w:val="22"/>
        </w:rPr>
        <w:t>with</w:t>
      </w:r>
      <w:r>
        <w:rPr>
          <w:spacing w:val="-1"/>
          <w:sz w:val="22"/>
        </w:rPr>
        <w:t> </w:t>
      </w:r>
      <w:r>
        <w:rPr>
          <w:sz w:val="22"/>
        </w:rPr>
        <w:t>a</w:t>
      </w:r>
      <w:r>
        <w:rPr>
          <w:spacing w:val="-3"/>
          <w:sz w:val="22"/>
        </w:rPr>
        <w:t> </w:t>
      </w:r>
      <w:r>
        <w:rPr>
          <w:sz w:val="22"/>
        </w:rPr>
        <w:t>Total Quality</w:t>
      </w:r>
      <w:r>
        <w:rPr>
          <w:spacing w:val="-4"/>
          <w:sz w:val="22"/>
        </w:rPr>
        <w:t> </w:t>
      </w:r>
      <w:r>
        <w:rPr>
          <w:sz w:val="22"/>
        </w:rPr>
        <w:t>Score</w:t>
      </w:r>
      <w:r>
        <w:rPr>
          <w:spacing w:val="-3"/>
          <w:sz w:val="22"/>
        </w:rPr>
        <w:t> </w:t>
      </w:r>
      <w:r>
        <w:rPr>
          <w:sz w:val="22"/>
        </w:rPr>
        <w:t>at or above</w:t>
      </w:r>
      <w:r>
        <w:rPr>
          <w:spacing w:val="-1"/>
          <w:sz w:val="22"/>
        </w:rPr>
        <w:t> </w:t>
      </w:r>
      <w:r>
        <w:rPr>
          <w:sz w:val="22"/>
        </w:rPr>
        <w:t>the</w:t>
      </w:r>
      <w:r>
        <w:rPr>
          <w:spacing w:val="-1"/>
          <w:sz w:val="22"/>
        </w:rPr>
        <w:t> </w:t>
      </w:r>
      <w:r>
        <w:rPr>
          <w:sz w:val="22"/>
        </w:rPr>
        <w:t>Goal Quality</w:t>
      </w:r>
      <w:r>
        <w:rPr>
          <w:spacing w:val="-4"/>
          <w:sz w:val="22"/>
        </w:rPr>
        <w:t> </w:t>
      </w:r>
      <w:r>
        <w:rPr>
          <w:sz w:val="22"/>
        </w:rPr>
        <w:t>Score</w:t>
      </w:r>
      <w:r>
        <w:rPr>
          <w:spacing w:val="-1"/>
          <w:sz w:val="22"/>
        </w:rPr>
        <w:t> </w:t>
      </w:r>
      <w:r>
        <w:rPr>
          <w:sz w:val="22"/>
        </w:rPr>
        <w:t>Benchmark</w:t>
      </w:r>
      <w:r>
        <w:rPr>
          <w:spacing w:val="-4"/>
          <w:sz w:val="22"/>
        </w:rPr>
        <w:t> </w:t>
      </w:r>
      <w:r>
        <w:rPr>
          <w:sz w:val="22"/>
        </w:rPr>
        <w:t>will receive</w:t>
      </w:r>
      <w:r>
        <w:rPr>
          <w:spacing w:val="-1"/>
          <w:sz w:val="22"/>
        </w:rPr>
        <w:t> </w:t>
      </w:r>
      <w:r>
        <w:rPr>
          <w:sz w:val="22"/>
        </w:rPr>
        <w:t>a DSRIP Accountability Score of 100% and be eligible for 100% of at-risk funds.</w:t>
      </w:r>
    </w:p>
    <w:p>
      <w:pPr>
        <w:pStyle w:val="ListParagraph"/>
        <w:numPr>
          <w:ilvl w:val="4"/>
          <w:numId w:val="77"/>
        </w:numPr>
        <w:tabs>
          <w:tab w:pos="1938" w:val="left" w:leader="none"/>
          <w:tab w:pos="1940" w:val="left" w:leader="none"/>
        </w:tabs>
        <w:spacing w:line="240" w:lineRule="auto" w:before="200" w:after="0"/>
        <w:ind w:left="1940" w:right="1092" w:hanging="361"/>
        <w:jc w:val="both"/>
        <w:rPr>
          <w:sz w:val="22"/>
        </w:rPr>
      </w:pPr>
      <w:r>
        <w:rPr>
          <w:sz w:val="22"/>
        </w:rPr>
        <w:t>An entity with a Total Quality Score below the Minimum Quality Score Threshold will receive a DSRIP Accountability</w:t>
      </w:r>
      <w:r>
        <w:rPr>
          <w:spacing w:val="-2"/>
          <w:sz w:val="22"/>
        </w:rPr>
        <w:t> </w:t>
      </w:r>
      <w:r>
        <w:rPr>
          <w:sz w:val="22"/>
        </w:rPr>
        <w:t>Score for</w:t>
      </w:r>
      <w:r>
        <w:rPr>
          <w:spacing w:val="-1"/>
          <w:sz w:val="22"/>
        </w:rPr>
        <w:t> </w:t>
      </w:r>
      <w:r>
        <w:rPr>
          <w:sz w:val="22"/>
        </w:rPr>
        <w:t>Total Quality</w:t>
      </w:r>
      <w:r>
        <w:rPr>
          <w:spacing w:val="-2"/>
          <w:sz w:val="22"/>
        </w:rPr>
        <w:t> </w:t>
      </w:r>
      <w:r>
        <w:rPr>
          <w:sz w:val="22"/>
        </w:rPr>
        <w:t>of</w:t>
      </w:r>
      <w:r>
        <w:rPr>
          <w:spacing w:val="-1"/>
          <w:sz w:val="22"/>
        </w:rPr>
        <w:t> </w:t>
      </w:r>
      <w:r>
        <w:rPr>
          <w:sz w:val="22"/>
        </w:rPr>
        <w:t>Zero</w:t>
      </w:r>
      <w:r>
        <w:rPr>
          <w:spacing w:val="-2"/>
          <w:sz w:val="22"/>
        </w:rPr>
        <w:t> </w:t>
      </w:r>
      <w:r>
        <w:rPr>
          <w:sz w:val="22"/>
        </w:rPr>
        <w:t>and will</w:t>
      </w:r>
      <w:r>
        <w:rPr>
          <w:spacing w:val="-1"/>
          <w:sz w:val="22"/>
        </w:rPr>
        <w:t> </w:t>
      </w:r>
      <w:r>
        <w:rPr>
          <w:sz w:val="22"/>
        </w:rPr>
        <w:t>be</w:t>
      </w:r>
      <w:r>
        <w:rPr>
          <w:spacing w:val="-2"/>
          <w:sz w:val="22"/>
        </w:rPr>
        <w:t> </w:t>
      </w:r>
      <w:r>
        <w:rPr>
          <w:sz w:val="22"/>
        </w:rPr>
        <w:t>eligible</w:t>
      </w:r>
      <w:r>
        <w:rPr>
          <w:spacing w:val="-2"/>
          <w:sz w:val="22"/>
        </w:rPr>
        <w:t> </w:t>
      </w:r>
      <w:r>
        <w:rPr>
          <w:sz w:val="22"/>
        </w:rPr>
        <w:t>for</w:t>
      </w:r>
      <w:r>
        <w:rPr>
          <w:spacing w:val="-1"/>
          <w:sz w:val="22"/>
        </w:rPr>
        <w:t> </w:t>
      </w:r>
      <w:r>
        <w:rPr>
          <w:sz w:val="22"/>
        </w:rPr>
        <w:t>only</w:t>
      </w:r>
      <w:r>
        <w:rPr>
          <w:spacing w:val="-2"/>
          <w:sz w:val="22"/>
        </w:rPr>
        <w:t> </w:t>
      </w:r>
      <w:r>
        <w:rPr>
          <w:sz w:val="22"/>
        </w:rPr>
        <w:t>that</w:t>
      </w:r>
      <w:r>
        <w:rPr>
          <w:spacing w:val="-1"/>
          <w:sz w:val="22"/>
        </w:rPr>
        <w:t> </w:t>
      </w:r>
      <w:r>
        <w:rPr>
          <w:sz w:val="22"/>
        </w:rPr>
        <w:t>portion of at-risk</w:t>
      </w:r>
      <w:r>
        <w:rPr>
          <w:spacing w:val="-4"/>
          <w:sz w:val="22"/>
        </w:rPr>
        <w:t> </w:t>
      </w:r>
      <w:r>
        <w:rPr>
          <w:sz w:val="22"/>
        </w:rPr>
        <w:t>funds</w:t>
      </w:r>
      <w:r>
        <w:rPr>
          <w:spacing w:val="-1"/>
          <w:sz w:val="22"/>
        </w:rPr>
        <w:t> </w:t>
      </w:r>
      <w:r>
        <w:rPr>
          <w:sz w:val="22"/>
        </w:rPr>
        <w:t>equal</w:t>
      </w:r>
      <w:r>
        <w:rPr>
          <w:spacing w:val="-3"/>
          <w:sz w:val="22"/>
        </w:rPr>
        <w:t> </w:t>
      </w:r>
      <w:r>
        <w:rPr>
          <w:sz w:val="22"/>
        </w:rPr>
        <w:t>to</w:t>
      </w:r>
      <w:r>
        <w:rPr>
          <w:spacing w:val="-1"/>
          <w:sz w:val="22"/>
        </w:rPr>
        <w:t> </w:t>
      </w:r>
      <w:r>
        <w:rPr>
          <w:sz w:val="22"/>
        </w:rPr>
        <w:t>the</w:t>
      </w:r>
      <w:r>
        <w:rPr>
          <w:spacing w:val="-1"/>
          <w:sz w:val="22"/>
        </w:rPr>
        <w:t> </w:t>
      </w:r>
      <w:r>
        <w:rPr>
          <w:sz w:val="22"/>
        </w:rPr>
        <w:t>Improvement</w:t>
      </w:r>
      <w:r>
        <w:rPr>
          <w:spacing w:val="-1"/>
          <w:sz w:val="22"/>
        </w:rPr>
        <w:t> </w:t>
      </w:r>
      <w:r>
        <w:rPr>
          <w:sz w:val="22"/>
        </w:rPr>
        <w:t>Over</w:t>
      </w:r>
      <w:r>
        <w:rPr>
          <w:spacing w:val="-1"/>
          <w:sz w:val="22"/>
        </w:rPr>
        <w:t> </w:t>
      </w:r>
      <w:r>
        <w:rPr>
          <w:sz w:val="22"/>
        </w:rPr>
        <w:t>Self</w:t>
      </w:r>
      <w:r>
        <w:rPr>
          <w:spacing w:val="-3"/>
          <w:sz w:val="22"/>
        </w:rPr>
        <w:t> </w:t>
      </w:r>
      <w:r>
        <w:rPr>
          <w:sz w:val="22"/>
        </w:rPr>
        <w:t>contribution.</w:t>
      </w:r>
      <w:r>
        <w:rPr>
          <w:spacing w:val="-4"/>
          <w:sz w:val="22"/>
        </w:rPr>
        <w:t> </w:t>
      </w:r>
      <w:r>
        <w:rPr>
          <w:sz w:val="22"/>
        </w:rPr>
        <w:t>The</w:t>
      </w:r>
      <w:r>
        <w:rPr>
          <w:spacing w:val="-1"/>
          <w:sz w:val="22"/>
        </w:rPr>
        <w:t> </w:t>
      </w:r>
      <w:r>
        <w:rPr>
          <w:sz w:val="22"/>
        </w:rPr>
        <w:t>entity</w:t>
      </w:r>
      <w:r>
        <w:rPr>
          <w:spacing w:val="-4"/>
          <w:sz w:val="22"/>
        </w:rPr>
        <w:t> </w:t>
      </w:r>
      <w:r>
        <w:rPr>
          <w:sz w:val="22"/>
        </w:rPr>
        <w:t>would</w:t>
      </w:r>
      <w:r>
        <w:rPr>
          <w:spacing w:val="-1"/>
          <w:sz w:val="22"/>
        </w:rPr>
        <w:t> </w:t>
      </w:r>
      <w:r>
        <w:rPr>
          <w:sz w:val="22"/>
        </w:rPr>
        <w:t>receive</w:t>
      </w:r>
      <w:r>
        <w:rPr>
          <w:spacing w:val="-1"/>
          <w:sz w:val="22"/>
        </w:rPr>
        <w:t> </w:t>
      </w:r>
      <w:r>
        <w:rPr>
          <w:sz w:val="22"/>
        </w:rPr>
        <w:t>a</w:t>
      </w:r>
      <w:r>
        <w:rPr>
          <w:spacing w:val="-1"/>
          <w:sz w:val="22"/>
        </w:rPr>
        <w:t> </w:t>
      </w:r>
      <w:r>
        <w:rPr>
          <w:sz w:val="22"/>
        </w:rPr>
        <w:t>Quality Score equal to 50% of the Improvement Over Self percentage points.</w:t>
      </w:r>
    </w:p>
    <w:p>
      <w:pPr>
        <w:pStyle w:val="ListParagraph"/>
        <w:numPr>
          <w:ilvl w:val="4"/>
          <w:numId w:val="77"/>
        </w:numPr>
        <w:tabs>
          <w:tab w:pos="1938" w:val="left" w:leader="none"/>
          <w:tab w:pos="1940" w:val="left" w:leader="none"/>
        </w:tabs>
        <w:spacing w:line="240" w:lineRule="auto" w:before="198" w:after="0"/>
        <w:ind w:left="1940" w:right="1094" w:hanging="361"/>
        <w:jc w:val="both"/>
        <w:rPr>
          <w:sz w:val="22"/>
        </w:rPr>
      </w:pPr>
      <w:r>
        <w:rPr>
          <w:sz w:val="22"/>
        </w:rPr>
        <w:t>An</w:t>
      </w:r>
      <w:r>
        <w:rPr>
          <w:spacing w:val="-1"/>
          <w:sz w:val="22"/>
        </w:rPr>
        <w:t> </w:t>
      </w:r>
      <w:r>
        <w:rPr>
          <w:sz w:val="22"/>
        </w:rPr>
        <w:t>entity</w:t>
      </w:r>
      <w:r>
        <w:rPr>
          <w:spacing w:val="-4"/>
          <w:sz w:val="22"/>
        </w:rPr>
        <w:t> </w:t>
      </w:r>
      <w:r>
        <w:rPr>
          <w:sz w:val="22"/>
        </w:rPr>
        <w:t>with</w:t>
      </w:r>
      <w:r>
        <w:rPr>
          <w:spacing w:val="-4"/>
          <w:sz w:val="22"/>
        </w:rPr>
        <w:t> </w:t>
      </w:r>
      <w:r>
        <w:rPr>
          <w:sz w:val="22"/>
        </w:rPr>
        <w:t>a</w:t>
      </w:r>
      <w:r>
        <w:rPr>
          <w:spacing w:val="-6"/>
          <w:sz w:val="22"/>
        </w:rPr>
        <w:t> </w:t>
      </w:r>
      <w:r>
        <w:rPr>
          <w:sz w:val="22"/>
        </w:rPr>
        <w:t>Total</w:t>
      </w:r>
      <w:r>
        <w:rPr>
          <w:spacing w:val="-3"/>
          <w:sz w:val="22"/>
        </w:rPr>
        <w:t> </w:t>
      </w:r>
      <w:r>
        <w:rPr>
          <w:sz w:val="22"/>
        </w:rPr>
        <w:t>Quality</w:t>
      </w:r>
      <w:r>
        <w:rPr>
          <w:spacing w:val="-4"/>
          <w:sz w:val="22"/>
        </w:rPr>
        <w:t> </w:t>
      </w:r>
      <w:r>
        <w:rPr>
          <w:sz w:val="22"/>
        </w:rPr>
        <w:t>Score</w:t>
      </w:r>
      <w:r>
        <w:rPr>
          <w:spacing w:val="-3"/>
          <w:sz w:val="22"/>
        </w:rPr>
        <w:t> </w:t>
      </w:r>
      <w:r>
        <w:rPr>
          <w:sz w:val="22"/>
        </w:rPr>
        <w:t>between</w:t>
      </w:r>
      <w:r>
        <w:rPr>
          <w:spacing w:val="-4"/>
          <w:sz w:val="22"/>
        </w:rPr>
        <w:t> </w:t>
      </w:r>
      <w:r>
        <w:rPr>
          <w:sz w:val="22"/>
        </w:rPr>
        <w:t>the</w:t>
      </w:r>
      <w:r>
        <w:rPr>
          <w:spacing w:val="-3"/>
          <w:sz w:val="22"/>
        </w:rPr>
        <w:t> </w:t>
      </w:r>
      <w:r>
        <w:rPr>
          <w:sz w:val="22"/>
        </w:rPr>
        <w:t>Minimum</w:t>
      </w:r>
      <w:r>
        <w:rPr>
          <w:spacing w:val="-5"/>
          <w:sz w:val="22"/>
        </w:rPr>
        <w:t> </w:t>
      </w:r>
      <w:r>
        <w:rPr>
          <w:sz w:val="22"/>
        </w:rPr>
        <w:t>Quality</w:t>
      </w:r>
      <w:r>
        <w:rPr>
          <w:spacing w:val="-4"/>
          <w:sz w:val="22"/>
        </w:rPr>
        <w:t> </w:t>
      </w:r>
      <w:r>
        <w:rPr>
          <w:sz w:val="22"/>
        </w:rPr>
        <w:t>Score</w:t>
      </w:r>
      <w:r>
        <w:rPr>
          <w:spacing w:val="-6"/>
          <w:sz w:val="22"/>
        </w:rPr>
        <w:t> </w:t>
      </w:r>
      <w:r>
        <w:rPr>
          <w:sz w:val="22"/>
        </w:rPr>
        <w:t>Threshold</w:t>
      </w:r>
      <w:r>
        <w:rPr>
          <w:spacing w:val="-4"/>
          <w:sz w:val="22"/>
        </w:rPr>
        <w:t> </w:t>
      </w:r>
      <w:r>
        <w:rPr>
          <w:sz w:val="22"/>
        </w:rPr>
        <w:t>and</w:t>
      </w:r>
      <w:r>
        <w:rPr>
          <w:spacing w:val="-4"/>
          <w:sz w:val="22"/>
        </w:rPr>
        <w:t> </w:t>
      </w:r>
      <w:r>
        <w:rPr>
          <w:sz w:val="22"/>
        </w:rPr>
        <w:t>the</w:t>
      </w:r>
      <w:r>
        <w:rPr>
          <w:spacing w:val="-1"/>
          <w:sz w:val="22"/>
        </w:rPr>
        <w:t> </w:t>
      </w:r>
      <w:r>
        <w:rPr>
          <w:sz w:val="22"/>
        </w:rPr>
        <w:t>Goal Quality Score</w:t>
      </w:r>
      <w:r>
        <w:rPr>
          <w:spacing w:val="15"/>
          <w:sz w:val="22"/>
        </w:rPr>
        <w:t> </w:t>
      </w:r>
      <w:r>
        <w:rPr>
          <w:sz w:val="22"/>
        </w:rPr>
        <w:t>Benchmark</w:t>
      </w:r>
      <w:r>
        <w:rPr>
          <w:spacing w:val="15"/>
          <w:sz w:val="22"/>
        </w:rPr>
        <w:t> </w:t>
      </w:r>
      <w:r>
        <w:rPr>
          <w:sz w:val="22"/>
        </w:rPr>
        <w:t>will receive</w:t>
      </w:r>
      <w:r>
        <w:rPr>
          <w:spacing w:val="15"/>
          <w:sz w:val="22"/>
        </w:rPr>
        <w:t> </w:t>
      </w:r>
      <w:r>
        <w:rPr>
          <w:sz w:val="22"/>
        </w:rPr>
        <w:t>a</w:t>
      </w:r>
      <w:r>
        <w:rPr>
          <w:spacing w:val="15"/>
          <w:sz w:val="22"/>
        </w:rPr>
        <w:t> </w:t>
      </w:r>
      <w:r>
        <w:rPr>
          <w:sz w:val="22"/>
        </w:rPr>
        <w:t>DSRIP Accountability Score</w:t>
      </w:r>
      <w:r>
        <w:rPr>
          <w:spacing w:val="15"/>
          <w:sz w:val="22"/>
        </w:rPr>
        <w:t> </w:t>
      </w:r>
      <w:r>
        <w:rPr>
          <w:sz w:val="22"/>
        </w:rPr>
        <w:t>=</w:t>
      </w:r>
      <w:r>
        <w:rPr>
          <w:spacing w:val="15"/>
          <w:sz w:val="22"/>
        </w:rPr>
        <w:t> </w:t>
      </w:r>
      <w:r>
        <w:rPr>
          <w:sz w:val="22"/>
        </w:rPr>
        <w:t>(Total</w:t>
      </w:r>
      <w:r>
        <w:rPr>
          <w:spacing w:val="16"/>
          <w:sz w:val="22"/>
        </w:rPr>
        <w:t> </w:t>
      </w:r>
      <w:r>
        <w:rPr>
          <w:sz w:val="22"/>
        </w:rPr>
        <w:t>Quality Score) +</w:t>
      </w:r>
    </w:p>
    <w:p>
      <w:pPr>
        <w:spacing w:after="0" w:line="240" w:lineRule="auto"/>
        <w:jc w:val="both"/>
        <w:rPr>
          <w:sz w:val="22"/>
        </w:rPr>
        <w:sectPr>
          <w:pgSz w:w="12240" w:h="15840"/>
          <w:pgMar w:header="0" w:footer="967" w:top="1360" w:bottom="1160" w:left="220" w:right="340"/>
        </w:sectPr>
      </w:pPr>
    </w:p>
    <w:p>
      <w:pPr>
        <w:spacing w:before="78"/>
        <w:ind w:left="1939" w:right="1111" w:firstLine="0"/>
        <w:jc w:val="left"/>
        <w:rPr>
          <w:sz w:val="22"/>
        </w:rPr>
      </w:pPr>
      <w:r>
        <w:rPr>
          <w:sz w:val="22"/>
        </w:rPr>
        <w:t>(50% of the Improvement Over Self percentage points) and will be eligible for that proportion of the at-risk funds.</w:t>
      </w:r>
    </w:p>
    <w:p>
      <w:pPr>
        <w:spacing w:before="200"/>
        <w:ind w:left="1219" w:right="0" w:firstLine="0"/>
        <w:jc w:val="both"/>
        <w:rPr>
          <w:sz w:val="22"/>
        </w:rPr>
      </w:pPr>
      <w:r>
        <w:rPr>
          <w:sz w:val="22"/>
        </w:rPr>
        <w:t>For</w:t>
      </w:r>
      <w:r>
        <w:rPr>
          <w:spacing w:val="-2"/>
          <w:sz w:val="22"/>
        </w:rPr>
        <w:t> example:</w:t>
      </w:r>
    </w:p>
    <w:p>
      <w:pPr>
        <w:spacing w:line="256" w:lineRule="auto" w:before="4"/>
        <w:ind w:left="1580" w:right="1111" w:firstLine="0"/>
        <w:jc w:val="left"/>
        <w:rPr>
          <w:sz w:val="22"/>
        </w:rPr>
      </w:pPr>
      <w:r>
        <w:rPr>
          <w:sz w:val="22"/>
        </w:rPr>
        <w:t>In a Performance Period in which, for BH CPs, the Minimum Quality Score Threshold is set at 45% and the Goal Quality Score Benchmark is set at is 85%</w:t>
      </w:r>
    </w:p>
    <w:p>
      <w:pPr>
        <w:pStyle w:val="ListParagraph"/>
        <w:numPr>
          <w:ilvl w:val="4"/>
          <w:numId w:val="77"/>
        </w:numPr>
        <w:tabs>
          <w:tab w:pos="1938" w:val="left" w:leader="none"/>
          <w:tab w:pos="1940" w:val="left" w:leader="none"/>
        </w:tabs>
        <w:spacing w:line="240" w:lineRule="auto" w:before="163" w:after="0"/>
        <w:ind w:left="1940" w:right="1095" w:hanging="361"/>
        <w:jc w:val="both"/>
        <w:rPr>
          <w:sz w:val="22"/>
        </w:rPr>
      </w:pPr>
      <w:r>
        <w:rPr>
          <w:sz w:val="22"/>
        </w:rPr>
        <w:t>A BH CP with a Total Quality Score ≥85% has a DSRIP Accountability Score of 100% and is eligible for 100% of the at-risk funds</w:t>
      </w:r>
    </w:p>
    <w:p>
      <w:pPr>
        <w:pStyle w:val="ListParagraph"/>
        <w:numPr>
          <w:ilvl w:val="4"/>
          <w:numId w:val="77"/>
        </w:numPr>
        <w:tabs>
          <w:tab w:pos="1938" w:val="left" w:leader="none"/>
          <w:tab w:pos="1940" w:val="left" w:leader="none"/>
        </w:tabs>
        <w:spacing w:line="240" w:lineRule="auto" w:before="197" w:after="0"/>
        <w:ind w:left="1940" w:right="1094" w:hanging="361"/>
        <w:jc w:val="both"/>
        <w:rPr>
          <w:sz w:val="22"/>
        </w:rPr>
      </w:pPr>
      <w:r>
        <w:rPr>
          <w:sz w:val="22"/>
        </w:rPr>
        <w:t>A</w:t>
      </w:r>
      <w:r>
        <w:rPr>
          <w:spacing w:val="-7"/>
          <w:sz w:val="22"/>
        </w:rPr>
        <w:t> </w:t>
      </w:r>
      <w:r>
        <w:rPr>
          <w:sz w:val="22"/>
        </w:rPr>
        <w:t>BH</w:t>
      </w:r>
      <w:r>
        <w:rPr>
          <w:spacing w:val="-7"/>
          <w:sz w:val="22"/>
        </w:rPr>
        <w:t> </w:t>
      </w:r>
      <w:r>
        <w:rPr>
          <w:sz w:val="22"/>
        </w:rPr>
        <w:t>CP</w:t>
      </w:r>
      <w:r>
        <w:rPr>
          <w:spacing w:val="-7"/>
          <w:sz w:val="22"/>
        </w:rPr>
        <w:t> </w:t>
      </w:r>
      <w:r>
        <w:rPr>
          <w:sz w:val="22"/>
        </w:rPr>
        <w:t>with</w:t>
      </w:r>
      <w:r>
        <w:rPr>
          <w:spacing w:val="-6"/>
          <w:sz w:val="22"/>
        </w:rPr>
        <w:t> </w:t>
      </w:r>
      <w:r>
        <w:rPr>
          <w:sz w:val="22"/>
        </w:rPr>
        <w:t>a</w:t>
      </w:r>
      <w:r>
        <w:rPr>
          <w:spacing w:val="-8"/>
          <w:sz w:val="22"/>
        </w:rPr>
        <w:t> </w:t>
      </w:r>
      <w:r>
        <w:rPr>
          <w:sz w:val="22"/>
        </w:rPr>
        <w:t>Total</w:t>
      </w:r>
      <w:r>
        <w:rPr>
          <w:spacing w:val="-5"/>
          <w:sz w:val="22"/>
        </w:rPr>
        <w:t> </w:t>
      </w:r>
      <w:r>
        <w:rPr>
          <w:sz w:val="22"/>
        </w:rPr>
        <w:t>Quality</w:t>
      </w:r>
      <w:r>
        <w:rPr>
          <w:spacing w:val="-9"/>
          <w:sz w:val="22"/>
        </w:rPr>
        <w:t> </w:t>
      </w:r>
      <w:r>
        <w:rPr>
          <w:sz w:val="22"/>
        </w:rPr>
        <w:t>Score</w:t>
      </w:r>
      <w:r>
        <w:rPr>
          <w:spacing w:val="-6"/>
          <w:sz w:val="22"/>
        </w:rPr>
        <w:t> </w:t>
      </w:r>
      <w:r>
        <w:rPr>
          <w:sz w:val="22"/>
        </w:rPr>
        <w:t>&lt;45%</w:t>
      </w:r>
      <w:r>
        <w:rPr>
          <w:spacing w:val="-5"/>
          <w:sz w:val="22"/>
        </w:rPr>
        <w:t> </w:t>
      </w:r>
      <w:r>
        <w:rPr>
          <w:sz w:val="22"/>
        </w:rPr>
        <w:t>and</w:t>
      </w:r>
      <w:r>
        <w:rPr>
          <w:spacing w:val="-6"/>
          <w:sz w:val="22"/>
        </w:rPr>
        <w:t> </w:t>
      </w:r>
      <w:r>
        <w:rPr>
          <w:sz w:val="22"/>
        </w:rPr>
        <w:t>with</w:t>
      </w:r>
      <w:r>
        <w:rPr>
          <w:spacing w:val="-6"/>
          <w:sz w:val="22"/>
        </w:rPr>
        <w:t> </w:t>
      </w:r>
      <w:r>
        <w:rPr>
          <w:sz w:val="22"/>
        </w:rPr>
        <w:t>no</w:t>
      </w:r>
      <w:r>
        <w:rPr>
          <w:spacing w:val="-9"/>
          <w:sz w:val="22"/>
        </w:rPr>
        <w:t> </w:t>
      </w:r>
      <w:r>
        <w:rPr>
          <w:sz w:val="22"/>
        </w:rPr>
        <w:t>improvement</w:t>
      </w:r>
      <w:r>
        <w:rPr>
          <w:spacing w:val="-5"/>
          <w:sz w:val="22"/>
        </w:rPr>
        <w:t> </w:t>
      </w:r>
      <w:r>
        <w:rPr>
          <w:sz w:val="22"/>
        </w:rPr>
        <w:t>from</w:t>
      </w:r>
      <w:r>
        <w:rPr>
          <w:spacing w:val="-10"/>
          <w:sz w:val="22"/>
        </w:rPr>
        <w:t> </w:t>
      </w:r>
      <w:r>
        <w:rPr>
          <w:sz w:val="22"/>
        </w:rPr>
        <w:t>the</w:t>
      </w:r>
      <w:r>
        <w:rPr>
          <w:spacing w:val="-6"/>
          <w:sz w:val="22"/>
        </w:rPr>
        <w:t> </w:t>
      </w:r>
      <w:r>
        <w:rPr>
          <w:sz w:val="22"/>
        </w:rPr>
        <w:t>previous</w:t>
      </w:r>
      <w:r>
        <w:rPr>
          <w:spacing w:val="-6"/>
          <w:sz w:val="22"/>
        </w:rPr>
        <w:t> </w:t>
      </w:r>
      <w:r>
        <w:rPr>
          <w:sz w:val="22"/>
        </w:rPr>
        <w:t>period</w:t>
      </w:r>
      <w:r>
        <w:rPr>
          <w:spacing w:val="-6"/>
          <w:sz w:val="22"/>
        </w:rPr>
        <w:t> </w:t>
      </w:r>
      <w:r>
        <w:rPr>
          <w:sz w:val="22"/>
        </w:rPr>
        <w:t>has a DSRIP Accountability Score of 0% and is eligible only for improvement points. If a CP’s Total Quality Score = 40% and a previous period Total Quality Score of 30%, then they would receive half</w:t>
      </w:r>
      <w:r>
        <w:rPr>
          <w:spacing w:val="-11"/>
          <w:sz w:val="22"/>
        </w:rPr>
        <w:t> </w:t>
      </w:r>
      <w:r>
        <w:rPr>
          <w:sz w:val="22"/>
        </w:rPr>
        <w:t>of</w:t>
      </w:r>
      <w:r>
        <w:rPr>
          <w:spacing w:val="-11"/>
          <w:sz w:val="22"/>
        </w:rPr>
        <w:t> </w:t>
      </w:r>
      <w:r>
        <w:rPr>
          <w:sz w:val="22"/>
        </w:rPr>
        <w:t>their</w:t>
      </w:r>
      <w:r>
        <w:rPr>
          <w:spacing w:val="-9"/>
          <w:sz w:val="22"/>
        </w:rPr>
        <w:t> </w:t>
      </w:r>
      <w:r>
        <w:rPr>
          <w:sz w:val="22"/>
        </w:rPr>
        <w:t>Improvement</w:t>
      </w:r>
      <w:r>
        <w:rPr>
          <w:spacing w:val="-9"/>
          <w:sz w:val="22"/>
        </w:rPr>
        <w:t> </w:t>
      </w:r>
      <w:r>
        <w:rPr>
          <w:sz w:val="22"/>
        </w:rPr>
        <w:t>Over</w:t>
      </w:r>
      <w:r>
        <w:rPr>
          <w:spacing w:val="-9"/>
          <w:sz w:val="22"/>
        </w:rPr>
        <w:t> </w:t>
      </w:r>
      <w:r>
        <w:rPr>
          <w:sz w:val="22"/>
        </w:rPr>
        <w:t>Self</w:t>
      </w:r>
      <w:r>
        <w:rPr>
          <w:spacing w:val="-11"/>
          <w:sz w:val="22"/>
        </w:rPr>
        <w:t> </w:t>
      </w:r>
      <w:r>
        <w:rPr>
          <w:sz w:val="22"/>
        </w:rPr>
        <w:t>percentage</w:t>
      </w:r>
      <w:r>
        <w:rPr>
          <w:spacing w:val="-9"/>
          <w:sz w:val="22"/>
        </w:rPr>
        <w:t> </w:t>
      </w:r>
      <w:r>
        <w:rPr>
          <w:sz w:val="22"/>
        </w:rPr>
        <w:t>points,</w:t>
      </w:r>
      <w:r>
        <w:rPr>
          <w:spacing w:val="-10"/>
          <w:sz w:val="22"/>
        </w:rPr>
        <w:t> </w:t>
      </w:r>
      <w:r>
        <w:rPr>
          <w:sz w:val="22"/>
        </w:rPr>
        <w:t>or</w:t>
      </w:r>
      <w:r>
        <w:rPr>
          <w:spacing w:val="-9"/>
          <w:sz w:val="22"/>
        </w:rPr>
        <w:t> </w:t>
      </w:r>
      <w:r>
        <w:rPr>
          <w:sz w:val="22"/>
        </w:rPr>
        <w:t>50%</w:t>
      </w:r>
      <w:r>
        <w:rPr>
          <w:spacing w:val="-11"/>
          <w:sz w:val="22"/>
        </w:rPr>
        <w:t> </w:t>
      </w:r>
      <w:r>
        <w:rPr>
          <w:sz w:val="22"/>
        </w:rPr>
        <w:t>*10%</w:t>
      </w:r>
      <w:r>
        <w:rPr>
          <w:spacing w:val="-9"/>
          <w:sz w:val="22"/>
        </w:rPr>
        <w:t> </w:t>
      </w:r>
      <w:r>
        <w:rPr>
          <w:sz w:val="22"/>
        </w:rPr>
        <w:t>=</w:t>
      </w:r>
      <w:r>
        <w:rPr>
          <w:spacing w:val="-12"/>
          <w:sz w:val="22"/>
        </w:rPr>
        <w:t> </w:t>
      </w:r>
      <w:r>
        <w:rPr>
          <w:sz w:val="22"/>
        </w:rPr>
        <w:t>5%</w:t>
      </w:r>
      <w:r>
        <w:rPr>
          <w:spacing w:val="-11"/>
          <w:sz w:val="22"/>
        </w:rPr>
        <w:t> </w:t>
      </w:r>
      <w:r>
        <w:rPr>
          <w:sz w:val="22"/>
        </w:rPr>
        <w:t>of</w:t>
      </w:r>
      <w:r>
        <w:rPr>
          <w:spacing w:val="-11"/>
          <w:sz w:val="22"/>
        </w:rPr>
        <w:t> </w:t>
      </w:r>
      <w:r>
        <w:rPr>
          <w:sz w:val="22"/>
        </w:rPr>
        <w:t>at-risk</w:t>
      </w:r>
      <w:r>
        <w:rPr>
          <w:spacing w:val="-12"/>
          <w:sz w:val="22"/>
        </w:rPr>
        <w:t> </w:t>
      </w:r>
      <w:r>
        <w:rPr>
          <w:sz w:val="22"/>
        </w:rPr>
        <w:t>DSRIP</w:t>
      </w:r>
      <w:r>
        <w:rPr>
          <w:spacing w:val="-10"/>
          <w:sz w:val="22"/>
        </w:rPr>
        <w:t> </w:t>
      </w:r>
      <w:r>
        <w:rPr>
          <w:sz w:val="22"/>
        </w:rPr>
        <w:t>funds.</w:t>
      </w:r>
    </w:p>
    <w:p>
      <w:pPr>
        <w:pStyle w:val="ListParagraph"/>
        <w:numPr>
          <w:ilvl w:val="4"/>
          <w:numId w:val="77"/>
        </w:numPr>
        <w:tabs>
          <w:tab w:pos="1938" w:val="left" w:leader="none"/>
          <w:tab w:pos="1940" w:val="left" w:leader="none"/>
        </w:tabs>
        <w:spacing w:line="240" w:lineRule="auto" w:before="200" w:after="0"/>
        <w:ind w:left="1940" w:right="1096" w:hanging="361"/>
        <w:jc w:val="both"/>
        <w:rPr>
          <w:sz w:val="22"/>
        </w:rPr>
      </w:pPr>
      <w:r>
        <w:rPr>
          <w:sz w:val="22"/>
        </w:rPr>
        <w:t>A BH CP with a Quality Score of 75% and a previous period Quality Score of 65% has a DSRIP Accountability Score of 80% (75% + 50% of (75%-65%))</w:t>
      </w:r>
    </w:p>
    <w:p>
      <w:pPr>
        <w:spacing w:before="199"/>
        <w:ind w:left="1220" w:right="1095" w:firstLine="0"/>
        <w:jc w:val="both"/>
        <w:rPr>
          <w:sz w:val="22"/>
        </w:rPr>
      </w:pPr>
      <w:r>
        <w:rPr>
          <w:sz w:val="22"/>
        </w:rPr>
        <w:t>Budget Period 1 is reporting only and Budget Period 2 is reporting or pay-for-reporting as outlined in Appendix</w:t>
      </w:r>
      <w:r>
        <w:rPr>
          <w:spacing w:val="-10"/>
          <w:sz w:val="22"/>
        </w:rPr>
        <w:t> </w:t>
      </w:r>
      <w:r>
        <w:rPr>
          <w:sz w:val="22"/>
        </w:rPr>
        <w:t>D.</w:t>
      </w:r>
      <w:r>
        <w:rPr>
          <w:spacing w:val="-7"/>
          <w:sz w:val="22"/>
        </w:rPr>
        <w:t> </w:t>
      </w:r>
      <w:r>
        <w:rPr>
          <w:sz w:val="22"/>
        </w:rPr>
        <w:t>CPs</w:t>
      </w:r>
      <w:r>
        <w:rPr>
          <w:spacing w:val="-9"/>
          <w:sz w:val="22"/>
        </w:rPr>
        <w:t> </w:t>
      </w:r>
      <w:r>
        <w:rPr>
          <w:sz w:val="22"/>
        </w:rPr>
        <w:t>and</w:t>
      </w:r>
      <w:r>
        <w:rPr>
          <w:spacing w:val="-7"/>
          <w:sz w:val="22"/>
        </w:rPr>
        <w:t> </w:t>
      </w:r>
      <w:r>
        <w:rPr>
          <w:sz w:val="22"/>
        </w:rPr>
        <w:t>CSAs</w:t>
      </w:r>
      <w:r>
        <w:rPr>
          <w:spacing w:val="-7"/>
          <w:sz w:val="22"/>
        </w:rPr>
        <w:t> </w:t>
      </w:r>
      <w:r>
        <w:rPr>
          <w:sz w:val="22"/>
        </w:rPr>
        <w:t>will</w:t>
      </w:r>
      <w:r>
        <w:rPr>
          <w:spacing w:val="-6"/>
          <w:sz w:val="22"/>
        </w:rPr>
        <w:t> </w:t>
      </w:r>
      <w:r>
        <w:rPr>
          <w:sz w:val="22"/>
        </w:rPr>
        <w:t>be</w:t>
      </w:r>
      <w:r>
        <w:rPr>
          <w:spacing w:val="-7"/>
          <w:sz w:val="22"/>
        </w:rPr>
        <w:t> </w:t>
      </w:r>
      <w:r>
        <w:rPr>
          <w:sz w:val="22"/>
        </w:rPr>
        <w:t>eligible</w:t>
      </w:r>
      <w:r>
        <w:rPr>
          <w:spacing w:val="-9"/>
          <w:sz w:val="22"/>
        </w:rPr>
        <w:t> </w:t>
      </w:r>
      <w:r>
        <w:rPr>
          <w:sz w:val="22"/>
        </w:rPr>
        <w:t>for</w:t>
      </w:r>
      <w:r>
        <w:rPr>
          <w:spacing w:val="-9"/>
          <w:sz w:val="22"/>
        </w:rPr>
        <w:t> </w:t>
      </w:r>
      <w:r>
        <w:rPr>
          <w:sz w:val="22"/>
        </w:rPr>
        <w:t>funds</w:t>
      </w:r>
      <w:r>
        <w:rPr>
          <w:spacing w:val="-7"/>
          <w:sz w:val="22"/>
        </w:rPr>
        <w:t> </w:t>
      </w:r>
      <w:r>
        <w:rPr>
          <w:sz w:val="22"/>
        </w:rPr>
        <w:t>at</w:t>
      </w:r>
      <w:r>
        <w:rPr>
          <w:spacing w:val="-6"/>
          <w:sz w:val="22"/>
        </w:rPr>
        <w:t> </w:t>
      </w:r>
      <w:r>
        <w:rPr>
          <w:sz w:val="22"/>
        </w:rPr>
        <w:t>risk</w:t>
      </w:r>
      <w:r>
        <w:rPr>
          <w:spacing w:val="-10"/>
          <w:sz w:val="22"/>
        </w:rPr>
        <w:t> </w:t>
      </w:r>
      <w:r>
        <w:rPr>
          <w:sz w:val="22"/>
        </w:rPr>
        <w:t>in</w:t>
      </w:r>
      <w:r>
        <w:rPr>
          <w:spacing w:val="-7"/>
          <w:sz w:val="22"/>
        </w:rPr>
        <w:t> </w:t>
      </w:r>
      <w:r>
        <w:rPr>
          <w:sz w:val="22"/>
        </w:rPr>
        <w:t>Budget</w:t>
      </w:r>
      <w:r>
        <w:rPr>
          <w:spacing w:val="-6"/>
          <w:sz w:val="22"/>
        </w:rPr>
        <w:t> </w:t>
      </w:r>
      <w:r>
        <w:rPr>
          <w:sz w:val="22"/>
        </w:rPr>
        <w:t>Period</w:t>
      </w:r>
      <w:r>
        <w:rPr>
          <w:spacing w:val="-7"/>
          <w:sz w:val="22"/>
        </w:rPr>
        <w:t> </w:t>
      </w:r>
      <w:r>
        <w:rPr>
          <w:sz w:val="22"/>
        </w:rPr>
        <w:t>2</w:t>
      </w:r>
      <w:r>
        <w:rPr>
          <w:spacing w:val="-7"/>
          <w:sz w:val="22"/>
        </w:rPr>
        <w:t> </w:t>
      </w:r>
      <w:r>
        <w:rPr>
          <w:sz w:val="22"/>
        </w:rPr>
        <w:t>provided</w:t>
      </w:r>
      <w:r>
        <w:rPr>
          <w:spacing w:val="-7"/>
          <w:sz w:val="22"/>
        </w:rPr>
        <w:t> </w:t>
      </w:r>
      <w:r>
        <w:rPr>
          <w:sz w:val="22"/>
        </w:rPr>
        <w:t>they</w:t>
      </w:r>
      <w:r>
        <w:rPr>
          <w:spacing w:val="-10"/>
          <w:sz w:val="22"/>
        </w:rPr>
        <w:t> </w:t>
      </w:r>
      <w:r>
        <w:rPr>
          <w:sz w:val="22"/>
        </w:rPr>
        <w:t>comply</w:t>
      </w:r>
      <w:r>
        <w:rPr>
          <w:spacing w:val="-10"/>
          <w:sz w:val="22"/>
        </w:rPr>
        <w:t> </w:t>
      </w:r>
      <w:r>
        <w:rPr>
          <w:sz w:val="22"/>
        </w:rPr>
        <w:t>with pay-for-reporting requirements. For example, if all required reporting elements are met (i.e., within minimum reporting standards set by the State), the entity will be eligible for 100% of the at-risk funds.</w:t>
      </w:r>
    </w:p>
    <w:p>
      <w:pPr>
        <w:spacing w:before="159"/>
        <w:ind w:left="1220" w:right="1094" w:firstLine="0"/>
        <w:jc w:val="both"/>
        <w:rPr>
          <w:sz w:val="22"/>
        </w:rPr>
      </w:pPr>
      <w:r>
        <w:rPr>
          <w:sz w:val="22"/>
        </w:rPr>
        <w:t>Should a new CP or CSA join the program, the new CP’s or CSA’s first Budget Period will be used to establish baseline data for relevant Quality Measures. Should significant numbers (e.g., 10% increase in members) of new CPs or CSAs join the program, achievement targets may need to be re-calculated. The State will submit any such modification requests as described below in Section 5.4.6.1.</w:t>
      </w:r>
    </w:p>
    <w:p>
      <w:pPr>
        <w:pStyle w:val="ListParagraph"/>
        <w:numPr>
          <w:ilvl w:val="2"/>
          <w:numId w:val="77"/>
        </w:numPr>
        <w:tabs>
          <w:tab w:pos="1939" w:val="left" w:leader="none"/>
        </w:tabs>
        <w:spacing w:line="252" w:lineRule="exact" w:before="200" w:after="0"/>
        <w:ind w:left="1939" w:right="0" w:hanging="719"/>
        <w:jc w:val="both"/>
        <w:rPr>
          <w:b/>
          <w:color w:val="4471C4"/>
          <w:sz w:val="22"/>
        </w:rPr>
      </w:pPr>
      <w:bookmarkStart w:name="5.4.5 Outcomes Based Payments" w:id="1429"/>
      <w:bookmarkEnd w:id="1429"/>
      <w:r>
        <w:rPr/>
      </w:r>
      <w:bookmarkStart w:name="_bookmark92" w:id="1430"/>
      <w:bookmarkEnd w:id="1430"/>
      <w:r>
        <w:rPr/>
      </w:r>
      <w:r>
        <w:rPr>
          <w:b/>
          <w:color w:val="4471C4"/>
          <w:sz w:val="22"/>
        </w:rPr>
        <w:t>Outcomes</w:t>
      </w:r>
      <w:r>
        <w:rPr>
          <w:b/>
          <w:color w:val="4471C4"/>
          <w:spacing w:val="-5"/>
          <w:sz w:val="22"/>
        </w:rPr>
        <w:t> </w:t>
      </w:r>
      <w:r>
        <w:rPr>
          <w:b/>
          <w:color w:val="4471C4"/>
          <w:sz w:val="22"/>
        </w:rPr>
        <w:t>Based</w:t>
      </w:r>
      <w:r>
        <w:rPr>
          <w:b/>
          <w:color w:val="4471C4"/>
          <w:spacing w:val="-5"/>
          <w:sz w:val="22"/>
        </w:rPr>
        <w:t> </w:t>
      </w:r>
      <w:r>
        <w:rPr>
          <w:b/>
          <w:color w:val="4471C4"/>
          <w:spacing w:val="-2"/>
          <w:sz w:val="22"/>
        </w:rPr>
        <w:t>Payments</w:t>
      </w:r>
    </w:p>
    <w:p>
      <w:pPr>
        <w:spacing w:before="0"/>
        <w:ind w:left="1220" w:right="1093" w:firstLine="0"/>
        <w:jc w:val="both"/>
        <w:rPr>
          <w:sz w:val="22"/>
        </w:rPr>
      </w:pPr>
      <w:r>
        <w:rPr>
          <w:sz w:val="22"/>
        </w:rPr>
        <w:t>Beginning</w:t>
      </w:r>
      <w:r>
        <w:rPr>
          <w:spacing w:val="-12"/>
          <w:sz w:val="22"/>
        </w:rPr>
        <w:t> </w:t>
      </w:r>
      <w:r>
        <w:rPr>
          <w:sz w:val="22"/>
        </w:rPr>
        <w:t>in</w:t>
      </w:r>
      <w:r>
        <w:rPr>
          <w:spacing w:val="-10"/>
          <w:sz w:val="22"/>
        </w:rPr>
        <w:t> </w:t>
      </w:r>
      <w:r>
        <w:rPr>
          <w:sz w:val="22"/>
        </w:rPr>
        <w:t>Performance</w:t>
      </w:r>
      <w:r>
        <w:rPr>
          <w:spacing w:val="-11"/>
          <w:sz w:val="22"/>
        </w:rPr>
        <w:t> </w:t>
      </w:r>
      <w:r>
        <w:rPr>
          <w:sz w:val="22"/>
        </w:rPr>
        <w:t>Year</w:t>
      </w:r>
      <w:r>
        <w:rPr>
          <w:spacing w:val="-9"/>
          <w:sz w:val="22"/>
        </w:rPr>
        <w:t> </w:t>
      </w:r>
      <w:r>
        <w:rPr>
          <w:sz w:val="22"/>
        </w:rPr>
        <w:t>3,</w:t>
      </w:r>
      <w:r>
        <w:rPr>
          <w:spacing w:val="-9"/>
          <w:sz w:val="22"/>
        </w:rPr>
        <w:t> </w:t>
      </w:r>
      <w:r>
        <w:rPr>
          <w:sz w:val="22"/>
        </w:rPr>
        <w:t>the</w:t>
      </w:r>
      <w:r>
        <w:rPr>
          <w:spacing w:val="-9"/>
          <w:sz w:val="22"/>
        </w:rPr>
        <w:t> </w:t>
      </w:r>
      <w:r>
        <w:rPr>
          <w:sz w:val="22"/>
        </w:rPr>
        <w:t>State</w:t>
      </w:r>
      <w:r>
        <w:rPr>
          <w:spacing w:val="-9"/>
          <w:sz w:val="22"/>
        </w:rPr>
        <w:t> </w:t>
      </w:r>
      <w:r>
        <w:rPr>
          <w:sz w:val="22"/>
        </w:rPr>
        <w:t>will</w:t>
      </w:r>
      <w:r>
        <w:rPr>
          <w:spacing w:val="-8"/>
          <w:sz w:val="22"/>
        </w:rPr>
        <w:t> </w:t>
      </w:r>
      <w:r>
        <w:rPr>
          <w:sz w:val="22"/>
        </w:rPr>
        <w:t>establish</w:t>
      </w:r>
      <w:r>
        <w:rPr>
          <w:spacing w:val="-10"/>
          <w:sz w:val="22"/>
        </w:rPr>
        <w:t> </w:t>
      </w:r>
      <w:r>
        <w:rPr>
          <w:sz w:val="22"/>
        </w:rPr>
        <w:t>an</w:t>
      </w:r>
      <w:r>
        <w:rPr>
          <w:spacing w:val="-10"/>
          <w:sz w:val="22"/>
        </w:rPr>
        <w:t> </w:t>
      </w:r>
      <w:r>
        <w:rPr>
          <w:sz w:val="22"/>
        </w:rPr>
        <w:t>annual</w:t>
      </w:r>
      <w:r>
        <w:rPr>
          <w:spacing w:val="-8"/>
          <w:sz w:val="22"/>
        </w:rPr>
        <w:t> </w:t>
      </w:r>
      <w:r>
        <w:rPr>
          <w:sz w:val="22"/>
        </w:rPr>
        <w:t>outcomes-based</w:t>
      </w:r>
      <w:r>
        <w:rPr>
          <w:spacing w:val="-10"/>
          <w:sz w:val="22"/>
        </w:rPr>
        <w:t> </w:t>
      </w:r>
      <w:r>
        <w:rPr>
          <w:sz w:val="22"/>
        </w:rPr>
        <w:t>payment</w:t>
      </w:r>
      <w:r>
        <w:rPr>
          <w:spacing w:val="-9"/>
          <w:sz w:val="22"/>
        </w:rPr>
        <w:t> </w:t>
      </w:r>
      <w:r>
        <w:rPr>
          <w:sz w:val="22"/>
        </w:rPr>
        <w:t>pool</w:t>
      </w:r>
      <w:r>
        <w:rPr>
          <w:spacing w:val="-9"/>
          <w:sz w:val="22"/>
        </w:rPr>
        <w:t> </w:t>
      </w:r>
      <w:r>
        <w:rPr>
          <w:sz w:val="22"/>
        </w:rPr>
        <w:t>for</w:t>
      </w:r>
      <w:r>
        <w:rPr>
          <w:spacing w:val="-9"/>
          <w:sz w:val="22"/>
        </w:rPr>
        <w:t> </w:t>
      </w:r>
      <w:r>
        <w:rPr>
          <w:sz w:val="22"/>
        </w:rPr>
        <w:t>both the</w:t>
      </w:r>
      <w:r>
        <w:rPr>
          <w:spacing w:val="-1"/>
          <w:sz w:val="22"/>
        </w:rPr>
        <w:t> </w:t>
      </w:r>
      <w:r>
        <w:rPr>
          <w:sz w:val="22"/>
        </w:rPr>
        <w:t>BH</w:t>
      </w:r>
      <w:r>
        <w:rPr>
          <w:spacing w:val="-2"/>
          <w:sz w:val="22"/>
        </w:rPr>
        <w:t> </w:t>
      </w:r>
      <w:r>
        <w:rPr>
          <w:sz w:val="22"/>
        </w:rPr>
        <w:t>and</w:t>
      </w:r>
      <w:r>
        <w:rPr>
          <w:spacing w:val="-1"/>
          <w:sz w:val="22"/>
        </w:rPr>
        <w:t> </w:t>
      </w:r>
      <w:r>
        <w:rPr>
          <w:sz w:val="22"/>
        </w:rPr>
        <w:t>LTSS</w:t>
      </w:r>
      <w:r>
        <w:rPr>
          <w:spacing w:val="-2"/>
          <w:sz w:val="22"/>
        </w:rPr>
        <w:t> </w:t>
      </w:r>
      <w:r>
        <w:rPr>
          <w:sz w:val="22"/>
        </w:rPr>
        <w:t>CPs.</w:t>
      </w:r>
      <w:r>
        <w:rPr>
          <w:spacing w:val="-1"/>
          <w:sz w:val="22"/>
        </w:rPr>
        <w:t> </w:t>
      </w:r>
      <w:r>
        <w:rPr>
          <w:sz w:val="22"/>
        </w:rPr>
        <w:t>Any</w:t>
      </w:r>
      <w:r>
        <w:rPr>
          <w:spacing w:val="-4"/>
          <w:sz w:val="22"/>
        </w:rPr>
        <w:t> </w:t>
      </w:r>
      <w:r>
        <w:rPr>
          <w:sz w:val="22"/>
        </w:rPr>
        <w:t>CP</w:t>
      </w:r>
      <w:r>
        <w:rPr>
          <w:spacing w:val="-2"/>
          <w:sz w:val="22"/>
        </w:rPr>
        <w:t> </w:t>
      </w:r>
      <w:r>
        <w:rPr>
          <w:sz w:val="22"/>
        </w:rPr>
        <w:t>equaling</w:t>
      </w:r>
      <w:r>
        <w:rPr>
          <w:spacing w:val="-4"/>
          <w:sz w:val="22"/>
        </w:rPr>
        <w:t> </w:t>
      </w:r>
      <w:r>
        <w:rPr>
          <w:sz w:val="22"/>
        </w:rPr>
        <w:t>or exceeding</w:t>
      </w:r>
      <w:r>
        <w:rPr>
          <w:spacing w:val="-4"/>
          <w:sz w:val="22"/>
        </w:rPr>
        <w:t> </w:t>
      </w:r>
      <w:r>
        <w:rPr>
          <w:sz w:val="22"/>
        </w:rPr>
        <w:t>the</w:t>
      </w:r>
      <w:r>
        <w:rPr>
          <w:spacing w:val="-1"/>
          <w:sz w:val="22"/>
        </w:rPr>
        <w:t> </w:t>
      </w:r>
      <w:r>
        <w:rPr>
          <w:sz w:val="22"/>
        </w:rPr>
        <w:t>Goal Benchmark</w:t>
      </w:r>
      <w:r>
        <w:rPr>
          <w:spacing w:val="-4"/>
          <w:sz w:val="22"/>
        </w:rPr>
        <w:t> </w:t>
      </w:r>
      <w:r>
        <w:rPr>
          <w:sz w:val="22"/>
        </w:rPr>
        <w:t>for either</w:t>
      </w:r>
      <w:r>
        <w:rPr>
          <w:spacing w:val="-3"/>
          <w:sz w:val="22"/>
        </w:rPr>
        <w:t> </w:t>
      </w:r>
      <w:r>
        <w:rPr>
          <w:sz w:val="22"/>
        </w:rPr>
        <w:t>of</w:t>
      </w:r>
      <w:r>
        <w:rPr>
          <w:spacing w:val="-3"/>
          <w:sz w:val="22"/>
        </w:rPr>
        <w:t> </w:t>
      </w:r>
      <w:r>
        <w:rPr>
          <w:sz w:val="22"/>
        </w:rPr>
        <w:t>the</w:t>
      </w:r>
      <w:r>
        <w:rPr>
          <w:spacing w:val="-1"/>
          <w:sz w:val="22"/>
        </w:rPr>
        <w:t> </w:t>
      </w:r>
      <w:r>
        <w:rPr>
          <w:sz w:val="22"/>
        </w:rPr>
        <w:t>two</w:t>
      </w:r>
      <w:r>
        <w:rPr>
          <w:spacing w:val="-1"/>
          <w:sz w:val="22"/>
        </w:rPr>
        <w:t> </w:t>
      </w:r>
      <w:r>
        <w:rPr>
          <w:sz w:val="22"/>
        </w:rPr>
        <w:t>measures in</w:t>
      </w:r>
      <w:r>
        <w:rPr>
          <w:spacing w:val="-12"/>
          <w:sz w:val="22"/>
        </w:rPr>
        <w:t> </w:t>
      </w:r>
      <w:r>
        <w:rPr>
          <w:sz w:val="22"/>
        </w:rPr>
        <w:t>the</w:t>
      </w:r>
      <w:r>
        <w:rPr>
          <w:spacing w:val="-9"/>
          <w:sz w:val="22"/>
        </w:rPr>
        <w:t> </w:t>
      </w:r>
      <w:r>
        <w:rPr>
          <w:sz w:val="22"/>
        </w:rPr>
        <w:t>Avoidable</w:t>
      </w:r>
      <w:r>
        <w:rPr>
          <w:spacing w:val="-12"/>
          <w:sz w:val="22"/>
        </w:rPr>
        <w:t> </w:t>
      </w:r>
      <w:r>
        <w:rPr>
          <w:sz w:val="22"/>
        </w:rPr>
        <w:t>Utilization</w:t>
      </w:r>
      <w:r>
        <w:rPr>
          <w:spacing w:val="-12"/>
          <w:sz w:val="22"/>
        </w:rPr>
        <w:t> </w:t>
      </w:r>
      <w:r>
        <w:rPr>
          <w:sz w:val="22"/>
        </w:rPr>
        <w:t>domain</w:t>
      </w:r>
      <w:r>
        <w:rPr>
          <w:spacing w:val="-10"/>
          <w:sz w:val="22"/>
        </w:rPr>
        <w:t> </w:t>
      </w:r>
      <w:r>
        <w:rPr>
          <w:sz w:val="22"/>
        </w:rPr>
        <w:t>in</w:t>
      </w:r>
      <w:r>
        <w:rPr>
          <w:spacing w:val="-12"/>
          <w:sz w:val="22"/>
        </w:rPr>
        <w:t> </w:t>
      </w:r>
      <w:r>
        <w:rPr>
          <w:sz w:val="22"/>
        </w:rPr>
        <w:t>a</w:t>
      </w:r>
      <w:r>
        <w:rPr>
          <w:spacing w:val="-9"/>
          <w:sz w:val="22"/>
        </w:rPr>
        <w:t> </w:t>
      </w:r>
      <w:r>
        <w:rPr>
          <w:sz w:val="22"/>
        </w:rPr>
        <w:t>given</w:t>
      </w:r>
      <w:r>
        <w:rPr>
          <w:spacing w:val="-10"/>
          <w:sz w:val="22"/>
        </w:rPr>
        <w:t> </w:t>
      </w:r>
      <w:r>
        <w:rPr>
          <w:sz w:val="22"/>
        </w:rPr>
        <w:t>Budget</w:t>
      </w:r>
      <w:r>
        <w:rPr>
          <w:spacing w:val="-11"/>
          <w:sz w:val="22"/>
        </w:rPr>
        <w:t> </w:t>
      </w:r>
      <w:r>
        <w:rPr>
          <w:sz w:val="22"/>
        </w:rPr>
        <w:t>Period</w:t>
      </w:r>
      <w:r>
        <w:rPr>
          <w:spacing w:val="-10"/>
          <w:sz w:val="22"/>
        </w:rPr>
        <w:t> </w:t>
      </w:r>
      <w:r>
        <w:rPr>
          <w:sz w:val="22"/>
        </w:rPr>
        <w:t>will</w:t>
      </w:r>
      <w:r>
        <w:rPr>
          <w:spacing w:val="-11"/>
          <w:sz w:val="22"/>
        </w:rPr>
        <w:t> </w:t>
      </w:r>
      <w:r>
        <w:rPr>
          <w:sz w:val="22"/>
        </w:rPr>
        <w:t>be</w:t>
      </w:r>
      <w:r>
        <w:rPr>
          <w:spacing w:val="-11"/>
          <w:sz w:val="22"/>
        </w:rPr>
        <w:t> </w:t>
      </w:r>
      <w:r>
        <w:rPr>
          <w:sz w:val="22"/>
        </w:rPr>
        <w:t>eligible</w:t>
      </w:r>
      <w:r>
        <w:rPr>
          <w:spacing w:val="-9"/>
          <w:sz w:val="22"/>
        </w:rPr>
        <w:t> </w:t>
      </w:r>
      <w:r>
        <w:rPr>
          <w:sz w:val="22"/>
        </w:rPr>
        <w:t>for</w:t>
      </w:r>
      <w:r>
        <w:rPr>
          <w:spacing w:val="-9"/>
          <w:sz w:val="22"/>
        </w:rPr>
        <w:t> </w:t>
      </w:r>
      <w:r>
        <w:rPr>
          <w:sz w:val="22"/>
        </w:rPr>
        <w:t>outcomes-based</w:t>
      </w:r>
      <w:r>
        <w:rPr>
          <w:spacing w:val="-10"/>
          <w:sz w:val="22"/>
        </w:rPr>
        <w:t> </w:t>
      </w:r>
      <w:r>
        <w:rPr>
          <w:sz w:val="22"/>
        </w:rPr>
        <w:t>payments for that Budget Period. Further, each of the two measures within the Avoidable Utilization domain will correspond to 50% of</w:t>
      </w:r>
      <w:r>
        <w:rPr>
          <w:spacing w:val="-1"/>
          <w:sz w:val="22"/>
        </w:rPr>
        <w:t> </w:t>
      </w:r>
      <w:r>
        <w:rPr>
          <w:sz w:val="22"/>
        </w:rPr>
        <w:t>available</w:t>
      </w:r>
      <w:r>
        <w:rPr>
          <w:spacing w:val="-2"/>
          <w:sz w:val="22"/>
        </w:rPr>
        <w:t> </w:t>
      </w:r>
      <w:r>
        <w:rPr>
          <w:sz w:val="22"/>
        </w:rPr>
        <w:t>funds within the outcomes-based payment pools</w:t>
      </w:r>
      <w:r>
        <w:rPr>
          <w:spacing w:val="-2"/>
          <w:sz w:val="22"/>
        </w:rPr>
        <w:t> </w:t>
      </w:r>
      <w:r>
        <w:rPr>
          <w:sz w:val="22"/>
        </w:rPr>
        <w:t>for the BH</w:t>
      </w:r>
      <w:r>
        <w:rPr>
          <w:spacing w:val="-1"/>
          <w:sz w:val="22"/>
        </w:rPr>
        <w:t> </w:t>
      </w:r>
      <w:r>
        <w:rPr>
          <w:sz w:val="22"/>
        </w:rPr>
        <w:t>CP and LTSS CP programs. For example, a BH CP that equals or exceeds the Goal Benchmark for an Avoidable Utilization measure will be eligible to share in the 50% of available funds within the BH CP outcomes- based payment pool for a specific Budget Period.</w:t>
      </w:r>
    </w:p>
    <w:p>
      <w:pPr>
        <w:spacing w:line="242" w:lineRule="auto" w:before="160"/>
        <w:ind w:left="1219" w:right="1095" w:firstLine="0"/>
        <w:jc w:val="both"/>
        <w:rPr>
          <w:sz w:val="22"/>
        </w:rPr>
      </w:pPr>
      <w:r>
        <w:rPr>
          <w:sz w:val="22"/>
        </w:rPr>
        <w:t>Each eligible CP will receive a portion of the outcomes-based payment pool based on the total number of eligible CPs. For example, if the total number of CPs that equal or exceed the Goal Benchmark for a measure within the Avoidable Utilization domain is 3, then each CP would receive 33.3% of the 50% of available funds within the outcomes-based payment pool corresponding to that measure.</w:t>
      </w:r>
    </w:p>
    <w:p>
      <w:pPr>
        <w:pStyle w:val="ListParagraph"/>
        <w:numPr>
          <w:ilvl w:val="2"/>
          <w:numId w:val="77"/>
        </w:numPr>
        <w:tabs>
          <w:tab w:pos="1938" w:val="left" w:leader="none"/>
        </w:tabs>
        <w:spacing w:line="240" w:lineRule="auto" w:before="192" w:after="0"/>
        <w:ind w:left="1938" w:right="0" w:hanging="719"/>
        <w:jc w:val="both"/>
        <w:rPr>
          <w:b/>
          <w:color w:val="4471C4"/>
          <w:sz w:val="22"/>
        </w:rPr>
      </w:pPr>
      <w:bookmarkStart w:name="5.4.6 Process for calculating CP/CSA DSR" w:id="1431"/>
      <w:bookmarkEnd w:id="1431"/>
      <w:r>
        <w:rPr/>
      </w:r>
      <w:bookmarkStart w:name="5.4.6.1 Roles and responsibilities" w:id="1432"/>
      <w:bookmarkEnd w:id="1432"/>
      <w:r>
        <w:rPr/>
      </w:r>
      <w:bookmarkStart w:name="_bookmark93" w:id="1433"/>
      <w:bookmarkEnd w:id="1433"/>
      <w:r>
        <w:rPr/>
      </w:r>
      <w:r>
        <w:rPr>
          <w:b/>
          <w:color w:val="4471C4"/>
          <w:sz w:val="22"/>
        </w:rPr>
        <w:t>Process</w:t>
      </w:r>
      <w:r>
        <w:rPr>
          <w:b/>
          <w:color w:val="4471C4"/>
          <w:spacing w:val="-9"/>
          <w:sz w:val="22"/>
        </w:rPr>
        <w:t> </w:t>
      </w:r>
      <w:r>
        <w:rPr>
          <w:b/>
          <w:color w:val="4471C4"/>
          <w:sz w:val="22"/>
        </w:rPr>
        <w:t>for</w:t>
      </w:r>
      <w:r>
        <w:rPr>
          <w:b/>
          <w:color w:val="4471C4"/>
          <w:spacing w:val="-6"/>
          <w:sz w:val="22"/>
        </w:rPr>
        <w:t> </w:t>
      </w:r>
      <w:r>
        <w:rPr>
          <w:b/>
          <w:color w:val="4471C4"/>
          <w:sz w:val="22"/>
        </w:rPr>
        <w:t>calculating</w:t>
      </w:r>
      <w:r>
        <w:rPr>
          <w:b/>
          <w:color w:val="4471C4"/>
          <w:spacing w:val="-5"/>
          <w:sz w:val="22"/>
        </w:rPr>
        <w:t> </w:t>
      </w:r>
      <w:r>
        <w:rPr>
          <w:b/>
          <w:color w:val="4471C4"/>
          <w:sz w:val="22"/>
        </w:rPr>
        <w:t>CP/CSA</w:t>
      </w:r>
      <w:r>
        <w:rPr>
          <w:b/>
          <w:color w:val="4471C4"/>
          <w:spacing w:val="-6"/>
          <w:sz w:val="22"/>
        </w:rPr>
        <w:t> </w:t>
      </w:r>
      <w:r>
        <w:rPr>
          <w:b/>
          <w:color w:val="4471C4"/>
          <w:sz w:val="22"/>
        </w:rPr>
        <w:t>DSRIP</w:t>
      </w:r>
      <w:r>
        <w:rPr>
          <w:b/>
          <w:color w:val="4471C4"/>
          <w:spacing w:val="-3"/>
          <w:sz w:val="22"/>
        </w:rPr>
        <w:t> </w:t>
      </w:r>
      <w:r>
        <w:rPr>
          <w:b/>
          <w:color w:val="4471C4"/>
          <w:sz w:val="22"/>
        </w:rPr>
        <w:t>Accountability</w:t>
      </w:r>
      <w:r>
        <w:rPr>
          <w:b/>
          <w:color w:val="4471C4"/>
          <w:spacing w:val="-5"/>
          <w:sz w:val="22"/>
        </w:rPr>
        <w:t> </w:t>
      </w:r>
      <w:r>
        <w:rPr>
          <w:b/>
          <w:color w:val="4471C4"/>
          <w:spacing w:val="-2"/>
          <w:sz w:val="22"/>
        </w:rPr>
        <w:t>Scores</w:t>
      </w:r>
    </w:p>
    <w:p>
      <w:pPr>
        <w:pStyle w:val="ListParagraph"/>
        <w:numPr>
          <w:ilvl w:val="3"/>
          <w:numId w:val="77"/>
        </w:numPr>
        <w:tabs>
          <w:tab w:pos="1938" w:val="left" w:leader="none"/>
        </w:tabs>
        <w:spacing w:line="240" w:lineRule="auto" w:before="200" w:after="0"/>
        <w:ind w:left="1938" w:right="0" w:hanging="719"/>
        <w:jc w:val="both"/>
        <w:rPr>
          <w:color w:val="4471C4"/>
          <w:sz w:val="22"/>
        </w:rPr>
      </w:pPr>
      <w:r>
        <w:rPr>
          <w:b/>
          <w:i/>
          <w:color w:val="4471C4"/>
          <w:sz w:val="22"/>
        </w:rPr>
        <w:t>Roles</w:t>
      </w:r>
      <w:r>
        <w:rPr>
          <w:b/>
          <w:i/>
          <w:color w:val="4471C4"/>
          <w:spacing w:val="-2"/>
          <w:sz w:val="22"/>
        </w:rPr>
        <w:t> </w:t>
      </w:r>
      <w:r>
        <w:rPr>
          <w:b/>
          <w:i/>
          <w:color w:val="4471C4"/>
          <w:sz w:val="22"/>
        </w:rPr>
        <w:t>and</w:t>
      </w:r>
      <w:r>
        <w:rPr>
          <w:b/>
          <w:i/>
          <w:color w:val="4471C4"/>
          <w:spacing w:val="-2"/>
          <w:sz w:val="22"/>
        </w:rPr>
        <w:t> responsibilities</w:t>
      </w:r>
    </w:p>
    <w:p>
      <w:pPr>
        <w:spacing w:before="35"/>
        <w:ind w:left="1219" w:right="1093" w:firstLine="0"/>
        <w:jc w:val="both"/>
        <w:rPr>
          <w:sz w:val="22"/>
        </w:rPr>
      </w:pPr>
      <w:r>
        <w:rPr>
          <w:sz w:val="22"/>
        </w:rPr>
        <w:t>The State will be responsible for establishing the elements that comprise the calculating CP/CSA DSRIP Accountability</w:t>
      </w:r>
      <w:r>
        <w:rPr>
          <w:spacing w:val="-14"/>
          <w:sz w:val="22"/>
        </w:rPr>
        <w:t> </w:t>
      </w:r>
      <w:r>
        <w:rPr>
          <w:sz w:val="22"/>
        </w:rPr>
        <w:t>Scores,</w:t>
      </w:r>
      <w:r>
        <w:rPr>
          <w:spacing w:val="-14"/>
          <w:sz w:val="22"/>
        </w:rPr>
        <w:t> </w:t>
      </w:r>
      <w:r>
        <w:rPr>
          <w:sz w:val="22"/>
        </w:rPr>
        <w:t>including</w:t>
      </w:r>
      <w:r>
        <w:rPr>
          <w:spacing w:val="-14"/>
          <w:sz w:val="22"/>
        </w:rPr>
        <w:t> </w:t>
      </w:r>
      <w:r>
        <w:rPr>
          <w:sz w:val="22"/>
        </w:rPr>
        <w:t>its</w:t>
      </w:r>
      <w:r>
        <w:rPr>
          <w:spacing w:val="-13"/>
          <w:sz w:val="22"/>
        </w:rPr>
        <w:t> </w:t>
      </w:r>
      <w:r>
        <w:rPr>
          <w:sz w:val="22"/>
        </w:rPr>
        <w:t>Quality</w:t>
      </w:r>
      <w:r>
        <w:rPr>
          <w:spacing w:val="-14"/>
          <w:sz w:val="22"/>
        </w:rPr>
        <w:t> </w:t>
      </w:r>
      <w:r>
        <w:rPr>
          <w:sz w:val="22"/>
        </w:rPr>
        <w:t>Measures,</w:t>
      </w:r>
      <w:r>
        <w:rPr>
          <w:spacing w:val="-14"/>
          <w:sz w:val="22"/>
        </w:rPr>
        <w:t> </w:t>
      </w:r>
      <w:r>
        <w:rPr>
          <w:sz w:val="22"/>
        </w:rPr>
        <w:t>the</w:t>
      </w:r>
      <w:r>
        <w:rPr>
          <w:spacing w:val="-14"/>
          <w:sz w:val="22"/>
        </w:rPr>
        <w:t> </w:t>
      </w:r>
      <w:r>
        <w:rPr>
          <w:sz w:val="22"/>
        </w:rPr>
        <w:t>specifications</w:t>
      </w:r>
      <w:r>
        <w:rPr>
          <w:spacing w:val="-13"/>
          <w:sz w:val="22"/>
        </w:rPr>
        <w:t> </w:t>
      </w:r>
      <w:r>
        <w:rPr>
          <w:sz w:val="22"/>
        </w:rPr>
        <w:t>for</w:t>
      </w:r>
      <w:r>
        <w:rPr>
          <w:spacing w:val="-14"/>
          <w:sz w:val="22"/>
        </w:rPr>
        <w:t> </w:t>
      </w:r>
      <w:r>
        <w:rPr>
          <w:sz w:val="22"/>
        </w:rPr>
        <w:t>each</w:t>
      </w:r>
      <w:r>
        <w:rPr>
          <w:spacing w:val="-14"/>
          <w:sz w:val="22"/>
        </w:rPr>
        <w:t> </w:t>
      </w:r>
      <w:r>
        <w:rPr>
          <w:sz w:val="22"/>
        </w:rPr>
        <w:t>Quality</w:t>
      </w:r>
      <w:r>
        <w:rPr>
          <w:spacing w:val="-14"/>
          <w:sz w:val="22"/>
        </w:rPr>
        <w:t> </w:t>
      </w:r>
      <w:r>
        <w:rPr>
          <w:sz w:val="22"/>
        </w:rPr>
        <w:t>Measure,</w:t>
      </w:r>
      <w:r>
        <w:rPr>
          <w:spacing w:val="-13"/>
          <w:sz w:val="22"/>
        </w:rPr>
        <w:t> </w:t>
      </w:r>
      <w:r>
        <w:rPr>
          <w:sz w:val="22"/>
        </w:rPr>
        <w:t>the</w:t>
      </w:r>
      <w:r>
        <w:rPr>
          <w:spacing w:val="-14"/>
          <w:sz w:val="22"/>
        </w:rPr>
        <w:t> </w:t>
      </w:r>
      <w:r>
        <w:rPr>
          <w:sz w:val="22"/>
        </w:rPr>
        <w:t>data sources for calculating the Quality Measures, the methodology for setting the Attainment Threshold and Goal Benchmark for each Quality Measure (where applicable), and the values of the thresholds and benchmarks themselves.</w:t>
      </w:r>
      <w:r>
        <w:rPr>
          <w:spacing w:val="-2"/>
          <w:sz w:val="22"/>
        </w:rPr>
        <w:t> </w:t>
      </w:r>
      <w:r>
        <w:rPr>
          <w:sz w:val="22"/>
        </w:rPr>
        <w:t>The State will also</w:t>
      </w:r>
      <w:r>
        <w:rPr>
          <w:spacing w:val="-2"/>
          <w:sz w:val="22"/>
        </w:rPr>
        <w:t> </w:t>
      </w:r>
      <w:r>
        <w:rPr>
          <w:sz w:val="22"/>
        </w:rPr>
        <w:t>establish the Minimum</w:t>
      </w:r>
      <w:r>
        <w:rPr>
          <w:spacing w:val="-4"/>
          <w:sz w:val="22"/>
        </w:rPr>
        <w:t> </w:t>
      </w:r>
      <w:r>
        <w:rPr>
          <w:sz w:val="22"/>
        </w:rPr>
        <w:t>Quality</w:t>
      </w:r>
      <w:r>
        <w:rPr>
          <w:spacing w:val="-2"/>
          <w:sz w:val="22"/>
        </w:rPr>
        <w:t> </w:t>
      </w:r>
      <w:r>
        <w:rPr>
          <w:sz w:val="22"/>
        </w:rPr>
        <w:t>Score</w:t>
      </w:r>
      <w:r>
        <w:rPr>
          <w:spacing w:val="-2"/>
          <w:sz w:val="22"/>
        </w:rPr>
        <w:t> </w:t>
      </w:r>
      <w:r>
        <w:rPr>
          <w:sz w:val="22"/>
        </w:rPr>
        <w:t>Threshold</w:t>
      </w:r>
      <w:r>
        <w:rPr>
          <w:spacing w:val="-2"/>
          <w:sz w:val="22"/>
        </w:rPr>
        <w:t> </w:t>
      </w:r>
      <w:r>
        <w:rPr>
          <w:sz w:val="22"/>
        </w:rPr>
        <w:t>and</w:t>
      </w:r>
      <w:r>
        <w:rPr>
          <w:spacing w:val="-2"/>
          <w:sz w:val="22"/>
        </w:rPr>
        <w:t> </w:t>
      </w:r>
      <w:r>
        <w:rPr>
          <w:sz w:val="22"/>
        </w:rPr>
        <w:t>the</w:t>
      </w:r>
      <w:r>
        <w:rPr>
          <w:spacing w:val="-2"/>
          <w:sz w:val="22"/>
        </w:rPr>
        <w:t> </w:t>
      </w:r>
      <w:r>
        <w:rPr>
          <w:sz w:val="22"/>
        </w:rPr>
        <w:t>Goal Quality</w:t>
      </w:r>
      <w:r>
        <w:rPr>
          <w:spacing w:val="15"/>
          <w:sz w:val="22"/>
        </w:rPr>
        <w:t> </w:t>
      </w:r>
      <w:r>
        <w:rPr>
          <w:sz w:val="22"/>
        </w:rPr>
        <w:t>Score</w:t>
      </w:r>
      <w:r>
        <w:rPr>
          <w:spacing w:val="18"/>
          <w:sz w:val="22"/>
        </w:rPr>
        <w:t> </w:t>
      </w:r>
      <w:r>
        <w:rPr>
          <w:sz w:val="22"/>
        </w:rPr>
        <w:t>Benchmark</w:t>
      </w:r>
      <w:r>
        <w:rPr>
          <w:spacing w:val="16"/>
          <w:sz w:val="22"/>
        </w:rPr>
        <w:t> </w:t>
      </w:r>
      <w:r>
        <w:rPr>
          <w:sz w:val="22"/>
        </w:rPr>
        <w:t>used</w:t>
      </w:r>
      <w:r>
        <w:rPr>
          <w:spacing w:val="18"/>
          <w:sz w:val="22"/>
        </w:rPr>
        <w:t> </w:t>
      </w:r>
      <w:r>
        <w:rPr>
          <w:sz w:val="22"/>
        </w:rPr>
        <w:t>to</w:t>
      </w:r>
      <w:r>
        <w:rPr>
          <w:spacing w:val="17"/>
          <w:sz w:val="22"/>
        </w:rPr>
        <w:t> </w:t>
      </w:r>
      <w:r>
        <w:rPr>
          <w:sz w:val="22"/>
        </w:rPr>
        <w:t>calculate</w:t>
      </w:r>
      <w:r>
        <w:rPr>
          <w:spacing w:val="18"/>
          <w:sz w:val="22"/>
        </w:rPr>
        <w:t> </w:t>
      </w:r>
      <w:r>
        <w:rPr>
          <w:sz w:val="22"/>
        </w:rPr>
        <w:t>the</w:t>
      </w:r>
      <w:r>
        <w:rPr>
          <w:spacing w:val="19"/>
          <w:sz w:val="22"/>
        </w:rPr>
        <w:t> </w:t>
      </w:r>
      <w:r>
        <w:rPr>
          <w:sz w:val="22"/>
        </w:rPr>
        <w:t>CP/CSA</w:t>
      </w:r>
      <w:r>
        <w:rPr>
          <w:spacing w:val="16"/>
          <w:sz w:val="22"/>
        </w:rPr>
        <w:t> </w:t>
      </w:r>
      <w:r>
        <w:rPr>
          <w:sz w:val="22"/>
        </w:rPr>
        <w:t>DSRIP</w:t>
      </w:r>
      <w:r>
        <w:rPr>
          <w:spacing w:val="18"/>
          <w:sz w:val="22"/>
        </w:rPr>
        <w:t> </w:t>
      </w:r>
      <w:r>
        <w:rPr>
          <w:sz w:val="22"/>
        </w:rPr>
        <w:t>Accountability</w:t>
      </w:r>
      <w:r>
        <w:rPr>
          <w:spacing w:val="15"/>
          <w:sz w:val="22"/>
        </w:rPr>
        <w:t> </w:t>
      </w:r>
      <w:r>
        <w:rPr>
          <w:sz w:val="22"/>
        </w:rPr>
        <w:t>Score.</w:t>
      </w:r>
      <w:r>
        <w:rPr>
          <w:spacing w:val="16"/>
          <w:sz w:val="22"/>
        </w:rPr>
        <w:t> </w:t>
      </w:r>
      <w:r>
        <w:rPr>
          <w:sz w:val="22"/>
        </w:rPr>
        <w:t>This</w:t>
      </w:r>
      <w:r>
        <w:rPr>
          <w:spacing w:val="16"/>
          <w:sz w:val="22"/>
        </w:rPr>
        <w:t> </w:t>
      </w:r>
      <w:r>
        <w:rPr>
          <w:sz w:val="22"/>
        </w:rPr>
        <w:t>sub-</w:t>
      </w:r>
      <w:r>
        <w:rPr>
          <w:spacing w:val="-2"/>
          <w:sz w:val="22"/>
        </w:rPr>
        <w:t>section</w:t>
      </w:r>
    </w:p>
    <w:p>
      <w:pPr>
        <w:spacing w:after="0"/>
        <w:jc w:val="both"/>
        <w:rPr>
          <w:sz w:val="22"/>
        </w:rPr>
        <w:sectPr>
          <w:pgSz w:w="12240" w:h="15840"/>
          <w:pgMar w:header="0" w:footer="967" w:top="1360" w:bottom="1160" w:left="220" w:right="340"/>
        </w:sectPr>
      </w:pPr>
    </w:p>
    <w:p>
      <w:pPr>
        <w:pStyle w:val="ListParagraph"/>
        <w:numPr>
          <w:ilvl w:val="3"/>
          <w:numId w:val="102"/>
        </w:numPr>
        <w:tabs>
          <w:tab w:pos="1876" w:val="left" w:leader="none"/>
        </w:tabs>
        <w:spacing w:line="240" w:lineRule="auto" w:before="78" w:after="0"/>
        <w:ind w:left="1219" w:right="1095" w:firstLine="0"/>
        <w:jc w:val="left"/>
        <w:rPr>
          <w:sz w:val="22"/>
        </w:rPr>
      </w:pPr>
      <w:r>
        <w:rPr>
          <w:sz w:val="22"/>
        </w:rPr>
        <w:t>details</w:t>
      </w:r>
      <w:r>
        <w:rPr>
          <w:spacing w:val="-8"/>
          <w:sz w:val="22"/>
        </w:rPr>
        <w:t> </w:t>
      </w:r>
      <w:r>
        <w:rPr>
          <w:sz w:val="22"/>
        </w:rPr>
        <w:t>the</w:t>
      </w:r>
      <w:r>
        <w:rPr>
          <w:spacing w:val="-8"/>
          <w:sz w:val="22"/>
        </w:rPr>
        <w:t> </w:t>
      </w:r>
      <w:r>
        <w:rPr>
          <w:sz w:val="22"/>
        </w:rPr>
        <w:t>roles</w:t>
      </w:r>
      <w:r>
        <w:rPr>
          <w:spacing w:val="-6"/>
          <w:sz w:val="22"/>
        </w:rPr>
        <w:t> </w:t>
      </w:r>
      <w:r>
        <w:rPr>
          <w:sz w:val="22"/>
        </w:rPr>
        <w:t>and</w:t>
      </w:r>
      <w:r>
        <w:rPr>
          <w:spacing w:val="-9"/>
          <w:sz w:val="22"/>
        </w:rPr>
        <w:t> </w:t>
      </w:r>
      <w:r>
        <w:rPr>
          <w:sz w:val="22"/>
        </w:rPr>
        <w:t>responsibilities</w:t>
      </w:r>
      <w:r>
        <w:rPr>
          <w:spacing w:val="-6"/>
          <w:sz w:val="22"/>
        </w:rPr>
        <w:t> </w:t>
      </w:r>
      <w:r>
        <w:rPr>
          <w:sz w:val="22"/>
        </w:rPr>
        <w:t>of</w:t>
      </w:r>
      <w:r>
        <w:rPr>
          <w:spacing w:val="-8"/>
          <w:sz w:val="22"/>
        </w:rPr>
        <w:t> </w:t>
      </w:r>
      <w:r>
        <w:rPr>
          <w:sz w:val="22"/>
        </w:rPr>
        <w:t>the</w:t>
      </w:r>
      <w:r>
        <w:rPr>
          <w:spacing w:val="-6"/>
          <w:sz w:val="22"/>
        </w:rPr>
        <w:t> </w:t>
      </w:r>
      <w:r>
        <w:rPr>
          <w:sz w:val="22"/>
        </w:rPr>
        <w:t>State,</w:t>
      </w:r>
      <w:r>
        <w:rPr>
          <w:spacing w:val="-9"/>
          <w:sz w:val="22"/>
        </w:rPr>
        <w:t> </w:t>
      </w:r>
      <w:r>
        <w:rPr>
          <w:sz w:val="22"/>
        </w:rPr>
        <w:t>the</w:t>
      </w:r>
      <w:r>
        <w:rPr>
          <w:spacing w:val="-6"/>
          <w:sz w:val="22"/>
        </w:rPr>
        <w:t> </w:t>
      </w:r>
      <w:r>
        <w:rPr>
          <w:sz w:val="22"/>
        </w:rPr>
        <w:t>State’s</w:t>
      </w:r>
      <w:r>
        <w:rPr>
          <w:spacing w:val="-6"/>
          <w:sz w:val="22"/>
        </w:rPr>
        <w:t> </w:t>
      </w:r>
      <w:r>
        <w:rPr>
          <w:sz w:val="22"/>
        </w:rPr>
        <w:t>DSRIP</w:t>
      </w:r>
      <w:r>
        <w:rPr>
          <w:spacing w:val="-7"/>
          <w:sz w:val="22"/>
        </w:rPr>
        <w:t> </w:t>
      </w:r>
      <w:r>
        <w:rPr>
          <w:sz w:val="22"/>
        </w:rPr>
        <w:t>Advisory</w:t>
      </w:r>
      <w:r>
        <w:rPr>
          <w:spacing w:val="-9"/>
          <w:sz w:val="22"/>
        </w:rPr>
        <w:t> </w:t>
      </w:r>
      <w:r>
        <w:rPr>
          <w:sz w:val="22"/>
        </w:rPr>
        <w:t>Committee,</w:t>
      </w:r>
      <w:r>
        <w:rPr>
          <w:spacing w:val="-6"/>
          <w:sz w:val="22"/>
        </w:rPr>
        <w:t> </w:t>
      </w:r>
      <w:r>
        <w:rPr>
          <w:sz w:val="22"/>
        </w:rPr>
        <w:t>and</w:t>
      </w:r>
      <w:r>
        <w:rPr>
          <w:spacing w:val="-6"/>
          <w:sz w:val="22"/>
        </w:rPr>
        <w:t> </w:t>
      </w:r>
      <w:r>
        <w:rPr>
          <w:sz w:val="22"/>
        </w:rPr>
        <w:t>CMS with respect to establishing these elements.</w:t>
      </w:r>
    </w:p>
    <w:p>
      <w:pPr>
        <w:spacing w:before="200"/>
        <w:ind w:left="1219" w:right="0" w:firstLine="0"/>
        <w:jc w:val="both"/>
        <w:rPr>
          <w:sz w:val="22"/>
        </w:rPr>
      </w:pPr>
      <w:bookmarkStart w:name="The State" w:id="1434"/>
      <w:bookmarkEnd w:id="1434"/>
      <w:r>
        <w:rPr/>
      </w:r>
      <w:r>
        <w:rPr>
          <w:color w:val="1F3762"/>
          <w:sz w:val="22"/>
        </w:rPr>
        <w:t>The</w:t>
      </w:r>
      <w:r>
        <w:rPr>
          <w:color w:val="1F3762"/>
          <w:spacing w:val="-3"/>
          <w:sz w:val="22"/>
        </w:rPr>
        <w:t> </w:t>
      </w:r>
      <w:r>
        <w:rPr>
          <w:color w:val="1F3762"/>
          <w:spacing w:val="-2"/>
          <w:sz w:val="22"/>
        </w:rPr>
        <w:t>State</w:t>
      </w:r>
    </w:p>
    <w:p>
      <w:pPr>
        <w:spacing w:before="1"/>
        <w:ind w:left="1219" w:right="1095" w:firstLine="0"/>
        <w:jc w:val="both"/>
        <w:rPr>
          <w:sz w:val="22"/>
        </w:rPr>
      </w:pPr>
      <w:r>
        <w:rPr>
          <w:sz w:val="22"/>
        </w:rPr>
        <w:t>The</w:t>
      </w:r>
      <w:r>
        <w:rPr>
          <w:spacing w:val="-9"/>
          <w:sz w:val="22"/>
        </w:rPr>
        <w:t> </w:t>
      </w:r>
      <w:r>
        <w:rPr>
          <w:sz w:val="22"/>
        </w:rPr>
        <w:t>State</w:t>
      </w:r>
      <w:r>
        <w:rPr>
          <w:spacing w:val="-7"/>
          <w:sz w:val="22"/>
        </w:rPr>
        <w:t> </w:t>
      </w:r>
      <w:r>
        <w:rPr>
          <w:sz w:val="22"/>
        </w:rPr>
        <w:t>will</w:t>
      </w:r>
      <w:r>
        <w:rPr>
          <w:spacing w:val="-6"/>
          <w:sz w:val="22"/>
        </w:rPr>
        <w:t> </w:t>
      </w:r>
      <w:r>
        <w:rPr>
          <w:sz w:val="22"/>
        </w:rPr>
        <w:t>establish</w:t>
      </w:r>
      <w:r>
        <w:rPr>
          <w:spacing w:val="-10"/>
          <w:sz w:val="22"/>
        </w:rPr>
        <w:t> </w:t>
      </w:r>
      <w:r>
        <w:rPr>
          <w:sz w:val="22"/>
        </w:rPr>
        <w:t>the</w:t>
      </w:r>
      <w:r>
        <w:rPr>
          <w:spacing w:val="-9"/>
          <w:sz w:val="22"/>
        </w:rPr>
        <w:t> </w:t>
      </w:r>
      <w:r>
        <w:rPr>
          <w:sz w:val="22"/>
        </w:rPr>
        <w:t>elements</w:t>
      </w:r>
      <w:r>
        <w:rPr>
          <w:spacing w:val="-9"/>
          <w:sz w:val="22"/>
        </w:rPr>
        <w:t> </w:t>
      </w:r>
      <w:r>
        <w:rPr>
          <w:sz w:val="22"/>
        </w:rPr>
        <w:t>that</w:t>
      </w:r>
      <w:r>
        <w:rPr>
          <w:spacing w:val="-8"/>
          <w:sz w:val="22"/>
        </w:rPr>
        <w:t> </w:t>
      </w:r>
      <w:r>
        <w:rPr>
          <w:sz w:val="22"/>
        </w:rPr>
        <w:t>comprise</w:t>
      </w:r>
      <w:r>
        <w:rPr>
          <w:spacing w:val="-9"/>
          <w:sz w:val="22"/>
        </w:rPr>
        <w:t> </w:t>
      </w:r>
      <w:r>
        <w:rPr>
          <w:sz w:val="22"/>
        </w:rPr>
        <w:t>the</w:t>
      </w:r>
      <w:r>
        <w:rPr>
          <w:spacing w:val="-10"/>
          <w:sz w:val="22"/>
        </w:rPr>
        <w:t> </w:t>
      </w:r>
      <w:r>
        <w:rPr>
          <w:sz w:val="22"/>
        </w:rPr>
        <w:t>CP</w:t>
      </w:r>
      <w:r>
        <w:rPr>
          <w:spacing w:val="-8"/>
          <w:sz w:val="22"/>
        </w:rPr>
        <w:t> </w:t>
      </w:r>
      <w:r>
        <w:rPr>
          <w:sz w:val="22"/>
        </w:rPr>
        <w:t>and</w:t>
      </w:r>
      <w:r>
        <w:rPr>
          <w:spacing w:val="-7"/>
          <w:sz w:val="22"/>
        </w:rPr>
        <w:t> </w:t>
      </w:r>
      <w:r>
        <w:rPr>
          <w:sz w:val="22"/>
        </w:rPr>
        <w:t>CSA</w:t>
      </w:r>
      <w:r>
        <w:rPr>
          <w:spacing w:val="-10"/>
          <w:sz w:val="22"/>
        </w:rPr>
        <w:t> </w:t>
      </w:r>
      <w:r>
        <w:rPr>
          <w:sz w:val="22"/>
        </w:rPr>
        <w:t>DSRIP</w:t>
      </w:r>
      <w:r>
        <w:rPr>
          <w:spacing w:val="-8"/>
          <w:sz w:val="22"/>
        </w:rPr>
        <w:t> </w:t>
      </w:r>
      <w:r>
        <w:rPr>
          <w:sz w:val="22"/>
        </w:rPr>
        <w:t>Accountability</w:t>
      </w:r>
      <w:r>
        <w:rPr>
          <w:spacing w:val="-10"/>
          <w:sz w:val="22"/>
        </w:rPr>
        <w:t> </w:t>
      </w:r>
      <w:r>
        <w:rPr>
          <w:sz w:val="22"/>
        </w:rPr>
        <w:t>Score,</w:t>
      </w:r>
      <w:r>
        <w:rPr>
          <w:spacing w:val="-10"/>
          <w:sz w:val="22"/>
        </w:rPr>
        <w:t> </w:t>
      </w:r>
      <w:r>
        <w:rPr>
          <w:sz w:val="22"/>
        </w:rPr>
        <w:t>based</w:t>
      </w:r>
      <w:r>
        <w:rPr>
          <w:spacing w:val="-10"/>
          <w:sz w:val="22"/>
        </w:rPr>
        <w:t> </w:t>
      </w:r>
      <w:r>
        <w:rPr>
          <w:sz w:val="22"/>
        </w:rPr>
        <w:t>on the advice of the DSRIP Advisory Committee on Quality (see Section 6.2.1). The State will submit the Quality Measure slate and specifications to CMS for review and approval by November 2017.</w:t>
      </w:r>
    </w:p>
    <w:p>
      <w:pPr>
        <w:spacing w:before="158"/>
        <w:ind w:left="1219" w:right="1093" w:firstLine="0"/>
        <w:jc w:val="both"/>
        <w:rPr>
          <w:sz w:val="22"/>
        </w:rPr>
      </w:pPr>
      <w:r>
        <w:rPr>
          <w:sz w:val="22"/>
        </w:rPr>
        <w:t>Given</w:t>
      </w:r>
      <w:r>
        <w:rPr>
          <w:spacing w:val="-12"/>
          <w:sz w:val="22"/>
        </w:rPr>
        <w:t> </w:t>
      </w:r>
      <w:r>
        <w:rPr>
          <w:sz w:val="22"/>
        </w:rPr>
        <w:t>that</w:t>
      </w:r>
      <w:r>
        <w:rPr>
          <w:spacing w:val="-10"/>
          <w:sz w:val="22"/>
        </w:rPr>
        <w:t> </w:t>
      </w:r>
      <w:r>
        <w:rPr>
          <w:sz w:val="22"/>
        </w:rPr>
        <w:t>the</w:t>
      </w:r>
      <w:r>
        <w:rPr>
          <w:spacing w:val="-11"/>
          <w:sz w:val="22"/>
        </w:rPr>
        <w:t> </w:t>
      </w:r>
      <w:r>
        <w:rPr>
          <w:sz w:val="22"/>
        </w:rPr>
        <w:t>State</w:t>
      </w:r>
      <w:r>
        <w:rPr>
          <w:spacing w:val="-10"/>
          <w:sz w:val="22"/>
        </w:rPr>
        <w:t> </w:t>
      </w:r>
      <w:r>
        <w:rPr>
          <w:sz w:val="22"/>
        </w:rPr>
        <w:t>will</w:t>
      </w:r>
      <w:r>
        <w:rPr>
          <w:spacing w:val="-10"/>
          <w:sz w:val="22"/>
        </w:rPr>
        <w:t> </w:t>
      </w:r>
      <w:r>
        <w:rPr>
          <w:sz w:val="22"/>
        </w:rPr>
        <w:t>be</w:t>
      </w:r>
      <w:r>
        <w:rPr>
          <w:spacing w:val="-13"/>
          <w:sz w:val="22"/>
        </w:rPr>
        <w:t> </w:t>
      </w:r>
      <w:r>
        <w:rPr>
          <w:sz w:val="22"/>
        </w:rPr>
        <w:t>using</w:t>
      </w:r>
      <w:r>
        <w:rPr>
          <w:spacing w:val="-13"/>
          <w:sz w:val="22"/>
        </w:rPr>
        <w:t> </w:t>
      </w:r>
      <w:r>
        <w:rPr>
          <w:sz w:val="22"/>
        </w:rPr>
        <w:t>the</w:t>
      </w:r>
      <w:r>
        <w:rPr>
          <w:spacing w:val="-13"/>
          <w:sz w:val="22"/>
        </w:rPr>
        <w:t> </w:t>
      </w:r>
      <w:r>
        <w:rPr>
          <w:sz w:val="22"/>
        </w:rPr>
        <w:t>first</w:t>
      </w:r>
      <w:r>
        <w:rPr>
          <w:spacing w:val="-10"/>
          <w:sz w:val="22"/>
        </w:rPr>
        <w:t> </w:t>
      </w:r>
      <w:r>
        <w:rPr>
          <w:sz w:val="22"/>
        </w:rPr>
        <w:t>two</w:t>
      </w:r>
      <w:r>
        <w:rPr>
          <w:spacing w:val="-11"/>
          <w:sz w:val="22"/>
        </w:rPr>
        <w:t> </w:t>
      </w:r>
      <w:r>
        <w:rPr>
          <w:sz w:val="22"/>
        </w:rPr>
        <w:t>Budget</w:t>
      </w:r>
      <w:r>
        <w:rPr>
          <w:spacing w:val="-10"/>
          <w:sz w:val="22"/>
        </w:rPr>
        <w:t> </w:t>
      </w:r>
      <w:r>
        <w:rPr>
          <w:sz w:val="22"/>
        </w:rPr>
        <w:t>Periods</w:t>
      </w:r>
      <w:r>
        <w:rPr>
          <w:spacing w:val="-13"/>
          <w:sz w:val="22"/>
        </w:rPr>
        <w:t> </w:t>
      </w:r>
      <w:r>
        <w:rPr>
          <w:sz w:val="22"/>
        </w:rPr>
        <w:t>to</w:t>
      </w:r>
      <w:r>
        <w:rPr>
          <w:spacing w:val="-11"/>
          <w:sz w:val="22"/>
        </w:rPr>
        <w:t> </w:t>
      </w:r>
      <w:r>
        <w:rPr>
          <w:sz w:val="22"/>
        </w:rPr>
        <w:t>gather</w:t>
      </w:r>
      <w:r>
        <w:rPr>
          <w:spacing w:val="-10"/>
          <w:sz w:val="22"/>
        </w:rPr>
        <w:t> </w:t>
      </w:r>
      <w:r>
        <w:rPr>
          <w:sz w:val="22"/>
        </w:rPr>
        <w:t>baseline</w:t>
      </w:r>
      <w:r>
        <w:rPr>
          <w:spacing w:val="-13"/>
          <w:sz w:val="22"/>
        </w:rPr>
        <w:t> </w:t>
      </w:r>
      <w:r>
        <w:rPr>
          <w:sz w:val="22"/>
        </w:rPr>
        <w:t>data</w:t>
      </w:r>
      <w:r>
        <w:rPr>
          <w:spacing w:val="-10"/>
          <w:sz w:val="22"/>
        </w:rPr>
        <w:t> </w:t>
      </w:r>
      <w:r>
        <w:rPr>
          <w:sz w:val="22"/>
        </w:rPr>
        <w:t>to</w:t>
      </w:r>
      <w:r>
        <w:rPr>
          <w:spacing w:val="-13"/>
          <w:sz w:val="22"/>
        </w:rPr>
        <w:t> </w:t>
      </w:r>
      <w:r>
        <w:rPr>
          <w:sz w:val="22"/>
        </w:rPr>
        <w:t>inform</w:t>
      </w:r>
      <w:r>
        <w:rPr>
          <w:spacing w:val="-14"/>
          <w:sz w:val="22"/>
        </w:rPr>
        <w:t> </w:t>
      </w:r>
      <w:r>
        <w:rPr>
          <w:sz w:val="22"/>
        </w:rPr>
        <w:t>performance target setting beginning in BP3 (i.e. CY 2020), it will not have finalized data to calculate the BP3-BP5 targets until after the start of BP3. As such, the State will submit benchmark sources and preliminary performance thresholds (i.e., Attainment Thresholds and Goal Benchmarks) to CMS for review and approval in Q4 CY2021 (see Appendix D for reference). CMS will have 90 calendar days to review and approve.</w:t>
      </w:r>
      <w:r>
        <w:rPr>
          <w:spacing w:val="40"/>
          <w:sz w:val="22"/>
        </w:rPr>
        <w:t> </w:t>
      </w:r>
      <w:r>
        <w:rPr>
          <w:sz w:val="22"/>
        </w:rPr>
        <w:t>Once the State has processed the BP2 data, in November 2020, it will submit finalized performance</w:t>
      </w:r>
      <w:r>
        <w:rPr>
          <w:spacing w:val="-3"/>
          <w:sz w:val="22"/>
        </w:rPr>
        <w:t> </w:t>
      </w:r>
      <w:r>
        <w:rPr>
          <w:sz w:val="22"/>
        </w:rPr>
        <w:t>targets</w:t>
      </w:r>
      <w:r>
        <w:rPr>
          <w:spacing w:val="-1"/>
          <w:sz w:val="22"/>
        </w:rPr>
        <w:t> </w:t>
      </w:r>
      <w:r>
        <w:rPr>
          <w:sz w:val="22"/>
        </w:rPr>
        <w:t>based</w:t>
      </w:r>
      <w:r>
        <w:rPr>
          <w:spacing w:val="-6"/>
          <w:sz w:val="22"/>
        </w:rPr>
        <w:t> </w:t>
      </w:r>
      <w:r>
        <w:rPr>
          <w:sz w:val="22"/>
        </w:rPr>
        <w:t>on</w:t>
      </w:r>
      <w:r>
        <w:rPr>
          <w:spacing w:val="-1"/>
          <w:sz w:val="22"/>
        </w:rPr>
        <w:t> </w:t>
      </w:r>
      <w:r>
        <w:rPr>
          <w:sz w:val="22"/>
        </w:rPr>
        <w:t>both</w:t>
      </w:r>
      <w:r>
        <w:rPr>
          <w:spacing w:val="-1"/>
          <w:sz w:val="22"/>
        </w:rPr>
        <w:t> </w:t>
      </w:r>
      <w:r>
        <w:rPr>
          <w:sz w:val="22"/>
        </w:rPr>
        <w:t>BP1</w:t>
      </w:r>
      <w:r>
        <w:rPr>
          <w:spacing w:val="-4"/>
          <w:sz w:val="22"/>
        </w:rPr>
        <w:t> </w:t>
      </w:r>
      <w:r>
        <w:rPr>
          <w:sz w:val="22"/>
        </w:rPr>
        <w:t>and</w:t>
      </w:r>
      <w:r>
        <w:rPr>
          <w:spacing w:val="-1"/>
          <w:sz w:val="22"/>
        </w:rPr>
        <w:t> </w:t>
      </w:r>
      <w:r>
        <w:rPr>
          <w:sz w:val="22"/>
        </w:rPr>
        <w:t>BP2</w:t>
      </w:r>
      <w:r>
        <w:rPr>
          <w:spacing w:val="-4"/>
          <w:sz w:val="22"/>
        </w:rPr>
        <w:t> </w:t>
      </w:r>
      <w:r>
        <w:rPr>
          <w:sz w:val="22"/>
        </w:rPr>
        <w:t>data</w:t>
      </w:r>
      <w:r>
        <w:rPr>
          <w:spacing w:val="-3"/>
          <w:sz w:val="22"/>
        </w:rPr>
        <w:t> </w:t>
      </w:r>
      <w:r>
        <w:rPr>
          <w:sz w:val="22"/>
        </w:rPr>
        <w:t>to</w:t>
      </w:r>
      <w:r>
        <w:rPr>
          <w:spacing w:val="-1"/>
          <w:sz w:val="22"/>
        </w:rPr>
        <w:t> </w:t>
      </w:r>
      <w:r>
        <w:rPr>
          <w:sz w:val="22"/>
        </w:rPr>
        <w:t>CMS</w:t>
      </w:r>
      <w:r>
        <w:rPr>
          <w:spacing w:val="-4"/>
          <w:sz w:val="22"/>
        </w:rPr>
        <w:t> </w:t>
      </w:r>
      <w:r>
        <w:rPr>
          <w:sz w:val="22"/>
        </w:rPr>
        <w:t>for</w:t>
      </w:r>
      <w:r>
        <w:rPr>
          <w:spacing w:val="-3"/>
          <w:sz w:val="22"/>
        </w:rPr>
        <w:t> </w:t>
      </w:r>
      <w:r>
        <w:rPr>
          <w:sz w:val="22"/>
        </w:rPr>
        <w:t>review</w:t>
      </w:r>
      <w:r>
        <w:rPr>
          <w:spacing w:val="-5"/>
          <w:sz w:val="22"/>
        </w:rPr>
        <w:t> </w:t>
      </w:r>
      <w:r>
        <w:rPr>
          <w:sz w:val="22"/>
        </w:rPr>
        <w:t>and</w:t>
      </w:r>
      <w:r>
        <w:rPr>
          <w:spacing w:val="-4"/>
          <w:sz w:val="22"/>
        </w:rPr>
        <w:t> </w:t>
      </w:r>
      <w:r>
        <w:rPr>
          <w:sz w:val="22"/>
        </w:rPr>
        <w:t>approval.</w:t>
      </w:r>
      <w:r>
        <w:rPr>
          <w:spacing w:val="40"/>
          <w:sz w:val="22"/>
        </w:rPr>
        <w:t> </w:t>
      </w:r>
      <w:r>
        <w:rPr>
          <w:sz w:val="22"/>
        </w:rPr>
        <w:t>CMS</w:t>
      </w:r>
      <w:r>
        <w:rPr>
          <w:spacing w:val="-4"/>
          <w:sz w:val="22"/>
        </w:rPr>
        <w:t> </w:t>
      </w:r>
      <w:r>
        <w:rPr>
          <w:sz w:val="22"/>
        </w:rPr>
        <w:t>will</w:t>
      </w:r>
      <w:r>
        <w:rPr>
          <w:spacing w:val="-3"/>
          <w:sz w:val="22"/>
        </w:rPr>
        <w:t> </w:t>
      </w:r>
      <w:r>
        <w:rPr>
          <w:sz w:val="22"/>
        </w:rPr>
        <w:t>have</w:t>
      </w:r>
      <w:r>
        <w:rPr>
          <w:spacing w:val="-1"/>
          <w:sz w:val="22"/>
        </w:rPr>
        <w:t> </w:t>
      </w:r>
      <w:r>
        <w:rPr>
          <w:sz w:val="22"/>
        </w:rPr>
        <w:t>90 calendar days to review and approve.</w:t>
      </w:r>
    </w:p>
    <w:p>
      <w:pPr>
        <w:spacing w:before="160"/>
        <w:ind w:left="1219" w:right="1097" w:firstLine="0"/>
        <w:jc w:val="both"/>
        <w:rPr>
          <w:sz w:val="22"/>
        </w:rPr>
      </w:pPr>
      <w:r>
        <w:rPr>
          <w:sz w:val="22"/>
        </w:rPr>
        <w:t>The State may request modification to any element that comprises the CP/CSA DSRIP Accountability Score, based on its own assessment or on the recommendation of the State’s DSRIP Advisory Committee on</w:t>
      </w:r>
      <w:r>
        <w:rPr>
          <w:spacing w:val="-2"/>
          <w:sz w:val="22"/>
        </w:rPr>
        <w:t> </w:t>
      </w:r>
      <w:r>
        <w:rPr>
          <w:sz w:val="22"/>
        </w:rPr>
        <w:t>Quality.</w:t>
      </w:r>
      <w:r>
        <w:rPr>
          <w:spacing w:val="-2"/>
          <w:sz w:val="22"/>
        </w:rPr>
        <w:t> </w:t>
      </w:r>
      <w:r>
        <w:rPr>
          <w:sz w:val="22"/>
        </w:rPr>
        <w:t>In</w:t>
      </w:r>
      <w:r>
        <w:rPr>
          <w:spacing w:val="-2"/>
          <w:sz w:val="22"/>
        </w:rPr>
        <w:t> </w:t>
      </w:r>
      <w:r>
        <w:rPr>
          <w:sz w:val="22"/>
        </w:rPr>
        <w:t>the</w:t>
      </w:r>
      <w:r>
        <w:rPr>
          <w:spacing w:val="-2"/>
          <w:sz w:val="22"/>
        </w:rPr>
        <w:t> </w:t>
      </w:r>
      <w:r>
        <w:rPr>
          <w:sz w:val="22"/>
        </w:rPr>
        <w:t>event</w:t>
      </w:r>
      <w:r>
        <w:rPr>
          <w:spacing w:val="-4"/>
          <w:sz w:val="22"/>
        </w:rPr>
        <w:t> </w:t>
      </w:r>
      <w:r>
        <w:rPr>
          <w:sz w:val="22"/>
        </w:rPr>
        <w:t>that</w:t>
      </w:r>
      <w:r>
        <w:rPr>
          <w:spacing w:val="-4"/>
          <w:sz w:val="22"/>
        </w:rPr>
        <w:t> </w:t>
      </w:r>
      <w:r>
        <w:rPr>
          <w:sz w:val="22"/>
        </w:rPr>
        <w:t>the</w:t>
      </w:r>
      <w:r>
        <w:rPr>
          <w:spacing w:val="-4"/>
          <w:sz w:val="22"/>
        </w:rPr>
        <w:t> </w:t>
      </w:r>
      <w:r>
        <w:rPr>
          <w:sz w:val="22"/>
        </w:rPr>
        <w:t>State</w:t>
      </w:r>
      <w:r>
        <w:rPr>
          <w:spacing w:val="-4"/>
          <w:sz w:val="22"/>
        </w:rPr>
        <w:t> </w:t>
      </w:r>
      <w:r>
        <w:rPr>
          <w:sz w:val="22"/>
        </w:rPr>
        <w:t>wishes</w:t>
      </w:r>
      <w:r>
        <w:rPr>
          <w:spacing w:val="-4"/>
          <w:sz w:val="22"/>
        </w:rPr>
        <w:t> </w:t>
      </w:r>
      <w:r>
        <w:rPr>
          <w:sz w:val="22"/>
        </w:rPr>
        <w:t>to</w:t>
      </w:r>
      <w:r>
        <w:rPr>
          <w:spacing w:val="-5"/>
          <w:sz w:val="22"/>
        </w:rPr>
        <w:t> </w:t>
      </w:r>
      <w:r>
        <w:rPr>
          <w:sz w:val="22"/>
        </w:rPr>
        <w:t>change</w:t>
      </w:r>
      <w:r>
        <w:rPr>
          <w:spacing w:val="-2"/>
          <w:sz w:val="22"/>
        </w:rPr>
        <w:t> </w:t>
      </w:r>
      <w:r>
        <w:rPr>
          <w:sz w:val="22"/>
        </w:rPr>
        <w:t>a</w:t>
      </w:r>
      <w:r>
        <w:rPr>
          <w:spacing w:val="-2"/>
          <w:sz w:val="22"/>
        </w:rPr>
        <w:t> </w:t>
      </w:r>
      <w:r>
        <w:rPr>
          <w:sz w:val="22"/>
        </w:rPr>
        <w:t>previously</w:t>
      </w:r>
      <w:r>
        <w:rPr>
          <w:spacing w:val="-5"/>
          <w:sz w:val="22"/>
        </w:rPr>
        <w:t> </w:t>
      </w:r>
      <w:r>
        <w:rPr>
          <w:sz w:val="22"/>
        </w:rPr>
        <w:t>approved</w:t>
      </w:r>
      <w:r>
        <w:rPr>
          <w:spacing w:val="-2"/>
          <w:sz w:val="22"/>
        </w:rPr>
        <w:t> </w:t>
      </w:r>
      <w:r>
        <w:rPr>
          <w:sz w:val="22"/>
        </w:rPr>
        <w:t>element</w:t>
      </w:r>
      <w:r>
        <w:rPr>
          <w:spacing w:val="-1"/>
          <w:sz w:val="22"/>
        </w:rPr>
        <w:t> </w:t>
      </w:r>
      <w:r>
        <w:rPr>
          <w:sz w:val="22"/>
        </w:rPr>
        <w:t>that</w:t>
      </w:r>
      <w:r>
        <w:rPr>
          <w:spacing w:val="-4"/>
          <w:sz w:val="22"/>
        </w:rPr>
        <w:t> </w:t>
      </w:r>
      <w:r>
        <w:rPr>
          <w:sz w:val="22"/>
        </w:rPr>
        <w:t>is</w:t>
      </w:r>
      <w:r>
        <w:rPr>
          <w:spacing w:val="-4"/>
          <w:sz w:val="22"/>
        </w:rPr>
        <w:t> </w:t>
      </w:r>
      <w:r>
        <w:rPr>
          <w:sz w:val="22"/>
        </w:rPr>
        <w:t>a</w:t>
      </w:r>
      <w:r>
        <w:rPr>
          <w:spacing w:val="-4"/>
          <w:sz w:val="22"/>
        </w:rPr>
        <w:t> </w:t>
      </w:r>
      <w:r>
        <w:rPr>
          <w:sz w:val="22"/>
        </w:rPr>
        <w:t>component of the CP/CSA DSRIP Accountability Score, the State will submit a formal, written modification request to CMS for review and approval. CMS will have 90 calendar days to review and approve.</w:t>
      </w:r>
    </w:p>
    <w:p>
      <w:pPr>
        <w:spacing w:line="240" w:lineRule="auto" w:before="161"/>
        <w:ind w:left="1219" w:right="1094" w:firstLine="0"/>
        <w:jc w:val="both"/>
        <w:rPr>
          <w:sz w:val="22"/>
        </w:rPr>
      </w:pPr>
      <w:r>
        <w:rPr>
          <w:sz w:val="22"/>
        </w:rPr>
        <w:t>As part of its program management and contract oversight processes, the State will establish a structured process for CPs and CSAs to seek clarification on or request revisions to certain aspects of their CP/CSA DSRIP Accountability Scores (e.g., if a CP seeks clarification on the inclusion of certain members in the denominator for a Quality Measure’s performance score). Each CP and CSA will identify a key contact, responsible</w:t>
      </w:r>
      <w:r>
        <w:rPr>
          <w:spacing w:val="-4"/>
          <w:sz w:val="22"/>
        </w:rPr>
        <w:t> </w:t>
      </w:r>
      <w:r>
        <w:rPr>
          <w:sz w:val="22"/>
        </w:rPr>
        <w:t>for</w:t>
      </w:r>
      <w:r>
        <w:rPr>
          <w:spacing w:val="-1"/>
          <w:sz w:val="22"/>
        </w:rPr>
        <w:t> </w:t>
      </w:r>
      <w:r>
        <w:rPr>
          <w:sz w:val="22"/>
        </w:rPr>
        <w:t>raising</w:t>
      </w:r>
      <w:r>
        <w:rPr>
          <w:spacing w:val="-5"/>
          <w:sz w:val="22"/>
        </w:rPr>
        <w:t> </w:t>
      </w:r>
      <w:r>
        <w:rPr>
          <w:sz w:val="22"/>
        </w:rPr>
        <w:t>such</w:t>
      </w:r>
      <w:r>
        <w:rPr>
          <w:spacing w:val="-5"/>
          <w:sz w:val="22"/>
        </w:rPr>
        <w:t> </w:t>
      </w:r>
      <w:r>
        <w:rPr>
          <w:sz w:val="22"/>
        </w:rPr>
        <w:t>issues</w:t>
      </w:r>
      <w:r>
        <w:rPr>
          <w:spacing w:val="-4"/>
          <w:sz w:val="22"/>
        </w:rPr>
        <w:t> </w:t>
      </w:r>
      <w:r>
        <w:rPr>
          <w:sz w:val="22"/>
        </w:rPr>
        <w:t>to</w:t>
      </w:r>
      <w:r>
        <w:rPr>
          <w:spacing w:val="-2"/>
          <w:sz w:val="22"/>
        </w:rPr>
        <w:t> </w:t>
      </w:r>
      <w:r>
        <w:rPr>
          <w:sz w:val="22"/>
        </w:rPr>
        <w:t>the</w:t>
      </w:r>
      <w:r>
        <w:rPr>
          <w:spacing w:val="-2"/>
          <w:sz w:val="22"/>
        </w:rPr>
        <w:t> </w:t>
      </w:r>
      <w:r>
        <w:rPr>
          <w:sz w:val="22"/>
        </w:rPr>
        <w:t>State</w:t>
      </w:r>
      <w:r>
        <w:rPr>
          <w:spacing w:val="-2"/>
          <w:sz w:val="22"/>
        </w:rPr>
        <w:t> </w:t>
      </w:r>
      <w:r>
        <w:rPr>
          <w:sz w:val="22"/>
        </w:rPr>
        <w:t>and</w:t>
      </w:r>
      <w:r>
        <w:rPr>
          <w:spacing w:val="-5"/>
          <w:sz w:val="22"/>
        </w:rPr>
        <w:t> </w:t>
      </w:r>
      <w:r>
        <w:rPr>
          <w:sz w:val="22"/>
        </w:rPr>
        <w:t>working</w:t>
      </w:r>
      <w:r>
        <w:rPr>
          <w:spacing w:val="-5"/>
          <w:sz w:val="22"/>
        </w:rPr>
        <w:t> </w:t>
      </w:r>
      <w:r>
        <w:rPr>
          <w:sz w:val="22"/>
        </w:rPr>
        <w:t>with</w:t>
      </w:r>
      <w:r>
        <w:rPr>
          <w:spacing w:val="-2"/>
          <w:sz w:val="22"/>
        </w:rPr>
        <w:t> </w:t>
      </w:r>
      <w:r>
        <w:rPr>
          <w:sz w:val="22"/>
        </w:rPr>
        <w:t>the</w:t>
      </w:r>
      <w:r>
        <w:rPr>
          <w:spacing w:val="-4"/>
          <w:sz w:val="22"/>
        </w:rPr>
        <w:t> </w:t>
      </w:r>
      <w:r>
        <w:rPr>
          <w:sz w:val="22"/>
        </w:rPr>
        <w:t>appropriate</w:t>
      </w:r>
      <w:r>
        <w:rPr>
          <w:spacing w:val="-2"/>
          <w:sz w:val="22"/>
        </w:rPr>
        <w:t> </w:t>
      </w:r>
      <w:r>
        <w:rPr>
          <w:sz w:val="22"/>
        </w:rPr>
        <w:t>State</w:t>
      </w:r>
      <w:r>
        <w:rPr>
          <w:spacing w:val="-2"/>
          <w:sz w:val="22"/>
        </w:rPr>
        <w:t> </w:t>
      </w:r>
      <w:r>
        <w:rPr>
          <w:sz w:val="22"/>
        </w:rPr>
        <w:t>personnel</w:t>
      </w:r>
      <w:r>
        <w:rPr>
          <w:spacing w:val="-1"/>
          <w:sz w:val="22"/>
        </w:rPr>
        <w:t> </w:t>
      </w:r>
      <w:r>
        <w:rPr>
          <w:sz w:val="22"/>
        </w:rPr>
        <w:t>to</w:t>
      </w:r>
      <w:r>
        <w:rPr>
          <w:spacing w:val="-2"/>
          <w:sz w:val="22"/>
        </w:rPr>
        <w:t> </w:t>
      </w:r>
      <w:r>
        <w:rPr>
          <w:sz w:val="22"/>
        </w:rPr>
        <w:t>discuss and resolve issues as appropriate. The State will also identify a reciprocal contact to liaise with each CP and CSA and support these types of requests.</w:t>
      </w:r>
    </w:p>
    <w:p>
      <w:pPr>
        <w:spacing w:before="161"/>
        <w:ind w:left="1219" w:right="1095" w:hanging="1"/>
        <w:jc w:val="both"/>
        <w:rPr>
          <w:sz w:val="22"/>
        </w:rPr>
      </w:pPr>
      <w:r>
        <w:rPr>
          <w:sz w:val="22"/>
        </w:rPr>
        <w:t>The State may</w:t>
      </w:r>
      <w:r>
        <w:rPr>
          <w:spacing w:val="-2"/>
          <w:sz w:val="22"/>
        </w:rPr>
        <w:t> </w:t>
      </w:r>
      <w:r>
        <w:rPr>
          <w:sz w:val="22"/>
        </w:rPr>
        <w:t>provide an opportunity</w:t>
      </w:r>
      <w:r>
        <w:rPr>
          <w:spacing w:val="-2"/>
          <w:sz w:val="22"/>
        </w:rPr>
        <w:t> </w:t>
      </w:r>
      <w:r>
        <w:rPr>
          <w:sz w:val="22"/>
        </w:rPr>
        <w:t>for CPs or CSAs</w:t>
      </w:r>
      <w:r>
        <w:rPr>
          <w:spacing w:val="-2"/>
          <w:sz w:val="22"/>
        </w:rPr>
        <w:t> </w:t>
      </w:r>
      <w:r>
        <w:rPr>
          <w:sz w:val="22"/>
        </w:rPr>
        <w:t>to submit DSRIP Performance Remediation Plans to earn back a portion of the unearned, withheld funds, at the State’s discretion. The State may combine remediation opportunities for multiple years to streamline processes (e.g., combining BP2 and BP3 remediation</w:t>
      </w:r>
      <w:r>
        <w:rPr>
          <w:spacing w:val="-2"/>
          <w:sz w:val="22"/>
        </w:rPr>
        <w:t> </w:t>
      </w:r>
      <w:r>
        <w:rPr>
          <w:sz w:val="22"/>
        </w:rPr>
        <w:t>processes</w:t>
      </w:r>
      <w:r>
        <w:rPr>
          <w:spacing w:val="-2"/>
          <w:sz w:val="22"/>
        </w:rPr>
        <w:t> </w:t>
      </w:r>
      <w:r>
        <w:rPr>
          <w:sz w:val="22"/>
        </w:rPr>
        <w:t>into</w:t>
      </w:r>
      <w:r>
        <w:rPr>
          <w:spacing w:val="-5"/>
          <w:sz w:val="22"/>
        </w:rPr>
        <w:t> </w:t>
      </w:r>
      <w:r>
        <w:rPr>
          <w:sz w:val="22"/>
        </w:rPr>
        <w:t>a single</w:t>
      </w:r>
      <w:r>
        <w:rPr>
          <w:spacing w:val="-2"/>
          <w:sz w:val="22"/>
        </w:rPr>
        <w:t> </w:t>
      </w:r>
      <w:r>
        <w:rPr>
          <w:sz w:val="22"/>
        </w:rPr>
        <w:t>remediation</w:t>
      </w:r>
      <w:r>
        <w:rPr>
          <w:spacing w:val="-2"/>
          <w:sz w:val="22"/>
        </w:rPr>
        <w:t> </w:t>
      </w:r>
      <w:r>
        <w:rPr>
          <w:sz w:val="22"/>
        </w:rPr>
        <w:t>process). If the State</w:t>
      </w:r>
      <w:r>
        <w:rPr>
          <w:spacing w:val="-2"/>
          <w:sz w:val="22"/>
        </w:rPr>
        <w:t> </w:t>
      </w:r>
      <w:r>
        <w:rPr>
          <w:sz w:val="22"/>
        </w:rPr>
        <w:t>allows</w:t>
      </w:r>
      <w:r>
        <w:rPr>
          <w:spacing w:val="-2"/>
          <w:sz w:val="22"/>
        </w:rPr>
        <w:t> </w:t>
      </w:r>
      <w:r>
        <w:rPr>
          <w:sz w:val="22"/>
        </w:rPr>
        <w:t>this</w:t>
      </w:r>
      <w:r>
        <w:rPr>
          <w:spacing w:val="-2"/>
          <w:sz w:val="22"/>
        </w:rPr>
        <w:t> </w:t>
      </w:r>
      <w:r>
        <w:rPr>
          <w:sz w:val="22"/>
        </w:rPr>
        <w:t>opportunity, then a</w:t>
      </w:r>
      <w:r>
        <w:rPr>
          <w:spacing w:val="-2"/>
          <w:sz w:val="22"/>
        </w:rPr>
        <w:t> </w:t>
      </w:r>
      <w:r>
        <w:rPr>
          <w:sz w:val="22"/>
        </w:rPr>
        <w:t>CP or CSA may</w:t>
      </w:r>
      <w:r>
        <w:rPr>
          <w:spacing w:val="-2"/>
          <w:sz w:val="22"/>
        </w:rPr>
        <w:t> </w:t>
      </w:r>
      <w:r>
        <w:rPr>
          <w:sz w:val="22"/>
        </w:rPr>
        <w:t>choose to</w:t>
      </w:r>
      <w:r>
        <w:rPr>
          <w:spacing w:val="-2"/>
          <w:sz w:val="22"/>
        </w:rPr>
        <w:t> </w:t>
      </w:r>
      <w:r>
        <w:rPr>
          <w:sz w:val="22"/>
        </w:rPr>
        <w:t>provide the</w:t>
      </w:r>
      <w:r>
        <w:rPr>
          <w:spacing w:val="-2"/>
          <w:sz w:val="22"/>
        </w:rPr>
        <w:t> </w:t>
      </w:r>
      <w:r>
        <w:rPr>
          <w:sz w:val="22"/>
        </w:rPr>
        <w:t>State</w:t>
      </w:r>
      <w:r>
        <w:rPr>
          <w:spacing w:val="-2"/>
          <w:sz w:val="22"/>
        </w:rPr>
        <w:t> </w:t>
      </w:r>
      <w:r>
        <w:rPr>
          <w:sz w:val="22"/>
        </w:rPr>
        <w:t>a DSRIP Performance Remediation</w:t>
      </w:r>
      <w:r>
        <w:rPr>
          <w:spacing w:val="-2"/>
          <w:sz w:val="22"/>
        </w:rPr>
        <w:t> </w:t>
      </w:r>
      <w:r>
        <w:rPr>
          <w:sz w:val="22"/>
        </w:rPr>
        <w:t>Plan within 30</w:t>
      </w:r>
      <w:r>
        <w:rPr>
          <w:spacing w:val="-2"/>
          <w:sz w:val="22"/>
        </w:rPr>
        <w:t> </w:t>
      </w:r>
      <w:r>
        <w:rPr>
          <w:sz w:val="22"/>
        </w:rPr>
        <w:t>calendar days of receipt of the State’s notification of the opportunity to submit a Performance Remediation Plan, in which case the CP or CSA may have the opportunity to earn</w:t>
      </w:r>
      <w:r>
        <w:rPr>
          <w:spacing w:val="-1"/>
          <w:sz w:val="22"/>
        </w:rPr>
        <w:t> </w:t>
      </w:r>
      <w:r>
        <w:rPr>
          <w:sz w:val="22"/>
        </w:rPr>
        <w:t>back up to 60% of the unearned, withheld funds, as further described below.</w:t>
      </w:r>
    </w:p>
    <w:p>
      <w:pPr>
        <w:spacing w:before="162"/>
        <w:ind w:left="1219" w:right="0" w:firstLine="0"/>
        <w:jc w:val="both"/>
        <w:rPr>
          <w:sz w:val="22"/>
        </w:rPr>
      </w:pPr>
      <w:r>
        <w:rPr>
          <w:sz w:val="22"/>
        </w:rPr>
        <w:t>The</w:t>
      </w:r>
      <w:r>
        <w:rPr>
          <w:spacing w:val="-6"/>
          <w:sz w:val="22"/>
        </w:rPr>
        <w:t> </w:t>
      </w:r>
      <w:r>
        <w:rPr>
          <w:sz w:val="22"/>
        </w:rPr>
        <w:t>DSRIP</w:t>
      </w:r>
      <w:r>
        <w:rPr>
          <w:spacing w:val="-5"/>
          <w:sz w:val="22"/>
        </w:rPr>
        <w:t> </w:t>
      </w:r>
      <w:r>
        <w:rPr>
          <w:sz w:val="22"/>
        </w:rPr>
        <w:t>Performance</w:t>
      </w:r>
      <w:r>
        <w:rPr>
          <w:spacing w:val="-4"/>
          <w:sz w:val="22"/>
        </w:rPr>
        <w:t> </w:t>
      </w:r>
      <w:r>
        <w:rPr>
          <w:sz w:val="22"/>
        </w:rPr>
        <w:t>Remediation</w:t>
      </w:r>
      <w:r>
        <w:rPr>
          <w:spacing w:val="-4"/>
          <w:sz w:val="22"/>
        </w:rPr>
        <w:t> </w:t>
      </w:r>
      <w:r>
        <w:rPr>
          <w:sz w:val="22"/>
        </w:rPr>
        <w:t>Plan</w:t>
      </w:r>
      <w:r>
        <w:rPr>
          <w:spacing w:val="-4"/>
          <w:sz w:val="22"/>
        </w:rPr>
        <w:t> </w:t>
      </w:r>
      <w:r>
        <w:rPr>
          <w:sz w:val="22"/>
        </w:rPr>
        <w:t>will</w:t>
      </w:r>
      <w:r>
        <w:rPr>
          <w:spacing w:val="-5"/>
          <w:sz w:val="22"/>
        </w:rPr>
        <w:t> </w:t>
      </w:r>
      <w:r>
        <w:rPr>
          <w:spacing w:val="-2"/>
          <w:sz w:val="22"/>
        </w:rPr>
        <w:t>include:</w:t>
      </w:r>
    </w:p>
    <w:p>
      <w:pPr>
        <w:pStyle w:val="ListParagraph"/>
        <w:numPr>
          <w:ilvl w:val="0"/>
          <w:numId w:val="103"/>
        </w:numPr>
        <w:tabs>
          <w:tab w:pos="2046" w:val="left" w:leader="none"/>
        </w:tabs>
        <w:spacing w:line="269" w:lineRule="exact" w:before="158" w:after="0"/>
        <w:ind w:left="2046" w:right="0" w:hanging="359"/>
        <w:jc w:val="both"/>
        <w:rPr>
          <w:sz w:val="22"/>
        </w:rPr>
      </w:pPr>
      <w:r>
        <w:rPr>
          <w:sz w:val="22"/>
        </w:rPr>
        <w:t>As</w:t>
      </w:r>
      <w:r>
        <w:rPr>
          <w:spacing w:val="-3"/>
          <w:sz w:val="22"/>
        </w:rPr>
        <w:t> </w:t>
      </w:r>
      <w:r>
        <w:rPr>
          <w:sz w:val="22"/>
        </w:rPr>
        <w:t>specified</w:t>
      </w:r>
      <w:r>
        <w:rPr>
          <w:spacing w:val="-5"/>
          <w:sz w:val="22"/>
        </w:rPr>
        <w:t> </w:t>
      </w:r>
      <w:r>
        <w:rPr>
          <w:sz w:val="22"/>
        </w:rPr>
        <w:t>by</w:t>
      </w:r>
      <w:r>
        <w:rPr>
          <w:spacing w:val="-5"/>
          <w:sz w:val="22"/>
        </w:rPr>
        <w:t> </w:t>
      </w:r>
      <w:r>
        <w:rPr>
          <w:sz w:val="22"/>
        </w:rPr>
        <w:t>the</w:t>
      </w:r>
      <w:r>
        <w:rPr>
          <w:spacing w:val="-3"/>
          <w:sz w:val="22"/>
        </w:rPr>
        <w:t> </w:t>
      </w:r>
      <w:r>
        <w:rPr>
          <w:sz w:val="22"/>
        </w:rPr>
        <w:t>State,</w:t>
      </w:r>
      <w:r>
        <w:rPr>
          <w:spacing w:val="-2"/>
          <w:sz w:val="22"/>
        </w:rPr>
        <w:t> </w:t>
      </w:r>
      <w:r>
        <w:rPr>
          <w:sz w:val="22"/>
        </w:rPr>
        <w:t>a</w:t>
      </w:r>
      <w:r>
        <w:rPr>
          <w:spacing w:val="-5"/>
          <w:sz w:val="22"/>
        </w:rPr>
        <w:t> </w:t>
      </w:r>
      <w:r>
        <w:rPr>
          <w:sz w:val="22"/>
        </w:rPr>
        <w:t>detailed</w:t>
      </w:r>
      <w:r>
        <w:rPr>
          <w:spacing w:val="-2"/>
          <w:sz w:val="22"/>
        </w:rPr>
        <w:t> </w:t>
      </w:r>
      <w:r>
        <w:rPr>
          <w:sz w:val="22"/>
        </w:rPr>
        <w:t>assessment</w:t>
      </w:r>
      <w:r>
        <w:rPr>
          <w:spacing w:val="-1"/>
          <w:sz w:val="22"/>
        </w:rPr>
        <w:t> </w:t>
      </w:r>
      <w:r>
        <w:rPr>
          <w:sz w:val="22"/>
        </w:rPr>
        <w:t>of</w:t>
      </w:r>
      <w:r>
        <w:rPr>
          <w:spacing w:val="-5"/>
          <w:sz w:val="22"/>
        </w:rPr>
        <w:t> </w:t>
      </w:r>
      <w:r>
        <w:rPr>
          <w:sz w:val="22"/>
        </w:rPr>
        <w:t>the</w:t>
      </w:r>
      <w:r>
        <w:rPr>
          <w:spacing w:val="-4"/>
          <w:sz w:val="22"/>
        </w:rPr>
        <w:t> </w:t>
      </w:r>
      <w:r>
        <w:rPr>
          <w:sz w:val="22"/>
        </w:rPr>
        <w:t>reason(s)</w:t>
      </w:r>
      <w:r>
        <w:rPr>
          <w:spacing w:val="-1"/>
          <w:sz w:val="22"/>
        </w:rPr>
        <w:t> </w:t>
      </w:r>
      <w:r>
        <w:rPr>
          <w:spacing w:val="-4"/>
          <w:sz w:val="22"/>
        </w:rPr>
        <w:t>why:</w:t>
      </w:r>
    </w:p>
    <w:p>
      <w:pPr>
        <w:pStyle w:val="ListParagraph"/>
        <w:numPr>
          <w:ilvl w:val="1"/>
          <w:numId w:val="103"/>
        </w:numPr>
        <w:tabs>
          <w:tab w:pos="2765" w:val="left" w:leader="none"/>
          <w:tab w:pos="2767" w:val="left" w:leader="none"/>
        </w:tabs>
        <w:spacing w:line="230" w:lineRule="auto" w:before="7" w:after="0"/>
        <w:ind w:left="2767" w:right="1095" w:hanging="361"/>
        <w:jc w:val="both"/>
        <w:rPr>
          <w:sz w:val="22"/>
        </w:rPr>
      </w:pPr>
      <w:r>
        <w:rPr>
          <w:sz w:val="22"/>
        </w:rPr>
        <w:t>The CP or CSA did not or is not anticipated to achieve a 100% Accountability Score, separately</w:t>
      </w:r>
      <w:r>
        <w:rPr>
          <w:spacing w:val="-5"/>
          <w:sz w:val="22"/>
        </w:rPr>
        <w:t> </w:t>
      </w:r>
      <w:r>
        <w:rPr>
          <w:sz w:val="22"/>
        </w:rPr>
        <w:t>addressing</w:t>
      </w:r>
      <w:r>
        <w:rPr>
          <w:spacing w:val="-5"/>
          <w:sz w:val="22"/>
        </w:rPr>
        <w:t> </w:t>
      </w:r>
      <w:r>
        <w:rPr>
          <w:sz w:val="22"/>
        </w:rPr>
        <w:t>State-specified</w:t>
      </w:r>
      <w:r>
        <w:rPr>
          <w:spacing w:val="-2"/>
          <w:sz w:val="22"/>
        </w:rPr>
        <w:t> </w:t>
      </w:r>
      <w:r>
        <w:rPr>
          <w:sz w:val="22"/>
        </w:rPr>
        <w:t>measures</w:t>
      </w:r>
      <w:r>
        <w:rPr>
          <w:spacing w:val="-4"/>
          <w:sz w:val="22"/>
        </w:rPr>
        <w:t> </w:t>
      </w:r>
      <w:r>
        <w:rPr>
          <w:sz w:val="22"/>
        </w:rPr>
        <w:t>on</w:t>
      </w:r>
      <w:r>
        <w:rPr>
          <w:spacing w:val="-2"/>
          <w:sz w:val="22"/>
        </w:rPr>
        <w:t> </w:t>
      </w:r>
      <w:r>
        <w:rPr>
          <w:sz w:val="22"/>
        </w:rPr>
        <w:t>which</w:t>
      </w:r>
      <w:r>
        <w:rPr>
          <w:spacing w:val="-2"/>
          <w:sz w:val="22"/>
        </w:rPr>
        <w:t> </w:t>
      </w:r>
      <w:r>
        <w:rPr>
          <w:sz w:val="22"/>
        </w:rPr>
        <w:t>the</w:t>
      </w:r>
      <w:r>
        <w:rPr>
          <w:spacing w:val="-2"/>
          <w:sz w:val="22"/>
        </w:rPr>
        <w:t> </w:t>
      </w:r>
      <w:r>
        <w:rPr>
          <w:sz w:val="22"/>
        </w:rPr>
        <w:t>CP</w:t>
      </w:r>
      <w:r>
        <w:rPr>
          <w:spacing w:val="-3"/>
          <w:sz w:val="22"/>
        </w:rPr>
        <w:t> </w:t>
      </w:r>
      <w:r>
        <w:rPr>
          <w:sz w:val="22"/>
        </w:rPr>
        <w:t>or</w:t>
      </w:r>
      <w:r>
        <w:rPr>
          <w:spacing w:val="-1"/>
          <w:sz w:val="22"/>
        </w:rPr>
        <w:t> </w:t>
      </w:r>
      <w:r>
        <w:rPr>
          <w:sz w:val="22"/>
        </w:rPr>
        <w:t>CSA</w:t>
      </w:r>
      <w:r>
        <w:rPr>
          <w:spacing w:val="-3"/>
          <w:sz w:val="22"/>
        </w:rPr>
        <w:t> </w:t>
      </w:r>
      <w:r>
        <w:rPr>
          <w:sz w:val="22"/>
        </w:rPr>
        <w:t>scored</w:t>
      </w:r>
      <w:r>
        <w:rPr>
          <w:spacing w:val="-5"/>
          <w:sz w:val="22"/>
        </w:rPr>
        <w:t> </w:t>
      </w:r>
      <w:r>
        <w:rPr>
          <w:sz w:val="22"/>
        </w:rPr>
        <w:t>less</w:t>
      </w:r>
      <w:r>
        <w:rPr>
          <w:spacing w:val="-2"/>
          <w:sz w:val="22"/>
        </w:rPr>
        <w:t> </w:t>
      </w:r>
      <w:r>
        <w:rPr>
          <w:sz w:val="22"/>
        </w:rPr>
        <w:t>than full points; or</w:t>
      </w:r>
    </w:p>
    <w:p>
      <w:pPr>
        <w:pStyle w:val="ListParagraph"/>
        <w:numPr>
          <w:ilvl w:val="1"/>
          <w:numId w:val="103"/>
        </w:numPr>
        <w:tabs>
          <w:tab w:pos="2766" w:val="left" w:leader="none"/>
          <w:tab w:pos="2768" w:val="left" w:leader="none"/>
        </w:tabs>
        <w:spacing w:line="223" w:lineRule="auto" w:before="16" w:after="0"/>
        <w:ind w:left="2768" w:right="1094" w:hanging="361"/>
        <w:jc w:val="both"/>
        <w:rPr>
          <w:sz w:val="22"/>
        </w:rPr>
      </w:pPr>
      <w:r>
        <w:rPr>
          <w:sz w:val="22"/>
        </w:rPr>
        <w:t>The</w:t>
      </w:r>
      <w:r>
        <w:rPr>
          <w:spacing w:val="-2"/>
          <w:sz w:val="22"/>
        </w:rPr>
        <w:t> </w:t>
      </w:r>
      <w:r>
        <w:rPr>
          <w:sz w:val="22"/>
        </w:rPr>
        <w:t>CP or CSA</w:t>
      </w:r>
      <w:r>
        <w:rPr>
          <w:spacing w:val="-1"/>
          <w:sz w:val="22"/>
        </w:rPr>
        <w:t> </w:t>
      </w:r>
      <w:r>
        <w:rPr>
          <w:sz w:val="22"/>
        </w:rPr>
        <w:t>did</w:t>
      </w:r>
      <w:r>
        <w:rPr>
          <w:spacing w:val="-2"/>
          <w:sz w:val="22"/>
        </w:rPr>
        <w:t> </w:t>
      </w:r>
      <w:r>
        <w:rPr>
          <w:sz w:val="22"/>
        </w:rPr>
        <w:t>not</w:t>
      </w:r>
      <w:r>
        <w:rPr>
          <w:spacing w:val="-1"/>
          <w:sz w:val="22"/>
        </w:rPr>
        <w:t> </w:t>
      </w:r>
      <w:r>
        <w:rPr>
          <w:sz w:val="22"/>
        </w:rPr>
        <w:t>or</w:t>
      </w:r>
      <w:r>
        <w:rPr>
          <w:spacing w:val="-1"/>
          <w:sz w:val="22"/>
        </w:rPr>
        <w:t> </w:t>
      </w:r>
      <w:r>
        <w:rPr>
          <w:sz w:val="22"/>
        </w:rPr>
        <w:t>is not anticipated</w:t>
      </w:r>
      <w:r>
        <w:rPr>
          <w:spacing w:val="-2"/>
          <w:sz w:val="22"/>
        </w:rPr>
        <w:t> </w:t>
      </w:r>
      <w:r>
        <w:rPr>
          <w:sz w:val="22"/>
        </w:rPr>
        <w:t>to perform</w:t>
      </w:r>
      <w:r>
        <w:rPr>
          <w:spacing w:val="-4"/>
          <w:sz w:val="22"/>
        </w:rPr>
        <w:t> </w:t>
      </w:r>
      <w:r>
        <w:rPr>
          <w:sz w:val="22"/>
        </w:rPr>
        <w:t>well on</w:t>
      </w:r>
      <w:r>
        <w:rPr>
          <w:spacing w:val="-2"/>
          <w:sz w:val="22"/>
        </w:rPr>
        <w:t> </w:t>
      </w:r>
      <w:r>
        <w:rPr>
          <w:sz w:val="22"/>
        </w:rPr>
        <w:t>other</w:t>
      </w:r>
      <w:r>
        <w:rPr>
          <w:spacing w:val="-1"/>
          <w:sz w:val="22"/>
        </w:rPr>
        <w:t> </w:t>
      </w:r>
      <w:r>
        <w:rPr>
          <w:sz w:val="22"/>
        </w:rPr>
        <w:t>quality, utilization, cost, or member experience metrics or analyses</w:t>
      </w:r>
    </w:p>
    <w:p>
      <w:pPr>
        <w:pStyle w:val="ListParagraph"/>
        <w:numPr>
          <w:ilvl w:val="0"/>
          <w:numId w:val="103"/>
        </w:numPr>
        <w:tabs>
          <w:tab w:pos="2048" w:val="left" w:leader="none"/>
        </w:tabs>
        <w:spacing w:line="240" w:lineRule="auto" w:before="6" w:after="0"/>
        <w:ind w:left="2048" w:right="1095" w:hanging="360"/>
        <w:jc w:val="both"/>
        <w:rPr>
          <w:sz w:val="22"/>
        </w:rPr>
      </w:pPr>
      <w:r>
        <w:rPr>
          <w:sz w:val="22"/>
        </w:rPr>
        <w:t>As</w:t>
      </w:r>
      <w:r>
        <w:rPr>
          <w:spacing w:val="-2"/>
          <w:sz w:val="22"/>
        </w:rPr>
        <w:t> </w:t>
      </w:r>
      <w:r>
        <w:rPr>
          <w:sz w:val="22"/>
        </w:rPr>
        <w:t>specified</w:t>
      </w:r>
      <w:r>
        <w:rPr>
          <w:spacing w:val="-2"/>
          <w:sz w:val="22"/>
        </w:rPr>
        <w:t> </w:t>
      </w:r>
      <w:r>
        <w:rPr>
          <w:sz w:val="22"/>
        </w:rPr>
        <w:t>by</w:t>
      </w:r>
      <w:r>
        <w:rPr>
          <w:spacing w:val="-5"/>
          <w:sz w:val="22"/>
        </w:rPr>
        <w:t> </w:t>
      </w:r>
      <w:r>
        <w:rPr>
          <w:sz w:val="22"/>
        </w:rPr>
        <w:t>the</w:t>
      </w:r>
      <w:r>
        <w:rPr>
          <w:spacing w:val="-2"/>
          <w:sz w:val="22"/>
        </w:rPr>
        <w:t> </w:t>
      </w:r>
      <w:r>
        <w:rPr>
          <w:sz w:val="22"/>
        </w:rPr>
        <w:t>State,</w:t>
      </w:r>
      <w:r>
        <w:rPr>
          <w:spacing w:val="-2"/>
          <w:sz w:val="22"/>
        </w:rPr>
        <w:t> </w:t>
      </w:r>
      <w:r>
        <w:rPr>
          <w:sz w:val="22"/>
        </w:rPr>
        <w:t>discrete</w:t>
      </w:r>
      <w:r>
        <w:rPr>
          <w:spacing w:val="-2"/>
          <w:sz w:val="22"/>
        </w:rPr>
        <w:t> </w:t>
      </w:r>
      <w:r>
        <w:rPr>
          <w:sz w:val="22"/>
        </w:rPr>
        <w:t>project(s)</w:t>
      </w:r>
      <w:r>
        <w:rPr>
          <w:spacing w:val="-4"/>
          <w:sz w:val="22"/>
        </w:rPr>
        <w:t> </w:t>
      </w:r>
      <w:r>
        <w:rPr>
          <w:sz w:val="22"/>
        </w:rPr>
        <w:t>the</w:t>
      </w:r>
      <w:r>
        <w:rPr>
          <w:spacing w:val="-4"/>
          <w:sz w:val="22"/>
        </w:rPr>
        <w:t> </w:t>
      </w:r>
      <w:r>
        <w:rPr>
          <w:sz w:val="22"/>
        </w:rPr>
        <w:t>CP</w:t>
      </w:r>
      <w:r>
        <w:rPr>
          <w:spacing w:val="-3"/>
          <w:sz w:val="22"/>
        </w:rPr>
        <w:t> </w:t>
      </w:r>
      <w:r>
        <w:rPr>
          <w:sz w:val="22"/>
        </w:rPr>
        <w:t>or</w:t>
      </w:r>
      <w:r>
        <w:rPr>
          <w:spacing w:val="-6"/>
          <w:sz w:val="22"/>
        </w:rPr>
        <w:t> </w:t>
      </w:r>
      <w:r>
        <w:rPr>
          <w:sz w:val="22"/>
        </w:rPr>
        <w:t>CSA</w:t>
      </w:r>
      <w:r>
        <w:rPr>
          <w:spacing w:val="-3"/>
          <w:sz w:val="22"/>
        </w:rPr>
        <w:t> </w:t>
      </w:r>
      <w:r>
        <w:rPr>
          <w:sz w:val="22"/>
        </w:rPr>
        <w:t>will</w:t>
      </w:r>
      <w:r>
        <w:rPr>
          <w:spacing w:val="-4"/>
          <w:sz w:val="22"/>
        </w:rPr>
        <w:t> </w:t>
      </w:r>
      <w:r>
        <w:rPr>
          <w:sz w:val="22"/>
        </w:rPr>
        <w:t>undertake</w:t>
      </w:r>
      <w:r>
        <w:rPr>
          <w:spacing w:val="-2"/>
          <w:sz w:val="22"/>
        </w:rPr>
        <w:t> </w:t>
      </w:r>
      <w:r>
        <w:rPr>
          <w:sz w:val="22"/>
        </w:rPr>
        <w:t>to</w:t>
      </w:r>
      <w:r>
        <w:rPr>
          <w:spacing w:val="-5"/>
          <w:sz w:val="22"/>
        </w:rPr>
        <w:t> </w:t>
      </w:r>
      <w:r>
        <w:rPr>
          <w:sz w:val="22"/>
        </w:rPr>
        <w:t>address</w:t>
      </w:r>
      <w:r>
        <w:rPr>
          <w:spacing w:val="-4"/>
          <w:sz w:val="22"/>
        </w:rPr>
        <w:t> </w:t>
      </w:r>
      <w:r>
        <w:rPr>
          <w:sz w:val="22"/>
        </w:rPr>
        <w:t>some</w:t>
      </w:r>
      <w:r>
        <w:rPr>
          <w:spacing w:val="-2"/>
          <w:sz w:val="22"/>
        </w:rPr>
        <w:t> </w:t>
      </w:r>
      <w:r>
        <w:rPr>
          <w:sz w:val="22"/>
        </w:rPr>
        <w:t>or</w:t>
      </w:r>
      <w:r>
        <w:rPr>
          <w:spacing w:val="-1"/>
          <w:sz w:val="22"/>
        </w:rPr>
        <w:t> </w:t>
      </w:r>
      <w:r>
        <w:rPr>
          <w:sz w:val="22"/>
        </w:rPr>
        <w:t>all of</w:t>
      </w:r>
      <w:r>
        <w:rPr>
          <w:spacing w:val="-4"/>
          <w:sz w:val="22"/>
        </w:rPr>
        <w:t> </w:t>
      </w:r>
      <w:r>
        <w:rPr>
          <w:sz w:val="22"/>
        </w:rPr>
        <w:t>the</w:t>
      </w:r>
      <w:r>
        <w:rPr>
          <w:spacing w:val="-4"/>
          <w:sz w:val="22"/>
        </w:rPr>
        <w:t> </w:t>
      </w:r>
      <w:r>
        <w:rPr>
          <w:sz w:val="22"/>
        </w:rPr>
        <w:t>reasons</w:t>
      </w:r>
      <w:r>
        <w:rPr>
          <w:spacing w:val="-4"/>
          <w:sz w:val="22"/>
        </w:rPr>
        <w:t> </w:t>
      </w:r>
      <w:r>
        <w:rPr>
          <w:sz w:val="22"/>
        </w:rPr>
        <w:t>identified</w:t>
      </w:r>
      <w:r>
        <w:rPr>
          <w:spacing w:val="-5"/>
          <w:sz w:val="22"/>
        </w:rPr>
        <w:t> </w:t>
      </w:r>
      <w:r>
        <w:rPr>
          <w:sz w:val="22"/>
        </w:rPr>
        <w:t>in</w:t>
      </w:r>
      <w:r>
        <w:rPr>
          <w:spacing w:val="-7"/>
          <w:sz w:val="22"/>
        </w:rPr>
        <w:t> </w:t>
      </w:r>
      <w:r>
        <w:rPr>
          <w:sz w:val="22"/>
        </w:rPr>
        <w:t>the</w:t>
      </w:r>
      <w:r>
        <w:rPr>
          <w:spacing w:val="-4"/>
          <w:sz w:val="22"/>
        </w:rPr>
        <w:t> </w:t>
      </w:r>
      <w:r>
        <w:rPr>
          <w:sz w:val="22"/>
        </w:rPr>
        <w:t>detailed</w:t>
      </w:r>
      <w:r>
        <w:rPr>
          <w:spacing w:val="-5"/>
          <w:sz w:val="22"/>
        </w:rPr>
        <w:t> </w:t>
      </w:r>
      <w:r>
        <w:rPr>
          <w:sz w:val="22"/>
        </w:rPr>
        <w:t>assessment</w:t>
      </w:r>
      <w:r>
        <w:rPr>
          <w:spacing w:val="-1"/>
          <w:sz w:val="22"/>
        </w:rPr>
        <w:t> </w:t>
      </w:r>
      <w:r>
        <w:rPr>
          <w:sz w:val="22"/>
        </w:rPr>
        <w:t>described</w:t>
      </w:r>
      <w:r>
        <w:rPr>
          <w:spacing w:val="-5"/>
          <w:sz w:val="22"/>
        </w:rPr>
        <w:t> </w:t>
      </w:r>
      <w:r>
        <w:rPr>
          <w:sz w:val="22"/>
        </w:rPr>
        <w:t>above,</w:t>
      </w:r>
      <w:r>
        <w:rPr>
          <w:spacing w:val="-5"/>
          <w:sz w:val="22"/>
        </w:rPr>
        <w:t> </w:t>
      </w:r>
      <w:r>
        <w:rPr>
          <w:sz w:val="22"/>
        </w:rPr>
        <w:t>along</w:t>
      </w:r>
      <w:r>
        <w:rPr>
          <w:spacing w:val="-5"/>
          <w:sz w:val="22"/>
        </w:rPr>
        <w:t> </w:t>
      </w:r>
      <w:r>
        <w:rPr>
          <w:sz w:val="22"/>
        </w:rPr>
        <w:t>with</w:t>
      </w:r>
      <w:r>
        <w:rPr>
          <w:spacing w:val="-5"/>
          <w:sz w:val="22"/>
        </w:rPr>
        <w:t> </w:t>
      </w:r>
      <w:r>
        <w:rPr>
          <w:sz w:val="22"/>
        </w:rPr>
        <w:t>rationale</w:t>
      </w:r>
      <w:r>
        <w:rPr>
          <w:spacing w:val="-4"/>
          <w:sz w:val="22"/>
        </w:rPr>
        <w:t> </w:t>
      </w:r>
      <w:r>
        <w:rPr>
          <w:sz w:val="22"/>
        </w:rPr>
        <w:t>for</w:t>
      </w:r>
      <w:r>
        <w:rPr>
          <w:spacing w:val="-4"/>
          <w:sz w:val="22"/>
        </w:rPr>
        <w:t> </w:t>
      </w:r>
      <w:r>
        <w:rPr>
          <w:sz w:val="22"/>
        </w:rPr>
        <w:t>why these activities are appropriate; or other discrete projects that align with the goals of the CP or CSA’s DSRIP Participation Plan</w:t>
      </w:r>
    </w:p>
    <w:p>
      <w:pPr>
        <w:spacing w:after="0" w:line="240" w:lineRule="auto"/>
        <w:jc w:val="both"/>
        <w:rPr>
          <w:sz w:val="22"/>
        </w:rPr>
        <w:sectPr>
          <w:pgSz w:w="12240" w:h="15840"/>
          <w:pgMar w:header="0" w:footer="967" w:top="1360" w:bottom="1160" w:left="220" w:right="340"/>
        </w:sectPr>
      </w:pPr>
    </w:p>
    <w:p>
      <w:pPr>
        <w:pStyle w:val="ListParagraph"/>
        <w:numPr>
          <w:ilvl w:val="0"/>
          <w:numId w:val="103"/>
        </w:numPr>
        <w:tabs>
          <w:tab w:pos="2046" w:val="left" w:leader="none"/>
          <w:tab w:pos="2048" w:val="left" w:leader="none"/>
        </w:tabs>
        <w:spacing w:line="240" w:lineRule="auto" w:before="79" w:after="0"/>
        <w:ind w:left="2048" w:right="1094" w:hanging="361"/>
        <w:jc w:val="both"/>
        <w:rPr>
          <w:sz w:val="22"/>
        </w:rPr>
      </w:pPr>
      <w:r>
        <w:rPr>
          <w:sz w:val="22"/>
        </w:rPr>
        <w:t>A workplan, which includes a timeline for the implementation of these activities during a time period determined by the State, as well as identification of the resources that will be responsible for their completion</w:t>
      </w:r>
    </w:p>
    <w:p>
      <w:pPr>
        <w:pStyle w:val="ListParagraph"/>
        <w:numPr>
          <w:ilvl w:val="0"/>
          <w:numId w:val="103"/>
        </w:numPr>
        <w:tabs>
          <w:tab w:pos="2046" w:val="left" w:leader="none"/>
          <w:tab w:pos="2048" w:val="left" w:leader="none"/>
        </w:tabs>
        <w:spacing w:line="240" w:lineRule="auto" w:before="0" w:after="0"/>
        <w:ind w:left="2048" w:right="1094" w:hanging="361"/>
        <w:jc w:val="both"/>
        <w:rPr>
          <w:sz w:val="22"/>
        </w:rPr>
      </w:pPr>
      <w:r>
        <w:rPr>
          <w:sz w:val="22"/>
        </w:rPr>
        <w:t>An accountability plan for these activities, including any milestones or metrics the CP or CSA anticipates and when the CP or CSA anticipates realizing them, and also including a proposed model</w:t>
      </w:r>
      <w:r>
        <w:rPr>
          <w:spacing w:val="-4"/>
          <w:sz w:val="22"/>
        </w:rPr>
        <w:t> </w:t>
      </w:r>
      <w:r>
        <w:rPr>
          <w:sz w:val="22"/>
        </w:rPr>
        <w:t>for</w:t>
      </w:r>
      <w:r>
        <w:rPr>
          <w:spacing w:val="-4"/>
          <w:sz w:val="22"/>
        </w:rPr>
        <w:t> </w:t>
      </w:r>
      <w:r>
        <w:rPr>
          <w:sz w:val="22"/>
        </w:rPr>
        <w:t>the</w:t>
      </w:r>
      <w:r>
        <w:rPr>
          <w:spacing w:val="-4"/>
          <w:sz w:val="22"/>
        </w:rPr>
        <w:t> </w:t>
      </w:r>
      <w:r>
        <w:rPr>
          <w:sz w:val="22"/>
        </w:rPr>
        <w:t>State</w:t>
      </w:r>
      <w:r>
        <w:rPr>
          <w:spacing w:val="-4"/>
          <w:sz w:val="22"/>
        </w:rPr>
        <w:t> </w:t>
      </w:r>
      <w:r>
        <w:rPr>
          <w:sz w:val="22"/>
        </w:rPr>
        <w:t>to</w:t>
      </w:r>
      <w:r>
        <w:rPr>
          <w:spacing w:val="-5"/>
          <w:sz w:val="22"/>
        </w:rPr>
        <w:t> </w:t>
      </w:r>
      <w:r>
        <w:rPr>
          <w:sz w:val="22"/>
        </w:rPr>
        <w:t>monitor</w:t>
      </w:r>
      <w:r>
        <w:rPr>
          <w:spacing w:val="-6"/>
          <w:sz w:val="22"/>
        </w:rPr>
        <w:t> </w:t>
      </w:r>
      <w:r>
        <w:rPr>
          <w:sz w:val="22"/>
        </w:rPr>
        <w:t>the</w:t>
      </w:r>
      <w:r>
        <w:rPr>
          <w:spacing w:val="-4"/>
          <w:sz w:val="22"/>
        </w:rPr>
        <w:t> </w:t>
      </w:r>
      <w:r>
        <w:rPr>
          <w:sz w:val="22"/>
        </w:rPr>
        <w:t>CP</w:t>
      </w:r>
      <w:r>
        <w:rPr>
          <w:spacing w:val="-5"/>
          <w:sz w:val="22"/>
        </w:rPr>
        <w:t> </w:t>
      </w:r>
      <w:r>
        <w:rPr>
          <w:sz w:val="22"/>
        </w:rPr>
        <w:t>or</w:t>
      </w:r>
      <w:r>
        <w:rPr>
          <w:spacing w:val="-4"/>
          <w:sz w:val="22"/>
        </w:rPr>
        <w:t> </w:t>
      </w:r>
      <w:r>
        <w:rPr>
          <w:sz w:val="22"/>
        </w:rPr>
        <w:t>CSA</w:t>
      </w:r>
      <w:r>
        <w:rPr>
          <w:spacing w:val="-6"/>
          <w:sz w:val="22"/>
        </w:rPr>
        <w:t> </w:t>
      </w:r>
      <w:r>
        <w:rPr>
          <w:sz w:val="22"/>
        </w:rPr>
        <w:t>implementation</w:t>
      </w:r>
      <w:r>
        <w:rPr>
          <w:spacing w:val="-7"/>
          <w:sz w:val="22"/>
        </w:rPr>
        <w:t> </w:t>
      </w:r>
      <w:r>
        <w:rPr>
          <w:sz w:val="22"/>
        </w:rPr>
        <w:t>of</w:t>
      </w:r>
      <w:r>
        <w:rPr>
          <w:spacing w:val="-6"/>
          <w:sz w:val="22"/>
        </w:rPr>
        <w:t> </w:t>
      </w:r>
      <w:r>
        <w:rPr>
          <w:sz w:val="22"/>
        </w:rPr>
        <w:t>the</w:t>
      </w:r>
      <w:r>
        <w:rPr>
          <w:spacing w:val="-4"/>
          <w:sz w:val="22"/>
        </w:rPr>
        <w:t> </w:t>
      </w:r>
      <w:r>
        <w:rPr>
          <w:sz w:val="22"/>
        </w:rPr>
        <w:t>proposed</w:t>
      </w:r>
      <w:r>
        <w:rPr>
          <w:spacing w:val="-5"/>
          <w:sz w:val="22"/>
        </w:rPr>
        <w:t> </w:t>
      </w:r>
      <w:r>
        <w:rPr>
          <w:sz w:val="22"/>
        </w:rPr>
        <w:t>activities</w:t>
      </w:r>
      <w:r>
        <w:rPr>
          <w:spacing w:val="-7"/>
          <w:sz w:val="22"/>
        </w:rPr>
        <w:t> </w:t>
      </w:r>
      <w:r>
        <w:rPr>
          <w:sz w:val="22"/>
        </w:rPr>
        <w:t>and</w:t>
      </w:r>
      <w:r>
        <w:rPr>
          <w:spacing w:val="-7"/>
          <w:sz w:val="22"/>
        </w:rPr>
        <w:t> </w:t>
      </w:r>
      <w:r>
        <w:rPr>
          <w:sz w:val="22"/>
        </w:rPr>
        <w:t>their success or failure throughout implementation time period (e.g., a schedule of site visits, staff interviews, desk reviews, etc.)</w:t>
      </w:r>
    </w:p>
    <w:p>
      <w:pPr>
        <w:pStyle w:val="BodyText"/>
      </w:pPr>
    </w:p>
    <w:p>
      <w:pPr>
        <w:spacing w:line="240" w:lineRule="auto" w:before="174"/>
        <w:ind w:left="1220" w:right="1092" w:firstLine="0"/>
        <w:jc w:val="both"/>
        <w:rPr>
          <w:sz w:val="22"/>
        </w:rPr>
      </w:pPr>
      <w:r>
        <w:rPr>
          <w:sz w:val="22"/>
        </w:rPr>
        <w:t>Within 45 calendar days of receiving the Performance Remediation Plan, the State and the Independent Assessor will review the Plan in parallel, and the State, considering the Independent Assessor recommendation, will either request additional information regarding the Performance Remediation Plan, or approve it. During the State’s review process, it will determine how much of the 60% of unearned, withheld funds the CP or CSA will be able to earn back, based on the caliber and relevance of the Performance Remediation Plan to the goals of the CP or CSA’s DSRIP Participation Plan. The State will monitor</w:t>
      </w:r>
      <w:r>
        <w:rPr>
          <w:spacing w:val="-6"/>
          <w:sz w:val="22"/>
        </w:rPr>
        <w:t> </w:t>
      </w:r>
      <w:r>
        <w:rPr>
          <w:sz w:val="22"/>
        </w:rPr>
        <w:t>the</w:t>
      </w:r>
      <w:r>
        <w:rPr>
          <w:spacing w:val="-7"/>
          <w:sz w:val="22"/>
        </w:rPr>
        <w:t> </w:t>
      </w:r>
      <w:r>
        <w:rPr>
          <w:sz w:val="22"/>
        </w:rPr>
        <w:t>Plan</w:t>
      </w:r>
      <w:r>
        <w:rPr>
          <w:spacing w:val="-7"/>
          <w:sz w:val="22"/>
        </w:rPr>
        <w:t> </w:t>
      </w:r>
      <w:r>
        <w:rPr>
          <w:sz w:val="22"/>
        </w:rPr>
        <w:t>during</w:t>
      </w:r>
      <w:r>
        <w:rPr>
          <w:spacing w:val="-9"/>
          <w:sz w:val="22"/>
        </w:rPr>
        <w:t> </w:t>
      </w:r>
      <w:r>
        <w:rPr>
          <w:sz w:val="22"/>
        </w:rPr>
        <w:t>the</w:t>
      </w:r>
      <w:r>
        <w:rPr>
          <w:spacing w:val="-8"/>
          <w:sz w:val="22"/>
        </w:rPr>
        <w:t> </w:t>
      </w:r>
      <w:r>
        <w:rPr>
          <w:sz w:val="22"/>
        </w:rPr>
        <w:t>implementation</w:t>
      </w:r>
      <w:r>
        <w:rPr>
          <w:spacing w:val="-7"/>
          <w:sz w:val="22"/>
        </w:rPr>
        <w:t> </w:t>
      </w:r>
      <w:r>
        <w:rPr>
          <w:sz w:val="22"/>
        </w:rPr>
        <w:t>period</w:t>
      </w:r>
      <w:r>
        <w:rPr>
          <w:spacing w:val="-8"/>
          <w:sz w:val="22"/>
        </w:rPr>
        <w:t> </w:t>
      </w:r>
      <w:r>
        <w:rPr>
          <w:sz w:val="22"/>
        </w:rPr>
        <w:t>on</w:t>
      </w:r>
      <w:r>
        <w:rPr>
          <w:spacing w:val="-7"/>
          <w:sz w:val="22"/>
        </w:rPr>
        <w:t> </w:t>
      </w:r>
      <w:r>
        <w:rPr>
          <w:sz w:val="22"/>
        </w:rPr>
        <w:t>an</w:t>
      </w:r>
      <w:r>
        <w:rPr>
          <w:spacing w:val="-7"/>
          <w:sz w:val="22"/>
        </w:rPr>
        <w:t> </w:t>
      </w:r>
      <w:r>
        <w:rPr>
          <w:sz w:val="22"/>
        </w:rPr>
        <w:t>ongoing</w:t>
      </w:r>
      <w:r>
        <w:rPr>
          <w:spacing w:val="-9"/>
          <w:sz w:val="22"/>
        </w:rPr>
        <w:t> </w:t>
      </w:r>
      <w:r>
        <w:rPr>
          <w:sz w:val="22"/>
        </w:rPr>
        <w:t>basis.</w:t>
      </w:r>
      <w:r>
        <w:rPr>
          <w:spacing w:val="40"/>
          <w:sz w:val="22"/>
        </w:rPr>
        <w:t> </w:t>
      </w:r>
      <w:r>
        <w:rPr>
          <w:sz w:val="22"/>
        </w:rPr>
        <w:t>Additionally,</w:t>
      </w:r>
      <w:r>
        <w:rPr>
          <w:spacing w:val="-7"/>
          <w:sz w:val="22"/>
        </w:rPr>
        <w:t> </w:t>
      </w:r>
      <w:r>
        <w:rPr>
          <w:sz w:val="22"/>
        </w:rPr>
        <w:t>the</w:t>
      </w:r>
      <w:r>
        <w:rPr>
          <w:spacing w:val="-7"/>
          <w:sz w:val="22"/>
        </w:rPr>
        <w:t> </w:t>
      </w:r>
      <w:r>
        <w:rPr>
          <w:sz w:val="22"/>
        </w:rPr>
        <w:t>State</w:t>
      </w:r>
      <w:r>
        <w:rPr>
          <w:spacing w:val="-7"/>
          <w:sz w:val="22"/>
        </w:rPr>
        <w:t> </w:t>
      </w:r>
      <w:r>
        <w:rPr>
          <w:sz w:val="22"/>
        </w:rPr>
        <w:t>will</w:t>
      </w:r>
      <w:r>
        <w:rPr>
          <w:spacing w:val="-8"/>
          <w:sz w:val="22"/>
        </w:rPr>
        <w:t> </w:t>
      </w:r>
      <w:r>
        <w:rPr>
          <w:sz w:val="22"/>
        </w:rPr>
        <w:t>assign a Performance Remediation Plan Score to the CP or CSA, based on the State’s ongoing monitoring of the Plan, and supporting</w:t>
      </w:r>
      <w:r>
        <w:rPr>
          <w:spacing w:val="-1"/>
          <w:sz w:val="22"/>
        </w:rPr>
        <w:t> </w:t>
      </w:r>
      <w:r>
        <w:rPr>
          <w:sz w:val="22"/>
        </w:rPr>
        <w:t>documentation submitted by</w:t>
      </w:r>
      <w:r>
        <w:rPr>
          <w:spacing w:val="-1"/>
          <w:sz w:val="22"/>
        </w:rPr>
        <w:t> </w:t>
      </w:r>
      <w:r>
        <w:rPr>
          <w:sz w:val="22"/>
        </w:rPr>
        <w:t>the</w:t>
      </w:r>
      <w:r>
        <w:rPr>
          <w:spacing w:val="-1"/>
          <w:sz w:val="22"/>
        </w:rPr>
        <w:t> </w:t>
      </w:r>
      <w:r>
        <w:rPr>
          <w:sz w:val="22"/>
        </w:rPr>
        <w:t>CP or CSA in its semiannual progress report for the first</w:t>
      </w:r>
      <w:r>
        <w:rPr>
          <w:spacing w:val="-5"/>
          <w:sz w:val="22"/>
        </w:rPr>
        <w:t> </w:t>
      </w:r>
      <w:r>
        <w:rPr>
          <w:sz w:val="22"/>
        </w:rPr>
        <w:t>half</w:t>
      </w:r>
      <w:r>
        <w:rPr>
          <w:spacing w:val="-5"/>
          <w:sz w:val="22"/>
        </w:rPr>
        <w:t> </w:t>
      </w:r>
      <w:r>
        <w:rPr>
          <w:sz w:val="22"/>
        </w:rPr>
        <w:t>of</w:t>
      </w:r>
      <w:r>
        <w:rPr>
          <w:spacing w:val="-5"/>
          <w:sz w:val="22"/>
        </w:rPr>
        <w:t> </w:t>
      </w:r>
      <w:r>
        <w:rPr>
          <w:sz w:val="22"/>
        </w:rPr>
        <w:t>the</w:t>
      </w:r>
      <w:r>
        <w:rPr>
          <w:spacing w:val="-6"/>
          <w:sz w:val="22"/>
        </w:rPr>
        <w:t> </w:t>
      </w:r>
      <w:r>
        <w:rPr>
          <w:sz w:val="22"/>
        </w:rPr>
        <w:t>Budget</w:t>
      </w:r>
      <w:r>
        <w:rPr>
          <w:spacing w:val="-5"/>
          <w:sz w:val="22"/>
        </w:rPr>
        <w:t> </w:t>
      </w:r>
      <w:r>
        <w:rPr>
          <w:sz w:val="22"/>
        </w:rPr>
        <w:t>Period</w:t>
      </w:r>
      <w:r>
        <w:rPr>
          <w:spacing w:val="-6"/>
          <w:sz w:val="22"/>
        </w:rPr>
        <w:t> </w:t>
      </w:r>
      <w:r>
        <w:rPr>
          <w:sz w:val="22"/>
        </w:rPr>
        <w:t>in</w:t>
      </w:r>
      <w:r>
        <w:rPr>
          <w:spacing w:val="-6"/>
          <w:sz w:val="22"/>
        </w:rPr>
        <w:t> </w:t>
      </w:r>
      <w:r>
        <w:rPr>
          <w:sz w:val="22"/>
        </w:rPr>
        <w:t>question.</w:t>
      </w:r>
      <w:r>
        <w:rPr>
          <w:spacing w:val="40"/>
          <w:sz w:val="22"/>
        </w:rPr>
        <w:t> </w:t>
      </w:r>
      <w:r>
        <w:rPr>
          <w:sz w:val="22"/>
        </w:rPr>
        <w:t>The</w:t>
      </w:r>
      <w:r>
        <w:rPr>
          <w:spacing w:val="-6"/>
          <w:sz w:val="22"/>
        </w:rPr>
        <w:t> </w:t>
      </w:r>
      <w:r>
        <w:rPr>
          <w:sz w:val="22"/>
        </w:rPr>
        <w:t>Performance</w:t>
      </w:r>
      <w:r>
        <w:rPr>
          <w:spacing w:val="-6"/>
          <w:sz w:val="22"/>
        </w:rPr>
        <w:t> </w:t>
      </w:r>
      <w:r>
        <w:rPr>
          <w:sz w:val="22"/>
        </w:rPr>
        <w:t>Remediation</w:t>
      </w:r>
      <w:r>
        <w:rPr>
          <w:spacing w:val="-6"/>
          <w:sz w:val="22"/>
        </w:rPr>
        <w:t> </w:t>
      </w:r>
      <w:r>
        <w:rPr>
          <w:sz w:val="22"/>
        </w:rPr>
        <w:t>Plan</w:t>
      </w:r>
      <w:r>
        <w:rPr>
          <w:spacing w:val="-6"/>
          <w:sz w:val="22"/>
        </w:rPr>
        <w:t> </w:t>
      </w:r>
      <w:r>
        <w:rPr>
          <w:sz w:val="22"/>
        </w:rPr>
        <w:t>Score</w:t>
      </w:r>
      <w:r>
        <w:rPr>
          <w:spacing w:val="-6"/>
          <w:sz w:val="22"/>
        </w:rPr>
        <w:t> </w:t>
      </w:r>
      <w:r>
        <w:rPr>
          <w:sz w:val="22"/>
        </w:rPr>
        <w:t>will</w:t>
      </w:r>
      <w:r>
        <w:rPr>
          <w:spacing w:val="-5"/>
          <w:sz w:val="22"/>
        </w:rPr>
        <w:t> </w:t>
      </w:r>
      <w:r>
        <w:rPr>
          <w:sz w:val="22"/>
        </w:rPr>
        <w:t>be</w:t>
      </w:r>
      <w:r>
        <w:rPr>
          <w:spacing w:val="-6"/>
          <w:sz w:val="22"/>
        </w:rPr>
        <w:t> </w:t>
      </w:r>
      <w:r>
        <w:rPr>
          <w:sz w:val="22"/>
        </w:rPr>
        <w:t>a</w:t>
      </w:r>
      <w:r>
        <w:rPr>
          <w:spacing w:val="-6"/>
          <w:sz w:val="22"/>
        </w:rPr>
        <w:t> </w:t>
      </w:r>
      <w:r>
        <w:rPr>
          <w:sz w:val="22"/>
        </w:rPr>
        <w:t>single</w:t>
      </w:r>
      <w:r>
        <w:rPr>
          <w:spacing w:val="-6"/>
          <w:sz w:val="22"/>
        </w:rPr>
        <w:t> </w:t>
      </w:r>
      <w:r>
        <w:rPr>
          <w:sz w:val="22"/>
        </w:rPr>
        <w:t>point value between 0 and 10 inclusive, and will determine how much of the CP or CSA’s unearned, withheld funds can be earned back.</w:t>
      </w:r>
    </w:p>
    <w:p>
      <w:pPr>
        <w:spacing w:before="160"/>
        <w:ind w:left="1220" w:right="1095" w:firstLine="0"/>
        <w:jc w:val="both"/>
        <w:rPr>
          <w:sz w:val="22"/>
        </w:rPr>
      </w:pPr>
      <w:r>
        <w:rPr>
          <w:sz w:val="22"/>
        </w:rPr>
        <w:t>For</w:t>
      </w:r>
      <w:r>
        <w:rPr>
          <w:spacing w:val="-1"/>
          <w:sz w:val="22"/>
        </w:rPr>
        <w:t> </w:t>
      </w:r>
      <w:r>
        <w:rPr>
          <w:sz w:val="22"/>
        </w:rPr>
        <w:t>example,</w:t>
      </w:r>
      <w:r>
        <w:rPr>
          <w:spacing w:val="-2"/>
          <w:sz w:val="22"/>
        </w:rPr>
        <w:t> </w:t>
      </w:r>
      <w:r>
        <w:rPr>
          <w:sz w:val="22"/>
        </w:rPr>
        <w:t>if</w:t>
      </w:r>
      <w:r>
        <w:rPr>
          <w:spacing w:val="-4"/>
          <w:sz w:val="22"/>
        </w:rPr>
        <w:t> </w:t>
      </w:r>
      <w:r>
        <w:rPr>
          <w:sz w:val="22"/>
        </w:rPr>
        <w:t>(1)</w:t>
      </w:r>
      <w:r>
        <w:rPr>
          <w:spacing w:val="-1"/>
          <w:sz w:val="22"/>
        </w:rPr>
        <w:t> </w:t>
      </w:r>
      <w:r>
        <w:rPr>
          <w:sz w:val="22"/>
        </w:rPr>
        <w:t>a</w:t>
      </w:r>
      <w:r>
        <w:rPr>
          <w:spacing w:val="-2"/>
          <w:sz w:val="22"/>
        </w:rPr>
        <w:t> </w:t>
      </w:r>
      <w:r>
        <w:rPr>
          <w:sz w:val="22"/>
        </w:rPr>
        <w:t>CP</w:t>
      </w:r>
      <w:r>
        <w:rPr>
          <w:spacing w:val="-3"/>
          <w:sz w:val="22"/>
        </w:rPr>
        <w:t> </w:t>
      </w:r>
      <w:r>
        <w:rPr>
          <w:sz w:val="22"/>
        </w:rPr>
        <w:t>or</w:t>
      </w:r>
      <w:r>
        <w:rPr>
          <w:spacing w:val="-4"/>
          <w:sz w:val="22"/>
        </w:rPr>
        <w:t> </w:t>
      </w:r>
      <w:r>
        <w:rPr>
          <w:sz w:val="22"/>
        </w:rPr>
        <w:t>CSA</w:t>
      </w:r>
      <w:r>
        <w:rPr>
          <w:spacing w:val="-3"/>
          <w:sz w:val="22"/>
        </w:rPr>
        <w:t> </w:t>
      </w:r>
      <w:r>
        <w:rPr>
          <w:sz w:val="22"/>
        </w:rPr>
        <w:t>has</w:t>
      </w:r>
      <w:r>
        <w:rPr>
          <w:spacing w:val="-2"/>
          <w:sz w:val="22"/>
        </w:rPr>
        <w:t> </w:t>
      </w:r>
      <w:r>
        <w:rPr>
          <w:sz w:val="22"/>
        </w:rPr>
        <w:t>$100,000</w:t>
      </w:r>
      <w:r>
        <w:rPr>
          <w:spacing w:val="-2"/>
          <w:sz w:val="22"/>
        </w:rPr>
        <w:t> </w:t>
      </w:r>
      <w:r>
        <w:rPr>
          <w:sz w:val="22"/>
        </w:rPr>
        <w:t>of</w:t>
      </w:r>
      <w:r>
        <w:rPr>
          <w:spacing w:val="-1"/>
          <w:sz w:val="22"/>
        </w:rPr>
        <w:t> </w:t>
      </w:r>
      <w:r>
        <w:rPr>
          <w:sz w:val="22"/>
        </w:rPr>
        <w:t>unearned,</w:t>
      </w:r>
      <w:r>
        <w:rPr>
          <w:spacing w:val="-2"/>
          <w:sz w:val="22"/>
        </w:rPr>
        <w:t> </w:t>
      </w:r>
      <w:r>
        <w:rPr>
          <w:sz w:val="22"/>
        </w:rPr>
        <w:t>withheld</w:t>
      </w:r>
      <w:r>
        <w:rPr>
          <w:spacing w:val="-5"/>
          <w:sz w:val="22"/>
        </w:rPr>
        <w:t> </w:t>
      </w:r>
      <w:r>
        <w:rPr>
          <w:sz w:val="22"/>
        </w:rPr>
        <w:t>funds;</w:t>
      </w:r>
      <w:r>
        <w:rPr>
          <w:spacing w:val="-1"/>
          <w:sz w:val="22"/>
        </w:rPr>
        <w:t> </w:t>
      </w:r>
      <w:r>
        <w:rPr>
          <w:sz w:val="22"/>
        </w:rPr>
        <w:t>(2)</w:t>
      </w:r>
      <w:r>
        <w:rPr>
          <w:spacing w:val="-4"/>
          <w:sz w:val="22"/>
        </w:rPr>
        <w:t> </w:t>
      </w:r>
      <w:r>
        <w:rPr>
          <w:sz w:val="22"/>
        </w:rPr>
        <w:t>the</w:t>
      </w:r>
      <w:r>
        <w:rPr>
          <w:spacing w:val="-4"/>
          <w:sz w:val="22"/>
        </w:rPr>
        <w:t> </w:t>
      </w:r>
      <w:r>
        <w:rPr>
          <w:sz w:val="22"/>
        </w:rPr>
        <w:t>State</w:t>
      </w:r>
      <w:r>
        <w:rPr>
          <w:spacing w:val="-2"/>
          <w:sz w:val="22"/>
        </w:rPr>
        <w:t> </w:t>
      </w:r>
      <w:r>
        <w:rPr>
          <w:sz w:val="22"/>
        </w:rPr>
        <w:t>determines</w:t>
      </w:r>
      <w:r>
        <w:rPr>
          <w:spacing w:val="-2"/>
          <w:sz w:val="22"/>
        </w:rPr>
        <w:t> </w:t>
      </w:r>
      <w:r>
        <w:rPr>
          <w:sz w:val="22"/>
        </w:rPr>
        <w:t>that</w:t>
      </w:r>
      <w:r>
        <w:rPr>
          <w:spacing w:val="-4"/>
          <w:sz w:val="22"/>
        </w:rPr>
        <w:t> </w:t>
      </w:r>
      <w:r>
        <w:rPr>
          <w:sz w:val="22"/>
        </w:rPr>
        <w:t>a CP or CSA will be able to earn back 50% of the CP or CSA’s unearned, withheld funds (out of a 60% maximum</w:t>
      </w:r>
      <w:r>
        <w:rPr>
          <w:spacing w:val="-7"/>
          <w:sz w:val="22"/>
        </w:rPr>
        <w:t> </w:t>
      </w:r>
      <w:r>
        <w:rPr>
          <w:sz w:val="22"/>
        </w:rPr>
        <w:t>percentage);</w:t>
      </w:r>
      <w:r>
        <w:rPr>
          <w:spacing w:val="-4"/>
          <w:sz w:val="22"/>
        </w:rPr>
        <w:t> </w:t>
      </w:r>
      <w:r>
        <w:rPr>
          <w:sz w:val="22"/>
        </w:rPr>
        <w:t>and</w:t>
      </w:r>
      <w:r>
        <w:rPr>
          <w:spacing w:val="-7"/>
          <w:sz w:val="22"/>
        </w:rPr>
        <w:t> </w:t>
      </w:r>
      <w:r>
        <w:rPr>
          <w:sz w:val="22"/>
        </w:rPr>
        <w:t>(3)</w:t>
      </w:r>
      <w:r>
        <w:rPr>
          <w:spacing w:val="-4"/>
          <w:sz w:val="22"/>
        </w:rPr>
        <w:t> </w:t>
      </w:r>
      <w:r>
        <w:rPr>
          <w:sz w:val="22"/>
        </w:rPr>
        <w:t>the</w:t>
      </w:r>
      <w:r>
        <w:rPr>
          <w:spacing w:val="-4"/>
          <w:sz w:val="22"/>
        </w:rPr>
        <w:t> </w:t>
      </w:r>
      <w:r>
        <w:rPr>
          <w:sz w:val="22"/>
        </w:rPr>
        <w:t>CP</w:t>
      </w:r>
      <w:r>
        <w:rPr>
          <w:spacing w:val="-5"/>
          <w:sz w:val="22"/>
        </w:rPr>
        <w:t> </w:t>
      </w:r>
      <w:r>
        <w:rPr>
          <w:sz w:val="22"/>
        </w:rPr>
        <w:t>or</w:t>
      </w:r>
      <w:r>
        <w:rPr>
          <w:spacing w:val="-4"/>
          <w:sz w:val="22"/>
        </w:rPr>
        <w:t> </w:t>
      </w:r>
      <w:r>
        <w:rPr>
          <w:sz w:val="22"/>
        </w:rPr>
        <w:t>CSA</w:t>
      </w:r>
      <w:r>
        <w:rPr>
          <w:spacing w:val="-6"/>
          <w:sz w:val="22"/>
        </w:rPr>
        <w:t> </w:t>
      </w:r>
      <w:r>
        <w:rPr>
          <w:sz w:val="22"/>
        </w:rPr>
        <w:t>achieves</w:t>
      </w:r>
      <w:r>
        <w:rPr>
          <w:spacing w:val="-4"/>
          <w:sz w:val="22"/>
        </w:rPr>
        <w:t> </w:t>
      </w:r>
      <w:r>
        <w:rPr>
          <w:sz w:val="22"/>
        </w:rPr>
        <w:t>a</w:t>
      </w:r>
      <w:r>
        <w:rPr>
          <w:spacing w:val="-4"/>
          <w:sz w:val="22"/>
        </w:rPr>
        <w:t> </w:t>
      </w:r>
      <w:r>
        <w:rPr>
          <w:sz w:val="22"/>
        </w:rPr>
        <w:t>Performance</w:t>
      </w:r>
      <w:r>
        <w:rPr>
          <w:spacing w:val="-4"/>
          <w:sz w:val="22"/>
        </w:rPr>
        <w:t> </w:t>
      </w:r>
      <w:r>
        <w:rPr>
          <w:sz w:val="22"/>
        </w:rPr>
        <w:t>Remediation</w:t>
      </w:r>
      <w:r>
        <w:rPr>
          <w:spacing w:val="-5"/>
          <w:sz w:val="22"/>
        </w:rPr>
        <w:t> </w:t>
      </w:r>
      <w:r>
        <w:rPr>
          <w:sz w:val="22"/>
        </w:rPr>
        <w:t>Plan</w:t>
      </w:r>
      <w:r>
        <w:rPr>
          <w:spacing w:val="-5"/>
          <w:sz w:val="22"/>
        </w:rPr>
        <w:t> </w:t>
      </w:r>
      <w:r>
        <w:rPr>
          <w:sz w:val="22"/>
        </w:rPr>
        <w:t>Score</w:t>
      </w:r>
      <w:r>
        <w:rPr>
          <w:spacing w:val="-4"/>
          <w:sz w:val="22"/>
        </w:rPr>
        <w:t> </w:t>
      </w:r>
      <w:r>
        <w:rPr>
          <w:sz w:val="22"/>
        </w:rPr>
        <w:t>of</w:t>
      </w:r>
      <w:r>
        <w:rPr>
          <w:spacing w:val="-4"/>
          <w:sz w:val="22"/>
        </w:rPr>
        <w:t> </w:t>
      </w:r>
      <w:r>
        <w:rPr>
          <w:sz w:val="22"/>
        </w:rPr>
        <w:t>7</w:t>
      </w:r>
      <w:r>
        <w:rPr>
          <w:spacing w:val="-5"/>
          <w:sz w:val="22"/>
        </w:rPr>
        <w:t> </w:t>
      </w:r>
      <w:r>
        <w:rPr>
          <w:sz w:val="22"/>
        </w:rPr>
        <w:t>out</w:t>
      </w:r>
      <w:r>
        <w:rPr>
          <w:spacing w:val="-4"/>
          <w:sz w:val="22"/>
        </w:rPr>
        <w:t> </w:t>
      </w:r>
      <w:r>
        <w:rPr>
          <w:sz w:val="22"/>
        </w:rPr>
        <w:t>of 10, then the CP or CSA’s final earned funds will be equal to $100,000 * 50% * (7 / 10) = $35,000.</w:t>
      </w:r>
    </w:p>
    <w:p>
      <w:pPr>
        <w:spacing w:before="200"/>
        <w:ind w:left="1220" w:right="0" w:firstLine="0"/>
        <w:jc w:val="both"/>
        <w:rPr>
          <w:sz w:val="22"/>
        </w:rPr>
      </w:pPr>
      <w:bookmarkStart w:name="The DSRIP Advisory Committee on Quality" w:id="1435"/>
      <w:bookmarkEnd w:id="1435"/>
      <w:r>
        <w:rPr/>
      </w:r>
      <w:r>
        <w:rPr>
          <w:color w:val="1F3762"/>
          <w:sz w:val="22"/>
        </w:rPr>
        <w:t>The</w:t>
      </w:r>
      <w:r>
        <w:rPr>
          <w:color w:val="1F3762"/>
          <w:spacing w:val="-5"/>
          <w:sz w:val="22"/>
        </w:rPr>
        <w:t> </w:t>
      </w:r>
      <w:r>
        <w:rPr>
          <w:color w:val="1F3762"/>
          <w:sz w:val="22"/>
        </w:rPr>
        <w:t>DSRIP</w:t>
      </w:r>
      <w:r>
        <w:rPr>
          <w:color w:val="1F3762"/>
          <w:spacing w:val="-3"/>
          <w:sz w:val="22"/>
        </w:rPr>
        <w:t> </w:t>
      </w:r>
      <w:r>
        <w:rPr>
          <w:color w:val="1F3762"/>
          <w:sz w:val="22"/>
        </w:rPr>
        <w:t>Advisory</w:t>
      </w:r>
      <w:r>
        <w:rPr>
          <w:color w:val="1F3762"/>
          <w:spacing w:val="-5"/>
          <w:sz w:val="22"/>
        </w:rPr>
        <w:t> </w:t>
      </w:r>
      <w:r>
        <w:rPr>
          <w:color w:val="1F3762"/>
          <w:sz w:val="22"/>
        </w:rPr>
        <w:t>Committee</w:t>
      </w:r>
      <w:r>
        <w:rPr>
          <w:color w:val="1F3762"/>
          <w:spacing w:val="-2"/>
          <w:sz w:val="22"/>
        </w:rPr>
        <w:t> </w:t>
      </w:r>
      <w:r>
        <w:rPr>
          <w:color w:val="1F3762"/>
          <w:sz w:val="22"/>
        </w:rPr>
        <w:t>on</w:t>
      </w:r>
      <w:r>
        <w:rPr>
          <w:color w:val="1F3762"/>
          <w:spacing w:val="-2"/>
          <w:sz w:val="22"/>
        </w:rPr>
        <w:t> Quality</w:t>
      </w:r>
    </w:p>
    <w:p>
      <w:pPr>
        <w:spacing w:before="2"/>
        <w:ind w:left="1220" w:right="0" w:firstLine="0"/>
        <w:jc w:val="both"/>
        <w:rPr>
          <w:b/>
          <w:sz w:val="22"/>
        </w:rPr>
      </w:pPr>
      <w:r>
        <w:rPr>
          <w:sz w:val="22"/>
        </w:rPr>
        <w:t>See</w:t>
      </w:r>
      <w:r>
        <w:rPr>
          <w:spacing w:val="-6"/>
          <w:sz w:val="22"/>
        </w:rPr>
        <w:t> </w:t>
      </w:r>
      <w:r>
        <w:rPr>
          <w:sz w:val="22"/>
        </w:rPr>
        <w:t>Section</w:t>
      </w:r>
      <w:r>
        <w:rPr>
          <w:spacing w:val="-3"/>
          <w:sz w:val="22"/>
        </w:rPr>
        <w:t> </w:t>
      </w:r>
      <w:r>
        <w:rPr>
          <w:sz w:val="22"/>
        </w:rPr>
        <w:t>6.2.1</w:t>
      </w:r>
      <w:r>
        <w:rPr>
          <w:spacing w:val="-6"/>
          <w:sz w:val="22"/>
        </w:rPr>
        <w:t> </w:t>
      </w:r>
      <w:r>
        <w:rPr>
          <w:sz w:val="22"/>
        </w:rPr>
        <w:t>for</w:t>
      </w:r>
      <w:r>
        <w:rPr>
          <w:spacing w:val="-3"/>
          <w:sz w:val="22"/>
        </w:rPr>
        <w:t> </w:t>
      </w:r>
      <w:r>
        <w:rPr>
          <w:sz w:val="22"/>
        </w:rPr>
        <w:t>discussion</w:t>
      </w:r>
      <w:r>
        <w:rPr>
          <w:spacing w:val="-3"/>
          <w:sz w:val="22"/>
        </w:rPr>
        <w:t> </w:t>
      </w:r>
      <w:r>
        <w:rPr>
          <w:sz w:val="22"/>
        </w:rPr>
        <w:t>of</w:t>
      </w:r>
      <w:r>
        <w:rPr>
          <w:spacing w:val="-5"/>
          <w:sz w:val="22"/>
        </w:rPr>
        <w:t> </w:t>
      </w:r>
      <w:r>
        <w:rPr>
          <w:sz w:val="22"/>
        </w:rPr>
        <w:t>the</w:t>
      </w:r>
      <w:r>
        <w:rPr>
          <w:spacing w:val="-4"/>
          <w:sz w:val="22"/>
        </w:rPr>
        <w:t> </w:t>
      </w:r>
      <w:r>
        <w:rPr>
          <w:sz w:val="22"/>
        </w:rPr>
        <w:t>Advisory</w:t>
      </w:r>
      <w:r>
        <w:rPr>
          <w:spacing w:val="-6"/>
          <w:sz w:val="22"/>
        </w:rPr>
        <w:t> </w:t>
      </w:r>
      <w:r>
        <w:rPr>
          <w:sz w:val="22"/>
        </w:rPr>
        <w:t>Committee</w:t>
      </w:r>
      <w:r>
        <w:rPr>
          <w:spacing w:val="-3"/>
          <w:sz w:val="22"/>
        </w:rPr>
        <w:t> </w:t>
      </w:r>
      <w:r>
        <w:rPr>
          <w:sz w:val="22"/>
        </w:rPr>
        <w:t>on</w:t>
      </w:r>
      <w:r>
        <w:rPr>
          <w:spacing w:val="-3"/>
          <w:sz w:val="22"/>
        </w:rPr>
        <w:t> </w:t>
      </w:r>
      <w:r>
        <w:rPr>
          <w:sz w:val="22"/>
        </w:rPr>
        <w:t>Quality’s</w:t>
      </w:r>
      <w:r>
        <w:rPr>
          <w:spacing w:val="-5"/>
          <w:sz w:val="22"/>
        </w:rPr>
        <w:t> </w:t>
      </w:r>
      <w:r>
        <w:rPr>
          <w:spacing w:val="-2"/>
          <w:sz w:val="22"/>
        </w:rPr>
        <w:t>role</w:t>
      </w:r>
      <w:r>
        <w:rPr>
          <w:b/>
          <w:spacing w:val="-2"/>
          <w:sz w:val="22"/>
        </w:rPr>
        <w:t>.</w:t>
      </w:r>
    </w:p>
    <w:p>
      <w:pPr>
        <w:pStyle w:val="ListParagraph"/>
        <w:numPr>
          <w:ilvl w:val="2"/>
          <w:numId w:val="77"/>
        </w:numPr>
        <w:tabs>
          <w:tab w:pos="1580" w:val="left" w:leader="none"/>
          <w:tab w:pos="1940" w:val="left" w:leader="none"/>
        </w:tabs>
        <w:spacing w:line="240" w:lineRule="auto" w:before="198" w:after="0"/>
        <w:ind w:left="1580" w:right="1097" w:hanging="361"/>
        <w:jc w:val="left"/>
        <w:rPr>
          <w:b/>
          <w:color w:val="4471C4"/>
          <w:sz w:val="22"/>
        </w:rPr>
      </w:pPr>
      <w:bookmarkStart w:name="5.4.7 Timeline of CP DSRIP Accountabilit" w:id="1436"/>
      <w:bookmarkEnd w:id="1436"/>
      <w:r>
        <w:rPr/>
      </w:r>
      <w:bookmarkStart w:name="_bookmark94" w:id="1437"/>
      <w:bookmarkEnd w:id="1437"/>
      <w:r>
        <w:rPr/>
      </w:r>
      <w:r>
        <w:rPr>
          <w:b/>
          <w:color w:val="4471C4"/>
          <w:sz w:val="22"/>
        </w:rPr>
        <w:t>Timeline of CP DSRIP Accountability Score data collection, calculation, and disbursement of DSRIP payments</w:t>
      </w:r>
    </w:p>
    <w:p>
      <w:pPr>
        <w:spacing w:before="0"/>
        <w:ind w:left="1220" w:right="1095" w:firstLine="0"/>
        <w:jc w:val="both"/>
        <w:rPr>
          <w:sz w:val="22"/>
        </w:rPr>
      </w:pPr>
      <w:r>
        <w:rPr>
          <w:sz w:val="22"/>
        </w:rPr>
        <w:t>The</w:t>
      </w:r>
      <w:r>
        <w:rPr>
          <w:spacing w:val="-9"/>
          <w:sz w:val="22"/>
        </w:rPr>
        <w:t> </w:t>
      </w:r>
      <w:r>
        <w:rPr>
          <w:sz w:val="22"/>
        </w:rPr>
        <w:t>timeline</w:t>
      </w:r>
      <w:r>
        <w:rPr>
          <w:spacing w:val="-7"/>
          <w:sz w:val="22"/>
        </w:rPr>
        <w:t> </w:t>
      </w:r>
      <w:r>
        <w:rPr>
          <w:sz w:val="22"/>
        </w:rPr>
        <w:t>for</w:t>
      </w:r>
      <w:r>
        <w:rPr>
          <w:spacing w:val="-6"/>
          <w:sz w:val="22"/>
        </w:rPr>
        <w:t> </w:t>
      </w:r>
      <w:r>
        <w:rPr>
          <w:sz w:val="22"/>
        </w:rPr>
        <w:t>CP</w:t>
      </w:r>
      <w:r>
        <w:rPr>
          <w:spacing w:val="-8"/>
          <w:sz w:val="22"/>
        </w:rPr>
        <w:t> </w:t>
      </w:r>
      <w:r>
        <w:rPr>
          <w:sz w:val="22"/>
        </w:rPr>
        <w:t>DSRIP</w:t>
      </w:r>
      <w:r>
        <w:rPr>
          <w:spacing w:val="-5"/>
          <w:sz w:val="22"/>
        </w:rPr>
        <w:t> </w:t>
      </w:r>
      <w:r>
        <w:rPr>
          <w:sz w:val="22"/>
        </w:rPr>
        <w:t>Accountability</w:t>
      </w:r>
      <w:r>
        <w:rPr>
          <w:spacing w:val="-10"/>
          <w:sz w:val="22"/>
        </w:rPr>
        <w:t> </w:t>
      </w:r>
      <w:r>
        <w:rPr>
          <w:sz w:val="22"/>
        </w:rPr>
        <w:t>Score</w:t>
      </w:r>
      <w:r>
        <w:rPr>
          <w:spacing w:val="-9"/>
          <w:sz w:val="22"/>
        </w:rPr>
        <w:t> </w:t>
      </w:r>
      <w:r>
        <w:rPr>
          <w:sz w:val="22"/>
        </w:rPr>
        <w:t>calculation</w:t>
      </w:r>
      <w:r>
        <w:rPr>
          <w:spacing w:val="-7"/>
          <w:sz w:val="22"/>
        </w:rPr>
        <w:t> </w:t>
      </w:r>
      <w:r>
        <w:rPr>
          <w:sz w:val="22"/>
        </w:rPr>
        <w:t>and</w:t>
      </w:r>
      <w:r>
        <w:rPr>
          <w:spacing w:val="-7"/>
          <w:sz w:val="22"/>
        </w:rPr>
        <w:t> </w:t>
      </w:r>
      <w:r>
        <w:rPr>
          <w:sz w:val="22"/>
        </w:rPr>
        <w:t>disbursement</w:t>
      </w:r>
      <w:r>
        <w:rPr>
          <w:spacing w:val="-6"/>
          <w:sz w:val="22"/>
        </w:rPr>
        <w:t> </w:t>
      </w:r>
      <w:r>
        <w:rPr>
          <w:sz w:val="22"/>
        </w:rPr>
        <w:t>of</w:t>
      </w:r>
      <w:r>
        <w:rPr>
          <w:spacing w:val="-9"/>
          <w:sz w:val="22"/>
        </w:rPr>
        <w:t> </w:t>
      </w:r>
      <w:r>
        <w:rPr>
          <w:sz w:val="22"/>
        </w:rPr>
        <w:t>DSRIP</w:t>
      </w:r>
      <w:r>
        <w:rPr>
          <w:spacing w:val="-8"/>
          <w:sz w:val="22"/>
        </w:rPr>
        <w:t> </w:t>
      </w:r>
      <w:r>
        <w:rPr>
          <w:sz w:val="22"/>
        </w:rPr>
        <w:t>payments</w:t>
      </w:r>
      <w:r>
        <w:rPr>
          <w:spacing w:val="-7"/>
          <w:sz w:val="22"/>
        </w:rPr>
        <w:t> </w:t>
      </w:r>
      <w:r>
        <w:rPr>
          <w:sz w:val="22"/>
        </w:rPr>
        <w:t>to</w:t>
      </w:r>
      <w:r>
        <w:rPr>
          <w:spacing w:val="-7"/>
          <w:sz w:val="22"/>
        </w:rPr>
        <w:t> </w:t>
      </w:r>
      <w:r>
        <w:rPr>
          <w:sz w:val="22"/>
        </w:rPr>
        <w:t>CPs is anticipated to be as follows:</w:t>
      </w:r>
    </w:p>
    <w:p>
      <w:pPr>
        <w:pStyle w:val="ListParagraph"/>
        <w:numPr>
          <w:ilvl w:val="0"/>
          <w:numId w:val="104"/>
        </w:numPr>
        <w:tabs>
          <w:tab w:pos="1939" w:val="left" w:leader="none"/>
        </w:tabs>
        <w:spacing w:line="269" w:lineRule="exact" w:before="160" w:after="0"/>
        <w:ind w:left="1939" w:right="0" w:hanging="359"/>
        <w:jc w:val="both"/>
        <w:rPr>
          <w:sz w:val="22"/>
        </w:rPr>
      </w:pPr>
      <w:r>
        <w:rPr>
          <w:sz w:val="22"/>
        </w:rPr>
        <w:t>CP</w:t>
      </w:r>
      <w:r>
        <w:rPr>
          <w:spacing w:val="-3"/>
          <w:sz w:val="22"/>
        </w:rPr>
        <w:t> </w:t>
      </w:r>
      <w:r>
        <w:rPr>
          <w:sz w:val="22"/>
        </w:rPr>
        <w:t>and</w:t>
      </w:r>
      <w:r>
        <w:rPr>
          <w:spacing w:val="-2"/>
          <w:sz w:val="22"/>
        </w:rPr>
        <w:t> </w:t>
      </w:r>
      <w:r>
        <w:rPr>
          <w:sz w:val="22"/>
        </w:rPr>
        <w:t>CSA</w:t>
      </w:r>
      <w:r>
        <w:rPr>
          <w:spacing w:val="-3"/>
          <w:sz w:val="22"/>
        </w:rPr>
        <w:t> </w:t>
      </w:r>
      <w:r>
        <w:rPr>
          <w:sz w:val="22"/>
        </w:rPr>
        <w:t>Budget</w:t>
      </w:r>
      <w:r>
        <w:rPr>
          <w:spacing w:val="-1"/>
          <w:sz w:val="22"/>
        </w:rPr>
        <w:t> </w:t>
      </w:r>
      <w:r>
        <w:rPr>
          <w:sz w:val="22"/>
        </w:rPr>
        <w:t>Period</w:t>
      </w:r>
      <w:r>
        <w:rPr>
          <w:spacing w:val="-4"/>
          <w:sz w:val="22"/>
        </w:rPr>
        <w:t> </w:t>
      </w:r>
      <w:r>
        <w:rPr>
          <w:spacing w:val="-2"/>
          <w:sz w:val="22"/>
        </w:rPr>
        <w:t>Closes</w:t>
      </w:r>
    </w:p>
    <w:p>
      <w:pPr>
        <w:pStyle w:val="ListParagraph"/>
        <w:numPr>
          <w:ilvl w:val="0"/>
          <w:numId w:val="104"/>
        </w:numPr>
        <w:tabs>
          <w:tab w:pos="1939" w:val="left" w:leader="none"/>
        </w:tabs>
        <w:spacing w:line="269" w:lineRule="exact" w:before="0" w:after="0"/>
        <w:ind w:left="1939" w:right="0" w:hanging="359"/>
        <w:jc w:val="both"/>
        <w:rPr>
          <w:sz w:val="22"/>
        </w:rPr>
      </w:pPr>
      <w:r>
        <w:rPr>
          <w:sz w:val="22"/>
        </w:rPr>
        <w:t>Member</w:t>
      </w:r>
      <w:r>
        <w:rPr>
          <w:spacing w:val="-5"/>
          <w:sz w:val="22"/>
        </w:rPr>
        <w:t> </w:t>
      </w:r>
      <w:r>
        <w:rPr>
          <w:sz w:val="22"/>
        </w:rPr>
        <w:t>experience</w:t>
      </w:r>
      <w:r>
        <w:rPr>
          <w:spacing w:val="-3"/>
          <w:sz w:val="22"/>
        </w:rPr>
        <w:t> </w:t>
      </w:r>
      <w:r>
        <w:rPr>
          <w:sz w:val="22"/>
        </w:rPr>
        <w:t>survey</w:t>
      </w:r>
      <w:r>
        <w:rPr>
          <w:spacing w:val="-3"/>
          <w:sz w:val="22"/>
        </w:rPr>
        <w:t> </w:t>
      </w:r>
      <w:r>
        <w:rPr>
          <w:sz w:val="22"/>
        </w:rPr>
        <w:t>results</w:t>
      </w:r>
      <w:r>
        <w:rPr>
          <w:spacing w:val="-3"/>
          <w:sz w:val="22"/>
        </w:rPr>
        <w:t> </w:t>
      </w:r>
      <w:r>
        <w:rPr>
          <w:sz w:val="22"/>
        </w:rPr>
        <w:t>within</w:t>
      </w:r>
      <w:r>
        <w:rPr>
          <w:spacing w:val="-6"/>
          <w:sz w:val="22"/>
        </w:rPr>
        <w:t> </w:t>
      </w:r>
      <w:r>
        <w:rPr>
          <w:sz w:val="22"/>
        </w:rPr>
        <w:t>270</w:t>
      </w:r>
      <w:r>
        <w:rPr>
          <w:spacing w:val="-4"/>
          <w:sz w:val="22"/>
        </w:rPr>
        <w:t> </w:t>
      </w:r>
      <w:r>
        <w:rPr>
          <w:sz w:val="22"/>
        </w:rPr>
        <w:t>calendar</w:t>
      </w:r>
      <w:r>
        <w:rPr>
          <w:spacing w:val="-5"/>
          <w:sz w:val="22"/>
        </w:rPr>
        <w:t> </w:t>
      </w:r>
      <w:r>
        <w:rPr>
          <w:sz w:val="22"/>
        </w:rPr>
        <w:t>days</w:t>
      </w:r>
      <w:r>
        <w:rPr>
          <w:spacing w:val="-3"/>
          <w:sz w:val="22"/>
        </w:rPr>
        <w:t> </w:t>
      </w:r>
      <w:r>
        <w:rPr>
          <w:sz w:val="22"/>
        </w:rPr>
        <w:t>of</w:t>
      </w:r>
      <w:r>
        <w:rPr>
          <w:spacing w:val="-2"/>
          <w:sz w:val="22"/>
        </w:rPr>
        <w:t> </w:t>
      </w:r>
      <w:r>
        <w:rPr>
          <w:sz w:val="22"/>
        </w:rPr>
        <w:t>BP</w:t>
      </w:r>
      <w:r>
        <w:rPr>
          <w:spacing w:val="-4"/>
          <w:sz w:val="22"/>
        </w:rPr>
        <w:t> </w:t>
      </w:r>
      <w:r>
        <w:rPr>
          <w:spacing w:val="-2"/>
          <w:sz w:val="22"/>
        </w:rPr>
        <w:t>closing</w:t>
      </w:r>
    </w:p>
    <w:p>
      <w:pPr>
        <w:pStyle w:val="ListParagraph"/>
        <w:numPr>
          <w:ilvl w:val="0"/>
          <w:numId w:val="104"/>
        </w:numPr>
        <w:tabs>
          <w:tab w:pos="1938" w:val="left" w:leader="none"/>
          <w:tab w:pos="1940" w:val="left" w:leader="none"/>
        </w:tabs>
        <w:spacing w:line="240" w:lineRule="auto" w:before="0" w:after="0"/>
        <w:ind w:left="1940" w:right="1094" w:hanging="361"/>
        <w:jc w:val="both"/>
        <w:rPr>
          <w:sz w:val="22"/>
        </w:rPr>
      </w:pPr>
      <w:r>
        <w:rPr>
          <w:sz w:val="22"/>
        </w:rPr>
        <w:t>State</w:t>
      </w:r>
      <w:r>
        <w:rPr>
          <w:spacing w:val="-9"/>
          <w:sz w:val="22"/>
        </w:rPr>
        <w:t> </w:t>
      </w:r>
      <w:r>
        <w:rPr>
          <w:sz w:val="22"/>
        </w:rPr>
        <w:t>determines</w:t>
      </w:r>
      <w:r>
        <w:rPr>
          <w:spacing w:val="-9"/>
          <w:sz w:val="22"/>
        </w:rPr>
        <w:t> </w:t>
      </w:r>
      <w:r>
        <w:rPr>
          <w:sz w:val="22"/>
        </w:rPr>
        <w:t>denominators</w:t>
      </w:r>
      <w:r>
        <w:rPr>
          <w:spacing w:val="-9"/>
          <w:sz w:val="22"/>
        </w:rPr>
        <w:t> </w:t>
      </w:r>
      <w:r>
        <w:rPr>
          <w:sz w:val="22"/>
        </w:rPr>
        <w:t>and</w:t>
      </w:r>
      <w:r>
        <w:rPr>
          <w:spacing w:val="-10"/>
          <w:sz w:val="22"/>
        </w:rPr>
        <w:t> </w:t>
      </w:r>
      <w:r>
        <w:rPr>
          <w:sz w:val="22"/>
        </w:rPr>
        <w:t>sample</w:t>
      </w:r>
      <w:r>
        <w:rPr>
          <w:spacing w:val="-9"/>
          <w:sz w:val="22"/>
        </w:rPr>
        <w:t> </w:t>
      </w:r>
      <w:r>
        <w:rPr>
          <w:sz w:val="22"/>
        </w:rPr>
        <w:t>populations</w:t>
      </w:r>
      <w:r>
        <w:rPr>
          <w:spacing w:val="-11"/>
          <w:sz w:val="22"/>
        </w:rPr>
        <w:t> </w:t>
      </w:r>
      <w:r>
        <w:rPr>
          <w:sz w:val="22"/>
        </w:rPr>
        <w:t>(i.e.,</w:t>
      </w:r>
      <w:r>
        <w:rPr>
          <w:spacing w:val="-10"/>
          <w:sz w:val="22"/>
        </w:rPr>
        <w:t> </w:t>
      </w:r>
      <w:r>
        <w:rPr>
          <w:sz w:val="22"/>
        </w:rPr>
        <w:t>the</w:t>
      </w:r>
      <w:r>
        <w:rPr>
          <w:spacing w:val="-9"/>
          <w:sz w:val="22"/>
        </w:rPr>
        <w:t> </w:t>
      </w:r>
      <w:r>
        <w:rPr>
          <w:sz w:val="22"/>
        </w:rPr>
        <w:t>specific</w:t>
      </w:r>
      <w:r>
        <w:rPr>
          <w:spacing w:val="-9"/>
          <w:sz w:val="22"/>
        </w:rPr>
        <w:t> </w:t>
      </w:r>
      <w:r>
        <w:rPr>
          <w:sz w:val="22"/>
        </w:rPr>
        <w:t>members</w:t>
      </w:r>
      <w:r>
        <w:rPr>
          <w:spacing w:val="-9"/>
          <w:sz w:val="22"/>
        </w:rPr>
        <w:t> </w:t>
      </w:r>
      <w:r>
        <w:rPr>
          <w:sz w:val="22"/>
        </w:rPr>
        <w:t>whose</w:t>
      </w:r>
      <w:r>
        <w:rPr>
          <w:spacing w:val="-9"/>
          <w:sz w:val="22"/>
        </w:rPr>
        <w:t> </w:t>
      </w:r>
      <w:r>
        <w:rPr>
          <w:sz w:val="22"/>
        </w:rPr>
        <w:t>data</w:t>
      </w:r>
      <w:r>
        <w:rPr>
          <w:spacing w:val="-9"/>
          <w:sz w:val="22"/>
        </w:rPr>
        <w:t> </w:t>
      </w:r>
      <w:r>
        <w:rPr>
          <w:sz w:val="22"/>
        </w:rPr>
        <w:t>each CP must submit) for the clinical quality measures within 210 calendar days of BP closing</w:t>
      </w:r>
    </w:p>
    <w:p>
      <w:pPr>
        <w:pStyle w:val="ListParagraph"/>
        <w:numPr>
          <w:ilvl w:val="0"/>
          <w:numId w:val="104"/>
        </w:numPr>
        <w:tabs>
          <w:tab w:pos="1938" w:val="left" w:leader="none"/>
          <w:tab w:pos="1940" w:val="left" w:leader="none"/>
        </w:tabs>
        <w:spacing w:line="240" w:lineRule="auto" w:before="0" w:after="0"/>
        <w:ind w:left="1940" w:right="1094" w:hanging="361"/>
        <w:jc w:val="both"/>
        <w:rPr>
          <w:sz w:val="22"/>
        </w:rPr>
      </w:pPr>
      <w:r>
        <w:rPr>
          <w:sz w:val="22"/>
        </w:rPr>
        <w:t>CPs and CSAs submit clinical quality data within 30 calendar days of receiving the denominators and sample populations for the clinical quality measures</w:t>
      </w:r>
    </w:p>
    <w:p>
      <w:pPr>
        <w:pStyle w:val="ListParagraph"/>
        <w:numPr>
          <w:ilvl w:val="0"/>
          <w:numId w:val="104"/>
        </w:numPr>
        <w:tabs>
          <w:tab w:pos="1938" w:val="left" w:leader="none"/>
          <w:tab w:pos="1940" w:val="left" w:leader="none"/>
        </w:tabs>
        <w:spacing w:line="240" w:lineRule="auto" w:before="0" w:after="0"/>
        <w:ind w:left="1940" w:right="1091" w:hanging="361"/>
        <w:jc w:val="both"/>
        <w:rPr>
          <w:sz w:val="22"/>
        </w:rPr>
      </w:pPr>
      <w:r>
        <w:rPr>
          <w:sz w:val="22"/>
        </w:rPr>
        <w:t>State calculates CP and CSA DSRIP Accountability Score within 120 calendar days of receiving all underlying required data</w:t>
      </w:r>
    </w:p>
    <w:p>
      <w:pPr>
        <w:pStyle w:val="ListParagraph"/>
        <w:numPr>
          <w:ilvl w:val="0"/>
          <w:numId w:val="104"/>
        </w:numPr>
        <w:tabs>
          <w:tab w:pos="1938" w:val="left" w:leader="none"/>
          <w:tab w:pos="1940" w:val="left" w:leader="none"/>
        </w:tabs>
        <w:spacing w:line="240" w:lineRule="auto" w:before="0" w:after="0"/>
        <w:ind w:left="1940" w:right="1095" w:hanging="361"/>
        <w:jc w:val="both"/>
        <w:rPr>
          <w:sz w:val="22"/>
        </w:rPr>
      </w:pPr>
      <w:r>
        <w:rPr>
          <w:sz w:val="22"/>
        </w:rPr>
        <w:t>Once CP and CSA DSRIP Accountability Scores have been calculated by the State, the State notifies CPs and CSAs of CP and CSA DSRIP Accountability Score within 30 calendar days of determining Score</w:t>
      </w:r>
    </w:p>
    <w:p>
      <w:pPr>
        <w:pStyle w:val="ListParagraph"/>
        <w:numPr>
          <w:ilvl w:val="0"/>
          <w:numId w:val="104"/>
        </w:numPr>
        <w:tabs>
          <w:tab w:pos="1939" w:val="left" w:leader="none"/>
          <w:tab w:pos="1941" w:val="left" w:leader="none"/>
        </w:tabs>
        <w:spacing w:line="240" w:lineRule="auto" w:before="0" w:after="0"/>
        <w:ind w:left="1941" w:right="1093" w:hanging="361"/>
        <w:jc w:val="both"/>
        <w:rPr>
          <w:sz w:val="22"/>
        </w:rPr>
      </w:pPr>
      <w:r>
        <w:rPr>
          <w:sz w:val="22"/>
        </w:rPr>
        <w:t>State disburses DSRIP at-risk payments to CPs and CSAs within 30 calendar days of notification of their CP and CSA DSRIP Accountability Scores</w:t>
      </w:r>
    </w:p>
    <w:p>
      <w:pPr>
        <w:spacing w:after="0" w:line="240" w:lineRule="auto"/>
        <w:jc w:val="both"/>
        <w:rPr>
          <w:sz w:val="22"/>
        </w:rPr>
        <w:sectPr>
          <w:pgSz w:w="12240" w:h="15840"/>
          <w:pgMar w:header="0" w:footer="967" w:top="1360" w:bottom="1160" w:left="220" w:right="340"/>
        </w:sectPr>
      </w:pPr>
    </w:p>
    <w:p>
      <w:pPr>
        <w:pStyle w:val="Heading2"/>
        <w:numPr>
          <w:ilvl w:val="1"/>
          <w:numId w:val="77"/>
        </w:numPr>
        <w:tabs>
          <w:tab w:pos="1618" w:val="left" w:leader="none"/>
        </w:tabs>
        <w:spacing w:line="240" w:lineRule="auto" w:before="62" w:after="0"/>
        <w:ind w:left="1618" w:right="0" w:hanging="398"/>
        <w:jc w:val="both"/>
      </w:pPr>
      <w:bookmarkStart w:name="5.5 Reporting Requirements for ACOs, CPs" w:id="1438"/>
      <w:bookmarkEnd w:id="1438"/>
      <w:r>
        <w:rPr>
          <w:b w:val="0"/>
        </w:rPr>
      </w:r>
      <w:bookmarkStart w:name="5.5.1 Semiannual Participation Plan Prog" w:id="1439"/>
      <w:bookmarkEnd w:id="1439"/>
      <w:r>
        <w:rPr>
          <w:b w:val="0"/>
        </w:rPr>
      </w:r>
      <w:bookmarkStart w:name="_bookmark95" w:id="1440"/>
      <w:bookmarkEnd w:id="1440"/>
      <w:r>
        <w:rPr>
          <w:b w:val="0"/>
        </w:rPr>
      </w:r>
      <w:bookmarkStart w:name="_bookmark96" w:id="1441"/>
      <w:bookmarkEnd w:id="1441"/>
      <w:r>
        <w:rPr>
          <w:b w:val="0"/>
        </w:rPr>
      </w:r>
      <w:r>
        <w:rPr>
          <w:color w:val="4471C4"/>
        </w:rPr>
        <w:t>Reporting</w:t>
      </w:r>
      <w:r>
        <w:rPr>
          <w:color w:val="4471C4"/>
          <w:spacing w:val="-7"/>
        </w:rPr>
        <w:t> </w:t>
      </w:r>
      <w:r>
        <w:rPr>
          <w:color w:val="4471C4"/>
        </w:rPr>
        <w:t>Requirements</w:t>
      </w:r>
      <w:r>
        <w:rPr>
          <w:color w:val="4471C4"/>
          <w:spacing w:val="-9"/>
        </w:rPr>
        <w:t> </w:t>
      </w:r>
      <w:r>
        <w:rPr>
          <w:color w:val="4471C4"/>
        </w:rPr>
        <w:t>for</w:t>
      </w:r>
      <w:r>
        <w:rPr>
          <w:color w:val="4471C4"/>
          <w:spacing w:val="-9"/>
        </w:rPr>
        <w:t> </w:t>
      </w:r>
      <w:r>
        <w:rPr>
          <w:color w:val="4471C4"/>
        </w:rPr>
        <w:t>ACOs,</w:t>
      </w:r>
      <w:r>
        <w:rPr>
          <w:color w:val="4471C4"/>
          <w:spacing w:val="-9"/>
        </w:rPr>
        <w:t> </w:t>
      </w:r>
      <w:r>
        <w:rPr>
          <w:color w:val="4471C4"/>
        </w:rPr>
        <w:t>CPs</w:t>
      </w:r>
      <w:r>
        <w:rPr>
          <w:color w:val="4471C4"/>
          <w:spacing w:val="-10"/>
        </w:rPr>
        <w:t> </w:t>
      </w:r>
      <w:r>
        <w:rPr>
          <w:color w:val="4471C4"/>
        </w:rPr>
        <w:t>and</w:t>
      </w:r>
      <w:r>
        <w:rPr>
          <w:color w:val="4471C4"/>
          <w:spacing w:val="-9"/>
        </w:rPr>
        <w:t> </w:t>
      </w:r>
      <w:r>
        <w:rPr>
          <w:color w:val="4471C4"/>
          <w:spacing w:val="-4"/>
        </w:rPr>
        <w:t>CSAs</w:t>
      </w:r>
    </w:p>
    <w:p>
      <w:pPr>
        <w:pStyle w:val="ListParagraph"/>
        <w:numPr>
          <w:ilvl w:val="2"/>
          <w:numId w:val="77"/>
        </w:numPr>
        <w:tabs>
          <w:tab w:pos="1939" w:val="left" w:leader="none"/>
        </w:tabs>
        <w:spacing w:line="252" w:lineRule="exact" w:before="197" w:after="0"/>
        <w:ind w:left="1939" w:right="0" w:hanging="719"/>
        <w:jc w:val="both"/>
        <w:rPr>
          <w:b/>
          <w:color w:val="4471C4"/>
          <w:sz w:val="22"/>
        </w:rPr>
      </w:pPr>
      <w:r>
        <w:rPr>
          <w:b/>
          <w:color w:val="4471C4"/>
          <w:sz w:val="22"/>
        </w:rPr>
        <w:t>Semiannual</w:t>
      </w:r>
      <w:r>
        <w:rPr>
          <w:b/>
          <w:color w:val="4471C4"/>
          <w:spacing w:val="-6"/>
          <w:sz w:val="22"/>
        </w:rPr>
        <w:t> </w:t>
      </w:r>
      <w:r>
        <w:rPr>
          <w:b/>
          <w:color w:val="4471C4"/>
          <w:sz w:val="22"/>
        </w:rPr>
        <w:t>Participation</w:t>
      </w:r>
      <w:r>
        <w:rPr>
          <w:b/>
          <w:color w:val="4471C4"/>
          <w:spacing w:val="-7"/>
          <w:sz w:val="22"/>
        </w:rPr>
        <w:t> </w:t>
      </w:r>
      <w:r>
        <w:rPr>
          <w:b/>
          <w:color w:val="4471C4"/>
          <w:sz w:val="22"/>
        </w:rPr>
        <w:t>Plan</w:t>
      </w:r>
      <w:r>
        <w:rPr>
          <w:b/>
          <w:color w:val="4471C4"/>
          <w:spacing w:val="-7"/>
          <w:sz w:val="22"/>
        </w:rPr>
        <w:t> </w:t>
      </w:r>
      <w:r>
        <w:rPr>
          <w:b/>
          <w:color w:val="4471C4"/>
          <w:sz w:val="22"/>
        </w:rPr>
        <w:t>Progress</w:t>
      </w:r>
      <w:r>
        <w:rPr>
          <w:b/>
          <w:color w:val="4471C4"/>
          <w:spacing w:val="-3"/>
          <w:sz w:val="22"/>
        </w:rPr>
        <w:t> </w:t>
      </w:r>
      <w:r>
        <w:rPr>
          <w:b/>
          <w:color w:val="4471C4"/>
          <w:spacing w:val="-2"/>
          <w:sz w:val="22"/>
        </w:rPr>
        <w:t>Reports</w:t>
      </w:r>
    </w:p>
    <w:p>
      <w:pPr>
        <w:spacing w:line="240" w:lineRule="auto" w:before="0"/>
        <w:ind w:left="1220" w:right="1095" w:firstLine="0"/>
        <w:jc w:val="both"/>
        <w:rPr>
          <w:sz w:val="22"/>
        </w:rPr>
      </w:pPr>
      <w:r>
        <w:rPr>
          <w:sz w:val="22"/>
        </w:rPr>
        <w:t>ACOs, CPs, and CSAs participating in the DSRIP program will submit semiannual reports to the State demonstrating</w:t>
      </w:r>
      <w:r>
        <w:rPr>
          <w:spacing w:val="-5"/>
          <w:sz w:val="22"/>
        </w:rPr>
        <w:t> </w:t>
      </w:r>
      <w:r>
        <w:rPr>
          <w:sz w:val="22"/>
        </w:rPr>
        <w:t>progress</w:t>
      </w:r>
      <w:r>
        <w:rPr>
          <w:spacing w:val="-2"/>
          <w:sz w:val="22"/>
        </w:rPr>
        <w:t> </w:t>
      </w:r>
      <w:r>
        <w:rPr>
          <w:sz w:val="22"/>
        </w:rPr>
        <w:t>with</w:t>
      </w:r>
      <w:r>
        <w:rPr>
          <w:spacing w:val="-2"/>
          <w:sz w:val="22"/>
        </w:rPr>
        <w:t> </w:t>
      </w:r>
      <w:r>
        <w:rPr>
          <w:sz w:val="22"/>
        </w:rPr>
        <w:t>their</w:t>
      </w:r>
      <w:r>
        <w:rPr>
          <w:spacing w:val="-1"/>
          <w:sz w:val="22"/>
        </w:rPr>
        <w:t> </w:t>
      </w:r>
      <w:r>
        <w:rPr>
          <w:sz w:val="22"/>
        </w:rPr>
        <w:t>Participation</w:t>
      </w:r>
      <w:r>
        <w:rPr>
          <w:spacing w:val="-2"/>
          <w:sz w:val="22"/>
        </w:rPr>
        <w:t> </w:t>
      </w:r>
      <w:r>
        <w:rPr>
          <w:sz w:val="22"/>
        </w:rPr>
        <w:t>Plans,</w:t>
      </w:r>
      <w:r>
        <w:rPr>
          <w:spacing w:val="-5"/>
          <w:sz w:val="22"/>
        </w:rPr>
        <w:t> </w:t>
      </w:r>
      <w:r>
        <w:rPr>
          <w:sz w:val="22"/>
        </w:rPr>
        <w:t>plans</w:t>
      </w:r>
      <w:r>
        <w:rPr>
          <w:spacing w:val="-4"/>
          <w:sz w:val="22"/>
        </w:rPr>
        <w:t> </w:t>
      </w:r>
      <w:r>
        <w:rPr>
          <w:sz w:val="22"/>
        </w:rPr>
        <w:t>for</w:t>
      </w:r>
      <w:r>
        <w:rPr>
          <w:spacing w:val="-4"/>
          <w:sz w:val="22"/>
        </w:rPr>
        <w:t> </w:t>
      </w:r>
      <w:r>
        <w:rPr>
          <w:sz w:val="22"/>
        </w:rPr>
        <w:t>continued</w:t>
      </w:r>
      <w:r>
        <w:rPr>
          <w:spacing w:val="-2"/>
          <w:sz w:val="22"/>
        </w:rPr>
        <w:t> </w:t>
      </w:r>
      <w:r>
        <w:rPr>
          <w:sz w:val="22"/>
        </w:rPr>
        <w:t>implementation</w:t>
      </w:r>
      <w:r>
        <w:rPr>
          <w:spacing w:val="-2"/>
          <w:sz w:val="22"/>
        </w:rPr>
        <w:t> </w:t>
      </w:r>
      <w:r>
        <w:rPr>
          <w:sz w:val="22"/>
        </w:rPr>
        <w:t>of</w:t>
      </w:r>
      <w:r>
        <w:rPr>
          <w:spacing w:val="-4"/>
          <w:sz w:val="22"/>
        </w:rPr>
        <w:t> </w:t>
      </w:r>
      <w:r>
        <w:rPr>
          <w:sz w:val="22"/>
        </w:rPr>
        <w:t>the</w:t>
      </w:r>
      <w:r>
        <w:rPr>
          <w:spacing w:val="-2"/>
          <w:sz w:val="22"/>
        </w:rPr>
        <w:t> </w:t>
      </w:r>
      <w:r>
        <w:rPr>
          <w:sz w:val="22"/>
        </w:rPr>
        <w:t>approved Participation Plan, areas for improvement and an account of budget expenditures. The State will provide templates for the semiannual progress report which will specify the data that ACOs, CPs and CSAs will need to submit. ACOs, CPs and CSAs must submit their semiannual progress reports in order to receive further DSRIP funding. For example, if an ACO, CP or CSA submits a semiannual progress report three months after the end of BP2, then it will be able to receive DSRIP payments from three months after the end of BP2 until the next required semiannual progress report submission date (i.e. two months after the midway point of BP3).</w:t>
      </w:r>
    </w:p>
    <w:p>
      <w:pPr>
        <w:spacing w:before="160"/>
        <w:ind w:left="1220" w:right="1219" w:firstLine="0"/>
        <w:jc w:val="left"/>
        <w:rPr>
          <w:sz w:val="22"/>
        </w:rPr>
      </w:pPr>
      <w:r>
        <w:rPr>
          <w:sz w:val="22"/>
        </w:rPr>
        <w:t>ACO</w:t>
      </w:r>
      <w:r>
        <w:rPr>
          <w:spacing w:val="-3"/>
          <w:sz w:val="22"/>
        </w:rPr>
        <w:t> </w:t>
      </w:r>
      <w:r>
        <w:rPr>
          <w:sz w:val="22"/>
        </w:rPr>
        <w:t>semiannual</w:t>
      </w:r>
      <w:r>
        <w:rPr>
          <w:spacing w:val="-1"/>
          <w:sz w:val="22"/>
        </w:rPr>
        <w:t> </w:t>
      </w:r>
      <w:r>
        <w:rPr>
          <w:sz w:val="22"/>
        </w:rPr>
        <w:t>progress</w:t>
      </w:r>
      <w:r>
        <w:rPr>
          <w:spacing w:val="-2"/>
          <w:sz w:val="22"/>
        </w:rPr>
        <w:t> </w:t>
      </w:r>
      <w:r>
        <w:rPr>
          <w:sz w:val="22"/>
        </w:rPr>
        <w:t>reports</w:t>
      </w:r>
      <w:r>
        <w:rPr>
          <w:spacing w:val="-2"/>
          <w:sz w:val="22"/>
        </w:rPr>
        <w:t> </w:t>
      </w:r>
      <w:r>
        <w:rPr>
          <w:sz w:val="22"/>
        </w:rPr>
        <w:t>will</w:t>
      </w:r>
      <w:r>
        <w:rPr>
          <w:spacing w:val="-4"/>
          <w:sz w:val="22"/>
        </w:rPr>
        <w:t> </w:t>
      </w:r>
      <w:r>
        <w:rPr>
          <w:sz w:val="22"/>
        </w:rPr>
        <w:t>be</w:t>
      </w:r>
      <w:r>
        <w:rPr>
          <w:spacing w:val="-2"/>
          <w:sz w:val="22"/>
        </w:rPr>
        <w:t> </w:t>
      </w:r>
      <w:r>
        <w:rPr>
          <w:sz w:val="22"/>
        </w:rPr>
        <w:t>submitted</w:t>
      </w:r>
      <w:r>
        <w:rPr>
          <w:spacing w:val="-5"/>
          <w:sz w:val="22"/>
        </w:rPr>
        <w:t> </w:t>
      </w:r>
      <w:r>
        <w:rPr>
          <w:sz w:val="22"/>
        </w:rPr>
        <w:t>in</w:t>
      </w:r>
      <w:r>
        <w:rPr>
          <w:spacing w:val="-5"/>
          <w:sz w:val="22"/>
        </w:rPr>
        <w:t> </w:t>
      </w:r>
      <w:r>
        <w:rPr>
          <w:sz w:val="22"/>
        </w:rPr>
        <w:t>a</w:t>
      </w:r>
      <w:r>
        <w:rPr>
          <w:spacing w:val="-2"/>
          <w:sz w:val="22"/>
        </w:rPr>
        <w:t> </w:t>
      </w:r>
      <w:r>
        <w:rPr>
          <w:sz w:val="22"/>
        </w:rPr>
        <w:t>form</w:t>
      </w:r>
      <w:r>
        <w:rPr>
          <w:spacing w:val="-6"/>
          <w:sz w:val="22"/>
        </w:rPr>
        <w:t> </w:t>
      </w:r>
      <w:r>
        <w:rPr>
          <w:sz w:val="22"/>
        </w:rPr>
        <w:t>and</w:t>
      </w:r>
      <w:r>
        <w:rPr>
          <w:spacing w:val="-2"/>
          <w:sz w:val="22"/>
        </w:rPr>
        <w:t> </w:t>
      </w:r>
      <w:r>
        <w:rPr>
          <w:sz w:val="22"/>
        </w:rPr>
        <w:t>format</w:t>
      </w:r>
      <w:r>
        <w:rPr>
          <w:spacing w:val="-1"/>
          <w:sz w:val="22"/>
        </w:rPr>
        <w:t> </w:t>
      </w:r>
      <w:r>
        <w:rPr>
          <w:sz w:val="22"/>
        </w:rPr>
        <w:t>prescribed</w:t>
      </w:r>
      <w:r>
        <w:rPr>
          <w:spacing w:val="-2"/>
          <w:sz w:val="22"/>
        </w:rPr>
        <w:t> </w:t>
      </w:r>
      <w:r>
        <w:rPr>
          <w:sz w:val="22"/>
        </w:rPr>
        <w:t>by</w:t>
      </w:r>
      <w:r>
        <w:rPr>
          <w:spacing w:val="-5"/>
          <w:sz w:val="22"/>
        </w:rPr>
        <w:t> </w:t>
      </w:r>
      <w:r>
        <w:rPr>
          <w:sz w:val="22"/>
        </w:rPr>
        <w:t>the</w:t>
      </w:r>
      <w:r>
        <w:rPr>
          <w:spacing w:val="-2"/>
          <w:sz w:val="22"/>
        </w:rPr>
        <w:t> </w:t>
      </w:r>
      <w:r>
        <w:rPr>
          <w:sz w:val="22"/>
        </w:rPr>
        <w:t>State,</w:t>
      </w:r>
      <w:r>
        <w:rPr>
          <w:spacing w:val="-2"/>
          <w:sz w:val="22"/>
        </w:rPr>
        <w:t> </w:t>
      </w:r>
      <w:r>
        <w:rPr>
          <w:sz w:val="22"/>
        </w:rPr>
        <w:t>and may include information such as:</w:t>
      </w:r>
    </w:p>
    <w:p>
      <w:pPr>
        <w:pStyle w:val="BodyText"/>
        <w:spacing w:before="4"/>
        <w:rPr>
          <w:sz w:val="25"/>
        </w:rPr>
      </w:pPr>
    </w:p>
    <w:p>
      <w:pPr>
        <w:pStyle w:val="ListParagraph"/>
        <w:numPr>
          <w:ilvl w:val="0"/>
          <w:numId w:val="105"/>
        </w:numPr>
        <w:tabs>
          <w:tab w:pos="2299" w:val="left" w:leader="none"/>
        </w:tabs>
        <w:spacing w:line="291" w:lineRule="exact" w:before="0" w:after="0"/>
        <w:ind w:left="2299" w:right="0" w:hanging="359"/>
        <w:jc w:val="left"/>
        <w:rPr>
          <w:rFonts w:ascii="Symbol" w:hAnsi="Symbol"/>
          <w:sz w:val="24"/>
        </w:rPr>
      </w:pPr>
      <w:r>
        <w:rPr>
          <w:sz w:val="22"/>
        </w:rPr>
        <w:t>The</w:t>
      </w:r>
      <w:r>
        <w:rPr>
          <w:spacing w:val="-7"/>
          <w:sz w:val="22"/>
        </w:rPr>
        <w:t> </w:t>
      </w:r>
      <w:r>
        <w:rPr>
          <w:sz w:val="22"/>
        </w:rPr>
        <w:t>ACO’s</w:t>
      </w:r>
      <w:r>
        <w:rPr>
          <w:spacing w:val="-4"/>
          <w:sz w:val="22"/>
        </w:rPr>
        <w:t> </w:t>
      </w:r>
      <w:r>
        <w:rPr>
          <w:sz w:val="22"/>
        </w:rPr>
        <w:t>progress</w:t>
      </w:r>
      <w:r>
        <w:rPr>
          <w:spacing w:val="-7"/>
          <w:sz w:val="22"/>
        </w:rPr>
        <w:t> </w:t>
      </w:r>
      <w:r>
        <w:rPr>
          <w:sz w:val="22"/>
        </w:rPr>
        <w:t>toward</w:t>
      </w:r>
      <w:r>
        <w:rPr>
          <w:spacing w:val="-4"/>
          <w:sz w:val="22"/>
        </w:rPr>
        <w:t> </w:t>
      </w:r>
      <w:r>
        <w:rPr>
          <w:sz w:val="22"/>
        </w:rPr>
        <w:t>implementation</w:t>
      </w:r>
      <w:r>
        <w:rPr>
          <w:spacing w:val="-5"/>
          <w:sz w:val="22"/>
        </w:rPr>
        <w:t> </w:t>
      </w:r>
      <w:r>
        <w:rPr>
          <w:sz w:val="22"/>
        </w:rPr>
        <w:t>of</w:t>
      </w:r>
      <w:r>
        <w:rPr>
          <w:spacing w:val="-3"/>
          <w:sz w:val="22"/>
        </w:rPr>
        <w:t> </w:t>
      </w:r>
      <w:r>
        <w:rPr>
          <w:sz w:val="22"/>
        </w:rPr>
        <w:t>the</w:t>
      </w:r>
      <w:r>
        <w:rPr>
          <w:spacing w:val="-5"/>
          <w:sz w:val="22"/>
        </w:rPr>
        <w:t> </w:t>
      </w:r>
      <w:r>
        <w:rPr>
          <w:sz w:val="22"/>
        </w:rPr>
        <w:t>Participation</w:t>
      </w:r>
      <w:r>
        <w:rPr>
          <w:spacing w:val="-4"/>
          <w:sz w:val="22"/>
        </w:rPr>
        <w:t> Plan</w:t>
      </w:r>
    </w:p>
    <w:p>
      <w:pPr>
        <w:pStyle w:val="ListParagraph"/>
        <w:numPr>
          <w:ilvl w:val="0"/>
          <w:numId w:val="105"/>
        </w:numPr>
        <w:tabs>
          <w:tab w:pos="2300" w:val="left" w:leader="none"/>
        </w:tabs>
        <w:spacing w:line="235" w:lineRule="auto" w:before="2" w:after="0"/>
        <w:ind w:left="2300" w:right="1484" w:hanging="360"/>
        <w:jc w:val="left"/>
        <w:rPr>
          <w:rFonts w:ascii="Symbol" w:hAnsi="Symbol"/>
          <w:sz w:val="24"/>
        </w:rPr>
      </w:pPr>
      <w:r>
        <w:rPr>
          <w:sz w:val="22"/>
        </w:rPr>
        <w:t>The</w:t>
      </w:r>
      <w:r>
        <w:rPr>
          <w:spacing w:val="-4"/>
          <w:sz w:val="22"/>
        </w:rPr>
        <w:t> </w:t>
      </w:r>
      <w:r>
        <w:rPr>
          <w:sz w:val="22"/>
        </w:rPr>
        <w:t>progress</w:t>
      </w:r>
      <w:r>
        <w:rPr>
          <w:spacing w:val="-3"/>
          <w:sz w:val="22"/>
        </w:rPr>
        <w:t> </w:t>
      </w:r>
      <w:r>
        <w:rPr>
          <w:sz w:val="22"/>
        </w:rPr>
        <w:t>and</w:t>
      </w:r>
      <w:r>
        <w:rPr>
          <w:spacing w:val="-3"/>
          <w:sz w:val="22"/>
        </w:rPr>
        <w:t> </w:t>
      </w:r>
      <w:r>
        <w:rPr>
          <w:sz w:val="22"/>
        </w:rPr>
        <w:t>status</w:t>
      </w:r>
      <w:r>
        <w:rPr>
          <w:spacing w:val="-3"/>
          <w:sz w:val="22"/>
        </w:rPr>
        <w:t> </w:t>
      </w:r>
      <w:r>
        <w:rPr>
          <w:sz w:val="22"/>
        </w:rPr>
        <w:t>of</w:t>
      </w:r>
      <w:r>
        <w:rPr>
          <w:spacing w:val="-2"/>
          <w:sz w:val="22"/>
        </w:rPr>
        <w:t> </w:t>
      </w:r>
      <w:r>
        <w:rPr>
          <w:sz w:val="22"/>
        </w:rPr>
        <w:t>specific</w:t>
      </w:r>
      <w:r>
        <w:rPr>
          <w:spacing w:val="-3"/>
          <w:sz w:val="22"/>
        </w:rPr>
        <w:t> </w:t>
      </w:r>
      <w:r>
        <w:rPr>
          <w:sz w:val="22"/>
        </w:rPr>
        <w:t>investments</w:t>
      </w:r>
      <w:r>
        <w:rPr>
          <w:spacing w:val="-3"/>
          <w:sz w:val="22"/>
        </w:rPr>
        <w:t> </w:t>
      </w:r>
      <w:r>
        <w:rPr>
          <w:sz w:val="22"/>
        </w:rPr>
        <w:t>and</w:t>
      </w:r>
      <w:r>
        <w:rPr>
          <w:spacing w:val="-5"/>
          <w:sz w:val="22"/>
        </w:rPr>
        <w:t> </w:t>
      </w:r>
      <w:r>
        <w:rPr>
          <w:sz w:val="22"/>
        </w:rPr>
        <w:t>programs</w:t>
      </w:r>
      <w:r>
        <w:rPr>
          <w:spacing w:val="-3"/>
          <w:sz w:val="22"/>
        </w:rPr>
        <w:t> </w:t>
      </w:r>
      <w:r>
        <w:rPr>
          <w:sz w:val="22"/>
        </w:rPr>
        <w:t>supported</w:t>
      </w:r>
      <w:r>
        <w:rPr>
          <w:spacing w:val="-5"/>
          <w:sz w:val="22"/>
        </w:rPr>
        <w:t> </w:t>
      </w:r>
      <w:r>
        <w:rPr>
          <w:sz w:val="22"/>
        </w:rPr>
        <w:t>by</w:t>
      </w:r>
      <w:r>
        <w:rPr>
          <w:spacing w:val="-5"/>
          <w:sz w:val="22"/>
        </w:rPr>
        <w:t> </w:t>
      </w:r>
      <w:r>
        <w:rPr>
          <w:sz w:val="22"/>
        </w:rPr>
        <w:t>DSRIP</w:t>
      </w:r>
      <w:r>
        <w:rPr>
          <w:spacing w:val="-1"/>
          <w:sz w:val="22"/>
        </w:rPr>
        <w:t> </w:t>
      </w:r>
      <w:r>
        <w:rPr>
          <w:sz w:val="22"/>
        </w:rPr>
        <w:t>funds, including any findings from or modifications to these investments and programs</w:t>
      </w:r>
    </w:p>
    <w:p>
      <w:pPr>
        <w:pStyle w:val="ListParagraph"/>
        <w:numPr>
          <w:ilvl w:val="0"/>
          <w:numId w:val="105"/>
        </w:numPr>
        <w:tabs>
          <w:tab w:pos="2299" w:val="left" w:leader="none"/>
        </w:tabs>
        <w:spacing w:line="291" w:lineRule="exact" w:before="1" w:after="0"/>
        <w:ind w:left="2299" w:right="0" w:hanging="359"/>
        <w:jc w:val="left"/>
        <w:rPr>
          <w:rFonts w:ascii="Symbol" w:hAnsi="Symbol"/>
          <w:sz w:val="24"/>
        </w:rPr>
      </w:pPr>
      <w:r>
        <w:rPr>
          <w:sz w:val="22"/>
        </w:rPr>
        <w:t>Descriptions</w:t>
      </w:r>
      <w:r>
        <w:rPr>
          <w:spacing w:val="-4"/>
          <w:sz w:val="22"/>
        </w:rPr>
        <w:t> </w:t>
      </w:r>
      <w:r>
        <w:rPr>
          <w:sz w:val="22"/>
        </w:rPr>
        <w:t>of</w:t>
      </w:r>
      <w:r>
        <w:rPr>
          <w:spacing w:val="-5"/>
          <w:sz w:val="22"/>
        </w:rPr>
        <w:t> </w:t>
      </w:r>
      <w:r>
        <w:rPr>
          <w:sz w:val="22"/>
        </w:rPr>
        <w:t>recent</w:t>
      </w:r>
      <w:r>
        <w:rPr>
          <w:spacing w:val="-2"/>
          <w:sz w:val="22"/>
        </w:rPr>
        <w:t> </w:t>
      </w:r>
      <w:r>
        <w:rPr>
          <w:sz w:val="22"/>
        </w:rPr>
        <w:t>activities</w:t>
      </w:r>
      <w:r>
        <w:rPr>
          <w:spacing w:val="-5"/>
          <w:sz w:val="22"/>
        </w:rPr>
        <w:t> </w:t>
      </w:r>
      <w:r>
        <w:rPr>
          <w:sz w:val="22"/>
        </w:rPr>
        <w:t>and</w:t>
      </w:r>
      <w:r>
        <w:rPr>
          <w:spacing w:val="-3"/>
          <w:sz w:val="22"/>
        </w:rPr>
        <w:t> </w:t>
      </w:r>
      <w:r>
        <w:rPr>
          <w:spacing w:val="-2"/>
          <w:sz w:val="22"/>
        </w:rPr>
        <w:t>accomplishments</w:t>
      </w:r>
    </w:p>
    <w:p>
      <w:pPr>
        <w:pStyle w:val="ListParagraph"/>
        <w:numPr>
          <w:ilvl w:val="0"/>
          <w:numId w:val="105"/>
        </w:numPr>
        <w:tabs>
          <w:tab w:pos="2299" w:val="left" w:leader="none"/>
        </w:tabs>
        <w:spacing w:line="289" w:lineRule="exact" w:before="0" w:after="0"/>
        <w:ind w:left="2299" w:right="0" w:hanging="359"/>
        <w:jc w:val="left"/>
        <w:rPr>
          <w:rFonts w:ascii="Symbol" w:hAnsi="Symbol"/>
          <w:sz w:val="24"/>
        </w:rPr>
      </w:pPr>
      <w:r>
        <w:rPr>
          <w:sz w:val="22"/>
        </w:rPr>
        <w:t>Descriptions</w:t>
      </w:r>
      <w:r>
        <w:rPr>
          <w:spacing w:val="-4"/>
          <w:sz w:val="22"/>
        </w:rPr>
        <w:t> </w:t>
      </w:r>
      <w:r>
        <w:rPr>
          <w:sz w:val="22"/>
        </w:rPr>
        <w:t>of</w:t>
      </w:r>
      <w:r>
        <w:rPr>
          <w:spacing w:val="-5"/>
          <w:sz w:val="22"/>
        </w:rPr>
        <w:t> </w:t>
      </w:r>
      <w:r>
        <w:rPr>
          <w:sz w:val="22"/>
        </w:rPr>
        <w:t>upcoming</w:t>
      </w:r>
      <w:r>
        <w:rPr>
          <w:spacing w:val="-5"/>
          <w:sz w:val="22"/>
        </w:rPr>
        <w:t> </w:t>
      </w:r>
      <w:r>
        <w:rPr>
          <w:sz w:val="22"/>
        </w:rPr>
        <w:t>activities</w:t>
      </w:r>
      <w:r>
        <w:rPr>
          <w:spacing w:val="-4"/>
          <w:sz w:val="22"/>
        </w:rPr>
        <w:t> </w:t>
      </w:r>
      <w:r>
        <w:rPr>
          <w:sz w:val="22"/>
        </w:rPr>
        <w:t>and</w:t>
      </w:r>
      <w:r>
        <w:rPr>
          <w:spacing w:val="-5"/>
          <w:sz w:val="22"/>
        </w:rPr>
        <w:t> </w:t>
      </w:r>
      <w:r>
        <w:rPr>
          <w:spacing w:val="-2"/>
          <w:sz w:val="22"/>
        </w:rPr>
        <w:t>challenges</w:t>
      </w:r>
    </w:p>
    <w:p>
      <w:pPr>
        <w:pStyle w:val="ListParagraph"/>
        <w:numPr>
          <w:ilvl w:val="0"/>
          <w:numId w:val="105"/>
        </w:numPr>
        <w:tabs>
          <w:tab w:pos="2299" w:val="left" w:leader="none"/>
        </w:tabs>
        <w:spacing w:line="289" w:lineRule="exact" w:before="0" w:after="0"/>
        <w:ind w:left="2299" w:right="0" w:hanging="360"/>
        <w:jc w:val="left"/>
        <w:rPr>
          <w:rFonts w:ascii="Symbol" w:hAnsi="Symbol"/>
          <w:sz w:val="24"/>
        </w:rPr>
      </w:pPr>
      <w:r>
        <w:rPr>
          <w:sz w:val="22"/>
        </w:rPr>
        <w:t>Budget</w:t>
      </w:r>
      <w:r>
        <w:rPr>
          <w:spacing w:val="-4"/>
          <w:sz w:val="22"/>
        </w:rPr>
        <w:t> </w:t>
      </w:r>
      <w:r>
        <w:rPr>
          <w:sz w:val="22"/>
        </w:rPr>
        <w:t>expenditures</w:t>
      </w:r>
      <w:r>
        <w:rPr>
          <w:spacing w:val="-4"/>
          <w:sz w:val="22"/>
        </w:rPr>
        <w:t> </w:t>
      </w:r>
      <w:r>
        <w:rPr>
          <w:sz w:val="22"/>
        </w:rPr>
        <w:t>for</w:t>
      </w:r>
      <w:r>
        <w:rPr>
          <w:spacing w:val="-4"/>
          <w:sz w:val="22"/>
        </w:rPr>
        <w:t> </w:t>
      </w:r>
      <w:r>
        <w:rPr>
          <w:sz w:val="22"/>
        </w:rPr>
        <w:t>all</w:t>
      </w:r>
      <w:r>
        <w:rPr>
          <w:spacing w:val="-6"/>
          <w:sz w:val="22"/>
        </w:rPr>
        <w:t> </w:t>
      </w:r>
      <w:r>
        <w:rPr>
          <w:sz w:val="22"/>
        </w:rPr>
        <w:t>DSRIP</w:t>
      </w:r>
      <w:r>
        <w:rPr>
          <w:spacing w:val="-5"/>
          <w:sz w:val="22"/>
        </w:rPr>
        <w:t> </w:t>
      </w:r>
      <w:r>
        <w:rPr>
          <w:spacing w:val="-2"/>
          <w:sz w:val="22"/>
        </w:rPr>
        <w:t>funding</w:t>
      </w:r>
    </w:p>
    <w:p>
      <w:pPr>
        <w:pStyle w:val="ListParagraph"/>
        <w:numPr>
          <w:ilvl w:val="0"/>
          <w:numId w:val="105"/>
        </w:numPr>
        <w:tabs>
          <w:tab w:pos="2299" w:val="left" w:leader="none"/>
        </w:tabs>
        <w:spacing w:line="288" w:lineRule="exact" w:before="0" w:after="0"/>
        <w:ind w:left="2299" w:right="0" w:hanging="359"/>
        <w:jc w:val="left"/>
        <w:rPr>
          <w:rFonts w:ascii="Symbol" w:hAnsi="Symbol"/>
          <w:sz w:val="24"/>
        </w:rPr>
      </w:pPr>
      <w:r>
        <w:rPr>
          <w:sz w:val="22"/>
        </w:rPr>
        <w:t>If</w:t>
      </w:r>
      <w:r>
        <w:rPr>
          <w:spacing w:val="-4"/>
          <w:sz w:val="22"/>
        </w:rPr>
        <w:t> </w:t>
      </w:r>
      <w:r>
        <w:rPr>
          <w:sz w:val="22"/>
        </w:rPr>
        <w:t>relevant,</w:t>
      </w:r>
      <w:r>
        <w:rPr>
          <w:spacing w:val="-4"/>
          <w:sz w:val="22"/>
        </w:rPr>
        <w:t> </w:t>
      </w:r>
      <w:r>
        <w:rPr>
          <w:sz w:val="22"/>
        </w:rPr>
        <w:t>supporting</w:t>
      </w:r>
      <w:r>
        <w:rPr>
          <w:spacing w:val="-7"/>
          <w:sz w:val="22"/>
        </w:rPr>
        <w:t> </w:t>
      </w:r>
      <w:r>
        <w:rPr>
          <w:sz w:val="22"/>
        </w:rPr>
        <w:t>documentation</w:t>
      </w:r>
      <w:r>
        <w:rPr>
          <w:spacing w:val="-7"/>
          <w:sz w:val="22"/>
        </w:rPr>
        <w:t> </w:t>
      </w:r>
      <w:r>
        <w:rPr>
          <w:sz w:val="22"/>
        </w:rPr>
        <w:t>for</w:t>
      </w:r>
      <w:r>
        <w:rPr>
          <w:spacing w:val="-4"/>
          <w:sz w:val="22"/>
        </w:rPr>
        <w:t> </w:t>
      </w:r>
      <w:r>
        <w:rPr>
          <w:sz w:val="22"/>
        </w:rPr>
        <w:t>a</w:t>
      </w:r>
      <w:r>
        <w:rPr>
          <w:spacing w:val="-4"/>
          <w:sz w:val="22"/>
        </w:rPr>
        <w:t> </w:t>
      </w:r>
      <w:r>
        <w:rPr>
          <w:sz w:val="22"/>
        </w:rPr>
        <w:t>DSRIP</w:t>
      </w:r>
      <w:r>
        <w:rPr>
          <w:spacing w:val="-5"/>
          <w:sz w:val="22"/>
        </w:rPr>
        <w:t> </w:t>
      </w:r>
      <w:r>
        <w:rPr>
          <w:sz w:val="22"/>
        </w:rPr>
        <w:t>Performance</w:t>
      </w:r>
      <w:r>
        <w:rPr>
          <w:spacing w:val="-4"/>
          <w:sz w:val="22"/>
        </w:rPr>
        <w:t> </w:t>
      </w:r>
      <w:r>
        <w:rPr>
          <w:sz w:val="22"/>
        </w:rPr>
        <w:t>Remediation</w:t>
      </w:r>
      <w:r>
        <w:rPr>
          <w:spacing w:val="-4"/>
          <w:sz w:val="22"/>
        </w:rPr>
        <w:t> Plan</w:t>
      </w:r>
    </w:p>
    <w:p>
      <w:pPr>
        <w:pStyle w:val="ListParagraph"/>
        <w:numPr>
          <w:ilvl w:val="0"/>
          <w:numId w:val="105"/>
        </w:numPr>
        <w:tabs>
          <w:tab w:pos="2300" w:val="left" w:leader="none"/>
        </w:tabs>
        <w:spacing w:line="267" w:lineRule="exact" w:before="0" w:after="0"/>
        <w:ind w:left="2300" w:right="0" w:hanging="360"/>
        <w:jc w:val="left"/>
        <w:rPr>
          <w:rFonts w:ascii="Symbol" w:hAnsi="Symbol"/>
          <w:sz w:val="22"/>
        </w:rPr>
      </w:pPr>
      <w:r>
        <w:rPr>
          <w:sz w:val="22"/>
        </w:rPr>
        <w:t>Additional</w:t>
      </w:r>
      <w:r>
        <w:rPr>
          <w:spacing w:val="-2"/>
          <w:sz w:val="22"/>
        </w:rPr>
        <w:t> </w:t>
      </w:r>
      <w:r>
        <w:rPr>
          <w:sz w:val="22"/>
        </w:rPr>
        <w:t>information</w:t>
      </w:r>
      <w:r>
        <w:rPr>
          <w:spacing w:val="-6"/>
          <w:sz w:val="22"/>
        </w:rPr>
        <w:t> </w:t>
      </w:r>
      <w:r>
        <w:rPr>
          <w:sz w:val="22"/>
        </w:rPr>
        <w:t>as</w:t>
      </w:r>
      <w:r>
        <w:rPr>
          <w:spacing w:val="-3"/>
          <w:sz w:val="22"/>
        </w:rPr>
        <w:t> </w:t>
      </w:r>
      <w:r>
        <w:rPr>
          <w:sz w:val="22"/>
        </w:rPr>
        <w:t>requested</w:t>
      </w:r>
      <w:r>
        <w:rPr>
          <w:spacing w:val="-6"/>
          <w:sz w:val="22"/>
        </w:rPr>
        <w:t> </w:t>
      </w:r>
      <w:r>
        <w:rPr>
          <w:sz w:val="22"/>
        </w:rPr>
        <w:t>by</w:t>
      </w:r>
      <w:r>
        <w:rPr>
          <w:spacing w:val="-5"/>
          <w:sz w:val="22"/>
        </w:rPr>
        <w:t> </w:t>
      </w:r>
      <w:r>
        <w:rPr>
          <w:spacing w:val="-2"/>
          <w:sz w:val="22"/>
        </w:rPr>
        <w:t>EOHHS.</w:t>
      </w:r>
    </w:p>
    <w:p>
      <w:pPr>
        <w:pStyle w:val="BodyText"/>
        <w:rPr>
          <w:sz w:val="26"/>
        </w:rPr>
      </w:pPr>
    </w:p>
    <w:p>
      <w:pPr>
        <w:spacing w:before="151"/>
        <w:ind w:left="1220" w:right="1178" w:firstLine="0"/>
        <w:jc w:val="left"/>
        <w:rPr>
          <w:sz w:val="22"/>
        </w:rPr>
      </w:pPr>
      <w:r>
        <w:rPr>
          <w:sz w:val="22"/>
        </w:rPr>
        <w:t>As noted above, ACOs will submit progress reports twice annually. The Progress Report 1 will be due two months after the midway point of a given BP and Progress Report 2 will be due three months following</w:t>
      </w:r>
      <w:r>
        <w:rPr>
          <w:spacing w:val="-5"/>
          <w:sz w:val="22"/>
        </w:rPr>
        <w:t> </w:t>
      </w:r>
      <w:r>
        <w:rPr>
          <w:sz w:val="22"/>
        </w:rPr>
        <w:t>the</w:t>
      </w:r>
      <w:r>
        <w:rPr>
          <w:spacing w:val="-2"/>
          <w:sz w:val="22"/>
        </w:rPr>
        <w:t> </w:t>
      </w:r>
      <w:r>
        <w:rPr>
          <w:sz w:val="22"/>
        </w:rPr>
        <w:t>close</w:t>
      </w:r>
      <w:r>
        <w:rPr>
          <w:spacing w:val="-4"/>
          <w:sz w:val="22"/>
        </w:rPr>
        <w:t> </w:t>
      </w:r>
      <w:r>
        <w:rPr>
          <w:sz w:val="22"/>
        </w:rPr>
        <w:t>of</w:t>
      </w:r>
      <w:r>
        <w:rPr>
          <w:spacing w:val="-4"/>
          <w:sz w:val="22"/>
        </w:rPr>
        <w:t> </w:t>
      </w:r>
      <w:r>
        <w:rPr>
          <w:sz w:val="22"/>
        </w:rPr>
        <w:t>the</w:t>
      </w:r>
      <w:r>
        <w:rPr>
          <w:spacing w:val="-2"/>
          <w:sz w:val="22"/>
        </w:rPr>
        <w:t> </w:t>
      </w:r>
      <w:r>
        <w:rPr>
          <w:sz w:val="22"/>
        </w:rPr>
        <w:t>Budget</w:t>
      </w:r>
      <w:r>
        <w:rPr>
          <w:spacing w:val="-1"/>
          <w:sz w:val="22"/>
        </w:rPr>
        <w:t> </w:t>
      </w:r>
      <w:r>
        <w:rPr>
          <w:sz w:val="22"/>
        </w:rPr>
        <w:t>Period.</w:t>
      </w:r>
      <w:r>
        <w:rPr>
          <w:spacing w:val="40"/>
          <w:sz w:val="22"/>
        </w:rPr>
        <w:t> </w:t>
      </w:r>
      <w:r>
        <w:rPr>
          <w:sz w:val="22"/>
        </w:rPr>
        <w:t>The</w:t>
      </w:r>
      <w:r>
        <w:rPr>
          <w:spacing w:val="-2"/>
          <w:sz w:val="22"/>
        </w:rPr>
        <w:t> </w:t>
      </w:r>
      <w:r>
        <w:rPr>
          <w:sz w:val="22"/>
        </w:rPr>
        <w:t>below</w:t>
      </w:r>
      <w:r>
        <w:rPr>
          <w:spacing w:val="-3"/>
          <w:sz w:val="22"/>
        </w:rPr>
        <w:t> </w:t>
      </w:r>
      <w:r>
        <w:rPr>
          <w:sz w:val="22"/>
        </w:rPr>
        <w:t>provides</w:t>
      </w:r>
      <w:r>
        <w:rPr>
          <w:spacing w:val="-2"/>
          <w:sz w:val="22"/>
        </w:rPr>
        <w:t> </w:t>
      </w:r>
      <w:r>
        <w:rPr>
          <w:sz w:val="22"/>
        </w:rPr>
        <w:t>the</w:t>
      </w:r>
      <w:r>
        <w:rPr>
          <w:spacing w:val="-2"/>
          <w:sz w:val="22"/>
        </w:rPr>
        <w:t> </w:t>
      </w:r>
      <w:r>
        <w:rPr>
          <w:sz w:val="22"/>
        </w:rPr>
        <w:t>timeline</w:t>
      </w:r>
      <w:r>
        <w:rPr>
          <w:spacing w:val="-4"/>
          <w:sz w:val="22"/>
        </w:rPr>
        <w:t> </w:t>
      </w:r>
      <w:r>
        <w:rPr>
          <w:sz w:val="22"/>
        </w:rPr>
        <w:t>for</w:t>
      </w:r>
      <w:r>
        <w:rPr>
          <w:spacing w:val="-1"/>
          <w:sz w:val="22"/>
        </w:rPr>
        <w:t> </w:t>
      </w:r>
      <w:r>
        <w:rPr>
          <w:sz w:val="22"/>
        </w:rPr>
        <w:t>submission</w:t>
      </w:r>
      <w:r>
        <w:rPr>
          <w:spacing w:val="-2"/>
          <w:sz w:val="22"/>
        </w:rPr>
        <w:t> </w:t>
      </w:r>
      <w:r>
        <w:rPr>
          <w:sz w:val="22"/>
        </w:rPr>
        <w:t>of</w:t>
      </w:r>
      <w:r>
        <w:rPr>
          <w:spacing w:val="-4"/>
          <w:sz w:val="22"/>
        </w:rPr>
        <w:t> </w:t>
      </w:r>
      <w:r>
        <w:rPr>
          <w:sz w:val="22"/>
        </w:rPr>
        <w:t>such</w:t>
      </w:r>
      <w:r>
        <w:rPr>
          <w:spacing w:val="-5"/>
          <w:sz w:val="22"/>
        </w:rPr>
        <w:t> </w:t>
      </w:r>
      <w:r>
        <w:rPr>
          <w:sz w:val="22"/>
        </w:rPr>
        <w:t>reports for the Preparation Budget Period as well as Budget Period 1.</w:t>
      </w:r>
      <w:r>
        <w:rPr>
          <w:spacing w:val="40"/>
          <w:sz w:val="22"/>
        </w:rPr>
        <w:t> </w:t>
      </w:r>
      <w:r>
        <w:rPr>
          <w:sz w:val="22"/>
        </w:rPr>
        <w:t>Budget Periods 2-5 will follow the same pattern as Budget Period 1, adjusted for the respective years.</w:t>
      </w:r>
    </w:p>
    <w:p>
      <w:pPr>
        <w:pStyle w:val="BodyText"/>
        <w:spacing w:before="5"/>
        <w:rPr>
          <w:sz w:val="25"/>
        </w:rPr>
      </w:pPr>
    </w:p>
    <w:p>
      <w:pPr>
        <w:pStyle w:val="ListParagraph"/>
        <w:numPr>
          <w:ilvl w:val="0"/>
          <w:numId w:val="105"/>
        </w:numPr>
        <w:tabs>
          <w:tab w:pos="2298" w:val="left" w:leader="none"/>
          <w:tab w:pos="2300" w:val="left" w:leader="none"/>
        </w:tabs>
        <w:spacing w:line="237" w:lineRule="auto" w:before="0" w:after="0"/>
        <w:ind w:left="2300" w:right="1404" w:hanging="361"/>
        <w:jc w:val="both"/>
        <w:rPr>
          <w:rFonts w:ascii="Symbol" w:hAnsi="Symbol"/>
          <w:sz w:val="24"/>
        </w:rPr>
      </w:pPr>
      <w:r>
        <w:rPr>
          <w:b/>
          <w:sz w:val="22"/>
        </w:rPr>
        <w:t>Preparation</w:t>
      </w:r>
      <w:r>
        <w:rPr>
          <w:b/>
          <w:spacing w:val="-5"/>
          <w:sz w:val="22"/>
        </w:rPr>
        <w:t> </w:t>
      </w:r>
      <w:r>
        <w:rPr>
          <w:b/>
          <w:sz w:val="22"/>
        </w:rPr>
        <w:t>Budget</w:t>
      </w:r>
      <w:r>
        <w:rPr>
          <w:b/>
          <w:spacing w:val="-4"/>
          <w:sz w:val="22"/>
        </w:rPr>
        <w:t> </w:t>
      </w:r>
      <w:r>
        <w:rPr>
          <w:b/>
          <w:sz w:val="22"/>
        </w:rPr>
        <w:t>Period</w:t>
      </w:r>
      <w:r>
        <w:rPr>
          <w:b/>
          <w:spacing w:val="-3"/>
          <w:sz w:val="22"/>
        </w:rPr>
        <w:t> </w:t>
      </w:r>
      <w:r>
        <w:rPr>
          <w:b/>
          <w:sz w:val="22"/>
        </w:rPr>
        <w:t>Progress</w:t>
      </w:r>
      <w:r>
        <w:rPr>
          <w:b/>
          <w:spacing w:val="-2"/>
          <w:sz w:val="22"/>
        </w:rPr>
        <w:t> </w:t>
      </w:r>
      <w:r>
        <w:rPr>
          <w:b/>
          <w:sz w:val="22"/>
        </w:rPr>
        <w:t>Report</w:t>
      </w:r>
      <w:r>
        <w:rPr>
          <w:sz w:val="22"/>
        </w:rPr>
        <w:t>:</w:t>
      </w:r>
      <w:r>
        <w:rPr>
          <w:spacing w:val="-4"/>
          <w:sz w:val="22"/>
        </w:rPr>
        <w:t> </w:t>
      </w:r>
      <w:r>
        <w:rPr>
          <w:sz w:val="22"/>
        </w:rPr>
        <w:t>This</w:t>
      </w:r>
      <w:r>
        <w:rPr>
          <w:spacing w:val="-2"/>
          <w:sz w:val="22"/>
        </w:rPr>
        <w:t> </w:t>
      </w:r>
      <w:r>
        <w:rPr>
          <w:sz w:val="22"/>
        </w:rPr>
        <w:t>report</w:t>
      </w:r>
      <w:r>
        <w:rPr>
          <w:spacing w:val="-4"/>
          <w:sz w:val="22"/>
        </w:rPr>
        <w:t> </w:t>
      </w:r>
      <w:r>
        <w:rPr>
          <w:sz w:val="22"/>
        </w:rPr>
        <w:t>is</w:t>
      </w:r>
      <w:r>
        <w:rPr>
          <w:spacing w:val="-4"/>
          <w:sz w:val="22"/>
        </w:rPr>
        <w:t> </w:t>
      </w:r>
      <w:r>
        <w:rPr>
          <w:sz w:val="22"/>
        </w:rPr>
        <w:t>due</w:t>
      </w:r>
      <w:r>
        <w:rPr>
          <w:spacing w:val="-2"/>
          <w:sz w:val="22"/>
        </w:rPr>
        <w:t> </w:t>
      </w:r>
      <w:r>
        <w:rPr>
          <w:sz w:val="22"/>
        </w:rPr>
        <w:t>no</w:t>
      </w:r>
      <w:r>
        <w:rPr>
          <w:spacing w:val="-5"/>
          <w:sz w:val="22"/>
        </w:rPr>
        <w:t> </w:t>
      </w:r>
      <w:r>
        <w:rPr>
          <w:sz w:val="22"/>
        </w:rPr>
        <w:t>later</w:t>
      </w:r>
      <w:r>
        <w:rPr>
          <w:spacing w:val="-1"/>
          <w:sz w:val="22"/>
        </w:rPr>
        <w:t> </w:t>
      </w:r>
      <w:r>
        <w:rPr>
          <w:sz w:val="22"/>
        </w:rPr>
        <w:t>than</w:t>
      </w:r>
      <w:r>
        <w:rPr>
          <w:spacing w:val="-2"/>
          <w:sz w:val="22"/>
        </w:rPr>
        <w:t> </w:t>
      </w:r>
      <w:r>
        <w:rPr>
          <w:b/>
          <w:sz w:val="22"/>
        </w:rPr>
        <w:t>March</w:t>
      </w:r>
      <w:r>
        <w:rPr>
          <w:b/>
          <w:spacing w:val="-3"/>
          <w:sz w:val="22"/>
        </w:rPr>
        <w:t> </w:t>
      </w:r>
      <w:r>
        <w:rPr>
          <w:b/>
          <w:sz w:val="22"/>
        </w:rPr>
        <w:t>31</w:t>
      </w:r>
      <w:r>
        <w:rPr>
          <w:sz w:val="22"/>
        </w:rPr>
        <w:t>, </w:t>
      </w:r>
      <w:r>
        <w:rPr>
          <w:b/>
          <w:sz w:val="22"/>
        </w:rPr>
        <w:t>2018</w:t>
      </w:r>
      <w:r>
        <w:rPr>
          <w:b/>
          <w:spacing w:val="-2"/>
          <w:sz w:val="22"/>
        </w:rPr>
        <w:t> </w:t>
      </w:r>
      <w:r>
        <w:rPr>
          <w:sz w:val="22"/>
        </w:rPr>
        <w:t>and</w:t>
      </w:r>
      <w:r>
        <w:rPr>
          <w:spacing w:val="-5"/>
          <w:sz w:val="22"/>
        </w:rPr>
        <w:t> </w:t>
      </w:r>
      <w:r>
        <w:rPr>
          <w:sz w:val="22"/>
        </w:rPr>
        <w:t>shall</w:t>
      </w:r>
      <w:r>
        <w:rPr>
          <w:spacing w:val="-4"/>
          <w:sz w:val="22"/>
        </w:rPr>
        <w:t> </w:t>
      </w:r>
      <w:r>
        <w:rPr>
          <w:sz w:val="22"/>
        </w:rPr>
        <w:t>include</w:t>
      </w:r>
      <w:r>
        <w:rPr>
          <w:spacing w:val="-2"/>
          <w:sz w:val="22"/>
        </w:rPr>
        <w:t> </w:t>
      </w:r>
      <w:r>
        <w:rPr>
          <w:sz w:val="22"/>
        </w:rPr>
        <w:t>the</w:t>
      </w:r>
      <w:r>
        <w:rPr>
          <w:spacing w:val="-2"/>
          <w:sz w:val="22"/>
        </w:rPr>
        <w:t> </w:t>
      </w:r>
      <w:r>
        <w:rPr>
          <w:sz w:val="22"/>
        </w:rPr>
        <w:t>information</w:t>
      </w:r>
      <w:r>
        <w:rPr>
          <w:spacing w:val="-2"/>
          <w:sz w:val="22"/>
        </w:rPr>
        <w:t> </w:t>
      </w:r>
      <w:r>
        <w:rPr>
          <w:sz w:val="22"/>
        </w:rPr>
        <w:t>detailed</w:t>
      </w:r>
      <w:r>
        <w:rPr>
          <w:spacing w:val="-2"/>
          <w:sz w:val="22"/>
        </w:rPr>
        <w:t> </w:t>
      </w:r>
      <w:r>
        <w:rPr>
          <w:sz w:val="22"/>
        </w:rPr>
        <w:t>above</w:t>
      </w:r>
      <w:r>
        <w:rPr>
          <w:spacing w:val="-2"/>
          <w:sz w:val="22"/>
        </w:rPr>
        <w:t> </w:t>
      </w:r>
      <w:r>
        <w:rPr>
          <w:sz w:val="22"/>
        </w:rPr>
        <w:t>for</w:t>
      </w:r>
      <w:r>
        <w:rPr>
          <w:spacing w:val="-1"/>
          <w:sz w:val="22"/>
        </w:rPr>
        <w:t> </w:t>
      </w:r>
      <w:r>
        <w:rPr>
          <w:sz w:val="22"/>
        </w:rPr>
        <w:t>the</w:t>
      </w:r>
      <w:r>
        <w:rPr>
          <w:spacing w:val="-4"/>
          <w:sz w:val="22"/>
        </w:rPr>
        <w:t> </w:t>
      </w:r>
      <w:r>
        <w:rPr>
          <w:b/>
          <w:sz w:val="22"/>
        </w:rPr>
        <w:t>Preparation</w:t>
      </w:r>
      <w:r>
        <w:rPr>
          <w:b/>
          <w:spacing w:val="-5"/>
          <w:sz w:val="22"/>
        </w:rPr>
        <w:t> </w:t>
      </w:r>
      <w:r>
        <w:rPr>
          <w:b/>
          <w:sz w:val="22"/>
        </w:rPr>
        <w:t>Budget</w:t>
      </w:r>
      <w:r>
        <w:rPr>
          <w:b/>
          <w:spacing w:val="-4"/>
          <w:sz w:val="22"/>
        </w:rPr>
        <w:t> </w:t>
      </w:r>
      <w:r>
        <w:rPr>
          <w:b/>
          <w:sz w:val="22"/>
        </w:rPr>
        <w:t>Period (July 1 – December 31, 2017)</w:t>
      </w:r>
    </w:p>
    <w:p>
      <w:pPr>
        <w:pStyle w:val="ListParagraph"/>
        <w:numPr>
          <w:ilvl w:val="0"/>
          <w:numId w:val="105"/>
        </w:numPr>
        <w:tabs>
          <w:tab w:pos="2298" w:val="left" w:leader="none"/>
          <w:tab w:pos="2300" w:val="left" w:leader="none"/>
        </w:tabs>
        <w:spacing w:line="273" w:lineRule="auto" w:before="4" w:after="0"/>
        <w:ind w:left="2300" w:right="1304" w:hanging="361"/>
        <w:jc w:val="both"/>
        <w:rPr>
          <w:rFonts w:ascii="Symbol" w:hAnsi="Symbol"/>
          <w:sz w:val="22"/>
        </w:rPr>
      </w:pPr>
      <w:r>
        <w:rPr>
          <w:b/>
          <w:sz w:val="22"/>
        </w:rPr>
        <w:t>BP1</w:t>
      </w:r>
      <w:r>
        <w:rPr>
          <w:b/>
          <w:spacing w:val="-5"/>
          <w:sz w:val="22"/>
        </w:rPr>
        <w:t> </w:t>
      </w:r>
      <w:r>
        <w:rPr>
          <w:b/>
          <w:sz w:val="22"/>
        </w:rPr>
        <w:t>Progress</w:t>
      </w:r>
      <w:r>
        <w:rPr>
          <w:b/>
          <w:spacing w:val="-2"/>
          <w:sz w:val="22"/>
        </w:rPr>
        <w:t> </w:t>
      </w:r>
      <w:r>
        <w:rPr>
          <w:b/>
          <w:sz w:val="22"/>
        </w:rPr>
        <w:t>Report</w:t>
      </w:r>
      <w:r>
        <w:rPr>
          <w:b/>
          <w:spacing w:val="-1"/>
          <w:sz w:val="22"/>
        </w:rPr>
        <w:t> </w:t>
      </w:r>
      <w:r>
        <w:rPr>
          <w:b/>
          <w:sz w:val="22"/>
        </w:rPr>
        <w:t>1:</w:t>
      </w:r>
      <w:r>
        <w:rPr>
          <w:b/>
          <w:spacing w:val="-4"/>
          <w:sz w:val="22"/>
        </w:rPr>
        <w:t> </w:t>
      </w:r>
      <w:r>
        <w:rPr>
          <w:sz w:val="22"/>
        </w:rPr>
        <w:t>This</w:t>
      </w:r>
      <w:r>
        <w:rPr>
          <w:spacing w:val="-4"/>
          <w:sz w:val="22"/>
        </w:rPr>
        <w:t> </w:t>
      </w:r>
      <w:r>
        <w:rPr>
          <w:sz w:val="22"/>
        </w:rPr>
        <w:t>report</w:t>
      </w:r>
      <w:r>
        <w:rPr>
          <w:spacing w:val="-4"/>
          <w:sz w:val="22"/>
        </w:rPr>
        <w:t> </w:t>
      </w:r>
      <w:r>
        <w:rPr>
          <w:sz w:val="22"/>
        </w:rPr>
        <w:t>is</w:t>
      </w:r>
      <w:r>
        <w:rPr>
          <w:spacing w:val="-2"/>
          <w:sz w:val="22"/>
        </w:rPr>
        <w:t> </w:t>
      </w:r>
      <w:r>
        <w:rPr>
          <w:sz w:val="22"/>
        </w:rPr>
        <w:t>due</w:t>
      </w:r>
      <w:r>
        <w:rPr>
          <w:spacing w:val="-2"/>
          <w:sz w:val="22"/>
        </w:rPr>
        <w:t> </w:t>
      </w:r>
      <w:r>
        <w:rPr>
          <w:sz w:val="22"/>
        </w:rPr>
        <w:t>no</w:t>
      </w:r>
      <w:r>
        <w:rPr>
          <w:spacing w:val="-5"/>
          <w:sz w:val="22"/>
        </w:rPr>
        <w:t> </w:t>
      </w:r>
      <w:r>
        <w:rPr>
          <w:sz w:val="22"/>
        </w:rPr>
        <w:t>later</w:t>
      </w:r>
      <w:r>
        <w:rPr>
          <w:spacing w:val="-1"/>
          <w:sz w:val="22"/>
        </w:rPr>
        <w:t> </w:t>
      </w:r>
      <w:r>
        <w:rPr>
          <w:sz w:val="22"/>
        </w:rPr>
        <w:t>than</w:t>
      </w:r>
      <w:r>
        <w:rPr>
          <w:spacing w:val="-2"/>
          <w:sz w:val="22"/>
        </w:rPr>
        <w:t> </w:t>
      </w:r>
      <w:r>
        <w:rPr>
          <w:b/>
          <w:sz w:val="22"/>
        </w:rPr>
        <w:t>August</w:t>
      </w:r>
      <w:r>
        <w:rPr>
          <w:b/>
          <w:spacing w:val="-1"/>
          <w:sz w:val="22"/>
        </w:rPr>
        <w:t> </w:t>
      </w:r>
      <w:r>
        <w:rPr>
          <w:b/>
          <w:sz w:val="22"/>
        </w:rPr>
        <w:t>31,</w:t>
      </w:r>
      <w:r>
        <w:rPr>
          <w:b/>
          <w:spacing w:val="-2"/>
          <w:sz w:val="22"/>
        </w:rPr>
        <w:t> </w:t>
      </w:r>
      <w:r>
        <w:rPr>
          <w:b/>
          <w:sz w:val="22"/>
        </w:rPr>
        <w:t>2018</w:t>
      </w:r>
      <w:r>
        <w:rPr>
          <w:b/>
          <w:spacing w:val="-5"/>
          <w:sz w:val="22"/>
        </w:rPr>
        <w:t> </w:t>
      </w:r>
      <w:r>
        <w:rPr>
          <w:sz w:val="22"/>
        </w:rPr>
        <w:t>and</w:t>
      </w:r>
      <w:r>
        <w:rPr>
          <w:spacing w:val="-2"/>
          <w:sz w:val="22"/>
        </w:rPr>
        <w:t> </w:t>
      </w:r>
      <w:r>
        <w:rPr>
          <w:sz w:val="22"/>
        </w:rPr>
        <w:t>shall</w:t>
      </w:r>
      <w:r>
        <w:rPr>
          <w:spacing w:val="-1"/>
          <w:sz w:val="22"/>
        </w:rPr>
        <w:t> </w:t>
      </w:r>
      <w:r>
        <w:rPr>
          <w:sz w:val="22"/>
        </w:rPr>
        <w:t>include the information detailed above for the period of </w:t>
      </w:r>
      <w:r>
        <w:rPr>
          <w:b/>
          <w:sz w:val="22"/>
        </w:rPr>
        <w:t>January 1 - June 30, 2018</w:t>
      </w:r>
    </w:p>
    <w:p>
      <w:pPr>
        <w:pStyle w:val="ListParagraph"/>
        <w:numPr>
          <w:ilvl w:val="0"/>
          <w:numId w:val="105"/>
        </w:numPr>
        <w:tabs>
          <w:tab w:pos="2299" w:val="left" w:leader="none"/>
        </w:tabs>
        <w:spacing w:line="273" w:lineRule="auto" w:before="1" w:after="0"/>
        <w:ind w:left="2299" w:right="1343" w:hanging="360"/>
        <w:jc w:val="both"/>
        <w:rPr>
          <w:rFonts w:ascii="Symbol" w:hAnsi="Symbol"/>
          <w:sz w:val="22"/>
        </w:rPr>
      </w:pPr>
      <w:r>
        <w:rPr>
          <w:b/>
          <w:sz w:val="22"/>
        </w:rPr>
        <w:t>BP1</w:t>
      </w:r>
      <w:r>
        <w:rPr>
          <w:b/>
          <w:spacing w:val="-5"/>
          <w:sz w:val="22"/>
        </w:rPr>
        <w:t> </w:t>
      </w:r>
      <w:r>
        <w:rPr>
          <w:b/>
          <w:sz w:val="22"/>
        </w:rPr>
        <w:t>Progress</w:t>
      </w:r>
      <w:r>
        <w:rPr>
          <w:b/>
          <w:spacing w:val="-2"/>
          <w:sz w:val="22"/>
        </w:rPr>
        <w:t> </w:t>
      </w:r>
      <w:r>
        <w:rPr>
          <w:b/>
          <w:sz w:val="22"/>
        </w:rPr>
        <w:t>Report</w:t>
      </w:r>
      <w:r>
        <w:rPr>
          <w:b/>
          <w:spacing w:val="-1"/>
          <w:sz w:val="22"/>
        </w:rPr>
        <w:t> </w:t>
      </w:r>
      <w:r>
        <w:rPr>
          <w:b/>
          <w:sz w:val="22"/>
        </w:rPr>
        <w:t>2:</w:t>
      </w:r>
      <w:r>
        <w:rPr>
          <w:b/>
          <w:spacing w:val="-4"/>
          <w:sz w:val="22"/>
        </w:rPr>
        <w:t> </w:t>
      </w:r>
      <w:r>
        <w:rPr>
          <w:sz w:val="22"/>
        </w:rPr>
        <w:t>This</w:t>
      </w:r>
      <w:r>
        <w:rPr>
          <w:spacing w:val="-4"/>
          <w:sz w:val="22"/>
        </w:rPr>
        <w:t> </w:t>
      </w:r>
      <w:r>
        <w:rPr>
          <w:sz w:val="22"/>
        </w:rPr>
        <w:t>report</w:t>
      </w:r>
      <w:r>
        <w:rPr>
          <w:spacing w:val="-4"/>
          <w:sz w:val="22"/>
        </w:rPr>
        <w:t> </w:t>
      </w:r>
      <w:r>
        <w:rPr>
          <w:sz w:val="22"/>
        </w:rPr>
        <w:t>is</w:t>
      </w:r>
      <w:r>
        <w:rPr>
          <w:spacing w:val="-2"/>
          <w:sz w:val="22"/>
        </w:rPr>
        <w:t> </w:t>
      </w:r>
      <w:r>
        <w:rPr>
          <w:sz w:val="22"/>
        </w:rPr>
        <w:t>due</w:t>
      </w:r>
      <w:r>
        <w:rPr>
          <w:spacing w:val="-2"/>
          <w:sz w:val="22"/>
        </w:rPr>
        <w:t> </w:t>
      </w:r>
      <w:r>
        <w:rPr>
          <w:sz w:val="22"/>
        </w:rPr>
        <w:t>no</w:t>
      </w:r>
      <w:r>
        <w:rPr>
          <w:spacing w:val="-5"/>
          <w:sz w:val="22"/>
        </w:rPr>
        <w:t> </w:t>
      </w:r>
      <w:r>
        <w:rPr>
          <w:sz w:val="22"/>
        </w:rPr>
        <w:t>later</w:t>
      </w:r>
      <w:r>
        <w:rPr>
          <w:spacing w:val="-1"/>
          <w:sz w:val="22"/>
        </w:rPr>
        <w:t> </w:t>
      </w:r>
      <w:r>
        <w:rPr>
          <w:sz w:val="22"/>
        </w:rPr>
        <w:t>than</w:t>
      </w:r>
      <w:r>
        <w:rPr>
          <w:spacing w:val="-3"/>
          <w:sz w:val="22"/>
        </w:rPr>
        <w:t> </w:t>
      </w:r>
      <w:r>
        <w:rPr>
          <w:b/>
          <w:sz w:val="22"/>
        </w:rPr>
        <w:t>March</w:t>
      </w:r>
      <w:r>
        <w:rPr>
          <w:b/>
          <w:spacing w:val="-3"/>
          <w:sz w:val="22"/>
        </w:rPr>
        <w:t> </w:t>
      </w:r>
      <w:r>
        <w:rPr>
          <w:b/>
          <w:sz w:val="22"/>
        </w:rPr>
        <w:t>31,</w:t>
      </w:r>
      <w:r>
        <w:rPr>
          <w:b/>
          <w:spacing w:val="-2"/>
          <w:sz w:val="22"/>
        </w:rPr>
        <w:t> </w:t>
      </w:r>
      <w:r>
        <w:rPr>
          <w:b/>
          <w:sz w:val="22"/>
        </w:rPr>
        <w:t>2019</w:t>
      </w:r>
      <w:r>
        <w:rPr>
          <w:b/>
          <w:spacing w:val="-2"/>
          <w:sz w:val="22"/>
        </w:rPr>
        <w:t> </w:t>
      </w:r>
      <w:r>
        <w:rPr>
          <w:sz w:val="22"/>
        </w:rPr>
        <w:t>and</w:t>
      </w:r>
      <w:r>
        <w:rPr>
          <w:spacing w:val="-5"/>
          <w:sz w:val="22"/>
        </w:rPr>
        <w:t> </w:t>
      </w:r>
      <w:r>
        <w:rPr>
          <w:sz w:val="22"/>
        </w:rPr>
        <w:t>shall</w:t>
      </w:r>
      <w:r>
        <w:rPr>
          <w:spacing w:val="-1"/>
          <w:sz w:val="22"/>
        </w:rPr>
        <w:t> </w:t>
      </w:r>
      <w:r>
        <w:rPr>
          <w:sz w:val="22"/>
        </w:rPr>
        <w:t>include the information detailed above for the period of </w:t>
      </w:r>
      <w:r>
        <w:rPr>
          <w:b/>
          <w:sz w:val="22"/>
        </w:rPr>
        <w:t>January 1 - December 31, 2018</w:t>
      </w:r>
    </w:p>
    <w:p>
      <w:pPr>
        <w:pStyle w:val="BodyText"/>
        <w:spacing w:before="6"/>
        <w:rPr>
          <w:b/>
          <w:sz w:val="25"/>
        </w:rPr>
      </w:pPr>
    </w:p>
    <w:p>
      <w:pPr>
        <w:spacing w:line="276" w:lineRule="auto" w:before="1"/>
        <w:ind w:left="1219" w:right="1219" w:firstLine="0"/>
        <w:jc w:val="left"/>
        <w:rPr>
          <w:sz w:val="22"/>
        </w:rPr>
      </w:pPr>
      <w:r>
        <w:rPr>
          <w:sz w:val="22"/>
        </w:rPr>
        <w:t>The</w:t>
      </w:r>
      <w:r>
        <w:rPr>
          <w:spacing w:val="-4"/>
          <w:sz w:val="22"/>
        </w:rPr>
        <w:t> </w:t>
      </w:r>
      <w:r>
        <w:rPr>
          <w:sz w:val="22"/>
        </w:rPr>
        <w:t>content</w:t>
      </w:r>
      <w:r>
        <w:rPr>
          <w:spacing w:val="-1"/>
          <w:sz w:val="22"/>
        </w:rPr>
        <w:t> </w:t>
      </w:r>
      <w:r>
        <w:rPr>
          <w:sz w:val="22"/>
        </w:rPr>
        <w:t>for</w:t>
      </w:r>
      <w:r>
        <w:rPr>
          <w:spacing w:val="-1"/>
          <w:sz w:val="22"/>
        </w:rPr>
        <w:t> </w:t>
      </w:r>
      <w:r>
        <w:rPr>
          <w:sz w:val="22"/>
        </w:rPr>
        <w:t>ACO</w:t>
      </w:r>
      <w:r>
        <w:rPr>
          <w:spacing w:val="-3"/>
          <w:sz w:val="22"/>
        </w:rPr>
        <w:t> </w:t>
      </w:r>
      <w:r>
        <w:rPr>
          <w:sz w:val="22"/>
        </w:rPr>
        <w:t>Progress</w:t>
      </w:r>
      <w:r>
        <w:rPr>
          <w:spacing w:val="-2"/>
          <w:sz w:val="22"/>
        </w:rPr>
        <w:t> </w:t>
      </w:r>
      <w:r>
        <w:rPr>
          <w:sz w:val="22"/>
        </w:rPr>
        <w:t>Reports</w:t>
      </w:r>
      <w:r>
        <w:rPr>
          <w:spacing w:val="-2"/>
          <w:sz w:val="22"/>
        </w:rPr>
        <w:t> </w:t>
      </w:r>
      <w:r>
        <w:rPr>
          <w:sz w:val="22"/>
        </w:rPr>
        <w:t>1</w:t>
      </w:r>
      <w:r>
        <w:rPr>
          <w:spacing w:val="-2"/>
          <w:sz w:val="22"/>
        </w:rPr>
        <w:t> </w:t>
      </w:r>
      <w:r>
        <w:rPr>
          <w:sz w:val="22"/>
        </w:rPr>
        <w:t>and</w:t>
      </w:r>
      <w:r>
        <w:rPr>
          <w:spacing w:val="-2"/>
          <w:sz w:val="22"/>
        </w:rPr>
        <w:t> </w:t>
      </w:r>
      <w:r>
        <w:rPr>
          <w:sz w:val="22"/>
        </w:rPr>
        <w:t>2</w:t>
      </w:r>
      <w:r>
        <w:rPr>
          <w:spacing w:val="-5"/>
          <w:sz w:val="22"/>
        </w:rPr>
        <w:t> </w:t>
      </w:r>
      <w:r>
        <w:rPr>
          <w:sz w:val="22"/>
        </w:rPr>
        <w:t>for</w:t>
      </w:r>
      <w:r>
        <w:rPr>
          <w:spacing w:val="-4"/>
          <w:sz w:val="22"/>
        </w:rPr>
        <w:t> </w:t>
      </w:r>
      <w:r>
        <w:rPr>
          <w:sz w:val="22"/>
        </w:rPr>
        <w:t>a</w:t>
      </w:r>
      <w:r>
        <w:rPr>
          <w:spacing w:val="-2"/>
          <w:sz w:val="22"/>
        </w:rPr>
        <w:t> </w:t>
      </w:r>
      <w:r>
        <w:rPr>
          <w:sz w:val="22"/>
        </w:rPr>
        <w:t>given</w:t>
      </w:r>
      <w:r>
        <w:rPr>
          <w:spacing w:val="-2"/>
          <w:sz w:val="22"/>
        </w:rPr>
        <w:t> </w:t>
      </w:r>
      <w:r>
        <w:rPr>
          <w:sz w:val="22"/>
        </w:rPr>
        <w:t>Budget</w:t>
      </w:r>
      <w:r>
        <w:rPr>
          <w:spacing w:val="-1"/>
          <w:sz w:val="22"/>
        </w:rPr>
        <w:t> </w:t>
      </w:r>
      <w:r>
        <w:rPr>
          <w:sz w:val="22"/>
        </w:rPr>
        <w:t>Period</w:t>
      </w:r>
      <w:r>
        <w:rPr>
          <w:spacing w:val="-2"/>
          <w:sz w:val="22"/>
        </w:rPr>
        <w:t> </w:t>
      </w:r>
      <w:r>
        <w:rPr>
          <w:sz w:val="22"/>
        </w:rPr>
        <w:t>may</w:t>
      </w:r>
      <w:r>
        <w:rPr>
          <w:spacing w:val="-5"/>
          <w:sz w:val="22"/>
        </w:rPr>
        <w:t> </w:t>
      </w:r>
      <w:r>
        <w:rPr>
          <w:sz w:val="22"/>
        </w:rPr>
        <w:t>differ,</w:t>
      </w:r>
      <w:r>
        <w:rPr>
          <w:spacing w:val="-2"/>
          <w:sz w:val="22"/>
        </w:rPr>
        <w:t> </w:t>
      </w:r>
      <w:r>
        <w:rPr>
          <w:sz w:val="22"/>
        </w:rPr>
        <w:t>as</w:t>
      </w:r>
      <w:r>
        <w:rPr>
          <w:spacing w:val="-2"/>
          <w:sz w:val="22"/>
        </w:rPr>
        <w:t> </w:t>
      </w:r>
      <w:r>
        <w:rPr>
          <w:sz w:val="22"/>
        </w:rPr>
        <w:t>Progress</w:t>
      </w:r>
      <w:r>
        <w:rPr>
          <w:spacing w:val="-2"/>
          <w:sz w:val="22"/>
        </w:rPr>
        <w:t> </w:t>
      </w:r>
      <w:r>
        <w:rPr>
          <w:sz w:val="22"/>
        </w:rPr>
        <w:t>Report 2 provides detailed information about the entire Budget Period, whereas Progress Report 1 only covers the first half of the Budget Period.</w:t>
      </w:r>
      <w:r>
        <w:rPr>
          <w:spacing w:val="40"/>
          <w:sz w:val="22"/>
        </w:rPr>
        <w:t> </w:t>
      </w:r>
      <w:r>
        <w:rPr>
          <w:sz w:val="22"/>
        </w:rPr>
        <w:t>In the event of a state of emergency declared by the federal or state government, due dates for reports shall be extended by at least a month, as determined by the State.</w:t>
      </w:r>
    </w:p>
    <w:p>
      <w:pPr>
        <w:pStyle w:val="BodyText"/>
        <w:spacing w:before="2"/>
        <w:rPr>
          <w:sz w:val="25"/>
        </w:rPr>
      </w:pPr>
    </w:p>
    <w:p>
      <w:pPr>
        <w:spacing w:line="276" w:lineRule="auto" w:before="1"/>
        <w:ind w:left="1219" w:right="1111" w:firstLine="0"/>
        <w:jc w:val="left"/>
        <w:rPr>
          <w:sz w:val="22"/>
        </w:rPr>
      </w:pPr>
      <w:r>
        <w:rPr>
          <w:sz w:val="22"/>
        </w:rPr>
        <w:t>For</w:t>
      </w:r>
      <w:r>
        <w:rPr>
          <w:spacing w:val="-1"/>
          <w:sz w:val="22"/>
        </w:rPr>
        <w:t> </w:t>
      </w:r>
      <w:r>
        <w:rPr>
          <w:sz w:val="22"/>
        </w:rPr>
        <w:t>CPs</w:t>
      </w:r>
      <w:r>
        <w:rPr>
          <w:spacing w:val="-2"/>
          <w:sz w:val="22"/>
        </w:rPr>
        <w:t> </w:t>
      </w:r>
      <w:r>
        <w:rPr>
          <w:sz w:val="22"/>
        </w:rPr>
        <w:t>and</w:t>
      </w:r>
      <w:r>
        <w:rPr>
          <w:spacing w:val="-2"/>
          <w:sz w:val="22"/>
        </w:rPr>
        <w:t> </w:t>
      </w:r>
      <w:r>
        <w:rPr>
          <w:sz w:val="22"/>
        </w:rPr>
        <w:t>CSAs,</w:t>
      </w:r>
      <w:r>
        <w:rPr>
          <w:spacing w:val="-2"/>
          <w:sz w:val="22"/>
        </w:rPr>
        <w:t> </w:t>
      </w:r>
      <w:r>
        <w:rPr>
          <w:sz w:val="22"/>
        </w:rPr>
        <w:t>semiannual</w:t>
      </w:r>
      <w:r>
        <w:rPr>
          <w:spacing w:val="-1"/>
          <w:sz w:val="22"/>
        </w:rPr>
        <w:t> </w:t>
      </w:r>
      <w:r>
        <w:rPr>
          <w:sz w:val="22"/>
        </w:rPr>
        <w:t>progress</w:t>
      </w:r>
      <w:r>
        <w:rPr>
          <w:spacing w:val="-2"/>
          <w:sz w:val="22"/>
        </w:rPr>
        <w:t> </w:t>
      </w:r>
      <w:r>
        <w:rPr>
          <w:sz w:val="22"/>
        </w:rPr>
        <w:t>reports</w:t>
      </w:r>
      <w:r>
        <w:rPr>
          <w:spacing w:val="-2"/>
          <w:sz w:val="22"/>
        </w:rPr>
        <w:t> </w:t>
      </w:r>
      <w:r>
        <w:rPr>
          <w:sz w:val="22"/>
        </w:rPr>
        <w:t>will</w:t>
      </w:r>
      <w:r>
        <w:rPr>
          <w:spacing w:val="-1"/>
          <w:sz w:val="22"/>
        </w:rPr>
        <w:t> </w:t>
      </w:r>
      <w:r>
        <w:rPr>
          <w:sz w:val="22"/>
        </w:rPr>
        <w:t>be</w:t>
      </w:r>
      <w:r>
        <w:rPr>
          <w:spacing w:val="-2"/>
          <w:sz w:val="22"/>
        </w:rPr>
        <w:t> </w:t>
      </w:r>
      <w:r>
        <w:rPr>
          <w:sz w:val="22"/>
        </w:rPr>
        <w:t>submitted</w:t>
      </w:r>
      <w:r>
        <w:rPr>
          <w:spacing w:val="-2"/>
          <w:sz w:val="22"/>
        </w:rPr>
        <w:t> </w:t>
      </w:r>
      <w:r>
        <w:rPr>
          <w:sz w:val="22"/>
        </w:rPr>
        <w:t>in</w:t>
      </w:r>
      <w:r>
        <w:rPr>
          <w:spacing w:val="-2"/>
          <w:sz w:val="22"/>
        </w:rPr>
        <w:t> </w:t>
      </w:r>
      <w:r>
        <w:rPr>
          <w:sz w:val="22"/>
        </w:rPr>
        <w:t>a</w:t>
      </w:r>
      <w:r>
        <w:rPr>
          <w:spacing w:val="-4"/>
          <w:sz w:val="22"/>
        </w:rPr>
        <w:t> </w:t>
      </w:r>
      <w:r>
        <w:rPr>
          <w:sz w:val="22"/>
        </w:rPr>
        <w:t>form</w:t>
      </w:r>
      <w:r>
        <w:rPr>
          <w:spacing w:val="-6"/>
          <w:sz w:val="22"/>
        </w:rPr>
        <w:t> </w:t>
      </w:r>
      <w:r>
        <w:rPr>
          <w:sz w:val="22"/>
        </w:rPr>
        <w:t>and</w:t>
      </w:r>
      <w:r>
        <w:rPr>
          <w:spacing w:val="-2"/>
          <w:sz w:val="22"/>
        </w:rPr>
        <w:t> </w:t>
      </w:r>
      <w:r>
        <w:rPr>
          <w:sz w:val="22"/>
        </w:rPr>
        <w:t>format</w:t>
      </w:r>
      <w:r>
        <w:rPr>
          <w:spacing w:val="-1"/>
          <w:sz w:val="22"/>
        </w:rPr>
        <w:t> </w:t>
      </w:r>
      <w:r>
        <w:rPr>
          <w:sz w:val="22"/>
        </w:rPr>
        <w:t>prescribed</w:t>
      </w:r>
      <w:r>
        <w:rPr>
          <w:spacing w:val="-5"/>
          <w:sz w:val="22"/>
        </w:rPr>
        <w:t> </w:t>
      </w:r>
      <w:r>
        <w:rPr>
          <w:sz w:val="22"/>
        </w:rPr>
        <w:t>by</w:t>
      </w:r>
      <w:r>
        <w:rPr>
          <w:spacing w:val="-5"/>
          <w:sz w:val="22"/>
        </w:rPr>
        <w:t> </w:t>
      </w:r>
      <w:r>
        <w:rPr>
          <w:sz w:val="22"/>
        </w:rPr>
        <w:t>the State, and may include:</w:t>
      </w:r>
    </w:p>
    <w:p>
      <w:pPr>
        <w:spacing w:after="0" w:line="276" w:lineRule="auto"/>
        <w:jc w:val="left"/>
        <w:rPr>
          <w:sz w:val="22"/>
        </w:rPr>
        <w:sectPr>
          <w:pgSz w:w="12240" w:h="15840"/>
          <w:pgMar w:header="0" w:footer="967" w:top="1380" w:bottom="1160" w:left="220" w:right="340"/>
        </w:sectPr>
      </w:pPr>
    </w:p>
    <w:p>
      <w:pPr>
        <w:pStyle w:val="ListParagraph"/>
        <w:numPr>
          <w:ilvl w:val="0"/>
          <w:numId w:val="106"/>
        </w:numPr>
        <w:tabs>
          <w:tab w:pos="1992" w:val="left" w:leader="none"/>
        </w:tabs>
        <w:spacing w:line="273" w:lineRule="auto" w:before="79" w:after="0"/>
        <w:ind w:left="1992" w:right="1513" w:hanging="361"/>
        <w:jc w:val="left"/>
        <w:rPr>
          <w:rFonts w:ascii="Symbol" w:hAnsi="Symbol"/>
          <w:sz w:val="22"/>
        </w:rPr>
      </w:pPr>
      <w:r>
        <w:rPr>
          <w:sz w:val="22"/>
        </w:rPr>
        <w:t>Descriptions</w:t>
      </w:r>
      <w:r>
        <w:rPr>
          <w:spacing w:val="-2"/>
          <w:sz w:val="22"/>
        </w:rPr>
        <w:t> </w:t>
      </w:r>
      <w:r>
        <w:rPr>
          <w:sz w:val="22"/>
        </w:rPr>
        <w:t>of</w:t>
      </w:r>
      <w:r>
        <w:rPr>
          <w:spacing w:val="-4"/>
          <w:sz w:val="22"/>
        </w:rPr>
        <w:t> </w:t>
      </w:r>
      <w:r>
        <w:rPr>
          <w:sz w:val="22"/>
        </w:rPr>
        <w:t>successes,</w:t>
      </w:r>
      <w:r>
        <w:rPr>
          <w:spacing w:val="-5"/>
          <w:sz w:val="22"/>
        </w:rPr>
        <w:t> </w:t>
      </w:r>
      <w:r>
        <w:rPr>
          <w:sz w:val="22"/>
        </w:rPr>
        <w:t>barriers,</w:t>
      </w:r>
      <w:r>
        <w:rPr>
          <w:spacing w:val="-5"/>
          <w:sz w:val="22"/>
        </w:rPr>
        <w:t> </w:t>
      </w:r>
      <w:r>
        <w:rPr>
          <w:sz w:val="22"/>
        </w:rPr>
        <w:t>challenges,</w:t>
      </w:r>
      <w:r>
        <w:rPr>
          <w:spacing w:val="-2"/>
          <w:sz w:val="22"/>
        </w:rPr>
        <w:t> </w:t>
      </w:r>
      <w:r>
        <w:rPr>
          <w:sz w:val="22"/>
        </w:rPr>
        <w:t>and</w:t>
      </w:r>
      <w:r>
        <w:rPr>
          <w:spacing w:val="-5"/>
          <w:sz w:val="22"/>
        </w:rPr>
        <w:t> </w:t>
      </w:r>
      <w:r>
        <w:rPr>
          <w:sz w:val="22"/>
        </w:rPr>
        <w:t>lessons</w:t>
      </w:r>
      <w:r>
        <w:rPr>
          <w:spacing w:val="-4"/>
          <w:sz w:val="22"/>
        </w:rPr>
        <w:t> </w:t>
      </w:r>
      <w:r>
        <w:rPr>
          <w:sz w:val="22"/>
        </w:rPr>
        <w:t>learned</w:t>
      </w:r>
      <w:r>
        <w:rPr>
          <w:spacing w:val="-5"/>
          <w:sz w:val="22"/>
        </w:rPr>
        <w:t> </w:t>
      </w:r>
      <w:r>
        <w:rPr>
          <w:sz w:val="22"/>
        </w:rPr>
        <w:t>regarding,</w:t>
      </w:r>
      <w:r>
        <w:rPr>
          <w:spacing w:val="-2"/>
          <w:sz w:val="22"/>
        </w:rPr>
        <w:t> </w:t>
      </w:r>
      <w:r>
        <w:rPr>
          <w:sz w:val="22"/>
        </w:rPr>
        <w:t>at</w:t>
      </w:r>
      <w:r>
        <w:rPr>
          <w:spacing w:val="-4"/>
          <w:sz w:val="22"/>
        </w:rPr>
        <w:t> </w:t>
      </w:r>
      <w:r>
        <w:rPr>
          <w:sz w:val="22"/>
        </w:rPr>
        <w:t>a</w:t>
      </w:r>
      <w:r>
        <w:rPr>
          <w:spacing w:val="-4"/>
          <w:sz w:val="22"/>
        </w:rPr>
        <w:t> </w:t>
      </w:r>
      <w:r>
        <w:rPr>
          <w:sz w:val="22"/>
        </w:rPr>
        <w:t>minimum, outreach, care coordination, and integration of care</w:t>
      </w:r>
    </w:p>
    <w:p>
      <w:pPr>
        <w:pStyle w:val="ListParagraph"/>
        <w:numPr>
          <w:ilvl w:val="0"/>
          <w:numId w:val="106"/>
        </w:numPr>
        <w:tabs>
          <w:tab w:pos="1993" w:val="left" w:leader="none"/>
        </w:tabs>
        <w:spacing w:line="240" w:lineRule="auto" w:before="2" w:after="0"/>
        <w:ind w:left="1993" w:right="0" w:hanging="360"/>
        <w:jc w:val="left"/>
        <w:rPr>
          <w:rFonts w:ascii="Symbol" w:hAnsi="Symbol"/>
          <w:sz w:val="22"/>
        </w:rPr>
      </w:pPr>
      <w:r>
        <w:rPr>
          <w:sz w:val="22"/>
        </w:rPr>
        <w:t>Summary</w:t>
      </w:r>
      <w:r>
        <w:rPr>
          <w:spacing w:val="-7"/>
          <w:sz w:val="22"/>
        </w:rPr>
        <w:t> </w:t>
      </w:r>
      <w:r>
        <w:rPr>
          <w:sz w:val="22"/>
        </w:rPr>
        <w:t>of</w:t>
      </w:r>
      <w:r>
        <w:rPr>
          <w:spacing w:val="-2"/>
          <w:sz w:val="22"/>
        </w:rPr>
        <w:t> </w:t>
      </w:r>
      <w:r>
        <w:rPr>
          <w:sz w:val="22"/>
        </w:rPr>
        <w:t>CP</w:t>
      </w:r>
      <w:r>
        <w:rPr>
          <w:spacing w:val="-5"/>
          <w:sz w:val="22"/>
        </w:rPr>
        <w:t> </w:t>
      </w:r>
      <w:r>
        <w:rPr>
          <w:sz w:val="22"/>
        </w:rPr>
        <w:t>care</w:t>
      </w:r>
      <w:r>
        <w:rPr>
          <w:spacing w:val="-4"/>
          <w:sz w:val="22"/>
        </w:rPr>
        <w:t> </w:t>
      </w:r>
      <w:r>
        <w:rPr>
          <w:sz w:val="22"/>
        </w:rPr>
        <w:t>coordination</w:t>
      </w:r>
      <w:r>
        <w:rPr>
          <w:spacing w:val="-3"/>
          <w:sz w:val="22"/>
        </w:rPr>
        <w:t> </w:t>
      </w:r>
      <w:r>
        <w:rPr>
          <w:sz w:val="22"/>
        </w:rPr>
        <w:t>supports</w:t>
      </w:r>
      <w:r>
        <w:rPr>
          <w:spacing w:val="-5"/>
          <w:sz w:val="22"/>
        </w:rPr>
        <w:t> </w:t>
      </w:r>
      <w:r>
        <w:rPr>
          <w:spacing w:val="-2"/>
          <w:sz w:val="22"/>
        </w:rPr>
        <w:t>activities</w:t>
      </w:r>
    </w:p>
    <w:p>
      <w:pPr>
        <w:pStyle w:val="ListParagraph"/>
        <w:numPr>
          <w:ilvl w:val="0"/>
          <w:numId w:val="106"/>
        </w:numPr>
        <w:tabs>
          <w:tab w:pos="1992" w:val="left" w:leader="none"/>
        </w:tabs>
        <w:spacing w:line="291" w:lineRule="exact" w:before="37" w:after="0"/>
        <w:ind w:left="1992" w:right="0" w:hanging="360"/>
        <w:jc w:val="left"/>
        <w:rPr>
          <w:rFonts w:ascii="Symbol" w:hAnsi="Symbol"/>
          <w:sz w:val="24"/>
        </w:rPr>
      </w:pPr>
      <w:r>
        <w:rPr>
          <w:sz w:val="22"/>
        </w:rPr>
        <w:t>Budget</w:t>
      </w:r>
      <w:r>
        <w:rPr>
          <w:spacing w:val="-4"/>
          <w:sz w:val="22"/>
        </w:rPr>
        <w:t> </w:t>
      </w:r>
      <w:r>
        <w:rPr>
          <w:sz w:val="22"/>
        </w:rPr>
        <w:t>expenditures</w:t>
      </w:r>
      <w:r>
        <w:rPr>
          <w:spacing w:val="-4"/>
          <w:sz w:val="22"/>
        </w:rPr>
        <w:t> </w:t>
      </w:r>
      <w:r>
        <w:rPr>
          <w:sz w:val="22"/>
        </w:rPr>
        <w:t>for</w:t>
      </w:r>
      <w:r>
        <w:rPr>
          <w:spacing w:val="-4"/>
          <w:sz w:val="22"/>
        </w:rPr>
        <w:t> </w:t>
      </w:r>
      <w:r>
        <w:rPr>
          <w:sz w:val="22"/>
        </w:rPr>
        <w:t>all</w:t>
      </w:r>
      <w:r>
        <w:rPr>
          <w:spacing w:val="-6"/>
          <w:sz w:val="22"/>
        </w:rPr>
        <w:t> </w:t>
      </w:r>
      <w:r>
        <w:rPr>
          <w:sz w:val="22"/>
        </w:rPr>
        <w:t>DSRIP</w:t>
      </w:r>
      <w:r>
        <w:rPr>
          <w:spacing w:val="-5"/>
          <w:sz w:val="22"/>
        </w:rPr>
        <w:t> </w:t>
      </w:r>
      <w:r>
        <w:rPr>
          <w:spacing w:val="-2"/>
          <w:sz w:val="22"/>
        </w:rPr>
        <w:t>funding</w:t>
      </w:r>
    </w:p>
    <w:p>
      <w:pPr>
        <w:pStyle w:val="ListParagraph"/>
        <w:numPr>
          <w:ilvl w:val="0"/>
          <w:numId w:val="106"/>
        </w:numPr>
        <w:tabs>
          <w:tab w:pos="1992" w:val="left" w:leader="none"/>
        </w:tabs>
        <w:spacing w:line="267" w:lineRule="exact" w:before="0" w:after="0"/>
        <w:ind w:left="1992" w:right="0" w:hanging="360"/>
        <w:jc w:val="left"/>
        <w:rPr>
          <w:rFonts w:ascii="Symbol" w:hAnsi="Symbol"/>
          <w:sz w:val="22"/>
        </w:rPr>
      </w:pPr>
      <w:r>
        <w:rPr>
          <w:sz w:val="22"/>
        </w:rPr>
        <w:t>Supporting</w:t>
      </w:r>
      <w:r>
        <w:rPr>
          <w:spacing w:val="-9"/>
          <w:sz w:val="22"/>
        </w:rPr>
        <w:t> </w:t>
      </w:r>
      <w:r>
        <w:rPr>
          <w:sz w:val="22"/>
        </w:rPr>
        <w:t>documentation</w:t>
      </w:r>
      <w:r>
        <w:rPr>
          <w:spacing w:val="-7"/>
          <w:sz w:val="22"/>
        </w:rPr>
        <w:t> </w:t>
      </w:r>
      <w:r>
        <w:rPr>
          <w:sz w:val="22"/>
        </w:rPr>
        <w:t>for</w:t>
      </w:r>
      <w:r>
        <w:rPr>
          <w:spacing w:val="-4"/>
          <w:sz w:val="22"/>
        </w:rPr>
        <w:t> </w:t>
      </w:r>
      <w:r>
        <w:rPr>
          <w:sz w:val="22"/>
        </w:rPr>
        <w:t>DSRIP</w:t>
      </w:r>
      <w:r>
        <w:rPr>
          <w:spacing w:val="-5"/>
          <w:sz w:val="22"/>
        </w:rPr>
        <w:t> </w:t>
      </w:r>
      <w:r>
        <w:rPr>
          <w:sz w:val="22"/>
        </w:rPr>
        <w:t>Performance</w:t>
      </w:r>
      <w:r>
        <w:rPr>
          <w:spacing w:val="-4"/>
          <w:sz w:val="22"/>
        </w:rPr>
        <w:t> </w:t>
      </w:r>
      <w:r>
        <w:rPr>
          <w:sz w:val="22"/>
        </w:rPr>
        <w:t>Enhancement</w:t>
      </w:r>
      <w:r>
        <w:rPr>
          <w:spacing w:val="-3"/>
          <w:sz w:val="22"/>
        </w:rPr>
        <w:t> </w:t>
      </w:r>
      <w:r>
        <w:rPr>
          <w:sz w:val="22"/>
        </w:rPr>
        <w:t>Plans</w:t>
      </w:r>
      <w:r>
        <w:rPr>
          <w:spacing w:val="-6"/>
          <w:sz w:val="22"/>
        </w:rPr>
        <w:t> </w:t>
      </w:r>
      <w:r>
        <w:rPr>
          <w:sz w:val="22"/>
        </w:rPr>
        <w:t>(if</w:t>
      </w:r>
      <w:r>
        <w:rPr>
          <w:spacing w:val="-3"/>
          <w:sz w:val="22"/>
        </w:rPr>
        <w:t> </w:t>
      </w:r>
      <w:r>
        <w:rPr>
          <w:spacing w:val="-2"/>
          <w:sz w:val="22"/>
        </w:rPr>
        <w:t>relevant)</w:t>
      </w:r>
    </w:p>
    <w:p>
      <w:pPr>
        <w:pStyle w:val="ListParagraph"/>
        <w:numPr>
          <w:ilvl w:val="0"/>
          <w:numId w:val="106"/>
        </w:numPr>
        <w:tabs>
          <w:tab w:pos="1992" w:val="left" w:leader="none"/>
        </w:tabs>
        <w:spacing w:line="240" w:lineRule="auto" w:before="38" w:after="0"/>
        <w:ind w:left="1992" w:right="0" w:hanging="360"/>
        <w:jc w:val="left"/>
        <w:rPr>
          <w:rFonts w:ascii="Symbol" w:hAnsi="Symbol"/>
          <w:sz w:val="22"/>
        </w:rPr>
      </w:pPr>
      <w:r>
        <w:rPr>
          <w:sz w:val="22"/>
        </w:rPr>
        <w:t>Additional</w:t>
      </w:r>
      <w:r>
        <w:rPr>
          <w:spacing w:val="-2"/>
          <w:sz w:val="22"/>
        </w:rPr>
        <w:t> </w:t>
      </w:r>
      <w:r>
        <w:rPr>
          <w:sz w:val="22"/>
        </w:rPr>
        <w:t>information</w:t>
      </w:r>
      <w:r>
        <w:rPr>
          <w:spacing w:val="-6"/>
          <w:sz w:val="22"/>
        </w:rPr>
        <w:t> </w:t>
      </w:r>
      <w:r>
        <w:rPr>
          <w:sz w:val="22"/>
        </w:rPr>
        <w:t>as</w:t>
      </w:r>
      <w:r>
        <w:rPr>
          <w:spacing w:val="-3"/>
          <w:sz w:val="22"/>
        </w:rPr>
        <w:t> </w:t>
      </w:r>
      <w:r>
        <w:rPr>
          <w:sz w:val="22"/>
        </w:rPr>
        <w:t>requested</w:t>
      </w:r>
      <w:r>
        <w:rPr>
          <w:spacing w:val="-6"/>
          <w:sz w:val="22"/>
        </w:rPr>
        <w:t> </w:t>
      </w:r>
      <w:r>
        <w:rPr>
          <w:sz w:val="22"/>
        </w:rPr>
        <w:t>by</w:t>
      </w:r>
      <w:r>
        <w:rPr>
          <w:spacing w:val="-5"/>
          <w:sz w:val="22"/>
        </w:rPr>
        <w:t> </w:t>
      </w:r>
      <w:r>
        <w:rPr>
          <w:spacing w:val="-4"/>
          <w:sz w:val="22"/>
        </w:rPr>
        <w:t>EOHHS</w:t>
      </w:r>
    </w:p>
    <w:p>
      <w:pPr>
        <w:pStyle w:val="BodyText"/>
        <w:spacing w:before="7"/>
        <w:rPr>
          <w:sz w:val="28"/>
        </w:rPr>
      </w:pPr>
    </w:p>
    <w:p>
      <w:pPr>
        <w:spacing w:line="276" w:lineRule="auto" w:before="0"/>
        <w:ind w:left="1220" w:right="1111" w:firstLine="0"/>
        <w:jc w:val="left"/>
        <w:rPr>
          <w:sz w:val="22"/>
        </w:rPr>
      </w:pPr>
      <w:r>
        <w:rPr>
          <w:sz w:val="22"/>
        </w:rPr>
        <w:t>The</w:t>
      </w:r>
      <w:r>
        <w:rPr>
          <w:spacing w:val="-4"/>
          <w:sz w:val="22"/>
        </w:rPr>
        <w:t> </w:t>
      </w:r>
      <w:r>
        <w:rPr>
          <w:sz w:val="22"/>
        </w:rPr>
        <w:t>below</w:t>
      </w:r>
      <w:r>
        <w:rPr>
          <w:spacing w:val="-3"/>
          <w:sz w:val="22"/>
        </w:rPr>
        <w:t> </w:t>
      </w:r>
      <w:r>
        <w:rPr>
          <w:sz w:val="22"/>
        </w:rPr>
        <w:t>provides</w:t>
      </w:r>
      <w:r>
        <w:rPr>
          <w:spacing w:val="-4"/>
          <w:sz w:val="22"/>
        </w:rPr>
        <w:t> </w:t>
      </w:r>
      <w:r>
        <w:rPr>
          <w:sz w:val="22"/>
        </w:rPr>
        <w:t>the</w:t>
      </w:r>
      <w:r>
        <w:rPr>
          <w:spacing w:val="-4"/>
          <w:sz w:val="22"/>
        </w:rPr>
        <w:t> </w:t>
      </w:r>
      <w:r>
        <w:rPr>
          <w:sz w:val="22"/>
        </w:rPr>
        <w:t>timelines</w:t>
      </w:r>
      <w:r>
        <w:rPr>
          <w:spacing w:val="-4"/>
          <w:sz w:val="22"/>
        </w:rPr>
        <w:t> </w:t>
      </w:r>
      <w:r>
        <w:rPr>
          <w:sz w:val="22"/>
        </w:rPr>
        <w:t>for</w:t>
      </w:r>
      <w:r>
        <w:rPr>
          <w:spacing w:val="-4"/>
          <w:sz w:val="22"/>
        </w:rPr>
        <w:t> </w:t>
      </w:r>
      <w:r>
        <w:rPr>
          <w:sz w:val="22"/>
        </w:rPr>
        <w:t>submission</w:t>
      </w:r>
      <w:r>
        <w:rPr>
          <w:spacing w:val="-2"/>
          <w:sz w:val="22"/>
        </w:rPr>
        <w:t> </w:t>
      </w:r>
      <w:r>
        <w:rPr>
          <w:sz w:val="22"/>
        </w:rPr>
        <w:t>of</w:t>
      </w:r>
      <w:r>
        <w:rPr>
          <w:spacing w:val="-1"/>
          <w:sz w:val="22"/>
        </w:rPr>
        <w:t> </w:t>
      </w:r>
      <w:r>
        <w:rPr>
          <w:sz w:val="22"/>
        </w:rPr>
        <w:t>such</w:t>
      </w:r>
      <w:r>
        <w:rPr>
          <w:spacing w:val="-2"/>
          <w:sz w:val="22"/>
        </w:rPr>
        <w:t> </w:t>
      </w:r>
      <w:r>
        <w:rPr>
          <w:sz w:val="22"/>
        </w:rPr>
        <w:t>reports</w:t>
      </w:r>
      <w:r>
        <w:rPr>
          <w:spacing w:val="-4"/>
          <w:sz w:val="22"/>
        </w:rPr>
        <w:t> </w:t>
      </w:r>
      <w:r>
        <w:rPr>
          <w:sz w:val="22"/>
        </w:rPr>
        <w:t>for</w:t>
      </w:r>
      <w:r>
        <w:rPr>
          <w:spacing w:val="-4"/>
          <w:sz w:val="22"/>
        </w:rPr>
        <w:t> </w:t>
      </w:r>
      <w:r>
        <w:rPr>
          <w:sz w:val="22"/>
        </w:rPr>
        <w:t>the</w:t>
      </w:r>
      <w:r>
        <w:rPr>
          <w:spacing w:val="-2"/>
          <w:sz w:val="22"/>
        </w:rPr>
        <w:t> </w:t>
      </w:r>
      <w:r>
        <w:rPr>
          <w:sz w:val="22"/>
        </w:rPr>
        <w:t>CPs/CSAs</w:t>
      </w:r>
      <w:r>
        <w:rPr>
          <w:spacing w:val="-2"/>
          <w:sz w:val="22"/>
        </w:rPr>
        <w:t> </w:t>
      </w:r>
      <w:r>
        <w:rPr>
          <w:sz w:val="22"/>
        </w:rPr>
        <w:t>Preparation</w:t>
      </w:r>
      <w:r>
        <w:rPr>
          <w:spacing w:val="-2"/>
          <w:sz w:val="22"/>
        </w:rPr>
        <w:t> </w:t>
      </w:r>
      <w:r>
        <w:rPr>
          <w:sz w:val="22"/>
        </w:rPr>
        <w:t>Budget Period as well as Budget Periods 1 and 2. Budget periods 3-5 will follow the same pattern as Budget Period 2 adjusted for the respective year</w:t>
      </w:r>
    </w:p>
    <w:p>
      <w:pPr>
        <w:pStyle w:val="BodyText"/>
        <w:spacing w:before="4"/>
        <w:rPr>
          <w:sz w:val="25"/>
        </w:rPr>
      </w:pPr>
    </w:p>
    <w:p>
      <w:pPr>
        <w:pStyle w:val="ListParagraph"/>
        <w:numPr>
          <w:ilvl w:val="1"/>
          <w:numId w:val="106"/>
        </w:numPr>
        <w:tabs>
          <w:tab w:pos="2298" w:val="left" w:leader="none"/>
          <w:tab w:pos="2300" w:val="left" w:leader="none"/>
        </w:tabs>
        <w:spacing w:line="237" w:lineRule="auto" w:before="0" w:after="0"/>
        <w:ind w:left="2300" w:right="1371" w:hanging="361"/>
        <w:jc w:val="both"/>
        <w:rPr>
          <w:rFonts w:ascii="Symbol" w:hAnsi="Symbol"/>
          <w:sz w:val="24"/>
        </w:rPr>
      </w:pPr>
      <w:r>
        <w:rPr>
          <w:b/>
          <w:sz w:val="22"/>
        </w:rPr>
        <w:t>Preparation</w:t>
      </w:r>
      <w:r>
        <w:rPr>
          <w:b/>
          <w:spacing w:val="-5"/>
          <w:sz w:val="22"/>
        </w:rPr>
        <w:t> </w:t>
      </w:r>
      <w:r>
        <w:rPr>
          <w:b/>
          <w:sz w:val="22"/>
        </w:rPr>
        <w:t>Budget</w:t>
      </w:r>
      <w:r>
        <w:rPr>
          <w:b/>
          <w:spacing w:val="-4"/>
          <w:sz w:val="22"/>
        </w:rPr>
        <w:t> </w:t>
      </w:r>
      <w:r>
        <w:rPr>
          <w:b/>
          <w:sz w:val="22"/>
        </w:rPr>
        <w:t>Period</w:t>
      </w:r>
      <w:r>
        <w:rPr>
          <w:b/>
          <w:spacing w:val="-3"/>
          <w:sz w:val="22"/>
        </w:rPr>
        <w:t> </w:t>
      </w:r>
      <w:r>
        <w:rPr>
          <w:b/>
          <w:sz w:val="22"/>
        </w:rPr>
        <w:t>Progress</w:t>
      </w:r>
      <w:r>
        <w:rPr>
          <w:b/>
          <w:spacing w:val="-2"/>
          <w:sz w:val="22"/>
        </w:rPr>
        <w:t> </w:t>
      </w:r>
      <w:r>
        <w:rPr>
          <w:b/>
          <w:sz w:val="22"/>
        </w:rPr>
        <w:t>Report</w:t>
      </w:r>
      <w:r>
        <w:rPr>
          <w:sz w:val="22"/>
        </w:rPr>
        <w:t>:</w:t>
      </w:r>
      <w:r>
        <w:rPr>
          <w:spacing w:val="-4"/>
          <w:sz w:val="22"/>
        </w:rPr>
        <w:t> </w:t>
      </w:r>
      <w:r>
        <w:rPr>
          <w:sz w:val="22"/>
        </w:rPr>
        <w:t>This</w:t>
      </w:r>
      <w:r>
        <w:rPr>
          <w:spacing w:val="-2"/>
          <w:sz w:val="22"/>
        </w:rPr>
        <w:t> </w:t>
      </w:r>
      <w:r>
        <w:rPr>
          <w:sz w:val="22"/>
        </w:rPr>
        <w:t>report</w:t>
      </w:r>
      <w:r>
        <w:rPr>
          <w:spacing w:val="-4"/>
          <w:sz w:val="22"/>
        </w:rPr>
        <w:t> </w:t>
      </w:r>
      <w:r>
        <w:rPr>
          <w:sz w:val="22"/>
        </w:rPr>
        <w:t>is</w:t>
      </w:r>
      <w:r>
        <w:rPr>
          <w:spacing w:val="-4"/>
          <w:sz w:val="22"/>
        </w:rPr>
        <w:t> </w:t>
      </w:r>
      <w:r>
        <w:rPr>
          <w:sz w:val="22"/>
        </w:rPr>
        <w:t>due</w:t>
      </w:r>
      <w:r>
        <w:rPr>
          <w:spacing w:val="-2"/>
          <w:sz w:val="22"/>
        </w:rPr>
        <w:t> </w:t>
      </w:r>
      <w:r>
        <w:rPr>
          <w:sz w:val="22"/>
        </w:rPr>
        <w:t>no</w:t>
      </w:r>
      <w:r>
        <w:rPr>
          <w:spacing w:val="-5"/>
          <w:sz w:val="22"/>
        </w:rPr>
        <w:t> </w:t>
      </w:r>
      <w:r>
        <w:rPr>
          <w:sz w:val="22"/>
        </w:rPr>
        <w:t>later</w:t>
      </w:r>
      <w:r>
        <w:rPr>
          <w:spacing w:val="-1"/>
          <w:sz w:val="22"/>
        </w:rPr>
        <w:t> </w:t>
      </w:r>
      <w:r>
        <w:rPr>
          <w:sz w:val="22"/>
        </w:rPr>
        <w:t>than</w:t>
      </w:r>
      <w:r>
        <w:rPr>
          <w:spacing w:val="-2"/>
          <w:sz w:val="22"/>
        </w:rPr>
        <w:t> </w:t>
      </w:r>
      <w:r>
        <w:rPr>
          <w:b/>
          <w:sz w:val="22"/>
        </w:rPr>
        <w:t>August</w:t>
      </w:r>
      <w:r>
        <w:rPr>
          <w:b/>
          <w:spacing w:val="-1"/>
          <w:sz w:val="22"/>
        </w:rPr>
        <w:t> </w:t>
      </w:r>
      <w:r>
        <w:rPr>
          <w:b/>
          <w:sz w:val="22"/>
        </w:rPr>
        <w:t>31</w:t>
      </w:r>
      <w:r>
        <w:rPr>
          <w:sz w:val="22"/>
        </w:rPr>
        <w:t>, </w:t>
      </w:r>
      <w:r>
        <w:rPr>
          <w:b/>
          <w:sz w:val="22"/>
        </w:rPr>
        <w:t>2018 </w:t>
      </w:r>
      <w:r>
        <w:rPr>
          <w:sz w:val="22"/>
        </w:rPr>
        <w:t>and</w:t>
      </w:r>
      <w:r>
        <w:rPr>
          <w:spacing w:val="-2"/>
          <w:sz w:val="22"/>
        </w:rPr>
        <w:t> </w:t>
      </w:r>
      <w:r>
        <w:rPr>
          <w:sz w:val="22"/>
        </w:rPr>
        <w:t>shall</w:t>
      </w:r>
      <w:r>
        <w:rPr>
          <w:spacing w:val="-1"/>
          <w:sz w:val="22"/>
        </w:rPr>
        <w:t> </w:t>
      </w:r>
      <w:r>
        <w:rPr>
          <w:sz w:val="22"/>
        </w:rPr>
        <w:t>include the information detailed above for the</w:t>
      </w:r>
      <w:r>
        <w:rPr>
          <w:spacing w:val="-2"/>
          <w:sz w:val="22"/>
        </w:rPr>
        <w:t> </w:t>
      </w:r>
      <w:r>
        <w:rPr>
          <w:b/>
          <w:sz w:val="22"/>
        </w:rPr>
        <w:t>Preparation</w:t>
      </w:r>
      <w:r>
        <w:rPr>
          <w:b/>
          <w:spacing w:val="-2"/>
          <w:sz w:val="22"/>
        </w:rPr>
        <w:t> </w:t>
      </w:r>
      <w:r>
        <w:rPr>
          <w:b/>
          <w:sz w:val="22"/>
        </w:rPr>
        <w:t>Budget</w:t>
      </w:r>
      <w:r>
        <w:rPr>
          <w:b/>
          <w:spacing w:val="-1"/>
          <w:sz w:val="22"/>
        </w:rPr>
        <w:t> </w:t>
      </w:r>
      <w:r>
        <w:rPr>
          <w:b/>
          <w:sz w:val="22"/>
        </w:rPr>
        <w:t>Period (October November 2017 – May 31, 2018)</w:t>
      </w:r>
    </w:p>
    <w:p>
      <w:pPr>
        <w:pStyle w:val="ListParagraph"/>
        <w:numPr>
          <w:ilvl w:val="1"/>
          <w:numId w:val="106"/>
        </w:numPr>
        <w:tabs>
          <w:tab w:pos="2300" w:val="left" w:leader="none"/>
        </w:tabs>
        <w:spacing w:line="235" w:lineRule="auto" w:before="5" w:after="0"/>
        <w:ind w:left="2300" w:right="1343" w:hanging="360"/>
        <w:jc w:val="both"/>
        <w:rPr>
          <w:rFonts w:ascii="Symbol" w:hAnsi="Symbol"/>
          <w:sz w:val="24"/>
        </w:rPr>
      </w:pPr>
      <w:r>
        <w:rPr>
          <w:b/>
          <w:sz w:val="22"/>
        </w:rPr>
        <w:t>BP1</w:t>
      </w:r>
      <w:r>
        <w:rPr>
          <w:b/>
          <w:spacing w:val="-5"/>
          <w:sz w:val="22"/>
        </w:rPr>
        <w:t> </w:t>
      </w:r>
      <w:r>
        <w:rPr>
          <w:b/>
          <w:sz w:val="22"/>
        </w:rPr>
        <w:t>Progress</w:t>
      </w:r>
      <w:r>
        <w:rPr>
          <w:b/>
          <w:spacing w:val="-2"/>
          <w:sz w:val="22"/>
        </w:rPr>
        <w:t> </w:t>
      </w:r>
      <w:r>
        <w:rPr>
          <w:b/>
          <w:sz w:val="22"/>
        </w:rPr>
        <w:t>Report</w:t>
      </w:r>
      <w:r>
        <w:rPr>
          <w:b/>
          <w:spacing w:val="-1"/>
          <w:sz w:val="22"/>
        </w:rPr>
        <w:t> </w:t>
      </w:r>
      <w:r>
        <w:rPr>
          <w:b/>
          <w:sz w:val="22"/>
        </w:rPr>
        <w:t>2:</w:t>
      </w:r>
      <w:r>
        <w:rPr>
          <w:b/>
          <w:spacing w:val="-4"/>
          <w:sz w:val="22"/>
        </w:rPr>
        <w:t> </w:t>
      </w:r>
      <w:r>
        <w:rPr>
          <w:sz w:val="22"/>
        </w:rPr>
        <w:t>This</w:t>
      </w:r>
      <w:r>
        <w:rPr>
          <w:spacing w:val="-4"/>
          <w:sz w:val="22"/>
        </w:rPr>
        <w:t> </w:t>
      </w:r>
      <w:r>
        <w:rPr>
          <w:sz w:val="22"/>
        </w:rPr>
        <w:t>report</w:t>
      </w:r>
      <w:r>
        <w:rPr>
          <w:spacing w:val="-4"/>
          <w:sz w:val="22"/>
        </w:rPr>
        <w:t> </w:t>
      </w:r>
      <w:r>
        <w:rPr>
          <w:sz w:val="22"/>
        </w:rPr>
        <w:t>is</w:t>
      </w:r>
      <w:r>
        <w:rPr>
          <w:spacing w:val="-2"/>
          <w:sz w:val="22"/>
        </w:rPr>
        <w:t> </w:t>
      </w:r>
      <w:r>
        <w:rPr>
          <w:sz w:val="22"/>
        </w:rPr>
        <w:t>due</w:t>
      </w:r>
      <w:r>
        <w:rPr>
          <w:spacing w:val="-2"/>
          <w:sz w:val="22"/>
        </w:rPr>
        <w:t> </w:t>
      </w:r>
      <w:r>
        <w:rPr>
          <w:sz w:val="22"/>
        </w:rPr>
        <w:t>no</w:t>
      </w:r>
      <w:r>
        <w:rPr>
          <w:spacing w:val="-5"/>
          <w:sz w:val="22"/>
        </w:rPr>
        <w:t> </w:t>
      </w:r>
      <w:r>
        <w:rPr>
          <w:sz w:val="22"/>
        </w:rPr>
        <w:t>later</w:t>
      </w:r>
      <w:r>
        <w:rPr>
          <w:spacing w:val="-1"/>
          <w:sz w:val="22"/>
        </w:rPr>
        <w:t> </w:t>
      </w:r>
      <w:r>
        <w:rPr>
          <w:sz w:val="22"/>
        </w:rPr>
        <w:t>than</w:t>
      </w:r>
      <w:r>
        <w:rPr>
          <w:spacing w:val="-2"/>
          <w:sz w:val="22"/>
        </w:rPr>
        <w:t> </w:t>
      </w:r>
      <w:r>
        <w:rPr>
          <w:b/>
          <w:sz w:val="22"/>
        </w:rPr>
        <w:t>March</w:t>
      </w:r>
      <w:r>
        <w:rPr>
          <w:b/>
          <w:spacing w:val="-3"/>
          <w:sz w:val="22"/>
        </w:rPr>
        <w:t> </w:t>
      </w:r>
      <w:r>
        <w:rPr>
          <w:b/>
          <w:sz w:val="22"/>
        </w:rPr>
        <w:t>31,</w:t>
      </w:r>
      <w:r>
        <w:rPr>
          <w:b/>
          <w:spacing w:val="-2"/>
          <w:sz w:val="22"/>
        </w:rPr>
        <w:t> </w:t>
      </w:r>
      <w:r>
        <w:rPr>
          <w:b/>
          <w:sz w:val="22"/>
        </w:rPr>
        <w:t>2019</w:t>
      </w:r>
      <w:r>
        <w:rPr>
          <w:b/>
          <w:spacing w:val="-2"/>
          <w:sz w:val="22"/>
        </w:rPr>
        <w:t> </w:t>
      </w:r>
      <w:r>
        <w:rPr>
          <w:sz w:val="22"/>
        </w:rPr>
        <w:t>and</w:t>
      </w:r>
      <w:r>
        <w:rPr>
          <w:spacing w:val="-5"/>
          <w:sz w:val="22"/>
        </w:rPr>
        <w:t> </w:t>
      </w:r>
      <w:r>
        <w:rPr>
          <w:sz w:val="22"/>
        </w:rPr>
        <w:t>shall</w:t>
      </w:r>
      <w:r>
        <w:rPr>
          <w:spacing w:val="-1"/>
          <w:sz w:val="22"/>
        </w:rPr>
        <w:t> </w:t>
      </w:r>
      <w:r>
        <w:rPr>
          <w:sz w:val="22"/>
        </w:rPr>
        <w:t>include the information detailed above for the period of </w:t>
      </w:r>
      <w:r>
        <w:rPr>
          <w:b/>
          <w:sz w:val="22"/>
        </w:rPr>
        <w:t>June 1, 2018 – December 31, 2018</w:t>
      </w:r>
    </w:p>
    <w:p>
      <w:pPr>
        <w:pStyle w:val="ListParagraph"/>
        <w:numPr>
          <w:ilvl w:val="1"/>
          <w:numId w:val="106"/>
        </w:numPr>
        <w:tabs>
          <w:tab w:pos="2298" w:val="left" w:leader="none"/>
          <w:tab w:pos="2300" w:val="left" w:leader="none"/>
        </w:tabs>
        <w:spacing w:line="273" w:lineRule="auto" w:before="2" w:after="0"/>
        <w:ind w:left="2300" w:right="1304" w:hanging="361"/>
        <w:jc w:val="both"/>
        <w:rPr>
          <w:rFonts w:ascii="Symbol" w:hAnsi="Symbol"/>
          <w:sz w:val="22"/>
        </w:rPr>
      </w:pPr>
      <w:r>
        <w:rPr>
          <w:b/>
          <w:sz w:val="22"/>
        </w:rPr>
        <w:t>BP2</w:t>
      </w:r>
      <w:r>
        <w:rPr>
          <w:b/>
          <w:spacing w:val="-5"/>
          <w:sz w:val="22"/>
        </w:rPr>
        <w:t> </w:t>
      </w:r>
      <w:r>
        <w:rPr>
          <w:b/>
          <w:sz w:val="22"/>
        </w:rPr>
        <w:t>Progress</w:t>
      </w:r>
      <w:r>
        <w:rPr>
          <w:b/>
          <w:spacing w:val="-2"/>
          <w:sz w:val="22"/>
        </w:rPr>
        <w:t> </w:t>
      </w:r>
      <w:r>
        <w:rPr>
          <w:b/>
          <w:sz w:val="22"/>
        </w:rPr>
        <w:t>Report</w:t>
      </w:r>
      <w:r>
        <w:rPr>
          <w:b/>
          <w:spacing w:val="-1"/>
          <w:sz w:val="22"/>
        </w:rPr>
        <w:t> </w:t>
      </w:r>
      <w:r>
        <w:rPr>
          <w:b/>
          <w:sz w:val="22"/>
        </w:rPr>
        <w:t>1:</w:t>
      </w:r>
      <w:r>
        <w:rPr>
          <w:b/>
          <w:spacing w:val="-4"/>
          <w:sz w:val="22"/>
        </w:rPr>
        <w:t> </w:t>
      </w:r>
      <w:r>
        <w:rPr>
          <w:sz w:val="22"/>
        </w:rPr>
        <w:t>This</w:t>
      </w:r>
      <w:r>
        <w:rPr>
          <w:spacing w:val="-4"/>
          <w:sz w:val="22"/>
        </w:rPr>
        <w:t> </w:t>
      </w:r>
      <w:r>
        <w:rPr>
          <w:sz w:val="22"/>
        </w:rPr>
        <w:t>report</w:t>
      </w:r>
      <w:r>
        <w:rPr>
          <w:spacing w:val="-4"/>
          <w:sz w:val="22"/>
        </w:rPr>
        <w:t> </w:t>
      </w:r>
      <w:r>
        <w:rPr>
          <w:sz w:val="22"/>
        </w:rPr>
        <w:t>is</w:t>
      </w:r>
      <w:r>
        <w:rPr>
          <w:spacing w:val="-2"/>
          <w:sz w:val="22"/>
        </w:rPr>
        <w:t> </w:t>
      </w:r>
      <w:r>
        <w:rPr>
          <w:sz w:val="22"/>
        </w:rPr>
        <w:t>due</w:t>
      </w:r>
      <w:r>
        <w:rPr>
          <w:spacing w:val="-2"/>
          <w:sz w:val="22"/>
        </w:rPr>
        <w:t> </w:t>
      </w:r>
      <w:r>
        <w:rPr>
          <w:sz w:val="22"/>
        </w:rPr>
        <w:t>no</w:t>
      </w:r>
      <w:r>
        <w:rPr>
          <w:spacing w:val="-5"/>
          <w:sz w:val="22"/>
        </w:rPr>
        <w:t> </w:t>
      </w:r>
      <w:r>
        <w:rPr>
          <w:sz w:val="22"/>
        </w:rPr>
        <w:t>later</w:t>
      </w:r>
      <w:r>
        <w:rPr>
          <w:spacing w:val="-1"/>
          <w:sz w:val="22"/>
        </w:rPr>
        <w:t> </w:t>
      </w:r>
      <w:r>
        <w:rPr>
          <w:sz w:val="22"/>
        </w:rPr>
        <w:t>than</w:t>
      </w:r>
      <w:r>
        <w:rPr>
          <w:spacing w:val="-2"/>
          <w:sz w:val="22"/>
        </w:rPr>
        <w:t> </w:t>
      </w:r>
      <w:r>
        <w:rPr>
          <w:b/>
          <w:sz w:val="22"/>
        </w:rPr>
        <w:t>August</w:t>
      </w:r>
      <w:r>
        <w:rPr>
          <w:b/>
          <w:spacing w:val="-1"/>
          <w:sz w:val="22"/>
        </w:rPr>
        <w:t> </w:t>
      </w:r>
      <w:r>
        <w:rPr>
          <w:b/>
          <w:sz w:val="22"/>
        </w:rPr>
        <w:t>31,</w:t>
      </w:r>
      <w:r>
        <w:rPr>
          <w:b/>
          <w:spacing w:val="-2"/>
          <w:sz w:val="22"/>
        </w:rPr>
        <w:t> </w:t>
      </w:r>
      <w:r>
        <w:rPr>
          <w:b/>
          <w:sz w:val="22"/>
        </w:rPr>
        <w:t>2019</w:t>
      </w:r>
      <w:r>
        <w:rPr>
          <w:b/>
          <w:spacing w:val="-5"/>
          <w:sz w:val="22"/>
        </w:rPr>
        <w:t> </w:t>
      </w:r>
      <w:r>
        <w:rPr>
          <w:sz w:val="22"/>
        </w:rPr>
        <w:t>and</w:t>
      </w:r>
      <w:r>
        <w:rPr>
          <w:spacing w:val="-2"/>
          <w:sz w:val="22"/>
        </w:rPr>
        <w:t> </w:t>
      </w:r>
      <w:r>
        <w:rPr>
          <w:sz w:val="22"/>
        </w:rPr>
        <w:t>shall</w:t>
      </w:r>
      <w:r>
        <w:rPr>
          <w:spacing w:val="-1"/>
          <w:sz w:val="22"/>
        </w:rPr>
        <w:t> </w:t>
      </w:r>
      <w:r>
        <w:rPr>
          <w:sz w:val="22"/>
        </w:rPr>
        <w:t>include the information detailed above for the period of </w:t>
      </w:r>
      <w:r>
        <w:rPr>
          <w:b/>
          <w:sz w:val="22"/>
        </w:rPr>
        <w:t>January 1 - June 30,</w:t>
      </w:r>
      <w:r>
        <w:rPr>
          <w:b/>
          <w:spacing w:val="-15"/>
          <w:sz w:val="22"/>
        </w:rPr>
        <w:t> </w:t>
      </w:r>
      <w:r>
        <w:rPr>
          <w:b/>
          <w:sz w:val="22"/>
        </w:rPr>
        <w:t>2019</w:t>
      </w:r>
    </w:p>
    <w:p>
      <w:pPr>
        <w:pStyle w:val="ListParagraph"/>
        <w:numPr>
          <w:ilvl w:val="1"/>
          <w:numId w:val="106"/>
        </w:numPr>
        <w:tabs>
          <w:tab w:pos="2298" w:val="left" w:leader="none"/>
          <w:tab w:pos="2300" w:val="left" w:leader="none"/>
        </w:tabs>
        <w:spacing w:line="278" w:lineRule="auto" w:before="2" w:after="0"/>
        <w:ind w:left="2300" w:right="1307" w:hanging="361"/>
        <w:jc w:val="both"/>
        <w:rPr>
          <w:rFonts w:ascii="Symbol" w:hAnsi="Symbol"/>
          <w:sz w:val="22"/>
        </w:rPr>
      </w:pPr>
      <w:r>
        <w:rPr>
          <w:b/>
          <w:sz w:val="22"/>
        </w:rPr>
        <w:t>BP2</w:t>
      </w:r>
      <w:r>
        <w:rPr>
          <w:b/>
          <w:spacing w:val="-4"/>
          <w:sz w:val="22"/>
        </w:rPr>
        <w:t> </w:t>
      </w:r>
      <w:r>
        <w:rPr>
          <w:b/>
          <w:sz w:val="22"/>
        </w:rPr>
        <w:t>Progress</w:t>
      </w:r>
      <w:r>
        <w:rPr>
          <w:b/>
          <w:spacing w:val="-1"/>
          <w:sz w:val="22"/>
        </w:rPr>
        <w:t> </w:t>
      </w:r>
      <w:r>
        <w:rPr>
          <w:b/>
          <w:sz w:val="22"/>
        </w:rPr>
        <w:t>Report 2:</w:t>
      </w:r>
      <w:r>
        <w:rPr>
          <w:b/>
          <w:spacing w:val="-3"/>
          <w:sz w:val="22"/>
        </w:rPr>
        <w:t> </w:t>
      </w:r>
      <w:r>
        <w:rPr>
          <w:sz w:val="22"/>
        </w:rPr>
        <w:t>This</w:t>
      </w:r>
      <w:r>
        <w:rPr>
          <w:spacing w:val="-3"/>
          <w:sz w:val="22"/>
        </w:rPr>
        <w:t> </w:t>
      </w:r>
      <w:r>
        <w:rPr>
          <w:sz w:val="22"/>
        </w:rPr>
        <w:t>report</w:t>
      </w:r>
      <w:r>
        <w:rPr>
          <w:spacing w:val="-3"/>
          <w:sz w:val="22"/>
        </w:rPr>
        <w:t> </w:t>
      </w:r>
      <w:r>
        <w:rPr>
          <w:sz w:val="22"/>
        </w:rPr>
        <w:t>is</w:t>
      </w:r>
      <w:r>
        <w:rPr>
          <w:spacing w:val="-1"/>
          <w:sz w:val="22"/>
        </w:rPr>
        <w:t> </w:t>
      </w:r>
      <w:r>
        <w:rPr>
          <w:sz w:val="22"/>
        </w:rPr>
        <w:t>due</w:t>
      </w:r>
      <w:r>
        <w:rPr>
          <w:spacing w:val="-1"/>
          <w:sz w:val="22"/>
        </w:rPr>
        <w:t> </w:t>
      </w:r>
      <w:r>
        <w:rPr>
          <w:sz w:val="22"/>
        </w:rPr>
        <w:t>no</w:t>
      </w:r>
      <w:r>
        <w:rPr>
          <w:spacing w:val="-4"/>
          <w:sz w:val="22"/>
        </w:rPr>
        <w:t> </w:t>
      </w:r>
      <w:r>
        <w:rPr>
          <w:sz w:val="22"/>
        </w:rPr>
        <w:t>later </w:t>
      </w:r>
      <w:r>
        <w:rPr>
          <w:sz w:val="24"/>
        </w:rPr>
        <w:t>than</w:t>
      </w:r>
      <w:r>
        <w:rPr>
          <w:spacing w:val="-6"/>
          <w:sz w:val="24"/>
        </w:rPr>
        <w:t> </w:t>
      </w:r>
      <w:r>
        <w:rPr>
          <w:b/>
          <w:sz w:val="22"/>
        </w:rPr>
        <w:t>March</w:t>
      </w:r>
      <w:r>
        <w:rPr>
          <w:b/>
          <w:spacing w:val="-2"/>
          <w:sz w:val="22"/>
        </w:rPr>
        <w:t> </w:t>
      </w:r>
      <w:r>
        <w:rPr>
          <w:b/>
          <w:sz w:val="22"/>
        </w:rPr>
        <w:t>31,</w:t>
      </w:r>
      <w:r>
        <w:rPr>
          <w:b/>
          <w:spacing w:val="-4"/>
          <w:sz w:val="22"/>
        </w:rPr>
        <w:t> </w:t>
      </w:r>
      <w:r>
        <w:rPr>
          <w:b/>
          <w:sz w:val="22"/>
        </w:rPr>
        <w:t>2020</w:t>
      </w:r>
      <w:r>
        <w:rPr>
          <w:b/>
          <w:spacing w:val="-4"/>
          <w:sz w:val="22"/>
        </w:rPr>
        <w:t> </w:t>
      </w:r>
      <w:r>
        <w:rPr>
          <w:sz w:val="22"/>
        </w:rPr>
        <w:t>and</w:t>
      </w:r>
      <w:r>
        <w:rPr>
          <w:spacing w:val="-1"/>
          <w:sz w:val="22"/>
        </w:rPr>
        <w:t> </w:t>
      </w:r>
      <w:r>
        <w:rPr>
          <w:sz w:val="22"/>
        </w:rPr>
        <w:t>shall</w:t>
      </w:r>
      <w:r>
        <w:rPr>
          <w:spacing w:val="-3"/>
          <w:sz w:val="22"/>
        </w:rPr>
        <w:t> </w:t>
      </w:r>
      <w:r>
        <w:rPr>
          <w:sz w:val="22"/>
        </w:rPr>
        <w:t>include the information detailed above for the period of </w:t>
      </w:r>
      <w:r>
        <w:rPr>
          <w:b/>
          <w:sz w:val="22"/>
        </w:rPr>
        <w:t>January 1 - December 31, 2019</w:t>
      </w:r>
    </w:p>
    <w:p>
      <w:pPr>
        <w:pStyle w:val="BodyText"/>
        <w:rPr>
          <w:b/>
          <w:sz w:val="25"/>
        </w:rPr>
      </w:pPr>
    </w:p>
    <w:p>
      <w:pPr>
        <w:spacing w:line="276" w:lineRule="auto" w:before="1"/>
        <w:ind w:left="1220" w:right="1111" w:firstLine="0"/>
        <w:jc w:val="left"/>
        <w:rPr>
          <w:sz w:val="22"/>
        </w:rPr>
      </w:pPr>
      <w:r>
        <w:rPr>
          <w:sz w:val="22"/>
        </w:rPr>
        <w:t>The content for CP or CSA Progress Reports 1 and 2 for a given Budget Period may differ, as Progress Report 2 provides detailed information about the entire Budget Period, whereas Progress Report 1 only covers</w:t>
      </w:r>
      <w:r>
        <w:rPr>
          <w:spacing w:val="-2"/>
          <w:sz w:val="22"/>
        </w:rPr>
        <w:t> </w:t>
      </w:r>
      <w:r>
        <w:rPr>
          <w:sz w:val="22"/>
        </w:rPr>
        <w:t>the</w:t>
      </w:r>
      <w:r>
        <w:rPr>
          <w:spacing w:val="-2"/>
          <w:sz w:val="22"/>
        </w:rPr>
        <w:t> </w:t>
      </w:r>
      <w:r>
        <w:rPr>
          <w:sz w:val="22"/>
        </w:rPr>
        <w:t>first</w:t>
      </w:r>
      <w:r>
        <w:rPr>
          <w:spacing w:val="-1"/>
          <w:sz w:val="22"/>
        </w:rPr>
        <w:t> </w:t>
      </w:r>
      <w:r>
        <w:rPr>
          <w:sz w:val="22"/>
        </w:rPr>
        <w:t>half</w:t>
      </w:r>
      <w:r>
        <w:rPr>
          <w:spacing w:val="-1"/>
          <w:sz w:val="22"/>
        </w:rPr>
        <w:t> </w:t>
      </w:r>
      <w:r>
        <w:rPr>
          <w:sz w:val="22"/>
        </w:rPr>
        <w:t>of</w:t>
      </w:r>
      <w:r>
        <w:rPr>
          <w:spacing w:val="-1"/>
          <w:sz w:val="22"/>
        </w:rPr>
        <w:t> </w:t>
      </w:r>
      <w:r>
        <w:rPr>
          <w:sz w:val="22"/>
        </w:rPr>
        <w:t>the</w:t>
      </w:r>
      <w:r>
        <w:rPr>
          <w:spacing w:val="-3"/>
          <w:sz w:val="22"/>
        </w:rPr>
        <w:t> </w:t>
      </w:r>
      <w:r>
        <w:rPr>
          <w:sz w:val="22"/>
        </w:rPr>
        <w:t>Budget</w:t>
      </w:r>
      <w:r>
        <w:rPr>
          <w:spacing w:val="-1"/>
          <w:sz w:val="22"/>
        </w:rPr>
        <w:t> </w:t>
      </w:r>
      <w:r>
        <w:rPr>
          <w:sz w:val="22"/>
        </w:rPr>
        <w:t>Period.</w:t>
      </w:r>
      <w:r>
        <w:rPr>
          <w:spacing w:val="40"/>
          <w:sz w:val="22"/>
        </w:rPr>
        <w:t> </w:t>
      </w:r>
      <w:r>
        <w:rPr>
          <w:sz w:val="22"/>
        </w:rPr>
        <w:t>In</w:t>
      </w:r>
      <w:r>
        <w:rPr>
          <w:spacing w:val="-2"/>
          <w:sz w:val="22"/>
        </w:rPr>
        <w:t> </w:t>
      </w:r>
      <w:r>
        <w:rPr>
          <w:sz w:val="22"/>
        </w:rPr>
        <w:t>the</w:t>
      </w:r>
      <w:r>
        <w:rPr>
          <w:spacing w:val="-2"/>
          <w:sz w:val="22"/>
        </w:rPr>
        <w:t> </w:t>
      </w:r>
      <w:r>
        <w:rPr>
          <w:sz w:val="22"/>
        </w:rPr>
        <w:t>event</w:t>
      </w:r>
      <w:r>
        <w:rPr>
          <w:spacing w:val="-1"/>
          <w:sz w:val="22"/>
        </w:rPr>
        <w:t> </w:t>
      </w:r>
      <w:r>
        <w:rPr>
          <w:sz w:val="22"/>
        </w:rPr>
        <w:t>of</w:t>
      </w:r>
      <w:r>
        <w:rPr>
          <w:spacing w:val="-3"/>
          <w:sz w:val="22"/>
        </w:rPr>
        <w:t> </w:t>
      </w:r>
      <w:r>
        <w:rPr>
          <w:sz w:val="22"/>
        </w:rPr>
        <w:t>a</w:t>
      </w:r>
      <w:r>
        <w:rPr>
          <w:spacing w:val="-2"/>
          <w:sz w:val="22"/>
        </w:rPr>
        <w:t> </w:t>
      </w:r>
      <w:r>
        <w:rPr>
          <w:sz w:val="22"/>
        </w:rPr>
        <w:t>state</w:t>
      </w:r>
      <w:r>
        <w:rPr>
          <w:spacing w:val="-2"/>
          <w:sz w:val="22"/>
        </w:rPr>
        <w:t> </w:t>
      </w:r>
      <w:r>
        <w:rPr>
          <w:sz w:val="22"/>
        </w:rPr>
        <w:t>of</w:t>
      </w:r>
      <w:r>
        <w:rPr>
          <w:spacing w:val="-3"/>
          <w:sz w:val="22"/>
        </w:rPr>
        <w:t> </w:t>
      </w:r>
      <w:r>
        <w:rPr>
          <w:sz w:val="22"/>
        </w:rPr>
        <w:t>emergency</w:t>
      </w:r>
      <w:r>
        <w:rPr>
          <w:spacing w:val="-4"/>
          <w:sz w:val="22"/>
        </w:rPr>
        <w:t> </w:t>
      </w:r>
      <w:r>
        <w:rPr>
          <w:sz w:val="22"/>
        </w:rPr>
        <w:t>declared</w:t>
      </w:r>
      <w:r>
        <w:rPr>
          <w:spacing w:val="-2"/>
          <w:sz w:val="22"/>
        </w:rPr>
        <w:t> </w:t>
      </w:r>
      <w:r>
        <w:rPr>
          <w:sz w:val="22"/>
        </w:rPr>
        <w:t>by</w:t>
      </w:r>
      <w:r>
        <w:rPr>
          <w:spacing w:val="-4"/>
          <w:sz w:val="22"/>
        </w:rPr>
        <w:t> </w:t>
      </w:r>
      <w:r>
        <w:rPr>
          <w:sz w:val="22"/>
        </w:rPr>
        <w:t>the</w:t>
      </w:r>
      <w:r>
        <w:rPr>
          <w:spacing w:val="-2"/>
          <w:sz w:val="22"/>
        </w:rPr>
        <w:t> </w:t>
      </w:r>
      <w:r>
        <w:rPr>
          <w:sz w:val="22"/>
        </w:rPr>
        <w:t>federal</w:t>
      </w:r>
      <w:r>
        <w:rPr>
          <w:spacing w:val="-1"/>
          <w:sz w:val="22"/>
        </w:rPr>
        <w:t> </w:t>
      </w:r>
      <w:r>
        <w:rPr>
          <w:sz w:val="22"/>
        </w:rPr>
        <w:t>or state</w:t>
      </w:r>
      <w:r>
        <w:rPr>
          <w:spacing w:val="-3"/>
          <w:sz w:val="22"/>
        </w:rPr>
        <w:t> </w:t>
      </w:r>
      <w:r>
        <w:rPr>
          <w:sz w:val="22"/>
        </w:rPr>
        <w:t>government,</w:t>
      </w:r>
      <w:r>
        <w:rPr>
          <w:spacing w:val="-2"/>
          <w:sz w:val="22"/>
        </w:rPr>
        <w:t> </w:t>
      </w:r>
      <w:r>
        <w:rPr>
          <w:sz w:val="22"/>
        </w:rPr>
        <w:t>due</w:t>
      </w:r>
      <w:r>
        <w:rPr>
          <w:spacing w:val="-3"/>
          <w:sz w:val="22"/>
        </w:rPr>
        <w:t> </w:t>
      </w:r>
      <w:r>
        <w:rPr>
          <w:sz w:val="22"/>
        </w:rPr>
        <w:t>dates</w:t>
      </w:r>
      <w:r>
        <w:rPr>
          <w:spacing w:val="-4"/>
          <w:sz w:val="22"/>
        </w:rPr>
        <w:t> </w:t>
      </w:r>
      <w:r>
        <w:rPr>
          <w:sz w:val="22"/>
        </w:rPr>
        <w:t>for</w:t>
      </w:r>
      <w:r>
        <w:rPr>
          <w:spacing w:val="-4"/>
          <w:sz w:val="22"/>
        </w:rPr>
        <w:t> </w:t>
      </w:r>
      <w:r>
        <w:rPr>
          <w:sz w:val="22"/>
        </w:rPr>
        <w:t>reports</w:t>
      </w:r>
      <w:r>
        <w:rPr>
          <w:spacing w:val="-3"/>
          <w:sz w:val="22"/>
        </w:rPr>
        <w:t> </w:t>
      </w:r>
      <w:r>
        <w:rPr>
          <w:sz w:val="22"/>
        </w:rPr>
        <w:t>shall</w:t>
      </w:r>
      <w:r>
        <w:rPr>
          <w:spacing w:val="-1"/>
          <w:sz w:val="22"/>
        </w:rPr>
        <w:t> </w:t>
      </w:r>
      <w:r>
        <w:rPr>
          <w:sz w:val="22"/>
        </w:rPr>
        <w:t>be</w:t>
      </w:r>
      <w:r>
        <w:rPr>
          <w:spacing w:val="-5"/>
          <w:sz w:val="22"/>
        </w:rPr>
        <w:t> </w:t>
      </w:r>
      <w:r>
        <w:rPr>
          <w:sz w:val="22"/>
        </w:rPr>
        <w:t>extended</w:t>
      </w:r>
      <w:r>
        <w:rPr>
          <w:spacing w:val="-2"/>
          <w:sz w:val="22"/>
        </w:rPr>
        <w:t> </w:t>
      </w:r>
      <w:r>
        <w:rPr>
          <w:sz w:val="22"/>
        </w:rPr>
        <w:t>by</w:t>
      </w:r>
      <w:r>
        <w:rPr>
          <w:spacing w:val="-5"/>
          <w:sz w:val="22"/>
        </w:rPr>
        <w:t> </w:t>
      </w:r>
      <w:r>
        <w:rPr>
          <w:sz w:val="22"/>
        </w:rPr>
        <w:t>at</w:t>
      </w:r>
      <w:r>
        <w:rPr>
          <w:spacing w:val="-2"/>
          <w:sz w:val="22"/>
        </w:rPr>
        <w:t> </w:t>
      </w:r>
      <w:r>
        <w:rPr>
          <w:sz w:val="22"/>
        </w:rPr>
        <w:t>least</w:t>
      </w:r>
      <w:r>
        <w:rPr>
          <w:spacing w:val="-1"/>
          <w:sz w:val="22"/>
        </w:rPr>
        <w:t> </w:t>
      </w:r>
      <w:r>
        <w:rPr>
          <w:sz w:val="22"/>
        </w:rPr>
        <w:t>a</w:t>
      </w:r>
      <w:r>
        <w:rPr>
          <w:spacing w:val="-3"/>
          <w:sz w:val="22"/>
        </w:rPr>
        <w:t> </w:t>
      </w:r>
      <w:r>
        <w:rPr>
          <w:sz w:val="22"/>
        </w:rPr>
        <w:t>month,</w:t>
      </w:r>
      <w:r>
        <w:rPr>
          <w:spacing w:val="-2"/>
          <w:sz w:val="22"/>
        </w:rPr>
        <w:t> </w:t>
      </w:r>
      <w:r>
        <w:rPr>
          <w:sz w:val="22"/>
        </w:rPr>
        <w:t>as</w:t>
      </w:r>
      <w:r>
        <w:rPr>
          <w:spacing w:val="-2"/>
          <w:sz w:val="22"/>
        </w:rPr>
        <w:t> </w:t>
      </w:r>
      <w:r>
        <w:rPr>
          <w:sz w:val="22"/>
        </w:rPr>
        <w:t>determined</w:t>
      </w:r>
      <w:r>
        <w:rPr>
          <w:spacing w:val="-3"/>
          <w:sz w:val="22"/>
        </w:rPr>
        <w:t> </w:t>
      </w:r>
      <w:r>
        <w:rPr>
          <w:sz w:val="22"/>
        </w:rPr>
        <w:t>by</w:t>
      </w:r>
      <w:r>
        <w:rPr>
          <w:spacing w:val="-5"/>
          <w:sz w:val="22"/>
        </w:rPr>
        <w:t> </w:t>
      </w:r>
      <w:r>
        <w:rPr>
          <w:sz w:val="22"/>
        </w:rPr>
        <w:t>the</w:t>
      </w:r>
      <w:r>
        <w:rPr>
          <w:spacing w:val="-2"/>
          <w:sz w:val="22"/>
        </w:rPr>
        <w:t> State.</w:t>
      </w:r>
    </w:p>
    <w:p>
      <w:pPr>
        <w:pStyle w:val="ListParagraph"/>
        <w:numPr>
          <w:ilvl w:val="2"/>
          <w:numId w:val="77"/>
        </w:numPr>
        <w:tabs>
          <w:tab w:pos="1940" w:val="left" w:leader="none"/>
        </w:tabs>
        <w:spacing w:line="252" w:lineRule="exact" w:before="196" w:after="0"/>
        <w:ind w:left="1940" w:right="0" w:hanging="720"/>
        <w:jc w:val="left"/>
        <w:rPr>
          <w:b/>
          <w:color w:val="4471C4"/>
          <w:sz w:val="22"/>
        </w:rPr>
      </w:pPr>
      <w:bookmarkStart w:name="5.5.2 Review and Approval of Semiannual " w:id="1442"/>
      <w:bookmarkEnd w:id="1442"/>
      <w:r>
        <w:rPr/>
      </w:r>
      <w:bookmarkStart w:name="_bookmark97" w:id="1443"/>
      <w:bookmarkEnd w:id="1443"/>
      <w:r>
        <w:rPr/>
      </w:r>
      <w:r>
        <w:rPr>
          <w:b/>
          <w:color w:val="4471C4"/>
          <w:sz w:val="22"/>
        </w:rPr>
        <w:t>Review</w:t>
      </w:r>
      <w:r>
        <w:rPr>
          <w:b/>
          <w:color w:val="4471C4"/>
          <w:spacing w:val="-4"/>
          <w:sz w:val="22"/>
        </w:rPr>
        <w:t> </w:t>
      </w:r>
      <w:r>
        <w:rPr>
          <w:b/>
          <w:color w:val="4471C4"/>
          <w:sz w:val="22"/>
        </w:rPr>
        <w:t>and</w:t>
      </w:r>
      <w:r>
        <w:rPr>
          <w:b/>
          <w:color w:val="4471C4"/>
          <w:spacing w:val="-5"/>
          <w:sz w:val="22"/>
        </w:rPr>
        <w:t> </w:t>
      </w:r>
      <w:r>
        <w:rPr>
          <w:b/>
          <w:color w:val="4471C4"/>
          <w:sz w:val="22"/>
        </w:rPr>
        <w:t>Approval</w:t>
      </w:r>
      <w:r>
        <w:rPr>
          <w:b/>
          <w:color w:val="4471C4"/>
          <w:spacing w:val="-6"/>
          <w:sz w:val="22"/>
        </w:rPr>
        <w:t> </w:t>
      </w:r>
      <w:r>
        <w:rPr>
          <w:b/>
          <w:color w:val="4471C4"/>
          <w:sz w:val="22"/>
        </w:rPr>
        <w:t>of</w:t>
      </w:r>
      <w:r>
        <w:rPr>
          <w:b/>
          <w:color w:val="4471C4"/>
          <w:spacing w:val="-3"/>
          <w:sz w:val="22"/>
        </w:rPr>
        <w:t> </w:t>
      </w:r>
      <w:r>
        <w:rPr>
          <w:b/>
          <w:color w:val="4471C4"/>
          <w:sz w:val="22"/>
        </w:rPr>
        <w:t>Semiannual</w:t>
      </w:r>
      <w:r>
        <w:rPr>
          <w:b/>
          <w:color w:val="4471C4"/>
          <w:spacing w:val="-6"/>
          <w:sz w:val="22"/>
        </w:rPr>
        <w:t> </w:t>
      </w:r>
      <w:r>
        <w:rPr>
          <w:b/>
          <w:color w:val="4471C4"/>
          <w:sz w:val="22"/>
        </w:rPr>
        <w:t>Progress</w:t>
      </w:r>
      <w:r>
        <w:rPr>
          <w:b/>
          <w:color w:val="4471C4"/>
          <w:spacing w:val="-4"/>
          <w:sz w:val="22"/>
        </w:rPr>
        <w:t> </w:t>
      </w:r>
      <w:r>
        <w:rPr>
          <w:b/>
          <w:color w:val="4471C4"/>
          <w:spacing w:val="-2"/>
          <w:sz w:val="22"/>
        </w:rPr>
        <w:t>Reports</w:t>
      </w:r>
    </w:p>
    <w:p>
      <w:pPr>
        <w:spacing w:before="0"/>
        <w:ind w:left="1220" w:right="1111" w:firstLine="0"/>
        <w:jc w:val="left"/>
        <w:rPr>
          <w:sz w:val="22"/>
        </w:rPr>
      </w:pPr>
      <w:r>
        <w:rPr>
          <w:sz w:val="22"/>
        </w:rPr>
        <w:t>The</w:t>
      </w:r>
      <w:r>
        <w:rPr>
          <w:spacing w:val="-4"/>
          <w:sz w:val="22"/>
        </w:rPr>
        <w:t> </w:t>
      </w:r>
      <w:r>
        <w:rPr>
          <w:sz w:val="22"/>
        </w:rPr>
        <w:t>State</w:t>
      </w:r>
      <w:r>
        <w:rPr>
          <w:spacing w:val="-4"/>
          <w:sz w:val="22"/>
        </w:rPr>
        <w:t> </w:t>
      </w:r>
      <w:r>
        <w:rPr>
          <w:sz w:val="22"/>
        </w:rPr>
        <w:t>and</w:t>
      </w:r>
      <w:r>
        <w:rPr>
          <w:spacing w:val="-5"/>
          <w:sz w:val="22"/>
        </w:rPr>
        <w:t> </w:t>
      </w:r>
      <w:r>
        <w:rPr>
          <w:sz w:val="22"/>
        </w:rPr>
        <w:t>the</w:t>
      </w:r>
      <w:r>
        <w:rPr>
          <w:spacing w:val="-2"/>
          <w:sz w:val="22"/>
        </w:rPr>
        <w:t> </w:t>
      </w:r>
      <w:r>
        <w:rPr>
          <w:sz w:val="22"/>
        </w:rPr>
        <w:t>Independent</w:t>
      </w:r>
      <w:r>
        <w:rPr>
          <w:spacing w:val="-1"/>
          <w:sz w:val="22"/>
        </w:rPr>
        <w:t> </w:t>
      </w:r>
      <w:r>
        <w:rPr>
          <w:sz w:val="22"/>
        </w:rPr>
        <w:t>Assessor</w:t>
      </w:r>
      <w:r>
        <w:rPr>
          <w:spacing w:val="-1"/>
          <w:sz w:val="22"/>
        </w:rPr>
        <w:t> </w:t>
      </w:r>
      <w:r>
        <w:rPr>
          <w:sz w:val="22"/>
        </w:rPr>
        <w:t>will</w:t>
      </w:r>
      <w:r>
        <w:rPr>
          <w:spacing w:val="-1"/>
          <w:sz w:val="22"/>
        </w:rPr>
        <w:t> </w:t>
      </w:r>
      <w:r>
        <w:rPr>
          <w:sz w:val="22"/>
        </w:rPr>
        <w:t>review</w:t>
      </w:r>
      <w:r>
        <w:rPr>
          <w:spacing w:val="-6"/>
          <w:sz w:val="22"/>
        </w:rPr>
        <w:t> </w:t>
      </w:r>
      <w:r>
        <w:rPr>
          <w:sz w:val="22"/>
        </w:rPr>
        <w:t>the</w:t>
      </w:r>
      <w:r>
        <w:rPr>
          <w:spacing w:val="-2"/>
          <w:sz w:val="22"/>
        </w:rPr>
        <w:t> </w:t>
      </w:r>
      <w:r>
        <w:rPr>
          <w:sz w:val="22"/>
        </w:rPr>
        <w:t>semiannual</w:t>
      </w:r>
      <w:r>
        <w:rPr>
          <w:spacing w:val="-1"/>
          <w:sz w:val="22"/>
        </w:rPr>
        <w:t> </w:t>
      </w:r>
      <w:r>
        <w:rPr>
          <w:sz w:val="22"/>
        </w:rPr>
        <w:t>progress</w:t>
      </w:r>
      <w:r>
        <w:rPr>
          <w:spacing w:val="-4"/>
          <w:sz w:val="22"/>
        </w:rPr>
        <w:t> </w:t>
      </w:r>
      <w:r>
        <w:rPr>
          <w:sz w:val="22"/>
        </w:rPr>
        <w:t>reports</w:t>
      </w:r>
      <w:r>
        <w:rPr>
          <w:spacing w:val="-4"/>
          <w:sz w:val="22"/>
        </w:rPr>
        <w:t> </w:t>
      </w:r>
      <w:r>
        <w:rPr>
          <w:sz w:val="22"/>
        </w:rPr>
        <w:t>(see</w:t>
      </w:r>
      <w:r>
        <w:rPr>
          <w:spacing w:val="-2"/>
          <w:sz w:val="22"/>
        </w:rPr>
        <w:t> </w:t>
      </w:r>
      <w:r>
        <w:rPr>
          <w:sz w:val="22"/>
        </w:rPr>
        <w:t>Section</w:t>
      </w:r>
      <w:r>
        <w:rPr>
          <w:spacing w:val="-2"/>
          <w:sz w:val="22"/>
        </w:rPr>
        <w:t> </w:t>
      </w:r>
      <w:r>
        <w:rPr>
          <w:sz w:val="22"/>
        </w:rPr>
        <w:t>6.2.2</w:t>
      </w:r>
      <w:r>
        <w:rPr>
          <w:spacing w:val="-2"/>
          <w:sz w:val="22"/>
        </w:rPr>
        <w:t> </w:t>
      </w:r>
      <w:r>
        <w:rPr>
          <w:sz w:val="22"/>
        </w:rPr>
        <w:t>for details).</w:t>
      </w:r>
      <w:r>
        <w:rPr>
          <w:spacing w:val="40"/>
          <w:sz w:val="22"/>
        </w:rPr>
        <w:t> </w:t>
      </w:r>
      <w:r>
        <w:rPr>
          <w:sz w:val="22"/>
        </w:rPr>
        <w:t>The State and the Independent Assessor will have a total of 45 calendar days to review and approve the report, or request additional information regarding the information reported.</w:t>
      </w:r>
      <w:r>
        <w:rPr>
          <w:spacing w:val="40"/>
          <w:sz w:val="22"/>
        </w:rPr>
        <w:t> </w:t>
      </w:r>
      <w:r>
        <w:rPr>
          <w:sz w:val="22"/>
        </w:rPr>
        <w:t>All approved semiannual progress reports will be sent to CMS.</w:t>
      </w:r>
    </w:p>
    <w:p>
      <w:pPr>
        <w:pStyle w:val="ListParagraph"/>
        <w:numPr>
          <w:ilvl w:val="2"/>
          <w:numId w:val="77"/>
        </w:numPr>
        <w:tabs>
          <w:tab w:pos="1939" w:val="left" w:leader="none"/>
        </w:tabs>
        <w:spacing w:line="240" w:lineRule="auto" w:before="200" w:after="0"/>
        <w:ind w:left="1939" w:right="0" w:hanging="719"/>
        <w:jc w:val="both"/>
        <w:rPr>
          <w:b/>
          <w:color w:val="4471C4"/>
          <w:sz w:val="22"/>
        </w:rPr>
      </w:pPr>
      <w:bookmarkStart w:name="5.5.3 Additional Reporting Requirements" w:id="1444"/>
      <w:bookmarkEnd w:id="1444"/>
      <w:r>
        <w:rPr/>
      </w:r>
      <w:bookmarkStart w:name="_bookmark98" w:id="1445"/>
      <w:bookmarkEnd w:id="1445"/>
      <w:r>
        <w:rPr/>
      </w:r>
      <w:r>
        <w:rPr>
          <w:b/>
          <w:color w:val="4471C4"/>
          <w:sz w:val="22"/>
        </w:rPr>
        <w:t>Additional</w:t>
      </w:r>
      <w:r>
        <w:rPr>
          <w:b/>
          <w:color w:val="4471C4"/>
          <w:spacing w:val="-7"/>
          <w:sz w:val="22"/>
        </w:rPr>
        <w:t> </w:t>
      </w:r>
      <w:r>
        <w:rPr>
          <w:b/>
          <w:color w:val="4471C4"/>
          <w:sz w:val="22"/>
        </w:rPr>
        <w:t>Reporting</w:t>
      </w:r>
      <w:r>
        <w:rPr>
          <w:b/>
          <w:color w:val="4471C4"/>
          <w:spacing w:val="-6"/>
          <w:sz w:val="22"/>
        </w:rPr>
        <w:t> </w:t>
      </w:r>
      <w:r>
        <w:rPr>
          <w:b/>
          <w:color w:val="4471C4"/>
          <w:spacing w:val="-2"/>
          <w:sz w:val="22"/>
        </w:rPr>
        <w:t>Requirements</w:t>
      </w:r>
    </w:p>
    <w:p>
      <w:pPr>
        <w:spacing w:before="1"/>
        <w:ind w:left="1220" w:right="1094" w:firstLine="0"/>
        <w:jc w:val="both"/>
        <w:rPr>
          <w:sz w:val="22"/>
        </w:rPr>
      </w:pPr>
      <w:r>
        <w:rPr>
          <w:sz w:val="22"/>
        </w:rPr>
        <w:t>ACOs, CPs, and CSAs must annually submit clinical quality data to the State for quality evaluation purposes. For example, as noted in Appendix D, the State has proposed three types of quality measures. The first type is solely based on claims or administrative data and will be calculated by the State with no further</w:t>
      </w:r>
      <w:r>
        <w:rPr>
          <w:spacing w:val="-4"/>
          <w:sz w:val="22"/>
        </w:rPr>
        <w:t> </w:t>
      </w:r>
      <w:r>
        <w:rPr>
          <w:sz w:val="22"/>
        </w:rPr>
        <w:t>input</w:t>
      </w:r>
      <w:r>
        <w:rPr>
          <w:spacing w:val="-4"/>
          <w:sz w:val="22"/>
        </w:rPr>
        <w:t> </w:t>
      </w:r>
      <w:r>
        <w:rPr>
          <w:sz w:val="22"/>
        </w:rPr>
        <w:t>(other</w:t>
      </w:r>
      <w:r>
        <w:rPr>
          <w:spacing w:val="-4"/>
          <w:sz w:val="22"/>
        </w:rPr>
        <w:t> </w:t>
      </w:r>
      <w:r>
        <w:rPr>
          <w:sz w:val="22"/>
        </w:rPr>
        <w:t>than</w:t>
      </w:r>
      <w:r>
        <w:rPr>
          <w:spacing w:val="-5"/>
          <w:sz w:val="22"/>
        </w:rPr>
        <w:t> </w:t>
      </w:r>
      <w:r>
        <w:rPr>
          <w:sz w:val="22"/>
        </w:rPr>
        <w:t>claims</w:t>
      </w:r>
      <w:r>
        <w:rPr>
          <w:spacing w:val="-4"/>
          <w:sz w:val="22"/>
        </w:rPr>
        <w:t> </w:t>
      </w:r>
      <w:r>
        <w:rPr>
          <w:sz w:val="22"/>
        </w:rPr>
        <w:t>previously</w:t>
      </w:r>
      <w:r>
        <w:rPr>
          <w:spacing w:val="-7"/>
          <w:sz w:val="22"/>
        </w:rPr>
        <w:t> </w:t>
      </w:r>
      <w:r>
        <w:rPr>
          <w:sz w:val="22"/>
        </w:rPr>
        <w:t>submitted)</w:t>
      </w:r>
      <w:r>
        <w:rPr>
          <w:spacing w:val="-4"/>
          <w:sz w:val="22"/>
        </w:rPr>
        <w:t> </w:t>
      </w:r>
      <w:r>
        <w:rPr>
          <w:sz w:val="22"/>
        </w:rPr>
        <w:t>from</w:t>
      </w:r>
      <w:r>
        <w:rPr>
          <w:spacing w:val="-8"/>
          <w:sz w:val="22"/>
        </w:rPr>
        <w:t> </w:t>
      </w:r>
      <w:r>
        <w:rPr>
          <w:sz w:val="22"/>
        </w:rPr>
        <w:t>the</w:t>
      </w:r>
      <w:r>
        <w:rPr>
          <w:spacing w:val="-4"/>
          <w:sz w:val="22"/>
        </w:rPr>
        <w:t> </w:t>
      </w:r>
      <w:r>
        <w:rPr>
          <w:sz w:val="22"/>
        </w:rPr>
        <w:t>ACO/CP/CSA.</w:t>
      </w:r>
      <w:r>
        <w:rPr>
          <w:spacing w:val="40"/>
          <w:sz w:val="22"/>
        </w:rPr>
        <w:t> </w:t>
      </w:r>
      <w:r>
        <w:rPr>
          <w:sz w:val="22"/>
        </w:rPr>
        <w:t>The</w:t>
      </w:r>
      <w:r>
        <w:rPr>
          <w:spacing w:val="-4"/>
          <w:sz w:val="22"/>
        </w:rPr>
        <w:t> </w:t>
      </w:r>
      <w:r>
        <w:rPr>
          <w:sz w:val="22"/>
        </w:rPr>
        <w:t>second</w:t>
      </w:r>
      <w:r>
        <w:rPr>
          <w:spacing w:val="-5"/>
          <w:sz w:val="22"/>
        </w:rPr>
        <w:t> </w:t>
      </w:r>
      <w:r>
        <w:rPr>
          <w:sz w:val="22"/>
        </w:rPr>
        <w:t>type</w:t>
      </w:r>
      <w:r>
        <w:rPr>
          <w:spacing w:val="-4"/>
          <w:sz w:val="22"/>
        </w:rPr>
        <w:t> </w:t>
      </w:r>
      <w:r>
        <w:rPr>
          <w:sz w:val="22"/>
        </w:rPr>
        <w:t>of</w:t>
      </w:r>
      <w:r>
        <w:rPr>
          <w:spacing w:val="-4"/>
          <w:sz w:val="22"/>
        </w:rPr>
        <w:t> </w:t>
      </w:r>
      <w:r>
        <w:rPr>
          <w:sz w:val="22"/>
        </w:rPr>
        <w:t>quality measure</w:t>
      </w:r>
      <w:r>
        <w:rPr>
          <w:spacing w:val="-14"/>
          <w:sz w:val="22"/>
        </w:rPr>
        <w:t> </w:t>
      </w:r>
      <w:r>
        <w:rPr>
          <w:sz w:val="22"/>
        </w:rPr>
        <w:t>is</w:t>
      </w:r>
      <w:r>
        <w:rPr>
          <w:spacing w:val="-14"/>
          <w:sz w:val="22"/>
        </w:rPr>
        <w:t> </w:t>
      </w:r>
      <w:r>
        <w:rPr>
          <w:sz w:val="22"/>
        </w:rPr>
        <w:t>based</w:t>
      </w:r>
      <w:r>
        <w:rPr>
          <w:spacing w:val="-12"/>
          <w:sz w:val="22"/>
        </w:rPr>
        <w:t> </w:t>
      </w:r>
      <w:r>
        <w:rPr>
          <w:sz w:val="22"/>
        </w:rPr>
        <w:t>on</w:t>
      </w:r>
      <w:r>
        <w:rPr>
          <w:spacing w:val="-11"/>
          <w:sz w:val="22"/>
        </w:rPr>
        <w:t> </w:t>
      </w:r>
      <w:r>
        <w:rPr>
          <w:sz w:val="22"/>
        </w:rPr>
        <w:t>patient</w:t>
      </w:r>
      <w:r>
        <w:rPr>
          <w:spacing w:val="-13"/>
          <w:sz w:val="22"/>
        </w:rPr>
        <w:t> </w:t>
      </w:r>
      <w:r>
        <w:rPr>
          <w:sz w:val="22"/>
        </w:rPr>
        <w:t>experience</w:t>
      </w:r>
      <w:r>
        <w:rPr>
          <w:spacing w:val="-14"/>
          <w:sz w:val="22"/>
        </w:rPr>
        <w:t> </w:t>
      </w:r>
      <w:r>
        <w:rPr>
          <w:sz w:val="22"/>
        </w:rPr>
        <w:t>survey</w:t>
      </w:r>
      <w:r>
        <w:rPr>
          <w:spacing w:val="-13"/>
          <w:sz w:val="22"/>
        </w:rPr>
        <w:t> </w:t>
      </w:r>
      <w:r>
        <w:rPr>
          <w:sz w:val="22"/>
        </w:rPr>
        <w:t>data,</w:t>
      </w:r>
      <w:r>
        <w:rPr>
          <w:spacing w:val="-14"/>
          <w:sz w:val="22"/>
        </w:rPr>
        <w:t> </w:t>
      </w:r>
      <w:r>
        <w:rPr>
          <w:sz w:val="22"/>
        </w:rPr>
        <w:t>and</w:t>
      </w:r>
      <w:r>
        <w:rPr>
          <w:spacing w:val="-14"/>
          <w:sz w:val="22"/>
        </w:rPr>
        <w:t> </w:t>
      </w:r>
      <w:r>
        <w:rPr>
          <w:sz w:val="22"/>
        </w:rPr>
        <w:t>will</w:t>
      </w:r>
      <w:r>
        <w:rPr>
          <w:spacing w:val="-12"/>
          <w:sz w:val="22"/>
        </w:rPr>
        <w:t> </w:t>
      </w:r>
      <w:r>
        <w:rPr>
          <w:sz w:val="22"/>
        </w:rPr>
        <w:t>be</w:t>
      </w:r>
      <w:r>
        <w:rPr>
          <w:spacing w:val="-14"/>
          <w:sz w:val="22"/>
        </w:rPr>
        <w:t> </w:t>
      </w:r>
      <w:r>
        <w:rPr>
          <w:sz w:val="22"/>
        </w:rPr>
        <w:t>collected</w:t>
      </w:r>
      <w:r>
        <w:rPr>
          <w:spacing w:val="-13"/>
          <w:sz w:val="22"/>
        </w:rPr>
        <w:t> </w:t>
      </w:r>
      <w:r>
        <w:rPr>
          <w:sz w:val="22"/>
        </w:rPr>
        <w:t>by</w:t>
      </w:r>
      <w:r>
        <w:rPr>
          <w:spacing w:val="-14"/>
          <w:sz w:val="22"/>
        </w:rPr>
        <w:t> </w:t>
      </w:r>
      <w:r>
        <w:rPr>
          <w:sz w:val="22"/>
        </w:rPr>
        <w:t>a</w:t>
      </w:r>
      <w:r>
        <w:rPr>
          <w:spacing w:val="-10"/>
          <w:sz w:val="22"/>
        </w:rPr>
        <w:t> </w:t>
      </w:r>
      <w:r>
        <w:rPr>
          <w:sz w:val="22"/>
        </w:rPr>
        <w:t>state-procured</w:t>
      </w:r>
      <w:r>
        <w:rPr>
          <w:spacing w:val="-14"/>
          <w:sz w:val="22"/>
        </w:rPr>
        <w:t> </w:t>
      </w:r>
      <w:r>
        <w:rPr>
          <w:sz w:val="22"/>
        </w:rPr>
        <w:t>survey</w:t>
      </w:r>
      <w:r>
        <w:rPr>
          <w:spacing w:val="-13"/>
          <w:sz w:val="22"/>
        </w:rPr>
        <w:t> </w:t>
      </w:r>
      <w:r>
        <w:rPr>
          <w:sz w:val="22"/>
        </w:rPr>
        <w:t>vendor. The</w:t>
      </w:r>
      <w:r>
        <w:rPr>
          <w:spacing w:val="-3"/>
          <w:sz w:val="22"/>
        </w:rPr>
        <w:t> </w:t>
      </w:r>
      <w:r>
        <w:rPr>
          <w:sz w:val="22"/>
        </w:rPr>
        <w:t>third</w:t>
      </w:r>
      <w:r>
        <w:rPr>
          <w:spacing w:val="-4"/>
          <w:sz w:val="22"/>
        </w:rPr>
        <w:t> </w:t>
      </w:r>
      <w:r>
        <w:rPr>
          <w:sz w:val="22"/>
        </w:rPr>
        <w:t>type</w:t>
      </w:r>
      <w:r>
        <w:rPr>
          <w:spacing w:val="-1"/>
          <w:sz w:val="22"/>
        </w:rPr>
        <w:t> </w:t>
      </w:r>
      <w:r>
        <w:rPr>
          <w:sz w:val="22"/>
        </w:rPr>
        <w:t>of</w:t>
      </w:r>
      <w:r>
        <w:rPr>
          <w:spacing w:val="-3"/>
          <w:sz w:val="22"/>
        </w:rPr>
        <w:t> </w:t>
      </w:r>
      <w:r>
        <w:rPr>
          <w:sz w:val="22"/>
        </w:rPr>
        <w:t>quality</w:t>
      </w:r>
      <w:r>
        <w:rPr>
          <w:spacing w:val="-4"/>
          <w:sz w:val="22"/>
        </w:rPr>
        <w:t> </w:t>
      </w:r>
      <w:r>
        <w:rPr>
          <w:sz w:val="22"/>
        </w:rPr>
        <w:t>measure</w:t>
      </w:r>
      <w:r>
        <w:rPr>
          <w:spacing w:val="-1"/>
          <w:sz w:val="22"/>
        </w:rPr>
        <w:t> </w:t>
      </w:r>
      <w:r>
        <w:rPr>
          <w:sz w:val="22"/>
        </w:rPr>
        <w:t>will</w:t>
      </w:r>
      <w:r>
        <w:rPr>
          <w:spacing w:val="-3"/>
          <w:sz w:val="22"/>
        </w:rPr>
        <w:t> </w:t>
      </w:r>
      <w:r>
        <w:rPr>
          <w:sz w:val="22"/>
        </w:rPr>
        <w:t>require</w:t>
      </w:r>
      <w:r>
        <w:rPr>
          <w:spacing w:val="-1"/>
          <w:sz w:val="22"/>
        </w:rPr>
        <w:t> </w:t>
      </w:r>
      <w:r>
        <w:rPr>
          <w:sz w:val="22"/>
        </w:rPr>
        <w:t>both</w:t>
      </w:r>
      <w:r>
        <w:rPr>
          <w:spacing w:val="-1"/>
          <w:sz w:val="22"/>
        </w:rPr>
        <w:t> </w:t>
      </w:r>
      <w:r>
        <w:rPr>
          <w:sz w:val="22"/>
        </w:rPr>
        <w:t>claims</w:t>
      </w:r>
      <w:r>
        <w:rPr>
          <w:spacing w:val="-1"/>
          <w:sz w:val="22"/>
        </w:rPr>
        <w:t> </w:t>
      </w:r>
      <w:r>
        <w:rPr>
          <w:sz w:val="22"/>
        </w:rPr>
        <w:t>information</w:t>
      </w:r>
      <w:r>
        <w:rPr>
          <w:spacing w:val="-4"/>
          <w:sz w:val="22"/>
        </w:rPr>
        <w:t> </w:t>
      </w:r>
      <w:r>
        <w:rPr>
          <w:sz w:val="22"/>
        </w:rPr>
        <w:t>and</w:t>
      </w:r>
      <w:r>
        <w:rPr>
          <w:spacing w:val="-1"/>
          <w:sz w:val="22"/>
        </w:rPr>
        <w:t> </w:t>
      </w:r>
      <w:r>
        <w:rPr>
          <w:sz w:val="22"/>
        </w:rPr>
        <w:t>clinical</w:t>
      </w:r>
      <w:r>
        <w:rPr>
          <w:spacing w:val="-3"/>
          <w:sz w:val="22"/>
        </w:rPr>
        <w:t> </w:t>
      </w:r>
      <w:r>
        <w:rPr>
          <w:sz w:val="22"/>
        </w:rPr>
        <w:t>(e.g.</w:t>
      </w:r>
      <w:r>
        <w:rPr>
          <w:spacing w:val="-1"/>
          <w:sz w:val="22"/>
        </w:rPr>
        <w:t> </w:t>
      </w:r>
      <w:r>
        <w:rPr>
          <w:sz w:val="22"/>
        </w:rPr>
        <w:t>blood</w:t>
      </w:r>
      <w:r>
        <w:rPr>
          <w:spacing w:val="-4"/>
          <w:sz w:val="22"/>
        </w:rPr>
        <w:t> </w:t>
      </w:r>
      <w:r>
        <w:rPr>
          <w:sz w:val="22"/>
        </w:rPr>
        <w:t>pressure) or administrative</w:t>
      </w:r>
      <w:r>
        <w:rPr>
          <w:spacing w:val="-4"/>
          <w:sz w:val="22"/>
        </w:rPr>
        <w:t> </w:t>
      </w:r>
      <w:r>
        <w:rPr>
          <w:sz w:val="22"/>
        </w:rPr>
        <w:t>(e.g.</w:t>
      </w:r>
      <w:r>
        <w:rPr>
          <w:spacing w:val="-5"/>
          <w:sz w:val="22"/>
        </w:rPr>
        <w:t> </w:t>
      </w:r>
      <w:r>
        <w:rPr>
          <w:sz w:val="22"/>
        </w:rPr>
        <w:t>completion</w:t>
      </w:r>
      <w:r>
        <w:rPr>
          <w:spacing w:val="-7"/>
          <w:sz w:val="22"/>
        </w:rPr>
        <w:t> </w:t>
      </w:r>
      <w:r>
        <w:rPr>
          <w:sz w:val="22"/>
        </w:rPr>
        <w:t>of</w:t>
      </w:r>
      <w:r>
        <w:rPr>
          <w:spacing w:val="-6"/>
          <w:sz w:val="22"/>
        </w:rPr>
        <w:t> </w:t>
      </w:r>
      <w:r>
        <w:rPr>
          <w:sz w:val="22"/>
        </w:rPr>
        <w:t>an</w:t>
      </w:r>
      <w:r>
        <w:rPr>
          <w:spacing w:val="-7"/>
          <w:sz w:val="22"/>
        </w:rPr>
        <w:t> </w:t>
      </w:r>
      <w:r>
        <w:rPr>
          <w:sz w:val="22"/>
        </w:rPr>
        <w:t>assessment)</w:t>
      </w:r>
      <w:r>
        <w:rPr>
          <w:spacing w:val="-6"/>
          <w:sz w:val="22"/>
        </w:rPr>
        <w:t> </w:t>
      </w:r>
      <w:r>
        <w:rPr>
          <w:sz w:val="22"/>
        </w:rPr>
        <w:t>information</w:t>
      </w:r>
      <w:r>
        <w:rPr>
          <w:spacing w:val="-5"/>
          <w:sz w:val="22"/>
        </w:rPr>
        <w:t> </w:t>
      </w:r>
      <w:r>
        <w:rPr>
          <w:sz w:val="22"/>
        </w:rPr>
        <w:t>not</w:t>
      </w:r>
      <w:r>
        <w:rPr>
          <w:spacing w:val="-4"/>
          <w:sz w:val="22"/>
        </w:rPr>
        <w:t> </w:t>
      </w:r>
      <w:r>
        <w:rPr>
          <w:sz w:val="22"/>
        </w:rPr>
        <w:t>available</w:t>
      </w:r>
      <w:r>
        <w:rPr>
          <w:spacing w:val="-7"/>
          <w:sz w:val="22"/>
        </w:rPr>
        <w:t> </w:t>
      </w:r>
      <w:r>
        <w:rPr>
          <w:sz w:val="22"/>
        </w:rPr>
        <w:t>through</w:t>
      </w:r>
      <w:r>
        <w:rPr>
          <w:spacing w:val="-5"/>
          <w:sz w:val="22"/>
        </w:rPr>
        <w:t> </w:t>
      </w:r>
      <w:r>
        <w:rPr>
          <w:sz w:val="22"/>
        </w:rPr>
        <w:t>claims.</w:t>
      </w:r>
      <w:r>
        <w:rPr>
          <w:spacing w:val="40"/>
          <w:sz w:val="22"/>
        </w:rPr>
        <w:t> </w:t>
      </w:r>
      <w:r>
        <w:rPr>
          <w:sz w:val="22"/>
        </w:rPr>
        <w:t>The</w:t>
      </w:r>
      <w:r>
        <w:rPr>
          <w:spacing w:val="-7"/>
          <w:sz w:val="22"/>
        </w:rPr>
        <w:t> </w:t>
      </w:r>
      <w:r>
        <w:rPr>
          <w:sz w:val="22"/>
        </w:rPr>
        <w:t>State</w:t>
      </w:r>
      <w:r>
        <w:rPr>
          <w:spacing w:val="-4"/>
          <w:sz w:val="22"/>
        </w:rPr>
        <w:t> </w:t>
      </w:r>
      <w:r>
        <w:rPr>
          <w:sz w:val="22"/>
        </w:rPr>
        <w:t>will produce the denominators for quality measures based on claims or other information and then submit the denominator to the ACO, CP, or CSA for completion of the numerator information.</w:t>
      </w:r>
      <w:r>
        <w:rPr>
          <w:spacing w:val="40"/>
          <w:sz w:val="22"/>
        </w:rPr>
        <w:t> </w:t>
      </w:r>
      <w:r>
        <w:rPr>
          <w:sz w:val="22"/>
        </w:rPr>
        <w:t>The State will then receive</w:t>
      </w:r>
      <w:r>
        <w:rPr>
          <w:spacing w:val="-9"/>
          <w:sz w:val="22"/>
        </w:rPr>
        <w:t> </w:t>
      </w:r>
      <w:r>
        <w:rPr>
          <w:sz w:val="22"/>
        </w:rPr>
        <w:t>the</w:t>
      </w:r>
      <w:r>
        <w:rPr>
          <w:spacing w:val="-9"/>
          <w:sz w:val="22"/>
        </w:rPr>
        <w:t> </w:t>
      </w:r>
      <w:r>
        <w:rPr>
          <w:sz w:val="22"/>
        </w:rPr>
        <w:t>numerator</w:t>
      </w:r>
      <w:r>
        <w:rPr>
          <w:spacing w:val="-11"/>
          <w:sz w:val="22"/>
        </w:rPr>
        <w:t> </w:t>
      </w:r>
      <w:r>
        <w:rPr>
          <w:sz w:val="22"/>
        </w:rPr>
        <w:t>information</w:t>
      </w:r>
      <w:r>
        <w:rPr>
          <w:spacing w:val="-10"/>
          <w:sz w:val="22"/>
        </w:rPr>
        <w:t> </w:t>
      </w:r>
      <w:r>
        <w:rPr>
          <w:sz w:val="22"/>
        </w:rPr>
        <w:t>from</w:t>
      </w:r>
      <w:r>
        <w:rPr>
          <w:spacing w:val="-13"/>
          <w:sz w:val="22"/>
        </w:rPr>
        <w:t> </w:t>
      </w:r>
      <w:r>
        <w:rPr>
          <w:sz w:val="22"/>
        </w:rPr>
        <w:t>the</w:t>
      </w:r>
      <w:r>
        <w:rPr>
          <w:spacing w:val="-9"/>
          <w:sz w:val="22"/>
        </w:rPr>
        <w:t> </w:t>
      </w:r>
      <w:r>
        <w:rPr>
          <w:sz w:val="22"/>
        </w:rPr>
        <w:t>ACOs,</w:t>
      </w:r>
      <w:r>
        <w:rPr>
          <w:spacing w:val="-10"/>
          <w:sz w:val="22"/>
        </w:rPr>
        <w:t> </w:t>
      </w:r>
      <w:r>
        <w:rPr>
          <w:sz w:val="22"/>
        </w:rPr>
        <w:t>CPs,</w:t>
      </w:r>
      <w:r>
        <w:rPr>
          <w:spacing w:val="-10"/>
          <w:sz w:val="22"/>
        </w:rPr>
        <w:t> </w:t>
      </w:r>
      <w:r>
        <w:rPr>
          <w:sz w:val="22"/>
        </w:rPr>
        <w:t>or</w:t>
      </w:r>
      <w:r>
        <w:rPr>
          <w:spacing w:val="-9"/>
          <w:sz w:val="22"/>
        </w:rPr>
        <w:t> </w:t>
      </w:r>
      <w:r>
        <w:rPr>
          <w:sz w:val="22"/>
        </w:rPr>
        <w:t>CSAs</w:t>
      </w:r>
      <w:r>
        <w:rPr>
          <w:spacing w:val="-11"/>
          <w:sz w:val="22"/>
        </w:rPr>
        <w:t> </w:t>
      </w:r>
      <w:r>
        <w:rPr>
          <w:sz w:val="22"/>
        </w:rPr>
        <w:t>and</w:t>
      </w:r>
      <w:r>
        <w:rPr>
          <w:spacing w:val="-10"/>
          <w:sz w:val="22"/>
        </w:rPr>
        <w:t> </w:t>
      </w:r>
      <w:r>
        <w:rPr>
          <w:sz w:val="22"/>
        </w:rPr>
        <w:t>calculate</w:t>
      </w:r>
      <w:r>
        <w:rPr>
          <w:spacing w:val="-12"/>
          <w:sz w:val="22"/>
        </w:rPr>
        <w:t> </w:t>
      </w:r>
      <w:r>
        <w:rPr>
          <w:sz w:val="22"/>
        </w:rPr>
        <w:t>performance.</w:t>
      </w:r>
      <w:r>
        <w:rPr>
          <w:spacing w:val="-12"/>
          <w:sz w:val="22"/>
        </w:rPr>
        <w:t> </w:t>
      </w:r>
      <w:r>
        <w:rPr>
          <w:sz w:val="22"/>
        </w:rPr>
        <w:t>The</w:t>
      </w:r>
      <w:r>
        <w:rPr>
          <w:spacing w:val="-9"/>
          <w:sz w:val="22"/>
        </w:rPr>
        <w:t> </w:t>
      </w:r>
      <w:r>
        <w:rPr>
          <w:sz w:val="22"/>
        </w:rPr>
        <w:t>State</w:t>
      </w:r>
      <w:r>
        <w:rPr>
          <w:spacing w:val="-12"/>
          <w:sz w:val="22"/>
        </w:rPr>
        <w:t> </w:t>
      </w:r>
      <w:r>
        <w:rPr>
          <w:sz w:val="22"/>
        </w:rPr>
        <w:t>will conduct audits of the clinical quality data submitted by ACOs, CPs, and CSAs to ensure that the data are </w:t>
      </w:r>
      <w:r>
        <w:rPr>
          <w:spacing w:val="-2"/>
          <w:sz w:val="22"/>
        </w:rPr>
        <w:t>accurate.</w:t>
      </w:r>
    </w:p>
    <w:p>
      <w:pPr>
        <w:spacing w:after="0"/>
        <w:jc w:val="both"/>
        <w:rPr>
          <w:sz w:val="22"/>
        </w:rPr>
        <w:sectPr>
          <w:pgSz w:w="12240" w:h="15840"/>
          <w:pgMar w:header="0" w:footer="967" w:top="1360" w:bottom="1160" w:left="220" w:right="340"/>
        </w:sectPr>
      </w:pPr>
    </w:p>
    <w:p>
      <w:pPr>
        <w:spacing w:line="242" w:lineRule="auto" w:before="78"/>
        <w:ind w:left="1219" w:right="1094" w:firstLine="0"/>
        <w:jc w:val="both"/>
        <w:rPr>
          <w:sz w:val="22"/>
        </w:rPr>
      </w:pPr>
      <w:r>
        <w:rPr>
          <w:sz w:val="22"/>
        </w:rPr>
        <w:t>Additionally, ACOs will need to submit their ACO revenue payer mix for safety net categorization purposes. CPs will need to submit to the State their roster of engaged members. All entities will also be responsible for ad hoc reporting as requested by the State.</w:t>
      </w:r>
    </w:p>
    <w:p>
      <w:pPr>
        <w:pStyle w:val="BodyText"/>
      </w:pPr>
    </w:p>
    <w:p>
      <w:pPr>
        <w:pStyle w:val="Heading1"/>
        <w:tabs>
          <w:tab w:pos="2659" w:val="left" w:leader="none"/>
        </w:tabs>
        <w:spacing w:before="198"/>
        <w:ind w:left="1579" w:right="1111" w:hanging="360"/>
      </w:pPr>
      <w:bookmarkStart w:name="Section 6.   State Operations, Implement" w:id="1446"/>
      <w:bookmarkEnd w:id="1446"/>
      <w:r>
        <w:rPr>
          <w:b w:val="0"/>
        </w:rPr>
      </w:r>
      <w:bookmarkStart w:name="_bookmark99" w:id="1447"/>
      <w:bookmarkEnd w:id="1447"/>
      <w:r>
        <w:rPr>
          <w:b w:val="0"/>
        </w:rPr>
      </w:r>
      <w:r>
        <w:rPr>
          <w:color w:val="2E5395"/>
        </w:rPr>
        <w:t>Section 6.</w:t>
        <w:tab/>
        <w:t>State</w:t>
      </w:r>
      <w:r>
        <w:rPr>
          <w:color w:val="2E5395"/>
          <w:spacing w:val="40"/>
        </w:rPr>
        <w:t> </w:t>
      </w:r>
      <w:r>
        <w:rPr>
          <w:color w:val="2E5395"/>
        </w:rPr>
        <w:t>Operations,</w:t>
      </w:r>
      <w:r>
        <w:rPr>
          <w:color w:val="2E5395"/>
          <w:spacing w:val="40"/>
        </w:rPr>
        <w:t> </w:t>
      </w:r>
      <w:r>
        <w:rPr>
          <w:color w:val="2E5395"/>
        </w:rPr>
        <w:t>Implementation,</w:t>
      </w:r>
      <w:r>
        <w:rPr>
          <w:color w:val="2E5395"/>
          <w:spacing w:val="40"/>
        </w:rPr>
        <w:t> </w:t>
      </w:r>
      <w:r>
        <w:rPr>
          <w:color w:val="2E5395"/>
        </w:rPr>
        <w:t>Governance,</w:t>
      </w:r>
      <w:r>
        <w:rPr>
          <w:color w:val="2E5395"/>
          <w:spacing w:val="40"/>
        </w:rPr>
        <w:t> </w:t>
      </w:r>
      <w:r>
        <w:rPr>
          <w:color w:val="2E5395"/>
        </w:rPr>
        <w:t>Oversight</w:t>
      </w:r>
      <w:r>
        <w:rPr>
          <w:color w:val="2E5395"/>
          <w:spacing w:val="40"/>
        </w:rPr>
        <w:t> </w:t>
      </w:r>
      <w:r>
        <w:rPr>
          <w:color w:val="2E5395"/>
        </w:rPr>
        <w:t>and </w:t>
      </w:r>
      <w:r>
        <w:rPr>
          <w:color w:val="2E5395"/>
          <w:spacing w:val="-2"/>
        </w:rPr>
        <w:t>Reporting</w:t>
      </w:r>
    </w:p>
    <w:p>
      <w:pPr>
        <w:spacing w:before="0"/>
        <w:ind w:left="1220" w:right="1095" w:firstLine="0"/>
        <w:jc w:val="both"/>
        <w:rPr>
          <w:sz w:val="22"/>
        </w:rPr>
      </w:pPr>
      <w:r>
        <w:rPr>
          <w:sz w:val="22"/>
        </w:rPr>
        <w:t>The State will utilize the small portion of DSRIP funding allocated to the State Operations and Implementation to support robust operations, implementation, governance and oversight of the DSRIP program. These state expenditures associated</w:t>
      </w:r>
      <w:r>
        <w:rPr>
          <w:spacing w:val="-1"/>
          <w:sz w:val="22"/>
        </w:rPr>
        <w:t> </w:t>
      </w:r>
      <w:r>
        <w:rPr>
          <w:sz w:val="22"/>
        </w:rPr>
        <w:t>with</w:t>
      </w:r>
      <w:r>
        <w:rPr>
          <w:spacing w:val="-1"/>
          <w:sz w:val="22"/>
        </w:rPr>
        <w:t> </w:t>
      </w:r>
      <w:r>
        <w:rPr>
          <w:sz w:val="22"/>
        </w:rPr>
        <w:t>implementation</w:t>
      </w:r>
      <w:r>
        <w:rPr>
          <w:spacing w:val="-1"/>
          <w:sz w:val="22"/>
        </w:rPr>
        <w:t> </w:t>
      </w:r>
      <w:r>
        <w:rPr>
          <w:sz w:val="22"/>
        </w:rPr>
        <w:t>of the DSRIP program</w:t>
      </w:r>
      <w:r>
        <w:rPr>
          <w:spacing w:val="-1"/>
          <w:sz w:val="22"/>
        </w:rPr>
        <w:t> </w:t>
      </w:r>
      <w:r>
        <w:rPr>
          <w:sz w:val="22"/>
        </w:rPr>
        <w:t>will be claimed as administrative costs on the CMS 64. Appendix C provides additional detail on anticipated personnel, fringe and contractual costs.</w:t>
      </w:r>
    </w:p>
    <w:p>
      <w:pPr>
        <w:pStyle w:val="Heading2"/>
        <w:numPr>
          <w:ilvl w:val="1"/>
          <w:numId w:val="107"/>
        </w:numPr>
        <w:tabs>
          <w:tab w:pos="1618" w:val="left" w:leader="none"/>
        </w:tabs>
        <w:spacing w:line="298" w:lineRule="exact" w:before="200" w:after="0"/>
        <w:ind w:left="1618" w:right="0" w:hanging="398"/>
        <w:jc w:val="both"/>
        <w:rPr>
          <w:color w:val="4471C4"/>
        </w:rPr>
      </w:pPr>
      <w:bookmarkStart w:name="6.1 Internal Operations and Implementati" w:id="1448"/>
      <w:bookmarkEnd w:id="1448"/>
      <w:r>
        <w:rPr>
          <w:b w:val="0"/>
        </w:rPr>
      </w:r>
      <w:bookmarkStart w:name="_bookmark100" w:id="1449"/>
      <w:bookmarkEnd w:id="1449"/>
      <w:r>
        <w:rPr>
          <w:b w:val="0"/>
        </w:rPr>
      </w:r>
      <w:r>
        <w:rPr>
          <w:color w:val="4471C4"/>
        </w:rPr>
        <w:t>Internal</w:t>
      </w:r>
      <w:r>
        <w:rPr>
          <w:color w:val="4471C4"/>
          <w:spacing w:val="-9"/>
        </w:rPr>
        <w:t> </w:t>
      </w:r>
      <w:r>
        <w:rPr>
          <w:color w:val="4471C4"/>
        </w:rPr>
        <w:t>Operations</w:t>
      </w:r>
      <w:r>
        <w:rPr>
          <w:color w:val="4471C4"/>
          <w:spacing w:val="-11"/>
        </w:rPr>
        <w:t> </w:t>
      </w:r>
      <w:r>
        <w:rPr>
          <w:color w:val="4471C4"/>
        </w:rPr>
        <w:t>and</w:t>
      </w:r>
      <w:r>
        <w:rPr>
          <w:color w:val="4471C4"/>
          <w:spacing w:val="-11"/>
        </w:rPr>
        <w:t> </w:t>
      </w:r>
      <w:r>
        <w:rPr>
          <w:color w:val="4471C4"/>
          <w:spacing w:val="-2"/>
        </w:rPr>
        <w:t>Implementation</w:t>
      </w:r>
    </w:p>
    <w:p>
      <w:pPr>
        <w:spacing w:line="244" w:lineRule="auto" w:before="0"/>
        <w:ind w:left="1220" w:right="1096" w:firstLine="0"/>
        <w:jc w:val="both"/>
        <w:rPr>
          <w:sz w:val="22"/>
        </w:rPr>
      </w:pPr>
      <w:r>
        <w:rPr>
          <w:sz w:val="22"/>
        </w:rPr>
        <w:t>The</w:t>
      </w:r>
      <w:r>
        <w:rPr>
          <w:spacing w:val="-7"/>
          <w:sz w:val="22"/>
        </w:rPr>
        <w:t> </w:t>
      </w:r>
      <w:r>
        <w:rPr>
          <w:sz w:val="22"/>
        </w:rPr>
        <w:t>State</w:t>
      </w:r>
      <w:r>
        <w:rPr>
          <w:spacing w:val="-4"/>
          <w:sz w:val="22"/>
        </w:rPr>
        <w:t> </w:t>
      </w:r>
      <w:r>
        <w:rPr>
          <w:sz w:val="22"/>
        </w:rPr>
        <w:t>will</w:t>
      </w:r>
      <w:r>
        <w:rPr>
          <w:spacing w:val="-6"/>
          <w:sz w:val="22"/>
        </w:rPr>
        <w:t> </w:t>
      </w:r>
      <w:r>
        <w:rPr>
          <w:sz w:val="22"/>
        </w:rPr>
        <w:t>use</w:t>
      </w:r>
      <w:r>
        <w:rPr>
          <w:spacing w:val="-4"/>
          <w:sz w:val="22"/>
        </w:rPr>
        <w:t> </w:t>
      </w:r>
      <w:r>
        <w:rPr>
          <w:sz w:val="22"/>
        </w:rPr>
        <w:t>a</w:t>
      </w:r>
      <w:r>
        <w:rPr>
          <w:spacing w:val="-7"/>
          <w:sz w:val="22"/>
        </w:rPr>
        <w:t> </w:t>
      </w:r>
      <w:r>
        <w:rPr>
          <w:sz w:val="22"/>
        </w:rPr>
        <w:t>robust</w:t>
      </w:r>
      <w:r>
        <w:rPr>
          <w:spacing w:val="-6"/>
          <w:sz w:val="22"/>
        </w:rPr>
        <w:t> </w:t>
      </w:r>
      <w:r>
        <w:rPr>
          <w:sz w:val="22"/>
        </w:rPr>
        <w:t>internal</w:t>
      </w:r>
      <w:r>
        <w:rPr>
          <w:spacing w:val="-6"/>
          <w:sz w:val="22"/>
        </w:rPr>
        <w:t> </w:t>
      </w:r>
      <w:r>
        <w:rPr>
          <w:sz w:val="22"/>
        </w:rPr>
        <w:t>implementation</w:t>
      </w:r>
      <w:r>
        <w:rPr>
          <w:spacing w:val="-7"/>
          <w:sz w:val="22"/>
        </w:rPr>
        <w:t> </w:t>
      </w:r>
      <w:r>
        <w:rPr>
          <w:sz w:val="22"/>
        </w:rPr>
        <w:t>team</w:t>
      </w:r>
      <w:r>
        <w:rPr>
          <w:spacing w:val="-8"/>
          <w:sz w:val="22"/>
        </w:rPr>
        <w:t> </w:t>
      </w:r>
      <w:r>
        <w:rPr>
          <w:sz w:val="22"/>
        </w:rPr>
        <w:t>to</w:t>
      </w:r>
      <w:r>
        <w:rPr>
          <w:spacing w:val="-5"/>
          <w:sz w:val="22"/>
        </w:rPr>
        <w:t> </w:t>
      </w:r>
      <w:r>
        <w:rPr>
          <w:sz w:val="22"/>
        </w:rPr>
        <w:t>ensure</w:t>
      </w:r>
      <w:r>
        <w:rPr>
          <w:spacing w:val="-7"/>
          <w:sz w:val="22"/>
        </w:rPr>
        <w:t> </w:t>
      </w:r>
      <w:r>
        <w:rPr>
          <w:sz w:val="22"/>
        </w:rPr>
        <w:t>the</w:t>
      </w:r>
      <w:r>
        <w:rPr>
          <w:spacing w:val="-7"/>
          <w:sz w:val="22"/>
        </w:rPr>
        <w:t> </w:t>
      </w:r>
      <w:r>
        <w:rPr>
          <w:sz w:val="22"/>
        </w:rPr>
        <w:t>DSRIP</w:t>
      </w:r>
      <w:r>
        <w:rPr>
          <w:spacing w:val="-5"/>
          <w:sz w:val="22"/>
        </w:rPr>
        <w:t> </w:t>
      </w:r>
      <w:r>
        <w:rPr>
          <w:sz w:val="22"/>
        </w:rPr>
        <w:t>program</w:t>
      </w:r>
      <w:r>
        <w:rPr>
          <w:spacing w:val="-8"/>
          <w:sz w:val="22"/>
        </w:rPr>
        <w:t> </w:t>
      </w:r>
      <w:r>
        <w:rPr>
          <w:sz w:val="22"/>
        </w:rPr>
        <w:t>towards</w:t>
      </w:r>
      <w:r>
        <w:rPr>
          <w:spacing w:val="-7"/>
          <w:sz w:val="22"/>
        </w:rPr>
        <w:t> </w:t>
      </w:r>
      <w:r>
        <w:rPr>
          <w:sz w:val="22"/>
        </w:rPr>
        <w:t>its</w:t>
      </w:r>
      <w:r>
        <w:rPr>
          <w:spacing w:val="-4"/>
          <w:sz w:val="22"/>
        </w:rPr>
        <w:t> </w:t>
      </w:r>
      <w:r>
        <w:rPr>
          <w:sz w:val="22"/>
        </w:rPr>
        <w:t>goals</w:t>
      </w:r>
      <w:r>
        <w:rPr>
          <w:spacing w:val="-4"/>
          <w:sz w:val="22"/>
        </w:rPr>
        <w:t> </w:t>
      </w:r>
      <w:r>
        <w:rPr>
          <w:sz w:val="22"/>
        </w:rPr>
        <w:t>as outlined in STC 60. The team will include, but not be limited to:</w:t>
      </w:r>
    </w:p>
    <w:p>
      <w:pPr>
        <w:pStyle w:val="ListParagraph"/>
        <w:numPr>
          <w:ilvl w:val="0"/>
          <w:numId w:val="108"/>
        </w:numPr>
        <w:tabs>
          <w:tab w:pos="1940" w:val="left" w:leader="none"/>
        </w:tabs>
        <w:spacing w:line="240" w:lineRule="auto" w:before="151" w:after="0"/>
        <w:ind w:left="1940" w:right="0" w:hanging="360"/>
        <w:jc w:val="left"/>
        <w:rPr>
          <w:sz w:val="22"/>
        </w:rPr>
      </w:pPr>
      <w:r>
        <w:rPr>
          <w:sz w:val="22"/>
        </w:rPr>
        <w:t>ACO</w:t>
      </w:r>
      <w:r>
        <w:rPr>
          <w:spacing w:val="-5"/>
          <w:sz w:val="22"/>
        </w:rPr>
        <w:t> </w:t>
      </w:r>
      <w:r>
        <w:rPr>
          <w:sz w:val="22"/>
        </w:rPr>
        <w:t>program</w:t>
      </w:r>
      <w:r>
        <w:rPr>
          <w:spacing w:val="-8"/>
          <w:sz w:val="22"/>
        </w:rPr>
        <w:t> </w:t>
      </w:r>
      <w:r>
        <w:rPr>
          <w:sz w:val="22"/>
        </w:rPr>
        <w:t>and</w:t>
      </w:r>
      <w:r>
        <w:rPr>
          <w:spacing w:val="-4"/>
          <w:sz w:val="22"/>
        </w:rPr>
        <w:t> </w:t>
      </w:r>
      <w:r>
        <w:rPr>
          <w:sz w:val="22"/>
        </w:rPr>
        <w:t>contract</w:t>
      </w:r>
      <w:r>
        <w:rPr>
          <w:spacing w:val="-6"/>
          <w:sz w:val="22"/>
        </w:rPr>
        <w:t> </w:t>
      </w:r>
      <w:r>
        <w:rPr>
          <w:sz w:val="22"/>
        </w:rPr>
        <w:t>management</w:t>
      </w:r>
      <w:r>
        <w:rPr>
          <w:spacing w:val="-2"/>
          <w:sz w:val="22"/>
        </w:rPr>
        <w:t> </w:t>
      </w:r>
      <w:r>
        <w:rPr>
          <w:spacing w:val="-4"/>
          <w:sz w:val="22"/>
        </w:rPr>
        <w:t>team</w:t>
      </w:r>
    </w:p>
    <w:p>
      <w:pPr>
        <w:pStyle w:val="ListParagraph"/>
        <w:numPr>
          <w:ilvl w:val="0"/>
          <w:numId w:val="108"/>
        </w:numPr>
        <w:tabs>
          <w:tab w:pos="1940" w:val="left" w:leader="none"/>
        </w:tabs>
        <w:spacing w:line="240" w:lineRule="auto" w:before="199" w:after="0"/>
        <w:ind w:left="1940" w:right="0" w:hanging="360"/>
        <w:jc w:val="left"/>
        <w:rPr>
          <w:sz w:val="22"/>
        </w:rPr>
      </w:pPr>
      <w:r>
        <w:rPr>
          <w:sz w:val="22"/>
        </w:rPr>
        <w:t>CP</w:t>
      </w:r>
      <w:r>
        <w:rPr>
          <w:spacing w:val="-5"/>
          <w:sz w:val="22"/>
        </w:rPr>
        <w:t> </w:t>
      </w:r>
      <w:r>
        <w:rPr>
          <w:sz w:val="22"/>
        </w:rPr>
        <w:t>program</w:t>
      </w:r>
      <w:r>
        <w:rPr>
          <w:spacing w:val="-8"/>
          <w:sz w:val="22"/>
        </w:rPr>
        <w:t> </w:t>
      </w:r>
      <w:r>
        <w:rPr>
          <w:sz w:val="22"/>
        </w:rPr>
        <w:t>and</w:t>
      </w:r>
      <w:r>
        <w:rPr>
          <w:spacing w:val="-4"/>
          <w:sz w:val="22"/>
        </w:rPr>
        <w:t> </w:t>
      </w:r>
      <w:r>
        <w:rPr>
          <w:sz w:val="22"/>
        </w:rPr>
        <w:t>contract</w:t>
      </w:r>
      <w:r>
        <w:rPr>
          <w:spacing w:val="-3"/>
          <w:sz w:val="22"/>
        </w:rPr>
        <w:t> </w:t>
      </w:r>
      <w:r>
        <w:rPr>
          <w:sz w:val="22"/>
        </w:rPr>
        <w:t>management</w:t>
      </w:r>
      <w:r>
        <w:rPr>
          <w:spacing w:val="-2"/>
          <w:sz w:val="22"/>
        </w:rPr>
        <w:t> </w:t>
      </w:r>
      <w:r>
        <w:rPr>
          <w:spacing w:val="-4"/>
          <w:sz w:val="22"/>
        </w:rPr>
        <w:t>team</w:t>
      </w:r>
    </w:p>
    <w:p>
      <w:pPr>
        <w:pStyle w:val="ListParagraph"/>
        <w:numPr>
          <w:ilvl w:val="0"/>
          <w:numId w:val="108"/>
        </w:numPr>
        <w:tabs>
          <w:tab w:pos="1940" w:val="left" w:leader="none"/>
        </w:tabs>
        <w:spacing w:line="240" w:lineRule="auto" w:before="200" w:after="0"/>
        <w:ind w:left="1940" w:right="0" w:hanging="360"/>
        <w:jc w:val="left"/>
        <w:rPr>
          <w:sz w:val="22"/>
        </w:rPr>
      </w:pPr>
      <w:r>
        <w:rPr>
          <w:sz w:val="22"/>
        </w:rPr>
        <w:t>Statewide</w:t>
      </w:r>
      <w:r>
        <w:rPr>
          <w:spacing w:val="-7"/>
          <w:sz w:val="22"/>
        </w:rPr>
        <w:t> </w:t>
      </w:r>
      <w:r>
        <w:rPr>
          <w:sz w:val="22"/>
        </w:rPr>
        <w:t>Investments</w:t>
      </w:r>
      <w:r>
        <w:rPr>
          <w:spacing w:val="-5"/>
          <w:sz w:val="22"/>
        </w:rPr>
        <w:t> </w:t>
      </w:r>
      <w:r>
        <w:rPr>
          <w:sz w:val="22"/>
        </w:rPr>
        <w:t>program</w:t>
      </w:r>
      <w:r>
        <w:rPr>
          <w:spacing w:val="-8"/>
          <w:sz w:val="22"/>
        </w:rPr>
        <w:t> </w:t>
      </w:r>
      <w:r>
        <w:rPr>
          <w:sz w:val="22"/>
        </w:rPr>
        <w:t>and</w:t>
      </w:r>
      <w:r>
        <w:rPr>
          <w:spacing w:val="-5"/>
          <w:sz w:val="22"/>
        </w:rPr>
        <w:t> </w:t>
      </w:r>
      <w:r>
        <w:rPr>
          <w:sz w:val="22"/>
        </w:rPr>
        <w:t>contract</w:t>
      </w:r>
      <w:r>
        <w:rPr>
          <w:spacing w:val="-4"/>
          <w:sz w:val="22"/>
        </w:rPr>
        <w:t> </w:t>
      </w:r>
      <w:r>
        <w:rPr>
          <w:sz w:val="22"/>
        </w:rPr>
        <w:t>management</w:t>
      </w:r>
      <w:r>
        <w:rPr>
          <w:spacing w:val="-6"/>
          <w:sz w:val="22"/>
        </w:rPr>
        <w:t> </w:t>
      </w:r>
      <w:r>
        <w:rPr>
          <w:spacing w:val="-4"/>
          <w:sz w:val="22"/>
        </w:rPr>
        <w:t>team</w:t>
      </w:r>
    </w:p>
    <w:p>
      <w:pPr>
        <w:pStyle w:val="ListParagraph"/>
        <w:numPr>
          <w:ilvl w:val="0"/>
          <w:numId w:val="108"/>
        </w:numPr>
        <w:tabs>
          <w:tab w:pos="1940" w:val="left" w:leader="none"/>
        </w:tabs>
        <w:spacing w:line="240" w:lineRule="auto" w:before="199" w:after="0"/>
        <w:ind w:left="1940" w:right="0" w:hanging="360"/>
        <w:jc w:val="left"/>
        <w:rPr>
          <w:sz w:val="22"/>
        </w:rPr>
      </w:pPr>
      <w:r>
        <w:rPr>
          <w:sz w:val="22"/>
        </w:rPr>
        <w:t>MassHealth</w:t>
      </w:r>
      <w:r>
        <w:rPr>
          <w:spacing w:val="-8"/>
          <w:sz w:val="22"/>
        </w:rPr>
        <w:t> </w:t>
      </w:r>
      <w:r>
        <w:rPr>
          <w:sz w:val="22"/>
        </w:rPr>
        <w:t>operations</w:t>
      </w:r>
      <w:r>
        <w:rPr>
          <w:spacing w:val="-7"/>
          <w:sz w:val="22"/>
        </w:rPr>
        <w:t> </w:t>
      </w:r>
      <w:r>
        <w:rPr>
          <w:spacing w:val="-4"/>
          <w:sz w:val="22"/>
        </w:rPr>
        <w:t>team</w:t>
      </w:r>
    </w:p>
    <w:p>
      <w:pPr>
        <w:spacing w:before="197"/>
        <w:ind w:left="1220" w:right="1093" w:firstLine="0"/>
        <w:jc w:val="both"/>
        <w:rPr>
          <w:sz w:val="22"/>
        </w:rPr>
      </w:pPr>
      <w:r>
        <w:rPr>
          <w:sz w:val="22"/>
        </w:rPr>
        <w:t>The State will develop an internal steering committee that will make recommendations to the Assistant Secretary for MassHealth on policy and programmatic decisions related to the DSRIP program. This steering committee will include representation from</w:t>
      </w:r>
      <w:r>
        <w:rPr>
          <w:spacing w:val="-1"/>
          <w:sz w:val="22"/>
        </w:rPr>
        <w:t> </w:t>
      </w:r>
      <w:r>
        <w:rPr>
          <w:sz w:val="22"/>
        </w:rPr>
        <w:t>several MassHealth teams involved in the design and implementation of the DSRIP program.</w:t>
      </w:r>
    </w:p>
    <w:p>
      <w:pPr>
        <w:spacing w:before="162"/>
        <w:ind w:left="1220" w:right="1094" w:firstLine="0"/>
        <w:jc w:val="both"/>
        <w:rPr>
          <w:sz w:val="22"/>
        </w:rPr>
      </w:pPr>
      <w:r>
        <w:rPr>
          <w:sz w:val="22"/>
        </w:rPr>
        <w:t>Committee</w:t>
      </w:r>
      <w:r>
        <w:rPr>
          <w:spacing w:val="-8"/>
          <w:sz w:val="22"/>
        </w:rPr>
        <w:t> </w:t>
      </w:r>
      <w:r>
        <w:rPr>
          <w:sz w:val="22"/>
        </w:rPr>
        <w:t>members</w:t>
      </w:r>
      <w:r>
        <w:rPr>
          <w:spacing w:val="-8"/>
          <w:sz w:val="22"/>
        </w:rPr>
        <w:t> </w:t>
      </w:r>
      <w:r>
        <w:rPr>
          <w:sz w:val="22"/>
        </w:rPr>
        <w:t>will</w:t>
      </w:r>
      <w:r>
        <w:rPr>
          <w:spacing w:val="-8"/>
          <w:sz w:val="22"/>
        </w:rPr>
        <w:t> </w:t>
      </w:r>
      <w:r>
        <w:rPr>
          <w:sz w:val="22"/>
        </w:rPr>
        <w:t>meet</w:t>
      </w:r>
      <w:r>
        <w:rPr>
          <w:spacing w:val="-8"/>
          <w:sz w:val="22"/>
        </w:rPr>
        <w:t> </w:t>
      </w:r>
      <w:r>
        <w:rPr>
          <w:sz w:val="22"/>
        </w:rPr>
        <w:t>regularly</w:t>
      </w:r>
      <w:r>
        <w:rPr>
          <w:spacing w:val="-11"/>
          <w:sz w:val="22"/>
        </w:rPr>
        <w:t> </w:t>
      </w:r>
      <w:r>
        <w:rPr>
          <w:sz w:val="22"/>
        </w:rPr>
        <w:t>and</w:t>
      </w:r>
      <w:r>
        <w:rPr>
          <w:spacing w:val="-9"/>
          <w:sz w:val="22"/>
        </w:rPr>
        <w:t> </w:t>
      </w:r>
      <w:r>
        <w:rPr>
          <w:sz w:val="22"/>
        </w:rPr>
        <w:t>will</w:t>
      </w:r>
      <w:r>
        <w:rPr>
          <w:spacing w:val="-8"/>
          <w:sz w:val="22"/>
        </w:rPr>
        <w:t> </w:t>
      </w:r>
      <w:r>
        <w:rPr>
          <w:sz w:val="22"/>
        </w:rPr>
        <w:t>solicit</w:t>
      </w:r>
      <w:r>
        <w:rPr>
          <w:spacing w:val="-10"/>
          <w:sz w:val="22"/>
        </w:rPr>
        <w:t> </w:t>
      </w:r>
      <w:r>
        <w:rPr>
          <w:sz w:val="22"/>
        </w:rPr>
        <w:t>feedback</w:t>
      </w:r>
      <w:r>
        <w:rPr>
          <w:spacing w:val="-11"/>
          <w:sz w:val="22"/>
        </w:rPr>
        <w:t> </w:t>
      </w:r>
      <w:r>
        <w:rPr>
          <w:sz w:val="22"/>
        </w:rPr>
        <w:t>from</w:t>
      </w:r>
      <w:r>
        <w:rPr>
          <w:spacing w:val="-12"/>
          <w:sz w:val="22"/>
        </w:rPr>
        <w:t> </w:t>
      </w:r>
      <w:r>
        <w:rPr>
          <w:sz w:val="22"/>
        </w:rPr>
        <w:t>the</w:t>
      </w:r>
      <w:r>
        <w:rPr>
          <w:spacing w:val="-8"/>
          <w:sz w:val="22"/>
        </w:rPr>
        <w:t> </w:t>
      </w:r>
      <w:r>
        <w:rPr>
          <w:sz w:val="22"/>
        </w:rPr>
        <w:t>DSRIP</w:t>
      </w:r>
      <w:r>
        <w:rPr>
          <w:spacing w:val="-4"/>
          <w:sz w:val="22"/>
        </w:rPr>
        <w:t> </w:t>
      </w:r>
      <w:r>
        <w:rPr>
          <w:sz w:val="22"/>
        </w:rPr>
        <w:t>Advisory</w:t>
      </w:r>
      <w:r>
        <w:rPr>
          <w:spacing w:val="-11"/>
          <w:sz w:val="22"/>
        </w:rPr>
        <w:t> </w:t>
      </w:r>
      <w:r>
        <w:rPr>
          <w:sz w:val="22"/>
        </w:rPr>
        <w:t>Committee</w:t>
      </w:r>
      <w:r>
        <w:rPr>
          <w:spacing w:val="-8"/>
          <w:sz w:val="22"/>
        </w:rPr>
        <w:t> </w:t>
      </w:r>
      <w:r>
        <w:rPr>
          <w:sz w:val="22"/>
        </w:rPr>
        <w:t>on Quality and other stakeholders as needed. While the steering committee will provide timely information and consultation, ultimate decision-making power rests with the Assistant Secretary for MassHealth.</w:t>
      </w:r>
    </w:p>
    <w:p>
      <w:pPr>
        <w:pStyle w:val="Heading2"/>
        <w:numPr>
          <w:ilvl w:val="1"/>
          <w:numId w:val="107"/>
        </w:numPr>
        <w:tabs>
          <w:tab w:pos="1618" w:val="left" w:leader="none"/>
        </w:tabs>
        <w:spacing w:line="240" w:lineRule="auto" w:before="200" w:after="0"/>
        <w:ind w:left="1618" w:right="0" w:hanging="398"/>
        <w:jc w:val="both"/>
        <w:rPr>
          <w:color w:val="4471C4"/>
        </w:rPr>
      </w:pPr>
      <w:bookmarkStart w:name="6.2 Advisory Functions" w:id="1450"/>
      <w:bookmarkEnd w:id="1450"/>
      <w:r>
        <w:rPr>
          <w:b w:val="0"/>
        </w:rPr>
      </w:r>
      <w:bookmarkStart w:name="_bookmark101" w:id="1451"/>
      <w:bookmarkEnd w:id="1451"/>
      <w:r>
        <w:rPr>
          <w:b w:val="0"/>
        </w:rPr>
      </w:r>
      <w:r>
        <w:rPr>
          <w:color w:val="4471C4"/>
        </w:rPr>
        <w:t>Advisory</w:t>
      </w:r>
      <w:r>
        <w:rPr>
          <w:color w:val="4471C4"/>
          <w:spacing w:val="-9"/>
        </w:rPr>
        <w:t> </w:t>
      </w:r>
      <w:r>
        <w:rPr>
          <w:color w:val="4471C4"/>
          <w:spacing w:val="-2"/>
        </w:rPr>
        <w:t>Functions</w:t>
      </w:r>
    </w:p>
    <w:p>
      <w:pPr>
        <w:pStyle w:val="ListParagraph"/>
        <w:numPr>
          <w:ilvl w:val="2"/>
          <w:numId w:val="107"/>
        </w:numPr>
        <w:tabs>
          <w:tab w:pos="1939" w:val="left" w:leader="none"/>
        </w:tabs>
        <w:spacing w:line="252" w:lineRule="exact" w:before="199" w:after="0"/>
        <w:ind w:left="1939" w:right="0" w:hanging="719"/>
        <w:jc w:val="both"/>
        <w:rPr>
          <w:b/>
          <w:sz w:val="22"/>
        </w:rPr>
      </w:pPr>
      <w:bookmarkStart w:name="6.2.1 DSRIP Advisory Committee on Qualit" w:id="1452"/>
      <w:bookmarkEnd w:id="1452"/>
      <w:r>
        <w:rPr/>
      </w:r>
      <w:bookmarkStart w:name="_bookmark102" w:id="1453"/>
      <w:bookmarkEnd w:id="1453"/>
      <w:r>
        <w:rPr/>
      </w:r>
      <w:r>
        <w:rPr>
          <w:b/>
          <w:color w:val="4471C4"/>
          <w:sz w:val="22"/>
        </w:rPr>
        <w:t>DSRIP</w:t>
      </w:r>
      <w:r>
        <w:rPr>
          <w:b/>
          <w:color w:val="4471C4"/>
          <w:spacing w:val="-3"/>
          <w:sz w:val="22"/>
        </w:rPr>
        <w:t> </w:t>
      </w:r>
      <w:r>
        <w:rPr>
          <w:b/>
          <w:color w:val="4471C4"/>
          <w:sz w:val="22"/>
        </w:rPr>
        <w:t>Advisory</w:t>
      </w:r>
      <w:r>
        <w:rPr>
          <w:b/>
          <w:color w:val="4471C4"/>
          <w:spacing w:val="-8"/>
          <w:sz w:val="22"/>
        </w:rPr>
        <w:t> </w:t>
      </w:r>
      <w:r>
        <w:rPr>
          <w:b/>
          <w:color w:val="4471C4"/>
          <w:sz w:val="22"/>
        </w:rPr>
        <w:t>Committee</w:t>
      </w:r>
      <w:r>
        <w:rPr>
          <w:b/>
          <w:color w:val="4471C4"/>
          <w:spacing w:val="-4"/>
          <w:sz w:val="22"/>
        </w:rPr>
        <w:t> </w:t>
      </w:r>
      <w:r>
        <w:rPr>
          <w:b/>
          <w:color w:val="4471C4"/>
          <w:sz w:val="22"/>
        </w:rPr>
        <w:t>on</w:t>
      </w:r>
      <w:r>
        <w:rPr>
          <w:b/>
          <w:color w:val="4471C4"/>
          <w:spacing w:val="-7"/>
          <w:sz w:val="22"/>
        </w:rPr>
        <w:t> </w:t>
      </w:r>
      <w:r>
        <w:rPr>
          <w:b/>
          <w:color w:val="4471C4"/>
          <w:spacing w:val="-2"/>
          <w:sz w:val="22"/>
        </w:rPr>
        <w:t>Quality</w:t>
      </w:r>
    </w:p>
    <w:p>
      <w:pPr>
        <w:spacing w:before="0"/>
        <w:ind w:left="1219" w:right="1094" w:firstLine="0"/>
        <w:jc w:val="both"/>
        <w:rPr>
          <w:sz w:val="22"/>
        </w:rPr>
      </w:pPr>
      <w:r>
        <w:rPr>
          <w:sz w:val="22"/>
        </w:rPr>
        <w:t>The State will establish a committee of stakeholders who will be responsible for supporting the clinical performance</w:t>
      </w:r>
      <w:r>
        <w:rPr>
          <w:spacing w:val="-4"/>
          <w:sz w:val="22"/>
        </w:rPr>
        <w:t> </w:t>
      </w:r>
      <w:r>
        <w:rPr>
          <w:sz w:val="22"/>
        </w:rPr>
        <w:t>improvement</w:t>
      </w:r>
      <w:r>
        <w:rPr>
          <w:spacing w:val="-1"/>
          <w:sz w:val="22"/>
        </w:rPr>
        <w:t> </w:t>
      </w:r>
      <w:r>
        <w:rPr>
          <w:sz w:val="22"/>
        </w:rPr>
        <w:t>cycle</w:t>
      </w:r>
      <w:r>
        <w:rPr>
          <w:spacing w:val="-2"/>
          <w:sz w:val="22"/>
        </w:rPr>
        <w:t> </w:t>
      </w:r>
      <w:r>
        <w:rPr>
          <w:sz w:val="22"/>
        </w:rPr>
        <w:t>of</w:t>
      </w:r>
      <w:r>
        <w:rPr>
          <w:spacing w:val="-1"/>
          <w:sz w:val="22"/>
        </w:rPr>
        <w:t> </w:t>
      </w:r>
      <w:r>
        <w:rPr>
          <w:sz w:val="22"/>
        </w:rPr>
        <w:t>DSRIP</w:t>
      </w:r>
      <w:r>
        <w:rPr>
          <w:spacing w:val="-3"/>
          <w:sz w:val="22"/>
        </w:rPr>
        <w:t> </w:t>
      </w:r>
      <w:r>
        <w:rPr>
          <w:sz w:val="22"/>
        </w:rPr>
        <w:t>activities</w:t>
      </w:r>
      <w:r>
        <w:rPr>
          <w:spacing w:val="-4"/>
          <w:sz w:val="22"/>
        </w:rPr>
        <w:t> </w:t>
      </w:r>
      <w:r>
        <w:rPr>
          <w:sz w:val="22"/>
        </w:rPr>
        <w:t>as</w:t>
      </w:r>
      <w:r>
        <w:rPr>
          <w:spacing w:val="-2"/>
          <w:sz w:val="22"/>
        </w:rPr>
        <w:t> </w:t>
      </w:r>
      <w:r>
        <w:rPr>
          <w:sz w:val="22"/>
        </w:rPr>
        <w:t>set</w:t>
      </w:r>
      <w:r>
        <w:rPr>
          <w:spacing w:val="-4"/>
          <w:sz w:val="22"/>
        </w:rPr>
        <w:t> </w:t>
      </w:r>
      <w:r>
        <w:rPr>
          <w:sz w:val="22"/>
        </w:rPr>
        <w:t>forth</w:t>
      </w:r>
      <w:r>
        <w:rPr>
          <w:spacing w:val="-5"/>
          <w:sz w:val="22"/>
        </w:rPr>
        <w:t> </w:t>
      </w:r>
      <w:r>
        <w:rPr>
          <w:sz w:val="22"/>
        </w:rPr>
        <w:t>in</w:t>
      </w:r>
      <w:r>
        <w:rPr>
          <w:spacing w:val="-2"/>
          <w:sz w:val="22"/>
        </w:rPr>
        <w:t> </w:t>
      </w:r>
      <w:r>
        <w:rPr>
          <w:sz w:val="22"/>
        </w:rPr>
        <w:t>STC</w:t>
      </w:r>
      <w:r>
        <w:rPr>
          <w:spacing w:val="-6"/>
          <w:sz w:val="22"/>
        </w:rPr>
        <w:t> </w:t>
      </w:r>
      <w:r>
        <w:rPr>
          <w:sz w:val="22"/>
        </w:rPr>
        <w:t>75.</w:t>
      </w:r>
      <w:hyperlink w:history="true" w:anchor="_bookmark103">
        <w:r>
          <w:rPr>
            <w:sz w:val="22"/>
            <w:vertAlign w:val="superscript"/>
          </w:rPr>
          <w:t>2</w:t>
        </w:r>
      </w:hyperlink>
      <w:r>
        <w:rPr>
          <w:spacing w:val="40"/>
          <w:sz w:val="22"/>
          <w:vertAlign w:val="baseline"/>
        </w:rPr>
        <w:t> </w:t>
      </w:r>
      <w:r>
        <w:rPr>
          <w:sz w:val="22"/>
          <w:vertAlign w:val="baseline"/>
        </w:rPr>
        <w:t>The</w:t>
      </w:r>
      <w:r>
        <w:rPr>
          <w:spacing w:val="-7"/>
          <w:sz w:val="22"/>
          <w:vertAlign w:val="baseline"/>
        </w:rPr>
        <w:t> </w:t>
      </w:r>
      <w:r>
        <w:rPr>
          <w:sz w:val="22"/>
          <w:vertAlign w:val="baseline"/>
        </w:rPr>
        <w:t>Committee</w:t>
      </w:r>
      <w:r>
        <w:rPr>
          <w:spacing w:val="-2"/>
          <w:sz w:val="22"/>
          <w:vertAlign w:val="baseline"/>
        </w:rPr>
        <w:t> </w:t>
      </w:r>
      <w:r>
        <w:rPr>
          <w:sz w:val="22"/>
          <w:vertAlign w:val="baseline"/>
        </w:rPr>
        <w:t>will</w:t>
      </w:r>
      <w:r>
        <w:rPr>
          <w:spacing w:val="-1"/>
          <w:sz w:val="22"/>
          <w:vertAlign w:val="baseline"/>
        </w:rPr>
        <w:t> </w:t>
      </w:r>
      <w:r>
        <w:rPr>
          <w:sz w:val="22"/>
          <w:vertAlign w:val="baseline"/>
        </w:rPr>
        <w:t>serve</w:t>
      </w:r>
      <w:r>
        <w:rPr>
          <w:spacing w:val="-4"/>
          <w:sz w:val="22"/>
          <w:vertAlign w:val="baseline"/>
        </w:rPr>
        <w:t> </w:t>
      </w:r>
      <w:r>
        <w:rPr>
          <w:sz w:val="22"/>
          <w:vertAlign w:val="baseline"/>
        </w:rPr>
        <w:t>as an advisory group offering expertise in health care quality measures, clinical measurement, and clinical data used in performance improvement initiatives, quality and best practices. Final decision-making authority will be retained by the State and CMS, although all recommendations of the Committee will be considered by the State and CMS. The Committee will be made up of:</w:t>
      </w:r>
    </w:p>
    <w:p>
      <w:pPr>
        <w:pStyle w:val="ListParagraph"/>
        <w:numPr>
          <w:ilvl w:val="3"/>
          <w:numId w:val="107"/>
        </w:numPr>
        <w:tabs>
          <w:tab w:pos="2044" w:val="left" w:leader="none"/>
        </w:tabs>
        <w:spacing w:line="268" w:lineRule="exact" w:before="162" w:after="0"/>
        <w:ind w:left="2044" w:right="0" w:hanging="414"/>
        <w:jc w:val="both"/>
        <w:rPr>
          <w:sz w:val="22"/>
        </w:rPr>
      </w:pPr>
      <w:r>
        <w:rPr>
          <w:sz w:val="22"/>
        </w:rPr>
        <w:t>Representatives</w:t>
      </w:r>
      <w:r>
        <w:rPr>
          <w:spacing w:val="-6"/>
          <w:sz w:val="22"/>
        </w:rPr>
        <w:t> </w:t>
      </w:r>
      <w:r>
        <w:rPr>
          <w:sz w:val="22"/>
        </w:rPr>
        <w:t>from</w:t>
      </w:r>
      <w:r>
        <w:rPr>
          <w:spacing w:val="-7"/>
          <w:sz w:val="22"/>
        </w:rPr>
        <w:t> </w:t>
      </w:r>
      <w:r>
        <w:rPr>
          <w:sz w:val="22"/>
        </w:rPr>
        <w:t>community</w:t>
      </w:r>
      <w:r>
        <w:rPr>
          <w:spacing w:val="-6"/>
          <w:sz w:val="22"/>
        </w:rPr>
        <w:t> </w:t>
      </w:r>
      <w:r>
        <w:rPr>
          <w:sz w:val="22"/>
        </w:rPr>
        <w:t>health</w:t>
      </w:r>
      <w:r>
        <w:rPr>
          <w:spacing w:val="-6"/>
          <w:sz w:val="22"/>
        </w:rPr>
        <w:t> </w:t>
      </w:r>
      <w:r>
        <w:rPr>
          <w:sz w:val="22"/>
        </w:rPr>
        <w:t>centers</w:t>
      </w:r>
      <w:r>
        <w:rPr>
          <w:spacing w:val="-4"/>
          <w:sz w:val="22"/>
        </w:rPr>
        <w:t> </w:t>
      </w:r>
      <w:r>
        <w:rPr>
          <w:sz w:val="22"/>
        </w:rPr>
        <w:t>serving</w:t>
      </w:r>
      <w:r>
        <w:rPr>
          <w:spacing w:val="-6"/>
          <w:sz w:val="22"/>
        </w:rPr>
        <w:t> </w:t>
      </w:r>
      <w:r>
        <w:rPr>
          <w:sz w:val="22"/>
        </w:rPr>
        <w:t>the</w:t>
      </w:r>
      <w:r>
        <w:rPr>
          <w:spacing w:val="-3"/>
          <w:sz w:val="22"/>
        </w:rPr>
        <w:t> </w:t>
      </w:r>
      <w:r>
        <w:rPr>
          <w:sz w:val="22"/>
        </w:rPr>
        <w:t>Medicaid</w:t>
      </w:r>
      <w:r>
        <w:rPr>
          <w:spacing w:val="-6"/>
          <w:sz w:val="22"/>
        </w:rPr>
        <w:t> </w:t>
      </w:r>
      <w:r>
        <w:rPr>
          <w:spacing w:val="-2"/>
          <w:sz w:val="22"/>
        </w:rPr>
        <w:t>population</w:t>
      </w:r>
    </w:p>
    <w:p>
      <w:pPr>
        <w:pStyle w:val="ListParagraph"/>
        <w:numPr>
          <w:ilvl w:val="3"/>
          <w:numId w:val="107"/>
        </w:numPr>
        <w:tabs>
          <w:tab w:pos="1988" w:val="left" w:leader="none"/>
          <w:tab w:pos="1990" w:val="left" w:leader="none"/>
        </w:tabs>
        <w:spacing w:line="240" w:lineRule="auto" w:before="0" w:after="0"/>
        <w:ind w:left="1990" w:right="1095" w:hanging="361"/>
        <w:jc w:val="both"/>
        <w:rPr>
          <w:sz w:val="22"/>
        </w:rPr>
      </w:pPr>
      <w:r>
        <w:rPr>
          <w:sz w:val="22"/>
        </w:rPr>
        <w:t>Clinical experts in behavioral health, substance use disorder and long</w:t>
      </w:r>
      <w:r>
        <w:rPr>
          <w:spacing w:val="-2"/>
          <w:sz w:val="22"/>
        </w:rPr>
        <w:t> </w:t>
      </w:r>
      <w:r>
        <w:rPr>
          <w:sz w:val="22"/>
        </w:rPr>
        <w:t>term</w:t>
      </w:r>
      <w:r>
        <w:rPr>
          <w:spacing w:val="-4"/>
          <w:sz w:val="22"/>
        </w:rPr>
        <w:t> </w:t>
      </w:r>
      <w:r>
        <w:rPr>
          <w:sz w:val="22"/>
        </w:rPr>
        <w:t>services and supports. Clinical experts are physicians, physician assistants, nurse practitioners, licensed clinical social workers,</w:t>
      </w:r>
      <w:r>
        <w:rPr>
          <w:spacing w:val="-5"/>
          <w:sz w:val="22"/>
        </w:rPr>
        <w:t> </w:t>
      </w:r>
      <w:r>
        <w:rPr>
          <w:sz w:val="22"/>
        </w:rPr>
        <w:t>licensed</w:t>
      </w:r>
      <w:r>
        <w:rPr>
          <w:spacing w:val="-5"/>
          <w:sz w:val="22"/>
        </w:rPr>
        <w:t> </w:t>
      </w:r>
      <w:r>
        <w:rPr>
          <w:sz w:val="22"/>
        </w:rPr>
        <w:t>mental</w:t>
      </w:r>
      <w:r>
        <w:rPr>
          <w:spacing w:val="-4"/>
          <w:sz w:val="22"/>
        </w:rPr>
        <w:t> </w:t>
      </w:r>
      <w:r>
        <w:rPr>
          <w:sz w:val="22"/>
        </w:rPr>
        <w:t>health</w:t>
      </w:r>
      <w:r>
        <w:rPr>
          <w:spacing w:val="-5"/>
          <w:sz w:val="22"/>
        </w:rPr>
        <w:t> </w:t>
      </w:r>
      <w:r>
        <w:rPr>
          <w:sz w:val="22"/>
        </w:rPr>
        <w:t>counselors,</w:t>
      </w:r>
      <w:r>
        <w:rPr>
          <w:spacing w:val="-5"/>
          <w:sz w:val="22"/>
        </w:rPr>
        <w:t> </w:t>
      </w:r>
      <w:r>
        <w:rPr>
          <w:sz w:val="22"/>
        </w:rPr>
        <w:t>psychologists,</w:t>
      </w:r>
      <w:r>
        <w:rPr>
          <w:spacing w:val="-5"/>
          <w:sz w:val="22"/>
        </w:rPr>
        <w:t> </w:t>
      </w:r>
      <w:r>
        <w:rPr>
          <w:sz w:val="22"/>
        </w:rPr>
        <w:t>or</w:t>
      </w:r>
      <w:r>
        <w:rPr>
          <w:spacing w:val="-4"/>
          <w:sz w:val="22"/>
        </w:rPr>
        <w:t> </w:t>
      </w:r>
      <w:r>
        <w:rPr>
          <w:sz w:val="22"/>
        </w:rPr>
        <w:t>registered</w:t>
      </w:r>
      <w:r>
        <w:rPr>
          <w:spacing w:val="-5"/>
          <w:sz w:val="22"/>
        </w:rPr>
        <w:t> </w:t>
      </w:r>
      <w:r>
        <w:rPr>
          <w:sz w:val="22"/>
        </w:rPr>
        <w:t>nurses</w:t>
      </w:r>
      <w:r>
        <w:rPr>
          <w:spacing w:val="-4"/>
          <w:sz w:val="22"/>
        </w:rPr>
        <w:t> </w:t>
      </w:r>
      <w:r>
        <w:rPr>
          <w:sz w:val="22"/>
        </w:rPr>
        <w:t>who</w:t>
      </w:r>
      <w:r>
        <w:rPr>
          <w:spacing w:val="-5"/>
          <w:sz w:val="22"/>
        </w:rPr>
        <w:t> </w:t>
      </w:r>
      <w:r>
        <w:rPr>
          <w:sz w:val="22"/>
        </w:rPr>
        <w:t>satisfy</w:t>
      </w:r>
      <w:r>
        <w:rPr>
          <w:spacing w:val="-7"/>
          <w:sz w:val="22"/>
        </w:rPr>
        <w:t> </w:t>
      </w:r>
      <w:r>
        <w:rPr>
          <w:sz w:val="22"/>
        </w:rPr>
        <w:t>two</w:t>
      </w:r>
      <w:r>
        <w:rPr>
          <w:spacing w:val="-5"/>
          <w:sz w:val="22"/>
        </w:rPr>
        <w:t> </w:t>
      </w:r>
      <w:r>
        <w:rPr>
          <w:sz w:val="22"/>
        </w:rPr>
        <w:t>or more of the following criteria:</w:t>
      </w:r>
    </w:p>
    <w:p>
      <w:pPr>
        <w:pStyle w:val="BodyText"/>
        <w:spacing w:before="5"/>
        <w:rPr>
          <w:sz w:val="23"/>
        </w:rPr>
      </w:pPr>
      <w:r>
        <w:rPr/>
        <mc:AlternateContent>
          <mc:Choice Requires="wps">
            <w:drawing>
              <wp:anchor distT="0" distB="0" distL="0" distR="0" allowOverlap="1" layoutInCell="1" locked="0" behindDoc="1" simplePos="0" relativeHeight="488025088">
                <wp:simplePos x="0" y="0"/>
                <wp:positionH relativeFrom="page">
                  <wp:posOffset>914400</wp:posOffset>
                </wp:positionH>
                <wp:positionV relativeFrom="paragraph">
                  <wp:posOffset>186383</wp:posOffset>
                </wp:positionV>
                <wp:extent cx="1828800" cy="9525"/>
                <wp:effectExtent l="0" t="0" r="0" b="0"/>
                <wp:wrapTopAndBottom/>
                <wp:docPr id="928" name="Graphic 928"/>
                <wp:cNvGraphicFramePr>
                  <a:graphicFrameLocks/>
                </wp:cNvGraphicFramePr>
                <a:graphic>
                  <a:graphicData uri="http://schemas.microsoft.com/office/word/2010/wordprocessingShape">
                    <wps:wsp>
                      <wps:cNvPr id="928" name="Graphic 928"/>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4.675902pt;width:144pt;height:.72pt;mso-position-horizontal-relative:page;mso-position-vertical-relative:paragraph;z-index:-15291392;mso-wrap-distance-left:0;mso-wrap-distance-right:0" id="docshape145" filled="true" fillcolor="#000000" stroked="false">
                <v:fill type="solid"/>
                <w10:wrap type="topAndBottom"/>
              </v:rect>
            </w:pict>
          </mc:Fallback>
        </mc:AlternateContent>
      </w:r>
    </w:p>
    <w:p>
      <w:pPr>
        <w:spacing w:before="99"/>
        <w:ind w:left="1220" w:right="1178" w:hanging="1"/>
        <w:jc w:val="left"/>
        <w:rPr>
          <w:sz w:val="22"/>
        </w:rPr>
      </w:pPr>
      <w:bookmarkStart w:name="_bookmark103" w:id="1454"/>
      <w:bookmarkEnd w:id="1454"/>
      <w:r>
        <w:rPr/>
      </w:r>
      <w:r>
        <w:rPr>
          <w:sz w:val="22"/>
          <w:vertAlign w:val="superscript"/>
        </w:rPr>
        <w:t>2</w:t>
      </w:r>
      <w:r>
        <w:rPr>
          <w:spacing w:val="-2"/>
          <w:sz w:val="22"/>
          <w:vertAlign w:val="baseline"/>
        </w:rPr>
        <w:t> </w:t>
      </w:r>
      <w:r>
        <w:rPr>
          <w:sz w:val="22"/>
          <w:vertAlign w:val="baseline"/>
        </w:rPr>
        <w:t>Note</w:t>
      </w:r>
      <w:r>
        <w:rPr>
          <w:spacing w:val="-2"/>
          <w:sz w:val="22"/>
          <w:vertAlign w:val="baseline"/>
        </w:rPr>
        <w:t> </w:t>
      </w:r>
      <w:r>
        <w:rPr>
          <w:sz w:val="22"/>
          <w:vertAlign w:val="baseline"/>
        </w:rPr>
        <w:t>STC</w:t>
      </w:r>
      <w:r>
        <w:rPr>
          <w:spacing w:val="-3"/>
          <w:sz w:val="22"/>
          <w:vertAlign w:val="baseline"/>
        </w:rPr>
        <w:t> </w:t>
      </w:r>
      <w:r>
        <w:rPr>
          <w:sz w:val="22"/>
          <w:vertAlign w:val="baseline"/>
        </w:rPr>
        <w:t>75</w:t>
      </w:r>
      <w:r>
        <w:rPr>
          <w:spacing w:val="-5"/>
          <w:sz w:val="22"/>
          <w:vertAlign w:val="baseline"/>
        </w:rPr>
        <w:t> </w:t>
      </w:r>
      <w:r>
        <w:rPr>
          <w:sz w:val="22"/>
          <w:vertAlign w:val="baseline"/>
        </w:rPr>
        <w:t>called</w:t>
      </w:r>
      <w:r>
        <w:rPr>
          <w:spacing w:val="-5"/>
          <w:sz w:val="22"/>
          <w:vertAlign w:val="baseline"/>
        </w:rPr>
        <w:t> </w:t>
      </w:r>
      <w:r>
        <w:rPr>
          <w:sz w:val="22"/>
          <w:vertAlign w:val="baseline"/>
        </w:rPr>
        <w:t>the</w:t>
      </w:r>
      <w:r>
        <w:rPr>
          <w:spacing w:val="-2"/>
          <w:sz w:val="22"/>
          <w:vertAlign w:val="baseline"/>
        </w:rPr>
        <w:t> </w:t>
      </w:r>
      <w:r>
        <w:rPr>
          <w:sz w:val="22"/>
          <w:vertAlign w:val="baseline"/>
        </w:rPr>
        <w:t>Committee</w:t>
      </w:r>
      <w:r>
        <w:rPr>
          <w:spacing w:val="-2"/>
          <w:sz w:val="22"/>
          <w:vertAlign w:val="baseline"/>
        </w:rPr>
        <w:t> </w:t>
      </w:r>
      <w:r>
        <w:rPr>
          <w:sz w:val="22"/>
          <w:vertAlign w:val="baseline"/>
        </w:rPr>
        <w:t>the</w:t>
      </w:r>
      <w:r>
        <w:rPr>
          <w:spacing w:val="-2"/>
          <w:sz w:val="22"/>
          <w:vertAlign w:val="baseline"/>
        </w:rPr>
        <w:t> </w:t>
      </w:r>
      <w:r>
        <w:rPr>
          <w:sz w:val="22"/>
          <w:vertAlign w:val="baseline"/>
        </w:rPr>
        <w:t>“DSRIP</w:t>
      </w:r>
      <w:r>
        <w:rPr>
          <w:spacing w:val="-3"/>
          <w:sz w:val="22"/>
          <w:vertAlign w:val="baseline"/>
        </w:rPr>
        <w:t> </w:t>
      </w:r>
      <w:r>
        <w:rPr>
          <w:sz w:val="22"/>
          <w:vertAlign w:val="baseline"/>
        </w:rPr>
        <w:t>Advisory</w:t>
      </w:r>
      <w:r>
        <w:rPr>
          <w:spacing w:val="-5"/>
          <w:sz w:val="22"/>
          <w:vertAlign w:val="baseline"/>
        </w:rPr>
        <w:t> </w:t>
      </w:r>
      <w:r>
        <w:rPr>
          <w:sz w:val="22"/>
          <w:vertAlign w:val="baseline"/>
        </w:rPr>
        <w:t>Committee.”</w:t>
      </w:r>
      <w:r>
        <w:rPr>
          <w:spacing w:val="40"/>
          <w:sz w:val="22"/>
          <w:vertAlign w:val="baseline"/>
        </w:rPr>
        <w:t> </w:t>
      </w:r>
      <w:r>
        <w:rPr>
          <w:sz w:val="22"/>
          <w:vertAlign w:val="baseline"/>
        </w:rPr>
        <w:t>State</w:t>
      </w:r>
      <w:r>
        <w:rPr>
          <w:spacing w:val="-2"/>
          <w:sz w:val="22"/>
          <w:vertAlign w:val="baseline"/>
        </w:rPr>
        <w:t> </w:t>
      </w:r>
      <w:r>
        <w:rPr>
          <w:sz w:val="22"/>
          <w:vertAlign w:val="baseline"/>
        </w:rPr>
        <w:t>has</w:t>
      </w:r>
      <w:r>
        <w:rPr>
          <w:spacing w:val="-4"/>
          <w:sz w:val="22"/>
          <w:vertAlign w:val="baseline"/>
        </w:rPr>
        <w:t> </w:t>
      </w:r>
      <w:r>
        <w:rPr>
          <w:sz w:val="22"/>
          <w:vertAlign w:val="baseline"/>
        </w:rPr>
        <w:t>decided</w:t>
      </w:r>
      <w:r>
        <w:rPr>
          <w:spacing w:val="-5"/>
          <w:sz w:val="22"/>
          <w:vertAlign w:val="baseline"/>
        </w:rPr>
        <w:t> </w:t>
      </w:r>
      <w:r>
        <w:rPr>
          <w:sz w:val="22"/>
          <w:vertAlign w:val="baseline"/>
        </w:rPr>
        <w:t>to</w:t>
      </w:r>
      <w:r>
        <w:rPr>
          <w:spacing w:val="-2"/>
          <w:sz w:val="22"/>
          <w:vertAlign w:val="baseline"/>
        </w:rPr>
        <w:t> </w:t>
      </w:r>
      <w:r>
        <w:rPr>
          <w:sz w:val="22"/>
          <w:vertAlign w:val="baseline"/>
        </w:rPr>
        <w:t>re-name</w:t>
      </w:r>
      <w:r>
        <w:rPr>
          <w:spacing w:val="-2"/>
          <w:sz w:val="22"/>
          <w:vertAlign w:val="baseline"/>
        </w:rPr>
        <w:t> </w:t>
      </w:r>
      <w:r>
        <w:rPr>
          <w:sz w:val="22"/>
          <w:vertAlign w:val="baseline"/>
        </w:rPr>
        <w:t>it as the “DSRIP Advisory Committee on Quality” for clarification purposes.</w:t>
      </w:r>
    </w:p>
    <w:p>
      <w:pPr>
        <w:spacing w:after="0"/>
        <w:jc w:val="left"/>
        <w:rPr>
          <w:sz w:val="22"/>
        </w:rPr>
        <w:sectPr>
          <w:pgSz w:w="12240" w:h="15840"/>
          <w:pgMar w:header="0" w:footer="967" w:top="1360" w:bottom="1160" w:left="220" w:right="340"/>
        </w:sectPr>
      </w:pPr>
    </w:p>
    <w:p>
      <w:pPr>
        <w:pStyle w:val="ListParagraph"/>
        <w:numPr>
          <w:ilvl w:val="4"/>
          <w:numId w:val="107"/>
        </w:numPr>
        <w:tabs>
          <w:tab w:pos="2709" w:val="left" w:leader="none"/>
        </w:tabs>
        <w:spacing w:line="262" w:lineRule="exact" w:before="78" w:after="0"/>
        <w:ind w:left="2709" w:right="0" w:hanging="359"/>
        <w:jc w:val="left"/>
        <w:rPr>
          <w:sz w:val="22"/>
        </w:rPr>
      </w:pPr>
      <w:r>
        <w:rPr>
          <w:sz w:val="22"/>
        </w:rPr>
        <w:t>Five</w:t>
      </w:r>
      <w:r>
        <w:rPr>
          <w:spacing w:val="-2"/>
          <w:sz w:val="22"/>
        </w:rPr>
        <w:t> </w:t>
      </w:r>
      <w:r>
        <w:rPr>
          <w:sz w:val="22"/>
        </w:rPr>
        <w:t>years</w:t>
      </w:r>
      <w:r>
        <w:rPr>
          <w:spacing w:val="-2"/>
          <w:sz w:val="22"/>
        </w:rPr>
        <w:t> </w:t>
      </w:r>
      <w:r>
        <w:rPr>
          <w:sz w:val="22"/>
        </w:rPr>
        <w:t>of</w:t>
      </w:r>
      <w:r>
        <w:rPr>
          <w:spacing w:val="-4"/>
          <w:sz w:val="22"/>
        </w:rPr>
        <w:t> </w:t>
      </w:r>
      <w:r>
        <w:rPr>
          <w:sz w:val="22"/>
        </w:rPr>
        <w:t>patient</w:t>
      </w:r>
      <w:r>
        <w:rPr>
          <w:spacing w:val="-1"/>
          <w:sz w:val="22"/>
        </w:rPr>
        <w:t> </w:t>
      </w:r>
      <w:r>
        <w:rPr>
          <w:sz w:val="22"/>
        </w:rPr>
        <w:t>care</w:t>
      </w:r>
      <w:r>
        <w:rPr>
          <w:spacing w:val="-2"/>
          <w:sz w:val="22"/>
        </w:rPr>
        <w:t> </w:t>
      </w:r>
      <w:r>
        <w:rPr>
          <w:sz w:val="22"/>
        </w:rPr>
        <w:t>in</w:t>
      </w:r>
      <w:r>
        <w:rPr>
          <w:spacing w:val="-5"/>
          <w:sz w:val="22"/>
        </w:rPr>
        <w:t> </w:t>
      </w:r>
      <w:r>
        <w:rPr>
          <w:sz w:val="22"/>
        </w:rPr>
        <w:t>the</w:t>
      </w:r>
      <w:r>
        <w:rPr>
          <w:spacing w:val="-4"/>
          <w:sz w:val="22"/>
        </w:rPr>
        <w:t> </w:t>
      </w:r>
      <w:r>
        <w:rPr>
          <w:sz w:val="22"/>
        </w:rPr>
        <w:t>relevant</w:t>
      </w:r>
      <w:r>
        <w:rPr>
          <w:spacing w:val="-1"/>
          <w:sz w:val="22"/>
        </w:rPr>
        <w:t> </w:t>
      </w:r>
      <w:r>
        <w:rPr>
          <w:sz w:val="22"/>
        </w:rPr>
        <w:t>area</w:t>
      </w:r>
      <w:r>
        <w:rPr>
          <w:spacing w:val="-4"/>
          <w:sz w:val="22"/>
        </w:rPr>
        <w:t> </w:t>
      </w:r>
      <w:r>
        <w:rPr>
          <w:sz w:val="22"/>
        </w:rPr>
        <w:t>of</w:t>
      </w:r>
      <w:r>
        <w:rPr>
          <w:spacing w:val="-3"/>
          <w:sz w:val="22"/>
        </w:rPr>
        <w:t> </w:t>
      </w:r>
      <w:r>
        <w:rPr>
          <w:spacing w:val="-2"/>
          <w:sz w:val="22"/>
        </w:rPr>
        <w:t>expertise</w:t>
      </w:r>
    </w:p>
    <w:p>
      <w:pPr>
        <w:pStyle w:val="ListParagraph"/>
        <w:numPr>
          <w:ilvl w:val="4"/>
          <w:numId w:val="107"/>
        </w:numPr>
        <w:tabs>
          <w:tab w:pos="2709" w:val="left" w:leader="none"/>
        </w:tabs>
        <w:spacing w:line="253" w:lineRule="exact" w:before="0" w:after="0"/>
        <w:ind w:left="2709" w:right="0" w:hanging="359"/>
        <w:jc w:val="left"/>
        <w:rPr>
          <w:sz w:val="22"/>
        </w:rPr>
      </w:pPr>
      <w:r>
        <w:rPr>
          <w:sz w:val="22"/>
        </w:rPr>
        <w:t>Experience</w:t>
      </w:r>
      <w:r>
        <w:rPr>
          <w:spacing w:val="-6"/>
          <w:sz w:val="22"/>
        </w:rPr>
        <w:t> </w:t>
      </w:r>
      <w:r>
        <w:rPr>
          <w:sz w:val="22"/>
        </w:rPr>
        <w:t>managing</w:t>
      </w:r>
      <w:r>
        <w:rPr>
          <w:spacing w:val="-7"/>
          <w:sz w:val="22"/>
        </w:rPr>
        <w:t> </w:t>
      </w:r>
      <w:r>
        <w:rPr>
          <w:sz w:val="22"/>
        </w:rPr>
        <w:t>clinical</w:t>
      </w:r>
      <w:r>
        <w:rPr>
          <w:spacing w:val="-2"/>
          <w:sz w:val="22"/>
        </w:rPr>
        <w:t> </w:t>
      </w:r>
      <w:r>
        <w:rPr>
          <w:sz w:val="22"/>
        </w:rPr>
        <w:t>programs</w:t>
      </w:r>
      <w:r>
        <w:rPr>
          <w:spacing w:val="-4"/>
          <w:sz w:val="22"/>
        </w:rPr>
        <w:t> </w:t>
      </w:r>
      <w:r>
        <w:rPr>
          <w:sz w:val="22"/>
        </w:rPr>
        <w:t>focused</w:t>
      </w:r>
      <w:r>
        <w:rPr>
          <w:spacing w:val="-3"/>
          <w:sz w:val="22"/>
        </w:rPr>
        <w:t> </w:t>
      </w:r>
      <w:r>
        <w:rPr>
          <w:sz w:val="22"/>
        </w:rPr>
        <w:t>on</w:t>
      </w:r>
      <w:r>
        <w:rPr>
          <w:spacing w:val="-7"/>
          <w:sz w:val="22"/>
        </w:rPr>
        <w:t> </w:t>
      </w:r>
      <w:r>
        <w:rPr>
          <w:sz w:val="22"/>
        </w:rPr>
        <w:t>the</w:t>
      </w:r>
      <w:r>
        <w:rPr>
          <w:spacing w:val="-5"/>
          <w:sz w:val="22"/>
        </w:rPr>
        <w:t> </w:t>
      </w:r>
      <w:r>
        <w:rPr>
          <w:sz w:val="22"/>
        </w:rPr>
        <w:t>relevant</w:t>
      </w:r>
      <w:r>
        <w:rPr>
          <w:spacing w:val="-3"/>
          <w:sz w:val="22"/>
        </w:rPr>
        <w:t> </w:t>
      </w:r>
      <w:r>
        <w:rPr>
          <w:sz w:val="22"/>
        </w:rPr>
        <w:t>patient</w:t>
      </w:r>
      <w:r>
        <w:rPr>
          <w:spacing w:val="-5"/>
          <w:sz w:val="22"/>
        </w:rPr>
        <w:t> </w:t>
      </w:r>
      <w:r>
        <w:rPr>
          <w:spacing w:val="-2"/>
          <w:sz w:val="22"/>
        </w:rPr>
        <w:t>populations</w:t>
      </w:r>
    </w:p>
    <w:p>
      <w:pPr>
        <w:pStyle w:val="ListParagraph"/>
        <w:numPr>
          <w:ilvl w:val="4"/>
          <w:numId w:val="107"/>
        </w:numPr>
        <w:tabs>
          <w:tab w:pos="2709" w:val="left" w:leader="none"/>
        </w:tabs>
        <w:spacing w:line="254" w:lineRule="exact" w:before="0" w:after="0"/>
        <w:ind w:left="2709" w:right="0" w:hanging="359"/>
        <w:jc w:val="left"/>
        <w:rPr>
          <w:sz w:val="22"/>
        </w:rPr>
      </w:pPr>
      <w:r>
        <w:rPr>
          <w:sz w:val="22"/>
        </w:rPr>
        <w:t>Service</w:t>
      </w:r>
      <w:r>
        <w:rPr>
          <w:spacing w:val="-4"/>
          <w:sz w:val="22"/>
        </w:rPr>
        <w:t> </w:t>
      </w:r>
      <w:r>
        <w:rPr>
          <w:sz w:val="22"/>
        </w:rPr>
        <w:t>on</w:t>
      </w:r>
      <w:r>
        <w:rPr>
          <w:spacing w:val="-3"/>
          <w:sz w:val="22"/>
        </w:rPr>
        <w:t> </w:t>
      </w:r>
      <w:r>
        <w:rPr>
          <w:sz w:val="22"/>
        </w:rPr>
        <w:t>national</w:t>
      </w:r>
      <w:r>
        <w:rPr>
          <w:spacing w:val="-5"/>
          <w:sz w:val="22"/>
        </w:rPr>
        <w:t> </w:t>
      </w:r>
      <w:r>
        <w:rPr>
          <w:sz w:val="22"/>
        </w:rPr>
        <w:t>or</w:t>
      </w:r>
      <w:r>
        <w:rPr>
          <w:spacing w:val="-3"/>
          <w:sz w:val="22"/>
        </w:rPr>
        <w:t> </w:t>
      </w:r>
      <w:r>
        <w:rPr>
          <w:sz w:val="22"/>
        </w:rPr>
        <w:t>statewide</w:t>
      </w:r>
      <w:r>
        <w:rPr>
          <w:spacing w:val="-3"/>
          <w:sz w:val="22"/>
        </w:rPr>
        <w:t> </w:t>
      </w:r>
      <w:r>
        <w:rPr>
          <w:sz w:val="22"/>
        </w:rPr>
        <w:t>advisory</w:t>
      </w:r>
      <w:r>
        <w:rPr>
          <w:spacing w:val="-6"/>
          <w:sz w:val="22"/>
        </w:rPr>
        <w:t> </w:t>
      </w:r>
      <w:r>
        <w:rPr>
          <w:sz w:val="22"/>
        </w:rPr>
        <w:t>committees</w:t>
      </w:r>
      <w:r>
        <w:rPr>
          <w:spacing w:val="-6"/>
          <w:sz w:val="22"/>
        </w:rPr>
        <w:t> </w:t>
      </w:r>
      <w:r>
        <w:rPr>
          <w:sz w:val="22"/>
        </w:rPr>
        <w:t>or</w:t>
      </w:r>
      <w:r>
        <w:rPr>
          <w:spacing w:val="-2"/>
          <w:sz w:val="22"/>
        </w:rPr>
        <w:t> </w:t>
      </w:r>
      <w:r>
        <w:rPr>
          <w:sz w:val="22"/>
        </w:rPr>
        <w:t>panels</w:t>
      </w:r>
      <w:r>
        <w:rPr>
          <w:spacing w:val="-3"/>
          <w:sz w:val="22"/>
        </w:rPr>
        <w:t> </w:t>
      </w:r>
      <w:r>
        <w:rPr>
          <w:sz w:val="22"/>
        </w:rPr>
        <w:t>for</w:t>
      </w:r>
      <w:r>
        <w:rPr>
          <w:spacing w:val="-3"/>
          <w:sz w:val="22"/>
        </w:rPr>
        <w:t> </w:t>
      </w:r>
      <w:r>
        <w:rPr>
          <w:sz w:val="22"/>
        </w:rPr>
        <w:t>relevant</w:t>
      </w:r>
      <w:r>
        <w:rPr>
          <w:spacing w:val="-2"/>
          <w:sz w:val="22"/>
        </w:rPr>
        <w:t> </w:t>
      </w:r>
      <w:r>
        <w:rPr>
          <w:sz w:val="22"/>
        </w:rPr>
        <w:t>topic</w:t>
      </w:r>
      <w:r>
        <w:rPr>
          <w:spacing w:val="-5"/>
          <w:sz w:val="22"/>
        </w:rPr>
        <w:t> </w:t>
      </w:r>
      <w:r>
        <w:rPr>
          <w:spacing w:val="-2"/>
          <w:sz w:val="22"/>
        </w:rPr>
        <w:t>areas</w:t>
      </w:r>
    </w:p>
    <w:p>
      <w:pPr>
        <w:pStyle w:val="ListParagraph"/>
        <w:numPr>
          <w:ilvl w:val="3"/>
          <w:numId w:val="107"/>
        </w:numPr>
        <w:tabs>
          <w:tab w:pos="1988" w:val="left" w:leader="none"/>
          <w:tab w:pos="1990" w:val="left" w:leader="none"/>
        </w:tabs>
        <w:spacing w:line="240" w:lineRule="auto" w:before="0" w:after="0"/>
        <w:ind w:left="1990" w:right="1094" w:hanging="361"/>
        <w:jc w:val="both"/>
        <w:rPr>
          <w:sz w:val="22"/>
        </w:rPr>
      </w:pPr>
      <w:r>
        <w:rPr>
          <w:sz w:val="22"/>
        </w:rPr>
        <w:t>Advocacy</w:t>
      </w:r>
      <w:r>
        <w:rPr>
          <w:spacing w:val="-6"/>
          <w:sz w:val="22"/>
        </w:rPr>
        <w:t> </w:t>
      </w:r>
      <w:r>
        <w:rPr>
          <w:sz w:val="22"/>
        </w:rPr>
        <w:t>members:</w:t>
      </w:r>
      <w:r>
        <w:rPr>
          <w:spacing w:val="-5"/>
          <w:sz w:val="22"/>
        </w:rPr>
        <w:t> </w:t>
      </w:r>
      <w:r>
        <w:rPr>
          <w:sz w:val="22"/>
        </w:rPr>
        <w:t>consumers</w:t>
      </w:r>
      <w:r>
        <w:rPr>
          <w:spacing w:val="-5"/>
          <w:sz w:val="22"/>
        </w:rPr>
        <w:t> </w:t>
      </w:r>
      <w:r>
        <w:rPr>
          <w:sz w:val="22"/>
        </w:rPr>
        <w:t>or</w:t>
      </w:r>
      <w:r>
        <w:rPr>
          <w:spacing w:val="-5"/>
          <w:sz w:val="22"/>
        </w:rPr>
        <w:t> </w:t>
      </w:r>
      <w:r>
        <w:rPr>
          <w:sz w:val="22"/>
        </w:rPr>
        <w:t>consumer</w:t>
      </w:r>
      <w:r>
        <w:rPr>
          <w:spacing w:val="-5"/>
          <w:sz w:val="22"/>
        </w:rPr>
        <w:t> </w:t>
      </w:r>
      <w:r>
        <w:rPr>
          <w:sz w:val="22"/>
        </w:rPr>
        <w:t>representatives,</w:t>
      </w:r>
      <w:r>
        <w:rPr>
          <w:spacing w:val="-8"/>
          <w:sz w:val="22"/>
        </w:rPr>
        <w:t> </w:t>
      </w:r>
      <w:r>
        <w:rPr>
          <w:sz w:val="22"/>
        </w:rPr>
        <w:t>including</w:t>
      </w:r>
      <w:r>
        <w:rPr>
          <w:spacing w:val="-8"/>
          <w:sz w:val="22"/>
        </w:rPr>
        <w:t> </w:t>
      </w:r>
      <w:r>
        <w:rPr>
          <w:sz w:val="22"/>
        </w:rPr>
        <w:t>at</w:t>
      </w:r>
      <w:r>
        <w:rPr>
          <w:spacing w:val="-5"/>
          <w:sz w:val="22"/>
        </w:rPr>
        <w:t> </w:t>
      </w:r>
      <w:r>
        <w:rPr>
          <w:sz w:val="22"/>
        </w:rPr>
        <w:t>least</w:t>
      </w:r>
      <w:r>
        <w:rPr>
          <w:spacing w:val="-5"/>
          <w:sz w:val="22"/>
        </w:rPr>
        <w:t> </w:t>
      </w:r>
      <w:r>
        <w:rPr>
          <w:sz w:val="22"/>
        </w:rPr>
        <w:t>one</w:t>
      </w:r>
      <w:r>
        <w:rPr>
          <w:spacing w:val="-5"/>
          <w:sz w:val="22"/>
        </w:rPr>
        <w:t> </w:t>
      </w:r>
      <w:r>
        <w:rPr>
          <w:sz w:val="22"/>
        </w:rPr>
        <w:t>representative for people with disabilities and, separately, at least one representative for people with complex medical conditions</w:t>
      </w:r>
    </w:p>
    <w:p>
      <w:pPr>
        <w:spacing w:before="189"/>
        <w:ind w:left="1220" w:right="1093" w:firstLine="0"/>
        <w:jc w:val="both"/>
        <w:rPr>
          <w:sz w:val="22"/>
        </w:rPr>
      </w:pPr>
      <w:r>
        <w:rPr>
          <w:sz w:val="22"/>
        </w:rPr>
        <w:t>At least 30% of members must have significant expertise in clinical quality measurement of hospitals, primary</w:t>
      </w:r>
      <w:r>
        <w:rPr>
          <w:spacing w:val="-5"/>
          <w:sz w:val="22"/>
        </w:rPr>
        <w:t> </w:t>
      </w:r>
      <w:r>
        <w:rPr>
          <w:sz w:val="22"/>
        </w:rPr>
        <w:t>care</w:t>
      </w:r>
      <w:r>
        <w:rPr>
          <w:spacing w:val="-2"/>
          <w:sz w:val="22"/>
        </w:rPr>
        <w:t> </w:t>
      </w:r>
      <w:r>
        <w:rPr>
          <w:sz w:val="22"/>
        </w:rPr>
        <w:t>providers,</w:t>
      </w:r>
      <w:r>
        <w:rPr>
          <w:spacing w:val="-5"/>
          <w:sz w:val="22"/>
        </w:rPr>
        <w:t> </w:t>
      </w:r>
      <w:r>
        <w:rPr>
          <w:sz w:val="22"/>
        </w:rPr>
        <w:t>community</w:t>
      </w:r>
      <w:r>
        <w:rPr>
          <w:spacing w:val="-5"/>
          <w:sz w:val="22"/>
        </w:rPr>
        <w:t> </w:t>
      </w:r>
      <w:r>
        <w:rPr>
          <w:sz w:val="22"/>
        </w:rPr>
        <w:t>health</w:t>
      </w:r>
      <w:r>
        <w:rPr>
          <w:spacing w:val="-2"/>
          <w:sz w:val="22"/>
        </w:rPr>
        <w:t> </w:t>
      </w:r>
      <w:r>
        <w:rPr>
          <w:sz w:val="22"/>
        </w:rPr>
        <w:t>centers,</w:t>
      </w:r>
      <w:r>
        <w:rPr>
          <w:spacing w:val="-2"/>
          <w:sz w:val="22"/>
        </w:rPr>
        <w:t> </w:t>
      </w:r>
      <w:r>
        <w:rPr>
          <w:sz w:val="22"/>
        </w:rPr>
        <w:t>clinics</w:t>
      </w:r>
      <w:r>
        <w:rPr>
          <w:spacing w:val="-4"/>
          <w:sz w:val="22"/>
        </w:rPr>
        <w:t> </w:t>
      </w:r>
      <w:r>
        <w:rPr>
          <w:sz w:val="22"/>
        </w:rPr>
        <w:t>and</w:t>
      </w:r>
      <w:r>
        <w:rPr>
          <w:spacing w:val="-2"/>
          <w:sz w:val="22"/>
        </w:rPr>
        <w:t> </w:t>
      </w:r>
      <w:r>
        <w:rPr>
          <w:sz w:val="22"/>
        </w:rPr>
        <w:t>managed</w:t>
      </w:r>
      <w:r>
        <w:rPr>
          <w:spacing w:val="-2"/>
          <w:sz w:val="22"/>
        </w:rPr>
        <w:t> </w:t>
      </w:r>
      <w:r>
        <w:rPr>
          <w:sz w:val="22"/>
        </w:rPr>
        <w:t>care</w:t>
      </w:r>
      <w:r>
        <w:rPr>
          <w:spacing w:val="-2"/>
          <w:sz w:val="22"/>
        </w:rPr>
        <w:t> </w:t>
      </w:r>
      <w:r>
        <w:rPr>
          <w:sz w:val="22"/>
        </w:rPr>
        <w:t>plans.</w:t>
      </w:r>
      <w:r>
        <w:rPr>
          <w:spacing w:val="-2"/>
          <w:sz w:val="22"/>
        </w:rPr>
        <w:t> </w:t>
      </w:r>
      <w:r>
        <w:rPr>
          <w:sz w:val="22"/>
        </w:rPr>
        <w:t>Significant</w:t>
      </w:r>
      <w:r>
        <w:rPr>
          <w:spacing w:val="-4"/>
          <w:sz w:val="22"/>
        </w:rPr>
        <w:t> </w:t>
      </w:r>
      <w:r>
        <w:rPr>
          <w:sz w:val="22"/>
        </w:rPr>
        <w:t>expertise</w:t>
      </w:r>
      <w:r>
        <w:rPr>
          <w:spacing w:val="-4"/>
          <w:sz w:val="22"/>
        </w:rPr>
        <w:t> </w:t>
      </w:r>
      <w:r>
        <w:rPr>
          <w:sz w:val="22"/>
        </w:rPr>
        <w:t>is defined as not less than five years of recent full time employment in quality measurement in government service, at managed care plans, at health systems, or from companies providing quality measurement services to above listed provider types and managed care plans.</w:t>
      </w:r>
    </w:p>
    <w:p>
      <w:pPr>
        <w:spacing w:line="240" w:lineRule="auto" w:before="161"/>
        <w:ind w:left="1220" w:right="1094" w:firstLine="0"/>
        <w:jc w:val="both"/>
        <w:rPr>
          <w:sz w:val="22"/>
        </w:rPr>
      </w:pPr>
      <w:r>
        <w:rPr>
          <w:sz w:val="22"/>
        </w:rPr>
        <w:t>To minimize risk of conflicts of interest, no more than three members may be directly employed by Massachusetts hospitals, MassHealth ACOs, or Community Partners.</w:t>
      </w:r>
      <w:r>
        <w:rPr>
          <w:spacing w:val="40"/>
          <w:sz w:val="22"/>
        </w:rPr>
        <w:t> </w:t>
      </w:r>
      <w:r>
        <w:rPr>
          <w:sz w:val="22"/>
        </w:rPr>
        <w:t>To further minimize conflicts of interest, no CEO, CFO, COO, or CMO of a Massachusetts hospital, MassHealth ACO, or Community Partners will be appointed to the Committee.</w:t>
      </w:r>
      <w:r>
        <w:rPr>
          <w:spacing w:val="40"/>
          <w:sz w:val="22"/>
        </w:rPr>
        <w:t> </w:t>
      </w:r>
      <w:r>
        <w:rPr>
          <w:sz w:val="22"/>
        </w:rPr>
        <w:t>Additionally, any members whose affiliated organizations have</w:t>
      </w:r>
      <w:r>
        <w:rPr>
          <w:spacing w:val="-9"/>
          <w:sz w:val="22"/>
        </w:rPr>
        <w:t> </w:t>
      </w:r>
      <w:r>
        <w:rPr>
          <w:sz w:val="22"/>
        </w:rPr>
        <w:t>financial</w:t>
      </w:r>
      <w:r>
        <w:rPr>
          <w:spacing w:val="-11"/>
          <w:sz w:val="22"/>
        </w:rPr>
        <w:t> </w:t>
      </w:r>
      <w:r>
        <w:rPr>
          <w:sz w:val="22"/>
        </w:rPr>
        <w:t>interests</w:t>
      </w:r>
      <w:r>
        <w:rPr>
          <w:spacing w:val="-9"/>
          <w:sz w:val="22"/>
        </w:rPr>
        <w:t> </w:t>
      </w:r>
      <w:r>
        <w:rPr>
          <w:sz w:val="22"/>
        </w:rPr>
        <w:t>in</w:t>
      </w:r>
      <w:r>
        <w:rPr>
          <w:spacing w:val="-10"/>
          <w:sz w:val="22"/>
        </w:rPr>
        <w:t> </w:t>
      </w:r>
      <w:r>
        <w:rPr>
          <w:sz w:val="22"/>
        </w:rPr>
        <w:t>performance</w:t>
      </w:r>
      <w:r>
        <w:rPr>
          <w:spacing w:val="-9"/>
          <w:sz w:val="22"/>
        </w:rPr>
        <w:t> </w:t>
      </w:r>
      <w:r>
        <w:rPr>
          <w:sz w:val="22"/>
        </w:rPr>
        <w:t>target</w:t>
      </w:r>
      <w:r>
        <w:rPr>
          <w:spacing w:val="-9"/>
          <w:sz w:val="22"/>
        </w:rPr>
        <w:t> </w:t>
      </w:r>
      <w:r>
        <w:rPr>
          <w:sz w:val="22"/>
        </w:rPr>
        <w:t>setting</w:t>
      </w:r>
      <w:r>
        <w:rPr>
          <w:spacing w:val="-12"/>
          <w:sz w:val="22"/>
        </w:rPr>
        <w:t> </w:t>
      </w:r>
      <w:r>
        <w:rPr>
          <w:sz w:val="22"/>
        </w:rPr>
        <w:t>for</w:t>
      </w:r>
      <w:r>
        <w:rPr>
          <w:spacing w:val="-9"/>
          <w:sz w:val="22"/>
        </w:rPr>
        <w:t> </w:t>
      </w:r>
      <w:r>
        <w:rPr>
          <w:sz w:val="22"/>
        </w:rPr>
        <w:t>quality</w:t>
      </w:r>
      <w:r>
        <w:rPr>
          <w:spacing w:val="-9"/>
          <w:sz w:val="22"/>
        </w:rPr>
        <w:t> </w:t>
      </w:r>
      <w:r>
        <w:rPr>
          <w:sz w:val="22"/>
        </w:rPr>
        <w:t>measures</w:t>
      </w:r>
      <w:r>
        <w:rPr>
          <w:spacing w:val="-9"/>
          <w:sz w:val="22"/>
        </w:rPr>
        <w:t> </w:t>
      </w:r>
      <w:r>
        <w:rPr>
          <w:sz w:val="22"/>
        </w:rPr>
        <w:t>must</w:t>
      </w:r>
      <w:r>
        <w:rPr>
          <w:spacing w:val="-9"/>
          <w:sz w:val="22"/>
        </w:rPr>
        <w:t> </w:t>
      </w:r>
      <w:r>
        <w:rPr>
          <w:sz w:val="22"/>
        </w:rPr>
        <w:t>recuse</w:t>
      </w:r>
      <w:r>
        <w:rPr>
          <w:spacing w:val="-9"/>
          <w:sz w:val="22"/>
        </w:rPr>
        <w:t> </w:t>
      </w:r>
      <w:r>
        <w:rPr>
          <w:sz w:val="22"/>
        </w:rPr>
        <w:t>themselves</w:t>
      </w:r>
      <w:r>
        <w:rPr>
          <w:spacing w:val="-9"/>
          <w:sz w:val="22"/>
        </w:rPr>
        <w:t> </w:t>
      </w:r>
      <w:r>
        <w:rPr>
          <w:sz w:val="22"/>
        </w:rPr>
        <w:t>when</w:t>
      </w:r>
      <w:r>
        <w:rPr>
          <w:spacing w:val="-10"/>
          <w:sz w:val="22"/>
        </w:rPr>
        <w:t> </w:t>
      </w:r>
      <w:r>
        <w:rPr>
          <w:sz w:val="22"/>
        </w:rPr>
        <w:t>the Committee is discussing performance target setting.</w:t>
      </w:r>
      <w:r>
        <w:rPr>
          <w:spacing w:val="40"/>
          <w:sz w:val="22"/>
        </w:rPr>
        <w:t> </w:t>
      </w:r>
      <w:r>
        <w:rPr>
          <w:sz w:val="22"/>
        </w:rPr>
        <w:t>Finally, potential conflicts of interest will be considered when selecting Committee members to try to minimize such conflicts.</w:t>
      </w:r>
    </w:p>
    <w:p>
      <w:pPr>
        <w:pStyle w:val="ListParagraph"/>
        <w:numPr>
          <w:ilvl w:val="2"/>
          <w:numId w:val="107"/>
        </w:numPr>
        <w:tabs>
          <w:tab w:pos="1939" w:val="left" w:leader="none"/>
        </w:tabs>
        <w:spacing w:line="252" w:lineRule="exact" w:before="201" w:after="0"/>
        <w:ind w:left="1939" w:right="0" w:hanging="719"/>
        <w:jc w:val="both"/>
        <w:rPr>
          <w:b/>
          <w:sz w:val="22"/>
        </w:rPr>
      </w:pPr>
      <w:bookmarkStart w:name="6.2.2 Independent Assessor" w:id="1455"/>
      <w:bookmarkEnd w:id="1455"/>
      <w:r>
        <w:rPr/>
      </w:r>
      <w:bookmarkStart w:name="_bookmark104" w:id="1456"/>
      <w:bookmarkEnd w:id="1456"/>
      <w:r>
        <w:rPr/>
      </w:r>
      <w:r>
        <w:rPr>
          <w:b/>
          <w:color w:val="4471C4"/>
          <w:sz w:val="22"/>
        </w:rPr>
        <w:t>Independent</w:t>
      </w:r>
      <w:r>
        <w:rPr>
          <w:b/>
          <w:color w:val="4471C4"/>
          <w:spacing w:val="-7"/>
          <w:sz w:val="22"/>
        </w:rPr>
        <w:t> </w:t>
      </w:r>
      <w:r>
        <w:rPr>
          <w:b/>
          <w:color w:val="4471C4"/>
          <w:spacing w:val="-2"/>
          <w:sz w:val="22"/>
        </w:rPr>
        <w:t>Assessor</w:t>
      </w:r>
    </w:p>
    <w:p>
      <w:pPr>
        <w:spacing w:before="0"/>
        <w:ind w:left="1220" w:right="1092" w:firstLine="0"/>
        <w:jc w:val="both"/>
        <w:rPr>
          <w:sz w:val="22"/>
        </w:rPr>
      </w:pPr>
      <w:r>
        <w:rPr>
          <w:sz w:val="22"/>
        </w:rPr>
        <w:t>The State will identify an Independent Assessor with expertise in delivery system improvement to assist with DSRIP administration, oversight, and monitoring as set forth in STC 74. The Independent Assessor will provide an added, ongoing layer of review and monitoring.</w:t>
      </w:r>
      <w:r>
        <w:rPr>
          <w:spacing w:val="40"/>
          <w:sz w:val="22"/>
        </w:rPr>
        <w:t> </w:t>
      </w:r>
      <w:r>
        <w:rPr>
          <w:sz w:val="22"/>
        </w:rPr>
        <w:t>The State and the Independent Assessor will concurrently review ACOs’, CPs’, and CSAs’ Full Participation Plans, Budgets, Budget Narratives, and</w:t>
      </w:r>
      <w:r>
        <w:rPr>
          <w:spacing w:val="-1"/>
          <w:sz w:val="22"/>
        </w:rPr>
        <w:t> </w:t>
      </w:r>
      <w:r>
        <w:rPr>
          <w:sz w:val="22"/>
        </w:rPr>
        <w:t>Semi-Annual Progress</w:t>
      </w:r>
      <w:r>
        <w:rPr>
          <w:spacing w:val="-3"/>
          <w:sz w:val="22"/>
        </w:rPr>
        <w:t> </w:t>
      </w:r>
      <w:r>
        <w:rPr>
          <w:sz w:val="22"/>
        </w:rPr>
        <w:t>Reports</w:t>
      </w:r>
      <w:r>
        <w:rPr>
          <w:spacing w:val="-3"/>
          <w:sz w:val="22"/>
        </w:rPr>
        <w:t> </w:t>
      </w:r>
      <w:r>
        <w:rPr>
          <w:sz w:val="22"/>
        </w:rPr>
        <w:t>to</w:t>
      </w:r>
      <w:r>
        <w:rPr>
          <w:spacing w:val="-1"/>
          <w:sz w:val="22"/>
        </w:rPr>
        <w:t> </w:t>
      </w:r>
      <w:r>
        <w:rPr>
          <w:sz w:val="22"/>
        </w:rPr>
        <w:t>ensure</w:t>
      </w:r>
      <w:r>
        <w:rPr>
          <w:spacing w:val="-3"/>
          <w:sz w:val="22"/>
        </w:rPr>
        <w:t> </w:t>
      </w:r>
      <w:r>
        <w:rPr>
          <w:sz w:val="22"/>
        </w:rPr>
        <w:t>compliance with</w:t>
      </w:r>
      <w:r>
        <w:rPr>
          <w:spacing w:val="-3"/>
          <w:sz w:val="22"/>
        </w:rPr>
        <w:t> </w:t>
      </w:r>
      <w:r>
        <w:rPr>
          <w:sz w:val="22"/>
        </w:rPr>
        <w:t>the</w:t>
      </w:r>
      <w:r>
        <w:rPr>
          <w:spacing w:val="-3"/>
          <w:sz w:val="22"/>
        </w:rPr>
        <w:t> </w:t>
      </w:r>
      <w:r>
        <w:rPr>
          <w:sz w:val="22"/>
        </w:rPr>
        <w:t>STCs and</w:t>
      </w:r>
      <w:r>
        <w:rPr>
          <w:spacing w:val="-1"/>
          <w:sz w:val="22"/>
        </w:rPr>
        <w:t> </w:t>
      </w:r>
      <w:r>
        <w:rPr>
          <w:sz w:val="22"/>
        </w:rPr>
        <w:t>DSRIP</w:t>
      </w:r>
      <w:r>
        <w:rPr>
          <w:spacing w:val="-1"/>
          <w:sz w:val="22"/>
        </w:rPr>
        <w:t> </w:t>
      </w:r>
      <w:r>
        <w:rPr>
          <w:sz w:val="22"/>
        </w:rPr>
        <w:t>Protocol.</w:t>
      </w:r>
      <w:r>
        <w:rPr>
          <w:spacing w:val="-1"/>
          <w:sz w:val="22"/>
        </w:rPr>
        <w:t> </w:t>
      </w:r>
      <w:r>
        <w:rPr>
          <w:sz w:val="22"/>
        </w:rPr>
        <w:t>Preliminary ACO</w:t>
      </w:r>
      <w:r>
        <w:rPr>
          <w:spacing w:val="-5"/>
          <w:sz w:val="22"/>
        </w:rPr>
        <w:t> </w:t>
      </w:r>
      <w:r>
        <w:rPr>
          <w:sz w:val="22"/>
        </w:rPr>
        <w:t>and</w:t>
      </w:r>
      <w:r>
        <w:rPr>
          <w:spacing w:val="-4"/>
          <w:sz w:val="22"/>
        </w:rPr>
        <w:t> </w:t>
      </w:r>
      <w:r>
        <w:rPr>
          <w:sz w:val="22"/>
        </w:rPr>
        <w:t>CP</w:t>
      </w:r>
      <w:r>
        <w:rPr>
          <w:spacing w:val="-4"/>
          <w:sz w:val="22"/>
        </w:rPr>
        <w:t> </w:t>
      </w:r>
      <w:r>
        <w:rPr>
          <w:sz w:val="22"/>
        </w:rPr>
        <w:t>Participation</w:t>
      </w:r>
      <w:r>
        <w:rPr>
          <w:spacing w:val="-8"/>
          <w:sz w:val="22"/>
        </w:rPr>
        <w:t> </w:t>
      </w:r>
      <w:r>
        <w:rPr>
          <w:sz w:val="22"/>
        </w:rPr>
        <w:t>Plans</w:t>
      </w:r>
      <w:r>
        <w:rPr>
          <w:spacing w:val="-6"/>
          <w:sz w:val="22"/>
        </w:rPr>
        <w:t> </w:t>
      </w:r>
      <w:r>
        <w:rPr>
          <w:sz w:val="22"/>
        </w:rPr>
        <w:t>and</w:t>
      </w:r>
      <w:r>
        <w:rPr>
          <w:spacing w:val="-6"/>
          <w:sz w:val="22"/>
        </w:rPr>
        <w:t> </w:t>
      </w:r>
      <w:r>
        <w:rPr>
          <w:sz w:val="22"/>
        </w:rPr>
        <w:t>the</w:t>
      </w:r>
      <w:r>
        <w:rPr>
          <w:spacing w:val="-3"/>
          <w:sz w:val="22"/>
        </w:rPr>
        <w:t> </w:t>
      </w:r>
      <w:r>
        <w:rPr>
          <w:sz w:val="22"/>
        </w:rPr>
        <w:t>Budgets</w:t>
      </w:r>
      <w:r>
        <w:rPr>
          <w:spacing w:val="-6"/>
          <w:sz w:val="22"/>
        </w:rPr>
        <w:t> </w:t>
      </w:r>
      <w:r>
        <w:rPr>
          <w:sz w:val="22"/>
        </w:rPr>
        <w:t>and</w:t>
      </w:r>
      <w:r>
        <w:rPr>
          <w:spacing w:val="-9"/>
          <w:sz w:val="22"/>
        </w:rPr>
        <w:t> </w:t>
      </w:r>
      <w:r>
        <w:rPr>
          <w:sz w:val="22"/>
        </w:rPr>
        <w:t>Budget</w:t>
      </w:r>
      <w:r>
        <w:rPr>
          <w:spacing w:val="-3"/>
          <w:sz w:val="22"/>
        </w:rPr>
        <w:t> </w:t>
      </w:r>
      <w:r>
        <w:rPr>
          <w:sz w:val="22"/>
        </w:rPr>
        <w:t>Narratives</w:t>
      </w:r>
      <w:r>
        <w:rPr>
          <w:spacing w:val="-3"/>
          <w:sz w:val="22"/>
        </w:rPr>
        <w:t> </w:t>
      </w:r>
      <w:r>
        <w:rPr>
          <w:sz w:val="22"/>
        </w:rPr>
        <w:t>for</w:t>
      </w:r>
      <w:r>
        <w:rPr>
          <w:spacing w:val="-5"/>
          <w:sz w:val="22"/>
        </w:rPr>
        <w:t> </w:t>
      </w:r>
      <w:r>
        <w:rPr>
          <w:sz w:val="22"/>
        </w:rPr>
        <w:t>the</w:t>
      </w:r>
      <w:r>
        <w:rPr>
          <w:spacing w:val="-6"/>
          <w:sz w:val="22"/>
        </w:rPr>
        <w:t> </w:t>
      </w:r>
      <w:r>
        <w:rPr>
          <w:sz w:val="22"/>
        </w:rPr>
        <w:t>Preparation</w:t>
      </w:r>
      <w:r>
        <w:rPr>
          <w:spacing w:val="-6"/>
          <w:sz w:val="22"/>
        </w:rPr>
        <w:t> </w:t>
      </w:r>
      <w:r>
        <w:rPr>
          <w:sz w:val="22"/>
        </w:rPr>
        <w:t>Budget</w:t>
      </w:r>
      <w:r>
        <w:rPr>
          <w:spacing w:val="-3"/>
          <w:sz w:val="22"/>
        </w:rPr>
        <w:t> </w:t>
      </w:r>
      <w:r>
        <w:rPr>
          <w:sz w:val="22"/>
        </w:rPr>
        <w:t>Period will not be subject to review by the Independent Assessor. The Independent Assessor shall make recommendations</w:t>
      </w:r>
      <w:r>
        <w:rPr>
          <w:spacing w:val="-11"/>
          <w:sz w:val="22"/>
        </w:rPr>
        <w:t> </w:t>
      </w:r>
      <w:r>
        <w:rPr>
          <w:sz w:val="22"/>
        </w:rPr>
        <w:t>to</w:t>
      </w:r>
      <w:r>
        <w:rPr>
          <w:spacing w:val="-12"/>
          <w:sz w:val="22"/>
        </w:rPr>
        <w:t> </w:t>
      </w:r>
      <w:r>
        <w:rPr>
          <w:sz w:val="22"/>
        </w:rPr>
        <w:t>the</w:t>
      </w:r>
      <w:r>
        <w:rPr>
          <w:spacing w:val="-9"/>
          <w:sz w:val="22"/>
        </w:rPr>
        <w:t> </w:t>
      </w:r>
      <w:r>
        <w:rPr>
          <w:sz w:val="22"/>
        </w:rPr>
        <w:t>State</w:t>
      </w:r>
      <w:r>
        <w:rPr>
          <w:spacing w:val="-9"/>
          <w:sz w:val="22"/>
        </w:rPr>
        <w:t> </w:t>
      </w:r>
      <w:r>
        <w:rPr>
          <w:sz w:val="22"/>
        </w:rPr>
        <w:t>regarding</w:t>
      </w:r>
      <w:r>
        <w:rPr>
          <w:spacing w:val="-12"/>
          <w:sz w:val="22"/>
        </w:rPr>
        <w:t> </w:t>
      </w:r>
      <w:r>
        <w:rPr>
          <w:sz w:val="22"/>
        </w:rPr>
        <w:t>approvals,</w:t>
      </w:r>
      <w:r>
        <w:rPr>
          <w:spacing w:val="-12"/>
          <w:sz w:val="22"/>
        </w:rPr>
        <w:t> </w:t>
      </w:r>
      <w:r>
        <w:rPr>
          <w:sz w:val="22"/>
        </w:rPr>
        <w:t>denials</w:t>
      </w:r>
      <w:r>
        <w:rPr>
          <w:spacing w:val="-9"/>
          <w:sz w:val="22"/>
        </w:rPr>
        <w:t> </w:t>
      </w:r>
      <w:r>
        <w:rPr>
          <w:sz w:val="22"/>
        </w:rPr>
        <w:t>or</w:t>
      </w:r>
      <w:r>
        <w:rPr>
          <w:spacing w:val="-9"/>
          <w:sz w:val="22"/>
        </w:rPr>
        <w:t> </w:t>
      </w:r>
      <w:r>
        <w:rPr>
          <w:sz w:val="22"/>
        </w:rPr>
        <w:t>recommended</w:t>
      </w:r>
      <w:r>
        <w:rPr>
          <w:spacing w:val="-10"/>
          <w:sz w:val="22"/>
        </w:rPr>
        <w:t> </w:t>
      </w:r>
      <w:r>
        <w:rPr>
          <w:sz w:val="22"/>
        </w:rPr>
        <w:t>changes</w:t>
      </w:r>
      <w:r>
        <w:rPr>
          <w:spacing w:val="-9"/>
          <w:sz w:val="22"/>
        </w:rPr>
        <w:t> </w:t>
      </w:r>
      <w:r>
        <w:rPr>
          <w:sz w:val="22"/>
        </w:rPr>
        <w:t>to</w:t>
      </w:r>
      <w:r>
        <w:rPr>
          <w:spacing w:val="-10"/>
          <w:sz w:val="22"/>
        </w:rPr>
        <w:t> </w:t>
      </w:r>
      <w:r>
        <w:rPr>
          <w:sz w:val="22"/>
        </w:rPr>
        <w:t>Participation</w:t>
      </w:r>
      <w:r>
        <w:rPr>
          <w:spacing w:val="-10"/>
          <w:sz w:val="22"/>
        </w:rPr>
        <w:t> </w:t>
      </w:r>
      <w:r>
        <w:rPr>
          <w:sz w:val="22"/>
        </w:rPr>
        <w:t>Plans, Budgets, Budget Narratives, and Semi-Annual Progress Reports, but final decision-making authority regarding all approvals, denials or requests for modifications rests with the State. However, the State will carefully consider the Independent Assessor’s recommendations. The State has the authority to change Independent Assessors at the State’s discretion.</w:t>
      </w:r>
    </w:p>
    <w:p>
      <w:pPr>
        <w:spacing w:before="158"/>
        <w:ind w:left="1220" w:right="1091" w:firstLine="0"/>
        <w:jc w:val="both"/>
        <w:rPr>
          <w:sz w:val="22"/>
        </w:rPr>
      </w:pPr>
      <w:r>
        <w:rPr>
          <w:sz w:val="22"/>
        </w:rPr>
        <w:t>Additionally, the Independent Assessor shall perform a midpoint assessment, which will systematically assess the performance of key demonstration entities, including identification of specific challenges and actionable mitigation strategies for mid-course correction for the State’s consideration.</w:t>
      </w:r>
      <w:r>
        <w:rPr>
          <w:spacing w:val="40"/>
          <w:sz w:val="22"/>
        </w:rPr>
        <w:t> </w:t>
      </w:r>
      <w:r>
        <w:rPr>
          <w:sz w:val="22"/>
        </w:rPr>
        <w:t>Specifically, the midpoint assessment will focus on ACO and CP implementation of their DSRIP Participation Plans, Budgets,</w:t>
      </w:r>
      <w:r>
        <w:rPr>
          <w:spacing w:val="-14"/>
          <w:sz w:val="22"/>
        </w:rPr>
        <w:t> </w:t>
      </w:r>
      <w:r>
        <w:rPr>
          <w:sz w:val="22"/>
        </w:rPr>
        <w:t>and</w:t>
      </w:r>
      <w:r>
        <w:rPr>
          <w:spacing w:val="-14"/>
          <w:sz w:val="22"/>
        </w:rPr>
        <w:t> </w:t>
      </w:r>
      <w:r>
        <w:rPr>
          <w:sz w:val="22"/>
        </w:rPr>
        <w:t>Budget</w:t>
      </w:r>
      <w:r>
        <w:rPr>
          <w:spacing w:val="-14"/>
          <w:sz w:val="22"/>
        </w:rPr>
        <w:t> </w:t>
      </w:r>
      <w:r>
        <w:rPr>
          <w:sz w:val="22"/>
        </w:rPr>
        <w:t>Narratives,</w:t>
      </w:r>
      <w:r>
        <w:rPr>
          <w:spacing w:val="-13"/>
          <w:sz w:val="22"/>
        </w:rPr>
        <w:t> </w:t>
      </w:r>
      <w:r>
        <w:rPr>
          <w:sz w:val="22"/>
        </w:rPr>
        <w:t>as</w:t>
      </w:r>
      <w:r>
        <w:rPr>
          <w:spacing w:val="-14"/>
          <w:sz w:val="22"/>
        </w:rPr>
        <w:t> </w:t>
      </w:r>
      <w:r>
        <w:rPr>
          <w:sz w:val="22"/>
        </w:rPr>
        <w:t>well</w:t>
      </w:r>
      <w:r>
        <w:rPr>
          <w:spacing w:val="-14"/>
          <w:sz w:val="22"/>
        </w:rPr>
        <w:t> </w:t>
      </w:r>
      <w:r>
        <w:rPr>
          <w:sz w:val="22"/>
        </w:rPr>
        <w:t>as</w:t>
      </w:r>
      <w:r>
        <w:rPr>
          <w:spacing w:val="-14"/>
          <w:sz w:val="22"/>
        </w:rPr>
        <w:t> </w:t>
      </w:r>
      <w:r>
        <w:rPr>
          <w:sz w:val="22"/>
        </w:rPr>
        <w:t>key</w:t>
      </w:r>
      <w:r>
        <w:rPr>
          <w:spacing w:val="-13"/>
          <w:sz w:val="22"/>
        </w:rPr>
        <w:t> </w:t>
      </w:r>
      <w:r>
        <w:rPr>
          <w:sz w:val="22"/>
        </w:rPr>
        <w:t>vendors</w:t>
      </w:r>
      <w:r>
        <w:rPr>
          <w:spacing w:val="-14"/>
          <w:sz w:val="22"/>
        </w:rPr>
        <w:t> </w:t>
      </w:r>
      <w:r>
        <w:rPr>
          <w:sz w:val="22"/>
        </w:rPr>
        <w:t>procured</w:t>
      </w:r>
      <w:r>
        <w:rPr>
          <w:spacing w:val="-14"/>
          <w:sz w:val="22"/>
        </w:rPr>
        <w:t> </w:t>
      </w:r>
      <w:r>
        <w:rPr>
          <w:sz w:val="22"/>
        </w:rPr>
        <w:t>by</w:t>
      </w:r>
      <w:r>
        <w:rPr>
          <w:spacing w:val="-14"/>
          <w:sz w:val="22"/>
        </w:rPr>
        <w:t> </w:t>
      </w:r>
      <w:r>
        <w:rPr>
          <w:sz w:val="22"/>
        </w:rPr>
        <w:t>the</w:t>
      </w:r>
      <w:r>
        <w:rPr>
          <w:spacing w:val="-13"/>
          <w:sz w:val="22"/>
        </w:rPr>
        <w:t> </w:t>
      </w:r>
      <w:r>
        <w:rPr>
          <w:sz w:val="22"/>
        </w:rPr>
        <w:t>State</w:t>
      </w:r>
      <w:r>
        <w:rPr>
          <w:spacing w:val="-14"/>
          <w:sz w:val="22"/>
        </w:rPr>
        <w:t> </w:t>
      </w:r>
      <w:r>
        <w:rPr>
          <w:sz w:val="22"/>
        </w:rPr>
        <w:t>for</w:t>
      </w:r>
      <w:r>
        <w:rPr>
          <w:spacing w:val="-14"/>
          <w:sz w:val="22"/>
        </w:rPr>
        <w:t> </w:t>
      </w:r>
      <w:r>
        <w:rPr>
          <w:sz w:val="22"/>
        </w:rPr>
        <w:t>the</w:t>
      </w:r>
      <w:r>
        <w:rPr>
          <w:spacing w:val="-14"/>
          <w:sz w:val="22"/>
        </w:rPr>
        <w:t> </w:t>
      </w:r>
      <w:r>
        <w:rPr>
          <w:sz w:val="22"/>
        </w:rPr>
        <w:t>purposes</w:t>
      </w:r>
      <w:r>
        <w:rPr>
          <w:spacing w:val="-13"/>
          <w:sz w:val="22"/>
        </w:rPr>
        <w:t> </w:t>
      </w:r>
      <w:r>
        <w:rPr>
          <w:sz w:val="22"/>
        </w:rPr>
        <w:t>of</w:t>
      </w:r>
      <w:r>
        <w:rPr>
          <w:spacing w:val="-14"/>
          <w:sz w:val="22"/>
        </w:rPr>
        <w:t> </w:t>
      </w:r>
      <w:r>
        <w:rPr>
          <w:sz w:val="22"/>
        </w:rPr>
        <w:t>developing and</w:t>
      </w:r>
      <w:r>
        <w:rPr>
          <w:spacing w:val="-1"/>
          <w:sz w:val="22"/>
        </w:rPr>
        <w:t> </w:t>
      </w:r>
      <w:r>
        <w:rPr>
          <w:sz w:val="22"/>
        </w:rPr>
        <w:t>implementing</w:t>
      </w:r>
      <w:r>
        <w:rPr>
          <w:spacing w:val="-2"/>
          <w:sz w:val="22"/>
        </w:rPr>
        <w:t> </w:t>
      </w:r>
      <w:r>
        <w:rPr>
          <w:sz w:val="22"/>
        </w:rPr>
        <w:t>the Statewide Investments.</w:t>
      </w:r>
      <w:r>
        <w:rPr>
          <w:spacing w:val="-1"/>
          <w:sz w:val="22"/>
        </w:rPr>
        <w:t> </w:t>
      </w:r>
      <w:r>
        <w:rPr>
          <w:sz w:val="22"/>
        </w:rPr>
        <w:t>The midpoint assessment report shall cover implementation activities from July 1, 2017 through December 31, 2019, and the midpoint assessment report will be submitted to CMS by the end of September 2020.</w:t>
      </w:r>
      <w:r>
        <w:rPr>
          <w:spacing w:val="40"/>
          <w:sz w:val="22"/>
        </w:rPr>
        <w:t> </w:t>
      </w:r>
      <w:r>
        <w:rPr>
          <w:sz w:val="22"/>
        </w:rPr>
        <w:t>Notwithstanding STC 74, in the event of a state of emergency</w:t>
      </w:r>
      <w:r>
        <w:rPr>
          <w:spacing w:val="-12"/>
          <w:sz w:val="22"/>
        </w:rPr>
        <w:t> </w:t>
      </w:r>
      <w:r>
        <w:rPr>
          <w:sz w:val="22"/>
        </w:rPr>
        <w:t>declared</w:t>
      </w:r>
      <w:r>
        <w:rPr>
          <w:spacing w:val="-10"/>
          <w:sz w:val="22"/>
        </w:rPr>
        <w:t> </w:t>
      </w:r>
      <w:r>
        <w:rPr>
          <w:sz w:val="22"/>
        </w:rPr>
        <w:t>by</w:t>
      </w:r>
      <w:r>
        <w:rPr>
          <w:spacing w:val="-12"/>
          <w:sz w:val="22"/>
        </w:rPr>
        <w:t> </w:t>
      </w:r>
      <w:r>
        <w:rPr>
          <w:sz w:val="22"/>
        </w:rPr>
        <w:t>the</w:t>
      </w:r>
      <w:r>
        <w:rPr>
          <w:spacing w:val="-11"/>
          <w:sz w:val="22"/>
        </w:rPr>
        <w:t> </w:t>
      </w:r>
      <w:r>
        <w:rPr>
          <w:sz w:val="22"/>
        </w:rPr>
        <w:t>federal</w:t>
      </w:r>
      <w:r>
        <w:rPr>
          <w:spacing w:val="-9"/>
          <w:sz w:val="22"/>
        </w:rPr>
        <w:t> </w:t>
      </w:r>
      <w:r>
        <w:rPr>
          <w:sz w:val="22"/>
        </w:rPr>
        <w:t>or</w:t>
      </w:r>
      <w:r>
        <w:rPr>
          <w:spacing w:val="-11"/>
          <w:sz w:val="22"/>
        </w:rPr>
        <w:t> </w:t>
      </w:r>
      <w:r>
        <w:rPr>
          <w:sz w:val="22"/>
        </w:rPr>
        <w:t>state</w:t>
      </w:r>
      <w:r>
        <w:rPr>
          <w:spacing w:val="-12"/>
          <w:sz w:val="22"/>
        </w:rPr>
        <w:t> </w:t>
      </w:r>
      <w:r>
        <w:rPr>
          <w:sz w:val="22"/>
        </w:rPr>
        <w:t>government,</w:t>
      </w:r>
      <w:r>
        <w:rPr>
          <w:spacing w:val="-10"/>
          <w:sz w:val="22"/>
        </w:rPr>
        <w:t> </w:t>
      </w:r>
      <w:r>
        <w:rPr>
          <w:sz w:val="22"/>
        </w:rPr>
        <w:t>the</w:t>
      </w:r>
      <w:r>
        <w:rPr>
          <w:spacing w:val="-9"/>
          <w:sz w:val="22"/>
        </w:rPr>
        <w:t> </w:t>
      </w:r>
      <w:r>
        <w:rPr>
          <w:sz w:val="22"/>
        </w:rPr>
        <w:t>midpoint</w:t>
      </w:r>
      <w:r>
        <w:rPr>
          <w:spacing w:val="-11"/>
          <w:sz w:val="22"/>
        </w:rPr>
        <w:t> </w:t>
      </w:r>
      <w:r>
        <w:rPr>
          <w:sz w:val="22"/>
        </w:rPr>
        <w:t>assessment</w:t>
      </w:r>
      <w:r>
        <w:rPr>
          <w:spacing w:val="-9"/>
          <w:sz w:val="22"/>
        </w:rPr>
        <w:t> </w:t>
      </w:r>
      <w:r>
        <w:rPr>
          <w:sz w:val="22"/>
        </w:rPr>
        <w:t>due</w:t>
      </w:r>
      <w:r>
        <w:rPr>
          <w:spacing w:val="-9"/>
          <w:sz w:val="22"/>
        </w:rPr>
        <w:t> </w:t>
      </w:r>
      <w:r>
        <w:rPr>
          <w:sz w:val="22"/>
        </w:rPr>
        <w:t>date</w:t>
      </w:r>
      <w:r>
        <w:rPr>
          <w:spacing w:val="-9"/>
          <w:sz w:val="22"/>
        </w:rPr>
        <w:t> </w:t>
      </w:r>
      <w:r>
        <w:rPr>
          <w:sz w:val="22"/>
        </w:rPr>
        <w:t>shall</w:t>
      </w:r>
      <w:r>
        <w:rPr>
          <w:spacing w:val="-9"/>
          <w:sz w:val="22"/>
        </w:rPr>
        <w:t> </w:t>
      </w:r>
      <w:r>
        <w:rPr>
          <w:sz w:val="22"/>
        </w:rPr>
        <w:t>be</w:t>
      </w:r>
      <w:r>
        <w:rPr>
          <w:spacing w:val="-11"/>
          <w:sz w:val="22"/>
        </w:rPr>
        <w:t> </w:t>
      </w:r>
      <w:r>
        <w:rPr>
          <w:sz w:val="22"/>
        </w:rPr>
        <w:t>extended by at least two months, as mutually agreed upon by CMS and the State. The State may focus on issues identified in the midpoint assessment and may implement changes where necessary.</w:t>
      </w:r>
    </w:p>
    <w:p>
      <w:pPr>
        <w:spacing w:line="259" w:lineRule="auto" w:before="161"/>
        <w:ind w:left="1220" w:right="1111" w:firstLine="0"/>
        <w:jc w:val="left"/>
        <w:rPr>
          <w:sz w:val="22"/>
        </w:rPr>
      </w:pPr>
      <w:r>
        <w:rPr>
          <w:sz w:val="22"/>
        </w:rPr>
        <w:t>In contrast, the Independent Evaluator is charged with reviewing the DSRIP program as a whole (see Section 6.4). At the midpoint and conclusion of DSRIP, the Evaluator will undertake an interim and summative</w:t>
      </w:r>
      <w:r>
        <w:rPr>
          <w:spacing w:val="-2"/>
          <w:sz w:val="22"/>
        </w:rPr>
        <w:t> </w:t>
      </w:r>
      <w:r>
        <w:rPr>
          <w:sz w:val="22"/>
        </w:rPr>
        <w:t>evaluation,</w:t>
      </w:r>
      <w:r>
        <w:rPr>
          <w:spacing w:val="-5"/>
          <w:sz w:val="22"/>
        </w:rPr>
        <w:t> </w:t>
      </w:r>
      <w:r>
        <w:rPr>
          <w:sz w:val="22"/>
        </w:rPr>
        <w:t>respectively,</w:t>
      </w:r>
      <w:r>
        <w:rPr>
          <w:spacing w:val="-2"/>
          <w:sz w:val="22"/>
        </w:rPr>
        <w:t> </w:t>
      </w:r>
      <w:r>
        <w:rPr>
          <w:sz w:val="22"/>
        </w:rPr>
        <w:t>which</w:t>
      </w:r>
      <w:r>
        <w:rPr>
          <w:spacing w:val="-2"/>
          <w:sz w:val="22"/>
        </w:rPr>
        <w:t> </w:t>
      </w:r>
      <w:r>
        <w:rPr>
          <w:sz w:val="22"/>
        </w:rPr>
        <w:t>will</w:t>
      </w:r>
      <w:r>
        <w:rPr>
          <w:spacing w:val="-4"/>
          <w:sz w:val="22"/>
        </w:rPr>
        <w:t> </w:t>
      </w:r>
      <w:r>
        <w:rPr>
          <w:sz w:val="22"/>
        </w:rPr>
        <w:t>seek</w:t>
      </w:r>
      <w:r>
        <w:rPr>
          <w:spacing w:val="-5"/>
          <w:sz w:val="22"/>
        </w:rPr>
        <w:t> </w:t>
      </w:r>
      <w:r>
        <w:rPr>
          <w:sz w:val="22"/>
        </w:rPr>
        <w:t>to</w:t>
      </w:r>
      <w:r>
        <w:rPr>
          <w:spacing w:val="-5"/>
          <w:sz w:val="22"/>
        </w:rPr>
        <w:t> </w:t>
      </w:r>
      <w:r>
        <w:rPr>
          <w:sz w:val="22"/>
        </w:rPr>
        <w:t>determine</w:t>
      </w:r>
      <w:r>
        <w:rPr>
          <w:spacing w:val="-2"/>
          <w:sz w:val="22"/>
        </w:rPr>
        <w:t> </w:t>
      </w:r>
      <w:r>
        <w:rPr>
          <w:sz w:val="22"/>
        </w:rPr>
        <w:t>the</w:t>
      </w:r>
      <w:r>
        <w:rPr>
          <w:spacing w:val="-2"/>
          <w:sz w:val="22"/>
        </w:rPr>
        <w:t> </w:t>
      </w:r>
      <w:r>
        <w:rPr>
          <w:sz w:val="22"/>
        </w:rPr>
        <w:t>effectiveness</w:t>
      </w:r>
      <w:r>
        <w:rPr>
          <w:spacing w:val="-2"/>
          <w:sz w:val="22"/>
        </w:rPr>
        <w:t> </w:t>
      </w:r>
      <w:r>
        <w:rPr>
          <w:sz w:val="22"/>
        </w:rPr>
        <w:t>of</w:t>
      </w:r>
      <w:r>
        <w:rPr>
          <w:spacing w:val="-4"/>
          <w:sz w:val="22"/>
        </w:rPr>
        <w:t> </w:t>
      </w:r>
      <w:r>
        <w:rPr>
          <w:sz w:val="22"/>
        </w:rPr>
        <w:t>the</w:t>
      </w:r>
      <w:r>
        <w:rPr>
          <w:spacing w:val="-2"/>
          <w:sz w:val="22"/>
        </w:rPr>
        <w:t> </w:t>
      </w:r>
      <w:r>
        <w:rPr>
          <w:sz w:val="22"/>
        </w:rPr>
        <w:t>DSRIP</w:t>
      </w:r>
      <w:r>
        <w:rPr>
          <w:spacing w:val="-3"/>
          <w:sz w:val="22"/>
        </w:rPr>
        <w:t> </w:t>
      </w:r>
      <w:r>
        <w:rPr>
          <w:sz w:val="22"/>
        </w:rPr>
        <w:t>program in relationship to its goals. To accomplish such reviews, the Evaluator will use a quantitative and qualitative approach.</w:t>
      </w:r>
      <w:r>
        <w:rPr>
          <w:spacing w:val="40"/>
          <w:sz w:val="22"/>
        </w:rPr>
        <w:t> </w:t>
      </w:r>
      <w:r>
        <w:rPr>
          <w:sz w:val="22"/>
        </w:rPr>
        <w:t>These reviews may include evaluating the work of the Independent Assessor.</w:t>
      </w:r>
    </w:p>
    <w:p>
      <w:pPr>
        <w:spacing w:after="0" w:line="259" w:lineRule="auto"/>
        <w:jc w:val="left"/>
        <w:rPr>
          <w:sz w:val="22"/>
        </w:rPr>
        <w:sectPr>
          <w:pgSz w:w="12240" w:h="15840"/>
          <w:pgMar w:header="0" w:footer="967" w:top="1360" w:bottom="1160" w:left="220" w:right="340"/>
        </w:sectPr>
      </w:pPr>
    </w:p>
    <w:p>
      <w:pPr>
        <w:pStyle w:val="Heading2"/>
        <w:numPr>
          <w:ilvl w:val="1"/>
          <w:numId w:val="107"/>
        </w:numPr>
        <w:tabs>
          <w:tab w:pos="1618" w:val="left" w:leader="none"/>
        </w:tabs>
        <w:spacing w:line="240" w:lineRule="auto" w:before="59" w:after="0"/>
        <w:ind w:left="1618" w:right="0" w:hanging="398"/>
        <w:jc w:val="both"/>
        <w:rPr>
          <w:color w:val="4471C4"/>
        </w:rPr>
      </w:pPr>
      <w:bookmarkStart w:name="6.3 Stakeholder Engagement" w:id="1457"/>
      <w:bookmarkEnd w:id="1457"/>
      <w:r>
        <w:rPr>
          <w:b w:val="0"/>
        </w:rPr>
      </w:r>
      <w:bookmarkStart w:name="_bookmark105" w:id="1458"/>
      <w:bookmarkEnd w:id="1458"/>
      <w:r>
        <w:rPr>
          <w:b w:val="0"/>
        </w:rPr>
      </w:r>
      <w:r>
        <w:rPr>
          <w:color w:val="4471C4"/>
          <w:spacing w:val="-2"/>
        </w:rPr>
        <w:t>Stakeholder</w:t>
      </w:r>
      <w:r>
        <w:rPr>
          <w:color w:val="4471C4"/>
          <w:spacing w:val="2"/>
        </w:rPr>
        <w:t> </w:t>
      </w:r>
      <w:r>
        <w:rPr>
          <w:color w:val="4471C4"/>
          <w:spacing w:val="-2"/>
        </w:rPr>
        <w:t>Engagement</w:t>
      </w:r>
    </w:p>
    <w:p>
      <w:pPr>
        <w:pStyle w:val="ListParagraph"/>
        <w:numPr>
          <w:ilvl w:val="2"/>
          <w:numId w:val="107"/>
        </w:numPr>
        <w:tabs>
          <w:tab w:pos="1939" w:val="left" w:leader="none"/>
        </w:tabs>
        <w:spacing w:line="252" w:lineRule="exact" w:before="200" w:after="0"/>
        <w:ind w:left="1939" w:right="0" w:hanging="719"/>
        <w:jc w:val="both"/>
        <w:rPr>
          <w:b/>
          <w:sz w:val="22"/>
        </w:rPr>
      </w:pPr>
      <w:bookmarkStart w:name="6.3.1 Independent Consumer Support Progr" w:id="1459"/>
      <w:bookmarkEnd w:id="1459"/>
      <w:r>
        <w:rPr/>
      </w:r>
      <w:bookmarkStart w:name="_bookmark106" w:id="1460"/>
      <w:bookmarkEnd w:id="1460"/>
      <w:r>
        <w:rPr/>
      </w:r>
      <w:r>
        <w:rPr>
          <w:b/>
          <w:color w:val="4471C4"/>
          <w:sz w:val="22"/>
        </w:rPr>
        <w:t>Independent</w:t>
      </w:r>
      <w:r>
        <w:rPr>
          <w:b/>
          <w:color w:val="4471C4"/>
          <w:spacing w:val="-6"/>
          <w:sz w:val="22"/>
        </w:rPr>
        <w:t> </w:t>
      </w:r>
      <w:r>
        <w:rPr>
          <w:b/>
          <w:color w:val="4471C4"/>
          <w:sz w:val="22"/>
        </w:rPr>
        <w:t>Consumer</w:t>
      </w:r>
      <w:r>
        <w:rPr>
          <w:b/>
          <w:color w:val="4471C4"/>
          <w:spacing w:val="-9"/>
          <w:sz w:val="22"/>
        </w:rPr>
        <w:t> </w:t>
      </w:r>
      <w:r>
        <w:rPr>
          <w:b/>
          <w:color w:val="4471C4"/>
          <w:sz w:val="22"/>
        </w:rPr>
        <w:t>Support</w:t>
      </w:r>
      <w:r>
        <w:rPr>
          <w:b/>
          <w:color w:val="4471C4"/>
          <w:spacing w:val="-8"/>
          <w:sz w:val="22"/>
        </w:rPr>
        <w:t> </w:t>
      </w:r>
      <w:r>
        <w:rPr>
          <w:b/>
          <w:color w:val="4471C4"/>
          <w:spacing w:val="-2"/>
          <w:sz w:val="22"/>
        </w:rPr>
        <w:t>Program</w:t>
      </w:r>
    </w:p>
    <w:p>
      <w:pPr>
        <w:spacing w:line="242" w:lineRule="auto" w:before="0"/>
        <w:ind w:left="1220" w:right="1094" w:firstLine="0"/>
        <w:jc w:val="both"/>
        <w:rPr>
          <w:sz w:val="22"/>
        </w:rPr>
      </w:pPr>
      <w:r>
        <w:rPr>
          <w:sz w:val="22"/>
        </w:rPr>
        <w:t>The</w:t>
      </w:r>
      <w:r>
        <w:rPr>
          <w:spacing w:val="-7"/>
          <w:sz w:val="22"/>
        </w:rPr>
        <w:t> </w:t>
      </w:r>
      <w:r>
        <w:rPr>
          <w:sz w:val="22"/>
        </w:rPr>
        <w:t>State</w:t>
      </w:r>
      <w:r>
        <w:rPr>
          <w:spacing w:val="-5"/>
          <w:sz w:val="22"/>
        </w:rPr>
        <w:t> </w:t>
      </w:r>
      <w:r>
        <w:rPr>
          <w:sz w:val="22"/>
        </w:rPr>
        <w:t>will</w:t>
      </w:r>
      <w:r>
        <w:rPr>
          <w:spacing w:val="-7"/>
          <w:sz w:val="22"/>
        </w:rPr>
        <w:t> </w:t>
      </w:r>
      <w:r>
        <w:rPr>
          <w:sz w:val="22"/>
        </w:rPr>
        <w:t>create</w:t>
      </w:r>
      <w:r>
        <w:rPr>
          <w:spacing w:val="-7"/>
          <w:sz w:val="22"/>
        </w:rPr>
        <w:t> </w:t>
      </w:r>
      <w:r>
        <w:rPr>
          <w:sz w:val="22"/>
        </w:rPr>
        <w:t>Independent</w:t>
      </w:r>
      <w:r>
        <w:rPr>
          <w:spacing w:val="-7"/>
          <w:sz w:val="22"/>
        </w:rPr>
        <w:t> </w:t>
      </w:r>
      <w:r>
        <w:rPr>
          <w:sz w:val="22"/>
        </w:rPr>
        <w:t>Consumer</w:t>
      </w:r>
      <w:r>
        <w:rPr>
          <w:spacing w:val="-5"/>
          <w:sz w:val="22"/>
        </w:rPr>
        <w:t> </w:t>
      </w:r>
      <w:r>
        <w:rPr>
          <w:sz w:val="22"/>
        </w:rPr>
        <w:t>Support</w:t>
      </w:r>
      <w:r>
        <w:rPr>
          <w:spacing w:val="-5"/>
          <w:sz w:val="22"/>
        </w:rPr>
        <w:t> </w:t>
      </w:r>
      <w:r>
        <w:rPr>
          <w:sz w:val="22"/>
        </w:rPr>
        <w:t>Program</w:t>
      </w:r>
      <w:r>
        <w:rPr>
          <w:spacing w:val="-8"/>
          <w:sz w:val="22"/>
        </w:rPr>
        <w:t> </w:t>
      </w:r>
      <w:r>
        <w:rPr>
          <w:sz w:val="22"/>
        </w:rPr>
        <w:t>to</w:t>
      </w:r>
      <w:r>
        <w:rPr>
          <w:spacing w:val="-6"/>
          <w:sz w:val="22"/>
        </w:rPr>
        <w:t> </w:t>
      </w:r>
      <w:r>
        <w:rPr>
          <w:sz w:val="22"/>
        </w:rPr>
        <w:t>assist</w:t>
      </w:r>
      <w:r>
        <w:rPr>
          <w:spacing w:val="-5"/>
          <w:sz w:val="22"/>
        </w:rPr>
        <w:t> </w:t>
      </w:r>
      <w:r>
        <w:rPr>
          <w:sz w:val="22"/>
        </w:rPr>
        <w:t>beneficiaries</w:t>
      </w:r>
      <w:r>
        <w:rPr>
          <w:spacing w:val="-5"/>
          <w:sz w:val="22"/>
        </w:rPr>
        <w:t> </w:t>
      </w:r>
      <w:r>
        <w:rPr>
          <w:sz w:val="22"/>
        </w:rPr>
        <w:t>in</w:t>
      </w:r>
      <w:r>
        <w:rPr>
          <w:spacing w:val="-7"/>
          <w:sz w:val="22"/>
        </w:rPr>
        <w:t> </w:t>
      </w:r>
      <w:r>
        <w:rPr>
          <w:sz w:val="22"/>
        </w:rPr>
        <w:t>understanding</w:t>
      </w:r>
      <w:r>
        <w:rPr>
          <w:spacing w:val="-10"/>
          <w:sz w:val="22"/>
        </w:rPr>
        <w:t> </w:t>
      </w:r>
      <w:r>
        <w:rPr>
          <w:sz w:val="22"/>
        </w:rPr>
        <w:t>their coverage models and in the resolution of problems regarding services, coverage, access, and rights. The Independent Consumer Support Program will assist beneficiaries to navigate and access covered services in accordance with STC 65.</w:t>
      </w:r>
    </w:p>
    <w:p>
      <w:pPr>
        <w:pStyle w:val="ListParagraph"/>
        <w:numPr>
          <w:ilvl w:val="2"/>
          <w:numId w:val="107"/>
        </w:numPr>
        <w:tabs>
          <w:tab w:pos="1939" w:val="left" w:leader="none"/>
        </w:tabs>
        <w:spacing w:line="252" w:lineRule="exact" w:before="191" w:after="0"/>
        <w:ind w:left="1939" w:right="0" w:hanging="719"/>
        <w:jc w:val="both"/>
        <w:rPr>
          <w:b/>
          <w:sz w:val="22"/>
        </w:rPr>
      </w:pPr>
      <w:bookmarkStart w:name="6.3.2 State Public Outreach for ACO Prog" w:id="1461"/>
      <w:bookmarkEnd w:id="1461"/>
      <w:r>
        <w:rPr/>
      </w:r>
      <w:bookmarkStart w:name="_bookmark107" w:id="1462"/>
      <w:bookmarkEnd w:id="1462"/>
      <w:r>
        <w:rPr/>
      </w:r>
      <w:r>
        <w:rPr>
          <w:b/>
          <w:color w:val="4471C4"/>
          <w:sz w:val="22"/>
        </w:rPr>
        <w:t>State</w:t>
      </w:r>
      <w:r>
        <w:rPr>
          <w:b/>
          <w:color w:val="4471C4"/>
          <w:spacing w:val="-7"/>
          <w:sz w:val="22"/>
        </w:rPr>
        <w:t> </w:t>
      </w:r>
      <w:r>
        <w:rPr>
          <w:b/>
          <w:color w:val="4471C4"/>
          <w:sz w:val="22"/>
        </w:rPr>
        <w:t>Public</w:t>
      </w:r>
      <w:r>
        <w:rPr>
          <w:b/>
          <w:color w:val="4471C4"/>
          <w:spacing w:val="-4"/>
          <w:sz w:val="22"/>
        </w:rPr>
        <w:t> </w:t>
      </w:r>
      <w:r>
        <w:rPr>
          <w:b/>
          <w:color w:val="4471C4"/>
          <w:sz w:val="22"/>
        </w:rPr>
        <w:t>Outreach</w:t>
      </w:r>
      <w:r>
        <w:rPr>
          <w:b/>
          <w:color w:val="4471C4"/>
          <w:spacing w:val="-5"/>
          <w:sz w:val="22"/>
        </w:rPr>
        <w:t> </w:t>
      </w:r>
      <w:r>
        <w:rPr>
          <w:b/>
          <w:color w:val="4471C4"/>
          <w:sz w:val="22"/>
        </w:rPr>
        <w:t>for</w:t>
      </w:r>
      <w:r>
        <w:rPr>
          <w:b/>
          <w:color w:val="4471C4"/>
          <w:spacing w:val="-4"/>
          <w:sz w:val="22"/>
        </w:rPr>
        <w:t> </w:t>
      </w:r>
      <w:r>
        <w:rPr>
          <w:b/>
          <w:color w:val="4471C4"/>
          <w:sz w:val="22"/>
        </w:rPr>
        <w:t>ACO </w:t>
      </w:r>
      <w:r>
        <w:rPr>
          <w:b/>
          <w:color w:val="4471C4"/>
          <w:spacing w:val="-2"/>
          <w:sz w:val="22"/>
        </w:rPr>
        <w:t>Program</w:t>
      </w:r>
    </w:p>
    <w:p>
      <w:pPr>
        <w:spacing w:before="0"/>
        <w:ind w:left="1220" w:right="1093" w:firstLine="0"/>
        <w:jc w:val="both"/>
        <w:rPr>
          <w:sz w:val="22"/>
        </w:rPr>
      </w:pPr>
      <w:r>
        <w:rPr>
          <w:sz w:val="22"/>
        </w:rPr>
        <w:t>The State aims to facilitate a seamless transition to the new care model for MCO and ACO enrollees and will do so through the State Public Outreach for ACO Program in accordance with STC 72.</w:t>
      </w:r>
    </w:p>
    <w:p>
      <w:pPr>
        <w:pStyle w:val="ListParagraph"/>
        <w:numPr>
          <w:ilvl w:val="2"/>
          <w:numId w:val="107"/>
        </w:numPr>
        <w:tabs>
          <w:tab w:pos="1939" w:val="left" w:leader="none"/>
        </w:tabs>
        <w:spacing w:line="252" w:lineRule="exact" w:before="199" w:after="0"/>
        <w:ind w:left="1939" w:right="0" w:hanging="719"/>
        <w:jc w:val="both"/>
        <w:rPr>
          <w:b/>
          <w:sz w:val="22"/>
        </w:rPr>
      </w:pPr>
      <w:bookmarkStart w:name="6.3.3 State Reporting to External Stakeh" w:id="1463"/>
      <w:bookmarkEnd w:id="1463"/>
      <w:r>
        <w:rPr/>
      </w:r>
      <w:bookmarkStart w:name="_bookmark108" w:id="1464"/>
      <w:bookmarkEnd w:id="1464"/>
      <w:r>
        <w:rPr/>
      </w:r>
      <w:r>
        <w:rPr>
          <w:b/>
          <w:color w:val="4471C4"/>
          <w:sz w:val="22"/>
        </w:rPr>
        <w:t>State</w:t>
      </w:r>
      <w:r>
        <w:rPr>
          <w:b/>
          <w:color w:val="4471C4"/>
          <w:spacing w:val="-9"/>
          <w:sz w:val="22"/>
        </w:rPr>
        <w:t> </w:t>
      </w:r>
      <w:r>
        <w:rPr>
          <w:b/>
          <w:color w:val="4471C4"/>
          <w:sz w:val="22"/>
        </w:rPr>
        <w:t>Reporting</w:t>
      </w:r>
      <w:r>
        <w:rPr>
          <w:b/>
          <w:color w:val="4471C4"/>
          <w:spacing w:val="-7"/>
          <w:sz w:val="22"/>
        </w:rPr>
        <w:t> </w:t>
      </w:r>
      <w:r>
        <w:rPr>
          <w:b/>
          <w:color w:val="4471C4"/>
          <w:sz w:val="22"/>
        </w:rPr>
        <w:t>to</w:t>
      </w:r>
      <w:r>
        <w:rPr>
          <w:b/>
          <w:color w:val="4471C4"/>
          <w:spacing w:val="-4"/>
          <w:sz w:val="22"/>
        </w:rPr>
        <w:t> </w:t>
      </w:r>
      <w:r>
        <w:rPr>
          <w:b/>
          <w:color w:val="4471C4"/>
          <w:sz w:val="22"/>
        </w:rPr>
        <w:t>External</w:t>
      </w:r>
      <w:r>
        <w:rPr>
          <w:b/>
          <w:color w:val="4471C4"/>
          <w:spacing w:val="-4"/>
          <w:sz w:val="22"/>
        </w:rPr>
        <w:t> </w:t>
      </w:r>
      <w:r>
        <w:rPr>
          <w:b/>
          <w:color w:val="4471C4"/>
          <w:sz w:val="22"/>
        </w:rPr>
        <w:t>Stakeholders</w:t>
      </w:r>
      <w:r>
        <w:rPr>
          <w:b/>
          <w:color w:val="4471C4"/>
          <w:spacing w:val="-6"/>
          <w:sz w:val="22"/>
        </w:rPr>
        <w:t> </w:t>
      </w:r>
      <w:r>
        <w:rPr>
          <w:b/>
          <w:color w:val="4471C4"/>
          <w:sz w:val="22"/>
        </w:rPr>
        <w:t>and</w:t>
      </w:r>
      <w:r>
        <w:rPr>
          <w:b/>
          <w:color w:val="4471C4"/>
          <w:spacing w:val="-5"/>
          <w:sz w:val="22"/>
        </w:rPr>
        <w:t> </w:t>
      </w:r>
      <w:r>
        <w:rPr>
          <w:b/>
          <w:color w:val="4471C4"/>
          <w:sz w:val="22"/>
        </w:rPr>
        <w:t>Stakeholder</w:t>
      </w:r>
      <w:r>
        <w:rPr>
          <w:b/>
          <w:color w:val="4471C4"/>
          <w:spacing w:val="-4"/>
          <w:sz w:val="22"/>
        </w:rPr>
        <w:t> </w:t>
      </w:r>
      <w:r>
        <w:rPr>
          <w:b/>
          <w:color w:val="4471C4"/>
          <w:spacing w:val="-2"/>
          <w:sz w:val="22"/>
        </w:rPr>
        <w:t>Engagement</w:t>
      </w:r>
    </w:p>
    <w:p>
      <w:pPr>
        <w:spacing w:before="0"/>
        <w:ind w:left="1219" w:right="1094" w:firstLine="0"/>
        <w:jc w:val="both"/>
        <w:rPr>
          <w:sz w:val="22"/>
        </w:rPr>
      </w:pPr>
      <w:r>
        <w:rPr>
          <w:sz w:val="22"/>
        </w:rPr>
        <w:t>The State will compile public-facing</w:t>
      </w:r>
      <w:r>
        <w:rPr>
          <w:spacing w:val="-1"/>
          <w:sz w:val="22"/>
        </w:rPr>
        <w:t> </w:t>
      </w:r>
      <w:r>
        <w:rPr>
          <w:sz w:val="22"/>
        </w:rPr>
        <w:t>annual reports of ACO, CP, and statewide investments performance. The report will provide relevant information on the State’s progress under the DSRIP program, as determined</w:t>
      </w:r>
      <w:r>
        <w:rPr>
          <w:spacing w:val="-13"/>
          <w:sz w:val="22"/>
        </w:rPr>
        <w:t> </w:t>
      </w:r>
      <w:r>
        <w:rPr>
          <w:sz w:val="22"/>
        </w:rPr>
        <w:t>by</w:t>
      </w:r>
      <w:r>
        <w:rPr>
          <w:spacing w:val="-14"/>
          <w:sz w:val="22"/>
        </w:rPr>
        <w:t> </w:t>
      </w:r>
      <w:r>
        <w:rPr>
          <w:sz w:val="22"/>
        </w:rPr>
        <w:t>the</w:t>
      </w:r>
      <w:r>
        <w:rPr>
          <w:spacing w:val="-12"/>
          <w:sz w:val="22"/>
        </w:rPr>
        <w:t> </w:t>
      </w:r>
      <w:r>
        <w:rPr>
          <w:sz w:val="22"/>
        </w:rPr>
        <w:t>State.</w:t>
      </w:r>
      <w:r>
        <w:rPr>
          <w:spacing w:val="-12"/>
          <w:sz w:val="22"/>
        </w:rPr>
        <w:t> </w:t>
      </w:r>
      <w:r>
        <w:rPr>
          <w:sz w:val="22"/>
        </w:rPr>
        <w:t>Annual</w:t>
      </w:r>
      <w:r>
        <w:rPr>
          <w:spacing w:val="-13"/>
          <w:sz w:val="22"/>
        </w:rPr>
        <w:t> </w:t>
      </w:r>
      <w:r>
        <w:rPr>
          <w:sz w:val="22"/>
        </w:rPr>
        <w:t>public</w:t>
      </w:r>
      <w:r>
        <w:rPr>
          <w:spacing w:val="-14"/>
          <w:sz w:val="22"/>
        </w:rPr>
        <w:t> </w:t>
      </w:r>
      <w:r>
        <w:rPr>
          <w:sz w:val="22"/>
        </w:rPr>
        <w:t>meetings</w:t>
      </w:r>
      <w:r>
        <w:rPr>
          <w:spacing w:val="-11"/>
          <w:sz w:val="22"/>
        </w:rPr>
        <w:t> </w:t>
      </w:r>
      <w:r>
        <w:rPr>
          <w:sz w:val="22"/>
        </w:rPr>
        <w:t>will</w:t>
      </w:r>
      <w:r>
        <w:rPr>
          <w:spacing w:val="-11"/>
          <w:sz w:val="22"/>
        </w:rPr>
        <w:t> </w:t>
      </w:r>
      <w:r>
        <w:rPr>
          <w:sz w:val="22"/>
        </w:rPr>
        <w:t>be</w:t>
      </w:r>
      <w:r>
        <w:rPr>
          <w:spacing w:val="-14"/>
          <w:sz w:val="22"/>
        </w:rPr>
        <w:t> </w:t>
      </w:r>
      <w:r>
        <w:rPr>
          <w:sz w:val="22"/>
        </w:rPr>
        <w:t>held</w:t>
      </w:r>
      <w:r>
        <w:rPr>
          <w:spacing w:val="-12"/>
          <w:sz w:val="22"/>
        </w:rPr>
        <w:t> </w:t>
      </w:r>
      <w:r>
        <w:rPr>
          <w:sz w:val="22"/>
        </w:rPr>
        <w:t>to</w:t>
      </w:r>
      <w:r>
        <w:rPr>
          <w:spacing w:val="-12"/>
          <w:sz w:val="22"/>
        </w:rPr>
        <w:t> </w:t>
      </w:r>
      <w:r>
        <w:rPr>
          <w:sz w:val="22"/>
        </w:rPr>
        <w:t>engage</w:t>
      </w:r>
      <w:r>
        <w:rPr>
          <w:spacing w:val="-12"/>
          <w:sz w:val="22"/>
        </w:rPr>
        <w:t> </w:t>
      </w:r>
      <w:r>
        <w:rPr>
          <w:sz w:val="22"/>
        </w:rPr>
        <w:t>stakeholders</w:t>
      </w:r>
      <w:r>
        <w:rPr>
          <w:spacing w:val="-14"/>
          <w:sz w:val="22"/>
        </w:rPr>
        <w:t> </w:t>
      </w:r>
      <w:r>
        <w:rPr>
          <w:sz w:val="22"/>
        </w:rPr>
        <w:t>on</w:t>
      </w:r>
      <w:r>
        <w:rPr>
          <w:spacing w:val="-14"/>
          <w:sz w:val="22"/>
        </w:rPr>
        <w:t> </w:t>
      </w:r>
      <w:r>
        <w:rPr>
          <w:sz w:val="22"/>
        </w:rPr>
        <w:t>the</w:t>
      </w:r>
      <w:r>
        <w:rPr>
          <w:spacing w:val="-11"/>
          <w:sz w:val="22"/>
        </w:rPr>
        <w:t> </w:t>
      </w:r>
      <w:r>
        <w:rPr>
          <w:sz w:val="22"/>
        </w:rPr>
        <w:t>DSRIP</w:t>
      </w:r>
      <w:r>
        <w:rPr>
          <w:spacing w:val="-12"/>
          <w:sz w:val="22"/>
        </w:rPr>
        <w:t> </w:t>
      </w:r>
      <w:r>
        <w:rPr>
          <w:sz w:val="22"/>
        </w:rPr>
        <w:t>program at</w:t>
      </w:r>
      <w:r>
        <w:rPr>
          <w:spacing w:val="-4"/>
          <w:sz w:val="22"/>
        </w:rPr>
        <w:t> </w:t>
      </w:r>
      <w:r>
        <w:rPr>
          <w:sz w:val="22"/>
        </w:rPr>
        <w:t>large,</w:t>
      </w:r>
      <w:r>
        <w:rPr>
          <w:spacing w:val="-2"/>
          <w:sz w:val="22"/>
        </w:rPr>
        <w:t> </w:t>
      </w:r>
      <w:r>
        <w:rPr>
          <w:sz w:val="22"/>
        </w:rPr>
        <w:t>and</w:t>
      </w:r>
      <w:r>
        <w:rPr>
          <w:spacing w:val="-5"/>
          <w:sz w:val="22"/>
        </w:rPr>
        <w:t> </w:t>
      </w:r>
      <w:r>
        <w:rPr>
          <w:sz w:val="22"/>
        </w:rPr>
        <w:t>allow</w:t>
      </w:r>
      <w:r>
        <w:rPr>
          <w:spacing w:val="-6"/>
          <w:sz w:val="22"/>
        </w:rPr>
        <w:t> </w:t>
      </w:r>
      <w:r>
        <w:rPr>
          <w:sz w:val="22"/>
        </w:rPr>
        <w:t>for</w:t>
      </w:r>
      <w:r>
        <w:rPr>
          <w:spacing w:val="-1"/>
          <w:sz w:val="22"/>
        </w:rPr>
        <w:t> </w:t>
      </w:r>
      <w:r>
        <w:rPr>
          <w:sz w:val="22"/>
        </w:rPr>
        <w:t>discussion,</w:t>
      </w:r>
      <w:r>
        <w:rPr>
          <w:spacing w:val="-2"/>
          <w:sz w:val="22"/>
        </w:rPr>
        <w:t> </w:t>
      </w:r>
      <w:r>
        <w:rPr>
          <w:sz w:val="22"/>
        </w:rPr>
        <w:t>comments,</w:t>
      </w:r>
      <w:r>
        <w:rPr>
          <w:spacing w:val="-2"/>
          <w:sz w:val="22"/>
        </w:rPr>
        <w:t> </w:t>
      </w:r>
      <w:r>
        <w:rPr>
          <w:sz w:val="22"/>
        </w:rPr>
        <w:t>and</w:t>
      </w:r>
      <w:r>
        <w:rPr>
          <w:spacing w:val="-5"/>
          <w:sz w:val="22"/>
        </w:rPr>
        <w:t> </w:t>
      </w:r>
      <w:r>
        <w:rPr>
          <w:sz w:val="22"/>
        </w:rPr>
        <w:t>questions.</w:t>
      </w:r>
      <w:r>
        <w:rPr>
          <w:spacing w:val="-5"/>
          <w:sz w:val="22"/>
        </w:rPr>
        <w:t> </w:t>
      </w:r>
      <w:r>
        <w:rPr>
          <w:sz w:val="22"/>
        </w:rPr>
        <w:t>MassHealth</w:t>
      </w:r>
      <w:r>
        <w:rPr>
          <w:spacing w:val="-2"/>
          <w:sz w:val="22"/>
        </w:rPr>
        <w:t> </w:t>
      </w:r>
      <w:r>
        <w:rPr>
          <w:sz w:val="22"/>
        </w:rPr>
        <w:t>will</w:t>
      </w:r>
      <w:r>
        <w:rPr>
          <w:spacing w:val="-1"/>
          <w:sz w:val="22"/>
        </w:rPr>
        <w:t> </w:t>
      </w:r>
      <w:r>
        <w:rPr>
          <w:sz w:val="22"/>
        </w:rPr>
        <w:t>also</w:t>
      </w:r>
      <w:r>
        <w:rPr>
          <w:spacing w:val="-7"/>
          <w:sz w:val="22"/>
        </w:rPr>
        <w:t> </w:t>
      </w:r>
      <w:r>
        <w:rPr>
          <w:sz w:val="22"/>
        </w:rPr>
        <w:t>post</w:t>
      </w:r>
      <w:r>
        <w:rPr>
          <w:spacing w:val="-4"/>
          <w:sz w:val="22"/>
        </w:rPr>
        <w:t> </w:t>
      </w:r>
      <w:r>
        <w:rPr>
          <w:sz w:val="22"/>
        </w:rPr>
        <w:t>information</w:t>
      </w:r>
      <w:r>
        <w:rPr>
          <w:spacing w:val="-5"/>
          <w:sz w:val="22"/>
        </w:rPr>
        <w:t> </w:t>
      </w:r>
      <w:r>
        <w:rPr>
          <w:sz w:val="22"/>
        </w:rPr>
        <w:t>related to the DSRIP program</w:t>
      </w:r>
      <w:r>
        <w:rPr>
          <w:spacing w:val="-1"/>
          <w:sz w:val="22"/>
        </w:rPr>
        <w:t> </w:t>
      </w:r>
      <w:r>
        <w:rPr>
          <w:sz w:val="22"/>
        </w:rPr>
        <w:t>online. The public will be encouraged to contact MassHealth to provide comments and feedback throughout the Demonstration through a dedicated e-mail address.</w:t>
      </w:r>
    </w:p>
    <w:p>
      <w:pPr>
        <w:pStyle w:val="Heading2"/>
        <w:numPr>
          <w:ilvl w:val="1"/>
          <w:numId w:val="107"/>
        </w:numPr>
        <w:tabs>
          <w:tab w:pos="1618" w:val="left" w:leader="none"/>
        </w:tabs>
        <w:spacing w:line="240" w:lineRule="auto" w:before="202" w:after="0"/>
        <w:ind w:left="1618" w:right="0" w:hanging="398"/>
        <w:jc w:val="both"/>
        <w:rPr>
          <w:color w:val="4471C4"/>
        </w:rPr>
      </w:pPr>
      <w:bookmarkStart w:name="6.4 Evaluation of the Demonstration" w:id="1465"/>
      <w:bookmarkEnd w:id="1465"/>
      <w:r>
        <w:rPr>
          <w:b w:val="0"/>
        </w:rPr>
      </w:r>
      <w:bookmarkStart w:name="_bookmark109" w:id="1466"/>
      <w:bookmarkEnd w:id="1466"/>
      <w:r>
        <w:rPr>
          <w:b w:val="0"/>
        </w:rPr>
      </w:r>
      <w:r>
        <w:rPr>
          <w:color w:val="4471C4"/>
        </w:rPr>
        <w:t>Evaluation</w:t>
      </w:r>
      <w:r>
        <w:rPr>
          <w:color w:val="4471C4"/>
          <w:spacing w:val="-6"/>
        </w:rPr>
        <w:t> </w:t>
      </w:r>
      <w:r>
        <w:rPr>
          <w:color w:val="4471C4"/>
        </w:rPr>
        <w:t>of</w:t>
      </w:r>
      <w:r>
        <w:rPr>
          <w:color w:val="4471C4"/>
          <w:spacing w:val="-6"/>
        </w:rPr>
        <w:t> </w:t>
      </w:r>
      <w:r>
        <w:rPr>
          <w:color w:val="4471C4"/>
        </w:rPr>
        <w:t>the</w:t>
      </w:r>
      <w:r>
        <w:rPr>
          <w:color w:val="4471C4"/>
          <w:spacing w:val="-6"/>
        </w:rPr>
        <w:t> </w:t>
      </w:r>
      <w:r>
        <w:rPr>
          <w:color w:val="4471C4"/>
          <w:spacing w:val="-2"/>
        </w:rPr>
        <w:t>Demonstration</w:t>
      </w:r>
    </w:p>
    <w:p>
      <w:pPr>
        <w:spacing w:before="0"/>
        <w:ind w:left="1219" w:right="1095" w:firstLine="0"/>
        <w:jc w:val="both"/>
        <w:rPr>
          <w:sz w:val="22"/>
        </w:rPr>
      </w:pPr>
      <w:r>
        <w:rPr>
          <w:sz w:val="22"/>
        </w:rPr>
        <w:t>The State will procure an Independent Evaluator to conduct interim and final evaluations of the DSRIP program per STC 73. The State may utilize the same Independent Evaluator for the Demonstration under STC 87 as it does for the DSRIP program under STC 73.</w:t>
      </w:r>
    </w:p>
    <w:p>
      <w:pPr>
        <w:pStyle w:val="ListParagraph"/>
        <w:numPr>
          <w:ilvl w:val="2"/>
          <w:numId w:val="107"/>
        </w:numPr>
        <w:tabs>
          <w:tab w:pos="1938" w:val="left" w:leader="none"/>
        </w:tabs>
        <w:spacing w:line="240" w:lineRule="auto" w:before="198" w:after="0"/>
        <w:ind w:left="1938" w:right="0" w:hanging="719"/>
        <w:jc w:val="both"/>
        <w:rPr>
          <w:b/>
          <w:sz w:val="22"/>
        </w:rPr>
      </w:pPr>
      <w:bookmarkStart w:name="6.4.1 Requirements for Interim Evaluatio" w:id="1467"/>
      <w:bookmarkEnd w:id="1467"/>
      <w:r>
        <w:rPr/>
      </w:r>
      <w:bookmarkStart w:name="_bookmark110" w:id="1468"/>
      <w:bookmarkEnd w:id="1468"/>
      <w:r>
        <w:rPr/>
      </w:r>
      <w:r>
        <w:rPr>
          <w:b/>
          <w:color w:val="4471C4"/>
          <w:sz w:val="22"/>
        </w:rPr>
        <w:t>Requirements</w:t>
      </w:r>
      <w:r>
        <w:rPr>
          <w:b/>
          <w:color w:val="4471C4"/>
          <w:spacing w:val="-7"/>
          <w:sz w:val="22"/>
        </w:rPr>
        <w:t> </w:t>
      </w:r>
      <w:r>
        <w:rPr>
          <w:b/>
          <w:color w:val="4471C4"/>
          <w:sz w:val="22"/>
        </w:rPr>
        <w:t>for</w:t>
      </w:r>
      <w:r>
        <w:rPr>
          <w:b/>
          <w:color w:val="4471C4"/>
          <w:spacing w:val="-6"/>
          <w:sz w:val="22"/>
        </w:rPr>
        <w:t> </w:t>
      </w:r>
      <w:r>
        <w:rPr>
          <w:b/>
          <w:color w:val="4471C4"/>
          <w:sz w:val="22"/>
        </w:rPr>
        <w:t>Interim</w:t>
      </w:r>
      <w:r>
        <w:rPr>
          <w:b/>
          <w:color w:val="4471C4"/>
          <w:spacing w:val="-6"/>
          <w:sz w:val="22"/>
        </w:rPr>
        <w:t> </w:t>
      </w:r>
      <w:r>
        <w:rPr>
          <w:b/>
          <w:color w:val="4471C4"/>
          <w:spacing w:val="-2"/>
          <w:sz w:val="22"/>
        </w:rPr>
        <w:t>Evaluation</w:t>
      </w:r>
    </w:p>
    <w:p>
      <w:pPr>
        <w:spacing w:before="2"/>
        <w:ind w:left="1219" w:right="1094" w:firstLine="0"/>
        <w:jc w:val="both"/>
        <w:rPr>
          <w:sz w:val="22"/>
        </w:rPr>
      </w:pPr>
      <w:r>
        <w:rPr>
          <w:sz w:val="22"/>
        </w:rPr>
        <w:t>The Independent Evaluator will conduct an interim</w:t>
      </w:r>
      <w:r>
        <w:rPr>
          <w:spacing w:val="-1"/>
          <w:sz w:val="22"/>
        </w:rPr>
        <w:t> </w:t>
      </w:r>
      <w:r>
        <w:rPr>
          <w:sz w:val="22"/>
        </w:rPr>
        <w:t>evaluation of the DSRIP program, in accordance with STC</w:t>
      </w:r>
      <w:r>
        <w:rPr>
          <w:spacing w:val="-2"/>
          <w:sz w:val="22"/>
        </w:rPr>
        <w:t> </w:t>
      </w:r>
      <w:r>
        <w:rPr>
          <w:sz w:val="22"/>
        </w:rPr>
        <w:t>73(a).</w:t>
      </w:r>
      <w:r>
        <w:rPr>
          <w:spacing w:val="-4"/>
          <w:sz w:val="22"/>
        </w:rPr>
        <w:t> </w:t>
      </w:r>
      <w:r>
        <w:rPr>
          <w:sz w:val="22"/>
        </w:rPr>
        <w:t>The</w:t>
      </w:r>
      <w:r>
        <w:rPr>
          <w:spacing w:val="-1"/>
          <w:sz w:val="22"/>
        </w:rPr>
        <w:t> </w:t>
      </w:r>
      <w:r>
        <w:rPr>
          <w:sz w:val="22"/>
        </w:rPr>
        <w:t>interim</w:t>
      </w:r>
      <w:r>
        <w:rPr>
          <w:spacing w:val="-5"/>
          <w:sz w:val="22"/>
        </w:rPr>
        <w:t> </w:t>
      </w:r>
      <w:r>
        <w:rPr>
          <w:sz w:val="22"/>
        </w:rPr>
        <w:t>evaluation</w:t>
      </w:r>
      <w:r>
        <w:rPr>
          <w:spacing w:val="-1"/>
          <w:sz w:val="22"/>
        </w:rPr>
        <w:t> </w:t>
      </w:r>
      <w:r>
        <w:rPr>
          <w:sz w:val="22"/>
        </w:rPr>
        <w:t>will evaluate</w:t>
      </w:r>
      <w:r>
        <w:rPr>
          <w:spacing w:val="-3"/>
          <w:sz w:val="22"/>
        </w:rPr>
        <w:t> </w:t>
      </w:r>
      <w:r>
        <w:rPr>
          <w:sz w:val="22"/>
        </w:rPr>
        <w:t>the</w:t>
      </w:r>
      <w:r>
        <w:rPr>
          <w:spacing w:val="-1"/>
          <w:sz w:val="22"/>
        </w:rPr>
        <w:t> </w:t>
      </w:r>
      <w:r>
        <w:rPr>
          <w:sz w:val="22"/>
        </w:rPr>
        <w:t>program</w:t>
      </w:r>
      <w:r>
        <w:rPr>
          <w:spacing w:val="-5"/>
          <w:sz w:val="22"/>
        </w:rPr>
        <w:t> </w:t>
      </w:r>
      <w:r>
        <w:rPr>
          <w:sz w:val="22"/>
        </w:rPr>
        <w:t>using</w:t>
      </w:r>
      <w:r>
        <w:rPr>
          <w:spacing w:val="-4"/>
          <w:sz w:val="22"/>
        </w:rPr>
        <w:t> </w:t>
      </w:r>
      <w:r>
        <w:rPr>
          <w:sz w:val="22"/>
        </w:rPr>
        <w:t>quantitative</w:t>
      </w:r>
      <w:r>
        <w:rPr>
          <w:spacing w:val="-1"/>
          <w:sz w:val="22"/>
        </w:rPr>
        <w:t> </w:t>
      </w:r>
      <w:r>
        <w:rPr>
          <w:sz w:val="22"/>
        </w:rPr>
        <w:t>and</w:t>
      </w:r>
      <w:r>
        <w:rPr>
          <w:spacing w:val="-1"/>
          <w:sz w:val="22"/>
        </w:rPr>
        <w:t> </w:t>
      </w:r>
      <w:r>
        <w:rPr>
          <w:sz w:val="22"/>
        </w:rPr>
        <w:t>qualitative</w:t>
      </w:r>
      <w:r>
        <w:rPr>
          <w:spacing w:val="-1"/>
          <w:sz w:val="22"/>
        </w:rPr>
        <w:t> </w:t>
      </w:r>
      <w:r>
        <w:rPr>
          <w:sz w:val="22"/>
        </w:rPr>
        <w:t>methods</w:t>
      </w:r>
      <w:r>
        <w:rPr>
          <w:spacing w:val="-1"/>
          <w:sz w:val="22"/>
        </w:rPr>
        <w:t> </w:t>
      </w:r>
      <w:r>
        <w:rPr>
          <w:sz w:val="22"/>
        </w:rPr>
        <w:t>to determine whether the investments made through the DSRIP program are contributing to achieving the demonstration</w:t>
      </w:r>
      <w:r>
        <w:rPr>
          <w:spacing w:val="-5"/>
          <w:sz w:val="22"/>
        </w:rPr>
        <w:t> </w:t>
      </w:r>
      <w:r>
        <w:rPr>
          <w:sz w:val="22"/>
        </w:rPr>
        <w:t>goals</w:t>
      </w:r>
      <w:r>
        <w:rPr>
          <w:spacing w:val="-4"/>
          <w:sz w:val="22"/>
        </w:rPr>
        <w:t> </w:t>
      </w:r>
      <w:r>
        <w:rPr>
          <w:sz w:val="22"/>
        </w:rPr>
        <w:t>as</w:t>
      </w:r>
      <w:r>
        <w:rPr>
          <w:spacing w:val="-4"/>
          <w:sz w:val="22"/>
        </w:rPr>
        <w:t> </w:t>
      </w:r>
      <w:r>
        <w:rPr>
          <w:sz w:val="22"/>
        </w:rPr>
        <w:t>described</w:t>
      </w:r>
      <w:r>
        <w:rPr>
          <w:spacing w:val="-5"/>
          <w:sz w:val="22"/>
        </w:rPr>
        <w:t> </w:t>
      </w:r>
      <w:r>
        <w:rPr>
          <w:sz w:val="22"/>
        </w:rPr>
        <w:t>in</w:t>
      </w:r>
      <w:r>
        <w:rPr>
          <w:spacing w:val="-5"/>
          <w:sz w:val="22"/>
        </w:rPr>
        <w:t> </w:t>
      </w:r>
      <w:r>
        <w:rPr>
          <w:sz w:val="22"/>
        </w:rPr>
        <w:t>STC</w:t>
      </w:r>
      <w:r>
        <w:rPr>
          <w:spacing w:val="-6"/>
          <w:sz w:val="22"/>
        </w:rPr>
        <w:t> </w:t>
      </w:r>
      <w:r>
        <w:rPr>
          <w:sz w:val="22"/>
        </w:rPr>
        <w:t>60.</w:t>
      </w:r>
      <w:r>
        <w:rPr>
          <w:spacing w:val="-5"/>
          <w:sz w:val="22"/>
        </w:rPr>
        <w:t> </w:t>
      </w:r>
      <w:r>
        <w:rPr>
          <w:sz w:val="22"/>
        </w:rPr>
        <w:t>The</w:t>
      </w:r>
      <w:r>
        <w:rPr>
          <w:spacing w:val="-4"/>
          <w:sz w:val="22"/>
        </w:rPr>
        <w:t> </w:t>
      </w:r>
      <w:r>
        <w:rPr>
          <w:sz w:val="22"/>
        </w:rPr>
        <w:t>Independent</w:t>
      </w:r>
      <w:r>
        <w:rPr>
          <w:spacing w:val="-4"/>
          <w:sz w:val="22"/>
        </w:rPr>
        <w:t> </w:t>
      </w:r>
      <w:r>
        <w:rPr>
          <w:sz w:val="22"/>
        </w:rPr>
        <w:t>Evaluator</w:t>
      </w:r>
      <w:r>
        <w:rPr>
          <w:spacing w:val="-4"/>
          <w:sz w:val="22"/>
        </w:rPr>
        <w:t> </w:t>
      </w:r>
      <w:r>
        <w:rPr>
          <w:sz w:val="22"/>
        </w:rPr>
        <w:t>may</w:t>
      </w:r>
      <w:r>
        <w:rPr>
          <w:spacing w:val="-7"/>
          <w:sz w:val="22"/>
        </w:rPr>
        <w:t> </w:t>
      </w:r>
      <w:r>
        <w:rPr>
          <w:sz w:val="22"/>
        </w:rPr>
        <w:t>use</w:t>
      </w:r>
      <w:r>
        <w:rPr>
          <w:spacing w:val="-4"/>
          <w:sz w:val="22"/>
        </w:rPr>
        <w:t> </w:t>
      </w:r>
      <w:r>
        <w:rPr>
          <w:sz w:val="22"/>
        </w:rPr>
        <w:t>the</w:t>
      </w:r>
      <w:r>
        <w:rPr>
          <w:spacing w:val="-4"/>
          <w:sz w:val="22"/>
        </w:rPr>
        <w:t> </w:t>
      </w:r>
      <w:r>
        <w:rPr>
          <w:sz w:val="22"/>
        </w:rPr>
        <w:t>data</w:t>
      </w:r>
      <w:r>
        <w:rPr>
          <w:spacing w:val="-4"/>
          <w:sz w:val="22"/>
        </w:rPr>
        <w:t> </w:t>
      </w:r>
      <w:r>
        <w:rPr>
          <w:sz w:val="22"/>
        </w:rPr>
        <w:t>and</w:t>
      </w:r>
      <w:r>
        <w:rPr>
          <w:spacing w:val="-5"/>
          <w:sz w:val="22"/>
        </w:rPr>
        <w:t> </w:t>
      </w:r>
      <w:r>
        <w:rPr>
          <w:sz w:val="22"/>
        </w:rPr>
        <w:t>results</w:t>
      </w:r>
      <w:r>
        <w:rPr>
          <w:spacing w:val="-7"/>
          <w:sz w:val="22"/>
        </w:rPr>
        <w:t> </w:t>
      </w:r>
      <w:r>
        <w:rPr>
          <w:sz w:val="22"/>
        </w:rPr>
        <w:t>from the midpoint assessment to inform the interim and final evaluations.</w:t>
      </w:r>
    </w:p>
    <w:p>
      <w:pPr>
        <w:spacing w:before="158"/>
        <w:ind w:left="1219" w:right="1093" w:firstLine="0"/>
        <w:jc w:val="both"/>
        <w:rPr>
          <w:sz w:val="22"/>
        </w:rPr>
      </w:pPr>
      <w:r>
        <w:rPr>
          <w:sz w:val="22"/>
        </w:rPr>
        <w:t>The DSRIP interim evaluation will cover the time period July 2017 to December 2020, and will be submitted</w:t>
      </w:r>
      <w:r>
        <w:rPr>
          <w:spacing w:val="-6"/>
          <w:sz w:val="22"/>
        </w:rPr>
        <w:t> </w:t>
      </w:r>
      <w:r>
        <w:rPr>
          <w:sz w:val="22"/>
        </w:rPr>
        <w:t>to</w:t>
      </w:r>
      <w:r>
        <w:rPr>
          <w:spacing w:val="-4"/>
          <w:sz w:val="22"/>
        </w:rPr>
        <w:t> </w:t>
      </w:r>
      <w:r>
        <w:rPr>
          <w:sz w:val="22"/>
        </w:rPr>
        <w:t>CMS</w:t>
      </w:r>
      <w:r>
        <w:rPr>
          <w:spacing w:val="-4"/>
          <w:sz w:val="22"/>
        </w:rPr>
        <w:t> </w:t>
      </w:r>
      <w:r>
        <w:rPr>
          <w:sz w:val="22"/>
        </w:rPr>
        <w:t>by</w:t>
      </w:r>
      <w:r>
        <w:rPr>
          <w:spacing w:val="-6"/>
          <w:sz w:val="22"/>
        </w:rPr>
        <w:t> </w:t>
      </w:r>
      <w:r>
        <w:rPr>
          <w:sz w:val="22"/>
        </w:rPr>
        <w:t>the</w:t>
      </w:r>
      <w:r>
        <w:rPr>
          <w:spacing w:val="-3"/>
          <w:sz w:val="22"/>
        </w:rPr>
        <w:t> </w:t>
      </w:r>
      <w:r>
        <w:rPr>
          <w:sz w:val="22"/>
        </w:rPr>
        <w:t>end</w:t>
      </w:r>
      <w:r>
        <w:rPr>
          <w:spacing w:val="-4"/>
          <w:sz w:val="22"/>
        </w:rPr>
        <w:t> </w:t>
      </w:r>
      <w:r>
        <w:rPr>
          <w:sz w:val="22"/>
        </w:rPr>
        <w:t>of</w:t>
      </w:r>
      <w:r>
        <w:rPr>
          <w:spacing w:val="-3"/>
          <w:sz w:val="22"/>
        </w:rPr>
        <w:t> </w:t>
      </w:r>
      <w:r>
        <w:rPr>
          <w:sz w:val="22"/>
        </w:rPr>
        <w:t>June</w:t>
      </w:r>
      <w:r>
        <w:rPr>
          <w:spacing w:val="-3"/>
          <w:sz w:val="22"/>
        </w:rPr>
        <w:t> </w:t>
      </w:r>
      <w:r>
        <w:rPr>
          <w:sz w:val="22"/>
        </w:rPr>
        <w:t>2021.</w:t>
      </w:r>
      <w:r>
        <w:rPr>
          <w:spacing w:val="40"/>
          <w:sz w:val="22"/>
        </w:rPr>
        <w:t> </w:t>
      </w:r>
      <w:r>
        <w:rPr>
          <w:sz w:val="22"/>
        </w:rPr>
        <w:t>Notwithstanding</w:t>
      </w:r>
      <w:r>
        <w:rPr>
          <w:spacing w:val="-6"/>
          <w:sz w:val="22"/>
        </w:rPr>
        <w:t> </w:t>
      </w:r>
      <w:r>
        <w:rPr>
          <w:sz w:val="22"/>
        </w:rPr>
        <w:t>STC</w:t>
      </w:r>
      <w:r>
        <w:rPr>
          <w:spacing w:val="-5"/>
          <w:sz w:val="22"/>
        </w:rPr>
        <w:t> </w:t>
      </w:r>
      <w:r>
        <w:rPr>
          <w:sz w:val="22"/>
        </w:rPr>
        <w:t>73,</w:t>
      </w:r>
      <w:r>
        <w:rPr>
          <w:spacing w:val="-4"/>
          <w:sz w:val="22"/>
        </w:rPr>
        <w:t> </w:t>
      </w:r>
      <w:r>
        <w:rPr>
          <w:sz w:val="22"/>
        </w:rPr>
        <w:t>in</w:t>
      </w:r>
      <w:r>
        <w:rPr>
          <w:spacing w:val="-4"/>
          <w:sz w:val="22"/>
        </w:rPr>
        <w:t> </w:t>
      </w:r>
      <w:r>
        <w:rPr>
          <w:sz w:val="22"/>
        </w:rPr>
        <w:t>the</w:t>
      </w:r>
      <w:r>
        <w:rPr>
          <w:spacing w:val="-3"/>
          <w:sz w:val="22"/>
        </w:rPr>
        <w:t> </w:t>
      </w:r>
      <w:r>
        <w:rPr>
          <w:sz w:val="22"/>
        </w:rPr>
        <w:t>event</w:t>
      </w:r>
      <w:r>
        <w:rPr>
          <w:spacing w:val="-3"/>
          <w:sz w:val="22"/>
        </w:rPr>
        <w:t> </w:t>
      </w:r>
      <w:r>
        <w:rPr>
          <w:sz w:val="22"/>
        </w:rPr>
        <w:t>of</w:t>
      </w:r>
      <w:r>
        <w:rPr>
          <w:spacing w:val="-3"/>
          <w:sz w:val="22"/>
        </w:rPr>
        <w:t> </w:t>
      </w:r>
      <w:r>
        <w:rPr>
          <w:sz w:val="22"/>
        </w:rPr>
        <w:t>a</w:t>
      </w:r>
      <w:r>
        <w:rPr>
          <w:spacing w:val="-3"/>
          <w:sz w:val="22"/>
        </w:rPr>
        <w:t> </w:t>
      </w:r>
      <w:r>
        <w:rPr>
          <w:sz w:val="22"/>
        </w:rPr>
        <w:t>state</w:t>
      </w:r>
      <w:r>
        <w:rPr>
          <w:spacing w:val="-3"/>
          <w:sz w:val="22"/>
        </w:rPr>
        <w:t> </w:t>
      </w:r>
      <w:r>
        <w:rPr>
          <w:sz w:val="22"/>
        </w:rPr>
        <w:t>of</w:t>
      </w:r>
      <w:r>
        <w:rPr>
          <w:spacing w:val="-3"/>
          <w:sz w:val="22"/>
        </w:rPr>
        <w:t> </w:t>
      </w:r>
      <w:r>
        <w:rPr>
          <w:sz w:val="22"/>
        </w:rPr>
        <w:t>emergency declared by the federal or state government, due dates for the interim evaluation report shall be extended by</w:t>
      </w:r>
      <w:r>
        <w:rPr>
          <w:spacing w:val="-7"/>
          <w:sz w:val="22"/>
        </w:rPr>
        <w:t> </w:t>
      </w:r>
      <w:r>
        <w:rPr>
          <w:sz w:val="22"/>
        </w:rPr>
        <w:t>at</w:t>
      </w:r>
      <w:r>
        <w:rPr>
          <w:spacing w:val="-4"/>
          <w:sz w:val="22"/>
        </w:rPr>
        <w:t> </w:t>
      </w:r>
      <w:r>
        <w:rPr>
          <w:sz w:val="22"/>
        </w:rPr>
        <w:t>least</w:t>
      </w:r>
      <w:r>
        <w:rPr>
          <w:spacing w:val="-6"/>
          <w:sz w:val="22"/>
        </w:rPr>
        <w:t> </w:t>
      </w:r>
      <w:r>
        <w:rPr>
          <w:sz w:val="22"/>
        </w:rPr>
        <w:t>a</w:t>
      </w:r>
      <w:r>
        <w:rPr>
          <w:spacing w:val="-4"/>
          <w:sz w:val="22"/>
        </w:rPr>
        <w:t> </w:t>
      </w:r>
      <w:r>
        <w:rPr>
          <w:sz w:val="22"/>
        </w:rPr>
        <w:t>month,</w:t>
      </w:r>
      <w:r>
        <w:rPr>
          <w:spacing w:val="-5"/>
          <w:sz w:val="22"/>
        </w:rPr>
        <w:t> </w:t>
      </w:r>
      <w:r>
        <w:rPr>
          <w:sz w:val="22"/>
        </w:rPr>
        <w:t>as</w:t>
      </w:r>
      <w:r>
        <w:rPr>
          <w:spacing w:val="-4"/>
          <w:sz w:val="22"/>
        </w:rPr>
        <w:t> </w:t>
      </w:r>
      <w:r>
        <w:rPr>
          <w:sz w:val="22"/>
        </w:rPr>
        <w:t>mutually</w:t>
      </w:r>
      <w:r>
        <w:rPr>
          <w:spacing w:val="-7"/>
          <w:sz w:val="22"/>
        </w:rPr>
        <w:t> </w:t>
      </w:r>
      <w:r>
        <w:rPr>
          <w:sz w:val="22"/>
        </w:rPr>
        <w:t>agreed</w:t>
      </w:r>
      <w:r>
        <w:rPr>
          <w:spacing w:val="-5"/>
          <w:sz w:val="22"/>
        </w:rPr>
        <w:t> </w:t>
      </w:r>
      <w:r>
        <w:rPr>
          <w:sz w:val="22"/>
        </w:rPr>
        <w:t>upon</w:t>
      </w:r>
      <w:r>
        <w:rPr>
          <w:spacing w:val="-5"/>
          <w:sz w:val="22"/>
        </w:rPr>
        <w:t> </w:t>
      </w:r>
      <w:r>
        <w:rPr>
          <w:sz w:val="22"/>
        </w:rPr>
        <w:t>by</w:t>
      </w:r>
      <w:r>
        <w:rPr>
          <w:spacing w:val="-7"/>
          <w:sz w:val="22"/>
        </w:rPr>
        <w:t> </w:t>
      </w:r>
      <w:r>
        <w:rPr>
          <w:sz w:val="22"/>
        </w:rPr>
        <w:t>CMS</w:t>
      </w:r>
      <w:r>
        <w:rPr>
          <w:spacing w:val="-7"/>
          <w:sz w:val="22"/>
        </w:rPr>
        <w:t> </w:t>
      </w:r>
      <w:r>
        <w:rPr>
          <w:sz w:val="22"/>
        </w:rPr>
        <w:t>and</w:t>
      </w:r>
      <w:r>
        <w:rPr>
          <w:spacing w:val="-5"/>
          <w:sz w:val="22"/>
        </w:rPr>
        <w:t> </w:t>
      </w:r>
      <w:r>
        <w:rPr>
          <w:sz w:val="22"/>
        </w:rPr>
        <w:t>the</w:t>
      </w:r>
      <w:r>
        <w:rPr>
          <w:spacing w:val="-4"/>
          <w:sz w:val="22"/>
        </w:rPr>
        <w:t> </w:t>
      </w:r>
      <w:r>
        <w:rPr>
          <w:sz w:val="22"/>
        </w:rPr>
        <w:t>State.</w:t>
      </w:r>
      <w:r>
        <w:rPr>
          <w:spacing w:val="40"/>
          <w:sz w:val="22"/>
        </w:rPr>
        <w:t> </w:t>
      </w:r>
      <w:r>
        <w:rPr>
          <w:sz w:val="22"/>
        </w:rPr>
        <w:t>The</w:t>
      </w:r>
      <w:r>
        <w:rPr>
          <w:spacing w:val="-4"/>
          <w:sz w:val="22"/>
        </w:rPr>
        <w:t> </w:t>
      </w:r>
      <w:r>
        <w:rPr>
          <w:sz w:val="22"/>
        </w:rPr>
        <w:t>DSRIP</w:t>
      </w:r>
      <w:r>
        <w:rPr>
          <w:spacing w:val="-5"/>
          <w:sz w:val="22"/>
        </w:rPr>
        <w:t> </w:t>
      </w:r>
      <w:r>
        <w:rPr>
          <w:sz w:val="22"/>
        </w:rPr>
        <w:t>interim</w:t>
      </w:r>
      <w:r>
        <w:rPr>
          <w:spacing w:val="-8"/>
          <w:sz w:val="22"/>
        </w:rPr>
        <w:t> </w:t>
      </w:r>
      <w:r>
        <w:rPr>
          <w:sz w:val="22"/>
        </w:rPr>
        <w:t>evaluation</w:t>
      </w:r>
      <w:r>
        <w:rPr>
          <w:spacing w:val="-5"/>
          <w:sz w:val="22"/>
        </w:rPr>
        <w:t> </w:t>
      </w:r>
      <w:r>
        <w:rPr>
          <w:sz w:val="22"/>
        </w:rPr>
        <w:t>will</w:t>
      </w:r>
      <w:r>
        <w:rPr>
          <w:spacing w:val="-4"/>
          <w:sz w:val="22"/>
        </w:rPr>
        <w:t> </w:t>
      </w:r>
      <w:r>
        <w:rPr>
          <w:sz w:val="22"/>
        </w:rPr>
        <w:t>be a</w:t>
      </w:r>
      <w:r>
        <w:rPr>
          <w:spacing w:val="-16"/>
          <w:sz w:val="22"/>
        </w:rPr>
        <w:t> </w:t>
      </w:r>
      <w:r>
        <w:rPr>
          <w:sz w:val="22"/>
        </w:rPr>
        <w:t>separate</w:t>
      </w:r>
      <w:r>
        <w:rPr>
          <w:spacing w:val="-14"/>
          <w:sz w:val="22"/>
        </w:rPr>
        <w:t> </w:t>
      </w:r>
      <w:r>
        <w:rPr>
          <w:sz w:val="22"/>
        </w:rPr>
        <w:t>section</w:t>
      </w:r>
      <w:r>
        <w:rPr>
          <w:spacing w:val="-14"/>
          <w:sz w:val="22"/>
        </w:rPr>
        <w:t> </w:t>
      </w:r>
      <w:r>
        <w:rPr>
          <w:sz w:val="22"/>
        </w:rPr>
        <w:t>in</w:t>
      </w:r>
      <w:r>
        <w:rPr>
          <w:spacing w:val="-13"/>
          <w:sz w:val="22"/>
        </w:rPr>
        <w:t> </w:t>
      </w:r>
      <w:r>
        <w:rPr>
          <w:sz w:val="22"/>
        </w:rPr>
        <w:t>the</w:t>
      </w:r>
      <w:r>
        <w:rPr>
          <w:spacing w:val="-14"/>
          <w:sz w:val="22"/>
        </w:rPr>
        <w:t> </w:t>
      </w:r>
      <w:r>
        <w:rPr>
          <w:sz w:val="22"/>
        </w:rPr>
        <w:t>overall</w:t>
      </w:r>
      <w:r>
        <w:rPr>
          <w:spacing w:val="-14"/>
          <w:sz w:val="22"/>
        </w:rPr>
        <w:t> </w:t>
      </w:r>
      <w:r>
        <w:rPr>
          <w:sz w:val="22"/>
        </w:rPr>
        <w:t>waiver</w:t>
      </w:r>
      <w:r>
        <w:rPr>
          <w:spacing w:val="-14"/>
          <w:sz w:val="22"/>
        </w:rPr>
        <w:t> </w:t>
      </w:r>
      <w:r>
        <w:rPr>
          <w:sz w:val="22"/>
        </w:rPr>
        <w:t>interim</w:t>
      </w:r>
      <w:r>
        <w:rPr>
          <w:spacing w:val="-13"/>
          <w:sz w:val="22"/>
        </w:rPr>
        <w:t> </w:t>
      </w:r>
      <w:r>
        <w:rPr>
          <w:sz w:val="22"/>
        </w:rPr>
        <w:t>evaluation.</w:t>
      </w:r>
      <w:r>
        <w:rPr>
          <w:spacing w:val="-14"/>
          <w:sz w:val="22"/>
        </w:rPr>
        <w:t> </w:t>
      </w:r>
      <w:r>
        <w:rPr>
          <w:sz w:val="22"/>
        </w:rPr>
        <w:t>The</w:t>
      </w:r>
      <w:r>
        <w:rPr>
          <w:spacing w:val="-14"/>
          <w:sz w:val="22"/>
        </w:rPr>
        <w:t> </w:t>
      </w:r>
      <w:r>
        <w:rPr>
          <w:sz w:val="22"/>
        </w:rPr>
        <w:t>State</w:t>
      </w:r>
      <w:r>
        <w:rPr>
          <w:spacing w:val="-14"/>
          <w:sz w:val="22"/>
        </w:rPr>
        <w:t> </w:t>
      </w:r>
      <w:r>
        <w:rPr>
          <w:sz w:val="22"/>
        </w:rPr>
        <w:t>will</w:t>
      </w:r>
      <w:r>
        <w:rPr>
          <w:spacing w:val="-13"/>
          <w:sz w:val="22"/>
        </w:rPr>
        <w:t> </w:t>
      </w:r>
      <w:r>
        <w:rPr>
          <w:sz w:val="22"/>
        </w:rPr>
        <w:t>provide</w:t>
      </w:r>
      <w:r>
        <w:rPr>
          <w:spacing w:val="-14"/>
          <w:sz w:val="22"/>
        </w:rPr>
        <w:t> </w:t>
      </w:r>
      <w:r>
        <w:rPr>
          <w:sz w:val="22"/>
        </w:rPr>
        <w:t>the</w:t>
      </w:r>
      <w:r>
        <w:rPr>
          <w:spacing w:val="-14"/>
          <w:sz w:val="22"/>
        </w:rPr>
        <w:t> </w:t>
      </w:r>
      <w:r>
        <w:rPr>
          <w:sz w:val="22"/>
        </w:rPr>
        <w:t>draft</w:t>
      </w:r>
      <w:r>
        <w:rPr>
          <w:spacing w:val="-14"/>
          <w:sz w:val="22"/>
        </w:rPr>
        <w:t> </w:t>
      </w:r>
      <w:r>
        <w:rPr>
          <w:sz w:val="22"/>
        </w:rPr>
        <w:t>evaluation</w:t>
      </w:r>
      <w:r>
        <w:rPr>
          <w:spacing w:val="-13"/>
          <w:sz w:val="22"/>
        </w:rPr>
        <w:t> </w:t>
      </w:r>
      <w:r>
        <w:rPr>
          <w:sz w:val="22"/>
        </w:rPr>
        <w:t>design of</w:t>
      </w:r>
      <w:r>
        <w:rPr>
          <w:spacing w:val="-8"/>
          <w:sz w:val="22"/>
        </w:rPr>
        <w:t> </w:t>
      </w:r>
      <w:r>
        <w:rPr>
          <w:sz w:val="22"/>
        </w:rPr>
        <w:t>the</w:t>
      </w:r>
      <w:r>
        <w:rPr>
          <w:spacing w:val="-8"/>
          <w:sz w:val="22"/>
        </w:rPr>
        <w:t> </w:t>
      </w:r>
      <w:r>
        <w:rPr>
          <w:sz w:val="22"/>
        </w:rPr>
        <w:t>overall</w:t>
      </w:r>
      <w:r>
        <w:rPr>
          <w:spacing w:val="-7"/>
          <w:sz w:val="22"/>
        </w:rPr>
        <w:t> </w:t>
      </w:r>
      <w:r>
        <w:rPr>
          <w:sz w:val="22"/>
        </w:rPr>
        <w:t>waiver</w:t>
      </w:r>
      <w:r>
        <w:rPr>
          <w:spacing w:val="-7"/>
          <w:sz w:val="22"/>
        </w:rPr>
        <w:t> </w:t>
      </w:r>
      <w:r>
        <w:rPr>
          <w:sz w:val="22"/>
        </w:rPr>
        <w:t>(including</w:t>
      </w:r>
      <w:r>
        <w:rPr>
          <w:spacing w:val="-11"/>
          <w:sz w:val="22"/>
        </w:rPr>
        <w:t> </w:t>
      </w:r>
      <w:r>
        <w:rPr>
          <w:sz w:val="22"/>
        </w:rPr>
        <w:t>proposals</w:t>
      </w:r>
      <w:r>
        <w:rPr>
          <w:spacing w:val="-8"/>
          <w:sz w:val="22"/>
        </w:rPr>
        <w:t> </w:t>
      </w:r>
      <w:r>
        <w:rPr>
          <w:sz w:val="22"/>
        </w:rPr>
        <w:t>for</w:t>
      </w:r>
      <w:r>
        <w:rPr>
          <w:spacing w:val="-7"/>
          <w:sz w:val="22"/>
        </w:rPr>
        <w:t> </w:t>
      </w:r>
      <w:r>
        <w:rPr>
          <w:sz w:val="22"/>
        </w:rPr>
        <w:t>evaluation</w:t>
      </w:r>
      <w:r>
        <w:rPr>
          <w:spacing w:val="-8"/>
          <w:sz w:val="22"/>
        </w:rPr>
        <w:t> </w:t>
      </w:r>
      <w:r>
        <w:rPr>
          <w:sz w:val="22"/>
        </w:rPr>
        <w:t>of</w:t>
      </w:r>
      <w:r>
        <w:rPr>
          <w:spacing w:val="-7"/>
          <w:sz w:val="22"/>
        </w:rPr>
        <w:t> </w:t>
      </w:r>
      <w:r>
        <w:rPr>
          <w:sz w:val="22"/>
        </w:rPr>
        <w:t>the</w:t>
      </w:r>
      <w:r>
        <w:rPr>
          <w:spacing w:val="-8"/>
          <w:sz w:val="22"/>
        </w:rPr>
        <w:t> </w:t>
      </w:r>
      <w:r>
        <w:rPr>
          <w:sz w:val="22"/>
        </w:rPr>
        <w:t>DSRIP</w:t>
      </w:r>
      <w:r>
        <w:rPr>
          <w:spacing w:val="-9"/>
          <w:sz w:val="22"/>
        </w:rPr>
        <w:t> </w:t>
      </w:r>
      <w:r>
        <w:rPr>
          <w:sz w:val="22"/>
        </w:rPr>
        <w:t>program)</w:t>
      </w:r>
      <w:r>
        <w:rPr>
          <w:spacing w:val="-7"/>
          <w:sz w:val="22"/>
        </w:rPr>
        <w:t> </w:t>
      </w:r>
      <w:r>
        <w:rPr>
          <w:sz w:val="22"/>
        </w:rPr>
        <w:t>to</w:t>
      </w:r>
      <w:r>
        <w:rPr>
          <w:spacing w:val="-8"/>
          <w:sz w:val="22"/>
        </w:rPr>
        <w:t> </w:t>
      </w:r>
      <w:r>
        <w:rPr>
          <w:sz w:val="22"/>
        </w:rPr>
        <w:t>CMS</w:t>
      </w:r>
      <w:r>
        <w:rPr>
          <w:spacing w:val="-9"/>
          <w:sz w:val="22"/>
        </w:rPr>
        <w:t> </w:t>
      </w:r>
      <w:r>
        <w:rPr>
          <w:sz w:val="22"/>
        </w:rPr>
        <w:t>by</w:t>
      </w:r>
      <w:r>
        <w:rPr>
          <w:spacing w:val="-10"/>
          <w:sz w:val="22"/>
        </w:rPr>
        <w:t> </w:t>
      </w:r>
      <w:r>
        <w:rPr>
          <w:sz w:val="22"/>
        </w:rPr>
        <w:t>June</w:t>
      </w:r>
      <w:r>
        <w:rPr>
          <w:spacing w:val="-8"/>
          <w:sz w:val="22"/>
        </w:rPr>
        <w:t> </w:t>
      </w:r>
      <w:r>
        <w:rPr>
          <w:sz w:val="22"/>
        </w:rPr>
        <w:t>30,</w:t>
      </w:r>
      <w:r>
        <w:rPr>
          <w:spacing w:val="-8"/>
          <w:sz w:val="22"/>
        </w:rPr>
        <w:t> </w:t>
      </w:r>
      <w:r>
        <w:rPr>
          <w:spacing w:val="-2"/>
          <w:sz w:val="22"/>
        </w:rPr>
        <w:t>2018.</w:t>
      </w:r>
    </w:p>
    <w:p>
      <w:pPr>
        <w:pStyle w:val="ListParagraph"/>
        <w:numPr>
          <w:ilvl w:val="2"/>
          <w:numId w:val="107"/>
        </w:numPr>
        <w:tabs>
          <w:tab w:pos="1939" w:val="left" w:leader="none"/>
        </w:tabs>
        <w:spacing w:line="240" w:lineRule="auto" w:before="200" w:after="0"/>
        <w:ind w:left="1939" w:right="0" w:hanging="720"/>
        <w:jc w:val="left"/>
        <w:rPr>
          <w:b/>
          <w:sz w:val="22"/>
        </w:rPr>
      </w:pPr>
      <w:bookmarkStart w:name="6.4.2 Final Evaluation" w:id="1469"/>
      <w:bookmarkEnd w:id="1469"/>
      <w:r>
        <w:rPr/>
      </w:r>
      <w:bookmarkStart w:name="_bookmark111" w:id="1470"/>
      <w:bookmarkEnd w:id="1470"/>
      <w:r>
        <w:rPr/>
      </w:r>
      <w:r>
        <w:rPr>
          <w:b/>
          <w:color w:val="4471C4"/>
          <w:sz w:val="22"/>
        </w:rPr>
        <w:t>Final</w:t>
      </w:r>
      <w:r>
        <w:rPr>
          <w:b/>
          <w:color w:val="4471C4"/>
          <w:spacing w:val="-2"/>
          <w:sz w:val="22"/>
        </w:rPr>
        <w:t> Evaluation</w:t>
      </w:r>
    </w:p>
    <w:p>
      <w:pPr>
        <w:spacing w:line="259" w:lineRule="auto" w:before="1"/>
        <w:ind w:left="1220" w:right="1178" w:firstLine="0"/>
        <w:jc w:val="left"/>
        <w:rPr>
          <w:sz w:val="22"/>
        </w:rPr>
      </w:pPr>
      <w:r>
        <w:rPr>
          <w:sz w:val="22"/>
        </w:rPr>
        <w:t>In contrast to the interim evaluation, the final evaluation will provide a summative overview of the DSRIP program over the five year demonstration period, and evaluate whether the investments made through the DSRIP program contributed to achieving the demonstration goals as described in STC 60. The Independent Evaluator will also be responsible for completing the final evaluation of the DSRIP program</w:t>
      </w:r>
      <w:r>
        <w:rPr>
          <w:spacing w:val="-6"/>
          <w:sz w:val="22"/>
        </w:rPr>
        <w:t> </w:t>
      </w:r>
      <w:r>
        <w:rPr>
          <w:sz w:val="22"/>
        </w:rPr>
        <w:t>in</w:t>
      </w:r>
      <w:r>
        <w:rPr>
          <w:spacing w:val="-2"/>
          <w:sz w:val="22"/>
        </w:rPr>
        <w:t> </w:t>
      </w:r>
      <w:r>
        <w:rPr>
          <w:sz w:val="22"/>
        </w:rPr>
        <w:t>accordance</w:t>
      </w:r>
      <w:r>
        <w:rPr>
          <w:spacing w:val="-2"/>
          <w:sz w:val="22"/>
        </w:rPr>
        <w:t> </w:t>
      </w:r>
      <w:r>
        <w:rPr>
          <w:sz w:val="22"/>
        </w:rPr>
        <w:t>with</w:t>
      </w:r>
      <w:r>
        <w:rPr>
          <w:spacing w:val="-2"/>
          <w:sz w:val="22"/>
        </w:rPr>
        <w:t> </w:t>
      </w:r>
      <w:r>
        <w:rPr>
          <w:sz w:val="22"/>
        </w:rPr>
        <w:t>STCs</w:t>
      </w:r>
      <w:r>
        <w:rPr>
          <w:spacing w:val="-4"/>
          <w:sz w:val="22"/>
        </w:rPr>
        <w:t> </w:t>
      </w:r>
      <w:r>
        <w:rPr>
          <w:sz w:val="22"/>
        </w:rPr>
        <w:t>73(b)</w:t>
      </w:r>
      <w:r>
        <w:rPr>
          <w:spacing w:val="-1"/>
          <w:sz w:val="22"/>
        </w:rPr>
        <w:t> </w:t>
      </w:r>
      <w:r>
        <w:rPr>
          <w:sz w:val="22"/>
        </w:rPr>
        <w:t>and</w:t>
      </w:r>
      <w:r>
        <w:rPr>
          <w:spacing w:val="-2"/>
          <w:sz w:val="22"/>
        </w:rPr>
        <w:t> </w:t>
      </w:r>
      <w:r>
        <w:rPr>
          <w:sz w:val="22"/>
        </w:rPr>
        <w:t>88(f).</w:t>
      </w:r>
      <w:r>
        <w:rPr>
          <w:spacing w:val="-5"/>
          <w:sz w:val="22"/>
        </w:rPr>
        <w:t> </w:t>
      </w:r>
      <w:r>
        <w:rPr>
          <w:sz w:val="22"/>
        </w:rPr>
        <w:t>The</w:t>
      </w:r>
      <w:r>
        <w:rPr>
          <w:spacing w:val="-2"/>
          <w:sz w:val="22"/>
        </w:rPr>
        <w:t> </w:t>
      </w:r>
      <w:r>
        <w:rPr>
          <w:sz w:val="22"/>
        </w:rPr>
        <w:t>final</w:t>
      </w:r>
      <w:r>
        <w:rPr>
          <w:spacing w:val="-4"/>
          <w:sz w:val="22"/>
        </w:rPr>
        <w:t> </w:t>
      </w:r>
      <w:r>
        <w:rPr>
          <w:sz w:val="22"/>
        </w:rPr>
        <w:t>evaluation</w:t>
      </w:r>
      <w:r>
        <w:rPr>
          <w:spacing w:val="-2"/>
          <w:sz w:val="22"/>
        </w:rPr>
        <w:t> </w:t>
      </w:r>
      <w:r>
        <w:rPr>
          <w:sz w:val="22"/>
        </w:rPr>
        <w:t>of</w:t>
      </w:r>
      <w:r>
        <w:rPr>
          <w:spacing w:val="-1"/>
          <w:sz w:val="22"/>
        </w:rPr>
        <w:t> </w:t>
      </w:r>
      <w:r>
        <w:rPr>
          <w:sz w:val="22"/>
        </w:rPr>
        <w:t>DSRIP</w:t>
      </w:r>
      <w:r>
        <w:rPr>
          <w:spacing w:val="-3"/>
          <w:sz w:val="22"/>
        </w:rPr>
        <w:t> </w:t>
      </w:r>
      <w:r>
        <w:rPr>
          <w:sz w:val="22"/>
        </w:rPr>
        <w:t>will</w:t>
      </w:r>
      <w:r>
        <w:rPr>
          <w:spacing w:val="-4"/>
          <w:sz w:val="22"/>
        </w:rPr>
        <w:t> </w:t>
      </w:r>
      <w:r>
        <w:rPr>
          <w:sz w:val="22"/>
        </w:rPr>
        <w:t>be</w:t>
      </w:r>
      <w:r>
        <w:rPr>
          <w:spacing w:val="-2"/>
          <w:sz w:val="22"/>
        </w:rPr>
        <w:t> </w:t>
      </w:r>
      <w:r>
        <w:rPr>
          <w:sz w:val="22"/>
        </w:rPr>
        <w:t>a</w:t>
      </w:r>
      <w:r>
        <w:rPr>
          <w:spacing w:val="-4"/>
          <w:sz w:val="22"/>
        </w:rPr>
        <w:t> </w:t>
      </w:r>
      <w:r>
        <w:rPr>
          <w:sz w:val="22"/>
        </w:rPr>
        <w:t>component</w:t>
      </w:r>
      <w:r>
        <w:rPr>
          <w:spacing w:val="-1"/>
          <w:sz w:val="22"/>
        </w:rPr>
        <w:t> </w:t>
      </w:r>
      <w:r>
        <w:rPr>
          <w:sz w:val="22"/>
        </w:rPr>
        <w:t>of the Summative Evaluation submitted to CMS as per the timeline in STC 88(f).</w:t>
      </w:r>
    </w:p>
    <w:p>
      <w:pPr>
        <w:spacing w:after="0" w:line="259" w:lineRule="auto"/>
        <w:jc w:val="left"/>
        <w:rPr>
          <w:sz w:val="22"/>
        </w:rPr>
        <w:sectPr>
          <w:pgSz w:w="12240" w:h="15840"/>
          <w:pgMar w:header="0" w:footer="967" w:top="1380" w:bottom="1160" w:left="220" w:right="340"/>
        </w:sectPr>
      </w:pPr>
    </w:p>
    <w:p>
      <w:pPr>
        <w:pStyle w:val="Heading3"/>
        <w:numPr>
          <w:ilvl w:val="1"/>
          <w:numId w:val="107"/>
        </w:numPr>
        <w:tabs>
          <w:tab w:pos="1611" w:val="left" w:leader="none"/>
        </w:tabs>
        <w:spacing w:line="240" w:lineRule="auto" w:before="19" w:after="0"/>
        <w:ind w:left="1611" w:right="0" w:hanging="391"/>
        <w:jc w:val="left"/>
        <w:rPr>
          <w:b w:val="0"/>
          <w:color w:val="4471C4"/>
        </w:rPr>
      </w:pPr>
      <w:bookmarkStart w:name="6.5 CMS Oversight" w:id="1471"/>
      <w:bookmarkEnd w:id="1471"/>
      <w:r>
        <w:rPr/>
      </w:r>
      <w:bookmarkStart w:name="_bookmark112" w:id="1472"/>
      <w:bookmarkEnd w:id="1472"/>
      <w:r>
        <w:rPr/>
      </w:r>
      <w:r>
        <w:rPr>
          <w:b w:val="0"/>
          <w:color w:val="4471C4"/>
        </w:rPr>
        <w:t>CMS</w:t>
      </w:r>
      <w:r>
        <w:rPr>
          <w:b w:val="0"/>
          <w:color w:val="4471C4"/>
          <w:spacing w:val="-14"/>
        </w:rPr>
        <w:t> </w:t>
      </w:r>
      <w:r>
        <w:rPr>
          <w:b w:val="0"/>
          <w:color w:val="4471C4"/>
          <w:spacing w:val="-2"/>
        </w:rPr>
        <w:t>Oversight</w:t>
      </w:r>
    </w:p>
    <w:p>
      <w:pPr>
        <w:pStyle w:val="BodyText"/>
        <w:spacing w:before="4"/>
        <w:rPr>
          <w:rFonts w:ascii="Calibri Light"/>
          <w:b w:val="0"/>
          <w:sz w:val="20"/>
        </w:rPr>
      </w:pPr>
    </w:p>
    <w:p>
      <w:pPr>
        <w:pStyle w:val="ListParagraph"/>
        <w:numPr>
          <w:ilvl w:val="2"/>
          <w:numId w:val="107"/>
        </w:numPr>
        <w:tabs>
          <w:tab w:pos="1939" w:val="left" w:leader="none"/>
        </w:tabs>
        <w:spacing w:line="240" w:lineRule="auto" w:before="0" w:after="0"/>
        <w:ind w:left="1939" w:right="0" w:hanging="719"/>
        <w:jc w:val="left"/>
        <w:rPr>
          <w:b/>
          <w:sz w:val="22"/>
        </w:rPr>
      </w:pPr>
      <w:bookmarkStart w:name="6.5.1 State Reporting to CMS" w:id="1473"/>
      <w:bookmarkEnd w:id="1473"/>
      <w:r>
        <w:rPr/>
      </w:r>
      <w:bookmarkStart w:name="_bookmark113" w:id="1474"/>
      <w:bookmarkEnd w:id="1474"/>
      <w:r>
        <w:rPr/>
      </w:r>
      <w:r>
        <w:rPr>
          <w:b/>
          <w:color w:val="4471C4"/>
          <w:sz w:val="22"/>
        </w:rPr>
        <w:t>State</w:t>
      </w:r>
      <w:r>
        <w:rPr>
          <w:b/>
          <w:color w:val="4471C4"/>
          <w:spacing w:val="-6"/>
          <w:sz w:val="22"/>
        </w:rPr>
        <w:t> </w:t>
      </w:r>
      <w:r>
        <w:rPr>
          <w:b/>
          <w:color w:val="4471C4"/>
          <w:sz w:val="22"/>
        </w:rPr>
        <w:t>Reporting</w:t>
      </w:r>
      <w:r>
        <w:rPr>
          <w:b/>
          <w:color w:val="4471C4"/>
          <w:spacing w:val="-5"/>
          <w:sz w:val="22"/>
        </w:rPr>
        <w:t> </w:t>
      </w:r>
      <w:r>
        <w:rPr>
          <w:b/>
          <w:color w:val="4471C4"/>
          <w:sz w:val="22"/>
        </w:rPr>
        <w:t>to</w:t>
      </w:r>
      <w:r>
        <w:rPr>
          <w:b/>
          <w:color w:val="4471C4"/>
          <w:spacing w:val="-2"/>
          <w:sz w:val="22"/>
        </w:rPr>
        <w:t> </w:t>
      </w:r>
      <w:r>
        <w:rPr>
          <w:b/>
          <w:color w:val="4471C4"/>
          <w:spacing w:val="-5"/>
          <w:sz w:val="22"/>
        </w:rPr>
        <w:t>CMS</w:t>
      </w:r>
    </w:p>
    <w:p>
      <w:pPr>
        <w:spacing w:line="259" w:lineRule="auto" w:before="2"/>
        <w:ind w:left="1219" w:right="1126" w:firstLine="0"/>
        <w:jc w:val="left"/>
        <w:rPr>
          <w:sz w:val="22"/>
        </w:rPr>
      </w:pPr>
      <w:r>
        <w:rPr>
          <w:sz w:val="22"/>
        </w:rPr>
        <w:t>The State will compile quarterly and annual reports to submit to CMS consistent with sections IX and X of the approved STCs as part of the broader 1115 demonstration reports. These reports will include an account</w:t>
      </w:r>
      <w:r>
        <w:rPr>
          <w:spacing w:val="-1"/>
          <w:sz w:val="22"/>
        </w:rPr>
        <w:t> </w:t>
      </w:r>
      <w:r>
        <w:rPr>
          <w:sz w:val="22"/>
        </w:rPr>
        <w:t>of</w:t>
      </w:r>
      <w:r>
        <w:rPr>
          <w:spacing w:val="-1"/>
          <w:sz w:val="22"/>
        </w:rPr>
        <w:t> </w:t>
      </w:r>
      <w:r>
        <w:rPr>
          <w:sz w:val="22"/>
        </w:rPr>
        <w:t>all</w:t>
      </w:r>
      <w:r>
        <w:rPr>
          <w:spacing w:val="-1"/>
          <w:sz w:val="22"/>
        </w:rPr>
        <w:t> </w:t>
      </w:r>
      <w:r>
        <w:rPr>
          <w:sz w:val="22"/>
        </w:rPr>
        <w:t>DSRIP</w:t>
      </w:r>
      <w:r>
        <w:rPr>
          <w:spacing w:val="-3"/>
          <w:sz w:val="22"/>
        </w:rPr>
        <w:t> </w:t>
      </w:r>
      <w:r>
        <w:rPr>
          <w:sz w:val="22"/>
        </w:rPr>
        <w:t>payments</w:t>
      </w:r>
      <w:r>
        <w:rPr>
          <w:spacing w:val="-2"/>
          <w:sz w:val="22"/>
        </w:rPr>
        <w:t> </w:t>
      </w:r>
      <w:r>
        <w:rPr>
          <w:sz w:val="22"/>
        </w:rPr>
        <w:t>made</w:t>
      </w:r>
      <w:r>
        <w:rPr>
          <w:spacing w:val="-2"/>
          <w:sz w:val="22"/>
        </w:rPr>
        <w:t> </w:t>
      </w:r>
      <w:r>
        <w:rPr>
          <w:sz w:val="22"/>
        </w:rPr>
        <w:t>in</w:t>
      </w:r>
      <w:r>
        <w:rPr>
          <w:spacing w:val="-2"/>
          <w:sz w:val="22"/>
        </w:rPr>
        <w:t> </w:t>
      </w:r>
      <w:r>
        <w:rPr>
          <w:sz w:val="22"/>
        </w:rPr>
        <w:t>the</w:t>
      </w:r>
      <w:r>
        <w:rPr>
          <w:spacing w:val="-2"/>
          <w:sz w:val="22"/>
        </w:rPr>
        <w:t> </w:t>
      </w:r>
      <w:r>
        <w:rPr>
          <w:sz w:val="22"/>
        </w:rPr>
        <w:t>quarter</w:t>
      </w:r>
      <w:r>
        <w:rPr>
          <w:spacing w:val="-1"/>
          <w:sz w:val="22"/>
        </w:rPr>
        <w:t> </w:t>
      </w:r>
      <w:r>
        <w:rPr>
          <w:sz w:val="22"/>
        </w:rPr>
        <w:t>or</w:t>
      </w:r>
      <w:r>
        <w:rPr>
          <w:spacing w:val="-4"/>
          <w:sz w:val="22"/>
        </w:rPr>
        <w:t> </w:t>
      </w:r>
      <w:r>
        <w:rPr>
          <w:sz w:val="22"/>
        </w:rPr>
        <w:t>year,</w:t>
      </w:r>
      <w:r>
        <w:rPr>
          <w:spacing w:val="-2"/>
          <w:sz w:val="22"/>
        </w:rPr>
        <w:t> </w:t>
      </w:r>
      <w:r>
        <w:rPr>
          <w:sz w:val="22"/>
        </w:rPr>
        <w:t>respectively</w:t>
      </w:r>
      <w:r>
        <w:rPr>
          <w:spacing w:val="-5"/>
          <w:sz w:val="22"/>
        </w:rPr>
        <w:t> </w:t>
      </w:r>
      <w:r>
        <w:rPr>
          <w:sz w:val="22"/>
        </w:rPr>
        <w:t>and</w:t>
      </w:r>
      <w:r>
        <w:rPr>
          <w:spacing w:val="-5"/>
          <w:sz w:val="22"/>
        </w:rPr>
        <w:t> </w:t>
      </w:r>
      <w:r>
        <w:rPr>
          <w:sz w:val="22"/>
        </w:rPr>
        <w:t>include</w:t>
      </w:r>
      <w:r>
        <w:rPr>
          <w:spacing w:val="-2"/>
          <w:sz w:val="22"/>
        </w:rPr>
        <w:t> </w:t>
      </w:r>
      <w:r>
        <w:rPr>
          <w:sz w:val="22"/>
        </w:rPr>
        <w:t>insights</w:t>
      </w:r>
      <w:r>
        <w:rPr>
          <w:spacing w:val="-4"/>
          <w:sz w:val="22"/>
        </w:rPr>
        <w:t> </w:t>
      </w:r>
      <w:r>
        <w:rPr>
          <w:sz w:val="22"/>
        </w:rPr>
        <w:t>and</w:t>
      </w:r>
      <w:r>
        <w:rPr>
          <w:spacing w:val="-2"/>
          <w:sz w:val="22"/>
        </w:rPr>
        <w:t> </w:t>
      </w:r>
      <w:r>
        <w:rPr>
          <w:sz w:val="22"/>
        </w:rPr>
        <w:t>updates from the progress reports collected from ACOs, CPs, and CSAs. The State and CMS will agree upon a reporting template for quarterly and annual reports by the start of the demonstration for the quarterly report and by December 2017 for the annual report. The State and CMS will also use a portion of the Monthly Monitoring Calls for March, June, September, and December of each year for an update and discussion of progress in meeting DSRIP goals, performance, challenges, mid-course corrections, successes, and evaluation.</w:t>
      </w:r>
    </w:p>
    <w:p>
      <w:pPr>
        <w:pStyle w:val="ListParagraph"/>
        <w:numPr>
          <w:ilvl w:val="2"/>
          <w:numId w:val="107"/>
        </w:numPr>
        <w:tabs>
          <w:tab w:pos="1939" w:val="left" w:leader="none"/>
        </w:tabs>
        <w:spacing w:line="240" w:lineRule="auto" w:before="195" w:after="0"/>
        <w:ind w:left="1939" w:right="0" w:hanging="720"/>
        <w:jc w:val="left"/>
        <w:rPr>
          <w:b/>
          <w:sz w:val="22"/>
        </w:rPr>
      </w:pPr>
      <w:bookmarkStart w:name="6.5.2 Process for Review, Approval, and " w:id="1475"/>
      <w:bookmarkEnd w:id="1475"/>
      <w:r>
        <w:rPr/>
      </w:r>
      <w:bookmarkStart w:name="_bookmark114" w:id="1476"/>
      <w:bookmarkEnd w:id="1476"/>
      <w:r>
        <w:rPr/>
      </w:r>
      <w:r>
        <w:rPr>
          <w:b/>
          <w:color w:val="4471C4"/>
          <w:sz w:val="22"/>
        </w:rPr>
        <w:t>Process</w:t>
      </w:r>
      <w:r>
        <w:rPr>
          <w:b/>
          <w:color w:val="4471C4"/>
          <w:spacing w:val="-6"/>
          <w:sz w:val="22"/>
        </w:rPr>
        <w:t> </w:t>
      </w:r>
      <w:r>
        <w:rPr>
          <w:b/>
          <w:color w:val="4471C4"/>
          <w:sz w:val="22"/>
        </w:rPr>
        <w:t>for</w:t>
      </w:r>
      <w:r>
        <w:rPr>
          <w:b/>
          <w:color w:val="4471C4"/>
          <w:spacing w:val="-4"/>
          <w:sz w:val="22"/>
        </w:rPr>
        <w:t> </w:t>
      </w:r>
      <w:r>
        <w:rPr>
          <w:b/>
          <w:color w:val="4471C4"/>
          <w:sz w:val="22"/>
        </w:rPr>
        <w:t>Review,</w:t>
      </w:r>
      <w:r>
        <w:rPr>
          <w:b/>
          <w:color w:val="4471C4"/>
          <w:spacing w:val="-4"/>
          <w:sz w:val="22"/>
        </w:rPr>
        <w:t> </w:t>
      </w:r>
      <w:r>
        <w:rPr>
          <w:b/>
          <w:color w:val="4471C4"/>
          <w:sz w:val="22"/>
        </w:rPr>
        <w:t>Approval,</w:t>
      </w:r>
      <w:r>
        <w:rPr>
          <w:b/>
          <w:color w:val="4471C4"/>
          <w:spacing w:val="-4"/>
          <w:sz w:val="22"/>
        </w:rPr>
        <w:t> </w:t>
      </w:r>
      <w:r>
        <w:rPr>
          <w:b/>
          <w:color w:val="4471C4"/>
          <w:sz w:val="22"/>
        </w:rPr>
        <w:t>and</w:t>
      </w:r>
      <w:r>
        <w:rPr>
          <w:b/>
          <w:color w:val="4471C4"/>
          <w:spacing w:val="-7"/>
          <w:sz w:val="22"/>
        </w:rPr>
        <w:t> </w:t>
      </w:r>
      <w:r>
        <w:rPr>
          <w:b/>
          <w:color w:val="4471C4"/>
          <w:sz w:val="22"/>
        </w:rPr>
        <w:t>Modification</w:t>
      </w:r>
      <w:r>
        <w:rPr>
          <w:b/>
          <w:color w:val="4471C4"/>
          <w:spacing w:val="-6"/>
          <w:sz w:val="22"/>
        </w:rPr>
        <w:t> </w:t>
      </w:r>
      <w:r>
        <w:rPr>
          <w:b/>
          <w:color w:val="4471C4"/>
          <w:sz w:val="22"/>
        </w:rPr>
        <w:t>of</w:t>
      </w:r>
      <w:r>
        <w:rPr>
          <w:b/>
          <w:color w:val="4471C4"/>
          <w:spacing w:val="-3"/>
          <w:sz w:val="22"/>
        </w:rPr>
        <w:t> </w:t>
      </w:r>
      <w:r>
        <w:rPr>
          <w:b/>
          <w:color w:val="4471C4"/>
          <w:spacing w:val="-2"/>
          <w:sz w:val="22"/>
        </w:rPr>
        <w:t>Protocol</w:t>
      </w:r>
    </w:p>
    <w:p>
      <w:pPr>
        <w:spacing w:line="259" w:lineRule="auto" w:before="1"/>
        <w:ind w:left="1219" w:right="1178" w:firstLine="0"/>
        <w:jc w:val="left"/>
        <w:rPr>
          <w:sz w:val="22"/>
        </w:rPr>
      </w:pPr>
      <w:r>
        <w:rPr>
          <w:sz w:val="22"/>
        </w:rPr>
        <w:t>The</w:t>
      </w:r>
      <w:r>
        <w:rPr>
          <w:spacing w:val="-4"/>
          <w:sz w:val="22"/>
        </w:rPr>
        <w:t> </w:t>
      </w:r>
      <w:r>
        <w:rPr>
          <w:sz w:val="22"/>
        </w:rPr>
        <w:t>State</w:t>
      </w:r>
      <w:r>
        <w:rPr>
          <w:spacing w:val="-2"/>
          <w:sz w:val="22"/>
        </w:rPr>
        <w:t> </w:t>
      </w:r>
      <w:r>
        <w:rPr>
          <w:sz w:val="22"/>
        </w:rPr>
        <w:t>will</w:t>
      </w:r>
      <w:r>
        <w:rPr>
          <w:spacing w:val="-1"/>
          <w:sz w:val="22"/>
        </w:rPr>
        <w:t> </w:t>
      </w:r>
      <w:r>
        <w:rPr>
          <w:sz w:val="22"/>
        </w:rPr>
        <w:t>work</w:t>
      </w:r>
      <w:r>
        <w:rPr>
          <w:spacing w:val="-5"/>
          <w:sz w:val="22"/>
        </w:rPr>
        <w:t> </w:t>
      </w:r>
      <w:r>
        <w:rPr>
          <w:sz w:val="22"/>
        </w:rPr>
        <w:t>collaboratively</w:t>
      </w:r>
      <w:r>
        <w:rPr>
          <w:spacing w:val="-5"/>
          <w:sz w:val="22"/>
        </w:rPr>
        <w:t> </w:t>
      </w:r>
      <w:r>
        <w:rPr>
          <w:sz w:val="22"/>
        </w:rPr>
        <w:t>with</w:t>
      </w:r>
      <w:r>
        <w:rPr>
          <w:spacing w:val="-2"/>
          <w:sz w:val="22"/>
        </w:rPr>
        <w:t> </w:t>
      </w:r>
      <w:r>
        <w:rPr>
          <w:sz w:val="22"/>
        </w:rPr>
        <w:t>CMS</w:t>
      </w:r>
      <w:r>
        <w:rPr>
          <w:spacing w:val="-3"/>
          <w:sz w:val="22"/>
        </w:rPr>
        <w:t> </w:t>
      </w:r>
      <w:r>
        <w:rPr>
          <w:sz w:val="22"/>
        </w:rPr>
        <w:t>for</w:t>
      </w:r>
      <w:r>
        <w:rPr>
          <w:spacing w:val="-1"/>
          <w:sz w:val="22"/>
        </w:rPr>
        <w:t> </w:t>
      </w:r>
      <w:r>
        <w:rPr>
          <w:sz w:val="22"/>
        </w:rPr>
        <w:t>the</w:t>
      </w:r>
      <w:r>
        <w:rPr>
          <w:spacing w:val="-2"/>
          <w:sz w:val="22"/>
        </w:rPr>
        <w:t> </w:t>
      </w:r>
      <w:r>
        <w:rPr>
          <w:sz w:val="22"/>
        </w:rPr>
        <w:t>review</w:t>
      </w:r>
      <w:r>
        <w:rPr>
          <w:spacing w:val="-3"/>
          <w:sz w:val="22"/>
        </w:rPr>
        <w:t> </w:t>
      </w:r>
      <w:r>
        <w:rPr>
          <w:sz w:val="22"/>
        </w:rPr>
        <w:t>and</w:t>
      </w:r>
      <w:r>
        <w:rPr>
          <w:spacing w:val="-2"/>
          <w:sz w:val="22"/>
        </w:rPr>
        <w:t> </w:t>
      </w:r>
      <w:r>
        <w:rPr>
          <w:sz w:val="22"/>
        </w:rPr>
        <w:t>approval</w:t>
      </w:r>
      <w:r>
        <w:rPr>
          <w:spacing w:val="-1"/>
          <w:sz w:val="22"/>
        </w:rPr>
        <w:t> </w:t>
      </w:r>
      <w:r>
        <w:rPr>
          <w:sz w:val="22"/>
        </w:rPr>
        <w:t>of</w:t>
      </w:r>
      <w:r>
        <w:rPr>
          <w:spacing w:val="-4"/>
          <w:sz w:val="22"/>
        </w:rPr>
        <w:t> </w:t>
      </w:r>
      <w:r>
        <w:rPr>
          <w:sz w:val="22"/>
        </w:rPr>
        <w:t>the</w:t>
      </w:r>
      <w:r>
        <w:rPr>
          <w:spacing w:val="-4"/>
          <w:sz w:val="22"/>
        </w:rPr>
        <w:t> </w:t>
      </w:r>
      <w:r>
        <w:rPr>
          <w:sz w:val="22"/>
        </w:rPr>
        <w:t>DSRIP</w:t>
      </w:r>
      <w:r>
        <w:rPr>
          <w:spacing w:val="-3"/>
          <w:sz w:val="22"/>
        </w:rPr>
        <w:t> </w:t>
      </w:r>
      <w:r>
        <w:rPr>
          <w:sz w:val="22"/>
        </w:rPr>
        <w:t>Protocol.</w:t>
      </w:r>
      <w:r>
        <w:rPr>
          <w:spacing w:val="-2"/>
          <w:sz w:val="22"/>
        </w:rPr>
        <w:t> </w:t>
      </w:r>
      <w:r>
        <w:rPr>
          <w:sz w:val="22"/>
        </w:rPr>
        <w:t>As</w:t>
      </w:r>
      <w:r>
        <w:rPr>
          <w:spacing w:val="-2"/>
          <w:sz w:val="22"/>
        </w:rPr>
        <w:t> </w:t>
      </w:r>
      <w:r>
        <w:rPr>
          <w:sz w:val="22"/>
        </w:rPr>
        <w:t>set forth in STC 61(c), the State may modify the DSRIP Protocol over time, with CMS approval.</w:t>
      </w:r>
      <w:r>
        <w:rPr>
          <w:spacing w:val="40"/>
          <w:sz w:val="22"/>
        </w:rPr>
        <w:t> </w:t>
      </w:r>
      <w:r>
        <w:rPr>
          <w:sz w:val="22"/>
        </w:rPr>
        <w:t>Reasons for modification may include but are not limited to:</w:t>
      </w:r>
    </w:p>
    <w:p>
      <w:pPr>
        <w:pStyle w:val="ListParagraph"/>
        <w:numPr>
          <w:ilvl w:val="3"/>
          <w:numId w:val="107"/>
        </w:numPr>
        <w:tabs>
          <w:tab w:pos="1940" w:val="left" w:leader="none"/>
        </w:tabs>
        <w:spacing w:line="240" w:lineRule="auto" w:before="158" w:after="0"/>
        <w:ind w:left="1940" w:right="1280" w:hanging="361"/>
        <w:jc w:val="left"/>
        <w:rPr>
          <w:sz w:val="22"/>
        </w:rPr>
      </w:pPr>
      <w:r>
        <w:rPr>
          <w:sz w:val="22"/>
        </w:rPr>
        <w:t>State</w:t>
      </w:r>
      <w:r>
        <w:rPr>
          <w:spacing w:val="-2"/>
          <w:sz w:val="22"/>
        </w:rPr>
        <w:t> </w:t>
      </w:r>
      <w:r>
        <w:rPr>
          <w:sz w:val="22"/>
        </w:rPr>
        <w:t>decision</w:t>
      </w:r>
      <w:r>
        <w:rPr>
          <w:spacing w:val="-5"/>
          <w:sz w:val="22"/>
        </w:rPr>
        <w:t> </w:t>
      </w:r>
      <w:r>
        <w:rPr>
          <w:sz w:val="22"/>
        </w:rPr>
        <w:t>to</w:t>
      </w:r>
      <w:r>
        <w:rPr>
          <w:spacing w:val="-2"/>
          <w:sz w:val="22"/>
        </w:rPr>
        <w:t> </w:t>
      </w:r>
      <w:r>
        <w:rPr>
          <w:sz w:val="22"/>
        </w:rPr>
        <w:t>change</w:t>
      </w:r>
      <w:r>
        <w:rPr>
          <w:spacing w:val="-2"/>
          <w:sz w:val="22"/>
        </w:rPr>
        <w:t> </w:t>
      </w:r>
      <w:r>
        <w:rPr>
          <w:sz w:val="22"/>
        </w:rPr>
        <w:t>programmatic</w:t>
      </w:r>
      <w:r>
        <w:rPr>
          <w:spacing w:val="-2"/>
          <w:sz w:val="22"/>
        </w:rPr>
        <w:t> </w:t>
      </w:r>
      <w:r>
        <w:rPr>
          <w:sz w:val="22"/>
        </w:rPr>
        <w:t>features</w:t>
      </w:r>
      <w:r>
        <w:rPr>
          <w:spacing w:val="-4"/>
          <w:sz w:val="22"/>
        </w:rPr>
        <w:t> </w:t>
      </w:r>
      <w:r>
        <w:rPr>
          <w:sz w:val="22"/>
        </w:rPr>
        <w:t>that</w:t>
      </w:r>
      <w:r>
        <w:rPr>
          <w:spacing w:val="-1"/>
          <w:sz w:val="22"/>
        </w:rPr>
        <w:t> </w:t>
      </w:r>
      <w:r>
        <w:rPr>
          <w:sz w:val="22"/>
        </w:rPr>
        <w:t>are</w:t>
      </w:r>
      <w:r>
        <w:rPr>
          <w:spacing w:val="-2"/>
          <w:sz w:val="22"/>
        </w:rPr>
        <w:t> </w:t>
      </w:r>
      <w:r>
        <w:rPr>
          <w:sz w:val="22"/>
        </w:rPr>
        <w:t>codified</w:t>
      </w:r>
      <w:r>
        <w:rPr>
          <w:spacing w:val="-5"/>
          <w:sz w:val="22"/>
        </w:rPr>
        <w:t> </w:t>
      </w:r>
      <w:r>
        <w:rPr>
          <w:sz w:val="22"/>
        </w:rPr>
        <w:t>in</w:t>
      </w:r>
      <w:r>
        <w:rPr>
          <w:spacing w:val="-2"/>
          <w:sz w:val="22"/>
        </w:rPr>
        <w:t> </w:t>
      </w:r>
      <w:r>
        <w:rPr>
          <w:sz w:val="22"/>
        </w:rPr>
        <w:t>the</w:t>
      </w:r>
      <w:r>
        <w:rPr>
          <w:spacing w:val="-2"/>
          <w:sz w:val="22"/>
        </w:rPr>
        <w:t> </w:t>
      </w:r>
      <w:r>
        <w:rPr>
          <w:sz w:val="22"/>
        </w:rPr>
        <w:t>Protocol</w:t>
      </w:r>
      <w:r>
        <w:rPr>
          <w:spacing w:val="-4"/>
          <w:sz w:val="22"/>
        </w:rPr>
        <w:t> </w:t>
      </w:r>
      <w:r>
        <w:rPr>
          <w:sz w:val="22"/>
        </w:rPr>
        <w:t>(e.g.</w:t>
      </w:r>
      <w:r>
        <w:rPr>
          <w:spacing w:val="-2"/>
          <w:sz w:val="22"/>
        </w:rPr>
        <w:t> </w:t>
      </w:r>
      <w:r>
        <w:rPr>
          <w:sz w:val="22"/>
        </w:rPr>
        <w:t>change</w:t>
      </w:r>
      <w:r>
        <w:rPr>
          <w:spacing w:val="-2"/>
          <w:sz w:val="22"/>
        </w:rPr>
        <w:t> </w:t>
      </w:r>
      <w:r>
        <w:rPr>
          <w:sz w:val="22"/>
        </w:rPr>
        <w:t>the structure of the outcomes-based payment funding stream for CPs)</w:t>
      </w:r>
    </w:p>
    <w:p>
      <w:pPr>
        <w:pStyle w:val="ListParagraph"/>
        <w:numPr>
          <w:ilvl w:val="3"/>
          <w:numId w:val="107"/>
        </w:numPr>
        <w:tabs>
          <w:tab w:pos="1940" w:val="left" w:leader="none"/>
        </w:tabs>
        <w:spacing w:line="240" w:lineRule="auto" w:before="200" w:after="0"/>
        <w:ind w:left="1940" w:right="1568" w:hanging="361"/>
        <w:jc w:val="left"/>
        <w:rPr>
          <w:sz w:val="22"/>
        </w:rPr>
      </w:pPr>
      <w:r>
        <w:rPr>
          <w:sz w:val="22"/>
        </w:rPr>
        <w:t>State</w:t>
      </w:r>
      <w:r>
        <w:rPr>
          <w:spacing w:val="-2"/>
          <w:sz w:val="22"/>
        </w:rPr>
        <w:t> </w:t>
      </w:r>
      <w:r>
        <w:rPr>
          <w:sz w:val="22"/>
        </w:rPr>
        <w:t>decision</w:t>
      </w:r>
      <w:r>
        <w:rPr>
          <w:spacing w:val="-5"/>
          <w:sz w:val="22"/>
        </w:rPr>
        <w:t> </w:t>
      </w:r>
      <w:r>
        <w:rPr>
          <w:sz w:val="22"/>
        </w:rPr>
        <w:t>to</w:t>
      </w:r>
      <w:r>
        <w:rPr>
          <w:spacing w:val="-2"/>
          <w:sz w:val="22"/>
        </w:rPr>
        <w:t> </w:t>
      </w:r>
      <w:r>
        <w:rPr>
          <w:sz w:val="22"/>
        </w:rPr>
        <w:t>modify</w:t>
      </w:r>
      <w:r>
        <w:rPr>
          <w:spacing w:val="-5"/>
          <w:sz w:val="22"/>
        </w:rPr>
        <w:t> </w:t>
      </w:r>
      <w:r>
        <w:rPr>
          <w:sz w:val="22"/>
        </w:rPr>
        <w:t>State</w:t>
      </w:r>
      <w:r>
        <w:rPr>
          <w:spacing w:val="-2"/>
          <w:sz w:val="22"/>
        </w:rPr>
        <w:t> </w:t>
      </w:r>
      <w:r>
        <w:rPr>
          <w:sz w:val="22"/>
        </w:rPr>
        <w:t>Accountability</w:t>
      </w:r>
      <w:r>
        <w:rPr>
          <w:spacing w:val="-7"/>
          <w:sz w:val="22"/>
        </w:rPr>
        <w:t> </w:t>
      </w:r>
      <w:r>
        <w:rPr>
          <w:sz w:val="22"/>
        </w:rPr>
        <w:t>Targets</w:t>
      </w:r>
      <w:r>
        <w:rPr>
          <w:spacing w:val="-4"/>
          <w:sz w:val="22"/>
        </w:rPr>
        <w:t> </w:t>
      </w:r>
      <w:r>
        <w:rPr>
          <w:sz w:val="22"/>
        </w:rPr>
        <w:t>during</w:t>
      </w:r>
      <w:r>
        <w:rPr>
          <w:spacing w:val="-5"/>
          <w:sz w:val="22"/>
        </w:rPr>
        <w:t> </w:t>
      </w:r>
      <w:r>
        <w:rPr>
          <w:sz w:val="22"/>
        </w:rPr>
        <w:t>the</w:t>
      </w:r>
      <w:r>
        <w:rPr>
          <w:spacing w:val="-2"/>
          <w:sz w:val="22"/>
        </w:rPr>
        <w:t> </w:t>
      </w:r>
      <w:r>
        <w:rPr>
          <w:sz w:val="22"/>
        </w:rPr>
        <w:t>demonstration</w:t>
      </w:r>
      <w:r>
        <w:rPr>
          <w:spacing w:val="-5"/>
          <w:sz w:val="22"/>
        </w:rPr>
        <w:t> </w:t>
      </w:r>
      <w:r>
        <w:rPr>
          <w:sz w:val="22"/>
        </w:rPr>
        <w:t>period,</w:t>
      </w:r>
      <w:r>
        <w:rPr>
          <w:spacing w:val="-2"/>
          <w:sz w:val="22"/>
        </w:rPr>
        <w:t> </w:t>
      </w:r>
      <w:r>
        <w:rPr>
          <w:sz w:val="22"/>
        </w:rPr>
        <w:t>if</w:t>
      </w:r>
      <w:r>
        <w:rPr>
          <w:spacing w:val="-1"/>
          <w:sz w:val="22"/>
        </w:rPr>
        <w:t> </w:t>
      </w:r>
      <w:r>
        <w:rPr>
          <w:sz w:val="22"/>
        </w:rPr>
        <w:t>the targets are no longer appropriate, or that targets were greatly exceeded or underachieved</w:t>
      </w:r>
    </w:p>
    <w:p>
      <w:pPr>
        <w:spacing w:line="259" w:lineRule="auto" w:before="201"/>
        <w:ind w:left="1219" w:right="1111" w:firstLine="0"/>
        <w:jc w:val="left"/>
        <w:rPr>
          <w:sz w:val="22"/>
        </w:rPr>
      </w:pPr>
      <w:r>
        <w:rPr>
          <w:sz w:val="22"/>
        </w:rPr>
        <w:t>State will submit the modification request to CMS, which will have 90 calendar days to review and approve.</w:t>
      </w:r>
      <w:r>
        <w:rPr>
          <w:spacing w:val="40"/>
          <w:sz w:val="22"/>
        </w:rPr>
        <w:t> </w:t>
      </w:r>
      <w:r>
        <w:rPr>
          <w:sz w:val="22"/>
        </w:rPr>
        <w:t>If CMS</w:t>
      </w:r>
      <w:r>
        <w:rPr>
          <w:spacing w:val="-2"/>
          <w:sz w:val="22"/>
        </w:rPr>
        <w:t> </w:t>
      </w:r>
      <w:r>
        <w:rPr>
          <w:sz w:val="22"/>
        </w:rPr>
        <w:t>does</w:t>
      </w:r>
      <w:r>
        <w:rPr>
          <w:spacing w:val="-3"/>
          <w:sz w:val="22"/>
        </w:rPr>
        <w:t> </w:t>
      </w:r>
      <w:r>
        <w:rPr>
          <w:sz w:val="22"/>
        </w:rPr>
        <w:t>not</w:t>
      </w:r>
      <w:r>
        <w:rPr>
          <w:spacing w:val="-3"/>
          <w:sz w:val="22"/>
        </w:rPr>
        <w:t> </w:t>
      </w:r>
      <w:r>
        <w:rPr>
          <w:sz w:val="22"/>
        </w:rPr>
        <w:t>approve</w:t>
      </w:r>
      <w:r>
        <w:rPr>
          <w:spacing w:val="-1"/>
          <w:sz w:val="22"/>
        </w:rPr>
        <w:t> </w:t>
      </w:r>
      <w:r>
        <w:rPr>
          <w:sz w:val="22"/>
        </w:rPr>
        <w:t>the</w:t>
      </w:r>
      <w:r>
        <w:rPr>
          <w:spacing w:val="-1"/>
          <w:sz w:val="22"/>
        </w:rPr>
        <w:t> </w:t>
      </w:r>
      <w:r>
        <w:rPr>
          <w:sz w:val="22"/>
        </w:rPr>
        <w:t>Protocol,</w:t>
      </w:r>
      <w:r>
        <w:rPr>
          <w:spacing w:val="-4"/>
          <w:sz w:val="22"/>
        </w:rPr>
        <w:t> </w:t>
      </w:r>
      <w:r>
        <w:rPr>
          <w:sz w:val="22"/>
        </w:rPr>
        <w:t>the</w:t>
      </w:r>
      <w:r>
        <w:rPr>
          <w:spacing w:val="-3"/>
          <w:sz w:val="22"/>
        </w:rPr>
        <w:t> </w:t>
      </w:r>
      <w:r>
        <w:rPr>
          <w:sz w:val="22"/>
        </w:rPr>
        <w:t>State</w:t>
      </w:r>
      <w:r>
        <w:rPr>
          <w:spacing w:val="-3"/>
          <w:sz w:val="22"/>
        </w:rPr>
        <w:t> </w:t>
      </w:r>
      <w:r>
        <w:rPr>
          <w:sz w:val="22"/>
        </w:rPr>
        <w:t>and</w:t>
      </w:r>
      <w:r>
        <w:rPr>
          <w:spacing w:val="-1"/>
          <w:sz w:val="22"/>
        </w:rPr>
        <w:t> </w:t>
      </w:r>
      <w:r>
        <w:rPr>
          <w:sz w:val="22"/>
        </w:rPr>
        <w:t>CMS</w:t>
      </w:r>
      <w:r>
        <w:rPr>
          <w:spacing w:val="-2"/>
          <w:sz w:val="22"/>
        </w:rPr>
        <w:t> </w:t>
      </w:r>
      <w:r>
        <w:rPr>
          <w:sz w:val="22"/>
        </w:rPr>
        <w:t>will work</w:t>
      </w:r>
      <w:r>
        <w:rPr>
          <w:spacing w:val="-4"/>
          <w:sz w:val="22"/>
        </w:rPr>
        <w:t> </w:t>
      </w:r>
      <w:r>
        <w:rPr>
          <w:sz w:val="22"/>
        </w:rPr>
        <w:t>collaboratively</w:t>
      </w:r>
      <w:r>
        <w:rPr>
          <w:spacing w:val="-4"/>
          <w:sz w:val="22"/>
        </w:rPr>
        <w:t> </w:t>
      </w:r>
      <w:r>
        <w:rPr>
          <w:sz w:val="22"/>
        </w:rPr>
        <w:t>together</w:t>
      </w:r>
      <w:r>
        <w:rPr>
          <w:spacing w:val="-3"/>
          <w:sz w:val="22"/>
        </w:rPr>
        <w:t> </w:t>
      </w:r>
      <w:r>
        <w:rPr>
          <w:sz w:val="22"/>
        </w:rPr>
        <w:t>to align on appropriate modifications and a timeline for prompt approval.</w:t>
      </w:r>
    </w:p>
    <w:p>
      <w:pPr>
        <w:spacing w:after="0" w:line="259" w:lineRule="auto"/>
        <w:jc w:val="left"/>
        <w:rPr>
          <w:sz w:val="22"/>
        </w:rPr>
        <w:sectPr>
          <w:pgSz w:w="12240" w:h="15840"/>
          <w:pgMar w:header="0" w:footer="967" w:top="1420" w:bottom="1160" w:left="220" w:right="340"/>
        </w:sectPr>
      </w:pPr>
    </w:p>
    <w:p>
      <w:pPr>
        <w:pStyle w:val="Heading1"/>
        <w:jc w:val="both"/>
      </w:pPr>
      <w:bookmarkStart w:name="Appendix A: Description of ACOs and CPs" w:id="1477"/>
      <w:bookmarkEnd w:id="1477"/>
      <w:r>
        <w:rPr>
          <w:b w:val="0"/>
        </w:rPr>
      </w:r>
      <w:bookmarkStart w:name="Accountable Care Organizations" w:id="1478"/>
      <w:bookmarkEnd w:id="1478"/>
      <w:r>
        <w:rPr>
          <w:b w:val="0"/>
        </w:rPr>
      </w:r>
      <w:bookmarkStart w:name="_bookmark115" w:id="1479"/>
      <w:bookmarkEnd w:id="1479"/>
      <w:r>
        <w:rPr>
          <w:b w:val="0"/>
        </w:rPr>
      </w:r>
      <w:bookmarkStart w:name="_bookmark116" w:id="1480"/>
      <w:bookmarkEnd w:id="1480"/>
      <w:r>
        <w:rPr>
          <w:b w:val="0"/>
        </w:rPr>
      </w:r>
      <w:r>
        <w:rPr>
          <w:color w:val="2E5395"/>
        </w:rPr>
        <w:t>Appendix</w:t>
      </w:r>
      <w:r>
        <w:rPr>
          <w:color w:val="2E5395"/>
          <w:spacing w:val="-4"/>
        </w:rPr>
        <w:t> </w:t>
      </w:r>
      <w:r>
        <w:rPr>
          <w:color w:val="2E5395"/>
        </w:rPr>
        <w:t>A:</w:t>
      </w:r>
      <w:r>
        <w:rPr>
          <w:color w:val="2E5395"/>
          <w:spacing w:val="-5"/>
        </w:rPr>
        <w:t> </w:t>
      </w:r>
      <w:r>
        <w:rPr>
          <w:color w:val="2E5395"/>
        </w:rPr>
        <w:t>Description</w:t>
      </w:r>
      <w:r>
        <w:rPr>
          <w:color w:val="2E5395"/>
          <w:spacing w:val="-4"/>
        </w:rPr>
        <w:t> </w:t>
      </w:r>
      <w:r>
        <w:rPr>
          <w:color w:val="2E5395"/>
        </w:rPr>
        <w:t>of</w:t>
      </w:r>
      <w:r>
        <w:rPr>
          <w:color w:val="2E5395"/>
          <w:spacing w:val="-5"/>
        </w:rPr>
        <w:t> </w:t>
      </w:r>
      <w:r>
        <w:rPr>
          <w:color w:val="2E5395"/>
        </w:rPr>
        <w:t>ACOs</w:t>
      </w:r>
      <w:r>
        <w:rPr>
          <w:color w:val="2E5395"/>
          <w:spacing w:val="-5"/>
        </w:rPr>
        <w:t> </w:t>
      </w:r>
      <w:r>
        <w:rPr>
          <w:color w:val="2E5395"/>
        </w:rPr>
        <w:t>and</w:t>
      </w:r>
      <w:r>
        <w:rPr>
          <w:color w:val="2E5395"/>
          <w:spacing w:val="-6"/>
        </w:rPr>
        <w:t> </w:t>
      </w:r>
      <w:r>
        <w:rPr>
          <w:color w:val="2E5395"/>
          <w:spacing w:val="-5"/>
        </w:rPr>
        <w:t>CPs</w:t>
      </w:r>
    </w:p>
    <w:p>
      <w:pPr>
        <w:pStyle w:val="Heading2"/>
        <w:ind w:left="1220" w:firstLine="0"/>
      </w:pPr>
      <w:r>
        <w:rPr>
          <w:color w:val="4471C4"/>
        </w:rPr>
        <w:t>Accountable</w:t>
      </w:r>
      <w:r>
        <w:rPr>
          <w:color w:val="4471C4"/>
          <w:spacing w:val="-13"/>
        </w:rPr>
        <w:t> </w:t>
      </w:r>
      <w:r>
        <w:rPr>
          <w:color w:val="4471C4"/>
        </w:rPr>
        <w:t>Care</w:t>
      </w:r>
      <w:r>
        <w:rPr>
          <w:color w:val="4471C4"/>
          <w:spacing w:val="-10"/>
        </w:rPr>
        <w:t> </w:t>
      </w:r>
      <w:r>
        <w:rPr>
          <w:color w:val="4471C4"/>
          <w:spacing w:val="-2"/>
        </w:rPr>
        <w:t>Organizations</w:t>
      </w:r>
    </w:p>
    <w:p>
      <w:pPr>
        <w:spacing w:before="0"/>
        <w:ind w:left="1219" w:right="1093" w:firstLine="0"/>
        <w:jc w:val="both"/>
        <w:rPr>
          <w:sz w:val="22"/>
        </w:rPr>
      </w:pPr>
      <w:r>
        <w:rPr>
          <w:sz w:val="22"/>
        </w:rPr>
        <w:t>To</w:t>
      </w:r>
      <w:r>
        <w:rPr>
          <w:spacing w:val="-2"/>
          <w:sz w:val="22"/>
        </w:rPr>
        <w:t> </w:t>
      </w:r>
      <w:r>
        <w:rPr>
          <w:sz w:val="22"/>
        </w:rPr>
        <w:t>achieve</w:t>
      </w:r>
      <w:r>
        <w:rPr>
          <w:spacing w:val="-2"/>
          <w:sz w:val="22"/>
        </w:rPr>
        <w:t> </w:t>
      </w:r>
      <w:r>
        <w:rPr>
          <w:sz w:val="22"/>
        </w:rPr>
        <w:t>Massachusetts’</w:t>
      </w:r>
      <w:r>
        <w:rPr>
          <w:spacing w:val="-4"/>
          <w:sz w:val="22"/>
        </w:rPr>
        <w:t> </w:t>
      </w:r>
      <w:r>
        <w:rPr>
          <w:sz w:val="22"/>
        </w:rPr>
        <w:t>DSRIP goals</w:t>
      </w:r>
      <w:r>
        <w:rPr>
          <w:spacing w:val="-2"/>
          <w:sz w:val="22"/>
        </w:rPr>
        <w:t> </w:t>
      </w:r>
      <w:r>
        <w:rPr>
          <w:sz w:val="22"/>
        </w:rPr>
        <w:t>as</w:t>
      </w:r>
      <w:r>
        <w:rPr>
          <w:spacing w:val="-2"/>
          <w:sz w:val="22"/>
        </w:rPr>
        <w:t> </w:t>
      </w:r>
      <w:r>
        <w:rPr>
          <w:sz w:val="22"/>
        </w:rPr>
        <w:t>described</w:t>
      </w:r>
      <w:r>
        <w:rPr>
          <w:spacing w:val="-2"/>
          <w:sz w:val="22"/>
        </w:rPr>
        <w:t> </w:t>
      </w:r>
      <w:r>
        <w:rPr>
          <w:sz w:val="22"/>
        </w:rPr>
        <w:t>above,</w:t>
      </w:r>
      <w:r>
        <w:rPr>
          <w:spacing w:val="-2"/>
          <w:sz w:val="22"/>
        </w:rPr>
        <w:t> </w:t>
      </w:r>
      <w:r>
        <w:rPr>
          <w:sz w:val="22"/>
        </w:rPr>
        <w:t>the</w:t>
      </w:r>
      <w:r>
        <w:rPr>
          <w:spacing w:val="-2"/>
          <w:sz w:val="22"/>
        </w:rPr>
        <w:t> </w:t>
      </w:r>
      <w:r>
        <w:rPr>
          <w:sz w:val="22"/>
        </w:rPr>
        <w:t>State</w:t>
      </w:r>
      <w:r>
        <w:rPr>
          <w:spacing w:val="-4"/>
          <w:sz w:val="22"/>
        </w:rPr>
        <w:t> </w:t>
      </w:r>
      <w:r>
        <w:rPr>
          <w:sz w:val="22"/>
        </w:rPr>
        <w:t>is</w:t>
      </w:r>
      <w:r>
        <w:rPr>
          <w:spacing w:val="-4"/>
          <w:sz w:val="22"/>
        </w:rPr>
        <w:t> </w:t>
      </w:r>
      <w:r>
        <w:rPr>
          <w:sz w:val="22"/>
        </w:rPr>
        <w:t>transitioning</w:t>
      </w:r>
      <w:r>
        <w:rPr>
          <w:spacing w:val="-5"/>
          <w:sz w:val="22"/>
        </w:rPr>
        <w:t> </w:t>
      </w:r>
      <w:r>
        <w:rPr>
          <w:sz w:val="22"/>
        </w:rPr>
        <w:t>a</w:t>
      </w:r>
      <w:r>
        <w:rPr>
          <w:spacing w:val="-2"/>
          <w:sz w:val="22"/>
        </w:rPr>
        <w:t> </w:t>
      </w:r>
      <w:r>
        <w:rPr>
          <w:sz w:val="22"/>
        </w:rPr>
        <w:t>significant</w:t>
      </w:r>
      <w:r>
        <w:rPr>
          <w:spacing w:val="-4"/>
          <w:sz w:val="22"/>
        </w:rPr>
        <w:t> </w:t>
      </w:r>
      <w:r>
        <w:rPr>
          <w:sz w:val="22"/>
        </w:rPr>
        <w:t>portion of the delivery system from a fragmented, fee-for-service model to one where providers come together in new</w:t>
      </w:r>
      <w:r>
        <w:rPr>
          <w:spacing w:val="-16"/>
          <w:sz w:val="22"/>
        </w:rPr>
        <w:t> </w:t>
      </w:r>
      <w:r>
        <w:rPr>
          <w:sz w:val="22"/>
        </w:rPr>
        <w:t>partnerships</w:t>
      </w:r>
      <w:r>
        <w:rPr>
          <w:spacing w:val="-14"/>
          <w:sz w:val="22"/>
        </w:rPr>
        <w:t> </w:t>
      </w:r>
      <w:r>
        <w:rPr>
          <w:sz w:val="22"/>
        </w:rPr>
        <w:t>to</w:t>
      </w:r>
      <w:r>
        <w:rPr>
          <w:spacing w:val="-14"/>
          <w:sz w:val="22"/>
        </w:rPr>
        <w:t> </w:t>
      </w:r>
      <w:r>
        <w:rPr>
          <w:sz w:val="22"/>
        </w:rPr>
        <w:t>take</w:t>
      </w:r>
      <w:r>
        <w:rPr>
          <w:spacing w:val="-13"/>
          <w:sz w:val="22"/>
        </w:rPr>
        <w:t> </w:t>
      </w:r>
      <w:r>
        <w:rPr>
          <w:sz w:val="22"/>
        </w:rPr>
        <w:t>financial</w:t>
      </w:r>
      <w:r>
        <w:rPr>
          <w:spacing w:val="-14"/>
          <w:sz w:val="22"/>
        </w:rPr>
        <w:t> </w:t>
      </w:r>
      <w:r>
        <w:rPr>
          <w:sz w:val="22"/>
        </w:rPr>
        <w:t>accountability</w:t>
      </w:r>
      <w:r>
        <w:rPr>
          <w:spacing w:val="-14"/>
          <w:sz w:val="22"/>
        </w:rPr>
        <w:t> </w:t>
      </w:r>
      <w:r>
        <w:rPr>
          <w:sz w:val="22"/>
        </w:rPr>
        <w:t>for</w:t>
      </w:r>
      <w:r>
        <w:rPr>
          <w:spacing w:val="-14"/>
          <w:sz w:val="22"/>
        </w:rPr>
        <w:t> </w:t>
      </w:r>
      <w:r>
        <w:rPr>
          <w:sz w:val="22"/>
        </w:rPr>
        <w:t>the</w:t>
      </w:r>
      <w:r>
        <w:rPr>
          <w:spacing w:val="-13"/>
          <w:sz w:val="22"/>
        </w:rPr>
        <w:t> </w:t>
      </w:r>
      <w:r>
        <w:rPr>
          <w:sz w:val="22"/>
        </w:rPr>
        <w:t>cost</w:t>
      </w:r>
      <w:r>
        <w:rPr>
          <w:spacing w:val="-14"/>
          <w:sz w:val="22"/>
        </w:rPr>
        <w:t> </w:t>
      </w:r>
      <w:r>
        <w:rPr>
          <w:sz w:val="22"/>
        </w:rPr>
        <w:t>and</w:t>
      </w:r>
      <w:r>
        <w:rPr>
          <w:spacing w:val="-14"/>
          <w:sz w:val="22"/>
        </w:rPr>
        <w:t> </w:t>
      </w:r>
      <w:r>
        <w:rPr>
          <w:sz w:val="22"/>
        </w:rPr>
        <w:t>quality</w:t>
      </w:r>
      <w:r>
        <w:rPr>
          <w:spacing w:val="-14"/>
          <w:sz w:val="22"/>
        </w:rPr>
        <w:t> </w:t>
      </w:r>
      <w:r>
        <w:rPr>
          <w:sz w:val="22"/>
        </w:rPr>
        <w:t>of</w:t>
      </w:r>
      <w:r>
        <w:rPr>
          <w:spacing w:val="-13"/>
          <w:sz w:val="22"/>
        </w:rPr>
        <w:t> </w:t>
      </w:r>
      <w:r>
        <w:rPr>
          <w:sz w:val="22"/>
        </w:rPr>
        <w:t>care</w:t>
      </w:r>
      <w:r>
        <w:rPr>
          <w:spacing w:val="-14"/>
          <w:sz w:val="22"/>
        </w:rPr>
        <w:t> </w:t>
      </w:r>
      <w:r>
        <w:rPr>
          <w:sz w:val="22"/>
        </w:rPr>
        <w:t>for</w:t>
      </w:r>
      <w:r>
        <w:rPr>
          <w:spacing w:val="-14"/>
          <w:sz w:val="22"/>
        </w:rPr>
        <w:t> </w:t>
      </w:r>
      <w:r>
        <w:rPr>
          <w:sz w:val="22"/>
        </w:rPr>
        <w:t>populations</w:t>
      </w:r>
      <w:r>
        <w:rPr>
          <w:spacing w:val="-14"/>
          <w:sz w:val="22"/>
        </w:rPr>
        <w:t> </w:t>
      </w:r>
      <w:r>
        <w:rPr>
          <w:sz w:val="22"/>
        </w:rPr>
        <w:t>of</w:t>
      </w:r>
      <w:r>
        <w:rPr>
          <w:spacing w:val="-13"/>
          <w:sz w:val="22"/>
        </w:rPr>
        <w:t> </w:t>
      </w:r>
      <w:r>
        <w:rPr>
          <w:sz w:val="22"/>
        </w:rPr>
        <w:t>members. Massachusetts is launching a new Accountable Care Organization program, has designed three ACO payment models that respond to the diversity of the state’s delivery system, and intends to select ACOs across all three models through a competitive procurement.</w:t>
      </w:r>
    </w:p>
    <w:p>
      <w:pPr>
        <w:spacing w:before="158"/>
        <w:ind w:left="1219" w:right="1094" w:firstLine="0"/>
        <w:jc w:val="both"/>
        <w:rPr>
          <w:sz w:val="22"/>
        </w:rPr>
      </w:pPr>
      <w:r>
        <w:rPr>
          <w:sz w:val="22"/>
        </w:rPr>
        <w:t>ACO contracts will have an initial term of five-years and will include significant requirements for ACOs to ensure care delivery in line with the state’s delivery system goals, including but not limited to requirements to screen members and connect them to appropriate settings of care; requirements to proactively identify at-risk members, complete comprehensive assessments, and provide them with appropriate care management activities; and requirements to work with Community Partners to integrate behavioral health, LTSS, and medical care. Massachusetts’ three ACO models are described in Section 1.</w:t>
      </w:r>
    </w:p>
    <w:p>
      <w:pPr>
        <w:spacing w:line="252" w:lineRule="exact" w:before="200"/>
        <w:ind w:left="1219" w:right="0" w:firstLine="0"/>
        <w:jc w:val="both"/>
        <w:rPr>
          <w:b/>
          <w:sz w:val="22"/>
        </w:rPr>
      </w:pPr>
      <w:bookmarkStart w:name="Procurement Process" w:id="1481"/>
      <w:bookmarkEnd w:id="1481"/>
      <w:r>
        <w:rPr/>
      </w:r>
      <w:bookmarkStart w:name="_bookmark117" w:id="1482"/>
      <w:bookmarkEnd w:id="1482"/>
      <w:r>
        <w:rPr/>
      </w:r>
      <w:r>
        <w:rPr>
          <w:b/>
          <w:color w:val="4471C4"/>
          <w:sz w:val="22"/>
        </w:rPr>
        <w:t>Procurement</w:t>
      </w:r>
      <w:r>
        <w:rPr>
          <w:b/>
          <w:color w:val="4471C4"/>
          <w:spacing w:val="-10"/>
          <w:sz w:val="22"/>
        </w:rPr>
        <w:t> </w:t>
      </w:r>
      <w:r>
        <w:rPr>
          <w:b/>
          <w:color w:val="4471C4"/>
          <w:spacing w:val="-2"/>
          <w:sz w:val="22"/>
        </w:rPr>
        <w:t>Process</w:t>
      </w:r>
    </w:p>
    <w:p>
      <w:pPr>
        <w:spacing w:line="242" w:lineRule="auto" w:before="0"/>
        <w:ind w:left="1219" w:right="1095" w:firstLine="0"/>
        <w:jc w:val="both"/>
        <w:rPr>
          <w:sz w:val="22"/>
        </w:rPr>
      </w:pPr>
      <w:r>
        <w:rPr>
          <w:sz w:val="22"/>
        </w:rPr>
        <w:t>Massachusetts intends to select ACOs across all three ACO models as part of a single, competitive procurement.</w:t>
      </w:r>
      <w:r>
        <w:rPr>
          <w:spacing w:val="-7"/>
          <w:sz w:val="22"/>
        </w:rPr>
        <w:t> </w:t>
      </w:r>
      <w:r>
        <w:rPr>
          <w:sz w:val="22"/>
        </w:rPr>
        <w:t>Bidders</w:t>
      </w:r>
      <w:r>
        <w:rPr>
          <w:spacing w:val="-7"/>
          <w:sz w:val="22"/>
        </w:rPr>
        <w:t> </w:t>
      </w:r>
      <w:r>
        <w:rPr>
          <w:sz w:val="22"/>
        </w:rPr>
        <w:t>may</w:t>
      </w:r>
      <w:r>
        <w:rPr>
          <w:spacing w:val="-7"/>
          <w:sz w:val="22"/>
        </w:rPr>
        <w:t> </w:t>
      </w:r>
      <w:r>
        <w:rPr>
          <w:sz w:val="22"/>
        </w:rPr>
        <w:t>bid</w:t>
      </w:r>
      <w:r>
        <w:rPr>
          <w:spacing w:val="-7"/>
          <w:sz w:val="22"/>
        </w:rPr>
        <w:t> </w:t>
      </w:r>
      <w:r>
        <w:rPr>
          <w:sz w:val="22"/>
        </w:rPr>
        <w:t>on</w:t>
      </w:r>
      <w:r>
        <w:rPr>
          <w:spacing w:val="-7"/>
          <w:sz w:val="22"/>
        </w:rPr>
        <w:t> </w:t>
      </w:r>
      <w:r>
        <w:rPr>
          <w:sz w:val="22"/>
        </w:rPr>
        <w:t>more</w:t>
      </w:r>
      <w:r>
        <w:rPr>
          <w:spacing w:val="-9"/>
          <w:sz w:val="22"/>
        </w:rPr>
        <w:t> </w:t>
      </w:r>
      <w:r>
        <w:rPr>
          <w:sz w:val="22"/>
        </w:rPr>
        <w:t>than</w:t>
      </w:r>
      <w:r>
        <w:rPr>
          <w:spacing w:val="-7"/>
          <w:sz w:val="22"/>
        </w:rPr>
        <w:t> </w:t>
      </w:r>
      <w:r>
        <w:rPr>
          <w:sz w:val="22"/>
        </w:rPr>
        <w:t>one</w:t>
      </w:r>
      <w:r>
        <w:rPr>
          <w:spacing w:val="-7"/>
          <w:sz w:val="22"/>
        </w:rPr>
        <w:t> </w:t>
      </w:r>
      <w:r>
        <w:rPr>
          <w:sz w:val="22"/>
        </w:rPr>
        <w:t>model,</w:t>
      </w:r>
      <w:r>
        <w:rPr>
          <w:spacing w:val="-7"/>
          <w:sz w:val="22"/>
        </w:rPr>
        <w:t> </w:t>
      </w:r>
      <w:r>
        <w:rPr>
          <w:sz w:val="22"/>
        </w:rPr>
        <w:t>but</w:t>
      </w:r>
      <w:r>
        <w:rPr>
          <w:spacing w:val="-6"/>
          <w:sz w:val="22"/>
        </w:rPr>
        <w:t> </w:t>
      </w:r>
      <w:r>
        <w:rPr>
          <w:sz w:val="22"/>
        </w:rPr>
        <w:t>a</w:t>
      </w:r>
      <w:r>
        <w:rPr>
          <w:spacing w:val="-9"/>
          <w:sz w:val="22"/>
        </w:rPr>
        <w:t> </w:t>
      </w:r>
      <w:r>
        <w:rPr>
          <w:sz w:val="22"/>
        </w:rPr>
        <w:t>bidder</w:t>
      </w:r>
      <w:r>
        <w:rPr>
          <w:spacing w:val="-6"/>
          <w:sz w:val="22"/>
        </w:rPr>
        <w:t> </w:t>
      </w:r>
      <w:r>
        <w:rPr>
          <w:sz w:val="22"/>
        </w:rPr>
        <w:t>may</w:t>
      </w:r>
      <w:r>
        <w:rPr>
          <w:spacing w:val="-10"/>
          <w:sz w:val="22"/>
        </w:rPr>
        <w:t> </w:t>
      </w:r>
      <w:r>
        <w:rPr>
          <w:sz w:val="22"/>
        </w:rPr>
        <w:t>be</w:t>
      </w:r>
      <w:r>
        <w:rPr>
          <w:spacing w:val="-7"/>
          <w:sz w:val="22"/>
        </w:rPr>
        <w:t> </w:t>
      </w:r>
      <w:r>
        <w:rPr>
          <w:sz w:val="22"/>
        </w:rPr>
        <w:t>selected</w:t>
      </w:r>
      <w:r>
        <w:rPr>
          <w:spacing w:val="-7"/>
          <w:sz w:val="22"/>
        </w:rPr>
        <w:t> </w:t>
      </w:r>
      <w:r>
        <w:rPr>
          <w:sz w:val="22"/>
        </w:rPr>
        <w:t>for,</w:t>
      </w:r>
      <w:r>
        <w:rPr>
          <w:spacing w:val="-7"/>
          <w:sz w:val="22"/>
        </w:rPr>
        <w:t> </w:t>
      </w:r>
      <w:r>
        <w:rPr>
          <w:sz w:val="22"/>
        </w:rPr>
        <w:t>at</w:t>
      </w:r>
      <w:r>
        <w:rPr>
          <w:spacing w:val="-6"/>
          <w:sz w:val="22"/>
        </w:rPr>
        <w:t> </w:t>
      </w:r>
      <w:r>
        <w:rPr>
          <w:sz w:val="22"/>
        </w:rPr>
        <w:t>maximum,</w:t>
      </w:r>
      <w:r>
        <w:rPr>
          <w:spacing w:val="-7"/>
          <w:sz w:val="22"/>
        </w:rPr>
        <w:t> </w:t>
      </w:r>
      <w:r>
        <w:rPr>
          <w:sz w:val="22"/>
        </w:rPr>
        <w:t>one ACO model. The State may re-open the procurement at any time if, in the State’s determination, the State has not received sufficient responses, or to otherwise meet the State’s delivery system goals.</w:t>
      </w:r>
    </w:p>
    <w:p>
      <w:pPr>
        <w:spacing w:line="240" w:lineRule="auto" w:before="151"/>
        <w:ind w:left="1219" w:right="1093" w:firstLine="0"/>
        <w:jc w:val="both"/>
        <w:rPr>
          <w:sz w:val="22"/>
        </w:rPr>
      </w:pPr>
      <w:r>
        <w:rPr>
          <w:sz w:val="22"/>
        </w:rPr>
        <w:t>Bidders</w:t>
      </w:r>
      <w:r>
        <w:rPr>
          <w:spacing w:val="-4"/>
          <w:sz w:val="22"/>
        </w:rPr>
        <w:t> </w:t>
      </w:r>
      <w:r>
        <w:rPr>
          <w:sz w:val="22"/>
        </w:rPr>
        <w:t>will</w:t>
      </w:r>
      <w:r>
        <w:rPr>
          <w:spacing w:val="-6"/>
          <w:sz w:val="22"/>
        </w:rPr>
        <w:t> </w:t>
      </w:r>
      <w:r>
        <w:rPr>
          <w:sz w:val="22"/>
        </w:rPr>
        <w:t>submit</w:t>
      </w:r>
      <w:r>
        <w:rPr>
          <w:spacing w:val="-6"/>
          <w:sz w:val="22"/>
        </w:rPr>
        <w:t> </w:t>
      </w:r>
      <w:r>
        <w:rPr>
          <w:sz w:val="22"/>
        </w:rPr>
        <w:t>responses</w:t>
      </w:r>
      <w:r>
        <w:rPr>
          <w:spacing w:val="-7"/>
          <w:sz w:val="22"/>
        </w:rPr>
        <w:t> </w:t>
      </w:r>
      <w:r>
        <w:rPr>
          <w:sz w:val="22"/>
        </w:rPr>
        <w:t>to</w:t>
      </w:r>
      <w:r>
        <w:rPr>
          <w:spacing w:val="-7"/>
          <w:sz w:val="22"/>
        </w:rPr>
        <w:t> </w:t>
      </w:r>
      <w:r>
        <w:rPr>
          <w:sz w:val="22"/>
        </w:rPr>
        <w:t>the</w:t>
      </w:r>
      <w:r>
        <w:rPr>
          <w:spacing w:val="-7"/>
          <w:sz w:val="22"/>
        </w:rPr>
        <w:t> </w:t>
      </w:r>
      <w:r>
        <w:rPr>
          <w:sz w:val="22"/>
        </w:rPr>
        <w:t>State’s</w:t>
      </w:r>
      <w:r>
        <w:rPr>
          <w:spacing w:val="-7"/>
          <w:sz w:val="22"/>
        </w:rPr>
        <w:t> </w:t>
      </w:r>
      <w:r>
        <w:rPr>
          <w:sz w:val="22"/>
        </w:rPr>
        <w:t>procurement</w:t>
      </w:r>
      <w:r>
        <w:rPr>
          <w:spacing w:val="-4"/>
          <w:sz w:val="22"/>
        </w:rPr>
        <w:t> </w:t>
      </w:r>
      <w:r>
        <w:rPr>
          <w:sz w:val="22"/>
        </w:rPr>
        <w:t>by</w:t>
      </w:r>
      <w:r>
        <w:rPr>
          <w:spacing w:val="-9"/>
          <w:sz w:val="22"/>
        </w:rPr>
        <w:t> </w:t>
      </w:r>
      <w:r>
        <w:rPr>
          <w:sz w:val="22"/>
        </w:rPr>
        <w:t>the</w:t>
      </w:r>
      <w:r>
        <w:rPr>
          <w:spacing w:val="-7"/>
          <w:sz w:val="22"/>
        </w:rPr>
        <w:t> </w:t>
      </w:r>
      <w:r>
        <w:rPr>
          <w:sz w:val="22"/>
        </w:rPr>
        <w:t>deadline,</w:t>
      </w:r>
      <w:r>
        <w:rPr>
          <w:spacing w:val="-7"/>
          <w:sz w:val="22"/>
        </w:rPr>
        <w:t> </w:t>
      </w:r>
      <w:r>
        <w:rPr>
          <w:sz w:val="22"/>
        </w:rPr>
        <w:t>after</w:t>
      </w:r>
      <w:r>
        <w:rPr>
          <w:spacing w:val="-4"/>
          <w:sz w:val="22"/>
        </w:rPr>
        <w:t> </w:t>
      </w:r>
      <w:r>
        <w:rPr>
          <w:sz w:val="22"/>
        </w:rPr>
        <w:t>which</w:t>
      </w:r>
      <w:r>
        <w:rPr>
          <w:spacing w:val="-7"/>
          <w:sz w:val="22"/>
        </w:rPr>
        <w:t> </w:t>
      </w:r>
      <w:r>
        <w:rPr>
          <w:sz w:val="22"/>
        </w:rPr>
        <w:t>the</w:t>
      </w:r>
      <w:r>
        <w:rPr>
          <w:spacing w:val="-7"/>
          <w:sz w:val="22"/>
        </w:rPr>
        <w:t> </w:t>
      </w:r>
      <w:r>
        <w:rPr>
          <w:sz w:val="22"/>
        </w:rPr>
        <w:t>responses</w:t>
      </w:r>
      <w:r>
        <w:rPr>
          <w:spacing w:val="-7"/>
          <w:sz w:val="22"/>
        </w:rPr>
        <w:t> </w:t>
      </w:r>
      <w:r>
        <w:rPr>
          <w:sz w:val="22"/>
        </w:rPr>
        <w:t>will</w:t>
      </w:r>
      <w:r>
        <w:rPr>
          <w:spacing w:val="-6"/>
          <w:sz w:val="22"/>
        </w:rPr>
        <w:t> </w:t>
      </w:r>
      <w:r>
        <w:rPr>
          <w:sz w:val="22"/>
        </w:rPr>
        <w:t>be evaluated by the State. The State will select successful ACO bidders to enter into contract negotiation. Through contract negotiation, the</w:t>
      </w:r>
      <w:r>
        <w:rPr>
          <w:spacing w:val="-2"/>
          <w:sz w:val="22"/>
        </w:rPr>
        <w:t> </w:t>
      </w:r>
      <w:r>
        <w:rPr>
          <w:sz w:val="22"/>
        </w:rPr>
        <w:t>State</w:t>
      </w:r>
      <w:r>
        <w:rPr>
          <w:spacing w:val="-2"/>
          <w:sz w:val="22"/>
        </w:rPr>
        <w:t> </w:t>
      </w:r>
      <w:r>
        <w:rPr>
          <w:sz w:val="22"/>
        </w:rPr>
        <w:t>intends</w:t>
      </w:r>
      <w:r>
        <w:rPr>
          <w:spacing w:val="-2"/>
          <w:sz w:val="22"/>
        </w:rPr>
        <w:t> </w:t>
      </w:r>
      <w:r>
        <w:rPr>
          <w:sz w:val="22"/>
        </w:rPr>
        <w:t>to</w:t>
      </w:r>
      <w:r>
        <w:rPr>
          <w:spacing w:val="-2"/>
          <w:sz w:val="22"/>
        </w:rPr>
        <w:t> </w:t>
      </w:r>
      <w:r>
        <w:rPr>
          <w:sz w:val="22"/>
        </w:rPr>
        <w:t>reach successful</w:t>
      </w:r>
      <w:r>
        <w:rPr>
          <w:spacing w:val="-1"/>
          <w:sz w:val="22"/>
        </w:rPr>
        <w:t> </w:t>
      </w:r>
      <w:r>
        <w:rPr>
          <w:sz w:val="22"/>
        </w:rPr>
        <w:t>contract</w:t>
      </w:r>
      <w:r>
        <w:rPr>
          <w:spacing w:val="-1"/>
          <w:sz w:val="22"/>
        </w:rPr>
        <w:t> </w:t>
      </w:r>
      <w:r>
        <w:rPr>
          <w:sz w:val="22"/>
        </w:rPr>
        <w:t>execution with</w:t>
      </w:r>
      <w:r>
        <w:rPr>
          <w:spacing w:val="-2"/>
          <w:sz w:val="22"/>
        </w:rPr>
        <w:t> </w:t>
      </w:r>
      <w:r>
        <w:rPr>
          <w:sz w:val="22"/>
        </w:rPr>
        <w:t>a set of ACOs; although not all ACOs selected for negotiation may ultimately execute contracts with the State (e.g., if an ACO</w:t>
      </w:r>
      <w:r>
        <w:rPr>
          <w:spacing w:val="-1"/>
          <w:sz w:val="22"/>
        </w:rPr>
        <w:t> </w:t>
      </w:r>
      <w:r>
        <w:rPr>
          <w:sz w:val="22"/>
        </w:rPr>
        <w:t>ultimately</w:t>
      </w:r>
      <w:r>
        <w:rPr>
          <w:spacing w:val="-2"/>
          <w:sz w:val="22"/>
        </w:rPr>
        <w:t> </w:t>
      </w:r>
      <w:r>
        <w:rPr>
          <w:sz w:val="22"/>
        </w:rPr>
        <w:t>chooses</w:t>
      </w:r>
      <w:r>
        <w:rPr>
          <w:spacing w:val="-2"/>
          <w:sz w:val="22"/>
        </w:rPr>
        <w:t> </w:t>
      </w:r>
      <w:r>
        <w:rPr>
          <w:sz w:val="22"/>
        </w:rPr>
        <w:t>not to accept final contract terms or rates).</w:t>
      </w:r>
      <w:r>
        <w:rPr>
          <w:spacing w:val="-2"/>
          <w:sz w:val="22"/>
        </w:rPr>
        <w:t> </w:t>
      </w:r>
      <w:r>
        <w:rPr>
          <w:sz w:val="22"/>
        </w:rPr>
        <w:t>The graphic below</w:t>
      </w:r>
      <w:r>
        <w:rPr>
          <w:spacing w:val="-1"/>
          <w:sz w:val="22"/>
        </w:rPr>
        <w:t> </w:t>
      </w:r>
      <w:r>
        <w:rPr>
          <w:sz w:val="22"/>
        </w:rPr>
        <w:t>shows an example process flow:</w:t>
      </w:r>
    </w:p>
    <w:p>
      <w:pPr>
        <w:pStyle w:val="BodyText"/>
        <w:spacing w:before="1"/>
        <w:rPr>
          <w:sz w:val="19"/>
        </w:rPr>
      </w:pPr>
      <w:r>
        <w:rPr/>
        <w:drawing>
          <wp:anchor distT="0" distB="0" distL="0" distR="0" allowOverlap="1" layoutInCell="1" locked="0" behindDoc="1" simplePos="0" relativeHeight="488025600">
            <wp:simplePos x="0" y="0"/>
            <wp:positionH relativeFrom="page">
              <wp:posOffset>947057</wp:posOffset>
            </wp:positionH>
            <wp:positionV relativeFrom="paragraph">
              <wp:posOffset>155216</wp:posOffset>
            </wp:positionV>
            <wp:extent cx="5929382" cy="1675923"/>
            <wp:effectExtent l="0" t="0" r="0" b="0"/>
            <wp:wrapTopAndBottom/>
            <wp:docPr id="929" name="Image 929"/>
            <wp:cNvGraphicFramePr>
              <a:graphicFrameLocks/>
            </wp:cNvGraphicFramePr>
            <a:graphic>
              <a:graphicData uri="http://schemas.openxmlformats.org/drawingml/2006/picture">
                <pic:pic>
                  <pic:nvPicPr>
                    <pic:cNvPr id="929" name="Image 929"/>
                    <pic:cNvPicPr/>
                  </pic:nvPicPr>
                  <pic:blipFill>
                    <a:blip r:embed="rId348" cstate="print"/>
                    <a:stretch>
                      <a:fillRect/>
                    </a:stretch>
                  </pic:blipFill>
                  <pic:spPr>
                    <a:xfrm>
                      <a:off x="0" y="0"/>
                      <a:ext cx="5929382" cy="1675923"/>
                    </a:xfrm>
                    <a:prstGeom prst="rect">
                      <a:avLst/>
                    </a:prstGeom>
                  </pic:spPr>
                </pic:pic>
              </a:graphicData>
            </a:graphic>
          </wp:anchor>
        </w:drawing>
      </w:r>
    </w:p>
    <w:p>
      <w:pPr>
        <w:spacing w:before="173"/>
        <w:ind w:left="1220" w:right="0" w:firstLine="0"/>
        <w:jc w:val="both"/>
        <w:rPr>
          <w:sz w:val="22"/>
        </w:rPr>
      </w:pPr>
      <w:r>
        <w:rPr>
          <w:sz w:val="22"/>
        </w:rPr>
        <w:t>The</w:t>
      </w:r>
      <w:r>
        <w:rPr>
          <w:spacing w:val="-8"/>
          <w:sz w:val="22"/>
        </w:rPr>
        <w:t> </w:t>
      </w:r>
      <w:r>
        <w:rPr>
          <w:sz w:val="22"/>
        </w:rPr>
        <w:t>State’s</w:t>
      </w:r>
      <w:r>
        <w:rPr>
          <w:spacing w:val="-3"/>
          <w:sz w:val="22"/>
        </w:rPr>
        <w:t> </w:t>
      </w:r>
      <w:r>
        <w:rPr>
          <w:sz w:val="22"/>
        </w:rPr>
        <w:t>current</w:t>
      </w:r>
      <w:r>
        <w:rPr>
          <w:spacing w:val="-3"/>
          <w:sz w:val="22"/>
        </w:rPr>
        <w:t> </w:t>
      </w:r>
      <w:r>
        <w:rPr>
          <w:sz w:val="22"/>
        </w:rPr>
        <w:t>anticipated</w:t>
      </w:r>
      <w:r>
        <w:rPr>
          <w:spacing w:val="-3"/>
          <w:sz w:val="22"/>
        </w:rPr>
        <w:t> </w:t>
      </w:r>
      <w:r>
        <w:rPr>
          <w:sz w:val="22"/>
        </w:rPr>
        <w:t>procurement</w:t>
      </w:r>
      <w:r>
        <w:rPr>
          <w:spacing w:val="-3"/>
          <w:sz w:val="22"/>
        </w:rPr>
        <w:t> </w:t>
      </w:r>
      <w:r>
        <w:rPr>
          <w:sz w:val="22"/>
        </w:rPr>
        <w:t>timeline</w:t>
      </w:r>
      <w:r>
        <w:rPr>
          <w:spacing w:val="-4"/>
          <w:sz w:val="22"/>
        </w:rPr>
        <w:t> </w:t>
      </w:r>
      <w:r>
        <w:rPr>
          <w:sz w:val="22"/>
        </w:rPr>
        <w:t>is</w:t>
      </w:r>
      <w:r>
        <w:rPr>
          <w:spacing w:val="-5"/>
          <w:sz w:val="22"/>
        </w:rPr>
        <w:t> </w:t>
      </w:r>
      <w:r>
        <w:rPr>
          <w:sz w:val="22"/>
        </w:rPr>
        <w:t>as</w:t>
      </w:r>
      <w:r>
        <w:rPr>
          <w:spacing w:val="-3"/>
          <w:sz w:val="22"/>
        </w:rPr>
        <w:t> </w:t>
      </w:r>
      <w:r>
        <w:rPr>
          <w:spacing w:val="-2"/>
          <w:sz w:val="22"/>
        </w:rPr>
        <w:t>follows:</w:t>
      </w:r>
    </w:p>
    <w:p>
      <w:pPr>
        <w:pStyle w:val="ListParagraph"/>
        <w:numPr>
          <w:ilvl w:val="3"/>
          <w:numId w:val="107"/>
        </w:numPr>
        <w:tabs>
          <w:tab w:pos="1940" w:val="left" w:leader="none"/>
        </w:tabs>
        <w:spacing w:line="240" w:lineRule="auto" w:before="161" w:after="0"/>
        <w:ind w:left="1940" w:right="0" w:hanging="360"/>
        <w:jc w:val="left"/>
        <w:rPr>
          <w:sz w:val="22"/>
        </w:rPr>
      </w:pPr>
      <w:r>
        <w:rPr>
          <w:sz w:val="22"/>
        </w:rPr>
        <w:t>Request</w:t>
      </w:r>
      <w:r>
        <w:rPr>
          <w:spacing w:val="-2"/>
          <w:sz w:val="22"/>
        </w:rPr>
        <w:t> </w:t>
      </w:r>
      <w:r>
        <w:rPr>
          <w:sz w:val="22"/>
        </w:rPr>
        <w:t>for</w:t>
      </w:r>
      <w:r>
        <w:rPr>
          <w:spacing w:val="-2"/>
          <w:sz w:val="22"/>
        </w:rPr>
        <w:t> </w:t>
      </w:r>
      <w:r>
        <w:rPr>
          <w:sz w:val="22"/>
        </w:rPr>
        <w:t>responses</w:t>
      </w:r>
      <w:r>
        <w:rPr>
          <w:spacing w:val="-5"/>
          <w:sz w:val="22"/>
        </w:rPr>
        <w:t> </w:t>
      </w:r>
      <w:r>
        <w:rPr>
          <w:sz w:val="22"/>
        </w:rPr>
        <w:t>was</w:t>
      </w:r>
      <w:r>
        <w:rPr>
          <w:spacing w:val="-5"/>
          <w:sz w:val="22"/>
        </w:rPr>
        <w:t> </w:t>
      </w:r>
      <w:r>
        <w:rPr>
          <w:sz w:val="22"/>
        </w:rPr>
        <w:t>posted</w:t>
      </w:r>
      <w:r>
        <w:rPr>
          <w:spacing w:val="-3"/>
          <w:sz w:val="22"/>
        </w:rPr>
        <w:t> </w:t>
      </w:r>
      <w:r>
        <w:rPr>
          <w:sz w:val="22"/>
        </w:rPr>
        <w:t>in</w:t>
      </w:r>
      <w:r>
        <w:rPr>
          <w:spacing w:val="-6"/>
          <w:sz w:val="22"/>
        </w:rPr>
        <w:t> </w:t>
      </w:r>
      <w:r>
        <w:rPr>
          <w:sz w:val="22"/>
        </w:rPr>
        <w:t>September</w:t>
      </w:r>
      <w:r>
        <w:rPr>
          <w:spacing w:val="-1"/>
          <w:sz w:val="22"/>
        </w:rPr>
        <w:t> </w:t>
      </w:r>
      <w:r>
        <w:rPr>
          <w:spacing w:val="-4"/>
          <w:sz w:val="22"/>
        </w:rPr>
        <w:t>2016</w:t>
      </w:r>
    </w:p>
    <w:p>
      <w:pPr>
        <w:pStyle w:val="ListParagraph"/>
        <w:numPr>
          <w:ilvl w:val="3"/>
          <w:numId w:val="107"/>
        </w:numPr>
        <w:tabs>
          <w:tab w:pos="1940" w:val="left" w:leader="none"/>
        </w:tabs>
        <w:spacing w:line="240" w:lineRule="auto" w:before="198" w:after="0"/>
        <w:ind w:left="1940" w:right="0" w:hanging="360"/>
        <w:jc w:val="left"/>
        <w:rPr>
          <w:sz w:val="22"/>
        </w:rPr>
      </w:pPr>
      <w:r>
        <w:rPr>
          <w:sz w:val="22"/>
        </w:rPr>
        <w:t>Bidders’</w:t>
      </w:r>
      <w:r>
        <w:rPr>
          <w:spacing w:val="-6"/>
          <w:sz w:val="22"/>
        </w:rPr>
        <w:t> </w:t>
      </w:r>
      <w:r>
        <w:rPr>
          <w:sz w:val="22"/>
        </w:rPr>
        <w:t>responses</w:t>
      </w:r>
      <w:r>
        <w:rPr>
          <w:spacing w:val="-3"/>
          <w:sz w:val="22"/>
        </w:rPr>
        <w:t> </w:t>
      </w:r>
      <w:r>
        <w:rPr>
          <w:sz w:val="22"/>
        </w:rPr>
        <w:t>are</w:t>
      </w:r>
      <w:r>
        <w:rPr>
          <w:spacing w:val="-4"/>
          <w:sz w:val="22"/>
        </w:rPr>
        <w:t> </w:t>
      </w:r>
      <w:r>
        <w:rPr>
          <w:sz w:val="22"/>
        </w:rPr>
        <w:t>due</w:t>
      </w:r>
      <w:r>
        <w:rPr>
          <w:spacing w:val="-5"/>
          <w:sz w:val="22"/>
        </w:rPr>
        <w:t> </w:t>
      </w:r>
      <w:r>
        <w:rPr>
          <w:sz w:val="22"/>
        </w:rPr>
        <w:t>mid-February</w:t>
      </w:r>
      <w:r>
        <w:rPr>
          <w:spacing w:val="-6"/>
          <w:sz w:val="22"/>
        </w:rPr>
        <w:t> </w:t>
      </w:r>
      <w:r>
        <w:rPr>
          <w:spacing w:val="-4"/>
          <w:sz w:val="22"/>
        </w:rPr>
        <w:t>2017</w:t>
      </w:r>
    </w:p>
    <w:p>
      <w:pPr>
        <w:pStyle w:val="ListParagraph"/>
        <w:numPr>
          <w:ilvl w:val="3"/>
          <w:numId w:val="107"/>
        </w:numPr>
        <w:tabs>
          <w:tab w:pos="1940" w:val="left" w:leader="none"/>
        </w:tabs>
        <w:spacing w:line="240" w:lineRule="auto" w:before="199" w:after="0"/>
        <w:ind w:left="1940" w:right="0" w:hanging="360"/>
        <w:jc w:val="left"/>
        <w:rPr>
          <w:sz w:val="22"/>
        </w:rPr>
      </w:pPr>
      <w:r>
        <w:rPr>
          <w:sz w:val="22"/>
        </w:rPr>
        <w:t>Target</w:t>
      </w:r>
      <w:r>
        <w:rPr>
          <w:spacing w:val="-6"/>
          <w:sz w:val="22"/>
        </w:rPr>
        <w:t> </w:t>
      </w:r>
      <w:r>
        <w:rPr>
          <w:sz w:val="22"/>
        </w:rPr>
        <w:t>contract</w:t>
      </w:r>
      <w:r>
        <w:rPr>
          <w:spacing w:val="-4"/>
          <w:sz w:val="22"/>
        </w:rPr>
        <w:t> </w:t>
      </w:r>
      <w:r>
        <w:rPr>
          <w:sz w:val="22"/>
        </w:rPr>
        <w:t>execution</w:t>
      </w:r>
      <w:r>
        <w:rPr>
          <w:spacing w:val="-8"/>
          <w:sz w:val="22"/>
        </w:rPr>
        <w:t> </w:t>
      </w:r>
      <w:r>
        <w:rPr>
          <w:sz w:val="22"/>
        </w:rPr>
        <w:t>in</w:t>
      </w:r>
      <w:r>
        <w:rPr>
          <w:spacing w:val="-5"/>
          <w:sz w:val="22"/>
        </w:rPr>
        <w:t> </w:t>
      </w:r>
      <w:r>
        <w:rPr>
          <w:sz w:val="22"/>
        </w:rPr>
        <w:t>August</w:t>
      </w:r>
      <w:r>
        <w:rPr>
          <w:spacing w:val="-3"/>
          <w:sz w:val="22"/>
        </w:rPr>
        <w:t> </w:t>
      </w:r>
      <w:r>
        <w:rPr>
          <w:spacing w:val="-4"/>
          <w:sz w:val="22"/>
        </w:rPr>
        <w:t>2017</w:t>
      </w:r>
    </w:p>
    <w:p>
      <w:pPr>
        <w:pStyle w:val="ListParagraph"/>
        <w:numPr>
          <w:ilvl w:val="3"/>
          <w:numId w:val="107"/>
        </w:numPr>
        <w:tabs>
          <w:tab w:pos="1940" w:val="left" w:leader="none"/>
        </w:tabs>
        <w:spacing w:line="240" w:lineRule="auto" w:before="198" w:after="0"/>
        <w:ind w:left="1940" w:right="1093" w:hanging="361"/>
        <w:jc w:val="left"/>
        <w:rPr>
          <w:sz w:val="22"/>
        </w:rPr>
      </w:pPr>
      <w:r>
        <w:rPr>
          <w:sz w:val="22"/>
        </w:rPr>
        <w:t>Contracts will be effective the date they are executed, and will have an operational start date (i.e., the date on which members can enroll in ACOs) in December 2017</w:t>
      </w:r>
    </w:p>
    <w:p>
      <w:pPr>
        <w:spacing w:after="0" w:line="240" w:lineRule="auto"/>
        <w:jc w:val="left"/>
        <w:rPr>
          <w:sz w:val="22"/>
        </w:rPr>
        <w:sectPr>
          <w:pgSz w:w="12240" w:h="15840"/>
          <w:pgMar w:header="0" w:footer="967" w:top="1380" w:bottom="1160" w:left="220" w:right="340"/>
        </w:sectPr>
      </w:pPr>
    </w:p>
    <w:p>
      <w:pPr>
        <w:spacing w:before="78"/>
        <w:ind w:left="1219" w:right="1096" w:firstLine="0"/>
        <w:jc w:val="both"/>
        <w:rPr>
          <w:sz w:val="22"/>
        </w:rPr>
      </w:pPr>
      <w:r>
        <w:rPr>
          <w:sz w:val="22"/>
        </w:rPr>
        <w:t>Further information on the ACO procurement can be found online at the State’s public procurement website, </w:t>
      </w:r>
      <w:hyperlink r:id="rId349">
        <w:r>
          <w:rPr>
            <w:sz w:val="22"/>
          </w:rPr>
          <w:t>www.commbuys.com.</w:t>
        </w:r>
      </w:hyperlink>
    </w:p>
    <w:p>
      <w:pPr>
        <w:pStyle w:val="Heading2"/>
        <w:spacing w:line="240" w:lineRule="auto"/>
        <w:ind w:left="1220" w:firstLine="0"/>
      </w:pPr>
      <w:bookmarkStart w:name="Community Partners" w:id="1483"/>
      <w:bookmarkEnd w:id="1483"/>
      <w:r>
        <w:rPr>
          <w:b w:val="0"/>
        </w:rPr>
      </w:r>
      <w:bookmarkStart w:name="_bookmark118" w:id="1484"/>
      <w:bookmarkEnd w:id="1484"/>
      <w:r>
        <w:rPr>
          <w:b w:val="0"/>
        </w:rPr>
      </w:r>
      <w:r>
        <w:rPr>
          <w:color w:val="4471C4"/>
        </w:rPr>
        <w:t>Community</w:t>
      </w:r>
      <w:r>
        <w:rPr>
          <w:color w:val="4471C4"/>
          <w:spacing w:val="-12"/>
        </w:rPr>
        <w:t> </w:t>
      </w:r>
      <w:r>
        <w:rPr>
          <w:color w:val="4471C4"/>
          <w:spacing w:val="-2"/>
        </w:rPr>
        <w:t>Partners</w:t>
      </w:r>
    </w:p>
    <w:p>
      <w:pPr>
        <w:spacing w:before="0"/>
        <w:ind w:left="1220" w:right="1095" w:firstLine="0"/>
        <w:jc w:val="both"/>
        <w:rPr>
          <w:sz w:val="22"/>
        </w:rPr>
      </w:pPr>
      <w:r>
        <w:rPr>
          <w:sz w:val="22"/>
        </w:rPr>
        <w:t>Community</w:t>
      </w:r>
      <w:r>
        <w:rPr>
          <w:spacing w:val="-9"/>
          <w:sz w:val="22"/>
        </w:rPr>
        <w:t> </w:t>
      </w:r>
      <w:r>
        <w:rPr>
          <w:sz w:val="22"/>
        </w:rPr>
        <w:t>Partners</w:t>
      </w:r>
      <w:r>
        <w:rPr>
          <w:spacing w:val="-7"/>
          <w:sz w:val="22"/>
        </w:rPr>
        <w:t> </w:t>
      </w:r>
      <w:r>
        <w:rPr>
          <w:sz w:val="22"/>
        </w:rPr>
        <w:t>will</w:t>
      </w:r>
      <w:r>
        <w:rPr>
          <w:spacing w:val="-8"/>
          <w:sz w:val="22"/>
        </w:rPr>
        <w:t> </w:t>
      </w:r>
      <w:r>
        <w:rPr>
          <w:sz w:val="22"/>
        </w:rPr>
        <w:t>support</w:t>
      </w:r>
      <w:r>
        <w:rPr>
          <w:spacing w:val="-6"/>
          <w:sz w:val="22"/>
        </w:rPr>
        <w:t> </w:t>
      </w:r>
      <w:r>
        <w:rPr>
          <w:sz w:val="22"/>
        </w:rPr>
        <w:t>members</w:t>
      </w:r>
      <w:r>
        <w:rPr>
          <w:spacing w:val="-7"/>
          <w:sz w:val="22"/>
        </w:rPr>
        <w:t> </w:t>
      </w:r>
      <w:r>
        <w:rPr>
          <w:sz w:val="22"/>
        </w:rPr>
        <w:t>with</w:t>
      </w:r>
      <w:r>
        <w:rPr>
          <w:spacing w:val="-7"/>
          <w:sz w:val="22"/>
        </w:rPr>
        <w:t> </w:t>
      </w:r>
      <w:r>
        <w:rPr>
          <w:sz w:val="22"/>
        </w:rPr>
        <w:t>complex</w:t>
      </w:r>
      <w:r>
        <w:rPr>
          <w:spacing w:val="-7"/>
          <w:sz w:val="22"/>
        </w:rPr>
        <w:t> </w:t>
      </w:r>
      <w:r>
        <w:rPr>
          <w:sz w:val="22"/>
        </w:rPr>
        <w:t>BH</w:t>
      </w:r>
      <w:r>
        <w:rPr>
          <w:spacing w:val="-8"/>
          <w:sz w:val="22"/>
        </w:rPr>
        <w:t> </w:t>
      </w:r>
      <w:r>
        <w:rPr>
          <w:sz w:val="22"/>
        </w:rPr>
        <w:t>and</w:t>
      </w:r>
      <w:r>
        <w:rPr>
          <w:spacing w:val="-7"/>
          <w:sz w:val="22"/>
        </w:rPr>
        <w:t> </w:t>
      </w:r>
      <w:r>
        <w:rPr>
          <w:sz w:val="22"/>
        </w:rPr>
        <w:t>LTSS</w:t>
      </w:r>
      <w:r>
        <w:rPr>
          <w:spacing w:val="-8"/>
          <w:sz w:val="22"/>
        </w:rPr>
        <w:t> </w:t>
      </w:r>
      <w:r>
        <w:rPr>
          <w:sz w:val="22"/>
        </w:rPr>
        <w:t>needs,</w:t>
      </w:r>
      <w:r>
        <w:rPr>
          <w:spacing w:val="-7"/>
          <w:sz w:val="22"/>
        </w:rPr>
        <w:t> </w:t>
      </w:r>
      <w:r>
        <w:rPr>
          <w:sz w:val="22"/>
        </w:rPr>
        <w:t>in</w:t>
      </w:r>
      <w:r>
        <w:rPr>
          <w:spacing w:val="-9"/>
          <w:sz w:val="22"/>
        </w:rPr>
        <w:t> </w:t>
      </w:r>
      <w:r>
        <w:rPr>
          <w:sz w:val="22"/>
        </w:rPr>
        <w:t>coordination</w:t>
      </w:r>
      <w:r>
        <w:rPr>
          <w:spacing w:val="-7"/>
          <w:sz w:val="22"/>
        </w:rPr>
        <w:t> </w:t>
      </w:r>
      <w:r>
        <w:rPr>
          <w:sz w:val="22"/>
        </w:rPr>
        <w:t>with</w:t>
      </w:r>
      <w:r>
        <w:rPr>
          <w:spacing w:val="-7"/>
          <w:sz w:val="22"/>
        </w:rPr>
        <w:t> </w:t>
      </w:r>
      <w:r>
        <w:rPr>
          <w:sz w:val="22"/>
        </w:rPr>
        <w:t>ACOs and</w:t>
      </w:r>
      <w:r>
        <w:rPr>
          <w:spacing w:val="-12"/>
          <w:sz w:val="22"/>
        </w:rPr>
        <w:t> </w:t>
      </w:r>
      <w:r>
        <w:rPr>
          <w:sz w:val="22"/>
        </w:rPr>
        <w:t>other</w:t>
      </w:r>
      <w:r>
        <w:rPr>
          <w:spacing w:val="-11"/>
          <w:sz w:val="22"/>
        </w:rPr>
        <w:t> </w:t>
      </w:r>
      <w:r>
        <w:rPr>
          <w:sz w:val="22"/>
        </w:rPr>
        <w:t>managed</w:t>
      </w:r>
      <w:r>
        <w:rPr>
          <w:spacing w:val="-12"/>
          <w:sz w:val="22"/>
        </w:rPr>
        <w:t> </w:t>
      </w:r>
      <w:r>
        <w:rPr>
          <w:sz w:val="22"/>
        </w:rPr>
        <w:t>care</w:t>
      </w:r>
      <w:r>
        <w:rPr>
          <w:spacing w:val="-11"/>
          <w:sz w:val="22"/>
        </w:rPr>
        <w:t> </w:t>
      </w:r>
      <w:r>
        <w:rPr>
          <w:sz w:val="22"/>
        </w:rPr>
        <w:t>entities,</w:t>
      </w:r>
      <w:r>
        <w:rPr>
          <w:spacing w:val="-12"/>
          <w:sz w:val="22"/>
        </w:rPr>
        <w:t> </w:t>
      </w:r>
      <w:r>
        <w:rPr>
          <w:sz w:val="22"/>
        </w:rPr>
        <w:t>as</w:t>
      </w:r>
      <w:r>
        <w:rPr>
          <w:spacing w:val="-11"/>
          <w:sz w:val="22"/>
        </w:rPr>
        <w:t> </w:t>
      </w:r>
      <w:r>
        <w:rPr>
          <w:sz w:val="22"/>
        </w:rPr>
        <w:t>determined</w:t>
      </w:r>
      <w:r>
        <w:rPr>
          <w:spacing w:val="-12"/>
          <w:sz w:val="22"/>
        </w:rPr>
        <w:t> </w:t>
      </w:r>
      <w:r>
        <w:rPr>
          <w:sz w:val="22"/>
        </w:rPr>
        <w:t>by</w:t>
      </w:r>
      <w:r>
        <w:rPr>
          <w:spacing w:val="-14"/>
          <w:sz w:val="22"/>
        </w:rPr>
        <w:t> </w:t>
      </w:r>
      <w:r>
        <w:rPr>
          <w:sz w:val="22"/>
        </w:rPr>
        <w:t>the</w:t>
      </w:r>
      <w:r>
        <w:rPr>
          <w:spacing w:val="-10"/>
          <w:sz w:val="22"/>
        </w:rPr>
        <w:t> </w:t>
      </w:r>
      <w:r>
        <w:rPr>
          <w:sz w:val="22"/>
        </w:rPr>
        <w:t>State.</w:t>
      </w:r>
      <w:r>
        <w:rPr>
          <w:spacing w:val="-14"/>
          <w:sz w:val="22"/>
        </w:rPr>
        <w:t> </w:t>
      </w:r>
      <w:r>
        <w:rPr>
          <w:sz w:val="22"/>
        </w:rPr>
        <w:t>The</w:t>
      </w:r>
      <w:r>
        <w:rPr>
          <w:spacing w:val="-10"/>
          <w:sz w:val="22"/>
        </w:rPr>
        <w:t> </w:t>
      </w:r>
      <w:r>
        <w:rPr>
          <w:sz w:val="22"/>
        </w:rPr>
        <w:t>focus</w:t>
      </w:r>
      <w:r>
        <w:rPr>
          <w:spacing w:val="-11"/>
          <w:sz w:val="22"/>
        </w:rPr>
        <w:t> </w:t>
      </w:r>
      <w:r>
        <w:rPr>
          <w:sz w:val="22"/>
        </w:rPr>
        <w:t>populations</w:t>
      </w:r>
      <w:r>
        <w:rPr>
          <w:spacing w:val="-11"/>
          <w:sz w:val="22"/>
        </w:rPr>
        <w:t> </w:t>
      </w:r>
      <w:r>
        <w:rPr>
          <w:sz w:val="22"/>
        </w:rPr>
        <w:t>of</w:t>
      </w:r>
      <w:r>
        <w:rPr>
          <w:spacing w:val="-11"/>
          <w:sz w:val="22"/>
        </w:rPr>
        <w:t> </w:t>
      </w:r>
      <w:r>
        <w:rPr>
          <w:sz w:val="22"/>
        </w:rPr>
        <w:t>MassHealth</w:t>
      </w:r>
      <w:r>
        <w:rPr>
          <w:spacing w:val="-12"/>
          <w:sz w:val="22"/>
        </w:rPr>
        <w:t> </w:t>
      </w:r>
      <w:r>
        <w:rPr>
          <w:sz w:val="22"/>
        </w:rPr>
        <w:t>members for</w:t>
      </w:r>
      <w:r>
        <w:rPr>
          <w:spacing w:val="-6"/>
          <w:sz w:val="22"/>
        </w:rPr>
        <w:t> </w:t>
      </w:r>
      <w:r>
        <w:rPr>
          <w:sz w:val="22"/>
        </w:rPr>
        <w:t>the</w:t>
      </w:r>
      <w:r>
        <w:rPr>
          <w:spacing w:val="-7"/>
          <w:sz w:val="22"/>
        </w:rPr>
        <w:t> </w:t>
      </w:r>
      <w:r>
        <w:rPr>
          <w:sz w:val="22"/>
        </w:rPr>
        <w:t>CP</w:t>
      </w:r>
      <w:r>
        <w:rPr>
          <w:spacing w:val="-5"/>
          <w:sz w:val="22"/>
        </w:rPr>
        <w:t> </w:t>
      </w:r>
      <w:r>
        <w:rPr>
          <w:sz w:val="22"/>
        </w:rPr>
        <w:t>program</w:t>
      </w:r>
      <w:r>
        <w:rPr>
          <w:spacing w:val="-8"/>
          <w:sz w:val="22"/>
        </w:rPr>
        <w:t> </w:t>
      </w:r>
      <w:r>
        <w:rPr>
          <w:sz w:val="22"/>
        </w:rPr>
        <w:t>may</w:t>
      </w:r>
      <w:r>
        <w:rPr>
          <w:spacing w:val="-7"/>
          <w:sz w:val="22"/>
        </w:rPr>
        <w:t> </w:t>
      </w:r>
      <w:r>
        <w:rPr>
          <w:sz w:val="22"/>
        </w:rPr>
        <w:t>include,</w:t>
      </w:r>
      <w:r>
        <w:rPr>
          <w:spacing w:val="-7"/>
          <w:sz w:val="22"/>
        </w:rPr>
        <w:t> </w:t>
      </w:r>
      <w:r>
        <w:rPr>
          <w:sz w:val="22"/>
        </w:rPr>
        <w:t>for</w:t>
      </w:r>
      <w:r>
        <w:rPr>
          <w:spacing w:val="-4"/>
          <w:sz w:val="22"/>
        </w:rPr>
        <w:t> </w:t>
      </w:r>
      <w:r>
        <w:rPr>
          <w:sz w:val="22"/>
        </w:rPr>
        <w:t>example,</w:t>
      </w:r>
      <w:r>
        <w:rPr>
          <w:spacing w:val="-5"/>
          <w:sz w:val="22"/>
        </w:rPr>
        <w:t> </w:t>
      </w:r>
      <w:r>
        <w:rPr>
          <w:sz w:val="22"/>
        </w:rPr>
        <w:t>(1)</w:t>
      </w:r>
      <w:r>
        <w:rPr>
          <w:spacing w:val="-4"/>
          <w:sz w:val="22"/>
        </w:rPr>
        <w:t> </w:t>
      </w:r>
      <w:r>
        <w:rPr>
          <w:sz w:val="22"/>
        </w:rPr>
        <w:t>members</w:t>
      </w:r>
      <w:r>
        <w:rPr>
          <w:spacing w:val="-7"/>
          <w:sz w:val="22"/>
        </w:rPr>
        <w:t> </w:t>
      </w:r>
      <w:r>
        <w:rPr>
          <w:sz w:val="22"/>
        </w:rPr>
        <w:t>with</w:t>
      </w:r>
      <w:r>
        <w:rPr>
          <w:spacing w:val="-5"/>
          <w:sz w:val="22"/>
        </w:rPr>
        <w:t> </w:t>
      </w:r>
      <w:r>
        <w:rPr>
          <w:sz w:val="22"/>
        </w:rPr>
        <w:t>diagnoses</w:t>
      </w:r>
      <w:r>
        <w:rPr>
          <w:spacing w:val="-7"/>
          <w:sz w:val="22"/>
        </w:rPr>
        <w:t> </w:t>
      </w:r>
      <w:r>
        <w:rPr>
          <w:sz w:val="22"/>
        </w:rPr>
        <w:t>of</w:t>
      </w:r>
      <w:r>
        <w:rPr>
          <w:spacing w:val="-6"/>
          <w:sz w:val="22"/>
        </w:rPr>
        <w:t> </w:t>
      </w:r>
      <w:r>
        <w:rPr>
          <w:sz w:val="22"/>
        </w:rPr>
        <w:t>serious</w:t>
      </w:r>
      <w:r>
        <w:rPr>
          <w:spacing w:val="-4"/>
          <w:sz w:val="22"/>
        </w:rPr>
        <w:t> </w:t>
      </w:r>
      <w:r>
        <w:rPr>
          <w:sz w:val="22"/>
        </w:rPr>
        <w:t>mental</w:t>
      </w:r>
      <w:r>
        <w:rPr>
          <w:spacing w:val="-6"/>
          <w:sz w:val="22"/>
        </w:rPr>
        <w:t> </w:t>
      </w:r>
      <w:r>
        <w:rPr>
          <w:sz w:val="22"/>
        </w:rPr>
        <w:t>illness</w:t>
      </w:r>
      <w:r>
        <w:rPr>
          <w:spacing w:val="-7"/>
          <w:sz w:val="22"/>
        </w:rPr>
        <w:t> </w:t>
      </w:r>
      <w:r>
        <w:rPr>
          <w:sz w:val="22"/>
        </w:rPr>
        <w:t>and/or substance use disorder who</w:t>
      </w:r>
      <w:r>
        <w:rPr>
          <w:spacing w:val="-2"/>
          <w:sz w:val="22"/>
        </w:rPr>
        <w:t> </w:t>
      </w:r>
      <w:r>
        <w:rPr>
          <w:sz w:val="22"/>
        </w:rPr>
        <w:t>have significant utilization</w:t>
      </w:r>
      <w:r>
        <w:rPr>
          <w:spacing w:val="-2"/>
          <w:sz w:val="22"/>
        </w:rPr>
        <w:t> </w:t>
      </w:r>
      <w:r>
        <w:rPr>
          <w:sz w:val="22"/>
        </w:rPr>
        <w:t>of acute services such as ER</w:t>
      </w:r>
      <w:r>
        <w:rPr>
          <w:spacing w:val="-1"/>
          <w:sz w:val="22"/>
        </w:rPr>
        <w:t> </w:t>
      </w:r>
      <w:r>
        <w:rPr>
          <w:sz w:val="22"/>
        </w:rPr>
        <w:t>visits,</w:t>
      </w:r>
      <w:r>
        <w:rPr>
          <w:spacing w:val="-2"/>
          <w:sz w:val="22"/>
        </w:rPr>
        <w:t> </w:t>
      </w:r>
      <w:r>
        <w:rPr>
          <w:sz w:val="22"/>
        </w:rPr>
        <w:t>inpatient</w:t>
      </w:r>
      <w:r>
        <w:rPr>
          <w:spacing w:val="-1"/>
          <w:sz w:val="22"/>
        </w:rPr>
        <w:t> </w:t>
      </w:r>
      <w:r>
        <w:rPr>
          <w:sz w:val="22"/>
        </w:rPr>
        <w:t>stays, detoxification stays, medication assisted treatment for SUD or co-occurring chronic medical conditions; and/or</w:t>
      </w:r>
      <w:r>
        <w:rPr>
          <w:spacing w:val="-9"/>
          <w:sz w:val="22"/>
        </w:rPr>
        <w:t> </w:t>
      </w:r>
      <w:r>
        <w:rPr>
          <w:sz w:val="22"/>
        </w:rPr>
        <w:t>(2)</w:t>
      </w:r>
      <w:r>
        <w:rPr>
          <w:spacing w:val="-9"/>
          <w:sz w:val="22"/>
        </w:rPr>
        <w:t> </w:t>
      </w:r>
      <w:r>
        <w:rPr>
          <w:sz w:val="22"/>
        </w:rPr>
        <w:t>members</w:t>
      </w:r>
      <w:r>
        <w:rPr>
          <w:spacing w:val="-9"/>
          <w:sz w:val="22"/>
        </w:rPr>
        <w:t> </w:t>
      </w:r>
      <w:r>
        <w:rPr>
          <w:sz w:val="22"/>
        </w:rPr>
        <w:t>with</w:t>
      </w:r>
      <w:r>
        <w:rPr>
          <w:spacing w:val="-10"/>
          <w:sz w:val="22"/>
        </w:rPr>
        <w:t> </w:t>
      </w:r>
      <w:r>
        <w:rPr>
          <w:sz w:val="22"/>
        </w:rPr>
        <w:t>claims</w:t>
      </w:r>
      <w:r>
        <w:rPr>
          <w:spacing w:val="-9"/>
          <w:sz w:val="22"/>
        </w:rPr>
        <w:t> </w:t>
      </w:r>
      <w:r>
        <w:rPr>
          <w:sz w:val="22"/>
        </w:rPr>
        <w:t>for</w:t>
      </w:r>
      <w:r>
        <w:rPr>
          <w:spacing w:val="-9"/>
          <w:sz w:val="22"/>
        </w:rPr>
        <w:t> </w:t>
      </w:r>
      <w:r>
        <w:rPr>
          <w:sz w:val="22"/>
        </w:rPr>
        <w:t>MassHealth</w:t>
      </w:r>
      <w:r>
        <w:rPr>
          <w:spacing w:val="-10"/>
          <w:sz w:val="22"/>
        </w:rPr>
        <w:t> </w:t>
      </w:r>
      <w:r>
        <w:rPr>
          <w:sz w:val="22"/>
        </w:rPr>
        <w:t>State</w:t>
      </w:r>
      <w:r>
        <w:rPr>
          <w:spacing w:val="-11"/>
          <w:sz w:val="22"/>
        </w:rPr>
        <w:t> </w:t>
      </w:r>
      <w:r>
        <w:rPr>
          <w:sz w:val="22"/>
        </w:rPr>
        <w:t>Plan</w:t>
      </w:r>
      <w:r>
        <w:rPr>
          <w:spacing w:val="-10"/>
          <w:sz w:val="22"/>
        </w:rPr>
        <w:t> </w:t>
      </w:r>
      <w:r>
        <w:rPr>
          <w:sz w:val="22"/>
        </w:rPr>
        <w:t>LTSS</w:t>
      </w:r>
      <w:r>
        <w:rPr>
          <w:spacing w:val="-10"/>
          <w:sz w:val="22"/>
        </w:rPr>
        <w:t> </w:t>
      </w:r>
      <w:r>
        <w:rPr>
          <w:sz w:val="22"/>
        </w:rPr>
        <w:t>of</w:t>
      </w:r>
      <w:r>
        <w:rPr>
          <w:spacing w:val="-9"/>
          <w:sz w:val="22"/>
        </w:rPr>
        <w:t> </w:t>
      </w:r>
      <w:r>
        <w:rPr>
          <w:sz w:val="22"/>
        </w:rPr>
        <w:t>more</w:t>
      </w:r>
      <w:r>
        <w:rPr>
          <w:spacing w:val="-9"/>
          <w:sz w:val="22"/>
        </w:rPr>
        <w:t> </w:t>
      </w:r>
      <w:r>
        <w:rPr>
          <w:sz w:val="22"/>
        </w:rPr>
        <w:t>than</w:t>
      </w:r>
      <w:r>
        <w:rPr>
          <w:spacing w:val="-10"/>
          <w:sz w:val="22"/>
        </w:rPr>
        <w:t> </w:t>
      </w:r>
      <w:r>
        <w:rPr>
          <w:sz w:val="22"/>
        </w:rPr>
        <w:t>$300</w:t>
      </w:r>
      <w:r>
        <w:rPr>
          <w:spacing w:val="-10"/>
          <w:sz w:val="22"/>
        </w:rPr>
        <w:t> </w:t>
      </w:r>
      <w:r>
        <w:rPr>
          <w:sz w:val="22"/>
        </w:rPr>
        <w:t>per</w:t>
      </w:r>
      <w:r>
        <w:rPr>
          <w:spacing w:val="-9"/>
          <w:sz w:val="22"/>
        </w:rPr>
        <w:t> </w:t>
      </w:r>
      <w:r>
        <w:rPr>
          <w:sz w:val="22"/>
        </w:rPr>
        <w:t>month</w:t>
      </w:r>
      <w:r>
        <w:rPr>
          <w:spacing w:val="-10"/>
          <w:sz w:val="22"/>
        </w:rPr>
        <w:t> </w:t>
      </w:r>
      <w:r>
        <w:rPr>
          <w:sz w:val="22"/>
        </w:rPr>
        <w:t>over</w:t>
      </w:r>
      <w:r>
        <w:rPr>
          <w:spacing w:val="-9"/>
          <w:sz w:val="22"/>
        </w:rPr>
        <w:t> </w:t>
      </w:r>
      <w:r>
        <w:rPr>
          <w:sz w:val="22"/>
        </w:rPr>
        <w:t>at</w:t>
      </w:r>
      <w:r>
        <w:rPr>
          <w:spacing w:val="-9"/>
          <w:sz w:val="22"/>
        </w:rPr>
        <w:t> </w:t>
      </w:r>
      <w:r>
        <w:rPr>
          <w:sz w:val="22"/>
        </w:rPr>
        <w:t>least 3 consecutive months.</w:t>
      </w:r>
    </w:p>
    <w:p>
      <w:pPr>
        <w:spacing w:line="244" w:lineRule="auto" w:before="158"/>
        <w:ind w:left="1220" w:right="1095" w:firstLine="0"/>
        <w:jc w:val="both"/>
        <w:rPr>
          <w:sz w:val="22"/>
        </w:rPr>
      </w:pPr>
      <w:r>
        <w:rPr>
          <w:sz w:val="22"/>
        </w:rPr>
        <w:t>MassHealth</w:t>
      </w:r>
      <w:r>
        <w:rPr>
          <w:spacing w:val="-1"/>
          <w:sz w:val="22"/>
        </w:rPr>
        <w:t> </w:t>
      </w:r>
      <w:r>
        <w:rPr>
          <w:sz w:val="22"/>
        </w:rPr>
        <w:t>will selectively</w:t>
      </w:r>
      <w:r>
        <w:rPr>
          <w:spacing w:val="-4"/>
          <w:sz w:val="22"/>
        </w:rPr>
        <w:t> </w:t>
      </w:r>
      <w:r>
        <w:rPr>
          <w:sz w:val="22"/>
        </w:rPr>
        <w:t>procure</w:t>
      </w:r>
      <w:r>
        <w:rPr>
          <w:spacing w:val="-1"/>
          <w:sz w:val="22"/>
        </w:rPr>
        <w:t> </w:t>
      </w:r>
      <w:r>
        <w:rPr>
          <w:sz w:val="22"/>
        </w:rPr>
        <w:t>the</w:t>
      </w:r>
      <w:r>
        <w:rPr>
          <w:spacing w:val="-1"/>
          <w:sz w:val="22"/>
        </w:rPr>
        <w:t> </w:t>
      </w:r>
      <w:r>
        <w:rPr>
          <w:sz w:val="22"/>
        </w:rPr>
        <w:t>following</w:t>
      </w:r>
      <w:r>
        <w:rPr>
          <w:spacing w:val="-4"/>
          <w:sz w:val="22"/>
        </w:rPr>
        <w:t> </w:t>
      </w:r>
      <w:r>
        <w:rPr>
          <w:sz w:val="22"/>
        </w:rPr>
        <w:t>two</w:t>
      </w:r>
      <w:r>
        <w:rPr>
          <w:spacing w:val="-1"/>
          <w:sz w:val="22"/>
        </w:rPr>
        <w:t> </w:t>
      </w:r>
      <w:r>
        <w:rPr>
          <w:sz w:val="22"/>
        </w:rPr>
        <w:t>types</w:t>
      </w:r>
      <w:r>
        <w:rPr>
          <w:spacing w:val="-1"/>
          <w:sz w:val="22"/>
        </w:rPr>
        <w:t> </w:t>
      </w:r>
      <w:r>
        <w:rPr>
          <w:sz w:val="22"/>
        </w:rPr>
        <w:t>of CPs,</w:t>
      </w:r>
      <w:r>
        <w:rPr>
          <w:spacing w:val="-1"/>
          <w:sz w:val="22"/>
        </w:rPr>
        <w:t> </w:t>
      </w:r>
      <w:r>
        <w:rPr>
          <w:sz w:val="22"/>
        </w:rPr>
        <w:t>BH</w:t>
      </w:r>
      <w:r>
        <w:rPr>
          <w:spacing w:val="-2"/>
          <w:sz w:val="22"/>
        </w:rPr>
        <w:t> </w:t>
      </w:r>
      <w:r>
        <w:rPr>
          <w:sz w:val="22"/>
        </w:rPr>
        <w:t>CPs</w:t>
      </w:r>
      <w:r>
        <w:rPr>
          <w:spacing w:val="-1"/>
          <w:sz w:val="22"/>
        </w:rPr>
        <w:t> </w:t>
      </w:r>
      <w:r>
        <w:rPr>
          <w:sz w:val="22"/>
        </w:rPr>
        <w:t>and</w:t>
      </w:r>
      <w:r>
        <w:rPr>
          <w:spacing w:val="-1"/>
          <w:sz w:val="22"/>
        </w:rPr>
        <w:t> </w:t>
      </w:r>
      <w:r>
        <w:rPr>
          <w:sz w:val="22"/>
        </w:rPr>
        <w:t>LTSS</w:t>
      </w:r>
      <w:r>
        <w:rPr>
          <w:spacing w:val="-2"/>
          <w:sz w:val="22"/>
        </w:rPr>
        <w:t> </w:t>
      </w:r>
      <w:r>
        <w:rPr>
          <w:sz w:val="22"/>
        </w:rPr>
        <w:t>CPs</w:t>
      </w:r>
      <w:r>
        <w:rPr>
          <w:spacing w:val="-1"/>
          <w:sz w:val="22"/>
        </w:rPr>
        <w:t> </w:t>
      </w:r>
      <w:r>
        <w:rPr>
          <w:sz w:val="22"/>
        </w:rPr>
        <w:t>(see</w:t>
      </w:r>
      <w:r>
        <w:rPr>
          <w:spacing w:val="-1"/>
          <w:sz w:val="22"/>
        </w:rPr>
        <w:t> </w:t>
      </w:r>
      <w:r>
        <w:rPr>
          <w:sz w:val="22"/>
        </w:rPr>
        <w:t>Sections 1 and 4.3 for additional descriptions of the CP Models).</w:t>
      </w:r>
    </w:p>
    <w:p>
      <w:pPr>
        <w:pStyle w:val="ListParagraph"/>
        <w:numPr>
          <w:ilvl w:val="3"/>
          <w:numId w:val="107"/>
        </w:numPr>
        <w:tabs>
          <w:tab w:pos="1938" w:val="left" w:leader="none"/>
          <w:tab w:pos="1940" w:val="left" w:leader="none"/>
        </w:tabs>
        <w:spacing w:line="240" w:lineRule="auto" w:before="153" w:after="0"/>
        <w:ind w:left="1940" w:right="1094" w:hanging="361"/>
        <w:jc w:val="both"/>
        <w:rPr>
          <w:sz w:val="22"/>
        </w:rPr>
      </w:pPr>
      <w:r>
        <w:rPr>
          <w:b/>
          <w:sz w:val="22"/>
        </w:rPr>
        <w:t>BH CP Model overview</w:t>
      </w:r>
      <w:r>
        <w:rPr>
          <w:sz w:val="22"/>
        </w:rPr>
        <w:t>: MCOs and ACOs will delegate comprehensive care management responsibility to the BH CP for enrollees of the BH CP with Serious Mental Illness (SMI) and/or Substance Use Disorder (SUD). BH CPs will be required to coordinate care across the full healthcare continuum, including physical and behavioral health, LTSS and social service needs. Because BH CPs will be expected to have experience supporting members with LTSS needs, members</w:t>
      </w:r>
      <w:r>
        <w:rPr>
          <w:spacing w:val="-14"/>
          <w:sz w:val="22"/>
        </w:rPr>
        <w:t> </w:t>
      </w:r>
      <w:r>
        <w:rPr>
          <w:sz w:val="22"/>
        </w:rPr>
        <w:t>with</w:t>
      </w:r>
      <w:r>
        <w:rPr>
          <w:spacing w:val="-13"/>
          <w:sz w:val="22"/>
        </w:rPr>
        <w:t> </w:t>
      </w:r>
      <w:r>
        <w:rPr>
          <w:sz w:val="22"/>
        </w:rPr>
        <w:t>both</w:t>
      </w:r>
      <w:r>
        <w:rPr>
          <w:spacing w:val="-13"/>
          <w:sz w:val="22"/>
        </w:rPr>
        <w:t> </w:t>
      </w:r>
      <w:r>
        <w:rPr>
          <w:sz w:val="22"/>
        </w:rPr>
        <w:t>complex</w:t>
      </w:r>
      <w:r>
        <w:rPr>
          <w:spacing w:val="-13"/>
          <w:sz w:val="22"/>
        </w:rPr>
        <w:t> </w:t>
      </w:r>
      <w:r>
        <w:rPr>
          <w:sz w:val="22"/>
        </w:rPr>
        <w:t>BH</w:t>
      </w:r>
      <w:r>
        <w:rPr>
          <w:spacing w:val="-14"/>
          <w:sz w:val="22"/>
        </w:rPr>
        <w:t> </w:t>
      </w:r>
      <w:r>
        <w:rPr>
          <w:sz w:val="22"/>
        </w:rPr>
        <w:t>and</w:t>
      </w:r>
      <w:r>
        <w:rPr>
          <w:spacing w:val="-13"/>
          <w:sz w:val="22"/>
        </w:rPr>
        <w:t> </w:t>
      </w:r>
      <w:r>
        <w:rPr>
          <w:sz w:val="22"/>
        </w:rPr>
        <w:t>LTSS</w:t>
      </w:r>
      <w:r>
        <w:rPr>
          <w:spacing w:val="-14"/>
          <w:sz w:val="22"/>
        </w:rPr>
        <w:t> </w:t>
      </w:r>
      <w:r>
        <w:rPr>
          <w:sz w:val="22"/>
        </w:rPr>
        <w:t>needs</w:t>
      </w:r>
      <w:r>
        <w:rPr>
          <w:spacing w:val="-13"/>
          <w:sz w:val="22"/>
        </w:rPr>
        <w:t> </w:t>
      </w:r>
      <w:r>
        <w:rPr>
          <w:sz w:val="22"/>
        </w:rPr>
        <w:t>as</w:t>
      </w:r>
      <w:r>
        <w:rPr>
          <w:spacing w:val="-13"/>
          <w:sz w:val="22"/>
        </w:rPr>
        <w:t> </w:t>
      </w:r>
      <w:r>
        <w:rPr>
          <w:sz w:val="22"/>
        </w:rPr>
        <w:t>assigned</w:t>
      </w:r>
      <w:r>
        <w:rPr>
          <w:spacing w:val="-13"/>
          <w:sz w:val="22"/>
        </w:rPr>
        <w:t> </w:t>
      </w:r>
      <w:r>
        <w:rPr>
          <w:sz w:val="22"/>
        </w:rPr>
        <w:t>to</w:t>
      </w:r>
      <w:r>
        <w:rPr>
          <w:spacing w:val="-13"/>
          <w:sz w:val="22"/>
        </w:rPr>
        <w:t> </w:t>
      </w:r>
      <w:r>
        <w:rPr>
          <w:sz w:val="22"/>
        </w:rPr>
        <w:t>a</w:t>
      </w:r>
      <w:r>
        <w:rPr>
          <w:spacing w:val="-13"/>
          <w:sz w:val="22"/>
        </w:rPr>
        <w:t> </w:t>
      </w:r>
      <w:r>
        <w:rPr>
          <w:sz w:val="22"/>
        </w:rPr>
        <w:t>BH</w:t>
      </w:r>
      <w:r>
        <w:rPr>
          <w:spacing w:val="-14"/>
          <w:sz w:val="22"/>
        </w:rPr>
        <w:t> </w:t>
      </w:r>
      <w:r>
        <w:rPr>
          <w:sz w:val="22"/>
        </w:rPr>
        <w:t>CP.</w:t>
      </w:r>
      <w:r>
        <w:rPr>
          <w:spacing w:val="70"/>
          <w:sz w:val="22"/>
        </w:rPr>
        <w:t> </w:t>
      </w:r>
      <w:r>
        <w:rPr>
          <w:sz w:val="22"/>
        </w:rPr>
        <w:t>BH</w:t>
      </w:r>
      <w:r>
        <w:rPr>
          <w:spacing w:val="-14"/>
          <w:sz w:val="22"/>
        </w:rPr>
        <w:t> </w:t>
      </w:r>
      <w:r>
        <w:rPr>
          <w:sz w:val="22"/>
        </w:rPr>
        <w:t>CPs</w:t>
      </w:r>
      <w:r>
        <w:rPr>
          <w:spacing w:val="-13"/>
          <w:sz w:val="22"/>
        </w:rPr>
        <w:t> </w:t>
      </w:r>
      <w:r>
        <w:rPr>
          <w:sz w:val="22"/>
        </w:rPr>
        <w:t>will</w:t>
      </w:r>
      <w:r>
        <w:rPr>
          <w:spacing w:val="-12"/>
          <w:sz w:val="22"/>
        </w:rPr>
        <w:t> </w:t>
      </w:r>
      <w:r>
        <w:rPr>
          <w:sz w:val="22"/>
        </w:rPr>
        <w:t>be</w:t>
      </w:r>
      <w:r>
        <w:rPr>
          <w:spacing w:val="-13"/>
          <w:sz w:val="22"/>
        </w:rPr>
        <w:t> </w:t>
      </w:r>
      <w:r>
        <w:rPr>
          <w:sz w:val="22"/>
        </w:rPr>
        <w:t>required to</w:t>
      </w:r>
      <w:r>
        <w:rPr>
          <w:spacing w:val="-14"/>
          <w:sz w:val="22"/>
        </w:rPr>
        <w:t> </w:t>
      </w:r>
      <w:r>
        <w:rPr>
          <w:sz w:val="22"/>
        </w:rPr>
        <w:t>meet</w:t>
      </w:r>
      <w:r>
        <w:rPr>
          <w:spacing w:val="-14"/>
          <w:sz w:val="22"/>
        </w:rPr>
        <w:t> </w:t>
      </w:r>
      <w:r>
        <w:rPr>
          <w:sz w:val="22"/>
        </w:rPr>
        <w:t>certain</w:t>
      </w:r>
      <w:r>
        <w:rPr>
          <w:spacing w:val="-14"/>
          <w:sz w:val="22"/>
        </w:rPr>
        <w:t> </w:t>
      </w:r>
      <w:r>
        <w:rPr>
          <w:sz w:val="22"/>
        </w:rPr>
        <w:t>training</w:t>
      </w:r>
      <w:r>
        <w:rPr>
          <w:spacing w:val="-13"/>
          <w:sz w:val="22"/>
        </w:rPr>
        <w:t> </w:t>
      </w:r>
      <w:r>
        <w:rPr>
          <w:sz w:val="22"/>
        </w:rPr>
        <w:t>obligations</w:t>
      </w:r>
      <w:r>
        <w:rPr>
          <w:spacing w:val="-14"/>
          <w:sz w:val="22"/>
        </w:rPr>
        <w:t> </w:t>
      </w:r>
      <w:r>
        <w:rPr>
          <w:sz w:val="22"/>
        </w:rPr>
        <w:t>(e.g.,</w:t>
      </w:r>
      <w:r>
        <w:rPr>
          <w:spacing w:val="-14"/>
          <w:sz w:val="22"/>
        </w:rPr>
        <w:t> </w:t>
      </w:r>
      <w:r>
        <w:rPr>
          <w:sz w:val="22"/>
        </w:rPr>
        <w:t>training</w:t>
      </w:r>
      <w:r>
        <w:rPr>
          <w:spacing w:val="-14"/>
          <w:sz w:val="22"/>
        </w:rPr>
        <w:t> </w:t>
      </w:r>
      <w:r>
        <w:rPr>
          <w:sz w:val="22"/>
        </w:rPr>
        <w:t>in</w:t>
      </w:r>
      <w:r>
        <w:rPr>
          <w:spacing w:val="-13"/>
          <w:sz w:val="22"/>
        </w:rPr>
        <w:t> </w:t>
      </w:r>
      <w:r>
        <w:rPr>
          <w:sz w:val="22"/>
        </w:rPr>
        <w:t>person-centered</w:t>
      </w:r>
      <w:r>
        <w:rPr>
          <w:spacing w:val="-14"/>
          <w:sz w:val="22"/>
        </w:rPr>
        <w:t> </w:t>
      </w:r>
      <w:r>
        <w:rPr>
          <w:sz w:val="22"/>
        </w:rPr>
        <w:t>planning,</w:t>
      </w:r>
      <w:r>
        <w:rPr>
          <w:spacing w:val="-14"/>
          <w:sz w:val="22"/>
        </w:rPr>
        <w:t> </w:t>
      </w:r>
      <w:r>
        <w:rPr>
          <w:sz w:val="22"/>
        </w:rPr>
        <w:t>cultural</w:t>
      </w:r>
      <w:r>
        <w:rPr>
          <w:spacing w:val="-14"/>
          <w:sz w:val="22"/>
        </w:rPr>
        <w:t> </w:t>
      </w:r>
      <w:r>
        <w:rPr>
          <w:sz w:val="22"/>
        </w:rPr>
        <w:t>competency, accessibility and accommodations, independent living and recovery principles, motivational interviewing, conflicts of interest and health and wellness principles) and coordination requirements (e.g., providing enrollees with at least two choices of LTSS service providers, assisting the member in navigating and accessing needed LTSS and LTSS-related services, identifying LTSS providers that serve or might serve the member, and coordinating and facilitate communication with LTSS providers) to ensure their capability to support members with both complex BH and LTSS needs.</w:t>
      </w:r>
    </w:p>
    <w:p>
      <w:pPr>
        <w:pStyle w:val="ListParagraph"/>
        <w:numPr>
          <w:ilvl w:val="3"/>
          <w:numId w:val="107"/>
        </w:numPr>
        <w:tabs>
          <w:tab w:pos="1938" w:val="left" w:leader="none"/>
          <w:tab w:pos="1940" w:val="left" w:leader="none"/>
        </w:tabs>
        <w:spacing w:line="240" w:lineRule="auto" w:before="197" w:after="0"/>
        <w:ind w:left="1940" w:right="1094" w:hanging="361"/>
        <w:jc w:val="both"/>
        <w:rPr>
          <w:sz w:val="22"/>
        </w:rPr>
      </w:pPr>
      <w:r>
        <w:rPr>
          <w:b/>
          <w:sz w:val="22"/>
        </w:rPr>
        <w:t>LTSS</w:t>
      </w:r>
      <w:r>
        <w:rPr>
          <w:b/>
          <w:spacing w:val="-1"/>
          <w:sz w:val="22"/>
        </w:rPr>
        <w:t> </w:t>
      </w:r>
      <w:r>
        <w:rPr>
          <w:b/>
          <w:sz w:val="22"/>
        </w:rPr>
        <w:t>CP Model</w:t>
      </w:r>
      <w:r>
        <w:rPr>
          <w:b/>
          <w:spacing w:val="-2"/>
          <w:sz w:val="22"/>
        </w:rPr>
        <w:t> </w:t>
      </w:r>
      <w:r>
        <w:rPr>
          <w:b/>
          <w:sz w:val="22"/>
        </w:rPr>
        <w:t>overview</w:t>
      </w:r>
      <w:r>
        <w:rPr>
          <w:sz w:val="22"/>
        </w:rPr>
        <w:t>: ACOs and</w:t>
      </w:r>
      <w:r>
        <w:rPr>
          <w:spacing w:val="-3"/>
          <w:sz w:val="22"/>
        </w:rPr>
        <w:t> </w:t>
      </w:r>
      <w:r>
        <w:rPr>
          <w:sz w:val="22"/>
        </w:rPr>
        <w:t>MCOs will</w:t>
      </w:r>
      <w:r>
        <w:rPr>
          <w:spacing w:val="-2"/>
          <w:sz w:val="22"/>
        </w:rPr>
        <w:t> </w:t>
      </w:r>
      <w:r>
        <w:rPr>
          <w:sz w:val="22"/>
        </w:rPr>
        <w:t>conduct</w:t>
      </w:r>
      <w:r>
        <w:rPr>
          <w:spacing w:val="-2"/>
          <w:sz w:val="22"/>
        </w:rPr>
        <w:t> </w:t>
      </w:r>
      <w:r>
        <w:rPr>
          <w:sz w:val="22"/>
        </w:rPr>
        <w:t>comprehensive assessments,</w:t>
      </w:r>
      <w:r>
        <w:rPr>
          <w:spacing w:val="-1"/>
          <w:sz w:val="22"/>
        </w:rPr>
        <w:t> </w:t>
      </w:r>
      <w:r>
        <w:rPr>
          <w:sz w:val="22"/>
        </w:rPr>
        <w:t>convene the care teams, and provide care planning and coordination for physical and behavioral health services to enrollees assigned to a LTSS CP. The LTSS CP will review the comprehensive assessment results with</w:t>
      </w:r>
      <w:r>
        <w:rPr>
          <w:spacing w:val="-1"/>
          <w:sz w:val="22"/>
        </w:rPr>
        <w:t> </w:t>
      </w:r>
      <w:r>
        <w:rPr>
          <w:sz w:val="22"/>
        </w:rPr>
        <w:t>the</w:t>
      </w:r>
      <w:r>
        <w:rPr>
          <w:spacing w:val="-1"/>
          <w:sz w:val="22"/>
        </w:rPr>
        <w:t> </w:t>
      </w:r>
      <w:r>
        <w:rPr>
          <w:sz w:val="22"/>
        </w:rPr>
        <w:t>LTSS CP assigned members as part of the person-centered LTSS care planning process and will inform</w:t>
      </w:r>
      <w:r>
        <w:rPr>
          <w:spacing w:val="-1"/>
          <w:sz w:val="22"/>
        </w:rPr>
        <w:t> </w:t>
      </w:r>
      <w:r>
        <w:rPr>
          <w:sz w:val="22"/>
        </w:rPr>
        <w:t>the member about his or her options for specific LTSS services, programs and providers that may meet the member’s identified LTSS needs. The LTSS CP is expected</w:t>
      </w:r>
      <w:r>
        <w:rPr>
          <w:spacing w:val="-5"/>
          <w:sz w:val="22"/>
        </w:rPr>
        <w:t> </w:t>
      </w:r>
      <w:r>
        <w:rPr>
          <w:sz w:val="22"/>
        </w:rPr>
        <w:t>to</w:t>
      </w:r>
      <w:r>
        <w:rPr>
          <w:spacing w:val="-5"/>
          <w:sz w:val="22"/>
        </w:rPr>
        <w:t> </w:t>
      </w:r>
      <w:r>
        <w:rPr>
          <w:sz w:val="22"/>
        </w:rPr>
        <w:t>be</w:t>
      </w:r>
      <w:r>
        <w:rPr>
          <w:spacing w:val="-4"/>
          <w:sz w:val="22"/>
        </w:rPr>
        <w:t> </w:t>
      </w:r>
      <w:r>
        <w:rPr>
          <w:sz w:val="22"/>
        </w:rPr>
        <w:t>an</w:t>
      </w:r>
      <w:r>
        <w:rPr>
          <w:spacing w:val="-5"/>
          <w:sz w:val="22"/>
        </w:rPr>
        <w:t> </w:t>
      </w:r>
      <w:r>
        <w:rPr>
          <w:sz w:val="22"/>
        </w:rPr>
        <w:t>integral</w:t>
      </w:r>
      <w:r>
        <w:rPr>
          <w:spacing w:val="-4"/>
          <w:sz w:val="22"/>
        </w:rPr>
        <w:t> </w:t>
      </w:r>
      <w:r>
        <w:rPr>
          <w:sz w:val="22"/>
        </w:rPr>
        <w:t>part</w:t>
      </w:r>
      <w:r>
        <w:rPr>
          <w:spacing w:val="-4"/>
          <w:sz w:val="22"/>
        </w:rPr>
        <w:t> </w:t>
      </w:r>
      <w:r>
        <w:rPr>
          <w:sz w:val="22"/>
        </w:rPr>
        <w:t>of</w:t>
      </w:r>
      <w:r>
        <w:rPr>
          <w:spacing w:val="-4"/>
          <w:sz w:val="22"/>
        </w:rPr>
        <w:t> </w:t>
      </w:r>
      <w:r>
        <w:rPr>
          <w:sz w:val="22"/>
        </w:rPr>
        <w:t>the</w:t>
      </w:r>
      <w:r>
        <w:rPr>
          <w:spacing w:val="-2"/>
          <w:sz w:val="22"/>
        </w:rPr>
        <w:t> </w:t>
      </w:r>
      <w:r>
        <w:rPr>
          <w:sz w:val="22"/>
        </w:rPr>
        <w:t>member’s</w:t>
      </w:r>
      <w:r>
        <w:rPr>
          <w:spacing w:val="-4"/>
          <w:sz w:val="22"/>
        </w:rPr>
        <w:t> </w:t>
      </w:r>
      <w:r>
        <w:rPr>
          <w:sz w:val="22"/>
        </w:rPr>
        <w:t>care</w:t>
      </w:r>
      <w:r>
        <w:rPr>
          <w:spacing w:val="-4"/>
          <w:sz w:val="22"/>
        </w:rPr>
        <w:t> </w:t>
      </w:r>
      <w:r>
        <w:rPr>
          <w:sz w:val="22"/>
        </w:rPr>
        <w:t>team,</w:t>
      </w:r>
      <w:r>
        <w:rPr>
          <w:spacing w:val="-2"/>
          <w:sz w:val="22"/>
        </w:rPr>
        <w:t> </w:t>
      </w:r>
      <w:r>
        <w:rPr>
          <w:sz w:val="22"/>
        </w:rPr>
        <w:t>as</w:t>
      </w:r>
      <w:r>
        <w:rPr>
          <w:spacing w:val="-2"/>
          <w:sz w:val="22"/>
        </w:rPr>
        <w:t> </w:t>
      </w:r>
      <w:r>
        <w:rPr>
          <w:sz w:val="22"/>
        </w:rPr>
        <w:t>requested</w:t>
      </w:r>
      <w:r>
        <w:rPr>
          <w:spacing w:val="-5"/>
          <w:sz w:val="22"/>
        </w:rPr>
        <w:t> </w:t>
      </w:r>
      <w:r>
        <w:rPr>
          <w:sz w:val="22"/>
        </w:rPr>
        <w:t>by</w:t>
      </w:r>
      <w:r>
        <w:rPr>
          <w:spacing w:val="-5"/>
          <w:sz w:val="22"/>
        </w:rPr>
        <w:t> </w:t>
      </w:r>
      <w:r>
        <w:rPr>
          <w:sz w:val="22"/>
        </w:rPr>
        <w:t>the</w:t>
      </w:r>
      <w:r>
        <w:rPr>
          <w:spacing w:val="-2"/>
          <w:sz w:val="22"/>
        </w:rPr>
        <w:t> </w:t>
      </w:r>
      <w:r>
        <w:rPr>
          <w:sz w:val="22"/>
        </w:rPr>
        <w:t>member.</w:t>
      </w:r>
      <w:r>
        <w:rPr>
          <w:spacing w:val="-2"/>
          <w:sz w:val="22"/>
        </w:rPr>
        <w:t> </w:t>
      </w:r>
      <w:r>
        <w:rPr>
          <w:sz w:val="22"/>
        </w:rPr>
        <w:t>LTSS</w:t>
      </w:r>
      <w:r>
        <w:rPr>
          <w:spacing w:val="-5"/>
          <w:sz w:val="22"/>
        </w:rPr>
        <w:t> </w:t>
      </w:r>
      <w:r>
        <w:rPr>
          <w:sz w:val="22"/>
        </w:rPr>
        <w:t>CPs may also have the opportunity to participate in an enhanced supports model (anticipated to begin in year 2), where responsibility for the comprehensive assessment and care management will be delegated by the ACO/MCO to the LTSS CP.</w:t>
      </w:r>
    </w:p>
    <w:p>
      <w:pPr>
        <w:spacing w:before="198"/>
        <w:ind w:left="1220" w:right="0" w:firstLine="0"/>
        <w:jc w:val="both"/>
        <w:rPr>
          <w:sz w:val="22"/>
        </w:rPr>
      </w:pPr>
      <w:bookmarkStart w:name="CPs will not be able to authorize servic" w:id="1485"/>
      <w:bookmarkEnd w:id="1485"/>
      <w:r>
        <w:rPr/>
      </w:r>
      <w:bookmarkStart w:name="_bookmark119" w:id="1486"/>
      <w:bookmarkEnd w:id="1486"/>
      <w:r>
        <w:rPr/>
      </w:r>
      <w:r>
        <w:rPr>
          <w:sz w:val="22"/>
        </w:rPr>
        <w:t>CPs</w:t>
      </w:r>
      <w:r>
        <w:rPr>
          <w:spacing w:val="-4"/>
          <w:sz w:val="22"/>
        </w:rPr>
        <w:t> </w:t>
      </w:r>
      <w:r>
        <w:rPr>
          <w:sz w:val="22"/>
        </w:rPr>
        <w:t>will</w:t>
      </w:r>
      <w:r>
        <w:rPr>
          <w:spacing w:val="-2"/>
          <w:sz w:val="22"/>
        </w:rPr>
        <w:t> </w:t>
      </w:r>
      <w:r>
        <w:rPr>
          <w:sz w:val="22"/>
        </w:rPr>
        <w:t>not</w:t>
      </w:r>
      <w:r>
        <w:rPr>
          <w:spacing w:val="-2"/>
          <w:sz w:val="22"/>
        </w:rPr>
        <w:t> </w:t>
      </w:r>
      <w:r>
        <w:rPr>
          <w:sz w:val="22"/>
        </w:rPr>
        <w:t>be</w:t>
      </w:r>
      <w:r>
        <w:rPr>
          <w:spacing w:val="-5"/>
          <w:sz w:val="22"/>
        </w:rPr>
        <w:t> </w:t>
      </w:r>
      <w:r>
        <w:rPr>
          <w:sz w:val="22"/>
        </w:rPr>
        <w:t>able</w:t>
      </w:r>
      <w:r>
        <w:rPr>
          <w:spacing w:val="-3"/>
          <w:sz w:val="22"/>
        </w:rPr>
        <w:t> </w:t>
      </w:r>
      <w:r>
        <w:rPr>
          <w:sz w:val="22"/>
        </w:rPr>
        <w:t>to</w:t>
      </w:r>
      <w:r>
        <w:rPr>
          <w:spacing w:val="-6"/>
          <w:sz w:val="22"/>
        </w:rPr>
        <w:t> </w:t>
      </w:r>
      <w:r>
        <w:rPr>
          <w:sz w:val="22"/>
        </w:rPr>
        <w:t>authorize</w:t>
      </w:r>
      <w:r>
        <w:rPr>
          <w:spacing w:val="-3"/>
          <w:sz w:val="22"/>
        </w:rPr>
        <w:t> </w:t>
      </w:r>
      <w:r>
        <w:rPr>
          <w:sz w:val="22"/>
        </w:rPr>
        <w:t>services</w:t>
      </w:r>
      <w:r>
        <w:rPr>
          <w:spacing w:val="-3"/>
          <w:sz w:val="22"/>
        </w:rPr>
        <w:t> </w:t>
      </w:r>
      <w:r>
        <w:rPr>
          <w:sz w:val="22"/>
        </w:rPr>
        <w:t>for</w:t>
      </w:r>
      <w:r>
        <w:rPr>
          <w:spacing w:val="-2"/>
          <w:sz w:val="22"/>
        </w:rPr>
        <w:t> </w:t>
      </w:r>
      <w:r>
        <w:rPr>
          <w:sz w:val="22"/>
        </w:rPr>
        <w:t>members</w:t>
      </w:r>
      <w:r>
        <w:rPr>
          <w:spacing w:val="-3"/>
          <w:sz w:val="22"/>
        </w:rPr>
        <w:t> </w:t>
      </w:r>
      <w:r>
        <w:rPr>
          <w:sz w:val="22"/>
        </w:rPr>
        <w:t>under</w:t>
      </w:r>
      <w:r>
        <w:rPr>
          <w:spacing w:val="-5"/>
          <w:sz w:val="22"/>
        </w:rPr>
        <w:t> </w:t>
      </w:r>
      <w:r>
        <w:rPr>
          <w:sz w:val="22"/>
        </w:rPr>
        <w:t>either</w:t>
      </w:r>
      <w:r>
        <w:rPr>
          <w:spacing w:val="-2"/>
          <w:sz w:val="22"/>
        </w:rPr>
        <w:t> model.</w:t>
      </w:r>
    </w:p>
    <w:p>
      <w:pPr>
        <w:pStyle w:val="BodyText"/>
      </w:pPr>
    </w:p>
    <w:p>
      <w:pPr>
        <w:pStyle w:val="BodyText"/>
        <w:spacing w:before="10"/>
        <w:rPr>
          <w:sz w:val="32"/>
        </w:rPr>
      </w:pPr>
    </w:p>
    <w:p>
      <w:pPr>
        <w:spacing w:line="252" w:lineRule="exact" w:before="0"/>
        <w:ind w:left="1220" w:right="0" w:firstLine="0"/>
        <w:jc w:val="both"/>
        <w:rPr>
          <w:b/>
          <w:sz w:val="22"/>
        </w:rPr>
      </w:pPr>
      <w:bookmarkStart w:name="Procurement Process" w:id="1487"/>
      <w:bookmarkEnd w:id="1487"/>
      <w:r>
        <w:rPr/>
      </w:r>
      <w:bookmarkStart w:name="_bookmark120" w:id="1488"/>
      <w:bookmarkEnd w:id="1488"/>
      <w:r>
        <w:rPr/>
      </w:r>
      <w:r>
        <w:rPr>
          <w:b/>
          <w:color w:val="4471C4"/>
          <w:sz w:val="22"/>
        </w:rPr>
        <w:t>Procurement</w:t>
      </w:r>
      <w:r>
        <w:rPr>
          <w:b/>
          <w:color w:val="4471C4"/>
          <w:spacing w:val="-10"/>
          <w:sz w:val="22"/>
        </w:rPr>
        <w:t> </w:t>
      </w:r>
      <w:r>
        <w:rPr>
          <w:b/>
          <w:color w:val="4471C4"/>
          <w:spacing w:val="-2"/>
          <w:sz w:val="22"/>
        </w:rPr>
        <w:t>Process</w:t>
      </w:r>
    </w:p>
    <w:p>
      <w:pPr>
        <w:spacing w:before="0"/>
        <w:ind w:left="1220" w:right="1094" w:firstLine="0"/>
        <w:jc w:val="both"/>
        <w:rPr>
          <w:sz w:val="22"/>
        </w:rPr>
      </w:pPr>
      <w:r>
        <w:rPr>
          <w:sz w:val="22"/>
        </w:rPr>
        <w:t>MassHealth</w:t>
      </w:r>
      <w:r>
        <w:rPr>
          <w:spacing w:val="-12"/>
          <w:sz w:val="22"/>
        </w:rPr>
        <w:t> </w:t>
      </w:r>
      <w:r>
        <w:rPr>
          <w:sz w:val="22"/>
        </w:rPr>
        <w:t>intends</w:t>
      </w:r>
      <w:r>
        <w:rPr>
          <w:spacing w:val="-12"/>
          <w:sz w:val="22"/>
        </w:rPr>
        <w:t> </w:t>
      </w:r>
      <w:r>
        <w:rPr>
          <w:sz w:val="22"/>
        </w:rPr>
        <w:t>to</w:t>
      </w:r>
      <w:r>
        <w:rPr>
          <w:spacing w:val="-12"/>
          <w:sz w:val="22"/>
        </w:rPr>
        <w:t> </w:t>
      </w:r>
      <w:r>
        <w:rPr>
          <w:sz w:val="22"/>
        </w:rPr>
        <w:t>select</w:t>
      </w:r>
      <w:r>
        <w:rPr>
          <w:spacing w:val="-9"/>
          <w:sz w:val="22"/>
        </w:rPr>
        <w:t> </w:t>
      </w:r>
      <w:r>
        <w:rPr>
          <w:sz w:val="22"/>
        </w:rPr>
        <w:t>BH</w:t>
      </w:r>
      <w:r>
        <w:rPr>
          <w:spacing w:val="-11"/>
          <w:sz w:val="22"/>
        </w:rPr>
        <w:t> </w:t>
      </w:r>
      <w:r>
        <w:rPr>
          <w:sz w:val="22"/>
        </w:rPr>
        <w:t>and</w:t>
      </w:r>
      <w:r>
        <w:rPr>
          <w:spacing w:val="-10"/>
          <w:sz w:val="22"/>
        </w:rPr>
        <w:t> </w:t>
      </w:r>
      <w:r>
        <w:rPr>
          <w:sz w:val="22"/>
        </w:rPr>
        <w:t>LTSS</w:t>
      </w:r>
      <w:r>
        <w:rPr>
          <w:spacing w:val="-10"/>
          <w:sz w:val="22"/>
        </w:rPr>
        <w:t> </w:t>
      </w:r>
      <w:r>
        <w:rPr>
          <w:sz w:val="22"/>
        </w:rPr>
        <w:t>CPs</w:t>
      </w:r>
      <w:r>
        <w:rPr>
          <w:spacing w:val="-9"/>
          <w:sz w:val="22"/>
        </w:rPr>
        <w:t> </w:t>
      </w:r>
      <w:r>
        <w:rPr>
          <w:sz w:val="22"/>
        </w:rPr>
        <w:t>across</w:t>
      </w:r>
      <w:r>
        <w:rPr>
          <w:spacing w:val="-9"/>
          <w:sz w:val="22"/>
        </w:rPr>
        <w:t> </w:t>
      </w:r>
      <w:r>
        <w:rPr>
          <w:sz w:val="22"/>
        </w:rPr>
        <w:t>the</w:t>
      </w:r>
      <w:r>
        <w:rPr>
          <w:spacing w:val="-9"/>
          <w:sz w:val="22"/>
        </w:rPr>
        <w:t> </w:t>
      </w:r>
      <w:r>
        <w:rPr>
          <w:sz w:val="22"/>
        </w:rPr>
        <w:t>State</w:t>
      </w:r>
      <w:r>
        <w:rPr>
          <w:spacing w:val="-11"/>
          <w:sz w:val="22"/>
        </w:rPr>
        <w:t> </w:t>
      </w:r>
      <w:r>
        <w:rPr>
          <w:sz w:val="22"/>
        </w:rPr>
        <w:t>through</w:t>
      </w:r>
      <w:r>
        <w:rPr>
          <w:spacing w:val="-10"/>
          <w:sz w:val="22"/>
        </w:rPr>
        <w:t> </w:t>
      </w:r>
      <w:r>
        <w:rPr>
          <w:sz w:val="22"/>
        </w:rPr>
        <w:t>a</w:t>
      </w:r>
      <w:r>
        <w:rPr>
          <w:spacing w:val="-9"/>
          <w:sz w:val="22"/>
        </w:rPr>
        <w:t> </w:t>
      </w:r>
      <w:r>
        <w:rPr>
          <w:sz w:val="22"/>
        </w:rPr>
        <w:t>competitive</w:t>
      </w:r>
      <w:r>
        <w:rPr>
          <w:spacing w:val="-9"/>
          <w:sz w:val="22"/>
        </w:rPr>
        <w:t> </w:t>
      </w:r>
      <w:r>
        <w:rPr>
          <w:sz w:val="22"/>
        </w:rPr>
        <w:t>procurement.</w:t>
      </w:r>
      <w:r>
        <w:rPr>
          <w:spacing w:val="-10"/>
          <w:sz w:val="22"/>
        </w:rPr>
        <w:t> </w:t>
      </w:r>
      <w:r>
        <w:rPr>
          <w:sz w:val="22"/>
        </w:rPr>
        <w:t>ACOs (and other managed care entities as determined by</w:t>
      </w:r>
      <w:r>
        <w:rPr>
          <w:spacing w:val="-1"/>
          <w:sz w:val="22"/>
        </w:rPr>
        <w:t> </w:t>
      </w:r>
      <w:r>
        <w:rPr>
          <w:sz w:val="22"/>
        </w:rPr>
        <w:t>the</w:t>
      </w:r>
      <w:r>
        <w:rPr>
          <w:spacing w:val="-1"/>
          <w:sz w:val="22"/>
        </w:rPr>
        <w:t> </w:t>
      </w:r>
      <w:r>
        <w:rPr>
          <w:sz w:val="22"/>
        </w:rPr>
        <w:t>state) will be required</w:t>
      </w:r>
      <w:r>
        <w:rPr>
          <w:spacing w:val="-1"/>
          <w:sz w:val="22"/>
        </w:rPr>
        <w:t> </w:t>
      </w:r>
      <w:r>
        <w:rPr>
          <w:sz w:val="22"/>
        </w:rPr>
        <w:t>to partner with CPs in</w:t>
      </w:r>
      <w:r>
        <w:rPr>
          <w:spacing w:val="-1"/>
          <w:sz w:val="22"/>
        </w:rPr>
        <w:t> </w:t>
      </w:r>
      <w:r>
        <w:rPr>
          <w:sz w:val="22"/>
        </w:rPr>
        <w:t>all the regions or services areas in which the ACO operates.</w:t>
      </w:r>
    </w:p>
    <w:p>
      <w:pPr>
        <w:spacing w:before="160"/>
        <w:ind w:left="1220" w:right="1095" w:firstLine="0"/>
        <w:jc w:val="both"/>
        <w:rPr>
          <w:sz w:val="22"/>
        </w:rPr>
      </w:pPr>
      <w:r>
        <w:rPr>
          <w:sz w:val="22"/>
        </w:rPr>
        <w:t>Bidders</w:t>
      </w:r>
      <w:r>
        <w:rPr>
          <w:spacing w:val="-4"/>
          <w:sz w:val="22"/>
        </w:rPr>
        <w:t> </w:t>
      </w:r>
      <w:r>
        <w:rPr>
          <w:sz w:val="22"/>
        </w:rPr>
        <w:t>will</w:t>
      </w:r>
      <w:r>
        <w:rPr>
          <w:spacing w:val="-6"/>
          <w:sz w:val="22"/>
        </w:rPr>
        <w:t> </w:t>
      </w:r>
      <w:r>
        <w:rPr>
          <w:sz w:val="22"/>
        </w:rPr>
        <w:t>submit</w:t>
      </w:r>
      <w:r>
        <w:rPr>
          <w:spacing w:val="-6"/>
          <w:sz w:val="22"/>
        </w:rPr>
        <w:t> </w:t>
      </w:r>
      <w:r>
        <w:rPr>
          <w:sz w:val="22"/>
        </w:rPr>
        <w:t>responses</w:t>
      </w:r>
      <w:r>
        <w:rPr>
          <w:spacing w:val="-7"/>
          <w:sz w:val="22"/>
        </w:rPr>
        <w:t> </w:t>
      </w:r>
      <w:r>
        <w:rPr>
          <w:sz w:val="22"/>
        </w:rPr>
        <w:t>to</w:t>
      </w:r>
      <w:r>
        <w:rPr>
          <w:spacing w:val="-7"/>
          <w:sz w:val="22"/>
        </w:rPr>
        <w:t> </w:t>
      </w:r>
      <w:r>
        <w:rPr>
          <w:sz w:val="22"/>
        </w:rPr>
        <w:t>the</w:t>
      </w:r>
      <w:r>
        <w:rPr>
          <w:spacing w:val="-7"/>
          <w:sz w:val="22"/>
        </w:rPr>
        <w:t> </w:t>
      </w:r>
      <w:r>
        <w:rPr>
          <w:sz w:val="22"/>
        </w:rPr>
        <w:t>State’s</w:t>
      </w:r>
      <w:r>
        <w:rPr>
          <w:spacing w:val="-7"/>
          <w:sz w:val="22"/>
        </w:rPr>
        <w:t> </w:t>
      </w:r>
      <w:r>
        <w:rPr>
          <w:sz w:val="22"/>
        </w:rPr>
        <w:t>procurement</w:t>
      </w:r>
      <w:r>
        <w:rPr>
          <w:spacing w:val="-4"/>
          <w:sz w:val="22"/>
        </w:rPr>
        <w:t> </w:t>
      </w:r>
      <w:r>
        <w:rPr>
          <w:sz w:val="22"/>
        </w:rPr>
        <w:t>by</w:t>
      </w:r>
      <w:r>
        <w:rPr>
          <w:spacing w:val="-9"/>
          <w:sz w:val="22"/>
        </w:rPr>
        <w:t> </w:t>
      </w:r>
      <w:r>
        <w:rPr>
          <w:sz w:val="22"/>
        </w:rPr>
        <w:t>the</w:t>
      </w:r>
      <w:r>
        <w:rPr>
          <w:spacing w:val="-7"/>
          <w:sz w:val="22"/>
        </w:rPr>
        <w:t> </w:t>
      </w:r>
      <w:r>
        <w:rPr>
          <w:sz w:val="22"/>
        </w:rPr>
        <w:t>deadline,</w:t>
      </w:r>
      <w:r>
        <w:rPr>
          <w:spacing w:val="-7"/>
          <w:sz w:val="22"/>
        </w:rPr>
        <w:t> </w:t>
      </w:r>
      <w:r>
        <w:rPr>
          <w:sz w:val="22"/>
        </w:rPr>
        <w:t>after</w:t>
      </w:r>
      <w:r>
        <w:rPr>
          <w:spacing w:val="-4"/>
          <w:sz w:val="22"/>
        </w:rPr>
        <w:t> </w:t>
      </w:r>
      <w:r>
        <w:rPr>
          <w:sz w:val="22"/>
        </w:rPr>
        <w:t>which</w:t>
      </w:r>
      <w:r>
        <w:rPr>
          <w:spacing w:val="-7"/>
          <w:sz w:val="22"/>
        </w:rPr>
        <w:t> </w:t>
      </w:r>
      <w:r>
        <w:rPr>
          <w:sz w:val="22"/>
        </w:rPr>
        <w:t>the</w:t>
      </w:r>
      <w:r>
        <w:rPr>
          <w:spacing w:val="-7"/>
          <w:sz w:val="22"/>
        </w:rPr>
        <w:t> </w:t>
      </w:r>
      <w:r>
        <w:rPr>
          <w:sz w:val="22"/>
        </w:rPr>
        <w:t>responses</w:t>
      </w:r>
      <w:r>
        <w:rPr>
          <w:spacing w:val="-7"/>
          <w:sz w:val="22"/>
        </w:rPr>
        <w:t> </w:t>
      </w:r>
      <w:r>
        <w:rPr>
          <w:sz w:val="22"/>
        </w:rPr>
        <w:t>will</w:t>
      </w:r>
      <w:r>
        <w:rPr>
          <w:spacing w:val="-6"/>
          <w:sz w:val="22"/>
        </w:rPr>
        <w:t> </w:t>
      </w:r>
      <w:r>
        <w:rPr>
          <w:sz w:val="22"/>
        </w:rPr>
        <w:t>be evaluated by the State. The State will consider any bid submitted by any entity that meets the minimum bidder</w:t>
      </w:r>
      <w:r>
        <w:rPr>
          <w:spacing w:val="-5"/>
          <w:sz w:val="22"/>
        </w:rPr>
        <w:t> </w:t>
      </w:r>
      <w:r>
        <w:rPr>
          <w:sz w:val="22"/>
        </w:rPr>
        <w:t>qualifications</w:t>
      </w:r>
      <w:r>
        <w:rPr>
          <w:spacing w:val="-3"/>
          <w:sz w:val="22"/>
        </w:rPr>
        <w:t> </w:t>
      </w:r>
      <w:r>
        <w:rPr>
          <w:sz w:val="22"/>
        </w:rPr>
        <w:t>of</w:t>
      </w:r>
      <w:r>
        <w:rPr>
          <w:spacing w:val="-5"/>
          <w:sz w:val="22"/>
        </w:rPr>
        <w:t> </w:t>
      </w:r>
      <w:r>
        <w:rPr>
          <w:sz w:val="22"/>
        </w:rPr>
        <w:t>the</w:t>
      </w:r>
      <w:r>
        <w:rPr>
          <w:spacing w:val="-5"/>
          <w:sz w:val="22"/>
        </w:rPr>
        <w:t> </w:t>
      </w:r>
      <w:r>
        <w:rPr>
          <w:sz w:val="22"/>
        </w:rPr>
        <w:t>procurement.</w:t>
      </w:r>
      <w:r>
        <w:rPr>
          <w:spacing w:val="46"/>
          <w:sz w:val="22"/>
        </w:rPr>
        <w:t> </w:t>
      </w:r>
      <w:r>
        <w:rPr>
          <w:sz w:val="22"/>
        </w:rPr>
        <w:t>The</w:t>
      </w:r>
      <w:r>
        <w:rPr>
          <w:spacing w:val="-3"/>
          <w:sz w:val="22"/>
        </w:rPr>
        <w:t> </w:t>
      </w:r>
      <w:r>
        <w:rPr>
          <w:sz w:val="22"/>
        </w:rPr>
        <w:t>State</w:t>
      </w:r>
      <w:r>
        <w:rPr>
          <w:spacing w:val="-3"/>
          <w:sz w:val="22"/>
        </w:rPr>
        <w:t> </w:t>
      </w:r>
      <w:r>
        <w:rPr>
          <w:sz w:val="22"/>
        </w:rPr>
        <w:t>will</w:t>
      </w:r>
      <w:r>
        <w:rPr>
          <w:spacing w:val="-2"/>
          <w:sz w:val="22"/>
        </w:rPr>
        <w:t> </w:t>
      </w:r>
      <w:r>
        <w:rPr>
          <w:sz w:val="22"/>
        </w:rPr>
        <w:t>select</w:t>
      </w:r>
      <w:r>
        <w:rPr>
          <w:spacing w:val="-5"/>
          <w:sz w:val="22"/>
        </w:rPr>
        <w:t> </w:t>
      </w:r>
      <w:r>
        <w:rPr>
          <w:sz w:val="22"/>
        </w:rPr>
        <w:t>successful</w:t>
      </w:r>
      <w:r>
        <w:rPr>
          <w:spacing w:val="-3"/>
          <w:sz w:val="22"/>
        </w:rPr>
        <w:t> </w:t>
      </w:r>
      <w:r>
        <w:rPr>
          <w:sz w:val="22"/>
        </w:rPr>
        <w:t>CP</w:t>
      </w:r>
      <w:r>
        <w:rPr>
          <w:spacing w:val="-4"/>
          <w:sz w:val="22"/>
        </w:rPr>
        <w:t> </w:t>
      </w:r>
      <w:r>
        <w:rPr>
          <w:sz w:val="22"/>
        </w:rPr>
        <w:t>bidders</w:t>
      </w:r>
      <w:r>
        <w:rPr>
          <w:spacing w:val="-5"/>
          <w:sz w:val="22"/>
        </w:rPr>
        <w:t> </w:t>
      </w:r>
      <w:r>
        <w:rPr>
          <w:sz w:val="22"/>
        </w:rPr>
        <w:t>to</w:t>
      </w:r>
      <w:r>
        <w:rPr>
          <w:spacing w:val="-3"/>
          <w:sz w:val="22"/>
        </w:rPr>
        <w:t> </w:t>
      </w:r>
      <w:r>
        <w:rPr>
          <w:sz w:val="22"/>
        </w:rPr>
        <w:t>enter</w:t>
      </w:r>
      <w:r>
        <w:rPr>
          <w:spacing w:val="-2"/>
          <w:sz w:val="22"/>
        </w:rPr>
        <w:t> </w:t>
      </w:r>
      <w:r>
        <w:rPr>
          <w:sz w:val="22"/>
        </w:rPr>
        <w:t>into</w:t>
      </w:r>
      <w:r>
        <w:rPr>
          <w:spacing w:val="-6"/>
          <w:sz w:val="22"/>
        </w:rPr>
        <w:t> </w:t>
      </w:r>
      <w:r>
        <w:rPr>
          <w:spacing w:val="-2"/>
          <w:sz w:val="22"/>
        </w:rPr>
        <w:t>contract</w:t>
      </w:r>
    </w:p>
    <w:p>
      <w:pPr>
        <w:spacing w:after="0"/>
        <w:jc w:val="both"/>
        <w:rPr>
          <w:sz w:val="22"/>
        </w:rPr>
        <w:sectPr>
          <w:pgSz w:w="12240" w:h="15840"/>
          <w:pgMar w:header="0" w:footer="967" w:top="1360" w:bottom="1160" w:left="220" w:right="340"/>
        </w:sectPr>
      </w:pPr>
    </w:p>
    <w:p>
      <w:pPr>
        <w:spacing w:before="78"/>
        <w:ind w:left="1219" w:right="1096" w:firstLine="0"/>
        <w:jc w:val="both"/>
        <w:rPr>
          <w:sz w:val="22"/>
        </w:rPr>
      </w:pPr>
      <w:r>
        <w:rPr>
          <w:sz w:val="22"/>
        </w:rPr>
        <w:t>negotiation. Through contract negotiation, the State intends to reach successful contract execution with a set of CPs; although not all CPs selected for negotiation may ultimately execute contracts with the State (e.g., if an CP ultimately chooses not to accept final contract terms or rates). The graphic below shows an example process flow:</w:t>
      </w:r>
    </w:p>
    <w:p>
      <w:pPr>
        <w:pStyle w:val="BodyText"/>
        <w:spacing w:before="1"/>
        <w:rPr>
          <w:sz w:val="19"/>
        </w:rPr>
      </w:pPr>
      <w:r>
        <w:rPr/>
        <w:drawing>
          <wp:anchor distT="0" distB="0" distL="0" distR="0" allowOverlap="1" layoutInCell="1" locked="0" behindDoc="1" simplePos="0" relativeHeight="488026112">
            <wp:simplePos x="0" y="0"/>
            <wp:positionH relativeFrom="page">
              <wp:posOffset>947057</wp:posOffset>
            </wp:positionH>
            <wp:positionV relativeFrom="paragraph">
              <wp:posOffset>155120</wp:posOffset>
            </wp:positionV>
            <wp:extent cx="5928169" cy="1675923"/>
            <wp:effectExtent l="0" t="0" r="0" b="0"/>
            <wp:wrapTopAndBottom/>
            <wp:docPr id="930" name="Image 930"/>
            <wp:cNvGraphicFramePr>
              <a:graphicFrameLocks/>
            </wp:cNvGraphicFramePr>
            <a:graphic>
              <a:graphicData uri="http://schemas.openxmlformats.org/drawingml/2006/picture">
                <pic:pic>
                  <pic:nvPicPr>
                    <pic:cNvPr id="930" name="Image 930"/>
                    <pic:cNvPicPr/>
                  </pic:nvPicPr>
                  <pic:blipFill>
                    <a:blip r:embed="rId348" cstate="print"/>
                    <a:stretch>
                      <a:fillRect/>
                    </a:stretch>
                  </pic:blipFill>
                  <pic:spPr>
                    <a:xfrm>
                      <a:off x="0" y="0"/>
                      <a:ext cx="5928169" cy="1675923"/>
                    </a:xfrm>
                    <a:prstGeom prst="rect">
                      <a:avLst/>
                    </a:prstGeom>
                  </pic:spPr>
                </pic:pic>
              </a:graphicData>
            </a:graphic>
          </wp:anchor>
        </w:drawing>
      </w:r>
    </w:p>
    <w:p>
      <w:pPr>
        <w:pStyle w:val="BodyText"/>
      </w:pPr>
    </w:p>
    <w:p>
      <w:pPr>
        <w:pStyle w:val="BodyText"/>
        <w:spacing w:before="1"/>
        <w:rPr>
          <w:sz w:val="27"/>
        </w:rPr>
      </w:pPr>
    </w:p>
    <w:p>
      <w:pPr>
        <w:spacing w:before="1"/>
        <w:ind w:left="1219" w:right="0" w:firstLine="0"/>
        <w:jc w:val="both"/>
        <w:rPr>
          <w:sz w:val="22"/>
        </w:rPr>
      </w:pPr>
      <w:r>
        <w:rPr>
          <w:sz w:val="22"/>
        </w:rPr>
        <w:t>The</w:t>
      </w:r>
      <w:r>
        <w:rPr>
          <w:spacing w:val="-8"/>
          <w:sz w:val="22"/>
        </w:rPr>
        <w:t> </w:t>
      </w:r>
      <w:r>
        <w:rPr>
          <w:sz w:val="22"/>
        </w:rPr>
        <w:t>State’s</w:t>
      </w:r>
      <w:r>
        <w:rPr>
          <w:spacing w:val="-3"/>
          <w:sz w:val="22"/>
        </w:rPr>
        <w:t> </w:t>
      </w:r>
      <w:r>
        <w:rPr>
          <w:sz w:val="22"/>
        </w:rPr>
        <w:t>current</w:t>
      </w:r>
      <w:r>
        <w:rPr>
          <w:spacing w:val="-3"/>
          <w:sz w:val="22"/>
        </w:rPr>
        <w:t> </w:t>
      </w:r>
      <w:r>
        <w:rPr>
          <w:sz w:val="22"/>
        </w:rPr>
        <w:t>anticipated</w:t>
      </w:r>
      <w:r>
        <w:rPr>
          <w:spacing w:val="-3"/>
          <w:sz w:val="22"/>
        </w:rPr>
        <w:t> </w:t>
      </w:r>
      <w:r>
        <w:rPr>
          <w:sz w:val="22"/>
        </w:rPr>
        <w:t>procurement</w:t>
      </w:r>
      <w:r>
        <w:rPr>
          <w:spacing w:val="-3"/>
          <w:sz w:val="22"/>
        </w:rPr>
        <w:t> </w:t>
      </w:r>
      <w:r>
        <w:rPr>
          <w:sz w:val="22"/>
        </w:rPr>
        <w:t>timeline</w:t>
      </w:r>
      <w:r>
        <w:rPr>
          <w:spacing w:val="-4"/>
          <w:sz w:val="22"/>
        </w:rPr>
        <w:t> </w:t>
      </w:r>
      <w:r>
        <w:rPr>
          <w:sz w:val="22"/>
        </w:rPr>
        <w:t>is</w:t>
      </w:r>
      <w:r>
        <w:rPr>
          <w:spacing w:val="-5"/>
          <w:sz w:val="22"/>
        </w:rPr>
        <w:t> </w:t>
      </w:r>
      <w:r>
        <w:rPr>
          <w:sz w:val="22"/>
        </w:rPr>
        <w:t>as</w:t>
      </w:r>
      <w:r>
        <w:rPr>
          <w:spacing w:val="-3"/>
          <w:sz w:val="22"/>
        </w:rPr>
        <w:t> </w:t>
      </w:r>
      <w:r>
        <w:rPr>
          <w:spacing w:val="-2"/>
          <w:sz w:val="22"/>
        </w:rPr>
        <w:t>follows:</w:t>
      </w:r>
    </w:p>
    <w:p>
      <w:pPr>
        <w:pStyle w:val="ListParagraph"/>
        <w:numPr>
          <w:ilvl w:val="3"/>
          <w:numId w:val="107"/>
        </w:numPr>
        <w:tabs>
          <w:tab w:pos="1940" w:val="left" w:leader="none"/>
        </w:tabs>
        <w:spacing w:line="240" w:lineRule="auto" w:before="158" w:after="0"/>
        <w:ind w:left="1940" w:right="0" w:hanging="360"/>
        <w:jc w:val="left"/>
        <w:rPr>
          <w:sz w:val="22"/>
        </w:rPr>
      </w:pPr>
      <w:r>
        <w:rPr>
          <w:sz w:val="22"/>
        </w:rPr>
        <w:t>Request</w:t>
      </w:r>
      <w:r>
        <w:rPr>
          <w:spacing w:val="-3"/>
          <w:sz w:val="22"/>
        </w:rPr>
        <w:t> </w:t>
      </w:r>
      <w:r>
        <w:rPr>
          <w:sz w:val="22"/>
        </w:rPr>
        <w:t>for</w:t>
      </w:r>
      <w:r>
        <w:rPr>
          <w:spacing w:val="-3"/>
          <w:sz w:val="22"/>
        </w:rPr>
        <w:t> </w:t>
      </w:r>
      <w:r>
        <w:rPr>
          <w:sz w:val="22"/>
        </w:rPr>
        <w:t>responses</w:t>
      </w:r>
      <w:r>
        <w:rPr>
          <w:spacing w:val="-5"/>
          <w:sz w:val="22"/>
        </w:rPr>
        <w:t> </w:t>
      </w:r>
      <w:r>
        <w:rPr>
          <w:sz w:val="22"/>
        </w:rPr>
        <w:t>will</w:t>
      </w:r>
      <w:r>
        <w:rPr>
          <w:spacing w:val="-6"/>
          <w:sz w:val="22"/>
        </w:rPr>
        <w:t> </w:t>
      </w:r>
      <w:r>
        <w:rPr>
          <w:sz w:val="22"/>
        </w:rPr>
        <w:t>be</w:t>
      </w:r>
      <w:r>
        <w:rPr>
          <w:spacing w:val="-3"/>
          <w:sz w:val="22"/>
        </w:rPr>
        <w:t> </w:t>
      </w:r>
      <w:r>
        <w:rPr>
          <w:sz w:val="22"/>
        </w:rPr>
        <w:t>posted</w:t>
      </w:r>
      <w:r>
        <w:rPr>
          <w:spacing w:val="-6"/>
          <w:sz w:val="22"/>
        </w:rPr>
        <w:t> </w:t>
      </w:r>
      <w:r>
        <w:rPr>
          <w:sz w:val="22"/>
        </w:rPr>
        <w:t>in</w:t>
      </w:r>
      <w:r>
        <w:rPr>
          <w:spacing w:val="-4"/>
          <w:sz w:val="22"/>
        </w:rPr>
        <w:t> </w:t>
      </w:r>
      <w:r>
        <w:rPr>
          <w:sz w:val="22"/>
        </w:rPr>
        <w:t>February/March</w:t>
      </w:r>
      <w:r>
        <w:rPr>
          <w:spacing w:val="-3"/>
          <w:sz w:val="22"/>
        </w:rPr>
        <w:t> </w:t>
      </w:r>
      <w:r>
        <w:rPr>
          <w:spacing w:val="-4"/>
          <w:sz w:val="22"/>
        </w:rPr>
        <w:t>2017</w:t>
      </w:r>
    </w:p>
    <w:p>
      <w:pPr>
        <w:pStyle w:val="ListParagraph"/>
        <w:numPr>
          <w:ilvl w:val="3"/>
          <w:numId w:val="107"/>
        </w:numPr>
        <w:tabs>
          <w:tab w:pos="1940" w:val="left" w:leader="none"/>
        </w:tabs>
        <w:spacing w:line="240" w:lineRule="auto" w:before="199" w:after="0"/>
        <w:ind w:left="1940" w:right="0" w:hanging="360"/>
        <w:jc w:val="left"/>
        <w:rPr>
          <w:sz w:val="22"/>
        </w:rPr>
      </w:pPr>
      <w:r>
        <w:rPr>
          <w:sz w:val="22"/>
        </w:rPr>
        <w:t>CP</w:t>
      </w:r>
      <w:r>
        <w:rPr>
          <w:spacing w:val="-5"/>
          <w:sz w:val="22"/>
        </w:rPr>
        <w:t> </w:t>
      </w:r>
      <w:r>
        <w:rPr>
          <w:sz w:val="22"/>
        </w:rPr>
        <w:t>responses</w:t>
      </w:r>
      <w:r>
        <w:rPr>
          <w:spacing w:val="-2"/>
          <w:sz w:val="22"/>
        </w:rPr>
        <w:t> </w:t>
      </w:r>
      <w:r>
        <w:rPr>
          <w:sz w:val="22"/>
        </w:rPr>
        <w:t>are</w:t>
      </w:r>
      <w:r>
        <w:rPr>
          <w:spacing w:val="-2"/>
          <w:sz w:val="22"/>
        </w:rPr>
        <w:t> </w:t>
      </w:r>
      <w:r>
        <w:rPr>
          <w:sz w:val="22"/>
        </w:rPr>
        <w:t>due</w:t>
      </w:r>
      <w:r>
        <w:rPr>
          <w:spacing w:val="-3"/>
          <w:sz w:val="22"/>
        </w:rPr>
        <w:t> </w:t>
      </w:r>
      <w:r>
        <w:rPr>
          <w:sz w:val="22"/>
        </w:rPr>
        <w:t>end</w:t>
      </w:r>
      <w:r>
        <w:rPr>
          <w:spacing w:val="-2"/>
          <w:sz w:val="22"/>
        </w:rPr>
        <w:t> </w:t>
      </w:r>
      <w:r>
        <w:rPr>
          <w:sz w:val="22"/>
        </w:rPr>
        <w:t>of</w:t>
      </w:r>
      <w:r>
        <w:rPr>
          <w:spacing w:val="-1"/>
          <w:sz w:val="22"/>
        </w:rPr>
        <w:t> </w:t>
      </w:r>
      <w:r>
        <w:rPr>
          <w:sz w:val="22"/>
        </w:rPr>
        <w:t>May</w:t>
      </w:r>
      <w:r>
        <w:rPr>
          <w:spacing w:val="-4"/>
          <w:sz w:val="22"/>
        </w:rPr>
        <w:t> 2017</w:t>
      </w:r>
    </w:p>
    <w:p>
      <w:pPr>
        <w:pStyle w:val="ListParagraph"/>
        <w:numPr>
          <w:ilvl w:val="3"/>
          <w:numId w:val="107"/>
        </w:numPr>
        <w:tabs>
          <w:tab w:pos="1940" w:val="left" w:leader="none"/>
        </w:tabs>
        <w:spacing w:line="240" w:lineRule="auto" w:before="200" w:after="0"/>
        <w:ind w:left="1940" w:right="0" w:hanging="360"/>
        <w:jc w:val="left"/>
        <w:rPr>
          <w:sz w:val="22"/>
        </w:rPr>
      </w:pPr>
      <w:r>
        <w:rPr>
          <w:sz w:val="22"/>
        </w:rPr>
        <w:t>Target</w:t>
      </w:r>
      <w:r>
        <w:rPr>
          <w:spacing w:val="-7"/>
          <w:sz w:val="22"/>
        </w:rPr>
        <w:t> </w:t>
      </w:r>
      <w:r>
        <w:rPr>
          <w:sz w:val="22"/>
        </w:rPr>
        <w:t>contract</w:t>
      </w:r>
      <w:r>
        <w:rPr>
          <w:spacing w:val="-4"/>
          <w:sz w:val="22"/>
        </w:rPr>
        <w:t> </w:t>
      </w:r>
      <w:r>
        <w:rPr>
          <w:sz w:val="22"/>
        </w:rPr>
        <w:t>execution</w:t>
      </w:r>
      <w:r>
        <w:rPr>
          <w:spacing w:val="-7"/>
          <w:sz w:val="22"/>
        </w:rPr>
        <w:t> </w:t>
      </w:r>
      <w:r>
        <w:rPr>
          <w:sz w:val="22"/>
        </w:rPr>
        <w:t>in</w:t>
      </w:r>
      <w:r>
        <w:rPr>
          <w:spacing w:val="-5"/>
          <w:sz w:val="22"/>
        </w:rPr>
        <w:t> </w:t>
      </w:r>
      <w:r>
        <w:rPr>
          <w:sz w:val="22"/>
        </w:rPr>
        <w:t>November</w:t>
      </w:r>
      <w:r>
        <w:rPr>
          <w:spacing w:val="-4"/>
          <w:sz w:val="22"/>
        </w:rPr>
        <w:t> 2017</w:t>
      </w:r>
    </w:p>
    <w:p>
      <w:pPr>
        <w:pStyle w:val="ListParagraph"/>
        <w:numPr>
          <w:ilvl w:val="3"/>
          <w:numId w:val="107"/>
        </w:numPr>
        <w:tabs>
          <w:tab w:pos="1940" w:val="left" w:leader="none"/>
        </w:tabs>
        <w:spacing w:line="240" w:lineRule="auto" w:before="199" w:after="0"/>
        <w:ind w:left="1940" w:right="1347" w:hanging="361"/>
        <w:jc w:val="left"/>
        <w:rPr>
          <w:sz w:val="22"/>
        </w:rPr>
      </w:pPr>
      <w:r>
        <w:rPr>
          <w:sz w:val="22"/>
        </w:rPr>
        <w:t>Contracting</w:t>
      </w:r>
      <w:r>
        <w:rPr>
          <w:spacing w:val="-5"/>
          <w:sz w:val="22"/>
        </w:rPr>
        <w:t> </w:t>
      </w:r>
      <w:r>
        <w:rPr>
          <w:sz w:val="22"/>
        </w:rPr>
        <w:t>between</w:t>
      </w:r>
      <w:r>
        <w:rPr>
          <w:spacing w:val="-2"/>
          <w:sz w:val="22"/>
        </w:rPr>
        <w:t> </w:t>
      </w:r>
      <w:r>
        <w:rPr>
          <w:sz w:val="22"/>
        </w:rPr>
        <w:t>CPs</w:t>
      </w:r>
      <w:r>
        <w:rPr>
          <w:spacing w:val="-4"/>
          <w:sz w:val="22"/>
        </w:rPr>
        <w:t> </w:t>
      </w:r>
      <w:r>
        <w:rPr>
          <w:sz w:val="22"/>
        </w:rPr>
        <w:t>and</w:t>
      </w:r>
      <w:r>
        <w:rPr>
          <w:spacing w:val="-2"/>
          <w:sz w:val="22"/>
        </w:rPr>
        <w:t> </w:t>
      </w:r>
      <w:r>
        <w:rPr>
          <w:sz w:val="22"/>
        </w:rPr>
        <w:t>ACOs</w:t>
      </w:r>
      <w:r>
        <w:rPr>
          <w:spacing w:val="-2"/>
          <w:sz w:val="22"/>
        </w:rPr>
        <w:t> </w:t>
      </w:r>
      <w:r>
        <w:rPr>
          <w:sz w:val="22"/>
        </w:rPr>
        <w:t>&amp;</w:t>
      </w:r>
      <w:r>
        <w:rPr>
          <w:spacing w:val="-4"/>
          <w:sz w:val="22"/>
        </w:rPr>
        <w:t> </w:t>
      </w:r>
      <w:r>
        <w:rPr>
          <w:sz w:val="22"/>
        </w:rPr>
        <w:t>MCOs</w:t>
      </w:r>
      <w:r>
        <w:rPr>
          <w:spacing w:val="-2"/>
          <w:sz w:val="22"/>
        </w:rPr>
        <w:t> </w:t>
      </w:r>
      <w:r>
        <w:rPr>
          <w:sz w:val="22"/>
        </w:rPr>
        <w:t>is</w:t>
      </w:r>
      <w:r>
        <w:rPr>
          <w:spacing w:val="-4"/>
          <w:sz w:val="22"/>
        </w:rPr>
        <w:t> </w:t>
      </w:r>
      <w:r>
        <w:rPr>
          <w:sz w:val="22"/>
        </w:rPr>
        <w:t>targeted</w:t>
      </w:r>
      <w:r>
        <w:rPr>
          <w:spacing w:val="-2"/>
          <w:sz w:val="22"/>
        </w:rPr>
        <w:t> </w:t>
      </w:r>
      <w:r>
        <w:rPr>
          <w:sz w:val="22"/>
        </w:rPr>
        <w:t>to</w:t>
      </w:r>
      <w:r>
        <w:rPr>
          <w:spacing w:val="-2"/>
          <w:sz w:val="22"/>
        </w:rPr>
        <w:t> </w:t>
      </w:r>
      <w:r>
        <w:rPr>
          <w:sz w:val="22"/>
        </w:rPr>
        <w:t>be</w:t>
      </w:r>
      <w:r>
        <w:rPr>
          <w:spacing w:val="-2"/>
          <w:sz w:val="22"/>
        </w:rPr>
        <w:t> </w:t>
      </w:r>
      <w:r>
        <w:rPr>
          <w:sz w:val="22"/>
        </w:rPr>
        <w:t>completed</w:t>
      </w:r>
      <w:r>
        <w:rPr>
          <w:spacing w:val="-2"/>
          <w:sz w:val="22"/>
        </w:rPr>
        <w:t> </w:t>
      </w:r>
      <w:r>
        <w:rPr>
          <w:sz w:val="22"/>
        </w:rPr>
        <w:t>by</w:t>
      </w:r>
      <w:r>
        <w:rPr>
          <w:spacing w:val="-7"/>
          <w:sz w:val="22"/>
        </w:rPr>
        <w:t> </w:t>
      </w:r>
      <w:r>
        <w:rPr>
          <w:sz w:val="22"/>
        </w:rPr>
        <w:t>January-February </w:t>
      </w:r>
      <w:r>
        <w:rPr>
          <w:spacing w:val="-4"/>
          <w:sz w:val="22"/>
        </w:rPr>
        <w:t>2018</w:t>
      </w:r>
    </w:p>
    <w:p>
      <w:pPr>
        <w:pStyle w:val="ListParagraph"/>
        <w:numPr>
          <w:ilvl w:val="3"/>
          <w:numId w:val="107"/>
        </w:numPr>
        <w:tabs>
          <w:tab w:pos="1940" w:val="left" w:leader="none"/>
        </w:tabs>
        <w:spacing w:line="240" w:lineRule="auto" w:before="200" w:after="0"/>
        <w:ind w:left="1940" w:right="0" w:hanging="360"/>
        <w:jc w:val="left"/>
        <w:rPr>
          <w:sz w:val="22"/>
        </w:rPr>
      </w:pPr>
      <w:r>
        <w:rPr>
          <w:sz w:val="22"/>
        </w:rPr>
        <w:t>CPs</w:t>
      </w:r>
      <w:r>
        <w:rPr>
          <w:spacing w:val="-4"/>
          <w:sz w:val="22"/>
        </w:rPr>
        <w:t> </w:t>
      </w:r>
      <w:r>
        <w:rPr>
          <w:sz w:val="22"/>
        </w:rPr>
        <w:t>begin</w:t>
      </w:r>
      <w:r>
        <w:rPr>
          <w:spacing w:val="-3"/>
          <w:sz w:val="22"/>
        </w:rPr>
        <w:t> </w:t>
      </w:r>
      <w:r>
        <w:rPr>
          <w:sz w:val="22"/>
        </w:rPr>
        <w:t>enrolling</w:t>
      </w:r>
      <w:r>
        <w:rPr>
          <w:spacing w:val="-3"/>
          <w:sz w:val="22"/>
        </w:rPr>
        <w:t> </w:t>
      </w:r>
      <w:r>
        <w:rPr>
          <w:sz w:val="22"/>
        </w:rPr>
        <w:t>members</w:t>
      </w:r>
      <w:r>
        <w:rPr>
          <w:spacing w:val="-3"/>
          <w:sz w:val="22"/>
        </w:rPr>
        <w:t> </w:t>
      </w:r>
      <w:r>
        <w:rPr>
          <w:sz w:val="22"/>
        </w:rPr>
        <w:t>in</w:t>
      </w:r>
      <w:r>
        <w:rPr>
          <w:spacing w:val="-6"/>
          <w:sz w:val="22"/>
        </w:rPr>
        <w:t> </w:t>
      </w:r>
      <w:r>
        <w:rPr>
          <w:sz w:val="22"/>
        </w:rPr>
        <w:t>June</w:t>
      </w:r>
      <w:r>
        <w:rPr>
          <w:spacing w:val="-3"/>
          <w:sz w:val="22"/>
        </w:rPr>
        <w:t> </w:t>
      </w:r>
      <w:r>
        <w:rPr>
          <w:spacing w:val="-4"/>
          <w:sz w:val="22"/>
        </w:rPr>
        <w:t>2018</w:t>
      </w:r>
    </w:p>
    <w:p>
      <w:pPr>
        <w:spacing w:line="244" w:lineRule="auto" w:before="197"/>
        <w:ind w:left="1220" w:right="1866" w:firstLine="0"/>
        <w:jc w:val="both"/>
        <w:rPr>
          <w:sz w:val="22"/>
        </w:rPr>
      </w:pPr>
      <w:r>
        <w:rPr>
          <w:sz w:val="22"/>
        </w:rPr>
        <w:t>Further</w:t>
      </w:r>
      <w:r>
        <w:rPr>
          <w:spacing w:val="-4"/>
          <w:sz w:val="22"/>
        </w:rPr>
        <w:t> </w:t>
      </w:r>
      <w:r>
        <w:rPr>
          <w:sz w:val="22"/>
        </w:rPr>
        <w:t>information</w:t>
      </w:r>
      <w:r>
        <w:rPr>
          <w:spacing w:val="-5"/>
          <w:sz w:val="22"/>
        </w:rPr>
        <w:t> </w:t>
      </w:r>
      <w:r>
        <w:rPr>
          <w:sz w:val="22"/>
        </w:rPr>
        <w:t>on</w:t>
      </w:r>
      <w:r>
        <w:rPr>
          <w:spacing w:val="-2"/>
          <w:sz w:val="22"/>
        </w:rPr>
        <w:t> </w:t>
      </w:r>
      <w:r>
        <w:rPr>
          <w:sz w:val="22"/>
        </w:rPr>
        <w:t>the</w:t>
      </w:r>
      <w:r>
        <w:rPr>
          <w:spacing w:val="-4"/>
          <w:sz w:val="22"/>
        </w:rPr>
        <w:t> </w:t>
      </w:r>
      <w:r>
        <w:rPr>
          <w:sz w:val="22"/>
        </w:rPr>
        <w:t>CP</w:t>
      </w:r>
      <w:r>
        <w:rPr>
          <w:spacing w:val="-3"/>
          <w:sz w:val="22"/>
        </w:rPr>
        <w:t> </w:t>
      </w:r>
      <w:r>
        <w:rPr>
          <w:sz w:val="22"/>
        </w:rPr>
        <w:t>procurement</w:t>
      </w:r>
      <w:r>
        <w:rPr>
          <w:spacing w:val="-1"/>
          <w:sz w:val="22"/>
        </w:rPr>
        <w:t> </w:t>
      </w:r>
      <w:r>
        <w:rPr>
          <w:sz w:val="22"/>
        </w:rPr>
        <w:t>can</w:t>
      </w:r>
      <w:r>
        <w:rPr>
          <w:spacing w:val="-2"/>
          <w:sz w:val="22"/>
        </w:rPr>
        <w:t> </w:t>
      </w:r>
      <w:r>
        <w:rPr>
          <w:sz w:val="22"/>
        </w:rPr>
        <w:t>be</w:t>
      </w:r>
      <w:r>
        <w:rPr>
          <w:spacing w:val="-4"/>
          <w:sz w:val="22"/>
        </w:rPr>
        <w:t> </w:t>
      </w:r>
      <w:r>
        <w:rPr>
          <w:sz w:val="22"/>
        </w:rPr>
        <w:t>found</w:t>
      </w:r>
      <w:r>
        <w:rPr>
          <w:spacing w:val="-2"/>
          <w:sz w:val="22"/>
        </w:rPr>
        <w:t> </w:t>
      </w:r>
      <w:r>
        <w:rPr>
          <w:sz w:val="22"/>
        </w:rPr>
        <w:t>online</w:t>
      </w:r>
      <w:r>
        <w:rPr>
          <w:spacing w:val="-4"/>
          <w:sz w:val="22"/>
        </w:rPr>
        <w:t> </w:t>
      </w:r>
      <w:r>
        <w:rPr>
          <w:sz w:val="22"/>
        </w:rPr>
        <w:t>at</w:t>
      </w:r>
      <w:r>
        <w:rPr>
          <w:spacing w:val="-4"/>
          <w:sz w:val="22"/>
        </w:rPr>
        <w:t> </w:t>
      </w:r>
      <w:r>
        <w:rPr>
          <w:sz w:val="22"/>
        </w:rPr>
        <w:t>the</w:t>
      </w:r>
      <w:r>
        <w:rPr>
          <w:spacing w:val="-2"/>
          <w:sz w:val="22"/>
        </w:rPr>
        <w:t> </w:t>
      </w:r>
      <w:r>
        <w:rPr>
          <w:sz w:val="22"/>
        </w:rPr>
        <w:t>State’s</w:t>
      </w:r>
      <w:r>
        <w:rPr>
          <w:spacing w:val="-2"/>
          <w:sz w:val="22"/>
        </w:rPr>
        <w:t> </w:t>
      </w:r>
      <w:r>
        <w:rPr>
          <w:sz w:val="22"/>
        </w:rPr>
        <w:t>public</w:t>
      </w:r>
      <w:r>
        <w:rPr>
          <w:spacing w:val="-4"/>
          <w:sz w:val="22"/>
        </w:rPr>
        <w:t> </w:t>
      </w:r>
      <w:r>
        <w:rPr>
          <w:sz w:val="22"/>
        </w:rPr>
        <w:t>procurement website, </w:t>
      </w:r>
      <w:hyperlink r:id="rId349">
        <w:r>
          <w:rPr>
            <w:sz w:val="22"/>
          </w:rPr>
          <w:t>www.commbuys.com.</w:t>
        </w:r>
      </w:hyperlink>
    </w:p>
    <w:p>
      <w:pPr>
        <w:pStyle w:val="Heading2"/>
        <w:spacing w:before="193"/>
        <w:ind w:left="1220" w:firstLine="0"/>
      </w:pPr>
      <w:bookmarkStart w:name="Relationships between ACOs and CPs" w:id="1489"/>
      <w:bookmarkEnd w:id="1489"/>
      <w:r>
        <w:rPr>
          <w:b w:val="0"/>
        </w:rPr>
      </w:r>
      <w:bookmarkStart w:name="_bookmark121" w:id="1490"/>
      <w:bookmarkEnd w:id="1490"/>
      <w:r>
        <w:rPr>
          <w:b w:val="0"/>
        </w:rPr>
      </w:r>
      <w:r>
        <w:rPr>
          <w:color w:val="4471C4"/>
        </w:rPr>
        <w:t>Relationships</w:t>
      </w:r>
      <w:r>
        <w:rPr>
          <w:color w:val="4471C4"/>
          <w:spacing w:val="-13"/>
        </w:rPr>
        <w:t> </w:t>
      </w:r>
      <w:r>
        <w:rPr>
          <w:color w:val="4471C4"/>
        </w:rPr>
        <w:t>between</w:t>
      </w:r>
      <w:r>
        <w:rPr>
          <w:color w:val="4471C4"/>
          <w:spacing w:val="-13"/>
        </w:rPr>
        <w:t> </w:t>
      </w:r>
      <w:r>
        <w:rPr>
          <w:color w:val="4471C4"/>
        </w:rPr>
        <w:t>ACOs</w:t>
      </w:r>
      <w:r>
        <w:rPr>
          <w:color w:val="4471C4"/>
          <w:spacing w:val="-11"/>
        </w:rPr>
        <w:t> </w:t>
      </w:r>
      <w:r>
        <w:rPr>
          <w:color w:val="4471C4"/>
        </w:rPr>
        <w:t>and</w:t>
      </w:r>
      <w:r>
        <w:rPr>
          <w:color w:val="4471C4"/>
          <w:spacing w:val="-13"/>
        </w:rPr>
        <w:t> </w:t>
      </w:r>
      <w:r>
        <w:rPr>
          <w:color w:val="4471C4"/>
          <w:spacing w:val="-5"/>
        </w:rPr>
        <w:t>CPs</w:t>
      </w:r>
    </w:p>
    <w:p>
      <w:pPr>
        <w:spacing w:before="0"/>
        <w:ind w:left="1220" w:right="1095" w:firstLine="0"/>
        <w:jc w:val="both"/>
        <w:rPr>
          <w:sz w:val="22"/>
        </w:rPr>
      </w:pPr>
      <w:r>
        <w:rPr>
          <w:sz w:val="22"/>
        </w:rPr>
        <w:t>Massachusetts has established a framework for ACOs and CPs to form and formalize their relationships. This framework is set forth in the model contracts for ACOs, and Massachusetts intends to similarly incorporate</w:t>
      </w:r>
      <w:r>
        <w:rPr>
          <w:spacing w:val="-11"/>
          <w:sz w:val="22"/>
        </w:rPr>
        <w:t> </w:t>
      </w:r>
      <w:r>
        <w:rPr>
          <w:sz w:val="22"/>
        </w:rPr>
        <w:t>this</w:t>
      </w:r>
      <w:r>
        <w:rPr>
          <w:spacing w:val="-9"/>
          <w:sz w:val="22"/>
        </w:rPr>
        <w:t> </w:t>
      </w:r>
      <w:r>
        <w:rPr>
          <w:sz w:val="22"/>
        </w:rPr>
        <w:t>framework</w:t>
      </w:r>
      <w:r>
        <w:rPr>
          <w:spacing w:val="-12"/>
          <w:sz w:val="22"/>
        </w:rPr>
        <w:t> </w:t>
      </w:r>
      <w:r>
        <w:rPr>
          <w:sz w:val="22"/>
        </w:rPr>
        <w:t>in</w:t>
      </w:r>
      <w:r>
        <w:rPr>
          <w:spacing w:val="-12"/>
          <w:sz w:val="22"/>
        </w:rPr>
        <w:t> </w:t>
      </w:r>
      <w:r>
        <w:rPr>
          <w:sz w:val="22"/>
        </w:rPr>
        <w:t>its</w:t>
      </w:r>
      <w:r>
        <w:rPr>
          <w:spacing w:val="-9"/>
          <w:sz w:val="22"/>
        </w:rPr>
        <w:t> </w:t>
      </w:r>
      <w:r>
        <w:rPr>
          <w:sz w:val="22"/>
        </w:rPr>
        <w:t>model</w:t>
      </w:r>
      <w:r>
        <w:rPr>
          <w:spacing w:val="-11"/>
          <w:sz w:val="22"/>
        </w:rPr>
        <w:t> </w:t>
      </w:r>
      <w:r>
        <w:rPr>
          <w:sz w:val="22"/>
        </w:rPr>
        <w:t>contracts</w:t>
      </w:r>
      <w:r>
        <w:rPr>
          <w:spacing w:val="-11"/>
          <w:sz w:val="22"/>
        </w:rPr>
        <w:t> </w:t>
      </w:r>
      <w:r>
        <w:rPr>
          <w:sz w:val="22"/>
        </w:rPr>
        <w:t>for</w:t>
      </w:r>
      <w:r>
        <w:rPr>
          <w:spacing w:val="-9"/>
          <w:sz w:val="22"/>
        </w:rPr>
        <w:t> </w:t>
      </w:r>
      <w:r>
        <w:rPr>
          <w:sz w:val="22"/>
        </w:rPr>
        <w:t>CPs.</w:t>
      </w:r>
      <w:r>
        <w:rPr>
          <w:spacing w:val="-12"/>
          <w:sz w:val="22"/>
        </w:rPr>
        <w:t> </w:t>
      </w:r>
      <w:r>
        <w:rPr>
          <w:sz w:val="22"/>
        </w:rPr>
        <w:t>The</w:t>
      </w:r>
      <w:r>
        <w:rPr>
          <w:spacing w:val="-12"/>
          <w:sz w:val="22"/>
        </w:rPr>
        <w:t> </w:t>
      </w:r>
      <w:r>
        <w:rPr>
          <w:sz w:val="22"/>
        </w:rPr>
        <w:t>framework</w:t>
      </w:r>
      <w:r>
        <w:rPr>
          <w:spacing w:val="-12"/>
          <w:sz w:val="22"/>
        </w:rPr>
        <w:t> </w:t>
      </w:r>
      <w:r>
        <w:rPr>
          <w:sz w:val="22"/>
        </w:rPr>
        <w:t>delineates</w:t>
      </w:r>
      <w:r>
        <w:rPr>
          <w:spacing w:val="-9"/>
          <w:sz w:val="22"/>
        </w:rPr>
        <w:t> </w:t>
      </w:r>
      <w:r>
        <w:rPr>
          <w:sz w:val="22"/>
        </w:rPr>
        <w:t>areas</w:t>
      </w:r>
      <w:r>
        <w:rPr>
          <w:spacing w:val="-9"/>
          <w:sz w:val="22"/>
        </w:rPr>
        <w:t> </w:t>
      </w:r>
      <w:r>
        <w:rPr>
          <w:sz w:val="22"/>
        </w:rPr>
        <w:t>of</w:t>
      </w:r>
      <w:r>
        <w:rPr>
          <w:spacing w:val="-9"/>
          <w:sz w:val="22"/>
        </w:rPr>
        <w:t> </w:t>
      </w:r>
      <w:r>
        <w:rPr>
          <w:sz w:val="22"/>
        </w:rPr>
        <w:t>delegated</w:t>
      </w:r>
      <w:r>
        <w:rPr>
          <w:spacing w:val="-12"/>
          <w:sz w:val="22"/>
        </w:rPr>
        <w:t> </w:t>
      </w:r>
      <w:r>
        <w:rPr>
          <w:sz w:val="22"/>
        </w:rPr>
        <w:t>and shared responsibility between ACOs and CPs, as follows:</w:t>
      </w:r>
    </w:p>
    <w:p>
      <w:pPr>
        <w:spacing w:before="161"/>
        <w:ind w:left="1220" w:right="0" w:firstLine="0"/>
        <w:jc w:val="both"/>
        <w:rPr>
          <w:b/>
          <w:sz w:val="22"/>
        </w:rPr>
      </w:pPr>
      <w:r>
        <w:rPr>
          <w:b/>
          <w:sz w:val="22"/>
        </w:rPr>
        <w:t>Delegated</w:t>
      </w:r>
      <w:r>
        <w:rPr>
          <w:b/>
          <w:spacing w:val="-5"/>
          <w:sz w:val="22"/>
        </w:rPr>
        <w:t> </w:t>
      </w:r>
      <w:r>
        <w:rPr>
          <w:b/>
          <w:sz w:val="22"/>
        </w:rPr>
        <w:t>responsibility</w:t>
      </w:r>
      <w:r>
        <w:rPr>
          <w:b/>
          <w:spacing w:val="-7"/>
          <w:sz w:val="22"/>
        </w:rPr>
        <w:t> </w:t>
      </w:r>
      <w:r>
        <w:rPr>
          <w:b/>
          <w:sz w:val="22"/>
        </w:rPr>
        <w:t>to</w:t>
      </w:r>
      <w:r>
        <w:rPr>
          <w:b/>
          <w:spacing w:val="-4"/>
          <w:sz w:val="22"/>
        </w:rPr>
        <w:t> </w:t>
      </w:r>
      <w:r>
        <w:rPr>
          <w:b/>
          <w:sz w:val="22"/>
        </w:rPr>
        <w:t>BH</w:t>
      </w:r>
      <w:r>
        <w:rPr>
          <w:b/>
          <w:spacing w:val="-2"/>
          <w:sz w:val="22"/>
        </w:rPr>
        <w:t> </w:t>
      </w:r>
      <w:r>
        <w:rPr>
          <w:b/>
          <w:spacing w:val="-5"/>
          <w:sz w:val="22"/>
        </w:rPr>
        <w:t>CPs</w:t>
      </w:r>
    </w:p>
    <w:p>
      <w:pPr>
        <w:spacing w:before="179"/>
        <w:ind w:left="1220" w:right="1096" w:firstLine="0"/>
        <w:jc w:val="both"/>
        <w:rPr>
          <w:sz w:val="22"/>
        </w:rPr>
      </w:pPr>
      <w:r>
        <w:rPr>
          <w:sz w:val="22"/>
        </w:rPr>
        <w:t>ACOs must maintain agreements with BH CPs. These agreements will require the BH CP to support the ACO’s care coordination and care management responsibilities, including:</w:t>
      </w:r>
    </w:p>
    <w:p>
      <w:pPr>
        <w:pStyle w:val="ListParagraph"/>
        <w:numPr>
          <w:ilvl w:val="3"/>
          <w:numId w:val="107"/>
        </w:numPr>
        <w:tabs>
          <w:tab w:pos="1940" w:val="left" w:leader="none"/>
        </w:tabs>
        <w:spacing w:line="240" w:lineRule="auto" w:before="0" w:after="0"/>
        <w:ind w:left="1940" w:right="1094" w:hanging="361"/>
        <w:jc w:val="left"/>
        <w:rPr>
          <w:sz w:val="22"/>
        </w:rPr>
      </w:pPr>
      <w:r>
        <w:rPr>
          <w:sz w:val="22"/>
        </w:rPr>
        <w:t>Working together to improve coordination and integration of BH services and expertise into care, including activities such as but not limited to:</w:t>
      </w:r>
    </w:p>
    <w:p>
      <w:pPr>
        <w:pStyle w:val="ListParagraph"/>
        <w:numPr>
          <w:ilvl w:val="4"/>
          <w:numId w:val="107"/>
        </w:numPr>
        <w:tabs>
          <w:tab w:pos="2658" w:val="left" w:leader="none"/>
          <w:tab w:pos="2660" w:val="left" w:leader="none"/>
        </w:tabs>
        <w:spacing w:line="228" w:lineRule="auto" w:before="207" w:after="0"/>
        <w:ind w:left="2660" w:right="1096" w:hanging="361"/>
        <w:jc w:val="left"/>
        <w:rPr>
          <w:sz w:val="22"/>
        </w:rPr>
      </w:pPr>
      <w:r>
        <w:rPr>
          <w:sz w:val="22"/>
        </w:rPr>
        <w:t>Identifying</w:t>
      </w:r>
      <w:r>
        <w:rPr>
          <w:spacing w:val="-12"/>
          <w:sz w:val="22"/>
        </w:rPr>
        <w:t> </w:t>
      </w:r>
      <w:r>
        <w:rPr>
          <w:sz w:val="22"/>
        </w:rPr>
        <w:t>BH</w:t>
      </w:r>
      <w:r>
        <w:rPr>
          <w:spacing w:val="-11"/>
          <w:sz w:val="22"/>
        </w:rPr>
        <w:t> </w:t>
      </w:r>
      <w:r>
        <w:rPr>
          <w:sz w:val="22"/>
        </w:rPr>
        <w:t>providers</w:t>
      </w:r>
      <w:r>
        <w:rPr>
          <w:spacing w:val="-11"/>
          <w:sz w:val="22"/>
        </w:rPr>
        <w:t> </w:t>
      </w:r>
      <w:r>
        <w:rPr>
          <w:sz w:val="22"/>
        </w:rPr>
        <w:t>that</w:t>
      </w:r>
      <w:r>
        <w:rPr>
          <w:spacing w:val="-9"/>
          <w:sz w:val="22"/>
        </w:rPr>
        <w:t> </w:t>
      </w:r>
      <w:r>
        <w:rPr>
          <w:sz w:val="22"/>
        </w:rPr>
        <w:t>serve</w:t>
      </w:r>
      <w:r>
        <w:rPr>
          <w:spacing w:val="-9"/>
          <w:sz w:val="22"/>
        </w:rPr>
        <w:t> </w:t>
      </w:r>
      <w:r>
        <w:rPr>
          <w:sz w:val="22"/>
        </w:rPr>
        <w:t>or</w:t>
      </w:r>
      <w:r>
        <w:rPr>
          <w:spacing w:val="-11"/>
          <w:sz w:val="22"/>
        </w:rPr>
        <w:t> </w:t>
      </w:r>
      <w:r>
        <w:rPr>
          <w:sz w:val="22"/>
        </w:rPr>
        <w:t>might</w:t>
      </w:r>
      <w:r>
        <w:rPr>
          <w:spacing w:val="-9"/>
          <w:sz w:val="22"/>
        </w:rPr>
        <w:t> </w:t>
      </w:r>
      <w:r>
        <w:rPr>
          <w:sz w:val="22"/>
        </w:rPr>
        <w:t>serve</w:t>
      </w:r>
      <w:r>
        <w:rPr>
          <w:spacing w:val="-9"/>
          <w:sz w:val="22"/>
        </w:rPr>
        <w:t> </w:t>
      </w:r>
      <w:r>
        <w:rPr>
          <w:sz w:val="22"/>
        </w:rPr>
        <w:t>enrollees,</w:t>
      </w:r>
      <w:r>
        <w:rPr>
          <w:spacing w:val="-12"/>
          <w:sz w:val="22"/>
        </w:rPr>
        <w:t> </w:t>
      </w:r>
      <w:r>
        <w:rPr>
          <w:sz w:val="22"/>
        </w:rPr>
        <w:t>and</w:t>
      </w:r>
      <w:r>
        <w:rPr>
          <w:spacing w:val="-10"/>
          <w:sz w:val="22"/>
        </w:rPr>
        <w:t> </w:t>
      </w:r>
      <w:r>
        <w:rPr>
          <w:sz w:val="22"/>
        </w:rPr>
        <w:t>coordinating</w:t>
      </w:r>
      <w:r>
        <w:rPr>
          <w:spacing w:val="-12"/>
          <w:sz w:val="22"/>
        </w:rPr>
        <w:t> </w:t>
      </w:r>
      <w:r>
        <w:rPr>
          <w:sz w:val="22"/>
        </w:rPr>
        <w:t>between</w:t>
      </w:r>
      <w:r>
        <w:rPr>
          <w:spacing w:val="-10"/>
          <w:sz w:val="22"/>
        </w:rPr>
        <w:t> </w:t>
      </w:r>
      <w:r>
        <w:rPr>
          <w:sz w:val="22"/>
        </w:rPr>
        <w:t>the ACO and those providers</w:t>
      </w:r>
    </w:p>
    <w:p>
      <w:pPr>
        <w:pStyle w:val="ListParagraph"/>
        <w:numPr>
          <w:ilvl w:val="4"/>
          <w:numId w:val="107"/>
        </w:numPr>
        <w:tabs>
          <w:tab w:pos="2659" w:val="left" w:leader="none"/>
        </w:tabs>
        <w:spacing w:line="240" w:lineRule="auto" w:before="199" w:after="0"/>
        <w:ind w:left="2659" w:right="0" w:hanging="359"/>
        <w:jc w:val="left"/>
        <w:rPr>
          <w:sz w:val="22"/>
        </w:rPr>
      </w:pPr>
      <w:r>
        <w:rPr>
          <w:sz w:val="22"/>
        </w:rPr>
        <w:t>Assisting</w:t>
      </w:r>
      <w:r>
        <w:rPr>
          <w:spacing w:val="-8"/>
          <w:sz w:val="22"/>
        </w:rPr>
        <w:t> </w:t>
      </w:r>
      <w:r>
        <w:rPr>
          <w:sz w:val="22"/>
        </w:rPr>
        <w:t>the</w:t>
      </w:r>
      <w:r>
        <w:rPr>
          <w:spacing w:val="-2"/>
          <w:sz w:val="22"/>
        </w:rPr>
        <w:t> </w:t>
      </w:r>
      <w:r>
        <w:rPr>
          <w:sz w:val="22"/>
        </w:rPr>
        <w:t>ACO’s</w:t>
      </w:r>
      <w:r>
        <w:rPr>
          <w:spacing w:val="-2"/>
          <w:sz w:val="22"/>
        </w:rPr>
        <w:t> </w:t>
      </w:r>
      <w:r>
        <w:rPr>
          <w:sz w:val="22"/>
        </w:rPr>
        <w:t>members</w:t>
      </w:r>
      <w:r>
        <w:rPr>
          <w:spacing w:val="-4"/>
          <w:sz w:val="22"/>
        </w:rPr>
        <w:t> </w:t>
      </w:r>
      <w:r>
        <w:rPr>
          <w:sz w:val="22"/>
        </w:rPr>
        <w:t>to</w:t>
      </w:r>
      <w:r>
        <w:rPr>
          <w:spacing w:val="-2"/>
          <w:sz w:val="22"/>
        </w:rPr>
        <w:t> </w:t>
      </w:r>
      <w:r>
        <w:rPr>
          <w:sz w:val="22"/>
        </w:rPr>
        <w:t>navigate</w:t>
      </w:r>
      <w:r>
        <w:rPr>
          <w:spacing w:val="-5"/>
          <w:sz w:val="22"/>
        </w:rPr>
        <w:t> </w:t>
      </w:r>
      <w:r>
        <w:rPr>
          <w:sz w:val="22"/>
        </w:rPr>
        <w:t>to</w:t>
      </w:r>
      <w:r>
        <w:rPr>
          <w:spacing w:val="-6"/>
          <w:sz w:val="22"/>
        </w:rPr>
        <w:t> </w:t>
      </w:r>
      <w:r>
        <w:rPr>
          <w:sz w:val="22"/>
        </w:rPr>
        <w:t>and</w:t>
      </w:r>
      <w:r>
        <w:rPr>
          <w:spacing w:val="-2"/>
          <w:sz w:val="22"/>
        </w:rPr>
        <w:t> </w:t>
      </w:r>
      <w:r>
        <w:rPr>
          <w:sz w:val="22"/>
        </w:rPr>
        <w:t>access</w:t>
      </w:r>
      <w:r>
        <w:rPr>
          <w:spacing w:val="-2"/>
          <w:sz w:val="22"/>
        </w:rPr>
        <w:t> </w:t>
      </w:r>
      <w:r>
        <w:rPr>
          <w:sz w:val="22"/>
        </w:rPr>
        <w:t>BH</w:t>
      </w:r>
      <w:r>
        <w:rPr>
          <w:spacing w:val="-3"/>
          <w:sz w:val="22"/>
        </w:rPr>
        <w:t> </w:t>
      </w:r>
      <w:r>
        <w:rPr>
          <w:sz w:val="22"/>
        </w:rPr>
        <w:t>and</w:t>
      </w:r>
      <w:r>
        <w:rPr>
          <w:spacing w:val="-2"/>
          <w:sz w:val="22"/>
        </w:rPr>
        <w:t> </w:t>
      </w:r>
      <w:r>
        <w:rPr>
          <w:sz w:val="22"/>
        </w:rPr>
        <w:t>related</w:t>
      </w:r>
      <w:r>
        <w:rPr>
          <w:spacing w:val="-5"/>
          <w:sz w:val="22"/>
        </w:rPr>
        <w:t> </w:t>
      </w:r>
      <w:r>
        <w:rPr>
          <w:spacing w:val="-2"/>
          <w:sz w:val="22"/>
        </w:rPr>
        <w:t>services</w:t>
      </w:r>
    </w:p>
    <w:p>
      <w:pPr>
        <w:pStyle w:val="ListParagraph"/>
        <w:numPr>
          <w:ilvl w:val="4"/>
          <w:numId w:val="107"/>
        </w:numPr>
        <w:tabs>
          <w:tab w:pos="2659" w:val="left" w:leader="none"/>
        </w:tabs>
        <w:spacing w:line="240" w:lineRule="auto" w:before="182" w:after="0"/>
        <w:ind w:left="2659" w:right="0" w:hanging="359"/>
        <w:jc w:val="left"/>
        <w:rPr>
          <w:sz w:val="22"/>
        </w:rPr>
      </w:pPr>
      <w:r>
        <w:rPr>
          <w:sz w:val="22"/>
        </w:rPr>
        <w:t>Facilitating</w:t>
      </w:r>
      <w:r>
        <w:rPr>
          <w:spacing w:val="-7"/>
          <w:sz w:val="22"/>
        </w:rPr>
        <w:t> </w:t>
      </w:r>
      <w:r>
        <w:rPr>
          <w:sz w:val="22"/>
        </w:rPr>
        <w:t>communication</w:t>
      </w:r>
      <w:r>
        <w:rPr>
          <w:spacing w:val="-7"/>
          <w:sz w:val="22"/>
        </w:rPr>
        <w:t> </w:t>
      </w:r>
      <w:r>
        <w:rPr>
          <w:sz w:val="22"/>
        </w:rPr>
        <w:t>between</w:t>
      </w:r>
      <w:r>
        <w:rPr>
          <w:spacing w:val="-3"/>
          <w:sz w:val="22"/>
        </w:rPr>
        <w:t> </w:t>
      </w:r>
      <w:r>
        <w:rPr>
          <w:sz w:val="22"/>
        </w:rPr>
        <w:t>members</w:t>
      </w:r>
      <w:r>
        <w:rPr>
          <w:spacing w:val="-4"/>
          <w:sz w:val="22"/>
        </w:rPr>
        <w:t> </w:t>
      </w:r>
      <w:r>
        <w:rPr>
          <w:sz w:val="22"/>
        </w:rPr>
        <w:t>and</w:t>
      </w:r>
      <w:r>
        <w:rPr>
          <w:spacing w:val="-6"/>
          <w:sz w:val="22"/>
        </w:rPr>
        <w:t> </w:t>
      </w:r>
      <w:r>
        <w:rPr>
          <w:spacing w:val="-2"/>
          <w:sz w:val="22"/>
        </w:rPr>
        <w:t>providers</w:t>
      </w:r>
    </w:p>
    <w:p>
      <w:pPr>
        <w:spacing w:after="0" w:line="240" w:lineRule="auto"/>
        <w:jc w:val="left"/>
        <w:rPr>
          <w:sz w:val="22"/>
        </w:rPr>
        <w:sectPr>
          <w:pgSz w:w="12240" w:h="15840"/>
          <w:pgMar w:header="0" w:footer="967" w:top="1360" w:bottom="1160" w:left="220" w:right="340"/>
        </w:sectPr>
      </w:pPr>
    </w:p>
    <w:p>
      <w:pPr>
        <w:pStyle w:val="ListParagraph"/>
        <w:numPr>
          <w:ilvl w:val="4"/>
          <w:numId w:val="107"/>
        </w:numPr>
        <w:tabs>
          <w:tab w:pos="2659" w:val="left" w:leader="none"/>
        </w:tabs>
        <w:spacing w:line="240" w:lineRule="auto" w:before="81" w:after="0"/>
        <w:ind w:left="2659" w:right="0" w:hanging="359"/>
        <w:jc w:val="left"/>
        <w:rPr>
          <w:sz w:val="22"/>
        </w:rPr>
      </w:pPr>
      <w:r>
        <w:rPr>
          <w:sz w:val="22"/>
        </w:rPr>
        <w:t>Coordinating</w:t>
      </w:r>
      <w:r>
        <w:rPr>
          <w:spacing w:val="-6"/>
          <w:sz w:val="22"/>
        </w:rPr>
        <w:t> </w:t>
      </w:r>
      <w:r>
        <w:rPr>
          <w:sz w:val="22"/>
        </w:rPr>
        <w:t>with</w:t>
      </w:r>
      <w:r>
        <w:rPr>
          <w:spacing w:val="-5"/>
          <w:sz w:val="22"/>
        </w:rPr>
        <w:t> </w:t>
      </w:r>
      <w:r>
        <w:rPr>
          <w:sz w:val="22"/>
        </w:rPr>
        <w:t>staff</w:t>
      </w:r>
      <w:r>
        <w:rPr>
          <w:spacing w:val="-4"/>
          <w:sz w:val="22"/>
        </w:rPr>
        <w:t> </w:t>
      </w:r>
      <w:r>
        <w:rPr>
          <w:sz w:val="22"/>
        </w:rPr>
        <w:t>in</w:t>
      </w:r>
      <w:r>
        <w:rPr>
          <w:spacing w:val="-6"/>
          <w:sz w:val="22"/>
        </w:rPr>
        <w:t> </w:t>
      </w:r>
      <w:r>
        <w:rPr>
          <w:sz w:val="22"/>
        </w:rPr>
        <w:t>state</w:t>
      </w:r>
      <w:r>
        <w:rPr>
          <w:spacing w:val="-2"/>
          <w:sz w:val="22"/>
        </w:rPr>
        <w:t> </w:t>
      </w:r>
      <w:r>
        <w:rPr>
          <w:sz w:val="22"/>
        </w:rPr>
        <w:t>agencies</w:t>
      </w:r>
      <w:r>
        <w:rPr>
          <w:spacing w:val="-4"/>
          <w:sz w:val="22"/>
        </w:rPr>
        <w:t> </w:t>
      </w:r>
      <w:r>
        <w:rPr>
          <w:sz w:val="22"/>
        </w:rPr>
        <w:t>that</w:t>
      </w:r>
      <w:r>
        <w:rPr>
          <w:spacing w:val="-2"/>
          <w:sz w:val="22"/>
        </w:rPr>
        <w:t> </w:t>
      </w:r>
      <w:r>
        <w:rPr>
          <w:sz w:val="22"/>
        </w:rPr>
        <w:t>are</w:t>
      </w:r>
      <w:r>
        <w:rPr>
          <w:spacing w:val="-4"/>
          <w:sz w:val="22"/>
        </w:rPr>
        <w:t> </w:t>
      </w:r>
      <w:r>
        <w:rPr>
          <w:sz w:val="22"/>
        </w:rPr>
        <w:t>involved</w:t>
      </w:r>
      <w:r>
        <w:rPr>
          <w:spacing w:val="-3"/>
          <w:sz w:val="22"/>
        </w:rPr>
        <w:t> </w:t>
      </w:r>
      <w:r>
        <w:rPr>
          <w:sz w:val="22"/>
        </w:rPr>
        <w:t>in</w:t>
      </w:r>
      <w:r>
        <w:rPr>
          <w:spacing w:val="-2"/>
          <w:sz w:val="22"/>
        </w:rPr>
        <w:t> </w:t>
      </w:r>
      <w:r>
        <w:rPr>
          <w:sz w:val="22"/>
        </w:rPr>
        <w:t>member</w:t>
      </w:r>
      <w:r>
        <w:rPr>
          <w:spacing w:val="-1"/>
          <w:sz w:val="22"/>
        </w:rPr>
        <w:t> </w:t>
      </w:r>
      <w:r>
        <w:rPr>
          <w:spacing w:val="-4"/>
          <w:sz w:val="22"/>
        </w:rPr>
        <w:t>care</w:t>
      </w:r>
    </w:p>
    <w:p>
      <w:pPr>
        <w:pStyle w:val="ListParagraph"/>
        <w:numPr>
          <w:ilvl w:val="4"/>
          <w:numId w:val="107"/>
        </w:numPr>
        <w:tabs>
          <w:tab w:pos="2659" w:val="left" w:leader="none"/>
        </w:tabs>
        <w:spacing w:line="240" w:lineRule="auto" w:before="182" w:after="0"/>
        <w:ind w:left="2659" w:right="0" w:hanging="359"/>
        <w:jc w:val="left"/>
        <w:rPr>
          <w:sz w:val="22"/>
        </w:rPr>
      </w:pPr>
      <w:r>
        <w:rPr>
          <w:sz w:val="22"/>
        </w:rPr>
        <w:t>Facilitating</w:t>
      </w:r>
      <w:r>
        <w:rPr>
          <w:spacing w:val="-7"/>
          <w:sz w:val="22"/>
        </w:rPr>
        <w:t> </w:t>
      </w:r>
      <w:r>
        <w:rPr>
          <w:sz w:val="22"/>
        </w:rPr>
        <w:t>members’</w:t>
      </w:r>
      <w:r>
        <w:rPr>
          <w:spacing w:val="-2"/>
          <w:sz w:val="22"/>
        </w:rPr>
        <w:t> </w:t>
      </w:r>
      <w:r>
        <w:rPr>
          <w:sz w:val="22"/>
        </w:rPr>
        <w:t>access</w:t>
      </w:r>
      <w:r>
        <w:rPr>
          <w:spacing w:val="-3"/>
          <w:sz w:val="22"/>
        </w:rPr>
        <w:t> </w:t>
      </w:r>
      <w:r>
        <w:rPr>
          <w:sz w:val="22"/>
        </w:rPr>
        <w:t>to</w:t>
      </w:r>
      <w:r>
        <w:rPr>
          <w:spacing w:val="-7"/>
          <w:sz w:val="22"/>
        </w:rPr>
        <w:t> </w:t>
      </w:r>
      <w:r>
        <w:rPr>
          <w:sz w:val="22"/>
        </w:rPr>
        <w:t>peer</w:t>
      </w:r>
      <w:r>
        <w:rPr>
          <w:spacing w:val="-2"/>
          <w:sz w:val="22"/>
        </w:rPr>
        <w:t> </w:t>
      </w:r>
      <w:r>
        <w:rPr>
          <w:sz w:val="22"/>
        </w:rPr>
        <w:t>support</w:t>
      </w:r>
      <w:r>
        <w:rPr>
          <w:spacing w:val="-2"/>
          <w:sz w:val="22"/>
        </w:rPr>
        <w:t> services</w:t>
      </w:r>
    </w:p>
    <w:p>
      <w:pPr>
        <w:pStyle w:val="ListParagraph"/>
        <w:numPr>
          <w:ilvl w:val="3"/>
          <w:numId w:val="107"/>
        </w:numPr>
        <w:tabs>
          <w:tab w:pos="1940" w:val="left" w:leader="none"/>
        </w:tabs>
        <w:spacing w:line="240" w:lineRule="auto" w:before="178" w:after="0"/>
        <w:ind w:left="1940" w:right="0" w:hanging="360"/>
        <w:jc w:val="left"/>
        <w:rPr>
          <w:sz w:val="22"/>
        </w:rPr>
      </w:pPr>
      <w:r>
        <w:rPr>
          <w:sz w:val="22"/>
        </w:rPr>
        <w:t>Working</w:t>
      </w:r>
      <w:r>
        <w:rPr>
          <w:spacing w:val="-8"/>
          <w:sz w:val="22"/>
        </w:rPr>
        <w:t> </w:t>
      </w:r>
      <w:r>
        <w:rPr>
          <w:sz w:val="22"/>
        </w:rPr>
        <w:t>together</w:t>
      </w:r>
      <w:r>
        <w:rPr>
          <w:spacing w:val="-3"/>
          <w:sz w:val="22"/>
        </w:rPr>
        <w:t> </w:t>
      </w:r>
      <w:r>
        <w:rPr>
          <w:sz w:val="22"/>
        </w:rPr>
        <w:t>to</w:t>
      </w:r>
      <w:r>
        <w:rPr>
          <w:spacing w:val="-3"/>
          <w:sz w:val="22"/>
        </w:rPr>
        <w:t> </w:t>
      </w:r>
      <w:r>
        <w:rPr>
          <w:sz w:val="22"/>
        </w:rPr>
        <w:t>perform</w:t>
      </w:r>
      <w:r>
        <w:rPr>
          <w:spacing w:val="-7"/>
          <w:sz w:val="22"/>
        </w:rPr>
        <w:t> </w:t>
      </w:r>
      <w:r>
        <w:rPr>
          <w:sz w:val="22"/>
        </w:rPr>
        <w:t>outreach</w:t>
      </w:r>
      <w:r>
        <w:rPr>
          <w:spacing w:val="-6"/>
          <w:sz w:val="22"/>
        </w:rPr>
        <w:t> </w:t>
      </w:r>
      <w:r>
        <w:rPr>
          <w:sz w:val="22"/>
        </w:rPr>
        <w:t>and</w:t>
      </w:r>
      <w:r>
        <w:rPr>
          <w:spacing w:val="-3"/>
          <w:sz w:val="22"/>
        </w:rPr>
        <w:t> </w:t>
      </w:r>
      <w:r>
        <w:rPr>
          <w:sz w:val="22"/>
        </w:rPr>
        <w:t>enrollment</w:t>
      </w:r>
      <w:r>
        <w:rPr>
          <w:spacing w:val="-5"/>
          <w:sz w:val="22"/>
        </w:rPr>
        <w:t> </w:t>
      </w:r>
      <w:r>
        <w:rPr>
          <w:sz w:val="22"/>
        </w:rPr>
        <w:t>for</w:t>
      </w:r>
      <w:r>
        <w:rPr>
          <w:spacing w:val="-2"/>
          <w:sz w:val="22"/>
        </w:rPr>
        <w:t> </w:t>
      </w:r>
      <w:r>
        <w:rPr>
          <w:sz w:val="22"/>
        </w:rPr>
        <w:t>members</w:t>
      </w:r>
      <w:r>
        <w:rPr>
          <w:spacing w:val="-3"/>
          <w:sz w:val="22"/>
        </w:rPr>
        <w:t> </w:t>
      </w:r>
      <w:r>
        <w:rPr>
          <w:sz w:val="22"/>
        </w:rPr>
        <w:t>who</w:t>
      </w:r>
      <w:r>
        <w:rPr>
          <w:spacing w:val="-3"/>
          <w:sz w:val="22"/>
        </w:rPr>
        <w:t> </w:t>
      </w:r>
      <w:r>
        <w:rPr>
          <w:sz w:val="22"/>
        </w:rPr>
        <w:t>are</w:t>
      </w:r>
      <w:r>
        <w:rPr>
          <w:spacing w:val="-3"/>
          <w:sz w:val="22"/>
        </w:rPr>
        <w:t> </w:t>
      </w:r>
      <w:r>
        <w:rPr>
          <w:sz w:val="22"/>
        </w:rPr>
        <w:t>eligible</w:t>
      </w:r>
      <w:r>
        <w:rPr>
          <w:spacing w:val="-3"/>
          <w:sz w:val="22"/>
        </w:rPr>
        <w:t> </w:t>
      </w:r>
      <w:r>
        <w:rPr>
          <w:sz w:val="22"/>
        </w:rPr>
        <w:t>for</w:t>
      </w:r>
      <w:r>
        <w:rPr>
          <w:spacing w:val="-2"/>
          <w:sz w:val="22"/>
        </w:rPr>
        <w:t> </w:t>
      </w:r>
      <w:r>
        <w:rPr>
          <w:sz w:val="22"/>
        </w:rPr>
        <w:t>BH</w:t>
      </w:r>
      <w:r>
        <w:rPr>
          <w:spacing w:val="-4"/>
          <w:sz w:val="22"/>
        </w:rPr>
        <w:t> </w:t>
      </w:r>
      <w:r>
        <w:rPr>
          <w:spacing w:val="-5"/>
          <w:sz w:val="22"/>
        </w:rPr>
        <w:t>CPs</w:t>
      </w:r>
    </w:p>
    <w:p>
      <w:pPr>
        <w:pStyle w:val="ListParagraph"/>
        <w:numPr>
          <w:ilvl w:val="3"/>
          <w:numId w:val="107"/>
        </w:numPr>
        <w:tabs>
          <w:tab w:pos="1938" w:val="left" w:leader="none"/>
          <w:tab w:pos="1940" w:val="left" w:leader="none"/>
        </w:tabs>
        <w:spacing w:line="240" w:lineRule="auto" w:before="201" w:after="0"/>
        <w:ind w:left="1940" w:right="1094" w:hanging="361"/>
        <w:jc w:val="both"/>
        <w:rPr>
          <w:sz w:val="22"/>
        </w:rPr>
      </w:pPr>
      <w:r>
        <w:rPr>
          <w:sz w:val="22"/>
        </w:rPr>
        <w:t>Providing care management to BH CP-enrolled members, including designated care coordinators/clinical care managers, documented treatment plans, comprehensive transition management, health promotion, and other activities</w:t>
      </w:r>
    </w:p>
    <w:p>
      <w:pPr>
        <w:pStyle w:val="ListParagraph"/>
        <w:numPr>
          <w:ilvl w:val="3"/>
          <w:numId w:val="107"/>
        </w:numPr>
        <w:tabs>
          <w:tab w:pos="1938" w:val="left" w:leader="none"/>
          <w:tab w:pos="1940" w:val="left" w:leader="none"/>
        </w:tabs>
        <w:spacing w:line="240" w:lineRule="auto" w:before="199" w:after="0"/>
        <w:ind w:left="1940" w:right="1094" w:hanging="361"/>
        <w:jc w:val="both"/>
        <w:rPr>
          <w:sz w:val="22"/>
        </w:rPr>
      </w:pPr>
      <w:r>
        <w:rPr>
          <w:sz w:val="22"/>
        </w:rPr>
        <w:t>Collaborating and establishing mutual policies and procedures to ensure alignment, information sharing, appropriate sign-off, issue resolution, and communication</w:t>
      </w:r>
    </w:p>
    <w:p>
      <w:pPr>
        <w:pStyle w:val="ListParagraph"/>
        <w:numPr>
          <w:ilvl w:val="3"/>
          <w:numId w:val="107"/>
        </w:numPr>
        <w:tabs>
          <w:tab w:pos="1938" w:val="left" w:leader="none"/>
          <w:tab w:pos="1940" w:val="left" w:leader="none"/>
        </w:tabs>
        <w:spacing w:line="240" w:lineRule="auto" w:before="200" w:after="0"/>
        <w:ind w:left="1940" w:right="1094" w:hanging="361"/>
        <w:jc w:val="both"/>
        <w:rPr>
          <w:sz w:val="22"/>
        </w:rPr>
      </w:pPr>
      <w:r>
        <w:rPr>
          <w:sz w:val="22"/>
        </w:rPr>
        <w:t>Performance measurement and management, including the ACO and CP working together to evaluate performance on key process measures (e.g., outreach and enrollment) and outcome measures (e.g., the state’s accountability score measures)</w:t>
      </w:r>
    </w:p>
    <w:p>
      <w:pPr>
        <w:spacing w:before="200"/>
        <w:ind w:left="1220" w:right="0" w:firstLine="0"/>
        <w:jc w:val="left"/>
        <w:rPr>
          <w:b/>
          <w:sz w:val="22"/>
        </w:rPr>
      </w:pPr>
      <w:r>
        <w:rPr>
          <w:b/>
          <w:sz w:val="22"/>
        </w:rPr>
        <w:t>Delegated</w:t>
      </w:r>
      <w:r>
        <w:rPr>
          <w:b/>
          <w:spacing w:val="-8"/>
          <w:sz w:val="22"/>
        </w:rPr>
        <w:t> </w:t>
      </w:r>
      <w:r>
        <w:rPr>
          <w:b/>
          <w:sz w:val="22"/>
        </w:rPr>
        <w:t>responsibility</w:t>
      </w:r>
      <w:r>
        <w:rPr>
          <w:b/>
          <w:spacing w:val="-7"/>
          <w:sz w:val="22"/>
        </w:rPr>
        <w:t> </w:t>
      </w:r>
      <w:r>
        <w:rPr>
          <w:b/>
          <w:sz w:val="22"/>
        </w:rPr>
        <w:t>to</w:t>
      </w:r>
      <w:r>
        <w:rPr>
          <w:b/>
          <w:spacing w:val="-4"/>
          <w:sz w:val="22"/>
        </w:rPr>
        <w:t> </w:t>
      </w:r>
      <w:r>
        <w:rPr>
          <w:b/>
          <w:sz w:val="22"/>
        </w:rPr>
        <w:t>LTSS</w:t>
      </w:r>
      <w:r>
        <w:rPr>
          <w:b/>
          <w:spacing w:val="-5"/>
          <w:sz w:val="22"/>
        </w:rPr>
        <w:t> CPs</w:t>
      </w:r>
    </w:p>
    <w:p>
      <w:pPr>
        <w:spacing w:before="177"/>
        <w:ind w:left="1220" w:right="1111" w:firstLine="0"/>
        <w:jc w:val="left"/>
        <w:rPr>
          <w:sz w:val="22"/>
        </w:rPr>
      </w:pPr>
      <w:r>
        <w:rPr>
          <w:sz w:val="22"/>
        </w:rPr>
        <w:t>ACOs must maintain agreements with LTSS CPs. These agreements will require the LTSS CP to support the ACO’s care coordination and care management responsibilities, including:</w:t>
      </w:r>
    </w:p>
    <w:p>
      <w:pPr>
        <w:pStyle w:val="BodyText"/>
        <w:rPr>
          <w:sz w:val="22"/>
        </w:rPr>
      </w:pPr>
    </w:p>
    <w:p>
      <w:pPr>
        <w:pStyle w:val="ListParagraph"/>
        <w:numPr>
          <w:ilvl w:val="3"/>
          <w:numId w:val="107"/>
        </w:numPr>
        <w:tabs>
          <w:tab w:pos="1938" w:val="left" w:leader="none"/>
          <w:tab w:pos="1940" w:val="left" w:leader="none"/>
        </w:tabs>
        <w:spacing w:line="240" w:lineRule="auto" w:before="0" w:after="0"/>
        <w:ind w:left="1940" w:right="1095" w:hanging="361"/>
        <w:jc w:val="both"/>
        <w:rPr>
          <w:sz w:val="22"/>
        </w:rPr>
      </w:pPr>
      <w:r>
        <w:rPr>
          <w:sz w:val="22"/>
        </w:rPr>
        <w:t>Working</w:t>
      </w:r>
      <w:r>
        <w:rPr>
          <w:spacing w:val="-9"/>
          <w:sz w:val="22"/>
        </w:rPr>
        <w:t> </w:t>
      </w:r>
      <w:r>
        <w:rPr>
          <w:sz w:val="22"/>
        </w:rPr>
        <w:t>together</w:t>
      </w:r>
      <w:r>
        <w:rPr>
          <w:spacing w:val="-8"/>
          <w:sz w:val="22"/>
        </w:rPr>
        <w:t> </w:t>
      </w:r>
      <w:r>
        <w:rPr>
          <w:sz w:val="22"/>
        </w:rPr>
        <w:t>to</w:t>
      </w:r>
      <w:r>
        <w:rPr>
          <w:spacing w:val="-8"/>
          <w:sz w:val="22"/>
        </w:rPr>
        <w:t> </w:t>
      </w:r>
      <w:r>
        <w:rPr>
          <w:sz w:val="22"/>
        </w:rPr>
        <w:t>improve</w:t>
      </w:r>
      <w:r>
        <w:rPr>
          <w:spacing w:val="-6"/>
          <w:sz w:val="22"/>
        </w:rPr>
        <w:t> </w:t>
      </w:r>
      <w:r>
        <w:rPr>
          <w:sz w:val="22"/>
        </w:rPr>
        <w:t>coordination</w:t>
      </w:r>
      <w:r>
        <w:rPr>
          <w:spacing w:val="-9"/>
          <w:sz w:val="22"/>
        </w:rPr>
        <w:t> </w:t>
      </w:r>
      <w:r>
        <w:rPr>
          <w:sz w:val="22"/>
        </w:rPr>
        <w:t>and</w:t>
      </w:r>
      <w:r>
        <w:rPr>
          <w:spacing w:val="-9"/>
          <w:sz w:val="22"/>
        </w:rPr>
        <w:t> </w:t>
      </w:r>
      <w:r>
        <w:rPr>
          <w:sz w:val="22"/>
        </w:rPr>
        <w:t>integration</w:t>
      </w:r>
      <w:r>
        <w:rPr>
          <w:spacing w:val="-9"/>
          <w:sz w:val="22"/>
        </w:rPr>
        <w:t> </w:t>
      </w:r>
      <w:r>
        <w:rPr>
          <w:sz w:val="22"/>
        </w:rPr>
        <w:t>of</w:t>
      </w:r>
      <w:r>
        <w:rPr>
          <w:spacing w:val="-5"/>
          <w:sz w:val="22"/>
        </w:rPr>
        <w:t> </w:t>
      </w:r>
      <w:r>
        <w:rPr>
          <w:sz w:val="22"/>
        </w:rPr>
        <w:t>LTSS</w:t>
      </w:r>
      <w:r>
        <w:rPr>
          <w:spacing w:val="-9"/>
          <w:sz w:val="22"/>
        </w:rPr>
        <w:t> </w:t>
      </w:r>
      <w:r>
        <w:rPr>
          <w:sz w:val="22"/>
        </w:rPr>
        <w:t>and</w:t>
      </w:r>
      <w:r>
        <w:rPr>
          <w:spacing w:val="-9"/>
          <w:sz w:val="22"/>
        </w:rPr>
        <w:t> </w:t>
      </w:r>
      <w:r>
        <w:rPr>
          <w:sz w:val="22"/>
        </w:rPr>
        <w:t>expertise</w:t>
      </w:r>
      <w:r>
        <w:rPr>
          <w:spacing w:val="-8"/>
          <w:sz w:val="22"/>
        </w:rPr>
        <w:t> </w:t>
      </w:r>
      <w:r>
        <w:rPr>
          <w:sz w:val="22"/>
        </w:rPr>
        <w:t>into</w:t>
      </w:r>
      <w:r>
        <w:rPr>
          <w:spacing w:val="-9"/>
          <w:sz w:val="22"/>
        </w:rPr>
        <w:t> </w:t>
      </w:r>
      <w:r>
        <w:rPr>
          <w:sz w:val="22"/>
        </w:rPr>
        <w:t>physical</w:t>
      </w:r>
      <w:r>
        <w:rPr>
          <w:spacing w:val="-7"/>
          <w:sz w:val="22"/>
        </w:rPr>
        <w:t> </w:t>
      </w:r>
      <w:r>
        <w:rPr>
          <w:sz w:val="22"/>
        </w:rPr>
        <w:t>and behavioral health care, including activities such as but not limited to:</w:t>
      </w:r>
    </w:p>
    <w:p>
      <w:pPr>
        <w:pStyle w:val="ListParagraph"/>
        <w:numPr>
          <w:ilvl w:val="4"/>
          <w:numId w:val="107"/>
        </w:numPr>
        <w:tabs>
          <w:tab w:pos="2658" w:val="left" w:leader="none"/>
          <w:tab w:pos="2660" w:val="left" w:leader="none"/>
        </w:tabs>
        <w:spacing w:line="228" w:lineRule="auto" w:before="208" w:after="0"/>
        <w:ind w:left="2660" w:right="1094" w:hanging="361"/>
        <w:jc w:val="left"/>
        <w:rPr>
          <w:sz w:val="22"/>
        </w:rPr>
      </w:pPr>
      <w:r>
        <w:rPr>
          <w:sz w:val="22"/>
        </w:rPr>
        <w:t>Identifying</w:t>
      </w:r>
      <w:r>
        <w:rPr>
          <w:spacing w:val="-3"/>
          <w:sz w:val="22"/>
        </w:rPr>
        <w:t> </w:t>
      </w:r>
      <w:r>
        <w:rPr>
          <w:sz w:val="22"/>
        </w:rPr>
        <w:t>LTSS</w:t>
      </w:r>
      <w:r>
        <w:rPr>
          <w:spacing w:val="-1"/>
          <w:sz w:val="22"/>
        </w:rPr>
        <w:t> </w:t>
      </w:r>
      <w:r>
        <w:rPr>
          <w:sz w:val="22"/>
        </w:rPr>
        <w:t>providers</w:t>
      </w:r>
      <w:r>
        <w:rPr>
          <w:spacing w:val="-3"/>
          <w:sz w:val="22"/>
        </w:rPr>
        <w:t> </w:t>
      </w:r>
      <w:r>
        <w:rPr>
          <w:sz w:val="22"/>
        </w:rPr>
        <w:t>that serve or might serve enrollees,</w:t>
      </w:r>
      <w:r>
        <w:rPr>
          <w:spacing w:val="-1"/>
          <w:sz w:val="22"/>
        </w:rPr>
        <w:t> </w:t>
      </w:r>
      <w:r>
        <w:rPr>
          <w:sz w:val="22"/>
        </w:rPr>
        <w:t>and</w:t>
      </w:r>
      <w:r>
        <w:rPr>
          <w:spacing w:val="-1"/>
          <w:sz w:val="22"/>
        </w:rPr>
        <w:t> </w:t>
      </w:r>
      <w:r>
        <w:rPr>
          <w:sz w:val="22"/>
        </w:rPr>
        <w:t>coordinating</w:t>
      </w:r>
      <w:r>
        <w:rPr>
          <w:spacing w:val="-3"/>
          <w:sz w:val="22"/>
        </w:rPr>
        <w:t> </w:t>
      </w:r>
      <w:r>
        <w:rPr>
          <w:sz w:val="22"/>
        </w:rPr>
        <w:t>between the ACO and those providers</w:t>
      </w:r>
    </w:p>
    <w:p>
      <w:pPr>
        <w:pStyle w:val="ListParagraph"/>
        <w:numPr>
          <w:ilvl w:val="4"/>
          <w:numId w:val="107"/>
        </w:numPr>
        <w:tabs>
          <w:tab w:pos="2659" w:val="left" w:leader="none"/>
        </w:tabs>
        <w:spacing w:line="240" w:lineRule="auto" w:before="199" w:after="0"/>
        <w:ind w:left="2659" w:right="0" w:hanging="359"/>
        <w:jc w:val="left"/>
        <w:rPr>
          <w:sz w:val="22"/>
        </w:rPr>
      </w:pPr>
      <w:r>
        <w:rPr>
          <w:sz w:val="22"/>
        </w:rPr>
        <w:t>Assisting</w:t>
      </w:r>
      <w:r>
        <w:rPr>
          <w:spacing w:val="-8"/>
          <w:sz w:val="22"/>
        </w:rPr>
        <w:t> </w:t>
      </w:r>
      <w:r>
        <w:rPr>
          <w:sz w:val="22"/>
        </w:rPr>
        <w:t>the</w:t>
      </w:r>
      <w:r>
        <w:rPr>
          <w:spacing w:val="-2"/>
          <w:sz w:val="22"/>
        </w:rPr>
        <w:t> </w:t>
      </w:r>
      <w:r>
        <w:rPr>
          <w:sz w:val="22"/>
        </w:rPr>
        <w:t>ACO’s</w:t>
      </w:r>
      <w:r>
        <w:rPr>
          <w:spacing w:val="-2"/>
          <w:sz w:val="22"/>
        </w:rPr>
        <w:t> </w:t>
      </w:r>
      <w:r>
        <w:rPr>
          <w:sz w:val="22"/>
        </w:rPr>
        <w:t>members</w:t>
      </w:r>
      <w:r>
        <w:rPr>
          <w:spacing w:val="-4"/>
          <w:sz w:val="22"/>
        </w:rPr>
        <w:t> </w:t>
      </w:r>
      <w:r>
        <w:rPr>
          <w:sz w:val="22"/>
        </w:rPr>
        <w:t>to</w:t>
      </w:r>
      <w:r>
        <w:rPr>
          <w:spacing w:val="-2"/>
          <w:sz w:val="22"/>
        </w:rPr>
        <w:t> </w:t>
      </w:r>
      <w:r>
        <w:rPr>
          <w:sz w:val="22"/>
        </w:rPr>
        <w:t>navigate</w:t>
      </w:r>
      <w:r>
        <w:rPr>
          <w:spacing w:val="-5"/>
          <w:sz w:val="22"/>
        </w:rPr>
        <w:t> </w:t>
      </w:r>
      <w:r>
        <w:rPr>
          <w:sz w:val="22"/>
        </w:rPr>
        <w:t>to</w:t>
      </w:r>
      <w:r>
        <w:rPr>
          <w:spacing w:val="-5"/>
          <w:sz w:val="22"/>
        </w:rPr>
        <w:t> </w:t>
      </w:r>
      <w:r>
        <w:rPr>
          <w:sz w:val="22"/>
        </w:rPr>
        <w:t>and</w:t>
      </w:r>
      <w:r>
        <w:rPr>
          <w:spacing w:val="-2"/>
          <w:sz w:val="22"/>
        </w:rPr>
        <w:t> </w:t>
      </w:r>
      <w:r>
        <w:rPr>
          <w:sz w:val="22"/>
        </w:rPr>
        <w:t>access</w:t>
      </w:r>
      <w:r>
        <w:rPr>
          <w:spacing w:val="-2"/>
          <w:sz w:val="22"/>
        </w:rPr>
        <w:t> </w:t>
      </w:r>
      <w:r>
        <w:rPr>
          <w:sz w:val="22"/>
        </w:rPr>
        <w:t>LTSS</w:t>
      </w:r>
      <w:r>
        <w:rPr>
          <w:spacing w:val="-5"/>
          <w:sz w:val="22"/>
        </w:rPr>
        <w:t> </w:t>
      </w:r>
      <w:r>
        <w:rPr>
          <w:sz w:val="22"/>
        </w:rPr>
        <w:t>and</w:t>
      </w:r>
      <w:r>
        <w:rPr>
          <w:spacing w:val="-5"/>
          <w:sz w:val="22"/>
        </w:rPr>
        <w:t> </w:t>
      </w:r>
      <w:r>
        <w:rPr>
          <w:sz w:val="22"/>
        </w:rPr>
        <w:t>related</w:t>
      </w:r>
      <w:r>
        <w:rPr>
          <w:spacing w:val="-2"/>
          <w:sz w:val="22"/>
        </w:rPr>
        <w:t> services</w:t>
      </w:r>
    </w:p>
    <w:p>
      <w:pPr>
        <w:pStyle w:val="ListParagraph"/>
        <w:numPr>
          <w:ilvl w:val="4"/>
          <w:numId w:val="107"/>
        </w:numPr>
        <w:tabs>
          <w:tab w:pos="2659" w:val="left" w:leader="none"/>
        </w:tabs>
        <w:spacing w:line="240" w:lineRule="auto" w:before="182" w:after="0"/>
        <w:ind w:left="2659" w:right="0" w:hanging="359"/>
        <w:jc w:val="left"/>
        <w:rPr>
          <w:sz w:val="22"/>
        </w:rPr>
      </w:pPr>
      <w:r>
        <w:rPr>
          <w:sz w:val="22"/>
        </w:rPr>
        <w:t>Facilitating</w:t>
      </w:r>
      <w:r>
        <w:rPr>
          <w:spacing w:val="-7"/>
          <w:sz w:val="22"/>
        </w:rPr>
        <w:t> </w:t>
      </w:r>
      <w:r>
        <w:rPr>
          <w:sz w:val="22"/>
        </w:rPr>
        <w:t>communication</w:t>
      </w:r>
      <w:r>
        <w:rPr>
          <w:spacing w:val="-7"/>
          <w:sz w:val="22"/>
        </w:rPr>
        <w:t> </w:t>
      </w:r>
      <w:r>
        <w:rPr>
          <w:sz w:val="22"/>
        </w:rPr>
        <w:t>between</w:t>
      </w:r>
      <w:r>
        <w:rPr>
          <w:spacing w:val="-4"/>
          <w:sz w:val="22"/>
        </w:rPr>
        <w:t> </w:t>
      </w:r>
      <w:r>
        <w:rPr>
          <w:sz w:val="22"/>
        </w:rPr>
        <w:t>members</w:t>
      </w:r>
      <w:r>
        <w:rPr>
          <w:spacing w:val="-5"/>
          <w:sz w:val="22"/>
        </w:rPr>
        <w:t> </w:t>
      </w:r>
      <w:r>
        <w:rPr>
          <w:sz w:val="22"/>
        </w:rPr>
        <w:t>and</w:t>
      </w:r>
      <w:r>
        <w:rPr>
          <w:spacing w:val="-6"/>
          <w:sz w:val="22"/>
        </w:rPr>
        <w:t> </w:t>
      </w:r>
      <w:r>
        <w:rPr>
          <w:spacing w:val="-2"/>
          <w:sz w:val="22"/>
        </w:rPr>
        <w:t>providers</w:t>
      </w:r>
    </w:p>
    <w:p>
      <w:pPr>
        <w:pStyle w:val="ListParagraph"/>
        <w:numPr>
          <w:ilvl w:val="4"/>
          <w:numId w:val="107"/>
        </w:numPr>
        <w:tabs>
          <w:tab w:pos="2660" w:val="left" w:leader="none"/>
        </w:tabs>
        <w:spacing w:line="240" w:lineRule="auto" w:before="183" w:after="0"/>
        <w:ind w:left="2660" w:right="0" w:hanging="359"/>
        <w:jc w:val="left"/>
        <w:rPr>
          <w:sz w:val="22"/>
        </w:rPr>
      </w:pPr>
      <w:r>
        <w:rPr>
          <w:sz w:val="22"/>
        </w:rPr>
        <w:t>Coordinating</w:t>
      </w:r>
      <w:r>
        <w:rPr>
          <w:spacing w:val="-6"/>
          <w:sz w:val="22"/>
        </w:rPr>
        <w:t> </w:t>
      </w:r>
      <w:r>
        <w:rPr>
          <w:sz w:val="22"/>
        </w:rPr>
        <w:t>with</w:t>
      </w:r>
      <w:r>
        <w:rPr>
          <w:spacing w:val="-5"/>
          <w:sz w:val="22"/>
        </w:rPr>
        <w:t> </w:t>
      </w:r>
      <w:r>
        <w:rPr>
          <w:sz w:val="22"/>
        </w:rPr>
        <w:t>staff</w:t>
      </w:r>
      <w:r>
        <w:rPr>
          <w:spacing w:val="-4"/>
          <w:sz w:val="22"/>
        </w:rPr>
        <w:t> </w:t>
      </w:r>
      <w:r>
        <w:rPr>
          <w:sz w:val="22"/>
        </w:rPr>
        <w:t>in</w:t>
      </w:r>
      <w:r>
        <w:rPr>
          <w:spacing w:val="-6"/>
          <w:sz w:val="22"/>
        </w:rPr>
        <w:t> </w:t>
      </w:r>
      <w:r>
        <w:rPr>
          <w:sz w:val="22"/>
        </w:rPr>
        <w:t>state</w:t>
      </w:r>
      <w:r>
        <w:rPr>
          <w:spacing w:val="-2"/>
          <w:sz w:val="22"/>
        </w:rPr>
        <w:t> </w:t>
      </w:r>
      <w:r>
        <w:rPr>
          <w:sz w:val="22"/>
        </w:rPr>
        <w:t>agencies</w:t>
      </w:r>
      <w:r>
        <w:rPr>
          <w:spacing w:val="-4"/>
          <w:sz w:val="22"/>
        </w:rPr>
        <w:t> </w:t>
      </w:r>
      <w:r>
        <w:rPr>
          <w:sz w:val="22"/>
        </w:rPr>
        <w:t>that</w:t>
      </w:r>
      <w:r>
        <w:rPr>
          <w:spacing w:val="-2"/>
          <w:sz w:val="22"/>
        </w:rPr>
        <w:t> </w:t>
      </w:r>
      <w:r>
        <w:rPr>
          <w:sz w:val="22"/>
        </w:rPr>
        <w:t>are</w:t>
      </w:r>
      <w:r>
        <w:rPr>
          <w:spacing w:val="-4"/>
          <w:sz w:val="22"/>
        </w:rPr>
        <w:t> </w:t>
      </w:r>
      <w:r>
        <w:rPr>
          <w:sz w:val="22"/>
        </w:rPr>
        <w:t>involved</w:t>
      </w:r>
      <w:r>
        <w:rPr>
          <w:spacing w:val="-3"/>
          <w:sz w:val="22"/>
        </w:rPr>
        <w:t> </w:t>
      </w:r>
      <w:r>
        <w:rPr>
          <w:sz w:val="22"/>
        </w:rPr>
        <w:t>in</w:t>
      </w:r>
      <w:r>
        <w:rPr>
          <w:spacing w:val="-2"/>
          <w:sz w:val="22"/>
        </w:rPr>
        <w:t> </w:t>
      </w:r>
      <w:r>
        <w:rPr>
          <w:sz w:val="22"/>
        </w:rPr>
        <w:t>member</w:t>
      </w:r>
      <w:r>
        <w:rPr>
          <w:spacing w:val="-1"/>
          <w:sz w:val="22"/>
        </w:rPr>
        <w:t> </w:t>
      </w:r>
      <w:r>
        <w:rPr>
          <w:spacing w:val="-4"/>
          <w:sz w:val="22"/>
        </w:rPr>
        <w:t>care</w:t>
      </w:r>
    </w:p>
    <w:p>
      <w:pPr>
        <w:pStyle w:val="ListParagraph"/>
        <w:numPr>
          <w:ilvl w:val="4"/>
          <w:numId w:val="107"/>
        </w:numPr>
        <w:tabs>
          <w:tab w:pos="2660" w:val="left" w:leader="none"/>
        </w:tabs>
        <w:spacing w:line="240" w:lineRule="auto" w:before="182" w:after="0"/>
        <w:ind w:left="2660" w:right="0" w:hanging="359"/>
        <w:jc w:val="left"/>
        <w:rPr>
          <w:sz w:val="22"/>
        </w:rPr>
      </w:pPr>
      <w:r>
        <w:rPr>
          <w:sz w:val="22"/>
        </w:rPr>
        <w:t>Providing</w:t>
      </w:r>
      <w:r>
        <w:rPr>
          <w:spacing w:val="-6"/>
          <w:sz w:val="22"/>
        </w:rPr>
        <w:t> </w:t>
      </w:r>
      <w:r>
        <w:rPr>
          <w:sz w:val="22"/>
        </w:rPr>
        <w:t>support</w:t>
      </w:r>
      <w:r>
        <w:rPr>
          <w:spacing w:val="-5"/>
          <w:sz w:val="22"/>
        </w:rPr>
        <w:t> </w:t>
      </w:r>
      <w:r>
        <w:rPr>
          <w:sz w:val="22"/>
        </w:rPr>
        <w:t>during</w:t>
      </w:r>
      <w:r>
        <w:rPr>
          <w:spacing w:val="-6"/>
          <w:sz w:val="22"/>
        </w:rPr>
        <w:t> </w:t>
      </w:r>
      <w:r>
        <w:rPr>
          <w:sz w:val="22"/>
        </w:rPr>
        <w:t>transitions</w:t>
      </w:r>
      <w:r>
        <w:rPr>
          <w:spacing w:val="-2"/>
          <w:sz w:val="22"/>
        </w:rPr>
        <w:t> </w:t>
      </w:r>
      <w:r>
        <w:rPr>
          <w:sz w:val="22"/>
        </w:rPr>
        <w:t>of</w:t>
      </w:r>
      <w:r>
        <w:rPr>
          <w:spacing w:val="-2"/>
          <w:sz w:val="22"/>
        </w:rPr>
        <w:t> </w:t>
      </w:r>
      <w:r>
        <w:rPr>
          <w:sz w:val="22"/>
        </w:rPr>
        <w:t>care</w:t>
      </w:r>
      <w:r>
        <w:rPr>
          <w:spacing w:val="-5"/>
          <w:sz w:val="22"/>
        </w:rPr>
        <w:t> </w:t>
      </w:r>
      <w:r>
        <w:rPr>
          <w:sz w:val="22"/>
        </w:rPr>
        <w:t>for</w:t>
      </w:r>
      <w:r>
        <w:rPr>
          <w:spacing w:val="-5"/>
          <w:sz w:val="22"/>
        </w:rPr>
        <w:t> </w:t>
      </w:r>
      <w:r>
        <w:rPr>
          <w:sz w:val="22"/>
        </w:rPr>
        <w:t>the</w:t>
      </w:r>
      <w:r>
        <w:rPr>
          <w:spacing w:val="-3"/>
          <w:sz w:val="22"/>
        </w:rPr>
        <w:t> </w:t>
      </w:r>
      <w:r>
        <w:rPr>
          <w:sz w:val="22"/>
        </w:rPr>
        <w:t>ACO’s</w:t>
      </w:r>
      <w:r>
        <w:rPr>
          <w:spacing w:val="-2"/>
          <w:sz w:val="22"/>
        </w:rPr>
        <w:t> members</w:t>
      </w:r>
    </w:p>
    <w:p>
      <w:pPr>
        <w:pStyle w:val="ListParagraph"/>
        <w:numPr>
          <w:ilvl w:val="3"/>
          <w:numId w:val="107"/>
        </w:numPr>
        <w:tabs>
          <w:tab w:pos="1941" w:val="left" w:leader="none"/>
        </w:tabs>
        <w:spacing w:line="240" w:lineRule="auto" w:before="178" w:after="0"/>
        <w:ind w:left="1941" w:right="0" w:hanging="360"/>
        <w:jc w:val="left"/>
        <w:rPr>
          <w:sz w:val="22"/>
        </w:rPr>
      </w:pPr>
      <w:r>
        <w:rPr>
          <w:sz w:val="22"/>
        </w:rPr>
        <w:t>Providing</w:t>
      </w:r>
      <w:r>
        <w:rPr>
          <w:spacing w:val="-8"/>
          <w:sz w:val="22"/>
        </w:rPr>
        <w:t> </w:t>
      </w:r>
      <w:r>
        <w:rPr>
          <w:sz w:val="22"/>
        </w:rPr>
        <w:t>information</w:t>
      </w:r>
      <w:r>
        <w:rPr>
          <w:spacing w:val="-2"/>
          <w:sz w:val="22"/>
        </w:rPr>
        <w:t> </w:t>
      </w:r>
      <w:r>
        <w:rPr>
          <w:sz w:val="22"/>
        </w:rPr>
        <w:t>and</w:t>
      </w:r>
      <w:r>
        <w:rPr>
          <w:spacing w:val="-5"/>
          <w:sz w:val="22"/>
        </w:rPr>
        <w:t> </w:t>
      </w:r>
      <w:r>
        <w:rPr>
          <w:sz w:val="22"/>
        </w:rPr>
        <w:t>navigation</w:t>
      </w:r>
      <w:r>
        <w:rPr>
          <w:spacing w:val="-5"/>
          <w:sz w:val="22"/>
        </w:rPr>
        <w:t> </w:t>
      </w:r>
      <w:r>
        <w:rPr>
          <w:sz w:val="22"/>
        </w:rPr>
        <w:t>to</w:t>
      </w:r>
      <w:r>
        <w:rPr>
          <w:spacing w:val="-3"/>
          <w:sz w:val="22"/>
        </w:rPr>
        <w:t> </w:t>
      </w:r>
      <w:r>
        <w:rPr>
          <w:sz w:val="22"/>
        </w:rPr>
        <w:t>LTSS</w:t>
      </w:r>
      <w:r>
        <w:rPr>
          <w:spacing w:val="-3"/>
          <w:sz w:val="22"/>
        </w:rPr>
        <w:t> </w:t>
      </w:r>
      <w:r>
        <w:rPr>
          <w:sz w:val="22"/>
        </w:rPr>
        <w:t>for</w:t>
      </w:r>
      <w:r>
        <w:rPr>
          <w:spacing w:val="-4"/>
          <w:sz w:val="22"/>
        </w:rPr>
        <w:t> </w:t>
      </w:r>
      <w:r>
        <w:rPr>
          <w:sz w:val="22"/>
        </w:rPr>
        <w:t>the</w:t>
      </w:r>
      <w:r>
        <w:rPr>
          <w:spacing w:val="-4"/>
          <w:sz w:val="22"/>
        </w:rPr>
        <w:t> </w:t>
      </w:r>
      <w:r>
        <w:rPr>
          <w:sz w:val="22"/>
        </w:rPr>
        <w:t>ACO’s</w:t>
      </w:r>
      <w:r>
        <w:rPr>
          <w:spacing w:val="-2"/>
          <w:sz w:val="22"/>
        </w:rPr>
        <w:t> members</w:t>
      </w:r>
    </w:p>
    <w:p>
      <w:pPr>
        <w:pStyle w:val="ListParagraph"/>
        <w:numPr>
          <w:ilvl w:val="3"/>
          <w:numId w:val="107"/>
        </w:numPr>
        <w:tabs>
          <w:tab w:pos="1939" w:val="left" w:leader="none"/>
          <w:tab w:pos="1941" w:val="left" w:leader="none"/>
        </w:tabs>
        <w:spacing w:line="240" w:lineRule="auto" w:before="201" w:after="0"/>
        <w:ind w:left="1941" w:right="1093" w:hanging="361"/>
        <w:jc w:val="both"/>
        <w:rPr>
          <w:sz w:val="22"/>
        </w:rPr>
      </w:pPr>
      <w:r>
        <w:rPr>
          <w:sz w:val="22"/>
        </w:rPr>
        <w:t>Collaborating and establishing mutual policies and procedures to ensure alignment, information sharing, appropriate sign-off, issue resolution, and communication</w:t>
      </w:r>
    </w:p>
    <w:p>
      <w:pPr>
        <w:pStyle w:val="ListParagraph"/>
        <w:numPr>
          <w:ilvl w:val="3"/>
          <w:numId w:val="107"/>
        </w:numPr>
        <w:tabs>
          <w:tab w:pos="1941" w:val="left" w:leader="none"/>
        </w:tabs>
        <w:spacing w:line="240" w:lineRule="auto" w:before="197" w:after="0"/>
        <w:ind w:left="1941" w:right="1092" w:hanging="360"/>
        <w:jc w:val="both"/>
        <w:rPr>
          <w:sz w:val="22"/>
        </w:rPr>
      </w:pPr>
      <w:r>
        <w:rPr>
          <w:sz w:val="22"/>
        </w:rPr>
        <w:t>Performance measurement and management, including the ACO and CP working together to evaluate performance on key process measures (e.g., outreach and enrollment) and outcome measures (e.g., the state’s accountability score measures)</w:t>
      </w:r>
    </w:p>
    <w:p>
      <w:pPr>
        <w:spacing w:before="198"/>
        <w:ind w:left="1221" w:right="975" w:firstLine="0"/>
        <w:jc w:val="left"/>
        <w:rPr>
          <w:sz w:val="22"/>
        </w:rPr>
      </w:pPr>
      <w:r>
        <w:rPr>
          <w:sz w:val="22"/>
        </w:rPr>
        <w:t>Exhibit</w:t>
      </w:r>
      <w:r>
        <w:rPr>
          <w:spacing w:val="-1"/>
          <w:sz w:val="22"/>
        </w:rPr>
        <w:t> </w:t>
      </w:r>
      <w:r>
        <w:rPr>
          <w:sz w:val="22"/>
        </w:rPr>
        <w:t>A1</w:t>
      </w:r>
      <w:r>
        <w:rPr>
          <w:spacing w:val="-2"/>
          <w:sz w:val="22"/>
        </w:rPr>
        <w:t> </w:t>
      </w:r>
      <w:r>
        <w:rPr>
          <w:sz w:val="22"/>
        </w:rPr>
        <w:t>below</w:t>
      </w:r>
      <w:r>
        <w:rPr>
          <w:spacing w:val="-3"/>
          <w:sz w:val="22"/>
        </w:rPr>
        <w:t> </w:t>
      </w:r>
      <w:r>
        <w:rPr>
          <w:sz w:val="22"/>
        </w:rPr>
        <w:t>details</w:t>
      </w:r>
      <w:r>
        <w:rPr>
          <w:spacing w:val="-2"/>
          <w:sz w:val="22"/>
        </w:rPr>
        <w:t> </w:t>
      </w:r>
      <w:r>
        <w:rPr>
          <w:sz w:val="22"/>
        </w:rPr>
        <w:t>the</w:t>
      </w:r>
      <w:r>
        <w:rPr>
          <w:spacing w:val="-2"/>
          <w:sz w:val="22"/>
        </w:rPr>
        <w:t> </w:t>
      </w:r>
      <w:r>
        <w:rPr>
          <w:sz w:val="22"/>
        </w:rPr>
        <w:t>entities</w:t>
      </w:r>
      <w:r>
        <w:rPr>
          <w:spacing w:val="-2"/>
          <w:sz w:val="22"/>
        </w:rPr>
        <w:t> </w:t>
      </w:r>
      <w:r>
        <w:rPr>
          <w:sz w:val="22"/>
        </w:rPr>
        <w:t>performing</w:t>
      </w:r>
      <w:r>
        <w:rPr>
          <w:spacing w:val="-5"/>
          <w:sz w:val="22"/>
        </w:rPr>
        <w:t> </w:t>
      </w:r>
      <w:r>
        <w:rPr>
          <w:sz w:val="22"/>
        </w:rPr>
        <w:t>the</w:t>
      </w:r>
      <w:r>
        <w:rPr>
          <w:spacing w:val="-2"/>
          <w:sz w:val="22"/>
        </w:rPr>
        <w:t> </w:t>
      </w:r>
      <w:r>
        <w:rPr>
          <w:sz w:val="22"/>
        </w:rPr>
        <w:t>comprehensive</w:t>
      </w:r>
      <w:r>
        <w:rPr>
          <w:spacing w:val="-2"/>
          <w:sz w:val="22"/>
        </w:rPr>
        <w:t> </w:t>
      </w:r>
      <w:r>
        <w:rPr>
          <w:sz w:val="22"/>
        </w:rPr>
        <w:t>assessment,</w:t>
      </w:r>
      <w:r>
        <w:rPr>
          <w:spacing w:val="-2"/>
          <w:sz w:val="22"/>
        </w:rPr>
        <w:t> </w:t>
      </w:r>
      <w:r>
        <w:rPr>
          <w:sz w:val="22"/>
        </w:rPr>
        <w:t>care</w:t>
      </w:r>
      <w:r>
        <w:rPr>
          <w:spacing w:val="-2"/>
          <w:sz w:val="22"/>
        </w:rPr>
        <w:t> </w:t>
      </w:r>
      <w:r>
        <w:rPr>
          <w:sz w:val="22"/>
        </w:rPr>
        <w:t>planning</w:t>
      </w:r>
      <w:r>
        <w:rPr>
          <w:spacing w:val="-5"/>
          <w:sz w:val="22"/>
        </w:rPr>
        <w:t> </w:t>
      </w:r>
      <w:r>
        <w:rPr>
          <w:sz w:val="22"/>
        </w:rPr>
        <w:t>and</w:t>
      </w:r>
      <w:r>
        <w:rPr>
          <w:spacing w:val="-2"/>
          <w:sz w:val="22"/>
        </w:rPr>
        <w:t> </w:t>
      </w:r>
      <w:r>
        <w:rPr>
          <w:sz w:val="22"/>
        </w:rPr>
        <w:t>service authorization functions related to LTSS and the target populations for such functions.</w:t>
      </w:r>
    </w:p>
    <w:p>
      <w:pPr>
        <w:pStyle w:val="BodyText"/>
        <w:spacing w:before="5"/>
        <w:rPr>
          <w:sz w:val="23"/>
        </w:rPr>
      </w:pPr>
    </w:p>
    <w:p>
      <w:pPr>
        <w:spacing w:before="0"/>
        <w:ind w:left="1221" w:right="0" w:firstLine="0"/>
        <w:jc w:val="left"/>
        <w:rPr>
          <w:b/>
          <w:sz w:val="22"/>
        </w:rPr>
      </w:pPr>
      <w:r>
        <w:rPr>
          <w:b/>
          <w:sz w:val="22"/>
        </w:rPr>
        <w:t>Exhibit</w:t>
      </w:r>
      <w:r>
        <w:rPr>
          <w:b/>
          <w:spacing w:val="-6"/>
          <w:sz w:val="22"/>
        </w:rPr>
        <w:t> </w:t>
      </w:r>
      <w:r>
        <w:rPr>
          <w:b/>
          <w:sz w:val="22"/>
        </w:rPr>
        <w:t>A1:</w:t>
      </w:r>
      <w:r>
        <w:rPr>
          <w:b/>
          <w:spacing w:val="-4"/>
          <w:sz w:val="22"/>
        </w:rPr>
        <w:t> </w:t>
      </w:r>
      <w:r>
        <w:rPr>
          <w:b/>
          <w:sz w:val="22"/>
        </w:rPr>
        <w:t>LTSS</w:t>
      </w:r>
      <w:r>
        <w:rPr>
          <w:b/>
          <w:spacing w:val="-6"/>
          <w:sz w:val="22"/>
        </w:rPr>
        <w:t> </w:t>
      </w:r>
      <w:r>
        <w:rPr>
          <w:b/>
          <w:sz w:val="22"/>
        </w:rPr>
        <w:t>Comprehensive</w:t>
      </w:r>
      <w:r>
        <w:rPr>
          <w:b/>
          <w:spacing w:val="-5"/>
          <w:sz w:val="22"/>
        </w:rPr>
        <w:t> </w:t>
      </w:r>
      <w:r>
        <w:rPr>
          <w:b/>
          <w:sz w:val="22"/>
        </w:rPr>
        <w:t>Assessment,</w:t>
      </w:r>
      <w:r>
        <w:rPr>
          <w:b/>
          <w:spacing w:val="-4"/>
          <w:sz w:val="22"/>
        </w:rPr>
        <w:t> </w:t>
      </w:r>
      <w:r>
        <w:rPr>
          <w:b/>
          <w:sz w:val="22"/>
        </w:rPr>
        <w:t>Care</w:t>
      </w:r>
      <w:r>
        <w:rPr>
          <w:b/>
          <w:spacing w:val="-5"/>
          <w:sz w:val="22"/>
        </w:rPr>
        <w:t> </w:t>
      </w:r>
      <w:r>
        <w:rPr>
          <w:b/>
          <w:sz w:val="22"/>
        </w:rPr>
        <w:t>Planning</w:t>
      </w:r>
      <w:r>
        <w:rPr>
          <w:b/>
          <w:spacing w:val="-5"/>
          <w:sz w:val="22"/>
        </w:rPr>
        <w:t> </w:t>
      </w:r>
      <w:r>
        <w:rPr>
          <w:b/>
          <w:sz w:val="22"/>
        </w:rPr>
        <w:t>and</w:t>
      </w:r>
      <w:r>
        <w:rPr>
          <w:b/>
          <w:spacing w:val="-6"/>
          <w:sz w:val="22"/>
        </w:rPr>
        <w:t> </w:t>
      </w:r>
      <w:r>
        <w:rPr>
          <w:b/>
          <w:sz w:val="22"/>
        </w:rPr>
        <w:t>Service</w:t>
      </w:r>
      <w:r>
        <w:rPr>
          <w:b/>
          <w:spacing w:val="-4"/>
          <w:sz w:val="22"/>
        </w:rPr>
        <w:t> </w:t>
      </w:r>
      <w:r>
        <w:rPr>
          <w:b/>
          <w:spacing w:val="-2"/>
          <w:sz w:val="22"/>
        </w:rPr>
        <w:t>Authorization</w:t>
      </w:r>
    </w:p>
    <w:tbl>
      <w:tblPr>
        <w:tblW w:w="0" w:type="auto"/>
        <w:jc w:val="left"/>
        <w:tblInd w:w="123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414"/>
        <w:gridCol w:w="1951"/>
        <w:gridCol w:w="4985"/>
      </w:tblGrid>
      <w:tr>
        <w:trPr>
          <w:trHeight w:val="505" w:hRule="atLeast"/>
        </w:trPr>
        <w:tc>
          <w:tcPr>
            <w:tcW w:w="2414" w:type="dxa"/>
            <w:tcBorders>
              <w:bottom w:val="single" w:sz="8" w:space="0" w:color="000000"/>
            </w:tcBorders>
            <w:shd w:val="clear" w:color="auto" w:fill="44536A"/>
          </w:tcPr>
          <w:p>
            <w:pPr>
              <w:pStyle w:val="TableParagraph"/>
              <w:spacing w:line="251" w:lineRule="exact"/>
              <w:ind w:left="827" w:right="807"/>
              <w:jc w:val="center"/>
              <w:rPr>
                <w:b/>
                <w:sz w:val="22"/>
              </w:rPr>
            </w:pPr>
            <w:r>
              <w:rPr>
                <w:b/>
                <w:color w:val="FFFFFF"/>
                <w:spacing w:val="-2"/>
                <w:sz w:val="22"/>
              </w:rPr>
              <w:t>Activity</w:t>
            </w:r>
          </w:p>
        </w:tc>
        <w:tc>
          <w:tcPr>
            <w:tcW w:w="1951" w:type="dxa"/>
            <w:tcBorders>
              <w:bottom w:val="single" w:sz="8" w:space="0" w:color="000000"/>
            </w:tcBorders>
            <w:shd w:val="clear" w:color="auto" w:fill="44536A"/>
          </w:tcPr>
          <w:p>
            <w:pPr>
              <w:pStyle w:val="TableParagraph"/>
              <w:spacing w:line="252" w:lineRule="exact"/>
              <w:ind w:left="607" w:right="90" w:hanging="492"/>
              <w:rPr>
                <w:b/>
                <w:sz w:val="22"/>
              </w:rPr>
            </w:pPr>
            <w:r>
              <w:rPr>
                <w:b/>
                <w:color w:val="FFFFFF"/>
                <w:sz w:val="22"/>
              </w:rPr>
              <w:t>Entity</w:t>
            </w:r>
            <w:r>
              <w:rPr>
                <w:b/>
                <w:color w:val="FFFFFF"/>
                <w:spacing w:val="-14"/>
                <w:sz w:val="22"/>
              </w:rPr>
              <w:t> </w:t>
            </w:r>
            <w:r>
              <w:rPr>
                <w:b/>
                <w:color w:val="FFFFFF"/>
                <w:sz w:val="22"/>
              </w:rPr>
              <w:t>Performing </w:t>
            </w:r>
            <w:r>
              <w:rPr>
                <w:b/>
                <w:color w:val="FFFFFF"/>
                <w:spacing w:val="-2"/>
                <w:sz w:val="22"/>
              </w:rPr>
              <w:t>Activity</w:t>
            </w:r>
          </w:p>
        </w:tc>
        <w:tc>
          <w:tcPr>
            <w:tcW w:w="4985" w:type="dxa"/>
            <w:tcBorders>
              <w:bottom w:val="single" w:sz="8" w:space="0" w:color="000000"/>
            </w:tcBorders>
            <w:shd w:val="clear" w:color="auto" w:fill="44536A"/>
          </w:tcPr>
          <w:p>
            <w:pPr>
              <w:pStyle w:val="TableParagraph"/>
              <w:spacing w:line="251" w:lineRule="exact"/>
              <w:ind w:left="1974" w:right="1954"/>
              <w:jc w:val="center"/>
              <w:rPr>
                <w:b/>
                <w:sz w:val="22"/>
              </w:rPr>
            </w:pPr>
            <w:r>
              <w:rPr>
                <w:b/>
                <w:color w:val="FFFFFF"/>
                <w:spacing w:val="-2"/>
                <w:sz w:val="22"/>
              </w:rPr>
              <w:t>Population</w:t>
            </w:r>
          </w:p>
        </w:tc>
      </w:tr>
      <w:tr>
        <w:trPr>
          <w:trHeight w:val="253" w:hRule="atLeast"/>
        </w:trPr>
        <w:tc>
          <w:tcPr>
            <w:tcW w:w="2414" w:type="dxa"/>
            <w:tcBorders>
              <w:top w:val="single" w:sz="8" w:space="0" w:color="000000"/>
              <w:left w:val="single" w:sz="8" w:space="0" w:color="000000"/>
              <w:bottom w:val="single" w:sz="8" w:space="0" w:color="000000"/>
            </w:tcBorders>
            <w:shd w:val="clear" w:color="auto" w:fill="D9D9D9"/>
          </w:tcPr>
          <w:p>
            <w:pPr>
              <w:pStyle w:val="TableParagraph"/>
              <w:spacing w:line="234" w:lineRule="exact"/>
              <w:ind w:left="107"/>
              <w:rPr>
                <w:b/>
                <w:sz w:val="22"/>
              </w:rPr>
            </w:pPr>
            <w:r>
              <w:rPr>
                <w:b/>
                <w:sz w:val="22"/>
              </w:rPr>
              <w:t>Care</w:t>
            </w:r>
            <w:r>
              <w:rPr>
                <w:b/>
                <w:spacing w:val="-3"/>
                <w:sz w:val="22"/>
              </w:rPr>
              <w:t> </w:t>
            </w:r>
            <w:r>
              <w:rPr>
                <w:b/>
                <w:sz w:val="22"/>
              </w:rPr>
              <w:t>Needs</w:t>
            </w:r>
            <w:r>
              <w:rPr>
                <w:b/>
                <w:spacing w:val="-4"/>
                <w:sz w:val="22"/>
              </w:rPr>
              <w:t> </w:t>
            </w:r>
            <w:r>
              <w:rPr>
                <w:b/>
                <w:spacing w:val="-2"/>
                <w:sz w:val="22"/>
              </w:rPr>
              <w:t>Screening</w:t>
            </w:r>
          </w:p>
        </w:tc>
        <w:tc>
          <w:tcPr>
            <w:tcW w:w="1951" w:type="dxa"/>
            <w:tcBorders>
              <w:top w:val="single" w:sz="8" w:space="0" w:color="000000"/>
              <w:bottom w:val="single" w:sz="8" w:space="0" w:color="000000"/>
            </w:tcBorders>
            <w:shd w:val="clear" w:color="auto" w:fill="DBDBDB"/>
          </w:tcPr>
          <w:p>
            <w:pPr>
              <w:pStyle w:val="TableParagraph"/>
              <w:spacing w:line="234" w:lineRule="exact"/>
              <w:ind w:left="113"/>
              <w:rPr>
                <w:sz w:val="22"/>
              </w:rPr>
            </w:pPr>
            <w:r>
              <w:rPr>
                <w:sz w:val="22"/>
              </w:rPr>
              <w:t>ACO</w:t>
            </w:r>
            <w:r>
              <w:rPr>
                <w:spacing w:val="-5"/>
                <w:sz w:val="22"/>
              </w:rPr>
              <w:t> </w:t>
            </w:r>
            <w:r>
              <w:rPr>
                <w:sz w:val="22"/>
              </w:rPr>
              <w:t>or </w:t>
            </w:r>
            <w:r>
              <w:rPr>
                <w:spacing w:val="-5"/>
                <w:sz w:val="22"/>
              </w:rPr>
              <w:t>MCO</w:t>
            </w:r>
          </w:p>
        </w:tc>
        <w:tc>
          <w:tcPr>
            <w:tcW w:w="4985" w:type="dxa"/>
            <w:tcBorders>
              <w:top w:val="single" w:sz="8" w:space="0" w:color="000000"/>
              <w:bottom w:val="single" w:sz="8" w:space="0" w:color="000000"/>
              <w:right w:val="single" w:sz="8" w:space="0" w:color="000000"/>
            </w:tcBorders>
          </w:tcPr>
          <w:p>
            <w:pPr>
              <w:pStyle w:val="TableParagraph"/>
              <w:spacing w:line="234" w:lineRule="exact"/>
              <w:ind w:left="113"/>
              <w:rPr>
                <w:sz w:val="22"/>
              </w:rPr>
            </w:pPr>
            <w:r>
              <w:rPr>
                <w:sz w:val="22"/>
              </w:rPr>
              <w:t>ACO</w:t>
            </w:r>
            <w:r>
              <w:rPr>
                <w:spacing w:val="-3"/>
                <w:sz w:val="22"/>
              </w:rPr>
              <w:t> </w:t>
            </w:r>
            <w:r>
              <w:rPr>
                <w:sz w:val="22"/>
              </w:rPr>
              <w:t>and</w:t>
            </w:r>
            <w:r>
              <w:rPr>
                <w:spacing w:val="-1"/>
                <w:sz w:val="22"/>
              </w:rPr>
              <w:t> </w:t>
            </w:r>
            <w:r>
              <w:rPr>
                <w:sz w:val="22"/>
              </w:rPr>
              <w:t>MCO</w:t>
            </w:r>
            <w:r>
              <w:rPr>
                <w:spacing w:val="-2"/>
                <w:sz w:val="22"/>
              </w:rPr>
              <w:t> enrollees</w:t>
            </w:r>
          </w:p>
        </w:tc>
      </w:tr>
    </w:tbl>
    <w:p>
      <w:pPr>
        <w:spacing w:after="0" w:line="234" w:lineRule="exact"/>
        <w:rPr>
          <w:sz w:val="22"/>
        </w:rPr>
        <w:sectPr>
          <w:pgSz w:w="12240" w:h="15840"/>
          <w:pgMar w:header="0" w:footer="967" w:top="1360" w:bottom="1672" w:left="220" w:right="340"/>
        </w:sectPr>
      </w:pPr>
    </w:p>
    <w:tbl>
      <w:tblPr>
        <w:tblW w:w="0" w:type="auto"/>
        <w:jc w:val="left"/>
        <w:tblInd w:w="123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419"/>
        <w:gridCol w:w="1951"/>
        <w:gridCol w:w="4985"/>
      </w:tblGrid>
      <w:tr>
        <w:trPr>
          <w:trHeight w:val="505" w:hRule="atLeast"/>
        </w:trPr>
        <w:tc>
          <w:tcPr>
            <w:tcW w:w="2419" w:type="dxa"/>
            <w:tcBorders>
              <w:bottom w:val="single" w:sz="8" w:space="0" w:color="000000"/>
            </w:tcBorders>
            <w:shd w:val="clear" w:color="auto" w:fill="D9D9D9"/>
          </w:tcPr>
          <w:p>
            <w:pPr>
              <w:pStyle w:val="TableParagraph"/>
              <w:spacing w:line="254" w:lineRule="exact"/>
              <w:ind w:left="117"/>
              <w:rPr>
                <w:b/>
                <w:sz w:val="22"/>
              </w:rPr>
            </w:pPr>
            <w:r>
              <w:rPr>
                <w:b/>
                <w:spacing w:val="-2"/>
                <w:sz w:val="22"/>
              </w:rPr>
              <w:t>Comprehensive Assessment</w:t>
            </w:r>
          </w:p>
        </w:tc>
        <w:tc>
          <w:tcPr>
            <w:tcW w:w="1951" w:type="dxa"/>
            <w:tcBorders>
              <w:bottom w:val="single" w:sz="8" w:space="0" w:color="000000"/>
            </w:tcBorders>
            <w:shd w:val="clear" w:color="auto" w:fill="DBDBDB"/>
          </w:tcPr>
          <w:p>
            <w:pPr>
              <w:pStyle w:val="TableParagraph"/>
              <w:spacing w:line="251" w:lineRule="exact"/>
              <w:ind w:left="112"/>
              <w:rPr>
                <w:sz w:val="22"/>
              </w:rPr>
            </w:pPr>
            <w:r>
              <w:rPr>
                <w:sz w:val="22"/>
              </w:rPr>
              <w:t>ACO</w:t>
            </w:r>
            <w:r>
              <w:rPr>
                <w:spacing w:val="-5"/>
                <w:sz w:val="22"/>
              </w:rPr>
              <w:t> </w:t>
            </w:r>
            <w:r>
              <w:rPr>
                <w:sz w:val="22"/>
              </w:rPr>
              <w:t>or </w:t>
            </w:r>
            <w:r>
              <w:rPr>
                <w:spacing w:val="-5"/>
                <w:sz w:val="22"/>
              </w:rPr>
              <w:t>MCO</w:t>
            </w:r>
          </w:p>
        </w:tc>
        <w:tc>
          <w:tcPr>
            <w:tcW w:w="4985" w:type="dxa"/>
            <w:tcBorders>
              <w:bottom w:val="single" w:sz="8" w:space="0" w:color="000000"/>
            </w:tcBorders>
          </w:tcPr>
          <w:p>
            <w:pPr>
              <w:pStyle w:val="TableParagraph"/>
              <w:spacing w:line="254" w:lineRule="exact"/>
              <w:ind w:left="113"/>
              <w:rPr>
                <w:sz w:val="22"/>
              </w:rPr>
            </w:pPr>
            <w:r>
              <w:rPr>
                <w:sz w:val="22"/>
              </w:rPr>
              <w:t>ACO</w:t>
            </w:r>
            <w:r>
              <w:rPr>
                <w:spacing w:val="-5"/>
                <w:sz w:val="22"/>
              </w:rPr>
              <w:t> </w:t>
            </w:r>
            <w:r>
              <w:rPr>
                <w:sz w:val="22"/>
              </w:rPr>
              <w:t>and</w:t>
            </w:r>
            <w:r>
              <w:rPr>
                <w:spacing w:val="-4"/>
                <w:sz w:val="22"/>
              </w:rPr>
              <w:t> </w:t>
            </w:r>
            <w:r>
              <w:rPr>
                <w:sz w:val="22"/>
              </w:rPr>
              <w:t>MCO</w:t>
            </w:r>
            <w:r>
              <w:rPr>
                <w:spacing w:val="-5"/>
                <w:sz w:val="22"/>
              </w:rPr>
              <w:t> </w:t>
            </w:r>
            <w:r>
              <w:rPr>
                <w:sz w:val="22"/>
              </w:rPr>
              <w:t>enrollees</w:t>
            </w:r>
            <w:r>
              <w:rPr>
                <w:spacing w:val="-4"/>
                <w:sz w:val="22"/>
              </w:rPr>
              <w:t> </w:t>
            </w:r>
            <w:r>
              <w:rPr>
                <w:sz w:val="22"/>
              </w:rPr>
              <w:t>assigned</w:t>
            </w:r>
            <w:r>
              <w:rPr>
                <w:spacing w:val="-7"/>
                <w:sz w:val="22"/>
              </w:rPr>
              <w:t> </w:t>
            </w:r>
            <w:r>
              <w:rPr>
                <w:sz w:val="22"/>
              </w:rPr>
              <w:t>to</w:t>
            </w:r>
            <w:r>
              <w:rPr>
                <w:spacing w:val="-4"/>
                <w:sz w:val="22"/>
              </w:rPr>
              <w:t> </w:t>
            </w:r>
            <w:r>
              <w:rPr>
                <w:sz w:val="22"/>
              </w:rPr>
              <w:t>a</w:t>
            </w:r>
            <w:r>
              <w:rPr>
                <w:spacing w:val="-4"/>
                <w:sz w:val="22"/>
              </w:rPr>
              <w:t> </w:t>
            </w:r>
            <w:r>
              <w:rPr>
                <w:sz w:val="22"/>
              </w:rPr>
              <w:t>LTSS</w:t>
            </w:r>
            <w:r>
              <w:rPr>
                <w:spacing w:val="-5"/>
                <w:sz w:val="22"/>
              </w:rPr>
              <w:t> </w:t>
            </w:r>
            <w:r>
              <w:rPr>
                <w:sz w:val="22"/>
              </w:rPr>
              <w:t>CP</w:t>
            </w:r>
            <w:r>
              <w:rPr>
                <w:spacing w:val="-5"/>
                <w:sz w:val="22"/>
              </w:rPr>
              <w:t> </w:t>
            </w:r>
            <w:r>
              <w:rPr>
                <w:sz w:val="22"/>
              </w:rPr>
              <w:t>or with LTSS needs as specified by EOHHS</w:t>
            </w:r>
          </w:p>
        </w:tc>
      </w:tr>
      <w:tr>
        <w:trPr>
          <w:trHeight w:val="757" w:hRule="atLeast"/>
        </w:trPr>
        <w:tc>
          <w:tcPr>
            <w:tcW w:w="2419" w:type="dxa"/>
            <w:vMerge w:val="restart"/>
            <w:tcBorders>
              <w:top w:val="single" w:sz="8" w:space="0" w:color="000000"/>
              <w:left w:val="single" w:sz="8" w:space="0" w:color="000000"/>
              <w:bottom w:val="single" w:sz="8" w:space="0" w:color="000000"/>
            </w:tcBorders>
            <w:shd w:val="clear" w:color="auto" w:fill="D9D9D9"/>
          </w:tcPr>
          <w:p>
            <w:pPr>
              <w:pStyle w:val="TableParagraph"/>
              <w:spacing w:line="242" w:lineRule="auto"/>
              <w:ind w:left="112"/>
              <w:rPr>
                <w:b/>
                <w:sz w:val="22"/>
              </w:rPr>
            </w:pPr>
            <w:r>
              <w:rPr>
                <w:b/>
                <w:sz w:val="22"/>
              </w:rPr>
              <w:t>LTSS</w:t>
            </w:r>
            <w:r>
              <w:rPr>
                <w:b/>
                <w:spacing w:val="-13"/>
                <w:sz w:val="22"/>
              </w:rPr>
              <w:t> </w:t>
            </w:r>
            <w:r>
              <w:rPr>
                <w:b/>
                <w:sz w:val="22"/>
              </w:rPr>
              <w:t>segment</w:t>
            </w:r>
            <w:r>
              <w:rPr>
                <w:b/>
                <w:spacing w:val="-11"/>
                <w:sz w:val="22"/>
              </w:rPr>
              <w:t> </w:t>
            </w:r>
            <w:r>
              <w:rPr>
                <w:b/>
                <w:sz w:val="22"/>
              </w:rPr>
              <w:t>of</w:t>
            </w:r>
            <w:r>
              <w:rPr>
                <w:b/>
                <w:spacing w:val="-11"/>
                <w:sz w:val="22"/>
              </w:rPr>
              <w:t> </w:t>
            </w:r>
            <w:r>
              <w:rPr>
                <w:b/>
                <w:sz w:val="22"/>
              </w:rPr>
              <w:t>Care </w:t>
            </w:r>
            <w:r>
              <w:rPr>
                <w:b/>
                <w:spacing w:val="-2"/>
                <w:sz w:val="22"/>
              </w:rPr>
              <w:t>Planning</w:t>
            </w:r>
          </w:p>
        </w:tc>
        <w:tc>
          <w:tcPr>
            <w:tcW w:w="1951" w:type="dxa"/>
            <w:tcBorders>
              <w:top w:val="single" w:sz="8" w:space="0" w:color="000000"/>
              <w:bottom w:val="single" w:sz="8" w:space="0" w:color="000000"/>
            </w:tcBorders>
            <w:shd w:val="clear" w:color="auto" w:fill="DBDBDB"/>
          </w:tcPr>
          <w:p>
            <w:pPr>
              <w:pStyle w:val="TableParagraph"/>
              <w:spacing w:line="249" w:lineRule="exact"/>
              <w:ind w:left="112"/>
              <w:rPr>
                <w:sz w:val="22"/>
              </w:rPr>
            </w:pPr>
            <w:r>
              <w:rPr>
                <w:sz w:val="22"/>
              </w:rPr>
              <w:t>ACO</w:t>
            </w:r>
            <w:r>
              <w:rPr>
                <w:spacing w:val="-5"/>
                <w:sz w:val="22"/>
              </w:rPr>
              <w:t> </w:t>
            </w:r>
            <w:r>
              <w:rPr>
                <w:sz w:val="22"/>
              </w:rPr>
              <w:t>or </w:t>
            </w:r>
            <w:r>
              <w:rPr>
                <w:spacing w:val="-5"/>
                <w:sz w:val="22"/>
              </w:rPr>
              <w:t>MCO</w:t>
            </w:r>
          </w:p>
        </w:tc>
        <w:tc>
          <w:tcPr>
            <w:tcW w:w="4985" w:type="dxa"/>
            <w:tcBorders>
              <w:top w:val="single" w:sz="8" w:space="0" w:color="000000"/>
              <w:bottom w:val="single" w:sz="8" w:space="0" w:color="000000"/>
              <w:right w:val="single" w:sz="8" w:space="0" w:color="000000"/>
            </w:tcBorders>
          </w:tcPr>
          <w:p>
            <w:pPr>
              <w:pStyle w:val="TableParagraph"/>
              <w:spacing w:line="249" w:lineRule="exact"/>
              <w:ind w:left="113"/>
              <w:rPr>
                <w:sz w:val="22"/>
              </w:rPr>
            </w:pPr>
            <w:r>
              <w:rPr>
                <w:sz w:val="22"/>
              </w:rPr>
              <w:t>ACO</w:t>
            </w:r>
            <w:r>
              <w:rPr>
                <w:spacing w:val="-4"/>
                <w:sz w:val="22"/>
              </w:rPr>
              <w:t> </w:t>
            </w:r>
            <w:r>
              <w:rPr>
                <w:sz w:val="22"/>
              </w:rPr>
              <w:t>and</w:t>
            </w:r>
            <w:r>
              <w:rPr>
                <w:spacing w:val="-2"/>
                <w:sz w:val="22"/>
              </w:rPr>
              <w:t> </w:t>
            </w:r>
            <w:r>
              <w:rPr>
                <w:sz w:val="22"/>
              </w:rPr>
              <w:t>MCO</w:t>
            </w:r>
            <w:r>
              <w:rPr>
                <w:spacing w:val="-3"/>
                <w:sz w:val="22"/>
              </w:rPr>
              <w:t> </w:t>
            </w:r>
            <w:r>
              <w:rPr>
                <w:sz w:val="22"/>
              </w:rPr>
              <w:t>enrollees</w:t>
            </w:r>
            <w:r>
              <w:rPr>
                <w:spacing w:val="-4"/>
                <w:sz w:val="22"/>
              </w:rPr>
              <w:t> </w:t>
            </w:r>
            <w:r>
              <w:rPr>
                <w:sz w:val="22"/>
              </w:rPr>
              <w:t>with</w:t>
            </w:r>
            <w:r>
              <w:rPr>
                <w:spacing w:val="-2"/>
                <w:sz w:val="22"/>
              </w:rPr>
              <w:t> </w:t>
            </w:r>
            <w:r>
              <w:rPr>
                <w:sz w:val="22"/>
              </w:rPr>
              <w:t>LTSS</w:t>
            </w:r>
            <w:r>
              <w:rPr>
                <w:spacing w:val="-3"/>
                <w:sz w:val="22"/>
              </w:rPr>
              <w:t> </w:t>
            </w:r>
            <w:r>
              <w:rPr>
                <w:sz w:val="22"/>
              </w:rPr>
              <w:t>needs</w:t>
            </w:r>
            <w:r>
              <w:rPr>
                <w:spacing w:val="-4"/>
                <w:sz w:val="22"/>
              </w:rPr>
              <w:t> </w:t>
            </w:r>
            <w:r>
              <w:rPr>
                <w:spacing w:val="-5"/>
                <w:sz w:val="22"/>
              </w:rPr>
              <w:t>as</w:t>
            </w:r>
          </w:p>
          <w:p>
            <w:pPr>
              <w:pStyle w:val="TableParagraph"/>
              <w:spacing w:line="252" w:lineRule="exact"/>
              <w:ind w:left="113" w:right="14"/>
              <w:rPr>
                <w:sz w:val="22"/>
              </w:rPr>
            </w:pPr>
            <w:r>
              <w:rPr>
                <w:sz w:val="22"/>
              </w:rPr>
              <w:t>specified</w:t>
            </w:r>
            <w:r>
              <w:rPr>
                <w:spacing w:val="-4"/>
                <w:sz w:val="22"/>
              </w:rPr>
              <w:t> </w:t>
            </w:r>
            <w:r>
              <w:rPr>
                <w:sz w:val="22"/>
              </w:rPr>
              <w:t>by</w:t>
            </w:r>
            <w:r>
              <w:rPr>
                <w:spacing w:val="-7"/>
                <w:sz w:val="22"/>
              </w:rPr>
              <w:t> </w:t>
            </w:r>
            <w:r>
              <w:rPr>
                <w:sz w:val="22"/>
              </w:rPr>
              <w:t>EOHHS</w:t>
            </w:r>
            <w:r>
              <w:rPr>
                <w:spacing w:val="-5"/>
                <w:sz w:val="22"/>
              </w:rPr>
              <w:t> </w:t>
            </w:r>
            <w:r>
              <w:rPr>
                <w:sz w:val="22"/>
              </w:rPr>
              <w:t>who</w:t>
            </w:r>
            <w:r>
              <w:rPr>
                <w:spacing w:val="-4"/>
                <w:sz w:val="22"/>
              </w:rPr>
              <w:t> </w:t>
            </w:r>
            <w:r>
              <w:rPr>
                <w:sz w:val="22"/>
              </w:rPr>
              <w:t>are</w:t>
            </w:r>
            <w:r>
              <w:rPr>
                <w:spacing w:val="-4"/>
                <w:sz w:val="22"/>
              </w:rPr>
              <w:t> </w:t>
            </w:r>
            <w:r>
              <w:rPr>
                <w:sz w:val="22"/>
              </w:rPr>
              <w:t>not</w:t>
            </w:r>
            <w:r>
              <w:rPr>
                <w:spacing w:val="-3"/>
                <w:sz w:val="22"/>
              </w:rPr>
              <w:t> </w:t>
            </w:r>
            <w:r>
              <w:rPr>
                <w:sz w:val="22"/>
              </w:rPr>
              <w:t>assigned</w:t>
            </w:r>
            <w:r>
              <w:rPr>
                <w:spacing w:val="-7"/>
                <w:sz w:val="22"/>
              </w:rPr>
              <w:t> </w:t>
            </w:r>
            <w:r>
              <w:rPr>
                <w:sz w:val="22"/>
              </w:rPr>
              <w:t>to</w:t>
            </w:r>
            <w:r>
              <w:rPr>
                <w:spacing w:val="-4"/>
                <w:sz w:val="22"/>
              </w:rPr>
              <w:t> </w:t>
            </w:r>
            <w:r>
              <w:rPr>
                <w:sz w:val="22"/>
              </w:rPr>
              <w:t>LTSS </w:t>
            </w:r>
            <w:r>
              <w:rPr>
                <w:spacing w:val="-4"/>
                <w:sz w:val="22"/>
              </w:rPr>
              <w:t>CPs</w:t>
            </w:r>
          </w:p>
        </w:tc>
      </w:tr>
      <w:tr>
        <w:trPr>
          <w:trHeight w:val="251" w:hRule="atLeast"/>
        </w:trPr>
        <w:tc>
          <w:tcPr>
            <w:tcW w:w="2419" w:type="dxa"/>
            <w:vMerge/>
            <w:tcBorders>
              <w:top w:val="nil"/>
              <w:left w:val="single" w:sz="8" w:space="0" w:color="000000"/>
              <w:bottom w:val="single" w:sz="8" w:space="0" w:color="000000"/>
            </w:tcBorders>
            <w:shd w:val="clear" w:color="auto" w:fill="D9D9D9"/>
          </w:tcPr>
          <w:p>
            <w:pPr>
              <w:rPr>
                <w:sz w:val="2"/>
                <w:szCs w:val="2"/>
              </w:rPr>
            </w:pPr>
          </w:p>
        </w:tc>
        <w:tc>
          <w:tcPr>
            <w:tcW w:w="1951" w:type="dxa"/>
            <w:tcBorders>
              <w:top w:val="single" w:sz="8" w:space="0" w:color="000000"/>
              <w:bottom w:val="single" w:sz="8" w:space="0" w:color="000000"/>
            </w:tcBorders>
            <w:shd w:val="clear" w:color="auto" w:fill="DBDBDB"/>
          </w:tcPr>
          <w:p>
            <w:pPr>
              <w:pStyle w:val="TableParagraph"/>
              <w:spacing w:line="231" w:lineRule="exact"/>
              <w:ind w:left="112"/>
              <w:rPr>
                <w:sz w:val="22"/>
              </w:rPr>
            </w:pPr>
            <w:r>
              <w:rPr>
                <w:sz w:val="22"/>
              </w:rPr>
              <w:t>LTSS</w:t>
            </w:r>
            <w:r>
              <w:rPr>
                <w:spacing w:val="-2"/>
                <w:sz w:val="22"/>
              </w:rPr>
              <w:t> </w:t>
            </w:r>
            <w:r>
              <w:rPr>
                <w:spacing w:val="-5"/>
                <w:sz w:val="22"/>
              </w:rPr>
              <w:t>CP</w:t>
            </w:r>
          </w:p>
        </w:tc>
        <w:tc>
          <w:tcPr>
            <w:tcW w:w="4985" w:type="dxa"/>
            <w:tcBorders>
              <w:top w:val="single" w:sz="8" w:space="0" w:color="000000"/>
              <w:bottom w:val="single" w:sz="8" w:space="0" w:color="000000"/>
            </w:tcBorders>
          </w:tcPr>
          <w:p>
            <w:pPr>
              <w:pStyle w:val="TableParagraph"/>
              <w:spacing w:line="231" w:lineRule="exact"/>
              <w:ind w:left="113"/>
              <w:rPr>
                <w:sz w:val="22"/>
              </w:rPr>
            </w:pPr>
            <w:r>
              <w:rPr>
                <w:sz w:val="22"/>
              </w:rPr>
              <w:t>ACO</w:t>
            </w:r>
            <w:r>
              <w:rPr>
                <w:spacing w:val="-3"/>
                <w:sz w:val="22"/>
              </w:rPr>
              <w:t> </w:t>
            </w:r>
            <w:r>
              <w:rPr>
                <w:sz w:val="22"/>
              </w:rPr>
              <w:t>and</w:t>
            </w:r>
            <w:r>
              <w:rPr>
                <w:spacing w:val="-3"/>
                <w:sz w:val="22"/>
              </w:rPr>
              <w:t> </w:t>
            </w:r>
            <w:r>
              <w:rPr>
                <w:sz w:val="22"/>
              </w:rPr>
              <w:t>MCO</w:t>
            </w:r>
            <w:r>
              <w:rPr>
                <w:spacing w:val="-2"/>
                <w:sz w:val="22"/>
              </w:rPr>
              <w:t> </w:t>
            </w:r>
            <w:r>
              <w:rPr>
                <w:sz w:val="22"/>
              </w:rPr>
              <w:t>enrollees</w:t>
            </w:r>
            <w:r>
              <w:rPr>
                <w:spacing w:val="-3"/>
                <w:sz w:val="22"/>
              </w:rPr>
              <w:t> </w:t>
            </w:r>
            <w:r>
              <w:rPr>
                <w:sz w:val="22"/>
              </w:rPr>
              <w:t>assigned</w:t>
            </w:r>
            <w:r>
              <w:rPr>
                <w:spacing w:val="-4"/>
                <w:sz w:val="22"/>
              </w:rPr>
              <w:t> </w:t>
            </w:r>
            <w:r>
              <w:rPr>
                <w:sz w:val="22"/>
              </w:rPr>
              <w:t>to</w:t>
            </w:r>
            <w:r>
              <w:rPr>
                <w:spacing w:val="-2"/>
                <w:sz w:val="22"/>
              </w:rPr>
              <w:t> </w:t>
            </w:r>
            <w:r>
              <w:rPr>
                <w:sz w:val="22"/>
              </w:rPr>
              <w:t>a</w:t>
            </w:r>
            <w:r>
              <w:rPr>
                <w:spacing w:val="-2"/>
                <w:sz w:val="22"/>
              </w:rPr>
              <w:t> </w:t>
            </w:r>
            <w:r>
              <w:rPr>
                <w:sz w:val="22"/>
              </w:rPr>
              <w:t>LTSS</w:t>
            </w:r>
            <w:r>
              <w:rPr>
                <w:spacing w:val="-3"/>
                <w:sz w:val="22"/>
              </w:rPr>
              <w:t> </w:t>
            </w:r>
            <w:r>
              <w:rPr>
                <w:spacing w:val="-5"/>
                <w:sz w:val="22"/>
              </w:rPr>
              <w:t>CP</w:t>
            </w:r>
          </w:p>
        </w:tc>
      </w:tr>
      <w:tr>
        <w:trPr>
          <w:trHeight w:val="253" w:hRule="atLeast"/>
        </w:trPr>
        <w:tc>
          <w:tcPr>
            <w:tcW w:w="2419" w:type="dxa"/>
            <w:vMerge w:val="restart"/>
            <w:tcBorders>
              <w:top w:val="single" w:sz="8" w:space="0" w:color="000000"/>
              <w:left w:val="single" w:sz="8" w:space="0" w:color="000000"/>
            </w:tcBorders>
            <w:shd w:val="clear" w:color="auto" w:fill="D9D9D9"/>
          </w:tcPr>
          <w:p>
            <w:pPr>
              <w:pStyle w:val="TableParagraph"/>
              <w:ind w:left="112"/>
              <w:rPr>
                <w:b/>
                <w:sz w:val="22"/>
              </w:rPr>
            </w:pPr>
            <w:r>
              <w:rPr>
                <w:b/>
                <w:sz w:val="22"/>
              </w:rPr>
              <w:t>Service</w:t>
            </w:r>
            <w:r>
              <w:rPr>
                <w:b/>
                <w:spacing w:val="-3"/>
                <w:sz w:val="22"/>
              </w:rPr>
              <w:t> </w:t>
            </w:r>
            <w:r>
              <w:rPr>
                <w:b/>
                <w:spacing w:val="-2"/>
                <w:sz w:val="22"/>
              </w:rPr>
              <w:t>Authorization</w:t>
            </w:r>
          </w:p>
        </w:tc>
        <w:tc>
          <w:tcPr>
            <w:tcW w:w="6936" w:type="dxa"/>
            <w:gridSpan w:val="2"/>
            <w:tcBorders>
              <w:top w:val="single" w:sz="8" w:space="0" w:color="000000"/>
              <w:bottom w:val="single" w:sz="8" w:space="0" w:color="000000"/>
              <w:right w:val="single" w:sz="8" w:space="0" w:color="000000"/>
            </w:tcBorders>
            <w:shd w:val="clear" w:color="auto" w:fill="D4DCE3"/>
          </w:tcPr>
          <w:p>
            <w:pPr>
              <w:pStyle w:val="TableParagraph"/>
              <w:spacing w:line="233" w:lineRule="exact"/>
              <w:ind w:left="112"/>
              <w:rPr>
                <w:i/>
                <w:sz w:val="22"/>
              </w:rPr>
            </w:pPr>
            <w:r>
              <w:rPr>
                <w:i/>
                <w:sz w:val="22"/>
              </w:rPr>
              <w:t>Before</w:t>
            </w:r>
            <w:r>
              <w:rPr>
                <w:i/>
                <w:spacing w:val="-4"/>
                <w:sz w:val="22"/>
              </w:rPr>
              <w:t> </w:t>
            </w:r>
            <w:r>
              <w:rPr>
                <w:i/>
                <w:sz w:val="22"/>
              </w:rPr>
              <w:t>LTSS</w:t>
            </w:r>
            <w:r>
              <w:rPr>
                <w:i/>
                <w:spacing w:val="-3"/>
                <w:sz w:val="22"/>
              </w:rPr>
              <w:t> </w:t>
            </w:r>
            <w:r>
              <w:rPr>
                <w:i/>
                <w:sz w:val="22"/>
              </w:rPr>
              <w:t>becomes</w:t>
            </w:r>
            <w:r>
              <w:rPr>
                <w:i/>
                <w:spacing w:val="-3"/>
                <w:sz w:val="22"/>
              </w:rPr>
              <w:t> </w:t>
            </w:r>
            <w:r>
              <w:rPr>
                <w:i/>
                <w:sz w:val="22"/>
              </w:rPr>
              <w:t>covered</w:t>
            </w:r>
            <w:r>
              <w:rPr>
                <w:i/>
                <w:spacing w:val="-4"/>
                <w:sz w:val="22"/>
              </w:rPr>
              <w:t> </w:t>
            </w:r>
            <w:r>
              <w:rPr>
                <w:i/>
                <w:sz w:val="22"/>
              </w:rPr>
              <w:t>services</w:t>
            </w:r>
            <w:r>
              <w:rPr>
                <w:i/>
                <w:spacing w:val="-3"/>
                <w:sz w:val="22"/>
              </w:rPr>
              <w:t> </w:t>
            </w:r>
            <w:r>
              <w:rPr>
                <w:i/>
                <w:sz w:val="22"/>
              </w:rPr>
              <w:t>and</w:t>
            </w:r>
            <w:r>
              <w:rPr>
                <w:i/>
                <w:spacing w:val="-6"/>
                <w:sz w:val="22"/>
              </w:rPr>
              <w:t> </w:t>
            </w:r>
            <w:r>
              <w:rPr>
                <w:i/>
                <w:sz w:val="22"/>
              </w:rPr>
              <w:t>included</w:t>
            </w:r>
            <w:r>
              <w:rPr>
                <w:i/>
                <w:spacing w:val="-3"/>
                <w:sz w:val="22"/>
              </w:rPr>
              <w:t> </w:t>
            </w:r>
            <w:r>
              <w:rPr>
                <w:i/>
                <w:sz w:val="22"/>
              </w:rPr>
              <w:t>in</w:t>
            </w:r>
            <w:r>
              <w:rPr>
                <w:i/>
                <w:spacing w:val="-3"/>
                <w:sz w:val="22"/>
              </w:rPr>
              <w:t> </w:t>
            </w:r>
            <w:r>
              <w:rPr>
                <w:i/>
                <w:spacing w:val="-2"/>
                <w:sz w:val="22"/>
              </w:rPr>
              <w:t>TCOC:</w:t>
            </w:r>
          </w:p>
        </w:tc>
      </w:tr>
      <w:tr>
        <w:trPr>
          <w:trHeight w:val="505" w:hRule="atLeast"/>
        </w:trPr>
        <w:tc>
          <w:tcPr>
            <w:tcW w:w="2419" w:type="dxa"/>
            <w:vMerge/>
            <w:tcBorders>
              <w:top w:val="nil"/>
              <w:left w:val="single" w:sz="8" w:space="0" w:color="000000"/>
            </w:tcBorders>
            <w:shd w:val="clear" w:color="auto" w:fill="D9D9D9"/>
          </w:tcPr>
          <w:p>
            <w:pPr>
              <w:rPr>
                <w:sz w:val="2"/>
                <w:szCs w:val="2"/>
              </w:rPr>
            </w:pPr>
          </w:p>
        </w:tc>
        <w:tc>
          <w:tcPr>
            <w:tcW w:w="1951" w:type="dxa"/>
            <w:tcBorders>
              <w:top w:val="single" w:sz="8" w:space="0" w:color="000000"/>
              <w:bottom w:val="single" w:sz="8" w:space="0" w:color="000000"/>
            </w:tcBorders>
            <w:shd w:val="clear" w:color="auto" w:fill="DBDBDB"/>
          </w:tcPr>
          <w:p>
            <w:pPr>
              <w:pStyle w:val="TableParagraph"/>
              <w:spacing w:line="251" w:lineRule="exact"/>
              <w:ind w:left="112"/>
              <w:rPr>
                <w:sz w:val="22"/>
              </w:rPr>
            </w:pPr>
            <w:r>
              <w:rPr>
                <w:spacing w:val="-2"/>
                <w:sz w:val="22"/>
              </w:rPr>
              <w:t>MassHealth</w:t>
            </w:r>
          </w:p>
        </w:tc>
        <w:tc>
          <w:tcPr>
            <w:tcW w:w="4985" w:type="dxa"/>
            <w:tcBorders>
              <w:top w:val="single" w:sz="8" w:space="0" w:color="000000"/>
              <w:bottom w:val="single" w:sz="8" w:space="0" w:color="000000"/>
            </w:tcBorders>
          </w:tcPr>
          <w:p>
            <w:pPr>
              <w:pStyle w:val="TableParagraph"/>
              <w:spacing w:line="254" w:lineRule="exact"/>
              <w:ind w:left="113"/>
              <w:rPr>
                <w:sz w:val="22"/>
              </w:rPr>
            </w:pPr>
            <w:r>
              <w:rPr>
                <w:sz w:val="22"/>
              </w:rPr>
              <w:t>ACOs</w:t>
            </w:r>
            <w:r>
              <w:rPr>
                <w:spacing w:val="-6"/>
                <w:sz w:val="22"/>
              </w:rPr>
              <w:t> </w:t>
            </w:r>
            <w:r>
              <w:rPr>
                <w:sz w:val="22"/>
              </w:rPr>
              <w:t>and</w:t>
            </w:r>
            <w:r>
              <w:rPr>
                <w:spacing w:val="-6"/>
                <w:sz w:val="22"/>
              </w:rPr>
              <w:t> </w:t>
            </w:r>
            <w:r>
              <w:rPr>
                <w:sz w:val="22"/>
              </w:rPr>
              <w:t>MCOs</w:t>
            </w:r>
            <w:r>
              <w:rPr>
                <w:spacing w:val="-6"/>
                <w:sz w:val="22"/>
              </w:rPr>
              <w:t> </w:t>
            </w:r>
            <w:r>
              <w:rPr>
                <w:sz w:val="22"/>
              </w:rPr>
              <w:t>enrollees,</w:t>
            </w:r>
            <w:r>
              <w:rPr>
                <w:spacing w:val="-6"/>
                <w:sz w:val="22"/>
              </w:rPr>
              <w:t> </w:t>
            </w:r>
            <w:r>
              <w:rPr>
                <w:sz w:val="22"/>
              </w:rPr>
              <w:t>including</w:t>
            </w:r>
            <w:r>
              <w:rPr>
                <w:spacing w:val="-8"/>
                <w:sz w:val="22"/>
              </w:rPr>
              <w:t> </w:t>
            </w:r>
            <w:r>
              <w:rPr>
                <w:sz w:val="22"/>
              </w:rPr>
              <w:t>LTSS</w:t>
            </w:r>
            <w:r>
              <w:rPr>
                <w:spacing w:val="-7"/>
                <w:sz w:val="22"/>
              </w:rPr>
              <w:t> </w:t>
            </w:r>
            <w:r>
              <w:rPr>
                <w:sz w:val="22"/>
              </w:rPr>
              <w:t>CP engaged enrollees</w:t>
            </w:r>
          </w:p>
        </w:tc>
      </w:tr>
      <w:tr>
        <w:trPr>
          <w:trHeight w:val="251" w:hRule="atLeast"/>
        </w:trPr>
        <w:tc>
          <w:tcPr>
            <w:tcW w:w="2419" w:type="dxa"/>
            <w:vMerge/>
            <w:tcBorders>
              <w:top w:val="nil"/>
              <w:left w:val="single" w:sz="8" w:space="0" w:color="000000"/>
            </w:tcBorders>
            <w:shd w:val="clear" w:color="auto" w:fill="D9D9D9"/>
          </w:tcPr>
          <w:p>
            <w:pPr>
              <w:rPr>
                <w:sz w:val="2"/>
                <w:szCs w:val="2"/>
              </w:rPr>
            </w:pPr>
          </w:p>
        </w:tc>
        <w:tc>
          <w:tcPr>
            <w:tcW w:w="6936" w:type="dxa"/>
            <w:gridSpan w:val="2"/>
            <w:tcBorders>
              <w:top w:val="single" w:sz="8" w:space="0" w:color="000000"/>
              <w:bottom w:val="single" w:sz="8" w:space="0" w:color="000000"/>
              <w:right w:val="single" w:sz="8" w:space="0" w:color="000000"/>
            </w:tcBorders>
            <w:shd w:val="clear" w:color="auto" w:fill="D4DCE3"/>
          </w:tcPr>
          <w:p>
            <w:pPr>
              <w:pStyle w:val="TableParagraph"/>
              <w:spacing w:line="231" w:lineRule="exact"/>
              <w:ind w:left="112"/>
              <w:rPr>
                <w:i/>
                <w:sz w:val="22"/>
              </w:rPr>
            </w:pPr>
            <w:r>
              <w:rPr>
                <w:i/>
                <w:sz w:val="22"/>
              </w:rPr>
              <w:t>After</w:t>
            </w:r>
            <w:r>
              <w:rPr>
                <w:i/>
                <w:spacing w:val="-5"/>
                <w:sz w:val="22"/>
              </w:rPr>
              <w:t> </w:t>
            </w:r>
            <w:r>
              <w:rPr>
                <w:i/>
                <w:sz w:val="22"/>
              </w:rPr>
              <w:t>LTSS</w:t>
            </w:r>
            <w:r>
              <w:rPr>
                <w:i/>
                <w:spacing w:val="-3"/>
                <w:sz w:val="22"/>
              </w:rPr>
              <w:t> </w:t>
            </w:r>
            <w:r>
              <w:rPr>
                <w:i/>
                <w:sz w:val="22"/>
              </w:rPr>
              <w:t>become</w:t>
            </w:r>
            <w:r>
              <w:rPr>
                <w:i/>
                <w:spacing w:val="-4"/>
                <w:sz w:val="22"/>
              </w:rPr>
              <w:t> </w:t>
            </w:r>
            <w:r>
              <w:rPr>
                <w:i/>
                <w:sz w:val="22"/>
              </w:rPr>
              <w:t>covered</w:t>
            </w:r>
            <w:r>
              <w:rPr>
                <w:i/>
                <w:spacing w:val="-6"/>
                <w:sz w:val="22"/>
              </w:rPr>
              <w:t> </w:t>
            </w:r>
            <w:r>
              <w:rPr>
                <w:i/>
                <w:sz w:val="22"/>
              </w:rPr>
              <w:t>services</w:t>
            </w:r>
            <w:r>
              <w:rPr>
                <w:i/>
                <w:spacing w:val="-2"/>
                <w:sz w:val="22"/>
              </w:rPr>
              <w:t> </w:t>
            </w:r>
            <w:r>
              <w:rPr>
                <w:i/>
                <w:sz w:val="22"/>
              </w:rPr>
              <w:t>and</w:t>
            </w:r>
            <w:r>
              <w:rPr>
                <w:i/>
                <w:spacing w:val="-6"/>
                <w:sz w:val="22"/>
              </w:rPr>
              <w:t> </w:t>
            </w:r>
            <w:r>
              <w:rPr>
                <w:i/>
                <w:sz w:val="22"/>
              </w:rPr>
              <w:t>are</w:t>
            </w:r>
            <w:r>
              <w:rPr>
                <w:i/>
                <w:spacing w:val="-4"/>
                <w:sz w:val="22"/>
              </w:rPr>
              <w:t> </w:t>
            </w:r>
            <w:r>
              <w:rPr>
                <w:i/>
                <w:sz w:val="22"/>
              </w:rPr>
              <w:t>included</w:t>
            </w:r>
            <w:r>
              <w:rPr>
                <w:i/>
                <w:spacing w:val="-3"/>
                <w:sz w:val="22"/>
              </w:rPr>
              <w:t> </w:t>
            </w:r>
            <w:r>
              <w:rPr>
                <w:i/>
                <w:sz w:val="22"/>
              </w:rPr>
              <w:t>in</w:t>
            </w:r>
            <w:r>
              <w:rPr>
                <w:i/>
                <w:spacing w:val="-2"/>
                <w:sz w:val="22"/>
              </w:rPr>
              <w:t> </w:t>
            </w:r>
            <w:r>
              <w:rPr>
                <w:i/>
                <w:sz w:val="22"/>
              </w:rPr>
              <w:t>TCOC</w:t>
            </w:r>
            <w:r>
              <w:rPr>
                <w:i/>
                <w:spacing w:val="-4"/>
                <w:sz w:val="22"/>
              </w:rPr>
              <w:t> </w:t>
            </w:r>
            <w:r>
              <w:rPr>
                <w:i/>
                <w:sz w:val="22"/>
              </w:rPr>
              <w:t>(~year</w:t>
            </w:r>
            <w:r>
              <w:rPr>
                <w:i/>
                <w:spacing w:val="-2"/>
                <w:sz w:val="22"/>
              </w:rPr>
              <w:t> </w:t>
            </w:r>
            <w:r>
              <w:rPr>
                <w:i/>
                <w:spacing w:val="-5"/>
                <w:sz w:val="22"/>
              </w:rPr>
              <w:t>3):</w:t>
            </w:r>
          </w:p>
        </w:tc>
      </w:tr>
      <w:tr>
        <w:trPr>
          <w:trHeight w:val="505" w:hRule="atLeast"/>
        </w:trPr>
        <w:tc>
          <w:tcPr>
            <w:tcW w:w="2419" w:type="dxa"/>
            <w:vMerge/>
            <w:tcBorders>
              <w:top w:val="nil"/>
              <w:left w:val="single" w:sz="8" w:space="0" w:color="000000"/>
            </w:tcBorders>
            <w:shd w:val="clear" w:color="auto" w:fill="D9D9D9"/>
          </w:tcPr>
          <w:p>
            <w:pPr>
              <w:rPr>
                <w:sz w:val="2"/>
                <w:szCs w:val="2"/>
              </w:rPr>
            </w:pPr>
          </w:p>
        </w:tc>
        <w:tc>
          <w:tcPr>
            <w:tcW w:w="1951" w:type="dxa"/>
            <w:tcBorders>
              <w:top w:val="single" w:sz="8" w:space="0" w:color="000000"/>
              <w:bottom w:val="single" w:sz="8" w:space="0" w:color="000000"/>
            </w:tcBorders>
            <w:shd w:val="clear" w:color="auto" w:fill="DBDBDB"/>
          </w:tcPr>
          <w:p>
            <w:pPr>
              <w:pStyle w:val="TableParagraph"/>
              <w:spacing w:line="254" w:lineRule="exact"/>
              <w:ind w:left="112" w:right="241"/>
              <w:rPr>
                <w:sz w:val="22"/>
              </w:rPr>
            </w:pPr>
            <w:r>
              <w:rPr>
                <w:sz w:val="22"/>
              </w:rPr>
              <w:t>Accountable</w:t>
            </w:r>
            <w:r>
              <w:rPr>
                <w:spacing w:val="-14"/>
                <w:sz w:val="22"/>
              </w:rPr>
              <w:t> </w:t>
            </w:r>
            <w:r>
              <w:rPr>
                <w:sz w:val="22"/>
              </w:rPr>
              <w:t>Care Partnership Plan</w:t>
            </w:r>
          </w:p>
        </w:tc>
        <w:tc>
          <w:tcPr>
            <w:tcW w:w="4985" w:type="dxa"/>
            <w:tcBorders>
              <w:top w:val="single" w:sz="8" w:space="0" w:color="000000"/>
              <w:bottom w:val="single" w:sz="8" w:space="0" w:color="000000"/>
            </w:tcBorders>
          </w:tcPr>
          <w:p>
            <w:pPr>
              <w:pStyle w:val="TableParagraph"/>
              <w:spacing w:line="254" w:lineRule="exact"/>
              <w:ind w:left="113" w:right="97"/>
              <w:rPr>
                <w:sz w:val="22"/>
              </w:rPr>
            </w:pPr>
            <w:r>
              <w:rPr>
                <w:sz w:val="22"/>
              </w:rPr>
              <w:t>Accountable</w:t>
            </w:r>
            <w:r>
              <w:rPr>
                <w:spacing w:val="-9"/>
                <w:sz w:val="22"/>
              </w:rPr>
              <w:t> </w:t>
            </w:r>
            <w:r>
              <w:rPr>
                <w:sz w:val="22"/>
              </w:rPr>
              <w:t>Care</w:t>
            </w:r>
            <w:r>
              <w:rPr>
                <w:spacing w:val="-9"/>
                <w:sz w:val="22"/>
              </w:rPr>
              <w:t> </w:t>
            </w:r>
            <w:r>
              <w:rPr>
                <w:sz w:val="22"/>
              </w:rPr>
              <w:t>Partnership</w:t>
            </w:r>
            <w:r>
              <w:rPr>
                <w:spacing w:val="-9"/>
                <w:sz w:val="22"/>
              </w:rPr>
              <w:t> </w:t>
            </w:r>
            <w:r>
              <w:rPr>
                <w:sz w:val="22"/>
              </w:rPr>
              <w:t>Plan</w:t>
            </w:r>
            <w:r>
              <w:rPr>
                <w:spacing w:val="-9"/>
                <w:sz w:val="22"/>
              </w:rPr>
              <w:t> </w:t>
            </w:r>
            <w:r>
              <w:rPr>
                <w:sz w:val="22"/>
              </w:rPr>
              <w:t>enrollees, including LTSS CP engaged enrollees</w:t>
            </w:r>
          </w:p>
        </w:tc>
      </w:tr>
      <w:tr>
        <w:trPr>
          <w:trHeight w:val="503" w:hRule="atLeast"/>
        </w:trPr>
        <w:tc>
          <w:tcPr>
            <w:tcW w:w="2419" w:type="dxa"/>
            <w:vMerge/>
            <w:tcBorders>
              <w:top w:val="nil"/>
              <w:left w:val="single" w:sz="8" w:space="0" w:color="000000"/>
            </w:tcBorders>
            <w:shd w:val="clear" w:color="auto" w:fill="D9D9D9"/>
          </w:tcPr>
          <w:p>
            <w:pPr>
              <w:rPr>
                <w:sz w:val="2"/>
                <w:szCs w:val="2"/>
              </w:rPr>
            </w:pPr>
          </w:p>
        </w:tc>
        <w:tc>
          <w:tcPr>
            <w:tcW w:w="1951" w:type="dxa"/>
            <w:tcBorders>
              <w:top w:val="single" w:sz="8" w:space="0" w:color="000000"/>
              <w:bottom w:val="single" w:sz="8" w:space="0" w:color="000000"/>
            </w:tcBorders>
            <w:shd w:val="clear" w:color="auto" w:fill="DBDBDB"/>
          </w:tcPr>
          <w:p>
            <w:pPr>
              <w:pStyle w:val="TableParagraph"/>
              <w:spacing w:line="249" w:lineRule="exact"/>
              <w:ind w:left="112"/>
              <w:rPr>
                <w:sz w:val="22"/>
              </w:rPr>
            </w:pPr>
            <w:r>
              <w:rPr>
                <w:spacing w:val="-5"/>
                <w:sz w:val="22"/>
              </w:rPr>
              <w:t>MCO</w:t>
            </w:r>
          </w:p>
        </w:tc>
        <w:tc>
          <w:tcPr>
            <w:tcW w:w="4985" w:type="dxa"/>
            <w:tcBorders>
              <w:top w:val="single" w:sz="8" w:space="0" w:color="000000"/>
              <w:bottom w:val="single" w:sz="8" w:space="0" w:color="000000"/>
              <w:right w:val="single" w:sz="8" w:space="0" w:color="000000"/>
            </w:tcBorders>
          </w:tcPr>
          <w:p>
            <w:pPr>
              <w:pStyle w:val="TableParagraph"/>
              <w:spacing w:line="249" w:lineRule="exact"/>
              <w:ind w:left="113"/>
              <w:rPr>
                <w:sz w:val="22"/>
              </w:rPr>
            </w:pPr>
            <w:r>
              <w:rPr>
                <w:sz w:val="22"/>
              </w:rPr>
              <w:t>MCO-Administered</w:t>
            </w:r>
            <w:r>
              <w:rPr>
                <w:spacing w:val="-5"/>
                <w:sz w:val="22"/>
              </w:rPr>
              <w:t> </w:t>
            </w:r>
            <w:r>
              <w:rPr>
                <w:sz w:val="22"/>
              </w:rPr>
              <w:t>ACO</w:t>
            </w:r>
            <w:r>
              <w:rPr>
                <w:spacing w:val="-4"/>
                <w:sz w:val="22"/>
              </w:rPr>
              <w:t> </w:t>
            </w:r>
            <w:r>
              <w:rPr>
                <w:sz w:val="22"/>
              </w:rPr>
              <w:t>and</w:t>
            </w:r>
            <w:r>
              <w:rPr>
                <w:spacing w:val="-5"/>
                <w:sz w:val="22"/>
              </w:rPr>
              <w:t> </w:t>
            </w:r>
            <w:r>
              <w:rPr>
                <w:sz w:val="22"/>
              </w:rPr>
              <w:t>MCO</w:t>
            </w:r>
            <w:r>
              <w:rPr>
                <w:spacing w:val="-4"/>
                <w:sz w:val="22"/>
              </w:rPr>
              <w:t> </w:t>
            </w:r>
            <w:r>
              <w:rPr>
                <w:spacing w:val="-2"/>
                <w:sz w:val="22"/>
              </w:rPr>
              <w:t>enrollees,</w:t>
            </w:r>
          </w:p>
          <w:p>
            <w:pPr>
              <w:pStyle w:val="TableParagraph"/>
              <w:spacing w:line="233" w:lineRule="exact" w:before="1"/>
              <w:ind w:left="113"/>
              <w:rPr>
                <w:sz w:val="22"/>
              </w:rPr>
            </w:pPr>
            <w:r>
              <w:rPr>
                <w:sz w:val="22"/>
              </w:rPr>
              <w:t>including</w:t>
            </w:r>
            <w:r>
              <w:rPr>
                <w:spacing w:val="-6"/>
                <w:sz w:val="22"/>
              </w:rPr>
              <w:t> </w:t>
            </w:r>
            <w:r>
              <w:rPr>
                <w:sz w:val="22"/>
              </w:rPr>
              <w:t>LTSS</w:t>
            </w:r>
            <w:r>
              <w:rPr>
                <w:spacing w:val="-3"/>
                <w:sz w:val="22"/>
              </w:rPr>
              <w:t> </w:t>
            </w:r>
            <w:r>
              <w:rPr>
                <w:sz w:val="22"/>
              </w:rPr>
              <w:t>CP</w:t>
            </w:r>
            <w:r>
              <w:rPr>
                <w:spacing w:val="-4"/>
                <w:sz w:val="22"/>
              </w:rPr>
              <w:t> </w:t>
            </w:r>
            <w:r>
              <w:rPr>
                <w:sz w:val="22"/>
              </w:rPr>
              <w:t>engaged</w:t>
            </w:r>
            <w:r>
              <w:rPr>
                <w:spacing w:val="-2"/>
                <w:sz w:val="22"/>
              </w:rPr>
              <w:t> enrollees</w:t>
            </w:r>
          </w:p>
        </w:tc>
      </w:tr>
      <w:tr>
        <w:trPr>
          <w:trHeight w:val="508" w:hRule="atLeast"/>
        </w:trPr>
        <w:tc>
          <w:tcPr>
            <w:tcW w:w="2419" w:type="dxa"/>
            <w:vMerge/>
            <w:tcBorders>
              <w:top w:val="nil"/>
              <w:left w:val="single" w:sz="8" w:space="0" w:color="000000"/>
            </w:tcBorders>
            <w:shd w:val="clear" w:color="auto" w:fill="D9D9D9"/>
          </w:tcPr>
          <w:p>
            <w:pPr>
              <w:rPr>
                <w:sz w:val="2"/>
                <w:szCs w:val="2"/>
              </w:rPr>
            </w:pPr>
          </w:p>
        </w:tc>
        <w:tc>
          <w:tcPr>
            <w:tcW w:w="1951" w:type="dxa"/>
            <w:tcBorders>
              <w:top w:val="single" w:sz="8" w:space="0" w:color="000000"/>
            </w:tcBorders>
            <w:shd w:val="clear" w:color="auto" w:fill="DBDBDB"/>
          </w:tcPr>
          <w:p>
            <w:pPr>
              <w:pStyle w:val="TableParagraph"/>
              <w:ind w:left="112"/>
              <w:rPr>
                <w:sz w:val="22"/>
              </w:rPr>
            </w:pPr>
            <w:r>
              <w:rPr>
                <w:spacing w:val="-2"/>
                <w:sz w:val="22"/>
              </w:rPr>
              <w:t>MassHealth</w:t>
            </w:r>
          </w:p>
        </w:tc>
        <w:tc>
          <w:tcPr>
            <w:tcW w:w="4985" w:type="dxa"/>
            <w:tcBorders>
              <w:top w:val="single" w:sz="8" w:space="0" w:color="000000"/>
            </w:tcBorders>
          </w:tcPr>
          <w:p>
            <w:pPr>
              <w:pStyle w:val="TableParagraph"/>
              <w:spacing w:line="252" w:lineRule="exact"/>
              <w:ind w:left="113"/>
              <w:rPr>
                <w:sz w:val="22"/>
              </w:rPr>
            </w:pPr>
            <w:r>
              <w:rPr>
                <w:sz w:val="22"/>
              </w:rPr>
              <w:t>Primary</w:t>
            </w:r>
            <w:r>
              <w:rPr>
                <w:spacing w:val="-8"/>
                <w:sz w:val="22"/>
              </w:rPr>
              <w:t> </w:t>
            </w:r>
            <w:r>
              <w:rPr>
                <w:sz w:val="22"/>
              </w:rPr>
              <w:t>Care</w:t>
            </w:r>
            <w:r>
              <w:rPr>
                <w:spacing w:val="-5"/>
                <w:sz w:val="22"/>
              </w:rPr>
              <w:t> </w:t>
            </w:r>
            <w:r>
              <w:rPr>
                <w:sz w:val="22"/>
              </w:rPr>
              <w:t>ACO</w:t>
            </w:r>
            <w:r>
              <w:rPr>
                <w:spacing w:val="-6"/>
                <w:sz w:val="22"/>
              </w:rPr>
              <w:t> </w:t>
            </w:r>
            <w:r>
              <w:rPr>
                <w:sz w:val="22"/>
              </w:rPr>
              <w:t>enrollees,</w:t>
            </w:r>
            <w:r>
              <w:rPr>
                <w:spacing w:val="-5"/>
                <w:sz w:val="22"/>
              </w:rPr>
              <w:t> </w:t>
            </w:r>
            <w:r>
              <w:rPr>
                <w:sz w:val="22"/>
              </w:rPr>
              <w:t>including</w:t>
            </w:r>
            <w:r>
              <w:rPr>
                <w:spacing w:val="-8"/>
                <w:sz w:val="22"/>
              </w:rPr>
              <w:t> </w:t>
            </w:r>
            <w:r>
              <w:rPr>
                <w:sz w:val="22"/>
              </w:rPr>
              <w:t>LTSS</w:t>
            </w:r>
            <w:r>
              <w:rPr>
                <w:spacing w:val="-6"/>
                <w:sz w:val="22"/>
              </w:rPr>
              <w:t> </w:t>
            </w:r>
            <w:r>
              <w:rPr>
                <w:sz w:val="22"/>
              </w:rPr>
              <w:t>CP engaged enrollees</w:t>
            </w:r>
          </w:p>
        </w:tc>
      </w:tr>
    </w:tbl>
    <w:p>
      <w:pPr>
        <w:pStyle w:val="BodyText"/>
        <w:spacing w:before="2"/>
        <w:rPr>
          <w:b/>
          <w:sz w:val="16"/>
        </w:rPr>
      </w:pPr>
    </w:p>
    <w:p>
      <w:pPr>
        <w:spacing w:before="91"/>
        <w:ind w:left="1220" w:right="0" w:firstLine="0"/>
        <w:jc w:val="left"/>
        <w:rPr>
          <w:b/>
          <w:sz w:val="22"/>
        </w:rPr>
      </w:pPr>
      <w:r>
        <w:rPr>
          <w:b/>
          <w:sz w:val="22"/>
        </w:rPr>
        <w:t>Shared</w:t>
      </w:r>
      <w:r>
        <w:rPr>
          <w:b/>
          <w:spacing w:val="-7"/>
          <w:sz w:val="22"/>
        </w:rPr>
        <w:t> </w:t>
      </w:r>
      <w:r>
        <w:rPr>
          <w:b/>
          <w:sz w:val="22"/>
        </w:rPr>
        <w:t>responsibility</w:t>
      </w:r>
      <w:r>
        <w:rPr>
          <w:b/>
          <w:spacing w:val="-4"/>
          <w:sz w:val="22"/>
        </w:rPr>
        <w:t> </w:t>
      </w:r>
      <w:r>
        <w:rPr>
          <w:b/>
          <w:sz w:val="22"/>
        </w:rPr>
        <w:t>between</w:t>
      </w:r>
      <w:r>
        <w:rPr>
          <w:b/>
          <w:spacing w:val="-7"/>
          <w:sz w:val="22"/>
        </w:rPr>
        <w:t> </w:t>
      </w:r>
      <w:r>
        <w:rPr>
          <w:b/>
          <w:sz w:val="22"/>
        </w:rPr>
        <w:t>ACOs</w:t>
      </w:r>
      <w:r>
        <w:rPr>
          <w:b/>
          <w:spacing w:val="-4"/>
          <w:sz w:val="22"/>
        </w:rPr>
        <w:t> </w:t>
      </w:r>
      <w:r>
        <w:rPr>
          <w:b/>
          <w:sz w:val="22"/>
        </w:rPr>
        <w:t>and</w:t>
      </w:r>
      <w:r>
        <w:rPr>
          <w:b/>
          <w:spacing w:val="-4"/>
          <w:sz w:val="22"/>
        </w:rPr>
        <w:t> </w:t>
      </w:r>
      <w:r>
        <w:rPr>
          <w:b/>
          <w:spacing w:val="-5"/>
          <w:sz w:val="22"/>
        </w:rPr>
        <w:t>CPs</w:t>
      </w:r>
    </w:p>
    <w:p>
      <w:pPr>
        <w:spacing w:before="177"/>
        <w:ind w:left="1220" w:right="0" w:firstLine="0"/>
        <w:jc w:val="left"/>
        <w:rPr>
          <w:sz w:val="22"/>
        </w:rPr>
      </w:pPr>
      <w:r>
        <w:rPr>
          <w:sz w:val="22"/>
        </w:rPr>
        <w:t>Agreements</w:t>
      </w:r>
      <w:r>
        <w:rPr>
          <w:spacing w:val="-7"/>
          <w:sz w:val="22"/>
        </w:rPr>
        <w:t> </w:t>
      </w:r>
      <w:r>
        <w:rPr>
          <w:sz w:val="22"/>
        </w:rPr>
        <w:t>will</w:t>
      </w:r>
      <w:r>
        <w:rPr>
          <w:spacing w:val="-6"/>
          <w:sz w:val="22"/>
        </w:rPr>
        <w:t> </w:t>
      </w:r>
      <w:r>
        <w:rPr>
          <w:sz w:val="22"/>
        </w:rPr>
        <w:t>codify</w:t>
      </w:r>
      <w:r>
        <w:rPr>
          <w:spacing w:val="-9"/>
          <w:sz w:val="22"/>
        </w:rPr>
        <w:t> </w:t>
      </w:r>
      <w:r>
        <w:rPr>
          <w:sz w:val="22"/>
        </w:rPr>
        <w:t>responsibilities</w:t>
      </w:r>
      <w:r>
        <w:rPr>
          <w:spacing w:val="-7"/>
          <w:sz w:val="22"/>
        </w:rPr>
        <w:t> </w:t>
      </w:r>
      <w:r>
        <w:rPr>
          <w:sz w:val="22"/>
        </w:rPr>
        <w:t>of</w:t>
      </w:r>
      <w:r>
        <w:rPr>
          <w:spacing w:val="-6"/>
          <w:sz w:val="22"/>
        </w:rPr>
        <w:t> </w:t>
      </w:r>
      <w:r>
        <w:rPr>
          <w:sz w:val="22"/>
        </w:rPr>
        <w:t>ACOs</w:t>
      </w:r>
      <w:r>
        <w:rPr>
          <w:spacing w:val="-7"/>
          <w:sz w:val="22"/>
        </w:rPr>
        <w:t> </w:t>
      </w:r>
      <w:r>
        <w:rPr>
          <w:sz w:val="22"/>
        </w:rPr>
        <w:t>and</w:t>
      </w:r>
      <w:r>
        <w:rPr>
          <w:spacing w:val="-9"/>
          <w:sz w:val="22"/>
        </w:rPr>
        <w:t> </w:t>
      </w:r>
      <w:r>
        <w:rPr>
          <w:sz w:val="22"/>
        </w:rPr>
        <w:t>CPs</w:t>
      </w:r>
      <w:r>
        <w:rPr>
          <w:spacing w:val="-6"/>
          <w:sz w:val="22"/>
        </w:rPr>
        <w:t> </w:t>
      </w:r>
      <w:r>
        <w:rPr>
          <w:sz w:val="22"/>
        </w:rPr>
        <w:t>and</w:t>
      </w:r>
      <w:r>
        <w:rPr>
          <w:spacing w:val="-8"/>
          <w:sz w:val="22"/>
        </w:rPr>
        <w:t> </w:t>
      </w:r>
      <w:r>
        <w:rPr>
          <w:sz w:val="22"/>
        </w:rPr>
        <w:t>describe</w:t>
      </w:r>
      <w:r>
        <w:rPr>
          <w:spacing w:val="-6"/>
          <w:sz w:val="22"/>
        </w:rPr>
        <w:t> </w:t>
      </w:r>
      <w:r>
        <w:rPr>
          <w:sz w:val="22"/>
        </w:rPr>
        <w:t>additional</w:t>
      </w:r>
      <w:r>
        <w:rPr>
          <w:spacing w:val="-8"/>
          <w:sz w:val="22"/>
        </w:rPr>
        <w:t> </w:t>
      </w:r>
      <w:r>
        <w:rPr>
          <w:sz w:val="22"/>
        </w:rPr>
        <w:t>requirements,</w:t>
      </w:r>
      <w:r>
        <w:rPr>
          <w:spacing w:val="-7"/>
          <w:sz w:val="22"/>
        </w:rPr>
        <w:t> </w:t>
      </w:r>
      <w:r>
        <w:rPr>
          <w:spacing w:val="-2"/>
          <w:sz w:val="22"/>
        </w:rPr>
        <w:t>including:</w:t>
      </w:r>
    </w:p>
    <w:p>
      <w:pPr>
        <w:pStyle w:val="BodyText"/>
        <w:spacing w:before="1"/>
        <w:rPr>
          <w:sz w:val="22"/>
        </w:rPr>
      </w:pPr>
    </w:p>
    <w:p>
      <w:pPr>
        <w:pStyle w:val="ListParagraph"/>
        <w:numPr>
          <w:ilvl w:val="3"/>
          <w:numId w:val="107"/>
        </w:numPr>
        <w:tabs>
          <w:tab w:pos="1939" w:val="left" w:leader="none"/>
        </w:tabs>
        <w:spacing w:line="240" w:lineRule="auto" w:before="1" w:after="0"/>
        <w:ind w:left="1939" w:right="0" w:hanging="360"/>
        <w:jc w:val="left"/>
        <w:rPr>
          <w:sz w:val="22"/>
        </w:rPr>
      </w:pPr>
      <w:r>
        <w:rPr>
          <w:sz w:val="22"/>
        </w:rPr>
        <w:t>Member</w:t>
      </w:r>
      <w:r>
        <w:rPr>
          <w:spacing w:val="-2"/>
          <w:sz w:val="22"/>
        </w:rPr>
        <w:t> </w:t>
      </w:r>
      <w:r>
        <w:rPr>
          <w:sz w:val="22"/>
        </w:rPr>
        <w:t>assignment</w:t>
      </w:r>
      <w:r>
        <w:rPr>
          <w:spacing w:val="-2"/>
          <w:sz w:val="22"/>
        </w:rPr>
        <w:t> </w:t>
      </w:r>
      <w:r>
        <w:rPr>
          <w:sz w:val="22"/>
        </w:rPr>
        <w:t>to</w:t>
      </w:r>
      <w:r>
        <w:rPr>
          <w:spacing w:val="-2"/>
          <w:sz w:val="22"/>
        </w:rPr>
        <w:t> </w:t>
      </w:r>
      <w:r>
        <w:rPr>
          <w:sz w:val="22"/>
        </w:rPr>
        <w:t>a</w:t>
      </w:r>
      <w:r>
        <w:rPr>
          <w:spacing w:val="-3"/>
          <w:sz w:val="22"/>
        </w:rPr>
        <w:t> </w:t>
      </w:r>
      <w:r>
        <w:rPr>
          <w:sz w:val="22"/>
        </w:rPr>
        <w:t>CP</w:t>
      </w:r>
      <w:r>
        <w:rPr>
          <w:spacing w:val="-3"/>
          <w:sz w:val="22"/>
        </w:rPr>
        <w:t> </w:t>
      </w:r>
      <w:r>
        <w:rPr>
          <w:sz w:val="22"/>
        </w:rPr>
        <w:t>(as</w:t>
      </w:r>
      <w:r>
        <w:rPr>
          <w:spacing w:val="-4"/>
          <w:sz w:val="22"/>
        </w:rPr>
        <w:t> </w:t>
      </w:r>
      <w:r>
        <w:rPr>
          <w:spacing w:val="-2"/>
          <w:sz w:val="22"/>
        </w:rPr>
        <w:t>applicable)</w:t>
      </w:r>
    </w:p>
    <w:p>
      <w:pPr>
        <w:pStyle w:val="ListParagraph"/>
        <w:numPr>
          <w:ilvl w:val="3"/>
          <w:numId w:val="107"/>
        </w:numPr>
        <w:tabs>
          <w:tab w:pos="1939" w:val="left" w:leader="none"/>
        </w:tabs>
        <w:spacing w:line="240" w:lineRule="auto" w:before="198" w:after="0"/>
        <w:ind w:left="1939" w:right="0" w:hanging="360"/>
        <w:jc w:val="left"/>
        <w:rPr>
          <w:sz w:val="22"/>
        </w:rPr>
      </w:pPr>
      <w:r>
        <w:rPr>
          <w:sz w:val="22"/>
        </w:rPr>
        <w:t>Care</w:t>
      </w:r>
      <w:r>
        <w:rPr>
          <w:spacing w:val="-3"/>
          <w:sz w:val="22"/>
        </w:rPr>
        <w:t> </w:t>
      </w:r>
      <w:r>
        <w:rPr>
          <w:sz w:val="22"/>
        </w:rPr>
        <w:t>team</w:t>
      </w:r>
      <w:r>
        <w:rPr>
          <w:spacing w:val="-4"/>
          <w:sz w:val="22"/>
        </w:rPr>
        <w:t> </w:t>
      </w:r>
      <w:r>
        <w:rPr>
          <w:sz w:val="22"/>
        </w:rPr>
        <w:t>roles and</w:t>
      </w:r>
      <w:r>
        <w:rPr>
          <w:spacing w:val="-3"/>
          <w:sz w:val="22"/>
        </w:rPr>
        <w:t> </w:t>
      </w:r>
      <w:r>
        <w:rPr>
          <w:spacing w:val="-2"/>
          <w:sz w:val="22"/>
        </w:rPr>
        <w:t>participation</w:t>
      </w:r>
    </w:p>
    <w:p>
      <w:pPr>
        <w:pStyle w:val="ListParagraph"/>
        <w:numPr>
          <w:ilvl w:val="3"/>
          <w:numId w:val="107"/>
        </w:numPr>
        <w:tabs>
          <w:tab w:pos="1939" w:val="left" w:leader="none"/>
        </w:tabs>
        <w:spacing w:line="240" w:lineRule="auto" w:before="201" w:after="0"/>
        <w:ind w:left="1939" w:right="0" w:hanging="360"/>
        <w:jc w:val="left"/>
        <w:rPr>
          <w:sz w:val="22"/>
        </w:rPr>
      </w:pPr>
      <w:r>
        <w:rPr>
          <w:sz w:val="22"/>
        </w:rPr>
        <w:t>Performance</w:t>
      </w:r>
      <w:r>
        <w:rPr>
          <w:spacing w:val="-5"/>
          <w:sz w:val="22"/>
        </w:rPr>
        <w:t> </w:t>
      </w:r>
      <w:r>
        <w:rPr>
          <w:sz w:val="22"/>
        </w:rPr>
        <w:t>expectations</w:t>
      </w:r>
      <w:r>
        <w:rPr>
          <w:spacing w:val="-5"/>
          <w:sz w:val="22"/>
        </w:rPr>
        <w:t> </w:t>
      </w:r>
      <w:r>
        <w:rPr>
          <w:sz w:val="22"/>
        </w:rPr>
        <w:t>and</w:t>
      </w:r>
      <w:r>
        <w:rPr>
          <w:spacing w:val="-5"/>
          <w:sz w:val="22"/>
        </w:rPr>
        <w:t> </w:t>
      </w:r>
      <w:r>
        <w:rPr>
          <w:sz w:val="22"/>
        </w:rPr>
        <w:t>any</w:t>
      </w:r>
      <w:r>
        <w:rPr>
          <w:spacing w:val="-8"/>
          <w:sz w:val="22"/>
        </w:rPr>
        <w:t> </w:t>
      </w:r>
      <w:r>
        <w:rPr>
          <w:sz w:val="22"/>
        </w:rPr>
        <w:t>associated</w:t>
      </w:r>
      <w:r>
        <w:rPr>
          <w:spacing w:val="-7"/>
          <w:sz w:val="22"/>
        </w:rPr>
        <w:t> </w:t>
      </w:r>
      <w:r>
        <w:rPr>
          <w:sz w:val="22"/>
        </w:rPr>
        <w:t>financial</w:t>
      </w:r>
      <w:r>
        <w:rPr>
          <w:spacing w:val="-7"/>
          <w:sz w:val="22"/>
        </w:rPr>
        <w:t> </w:t>
      </w:r>
      <w:r>
        <w:rPr>
          <w:sz w:val="22"/>
        </w:rPr>
        <w:t>arrangements</w:t>
      </w:r>
      <w:r>
        <w:rPr>
          <w:spacing w:val="-5"/>
          <w:sz w:val="22"/>
        </w:rPr>
        <w:t> </w:t>
      </w:r>
      <w:r>
        <w:rPr>
          <w:sz w:val="22"/>
        </w:rPr>
        <w:t>(beyond</w:t>
      </w:r>
      <w:r>
        <w:rPr>
          <w:spacing w:val="-4"/>
          <w:sz w:val="22"/>
        </w:rPr>
        <w:t> </w:t>
      </w:r>
      <w:r>
        <w:rPr>
          <w:spacing w:val="-2"/>
          <w:sz w:val="22"/>
        </w:rPr>
        <w:t>DSRIP)</w:t>
      </w:r>
    </w:p>
    <w:p>
      <w:pPr>
        <w:pStyle w:val="ListParagraph"/>
        <w:numPr>
          <w:ilvl w:val="3"/>
          <w:numId w:val="107"/>
        </w:numPr>
        <w:tabs>
          <w:tab w:pos="1939" w:val="left" w:leader="none"/>
        </w:tabs>
        <w:spacing w:line="240" w:lineRule="auto" w:before="198" w:after="0"/>
        <w:ind w:left="1939" w:right="0" w:hanging="360"/>
        <w:jc w:val="left"/>
        <w:rPr>
          <w:sz w:val="22"/>
        </w:rPr>
      </w:pPr>
      <w:r>
        <w:rPr>
          <w:sz w:val="22"/>
        </w:rPr>
        <w:t>Shared</w:t>
      </w:r>
      <w:r>
        <w:rPr>
          <w:spacing w:val="-8"/>
          <w:sz w:val="22"/>
        </w:rPr>
        <w:t> </w:t>
      </w:r>
      <w:r>
        <w:rPr>
          <w:sz w:val="22"/>
        </w:rPr>
        <w:t>decision-making</w:t>
      </w:r>
      <w:r>
        <w:rPr>
          <w:spacing w:val="-6"/>
          <w:sz w:val="22"/>
        </w:rPr>
        <w:t> </w:t>
      </w:r>
      <w:r>
        <w:rPr>
          <w:sz w:val="22"/>
        </w:rPr>
        <w:t>and</w:t>
      </w:r>
      <w:r>
        <w:rPr>
          <w:spacing w:val="-3"/>
          <w:sz w:val="22"/>
        </w:rPr>
        <w:t> </w:t>
      </w:r>
      <w:r>
        <w:rPr>
          <w:spacing w:val="-2"/>
          <w:sz w:val="22"/>
        </w:rPr>
        <w:t>governance</w:t>
      </w:r>
    </w:p>
    <w:p>
      <w:pPr>
        <w:pStyle w:val="ListParagraph"/>
        <w:numPr>
          <w:ilvl w:val="3"/>
          <w:numId w:val="107"/>
        </w:numPr>
        <w:tabs>
          <w:tab w:pos="1939" w:val="left" w:leader="none"/>
        </w:tabs>
        <w:spacing w:line="240" w:lineRule="auto" w:before="199" w:after="0"/>
        <w:ind w:left="1939" w:right="0" w:hanging="360"/>
        <w:jc w:val="left"/>
        <w:rPr>
          <w:sz w:val="22"/>
        </w:rPr>
      </w:pPr>
      <w:r>
        <w:rPr>
          <w:sz w:val="22"/>
        </w:rPr>
        <w:t>IT</w:t>
      </w:r>
      <w:r>
        <w:rPr>
          <w:spacing w:val="-3"/>
          <w:sz w:val="22"/>
        </w:rPr>
        <w:t> </w:t>
      </w:r>
      <w:r>
        <w:rPr>
          <w:sz w:val="22"/>
        </w:rPr>
        <w:t>systems</w:t>
      </w:r>
      <w:r>
        <w:rPr>
          <w:spacing w:val="-3"/>
          <w:sz w:val="22"/>
        </w:rPr>
        <w:t> </w:t>
      </w:r>
      <w:r>
        <w:rPr>
          <w:sz w:val="22"/>
        </w:rPr>
        <w:t>and</w:t>
      </w:r>
      <w:r>
        <w:rPr>
          <w:spacing w:val="-2"/>
          <w:sz w:val="22"/>
        </w:rPr>
        <w:t> </w:t>
      </w:r>
      <w:r>
        <w:rPr>
          <w:sz w:val="22"/>
        </w:rPr>
        <w:t>data</w:t>
      </w:r>
      <w:r>
        <w:rPr>
          <w:spacing w:val="-5"/>
          <w:sz w:val="22"/>
        </w:rPr>
        <w:t> </w:t>
      </w:r>
      <w:r>
        <w:rPr>
          <w:sz w:val="22"/>
        </w:rPr>
        <w:t>exchange,</w:t>
      </w:r>
      <w:r>
        <w:rPr>
          <w:spacing w:val="-2"/>
          <w:sz w:val="22"/>
        </w:rPr>
        <w:t> </w:t>
      </w:r>
      <w:r>
        <w:rPr>
          <w:sz w:val="22"/>
        </w:rPr>
        <w:t>including</w:t>
      </w:r>
      <w:r>
        <w:rPr>
          <w:spacing w:val="-6"/>
          <w:sz w:val="22"/>
        </w:rPr>
        <w:t> </w:t>
      </w:r>
      <w:r>
        <w:rPr>
          <w:sz w:val="22"/>
        </w:rPr>
        <w:t>quality</w:t>
      </w:r>
      <w:r>
        <w:rPr>
          <w:spacing w:val="-5"/>
          <w:sz w:val="22"/>
        </w:rPr>
        <w:t> </w:t>
      </w:r>
      <w:r>
        <w:rPr>
          <w:sz w:val="22"/>
        </w:rPr>
        <w:t>and</w:t>
      </w:r>
      <w:r>
        <w:rPr>
          <w:spacing w:val="-3"/>
          <w:sz w:val="22"/>
        </w:rPr>
        <w:t> </w:t>
      </w:r>
      <w:r>
        <w:rPr>
          <w:sz w:val="22"/>
        </w:rPr>
        <w:t>cost</w:t>
      </w:r>
      <w:r>
        <w:rPr>
          <w:spacing w:val="-1"/>
          <w:sz w:val="22"/>
        </w:rPr>
        <w:t> </w:t>
      </w:r>
      <w:r>
        <w:rPr>
          <w:spacing w:val="-2"/>
          <w:sz w:val="22"/>
        </w:rPr>
        <w:t>reporting</w:t>
      </w:r>
    </w:p>
    <w:p>
      <w:pPr>
        <w:pStyle w:val="BodyText"/>
        <w:spacing w:before="8"/>
        <w:rPr>
          <w:sz w:val="20"/>
        </w:rPr>
      </w:pPr>
    </w:p>
    <w:p>
      <w:pPr>
        <w:spacing w:line="240" w:lineRule="auto" w:before="0"/>
        <w:ind w:left="1220" w:right="1178" w:firstLine="0"/>
        <w:jc w:val="left"/>
        <w:rPr>
          <w:sz w:val="22"/>
        </w:rPr>
      </w:pPr>
      <w:r>
        <w:rPr>
          <w:sz w:val="22"/>
        </w:rPr>
        <w:t>Beyond</w:t>
      </w:r>
      <w:r>
        <w:rPr>
          <w:spacing w:val="-1"/>
          <w:sz w:val="22"/>
        </w:rPr>
        <w:t> </w:t>
      </w:r>
      <w:r>
        <w:rPr>
          <w:sz w:val="22"/>
        </w:rPr>
        <w:t>delineation</w:t>
      </w:r>
      <w:r>
        <w:rPr>
          <w:spacing w:val="-1"/>
          <w:sz w:val="22"/>
        </w:rPr>
        <w:t> </w:t>
      </w:r>
      <w:r>
        <w:rPr>
          <w:sz w:val="22"/>
        </w:rPr>
        <w:t>of</w:t>
      </w:r>
      <w:r>
        <w:rPr>
          <w:spacing w:val="-3"/>
          <w:sz w:val="22"/>
        </w:rPr>
        <w:t> </w:t>
      </w:r>
      <w:r>
        <w:rPr>
          <w:sz w:val="22"/>
        </w:rPr>
        <w:t>roles</w:t>
      </w:r>
      <w:r>
        <w:rPr>
          <w:spacing w:val="-3"/>
          <w:sz w:val="22"/>
        </w:rPr>
        <w:t> </w:t>
      </w:r>
      <w:r>
        <w:rPr>
          <w:sz w:val="22"/>
        </w:rPr>
        <w:t>and</w:t>
      </w:r>
      <w:r>
        <w:rPr>
          <w:spacing w:val="-1"/>
          <w:sz w:val="22"/>
        </w:rPr>
        <w:t> </w:t>
      </w:r>
      <w:r>
        <w:rPr>
          <w:sz w:val="22"/>
        </w:rPr>
        <w:t>responsibilities,</w:t>
      </w:r>
      <w:r>
        <w:rPr>
          <w:spacing w:val="-1"/>
          <w:sz w:val="22"/>
        </w:rPr>
        <w:t> </w:t>
      </w:r>
      <w:r>
        <w:rPr>
          <w:sz w:val="22"/>
        </w:rPr>
        <w:t>contracts</w:t>
      </w:r>
      <w:r>
        <w:rPr>
          <w:spacing w:val="-1"/>
          <w:sz w:val="22"/>
        </w:rPr>
        <w:t> </w:t>
      </w:r>
      <w:r>
        <w:rPr>
          <w:sz w:val="22"/>
        </w:rPr>
        <w:t>between</w:t>
      </w:r>
      <w:r>
        <w:rPr>
          <w:spacing w:val="-1"/>
          <w:sz w:val="22"/>
        </w:rPr>
        <w:t> </w:t>
      </w:r>
      <w:r>
        <w:rPr>
          <w:sz w:val="22"/>
        </w:rPr>
        <w:t>ACOs,</w:t>
      </w:r>
      <w:r>
        <w:rPr>
          <w:spacing w:val="-1"/>
          <w:sz w:val="22"/>
        </w:rPr>
        <w:t> </w:t>
      </w:r>
      <w:r>
        <w:rPr>
          <w:sz w:val="22"/>
        </w:rPr>
        <w:t>CPs,</w:t>
      </w:r>
      <w:r>
        <w:rPr>
          <w:spacing w:val="-4"/>
          <w:sz w:val="22"/>
        </w:rPr>
        <w:t> </w:t>
      </w:r>
      <w:r>
        <w:rPr>
          <w:sz w:val="22"/>
        </w:rPr>
        <w:t>and</w:t>
      </w:r>
      <w:r>
        <w:rPr>
          <w:spacing w:val="-1"/>
          <w:sz w:val="22"/>
        </w:rPr>
        <w:t> </w:t>
      </w:r>
      <w:r>
        <w:rPr>
          <w:sz w:val="22"/>
        </w:rPr>
        <w:t>MCOs</w:t>
      </w:r>
      <w:r>
        <w:rPr>
          <w:spacing w:val="-1"/>
          <w:sz w:val="22"/>
        </w:rPr>
        <w:t> </w:t>
      </w:r>
      <w:r>
        <w:rPr>
          <w:sz w:val="22"/>
        </w:rPr>
        <w:t>must include conflict resolution protocols to handle disputes between the relevant parties.</w:t>
      </w:r>
      <w:r>
        <w:rPr>
          <w:spacing w:val="40"/>
          <w:sz w:val="22"/>
        </w:rPr>
        <w:t> </w:t>
      </w:r>
      <w:r>
        <w:rPr>
          <w:sz w:val="22"/>
        </w:rPr>
        <w:t>As ACOs and MCOs will not be paying CPs for services provided, a substantial portion of disputes will likely center around member referrals and care plans.</w:t>
      </w:r>
      <w:r>
        <w:rPr>
          <w:spacing w:val="40"/>
          <w:sz w:val="22"/>
        </w:rPr>
        <w:t> </w:t>
      </w:r>
      <w:r>
        <w:rPr>
          <w:sz w:val="22"/>
        </w:rPr>
        <w:t>If the member believes that the care he or she is receiving is unacceptable, the member will have access to formal grievance processes through the ACO, MCO, and CP entities.</w:t>
      </w:r>
      <w:r>
        <w:rPr>
          <w:spacing w:val="40"/>
          <w:sz w:val="22"/>
        </w:rPr>
        <w:t> </w:t>
      </w:r>
      <w:r>
        <w:rPr>
          <w:sz w:val="22"/>
        </w:rPr>
        <w:t>Additionally, the member can contact MassHealth’s Ombudsman Patient Protection Program,</w:t>
      </w:r>
      <w:r>
        <w:rPr>
          <w:spacing w:val="-2"/>
          <w:sz w:val="22"/>
        </w:rPr>
        <w:t> </w:t>
      </w:r>
      <w:r>
        <w:rPr>
          <w:sz w:val="22"/>
        </w:rPr>
        <w:t>which</w:t>
      </w:r>
      <w:r>
        <w:rPr>
          <w:spacing w:val="-2"/>
          <w:sz w:val="22"/>
        </w:rPr>
        <w:t> </w:t>
      </w:r>
      <w:r>
        <w:rPr>
          <w:sz w:val="22"/>
        </w:rPr>
        <w:t>is</w:t>
      </w:r>
      <w:r>
        <w:rPr>
          <w:spacing w:val="-4"/>
          <w:sz w:val="22"/>
        </w:rPr>
        <w:t> </w:t>
      </w:r>
      <w:r>
        <w:rPr>
          <w:sz w:val="22"/>
        </w:rPr>
        <w:t>established</w:t>
      </w:r>
      <w:r>
        <w:rPr>
          <w:spacing w:val="-2"/>
          <w:sz w:val="22"/>
        </w:rPr>
        <w:t> </w:t>
      </w:r>
      <w:r>
        <w:rPr>
          <w:sz w:val="22"/>
        </w:rPr>
        <w:t>to</w:t>
      </w:r>
      <w:r>
        <w:rPr>
          <w:spacing w:val="-5"/>
          <w:sz w:val="22"/>
        </w:rPr>
        <w:t> </w:t>
      </w:r>
      <w:r>
        <w:rPr>
          <w:sz w:val="22"/>
        </w:rPr>
        <w:t>explicitly</w:t>
      </w:r>
      <w:r>
        <w:rPr>
          <w:spacing w:val="-5"/>
          <w:sz w:val="22"/>
        </w:rPr>
        <w:t> </w:t>
      </w:r>
      <w:r>
        <w:rPr>
          <w:sz w:val="22"/>
        </w:rPr>
        <w:t>help</w:t>
      </w:r>
      <w:r>
        <w:rPr>
          <w:spacing w:val="-2"/>
          <w:sz w:val="22"/>
        </w:rPr>
        <w:t> </w:t>
      </w:r>
      <w:r>
        <w:rPr>
          <w:sz w:val="22"/>
        </w:rPr>
        <w:t>members</w:t>
      </w:r>
      <w:r>
        <w:rPr>
          <w:spacing w:val="-2"/>
          <w:sz w:val="22"/>
        </w:rPr>
        <w:t> </w:t>
      </w:r>
      <w:r>
        <w:rPr>
          <w:sz w:val="22"/>
        </w:rPr>
        <w:t>work</w:t>
      </w:r>
      <w:r>
        <w:rPr>
          <w:spacing w:val="-5"/>
          <w:sz w:val="22"/>
        </w:rPr>
        <w:t> </w:t>
      </w:r>
      <w:r>
        <w:rPr>
          <w:sz w:val="22"/>
        </w:rPr>
        <w:t>through</w:t>
      </w:r>
      <w:r>
        <w:rPr>
          <w:spacing w:val="-2"/>
          <w:sz w:val="22"/>
        </w:rPr>
        <w:t> </w:t>
      </w:r>
      <w:r>
        <w:rPr>
          <w:sz w:val="22"/>
        </w:rPr>
        <w:t>such</w:t>
      </w:r>
      <w:r>
        <w:rPr>
          <w:spacing w:val="-5"/>
          <w:sz w:val="22"/>
        </w:rPr>
        <w:t> </w:t>
      </w:r>
      <w:r>
        <w:rPr>
          <w:sz w:val="22"/>
        </w:rPr>
        <w:t>issues.</w:t>
      </w:r>
      <w:r>
        <w:rPr>
          <w:spacing w:val="40"/>
          <w:sz w:val="22"/>
        </w:rPr>
        <w:t> </w:t>
      </w:r>
      <w:r>
        <w:rPr>
          <w:sz w:val="22"/>
        </w:rPr>
        <w:t>Throughout</w:t>
      </w:r>
      <w:r>
        <w:rPr>
          <w:spacing w:val="-1"/>
          <w:sz w:val="22"/>
        </w:rPr>
        <w:t> </w:t>
      </w:r>
      <w:r>
        <w:rPr>
          <w:sz w:val="22"/>
        </w:rPr>
        <w:t>Year</w:t>
      </w:r>
      <w:r>
        <w:rPr>
          <w:spacing w:val="-4"/>
          <w:sz w:val="22"/>
        </w:rPr>
        <w:t> </w:t>
      </w:r>
      <w:r>
        <w:rPr>
          <w:sz w:val="22"/>
        </w:rPr>
        <w:t>1, the State will monitor disputes as they arise, and at year conclusion, will determine if further conflict resolution protocols are needed.</w:t>
      </w:r>
    </w:p>
    <w:p>
      <w:pPr>
        <w:spacing w:after="0" w:line="240" w:lineRule="auto"/>
        <w:jc w:val="left"/>
        <w:rPr>
          <w:sz w:val="22"/>
        </w:rPr>
        <w:sectPr>
          <w:type w:val="continuous"/>
          <w:pgSz w:w="12240" w:h="15840"/>
          <w:pgMar w:header="0" w:footer="967" w:top="1420" w:bottom="1160" w:left="220" w:right="340"/>
        </w:sectPr>
      </w:pPr>
    </w:p>
    <w:p>
      <w:pPr>
        <w:pStyle w:val="Heading1"/>
        <w:jc w:val="both"/>
      </w:pPr>
      <w:bookmarkStart w:name="Appendix B: Description of Statewide Inv" w:id="1491"/>
      <w:bookmarkEnd w:id="1491"/>
      <w:r>
        <w:rPr>
          <w:b w:val="0"/>
        </w:rPr>
      </w:r>
      <w:bookmarkStart w:name="Student Loan Repayment" w:id="1492"/>
      <w:bookmarkEnd w:id="1492"/>
      <w:r>
        <w:rPr>
          <w:b w:val="0"/>
        </w:rPr>
      </w:r>
      <w:bookmarkStart w:name="_bookmark122" w:id="1493"/>
      <w:bookmarkEnd w:id="1493"/>
      <w:r>
        <w:rPr>
          <w:b w:val="0"/>
        </w:rPr>
      </w:r>
      <w:bookmarkStart w:name="_bookmark123" w:id="1494"/>
      <w:bookmarkEnd w:id="1494"/>
      <w:r>
        <w:rPr>
          <w:b w:val="0"/>
        </w:rPr>
      </w:r>
      <w:r>
        <w:rPr>
          <w:color w:val="2E5395"/>
        </w:rPr>
        <w:t>Appendix</w:t>
      </w:r>
      <w:r>
        <w:rPr>
          <w:color w:val="2E5395"/>
          <w:spacing w:val="-8"/>
        </w:rPr>
        <w:t> </w:t>
      </w:r>
      <w:r>
        <w:rPr>
          <w:color w:val="2E5395"/>
        </w:rPr>
        <w:t>B:</w:t>
      </w:r>
      <w:r>
        <w:rPr>
          <w:color w:val="2E5395"/>
          <w:spacing w:val="-7"/>
        </w:rPr>
        <w:t> </w:t>
      </w:r>
      <w:r>
        <w:rPr>
          <w:color w:val="2E5395"/>
        </w:rPr>
        <w:t>Description</w:t>
      </w:r>
      <w:r>
        <w:rPr>
          <w:color w:val="2E5395"/>
          <w:spacing w:val="-6"/>
        </w:rPr>
        <w:t> </w:t>
      </w:r>
      <w:r>
        <w:rPr>
          <w:color w:val="2E5395"/>
        </w:rPr>
        <w:t>of</w:t>
      </w:r>
      <w:r>
        <w:rPr>
          <w:color w:val="2E5395"/>
          <w:spacing w:val="-6"/>
        </w:rPr>
        <w:t> </w:t>
      </w:r>
      <w:r>
        <w:rPr>
          <w:color w:val="2E5395"/>
        </w:rPr>
        <w:t>Statewide</w:t>
      </w:r>
      <w:r>
        <w:rPr>
          <w:color w:val="2E5395"/>
          <w:spacing w:val="-7"/>
        </w:rPr>
        <w:t> </w:t>
      </w:r>
      <w:r>
        <w:rPr>
          <w:color w:val="2E5395"/>
        </w:rPr>
        <w:t>Investments</w:t>
      </w:r>
      <w:r>
        <w:rPr>
          <w:color w:val="2E5395"/>
          <w:spacing w:val="-5"/>
        </w:rPr>
        <w:t> </w:t>
      </w:r>
      <w:r>
        <w:rPr>
          <w:color w:val="2E5395"/>
          <w:spacing w:val="-2"/>
        </w:rPr>
        <w:t>Initiatives</w:t>
      </w:r>
    </w:p>
    <w:p>
      <w:pPr>
        <w:pStyle w:val="Heading2"/>
        <w:ind w:left="1220" w:firstLine="0"/>
      </w:pPr>
      <w:r>
        <w:rPr>
          <w:color w:val="4471C4"/>
        </w:rPr>
        <w:t>Student</w:t>
      </w:r>
      <w:r>
        <w:rPr>
          <w:color w:val="4471C4"/>
          <w:spacing w:val="-8"/>
        </w:rPr>
        <w:t> </w:t>
      </w:r>
      <w:r>
        <w:rPr>
          <w:color w:val="4471C4"/>
        </w:rPr>
        <w:t>Loan</w:t>
      </w:r>
      <w:r>
        <w:rPr>
          <w:color w:val="4471C4"/>
          <w:spacing w:val="-9"/>
        </w:rPr>
        <w:t> </w:t>
      </w:r>
      <w:r>
        <w:rPr>
          <w:color w:val="4471C4"/>
          <w:spacing w:val="-2"/>
        </w:rPr>
        <w:t>Repayment</w:t>
      </w:r>
    </w:p>
    <w:p>
      <w:pPr>
        <w:spacing w:before="0"/>
        <w:ind w:left="1220" w:right="1092" w:firstLine="0"/>
        <w:jc w:val="both"/>
        <w:rPr>
          <w:sz w:val="22"/>
        </w:rPr>
      </w:pPr>
      <w:r>
        <w:rPr>
          <w:sz w:val="22"/>
        </w:rPr>
        <w:t>The</w:t>
      </w:r>
      <w:r>
        <w:rPr>
          <w:spacing w:val="-1"/>
          <w:sz w:val="22"/>
        </w:rPr>
        <w:t> </w:t>
      </w:r>
      <w:r>
        <w:rPr>
          <w:sz w:val="22"/>
        </w:rPr>
        <w:t>student</w:t>
      </w:r>
      <w:r>
        <w:rPr>
          <w:spacing w:val="-3"/>
          <w:sz w:val="22"/>
        </w:rPr>
        <w:t> </w:t>
      </w:r>
      <w:r>
        <w:rPr>
          <w:sz w:val="22"/>
        </w:rPr>
        <w:t>loan</w:t>
      </w:r>
      <w:r>
        <w:rPr>
          <w:spacing w:val="-1"/>
          <w:sz w:val="22"/>
        </w:rPr>
        <w:t> </w:t>
      </w:r>
      <w:r>
        <w:rPr>
          <w:sz w:val="22"/>
        </w:rPr>
        <w:t>repayment program</w:t>
      </w:r>
      <w:r>
        <w:rPr>
          <w:spacing w:val="-5"/>
          <w:sz w:val="22"/>
        </w:rPr>
        <w:t> </w:t>
      </w:r>
      <w:r>
        <w:rPr>
          <w:sz w:val="22"/>
        </w:rPr>
        <w:t>will repay</w:t>
      </w:r>
      <w:r>
        <w:rPr>
          <w:spacing w:val="-4"/>
          <w:sz w:val="22"/>
        </w:rPr>
        <w:t> </w:t>
      </w:r>
      <w:r>
        <w:rPr>
          <w:sz w:val="22"/>
        </w:rPr>
        <w:t>a</w:t>
      </w:r>
      <w:r>
        <w:rPr>
          <w:spacing w:val="-1"/>
          <w:sz w:val="22"/>
        </w:rPr>
        <w:t> </w:t>
      </w:r>
      <w:r>
        <w:rPr>
          <w:sz w:val="22"/>
        </w:rPr>
        <w:t>portion</w:t>
      </w:r>
      <w:r>
        <w:rPr>
          <w:spacing w:val="-1"/>
          <w:sz w:val="22"/>
        </w:rPr>
        <w:t> </w:t>
      </w:r>
      <w:r>
        <w:rPr>
          <w:sz w:val="22"/>
        </w:rPr>
        <w:t>of a</w:t>
      </w:r>
      <w:r>
        <w:rPr>
          <w:spacing w:val="-1"/>
          <w:sz w:val="22"/>
        </w:rPr>
        <w:t> </w:t>
      </w:r>
      <w:r>
        <w:rPr>
          <w:sz w:val="22"/>
        </w:rPr>
        <w:t>student’s</w:t>
      </w:r>
      <w:r>
        <w:rPr>
          <w:spacing w:val="-1"/>
          <w:sz w:val="22"/>
        </w:rPr>
        <w:t> </w:t>
      </w:r>
      <w:r>
        <w:rPr>
          <w:sz w:val="22"/>
        </w:rPr>
        <w:t>loan</w:t>
      </w:r>
      <w:r>
        <w:rPr>
          <w:spacing w:val="-1"/>
          <w:sz w:val="22"/>
        </w:rPr>
        <w:t> </w:t>
      </w:r>
      <w:r>
        <w:rPr>
          <w:sz w:val="22"/>
        </w:rPr>
        <w:t>in</w:t>
      </w:r>
      <w:r>
        <w:rPr>
          <w:spacing w:val="-1"/>
          <w:sz w:val="22"/>
        </w:rPr>
        <w:t> </w:t>
      </w:r>
      <w:r>
        <w:rPr>
          <w:sz w:val="22"/>
        </w:rPr>
        <w:t>exchange</w:t>
      </w:r>
      <w:r>
        <w:rPr>
          <w:spacing w:val="-1"/>
          <w:sz w:val="22"/>
        </w:rPr>
        <w:t> </w:t>
      </w:r>
      <w:r>
        <w:rPr>
          <w:sz w:val="22"/>
        </w:rPr>
        <w:t>for at least an</w:t>
      </w:r>
      <w:r>
        <w:rPr>
          <w:spacing w:val="-1"/>
          <w:sz w:val="22"/>
        </w:rPr>
        <w:t> </w:t>
      </w:r>
      <w:r>
        <w:rPr>
          <w:sz w:val="22"/>
        </w:rPr>
        <w:t>18 month commitment (or equivalent in part time service) to work as a (1) primary care provider at a community health center or (2) behavioral health professional (e.g., Community Health Worker (CHW), Peer Specialist, Recovery</w:t>
      </w:r>
      <w:r>
        <w:rPr>
          <w:spacing w:val="40"/>
          <w:sz w:val="22"/>
        </w:rPr>
        <w:t> </w:t>
      </w:r>
      <w:r>
        <w:rPr>
          <w:sz w:val="22"/>
        </w:rPr>
        <w:t>Support Specialist, or Licensed Clinical social worker) in a community setting (e.g.,</w:t>
      </w:r>
      <w:r>
        <w:rPr>
          <w:spacing w:val="-5"/>
          <w:sz w:val="22"/>
        </w:rPr>
        <w:t> </w:t>
      </w:r>
      <w:r>
        <w:rPr>
          <w:sz w:val="22"/>
        </w:rPr>
        <w:t>community</w:t>
      </w:r>
      <w:r>
        <w:rPr>
          <w:spacing w:val="-7"/>
          <w:sz w:val="22"/>
        </w:rPr>
        <w:t> </w:t>
      </w:r>
      <w:r>
        <w:rPr>
          <w:sz w:val="22"/>
        </w:rPr>
        <w:t>health</w:t>
      </w:r>
      <w:r>
        <w:rPr>
          <w:spacing w:val="-5"/>
          <w:sz w:val="22"/>
        </w:rPr>
        <w:t> </w:t>
      </w:r>
      <w:r>
        <w:rPr>
          <w:sz w:val="22"/>
        </w:rPr>
        <w:t>center,</w:t>
      </w:r>
      <w:r>
        <w:rPr>
          <w:spacing w:val="-7"/>
          <w:sz w:val="22"/>
        </w:rPr>
        <w:t> </w:t>
      </w:r>
      <w:r>
        <w:rPr>
          <w:sz w:val="22"/>
        </w:rPr>
        <w:t>community</w:t>
      </w:r>
      <w:r>
        <w:rPr>
          <w:spacing w:val="-7"/>
          <w:sz w:val="22"/>
        </w:rPr>
        <w:t> </w:t>
      </w:r>
      <w:r>
        <w:rPr>
          <w:sz w:val="22"/>
        </w:rPr>
        <w:t>mental</w:t>
      </w:r>
      <w:r>
        <w:rPr>
          <w:spacing w:val="-4"/>
          <w:sz w:val="22"/>
        </w:rPr>
        <w:t> </w:t>
      </w:r>
      <w:r>
        <w:rPr>
          <w:sz w:val="22"/>
        </w:rPr>
        <w:t>health</w:t>
      </w:r>
      <w:r>
        <w:rPr>
          <w:spacing w:val="-5"/>
          <w:sz w:val="22"/>
        </w:rPr>
        <w:t> </w:t>
      </w:r>
      <w:r>
        <w:rPr>
          <w:sz w:val="22"/>
        </w:rPr>
        <w:t>center)</w:t>
      </w:r>
      <w:r>
        <w:rPr>
          <w:spacing w:val="-6"/>
          <w:sz w:val="22"/>
        </w:rPr>
        <w:t> </w:t>
      </w:r>
      <w:r>
        <w:rPr>
          <w:sz w:val="22"/>
        </w:rPr>
        <w:t>and/or</w:t>
      </w:r>
      <w:r>
        <w:rPr>
          <w:spacing w:val="-4"/>
          <w:sz w:val="22"/>
        </w:rPr>
        <w:t> </w:t>
      </w:r>
      <w:r>
        <w:rPr>
          <w:sz w:val="22"/>
        </w:rPr>
        <w:t>at</w:t>
      </w:r>
      <w:r>
        <w:rPr>
          <w:spacing w:val="-4"/>
          <w:sz w:val="22"/>
        </w:rPr>
        <w:t> </w:t>
      </w:r>
      <w:r>
        <w:rPr>
          <w:sz w:val="22"/>
        </w:rPr>
        <w:t>an</w:t>
      </w:r>
      <w:r>
        <w:rPr>
          <w:spacing w:val="-5"/>
          <w:sz w:val="22"/>
        </w:rPr>
        <w:t> </w:t>
      </w:r>
      <w:r>
        <w:rPr>
          <w:sz w:val="22"/>
        </w:rPr>
        <w:t>Emergency</w:t>
      </w:r>
      <w:r>
        <w:rPr>
          <w:spacing w:val="-7"/>
          <w:sz w:val="22"/>
        </w:rPr>
        <w:t> </w:t>
      </w:r>
      <w:r>
        <w:rPr>
          <w:sz w:val="22"/>
        </w:rPr>
        <w:t>Service</w:t>
      </w:r>
      <w:r>
        <w:rPr>
          <w:spacing w:val="-4"/>
          <w:sz w:val="22"/>
        </w:rPr>
        <w:t> </w:t>
      </w:r>
      <w:r>
        <w:rPr>
          <w:sz w:val="22"/>
        </w:rPr>
        <w:t>Program (ESP), and/or at any entity participating in a CP or CSA. This program hopes to reduce the shortage of providers and incentivize them to remain in the field long-term. Additionally, increased numbers of providers available to ESPs will help support diversionary strategies to reduce Emergency Department utilization and increase appropriate member placement in other settings.</w:t>
      </w:r>
    </w:p>
    <w:p>
      <w:pPr>
        <w:spacing w:line="252" w:lineRule="exact" w:before="198"/>
        <w:ind w:left="1220" w:right="0" w:firstLine="0"/>
        <w:jc w:val="both"/>
        <w:rPr>
          <w:sz w:val="22"/>
        </w:rPr>
      </w:pPr>
      <w:bookmarkStart w:name="Awardee’s Obligations" w:id="1495"/>
      <w:bookmarkEnd w:id="1495"/>
      <w:r>
        <w:rPr/>
      </w:r>
      <w:r>
        <w:rPr>
          <w:color w:val="1F3762"/>
          <w:sz w:val="22"/>
        </w:rPr>
        <w:t>Awardee’s</w:t>
      </w:r>
      <w:r>
        <w:rPr>
          <w:color w:val="1F3762"/>
          <w:spacing w:val="-6"/>
          <w:sz w:val="22"/>
        </w:rPr>
        <w:t> </w:t>
      </w:r>
      <w:r>
        <w:rPr>
          <w:color w:val="1F3762"/>
          <w:spacing w:val="-2"/>
          <w:sz w:val="22"/>
        </w:rPr>
        <w:t>Obligations</w:t>
      </w:r>
    </w:p>
    <w:p>
      <w:pPr>
        <w:spacing w:line="240" w:lineRule="auto" w:before="0"/>
        <w:ind w:left="1220" w:right="1093" w:firstLine="0"/>
        <w:jc w:val="both"/>
        <w:rPr>
          <w:sz w:val="22"/>
        </w:rPr>
      </w:pPr>
      <w:r>
        <w:rPr>
          <w:sz w:val="22"/>
        </w:rPr>
        <w:t>Awardees will be required to submit semiannual progress reports to the State that detail the impact of the student</w:t>
      </w:r>
      <w:r>
        <w:rPr>
          <w:spacing w:val="-14"/>
          <w:sz w:val="22"/>
        </w:rPr>
        <w:t> </w:t>
      </w:r>
      <w:r>
        <w:rPr>
          <w:sz w:val="22"/>
        </w:rPr>
        <w:t>loan</w:t>
      </w:r>
      <w:r>
        <w:rPr>
          <w:spacing w:val="-14"/>
          <w:sz w:val="22"/>
        </w:rPr>
        <w:t> </w:t>
      </w:r>
      <w:r>
        <w:rPr>
          <w:sz w:val="22"/>
        </w:rPr>
        <w:t>repayment</w:t>
      </w:r>
      <w:r>
        <w:rPr>
          <w:spacing w:val="-14"/>
          <w:sz w:val="22"/>
        </w:rPr>
        <w:t> </w:t>
      </w:r>
      <w:r>
        <w:rPr>
          <w:sz w:val="22"/>
        </w:rPr>
        <w:t>program</w:t>
      </w:r>
      <w:r>
        <w:rPr>
          <w:spacing w:val="-13"/>
          <w:sz w:val="22"/>
        </w:rPr>
        <w:t> </w:t>
      </w:r>
      <w:r>
        <w:rPr>
          <w:sz w:val="22"/>
        </w:rPr>
        <w:t>on</w:t>
      </w:r>
      <w:r>
        <w:rPr>
          <w:spacing w:val="-14"/>
          <w:sz w:val="22"/>
        </w:rPr>
        <w:t> </w:t>
      </w:r>
      <w:r>
        <w:rPr>
          <w:sz w:val="22"/>
        </w:rPr>
        <w:t>their</w:t>
      </w:r>
      <w:r>
        <w:rPr>
          <w:spacing w:val="-14"/>
          <w:sz w:val="22"/>
        </w:rPr>
        <w:t> </w:t>
      </w:r>
      <w:r>
        <w:rPr>
          <w:sz w:val="22"/>
        </w:rPr>
        <w:t>practice</w:t>
      </w:r>
      <w:r>
        <w:rPr>
          <w:spacing w:val="-14"/>
          <w:sz w:val="22"/>
        </w:rPr>
        <w:t> </w:t>
      </w:r>
      <w:r>
        <w:rPr>
          <w:sz w:val="22"/>
        </w:rPr>
        <w:t>and</w:t>
      </w:r>
      <w:r>
        <w:rPr>
          <w:spacing w:val="-13"/>
          <w:sz w:val="22"/>
        </w:rPr>
        <w:t> </w:t>
      </w:r>
      <w:r>
        <w:rPr>
          <w:sz w:val="22"/>
        </w:rPr>
        <w:t>institutions.</w:t>
      </w:r>
      <w:r>
        <w:rPr>
          <w:spacing w:val="-14"/>
          <w:sz w:val="22"/>
        </w:rPr>
        <w:t> </w:t>
      </w:r>
      <w:r>
        <w:rPr>
          <w:sz w:val="22"/>
        </w:rPr>
        <w:t>Awardees’</w:t>
      </w:r>
      <w:r>
        <w:rPr>
          <w:spacing w:val="-14"/>
          <w:sz w:val="22"/>
        </w:rPr>
        <w:t> </w:t>
      </w:r>
      <w:r>
        <w:rPr>
          <w:sz w:val="22"/>
        </w:rPr>
        <w:t>accountability</w:t>
      </w:r>
      <w:r>
        <w:rPr>
          <w:spacing w:val="-14"/>
          <w:sz w:val="22"/>
        </w:rPr>
        <w:t> </w:t>
      </w:r>
      <w:r>
        <w:rPr>
          <w:sz w:val="22"/>
        </w:rPr>
        <w:t>will</w:t>
      </w:r>
      <w:r>
        <w:rPr>
          <w:spacing w:val="-13"/>
          <w:sz w:val="22"/>
        </w:rPr>
        <w:t> </w:t>
      </w:r>
      <w:r>
        <w:rPr>
          <w:sz w:val="22"/>
        </w:rPr>
        <w:t>be</w:t>
      </w:r>
      <w:r>
        <w:rPr>
          <w:spacing w:val="-14"/>
          <w:sz w:val="22"/>
        </w:rPr>
        <w:t> </w:t>
      </w:r>
      <w:r>
        <w:rPr>
          <w:sz w:val="22"/>
        </w:rPr>
        <w:t>ensured through primary care providers’ and behavioral health professionals’ attestations that they have remained in the required placement for a minimum of two years or the equivalent in part time service. If a provider fails to fulfill the minimum requirement, the State will determine the appropriate recourse, which may include recoupment of funds paid by the State for student loans.</w:t>
      </w:r>
    </w:p>
    <w:p>
      <w:pPr>
        <w:spacing w:line="252" w:lineRule="exact" w:before="202"/>
        <w:ind w:left="1220" w:right="0" w:firstLine="0"/>
        <w:jc w:val="both"/>
        <w:rPr>
          <w:sz w:val="22"/>
        </w:rPr>
      </w:pPr>
      <w:bookmarkStart w:name="State Management" w:id="1496"/>
      <w:bookmarkEnd w:id="1496"/>
      <w:r>
        <w:rPr/>
      </w:r>
      <w:r>
        <w:rPr>
          <w:color w:val="1F3762"/>
          <w:sz w:val="22"/>
        </w:rPr>
        <w:t>State</w:t>
      </w:r>
      <w:r>
        <w:rPr>
          <w:color w:val="1F3762"/>
          <w:spacing w:val="-2"/>
          <w:sz w:val="22"/>
        </w:rPr>
        <w:t> Management</w:t>
      </w:r>
    </w:p>
    <w:p>
      <w:pPr>
        <w:spacing w:before="0"/>
        <w:ind w:left="1220" w:right="1096" w:firstLine="0"/>
        <w:jc w:val="both"/>
        <w:rPr>
          <w:sz w:val="22"/>
        </w:rPr>
      </w:pPr>
      <w:r>
        <w:rPr>
          <w:sz w:val="22"/>
        </w:rPr>
        <w:t>The</w:t>
      </w:r>
      <w:r>
        <w:rPr>
          <w:spacing w:val="-9"/>
          <w:sz w:val="22"/>
        </w:rPr>
        <w:t> </w:t>
      </w:r>
      <w:r>
        <w:rPr>
          <w:sz w:val="22"/>
        </w:rPr>
        <w:t>State</w:t>
      </w:r>
      <w:r>
        <w:rPr>
          <w:spacing w:val="-9"/>
          <w:sz w:val="22"/>
        </w:rPr>
        <w:t> </w:t>
      </w:r>
      <w:r>
        <w:rPr>
          <w:sz w:val="22"/>
        </w:rPr>
        <w:t>will</w:t>
      </w:r>
      <w:r>
        <w:rPr>
          <w:spacing w:val="-6"/>
          <w:sz w:val="22"/>
        </w:rPr>
        <w:t> </w:t>
      </w:r>
      <w:r>
        <w:rPr>
          <w:sz w:val="22"/>
        </w:rPr>
        <w:t>select</w:t>
      </w:r>
      <w:r>
        <w:rPr>
          <w:spacing w:val="-9"/>
          <w:sz w:val="22"/>
        </w:rPr>
        <w:t> </w:t>
      </w:r>
      <w:r>
        <w:rPr>
          <w:sz w:val="22"/>
        </w:rPr>
        <w:t>the</w:t>
      </w:r>
      <w:r>
        <w:rPr>
          <w:spacing w:val="-7"/>
          <w:sz w:val="22"/>
        </w:rPr>
        <w:t> </w:t>
      </w:r>
      <w:r>
        <w:rPr>
          <w:sz w:val="22"/>
        </w:rPr>
        <w:t>recipients</w:t>
      </w:r>
      <w:r>
        <w:rPr>
          <w:spacing w:val="-7"/>
          <w:sz w:val="22"/>
        </w:rPr>
        <w:t> </w:t>
      </w:r>
      <w:r>
        <w:rPr>
          <w:sz w:val="22"/>
        </w:rPr>
        <w:t>of</w:t>
      </w:r>
      <w:r>
        <w:rPr>
          <w:spacing w:val="-9"/>
          <w:sz w:val="22"/>
        </w:rPr>
        <w:t> </w:t>
      </w:r>
      <w:r>
        <w:rPr>
          <w:sz w:val="22"/>
        </w:rPr>
        <w:t>the</w:t>
      </w:r>
      <w:r>
        <w:rPr>
          <w:spacing w:val="-7"/>
          <w:sz w:val="22"/>
        </w:rPr>
        <w:t> </w:t>
      </w:r>
      <w:r>
        <w:rPr>
          <w:sz w:val="22"/>
        </w:rPr>
        <w:t>awards,</w:t>
      </w:r>
      <w:r>
        <w:rPr>
          <w:spacing w:val="-9"/>
          <w:sz w:val="22"/>
        </w:rPr>
        <w:t> </w:t>
      </w:r>
      <w:r>
        <w:rPr>
          <w:sz w:val="22"/>
        </w:rPr>
        <w:t>and</w:t>
      </w:r>
      <w:r>
        <w:rPr>
          <w:spacing w:val="-7"/>
          <w:sz w:val="22"/>
        </w:rPr>
        <w:t> </w:t>
      </w:r>
      <w:r>
        <w:rPr>
          <w:sz w:val="22"/>
        </w:rPr>
        <w:t>will</w:t>
      </w:r>
      <w:r>
        <w:rPr>
          <w:spacing w:val="-6"/>
          <w:sz w:val="22"/>
        </w:rPr>
        <w:t> </w:t>
      </w:r>
      <w:r>
        <w:rPr>
          <w:sz w:val="22"/>
        </w:rPr>
        <w:t>conduct</w:t>
      </w:r>
      <w:r>
        <w:rPr>
          <w:spacing w:val="-6"/>
          <w:sz w:val="22"/>
        </w:rPr>
        <w:t> </w:t>
      </w:r>
      <w:r>
        <w:rPr>
          <w:sz w:val="22"/>
        </w:rPr>
        <w:t>robust</w:t>
      </w:r>
      <w:r>
        <w:rPr>
          <w:spacing w:val="-6"/>
          <w:sz w:val="22"/>
        </w:rPr>
        <w:t> </w:t>
      </w:r>
      <w:r>
        <w:rPr>
          <w:sz w:val="22"/>
        </w:rPr>
        <w:t>monitoring</w:t>
      </w:r>
      <w:r>
        <w:rPr>
          <w:spacing w:val="-10"/>
          <w:sz w:val="22"/>
        </w:rPr>
        <w:t> </w:t>
      </w:r>
      <w:r>
        <w:rPr>
          <w:sz w:val="22"/>
        </w:rPr>
        <w:t>and</w:t>
      </w:r>
      <w:r>
        <w:rPr>
          <w:spacing w:val="-7"/>
          <w:sz w:val="22"/>
        </w:rPr>
        <w:t> </w:t>
      </w:r>
      <w:r>
        <w:rPr>
          <w:sz w:val="22"/>
        </w:rPr>
        <w:t>assessment</w:t>
      </w:r>
      <w:r>
        <w:rPr>
          <w:spacing w:val="-6"/>
          <w:sz w:val="22"/>
        </w:rPr>
        <w:t> </w:t>
      </w:r>
      <w:r>
        <w:rPr>
          <w:sz w:val="22"/>
        </w:rPr>
        <w:t>of</w:t>
      </w:r>
      <w:r>
        <w:rPr>
          <w:spacing w:val="-6"/>
          <w:sz w:val="22"/>
        </w:rPr>
        <w:t> </w:t>
      </w:r>
      <w:r>
        <w:rPr>
          <w:sz w:val="22"/>
        </w:rPr>
        <w:t>the semi-annual progress reports including reviewing the awardees’ progress, successes, and challenges.</w:t>
      </w:r>
    </w:p>
    <w:p>
      <w:pPr>
        <w:pStyle w:val="Heading2"/>
        <w:ind w:left="1220" w:firstLine="0"/>
      </w:pPr>
      <w:bookmarkStart w:name="Primary Care Integration Models and Rete" w:id="1497"/>
      <w:bookmarkEnd w:id="1497"/>
      <w:r>
        <w:rPr>
          <w:b w:val="0"/>
        </w:rPr>
      </w:r>
      <w:bookmarkStart w:name="_bookmark124" w:id="1498"/>
      <w:bookmarkEnd w:id="1498"/>
      <w:r>
        <w:rPr>
          <w:b w:val="0"/>
        </w:rPr>
      </w:r>
      <w:r>
        <w:rPr>
          <w:color w:val="4471C4"/>
        </w:rPr>
        <w:t>Primary</w:t>
      </w:r>
      <w:r>
        <w:rPr>
          <w:color w:val="4471C4"/>
          <w:spacing w:val="-8"/>
        </w:rPr>
        <w:t> </w:t>
      </w:r>
      <w:r>
        <w:rPr>
          <w:color w:val="4471C4"/>
        </w:rPr>
        <w:t>Care</w:t>
      </w:r>
      <w:r>
        <w:rPr>
          <w:color w:val="4471C4"/>
          <w:spacing w:val="-10"/>
        </w:rPr>
        <w:t> </w:t>
      </w:r>
      <w:r>
        <w:rPr>
          <w:color w:val="4471C4"/>
        </w:rPr>
        <w:t>Integration</w:t>
      </w:r>
      <w:r>
        <w:rPr>
          <w:color w:val="4471C4"/>
          <w:spacing w:val="-10"/>
        </w:rPr>
        <w:t> </w:t>
      </w:r>
      <w:r>
        <w:rPr>
          <w:color w:val="4471C4"/>
        </w:rPr>
        <w:t>Models</w:t>
      </w:r>
      <w:r>
        <w:rPr>
          <w:color w:val="4471C4"/>
          <w:spacing w:val="-10"/>
        </w:rPr>
        <w:t> </w:t>
      </w:r>
      <w:r>
        <w:rPr>
          <w:color w:val="4471C4"/>
        </w:rPr>
        <w:t>and</w:t>
      </w:r>
      <w:r>
        <w:rPr>
          <w:color w:val="4471C4"/>
          <w:spacing w:val="-7"/>
        </w:rPr>
        <w:t> </w:t>
      </w:r>
      <w:r>
        <w:rPr>
          <w:color w:val="4471C4"/>
          <w:spacing w:val="-2"/>
        </w:rPr>
        <w:t>Retention</w:t>
      </w:r>
    </w:p>
    <w:p>
      <w:pPr>
        <w:spacing w:before="0"/>
        <w:ind w:left="1219" w:right="1094" w:firstLine="0"/>
        <w:jc w:val="both"/>
        <w:rPr>
          <w:sz w:val="22"/>
        </w:rPr>
      </w:pPr>
      <w:r>
        <w:rPr>
          <w:sz w:val="22"/>
        </w:rPr>
        <w:t>The State will implement a grant program that provides support for community health centers and community mental health centers, and/or any entity participating in a CP or CSA to allow their primary care and behavioral health providers to engage in one-year projects related to accountable care implementation,</w:t>
      </w:r>
      <w:r>
        <w:rPr>
          <w:spacing w:val="-10"/>
          <w:sz w:val="22"/>
        </w:rPr>
        <w:t> </w:t>
      </w:r>
      <w:r>
        <w:rPr>
          <w:sz w:val="22"/>
        </w:rPr>
        <w:t>including</w:t>
      </w:r>
      <w:r>
        <w:rPr>
          <w:spacing w:val="-12"/>
          <w:sz w:val="22"/>
        </w:rPr>
        <w:t> </w:t>
      </w:r>
      <w:r>
        <w:rPr>
          <w:sz w:val="22"/>
        </w:rPr>
        <w:t>improving</w:t>
      </w:r>
      <w:r>
        <w:rPr>
          <w:spacing w:val="-12"/>
          <w:sz w:val="22"/>
        </w:rPr>
        <w:t> </w:t>
      </w:r>
      <w:r>
        <w:rPr>
          <w:sz w:val="22"/>
        </w:rPr>
        <w:t>care</w:t>
      </w:r>
      <w:r>
        <w:rPr>
          <w:spacing w:val="-9"/>
          <w:sz w:val="22"/>
        </w:rPr>
        <w:t> </w:t>
      </w:r>
      <w:r>
        <w:rPr>
          <w:sz w:val="22"/>
        </w:rPr>
        <w:t>coordination</w:t>
      </w:r>
      <w:r>
        <w:rPr>
          <w:spacing w:val="-12"/>
          <w:sz w:val="22"/>
        </w:rPr>
        <w:t> </w:t>
      </w:r>
      <w:r>
        <w:rPr>
          <w:sz w:val="22"/>
        </w:rPr>
        <w:t>and</w:t>
      </w:r>
      <w:r>
        <w:rPr>
          <w:spacing w:val="-10"/>
          <w:sz w:val="22"/>
        </w:rPr>
        <w:t> </w:t>
      </w:r>
      <w:r>
        <w:rPr>
          <w:sz w:val="22"/>
        </w:rPr>
        <w:t>integrating</w:t>
      </w:r>
      <w:r>
        <w:rPr>
          <w:spacing w:val="-12"/>
          <w:sz w:val="22"/>
        </w:rPr>
        <w:t> </w:t>
      </w:r>
      <w:r>
        <w:rPr>
          <w:sz w:val="22"/>
        </w:rPr>
        <w:t>primary</w:t>
      </w:r>
      <w:r>
        <w:rPr>
          <w:spacing w:val="-12"/>
          <w:sz w:val="22"/>
        </w:rPr>
        <w:t> </w:t>
      </w:r>
      <w:r>
        <w:rPr>
          <w:sz w:val="22"/>
        </w:rPr>
        <w:t>care</w:t>
      </w:r>
      <w:r>
        <w:rPr>
          <w:spacing w:val="-9"/>
          <w:sz w:val="22"/>
        </w:rPr>
        <w:t> </w:t>
      </w:r>
      <w:r>
        <w:rPr>
          <w:sz w:val="22"/>
        </w:rPr>
        <w:t>and</w:t>
      </w:r>
      <w:r>
        <w:rPr>
          <w:spacing w:val="-10"/>
          <w:sz w:val="22"/>
        </w:rPr>
        <w:t> </w:t>
      </w:r>
      <w:r>
        <w:rPr>
          <w:sz w:val="22"/>
        </w:rPr>
        <w:t>behavioral</w:t>
      </w:r>
      <w:r>
        <w:rPr>
          <w:spacing w:val="-9"/>
          <w:sz w:val="22"/>
        </w:rPr>
        <w:t> </w:t>
      </w:r>
      <w:r>
        <w:rPr>
          <w:sz w:val="22"/>
        </w:rPr>
        <w:t>health. These</w:t>
      </w:r>
      <w:r>
        <w:rPr>
          <w:spacing w:val="-9"/>
          <w:sz w:val="22"/>
        </w:rPr>
        <w:t> </w:t>
      </w:r>
      <w:r>
        <w:rPr>
          <w:sz w:val="22"/>
        </w:rPr>
        <w:t>projects</w:t>
      </w:r>
      <w:r>
        <w:rPr>
          <w:spacing w:val="-9"/>
          <w:sz w:val="22"/>
        </w:rPr>
        <w:t> </w:t>
      </w:r>
      <w:r>
        <w:rPr>
          <w:sz w:val="22"/>
        </w:rPr>
        <w:t>must</w:t>
      </w:r>
      <w:r>
        <w:rPr>
          <w:spacing w:val="-9"/>
          <w:sz w:val="22"/>
        </w:rPr>
        <w:t> </w:t>
      </w:r>
      <w:r>
        <w:rPr>
          <w:sz w:val="22"/>
        </w:rPr>
        <w:t>support</w:t>
      </w:r>
      <w:r>
        <w:rPr>
          <w:spacing w:val="-11"/>
          <w:sz w:val="22"/>
        </w:rPr>
        <w:t> </w:t>
      </w:r>
      <w:r>
        <w:rPr>
          <w:sz w:val="22"/>
        </w:rPr>
        <w:t>improvements</w:t>
      </w:r>
      <w:r>
        <w:rPr>
          <w:spacing w:val="-9"/>
          <w:sz w:val="22"/>
        </w:rPr>
        <w:t> </w:t>
      </w:r>
      <w:r>
        <w:rPr>
          <w:sz w:val="22"/>
        </w:rPr>
        <w:t>in</w:t>
      </w:r>
      <w:r>
        <w:rPr>
          <w:spacing w:val="-10"/>
          <w:sz w:val="22"/>
        </w:rPr>
        <w:t> </w:t>
      </w:r>
      <w:r>
        <w:rPr>
          <w:sz w:val="22"/>
        </w:rPr>
        <w:t>cost,</w:t>
      </w:r>
      <w:r>
        <w:rPr>
          <w:spacing w:val="-10"/>
          <w:sz w:val="22"/>
        </w:rPr>
        <w:t> </w:t>
      </w:r>
      <w:r>
        <w:rPr>
          <w:sz w:val="22"/>
        </w:rPr>
        <w:t>quality</w:t>
      </w:r>
      <w:r>
        <w:rPr>
          <w:spacing w:val="-12"/>
          <w:sz w:val="22"/>
        </w:rPr>
        <w:t> </w:t>
      </w:r>
      <w:r>
        <w:rPr>
          <w:sz w:val="22"/>
        </w:rPr>
        <w:t>and</w:t>
      </w:r>
      <w:r>
        <w:rPr>
          <w:spacing w:val="-10"/>
          <w:sz w:val="22"/>
        </w:rPr>
        <w:t> </w:t>
      </w:r>
      <w:r>
        <w:rPr>
          <w:sz w:val="22"/>
        </w:rPr>
        <w:t>patient</w:t>
      </w:r>
      <w:r>
        <w:rPr>
          <w:spacing w:val="-9"/>
          <w:sz w:val="22"/>
        </w:rPr>
        <w:t> </w:t>
      </w:r>
      <w:r>
        <w:rPr>
          <w:sz w:val="22"/>
        </w:rPr>
        <w:t>experience</w:t>
      </w:r>
      <w:r>
        <w:rPr>
          <w:spacing w:val="-9"/>
          <w:sz w:val="22"/>
        </w:rPr>
        <w:t> </w:t>
      </w:r>
      <w:r>
        <w:rPr>
          <w:sz w:val="22"/>
        </w:rPr>
        <w:t>through</w:t>
      </w:r>
      <w:r>
        <w:rPr>
          <w:spacing w:val="-10"/>
          <w:sz w:val="22"/>
        </w:rPr>
        <w:t> </w:t>
      </w:r>
      <w:r>
        <w:rPr>
          <w:sz w:val="22"/>
        </w:rPr>
        <w:t>accountable</w:t>
      </w:r>
      <w:r>
        <w:rPr>
          <w:spacing w:val="-9"/>
          <w:sz w:val="22"/>
        </w:rPr>
        <w:t> </w:t>
      </w:r>
      <w:r>
        <w:rPr>
          <w:sz w:val="22"/>
        </w:rPr>
        <w:t>care frameworks and will also serve as an opportunity to increase retention of providers. Community health centers,</w:t>
      </w:r>
      <w:r>
        <w:rPr>
          <w:spacing w:val="-2"/>
          <w:sz w:val="22"/>
        </w:rPr>
        <w:t> </w:t>
      </w:r>
      <w:r>
        <w:rPr>
          <w:sz w:val="22"/>
        </w:rPr>
        <w:t>community</w:t>
      </w:r>
      <w:r>
        <w:rPr>
          <w:spacing w:val="-2"/>
          <w:sz w:val="22"/>
        </w:rPr>
        <w:t> </w:t>
      </w:r>
      <w:r>
        <w:rPr>
          <w:sz w:val="22"/>
        </w:rPr>
        <w:t>mental</w:t>
      </w:r>
      <w:r>
        <w:rPr>
          <w:spacing w:val="-4"/>
          <w:sz w:val="22"/>
        </w:rPr>
        <w:t> </w:t>
      </w:r>
      <w:r>
        <w:rPr>
          <w:sz w:val="22"/>
        </w:rPr>
        <w:t>health</w:t>
      </w:r>
      <w:r>
        <w:rPr>
          <w:spacing w:val="-2"/>
          <w:sz w:val="22"/>
        </w:rPr>
        <w:t> </w:t>
      </w:r>
      <w:r>
        <w:rPr>
          <w:sz w:val="22"/>
        </w:rPr>
        <w:t>centers,</w:t>
      </w:r>
      <w:r>
        <w:rPr>
          <w:spacing w:val="-2"/>
          <w:sz w:val="22"/>
        </w:rPr>
        <w:t> </w:t>
      </w:r>
      <w:r>
        <w:rPr>
          <w:sz w:val="22"/>
        </w:rPr>
        <w:t>and/or</w:t>
      </w:r>
      <w:r>
        <w:rPr>
          <w:spacing w:val="-1"/>
          <w:sz w:val="22"/>
        </w:rPr>
        <w:t> </w:t>
      </w:r>
      <w:r>
        <w:rPr>
          <w:sz w:val="22"/>
        </w:rPr>
        <w:t>entities</w:t>
      </w:r>
      <w:r>
        <w:rPr>
          <w:spacing w:val="-2"/>
          <w:sz w:val="22"/>
        </w:rPr>
        <w:t> </w:t>
      </w:r>
      <w:r>
        <w:rPr>
          <w:sz w:val="22"/>
        </w:rPr>
        <w:t>participating</w:t>
      </w:r>
      <w:r>
        <w:rPr>
          <w:spacing w:val="-4"/>
          <w:sz w:val="22"/>
        </w:rPr>
        <w:t> </w:t>
      </w:r>
      <w:r>
        <w:rPr>
          <w:sz w:val="22"/>
        </w:rPr>
        <w:t>in</w:t>
      </w:r>
      <w:r>
        <w:rPr>
          <w:spacing w:val="-2"/>
          <w:sz w:val="22"/>
        </w:rPr>
        <w:t> </w:t>
      </w:r>
      <w:r>
        <w:rPr>
          <w:sz w:val="22"/>
        </w:rPr>
        <w:t>a</w:t>
      </w:r>
      <w:r>
        <w:rPr>
          <w:spacing w:val="-2"/>
          <w:sz w:val="22"/>
        </w:rPr>
        <w:t> </w:t>
      </w:r>
      <w:r>
        <w:rPr>
          <w:sz w:val="22"/>
        </w:rPr>
        <w:t>CP</w:t>
      </w:r>
      <w:r>
        <w:rPr>
          <w:spacing w:val="-3"/>
          <w:sz w:val="22"/>
        </w:rPr>
        <w:t> </w:t>
      </w:r>
      <w:r>
        <w:rPr>
          <w:sz w:val="22"/>
        </w:rPr>
        <w:t>or</w:t>
      </w:r>
      <w:r>
        <w:rPr>
          <w:spacing w:val="-1"/>
          <w:sz w:val="22"/>
        </w:rPr>
        <w:t> </w:t>
      </w:r>
      <w:r>
        <w:rPr>
          <w:sz w:val="22"/>
        </w:rPr>
        <w:t>CSA</w:t>
      </w:r>
      <w:r>
        <w:rPr>
          <w:spacing w:val="-3"/>
          <w:sz w:val="22"/>
        </w:rPr>
        <w:t> </w:t>
      </w:r>
      <w:r>
        <w:rPr>
          <w:sz w:val="22"/>
        </w:rPr>
        <w:t>will</w:t>
      </w:r>
      <w:r>
        <w:rPr>
          <w:spacing w:val="-1"/>
          <w:sz w:val="22"/>
        </w:rPr>
        <w:t> </w:t>
      </w:r>
      <w:r>
        <w:rPr>
          <w:sz w:val="22"/>
        </w:rPr>
        <w:t>be</w:t>
      </w:r>
      <w:r>
        <w:rPr>
          <w:spacing w:val="-2"/>
          <w:sz w:val="22"/>
        </w:rPr>
        <w:t> </w:t>
      </w:r>
      <w:r>
        <w:rPr>
          <w:sz w:val="22"/>
        </w:rPr>
        <w:t>the</w:t>
      </w:r>
      <w:r>
        <w:rPr>
          <w:spacing w:val="-2"/>
          <w:sz w:val="22"/>
        </w:rPr>
        <w:t> </w:t>
      </w:r>
      <w:r>
        <w:rPr>
          <w:sz w:val="22"/>
        </w:rPr>
        <w:t>primary applicant and will partner with primary care and behavioral health providers to apply for this funding.</w:t>
      </w:r>
    </w:p>
    <w:p>
      <w:pPr>
        <w:spacing w:line="252" w:lineRule="exact" w:before="199"/>
        <w:ind w:left="1219" w:right="0" w:firstLine="0"/>
        <w:jc w:val="both"/>
        <w:rPr>
          <w:sz w:val="22"/>
        </w:rPr>
      </w:pPr>
      <w:bookmarkStart w:name="Awardee’s Obligations" w:id="1499"/>
      <w:bookmarkEnd w:id="1499"/>
      <w:r>
        <w:rPr/>
      </w:r>
      <w:r>
        <w:rPr>
          <w:color w:val="1F3762"/>
          <w:sz w:val="22"/>
        </w:rPr>
        <w:t>Awardee’s</w:t>
      </w:r>
      <w:r>
        <w:rPr>
          <w:color w:val="1F3762"/>
          <w:spacing w:val="-7"/>
          <w:sz w:val="22"/>
        </w:rPr>
        <w:t> </w:t>
      </w:r>
      <w:r>
        <w:rPr>
          <w:color w:val="1F3762"/>
          <w:spacing w:val="-2"/>
          <w:sz w:val="22"/>
        </w:rPr>
        <w:t>Obligations</w:t>
      </w:r>
    </w:p>
    <w:p>
      <w:pPr>
        <w:spacing w:before="0"/>
        <w:ind w:left="1219" w:right="1096" w:firstLine="0"/>
        <w:jc w:val="both"/>
        <w:rPr>
          <w:sz w:val="22"/>
        </w:rPr>
      </w:pPr>
      <w:r>
        <w:rPr>
          <w:sz w:val="22"/>
        </w:rPr>
        <w:t>Awardees will be required to submit semiannual progress reports to the State that detail the project’s progress towards goals and pre-approved accountability measures, challenges and plans to address those challenges, and expenditures to date.</w:t>
      </w:r>
    </w:p>
    <w:p>
      <w:pPr>
        <w:spacing w:line="252" w:lineRule="exact" w:before="201"/>
        <w:ind w:left="1219" w:right="0" w:firstLine="0"/>
        <w:jc w:val="both"/>
        <w:rPr>
          <w:sz w:val="22"/>
        </w:rPr>
      </w:pPr>
      <w:bookmarkStart w:name="State’s Management" w:id="1500"/>
      <w:bookmarkEnd w:id="1500"/>
      <w:r>
        <w:rPr/>
      </w:r>
      <w:r>
        <w:rPr>
          <w:color w:val="1F3762"/>
          <w:sz w:val="22"/>
        </w:rPr>
        <w:t>State’s</w:t>
      </w:r>
      <w:r>
        <w:rPr>
          <w:color w:val="1F3762"/>
          <w:spacing w:val="-4"/>
          <w:sz w:val="22"/>
        </w:rPr>
        <w:t> </w:t>
      </w:r>
      <w:r>
        <w:rPr>
          <w:color w:val="1F3762"/>
          <w:spacing w:val="-2"/>
          <w:sz w:val="22"/>
        </w:rPr>
        <w:t>Management</w:t>
      </w:r>
    </w:p>
    <w:p>
      <w:pPr>
        <w:spacing w:before="0"/>
        <w:ind w:left="1219" w:right="1093" w:firstLine="0"/>
        <w:jc w:val="both"/>
        <w:rPr>
          <w:sz w:val="22"/>
        </w:rPr>
      </w:pPr>
      <w:r>
        <w:rPr>
          <w:sz w:val="22"/>
        </w:rPr>
        <w:t>The State will select the recipients of this funding, and will conduct robust monitoring and assessment of the</w:t>
      </w:r>
      <w:r>
        <w:rPr>
          <w:spacing w:val="-12"/>
          <w:sz w:val="22"/>
        </w:rPr>
        <w:t> </w:t>
      </w:r>
      <w:r>
        <w:rPr>
          <w:sz w:val="22"/>
        </w:rPr>
        <w:t>semiannual</w:t>
      </w:r>
      <w:r>
        <w:rPr>
          <w:spacing w:val="-11"/>
          <w:sz w:val="22"/>
        </w:rPr>
        <w:t> </w:t>
      </w:r>
      <w:r>
        <w:rPr>
          <w:sz w:val="22"/>
        </w:rPr>
        <w:t>progress</w:t>
      </w:r>
      <w:r>
        <w:rPr>
          <w:spacing w:val="-11"/>
          <w:sz w:val="22"/>
        </w:rPr>
        <w:t> </w:t>
      </w:r>
      <w:r>
        <w:rPr>
          <w:sz w:val="22"/>
        </w:rPr>
        <w:t>reports</w:t>
      </w:r>
      <w:r>
        <w:rPr>
          <w:spacing w:val="-12"/>
          <w:sz w:val="22"/>
        </w:rPr>
        <w:t> </w:t>
      </w:r>
      <w:r>
        <w:rPr>
          <w:sz w:val="22"/>
        </w:rPr>
        <w:t>by</w:t>
      </w:r>
      <w:r>
        <w:rPr>
          <w:spacing w:val="-12"/>
          <w:sz w:val="22"/>
        </w:rPr>
        <w:t> </w:t>
      </w:r>
      <w:r>
        <w:rPr>
          <w:sz w:val="22"/>
        </w:rPr>
        <w:t>reviewing</w:t>
      </w:r>
      <w:r>
        <w:rPr>
          <w:spacing w:val="-12"/>
          <w:sz w:val="22"/>
        </w:rPr>
        <w:t> </w:t>
      </w:r>
      <w:r>
        <w:rPr>
          <w:sz w:val="22"/>
        </w:rPr>
        <w:t>progress,</w:t>
      </w:r>
      <w:r>
        <w:rPr>
          <w:spacing w:val="-14"/>
          <w:sz w:val="22"/>
        </w:rPr>
        <w:t> </w:t>
      </w:r>
      <w:r>
        <w:rPr>
          <w:sz w:val="22"/>
        </w:rPr>
        <w:t>successes,</w:t>
      </w:r>
      <w:r>
        <w:rPr>
          <w:spacing w:val="-12"/>
          <w:sz w:val="22"/>
        </w:rPr>
        <w:t> </w:t>
      </w:r>
      <w:r>
        <w:rPr>
          <w:sz w:val="22"/>
        </w:rPr>
        <w:t>challenges,</w:t>
      </w:r>
      <w:r>
        <w:rPr>
          <w:spacing w:val="-10"/>
          <w:sz w:val="22"/>
        </w:rPr>
        <w:t> </w:t>
      </w:r>
      <w:r>
        <w:rPr>
          <w:sz w:val="22"/>
        </w:rPr>
        <w:t>and</w:t>
      </w:r>
      <w:r>
        <w:rPr>
          <w:spacing w:val="-12"/>
          <w:sz w:val="22"/>
        </w:rPr>
        <w:t> </w:t>
      </w:r>
      <w:r>
        <w:rPr>
          <w:sz w:val="22"/>
        </w:rPr>
        <w:t>accountability</w:t>
      </w:r>
      <w:r>
        <w:rPr>
          <w:spacing w:val="-12"/>
          <w:sz w:val="22"/>
        </w:rPr>
        <w:t> </w:t>
      </w:r>
      <w:r>
        <w:rPr>
          <w:sz w:val="22"/>
        </w:rPr>
        <w:t>measures. Awardees’ accountability will be evaluated by whether the projects were completed and whether performance on the accountability metrics, set out prior to the project’s implementation, was adequate. If the project was not completed, or performance on the metrics was inadequate, the State, in consultation with the awardee, will determine appropriate recourse, which may include corrective action plans, termination</w:t>
      </w:r>
      <w:r>
        <w:rPr>
          <w:spacing w:val="-10"/>
          <w:sz w:val="22"/>
        </w:rPr>
        <w:t> </w:t>
      </w:r>
      <w:r>
        <w:rPr>
          <w:sz w:val="22"/>
        </w:rPr>
        <w:t>from</w:t>
      </w:r>
      <w:r>
        <w:rPr>
          <w:spacing w:val="-11"/>
          <w:sz w:val="22"/>
        </w:rPr>
        <w:t> </w:t>
      </w:r>
      <w:r>
        <w:rPr>
          <w:sz w:val="22"/>
        </w:rPr>
        <w:t>the</w:t>
      </w:r>
      <w:r>
        <w:rPr>
          <w:spacing w:val="-9"/>
          <w:sz w:val="22"/>
        </w:rPr>
        <w:t> </w:t>
      </w:r>
      <w:r>
        <w:rPr>
          <w:sz w:val="22"/>
        </w:rPr>
        <w:t>investment</w:t>
      </w:r>
      <w:r>
        <w:rPr>
          <w:spacing w:val="-6"/>
          <w:sz w:val="22"/>
        </w:rPr>
        <w:t> </w:t>
      </w:r>
      <w:r>
        <w:rPr>
          <w:sz w:val="22"/>
        </w:rPr>
        <w:t>program,</w:t>
      </w:r>
      <w:r>
        <w:rPr>
          <w:spacing w:val="-7"/>
          <w:sz w:val="22"/>
        </w:rPr>
        <w:t> </w:t>
      </w:r>
      <w:r>
        <w:rPr>
          <w:sz w:val="22"/>
        </w:rPr>
        <w:t>barring</w:t>
      </w:r>
      <w:r>
        <w:rPr>
          <w:spacing w:val="-10"/>
          <w:sz w:val="22"/>
        </w:rPr>
        <w:t> </w:t>
      </w:r>
      <w:r>
        <w:rPr>
          <w:sz w:val="22"/>
        </w:rPr>
        <w:t>providers</w:t>
      </w:r>
      <w:r>
        <w:rPr>
          <w:spacing w:val="-9"/>
          <w:sz w:val="22"/>
        </w:rPr>
        <w:t> </w:t>
      </w:r>
      <w:r>
        <w:rPr>
          <w:sz w:val="22"/>
        </w:rPr>
        <w:t>from</w:t>
      </w:r>
      <w:r>
        <w:rPr>
          <w:spacing w:val="-11"/>
          <w:sz w:val="22"/>
        </w:rPr>
        <w:t> </w:t>
      </w:r>
      <w:r>
        <w:rPr>
          <w:sz w:val="22"/>
        </w:rPr>
        <w:t>applying</w:t>
      </w:r>
      <w:r>
        <w:rPr>
          <w:spacing w:val="-10"/>
          <w:sz w:val="22"/>
        </w:rPr>
        <w:t> </w:t>
      </w:r>
      <w:r>
        <w:rPr>
          <w:sz w:val="22"/>
        </w:rPr>
        <w:t>for</w:t>
      </w:r>
      <w:r>
        <w:rPr>
          <w:spacing w:val="-9"/>
          <w:sz w:val="22"/>
        </w:rPr>
        <w:t> </w:t>
      </w:r>
      <w:r>
        <w:rPr>
          <w:sz w:val="22"/>
        </w:rPr>
        <w:t>future</w:t>
      </w:r>
      <w:r>
        <w:rPr>
          <w:spacing w:val="-7"/>
          <w:sz w:val="22"/>
        </w:rPr>
        <w:t> </w:t>
      </w:r>
      <w:r>
        <w:rPr>
          <w:sz w:val="22"/>
        </w:rPr>
        <w:t>Statewide</w:t>
      </w:r>
      <w:r>
        <w:rPr>
          <w:spacing w:val="-7"/>
          <w:sz w:val="22"/>
        </w:rPr>
        <w:t> </w:t>
      </w:r>
      <w:r>
        <w:rPr>
          <w:sz w:val="22"/>
        </w:rPr>
        <w:t>Investment funding, recoupment of funds, or other contract management activities (e.g., working</w:t>
      </w:r>
      <w:r>
        <w:rPr>
          <w:spacing w:val="-1"/>
          <w:sz w:val="22"/>
        </w:rPr>
        <w:t> </w:t>
      </w:r>
      <w:r>
        <w:rPr>
          <w:sz w:val="22"/>
        </w:rPr>
        <w:t>collaboratively</w:t>
      </w:r>
      <w:r>
        <w:rPr>
          <w:spacing w:val="-1"/>
          <w:sz w:val="22"/>
        </w:rPr>
        <w:t> </w:t>
      </w:r>
      <w:r>
        <w:rPr>
          <w:sz w:val="22"/>
        </w:rPr>
        <w:t>with the awardee to identify and implement new strategies to meet the project goals, or renegotiating the awardee’s responsibilities or the project’s goals to achieve partial success, as appropriate).</w:t>
      </w:r>
    </w:p>
    <w:p>
      <w:pPr>
        <w:spacing w:after="0"/>
        <w:jc w:val="both"/>
        <w:rPr>
          <w:sz w:val="22"/>
        </w:rPr>
        <w:sectPr>
          <w:pgSz w:w="12240" w:h="15840"/>
          <w:pgMar w:header="0" w:footer="967" w:top="1380" w:bottom="1160" w:left="220" w:right="340"/>
        </w:sectPr>
      </w:pPr>
    </w:p>
    <w:p>
      <w:pPr>
        <w:pStyle w:val="Heading2"/>
        <w:spacing w:line="240" w:lineRule="auto" w:before="59"/>
        <w:ind w:left="1220" w:firstLine="0"/>
      </w:pPr>
      <w:bookmarkStart w:name="Investment in Primary Care Residency Tra" w:id="1501"/>
      <w:bookmarkEnd w:id="1501"/>
      <w:r>
        <w:rPr>
          <w:b w:val="0"/>
        </w:rPr>
      </w:r>
      <w:bookmarkStart w:name="_bookmark125" w:id="1502"/>
      <w:bookmarkEnd w:id="1502"/>
      <w:r>
        <w:rPr>
          <w:b w:val="0"/>
        </w:rPr>
      </w:r>
      <w:r>
        <w:rPr>
          <w:color w:val="4471C4"/>
        </w:rPr>
        <w:t>Investment</w:t>
      </w:r>
      <w:r>
        <w:rPr>
          <w:color w:val="4471C4"/>
          <w:spacing w:val="-9"/>
        </w:rPr>
        <w:t> </w:t>
      </w:r>
      <w:r>
        <w:rPr>
          <w:color w:val="4471C4"/>
        </w:rPr>
        <w:t>in</w:t>
      </w:r>
      <w:r>
        <w:rPr>
          <w:color w:val="4471C4"/>
          <w:spacing w:val="-9"/>
        </w:rPr>
        <w:t> </w:t>
      </w:r>
      <w:r>
        <w:rPr>
          <w:color w:val="4471C4"/>
        </w:rPr>
        <w:t>Primary</w:t>
      </w:r>
      <w:r>
        <w:rPr>
          <w:color w:val="4471C4"/>
          <w:spacing w:val="-6"/>
        </w:rPr>
        <w:t> </w:t>
      </w:r>
      <w:r>
        <w:rPr>
          <w:color w:val="4471C4"/>
        </w:rPr>
        <w:t>Care</w:t>
      </w:r>
      <w:r>
        <w:rPr>
          <w:color w:val="4471C4"/>
          <w:spacing w:val="-8"/>
        </w:rPr>
        <w:t> </w:t>
      </w:r>
      <w:r>
        <w:rPr>
          <w:color w:val="4471C4"/>
        </w:rPr>
        <w:t>Residency</w:t>
      </w:r>
      <w:r>
        <w:rPr>
          <w:color w:val="4471C4"/>
          <w:spacing w:val="-6"/>
        </w:rPr>
        <w:t> </w:t>
      </w:r>
      <w:r>
        <w:rPr>
          <w:color w:val="4471C4"/>
          <w:spacing w:val="-2"/>
        </w:rPr>
        <w:t>Training</w:t>
      </w:r>
    </w:p>
    <w:p>
      <w:pPr>
        <w:spacing w:before="0"/>
        <w:ind w:left="1220" w:right="1093" w:firstLine="0"/>
        <w:jc w:val="both"/>
        <w:rPr>
          <w:sz w:val="22"/>
        </w:rPr>
      </w:pPr>
      <w:r>
        <w:rPr>
          <w:sz w:val="22"/>
        </w:rPr>
        <w:t>In</w:t>
      </w:r>
      <w:r>
        <w:rPr>
          <w:spacing w:val="-4"/>
          <w:sz w:val="22"/>
        </w:rPr>
        <w:t> </w:t>
      </w:r>
      <w:r>
        <w:rPr>
          <w:sz w:val="22"/>
        </w:rPr>
        <w:t>order</w:t>
      </w:r>
      <w:r>
        <w:rPr>
          <w:spacing w:val="-5"/>
          <w:sz w:val="22"/>
        </w:rPr>
        <w:t> </w:t>
      </w:r>
      <w:r>
        <w:rPr>
          <w:sz w:val="22"/>
        </w:rPr>
        <w:t>to</w:t>
      </w:r>
      <w:r>
        <w:rPr>
          <w:spacing w:val="-8"/>
          <w:sz w:val="22"/>
        </w:rPr>
        <w:t> </w:t>
      </w:r>
      <w:r>
        <w:rPr>
          <w:sz w:val="22"/>
        </w:rPr>
        <w:t>increase</w:t>
      </w:r>
      <w:r>
        <w:rPr>
          <w:spacing w:val="-6"/>
          <w:sz w:val="22"/>
        </w:rPr>
        <w:t> </w:t>
      </w:r>
      <w:r>
        <w:rPr>
          <w:sz w:val="22"/>
        </w:rPr>
        <w:t>the</w:t>
      </w:r>
      <w:r>
        <w:rPr>
          <w:spacing w:val="-6"/>
          <w:sz w:val="22"/>
        </w:rPr>
        <w:t> </w:t>
      </w:r>
      <w:r>
        <w:rPr>
          <w:sz w:val="22"/>
        </w:rPr>
        <w:t>number</w:t>
      </w:r>
      <w:r>
        <w:rPr>
          <w:spacing w:val="-5"/>
          <w:sz w:val="22"/>
        </w:rPr>
        <w:t> </w:t>
      </w:r>
      <w:r>
        <w:rPr>
          <w:sz w:val="22"/>
        </w:rPr>
        <w:t>of</w:t>
      </w:r>
      <w:r>
        <w:rPr>
          <w:spacing w:val="-5"/>
          <w:sz w:val="22"/>
        </w:rPr>
        <w:t> </w:t>
      </w:r>
      <w:r>
        <w:rPr>
          <w:sz w:val="22"/>
        </w:rPr>
        <w:t>physicians</w:t>
      </w:r>
      <w:r>
        <w:rPr>
          <w:spacing w:val="-6"/>
          <w:sz w:val="22"/>
        </w:rPr>
        <w:t> </w:t>
      </w:r>
      <w:r>
        <w:rPr>
          <w:sz w:val="22"/>
        </w:rPr>
        <w:t>receiving</w:t>
      </w:r>
      <w:r>
        <w:rPr>
          <w:spacing w:val="-9"/>
          <w:sz w:val="22"/>
        </w:rPr>
        <w:t> </w:t>
      </w:r>
      <w:r>
        <w:rPr>
          <w:sz w:val="22"/>
        </w:rPr>
        <w:t>residency</w:t>
      </w:r>
      <w:r>
        <w:rPr>
          <w:spacing w:val="-9"/>
          <w:sz w:val="22"/>
        </w:rPr>
        <w:t> </w:t>
      </w:r>
      <w:r>
        <w:rPr>
          <w:sz w:val="22"/>
        </w:rPr>
        <w:t>training</w:t>
      </w:r>
      <w:r>
        <w:rPr>
          <w:spacing w:val="-9"/>
          <w:sz w:val="22"/>
        </w:rPr>
        <w:t> </w:t>
      </w:r>
      <w:r>
        <w:rPr>
          <w:sz w:val="22"/>
        </w:rPr>
        <w:t>in</w:t>
      </w:r>
      <w:r>
        <w:rPr>
          <w:spacing w:val="-6"/>
          <w:sz w:val="22"/>
        </w:rPr>
        <w:t> </w:t>
      </w:r>
      <w:r>
        <w:rPr>
          <w:sz w:val="22"/>
        </w:rPr>
        <w:t>community</w:t>
      </w:r>
      <w:r>
        <w:rPr>
          <w:spacing w:val="-9"/>
          <w:sz w:val="22"/>
        </w:rPr>
        <w:t> </w:t>
      </w:r>
      <w:r>
        <w:rPr>
          <w:sz w:val="22"/>
        </w:rPr>
        <w:t>health</w:t>
      </w:r>
      <w:r>
        <w:rPr>
          <w:spacing w:val="-6"/>
          <w:sz w:val="22"/>
        </w:rPr>
        <w:t> </w:t>
      </w:r>
      <w:r>
        <w:rPr>
          <w:sz w:val="22"/>
        </w:rPr>
        <w:t>centers,</w:t>
      </w:r>
      <w:r>
        <w:rPr>
          <w:spacing w:val="-6"/>
          <w:sz w:val="22"/>
        </w:rPr>
        <w:t> </w:t>
      </w:r>
      <w:r>
        <w:rPr>
          <w:sz w:val="22"/>
        </w:rPr>
        <w:t>the State will use DSRIP funding to help offset the costs of community health center and community mental health center residency slots for both community health centers, community mental health centers, and hospitals. Community health centers, community mental health centers, and hospitals will be eligible to apply for this funding.</w:t>
      </w:r>
    </w:p>
    <w:p>
      <w:pPr>
        <w:spacing w:line="252" w:lineRule="exact" w:before="199"/>
        <w:ind w:left="1220" w:right="0" w:firstLine="0"/>
        <w:jc w:val="both"/>
        <w:rPr>
          <w:sz w:val="22"/>
        </w:rPr>
      </w:pPr>
      <w:bookmarkStart w:name="Awardee’s Obligations" w:id="1503"/>
      <w:bookmarkEnd w:id="1503"/>
      <w:r>
        <w:rPr/>
      </w:r>
      <w:r>
        <w:rPr>
          <w:color w:val="1F3762"/>
          <w:sz w:val="22"/>
        </w:rPr>
        <w:t>Awardee’s</w:t>
      </w:r>
      <w:r>
        <w:rPr>
          <w:color w:val="1F3762"/>
          <w:spacing w:val="-6"/>
          <w:sz w:val="22"/>
        </w:rPr>
        <w:t> </w:t>
      </w:r>
      <w:r>
        <w:rPr>
          <w:color w:val="1F3762"/>
          <w:spacing w:val="-2"/>
          <w:sz w:val="22"/>
        </w:rPr>
        <w:t>Obligations</w:t>
      </w:r>
    </w:p>
    <w:p>
      <w:pPr>
        <w:spacing w:line="242" w:lineRule="auto" w:before="0"/>
        <w:ind w:left="1219" w:right="1095" w:firstLine="0"/>
        <w:jc w:val="both"/>
        <w:rPr>
          <w:sz w:val="22"/>
        </w:rPr>
      </w:pPr>
      <w:r>
        <w:rPr>
          <w:sz w:val="22"/>
        </w:rPr>
        <w:t>Awardees will be required to submit semiannual progress reports to the State that detail the project’s progress</w:t>
      </w:r>
      <w:r>
        <w:rPr>
          <w:spacing w:val="-10"/>
          <w:sz w:val="22"/>
        </w:rPr>
        <w:t> </w:t>
      </w:r>
      <w:r>
        <w:rPr>
          <w:sz w:val="22"/>
        </w:rPr>
        <w:t>towards</w:t>
      </w:r>
      <w:r>
        <w:rPr>
          <w:spacing w:val="-8"/>
          <w:sz w:val="22"/>
        </w:rPr>
        <w:t> </w:t>
      </w:r>
      <w:r>
        <w:rPr>
          <w:sz w:val="22"/>
        </w:rPr>
        <w:t>goals</w:t>
      </w:r>
      <w:r>
        <w:rPr>
          <w:spacing w:val="-8"/>
          <w:sz w:val="22"/>
        </w:rPr>
        <w:t> </w:t>
      </w:r>
      <w:r>
        <w:rPr>
          <w:sz w:val="22"/>
        </w:rPr>
        <w:t>and</w:t>
      </w:r>
      <w:r>
        <w:rPr>
          <w:spacing w:val="-10"/>
          <w:sz w:val="22"/>
        </w:rPr>
        <w:t> </w:t>
      </w:r>
      <w:r>
        <w:rPr>
          <w:sz w:val="22"/>
        </w:rPr>
        <w:t>pre-approved</w:t>
      </w:r>
      <w:r>
        <w:rPr>
          <w:spacing w:val="-8"/>
          <w:sz w:val="22"/>
        </w:rPr>
        <w:t> </w:t>
      </w:r>
      <w:r>
        <w:rPr>
          <w:sz w:val="22"/>
        </w:rPr>
        <w:t>accountability</w:t>
      </w:r>
      <w:r>
        <w:rPr>
          <w:spacing w:val="-8"/>
          <w:sz w:val="22"/>
        </w:rPr>
        <w:t> </w:t>
      </w:r>
      <w:r>
        <w:rPr>
          <w:sz w:val="22"/>
        </w:rPr>
        <w:t>measures</w:t>
      </w:r>
      <w:r>
        <w:rPr>
          <w:spacing w:val="-8"/>
          <w:sz w:val="22"/>
        </w:rPr>
        <w:t> </w:t>
      </w:r>
      <w:r>
        <w:rPr>
          <w:sz w:val="22"/>
        </w:rPr>
        <w:t>(e.g.,</w:t>
      </w:r>
      <w:r>
        <w:rPr>
          <w:spacing w:val="-8"/>
          <w:sz w:val="22"/>
        </w:rPr>
        <w:t> </w:t>
      </w:r>
      <w:r>
        <w:rPr>
          <w:sz w:val="22"/>
        </w:rPr>
        <w:t>the</w:t>
      </w:r>
      <w:r>
        <w:rPr>
          <w:spacing w:val="-8"/>
          <w:sz w:val="22"/>
        </w:rPr>
        <w:t> </w:t>
      </w:r>
      <w:r>
        <w:rPr>
          <w:sz w:val="22"/>
        </w:rPr>
        <w:t>number</w:t>
      </w:r>
      <w:r>
        <w:rPr>
          <w:spacing w:val="-7"/>
          <w:sz w:val="22"/>
        </w:rPr>
        <w:t> </w:t>
      </w:r>
      <w:r>
        <w:rPr>
          <w:sz w:val="22"/>
        </w:rPr>
        <w:t>of</w:t>
      </w:r>
      <w:r>
        <w:rPr>
          <w:spacing w:val="-7"/>
          <w:sz w:val="22"/>
        </w:rPr>
        <w:t> </w:t>
      </w:r>
      <w:r>
        <w:rPr>
          <w:sz w:val="22"/>
        </w:rPr>
        <w:t>providers</w:t>
      </w:r>
      <w:r>
        <w:rPr>
          <w:spacing w:val="-8"/>
          <w:sz w:val="22"/>
        </w:rPr>
        <w:t> </w:t>
      </w:r>
      <w:r>
        <w:rPr>
          <w:sz w:val="22"/>
        </w:rPr>
        <w:t>remaining in</w:t>
      </w:r>
      <w:r>
        <w:rPr>
          <w:spacing w:val="-5"/>
          <w:sz w:val="22"/>
        </w:rPr>
        <w:t> </w:t>
      </w:r>
      <w:r>
        <w:rPr>
          <w:sz w:val="22"/>
        </w:rPr>
        <w:t>the</w:t>
      </w:r>
      <w:r>
        <w:rPr>
          <w:spacing w:val="-4"/>
          <w:sz w:val="22"/>
        </w:rPr>
        <w:t> </w:t>
      </w:r>
      <w:r>
        <w:rPr>
          <w:sz w:val="22"/>
        </w:rPr>
        <w:t>CHC</w:t>
      </w:r>
      <w:r>
        <w:rPr>
          <w:spacing w:val="-3"/>
          <w:sz w:val="22"/>
        </w:rPr>
        <w:t> </w:t>
      </w:r>
      <w:r>
        <w:rPr>
          <w:sz w:val="22"/>
        </w:rPr>
        <w:t>for</w:t>
      </w:r>
      <w:r>
        <w:rPr>
          <w:spacing w:val="-4"/>
          <w:sz w:val="22"/>
        </w:rPr>
        <w:t> </w:t>
      </w:r>
      <w:r>
        <w:rPr>
          <w:sz w:val="22"/>
        </w:rPr>
        <w:t>the</w:t>
      </w:r>
      <w:r>
        <w:rPr>
          <w:spacing w:val="-4"/>
          <w:sz w:val="22"/>
        </w:rPr>
        <w:t> </w:t>
      </w:r>
      <w:r>
        <w:rPr>
          <w:sz w:val="22"/>
        </w:rPr>
        <w:t>length</w:t>
      </w:r>
      <w:r>
        <w:rPr>
          <w:spacing w:val="-2"/>
          <w:sz w:val="22"/>
        </w:rPr>
        <w:t> </w:t>
      </w:r>
      <w:r>
        <w:rPr>
          <w:sz w:val="22"/>
        </w:rPr>
        <w:t>of</w:t>
      </w:r>
      <w:r>
        <w:rPr>
          <w:spacing w:val="-4"/>
          <w:sz w:val="22"/>
        </w:rPr>
        <w:t> </w:t>
      </w:r>
      <w:r>
        <w:rPr>
          <w:sz w:val="22"/>
        </w:rPr>
        <w:t>the</w:t>
      </w:r>
      <w:r>
        <w:rPr>
          <w:spacing w:val="-4"/>
          <w:sz w:val="22"/>
        </w:rPr>
        <w:t> </w:t>
      </w:r>
      <w:r>
        <w:rPr>
          <w:sz w:val="22"/>
        </w:rPr>
        <w:t>residency</w:t>
      </w:r>
      <w:r>
        <w:rPr>
          <w:spacing w:val="-5"/>
          <w:sz w:val="22"/>
        </w:rPr>
        <w:t> </w:t>
      </w:r>
      <w:r>
        <w:rPr>
          <w:sz w:val="22"/>
        </w:rPr>
        <w:t>program),</w:t>
      </w:r>
      <w:r>
        <w:rPr>
          <w:spacing w:val="-2"/>
          <w:sz w:val="22"/>
        </w:rPr>
        <w:t> </w:t>
      </w:r>
      <w:r>
        <w:rPr>
          <w:sz w:val="22"/>
        </w:rPr>
        <w:t>challenges</w:t>
      </w:r>
      <w:r>
        <w:rPr>
          <w:spacing w:val="-4"/>
          <w:sz w:val="22"/>
        </w:rPr>
        <w:t> </w:t>
      </w:r>
      <w:r>
        <w:rPr>
          <w:sz w:val="22"/>
        </w:rPr>
        <w:t>and</w:t>
      </w:r>
      <w:r>
        <w:rPr>
          <w:spacing w:val="-5"/>
          <w:sz w:val="22"/>
        </w:rPr>
        <w:t> </w:t>
      </w:r>
      <w:r>
        <w:rPr>
          <w:sz w:val="22"/>
        </w:rPr>
        <w:t>plans</w:t>
      </w:r>
      <w:r>
        <w:rPr>
          <w:spacing w:val="-4"/>
          <w:sz w:val="22"/>
        </w:rPr>
        <w:t> </w:t>
      </w:r>
      <w:r>
        <w:rPr>
          <w:sz w:val="22"/>
        </w:rPr>
        <w:t>to</w:t>
      </w:r>
      <w:r>
        <w:rPr>
          <w:spacing w:val="-5"/>
          <w:sz w:val="22"/>
        </w:rPr>
        <w:t> </w:t>
      </w:r>
      <w:r>
        <w:rPr>
          <w:sz w:val="22"/>
        </w:rPr>
        <w:t>address</w:t>
      </w:r>
      <w:r>
        <w:rPr>
          <w:spacing w:val="-4"/>
          <w:sz w:val="22"/>
        </w:rPr>
        <w:t> </w:t>
      </w:r>
      <w:r>
        <w:rPr>
          <w:sz w:val="22"/>
        </w:rPr>
        <w:t>those</w:t>
      </w:r>
      <w:r>
        <w:rPr>
          <w:spacing w:val="-4"/>
          <w:sz w:val="22"/>
        </w:rPr>
        <w:t> </w:t>
      </w:r>
      <w:r>
        <w:rPr>
          <w:sz w:val="22"/>
        </w:rPr>
        <w:t>challenges,</w:t>
      </w:r>
      <w:r>
        <w:rPr>
          <w:spacing w:val="-5"/>
          <w:sz w:val="22"/>
        </w:rPr>
        <w:t> </w:t>
      </w:r>
      <w:r>
        <w:rPr>
          <w:sz w:val="22"/>
        </w:rPr>
        <w:t>and expenditures to date.</w:t>
      </w:r>
    </w:p>
    <w:p>
      <w:pPr>
        <w:spacing w:line="252" w:lineRule="exact" w:before="192"/>
        <w:ind w:left="1220" w:right="0" w:firstLine="0"/>
        <w:jc w:val="both"/>
        <w:rPr>
          <w:sz w:val="22"/>
        </w:rPr>
      </w:pPr>
      <w:bookmarkStart w:name="State’s Management" w:id="1504"/>
      <w:bookmarkEnd w:id="1504"/>
      <w:r>
        <w:rPr/>
      </w:r>
      <w:r>
        <w:rPr>
          <w:color w:val="1F3762"/>
          <w:sz w:val="22"/>
        </w:rPr>
        <w:t>State’s</w:t>
      </w:r>
      <w:r>
        <w:rPr>
          <w:color w:val="1F3762"/>
          <w:spacing w:val="-4"/>
          <w:sz w:val="22"/>
        </w:rPr>
        <w:t> </w:t>
      </w:r>
      <w:r>
        <w:rPr>
          <w:color w:val="1F3762"/>
          <w:spacing w:val="-2"/>
          <w:sz w:val="22"/>
        </w:rPr>
        <w:t>Management</w:t>
      </w:r>
    </w:p>
    <w:p>
      <w:pPr>
        <w:spacing w:line="242" w:lineRule="auto" w:before="0"/>
        <w:ind w:left="1220" w:right="1096" w:firstLine="0"/>
        <w:jc w:val="both"/>
        <w:rPr>
          <w:sz w:val="22"/>
        </w:rPr>
      </w:pPr>
      <w:r>
        <w:rPr>
          <w:sz w:val="22"/>
        </w:rPr>
        <w:t>The</w:t>
      </w:r>
      <w:r>
        <w:rPr>
          <w:spacing w:val="-7"/>
          <w:sz w:val="22"/>
        </w:rPr>
        <w:t> </w:t>
      </w:r>
      <w:r>
        <w:rPr>
          <w:sz w:val="22"/>
        </w:rPr>
        <w:t>State</w:t>
      </w:r>
      <w:r>
        <w:rPr>
          <w:spacing w:val="-7"/>
          <w:sz w:val="22"/>
        </w:rPr>
        <w:t> </w:t>
      </w:r>
      <w:r>
        <w:rPr>
          <w:sz w:val="22"/>
        </w:rPr>
        <w:t>will</w:t>
      </w:r>
      <w:r>
        <w:rPr>
          <w:spacing w:val="-6"/>
          <w:sz w:val="22"/>
        </w:rPr>
        <w:t> </w:t>
      </w:r>
      <w:r>
        <w:rPr>
          <w:sz w:val="22"/>
        </w:rPr>
        <w:t>select</w:t>
      </w:r>
      <w:r>
        <w:rPr>
          <w:spacing w:val="-6"/>
          <w:sz w:val="22"/>
        </w:rPr>
        <w:t> </w:t>
      </w:r>
      <w:r>
        <w:rPr>
          <w:sz w:val="22"/>
        </w:rPr>
        <w:t>the</w:t>
      </w:r>
      <w:r>
        <w:rPr>
          <w:spacing w:val="-7"/>
          <w:sz w:val="22"/>
        </w:rPr>
        <w:t> </w:t>
      </w:r>
      <w:r>
        <w:rPr>
          <w:sz w:val="22"/>
        </w:rPr>
        <w:t>recipients</w:t>
      </w:r>
      <w:r>
        <w:rPr>
          <w:spacing w:val="-4"/>
          <w:sz w:val="22"/>
        </w:rPr>
        <w:t> </w:t>
      </w:r>
      <w:r>
        <w:rPr>
          <w:sz w:val="22"/>
        </w:rPr>
        <w:t>of</w:t>
      </w:r>
      <w:r>
        <w:rPr>
          <w:spacing w:val="-6"/>
          <w:sz w:val="22"/>
        </w:rPr>
        <w:t> </w:t>
      </w:r>
      <w:r>
        <w:rPr>
          <w:sz w:val="22"/>
        </w:rPr>
        <w:t>this</w:t>
      </w:r>
      <w:r>
        <w:rPr>
          <w:spacing w:val="-7"/>
          <w:sz w:val="22"/>
        </w:rPr>
        <w:t> </w:t>
      </w:r>
      <w:r>
        <w:rPr>
          <w:sz w:val="22"/>
        </w:rPr>
        <w:t>award,</w:t>
      </w:r>
      <w:r>
        <w:rPr>
          <w:spacing w:val="-5"/>
          <w:sz w:val="22"/>
        </w:rPr>
        <w:t> </w:t>
      </w:r>
      <w:r>
        <w:rPr>
          <w:sz w:val="22"/>
        </w:rPr>
        <w:t>and</w:t>
      </w:r>
      <w:r>
        <w:rPr>
          <w:spacing w:val="-5"/>
          <w:sz w:val="22"/>
        </w:rPr>
        <w:t> </w:t>
      </w:r>
      <w:r>
        <w:rPr>
          <w:sz w:val="22"/>
        </w:rPr>
        <w:t>will</w:t>
      </w:r>
      <w:r>
        <w:rPr>
          <w:spacing w:val="-4"/>
          <w:sz w:val="22"/>
        </w:rPr>
        <w:t> </w:t>
      </w:r>
      <w:r>
        <w:rPr>
          <w:sz w:val="22"/>
        </w:rPr>
        <w:t>conduct</w:t>
      </w:r>
      <w:r>
        <w:rPr>
          <w:spacing w:val="-4"/>
          <w:sz w:val="22"/>
        </w:rPr>
        <w:t> </w:t>
      </w:r>
      <w:r>
        <w:rPr>
          <w:sz w:val="22"/>
        </w:rPr>
        <w:t>robust</w:t>
      </w:r>
      <w:r>
        <w:rPr>
          <w:spacing w:val="-4"/>
          <w:sz w:val="22"/>
        </w:rPr>
        <w:t> </w:t>
      </w:r>
      <w:r>
        <w:rPr>
          <w:sz w:val="22"/>
        </w:rPr>
        <w:t>monitoring</w:t>
      </w:r>
      <w:r>
        <w:rPr>
          <w:spacing w:val="-7"/>
          <w:sz w:val="22"/>
        </w:rPr>
        <w:t> </w:t>
      </w:r>
      <w:r>
        <w:rPr>
          <w:sz w:val="22"/>
        </w:rPr>
        <w:t>and</w:t>
      </w:r>
      <w:r>
        <w:rPr>
          <w:spacing w:val="-5"/>
          <w:sz w:val="22"/>
        </w:rPr>
        <w:t> </w:t>
      </w:r>
      <w:r>
        <w:rPr>
          <w:sz w:val="22"/>
        </w:rPr>
        <w:t>assessment</w:t>
      </w:r>
      <w:r>
        <w:rPr>
          <w:spacing w:val="-4"/>
          <w:sz w:val="22"/>
        </w:rPr>
        <w:t> </w:t>
      </w:r>
      <w:r>
        <w:rPr>
          <w:sz w:val="22"/>
        </w:rPr>
        <w:t>of</w:t>
      </w:r>
      <w:r>
        <w:rPr>
          <w:spacing w:val="-6"/>
          <w:sz w:val="22"/>
        </w:rPr>
        <w:t> </w:t>
      </w:r>
      <w:r>
        <w:rPr>
          <w:sz w:val="22"/>
        </w:rPr>
        <w:t>the semiannual progress reports through reviewing progress, successes, challenges, and accountability </w:t>
      </w:r>
      <w:r>
        <w:rPr>
          <w:spacing w:val="-2"/>
          <w:sz w:val="22"/>
        </w:rPr>
        <w:t>measures.</w:t>
      </w:r>
    </w:p>
    <w:p>
      <w:pPr>
        <w:pStyle w:val="Heading2"/>
        <w:spacing w:before="194"/>
        <w:ind w:left="1220" w:firstLine="0"/>
      </w:pPr>
      <w:bookmarkStart w:name="Workforce Development Grant Program" w:id="1505"/>
      <w:bookmarkEnd w:id="1505"/>
      <w:r>
        <w:rPr>
          <w:b w:val="0"/>
        </w:rPr>
      </w:r>
      <w:bookmarkStart w:name="_bookmark126" w:id="1506"/>
      <w:bookmarkEnd w:id="1506"/>
      <w:r>
        <w:rPr>
          <w:b w:val="0"/>
        </w:rPr>
      </w:r>
      <w:r>
        <w:rPr>
          <w:color w:val="4471C4"/>
        </w:rPr>
        <w:t>Workforce</w:t>
      </w:r>
      <w:r>
        <w:rPr>
          <w:color w:val="4471C4"/>
          <w:spacing w:val="-11"/>
        </w:rPr>
        <w:t> </w:t>
      </w:r>
      <w:r>
        <w:rPr>
          <w:color w:val="4471C4"/>
        </w:rPr>
        <w:t>Development</w:t>
      </w:r>
      <w:r>
        <w:rPr>
          <w:color w:val="4471C4"/>
          <w:spacing w:val="-13"/>
        </w:rPr>
        <w:t> </w:t>
      </w:r>
      <w:r>
        <w:rPr>
          <w:color w:val="4471C4"/>
        </w:rPr>
        <w:t>Grant</w:t>
      </w:r>
      <w:r>
        <w:rPr>
          <w:color w:val="4471C4"/>
          <w:spacing w:val="-10"/>
        </w:rPr>
        <w:t> </w:t>
      </w:r>
      <w:r>
        <w:rPr>
          <w:color w:val="4471C4"/>
          <w:spacing w:val="-2"/>
        </w:rPr>
        <w:t>Program</w:t>
      </w:r>
    </w:p>
    <w:p>
      <w:pPr>
        <w:spacing w:before="0"/>
        <w:ind w:left="1219" w:right="1092" w:firstLine="0"/>
        <w:jc w:val="both"/>
        <w:rPr>
          <w:sz w:val="22"/>
        </w:rPr>
      </w:pPr>
      <w:r>
        <w:rPr>
          <w:sz w:val="22"/>
        </w:rPr>
        <w:t>The State’s payment reform initiatives will introduce new demands and shifting responsibilities for the healthcare workforce. The State will use DSRIP funding to support a wide spectrum of health care workforce</w:t>
      </w:r>
      <w:r>
        <w:rPr>
          <w:spacing w:val="-6"/>
          <w:sz w:val="22"/>
        </w:rPr>
        <w:t> </w:t>
      </w:r>
      <w:r>
        <w:rPr>
          <w:sz w:val="22"/>
        </w:rPr>
        <w:t>development</w:t>
      </w:r>
      <w:r>
        <w:rPr>
          <w:spacing w:val="-5"/>
          <w:sz w:val="22"/>
        </w:rPr>
        <w:t> </w:t>
      </w:r>
      <w:r>
        <w:rPr>
          <w:sz w:val="22"/>
        </w:rPr>
        <w:t>and</w:t>
      </w:r>
      <w:r>
        <w:rPr>
          <w:spacing w:val="-6"/>
          <w:sz w:val="22"/>
        </w:rPr>
        <w:t> </w:t>
      </w:r>
      <w:r>
        <w:rPr>
          <w:sz w:val="22"/>
        </w:rPr>
        <w:t>training</w:t>
      </w:r>
      <w:r>
        <w:rPr>
          <w:spacing w:val="-9"/>
          <w:sz w:val="22"/>
        </w:rPr>
        <w:t> </w:t>
      </w:r>
      <w:r>
        <w:rPr>
          <w:sz w:val="22"/>
        </w:rPr>
        <w:t>to</w:t>
      </w:r>
      <w:r>
        <w:rPr>
          <w:spacing w:val="-6"/>
          <w:sz w:val="22"/>
        </w:rPr>
        <w:t> </w:t>
      </w:r>
      <w:r>
        <w:rPr>
          <w:sz w:val="22"/>
        </w:rPr>
        <w:t>allow</w:t>
      </w:r>
      <w:r>
        <w:rPr>
          <w:spacing w:val="-7"/>
          <w:sz w:val="22"/>
        </w:rPr>
        <w:t> </w:t>
      </w:r>
      <w:r>
        <w:rPr>
          <w:sz w:val="22"/>
        </w:rPr>
        <w:t>for</w:t>
      </w:r>
      <w:r>
        <w:rPr>
          <w:spacing w:val="-5"/>
          <w:sz w:val="22"/>
        </w:rPr>
        <w:t> </w:t>
      </w:r>
      <w:r>
        <w:rPr>
          <w:sz w:val="22"/>
        </w:rPr>
        <w:t>providers</w:t>
      </w:r>
      <w:r>
        <w:rPr>
          <w:spacing w:val="-6"/>
          <w:sz w:val="22"/>
        </w:rPr>
        <w:t> </w:t>
      </w:r>
      <w:r>
        <w:rPr>
          <w:sz w:val="22"/>
        </w:rPr>
        <w:t>to</w:t>
      </w:r>
      <w:r>
        <w:rPr>
          <w:spacing w:val="-6"/>
          <w:sz w:val="22"/>
        </w:rPr>
        <w:t> </w:t>
      </w:r>
      <w:r>
        <w:rPr>
          <w:sz w:val="22"/>
        </w:rPr>
        <w:t>more</w:t>
      </w:r>
      <w:r>
        <w:rPr>
          <w:spacing w:val="-6"/>
          <w:sz w:val="22"/>
        </w:rPr>
        <w:t> </w:t>
      </w:r>
      <w:r>
        <w:rPr>
          <w:sz w:val="22"/>
        </w:rPr>
        <w:t>effectively</w:t>
      </w:r>
      <w:r>
        <w:rPr>
          <w:spacing w:val="-9"/>
          <w:sz w:val="22"/>
        </w:rPr>
        <w:t> </w:t>
      </w:r>
      <w:r>
        <w:rPr>
          <w:sz w:val="22"/>
        </w:rPr>
        <w:t>operate</w:t>
      </w:r>
      <w:r>
        <w:rPr>
          <w:spacing w:val="-6"/>
          <w:sz w:val="22"/>
        </w:rPr>
        <w:t> </w:t>
      </w:r>
      <w:r>
        <w:rPr>
          <w:sz w:val="22"/>
        </w:rPr>
        <w:t>in</w:t>
      </w:r>
      <w:r>
        <w:rPr>
          <w:spacing w:val="-6"/>
          <w:sz w:val="22"/>
        </w:rPr>
        <w:t> </w:t>
      </w:r>
      <w:r>
        <w:rPr>
          <w:sz w:val="22"/>
        </w:rPr>
        <w:t>a</w:t>
      </w:r>
      <w:r>
        <w:rPr>
          <w:spacing w:val="-6"/>
          <w:sz w:val="22"/>
        </w:rPr>
        <w:t> </w:t>
      </w:r>
      <w:r>
        <w:rPr>
          <w:sz w:val="22"/>
        </w:rPr>
        <w:t>new</w:t>
      </w:r>
      <w:r>
        <w:rPr>
          <w:spacing w:val="-7"/>
          <w:sz w:val="22"/>
        </w:rPr>
        <w:t> </w:t>
      </w:r>
      <w:r>
        <w:rPr>
          <w:sz w:val="22"/>
        </w:rPr>
        <w:t>health</w:t>
      </w:r>
      <w:r>
        <w:rPr>
          <w:spacing w:val="-6"/>
          <w:sz w:val="22"/>
        </w:rPr>
        <w:t> </w:t>
      </w:r>
      <w:r>
        <w:rPr>
          <w:sz w:val="22"/>
        </w:rPr>
        <w:t>care system. Entities participating in payment reform (ACOs, Community Partners, and CSAs), or entities in support of ACOs, CPs, and CSAs (e.g. training programs) are eligible to apply for funding.</w:t>
      </w:r>
    </w:p>
    <w:p>
      <w:pPr>
        <w:spacing w:line="252" w:lineRule="exact" w:before="200"/>
        <w:ind w:left="1219" w:right="0" w:firstLine="0"/>
        <w:jc w:val="both"/>
        <w:rPr>
          <w:sz w:val="22"/>
        </w:rPr>
      </w:pPr>
      <w:bookmarkStart w:name="Awardee’s Obligations" w:id="1507"/>
      <w:bookmarkEnd w:id="1507"/>
      <w:r>
        <w:rPr/>
      </w:r>
      <w:r>
        <w:rPr>
          <w:color w:val="1F3762"/>
          <w:sz w:val="22"/>
        </w:rPr>
        <w:t>Awardee’s</w:t>
      </w:r>
      <w:r>
        <w:rPr>
          <w:color w:val="1F3762"/>
          <w:spacing w:val="-6"/>
          <w:sz w:val="22"/>
        </w:rPr>
        <w:t> </w:t>
      </w:r>
      <w:r>
        <w:rPr>
          <w:color w:val="1F3762"/>
          <w:spacing w:val="-2"/>
          <w:sz w:val="22"/>
        </w:rPr>
        <w:t>Obligations</w:t>
      </w:r>
    </w:p>
    <w:p>
      <w:pPr>
        <w:spacing w:before="0"/>
        <w:ind w:left="1219" w:right="1095" w:firstLine="0"/>
        <w:jc w:val="both"/>
        <w:rPr>
          <w:sz w:val="22"/>
        </w:rPr>
      </w:pPr>
      <w:r>
        <w:rPr>
          <w:sz w:val="22"/>
        </w:rPr>
        <w:t>Awardees will be required to submit semiannual progress reports to the State discussing the project’s progress towards goals and pre-approved accountability measures, challenges and plans to address those challenges, and expenditures to date.</w:t>
      </w:r>
    </w:p>
    <w:p>
      <w:pPr>
        <w:spacing w:line="252" w:lineRule="exact" w:before="201"/>
        <w:ind w:left="1219" w:right="0" w:firstLine="0"/>
        <w:jc w:val="both"/>
        <w:rPr>
          <w:sz w:val="22"/>
        </w:rPr>
      </w:pPr>
      <w:bookmarkStart w:name="State’s Management" w:id="1508"/>
      <w:bookmarkEnd w:id="1508"/>
      <w:r>
        <w:rPr/>
      </w:r>
      <w:r>
        <w:rPr>
          <w:color w:val="1F3762"/>
          <w:sz w:val="22"/>
        </w:rPr>
        <w:t>State’s</w:t>
      </w:r>
      <w:r>
        <w:rPr>
          <w:color w:val="1F3762"/>
          <w:spacing w:val="-4"/>
          <w:sz w:val="22"/>
        </w:rPr>
        <w:t> </w:t>
      </w:r>
      <w:r>
        <w:rPr>
          <w:color w:val="1F3762"/>
          <w:spacing w:val="-2"/>
          <w:sz w:val="22"/>
        </w:rPr>
        <w:t>Management</w:t>
      </w:r>
    </w:p>
    <w:p>
      <w:pPr>
        <w:spacing w:before="0"/>
        <w:ind w:left="1220" w:right="1094" w:firstLine="0"/>
        <w:jc w:val="both"/>
        <w:rPr>
          <w:sz w:val="22"/>
        </w:rPr>
      </w:pPr>
      <w:r>
        <w:rPr>
          <w:sz w:val="22"/>
        </w:rPr>
        <w:t>State will select the awardees, and will conduct robust monitoring and assessment of the semiannual progress reports through reviewing progress, successes, challenges, and accountability measures. Awardees’ accountability will be evaluated by whether the projects were completed, and whether performance on the accountability metrics, set out prior to the project’s implementation, was adequate. If the project was not completed, or performance on the metrics was inadequate, the State, in consultation with the awardee, will determine appropriate recourse, which may include corrective action plans, termination</w:t>
      </w:r>
      <w:r>
        <w:rPr>
          <w:spacing w:val="-10"/>
          <w:sz w:val="22"/>
        </w:rPr>
        <w:t> </w:t>
      </w:r>
      <w:r>
        <w:rPr>
          <w:sz w:val="22"/>
        </w:rPr>
        <w:t>from</w:t>
      </w:r>
      <w:r>
        <w:rPr>
          <w:spacing w:val="-11"/>
          <w:sz w:val="22"/>
        </w:rPr>
        <w:t> </w:t>
      </w:r>
      <w:r>
        <w:rPr>
          <w:sz w:val="22"/>
        </w:rPr>
        <w:t>the</w:t>
      </w:r>
      <w:r>
        <w:rPr>
          <w:spacing w:val="-9"/>
          <w:sz w:val="22"/>
        </w:rPr>
        <w:t> </w:t>
      </w:r>
      <w:r>
        <w:rPr>
          <w:sz w:val="22"/>
        </w:rPr>
        <w:t>investment</w:t>
      </w:r>
      <w:r>
        <w:rPr>
          <w:spacing w:val="-6"/>
          <w:sz w:val="22"/>
        </w:rPr>
        <w:t> </w:t>
      </w:r>
      <w:r>
        <w:rPr>
          <w:sz w:val="22"/>
        </w:rPr>
        <w:t>program,</w:t>
      </w:r>
      <w:r>
        <w:rPr>
          <w:spacing w:val="-7"/>
          <w:sz w:val="22"/>
        </w:rPr>
        <w:t> </w:t>
      </w:r>
      <w:r>
        <w:rPr>
          <w:sz w:val="22"/>
        </w:rPr>
        <w:t>barring</w:t>
      </w:r>
      <w:r>
        <w:rPr>
          <w:spacing w:val="-10"/>
          <w:sz w:val="22"/>
        </w:rPr>
        <w:t> </w:t>
      </w:r>
      <w:r>
        <w:rPr>
          <w:sz w:val="22"/>
        </w:rPr>
        <w:t>providers</w:t>
      </w:r>
      <w:r>
        <w:rPr>
          <w:spacing w:val="-9"/>
          <w:sz w:val="22"/>
        </w:rPr>
        <w:t> </w:t>
      </w:r>
      <w:r>
        <w:rPr>
          <w:sz w:val="22"/>
        </w:rPr>
        <w:t>from</w:t>
      </w:r>
      <w:r>
        <w:rPr>
          <w:spacing w:val="-11"/>
          <w:sz w:val="22"/>
        </w:rPr>
        <w:t> </w:t>
      </w:r>
      <w:r>
        <w:rPr>
          <w:sz w:val="22"/>
        </w:rPr>
        <w:t>applying</w:t>
      </w:r>
      <w:r>
        <w:rPr>
          <w:spacing w:val="-10"/>
          <w:sz w:val="22"/>
        </w:rPr>
        <w:t> </w:t>
      </w:r>
      <w:r>
        <w:rPr>
          <w:sz w:val="22"/>
        </w:rPr>
        <w:t>for</w:t>
      </w:r>
      <w:r>
        <w:rPr>
          <w:spacing w:val="-9"/>
          <w:sz w:val="22"/>
        </w:rPr>
        <w:t> </w:t>
      </w:r>
      <w:r>
        <w:rPr>
          <w:sz w:val="22"/>
        </w:rPr>
        <w:t>future</w:t>
      </w:r>
      <w:r>
        <w:rPr>
          <w:spacing w:val="-7"/>
          <w:sz w:val="22"/>
        </w:rPr>
        <w:t> </w:t>
      </w:r>
      <w:r>
        <w:rPr>
          <w:sz w:val="22"/>
        </w:rPr>
        <w:t>Statewide</w:t>
      </w:r>
      <w:r>
        <w:rPr>
          <w:spacing w:val="-7"/>
          <w:sz w:val="22"/>
        </w:rPr>
        <w:t> </w:t>
      </w:r>
      <w:r>
        <w:rPr>
          <w:sz w:val="22"/>
        </w:rPr>
        <w:t>Investment funding, recoupment of funds, or other contract management activities (e.g., collaboratively with the awardee</w:t>
      </w:r>
      <w:r>
        <w:rPr>
          <w:spacing w:val="-4"/>
          <w:sz w:val="22"/>
        </w:rPr>
        <w:t> </w:t>
      </w:r>
      <w:r>
        <w:rPr>
          <w:sz w:val="22"/>
        </w:rPr>
        <w:t>to</w:t>
      </w:r>
      <w:r>
        <w:rPr>
          <w:spacing w:val="-5"/>
          <w:sz w:val="22"/>
        </w:rPr>
        <w:t> </w:t>
      </w:r>
      <w:r>
        <w:rPr>
          <w:sz w:val="22"/>
        </w:rPr>
        <w:t>identify</w:t>
      </w:r>
      <w:r>
        <w:rPr>
          <w:spacing w:val="-5"/>
          <w:sz w:val="22"/>
        </w:rPr>
        <w:t> </w:t>
      </w:r>
      <w:r>
        <w:rPr>
          <w:sz w:val="22"/>
        </w:rPr>
        <w:t>and</w:t>
      </w:r>
      <w:r>
        <w:rPr>
          <w:spacing w:val="-5"/>
          <w:sz w:val="22"/>
        </w:rPr>
        <w:t> </w:t>
      </w:r>
      <w:r>
        <w:rPr>
          <w:sz w:val="22"/>
        </w:rPr>
        <w:t>implement</w:t>
      </w:r>
      <w:r>
        <w:rPr>
          <w:spacing w:val="-1"/>
          <w:sz w:val="22"/>
        </w:rPr>
        <w:t> </w:t>
      </w:r>
      <w:r>
        <w:rPr>
          <w:sz w:val="22"/>
        </w:rPr>
        <w:t>new</w:t>
      </w:r>
      <w:r>
        <w:rPr>
          <w:spacing w:val="-3"/>
          <w:sz w:val="22"/>
        </w:rPr>
        <w:t> </w:t>
      </w:r>
      <w:r>
        <w:rPr>
          <w:sz w:val="22"/>
        </w:rPr>
        <w:t>strategies</w:t>
      </w:r>
      <w:r>
        <w:rPr>
          <w:spacing w:val="-2"/>
          <w:sz w:val="22"/>
        </w:rPr>
        <w:t> </w:t>
      </w:r>
      <w:r>
        <w:rPr>
          <w:sz w:val="22"/>
        </w:rPr>
        <w:t>to</w:t>
      </w:r>
      <w:r>
        <w:rPr>
          <w:spacing w:val="-5"/>
          <w:sz w:val="22"/>
        </w:rPr>
        <w:t> </w:t>
      </w:r>
      <w:r>
        <w:rPr>
          <w:sz w:val="22"/>
        </w:rPr>
        <w:t>meet</w:t>
      </w:r>
      <w:r>
        <w:rPr>
          <w:spacing w:val="-1"/>
          <w:sz w:val="22"/>
        </w:rPr>
        <w:t> </w:t>
      </w:r>
      <w:r>
        <w:rPr>
          <w:sz w:val="22"/>
        </w:rPr>
        <w:t>the</w:t>
      </w:r>
      <w:r>
        <w:rPr>
          <w:spacing w:val="-4"/>
          <w:sz w:val="22"/>
        </w:rPr>
        <w:t> </w:t>
      </w:r>
      <w:r>
        <w:rPr>
          <w:sz w:val="22"/>
        </w:rPr>
        <w:t>project</w:t>
      </w:r>
      <w:r>
        <w:rPr>
          <w:spacing w:val="-1"/>
          <w:sz w:val="22"/>
        </w:rPr>
        <w:t> </w:t>
      </w:r>
      <w:r>
        <w:rPr>
          <w:sz w:val="22"/>
        </w:rPr>
        <w:t>goals,</w:t>
      </w:r>
      <w:r>
        <w:rPr>
          <w:spacing w:val="-5"/>
          <w:sz w:val="22"/>
        </w:rPr>
        <w:t> </w:t>
      </w:r>
      <w:r>
        <w:rPr>
          <w:sz w:val="22"/>
        </w:rPr>
        <w:t>or</w:t>
      </w:r>
      <w:r>
        <w:rPr>
          <w:spacing w:val="-4"/>
          <w:sz w:val="22"/>
        </w:rPr>
        <w:t> </w:t>
      </w:r>
      <w:r>
        <w:rPr>
          <w:sz w:val="22"/>
        </w:rPr>
        <w:t>renegotiating</w:t>
      </w:r>
      <w:r>
        <w:rPr>
          <w:spacing w:val="-5"/>
          <w:sz w:val="22"/>
        </w:rPr>
        <w:t> </w:t>
      </w:r>
      <w:r>
        <w:rPr>
          <w:sz w:val="22"/>
        </w:rPr>
        <w:t>the</w:t>
      </w:r>
      <w:r>
        <w:rPr>
          <w:spacing w:val="-4"/>
          <w:sz w:val="22"/>
        </w:rPr>
        <w:t> </w:t>
      </w:r>
      <w:r>
        <w:rPr>
          <w:sz w:val="22"/>
        </w:rPr>
        <w:t>awardee’s responsibilities or the project’s goals to achieve partial success, as appropriate).</w:t>
      </w:r>
    </w:p>
    <w:p>
      <w:pPr>
        <w:pStyle w:val="Heading2"/>
        <w:spacing w:line="240" w:lineRule="auto" w:before="200"/>
        <w:ind w:left="1220" w:firstLine="0"/>
      </w:pPr>
      <w:bookmarkStart w:name="Technical Assistance" w:id="1509"/>
      <w:bookmarkEnd w:id="1509"/>
      <w:r>
        <w:rPr>
          <w:b w:val="0"/>
        </w:rPr>
      </w:r>
      <w:bookmarkStart w:name="_bookmark127" w:id="1510"/>
      <w:bookmarkEnd w:id="1510"/>
      <w:r>
        <w:rPr>
          <w:b w:val="0"/>
        </w:rPr>
      </w:r>
      <w:r>
        <w:rPr>
          <w:color w:val="4471C4"/>
        </w:rPr>
        <w:t>Technical</w:t>
      </w:r>
      <w:r>
        <w:rPr>
          <w:color w:val="4471C4"/>
          <w:spacing w:val="-13"/>
        </w:rPr>
        <w:t> </w:t>
      </w:r>
      <w:r>
        <w:rPr>
          <w:color w:val="4471C4"/>
          <w:spacing w:val="-2"/>
        </w:rPr>
        <w:t>Assistance</w:t>
      </w:r>
    </w:p>
    <w:p>
      <w:pPr>
        <w:spacing w:before="0"/>
        <w:ind w:left="1220" w:right="1094" w:firstLine="0"/>
        <w:jc w:val="both"/>
        <w:rPr>
          <w:sz w:val="22"/>
        </w:rPr>
      </w:pPr>
      <w:r>
        <w:rPr>
          <w:sz w:val="22"/>
        </w:rPr>
        <w:t>The</w:t>
      </w:r>
      <w:r>
        <w:rPr>
          <w:spacing w:val="-1"/>
          <w:sz w:val="22"/>
        </w:rPr>
        <w:t> </w:t>
      </w:r>
      <w:r>
        <w:rPr>
          <w:sz w:val="22"/>
        </w:rPr>
        <w:t>State</w:t>
      </w:r>
      <w:r>
        <w:rPr>
          <w:spacing w:val="-1"/>
          <w:sz w:val="22"/>
        </w:rPr>
        <w:t> </w:t>
      </w:r>
      <w:r>
        <w:rPr>
          <w:sz w:val="22"/>
        </w:rPr>
        <w:t>will procure</w:t>
      </w:r>
      <w:r>
        <w:rPr>
          <w:spacing w:val="-1"/>
          <w:sz w:val="22"/>
        </w:rPr>
        <w:t> </w:t>
      </w:r>
      <w:r>
        <w:rPr>
          <w:sz w:val="22"/>
        </w:rPr>
        <w:t>vendors</w:t>
      </w:r>
      <w:r>
        <w:rPr>
          <w:spacing w:val="-1"/>
          <w:sz w:val="22"/>
        </w:rPr>
        <w:t> </w:t>
      </w:r>
      <w:r>
        <w:rPr>
          <w:sz w:val="22"/>
        </w:rPr>
        <w:t>to</w:t>
      </w:r>
      <w:r>
        <w:rPr>
          <w:spacing w:val="-1"/>
          <w:sz w:val="22"/>
        </w:rPr>
        <w:t> </w:t>
      </w:r>
      <w:r>
        <w:rPr>
          <w:sz w:val="22"/>
        </w:rPr>
        <w:t>provide</w:t>
      </w:r>
      <w:r>
        <w:rPr>
          <w:spacing w:val="-1"/>
          <w:sz w:val="22"/>
        </w:rPr>
        <w:t> </w:t>
      </w:r>
      <w:r>
        <w:rPr>
          <w:sz w:val="22"/>
        </w:rPr>
        <w:t>technical assistance</w:t>
      </w:r>
      <w:r>
        <w:rPr>
          <w:spacing w:val="-4"/>
          <w:sz w:val="22"/>
        </w:rPr>
        <w:t> </w:t>
      </w:r>
      <w:r>
        <w:rPr>
          <w:sz w:val="22"/>
        </w:rPr>
        <w:t>(TA) to</w:t>
      </w:r>
      <w:r>
        <w:rPr>
          <w:spacing w:val="-1"/>
          <w:sz w:val="22"/>
        </w:rPr>
        <w:t> </w:t>
      </w:r>
      <w:r>
        <w:rPr>
          <w:sz w:val="22"/>
        </w:rPr>
        <w:t>ACOs,</w:t>
      </w:r>
      <w:r>
        <w:rPr>
          <w:spacing w:val="-1"/>
          <w:sz w:val="22"/>
        </w:rPr>
        <w:t> </w:t>
      </w:r>
      <w:r>
        <w:rPr>
          <w:sz w:val="22"/>
        </w:rPr>
        <w:t>CPs</w:t>
      </w:r>
      <w:r>
        <w:rPr>
          <w:spacing w:val="-3"/>
          <w:sz w:val="22"/>
        </w:rPr>
        <w:t> </w:t>
      </w:r>
      <w:r>
        <w:rPr>
          <w:sz w:val="22"/>
        </w:rPr>
        <w:t>and</w:t>
      </w:r>
      <w:r>
        <w:rPr>
          <w:spacing w:val="-1"/>
          <w:sz w:val="22"/>
        </w:rPr>
        <w:t> </w:t>
      </w:r>
      <w:r>
        <w:rPr>
          <w:sz w:val="22"/>
        </w:rPr>
        <w:t>CSAs</w:t>
      </w:r>
      <w:r>
        <w:rPr>
          <w:spacing w:val="-1"/>
          <w:sz w:val="22"/>
        </w:rPr>
        <w:t> </w:t>
      </w:r>
      <w:r>
        <w:rPr>
          <w:sz w:val="22"/>
        </w:rPr>
        <w:t>in</w:t>
      </w:r>
      <w:r>
        <w:rPr>
          <w:spacing w:val="-1"/>
          <w:sz w:val="22"/>
        </w:rPr>
        <w:t> </w:t>
      </w:r>
      <w:r>
        <w:rPr>
          <w:sz w:val="22"/>
        </w:rPr>
        <w:t>a</w:t>
      </w:r>
      <w:r>
        <w:rPr>
          <w:spacing w:val="-1"/>
          <w:sz w:val="22"/>
        </w:rPr>
        <w:t> </w:t>
      </w:r>
      <w:r>
        <w:rPr>
          <w:sz w:val="22"/>
        </w:rPr>
        <w:t>range</w:t>
      </w:r>
      <w:r>
        <w:rPr>
          <w:spacing w:val="-1"/>
          <w:sz w:val="22"/>
        </w:rPr>
        <w:t> </w:t>
      </w:r>
      <w:r>
        <w:rPr>
          <w:sz w:val="22"/>
        </w:rPr>
        <w:t>of knowledge domains in order to</w:t>
      </w:r>
      <w:r>
        <w:rPr>
          <w:spacing w:val="-2"/>
          <w:sz w:val="22"/>
        </w:rPr>
        <w:t> </w:t>
      </w:r>
      <w:r>
        <w:rPr>
          <w:sz w:val="22"/>
        </w:rPr>
        <w:t>help with</w:t>
      </w:r>
      <w:r>
        <w:rPr>
          <w:spacing w:val="-2"/>
          <w:sz w:val="22"/>
        </w:rPr>
        <w:t> </w:t>
      </w:r>
      <w:r>
        <w:rPr>
          <w:sz w:val="22"/>
        </w:rPr>
        <w:t>the</w:t>
      </w:r>
      <w:r>
        <w:rPr>
          <w:spacing w:val="-2"/>
          <w:sz w:val="22"/>
        </w:rPr>
        <w:t> </w:t>
      </w:r>
      <w:r>
        <w:rPr>
          <w:sz w:val="22"/>
        </w:rPr>
        <w:t>implementation</w:t>
      </w:r>
      <w:r>
        <w:rPr>
          <w:spacing w:val="-2"/>
          <w:sz w:val="22"/>
        </w:rPr>
        <w:t> </w:t>
      </w:r>
      <w:r>
        <w:rPr>
          <w:sz w:val="22"/>
        </w:rPr>
        <w:t>of</w:t>
      </w:r>
      <w:r>
        <w:rPr>
          <w:spacing w:val="-1"/>
          <w:sz w:val="22"/>
        </w:rPr>
        <w:t> </w:t>
      </w:r>
      <w:r>
        <w:rPr>
          <w:sz w:val="22"/>
        </w:rPr>
        <w:t>evidence-based</w:t>
      </w:r>
      <w:r>
        <w:rPr>
          <w:spacing w:val="-2"/>
          <w:sz w:val="22"/>
        </w:rPr>
        <w:t> </w:t>
      </w:r>
      <w:r>
        <w:rPr>
          <w:sz w:val="22"/>
        </w:rPr>
        <w:t>interventions.</w:t>
      </w:r>
      <w:r>
        <w:rPr>
          <w:spacing w:val="-2"/>
          <w:sz w:val="22"/>
        </w:rPr>
        <w:t> </w:t>
      </w:r>
      <w:r>
        <w:rPr>
          <w:sz w:val="22"/>
        </w:rPr>
        <w:t>TA</w:t>
      </w:r>
      <w:r>
        <w:rPr>
          <w:spacing w:val="-1"/>
          <w:sz w:val="22"/>
        </w:rPr>
        <w:t> </w:t>
      </w:r>
      <w:r>
        <w:rPr>
          <w:sz w:val="22"/>
        </w:rPr>
        <w:t>may</w:t>
      </w:r>
      <w:r>
        <w:rPr>
          <w:spacing w:val="-2"/>
          <w:sz w:val="22"/>
        </w:rPr>
        <w:t> </w:t>
      </w:r>
      <w:r>
        <w:rPr>
          <w:sz w:val="22"/>
        </w:rPr>
        <w:t>be provided in multiple forms, including but not limited to: individual consultation, learning collaboratives, tools</w:t>
      </w:r>
      <w:r>
        <w:rPr>
          <w:spacing w:val="-9"/>
          <w:sz w:val="22"/>
        </w:rPr>
        <w:t> </w:t>
      </w:r>
      <w:r>
        <w:rPr>
          <w:sz w:val="22"/>
        </w:rPr>
        <w:t>and</w:t>
      </w:r>
      <w:r>
        <w:rPr>
          <w:spacing w:val="-12"/>
          <w:sz w:val="22"/>
        </w:rPr>
        <w:t> </w:t>
      </w:r>
      <w:r>
        <w:rPr>
          <w:sz w:val="22"/>
        </w:rPr>
        <w:t>resources,</w:t>
      </w:r>
      <w:r>
        <w:rPr>
          <w:spacing w:val="-12"/>
          <w:sz w:val="22"/>
        </w:rPr>
        <w:t> </w:t>
      </w:r>
      <w:r>
        <w:rPr>
          <w:sz w:val="22"/>
        </w:rPr>
        <w:t>and</w:t>
      </w:r>
      <w:r>
        <w:rPr>
          <w:spacing w:val="-10"/>
          <w:sz w:val="22"/>
        </w:rPr>
        <w:t> </w:t>
      </w:r>
      <w:r>
        <w:rPr>
          <w:sz w:val="22"/>
        </w:rPr>
        <w:t>webinars.</w:t>
      </w:r>
      <w:r>
        <w:rPr>
          <w:spacing w:val="-10"/>
          <w:sz w:val="22"/>
        </w:rPr>
        <w:t> </w:t>
      </w:r>
      <w:r>
        <w:rPr>
          <w:sz w:val="22"/>
        </w:rPr>
        <w:t>Providers</w:t>
      </w:r>
      <w:r>
        <w:rPr>
          <w:spacing w:val="-9"/>
          <w:sz w:val="22"/>
        </w:rPr>
        <w:t> </w:t>
      </w:r>
      <w:r>
        <w:rPr>
          <w:sz w:val="22"/>
        </w:rPr>
        <w:t>participating</w:t>
      </w:r>
      <w:r>
        <w:rPr>
          <w:spacing w:val="-12"/>
          <w:sz w:val="22"/>
        </w:rPr>
        <w:t> </w:t>
      </w:r>
      <w:r>
        <w:rPr>
          <w:sz w:val="22"/>
        </w:rPr>
        <w:t>in</w:t>
      </w:r>
      <w:r>
        <w:rPr>
          <w:spacing w:val="-10"/>
          <w:sz w:val="22"/>
        </w:rPr>
        <w:t> </w:t>
      </w:r>
      <w:r>
        <w:rPr>
          <w:sz w:val="22"/>
        </w:rPr>
        <w:t>payment</w:t>
      </w:r>
      <w:r>
        <w:rPr>
          <w:spacing w:val="-9"/>
          <w:sz w:val="22"/>
        </w:rPr>
        <w:t> </w:t>
      </w:r>
      <w:r>
        <w:rPr>
          <w:sz w:val="22"/>
        </w:rPr>
        <w:t>reform</w:t>
      </w:r>
      <w:r>
        <w:rPr>
          <w:spacing w:val="-13"/>
          <w:sz w:val="22"/>
        </w:rPr>
        <w:t> </w:t>
      </w:r>
      <w:r>
        <w:rPr>
          <w:sz w:val="22"/>
        </w:rPr>
        <w:t>(ACOs,</w:t>
      </w:r>
      <w:r>
        <w:rPr>
          <w:spacing w:val="-10"/>
          <w:sz w:val="22"/>
        </w:rPr>
        <w:t> </w:t>
      </w:r>
      <w:r>
        <w:rPr>
          <w:sz w:val="22"/>
        </w:rPr>
        <w:t>Community</w:t>
      </w:r>
      <w:r>
        <w:rPr>
          <w:spacing w:val="-12"/>
          <w:sz w:val="22"/>
        </w:rPr>
        <w:t> </w:t>
      </w:r>
      <w:r>
        <w:rPr>
          <w:sz w:val="22"/>
        </w:rPr>
        <w:t>Partners, and CSAs) may be eligible to apply for funding.</w:t>
      </w:r>
    </w:p>
    <w:p>
      <w:pPr>
        <w:spacing w:before="158"/>
        <w:ind w:left="1220" w:right="0" w:firstLine="0"/>
        <w:jc w:val="both"/>
        <w:rPr>
          <w:sz w:val="22"/>
        </w:rPr>
      </w:pPr>
      <w:r>
        <w:rPr>
          <w:sz w:val="22"/>
        </w:rPr>
        <w:t>Technical</w:t>
      </w:r>
      <w:r>
        <w:rPr>
          <w:spacing w:val="-2"/>
          <w:sz w:val="22"/>
        </w:rPr>
        <w:t> </w:t>
      </w:r>
      <w:r>
        <w:rPr>
          <w:sz w:val="22"/>
        </w:rPr>
        <w:t>assistance</w:t>
      </w:r>
      <w:r>
        <w:rPr>
          <w:spacing w:val="-2"/>
          <w:sz w:val="22"/>
        </w:rPr>
        <w:t> </w:t>
      </w:r>
      <w:r>
        <w:rPr>
          <w:sz w:val="22"/>
        </w:rPr>
        <w:t>may</w:t>
      </w:r>
      <w:r>
        <w:rPr>
          <w:spacing w:val="-6"/>
          <w:sz w:val="22"/>
        </w:rPr>
        <w:t> </w:t>
      </w:r>
      <w:r>
        <w:rPr>
          <w:sz w:val="22"/>
        </w:rPr>
        <w:t>be</w:t>
      </w:r>
      <w:r>
        <w:rPr>
          <w:spacing w:val="-2"/>
          <w:sz w:val="22"/>
        </w:rPr>
        <w:t> </w:t>
      </w:r>
      <w:r>
        <w:rPr>
          <w:sz w:val="22"/>
        </w:rPr>
        <w:t>available</w:t>
      </w:r>
      <w:r>
        <w:rPr>
          <w:spacing w:val="-3"/>
          <w:sz w:val="22"/>
        </w:rPr>
        <w:t> </w:t>
      </w:r>
      <w:r>
        <w:rPr>
          <w:sz w:val="22"/>
        </w:rPr>
        <w:t>in</w:t>
      </w:r>
      <w:r>
        <w:rPr>
          <w:spacing w:val="-5"/>
          <w:sz w:val="22"/>
        </w:rPr>
        <w:t> </w:t>
      </w:r>
      <w:r>
        <w:rPr>
          <w:sz w:val="22"/>
        </w:rPr>
        <w:t>areas</w:t>
      </w:r>
      <w:r>
        <w:rPr>
          <w:spacing w:val="-4"/>
          <w:sz w:val="22"/>
        </w:rPr>
        <w:t> </w:t>
      </w:r>
      <w:r>
        <w:rPr>
          <w:sz w:val="22"/>
        </w:rPr>
        <w:t>such</w:t>
      </w:r>
      <w:r>
        <w:rPr>
          <w:spacing w:val="-6"/>
          <w:sz w:val="22"/>
        </w:rPr>
        <w:t> </w:t>
      </w:r>
      <w:r>
        <w:rPr>
          <w:sz w:val="22"/>
        </w:rPr>
        <w:t>as,</w:t>
      </w:r>
      <w:r>
        <w:rPr>
          <w:spacing w:val="-5"/>
          <w:sz w:val="22"/>
        </w:rPr>
        <w:t> </w:t>
      </w:r>
      <w:r>
        <w:rPr>
          <w:sz w:val="22"/>
        </w:rPr>
        <w:t>but</w:t>
      </w:r>
      <w:r>
        <w:rPr>
          <w:spacing w:val="-2"/>
          <w:sz w:val="22"/>
        </w:rPr>
        <w:t> </w:t>
      </w:r>
      <w:r>
        <w:rPr>
          <w:sz w:val="22"/>
        </w:rPr>
        <w:t>not</w:t>
      </w:r>
      <w:r>
        <w:rPr>
          <w:spacing w:val="-1"/>
          <w:sz w:val="22"/>
        </w:rPr>
        <w:t> </w:t>
      </w:r>
      <w:r>
        <w:rPr>
          <w:sz w:val="22"/>
        </w:rPr>
        <w:t>limited</w:t>
      </w:r>
      <w:r>
        <w:rPr>
          <w:spacing w:val="-5"/>
          <w:sz w:val="22"/>
        </w:rPr>
        <w:t> to:</w:t>
      </w:r>
    </w:p>
    <w:p>
      <w:pPr>
        <w:spacing w:after="0"/>
        <w:jc w:val="both"/>
        <w:rPr>
          <w:sz w:val="22"/>
        </w:rPr>
        <w:sectPr>
          <w:pgSz w:w="12240" w:h="15840"/>
          <w:pgMar w:header="0" w:footer="967" w:top="1380" w:bottom="1160" w:left="220" w:right="340"/>
        </w:sectPr>
      </w:pPr>
    </w:p>
    <w:p>
      <w:pPr>
        <w:pStyle w:val="ListParagraph"/>
        <w:numPr>
          <w:ilvl w:val="0"/>
          <w:numId w:val="109"/>
        </w:numPr>
        <w:tabs>
          <w:tab w:pos="1937" w:val="left" w:leader="none"/>
          <w:tab w:pos="1940" w:val="left" w:leader="none"/>
        </w:tabs>
        <w:spacing w:line="254" w:lineRule="auto" w:before="59" w:after="0"/>
        <w:ind w:left="1940" w:right="1095" w:hanging="361"/>
        <w:jc w:val="both"/>
        <w:rPr>
          <w:rFonts w:ascii="Calibri"/>
          <w:sz w:val="22"/>
        </w:rPr>
      </w:pPr>
      <w:r>
        <w:rPr>
          <w:b/>
          <w:sz w:val="22"/>
        </w:rPr>
        <w:t>Education:</w:t>
      </w:r>
      <w:r>
        <w:rPr>
          <w:b/>
          <w:spacing w:val="-2"/>
          <w:sz w:val="22"/>
        </w:rPr>
        <w:t> </w:t>
      </w:r>
      <w:r>
        <w:rPr>
          <w:sz w:val="22"/>
        </w:rPr>
        <w:t>Education</w:t>
      </w:r>
      <w:r>
        <w:rPr>
          <w:spacing w:val="-3"/>
          <w:sz w:val="22"/>
        </w:rPr>
        <w:t> </w:t>
      </w:r>
      <w:r>
        <w:rPr>
          <w:sz w:val="22"/>
        </w:rPr>
        <w:t>on</w:t>
      </w:r>
      <w:r>
        <w:rPr>
          <w:spacing w:val="-5"/>
          <w:sz w:val="22"/>
        </w:rPr>
        <w:t> </w:t>
      </w:r>
      <w:r>
        <w:rPr>
          <w:sz w:val="22"/>
        </w:rPr>
        <w:t>delivery</w:t>
      </w:r>
      <w:r>
        <w:rPr>
          <w:spacing w:val="-5"/>
          <w:sz w:val="22"/>
        </w:rPr>
        <w:t> </w:t>
      </w:r>
      <w:r>
        <w:rPr>
          <w:sz w:val="22"/>
        </w:rPr>
        <w:t>system</w:t>
      </w:r>
      <w:r>
        <w:rPr>
          <w:spacing w:val="-6"/>
          <w:sz w:val="22"/>
        </w:rPr>
        <w:t> </w:t>
      </w:r>
      <w:r>
        <w:rPr>
          <w:sz w:val="22"/>
        </w:rPr>
        <w:t>reform</w:t>
      </w:r>
      <w:r>
        <w:rPr>
          <w:spacing w:val="-6"/>
          <w:sz w:val="22"/>
        </w:rPr>
        <w:t> </w:t>
      </w:r>
      <w:r>
        <w:rPr>
          <w:sz w:val="22"/>
        </w:rPr>
        <w:t>topics,</w:t>
      </w:r>
      <w:r>
        <w:rPr>
          <w:spacing w:val="-3"/>
          <w:sz w:val="22"/>
        </w:rPr>
        <w:t> </w:t>
      </w:r>
      <w:r>
        <w:rPr>
          <w:sz w:val="22"/>
        </w:rPr>
        <w:t>such</w:t>
      </w:r>
      <w:r>
        <w:rPr>
          <w:spacing w:val="-3"/>
          <w:sz w:val="22"/>
        </w:rPr>
        <w:t> </w:t>
      </w:r>
      <w:r>
        <w:rPr>
          <w:sz w:val="22"/>
        </w:rPr>
        <w:t>as</w:t>
      </w:r>
      <w:r>
        <w:rPr>
          <w:spacing w:val="-3"/>
          <w:sz w:val="22"/>
        </w:rPr>
        <w:t> </w:t>
      </w:r>
      <w:r>
        <w:rPr>
          <w:sz w:val="22"/>
        </w:rPr>
        <w:t>governance</w:t>
      </w:r>
      <w:r>
        <w:rPr>
          <w:spacing w:val="-4"/>
          <w:sz w:val="22"/>
        </w:rPr>
        <w:t> </w:t>
      </w:r>
      <w:r>
        <w:rPr>
          <w:sz w:val="22"/>
        </w:rPr>
        <w:t>requirements,</w:t>
      </w:r>
      <w:r>
        <w:rPr>
          <w:spacing w:val="-3"/>
          <w:sz w:val="22"/>
        </w:rPr>
        <w:t> </w:t>
      </w:r>
      <w:r>
        <w:rPr>
          <w:sz w:val="22"/>
        </w:rPr>
        <w:t>shared savings and shared losses; network development; quality and financial management analytics; assistance with health care literacy; and other topics.</w:t>
      </w:r>
    </w:p>
    <w:p>
      <w:pPr>
        <w:pStyle w:val="ListParagraph"/>
        <w:numPr>
          <w:ilvl w:val="0"/>
          <w:numId w:val="109"/>
        </w:numPr>
        <w:tabs>
          <w:tab w:pos="1937" w:val="left" w:leader="none"/>
          <w:tab w:pos="1939" w:val="left" w:leader="none"/>
        </w:tabs>
        <w:spacing w:line="240" w:lineRule="auto" w:before="162" w:after="0"/>
        <w:ind w:left="1939" w:right="1095" w:hanging="360"/>
        <w:jc w:val="both"/>
        <w:rPr>
          <w:sz w:val="22"/>
        </w:rPr>
      </w:pPr>
      <w:r>
        <w:rPr>
          <w:b/>
          <w:sz w:val="22"/>
        </w:rPr>
        <w:t>Actuarial and Financial: </w:t>
      </w:r>
      <w:r>
        <w:rPr>
          <w:sz w:val="22"/>
        </w:rPr>
        <w:t>Actuarial consulting to support participation in payment models. Baseline education and readiness assessments that address financial business process changes, patient attribution, budgeting, practice management systems, and other needs.</w:t>
      </w:r>
    </w:p>
    <w:p>
      <w:pPr>
        <w:pStyle w:val="ListParagraph"/>
        <w:numPr>
          <w:ilvl w:val="0"/>
          <w:numId w:val="109"/>
        </w:numPr>
        <w:tabs>
          <w:tab w:pos="1937" w:val="left" w:leader="none"/>
          <w:tab w:pos="1939" w:val="left" w:leader="none"/>
        </w:tabs>
        <w:spacing w:line="240" w:lineRule="auto" w:before="199" w:after="0"/>
        <w:ind w:left="1939" w:right="1095" w:hanging="360"/>
        <w:jc w:val="both"/>
        <w:rPr>
          <w:sz w:val="22"/>
        </w:rPr>
      </w:pPr>
      <w:r>
        <w:rPr>
          <w:b/>
          <w:sz w:val="22"/>
        </w:rPr>
        <w:t>Care Coordination/Integration</w:t>
      </w:r>
      <w:r>
        <w:rPr>
          <w:sz w:val="22"/>
        </w:rPr>
        <w:t>: Technical assistance to support, establish, and improve care coordination/integration best practices, including best practices around incorporating community health workers and social workers into practice, among other areas</w:t>
      </w:r>
    </w:p>
    <w:p>
      <w:pPr>
        <w:pStyle w:val="ListParagraph"/>
        <w:numPr>
          <w:ilvl w:val="0"/>
          <w:numId w:val="109"/>
        </w:numPr>
        <w:tabs>
          <w:tab w:pos="1937" w:val="left" w:leader="none"/>
          <w:tab w:pos="1939" w:val="left" w:leader="none"/>
        </w:tabs>
        <w:spacing w:line="240" w:lineRule="auto" w:before="201" w:after="0"/>
        <w:ind w:left="1939" w:right="1096" w:hanging="360"/>
        <w:jc w:val="both"/>
        <w:rPr>
          <w:sz w:val="22"/>
        </w:rPr>
      </w:pPr>
      <w:r>
        <w:rPr>
          <w:b/>
          <w:sz w:val="22"/>
        </w:rPr>
        <w:t>Performance Management: </w:t>
      </w:r>
      <w:r>
        <w:rPr>
          <w:sz w:val="22"/>
        </w:rPr>
        <w:t>Technical assistance to support program improvements, project management and provider performance management</w:t>
      </w:r>
    </w:p>
    <w:p>
      <w:pPr>
        <w:pStyle w:val="ListParagraph"/>
        <w:numPr>
          <w:ilvl w:val="0"/>
          <w:numId w:val="109"/>
        </w:numPr>
        <w:tabs>
          <w:tab w:pos="1937" w:val="left" w:leader="none"/>
          <w:tab w:pos="1939" w:val="left" w:leader="none"/>
        </w:tabs>
        <w:spacing w:line="242" w:lineRule="auto" w:before="199" w:after="0"/>
        <w:ind w:left="1939" w:right="1096" w:hanging="360"/>
        <w:jc w:val="both"/>
        <w:rPr>
          <w:sz w:val="22"/>
        </w:rPr>
      </w:pPr>
      <w:r>
        <w:rPr>
          <w:b/>
          <w:sz w:val="22"/>
        </w:rPr>
        <w:t>Health</w:t>
      </w:r>
      <w:r>
        <w:rPr>
          <w:b/>
          <w:spacing w:val="-11"/>
          <w:sz w:val="22"/>
        </w:rPr>
        <w:t> </w:t>
      </w:r>
      <w:r>
        <w:rPr>
          <w:b/>
          <w:sz w:val="22"/>
        </w:rPr>
        <w:t>Information</w:t>
      </w:r>
      <w:r>
        <w:rPr>
          <w:b/>
          <w:spacing w:val="-8"/>
          <w:sz w:val="22"/>
        </w:rPr>
        <w:t> </w:t>
      </w:r>
      <w:r>
        <w:rPr>
          <w:b/>
          <w:sz w:val="22"/>
        </w:rPr>
        <w:t>Technology</w:t>
      </w:r>
      <w:r>
        <w:rPr>
          <w:sz w:val="22"/>
        </w:rPr>
        <w:t>:</w:t>
      </w:r>
      <w:r>
        <w:rPr>
          <w:spacing w:val="-7"/>
          <w:sz w:val="22"/>
        </w:rPr>
        <w:t> </w:t>
      </w:r>
      <w:r>
        <w:rPr>
          <w:sz w:val="22"/>
        </w:rPr>
        <w:t>Consultations</w:t>
      </w:r>
      <w:r>
        <w:rPr>
          <w:spacing w:val="-8"/>
          <w:sz w:val="22"/>
        </w:rPr>
        <w:t> </w:t>
      </w:r>
      <w:r>
        <w:rPr>
          <w:sz w:val="22"/>
        </w:rPr>
        <w:t>to</w:t>
      </w:r>
      <w:r>
        <w:rPr>
          <w:spacing w:val="-8"/>
          <w:sz w:val="22"/>
        </w:rPr>
        <w:t> </w:t>
      </w:r>
      <w:r>
        <w:rPr>
          <w:sz w:val="22"/>
        </w:rPr>
        <w:t>provide</w:t>
      </w:r>
      <w:r>
        <w:rPr>
          <w:spacing w:val="-8"/>
          <w:sz w:val="22"/>
        </w:rPr>
        <w:t> </w:t>
      </w:r>
      <w:r>
        <w:rPr>
          <w:sz w:val="22"/>
        </w:rPr>
        <w:t>insight</w:t>
      </w:r>
      <w:r>
        <w:rPr>
          <w:spacing w:val="-9"/>
          <w:sz w:val="22"/>
        </w:rPr>
        <w:t> </w:t>
      </w:r>
      <w:r>
        <w:rPr>
          <w:sz w:val="22"/>
        </w:rPr>
        <w:t>into</w:t>
      </w:r>
      <w:r>
        <w:rPr>
          <w:spacing w:val="-8"/>
          <w:sz w:val="22"/>
        </w:rPr>
        <w:t> </w:t>
      </w:r>
      <w:r>
        <w:rPr>
          <w:sz w:val="22"/>
        </w:rPr>
        <w:t>what</w:t>
      </w:r>
      <w:r>
        <w:rPr>
          <w:spacing w:val="-10"/>
          <w:sz w:val="22"/>
        </w:rPr>
        <w:t> </w:t>
      </w:r>
      <w:r>
        <w:rPr>
          <w:sz w:val="22"/>
        </w:rPr>
        <w:t>HIT</w:t>
      </w:r>
      <w:r>
        <w:rPr>
          <w:spacing w:val="-6"/>
          <w:sz w:val="22"/>
        </w:rPr>
        <w:t> </w:t>
      </w:r>
      <w:r>
        <w:rPr>
          <w:sz w:val="22"/>
        </w:rPr>
        <w:t>investments</w:t>
      </w:r>
      <w:r>
        <w:rPr>
          <w:spacing w:val="-10"/>
          <w:sz w:val="22"/>
        </w:rPr>
        <w:t> </w:t>
      </w:r>
      <w:r>
        <w:rPr>
          <w:sz w:val="22"/>
        </w:rPr>
        <w:t>and workflow</w:t>
      </w:r>
      <w:r>
        <w:rPr>
          <w:spacing w:val="-14"/>
          <w:sz w:val="22"/>
        </w:rPr>
        <w:t> </w:t>
      </w:r>
      <w:r>
        <w:rPr>
          <w:sz w:val="22"/>
        </w:rPr>
        <w:t>adjustments</w:t>
      </w:r>
      <w:r>
        <w:rPr>
          <w:spacing w:val="-14"/>
          <w:sz w:val="22"/>
        </w:rPr>
        <w:t> </w:t>
      </w:r>
      <w:r>
        <w:rPr>
          <w:sz w:val="22"/>
        </w:rPr>
        <w:t>will</w:t>
      </w:r>
      <w:r>
        <w:rPr>
          <w:spacing w:val="-14"/>
          <w:sz w:val="22"/>
        </w:rPr>
        <w:t> </w:t>
      </w:r>
      <w:r>
        <w:rPr>
          <w:sz w:val="22"/>
        </w:rPr>
        <w:t>be</w:t>
      </w:r>
      <w:r>
        <w:rPr>
          <w:spacing w:val="-12"/>
          <w:sz w:val="22"/>
        </w:rPr>
        <w:t> </w:t>
      </w:r>
      <w:r>
        <w:rPr>
          <w:sz w:val="22"/>
        </w:rPr>
        <w:t>needed</w:t>
      </w:r>
      <w:r>
        <w:rPr>
          <w:spacing w:val="-13"/>
          <w:sz w:val="22"/>
        </w:rPr>
        <w:t> </w:t>
      </w:r>
      <w:r>
        <w:rPr>
          <w:sz w:val="22"/>
        </w:rPr>
        <w:t>to</w:t>
      </w:r>
      <w:r>
        <w:rPr>
          <w:spacing w:val="-14"/>
          <w:sz w:val="22"/>
        </w:rPr>
        <w:t> </w:t>
      </w:r>
      <w:r>
        <w:rPr>
          <w:sz w:val="22"/>
        </w:rPr>
        <w:t>achieve</w:t>
      </w:r>
      <w:r>
        <w:rPr>
          <w:spacing w:val="-11"/>
          <w:sz w:val="22"/>
        </w:rPr>
        <w:t> </w:t>
      </w:r>
      <w:r>
        <w:rPr>
          <w:sz w:val="22"/>
        </w:rPr>
        <w:t>goals</w:t>
      </w:r>
      <w:r>
        <w:rPr>
          <w:spacing w:val="-14"/>
          <w:sz w:val="22"/>
        </w:rPr>
        <w:t> </w:t>
      </w:r>
      <w:r>
        <w:rPr>
          <w:sz w:val="22"/>
        </w:rPr>
        <w:t>regarding</w:t>
      </w:r>
      <w:r>
        <w:rPr>
          <w:spacing w:val="-14"/>
          <w:sz w:val="22"/>
        </w:rPr>
        <w:t> </w:t>
      </w:r>
      <w:r>
        <w:rPr>
          <w:sz w:val="22"/>
        </w:rPr>
        <w:t>data</w:t>
      </w:r>
      <w:r>
        <w:rPr>
          <w:spacing w:val="-14"/>
          <w:sz w:val="22"/>
        </w:rPr>
        <w:t> </w:t>
      </w:r>
      <w:r>
        <w:rPr>
          <w:sz w:val="22"/>
        </w:rPr>
        <w:t>sharing</w:t>
      </w:r>
      <w:r>
        <w:rPr>
          <w:spacing w:val="-13"/>
          <w:sz w:val="22"/>
        </w:rPr>
        <w:t> </w:t>
      </w:r>
      <w:r>
        <w:rPr>
          <w:sz w:val="22"/>
        </w:rPr>
        <w:t>and</w:t>
      </w:r>
      <w:r>
        <w:rPr>
          <w:spacing w:val="-14"/>
          <w:sz w:val="22"/>
        </w:rPr>
        <w:t> </w:t>
      </w:r>
      <w:r>
        <w:rPr>
          <w:sz w:val="22"/>
        </w:rPr>
        <w:t>integration</w:t>
      </w:r>
      <w:r>
        <w:rPr>
          <w:spacing w:val="-14"/>
          <w:sz w:val="22"/>
        </w:rPr>
        <w:t> </w:t>
      </w:r>
      <w:r>
        <w:rPr>
          <w:sz w:val="22"/>
        </w:rPr>
        <w:t>across the</w:t>
      </w:r>
      <w:r>
        <w:rPr>
          <w:spacing w:val="-14"/>
          <w:sz w:val="22"/>
        </w:rPr>
        <w:t> </w:t>
      </w:r>
      <w:r>
        <w:rPr>
          <w:sz w:val="22"/>
        </w:rPr>
        <w:t>delivery</w:t>
      </w:r>
      <w:r>
        <w:rPr>
          <w:spacing w:val="-15"/>
          <w:sz w:val="22"/>
        </w:rPr>
        <w:t> </w:t>
      </w:r>
      <w:r>
        <w:rPr>
          <w:sz w:val="22"/>
        </w:rPr>
        <w:t>system</w:t>
      </w:r>
      <w:r>
        <w:rPr>
          <w:spacing w:val="-16"/>
          <w:sz w:val="22"/>
        </w:rPr>
        <w:t> </w:t>
      </w:r>
      <w:r>
        <w:rPr>
          <w:sz w:val="22"/>
        </w:rPr>
        <w:t>(e.g.,</w:t>
      </w:r>
      <w:r>
        <w:rPr>
          <w:spacing w:val="-14"/>
          <w:sz w:val="22"/>
        </w:rPr>
        <w:t> </w:t>
      </w:r>
      <w:r>
        <w:rPr>
          <w:sz w:val="22"/>
        </w:rPr>
        <w:t>establishing</w:t>
      </w:r>
      <w:r>
        <w:rPr>
          <w:spacing w:val="-15"/>
          <w:sz w:val="22"/>
        </w:rPr>
        <w:t> </w:t>
      </w:r>
      <w:r>
        <w:rPr>
          <w:sz w:val="22"/>
        </w:rPr>
        <w:t>clinical</w:t>
      </w:r>
      <w:r>
        <w:rPr>
          <w:spacing w:val="-14"/>
          <w:sz w:val="22"/>
        </w:rPr>
        <w:t> </w:t>
      </w:r>
      <w:r>
        <w:rPr>
          <w:sz w:val="22"/>
        </w:rPr>
        <w:t>or</w:t>
      </w:r>
      <w:r>
        <w:rPr>
          <w:spacing w:val="-14"/>
          <w:sz w:val="22"/>
        </w:rPr>
        <w:t> </w:t>
      </w:r>
      <w:r>
        <w:rPr>
          <w:sz w:val="22"/>
        </w:rPr>
        <w:t>community</w:t>
      </w:r>
      <w:r>
        <w:rPr>
          <w:spacing w:val="-15"/>
          <w:sz w:val="22"/>
        </w:rPr>
        <w:t> </w:t>
      </w:r>
      <w:r>
        <w:rPr>
          <w:sz w:val="22"/>
        </w:rPr>
        <w:t>linkages</w:t>
      </w:r>
      <w:r>
        <w:rPr>
          <w:spacing w:val="-14"/>
          <w:sz w:val="22"/>
        </w:rPr>
        <w:t> </w:t>
      </w:r>
      <w:r>
        <w:rPr>
          <w:sz w:val="22"/>
        </w:rPr>
        <w:t>through</w:t>
      </w:r>
      <w:r>
        <w:rPr>
          <w:spacing w:val="-13"/>
          <w:sz w:val="22"/>
        </w:rPr>
        <w:t> </w:t>
      </w:r>
      <w:r>
        <w:rPr>
          <w:sz w:val="22"/>
        </w:rPr>
        <w:t>an</w:t>
      </w:r>
      <w:r>
        <w:rPr>
          <w:spacing w:val="-15"/>
          <w:sz w:val="22"/>
        </w:rPr>
        <w:t> </w:t>
      </w:r>
      <w:r>
        <w:rPr>
          <w:sz w:val="22"/>
        </w:rPr>
        <w:t>e-Referral</w:t>
      </w:r>
      <w:r>
        <w:rPr>
          <w:spacing w:val="-14"/>
          <w:sz w:val="22"/>
        </w:rPr>
        <w:t> </w:t>
      </w:r>
      <w:r>
        <w:rPr>
          <w:sz w:val="22"/>
        </w:rPr>
        <w:t>system)</w:t>
      </w:r>
    </w:p>
    <w:p>
      <w:pPr>
        <w:pStyle w:val="ListParagraph"/>
        <w:numPr>
          <w:ilvl w:val="0"/>
          <w:numId w:val="109"/>
        </w:numPr>
        <w:tabs>
          <w:tab w:pos="1937" w:val="left" w:leader="none"/>
          <w:tab w:pos="1939" w:val="left" w:leader="none"/>
        </w:tabs>
        <w:spacing w:line="242" w:lineRule="auto" w:before="191" w:after="0"/>
        <w:ind w:left="1939" w:right="1095" w:hanging="360"/>
        <w:jc w:val="both"/>
        <w:rPr>
          <w:sz w:val="22"/>
        </w:rPr>
      </w:pPr>
      <w:r>
        <w:rPr>
          <w:b/>
          <w:sz w:val="22"/>
        </w:rPr>
        <w:t>Accessible and Culturally Competent Care: </w:t>
      </w:r>
      <w:r>
        <w:rPr>
          <w:sz w:val="22"/>
        </w:rPr>
        <w:t>Training and support materials to promote best practices for accessibility and for culturally competent care for individuals with limited English proficiency; diverse cultural and ethnic backgrounds; physical, developmental, or mental disabilities; and regardless of gender, sexual orientation, or gender identity.</w:t>
      </w:r>
    </w:p>
    <w:p>
      <w:pPr>
        <w:pStyle w:val="ListParagraph"/>
        <w:numPr>
          <w:ilvl w:val="0"/>
          <w:numId w:val="109"/>
        </w:numPr>
        <w:tabs>
          <w:tab w:pos="1937" w:val="left" w:leader="none"/>
          <w:tab w:pos="1939" w:val="left" w:leader="none"/>
        </w:tabs>
        <w:spacing w:line="244" w:lineRule="auto" w:before="190" w:after="0"/>
        <w:ind w:left="1939" w:right="1098" w:hanging="360"/>
        <w:jc w:val="both"/>
        <w:rPr>
          <w:sz w:val="22"/>
        </w:rPr>
      </w:pPr>
      <w:r>
        <w:rPr>
          <w:b/>
          <w:sz w:val="22"/>
        </w:rPr>
        <w:t>Chronic Conditions Management: </w:t>
      </w:r>
      <w:r>
        <w:rPr>
          <w:sz w:val="22"/>
        </w:rPr>
        <w:t>Training, support, and technical assistance on utilizing and implementing evidence-based interventions to manage chronic conditions, among other areas.</w:t>
      </w:r>
    </w:p>
    <w:p>
      <w:pPr>
        <w:pStyle w:val="ListParagraph"/>
        <w:numPr>
          <w:ilvl w:val="0"/>
          <w:numId w:val="109"/>
        </w:numPr>
        <w:tabs>
          <w:tab w:pos="1937" w:val="left" w:leader="none"/>
          <w:tab w:pos="1939" w:val="left" w:leader="none"/>
        </w:tabs>
        <w:spacing w:line="240" w:lineRule="auto" w:before="192" w:after="0"/>
        <w:ind w:left="1939" w:right="1093" w:hanging="360"/>
        <w:jc w:val="both"/>
        <w:rPr>
          <w:sz w:val="22"/>
        </w:rPr>
      </w:pPr>
      <w:r>
        <w:rPr>
          <w:b/>
          <w:sz w:val="22"/>
        </w:rPr>
        <w:t>Behavioral Health Care Treatment and Management:</w:t>
      </w:r>
      <w:r>
        <w:rPr>
          <w:b/>
          <w:spacing w:val="40"/>
          <w:sz w:val="22"/>
        </w:rPr>
        <w:t> </w:t>
      </w:r>
      <w:r>
        <w:rPr>
          <w:sz w:val="22"/>
        </w:rPr>
        <w:t>Training, support, data analytics, and technical assistance in caring for patients with behavioral health needs in the community, among other areas</w:t>
      </w:r>
    </w:p>
    <w:p>
      <w:pPr>
        <w:pStyle w:val="ListParagraph"/>
        <w:numPr>
          <w:ilvl w:val="0"/>
          <w:numId w:val="109"/>
        </w:numPr>
        <w:tabs>
          <w:tab w:pos="1936" w:val="left" w:leader="none"/>
          <w:tab w:pos="1939" w:val="left" w:leader="none"/>
        </w:tabs>
        <w:spacing w:line="240" w:lineRule="auto" w:before="198" w:after="0"/>
        <w:ind w:left="1939" w:right="1098" w:hanging="361"/>
        <w:jc w:val="both"/>
        <w:rPr>
          <w:sz w:val="22"/>
        </w:rPr>
      </w:pPr>
      <w:r>
        <w:rPr>
          <w:b/>
          <w:sz w:val="22"/>
        </w:rPr>
        <w:t>Population Health and Data Analytics: </w:t>
      </w:r>
      <w:r>
        <w:rPr>
          <w:sz w:val="22"/>
        </w:rPr>
        <w:t>Training, support, and technical assistance in analyzing data (e.g. raw claims extracts from The State, clinical quality data from EHRs) to help providers make evidence-based decisions, among other items</w:t>
      </w:r>
    </w:p>
    <w:p>
      <w:pPr>
        <w:spacing w:line="252" w:lineRule="exact" w:before="201"/>
        <w:ind w:left="1219" w:right="0" w:firstLine="0"/>
        <w:jc w:val="both"/>
        <w:rPr>
          <w:sz w:val="22"/>
        </w:rPr>
      </w:pPr>
      <w:bookmarkStart w:name="Awardee’s Obligations" w:id="1511"/>
      <w:bookmarkEnd w:id="1511"/>
      <w:r>
        <w:rPr/>
      </w:r>
      <w:r>
        <w:rPr>
          <w:color w:val="1F3762"/>
          <w:sz w:val="22"/>
        </w:rPr>
        <w:t>Awardee’s</w:t>
      </w:r>
      <w:r>
        <w:rPr>
          <w:color w:val="1F3762"/>
          <w:spacing w:val="-6"/>
          <w:sz w:val="22"/>
        </w:rPr>
        <w:t> </w:t>
      </w:r>
      <w:r>
        <w:rPr>
          <w:color w:val="1F3762"/>
          <w:spacing w:val="-2"/>
          <w:sz w:val="22"/>
        </w:rPr>
        <w:t>Obligations</w:t>
      </w:r>
    </w:p>
    <w:p>
      <w:pPr>
        <w:spacing w:before="0"/>
        <w:ind w:left="1219" w:right="1095" w:firstLine="0"/>
        <w:jc w:val="both"/>
        <w:rPr>
          <w:sz w:val="22"/>
        </w:rPr>
      </w:pPr>
      <w:r>
        <w:rPr>
          <w:sz w:val="22"/>
        </w:rPr>
        <w:t>ACOs, CPs, and CSAs will be eligible to apply for technical assistance. Interested ACOs, CPs, and CSAs will</w:t>
      </w:r>
      <w:r>
        <w:rPr>
          <w:spacing w:val="-9"/>
          <w:sz w:val="22"/>
        </w:rPr>
        <w:t> </w:t>
      </w:r>
      <w:r>
        <w:rPr>
          <w:sz w:val="22"/>
        </w:rPr>
        <w:t>submit</w:t>
      </w:r>
      <w:r>
        <w:rPr>
          <w:spacing w:val="-6"/>
          <w:sz w:val="22"/>
        </w:rPr>
        <w:t> </w:t>
      </w:r>
      <w:r>
        <w:rPr>
          <w:sz w:val="22"/>
        </w:rPr>
        <w:t>a</w:t>
      </w:r>
      <w:r>
        <w:rPr>
          <w:spacing w:val="-9"/>
          <w:sz w:val="22"/>
        </w:rPr>
        <w:t> </w:t>
      </w:r>
      <w:r>
        <w:rPr>
          <w:sz w:val="22"/>
        </w:rPr>
        <w:t>comprehensive</w:t>
      </w:r>
      <w:r>
        <w:rPr>
          <w:spacing w:val="-7"/>
          <w:sz w:val="22"/>
        </w:rPr>
        <w:t> </w:t>
      </w:r>
      <w:r>
        <w:rPr>
          <w:sz w:val="22"/>
        </w:rPr>
        <w:t>TA</w:t>
      </w:r>
      <w:r>
        <w:rPr>
          <w:spacing w:val="-11"/>
          <w:sz w:val="22"/>
        </w:rPr>
        <w:t> </w:t>
      </w:r>
      <w:r>
        <w:rPr>
          <w:sz w:val="22"/>
        </w:rPr>
        <w:t>plan</w:t>
      </w:r>
      <w:r>
        <w:rPr>
          <w:spacing w:val="-7"/>
          <w:sz w:val="22"/>
        </w:rPr>
        <w:t> </w:t>
      </w:r>
      <w:r>
        <w:rPr>
          <w:sz w:val="22"/>
        </w:rPr>
        <w:t>as</w:t>
      </w:r>
      <w:r>
        <w:rPr>
          <w:spacing w:val="-9"/>
          <w:sz w:val="22"/>
        </w:rPr>
        <w:t> </w:t>
      </w:r>
      <w:r>
        <w:rPr>
          <w:sz w:val="22"/>
        </w:rPr>
        <w:t>part</w:t>
      </w:r>
      <w:r>
        <w:rPr>
          <w:spacing w:val="-6"/>
          <w:sz w:val="22"/>
        </w:rPr>
        <w:t> </w:t>
      </w:r>
      <w:r>
        <w:rPr>
          <w:sz w:val="22"/>
        </w:rPr>
        <w:t>of</w:t>
      </w:r>
      <w:r>
        <w:rPr>
          <w:spacing w:val="-9"/>
          <w:sz w:val="22"/>
        </w:rPr>
        <w:t> </w:t>
      </w:r>
      <w:r>
        <w:rPr>
          <w:sz w:val="22"/>
        </w:rPr>
        <w:t>their</w:t>
      </w:r>
      <w:r>
        <w:rPr>
          <w:spacing w:val="-9"/>
          <w:sz w:val="22"/>
        </w:rPr>
        <w:t> </w:t>
      </w:r>
      <w:r>
        <w:rPr>
          <w:sz w:val="22"/>
        </w:rPr>
        <w:t>application,</w:t>
      </w:r>
      <w:r>
        <w:rPr>
          <w:spacing w:val="-7"/>
          <w:sz w:val="22"/>
        </w:rPr>
        <w:t> </w:t>
      </w:r>
      <w:r>
        <w:rPr>
          <w:sz w:val="22"/>
        </w:rPr>
        <w:t>which</w:t>
      </w:r>
      <w:r>
        <w:rPr>
          <w:spacing w:val="-10"/>
          <w:sz w:val="22"/>
        </w:rPr>
        <w:t> </w:t>
      </w:r>
      <w:r>
        <w:rPr>
          <w:sz w:val="22"/>
        </w:rPr>
        <w:t>will</w:t>
      </w:r>
      <w:r>
        <w:rPr>
          <w:spacing w:val="-6"/>
          <w:sz w:val="22"/>
        </w:rPr>
        <w:t> </w:t>
      </w:r>
      <w:r>
        <w:rPr>
          <w:sz w:val="22"/>
        </w:rPr>
        <w:t>be</w:t>
      </w:r>
      <w:r>
        <w:rPr>
          <w:spacing w:val="-7"/>
          <w:sz w:val="22"/>
        </w:rPr>
        <w:t> </w:t>
      </w:r>
      <w:r>
        <w:rPr>
          <w:sz w:val="22"/>
        </w:rPr>
        <w:t>subject</w:t>
      </w:r>
      <w:r>
        <w:rPr>
          <w:spacing w:val="-6"/>
          <w:sz w:val="22"/>
        </w:rPr>
        <w:t> </w:t>
      </w:r>
      <w:r>
        <w:rPr>
          <w:sz w:val="22"/>
        </w:rPr>
        <w:t>to</w:t>
      </w:r>
      <w:r>
        <w:rPr>
          <w:spacing w:val="-7"/>
          <w:sz w:val="22"/>
        </w:rPr>
        <w:t> </w:t>
      </w:r>
      <w:r>
        <w:rPr>
          <w:sz w:val="22"/>
        </w:rPr>
        <w:t>modification</w:t>
      </w:r>
      <w:r>
        <w:rPr>
          <w:spacing w:val="-9"/>
          <w:sz w:val="22"/>
        </w:rPr>
        <w:t> </w:t>
      </w:r>
      <w:r>
        <w:rPr>
          <w:sz w:val="22"/>
        </w:rPr>
        <w:t>and approval by the State. Any TA resources to support the plan must not overlap with TA supported through other</w:t>
      </w:r>
      <w:r>
        <w:rPr>
          <w:spacing w:val="-11"/>
          <w:sz w:val="22"/>
        </w:rPr>
        <w:t> </w:t>
      </w:r>
      <w:r>
        <w:rPr>
          <w:sz w:val="22"/>
        </w:rPr>
        <w:t>funding</w:t>
      </w:r>
      <w:r>
        <w:rPr>
          <w:spacing w:val="-14"/>
          <w:sz w:val="22"/>
        </w:rPr>
        <w:t> </w:t>
      </w:r>
      <w:r>
        <w:rPr>
          <w:sz w:val="22"/>
        </w:rPr>
        <w:t>sources</w:t>
      </w:r>
      <w:r>
        <w:rPr>
          <w:spacing w:val="-10"/>
          <w:sz w:val="22"/>
        </w:rPr>
        <w:t> </w:t>
      </w:r>
      <w:r>
        <w:rPr>
          <w:sz w:val="22"/>
        </w:rPr>
        <w:t>(e.g.,</w:t>
      </w:r>
      <w:r>
        <w:rPr>
          <w:spacing w:val="-12"/>
          <w:sz w:val="22"/>
        </w:rPr>
        <w:t> </w:t>
      </w:r>
      <w:r>
        <w:rPr>
          <w:sz w:val="22"/>
        </w:rPr>
        <w:t>federal,</w:t>
      </w:r>
      <w:r>
        <w:rPr>
          <w:spacing w:val="-12"/>
          <w:sz w:val="22"/>
        </w:rPr>
        <w:t> </w:t>
      </w:r>
      <w:r>
        <w:rPr>
          <w:sz w:val="22"/>
        </w:rPr>
        <w:t>state,</w:t>
      </w:r>
      <w:r>
        <w:rPr>
          <w:spacing w:val="-12"/>
          <w:sz w:val="22"/>
        </w:rPr>
        <w:t> </w:t>
      </w:r>
      <w:r>
        <w:rPr>
          <w:sz w:val="22"/>
        </w:rPr>
        <w:t>private</w:t>
      </w:r>
      <w:r>
        <w:rPr>
          <w:spacing w:val="-11"/>
          <w:sz w:val="22"/>
        </w:rPr>
        <w:t> </w:t>
      </w:r>
      <w:r>
        <w:rPr>
          <w:sz w:val="22"/>
        </w:rPr>
        <w:t>sector).</w:t>
      </w:r>
      <w:r>
        <w:rPr>
          <w:spacing w:val="-12"/>
          <w:sz w:val="22"/>
        </w:rPr>
        <w:t> </w:t>
      </w:r>
      <w:r>
        <w:rPr>
          <w:sz w:val="22"/>
        </w:rPr>
        <w:t>Awardees</w:t>
      </w:r>
      <w:r>
        <w:rPr>
          <w:spacing w:val="-11"/>
          <w:sz w:val="22"/>
        </w:rPr>
        <w:t> </w:t>
      </w:r>
      <w:r>
        <w:rPr>
          <w:sz w:val="22"/>
        </w:rPr>
        <w:t>will</w:t>
      </w:r>
      <w:r>
        <w:rPr>
          <w:spacing w:val="-11"/>
          <w:sz w:val="22"/>
        </w:rPr>
        <w:t> </w:t>
      </w:r>
      <w:r>
        <w:rPr>
          <w:sz w:val="22"/>
        </w:rPr>
        <w:t>be</w:t>
      </w:r>
      <w:r>
        <w:rPr>
          <w:spacing w:val="-11"/>
          <w:sz w:val="22"/>
        </w:rPr>
        <w:t> </w:t>
      </w:r>
      <w:r>
        <w:rPr>
          <w:sz w:val="22"/>
        </w:rPr>
        <w:t>required</w:t>
      </w:r>
      <w:r>
        <w:rPr>
          <w:spacing w:val="-12"/>
          <w:sz w:val="22"/>
        </w:rPr>
        <w:t> </w:t>
      </w:r>
      <w:r>
        <w:rPr>
          <w:sz w:val="22"/>
        </w:rPr>
        <w:t>to</w:t>
      </w:r>
      <w:r>
        <w:rPr>
          <w:spacing w:val="-12"/>
          <w:sz w:val="22"/>
        </w:rPr>
        <w:t> </w:t>
      </w:r>
      <w:r>
        <w:rPr>
          <w:sz w:val="22"/>
        </w:rPr>
        <w:t>submit</w:t>
      </w:r>
      <w:r>
        <w:rPr>
          <w:spacing w:val="-11"/>
          <w:sz w:val="22"/>
        </w:rPr>
        <w:t> </w:t>
      </w:r>
      <w:r>
        <w:rPr>
          <w:sz w:val="22"/>
        </w:rPr>
        <w:t>a</w:t>
      </w:r>
      <w:r>
        <w:rPr>
          <w:spacing w:val="-11"/>
          <w:sz w:val="22"/>
        </w:rPr>
        <w:t> </w:t>
      </w:r>
      <w:r>
        <w:rPr>
          <w:sz w:val="22"/>
        </w:rPr>
        <w:t>semiannual progress</w:t>
      </w:r>
      <w:r>
        <w:rPr>
          <w:spacing w:val="-14"/>
          <w:sz w:val="22"/>
        </w:rPr>
        <w:t> </w:t>
      </w:r>
      <w:r>
        <w:rPr>
          <w:sz w:val="22"/>
        </w:rPr>
        <w:t>report</w:t>
      </w:r>
      <w:r>
        <w:rPr>
          <w:spacing w:val="-14"/>
          <w:sz w:val="22"/>
        </w:rPr>
        <w:t> </w:t>
      </w:r>
      <w:r>
        <w:rPr>
          <w:sz w:val="22"/>
        </w:rPr>
        <w:t>discussing</w:t>
      </w:r>
      <w:r>
        <w:rPr>
          <w:spacing w:val="-14"/>
          <w:sz w:val="22"/>
        </w:rPr>
        <w:t> </w:t>
      </w:r>
      <w:r>
        <w:rPr>
          <w:sz w:val="22"/>
        </w:rPr>
        <w:t>the</w:t>
      </w:r>
      <w:r>
        <w:rPr>
          <w:spacing w:val="-13"/>
          <w:sz w:val="22"/>
        </w:rPr>
        <w:t> </w:t>
      </w:r>
      <w:r>
        <w:rPr>
          <w:sz w:val="22"/>
        </w:rPr>
        <w:t>progress</w:t>
      </w:r>
      <w:r>
        <w:rPr>
          <w:spacing w:val="-14"/>
          <w:sz w:val="22"/>
        </w:rPr>
        <w:t> </w:t>
      </w:r>
      <w:r>
        <w:rPr>
          <w:sz w:val="22"/>
        </w:rPr>
        <w:t>towards</w:t>
      </w:r>
      <w:r>
        <w:rPr>
          <w:spacing w:val="-14"/>
          <w:sz w:val="22"/>
        </w:rPr>
        <w:t> </w:t>
      </w:r>
      <w:r>
        <w:rPr>
          <w:sz w:val="22"/>
        </w:rPr>
        <w:t>goals</w:t>
      </w:r>
      <w:r>
        <w:rPr>
          <w:spacing w:val="-14"/>
          <w:sz w:val="22"/>
        </w:rPr>
        <w:t> </w:t>
      </w:r>
      <w:r>
        <w:rPr>
          <w:sz w:val="22"/>
        </w:rPr>
        <w:t>and</w:t>
      </w:r>
      <w:r>
        <w:rPr>
          <w:spacing w:val="-13"/>
          <w:sz w:val="22"/>
        </w:rPr>
        <w:t> </w:t>
      </w:r>
      <w:r>
        <w:rPr>
          <w:sz w:val="22"/>
        </w:rPr>
        <w:t>pre-approved</w:t>
      </w:r>
      <w:r>
        <w:rPr>
          <w:spacing w:val="-14"/>
          <w:sz w:val="22"/>
        </w:rPr>
        <w:t> </w:t>
      </w:r>
      <w:r>
        <w:rPr>
          <w:sz w:val="22"/>
        </w:rPr>
        <w:t>accountability</w:t>
      </w:r>
      <w:r>
        <w:rPr>
          <w:spacing w:val="-14"/>
          <w:sz w:val="22"/>
        </w:rPr>
        <w:t> </w:t>
      </w:r>
      <w:r>
        <w:rPr>
          <w:sz w:val="22"/>
        </w:rPr>
        <w:t>measures,</w:t>
      </w:r>
      <w:r>
        <w:rPr>
          <w:spacing w:val="-14"/>
          <w:sz w:val="22"/>
        </w:rPr>
        <w:t> </w:t>
      </w:r>
      <w:r>
        <w:rPr>
          <w:sz w:val="22"/>
        </w:rPr>
        <w:t>challenges and plans to address those challenges, and expenditures to date.</w:t>
      </w:r>
    </w:p>
    <w:p>
      <w:pPr>
        <w:spacing w:line="252" w:lineRule="exact" w:before="200"/>
        <w:ind w:left="1219" w:right="0" w:firstLine="0"/>
        <w:jc w:val="both"/>
        <w:rPr>
          <w:sz w:val="22"/>
        </w:rPr>
      </w:pPr>
      <w:bookmarkStart w:name="Vendor’s Obligations" w:id="1512"/>
      <w:bookmarkEnd w:id="1512"/>
      <w:r>
        <w:rPr/>
      </w:r>
      <w:r>
        <w:rPr>
          <w:color w:val="1F3762"/>
          <w:sz w:val="22"/>
        </w:rPr>
        <w:t>Vendor’s</w:t>
      </w:r>
      <w:r>
        <w:rPr>
          <w:color w:val="1F3762"/>
          <w:spacing w:val="-4"/>
          <w:sz w:val="22"/>
        </w:rPr>
        <w:t> </w:t>
      </w:r>
      <w:r>
        <w:rPr>
          <w:color w:val="1F3762"/>
          <w:spacing w:val="-2"/>
          <w:sz w:val="22"/>
        </w:rPr>
        <w:t>Obligations</w:t>
      </w:r>
    </w:p>
    <w:p>
      <w:pPr>
        <w:spacing w:before="0"/>
        <w:ind w:left="1219" w:right="1096" w:firstLine="0"/>
        <w:jc w:val="both"/>
        <w:rPr>
          <w:sz w:val="22"/>
        </w:rPr>
      </w:pPr>
      <w:r>
        <w:rPr>
          <w:sz w:val="22"/>
        </w:rPr>
        <w:t>Vendors will work in collaboration with the State, ACOs, CPs, and CSAs to provide TA in a way that optimizes</w:t>
      </w:r>
      <w:r>
        <w:rPr>
          <w:spacing w:val="-9"/>
          <w:sz w:val="22"/>
        </w:rPr>
        <w:t> </w:t>
      </w:r>
      <w:r>
        <w:rPr>
          <w:sz w:val="22"/>
        </w:rPr>
        <w:t>allocated</w:t>
      </w:r>
      <w:r>
        <w:rPr>
          <w:spacing w:val="-10"/>
          <w:sz w:val="22"/>
        </w:rPr>
        <w:t> </w:t>
      </w:r>
      <w:r>
        <w:rPr>
          <w:sz w:val="22"/>
        </w:rPr>
        <w:t>TA</w:t>
      </w:r>
      <w:r>
        <w:rPr>
          <w:spacing w:val="-11"/>
          <w:sz w:val="22"/>
        </w:rPr>
        <w:t> </w:t>
      </w:r>
      <w:r>
        <w:rPr>
          <w:sz w:val="22"/>
        </w:rPr>
        <w:t>resources</w:t>
      </w:r>
      <w:r>
        <w:rPr>
          <w:spacing w:val="-9"/>
          <w:sz w:val="22"/>
        </w:rPr>
        <w:t> </w:t>
      </w:r>
      <w:r>
        <w:rPr>
          <w:sz w:val="22"/>
        </w:rPr>
        <w:t>and</w:t>
      </w:r>
      <w:r>
        <w:rPr>
          <w:spacing w:val="-10"/>
          <w:sz w:val="22"/>
        </w:rPr>
        <w:t> </w:t>
      </w:r>
      <w:r>
        <w:rPr>
          <w:sz w:val="22"/>
        </w:rPr>
        <w:t>supports</w:t>
      </w:r>
      <w:r>
        <w:rPr>
          <w:spacing w:val="-9"/>
          <w:sz w:val="22"/>
        </w:rPr>
        <w:t> </w:t>
      </w:r>
      <w:r>
        <w:rPr>
          <w:sz w:val="22"/>
        </w:rPr>
        <w:t>sustainable</w:t>
      </w:r>
      <w:r>
        <w:rPr>
          <w:spacing w:val="-11"/>
          <w:sz w:val="22"/>
        </w:rPr>
        <w:t> </w:t>
      </w:r>
      <w:r>
        <w:rPr>
          <w:sz w:val="22"/>
        </w:rPr>
        <w:t>TA</w:t>
      </w:r>
      <w:r>
        <w:rPr>
          <w:spacing w:val="-11"/>
          <w:sz w:val="22"/>
        </w:rPr>
        <w:t> </w:t>
      </w:r>
      <w:r>
        <w:rPr>
          <w:sz w:val="22"/>
        </w:rPr>
        <w:t>infrastructure.</w:t>
      </w:r>
      <w:r>
        <w:rPr>
          <w:spacing w:val="-10"/>
          <w:sz w:val="22"/>
        </w:rPr>
        <w:t> </w:t>
      </w:r>
      <w:r>
        <w:rPr>
          <w:sz w:val="22"/>
        </w:rPr>
        <w:t>Vendors</w:t>
      </w:r>
      <w:r>
        <w:rPr>
          <w:spacing w:val="-9"/>
          <w:sz w:val="22"/>
        </w:rPr>
        <w:t> </w:t>
      </w:r>
      <w:r>
        <w:rPr>
          <w:sz w:val="22"/>
        </w:rPr>
        <w:t>will</w:t>
      </w:r>
      <w:r>
        <w:rPr>
          <w:spacing w:val="-9"/>
          <w:sz w:val="22"/>
        </w:rPr>
        <w:t> </w:t>
      </w:r>
      <w:r>
        <w:rPr>
          <w:sz w:val="22"/>
        </w:rPr>
        <w:t>also</w:t>
      </w:r>
      <w:r>
        <w:rPr>
          <w:spacing w:val="-10"/>
          <w:sz w:val="22"/>
        </w:rPr>
        <w:t> </w:t>
      </w:r>
      <w:r>
        <w:rPr>
          <w:sz w:val="22"/>
        </w:rPr>
        <w:t>be</w:t>
      </w:r>
      <w:r>
        <w:rPr>
          <w:spacing w:val="-9"/>
          <w:sz w:val="22"/>
        </w:rPr>
        <w:t> </w:t>
      </w:r>
      <w:r>
        <w:rPr>
          <w:sz w:val="22"/>
        </w:rPr>
        <w:t>required to submit documentation</w:t>
      </w:r>
      <w:r>
        <w:rPr>
          <w:spacing w:val="-1"/>
          <w:sz w:val="22"/>
        </w:rPr>
        <w:t> </w:t>
      </w:r>
      <w:r>
        <w:rPr>
          <w:sz w:val="22"/>
        </w:rPr>
        <w:t>covering</w:t>
      </w:r>
      <w:r>
        <w:rPr>
          <w:spacing w:val="-1"/>
          <w:sz w:val="22"/>
        </w:rPr>
        <w:t> </w:t>
      </w:r>
      <w:r>
        <w:rPr>
          <w:sz w:val="22"/>
        </w:rPr>
        <w:t>the same topics discussed</w:t>
      </w:r>
      <w:r>
        <w:rPr>
          <w:spacing w:val="-1"/>
          <w:sz w:val="22"/>
        </w:rPr>
        <w:t> </w:t>
      </w:r>
      <w:r>
        <w:rPr>
          <w:sz w:val="22"/>
        </w:rPr>
        <w:t>in</w:t>
      </w:r>
      <w:r>
        <w:rPr>
          <w:spacing w:val="-1"/>
          <w:sz w:val="22"/>
        </w:rPr>
        <w:t> </w:t>
      </w:r>
      <w:r>
        <w:rPr>
          <w:sz w:val="22"/>
        </w:rPr>
        <w:t>the</w:t>
      </w:r>
      <w:r>
        <w:rPr>
          <w:spacing w:val="-1"/>
          <w:sz w:val="22"/>
        </w:rPr>
        <w:t> </w:t>
      </w:r>
      <w:r>
        <w:rPr>
          <w:sz w:val="22"/>
        </w:rPr>
        <w:t>awardees’ semiannual progress report.</w:t>
      </w:r>
    </w:p>
    <w:p>
      <w:pPr>
        <w:spacing w:line="252" w:lineRule="exact" w:before="200"/>
        <w:ind w:left="1219" w:right="0" w:firstLine="0"/>
        <w:jc w:val="both"/>
        <w:rPr>
          <w:sz w:val="22"/>
        </w:rPr>
      </w:pPr>
      <w:bookmarkStart w:name="State’s Management" w:id="1513"/>
      <w:bookmarkEnd w:id="1513"/>
      <w:r>
        <w:rPr/>
      </w:r>
      <w:r>
        <w:rPr>
          <w:color w:val="1F3762"/>
          <w:sz w:val="22"/>
        </w:rPr>
        <w:t>State’s</w:t>
      </w:r>
      <w:r>
        <w:rPr>
          <w:color w:val="1F3762"/>
          <w:spacing w:val="-4"/>
          <w:sz w:val="22"/>
        </w:rPr>
        <w:t> </w:t>
      </w:r>
      <w:r>
        <w:rPr>
          <w:color w:val="1F3762"/>
          <w:spacing w:val="-2"/>
          <w:sz w:val="22"/>
        </w:rPr>
        <w:t>Management</w:t>
      </w:r>
    </w:p>
    <w:p>
      <w:pPr>
        <w:spacing w:before="0"/>
        <w:ind w:left="1219" w:right="1097" w:firstLine="0"/>
        <w:jc w:val="both"/>
        <w:rPr>
          <w:sz w:val="22"/>
        </w:rPr>
      </w:pPr>
      <w:r>
        <w:rPr>
          <w:sz w:val="22"/>
        </w:rPr>
        <w:t>The State will procure qualified vendor(s) for each TA category. A vendor may be approved for multiple categories. To be considered a qualified vendor, the vendor must demonstrate expertise and capacity for the categories for which it is applying, as well as meet other eligibility criteria set by the State.</w:t>
      </w:r>
    </w:p>
    <w:p>
      <w:pPr>
        <w:spacing w:after="0"/>
        <w:jc w:val="both"/>
        <w:rPr>
          <w:sz w:val="22"/>
        </w:rPr>
        <w:sectPr>
          <w:pgSz w:w="12240" w:h="15840"/>
          <w:pgMar w:header="0" w:footer="967" w:top="1380" w:bottom="1160" w:left="220" w:right="340"/>
        </w:sectPr>
      </w:pPr>
    </w:p>
    <w:p>
      <w:pPr>
        <w:spacing w:before="78"/>
        <w:ind w:left="1219" w:right="1093" w:firstLine="0"/>
        <w:jc w:val="both"/>
        <w:rPr>
          <w:sz w:val="22"/>
        </w:rPr>
      </w:pPr>
      <w:r>
        <w:rPr>
          <w:sz w:val="22"/>
        </w:rPr>
        <w:t>The State will conduct robust monitoring and assessment of progress reports submitted by the awardees and TA vendors, which will include reviewing progress, successes, challenges, and accountability measures.</w:t>
      </w:r>
      <w:r>
        <w:rPr>
          <w:spacing w:val="-2"/>
          <w:sz w:val="22"/>
        </w:rPr>
        <w:t> </w:t>
      </w:r>
      <w:r>
        <w:rPr>
          <w:sz w:val="22"/>
        </w:rPr>
        <w:t>Awardee</w:t>
      </w:r>
      <w:r>
        <w:rPr>
          <w:spacing w:val="-4"/>
          <w:sz w:val="22"/>
        </w:rPr>
        <w:t> </w:t>
      </w:r>
      <w:r>
        <w:rPr>
          <w:sz w:val="22"/>
        </w:rPr>
        <w:t>and</w:t>
      </w:r>
      <w:r>
        <w:rPr>
          <w:spacing w:val="-7"/>
          <w:sz w:val="22"/>
        </w:rPr>
        <w:t> </w:t>
      </w:r>
      <w:r>
        <w:rPr>
          <w:sz w:val="22"/>
        </w:rPr>
        <w:t>TA</w:t>
      </w:r>
      <w:r>
        <w:rPr>
          <w:spacing w:val="-3"/>
          <w:sz w:val="22"/>
        </w:rPr>
        <w:t> </w:t>
      </w:r>
      <w:r>
        <w:rPr>
          <w:sz w:val="22"/>
        </w:rPr>
        <w:t>vendor</w:t>
      </w:r>
      <w:r>
        <w:rPr>
          <w:spacing w:val="-1"/>
          <w:sz w:val="22"/>
        </w:rPr>
        <w:t> </w:t>
      </w:r>
      <w:r>
        <w:rPr>
          <w:sz w:val="22"/>
        </w:rPr>
        <w:t>accountability</w:t>
      </w:r>
      <w:r>
        <w:rPr>
          <w:spacing w:val="-5"/>
          <w:sz w:val="22"/>
        </w:rPr>
        <w:t> </w:t>
      </w:r>
      <w:r>
        <w:rPr>
          <w:sz w:val="22"/>
        </w:rPr>
        <w:t>will</w:t>
      </w:r>
      <w:r>
        <w:rPr>
          <w:spacing w:val="-6"/>
          <w:sz w:val="22"/>
        </w:rPr>
        <w:t> </w:t>
      </w:r>
      <w:r>
        <w:rPr>
          <w:sz w:val="22"/>
        </w:rPr>
        <w:t>be</w:t>
      </w:r>
      <w:r>
        <w:rPr>
          <w:spacing w:val="-2"/>
          <w:sz w:val="22"/>
        </w:rPr>
        <w:t> </w:t>
      </w:r>
      <w:r>
        <w:rPr>
          <w:sz w:val="22"/>
        </w:rPr>
        <w:t>based</w:t>
      </w:r>
      <w:r>
        <w:rPr>
          <w:spacing w:val="-2"/>
          <w:sz w:val="22"/>
        </w:rPr>
        <w:t> </w:t>
      </w:r>
      <w:r>
        <w:rPr>
          <w:sz w:val="22"/>
        </w:rPr>
        <w:t>on</w:t>
      </w:r>
      <w:r>
        <w:rPr>
          <w:spacing w:val="-2"/>
          <w:sz w:val="22"/>
        </w:rPr>
        <w:t> </w:t>
      </w:r>
      <w:r>
        <w:rPr>
          <w:sz w:val="22"/>
        </w:rPr>
        <w:t>meeting</w:t>
      </w:r>
      <w:r>
        <w:rPr>
          <w:spacing w:val="-5"/>
          <w:sz w:val="22"/>
        </w:rPr>
        <w:t> </w:t>
      </w:r>
      <w:r>
        <w:rPr>
          <w:sz w:val="22"/>
        </w:rPr>
        <w:t>pre-determined</w:t>
      </w:r>
      <w:r>
        <w:rPr>
          <w:spacing w:val="-5"/>
          <w:sz w:val="22"/>
        </w:rPr>
        <w:t> </w:t>
      </w:r>
      <w:r>
        <w:rPr>
          <w:sz w:val="22"/>
        </w:rPr>
        <w:t>accountability measures, which will focus on whether the awardee was able to meet its technical assistance goals, or whether the vendor provided appropriate TA. If the goals are not met, or performance is inadequate, the State, in consultation with the awardee and/or vendor, will determine appropriate recourse, which may include</w:t>
      </w:r>
      <w:r>
        <w:rPr>
          <w:spacing w:val="-4"/>
          <w:sz w:val="22"/>
        </w:rPr>
        <w:t> </w:t>
      </w:r>
      <w:r>
        <w:rPr>
          <w:sz w:val="22"/>
        </w:rPr>
        <w:t>corrective</w:t>
      </w:r>
      <w:r>
        <w:rPr>
          <w:spacing w:val="-4"/>
          <w:sz w:val="22"/>
        </w:rPr>
        <w:t> </w:t>
      </w:r>
      <w:r>
        <w:rPr>
          <w:sz w:val="22"/>
        </w:rPr>
        <w:t>action</w:t>
      </w:r>
      <w:r>
        <w:rPr>
          <w:spacing w:val="-5"/>
          <w:sz w:val="22"/>
        </w:rPr>
        <w:t> </w:t>
      </w:r>
      <w:r>
        <w:rPr>
          <w:sz w:val="22"/>
        </w:rPr>
        <w:t>plans,</w:t>
      </w:r>
      <w:r>
        <w:rPr>
          <w:spacing w:val="-5"/>
          <w:sz w:val="22"/>
        </w:rPr>
        <w:t> </w:t>
      </w:r>
      <w:r>
        <w:rPr>
          <w:sz w:val="22"/>
        </w:rPr>
        <w:t>termination</w:t>
      </w:r>
      <w:r>
        <w:rPr>
          <w:spacing w:val="-7"/>
          <w:sz w:val="22"/>
        </w:rPr>
        <w:t> </w:t>
      </w:r>
      <w:r>
        <w:rPr>
          <w:sz w:val="22"/>
        </w:rPr>
        <w:t>from</w:t>
      </w:r>
      <w:r>
        <w:rPr>
          <w:spacing w:val="-8"/>
          <w:sz w:val="22"/>
        </w:rPr>
        <w:t> </w:t>
      </w:r>
      <w:r>
        <w:rPr>
          <w:sz w:val="22"/>
        </w:rPr>
        <w:t>the</w:t>
      </w:r>
      <w:r>
        <w:rPr>
          <w:spacing w:val="-4"/>
          <w:sz w:val="22"/>
        </w:rPr>
        <w:t> </w:t>
      </w:r>
      <w:r>
        <w:rPr>
          <w:sz w:val="22"/>
        </w:rPr>
        <w:t>investment</w:t>
      </w:r>
      <w:r>
        <w:rPr>
          <w:spacing w:val="-4"/>
          <w:sz w:val="22"/>
        </w:rPr>
        <w:t> </w:t>
      </w:r>
      <w:r>
        <w:rPr>
          <w:sz w:val="22"/>
        </w:rPr>
        <w:t>program,</w:t>
      </w:r>
      <w:r>
        <w:rPr>
          <w:spacing w:val="-5"/>
          <w:sz w:val="22"/>
        </w:rPr>
        <w:t> </w:t>
      </w:r>
      <w:r>
        <w:rPr>
          <w:sz w:val="22"/>
        </w:rPr>
        <w:t>barring</w:t>
      </w:r>
      <w:r>
        <w:rPr>
          <w:spacing w:val="-9"/>
          <w:sz w:val="22"/>
        </w:rPr>
        <w:t> </w:t>
      </w:r>
      <w:r>
        <w:rPr>
          <w:sz w:val="22"/>
        </w:rPr>
        <w:t>providers</w:t>
      </w:r>
      <w:r>
        <w:rPr>
          <w:spacing w:val="-4"/>
          <w:sz w:val="22"/>
        </w:rPr>
        <w:t> </w:t>
      </w:r>
      <w:r>
        <w:rPr>
          <w:sz w:val="22"/>
        </w:rPr>
        <w:t>from</w:t>
      </w:r>
      <w:r>
        <w:rPr>
          <w:spacing w:val="-8"/>
          <w:sz w:val="22"/>
        </w:rPr>
        <w:t> </w:t>
      </w:r>
      <w:r>
        <w:rPr>
          <w:sz w:val="22"/>
        </w:rPr>
        <w:t>applying for future Statewide Investment funding, recoupment of funds, or other contract management activities (e.g.,</w:t>
      </w:r>
      <w:r>
        <w:rPr>
          <w:spacing w:val="-12"/>
          <w:sz w:val="22"/>
        </w:rPr>
        <w:t> </w:t>
      </w:r>
      <w:r>
        <w:rPr>
          <w:sz w:val="22"/>
        </w:rPr>
        <w:t>working</w:t>
      </w:r>
      <w:r>
        <w:rPr>
          <w:spacing w:val="-14"/>
          <w:sz w:val="22"/>
        </w:rPr>
        <w:t> </w:t>
      </w:r>
      <w:r>
        <w:rPr>
          <w:sz w:val="22"/>
        </w:rPr>
        <w:t>collaboratively</w:t>
      </w:r>
      <w:r>
        <w:rPr>
          <w:spacing w:val="-14"/>
          <w:sz w:val="22"/>
        </w:rPr>
        <w:t> </w:t>
      </w:r>
      <w:r>
        <w:rPr>
          <w:sz w:val="22"/>
        </w:rPr>
        <w:t>with</w:t>
      </w:r>
      <w:r>
        <w:rPr>
          <w:spacing w:val="-13"/>
          <w:sz w:val="22"/>
        </w:rPr>
        <w:t> </w:t>
      </w:r>
      <w:r>
        <w:rPr>
          <w:sz w:val="22"/>
        </w:rPr>
        <w:t>the</w:t>
      </w:r>
      <w:r>
        <w:rPr>
          <w:spacing w:val="-11"/>
          <w:sz w:val="22"/>
        </w:rPr>
        <w:t> </w:t>
      </w:r>
      <w:r>
        <w:rPr>
          <w:sz w:val="22"/>
        </w:rPr>
        <w:t>awardee</w:t>
      </w:r>
      <w:r>
        <w:rPr>
          <w:spacing w:val="-11"/>
          <w:sz w:val="22"/>
        </w:rPr>
        <w:t> </w:t>
      </w:r>
      <w:r>
        <w:rPr>
          <w:sz w:val="22"/>
        </w:rPr>
        <w:t>to</w:t>
      </w:r>
      <w:r>
        <w:rPr>
          <w:spacing w:val="-12"/>
          <w:sz w:val="22"/>
        </w:rPr>
        <w:t> </w:t>
      </w:r>
      <w:r>
        <w:rPr>
          <w:sz w:val="22"/>
        </w:rPr>
        <w:t>identify</w:t>
      </w:r>
      <w:r>
        <w:rPr>
          <w:spacing w:val="-14"/>
          <w:sz w:val="22"/>
        </w:rPr>
        <w:t> </w:t>
      </w:r>
      <w:r>
        <w:rPr>
          <w:sz w:val="22"/>
        </w:rPr>
        <w:t>and</w:t>
      </w:r>
      <w:r>
        <w:rPr>
          <w:spacing w:val="-14"/>
          <w:sz w:val="22"/>
        </w:rPr>
        <w:t> </w:t>
      </w:r>
      <w:r>
        <w:rPr>
          <w:sz w:val="22"/>
        </w:rPr>
        <w:t>implement</w:t>
      </w:r>
      <w:r>
        <w:rPr>
          <w:spacing w:val="-10"/>
          <w:sz w:val="22"/>
        </w:rPr>
        <w:t> </w:t>
      </w:r>
      <w:r>
        <w:rPr>
          <w:sz w:val="22"/>
        </w:rPr>
        <w:t>new</w:t>
      </w:r>
      <w:r>
        <w:rPr>
          <w:spacing w:val="-13"/>
          <w:sz w:val="22"/>
        </w:rPr>
        <w:t> </w:t>
      </w:r>
      <w:r>
        <w:rPr>
          <w:sz w:val="22"/>
        </w:rPr>
        <w:t>strategies</w:t>
      </w:r>
      <w:r>
        <w:rPr>
          <w:spacing w:val="-11"/>
          <w:sz w:val="22"/>
        </w:rPr>
        <w:t> </w:t>
      </w:r>
      <w:r>
        <w:rPr>
          <w:sz w:val="22"/>
        </w:rPr>
        <w:t>to</w:t>
      </w:r>
      <w:r>
        <w:rPr>
          <w:spacing w:val="-14"/>
          <w:sz w:val="22"/>
        </w:rPr>
        <w:t> </w:t>
      </w:r>
      <w:r>
        <w:rPr>
          <w:sz w:val="22"/>
        </w:rPr>
        <w:t>meet</w:t>
      </w:r>
      <w:r>
        <w:rPr>
          <w:spacing w:val="-12"/>
          <w:sz w:val="22"/>
        </w:rPr>
        <w:t> </w:t>
      </w:r>
      <w:r>
        <w:rPr>
          <w:sz w:val="22"/>
        </w:rPr>
        <w:t>the</w:t>
      </w:r>
      <w:r>
        <w:rPr>
          <w:spacing w:val="-11"/>
          <w:sz w:val="22"/>
        </w:rPr>
        <w:t> </w:t>
      </w:r>
      <w:r>
        <w:rPr>
          <w:sz w:val="22"/>
        </w:rPr>
        <w:t>project goals, or renegotiating the awardee’s responsibilities or the project’s goals to achieve partial success, as </w:t>
      </w:r>
      <w:r>
        <w:rPr>
          <w:spacing w:val="-2"/>
          <w:sz w:val="22"/>
        </w:rPr>
        <w:t>appropriate).</w:t>
      </w:r>
    </w:p>
    <w:p>
      <w:pPr>
        <w:pStyle w:val="Heading2"/>
        <w:spacing w:before="202"/>
        <w:ind w:left="1220" w:firstLine="0"/>
      </w:pPr>
      <w:bookmarkStart w:name="Alternative Payment Methods (APM) Prepar" w:id="1514"/>
      <w:bookmarkEnd w:id="1514"/>
      <w:r>
        <w:rPr>
          <w:b w:val="0"/>
        </w:rPr>
      </w:r>
      <w:bookmarkStart w:name="_bookmark128" w:id="1515"/>
      <w:bookmarkEnd w:id="1515"/>
      <w:r>
        <w:rPr>
          <w:b w:val="0"/>
        </w:rPr>
      </w:r>
      <w:r>
        <w:rPr>
          <w:color w:val="4471C4"/>
        </w:rPr>
        <w:t>Alternative</w:t>
      </w:r>
      <w:r>
        <w:rPr>
          <w:color w:val="4471C4"/>
          <w:spacing w:val="-11"/>
        </w:rPr>
        <w:t> </w:t>
      </w:r>
      <w:r>
        <w:rPr>
          <w:color w:val="4471C4"/>
        </w:rPr>
        <w:t>Payment</w:t>
      </w:r>
      <w:r>
        <w:rPr>
          <w:color w:val="4471C4"/>
          <w:spacing w:val="-10"/>
        </w:rPr>
        <w:t> </w:t>
      </w:r>
      <w:r>
        <w:rPr>
          <w:color w:val="4471C4"/>
        </w:rPr>
        <w:t>Methods</w:t>
      </w:r>
      <w:r>
        <w:rPr>
          <w:color w:val="4471C4"/>
          <w:spacing w:val="-13"/>
        </w:rPr>
        <w:t> </w:t>
      </w:r>
      <w:r>
        <w:rPr>
          <w:color w:val="4471C4"/>
        </w:rPr>
        <w:t>(APM)</w:t>
      </w:r>
      <w:r>
        <w:rPr>
          <w:color w:val="4471C4"/>
          <w:spacing w:val="-13"/>
        </w:rPr>
        <w:t> </w:t>
      </w:r>
      <w:r>
        <w:rPr>
          <w:color w:val="4471C4"/>
        </w:rPr>
        <w:t>Preparation</w:t>
      </w:r>
      <w:r>
        <w:rPr>
          <w:color w:val="4471C4"/>
          <w:spacing w:val="-13"/>
        </w:rPr>
        <w:t> </w:t>
      </w:r>
      <w:r>
        <w:rPr>
          <w:color w:val="4471C4"/>
          <w:spacing w:val="-4"/>
        </w:rPr>
        <w:t>Fund</w:t>
      </w:r>
    </w:p>
    <w:p>
      <w:pPr>
        <w:spacing w:line="240" w:lineRule="auto" w:before="0"/>
        <w:ind w:left="1220" w:right="1094" w:firstLine="0"/>
        <w:jc w:val="both"/>
        <w:rPr>
          <w:sz w:val="22"/>
        </w:rPr>
      </w:pPr>
      <w:r>
        <w:rPr>
          <w:sz w:val="22"/>
        </w:rPr>
        <w:t>The State will use DSRIP funding for an Alternative Payment Methods (APM) Preparation Fund, which will</w:t>
      </w:r>
      <w:r>
        <w:rPr>
          <w:spacing w:val="-1"/>
          <w:sz w:val="22"/>
        </w:rPr>
        <w:t> </w:t>
      </w:r>
      <w:r>
        <w:rPr>
          <w:sz w:val="22"/>
        </w:rPr>
        <w:t>offer</w:t>
      </w:r>
      <w:r>
        <w:rPr>
          <w:spacing w:val="-1"/>
          <w:sz w:val="22"/>
        </w:rPr>
        <w:t> </w:t>
      </w:r>
      <w:r>
        <w:rPr>
          <w:sz w:val="22"/>
        </w:rPr>
        <w:t>up to two years of support to</w:t>
      </w:r>
      <w:r>
        <w:rPr>
          <w:spacing w:val="-2"/>
          <w:sz w:val="22"/>
        </w:rPr>
        <w:t> </w:t>
      </w:r>
      <w:r>
        <w:rPr>
          <w:sz w:val="22"/>
        </w:rPr>
        <w:t>providers</w:t>
      </w:r>
      <w:r>
        <w:rPr>
          <w:spacing w:val="-2"/>
          <w:sz w:val="22"/>
        </w:rPr>
        <w:t> </w:t>
      </w:r>
      <w:r>
        <w:rPr>
          <w:sz w:val="22"/>
        </w:rPr>
        <w:t>that are not yet ready</w:t>
      </w:r>
      <w:r>
        <w:rPr>
          <w:spacing w:val="-2"/>
          <w:sz w:val="22"/>
        </w:rPr>
        <w:t> </w:t>
      </w:r>
      <w:r>
        <w:rPr>
          <w:sz w:val="22"/>
        </w:rPr>
        <w:t>to participate in an APM, but want to</w:t>
      </w:r>
      <w:r>
        <w:rPr>
          <w:spacing w:val="-7"/>
          <w:sz w:val="22"/>
        </w:rPr>
        <w:t> </w:t>
      </w:r>
      <w:r>
        <w:rPr>
          <w:sz w:val="22"/>
        </w:rPr>
        <w:t>take</w:t>
      </w:r>
      <w:r>
        <w:rPr>
          <w:spacing w:val="-4"/>
          <w:sz w:val="22"/>
        </w:rPr>
        <w:t> </w:t>
      </w:r>
      <w:r>
        <w:rPr>
          <w:sz w:val="22"/>
        </w:rPr>
        <w:t>steps</w:t>
      </w:r>
      <w:r>
        <w:rPr>
          <w:spacing w:val="-7"/>
          <w:sz w:val="22"/>
        </w:rPr>
        <w:t> </w:t>
      </w:r>
      <w:r>
        <w:rPr>
          <w:sz w:val="22"/>
        </w:rPr>
        <w:t>towards</w:t>
      </w:r>
      <w:r>
        <w:rPr>
          <w:spacing w:val="-4"/>
          <w:sz w:val="22"/>
        </w:rPr>
        <w:t> </w:t>
      </w:r>
      <w:r>
        <w:rPr>
          <w:sz w:val="22"/>
        </w:rPr>
        <w:t>APM</w:t>
      </w:r>
      <w:r>
        <w:rPr>
          <w:spacing w:val="-7"/>
          <w:sz w:val="22"/>
        </w:rPr>
        <w:t> </w:t>
      </w:r>
      <w:r>
        <w:rPr>
          <w:sz w:val="22"/>
        </w:rPr>
        <w:t>adoption.</w:t>
      </w:r>
      <w:r>
        <w:rPr>
          <w:spacing w:val="-7"/>
          <w:sz w:val="22"/>
        </w:rPr>
        <w:t> </w:t>
      </w:r>
      <w:r>
        <w:rPr>
          <w:sz w:val="22"/>
        </w:rPr>
        <w:t>Funds</w:t>
      </w:r>
      <w:r>
        <w:rPr>
          <w:spacing w:val="-4"/>
          <w:sz w:val="22"/>
        </w:rPr>
        <w:t> </w:t>
      </w:r>
      <w:r>
        <w:rPr>
          <w:sz w:val="22"/>
        </w:rPr>
        <w:t>can</w:t>
      </w:r>
      <w:r>
        <w:rPr>
          <w:spacing w:val="-7"/>
          <w:sz w:val="22"/>
        </w:rPr>
        <w:t> </w:t>
      </w:r>
      <w:r>
        <w:rPr>
          <w:sz w:val="22"/>
        </w:rPr>
        <w:t>be</w:t>
      </w:r>
      <w:r>
        <w:rPr>
          <w:spacing w:val="-7"/>
          <w:sz w:val="22"/>
        </w:rPr>
        <w:t> </w:t>
      </w:r>
      <w:r>
        <w:rPr>
          <w:sz w:val="22"/>
        </w:rPr>
        <w:t>used</w:t>
      </w:r>
      <w:r>
        <w:rPr>
          <w:spacing w:val="-5"/>
          <w:sz w:val="22"/>
        </w:rPr>
        <w:t> </w:t>
      </w:r>
      <w:r>
        <w:rPr>
          <w:sz w:val="22"/>
        </w:rPr>
        <w:t>to</w:t>
      </w:r>
      <w:r>
        <w:rPr>
          <w:spacing w:val="-7"/>
          <w:sz w:val="22"/>
        </w:rPr>
        <w:t> </w:t>
      </w:r>
      <w:r>
        <w:rPr>
          <w:sz w:val="22"/>
        </w:rPr>
        <w:t>develop,</w:t>
      </w:r>
      <w:r>
        <w:rPr>
          <w:spacing w:val="-7"/>
          <w:sz w:val="22"/>
        </w:rPr>
        <w:t> </w:t>
      </w:r>
      <w:r>
        <w:rPr>
          <w:sz w:val="22"/>
        </w:rPr>
        <w:t>expand,</w:t>
      </w:r>
      <w:r>
        <w:rPr>
          <w:spacing w:val="-5"/>
          <w:sz w:val="22"/>
        </w:rPr>
        <w:t> </w:t>
      </w:r>
      <w:r>
        <w:rPr>
          <w:sz w:val="22"/>
        </w:rPr>
        <w:t>or</w:t>
      </w:r>
      <w:r>
        <w:rPr>
          <w:spacing w:val="-6"/>
          <w:sz w:val="22"/>
        </w:rPr>
        <w:t> </w:t>
      </w:r>
      <w:r>
        <w:rPr>
          <w:sz w:val="22"/>
        </w:rPr>
        <w:t>enhance</w:t>
      </w:r>
      <w:r>
        <w:rPr>
          <w:spacing w:val="-7"/>
          <w:sz w:val="22"/>
        </w:rPr>
        <w:t> </w:t>
      </w:r>
      <w:r>
        <w:rPr>
          <w:sz w:val="22"/>
        </w:rPr>
        <w:t>shared</w:t>
      </w:r>
      <w:r>
        <w:rPr>
          <w:spacing w:val="-5"/>
          <w:sz w:val="22"/>
        </w:rPr>
        <w:t> </w:t>
      </w:r>
      <w:r>
        <w:rPr>
          <w:sz w:val="22"/>
        </w:rPr>
        <w:t>governance structures and organizational integration strategies linking providers across the continuum of care. Massachusetts’ providers seeking to move towards ACOs or APMs but that are not participating as a MassHealth ACO; and behavioral health providers, BH CPs, LTSS providers and LTSS CPs seeking to enter</w:t>
      </w:r>
      <w:r>
        <w:rPr>
          <w:spacing w:val="-4"/>
          <w:sz w:val="22"/>
        </w:rPr>
        <w:t> </w:t>
      </w:r>
      <w:r>
        <w:rPr>
          <w:sz w:val="22"/>
        </w:rPr>
        <w:t>into</w:t>
      </w:r>
      <w:r>
        <w:rPr>
          <w:spacing w:val="-2"/>
          <w:sz w:val="22"/>
        </w:rPr>
        <w:t> </w:t>
      </w:r>
      <w:r>
        <w:rPr>
          <w:sz w:val="22"/>
        </w:rPr>
        <w:t>APM</w:t>
      </w:r>
      <w:r>
        <w:rPr>
          <w:spacing w:val="-4"/>
          <w:sz w:val="22"/>
        </w:rPr>
        <w:t> </w:t>
      </w:r>
      <w:r>
        <w:rPr>
          <w:sz w:val="22"/>
        </w:rPr>
        <w:t>arrangements</w:t>
      </w:r>
      <w:r>
        <w:rPr>
          <w:spacing w:val="-2"/>
          <w:sz w:val="22"/>
        </w:rPr>
        <w:t> </w:t>
      </w:r>
      <w:r>
        <w:rPr>
          <w:sz w:val="22"/>
        </w:rPr>
        <w:t>with</w:t>
      </w:r>
      <w:r>
        <w:rPr>
          <w:spacing w:val="-5"/>
          <w:sz w:val="22"/>
        </w:rPr>
        <w:t> </w:t>
      </w:r>
      <w:r>
        <w:rPr>
          <w:sz w:val="22"/>
        </w:rPr>
        <w:t>MassHealth</w:t>
      </w:r>
      <w:r>
        <w:rPr>
          <w:spacing w:val="-2"/>
          <w:sz w:val="22"/>
        </w:rPr>
        <w:t> </w:t>
      </w:r>
      <w:r>
        <w:rPr>
          <w:sz w:val="22"/>
        </w:rPr>
        <w:t>managed</w:t>
      </w:r>
      <w:r>
        <w:rPr>
          <w:spacing w:val="-2"/>
          <w:sz w:val="22"/>
        </w:rPr>
        <w:t> </w:t>
      </w:r>
      <w:r>
        <w:rPr>
          <w:sz w:val="22"/>
        </w:rPr>
        <w:t>care</w:t>
      </w:r>
      <w:r>
        <w:rPr>
          <w:spacing w:val="-4"/>
          <w:sz w:val="22"/>
        </w:rPr>
        <w:t> </w:t>
      </w:r>
      <w:r>
        <w:rPr>
          <w:sz w:val="22"/>
        </w:rPr>
        <w:t>entities</w:t>
      </w:r>
      <w:r>
        <w:rPr>
          <w:spacing w:val="-2"/>
          <w:sz w:val="22"/>
        </w:rPr>
        <w:t> </w:t>
      </w:r>
      <w:r>
        <w:rPr>
          <w:sz w:val="22"/>
        </w:rPr>
        <w:t>will</w:t>
      </w:r>
      <w:r>
        <w:rPr>
          <w:spacing w:val="-1"/>
          <w:sz w:val="22"/>
        </w:rPr>
        <w:t> </w:t>
      </w:r>
      <w:r>
        <w:rPr>
          <w:sz w:val="22"/>
        </w:rPr>
        <w:t>be</w:t>
      </w:r>
      <w:r>
        <w:rPr>
          <w:spacing w:val="-2"/>
          <w:sz w:val="22"/>
        </w:rPr>
        <w:t> </w:t>
      </w:r>
      <w:r>
        <w:rPr>
          <w:sz w:val="22"/>
        </w:rPr>
        <w:t>eligible</w:t>
      </w:r>
      <w:r>
        <w:rPr>
          <w:spacing w:val="-4"/>
          <w:sz w:val="22"/>
        </w:rPr>
        <w:t> </w:t>
      </w:r>
      <w:r>
        <w:rPr>
          <w:sz w:val="22"/>
        </w:rPr>
        <w:t>to</w:t>
      </w:r>
      <w:r>
        <w:rPr>
          <w:spacing w:val="-5"/>
          <w:sz w:val="22"/>
        </w:rPr>
        <w:t> </w:t>
      </w:r>
      <w:r>
        <w:rPr>
          <w:sz w:val="22"/>
        </w:rPr>
        <w:t>apply</w:t>
      </w:r>
      <w:r>
        <w:rPr>
          <w:spacing w:val="-5"/>
          <w:sz w:val="22"/>
        </w:rPr>
        <w:t> </w:t>
      </w:r>
      <w:r>
        <w:rPr>
          <w:sz w:val="22"/>
        </w:rPr>
        <w:t>for</w:t>
      </w:r>
      <w:r>
        <w:rPr>
          <w:spacing w:val="-4"/>
          <w:sz w:val="22"/>
        </w:rPr>
        <w:t> </w:t>
      </w:r>
      <w:r>
        <w:rPr>
          <w:sz w:val="22"/>
        </w:rPr>
        <w:t>funding. Funds may also be used to</w:t>
      </w:r>
      <w:r>
        <w:rPr>
          <w:spacing w:val="-2"/>
          <w:sz w:val="22"/>
        </w:rPr>
        <w:t> </w:t>
      </w:r>
      <w:r>
        <w:rPr>
          <w:sz w:val="22"/>
        </w:rPr>
        <w:t>raise awareness about APM among providers not yet</w:t>
      </w:r>
      <w:r>
        <w:rPr>
          <w:spacing w:val="-1"/>
          <w:sz w:val="22"/>
        </w:rPr>
        <w:t> </w:t>
      </w:r>
      <w:r>
        <w:rPr>
          <w:sz w:val="22"/>
        </w:rPr>
        <w:t>engaged in a MassHealth ACO, CP, or CSA.</w:t>
      </w:r>
    </w:p>
    <w:p>
      <w:pPr>
        <w:spacing w:line="252" w:lineRule="exact" w:before="200"/>
        <w:ind w:left="1219" w:right="0" w:firstLine="0"/>
        <w:jc w:val="both"/>
        <w:rPr>
          <w:sz w:val="22"/>
        </w:rPr>
      </w:pPr>
      <w:bookmarkStart w:name="Awardee’s Obligations" w:id="1516"/>
      <w:bookmarkEnd w:id="1516"/>
      <w:r>
        <w:rPr/>
      </w:r>
      <w:r>
        <w:rPr>
          <w:color w:val="1F3762"/>
          <w:sz w:val="22"/>
        </w:rPr>
        <w:t>Awardee’s</w:t>
      </w:r>
      <w:r>
        <w:rPr>
          <w:color w:val="1F3762"/>
          <w:spacing w:val="-7"/>
          <w:sz w:val="22"/>
        </w:rPr>
        <w:t> </w:t>
      </w:r>
      <w:r>
        <w:rPr>
          <w:color w:val="1F3762"/>
          <w:spacing w:val="-2"/>
          <w:sz w:val="22"/>
        </w:rPr>
        <w:t>Obligations</w:t>
      </w:r>
    </w:p>
    <w:p>
      <w:pPr>
        <w:spacing w:line="242" w:lineRule="auto" w:before="0"/>
        <w:ind w:left="1219" w:right="1095" w:firstLine="0"/>
        <w:jc w:val="both"/>
        <w:rPr>
          <w:sz w:val="22"/>
        </w:rPr>
      </w:pPr>
      <w:r>
        <w:rPr>
          <w:sz w:val="22"/>
        </w:rPr>
        <w:t>Awardees will be required to submit semiannual progress reports to the State discussing the project’s progress towards goals and pre-approved accountability measures, challenges and plans to address those challenges, and expenditures to date.</w:t>
      </w:r>
    </w:p>
    <w:p>
      <w:pPr>
        <w:spacing w:line="252" w:lineRule="exact" w:before="193"/>
        <w:ind w:left="1219" w:right="0" w:firstLine="0"/>
        <w:jc w:val="both"/>
        <w:rPr>
          <w:sz w:val="22"/>
        </w:rPr>
      </w:pPr>
      <w:bookmarkStart w:name="State’s Management" w:id="1517"/>
      <w:bookmarkEnd w:id="1517"/>
      <w:r>
        <w:rPr/>
      </w:r>
      <w:r>
        <w:rPr>
          <w:color w:val="1F3762"/>
          <w:sz w:val="22"/>
        </w:rPr>
        <w:t>State’s</w:t>
      </w:r>
      <w:r>
        <w:rPr>
          <w:color w:val="1F3762"/>
          <w:spacing w:val="-4"/>
          <w:sz w:val="22"/>
        </w:rPr>
        <w:t> </w:t>
      </w:r>
      <w:r>
        <w:rPr>
          <w:color w:val="1F3762"/>
          <w:spacing w:val="-2"/>
          <w:sz w:val="22"/>
        </w:rPr>
        <w:t>Management</w:t>
      </w:r>
    </w:p>
    <w:p>
      <w:pPr>
        <w:spacing w:before="0"/>
        <w:ind w:left="1219" w:right="1093" w:firstLine="0"/>
        <w:jc w:val="both"/>
        <w:rPr>
          <w:sz w:val="22"/>
        </w:rPr>
      </w:pPr>
      <w:r>
        <w:rPr>
          <w:sz w:val="22"/>
        </w:rPr>
        <w:t>The State will select recipients of this funding, and conduct robust monitoring and assessment of the semiannual progress reports through reviewing progress, successes, challenges, and accountability measures.</w:t>
      </w:r>
      <w:r>
        <w:rPr>
          <w:spacing w:val="-14"/>
          <w:sz w:val="22"/>
        </w:rPr>
        <w:t> </w:t>
      </w:r>
      <w:r>
        <w:rPr>
          <w:sz w:val="22"/>
        </w:rPr>
        <w:t>Awardees’</w:t>
      </w:r>
      <w:r>
        <w:rPr>
          <w:spacing w:val="-14"/>
          <w:sz w:val="22"/>
        </w:rPr>
        <w:t> </w:t>
      </w:r>
      <w:r>
        <w:rPr>
          <w:sz w:val="22"/>
        </w:rPr>
        <w:t>accountability</w:t>
      </w:r>
      <w:r>
        <w:rPr>
          <w:spacing w:val="-14"/>
          <w:sz w:val="22"/>
        </w:rPr>
        <w:t> </w:t>
      </w:r>
      <w:r>
        <w:rPr>
          <w:sz w:val="22"/>
        </w:rPr>
        <w:t>will</w:t>
      </w:r>
      <w:r>
        <w:rPr>
          <w:spacing w:val="-12"/>
          <w:sz w:val="22"/>
        </w:rPr>
        <w:t> </w:t>
      </w:r>
      <w:r>
        <w:rPr>
          <w:sz w:val="22"/>
        </w:rPr>
        <w:t>be</w:t>
      </w:r>
      <w:r>
        <w:rPr>
          <w:spacing w:val="-14"/>
          <w:sz w:val="22"/>
        </w:rPr>
        <w:t> </w:t>
      </w:r>
      <w:r>
        <w:rPr>
          <w:sz w:val="22"/>
        </w:rPr>
        <w:t>evaluated</w:t>
      </w:r>
      <w:r>
        <w:rPr>
          <w:spacing w:val="-12"/>
          <w:sz w:val="22"/>
        </w:rPr>
        <w:t> </w:t>
      </w:r>
      <w:r>
        <w:rPr>
          <w:sz w:val="22"/>
        </w:rPr>
        <w:t>by</w:t>
      </w:r>
      <w:r>
        <w:rPr>
          <w:spacing w:val="-13"/>
          <w:sz w:val="22"/>
        </w:rPr>
        <w:t> </w:t>
      </w:r>
      <w:r>
        <w:rPr>
          <w:sz w:val="22"/>
        </w:rPr>
        <w:t>whether</w:t>
      </w:r>
      <w:r>
        <w:rPr>
          <w:spacing w:val="-14"/>
          <w:sz w:val="22"/>
        </w:rPr>
        <w:t> </w:t>
      </w:r>
      <w:r>
        <w:rPr>
          <w:sz w:val="22"/>
        </w:rPr>
        <w:t>the</w:t>
      </w:r>
      <w:r>
        <w:rPr>
          <w:spacing w:val="-13"/>
          <w:sz w:val="22"/>
        </w:rPr>
        <w:t> </w:t>
      </w:r>
      <w:r>
        <w:rPr>
          <w:sz w:val="22"/>
        </w:rPr>
        <w:t>projects</w:t>
      </w:r>
      <w:r>
        <w:rPr>
          <w:spacing w:val="-14"/>
          <w:sz w:val="22"/>
        </w:rPr>
        <w:t> </w:t>
      </w:r>
      <w:r>
        <w:rPr>
          <w:sz w:val="22"/>
        </w:rPr>
        <w:t>were</w:t>
      </w:r>
      <w:r>
        <w:rPr>
          <w:spacing w:val="-13"/>
          <w:sz w:val="22"/>
        </w:rPr>
        <w:t> </w:t>
      </w:r>
      <w:r>
        <w:rPr>
          <w:sz w:val="22"/>
        </w:rPr>
        <w:t>completed,</w:t>
      </w:r>
      <w:r>
        <w:rPr>
          <w:spacing w:val="-14"/>
          <w:sz w:val="22"/>
        </w:rPr>
        <w:t> </w:t>
      </w:r>
      <w:r>
        <w:rPr>
          <w:sz w:val="22"/>
        </w:rPr>
        <w:t>and</w:t>
      </w:r>
      <w:r>
        <w:rPr>
          <w:spacing w:val="-13"/>
          <w:sz w:val="22"/>
        </w:rPr>
        <w:t> </w:t>
      </w:r>
      <w:r>
        <w:rPr>
          <w:sz w:val="22"/>
        </w:rPr>
        <w:t>whether performance on the accountability metrics, set out prior to the project’s implementation, was adequate. If the project was not completed, or performance on the metrics was inadequate, the State, in consultation with the awardee, will determine appropriate recourse, which may include corrective action plans, termination</w:t>
      </w:r>
      <w:r>
        <w:rPr>
          <w:spacing w:val="-10"/>
          <w:sz w:val="22"/>
        </w:rPr>
        <w:t> </w:t>
      </w:r>
      <w:r>
        <w:rPr>
          <w:sz w:val="22"/>
        </w:rPr>
        <w:t>from</w:t>
      </w:r>
      <w:r>
        <w:rPr>
          <w:spacing w:val="-11"/>
          <w:sz w:val="22"/>
        </w:rPr>
        <w:t> </w:t>
      </w:r>
      <w:r>
        <w:rPr>
          <w:sz w:val="22"/>
        </w:rPr>
        <w:t>the</w:t>
      </w:r>
      <w:r>
        <w:rPr>
          <w:spacing w:val="-9"/>
          <w:sz w:val="22"/>
        </w:rPr>
        <w:t> </w:t>
      </w:r>
      <w:r>
        <w:rPr>
          <w:sz w:val="22"/>
        </w:rPr>
        <w:t>investment</w:t>
      </w:r>
      <w:r>
        <w:rPr>
          <w:spacing w:val="-6"/>
          <w:sz w:val="22"/>
        </w:rPr>
        <w:t> </w:t>
      </w:r>
      <w:r>
        <w:rPr>
          <w:sz w:val="22"/>
        </w:rPr>
        <w:t>program,</w:t>
      </w:r>
      <w:r>
        <w:rPr>
          <w:spacing w:val="-7"/>
          <w:sz w:val="22"/>
        </w:rPr>
        <w:t> </w:t>
      </w:r>
      <w:r>
        <w:rPr>
          <w:sz w:val="22"/>
        </w:rPr>
        <w:t>barring</w:t>
      </w:r>
      <w:r>
        <w:rPr>
          <w:spacing w:val="-10"/>
          <w:sz w:val="22"/>
        </w:rPr>
        <w:t> </w:t>
      </w:r>
      <w:r>
        <w:rPr>
          <w:sz w:val="22"/>
        </w:rPr>
        <w:t>providers</w:t>
      </w:r>
      <w:r>
        <w:rPr>
          <w:spacing w:val="-9"/>
          <w:sz w:val="22"/>
        </w:rPr>
        <w:t> </w:t>
      </w:r>
      <w:r>
        <w:rPr>
          <w:sz w:val="22"/>
        </w:rPr>
        <w:t>from</w:t>
      </w:r>
      <w:r>
        <w:rPr>
          <w:spacing w:val="-11"/>
          <w:sz w:val="22"/>
        </w:rPr>
        <w:t> </w:t>
      </w:r>
      <w:r>
        <w:rPr>
          <w:sz w:val="22"/>
        </w:rPr>
        <w:t>applying</w:t>
      </w:r>
      <w:r>
        <w:rPr>
          <w:spacing w:val="-10"/>
          <w:sz w:val="22"/>
        </w:rPr>
        <w:t> </w:t>
      </w:r>
      <w:r>
        <w:rPr>
          <w:sz w:val="22"/>
        </w:rPr>
        <w:t>for</w:t>
      </w:r>
      <w:r>
        <w:rPr>
          <w:spacing w:val="-9"/>
          <w:sz w:val="22"/>
        </w:rPr>
        <w:t> </w:t>
      </w:r>
      <w:r>
        <w:rPr>
          <w:sz w:val="22"/>
        </w:rPr>
        <w:t>future</w:t>
      </w:r>
      <w:r>
        <w:rPr>
          <w:spacing w:val="-7"/>
          <w:sz w:val="22"/>
        </w:rPr>
        <w:t> </w:t>
      </w:r>
      <w:r>
        <w:rPr>
          <w:sz w:val="22"/>
        </w:rPr>
        <w:t>Statewide</w:t>
      </w:r>
      <w:r>
        <w:rPr>
          <w:spacing w:val="-7"/>
          <w:sz w:val="22"/>
        </w:rPr>
        <w:t> </w:t>
      </w:r>
      <w:r>
        <w:rPr>
          <w:sz w:val="22"/>
        </w:rPr>
        <w:t>Investment funding, recoupment of funds, or other contract management activities (e.g., working</w:t>
      </w:r>
      <w:r>
        <w:rPr>
          <w:spacing w:val="-1"/>
          <w:sz w:val="22"/>
        </w:rPr>
        <w:t> </w:t>
      </w:r>
      <w:r>
        <w:rPr>
          <w:sz w:val="22"/>
        </w:rPr>
        <w:t>collaboratively</w:t>
      </w:r>
      <w:r>
        <w:rPr>
          <w:spacing w:val="-1"/>
          <w:sz w:val="22"/>
        </w:rPr>
        <w:t> </w:t>
      </w:r>
      <w:r>
        <w:rPr>
          <w:sz w:val="22"/>
        </w:rPr>
        <w:t>with the awardee to identify and implement new strategies to meet the project goals, or renegotiating the awardee’s responsibilities or the project’s goals to achieve partial success, as appropriate).</w:t>
      </w:r>
    </w:p>
    <w:p>
      <w:pPr>
        <w:pStyle w:val="Heading2"/>
        <w:spacing w:before="203"/>
        <w:ind w:left="1220" w:firstLine="0"/>
      </w:pPr>
      <w:bookmarkStart w:name="Enhanced Diversionary Behavioral Health " w:id="1518"/>
      <w:bookmarkEnd w:id="1518"/>
      <w:r>
        <w:rPr>
          <w:b w:val="0"/>
        </w:rPr>
      </w:r>
      <w:bookmarkStart w:name="_bookmark129" w:id="1519"/>
      <w:bookmarkEnd w:id="1519"/>
      <w:r>
        <w:rPr>
          <w:b w:val="0"/>
        </w:rPr>
      </w:r>
      <w:r>
        <w:rPr>
          <w:color w:val="4471C4"/>
        </w:rPr>
        <w:t>Enhanced</w:t>
      </w:r>
      <w:r>
        <w:rPr>
          <w:color w:val="4471C4"/>
          <w:spacing w:val="-13"/>
        </w:rPr>
        <w:t> </w:t>
      </w:r>
      <w:r>
        <w:rPr>
          <w:color w:val="4471C4"/>
        </w:rPr>
        <w:t>Diversionary</w:t>
      </w:r>
      <w:r>
        <w:rPr>
          <w:color w:val="4471C4"/>
          <w:spacing w:val="-11"/>
        </w:rPr>
        <w:t> </w:t>
      </w:r>
      <w:r>
        <w:rPr>
          <w:color w:val="4471C4"/>
        </w:rPr>
        <w:t>Behavioral</w:t>
      </w:r>
      <w:r>
        <w:rPr>
          <w:color w:val="4471C4"/>
          <w:spacing w:val="-12"/>
        </w:rPr>
        <w:t> </w:t>
      </w:r>
      <w:r>
        <w:rPr>
          <w:color w:val="4471C4"/>
        </w:rPr>
        <w:t>Health</w:t>
      </w:r>
      <w:r>
        <w:rPr>
          <w:color w:val="4471C4"/>
          <w:spacing w:val="-11"/>
        </w:rPr>
        <w:t> </w:t>
      </w:r>
      <w:r>
        <w:rPr>
          <w:color w:val="4471C4"/>
          <w:spacing w:val="-2"/>
        </w:rPr>
        <w:t>Activities</w:t>
      </w:r>
    </w:p>
    <w:p>
      <w:pPr>
        <w:spacing w:before="0"/>
        <w:ind w:left="1220" w:right="1093" w:firstLine="0"/>
        <w:jc w:val="both"/>
        <w:rPr>
          <w:sz w:val="22"/>
        </w:rPr>
      </w:pPr>
      <w:r>
        <w:rPr>
          <w:sz w:val="22"/>
        </w:rPr>
        <w:t>The State will use DSRIP funding to support investment in new or enhanced diversionary strategies or infrastructure to help place members with behavioral health needs in the least restrictive, clinically most appropriate settings and to reduce the incidence of members who are boarded in a hospital emergency department waiting for admission into acute inpatient treatment or diversion to a community setting. Strategies for investment may include:</w:t>
      </w:r>
    </w:p>
    <w:p>
      <w:pPr>
        <w:pStyle w:val="ListParagraph"/>
        <w:numPr>
          <w:ilvl w:val="0"/>
          <w:numId w:val="110"/>
        </w:numPr>
        <w:tabs>
          <w:tab w:pos="1940" w:val="left" w:leader="none"/>
        </w:tabs>
        <w:spacing w:line="240" w:lineRule="auto" w:before="158" w:after="0"/>
        <w:ind w:left="1940" w:right="0" w:hanging="360"/>
        <w:jc w:val="left"/>
        <w:rPr>
          <w:sz w:val="22"/>
        </w:rPr>
      </w:pPr>
      <w:r>
        <w:rPr>
          <w:sz w:val="22"/>
        </w:rPr>
        <w:t>Workforce</w:t>
      </w:r>
      <w:r>
        <w:rPr>
          <w:spacing w:val="-5"/>
          <w:sz w:val="22"/>
        </w:rPr>
        <w:t> </w:t>
      </w:r>
      <w:r>
        <w:rPr>
          <w:spacing w:val="-2"/>
          <w:sz w:val="22"/>
        </w:rPr>
        <w:t>Development</w:t>
      </w:r>
    </w:p>
    <w:p>
      <w:pPr>
        <w:pStyle w:val="ListParagraph"/>
        <w:numPr>
          <w:ilvl w:val="0"/>
          <w:numId w:val="110"/>
        </w:numPr>
        <w:tabs>
          <w:tab w:pos="1940" w:val="left" w:leader="none"/>
        </w:tabs>
        <w:spacing w:line="240" w:lineRule="auto" w:before="201" w:after="0"/>
        <w:ind w:left="1940" w:right="0" w:hanging="360"/>
        <w:jc w:val="left"/>
        <w:rPr>
          <w:sz w:val="22"/>
        </w:rPr>
      </w:pPr>
      <w:r>
        <w:rPr>
          <w:sz w:val="22"/>
        </w:rPr>
        <w:t>Urgent</w:t>
      </w:r>
      <w:r>
        <w:rPr>
          <w:spacing w:val="-4"/>
          <w:sz w:val="22"/>
        </w:rPr>
        <w:t> </w:t>
      </w:r>
      <w:r>
        <w:rPr>
          <w:sz w:val="22"/>
        </w:rPr>
        <w:t>care</w:t>
      </w:r>
      <w:r>
        <w:rPr>
          <w:spacing w:val="-5"/>
          <w:sz w:val="22"/>
        </w:rPr>
        <w:t> </w:t>
      </w:r>
      <w:r>
        <w:rPr>
          <w:sz w:val="22"/>
        </w:rPr>
        <w:t>and</w:t>
      </w:r>
      <w:r>
        <w:rPr>
          <w:spacing w:val="-5"/>
          <w:sz w:val="22"/>
        </w:rPr>
        <w:t> </w:t>
      </w:r>
      <w:r>
        <w:rPr>
          <w:sz w:val="22"/>
        </w:rPr>
        <w:t>intensive</w:t>
      </w:r>
      <w:r>
        <w:rPr>
          <w:spacing w:val="-5"/>
          <w:sz w:val="22"/>
        </w:rPr>
        <w:t> </w:t>
      </w:r>
      <w:r>
        <w:rPr>
          <w:sz w:val="22"/>
        </w:rPr>
        <w:t>outpatient</w:t>
      </w:r>
      <w:r>
        <w:rPr>
          <w:spacing w:val="-4"/>
          <w:sz w:val="22"/>
        </w:rPr>
        <w:t> </w:t>
      </w:r>
      <w:r>
        <w:rPr>
          <w:sz w:val="22"/>
        </w:rPr>
        <w:t>program</w:t>
      </w:r>
      <w:r>
        <w:rPr>
          <w:spacing w:val="-8"/>
          <w:sz w:val="22"/>
        </w:rPr>
        <w:t> </w:t>
      </w:r>
      <w:r>
        <w:rPr>
          <w:spacing w:val="-4"/>
          <w:sz w:val="22"/>
        </w:rPr>
        <w:t>(IOP)</w:t>
      </w:r>
    </w:p>
    <w:p>
      <w:pPr>
        <w:pStyle w:val="ListParagraph"/>
        <w:numPr>
          <w:ilvl w:val="0"/>
          <w:numId w:val="110"/>
        </w:numPr>
        <w:tabs>
          <w:tab w:pos="1940" w:val="left" w:leader="none"/>
        </w:tabs>
        <w:spacing w:line="240" w:lineRule="auto" w:before="198" w:after="0"/>
        <w:ind w:left="1940" w:right="0" w:hanging="360"/>
        <w:jc w:val="left"/>
        <w:rPr>
          <w:sz w:val="22"/>
        </w:rPr>
      </w:pPr>
      <w:r>
        <w:rPr>
          <w:sz w:val="22"/>
        </w:rPr>
        <w:t>Community-Based</w:t>
      </w:r>
      <w:r>
        <w:rPr>
          <w:spacing w:val="-5"/>
          <w:sz w:val="22"/>
        </w:rPr>
        <w:t> </w:t>
      </w:r>
      <w:r>
        <w:rPr>
          <w:sz w:val="22"/>
        </w:rPr>
        <w:t>Acute</w:t>
      </w:r>
      <w:r>
        <w:rPr>
          <w:spacing w:val="-7"/>
          <w:sz w:val="22"/>
        </w:rPr>
        <w:t> </w:t>
      </w:r>
      <w:r>
        <w:rPr>
          <w:sz w:val="22"/>
        </w:rPr>
        <w:t>Treatment</w:t>
      </w:r>
      <w:r>
        <w:rPr>
          <w:spacing w:val="-4"/>
          <w:sz w:val="22"/>
        </w:rPr>
        <w:t> </w:t>
      </w:r>
      <w:r>
        <w:rPr>
          <w:sz w:val="22"/>
        </w:rPr>
        <w:t>(CBAT)</w:t>
      </w:r>
      <w:r>
        <w:rPr>
          <w:spacing w:val="-4"/>
          <w:sz w:val="22"/>
        </w:rPr>
        <w:t> </w:t>
      </w:r>
      <w:r>
        <w:rPr>
          <w:sz w:val="22"/>
        </w:rPr>
        <w:t>for</w:t>
      </w:r>
      <w:r>
        <w:rPr>
          <w:spacing w:val="-4"/>
          <w:sz w:val="22"/>
        </w:rPr>
        <w:t> </w:t>
      </w:r>
      <w:r>
        <w:rPr>
          <w:spacing w:val="-2"/>
          <w:sz w:val="22"/>
        </w:rPr>
        <w:t>adults</w:t>
      </w:r>
    </w:p>
    <w:p>
      <w:pPr>
        <w:spacing w:after="0" w:line="240" w:lineRule="auto"/>
        <w:jc w:val="left"/>
        <w:rPr>
          <w:sz w:val="22"/>
        </w:rPr>
        <w:sectPr>
          <w:pgSz w:w="12240" w:h="15840"/>
          <w:pgMar w:header="0" w:footer="967" w:top="1360" w:bottom="1160" w:left="220" w:right="340"/>
        </w:sectPr>
      </w:pPr>
    </w:p>
    <w:p>
      <w:pPr>
        <w:pStyle w:val="ListParagraph"/>
        <w:numPr>
          <w:ilvl w:val="0"/>
          <w:numId w:val="110"/>
        </w:numPr>
        <w:tabs>
          <w:tab w:pos="1940" w:val="left" w:leader="none"/>
        </w:tabs>
        <w:spacing w:line="240" w:lineRule="auto" w:before="79" w:after="0"/>
        <w:ind w:left="1940" w:right="0" w:hanging="360"/>
        <w:jc w:val="left"/>
        <w:rPr>
          <w:sz w:val="22"/>
        </w:rPr>
      </w:pPr>
      <w:r>
        <w:rPr>
          <w:sz w:val="22"/>
        </w:rPr>
        <w:t>ESP/Mobile</w:t>
      </w:r>
      <w:r>
        <w:rPr>
          <w:spacing w:val="-4"/>
          <w:sz w:val="22"/>
        </w:rPr>
        <w:t> </w:t>
      </w:r>
      <w:r>
        <w:rPr>
          <w:sz w:val="22"/>
        </w:rPr>
        <w:t>Crisis</w:t>
      </w:r>
      <w:r>
        <w:rPr>
          <w:spacing w:val="-3"/>
          <w:sz w:val="22"/>
        </w:rPr>
        <w:t> </w:t>
      </w:r>
      <w:r>
        <w:rPr>
          <w:sz w:val="22"/>
        </w:rPr>
        <w:t>Intervention</w:t>
      </w:r>
      <w:r>
        <w:rPr>
          <w:spacing w:val="-6"/>
          <w:sz w:val="22"/>
        </w:rPr>
        <w:t> </w:t>
      </w:r>
      <w:r>
        <w:rPr>
          <w:sz w:val="22"/>
        </w:rPr>
        <w:t>(MCI)</w:t>
      </w:r>
      <w:r>
        <w:rPr>
          <w:spacing w:val="-3"/>
          <w:sz w:val="22"/>
        </w:rPr>
        <w:t> </w:t>
      </w:r>
      <w:r>
        <w:rPr>
          <w:sz w:val="22"/>
        </w:rPr>
        <w:t>Teams</w:t>
      </w:r>
      <w:r>
        <w:rPr>
          <w:spacing w:val="-3"/>
          <w:sz w:val="22"/>
        </w:rPr>
        <w:t> </w:t>
      </w:r>
      <w:r>
        <w:rPr>
          <w:sz w:val="22"/>
        </w:rPr>
        <w:t>with</w:t>
      </w:r>
      <w:r>
        <w:rPr>
          <w:spacing w:val="-4"/>
          <w:sz w:val="22"/>
        </w:rPr>
        <w:t> </w:t>
      </w:r>
      <w:r>
        <w:rPr>
          <w:sz w:val="22"/>
        </w:rPr>
        <w:t>specific</w:t>
      </w:r>
      <w:r>
        <w:rPr>
          <w:spacing w:val="-5"/>
          <w:sz w:val="22"/>
        </w:rPr>
        <w:t> </w:t>
      </w:r>
      <w:r>
        <w:rPr>
          <w:sz w:val="22"/>
        </w:rPr>
        <w:t>focus</w:t>
      </w:r>
      <w:r>
        <w:rPr>
          <w:spacing w:val="-3"/>
          <w:sz w:val="22"/>
        </w:rPr>
        <w:t> </w:t>
      </w:r>
      <w:r>
        <w:rPr>
          <w:sz w:val="22"/>
        </w:rPr>
        <w:t>on</w:t>
      </w:r>
      <w:r>
        <w:rPr>
          <w:spacing w:val="-4"/>
          <w:sz w:val="22"/>
        </w:rPr>
        <w:t> </w:t>
      </w:r>
      <w:r>
        <w:rPr>
          <w:sz w:val="22"/>
        </w:rPr>
        <w:t>placement</w:t>
      </w:r>
      <w:r>
        <w:rPr>
          <w:spacing w:val="-2"/>
          <w:sz w:val="22"/>
        </w:rPr>
        <w:t> </w:t>
      </w:r>
      <w:r>
        <w:rPr>
          <w:sz w:val="22"/>
        </w:rPr>
        <w:t>in</w:t>
      </w:r>
      <w:r>
        <w:rPr>
          <w:spacing w:val="-6"/>
          <w:sz w:val="22"/>
        </w:rPr>
        <w:t> </w:t>
      </w:r>
      <w:r>
        <w:rPr>
          <w:sz w:val="22"/>
        </w:rPr>
        <w:t>the</w:t>
      </w:r>
      <w:r>
        <w:rPr>
          <w:spacing w:val="-3"/>
          <w:sz w:val="22"/>
        </w:rPr>
        <w:t> </w:t>
      </w:r>
      <w:r>
        <w:rPr>
          <w:spacing w:val="-5"/>
          <w:sz w:val="22"/>
        </w:rPr>
        <w:t>EDs</w:t>
      </w:r>
    </w:p>
    <w:p>
      <w:pPr>
        <w:pStyle w:val="ListParagraph"/>
        <w:numPr>
          <w:ilvl w:val="0"/>
          <w:numId w:val="110"/>
        </w:numPr>
        <w:tabs>
          <w:tab w:pos="1940" w:val="left" w:leader="none"/>
        </w:tabs>
        <w:spacing w:line="240" w:lineRule="auto" w:before="199" w:after="0"/>
        <w:ind w:left="1940" w:right="0" w:hanging="360"/>
        <w:jc w:val="left"/>
        <w:rPr>
          <w:sz w:val="22"/>
        </w:rPr>
      </w:pPr>
      <w:r>
        <w:rPr>
          <w:sz w:val="22"/>
        </w:rPr>
        <w:t>Crisis</w:t>
      </w:r>
      <w:r>
        <w:rPr>
          <w:spacing w:val="-6"/>
          <w:sz w:val="22"/>
        </w:rPr>
        <w:t> </w:t>
      </w:r>
      <w:r>
        <w:rPr>
          <w:sz w:val="22"/>
        </w:rPr>
        <w:t>Stabilization</w:t>
      </w:r>
      <w:r>
        <w:rPr>
          <w:spacing w:val="-5"/>
          <w:sz w:val="22"/>
        </w:rPr>
        <w:t> </w:t>
      </w:r>
      <w:r>
        <w:rPr>
          <w:sz w:val="22"/>
        </w:rPr>
        <w:t>Services</w:t>
      </w:r>
      <w:r>
        <w:rPr>
          <w:spacing w:val="-5"/>
          <w:sz w:val="22"/>
        </w:rPr>
        <w:t> </w:t>
      </w:r>
      <w:r>
        <w:rPr>
          <w:spacing w:val="-2"/>
          <w:sz w:val="22"/>
        </w:rPr>
        <w:t>(CSS)</w:t>
      </w:r>
    </w:p>
    <w:p>
      <w:pPr>
        <w:pStyle w:val="ListParagraph"/>
        <w:numPr>
          <w:ilvl w:val="0"/>
          <w:numId w:val="110"/>
        </w:numPr>
        <w:tabs>
          <w:tab w:pos="1940" w:val="left" w:leader="none"/>
        </w:tabs>
        <w:spacing w:line="240" w:lineRule="auto" w:before="201" w:after="0"/>
        <w:ind w:left="1940" w:right="0" w:hanging="360"/>
        <w:jc w:val="left"/>
        <w:rPr>
          <w:sz w:val="22"/>
        </w:rPr>
      </w:pPr>
      <w:r>
        <w:rPr>
          <w:sz w:val="22"/>
        </w:rPr>
        <w:t>Telemedicine</w:t>
      </w:r>
      <w:r>
        <w:rPr>
          <w:spacing w:val="-7"/>
          <w:sz w:val="22"/>
        </w:rPr>
        <w:t> </w:t>
      </w:r>
      <w:r>
        <w:rPr>
          <w:sz w:val="22"/>
        </w:rPr>
        <w:t>and</w:t>
      </w:r>
      <w:r>
        <w:rPr>
          <w:spacing w:val="-7"/>
          <w:sz w:val="22"/>
        </w:rPr>
        <w:t> </w:t>
      </w:r>
      <w:r>
        <w:rPr>
          <w:sz w:val="22"/>
        </w:rPr>
        <w:t>Tele-</w:t>
      </w:r>
      <w:r>
        <w:rPr>
          <w:spacing w:val="-2"/>
          <w:sz w:val="22"/>
        </w:rPr>
        <w:t>psychiatry</w:t>
      </w:r>
    </w:p>
    <w:p>
      <w:pPr>
        <w:pStyle w:val="ListParagraph"/>
        <w:numPr>
          <w:ilvl w:val="0"/>
          <w:numId w:val="110"/>
        </w:numPr>
        <w:tabs>
          <w:tab w:pos="1940" w:val="left" w:leader="none"/>
        </w:tabs>
        <w:spacing w:line="240" w:lineRule="auto" w:before="198" w:after="0"/>
        <w:ind w:left="1940" w:right="0" w:hanging="360"/>
        <w:jc w:val="left"/>
        <w:rPr>
          <w:sz w:val="22"/>
        </w:rPr>
      </w:pPr>
      <w:r>
        <w:rPr>
          <w:sz w:val="22"/>
        </w:rPr>
        <w:t>Peer</w:t>
      </w:r>
      <w:r>
        <w:rPr>
          <w:spacing w:val="-3"/>
          <w:sz w:val="22"/>
        </w:rPr>
        <w:t> </w:t>
      </w:r>
      <w:r>
        <w:rPr>
          <w:sz w:val="22"/>
        </w:rPr>
        <w:t>Support</w:t>
      </w:r>
      <w:r>
        <w:rPr>
          <w:spacing w:val="-2"/>
          <w:sz w:val="22"/>
        </w:rPr>
        <w:t> models</w:t>
      </w:r>
    </w:p>
    <w:p>
      <w:pPr>
        <w:pStyle w:val="ListParagraph"/>
        <w:numPr>
          <w:ilvl w:val="0"/>
          <w:numId w:val="110"/>
        </w:numPr>
        <w:tabs>
          <w:tab w:pos="1940" w:val="left" w:leader="none"/>
        </w:tabs>
        <w:spacing w:line="240" w:lineRule="auto" w:before="199" w:after="0"/>
        <w:ind w:left="1940" w:right="0" w:hanging="360"/>
        <w:jc w:val="left"/>
        <w:rPr>
          <w:sz w:val="22"/>
        </w:rPr>
      </w:pPr>
      <w:r>
        <w:rPr>
          <w:sz w:val="22"/>
        </w:rPr>
        <w:t>Discharge</w:t>
      </w:r>
      <w:r>
        <w:rPr>
          <w:spacing w:val="-5"/>
          <w:sz w:val="22"/>
        </w:rPr>
        <w:t> </w:t>
      </w:r>
      <w:r>
        <w:rPr>
          <w:sz w:val="22"/>
        </w:rPr>
        <w:t>navigation</w:t>
      </w:r>
      <w:r>
        <w:rPr>
          <w:spacing w:val="-7"/>
          <w:sz w:val="22"/>
        </w:rPr>
        <w:t> </w:t>
      </w:r>
      <w:r>
        <w:rPr>
          <w:spacing w:val="-2"/>
          <w:sz w:val="22"/>
        </w:rPr>
        <w:t>services</w:t>
      </w:r>
    </w:p>
    <w:p>
      <w:pPr>
        <w:pStyle w:val="ListParagraph"/>
        <w:numPr>
          <w:ilvl w:val="0"/>
          <w:numId w:val="110"/>
        </w:numPr>
        <w:tabs>
          <w:tab w:pos="1940" w:val="left" w:leader="none"/>
        </w:tabs>
        <w:spacing w:line="240" w:lineRule="auto" w:before="201" w:after="0"/>
        <w:ind w:left="1940" w:right="0" w:hanging="360"/>
        <w:jc w:val="left"/>
        <w:rPr>
          <w:sz w:val="22"/>
        </w:rPr>
      </w:pPr>
      <w:r>
        <w:rPr>
          <w:sz w:val="22"/>
        </w:rPr>
        <w:t>Web-based</w:t>
      </w:r>
      <w:r>
        <w:rPr>
          <w:spacing w:val="-3"/>
          <w:sz w:val="22"/>
        </w:rPr>
        <w:t> </w:t>
      </w:r>
      <w:r>
        <w:rPr>
          <w:sz w:val="22"/>
        </w:rPr>
        <w:t>portal</w:t>
      </w:r>
      <w:r>
        <w:rPr>
          <w:spacing w:val="-2"/>
          <w:sz w:val="22"/>
        </w:rPr>
        <w:t> </w:t>
      </w:r>
      <w:r>
        <w:rPr>
          <w:sz w:val="22"/>
        </w:rPr>
        <w:t>for</w:t>
      </w:r>
      <w:r>
        <w:rPr>
          <w:spacing w:val="-2"/>
          <w:sz w:val="22"/>
        </w:rPr>
        <w:t> </w:t>
      </w:r>
      <w:r>
        <w:rPr>
          <w:sz w:val="22"/>
        </w:rPr>
        <w:t>navigation</w:t>
      </w:r>
      <w:r>
        <w:rPr>
          <w:spacing w:val="-2"/>
          <w:sz w:val="22"/>
        </w:rPr>
        <w:t> </w:t>
      </w:r>
      <w:r>
        <w:rPr>
          <w:sz w:val="22"/>
        </w:rPr>
        <w:t>and</w:t>
      </w:r>
      <w:r>
        <w:rPr>
          <w:spacing w:val="-6"/>
          <w:sz w:val="22"/>
        </w:rPr>
        <w:t> </w:t>
      </w:r>
      <w:r>
        <w:rPr>
          <w:sz w:val="22"/>
        </w:rPr>
        <w:t>data</w:t>
      </w:r>
      <w:r>
        <w:rPr>
          <w:spacing w:val="-2"/>
          <w:sz w:val="22"/>
        </w:rPr>
        <w:t> </w:t>
      </w:r>
      <w:r>
        <w:rPr>
          <w:sz w:val="22"/>
        </w:rPr>
        <w:t>collection</w:t>
      </w:r>
      <w:r>
        <w:rPr>
          <w:spacing w:val="-6"/>
          <w:sz w:val="22"/>
        </w:rPr>
        <w:t> </w:t>
      </w:r>
      <w:r>
        <w:rPr>
          <w:sz w:val="22"/>
        </w:rPr>
        <w:t>of</w:t>
      </w:r>
      <w:r>
        <w:rPr>
          <w:spacing w:val="-4"/>
          <w:sz w:val="22"/>
        </w:rPr>
        <w:t> </w:t>
      </w:r>
      <w:r>
        <w:rPr>
          <w:sz w:val="22"/>
        </w:rPr>
        <w:t>ED</w:t>
      </w:r>
      <w:r>
        <w:rPr>
          <w:spacing w:val="-4"/>
          <w:sz w:val="22"/>
        </w:rPr>
        <w:t> </w:t>
      </w:r>
      <w:r>
        <w:rPr>
          <w:sz w:val="22"/>
        </w:rPr>
        <w:t>boarding</w:t>
      </w:r>
      <w:r>
        <w:rPr>
          <w:spacing w:val="-6"/>
          <w:sz w:val="22"/>
        </w:rPr>
        <w:t> </w:t>
      </w:r>
      <w:r>
        <w:rPr>
          <w:sz w:val="22"/>
        </w:rPr>
        <w:t>and</w:t>
      </w:r>
      <w:r>
        <w:rPr>
          <w:spacing w:val="-2"/>
          <w:sz w:val="22"/>
        </w:rPr>
        <w:t> </w:t>
      </w:r>
      <w:r>
        <w:rPr>
          <w:sz w:val="22"/>
        </w:rPr>
        <w:t>available</w:t>
      </w:r>
      <w:r>
        <w:rPr>
          <w:spacing w:val="-5"/>
          <w:sz w:val="22"/>
        </w:rPr>
        <w:t> </w:t>
      </w:r>
      <w:r>
        <w:rPr>
          <w:sz w:val="22"/>
        </w:rPr>
        <w:t>bed</w:t>
      </w:r>
      <w:r>
        <w:rPr>
          <w:spacing w:val="-2"/>
          <w:sz w:val="22"/>
        </w:rPr>
        <w:t> placement</w:t>
      </w:r>
    </w:p>
    <w:p>
      <w:pPr>
        <w:pStyle w:val="ListParagraph"/>
        <w:numPr>
          <w:ilvl w:val="0"/>
          <w:numId w:val="110"/>
        </w:numPr>
        <w:tabs>
          <w:tab w:pos="1940" w:val="left" w:leader="none"/>
        </w:tabs>
        <w:spacing w:line="240" w:lineRule="auto" w:before="198" w:after="0"/>
        <w:ind w:left="1940" w:right="1095" w:hanging="361"/>
        <w:jc w:val="left"/>
        <w:rPr>
          <w:sz w:val="22"/>
        </w:rPr>
      </w:pPr>
      <w:r>
        <w:rPr>
          <w:sz w:val="22"/>
        </w:rPr>
        <w:t>Care coordination software to better manage members who are boarded in the ED and to prevent such events</w:t>
      </w:r>
    </w:p>
    <w:p>
      <w:pPr>
        <w:pStyle w:val="BodyText"/>
      </w:pPr>
    </w:p>
    <w:p>
      <w:pPr>
        <w:pStyle w:val="BodyText"/>
        <w:spacing w:before="2"/>
        <w:rPr>
          <w:sz w:val="29"/>
        </w:rPr>
      </w:pPr>
    </w:p>
    <w:p>
      <w:pPr>
        <w:spacing w:before="0"/>
        <w:ind w:left="1220" w:right="1093" w:firstLine="0"/>
        <w:jc w:val="both"/>
        <w:rPr>
          <w:sz w:val="22"/>
        </w:rPr>
      </w:pPr>
      <w:r>
        <w:rPr>
          <w:sz w:val="22"/>
        </w:rPr>
        <w:t>ACOs, CPs, CSAs, primary care providers, ESPs, community mental health centers, acute care hospitals, community</w:t>
      </w:r>
      <w:r>
        <w:rPr>
          <w:spacing w:val="-1"/>
          <w:sz w:val="22"/>
        </w:rPr>
        <w:t> </w:t>
      </w:r>
      <w:r>
        <w:rPr>
          <w:sz w:val="22"/>
        </w:rPr>
        <w:t>health centers,</w:t>
      </w:r>
      <w:r>
        <w:rPr>
          <w:spacing w:val="-1"/>
          <w:sz w:val="22"/>
        </w:rPr>
        <w:t> </w:t>
      </w:r>
      <w:r>
        <w:rPr>
          <w:sz w:val="22"/>
        </w:rPr>
        <w:t>psychiatric hospitals,</w:t>
      </w:r>
      <w:r>
        <w:rPr>
          <w:spacing w:val="-1"/>
          <w:sz w:val="22"/>
        </w:rPr>
        <w:t> </w:t>
      </w:r>
      <w:r>
        <w:rPr>
          <w:sz w:val="22"/>
        </w:rPr>
        <w:t>advocacy</w:t>
      </w:r>
      <w:r>
        <w:rPr>
          <w:spacing w:val="-1"/>
          <w:sz w:val="22"/>
        </w:rPr>
        <w:t> </w:t>
      </w:r>
      <w:r>
        <w:rPr>
          <w:sz w:val="22"/>
        </w:rPr>
        <w:t>organizations,</w:t>
      </w:r>
      <w:r>
        <w:rPr>
          <w:spacing w:val="-1"/>
          <w:sz w:val="22"/>
        </w:rPr>
        <w:t> </w:t>
      </w:r>
      <w:r>
        <w:rPr>
          <w:sz w:val="22"/>
        </w:rPr>
        <w:t>provider organizations, vendors, and</w:t>
      </w:r>
      <w:r>
        <w:rPr>
          <w:spacing w:val="-5"/>
          <w:sz w:val="22"/>
        </w:rPr>
        <w:t> </w:t>
      </w:r>
      <w:r>
        <w:rPr>
          <w:sz w:val="22"/>
        </w:rPr>
        <w:t>MCOs</w:t>
      </w:r>
      <w:r>
        <w:rPr>
          <w:spacing w:val="-7"/>
          <w:sz w:val="22"/>
        </w:rPr>
        <w:t> </w:t>
      </w:r>
      <w:r>
        <w:rPr>
          <w:sz w:val="22"/>
        </w:rPr>
        <w:t>may</w:t>
      </w:r>
      <w:r>
        <w:rPr>
          <w:spacing w:val="-7"/>
          <w:sz w:val="22"/>
        </w:rPr>
        <w:t> </w:t>
      </w:r>
      <w:r>
        <w:rPr>
          <w:sz w:val="22"/>
        </w:rPr>
        <w:t>be</w:t>
      </w:r>
      <w:r>
        <w:rPr>
          <w:spacing w:val="-4"/>
          <w:sz w:val="22"/>
        </w:rPr>
        <w:t> </w:t>
      </w:r>
      <w:r>
        <w:rPr>
          <w:sz w:val="22"/>
        </w:rPr>
        <w:t>eligible</w:t>
      </w:r>
      <w:r>
        <w:rPr>
          <w:spacing w:val="-7"/>
          <w:sz w:val="22"/>
        </w:rPr>
        <w:t> </w:t>
      </w:r>
      <w:r>
        <w:rPr>
          <w:sz w:val="22"/>
        </w:rPr>
        <w:t>to</w:t>
      </w:r>
      <w:r>
        <w:rPr>
          <w:spacing w:val="-5"/>
          <w:sz w:val="22"/>
        </w:rPr>
        <w:t> </w:t>
      </w:r>
      <w:r>
        <w:rPr>
          <w:sz w:val="22"/>
        </w:rPr>
        <w:t>apply</w:t>
      </w:r>
      <w:r>
        <w:rPr>
          <w:spacing w:val="-7"/>
          <w:sz w:val="22"/>
        </w:rPr>
        <w:t> </w:t>
      </w:r>
      <w:r>
        <w:rPr>
          <w:sz w:val="22"/>
        </w:rPr>
        <w:t>for</w:t>
      </w:r>
      <w:r>
        <w:rPr>
          <w:spacing w:val="-4"/>
          <w:sz w:val="22"/>
        </w:rPr>
        <w:t> </w:t>
      </w:r>
      <w:r>
        <w:rPr>
          <w:sz w:val="22"/>
        </w:rPr>
        <w:t>funding.</w:t>
      </w:r>
      <w:r>
        <w:rPr>
          <w:spacing w:val="-5"/>
          <w:sz w:val="22"/>
        </w:rPr>
        <w:t> </w:t>
      </w:r>
      <w:r>
        <w:rPr>
          <w:sz w:val="22"/>
        </w:rPr>
        <w:t>ACOs,</w:t>
      </w:r>
      <w:r>
        <w:rPr>
          <w:spacing w:val="-5"/>
          <w:sz w:val="22"/>
        </w:rPr>
        <w:t> </w:t>
      </w:r>
      <w:r>
        <w:rPr>
          <w:sz w:val="22"/>
        </w:rPr>
        <w:t>CPs,</w:t>
      </w:r>
      <w:r>
        <w:rPr>
          <w:spacing w:val="-5"/>
          <w:sz w:val="22"/>
        </w:rPr>
        <w:t> </w:t>
      </w:r>
      <w:r>
        <w:rPr>
          <w:sz w:val="22"/>
        </w:rPr>
        <w:t>or</w:t>
      </w:r>
      <w:r>
        <w:rPr>
          <w:spacing w:val="-6"/>
          <w:sz w:val="22"/>
        </w:rPr>
        <w:t> </w:t>
      </w:r>
      <w:r>
        <w:rPr>
          <w:sz w:val="22"/>
        </w:rPr>
        <w:t>CSAs</w:t>
      </w:r>
      <w:r>
        <w:rPr>
          <w:spacing w:val="-4"/>
          <w:sz w:val="22"/>
        </w:rPr>
        <w:t> </w:t>
      </w:r>
      <w:r>
        <w:rPr>
          <w:sz w:val="22"/>
        </w:rPr>
        <w:t>receiving</w:t>
      </w:r>
      <w:r>
        <w:rPr>
          <w:spacing w:val="-7"/>
          <w:sz w:val="22"/>
        </w:rPr>
        <w:t> </w:t>
      </w:r>
      <w:r>
        <w:rPr>
          <w:sz w:val="22"/>
        </w:rPr>
        <w:t>funding</w:t>
      </w:r>
      <w:r>
        <w:rPr>
          <w:spacing w:val="-7"/>
          <w:sz w:val="22"/>
        </w:rPr>
        <w:t> </w:t>
      </w:r>
      <w:r>
        <w:rPr>
          <w:sz w:val="22"/>
        </w:rPr>
        <w:t>must</w:t>
      </w:r>
      <w:r>
        <w:rPr>
          <w:spacing w:val="-4"/>
          <w:sz w:val="22"/>
        </w:rPr>
        <w:t> </w:t>
      </w:r>
      <w:r>
        <w:rPr>
          <w:sz w:val="22"/>
        </w:rPr>
        <w:t>demonstrate that activities supported through this statewide investment are not duplicative with activities supported through other available funding.</w:t>
      </w:r>
    </w:p>
    <w:p>
      <w:pPr>
        <w:spacing w:before="199"/>
        <w:ind w:left="1220" w:right="0" w:firstLine="0"/>
        <w:jc w:val="both"/>
        <w:rPr>
          <w:sz w:val="22"/>
        </w:rPr>
      </w:pPr>
      <w:bookmarkStart w:name="Awardee’s Obligations" w:id="1520"/>
      <w:bookmarkEnd w:id="1520"/>
      <w:r>
        <w:rPr/>
      </w:r>
      <w:r>
        <w:rPr>
          <w:color w:val="1F3762"/>
          <w:sz w:val="22"/>
        </w:rPr>
        <w:t>Awardee’s</w:t>
      </w:r>
      <w:r>
        <w:rPr>
          <w:color w:val="1F3762"/>
          <w:spacing w:val="-6"/>
          <w:sz w:val="22"/>
        </w:rPr>
        <w:t> </w:t>
      </w:r>
      <w:r>
        <w:rPr>
          <w:color w:val="1F3762"/>
          <w:spacing w:val="-2"/>
          <w:sz w:val="22"/>
        </w:rPr>
        <w:t>Obligations</w:t>
      </w:r>
    </w:p>
    <w:p>
      <w:pPr>
        <w:spacing w:before="2"/>
        <w:ind w:left="1220" w:right="1093" w:firstLine="0"/>
        <w:jc w:val="both"/>
        <w:rPr>
          <w:sz w:val="22"/>
        </w:rPr>
      </w:pPr>
      <w:r>
        <w:rPr>
          <w:sz w:val="22"/>
        </w:rPr>
        <w:t>Awardees will submit a semiannual progress report discussing the project’s progress to date including activities</w:t>
      </w:r>
      <w:r>
        <w:rPr>
          <w:spacing w:val="-14"/>
          <w:sz w:val="22"/>
        </w:rPr>
        <w:t> </w:t>
      </w:r>
      <w:r>
        <w:rPr>
          <w:sz w:val="22"/>
        </w:rPr>
        <w:t>and</w:t>
      </w:r>
      <w:r>
        <w:rPr>
          <w:spacing w:val="-14"/>
          <w:sz w:val="22"/>
        </w:rPr>
        <w:t> </w:t>
      </w:r>
      <w:r>
        <w:rPr>
          <w:sz w:val="22"/>
        </w:rPr>
        <w:t>progress</w:t>
      </w:r>
      <w:r>
        <w:rPr>
          <w:spacing w:val="-14"/>
          <w:sz w:val="22"/>
        </w:rPr>
        <w:t> </w:t>
      </w:r>
      <w:r>
        <w:rPr>
          <w:sz w:val="22"/>
        </w:rPr>
        <w:t>towards</w:t>
      </w:r>
      <w:r>
        <w:rPr>
          <w:spacing w:val="-13"/>
          <w:sz w:val="22"/>
        </w:rPr>
        <w:t> </w:t>
      </w:r>
      <w:r>
        <w:rPr>
          <w:sz w:val="22"/>
        </w:rPr>
        <w:t>the</w:t>
      </w:r>
      <w:r>
        <w:rPr>
          <w:spacing w:val="-14"/>
          <w:sz w:val="22"/>
        </w:rPr>
        <w:t> </w:t>
      </w:r>
      <w:r>
        <w:rPr>
          <w:sz w:val="22"/>
        </w:rPr>
        <w:t>reduction</w:t>
      </w:r>
      <w:r>
        <w:rPr>
          <w:spacing w:val="-14"/>
          <w:sz w:val="22"/>
        </w:rPr>
        <w:t> </w:t>
      </w:r>
      <w:r>
        <w:rPr>
          <w:sz w:val="22"/>
        </w:rPr>
        <w:t>of</w:t>
      </w:r>
      <w:r>
        <w:rPr>
          <w:spacing w:val="-14"/>
          <w:sz w:val="22"/>
        </w:rPr>
        <w:t> </w:t>
      </w:r>
      <w:r>
        <w:rPr>
          <w:sz w:val="22"/>
        </w:rPr>
        <w:t>ED</w:t>
      </w:r>
      <w:r>
        <w:rPr>
          <w:spacing w:val="-13"/>
          <w:sz w:val="22"/>
        </w:rPr>
        <w:t> </w:t>
      </w:r>
      <w:r>
        <w:rPr>
          <w:sz w:val="22"/>
        </w:rPr>
        <w:t>boarding,</w:t>
      </w:r>
      <w:r>
        <w:rPr>
          <w:spacing w:val="-14"/>
          <w:sz w:val="22"/>
        </w:rPr>
        <w:t> </w:t>
      </w:r>
      <w:r>
        <w:rPr>
          <w:sz w:val="22"/>
        </w:rPr>
        <w:t>goals</w:t>
      </w:r>
      <w:r>
        <w:rPr>
          <w:spacing w:val="-14"/>
          <w:sz w:val="22"/>
        </w:rPr>
        <w:t> </w:t>
      </w:r>
      <w:r>
        <w:rPr>
          <w:sz w:val="22"/>
        </w:rPr>
        <w:t>and</w:t>
      </w:r>
      <w:r>
        <w:rPr>
          <w:spacing w:val="-14"/>
          <w:sz w:val="22"/>
        </w:rPr>
        <w:t> </w:t>
      </w:r>
      <w:r>
        <w:rPr>
          <w:sz w:val="22"/>
        </w:rPr>
        <w:t>accountability</w:t>
      </w:r>
      <w:r>
        <w:rPr>
          <w:spacing w:val="-13"/>
          <w:sz w:val="22"/>
        </w:rPr>
        <w:t> </w:t>
      </w:r>
      <w:r>
        <w:rPr>
          <w:sz w:val="22"/>
        </w:rPr>
        <w:t>measures,</w:t>
      </w:r>
      <w:r>
        <w:rPr>
          <w:spacing w:val="-14"/>
          <w:sz w:val="22"/>
        </w:rPr>
        <w:t> </w:t>
      </w:r>
      <w:r>
        <w:rPr>
          <w:sz w:val="22"/>
        </w:rPr>
        <w:t>challenges and plans to address those challenges, and expenditures to date.</w:t>
      </w:r>
    </w:p>
    <w:p>
      <w:pPr>
        <w:spacing w:line="252" w:lineRule="exact" w:before="198"/>
        <w:ind w:left="1220" w:right="0" w:firstLine="0"/>
        <w:jc w:val="both"/>
        <w:rPr>
          <w:sz w:val="22"/>
        </w:rPr>
      </w:pPr>
      <w:bookmarkStart w:name="State’s Management" w:id="1521"/>
      <w:bookmarkEnd w:id="1521"/>
      <w:r>
        <w:rPr/>
      </w:r>
      <w:r>
        <w:rPr>
          <w:color w:val="1F3762"/>
          <w:sz w:val="22"/>
        </w:rPr>
        <w:t>State’s</w:t>
      </w:r>
      <w:r>
        <w:rPr>
          <w:color w:val="1F3762"/>
          <w:spacing w:val="-4"/>
          <w:sz w:val="22"/>
        </w:rPr>
        <w:t> </w:t>
      </w:r>
      <w:r>
        <w:rPr>
          <w:color w:val="1F3762"/>
          <w:spacing w:val="-2"/>
          <w:sz w:val="22"/>
        </w:rPr>
        <w:t>Management</w:t>
      </w:r>
    </w:p>
    <w:p>
      <w:pPr>
        <w:spacing w:before="0"/>
        <w:ind w:left="1220" w:right="1093" w:firstLine="0"/>
        <w:jc w:val="both"/>
        <w:rPr>
          <w:sz w:val="22"/>
        </w:rPr>
      </w:pPr>
      <w:r>
        <w:rPr>
          <w:sz w:val="22"/>
        </w:rPr>
        <w:t>The State will select recipients for this funding, and conduct robust monitoring and assessment of the semiannual</w:t>
      </w:r>
      <w:r>
        <w:rPr>
          <w:spacing w:val="-14"/>
          <w:sz w:val="22"/>
        </w:rPr>
        <w:t> </w:t>
      </w:r>
      <w:r>
        <w:rPr>
          <w:sz w:val="22"/>
        </w:rPr>
        <w:t>progress</w:t>
      </w:r>
      <w:r>
        <w:rPr>
          <w:spacing w:val="-14"/>
          <w:sz w:val="22"/>
        </w:rPr>
        <w:t> </w:t>
      </w:r>
      <w:r>
        <w:rPr>
          <w:sz w:val="22"/>
        </w:rPr>
        <w:t>and</w:t>
      </w:r>
      <w:r>
        <w:rPr>
          <w:spacing w:val="-14"/>
          <w:sz w:val="22"/>
        </w:rPr>
        <w:t> </w:t>
      </w:r>
      <w:r>
        <w:rPr>
          <w:sz w:val="22"/>
        </w:rPr>
        <w:t>annual</w:t>
      </w:r>
      <w:r>
        <w:rPr>
          <w:spacing w:val="-13"/>
          <w:sz w:val="22"/>
        </w:rPr>
        <w:t> </w:t>
      </w:r>
      <w:r>
        <w:rPr>
          <w:sz w:val="22"/>
        </w:rPr>
        <w:t>reports.</w:t>
      </w:r>
      <w:r>
        <w:rPr>
          <w:spacing w:val="-14"/>
          <w:sz w:val="22"/>
        </w:rPr>
        <w:t> </w:t>
      </w:r>
      <w:r>
        <w:rPr>
          <w:sz w:val="22"/>
        </w:rPr>
        <w:t>Awardees’</w:t>
      </w:r>
      <w:r>
        <w:rPr>
          <w:spacing w:val="-14"/>
          <w:sz w:val="22"/>
        </w:rPr>
        <w:t> </w:t>
      </w:r>
      <w:r>
        <w:rPr>
          <w:sz w:val="22"/>
        </w:rPr>
        <w:t>accountability</w:t>
      </w:r>
      <w:r>
        <w:rPr>
          <w:spacing w:val="-14"/>
          <w:sz w:val="22"/>
        </w:rPr>
        <w:t> </w:t>
      </w:r>
      <w:r>
        <w:rPr>
          <w:sz w:val="22"/>
        </w:rPr>
        <w:t>will</w:t>
      </w:r>
      <w:r>
        <w:rPr>
          <w:spacing w:val="-13"/>
          <w:sz w:val="22"/>
        </w:rPr>
        <w:t> </w:t>
      </w:r>
      <w:r>
        <w:rPr>
          <w:sz w:val="22"/>
        </w:rPr>
        <w:t>be</w:t>
      </w:r>
      <w:r>
        <w:rPr>
          <w:spacing w:val="-14"/>
          <w:sz w:val="22"/>
        </w:rPr>
        <w:t> </w:t>
      </w:r>
      <w:r>
        <w:rPr>
          <w:sz w:val="22"/>
        </w:rPr>
        <w:t>evaluated</w:t>
      </w:r>
      <w:r>
        <w:rPr>
          <w:spacing w:val="-14"/>
          <w:sz w:val="22"/>
        </w:rPr>
        <w:t> </w:t>
      </w:r>
      <w:r>
        <w:rPr>
          <w:sz w:val="22"/>
        </w:rPr>
        <w:t>by</w:t>
      </w:r>
      <w:r>
        <w:rPr>
          <w:spacing w:val="-14"/>
          <w:sz w:val="22"/>
        </w:rPr>
        <w:t> </w:t>
      </w:r>
      <w:r>
        <w:rPr>
          <w:sz w:val="22"/>
        </w:rPr>
        <w:t>whether</w:t>
      </w:r>
      <w:r>
        <w:rPr>
          <w:spacing w:val="-13"/>
          <w:sz w:val="22"/>
        </w:rPr>
        <w:t> </w:t>
      </w:r>
      <w:r>
        <w:rPr>
          <w:sz w:val="22"/>
        </w:rPr>
        <w:t>the</w:t>
      </w:r>
      <w:r>
        <w:rPr>
          <w:spacing w:val="-14"/>
          <w:sz w:val="22"/>
        </w:rPr>
        <w:t> </w:t>
      </w:r>
      <w:r>
        <w:rPr>
          <w:sz w:val="22"/>
        </w:rPr>
        <w:t>projects were completed, and whether performance on the accountability metrics, set out prior to the project’s implementation, was adequate. If the project was not completed, or performance on the metrics was inadequate, the State, in consultation with the awardee, will determine appropriate recourse, which may include</w:t>
      </w:r>
      <w:r>
        <w:rPr>
          <w:spacing w:val="-4"/>
          <w:sz w:val="22"/>
        </w:rPr>
        <w:t> </w:t>
      </w:r>
      <w:r>
        <w:rPr>
          <w:sz w:val="22"/>
        </w:rPr>
        <w:t>corrective</w:t>
      </w:r>
      <w:r>
        <w:rPr>
          <w:spacing w:val="-4"/>
          <w:sz w:val="22"/>
        </w:rPr>
        <w:t> </w:t>
      </w:r>
      <w:r>
        <w:rPr>
          <w:sz w:val="22"/>
        </w:rPr>
        <w:t>action</w:t>
      </w:r>
      <w:r>
        <w:rPr>
          <w:spacing w:val="-5"/>
          <w:sz w:val="22"/>
        </w:rPr>
        <w:t> </w:t>
      </w:r>
      <w:r>
        <w:rPr>
          <w:sz w:val="22"/>
        </w:rPr>
        <w:t>plans,</w:t>
      </w:r>
      <w:r>
        <w:rPr>
          <w:spacing w:val="-5"/>
          <w:sz w:val="22"/>
        </w:rPr>
        <w:t> </w:t>
      </w:r>
      <w:r>
        <w:rPr>
          <w:sz w:val="22"/>
        </w:rPr>
        <w:t>termination</w:t>
      </w:r>
      <w:r>
        <w:rPr>
          <w:spacing w:val="-7"/>
          <w:sz w:val="22"/>
        </w:rPr>
        <w:t> </w:t>
      </w:r>
      <w:r>
        <w:rPr>
          <w:sz w:val="22"/>
        </w:rPr>
        <w:t>from</w:t>
      </w:r>
      <w:r>
        <w:rPr>
          <w:spacing w:val="-8"/>
          <w:sz w:val="22"/>
        </w:rPr>
        <w:t> </w:t>
      </w:r>
      <w:r>
        <w:rPr>
          <w:sz w:val="22"/>
        </w:rPr>
        <w:t>the</w:t>
      </w:r>
      <w:r>
        <w:rPr>
          <w:spacing w:val="-4"/>
          <w:sz w:val="22"/>
        </w:rPr>
        <w:t> </w:t>
      </w:r>
      <w:r>
        <w:rPr>
          <w:sz w:val="22"/>
        </w:rPr>
        <w:t>investment</w:t>
      </w:r>
      <w:r>
        <w:rPr>
          <w:spacing w:val="-4"/>
          <w:sz w:val="22"/>
        </w:rPr>
        <w:t> </w:t>
      </w:r>
      <w:r>
        <w:rPr>
          <w:sz w:val="22"/>
        </w:rPr>
        <w:t>program,</w:t>
      </w:r>
      <w:r>
        <w:rPr>
          <w:spacing w:val="-5"/>
          <w:sz w:val="22"/>
        </w:rPr>
        <w:t> </w:t>
      </w:r>
      <w:r>
        <w:rPr>
          <w:sz w:val="22"/>
        </w:rPr>
        <w:t>barring</w:t>
      </w:r>
      <w:r>
        <w:rPr>
          <w:spacing w:val="-9"/>
          <w:sz w:val="22"/>
        </w:rPr>
        <w:t> </w:t>
      </w:r>
      <w:r>
        <w:rPr>
          <w:sz w:val="22"/>
        </w:rPr>
        <w:t>providers</w:t>
      </w:r>
      <w:r>
        <w:rPr>
          <w:spacing w:val="-4"/>
          <w:sz w:val="22"/>
        </w:rPr>
        <w:t> </w:t>
      </w:r>
      <w:r>
        <w:rPr>
          <w:sz w:val="22"/>
        </w:rPr>
        <w:t>from</w:t>
      </w:r>
      <w:r>
        <w:rPr>
          <w:spacing w:val="-8"/>
          <w:sz w:val="22"/>
        </w:rPr>
        <w:t> </w:t>
      </w:r>
      <w:r>
        <w:rPr>
          <w:sz w:val="22"/>
        </w:rPr>
        <w:t>applying for future Statewide Investment funding, recoupment of funds, or other contract management activities (e.g.,</w:t>
      </w:r>
      <w:r>
        <w:rPr>
          <w:spacing w:val="-12"/>
          <w:sz w:val="22"/>
        </w:rPr>
        <w:t> </w:t>
      </w:r>
      <w:r>
        <w:rPr>
          <w:sz w:val="22"/>
        </w:rPr>
        <w:t>working</w:t>
      </w:r>
      <w:r>
        <w:rPr>
          <w:spacing w:val="-14"/>
          <w:sz w:val="22"/>
        </w:rPr>
        <w:t> </w:t>
      </w:r>
      <w:r>
        <w:rPr>
          <w:sz w:val="22"/>
        </w:rPr>
        <w:t>collaboratively</w:t>
      </w:r>
      <w:r>
        <w:rPr>
          <w:spacing w:val="-14"/>
          <w:sz w:val="22"/>
        </w:rPr>
        <w:t> </w:t>
      </w:r>
      <w:r>
        <w:rPr>
          <w:sz w:val="22"/>
        </w:rPr>
        <w:t>with</w:t>
      </w:r>
      <w:r>
        <w:rPr>
          <w:spacing w:val="-13"/>
          <w:sz w:val="22"/>
        </w:rPr>
        <w:t> </w:t>
      </w:r>
      <w:r>
        <w:rPr>
          <w:sz w:val="22"/>
        </w:rPr>
        <w:t>the</w:t>
      </w:r>
      <w:r>
        <w:rPr>
          <w:spacing w:val="-11"/>
          <w:sz w:val="22"/>
        </w:rPr>
        <w:t> </w:t>
      </w:r>
      <w:r>
        <w:rPr>
          <w:sz w:val="22"/>
        </w:rPr>
        <w:t>awardee</w:t>
      </w:r>
      <w:r>
        <w:rPr>
          <w:spacing w:val="-11"/>
          <w:sz w:val="22"/>
        </w:rPr>
        <w:t> </w:t>
      </w:r>
      <w:r>
        <w:rPr>
          <w:sz w:val="22"/>
        </w:rPr>
        <w:t>to</w:t>
      </w:r>
      <w:r>
        <w:rPr>
          <w:spacing w:val="-12"/>
          <w:sz w:val="22"/>
        </w:rPr>
        <w:t> </w:t>
      </w:r>
      <w:r>
        <w:rPr>
          <w:sz w:val="22"/>
        </w:rPr>
        <w:t>identify</w:t>
      </w:r>
      <w:r>
        <w:rPr>
          <w:spacing w:val="-14"/>
          <w:sz w:val="22"/>
        </w:rPr>
        <w:t> </w:t>
      </w:r>
      <w:r>
        <w:rPr>
          <w:sz w:val="22"/>
        </w:rPr>
        <w:t>and</w:t>
      </w:r>
      <w:r>
        <w:rPr>
          <w:spacing w:val="-14"/>
          <w:sz w:val="22"/>
        </w:rPr>
        <w:t> </w:t>
      </w:r>
      <w:r>
        <w:rPr>
          <w:sz w:val="22"/>
        </w:rPr>
        <w:t>implement</w:t>
      </w:r>
      <w:r>
        <w:rPr>
          <w:spacing w:val="-11"/>
          <w:sz w:val="22"/>
        </w:rPr>
        <w:t> </w:t>
      </w:r>
      <w:r>
        <w:rPr>
          <w:sz w:val="22"/>
        </w:rPr>
        <w:t>new</w:t>
      </w:r>
      <w:r>
        <w:rPr>
          <w:spacing w:val="-13"/>
          <w:sz w:val="22"/>
        </w:rPr>
        <w:t> </w:t>
      </w:r>
      <w:r>
        <w:rPr>
          <w:sz w:val="22"/>
        </w:rPr>
        <w:t>strategies</w:t>
      </w:r>
      <w:r>
        <w:rPr>
          <w:spacing w:val="-11"/>
          <w:sz w:val="22"/>
        </w:rPr>
        <w:t> </w:t>
      </w:r>
      <w:r>
        <w:rPr>
          <w:sz w:val="22"/>
        </w:rPr>
        <w:t>to</w:t>
      </w:r>
      <w:r>
        <w:rPr>
          <w:spacing w:val="-14"/>
          <w:sz w:val="22"/>
        </w:rPr>
        <w:t> </w:t>
      </w:r>
      <w:r>
        <w:rPr>
          <w:sz w:val="22"/>
        </w:rPr>
        <w:t>meet</w:t>
      </w:r>
      <w:r>
        <w:rPr>
          <w:spacing w:val="-11"/>
          <w:sz w:val="22"/>
        </w:rPr>
        <w:t> </w:t>
      </w:r>
      <w:r>
        <w:rPr>
          <w:sz w:val="22"/>
        </w:rPr>
        <w:t>the</w:t>
      </w:r>
      <w:r>
        <w:rPr>
          <w:spacing w:val="-11"/>
          <w:sz w:val="22"/>
        </w:rPr>
        <w:t> </w:t>
      </w:r>
      <w:r>
        <w:rPr>
          <w:sz w:val="22"/>
        </w:rPr>
        <w:t>project goals, or renegotiating the awardee’s responsibilities or the project’s goals to achieve partial success, as </w:t>
      </w:r>
      <w:r>
        <w:rPr>
          <w:spacing w:val="-2"/>
          <w:sz w:val="22"/>
        </w:rPr>
        <w:t>appropriate).</w:t>
      </w:r>
    </w:p>
    <w:p>
      <w:pPr>
        <w:pStyle w:val="Heading2"/>
        <w:spacing w:line="240" w:lineRule="auto" w:before="202"/>
        <w:ind w:left="1580" w:right="1765" w:hanging="361"/>
      </w:pPr>
      <w:bookmarkStart w:name="Improved accessibility for people with d" w:id="1522"/>
      <w:bookmarkEnd w:id="1522"/>
      <w:r>
        <w:rPr>
          <w:b w:val="0"/>
        </w:rPr>
      </w:r>
      <w:bookmarkStart w:name="_bookmark130" w:id="1523"/>
      <w:bookmarkEnd w:id="1523"/>
      <w:r>
        <w:rPr>
          <w:b w:val="0"/>
        </w:rPr>
      </w:r>
      <w:r>
        <w:rPr>
          <w:color w:val="4471C4"/>
        </w:rPr>
        <w:t>Improved</w:t>
      </w:r>
      <w:r>
        <w:rPr>
          <w:color w:val="4471C4"/>
          <w:spacing w:val="-2"/>
        </w:rPr>
        <w:t> </w:t>
      </w:r>
      <w:r>
        <w:rPr>
          <w:color w:val="4471C4"/>
        </w:rPr>
        <w:t>accessibility</w:t>
      </w:r>
      <w:r>
        <w:rPr>
          <w:color w:val="4471C4"/>
          <w:spacing w:val="-2"/>
        </w:rPr>
        <w:t> </w:t>
      </w:r>
      <w:r>
        <w:rPr>
          <w:color w:val="4471C4"/>
        </w:rPr>
        <w:t>for</w:t>
      </w:r>
      <w:r>
        <w:rPr>
          <w:color w:val="4471C4"/>
          <w:spacing w:val="-4"/>
        </w:rPr>
        <w:t> </w:t>
      </w:r>
      <w:r>
        <w:rPr>
          <w:color w:val="4471C4"/>
        </w:rPr>
        <w:t>people</w:t>
      </w:r>
      <w:r>
        <w:rPr>
          <w:color w:val="4471C4"/>
          <w:spacing w:val="-4"/>
        </w:rPr>
        <w:t> </w:t>
      </w:r>
      <w:r>
        <w:rPr>
          <w:color w:val="4471C4"/>
        </w:rPr>
        <w:t>with</w:t>
      </w:r>
      <w:r>
        <w:rPr>
          <w:color w:val="4471C4"/>
          <w:spacing w:val="-4"/>
        </w:rPr>
        <w:t> </w:t>
      </w:r>
      <w:r>
        <w:rPr>
          <w:color w:val="4471C4"/>
        </w:rPr>
        <w:t>disabilities</w:t>
      </w:r>
      <w:r>
        <w:rPr>
          <w:color w:val="4471C4"/>
          <w:spacing w:val="-4"/>
        </w:rPr>
        <w:t> </w:t>
      </w:r>
      <w:r>
        <w:rPr>
          <w:color w:val="4471C4"/>
        </w:rPr>
        <w:t>or</w:t>
      </w:r>
      <w:r>
        <w:rPr>
          <w:color w:val="4471C4"/>
          <w:spacing w:val="-4"/>
        </w:rPr>
        <w:t> </w:t>
      </w:r>
      <w:r>
        <w:rPr>
          <w:color w:val="4471C4"/>
        </w:rPr>
        <w:t>for</w:t>
      </w:r>
      <w:r>
        <w:rPr>
          <w:color w:val="4471C4"/>
          <w:spacing w:val="-4"/>
        </w:rPr>
        <w:t> </w:t>
      </w:r>
      <w:r>
        <w:rPr>
          <w:color w:val="4471C4"/>
        </w:rPr>
        <w:t>whom</w:t>
      </w:r>
      <w:r>
        <w:rPr>
          <w:color w:val="4471C4"/>
          <w:spacing w:val="-6"/>
        </w:rPr>
        <w:t> </w:t>
      </w:r>
      <w:r>
        <w:rPr>
          <w:color w:val="4471C4"/>
        </w:rPr>
        <w:t>English</w:t>
      </w:r>
      <w:r>
        <w:rPr>
          <w:color w:val="4471C4"/>
          <w:spacing w:val="-4"/>
        </w:rPr>
        <w:t> </w:t>
      </w:r>
      <w:r>
        <w:rPr>
          <w:color w:val="4471C4"/>
        </w:rPr>
        <w:t>is</w:t>
      </w:r>
      <w:r>
        <w:rPr>
          <w:color w:val="4471C4"/>
          <w:spacing w:val="-2"/>
        </w:rPr>
        <w:t> </w:t>
      </w:r>
      <w:r>
        <w:rPr>
          <w:color w:val="4471C4"/>
        </w:rPr>
        <w:t>not</w:t>
      </w:r>
      <w:r>
        <w:rPr>
          <w:color w:val="4471C4"/>
          <w:spacing w:val="-4"/>
        </w:rPr>
        <w:t> </w:t>
      </w:r>
      <w:r>
        <w:rPr>
          <w:color w:val="4471C4"/>
        </w:rPr>
        <w:t>a primary language</w:t>
      </w:r>
    </w:p>
    <w:p>
      <w:pPr>
        <w:spacing w:line="242" w:lineRule="auto" w:before="0"/>
        <w:ind w:left="1220" w:right="1095" w:firstLine="0"/>
        <w:jc w:val="both"/>
        <w:rPr>
          <w:sz w:val="22"/>
        </w:rPr>
      </w:pPr>
      <w:r>
        <w:rPr>
          <w:sz w:val="22"/>
        </w:rPr>
        <w:t>The State will use DSRIP funding to help providers offer necessary equipment and expertise at their facilities to meet the needs of persons with disabilities, or of those for whom English is not a primary </w:t>
      </w:r>
      <w:r>
        <w:rPr>
          <w:spacing w:val="-2"/>
          <w:sz w:val="22"/>
        </w:rPr>
        <w:t>language.</w:t>
      </w:r>
    </w:p>
    <w:p>
      <w:pPr>
        <w:spacing w:before="152"/>
        <w:ind w:left="1220" w:right="1095" w:firstLine="0"/>
        <w:jc w:val="both"/>
        <w:rPr>
          <w:sz w:val="22"/>
        </w:rPr>
      </w:pPr>
      <w:r>
        <w:rPr>
          <w:sz w:val="22"/>
        </w:rPr>
        <w:t>Funding would be available to help providers purchase items necessary to increase accessibility for members with disabilities, for accessible communication assistance,</w:t>
      </w:r>
      <w:r>
        <w:rPr>
          <w:spacing w:val="-4"/>
          <w:sz w:val="22"/>
        </w:rPr>
        <w:t> </w:t>
      </w:r>
      <w:r>
        <w:rPr>
          <w:sz w:val="22"/>
        </w:rPr>
        <w:t>and for development of educational materials for providers regarding accessibility for members with disabilities. The State will tailor some of these materials specifically for providers treating members who are vision-impaired, deaf and hard of hearing, or for whom English is not a primary language. Applicants will be required to demonstrate that training is not duplicative of that received under the Technical Assistance statewide investments funding </w:t>
      </w:r>
      <w:r>
        <w:rPr>
          <w:spacing w:val="-2"/>
          <w:sz w:val="22"/>
        </w:rPr>
        <w:t>stream.</w:t>
      </w:r>
    </w:p>
    <w:p>
      <w:pPr>
        <w:spacing w:after="0"/>
        <w:jc w:val="both"/>
        <w:rPr>
          <w:sz w:val="22"/>
        </w:rPr>
        <w:sectPr>
          <w:pgSz w:w="12240" w:h="15840"/>
          <w:pgMar w:header="0" w:footer="967" w:top="1360" w:bottom="1160" w:left="220" w:right="340"/>
        </w:sectPr>
      </w:pPr>
    </w:p>
    <w:p>
      <w:pPr>
        <w:spacing w:line="242" w:lineRule="auto" w:before="78"/>
        <w:ind w:left="1219" w:right="1096" w:firstLine="0"/>
        <w:jc w:val="both"/>
        <w:rPr>
          <w:sz w:val="22"/>
        </w:rPr>
      </w:pPr>
      <w:r>
        <w:rPr>
          <w:sz w:val="22"/>
        </w:rPr>
        <w:t>The State may also utilize this funding to support development of directories or other resources to assist MassHealth members find MassHealth providers by preferred accessibility preferences and to assist providers in identifying the accessibility preferences of their patients.</w:t>
      </w:r>
    </w:p>
    <w:p>
      <w:pPr>
        <w:spacing w:line="252" w:lineRule="exact" w:before="194"/>
        <w:ind w:left="1220" w:right="0" w:firstLine="0"/>
        <w:jc w:val="both"/>
        <w:rPr>
          <w:sz w:val="22"/>
        </w:rPr>
      </w:pPr>
      <w:bookmarkStart w:name="Awardee’s Obligations" w:id="1524"/>
      <w:bookmarkEnd w:id="1524"/>
      <w:r>
        <w:rPr/>
      </w:r>
      <w:r>
        <w:rPr>
          <w:color w:val="1F3762"/>
          <w:sz w:val="22"/>
        </w:rPr>
        <w:t>Awardee’s</w:t>
      </w:r>
      <w:r>
        <w:rPr>
          <w:color w:val="1F3762"/>
          <w:spacing w:val="-6"/>
          <w:sz w:val="22"/>
        </w:rPr>
        <w:t> </w:t>
      </w:r>
      <w:r>
        <w:rPr>
          <w:color w:val="1F3762"/>
          <w:spacing w:val="-2"/>
          <w:sz w:val="22"/>
        </w:rPr>
        <w:t>Obligations</w:t>
      </w:r>
    </w:p>
    <w:p>
      <w:pPr>
        <w:spacing w:line="242" w:lineRule="auto" w:before="0"/>
        <w:ind w:left="1219" w:right="1095" w:firstLine="0"/>
        <w:jc w:val="both"/>
        <w:rPr>
          <w:sz w:val="22"/>
        </w:rPr>
      </w:pPr>
      <w:r>
        <w:rPr>
          <w:sz w:val="22"/>
        </w:rPr>
        <w:t>Awardees will be required to submit semiannual progress reports to the State discussing the project’s progress towards goals and pre-approved accountability measures, challenges and plans to address those challenges, and expenditures to date.</w:t>
      </w:r>
    </w:p>
    <w:p>
      <w:pPr>
        <w:spacing w:before="193"/>
        <w:ind w:left="1219" w:right="0" w:firstLine="0"/>
        <w:jc w:val="both"/>
        <w:rPr>
          <w:sz w:val="22"/>
        </w:rPr>
      </w:pPr>
      <w:bookmarkStart w:name="State’s Management" w:id="1525"/>
      <w:bookmarkEnd w:id="1525"/>
      <w:r>
        <w:rPr/>
      </w:r>
      <w:r>
        <w:rPr>
          <w:color w:val="1F3762"/>
          <w:sz w:val="22"/>
        </w:rPr>
        <w:t>State’s</w:t>
      </w:r>
      <w:r>
        <w:rPr>
          <w:color w:val="1F3762"/>
          <w:spacing w:val="-4"/>
          <w:sz w:val="22"/>
        </w:rPr>
        <w:t> </w:t>
      </w:r>
      <w:r>
        <w:rPr>
          <w:color w:val="1F3762"/>
          <w:spacing w:val="-2"/>
          <w:sz w:val="22"/>
        </w:rPr>
        <w:t>Management</w:t>
      </w:r>
    </w:p>
    <w:p>
      <w:pPr>
        <w:spacing w:line="259" w:lineRule="auto" w:before="1"/>
        <w:ind w:left="1219" w:right="1093" w:firstLine="0"/>
        <w:jc w:val="both"/>
        <w:rPr>
          <w:sz w:val="22"/>
        </w:rPr>
      </w:pPr>
      <w:r>
        <w:rPr>
          <w:sz w:val="22"/>
        </w:rPr>
        <w:t>The State will select funding recipients, and conduct robust monitoring and assessment of the semiannual progress reports through reviewing progress, successes, challenges, and accountability measures. Awardees’ accountability will be evaluated by whether the projects were completed, and whether performance on the accountability metrics, set out prior to the project’s implementation, was adequate. If the project was not completed, or performance on the metrics was inadequate, the State, in consultation with the awardee, will determine appropriate recourse, which may include corrective action plans, termination</w:t>
      </w:r>
      <w:r>
        <w:rPr>
          <w:spacing w:val="-10"/>
          <w:sz w:val="22"/>
        </w:rPr>
        <w:t> </w:t>
      </w:r>
      <w:r>
        <w:rPr>
          <w:sz w:val="22"/>
        </w:rPr>
        <w:t>from</w:t>
      </w:r>
      <w:r>
        <w:rPr>
          <w:spacing w:val="-11"/>
          <w:sz w:val="22"/>
        </w:rPr>
        <w:t> </w:t>
      </w:r>
      <w:r>
        <w:rPr>
          <w:sz w:val="22"/>
        </w:rPr>
        <w:t>the</w:t>
      </w:r>
      <w:r>
        <w:rPr>
          <w:spacing w:val="-9"/>
          <w:sz w:val="22"/>
        </w:rPr>
        <w:t> </w:t>
      </w:r>
      <w:r>
        <w:rPr>
          <w:sz w:val="22"/>
        </w:rPr>
        <w:t>investment</w:t>
      </w:r>
      <w:r>
        <w:rPr>
          <w:spacing w:val="-6"/>
          <w:sz w:val="22"/>
        </w:rPr>
        <w:t> </w:t>
      </w:r>
      <w:r>
        <w:rPr>
          <w:sz w:val="22"/>
        </w:rPr>
        <w:t>program,</w:t>
      </w:r>
      <w:r>
        <w:rPr>
          <w:spacing w:val="-7"/>
          <w:sz w:val="22"/>
        </w:rPr>
        <w:t> </w:t>
      </w:r>
      <w:r>
        <w:rPr>
          <w:sz w:val="22"/>
        </w:rPr>
        <w:t>barring</w:t>
      </w:r>
      <w:r>
        <w:rPr>
          <w:spacing w:val="-10"/>
          <w:sz w:val="22"/>
        </w:rPr>
        <w:t> </w:t>
      </w:r>
      <w:r>
        <w:rPr>
          <w:sz w:val="22"/>
        </w:rPr>
        <w:t>providers</w:t>
      </w:r>
      <w:r>
        <w:rPr>
          <w:spacing w:val="-9"/>
          <w:sz w:val="22"/>
        </w:rPr>
        <w:t> </w:t>
      </w:r>
      <w:r>
        <w:rPr>
          <w:sz w:val="22"/>
        </w:rPr>
        <w:t>from</w:t>
      </w:r>
      <w:r>
        <w:rPr>
          <w:spacing w:val="-11"/>
          <w:sz w:val="22"/>
        </w:rPr>
        <w:t> </w:t>
      </w:r>
      <w:r>
        <w:rPr>
          <w:sz w:val="22"/>
        </w:rPr>
        <w:t>applying</w:t>
      </w:r>
      <w:r>
        <w:rPr>
          <w:spacing w:val="-10"/>
          <w:sz w:val="22"/>
        </w:rPr>
        <w:t> </w:t>
      </w:r>
      <w:r>
        <w:rPr>
          <w:sz w:val="22"/>
        </w:rPr>
        <w:t>for</w:t>
      </w:r>
      <w:r>
        <w:rPr>
          <w:spacing w:val="-9"/>
          <w:sz w:val="22"/>
        </w:rPr>
        <w:t> </w:t>
      </w:r>
      <w:r>
        <w:rPr>
          <w:sz w:val="22"/>
        </w:rPr>
        <w:t>future</w:t>
      </w:r>
      <w:r>
        <w:rPr>
          <w:spacing w:val="-7"/>
          <w:sz w:val="22"/>
        </w:rPr>
        <w:t> </w:t>
      </w:r>
      <w:r>
        <w:rPr>
          <w:sz w:val="22"/>
        </w:rPr>
        <w:t>Statewide</w:t>
      </w:r>
      <w:r>
        <w:rPr>
          <w:spacing w:val="-7"/>
          <w:sz w:val="22"/>
        </w:rPr>
        <w:t> </w:t>
      </w:r>
      <w:r>
        <w:rPr>
          <w:sz w:val="22"/>
        </w:rPr>
        <w:t>Investment funding, recoupment of funds, or other contract management activities (e.g., working</w:t>
      </w:r>
      <w:r>
        <w:rPr>
          <w:spacing w:val="-1"/>
          <w:sz w:val="22"/>
        </w:rPr>
        <w:t> </w:t>
      </w:r>
      <w:r>
        <w:rPr>
          <w:sz w:val="22"/>
        </w:rPr>
        <w:t>collaboratively</w:t>
      </w:r>
      <w:r>
        <w:rPr>
          <w:spacing w:val="-1"/>
          <w:sz w:val="22"/>
        </w:rPr>
        <w:t> </w:t>
      </w:r>
      <w:r>
        <w:rPr>
          <w:sz w:val="22"/>
        </w:rPr>
        <w:t>with the awardee to identify and implement new strategies to meet the project goals, or renegotiating the awardee’s responsibilities or the project’s goals to achieve partial success, as appropriate).</w:t>
      </w:r>
    </w:p>
    <w:p>
      <w:pPr>
        <w:spacing w:after="0" w:line="259" w:lineRule="auto"/>
        <w:jc w:val="both"/>
        <w:rPr>
          <w:sz w:val="22"/>
        </w:rPr>
        <w:sectPr>
          <w:pgSz w:w="12240" w:h="15840"/>
          <w:pgMar w:header="0" w:footer="967" w:top="1360" w:bottom="1160" w:left="220" w:right="340"/>
        </w:sectPr>
      </w:pPr>
    </w:p>
    <w:p>
      <w:pPr>
        <w:pStyle w:val="BodyText"/>
        <w:spacing w:before="10"/>
        <w:rPr>
          <w:sz w:val="22"/>
        </w:rPr>
      </w:pPr>
    </w:p>
    <w:p>
      <w:pPr>
        <w:pStyle w:val="Heading1"/>
        <w:spacing w:line="242" w:lineRule="auto" w:before="89"/>
        <w:ind w:right="1111"/>
      </w:pPr>
      <w:bookmarkStart w:name="Appendix C: Example Calculation of State" w:id="1526"/>
      <w:bookmarkEnd w:id="1526"/>
      <w:r>
        <w:rPr>
          <w:b w:val="0"/>
        </w:rPr>
      </w:r>
      <w:bookmarkStart w:name="_bookmark131" w:id="1527"/>
      <w:bookmarkEnd w:id="1527"/>
      <w:r>
        <w:rPr>
          <w:b w:val="0"/>
        </w:rPr>
      </w:r>
      <w:r>
        <w:rPr>
          <w:color w:val="2E5395"/>
        </w:rPr>
        <w:t>Appendix</w:t>
      </w:r>
      <w:r>
        <w:rPr>
          <w:color w:val="2E5395"/>
          <w:spacing w:val="-4"/>
        </w:rPr>
        <w:t> </w:t>
      </w:r>
      <w:r>
        <w:rPr>
          <w:color w:val="2E5395"/>
        </w:rPr>
        <w:t>C:</w:t>
      </w:r>
      <w:r>
        <w:rPr>
          <w:color w:val="2E5395"/>
          <w:spacing w:val="-5"/>
        </w:rPr>
        <w:t> </w:t>
      </w:r>
      <w:r>
        <w:rPr>
          <w:color w:val="2E5395"/>
        </w:rPr>
        <w:t>Example</w:t>
      </w:r>
      <w:r>
        <w:rPr>
          <w:color w:val="2E5395"/>
          <w:spacing w:val="-5"/>
        </w:rPr>
        <w:t> </w:t>
      </w:r>
      <w:r>
        <w:rPr>
          <w:color w:val="2E5395"/>
        </w:rPr>
        <w:t>Calculation</w:t>
      </w:r>
      <w:r>
        <w:rPr>
          <w:color w:val="2E5395"/>
          <w:spacing w:val="-5"/>
        </w:rPr>
        <w:t> </w:t>
      </w:r>
      <w:r>
        <w:rPr>
          <w:color w:val="2E5395"/>
        </w:rPr>
        <w:t>of</w:t>
      </w:r>
      <w:r>
        <w:rPr>
          <w:color w:val="2E5395"/>
          <w:spacing w:val="-5"/>
        </w:rPr>
        <w:t> </w:t>
      </w:r>
      <w:r>
        <w:rPr>
          <w:color w:val="2E5395"/>
        </w:rPr>
        <w:t>State</w:t>
      </w:r>
      <w:r>
        <w:rPr>
          <w:color w:val="2E5395"/>
          <w:spacing w:val="-5"/>
        </w:rPr>
        <w:t> </w:t>
      </w:r>
      <w:r>
        <w:rPr>
          <w:color w:val="2E5395"/>
        </w:rPr>
        <w:t>DSRIP</w:t>
      </w:r>
      <w:r>
        <w:rPr>
          <w:color w:val="2E5395"/>
          <w:spacing w:val="-6"/>
        </w:rPr>
        <w:t> </w:t>
      </w:r>
      <w:r>
        <w:rPr>
          <w:color w:val="2E5395"/>
        </w:rPr>
        <w:t>Accountability</w:t>
      </w:r>
      <w:r>
        <w:rPr>
          <w:color w:val="2E5395"/>
          <w:spacing w:val="-4"/>
        </w:rPr>
        <w:t> </w:t>
      </w:r>
      <w:r>
        <w:rPr>
          <w:color w:val="2E5395"/>
        </w:rPr>
        <w:t>Score</w:t>
      </w:r>
      <w:r>
        <w:rPr>
          <w:color w:val="2E5395"/>
          <w:spacing w:val="-5"/>
        </w:rPr>
        <w:t> </w:t>
      </w:r>
      <w:r>
        <w:rPr>
          <w:color w:val="2E5395"/>
        </w:rPr>
        <w:t>by Accountability Domain for BP 4</w:t>
      </w:r>
    </w:p>
    <w:p>
      <w:pPr>
        <w:pStyle w:val="BodyText"/>
        <w:spacing w:before="4"/>
        <w:rPr>
          <w:b/>
          <w:sz w:val="35"/>
        </w:rPr>
      </w:pPr>
    </w:p>
    <w:p>
      <w:pPr>
        <w:spacing w:before="0"/>
        <w:ind w:left="1220" w:right="1094" w:firstLine="0"/>
        <w:jc w:val="both"/>
        <w:rPr>
          <w:sz w:val="22"/>
        </w:rPr>
      </w:pPr>
      <w:r>
        <w:rPr>
          <w:sz w:val="22"/>
        </w:rPr>
        <w:t>The following example demonstrates how the State DSRIP Accountability Score will be calculated for Budget Period 4.</w:t>
      </w:r>
      <w:r>
        <w:rPr>
          <w:spacing w:val="-2"/>
          <w:sz w:val="22"/>
        </w:rPr>
        <w:t> </w:t>
      </w:r>
      <w:r>
        <w:rPr>
          <w:sz w:val="22"/>
        </w:rPr>
        <w:t>There are</w:t>
      </w:r>
      <w:r>
        <w:rPr>
          <w:spacing w:val="-1"/>
          <w:sz w:val="22"/>
        </w:rPr>
        <w:t> </w:t>
      </w:r>
      <w:r>
        <w:rPr>
          <w:sz w:val="22"/>
        </w:rPr>
        <w:t>five steps</w:t>
      </w:r>
      <w:r>
        <w:rPr>
          <w:spacing w:val="-1"/>
          <w:sz w:val="22"/>
        </w:rPr>
        <w:t> </w:t>
      </w:r>
      <w:r>
        <w:rPr>
          <w:sz w:val="22"/>
        </w:rPr>
        <w:t>to calculate</w:t>
      </w:r>
      <w:r>
        <w:rPr>
          <w:spacing w:val="-1"/>
          <w:sz w:val="22"/>
        </w:rPr>
        <w:t> </w:t>
      </w:r>
      <w:r>
        <w:rPr>
          <w:sz w:val="22"/>
        </w:rPr>
        <w:t>how</w:t>
      </w:r>
      <w:r>
        <w:rPr>
          <w:spacing w:val="-3"/>
          <w:sz w:val="22"/>
        </w:rPr>
        <w:t> </w:t>
      </w:r>
      <w:r>
        <w:rPr>
          <w:sz w:val="22"/>
        </w:rPr>
        <w:t>much at-risk</w:t>
      </w:r>
      <w:r>
        <w:rPr>
          <w:spacing w:val="-2"/>
          <w:sz w:val="22"/>
        </w:rPr>
        <w:t> </w:t>
      </w:r>
      <w:r>
        <w:rPr>
          <w:sz w:val="22"/>
        </w:rPr>
        <w:t>funding</w:t>
      </w:r>
      <w:r>
        <w:rPr>
          <w:spacing w:val="-2"/>
          <w:sz w:val="22"/>
        </w:rPr>
        <w:t> </w:t>
      </w:r>
      <w:r>
        <w:rPr>
          <w:sz w:val="22"/>
        </w:rPr>
        <w:t>the State</w:t>
      </w:r>
      <w:r>
        <w:rPr>
          <w:spacing w:val="-1"/>
          <w:sz w:val="22"/>
        </w:rPr>
        <w:t> </w:t>
      </w:r>
      <w:r>
        <w:rPr>
          <w:sz w:val="22"/>
        </w:rPr>
        <w:t>earns in a given BP:</w:t>
      </w:r>
    </w:p>
    <w:p>
      <w:pPr>
        <w:pStyle w:val="ListParagraph"/>
        <w:numPr>
          <w:ilvl w:val="0"/>
          <w:numId w:val="110"/>
        </w:numPr>
        <w:tabs>
          <w:tab w:pos="1939" w:val="left" w:leader="none"/>
        </w:tabs>
        <w:spacing w:line="269" w:lineRule="exact" w:before="160" w:after="0"/>
        <w:ind w:left="1939" w:right="0" w:hanging="360"/>
        <w:jc w:val="left"/>
        <w:rPr>
          <w:sz w:val="22"/>
        </w:rPr>
      </w:pPr>
      <w:r>
        <w:rPr>
          <w:b/>
          <w:sz w:val="22"/>
        </w:rPr>
        <w:t>Step</w:t>
      </w:r>
      <w:r>
        <w:rPr>
          <w:b/>
          <w:spacing w:val="-8"/>
          <w:sz w:val="22"/>
        </w:rPr>
        <w:t> </w:t>
      </w:r>
      <w:r>
        <w:rPr>
          <w:b/>
          <w:sz w:val="22"/>
        </w:rPr>
        <w:t>1:</w:t>
      </w:r>
      <w:r>
        <w:rPr>
          <w:b/>
          <w:spacing w:val="-3"/>
          <w:sz w:val="22"/>
        </w:rPr>
        <w:t> </w:t>
      </w:r>
      <w:r>
        <w:rPr>
          <w:sz w:val="22"/>
        </w:rPr>
        <w:t>Calculate</w:t>
      </w:r>
      <w:r>
        <w:rPr>
          <w:spacing w:val="-6"/>
          <w:sz w:val="22"/>
        </w:rPr>
        <w:t> </w:t>
      </w:r>
      <w:r>
        <w:rPr>
          <w:sz w:val="22"/>
        </w:rPr>
        <w:t>the</w:t>
      </w:r>
      <w:r>
        <w:rPr>
          <w:spacing w:val="-4"/>
          <w:sz w:val="22"/>
        </w:rPr>
        <w:t> </w:t>
      </w:r>
      <w:r>
        <w:rPr>
          <w:sz w:val="22"/>
        </w:rPr>
        <w:t>MassHealth</w:t>
      </w:r>
      <w:r>
        <w:rPr>
          <w:spacing w:val="-4"/>
          <w:sz w:val="22"/>
        </w:rPr>
        <w:t> </w:t>
      </w:r>
      <w:r>
        <w:rPr>
          <w:sz w:val="22"/>
        </w:rPr>
        <w:t>ACO/APM</w:t>
      </w:r>
      <w:r>
        <w:rPr>
          <w:spacing w:val="-4"/>
          <w:sz w:val="22"/>
        </w:rPr>
        <w:t> </w:t>
      </w:r>
      <w:r>
        <w:rPr>
          <w:sz w:val="22"/>
        </w:rPr>
        <w:t>Adoption</w:t>
      </w:r>
      <w:r>
        <w:rPr>
          <w:spacing w:val="-4"/>
          <w:sz w:val="22"/>
        </w:rPr>
        <w:t> </w:t>
      </w:r>
      <w:r>
        <w:rPr>
          <w:sz w:val="22"/>
        </w:rPr>
        <w:t>Rate</w:t>
      </w:r>
      <w:r>
        <w:rPr>
          <w:spacing w:val="-4"/>
          <w:sz w:val="22"/>
        </w:rPr>
        <w:t> </w:t>
      </w:r>
      <w:r>
        <w:rPr>
          <w:spacing w:val="-2"/>
          <w:sz w:val="22"/>
        </w:rPr>
        <w:t>Score</w:t>
      </w:r>
    </w:p>
    <w:p>
      <w:pPr>
        <w:pStyle w:val="ListParagraph"/>
        <w:numPr>
          <w:ilvl w:val="0"/>
          <w:numId w:val="110"/>
        </w:numPr>
        <w:tabs>
          <w:tab w:pos="1940" w:val="left" w:leader="none"/>
        </w:tabs>
        <w:spacing w:line="269" w:lineRule="exact" w:before="0" w:after="0"/>
        <w:ind w:left="1940" w:right="0" w:hanging="360"/>
        <w:jc w:val="left"/>
        <w:rPr>
          <w:sz w:val="22"/>
        </w:rPr>
      </w:pPr>
      <w:r>
        <w:rPr>
          <w:b/>
          <w:sz w:val="22"/>
        </w:rPr>
        <w:t>Step</w:t>
      </w:r>
      <w:r>
        <w:rPr>
          <w:b/>
          <w:spacing w:val="-4"/>
          <w:sz w:val="22"/>
        </w:rPr>
        <w:t> </w:t>
      </w:r>
      <w:r>
        <w:rPr>
          <w:b/>
          <w:sz w:val="22"/>
        </w:rPr>
        <w:t>2:</w:t>
      </w:r>
      <w:r>
        <w:rPr>
          <w:b/>
          <w:spacing w:val="-2"/>
          <w:sz w:val="22"/>
        </w:rPr>
        <w:t> </w:t>
      </w:r>
      <w:r>
        <w:rPr>
          <w:sz w:val="22"/>
        </w:rPr>
        <w:t>Calculate</w:t>
      </w:r>
      <w:r>
        <w:rPr>
          <w:spacing w:val="-4"/>
          <w:sz w:val="22"/>
        </w:rPr>
        <w:t> </w:t>
      </w:r>
      <w:r>
        <w:rPr>
          <w:sz w:val="22"/>
        </w:rPr>
        <w:t>the</w:t>
      </w:r>
      <w:r>
        <w:rPr>
          <w:spacing w:val="-3"/>
          <w:sz w:val="22"/>
        </w:rPr>
        <w:t> </w:t>
      </w:r>
      <w:r>
        <w:rPr>
          <w:sz w:val="22"/>
        </w:rPr>
        <w:t>Reduction</w:t>
      </w:r>
      <w:r>
        <w:rPr>
          <w:spacing w:val="-3"/>
          <w:sz w:val="22"/>
        </w:rPr>
        <w:t> </w:t>
      </w:r>
      <w:r>
        <w:rPr>
          <w:sz w:val="22"/>
        </w:rPr>
        <w:t>in</w:t>
      </w:r>
      <w:r>
        <w:rPr>
          <w:spacing w:val="-5"/>
          <w:sz w:val="22"/>
        </w:rPr>
        <w:t> </w:t>
      </w:r>
      <w:r>
        <w:rPr>
          <w:sz w:val="22"/>
        </w:rPr>
        <w:t>Spending</w:t>
      </w:r>
      <w:r>
        <w:rPr>
          <w:spacing w:val="-6"/>
          <w:sz w:val="22"/>
        </w:rPr>
        <w:t> </w:t>
      </w:r>
      <w:r>
        <w:rPr>
          <w:sz w:val="22"/>
        </w:rPr>
        <w:t>Growth</w:t>
      </w:r>
      <w:r>
        <w:rPr>
          <w:spacing w:val="-5"/>
          <w:sz w:val="22"/>
        </w:rPr>
        <w:t> </w:t>
      </w:r>
      <w:r>
        <w:rPr>
          <w:spacing w:val="-2"/>
          <w:sz w:val="22"/>
        </w:rPr>
        <w:t>Score</w:t>
      </w:r>
    </w:p>
    <w:p>
      <w:pPr>
        <w:pStyle w:val="ListParagraph"/>
        <w:numPr>
          <w:ilvl w:val="0"/>
          <w:numId w:val="110"/>
        </w:numPr>
        <w:tabs>
          <w:tab w:pos="1940" w:val="left" w:leader="none"/>
        </w:tabs>
        <w:spacing w:line="269" w:lineRule="exact" w:before="0" w:after="0"/>
        <w:ind w:left="1940" w:right="0" w:hanging="360"/>
        <w:jc w:val="left"/>
        <w:rPr>
          <w:sz w:val="22"/>
        </w:rPr>
      </w:pPr>
      <w:r>
        <w:rPr>
          <w:b/>
          <w:sz w:val="22"/>
        </w:rPr>
        <w:t>Step</w:t>
      </w:r>
      <w:r>
        <w:rPr>
          <w:b/>
          <w:spacing w:val="-6"/>
          <w:sz w:val="22"/>
        </w:rPr>
        <w:t> </w:t>
      </w:r>
      <w:r>
        <w:rPr>
          <w:b/>
          <w:sz w:val="22"/>
        </w:rPr>
        <w:t>3:</w:t>
      </w:r>
      <w:r>
        <w:rPr>
          <w:b/>
          <w:spacing w:val="-4"/>
          <w:sz w:val="22"/>
        </w:rPr>
        <w:t> </w:t>
      </w:r>
      <w:r>
        <w:rPr>
          <w:sz w:val="22"/>
        </w:rPr>
        <w:t>Calculate</w:t>
      </w:r>
      <w:r>
        <w:rPr>
          <w:spacing w:val="-6"/>
          <w:sz w:val="22"/>
        </w:rPr>
        <w:t> </w:t>
      </w:r>
      <w:r>
        <w:rPr>
          <w:sz w:val="22"/>
        </w:rPr>
        <w:t>the</w:t>
      </w:r>
      <w:r>
        <w:rPr>
          <w:spacing w:val="-5"/>
          <w:sz w:val="22"/>
        </w:rPr>
        <w:t> </w:t>
      </w:r>
      <w:r>
        <w:rPr>
          <w:sz w:val="22"/>
        </w:rPr>
        <w:t>Overall</w:t>
      </w:r>
      <w:r>
        <w:rPr>
          <w:spacing w:val="-4"/>
          <w:sz w:val="22"/>
        </w:rPr>
        <w:t> </w:t>
      </w:r>
      <w:r>
        <w:rPr>
          <w:sz w:val="22"/>
        </w:rPr>
        <w:t>Statewide</w:t>
      </w:r>
      <w:r>
        <w:rPr>
          <w:spacing w:val="-4"/>
          <w:sz w:val="22"/>
        </w:rPr>
        <w:t> </w:t>
      </w:r>
      <w:r>
        <w:rPr>
          <w:sz w:val="22"/>
        </w:rPr>
        <w:t>Quality</w:t>
      </w:r>
      <w:r>
        <w:rPr>
          <w:spacing w:val="-8"/>
          <w:sz w:val="22"/>
        </w:rPr>
        <w:t> </w:t>
      </w:r>
      <w:r>
        <w:rPr>
          <w:sz w:val="22"/>
        </w:rPr>
        <w:t>Performance</w:t>
      </w:r>
      <w:r>
        <w:rPr>
          <w:spacing w:val="-4"/>
          <w:sz w:val="22"/>
        </w:rPr>
        <w:t> </w:t>
      </w:r>
      <w:r>
        <w:rPr>
          <w:spacing w:val="-2"/>
          <w:sz w:val="22"/>
        </w:rPr>
        <w:t>Score</w:t>
      </w:r>
    </w:p>
    <w:p>
      <w:pPr>
        <w:pStyle w:val="ListParagraph"/>
        <w:numPr>
          <w:ilvl w:val="0"/>
          <w:numId w:val="110"/>
        </w:numPr>
        <w:tabs>
          <w:tab w:pos="1940" w:val="left" w:leader="none"/>
        </w:tabs>
        <w:spacing w:line="240" w:lineRule="auto" w:before="0" w:after="0"/>
        <w:ind w:left="1940" w:right="1099" w:hanging="361"/>
        <w:jc w:val="left"/>
        <w:rPr>
          <w:sz w:val="22"/>
        </w:rPr>
      </w:pPr>
      <w:r>
        <w:rPr>
          <w:b/>
          <w:sz w:val="22"/>
        </w:rPr>
        <w:t>Step</w:t>
      </w:r>
      <w:r>
        <w:rPr>
          <w:b/>
          <w:spacing w:val="38"/>
          <w:sz w:val="22"/>
        </w:rPr>
        <w:t> </w:t>
      </w:r>
      <w:r>
        <w:rPr>
          <w:b/>
          <w:sz w:val="22"/>
        </w:rPr>
        <w:t>4:</w:t>
      </w:r>
      <w:r>
        <w:rPr>
          <w:b/>
          <w:spacing w:val="39"/>
          <w:sz w:val="22"/>
        </w:rPr>
        <w:t> </w:t>
      </w:r>
      <w:r>
        <w:rPr>
          <w:sz w:val="22"/>
        </w:rPr>
        <w:t>Using</w:t>
      </w:r>
      <w:r>
        <w:rPr>
          <w:spacing w:val="36"/>
          <w:sz w:val="22"/>
        </w:rPr>
        <w:t> </w:t>
      </w:r>
      <w:r>
        <w:rPr>
          <w:sz w:val="22"/>
        </w:rPr>
        <w:t>the</w:t>
      </w:r>
      <w:r>
        <w:rPr>
          <w:spacing w:val="37"/>
          <w:sz w:val="22"/>
        </w:rPr>
        <w:t> </w:t>
      </w:r>
      <w:r>
        <w:rPr>
          <w:sz w:val="22"/>
        </w:rPr>
        <w:t>three</w:t>
      </w:r>
      <w:r>
        <w:rPr>
          <w:spacing w:val="37"/>
          <w:sz w:val="22"/>
        </w:rPr>
        <w:t> </w:t>
      </w:r>
      <w:r>
        <w:rPr>
          <w:sz w:val="22"/>
        </w:rPr>
        <w:t>scores</w:t>
      </w:r>
      <w:r>
        <w:rPr>
          <w:spacing w:val="39"/>
          <w:sz w:val="22"/>
        </w:rPr>
        <w:t> </w:t>
      </w:r>
      <w:r>
        <w:rPr>
          <w:sz w:val="22"/>
        </w:rPr>
        <w:t>calculated</w:t>
      </w:r>
      <w:r>
        <w:rPr>
          <w:spacing w:val="36"/>
          <w:sz w:val="22"/>
        </w:rPr>
        <w:t> </w:t>
      </w:r>
      <w:r>
        <w:rPr>
          <w:sz w:val="22"/>
        </w:rPr>
        <w:t>in</w:t>
      </w:r>
      <w:r>
        <w:rPr>
          <w:spacing w:val="39"/>
          <w:sz w:val="22"/>
        </w:rPr>
        <w:t> </w:t>
      </w:r>
      <w:r>
        <w:rPr>
          <w:sz w:val="22"/>
        </w:rPr>
        <w:t>Steps</w:t>
      </w:r>
      <w:r>
        <w:rPr>
          <w:spacing w:val="37"/>
          <w:sz w:val="22"/>
        </w:rPr>
        <w:t> </w:t>
      </w:r>
      <w:r>
        <w:rPr>
          <w:sz w:val="22"/>
        </w:rPr>
        <w:t>1</w:t>
      </w:r>
      <w:r>
        <w:rPr>
          <w:spacing w:val="39"/>
          <w:sz w:val="22"/>
        </w:rPr>
        <w:t> </w:t>
      </w:r>
      <w:r>
        <w:rPr>
          <w:sz w:val="22"/>
        </w:rPr>
        <w:t>through</w:t>
      </w:r>
      <w:r>
        <w:rPr>
          <w:spacing w:val="39"/>
          <w:sz w:val="22"/>
        </w:rPr>
        <w:t> </w:t>
      </w:r>
      <w:r>
        <w:rPr>
          <w:sz w:val="22"/>
        </w:rPr>
        <w:t>3</w:t>
      </w:r>
      <w:r>
        <w:rPr>
          <w:spacing w:val="39"/>
          <w:sz w:val="22"/>
        </w:rPr>
        <w:t> </w:t>
      </w:r>
      <w:r>
        <w:rPr>
          <w:sz w:val="22"/>
        </w:rPr>
        <w:t>to</w:t>
      </w:r>
      <w:r>
        <w:rPr>
          <w:spacing w:val="36"/>
          <w:sz w:val="22"/>
        </w:rPr>
        <w:t> </w:t>
      </w:r>
      <w:r>
        <w:rPr>
          <w:sz w:val="22"/>
        </w:rPr>
        <w:t>calculate</w:t>
      </w:r>
      <w:r>
        <w:rPr>
          <w:spacing w:val="37"/>
          <w:sz w:val="22"/>
        </w:rPr>
        <w:t> </w:t>
      </w:r>
      <w:r>
        <w:rPr>
          <w:sz w:val="22"/>
        </w:rPr>
        <w:t>the</w:t>
      </w:r>
      <w:r>
        <w:rPr>
          <w:spacing w:val="39"/>
          <w:sz w:val="22"/>
        </w:rPr>
        <w:t> </w:t>
      </w:r>
      <w:r>
        <w:rPr>
          <w:sz w:val="22"/>
        </w:rPr>
        <w:t>State</w:t>
      </w:r>
      <w:r>
        <w:rPr>
          <w:spacing w:val="37"/>
          <w:sz w:val="22"/>
        </w:rPr>
        <w:t> </w:t>
      </w:r>
      <w:r>
        <w:rPr>
          <w:sz w:val="22"/>
        </w:rPr>
        <w:t>DSRIP Accountability Score</w:t>
      </w:r>
    </w:p>
    <w:p>
      <w:pPr>
        <w:pStyle w:val="ListParagraph"/>
        <w:numPr>
          <w:ilvl w:val="0"/>
          <w:numId w:val="110"/>
        </w:numPr>
        <w:tabs>
          <w:tab w:pos="1940" w:val="left" w:leader="none"/>
        </w:tabs>
        <w:spacing w:line="240" w:lineRule="auto" w:before="0" w:after="0"/>
        <w:ind w:left="1940" w:right="0" w:hanging="360"/>
        <w:jc w:val="left"/>
        <w:rPr>
          <w:sz w:val="22"/>
        </w:rPr>
      </w:pPr>
      <w:r>
        <w:rPr>
          <w:b/>
          <w:sz w:val="22"/>
        </w:rPr>
        <w:t>Step</w:t>
      </w:r>
      <w:r>
        <w:rPr>
          <w:b/>
          <w:spacing w:val="-4"/>
          <w:sz w:val="22"/>
        </w:rPr>
        <w:t> </w:t>
      </w:r>
      <w:r>
        <w:rPr>
          <w:b/>
          <w:sz w:val="22"/>
        </w:rPr>
        <w:t>5:</w:t>
      </w:r>
      <w:r>
        <w:rPr>
          <w:b/>
          <w:spacing w:val="-2"/>
          <w:sz w:val="22"/>
        </w:rPr>
        <w:t> </w:t>
      </w:r>
      <w:r>
        <w:rPr>
          <w:sz w:val="22"/>
        </w:rPr>
        <w:t>Use</w:t>
      </w:r>
      <w:r>
        <w:rPr>
          <w:spacing w:val="-5"/>
          <w:sz w:val="22"/>
        </w:rPr>
        <w:t> </w:t>
      </w:r>
      <w:r>
        <w:rPr>
          <w:sz w:val="22"/>
        </w:rPr>
        <w:t>the</w:t>
      </w:r>
      <w:r>
        <w:rPr>
          <w:spacing w:val="-3"/>
          <w:sz w:val="22"/>
        </w:rPr>
        <w:t> </w:t>
      </w:r>
      <w:r>
        <w:rPr>
          <w:sz w:val="22"/>
        </w:rPr>
        <w:t>State</w:t>
      </w:r>
      <w:r>
        <w:rPr>
          <w:spacing w:val="-3"/>
          <w:sz w:val="22"/>
        </w:rPr>
        <w:t> </w:t>
      </w:r>
      <w:r>
        <w:rPr>
          <w:sz w:val="22"/>
        </w:rPr>
        <w:t>DSRIP</w:t>
      </w:r>
      <w:r>
        <w:rPr>
          <w:spacing w:val="-4"/>
          <w:sz w:val="22"/>
        </w:rPr>
        <w:t> </w:t>
      </w:r>
      <w:r>
        <w:rPr>
          <w:sz w:val="22"/>
        </w:rPr>
        <w:t>Accountability</w:t>
      </w:r>
      <w:r>
        <w:rPr>
          <w:spacing w:val="-5"/>
          <w:sz w:val="22"/>
        </w:rPr>
        <w:t> </w:t>
      </w:r>
      <w:r>
        <w:rPr>
          <w:sz w:val="22"/>
        </w:rPr>
        <w:t>Score</w:t>
      </w:r>
      <w:r>
        <w:rPr>
          <w:spacing w:val="-3"/>
          <w:sz w:val="22"/>
        </w:rPr>
        <w:t> </w:t>
      </w:r>
      <w:r>
        <w:rPr>
          <w:sz w:val="22"/>
        </w:rPr>
        <w:t>to</w:t>
      </w:r>
      <w:r>
        <w:rPr>
          <w:spacing w:val="-6"/>
          <w:sz w:val="22"/>
        </w:rPr>
        <w:t> </w:t>
      </w:r>
      <w:r>
        <w:rPr>
          <w:sz w:val="22"/>
        </w:rPr>
        <w:t>determine</w:t>
      </w:r>
      <w:r>
        <w:rPr>
          <w:spacing w:val="-3"/>
          <w:sz w:val="22"/>
        </w:rPr>
        <w:t> </w:t>
      </w:r>
      <w:r>
        <w:rPr>
          <w:sz w:val="22"/>
        </w:rPr>
        <w:t>earned</w:t>
      </w:r>
      <w:r>
        <w:rPr>
          <w:spacing w:val="-6"/>
          <w:sz w:val="22"/>
        </w:rPr>
        <w:t> </w:t>
      </w:r>
      <w:r>
        <w:rPr>
          <w:sz w:val="22"/>
        </w:rPr>
        <w:t>at-risk</w:t>
      </w:r>
      <w:r>
        <w:rPr>
          <w:spacing w:val="-5"/>
          <w:sz w:val="22"/>
        </w:rPr>
        <w:t> </w:t>
      </w:r>
      <w:r>
        <w:rPr>
          <w:spacing w:val="-2"/>
          <w:sz w:val="22"/>
        </w:rPr>
        <w:t>funds</w:t>
      </w:r>
    </w:p>
    <w:p>
      <w:pPr>
        <w:pStyle w:val="BodyText"/>
        <w:rPr>
          <w:sz w:val="26"/>
        </w:rPr>
      </w:pPr>
    </w:p>
    <w:p>
      <w:pPr>
        <w:pStyle w:val="Heading2"/>
        <w:spacing w:before="154"/>
        <w:ind w:left="1220" w:firstLine="0"/>
      </w:pPr>
      <w:bookmarkStart w:name="Step 1: Calculate the MassHealth ACO/APM" w:id="1528"/>
      <w:bookmarkEnd w:id="1528"/>
      <w:r>
        <w:rPr>
          <w:b w:val="0"/>
        </w:rPr>
      </w:r>
      <w:bookmarkStart w:name="_bookmark132" w:id="1529"/>
      <w:bookmarkEnd w:id="1529"/>
      <w:r>
        <w:rPr>
          <w:b w:val="0"/>
        </w:rPr>
      </w:r>
      <w:r>
        <w:rPr>
          <w:color w:val="4471C4"/>
        </w:rPr>
        <w:t>Step</w:t>
      </w:r>
      <w:r>
        <w:rPr>
          <w:color w:val="4471C4"/>
          <w:spacing w:val="-8"/>
        </w:rPr>
        <w:t> </w:t>
      </w:r>
      <w:r>
        <w:rPr>
          <w:color w:val="4471C4"/>
        </w:rPr>
        <w:t>1:</w:t>
      </w:r>
      <w:r>
        <w:rPr>
          <w:color w:val="4471C4"/>
          <w:spacing w:val="-7"/>
        </w:rPr>
        <w:t> </w:t>
      </w:r>
      <w:r>
        <w:rPr>
          <w:color w:val="4471C4"/>
        </w:rPr>
        <w:t>Calculate</w:t>
      </w:r>
      <w:r>
        <w:rPr>
          <w:color w:val="4471C4"/>
          <w:spacing w:val="-5"/>
        </w:rPr>
        <w:t> </w:t>
      </w:r>
      <w:r>
        <w:rPr>
          <w:color w:val="4471C4"/>
        </w:rPr>
        <w:t>the</w:t>
      </w:r>
      <w:r>
        <w:rPr>
          <w:color w:val="4471C4"/>
          <w:spacing w:val="-4"/>
        </w:rPr>
        <w:t> </w:t>
      </w:r>
      <w:r>
        <w:rPr>
          <w:color w:val="4471C4"/>
        </w:rPr>
        <w:t>MassHealth</w:t>
      </w:r>
      <w:r>
        <w:rPr>
          <w:color w:val="4471C4"/>
          <w:spacing w:val="-7"/>
        </w:rPr>
        <w:t> </w:t>
      </w:r>
      <w:r>
        <w:rPr>
          <w:color w:val="4471C4"/>
        </w:rPr>
        <w:t>ACO/APM</w:t>
      </w:r>
      <w:r>
        <w:rPr>
          <w:color w:val="4471C4"/>
          <w:spacing w:val="-8"/>
        </w:rPr>
        <w:t> </w:t>
      </w:r>
      <w:r>
        <w:rPr>
          <w:color w:val="4471C4"/>
        </w:rPr>
        <w:t>Adoption</w:t>
      </w:r>
      <w:r>
        <w:rPr>
          <w:color w:val="4471C4"/>
          <w:spacing w:val="-7"/>
        </w:rPr>
        <w:t> </w:t>
      </w:r>
      <w:r>
        <w:rPr>
          <w:color w:val="4471C4"/>
        </w:rPr>
        <w:t>Rate</w:t>
      </w:r>
      <w:r>
        <w:rPr>
          <w:color w:val="4471C4"/>
          <w:spacing w:val="-7"/>
        </w:rPr>
        <w:t> </w:t>
      </w:r>
      <w:r>
        <w:rPr>
          <w:color w:val="4471C4"/>
        </w:rPr>
        <w:t>Score</w:t>
      </w:r>
      <w:r>
        <w:rPr>
          <w:color w:val="4471C4"/>
          <w:spacing w:val="-7"/>
        </w:rPr>
        <w:t> </w:t>
      </w:r>
      <w:r>
        <w:rPr>
          <w:color w:val="4471C4"/>
        </w:rPr>
        <w:t>for</w:t>
      </w:r>
      <w:r>
        <w:rPr>
          <w:color w:val="4471C4"/>
          <w:spacing w:val="-7"/>
        </w:rPr>
        <w:t> </w:t>
      </w:r>
      <w:r>
        <w:rPr>
          <w:color w:val="4471C4"/>
        </w:rPr>
        <w:t>BP</w:t>
      </w:r>
      <w:r>
        <w:rPr>
          <w:color w:val="4471C4"/>
          <w:spacing w:val="-8"/>
        </w:rPr>
        <w:t> </w:t>
      </w:r>
      <w:r>
        <w:rPr>
          <w:color w:val="4471C4"/>
          <w:spacing w:val="-10"/>
        </w:rPr>
        <w:t>4</w:t>
      </w:r>
    </w:p>
    <w:p>
      <w:pPr>
        <w:spacing w:line="242" w:lineRule="auto" w:before="0"/>
        <w:ind w:left="1220" w:right="1095" w:firstLine="0"/>
        <w:jc w:val="both"/>
        <w:rPr>
          <w:sz w:val="22"/>
        </w:rPr>
      </w:pPr>
      <w:r>
        <w:rPr>
          <w:sz w:val="22"/>
        </w:rPr>
        <w:t>For</w:t>
      </w:r>
      <w:r>
        <w:rPr>
          <w:spacing w:val="-1"/>
          <w:sz w:val="22"/>
        </w:rPr>
        <w:t> </w:t>
      </w:r>
      <w:r>
        <w:rPr>
          <w:sz w:val="22"/>
        </w:rPr>
        <w:t>the</w:t>
      </w:r>
      <w:r>
        <w:rPr>
          <w:spacing w:val="-2"/>
          <w:sz w:val="22"/>
        </w:rPr>
        <w:t> </w:t>
      </w:r>
      <w:r>
        <w:rPr>
          <w:sz w:val="22"/>
        </w:rPr>
        <w:t>ACO/APM</w:t>
      </w:r>
      <w:r>
        <w:rPr>
          <w:spacing w:val="-2"/>
          <w:sz w:val="22"/>
        </w:rPr>
        <w:t> </w:t>
      </w:r>
      <w:r>
        <w:rPr>
          <w:sz w:val="22"/>
        </w:rPr>
        <w:t>Adoption Rate</w:t>
      </w:r>
      <w:r>
        <w:rPr>
          <w:spacing w:val="-2"/>
          <w:sz w:val="22"/>
        </w:rPr>
        <w:t> </w:t>
      </w:r>
      <w:r>
        <w:rPr>
          <w:sz w:val="22"/>
        </w:rPr>
        <w:t>score,</w:t>
      </w:r>
      <w:r>
        <w:rPr>
          <w:spacing w:val="-2"/>
          <w:sz w:val="22"/>
        </w:rPr>
        <w:t> </w:t>
      </w:r>
      <w:r>
        <w:rPr>
          <w:sz w:val="22"/>
        </w:rPr>
        <w:t>the State will earn</w:t>
      </w:r>
      <w:r>
        <w:rPr>
          <w:spacing w:val="-2"/>
          <w:sz w:val="22"/>
        </w:rPr>
        <w:t> </w:t>
      </w:r>
      <w:r>
        <w:rPr>
          <w:sz w:val="22"/>
        </w:rPr>
        <w:t>a</w:t>
      </w:r>
      <w:r>
        <w:rPr>
          <w:spacing w:val="-2"/>
          <w:sz w:val="22"/>
        </w:rPr>
        <w:t> </w:t>
      </w:r>
      <w:r>
        <w:rPr>
          <w:sz w:val="22"/>
        </w:rPr>
        <w:t>100%</w:t>
      </w:r>
      <w:r>
        <w:rPr>
          <w:spacing w:val="-1"/>
          <w:sz w:val="22"/>
        </w:rPr>
        <w:t> </w:t>
      </w:r>
      <w:r>
        <w:rPr>
          <w:sz w:val="22"/>
        </w:rPr>
        <w:t>score</w:t>
      </w:r>
      <w:r>
        <w:rPr>
          <w:spacing w:val="-2"/>
          <w:sz w:val="22"/>
        </w:rPr>
        <w:t> </w:t>
      </w:r>
      <w:r>
        <w:rPr>
          <w:sz w:val="22"/>
        </w:rPr>
        <w:t>for</w:t>
      </w:r>
      <w:r>
        <w:rPr>
          <w:spacing w:val="-1"/>
          <w:sz w:val="22"/>
        </w:rPr>
        <w:t> </w:t>
      </w:r>
      <w:r>
        <w:rPr>
          <w:sz w:val="22"/>
        </w:rPr>
        <w:t>a given Budget Period</w:t>
      </w:r>
      <w:r>
        <w:rPr>
          <w:spacing w:val="-2"/>
          <w:sz w:val="22"/>
        </w:rPr>
        <w:t> </w:t>
      </w:r>
      <w:r>
        <w:rPr>
          <w:sz w:val="22"/>
        </w:rPr>
        <w:t>if</w:t>
      </w:r>
      <w:r>
        <w:rPr>
          <w:spacing w:val="-1"/>
          <w:sz w:val="22"/>
        </w:rPr>
        <w:t> </w:t>
      </w:r>
      <w:r>
        <w:rPr>
          <w:sz w:val="22"/>
        </w:rPr>
        <w:t>the State meets</w:t>
      </w:r>
      <w:r>
        <w:rPr>
          <w:spacing w:val="-2"/>
          <w:sz w:val="22"/>
        </w:rPr>
        <w:t> </w:t>
      </w:r>
      <w:r>
        <w:rPr>
          <w:sz w:val="22"/>
        </w:rPr>
        <w:t>or</w:t>
      </w:r>
      <w:r>
        <w:rPr>
          <w:spacing w:val="-1"/>
          <w:sz w:val="22"/>
        </w:rPr>
        <w:t> </w:t>
      </w:r>
      <w:r>
        <w:rPr>
          <w:sz w:val="22"/>
        </w:rPr>
        <w:t>surpasses</w:t>
      </w:r>
      <w:r>
        <w:rPr>
          <w:spacing w:val="-2"/>
          <w:sz w:val="22"/>
        </w:rPr>
        <w:t> </w:t>
      </w:r>
      <w:r>
        <w:rPr>
          <w:sz w:val="22"/>
        </w:rPr>
        <w:t>the target</w:t>
      </w:r>
      <w:r>
        <w:rPr>
          <w:spacing w:val="-1"/>
          <w:sz w:val="22"/>
        </w:rPr>
        <w:t> </w:t>
      </w:r>
      <w:r>
        <w:rPr>
          <w:sz w:val="22"/>
        </w:rPr>
        <w:t>for</w:t>
      </w:r>
      <w:r>
        <w:rPr>
          <w:spacing w:val="-1"/>
          <w:sz w:val="22"/>
        </w:rPr>
        <w:t> </w:t>
      </w:r>
      <w:r>
        <w:rPr>
          <w:sz w:val="22"/>
        </w:rPr>
        <w:t>that</w:t>
      </w:r>
      <w:r>
        <w:rPr>
          <w:spacing w:val="-1"/>
          <w:sz w:val="22"/>
        </w:rPr>
        <w:t> </w:t>
      </w:r>
      <w:r>
        <w:rPr>
          <w:sz w:val="22"/>
        </w:rPr>
        <w:t>Budget Period. If the State does not meet</w:t>
      </w:r>
      <w:r>
        <w:rPr>
          <w:spacing w:val="-1"/>
          <w:sz w:val="22"/>
        </w:rPr>
        <w:t> </w:t>
      </w:r>
      <w:r>
        <w:rPr>
          <w:sz w:val="22"/>
        </w:rPr>
        <w:t>the</w:t>
      </w:r>
      <w:r>
        <w:rPr>
          <w:spacing w:val="-2"/>
          <w:sz w:val="22"/>
        </w:rPr>
        <w:t> </w:t>
      </w:r>
      <w:r>
        <w:rPr>
          <w:sz w:val="22"/>
        </w:rPr>
        <w:t>target,</w:t>
      </w:r>
      <w:r>
        <w:rPr>
          <w:spacing w:val="-2"/>
          <w:sz w:val="22"/>
        </w:rPr>
        <w:t> </w:t>
      </w:r>
      <w:r>
        <w:rPr>
          <w:sz w:val="22"/>
        </w:rPr>
        <w:t>then</w:t>
      </w:r>
      <w:r>
        <w:rPr>
          <w:spacing w:val="-2"/>
          <w:sz w:val="22"/>
        </w:rPr>
        <w:t> </w:t>
      </w:r>
      <w:r>
        <w:rPr>
          <w:sz w:val="22"/>
        </w:rPr>
        <w:t>it will earn a 0% score for that Budget Period.</w:t>
      </w:r>
    </w:p>
    <w:p>
      <w:pPr>
        <w:spacing w:line="244" w:lineRule="auto" w:before="111"/>
        <w:ind w:left="1219" w:right="1099" w:firstLine="0"/>
        <w:jc w:val="both"/>
        <w:rPr>
          <w:sz w:val="22"/>
        </w:rPr>
      </w:pPr>
      <w:r>
        <w:rPr>
          <w:sz w:val="22"/>
        </w:rPr>
        <w:t>For BP 4, the State must have at least 40% of MassHealth ACO-eligible members who are enrolled in or attributed to ACOs or who receive services from providers paid under APMs, as shown below:</w:t>
      </w:r>
    </w:p>
    <w:p>
      <w:pPr>
        <w:pStyle w:val="BodyText"/>
      </w:pPr>
    </w:p>
    <w:p>
      <w:pPr>
        <w:spacing w:before="209"/>
        <w:ind w:left="1219" w:right="0" w:firstLine="0"/>
        <w:jc w:val="both"/>
        <w:rPr>
          <w:sz w:val="22"/>
        </w:rPr>
      </w:pPr>
      <w:r>
        <w:rPr/>
        <mc:AlternateContent>
          <mc:Choice Requires="wps">
            <w:drawing>
              <wp:anchor distT="0" distB="0" distL="0" distR="0" allowOverlap="1" layoutInCell="1" locked="0" behindDoc="0" simplePos="0" relativeHeight="16167936">
                <wp:simplePos x="0" y="0"/>
                <wp:positionH relativeFrom="page">
                  <wp:posOffset>914400</wp:posOffset>
                </wp:positionH>
                <wp:positionV relativeFrom="paragraph">
                  <wp:posOffset>369799</wp:posOffset>
                </wp:positionV>
                <wp:extent cx="5943600" cy="6350"/>
                <wp:effectExtent l="0" t="0" r="0" b="0"/>
                <wp:wrapNone/>
                <wp:docPr id="931" name="Graphic 931"/>
                <wp:cNvGraphicFramePr>
                  <a:graphicFrameLocks/>
                </wp:cNvGraphicFramePr>
                <a:graphic>
                  <a:graphicData uri="http://schemas.microsoft.com/office/word/2010/wordprocessingShape">
                    <wps:wsp>
                      <wps:cNvPr id="931" name="Graphic 931"/>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9.118103pt;width:468pt;height:.48pt;mso-position-horizontal-relative:page;mso-position-vertical-relative:paragraph;z-index:16167936" id="docshape146" filled="true" fillcolor="#000000" stroked="false">
                <v:fill type="solid"/>
                <w10:wrap type="none"/>
              </v:rect>
            </w:pict>
          </mc:Fallback>
        </mc:AlternateContent>
      </w:r>
      <w:r>
        <w:rPr>
          <w:b/>
          <w:sz w:val="22"/>
        </w:rPr>
        <w:t>EXHIBIT</w:t>
      </w:r>
      <w:r>
        <w:rPr>
          <w:b/>
          <w:spacing w:val="-7"/>
          <w:sz w:val="22"/>
        </w:rPr>
        <w:t> </w:t>
      </w:r>
      <w:r>
        <w:rPr>
          <w:b/>
          <w:sz w:val="22"/>
        </w:rPr>
        <w:t>A2</w:t>
      </w:r>
      <w:r>
        <w:rPr>
          <w:b/>
          <w:spacing w:val="-4"/>
          <w:sz w:val="22"/>
        </w:rPr>
        <w:t> </w:t>
      </w:r>
      <w:r>
        <w:rPr>
          <w:sz w:val="22"/>
        </w:rPr>
        <w:t>–</w:t>
      </w:r>
      <w:r>
        <w:rPr>
          <w:spacing w:val="-7"/>
          <w:sz w:val="22"/>
        </w:rPr>
        <w:t> </w:t>
      </w:r>
      <w:r>
        <w:rPr>
          <w:sz w:val="22"/>
        </w:rPr>
        <w:t>Target</w:t>
      </w:r>
      <w:r>
        <w:rPr>
          <w:spacing w:val="-3"/>
          <w:sz w:val="22"/>
        </w:rPr>
        <w:t> </w:t>
      </w:r>
      <w:r>
        <w:rPr>
          <w:sz w:val="22"/>
        </w:rPr>
        <w:t>ACO/APM</w:t>
      </w:r>
      <w:r>
        <w:rPr>
          <w:spacing w:val="-4"/>
          <w:sz w:val="22"/>
        </w:rPr>
        <w:t> </w:t>
      </w:r>
      <w:r>
        <w:rPr>
          <w:sz w:val="22"/>
        </w:rPr>
        <w:t>Adoption</w:t>
      </w:r>
      <w:r>
        <w:rPr>
          <w:spacing w:val="-4"/>
          <w:sz w:val="22"/>
        </w:rPr>
        <w:t> </w:t>
      </w:r>
      <w:r>
        <w:rPr>
          <w:sz w:val="22"/>
        </w:rPr>
        <w:t>Rates,</w:t>
      </w:r>
      <w:r>
        <w:rPr>
          <w:spacing w:val="-5"/>
          <w:sz w:val="22"/>
        </w:rPr>
        <w:t> </w:t>
      </w:r>
      <w:r>
        <w:rPr>
          <w:sz w:val="22"/>
        </w:rPr>
        <w:t>BP</w:t>
      </w:r>
      <w:r>
        <w:rPr>
          <w:spacing w:val="-4"/>
          <w:sz w:val="22"/>
        </w:rPr>
        <w:t> </w:t>
      </w:r>
      <w:r>
        <w:rPr>
          <w:spacing w:val="-10"/>
          <w:sz w:val="22"/>
        </w:rPr>
        <w:t>4</w:t>
      </w:r>
    </w:p>
    <w:p>
      <w:pPr>
        <w:pStyle w:val="BodyText"/>
        <w:spacing w:before="10"/>
        <w:rPr>
          <w:sz w:val="10"/>
        </w:rPr>
      </w:pPr>
    </w:p>
    <w:tbl>
      <w:tblPr>
        <w:tblW w:w="0" w:type="auto"/>
        <w:jc w:val="left"/>
        <w:tblInd w:w="1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3"/>
        <w:gridCol w:w="2640"/>
        <w:gridCol w:w="1068"/>
        <w:gridCol w:w="1066"/>
        <w:gridCol w:w="1068"/>
        <w:gridCol w:w="1068"/>
        <w:gridCol w:w="1066"/>
        <w:gridCol w:w="1071"/>
      </w:tblGrid>
      <w:tr>
        <w:trPr>
          <w:trHeight w:val="412" w:hRule="atLeast"/>
        </w:trPr>
        <w:tc>
          <w:tcPr>
            <w:tcW w:w="173" w:type="dxa"/>
            <w:vMerge w:val="restart"/>
            <w:tcBorders>
              <w:left w:val="nil"/>
              <w:right w:val="single" w:sz="8" w:space="0" w:color="BEBEBE"/>
            </w:tcBorders>
          </w:tcPr>
          <w:p>
            <w:pPr>
              <w:pStyle w:val="TableParagraph"/>
              <w:rPr>
                <w:sz w:val="22"/>
              </w:rPr>
            </w:pPr>
          </w:p>
        </w:tc>
        <w:tc>
          <w:tcPr>
            <w:tcW w:w="9047" w:type="dxa"/>
            <w:gridSpan w:val="7"/>
            <w:tcBorders>
              <w:top w:val="single" w:sz="8" w:space="0" w:color="BEBEBE"/>
              <w:left w:val="single" w:sz="8" w:space="0" w:color="BEBEBE"/>
              <w:bottom w:val="single" w:sz="4" w:space="0" w:color="BEBEBE"/>
              <w:right w:val="single" w:sz="8" w:space="0" w:color="BEBEBE"/>
            </w:tcBorders>
            <w:shd w:val="clear" w:color="auto" w:fill="1F487C"/>
          </w:tcPr>
          <w:p>
            <w:pPr>
              <w:pStyle w:val="TableParagraph"/>
              <w:spacing w:before="5"/>
              <w:ind w:left="107"/>
              <w:rPr>
                <w:b/>
                <w:sz w:val="20"/>
              </w:rPr>
            </w:pPr>
            <w:r>
              <w:rPr>
                <w:b/>
                <w:color w:val="FFFFFF"/>
                <w:sz w:val="20"/>
              </w:rPr>
              <w:t>Target</w:t>
            </w:r>
            <w:r>
              <w:rPr>
                <w:b/>
                <w:color w:val="FFFFFF"/>
                <w:spacing w:val="-7"/>
                <w:sz w:val="20"/>
              </w:rPr>
              <w:t> </w:t>
            </w:r>
            <w:r>
              <w:rPr>
                <w:b/>
                <w:color w:val="FFFFFF"/>
                <w:sz w:val="20"/>
              </w:rPr>
              <w:t>ACO/APM</w:t>
            </w:r>
            <w:r>
              <w:rPr>
                <w:b/>
                <w:color w:val="FFFFFF"/>
                <w:spacing w:val="-7"/>
                <w:sz w:val="20"/>
              </w:rPr>
              <w:t> </w:t>
            </w:r>
            <w:r>
              <w:rPr>
                <w:b/>
                <w:color w:val="FFFFFF"/>
                <w:sz w:val="20"/>
              </w:rPr>
              <w:t>Adoption</w:t>
            </w:r>
            <w:r>
              <w:rPr>
                <w:b/>
                <w:color w:val="FFFFFF"/>
                <w:spacing w:val="-8"/>
                <w:sz w:val="20"/>
              </w:rPr>
              <w:t> </w:t>
            </w:r>
            <w:r>
              <w:rPr>
                <w:b/>
                <w:color w:val="FFFFFF"/>
                <w:spacing w:val="-2"/>
                <w:sz w:val="20"/>
              </w:rPr>
              <w:t>Rates</w:t>
            </w:r>
          </w:p>
        </w:tc>
      </w:tr>
      <w:tr>
        <w:trPr>
          <w:trHeight w:val="657" w:hRule="atLeast"/>
        </w:trPr>
        <w:tc>
          <w:tcPr>
            <w:tcW w:w="173" w:type="dxa"/>
            <w:vMerge/>
            <w:tcBorders>
              <w:top w:val="nil"/>
              <w:left w:val="nil"/>
              <w:right w:val="single" w:sz="8" w:space="0" w:color="BEBEBE"/>
            </w:tcBorders>
          </w:tcPr>
          <w:p>
            <w:pPr>
              <w:rPr>
                <w:sz w:val="2"/>
                <w:szCs w:val="2"/>
              </w:rPr>
            </w:pPr>
          </w:p>
        </w:tc>
        <w:tc>
          <w:tcPr>
            <w:tcW w:w="2640" w:type="dxa"/>
            <w:tcBorders>
              <w:top w:val="single" w:sz="4" w:space="0" w:color="BEBEBE"/>
              <w:left w:val="single" w:sz="8" w:space="0" w:color="BEBEBE"/>
              <w:bottom w:val="single" w:sz="4" w:space="0" w:color="BEBEBE"/>
              <w:right w:val="single" w:sz="4" w:space="0" w:color="BEBEBE"/>
            </w:tcBorders>
            <w:shd w:val="clear" w:color="auto" w:fill="D9D9D9"/>
          </w:tcPr>
          <w:p>
            <w:pPr>
              <w:pStyle w:val="TableParagraph"/>
              <w:spacing w:before="2"/>
              <w:ind w:left="107"/>
              <w:rPr>
                <w:b/>
                <w:sz w:val="20"/>
              </w:rPr>
            </w:pPr>
            <w:r>
              <w:rPr>
                <w:b/>
                <w:color w:val="7E7E7E"/>
                <w:sz w:val="20"/>
              </w:rPr>
              <w:t>DSRIP</w:t>
            </w:r>
            <w:r>
              <w:rPr>
                <w:b/>
                <w:color w:val="7E7E7E"/>
                <w:spacing w:val="-7"/>
                <w:sz w:val="20"/>
              </w:rPr>
              <w:t> </w:t>
            </w:r>
            <w:r>
              <w:rPr>
                <w:b/>
                <w:color w:val="7E7E7E"/>
                <w:sz w:val="20"/>
              </w:rPr>
              <w:t>Budget</w:t>
            </w:r>
            <w:r>
              <w:rPr>
                <w:b/>
                <w:color w:val="7E7E7E"/>
                <w:spacing w:val="-6"/>
                <w:sz w:val="20"/>
              </w:rPr>
              <w:t> </w:t>
            </w:r>
            <w:r>
              <w:rPr>
                <w:b/>
                <w:color w:val="7E7E7E"/>
                <w:spacing w:val="-2"/>
                <w:sz w:val="20"/>
              </w:rPr>
              <w:t>Period</w:t>
            </w:r>
          </w:p>
        </w:tc>
        <w:tc>
          <w:tcPr>
            <w:tcW w:w="1068"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line="256" w:lineRule="auto" w:before="2"/>
              <w:ind w:left="112" w:right="326"/>
              <w:rPr>
                <w:b/>
                <w:sz w:val="20"/>
              </w:rPr>
            </w:pPr>
            <w:r>
              <w:rPr>
                <w:b/>
                <w:color w:val="7E7E7E"/>
                <w:spacing w:val="-4"/>
                <w:sz w:val="20"/>
              </w:rPr>
              <w:t>Prep </w:t>
            </w:r>
            <w:r>
              <w:rPr>
                <w:b/>
                <w:color w:val="7E7E7E"/>
                <w:spacing w:val="-2"/>
                <w:sz w:val="20"/>
              </w:rPr>
              <w:t>Budget</w:t>
            </w:r>
          </w:p>
        </w:tc>
        <w:tc>
          <w:tcPr>
            <w:tcW w:w="1066"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before="2"/>
              <w:ind w:left="110"/>
              <w:rPr>
                <w:b/>
                <w:sz w:val="20"/>
              </w:rPr>
            </w:pPr>
            <w:r>
              <w:rPr>
                <w:b/>
                <w:color w:val="7E7E7E"/>
                <w:sz w:val="20"/>
              </w:rPr>
              <w:t>BP</w:t>
            </w:r>
            <w:r>
              <w:rPr>
                <w:b/>
                <w:color w:val="7E7E7E"/>
                <w:spacing w:val="-1"/>
                <w:sz w:val="20"/>
              </w:rPr>
              <w:t> </w:t>
            </w:r>
            <w:r>
              <w:rPr>
                <w:b/>
                <w:color w:val="7E7E7E"/>
                <w:spacing w:val="-10"/>
                <w:sz w:val="20"/>
              </w:rPr>
              <w:t>1</w:t>
            </w:r>
          </w:p>
        </w:tc>
        <w:tc>
          <w:tcPr>
            <w:tcW w:w="1068"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before="2"/>
              <w:ind w:left="112"/>
              <w:rPr>
                <w:b/>
                <w:sz w:val="20"/>
              </w:rPr>
            </w:pPr>
            <w:r>
              <w:rPr>
                <w:b/>
                <w:color w:val="7E7E7E"/>
                <w:sz w:val="20"/>
              </w:rPr>
              <w:t>BP</w:t>
            </w:r>
            <w:r>
              <w:rPr>
                <w:b/>
                <w:color w:val="7E7E7E"/>
                <w:spacing w:val="-1"/>
                <w:sz w:val="20"/>
              </w:rPr>
              <w:t> </w:t>
            </w:r>
            <w:r>
              <w:rPr>
                <w:b/>
                <w:color w:val="7E7E7E"/>
                <w:spacing w:val="-10"/>
                <w:sz w:val="20"/>
              </w:rPr>
              <w:t>2</w:t>
            </w:r>
          </w:p>
        </w:tc>
        <w:tc>
          <w:tcPr>
            <w:tcW w:w="1068"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before="2"/>
              <w:ind w:left="112"/>
              <w:rPr>
                <w:b/>
                <w:sz w:val="20"/>
              </w:rPr>
            </w:pPr>
            <w:r>
              <w:rPr>
                <w:b/>
                <w:color w:val="808080"/>
                <w:sz w:val="20"/>
              </w:rPr>
              <w:t>BP</w:t>
            </w:r>
            <w:r>
              <w:rPr>
                <w:b/>
                <w:color w:val="808080"/>
                <w:spacing w:val="-1"/>
                <w:sz w:val="20"/>
              </w:rPr>
              <w:t> </w:t>
            </w:r>
            <w:r>
              <w:rPr>
                <w:b/>
                <w:color w:val="808080"/>
                <w:spacing w:val="-10"/>
                <w:sz w:val="20"/>
              </w:rPr>
              <w:t>3</w:t>
            </w:r>
          </w:p>
        </w:tc>
        <w:tc>
          <w:tcPr>
            <w:tcW w:w="1066"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before="2"/>
              <w:ind w:left="109"/>
              <w:rPr>
                <w:b/>
                <w:sz w:val="20"/>
              </w:rPr>
            </w:pPr>
            <w:r>
              <w:rPr>
                <w:b/>
                <w:sz w:val="20"/>
              </w:rPr>
              <w:t>BP</w:t>
            </w:r>
            <w:r>
              <w:rPr>
                <w:b/>
                <w:spacing w:val="-1"/>
                <w:sz w:val="20"/>
              </w:rPr>
              <w:t> </w:t>
            </w:r>
            <w:r>
              <w:rPr>
                <w:b/>
                <w:spacing w:val="-10"/>
                <w:sz w:val="20"/>
              </w:rPr>
              <w:t>4</w:t>
            </w:r>
          </w:p>
        </w:tc>
        <w:tc>
          <w:tcPr>
            <w:tcW w:w="1071" w:type="dxa"/>
            <w:tcBorders>
              <w:top w:val="single" w:sz="4" w:space="0" w:color="BEBEBE"/>
              <w:left w:val="single" w:sz="4" w:space="0" w:color="BEBEBE"/>
              <w:bottom w:val="single" w:sz="4" w:space="0" w:color="BEBEBE"/>
              <w:right w:val="single" w:sz="8" w:space="0" w:color="BEBEBE"/>
            </w:tcBorders>
            <w:shd w:val="clear" w:color="auto" w:fill="D9D9D9"/>
          </w:tcPr>
          <w:p>
            <w:pPr>
              <w:pStyle w:val="TableParagraph"/>
              <w:spacing w:before="2"/>
              <w:ind w:left="111"/>
              <w:rPr>
                <w:b/>
                <w:sz w:val="20"/>
              </w:rPr>
            </w:pPr>
            <w:r>
              <w:rPr>
                <w:b/>
                <w:color w:val="7E7E7E"/>
                <w:sz w:val="20"/>
              </w:rPr>
              <w:t>BP</w:t>
            </w:r>
            <w:r>
              <w:rPr>
                <w:b/>
                <w:color w:val="7E7E7E"/>
                <w:spacing w:val="-1"/>
                <w:sz w:val="20"/>
              </w:rPr>
              <w:t> </w:t>
            </w:r>
            <w:r>
              <w:rPr>
                <w:b/>
                <w:color w:val="7E7E7E"/>
                <w:spacing w:val="-10"/>
                <w:sz w:val="20"/>
              </w:rPr>
              <w:t>5</w:t>
            </w:r>
          </w:p>
        </w:tc>
      </w:tr>
      <w:tr>
        <w:trPr>
          <w:trHeight w:val="910" w:hRule="atLeast"/>
        </w:trPr>
        <w:tc>
          <w:tcPr>
            <w:tcW w:w="173" w:type="dxa"/>
            <w:vMerge/>
            <w:tcBorders>
              <w:top w:val="nil"/>
              <w:left w:val="nil"/>
              <w:right w:val="single" w:sz="8" w:space="0" w:color="BEBEBE"/>
            </w:tcBorders>
          </w:tcPr>
          <w:p>
            <w:pPr>
              <w:rPr>
                <w:sz w:val="2"/>
                <w:szCs w:val="2"/>
              </w:rPr>
            </w:pPr>
          </w:p>
        </w:tc>
        <w:tc>
          <w:tcPr>
            <w:tcW w:w="2640" w:type="dxa"/>
            <w:tcBorders>
              <w:top w:val="single" w:sz="4" w:space="0" w:color="BEBEBE"/>
              <w:left w:val="single" w:sz="8" w:space="0" w:color="BEBEBE"/>
              <w:bottom w:val="single" w:sz="8" w:space="0" w:color="BEBEBE"/>
              <w:right w:val="single" w:sz="4" w:space="0" w:color="BEBEBE"/>
            </w:tcBorders>
            <w:shd w:val="clear" w:color="auto" w:fill="DCE6F0"/>
          </w:tcPr>
          <w:p>
            <w:pPr>
              <w:pStyle w:val="TableParagraph"/>
              <w:spacing w:line="259" w:lineRule="auto"/>
              <w:ind w:left="107" w:right="90"/>
              <w:jc w:val="both"/>
              <w:rPr>
                <w:sz w:val="20"/>
              </w:rPr>
            </w:pPr>
            <w:r>
              <w:rPr>
                <w:color w:val="7E7E7E"/>
                <w:sz w:val="20"/>
              </w:rPr>
              <w:t>% of MassHealth ACO- Eligible Lives Served by ACOs/ Covered by APMS</w:t>
            </w:r>
          </w:p>
        </w:tc>
        <w:tc>
          <w:tcPr>
            <w:tcW w:w="1068" w:type="dxa"/>
            <w:tcBorders>
              <w:top w:val="single" w:sz="4" w:space="0" w:color="BEBEBE"/>
              <w:left w:val="single" w:sz="4" w:space="0" w:color="BEBEBE"/>
              <w:bottom w:val="single" w:sz="8" w:space="0" w:color="BEBEBE"/>
              <w:right w:val="single" w:sz="4" w:space="0" w:color="BEBEBE"/>
            </w:tcBorders>
          </w:tcPr>
          <w:p>
            <w:pPr>
              <w:pStyle w:val="TableParagraph"/>
              <w:ind w:left="112"/>
              <w:rPr>
                <w:sz w:val="20"/>
              </w:rPr>
            </w:pPr>
            <w:r>
              <w:rPr>
                <w:color w:val="7E7E7E"/>
                <w:spacing w:val="-5"/>
                <w:sz w:val="20"/>
              </w:rPr>
              <w:t>NA</w:t>
            </w:r>
          </w:p>
        </w:tc>
        <w:tc>
          <w:tcPr>
            <w:tcW w:w="1066" w:type="dxa"/>
            <w:tcBorders>
              <w:top w:val="single" w:sz="4" w:space="0" w:color="BEBEBE"/>
              <w:left w:val="single" w:sz="4" w:space="0" w:color="BEBEBE"/>
              <w:bottom w:val="single" w:sz="8" w:space="0" w:color="BEBEBE"/>
              <w:right w:val="single" w:sz="4" w:space="0" w:color="BEBEBE"/>
            </w:tcBorders>
          </w:tcPr>
          <w:p>
            <w:pPr>
              <w:pStyle w:val="TableParagraph"/>
              <w:ind w:left="110"/>
              <w:rPr>
                <w:sz w:val="20"/>
              </w:rPr>
            </w:pPr>
            <w:r>
              <w:rPr>
                <w:color w:val="7E7E7E"/>
                <w:spacing w:val="-5"/>
                <w:sz w:val="20"/>
              </w:rPr>
              <w:t>25%</w:t>
            </w:r>
          </w:p>
        </w:tc>
        <w:tc>
          <w:tcPr>
            <w:tcW w:w="1068" w:type="dxa"/>
            <w:tcBorders>
              <w:top w:val="single" w:sz="4" w:space="0" w:color="BEBEBE"/>
              <w:left w:val="single" w:sz="4" w:space="0" w:color="BEBEBE"/>
              <w:bottom w:val="single" w:sz="8" w:space="0" w:color="BEBEBE"/>
              <w:right w:val="single" w:sz="4" w:space="0" w:color="BEBEBE"/>
            </w:tcBorders>
          </w:tcPr>
          <w:p>
            <w:pPr>
              <w:pStyle w:val="TableParagraph"/>
              <w:ind w:left="112"/>
              <w:rPr>
                <w:sz w:val="20"/>
              </w:rPr>
            </w:pPr>
            <w:r>
              <w:rPr>
                <w:color w:val="7E7E7E"/>
                <w:spacing w:val="-5"/>
                <w:sz w:val="20"/>
              </w:rPr>
              <w:t>30%</w:t>
            </w:r>
          </w:p>
        </w:tc>
        <w:tc>
          <w:tcPr>
            <w:tcW w:w="1068" w:type="dxa"/>
            <w:tcBorders>
              <w:top w:val="single" w:sz="4" w:space="0" w:color="BEBEBE"/>
              <w:left w:val="single" w:sz="4" w:space="0" w:color="BEBEBE"/>
              <w:bottom w:val="single" w:sz="8" w:space="0" w:color="BEBEBE"/>
              <w:right w:val="single" w:sz="4" w:space="0" w:color="BEBEBE"/>
            </w:tcBorders>
          </w:tcPr>
          <w:p>
            <w:pPr>
              <w:pStyle w:val="TableParagraph"/>
              <w:ind w:left="112"/>
              <w:rPr>
                <w:sz w:val="20"/>
              </w:rPr>
            </w:pPr>
            <w:r>
              <w:rPr>
                <w:color w:val="808080"/>
                <w:spacing w:val="-5"/>
                <w:sz w:val="20"/>
              </w:rPr>
              <w:t>35%</w:t>
            </w:r>
          </w:p>
        </w:tc>
        <w:tc>
          <w:tcPr>
            <w:tcW w:w="1066" w:type="dxa"/>
            <w:tcBorders>
              <w:top w:val="single" w:sz="4" w:space="0" w:color="BEBEBE"/>
              <w:left w:val="single" w:sz="4" w:space="0" w:color="BEBEBE"/>
              <w:bottom w:val="single" w:sz="8" w:space="0" w:color="BEBEBE"/>
              <w:right w:val="single" w:sz="4" w:space="0" w:color="BEBEBE"/>
            </w:tcBorders>
          </w:tcPr>
          <w:p>
            <w:pPr>
              <w:pStyle w:val="TableParagraph"/>
              <w:ind w:left="109"/>
              <w:rPr>
                <w:b/>
                <w:sz w:val="20"/>
              </w:rPr>
            </w:pPr>
            <w:r>
              <w:rPr>
                <w:b/>
                <w:color w:val="FF0000"/>
                <w:spacing w:val="-5"/>
                <w:sz w:val="20"/>
              </w:rPr>
              <w:t>40%</w:t>
            </w:r>
          </w:p>
        </w:tc>
        <w:tc>
          <w:tcPr>
            <w:tcW w:w="1071" w:type="dxa"/>
            <w:tcBorders>
              <w:top w:val="single" w:sz="4" w:space="0" w:color="BEBEBE"/>
              <w:left w:val="single" w:sz="4" w:space="0" w:color="BEBEBE"/>
              <w:bottom w:val="single" w:sz="8" w:space="0" w:color="BEBEBE"/>
              <w:right w:val="single" w:sz="8" w:space="0" w:color="BEBEBE"/>
            </w:tcBorders>
          </w:tcPr>
          <w:p>
            <w:pPr>
              <w:pStyle w:val="TableParagraph"/>
              <w:ind w:left="111"/>
              <w:rPr>
                <w:sz w:val="20"/>
              </w:rPr>
            </w:pPr>
            <w:r>
              <w:rPr>
                <w:color w:val="7E7E7E"/>
                <w:spacing w:val="-5"/>
                <w:sz w:val="20"/>
              </w:rPr>
              <w:t>45%</w:t>
            </w:r>
          </w:p>
        </w:tc>
      </w:tr>
    </w:tbl>
    <w:p>
      <w:pPr>
        <w:pStyle w:val="BodyText"/>
        <w:spacing w:line="20" w:lineRule="exact"/>
        <w:ind w:left="1205"/>
        <w:rPr>
          <w:sz w:val="2"/>
        </w:rPr>
      </w:pPr>
      <w:r>
        <w:rPr>
          <w:sz w:val="2"/>
        </w:rPr>
        <mc:AlternateContent>
          <mc:Choice Requires="wps">
            <w:drawing>
              <wp:inline distT="0" distB="0" distL="0" distR="0">
                <wp:extent cx="5953125" cy="6350"/>
                <wp:effectExtent l="0" t="0" r="0" b="0"/>
                <wp:docPr id="932" name="Group 932"/>
                <wp:cNvGraphicFramePr>
                  <a:graphicFrameLocks/>
                </wp:cNvGraphicFramePr>
                <a:graphic>
                  <a:graphicData uri="http://schemas.microsoft.com/office/word/2010/wordprocessingGroup">
                    <wpg:wgp>
                      <wpg:cNvPr id="932" name="Group 932"/>
                      <wpg:cNvGrpSpPr/>
                      <wpg:grpSpPr>
                        <a:xfrm>
                          <a:off x="0" y="0"/>
                          <a:ext cx="5953125" cy="6350"/>
                          <a:chExt cx="5953125" cy="6350"/>
                        </a:xfrm>
                      </wpg:grpSpPr>
                      <wps:wsp>
                        <wps:cNvPr id="933" name="Graphic 933"/>
                        <wps:cNvSpPr/>
                        <wps:spPr>
                          <a:xfrm>
                            <a:off x="0" y="0"/>
                            <a:ext cx="5953125" cy="6350"/>
                          </a:xfrm>
                          <a:custGeom>
                            <a:avLst/>
                            <a:gdLst/>
                            <a:ahLst/>
                            <a:cxnLst/>
                            <a:rect l="l" t="t" r="r" b="b"/>
                            <a:pathLst>
                              <a:path w="5953125" h="6350">
                                <a:moveTo>
                                  <a:pt x="5952744" y="0"/>
                                </a:moveTo>
                                <a:lnTo>
                                  <a:pt x="0" y="0"/>
                                </a:lnTo>
                                <a:lnTo>
                                  <a:pt x="0" y="6108"/>
                                </a:lnTo>
                                <a:lnTo>
                                  <a:pt x="5952744" y="6108"/>
                                </a:lnTo>
                                <a:lnTo>
                                  <a:pt x="5952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68.75pt;height:.5pt;mso-position-horizontal-relative:char;mso-position-vertical-relative:line" id="docshapegroup147" coordorigin="0,0" coordsize="9375,10">
                <v:rect style="position:absolute;left:0;top:0;width:9375;height:10" id="docshape148" filled="true" fillcolor="#000000" stroked="false">
                  <v:fill type="solid"/>
                </v:rect>
              </v:group>
            </w:pict>
          </mc:Fallback>
        </mc:AlternateContent>
      </w:r>
      <w:r>
        <w:rPr>
          <w:sz w:val="2"/>
        </w:rPr>
      </w:r>
    </w:p>
    <w:p>
      <w:pPr>
        <w:pStyle w:val="BodyText"/>
        <w:spacing w:before="11"/>
        <w:rPr>
          <w:sz w:val="30"/>
        </w:rPr>
      </w:pPr>
    </w:p>
    <w:p>
      <w:pPr>
        <w:spacing w:before="0"/>
        <w:ind w:left="1220" w:right="1095" w:firstLine="0"/>
        <w:jc w:val="both"/>
        <w:rPr>
          <w:sz w:val="22"/>
        </w:rPr>
      </w:pPr>
      <w:r>
        <w:rPr>
          <w:sz w:val="22"/>
        </w:rPr>
        <w:t>For the purpose of this example, assume that the State has a 42% ACO/APM adoption rate in BP 4. Therefore, the State receives an accountability domain score of </w:t>
      </w:r>
      <w:r>
        <w:rPr>
          <w:b/>
          <w:sz w:val="22"/>
        </w:rPr>
        <w:t>100% </w:t>
      </w:r>
      <w:r>
        <w:rPr>
          <w:sz w:val="22"/>
        </w:rPr>
        <w:t>in this category.</w:t>
      </w:r>
    </w:p>
    <w:p>
      <w:pPr>
        <w:pStyle w:val="Heading2"/>
        <w:spacing w:before="203"/>
        <w:ind w:left="1220" w:firstLine="0"/>
      </w:pPr>
      <w:bookmarkStart w:name="Step 2: Calculate the Reduction in Spend" w:id="1530"/>
      <w:bookmarkEnd w:id="1530"/>
      <w:r>
        <w:rPr>
          <w:b w:val="0"/>
        </w:rPr>
      </w:r>
      <w:bookmarkStart w:name="_bookmark133" w:id="1531"/>
      <w:bookmarkEnd w:id="1531"/>
      <w:r>
        <w:rPr>
          <w:b w:val="0"/>
        </w:rPr>
      </w:r>
      <w:r>
        <w:rPr>
          <w:color w:val="4471C4"/>
        </w:rPr>
        <w:t>Step</w:t>
      </w:r>
      <w:r>
        <w:rPr>
          <w:color w:val="4471C4"/>
          <w:spacing w:val="-7"/>
        </w:rPr>
        <w:t> </w:t>
      </w:r>
      <w:r>
        <w:rPr>
          <w:color w:val="4471C4"/>
        </w:rPr>
        <w:t>2:</w:t>
      </w:r>
      <w:r>
        <w:rPr>
          <w:color w:val="4471C4"/>
          <w:spacing w:val="-7"/>
        </w:rPr>
        <w:t> </w:t>
      </w:r>
      <w:r>
        <w:rPr>
          <w:color w:val="4471C4"/>
        </w:rPr>
        <w:t>Calculate</w:t>
      </w:r>
      <w:r>
        <w:rPr>
          <w:color w:val="4471C4"/>
          <w:spacing w:val="-5"/>
        </w:rPr>
        <w:t> </w:t>
      </w:r>
      <w:r>
        <w:rPr>
          <w:color w:val="4471C4"/>
        </w:rPr>
        <w:t>the</w:t>
      </w:r>
      <w:r>
        <w:rPr>
          <w:color w:val="4471C4"/>
          <w:spacing w:val="-4"/>
        </w:rPr>
        <w:t> </w:t>
      </w:r>
      <w:r>
        <w:rPr>
          <w:color w:val="4471C4"/>
        </w:rPr>
        <w:t>Reduction</w:t>
      </w:r>
      <w:r>
        <w:rPr>
          <w:color w:val="4471C4"/>
          <w:spacing w:val="-7"/>
        </w:rPr>
        <w:t> </w:t>
      </w:r>
      <w:r>
        <w:rPr>
          <w:color w:val="4471C4"/>
        </w:rPr>
        <w:t>in</w:t>
      </w:r>
      <w:r>
        <w:rPr>
          <w:color w:val="4471C4"/>
          <w:spacing w:val="-7"/>
        </w:rPr>
        <w:t> </w:t>
      </w:r>
      <w:r>
        <w:rPr>
          <w:color w:val="4471C4"/>
        </w:rPr>
        <w:t>Spending</w:t>
      </w:r>
      <w:r>
        <w:rPr>
          <w:color w:val="4471C4"/>
          <w:spacing w:val="-6"/>
        </w:rPr>
        <w:t> </w:t>
      </w:r>
      <w:r>
        <w:rPr>
          <w:color w:val="4471C4"/>
        </w:rPr>
        <w:t>Growth</w:t>
      </w:r>
      <w:r>
        <w:rPr>
          <w:color w:val="4471C4"/>
          <w:spacing w:val="-7"/>
        </w:rPr>
        <w:t> </w:t>
      </w:r>
      <w:r>
        <w:rPr>
          <w:color w:val="4471C4"/>
        </w:rPr>
        <w:t>Score</w:t>
      </w:r>
      <w:r>
        <w:rPr>
          <w:color w:val="4471C4"/>
          <w:spacing w:val="-7"/>
        </w:rPr>
        <w:t> </w:t>
      </w:r>
      <w:r>
        <w:rPr>
          <w:color w:val="4471C4"/>
        </w:rPr>
        <w:t>for</w:t>
      </w:r>
      <w:r>
        <w:rPr>
          <w:color w:val="4471C4"/>
          <w:spacing w:val="-7"/>
        </w:rPr>
        <w:t> </w:t>
      </w:r>
      <w:r>
        <w:rPr>
          <w:color w:val="4471C4"/>
        </w:rPr>
        <w:t>BP</w:t>
      </w:r>
      <w:r>
        <w:rPr>
          <w:color w:val="4471C4"/>
          <w:spacing w:val="-7"/>
        </w:rPr>
        <w:t> </w:t>
      </w:r>
      <w:r>
        <w:rPr>
          <w:color w:val="4471C4"/>
          <w:spacing w:val="-10"/>
        </w:rPr>
        <w:t>4</w:t>
      </w:r>
    </w:p>
    <w:p>
      <w:pPr>
        <w:spacing w:line="242" w:lineRule="auto" w:before="0"/>
        <w:ind w:left="1219" w:right="1096" w:firstLine="0"/>
        <w:jc w:val="both"/>
        <w:rPr>
          <w:sz w:val="22"/>
        </w:rPr>
      </w:pPr>
      <w:r>
        <w:rPr>
          <w:sz w:val="22"/>
        </w:rPr>
        <w:t>In</w:t>
      </w:r>
      <w:r>
        <w:rPr>
          <w:spacing w:val="-14"/>
          <w:sz w:val="22"/>
        </w:rPr>
        <w:t> </w:t>
      </w:r>
      <w:r>
        <w:rPr>
          <w:sz w:val="22"/>
        </w:rPr>
        <w:t>accordance</w:t>
      </w:r>
      <w:r>
        <w:rPr>
          <w:spacing w:val="-14"/>
          <w:sz w:val="22"/>
        </w:rPr>
        <w:t> </w:t>
      </w:r>
      <w:r>
        <w:rPr>
          <w:sz w:val="22"/>
        </w:rPr>
        <w:t>with</w:t>
      </w:r>
      <w:r>
        <w:rPr>
          <w:spacing w:val="-14"/>
          <w:sz w:val="22"/>
        </w:rPr>
        <w:t> </w:t>
      </w:r>
      <w:r>
        <w:rPr>
          <w:sz w:val="22"/>
        </w:rPr>
        <w:t>STC</w:t>
      </w:r>
      <w:r>
        <w:rPr>
          <w:spacing w:val="-13"/>
          <w:sz w:val="22"/>
        </w:rPr>
        <w:t> </w:t>
      </w:r>
      <w:r>
        <w:rPr>
          <w:sz w:val="22"/>
        </w:rPr>
        <w:t>71(f),</w:t>
      </w:r>
      <w:r>
        <w:rPr>
          <w:spacing w:val="-14"/>
          <w:sz w:val="22"/>
        </w:rPr>
        <w:t> </w:t>
      </w:r>
      <w:r>
        <w:rPr>
          <w:sz w:val="22"/>
        </w:rPr>
        <w:t>the</w:t>
      </w:r>
      <w:r>
        <w:rPr>
          <w:spacing w:val="-13"/>
          <w:sz w:val="22"/>
        </w:rPr>
        <w:t> </w:t>
      </w:r>
      <w:r>
        <w:rPr>
          <w:sz w:val="22"/>
        </w:rPr>
        <w:t>State</w:t>
      </w:r>
      <w:r>
        <w:rPr>
          <w:spacing w:val="-13"/>
          <w:sz w:val="22"/>
        </w:rPr>
        <w:t> </w:t>
      </w:r>
      <w:r>
        <w:rPr>
          <w:sz w:val="22"/>
        </w:rPr>
        <w:t>will</w:t>
      </w:r>
      <w:r>
        <w:rPr>
          <w:spacing w:val="-12"/>
          <w:sz w:val="22"/>
        </w:rPr>
        <w:t> </w:t>
      </w:r>
      <w:r>
        <w:rPr>
          <w:sz w:val="22"/>
        </w:rPr>
        <w:t>calculate</w:t>
      </w:r>
      <w:r>
        <w:rPr>
          <w:spacing w:val="-13"/>
          <w:sz w:val="22"/>
        </w:rPr>
        <w:t> </w:t>
      </w:r>
      <w:r>
        <w:rPr>
          <w:sz w:val="22"/>
        </w:rPr>
        <w:t>its</w:t>
      </w:r>
      <w:r>
        <w:rPr>
          <w:spacing w:val="-13"/>
          <w:sz w:val="22"/>
        </w:rPr>
        <w:t> </w:t>
      </w:r>
      <w:r>
        <w:rPr>
          <w:sz w:val="22"/>
        </w:rPr>
        <w:t>performance</w:t>
      </w:r>
      <w:r>
        <w:rPr>
          <w:spacing w:val="-13"/>
          <w:sz w:val="22"/>
        </w:rPr>
        <w:t> </w:t>
      </w:r>
      <w:r>
        <w:rPr>
          <w:sz w:val="22"/>
        </w:rPr>
        <w:t>on</w:t>
      </w:r>
      <w:r>
        <w:rPr>
          <w:spacing w:val="-13"/>
          <w:sz w:val="22"/>
        </w:rPr>
        <w:t> </w:t>
      </w:r>
      <w:r>
        <w:rPr>
          <w:sz w:val="22"/>
        </w:rPr>
        <w:t>reduction</w:t>
      </w:r>
      <w:r>
        <w:rPr>
          <w:spacing w:val="-14"/>
          <w:sz w:val="22"/>
        </w:rPr>
        <w:t> </w:t>
      </w:r>
      <w:r>
        <w:rPr>
          <w:sz w:val="22"/>
        </w:rPr>
        <w:t>in</w:t>
      </w:r>
      <w:r>
        <w:rPr>
          <w:spacing w:val="-13"/>
          <w:sz w:val="22"/>
        </w:rPr>
        <w:t> </w:t>
      </w:r>
      <w:r>
        <w:rPr>
          <w:sz w:val="22"/>
        </w:rPr>
        <w:t>state</w:t>
      </w:r>
      <w:r>
        <w:rPr>
          <w:spacing w:val="-13"/>
          <w:sz w:val="22"/>
        </w:rPr>
        <w:t> </w:t>
      </w:r>
      <w:r>
        <w:rPr>
          <w:sz w:val="22"/>
        </w:rPr>
        <w:t>spending</w:t>
      </w:r>
      <w:r>
        <w:rPr>
          <w:spacing w:val="-14"/>
          <w:sz w:val="22"/>
        </w:rPr>
        <w:t> </w:t>
      </w:r>
      <w:r>
        <w:rPr>
          <w:sz w:val="22"/>
        </w:rPr>
        <w:t>growth compared to the trended PMPM, and the domain score will be determined according to a gap-to-goal methodology for each budget period in accordance with STC 71(g), as follows:</w:t>
      </w:r>
    </w:p>
    <w:p>
      <w:pPr>
        <w:pStyle w:val="ListParagraph"/>
        <w:numPr>
          <w:ilvl w:val="0"/>
          <w:numId w:val="110"/>
        </w:numPr>
        <w:tabs>
          <w:tab w:pos="1938" w:val="left" w:leader="none"/>
        </w:tabs>
        <w:spacing w:line="240" w:lineRule="auto" w:before="112" w:after="0"/>
        <w:ind w:left="1938" w:right="0" w:hanging="359"/>
        <w:jc w:val="both"/>
        <w:rPr>
          <w:sz w:val="22"/>
        </w:rPr>
      </w:pPr>
      <w:r>
        <w:rPr>
          <w:sz w:val="22"/>
        </w:rPr>
        <w:t>If</w:t>
      </w:r>
      <w:r>
        <w:rPr>
          <w:spacing w:val="-4"/>
          <w:sz w:val="22"/>
        </w:rPr>
        <w:t> </w:t>
      </w:r>
      <w:r>
        <w:rPr>
          <w:sz w:val="22"/>
        </w:rPr>
        <w:t>Actual</w:t>
      </w:r>
      <w:r>
        <w:rPr>
          <w:spacing w:val="-2"/>
          <w:sz w:val="22"/>
        </w:rPr>
        <w:t> </w:t>
      </w:r>
      <w:r>
        <w:rPr>
          <w:sz w:val="22"/>
        </w:rPr>
        <w:t>Reduction</w:t>
      </w:r>
      <w:r>
        <w:rPr>
          <w:spacing w:val="-3"/>
          <w:sz w:val="22"/>
        </w:rPr>
        <w:t> </w:t>
      </w:r>
      <w:r>
        <w:rPr>
          <w:sz w:val="22"/>
        </w:rPr>
        <w:t>&lt;</w:t>
      </w:r>
      <w:r>
        <w:rPr>
          <w:spacing w:val="-5"/>
          <w:sz w:val="22"/>
        </w:rPr>
        <w:t> </w:t>
      </w:r>
      <w:r>
        <w:rPr>
          <w:sz w:val="22"/>
        </w:rPr>
        <w:t>(50%</w:t>
      </w:r>
      <w:r>
        <w:rPr>
          <w:spacing w:val="-2"/>
          <w:sz w:val="22"/>
        </w:rPr>
        <w:t> </w:t>
      </w:r>
      <w:r>
        <w:rPr>
          <w:sz w:val="22"/>
        </w:rPr>
        <w:t>*</w:t>
      </w:r>
      <w:r>
        <w:rPr>
          <w:spacing w:val="-3"/>
          <w:sz w:val="22"/>
        </w:rPr>
        <w:t> </w:t>
      </w:r>
      <w:r>
        <w:rPr>
          <w:sz w:val="22"/>
        </w:rPr>
        <w:t>Reduction</w:t>
      </w:r>
      <w:r>
        <w:rPr>
          <w:spacing w:val="-6"/>
          <w:sz w:val="22"/>
        </w:rPr>
        <w:t> </w:t>
      </w:r>
      <w:r>
        <w:rPr>
          <w:sz w:val="22"/>
        </w:rPr>
        <w:t>Target),</w:t>
      </w:r>
      <w:r>
        <w:rPr>
          <w:spacing w:val="-3"/>
          <w:sz w:val="22"/>
        </w:rPr>
        <w:t> </w:t>
      </w:r>
      <w:r>
        <w:rPr>
          <w:sz w:val="22"/>
        </w:rPr>
        <w:t>then</w:t>
      </w:r>
      <w:r>
        <w:rPr>
          <w:spacing w:val="-3"/>
          <w:sz w:val="22"/>
        </w:rPr>
        <w:t> </w:t>
      </w:r>
      <w:r>
        <w:rPr>
          <w:sz w:val="22"/>
        </w:rPr>
        <w:t>Measure</w:t>
      </w:r>
      <w:r>
        <w:rPr>
          <w:spacing w:val="-3"/>
          <w:sz w:val="22"/>
        </w:rPr>
        <w:t> </w:t>
      </w:r>
      <w:r>
        <w:rPr>
          <w:sz w:val="22"/>
        </w:rPr>
        <w:t>Score</w:t>
      </w:r>
      <w:r>
        <w:rPr>
          <w:spacing w:val="-3"/>
          <w:sz w:val="22"/>
        </w:rPr>
        <w:t> </w:t>
      </w:r>
      <w:r>
        <w:rPr>
          <w:sz w:val="22"/>
        </w:rPr>
        <w:t>=</w:t>
      </w:r>
      <w:r>
        <w:rPr>
          <w:spacing w:val="-4"/>
          <w:sz w:val="22"/>
        </w:rPr>
        <w:t> </w:t>
      </w:r>
      <w:r>
        <w:rPr>
          <w:spacing w:val="-5"/>
          <w:sz w:val="22"/>
        </w:rPr>
        <w:t>0%</w:t>
      </w:r>
    </w:p>
    <w:p>
      <w:pPr>
        <w:pStyle w:val="ListParagraph"/>
        <w:numPr>
          <w:ilvl w:val="0"/>
          <w:numId w:val="110"/>
        </w:numPr>
        <w:tabs>
          <w:tab w:pos="1938" w:val="left" w:leader="none"/>
        </w:tabs>
        <w:spacing w:line="240" w:lineRule="auto" w:before="119" w:after="0"/>
        <w:ind w:left="1938" w:right="0" w:hanging="359"/>
        <w:jc w:val="both"/>
        <w:rPr>
          <w:sz w:val="22"/>
        </w:rPr>
      </w:pPr>
      <w:r>
        <w:rPr>
          <w:sz w:val="22"/>
        </w:rPr>
        <w:t>If</w:t>
      </w:r>
      <w:r>
        <w:rPr>
          <w:spacing w:val="-3"/>
          <w:sz w:val="22"/>
        </w:rPr>
        <w:t> </w:t>
      </w:r>
      <w:r>
        <w:rPr>
          <w:sz w:val="22"/>
        </w:rPr>
        <w:t>Actual</w:t>
      </w:r>
      <w:r>
        <w:rPr>
          <w:spacing w:val="-2"/>
          <w:sz w:val="22"/>
        </w:rPr>
        <w:t> </w:t>
      </w:r>
      <w:r>
        <w:rPr>
          <w:sz w:val="22"/>
        </w:rPr>
        <w:t>Reduction</w:t>
      </w:r>
      <w:r>
        <w:rPr>
          <w:spacing w:val="-6"/>
          <w:sz w:val="22"/>
        </w:rPr>
        <w:t> </w:t>
      </w:r>
      <w:r>
        <w:rPr>
          <w:sz w:val="22"/>
        </w:rPr>
        <w:t>≥</w:t>
      </w:r>
      <w:r>
        <w:rPr>
          <w:spacing w:val="-2"/>
          <w:sz w:val="22"/>
        </w:rPr>
        <w:t> </w:t>
      </w:r>
      <w:r>
        <w:rPr>
          <w:sz w:val="22"/>
        </w:rPr>
        <w:t>(Reduction</w:t>
      </w:r>
      <w:r>
        <w:rPr>
          <w:spacing w:val="-6"/>
          <w:sz w:val="22"/>
        </w:rPr>
        <w:t> </w:t>
      </w:r>
      <w:r>
        <w:rPr>
          <w:sz w:val="22"/>
        </w:rPr>
        <w:t>Target),</w:t>
      </w:r>
      <w:r>
        <w:rPr>
          <w:spacing w:val="-6"/>
          <w:sz w:val="22"/>
        </w:rPr>
        <w:t> </w:t>
      </w:r>
      <w:r>
        <w:rPr>
          <w:sz w:val="22"/>
        </w:rPr>
        <w:t>then</w:t>
      </w:r>
      <w:r>
        <w:rPr>
          <w:spacing w:val="-3"/>
          <w:sz w:val="22"/>
        </w:rPr>
        <w:t> </w:t>
      </w:r>
      <w:r>
        <w:rPr>
          <w:sz w:val="22"/>
        </w:rPr>
        <w:t>Measure</w:t>
      </w:r>
      <w:r>
        <w:rPr>
          <w:spacing w:val="-3"/>
          <w:sz w:val="22"/>
        </w:rPr>
        <w:t> </w:t>
      </w:r>
      <w:r>
        <w:rPr>
          <w:sz w:val="22"/>
        </w:rPr>
        <w:t>Score</w:t>
      </w:r>
      <w:r>
        <w:rPr>
          <w:spacing w:val="-3"/>
          <w:sz w:val="22"/>
        </w:rPr>
        <w:t> </w:t>
      </w:r>
      <w:r>
        <w:rPr>
          <w:sz w:val="22"/>
        </w:rPr>
        <w:t>=</w:t>
      </w:r>
      <w:r>
        <w:rPr>
          <w:spacing w:val="-3"/>
          <w:sz w:val="22"/>
        </w:rPr>
        <w:t> </w:t>
      </w:r>
      <w:r>
        <w:rPr>
          <w:spacing w:val="-4"/>
          <w:sz w:val="22"/>
        </w:rPr>
        <w:t>100%</w:t>
      </w:r>
    </w:p>
    <w:p>
      <w:pPr>
        <w:pStyle w:val="ListParagraph"/>
        <w:numPr>
          <w:ilvl w:val="0"/>
          <w:numId w:val="110"/>
        </w:numPr>
        <w:tabs>
          <w:tab w:pos="1940" w:val="left" w:leader="none"/>
        </w:tabs>
        <w:spacing w:line="240" w:lineRule="auto" w:before="119" w:after="0"/>
        <w:ind w:left="1940" w:right="1095" w:hanging="360"/>
        <w:jc w:val="both"/>
        <w:rPr>
          <w:sz w:val="22"/>
        </w:rPr>
      </w:pPr>
      <w:r>
        <w:rPr>
          <w:sz w:val="22"/>
        </w:rPr>
        <w:t>If Actual Reduction ≥ (50% * Reduction Target) AND &lt; (Reduction Target), then Measure Score is</w:t>
      </w:r>
      <w:r>
        <w:rPr>
          <w:spacing w:val="-9"/>
          <w:sz w:val="22"/>
        </w:rPr>
        <w:t> </w:t>
      </w:r>
      <w:r>
        <w:rPr>
          <w:sz w:val="22"/>
        </w:rPr>
        <w:t>equal</w:t>
      </w:r>
      <w:r>
        <w:rPr>
          <w:spacing w:val="-9"/>
          <w:sz w:val="22"/>
        </w:rPr>
        <w:t> </w:t>
      </w:r>
      <w:r>
        <w:rPr>
          <w:sz w:val="22"/>
        </w:rPr>
        <w:t>to:</w:t>
      </w:r>
      <w:r>
        <w:rPr>
          <w:spacing w:val="-10"/>
          <w:sz w:val="22"/>
        </w:rPr>
        <w:t> </w:t>
      </w:r>
      <w:r>
        <w:rPr>
          <w:sz w:val="22"/>
        </w:rPr>
        <w:t>(Actual</w:t>
      </w:r>
      <w:r>
        <w:rPr>
          <w:spacing w:val="-10"/>
          <w:sz w:val="22"/>
        </w:rPr>
        <w:t> </w:t>
      </w:r>
      <w:r>
        <w:rPr>
          <w:sz w:val="22"/>
        </w:rPr>
        <w:t>Reduction</w:t>
      </w:r>
      <w:r>
        <w:rPr>
          <w:spacing w:val="-10"/>
          <w:sz w:val="22"/>
        </w:rPr>
        <w:t> </w:t>
      </w:r>
      <w:r>
        <w:rPr>
          <w:sz w:val="22"/>
        </w:rPr>
        <w:t>-</w:t>
      </w:r>
      <w:r>
        <w:rPr>
          <w:spacing w:val="-12"/>
          <w:sz w:val="22"/>
        </w:rPr>
        <w:t> </w:t>
      </w:r>
      <w:r>
        <w:rPr>
          <w:sz w:val="22"/>
        </w:rPr>
        <w:t>(50%</w:t>
      </w:r>
      <w:r>
        <w:rPr>
          <w:spacing w:val="-9"/>
          <w:sz w:val="22"/>
        </w:rPr>
        <w:t> </w:t>
      </w:r>
      <w:r>
        <w:rPr>
          <w:sz w:val="22"/>
        </w:rPr>
        <w:t>*</w:t>
      </w:r>
      <w:r>
        <w:rPr>
          <w:spacing w:val="-9"/>
          <w:sz w:val="22"/>
        </w:rPr>
        <w:t> </w:t>
      </w:r>
      <w:r>
        <w:rPr>
          <w:sz w:val="22"/>
        </w:rPr>
        <w:t>Reduction</w:t>
      </w:r>
      <w:r>
        <w:rPr>
          <w:spacing w:val="-13"/>
          <w:sz w:val="22"/>
        </w:rPr>
        <w:t> </w:t>
      </w:r>
      <w:r>
        <w:rPr>
          <w:sz w:val="22"/>
        </w:rPr>
        <w:t>Target))</w:t>
      </w:r>
      <w:r>
        <w:rPr>
          <w:spacing w:val="-10"/>
          <w:sz w:val="22"/>
        </w:rPr>
        <w:t> </w:t>
      </w:r>
      <w:r>
        <w:rPr>
          <w:sz w:val="22"/>
        </w:rPr>
        <w:t>/</w:t>
      </w:r>
      <w:r>
        <w:rPr>
          <w:spacing w:val="-8"/>
          <w:sz w:val="22"/>
        </w:rPr>
        <w:t> </w:t>
      </w:r>
      <w:r>
        <w:rPr>
          <w:sz w:val="22"/>
        </w:rPr>
        <w:t>(Reduction</w:t>
      </w:r>
      <w:r>
        <w:rPr>
          <w:spacing w:val="-13"/>
          <w:sz w:val="22"/>
        </w:rPr>
        <w:t> </w:t>
      </w:r>
      <w:r>
        <w:rPr>
          <w:sz w:val="22"/>
        </w:rPr>
        <w:t>Target</w:t>
      </w:r>
      <w:r>
        <w:rPr>
          <w:spacing w:val="-10"/>
          <w:sz w:val="22"/>
        </w:rPr>
        <w:t> </w:t>
      </w:r>
      <w:r>
        <w:rPr>
          <w:sz w:val="22"/>
        </w:rPr>
        <w:t>-</w:t>
      </w:r>
      <w:r>
        <w:rPr>
          <w:spacing w:val="-13"/>
          <w:sz w:val="22"/>
        </w:rPr>
        <w:t> </w:t>
      </w:r>
      <w:r>
        <w:rPr>
          <w:sz w:val="22"/>
        </w:rPr>
        <w:t>(50%</w:t>
      </w:r>
      <w:r>
        <w:rPr>
          <w:spacing w:val="-9"/>
          <w:sz w:val="22"/>
        </w:rPr>
        <w:t> </w:t>
      </w:r>
      <w:r>
        <w:rPr>
          <w:sz w:val="22"/>
        </w:rPr>
        <w:t>*</w:t>
      </w:r>
      <w:r>
        <w:rPr>
          <w:spacing w:val="-10"/>
          <w:sz w:val="22"/>
        </w:rPr>
        <w:t> </w:t>
      </w:r>
      <w:r>
        <w:rPr>
          <w:sz w:val="22"/>
        </w:rPr>
        <w:t>Reduction Target)) OR the simplified version,</w:t>
      </w:r>
    </w:p>
    <w:p>
      <w:pPr>
        <w:spacing w:after="0" w:line="240" w:lineRule="auto"/>
        <w:jc w:val="both"/>
        <w:rPr>
          <w:sz w:val="22"/>
        </w:rPr>
        <w:sectPr>
          <w:pgSz w:w="12240" w:h="15840"/>
          <w:pgMar w:header="0" w:footer="967" w:top="1820" w:bottom="1160" w:left="220" w:right="340"/>
        </w:sectPr>
      </w:pPr>
    </w:p>
    <w:p>
      <w:pPr>
        <w:spacing w:line="295" w:lineRule="auto" w:before="35"/>
        <w:ind w:left="5266" w:right="3127" w:hanging="1582"/>
        <w:jc w:val="left"/>
        <w:rPr>
          <w:rFonts w:ascii="Cambria Math" w:hAnsi="Cambria Math" w:eastAsia="Cambria Math"/>
          <w:sz w:val="22"/>
        </w:rPr>
      </w:pPr>
      <w:r>
        <w:rPr/>
        <mc:AlternateContent>
          <mc:Choice Requires="wps">
            <w:drawing>
              <wp:anchor distT="0" distB="0" distL="0" distR="0" allowOverlap="1" layoutInCell="1" locked="0" behindDoc="0" simplePos="0" relativeHeight="16169984">
                <wp:simplePos x="0" y="0"/>
                <wp:positionH relativeFrom="page">
                  <wp:posOffset>2479548</wp:posOffset>
                </wp:positionH>
                <wp:positionV relativeFrom="paragraph">
                  <wp:posOffset>217451</wp:posOffset>
                </wp:positionV>
                <wp:extent cx="2811780" cy="9525"/>
                <wp:effectExtent l="0" t="0" r="0" b="0"/>
                <wp:wrapNone/>
                <wp:docPr id="934" name="Graphic 934"/>
                <wp:cNvGraphicFramePr>
                  <a:graphicFrameLocks/>
                </wp:cNvGraphicFramePr>
                <a:graphic>
                  <a:graphicData uri="http://schemas.microsoft.com/office/word/2010/wordprocessingShape">
                    <wps:wsp>
                      <wps:cNvPr id="934" name="Graphic 934"/>
                      <wps:cNvSpPr/>
                      <wps:spPr>
                        <a:xfrm>
                          <a:off x="0" y="0"/>
                          <a:ext cx="2811780" cy="9525"/>
                        </a:xfrm>
                        <a:custGeom>
                          <a:avLst/>
                          <a:gdLst/>
                          <a:ahLst/>
                          <a:cxnLst/>
                          <a:rect l="l" t="t" r="r" b="b"/>
                          <a:pathLst>
                            <a:path w="2811780" h="9525">
                              <a:moveTo>
                                <a:pt x="2811779" y="0"/>
                              </a:moveTo>
                              <a:lnTo>
                                <a:pt x="0" y="0"/>
                              </a:lnTo>
                              <a:lnTo>
                                <a:pt x="0" y="9144"/>
                              </a:lnTo>
                              <a:lnTo>
                                <a:pt x="2811779" y="9144"/>
                              </a:lnTo>
                              <a:lnTo>
                                <a:pt x="28117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95.240005pt;margin-top:17.122158pt;width:221.4pt;height:.72pt;mso-position-horizontal-relative:page;mso-position-vertical-relative:paragraph;z-index:16169984" id="docshape149" filled="true" fillcolor="#000000" stroked="false">
                <v:fill type="solid"/>
                <w10:wrap type="none"/>
              </v:rect>
            </w:pict>
          </mc:Fallback>
        </mc:AlternateContent>
      </w:r>
      <w:r>
        <w:rPr>
          <w:rFonts w:ascii="Cambria Math" w:hAnsi="Cambria Math" w:eastAsia="Cambria Math"/>
          <w:spacing w:val="-2"/>
          <w:w w:val="45"/>
          <w:sz w:val="22"/>
        </w:rPr>
        <w:t>𝑃𝑃𝐵𝐵𝐴𝐴𝐴𝐴𝐵𝐵𝐵𝐵𝐴𝐴</w:t>
      </w:r>
      <w:r>
        <w:rPr>
          <w:rFonts w:ascii="Cambria Math" w:hAnsi="Cambria Math" w:eastAsia="Cambria Math"/>
          <w:sz w:val="22"/>
        </w:rPr>
        <w:t> </w:t>
      </w:r>
      <w:r>
        <w:rPr>
          <w:rFonts w:ascii="Cambria Math" w:hAnsi="Cambria Math" w:eastAsia="Cambria Math"/>
          <w:spacing w:val="-2"/>
          <w:w w:val="45"/>
          <w:sz w:val="22"/>
        </w:rPr>
        <w:t>𝐴𝐴𝑜𝑜</w:t>
      </w:r>
      <w:r>
        <w:rPr>
          <w:rFonts w:ascii="Cambria Math" w:hAnsi="Cambria Math" w:eastAsia="Cambria Math"/>
          <w:sz w:val="22"/>
        </w:rPr>
        <w:t> </w:t>
      </w:r>
      <w:r>
        <w:rPr>
          <w:rFonts w:ascii="Cambria Math" w:hAnsi="Cambria Math" w:eastAsia="Cambria Math"/>
          <w:spacing w:val="-2"/>
          <w:w w:val="45"/>
          <w:sz w:val="22"/>
        </w:rPr>
        <w:t>𝐴𝐴𝐵𝐵𝑇𝑇𝐴𝐴𝐴𝐴𝐴𝐴𝐵𝐵𝐴𝐴𝐵𝐵</w:t>
      </w:r>
      <w:r>
        <w:rPr>
          <w:rFonts w:ascii="Cambria Math" w:hAnsi="Cambria Math" w:eastAsia="Cambria Math"/>
          <w:spacing w:val="-2"/>
          <w:sz w:val="22"/>
        </w:rPr>
        <w:t> </w:t>
      </w:r>
      <w:r>
        <w:rPr>
          <w:rFonts w:ascii="Cambria Math" w:hAnsi="Cambria Math" w:eastAsia="Cambria Math"/>
          <w:spacing w:val="-2"/>
          <w:w w:val="45"/>
          <w:sz w:val="22"/>
        </w:rPr>
        <w:t>𝐴𝐴𝐵𝐵𝐴𝐴𝐴𝐴𝐵𝐵𝐴𝐴</w:t>
      </w:r>
      <w:r>
        <w:rPr>
          <w:rFonts w:ascii="Cambria Math" w:hAnsi="Cambria Math" w:eastAsia="Cambria Math"/>
          <w:sz w:val="22"/>
        </w:rPr>
        <w:t> </w:t>
      </w:r>
      <w:r>
        <w:rPr>
          <w:rFonts w:ascii="Cambria Math" w:hAnsi="Cambria Math" w:eastAsia="Cambria Math"/>
          <w:spacing w:val="-2"/>
          <w:w w:val="45"/>
          <w:sz w:val="22"/>
        </w:rPr>
        <w:t>𝐵𝐵𝐴𝐴ℎ𝐵𝐵𝐵𝐵𝐴𝐴𝐵𝐵𝑇𝑇</w:t>
      </w:r>
      <w:r>
        <w:rPr>
          <w:rFonts w:ascii="Cambria Math" w:hAnsi="Cambria Math" w:eastAsia="Cambria Math"/>
          <w:sz w:val="22"/>
        </w:rPr>
        <w:t> </w:t>
      </w:r>
      <w:r>
        <w:rPr>
          <w:rFonts w:ascii="Cambria Math" w:hAnsi="Cambria Math" w:eastAsia="Cambria Math"/>
          <w:spacing w:val="-2"/>
          <w:w w:val="45"/>
          <w:sz w:val="22"/>
        </w:rPr>
        <w:t>−</w:t>
      </w:r>
      <w:r>
        <w:rPr>
          <w:rFonts w:ascii="Cambria Math" w:hAnsi="Cambria Math" w:eastAsia="Cambria Math"/>
          <w:spacing w:val="-2"/>
          <w:sz w:val="22"/>
        </w:rPr>
        <w:t> </w:t>
      </w:r>
      <w:r>
        <w:rPr>
          <w:rFonts w:ascii="Cambria Math" w:hAnsi="Cambria Math" w:eastAsia="Cambria Math"/>
          <w:spacing w:val="-2"/>
          <w:w w:val="45"/>
          <w:sz w:val="22"/>
        </w:rPr>
        <w:t>50%</w:t>
      </w:r>
      <w:r>
        <w:rPr>
          <w:rFonts w:ascii="Cambria Math" w:hAnsi="Cambria Math" w:eastAsia="Cambria Math"/>
          <w:spacing w:val="-2"/>
          <w:w w:val="90"/>
          <w:sz w:val="22"/>
        </w:rPr>
        <w:t> </w:t>
      </w:r>
      <w:r>
        <w:rPr>
          <w:rFonts w:ascii="Cambria Math" w:hAnsi="Cambria Math" w:eastAsia="Cambria Math"/>
          <w:w w:val="90"/>
          <w:sz w:val="22"/>
        </w:rPr>
        <w:t>100% − 50%</w:t>
      </w:r>
    </w:p>
    <w:p>
      <w:pPr>
        <w:pStyle w:val="BodyText"/>
        <w:spacing w:before="1"/>
        <w:rPr>
          <w:rFonts w:ascii="Cambria Math"/>
          <w:sz w:val="26"/>
        </w:rPr>
      </w:pPr>
    </w:p>
    <w:p>
      <w:pPr>
        <w:spacing w:before="91"/>
        <w:ind w:left="1220" w:right="0" w:firstLine="0"/>
        <w:jc w:val="left"/>
        <w:rPr>
          <w:sz w:val="22"/>
        </w:rPr>
      </w:pPr>
      <w:r>
        <w:rPr>
          <w:sz w:val="22"/>
        </w:rPr>
        <w:t>For</w:t>
      </w:r>
      <w:r>
        <w:rPr>
          <w:spacing w:val="-2"/>
          <w:sz w:val="22"/>
        </w:rPr>
        <w:t> </w:t>
      </w:r>
      <w:r>
        <w:rPr>
          <w:sz w:val="22"/>
        </w:rPr>
        <w:t>BP</w:t>
      </w:r>
      <w:r>
        <w:rPr>
          <w:spacing w:val="-3"/>
          <w:sz w:val="22"/>
        </w:rPr>
        <w:t> </w:t>
      </w:r>
      <w:r>
        <w:rPr>
          <w:sz w:val="22"/>
        </w:rPr>
        <w:t>4,</w:t>
      </w:r>
      <w:r>
        <w:rPr>
          <w:spacing w:val="-4"/>
          <w:sz w:val="22"/>
        </w:rPr>
        <w:t> </w:t>
      </w:r>
      <w:r>
        <w:rPr>
          <w:sz w:val="22"/>
        </w:rPr>
        <w:t>the</w:t>
      </w:r>
      <w:r>
        <w:rPr>
          <w:spacing w:val="-3"/>
          <w:sz w:val="22"/>
        </w:rPr>
        <w:t> </w:t>
      </w:r>
      <w:r>
        <w:rPr>
          <w:sz w:val="22"/>
        </w:rPr>
        <w:t>Reduction</w:t>
      </w:r>
      <w:r>
        <w:rPr>
          <w:spacing w:val="-4"/>
          <w:sz w:val="22"/>
        </w:rPr>
        <w:t> </w:t>
      </w:r>
      <w:r>
        <w:rPr>
          <w:sz w:val="22"/>
        </w:rPr>
        <w:t>Target</w:t>
      </w:r>
      <w:r>
        <w:rPr>
          <w:spacing w:val="-1"/>
          <w:sz w:val="22"/>
        </w:rPr>
        <w:t> </w:t>
      </w:r>
      <w:r>
        <w:rPr>
          <w:sz w:val="22"/>
        </w:rPr>
        <w:t>is</w:t>
      </w:r>
      <w:r>
        <w:rPr>
          <w:spacing w:val="-4"/>
          <w:sz w:val="22"/>
        </w:rPr>
        <w:t> </w:t>
      </w:r>
      <w:r>
        <w:rPr>
          <w:sz w:val="22"/>
        </w:rPr>
        <w:t>1.1%</w:t>
      </w:r>
      <w:r>
        <w:rPr>
          <w:spacing w:val="-2"/>
          <w:sz w:val="22"/>
        </w:rPr>
        <w:t> </w:t>
      </w:r>
      <w:r>
        <w:rPr>
          <w:sz w:val="22"/>
        </w:rPr>
        <w:t>off</w:t>
      </w:r>
      <w:r>
        <w:rPr>
          <w:spacing w:val="-1"/>
          <w:sz w:val="22"/>
        </w:rPr>
        <w:t> </w:t>
      </w:r>
      <w:r>
        <w:rPr>
          <w:sz w:val="22"/>
        </w:rPr>
        <w:t>of</w:t>
      </w:r>
      <w:r>
        <w:rPr>
          <w:spacing w:val="-4"/>
          <w:sz w:val="22"/>
        </w:rPr>
        <w:t> </w:t>
      </w:r>
      <w:r>
        <w:rPr>
          <w:sz w:val="22"/>
        </w:rPr>
        <w:t>trended</w:t>
      </w:r>
      <w:r>
        <w:rPr>
          <w:spacing w:val="-4"/>
          <w:sz w:val="22"/>
        </w:rPr>
        <w:t> </w:t>
      </w:r>
      <w:r>
        <w:rPr>
          <w:sz w:val="22"/>
        </w:rPr>
        <w:t>PMPM,</w:t>
      </w:r>
      <w:r>
        <w:rPr>
          <w:spacing w:val="-3"/>
          <w:sz w:val="22"/>
        </w:rPr>
        <w:t> </w:t>
      </w:r>
      <w:r>
        <w:rPr>
          <w:sz w:val="22"/>
        </w:rPr>
        <w:t>as</w:t>
      </w:r>
      <w:r>
        <w:rPr>
          <w:spacing w:val="-2"/>
          <w:sz w:val="22"/>
        </w:rPr>
        <w:t> </w:t>
      </w:r>
      <w:r>
        <w:rPr>
          <w:sz w:val="22"/>
        </w:rPr>
        <w:t>shown</w:t>
      </w:r>
      <w:r>
        <w:rPr>
          <w:spacing w:val="-2"/>
          <w:sz w:val="22"/>
        </w:rPr>
        <w:t> </w:t>
      </w:r>
      <w:r>
        <w:rPr>
          <w:sz w:val="22"/>
        </w:rPr>
        <w:t>in</w:t>
      </w:r>
      <w:r>
        <w:rPr>
          <w:spacing w:val="-4"/>
          <w:sz w:val="22"/>
        </w:rPr>
        <w:t> </w:t>
      </w:r>
      <w:r>
        <w:rPr>
          <w:spacing w:val="-2"/>
          <w:sz w:val="22"/>
        </w:rPr>
        <w:t>below.</w:t>
      </w:r>
    </w:p>
    <w:p>
      <w:pPr>
        <w:pStyle w:val="BodyText"/>
      </w:pPr>
    </w:p>
    <w:p>
      <w:pPr>
        <w:pStyle w:val="BodyText"/>
        <w:spacing w:before="10"/>
        <w:rPr>
          <w:sz w:val="18"/>
        </w:rPr>
      </w:pPr>
    </w:p>
    <w:p>
      <w:pPr>
        <w:spacing w:before="1"/>
        <w:ind w:left="1220" w:right="0" w:firstLine="0"/>
        <w:jc w:val="left"/>
        <w:rPr>
          <w:sz w:val="22"/>
        </w:rPr>
      </w:pPr>
      <w:r>
        <w:rPr/>
        <mc:AlternateContent>
          <mc:Choice Requires="wps">
            <w:drawing>
              <wp:anchor distT="0" distB="0" distL="0" distR="0" allowOverlap="1" layoutInCell="1" locked="0" behindDoc="0" simplePos="0" relativeHeight="16170496">
                <wp:simplePos x="0" y="0"/>
                <wp:positionH relativeFrom="page">
                  <wp:posOffset>914400</wp:posOffset>
                </wp:positionH>
                <wp:positionV relativeFrom="paragraph">
                  <wp:posOffset>236086</wp:posOffset>
                </wp:positionV>
                <wp:extent cx="5943600" cy="6350"/>
                <wp:effectExtent l="0" t="0" r="0" b="0"/>
                <wp:wrapNone/>
                <wp:docPr id="935" name="Graphic 935"/>
                <wp:cNvGraphicFramePr>
                  <a:graphicFrameLocks/>
                </wp:cNvGraphicFramePr>
                <a:graphic>
                  <a:graphicData uri="http://schemas.microsoft.com/office/word/2010/wordprocessingShape">
                    <wps:wsp>
                      <wps:cNvPr id="935" name="Graphic 935"/>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8.589478pt;width:468pt;height:.48pt;mso-position-horizontal-relative:page;mso-position-vertical-relative:paragraph;z-index:16170496" id="docshape150" filled="true" fillcolor="#000000" stroked="false">
                <v:fill type="solid"/>
                <w10:wrap type="none"/>
              </v:rect>
            </w:pict>
          </mc:Fallback>
        </mc:AlternateContent>
      </w:r>
      <w:r>
        <w:rPr>
          <w:b/>
          <w:sz w:val="22"/>
        </w:rPr>
        <w:t>EXHIBIT</w:t>
      </w:r>
      <w:r>
        <w:rPr>
          <w:b/>
          <w:spacing w:val="-4"/>
          <w:sz w:val="22"/>
        </w:rPr>
        <w:t> </w:t>
      </w:r>
      <w:r>
        <w:rPr>
          <w:b/>
          <w:sz w:val="22"/>
        </w:rPr>
        <w:t>A3</w:t>
      </w:r>
      <w:r>
        <w:rPr>
          <w:b/>
          <w:spacing w:val="-3"/>
          <w:sz w:val="22"/>
        </w:rPr>
        <w:t> </w:t>
      </w:r>
      <w:r>
        <w:rPr>
          <w:sz w:val="22"/>
        </w:rPr>
        <w:t>–</w:t>
      </w:r>
      <w:r>
        <w:rPr>
          <w:spacing w:val="-3"/>
          <w:sz w:val="22"/>
        </w:rPr>
        <w:t> </w:t>
      </w:r>
      <w:r>
        <w:rPr>
          <w:sz w:val="22"/>
        </w:rPr>
        <w:t>Reduction</w:t>
      </w:r>
      <w:r>
        <w:rPr>
          <w:spacing w:val="-6"/>
          <w:sz w:val="22"/>
        </w:rPr>
        <w:t> </w:t>
      </w:r>
      <w:r>
        <w:rPr>
          <w:sz w:val="22"/>
        </w:rPr>
        <w:t>Targets</w:t>
      </w:r>
      <w:r>
        <w:rPr>
          <w:spacing w:val="-4"/>
          <w:sz w:val="22"/>
        </w:rPr>
        <w:t> </w:t>
      </w:r>
      <w:r>
        <w:rPr>
          <w:sz w:val="22"/>
        </w:rPr>
        <w:t>for</w:t>
      </w:r>
      <w:r>
        <w:rPr>
          <w:spacing w:val="-2"/>
          <w:sz w:val="22"/>
        </w:rPr>
        <w:t> </w:t>
      </w:r>
      <w:r>
        <w:rPr>
          <w:sz w:val="22"/>
        </w:rPr>
        <w:t>ACO-Enrolled</w:t>
      </w:r>
      <w:r>
        <w:rPr>
          <w:spacing w:val="-6"/>
          <w:sz w:val="22"/>
        </w:rPr>
        <w:t> </w:t>
      </w:r>
      <w:r>
        <w:rPr>
          <w:sz w:val="22"/>
        </w:rPr>
        <w:t>PMPMs,</w:t>
      </w:r>
      <w:r>
        <w:rPr>
          <w:spacing w:val="-3"/>
          <w:sz w:val="22"/>
        </w:rPr>
        <w:t> </w:t>
      </w:r>
      <w:r>
        <w:rPr>
          <w:sz w:val="22"/>
        </w:rPr>
        <w:t>BP</w:t>
      </w:r>
      <w:r>
        <w:rPr>
          <w:spacing w:val="-5"/>
          <w:sz w:val="22"/>
        </w:rPr>
        <w:t> </w:t>
      </w:r>
      <w:r>
        <w:rPr>
          <w:spacing w:val="-10"/>
          <w:sz w:val="22"/>
        </w:rPr>
        <w:t>4</w:t>
      </w:r>
    </w:p>
    <w:p>
      <w:pPr>
        <w:pStyle w:val="BodyText"/>
        <w:spacing w:before="7"/>
        <w:rPr>
          <w:sz w:val="10"/>
        </w:rPr>
      </w:pPr>
    </w:p>
    <w:tbl>
      <w:tblPr>
        <w:tblW w:w="0" w:type="auto"/>
        <w:jc w:val="left"/>
        <w:tblInd w:w="1348" w:type="dxa"/>
        <w:tblBorders>
          <w:top w:val="single" w:sz="8" w:space="0" w:color="BEBEBE"/>
          <w:left w:val="single" w:sz="8" w:space="0" w:color="BEBEBE"/>
          <w:bottom w:val="single" w:sz="8" w:space="0" w:color="BEBEBE"/>
          <w:right w:val="single" w:sz="8" w:space="0" w:color="BEBEBE"/>
          <w:insideH w:val="single" w:sz="8" w:space="0" w:color="BEBEBE"/>
          <w:insideV w:val="single" w:sz="8" w:space="0" w:color="BEBEBE"/>
        </w:tblBorders>
        <w:tblLayout w:type="fixed"/>
        <w:tblCellMar>
          <w:top w:w="0" w:type="dxa"/>
          <w:left w:w="0" w:type="dxa"/>
          <w:bottom w:w="0" w:type="dxa"/>
          <w:right w:w="0" w:type="dxa"/>
        </w:tblCellMar>
        <w:tblLook w:val="01E0"/>
      </w:tblPr>
      <w:tblGrid>
        <w:gridCol w:w="2729"/>
        <w:gridCol w:w="1102"/>
        <w:gridCol w:w="1104"/>
        <w:gridCol w:w="1104"/>
        <w:gridCol w:w="1102"/>
        <w:gridCol w:w="1104"/>
        <w:gridCol w:w="1104"/>
      </w:tblGrid>
      <w:tr>
        <w:trPr>
          <w:trHeight w:val="414" w:hRule="atLeast"/>
        </w:trPr>
        <w:tc>
          <w:tcPr>
            <w:tcW w:w="9349" w:type="dxa"/>
            <w:gridSpan w:val="7"/>
            <w:tcBorders>
              <w:bottom w:val="single" w:sz="4" w:space="0" w:color="BEBEBE"/>
            </w:tcBorders>
            <w:shd w:val="clear" w:color="auto" w:fill="1F487C"/>
          </w:tcPr>
          <w:p>
            <w:pPr>
              <w:pStyle w:val="TableParagraph"/>
              <w:spacing w:before="7"/>
              <w:ind w:left="107"/>
              <w:rPr>
                <w:b/>
                <w:sz w:val="20"/>
              </w:rPr>
            </w:pPr>
            <w:r>
              <w:rPr>
                <w:b/>
                <w:color w:val="FFFFFF"/>
                <w:sz w:val="20"/>
              </w:rPr>
              <w:t>Reduction</w:t>
            </w:r>
            <w:r>
              <w:rPr>
                <w:b/>
                <w:color w:val="FFFFFF"/>
                <w:spacing w:val="-9"/>
                <w:sz w:val="20"/>
              </w:rPr>
              <w:t> </w:t>
            </w:r>
            <w:r>
              <w:rPr>
                <w:b/>
                <w:color w:val="FFFFFF"/>
                <w:sz w:val="20"/>
              </w:rPr>
              <w:t>Targets</w:t>
            </w:r>
            <w:r>
              <w:rPr>
                <w:b/>
                <w:color w:val="FFFFFF"/>
                <w:spacing w:val="-9"/>
                <w:sz w:val="20"/>
              </w:rPr>
              <w:t> </w:t>
            </w:r>
            <w:r>
              <w:rPr>
                <w:b/>
                <w:color w:val="FFFFFF"/>
                <w:sz w:val="20"/>
              </w:rPr>
              <w:t>for</w:t>
            </w:r>
            <w:r>
              <w:rPr>
                <w:b/>
                <w:color w:val="FFFFFF"/>
                <w:spacing w:val="-8"/>
                <w:sz w:val="20"/>
              </w:rPr>
              <w:t> </w:t>
            </w:r>
            <w:r>
              <w:rPr>
                <w:b/>
                <w:color w:val="FFFFFF"/>
                <w:sz w:val="20"/>
              </w:rPr>
              <w:t>ACO-Enrolled</w:t>
            </w:r>
            <w:r>
              <w:rPr>
                <w:b/>
                <w:color w:val="FFFFFF"/>
                <w:spacing w:val="-9"/>
                <w:sz w:val="20"/>
              </w:rPr>
              <w:t> </w:t>
            </w:r>
            <w:r>
              <w:rPr>
                <w:b/>
                <w:color w:val="FFFFFF"/>
                <w:spacing w:val="-4"/>
                <w:sz w:val="20"/>
              </w:rPr>
              <w:t>PMPMs</w:t>
            </w:r>
          </w:p>
        </w:tc>
      </w:tr>
      <w:tr>
        <w:trPr>
          <w:trHeight w:val="654" w:hRule="atLeast"/>
        </w:trPr>
        <w:tc>
          <w:tcPr>
            <w:tcW w:w="2729" w:type="dxa"/>
            <w:tcBorders>
              <w:top w:val="single" w:sz="4" w:space="0" w:color="BEBEBE"/>
              <w:bottom w:val="single" w:sz="4" w:space="0" w:color="BEBEBE"/>
              <w:right w:val="single" w:sz="4" w:space="0" w:color="BEBEBE"/>
            </w:tcBorders>
            <w:shd w:val="clear" w:color="auto" w:fill="D9D9D9"/>
          </w:tcPr>
          <w:p>
            <w:pPr>
              <w:pStyle w:val="TableParagraph"/>
              <w:ind w:left="107"/>
              <w:rPr>
                <w:b/>
                <w:sz w:val="20"/>
              </w:rPr>
            </w:pPr>
            <w:r>
              <w:rPr>
                <w:b/>
                <w:color w:val="808080"/>
                <w:sz w:val="20"/>
              </w:rPr>
              <w:t>DSRIP</w:t>
            </w:r>
            <w:r>
              <w:rPr>
                <w:b/>
                <w:color w:val="808080"/>
                <w:spacing w:val="-7"/>
                <w:sz w:val="20"/>
              </w:rPr>
              <w:t> </w:t>
            </w:r>
            <w:r>
              <w:rPr>
                <w:b/>
                <w:color w:val="808080"/>
                <w:sz w:val="20"/>
              </w:rPr>
              <w:t>Budget</w:t>
            </w:r>
            <w:r>
              <w:rPr>
                <w:b/>
                <w:color w:val="808080"/>
                <w:spacing w:val="-6"/>
                <w:sz w:val="20"/>
              </w:rPr>
              <w:t> </w:t>
            </w:r>
            <w:r>
              <w:rPr>
                <w:b/>
                <w:color w:val="808080"/>
                <w:spacing w:val="-2"/>
                <w:sz w:val="20"/>
              </w:rPr>
              <w:t>Period</w:t>
            </w:r>
          </w:p>
        </w:tc>
        <w:tc>
          <w:tcPr>
            <w:tcW w:w="1102"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line="256" w:lineRule="auto"/>
              <w:ind w:left="112" w:right="360"/>
              <w:rPr>
                <w:b/>
                <w:sz w:val="20"/>
              </w:rPr>
            </w:pPr>
            <w:r>
              <w:rPr>
                <w:b/>
                <w:color w:val="808080"/>
                <w:spacing w:val="-4"/>
                <w:sz w:val="20"/>
              </w:rPr>
              <w:t>Prep </w:t>
            </w:r>
            <w:r>
              <w:rPr>
                <w:b/>
                <w:color w:val="808080"/>
                <w:spacing w:val="-2"/>
                <w:sz w:val="20"/>
              </w:rPr>
              <w:t>Budget</w:t>
            </w:r>
          </w:p>
        </w:tc>
        <w:tc>
          <w:tcPr>
            <w:tcW w:w="1104"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ind w:left="112"/>
              <w:rPr>
                <w:b/>
                <w:sz w:val="20"/>
              </w:rPr>
            </w:pPr>
            <w:r>
              <w:rPr>
                <w:b/>
                <w:color w:val="808080"/>
                <w:sz w:val="20"/>
              </w:rPr>
              <w:t>BP</w:t>
            </w:r>
            <w:r>
              <w:rPr>
                <w:b/>
                <w:color w:val="808080"/>
                <w:spacing w:val="-1"/>
                <w:sz w:val="20"/>
              </w:rPr>
              <w:t> </w:t>
            </w:r>
            <w:r>
              <w:rPr>
                <w:b/>
                <w:color w:val="808080"/>
                <w:spacing w:val="-10"/>
                <w:sz w:val="20"/>
              </w:rPr>
              <w:t>1</w:t>
            </w:r>
          </w:p>
        </w:tc>
        <w:tc>
          <w:tcPr>
            <w:tcW w:w="1104"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ind w:left="112"/>
              <w:rPr>
                <w:b/>
                <w:sz w:val="20"/>
              </w:rPr>
            </w:pPr>
            <w:r>
              <w:rPr>
                <w:b/>
                <w:color w:val="808080"/>
                <w:sz w:val="20"/>
              </w:rPr>
              <w:t>BP</w:t>
            </w:r>
            <w:r>
              <w:rPr>
                <w:b/>
                <w:color w:val="808080"/>
                <w:spacing w:val="-1"/>
                <w:sz w:val="20"/>
              </w:rPr>
              <w:t> </w:t>
            </w:r>
            <w:r>
              <w:rPr>
                <w:b/>
                <w:color w:val="808080"/>
                <w:spacing w:val="-10"/>
                <w:sz w:val="20"/>
              </w:rPr>
              <w:t>2</w:t>
            </w:r>
          </w:p>
        </w:tc>
        <w:tc>
          <w:tcPr>
            <w:tcW w:w="1102"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ind w:left="112"/>
              <w:rPr>
                <w:b/>
                <w:sz w:val="20"/>
              </w:rPr>
            </w:pPr>
            <w:r>
              <w:rPr>
                <w:b/>
                <w:color w:val="808080"/>
                <w:sz w:val="20"/>
              </w:rPr>
              <w:t>BP</w:t>
            </w:r>
            <w:r>
              <w:rPr>
                <w:b/>
                <w:color w:val="808080"/>
                <w:spacing w:val="-1"/>
                <w:sz w:val="20"/>
              </w:rPr>
              <w:t> </w:t>
            </w:r>
            <w:r>
              <w:rPr>
                <w:b/>
                <w:color w:val="808080"/>
                <w:spacing w:val="-10"/>
                <w:sz w:val="20"/>
              </w:rPr>
              <w:t>3</w:t>
            </w:r>
          </w:p>
        </w:tc>
        <w:tc>
          <w:tcPr>
            <w:tcW w:w="1104"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ind w:left="111"/>
              <w:rPr>
                <w:b/>
                <w:sz w:val="20"/>
              </w:rPr>
            </w:pPr>
            <w:r>
              <w:rPr>
                <w:b/>
                <w:sz w:val="20"/>
              </w:rPr>
              <w:t>BP</w:t>
            </w:r>
            <w:r>
              <w:rPr>
                <w:b/>
                <w:spacing w:val="-1"/>
                <w:sz w:val="20"/>
              </w:rPr>
              <w:t> </w:t>
            </w:r>
            <w:r>
              <w:rPr>
                <w:b/>
                <w:spacing w:val="-10"/>
                <w:sz w:val="20"/>
              </w:rPr>
              <w:t>4</w:t>
            </w:r>
          </w:p>
        </w:tc>
        <w:tc>
          <w:tcPr>
            <w:tcW w:w="1104" w:type="dxa"/>
            <w:tcBorders>
              <w:top w:val="single" w:sz="4" w:space="0" w:color="BEBEBE"/>
              <w:left w:val="single" w:sz="4" w:space="0" w:color="BEBEBE"/>
              <w:bottom w:val="single" w:sz="4" w:space="0" w:color="BEBEBE"/>
            </w:tcBorders>
            <w:shd w:val="clear" w:color="auto" w:fill="D9D9D9"/>
          </w:tcPr>
          <w:p>
            <w:pPr>
              <w:pStyle w:val="TableParagraph"/>
              <w:ind w:left="111"/>
              <w:rPr>
                <w:b/>
                <w:sz w:val="20"/>
              </w:rPr>
            </w:pPr>
            <w:r>
              <w:rPr>
                <w:b/>
                <w:color w:val="808080"/>
                <w:sz w:val="20"/>
              </w:rPr>
              <w:t>BP</w:t>
            </w:r>
            <w:r>
              <w:rPr>
                <w:b/>
                <w:color w:val="808080"/>
                <w:spacing w:val="-1"/>
                <w:sz w:val="20"/>
              </w:rPr>
              <w:t> </w:t>
            </w:r>
            <w:r>
              <w:rPr>
                <w:b/>
                <w:color w:val="808080"/>
                <w:spacing w:val="-10"/>
                <w:sz w:val="20"/>
              </w:rPr>
              <w:t>5</w:t>
            </w:r>
          </w:p>
        </w:tc>
      </w:tr>
      <w:tr>
        <w:trPr>
          <w:trHeight w:val="911" w:hRule="atLeast"/>
        </w:trPr>
        <w:tc>
          <w:tcPr>
            <w:tcW w:w="2729" w:type="dxa"/>
            <w:tcBorders>
              <w:top w:val="single" w:sz="4" w:space="0" w:color="BEBEBE"/>
              <w:right w:val="single" w:sz="4" w:space="0" w:color="BEBEBE"/>
            </w:tcBorders>
            <w:shd w:val="clear" w:color="auto" w:fill="DCE6F0"/>
          </w:tcPr>
          <w:p>
            <w:pPr>
              <w:pStyle w:val="TableParagraph"/>
              <w:spacing w:line="259" w:lineRule="auto"/>
              <w:ind w:left="107" w:right="92"/>
              <w:jc w:val="both"/>
              <w:rPr>
                <w:sz w:val="20"/>
              </w:rPr>
            </w:pPr>
            <w:r>
              <w:rPr>
                <w:color w:val="808080"/>
                <w:sz w:val="20"/>
              </w:rPr>
              <w:t>% Reduction Target in ACO- enrolled PMPM vs. trended </w:t>
            </w:r>
            <w:r>
              <w:rPr>
                <w:color w:val="808080"/>
                <w:spacing w:val="-4"/>
                <w:sz w:val="20"/>
              </w:rPr>
              <w:t>PMPM</w:t>
            </w:r>
          </w:p>
        </w:tc>
        <w:tc>
          <w:tcPr>
            <w:tcW w:w="1102" w:type="dxa"/>
            <w:tcBorders>
              <w:top w:val="single" w:sz="4" w:space="0" w:color="BEBEBE"/>
              <w:left w:val="single" w:sz="4" w:space="0" w:color="BEBEBE"/>
              <w:right w:val="single" w:sz="4" w:space="0" w:color="BEBEBE"/>
            </w:tcBorders>
          </w:tcPr>
          <w:p>
            <w:pPr>
              <w:pStyle w:val="TableParagraph"/>
              <w:ind w:left="112"/>
              <w:rPr>
                <w:sz w:val="20"/>
              </w:rPr>
            </w:pPr>
            <w:r>
              <w:rPr>
                <w:color w:val="808080"/>
                <w:spacing w:val="-5"/>
                <w:sz w:val="20"/>
              </w:rPr>
              <w:t>NA</w:t>
            </w:r>
          </w:p>
        </w:tc>
        <w:tc>
          <w:tcPr>
            <w:tcW w:w="1104" w:type="dxa"/>
            <w:tcBorders>
              <w:top w:val="single" w:sz="4" w:space="0" w:color="BEBEBE"/>
              <w:left w:val="single" w:sz="4" w:space="0" w:color="BEBEBE"/>
              <w:right w:val="single" w:sz="4" w:space="0" w:color="BEBEBE"/>
            </w:tcBorders>
          </w:tcPr>
          <w:p>
            <w:pPr>
              <w:pStyle w:val="TableParagraph"/>
              <w:ind w:left="112"/>
              <w:rPr>
                <w:sz w:val="20"/>
              </w:rPr>
            </w:pPr>
            <w:r>
              <w:rPr>
                <w:color w:val="808080"/>
                <w:spacing w:val="-5"/>
                <w:sz w:val="20"/>
              </w:rPr>
              <w:t>NA</w:t>
            </w:r>
          </w:p>
        </w:tc>
        <w:tc>
          <w:tcPr>
            <w:tcW w:w="1104" w:type="dxa"/>
            <w:tcBorders>
              <w:top w:val="single" w:sz="4" w:space="0" w:color="BEBEBE"/>
              <w:left w:val="single" w:sz="4" w:space="0" w:color="BEBEBE"/>
              <w:right w:val="single" w:sz="4" w:space="0" w:color="BEBEBE"/>
            </w:tcBorders>
          </w:tcPr>
          <w:p>
            <w:pPr>
              <w:pStyle w:val="TableParagraph"/>
              <w:ind w:left="112"/>
              <w:rPr>
                <w:sz w:val="20"/>
              </w:rPr>
            </w:pPr>
            <w:r>
              <w:rPr>
                <w:color w:val="808080"/>
                <w:spacing w:val="-5"/>
                <w:sz w:val="20"/>
              </w:rPr>
              <w:t>NA</w:t>
            </w:r>
          </w:p>
        </w:tc>
        <w:tc>
          <w:tcPr>
            <w:tcW w:w="1102" w:type="dxa"/>
            <w:tcBorders>
              <w:top w:val="single" w:sz="4" w:space="0" w:color="BEBEBE"/>
              <w:left w:val="single" w:sz="4" w:space="0" w:color="BEBEBE"/>
              <w:right w:val="single" w:sz="4" w:space="0" w:color="BEBEBE"/>
            </w:tcBorders>
          </w:tcPr>
          <w:p>
            <w:pPr>
              <w:pStyle w:val="TableParagraph"/>
              <w:spacing w:line="259" w:lineRule="auto"/>
              <w:ind w:left="112" w:right="90"/>
              <w:jc w:val="both"/>
              <w:rPr>
                <w:sz w:val="20"/>
              </w:rPr>
            </w:pPr>
            <w:r>
              <w:rPr>
                <w:color w:val="808080"/>
                <w:sz w:val="20"/>
              </w:rPr>
              <w:t>0.25% </w:t>
            </w:r>
            <w:r>
              <w:rPr>
                <w:color w:val="808080"/>
                <w:sz w:val="20"/>
              </w:rPr>
              <w:t>off of trended </w:t>
            </w:r>
            <w:r>
              <w:rPr>
                <w:color w:val="808080"/>
                <w:spacing w:val="-4"/>
                <w:sz w:val="20"/>
              </w:rPr>
              <w:t>PMPM</w:t>
            </w:r>
          </w:p>
        </w:tc>
        <w:tc>
          <w:tcPr>
            <w:tcW w:w="1104" w:type="dxa"/>
            <w:tcBorders>
              <w:top w:val="single" w:sz="4" w:space="0" w:color="BEBEBE"/>
              <w:left w:val="single" w:sz="4" w:space="0" w:color="BEBEBE"/>
              <w:right w:val="single" w:sz="4" w:space="0" w:color="BEBEBE"/>
            </w:tcBorders>
          </w:tcPr>
          <w:p>
            <w:pPr>
              <w:pStyle w:val="TableParagraph"/>
              <w:spacing w:line="259" w:lineRule="auto"/>
              <w:ind w:left="111" w:right="90"/>
              <w:jc w:val="both"/>
              <w:rPr>
                <w:b/>
                <w:sz w:val="20"/>
              </w:rPr>
            </w:pPr>
            <w:r>
              <w:rPr>
                <w:b/>
                <w:color w:val="FF0000"/>
                <w:sz w:val="20"/>
              </w:rPr>
              <w:t>1.1% </w:t>
            </w:r>
            <w:r>
              <w:rPr>
                <w:b/>
                <w:color w:val="FF0000"/>
                <w:sz w:val="20"/>
              </w:rPr>
              <w:t>off of</w:t>
            </w:r>
            <w:r>
              <w:rPr>
                <w:b/>
                <w:color w:val="FF0000"/>
                <w:spacing w:val="-13"/>
                <w:sz w:val="20"/>
              </w:rPr>
              <w:t> </w:t>
            </w:r>
            <w:r>
              <w:rPr>
                <w:b/>
                <w:color w:val="FF0000"/>
                <w:sz w:val="20"/>
              </w:rPr>
              <w:t>trended </w:t>
            </w:r>
            <w:r>
              <w:rPr>
                <w:b/>
                <w:color w:val="FF0000"/>
                <w:spacing w:val="-4"/>
                <w:sz w:val="20"/>
              </w:rPr>
              <w:t>PMPM</w:t>
            </w:r>
          </w:p>
        </w:tc>
        <w:tc>
          <w:tcPr>
            <w:tcW w:w="1104" w:type="dxa"/>
            <w:tcBorders>
              <w:top w:val="single" w:sz="4" w:space="0" w:color="BEBEBE"/>
              <w:left w:val="single" w:sz="4" w:space="0" w:color="BEBEBE"/>
            </w:tcBorders>
          </w:tcPr>
          <w:p>
            <w:pPr>
              <w:pStyle w:val="TableParagraph"/>
              <w:spacing w:line="259" w:lineRule="auto"/>
              <w:ind w:left="111" w:right="85"/>
              <w:jc w:val="both"/>
              <w:rPr>
                <w:sz w:val="20"/>
              </w:rPr>
            </w:pPr>
            <w:r>
              <w:rPr>
                <w:color w:val="808080"/>
                <w:sz w:val="20"/>
              </w:rPr>
              <w:t>2.1% </w:t>
            </w:r>
            <w:r>
              <w:rPr>
                <w:color w:val="808080"/>
                <w:sz w:val="20"/>
              </w:rPr>
              <w:t>off</w:t>
            </w:r>
            <w:r>
              <w:rPr>
                <w:color w:val="808080"/>
                <w:spacing w:val="40"/>
                <w:sz w:val="20"/>
              </w:rPr>
              <w:t> </w:t>
            </w:r>
            <w:r>
              <w:rPr>
                <w:color w:val="808080"/>
                <w:sz w:val="20"/>
              </w:rPr>
              <w:t>of trended </w:t>
            </w:r>
            <w:r>
              <w:rPr>
                <w:color w:val="808080"/>
                <w:spacing w:val="-4"/>
                <w:sz w:val="20"/>
              </w:rPr>
              <w:t>PMPM</w:t>
            </w:r>
          </w:p>
        </w:tc>
      </w:tr>
    </w:tbl>
    <w:p>
      <w:pPr>
        <w:pStyle w:val="BodyText"/>
        <w:spacing w:line="20" w:lineRule="exact"/>
        <w:ind w:left="1205"/>
        <w:rPr>
          <w:sz w:val="2"/>
        </w:rPr>
      </w:pPr>
      <w:r>
        <w:rPr>
          <w:sz w:val="2"/>
        </w:rPr>
        <mc:AlternateContent>
          <mc:Choice Requires="wps">
            <w:drawing>
              <wp:inline distT="0" distB="0" distL="0" distR="0">
                <wp:extent cx="5953125" cy="6350"/>
                <wp:effectExtent l="0" t="0" r="0" b="0"/>
                <wp:docPr id="936" name="Group 936"/>
                <wp:cNvGraphicFramePr>
                  <a:graphicFrameLocks/>
                </wp:cNvGraphicFramePr>
                <a:graphic>
                  <a:graphicData uri="http://schemas.microsoft.com/office/word/2010/wordprocessingGroup">
                    <wpg:wgp>
                      <wpg:cNvPr id="936" name="Group 936"/>
                      <wpg:cNvGrpSpPr/>
                      <wpg:grpSpPr>
                        <a:xfrm>
                          <a:off x="0" y="0"/>
                          <a:ext cx="5953125" cy="6350"/>
                          <a:chExt cx="5953125" cy="6350"/>
                        </a:xfrm>
                      </wpg:grpSpPr>
                      <wps:wsp>
                        <wps:cNvPr id="937" name="Graphic 937"/>
                        <wps:cNvSpPr/>
                        <wps:spPr>
                          <a:xfrm>
                            <a:off x="0" y="0"/>
                            <a:ext cx="5953125" cy="6350"/>
                          </a:xfrm>
                          <a:custGeom>
                            <a:avLst/>
                            <a:gdLst/>
                            <a:ahLst/>
                            <a:cxnLst/>
                            <a:rect l="l" t="t" r="r" b="b"/>
                            <a:pathLst>
                              <a:path w="5953125" h="6350">
                                <a:moveTo>
                                  <a:pt x="5952744" y="0"/>
                                </a:moveTo>
                                <a:lnTo>
                                  <a:pt x="0" y="0"/>
                                </a:lnTo>
                                <a:lnTo>
                                  <a:pt x="0" y="6108"/>
                                </a:lnTo>
                                <a:lnTo>
                                  <a:pt x="5952744" y="6108"/>
                                </a:lnTo>
                                <a:lnTo>
                                  <a:pt x="5952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68.75pt;height:.5pt;mso-position-horizontal-relative:char;mso-position-vertical-relative:line" id="docshapegroup151" coordorigin="0,0" coordsize="9375,10">
                <v:rect style="position:absolute;left:0;top:0;width:9375;height:10" id="docshape152" filled="true" fillcolor="#000000" stroked="false">
                  <v:fill type="solid"/>
                </v:rect>
              </v:group>
            </w:pict>
          </mc:Fallback>
        </mc:AlternateContent>
      </w:r>
      <w:r>
        <w:rPr>
          <w:sz w:val="2"/>
        </w:rPr>
      </w:r>
    </w:p>
    <w:p>
      <w:pPr>
        <w:pStyle w:val="BodyText"/>
        <w:spacing w:before="11"/>
        <w:rPr>
          <w:sz w:val="30"/>
        </w:rPr>
      </w:pPr>
    </w:p>
    <w:p>
      <w:pPr>
        <w:spacing w:line="244" w:lineRule="auto" w:before="0"/>
        <w:ind w:left="1220" w:right="1104" w:firstLine="0"/>
        <w:jc w:val="left"/>
        <w:rPr>
          <w:sz w:val="22"/>
        </w:rPr>
      </w:pPr>
      <w:r>
        <w:rPr>
          <w:sz w:val="22"/>
        </w:rPr>
        <w:t>For</w:t>
      </w:r>
      <w:r>
        <w:rPr>
          <w:spacing w:val="-11"/>
          <w:sz w:val="22"/>
        </w:rPr>
        <w:t> </w:t>
      </w:r>
      <w:r>
        <w:rPr>
          <w:sz w:val="22"/>
        </w:rPr>
        <w:t>the</w:t>
      </w:r>
      <w:r>
        <w:rPr>
          <w:spacing w:val="-12"/>
          <w:sz w:val="22"/>
        </w:rPr>
        <w:t> </w:t>
      </w:r>
      <w:r>
        <w:rPr>
          <w:sz w:val="22"/>
        </w:rPr>
        <w:t>purpose</w:t>
      </w:r>
      <w:r>
        <w:rPr>
          <w:spacing w:val="-11"/>
          <w:sz w:val="22"/>
        </w:rPr>
        <w:t> </w:t>
      </w:r>
      <w:r>
        <w:rPr>
          <w:sz w:val="22"/>
        </w:rPr>
        <w:t>of</w:t>
      </w:r>
      <w:r>
        <w:rPr>
          <w:spacing w:val="-11"/>
          <w:sz w:val="22"/>
        </w:rPr>
        <w:t> </w:t>
      </w:r>
      <w:r>
        <w:rPr>
          <w:sz w:val="22"/>
        </w:rPr>
        <w:t>this</w:t>
      </w:r>
      <w:r>
        <w:rPr>
          <w:spacing w:val="-11"/>
          <w:sz w:val="22"/>
        </w:rPr>
        <w:t> </w:t>
      </w:r>
      <w:r>
        <w:rPr>
          <w:sz w:val="22"/>
        </w:rPr>
        <w:t>example,</w:t>
      </w:r>
      <w:r>
        <w:rPr>
          <w:spacing w:val="-12"/>
          <w:sz w:val="22"/>
        </w:rPr>
        <w:t> </w:t>
      </w:r>
      <w:r>
        <w:rPr>
          <w:sz w:val="22"/>
        </w:rPr>
        <w:t>assume</w:t>
      </w:r>
      <w:r>
        <w:rPr>
          <w:spacing w:val="-11"/>
          <w:sz w:val="22"/>
        </w:rPr>
        <w:t> </w:t>
      </w:r>
      <w:r>
        <w:rPr>
          <w:sz w:val="22"/>
        </w:rPr>
        <w:t>that</w:t>
      </w:r>
      <w:r>
        <w:rPr>
          <w:spacing w:val="-13"/>
          <w:sz w:val="22"/>
        </w:rPr>
        <w:t> </w:t>
      </w:r>
      <w:r>
        <w:rPr>
          <w:sz w:val="22"/>
        </w:rPr>
        <w:t>the</w:t>
      </w:r>
      <w:r>
        <w:rPr>
          <w:spacing w:val="-11"/>
          <w:sz w:val="22"/>
        </w:rPr>
        <w:t> </w:t>
      </w:r>
      <w:r>
        <w:rPr>
          <w:sz w:val="22"/>
        </w:rPr>
        <w:t>State’s</w:t>
      </w:r>
      <w:r>
        <w:rPr>
          <w:spacing w:val="-11"/>
          <w:sz w:val="22"/>
        </w:rPr>
        <w:t> </w:t>
      </w:r>
      <w:r>
        <w:rPr>
          <w:sz w:val="22"/>
        </w:rPr>
        <w:t>Actual</w:t>
      </w:r>
      <w:r>
        <w:rPr>
          <w:spacing w:val="-11"/>
          <w:sz w:val="22"/>
        </w:rPr>
        <w:t> </w:t>
      </w:r>
      <w:r>
        <w:rPr>
          <w:sz w:val="22"/>
        </w:rPr>
        <w:t>Reduction</w:t>
      </w:r>
      <w:r>
        <w:rPr>
          <w:spacing w:val="-12"/>
          <w:sz w:val="22"/>
        </w:rPr>
        <w:t> </w:t>
      </w:r>
      <w:r>
        <w:rPr>
          <w:sz w:val="22"/>
        </w:rPr>
        <w:t>is</w:t>
      </w:r>
      <w:r>
        <w:rPr>
          <w:spacing w:val="-11"/>
          <w:sz w:val="22"/>
        </w:rPr>
        <w:t> </w:t>
      </w:r>
      <w:r>
        <w:rPr>
          <w:sz w:val="22"/>
        </w:rPr>
        <w:t>0.9%</w:t>
      </w:r>
      <w:r>
        <w:rPr>
          <w:spacing w:val="-13"/>
          <w:sz w:val="22"/>
        </w:rPr>
        <w:t> </w:t>
      </w:r>
      <w:r>
        <w:rPr>
          <w:sz w:val="22"/>
        </w:rPr>
        <w:t>in</w:t>
      </w:r>
      <w:r>
        <w:rPr>
          <w:spacing w:val="-12"/>
          <w:sz w:val="22"/>
        </w:rPr>
        <w:t> </w:t>
      </w:r>
      <w:r>
        <w:rPr>
          <w:sz w:val="22"/>
        </w:rPr>
        <w:t>BP</w:t>
      </w:r>
      <w:r>
        <w:rPr>
          <w:spacing w:val="-12"/>
          <w:sz w:val="22"/>
        </w:rPr>
        <w:t> </w:t>
      </w:r>
      <w:r>
        <w:rPr>
          <w:sz w:val="22"/>
        </w:rPr>
        <w:t>4,</w:t>
      </w:r>
      <w:r>
        <w:rPr>
          <w:spacing w:val="-12"/>
          <w:sz w:val="22"/>
        </w:rPr>
        <w:t> </w:t>
      </w:r>
      <w:r>
        <w:rPr>
          <w:sz w:val="22"/>
        </w:rPr>
        <w:t>which</w:t>
      </w:r>
      <w:r>
        <w:rPr>
          <w:spacing w:val="-14"/>
          <w:sz w:val="22"/>
        </w:rPr>
        <w:t> </w:t>
      </w:r>
      <w:r>
        <w:rPr>
          <w:sz w:val="22"/>
        </w:rPr>
        <w:t>is</w:t>
      </w:r>
      <w:r>
        <w:rPr>
          <w:spacing w:val="-10"/>
          <w:sz w:val="22"/>
        </w:rPr>
        <w:t> </w:t>
      </w:r>
      <w:r>
        <w:rPr>
          <w:sz w:val="22"/>
        </w:rPr>
        <w:t>roughly 82% of the Reduction Target, as show below:</w:t>
      </w:r>
    </w:p>
    <w:p>
      <w:pPr>
        <w:spacing w:before="112"/>
        <w:ind w:left="1231" w:right="1112" w:firstLine="0"/>
        <w:jc w:val="center"/>
        <w:rPr>
          <w:rFonts w:ascii="Cambria Math" w:hAnsi="Cambria Math" w:eastAsia="Cambria Math"/>
          <w:sz w:val="22"/>
        </w:rPr>
      </w:pPr>
      <w:r>
        <w:rPr>
          <w:rFonts w:ascii="Cambria Math" w:hAnsi="Cambria Math" w:eastAsia="Cambria Math"/>
          <w:w w:val="40"/>
          <w:sz w:val="22"/>
        </w:rPr>
        <w:t>𝑃𝑃𝐵𝐵𝐴𝐴𝐴𝐴𝐵𝐵𝐵𝐵𝐴𝐴</w:t>
      </w:r>
      <w:r>
        <w:rPr>
          <w:rFonts w:ascii="Cambria Math" w:hAnsi="Cambria Math" w:eastAsia="Cambria Math"/>
          <w:spacing w:val="-11"/>
          <w:sz w:val="22"/>
        </w:rPr>
        <w:t> </w:t>
      </w:r>
      <w:r>
        <w:rPr>
          <w:rFonts w:ascii="Cambria Math" w:hAnsi="Cambria Math" w:eastAsia="Cambria Math"/>
          <w:w w:val="40"/>
          <w:sz w:val="22"/>
        </w:rPr>
        <w:t>𝐴𝐴𝑜𝑜</w:t>
      </w:r>
      <w:r>
        <w:rPr>
          <w:rFonts w:ascii="Cambria Math" w:hAnsi="Cambria Math" w:eastAsia="Cambria Math"/>
          <w:spacing w:val="-7"/>
          <w:sz w:val="22"/>
        </w:rPr>
        <w:t> </w:t>
      </w:r>
      <w:r>
        <w:rPr>
          <w:rFonts w:ascii="Cambria Math" w:hAnsi="Cambria Math" w:eastAsia="Cambria Math"/>
          <w:w w:val="40"/>
          <w:sz w:val="22"/>
        </w:rPr>
        <w:t>𝐴𝐴𝐵𝐵𝑇𝑇𝐴𝐴𝐴𝐴𝐴𝐴𝐵𝐵𝐴𝐴𝐵𝐵</w:t>
      </w:r>
      <w:r>
        <w:rPr>
          <w:rFonts w:ascii="Cambria Math" w:hAnsi="Cambria Math" w:eastAsia="Cambria Math"/>
          <w:spacing w:val="-9"/>
          <w:sz w:val="22"/>
        </w:rPr>
        <w:t> </w:t>
      </w:r>
      <w:r>
        <w:rPr>
          <w:rFonts w:ascii="Cambria Math" w:hAnsi="Cambria Math" w:eastAsia="Cambria Math"/>
          <w:w w:val="40"/>
          <w:sz w:val="22"/>
        </w:rPr>
        <w:t>𝐴𝐴𝐵𝐵𝐴𝐴𝐴𝐴𝐵𝐵𝐴𝐴</w:t>
      </w:r>
      <w:r>
        <w:rPr>
          <w:rFonts w:ascii="Cambria Math" w:hAnsi="Cambria Math" w:eastAsia="Cambria Math"/>
          <w:spacing w:val="-9"/>
          <w:sz w:val="22"/>
        </w:rPr>
        <w:t> </w:t>
      </w:r>
      <w:r>
        <w:rPr>
          <w:rFonts w:ascii="Cambria Math" w:hAnsi="Cambria Math" w:eastAsia="Cambria Math"/>
          <w:w w:val="40"/>
          <w:sz w:val="22"/>
        </w:rPr>
        <w:t>𝐵𝐵𝐴𝐴ℎ𝐵𝐵𝐵𝐵𝐴𝐴𝐵𝐵𝑇𝑇</w:t>
      </w:r>
      <w:r>
        <w:rPr>
          <w:rFonts w:ascii="Cambria Math" w:hAnsi="Cambria Math" w:eastAsia="Cambria Math"/>
          <w:sz w:val="22"/>
        </w:rPr>
        <w:t> </w:t>
      </w:r>
      <w:r>
        <w:rPr>
          <w:rFonts w:ascii="Cambria Math" w:hAnsi="Cambria Math" w:eastAsia="Cambria Math"/>
          <w:spacing w:val="-10"/>
          <w:w w:val="40"/>
          <w:sz w:val="22"/>
        </w:rPr>
        <w:t>=</w:t>
      </w:r>
    </w:p>
    <w:p>
      <w:pPr>
        <w:spacing w:line="205" w:lineRule="exact" w:before="92"/>
        <w:ind w:left="512" w:right="1112" w:firstLine="0"/>
        <w:jc w:val="center"/>
        <w:rPr>
          <w:rFonts w:ascii="Cambria Math"/>
          <w:sz w:val="22"/>
        </w:rPr>
      </w:pPr>
      <w:r>
        <w:rPr>
          <w:rFonts w:ascii="Cambria Math"/>
          <w:spacing w:val="-4"/>
          <w:sz w:val="22"/>
        </w:rPr>
        <w:t>0.9%</w:t>
      </w:r>
    </w:p>
    <w:p>
      <w:pPr>
        <w:spacing w:after="0" w:line="205" w:lineRule="exact"/>
        <w:jc w:val="center"/>
        <w:rPr>
          <w:rFonts w:ascii="Cambria Math"/>
          <w:sz w:val="22"/>
        </w:rPr>
        <w:sectPr>
          <w:pgSz w:w="12240" w:h="15840"/>
          <w:pgMar w:header="0" w:footer="967" w:top="1380" w:bottom="1357" w:left="220" w:right="340"/>
        </w:sectPr>
      </w:pPr>
    </w:p>
    <w:p>
      <w:pPr>
        <w:pStyle w:val="BodyText"/>
        <w:spacing w:before="8" w:after="1"/>
        <w:rPr>
          <w:rFonts w:ascii="Cambria Math"/>
          <w:sz w:val="8"/>
        </w:rPr>
      </w:pPr>
    </w:p>
    <w:p>
      <w:pPr>
        <w:pStyle w:val="BodyText"/>
        <w:spacing w:line="20" w:lineRule="exact"/>
        <w:ind w:left="5295" w:right="-72"/>
        <w:rPr>
          <w:rFonts w:ascii="Cambria Math"/>
          <w:sz w:val="2"/>
        </w:rPr>
      </w:pPr>
      <w:r>
        <w:rPr>
          <w:rFonts w:ascii="Cambria Math"/>
          <w:sz w:val="2"/>
        </w:rPr>
        <mc:AlternateContent>
          <mc:Choice Requires="wps">
            <w:drawing>
              <wp:inline distT="0" distB="0" distL="0" distR="0">
                <wp:extent cx="307975" cy="9525"/>
                <wp:effectExtent l="0" t="0" r="0" b="0"/>
                <wp:docPr id="938" name="Group 938"/>
                <wp:cNvGraphicFramePr>
                  <a:graphicFrameLocks/>
                </wp:cNvGraphicFramePr>
                <a:graphic>
                  <a:graphicData uri="http://schemas.microsoft.com/office/word/2010/wordprocessingGroup">
                    <wpg:wgp>
                      <wpg:cNvPr id="938" name="Group 938"/>
                      <wpg:cNvGrpSpPr/>
                      <wpg:grpSpPr>
                        <a:xfrm>
                          <a:off x="0" y="0"/>
                          <a:ext cx="307975" cy="9525"/>
                          <a:chExt cx="307975" cy="9525"/>
                        </a:xfrm>
                      </wpg:grpSpPr>
                      <wps:wsp>
                        <wps:cNvPr id="939" name="Graphic 939"/>
                        <wps:cNvSpPr/>
                        <wps:spPr>
                          <a:xfrm>
                            <a:off x="0" y="0"/>
                            <a:ext cx="307975" cy="9525"/>
                          </a:xfrm>
                          <a:custGeom>
                            <a:avLst/>
                            <a:gdLst/>
                            <a:ahLst/>
                            <a:cxnLst/>
                            <a:rect l="l" t="t" r="r" b="b"/>
                            <a:pathLst>
                              <a:path w="307975" h="9525">
                                <a:moveTo>
                                  <a:pt x="307848" y="0"/>
                                </a:moveTo>
                                <a:lnTo>
                                  <a:pt x="0" y="0"/>
                                </a:lnTo>
                                <a:lnTo>
                                  <a:pt x="0" y="9144"/>
                                </a:lnTo>
                                <a:lnTo>
                                  <a:pt x="307848" y="9144"/>
                                </a:lnTo>
                                <a:lnTo>
                                  <a:pt x="3078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4.25pt;height:.75pt;mso-position-horizontal-relative:char;mso-position-vertical-relative:line" id="docshapegroup153" coordorigin="0,0" coordsize="485,15">
                <v:rect style="position:absolute;left:0;top:0;width:485;height:15" id="docshape154" filled="true" fillcolor="#000000" stroked="false">
                  <v:fill type="solid"/>
                </v:rect>
              </v:group>
            </w:pict>
          </mc:Fallback>
        </mc:AlternateContent>
      </w:r>
      <w:r>
        <w:rPr>
          <w:rFonts w:ascii="Cambria Math"/>
          <w:sz w:val="2"/>
        </w:rPr>
      </w:r>
    </w:p>
    <w:p>
      <w:pPr>
        <w:spacing w:before="0"/>
        <w:ind w:left="0" w:right="0" w:firstLine="0"/>
        <w:jc w:val="right"/>
        <w:rPr>
          <w:rFonts w:ascii="Cambria Math"/>
          <w:sz w:val="22"/>
        </w:rPr>
      </w:pPr>
      <w:r>
        <w:rPr>
          <w:rFonts w:ascii="Cambria Math"/>
          <w:spacing w:val="-4"/>
          <w:sz w:val="22"/>
        </w:rPr>
        <w:t>1.1%</w:t>
      </w:r>
    </w:p>
    <w:p>
      <w:pPr>
        <w:spacing w:line="221" w:lineRule="exact" w:before="0"/>
        <w:ind w:left="20" w:right="0" w:firstLine="0"/>
        <w:jc w:val="left"/>
        <w:rPr>
          <w:rFonts w:ascii="Cambria Math" w:hAnsi="Cambria Math"/>
          <w:sz w:val="22"/>
        </w:rPr>
      </w:pPr>
      <w:r>
        <w:rPr/>
        <w:br w:type="column"/>
      </w:r>
      <w:r>
        <w:rPr>
          <w:rFonts w:ascii="Cambria Math" w:hAnsi="Cambria Math"/>
          <w:sz w:val="22"/>
        </w:rPr>
        <w:t>≈</w:t>
      </w:r>
      <w:r>
        <w:rPr>
          <w:rFonts w:ascii="Cambria Math" w:hAnsi="Cambria Math"/>
          <w:spacing w:val="10"/>
          <w:sz w:val="22"/>
        </w:rPr>
        <w:t> </w:t>
      </w:r>
      <w:r>
        <w:rPr>
          <w:rFonts w:ascii="Cambria Math" w:hAnsi="Cambria Math"/>
          <w:spacing w:val="-5"/>
          <w:sz w:val="22"/>
        </w:rPr>
        <w:t>82%</w:t>
      </w:r>
    </w:p>
    <w:p>
      <w:pPr>
        <w:spacing w:after="0" w:line="221" w:lineRule="exact"/>
        <w:jc w:val="left"/>
        <w:rPr>
          <w:rFonts w:ascii="Cambria Math" w:hAnsi="Cambria Math"/>
          <w:sz w:val="22"/>
        </w:rPr>
        <w:sectPr>
          <w:type w:val="continuous"/>
          <w:pgSz w:w="12240" w:h="15840"/>
          <w:pgMar w:header="0" w:footer="967" w:top="320" w:bottom="280" w:left="220" w:right="340"/>
          <w:cols w:num="2" w:equalWidth="0">
            <w:col w:w="5782" w:space="40"/>
            <w:col w:w="5858"/>
          </w:cols>
        </w:sectPr>
      </w:pPr>
    </w:p>
    <w:p>
      <w:pPr>
        <w:pStyle w:val="BodyText"/>
        <w:rPr>
          <w:rFonts w:ascii="Cambria Math"/>
          <w:sz w:val="20"/>
        </w:rPr>
      </w:pPr>
    </w:p>
    <w:p>
      <w:pPr>
        <w:spacing w:before="208"/>
        <w:ind w:left="1275" w:right="0" w:firstLine="0"/>
        <w:jc w:val="left"/>
        <w:rPr>
          <w:sz w:val="22"/>
        </w:rPr>
      </w:pPr>
      <w:r>
        <w:rPr>
          <w:sz w:val="22"/>
        </w:rPr>
        <w:t>Thus,</w:t>
      </w:r>
      <w:r>
        <w:rPr>
          <w:spacing w:val="-4"/>
          <w:sz w:val="22"/>
        </w:rPr>
        <w:t> </w:t>
      </w:r>
      <w:r>
        <w:rPr>
          <w:sz w:val="22"/>
        </w:rPr>
        <w:t>to</w:t>
      </w:r>
      <w:r>
        <w:rPr>
          <w:spacing w:val="-4"/>
          <w:sz w:val="22"/>
        </w:rPr>
        <w:t> </w:t>
      </w:r>
      <w:r>
        <w:rPr>
          <w:sz w:val="22"/>
        </w:rPr>
        <w:t>calculate</w:t>
      </w:r>
      <w:r>
        <w:rPr>
          <w:spacing w:val="-5"/>
          <w:sz w:val="22"/>
        </w:rPr>
        <w:t> </w:t>
      </w:r>
      <w:r>
        <w:rPr>
          <w:sz w:val="22"/>
        </w:rPr>
        <w:t>this</w:t>
      </w:r>
      <w:r>
        <w:rPr>
          <w:spacing w:val="-4"/>
          <w:sz w:val="22"/>
        </w:rPr>
        <w:t> </w:t>
      </w:r>
      <w:r>
        <w:rPr>
          <w:sz w:val="22"/>
        </w:rPr>
        <w:t>State</w:t>
      </w:r>
      <w:r>
        <w:rPr>
          <w:spacing w:val="-3"/>
          <w:sz w:val="22"/>
        </w:rPr>
        <w:t> </w:t>
      </w:r>
      <w:r>
        <w:rPr>
          <w:sz w:val="22"/>
        </w:rPr>
        <w:t>accountability</w:t>
      </w:r>
      <w:r>
        <w:rPr>
          <w:spacing w:val="-7"/>
          <w:sz w:val="22"/>
        </w:rPr>
        <w:t> </w:t>
      </w:r>
      <w:r>
        <w:rPr>
          <w:sz w:val="22"/>
        </w:rPr>
        <w:t>domain</w:t>
      </w:r>
      <w:r>
        <w:rPr>
          <w:spacing w:val="-3"/>
          <w:sz w:val="22"/>
        </w:rPr>
        <w:t> </w:t>
      </w:r>
      <w:r>
        <w:rPr>
          <w:spacing w:val="-2"/>
          <w:sz w:val="22"/>
        </w:rPr>
        <w:t>score:</w:t>
      </w:r>
    </w:p>
    <w:p>
      <w:pPr>
        <w:pStyle w:val="BodyText"/>
        <w:rPr>
          <w:sz w:val="20"/>
        </w:rPr>
      </w:pPr>
    </w:p>
    <w:p>
      <w:pPr>
        <w:spacing w:after="0"/>
        <w:rPr>
          <w:sz w:val="20"/>
        </w:rPr>
        <w:sectPr>
          <w:type w:val="continuous"/>
          <w:pgSz w:w="12240" w:h="15840"/>
          <w:pgMar w:header="0" w:footer="967" w:top="320" w:bottom="280" w:left="220" w:right="340"/>
        </w:sectPr>
      </w:pPr>
    </w:p>
    <w:p>
      <w:pPr>
        <w:pStyle w:val="BodyText"/>
        <w:spacing w:before="8"/>
        <w:rPr>
          <w:sz w:val="20"/>
        </w:rPr>
      </w:pPr>
    </w:p>
    <w:p>
      <w:pPr>
        <w:spacing w:before="1"/>
        <w:ind w:left="0" w:right="60" w:firstLine="0"/>
        <w:jc w:val="right"/>
        <w:rPr>
          <w:rFonts w:ascii="Cambria Math" w:hAnsi="Cambria Math"/>
          <w:sz w:val="22"/>
        </w:rPr>
      </w:pPr>
      <w:r>
        <w:rPr>
          <w:rFonts w:ascii="Cambria Math" w:hAnsi="Cambria Math"/>
          <w:sz w:val="22"/>
        </w:rPr>
        <w:t>82%</w:t>
      </w:r>
      <w:r>
        <w:rPr>
          <w:rFonts w:ascii="Cambria Math" w:hAnsi="Cambria Math"/>
          <w:spacing w:val="-1"/>
          <w:sz w:val="22"/>
        </w:rPr>
        <w:t> </w:t>
      </w:r>
      <w:r>
        <w:rPr>
          <w:rFonts w:ascii="Cambria Math" w:hAnsi="Cambria Math"/>
          <w:sz w:val="22"/>
        </w:rPr>
        <w:t>−</w:t>
      </w:r>
      <w:r>
        <w:rPr>
          <w:rFonts w:ascii="Cambria Math" w:hAnsi="Cambria Math"/>
          <w:spacing w:val="-3"/>
          <w:sz w:val="22"/>
        </w:rPr>
        <w:t> </w:t>
      </w:r>
      <w:r>
        <w:rPr>
          <w:rFonts w:ascii="Cambria Math" w:hAnsi="Cambria Math"/>
          <w:spacing w:val="-5"/>
          <w:sz w:val="22"/>
        </w:rPr>
        <w:t>50%</w:t>
      </w:r>
    </w:p>
    <w:p>
      <w:pPr>
        <w:pStyle w:val="BodyText"/>
        <w:spacing w:before="2"/>
        <w:rPr>
          <w:rFonts w:ascii="Cambria Math"/>
          <w:sz w:val="4"/>
        </w:rPr>
      </w:pPr>
    </w:p>
    <w:p>
      <w:pPr>
        <w:pStyle w:val="BodyText"/>
        <w:spacing w:line="20" w:lineRule="exact"/>
        <w:ind w:left="4906" w:right="-72"/>
        <w:rPr>
          <w:rFonts w:ascii="Cambria Math"/>
          <w:sz w:val="2"/>
        </w:rPr>
      </w:pPr>
      <w:r>
        <w:rPr>
          <w:rFonts w:ascii="Cambria Math"/>
          <w:sz w:val="2"/>
        </w:rPr>
        <mc:AlternateContent>
          <mc:Choice Requires="wps">
            <w:drawing>
              <wp:inline distT="0" distB="0" distL="0" distR="0">
                <wp:extent cx="802005" cy="9525"/>
                <wp:effectExtent l="0" t="0" r="0" b="0"/>
                <wp:docPr id="940" name="Group 940"/>
                <wp:cNvGraphicFramePr>
                  <a:graphicFrameLocks/>
                </wp:cNvGraphicFramePr>
                <a:graphic>
                  <a:graphicData uri="http://schemas.microsoft.com/office/word/2010/wordprocessingGroup">
                    <wpg:wgp>
                      <wpg:cNvPr id="940" name="Group 940"/>
                      <wpg:cNvGrpSpPr/>
                      <wpg:grpSpPr>
                        <a:xfrm>
                          <a:off x="0" y="0"/>
                          <a:ext cx="802005" cy="9525"/>
                          <a:chExt cx="802005" cy="9525"/>
                        </a:xfrm>
                      </wpg:grpSpPr>
                      <wps:wsp>
                        <wps:cNvPr id="941" name="Graphic 941"/>
                        <wps:cNvSpPr/>
                        <wps:spPr>
                          <a:xfrm>
                            <a:off x="0" y="0"/>
                            <a:ext cx="802005" cy="9525"/>
                          </a:xfrm>
                          <a:custGeom>
                            <a:avLst/>
                            <a:gdLst/>
                            <a:ahLst/>
                            <a:cxnLst/>
                            <a:rect l="l" t="t" r="r" b="b"/>
                            <a:pathLst>
                              <a:path w="802005" h="9525">
                                <a:moveTo>
                                  <a:pt x="801624" y="0"/>
                                </a:moveTo>
                                <a:lnTo>
                                  <a:pt x="0" y="0"/>
                                </a:lnTo>
                                <a:lnTo>
                                  <a:pt x="0" y="9144"/>
                                </a:lnTo>
                                <a:lnTo>
                                  <a:pt x="801624" y="9144"/>
                                </a:lnTo>
                                <a:lnTo>
                                  <a:pt x="8016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3.15pt;height:.75pt;mso-position-horizontal-relative:char;mso-position-vertical-relative:line" id="docshapegroup155" coordorigin="0,0" coordsize="1263,15">
                <v:rect style="position:absolute;left:0;top:0;width:1263;height:15" id="docshape156" filled="true" fillcolor="#000000" stroked="false">
                  <v:fill type="solid"/>
                </v:rect>
              </v:group>
            </w:pict>
          </mc:Fallback>
        </mc:AlternateContent>
      </w:r>
      <w:r>
        <w:rPr>
          <w:rFonts w:ascii="Cambria Math"/>
          <w:sz w:val="2"/>
        </w:rPr>
      </w:r>
    </w:p>
    <w:p>
      <w:pPr>
        <w:spacing w:before="0"/>
        <w:ind w:left="0" w:right="0" w:firstLine="0"/>
        <w:jc w:val="right"/>
        <w:rPr>
          <w:rFonts w:ascii="Cambria Math" w:hAnsi="Cambria Math"/>
          <w:sz w:val="22"/>
        </w:rPr>
      </w:pPr>
      <w:r>
        <w:rPr>
          <w:rFonts w:ascii="Cambria Math" w:hAnsi="Cambria Math"/>
          <w:sz w:val="22"/>
        </w:rPr>
        <w:t>100%</w:t>
      </w:r>
      <w:r>
        <w:rPr>
          <w:rFonts w:ascii="Cambria Math" w:hAnsi="Cambria Math"/>
          <w:spacing w:val="-3"/>
          <w:sz w:val="22"/>
        </w:rPr>
        <w:t> </w:t>
      </w:r>
      <w:r>
        <w:rPr>
          <w:rFonts w:ascii="Cambria Math" w:hAnsi="Cambria Math"/>
          <w:sz w:val="22"/>
        </w:rPr>
        <w:t>− </w:t>
      </w:r>
      <w:r>
        <w:rPr>
          <w:rFonts w:ascii="Cambria Math" w:hAnsi="Cambria Math"/>
          <w:spacing w:val="-5"/>
          <w:sz w:val="22"/>
        </w:rPr>
        <w:t>50%</w:t>
      </w:r>
    </w:p>
    <w:p>
      <w:pPr>
        <w:spacing w:line="240" w:lineRule="auto" w:before="0"/>
        <w:rPr>
          <w:rFonts w:ascii="Cambria Math"/>
          <w:sz w:val="22"/>
        </w:rPr>
      </w:pPr>
      <w:r>
        <w:rPr/>
        <w:br w:type="column"/>
      </w:r>
      <w:r>
        <w:rPr>
          <w:rFonts w:ascii="Cambria Math"/>
          <w:sz w:val="22"/>
        </w:rPr>
      </w:r>
    </w:p>
    <w:p>
      <w:pPr>
        <w:spacing w:before="149"/>
        <w:ind w:left="18" w:right="0" w:firstLine="0"/>
        <w:jc w:val="left"/>
        <w:rPr>
          <w:rFonts w:ascii="Cambria Math"/>
          <w:sz w:val="22"/>
        </w:rPr>
      </w:pPr>
      <w:r>
        <w:rPr>
          <w:rFonts w:ascii="Cambria Math"/>
          <w:sz w:val="22"/>
        </w:rPr>
        <w:t>=</w:t>
      </w:r>
      <w:r>
        <w:rPr>
          <w:rFonts w:ascii="Cambria Math"/>
          <w:spacing w:val="10"/>
          <w:sz w:val="22"/>
        </w:rPr>
        <w:t> </w:t>
      </w:r>
      <w:r>
        <w:rPr>
          <w:rFonts w:ascii="Cambria Math"/>
          <w:spacing w:val="-5"/>
          <w:sz w:val="22"/>
        </w:rPr>
        <w:t>64%</w:t>
      </w:r>
    </w:p>
    <w:p>
      <w:pPr>
        <w:spacing w:after="0"/>
        <w:jc w:val="left"/>
        <w:rPr>
          <w:rFonts w:ascii="Cambria Math"/>
          <w:sz w:val="22"/>
        </w:rPr>
        <w:sectPr>
          <w:type w:val="continuous"/>
          <w:pgSz w:w="12240" w:h="15840"/>
          <w:pgMar w:header="0" w:footer="967" w:top="320" w:bottom="280" w:left="220" w:right="340"/>
          <w:cols w:num="2" w:equalWidth="0">
            <w:col w:w="6171" w:space="40"/>
            <w:col w:w="5469"/>
          </w:cols>
        </w:sectPr>
      </w:pPr>
    </w:p>
    <w:p>
      <w:pPr>
        <w:pStyle w:val="BodyText"/>
        <w:rPr>
          <w:rFonts w:ascii="Cambria Math"/>
          <w:sz w:val="20"/>
        </w:rPr>
      </w:pPr>
    </w:p>
    <w:p>
      <w:pPr>
        <w:spacing w:before="209"/>
        <w:ind w:left="1220" w:right="0" w:firstLine="0"/>
        <w:jc w:val="both"/>
        <w:rPr>
          <w:sz w:val="22"/>
        </w:rPr>
      </w:pPr>
      <w:r>
        <w:rPr>
          <w:sz w:val="22"/>
        </w:rPr>
        <w:t>Therefore,</w:t>
      </w:r>
      <w:r>
        <w:rPr>
          <w:spacing w:val="-5"/>
          <w:sz w:val="22"/>
        </w:rPr>
        <w:t> </w:t>
      </w:r>
      <w:r>
        <w:rPr>
          <w:sz w:val="22"/>
        </w:rPr>
        <w:t>the</w:t>
      </w:r>
      <w:r>
        <w:rPr>
          <w:spacing w:val="-3"/>
          <w:sz w:val="22"/>
        </w:rPr>
        <w:t> </w:t>
      </w:r>
      <w:r>
        <w:rPr>
          <w:sz w:val="22"/>
        </w:rPr>
        <w:t>State</w:t>
      </w:r>
      <w:r>
        <w:rPr>
          <w:spacing w:val="-3"/>
          <w:sz w:val="22"/>
        </w:rPr>
        <w:t> </w:t>
      </w:r>
      <w:r>
        <w:rPr>
          <w:sz w:val="22"/>
        </w:rPr>
        <w:t>receives</w:t>
      </w:r>
      <w:r>
        <w:rPr>
          <w:spacing w:val="-3"/>
          <w:sz w:val="22"/>
        </w:rPr>
        <w:t> </w:t>
      </w:r>
      <w:r>
        <w:rPr>
          <w:sz w:val="22"/>
        </w:rPr>
        <w:t>an</w:t>
      </w:r>
      <w:r>
        <w:rPr>
          <w:spacing w:val="-3"/>
          <w:sz w:val="22"/>
        </w:rPr>
        <w:t> </w:t>
      </w:r>
      <w:r>
        <w:rPr>
          <w:sz w:val="22"/>
        </w:rPr>
        <w:t>accountability</w:t>
      </w:r>
      <w:r>
        <w:rPr>
          <w:spacing w:val="-6"/>
          <w:sz w:val="22"/>
        </w:rPr>
        <w:t> </w:t>
      </w:r>
      <w:r>
        <w:rPr>
          <w:sz w:val="22"/>
        </w:rPr>
        <w:t>domain</w:t>
      </w:r>
      <w:r>
        <w:rPr>
          <w:spacing w:val="-3"/>
          <w:sz w:val="22"/>
        </w:rPr>
        <w:t> </w:t>
      </w:r>
      <w:r>
        <w:rPr>
          <w:sz w:val="22"/>
        </w:rPr>
        <w:t>score</w:t>
      </w:r>
      <w:r>
        <w:rPr>
          <w:spacing w:val="-3"/>
          <w:sz w:val="22"/>
        </w:rPr>
        <w:t> </w:t>
      </w:r>
      <w:r>
        <w:rPr>
          <w:sz w:val="22"/>
        </w:rPr>
        <w:t>of</w:t>
      </w:r>
      <w:r>
        <w:rPr>
          <w:spacing w:val="-5"/>
          <w:sz w:val="22"/>
        </w:rPr>
        <w:t> </w:t>
      </w:r>
      <w:r>
        <w:rPr>
          <w:b/>
          <w:sz w:val="22"/>
        </w:rPr>
        <w:t>64%</w:t>
      </w:r>
      <w:r>
        <w:rPr>
          <w:b/>
          <w:spacing w:val="-6"/>
          <w:sz w:val="22"/>
        </w:rPr>
        <w:t> </w:t>
      </w:r>
      <w:r>
        <w:rPr>
          <w:sz w:val="22"/>
        </w:rPr>
        <w:t>in</w:t>
      </w:r>
      <w:r>
        <w:rPr>
          <w:spacing w:val="-3"/>
          <w:sz w:val="22"/>
        </w:rPr>
        <w:t> </w:t>
      </w:r>
      <w:r>
        <w:rPr>
          <w:sz w:val="22"/>
        </w:rPr>
        <w:t>this</w:t>
      </w:r>
      <w:r>
        <w:rPr>
          <w:spacing w:val="-4"/>
          <w:sz w:val="22"/>
        </w:rPr>
        <w:t> </w:t>
      </w:r>
      <w:r>
        <w:rPr>
          <w:spacing w:val="-2"/>
          <w:sz w:val="22"/>
        </w:rPr>
        <w:t>category.</w:t>
      </w:r>
    </w:p>
    <w:p>
      <w:pPr>
        <w:pStyle w:val="Heading2"/>
        <w:ind w:left="1220" w:firstLine="0"/>
      </w:pPr>
      <w:bookmarkStart w:name="Step 3: Calculate the Overall Statewide " w:id="1532"/>
      <w:bookmarkEnd w:id="1532"/>
      <w:r>
        <w:rPr>
          <w:b w:val="0"/>
        </w:rPr>
      </w:r>
      <w:bookmarkStart w:name="_bookmark134" w:id="1533"/>
      <w:bookmarkEnd w:id="1533"/>
      <w:r>
        <w:rPr>
          <w:b w:val="0"/>
        </w:rPr>
      </w:r>
      <w:r>
        <w:rPr>
          <w:color w:val="4471C4"/>
        </w:rPr>
        <w:t>Step</w:t>
      </w:r>
      <w:r>
        <w:rPr>
          <w:color w:val="4471C4"/>
          <w:spacing w:val="-9"/>
        </w:rPr>
        <w:t> </w:t>
      </w:r>
      <w:r>
        <w:rPr>
          <w:color w:val="4471C4"/>
        </w:rPr>
        <w:t>3:</w:t>
      </w:r>
      <w:r>
        <w:rPr>
          <w:color w:val="4471C4"/>
          <w:spacing w:val="-9"/>
        </w:rPr>
        <w:t> </w:t>
      </w:r>
      <w:r>
        <w:rPr>
          <w:color w:val="4471C4"/>
        </w:rPr>
        <w:t>Calculate</w:t>
      </w:r>
      <w:r>
        <w:rPr>
          <w:color w:val="4471C4"/>
          <w:spacing w:val="-5"/>
        </w:rPr>
        <w:t> </w:t>
      </w:r>
      <w:r>
        <w:rPr>
          <w:color w:val="4471C4"/>
        </w:rPr>
        <w:t>the</w:t>
      </w:r>
      <w:r>
        <w:rPr>
          <w:color w:val="4471C4"/>
          <w:spacing w:val="-6"/>
        </w:rPr>
        <w:t> </w:t>
      </w:r>
      <w:r>
        <w:rPr>
          <w:color w:val="4471C4"/>
        </w:rPr>
        <w:t>Overall</w:t>
      </w:r>
      <w:r>
        <w:rPr>
          <w:color w:val="4471C4"/>
          <w:spacing w:val="-9"/>
        </w:rPr>
        <w:t> </w:t>
      </w:r>
      <w:r>
        <w:rPr>
          <w:color w:val="4471C4"/>
        </w:rPr>
        <w:t>Statewide</w:t>
      </w:r>
      <w:r>
        <w:rPr>
          <w:color w:val="4471C4"/>
          <w:spacing w:val="-8"/>
        </w:rPr>
        <w:t> </w:t>
      </w:r>
      <w:r>
        <w:rPr>
          <w:color w:val="4471C4"/>
        </w:rPr>
        <w:t>Quality</w:t>
      </w:r>
      <w:r>
        <w:rPr>
          <w:color w:val="4471C4"/>
          <w:spacing w:val="-6"/>
        </w:rPr>
        <w:t> </w:t>
      </w:r>
      <w:r>
        <w:rPr>
          <w:color w:val="4471C4"/>
        </w:rPr>
        <w:t>Performance</w:t>
      </w:r>
      <w:r>
        <w:rPr>
          <w:color w:val="4471C4"/>
          <w:spacing w:val="-9"/>
        </w:rPr>
        <w:t> </w:t>
      </w:r>
      <w:r>
        <w:rPr>
          <w:color w:val="4471C4"/>
        </w:rPr>
        <w:t>for</w:t>
      </w:r>
      <w:r>
        <w:rPr>
          <w:color w:val="4471C4"/>
          <w:spacing w:val="-6"/>
        </w:rPr>
        <w:t> </w:t>
      </w:r>
      <w:r>
        <w:rPr>
          <w:color w:val="4471C4"/>
        </w:rPr>
        <w:t>BP</w:t>
      </w:r>
      <w:r>
        <w:rPr>
          <w:color w:val="4471C4"/>
          <w:spacing w:val="-8"/>
        </w:rPr>
        <w:t> </w:t>
      </w:r>
      <w:r>
        <w:rPr>
          <w:color w:val="4471C4"/>
          <w:spacing w:val="-10"/>
        </w:rPr>
        <w:t>4</w:t>
      </w:r>
    </w:p>
    <w:p>
      <w:pPr>
        <w:spacing w:before="0"/>
        <w:ind w:left="1220" w:right="1091" w:firstLine="0"/>
        <w:jc w:val="both"/>
        <w:rPr>
          <w:sz w:val="22"/>
        </w:rPr>
      </w:pPr>
      <w:r>
        <w:rPr>
          <w:sz w:val="22"/>
        </w:rPr>
        <w:t>In accordance with STC 71, the State will annually calculate the State performance score for each quality domain</w:t>
      </w:r>
      <w:r>
        <w:rPr>
          <w:spacing w:val="-4"/>
          <w:sz w:val="22"/>
        </w:rPr>
        <w:t> </w:t>
      </w:r>
      <w:r>
        <w:rPr>
          <w:sz w:val="22"/>
        </w:rPr>
        <w:t>by</w:t>
      </w:r>
      <w:r>
        <w:rPr>
          <w:spacing w:val="-6"/>
          <w:sz w:val="22"/>
        </w:rPr>
        <w:t> </w:t>
      </w:r>
      <w:r>
        <w:rPr>
          <w:sz w:val="22"/>
        </w:rPr>
        <w:t>aggregating</w:t>
      </w:r>
      <w:r>
        <w:rPr>
          <w:spacing w:val="-6"/>
          <w:sz w:val="22"/>
        </w:rPr>
        <w:t> </w:t>
      </w:r>
      <w:r>
        <w:rPr>
          <w:sz w:val="22"/>
        </w:rPr>
        <w:t>the</w:t>
      </w:r>
      <w:r>
        <w:rPr>
          <w:spacing w:val="-3"/>
          <w:sz w:val="22"/>
        </w:rPr>
        <w:t> </w:t>
      </w:r>
      <w:r>
        <w:rPr>
          <w:sz w:val="22"/>
        </w:rPr>
        <w:t>performance</w:t>
      </w:r>
      <w:r>
        <w:rPr>
          <w:spacing w:val="-3"/>
          <w:sz w:val="22"/>
        </w:rPr>
        <w:t> </w:t>
      </w:r>
      <w:r>
        <w:rPr>
          <w:sz w:val="22"/>
        </w:rPr>
        <w:t>scores</w:t>
      </w:r>
      <w:r>
        <w:rPr>
          <w:spacing w:val="-3"/>
          <w:sz w:val="22"/>
        </w:rPr>
        <w:t> </w:t>
      </w:r>
      <w:r>
        <w:rPr>
          <w:sz w:val="22"/>
        </w:rPr>
        <w:t>of</w:t>
      </w:r>
      <w:r>
        <w:rPr>
          <w:spacing w:val="-3"/>
          <w:sz w:val="22"/>
        </w:rPr>
        <w:t> </w:t>
      </w:r>
      <w:r>
        <w:rPr>
          <w:sz w:val="22"/>
        </w:rPr>
        <w:t>all</w:t>
      </w:r>
      <w:r>
        <w:rPr>
          <w:spacing w:val="-3"/>
          <w:sz w:val="22"/>
        </w:rPr>
        <w:t> </w:t>
      </w:r>
      <w:r>
        <w:rPr>
          <w:sz w:val="22"/>
        </w:rPr>
        <w:t>ACOs.</w:t>
      </w:r>
      <w:r>
        <w:rPr>
          <w:spacing w:val="-4"/>
          <w:sz w:val="22"/>
        </w:rPr>
        <w:t> </w:t>
      </w:r>
      <w:r>
        <w:rPr>
          <w:sz w:val="22"/>
        </w:rPr>
        <w:t>Weighting</w:t>
      </w:r>
      <w:r>
        <w:rPr>
          <w:spacing w:val="-4"/>
          <w:sz w:val="22"/>
        </w:rPr>
        <w:t> </w:t>
      </w:r>
      <w:r>
        <w:rPr>
          <w:sz w:val="22"/>
        </w:rPr>
        <w:t>varies</w:t>
      </w:r>
      <w:r>
        <w:rPr>
          <w:spacing w:val="-3"/>
          <w:sz w:val="22"/>
        </w:rPr>
        <w:t> </w:t>
      </w:r>
      <w:r>
        <w:rPr>
          <w:sz w:val="22"/>
        </w:rPr>
        <w:t>by</w:t>
      </w:r>
      <w:r>
        <w:rPr>
          <w:spacing w:val="-6"/>
          <w:sz w:val="22"/>
        </w:rPr>
        <w:t> </w:t>
      </w:r>
      <w:r>
        <w:rPr>
          <w:sz w:val="22"/>
        </w:rPr>
        <w:t>Budget</w:t>
      </w:r>
      <w:r>
        <w:rPr>
          <w:spacing w:val="-3"/>
          <w:sz w:val="22"/>
        </w:rPr>
        <w:t> </w:t>
      </w:r>
      <w:r>
        <w:rPr>
          <w:sz w:val="22"/>
        </w:rPr>
        <w:t>Period,</w:t>
      </w:r>
      <w:r>
        <w:rPr>
          <w:spacing w:val="-4"/>
          <w:sz w:val="22"/>
        </w:rPr>
        <w:t> </w:t>
      </w:r>
      <w:r>
        <w:rPr>
          <w:sz w:val="22"/>
        </w:rPr>
        <w:t>as</w:t>
      </w:r>
      <w:r>
        <w:rPr>
          <w:spacing w:val="-3"/>
          <w:sz w:val="22"/>
        </w:rPr>
        <w:t> </w:t>
      </w:r>
      <w:r>
        <w:rPr>
          <w:sz w:val="22"/>
        </w:rPr>
        <w:t>shown </w:t>
      </w:r>
      <w:r>
        <w:rPr>
          <w:spacing w:val="-2"/>
          <w:sz w:val="22"/>
        </w:rPr>
        <w:t>below:</w:t>
      </w:r>
    </w:p>
    <w:p>
      <w:pPr>
        <w:pStyle w:val="BodyText"/>
      </w:pPr>
    </w:p>
    <w:p>
      <w:pPr>
        <w:pStyle w:val="BodyText"/>
        <w:spacing w:before="10"/>
        <w:rPr>
          <w:sz w:val="18"/>
        </w:rPr>
      </w:pPr>
    </w:p>
    <w:p>
      <w:pPr>
        <w:spacing w:before="0"/>
        <w:ind w:left="1220" w:right="0" w:firstLine="0"/>
        <w:jc w:val="both"/>
        <w:rPr>
          <w:sz w:val="22"/>
        </w:rPr>
      </w:pPr>
      <w:r>
        <w:rPr>
          <w:b/>
          <w:sz w:val="22"/>
        </w:rPr>
        <w:t>EXHIBIT</w:t>
      </w:r>
      <w:r>
        <w:rPr>
          <w:b/>
          <w:spacing w:val="-4"/>
          <w:sz w:val="22"/>
        </w:rPr>
        <w:t> </w:t>
      </w:r>
      <w:r>
        <w:rPr>
          <w:b/>
          <w:sz w:val="22"/>
        </w:rPr>
        <w:t>A4</w:t>
      </w:r>
      <w:r>
        <w:rPr>
          <w:b/>
          <w:spacing w:val="-4"/>
          <w:sz w:val="22"/>
        </w:rPr>
        <w:t> </w:t>
      </w:r>
      <w:r>
        <w:rPr>
          <w:sz w:val="22"/>
        </w:rPr>
        <w:t>–</w:t>
      </w:r>
      <w:r>
        <w:rPr>
          <w:spacing w:val="-3"/>
          <w:sz w:val="22"/>
        </w:rPr>
        <w:t> </w:t>
      </w:r>
      <w:r>
        <w:rPr>
          <w:sz w:val="22"/>
        </w:rPr>
        <w:t>State</w:t>
      </w:r>
      <w:r>
        <w:rPr>
          <w:spacing w:val="-3"/>
          <w:sz w:val="22"/>
        </w:rPr>
        <w:t> </w:t>
      </w:r>
      <w:r>
        <w:rPr>
          <w:sz w:val="22"/>
        </w:rPr>
        <w:t>Quality</w:t>
      </w:r>
      <w:r>
        <w:rPr>
          <w:spacing w:val="-5"/>
          <w:sz w:val="22"/>
        </w:rPr>
        <w:t> </w:t>
      </w:r>
      <w:r>
        <w:rPr>
          <w:sz w:val="22"/>
        </w:rPr>
        <w:t>Domain</w:t>
      </w:r>
      <w:r>
        <w:rPr>
          <w:spacing w:val="-3"/>
          <w:sz w:val="22"/>
        </w:rPr>
        <w:t> </w:t>
      </w:r>
      <w:r>
        <w:rPr>
          <w:spacing w:val="-2"/>
          <w:sz w:val="22"/>
        </w:rPr>
        <w:t>Weights</w:t>
      </w:r>
    </w:p>
    <w:p>
      <w:pPr>
        <w:pStyle w:val="BodyText"/>
        <w:spacing w:before="5" w:after="1"/>
        <w:rPr>
          <w:sz w:val="10"/>
        </w:rPr>
      </w:pPr>
    </w:p>
    <w:tbl>
      <w:tblPr>
        <w:tblW w:w="0" w:type="auto"/>
        <w:jc w:val="left"/>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6"/>
        <w:gridCol w:w="416"/>
        <w:gridCol w:w="4371"/>
        <w:gridCol w:w="1361"/>
        <w:gridCol w:w="1404"/>
        <w:gridCol w:w="1536"/>
        <w:gridCol w:w="274"/>
      </w:tblGrid>
      <w:tr>
        <w:trPr>
          <w:trHeight w:val="407" w:hRule="atLeast"/>
        </w:trPr>
        <w:tc>
          <w:tcPr>
            <w:tcW w:w="286" w:type="dxa"/>
            <w:vMerge w:val="restart"/>
            <w:tcBorders>
              <w:left w:val="nil"/>
              <w:right w:val="single" w:sz="4" w:space="0" w:color="BEBEBE"/>
            </w:tcBorders>
          </w:tcPr>
          <w:p>
            <w:pPr>
              <w:pStyle w:val="TableParagraph"/>
              <w:rPr>
                <w:sz w:val="20"/>
              </w:rPr>
            </w:pPr>
          </w:p>
        </w:tc>
        <w:tc>
          <w:tcPr>
            <w:tcW w:w="7552" w:type="dxa"/>
            <w:gridSpan w:val="4"/>
            <w:tcBorders>
              <w:top w:val="single" w:sz="8" w:space="0" w:color="000000"/>
              <w:left w:val="single" w:sz="4" w:space="0" w:color="BEBEBE"/>
              <w:bottom w:val="single" w:sz="4" w:space="0" w:color="BEBEBE"/>
              <w:right w:val="single" w:sz="4" w:space="0" w:color="BEBEBE"/>
            </w:tcBorders>
            <w:shd w:val="clear" w:color="auto" w:fill="1F487C"/>
          </w:tcPr>
          <w:p>
            <w:pPr>
              <w:pStyle w:val="TableParagraph"/>
              <w:ind w:left="2466" w:right="2468"/>
              <w:jc w:val="center"/>
              <w:rPr>
                <w:b/>
                <w:sz w:val="20"/>
              </w:rPr>
            </w:pPr>
            <w:r>
              <w:rPr>
                <w:b/>
                <w:color w:val="FFFFFF"/>
                <w:sz w:val="20"/>
              </w:rPr>
              <w:t>State</w:t>
            </w:r>
            <w:r>
              <w:rPr>
                <w:b/>
                <w:color w:val="FFFFFF"/>
                <w:spacing w:val="-9"/>
                <w:sz w:val="20"/>
              </w:rPr>
              <w:t> </w:t>
            </w:r>
            <w:r>
              <w:rPr>
                <w:b/>
                <w:color w:val="FFFFFF"/>
                <w:sz w:val="20"/>
              </w:rPr>
              <w:t>Quality</w:t>
            </w:r>
            <w:r>
              <w:rPr>
                <w:b/>
                <w:color w:val="FFFFFF"/>
                <w:spacing w:val="-7"/>
                <w:sz w:val="20"/>
              </w:rPr>
              <w:t> </w:t>
            </w:r>
            <w:r>
              <w:rPr>
                <w:b/>
                <w:color w:val="FFFFFF"/>
                <w:sz w:val="20"/>
              </w:rPr>
              <w:t>Domain</w:t>
            </w:r>
            <w:r>
              <w:rPr>
                <w:b/>
                <w:color w:val="FFFFFF"/>
                <w:spacing w:val="-8"/>
                <w:sz w:val="20"/>
              </w:rPr>
              <w:t> </w:t>
            </w:r>
            <w:r>
              <w:rPr>
                <w:b/>
                <w:color w:val="FFFFFF"/>
                <w:spacing w:val="-2"/>
                <w:sz w:val="20"/>
              </w:rPr>
              <w:t>Weights</w:t>
            </w:r>
          </w:p>
        </w:tc>
        <w:tc>
          <w:tcPr>
            <w:tcW w:w="1536" w:type="dxa"/>
            <w:tcBorders>
              <w:top w:val="single" w:sz="8" w:space="0" w:color="000000"/>
              <w:left w:val="single" w:sz="4" w:space="0" w:color="BEBEBE"/>
              <w:bottom w:val="single" w:sz="4" w:space="0" w:color="BEBEBE"/>
              <w:right w:val="single" w:sz="4" w:space="0" w:color="BEBEBE"/>
            </w:tcBorders>
            <w:shd w:val="clear" w:color="auto" w:fill="1F487C"/>
          </w:tcPr>
          <w:p>
            <w:pPr>
              <w:pStyle w:val="TableParagraph"/>
              <w:rPr>
                <w:sz w:val="20"/>
              </w:rPr>
            </w:pPr>
          </w:p>
        </w:tc>
        <w:tc>
          <w:tcPr>
            <w:tcW w:w="274" w:type="dxa"/>
            <w:vMerge w:val="restart"/>
            <w:tcBorders>
              <w:left w:val="single" w:sz="4" w:space="0" w:color="BEBEBE"/>
              <w:right w:val="nil"/>
            </w:tcBorders>
          </w:tcPr>
          <w:p>
            <w:pPr>
              <w:pStyle w:val="TableParagraph"/>
              <w:rPr>
                <w:sz w:val="20"/>
              </w:rPr>
            </w:pPr>
          </w:p>
        </w:tc>
      </w:tr>
      <w:tr>
        <w:trPr>
          <w:trHeight w:val="496" w:hRule="atLeast"/>
        </w:trPr>
        <w:tc>
          <w:tcPr>
            <w:tcW w:w="286" w:type="dxa"/>
            <w:vMerge/>
            <w:tcBorders>
              <w:top w:val="nil"/>
              <w:left w:val="nil"/>
              <w:right w:val="single" w:sz="4" w:space="0" w:color="BEBEBE"/>
            </w:tcBorders>
          </w:tcPr>
          <w:p>
            <w:pPr>
              <w:rPr>
                <w:sz w:val="2"/>
                <w:szCs w:val="2"/>
              </w:rPr>
            </w:pPr>
          </w:p>
        </w:tc>
        <w:tc>
          <w:tcPr>
            <w:tcW w:w="4787" w:type="dxa"/>
            <w:gridSpan w:val="2"/>
            <w:tcBorders>
              <w:top w:val="single" w:sz="4" w:space="0" w:color="BEBEBE"/>
              <w:left w:val="single" w:sz="4" w:space="0" w:color="BEBEBE"/>
              <w:bottom w:val="single" w:sz="4" w:space="0" w:color="BEBEBE"/>
              <w:right w:val="single" w:sz="4" w:space="0" w:color="BEBEBE"/>
            </w:tcBorders>
            <w:shd w:val="clear" w:color="auto" w:fill="D9D9D9"/>
          </w:tcPr>
          <w:p>
            <w:pPr>
              <w:pStyle w:val="TableParagraph"/>
              <w:ind w:left="1692" w:right="1694"/>
              <w:jc w:val="center"/>
              <w:rPr>
                <w:b/>
                <w:sz w:val="20"/>
              </w:rPr>
            </w:pPr>
            <w:r>
              <w:rPr>
                <w:b/>
                <w:sz w:val="20"/>
              </w:rPr>
              <w:t>Quality</w:t>
            </w:r>
            <w:r>
              <w:rPr>
                <w:b/>
                <w:spacing w:val="-10"/>
                <w:sz w:val="20"/>
              </w:rPr>
              <w:t> </w:t>
            </w:r>
            <w:r>
              <w:rPr>
                <w:b/>
                <w:spacing w:val="-2"/>
                <w:sz w:val="20"/>
              </w:rPr>
              <w:t>Domain</w:t>
            </w:r>
          </w:p>
        </w:tc>
        <w:tc>
          <w:tcPr>
            <w:tcW w:w="1361"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ind w:left="91" w:right="92"/>
              <w:jc w:val="center"/>
              <w:rPr>
                <w:b/>
                <w:sz w:val="20"/>
              </w:rPr>
            </w:pPr>
            <w:r>
              <w:rPr>
                <w:b/>
                <w:spacing w:val="-2"/>
                <w:sz w:val="20"/>
              </w:rPr>
              <w:t>Domain</w:t>
            </w:r>
          </w:p>
          <w:p>
            <w:pPr>
              <w:pStyle w:val="TableParagraph"/>
              <w:spacing w:line="227" w:lineRule="exact" w:before="20"/>
              <w:ind w:left="92" w:right="92"/>
              <w:jc w:val="center"/>
              <w:rPr>
                <w:b/>
                <w:sz w:val="20"/>
              </w:rPr>
            </w:pPr>
            <w:r>
              <w:rPr>
                <w:b/>
                <w:sz w:val="20"/>
              </w:rPr>
              <w:t>Weight:</w:t>
            </w:r>
            <w:r>
              <w:rPr>
                <w:b/>
                <w:spacing w:val="-4"/>
                <w:sz w:val="20"/>
              </w:rPr>
              <w:t> </w:t>
            </w:r>
            <w:r>
              <w:rPr>
                <w:b/>
                <w:sz w:val="20"/>
              </w:rPr>
              <w:t>BP</w:t>
            </w:r>
            <w:r>
              <w:rPr>
                <w:b/>
                <w:spacing w:val="-4"/>
                <w:sz w:val="20"/>
              </w:rPr>
              <w:t> </w:t>
            </w:r>
            <w:r>
              <w:rPr>
                <w:b/>
                <w:spacing w:val="-10"/>
                <w:sz w:val="20"/>
              </w:rPr>
              <w:t>1</w:t>
            </w:r>
          </w:p>
        </w:tc>
        <w:tc>
          <w:tcPr>
            <w:tcW w:w="1404"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ind w:left="114" w:right="113"/>
              <w:jc w:val="center"/>
              <w:rPr>
                <w:b/>
                <w:sz w:val="20"/>
              </w:rPr>
            </w:pPr>
            <w:r>
              <w:rPr>
                <w:b/>
                <w:spacing w:val="-2"/>
                <w:sz w:val="20"/>
              </w:rPr>
              <w:t>Domain</w:t>
            </w:r>
          </w:p>
          <w:p>
            <w:pPr>
              <w:pStyle w:val="TableParagraph"/>
              <w:spacing w:line="227" w:lineRule="exact" w:before="20"/>
              <w:ind w:left="114" w:right="113"/>
              <w:jc w:val="center"/>
              <w:rPr>
                <w:b/>
                <w:sz w:val="20"/>
              </w:rPr>
            </w:pPr>
            <w:r>
              <w:rPr>
                <w:b/>
                <w:sz w:val="20"/>
              </w:rPr>
              <w:t>Weight:</w:t>
            </w:r>
            <w:r>
              <w:rPr>
                <w:b/>
                <w:spacing w:val="-4"/>
                <w:sz w:val="20"/>
              </w:rPr>
              <w:t> </w:t>
            </w:r>
            <w:r>
              <w:rPr>
                <w:b/>
                <w:sz w:val="20"/>
              </w:rPr>
              <w:t>BP</w:t>
            </w:r>
            <w:r>
              <w:rPr>
                <w:b/>
                <w:spacing w:val="-4"/>
                <w:sz w:val="20"/>
              </w:rPr>
              <w:t> </w:t>
            </w:r>
            <w:r>
              <w:rPr>
                <w:b/>
                <w:spacing w:val="-10"/>
                <w:sz w:val="20"/>
              </w:rPr>
              <w:t>2</w:t>
            </w:r>
          </w:p>
        </w:tc>
        <w:tc>
          <w:tcPr>
            <w:tcW w:w="1536"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ind w:left="94" w:right="98"/>
              <w:jc w:val="center"/>
              <w:rPr>
                <w:b/>
                <w:sz w:val="20"/>
              </w:rPr>
            </w:pPr>
            <w:r>
              <w:rPr>
                <w:b/>
                <w:spacing w:val="-2"/>
                <w:sz w:val="20"/>
              </w:rPr>
              <w:t>Domain</w:t>
            </w:r>
          </w:p>
          <w:p>
            <w:pPr>
              <w:pStyle w:val="TableParagraph"/>
              <w:spacing w:line="227" w:lineRule="exact" w:before="20"/>
              <w:ind w:left="98" w:right="98"/>
              <w:jc w:val="center"/>
              <w:rPr>
                <w:b/>
                <w:sz w:val="20"/>
              </w:rPr>
            </w:pPr>
            <w:r>
              <w:rPr>
                <w:b/>
                <w:sz w:val="20"/>
              </w:rPr>
              <w:t>Weight:</w:t>
            </w:r>
            <w:r>
              <w:rPr>
                <w:b/>
                <w:spacing w:val="-6"/>
                <w:sz w:val="20"/>
              </w:rPr>
              <w:t> </w:t>
            </w:r>
            <w:r>
              <w:rPr>
                <w:b/>
                <w:sz w:val="20"/>
              </w:rPr>
              <w:t>BP</w:t>
            </w:r>
            <w:r>
              <w:rPr>
                <w:b/>
                <w:spacing w:val="-5"/>
                <w:sz w:val="20"/>
              </w:rPr>
              <w:t> </w:t>
            </w:r>
            <w:r>
              <w:rPr>
                <w:b/>
                <w:sz w:val="20"/>
              </w:rPr>
              <w:t>3-</w:t>
            </w:r>
            <w:r>
              <w:rPr>
                <w:b/>
                <w:spacing w:val="-10"/>
                <w:sz w:val="20"/>
              </w:rPr>
              <w:t>5</w:t>
            </w:r>
          </w:p>
        </w:tc>
        <w:tc>
          <w:tcPr>
            <w:tcW w:w="274" w:type="dxa"/>
            <w:vMerge/>
            <w:tcBorders>
              <w:top w:val="nil"/>
              <w:left w:val="single" w:sz="4" w:space="0" w:color="BEBEBE"/>
              <w:right w:val="nil"/>
            </w:tcBorders>
          </w:tcPr>
          <w:p>
            <w:pPr>
              <w:rPr>
                <w:sz w:val="2"/>
                <w:szCs w:val="2"/>
              </w:rPr>
            </w:pPr>
          </w:p>
        </w:tc>
      </w:tr>
      <w:tr>
        <w:trPr>
          <w:trHeight w:val="249" w:hRule="atLeast"/>
        </w:trPr>
        <w:tc>
          <w:tcPr>
            <w:tcW w:w="286" w:type="dxa"/>
            <w:vMerge/>
            <w:tcBorders>
              <w:top w:val="nil"/>
              <w:left w:val="nil"/>
              <w:right w:val="single" w:sz="4" w:space="0" w:color="BEBEBE"/>
            </w:tcBorders>
          </w:tcPr>
          <w:p>
            <w:pPr>
              <w:rPr>
                <w:sz w:val="2"/>
                <w:szCs w:val="2"/>
              </w:rPr>
            </w:pPr>
          </w:p>
        </w:tc>
        <w:tc>
          <w:tcPr>
            <w:tcW w:w="4787" w:type="dxa"/>
            <w:gridSpan w:val="2"/>
            <w:tcBorders>
              <w:top w:val="single" w:sz="4" w:space="0" w:color="BEBEBE"/>
              <w:left w:val="single" w:sz="4" w:space="0" w:color="BEBEBE"/>
              <w:bottom w:val="single" w:sz="4" w:space="0" w:color="BEBEBE"/>
              <w:right w:val="single" w:sz="4" w:space="0" w:color="BEBEBE"/>
            </w:tcBorders>
            <w:shd w:val="clear" w:color="auto" w:fill="DCE6F0"/>
          </w:tcPr>
          <w:p>
            <w:pPr>
              <w:pStyle w:val="TableParagraph"/>
              <w:spacing w:line="229" w:lineRule="exact"/>
              <w:ind w:left="102"/>
              <w:rPr>
                <w:i/>
                <w:sz w:val="20"/>
              </w:rPr>
            </w:pPr>
            <w:r>
              <w:rPr>
                <w:i/>
                <w:sz w:val="20"/>
              </w:rPr>
              <w:t>Clinical</w:t>
            </w:r>
            <w:r>
              <w:rPr>
                <w:i/>
                <w:spacing w:val="-8"/>
                <w:sz w:val="20"/>
              </w:rPr>
              <w:t> </w:t>
            </w:r>
            <w:r>
              <w:rPr>
                <w:i/>
                <w:sz w:val="20"/>
              </w:rPr>
              <w:t>Quality</w:t>
            </w:r>
            <w:r>
              <w:rPr>
                <w:i/>
                <w:spacing w:val="-8"/>
                <w:sz w:val="20"/>
              </w:rPr>
              <w:t> </w:t>
            </w:r>
            <w:r>
              <w:rPr>
                <w:i/>
                <w:spacing w:val="-2"/>
                <w:sz w:val="20"/>
              </w:rPr>
              <w:t>Measures</w:t>
            </w:r>
          </w:p>
        </w:tc>
        <w:tc>
          <w:tcPr>
            <w:tcW w:w="4301" w:type="dxa"/>
            <w:gridSpan w:val="3"/>
            <w:tcBorders>
              <w:top w:val="single" w:sz="4" w:space="0" w:color="BEBEBE"/>
              <w:left w:val="single" w:sz="4" w:space="0" w:color="BEBEBE"/>
              <w:bottom w:val="single" w:sz="4" w:space="0" w:color="BEBEBE"/>
              <w:right w:val="single" w:sz="4" w:space="0" w:color="BEBEBE"/>
            </w:tcBorders>
          </w:tcPr>
          <w:p>
            <w:pPr>
              <w:pStyle w:val="TableParagraph"/>
              <w:rPr>
                <w:sz w:val="18"/>
              </w:rPr>
            </w:pPr>
          </w:p>
        </w:tc>
        <w:tc>
          <w:tcPr>
            <w:tcW w:w="274" w:type="dxa"/>
            <w:vMerge/>
            <w:tcBorders>
              <w:top w:val="nil"/>
              <w:left w:val="single" w:sz="4" w:space="0" w:color="BEBEBE"/>
              <w:right w:val="nil"/>
            </w:tcBorders>
          </w:tcPr>
          <w:p>
            <w:pPr>
              <w:rPr>
                <w:sz w:val="2"/>
                <w:szCs w:val="2"/>
              </w:rPr>
            </w:pPr>
          </w:p>
        </w:tc>
      </w:tr>
      <w:tr>
        <w:trPr>
          <w:trHeight w:val="246" w:hRule="atLeast"/>
        </w:trPr>
        <w:tc>
          <w:tcPr>
            <w:tcW w:w="286" w:type="dxa"/>
            <w:vMerge/>
            <w:tcBorders>
              <w:top w:val="nil"/>
              <w:left w:val="nil"/>
              <w:right w:val="single" w:sz="4" w:space="0" w:color="BEBEBE"/>
            </w:tcBorders>
          </w:tcPr>
          <w:p>
            <w:pPr>
              <w:rPr>
                <w:sz w:val="2"/>
                <w:szCs w:val="2"/>
              </w:rPr>
            </w:pPr>
          </w:p>
        </w:tc>
        <w:tc>
          <w:tcPr>
            <w:tcW w:w="416" w:type="dxa"/>
            <w:tcBorders>
              <w:top w:val="single" w:sz="4" w:space="0" w:color="BEBEBE"/>
              <w:left w:val="single" w:sz="4" w:space="0" w:color="BEBEBE"/>
              <w:bottom w:val="single" w:sz="4" w:space="0" w:color="BEBEBE"/>
              <w:right w:val="single" w:sz="4" w:space="0" w:color="BEBEBE"/>
            </w:tcBorders>
            <w:shd w:val="clear" w:color="auto" w:fill="DCE6F0"/>
          </w:tcPr>
          <w:p>
            <w:pPr>
              <w:pStyle w:val="TableParagraph"/>
              <w:spacing w:line="227" w:lineRule="exact"/>
              <w:ind w:right="3"/>
              <w:jc w:val="center"/>
              <w:rPr>
                <w:sz w:val="20"/>
              </w:rPr>
            </w:pPr>
            <w:r>
              <w:rPr>
                <w:w w:val="99"/>
                <w:sz w:val="20"/>
              </w:rPr>
              <w:t>1</w:t>
            </w:r>
          </w:p>
        </w:tc>
        <w:tc>
          <w:tcPr>
            <w:tcW w:w="4371" w:type="dxa"/>
            <w:tcBorders>
              <w:top w:val="single" w:sz="4" w:space="0" w:color="BEBEBE"/>
              <w:left w:val="single" w:sz="4" w:space="0" w:color="BEBEBE"/>
              <w:bottom w:val="single" w:sz="4" w:space="0" w:color="BEBEBE"/>
              <w:right w:val="single" w:sz="4" w:space="0" w:color="BEBEBE"/>
            </w:tcBorders>
            <w:shd w:val="clear" w:color="auto" w:fill="DCE6F0"/>
          </w:tcPr>
          <w:p>
            <w:pPr>
              <w:pStyle w:val="TableParagraph"/>
              <w:spacing w:line="227" w:lineRule="exact"/>
              <w:ind w:left="104"/>
              <w:rPr>
                <w:sz w:val="20"/>
              </w:rPr>
            </w:pPr>
            <w:r>
              <w:rPr>
                <w:sz w:val="20"/>
              </w:rPr>
              <w:t>Prevention</w:t>
            </w:r>
            <w:r>
              <w:rPr>
                <w:spacing w:val="-6"/>
                <w:sz w:val="20"/>
              </w:rPr>
              <w:t> </w:t>
            </w:r>
            <w:r>
              <w:rPr>
                <w:sz w:val="20"/>
              </w:rPr>
              <w:t>&amp;</w:t>
            </w:r>
            <w:r>
              <w:rPr>
                <w:spacing w:val="-8"/>
                <w:sz w:val="20"/>
              </w:rPr>
              <w:t> </w:t>
            </w:r>
            <w:r>
              <w:rPr>
                <w:spacing w:val="-2"/>
                <w:sz w:val="20"/>
              </w:rPr>
              <w:t>Wellness</w:t>
            </w:r>
          </w:p>
        </w:tc>
        <w:tc>
          <w:tcPr>
            <w:tcW w:w="1361" w:type="dxa"/>
            <w:vMerge w:val="restart"/>
            <w:tcBorders>
              <w:top w:val="single" w:sz="4" w:space="0" w:color="BEBEBE"/>
              <w:left w:val="single" w:sz="4" w:space="0" w:color="BEBEBE"/>
              <w:bottom w:val="single" w:sz="4" w:space="0" w:color="BEBEBE"/>
              <w:right w:val="single" w:sz="4" w:space="0" w:color="BEBEBE"/>
            </w:tcBorders>
          </w:tcPr>
          <w:p>
            <w:pPr>
              <w:pStyle w:val="TableParagraph"/>
              <w:ind w:left="487" w:right="494"/>
              <w:jc w:val="center"/>
              <w:rPr>
                <w:b/>
                <w:sz w:val="20"/>
              </w:rPr>
            </w:pPr>
            <w:r>
              <w:rPr>
                <w:b/>
                <w:spacing w:val="-5"/>
                <w:sz w:val="20"/>
              </w:rPr>
              <w:t>N/A</w:t>
            </w:r>
          </w:p>
        </w:tc>
        <w:tc>
          <w:tcPr>
            <w:tcW w:w="1404" w:type="dxa"/>
            <w:tcBorders>
              <w:top w:val="single" w:sz="4" w:space="0" w:color="BEBEBE"/>
              <w:left w:val="single" w:sz="4" w:space="0" w:color="BEBEBE"/>
              <w:bottom w:val="single" w:sz="4" w:space="0" w:color="BEBEBE"/>
              <w:right w:val="single" w:sz="4" w:space="0" w:color="BEBEBE"/>
            </w:tcBorders>
          </w:tcPr>
          <w:p>
            <w:pPr>
              <w:pStyle w:val="TableParagraph"/>
              <w:spacing w:line="227" w:lineRule="exact"/>
              <w:ind w:left="114" w:right="113"/>
              <w:jc w:val="center"/>
              <w:rPr>
                <w:b/>
                <w:sz w:val="20"/>
              </w:rPr>
            </w:pPr>
            <w:r>
              <w:rPr>
                <w:b/>
                <w:spacing w:val="-5"/>
                <w:sz w:val="20"/>
              </w:rPr>
              <w:t>85%</w:t>
            </w:r>
          </w:p>
        </w:tc>
        <w:tc>
          <w:tcPr>
            <w:tcW w:w="1536" w:type="dxa"/>
            <w:tcBorders>
              <w:top w:val="single" w:sz="4" w:space="0" w:color="BEBEBE"/>
              <w:left w:val="single" w:sz="4" w:space="0" w:color="BEBEBE"/>
              <w:bottom w:val="single" w:sz="4" w:space="0" w:color="BEBEBE"/>
              <w:right w:val="single" w:sz="4" w:space="0" w:color="BEBEBE"/>
            </w:tcBorders>
          </w:tcPr>
          <w:p>
            <w:pPr>
              <w:pStyle w:val="TableParagraph"/>
              <w:spacing w:line="227" w:lineRule="exact"/>
              <w:ind w:left="95" w:right="98"/>
              <w:jc w:val="center"/>
              <w:rPr>
                <w:b/>
                <w:sz w:val="20"/>
              </w:rPr>
            </w:pPr>
            <w:r>
              <w:rPr>
                <w:b/>
                <w:spacing w:val="-5"/>
                <w:sz w:val="20"/>
              </w:rPr>
              <w:t>45%</w:t>
            </w:r>
          </w:p>
        </w:tc>
        <w:tc>
          <w:tcPr>
            <w:tcW w:w="274" w:type="dxa"/>
            <w:vMerge/>
            <w:tcBorders>
              <w:top w:val="nil"/>
              <w:left w:val="single" w:sz="4" w:space="0" w:color="BEBEBE"/>
              <w:right w:val="nil"/>
            </w:tcBorders>
          </w:tcPr>
          <w:p>
            <w:pPr>
              <w:rPr>
                <w:sz w:val="2"/>
                <w:szCs w:val="2"/>
              </w:rPr>
            </w:pPr>
          </w:p>
        </w:tc>
      </w:tr>
      <w:tr>
        <w:trPr>
          <w:trHeight w:val="249" w:hRule="atLeast"/>
        </w:trPr>
        <w:tc>
          <w:tcPr>
            <w:tcW w:w="286" w:type="dxa"/>
            <w:vMerge/>
            <w:tcBorders>
              <w:top w:val="nil"/>
              <w:left w:val="nil"/>
              <w:right w:val="single" w:sz="4" w:space="0" w:color="BEBEBE"/>
            </w:tcBorders>
          </w:tcPr>
          <w:p>
            <w:pPr>
              <w:rPr>
                <w:sz w:val="2"/>
                <w:szCs w:val="2"/>
              </w:rPr>
            </w:pPr>
          </w:p>
        </w:tc>
        <w:tc>
          <w:tcPr>
            <w:tcW w:w="416" w:type="dxa"/>
            <w:tcBorders>
              <w:top w:val="single" w:sz="4" w:space="0" w:color="BEBEBE"/>
              <w:left w:val="single" w:sz="4" w:space="0" w:color="BEBEBE"/>
              <w:bottom w:val="single" w:sz="4" w:space="0" w:color="BEBEBE"/>
              <w:right w:val="single" w:sz="4" w:space="0" w:color="BEBEBE"/>
            </w:tcBorders>
            <w:shd w:val="clear" w:color="auto" w:fill="DCE6F0"/>
          </w:tcPr>
          <w:p>
            <w:pPr>
              <w:pStyle w:val="TableParagraph"/>
              <w:spacing w:line="229" w:lineRule="exact"/>
              <w:ind w:right="3"/>
              <w:jc w:val="center"/>
              <w:rPr>
                <w:sz w:val="20"/>
              </w:rPr>
            </w:pPr>
            <w:r>
              <w:rPr>
                <w:w w:val="99"/>
                <w:sz w:val="20"/>
              </w:rPr>
              <w:t>2</w:t>
            </w:r>
          </w:p>
        </w:tc>
        <w:tc>
          <w:tcPr>
            <w:tcW w:w="4371" w:type="dxa"/>
            <w:tcBorders>
              <w:top w:val="single" w:sz="4" w:space="0" w:color="BEBEBE"/>
              <w:left w:val="single" w:sz="4" w:space="0" w:color="BEBEBE"/>
              <w:bottom w:val="single" w:sz="4" w:space="0" w:color="BEBEBE"/>
              <w:right w:val="single" w:sz="4" w:space="0" w:color="BEBEBE"/>
            </w:tcBorders>
            <w:shd w:val="clear" w:color="auto" w:fill="DCE6F0"/>
          </w:tcPr>
          <w:p>
            <w:pPr>
              <w:pStyle w:val="TableParagraph"/>
              <w:spacing w:line="229" w:lineRule="exact"/>
              <w:ind w:left="104"/>
              <w:rPr>
                <w:sz w:val="20"/>
              </w:rPr>
            </w:pPr>
            <w:r>
              <w:rPr>
                <w:sz w:val="20"/>
              </w:rPr>
              <w:t>Care</w:t>
            </w:r>
            <w:r>
              <w:rPr>
                <w:spacing w:val="-5"/>
                <w:sz w:val="20"/>
              </w:rPr>
              <w:t> </w:t>
            </w:r>
            <w:r>
              <w:rPr>
                <w:spacing w:val="-2"/>
                <w:sz w:val="20"/>
              </w:rPr>
              <w:t>Integration</w:t>
            </w:r>
          </w:p>
        </w:tc>
        <w:tc>
          <w:tcPr>
            <w:tcW w:w="1361" w:type="dxa"/>
            <w:vMerge/>
            <w:tcBorders>
              <w:top w:val="nil"/>
              <w:left w:val="single" w:sz="4" w:space="0" w:color="BEBEBE"/>
              <w:bottom w:val="single" w:sz="4" w:space="0" w:color="BEBEBE"/>
              <w:right w:val="single" w:sz="4" w:space="0" w:color="BEBEBE"/>
            </w:tcBorders>
          </w:tcPr>
          <w:p>
            <w:pPr>
              <w:rPr>
                <w:sz w:val="2"/>
                <w:szCs w:val="2"/>
              </w:rPr>
            </w:pPr>
          </w:p>
        </w:tc>
        <w:tc>
          <w:tcPr>
            <w:tcW w:w="1404" w:type="dxa"/>
            <w:tcBorders>
              <w:top w:val="single" w:sz="4" w:space="0" w:color="BEBEBE"/>
              <w:left w:val="single" w:sz="4" w:space="0" w:color="BEBEBE"/>
              <w:bottom w:val="single" w:sz="4" w:space="0" w:color="BEBEBE"/>
              <w:right w:val="single" w:sz="4" w:space="0" w:color="BEBEBE"/>
            </w:tcBorders>
          </w:tcPr>
          <w:p>
            <w:pPr>
              <w:pStyle w:val="TableParagraph"/>
              <w:spacing w:line="229" w:lineRule="exact"/>
              <w:ind w:left="111" w:right="113"/>
              <w:jc w:val="center"/>
              <w:rPr>
                <w:b/>
                <w:sz w:val="20"/>
              </w:rPr>
            </w:pPr>
            <w:r>
              <w:rPr>
                <w:b/>
                <w:spacing w:val="-5"/>
                <w:sz w:val="20"/>
              </w:rPr>
              <w:t>N/A</w:t>
            </w:r>
          </w:p>
        </w:tc>
        <w:tc>
          <w:tcPr>
            <w:tcW w:w="1536" w:type="dxa"/>
            <w:tcBorders>
              <w:top w:val="single" w:sz="4" w:space="0" w:color="BEBEBE"/>
              <w:left w:val="single" w:sz="4" w:space="0" w:color="BEBEBE"/>
              <w:bottom w:val="single" w:sz="4" w:space="0" w:color="BEBEBE"/>
              <w:right w:val="single" w:sz="4" w:space="0" w:color="BEBEBE"/>
            </w:tcBorders>
          </w:tcPr>
          <w:p>
            <w:pPr>
              <w:pStyle w:val="TableParagraph"/>
              <w:spacing w:line="229" w:lineRule="exact"/>
              <w:ind w:left="95" w:right="98"/>
              <w:jc w:val="center"/>
              <w:rPr>
                <w:b/>
                <w:sz w:val="20"/>
              </w:rPr>
            </w:pPr>
            <w:r>
              <w:rPr>
                <w:b/>
                <w:spacing w:val="-5"/>
                <w:sz w:val="20"/>
              </w:rPr>
              <w:t>40%</w:t>
            </w:r>
          </w:p>
        </w:tc>
        <w:tc>
          <w:tcPr>
            <w:tcW w:w="274" w:type="dxa"/>
            <w:vMerge/>
            <w:tcBorders>
              <w:top w:val="nil"/>
              <w:left w:val="single" w:sz="4" w:space="0" w:color="BEBEBE"/>
              <w:right w:val="nil"/>
            </w:tcBorders>
          </w:tcPr>
          <w:p>
            <w:pPr>
              <w:rPr>
                <w:sz w:val="2"/>
                <w:szCs w:val="2"/>
              </w:rPr>
            </w:pPr>
          </w:p>
        </w:tc>
      </w:tr>
      <w:tr>
        <w:trPr>
          <w:trHeight w:val="246" w:hRule="atLeast"/>
        </w:trPr>
        <w:tc>
          <w:tcPr>
            <w:tcW w:w="286" w:type="dxa"/>
            <w:vMerge/>
            <w:tcBorders>
              <w:top w:val="nil"/>
              <w:left w:val="nil"/>
              <w:right w:val="single" w:sz="4" w:space="0" w:color="BEBEBE"/>
            </w:tcBorders>
          </w:tcPr>
          <w:p>
            <w:pPr>
              <w:rPr>
                <w:sz w:val="2"/>
                <w:szCs w:val="2"/>
              </w:rPr>
            </w:pPr>
          </w:p>
        </w:tc>
        <w:tc>
          <w:tcPr>
            <w:tcW w:w="4787" w:type="dxa"/>
            <w:gridSpan w:val="2"/>
            <w:tcBorders>
              <w:top w:val="single" w:sz="4" w:space="0" w:color="BEBEBE"/>
              <w:left w:val="single" w:sz="4" w:space="0" w:color="BEBEBE"/>
              <w:bottom w:val="single" w:sz="4" w:space="0" w:color="BEBEBE"/>
              <w:right w:val="single" w:sz="4" w:space="0" w:color="BEBEBE"/>
            </w:tcBorders>
            <w:shd w:val="clear" w:color="auto" w:fill="DCE6F0"/>
          </w:tcPr>
          <w:p>
            <w:pPr>
              <w:pStyle w:val="TableParagraph"/>
              <w:spacing w:line="227" w:lineRule="exact"/>
              <w:ind w:left="102"/>
              <w:rPr>
                <w:i/>
                <w:sz w:val="20"/>
              </w:rPr>
            </w:pPr>
            <w:r>
              <w:rPr>
                <w:i/>
                <w:sz w:val="20"/>
              </w:rPr>
              <w:t>Patient</w:t>
            </w:r>
            <w:r>
              <w:rPr>
                <w:i/>
                <w:spacing w:val="-8"/>
                <w:sz w:val="20"/>
              </w:rPr>
              <w:t> </w:t>
            </w:r>
            <w:r>
              <w:rPr>
                <w:i/>
                <w:sz w:val="20"/>
              </w:rPr>
              <w:t>Experience</w:t>
            </w:r>
            <w:r>
              <w:rPr>
                <w:i/>
                <w:spacing w:val="-7"/>
                <w:sz w:val="20"/>
              </w:rPr>
              <w:t> </w:t>
            </w:r>
            <w:r>
              <w:rPr>
                <w:i/>
                <w:spacing w:val="-2"/>
                <w:sz w:val="20"/>
              </w:rPr>
              <w:t>Surveys</w:t>
            </w:r>
          </w:p>
        </w:tc>
        <w:tc>
          <w:tcPr>
            <w:tcW w:w="4301" w:type="dxa"/>
            <w:gridSpan w:val="3"/>
            <w:tcBorders>
              <w:top w:val="single" w:sz="4" w:space="0" w:color="BEBEBE"/>
              <w:left w:val="single" w:sz="4" w:space="0" w:color="BEBEBE"/>
              <w:bottom w:val="single" w:sz="4" w:space="0" w:color="BEBEBE"/>
              <w:right w:val="single" w:sz="4" w:space="0" w:color="BEBEBE"/>
            </w:tcBorders>
          </w:tcPr>
          <w:p>
            <w:pPr>
              <w:pStyle w:val="TableParagraph"/>
              <w:rPr>
                <w:sz w:val="16"/>
              </w:rPr>
            </w:pPr>
          </w:p>
        </w:tc>
        <w:tc>
          <w:tcPr>
            <w:tcW w:w="274" w:type="dxa"/>
            <w:vMerge/>
            <w:tcBorders>
              <w:top w:val="nil"/>
              <w:left w:val="single" w:sz="4" w:space="0" w:color="BEBEBE"/>
              <w:right w:val="nil"/>
            </w:tcBorders>
          </w:tcPr>
          <w:p>
            <w:pPr>
              <w:rPr>
                <w:sz w:val="2"/>
                <w:szCs w:val="2"/>
              </w:rPr>
            </w:pPr>
          </w:p>
        </w:tc>
      </w:tr>
      <w:tr>
        <w:trPr>
          <w:trHeight w:val="248" w:hRule="atLeast"/>
        </w:trPr>
        <w:tc>
          <w:tcPr>
            <w:tcW w:w="286" w:type="dxa"/>
            <w:vMerge/>
            <w:tcBorders>
              <w:top w:val="nil"/>
              <w:left w:val="nil"/>
              <w:right w:val="single" w:sz="4" w:space="0" w:color="BEBEBE"/>
            </w:tcBorders>
          </w:tcPr>
          <w:p>
            <w:pPr>
              <w:rPr>
                <w:sz w:val="2"/>
                <w:szCs w:val="2"/>
              </w:rPr>
            </w:pPr>
          </w:p>
        </w:tc>
        <w:tc>
          <w:tcPr>
            <w:tcW w:w="416" w:type="dxa"/>
            <w:tcBorders>
              <w:top w:val="single" w:sz="4" w:space="0" w:color="BEBEBE"/>
              <w:left w:val="single" w:sz="4" w:space="0" w:color="BEBEBE"/>
              <w:bottom w:val="single" w:sz="8" w:space="0" w:color="000000"/>
              <w:right w:val="single" w:sz="4" w:space="0" w:color="BEBEBE"/>
            </w:tcBorders>
            <w:shd w:val="clear" w:color="auto" w:fill="DCE6F0"/>
          </w:tcPr>
          <w:p>
            <w:pPr>
              <w:pStyle w:val="TableParagraph"/>
              <w:spacing w:line="226" w:lineRule="exact" w:before="2"/>
              <w:ind w:right="3"/>
              <w:jc w:val="center"/>
              <w:rPr>
                <w:sz w:val="20"/>
              </w:rPr>
            </w:pPr>
            <w:r>
              <w:rPr>
                <w:w w:val="99"/>
                <w:sz w:val="20"/>
              </w:rPr>
              <w:t>3</w:t>
            </w:r>
          </w:p>
        </w:tc>
        <w:tc>
          <w:tcPr>
            <w:tcW w:w="4371" w:type="dxa"/>
            <w:tcBorders>
              <w:top w:val="single" w:sz="4" w:space="0" w:color="BEBEBE"/>
              <w:left w:val="single" w:sz="4" w:space="0" w:color="BEBEBE"/>
              <w:bottom w:val="single" w:sz="8" w:space="0" w:color="000000"/>
              <w:right w:val="single" w:sz="4" w:space="0" w:color="BEBEBE"/>
            </w:tcBorders>
            <w:shd w:val="clear" w:color="auto" w:fill="DCE6F0"/>
          </w:tcPr>
          <w:p>
            <w:pPr>
              <w:pStyle w:val="TableParagraph"/>
              <w:spacing w:line="226" w:lineRule="exact" w:before="2"/>
              <w:ind w:left="104"/>
              <w:rPr>
                <w:sz w:val="20"/>
              </w:rPr>
            </w:pPr>
            <w:r>
              <w:rPr>
                <w:sz w:val="20"/>
              </w:rPr>
              <w:t>Overall</w:t>
            </w:r>
            <w:r>
              <w:rPr>
                <w:spacing w:val="-6"/>
                <w:sz w:val="20"/>
              </w:rPr>
              <w:t> </w:t>
            </w:r>
            <w:r>
              <w:rPr>
                <w:sz w:val="20"/>
              </w:rPr>
              <w:t>Rating</w:t>
            </w:r>
            <w:r>
              <w:rPr>
                <w:spacing w:val="-7"/>
                <w:sz w:val="20"/>
              </w:rPr>
              <w:t> </w:t>
            </w:r>
            <w:r>
              <w:rPr>
                <w:sz w:val="20"/>
              </w:rPr>
              <w:t>and</w:t>
            </w:r>
            <w:r>
              <w:rPr>
                <w:spacing w:val="-2"/>
                <w:sz w:val="20"/>
              </w:rPr>
              <w:t> </w:t>
            </w:r>
            <w:r>
              <w:rPr>
                <w:sz w:val="20"/>
              </w:rPr>
              <w:t>Care</w:t>
            </w:r>
            <w:r>
              <w:rPr>
                <w:spacing w:val="-5"/>
                <w:sz w:val="20"/>
              </w:rPr>
              <w:t> </w:t>
            </w:r>
            <w:r>
              <w:rPr>
                <w:spacing w:val="-2"/>
                <w:sz w:val="20"/>
              </w:rPr>
              <w:t>Delivery</w:t>
            </w:r>
          </w:p>
        </w:tc>
        <w:tc>
          <w:tcPr>
            <w:tcW w:w="1361" w:type="dxa"/>
            <w:tcBorders>
              <w:top w:val="single" w:sz="4" w:space="0" w:color="BEBEBE"/>
              <w:left w:val="single" w:sz="4" w:space="0" w:color="BEBEBE"/>
              <w:bottom w:val="single" w:sz="8" w:space="0" w:color="000000"/>
              <w:right w:val="single" w:sz="4" w:space="0" w:color="BEBEBE"/>
            </w:tcBorders>
          </w:tcPr>
          <w:p>
            <w:pPr>
              <w:pStyle w:val="TableParagraph"/>
              <w:spacing w:line="226" w:lineRule="exact" w:before="2"/>
              <w:ind w:left="85" w:right="92"/>
              <w:jc w:val="center"/>
              <w:rPr>
                <w:b/>
                <w:sz w:val="20"/>
              </w:rPr>
            </w:pPr>
            <w:r>
              <w:rPr>
                <w:b/>
                <w:spacing w:val="-5"/>
                <w:sz w:val="20"/>
              </w:rPr>
              <w:t>N/A</w:t>
            </w:r>
          </w:p>
        </w:tc>
        <w:tc>
          <w:tcPr>
            <w:tcW w:w="1404" w:type="dxa"/>
            <w:tcBorders>
              <w:top w:val="single" w:sz="4" w:space="0" w:color="BEBEBE"/>
              <w:left w:val="single" w:sz="4" w:space="0" w:color="BEBEBE"/>
              <w:bottom w:val="single" w:sz="8" w:space="0" w:color="000000"/>
              <w:right w:val="single" w:sz="4" w:space="0" w:color="BEBEBE"/>
            </w:tcBorders>
          </w:tcPr>
          <w:p>
            <w:pPr>
              <w:pStyle w:val="TableParagraph"/>
              <w:spacing w:line="226" w:lineRule="exact" w:before="2"/>
              <w:ind w:left="114" w:right="113"/>
              <w:jc w:val="center"/>
              <w:rPr>
                <w:b/>
                <w:sz w:val="20"/>
              </w:rPr>
            </w:pPr>
            <w:r>
              <w:rPr>
                <w:b/>
                <w:spacing w:val="-5"/>
                <w:sz w:val="20"/>
              </w:rPr>
              <w:t>15%</w:t>
            </w:r>
          </w:p>
        </w:tc>
        <w:tc>
          <w:tcPr>
            <w:tcW w:w="1536" w:type="dxa"/>
            <w:tcBorders>
              <w:top w:val="single" w:sz="4" w:space="0" w:color="BEBEBE"/>
              <w:left w:val="single" w:sz="4" w:space="0" w:color="BEBEBE"/>
              <w:bottom w:val="single" w:sz="8" w:space="0" w:color="000000"/>
              <w:right w:val="single" w:sz="4" w:space="0" w:color="BEBEBE"/>
            </w:tcBorders>
          </w:tcPr>
          <w:p>
            <w:pPr>
              <w:pStyle w:val="TableParagraph"/>
              <w:spacing w:line="226" w:lineRule="exact" w:before="2"/>
              <w:ind w:left="98" w:right="98"/>
              <w:jc w:val="center"/>
              <w:rPr>
                <w:b/>
                <w:sz w:val="20"/>
              </w:rPr>
            </w:pPr>
            <w:r>
              <w:rPr>
                <w:b/>
                <w:spacing w:val="-4"/>
                <w:sz w:val="20"/>
              </w:rPr>
              <w:t>7.5%</w:t>
            </w:r>
          </w:p>
        </w:tc>
        <w:tc>
          <w:tcPr>
            <w:tcW w:w="274" w:type="dxa"/>
            <w:vMerge/>
            <w:tcBorders>
              <w:top w:val="nil"/>
              <w:left w:val="single" w:sz="4" w:space="0" w:color="BEBEBE"/>
              <w:right w:val="nil"/>
            </w:tcBorders>
          </w:tcPr>
          <w:p>
            <w:pPr>
              <w:rPr>
                <w:sz w:val="2"/>
                <w:szCs w:val="2"/>
              </w:rPr>
            </w:pPr>
          </w:p>
        </w:tc>
      </w:tr>
    </w:tbl>
    <w:p>
      <w:pPr>
        <w:spacing w:after="0"/>
        <w:rPr>
          <w:sz w:val="2"/>
          <w:szCs w:val="2"/>
        </w:rPr>
        <w:sectPr>
          <w:type w:val="continuous"/>
          <w:pgSz w:w="12240" w:h="15840"/>
          <w:pgMar w:header="0" w:footer="967" w:top="320" w:bottom="280" w:left="220" w:right="340"/>
        </w:sectPr>
      </w:pPr>
    </w:p>
    <w:tbl>
      <w:tblPr>
        <w:tblW w:w="0" w:type="auto"/>
        <w:jc w:val="left"/>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6"/>
        <w:gridCol w:w="416"/>
        <w:gridCol w:w="4371"/>
        <w:gridCol w:w="1361"/>
        <w:gridCol w:w="1404"/>
        <w:gridCol w:w="1536"/>
        <w:gridCol w:w="274"/>
      </w:tblGrid>
      <w:tr>
        <w:trPr>
          <w:trHeight w:val="248" w:hRule="atLeast"/>
        </w:trPr>
        <w:tc>
          <w:tcPr>
            <w:tcW w:w="286" w:type="dxa"/>
            <w:tcBorders>
              <w:left w:val="nil"/>
              <w:right w:val="single" w:sz="4" w:space="0" w:color="BEBEBE"/>
            </w:tcBorders>
          </w:tcPr>
          <w:p>
            <w:pPr>
              <w:pStyle w:val="TableParagraph"/>
              <w:rPr>
                <w:sz w:val="18"/>
              </w:rPr>
            </w:pPr>
          </w:p>
        </w:tc>
        <w:tc>
          <w:tcPr>
            <w:tcW w:w="416" w:type="dxa"/>
            <w:tcBorders>
              <w:top w:val="single" w:sz="8" w:space="0" w:color="000000"/>
              <w:left w:val="single" w:sz="4" w:space="0" w:color="BEBEBE"/>
              <w:bottom w:val="single" w:sz="8" w:space="0" w:color="000000"/>
              <w:right w:val="single" w:sz="4" w:space="0" w:color="BEBEBE"/>
            </w:tcBorders>
            <w:shd w:val="clear" w:color="auto" w:fill="DCE6F0"/>
          </w:tcPr>
          <w:p>
            <w:pPr>
              <w:pStyle w:val="TableParagraph"/>
              <w:spacing w:line="229" w:lineRule="exact"/>
              <w:ind w:right="3"/>
              <w:jc w:val="center"/>
              <w:rPr>
                <w:sz w:val="20"/>
              </w:rPr>
            </w:pPr>
            <w:r>
              <w:rPr>
                <w:w w:val="99"/>
                <w:sz w:val="20"/>
              </w:rPr>
              <w:t>4</w:t>
            </w:r>
          </w:p>
        </w:tc>
        <w:tc>
          <w:tcPr>
            <w:tcW w:w="4371" w:type="dxa"/>
            <w:tcBorders>
              <w:top w:val="single" w:sz="8" w:space="0" w:color="000000"/>
              <w:left w:val="single" w:sz="4" w:space="0" w:color="BEBEBE"/>
              <w:bottom w:val="single" w:sz="8" w:space="0" w:color="000000"/>
              <w:right w:val="single" w:sz="4" w:space="0" w:color="BEBEBE"/>
            </w:tcBorders>
            <w:shd w:val="clear" w:color="auto" w:fill="DCE6F0"/>
          </w:tcPr>
          <w:p>
            <w:pPr>
              <w:pStyle w:val="TableParagraph"/>
              <w:spacing w:line="229" w:lineRule="exact"/>
              <w:ind w:left="104"/>
              <w:rPr>
                <w:sz w:val="20"/>
              </w:rPr>
            </w:pPr>
            <w:r>
              <w:rPr>
                <w:spacing w:val="-2"/>
                <w:sz w:val="20"/>
              </w:rPr>
              <w:t>Person-centered</w:t>
            </w:r>
            <w:r>
              <w:rPr>
                <w:spacing w:val="11"/>
                <w:sz w:val="20"/>
              </w:rPr>
              <w:t> </w:t>
            </w:r>
            <w:r>
              <w:rPr>
                <w:spacing w:val="-2"/>
                <w:sz w:val="20"/>
              </w:rPr>
              <w:t>Integrated</w:t>
            </w:r>
            <w:r>
              <w:rPr>
                <w:spacing w:val="11"/>
                <w:sz w:val="20"/>
              </w:rPr>
              <w:t> </w:t>
            </w:r>
            <w:r>
              <w:rPr>
                <w:spacing w:val="-4"/>
                <w:sz w:val="20"/>
              </w:rPr>
              <w:t>Care</w:t>
            </w:r>
          </w:p>
        </w:tc>
        <w:tc>
          <w:tcPr>
            <w:tcW w:w="1361" w:type="dxa"/>
            <w:tcBorders>
              <w:top w:val="single" w:sz="8" w:space="0" w:color="000000"/>
              <w:left w:val="single" w:sz="4" w:space="0" w:color="BEBEBE"/>
              <w:bottom w:val="single" w:sz="8" w:space="0" w:color="000000"/>
              <w:right w:val="single" w:sz="4" w:space="0" w:color="BEBEBE"/>
            </w:tcBorders>
          </w:tcPr>
          <w:p>
            <w:pPr>
              <w:pStyle w:val="TableParagraph"/>
              <w:spacing w:line="229" w:lineRule="exact"/>
              <w:ind w:left="85" w:right="92"/>
              <w:jc w:val="center"/>
              <w:rPr>
                <w:b/>
                <w:sz w:val="20"/>
              </w:rPr>
            </w:pPr>
            <w:r>
              <w:rPr>
                <w:b/>
                <w:spacing w:val="-5"/>
                <w:sz w:val="20"/>
              </w:rPr>
              <w:t>N/A</w:t>
            </w:r>
          </w:p>
        </w:tc>
        <w:tc>
          <w:tcPr>
            <w:tcW w:w="1404" w:type="dxa"/>
            <w:tcBorders>
              <w:top w:val="single" w:sz="8" w:space="0" w:color="000000"/>
              <w:left w:val="single" w:sz="4" w:space="0" w:color="BEBEBE"/>
              <w:bottom w:val="single" w:sz="8" w:space="0" w:color="000000"/>
              <w:right w:val="single" w:sz="4" w:space="0" w:color="BEBEBE"/>
            </w:tcBorders>
          </w:tcPr>
          <w:p>
            <w:pPr>
              <w:pStyle w:val="TableParagraph"/>
              <w:spacing w:line="229" w:lineRule="exact"/>
              <w:ind w:left="111" w:right="113"/>
              <w:jc w:val="center"/>
              <w:rPr>
                <w:b/>
                <w:sz w:val="20"/>
              </w:rPr>
            </w:pPr>
            <w:r>
              <w:rPr>
                <w:b/>
                <w:spacing w:val="-5"/>
                <w:sz w:val="20"/>
              </w:rPr>
              <w:t>N/A</w:t>
            </w:r>
          </w:p>
        </w:tc>
        <w:tc>
          <w:tcPr>
            <w:tcW w:w="1536" w:type="dxa"/>
            <w:tcBorders>
              <w:top w:val="single" w:sz="8" w:space="0" w:color="000000"/>
              <w:left w:val="single" w:sz="4" w:space="0" w:color="BEBEBE"/>
              <w:bottom w:val="single" w:sz="8" w:space="0" w:color="000000"/>
              <w:right w:val="single" w:sz="4" w:space="0" w:color="BEBEBE"/>
            </w:tcBorders>
          </w:tcPr>
          <w:p>
            <w:pPr>
              <w:pStyle w:val="TableParagraph"/>
              <w:spacing w:line="229" w:lineRule="exact"/>
              <w:ind w:left="98" w:right="98"/>
              <w:jc w:val="center"/>
              <w:rPr>
                <w:b/>
                <w:sz w:val="20"/>
              </w:rPr>
            </w:pPr>
            <w:r>
              <w:rPr>
                <w:b/>
                <w:spacing w:val="-4"/>
                <w:sz w:val="20"/>
              </w:rPr>
              <w:t>7.5%</w:t>
            </w:r>
          </w:p>
        </w:tc>
        <w:tc>
          <w:tcPr>
            <w:tcW w:w="274" w:type="dxa"/>
            <w:tcBorders>
              <w:left w:val="single" w:sz="4" w:space="0" w:color="BEBEBE"/>
              <w:right w:val="nil"/>
            </w:tcBorders>
          </w:tcPr>
          <w:p>
            <w:pPr>
              <w:pStyle w:val="TableParagraph"/>
              <w:rPr>
                <w:sz w:val="18"/>
              </w:rPr>
            </w:pPr>
          </w:p>
        </w:tc>
      </w:tr>
    </w:tbl>
    <w:p>
      <w:pPr>
        <w:pStyle w:val="BodyText"/>
        <w:spacing w:before="2"/>
        <w:rPr>
          <w:sz w:val="26"/>
        </w:rPr>
      </w:pPr>
      <w:r>
        <w:rPr/>
        <mc:AlternateContent>
          <mc:Choice Requires="wps">
            <w:drawing>
              <wp:anchor distT="0" distB="0" distL="0" distR="0" allowOverlap="1" layoutInCell="1" locked="0" behindDoc="0" simplePos="0" relativeHeight="16171520">
                <wp:simplePos x="0" y="0"/>
                <wp:positionH relativeFrom="page">
                  <wp:posOffset>210311</wp:posOffset>
                </wp:positionH>
                <wp:positionV relativeFrom="page">
                  <wp:posOffset>9037319</wp:posOffset>
                </wp:positionV>
                <wp:extent cx="7344409" cy="6350"/>
                <wp:effectExtent l="0" t="0" r="0" b="0"/>
                <wp:wrapNone/>
                <wp:docPr id="942" name="Graphic 942"/>
                <wp:cNvGraphicFramePr>
                  <a:graphicFrameLocks/>
                </wp:cNvGraphicFramePr>
                <a:graphic>
                  <a:graphicData uri="http://schemas.microsoft.com/office/word/2010/wordprocessingShape">
                    <wps:wsp>
                      <wps:cNvPr id="942" name="Graphic 942"/>
                      <wps:cNvSpPr/>
                      <wps:spPr>
                        <a:xfrm>
                          <a:off x="0" y="0"/>
                          <a:ext cx="7344409" cy="6350"/>
                        </a:xfrm>
                        <a:custGeom>
                          <a:avLst/>
                          <a:gdLst/>
                          <a:ahLst/>
                          <a:cxnLst/>
                          <a:rect l="l" t="t" r="r" b="b"/>
                          <a:pathLst>
                            <a:path w="7344409" h="6350">
                              <a:moveTo>
                                <a:pt x="7344156" y="0"/>
                              </a:moveTo>
                              <a:lnTo>
                                <a:pt x="0" y="0"/>
                              </a:lnTo>
                              <a:lnTo>
                                <a:pt x="0" y="6095"/>
                              </a:lnTo>
                              <a:lnTo>
                                <a:pt x="7344156" y="6095"/>
                              </a:lnTo>
                              <a:lnTo>
                                <a:pt x="73441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6.559999pt;margin-top:711.599976pt;width:578.28pt;height:.48pt;mso-position-horizontal-relative:page;mso-position-vertical-relative:page;z-index:16171520" id="docshape157" filled="true" fillcolor="#000000" stroked="false">
                <v:fill type="solid"/>
                <w10:wrap type="none"/>
              </v:rect>
            </w:pict>
          </mc:Fallback>
        </mc:AlternateContent>
      </w:r>
    </w:p>
    <w:p>
      <w:pPr>
        <w:spacing w:before="92"/>
        <w:ind w:left="1220" w:right="0" w:firstLine="0"/>
        <w:jc w:val="both"/>
        <w:rPr>
          <w:b/>
          <w:i/>
          <w:sz w:val="22"/>
        </w:rPr>
      </w:pPr>
      <w:r>
        <w:rPr>
          <w:b/>
          <w:i/>
          <w:color w:val="4F81BC"/>
          <w:sz w:val="22"/>
        </w:rPr>
        <w:t>STEP</w:t>
      </w:r>
      <w:r>
        <w:rPr>
          <w:b/>
          <w:i/>
          <w:color w:val="4F81BC"/>
          <w:spacing w:val="-4"/>
          <w:sz w:val="22"/>
        </w:rPr>
        <w:t> </w:t>
      </w:r>
      <w:r>
        <w:rPr>
          <w:b/>
          <w:i/>
          <w:color w:val="4F81BC"/>
          <w:sz w:val="22"/>
        </w:rPr>
        <w:t>3(a):</w:t>
      </w:r>
      <w:r>
        <w:rPr>
          <w:b/>
          <w:i/>
          <w:color w:val="4F81BC"/>
          <w:spacing w:val="-1"/>
          <w:sz w:val="22"/>
        </w:rPr>
        <w:t> </w:t>
      </w:r>
      <w:r>
        <w:rPr>
          <w:b/>
          <w:i/>
          <w:color w:val="4F81BC"/>
          <w:sz w:val="22"/>
        </w:rPr>
        <w:t>Scoring</w:t>
      </w:r>
      <w:r>
        <w:rPr>
          <w:b/>
          <w:i/>
          <w:color w:val="4F81BC"/>
          <w:spacing w:val="-6"/>
          <w:sz w:val="22"/>
        </w:rPr>
        <w:t> </w:t>
      </w:r>
      <w:r>
        <w:rPr>
          <w:b/>
          <w:i/>
          <w:color w:val="4F81BC"/>
          <w:sz w:val="22"/>
        </w:rPr>
        <w:t>for</w:t>
      </w:r>
      <w:r>
        <w:rPr>
          <w:b/>
          <w:i/>
          <w:color w:val="4F81BC"/>
          <w:spacing w:val="-4"/>
          <w:sz w:val="22"/>
        </w:rPr>
        <w:t> </w:t>
      </w:r>
      <w:r>
        <w:rPr>
          <w:b/>
          <w:i/>
          <w:color w:val="4F81BC"/>
          <w:sz w:val="22"/>
        </w:rPr>
        <w:t>all</w:t>
      </w:r>
      <w:r>
        <w:rPr>
          <w:b/>
          <w:i/>
          <w:color w:val="4F81BC"/>
          <w:spacing w:val="-4"/>
          <w:sz w:val="22"/>
        </w:rPr>
        <w:t> </w:t>
      </w:r>
      <w:r>
        <w:rPr>
          <w:b/>
          <w:i/>
          <w:color w:val="4F81BC"/>
          <w:spacing w:val="-2"/>
          <w:sz w:val="22"/>
        </w:rPr>
        <w:t>Domains</w:t>
      </w:r>
    </w:p>
    <w:p>
      <w:pPr>
        <w:spacing w:before="181"/>
        <w:ind w:left="1220" w:right="0" w:firstLine="0"/>
        <w:jc w:val="both"/>
        <w:rPr>
          <w:sz w:val="22"/>
        </w:rPr>
      </w:pPr>
      <w:r>
        <w:rPr>
          <w:sz w:val="22"/>
        </w:rPr>
        <w:t>For</w:t>
      </w:r>
      <w:r>
        <w:rPr>
          <w:spacing w:val="-2"/>
          <w:sz w:val="22"/>
        </w:rPr>
        <w:t> </w:t>
      </w:r>
      <w:r>
        <w:rPr>
          <w:sz w:val="22"/>
        </w:rPr>
        <w:t>all</w:t>
      </w:r>
      <w:r>
        <w:rPr>
          <w:spacing w:val="-1"/>
          <w:sz w:val="22"/>
        </w:rPr>
        <w:t> </w:t>
      </w:r>
      <w:r>
        <w:rPr>
          <w:sz w:val="22"/>
        </w:rPr>
        <w:t>domains,</w:t>
      </w:r>
      <w:r>
        <w:rPr>
          <w:spacing w:val="-2"/>
          <w:sz w:val="22"/>
        </w:rPr>
        <w:t> </w:t>
      </w:r>
      <w:r>
        <w:rPr>
          <w:sz w:val="22"/>
        </w:rPr>
        <w:t>domain</w:t>
      </w:r>
      <w:r>
        <w:rPr>
          <w:spacing w:val="-2"/>
          <w:sz w:val="22"/>
        </w:rPr>
        <w:t> </w:t>
      </w:r>
      <w:r>
        <w:rPr>
          <w:sz w:val="22"/>
        </w:rPr>
        <w:t>scores</w:t>
      </w:r>
      <w:r>
        <w:rPr>
          <w:spacing w:val="-4"/>
          <w:sz w:val="22"/>
        </w:rPr>
        <w:t> </w:t>
      </w:r>
      <w:r>
        <w:rPr>
          <w:sz w:val="22"/>
        </w:rPr>
        <w:t>for</w:t>
      </w:r>
      <w:r>
        <w:rPr>
          <w:spacing w:val="-4"/>
          <w:sz w:val="22"/>
        </w:rPr>
        <w:t> </w:t>
      </w:r>
      <w:r>
        <w:rPr>
          <w:sz w:val="22"/>
        </w:rPr>
        <w:t>BP4</w:t>
      </w:r>
      <w:r>
        <w:rPr>
          <w:spacing w:val="-2"/>
          <w:sz w:val="22"/>
        </w:rPr>
        <w:t> </w:t>
      </w:r>
      <w:r>
        <w:rPr>
          <w:sz w:val="22"/>
        </w:rPr>
        <w:t>are</w:t>
      </w:r>
      <w:r>
        <w:rPr>
          <w:spacing w:val="-2"/>
          <w:sz w:val="22"/>
        </w:rPr>
        <w:t> </w:t>
      </w:r>
      <w:r>
        <w:rPr>
          <w:sz w:val="22"/>
        </w:rPr>
        <w:t>calculated</w:t>
      </w:r>
      <w:r>
        <w:rPr>
          <w:spacing w:val="-5"/>
          <w:sz w:val="22"/>
        </w:rPr>
        <w:t> </w:t>
      </w:r>
      <w:r>
        <w:rPr>
          <w:sz w:val="22"/>
        </w:rPr>
        <w:t>using</w:t>
      </w:r>
      <w:r>
        <w:rPr>
          <w:spacing w:val="-5"/>
          <w:sz w:val="22"/>
        </w:rPr>
        <w:t> </w:t>
      </w:r>
      <w:r>
        <w:rPr>
          <w:sz w:val="22"/>
        </w:rPr>
        <w:t>the</w:t>
      </w:r>
      <w:r>
        <w:rPr>
          <w:spacing w:val="-4"/>
          <w:sz w:val="22"/>
        </w:rPr>
        <w:t> </w:t>
      </w:r>
      <w:r>
        <w:rPr>
          <w:sz w:val="22"/>
        </w:rPr>
        <w:t>following</w:t>
      </w:r>
      <w:r>
        <w:rPr>
          <w:spacing w:val="-5"/>
          <w:sz w:val="22"/>
        </w:rPr>
        <w:t> </w:t>
      </w:r>
      <w:r>
        <w:rPr>
          <w:spacing w:val="-2"/>
          <w:sz w:val="22"/>
        </w:rPr>
        <w:t>steps:</w:t>
      </w:r>
    </w:p>
    <w:p>
      <w:pPr>
        <w:pStyle w:val="ListParagraph"/>
        <w:numPr>
          <w:ilvl w:val="0"/>
          <w:numId w:val="110"/>
        </w:numPr>
        <w:tabs>
          <w:tab w:pos="1984" w:val="left" w:leader="none"/>
        </w:tabs>
        <w:spacing w:line="240" w:lineRule="auto" w:before="118" w:after="0"/>
        <w:ind w:left="1984" w:right="0" w:hanging="359"/>
        <w:jc w:val="both"/>
        <w:rPr>
          <w:sz w:val="22"/>
        </w:rPr>
      </w:pPr>
      <w:r>
        <w:rPr>
          <w:sz w:val="22"/>
        </w:rPr>
        <w:t>Calculate</w:t>
      </w:r>
      <w:r>
        <w:rPr>
          <w:spacing w:val="-5"/>
          <w:sz w:val="22"/>
        </w:rPr>
        <w:t> </w:t>
      </w:r>
      <w:r>
        <w:rPr>
          <w:sz w:val="22"/>
        </w:rPr>
        <w:t>the</w:t>
      </w:r>
      <w:r>
        <w:rPr>
          <w:spacing w:val="-4"/>
          <w:sz w:val="22"/>
        </w:rPr>
        <w:t> </w:t>
      </w:r>
      <w:r>
        <w:rPr>
          <w:sz w:val="22"/>
        </w:rPr>
        <w:t>aggregate</w:t>
      </w:r>
      <w:r>
        <w:rPr>
          <w:spacing w:val="-4"/>
          <w:sz w:val="22"/>
        </w:rPr>
        <w:t> </w:t>
      </w:r>
      <w:r>
        <w:rPr>
          <w:sz w:val="22"/>
        </w:rPr>
        <w:t>domain</w:t>
      </w:r>
      <w:r>
        <w:rPr>
          <w:spacing w:val="-5"/>
          <w:sz w:val="22"/>
        </w:rPr>
        <w:t> </w:t>
      </w:r>
      <w:r>
        <w:rPr>
          <w:sz w:val="22"/>
        </w:rPr>
        <w:t>scores</w:t>
      </w:r>
      <w:r>
        <w:rPr>
          <w:spacing w:val="-4"/>
          <w:sz w:val="22"/>
        </w:rPr>
        <w:t> </w:t>
      </w:r>
      <w:r>
        <w:rPr>
          <w:sz w:val="22"/>
        </w:rPr>
        <w:t>for</w:t>
      </w:r>
      <w:r>
        <w:rPr>
          <w:spacing w:val="-3"/>
          <w:sz w:val="22"/>
        </w:rPr>
        <w:t> </w:t>
      </w:r>
      <w:r>
        <w:rPr>
          <w:sz w:val="22"/>
        </w:rPr>
        <w:t>BP</w:t>
      </w:r>
      <w:r>
        <w:rPr>
          <w:spacing w:val="-5"/>
          <w:sz w:val="22"/>
        </w:rPr>
        <w:t> </w:t>
      </w:r>
      <w:r>
        <w:rPr>
          <w:sz w:val="22"/>
        </w:rPr>
        <w:t>1-</w:t>
      </w:r>
      <w:r>
        <w:rPr>
          <w:spacing w:val="-10"/>
          <w:sz w:val="22"/>
        </w:rPr>
        <w:t>3</w:t>
      </w:r>
    </w:p>
    <w:p>
      <w:pPr>
        <w:pStyle w:val="ListParagraph"/>
        <w:numPr>
          <w:ilvl w:val="0"/>
          <w:numId w:val="110"/>
        </w:numPr>
        <w:tabs>
          <w:tab w:pos="1984" w:val="left" w:leader="none"/>
        </w:tabs>
        <w:spacing w:line="240" w:lineRule="auto" w:before="119" w:after="0"/>
        <w:ind w:left="1984" w:right="0" w:hanging="359"/>
        <w:jc w:val="both"/>
        <w:rPr>
          <w:sz w:val="22"/>
        </w:rPr>
      </w:pPr>
      <w:r>
        <w:rPr>
          <w:sz w:val="22"/>
        </w:rPr>
        <w:t>Calculate</w:t>
      </w:r>
      <w:r>
        <w:rPr>
          <w:spacing w:val="-4"/>
          <w:sz w:val="22"/>
        </w:rPr>
        <w:t> </w:t>
      </w:r>
      <w:r>
        <w:rPr>
          <w:sz w:val="22"/>
        </w:rPr>
        <w:t>the</w:t>
      </w:r>
      <w:r>
        <w:rPr>
          <w:spacing w:val="-4"/>
          <w:sz w:val="22"/>
        </w:rPr>
        <w:t> </w:t>
      </w:r>
      <w:r>
        <w:rPr>
          <w:sz w:val="22"/>
        </w:rPr>
        <w:t>pooled</w:t>
      </w:r>
      <w:r>
        <w:rPr>
          <w:spacing w:val="-4"/>
          <w:sz w:val="22"/>
        </w:rPr>
        <w:t> </w:t>
      </w:r>
      <w:r>
        <w:rPr>
          <w:sz w:val="22"/>
        </w:rPr>
        <w:t>aggregate</w:t>
      </w:r>
      <w:r>
        <w:rPr>
          <w:spacing w:val="-3"/>
          <w:sz w:val="22"/>
        </w:rPr>
        <w:t> </w:t>
      </w:r>
      <w:r>
        <w:rPr>
          <w:sz w:val="22"/>
        </w:rPr>
        <w:t>domain</w:t>
      </w:r>
      <w:r>
        <w:rPr>
          <w:spacing w:val="-4"/>
          <w:sz w:val="22"/>
        </w:rPr>
        <w:t> </w:t>
      </w:r>
      <w:r>
        <w:rPr>
          <w:sz w:val="22"/>
        </w:rPr>
        <w:t>scores</w:t>
      </w:r>
      <w:r>
        <w:rPr>
          <w:spacing w:val="-6"/>
          <w:sz w:val="22"/>
        </w:rPr>
        <w:t> </w:t>
      </w:r>
      <w:r>
        <w:rPr>
          <w:sz w:val="22"/>
        </w:rPr>
        <w:t>across</w:t>
      </w:r>
      <w:r>
        <w:rPr>
          <w:spacing w:val="-5"/>
          <w:sz w:val="22"/>
        </w:rPr>
        <w:t> </w:t>
      </w:r>
      <w:r>
        <w:rPr>
          <w:sz w:val="22"/>
        </w:rPr>
        <w:t>the</w:t>
      </w:r>
      <w:r>
        <w:rPr>
          <w:spacing w:val="-4"/>
          <w:sz w:val="22"/>
        </w:rPr>
        <w:t> </w:t>
      </w:r>
      <w:r>
        <w:rPr>
          <w:sz w:val="22"/>
        </w:rPr>
        <w:t>three</w:t>
      </w:r>
      <w:r>
        <w:rPr>
          <w:spacing w:val="-4"/>
          <w:sz w:val="22"/>
        </w:rPr>
        <w:t> </w:t>
      </w:r>
      <w:r>
        <w:rPr>
          <w:sz w:val="22"/>
        </w:rPr>
        <w:t>Budget</w:t>
      </w:r>
      <w:r>
        <w:rPr>
          <w:spacing w:val="-2"/>
          <w:sz w:val="22"/>
        </w:rPr>
        <w:t> Periods</w:t>
      </w:r>
    </w:p>
    <w:p>
      <w:pPr>
        <w:pStyle w:val="ListParagraph"/>
        <w:numPr>
          <w:ilvl w:val="0"/>
          <w:numId w:val="110"/>
        </w:numPr>
        <w:tabs>
          <w:tab w:pos="1983" w:val="left" w:leader="none"/>
          <w:tab w:pos="1985" w:val="left" w:leader="none"/>
        </w:tabs>
        <w:spacing w:line="240" w:lineRule="auto" w:before="119" w:after="0"/>
        <w:ind w:left="1985" w:right="1091" w:hanging="361"/>
        <w:jc w:val="both"/>
        <w:rPr>
          <w:sz w:val="22"/>
        </w:rPr>
      </w:pPr>
      <w:r>
        <w:rPr>
          <w:sz w:val="22"/>
        </w:rPr>
        <w:t>Calculate</w:t>
      </w:r>
      <w:r>
        <w:rPr>
          <w:spacing w:val="-11"/>
          <w:sz w:val="22"/>
        </w:rPr>
        <w:t> </w:t>
      </w:r>
      <w:r>
        <w:rPr>
          <w:sz w:val="22"/>
        </w:rPr>
        <w:t>the</w:t>
      </w:r>
      <w:r>
        <w:rPr>
          <w:spacing w:val="-11"/>
          <w:sz w:val="22"/>
        </w:rPr>
        <w:t> </w:t>
      </w:r>
      <w:r>
        <w:rPr>
          <w:sz w:val="22"/>
        </w:rPr>
        <w:t>aggregate</w:t>
      </w:r>
      <w:r>
        <w:rPr>
          <w:spacing w:val="-9"/>
          <w:sz w:val="22"/>
        </w:rPr>
        <w:t> </w:t>
      </w:r>
      <w:r>
        <w:rPr>
          <w:sz w:val="22"/>
        </w:rPr>
        <w:t>domain</w:t>
      </w:r>
      <w:r>
        <w:rPr>
          <w:spacing w:val="-10"/>
          <w:sz w:val="22"/>
        </w:rPr>
        <w:t> </w:t>
      </w:r>
      <w:r>
        <w:rPr>
          <w:sz w:val="22"/>
        </w:rPr>
        <w:t>scores</w:t>
      </w:r>
      <w:r>
        <w:rPr>
          <w:spacing w:val="-9"/>
          <w:sz w:val="22"/>
        </w:rPr>
        <w:t> </w:t>
      </w:r>
      <w:r>
        <w:rPr>
          <w:sz w:val="22"/>
        </w:rPr>
        <w:t>for</w:t>
      </w:r>
      <w:r>
        <w:rPr>
          <w:spacing w:val="-9"/>
          <w:sz w:val="22"/>
        </w:rPr>
        <w:t> </w:t>
      </w:r>
      <w:r>
        <w:rPr>
          <w:sz w:val="22"/>
        </w:rPr>
        <w:t>BP</w:t>
      </w:r>
      <w:r>
        <w:rPr>
          <w:spacing w:val="-10"/>
          <w:sz w:val="22"/>
        </w:rPr>
        <w:t> </w:t>
      </w:r>
      <w:r>
        <w:rPr>
          <w:sz w:val="22"/>
        </w:rPr>
        <w:t>4</w:t>
      </w:r>
      <w:r>
        <w:rPr>
          <w:spacing w:val="-12"/>
          <w:sz w:val="22"/>
        </w:rPr>
        <w:t> </w:t>
      </w:r>
      <w:r>
        <w:rPr>
          <w:sz w:val="22"/>
        </w:rPr>
        <w:t>(our</w:t>
      </w:r>
      <w:r>
        <w:rPr>
          <w:spacing w:val="-9"/>
          <w:sz w:val="22"/>
        </w:rPr>
        <w:t> </w:t>
      </w:r>
      <w:r>
        <w:rPr>
          <w:sz w:val="22"/>
        </w:rPr>
        <w:t>example</w:t>
      </w:r>
      <w:r>
        <w:rPr>
          <w:spacing w:val="-9"/>
          <w:sz w:val="22"/>
        </w:rPr>
        <w:t> </w:t>
      </w:r>
      <w:r>
        <w:rPr>
          <w:sz w:val="22"/>
        </w:rPr>
        <w:t>year)</w:t>
      </w:r>
      <w:r>
        <w:rPr>
          <w:spacing w:val="-11"/>
          <w:sz w:val="22"/>
        </w:rPr>
        <w:t> </w:t>
      </w:r>
      <w:r>
        <w:rPr>
          <w:sz w:val="22"/>
        </w:rPr>
        <w:t>and</w:t>
      </w:r>
      <w:r>
        <w:rPr>
          <w:spacing w:val="-10"/>
          <w:sz w:val="22"/>
        </w:rPr>
        <w:t> </w:t>
      </w:r>
      <w:r>
        <w:rPr>
          <w:sz w:val="22"/>
        </w:rPr>
        <w:t>utilize</w:t>
      </w:r>
      <w:r>
        <w:rPr>
          <w:spacing w:val="-11"/>
          <w:sz w:val="22"/>
        </w:rPr>
        <w:t> </w:t>
      </w:r>
      <w:r>
        <w:rPr>
          <w:sz w:val="22"/>
        </w:rPr>
        <w:t>Wilcoxon-rank</w:t>
      </w:r>
      <w:r>
        <w:rPr>
          <w:spacing w:val="-12"/>
          <w:sz w:val="22"/>
        </w:rPr>
        <w:t> </w:t>
      </w:r>
      <w:r>
        <w:rPr>
          <w:sz w:val="22"/>
        </w:rPr>
        <w:t>sum tests to compare pooled aggregate domain scores from</w:t>
      </w:r>
      <w:r>
        <w:rPr>
          <w:spacing w:val="-1"/>
          <w:sz w:val="22"/>
        </w:rPr>
        <w:t> </w:t>
      </w:r>
      <w:r>
        <w:rPr>
          <w:sz w:val="22"/>
        </w:rPr>
        <w:t>BP 1-3 against the BP4 aggregate domain </w:t>
      </w:r>
      <w:r>
        <w:rPr>
          <w:spacing w:val="-2"/>
          <w:sz w:val="22"/>
        </w:rPr>
        <w:t>scores</w:t>
      </w:r>
    </w:p>
    <w:p>
      <w:pPr>
        <w:spacing w:before="119"/>
        <w:ind w:left="1220" w:right="1095" w:firstLine="0"/>
        <w:jc w:val="both"/>
        <w:rPr>
          <w:sz w:val="22"/>
        </w:rPr>
      </w:pPr>
      <w:r>
        <w:rPr>
          <w:sz w:val="22"/>
        </w:rPr>
        <w:t>Domain scores are calculated using Achievement Points and do not include Improvement Points. Calculations for other Budget Periods would follow a similar methodology.</w:t>
      </w:r>
    </w:p>
    <w:p>
      <w:pPr>
        <w:pStyle w:val="ListParagraph"/>
        <w:numPr>
          <w:ilvl w:val="0"/>
          <w:numId w:val="111"/>
        </w:numPr>
        <w:tabs>
          <w:tab w:pos="1578" w:val="left" w:leader="none"/>
        </w:tabs>
        <w:spacing w:line="240" w:lineRule="auto" w:before="121" w:after="0"/>
        <w:ind w:left="1578" w:right="0" w:hanging="358"/>
        <w:jc w:val="both"/>
        <w:rPr>
          <w:b/>
          <w:i/>
          <w:sz w:val="22"/>
        </w:rPr>
      </w:pPr>
      <w:r>
        <w:rPr>
          <w:b/>
          <w:i/>
          <w:sz w:val="22"/>
        </w:rPr>
        <w:t>Calculate</w:t>
      </w:r>
      <w:r>
        <w:rPr>
          <w:b/>
          <w:i/>
          <w:spacing w:val="-7"/>
          <w:sz w:val="22"/>
        </w:rPr>
        <w:t> </w:t>
      </w:r>
      <w:r>
        <w:rPr>
          <w:b/>
          <w:i/>
          <w:sz w:val="22"/>
        </w:rPr>
        <w:t>the</w:t>
      </w:r>
      <w:r>
        <w:rPr>
          <w:b/>
          <w:i/>
          <w:spacing w:val="-4"/>
          <w:sz w:val="22"/>
        </w:rPr>
        <w:t> </w:t>
      </w:r>
      <w:r>
        <w:rPr>
          <w:b/>
          <w:i/>
          <w:sz w:val="22"/>
        </w:rPr>
        <w:t>aggregate</w:t>
      </w:r>
      <w:r>
        <w:rPr>
          <w:b/>
          <w:i/>
          <w:spacing w:val="-2"/>
          <w:sz w:val="22"/>
        </w:rPr>
        <w:t> </w:t>
      </w:r>
      <w:r>
        <w:rPr>
          <w:b/>
          <w:i/>
          <w:sz w:val="22"/>
        </w:rPr>
        <w:t>domain</w:t>
      </w:r>
      <w:r>
        <w:rPr>
          <w:b/>
          <w:i/>
          <w:spacing w:val="-5"/>
          <w:sz w:val="22"/>
        </w:rPr>
        <w:t> </w:t>
      </w:r>
      <w:r>
        <w:rPr>
          <w:b/>
          <w:i/>
          <w:sz w:val="22"/>
        </w:rPr>
        <w:t>scores</w:t>
      </w:r>
      <w:r>
        <w:rPr>
          <w:b/>
          <w:i/>
          <w:spacing w:val="-4"/>
          <w:sz w:val="22"/>
        </w:rPr>
        <w:t> </w:t>
      </w:r>
      <w:r>
        <w:rPr>
          <w:b/>
          <w:i/>
          <w:sz w:val="22"/>
        </w:rPr>
        <w:t>for</w:t>
      </w:r>
      <w:r>
        <w:rPr>
          <w:b/>
          <w:i/>
          <w:spacing w:val="-2"/>
          <w:sz w:val="22"/>
        </w:rPr>
        <w:t> </w:t>
      </w:r>
      <w:r>
        <w:rPr>
          <w:b/>
          <w:i/>
          <w:sz w:val="22"/>
        </w:rPr>
        <w:t>BP</w:t>
      </w:r>
      <w:r>
        <w:rPr>
          <w:b/>
          <w:i/>
          <w:spacing w:val="-3"/>
          <w:sz w:val="22"/>
        </w:rPr>
        <w:t> </w:t>
      </w:r>
      <w:r>
        <w:rPr>
          <w:b/>
          <w:i/>
          <w:sz w:val="22"/>
        </w:rPr>
        <w:t>1-</w:t>
      </w:r>
      <w:r>
        <w:rPr>
          <w:b/>
          <w:i/>
          <w:spacing w:val="-10"/>
          <w:sz w:val="22"/>
        </w:rPr>
        <w:t>3</w:t>
      </w:r>
    </w:p>
    <w:p>
      <w:pPr>
        <w:pStyle w:val="BodyText"/>
        <w:spacing w:before="7"/>
        <w:rPr>
          <w:b/>
          <w:i/>
          <w:sz w:val="19"/>
        </w:rPr>
      </w:pPr>
    </w:p>
    <w:p>
      <w:pPr>
        <w:spacing w:before="0"/>
        <w:ind w:left="1220" w:right="1093" w:firstLine="0"/>
        <w:jc w:val="both"/>
        <w:rPr>
          <w:sz w:val="22"/>
        </w:rPr>
      </w:pPr>
      <w:r>
        <w:rPr>
          <w:sz w:val="22"/>
        </w:rPr>
        <w:t>Assume there are two ACOs (ACO 1 and ACO 2). Assuming ACO 1 receives a score of 30% and ACO 2 receives a score of 40% in the Prevention and Wellness domain for BP 1, the aggregate domain score for BP1</w:t>
      </w:r>
      <w:r>
        <w:rPr>
          <w:spacing w:val="-4"/>
          <w:sz w:val="22"/>
        </w:rPr>
        <w:t> </w:t>
      </w:r>
      <w:r>
        <w:rPr>
          <w:sz w:val="22"/>
        </w:rPr>
        <w:t>is</w:t>
      </w:r>
      <w:r>
        <w:rPr>
          <w:spacing w:val="-6"/>
          <w:sz w:val="22"/>
        </w:rPr>
        <w:t> </w:t>
      </w:r>
      <w:r>
        <w:rPr>
          <w:sz w:val="22"/>
        </w:rPr>
        <w:t>the</w:t>
      </w:r>
      <w:r>
        <w:rPr>
          <w:spacing w:val="-6"/>
          <w:sz w:val="22"/>
        </w:rPr>
        <w:t> </w:t>
      </w:r>
      <w:r>
        <w:rPr>
          <w:sz w:val="22"/>
        </w:rPr>
        <w:t>median</w:t>
      </w:r>
      <w:r>
        <w:rPr>
          <w:spacing w:val="-4"/>
          <w:sz w:val="22"/>
        </w:rPr>
        <w:t> </w:t>
      </w:r>
      <w:r>
        <w:rPr>
          <w:sz w:val="22"/>
        </w:rPr>
        <w:t>of</w:t>
      </w:r>
      <w:r>
        <w:rPr>
          <w:spacing w:val="-3"/>
          <w:sz w:val="22"/>
        </w:rPr>
        <w:t> </w:t>
      </w:r>
      <w:r>
        <w:rPr>
          <w:sz w:val="22"/>
        </w:rPr>
        <w:t>these</w:t>
      </w:r>
      <w:r>
        <w:rPr>
          <w:spacing w:val="-3"/>
          <w:sz w:val="22"/>
        </w:rPr>
        <w:t> </w:t>
      </w:r>
      <w:r>
        <w:rPr>
          <w:sz w:val="22"/>
        </w:rPr>
        <w:t>two</w:t>
      </w:r>
      <w:r>
        <w:rPr>
          <w:spacing w:val="-4"/>
          <w:sz w:val="22"/>
        </w:rPr>
        <w:t> </w:t>
      </w:r>
      <w:r>
        <w:rPr>
          <w:sz w:val="22"/>
        </w:rPr>
        <w:t>scores,</w:t>
      </w:r>
      <w:r>
        <w:rPr>
          <w:spacing w:val="-6"/>
          <w:sz w:val="22"/>
        </w:rPr>
        <w:t> </w:t>
      </w:r>
      <w:r>
        <w:rPr>
          <w:sz w:val="22"/>
        </w:rPr>
        <w:t>or</w:t>
      </w:r>
      <w:r>
        <w:rPr>
          <w:spacing w:val="-3"/>
          <w:sz w:val="22"/>
        </w:rPr>
        <w:t> </w:t>
      </w:r>
      <w:r>
        <w:rPr>
          <w:sz w:val="22"/>
        </w:rPr>
        <w:t>35%.</w:t>
      </w:r>
      <w:r>
        <w:rPr>
          <w:spacing w:val="40"/>
          <w:sz w:val="22"/>
        </w:rPr>
        <w:t> </w:t>
      </w:r>
      <w:r>
        <w:rPr>
          <w:sz w:val="22"/>
        </w:rPr>
        <w:t>This</w:t>
      </w:r>
      <w:r>
        <w:rPr>
          <w:spacing w:val="-3"/>
          <w:sz w:val="22"/>
        </w:rPr>
        <w:t> </w:t>
      </w:r>
      <w:r>
        <w:rPr>
          <w:sz w:val="22"/>
        </w:rPr>
        <w:t>step</w:t>
      </w:r>
      <w:r>
        <w:rPr>
          <w:spacing w:val="-4"/>
          <w:sz w:val="22"/>
        </w:rPr>
        <w:t> </w:t>
      </w:r>
      <w:r>
        <w:rPr>
          <w:sz w:val="22"/>
        </w:rPr>
        <w:t>is</w:t>
      </w:r>
      <w:r>
        <w:rPr>
          <w:spacing w:val="-3"/>
          <w:sz w:val="22"/>
        </w:rPr>
        <w:t> </w:t>
      </w:r>
      <w:r>
        <w:rPr>
          <w:sz w:val="22"/>
        </w:rPr>
        <w:t>repeated</w:t>
      </w:r>
      <w:r>
        <w:rPr>
          <w:spacing w:val="-6"/>
          <w:sz w:val="22"/>
        </w:rPr>
        <w:t> </w:t>
      </w:r>
      <w:r>
        <w:rPr>
          <w:sz w:val="22"/>
        </w:rPr>
        <w:t>for</w:t>
      </w:r>
      <w:r>
        <w:rPr>
          <w:spacing w:val="-3"/>
          <w:sz w:val="22"/>
        </w:rPr>
        <w:t> </w:t>
      </w:r>
      <w:r>
        <w:rPr>
          <w:sz w:val="22"/>
        </w:rPr>
        <w:t>all</w:t>
      </w:r>
      <w:r>
        <w:rPr>
          <w:spacing w:val="-5"/>
          <w:sz w:val="22"/>
        </w:rPr>
        <w:t> </w:t>
      </w:r>
      <w:r>
        <w:rPr>
          <w:sz w:val="22"/>
        </w:rPr>
        <w:t>quality</w:t>
      </w:r>
      <w:r>
        <w:rPr>
          <w:spacing w:val="-6"/>
          <w:sz w:val="22"/>
        </w:rPr>
        <w:t> </w:t>
      </w:r>
      <w:r>
        <w:rPr>
          <w:sz w:val="22"/>
        </w:rPr>
        <w:t>domains</w:t>
      </w:r>
      <w:r>
        <w:rPr>
          <w:spacing w:val="-3"/>
          <w:sz w:val="22"/>
        </w:rPr>
        <w:t> </w:t>
      </w:r>
      <w:r>
        <w:rPr>
          <w:sz w:val="22"/>
        </w:rPr>
        <w:t>in</w:t>
      </w:r>
      <w:r>
        <w:rPr>
          <w:spacing w:val="-4"/>
          <w:sz w:val="22"/>
        </w:rPr>
        <w:t> </w:t>
      </w:r>
      <w:r>
        <w:rPr>
          <w:sz w:val="22"/>
        </w:rPr>
        <w:t>BP</w:t>
      </w:r>
      <w:r>
        <w:rPr>
          <w:spacing w:val="-4"/>
          <w:sz w:val="22"/>
        </w:rPr>
        <w:t> </w:t>
      </w:r>
      <w:r>
        <w:rPr>
          <w:sz w:val="22"/>
        </w:rPr>
        <w:t>1-3</w:t>
      </w:r>
      <w:r>
        <w:rPr>
          <w:spacing w:val="-4"/>
          <w:sz w:val="22"/>
        </w:rPr>
        <w:t> </w:t>
      </w:r>
      <w:r>
        <w:rPr>
          <w:sz w:val="22"/>
        </w:rPr>
        <w:t>(see Exhibit A5 for detail).</w:t>
      </w:r>
    </w:p>
    <w:p>
      <w:pPr>
        <w:pStyle w:val="BodyText"/>
      </w:pPr>
    </w:p>
    <w:p>
      <w:pPr>
        <w:pStyle w:val="BodyText"/>
        <w:spacing w:before="10"/>
        <w:rPr>
          <w:sz w:val="18"/>
        </w:rPr>
      </w:pPr>
    </w:p>
    <w:p>
      <w:pPr>
        <w:pStyle w:val="ListParagraph"/>
        <w:numPr>
          <w:ilvl w:val="0"/>
          <w:numId w:val="111"/>
        </w:numPr>
        <w:tabs>
          <w:tab w:pos="1578" w:val="left" w:leader="none"/>
        </w:tabs>
        <w:spacing w:line="240" w:lineRule="auto" w:before="0" w:after="0"/>
        <w:ind w:left="1578" w:right="0" w:hanging="358"/>
        <w:jc w:val="both"/>
        <w:rPr>
          <w:b/>
          <w:i/>
          <w:sz w:val="22"/>
        </w:rPr>
      </w:pPr>
      <w:r>
        <w:rPr>
          <w:b/>
          <w:i/>
          <w:sz w:val="22"/>
        </w:rPr>
        <w:t>Calculate</w:t>
      </w:r>
      <w:r>
        <w:rPr>
          <w:b/>
          <w:i/>
          <w:spacing w:val="-5"/>
          <w:sz w:val="22"/>
        </w:rPr>
        <w:t> </w:t>
      </w:r>
      <w:r>
        <w:rPr>
          <w:b/>
          <w:i/>
          <w:sz w:val="22"/>
        </w:rPr>
        <w:t>the</w:t>
      </w:r>
      <w:r>
        <w:rPr>
          <w:b/>
          <w:i/>
          <w:spacing w:val="-5"/>
          <w:sz w:val="22"/>
        </w:rPr>
        <w:t> </w:t>
      </w:r>
      <w:r>
        <w:rPr>
          <w:b/>
          <w:i/>
          <w:sz w:val="22"/>
        </w:rPr>
        <w:t>pooled</w:t>
      </w:r>
      <w:r>
        <w:rPr>
          <w:b/>
          <w:i/>
          <w:spacing w:val="-3"/>
          <w:sz w:val="22"/>
        </w:rPr>
        <w:t> </w:t>
      </w:r>
      <w:r>
        <w:rPr>
          <w:b/>
          <w:i/>
          <w:sz w:val="22"/>
        </w:rPr>
        <w:t>aggregate</w:t>
      </w:r>
      <w:r>
        <w:rPr>
          <w:b/>
          <w:i/>
          <w:spacing w:val="-2"/>
          <w:sz w:val="22"/>
        </w:rPr>
        <w:t> </w:t>
      </w:r>
      <w:r>
        <w:rPr>
          <w:b/>
          <w:i/>
          <w:sz w:val="22"/>
        </w:rPr>
        <w:t>domain</w:t>
      </w:r>
      <w:r>
        <w:rPr>
          <w:b/>
          <w:i/>
          <w:spacing w:val="-4"/>
          <w:sz w:val="22"/>
        </w:rPr>
        <w:t> </w:t>
      </w:r>
      <w:r>
        <w:rPr>
          <w:b/>
          <w:i/>
          <w:sz w:val="22"/>
        </w:rPr>
        <w:t>scores</w:t>
      </w:r>
      <w:r>
        <w:rPr>
          <w:b/>
          <w:i/>
          <w:spacing w:val="-3"/>
          <w:sz w:val="22"/>
        </w:rPr>
        <w:t> </w:t>
      </w:r>
      <w:r>
        <w:rPr>
          <w:b/>
          <w:i/>
          <w:sz w:val="22"/>
        </w:rPr>
        <w:t>for</w:t>
      </w:r>
      <w:r>
        <w:rPr>
          <w:b/>
          <w:i/>
          <w:spacing w:val="-3"/>
          <w:sz w:val="22"/>
        </w:rPr>
        <w:t> </w:t>
      </w:r>
      <w:r>
        <w:rPr>
          <w:b/>
          <w:i/>
          <w:sz w:val="22"/>
        </w:rPr>
        <w:t>BP</w:t>
      </w:r>
      <w:r>
        <w:rPr>
          <w:b/>
          <w:i/>
          <w:spacing w:val="-5"/>
          <w:sz w:val="22"/>
        </w:rPr>
        <w:t> </w:t>
      </w:r>
      <w:r>
        <w:rPr>
          <w:b/>
          <w:i/>
          <w:sz w:val="22"/>
        </w:rPr>
        <w:t>1-</w:t>
      </w:r>
      <w:r>
        <w:rPr>
          <w:b/>
          <w:i/>
          <w:spacing w:val="-10"/>
          <w:sz w:val="22"/>
        </w:rPr>
        <w:t>3</w:t>
      </w:r>
    </w:p>
    <w:p>
      <w:pPr>
        <w:pStyle w:val="BodyText"/>
        <w:spacing w:before="7"/>
        <w:rPr>
          <w:b/>
          <w:i/>
          <w:sz w:val="19"/>
        </w:rPr>
      </w:pPr>
    </w:p>
    <w:p>
      <w:pPr>
        <w:spacing w:before="0"/>
        <w:ind w:left="1220" w:right="1094" w:firstLine="0"/>
        <w:jc w:val="both"/>
        <w:rPr>
          <w:sz w:val="22"/>
        </w:rPr>
      </w:pPr>
      <w:r>
        <w:rPr>
          <w:sz w:val="22"/>
        </w:rPr>
        <w:t>The</w:t>
      </w:r>
      <w:r>
        <w:rPr>
          <w:spacing w:val="-6"/>
          <w:sz w:val="22"/>
        </w:rPr>
        <w:t> </w:t>
      </w:r>
      <w:r>
        <w:rPr>
          <w:sz w:val="22"/>
        </w:rPr>
        <w:t>pooled</w:t>
      </w:r>
      <w:r>
        <w:rPr>
          <w:spacing w:val="-6"/>
          <w:sz w:val="22"/>
        </w:rPr>
        <w:t> </w:t>
      </w:r>
      <w:r>
        <w:rPr>
          <w:sz w:val="22"/>
        </w:rPr>
        <w:t>aggregate</w:t>
      </w:r>
      <w:r>
        <w:rPr>
          <w:spacing w:val="-3"/>
          <w:sz w:val="22"/>
        </w:rPr>
        <w:t> </w:t>
      </w:r>
      <w:r>
        <w:rPr>
          <w:sz w:val="22"/>
        </w:rPr>
        <w:t>domain</w:t>
      </w:r>
      <w:r>
        <w:rPr>
          <w:spacing w:val="-4"/>
          <w:sz w:val="22"/>
        </w:rPr>
        <w:t> </w:t>
      </w:r>
      <w:r>
        <w:rPr>
          <w:sz w:val="22"/>
        </w:rPr>
        <w:t>score</w:t>
      </w:r>
      <w:r>
        <w:rPr>
          <w:spacing w:val="-3"/>
          <w:sz w:val="22"/>
        </w:rPr>
        <w:t> </w:t>
      </w:r>
      <w:r>
        <w:rPr>
          <w:sz w:val="22"/>
        </w:rPr>
        <w:t>is</w:t>
      </w:r>
      <w:r>
        <w:rPr>
          <w:spacing w:val="-6"/>
          <w:sz w:val="22"/>
        </w:rPr>
        <w:t> </w:t>
      </w:r>
      <w:r>
        <w:rPr>
          <w:sz w:val="22"/>
        </w:rPr>
        <w:t>then</w:t>
      </w:r>
      <w:r>
        <w:rPr>
          <w:spacing w:val="-6"/>
          <w:sz w:val="22"/>
        </w:rPr>
        <w:t> </w:t>
      </w:r>
      <w:r>
        <w:rPr>
          <w:sz w:val="22"/>
        </w:rPr>
        <w:t>calculated</w:t>
      </w:r>
      <w:r>
        <w:rPr>
          <w:spacing w:val="-6"/>
          <w:sz w:val="22"/>
        </w:rPr>
        <w:t> </w:t>
      </w:r>
      <w:r>
        <w:rPr>
          <w:sz w:val="22"/>
        </w:rPr>
        <w:t>by</w:t>
      </w:r>
      <w:r>
        <w:rPr>
          <w:spacing w:val="-6"/>
          <w:sz w:val="22"/>
        </w:rPr>
        <w:t> </w:t>
      </w:r>
      <w:r>
        <w:rPr>
          <w:sz w:val="22"/>
        </w:rPr>
        <w:t>determining</w:t>
      </w:r>
      <w:r>
        <w:rPr>
          <w:spacing w:val="-6"/>
          <w:sz w:val="22"/>
        </w:rPr>
        <w:t> </w:t>
      </w:r>
      <w:r>
        <w:rPr>
          <w:sz w:val="22"/>
        </w:rPr>
        <w:t>the</w:t>
      </w:r>
      <w:r>
        <w:rPr>
          <w:spacing w:val="-3"/>
          <w:sz w:val="22"/>
        </w:rPr>
        <w:t> </w:t>
      </w:r>
      <w:r>
        <w:rPr>
          <w:sz w:val="22"/>
        </w:rPr>
        <w:t>median</w:t>
      </w:r>
      <w:r>
        <w:rPr>
          <w:spacing w:val="-6"/>
          <w:sz w:val="22"/>
        </w:rPr>
        <w:t> </w:t>
      </w:r>
      <w:r>
        <w:rPr>
          <w:sz w:val="22"/>
        </w:rPr>
        <w:t>value</w:t>
      </w:r>
      <w:r>
        <w:rPr>
          <w:spacing w:val="-6"/>
          <w:sz w:val="22"/>
        </w:rPr>
        <w:t> </w:t>
      </w:r>
      <w:r>
        <w:rPr>
          <w:sz w:val="22"/>
        </w:rPr>
        <w:t>of</w:t>
      </w:r>
      <w:r>
        <w:rPr>
          <w:spacing w:val="-5"/>
          <w:sz w:val="22"/>
        </w:rPr>
        <w:t> </w:t>
      </w:r>
      <w:r>
        <w:rPr>
          <w:sz w:val="22"/>
        </w:rPr>
        <w:t>all</w:t>
      </w:r>
      <w:r>
        <w:rPr>
          <w:spacing w:val="-5"/>
          <w:sz w:val="22"/>
        </w:rPr>
        <w:t> </w:t>
      </w:r>
      <w:r>
        <w:rPr>
          <w:sz w:val="22"/>
        </w:rPr>
        <w:t>scores</w:t>
      </w:r>
      <w:r>
        <w:rPr>
          <w:spacing w:val="-6"/>
          <w:sz w:val="22"/>
        </w:rPr>
        <w:t> </w:t>
      </w:r>
      <w:r>
        <w:rPr>
          <w:sz w:val="22"/>
        </w:rPr>
        <w:t>within the Budget Periods.</w:t>
      </w:r>
      <w:r>
        <w:rPr>
          <w:spacing w:val="40"/>
          <w:sz w:val="22"/>
        </w:rPr>
        <w:t> </w:t>
      </w:r>
      <w:r>
        <w:rPr>
          <w:sz w:val="22"/>
        </w:rPr>
        <w:t>Assume ACO 1, ACO 2, and ACO 3 demonstrates the following scores in the Prevention and Wellness domain across BP1-3:</w:t>
      </w:r>
    </w:p>
    <w:p>
      <w:pPr>
        <w:pStyle w:val="BodyText"/>
        <w:spacing w:before="8"/>
        <w:rPr>
          <w:sz w:val="10"/>
        </w:rPr>
      </w:pPr>
    </w:p>
    <w:tbl>
      <w:tblPr>
        <w:tblW w:w="0" w:type="auto"/>
        <w:jc w:val="left"/>
        <w:tblInd w:w="123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039"/>
        <w:gridCol w:w="1039"/>
        <w:gridCol w:w="1037"/>
        <w:gridCol w:w="1039"/>
        <w:gridCol w:w="1039"/>
        <w:gridCol w:w="1039"/>
        <w:gridCol w:w="1039"/>
        <w:gridCol w:w="1039"/>
        <w:gridCol w:w="1039"/>
      </w:tblGrid>
      <w:tr>
        <w:trPr>
          <w:trHeight w:val="205" w:hRule="atLeast"/>
        </w:trPr>
        <w:tc>
          <w:tcPr>
            <w:tcW w:w="3115" w:type="dxa"/>
            <w:gridSpan w:val="3"/>
            <w:shd w:val="clear" w:color="auto" w:fill="2E5395"/>
          </w:tcPr>
          <w:p>
            <w:pPr>
              <w:pStyle w:val="TableParagraph"/>
              <w:spacing w:line="186" w:lineRule="exact"/>
              <w:ind w:left="1275" w:right="1269"/>
              <w:jc w:val="center"/>
              <w:rPr>
                <w:b/>
                <w:sz w:val="18"/>
              </w:rPr>
            </w:pPr>
            <w:r>
              <w:rPr>
                <w:b/>
                <w:color w:val="FFFFFF"/>
                <w:sz w:val="18"/>
              </w:rPr>
              <w:t>ACO</w:t>
            </w:r>
            <w:r>
              <w:rPr>
                <w:b/>
                <w:color w:val="FFFFFF"/>
                <w:spacing w:val="-5"/>
                <w:sz w:val="18"/>
              </w:rPr>
              <w:t> </w:t>
            </w:r>
            <w:r>
              <w:rPr>
                <w:b/>
                <w:color w:val="FFFFFF"/>
                <w:spacing w:val="-10"/>
                <w:sz w:val="18"/>
              </w:rPr>
              <w:t>1</w:t>
            </w:r>
          </w:p>
        </w:tc>
        <w:tc>
          <w:tcPr>
            <w:tcW w:w="3117" w:type="dxa"/>
            <w:gridSpan w:val="3"/>
            <w:shd w:val="clear" w:color="auto" w:fill="2E5395"/>
          </w:tcPr>
          <w:p>
            <w:pPr>
              <w:pStyle w:val="TableParagraph"/>
              <w:spacing w:line="186" w:lineRule="exact"/>
              <w:ind w:left="1277" w:right="1268"/>
              <w:jc w:val="center"/>
              <w:rPr>
                <w:b/>
                <w:sz w:val="18"/>
              </w:rPr>
            </w:pPr>
            <w:r>
              <w:rPr>
                <w:b/>
                <w:color w:val="FFFFFF"/>
                <w:sz w:val="18"/>
              </w:rPr>
              <w:t>ACO</w:t>
            </w:r>
            <w:r>
              <w:rPr>
                <w:b/>
                <w:color w:val="FFFFFF"/>
                <w:spacing w:val="-5"/>
                <w:sz w:val="18"/>
              </w:rPr>
              <w:t> </w:t>
            </w:r>
            <w:r>
              <w:rPr>
                <w:b/>
                <w:color w:val="FFFFFF"/>
                <w:spacing w:val="-10"/>
                <w:sz w:val="18"/>
              </w:rPr>
              <w:t>2</w:t>
            </w:r>
          </w:p>
        </w:tc>
        <w:tc>
          <w:tcPr>
            <w:tcW w:w="3117" w:type="dxa"/>
            <w:gridSpan w:val="3"/>
            <w:shd w:val="clear" w:color="auto" w:fill="2E5395"/>
          </w:tcPr>
          <w:p>
            <w:pPr>
              <w:pStyle w:val="TableParagraph"/>
              <w:spacing w:line="186" w:lineRule="exact"/>
              <w:ind w:left="1278" w:right="1268"/>
              <w:jc w:val="center"/>
              <w:rPr>
                <w:b/>
                <w:sz w:val="18"/>
              </w:rPr>
            </w:pPr>
            <w:r>
              <w:rPr>
                <w:b/>
                <w:color w:val="FFFFFF"/>
                <w:sz w:val="18"/>
              </w:rPr>
              <w:t>ACO</w:t>
            </w:r>
            <w:r>
              <w:rPr>
                <w:b/>
                <w:color w:val="FFFFFF"/>
                <w:spacing w:val="-5"/>
                <w:sz w:val="18"/>
              </w:rPr>
              <w:t> </w:t>
            </w:r>
            <w:r>
              <w:rPr>
                <w:b/>
                <w:color w:val="FFFFFF"/>
                <w:spacing w:val="-10"/>
                <w:sz w:val="18"/>
              </w:rPr>
              <w:t>3</w:t>
            </w:r>
          </w:p>
        </w:tc>
      </w:tr>
      <w:tr>
        <w:trPr>
          <w:trHeight w:val="206" w:hRule="atLeast"/>
        </w:trPr>
        <w:tc>
          <w:tcPr>
            <w:tcW w:w="1039" w:type="dxa"/>
            <w:shd w:val="clear" w:color="auto" w:fill="D9D9D9"/>
          </w:tcPr>
          <w:p>
            <w:pPr>
              <w:pStyle w:val="TableParagraph"/>
              <w:spacing w:line="186" w:lineRule="exact"/>
              <w:ind w:right="351"/>
              <w:jc w:val="right"/>
              <w:rPr>
                <w:sz w:val="18"/>
              </w:rPr>
            </w:pPr>
            <w:r>
              <w:rPr>
                <w:spacing w:val="-5"/>
                <w:sz w:val="18"/>
              </w:rPr>
              <w:t>BP1</w:t>
            </w:r>
          </w:p>
        </w:tc>
        <w:tc>
          <w:tcPr>
            <w:tcW w:w="1039" w:type="dxa"/>
            <w:shd w:val="clear" w:color="auto" w:fill="D9D9D9"/>
          </w:tcPr>
          <w:p>
            <w:pPr>
              <w:pStyle w:val="TableParagraph"/>
              <w:spacing w:line="186" w:lineRule="exact"/>
              <w:ind w:left="364"/>
              <w:rPr>
                <w:sz w:val="18"/>
              </w:rPr>
            </w:pPr>
            <w:r>
              <w:rPr>
                <w:spacing w:val="-5"/>
                <w:sz w:val="18"/>
              </w:rPr>
              <w:t>BP2</w:t>
            </w:r>
          </w:p>
        </w:tc>
        <w:tc>
          <w:tcPr>
            <w:tcW w:w="1037" w:type="dxa"/>
            <w:shd w:val="clear" w:color="auto" w:fill="D9D9D9"/>
          </w:tcPr>
          <w:p>
            <w:pPr>
              <w:pStyle w:val="TableParagraph"/>
              <w:spacing w:line="186" w:lineRule="exact"/>
              <w:ind w:left="365"/>
              <w:rPr>
                <w:sz w:val="18"/>
              </w:rPr>
            </w:pPr>
            <w:r>
              <w:rPr>
                <w:spacing w:val="-5"/>
                <w:sz w:val="18"/>
              </w:rPr>
              <w:t>BP3</w:t>
            </w:r>
          </w:p>
        </w:tc>
        <w:tc>
          <w:tcPr>
            <w:tcW w:w="1039" w:type="dxa"/>
            <w:shd w:val="clear" w:color="auto" w:fill="D9D9D9"/>
          </w:tcPr>
          <w:p>
            <w:pPr>
              <w:pStyle w:val="TableParagraph"/>
              <w:spacing w:line="186" w:lineRule="exact"/>
              <w:ind w:left="364"/>
              <w:rPr>
                <w:sz w:val="18"/>
              </w:rPr>
            </w:pPr>
            <w:r>
              <w:rPr>
                <w:spacing w:val="-5"/>
                <w:sz w:val="18"/>
              </w:rPr>
              <w:t>BP1</w:t>
            </w:r>
          </w:p>
        </w:tc>
        <w:tc>
          <w:tcPr>
            <w:tcW w:w="1039" w:type="dxa"/>
            <w:shd w:val="clear" w:color="auto" w:fill="D9D9D9"/>
          </w:tcPr>
          <w:p>
            <w:pPr>
              <w:pStyle w:val="TableParagraph"/>
              <w:spacing w:line="186" w:lineRule="exact"/>
              <w:ind w:left="365"/>
              <w:rPr>
                <w:sz w:val="18"/>
              </w:rPr>
            </w:pPr>
            <w:r>
              <w:rPr>
                <w:spacing w:val="-5"/>
                <w:sz w:val="18"/>
              </w:rPr>
              <w:t>BP2</w:t>
            </w:r>
          </w:p>
        </w:tc>
        <w:tc>
          <w:tcPr>
            <w:tcW w:w="1039" w:type="dxa"/>
            <w:shd w:val="clear" w:color="auto" w:fill="D9D9D9"/>
          </w:tcPr>
          <w:p>
            <w:pPr>
              <w:pStyle w:val="TableParagraph"/>
              <w:spacing w:line="186" w:lineRule="exact"/>
              <w:ind w:left="365"/>
              <w:rPr>
                <w:sz w:val="18"/>
              </w:rPr>
            </w:pPr>
            <w:r>
              <w:rPr>
                <w:spacing w:val="-5"/>
                <w:sz w:val="18"/>
              </w:rPr>
              <w:t>BP3</w:t>
            </w:r>
          </w:p>
        </w:tc>
        <w:tc>
          <w:tcPr>
            <w:tcW w:w="1039" w:type="dxa"/>
            <w:shd w:val="clear" w:color="auto" w:fill="D9D9D9"/>
          </w:tcPr>
          <w:p>
            <w:pPr>
              <w:pStyle w:val="TableParagraph"/>
              <w:spacing w:line="186" w:lineRule="exact"/>
              <w:ind w:left="365"/>
              <w:rPr>
                <w:sz w:val="18"/>
              </w:rPr>
            </w:pPr>
            <w:r>
              <w:rPr>
                <w:spacing w:val="-5"/>
                <w:sz w:val="18"/>
              </w:rPr>
              <w:t>BP1</w:t>
            </w:r>
          </w:p>
        </w:tc>
        <w:tc>
          <w:tcPr>
            <w:tcW w:w="1039" w:type="dxa"/>
            <w:shd w:val="clear" w:color="auto" w:fill="D9D9D9"/>
          </w:tcPr>
          <w:p>
            <w:pPr>
              <w:pStyle w:val="TableParagraph"/>
              <w:spacing w:line="186" w:lineRule="exact"/>
              <w:ind w:left="365"/>
              <w:rPr>
                <w:sz w:val="18"/>
              </w:rPr>
            </w:pPr>
            <w:r>
              <w:rPr>
                <w:spacing w:val="-5"/>
                <w:sz w:val="18"/>
              </w:rPr>
              <w:t>BP2</w:t>
            </w:r>
          </w:p>
        </w:tc>
        <w:tc>
          <w:tcPr>
            <w:tcW w:w="1039" w:type="dxa"/>
            <w:shd w:val="clear" w:color="auto" w:fill="D9D9D9"/>
          </w:tcPr>
          <w:p>
            <w:pPr>
              <w:pStyle w:val="TableParagraph"/>
              <w:spacing w:line="186" w:lineRule="exact"/>
              <w:ind w:left="365"/>
              <w:rPr>
                <w:sz w:val="18"/>
              </w:rPr>
            </w:pPr>
            <w:r>
              <w:rPr>
                <w:spacing w:val="-5"/>
                <w:sz w:val="18"/>
              </w:rPr>
              <w:t>BP3</w:t>
            </w:r>
          </w:p>
        </w:tc>
      </w:tr>
      <w:tr>
        <w:trPr>
          <w:trHeight w:val="208" w:hRule="atLeast"/>
        </w:trPr>
        <w:tc>
          <w:tcPr>
            <w:tcW w:w="1039" w:type="dxa"/>
          </w:tcPr>
          <w:p>
            <w:pPr>
              <w:pStyle w:val="TableParagraph"/>
              <w:spacing w:line="186" w:lineRule="exact" w:before="2"/>
              <w:ind w:right="338"/>
              <w:jc w:val="right"/>
              <w:rPr>
                <w:sz w:val="18"/>
              </w:rPr>
            </w:pPr>
            <w:r>
              <w:rPr>
                <w:spacing w:val="-5"/>
                <w:sz w:val="18"/>
              </w:rPr>
              <w:t>30%</w:t>
            </w:r>
          </w:p>
        </w:tc>
        <w:tc>
          <w:tcPr>
            <w:tcW w:w="1039" w:type="dxa"/>
          </w:tcPr>
          <w:p>
            <w:pPr>
              <w:pStyle w:val="TableParagraph"/>
              <w:spacing w:line="186" w:lineRule="exact" w:before="2"/>
              <w:ind w:left="355"/>
              <w:rPr>
                <w:sz w:val="18"/>
              </w:rPr>
            </w:pPr>
            <w:r>
              <w:rPr>
                <w:spacing w:val="-5"/>
                <w:sz w:val="18"/>
              </w:rPr>
              <w:t>40%</w:t>
            </w:r>
          </w:p>
        </w:tc>
        <w:tc>
          <w:tcPr>
            <w:tcW w:w="1037" w:type="dxa"/>
          </w:tcPr>
          <w:p>
            <w:pPr>
              <w:pStyle w:val="TableParagraph"/>
              <w:spacing w:line="186" w:lineRule="exact" w:before="2"/>
              <w:ind w:left="355"/>
              <w:rPr>
                <w:sz w:val="18"/>
              </w:rPr>
            </w:pPr>
            <w:r>
              <w:rPr>
                <w:spacing w:val="-5"/>
                <w:sz w:val="18"/>
              </w:rPr>
              <w:t>50%</w:t>
            </w:r>
          </w:p>
        </w:tc>
        <w:tc>
          <w:tcPr>
            <w:tcW w:w="1039" w:type="dxa"/>
          </w:tcPr>
          <w:p>
            <w:pPr>
              <w:pStyle w:val="TableParagraph"/>
              <w:spacing w:line="186" w:lineRule="exact" w:before="2"/>
              <w:ind w:left="355"/>
              <w:rPr>
                <w:sz w:val="18"/>
              </w:rPr>
            </w:pPr>
            <w:r>
              <w:rPr>
                <w:spacing w:val="-5"/>
                <w:sz w:val="18"/>
              </w:rPr>
              <w:t>33%</w:t>
            </w:r>
          </w:p>
        </w:tc>
        <w:tc>
          <w:tcPr>
            <w:tcW w:w="1039" w:type="dxa"/>
          </w:tcPr>
          <w:p>
            <w:pPr>
              <w:pStyle w:val="TableParagraph"/>
              <w:spacing w:line="186" w:lineRule="exact" w:before="2"/>
              <w:ind w:left="355"/>
              <w:rPr>
                <w:sz w:val="18"/>
              </w:rPr>
            </w:pPr>
            <w:r>
              <w:rPr>
                <w:spacing w:val="-5"/>
                <w:sz w:val="18"/>
              </w:rPr>
              <w:t>41%</w:t>
            </w:r>
          </w:p>
        </w:tc>
        <w:tc>
          <w:tcPr>
            <w:tcW w:w="1039" w:type="dxa"/>
          </w:tcPr>
          <w:p>
            <w:pPr>
              <w:pStyle w:val="TableParagraph"/>
              <w:spacing w:line="186" w:lineRule="exact" w:before="2"/>
              <w:ind w:left="355"/>
              <w:rPr>
                <w:sz w:val="18"/>
              </w:rPr>
            </w:pPr>
            <w:r>
              <w:rPr>
                <w:spacing w:val="-5"/>
                <w:sz w:val="18"/>
              </w:rPr>
              <w:t>52%</w:t>
            </w:r>
          </w:p>
        </w:tc>
        <w:tc>
          <w:tcPr>
            <w:tcW w:w="1039" w:type="dxa"/>
          </w:tcPr>
          <w:p>
            <w:pPr>
              <w:pStyle w:val="TableParagraph"/>
              <w:spacing w:line="186" w:lineRule="exact" w:before="2"/>
              <w:ind w:left="355"/>
              <w:rPr>
                <w:sz w:val="18"/>
              </w:rPr>
            </w:pPr>
            <w:r>
              <w:rPr>
                <w:spacing w:val="-5"/>
                <w:sz w:val="18"/>
              </w:rPr>
              <w:t>31%</w:t>
            </w:r>
          </w:p>
        </w:tc>
        <w:tc>
          <w:tcPr>
            <w:tcW w:w="1039" w:type="dxa"/>
          </w:tcPr>
          <w:p>
            <w:pPr>
              <w:pStyle w:val="TableParagraph"/>
              <w:spacing w:line="186" w:lineRule="exact" w:before="2"/>
              <w:ind w:left="356"/>
              <w:rPr>
                <w:sz w:val="18"/>
              </w:rPr>
            </w:pPr>
            <w:r>
              <w:rPr>
                <w:spacing w:val="-5"/>
                <w:sz w:val="18"/>
              </w:rPr>
              <w:t>39%</w:t>
            </w:r>
          </w:p>
        </w:tc>
        <w:tc>
          <w:tcPr>
            <w:tcW w:w="1039" w:type="dxa"/>
          </w:tcPr>
          <w:p>
            <w:pPr>
              <w:pStyle w:val="TableParagraph"/>
              <w:spacing w:line="186" w:lineRule="exact" w:before="2"/>
              <w:ind w:left="356"/>
              <w:rPr>
                <w:sz w:val="18"/>
              </w:rPr>
            </w:pPr>
            <w:r>
              <w:rPr>
                <w:spacing w:val="-5"/>
                <w:sz w:val="18"/>
              </w:rPr>
              <w:t>49%</w:t>
            </w:r>
          </w:p>
        </w:tc>
      </w:tr>
    </w:tbl>
    <w:p>
      <w:pPr>
        <w:pStyle w:val="BodyText"/>
        <w:spacing w:before="6"/>
        <w:rPr>
          <w:sz w:val="32"/>
        </w:rPr>
      </w:pPr>
    </w:p>
    <w:p>
      <w:pPr>
        <w:spacing w:before="0"/>
        <w:ind w:left="1220" w:right="0" w:firstLine="0"/>
        <w:jc w:val="both"/>
        <w:rPr>
          <w:sz w:val="22"/>
        </w:rPr>
      </w:pPr>
      <w:r>
        <w:rPr>
          <w:sz w:val="22"/>
        </w:rPr>
        <w:t>Redistributed</w:t>
      </w:r>
      <w:r>
        <w:rPr>
          <w:spacing w:val="-6"/>
          <w:sz w:val="22"/>
        </w:rPr>
        <w:t> </w:t>
      </w:r>
      <w:r>
        <w:rPr>
          <w:sz w:val="22"/>
        </w:rPr>
        <w:t>from</w:t>
      </w:r>
      <w:r>
        <w:rPr>
          <w:spacing w:val="-7"/>
          <w:sz w:val="22"/>
        </w:rPr>
        <w:t> </w:t>
      </w:r>
      <w:r>
        <w:rPr>
          <w:sz w:val="22"/>
        </w:rPr>
        <w:t>lowest</w:t>
      </w:r>
      <w:r>
        <w:rPr>
          <w:spacing w:val="-1"/>
          <w:sz w:val="22"/>
        </w:rPr>
        <w:t> </w:t>
      </w:r>
      <w:r>
        <w:rPr>
          <w:sz w:val="22"/>
        </w:rPr>
        <w:t>to</w:t>
      </w:r>
      <w:r>
        <w:rPr>
          <w:spacing w:val="-3"/>
          <w:sz w:val="22"/>
        </w:rPr>
        <w:t> </w:t>
      </w:r>
      <w:r>
        <w:rPr>
          <w:sz w:val="22"/>
        </w:rPr>
        <w:t>highest</w:t>
      </w:r>
      <w:r>
        <w:rPr>
          <w:spacing w:val="-5"/>
          <w:sz w:val="22"/>
        </w:rPr>
        <w:t> </w:t>
      </w:r>
      <w:r>
        <w:rPr>
          <w:sz w:val="22"/>
        </w:rPr>
        <w:t>the</w:t>
      </w:r>
      <w:r>
        <w:rPr>
          <w:spacing w:val="-2"/>
          <w:sz w:val="22"/>
        </w:rPr>
        <w:t> </w:t>
      </w:r>
      <w:r>
        <w:rPr>
          <w:sz w:val="22"/>
        </w:rPr>
        <w:t>domain</w:t>
      </w:r>
      <w:r>
        <w:rPr>
          <w:spacing w:val="-3"/>
          <w:sz w:val="22"/>
        </w:rPr>
        <w:t> </w:t>
      </w:r>
      <w:r>
        <w:rPr>
          <w:sz w:val="22"/>
        </w:rPr>
        <w:t>scores</w:t>
      </w:r>
      <w:r>
        <w:rPr>
          <w:spacing w:val="-5"/>
          <w:sz w:val="22"/>
        </w:rPr>
        <w:t> </w:t>
      </w:r>
      <w:r>
        <w:rPr>
          <w:sz w:val="22"/>
        </w:rPr>
        <w:t>appear</w:t>
      </w:r>
      <w:r>
        <w:rPr>
          <w:spacing w:val="-1"/>
          <w:sz w:val="22"/>
        </w:rPr>
        <w:t> </w:t>
      </w:r>
      <w:r>
        <w:rPr>
          <w:spacing w:val="-5"/>
          <w:sz w:val="22"/>
        </w:rPr>
        <w:t>as:</w:t>
      </w:r>
    </w:p>
    <w:p>
      <w:pPr>
        <w:pStyle w:val="BodyText"/>
        <w:spacing w:before="5"/>
        <w:rPr>
          <w:sz w:val="10"/>
        </w:rPr>
      </w:pPr>
    </w:p>
    <w:tbl>
      <w:tblPr>
        <w:tblW w:w="0" w:type="auto"/>
        <w:jc w:val="left"/>
        <w:tblInd w:w="123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039"/>
        <w:gridCol w:w="1039"/>
        <w:gridCol w:w="1037"/>
        <w:gridCol w:w="1039"/>
        <w:gridCol w:w="1039"/>
        <w:gridCol w:w="1039"/>
        <w:gridCol w:w="1039"/>
        <w:gridCol w:w="1039"/>
        <w:gridCol w:w="1039"/>
      </w:tblGrid>
      <w:tr>
        <w:trPr>
          <w:trHeight w:val="206" w:hRule="atLeast"/>
        </w:trPr>
        <w:tc>
          <w:tcPr>
            <w:tcW w:w="1039" w:type="dxa"/>
          </w:tcPr>
          <w:p>
            <w:pPr>
              <w:pStyle w:val="TableParagraph"/>
              <w:spacing w:line="186" w:lineRule="exact"/>
              <w:ind w:left="355"/>
              <w:rPr>
                <w:sz w:val="18"/>
              </w:rPr>
            </w:pPr>
            <w:r>
              <w:rPr>
                <w:spacing w:val="-5"/>
                <w:sz w:val="18"/>
              </w:rPr>
              <w:t>30%</w:t>
            </w:r>
          </w:p>
        </w:tc>
        <w:tc>
          <w:tcPr>
            <w:tcW w:w="1039" w:type="dxa"/>
          </w:tcPr>
          <w:p>
            <w:pPr>
              <w:pStyle w:val="TableParagraph"/>
              <w:spacing w:line="186" w:lineRule="exact"/>
              <w:ind w:left="355"/>
              <w:rPr>
                <w:sz w:val="18"/>
              </w:rPr>
            </w:pPr>
            <w:r>
              <w:rPr>
                <w:spacing w:val="-5"/>
                <w:sz w:val="18"/>
              </w:rPr>
              <w:t>31%</w:t>
            </w:r>
          </w:p>
        </w:tc>
        <w:tc>
          <w:tcPr>
            <w:tcW w:w="1037" w:type="dxa"/>
          </w:tcPr>
          <w:p>
            <w:pPr>
              <w:pStyle w:val="TableParagraph"/>
              <w:spacing w:line="186" w:lineRule="exact"/>
              <w:ind w:left="355"/>
              <w:rPr>
                <w:sz w:val="18"/>
              </w:rPr>
            </w:pPr>
            <w:r>
              <w:rPr>
                <w:spacing w:val="-5"/>
                <w:sz w:val="18"/>
              </w:rPr>
              <w:t>33%</w:t>
            </w:r>
          </w:p>
        </w:tc>
        <w:tc>
          <w:tcPr>
            <w:tcW w:w="1039" w:type="dxa"/>
          </w:tcPr>
          <w:p>
            <w:pPr>
              <w:pStyle w:val="TableParagraph"/>
              <w:spacing w:line="186" w:lineRule="exact"/>
              <w:ind w:left="355"/>
              <w:rPr>
                <w:sz w:val="18"/>
              </w:rPr>
            </w:pPr>
            <w:r>
              <w:rPr>
                <w:spacing w:val="-5"/>
                <w:sz w:val="18"/>
              </w:rPr>
              <w:t>39%</w:t>
            </w:r>
          </w:p>
        </w:tc>
        <w:tc>
          <w:tcPr>
            <w:tcW w:w="1039" w:type="dxa"/>
          </w:tcPr>
          <w:p>
            <w:pPr>
              <w:pStyle w:val="TableParagraph"/>
              <w:spacing w:line="186" w:lineRule="exact"/>
              <w:ind w:left="355"/>
              <w:rPr>
                <w:sz w:val="18"/>
              </w:rPr>
            </w:pPr>
            <w:r>
              <w:rPr>
                <w:spacing w:val="-5"/>
                <w:sz w:val="18"/>
              </w:rPr>
              <w:t>40%</w:t>
            </w:r>
          </w:p>
        </w:tc>
        <w:tc>
          <w:tcPr>
            <w:tcW w:w="1039" w:type="dxa"/>
          </w:tcPr>
          <w:p>
            <w:pPr>
              <w:pStyle w:val="TableParagraph"/>
              <w:spacing w:line="186" w:lineRule="exact"/>
              <w:ind w:left="355"/>
              <w:rPr>
                <w:sz w:val="18"/>
              </w:rPr>
            </w:pPr>
            <w:r>
              <w:rPr>
                <w:spacing w:val="-5"/>
                <w:sz w:val="18"/>
              </w:rPr>
              <w:t>41%</w:t>
            </w:r>
          </w:p>
        </w:tc>
        <w:tc>
          <w:tcPr>
            <w:tcW w:w="1039" w:type="dxa"/>
          </w:tcPr>
          <w:p>
            <w:pPr>
              <w:pStyle w:val="TableParagraph"/>
              <w:spacing w:line="186" w:lineRule="exact"/>
              <w:ind w:left="355"/>
              <w:rPr>
                <w:sz w:val="18"/>
              </w:rPr>
            </w:pPr>
            <w:r>
              <w:rPr>
                <w:spacing w:val="-5"/>
                <w:sz w:val="18"/>
              </w:rPr>
              <w:t>49%</w:t>
            </w:r>
          </w:p>
        </w:tc>
        <w:tc>
          <w:tcPr>
            <w:tcW w:w="1039" w:type="dxa"/>
          </w:tcPr>
          <w:p>
            <w:pPr>
              <w:pStyle w:val="TableParagraph"/>
              <w:spacing w:line="186" w:lineRule="exact"/>
              <w:ind w:left="356"/>
              <w:rPr>
                <w:sz w:val="18"/>
              </w:rPr>
            </w:pPr>
            <w:r>
              <w:rPr>
                <w:spacing w:val="-5"/>
                <w:sz w:val="18"/>
              </w:rPr>
              <w:t>50%</w:t>
            </w:r>
          </w:p>
        </w:tc>
        <w:tc>
          <w:tcPr>
            <w:tcW w:w="1039" w:type="dxa"/>
          </w:tcPr>
          <w:p>
            <w:pPr>
              <w:pStyle w:val="TableParagraph"/>
              <w:spacing w:line="186" w:lineRule="exact"/>
              <w:ind w:left="356"/>
              <w:rPr>
                <w:sz w:val="18"/>
              </w:rPr>
            </w:pPr>
            <w:r>
              <w:rPr>
                <w:spacing w:val="-5"/>
                <w:sz w:val="18"/>
              </w:rPr>
              <w:t>52%</w:t>
            </w:r>
          </w:p>
        </w:tc>
      </w:tr>
    </w:tbl>
    <w:p>
      <w:pPr>
        <w:pStyle w:val="BodyText"/>
        <w:spacing w:before="4"/>
        <w:rPr>
          <w:sz w:val="32"/>
        </w:rPr>
      </w:pPr>
    </w:p>
    <w:p>
      <w:pPr>
        <w:spacing w:before="0"/>
        <w:ind w:left="1220" w:right="1097" w:firstLine="0"/>
        <w:jc w:val="both"/>
        <w:rPr>
          <w:sz w:val="22"/>
        </w:rPr>
      </w:pPr>
      <w:r>
        <w:rPr>
          <w:sz w:val="22"/>
        </w:rPr>
        <w:t>As</w:t>
      </w:r>
      <w:r>
        <w:rPr>
          <w:spacing w:val="-4"/>
          <w:sz w:val="22"/>
        </w:rPr>
        <w:t> </w:t>
      </w:r>
      <w:r>
        <w:rPr>
          <w:sz w:val="22"/>
        </w:rPr>
        <w:t>the</w:t>
      </w:r>
      <w:r>
        <w:rPr>
          <w:spacing w:val="-4"/>
          <w:sz w:val="22"/>
        </w:rPr>
        <w:t> </w:t>
      </w:r>
      <w:r>
        <w:rPr>
          <w:sz w:val="22"/>
        </w:rPr>
        <w:t>median</w:t>
      </w:r>
      <w:r>
        <w:rPr>
          <w:spacing w:val="-7"/>
          <w:sz w:val="22"/>
        </w:rPr>
        <w:t> </w:t>
      </w:r>
      <w:r>
        <w:rPr>
          <w:sz w:val="22"/>
        </w:rPr>
        <w:t>score</w:t>
      </w:r>
      <w:r>
        <w:rPr>
          <w:spacing w:val="-7"/>
          <w:sz w:val="22"/>
        </w:rPr>
        <w:t> </w:t>
      </w:r>
      <w:r>
        <w:rPr>
          <w:sz w:val="22"/>
        </w:rPr>
        <w:t>from</w:t>
      </w:r>
      <w:r>
        <w:rPr>
          <w:spacing w:val="-8"/>
          <w:sz w:val="22"/>
        </w:rPr>
        <w:t> </w:t>
      </w:r>
      <w:r>
        <w:rPr>
          <w:sz w:val="22"/>
        </w:rPr>
        <w:t>a</w:t>
      </w:r>
      <w:r>
        <w:rPr>
          <w:spacing w:val="-7"/>
          <w:sz w:val="22"/>
        </w:rPr>
        <w:t> </w:t>
      </w:r>
      <w:r>
        <w:rPr>
          <w:sz w:val="22"/>
        </w:rPr>
        <w:t>distribution</w:t>
      </w:r>
      <w:r>
        <w:rPr>
          <w:spacing w:val="-7"/>
          <w:sz w:val="22"/>
        </w:rPr>
        <w:t> </w:t>
      </w:r>
      <w:r>
        <w:rPr>
          <w:sz w:val="22"/>
        </w:rPr>
        <w:t>is</w:t>
      </w:r>
      <w:r>
        <w:rPr>
          <w:spacing w:val="-7"/>
          <w:sz w:val="22"/>
        </w:rPr>
        <w:t> </w:t>
      </w:r>
      <w:r>
        <w:rPr>
          <w:sz w:val="22"/>
        </w:rPr>
        <w:t>the</w:t>
      </w:r>
      <w:r>
        <w:rPr>
          <w:spacing w:val="-4"/>
          <w:sz w:val="22"/>
        </w:rPr>
        <w:t> </w:t>
      </w:r>
      <w:r>
        <w:rPr>
          <w:sz w:val="22"/>
        </w:rPr>
        <w:t>middle</w:t>
      </w:r>
      <w:r>
        <w:rPr>
          <w:spacing w:val="-7"/>
          <w:sz w:val="22"/>
        </w:rPr>
        <w:t> </w:t>
      </w:r>
      <w:r>
        <w:rPr>
          <w:sz w:val="22"/>
        </w:rPr>
        <w:t>score,</w:t>
      </w:r>
      <w:r>
        <w:rPr>
          <w:spacing w:val="-7"/>
          <w:sz w:val="22"/>
        </w:rPr>
        <w:t> </w:t>
      </w:r>
      <w:r>
        <w:rPr>
          <w:sz w:val="22"/>
        </w:rPr>
        <w:t>then</w:t>
      </w:r>
      <w:r>
        <w:rPr>
          <w:spacing w:val="-7"/>
          <w:sz w:val="22"/>
        </w:rPr>
        <w:t> </w:t>
      </w:r>
      <w:r>
        <w:rPr>
          <w:sz w:val="22"/>
        </w:rPr>
        <w:t>the</w:t>
      </w:r>
      <w:r>
        <w:rPr>
          <w:spacing w:val="-4"/>
          <w:sz w:val="22"/>
        </w:rPr>
        <w:t> </w:t>
      </w:r>
      <w:r>
        <w:rPr>
          <w:sz w:val="22"/>
        </w:rPr>
        <w:t>pooled</w:t>
      </w:r>
      <w:r>
        <w:rPr>
          <w:spacing w:val="-7"/>
          <w:sz w:val="22"/>
        </w:rPr>
        <w:t> </w:t>
      </w:r>
      <w:r>
        <w:rPr>
          <w:sz w:val="22"/>
        </w:rPr>
        <w:t>aggregate</w:t>
      </w:r>
      <w:r>
        <w:rPr>
          <w:spacing w:val="-4"/>
          <w:sz w:val="22"/>
        </w:rPr>
        <w:t> </w:t>
      </w:r>
      <w:r>
        <w:rPr>
          <w:sz w:val="22"/>
        </w:rPr>
        <w:t>domain</w:t>
      </w:r>
      <w:r>
        <w:rPr>
          <w:spacing w:val="-7"/>
          <w:sz w:val="22"/>
        </w:rPr>
        <w:t> </w:t>
      </w:r>
      <w:r>
        <w:rPr>
          <w:sz w:val="22"/>
        </w:rPr>
        <w:t>score</w:t>
      </w:r>
      <w:r>
        <w:rPr>
          <w:spacing w:val="-7"/>
          <w:sz w:val="22"/>
        </w:rPr>
        <w:t> </w:t>
      </w:r>
      <w:r>
        <w:rPr>
          <w:sz w:val="22"/>
        </w:rPr>
        <w:t>across BP1-3 = 40.0%.</w:t>
      </w:r>
    </w:p>
    <w:p>
      <w:pPr>
        <w:pStyle w:val="BodyText"/>
      </w:pPr>
    </w:p>
    <w:p>
      <w:pPr>
        <w:pStyle w:val="BodyText"/>
        <w:spacing w:before="1"/>
        <w:rPr>
          <w:sz w:val="19"/>
        </w:rPr>
      </w:pPr>
    </w:p>
    <w:p>
      <w:pPr>
        <w:spacing w:before="0"/>
        <w:ind w:left="1219" w:right="0" w:firstLine="0"/>
        <w:jc w:val="both"/>
        <w:rPr>
          <w:sz w:val="22"/>
        </w:rPr>
      </w:pPr>
      <w:r>
        <w:rPr/>
        <mc:AlternateContent>
          <mc:Choice Requires="wps">
            <w:drawing>
              <wp:anchor distT="0" distB="0" distL="0" distR="0" allowOverlap="1" layoutInCell="1" locked="0" behindDoc="0" simplePos="0" relativeHeight="16171008">
                <wp:simplePos x="0" y="0"/>
                <wp:positionH relativeFrom="page">
                  <wp:posOffset>219456</wp:posOffset>
                </wp:positionH>
                <wp:positionV relativeFrom="paragraph">
                  <wp:posOffset>237017</wp:posOffset>
                </wp:positionV>
                <wp:extent cx="7335520" cy="6350"/>
                <wp:effectExtent l="0" t="0" r="0" b="0"/>
                <wp:wrapNone/>
                <wp:docPr id="943" name="Graphic 943"/>
                <wp:cNvGraphicFramePr>
                  <a:graphicFrameLocks/>
                </wp:cNvGraphicFramePr>
                <a:graphic>
                  <a:graphicData uri="http://schemas.microsoft.com/office/word/2010/wordprocessingShape">
                    <wps:wsp>
                      <wps:cNvPr id="943" name="Graphic 943"/>
                      <wps:cNvSpPr/>
                      <wps:spPr>
                        <a:xfrm>
                          <a:off x="0" y="0"/>
                          <a:ext cx="7335520" cy="6350"/>
                        </a:xfrm>
                        <a:custGeom>
                          <a:avLst/>
                          <a:gdLst/>
                          <a:ahLst/>
                          <a:cxnLst/>
                          <a:rect l="l" t="t" r="r" b="b"/>
                          <a:pathLst>
                            <a:path w="7335520" h="6350">
                              <a:moveTo>
                                <a:pt x="7335011" y="0"/>
                              </a:moveTo>
                              <a:lnTo>
                                <a:pt x="0" y="0"/>
                              </a:lnTo>
                              <a:lnTo>
                                <a:pt x="0" y="6095"/>
                              </a:lnTo>
                              <a:lnTo>
                                <a:pt x="7335011" y="6095"/>
                              </a:lnTo>
                              <a:lnTo>
                                <a:pt x="73350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280001pt;margin-top:18.662804pt;width:577.560pt;height:.48pt;mso-position-horizontal-relative:page;mso-position-vertical-relative:paragraph;z-index:16171008" id="docshape158" filled="true" fillcolor="#000000" stroked="false">
                <v:fill type="solid"/>
                <w10:wrap type="none"/>
              </v:rect>
            </w:pict>
          </mc:Fallback>
        </mc:AlternateContent>
      </w:r>
      <w:r>
        <w:rPr>
          <w:b/>
          <w:sz w:val="22"/>
        </w:rPr>
        <w:t>EXHIBIT</w:t>
      </w:r>
      <w:r>
        <w:rPr>
          <w:b/>
          <w:spacing w:val="-6"/>
          <w:sz w:val="22"/>
        </w:rPr>
        <w:t> </w:t>
      </w:r>
      <w:r>
        <w:rPr>
          <w:b/>
          <w:sz w:val="22"/>
        </w:rPr>
        <w:t>A5</w:t>
      </w:r>
      <w:r>
        <w:rPr>
          <w:b/>
          <w:spacing w:val="-4"/>
          <w:sz w:val="22"/>
        </w:rPr>
        <w:t> </w:t>
      </w:r>
      <w:r>
        <w:rPr>
          <w:sz w:val="22"/>
        </w:rPr>
        <w:t>–</w:t>
      </w:r>
      <w:r>
        <w:rPr>
          <w:spacing w:val="-4"/>
          <w:sz w:val="22"/>
        </w:rPr>
        <w:t> </w:t>
      </w:r>
      <w:r>
        <w:rPr>
          <w:sz w:val="22"/>
        </w:rPr>
        <w:t>ACO</w:t>
      </w:r>
      <w:r>
        <w:rPr>
          <w:spacing w:val="-5"/>
          <w:sz w:val="22"/>
        </w:rPr>
        <w:t> </w:t>
      </w:r>
      <w:r>
        <w:rPr>
          <w:sz w:val="22"/>
        </w:rPr>
        <w:t>Aggregate</w:t>
      </w:r>
      <w:r>
        <w:rPr>
          <w:spacing w:val="-4"/>
          <w:sz w:val="22"/>
        </w:rPr>
        <w:t> </w:t>
      </w:r>
      <w:r>
        <w:rPr>
          <w:sz w:val="22"/>
        </w:rPr>
        <w:t>and</w:t>
      </w:r>
      <w:r>
        <w:rPr>
          <w:spacing w:val="-4"/>
          <w:sz w:val="22"/>
        </w:rPr>
        <w:t> </w:t>
      </w:r>
      <w:r>
        <w:rPr>
          <w:sz w:val="22"/>
        </w:rPr>
        <w:t>Pooled</w:t>
      </w:r>
      <w:r>
        <w:rPr>
          <w:spacing w:val="-4"/>
          <w:sz w:val="22"/>
        </w:rPr>
        <w:t> </w:t>
      </w:r>
      <w:r>
        <w:rPr>
          <w:sz w:val="22"/>
        </w:rPr>
        <w:t>Aggregate</w:t>
      </w:r>
      <w:r>
        <w:rPr>
          <w:spacing w:val="-4"/>
          <w:sz w:val="22"/>
        </w:rPr>
        <w:t> </w:t>
      </w:r>
      <w:r>
        <w:rPr>
          <w:sz w:val="22"/>
        </w:rPr>
        <w:t>Domain</w:t>
      </w:r>
      <w:r>
        <w:rPr>
          <w:spacing w:val="-4"/>
          <w:sz w:val="22"/>
        </w:rPr>
        <w:t> </w:t>
      </w:r>
      <w:r>
        <w:rPr>
          <w:sz w:val="22"/>
        </w:rPr>
        <w:t>Scores,</w:t>
      </w:r>
      <w:r>
        <w:rPr>
          <w:spacing w:val="-4"/>
          <w:sz w:val="22"/>
        </w:rPr>
        <w:t> </w:t>
      </w:r>
      <w:r>
        <w:rPr>
          <w:sz w:val="22"/>
        </w:rPr>
        <w:t>BP</w:t>
      </w:r>
      <w:r>
        <w:rPr>
          <w:spacing w:val="-5"/>
          <w:sz w:val="22"/>
        </w:rPr>
        <w:t> </w:t>
      </w:r>
      <w:r>
        <w:rPr>
          <w:sz w:val="22"/>
        </w:rPr>
        <w:t>1-</w:t>
      </w:r>
      <w:r>
        <w:rPr>
          <w:spacing w:val="-10"/>
          <w:sz w:val="22"/>
        </w:rPr>
        <w:t>3</w:t>
      </w:r>
    </w:p>
    <w:p>
      <w:pPr>
        <w:pStyle w:val="BodyText"/>
        <w:rPr>
          <w:sz w:val="20"/>
        </w:rPr>
      </w:pPr>
    </w:p>
    <w:p>
      <w:pPr>
        <w:pStyle w:val="BodyText"/>
        <w:spacing w:before="7"/>
        <w:rPr>
          <w:sz w:val="23"/>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9"/>
        <w:gridCol w:w="1937"/>
        <w:gridCol w:w="828"/>
        <w:gridCol w:w="826"/>
        <w:gridCol w:w="1047"/>
        <w:gridCol w:w="829"/>
        <w:gridCol w:w="827"/>
        <w:gridCol w:w="1048"/>
        <w:gridCol w:w="830"/>
        <w:gridCol w:w="828"/>
        <w:gridCol w:w="1049"/>
        <w:gridCol w:w="1099"/>
      </w:tblGrid>
      <w:tr>
        <w:trPr>
          <w:trHeight w:val="321" w:hRule="atLeast"/>
        </w:trPr>
        <w:tc>
          <w:tcPr>
            <w:tcW w:w="319" w:type="dxa"/>
            <w:vMerge w:val="restart"/>
            <w:tcBorders>
              <w:top w:val="nil"/>
              <w:left w:val="nil"/>
              <w:right w:val="single" w:sz="4" w:space="0" w:color="BEBEBE"/>
            </w:tcBorders>
          </w:tcPr>
          <w:p>
            <w:pPr>
              <w:pStyle w:val="TableParagraph"/>
              <w:rPr>
                <w:sz w:val="20"/>
              </w:rPr>
            </w:pPr>
          </w:p>
        </w:tc>
        <w:tc>
          <w:tcPr>
            <w:tcW w:w="1937" w:type="dxa"/>
            <w:tcBorders>
              <w:top w:val="single" w:sz="4" w:space="0" w:color="BEBEBE"/>
              <w:left w:val="single" w:sz="4" w:space="0" w:color="BEBEBE"/>
              <w:bottom w:val="single" w:sz="4" w:space="0" w:color="BEBEBE"/>
              <w:right w:val="single" w:sz="4" w:space="0" w:color="BEBEBE"/>
            </w:tcBorders>
            <w:shd w:val="clear" w:color="auto" w:fill="1F487C"/>
          </w:tcPr>
          <w:p>
            <w:pPr>
              <w:pStyle w:val="TableParagraph"/>
              <w:spacing w:before="57"/>
              <w:ind w:left="119" w:right="113"/>
              <w:jc w:val="center"/>
              <w:rPr>
                <w:b/>
                <w:sz w:val="18"/>
              </w:rPr>
            </w:pPr>
            <w:r>
              <w:rPr>
                <w:b/>
                <w:color w:val="FFFFFF"/>
                <w:sz w:val="18"/>
              </w:rPr>
              <w:t>Budget</w:t>
            </w:r>
            <w:r>
              <w:rPr>
                <w:b/>
                <w:color w:val="FFFFFF"/>
                <w:spacing w:val="-4"/>
                <w:sz w:val="18"/>
              </w:rPr>
              <w:t> </w:t>
            </w:r>
            <w:r>
              <w:rPr>
                <w:b/>
                <w:color w:val="FFFFFF"/>
                <w:spacing w:val="-2"/>
                <w:sz w:val="18"/>
              </w:rPr>
              <w:t>Period</w:t>
            </w:r>
          </w:p>
        </w:tc>
        <w:tc>
          <w:tcPr>
            <w:tcW w:w="2701" w:type="dxa"/>
            <w:gridSpan w:val="3"/>
            <w:tcBorders>
              <w:top w:val="single" w:sz="4" w:space="0" w:color="BEBEBE"/>
              <w:left w:val="single" w:sz="4" w:space="0" w:color="BEBEBE"/>
              <w:bottom w:val="single" w:sz="4" w:space="0" w:color="BEBEBE"/>
              <w:right w:val="single" w:sz="4" w:space="0" w:color="BEBEBE"/>
            </w:tcBorders>
            <w:shd w:val="clear" w:color="auto" w:fill="1F487C"/>
          </w:tcPr>
          <w:p>
            <w:pPr>
              <w:pStyle w:val="TableParagraph"/>
              <w:spacing w:before="57"/>
              <w:ind w:left="1151" w:right="1144"/>
              <w:jc w:val="center"/>
              <w:rPr>
                <w:b/>
                <w:sz w:val="18"/>
              </w:rPr>
            </w:pPr>
            <w:r>
              <w:rPr>
                <w:b/>
                <w:color w:val="FFFFFF"/>
                <w:sz w:val="18"/>
              </w:rPr>
              <w:t>BP </w:t>
            </w:r>
            <w:r>
              <w:rPr>
                <w:b/>
                <w:color w:val="FFFFFF"/>
                <w:spacing w:val="-10"/>
                <w:sz w:val="18"/>
              </w:rPr>
              <w:t>1</w:t>
            </w:r>
          </w:p>
        </w:tc>
        <w:tc>
          <w:tcPr>
            <w:tcW w:w="2704" w:type="dxa"/>
            <w:gridSpan w:val="3"/>
            <w:tcBorders>
              <w:top w:val="single" w:sz="4" w:space="0" w:color="BEBEBE"/>
              <w:left w:val="single" w:sz="4" w:space="0" w:color="BEBEBE"/>
              <w:bottom w:val="single" w:sz="4" w:space="0" w:color="BEBEBE"/>
              <w:right w:val="single" w:sz="4" w:space="0" w:color="BEBEBE"/>
            </w:tcBorders>
            <w:shd w:val="clear" w:color="auto" w:fill="1F487C"/>
          </w:tcPr>
          <w:p>
            <w:pPr>
              <w:pStyle w:val="TableParagraph"/>
              <w:spacing w:before="57"/>
              <w:ind w:left="1150" w:right="1148"/>
              <w:jc w:val="center"/>
              <w:rPr>
                <w:b/>
                <w:sz w:val="18"/>
              </w:rPr>
            </w:pPr>
            <w:r>
              <w:rPr>
                <w:b/>
                <w:color w:val="FFFFFF"/>
                <w:sz w:val="18"/>
              </w:rPr>
              <w:t>BP </w:t>
            </w:r>
            <w:r>
              <w:rPr>
                <w:b/>
                <w:color w:val="FFFFFF"/>
                <w:spacing w:val="-10"/>
                <w:sz w:val="18"/>
              </w:rPr>
              <w:t>2</w:t>
            </w:r>
          </w:p>
        </w:tc>
        <w:tc>
          <w:tcPr>
            <w:tcW w:w="2707" w:type="dxa"/>
            <w:gridSpan w:val="3"/>
            <w:tcBorders>
              <w:top w:val="single" w:sz="4" w:space="0" w:color="BEBEBE"/>
              <w:left w:val="single" w:sz="4" w:space="0" w:color="BEBEBE"/>
              <w:bottom w:val="single" w:sz="4" w:space="0" w:color="BEBEBE"/>
              <w:right w:val="single" w:sz="4" w:space="0" w:color="BEBEBE"/>
            </w:tcBorders>
            <w:shd w:val="clear" w:color="auto" w:fill="1F487C"/>
          </w:tcPr>
          <w:p>
            <w:pPr>
              <w:pStyle w:val="TableParagraph"/>
              <w:spacing w:before="57"/>
              <w:ind w:left="1148" w:right="1154"/>
              <w:jc w:val="center"/>
              <w:rPr>
                <w:b/>
                <w:sz w:val="18"/>
              </w:rPr>
            </w:pPr>
            <w:r>
              <w:rPr>
                <w:b/>
                <w:color w:val="FFFFFF"/>
                <w:sz w:val="18"/>
              </w:rPr>
              <w:t>BP </w:t>
            </w:r>
            <w:r>
              <w:rPr>
                <w:b/>
                <w:color w:val="FFFFFF"/>
                <w:spacing w:val="-10"/>
                <w:sz w:val="18"/>
              </w:rPr>
              <w:t>3</w:t>
            </w:r>
          </w:p>
        </w:tc>
        <w:tc>
          <w:tcPr>
            <w:tcW w:w="1099" w:type="dxa"/>
            <w:tcBorders>
              <w:top w:val="single" w:sz="4" w:space="0" w:color="BEBEBE"/>
              <w:left w:val="single" w:sz="4" w:space="0" w:color="BEBEBE"/>
              <w:bottom w:val="single" w:sz="4" w:space="0" w:color="BEBEBE"/>
              <w:right w:val="single" w:sz="4" w:space="0" w:color="BEBEBE"/>
            </w:tcBorders>
            <w:shd w:val="clear" w:color="auto" w:fill="1F487C"/>
          </w:tcPr>
          <w:p>
            <w:pPr>
              <w:pStyle w:val="TableParagraph"/>
              <w:spacing w:before="57"/>
              <w:ind w:left="141" w:right="154"/>
              <w:jc w:val="center"/>
              <w:rPr>
                <w:b/>
                <w:sz w:val="18"/>
              </w:rPr>
            </w:pPr>
            <w:r>
              <w:rPr>
                <w:b/>
                <w:color w:val="FFFFFF"/>
                <w:sz w:val="18"/>
              </w:rPr>
              <w:t>BP</w:t>
            </w:r>
            <w:r>
              <w:rPr>
                <w:b/>
                <w:color w:val="FFFFFF"/>
                <w:spacing w:val="1"/>
                <w:sz w:val="18"/>
              </w:rPr>
              <w:t> </w:t>
            </w:r>
            <w:r>
              <w:rPr>
                <w:b/>
                <w:color w:val="FFFFFF"/>
                <w:sz w:val="18"/>
              </w:rPr>
              <w:t>1-</w:t>
            </w:r>
            <w:r>
              <w:rPr>
                <w:b/>
                <w:color w:val="FFFFFF"/>
                <w:spacing w:val="-10"/>
                <w:sz w:val="18"/>
              </w:rPr>
              <w:t>3</w:t>
            </w:r>
          </w:p>
        </w:tc>
      </w:tr>
      <w:tr>
        <w:trPr>
          <w:trHeight w:val="304" w:hRule="atLeast"/>
        </w:trPr>
        <w:tc>
          <w:tcPr>
            <w:tcW w:w="319" w:type="dxa"/>
            <w:vMerge/>
            <w:tcBorders>
              <w:top w:val="nil"/>
              <w:left w:val="nil"/>
              <w:right w:val="single" w:sz="4" w:space="0" w:color="BEBEBE"/>
            </w:tcBorders>
          </w:tcPr>
          <w:p>
            <w:pPr>
              <w:rPr>
                <w:sz w:val="2"/>
                <w:szCs w:val="2"/>
              </w:rPr>
            </w:pPr>
          </w:p>
        </w:tc>
        <w:tc>
          <w:tcPr>
            <w:tcW w:w="1937" w:type="dxa"/>
            <w:tcBorders>
              <w:top w:val="single" w:sz="4" w:space="0" w:color="BEBEBE"/>
              <w:left w:val="single" w:sz="4" w:space="0" w:color="BEBEBE"/>
              <w:bottom w:val="single" w:sz="4" w:space="0" w:color="BEBEBE"/>
              <w:right w:val="single" w:sz="4" w:space="0" w:color="BEBEBE"/>
            </w:tcBorders>
            <w:shd w:val="clear" w:color="auto" w:fill="F1F1F1"/>
          </w:tcPr>
          <w:p>
            <w:pPr>
              <w:pStyle w:val="TableParagraph"/>
              <w:rPr>
                <w:sz w:val="20"/>
              </w:rPr>
            </w:pPr>
          </w:p>
        </w:tc>
        <w:tc>
          <w:tcPr>
            <w:tcW w:w="828" w:type="dxa"/>
            <w:tcBorders>
              <w:top w:val="single" w:sz="4" w:space="0" w:color="BEBEBE"/>
              <w:left w:val="single" w:sz="4" w:space="0" w:color="BEBEBE"/>
              <w:bottom w:val="single" w:sz="4" w:space="0" w:color="BEBEBE"/>
              <w:right w:val="single" w:sz="4" w:space="0" w:color="BEBEBE"/>
            </w:tcBorders>
            <w:shd w:val="clear" w:color="auto" w:fill="F1F1F1"/>
          </w:tcPr>
          <w:p>
            <w:pPr>
              <w:pStyle w:val="TableParagraph"/>
              <w:spacing w:before="50"/>
              <w:ind w:left="125" w:right="117"/>
              <w:jc w:val="center"/>
              <w:rPr>
                <w:b/>
                <w:sz w:val="18"/>
              </w:rPr>
            </w:pPr>
            <w:r>
              <w:rPr>
                <w:b/>
                <w:sz w:val="18"/>
              </w:rPr>
              <w:t>ACO</w:t>
            </w:r>
            <w:r>
              <w:rPr>
                <w:b/>
                <w:spacing w:val="-5"/>
                <w:sz w:val="18"/>
              </w:rPr>
              <w:t> </w:t>
            </w:r>
            <w:r>
              <w:rPr>
                <w:b/>
                <w:spacing w:val="-10"/>
                <w:sz w:val="18"/>
              </w:rPr>
              <w:t>1</w:t>
            </w:r>
          </w:p>
        </w:tc>
        <w:tc>
          <w:tcPr>
            <w:tcW w:w="826" w:type="dxa"/>
            <w:tcBorders>
              <w:top w:val="single" w:sz="4" w:space="0" w:color="BEBEBE"/>
              <w:left w:val="single" w:sz="4" w:space="0" w:color="BEBEBE"/>
              <w:bottom w:val="single" w:sz="4" w:space="0" w:color="BEBEBE"/>
              <w:right w:val="single" w:sz="4" w:space="0" w:color="BEBEBE"/>
            </w:tcBorders>
            <w:shd w:val="clear" w:color="auto" w:fill="F1F1F1"/>
          </w:tcPr>
          <w:p>
            <w:pPr>
              <w:pStyle w:val="TableParagraph"/>
              <w:spacing w:before="50"/>
              <w:ind w:left="130" w:right="125"/>
              <w:jc w:val="center"/>
              <w:rPr>
                <w:b/>
                <w:sz w:val="18"/>
              </w:rPr>
            </w:pPr>
            <w:r>
              <w:rPr>
                <w:b/>
                <w:sz w:val="18"/>
              </w:rPr>
              <w:t>ACO</w:t>
            </w:r>
            <w:r>
              <w:rPr>
                <w:b/>
                <w:spacing w:val="-5"/>
                <w:sz w:val="18"/>
              </w:rPr>
              <w:t> </w:t>
            </w:r>
            <w:r>
              <w:rPr>
                <w:b/>
                <w:spacing w:val="-10"/>
                <w:sz w:val="18"/>
              </w:rPr>
              <w:t>2</w:t>
            </w:r>
          </w:p>
        </w:tc>
        <w:tc>
          <w:tcPr>
            <w:tcW w:w="1047" w:type="dxa"/>
            <w:tcBorders>
              <w:top w:val="single" w:sz="4" w:space="0" w:color="BEBEBE"/>
              <w:left w:val="single" w:sz="4" w:space="0" w:color="BEBEBE"/>
              <w:bottom w:val="single" w:sz="4" w:space="0" w:color="BEBEBE"/>
              <w:right w:val="single" w:sz="4" w:space="0" w:color="BEBEBE"/>
            </w:tcBorders>
            <w:shd w:val="clear" w:color="auto" w:fill="F1F1F1"/>
          </w:tcPr>
          <w:p>
            <w:pPr>
              <w:pStyle w:val="TableParagraph"/>
              <w:spacing w:before="50"/>
              <w:ind w:left="132" w:right="128"/>
              <w:jc w:val="center"/>
              <w:rPr>
                <w:b/>
                <w:sz w:val="18"/>
              </w:rPr>
            </w:pPr>
            <w:r>
              <w:rPr>
                <w:b/>
                <w:sz w:val="18"/>
              </w:rPr>
              <w:t>ACO</w:t>
            </w:r>
            <w:r>
              <w:rPr>
                <w:b/>
                <w:spacing w:val="-5"/>
                <w:sz w:val="18"/>
              </w:rPr>
              <w:t> </w:t>
            </w:r>
            <w:r>
              <w:rPr>
                <w:b/>
                <w:spacing w:val="-10"/>
                <w:sz w:val="18"/>
              </w:rPr>
              <w:t>3</w:t>
            </w:r>
          </w:p>
        </w:tc>
        <w:tc>
          <w:tcPr>
            <w:tcW w:w="829" w:type="dxa"/>
            <w:tcBorders>
              <w:top w:val="single" w:sz="4" w:space="0" w:color="BEBEBE"/>
              <w:left w:val="single" w:sz="4" w:space="0" w:color="BEBEBE"/>
              <w:bottom w:val="single" w:sz="4" w:space="0" w:color="BEBEBE"/>
              <w:right w:val="single" w:sz="4" w:space="0" w:color="BEBEBE"/>
            </w:tcBorders>
            <w:shd w:val="clear" w:color="auto" w:fill="F1F1F1"/>
          </w:tcPr>
          <w:p>
            <w:pPr>
              <w:pStyle w:val="TableParagraph"/>
              <w:spacing w:before="50"/>
              <w:ind w:left="112" w:right="107"/>
              <w:jc w:val="center"/>
              <w:rPr>
                <w:b/>
                <w:sz w:val="18"/>
              </w:rPr>
            </w:pPr>
            <w:r>
              <w:rPr>
                <w:b/>
                <w:sz w:val="18"/>
              </w:rPr>
              <w:t>ACO</w:t>
            </w:r>
            <w:r>
              <w:rPr>
                <w:b/>
                <w:spacing w:val="-5"/>
                <w:sz w:val="18"/>
              </w:rPr>
              <w:t> </w:t>
            </w:r>
            <w:r>
              <w:rPr>
                <w:b/>
                <w:spacing w:val="-10"/>
                <w:sz w:val="18"/>
              </w:rPr>
              <w:t>1</w:t>
            </w:r>
          </w:p>
        </w:tc>
        <w:tc>
          <w:tcPr>
            <w:tcW w:w="827" w:type="dxa"/>
            <w:tcBorders>
              <w:top w:val="single" w:sz="4" w:space="0" w:color="BEBEBE"/>
              <w:left w:val="single" w:sz="4" w:space="0" w:color="BEBEBE"/>
              <w:bottom w:val="single" w:sz="4" w:space="0" w:color="BEBEBE"/>
              <w:right w:val="single" w:sz="4" w:space="0" w:color="BEBEBE"/>
            </w:tcBorders>
            <w:shd w:val="clear" w:color="auto" w:fill="F1F1F1"/>
          </w:tcPr>
          <w:p>
            <w:pPr>
              <w:pStyle w:val="TableParagraph"/>
              <w:spacing w:before="50"/>
              <w:ind w:left="128" w:right="128"/>
              <w:jc w:val="center"/>
              <w:rPr>
                <w:b/>
                <w:sz w:val="18"/>
              </w:rPr>
            </w:pPr>
            <w:r>
              <w:rPr>
                <w:b/>
                <w:sz w:val="18"/>
              </w:rPr>
              <w:t>ACO</w:t>
            </w:r>
            <w:r>
              <w:rPr>
                <w:b/>
                <w:spacing w:val="-5"/>
                <w:sz w:val="18"/>
              </w:rPr>
              <w:t> </w:t>
            </w:r>
            <w:r>
              <w:rPr>
                <w:b/>
                <w:spacing w:val="-10"/>
                <w:sz w:val="18"/>
              </w:rPr>
              <w:t>2</w:t>
            </w:r>
          </w:p>
        </w:tc>
        <w:tc>
          <w:tcPr>
            <w:tcW w:w="1048" w:type="dxa"/>
            <w:tcBorders>
              <w:top w:val="single" w:sz="4" w:space="0" w:color="BEBEBE"/>
              <w:left w:val="single" w:sz="4" w:space="0" w:color="BEBEBE"/>
              <w:bottom w:val="single" w:sz="4" w:space="0" w:color="BEBEBE"/>
              <w:right w:val="single" w:sz="4" w:space="0" w:color="BEBEBE"/>
            </w:tcBorders>
            <w:shd w:val="clear" w:color="auto" w:fill="F1F1F1"/>
          </w:tcPr>
          <w:p>
            <w:pPr>
              <w:pStyle w:val="TableParagraph"/>
              <w:spacing w:before="50"/>
              <w:ind w:left="239" w:right="239"/>
              <w:jc w:val="center"/>
              <w:rPr>
                <w:b/>
                <w:sz w:val="18"/>
              </w:rPr>
            </w:pPr>
            <w:r>
              <w:rPr>
                <w:b/>
                <w:sz w:val="18"/>
              </w:rPr>
              <w:t>ACO</w:t>
            </w:r>
            <w:r>
              <w:rPr>
                <w:b/>
                <w:spacing w:val="-5"/>
                <w:sz w:val="18"/>
              </w:rPr>
              <w:t> </w:t>
            </w:r>
            <w:r>
              <w:rPr>
                <w:b/>
                <w:spacing w:val="-10"/>
                <w:sz w:val="18"/>
              </w:rPr>
              <w:t>3</w:t>
            </w:r>
          </w:p>
        </w:tc>
        <w:tc>
          <w:tcPr>
            <w:tcW w:w="830" w:type="dxa"/>
            <w:tcBorders>
              <w:top w:val="single" w:sz="4" w:space="0" w:color="BEBEBE"/>
              <w:left w:val="single" w:sz="4" w:space="0" w:color="BEBEBE"/>
              <w:bottom w:val="single" w:sz="4" w:space="0" w:color="BEBEBE"/>
              <w:right w:val="single" w:sz="4" w:space="0" w:color="BEBEBE"/>
            </w:tcBorders>
            <w:shd w:val="clear" w:color="auto" w:fill="F1F1F1"/>
          </w:tcPr>
          <w:p>
            <w:pPr>
              <w:pStyle w:val="TableParagraph"/>
              <w:spacing w:before="50"/>
              <w:ind w:left="129" w:right="130"/>
              <w:jc w:val="center"/>
              <w:rPr>
                <w:b/>
                <w:sz w:val="18"/>
              </w:rPr>
            </w:pPr>
            <w:r>
              <w:rPr>
                <w:b/>
                <w:sz w:val="18"/>
              </w:rPr>
              <w:t>ACO</w:t>
            </w:r>
            <w:r>
              <w:rPr>
                <w:b/>
                <w:spacing w:val="-5"/>
                <w:sz w:val="18"/>
              </w:rPr>
              <w:t> </w:t>
            </w:r>
            <w:r>
              <w:rPr>
                <w:b/>
                <w:spacing w:val="-10"/>
                <w:sz w:val="18"/>
              </w:rPr>
              <w:t>1</w:t>
            </w:r>
          </w:p>
        </w:tc>
        <w:tc>
          <w:tcPr>
            <w:tcW w:w="828" w:type="dxa"/>
            <w:tcBorders>
              <w:top w:val="single" w:sz="4" w:space="0" w:color="BEBEBE"/>
              <w:left w:val="single" w:sz="4" w:space="0" w:color="BEBEBE"/>
              <w:bottom w:val="single" w:sz="4" w:space="0" w:color="BEBEBE"/>
              <w:right w:val="single" w:sz="4" w:space="0" w:color="BEBEBE"/>
            </w:tcBorders>
            <w:shd w:val="clear" w:color="auto" w:fill="F1F1F1"/>
          </w:tcPr>
          <w:p>
            <w:pPr>
              <w:pStyle w:val="TableParagraph"/>
              <w:spacing w:before="50"/>
              <w:ind w:left="117" w:right="125"/>
              <w:jc w:val="center"/>
              <w:rPr>
                <w:b/>
                <w:sz w:val="18"/>
              </w:rPr>
            </w:pPr>
            <w:r>
              <w:rPr>
                <w:b/>
                <w:sz w:val="18"/>
              </w:rPr>
              <w:t>ACO</w:t>
            </w:r>
            <w:r>
              <w:rPr>
                <w:b/>
                <w:spacing w:val="-5"/>
                <w:sz w:val="18"/>
              </w:rPr>
              <w:t> </w:t>
            </w:r>
            <w:r>
              <w:rPr>
                <w:b/>
                <w:spacing w:val="-10"/>
                <w:sz w:val="18"/>
              </w:rPr>
              <w:t>2</w:t>
            </w:r>
          </w:p>
        </w:tc>
        <w:tc>
          <w:tcPr>
            <w:tcW w:w="1049" w:type="dxa"/>
            <w:tcBorders>
              <w:top w:val="single" w:sz="4" w:space="0" w:color="BEBEBE"/>
              <w:left w:val="single" w:sz="4" w:space="0" w:color="BEBEBE"/>
              <w:bottom w:val="single" w:sz="4" w:space="0" w:color="BEBEBE"/>
              <w:right w:val="single" w:sz="4" w:space="0" w:color="BEBEBE"/>
            </w:tcBorders>
            <w:shd w:val="clear" w:color="auto" w:fill="F1F1F1"/>
          </w:tcPr>
          <w:p>
            <w:pPr>
              <w:pStyle w:val="TableParagraph"/>
              <w:spacing w:before="50"/>
              <w:ind w:left="88" w:right="101"/>
              <w:jc w:val="center"/>
              <w:rPr>
                <w:b/>
                <w:sz w:val="18"/>
              </w:rPr>
            </w:pPr>
            <w:r>
              <w:rPr>
                <w:b/>
                <w:sz w:val="18"/>
              </w:rPr>
              <w:t>ACO</w:t>
            </w:r>
            <w:r>
              <w:rPr>
                <w:b/>
                <w:spacing w:val="-5"/>
                <w:sz w:val="18"/>
              </w:rPr>
              <w:t> </w:t>
            </w:r>
            <w:r>
              <w:rPr>
                <w:b/>
                <w:spacing w:val="-10"/>
                <w:sz w:val="18"/>
              </w:rPr>
              <w:t>3</w:t>
            </w:r>
          </w:p>
        </w:tc>
        <w:tc>
          <w:tcPr>
            <w:tcW w:w="1099" w:type="dxa"/>
            <w:tcBorders>
              <w:top w:val="single" w:sz="4" w:space="0" w:color="BEBEBE"/>
              <w:left w:val="single" w:sz="4" w:space="0" w:color="BEBEBE"/>
              <w:bottom w:val="single" w:sz="4" w:space="0" w:color="BEBEBE"/>
              <w:right w:val="single" w:sz="4" w:space="0" w:color="BEBEBE"/>
            </w:tcBorders>
            <w:shd w:val="clear" w:color="auto" w:fill="F1F1F1"/>
          </w:tcPr>
          <w:p>
            <w:pPr>
              <w:pStyle w:val="TableParagraph"/>
              <w:spacing w:before="50"/>
              <w:ind w:left="137" w:right="155"/>
              <w:jc w:val="center"/>
              <w:rPr>
                <w:b/>
                <w:sz w:val="18"/>
              </w:rPr>
            </w:pPr>
            <w:r>
              <w:rPr>
                <w:b/>
                <w:spacing w:val="-2"/>
                <w:sz w:val="18"/>
              </w:rPr>
              <w:t>Total</w:t>
            </w:r>
          </w:p>
        </w:tc>
      </w:tr>
      <w:tr>
        <w:trPr>
          <w:trHeight w:val="829" w:hRule="atLeast"/>
        </w:trPr>
        <w:tc>
          <w:tcPr>
            <w:tcW w:w="319" w:type="dxa"/>
            <w:vMerge/>
            <w:tcBorders>
              <w:top w:val="nil"/>
              <w:left w:val="nil"/>
              <w:right w:val="single" w:sz="4" w:space="0" w:color="BEBEBE"/>
            </w:tcBorders>
          </w:tcPr>
          <w:p>
            <w:pPr>
              <w:rPr>
                <w:sz w:val="2"/>
                <w:szCs w:val="2"/>
              </w:rPr>
            </w:pPr>
          </w:p>
        </w:tc>
        <w:tc>
          <w:tcPr>
            <w:tcW w:w="1937" w:type="dxa"/>
            <w:tcBorders>
              <w:top w:val="single" w:sz="4" w:space="0" w:color="BEBEBE"/>
              <w:left w:val="single" w:sz="4" w:space="0" w:color="BEBEBE"/>
              <w:bottom w:val="single" w:sz="4" w:space="0" w:color="BEBEBE"/>
              <w:right w:val="single" w:sz="4" w:space="0" w:color="BEBEBE"/>
            </w:tcBorders>
            <w:shd w:val="clear" w:color="auto" w:fill="F1F1F1"/>
          </w:tcPr>
          <w:p>
            <w:pPr>
              <w:pStyle w:val="TableParagraph"/>
              <w:spacing w:before="1"/>
              <w:rPr>
                <w:sz w:val="18"/>
              </w:rPr>
            </w:pPr>
          </w:p>
          <w:p>
            <w:pPr>
              <w:pStyle w:val="TableParagraph"/>
              <w:ind w:left="628" w:right="370" w:hanging="245"/>
              <w:rPr>
                <w:b/>
                <w:sz w:val="18"/>
              </w:rPr>
            </w:pPr>
            <w:r>
              <w:rPr>
                <w:b/>
                <w:sz w:val="18"/>
              </w:rPr>
              <w:t>DSRIP</w:t>
            </w:r>
            <w:r>
              <w:rPr>
                <w:b/>
                <w:spacing w:val="-12"/>
                <w:sz w:val="18"/>
              </w:rPr>
              <w:t> </w:t>
            </w:r>
            <w:r>
              <w:rPr>
                <w:b/>
                <w:sz w:val="18"/>
              </w:rPr>
              <w:t>Quality </w:t>
            </w:r>
            <w:r>
              <w:rPr>
                <w:b/>
                <w:spacing w:val="-2"/>
                <w:sz w:val="18"/>
              </w:rPr>
              <w:t>Domains</w:t>
            </w:r>
          </w:p>
        </w:tc>
        <w:tc>
          <w:tcPr>
            <w:tcW w:w="2701" w:type="dxa"/>
            <w:gridSpan w:val="3"/>
            <w:tcBorders>
              <w:top w:val="single" w:sz="4" w:space="0" w:color="BEBEBE"/>
              <w:left w:val="single" w:sz="4" w:space="0" w:color="BEBEBE"/>
              <w:bottom w:val="single" w:sz="4" w:space="0" w:color="BEBEBE"/>
              <w:right w:val="single" w:sz="4" w:space="0" w:color="BEBEBE"/>
            </w:tcBorders>
            <w:shd w:val="clear" w:color="auto" w:fill="F1F1F1"/>
          </w:tcPr>
          <w:p>
            <w:pPr>
              <w:pStyle w:val="TableParagraph"/>
              <w:spacing w:before="6"/>
              <w:rPr>
                <w:sz w:val="19"/>
              </w:rPr>
            </w:pPr>
          </w:p>
          <w:p>
            <w:pPr>
              <w:pStyle w:val="TableParagraph"/>
              <w:spacing w:before="1"/>
              <w:ind w:left="772"/>
              <w:rPr>
                <w:b/>
                <w:sz w:val="18"/>
              </w:rPr>
            </w:pPr>
            <w:r>
              <w:rPr>
                <w:b/>
                <w:sz w:val="18"/>
              </w:rPr>
              <w:t>Domain</w:t>
            </w:r>
            <w:r>
              <w:rPr>
                <w:b/>
                <w:spacing w:val="-8"/>
                <w:sz w:val="18"/>
              </w:rPr>
              <w:t> </w:t>
            </w:r>
            <w:r>
              <w:rPr>
                <w:b/>
                <w:spacing w:val="-2"/>
                <w:sz w:val="18"/>
              </w:rPr>
              <w:t>Scores</w:t>
            </w:r>
          </w:p>
        </w:tc>
        <w:tc>
          <w:tcPr>
            <w:tcW w:w="2704" w:type="dxa"/>
            <w:gridSpan w:val="3"/>
            <w:tcBorders>
              <w:top w:val="single" w:sz="4" w:space="0" w:color="BEBEBE"/>
              <w:left w:val="single" w:sz="4" w:space="0" w:color="BEBEBE"/>
              <w:bottom w:val="single" w:sz="4" w:space="0" w:color="BEBEBE"/>
              <w:right w:val="single" w:sz="4" w:space="0" w:color="BEBEBE"/>
            </w:tcBorders>
            <w:shd w:val="clear" w:color="auto" w:fill="F1F1F1"/>
          </w:tcPr>
          <w:p>
            <w:pPr>
              <w:pStyle w:val="TableParagraph"/>
              <w:spacing w:before="6"/>
              <w:rPr>
                <w:sz w:val="19"/>
              </w:rPr>
            </w:pPr>
          </w:p>
          <w:p>
            <w:pPr>
              <w:pStyle w:val="TableParagraph"/>
              <w:spacing w:before="1"/>
              <w:ind w:left="771"/>
              <w:rPr>
                <w:b/>
                <w:sz w:val="18"/>
              </w:rPr>
            </w:pPr>
            <w:r>
              <w:rPr>
                <w:b/>
                <w:sz w:val="18"/>
              </w:rPr>
              <w:t>Domain</w:t>
            </w:r>
            <w:r>
              <w:rPr>
                <w:b/>
                <w:spacing w:val="-8"/>
                <w:sz w:val="18"/>
              </w:rPr>
              <w:t> </w:t>
            </w:r>
            <w:r>
              <w:rPr>
                <w:b/>
                <w:spacing w:val="-2"/>
                <w:sz w:val="18"/>
              </w:rPr>
              <w:t>Scores</w:t>
            </w:r>
          </w:p>
        </w:tc>
        <w:tc>
          <w:tcPr>
            <w:tcW w:w="2707" w:type="dxa"/>
            <w:gridSpan w:val="3"/>
            <w:tcBorders>
              <w:top w:val="single" w:sz="4" w:space="0" w:color="BEBEBE"/>
              <w:left w:val="single" w:sz="4" w:space="0" w:color="BEBEBE"/>
              <w:bottom w:val="single" w:sz="4" w:space="0" w:color="BEBEBE"/>
              <w:right w:val="single" w:sz="4" w:space="0" w:color="BEBEBE"/>
            </w:tcBorders>
            <w:shd w:val="clear" w:color="auto" w:fill="F1F1F1"/>
          </w:tcPr>
          <w:p>
            <w:pPr>
              <w:pStyle w:val="TableParagraph"/>
              <w:spacing w:before="6"/>
              <w:rPr>
                <w:sz w:val="19"/>
              </w:rPr>
            </w:pPr>
          </w:p>
          <w:p>
            <w:pPr>
              <w:pStyle w:val="TableParagraph"/>
              <w:spacing w:before="1"/>
              <w:ind w:left="767"/>
              <w:rPr>
                <w:b/>
                <w:sz w:val="18"/>
              </w:rPr>
            </w:pPr>
            <w:r>
              <w:rPr>
                <w:b/>
                <w:sz w:val="18"/>
              </w:rPr>
              <w:t>Domain</w:t>
            </w:r>
            <w:r>
              <w:rPr>
                <w:b/>
                <w:spacing w:val="-8"/>
                <w:sz w:val="18"/>
              </w:rPr>
              <w:t> </w:t>
            </w:r>
            <w:r>
              <w:rPr>
                <w:b/>
                <w:spacing w:val="-2"/>
                <w:sz w:val="18"/>
              </w:rPr>
              <w:t>Scores</w:t>
            </w:r>
          </w:p>
        </w:tc>
        <w:tc>
          <w:tcPr>
            <w:tcW w:w="1099" w:type="dxa"/>
            <w:tcBorders>
              <w:top w:val="single" w:sz="4" w:space="0" w:color="BEBEBE"/>
              <w:left w:val="single" w:sz="4" w:space="0" w:color="BEBEBE"/>
              <w:bottom w:val="single" w:sz="4" w:space="0" w:color="BEBEBE"/>
              <w:right w:val="single" w:sz="4" w:space="0" w:color="BEBEBE"/>
            </w:tcBorders>
            <w:shd w:val="clear" w:color="auto" w:fill="F1F1F1"/>
          </w:tcPr>
          <w:p>
            <w:pPr>
              <w:pStyle w:val="TableParagraph"/>
              <w:spacing w:line="261" w:lineRule="auto"/>
              <w:ind w:left="141" w:right="155"/>
              <w:jc w:val="center"/>
              <w:rPr>
                <w:b/>
                <w:sz w:val="18"/>
              </w:rPr>
            </w:pPr>
            <w:r>
              <w:rPr>
                <w:b/>
                <w:spacing w:val="-2"/>
                <w:sz w:val="18"/>
              </w:rPr>
              <w:t>Aggregate Domain Score</w:t>
            </w:r>
          </w:p>
        </w:tc>
      </w:tr>
      <w:tr>
        <w:trPr>
          <w:trHeight w:val="389" w:hRule="atLeast"/>
        </w:trPr>
        <w:tc>
          <w:tcPr>
            <w:tcW w:w="319" w:type="dxa"/>
            <w:vMerge/>
            <w:tcBorders>
              <w:top w:val="nil"/>
              <w:left w:val="nil"/>
              <w:right w:val="single" w:sz="4" w:space="0" w:color="BEBEBE"/>
            </w:tcBorders>
          </w:tcPr>
          <w:p>
            <w:pPr>
              <w:rPr>
                <w:sz w:val="2"/>
                <w:szCs w:val="2"/>
              </w:rPr>
            </w:pPr>
          </w:p>
        </w:tc>
        <w:tc>
          <w:tcPr>
            <w:tcW w:w="1937" w:type="dxa"/>
            <w:tcBorders>
              <w:top w:val="single" w:sz="4" w:space="0" w:color="BEBEBE"/>
              <w:left w:val="single" w:sz="4" w:space="0" w:color="BEBEBE"/>
              <w:right w:val="single" w:sz="4" w:space="0" w:color="BEBEBE"/>
            </w:tcBorders>
            <w:shd w:val="clear" w:color="auto" w:fill="DCE6F0"/>
          </w:tcPr>
          <w:p>
            <w:pPr>
              <w:pStyle w:val="TableParagraph"/>
              <w:spacing w:before="88"/>
              <w:ind w:left="120" w:right="113"/>
              <w:jc w:val="center"/>
              <w:rPr>
                <w:sz w:val="18"/>
              </w:rPr>
            </w:pPr>
            <w:r>
              <w:rPr>
                <w:sz w:val="18"/>
              </w:rPr>
              <w:t>Prevention &amp;</w:t>
            </w:r>
            <w:r>
              <w:rPr>
                <w:spacing w:val="-1"/>
                <w:sz w:val="18"/>
              </w:rPr>
              <w:t> </w:t>
            </w:r>
            <w:r>
              <w:rPr>
                <w:spacing w:val="-2"/>
                <w:sz w:val="18"/>
              </w:rPr>
              <w:t>Wellness</w:t>
            </w:r>
          </w:p>
        </w:tc>
        <w:tc>
          <w:tcPr>
            <w:tcW w:w="828" w:type="dxa"/>
            <w:tcBorders>
              <w:top w:val="single" w:sz="4" w:space="0" w:color="BEBEBE"/>
              <w:left w:val="single" w:sz="4" w:space="0" w:color="BEBEBE"/>
              <w:right w:val="single" w:sz="4" w:space="0" w:color="BEBEBE"/>
            </w:tcBorders>
          </w:tcPr>
          <w:p>
            <w:pPr>
              <w:pStyle w:val="TableParagraph"/>
              <w:spacing w:before="88"/>
              <w:ind w:left="125" w:right="111"/>
              <w:jc w:val="center"/>
              <w:rPr>
                <w:sz w:val="18"/>
              </w:rPr>
            </w:pPr>
            <w:r>
              <w:rPr>
                <w:spacing w:val="-5"/>
                <w:sz w:val="18"/>
              </w:rPr>
              <w:t>30%</w:t>
            </w:r>
          </w:p>
        </w:tc>
        <w:tc>
          <w:tcPr>
            <w:tcW w:w="826" w:type="dxa"/>
            <w:tcBorders>
              <w:top w:val="single" w:sz="4" w:space="0" w:color="BEBEBE"/>
              <w:left w:val="single" w:sz="4" w:space="0" w:color="BEBEBE"/>
              <w:right w:val="single" w:sz="4" w:space="0" w:color="BEBEBE"/>
            </w:tcBorders>
          </w:tcPr>
          <w:p>
            <w:pPr>
              <w:pStyle w:val="TableParagraph"/>
              <w:spacing w:before="88"/>
              <w:ind w:left="130" w:right="119"/>
              <w:jc w:val="center"/>
              <w:rPr>
                <w:sz w:val="18"/>
              </w:rPr>
            </w:pPr>
            <w:r>
              <w:rPr>
                <w:spacing w:val="-5"/>
                <w:sz w:val="18"/>
              </w:rPr>
              <w:t>33%</w:t>
            </w:r>
          </w:p>
        </w:tc>
        <w:tc>
          <w:tcPr>
            <w:tcW w:w="1047" w:type="dxa"/>
            <w:tcBorders>
              <w:top w:val="single" w:sz="4" w:space="0" w:color="BEBEBE"/>
              <w:left w:val="single" w:sz="4" w:space="0" w:color="BEBEBE"/>
              <w:right w:val="single" w:sz="4" w:space="0" w:color="BEBEBE"/>
            </w:tcBorders>
          </w:tcPr>
          <w:p>
            <w:pPr>
              <w:pStyle w:val="TableParagraph"/>
              <w:spacing w:before="88"/>
              <w:ind w:left="138" w:right="128"/>
              <w:jc w:val="center"/>
              <w:rPr>
                <w:sz w:val="18"/>
              </w:rPr>
            </w:pPr>
            <w:r>
              <w:rPr>
                <w:spacing w:val="-5"/>
                <w:sz w:val="18"/>
              </w:rPr>
              <w:t>31%</w:t>
            </w:r>
          </w:p>
        </w:tc>
        <w:tc>
          <w:tcPr>
            <w:tcW w:w="829" w:type="dxa"/>
            <w:tcBorders>
              <w:top w:val="single" w:sz="4" w:space="0" w:color="BEBEBE"/>
              <w:left w:val="single" w:sz="4" w:space="0" w:color="BEBEBE"/>
              <w:right w:val="single" w:sz="4" w:space="0" w:color="BEBEBE"/>
            </w:tcBorders>
          </w:tcPr>
          <w:p>
            <w:pPr>
              <w:pStyle w:val="TableParagraph"/>
              <w:spacing w:before="88"/>
              <w:ind w:left="112" w:right="101"/>
              <w:jc w:val="center"/>
              <w:rPr>
                <w:sz w:val="18"/>
              </w:rPr>
            </w:pPr>
            <w:r>
              <w:rPr>
                <w:spacing w:val="-5"/>
                <w:sz w:val="18"/>
              </w:rPr>
              <w:t>40%</w:t>
            </w:r>
          </w:p>
        </w:tc>
        <w:tc>
          <w:tcPr>
            <w:tcW w:w="827" w:type="dxa"/>
            <w:tcBorders>
              <w:top w:val="single" w:sz="4" w:space="0" w:color="BEBEBE"/>
              <w:left w:val="single" w:sz="4" w:space="0" w:color="BEBEBE"/>
              <w:right w:val="single" w:sz="4" w:space="0" w:color="BEBEBE"/>
            </w:tcBorders>
          </w:tcPr>
          <w:p>
            <w:pPr>
              <w:pStyle w:val="TableParagraph"/>
              <w:spacing w:before="88"/>
              <w:ind w:left="128" w:right="121"/>
              <w:jc w:val="center"/>
              <w:rPr>
                <w:sz w:val="18"/>
              </w:rPr>
            </w:pPr>
            <w:r>
              <w:rPr>
                <w:spacing w:val="-5"/>
                <w:sz w:val="18"/>
              </w:rPr>
              <w:t>41%</w:t>
            </w:r>
          </w:p>
        </w:tc>
        <w:tc>
          <w:tcPr>
            <w:tcW w:w="1048" w:type="dxa"/>
            <w:tcBorders>
              <w:top w:val="single" w:sz="4" w:space="0" w:color="BEBEBE"/>
              <w:left w:val="single" w:sz="4" w:space="0" w:color="BEBEBE"/>
              <w:right w:val="single" w:sz="4" w:space="0" w:color="BEBEBE"/>
            </w:tcBorders>
          </w:tcPr>
          <w:p>
            <w:pPr>
              <w:pStyle w:val="TableParagraph"/>
              <w:spacing w:before="88"/>
              <w:ind w:left="239" w:right="235"/>
              <w:jc w:val="center"/>
              <w:rPr>
                <w:sz w:val="18"/>
              </w:rPr>
            </w:pPr>
            <w:r>
              <w:rPr>
                <w:spacing w:val="-5"/>
                <w:sz w:val="18"/>
              </w:rPr>
              <w:t>39%</w:t>
            </w:r>
          </w:p>
        </w:tc>
        <w:tc>
          <w:tcPr>
            <w:tcW w:w="830" w:type="dxa"/>
            <w:tcBorders>
              <w:top w:val="single" w:sz="4" w:space="0" w:color="BEBEBE"/>
              <w:left w:val="single" w:sz="4" w:space="0" w:color="BEBEBE"/>
              <w:right w:val="single" w:sz="4" w:space="0" w:color="BEBEBE"/>
            </w:tcBorders>
          </w:tcPr>
          <w:p>
            <w:pPr>
              <w:pStyle w:val="TableParagraph"/>
              <w:spacing w:before="88"/>
              <w:ind w:left="129" w:right="126"/>
              <w:jc w:val="center"/>
              <w:rPr>
                <w:sz w:val="18"/>
              </w:rPr>
            </w:pPr>
            <w:r>
              <w:rPr>
                <w:spacing w:val="-5"/>
                <w:sz w:val="18"/>
              </w:rPr>
              <w:t>50%</w:t>
            </w:r>
          </w:p>
        </w:tc>
        <w:tc>
          <w:tcPr>
            <w:tcW w:w="828" w:type="dxa"/>
            <w:tcBorders>
              <w:top w:val="single" w:sz="4" w:space="0" w:color="BEBEBE"/>
              <w:left w:val="single" w:sz="4" w:space="0" w:color="BEBEBE"/>
              <w:right w:val="single" w:sz="4" w:space="0" w:color="BEBEBE"/>
            </w:tcBorders>
          </w:tcPr>
          <w:p>
            <w:pPr>
              <w:pStyle w:val="TableParagraph"/>
              <w:spacing w:before="88"/>
              <w:ind w:left="124" w:right="125"/>
              <w:jc w:val="center"/>
              <w:rPr>
                <w:sz w:val="18"/>
              </w:rPr>
            </w:pPr>
            <w:r>
              <w:rPr>
                <w:spacing w:val="-5"/>
                <w:sz w:val="18"/>
              </w:rPr>
              <w:t>52%</w:t>
            </w:r>
          </w:p>
        </w:tc>
        <w:tc>
          <w:tcPr>
            <w:tcW w:w="1049" w:type="dxa"/>
            <w:tcBorders>
              <w:top w:val="single" w:sz="4" w:space="0" w:color="BEBEBE"/>
              <w:left w:val="single" w:sz="4" w:space="0" w:color="BEBEBE"/>
              <w:right w:val="single" w:sz="4" w:space="0" w:color="BEBEBE"/>
            </w:tcBorders>
          </w:tcPr>
          <w:p>
            <w:pPr>
              <w:pStyle w:val="TableParagraph"/>
              <w:spacing w:before="88"/>
              <w:ind w:left="95" w:right="101"/>
              <w:jc w:val="center"/>
              <w:rPr>
                <w:sz w:val="18"/>
              </w:rPr>
            </w:pPr>
            <w:r>
              <w:rPr>
                <w:spacing w:val="-5"/>
                <w:sz w:val="18"/>
              </w:rPr>
              <w:t>49%</w:t>
            </w:r>
          </w:p>
        </w:tc>
        <w:tc>
          <w:tcPr>
            <w:tcW w:w="1099" w:type="dxa"/>
            <w:tcBorders>
              <w:top w:val="single" w:sz="4" w:space="0" w:color="BEBEBE"/>
              <w:left w:val="single" w:sz="4" w:space="0" w:color="BEBEBE"/>
              <w:right w:val="single" w:sz="4" w:space="0" w:color="BEBEBE"/>
            </w:tcBorders>
          </w:tcPr>
          <w:p>
            <w:pPr>
              <w:pStyle w:val="TableParagraph"/>
              <w:spacing w:before="2"/>
              <w:ind w:left="141" w:right="154"/>
              <w:jc w:val="center"/>
              <w:rPr>
                <w:b/>
                <w:sz w:val="18"/>
              </w:rPr>
            </w:pPr>
            <w:r>
              <w:rPr>
                <w:b/>
                <w:spacing w:val="-2"/>
                <w:sz w:val="18"/>
              </w:rPr>
              <w:t>40.0%</w:t>
            </w:r>
          </w:p>
        </w:tc>
      </w:tr>
    </w:tbl>
    <w:p>
      <w:pPr>
        <w:spacing w:after="0"/>
        <w:jc w:val="center"/>
        <w:rPr>
          <w:sz w:val="18"/>
        </w:rPr>
        <w:sectPr>
          <w:type w:val="continuous"/>
          <w:pgSz w:w="12240" w:h="15840"/>
          <w:pgMar w:header="0" w:footer="967" w:top="1420" w:bottom="1160" w:left="220" w:right="340"/>
        </w:sectPr>
      </w:pPr>
    </w:p>
    <w:p>
      <w:pPr>
        <w:pStyle w:val="BodyText"/>
        <w:spacing w:before="1"/>
        <w:rPr>
          <w:sz w:val="2"/>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9"/>
        <w:gridCol w:w="1937"/>
        <w:gridCol w:w="828"/>
        <w:gridCol w:w="826"/>
        <w:gridCol w:w="1047"/>
        <w:gridCol w:w="829"/>
        <w:gridCol w:w="827"/>
        <w:gridCol w:w="1048"/>
        <w:gridCol w:w="830"/>
        <w:gridCol w:w="828"/>
        <w:gridCol w:w="1049"/>
        <w:gridCol w:w="1099"/>
      </w:tblGrid>
      <w:tr>
        <w:trPr>
          <w:trHeight w:val="388" w:hRule="atLeast"/>
        </w:trPr>
        <w:tc>
          <w:tcPr>
            <w:tcW w:w="319" w:type="dxa"/>
            <w:vMerge w:val="restart"/>
            <w:tcBorders>
              <w:left w:val="nil"/>
              <w:right w:val="single" w:sz="4" w:space="0" w:color="BEBEBE"/>
            </w:tcBorders>
          </w:tcPr>
          <w:p>
            <w:pPr>
              <w:pStyle w:val="TableParagraph"/>
              <w:rPr>
                <w:sz w:val="20"/>
              </w:rPr>
            </w:pPr>
          </w:p>
        </w:tc>
        <w:tc>
          <w:tcPr>
            <w:tcW w:w="1937" w:type="dxa"/>
            <w:tcBorders>
              <w:left w:val="single" w:sz="4" w:space="0" w:color="BEBEBE"/>
              <w:bottom w:val="single" w:sz="4" w:space="0" w:color="BEBEBE"/>
              <w:right w:val="single" w:sz="4" w:space="0" w:color="BEBEBE"/>
            </w:tcBorders>
            <w:shd w:val="clear" w:color="auto" w:fill="DCE6F0"/>
          </w:tcPr>
          <w:p>
            <w:pPr>
              <w:pStyle w:val="TableParagraph"/>
              <w:spacing w:before="93"/>
              <w:ind w:left="381"/>
              <w:rPr>
                <w:sz w:val="18"/>
              </w:rPr>
            </w:pPr>
            <w:r>
              <w:rPr>
                <w:sz w:val="18"/>
              </w:rPr>
              <w:t>Care</w:t>
            </w:r>
            <w:r>
              <w:rPr>
                <w:spacing w:val="-5"/>
                <w:sz w:val="18"/>
              </w:rPr>
              <w:t> </w:t>
            </w:r>
            <w:r>
              <w:rPr>
                <w:spacing w:val="-2"/>
                <w:sz w:val="18"/>
              </w:rPr>
              <w:t>Integration</w:t>
            </w:r>
          </w:p>
        </w:tc>
        <w:tc>
          <w:tcPr>
            <w:tcW w:w="828" w:type="dxa"/>
            <w:tcBorders>
              <w:left w:val="single" w:sz="4" w:space="0" w:color="BEBEBE"/>
              <w:bottom w:val="single" w:sz="4" w:space="0" w:color="BEBEBE"/>
              <w:right w:val="single" w:sz="4" w:space="0" w:color="BEBEBE"/>
            </w:tcBorders>
          </w:tcPr>
          <w:p>
            <w:pPr>
              <w:pStyle w:val="TableParagraph"/>
              <w:spacing w:before="93"/>
              <w:ind w:left="125" w:right="111"/>
              <w:jc w:val="center"/>
              <w:rPr>
                <w:sz w:val="18"/>
              </w:rPr>
            </w:pPr>
            <w:r>
              <w:rPr>
                <w:spacing w:val="-5"/>
                <w:sz w:val="18"/>
              </w:rPr>
              <w:t>60%</w:t>
            </w:r>
          </w:p>
        </w:tc>
        <w:tc>
          <w:tcPr>
            <w:tcW w:w="826" w:type="dxa"/>
            <w:tcBorders>
              <w:left w:val="single" w:sz="4" w:space="0" w:color="BEBEBE"/>
              <w:bottom w:val="single" w:sz="4" w:space="0" w:color="BEBEBE"/>
              <w:right w:val="single" w:sz="4" w:space="0" w:color="BEBEBE"/>
            </w:tcBorders>
          </w:tcPr>
          <w:p>
            <w:pPr>
              <w:pStyle w:val="TableParagraph"/>
              <w:spacing w:before="93"/>
              <w:ind w:left="130" w:right="119"/>
              <w:jc w:val="center"/>
              <w:rPr>
                <w:sz w:val="18"/>
              </w:rPr>
            </w:pPr>
            <w:r>
              <w:rPr>
                <w:spacing w:val="-5"/>
                <w:sz w:val="18"/>
              </w:rPr>
              <w:t>50%</w:t>
            </w:r>
          </w:p>
        </w:tc>
        <w:tc>
          <w:tcPr>
            <w:tcW w:w="1047" w:type="dxa"/>
            <w:tcBorders>
              <w:left w:val="single" w:sz="4" w:space="0" w:color="BEBEBE"/>
              <w:bottom w:val="single" w:sz="4" w:space="0" w:color="BEBEBE"/>
              <w:right w:val="single" w:sz="4" w:space="0" w:color="BEBEBE"/>
            </w:tcBorders>
          </w:tcPr>
          <w:p>
            <w:pPr>
              <w:pStyle w:val="TableParagraph"/>
              <w:spacing w:before="93"/>
              <w:ind w:left="139" w:right="128"/>
              <w:jc w:val="center"/>
              <w:rPr>
                <w:sz w:val="18"/>
              </w:rPr>
            </w:pPr>
            <w:r>
              <w:rPr>
                <w:spacing w:val="-2"/>
                <w:sz w:val="18"/>
              </w:rPr>
              <w:t>53.3%</w:t>
            </w:r>
          </w:p>
        </w:tc>
        <w:tc>
          <w:tcPr>
            <w:tcW w:w="829" w:type="dxa"/>
            <w:tcBorders>
              <w:left w:val="single" w:sz="4" w:space="0" w:color="BEBEBE"/>
              <w:bottom w:val="single" w:sz="4" w:space="0" w:color="BEBEBE"/>
              <w:right w:val="single" w:sz="4" w:space="0" w:color="BEBEBE"/>
            </w:tcBorders>
          </w:tcPr>
          <w:p>
            <w:pPr>
              <w:pStyle w:val="TableParagraph"/>
              <w:spacing w:before="93"/>
              <w:ind w:left="112" w:right="101"/>
              <w:jc w:val="center"/>
              <w:rPr>
                <w:sz w:val="18"/>
              </w:rPr>
            </w:pPr>
            <w:r>
              <w:rPr>
                <w:spacing w:val="-5"/>
                <w:sz w:val="18"/>
              </w:rPr>
              <w:t>70%</w:t>
            </w:r>
          </w:p>
        </w:tc>
        <w:tc>
          <w:tcPr>
            <w:tcW w:w="827" w:type="dxa"/>
            <w:tcBorders>
              <w:left w:val="single" w:sz="4" w:space="0" w:color="BEBEBE"/>
              <w:bottom w:val="single" w:sz="4" w:space="0" w:color="BEBEBE"/>
              <w:right w:val="single" w:sz="4" w:space="0" w:color="BEBEBE"/>
            </w:tcBorders>
          </w:tcPr>
          <w:p>
            <w:pPr>
              <w:pStyle w:val="TableParagraph"/>
              <w:spacing w:before="93"/>
              <w:ind w:right="236"/>
              <w:jc w:val="right"/>
              <w:rPr>
                <w:sz w:val="18"/>
              </w:rPr>
            </w:pPr>
            <w:r>
              <w:rPr>
                <w:spacing w:val="-5"/>
                <w:sz w:val="18"/>
              </w:rPr>
              <w:t>50%</w:t>
            </w:r>
          </w:p>
        </w:tc>
        <w:tc>
          <w:tcPr>
            <w:tcW w:w="1048" w:type="dxa"/>
            <w:tcBorders>
              <w:left w:val="single" w:sz="4" w:space="0" w:color="BEBEBE"/>
              <w:bottom w:val="single" w:sz="4" w:space="0" w:color="BEBEBE"/>
              <w:right w:val="single" w:sz="4" w:space="0" w:color="BEBEBE"/>
            </w:tcBorders>
          </w:tcPr>
          <w:p>
            <w:pPr>
              <w:pStyle w:val="TableParagraph"/>
              <w:spacing w:before="93"/>
              <w:ind w:left="239" w:right="235"/>
              <w:jc w:val="center"/>
              <w:rPr>
                <w:sz w:val="18"/>
              </w:rPr>
            </w:pPr>
            <w:r>
              <w:rPr>
                <w:spacing w:val="-2"/>
                <w:sz w:val="18"/>
              </w:rPr>
              <w:t>63.3%</w:t>
            </w:r>
          </w:p>
        </w:tc>
        <w:tc>
          <w:tcPr>
            <w:tcW w:w="830" w:type="dxa"/>
            <w:tcBorders>
              <w:left w:val="single" w:sz="4" w:space="0" w:color="BEBEBE"/>
              <w:bottom w:val="single" w:sz="4" w:space="0" w:color="BEBEBE"/>
              <w:right w:val="single" w:sz="4" w:space="0" w:color="BEBEBE"/>
            </w:tcBorders>
          </w:tcPr>
          <w:p>
            <w:pPr>
              <w:pStyle w:val="TableParagraph"/>
              <w:spacing w:before="93"/>
              <w:ind w:left="129" w:right="126"/>
              <w:jc w:val="center"/>
              <w:rPr>
                <w:sz w:val="18"/>
              </w:rPr>
            </w:pPr>
            <w:r>
              <w:rPr>
                <w:spacing w:val="-5"/>
                <w:sz w:val="18"/>
              </w:rPr>
              <w:t>80%</w:t>
            </w:r>
          </w:p>
        </w:tc>
        <w:tc>
          <w:tcPr>
            <w:tcW w:w="828" w:type="dxa"/>
            <w:tcBorders>
              <w:left w:val="single" w:sz="4" w:space="0" w:color="BEBEBE"/>
              <w:bottom w:val="single" w:sz="4" w:space="0" w:color="BEBEBE"/>
              <w:right w:val="single" w:sz="4" w:space="0" w:color="BEBEBE"/>
            </w:tcBorders>
          </w:tcPr>
          <w:p>
            <w:pPr>
              <w:pStyle w:val="TableParagraph"/>
              <w:spacing w:before="93"/>
              <w:ind w:left="240"/>
              <w:rPr>
                <w:sz w:val="18"/>
              </w:rPr>
            </w:pPr>
            <w:r>
              <w:rPr>
                <w:spacing w:val="-5"/>
                <w:sz w:val="18"/>
              </w:rPr>
              <w:t>70%</w:t>
            </w:r>
          </w:p>
        </w:tc>
        <w:tc>
          <w:tcPr>
            <w:tcW w:w="1049" w:type="dxa"/>
            <w:tcBorders>
              <w:left w:val="single" w:sz="4" w:space="0" w:color="BEBEBE"/>
              <w:bottom w:val="single" w:sz="4" w:space="0" w:color="BEBEBE"/>
              <w:right w:val="single" w:sz="4" w:space="0" w:color="BEBEBE"/>
            </w:tcBorders>
          </w:tcPr>
          <w:p>
            <w:pPr>
              <w:pStyle w:val="TableParagraph"/>
              <w:spacing w:before="93"/>
              <w:ind w:left="281"/>
              <w:rPr>
                <w:sz w:val="18"/>
              </w:rPr>
            </w:pPr>
            <w:r>
              <w:rPr>
                <w:spacing w:val="-2"/>
                <w:sz w:val="18"/>
              </w:rPr>
              <w:t>73.3%</w:t>
            </w:r>
          </w:p>
        </w:tc>
        <w:tc>
          <w:tcPr>
            <w:tcW w:w="1099" w:type="dxa"/>
            <w:tcBorders>
              <w:left w:val="single" w:sz="4" w:space="0" w:color="BEBEBE"/>
              <w:bottom w:val="single" w:sz="4" w:space="0" w:color="BEBEBE"/>
              <w:right w:val="single" w:sz="4" w:space="0" w:color="BEBEBE"/>
            </w:tcBorders>
          </w:tcPr>
          <w:p>
            <w:pPr>
              <w:pStyle w:val="TableParagraph"/>
              <w:spacing w:before="7"/>
              <w:ind w:left="141" w:right="154"/>
              <w:jc w:val="center"/>
              <w:rPr>
                <w:b/>
                <w:sz w:val="18"/>
              </w:rPr>
            </w:pPr>
            <w:r>
              <w:rPr>
                <w:b/>
                <w:spacing w:val="-2"/>
                <w:sz w:val="18"/>
              </w:rPr>
              <w:t>63.3%</w:t>
            </w:r>
          </w:p>
        </w:tc>
      </w:tr>
      <w:tr>
        <w:trPr>
          <w:trHeight w:val="414" w:hRule="atLeast"/>
        </w:trPr>
        <w:tc>
          <w:tcPr>
            <w:tcW w:w="319" w:type="dxa"/>
            <w:vMerge/>
            <w:tcBorders>
              <w:top w:val="nil"/>
              <w:left w:val="nil"/>
              <w:right w:val="single" w:sz="4" w:space="0" w:color="BEBEBE"/>
            </w:tcBorders>
          </w:tcPr>
          <w:p>
            <w:pPr>
              <w:rPr>
                <w:sz w:val="2"/>
                <w:szCs w:val="2"/>
              </w:rPr>
            </w:pPr>
          </w:p>
        </w:tc>
        <w:tc>
          <w:tcPr>
            <w:tcW w:w="1937" w:type="dxa"/>
            <w:tcBorders>
              <w:top w:val="single" w:sz="4" w:space="0" w:color="BEBEBE"/>
              <w:left w:val="single" w:sz="4" w:space="0" w:color="BEBEBE"/>
              <w:bottom w:val="single" w:sz="4" w:space="0" w:color="BEBEBE"/>
              <w:right w:val="single" w:sz="4" w:space="0" w:color="BEBEBE"/>
            </w:tcBorders>
            <w:shd w:val="clear" w:color="auto" w:fill="DCE6F0"/>
          </w:tcPr>
          <w:p>
            <w:pPr>
              <w:pStyle w:val="TableParagraph"/>
              <w:spacing w:line="206" w:lineRule="exact"/>
              <w:ind w:left="307" w:right="170" w:hanging="75"/>
              <w:rPr>
                <w:sz w:val="18"/>
              </w:rPr>
            </w:pPr>
            <w:r>
              <w:rPr>
                <w:sz w:val="18"/>
              </w:rPr>
              <w:t>PES:</w:t>
            </w:r>
            <w:r>
              <w:rPr>
                <w:spacing w:val="-12"/>
                <w:sz w:val="18"/>
              </w:rPr>
              <w:t> </w:t>
            </w:r>
            <w:r>
              <w:rPr>
                <w:sz w:val="18"/>
              </w:rPr>
              <w:t>Overall</w:t>
            </w:r>
            <w:r>
              <w:rPr>
                <w:spacing w:val="-11"/>
                <w:sz w:val="18"/>
              </w:rPr>
              <w:t> </w:t>
            </w:r>
            <w:r>
              <w:rPr>
                <w:sz w:val="18"/>
              </w:rPr>
              <w:t>Rating and Care Delivery</w:t>
            </w:r>
          </w:p>
        </w:tc>
        <w:tc>
          <w:tcPr>
            <w:tcW w:w="828" w:type="dxa"/>
            <w:tcBorders>
              <w:top w:val="single" w:sz="4" w:space="0" w:color="BEBEBE"/>
              <w:left w:val="single" w:sz="4" w:space="0" w:color="BEBEBE"/>
              <w:bottom w:val="single" w:sz="4" w:space="0" w:color="BEBEBE"/>
              <w:right w:val="single" w:sz="4" w:space="0" w:color="BEBEBE"/>
            </w:tcBorders>
          </w:tcPr>
          <w:p>
            <w:pPr>
              <w:pStyle w:val="TableParagraph"/>
              <w:spacing w:before="103"/>
              <w:ind w:left="125" w:right="111"/>
              <w:jc w:val="center"/>
              <w:rPr>
                <w:sz w:val="18"/>
              </w:rPr>
            </w:pPr>
            <w:r>
              <w:rPr>
                <w:spacing w:val="-5"/>
                <w:sz w:val="18"/>
              </w:rPr>
              <w:t>60%</w:t>
            </w:r>
          </w:p>
        </w:tc>
        <w:tc>
          <w:tcPr>
            <w:tcW w:w="826" w:type="dxa"/>
            <w:tcBorders>
              <w:top w:val="single" w:sz="4" w:space="0" w:color="BEBEBE"/>
              <w:left w:val="single" w:sz="4" w:space="0" w:color="BEBEBE"/>
              <w:bottom w:val="single" w:sz="4" w:space="0" w:color="BEBEBE"/>
              <w:right w:val="single" w:sz="4" w:space="0" w:color="BEBEBE"/>
            </w:tcBorders>
          </w:tcPr>
          <w:p>
            <w:pPr>
              <w:pStyle w:val="TableParagraph"/>
              <w:spacing w:before="103"/>
              <w:ind w:left="130" w:right="119"/>
              <w:jc w:val="center"/>
              <w:rPr>
                <w:sz w:val="18"/>
              </w:rPr>
            </w:pPr>
            <w:r>
              <w:rPr>
                <w:spacing w:val="-5"/>
                <w:sz w:val="18"/>
              </w:rPr>
              <w:t>60%</w:t>
            </w:r>
          </w:p>
        </w:tc>
        <w:tc>
          <w:tcPr>
            <w:tcW w:w="1047" w:type="dxa"/>
            <w:tcBorders>
              <w:top w:val="single" w:sz="4" w:space="0" w:color="BEBEBE"/>
              <w:left w:val="single" w:sz="4" w:space="0" w:color="BEBEBE"/>
              <w:bottom w:val="single" w:sz="4" w:space="0" w:color="BEBEBE"/>
              <w:right w:val="single" w:sz="4" w:space="0" w:color="BEBEBE"/>
            </w:tcBorders>
          </w:tcPr>
          <w:p>
            <w:pPr>
              <w:pStyle w:val="TableParagraph"/>
              <w:spacing w:before="103"/>
              <w:ind w:left="138" w:right="128"/>
              <w:jc w:val="center"/>
              <w:rPr>
                <w:sz w:val="18"/>
              </w:rPr>
            </w:pPr>
            <w:r>
              <w:rPr>
                <w:spacing w:val="-5"/>
                <w:sz w:val="18"/>
              </w:rPr>
              <w:t>60%</w:t>
            </w:r>
          </w:p>
        </w:tc>
        <w:tc>
          <w:tcPr>
            <w:tcW w:w="829" w:type="dxa"/>
            <w:tcBorders>
              <w:top w:val="single" w:sz="4" w:space="0" w:color="BEBEBE"/>
              <w:left w:val="single" w:sz="4" w:space="0" w:color="BEBEBE"/>
              <w:bottom w:val="single" w:sz="4" w:space="0" w:color="BEBEBE"/>
              <w:right w:val="single" w:sz="4" w:space="0" w:color="BEBEBE"/>
            </w:tcBorders>
          </w:tcPr>
          <w:p>
            <w:pPr>
              <w:pStyle w:val="TableParagraph"/>
              <w:spacing w:before="103"/>
              <w:ind w:left="112" w:right="101"/>
              <w:jc w:val="center"/>
              <w:rPr>
                <w:sz w:val="18"/>
              </w:rPr>
            </w:pPr>
            <w:r>
              <w:rPr>
                <w:spacing w:val="-5"/>
                <w:sz w:val="18"/>
              </w:rPr>
              <w:t>50%</w:t>
            </w:r>
          </w:p>
        </w:tc>
        <w:tc>
          <w:tcPr>
            <w:tcW w:w="827" w:type="dxa"/>
            <w:tcBorders>
              <w:top w:val="single" w:sz="4" w:space="0" w:color="BEBEBE"/>
              <w:left w:val="single" w:sz="4" w:space="0" w:color="BEBEBE"/>
              <w:bottom w:val="single" w:sz="4" w:space="0" w:color="BEBEBE"/>
              <w:right w:val="single" w:sz="4" w:space="0" w:color="BEBEBE"/>
            </w:tcBorders>
          </w:tcPr>
          <w:p>
            <w:pPr>
              <w:pStyle w:val="TableParagraph"/>
              <w:spacing w:before="103"/>
              <w:ind w:right="236"/>
              <w:jc w:val="right"/>
              <w:rPr>
                <w:sz w:val="18"/>
              </w:rPr>
            </w:pPr>
            <w:r>
              <w:rPr>
                <w:spacing w:val="-5"/>
                <w:sz w:val="18"/>
              </w:rPr>
              <w:t>60%</w:t>
            </w:r>
          </w:p>
        </w:tc>
        <w:tc>
          <w:tcPr>
            <w:tcW w:w="1048" w:type="dxa"/>
            <w:tcBorders>
              <w:top w:val="single" w:sz="4" w:space="0" w:color="BEBEBE"/>
              <w:left w:val="single" w:sz="4" w:space="0" w:color="BEBEBE"/>
              <w:bottom w:val="single" w:sz="4" w:space="0" w:color="BEBEBE"/>
              <w:right w:val="single" w:sz="4" w:space="0" w:color="BEBEBE"/>
            </w:tcBorders>
          </w:tcPr>
          <w:p>
            <w:pPr>
              <w:pStyle w:val="TableParagraph"/>
              <w:spacing w:before="103"/>
              <w:ind w:left="239" w:right="235"/>
              <w:jc w:val="center"/>
              <w:rPr>
                <w:sz w:val="18"/>
              </w:rPr>
            </w:pPr>
            <w:r>
              <w:rPr>
                <w:spacing w:val="-2"/>
                <w:sz w:val="18"/>
              </w:rPr>
              <w:t>56.7%</w:t>
            </w:r>
          </w:p>
        </w:tc>
        <w:tc>
          <w:tcPr>
            <w:tcW w:w="830" w:type="dxa"/>
            <w:tcBorders>
              <w:top w:val="single" w:sz="4" w:space="0" w:color="BEBEBE"/>
              <w:left w:val="single" w:sz="4" w:space="0" w:color="BEBEBE"/>
              <w:bottom w:val="single" w:sz="4" w:space="0" w:color="BEBEBE"/>
              <w:right w:val="single" w:sz="4" w:space="0" w:color="BEBEBE"/>
            </w:tcBorders>
          </w:tcPr>
          <w:p>
            <w:pPr>
              <w:pStyle w:val="TableParagraph"/>
              <w:spacing w:before="103"/>
              <w:ind w:left="129" w:right="126"/>
              <w:jc w:val="center"/>
              <w:rPr>
                <w:sz w:val="18"/>
              </w:rPr>
            </w:pPr>
            <w:r>
              <w:rPr>
                <w:spacing w:val="-5"/>
                <w:sz w:val="18"/>
              </w:rPr>
              <w:t>60%</w:t>
            </w:r>
          </w:p>
        </w:tc>
        <w:tc>
          <w:tcPr>
            <w:tcW w:w="828" w:type="dxa"/>
            <w:tcBorders>
              <w:top w:val="single" w:sz="4" w:space="0" w:color="BEBEBE"/>
              <w:left w:val="single" w:sz="4" w:space="0" w:color="BEBEBE"/>
              <w:bottom w:val="single" w:sz="4" w:space="0" w:color="BEBEBE"/>
              <w:right w:val="single" w:sz="4" w:space="0" w:color="BEBEBE"/>
            </w:tcBorders>
          </w:tcPr>
          <w:p>
            <w:pPr>
              <w:pStyle w:val="TableParagraph"/>
              <w:spacing w:before="103"/>
              <w:ind w:left="240"/>
              <w:rPr>
                <w:sz w:val="18"/>
              </w:rPr>
            </w:pPr>
            <w:r>
              <w:rPr>
                <w:spacing w:val="-5"/>
                <w:sz w:val="18"/>
              </w:rPr>
              <w:t>70%</w:t>
            </w:r>
          </w:p>
        </w:tc>
        <w:tc>
          <w:tcPr>
            <w:tcW w:w="1049" w:type="dxa"/>
            <w:tcBorders>
              <w:top w:val="single" w:sz="4" w:space="0" w:color="BEBEBE"/>
              <w:left w:val="single" w:sz="4" w:space="0" w:color="BEBEBE"/>
              <w:bottom w:val="single" w:sz="4" w:space="0" w:color="BEBEBE"/>
              <w:right w:val="single" w:sz="4" w:space="0" w:color="BEBEBE"/>
            </w:tcBorders>
          </w:tcPr>
          <w:p>
            <w:pPr>
              <w:pStyle w:val="TableParagraph"/>
              <w:spacing w:before="103"/>
              <w:ind w:left="281"/>
              <w:rPr>
                <w:sz w:val="18"/>
              </w:rPr>
            </w:pPr>
            <w:r>
              <w:rPr>
                <w:spacing w:val="-2"/>
                <w:sz w:val="18"/>
              </w:rPr>
              <w:t>66.7%</w:t>
            </w:r>
          </w:p>
        </w:tc>
        <w:tc>
          <w:tcPr>
            <w:tcW w:w="1099" w:type="dxa"/>
            <w:tcBorders>
              <w:top w:val="single" w:sz="4" w:space="0" w:color="BEBEBE"/>
              <w:left w:val="single" w:sz="4" w:space="0" w:color="BEBEBE"/>
              <w:bottom w:val="single" w:sz="4" w:space="0" w:color="BEBEBE"/>
              <w:right w:val="single" w:sz="4" w:space="0" w:color="BEBEBE"/>
            </w:tcBorders>
          </w:tcPr>
          <w:p>
            <w:pPr>
              <w:pStyle w:val="TableParagraph"/>
              <w:spacing w:before="19"/>
              <w:ind w:left="141" w:right="154"/>
              <w:jc w:val="center"/>
              <w:rPr>
                <w:b/>
                <w:sz w:val="18"/>
              </w:rPr>
            </w:pPr>
            <w:r>
              <w:rPr>
                <w:b/>
                <w:spacing w:val="-2"/>
                <w:sz w:val="18"/>
              </w:rPr>
              <w:t>60.0%</w:t>
            </w:r>
          </w:p>
        </w:tc>
      </w:tr>
      <w:tr>
        <w:trPr>
          <w:trHeight w:val="419" w:hRule="atLeast"/>
        </w:trPr>
        <w:tc>
          <w:tcPr>
            <w:tcW w:w="319" w:type="dxa"/>
            <w:vMerge/>
            <w:tcBorders>
              <w:top w:val="nil"/>
              <w:left w:val="nil"/>
              <w:right w:val="single" w:sz="4" w:space="0" w:color="BEBEBE"/>
            </w:tcBorders>
          </w:tcPr>
          <w:p>
            <w:pPr>
              <w:rPr>
                <w:sz w:val="2"/>
                <w:szCs w:val="2"/>
              </w:rPr>
            </w:pPr>
          </w:p>
        </w:tc>
        <w:tc>
          <w:tcPr>
            <w:tcW w:w="1937" w:type="dxa"/>
            <w:tcBorders>
              <w:top w:val="single" w:sz="4" w:space="0" w:color="BEBEBE"/>
              <w:left w:val="single" w:sz="4" w:space="0" w:color="BEBEBE"/>
              <w:right w:val="single" w:sz="4" w:space="0" w:color="BEBEBE"/>
            </w:tcBorders>
            <w:shd w:val="clear" w:color="auto" w:fill="DCE6F0"/>
          </w:tcPr>
          <w:p>
            <w:pPr>
              <w:pStyle w:val="TableParagraph"/>
              <w:spacing w:line="206" w:lineRule="exact"/>
              <w:ind w:left="410" w:right="170" w:hanging="226"/>
              <w:rPr>
                <w:sz w:val="18"/>
              </w:rPr>
            </w:pPr>
            <w:r>
              <w:rPr>
                <w:sz w:val="18"/>
              </w:rPr>
              <w:t>PES:</w:t>
            </w:r>
            <w:r>
              <w:rPr>
                <w:spacing w:val="-12"/>
                <w:sz w:val="18"/>
              </w:rPr>
              <w:t> </w:t>
            </w:r>
            <w:r>
              <w:rPr>
                <w:sz w:val="18"/>
              </w:rPr>
              <w:t>Person-centered Integrated Care</w:t>
            </w:r>
          </w:p>
        </w:tc>
        <w:tc>
          <w:tcPr>
            <w:tcW w:w="828" w:type="dxa"/>
            <w:tcBorders>
              <w:top w:val="single" w:sz="4" w:space="0" w:color="BEBEBE"/>
              <w:left w:val="single" w:sz="4" w:space="0" w:color="BEBEBE"/>
              <w:right w:val="single" w:sz="4" w:space="0" w:color="BEBEBE"/>
            </w:tcBorders>
          </w:tcPr>
          <w:p>
            <w:pPr>
              <w:pStyle w:val="TableParagraph"/>
              <w:spacing w:before="103"/>
              <w:ind w:left="125" w:right="111"/>
              <w:jc w:val="center"/>
              <w:rPr>
                <w:sz w:val="18"/>
              </w:rPr>
            </w:pPr>
            <w:r>
              <w:rPr>
                <w:spacing w:val="-5"/>
                <w:sz w:val="18"/>
              </w:rPr>
              <w:t>60%</w:t>
            </w:r>
          </w:p>
        </w:tc>
        <w:tc>
          <w:tcPr>
            <w:tcW w:w="826" w:type="dxa"/>
            <w:tcBorders>
              <w:top w:val="single" w:sz="4" w:space="0" w:color="BEBEBE"/>
              <w:left w:val="single" w:sz="4" w:space="0" w:color="BEBEBE"/>
              <w:right w:val="single" w:sz="4" w:space="0" w:color="BEBEBE"/>
            </w:tcBorders>
          </w:tcPr>
          <w:p>
            <w:pPr>
              <w:pStyle w:val="TableParagraph"/>
              <w:spacing w:before="103"/>
              <w:ind w:left="130" w:right="119"/>
              <w:jc w:val="center"/>
              <w:rPr>
                <w:sz w:val="18"/>
              </w:rPr>
            </w:pPr>
            <w:r>
              <w:rPr>
                <w:spacing w:val="-5"/>
                <w:sz w:val="18"/>
              </w:rPr>
              <w:t>60%</w:t>
            </w:r>
          </w:p>
        </w:tc>
        <w:tc>
          <w:tcPr>
            <w:tcW w:w="1047" w:type="dxa"/>
            <w:tcBorders>
              <w:top w:val="single" w:sz="4" w:space="0" w:color="BEBEBE"/>
              <w:left w:val="single" w:sz="4" w:space="0" w:color="BEBEBE"/>
              <w:right w:val="single" w:sz="4" w:space="0" w:color="BEBEBE"/>
            </w:tcBorders>
          </w:tcPr>
          <w:p>
            <w:pPr>
              <w:pStyle w:val="TableParagraph"/>
              <w:spacing w:before="103"/>
              <w:ind w:left="138" w:right="128"/>
              <w:jc w:val="center"/>
              <w:rPr>
                <w:sz w:val="18"/>
              </w:rPr>
            </w:pPr>
            <w:r>
              <w:rPr>
                <w:spacing w:val="-5"/>
                <w:sz w:val="18"/>
              </w:rPr>
              <w:t>60%</w:t>
            </w:r>
          </w:p>
        </w:tc>
        <w:tc>
          <w:tcPr>
            <w:tcW w:w="829" w:type="dxa"/>
            <w:tcBorders>
              <w:top w:val="single" w:sz="4" w:space="0" w:color="BEBEBE"/>
              <w:left w:val="single" w:sz="4" w:space="0" w:color="BEBEBE"/>
              <w:right w:val="single" w:sz="4" w:space="0" w:color="BEBEBE"/>
            </w:tcBorders>
          </w:tcPr>
          <w:p>
            <w:pPr>
              <w:pStyle w:val="TableParagraph"/>
              <w:spacing w:before="103"/>
              <w:ind w:left="112" w:right="101"/>
              <w:jc w:val="center"/>
              <w:rPr>
                <w:sz w:val="18"/>
              </w:rPr>
            </w:pPr>
            <w:r>
              <w:rPr>
                <w:spacing w:val="-5"/>
                <w:sz w:val="18"/>
              </w:rPr>
              <w:t>50%</w:t>
            </w:r>
          </w:p>
        </w:tc>
        <w:tc>
          <w:tcPr>
            <w:tcW w:w="827" w:type="dxa"/>
            <w:tcBorders>
              <w:top w:val="single" w:sz="4" w:space="0" w:color="BEBEBE"/>
              <w:left w:val="single" w:sz="4" w:space="0" w:color="BEBEBE"/>
              <w:right w:val="single" w:sz="4" w:space="0" w:color="BEBEBE"/>
            </w:tcBorders>
          </w:tcPr>
          <w:p>
            <w:pPr>
              <w:pStyle w:val="TableParagraph"/>
              <w:spacing w:before="103"/>
              <w:ind w:right="236"/>
              <w:jc w:val="right"/>
              <w:rPr>
                <w:sz w:val="18"/>
              </w:rPr>
            </w:pPr>
            <w:r>
              <w:rPr>
                <w:spacing w:val="-5"/>
                <w:sz w:val="18"/>
              </w:rPr>
              <w:t>50%</w:t>
            </w:r>
          </w:p>
        </w:tc>
        <w:tc>
          <w:tcPr>
            <w:tcW w:w="1048" w:type="dxa"/>
            <w:tcBorders>
              <w:top w:val="single" w:sz="4" w:space="0" w:color="BEBEBE"/>
              <w:left w:val="single" w:sz="4" w:space="0" w:color="BEBEBE"/>
              <w:right w:val="single" w:sz="4" w:space="0" w:color="BEBEBE"/>
            </w:tcBorders>
          </w:tcPr>
          <w:p>
            <w:pPr>
              <w:pStyle w:val="TableParagraph"/>
              <w:spacing w:before="103"/>
              <w:ind w:left="239" w:right="235"/>
              <w:jc w:val="center"/>
              <w:rPr>
                <w:sz w:val="18"/>
              </w:rPr>
            </w:pPr>
            <w:r>
              <w:rPr>
                <w:spacing w:val="-5"/>
                <w:sz w:val="18"/>
              </w:rPr>
              <w:t>50%</w:t>
            </w:r>
          </w:p>
        </w:tc>
        <w:tc>
          <w:tcPr>
            <w:tcW w:w="830" w:type="dxa"/>
            <w:tcBorders>
              <w:top w:val="single" w:sz="4" w:space="0" w:color="BEBEBE"/>
              <w:left w:val="single" w:sz="4" w:space="0" w:color="BEBEBE"/>
              <w:right w:val="single" w:sz="4" w:space="0" w:color="BEBEBE"/>
            </w:tcBorders>
          </w:tcPr>
          <w:p>
            <w:pPr>
              <w:pStyle w:val="TableParagraph"/>
              <w:spacing w:before="103"/>
              <w:ind w:left="129" w:right="126"/>
              <w:jc w:val="center"/>
              <w:rPr>
                <w:sz w:val="18"/>
              </w:rPr>
            </w:pPr>
            <w:r>
              <w:rPr>
                <w:spacing w:val="-5"/>
                <w:sz w:val="18"/>
              </w:rPr>
              <w:t>70%</w:t>
            </w:r>
          </w:p>
        </w:tc>
        <w:tc>
          <w:tcPr>
            <w:tcW w:w="828" w:type="dxa"/>
            <w:tcBorders>
              <w:top w:val="single" w:sz="4" w:space="0" w:color="BEBEBE"/>
              <w:left w:val="single" w:sz="4" w:space="0" w:color="BEBEBE"/>
              <w:right w:val="single" w:sz="4" w:space="0" w:color="BEBEBE"/>
            </w:tcBorders>
          </w:tcPr>
          <w:p>
            <w:pPr>
              <w:pStyle w:val="TableParagraph"/>
              <w:spacing w:before="103"/>
              <w:ind w:left="240"/>
              <w:rPr>
                <w:sz w:val="18"/>
              </w:rPr>
            </w:pPr>
            <w:r>
              <w:rPr>
                <w:spacing w:val="-5"/>
                <w:sz w:val="18"/>
              </w:rPr>
              <w:t>70%</w:t>
            </w:r>
          </w:p>
        </w:tc>
        <w:tc>
          <w:tcPr>
            <w:tcW w:w="1049" w:type="dxa"/>
            <w:tcBorders>
              <w:top w:val="single" w:sz="4" w:space="0" w:color="BEBEBE"/>
              <w:left w:val="single" w:sz="4" w:space="0" w:color="BEBEBE"/>
              <w:right w:val="single" w:sz="4" w:space="0" w:color="BEBEBE"/>
            </w:tcBorders>
          </w:tcPr>
          <w:p>
            <w:pPr>
              <w:pStyle w:val="TableParagraph"/>
              <w:spacing w:before="103"/>
              <w:ind w:left="348"/>
              <w:rPr>
                <w:sz w:val="18"/>
              </w:rPr>
            </w:pPr>
            <w:r>
              <w:rPr>
                <w:spacing w:val="-5"/>
                <w:sz w:val="18"/>
              </w:rPr>
              <w:t>70%</w:t>
            </w:r>
          </w:p>
        </w:tc>
        <w:tc>
          <w:tcPr>
            <w:tcW w:w="1099" w:type="dxa"/>
            <w:tcBorders>
              <w:top w:val="single" w:sz="4" w:space="0" w:color="BEBEBE"/>
              <w:left w:val="single" w:sz="4" w:space="0" w:color="BEBEBE"/>
              <w:right w:val="single" w:sz="4" w:space="0" w:color="BEBEBE"/>
            </w:tcBorders>
          </w:tcPr>
          <w:p>
            <w:pPr>
              <w:pStyle w:val="TableParagraph"/>
              <w:spacing w:before="16"/>
              <w:ind w:left="141" w:right="154"/>
              <w:jc w:val="center"/>
              <w:rPr>
                <w:b/>
                <w:sz w:val="18"/>
              </w:rPr>
            </w:pPr>
            <w:r>
              <w:rPr>
                <w:b/>
                <w:spacing w:val="-2"/>
                <w:sz w:val="18"/>
              </w:rPr>
              <w:t>60.0%</w:t>
            </w:r>
          </w:p>
        </w:tc>
      </w:tr>
    </w:tbl>
    <w:p>
      <w:pPr>
        <w:pStyle w:val="BodyText"/>
        <w:spacing w:before="3"/>
        <w:rPr>
          <w:sz w:val="25"/>
        </w:rPr>
      </w:pPr>
    </w:p>
    <w:p>
      <w:pPr>
        <w:pStyle w:val="ListParagraph"/>
        <w:numPr>
          <w:ilvl w:val="0"/>
          <w:numId w:val="111"/>
        </w:numPr>
        <w:tabs>
          <w:tab w:pos="1578" w:val="left" w:leader="none"/>
        </w:tabs>
        <w:spacing w:line="240" w:lineRule="auto" w:before="88" w:after="0"/>
        <w:ind w:left="1578" w:right="0" w:hanging="358"/>
        <w:jc w:val="left"/>
        <w:rPr>
          <w:b/>
          <w:i/>
          <w:sz w:val="22"/>
        </w:rPr>
      </w:pPr>
      <w:r>
        <w:rPr/>
        <mc:AlternateContent>
          <mc:Choice Requires="wps">
            <w:drawing>
              <wp:anchor distT="0" distB="0" distL="0" distR="0" allowOverlap="1" layoutInCell="1" locked="0" behindDoc="0" simplePos="0" relativeHeight="16172544">
                <wp:simplePos x="0" y="0"/>
                <wp:positionH relativeFrom="page">
                  <wp:posOffset>219456</wp:posOffset>
                </wp:positionH>
                <wp:positionV relativeFrom="paragraph">
                  <wp:posOffset>-987681</wp:posOffset>
                </wp:positionV>
                <wp:extent cx="7335520" cy="6350"/>
                <wp:effectExtent l="0" t="0" r="0" b="0"/>
                <wp:wrapNone/>
                <wp:docPr id="944" name="Graphic 944"/>
                <wp:cNvGraphicFramePr>
                  <a:graphicFrameLocks/>
                </wp:cNvGraphicFramePr>
                <a:graphic>
                  <a:graphicData uri="http://schemas.microsoft.com/office/word/2010/wordprocessingShape">
                    <wps:wsp>
                      <wps:cNvPr id="944" name="Graphic 944"/>
                      <wps:cNvSpPr/>
                      <wps:spPr>
                        <a:xfrm>
                          <a:off x="0" y="0"/>
                          <a:ext cx="7335520" cy="6350"/>
                        </a:xfrm>
                        <a:custGeom>
                          <a:avLst/>
                          <a:gdLst/>
                          <a:ahLst/>
                          <a:cxnLst/>
                          <a:rect l="l" t="t" r="r" b="b"/>
                          <a:pathLst>
                            <a:path w="7335520" h="6350">
                              <a:moveTo>
                                <a:pt x="7335011" y="0"/>
                              </a:moveTo>
                              <a:lnTo>
                                <a:pt x="0" y="0"/>
                              </a:lnTo>
                              <a:lnTo>
                                <a:pt x="0" y="6096"/>
                              </a:lnTo>
                              <a:lnTo>
                                <a:pt x="7335011" y="6096"/>
                              </a:lnTo>
                              <a:lnTo>
                                <a:pt x="73350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280001pt;margin-top:-77.770226pt;width:577.560pt;height:.48pt;mso-position-horizontal-relative:page;mso-position-vertical-relative:paragraph;z-index:16172544" id="docshape159"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6173056">
                <wp:simplePos x="0" y="0"/>
                <wp:positionH relativeFrom="page">
                  <wp:posOffset>210311</wp:posOffset>
                </wp:positionH>
                <wp:positionV relativeFrom="paragraph">
                  <wp:posOffset>-186070</wp:posOffset>
                </wp:positionV>
                <wp:extent cx="7344409" cy="6350"/>
                <wp:effectExtent l="0" t="0" r="0" b="0"/>
                <wp:wrapNone/>
                <wp:docPr id="945" name="Graphic 945"/>
                <wp:cNvGraphicFramePr>
                  <a:graphicFrameLocks/>
                </wp:cNvGraphicFramePr>
                <a:graphic>
                  <a:graphicData uri="http://schemas.microsoft.com/office/word/2010/wordprocessingShape">
                    <wps:wsp>
                      <wps:cNvPr id="945" name="Graphic 945"/>
                      <wps:cNvSpPr/>
                      <wps:spPr>
                        <a:xfrm>
                          <a:off x="0" y="0"/>
                          <a:ext cx="7344409" cy="6350"/>
                        </a:xfrm>
                        <a:custGeom>
                          <a:avLst/>
                          <a:gdLst/>
                          <a:ahLst/>
                          <a:cxnLst/>
                          <a:rect l="l" t="t" r="r" b="b"/>
                          <a:pathLst>
                            <a:path w="7344409" h="6350">
                              <a:moveTo>
                                <a:pt x="7344156" y="0"/>
                              </a:moveTo>
                              <a:lnTo>
                                <a:pt x="0" y="0"/>
                              </a:lnTo>
                              <a:lnTo>
                                <a:pt x="0" y="6108"/>
                              </a:lnTo>
                              <a:lnTo>
                                <a:pt x="7344156" y="6108"/>
                              </a:lnTo>
                              <a:lnTo>
                                <a:pt x="73441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6.559999pt;margin-top:-14.651227pt;width:578.28pt;height:.481pt;mso-position-horizontal-relative:page;mso-position-vertical-relative:paragraph;z-index:16173056" id="docshape160" filled="true" fillcolor="#000000" stroked="false">
                <v:fill type="solid"/>
                <w10:wrap type="none"/>
              </v:rect>
            </w:pict>
          </mc:Fallback>
        </mc:AlternateContent>
      </w:r>
      <w:r>
        <w:rPr>
          <w:b/>
          <w:i/>
          <w:sz w:val="22"/>
        </w:rPr>
        <w:t>Calculate</w:t>
      </w:r>
      <w:r>
        <w:rPr>
          <w:b/>
          <w:i/>
          <w:spacing w:val="-5"/>
          <w:sz w:val="22"/>
        </w:rPr>
        <w:t> </w:t>
      </w:r>
      <w:r>
        <w:rPr>
          <w:b/>
          <w:i/>
          <w:sz w:val="22"/>
        </w:rPr>
        <w:t>the</w:t>
      </w:r>
      <w:r>
        <w:rPr>
          <w:b/>
          <w:i/>
          <w:spacing w:val="-5"/>
          <w:sz w:val="22"/>
        </w:rPr>
        <w:t> </w:t>
      </w:r>
      <w:r>
        <w:rPr>
          <w:b/>
          <w:i/>
          <w:sz w:val="22"/>
        </w:rPr>
        <w:t>aggregate</w:t>
      </w:r>
      <w:r>
        <w:rPr>
          <w:b/>
          <w:i/>
          <w:spacing w:val="-2"/>
          <w:sz w:val="22"/>
        </w:rPr>
        <w:t> </w:t>
      </w:r>
      <w:r>
        <w:rPr>
          <w:b/>
          <w:i/>
          <w:sz w:val="22"/>
        </w:rPr>
        <w:t>domain</w:t>
      </w:r>
      <w:r>
        <w:rPr>
          <w:b/>
          <w:i/>
          <w:spacing w:val="-6"/>
          <w:sz w:val="22"/>
        </w:rPr>
        <w:t> </w:t>
      </w:r>
      <w:r>
        <w:rPr>
          <w:b/>
          <w:i/>
          <w:sz w:val="22"/>
        </w:rPr>
        <w:t>scores</w:t>
      </w:r>
      <w:r>
        <w:rPr>
          <w:b/>
          <w:i/>
          <w:spacing w:val="-4"/>
          <w:sz w:val="22"/>
        </w:rPr>
        <w:t> </w:t>
      </w:r>
      <w:r>
        <w:rPr>
          <w:b/>
          <w:i/>
          <w:sz w:val="22"/>
        </w:rPr>
        <w:t>for</w:t>
      </w:r>
      <w:r>
        <w:rPr>
          <w:b/>
          <w:i/>
          <w:spacing w:val="-3"/>
          <w:sz w:val="22"/>
        </w:rPr>
        <w:t> </w:t>
      </w:r>
      <w:r>
        <w:rPr>
          <w:b/>
          <w:i/>
          <w:sz w:val="22"/>
        </w:rPr>
        <w:t>BP</w:t>
      </w:r>
      <w:r>
        <w:rPr>
          <w:b/>
          <w:i/>
          <w:spacing w:val="-4"/>
          <w:sz w:val="22"/>
        </w:rPr>
        <w:t> </w:t>
      </w:r>
      <w:r>
        <w:rPr>
          <w:b/>
          <w:i/>
          <w:sz w:val="22"/>
        </w:rPr>
        <w:t>4</w:t>
      </w:r>
      <w:r>
        <w:rPr>
          <w:b/>
          <w:i/>
          <w:spacing w:val="-5"/>
          <w:sz w:val="22"/>
        </w:rPr>
        <w:t> </w:t>
      </w:r>
      <w:r>
        <w:rPr>
          <w:b/>
          <w:i/>
          <w:sz w:val="22"/>
        </w:rPr>
        <w:t>and</w:t>
      </w:r>
      <w:r>
        <w:rPr>
          <w:b/>
          <w:i/>
          <w:spacing w:val="-3"/>
          <w:sz w:val="22"/>
        </w:rPr>
        <w:t> </w:t>
      </w:r>
      <w:r>
        <w:rPr>
          <w:b/>
          <w:i/>
          <w:sz w:val="22"/>
        </w:rPr>
        <w:t>run</w:t>
      </w:r>
      <w:r>
        <w:rPr>
          <w:b/>
          <w:i/>
          <w:spacing w:val="-3"/>
          <w:sz w:val="22"/>
        </w:rPr>
        <w:t> </w:t>
      </w:r>
      <w:r>
        <w:rPr>
          <w:b/>
          <w:i/>
          <w:sz w:val="22"/>
        </w:rPr>
        <w:t>Wilcoxon</w:t>
      </w:r>
      <w:r>
        <w:rPr>
          <w:b/>
          <w:i/>
          <w:spacing w:val="-6"/>
          <w:sz w:val="22"/>
        </w:rPr>
        <w:t> </w:t>
      </w:r>
      <w:r>
        <w:rPr>
          <w:b/>
          <w:i/>
          <w:sz w:val="22"/>
        </w:rPr>
        <w:t>rank-sum</w:t>
      </w:r>
      <w:r>
        <w:rPr>
          <w:b/>
          <w:i/>
          <w:spacing w:val="-1"/>
          <w:sz w:val="22"/>
        </w:rPr>
        <w:t> </w:t>
      </w:r>
      <w:r>
        <w:rPr>
          <w:b/>
          <w:i/>
          <w:spacing w:val="-4"/>
          <w:sz w:val="22"/>
        </w:rPr>
        <w:t>test</w:t>
      </w:r>
    </w:p>
    <w:p>
      <w:pPr>
        <w:pStyle w:val="BodyText"/>
        <w:spacing w:before="6"/>
        <w:rPr>
          <w:b/>
          <w:i/>
          <w:sz w:val="19"/>
        </w:rPr>
      </w:pPr>
    </w:p>
    <w:p>
      <w:pPr>
        <w:spacing w:line="240" w:lineRule="auto" w:before="0"/>
        <w:ind w:left="1219" w:right="1091" w:firstLine="0"/>
        <w:jc w:val="both"/>
        <w:rPr>
          <w:sz w:val="22"/>
        </w:rPr>
      </w:pPr>
      <w:r>
        <w:rPr>
          <w:sz w:val="22"/>
        </w:rPr>
        <w:t>After calculating the BP4 aggregate domain scores using the same method utilized to calculate BP 1-3 domain</w:t>
      </w:r>
      <w:r>
        <w:rPr>
          <w:spacing w:val="-6"/>
          <w:sz w:val="22"/>
        </w:rPr>
        <w:t> </w:t>
      </w:r>
      <w:r>
        <w:rPr>
          <w:sz w:val="22"/>
        </w:rPr>
        <w:t>scores</w:t>
      </w:r>
      <w:r>
        <w:rPr>
          <w:spacing w:val="-8"/>
          <w:sz w:val="22"/>
        </w:rPr>
        <w:t> </w:t>
      </w:r>
      <w:r>
        <w:rPr>
          <w:sz w:val="22"/>
        </w:rPr>
        <w:t>(see</w:t>
      </w:r>
      <w:r>
        <w:rPr>
          <w:spacing w:val="-8"/>
          <w:sz w:val="22"/>
        </w:rPr>
        <w:t> </w:t>
      </w:r>
      <w:r>
        <w:rPr>
          <w:sz w:val="22"/>
        </w:rPr>
        <w:t>above),</w:t>
      </w:r>
      <w:r>
        <w:rPr>
          <w:spacing w:val="-9"/>
          <w:sz w:val="22"/>
        </w:rPr>
        <w:t> </w:t>
      </w:r>
      <w:r>
        <w:rPr>
          <w:sz w:val="22"/>
        </w:rPr>
        <w:t>the</w:t>
      </w:r>
      <w:r>
        <w:rPr>
          <w:spacing w:val="-6"/>
          <w:sz w:val="22"/>
        </w:rPr>
        <w:t> </w:t>
      </w:r>
      <w:r>
        <w:rPr>
          <w:sz w:val="22"/>
        </w:rPr>
        <w:t>State</w:t>
      </w:r>
      <w:r>
        <w:rPr>
          <w:spacing w:val="-6"/>
          <w:sz w:val="22"/>
        </w:rPr>
        <w:t> </w:t>
      </w:r>
      <w:r>
        <w:rPr>
          <w:sz w:val="22"/>
        </w:rPr>
        <w:t>will</w:t>
      </w:r>
      <w:r>
        <w:rPr>
          <w:spacing w:val="-7"/>
          <w:sz w:val="22"/>
        </w:rPr>
        <w:t> </w:t>
      </w:r>
      <w:r>
        <w:rPr>
          <w:sz w:val="22"/>
        </w:rPr>
        <w:t>run</w:t>
      </w:r>
      <w:r>
        <w:rPr>
          <w:spacing w:val="-6"/>
          <w:sz w:val="22"/>
        </w:rPr>
        <w:t> </w:t>
      </w:r>
      <w:r>
        <w:rPr>
          <w:sz w:val="22"/>
        </w:rPr>
        <w:t>a</w:t>
      </w:r>
      <w:r>
        <w:rPr>
          <w:spacing w:val="-8"/>
          <w:sz w:val="22"/>
        </w:rPr>
        <w:t> </w:t>
      </w:r>
      <w:r>
        <w:rPr>
          <w:sz w:val="22"/>
        </w:rPr>
        <w:t>two-tailed,</w:t>
      </w:r>
      <w:r>
        <w:rPr>
          <w:spacing w:val="-6"/>
          <w:sz w:val="22"/>
        </w:rPr>
        <w:t> </w:t>
      </w:r>
      <w:r>
        <w:rPr>
          <w:sz w:val="22"/>
        </w:rPr>
        <w:t>unmatched,</w:t>
      </w:r>
      <w:r>
        <w:rPr>
          <w:spacing w:val="-9"/>
          <w:sz w:val="22"/>
        </w:rPr>
        <w:t> </w:t>
      </w:r>
      <w:r>
        <w:rPr>
          <w:sz w:val="22"/>
        </w:rPr>
        <w:t>Wilcoxon</w:t>
      </w:r>
      <w:r>
        <w:rPr>
          <w:spacing w:val="-9"/>
          <w:sz w:val="22"/>
        </w:rPr>
        <w:t> </w:t>
      </w:r>
      <w:r>
        <w:rPr>
          <w:sz w:val="22"/>
        </w:rPr>
        <w:t>rank-sum</w:t>
      </w:r>
      <w:r>
        <w:rPr>
          <w:spacing w:val="-10"/>
          <w:sz w:val="22"/>
        </w:rPr>
        <w:t> </w:t>
      </w:r>
      <w:r>
        <w:rPr>
          <w:sz w:val="22"/>
        </w:rPr>
        <w:t>test</w:t>
      </w:r>
      <w:r>
        <w:rPr>
          <w:spacing w:val="-8"/>
          <w:sz w:val="22"/>
        </w:rPr>
        <w:t> </w:t>
      </w:r>
      <w:r>
        <w:rPr>
          <w:sz w:val="22"/>
        </w:rPr>
        <w:t>(hereinafter “Wilcoxon test”) to compare each aggregate domain score from BP 4 against its associated pooled aggregate domain score from BP 1-3.</w:t>
      </w:r>
      <w:r>
        <w:rPr>
          <w:spacing w:val="40"/>
          <w:sz w:val="22"/>
        </w:rPr>
        <w:t> </w:t>
      </w:r>
      <w:r>
        <w:rPr>
          <w:sz w:val="22"/>
        </w:rPr>
        <w:t>The p-value from this test will indicate whether in BP4 the quality domain score is better and statistically significant (p&lt;0.05, receives 100% score), worse and statistically significant</w:t>
      </w:r>
      <w:r>
        <w:rPr>
          <w:spacing w:val="-8"/>
          <w:sz w:val="22"/>
        </w:rPr>
        <w:t> </w:t>
      </w:r>
      <w:r>
        <w:rPr>
          <w:sz w:val="22"/>
        </w:rPr>
        <w:t>(p&lt;0.05,</w:t>
      </w:r>
      <w:r>
        <w:rPr>
          <w:spacing w:val="-9"/>
          <w:sz w:val="22"/>
        </w:rPr>
        <w:t> </w:t>
      </w:r>
      <w:r>
        <w:rPr>
          <w:sz w:val="22"/>
        </w:rPr>
        <w:t>receives</w:t>
      </w:r>
      <w:r>
        <w:rPr>
          <w:spacing w:val="-7"/>
          <w:sz w:val="22"/>
        </w:rPr>
        <w:t> </w:t>
      </w:r>
      <w:r>
        <w:rPr>
          <w:sz w:val="22"/>
        </w:rPr>
        <w:t>0%</w:t>
      </w:r>
      <w:r>
        <w:rPr>
          <w:spacing w:val="-9"/>
          <w:sz w:val="22"/>
        </w:rPr>
        <w:t> </w:t>
      </w:r>
      <w:r>
        <w:rPr>
          <w:sz w:val="22"/>
        </w:rPr>
        <w:t>score)</w:t>
      </w:r>
      <w:r>
        <w:rPr>
          <w:spacing w:val="-6"/>
          <w:sz w:val="22"/>
        </w:rPr>
        <w:t> </w:t>
      </w:r>
      <w:r>
        <w:rPr>
          <w:sz w:val="22"/>
        </w:rPr>
        <w:t>or</w:t>
      </w:r>
      <w:r>
        <w:rPr>
          <w:spacing w:val="-6"/>
          <w:sz w:val="22"/>
        </w:rPr>
        <w:t> </w:t>
      </w:r>
      <w:r>
        <w:rPr>
          <w:sz w:val="22"/>
        </w:rPr>
        <w:t>not</w:t>
      </w:r>
      <w:r>
        <w:rPr>
          <w:spacing w:val="-6"/>
          <w:sz w:val="22"/>
        </w:rPr>
        <w:t> </w:t>
      </w:r>
      <w:r>
        <w:rPr>
          <w:sz w:val="22"/>
        </w:rPr>
        <w:t>statistically</w:t>
      </w:r>
      <w:r>
        <w:rPr>
          <w:spacing w:val="-9"/>
          <w:sz w:val="22"/>
        </w:rPr>
        <w:t> </w:t>
      </w:r>
      <w:r>
        <w:rPr>
          <w:sz w:val="22"/>
        </w:rPr>
        <w:t>different</w:t>
      </w:r>
      <w:r>
        <w:rPr>
          <w:spacing w:val="-8"/>
          <w:sz w:val="22"/>
        </w:rPr>
        <w:t> </w:t>
      </w:r>
      <w:r>
        <w:rPr>
          <w:sz w:val="22"/>
        </w:rPr>
        <w:t>(p≥0.05,</w:t>
      </w:r>
      <w:r>
        <w:rPr>
          <w:spacing w:val="-9"/>
          <w:sz w:val="22"/>
        </w:rPr>
        <w:t> </w:t>
      </w:r>
      <w:r>
        <w:rPr>
          <w:sz w:val="22"/>
        </w:rPr>
        <w:t>receives</w:t>
      </w:r>
      <w:r>
        <w:rPr>
          <w:spacing w:val="-7"/>
          <w:sz w:val="22"/>
        </w:rPr>
        <w:t> </w:t>
      </w:r>
      <w:r>
        <w:rPr>
          <w:sz w:val="22"/>
        </w:rPr>
        <w:t>100%</w:t>
      </w:r>
      <w:r>
        <w:rPr>
          <w:spacing w:val="-9"/>
          <w:sz w:val="22"/>
        </w:rPr>
        <w:t> </w:t>
      </w:r>
      <w:r>
        <w:rPr>
          <w:sz w:val="22"/>
        </w:rPr>
        <w:t>score)</w:t>
      </w:r>
      <w:r>
        <w:rPr>
          <w:spacing w:val="-9"/>
          <w:sz w:val="22"/>
        </w:rPr>
        <w:t> </w:t>
      </w:r>
      <w:r>
        <w:rPr>
          <w:sz w:val="22"/>
        </w:rPr>
        <w:t>from</w:t>
      </w:r>
      <w:r>
        <w:rPr>
          <w:spacing w:val="-11"/>
          <w:sz w:val="22"/>
        </w:rPr>
        <w:t> </w:t>
      </w:r>
      <w:r>
        <w:rPr>
          <w:sz w:val="22"/>
        </w:rPr>
        <w:t>BP </w:t>
      </w:r>
      <w:r>
        <w:rPr>
          <w:spacing w:val="-4"/>
          <w:sz w:val="22"/>
        </w:rPr>
        <w:t>1-3.</w:t>
      </w:r>
    </w:p>
    <w:p>
      <w:pPr>
        <w:pStyle w:val="BodyText"/>
      </w:pPr>
    </w:p>
    <w:p>
      <w:pPr>
        <w:pStyle w:val="BodyText"/>
        <w:rPr>
          <w:sz w:val="19"/>
        </w:rPr>
      </w:pPr>
    </w:p>
    <w:p>
      <w:pPr>
        <w:spacing w:before="0"/>
        <w:ind w:left="1219" w:right="1095" w:firstLine="0"/>
        <w:jc w:val="both"/>
        <w:rPr>
          <w:sz w:val="22"/>
        </w:rPr>
      </w:pPr>
      <w:r>
        <w:rPr>
          <w:b/>
          <w:sz w:val="22"/>
        </w:rPr>
        <w:t>EXHIBIT</w:t>
      </w:r>
      <w:r>
        <w:rPr>
          <w:b/>
          <w:spacing w:val="-4"/>
          <w:sz w:val="22"/>
        </w:rPr>
        <w:t> </w:t>
      </w:r>
      <w:r>
        <w:rPr>
          <w:b/>
          <w:sz w:val="22"/>
        </w:rPr>
        <w:t>A6</w:t>
      </w:r>
      <w:r>
        <w:rPr>
          <w:b/>
          <w:spacing w:val="-3"/>
          <w:sz w:val="22"/>
        </w:rPr>
        <w:t> </w:t>
      </w:r>
      <w:r>
        <w:rPr>
          <w:sz w:val="22"/>
        </w:rPr>
        <w:t>–Wilcoxon</w:t>
      </w:r>
      <w:r>
        <w:rPr>
          <w:spacing w:val="-6"/>
          <w:sz w:val="22"/>
        </w:rPr>
        <w:t> </w:t>
      </w:r>
      <w:r>
        <w:rPr>
          <w:sz w:val="22"/>
        </w:rPr>
        <w:t>testing</w:t>
      </w:r>
      <w:r>
        <w:rPr>
          <w:spacing w:val="-6"/>
          <w:sz w:val="22"/>
        </w:rPr>
        <w:t> </w:t>
      </w:r>
      <w:r>
        <w:rPr>
          <w:sz w:val="22"/>
        </w:rPr>
        <w:t>of</w:t>
      </w:r>
      <w:r>
        <w:rPr>
          <w:spacing w:val="-2"/>
          <w:sz w:val="22"/>
        </w:rPr>
        <w:t> </w:t>
      </w:r>
      <w:r>
        <w:rPr>
          <w:sz w:val="22"/>
        </w:rPr>
        <w:t>BP</w:t>
      </w:r>
      <w:r>
        <w:rPr>
          <w:spacing w:val="-6"/>
          <w:sz w:val="22"/>
        </w:rPr>
        <w:t> </w:t>
      </w:r>
      <w:r>
        <w:rPr>
          <w:sz w:val="22"/>
        </w:rPr>
        <w:t>4</w:t>
      </w:r>
      <w:r>
        <w:rPr>
          <w:spacing w:val="-3"/>
          <w:sz w:val="22"/>
        </w:rPr>
        <w:t> </w:t>
      </w:r>
      <w:r>
        <w:rPr>
          <w:sz w:val="22"/>
        </w:rPr>
        <w:t>Aggregate</w:t>
      </w:r>
      <w:r>
        <w:rPr>
          <w:spacing w:val="-3"/>
          <w:sz w:val="22"/>
        </w:rPr>
        <w:t> </w:t>
      </w:r>
      <w:r>
        <w:rPr>
          <w:sz w:val="22"/>
        </w:rPr>
        <w:t>Domain</w:t>
      </w:r>
      <w:r>
        <w:rPr>
          <w:spacing w:val="-3"/>
          <w:sz w:val="22"/>
        </w:rPr>
        <w:t> </w:t>
      </w:r>
      <w:r>
        <w:rPr>
          <w:sz w:val="22"/>
        </w:rPr>
        <w:t>Scores</w:t>
      </w:r>
      <w:r>
        <w:rPr>
          <w:spacing w:val="-3"/>
          <w:sz w:val="22"/>
        </w:rPr>
        <w:t> </w:t>
      </w:r>
      <w:r>
        <w:rPr>
          <w:sz w:val="22"/>
        </w:rPr>
        <w:t>vs</w:t>
      </w:r>
      <w:r>
        <w:rPr>
          <w:spacing w:val="-3"/>
          <w:sz w:val="22"/>
        </w:rPr>
        <w:t> </w:t>
      </w:r>
      <w:r>
        <w:rPr>
          <w:sz w:val="22"/>
        </w:rPr>
        <w:t>BP</w:t>
      </w:r>
      <w:r>
        <w:rPr>
          <w:spacing w:val="-4"/>
          <w:sz w:val="22"/>
        </w:rPr>
        <w:t> </w:t>
      </w:r>
      <w:r>
        <w:rPr>
          <w:sz w:val="22"/>
        </w:rPr>
        <w:t>1-2</w:t>
      </w:r>
      <w:r>
        <w:rPr>
          <w:spacing w:val="-3"/>
          <w:sz w:val="22"/>
        </w:rPr>
        <w:t> </w:t>
      </w:r>
      <w:r>
        <w:rPr>
          <w:sz w:val="22"/>
        </w:rPr>
        <w:t>Pooled</w:t>
      </w:r>
      <w:r>
        <w:rPr>
          <w:spacing w:val="-3"/>
          <w:sz w:val="22"/>
        </w:rPr>
        <w:t> </w:t>
      </w:r>
      <w:r>
        <w:rPr>
          <w:sz w:val="22"/>
        </w:rPr>
        <w:t>Aggregate</w:t>
      </w:r>
      <w:r>
        <w:rPr>
          <w:spacing w:val="-3"/>
          <w:sz w:val="22"/>
        </w:rPr>
        <w:t> </w:t>
      </w:r>
      <w:r>
        <w:rPr>
          <w:sz w:val="22"/>
        </w:rPr>
        <w:t>Domain </w:t>
      </w:r>
      <w:r>
        <w:rPr>
          <w:spacing w:val="-2"/>
          <w:sz w:val="22"/>
        </w:rPr>
        <w:t>Scores</w:t>
      </w:r>
    </w:p>
    <w:p>
      <w:pPr>
        <w:pStyle w:val="BodyText"/>
        <w:spacing w:before="4"/>
        <w:rPr>
          <w:sz w:val="8"/>
        </w:rPr>
      </w:pPr>
      <w:r>
        <w:rPr/>
        <mc:AlternateContent>
          <mc:Choice Requires="wps">
            <w:drawing>
              <wp:anchor distT="0" distB="0" distL="0" distR="0" allowOverlap="1" layoutInCell="1" locked="0" behindDoc="1" simplePos="0" relativeHeight="488031232">
                <wp:simplePos x="0" y="0"/>
                <wp:positionH relativeFrom="page">
                  <wp:posOffset>295656</wp:posOffset>
                </wp:positionH>
                <wp:positionV relativeFrom="paragraph">
                  <wp:posOffset>76330</wp:posOffset>
                </wp:positionV>
                <wp:extent cx="7181215" cy="6350"/>
                <wp:effectExtent l="0" t="0" r="0" b="0"/>
                <wp:wrapTopAndBottom/>
                <wp:docPr id="946" name="Graphic 946"/>
                <wp:cNvGraphicFramePr>
                  <a:graphicFrameLocks/>
                </wp:cNvGraphicFramePr>
                <a:graphic>
                  <a:graphicData uri="http://schemas.microsoft.com/office/word/2010/wordprocessingShape">
                    <wps:wsp>
                      <wps:cNvPr id="946" name="Graphic 946"/>
                      <wps:cNvSpPr/>
                      <wps:spPr>
                        <a:xfrm>
                          <a:off x="0" y="0"/>
                          <a:ext cx="7181215" cy="6350"/>
                        </a:xfrm>
                        <a:custGeom>
                          <a:avLst/>
                          <a:gdLst/>
                          <a:ahLst/>
                          <a:cxnLst/>
                          <a:rect l="l" t="t" r="r" b="b"/>
                          <a:pathLst>
                            <a:path w="7181215" h="6350">
                              <a:moveTo>
                                <a:pt x="7181075" y="0"/>
                              </a:moveTo>
                              <a:lnTo>
                                <a:pt x="0" y="0"/>
                              </a:lnTo>
                              <a:lnTo>
                                <a:pt x="0" y="6108"/>
                              </a:lnTo>
                              <a:lnTo>
                                <a:pt x="7181075" y="6108"/>
                              </a:lnTo>
                              <a:lnTo>
                                <a:pt x="71810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3.280001pt;margin-top:6.010279pt;width:565.439pt;height:.481pt;mso-position-horizontal-relative:page;mso-position-vertical-relative:paragraph;z-index:-15285248;mso-wrap-distance-left:0;mso-wrap-distance-right:0" id="docshape161" filled="true" fillcolor="#000000" stroked="false">
                <v:fill type="solid"/>
                <w10:wrap type="topAndBottom"/>
              </v:rect>
            </w:pict>
          </mc:Fallback>
        </mc:AlternateContent>
      </w:r>
    </w:p>
    <w:p>
      <w:pPr>
        <w:pStyle w:val="BodyText"/>
        <w:rPr>
          <w:sz w:val="20"/>
        </w:rPr>
      </w:pPr>
    </w:p>
    <w:p>
      <w:pPr>
        <w:pStyle w:val="BodyText"/>
        <w:spacing w:before="6"/>
        <w:rPr>
          <w:sz w:val="12"/>
        </w:rPr>
      </w:pPr>
    </w:p>
    <w:tbl>
      <w:tblPr>
        <w:tblW w:w="0" w:type="auto"/>
        <w:jc w:val="left"/>
        <w:tblInd w:w="363"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942"/>
        <w:gridCol w:w="1378"/>
        <w:gridCol w:w="946"/>
        <w:gridCol w:w="886"/>
        <w:gridCol w:w="1085"/>
        <w:gridCol w:w="1087"/>
        <w:gridCol w:w="2052"/>
        <w:gridCol w:w="946"/>
        <w:gridCol w:w="764"/>
      </w:tblGrid>
      <w:tr>
        <w:trPr>
          <w:trHeight w:val="383" w:hRule="atLeast"/>
        </w:trPr>
        <w:tc>
          <w:tcPr>
            <w:tcW w:w="1942" w:type="dxa"/>
            <w:shd w:val="clear" w:color="auto" w:fill="1F487C"/>
          </w:tcPr>
          <w:p>
            <w:pPr>
              <w:pStyle w:val="TableParagraph"/>
              <w:spacing w:before="2"/>
              <w:ind w:left="122" w:right="116"/>
              <w:jc w:val="center"/>
              <w:rPr>
                <w:b/>
                <w:sz w:val="18"/>
              </w:rPr>
            </w:pPr>
            <w:r>
              <w:rPr>
                <w:b/>
                <w:color w:val="FFFFFF"/>
                <w:sz w:val="18"/>
              </w:rPr>
              <w:t>Budget</w:t>
            </w:r>
            <w:r>
              <w:rPr>
                <w:b/>
                <w:color w:val="FFFFFF"/>
                <w:spacing w:val="-4"/>
                <w:sz w:val="18"/>
              </w:rPr>
              <w:t> </w:t>
            </w:r>
            <w:r>
              <w:rPr>
                <w:b/>
                <w:color w:val="FFFFFF"/>
                <w:spacing w:val="-2"/>
                <w:sz w:val="18"/>
              </w:rPr>
              <w:t>Period</w:t>
            </w:r>
          </w:p>
        </w:tc>
        <w:tc>
          <w:tcPr>
            <w:tcW w:w="1378" w:type="dxa"/>
            <w:shd w:val="clear" w:color="auto" w:fill="1F487C"/>
          </w:tcPr>
          <w:p>
            <w:pPr>
              <w:pStyle w:val="TableParagraph"/>
              <w:spacing w:before="2"/>
              <w:ind w:left="124" w:right="117"/>
              <w:jc w:val="center"/>
              <w:rPr>
                <w:b/>
                <w:sz w:val="18"/>
              </w:rPr>
            </w:pPr>
            <w:r>
              <w:rPr>
                <w:b/>
                <w:color w:val="FFFFFF"/>
                <w:sz w:val="18"/>
              </w:rPr>
              <w:t>BP</w:t>
            </w:r>
            <w:r>
              <w:rPr>
                <w:b/>
                <w:color w:val="FFFFFF"/>
                <w:spacing w:val="1"/>
                <w:sz w:val="18"/>
              </w:rPr>
              <w:t> </w:t>
            </w:r>
            <w:r>
              <w:rPr>
                <w:b/>
                <w:color w:val="FFFFFF"/>
                <w:sz w:val="18"/>
              </w:rPr>
              <w:t>1-</w:t>
            </w:r>
            <w:r>
              <w:rPr>
                <w:b/>
                <w:color w:val="FFFFFF"/>
                <w:spacing w:val="-10"/>
                <w:sz w:val="18"/>
              </w:rPr>
              <w:t>2</w:t>
            </w:r>
          </w:p>
        </w:tc>
        <w:tc>
          <w:tcPr>
            <w:tcW w:w="4004" w:type="dxa"/>
            <w:gridSpan w:val="4"/>
            <w:shd w:val="clear" w:color="auto" w:fill="1F487C"/>
          </w:tcPr>
          <w:p>
            <w:pPr>
              <w:pStyle w:val="TableParagraph"/>
              <w:spacing w:before="2"/>
              <w:ind w:left="1803" w:right="1795"/>
              <w:jc w:val="center"/>
              <w:rPr>
                <w:b/>
                <w:sz w:val="18"/>
              </w:rPr>
            </w:pPr>
            <w:r>
              <w:rPr>
                <w:b/>
                <w:color w:val="FFFFFF"/>
                <w:sz w:val="18"/>
              </w:rPr>
              <w:t>BP </w:t>
            </w:r>
            <w:r>
              <w:rPr>
                <w:b/>
                <w:color w:val="FFFFFF"/>
                <w:spacing w:val="-10"/>
                <w:sz w:val="18"/>
              </w:rPr>
              <w:t>4</w:t>
            </w:r>
          </w:p>
        </w:tc>
        <w:tc>
          <w:tcPr>
            <w:tcW w:w="3762" w:type="dxa"/>
            <w:gridSpan w:val="3"/>
            <w:vMerge w:val="restart"/>
            <w:shd w:val="clear" w:color="auto" w:fill="BEBEBE"/>
          </w:tcPr>
          <w:p>
            <w:pPr>
              <w:pStyle w:val="TableParagraph"/>
              <w:spacing w:before="155"/>
              <w:ind w:left="125" w:right="121"/>
              <w:jc w:val="center"/>
              <w:rPr>
                <w:sz w:val="18"/>
              </w:rPr>
            </w:pPr>
            <w:r>
              <w:rPr>
                <w:sz w:val="18"/>
              </w:rPr>
              <w:t>Wilcoxon</w:t>
            </w:r>
            <w:r>
              <w:rPr>
                <w:spacing w:val="-7"/>
                <w:sz w:val="18"/>
              </w:rPr>
              <w:t> </w:t>
            </w:r>
            <w:r>
              <w:rPr>
                <w:sz w:val="18"/>
              </w:rPr>
              <w:t>test</w:t>
            </w:r>
            <w:r>
              <w:rPr>
                <w:spacing w:val="-8"/>
                <w:sz w:val="18"/>
              </w:rPr>
              <w:t> </w:t>
            </w:r>
            <w:r>
              <w:rPr>
                <w:sz w:val="18"/>
              </w:rPr>
              <w:t>comparing</w:t>
            </w:r>
            <w:r>
              <w:rPr>
                <w:spacing w:val="-9"/>
                <w:sz w:val="18"/>
              </w:rPr>
              <w:t> </w:t>
            </w:r>
            <w:r>
              <w:rPr>
                <w:sz w:val="18"/>
              </w:rPr>
              <w:t>BP4</w:t>
            </w:r>
            <w:r>
              <w:rPr>
                <w:spacing w:val="-7"/>
                <w:sz w:val="18"/>
              </w:rPr>
              <w:t> </w:t>
            </w:r>
            <w:r>
              <w:rPr>
                <w:sz w:val="18"/>
              </w:rPr>
              <w:t>aggregate</w:t>
            </w:r>
            <w:r>
              <w:rPr>
                <w:spacing w:val="-9"/>
                <w:sz w:val="18"/>
              </w:rPr>
              <w:t> </w:t>
            </w:r>
            <w:r>
              <w:rPr>
                <w:sz w:val="18"/>
              </w:rPr>
              <w:t>domain scores vs. pooled aggregate BP 1-2 domain </w:t>
            </w:r>
            <w:r>
              <w:rPr>
                <w:spacing w:val="-2"/>
                <w:sz w:val="18"/>
              </w:rPr>
              <w:t>scores</w:t>
            </w:r>
          </w:p>
        </w:tc>
      </w:tr>
      <w:tr>
        <w:trPr>
          <w:trHeight w:val="539" w:hRule="atLeast"/>
        </w:trPr>
        <w:tc>
          <w:tcPr>
            <w:tcW w:w="1942" w:type="dxa"/>
            <w:shd w:val="clear" w:color="auto" w:fill="F1F1F1"/>
          </w:tcPr>
          <w:p>
            <w:pPr>
              <w:pStyle w:val="TableParagraph"/>
              <w:rPr>
                <w:sz w:val="20"/>
              </w:rPr>
            </w:pPr>
          </w:p>
        </w:tc>
        <w:tc>
          <w:tcPr>
            <w:tcW w:w="1378" w:type="dxa"/>
            <w:shd w:val="clear" w:color="auto" w:fill="F1F1F1"/>
          </w:tcPr>
          <w:p>
            <w:pPr>
              <w:pStyle w:val="TableParagraph"/>
              <w:spacing w:before="62"/>
              <w:ind w:left="369" w:right="356" w:firstLine="112"/>
              <w:rPr>
                <w:b/>
                <w:sz w:val="18"/>
              </w:rPr>
            </w:pPr>
            <w:r>
              <w:rPr>
                <w:b/>
                <w:spacing w:val="-2"/>
                <w:sz w:val="18"/>
              </w:rPr>
              <w:t>Total </w:t>
            </w:r>
            <w:r>
              <w:rPr>
                <w:b/>
                <w:sz w:val="18"/>
              </w:rPr>
              <w:t>(BP</w:t>
            </w:r>
            <w:r>
              <w:rPr>
                <w:b/>
                <w:spacing w:val="-12"/>
                <w:sz w:val="18"/>
              </w:rPr>
              <w:t> </w:t>
            </w:r>
            <w:r>
              <w:rPr>
                <w:b/>
                <w:sz w:val="18"/>
              </w:rPr>
              <w:t>1-2)</w:t>
            </w:r>
          </w:p>
        </w:tc>
        <w:tc>
          <w:tcPr>
            <w:tcW w:w="946" w:type="dxa"/>
            <w:shd w:val="clear" w:color="auto" w:fill="F1F1F1"/>
          </w:tcPr>
          <w:p>
            <w:pPr>
              <w:pStyle w:val="TableParagraph"/>
              <w:spacing w:before="165"/>
              <w:ind w:left="190" w:right="186"/>
              <w:jc w:val="center"/>
              <w:rPr>
                <w:b/>
                <w:sz w:val="18"/>
              </w:rPr>
            </w:pPr>
            <w:r>
              <w:rPr>
                <w:b/>
                <w:sz w:val="18"/>
              </w:rPr>
              <w:t>ACO</w:t>
            </w:r>
            <w:r>
              <w:rPr>
                <w:b/>
                <w:spacing w:val="-5"/>
                <w:sz w:val="18"/>
              </w:rPr>
              <w:t> </w:t>
            </w:r>
            <w:r>
              <w:rPr>
                <w:b/>
                <w:spacing w:val="-10"/>
                <w:sz w:val="18"/>
              </w:rPr>
              <w:t>1</w:t>
            </w:r>
          </w:p>
        </w:tc>
        <w:tc>
          <w:tcPr>
            <w:tcW w:w="886" w:type="dxa"/>
            <w:shd w:val="clear" w:color="auto" w:fill="F1F1F1"/>
          </w:tcPr>
          <w:p>
            <w:pPr>
              <w:pStyle w:val="TableParagraph"/>
              <w:spacing w:before="165"/>
              <w:ind w:left="160" w:right="155"/>
              <w:jc w:val="center"/>
              <w:rPr>
                <w:b/>
                <w:sz w:val="18"/>
              </w:rPr>
            </w:pPr>
            <w:r>
              <w:rPr>
                <w:b/>
                <w:sz w:val="18"/>
              </w:rPr>
              <w:t>ACO</w:t>
            </w:r>
            <w:r>
              <w:rPr>
                <w:b/>
                <w:spacing w:val="-5"/>
                <w:sz w:val="18"/>
              </w:rPr>
              <w:t> </w:t>
            </w:r>
            <w:r>
              <w:rPr>
                <w:b/>
                <w:spacing w:val="-10"/>
                <w:sz w:val="18"/>
              </w:rPr>
              <w:t>2</w:t>
            </w:r>
          </w:p>
        </w:tc>
        <w:tc>
          <w:tcPr>
            <w:tcW w:w="1085" w:type="dxa"/>
            <w:shd w:val="clear" w:color="auto" w:fill="F1F1F1"/>
          </w:tcPr>
          <w:p>
            <w:pPr>
              <w:pStyle w:val="TableParagraph"/>
              <w:spacing w:before="165"/>
              <w:ind w:left="115" w:right="113"/>
              <w:jc w:val="center"/>
              <w:rPr>
                <w:b/>
                <w:sz w:val="18"/>
              </w:rPr>
            </w:pPr>
            <w:r>
              <w:rPr>
                <w:b/>
                <w:sz w:val="18"/>
              </w:rPr>
              <w:t>ACO</w:t>
            </w:r>
            <w:r>
              <w:rPr>
                <w:b/>
                <w:spacing w:val="-5"/>
                <w:sz w:val="18"/>
              </w:rPr>
              <w:t> </w:t>
            </w:r>
            <w:r>
              <w:rPr>
                <w:b/>
                <w:spacing w:val="-10"/>
                <w:sz w:val="18"/>
              </w:rPr>
              <w:t>3</w:t>
            </w:r>
          </w:p>
        </w:tc>
        <w:tc>
          <w:tcPr>
            <w:tcW w:w="1087" w:type="dxa"/>
            <w:shd w:val="clear" w:color="auto" w:fill="F1F1F1"/>
          </w:tcPr>
          <w:p>
            <w:pPr>
              <w:pStyle w:val="TableParagraph"/>
              <w:spacing w:before="62"/>
              <w:ind w:left="297" w:right="285" w:firstLine="38"/>
              <w:rPr>
                <w:b/>
                <w:sz w:val="18"/>
              </w:rPr>
            </w:pPr>
            <w:r>
              <w:rPr>
                <w:b/>
                <w:spacing w:val="-4"/>
                <w:sz w:val="18"/>
              </w:rPr>
              <w:t>Total </w:t>
            </w:r>
            <w:r>
              <w:rPr>
                <w:b/>
                <w:sz w:val="18"/>
              </w:rPr>
              <w:t>(BP </w:t>
            </w:r>
            <w:r>
              <w:rPr>
                <w:b/>
                <w:spacing w:val="-5"/>
                <w:sz w:val="18"/>
              </w:rPr>
              <w:t>4)</w:t>
            </w:r>
          </w:p>
        </w:tc>
        <w:tc>
          <w:tcPr>
            <w:tcW w:w="3762" w:type="dxa"/>
            <w:gridSpan w:val="3"/>
            <w:vMerge/>
            <w:tcBorders>
              <w:top w:val="nil"/>
            </w:tcBorders>
            <w:shd w:val="clear" w:color="auto" w:fill="BEBEBE"/>
          </w:tcPr>
          <w:p>
            <w:pPr>
              <w:rPr>
                <w:sz w:val="2"/>
                <w:szCs w:val="2"/>
              </w:rPr>
            </w:pPr>
          </w:p>
        </w:tc>
      </w:tr>
      <w:tr>
        <w:trPr>
          <w:trHeight w:val="621" w:hRule="atLeast"/>
        </w:trPr>
        <w:tc>
          <w:tcPr>
            <w:tcW w:w="1942" w:type="dxa"/>
            <w:shd w:val="clear" w:color="auto" w:fill="F1F1F1"/>
          </w:tcPr>
          <w:p>
            <w:pPr>
              <w:pStyle w:val="TableParagraph"/>
              <w:spacing w:before="10"/>
              <w:rPr>
                <w:sz w:val="17"/>
              </w:rPr>
            </w:pPr>
          </w:p>
          <w:p>
            <w:pPr>
              <w:pStyle w:val="TableParagraph"/>
              <w:ind w:left="123" w:right="115"/>
              <w:jc w:val="center"/>
              <w:rPr>
                <w:sz w:val="18"/>
              </w:rPr>
            </w:pPr>
            <w:r>
              <w:rPr>
                <w:spacing w:val="-2"/>
                <w:sz w:val="18"/>
              </w:rPr>
              <w:t>Domains</w:t>
            </w:r>
          </w:p>
        </w:tc>
        <w:tc>
          <w:tcPr>
            <w:tcW w:w="1378" w:type="dxa"/>
            <w:shd w:val="clear" w:color="auto" w:fill="F1F1F1"/>
          </w:tcPr>
          <w:p>
            <w:pPr>
              <w:pStyle w:val="TableParagraph"/>
              <w:ind w:left="124" w:right="117"/>
              <w:jc w:val="center"/>
              <w:rPr>
                <w:sz w:val="18"/>
              </w:rPr>
            </w:pPr>
            <w:r>
              <w:rPr>
                <w:sz w:val="18"/>
              </w:rPr>
              <w:t>Pooled</w:t>
            </w:r>
            <w:r>
              <w:rPr>
                <w:spacing w:val="-12"/>
                <w:sz w:val="18"/>
              </w:rPr>
              <w:t> </w:t>
            </w:r>
            <w:r>
              <w:rPr>
                <w:sz w:val="18"/>
              </w:rPr>
              <w:t>Domain </w:t>
            </w:r>
            <w:r>
              <w:rPr>
                <w:spacing w:val="-2"/>
                <w:sz w:val="18"/>
              </w:rPr>
              <w:t>Score</w:t>
            </w:r>
          </w:p>
          <w:p>
            <w:pPr>
              <w:pStyle w:val="TableParagraph"/>
              <w:spacing w:line="187" w:lineRule="exact"/>
              <w:ind w:left="124" w:right="114"/>
              <w:jc w:val="center"/>
              <w:rPr>
                <w:sz w:val="18"/>
              </w:rPr>
            </w:pPr>
            <w:r>
              <w:rPr>
                <w:sz w:val="18"/>
              </w:rPr>
              <w:t>(BP</w:t>
            </w:r>
            <w:r>
              <w:rPr>
                <w:spacing w:val="-3"/>
                <w:sz w:val="18"/>
              </w:rPr>
              <w:t> </w:t>
            </w:r>
            <w:r>
              <w:rPr>
                <w:sz w:val="18"/>
              </w:rPr>
              <w:t>1-</w:t>
            </w:r>
            <w:r>
              <w:rPr>
                <w:spacing w:val="-5"/>
                <w:sz w:val="18"/>
              </w:rPr>
              <w:t>2)</w:t>
            </w:r>
          </w:p>
        </w:tc>
        <w:tc>
          <w:tcPr>
            <w:tcW w:w="2917" w:type="dxa"/>
            <w:gridSpan w:val="3"/>
            <w:shd w:val="clear" w:color="auto" w:fill="F1F1F1"/>
          </w:tcPr>
          <w:p>
            <w:pPr>
              <w:pStyle w:val="TableParagraph"/>
              <w:spacing w:before="10"/>
              <w:rPr>
                <w:sz w:val="17"/>
              </w:rPr>
            </w:pPr>
          </w:p>
          <w:p>
            <w:pPr>
              <w:pStyle w:val="TableParagraph"/>
              <w:ind w:left="903"/>
              <w:rPr>
                <w:sz w:val="18"/>
              </w:rPr>
            </w:pPr>
            <w:r>
              <w:rPr>
                <w:sz w:val="18"/>
              </w:rPr>
              <w:t>Domain</w:t>
            </w:r>
            <w:r>
              <w:rPr>
                <w:spacing w:val="-6"/>
                <w:sz w:val="18"/>
              </w:rPr>
              <w:t> </w:t>
            </w:r>
            <w:r>
              <w:rPr>
                <w:spacing w:val="-2"/>
                <w:sz w:val="18"/>
              </w:rPr>
              <w:t>Scores</w:t>
            </w:r>
          </w:p>
        </w:tc>
        <w:tc>
          <w:tcPr>
            <w:tcW w:w="1087" w:type="dxa"/>
            <w:shd w:val="clear" w:color="auto" w:fill="F1F1F1"/>
          </w:tcPr>
          <w:p>
            <w:pPr>
              <w:pStyle w:val="TableParagraph"/>
              <w:spacing w:line="206" w:lineRule="exact"/>
              <w:ind w:left="168" w:right="159"/>
              <w:jc w:val="center"/>
              <w:rPr>
                <w:sz w:val="18"/>
              </w:rPr>
            </w:pPr>
            <w:r>
              <w:rPr>
                <w:spacing w:val="-2"/>
                <w:sz w:val="18"/>
              </w:rPr>
              <w:t>Aggregate Domain Score</w:t>
            </w:r>
          </w:p>
        </w:tc>
        <w:tc>
          <w:tcPr>
            <w:tcW w:w="2052" w:type="dxa"/>
            <w:shd w:val="clear" w:color="auto" w:fill="F1F1F1"/>
          </w:tcPr>
          <w:p>
            <w:pPr>
              <w:pStyle w:val="TableParagraph"/>
              <w:spacing w:before="10"/>
              <w:rPr>
                <w:sz w:val="17"/>
              </w:rPr>
            </w:pPr>
          </w:p>
          <w:p>
            <w:pPr>
              <w:pStyle w:val="TableParagraph"/>
              <w:ind w:left="778" w:right="775"/>
              <w:jc w:val="center"/>
              <w:rPr>
                <w:sz w:val="18"/>
              </w:rPr>
            </w:pPr>
            <w:r>
              <w:rPr>
                <w:spacing w:val="-2"/>
                <w:sz w:val="18"/>
              </w:rPr>
              <w:t>Result</w:t>
            </w:r>
          </w:p>
        </w:tc>
        <w:tc>
          <w:tcPr>
            <w:tcW w:w="946" w:type="dxa"/>
            <w:shd w:val="clear" w:color="auto" w:fill="F1F1F1"/>
          </w:tcPr>
          <w:p>
            <w:pPr>
              <w:pStyle w:val="TableParagraph"/>
              <w:spacing w:line="206" w:lineRule="exact"/>
              <w:ind w:left="214"/>
              <w:rPr>
                <w:sz w:val="18"/>
              </w:rPr>
            </w:pPr>
            <w:r>
              <w:rPr>
                <w:spacing w:val="-2"/>
                <w:sz w:val="18"/>
              </w:rPr>
              <w:t>DSRIP</w:t>
            </w:r>
          </w:p>
          <w:p>
            <w:pPr>
              <w:pStyle w:val="TableParagraph"/>
              <w:spacing w:line="206" w:lineRule="exact"/>
              <w:ind w:left="264" w:right="168" w:hanging="84"/>
              <w:rPr>
                <w:sz w:val="18"/>
              </w:rPr>
            </w:pPr>
            <w:r>
              <w:rPr>
                <w:spacing w:val="-2"/>
                <w:sz w:val="18"/>
              </w:rPr>
              <w:t>Domain </w:t>
            </w:r>
            <w:r>
              <w:rPr>
                <w:spacing w:val="-4"/>
                <w:sz w:val="18"/>
              </w:rPr>
              <w:t>Score</w:t>
            </w:r>
          </w:p>
        </w:tc>
        <w:tc>
          <w:tcPr>
            <w:tcW w:w="764" w:type="dxa"/>
            <w:shd w:val="clear" w:color="auto" w:fill="F1F1F1"/>
          </w:tcPr>
          <w:p>
            <w:pPr>
              <w:pStyle w:val="TableParagraph"/>
              <w:spacing w:before="10"/>
              <w:rPr>
                <w:sz w:val="17"/>
              </w:rPr>
            </w:pPr>
          </w:p>
          <w:p>
            <w:pPr>
              <w:pStyle w:val="TableParagraph"/>
              <w:ind w:left="98" w:right="98"/>
              <w:jc w:val="center"/>
              <w:rPr>
                <w:sz w:val="18"/>
              </w:rPr>
            </w:pPr>
            <w:r>
              <w:rPr>
                <w:spacing w:val="-2"/>
                <w:sz w:val="18"/>
              </w:rPr>
              <w:t>Weight</w:t>
            </w:r>
          </w:p>
        </w:tc>
      </w:tr>
      <w:tr>
        <w:trPr>
          <w:trHeight w:val="606" w:hRule="atLeast"/>
        </w:trPr>
        <w:tc>
          <w:tcPr>
            <w:tcW w:w="1942" w:type="dxa"/>
            <w:shd w:val="clear" w:color="auto" w:fill="DCE6F0"/>
          </w:tcPr>
          <w:p>
            <w:pPr>
              <w:pStyle w:val="TableParagraph"/>
              <w:spacing w:before="3"/>
              <w:rPr>
                <w:sz w:val="17"/>
              </w:rPr>
            </w:pPr>
          </w:p>
          <w:p>
            <w:pPr>
              <w:pStyle w:val="TableParagraph"/>
              <w:ind w:left="123" w:right="116"/>
              <w:jc w:val="center"/>
              <w:rPr>
                <w:sz w:val="18"/>
              </w:rPr>
            </w:pPr>
            <w:r>
              <w:rPr>
                <w:sz w:val="18"/>
              </w:rPr>
              <w:t>Prevention &amp;</w:t>
            </w:r>
            <w:r>
              <w:rPr>
                <w:spacing w:val="-1"/>
                <w:sz w:val="18"/>
              </w:rPr>
              <w:t> </w:t>
            </w:r>
            <w:r>
              <w:rPr>
                <w:spacing w:val="-2"/>
                <w:sz w:val="18"/>
              </w:rPr>
              <w:t>Wellness</w:t>
            </w:r>
          </w:p>
        </w:tc>
        <w:tc>
          <w:tcPr>
            <w:tcW w:w="1378" w:type="dxa"/>
          </w:tcPr>
          <w:p>
            <w:pPr>
              <w:pStyle w:val="TableParagraph"/>
              <w:spacing w:before="3"/>
              <w:rPr>
                <w:sz w:val="17"/>
              </w:rPr>
            </w:pPr>
          </w:p>
          <w:p>
            <w:pPr>
              <w:pStyle w:val="TableParagraph"/>
              <w:ind w:left="124" w:right="114"/>
              <w:jc w:val="center"/>
              <w:rPr>
                <w:sz w:val="18"/>
              </w:rPr>
            </w:pPr>
            <w:r>
              <w:rPr>
                <w:spacing w:val="-5"/>
                <w:sz w:val="18"/>
              </w:rPr>
              <w:t>40%</w:t>
            </w:r>
          </w:p>
        </w:tc>
        <w:tc>
          <w:tcPr>
            <w:tcW w:w="946" w:type="dxa"/>
          </w:tcPr>
          <w:p>
            <w:pPr>
              <w:pStyle w:val="TableParagraph"/>
              <w:spacing w:before="3"/>
              <w:rPr>
                <w:sz w:val="17"/>
              </w:rPr>
            </w:pPr>
          </w:p>
          <w:p>
            <w:pPr>
              <w:pStyle w:val="TableParagraph"/>
              <w:ind w:left="190" w:right="180"/>
              <w:jc w:val="center"/>
              <w:rPr>
                <w:sz w:val="18"/>
              </w:rPr>
            </w:pPr>
            <w:r>
              <w:rPr>
                <w:spacing w:val="-5"/>
                <w:sz w:val="18"/>
              </w:rPr>
              <w:t>60%</w:t>
            </w:r>
          </w:p>
        </w:tc>
        <w:tc>
          <w:tcPr>
            <w:tcW w:w="886" w:type="dxa"/>
          </w:tcPr>
          <w:p>
            <w:pPr>
              <w:pStyle w:val="TableParagraph"/>
              <w:spacing w:before="3"/>
              <w:rPr>
                <w:sz w:val="17"/>
              </w:rPr>
            </w:pPr>
          </w:p>
          <w:p>
            <w:pPr>
              <w:pStyle w:val="TableParagraph"/>
              <w:ind w:left="160" w:right="148"/>
              <w:jc w:val="center"/>
              <w:rPr>
                <w:sz w:val="18"/>
              </w:rPr>
            </w:pPr>
            <w:r>
              <w:rPr>
                <w:spacing w:val="-5"/>
                <w:sz w:val="18"/>
              </w:rPr>
              <w:t>70%</w:t>
            </w:r>
          </w:p>
        </w:tc>
        <w:tc>
          <w:tcPr>
            <w:tcW w:w="1085" w:type="dxa"/>
          </w:tcPr>
          <w:p>
            <w:pPr>
              <w:pStyle w:val="TableParagraph"/>
              <w:spacing w:before="3"/>
              <w:rPr>
                <w:sz w:val="17"/>
              </w:rPr>
            </w:pPr>
          </w:p>
          <w:p>
            <w:pPr>
              <w:pStyle w:val="TableParagraph"/>
              <w:ind w:left="117" w:right="108"/>
              <w:jc w:val="center"/>
              <w:rPr>
                <w:sz w:val="18"/>
              </w:rPr>
            </w:pPr>
            <w:r>
              <w:rPr>
                <w:spacing w:val="-5"/>
                <w:sz w:val="18"/>
              </w:rPr>
              <w:t>75%</w:t>
            </w:r>
          </w:p>
        </w:tc>
        <w:tc>
          <w:tcPr>
            <w:tcW w:w="1087" w:type="dxa"/>
          </w:tcPr>
          <w:p>
            <w:pPr>
              <w:pStyle w:val="TableParagraph"/>
              <w:spacing w:before="3"/>
              <w:rPr>
                <w:sz w:val="17"/>
              </w:rPr>
            </w:pPr>
          </w:p>
          <w:p>
            <w:pPr>
              <w:pStyle w:val="TableParagraph"/>
              <w:ind w:left="377"/>
              <w:rPr>
                <w:sz w:val="18"/>
              </w:rPr>
            </w:pPr>
            <w:r>
              <w:rPr>
                <w:spacing w:val="-5"/>
                <w:sz w:val="18"/>
              </w:rPr>
              <w:t>70%</w:t>
            </w:r>
          </w:p>
        </w:tc>
        <w:tc>
          <w:tcPr>
            <w:tcW w:w="2052" w:type="dxa"/>
          </w:tcPr>
          <w:p>
            <w:pPr>
              <w:pStyle w:val="TableParagraph"/>
              <w:spacing w:line="261" w:lineRule="auto"/>
              <w:ind w:left="607" w:hanging="464"/>
              <w:rPr>
                <w:b/>
                <w:sz w:val="18"/>
              </w:rPr>
            </w:pPr>
            <w:r>
              <w:rPr>
                <w:b/>
                <w:color w:val="00AF50"/>
                <w:sz w:val="18"/>
              </w:rPr>
              <w:t>Better</w:t>
            </w:r>
            <w:r>
              <w:rPr>
                <w:b/>
                <w:color w:val="00AF50"/>
                <w:spacing w:val="-12"/>
                <w:sz w:val="18"/>
              </w:rPr>
              <w:t> </w:t>
            </w:r>
            <w:r>
              <w:rPr>
                <w:b/>
                <w:color w:val="00AF50"/>
                <w:sz w:val="18"/>
              </w:rPr>
              <w:t>and</w:t>
            </w:r>
            <w:r>
              <w:rPr>
                <w:b/>
                <w:color w:val="00AF50"/>
                <w:spacing w:val="-11"/>
                <w:sz w:val="18"/>
              </w:rPr>
              <w:t> </w:t>
            </w:r>
            <w:r>
              <w:rPr>
                <w:b/>
                <w:color w:val="00AF50"/>
                <w:sz w:val="18"/>
              </w:rPr>
              <w:t>Statistically </w:t>
            </w:r>
            <w:r>
              <w:rPr>
                <w:b/>
                <w:color w:val="00AF50"/>
                <w:spacing w:val="-2"/>
                <w:sz w:val="18"/>
              </w:rPr>
              <w:t>Significant</w:t>
            </w:r>
          </w:p>
        </w:tc>
        <w:tc>
          <w:tcPr>
            <w:tcW w:w="946" w:type="dxa"/>
          </w:tcPr>
          <w:p>
            <w:pPr>
              <w:pStyle w:val="TableParagraph"/>
              <w:spacing w:before="112"/>
              <w:ind w:left="190" w:right="181"/>
              <w:jc w:val="center"/>
              <w:rPr>
                <w:b/>
                <w:sz w:val="18"/>
              </w:rPr>
            </w:pPr>
            <w:r>
              <w:rPr>
                <w:b/>
                <w:spacing w:val="-4"/>
                <w:sz w:val="18"/>
              </w:rPr>
              <w:t>100%</w:t>
            </w:r>
          </w:p>
        </w:tc>
        <w:tc>
          <w:tcPr>
            <w:tcW w:w="764" w:type="dxa"/>
          </w:tcPr>
          <w:p>
            <w:pPr>
              <w:pStyle w:val="TableParagraph"/>
              <w:spacing w:before="3"/>
              <w:rPr>
                <w:sz w:val="17"/>
              </w:rPr>
            </w:pPr>
          </w:p>
          <w:p>
            <w:pPr>
              <w:pStyle w:val="TableParagraph"/>
              <w:ind w:left="98" w:right="91"/>
              <w:jc w:val="center"/>
              <w:rPr>
                <w:sz w:val="18"/>
              </w:rPr>
            </w:pPr>
            <w:r>
              <w:rPr>
                <w:spacing w:val="-5"/>
                <w:sz w:val="18"/>
              </w:rPr>
              <w:t>45%</w:t>
            </w:r>
          </w:p>
        </w:tc>
      </w:tr>
      <w:tr>
        <w:trPr>
          <w:trHeight w:val="606" w:hRule="atLeast"/>
        </w:trPr>
        <w:tc>
          <w:tcPr>
            <w:tcW w:w="1942" w:type="dxa"/>
            <w:shd w:val="clear" w:color="auto" w:fill="DCE6F0"/>
          </w:tcPr>
          <w:p>
            <w:pPr>
              <w:pStyle w:val="TableParagraph"/>
              <w:spacing w:before="3"/>
              <w:rPr>
                <w:sz w:val="17"/>
              </w:rPr>
            </w:pPr>
          </w:p>
          <w:p>
            <w:pPr>
              <w:pStyle w:val="TableParagraph"/>
              <w:ind w:left="123" w:right="113"/>
              <w:jc w:val="center"/>
              <w:rPr>
                <w:sz w:val="18"/>
              </w:rPr>
            </w:pPr>
            <w:r>
              <w:rPr>
                <w:sz w:val="18"/>
              </w:rPr>
              <w:t>Care</w:t>
            </w:r>
            <w:r>
              <w:rPr>
                <w:spacing w:val="-5"/>
                <w:sz w:val="18"/>
              </w:rPr>
              <w:t> </w:t>
            </w:r>
            <w:r>
              <w:rPr>
                <w:spacing w:val="-2"/>
                <w:sz w:val="18"/>
              </w:rPr>
              <w:t>Integration</w:t>
            </w:r>
          </w:p>
        </w:tc>
        <w:tc>
          <w:tcPr>
            <w:tcW w:w="1378" w:type="dxa"/>
          </w:tcPr>
          <w:p>
            <w:pPr>
              <w:pStyle w:val="TableParagraph"/>
              <w:spacing w:before="3"/>
              <w:rPr>
                <w:sz w:val="17"/>
              </w:rPr>
            </w:pPr>
          </w:p>
          <w:p>
            <w:pPr>
              <w:pStyle w:val="TableParagraph"/>
              <w:ind w:left="124" w:right="114"/>
              <w:jc w:val="center"/>
              <w:rPr>
                <w:sz w:val="18"/>
              </w:rPr>
            </w:pPr>
            <w:r>
              <w:rPr>
                <w:spacing w:val="-2"/>
                <w:sz w:val="18"/>
              </w:rPr>
              <w:t>63.3%</w:t>
            </w:r>
          </w:p>
        </w:tc>
        <w:tc>
          <w:tcPr>
            <w:tcW w:w="946" w:type="dxa"/>
          </w:tcPr>
          <w:p>
            <w:pPr>
              <w:pStyle w:val="TableParagraph"/>
              <w:spacing w:before="3"/>
              <w:rPr>
                <w:sz w:val="17"/>
              </w:rPr>
            </w:pPr>
          </w:p>
          <w:p>
            <w:pPr>
              <w:pStyle w:val="TableParagraph"/>
              <w:ind w:left="190" w:right="180"/>
              <w:jc w:val="center"/>
              <w:rPr>
                <w:sz w:val="18"/>
              </w:rPr>
            </w:pPr>
            <w:r>
              <w:rPr>
                <w:spacing w:val="-5"/>
                <w:sz w:val="18"/>
              </w:rPr>
              <w:t>60%</w:t>
            </w:r>
          </w:p>
        </w:tc>
        <w:tc>
          <w:tcPr>
            <w:tcW w:w="886" w:type="dxa"/>
          </w:tcPr>
          <w:p>
            <w:pPr>
              <w:pStyle w:val="TableParagraph"/>
              <w:spacing w:before="3"/>
              <w:rPr>
                <w:sz w:val="17"/>
              </w:rPr>
            </w:pPr>
          </w:p>
          <w:p>
            <w:pPr>
              <w:pStyle w:val="TableParagraph"/>
              <w:ind w:left="160" w:right="153"/>
              <w:jc w:val="center"/>
              <w:rPr>
                <w:sz w:val="18"/>
              </w:rPr>
            </w:pPr>
            <w:r>
              <w:rPr>
                <w:spacing w:val="-2"/>
                <w:sz w:val="18"/>
              </w:rPr>
              <w:t>66.7%</w:t>
            </w:r>
          </w:p>
        </w:tc>
        <w:tc>
          <w:tcPr>
            <w:tcW w:w="1085" w:type="dxa"/>
          </w:tcPr>
          <w:p>
            <w:pPr>
              <w:pStyle w:val="TableParagraph"/>
              <w:spacing w:before="3"/>
              <w:rPr>
                <w:sz w:val="17"/>
              </w:rPr>
            </w:pPr>
          </w:p>
          <w:p>
            <w:pPr>
              <w:pStyle w:val="TableParagraph"/>
              <w:ind w:left="117" w:right="108"/>
              <w:jc w:val="center"/>
              <w:rPr>
                <w:sz w:val="18"/>
              </w:rPr>
            </w:pPr>
            <w:r>
              <w:rPr>
                <w:spacing w:val="-5"/>
                <w:sz w:val="18"/>
              </w:rPr>
              <w:t>70%</w:t>
            </w:r>
          </w:p>
        </w:tc>
        <w:tc>
          <w:tcPr>
            <w:tcW w:w="1087" w:type="dxa"/>
          </w:tcPr>
          <w:p>
            <w:pPr>
              <w:pStyle w:val="TableParagraph"/>
              <w:spacing w:before="3"/>
              <w:rPr>
                <w:sz w:val="17"/>
              </w:rPr>
            </w:pPr>
          </w:p>
          <w:p>
            <w:pPr>
              <w:pStyle w:val="TableParagraph"/>
              <w:ind w:left="307"/>
              <w:rPr>
                <w:sz w:val="18"/>
              </w:rPr>
            </w:pPr>
            <w:r>
              <w:rPr>
                <w:spacing w:val="-2"/>
                <w:sz w:val="18"/>
              </w:rPr>
              <w:t>66.7%</w:t>
            </w:r>
          </w:p>
        </w:tc>
        <w:tc>
          <w:tcPr>
            <w:tcW w:w="2052" w:type="dxa"/>
          </w:tcPr>
          <w:p>
            <w:pPr>
              <w:pStyle w:val="TableParagraph"/>
              <w:spacing w:line="261" w:lineRule="auto"/>
              <w:ind w:left="672" w:right="399" w:hanging="262"/>
              <w:rPr>
                <w:b/>
                <w:sz w:val="18"/>
              </w:rPr>
            </w:pPr>
            <w:r>
              <w:rPr>
                <w:b/>
                <w:color w:val="00AF50"/>
                <w:sz w:val="18"/>
              </w:rPr>
              <w:t>Not</w:t>
            </w:r>
            <w:r>
              <w:rPr>
                <w:b/>
                <w:color w:val="00AF50"/>
                <w:spacing w:val="-12"/>
                <w:sz w:val="18"/>
              </w:rPr>
              <w:t> </w:t>
            </w:r>
            <w:r>
              <w:rPr>
                <w:b/>
                <w:color w:val="00AF50"/>
                <w:sz w:val="18"/>
              </w:rPr>
              <w:t>Statistically </w:t>
            </w:r>
            <w:r>
              <w:rPr>
                <w:b/>
                <w:color w:val="00AF50"/>
                <w:spacing w:val="-2"/>
                <w:sz w:val="18"/>
              </w:rPr>
              <w:t>Different</w:t>
            </w:r>
          </w:p>
        </w:tc>
        <w:tc>
          <w:tcPr>
            <w:tcW w:w="946" w:type="dxa"/>
          </w:tcPr>
          <w:p>
            <w:pPr>
              <w:pStyle w:val="TableParagraph"/>
              <w:spacing w:before="112"/>
              <w:ind w:left="190" w:right="181"/>
              <w:jc w:val="center"/>
              <w:rPr>
                <w:b/>
                <w:sz w:val="18"/>
              </w:rPr>
            </w:pPr>
            <w:r>
              <w:rPr>
                <w:b/>
                <w:spacing w:val="-4"/>
                <w:sz w:val="18"/>
              </w:rPr>
              <w:t>100%</w:t>
            </w:r>
          </w:p>
        </w:tc>
        <w:tc>
          <w:tcPr>
            <w:tcW w:w="764" w:type="dxa"/>
          </w:tcPr>
          <w:p>
            <w:pPr>
              <w:pStyle w:val="TableParagraph"/>
              <w:spacing w:before="3"/>
              <w:rPr>
                <w:sz w:val="17"/>
              </w:rPr>
            </w:pPr>
          </w:p>
          <w:p>
            <w:pPr>
              <w:pStyle w:val="TableParagraph"/>
              <w:ind w:left="98" w:right="91"/>
              <w:jc w:val="center"/>
              <w:rPr>
                <w:sz w:val="18"/>
              </w:rPr>
            </w:pPr>
            <w:r>
              <w:rPr>
                <w:spacing w:val="-5"/>
                <w:sz w:val="18"/>
              </w:rPr>
              <w:t>40%</w:t>
            </w:r>
          </w:p>
        </w:tc>
      </w:tr>
      <w:tr>
        <w:trPr>
          <w:trHeight w:val="604" w:hRule="atLeast"/>
        </w:trPr>
        <w:tc>
          <w:tcPr>
            <w:tcW w:w="1942" w:type="dxa"/>
            <w:shd w:val="clear" w:color="auto" w:fill="DCE6F0"/>
          </w:tcPr>
          <w:p>
            <w:pPr>
              <w:pStyle w:val="TableParagraph"/>
              <w:spacing w:before="95"/>
              <w:ind w:left="309" w:right="173" w:hanging="75"/>
              <w:rPr>
                <w:sz w:val="18"/>
              </w:rPr>
            </w:pPr>
            <w:r>
              <w:rPr>
                <w:sz w:val="18"/>
              </w:rPr>
              <w:t>PES:</w:t>
            </w:r>
            <w:r>
              <w:rPr>
                <w:spacing w:val="-12"/>
                <w:sz w:val="18"/>
              </w:rPr>
              <w:t> </w:t>
            </w:r>
            <w:r>
              <w:rPr>
                <w:sz w:val="18"/>
              </w:rPr>
              <w:t>Overall</w:t>
            </w:r>
            <w:r>
              <w:rPr>
                <w:spacing w:val="-11"/>
                <w:sz w:val="18"/>
              </w:rPr>
              <w:t> </w:t>
            </w:r>
            <w:r>
              <w:rPr>
                <w:sz w:val="18"/>
              </w:rPr>
              <w:t>Rating and Care Delivery</w:t>
            </w:r>
          </w:p>
        </w:tc>
        <w:tc>
          <w:tcPr>
            <w:tcW w:w="1378" w:type="dxa"/>
          </w:tcPr>
          <w:p>
            <w:pPr>
              <w:pStyle w:val="TableParagraph"/>
              <w:spacing w:before="3"/>
              <w:rPr>
                <w:sz w:val="17"/>
              </w:rPr>
            </w:pPr>
          </w:p>
          <w:p>
            <w:pPr>
              <w:pStyle w:val="TableParagraph"/>
              <w:ind w:left="124" w:right="114"/>
              <w:jc w:val="center"/>
              <w:rPr>
                <w:sz w:val="18"/>
              </w:rPr>
            </w:pPr>
            <w:r>
              <w:rPr>
                <w:spacing w:val="-5"/>
                <w:sz w:val="18"/>
              </w:rPr>
              <w:t>60%</w:t>
            </w:r>
          </w:p>
        </w:tc>
        <w:tc>
          <w:tcPr>
            <w:tcW w:w="946" w:type="dxa"/>
          </w:tcPr>
          <w:p>
            <w:pPr>
              <w:pStyle w:val="TableParagraph"/>
              <w:spacing w:before="3"/>
              <w:rPr>
                <w:sz w:val="17"/>
              </w:rPr>
            </w:pPr>
          </w:p>
          <w:p>
            <w:pPr>
              <w:pStyle w:val="TableParagraph"/>
              <w:ind w:left="190" w:right="180"/>
              <w:jc w:val="center"/>
              <w:rPr>
                <w:sz w:val="18"/>
              </w:rPr>
            </w:pPr>
            <w:r>
              <w:rPr>
                <w:spacing w:val="-5"/>
                <w:sz w:val="18"/>
              </w:rPr>
              <w:t>50%</w:t>
            </w:r>
          </w:p>
        </w:tc>
        <w:tc>
          <w:tcPr>
            <w:tcW w:w="886" w:type="dxa"/>
          </w:tcPr>
          <w:p>
            <w:pPr>
              <w:pStyle w:val="TableParagraph"/>
              <w:spacing w:before="3"/>
              <w:rPr>
                <w:sz w:val="17"/>
              </w:rPr>
            </w:pPr>
          </w:p>
          <w:p>
            <w:pPr>
              <w:pStyle w:val="TableParagraph"/>
              <w:ind w:left="160" w:right="153"/>
              <w:jc w:val="center"/>
              <w:rPr>
                <w:sz w:val="18"/>
              </w:rPr>
            </w:pPr>
            <w:r>
              <w:rPr>
                <w:spacing w:val="-2"/>
                <w:sz w:val="18"/>
              </w:rPr>
              <w:t>53.3%</w:t>
            </w:r>
          </w:p>
        </w:tc>
        <w:tc>
          <w:tcPr>
            <w:tcW w:w="1085" w:type="dxa"/>
          </w:tcPr>
          <w:p>
            <w:pPr>
              <w:pStyle w:val="TableParagraph"/>
              <w:spacing w:before="3"/>
              <w:rPr>
                <w:sz w:val="17"/>
              </w:rPr>
            </w:pPr>
          </w:p>
          <w:p>
            <w:pPr>
              <w:pStyle w:val="TableParagraph"/>
              <w:ind w:left="117" w:right="108"/>
              <w:jc w:val="center"/>
              <w:rPr>
                <w:sz w:val="18"/>
              </w:rPr>
            </w:pPr>
            <w:r>
              <w:rPr>
                <w:spacing w:val="-5"/>
                <w:sz w:val="18"/>
              </w:rPr>
              <w:t>60%</w:t>
            </w:r>
          </w:p>
        </w:tc>
        <w:tc>
          <w:tcPr>
            <w:tcW w:w="1087" w:type="dxa"/>
          </w:tcPr>
          <w:p>
            <w:pPr>
              <w:pStyle w:val="TableParagraph"/>
              <w:spacing w:before="3"/>
              <w:rPr>
                <w:sz w:val="17"/>
              </w:rPr>
            </w:pPr>
          </w:p>
          <w:p>
            <w:pPr>
              <w:pStyle w:val="TableParagraph"/>
              <w:ind w:left="308"/>
              <w:rPr>
                <w:sz w:val="18"/>
              </w:rPr>
            </w:pPr>
            <w:r>
              <w:rPr>
                <w:spacing w:val="-2"/>
                <w:sz w:val="18"/>
              </w:rPr>
              <w:t>53.3%</w:t>
            </w:r>
          </w:p>
        </w:tc>
        <w:tc>
          <w:tcPr>
            <w:tcW w:w="2052" w:type="dxa"/>
          </w:tcPr>
          <w:p>
            <w:pPr>
              <w:pStyle w:val="TableParagraph"/>
              <w:spacing w:line="261" w:lineRule="auto"/>
              <w:ind w:left="607" w:hanging="476"/>
              <w:rPr>
                <w:b/>
                <w:sz w:val="18"/>
              </w:rPr>
            </w:pPr>
            <w:r>
              <w:rPr>
                <w:b/>
                <w:color w:val="FF0000"/>
                <w:sz w:val="18"/>
              </w:rPr>
              <w:t>Worse</w:t>
            </w:r>
            <w:r>
              <w:rPr>
                <w:b/>
                <w:color w:val="FF0000"/>
                <w:spacing w:val="-12"/>
                <w:sz w:val="18"/>
              </w:rPr>
              <w:t> </w:t>
            </w:r>
            <w:r>
              <w:rPr>
                <w:b/>
                <w:color w:val="FF0000"/>
                <w:sz w:val="18"/>
              </w:rPr>
              <w:t>and</w:t>
            </w:r>
            <w:r>
              <w:rPr>
                <w:b/>
                <w:color w:val="FF0000"/>
                <w:spacing w:val="-11"/>
                <w:sz w:val="18"/>
              </w:rPr>
              <w:t> </w:t>
            </w:r>
            <w:r>
              <w:rPr>
                <w:b/>
                <w:color w:val="FF0000"/>
                <w:sz w:val="18"/>
              </w:rPr>
              <w:t>Statistically </w:t>
            </w:r>
            <w:r>
              <w:rPr>
                <w:b/>
                <w:color w:val="FF0000"/>
                <w:spacing w:val="-2"/>
                <w:sz w:val="18"/>
              </w:rPr>
              <w:t>Significant</w:t>
            </w:r>
          </w:p>
        </w:tc>
        <w:tc>
          <w:tcPr>
            <w:tcW w:w="946" w:type="dxa"/>
          </w:tcPr>
          <w:p>
            <w:pPr>
              <w:pStyle w:val="TableParagraph"/>
              <w:spacing w:before="112"/>
              <w:ind w:left="190" w:right="181"/>
              <w:jc w:val="center"/>
              <w:rPr>
                <w:b/>
                <w:sz w:val="18"/>
              </w:rPr>
            </w:pPr>
            <w:r>
              <w:rPr>
                <w:b/>
                <w:spacing w:val="-5"/>
                <w:sz w:val="18"/>
              </w:rPr>
              <w:t>0%</w:t>
            </w:r>
          </w:p>
        </w:tc>
        <w:tc>
          <w:tcPr>
            <w:tcW w:w="764" w:type="dxa"/>
          </w:tcPr>
          <w:p>
            <w:pPr>
              <w:pStyle w:val="TableParagraph"/>
              <w:spacing w:before="3"/>
              <w:rPr>
                <w:sz w:val="17"/>
              </w:rPr>
            </w:pPr>
          </w:p>
          <w:p>
            <w:pPr>
              <w:pStyle w:val="TableParagraph"/>
              <w:ind w:left="98" w:right="89"/>
              <w:jc w:val="center"/>
              <w:rPr>
                <w:sz w:val="18"/>
              </w:rPr>
            </w:pPr>
            <w:r>
              <w:rPr>
                <w:spacing w:val="-4"/>
                <w:sz w:val="18"/>
              </w:rPr>
              <w:t>7.5%</w:t>
            </w:r>
          </w:p>
        </w:tc>
      </w:tr>
      <w:tr>
        <w:trPr>
          <w:trHeight w:val="614" w:hRule="atLeast"/>
        </w:trPr>
        <w:tc>
          <w:tcPr>
            <w:tcW w:w="1942" w:type="dxa"/>
            <w:tcBorders>
              <w:bottom w:val="single" w:sz="4" w:space="0" w:color="000000"/>
            </w:tcBorders>
            <w:shd w:val="clear" w:color="auto" w:fill="DCE6F0"/>
          </w:tcPr>
          <w:p>
            <w:pPr>
              <w:pStyle w:val="TableParagraph"/>
              <w:spacing w:before="98"/>
              <w:ind w:left="412" w:right="173" w:hanging="226"/>
              <w:rPr>
                <w:sz w:val="18"/>
              </w:rPr>
            </w:pPr>
            <w:r>
              <w:rPr>
                <w:sz w:val="18"/>
              </w:rPr>
              <w:t>PES:</w:t>
            </w:r>
            <w:r>
              <w:rPr>
                <w:spacing w:val="-12"/>
                <w:sz w:val="18"/>
              </w:rPr>
              <w:t> </w:t>
            </w:r>
            <w:r>
              <w:rPr>
                <w:sz w:val="18"/>
              </w:rPr>
              <w:t>Person-centered Integrated Care</w:t>
            </w:r>
          </w:p>
        </w:tc>
        <w:tc>
          <w:tcPr>
            <w:tcW w:w="1378" w:type="dxa"/>
            <w:tcBorders>
              <w:bottom w:val="single" w:sz="4" w:space="0" w:color="000000"/>
            </w:tcBorders>
          </w:tcPr>
          <w:p>
            <w:pPr>
              <w:pStyle w:val="TableParagraph"/>
              <w:spacing w:before="5"/>
              <w:rPr>
                <w:sz w:val="17"/>
              </w:rPr>
            </w:pPr>
          </w:p>
          <w:p>
            <w:pPr>
              <w:pStyle w:val="TableParagraph"/>
              <w:spacing w:before="1"/>
              <w:ind w:left="124" w:right="114"/>
              <w:jc w:val="center"/>
              <w:rPr>
                <w:sz w:val="18"/>
              </w:rPr>
            </w:pPr>
            <w:r>
              <w:rPr>
                <w:spacing w:val="-5"/>
                <w:sz w:val="18"/>
              </w:rPr>
              <w:t>60%</w:t>
            </w:r>
          </w:p>
        </w:tc>
        <w:tc>
          <w:tcPr>
            <w:tcW w:w="946" w:type="dxa"/>
            <w:tcBorders>
              <w:bottom w:val="single" w:sz="4" w:space="0" w:color="000000"/>
            </w:tcBorders>
          </w:tcPr>
          <w:p>
            <w:pPr>
              <w:pStyle w:val="TableParagraph"/>
              <w:spacing w:before="5"/>
              <w:rPr>
                <w:sz w:val="17"/>
              </w:rPr>
            </w:pPr>
          </w:p>
          <w:p>
            <w:pPr>
              <w:pStyle w:val="TableParagraph"/>
              <w:spacing w:before="1"/>
              <w:ind w:left="190" w:right="180"/>
              <w:jc w:val="center"/>
              <w:rPr>
                <w:sz w:val="18"/>
              </w:rPr>
            </w:pPr>
            <w:r>
              <w:rPr>
                <w:spacing w:val="-5"/>
                <w:sz w:val="18"/>
              </w:rPr>
              <w:t>50%</w:t>
            </w:r>
          </w:p>
        </w:tc>
        <w:tc>
          <w:tcPr>
            <w:tcW w:w="886" w:type="dxa"/>
            <w:tcBorders>
              <w:bottom w:val="single" w:sz="4" w:space="0" w:color="000000"/>
            </w:tcBorders>
          </w:tcPr>
          <w:p>
            <w:pPr>
              <w:pStyle w:val="TableParagraph"/>
              <w:spacing w:before="5"/>
              <w:rPr>
                <w:sz w:val="17"/>
              </w:rPr>
            </w:pPr>
          </w:p>
          <w:p>
            <w:pPr>
              <w:pStyle w:val="TableParagraph"/>
              <w:spacing w:before="1"/>
              <w:ind w:left="160" w:right="148"/>
              <w:jc w:val="center"/>
              <w:rPr>
                <w:sz w:val="18"/>
              </w:rPr>
            </w:pPr>
            <w:r>
              <w:rPr>
                <w:spacing w:val="-5"/>
                <w:sz w:val="18"/>
              </w:rPr>
              <w:t>50%</w:t>
            </w:r>
          </w:p>
        </w:tc>
        <w:tc>
          <w:tcPr>
            <w:tcW w:w="1085" w:type="dxa"/>
            <w:tcBorders>
              <w:bottom w:val="single" w:sz="4" w:space="0" w:color="000000"/>
            </w:tcBorders>
          </w:tcPr>
          <w:p>
            <w:pPr>
              <w:pStyle w:val="TableParagraph"/>
              <w:spacing w:before="5"/>
              <w:rPr>
                <w:sz w:val="17"/>
              </w:rPr>
            </w:pPr>
          </w:p>
          <w:p>
            <w:pPr>
              <w:pStyle w:val="TableParagraph"/>
              <w:spacing w:before="1"/>
              <w:ind w:left="117" w:right="108"/>
              <w:jc w:val="center"/>
              <w:rPr>
                <w:sz w:val="18"/>
              </w:rPr>
            </w:pPr>
            <w:r>
              <w:rPr>
                <w:spacing w:val="-5"/>
                <w:sz w:val="18"/>
              </w:rPr>
              <w:t>50%</w:t>
            </w:r>
          </w:p>
        </w:tc>
        <w:tc>
          <w:tcPr>
            <w:tcW w:w="1087" w:type="dxa"/>
            <w:tcBorders>
              <w:bottom w:val="single" w:sz="4" w:space="0" w:color="000000"/>
            </w:tcBorders>
          </w:tcPr>
          <w:p>
            <w:pPr>
              <w:pStyle w:val="TableParagraph"/>
              <w:spacing w:before="5"/>
              <w:rPr>
                <w:sz w:val="17"/>
              </w:rPr>
            </w:pPr>
          </w:p>
          <w:p>
            <w:pPr>
              <w:pStyle w:val="TableParagraph"/>
              <w:spacing w:before="1"/>
              <w:ind w:left="308"/>
              <w:rPr>
                <w:sz w:val="18"/>
              </w:rPr>
            </w:pPr>
            <w:r>
              <w:rPr>
                <w:spacing w:val="-2"/>
                <w:sz w:val="18"/>
              </w:rPr>
              <w:t>50.0%</w:t>
            </w:r>
          </w:p>
        </w:tc>
        <w:tc>
          <w:tcPr>
            <w:tcW w:w="2052" w:type="dxa"/>
            <w:tcBorders>
              <w:bottom w:val="single" w:sz="4" w:space="0" w:color="000000"/>
            </w:tcBorders>
          </w:tcPr>
          <w:p>
            <w:pPr>
              <w:pStyle w:val="TableParagraph"/>
              <w:spacing w:line="261" w:lineRule="auto" w:before="2"/>
              <w:ind w:left="607" w:hanging="476"/>
              <w:rPr>
                <w:b/>
                <w:sz w:val="18"/>
              </w:rPr>
            </w:pPr>
            <w:r>
              <w:rPr>
                <w:b/>
                <w:color w:val="FF0000"/>
                <w:sz w:val="18"/>
              </w:rPr>
              <w:t>Worse</w:t>
            </w:r>
            <w:r>
              <w:rPr>
                <w:b/>
                <w:color w:val="FF0000"/>
                <w:spacing w:val="-12"/>
                <w:sz w:val="18"/>
              </w:rPr>
              <w:t> </w:t>
            </w:r>
            <w:r>
              <w:rPr>
                <w:b/>
                <w:color w:val="FF0000"/>
                <w:sz w:val="18"/>
              </w:rPr>
              <w:t>and</w:t>
            </w:r>
            <w:r>
              <w:rPr>
                <w:b/>
                <w:color w:val="FF0000"/>
                <w:spacing w:val="-11"/>
                <w:sz w:val="18"/>
              </w:rPr>
              <w:t> </w:t>
            </w:r>
            <w:r>
              <w:rPr>
                <w:b/>
                <w:color w:val="FF0000"/>
                <w:sz w:val="18"/>
              </w:rPr>
              <w:t>Statistically </w:t>
            </w:r>
            <w:r>
              <w:rPr>
                <w:b/>
                <w:color w:val="FF0000"/>
                <w:spacing w:val="-2"/>
                <w:sz w:val="18"/>
              </w:rPr>
              <w:t>Significant</w:t>
            </w:r>
          </w:p>
        </w:tc>
        <w:tc>
          <w:tcPr>
            <w:tcW w:w="946" w:type="dxa"/>
            <w:tcBorders>
              <w:bottom w:val="single" w:sz="4" w:space="0" w:color="000000"/>
            </w:tcBorders>
          </w:tcPr>
          <w:p>
            <w:pPr>
              <w:pStyle w:val="TableParagraph"/>
              <w:spacing w:before="115"/>
              <w:ind w:left="190" w:right="181"/>
              <w:jc w:val="center"/>
              <w:rPr>
                <w:b/>
                <w:sz w:val="18"/>
              </w:rPr>
            </w:pPr>
            <w:r>
              <w:rPr>
                <w:b/>
                <w:spacing w:val="-5"/>
                <w:sz w:val="18"/>
              </w:rPr>
              <w:t>0%</w:t>
            </w:r>
          </w:p>
        </w:tc>
        <w:tc>
          <w:tcPr>
            <w:tcW w:w="764" w:type="dxa"/>
            <w:tcBorders>
              <w:bottom w:val="single" w:sz="4" w:space="0" w:color="000000"/>
            </w:tcBorders>
          </w:tcPr>
          <w:p>
            <w:pPr>
              <w:pStyle w:val="TableParagraph"/>
              <w:spacing w:before="5"/>
              <w:rPr>
                <w:sz w:val="17"/>
              </w:rPr>
            </w:pPr>
          </w:p>
          <w:p>
            <w:pPr>
              <w:pStyle w:val="TableParagraph"/>
              <w:spacing w:before="1"/>
              <w:ind w:left="98" w:right="89"/>
              <w:jc w:val="center"/>
              <w:rPr>
                <w:sz w:val="18"/>
              </w:rPr>
            </w:pPr>
            <w:r>
              <w:rPr>
                <w:spacing w:val="-4"/>
                <w:sz w:val="18"/>
              </w:rPr>
              <w:t>7.5%</w:t>
            </w:r>
          </w:p>
        </w:tc>
      </w:tr>
    </w:tbl>
    <w:p>
      <w:pPr>
        <w:pStyle w:val="BodyText"/>
        <w:spacing w:before="11"/>
      </w:pPr>
    </w:p>
    <w:p>
      <w:pPr>
        <w:spacing w:line="244" w:lineRule="auto" w:before="91"/>
        <w:ind w:left="1220" w:right="1111" w:firstLine="0"/>
        <w:jc w:val="left"/>
        <w:rPr>
          <w:sz w:val="22"/>
        </w:rPr>
      </w:pPr>
      <w:r>
        <w:rPr/>
        <mc:AlternateContent>
          <mc:Choice Requires="wps">
            <w:drawing>
              <wp:anchor distT="0" distB="0" distL="0" distR="0" allowOverlap="1" layoutInCell="1" locked="0" behindDoc="0" simplePos="0" relativeHeight="16173568">
                <wp:simplePos x="0" y="0"/>
                <wp:positionH relativeFrom="page">
                  <wp:posOffset>286511</wp:posOffset>
                </wp:positionH>
                <wp:positionV relativeFrom="paragraph">
                  <wp:posOffset>-183672</wp:posOffset>
                </wp:positionV>
                <wp:extent cx="7190740" cy="6350"/>
                <wp:effectExtent l="0" t="0" r="0" b="0"/>
                <wp:wrapNone/>
                <wp:docPr id="947" name="Graphic 947"/>
                <wp:cNvGraphicFramePr>
                  <a:graphicFrameLocks/>
                </wp:cNvGraphicFramePr>
                <a:graphic>
                  <a:graphicData uri="http://schemas.microsoft.com/office/word/2010/wordprocessingShape">
                    <wps:wsp>
                      <wps:cNvPr id="947" name="Graphic 947"/>
                      <wps:cNvSpPr/>
                      <wps:spPr>
                        <a:xfrm>
                          <a:off x="0" y="0"/>
                          <a:ext cx="7190740" cy="6350"/>
                        </a:xfrm>
                        <a:custGeom>
                          <a:avLst/>
                          <a:gdLst/>
                          <a:ahLst/>
                          <a:cxnLst/>
                          <a:rect l="l" t="t" r="r" b="b"/>
                          <a:pathLst>
                            <a:path w="7190740" h="6350">
                              <a:moveTo>
                                <a:pt x="7190219" y="0"/>
                              </a:moveTo>
                              <a:lnTo>
                                <a:pt x="0" y="0"/>
                              </a:lnTo>
                              <a:lnTo>
                                <a:pt x="0" y="6108"/>
                              </a:lnTo>
                              <a:lnTo>
                                <a:pt x="7190219" y="6108"/>
                              </a:lnTo>
                              <a:lnTo>
                                <a:pt x="71902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2.559999pt;margin-top:-14.462433pt;width:566.159pt;height:.481pt;mso-position-horizontal-relative:page;mso-position-vertical-relative:paragraph;z-index:16173568" id="docshape162" filled="true" fillcolor="#000000" stroked="false">
                <v:fill type="solid"/>
                <w10:wrap type="none"/>
              </v:rect>
            </w:pict>
          </mc:Fallback>
        </mc:AlternateContent>
      </w:r>
      <w:r>
        <w:rPr>
          <w:color w:val="202020"/>
          <w:sz w:val="22"/>
        </w:rPr>
        <w:t>BP3 domain scores are excluded from the pooled domain score based on concerns about the validity of</w:t>
      </w:r>
      <w:r>
        <w:rPr>
          <w:color w:val="202020"/>
          <w:spacing w:val="80"/>
          <w:sz w:val="22"/>
        </w:rPr>
        <w:t> </w:t>
      </w:r>
      <w:r>
        <w:rPr>
          <w:color w:val="202020"/>
          <w:sz w:val="22"/>
        </w:rPr>
        <w:t>domain scores in BP3 due to a state of emergency declared by the federal or state government.</w:t>
      </w:r>
    </w:p>
    <w:p>
      <w:pPr>
        <w:pStyle w:val="BodyText"/>
      </w:pPr>
    </w:p>
    <w:p>
      <w:pPr>
        <w:spacing w:before="209"/>
        <w:ind w:left="1220" w:right="0" w:firstLine="0"/>
        <w:jc w:val="left"/>
        <w:rPr>
          <w:b/>
          <w:i/>
          <w:sz w:val="22"/>
        </w:rPr>
      </w:pPr>
      <w:r>
        <w:rPr>
          <w:b/>
          <w:i/>
          <w:color w:val="4F81BC"/>
          <w:sz w:val="22"/>
        </w:rPr>
        <w:t>STEP</w:t>
      </w:r>
      <w:r>
        <w:rPr>
          <w:b/>
          <w:i/>
          <w:color w:val="4F81BC"/>
          <w:spacing w:val="-8"/>
          <w:sz w:val="22"/>
        </w:rPr>
        <w:t> </w:t>
      </w:r>
      <w:r>
        <w:rPr>
          <w:b/>
          <w:i/>
          <w:color w:val="4F81BC"/>
          <w:sz w:val="22"/>
        </w:rPr>
        <w:t>3(b):</w:t>
      </w:r>
      <w:r>
        <w:rPr>
          <w:b/>
          <w:i/>
          <w:color w:val="4F81BC"/>
          <w:spacing w:val="-3"/>
          <w:sz w:val="22"/>
        </w:rPr>
        <w:t> </w:t>
      </w:r>
      <w:r>
        <w:rPr>
          <w:b/>
          <w:i/>
          <w:color w:val="4F81BC"/>
          <w:sz w:val="22"/>
        </w:rPr>
        <w:t>Calculating</w:t>
      </w:r>
      <w:r>
        <w:rPr>
          <w:b/>
          <w:i/>
          <w:color w:val="4F81BC"/>
          <w:spacing w:val="-5"/>
          <w:sz w:val="22"/>
        </w:rPr>
        <w:t> </w:t>
      </w:r>
      <w:r>
        <w:rPr>
          <w:b/>
          <w:i/>
          <w:color w:val="4F81BC"/>
          <w:sz w:val="22"/>
        </w:rPr>
        <w:t>the</w:t>
      </w:r>
      <w:r>
        <w:rPr>
          <w:b/>
          <w:i/>
          <w:color w:val="4F81BC"/>
          <w:spacing w:val="-4"/>
          <w:sz w:val="22"/>
        </w:rPr>
        <w:t> </w:t>
      </w:r>
      <w:r>
        <w:rPr>
          <w:b/>
          <w:i/>
          <w:color w:val="4F81BC"/>
          <w:sz w:val="22"/>
        </w:rPr>
        <w:t>Overall</w:t>
      </w:r>
      <w:r>
        <w:rPr>
          <w:b/>
          <w:i/>
          <w:color w:val="4F81BC"/>
          <w:spacing w:val="-4"/>
          <w:sz w:val="22"/>
        </w:rPr>
        <w:t> </w:t>
      </w:r>
      <w:r>
        <w:rPr>
          <w:b/>
          <w:i/>
          <w:color w:val="4F81BC"/>
          <w:sz w:val="22"/>
        </w:rPr>
        <w:t>Statewide</w:t>
      </w:r>
      <w:r>
        <w:rPr>
          <w:b/>
          <w:i/>
          <w:color w:val="4F81BC"/>
          <w:spacing w:val="-4"/>
          <w:sz w:val="22"/>
        </w:rPr>
        <w:t> </w:t>
      </w:r>
      <w:r>
        <w:rPr>
          <w:b/>
          <w:i/>
          <w:color w:val="4F81BC"/>
          <w:sz w:val="22"/>
        </w:rPr>
        <w:t>Quality</w:t>
      </w:r>
      <w:r>
        <w:rPr>
          <w:b/>
          <w:i/>
          <w:color w:val="4F81BC"/>
          <w:spacing w:val="-4"/>
          <w:sz w:val="22"/>
        </w:rPr>
        <w:t> </w:t>
      </w:r>
      <w:r>
        <w:rPr>
          <w:b/>
          <w:i/>
          <w:color w:val="4F81BC"/>
          <w:spacing w:val="-2"/>
          <w:sz w:val="22"/>
        </w:rPr>
        <w:t>Performance</w:t>
      </w:r>
    </w:p>
    <w:p>
      <w:pPr>
        <w:spacing w:before="179"/>
        <w:ind w:left="1220" w:right="975" w:firstLine="0"/>
        <w:jc w:val="left"/>
        <w:rPr>
          <w:sz w:val="22"/>
        </w:rPr>
      </w:pPr>
      <w:r>
        <w:rPr>
          <w:sz w:val="22"/>
        </w:rPr>
        <w:t>To</w:t>
      </w:r>
      <w:r>
        <w:rPr>
          <w:spacing w:val="-1"/>
          <w:sz w:val="22"/>
        </w:rPr>
        <w:t> </w:t>
      </w:r>
      <w:r>
        <w:rPr>
          <w:sz w:val="22"/>
        </w:rPr>
        <w:t>calculate</w:t>
      </w:r>
      <w:r>
        <w:rPr>
          <w:spacing w:val="-3"/>
          <w:sz w:val="22"/>
        </w:rPr>
        <w:t> </w:t>
      </w:r>
      <w:r>
        <w:rPr>
          <w:sz w:val="22"/>
        </w:rPr>
        <w:t>the</w:t>
      </w:r>
      <w:r>
        <w:rPr>
          <w:spacing w:val="-1"/>
          <w:sz w:val="22"/>
        </w:rPr>
        <w:t> </w:t>
      </w:r>
      <w:r>
        <w:rPr>
          <w:sz w:val="22"/>
        </w:rPr>
        <w:t>overall Statewide</w:t>
      </w:r>
      <w:r>
        <w:rPr>
          <w:spacing w:val="-1"/>
          <w:sz w:val="22"/>
        </w:rPr>
        <w:t> </w:t>
      </w:r>
      <w:r>
        <w:rPr>
          <w:sz w:val="22"/>
        </w:rPr>
        <w:t>Quality</w:t>
      </w:r>
      <w:r>
        <w:rPr>
          <w:spacing w:val="-4"/>
          <w:sz w:val="22"/>
        </w:rPr>
        <w:t> </w:t>
      </w:r>
      <w:r>
        <w:rPr>
          <w:sz w:val="22"/>
        </w:rPr>
        <w:t>performance,</w:t>
      </w:r>
      <w:r>
        <w:rPr>
          <w:spacing w:val="-1"/>
          <w:sz w:val="22"/>
        </w:rPr>
        <w:t> </w:t>
      </w:r>
      <w:r>
        <w:rPr>
          <w:sz w:val="22"/>
        </w:rPr>
        <w:t>we</w:t>
      </w:r>
      <w:r>
        <w:rPr>
          <w:spacing w:val="-1"/>
          <w:sz w:val="22"/>
        </w:rPr>
        <w:t> </w:t>
      </w:r>
      <w:r>
        <w:rPr>
          <w:sz w:val="22"/>
        </w:rPr>
        <w:t>multiply</w:t>
      </w:r>
      <w:r>
        <w:rPr>
          <w:spacing w:val="-4"/>
          <w:sz w:val="22"/>
        </w:rPr>
        <w:t> </w:t>
      </w:r>
      <w:r>
        <w:rPr>
          <w:sz w:val="22"/>
        </w:rPr>
        <w:t>the</w:t>
      </w:r>
      <w:r>
        <w:rPr>
          <w:spacing w:val="-1"/>
          <w:sz w:val="22"/>
        </w:rPr>
        <w:t> </w:t>
      </w:r>
      <w:r>
        <w:rPr>
          <w:sz w:val="22"/>
        </w:rPr>
        <w:t>domain</w:t>
      </w:r>
      <w:r>
        <w:rPr>
          <w:spacing w:val="-1"/>
          <w:sz w:val="22"/>
        </w:rPr>
        <w:t> </w:t>
      </w:r>
      <w:r>
        <w:rPr>
          <w:sz w:val="22"/>
        </w:rPr>
        <w:t>scores</w:t>
      </w:r>
      <w:r>
        <w:rPr>
          <w:spacing w:val="-1"/>
          <w:sz w:val="22"/>
        </w:rPr>
        <w:t> </w:t>
      </w:r>
      <w:r>
        <w:rPr>
          <w:sz w:val="22"/>
        </w:rPr>
        <w:t>from</w:t>
      </w:r>
      <w:r>
        <w:rPr>
          <w:spacing w:val="-5"/>
          <w:sz w:val="22"/>
        </w:rPr>
        <w:t> </w:t>
      </w:r>
      <w:r>
        <w:rPr>
          <w:sz w:val="22"/>
        </w:rPr>
        <w:t>BP</w:t>
      </w:r>
      <w:r>
        <w:rPr>
          <w:spacing w:val="-2"/>
          <w:sz w:val="22"/>
        </w:rPr>
        <w:t> </w:t>
      </w:r>
      <w:r>
        <w:rPr>
          <w:sz w:val="22"/>
        </w:rPr>
        <w:t>4</w:t>
      </w:r>
      <w:r>
        <w:rPr>
          <w:spacing w:val="-1"/>
          <w:sz w:val="22"/>
        </w:rPr>
        <w:t> </w:t>
      </w:r>
      <w:r>
        <w:rPr>
          <w:sz w:val="22"/>
        </w:rPr>
        <w:t>and</w:t>
      </w:r>
      <w:r>
        <w:rPr>
          <w:spacing w:val="-1"/>
          <w:sz w:val="22"/>
        </w:rPr>
        <w:t> </w:t>
      </w:r>
      <w:r>
        <w:rPr>
          <w:sz w:val="22"/>
        </w:rPr>
        <w:t>the weights from BP 4 and obtain the sum:</w:t>
      </w:r>
    </w:p>
    <w:p>
      <w:pPr>
        <w:pStyle w:val="BodyText"/>
      </w:pPr>
    </w:p>
    <w:p>
      <w:pPr>
        <w:pStyle w:val="BodyText"/>
        <w:rPr>
          <w:sz w:val="19"/>
        </w:rPr>
      </w:pPr>
    </w:p>
    <w:p>
      <w:pPr>
        <w:spacing w:before="1"/>
        <w:ind w:left="1220" w:right="0" w:firstLine="0"/>
        <w:jc w:val="left"/>
        <w:rPr>
          <w:sz w:val="22"/>
        </w:rPr>
      </w:pPr>
      <w:r>
        <w:rPr>
          <w:b/>
          <w:sz w:val="22"/>
        </w:rPr>
        <w:t>EXHIBIT</w:t>
      </w:r>
      <w:r>
        <w:rPr>
          <w:b/>
          <w:spacing w:val="-4"/>
          <w:sz w:val="22"/>
        </w:rPr>
        <w:t> </w:t>
      </w:r>
      <w:r>
        <w:rPr>
          <w:b/>
          <w:sz w:val="22"/>
        </w:rPr>
        <w:t>A7</w:t>
      </w:r>
      <w:r>
        <w:rPr>
          <w:b/>
          <w:spacing w:val="-3"/>
          <w:sz w:val="22"/>
        </w:rPr>
        <w:t> </w:t>
      </w:r>
      <w:r>
        <w:rPr>
          <w:sz w:val="22"/>
        </w:rPr>
        <w:t>–</w:t>
      </w:r>
      <w:r>
        <w:rPr>
          <w:spacing w:val="-3"/>
          <w:sz w:val="22"/>
        </w:rPr>
        <w:t> </w:t>
      </w:r>
      <w:r>
        <w:rPr>
          <w:sz w:val="22"/>
        </w:rPr>
        <w:t>Calculating</w:t>
      </w:r>
      <w:r>
        <w:rPr>
          <w:spacing w:val="-6"/>
          <w:sz w:val="22"/>
        </w:rPr>
        <w:t> </w:t>
      </w:r>
      <w:r>
        <w:rPr>
          <w:sz w:val="22"/>
        </w:rPr>
        <w:t>the</w:t>
      </w:r>
      <w:r>
        <w:rPr>
          <w:spacing w:val="-2"/>
          <w:sz w:val="22"/>
        </w:rPr>
        <w:t> </w:t>
      </w:r>
      <w:r>
        <w:rPr>
          <w:sz w:val="22"/>
        </w:rPr>
        <w:t>Statewide</w:t>
      </w:r>
      <w:r>
        <w:rPr>
          <w:spacing w:val="-3"/>
          <w:sz w:val="22"/>
        </w:rPr>
        <w:t> </w:t>
      </w:r>
      <w:r>
        <w:rPr>
          <w:sz w:val="22"/>
        </w:rPr>
        <w:t>Quality</w:t>
      </w:r>
      <w:r>
        <w:rPr>
          <w:spacing w:val="-6"/>
          <w:sz w:val="22"/>
        </w:rPr>
        <w:t> </w:t>
      </w:r>
      <w:r>
        <w:rPr>
          <w:sz w:val="22"/>
        </w:rPr>
        <w:t>Score</w:t>
      </w:r>
      <w:r>
        <w:rPr>
          <w:spacing w:val="-3"/>
          <w:sz w:val="22"/>
        </w:rPr>
        <w:t> </w:t>
      </w:r>
      <w:r>
        <w:rPr>
          <w:sz w:val="22"/>
        </w:rPr>
        <w:t>for</w:t>
      </w:r>
      <w:r>
        <w:rPr>
          <w:spacing w:val="-2"/>
          <w:sz w:val="22"/>
        </w:rPr>
        <w:t> </w:t>
      </w:r>
      <w:r>
        <w:rPr>
          <w:sz w:val="22"/>
        </w:rPr>
        <w:t>BP</w:t>
      </w:r>
      <w:r>
        <w:rPr>
          <w:spacing w:val="-3"/>
          <w:sz w:val="22"/>
        </w:rPr>
        <w:t> </w:t>
      </w:r>
      <w:r>
        <w:rPr>
          <w:spacing w:val="-10"/>
          <w:sz w:val="22"/>
        </w:rPr>
        <w:t>4</w:t>
      </w:r>
    </w:p>
    <w:p>
      <w:pPr>
        <w:spacing w:after="0"/>
        <w:jc w:val="left"/>
        <w:rPr>
          <w:sz w:val="22"/>
        </w:rPr>
        <w:sectPr>
          <w:pgSz w:w="12240" w:h="15840"/>
          <w:pgMar w:header="0" w:footer="967" w:top="1420" w:bottom="1160" w:left="220" w:right="340"/>
        </w:sectPr>
      </w:pPr>
    </w:p>
    <w:tbl>
      <w:tblPr>
        <w:tblW w:w="0" w:type="auto"/>
        <w:jc w:val="left"/>
        <w:tblInd w:w="205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259"/>
        <w:gridCol w:w="1980"/>
        <w:gridCol w:w="1529"/>
        <w:gridCol w:w="927"/>
      </w:tblGrid>
      <w:tr>
        <w:trPr>
          <w:trHeight w:val="414" w:hRule="atLeast"/>
        </w:trPr>
        <w:tc>
          <w:tcPr>
            <w:tcW w:w="3259" w:type="dxa"/>
            <w:shd w:val="clear" w:color="auto" w:fill="1F487C"/>
          </w:tcPr>
          <w:p>
            <w:pPr>
              <w:pStyle w:val="TableParagraph"/>
              <w:spacing w:line="207" w:lineRule="exact"/>
              <w:ind w:left="204" w:right="195"/>
              <w:jc w:val="center"/>
              <w:rPr>
                <w:b/>
                <w:sz w:val="18"/>
              </w:rPr>
            </w:pPr>
            <w:r>
              <w:rPr>
                <w:b/>
                <w:color w:val="FFFFFF"/>
                <w:spacing w:val="-2"/>
                <w:sz w:val="18"/>
              </w:rPr>
              <w:t>Domain</w:t>
            </w:r>
          </w:p>
        </w:tc>
        <w:tc>
          <w:tcPr>
            <w:tcW w:w="1980" w:type="dxa"/>
            <w:shd w:val="clear" w:color="auto" w:fill="1F487C"/>
          </w:tcPr>
          <w:p>
            <w:pPr>
              <w:pStyle w:val="TableParagraph"/>
              <w:spacing w:line="206" w:lineRule="exact"/>
              <w:ind w:left="775" w:hanging="588"/>
              <w:rPr>
                <w:b/>
                <w:sz w:val="18"/>
              </w:rPr>
            </w:pPr>
            <w:r>
              <w:rPr>
                <w:b/>
                <w:color w:val="FFFFFF"/>
                <w:sz w:val="18"/>
              </w:rPr>
              <w:t>BP</w:t>
            </w:r>
            <w:r>
              <w:rPr>
                <w:b/>
                <w:color w:val="FFFFFF"/>
                <w:spacing w:val="-12"/>
                <w:sz w:val="18"/>
              </w:rPr>
              <w:t> </w:t>
            </w:r>
            <w:r>
              <w:rPr>
                <w:b/>
                <w:color w:val="FFFFFF"/>
                <w:sz w:val="18"/>
              </w:rPr>
              <w:t>4</w:t>
            </w:r>
            <w:r>
              <w:rPr>
                <w:b/>
                <w:color w:val="FFFFFF"/>
                <w:spacing w:val="-11"/>
                <w:sz w:val="18"/>
              </w:rPr>
              <w:t> </w:t>
            </w:r>
            <w:r>
              <w:rPr>
                <w:b/>
                <w:color w:val="FFFFFF"/>
                <w:sz w:val="18"/>
              </w:rPr>
              <w:t>DSRIP</w:t>
            </w:r>
            <w:r>
              <w:rPr>
                <w:b/>
                <w:color w:val="FFFFFF"/>
                <w:spacing w:val="-11"/>
                <w:sz w:val="18"/>
              </w:rPr>
              <w:t> </w:t>
            </w:r>
            <w:r>
              <w:rPr>
                <w:b/>
                <w:color w:val="FFFFFF"/>
                <w:sz w:val="18"/>
              </w:rPr>
              <w:t>Domain </w:t>
            </w:r>
            <w:r>
              <w:rPr>
                <w:b/>
                <w:color w:val="FFFFFF"/>
                <w:spacing w:val="-2"/>
                <w:sz w:val="18"/>
              </w:rPr>
              <w:t>Score</w:t>
            </w:r>
          </w:p>
        </w:tc>
        <w:tc>
          <w:tcPr>
            <w:tcW w:w="1529" w:type="dxa"/>
            <w:shd w:val="clear" w:color="auto" w:fill="1F487C"/>
          </w:tcPr>
          <w:p>
            <w:pPr>
              <w:pStyle w:val="TableParagraph"/>
              <w:spacing w:line="206" w:lineRule="exact"/>
              <w:ind w:left="142" w:right="133"/>
              <w:jc w:val="center"/>
              <w:rPr>
                <w:b/>
                <w:sz w:val="18"/>
              </w:rPr>
            </w:pPr>
            <w:r>
              <w:rPr>
                <w:b/>
                <w:color w:val="FFFFFF"/>
                <w:sz w:val="18"/>
              </w:rPr>
              <w:t>BP</w:t>
            </w:r>
            <w:r>
              <w:rPr>
                <w:b/>
                <w:color w:val="FFFFFF"/>
                <w:spacing w:val="-2"/>
                <w:sz w:val="18"/>
              </w:rPr>
              <w:t> </w:t>
            </w:r>
            <w:r>
              <w:rPr>
                <w:b/>
                <w:color w:val="FFFFFF"/>
                <w:sz w:val="18"/>
              </w:rPr>
              <w:t>4</w:t>
            </w:r>
            <w:r>
              <w:rPr>
                <w:b/>
                <w:color w:val="FFFFFF"/>
                <w:spacing w:val="3"/>
                <w:sz w:val="18"/>
              </w:rPr>
              <w:t> </w:t>
            </w:r>
            <w:r>
              <w:rPr>
                <w:b/>
                <w:color w:val="FFFFFF"/>
                <w:spacing w:val="-2"/>
                <w:sz w:val="18"/>
              </w:rPr>
              <w:t>DSRIP</w:t>
            </w:r>
          </w:p>
          <w:p>
            <w:pPr>
              <w:pStyle w:val="TableParagraph"/>
              <w:spacing w:line="188" w:lineRule="exact"/>
              <w:ind w:left="142" w:right="139"/>
              <w:jc w:val="center"/>
              <w:rPr>
                <w:b/>
                <w:sz w:val="18"/>
              </w:rPr>
            </w:pPr>
            <w:r>
              <w:rPr>
                <w:b/>
                <w:color w:val="FFFFFF"/>
                <w:sz w:val="18"/>
              </w:rPr>
              <w:t>Domain</w:t>
            </w:r>
            <w:r>
              <w:rPr>
                <w:b/>
                <w:color w:val="FFFFFF"/>
                <w:spacing w:val="-5"/>
                <w:sz w:val="18"/>
              </w:rPr>
              <w:t> </w:t>
            </w:r>
            <w:r>
              <w:rPr>
                <w:b/>
                <w:color w:val="FFFFFF"/>
                <w:spacing w:val="-2"/>
                <w:sz w:val="18"/>
              </w:rPr>
              <w:t>Weight</w:t>
            </w:r>
          </w:p>
        </w:tc>
        <w:tc>
          <w:tcPr>
            <w:tcW w:w="927" w:type="dxa"/>
            <w:shd w:val="clear" w:color="auto" w:fill="1F487C"/>
          </w:tcPr>
          <w:p>
            <w:pPr>
              <w:pStyle w:val="TableParagraph"/>
              <w:spacing w:line="207" w:lineRule="exact"/>
              <w:ind w:left="138" w:right="133"/>
              <w:jc w:val="center"/>
              <w:rPr>
                <w:b/>
                <w:sz w:val="18"/>
              </w:rPr>
            </w:pPr>
            <w:r>
              <w:rPr>
                <w:b/>
                <w:color w:val="FFFFFF"/>
                <w:spacing w:val="-2"/>
                <w:sz w:val="18"/>
              </w:rPr>
              <w:t>Product</w:t>
            </w:r>
          </w:p>
        </w:tc>
      </w:tr>
      <w:tr>
        <w:trPr>
          <w:trHeight w:val="205" w:hRule="atLeast"/>
        </w:trPr>
        <w:tc>
          <w:tcPr>
            <w:tcW w:w="3259" w:type="dxa"/>
            <w:shd w:val="clear" w:color="auto" w:fill="D9E1F3"/>
          </w:tcPr>
          <w:p>
            <w:pPr>
              <w:pStyle w:val="TableParagraph"/>
              <w:spacing w:line="186" w:lineRule="exact"/>
              <w:ind w:left="204" w:right="194"/>
              <w:jc w:val="center"/>
              <w:rPr>
                <w:sz w:val="18"/>
              </w:rPr>
            </w:pPr>
            <w:r>
              <w:rPr>
                <w:sz w:val="18"/>
              </w:rPr>
              <w:t>Prevention &amp;</w:t>
            </w:r>
            <w:r>
              <w:rPr>
                <w:spacing w:val="-1"/>
                <w:sz w:val="18"/>
              </w:rPr>
              <w:t> </w:t>
            </w:r>
            <w:r>
              <w:rPr>
                <w:spacing w:val="-2"/>
                <w:sz w:val="18"/>
              </w:rPr>
              <w:t>Wellness</w:t>
            </w:r>
          </w:p>
        </w:tc>
        <w:tc>
          <w:tcPr>
            <w:tcW w:w="1980" w:type="dxa"/>
          </w:tcPr>
          <w:p>
            <w:pPr>
              <w:pStyle w:val="TableParagraph"/>
              <w:spacing w:line="186" w:lineRule="exact"/>
              <w:ind w:left="198" w:right="184"/>
              <w:jc w:val="center"/>
              <w:rPr>
                <w:sz w:val="18"/>
              </w:rPr>
            </w:pPr>
            <w:r>
              <w:rPr>
                <w:spacing w:val="-4"/>
                <w:sz w:val="18"/>
              </w:rPr>
              <w:t>100%</w:t>
            </w:r>
          </w:p>
        </w:tc>
        <w:tc>
          <w:tcPr>
            <w:tcW w:w="1529" w:type="dxa"/>
          </w:tcPr>
          <w:p>
            <w:pPr>
              <w:pStyle w:val="TableParagraph"/>
              <w:spacing w:line="186" w:lineRule="exact"/>
              <w:ind w:left="142" w:right="128"/>
              <w:jc w:val="center"/>
              <w:rPr>
                <w:sz w:val="18"/>
              </w:rPr>
            </w:pPr>
            <w:r>
              <w:rPr>
                <w:spacing w:val="-5"/>
                <w:sz w:val="18"/>
              </w:rPr>
              <w:t>45%</w:t>
            </w:r>
          </w:p>
        </w:tc>
        <w:tc>
          <w:tcPr>
            <w:tcW w:w="927" w:type="dxa"/>
          </w:tcPr>
          <w:p>
            <w:pPr>
              <w:pStyle w:val="TableParagraph"/>
              <w:spacing w:line="186" w:lineRule="exact"/>
              <w:ind w:left="138" w:right="127"/>
              <w:jc w:val="center"/>
              <w:rPr>
                <w:sz w:val="18"/>
              </w:rPr>
            </w:pPr>
            <w:r>
              <w:rPr>
                <w:spacing w:val="-5"/>
                <w:sz w:val="18"/>
              </w:rPr>
              <w:t>45%</w:t>
            </w:r>
          </w:p>
        </w:tc>
      </w:tr>
      <w:tr>
        <w:trPr>
          <w:trHeight w:val="206" w:hRule="atLeast"/>
        </w:trPr>
        <w:tc>
          <w:tcPr>
            <w:tcW w:w="3259" w:type="dxa"/>
            <w:shd w:val="clear" w:color="auto" w:fill="D9E1F3"/>
          </w:tcPr>
          <w:p>
            <w:pPr>
              <w:pStyle w:val="TableParagraph"/>
              <w:spacing w:line="186" w:lineRule="exact"/>
              <w:ind w:left="204" w:right="196"/>
              <w:jc w:val="center"/>
              <w:rPr>
                <w:sz w:val="18"/>
              </w:rPr>
            </w:pPr>
            <w:r>
              <w:rPr>
                <w:sz w:val="18"/>
              </w:rPr>
              <w:t>Care</w:t>
            </w:r>
            <w:r>
              <w:rPr>
                <w:spacing w:val="-5"/>
                <w:sz w:val="18"/>
              </w:rPr>
              <w:t> </w:t>
            </w:r>
            <w:r>
              <w:rPr>
                <w:spacing w:val="-2"/>
                <w:sz w:val="18"/>
              </w:rPr>
              <w:t>Integration</w:t>
            </w:r>
          </w:p>
        </w:tc>
        <w:tc>
          <w:tcPr>
            <w:tcW w:w="1980" w:type="dxa"/>
          </w:tcPr>
          <w:p>
            <w:pPr>
              <w:pStyle w:val="TableParagraph"/>
              <w:spacing w:line="186" w:lineRule="exact"/>
              <w:ind w:left="198" w:right="184"/>
              <w:jc w:val="center"/>
              <w:rPr>
                <w:sz w:val="18"/>
              </w:rPr>
            </w:pPr>
            <w:r>
              <w:rPr>
                <w:spacing w:val="-4"/>
                <w:sz w:val="18"/>
              </w:rPr>
              <w:t>100%</w:t>
            </w:r>
          </w:p>
        </w:tc>
        <w:tc>
          <w:tcPr>
            <w:tcW w:w="1529" w:type="dxa"/>
          </w:tcPr>
          <w:p>
            <w:pPr>
              <w:pStyle w:val="TableParagraph"/>
              <w:spacing w:line="186" w:lineRule="exact"/>
              <w:ind w:left="142" w:right="128"/>
              <w:jc w:val="center"/>
              <w:rPr>
                <w:sz w:val="18"/>
              </w:rPr>
            </w:pPr>
            <w:r>
              <w:rPr>
                <w:spacing w:val="-5"/>
                <w:sz w:val="18"/>
              </w:rPr>
              <w:t>40%</w:t>
            </w:r>
          </w:p>
        </w:tc>
        <w:tc>
          <w:tcPr>
            <w:tcW w:w="927" w:type="dxa"/>
          </w:tcPr>
          <w:p>
            <w:pPr>
              <w:pStyle w:val="TableParagraph"/>
              <w:spacing w:line="186" w:lineRule="exact"/>
              <w:ind w:left="138" w:right="127"/>
              <w:jc w:val="center"/>
              <w:rPr>
                <w:sz w:val="18"/>
              </w:rPr>
            </w:pPr>
            <w:r>
              <w:rPr>
                <w:spacing w:val="-5"/>
                <w:sz w:val="18"/>
              </w:rPr>
              <w:t>40%</w:t>
            </w:r>
          </w:p>
        </w:tc>
      </w:tr>
      <w:tr>
        <w:trPr>
          <w:trHeight w:val="208" w:hRule="atLeast"/>
        </w:trPr>
        <w:tc>
          <w:tcPr>
            <w:tcW w:w="3259" w:type="dxa"/>
            <w:shd w:val="clear" w:color="auto" w:fill="D9E1F3"/>
          </w:tcPr>
          <w:p>
            <w:pPr>
              <w:pStyle w:val="TableParagraph"/>
              <w:spacing w:line="186" w:lineRule="exact" w:before="2"/>
              <w:ind w:left="204" w:right="196"/>
              <w:jc w:val="center"/>
              <w:rPr>
                <w:sz w:val="18"/>
              </w:rPr>
            </w:pPr>
            <w:r>
              <w:rPr>
                <w:sz w:val="18"/>
              </w:rPr>
              <w:t>PES:</w:t>
            </w:r>
            <w:r>
              <w:rPr>
                <w:spacing w:val="-2"/>
                <w:sz w:val="18"/>
              </w:rPr>
              <w:t> </w:t>
            </w:r>
            <w:r>
              <w:rPr>
                <w:sz w:val="18"/>
              </w:rPr>
              <w:t>Overall</w:t>
            </w:r>
            <w:r>
              <w:rPr>
                <w:spacing w:val="-1"/>
                <w:sz w:val="18"/>
              </w:rPr>
              <w:t> </w:t>
            </w:r>
            <w:r>
              <w:rPr>
                <w:sz w:val="18"/>
              </w:rPr>
              <w:t>Rating</w:t>
            </w:r>
            <w:r>
              <w:rPr>
                <w:spacing w:val="-3"/>
                <w:sz w:val="18"/>
              </w:rPr>
              <w:t> </w:t>
            </w:r>
            <w:r>
              <w:rPr>
                <w:sz w:val="18"/>
              </w:rPr>
              <w:t>and</w:t>
            </w:r>
            <w:r>
              <w:rPr>
                <w:spacing w:val="-2"/>
                <w:sz w:val="18"/>
              </w:rPr>
              <w:t> </w:t>
            </w:r>
            <w:r>
              <w:rPr>
                <w:sz w:val="18"/>
              </w:rPr>
              <w:t>Care</w:t>
            </w:r>
            <w:r>
              <w:rPr>
                <w:spacing w:val="-2"/>
                <w:sz w:val="18"/>
              </w:rPr>
              <w:t> Delivery</w:t>
            </w:r>
          </w:p>
        </w:tc>
        <w:tc>
          <w:tcPr>
            <w:tcW w:w="1980" w:type="dxa"/>
          </w:tcPr>
          <w:p>
            <w:pPr>
              <w:pStyle w:val="TableParagraph"/>
              <w:spacing w:line="186" w:lineRule="exact" w:before="2"/>
              <w:ind w:left="198" w:right="188"/>
              <w:jc w:val="center"/>
              <w:rPr>
                <w:sz w:val="18"/>
              </w:rPr>
            </w:pPr>
            <w:r>
              <w:rPr>
                <w:spacing w:val="-5"/>
                <w:sz w:val="18"/>
              </w:rPr>
              <w:t>0%</w:t>
            </w:r>
          </w:p>
        </w:tc>
        <w:tc>
          <w:tcPr>
            <w:tcW w:w="1529" w:type="dxa"/>
          </w:tcPr>
          <w:p>
            <w:pPr>
              <w:pStyle w:val="TableParagraph"/>
              <w:spacing w:line="186" w:lineRule="exact" w:before="2"/>
              <w:ind w:left="142" w:right="130"/>
              <w:jc w:val="center"/>
              <w:rPr>
                <w:sz w:val="18"/>
              </w:rPr>
            </w:pPr>
            <w:r>
              <w:rPr>
                <w:spacing w:val="-4"/>
                <w:sz w:val="18"/>
              </w:rPr>
              <w:t>7.5%</w:t>
            </w:r>
          </w:p>
        </w:tc>
        <w:tc>
          <w:tcPr>
            <w:tcW w:w="927" w:type="dxa"/>
          </w:tcPr>
          <w:p>
            <w:pPr>
              <w:pStyle w:val="TableParagraph"/>
              <w:spacing w:line="186" w:lineRule="exact" w:before="2"/>
              <w:ind w:left="138" w:right="127"/>
              <w:jc w:val="center"/>
              <w:rPr>
                <w:sz w:val="18"/>
              </w:rPr>
            </w:pPr>
            <w:r>
              <w:rPr>
                <w:spacing w:val="-5"/>
                <w:sz w:val="18"/>
              </w:rPr>
              <w:t>0%</w:t>
            </w:r>
          </w:p>
        </w:tc>
      </w:tr>
      <w:tr>
        <w:trPr>
          <w:trHeight w:val="205" w:hRule="atLeast"/>
        </w:trPr>
        <w:tc>
          <w:tcPr>
            <w:tcW w:w="3259" w:type="dxa"/>
            <w:shd w:val="clear" w:color="auto" w:fill="D9E1F3"/>
          </w:tcPr>
          <w:p>
            <w:pPr>
              <w:pStyle w:val="TableParagraph"/>
              <w:spacing w:line="186" w:lineRule="exact"/>
              <w:ind w:left="201" w:right="196"/>
              <w:jc w:val="center"/>
              <w:rPr>
                <w:sz w:val="18"/>
              </w:rPr>
            </w:pPr>
            <w:r>
              <w:rPr>
                <w:sz w:val="18"/>
              </w:rPr>
              <w:t>PES:</w:t>
            </w:r>
            <w:r>
              <w:rPr>
                <w:spacing w:val="-5"/>
                <w:sz w:val="18"/>
              </w:rPr>
              <w:t> </w:t>
            </w:r>
            <w:r>
              <w:rPr>
                <w:sz w:val="18"/>
              </w:rPr>
              <w:t>Person-centered</w:t>
            </w:r>
            <w:r>
              <w:rPr>
                <w:spacing w:val="-3"/>
                <w:sz w:val="18"/>
              </w:rPr>
              <w:t> </w:t>
            </w:r>
            <w:r>
              <w:rPr>
                <w:sz w:val="18"/>
              </w:rPr>
              <w:t>Integrated</w:t>
            </w:r>
            <w:r>
              <w:rPr>
                <w:spacing w:val="-3"/>
                <w:sz w:val="18"/>
              </w:rPr>
              <w:t> </w:t>
            </w:r>
            <w:r>
              <w:rPr>
                <w:spacing w:val="-4"/>
                <w:sz w:val="18"/>
              </w:rPr>
              <w:t>Care</w:t>
            </w:r>
          </w:p>
        </w:tc>
        <w:tc>
          <w:tcPr>
            <w:tcW w:w="1980" w:type="dxa"/>
          </w:tcPr>
          <w:p>
            <w:pPr>
              <w:pStyle w:val="TableParagraph"/>
              <w:spacing w:line="186" w:lineRule="exact"/>
              <w:ind w:left="198" w:right="188"/>
              <w:jc w:val="center"/>
              <w:rPr>
                <w:sz w:val="18"/>
              </w:rPr>
            </w:pPr>
            <w:r>
              <w:rPr>
                <w:spacing w:val="-5"/>
                <w:sz w:val="18"/>
              </w:rPr>
              <w:t>0%</w:t>
            </w:r>
          </w:p>
        </w:tc>
        <w:tc>
          <w:tcPr>
            <w:tcW w:w="1529" w:type="dxa"/>
          </w:tcPr>
          <w:p>
            <w:pPr>
              <w:pStyle w:val="TableParagraph"/>
              <w:spacing w:line="186" w:lineRule="exact"/>
              <w:ind w:left="142" w:right="130"/>
              <w:jc w:val="center"/>
              <w:rPr>
                <w:sz w:val="18"/>
              </w:rPr>
            </w:pPr>
            <w:r>
              <w:rPr>
                <w:spacing w:val="-4"/>
                <w:sz w:val="18"/>
              </w:rPr>
              <w:t>7.5%</w:t>
            </w:r>
          </w:p>
        </w:tc>
        <w:tc>
          <w:tcPr>
            <w:tcW w:w="927" w:type="dxa"/>
          </w:tcPr>
          <w:p>
            <w:pPr>
              <w:pStyle w:val="TableParagraph"/>
              <w:spacing w:line="186" w:lineRule="exact"/>
              <w:ind w:left="138" w:right="127"/>
              <w:jc w:val="center"/>
              <w:rPr>
                <w:sz w:val="18"/>
              </w:rPr>
            </w:pPr>
            <w:r>
              <w:rPr>
                <w:spacing w:val="-5"/>
                <w:sz w:val="18"/>
              </w:rPr>
              <w:t>0%</w:t>
            </w:r>
          </w:p>
        </w:tc>
      </w:tr>
      <w:tr>
        <w:trPr>
          <w:trHeight w:val="208" w:hRule="atLeast"/>
        </w:trPr>
        <w:tc>
          <w:tcPr>
            <w:tcW w:w="6768" w:type="dxa"/>
            <w:gridSpan w:val="3"/>
          </w:tcPr>
          <w:p>
            <w:pPr>
              <w:pStyle w:val="TableParagraph"/>
              <w:spacing w:line="188" w:lineRule="exact"/>
              <w:ind w:left="1778"/>
              <w:rPr>
                <w:b/>
                <w:sz w:val="18"/>
              </w:rPr>
            </w:pPr>
            <w:r>
              <w:rPr>
                <w:b/>
                <w:sz w:val="18"/>
              </w:rPr>
              <w:t>Overall</w:t>
            </w:r>
            <w:r>
              <w:rPr>
                <w:b/>
                <w:spacing w:val="-4"/>
                <w:sz w:val="18"/>
              </w:rPr>
              <w:t> </w:t>
            </w:r>
            <w:r>
              <w:rPr>
                <w:b/>
                <w:sz w:val="18"/>
              </w:rPr>
              <w:t>Statewide</w:t>
            </w:r>
            <w:r>
              <w:rPr>
                <w:b/>
                <w:spacing w:val="-4"/>
                <w:sz w:val="18"/>
              </w:rPr>
              <w:t> </w:t>
            </w:r>
            <w:r>
              <w:rPr>
                <w:b/>
                <w:sz w:val="18"/>
              </w:rPr>
              <w:t>Quality</w:t>
            </w:r>
            <w:r>
              <w:rPr>
                <w:b/>
                <w:spacing w:val="-2"/>
                <w:sz w:val="18"/>
              </w:rPr>
              <w:t> </w:t>
            </w:r>
            <w:r>
              <w:rPr>
                <w:b/>
                <w:sz w:val="18"/>
              </w:rPr>
              <w:t>Performance</w:t>
            </w:r>
            <w:r>
              <w:rPr>
                <w:b/>
                <w:spacing w:val="-4"/>
                <w:sz w:val="18"/>
              </w:rPr>
              <w:t> </w:t>
            </w:r>
            <w:r>
              <w:rPr>
                <w:b/>
                <w:sz w:val="18"/>
              </w:rPr>
              <w:t>(sum</w:t>
            </w:r>
            <w:r>
              <w:rPr>
                <w:b/>
                <w:spacing w:val="-6"/>
                <w:sz w:val="18"/>
              </w:rPr>
              <w:t> </w:t>
            </w:r>
            <w:r>
              <w:rPr>
                <w:b/>
                <w:sz w:val="18"/>
              </w:rPr>
              <w:t>of</w:t>
            </w:r>
            <w:r>
              <w:rPr>
                <w:b/>
                <w:spacing w:val="-4"/>
                <w:sz w:val="18"/>
              </w:rPr>
              <w:t> </w:t>
            </w:r>
            <w:r>
              <w:rPr>
                <w:b/>
                <w:sz w:val="18"/>
              </w:rPr>
              <w:t>the</w:t>
            </w:r>
            <w:r>
              <w:rPr>
                <w:b/>
                <w:spacing w:val="-1"/>
                <w:sz w:val="18"/>
              </w:rPr>
              <w:t> </w:t>
            </w:r>
            <w:r>
              <w:rPr>
                <w:b/>
                <w:sz w:val="18"/>
              </w:rPr>
              <w:t>products) </w:t>
            </w:r>
            <w:r>
              <w:rPr>
                <w:b/>
                <w:spacing w:val="-10"/>
                <w:sz w:val="18"/>
              </w:rPr>
              <w:t>=</w:t>
            </w:r>
          </w:p>
        </w:tc>
        <w:tc>
          <w:tcPr>
            <w:tcW w:w="927" w:type="dxa"/>
          </w:tcPr>
          <w:p>
            <w:pPr>
              <w:pStyle w:val="TableParagraph"/>
              <w:spacing w:line="188" w:lineRule="exact"/>
              <w:ind w:left="138" w:right="126"/>
              <w:jc w:val="center"/>
              <w:rPr>
                <w:b/>
                <w:sz w:val="18"/>
              </w:rPr>
            </w:pPr>
            <w:r>
              <w:rPr>
                <w:b/>
                <w:spacing w:val="-5"/>
                <w:sz w:val="18"/>
              </w:rPr>
              <w:t>85%</w:t>
            </w:r>
          </w:p>
        </w:tc>
      </w:tr>
    </w:tbl>
    <w:p>
      <w:pPr>
        <w:pStyle w:val="BodyText"/>
        <w:rPr>
          <w:sz w:val="20"/>
        </w:rPr>
      </w:pPr>
    </w:p>
    <w:p>
      <w:pPr>
        <w:pStyle w:val="Heading2"/>
        <w:spacing w:before="246"/>
        <w:ind w:left="1220" w:firstLine="0"/>
        <w:jc w:val="left"/>
      </w:pPr>
      <w:bookmarkStart w:name="Step 4: Calculate the Overall State DSRI" w:id="1534"/>
      <w:bookmarkEnd w:id="1534"/>
      <w:r>
        <w:rPr>
          <w:b w:val="0"/>
        </w:rPr>
      </w:r>
      <w:bookmarkStart w:name="_bookmark135" w:id="1535"/>
      <w:bookmarkEnd w:id="1535"/>
      <w:r>
        <w:rPr>
          <w:b w:val="0"/>
        </w:rPr>
      </w:r>
      <w:r>
        <w:rPr>
          <w:color w:val="4471C4"/>
        </w:rPr>
        <w:t>Step</w:t>
      </w:r>
      <w:r>
        <w:rPr>
          <w:color w:val="4471C4"/>
          <w:spacing w:val="-8"/>
        </w:rPr>
        <w:t> </w:t>
      </w:r>
      <w:r>
        <w:rPr>
          <w:color w:val="4471C4"/>
        </w:rPr>
        <w:t>4:</w:t>
      </w:r>
      <w:r>
        <w:rPr>
          <w:color w:val="4471C4"/>
          <w:spacing w:val="-8"/>
        </w:rPr>
        <w:t> </w:t>
      </w:r>
      <w:r>
        <w:rPr>
          <w:color w:val="4471C4"/>
        </w:rPr>
        <w:t>Calculate</w:t>
      </w:r>
      <w:r>
        <w:rPr>
          <w:color w:val="4471C4"/>
          <w:spacing w:val="-5"/>
        </w:rPr>
        <w:t> </w:t>
      </w:r>
      <w:r>
        <w:rPr>
          <w:color w:val="4471C4"/>
        </w:rPr>
        <w:t>the</w:t>
      </w:r>
      <w:r>
        <w:rPr>
          <w:color w:val="4471C4"/>
          <w:spacing w:val="-4"/>
        </w:rPr>
        <w:t> </w:t>
      </w:r>
      <w:r>
        <w:rPr>
          <w:color w:val="4471C4"/>
        </w:rPr>
        <w:t>Overall</w:t>
      </w:r>
      <w:r>
        <w:rPr>
          <w:color w:val="4471C4"/>
          <w:spacing w:val="-8"/>
        </w:rPr>
        <w:t> </w:t>
      </w:r>
      <w:r>
        <w:rPr>
          <w:color w:val="4471C4"/>
        </w:rPr>
        <w:t>State</w:t>
      </w:r>
      <w:r>
        <w:rPr>
          <w:color w:val="4471C4"/>
          <w:spacing w:val="-8"/>
        </w:rPr>
        <w:t> </w:t>
      </w:r>
      <w:r>
        <w:rPr>
          <w:color w:val="4471C4"/>
        </w:rPr>
        <w:t>DSRIP</w:t>
      </w:r>
      <w:r>
        <w:rPr>
          <w:color w:val="4471C4"/>
          <w:spacing w:val="-5"/>
        </w:rPr>
        <w:t> </w:t>
      </w:r>
      <w:r>
        <w:rPr>
          <w:color w:val="4471C4"/>
        </w:rPr>
        <w:t>Accountability</w:t>
      </w:r>
      <w:r>
        <w:rPr>
          <w:color w:val="4471C4"/>
          <w:spacing w:val="-4"/>
        </w:rPr>
        <w:t> </w:t>
      </w:r>
      <w:r>
        <w:rPr>
          <w:color w:val="4471C4"/>
        </w:rPr>
        <w:t>Score</w:t>
      </w:r>
      <w:r>
        <w:rPr>
          <w:color w:val="4471C4"/>
          <w:spacing w:val="-5"/>
        </w:rPr>
        <w:t> </w:t>
      </w:r>
      <w:r>
        <w:rPr>
          <w:color w:val="4471C4"/>
        </w:rPr>
        <w:t>for</w:t>
      </w:r>
      <w:r>
        <w:rPr>
          <w:color w:val="4471C4"/>
          <w:spacing w:val="-8"/>
        </w:rPr>
        <w:t> </w:t>
      </w:r>
      <w:r>
        <w:rPr>
          <w:color w:val="4471C4"/>
        </w:rPr>
        <w:t>BP</w:t>
      </w:r>
      <w:r>
        <w:rPr>
          <w:color w:val="4471C4"/>
          <w:spacing w:val="-8"/>
        </w:rPr>
        <w:t> </w:t>
      </w:r>
      <w:r>
        <w:rPr>
          <w:color w:val="4471C4"/>
          <w:spacing w:val="-10"/>
        </w:rPr>
        <w:t>4</w:t>
      </w:r>
    </w:p>
    <w:p>
      <w:pPr>
        <w:spacing w:line="244" w:lineRule="auto" w:before="0"/>
        <w:ind w:left="1220" w:right="1104" w:firstLine="0"/>
        <w:jc w:val="left"/>
        <w:rPr>
          <w:sz w:val="22"/>
        </w:rPr>
      </w:pPr>
      <w:r>
        <w:rPr>
          <w:sz w:val="22"/>
        </w:rPr>
        <w:t>The</w:t>
      </w:r>
      <w:r>
        <w:rPr>
          <w:spacing w:val="22"/>
          <w:sz w:val="22"/>
        </w:rPr>
        <w:t> </w:t>
      </w:r>
      <w:r>
        <w:rPr>
          <w:sz w:val="22"/>
        </w:rPr>
        <w:t>State</w:t>
      </w:r>
      <w:r>
        <w:rPr>
          <w:spacing w:val="22"/>
          <w:sz w:val="22"/>
        </w:rPr>
        <w:t> </w:t>
      </w:r>
      <w:r>
        <w:rPr>
          <w:sz w:val="22"/>
        </w:rPr>
        <w:t>will</w:t>
      </w:r>
      <w:r>
        <w:rPr>
          <w:spacing w:val="23"/>
          <w:sz w:val="22"/>
        </w:rPr>
        <w:t> </w:t>
      </w:r>
      <w:r>
        <w:rPr>
          <w:sz w:val="22"/>
        </w:rPr>
        <w:t>calculate</w:t>
      </w:r>
      <w:r>
        <w:rPr>
          <w:spacing w:val="22"/>
          <w:sz w:val="22"/>
        </w:rPr>
        <w:t> </w:t>
      </w:r>
      <w:r>
        <w:rPr>
          <w:sz w:val="22"/>
        </w:rPr>
        <w:t>the</w:t>
      </w:r>
      <w:r>
        <w:rPr>
          <w:spacing w:val="22"/>
          <w:sz w:val="22"/>
        </w:rPr>
        <w:t> </w:t>
      </w:r>
      <w:r>
        <w:rPr>
          <w:sz w:val="22"/>
        </w:rPr>
        <w:t>State</w:t>
      </w:r>
      <w:r>
        <w:rPr>
          <w:spacing w:val="22"/>
          <w:sz w:val="22"/>
        </w:rPr>
        <w:t> </w:t>
      </w:r>
      <w:r>
        <w:rPr>
          <w:sz w:val="22"/>
        </w:rPr>
        <w:t>DSRIP</w:t>
      </w:r>
      <w:r>
        <w:rPr>
          <w:spacing w:val="24"/>
          <w:sz w:val="22"/>
        </w:rPr>
        <w:t> </w:t>
      </w:r>
      <w:r>
        <w:rPr>
          <w:sz w:val="22"/>
        </w:rPr>
        <w:t>Accountability</w:t>
      </w:r>
      <w:r>
        <w:rPr>
          <w:spacing w:val="19"/>
          <w:sz w:val="22"/>
        </w:rPr>
        <w:t> </w:t>
      </w:r>
      <w:r>
        <w:rPr>
          <w:sz w:val="22"/>
        </w:rPr>
        <w:t>Score</w:t>
      </w:r>
      <w:r>
        <w:rPr>
          <w:spacing w:val="22"/>
          <w:sz w:val="22"/>
        </w:rPr>
        <w:t> </w:t>
      </w:r>
      <w:r>
        <w:rPr>
          <w:sz w:val="22"/>
        </w:rPr>
        <w:t>by</w:t>
      </w:r>
      <w:r>
        <w:rPr>
          <w:spacing w:val="22"/>
          <w:sz w:val="22"/>
        </w:rPr>
        <w:t> </w:t>
      </w:r>
      <w:r>
        <w:rPr>
          <w:sz w:val="22"/>
        </w:rPr>
        <w:t>multiplying</w:t>
      </w:r>
      <w:r>
        <w:rPr>
          <w:spacing w:val="19"/>
          <w:sz w:val="22"/>
        </w:rPr>
        <w:t> </w:t>
      </w:r>
      <w:r>
        <w:rPr>
          <w:sz w:val="22"/>
        </w:rPr>
        <w:t>the</w:t>
      </w:r>
      <w:r>
        <w:rPr>
          <w:spacing w:val="22"/>
          <w:sz w:val="22"/>
        </w:rPr>
        <w:t> </w:t>
      </w:r>
      <w:r>
        <w:rPr>
          <w:sz w:val="22"/>
        </w:rPr>
        <w:t>Score</w:t>
      </w:r>
      <w:r>
        <w:rPr>
          <w:spacing w:val="20"/>
          <w:sz w:val="22"/>
        </w:rPr>
        <w:t> </w:t>
      </w:r>
      <w:r>
        <w:rPr>
          <w:sz w:val="22"/>
        </w:rPr>
        <w:t>for</w:t>
      </w:r>
      <w:r>
        <w:rPr>
          <w:spacing w:val="23"/>
          <w:sz w:val="22"/>
        </w:rPr>
        <w:t> </w:t>
      </w:r>
      <w:r>
        <w:rPr>
          <w:sz w:val="22"/>
        </w:rPr>
        <w:t>each</w:t>
      </w:r>
      <w:r>
        <w:rPr>
          <w:spacing w:val="22"/>
          <w:sz w:val="22"/>
        </w:rPr>
        <w:t> </w:t>
      </w:r>
      <w:r>
        <w:rPr>
          <w:sz w:val="22"/>
        </w:rPr>
        <w:t>State DSRIP Accountability domain by the associated weight and then summing the totals together.</w:t>
      </w:r>
    </w:p>
    <w:p>
      <w:pPr>
        <w:spacing w:before="112"/>
        <w:ind w:left="1220" w:right="0" w:firstLine="0"/>
        <w:jc w:val="left"/>
        <w:rPr>
          <w:sz w:val="22"/>
        </w:rPr>
      </w:pPr>
      <w:r>
        <w:rPr>
          <w:sz w:val="22"/>
        </w:rPr>
        <w:t>For</w:t>
      </w:r>
      <w:r>
        <w:rPr>
          <w:spacing w:val="-1"/>
          <w:sz w:val="22"/>
        </w:rPr>
        <w:t> </w:t>
      </w:r>
      <w:r>
        <w:rPr>
          <w:sz w:val="22"/>
        </w:rPr>
        <w:t>this</w:t>
      </w:r>
      <w:r>
        <w:rPr>
          <w:spacing w:val="-4"/>
          <w:sz w:val="22"/>
        </w:rPr>
        <w:t> </w:t>
      </w:r>
      <w:r>
        <w:rPr>
          <w:sz w:val="22"/>
        </w:rPr>
        <w:t>example,</w:t>
      </w:r>
      <w:r>
        <w:rPr>
          <w:spacing w:val="-5"/>
          <w:sz w:val="22"/>
        </w:rPr>
        <w:t> </w:t>
      </w:r>
      <w:r>
        <w:rPr>
          <w:sz w:val="22"/>
        </w:rPr>
        <w:t>the</w:t>
      </w:r>
      <w:r>
        <w:rPr>
          <w:spacing w:val="-2"/>
          <w:sz w:val="22"/>
        </w:rPr>
        <w:t> </w:t>
      </w:r>
      <w:r>
        <w:rPr>
          <w:sz w:val="22"/>
        </w:rPr>
        <w:t>State</w:t>
      </w:r>
      <w:r>
        <w:rPr>
          <w:spacing w:val="-3"/>
          <w:sz w:val="22"/>
        </w:rPr>
        <w:t> </w:t>
      </w:r>
      <w:r>
        <w:rPr>
          <w:sz w:val="22"/>
        </w:rPr>
        <w:t>achieved</w:t>
      </w:r>
      <w:r>
        <w:rPr>
          <w:spacing w:val="-2"/>
          <w:sz w:val="22"/>
        </w:rPr>
        <w:t> </w:t>
      </w:r>
      <w:r>
        <w:rPr>
          <w:sz w:val="22"/>
        </w:rPr>
        <w:t>the</w:t>
      </w:r>
      <w:r>
        <w:rPr>
          <w:spacing w:val="-4"/>
          <w:sz w:val="22"/>
        </w:rPr>
        <w:t> </w:t>
      </w:r>
      <w:r>
        <w:rPr>
          <w:sz w:val="22"/>
        </w:rPr>
        <w:t>following</w:t>
      </w:r>
      <w:r>
        <w:rPr>
          <w:spacing w:val="-4"/>
          <w:sz w:val="22"/>
        </w:rPr>
        <w:t> </w:t>
      </w:r>
      <w:r>
        <w:rPr>
          <w:sz w:val="22"/>
        </w:rPr>
        <w:t>domain</w:t>
      </w:r>
      <w:r>
        <w:rPr>
          <w:spacing w:val="-2"/>
          <w:sz w:val="22"/>
        </w:rPr>
        <w:t> </w:t>
      </w:r>
      <w:r>
        <w:rPr>
          <w:sz w:val="22"/>
        </w:rPr>
        <w:t>scores</w:t>
      </w:r>
      <w:r>
        <w:rPr>
          <w:spacing w:val="-2"/>
          <w:sz w:val="22"/>
        </w:rPr>
        <w:t> </w:t>
      </w:r>
      <w:r>
        <w:rPr>
          <w:sz w:val="22"/>
        </w:rPr>
        <w:t>in</w:t>
      </w:r>
      <w:r>
        <w:rPr>
          <w:spacing w:val="-5"/>
          <w:sz w:val="22"/>
        </w:rPr>
        <w:t> </w:t>
      </w:r>
      <w:r>
        <w:rPr>
          <w:sz w:val="22"/>
        </w:rPr>
        <w:t>BP</w:t>
      </w:r>
      <w:r>
        <w:rPr>
          <w:spacing w:val="-2"/>
          <w:sz w:val="22"/>
        </w:rPr>
        <w:t> </w:t>
      </w:r>
      <w:r>
        <w:rPr>
          <w:spacing w:val="-5"/>
          <w:sz w:val="22"/>
        </w:rPr>
        <w:t>4:</w:t>
      </w:r>
    </w:p>
    <w:p>
      <w:pPr>
        <w:pStyle w:val="ListParagraph"/>
        <w:numPr>
          <w:ilvl w:val="0"/>
          <w:numId w:val="112"/>
        </w:numPr>
        <w:tabs>
          <w:tab w:pos="1995" w:val="left" w:leader="none"/>
        </w:tabs>
        <w:spacing w:line="240" w:lineRule="auto" w:before="117" w:after="0"/>
        <w:ind w:left="1995" w:right="0" w:hanging="360"/>
        <w:jc w:val="left"/>
        <w:rPr>
          <w:b/>
          <w:sz w:val="22"/>
        </w:rPr>
      </w:pPr>
      <w:r>
        <w:rPr>
          <w:sz w:val="22"/>
        </w:rPr>
        <w:t>MassHealth</w:t>
      </w:r>
      <w:r>
        <w:rPr>
          <w:spacing w:val="-5"/>
          <w:sz w:val="22"/>
        </w:rPr>
        <w:t> </w:t>
      </w:r>
      <w:r>
        <w:rPr>
          <w:sz w:val="22"/>
        </w:rPr>
        <w:t>ACO/APM</w:t>
      </w:r>
      <w:r>
        <w:rPr>
          <w:spacing w:val="-6"/>
          <w:sz w:val="22"/>
        </w:rPr>
        <w:t> </w:t>
      </w:r>
      <w:r>
        <w:rPr>
          <w:sz w:val="22"/>
        </w:rPr>
        <w:t>Adoption</w:t>
      </w:r>
      <w:r>
        <w:rPr>
          <w:spacing w:val="-5"/>
          <w:sz w:val="22"/>
        </w:rPr>
        <w:t> </w:t>
      </w:r>
      <w:r>
        <w:rPr>
          <w:sz w:val="22"/>
        </w:rPr>
        <w:t>Rate:</w:t>
      </w:r>
      <w:r>
        <w:rPr>
          <w:spacing w:val="-6"/>
          <w:sz w:val="22"/>
        </w:rPr>
        <w:t> </w:t>
      </w:r>
      <w:r>
        <w:rPr>
          <w:b/>
          <w:spacing w:val="-4"/>
          <w:sz w:val="22"/>
        </w:rPr>
        <w:t>100%</w:t>
      </w:r>
    </w:p>
    <w:p>
      <w:pPr>
        <w:pStyle w:val="ListParagraph"/>
        <w:numPr>
          <w:ilvl w:val="0"/>
          <w:numId w:val="112"/>
        </w:numPr>
        <w:tabs>
          <w:tab w:pos="2045" w:val="left" w:leader="none"/>
        </w:tabs>
        <w:spacing w:line="240" w:lineRule="auto" w:before="120" w:after="0"/>
        <w:ind w:left="2045" w:right="0" w:hanging="410"/>
        <w:jc w:val="left"/>
        <w:rPr>
          <w:b/>
          <w:sz w:val="22"/>
        </w:rPr>
      </w:pPr>
      <w:r>
        <w:rPr>
          <w:sz w:val="22"/>
        </w:rPr>
        <w:t>Reduction</w:t>
      </w:r>
      <w:r>
        <w:rPr>
          <w:spacing w:val="-7"/>
          <w:sz w:val="22"/>
        </w:rPr>
        <w:t> </w:t>
      </w:r>
      <w:r>
        <w:rPr>
          <w:sz w:val="22"/>
        </w:rPr>
        <w:t>in</w:t>
      </w:r>
      <w:r>
        <w:rPr>
          <w:spacing w:val="-3"/>
          <w:sz w:val="22"/>
        </w:rPr>
        <w:t> </w:t>
      </w:r>
      <w:r>
        <w:rPr>
          <w:sz w:val="22"/>
        </w:rPr>
        <w:t>State</w:t>
      </w:r>
      <w:r>
        <w:rPr>
          <w:spacing w:val="-3"/>
          <w:sz w:val="22"/>
        </w:rPr>
        <w:t> </w:t>
      </w:r>
      <w:r>
        <w:rPr>
          <w:sz w:val="22"/>
        </w:rPr>
        <w:t>Spending</w:t>
      </w:r>
      <w:r>
        <w:rPr>
          <w:spacing w:val="-6"/>
          <w:sz w:val="22"/>
        </w:rPr>
        <w:t> </w:t>
      </w:r>
      <w:r>
        <w:rPr>
          <w:sz w:val="22"/>
        </w:rPr>
        <w:t>Growth:</w:t>
      </w:r>
      <w:r>
        <w:rPr>
          <w:spacing w:val="-2"/>
          <w:sz w:val="22"/>
        </w:rPr>
        <w:t> </w:t>
      </w:r>
      <w:r>
        <w:rPr>
          <w:b/>
          <w:spacing w:val="-5"/>
          <w:sz w:val="22"/>
        </w:rPr>
        <w:t>64%</w:t>
      </w:r>
    </w:p>
    <w:p>
      <w:pPr>
        <w:pStyle w:val="ListParagraph"/>
        <w:numPr>
          <w:ilvl w:val="0"/>
          <w:numId w:val="112"/>
        </w:numPr>
        <w:tabs>
          <w:tab w:pos="1995" w:val="left" w:leader="none"/>
        </w:tabs>
        <w:spacing w:line="240" w:lineRule="auto" w:before="119" w:after="0"/>
        <w:ind w:left="1995" w:right="0" w:hanging="360"/>
        <w:jc w:val="left"/>
        <w:rPr>
          <w:b/>
          <w:sz w:val="22"/>
        </w:rPr>
      </w:pPr>
      <w:r>
        <w:rPr>
          <w:sz w:val="22"/>
        </w:rPr>
        <w:t>ACO</w:t>
      </w:r>
      <w:r>
        <w:rPr>
          <w:spacing w:val="-6"/>
          <w:sz w:val="22"/>
        </w:rPr>
        <w:t> </w:t>
      </w:r>
      <w:r>
        <w:rPr>
          <w:sz w:val="22"/>
        </w:rPr>
        <w:t>Quality</w:t>
      </w:r>
      <w:r>
        <w:rPr>
          <w:spacing w:val="-6"/>
          <w:sz w:val="22"/>
        </w:rPr>
        <w:t> </w:t>
      </w:r>
      <w:r>
        <w:rPr>
          <w:sz w:val="22"/>
        </w:rPr>
        <w:t>Performance:</w:t>
      </w:r>
      <w:r>
        <w:rPr>
          <w:spacing w:val="-6"/>
          <w:sz w:val="22"/>
        </w:rPr>
        <w:t> </w:t>
      </w:r>
      <w:r>
        <w:rPr>
          <w:b/>
          <w:spacing w:val="-5"/>
          <w:sz w:val="22"/>
        </w:rPr>
        <w:t>85%</w:t>
      </w:r>
    </w:p>
    <w:p>
      <w:pPr>
        <w:spacing w:before="121"/>
        <w:ind w:left="1220" w:right="0" w:firstLine="0"/>
        <w:jc w:val="left"/>
        <w:rPr>
          <w:sz w:val="22"/>
        </w:rPr>
      </w:pPr>
      <w:r>
        <w:rPr>
          <w:sz w:val="22"/>
        </w:rPr>
        <w:t>Thus,</w:t>
      </w:r>
      <w:r>
        <w:rPr>
          <w:spacing w:val="-5"/>
          <w:sz w:val="22"/>
        </w:rPr>
        <w:t> </w:t>
      </w:r>
      <w:r>
        <w:rPr>
          <w:sz w:val="22"/>
        </w:rPr>
        <w:t>the</w:t>
      </w:r>
      <w:r>
        <w:rPr>
          <w:spacing w:val="-2"/>
          <w:sz w:val="22"/>
        </w:rPr>
        <w:t> </w:t>
      </w:r>
      <w:r>
        <w:rPr>
          <w:sz w:val="22"/>
        </w:rPr>
        <w:t>State</w:t>
      </w:r>
      <w:r>
        <w:rPr>
          <w:spacing w:val="-3"/>
          <w:sz w:val="22"/>
        </w:rPr>
        <w:t> </w:t>
      </w:r>
      <w:r>
        <w:rPr>
          <w:sz w:val="22"/>
        </w:rPr>
        <w:t>DSRIP</w:t>
      </w:r>
      <w:r>
        <w:rPr>
          <w:spacing w:val="-3"/>
          <w:sz w:val="22"/>
        </w:rPr>
        <w:t> </w:t>
      </w:r>
      <w:r>
        <w:rPr>
          <w:sz w:val="22"/>
        </w:rPr>
        <w:t>Accountability</w:t>
      </w:r>
      <w:r>
        <w:rPr>
          <w:spacing w:val="-6"/>
          <w:sz w:val="22"/>
        </w:rPr>
        <w:t> </w:t>
      </w:r>
      <w:r>
        <w:rPr>
          <w:sz w:val="22"/>
        </w:rPr>
        <w:t>Score</w:t>
      </w:r>
      <w:r>
        <w:rPr>
          <w:spacing w:val="-4"/>
          <w:sz w:val="22"/>
        </w:rPr>
        <w:t> </w:t>
      </w:r>
      <w:r>
        <w:rPr>
          <w:sz w:val="22"/>
        </w:rPr>
        <w:t>for</w:t>
      </w:r>
      <w:r>
        <w:rPr>
          <w:spacing w:val="-2"/>
          <w:sz w:val="22"/>
        </w:rPr>
        <w:t> </w:t>
      </w:r>
      <w:r>
        <w:rPr>
          <w:sz w:val="22"/>
        </w:rPr>
        <w:t>BP</w:t>
      </w:r>
      <w:r>
        <w:rPr>
          <w:spacing w:val="-5"/>
          <w:sz w:val="22"/>
        </w:rPr>
        <w:t> </w:t>
      </w:r>
      <w:r>
        <w:rPr>
          <w:sz w:val="22"/>
        </w:rPr>
        <w:t>4</w:t>
      </w:r>
      <w:r>
        <w:rPr>
          <w:spacing w:val="-2"/>
          <w:sz w:val="22"/>
        </w:rPr>
        <w:t> </w:t>
      </w:r>
      <w:r>
        <w:rPr>
          <w:sz w:val="22"/>
        </w:rPr>
        <w:t>is</w:t>
      </w:r>
      <w:r>
        <w:rPr>
          <w:spacing w:val="-3"/>
          <w:sz w:val="22"/>
        </w:rPr>
        <w:t> </w:t>
      </w:r>
      <w:r>
        <w:rPr>
          <w:b/>
          <w:sz w:val="22"/>
        </w:rPr>
        <w:t>82.75%</w:t>
      </w:r>
      <w:r>
        <w:rPr>
          <w:sz w:val="22"/>
        </w:rPr>
        <w:t>,</w:t>
      </w:r>
      <w:r>
        <w:rPr>
          <w:spacing w:val="-2"/>
          <w:sz w:val="22"/>
        </w:rPr>
        <w:t> </w:t>
      </w:r>
      <w:r>
        <w:rPr>
          <w:sz w:val="22"/>
        </w:rPr>
        <w:t>as</w:t>
      </w:r>
      <w:r>
        <w:rPr>
          <w:spacing w:val="-5"/>
          <w:sz w:val="22"/>
        </w:rPr>
        <w:t> </w:t>
      </w:r>
      <w:r>
        <w:rPr>
          <w:sz w:val="22"/>
        </w:rPr>
        <w:t>demonstrated</w:t>
      </w:r>
      <w:r>
        <w:rPr>
          <w:spacing w:val="-7"/>
          <w:sz w:val="22"/>
        </w:rPr>
        <w:t> </w:t>
      </w:r>
      <w:r>
        <w:rPr>
          <w:sz w:val="22"/>
        </w:rPr>
        <w:t>in</w:t>
      </w:r>
      <w:r>
        <w:rPr>
          <w:spacing w:val="-3"/>
          <w:sz w:val="22"/>
        </w:rPr>
        <w:t> </w:t>
      </w:r>
      <w:r>
        <w:rPr>
          <w:sz w:val="22"/>
        </w:rPr>
        <w:t>the</w:t>
      </w:r>
      <w:r>
        <w:rPr>
          <w:spacing w:val="-2"/>
          <w:sz w:val="22"/>
        </w:rPr>
        <w:t> </w:t>
      </w:r>
      <w:r>
        <w:rPr>
          <w:sz w:val="22"/>
        </w:rPr>
        <w:t>table</w:t>
      </w:r>
      <w:r>
        <w:rPr>
          <w:spacing w:val="-2"/>
          <w:sz w:val="22"/>
        </w:rPr>
        <w:t> below:</w:t>
      </w:r>
    </w:p>
    <w:p>
      <w:pPr>
        <w:pStyle w:val="BodyText"/>
      </w:pPr>
    </w:p>
    <w:p>
      <w:pPr>
        <w:pStyle w:val="BodyText"/>
        <w:spacing w:before="10"/>
        <w:rPr>
          <w:sz w:val="18"/>
        </w:rPr>
      </w:pPr>
    </w:p>
    <w:p>
      <w:pPr>
        <w:spacing w:before="0"/>
        <w:ind w:left="1220" w:right="0" w:firstLine="0"/>
        <w:jc w:val="left"/>
        <w:rPr>
          <w:sz w:val="22"/>
        </w:rPr>
      </w:pPr>
      <w:r>
        <w:rPr>
          <w:b/>
          <w:sz w:val="22"/>
        </w:rPr>
        <w:t>EXHIBIT</w:t>
      </w:r>
      <w:r>
        <w:rPr>
          <w:b/>
          <w:spacing w:val="-5"/>
          <w:sz w:val="22"/>
        </w:rPr>
        <w:t> </w:t>
      </w:r>
      <w:r>
        <w:rPr>
          <w:b/>
          <w:sz w:val="22"/>
        </w:rPr>
        <w:t>A8</w:t>
      </w:r>
      <w:r>
        <w:rPr>
          <w:b/>
          <w:spacing w:val="-3"/>
          <w:sz w:val="22"/>
        </w:rPr>
        <w:t> </w:t>
      </w:r>
      <w:r>
        <w:rPr>
          <w:sz w:val="22"/>
        </w:rPr>
        <w:t>–</w:t>
      </w:r>
      <w:r>
        <w:rPr>
          <w:spacing w:val="-4"/>
          <w:sz w:val="22"/>
        </w:rPr>
        <w:t> </w:t>
      </w:r>
      <w:r>
        <w:rPr>
          <w:sz w:val="22"/>
        </w:rPr>
        <w:t>Calculating</w:t>
      </w:r>
      <w:r>
        <w:rPr>
          <w:spacing w:val="-6"/>
          <w:sz w:val="22"/>
        </w:rPr>
        <w:t> </w:t>
      </w:r>
      <w:r>
        <w:rPr>
          <w:sz w:val="22"/>
        </w:rPr>
        <w:t>the</w:t>
      </w:r>
      <w:r>
        <w:rPr>
          <w:spacing w:val="-4"/>
          <w:sz w:val="22"/>
        </w:rPr>
        <w:t> </w:t>
      </w:r>
      <w:r>
        <w:rPr>
          <w:sz w:val="22"/>
        </w:rPr>
        <w:t>Overall</w:t>
      </w:r>
      <w:r>
        <w:rPr>
          <w:spacing w:val="-5"/>
          <w:sz w:val="22"/>
        </w:rPr>
        <w:t> </w:t>
      </w:r>
      <w:r>
        <w:rPr>
          <w:sz w:val="22"/>
        </w:rPr>
        <w:t>State</w:t>
      </w:r>
      <w:r>
        <w:rPr>
          <w:spacing w:val="-4"/>
          <w:sz w:val="22"/>
        </w:rPr>
        <w:t> </w:t>
      </w:r>
      <w:r>
        <w:rPr>
          <w:sz w:val="22"/>
        </w:rPr>
        <w:t>DSRIP</w:t>
      </w:r>
      <w:r>
        <w:rPr>
          <w:spacing w:val="-4"/>
          <w:sz w:val="22"/>
        </w:rPr>
        <w:t> </w:t>
      </w:r>
      <w:r>
        <w:rPr>
          <w:sz w:val="22"/>
        </w:rPr>
        <w:t>Accountability</w:t>
      </w:r>
      <w:r>
        <w:rPr>
          <w:spacing w:val="-6"/>
          <w:sz w:val="22"/>
        </w:rPr>
        <w:t> </w:t>
      </w:r>
      <w:r>
        <w:rPr>
          <w:spacing w:val="-2"/>
          <w:sz w:val="22"/>
        </w:rPr>
        <w:t>Score</w:t>
      </w:r>
    </w:p>
    <w:p>
      <w:pPr>
        <w:pStyle w:val="BodyText"/>
        <w:spacing w:before="5"/>
        <w:rPr>
          <w:sz w:val="10"/>
        </w:rPr>
      </w:pPr>
    </w:p>
    <w:tbl>
      <w:tblPr>
        <w:tblW w:w="0" w:type="auto"/>
        <w:jc w:val="left"/>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
        <w:gridCol w:w="3821"/>
        <w:gridCol w:w="1320"/>
        <w:gridCol w:w="1320"/>
        <w:gridCol w:w="1500"/>
        <w:gridCol w:w="979"/>
        <w:gridCol w:w="211"/>
      </w:tblGrid>
      <w:tr>
        <w:trPr>
          <w:trHeight w:val="407" w:hRule="atLeast"/>
        </w:trPr>
        <w:tc>
          <w:tcPr>
            <w:tcW w:w="223" w:type="dxa"/>
            <w:vMerge w:val="restart"/>
            <w:tcBorders>
              <w:left w:val="nil"/>
              <w:right w:val="single" w:sz="4" w:space="0" w:color="BEBEBE"/>
            </w:tcBorders>
          </w:tcPr>
          <w:p>
            <w:pPr>
              <w:pStyle w:val="TableParagraph"/>
              <w:rPr>
                <w:sz w:val="20"/>
              </w:rPr>
            </w:pPr>
          </w:p>
        </w:tc>
        <w:tc>
          <w:tcPr>
            <w:tcW w:w="8940" w:type="dxa"/>
            <w:gridSpan w:val="5"/>
            <w:tcBorders>
              <w:top w:val="single" w:sz="8" w:space="0" w:color="000000"/>
              <w:left w:val="single" w:sz="4" w:space="0" w:color="BEBEBE"/>
              <w:bottom w:val="single" w:sz="4" w:space="0" w:color="BEBEBE"/>
              <w:right w:val="single" w:sz="4" w:space="0" w:color="BEBEBE"/>
            </w:tcBorders>
            <w:shd w:val="clear" w:color="auto" w:fill="1F487C"/>
          </w:tcPr>
          <w:p>
            <w:pPr>
              <w:pStyle w:val="TableParagraph"/>
              <w:ind w:left="103"/>
              <w:rPr>
                <w:b/>
                <w:sz w:val="20"/>
              </w:rPr>
            </w:pPr>
            <w:r>
              <w:rPr>
                <w:b/>
                <w:color w:val="FFFFFF"/>
                <w:sz w:val="20"/>
              </w:rPr>
              <w:t>Example</w:t>
            </w:r>
            <w:r>
              <w:rPr>
                <w:b/>
                <w:color w:val="FFFFFF"/>
                <w:spacing w:val="-7"/>
                <w:sz w:val="20"/>
              </w:rPr>
              <w:t> </w:t>
            </w:r>
            <w:r>
              <w:rPr>
                <w:b/>
                <w:color w:val="FFFFFF"/>
                <w:sz w:val="20"/>
              </w:rPr>
              <w:t>Calculation</w:t>
            </w:r>
            <w:r>
              <w:rPr>
                <w:b/>
                <w:color w:val="FFFFFF"/>
                <w:spacing w:val="-6"/>
                <w:sz w:val="20"/>
              </w:rPr>
              <w:t> </w:t>
            </w:r>
            <w:r>
              <w:rPr>
                <w:b/>
                <w:color w:val="FFFFFF"/>
                <w:sz w:val="20"/>
              </w:rPr>
              <w:t>of</w:t>
            </w:r>
            <w:r>
              <w:rPr>
                <w:b/>
                <w:color w:val="FFFFFF"/>
                <w:spacing w:val="-6"/>
                <w:sz w:val="20"/>
              </w:rPr>
              <w:t> </w:t>
            </w:r>
            <w:r>
              <w:rPr>
                <w:b/>
                <w:color w:val="FFFFFF"/>
                <w:sz w:val="20"/>
              </w:rPr>
              <w:t>State</w:t>
            </w:r>
            <w:r>
              <w:rPr>
                <w:b/>
                <w:color w:val="FFFFFF"/>
                <w:spacing w:val="-6"/>
                <w:sz w:val="20"/>
              </w:rPr>
              <w:t> </w:t>
            </w:r>
            <w:r>
              <w:rPr>
                <w:b/>
                <w:color w:val="FFFFFF"/>
                <w:sz w:val="20"/>
              </w:rPr>
              <w:t>DSRIP</w:t>
            </w:r>
            <w:r>
              <w:rPr>
                <w:b/>
                <w:color w:val="FFFFFF"/>
                <w:spacing w:val="-6"/>
                <w:sz w:val="20"/>
              </w:rPr>
              <w:t> </w:t>
            </w:r>
            <w:r>
              <w:rPr>
                <w:b/>
                <w:color w:val="FFFFFF"/>
                <w:sz w:val="20"/>
              </w:rPr>
              <w:t>Accountability</w:t>
            </w:r>
            <w:r>
              <w:rPr>
                <w:b/>
                <w:color w:val="FFFFFF"/>
                <w:spacing w:val="-5"/>
                <w:sz w:val="20"/>
              </w:rPr>
              <w:t> </w:t>
            </w:r>
            <w:r>
              <w:rPr>
                <w:b/>
                <w:color w:val="FFFFFF"/>
                <w:sz w:val="20"/>
              </w:rPr>
              <w:t>Score</w:t>
            </w:r>
            <w:r>
              <w:rPr>
                <w:b/>
                <w:color w:val="FFFFFF"/>
                <w:spacing w:val="-7"/>
                <w:sz w:val="20"/>
              </w:rPr>
              <w:t> </w:t>
            </w:r>
            <w:r>
              <w:rPr>
                <w:b/>
                <w:color w:val="FFFFFF"/>
                <w:sz w:val="20"/>
              </w:rPr>
              <w:t>for</w:t>
            </w:r>
            <w:r>
              <w:rPr>
                <w:b/>
                <w:color w:val="FFFFFF"/>
                <w:spacing w:val="-6"/>
                <w:sz w:val="20"/>
              </w:rPr>
              <w:t> </w:t>
            </w:r>
            <w:r>
              <w:rPr>
                <w:b/>
                <w:color w:val="FFFFFF"/>
                <w:sz w:val="20"/>
              </w:rPr>
              <w:t>BP</w:t>
            </w:r>
            <w:r>
              <w:rPr>
                <w:b/>
                <w:color w:val="FFFFFF"/>
                <w:spacing w:val="-8"/>
                <w:sz w:val="20"/>
              </w:rPr>
              <w:t> </w:t>
            </w:r>
            <w:r>
              <w:rPr>
                <w:b/>
                <w:color w:val="FFFFFF"/>
                <w:spacing w:val="-10"/>
                <w:sz w:val="20"/>
              </w:rPr>
              <w:t>4</w:t>
            </w:r>
          </w:p>
        </w:tc>
        <w:tc>
          <w:tcPr>
            <w:tcW w:w="211" w:type="dxa"/>
            <w:vMerge w:val="restart"/>
            <w:tcBorders>
              <w:left w:val="single" w:sz="4" w:space="0" w:color="BEBEBE"/>
              <w:right w:val="nil"/>
            </w:tcBorders>
          </w:tcPr>
          <w:p>
            <w:pPr>
              <w:pStyle w:val="TableParagraph"/>
              <w:rPr>
                <w:sz w:val="20"/>
              </w:rPr>
            </w:pPr>
          </w:p>
        </w:tc>
      </w:tr>
      <w:tr>
        <w:trPr>
          <w:trHeight w:val="904" w:hRule="atLeast"/>
        </w:trPr>
        <w:tc>
          <w:tcPr>
            <w:tcW w:w="223" w:type="dxa"/>
            <w:vMerge/>
            <w:tcBorders>
              <w:top w:val="nil"/>
              <w:left w:val="nil"/>
              <w:right w:val="single" w:sz="4" w:space="0" w:color="BEBEBE"/>
            </w:tcBorders>
          </w:tcPr>
          <w:p>
            <w:pPr>
              <w:rPr>
                <w:sz w:val="2"/>
                <w:szCs w:val="2"/>
              </w:rPr>
            </w:pPr>
          </w:p>
        </w:tc>
        <w:tc>
          <w:tcPr>
            <w:tcW w:w="3821"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before="8"/>
              <w:rPr>
                <w:sz w:val="21"/>
              </w:rPr>
            </w:pPr>
          </w:p>
          <w:p>
            <w:pPr>
              <w:pStyle w:val="TableParagraph"/>
              <w:ind w:left="103"/>
              <w:rPr>
                <w:b/>
                <w:sz w:val="20"/>
              </w:rPr>
            </w:pPr>
            <w:r>
              <w:rPr>
                <w:b/>
                <w:sz w:val="20"/>
              </w:rPr>
              <w:t>DSRIP</w:t>
            </w:r>
            <w:r>
              <w:rPr>
                <w:b/>
                <w:spacing w:val="-10"/>
                <w:sz w:val="20"/>
              </w:rPr>
              <w:t> </w:t>
            </w:r>
            <w:r>
              <w:rPr>
                <w:b/>
                <w:sz w:val="20"/>
              </w:rPr>
              <w:t>Accountability</w:t>
            </w:r>
            <w:r>
              <w:rPr>
                <w:b/>
                <w:spacing w:val="-10"/>
                <w:sz w:val="20"/>
              </w:rPr>
              <w:t> </w:t>
            </w:r>
            <w:r>
              <w:rPr>
                <w:b/>
                <w:spacing w:val="-2"/>
                <w:sz w:val="20"/>
              </w:rPr>
              <w:t>Domain</w:t>
            </w:r>
          </w:p>
        </w:tc>
        <w:tc>
          <w:tcPr>
            <w:tcW w:w="1320"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line="256" w:lineRule="auto" w:before="125"/>
              <w:ind w:left="102" w:right="522"/>
              <w:rPr>
                <w:b/>
                <w:sz w:val="20"/>
              </w:rPr>
            </w:pPr>
            <w:r>
              <w:rPr>
                <w:b/>
                <w:spacing w:val="-2"/>
                <w:sz w:val="20"/>
              </w:rPr>
              <w:t>Domain Weight</w:t>
            </w:r>
          </w:p>
        </w:tc>
        <w:tc>
          <w:tcPr>
            <w:tcW w:w="1320"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line="259" w:lineRule="auto"/>
              <w:ind w:left="102" w:right="522"/>
              <w:rPr>
                <w:b/>
                <w:sz w:val="20"/>
              </w:rPr>
            </w:pPr>
            <w:r>
              <w:rPr>
                <w:b/>
                <w:spacing w:val="-2"/>
                <w:sz w:val="20"/>
              </w:rPr>
              <w:t>State Domain Score</w:t>
            </w:r>
          </w:p>
        </w:tc>
        <w:tc>
          <w:tcPr>
            <w:tcW w:w="2479" w:type="dxa"/>
            <w:gridSpan w:val="2"/>
            <w:tcBorders>
              <w:top w:val="single" w:sz="4" w:space="0" w:color="BEBEBE"/>
              <w:left w:val="single" w:sz="4" w:space="0" w:color="BEBEBE"/>
              <w:bottom w:val="single" w:sz="4" w:space="0" w:color="BEBEBE"/>
              <w:right w:val="single" w:sz="4" w:space="0" w:color="BEBEBE"/>
            </w:tcBorders>
            <w:shd w:val="clear" w:color="auto" w:fill="D9D9D9"/>
          </w:tcPr>
          <w:p>
            <w:pPr>
              <w:pStyle w:val="TableParagraph"/>
              <w:tabs>
                <w:tab w:pos="1768" w:val="left" w:leader="none"/>
              </w:tabs>
              <w:ind w:left="102"/>
              <w:rPr>
                <w:b/>
                <w:sz w:val="20"/>
              </w:rPr>
            </w:pPr>
            <w:r>
              <w:rPr>
                <w:b/>
                <w:spacing w:val="-2"/>
                <w:sz w:val="20"/>
              </w:rPr>
              <w:t>State</w:t>
            </w:r>
            <w:r>
              <w:rPr>
                <w:b/>
                <w:sz w:val="20"/>
              </w:rPr>
              <w:tab/>
            </w:r>
            <w:r>
              <w:rPr>
                <w:b/>
                <w:spacing w:val="-4"/>
                <w:sz w:val="20"/>
              </w:rPr>
              <w:t>DSRIP</w:t>
            </w:r>
          </w:p>
          <w:p>
            <w:pPr>
              <w:pStyle w:val="TableParagraph"/>
              <w:tabs>
                <w:tab w:pos="1888" w:val="left" w:leader="none"/>
              </w:tabs>
              <w:spacing w:line="256" w:lineRule="auto" w:before="20"/>
              <w:ind w:left="102" w:right="100"/>
              <w:rPr>
                <w:b/>
                <w:sz w:val="20"/>
              </w:rPr>
            </w:pPr>
            <w:r>
              <w:rPr>
                <w:b/>
                <w:spacing w:val="-2"/>
                <w:sz w:val="20"/>
              </w:rPr>
              <w:t>Accountability</w:t>
            </w:r>
            <w:r>
              <w:rPr>
                <w:b/>
                <w:sz w:val="20"/>
              </w:rPr>
              <w:tab/>
            </w:r>
            <w:r>
              <w:rPr>
                <w:b/>
                <w:spacing w:val="-4"/>
                <w:sz w:val="20"/>
              </w:rPr>
              <w:t>Score </w:t>
            </w:r>
            <w:r>
              <w:rPr>
                <w:b/>
                <w:spacing w:val="-2"/>
                <w:sz w:val="20"/>
              </w:rPr>
              <w:t>Calculations</w:t>
            </w:r>
          </w:p>
        </w:tc>
        <w:tc>
          <w:tcPr>
            <w:tcW w:w="211" w:type="dxa"/>
            <w:vMerge/>
            <w:tcBorders>
              <w:top w:val="nil"/>
              <w:left w:val="single" w:sz="4" w:space="0" w:color="BEBEBE"/>
              <w:right w:val="nil"/>
            </w:tcBorders>
          </w:tcPr>
          <w:p>
            <w:pPr>
              <w:rPr>
                <w:sz w:val="2"/>
                <w:szCs w:val="2"/>
              </w:rPr>
            </w:pPr>
          </w:p>
        </w:tc>
      </w:tr>
      <w:tr>
        <w:trPr>
          <w:trHeight w:val="407" w:hRule="atLeast"/>
        </w:trPr>
        <w:tc>
          <w:tcPr>
            <w:tcW w:w="223" w:type="dxa"/>
            <w:vMerge/>
            <w:tcBorders>
              <w:top w:val="nil"/>
              <w:left w:val="nil"/>
              <w:right w:val="single" w:sz="4" w:space="0" w:color="BEBEBE"/>
            </w:tcBorders>
          </w:tcPr>
          <w:p>
            <w:pPr>
              <w:rPr>
                <w:sz w:val="2"/>
                <w:szCs w:val="2"/>
              </w:rPr>
            </w:pPr>
          </w:p>
        </w:tc>
        <w:tc>
          <w:tcPr>
            <w:tcW w:w="3821" w:type="dxa"/>
            <w:tcBorders>
              <w:top w:val="single" w:sz="4" w:space="0" w:color="BEBEBE"/>
              <w:left w:val="single" w:sz="4" w:space="0" w:color="BEBEBE"/>
              <w:bottom w:val="single" w:sz="4" w:space="0" w:color="BEBEBE"/>
              <w:right w:val="single" w:sz="4" w:space="0" w:color="BEBEBE"/>
            </w:tcBorders>
            <w:shd w:val="clear" w:color="auto" w:fill="DCE6F0"/>
          </w:tcPr>
          <w:p>
            <w:pPr>
              <w:pStyle w:val="TableParagraph"/>
              <w:ind w:left="103"/>
              <w:rPr>
                <w:sz w:val="20"/>
              </w:rPr>
            </w:pPr>
            <w:r>
              <w:rPr>
                <w:sz w:val="20"/>
              </w:rPr>
              <w:t>MassHealth</w:t>
            </w:r>
            <w:r>
              <w:rPr>
                <w:spacing w:val="-9"/>
                <w:sz w:val="20"/>
              </w:rPr>
              <w:t> </w:t>
            </w:r>
            <w:r>
              <w:rPr>
                <w:sz w:val="20"/>
              </w:rPr>
              <w:t>ACO/APM</w:t>
            </w:r>
            <w:r>
              <w:rPr>
                <w:spacing w:val="-7"/>
                <w:sz w:val="20"/>
              </w:rPr>
              <w:t> </w:t>
            </w:r>
            <w:r>
              <w:rPr>
                <w:sz w:val="20"/>
              </w:rPr>
              <w:t>Adoption</w:t>
            </w:r>
            <w:r>
              <w:rPr>
                <w:spacing w:val="-10"/>
                <w:sz w:val="20"/>
              </w:rPr>
              <w:t> </w:t>
            </w:r>
            <w:r>
              <w:rPr>
                <w:spacing w:val="-4"/>
                <w:sz w:val="20"/>
              </w:rPr>
              <w:t>Rate</w:t>
            </w:r>
          </w:p>
        </w:tc>
        <w:tc>
          <w:tcPr>
            <w:tcW w:w="1320" w:type="dxa"/>
            <w:tcBorders>
              <w:top w:val="single" w:sz="4" w:space="0" w:color="BEBEBE"/>
              <w:left w:val="single" w:sz="4" w:space="0" w:color="BEBEBE"/>
              <w:bottom w:val="single" w:sz="4" w:space="0" w:color="BEBEBE"/>
              <w:right w:val="single" w:sz="4" w:space="0" w:color="BEBEBE"/>
            </w:tcBorders>
          </w:tcPr>
          <w:p>
            <w:pPr>
              <w:pStyle w:val="TableParagraph"/>
              <w:ind w:left="102"/>
              <w:rPr>
                <w:sz w:val="20"/>
              </w:rPr>
            </w:pPr>
            <w:r>
              <w:rPr>
                <w:spacing w:val="-5"/>
                <w:sz w:val="20"/>
              </w:rPr>
              <w:t>20%</w:t>
            </w:r>
          </w:p>
        </w:tc>
        <w:tc>
          <w:tcPr>
            <w:tcW w:w="1320" w:type="dxa"/>
            <w:tcBorders>
              <w:top w:val="single" w:sz="4" w:space="0" w:color="BEBEBE"/>
              <w:left w:val="single" w:sz="4" w:space="0" w:color="BEBEBE"/>
              <w:bottom w:val="single" w:sz="4" w:space="0" w:color="BEBEBE"/>
              <w:right w:val="single" w:sz="4" w:space="0" w:color="BEBEBE"/>
            </w:tcBorders>
          </w:tcPr>
          <w:p>
            <w:pPr>
              <w:pStyle w:val="TableParagraph"/>
              <w:ind w:left="102"/>
              <w:rPr>
                <w:sz w:val="20"/>
              </w:rPr>
            </w:pPr>
            <w:r>
              <w:rPr>
                <w:spacing w:val="-4"/>
                <w:sz w:val="20"/>
              </w:rPr>
              <w:t>100%</w:t>
            </w:r>
          </w:p>
        </w:tc>
        <w:tc>
          <w:tcPr>
            <w:tcW w:w="1500" w:type="dxa"/>
            <w:tcBorders>
              <w:top w:val="single" w:sz="4" w:space="0" w:color="BEBEBE"/>
              <w:left w:val="single" w:sz="4" w:space="0" w:color="BEBEBE"/>
              <w:bottom w:val="single" w:sz="4" w:space="0" w:color="BEBEBE"/>
              <w:right w:val="single" w:sz="4" w:space="0" w:color="BEBEBE"/>
            </w:tcBorders>
          </w:tcPr>
          <w:p>
            <w:pPr>
              <w:pStyle w:val="TableParagraph"/>
              <w:ind w:left="92" w:right="176"/>
              <w:jc w:val="center"/>
              <w:rPr>
                <w:sz w:val="20"/>
              </w:rPr>
            </w:pPr>
            <w:r>
              <w:rPr>
                <w:sz w:val="20"/>
              </w:rPr>
              <w:t>20%</w:t>
            </w:r>
            <w:r>
              <w:rPr>
                <w:spacing w:val="-2"/>
                <w:sz w:val="20"/>
              </w:rPr>
              <w:t> </w:t>
            </w:r>
            <w:r>
              <w:rPr>
                <w:sz w:val="20"/>
              </w:rPr>
              <w:t>x</w:t>
            </w:r>
            <w:r>
              <w:rPr>
                <w:spacing w:val="-2"/>
                <w:sz w:val="20"/>
              </w:rPr>
              <w:t> </w:t>
            </w:r>
            <w:r>
              <w:rPr>
                <w:sz w:val="20"/>
              </w:rPr>
              <w:t>100%</w:t>
            </w:r>
            <w:r>
              <w:rPr>
                <w:spacing w:val="-2"/>
                <w:sz w:val="20"/>
              </w:rPr>
              <w:t> </w:t>
            </w:r>
            <w:r>
              <w:rPr>
                <w:spacing w:val="-10"/>
                <w:sz w:val="20"/>
              </w:rPr>
              <w:t>=</w:t>
            </w:r>
          </w:p>
        </w:tc>
        <w:tc>
          <w:tcPr>
            <w:tcW w:w="979" w:type="dxa"/>
            <w:tcBorders>
              <w:top w:val="single" w:sz="4" w:space="0" w:color="BEBEBE"/>
              <w:left w:val="single" w:sz="4" w:space="0" w:color="BEBEBE"/>
              <w:bottom w:val="single" w:sz="4" w:space="0" w:color="BEBEBE"/>
              <w:right w:val="single" w:sz="4" w:space="0" w:color="BEBEBE"/>
            </w:tcBorders>
          </w:tcPr>
          <w:p>
            <w:pPr>
              <w:pStyle w:val="TableParagraph"/>
              <w:ind w:left="102"/>
              <w:rPr>
                <w:sz w:val="20"/>
              </w:rPr>
            </w:pPr>
            <w:r>
              <w:rPr>
                <w:spacing w:val="-5"/>
                <w:sz w:val="20"/>
              </w:rPr>
              <w:t>20%</w:t>
            </w:r>
          </w:p>
        </w:tc>
        <w:tc>
          <w:tcPr>
            <w:tcW w:w="211" w:type="dxa"/>
            <w:vMerge/>
            <w:tcBorders>
              <w:top w:val="nil"/>
              <w:left w:val="single" w:sz="4" w:space="0" w:color="BEBEBE"/>
              <w:right w:val="nil"/>
            </w:tcBorders>
          </w:tcPr>
          <w:p>
            <w:pPr>
              <w:rPr>
                <w:sz w:val="2"/>
                <w:szCs w:val="2"/>
              </w:rPr>
            </w:pPr>
          </w:p>
        </w:tc>
      </w:tr>
      <w:tr>
        <w:trPr>
          <w:trHeight w:val="409" w:hRule="atLeast"/>
        </w:trPr>
        <w:tc>
          <w:tcPr>
            <w:tcW w:w="223" w:type="dxa"/>
            <w:vMerge/>
            <w:tcBorders>
              <w:top w:val="nil"/>
              <w:left w:val="nil"/>
              <w:right w:val="single" w:sz="4" w:space="0" w:color="BEBEBE"/>
            </w:tcBorders>
          </w:tcPr>
          <w:p>
            <w:pPr>
              <w:rPr>
                <w:sz w:val="2"/>
                <w:szCs w:val="2"/>
              </w:rPr>
            </w:pPr>
          </w:p>
        </w:tc>
        <w:tc>
          <w:tcPr>
            <w:tcW w:w="3821" w:type="dxa"/>
            <w:tcBorders>
              <w:top w:val="single" w:sz="4" w:space="0" w:color="BEBEBE"/>
              <w:left w:val="single" w:sz="4" w:space="0" w:color="BEBEBE"/>
              <w:bottom w:val="single" w:sz="4" w:space="0" w:color="BEBEBE"/>
              <w:right w:val="single" w:sz="4" w:space="0" w:color="BEBEBE"/>
            </w:tcBorders>
            <w:shd w:val="clear" w:color="auto" w:fill="DCE6F0"/>
          </w:tcPr>
          <w:p>
            <w:pPr>
              <w:pStyle w:val="TableParagraph"/>
              <w:ind w:left="103"/>
              <w:rPr>
                <w:sz w:val="20"/>
              </w:rPr>
            </w:pPr>
            <w:r>
              <w:rPr>
                <w:sz w:val="20"/>
              </w:rPr>
              <w:t>Reduction</w:t>
            </w:r>
            <w:r>
              <w:rPr>
                <w:spacing w:val="-7"/>
                <w:sz w:val="20"/>
              </w:rPr>
              <w:t> </w:t>
            </w:r>
            <w:r>
              <w:rPr>
                <w:sz w:val="20"/>
              </w:rPr>
              <w:t>in</w:t>
            </w:r>
            <w:r>
              <w:rPr>
                <w:spacing w:val="-7"/>
                <w:sz w:val="20"/>
              </w:rPr>
              <w:t> </w:t>
            </w:r>
            <w:r>
              <w:rPr>
                <w:sz w:val="20"/>
              </w:rPr>
              <w:t>State</w:t>
            </w:r>
            <w:r>
              <w:rPr>
                <w:spacing w:val="-7"/>
                <w:sz w:val="20"/>
              </w:rPr>
              <w:t> </w:t>
            </w:r>
            <w:r>
              <w:rPr>
                <w:sz w:val="20"/>
              </w:rPr>
              <w:t>Spending</w:t>
            </w:r>
            <w:r>
              <w:rPr>
                <w:spacing w:val="-5"/>
                <w:sz w:val="20"/>
              </w:rPr>
              <w:t> </w:t>
            </w:r>
            <w:r>
              <w:rPr>
                <w:spacing w:val="-2"/>
                <w:sz w:val="20"/>
              </w:rPr>
              <w:t>Growth</w:t>
            </w:r>
          </w:p>
        </w:tc>
        <w:tc>
          <w:tcPr>
            <w:tcW w:w="1320" w:type="dxa"/>
            <w:tcBorders>
              <w:top w:val="single" w:sz="4" w:space="0" w:color="BEBEBE"/>
              <w:left w:val="single" w:sz="4" w:space="0" w:color="BEBEBE"/>
              <w:bottom w:val="single" w:sz="4" w:space="0" w:color="BEBEBE"/>
              <w:right w:val="single" w:sz="4" w:space="0" w:color="BEBEBE"/>
            </w:tcBorders>
          </w:tcPr>
          <w:p>
            <w:pPr>
              <w:pStyle w:val="TableParagraph"/>
              <w:ind w:left="102"/>
              <w:rPr>
                <w:sz w:val="20"/>
              </w:rPr>
            </w:pPr>
            <w:r>
              <w:rPr>
                <w:spacing w:val="-5"/>
                <w:sz w:val="20"/>
              </w:rPr>
              <w:t>25%</w:t>
            </w:r>
          </w:p>
        </w:tc>
        <w:tc>
          <w:tcPr>
            <w:tcW w:w="1320" w:type="dxa"/>
            <w:tcBorders>
              <w:top w:val="single" w:sz="4" w:space="0" w:color="BEBEBE"/>
              <w:left w:val="single" w:sz="4" w:space="0" w:color="BEBEBE"/>
              <w:bottom w:val="single" w:sz="4" w:space="0" w:color="BEBEBE"/>
              <w:right w:val="single" w:sz="4" w:space="0" w:color="BEBEBE"/>
            </w:tcBorders>
          </w:tcPr>
          <w:p>
            <w:pPr>
              <w:pStyle w:val="TableParagraph"/>
              <w:ind w:left="102"/>
              <w:rPr>
                <w:sz w:val="20"/>
              </w:rPr>
            </w:pPr>
            <w:r>
              <w:rPr>
                <w:spacing w:val="-5"/>
                <w:sz w:val="20"/>
              </w:rPr>
              <w:t>64%</w:t>
            </w:r>
          </w:p>
        </w:tc>
        <w:tc>
          <w:tcPr>
            <w:tcW w:w="1500" w:type="dxa"/>
            <w:tcBorders>
              <w:top w:val="single" w:sz="4" w:space="0" w:color="BEBEBE"/>
              <w:left w:val="single" w:sz="4" w:space="0" w:color="BEBEBE"/>
              <w:bottom w:val="single" w:sz="4" w:space="0" w:color="BEBEBE"/>
              <w:right w:val="single" w:sz="4" w:space="0" w:color="BEBEBE"/>
            </w:tcBorders>
          </w:tcPr>
          <w:p>
            <w:pPr>
              <w:pStyle w:val="TableParagraph"/>
              <w:ind w:left="92" w:right="277"/>
              <w:jc w:val="center"/>
              <w:rPr>
                <w:sz w:val="20"/>
              </w:rPr>
            </w:pPr>
            <w:r>
              <w:rPr>
                <w:sz w:val="20"/>
              </w:rPr>
              <w:t>25%</w:t>
            </w:r>
            <w:r>
              <w:rPr>
                <w:spacing w:val="-2"/>
                <w:sz w:val="20"/>
              </w:rPr>
              <w:t> </w:t>
            </w:r>
            <w:r>
              <w:rPr>
                <w:sz w:val="20"/>
              </w:rPr>
              <w:t>x</w:t>
            </w:r>
            <w:r>
              <w:rPr>
                <w:spacing w:val="-2"/>
                <w:sz w:val="20"/>
              </w:rPr>
              <w:t> </w:t>
            </w:r>
            <w:r>
              <w:rPr>
                <w:sz w:val="20"/>
              </w:rPr>
              <w:t>64%</w:t>
            </w:r>
            <w:r>
              <w:rPr>
                <w:spacing w:val="-2"/>
                <w:sz w:val="20"/>
              </w:rPr>
              <w:t> </w:t>
            </w:r>
            <w:r>
              <w:rPr>
                <w:spacing w:val="-10"/>
                <w:sz w:val="20"/>
              </w:rPr>
              <w:t>=</w:t>
            </w:r>
          </w:p>
        </w:tc>
        <w:tc>
          <w:tcPr>
            <w:tcW w:w="979" w:type="dxa"/>
            <w:tcBorders>
              <w:top w:val="single" w:sz="4" w:space="0" w:color="BEBEBE"/>
              <w:left w:val="single" w:sz="4" w:space="0" w:color="BEBEBE"/>
              <w:bottom w:val="single" w:sz="4" w:space="0" w:color="BEBEBE"/>
              <w:right w:val="single" w:sz="4" w:space="0" w:color="BEBEBE"/>
            </w:tcBorders>
          </w:tcPr>
          <w:p>
            <w:pPr>
              <w:pStyle w:val="TableParagraph"/>
              <w:ind w:left="102"/>
              <w:rPr>
                <w:sz w:val="20"/>
              </w:rPr>
            </w:pPr>
            <w:r>
              <w:rPr>
                <w:spacing w:val="-5"/>
                <w:sz w:val="20"/>
              </w:rPr>
              <w:t>16%</w:t>
            </w:r>
          </w:p>
        </w:tc>
        <w:tc>
          <w:tcPr>
            <w:tcW w:w="211" w:type="dxa"/>
            <w:vMerge/>
            <w:tcBorders>
              <w:top w:val="nil"/>
              <w:left w:val="single" w:sz="4" w:space="0" w:color="BEBEBE"/>
              <w:right w:val="nil"/>
            </w:tcBorders>
          </w:tcPr>
          <w:p>
            <w:pPr>
              <w:rPr>
                <w:sz w:val="2"/>
                <w:szCs w:val="2"/>
              </w:rPr>
            </w:pPr>
          </w:p>
        </w:tc>
      </w:tr>
      <w:tr>
        <w:trPr>
          <w:trHeight w:val="407" w:hRule="atLeast"/>
        </w:trPr>
        <w:tc>
          <w:tcPr>
            <w:tcW w:w="223" w:type="dxa"/>
            <w:vMerge/>
            <w:tcBorders>
              <w:top w:val="nil"/>
              <w:left w:val="nil"/>
              <w:right w:val="single" w:sz="4" w:space="0" w:color="BEBEBE"/>
            </w:tcBorders>
          </w:tcPr>
          <w:p>
            <w:pPr>
              <w:rPr>
                <w:sz w:val="2"/>
                <w:szCs w:val="2"/>
              </w:rPr>
            </w:pPr>
          </w:p>
        </w:tc>
        <w:tc>
          <w:tcPr>
            <w:tcW w:w="3821" w:type="dxa"/>
            <w:tcBorders>
              <w:top w:val="single" w:sz="4" w:space="0" w:color="BEBEBE"/>
              <w:left w:val="single" w:sz="4" w:space="0" w:color="BEBEBE"/>
              <w:bottom w:val="single" w:sz="4" w:space="0" w:color="BEBEBE"/>
              <w:right w:val="single" w:sz="4" w:space="0" w:color="BEBEBE"/>
            </w:tcBorders>
            <w:shd w:val="clear" w:color="auto" w:fill="DCE6F0"/>
          </w:tcPr>
          <w:p>
            <w:pPr>
              <w:pStyle w:val="TableParagraph"/>
              <w:ind w:left="103"/>
              <w:rPr>
                <w:sz w:val="20"/>
              </w:rPr>
            </w:pPr>
            <w:r>
              <w:rPr>
                <w:sz w:val="20"/>
              </w:rPr>
              <w:t>ACO</w:t>
            </w:r>
            <w:r>
              <w:rPr>
                <w:spacing w:val="-6"/>
                <w:sz w:val="20"/>
              </w:rPr>
              <w:t> </w:t>
            </w:r>
            <w:r>
              <w:rPr>
                <w:sz w:val="20"/>
              </w:rPr>
              <w:t>Quality</w:t>
            </w:r>
            <w:r>
              <w:rPr>
                <w:spacing w:val="-7"/>
                <w:sz w:val="20"/>
              </w:rPr>
              <w:t> </w:t>
            </w:r>
            <w:r>
              <w:rPr>
                <w:spacing w:val="-2"/>
                <w:sz w:val="20"/>
              </w:rPr>
              <w:t>Performance</w:t>
            </w:r>
          </w:p>
        </w:tc>
        <w:tc>
          <w:tcPr>
            <w:tcW w:w="1320" w:type="dxa"/>
            <w:tcBorders>
              <w:top w:val="single" w:sz="4" w:space="0" w:color="BEBEBE"/>
              <w:left w:val="single" w:sz="4" w:space="0" w:color="BEBEBE"/>
              <w:bottom w:val="single" w:sz="4" w:space="0" w:color="BEBEBE"/>
              <w:right w:val="single" w:sz="4" w:space="0" w:color="BEBEBE"/>
            </w:tcBorders>
          </w:tcPr>
          <w:p>
            <w:pPr>
              <w:pStyle w:val="TableParagraph"/>
              <w:ind w:left="102"/>
              <w:rPr>
                <w:sz w:val="20"/>
              </w:rPr>
            </w:pPr>
            <w:r>
              <w:rPr>
                <w:spacing w:val="-5"/>
                <w:sz w:val="20"/>
              </w:rPr>
              <w:t>55%</w:t>
            </w:r>
          </w:p>
        </w:tc>
        <w:tc>
          <w:tcPr>
            <w:tcW w:w="1320" w:type="dxa"/>
            <w:tcBorders>
              <w:top w:val="single" w:sz="4" w:space="0" w:color="BEBEBE"/>
              <w:left w:val="single" w:sz="4" w:space="0" w:color="BEBEBE"/>
              <w:bottom w:val="single" w:sz="4" w:space="0" w:color="BEBEBE"/>
              <w:right w:val="single" w:sz="4" w:space="0" w:color="BEBEBE"/>
            </w:tcBorders>
          </w:tcPr>
          <w:p>
            <w:pPr>
              <w:pStyle w:val="TableParagraph"/>
              <w:ind w:left="102"/>
              <w:rPr>
                <w:sz w:val="20"/>
              </w:rPr>
            </w:pPr>
            <w:r>
              <w:rPr>
                <w:spacing w:val="-5"/>
                <w:sz w:val="20"/>
              </w:rPr>
              <w:t>85%</w:t>
            </w:r>
          </w:p>
        </w:tc>
        <w:tc>
          <w:tcPr>
            <w:tcW w:w="1500" w:type="dxa"/>
            <w:tcBorders>
              <w:top w:val="single" w:sz="4" w:space="0" w:color="BEBEBE"/>
              <w:left w:val="single" w:sz="4" w:space="0" w:color="BEBEBE"/>
              <w:bottom w:val="single" w:sz="4" w:space="0" w:color="BEBEBE"/>
              <w:right w:val="single" w:sz="4" w:space="0" w:color="BEBEBE"/>
            </w:tcBorders>
          </w:tcPr>
          <w:p>
            <w:pPr>
              <w:pStyle w:val="TableParagraph"/>
              <w:ind w:left="92" w:right="277"/>
              <w:jc w:val="center"/>
              <w:rPr>
                <w:sz w:val="20"/>
              </w:rPr>
            </w:pPr>
            <w:r>
              <w:rPr>
                <w:sz w:val="20"/>
              </w:rPr>
              <w:t>55%</w:t>
            </w:r>
            <w:r>
              <w:rPr>
                <w:spacing w:val="-2"/>
                <w:sz w:val="20"/>
              </w:rPr>
              <w:t> </w:t>
            </w:r>
            <w:r>
              <w:rPr>
                <w:sz w:val="20"/>
              </w:rPr>
              <w:t>x</w:t>
            </w:r>
            <w:r>
              <w:rPr>
                <w:spacing w:val="-2"/>
                <w:sz w:val="20"/>
              </w:rPr>
              <w:t> </w:t>
            </w:r>
            <w:r>
              <w:rPr>
                <w:sz w:val="20"/>
              </w:rPr>
              <w:t>85%</w:t>
            </w:r>
            <w:r>
              <w:rPr>
                <w:spacing w:val="-2"/>
                <w:sz w:val="20"/>
              </w:rPr>
              <w:t> </w:t>
            </w:r>
            <w:r>
              <w:rPr>
                <w:spacing w:val="-10"/>
                <w:sz w:val="20"/>
              </w:rPr>
              <w:t>=</w:t>
            </w:r>
          </w:p>
        </w:tc>
        <w:tc>
          <w:tcPr>
            <w:tcW w:w="979" w:type="dxa"/>
            <w:tcBorders>
              <w:top w:val="single" w:sz="4" w:space="0" w:color="BEBEBE"/>
              <w:left w:val="single" w:sz="4" w:space="0" w:color="BEBEBE"/>
              <w:bottom w:val="single" w:sz="4" w:space="0" w:color="BEBEBE"/>
              <w:right w:val="single" w:sz="4" w:space="0" w:color="BEBEBE"/>
            </w:tcBorders>
          </w:tcPr>
          <w:p>
            <w:pPr>
              <w:pStyle w:val="TableParagraph"/>
              <w:ind w:left="102"/>
              <w:rPr>
                <w:sz w:val="20"/>
              </w:rPr>
            </w:pPr>
            <w:r>
              <w:rPr>
                <w:spacing w:val="-2"/>
                <w:sz w:val="20"/>
              </w:rPr>
              <w:t>46.75%</w:t>
            </w:r>
          </w:p>
        </w:tc>
        <w:tc>
          <w:tcPr>
            <w:tcW w:w="211" w:type="dxa"/>
            <w:vMerge/>
            <w:tcBorders>
              <w:top w:val="nil"/>
              <w:left w:val="single" w:sz="4" w:space="0" w:color="BEBEBE"/>
              <w:right w:val="nil"/>
            </w:tcBorders>
          </w:tcPr>
          <w:p>
            <w:pPr>
              <w:rPr>
                <w:sz w:val="2"/>
                <w:szCs w:val="2"/>
              </w:rPr>
            </w:pPr>
          </w:p>
        </w:tc>
      </w:tr>
      <w:tr>
        <w:trPr>
          <w:trHeight w:val="407" w:hRule="atLeast"/>
        </w:trPr>
        <w:tc>
          <w:tcPr>
            <w:tcW w:w="223" w:type="dxa"/>
            <w:vMerge/>
            <w:tcBorders>
              <w:top w:val="nil"/>
              <w:left w:val="nil"/>
              <w:right w:val="single" w:sz="4" w:space="0" w:color="BEBEBE"/>
            </w:tcBorders>
          </w:tcPr>
          <w:p>
            <w:pPr>
              <w:rPr>
                <w:sz w:val="2"/>
                <w:szCs w:val="2"/>
              </w:rPr>
            </w:pPr>
          </w:p>
        </w:tc>
        <w:tc>
          <w:tcPr>
            <w:tcW w:w="7961" w:type="dxa"/>
            <w:gridSpan w:val="4"/>
            <w:tcBorders>
              <w:top w:val="single" w:sz="4" w:space="0" w:color="BEBEBE"/>
              <w:left w:val="single" w:sz="4" w:space="0" w:color="BEBEBE"/>
              <w:bottom w:val="single" w:sz="8" w:space="0" w:color="000000"/>
              <w:right w:val="single" w:sz="4" w:space="0" w:color="BEBEBE"/>
            </w:tcBorders>
          </w:tcPr>
          <w:p>
            <w:pPr>
              <w:pStyle w:val="TableParagraph"/>
              <w:ind w:left="4768"/>
              <w:rPr>
                <w:b/>
                <w:sz w:val="20"/>
              </w:rPr>
            </w:pPr>
            <w:r>
              <w:rPr>
                <w:b/>
                <w:sz w:val="20"/>
              </w:rPr>
              <w:t>State</w:t>
            </w:r>
            <w:r>
              <w:rPr>
                <w:b/>
                <w:spacing w:val="-9"/>
                <w:sz w:val="20"/>
              </w:rPr>
              <w:t> </w:t>
            </w:r>
            <w:r>
              <w:rPr>
                <w:b/>
                <w:sz w:val="20"/>
              </w:rPr>
              <w:t>DSRIP</w:t>
            </w:r>
            <w:r>
              <w:rPr>
                <w:b/>
                <w:spacing w:val="-7"/>
                <w:sz w:val="20"/>
              </w:rPr>
              <w:t> </w:t>
            </w:r>
            <w:r>
              <w:rPr>
                <w:b/>
                <w:sz w:val="20"/>
              </w:rPr>
              <w:t>Accountability</w:t>
            </w:r>
            <w:r>
              <w:rPr>
                <w:b/>
                <w:spacing w:val="-8"/>
                <w:sz w:val="20"/>
              </w:rPr>
              <w:t> </w:t>
            </w:r>
            <w:r>
              <w:rPr>
                <w:b/>
                <w:sz w:val="20"/>
              </w:rPr>
              <w:t>Score</w:t>
            </w:r>
            <w:r>
              <w:rPr>
                <w:b/>
                <w:spacing w:val="-8"/>
                <w:sz w:val="20"/>
              </w:rPr>
              <w:t> </w:t>
            </w:r>
            <w:r>
              <w:rPr>
                <w:b/>
                <w:spacing w:val="-10"/>
                <w:sz w:val="20"/>
              </w:rPr>
              <w:t>=</w:t>
            </w:r>
          </w:p>
        </w:tc>
        <w:tc>
          <w:tcPr>
            <w:tcW w:w="979" w:type="dxa"/>
            <w:tcBorders>
              <w:top w:val="single" w:sz="4" w:space="0" w:color="BEBEBE"/>
              <w:left w:val="single" w:sz="4" w:space="0" w:color="BEBEBE"/>
              <w:bottom w:val="single" w:sz="8" w:space="0" w:color="000000"/>
              <w:right w:val="single" w:sz="4" w:space="0" w:color="BEBEBE"/>
            </w:tcBorders>
          </w:tcPr>
          <w:p>
            <w:pPr>
              <w:pStyle w:val="TableParagraph"/>
              <w:ind w:left="102"/>
              <w:rPr>
                <w:b/>
                <w:sz w:val="20"/>
              </w:rPr>
            </w:pPr>
            <w:r>
              <w:rPr>
                <w:b/>
                <w:color w:val="FF0000"/>
                <w:spacing w:val="-2"/>
                <w:sz w:val="20"/>
              </w:rPr>
              <w:t>82.75%</w:t>
            </w:r>
          </w:p>
        </w:tc>
        <w:tc>
          <w:tcPr>
            <w:tcW w:w="211" w:type="dxa"/>
            <w:vMerge/>
            <w:tcBorders>
              <w:top w:val="nil"/>
              <w:left w:val="single" w:sz="4" w:space="0" w:color="BEBEBE"/>
              <w:right w:val="nil"/>
            </w:tcBorders>
          </w:tcPr>
          <w:p>
            <w:pPr>
              <w:rPr>
                <w:sz w:val="2"/>
                <w:szCs w:val="2"/>
              </w:rPr>
            </w:pPr>
          </w:p>
        </w:tc>
      </w:tr>
    </w:tbl>
    <w:p>
      <w:pPr>
        <w:pStyle w:val="BodyText"/>
      </w:pPr>
    </w:p>
    <w:p>
      <w:pPr>
        <w:pStyle w:val="Heading2"/>
        <w:spacing w:before="182"/>
        <w:ind w:left="1220" w:firstLine="0"/>
        <w:jc w:val="left"/>
      </w:pPr>
      <w:bookmarkStart w:name="Step 5: Determine At-Risk Funds Lost and" w:id="1536"/>
      <w:bookmarkEnd w:id="1536"/>
      <w:r>
        <w:rPr>
          <w:b w:val="0"/>
        </w:rPr>
      </w:r>
      <w:bookmarkStart w:name="_bookmark136" w:id="1537"/>
      <w:bookmarkEnd w:id="1537"/>
      <w:r>
        <w:rPr>
          <w:b w:val="0"/>
        </w:rPr>
      </w:r>
      <w:r>
        <w:rPr>
          <w:color w:val="4471C4"/>
        </w:rPr>
        <w:t>Step</w:t>
      </w:r>
      <w:r>
        <w:rPr>
          <w:color w:val="4471C4"/>
          <w:spacing w:val="-8"/>
        </w:rPr>
        <w:t> </w:t>
      </w:r>
      <w:r>
        <w:rPr>
          <w:color w:val="4471C4"/>
        </w:rPr>
        <w:t>5:</w:t>
      </w:r>
      <w:r>
        <w:rPr>
          <w:color w:val="4471C4"/>
          <w:spacing w:val="-8"/>
        </w:rPr>
        <w:t> </w:t>
      </w:r>
      <w:r>
        <w:rPr>
          <w:color w:val="4471C4"/>
        </w:rPr>
        <w:t>Determine</w:t>
      </w:r>
      <w:r>
        <w:rPr>
          <w:color w:val="4471C4"/>
          <w:spacing w:val="-4"/>
        </w:rPr>
        <w:t> </w:t>
      </w:r>
      <w:r>
        <w:rPr>
          <w:color w:val="4471C4"/>
        </w:rPr>
        <w:t>At-Risk</w:t>
      </w:r>
      <w:r>
        <w:rPr>
          <w:color w:val="4471C4"/>
          <w:spacing w:val="-8"/>
        </w:rPr>
        <w:t> </w:t>
      </w:r>
      <w:r>
        <w:rPr>
          <w:color w:val="4471C4"/>
        </w:rPr>
        <w:t>Funds</w:t>
      </w:r>
      <w:r>
        <w:rPr>
          <w:color w:val="4471C4"/>
          <w:spacing w:val="-8"/>
        </w:rPr>
        <w:t> </w:t>
      </w:r>
      <w:r>
        <w:rPr>
          <w:color w:val="4471C4"/>
        </w:rPr>
        <w:t>Lost</w:t>
      </w:r>
      <w:r>
        <w:rPr>
          <w:color w:val="4471C4"/>
          <w:spacing w:val="-7"/>
        </w:rPr>
        <w:t> </w:t>
      </w:r>
      <w:r>
        <w:rPr>
          <w:color w:val="4471C4"/>
        </w:rPr>
        <w:t>and</w:t>
      </w:r>
      <w:r>
        <w:rPr>
          <w:color w:val="4471C4"/>
          <w:spacing w:val="-3"/>
        </w:rPr>
        <w:t> </w:t>
      </w:r>
      <w:r>
        <w:rPr>
          <w:color w:val="4471C4"/>
        </w:rPr>
        <w:t>Earned</w:t>
      </w:r>
      <w:r>
        <w:rPr>
          <w:color w:val="4471C4"/>
          <w:spacing w:val="-8"/>
        </w:rPr>
        <w:t> </w:t>
      </w:r>
      <w:r>
        <w:rPr>
          <w:color w:val="4471C4"/>
        </w:rPr>
        <w:t>for</w:t>
      </w:r>
      <w:r>
        <w:rPr>
          <w:color w:val="4471C4"/>
          <w:spacing w:val="-7"/>
        </w:rPr>
        <w:t> </w:t>
      </w:r>
      <w:r>
        <w:rPr>
          <w:color w:val="4471C4"/>
        </w:rPr>
        <w:t>BP</w:t>
      </w:r>
      <w:r>
        <w:rPr>
          <w:color w:val="4471C4"/>
          <w:spacing w:val="-8"/>
        </w:rPr>
        <w:t> </w:t>
      </w:r>
      <w:r>
        <w:rPr>
          <w:color w:val="4471C4"/>
          <w:spacing w:val="-10"/>
        </w:rPr>
        <w:t>4</w:t>
      </w:r>
    </w:p>
    <w:p>
      <w:pPr>
        <w:spacing w:before="0"/>
        <w:ind w:left="1219" w:right="1111" w:firstLine="0"/>
        <w:jc w:val="left"/>
        <w:rPr>
          <w:sz w:val="22"/>
        </w:rPr>
      </w:pPr>
      <w:r>
        <w:rPr>
          <w:sz w:val="22"/>
        </w:rPr>
        <w:t>As</w:t>
      </w:r>
      <w:r>
        <w:rPr>
          <w:spacing w:val="20"/>
          <w:sz w:val="22"/>
        </w:rPr>
        <w:t> </w:t>
      </w:r>
      <w:r>
        <w:rPr>
          <w:sz w:val="22"/>
        </w:rPr>
        <w:t>noted above, the</w:t>
      </w:r>
      <w:r>
        <w:rPr>
          <w:spacing w:val="20"/>
          <w:sz w:val="22"/>
        </w:rPr>
        <w:t> </w:t>
      </w:r>
      <w:r>
        <w:rPr>
          <w:sz w:val="22"/>
        </w:rPr>
        <w:t>amount</w:t>
      </w:r>
      <w:r>
        <w:rPr>
          <w:spacing w:val="20"/>
          <w:sz w:val="22"/>
        </w:rPr>
        <w:t> </w:t>
      </w:r>
      <w:r>
        <w:rPr>
          <w:sz w:val="22"/>
        </w:rPr>
        <w:t>of at-risk State expenditure</w:t>
      </w:r>
      <w:r>
        <w:rPr>
          <w:spacing w:val="20"/>
          <w:sz w:val="22"/>
        </w:rPr>
        <w:t> </w:t>
      </w:r>
      <w:r>
        <w:rPr>
          <w:sz w:val="22"/>
        </w:rPr>
        <w:t>authority varies by Budget</w:t>
      </w:r>
      <w:r>
        <w:rPr>
          <w:spacing w:val="20"/>
          <w:sz w:val="22"/>
        </w:rPr>
        <w:t> </w:t>
      </w:r>
      <w:r>
        <w:rPr>
          <w:sz w:val="22"/>
        </w:rPr>
        <w:t>Period. For</w:t>
      </w:r>
      <w:r>
        <w:rPr>
          <w:spacing w:val="20"/>
          <w:sz w:val="22"/>
        </w:rPr>
        <w:t> </w:t>
      </w:r>
      <w:r>
        <w:rPr>
          <w:sz w:val="22"/>
        </w:rPr>
        <w:t>Budget Period 4, the amount at-risk is $41.25M.</w:t>
      </w:r>
    </w:p>
    <w:p>
      <w:pPr>
        <w:pStyle w:val="BodyText"/>
      </w:pPr>
    </w:p>
    <w:p>
      <w:pPr>
        <w:pStyle w:val="BodyText"/>
        <w:spacing w:before="11"/>
        <w:rPr>
          <w:sz w:val="18"/>
        </w:rPr>
      </w:pPr>
    </w:p>
    <w:p>
      <w:pPr>
        <w:spacing w:before="0"/>
        <w:ind w:left="1219" w:right="0" w:firstLine="0"/>
        <w:jc w:val="left"/>
        <w:rPr>
          <w:sz w:val="22"/>
        </w:rPr>
      </w:pPr>
      <w:r>
        <w:rPr/>
        <mc:AlternateContent>
          <mc:Choice Requires="wps">
            <w:drawing>
              <wp:anchor distT="0" distB="0" distL="0" distR="0" allowOverlap="1" layoutInCell="1" locked="0" behindDoc="0" simplePos="0" relativeHeight="16174080">
                <wp:simplePos x="0" y="0"/>
                <wp:positionH relativeFrom="page">
                  <wp:posOffset>914400</wp:posOffset>
                </wp:positionH>
                <wp:positionV relativeFrom="paragraph">
                  <wp:posOffset>235524</wp:posOffset>
                </wp:positionV>
                <wp:extent cx="5943600" cy="6350"/>
                <wp:effectExtent l="0" t="0" r="0" b="0"/>
                <wp:wrapNone/>
                <wp:docPr id="948" name="Graphic 948"/>
                <wp:cNvGraphicFramePr>
                  <a:graphicFrameLocks/>
                </wp:cNvGraphicFramePr>
                <a:graphic>
                  <a:graphicData uri="http://schemas.microsoft.com/office/word/2010/wordprocessingShape">
                    <wps:wsp>
                      <wps:cNvPr id="948" name="Graphic 948"/>
                      <wps:cNvSpPr/>
                      <wps:spPr>
                        <a:xfrm>
                          <a:off x="0" y="0"/>
                          <a:ext cx="5943600" cy="6350"/>
                        </a:xfrm>
                        <a:custGeom>
                          <a:avLst/>
                          <a:gdLst/>
                          <a:ahLst/>
                          <a:cxnLst/>
                          <a:rect l="l" t="t" r="r" b="b"/>
                          <a:pathLst>
                            <a:path w="5943600" h="6350">
                              <a:moveTo>
                                <a:pt x="5943600" y="0"/>
                              </a:moveTo>
                              <a:lnTo>
                                <a:pt x="0" y="0"/>
                              </a:lnTo>
                              <a:lnTo>
                                <a:pt x="0" y="6095"/>
                              </a:lnTo>
                              <a:lnTo>
                                <a:pt x="5943600" y="6095"/>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8.545204pt;width:468pt;height:.48pt;mso-position-horizontal-relative:page;mso-position-vertical-relative:paragraph;z-index:16174080" id="docshape163" filled="true" fillcolor="#000000" stroked="false">
                <v:fill type="solid"/>
                <w10:wrap type="none"/>
              </v:rect>
            </w:pict>
          </mc:Fallback>
        </mc:AlternateContent>
      </w:r>
      <w:r>
        <w:rPr>
          <w:b/>
          <w:sz w:val="22"/>
        </w:rPr>
        <w:t>EXHIBIT</w:t>
      </w:r>
      <w:r>
        <w:rPr>
          <w:b/>
          <w:spacing w:val="-5"/>
          <w:sz w:val="22"/>
        </w:rPr>
        <w:t> </w:t>
      </w:r>
      <w:r>
        <w:rPr>
          <w:b/>
          <w:sz w:val="22"/>
        </w:rPr>
        <w:t>A9</w:t>
      </w:r>
      <w:r>
        <w:rPr>
          <w:b/>
          <w:spacing w:val="-3"/>
          <w:sz w:val="22"/>
        </w:rPr>
        <w:t> </w:t>
      </w:r>
      <w:r>
        <w:rPr>
          <w:sz w:val="22"/>
        </w:rPr>
        <w:t>–</w:t>
      </w:r>
      <w:r>
        <w:rPr>
          <w:spacing w:val="-3"/>
          <w:sz w:val="22"/>
        </w:rPr>
        <w:t> </w:t>
      </w:r>
      <w:r>
        <w:rPr>
          <w:sz w:val="22"/>
        </w:rPr>
        <w:t>Percent</w:t>
      </w:r>
      <w:r>
        <w:rPr>
          <w:spacing w:val="-3"/>
          <w:sz w:val="22"/>
        </w:rPr>
        <w:t> </w:t>
      </w:r>
      <w:r>
        <w:rPr>
          <w:sz w:val="22"/>
        </w:rPr>
        <w:t>of</w:t>
      </w:r>
      <w:r>
        <w:rPr>
          <w:spacing w:val="-5"/>
          <w:sz w:val="22"/>
        </w:rPr>
        <w:t> </w:t>
      </w:r>
      <w:r>
        <w:rPr>
          <w:sz w:val="22"/>
        </w:rPr>
        <w:t>State</w:t>
      </w:r>
      <w:r>
        <w:rPr>
          <w:spacing w:val="-3"/>
          <w:sz w:val="22"/>
        </w:rPr>
        <w:t> </w:t>
      </w:r>
      <w:r>
        <w:rPr>
          <w:sz w:val="22"/>
        </w:rPr>
        <w:t>DSRIP</w:t>
      </w:r>
      <w:r>
        <w:rPr>
          <w:spacing w:val="-5"/>
          <w:sz w:val="22"/>
        </w:rPr>
        <w:t> </w:t>
      </w:r>
      <w:r>
        <w:rPr>
          <w:sz w:val="22"/>
        </w:rPr>
        <w:t>Expenditure</w:t>
      </w:r>
      <w:r>
        <w:rPr>
          <w:spacing w:val="-5"/>
          <w:sz w:val="22"/>
        </w:rPr>
        <w:t> </w:t>
      </w:r>
      <w:r>
        <w:rPr>
          <w:sz w:val="22"/>
        </w:rPr>
        <w:t>Authority</w:t>
      </w:r>
      <w:r>
        <w:rPr>
          <w:spacing w:val="-6"/>
          <w:sz w:val="22"/>
        </w:rPr>
        <w:t> </w:t>
      </w:r>
      <w:r>
        <w:rPr>
          <w:sz w:val="22"/>
        </w:rPr>
        <w:t>At-Risk,</w:t>
      </w:r>
      <w:r>
        <w:rPr>
          <w:spacing w:val="-3"/>
          <w:sz w:val="22"/>
        </w:rPr>
        <w:t> </w:t>
      </w:r>
      <w:r>
        <w:rPr>
          <w:sz w:val="22"/>
        </w:rPr>
        <w:t>BP</w:t>
      </w:r>
      <w:r>
        <w:rPr>
          <w:spacing w:val="-4"/>
          <w:sz w:val="22"/>
        </w:rPr>
        <w:t> </w:t>
      </w:r>
      <w:r>
        <w:rPr>
          <w:spacing w:val="-10"/>
          <w:sz w:val="22"/>
        </w:rPr>
        <w:t>4</w:t>
      </w:r>
    </w:p>
    <w:p>
      <w:pPr>
        <w:pStyle w:val="BodyText"/>
        <w:spacing w:before="7"/>
        <w:rPr>
          <w:sz w:val="10"/>
        </w:rPr>
      </w:pPr>
    </w:p>
    <w:tbl>
      <w:tblPr>
        <w:tblW w:w="0" w:type="auto"/>
        <w:jc w:val="left"/>
        <w:tblInd w:w="1348" w:type="dxa"/>
        <w:tblBorders>
          <w:top w:val="single" w:sz="8" w:space="0" w:color="BEBEBE"/>
          <w:left w:val="single" w:sz="8" w:space="0" w:color="BEBEBE"/>
          <w:bottom w:val="single" w:sz="8" w:space="0" w:color="BEBEBE"/>
          <w:right w:val="single" w:sz="8" w:space="0" w:color="BEBEBE"/>
          <w:insideH w:val="single" w:sz="8" w:space="0" w:color="BEBEBE"/>
          <w:insideV w:val="single" w:sz="8" w:space="0" w:color="BEBEBE"/>
        </w:tblBorders>
        <w:tblLayout w:type="fixed"/>
        <w:tblCellMar>
          <w:top w:w="0" w:type="dxa"/>
          <w:left w:w="0" w:type="dxa"/>
          <w:bottom w:w="0" w:type="dxa"/>
          <w:right w:w="0" w:type="dxa"/>
        </w:tblCellMar>
        <w:tblLook w:val="01E0"/>
      </w:tblPr>
      <w:tblGrid>
        <w:gridCol w:w="3257"/>
        <w:gridCol w:w="1174"/>
        <w:gridCol w:w="1172"/>
        <w:gridCol w:w="1174"/>
        <w:gridCol w:w="1174"/>
        <w:gridCol w:w="1176"/>
      </w:tblGrid>
      <w:tr>
        <w:trPr>
          <w:trHeight w:val="414" w:hRule="atLeast"/>
        </w:trPr>
        <w:tc>
          <w:tcPr>
            <w:tcW w:w="9127" w:type="dxa"/>
            <w:gridSpan w:val="6"/>
            <w:tcBorders>
              <w:bottom w:val="single" w:sz="4" w:space="0" w:color="BEBEBE"/>
            </w:tcBorders>
            <w:shd w:val="clear" w:color="auto" w:fill="1F487C"/>
          </w:tcPr>
          <w:p>
            <w:pPr>
              <w:pStyle w:val="TableParagraph"/>
              <w:spacing w:before="7"/>
              <w:ind w:left="107"/>
              <w:rPr>
                <w:b/>
                <w:sz w:val="20"/>
              </w:rPr>
            </w:pPr>
            <w:r>
              <w:rPr>
                <w:b/>
                <w:color w:val="FFFFFF"/>
                <w:sz w:val="20"/>
              </w:rPr>
              <w:t>Percent</w:t>
            </w:r>
            <w:r>
              <w:rPr>
                <w:b/>
                <w:color w:val="FFFFFF"/>
                <w:spacing w:val="-7"/>
                <w:sz w:val="20"/>
              </w:rPr>
              <w:t> </w:t>
            </w:r>
            <w:r>
              <w:rPr>
                <w:b/>
                <w:color w:val="FFFFFF"/>
                <w:sz w:val="20"/>
              </w:rPr>
              <w:t>of</w:t>
            </w:r>
            <w:r>
              <w:rPr>
                <w:b/>
                <w:color w:val="FFFFFF"/>
                <w:spacing w:val="-7"/>
                <w:sz w:val="20"/>
              </w:rPr>
              <w:t> </w:t>
            </w:r>
            <w:r>
              <w:rPr>
                <w:b/>
                <w:color w:val="FFFFFF"/>
                <w:sz w:val="20"/>
              </w:rPr>
              <w:t>State</w:t>
            </w:r>
            <w:r>
              <w:rPr>
                <w:b/>
                <w:color w:val="FFFFFF"/>
                <w:spacing w:val="-10"/>
                <w:sz w:val="20"/>
              </w:rPr>
              <w:t> </w:t>
            </w:r>
            <w:r>
              <w:rPr>
                <w:b/>
                <w:color w:val="FFFFFF"/>
                <w:sz w:val="20"/>
              </w:rPr>
              <w:t>DSRIP</w:t>
            </w:r>
            <w:r>
              <w:rPr>
                <w:b/>
                <w:color w:val="FFFFFF"/>
                <w:spacing w:val="-6"/>
                <w:sz w:val="20"/>
              </w:rPr>
              <w:t> </w:t>
            </w:r>
            <w:r>
              <w:rPr>
                <w:b/>
                <w:color w:val="FFFFFF"/>
                <w:sz w:val="20"/>
              </w:rPr>
              <w:t>Expenditure</w:t>
            </w:r>
            <w:r>
              <w:rPr>
                <w:b/>
                <w:color w:val="FFFFFF"/>
                <w:spacing w:val="-8"/>
                <w:sz w:val="20"/>
              </w:rPr>
              <w:t> </w:t>
            </w:r>
            <w:r>
              <w:rPr>
                <w:b/>
                <w:color w:val="FFFFFF"/>
                <w:sz w:val="20"/>
              </w:rPr>
              <w:t>Authority</w:t>
            </w:r>
            <w:r>
              <w:rPr>
                <w:b/>
                <w:color w:val="FFFFFF"/>
                <w:spacing w:val="-7"/>
                <w:sz w:val="20"/>
              </w:rPr>
              <w:t> </w:t>
            </w:r>
            <w:r>
              <w:rPr>
                <w:b/>
                <w:color w:val="FFFFFF"/>
                <w:sz w:val="20"/>
              </w:rPr>
              <w:t>At-</w:t>
            </w:r>
            <w:r>
              <w:rPr>
                <w:b/>
                <w:color w:val="FFFFFF"/>
                <w:spacing w:val="-4"/>
                <w:sz w:val="20"/>
              </w:rPr>
              <w:t>Risk</w:t>
            </w:r>
          </w:p>
        </w:tc>
      </w:tr>
      <w:tr>
        <w:trPr>
          <w:trHeight w:val="1026" w:hRule="atLeast"/>
        </w:trPr>
        <w:tc>
          <w:tcPr>
            <w:tcW w:w="3257" w:type="dxa"/>
            <w:tcBorders>
              <w:top w:val="single" w:sz="4" w:space="0" w:color="BEBEBE"/>
              <w:bottom w:val="single" w:sz="4" w:space="0" w:color="BEBEBE"/>
              <w:right w:val="single" w:sz="4" w:space="0" w:color="BEBEBE"/>
            </w:tcBorders>
            <w:shd w:val="clear" w:color="auto" w:fill="D9D9D9"/>
          </w:tcPr>
          <w:p>
            <w:pPr>
              <w:pStyle w:val="TableParagraph"/>
              <w:spacing w:before="10"/>
              <w:rPr>
                <w:sz w:val="26"/>
              </w:rPr>
            </w:pPr>
          </w:p>
          <w:p>
            <w:pPr>
              <w:pStyle w:val="TableParagraph"/>
              <w:spacing w:before="1"/>
              <w:ind w:left="107"/>
              <w:rPr>
                <w:b/>
                <w:sz w:val="20"/>
              </w:rPr>
            </w:pPr>
            <w:r>
              <w:rPr>
                <w:b/>
                <w:sz w:val="20"/>
              </w:rPr>
              <w:t>DSRIP</w:t>
            </w:r>
            <w:r>
              <w:rPr>
                <w:b/>
                <w:spacing w:val="-7"/>
                <w:sz w:val="20"/>
              </w:rPr>
              <w:t> </w:t>
            </w:r>
            <w:r>
              <w:rPr>
                <w:b/>
                <w:sz w:val="20"/>
              </w:rPr>
              <w:t>Budget</w:t>
            </w:r>
            <w:r>
              <w:rPr>
                <w:b/>
                <w:spacing w:val="-6"/>
                <w:sz w:val="20"/>
              </w:rPr>
              <w:t> </w:t>
            </w:r>
            <w:r>
              <w:rPr>
                <w:b/>
                <w:spacing w:val="-2"/>
                <w:sz w:val="20"/>
              </w:rPr>
              <w:t>Period</w:t>
            </w:r>
          </w:p>
        </w:tc>
        <w:tc>
          <w:tcPr>
            <w:tcW w:w="1174"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tabs>
                <w:tab w:pos="813" w:val="left" w:leader="none"/>
              </w:tabs>
              <w:spacing w:line="261" w:lineRule="auto" w:before="185"/>
              <w:ind w:left="112" w:right="92"/>
              <w:rPr>
                <w:b/>
                <w:sz w:val="20"/>
              </w:rPr>
            </w:pPr>
            <w:r>
              <w:rPr>
                <w:b/>
                <w:color w:val="808080"/>
                <w:spacing w:val="-4"/>
                <w:sz w:val="20"/>
              </w:rPr>
              <w:t>Prep</w:t>
            </w:r>
            <w:r>
              <w:rPr>
                <w:b/>
                <w:color w:val="808080"/>
                <w:sz w:val="20"/>
              </w:rPr>
              <w:tab/>
            </w:r>
            <w:r>
              <w:rPr>
                <w:b/>
                <w:color w:val="808080"/>
                <w:spacing w:val="-6"/>
                <w:sz w:val="20"/>
              </w:rPr>
              <w:t>BP </w:t>
            </w:r>
            <w:r>
              <w:rPr>
                <w:b/>
                <w:color w:val="808080"/>
                <w:sz w:val="20"/>
              </w:rPr>
              <w:t>and BP 1</w:t>
            </w:r>
          </w:p>
        </w:tc>
        <w:tc>
          <w:tcPr>
            <w:tcW w:w="1172"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before="10"/>
              <w:rPr>
                <w:sz w:val="26"/>
              </w:rPr>
            </w:pPr>
          </w:p>
          <w:p>
            <w:pPr>
              <w:pStyle w:val="TableParagraph"/>
              <w:spacing w:before="1"/>
              <w:ind w:left="112"/>
              <w:rPr>
                <w:b/>
                <w:sz w:val="20"/>
              </w:rPr>
            </w:pPr>
            <w:r>
              <w:rPr>
                <w:b/>
                <w:color w:val="808080"/>
                <w:sz w:val="20"/>
              </w:rPr>
              <w:t>BP</w:t>
            </w:r>
            <w:r>
              <w:rPr>
                <w:b/>
                <w:color w:val="808080"/>
                <w:spacing w:val="-1"/>
                <w:sz w:val="20"/>
              </w:rPr>
              <w:t> </w:t>
            </w:r>
            <w:r>
              <w:rPr>
                <w:b/>
                <w:color w:val="808080"/>
                <w:spacing w:val="-10"/>
                <w:sz w:val="20"/>
              </w:rPr>
              <w:t>2</w:t>
            </w:r>
          </w:p>
        </w:tc>
        <w:tc>
          <w:tcPr>
            <w:tcW w:w="1174"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before="10"/>
              <w:rPr>
                <w:sz w:val="26"/>
              </w:rPr>
            </w:pPr>
          </w:p>
          <w:p>
            <w:pPr>
              <w:pStyle w:val="TableParagraph"/>
              <w:spacing w:before="1"/>
              <w:ind w:left="111"/>
              <w:rPr>
                <w:b/>
                <w:sz w:val="20"/>
              </w:rPr>
            </w:pPr>
            <w:r>
              <w:rPr>
                <w:b/>
                <w:color w:val="808080"/>
                <w:sz w:val="20"/>
              </w:rPr>
              <w:t>BP</w:t>
            </w:r>
            <w:r>
              <w:rPr>
                <w:b/>
                <w:color w:val="808080"/>
                <w:spacing w:val="-1"/>
                <w:sz w:val="20"/>
              </w:rPr>
              <w:t> </w:t>
            </w:r>
            <w:r>
              <w:rPr>
                <w:b/>
                <w:color w:val="808080"/>
                <w:spacing w:val="-10"/>
                <w:sz w:val="20"/>
              </w:rPr>
              <w:t>3</w:t>
            </w:r>
          </w:p>
        </w:tc>
        <w:tc>
          <w:tcPr>
            <w:tcW w:w="1174" w:type="dxa"/>
            <w:tcBorders>
              <w:top w:val="single" w:sz="4" w:space="0" w:color="BEBEBE"/>
              <w:left w:val="single" w:sz="4" w:space="0" w:color="BEBEBE"/>
              <w:bottom w:val="single" w:sz="4" w:space="0" w:color="BEBEBE"/>
              <w:right w:val="single" w:sz="4" w:space="0" w:color="BEBEBE"/>
            </w:tcBorders>
            <w:shd w:val="clear" w:color="auto" w:fill="D9D9D9"/>
          </w:tcPr>
          <w:p>
            <w:pPr>
              <w:pStyle w:val="TableParagraph"/>
              <w:spacing w:before="10"/>
              <w:rPr>
                <w:sz w:val="26"/>
              </w:rPr>
            </w:pPr>
          </w:p>
          <w:p>
            <w:pPr>
              <w:pStyle w:val="TableParagraph"/>
              <w:spacing w:before="1"/>
              <w:ind w:left="110"/>
              <w:rPr>
                <w:b/>
                <w:sz w:val="20"/>
              </w:rPr>
            </w:pPr>
            <w:r>
              <w:rPr>
                <w:b/>
                <w:sz w:val="20"/>
              </w:rPr>
              <w:t>BP</w:t>
            </w:r>
            <w:r>
              <w:rPr>
                <w:b/>
                <w:spacing w:val="-1"/>
                <w:sz w:val="20"/>
              </w:rPr>
              <w:t> </w:t>
            </w:r>
            <w:r>
              <w:rPr>
                <w:b/>
                <w:spacing w:val="-10"/>
                <w:sz w:val="20"/>
              </w:rPr>
              <w:t>4</w:t>
            </w:r>
          </w:p>
        </w:tc>
        <w:tc>
          <w:tcPr>
            <w:tcW w:w="1176" w:type="dxa"/>
            <w:tcBorders>
              <w:top w:val="single" w:sz="4" w:space="0" w:color="BEBEBE"/>
              <w:left w:val="single" w:sz="4" w:space="0" w:color="BEBEBE"/>
              <w:bottom w:val="single" w:sz="4" w:space="0" w:color="BEBEBE"/>
            </w:tcBorders>
            <w:shd w:val="clear" w:color="auto" w:fill="D9D9D9"/>
          </w:tcPr>
          <w:p>
            <w:pPr>
              <w:pStyle w:val="TableParagraph"/>
              <w:spacing w:before="10"/>
              <w:rPr>
                <w:sz w:val="26"/>
              </w:rPr>
            </w:pPr>
          </w:p>
          <w:p>
            <w:pPr>
              <w:pStyle w:val="TableParagraph"/>
              <w:spacing w:before="1"/>
              <w:ind w:left="110"/>
              <w:rPr>
                <w:b/>
                <w:sz w:val="20"/>
              </w:rPr>
            </w:pPr>
            <w:r>
              <w:rPr>
                <w:b/>
                <w:color w:val="808080"/>
                <w:sz w:val="20"/>
              </w:rPr>
              <w:t>BP</w:t>
            </w:r>
            <w:r>
              <w:rPr>
                <w:b/>
                <w:color w:val="808080"/>
                <w:spacing w:val="-1"/>
                <w:sz w:val="20"/>
              </w:rPr>
              <w:t> </w:t>
            </w:r>
            <w:r>
              <w:rPr>
                <w:b/>
                <w:color w:val="808080"/>
                <w:spacing w:val="-10"/>
                <w:sz w:val="20"/>
              </w:rPr>
              <w:t>5</w:t>
            </w:r>
          </w:p>
        </w:tc>
      </w:tr>
      <w:tr>
        <w:trPr>
          <w:trHeight w:val="414" w:hRule="atLeast"/>
        </w:trPr>
        <w:tc>
          <w:tcPr>
            <w:tcW w:w="3257" w:type="dxa"/>
            <w:tcBorders>
              <w:top w:val="single" w:sz="4" w:space="0" w:color="BEBEBE"/>
              <w:bottom w:val="single" w:sz="4" w:space="0" w:color="000000"/>
              <w:right w:val="single" w:sz="4" w:space="0" w:color="BEBEBE"/>
            </w:tcBorders>
            <w:shd w:val="clear" w:color="auto" w:fill="DCE6F0"/>
          </w:tcPr>
          <w:p>
            <w:pPr>
              <w:pStyle w:val="TableParagraph"/>
              <w:spacing w:before="2"/>
              <w:ind w:left="107"/>
              <w:rPr>
                <w:sz w:val="20"/>
              </w:rPr>
            </w:pPr>
            <w:r>
              <w:rPr/>
              <mc:AlternateContent>
                <mc:Choice Requires="wps">
                  <w:drawing>
                    <wp:anchor distT="0" distB="0" distL="0" distR="0" allowOverlap="1" layoutInCell="1" locked="0" behindDoc="0" simplePos="0" relativeHeight="16174592">
                      <wp:simplePos x="0" y="0"/>
                      <wp:positionH relativeFrom="column">
                        <wp:posOffset>-83819</wp:posOffset>
                      </wp:positionH>
                      <wp:positionV relativeFrom="paragraph">
                        <wp:posOffset>266140</wp:posOffset>
                      </wp:positionV>
                      <wp:extent cx="5953125" cy="6350"/>
                      <wp:effectExtent l="0" t="0" r="0" b="0"/>
                      <wp:wrapNone/>
                      <wp:docPr id="949" name="Group 949"/>
                      <wp:cNvGraphicFramePr>
                        <a:graphicFrameLocks/>
                      </wp:cNvGraphicFramePr>
                      <a:graphic>
                        <a:graphicData uri="http://schemas.microsoft.com/office/word/2010/wordprocessingGroup">
                          <wpg:wgp>
                            <wpg:cNvPr id="949" name="Group 949"/>
                            <wpg:cNvGrpSpPr/>
                            <wpg:grpSpPr>
                              <a:xfrm>
                                <a:off x="0" y="0"/>
                                <a:ext cx="5953125" cy="6350"/>
                                <a:chExt cx="5953125" cy="6350"/>
                              </a:xfrm>
                            </wpg:grpSpPr>
                            <wps:wsp>
                              <wps:cNvPr id="950" name="Graphic 950"/>
                              <wps:cNvSpPr/>
                              <wps:spPr>
                                <a:xfrm>
                                  <a:off x="0" y="0"/>
                                  <a:ext cx="5953125" cy="6350"/>
                                </a:xfrm>
                                <a:custGeom>
                                  <a:avLst/>
                                  <a:gdLst/>
                                  <a:ahLst/>
                                  <a:cxnLst/>
                                  <a:rect l="l" t="t" r="r" b="b"/>
                                  <a:pathLst>
                                    <a:path w="5953125" h="6350">
                                      <a:moveTo>
                                        <a:pt x="5952744" y="0"/>
                                      </a:moveTo>
                                      <a:lnTo>
                                        <a:pt x="0" y="0"/>
                                      </a:lnTo>
                                      <a:lnTo>
                                        <a:pt x="0" y="6095"/>
                                      </a:lnTo>
                                      <a:lnTo>
                                        <a:pt x="5952744" y="6095"/>
                                      </a:lnTo>
                                      <a:lnTo>
                                        <a:pt x="59527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6pt;margin-top:20.955935pt;width:468.75pt;height:.5pt;mso-position-horizontal-relative:column;mso-position-vertical-relative:paragraph;z-index:16174592" id="docshapegroup164" coordorigin="-132,419" coordsize="9375,10">
                      <v:rect style="position:absolute;left:-132;top:419;width:9375;height:10" id="docshape165" filled="true" fillcolor="#000000" stroked="false">
                        <v:fill type="solid"/>
                      </v:rect>
                      <w10:wrap type="none"/>
                    </v:group>
                  </w:pict>
                </mc:Fallback>
              </mc:AlternateContent>
            </w:r>
            <w:r>
              <w:rPr>
                <w:sz w:val="20"/>
              </w:rPr>
              <w:t>DSRIP</w:t>
            </w:r>
            <w:r>
              <w:rPr>
                <w:spacing w:val="-9"/>
                <w:sz w:val="20"/>
              </w:rPr>
              <w:t> </w:t>
            </w:r>
            <w:r>
              <w:rPr>
                <w:sz w:val="20"/>
              </w:rPr>
              <w:t>Expenditure</w:t>
            </w:r>
            <w:r>
              <w:rPr>
                <w:spacing w:val="-10"/>
                <w:sz w:val="20"/>
              </w:rPr>
              <w:t> </w:t>
            </w:r>
            <w:r>
              <w:rPr>
                <w:spacing w:val="-2"/>
                <w:sz w:val="20"/>
              </w:rPr>
              <w:t>Authority</w:t>
            </w:r>
          </w:p>
        </w:tc>
        <w:tc>
          <w:tcPr>
            <w:tcW w:w="1174" w:type="dxa"/>
            <w:tcBorders>
              <w:top w:val="single" w:sz="4" w:space="0" w:color="BEBEBE"/>
              <w:left w:val="single" w:sz="4" w:space="0" w:color="BEBEBE"/>
              <w:bottom w:val="single" w:sz="4" w:space="0" w:color="000000"/>
              <w:right w:val="single" w:sz="4" w:space="0" w:color="BEBEBE"/>
            </w:tcBorders>
          </w:tcPr>
          <w:p>
            <w:pPr>
              <w:pStyle w:val="TableParagraph"/>
              <w:spacing w:before="2"/>
              <w:ind w:left="112"/>
              <w:rPr>
                <w:sz w:val="20"/>
              </w:rPr>
            </w:pPr>
            <w:r>
              <w:rPr>
                <w:color w:val="808080"/>
                <w:spacing w:val="-2"/>
                <w:sz w:val="20"/>
              </w:rPr>
              <w:t>$637.5M</w:t>
            </w:r>
          </w:p>
        </w:tc>
        <w:tc>
          <w:tcPr>
            <w:tcW w:w="1172" w:type="dxa"/>
            <w:tcBorders>
              <w:top w:val="single" w:sz="4" w:space="0" w:color="BEBEBE"/>
              <w:left w:val="single" w:sz="4" w:space="0" w:color="BEBEBE"/>
              <w:bottom w:val="single" w:sz="4" w:space="0" w:color="000000"/>
              <w:right w:val="single" w:sz="4" w:space="0" w:color="BEBEBE"/>
            </w:tcBorders>
          </w:tcPr>
          <w:p>
            <w:pPr>
              <w:pStyle w:val="TableParagraph"/>
              <w:spacing w:before="2"/>
              <w:ind w:left="112"/>
              <w:rPr>
                <w:sz w:val="20"/>
              </w:rPr>
            </w:pPr>
            <w:r>
              <w:rPr>
                <w:color w:val="808080"/>
                <w:spacing w:val="-2"/>
                <w:sz w:val="20"/>
              </w:rPr>
              <w:t>$412.5M</w:t>
            </w:r>
          </w:p>
        </w:tc>
        <w:tc>
          <w:tcPr>
            <w:tcW w:w="1174" w:type="dxa"/>
            <w:tcBorders>
              <w:top w:val="single" w:sz="4" w:space="0" w:color="BEBEBE"/>
              <w:left w:val="single" w:sz="4" w:space="0" w:color="BEBEBE"/>
              <w:bottom w:val="single" w:sz="4" w:space="0" w:color="000000"/>
              <w:right w:val="single" w:sz="4" w:space="0" w:color="BEBEBE"/>
            </w:tcBorders>
          </w:tcPr>
          <w:p>
            <w:pPr>
              <w:pStyle w:val="TableParagraph"/>
              <w:spacing w:before="2"/>
              <w:ind w:left="111"/>
              <w:rPr>
                <w:sz w:val="20"/>
              </w:rPr>
            </w:pPr>
            <w:r>
              <w:rPr>
                <w:color w:val="808080"/>
                <w:spacing w:val="-2"/>
                <w:sz w:val="20"/>
              </w:rPr>
              <w:t>$362.5M</w:t>
            </w:r>
          </w:p>
        </w:tc>
        <w:tc>
          <w:tcPr>
            <w:tcW w:w="1174" w:type="dxa"/>
            <w:tcBorders>
              <w:top w:val="single" w:sz="4" w:space="0" w:color="BEBEBE"/>
              <w:left w:val="single" w:sz="4" w:space="0" w:color="BEBEBE"/>
              <w:bottom w:val="single" w:sz="4" w:space="0" w:color="000000"/>
              <w:right w:val="single" w:sz="4" w:space="0" w:color="BEBEBE"/>
            </w:tcBorders>
          </w:tcPr>
          <w:p>
            <w:pPr>
              <w:pStyle w:val="TableParagraph"/>
              <w:spacing w:before="2"/>
              <w:ind w:left="110"/>
              <w:rPr>
                <w:sz w:val="20"/>
              </w:rPr>
            </w:pPr>
            <w:r>
              <w:rPr>
                <w:spacing w:val="-2"/>
                <w:sz w:val="20"/>
              </w:rPr>
              <w:t>$275M</w:t>
            </w:r>
          </w:p>
        </w:tc>
        <w:tc>
          <w:tcPr>
            <w:tcW w:w="1176" w:type="dxa"/>
            <w:tcBorders>
              <w:top w:val="single" w:sz="4" w:space="0" w:color="BEBEBE"/>
              <w:left w:val="single" w:sz="4" w:space="0" w:color="BEBEBE"/>
              <w:bottom w:val="single" w:sz="4" w:space="0" w:color="000000"/>
            </w:tcBorders>
          </w:tcPr>
          <w:p>
            <w:pPr>
              <w:pStyle w:val="TableParagraph"/>
              <w:spacing w:before="2"/>
              <w:ind w:left="110"/>
              <w:rPr>
                <w:sz w:val="20"/>
              </w:rPr>
            </w:pPr>
            <w:r>
              <w:rPr>
                <w:color w:val="808080"/>
                <w:spacing w:val="-2"/>
                <w:sz w:val="20"/>
              </w:rPr>
              <w:t>$112.5M</w:t>
            </w:r>
          </w:p>
        </w:tc>
      </w:tr>
    </w:tbl>
    <w:p>
      <w:pPr>
        <w:spacing w:after="0"/>
        <w:rPr>
          <w:sz w:val="20"/>
        </w:rPr>
        <w:sectPr>
          <w:pgSz w:w="12240" w:h="15840"/>
          <w:pgMar w:header="0" w:footer="967" w:top="1420" w:bottom="1574" w:left="220" w:right="340"/>
        </w:sectPr>
      </w:pPr>
    </w:p>
    <w:tbl>
      <w:tblPr>
        <w:tblW w:w="0" w:type="auto"/>
        <w:jc w:val="left"/>
        <w:tblInd w:w="1348" w:type="dxa"/>
        <w:tblBorders>
          <w:top w:val="single" w:sz="8" w:space="0" w:color="BEBEBE"/>
          <w:left w:val="single" w:sz="8" w:space="0" w:color="BEBEBE"/>
          <w:bottom w:val="single" w:sz="8" w:space="0" w:color="BEBEBE"/>
          <w:right w:val="single" w:sz="8" w:space="0" w:color="BEBEBE"/>
          <w:insideH w:val="single" w:sz="8" w:space="0" w:color="BEBEBE"/>
          <w:insideV w:val="single" w:sz="8" w:space="0" w:color="BEBEBE"/>
        </w:tblBorders>
        <w:tblLayout w:type="fixed"/>
        <w:tblCellMar>
          <w:top w:w="0" w:type="dxa"/>
          <w:left w:w="0" w:type="dxa"/>
          <w:bottom w:w="0" w:type="dxa"/>
          <w:right w:w="0" w:type="dxa"/>
        </w:tblCellMar>
        <w:tblLook w:val="01E0"/>
      </w:tblPr>
      <w:tblGrid>
        <w:gridCol w:w="3257"/>
        <w:gridCol w:w="1174"/>
        <w:gridCol w:w="1172"/>
        <w:gridCol w:w="1174"/>
        <w:gridCol w:w="1174"/>
        <w:gridCol w:w="1176"/>
      </w:tblGrid>
      <w:tr>
        <w:trPr>
          <w:trHeight w:val="407" w:hRule="atLeast"/>
        </w:trPr>
        <w:tc>
          <w:tcPr>
            <w:tcW w:w="3257" w:type="dxa"/>
            <w:tcBorders>
              <w:top w:val="nil"/>
              <w:bottom w:val="single" w:sz="4" w:space="0" w:color="BEBEBE"/>
              <w:right w:val="single" w:sz="4" w:space="0" w:color="BEBEBE"/>
            </w:tcBorders>
            <w:shd w:val="clear" w:color="auto" w:fill="DCE6F0"/>
          </w:tcPr>
          <w:p>
            <w:pPr>
              <w:pStyle w:val="TableParagraph"/>
              <w:ind w:left="107"/>
              <w:rPr>
                <w:sz w:val="20"/>
              </w:rPr>
            </w:pPr>
            <w:r>
              <w:rPr/>
              <mc:AlternateContent>
                <mc:Choice Requires="wps">
                  <w:drawing>
                    <wp:anchor distT="0" distB="0" distL="0" distR="0" allowOverlap="1" layoutInCell="1" locked="0" behindDoc="0" simplePos="0" relativeHeight="16175104">
                      <wp:simplePos x="0" y="0"/>
                      <wp:positionH relativeFrom="column">
                        <wp:posOffset>-74676</wp:posOffset>
                      </wp:positionH>
                      <wp:positionV relativeFrom="paragraph">
                        <wp:posOffset>-6401</wp:posOffset>
                      </wp:positionV>
                      <wp:extent cx="5943600" cy="6350"/>
                      <wp:effectExtent l="0" t="0" r="0" b="0"/>
                      <wp:wrapNone/>
                      <wp:docPr id="951" name="Group 951"/>
                      <wp:cNvGraphicFramePr>
                        <a:graphicFrameLocks/>
                      </wp:cNvGraphicFramePr>
                      <a:graphic>
                        <a:graphicData uri="http://schemas.microsoft.com/office/word/2010/wordprocessingGroup">
                          <wpg:wgp>
                            <wpg:cNvPr id="951" name="Group 951"/>
                            <wpg:cNvGrpSpPr/>
                            <wpg:grpSpPr>
                              <a:xfrm>
                                <a:off x="0" y="0"/>
                                <a:ext cx="5943600" cy="6350"/>
                                <a:chExt cx="5943600" cy="6350"/>
                              </a:xfrm>
                            </wpg:grpSpPr>
                            <wps:wsp>
                              <wps:cNvPr id="952" name="Graphic 952"/>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88pt;margin-top:-.504089pt;width:468pt;height:.5pt;mso-position-horizontal-relative:column;mso-position-vertical-relative:paragraph;z-index:16175104" id="docshapegroup166" coordorigin="-118,-10" coordsize="9360,10">
                      <v:rect style="position:absolute;left:-118;top:-11;width:9360;height:10" id="docshape167" filled="true" fillcolor="#000000" stroked="false">
                        <v:fill type="solid"/>
                      </v:rect>
                      <w10:wrap type="none"/>
                    </v:group>
                  </w:pict>
                </mc:Fallback>
              </mc:AlternateContent>
            </w:r>
            <w:r>
              <w:rPr>
                <w:sz w:val="20"/>
              </w:rPr>
              <w:t>%</w:t>
            </w:r>
            <w:r>
              <w:rPr>
                <w:spacing w:val="-8"/>
                <w:sz w:val="20"/>
              </w:rPr>
              <w:t> </w:t>
            </w:r>
            <w:r>
              <w:rPr>
                <w:sz w:val="20"/>
              </w:rPr>
              <w:t>of</w:t>
            </w:r>
            <w:r>
              <w:rPr>
                <w:spacing w:val="-10"/>
                <w:sz w:val="20"/>
              </w:rPr>
              <w:t> </w:t>
            </w:r>
            <w:r>
              <w:rPr>
                <w:sz w:val="20"/>
              </w:rPr>
              <w:t>Expenditure</w:t>
            </w:r>
            <w:r>
              <w:rPr>
                <w:spacing w:val="-5"/>
                <w:sz w:val="20"/>
              </w:rPr>
              <w:t> </w:t>
            </w:r>
            <w:r>
              <w:rPr>
                <w:sz w:val="20"/>
              </w:rPr>
              <w:t>Authority</w:t>
            </w:r>
            <w:r>
              <w:rPr>
                <w:spacing w:val="-7"/>
                <w:sz w:val="20"/>
              </w:rPr>
              <w:t> </w:t>
            </w:r>
            <w:r>
              <w:rPr>
                <w:sz w:val="20"/>
              </w:rPr>
              <w:t>At-</w:t>
            </w:r>
            <w:r>
              <w:rPr>
                <w:spacing w:val="-4"/>
                <w:sz w:val="20"/>
              </w:rPr>
              <w:t>Risk</w:t>
            </w:r>
          </w:p>
        </w:tc>
        <w:tc>
          <w:tcPr>
            <w:tcW w:w="1174" w:type="dxa"/>
            <w:tcBorders>
              <w:top w:val="single" w:sz="4" w:space="0" w:color="000000"/>
              <w:left w:val="single" w:sz="4" w:space="0" w:color="BEBEBE"/>
              <w:bottom w:val="single" w:sz="4" w:space="0" w:color="BEBEBE"/>
              <w:right w:val="single" w:sz="4" w:space="0" w:color="BEBEBE"/>
            </w:tcBorders>
          </w:tcPr>
          <w:p>
            <w:pPr>
              <w:pStyle w:val="TableParagraph"/>
              <w:ind w:left="112"/>
              <w:rPr>
                <w:sz w:val="20"/>
              </w:rPr>
            </w:pPr>
            <w:r>
              <w:rPr>
                <w:color w:val="808080"/>
                <w:spacing w:val="-5"/>
                <w:sz w:val="20"/>
              </w:rPr>
              <w:t>0%</w:t>
            </w:r>
          </w:p>
        </w:tc>
        <w:tc>
          <w:tcPr>
            <w:tcW w:w="1172" w:type="dxa"/>
            <w:tcBorders>
              <w:top w:val="single" w:sz="4" w:space="0" w:color="000000"/>
              <w:left w:val="single" w:sz="4" w:space="0" w:color="BEBEBE"/>
              <w:bottom w:val="single" w:sz="4" w:space="0" w:color="BEBEBE"/>
              <w:right w:val="single" w:sz="4" w:space="0" w:color="BEBEBE"/>
            </w:tcBorders>
          </w:tcPr>
          <w:p>
            <w:pPr>
              <w:pStyle w:val="TableParagraph"/>
              <w:ind w:left="112"/>
              <w:rPr>
                <w:sz w:val="20"/>
              </w:rPr>
            </w:pPr>
            <w:r>
              <w:rPr>
                <w:color w:val="808080"/>
                <w:spacing w:val="-5"/>
                <w:sz w:val="20"/>
              </w:rPr>
              <w:t>5%</w:t>
            </w:r>
          </w:p>
        </w:tc>
        <w:tc>
          <w:tcPr>
            <w:tcW w:w="1174" w:type="dxa"/>
            <w:tcBorders>
              <w:top w:val="single" w:sz="4" w:space="0" w:color="000000"/>
              <w:left w:val="single" w:sz="4" w:space="0" w:color="BEBEBE"/>
              <w:bottom w:val="single" w:sz="4" w:space="0" w:color="BEBEBE"/>
              <w:right w:val="single" w:sz="4" w:space="0" w:color="BEBEBE"/>
            </w:tcBorders>
          </w:tcPr>
          <w:p>
            <w:pPr>
              <w:pStyle w:val="TableParagraph"/>
              <w:ind w:left="111"/>
              <w:rPr>
                <w:sz w:val="20"/>
              </w:rPr>
            </w:pPr>
            <w:r>
              <w:rPr>
                <w:color w:val="808080"/>
                <w:spacing w:val="-5"/>
                <w:sz w:val="20"/>
              </w:rPr>
              <w:t>10%</w:t>
            </w:r>
          </w:p>
        </w:tc>
        <w:tc>
          <w:tcPr>
            <w:tcW w:w="1174" w:type="dxa"/>
            <w:tcBorders>
              <w:top w:val="single" w:sz="4" w:space="0" w:color="000000"/>
              <w:left w:val="single" w:sz="4" w:space="0" w:color="BEBEBE"/>
              <w:bottom w:val="single" w:sz="4" w:space="0" w:color="BEBEBE"/>
              <w:right w:val="single" w:sz="4" w:space="0" w:color="BEBEBE"/>
            </w:tcBorders>
          </w:tcPr>
          <w:p>
            <w:pPr>
              <w:pStyle w:val="TableParagraph"/>
              <w:ind w:left="110"/>
              <w:rPr>
                <w:sz w:val="20"/>
              </w:rPr>
            </w:pPr>
            <w:r>
              <w:rPr>
                <w:spacing w:val="-5"/>
                <w:sz w:val="20"/>
              </w:rPr>
              <w:t>15%</w:t>
            </w:r>
          </w:p>
        </w:tc>
        <w:tc>
          <w:tcPr>
            <w:tcW w:w="1176" w:type="dxa"/>
            <w:tcBorders>
              <w:top w:val="single" w:sz="4" w:space="0" w:color="000000"/>
              <w:left w:val="single" w:sz="4" w:space="0" w:color="BEBEBE"/>
              <w:bottom w:val="single" w:sz="4" w:space="0" w:color="BEBEBE"/>
            </w:tcBorders>
          </w:tcPr>
          <w:p>
            <w:pPr>
              <w:pStyle w:val="TableParagraph"/>
              <w:ind w:left="110"/>
              <w:rPr>
                <w:sz w:val="20"/>
              </w:rPr>
            </w:pPr>
            <w:r>
              <w:rPr>
                <w:color w:val="808080"/>
                <w:spacing w:val="-5"/>
                <w:sz w:val="20"/>
              </w:rPr>
              <w:t>20%</w:t>
            </w:r>
          </w:p>
        </w:tc>
      </w:tr>
      <w:tr>
        <w:trPr>
          <w:trHeight w:val="661" w:hRule="atLeast"/>
        </w:trPr>
        <w:tc>
          <w:tcPr>
            <w:tcW w:w="3257" w:type="dxa"/>
            <w:tcBorders>
              <w:top w:val="single" w:sz="4" w:space="0" w:color="BEBEBE"/>
              <w:right w:val="single" w:sz="4" w:space="0" w:color="BEBEBE"/>
            </w:tcBorders>
            <w:shd w:val="clear" w:color="auto" w:fill="DCE6F0"/>
          </w:tcPr>
          <w:p>
            <w:pPr>
              <w:pStyle w:val="TableParagraph"/>
              <w:spacing w:line="261" w:lineRule="auto"/>
              <w:ind w:left="107"/>
              <w:rPr>
                <w:sz w:val="20"/>
              </w:rPr>
            </w:pPr>
            <w:r>
              <w:rPr>
                <w:sz w:val="20"/>
              </w:rPr>
              <w:t>Actual</w:t>
            </w:r>
            <w:r>
              <w:rPr>
                <w:spacing w:val="80"/>
                <w:sz w:val="20"/>
              </w:rPr>
              <w:t> </w:t>
            </w:r>
            <w:r>
              <w:rPr>
                <w:sz w:val="20"/>
              </w:rPr>
              <w:t>Expenditure</w:t>
            </w:r>
            <w:r>
              <w:rPr>
                <w:spacing w:val="80"/>
                <w:sz w:val="20"/>
              </w:rPr>
              <w:t> </w:t>
            </w:r>
            <w:r>
              <w:rPr>
                <w:sz w:val="20"/>
              </w:rPr>
              <w:t>Authority</w:t>
            </w:r>
            <w:r>
              <w:rPr>
                <w:spacing w:val="80"/>
                <w:sz w:val="20"/>
              </w:rPr>
              <w:t> </w:t>
            </w:r>
            <w:r>
              <w:rPr>
                <w:sz w:val="20"/>
              </w:rPr>
              <w:t>At- </w:t>
            </w:r>
            <w:r>
              <w:rPr>
                <w:spacing w:val="-2"/>
                <w:sz w:val="20"/>
              </w:rPr>
              <w:t>Risk*</w:t>
            </w:r>
          </w:p>
        </w:tc>
        <w:tc>
          <w:tcPr>
            <w:tcW w:w="1174" w:type="dxa"/>
            <w:tcBorders>
              <w:top w:val="single" w:sz="4" w:space="0" w:color="BEBEBE"/>
              <w:left w:val="single" w:sz="4" w:space="0" w:color="BEBEBE"/>
              <w:right w:val="single" w:sz="4" w:space="0" w:color="BEBEBE"/>
            </w:tcBorders>
          </w:tcPr>
          <w:p>
            <w:pPr>
              <w:pStyle w:val="TableParagraph"/>
              <w:spacing w:before="125"/>
              <w:ind w:left="112"/>
              <w:rPr>
                <w:sz w:val="20"/>
              </w:rPr>
            </w:pPr>
            <w:r>
              <w:rPr>
                <w:color w:val="808080"/>
                <w:spacing w:val="-5"/>
                <w:sz w:val="20"/>
              </w:rPr>
              <w:t>$0M</w:t>
            </w:r>
          </w:p>
        </w:tc>
        <w:tc>
          <w:tcPr>
            <w:tcW w:w="1172" w:type="dxa"/>
            <w:tcBorders>
              <w:top w:val="single" w:sz="4" w:space="0" w:color="BEBEBE"/>
              <w:left w:val="single" w:sz="4" w:space="0" w:color="BEBEBE"/>
              <w:right w:val="single" w:sz="4" w:space="0" w:color="BEBEBE"/>
            </w:tcBorders>
          </w:tcPr>
          <w:p>
            <w:pPr>
              <w:pStyle w:val="TableParagraph"/>
              <w:spacing w:before="125"/>
              <w:ind w:left="112"/>
              <w:rPr>
                <w:sz w:val="20"/>
              </w:rPr>
            </w:pPr>
            <w:r>
              <w:rPr>
                <w:color w:val="808080"/>
                <w:spacing w:val="-2"/>
                <w:sz w:val="20"/>
              </w:rPr>
              <w:t>$20.625M</w:t>
            </w:r>
          </w:p>
        </w:tc>
        <w:tc>
          <w:tcPr>
            <w:tcW w:w="1174" w:type="dxa"/>
            <w:tcBorders>
              <w:top w:val="single" w:sz="4" w:space="0" w:color="BEBEBE"/>
              <w:left w:val="single" w:sz="4" w:space="0" w:color="BEBEBE"/>
              <w:right w:val="single" w:sz="4" w:space="0" w:color="BEBEBE"/>
            </w:tcBorders>
          </w:tcPr>
          <w:p>
            <w:pPr>
              <w:pStyle w:val="TableParagraph"/>
              <w:spacing w:before="125"/>
              <w:ind w:left="111"/>
              <w:rPr>
                <w:sz w:val="20"/>
              </w:rPr>
            </w:pPr>
            <w:r>
              <w:rPr>
                <w:color w:val="808080"/>
                <w:spacing w:val="-2"/>
                <w:sz w:val="20"/>
              </w:rPr>
              <w:t>$36.25M</w:t>
            </w:r>
          </w:p>
        </w:tc>
        <w:tc>
          <w:tcPr>
            <w:tcW w:w="1174" w:type="dxa"/>
            <w:tcBorders>
              <w:top w:val="single" w:sz="4" w:space="0" w:color="BEBEBE"/>
              <w:left w:val="single" w:sz="4" w:space="0" w:color="BEBEBE"/>
              <w:right w:val="single" w:sz="4" w:space="0" w:color="BEBEBE"/>
            </w:tcBorders>
          </w:tcPr>
          <w:p>
            <w:pPr>
              <w:pStyle w:val="TableParagraph"/>
              <w:spacing w:before="125"/>
              <w:ind w:left="110"/>
              <w:rPr>
                <w:b/>
                <w:sz w:val="20"/>
              </w:rPr>
            </w:pPr>
            <w:r>
              <w:rPr>
                <w:b/>
                <w:color w:val="FF0000"/>
                <w:spacing w:val="-2"/>
                <w:sz w:val="20"/>
              </w:rPr>
              <w:t>$41.25M</w:t>
            </w:r>
          </w:p>
        </w:tc>
        <w:tc>
          <w:tcPr>
            <w:tcW w:w="1176" w:type="dxa"/>
            <w:tcBorders>
              <w:top w:val="single" w:sz="4" w:space="0" w:color="BEBEBE"/>
              <w:left w:val="single" w:sz="4" w:space="0" w:color="BEBEBE"/>
            </w:tcBorders>
          </w:tcPr>
          <w:p>
            <w:pPr>
              <w:pStyle w:val="TableParagraph"/>
              <w:spacing w:before="125"/>
              <w:ind w:left="110"/>
              <w:rPr>
                <w:sz w:val="20"/>
              </w:rPr>
            </w:pPr>
            <w:r>
              <w:rPr>
                <w:color w:val="808080"/>
                <w:spacing w:val="-2"/>
                <w:sz w:val="20"/>
              </w:rPr>
              <w:t>$22.5M</w:t>
            </w:r>
          </w:p>
        </w:tc>
      </w:tr>
    </w:tbl>
    <w:p>
      <w:pPr>
        <w:pStyle w:val="BodyText"/>
        <w:spacing w:before="10"/>
        <w:rPr>
          <w:sz w:val="26"/>
        </w:rPr>
      </w:pPr>
    </w:p>
    <w:p>
      <w:pPr>
        <w:spacing w:before="92"/>
        <w:ind w:left="1220" w:right="0" w:firstLine="0"/>
        <w:jc w:val="left"/>
        <w:rPr>
          <w:sz w:val="22"/>
        </w:rPr>
      </w:pPr>
      <w:r>
        <w:rPr/>
        <mc:AlternateContent>
          <mc:Choice Requires="wps">
            <w:drawing>
              <wp:anchor distT="0" distB="0" distL="0" distR="0" allowOverlap="1" layoutInCell="1" locked="0" behindDoc="0" simplePos="0" relativeHeight="16175616">
                <wp:simplePos x="0" y="0"/>
                <wp:positionH relativeFrom="page">
                  <wp:posOffset>905255</wp:posOffset>
                </wp:positionH>
                <wp:positionV relativeFrom="paragraph">
                  <wp:posOffset>-186122</wp:posOffset>
                </wp:positionV>
                <wp:extent cx="5953125" cy="6350"/>
                <wp:effectExtent l="0" t="0" r="0" b="0"/>
                <wp:wrapNone/>
                <wp:docPr id="953" name="Graphic 953"/>
                <wp:cNvGraphicFramePr>
                  <a:graphicFrameLocks/>
                </wp:cNvGraphicFramePr>
                <a:graphic>
                  <a:graphicData uri="http://schemas.microsoft.com/office/word/2010/wordprocessingShape">
                    <wps:wsp>
                      <wps:cNvPr id="953" name="Graphic 953"/>
                      <wps:cNvSpPr/>
                      <wps:spPr>
                        <a:xfrm>
                          <a:off x="0" y="0"/>
                          <a:ext cx="5953125" cy="6350"/>
                        </a:xfrm>
                        <a:custGeom>
                          <a:avLst/>
                          <a:gdLst/>
                          <a:ahLst/>
                          <a:cxnLst/>
                          <a:rect l="l" t="t" r="r" b="b"/>
                          <a:pathLst>
                            <a:path w="5953125" h="6350">
                              <a:moveTo>
                                <a:pt x="5952744" y="0"/>
                              </a:moveTo>
                              <a:lnTo>
                                <a:pt x="0" y="0"/>
                              </a:lnTo>
                              <a:lnTo>
                                <a:pt x="0" y="6108"/>
                              </a:lnTo>
                              <a:lnTo>
                                <a:pt x="5952744" y="6108"/>
                              </a:lnTo>
                              <a:lnTo>
                                <a:pt x="5952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1.279999pt;margin-top:-14.655285pt;width:468.72pt;height:.481pt;mso-position-horizontal-relative:page;mso-position-vertical-relative:paragraph;z-index:16175616" id="docshape168" filled="true" fillcolor="#000000" stroked="false">
                <v:fill type="solid"/>
                <w10:wrap type="none"/>
              </v:rect>
            </w:pict>
          </mc:Fallback>
        </mc:AlternateContent>
      </w:r>
      <w:r>
        <w:rPr>
          <w:sz w:val="22"/>
        </w:rPr>
        <w:t>To</w:t>
      </w:r>
      <w:r>
        <w:rPr>
          <w:spacing w:val="-5"/>
          <w:sz w:val="22"/>
        </w:rPr>
        <w:t> </w:t>
      </w:r>
      <w:r>
        <w:rPr>
          <w:sz w:val="22"/>
        </w:rPr>
        <w:t>calculate</w:t>
      </w:r>
      <w:r>
        <w:rPr>
          <w:spacing w:val="-2"/>
          <w:sz w:val="22"/>
        </w:rPr>
        <w:t> </w:t>
      </w:r>
      <w:r>
        <w:rPr>
          <w:sz w:val="22"/>
        </w:rPr>
        <w:t>how</w:t>
      </w:r>
      <w:r>
        <w:rPr>
          <w:spacing w:val="-3"/>
          <w:sz w:val="22"/>
        </w:rPr>
        <w:t> </w:t>
      </w:r>
      <w:r>
        <w:rPr>
          <w:sz w:val="22"/>
        </w:rPr>
        <w:t>much</w:t>
      </w:r>
      <w:r>
        <w:rPr>
          <w:spacing w:val="-2"/>
          <w:sz w:val="22"/>
        </w:rPr>
        <w:t> </w:t>
      </w:r>
      <w:r>
        <w:rPr>
          <w:sz w:val="22"/>
        </w:rPr>
        <w:t>at-risk</w:t>
      </w:r>
      <w:r>
        <w:rPr>
          <w:spacing w:val="-5"/>
          <w:sz w:val="22"/>
        </w:rPr>
        <w:t> </w:t>
      </w:r>
      <w:r>
        <w:rPr>
          <w:sz w:val="22"/>
        </w:rPr>
        <w:t>funding</w:t>
      </w:r>
      <w:r>
        <w:rPr>
          <w:spacing w:val="-5"/>
          <w:sz w:val="22"/>
        </w:rPr>
        <w:t> </w:t>
      </w:r>
      <w:r>
        <w:rPr>
          <w:sz w:val="22"/>
        </w:rPr>
        <w:t>the</w:t>
      </w:r>
      <w:r>
        <w:rPr>
          <w:spacing w:val="-2"/>
          <w:sz w:val="22"/>
        </w:rPr>
        <w:t> </w:t>
      </w:r>
      <w:r>
        <w:rPr>
          <w:sz w:val="22"/>
        </w:rPr>
        <w:t>State</w:t>
      </w:r>
      <w:r>
        <w:rPr>
          <w:spacing w:val="-2"/>
          <w:sz w:val="22"/>
        </w:rPr>
        <w:t> </w:t>
      </w:r>
      <w:r>
        <w:rPr>
          <w:sz w:val="22"/>
        </w:rPr>
        <w:t>has</w:t>
      </w:r>
      <w:r>
        <w:rPr>
          <w:spacing w:val="-2"/>
          <w:sz w:val="22"/>
        </w:rPr>
        <w:t> </w:t>
      </w:r>
      <w:r>
        <w:rPr>
          <w:sz w:val="22"/>
        </w:rPr>
        <w:t>earned</w:t>
      </w:r>
      <w:r>
        <w:rPr>
          <w:spacing w:val="-5"/>
          <w:sz w:val="22"/>
        </w:rPr>
        <w:t> </w:t>
      </w:r>
      <w:r>
        <w:rPr>
          <w:sz w:val="22"/>
        </w:rPr>
        <w:t>for</w:t>
      </w:r>
      <w:r>
        <w:rPr>
          <w:spacing w:val="-1"/>
          <w:sz w:val="22"/>
        </w:rPr>
        <w:t> </w:t>
      </w:r>
      <w:r>
        <w:rPr>
          <w:sz w:val="22"/>
        </w:rPr>
        <w:t>BP</w:t>
      </w:r>
      <w:r>
        <w:rPr>
          <w:spacing w:val="-2"/>
          <w:sz w:val="22"/>
        </w:rPr>
        <w:t> </w:t>
      </w:r>
      <w:r>
        <w:rPr>
          <w:spacing w:val="-5"/>
          <w:sz w:val="22"/>
        </w:rPr>
        <w:t>4:</w:t>
      </w:r>
    </w:p>
    <w:p>
      <w:pPr>
        <w:pStyle w:val="BodyText"/>
      </w:pPr>
    </w:p>
    <w:p>
      <w:pPr>
        <w:pStyle w:val="BodyText"/>
        <w:spacing w:before="9"/>
        <w:rPr>
          <w:sz w:val="18"/>
        </w:rPr>
      </w:pPr>
    </w:p>
    <w:p>
      <w:pPr>
        <w:spacing w:before="0"/>
        <w:ind w:left="1227" w:right="1112" w:firstLine="0"/>
        <w:jc w:val="center"/>
        <w:rPr>
          <w:rFonts w:ascii="Cambria Math" w:hAnsi="Cambria Math" w:eastAsia="Cambria Math"/>
          <w:sz w:val="22"/>
        </w:rPr>
      </w:pPr>
      <w:r>
        <w:rPr>
          <w:rFonts w:ascii="Cambria Math" w:hAnsi="Cambria Math" w:eastAsia="Cambria Math"/>
          <w:w w:val="40"/>
          <w:sz w:val="22"/>
        </w:rPr>
        <w:t>𝐵𝐵𝑃𝑃</w:t>
      </w:r>
      <w:r>
        <w:rPr>
          <w:rFonts w:ascii="Cambria Math" w:hAnsi="Cambria Math" w:eastAsia="Cambria Math"/>
          <w:spacing w:val="32"/>
          <w:sz w:val="22"/>
        </w:rPr>
        <w:t> </w:t>
      </w:r>
      <w:r>
        <w:rPr>
          <w:rFonts w:ascii="Cambria Math" w:hAnsi="Cambria Math" w:eastAsia="Cambria Math"/>
          <w:w w:val="40"/>
          <w:sz w:val="22"/>
        </w:rPr>
        <w:t>4</w:t>
      </w:r>
      <w:r>
        <w:rPr>
          <w:rFonts w:ascii="Cambria Math" w:hAnsi="Cambria Math" w:eastAsia="Cambria Math"/>
          <w:spacing w:val="22"/>
          <w:sz w:val="22"/>
        </w:rPr>
        <w:t> </w:t>
      </w:r>
      <w:r>
        <w:rPr>
          <w:rFonts w:ascii="Cambria Math" w:hAnsi="Cambria Math" w:eastAsia="Cambria Math"/>
          <w:w w:val="40"/>
          <w:sz w:val="22"/>
        </w:rPr>
        <w:t>𝐵𝐵𝑝𝑝𝐴𝐴𝐴𝐴𝐵𝐵𝐴𝐴</w:t>
      </w:r>
      <w:r>
        <w:rPr>
          <w:rFonts w:ascii="Cambria Math" w:hAnsi="Cambria Math" w:eastAsia="Cambria Math"/>
          <w:spacing w:val="25"/>
          <w:sz w:val="22"/>
        </w:rPr>
        <w:t> </w:t>
      </w:r>
      <w:r>
        <w:rPr>
          <w:rFonts w:ascii="Cambria Math" w:hAnsi="Cambria Math" w:eastAsia="Cambria Math"/>
          <w:w w:val="40"/>
          <w:sz w:val="22"/>
        </w:rPr>
        <w:t>𝐵𝐵𝐴𝐴</w:t>
      </w:r>
      <w:r>
        <w:rPr>
          <w:w w:val="40"/>
          <w:sz w:val="22"/>
        </w:rPr>
        <w:t>-</w:t>
      </w:r>
      <w:r>
        <w:rPr>
          <w:rFonts w:ascii="Cambria Math" w:hAnsi="Cambria Math" w:eastAsia="Cambria Math"/>
          <w:w w:val="40"/>
          <w:sz w:val="22"/>
        </w:rPr>
        <w:t>𝐴𝐴𝐵𝐵𝐵𝐵𝑅𝑅</w:t>
      </w:r>
      <w:r>
        <w:rPr>
          <w:rFonts w:ascii="Cambria Math" w:hAnsi="Cambria Math" w:eastAsia="Cambria Math"/>
          <w:spacing w:val="28"/>
          <w:sz w:val="22"/>
        </w:rPr>
        <w:t>  </w:t>
      </w:r>
      <w:r>
        <w:rPr>
          <w:rFonts w:ascii="Cambria Math" w:hAnsi="Cambria Math" w:eastAsia="Cambria Math"/>
          <w:w w:val="40"/>
          <w:sz w:val="22"/>
        </w:rPr>
        <w:t>×</w:t>
      </w:r>
      <w:r>
        <w:rPr>
          <w:rFonts w:ascii="Cambria Math" w:hAnsi="Cambria Math" w:eastAsia="Cambria Math"/>
          <w:spacing w:val="25"/>
          <w:sz w:val="22"/>
        </w:rPr>
        <w:t> </w:t>
      </w:r>
      <w:r>
        <w:rPr>
          <w:rFonts w:ascii="Cambria Math" w:hAnsi="Cambria Math" w:eastAsia="Cambria Math"/>
          <w:w w:val="40"/>
          <w:sz w:val="22"/>
        </w:rPr>
        <w:t>𝐵𝐵𝑃𝑃</w:t>
      </w:r>
      <w:r>
        <w:rPr>
          <w:rFonts w:ascii="Cambria Math" w:hAnsi="Cambria Math" w:eastAsia="Cambria Math"/>
          <w:spacing w:val="29"/>
          <w:sz w:val="22"/>
        </w:rPr>
        <w:t> </w:t>
      </w:r>
      <w:r>
        <w:rPr>
          <w:rFonts w:ascii="Cambria Math" w:hAnsi="Cambria Math" w:eastAsia="Cambria Math"/>
          <w:w w:val="40"/>
          <w:sz w:val="22"/>
        </w:rPr>
        <w:t>4</w:t>
      </w:r>
      <w:r>
        <w:rPr>
          <w:rFonts w:ascii="Cambria Math" w:hAnsi="Cambria Math" w:eastAsia="Cambria Math"/>
          <w:spacing w:val="22"/>
          <w:sz w:val="22"/>
        </w:rPr>
        <w:t> </w:t>
      </w:r>
      <w:r>
        <w:rPr>
          <w:rFonts w:ascii="Cambria Math" w:hAnsi="Cambria Math" w:eastAsia="Cambria Math"/>
          <w:w w:val="40"/>
          <w:sz w:val="22"/>
        </w:rPr>
        <w:t>𝑆𝑆𝐴𝐴𝐵𝐵𝐴𝐴𝐵𝐵</w:t>
      </w:r>
      <w:r>
        <w:rPr>
          <w:rFonts w:ascii="Cambria Math" w:hAnsi="Cambria Math" w:eastAsia="Cambria Math"/>
          <w:spacing w:val="27"/>
          <w:sz w:val="22"/>
        </w:rPr>
        <w:t> </w:t>
      </w:r>
      <w:r>
        <w:rPr>
          <w:rFonts w:ascii="Cambria Math" w:hAnsi="Cambria Math" w:eastAsia="Cambria Math"/>
          <w:w w:val="40"/>
          <w:sz w:val="22"/>
        </w:rPr>
        <w:t>𝐷𝐷𝑆𝑆𝐴𝐴𝐷𝐷𝑃𝑃</w:t>
      </w:r>
      <w:r>
        <w:rPr>
          <w:rFonts w:ascii="Cambria Math" w:hAnsi="Cambria Math" w:eastAsia="Cambria Math"/>
          <w:spacing w:val="25"/>
          <w:sz w:val="22"/>
        </w:rPr>
        <w:t> </w:t>
      </w:r>
      <w:r>
        <w:rPr>
          <w:rFonts w:ascii="Cambria Math" w:hAnsi="Cambria Math" w:eastAsia="Cambria Math"/>
          <w:w w:val="40"/>
          <w:sz w:val="22"/>
        </w:rPr>
        <w:t>𝐴𝐴𝐴𝐴𝐴𝐴𝐴𝐴𝐴𝐴𝐵𝐵𝐴𝐴𝐵𝐵𝑚𝑚𝐵𝐵𝐵𝐵𝐵𝐵𝐴𝐴𝑝𝑝</w:t>
      </w:r>
      <w:r>
        <w:rPr>
          <w:rFonts w:ascii="Cambria Math" w:hAnsi="Cambria Math" w:eastAsia="Cambria Math"/>
          <w:spacing w:val="23"/>
          <w:sz w:val="22"/>
        </w:rPr>
        <w:t> </w:t>
      </w:r>
      <w:r>
        <w:rPr>
          <w:rFonts w:ascii="Cambria Math" w:hAnsi="Cambria Math" w:eastAsia="Cambria Math"/>
          <w:spacing w:val="-2"/>
          <w:w w:val="40"/>
          <w:sz w:val="22"/>
        </w:rPr>
        <w:t>𝑆𝑆𝐴𝐴𝐴𝐴𝐴𝐴𝐵𝐵</w:t>
      </w:r>
    </w:p>
    <w:p>
      <w:pPr>
        <w:spacing w:before="119"/>
        <w:ind w:left="1229" w:right="1112" w:firstLine="0"/>
        <w:jc w:val="center"/>
        <w:rPr>
          <w:rFonts w:ascii="Cambria Math" w:hAnsi="Cambria Math" w:eastAsia="Cambria Math"/>
          <w:sz w:val="22"/>
        </w:rPr>
      </w:pPr>
      <w:r>
        <w:rPr>
          <w:rFonts w:ascii="Cambria Math" w:hAnsi="Cambria Math" w:eastAsia="Cambria Math"/>
          <w:spacing w:val="-2"/>
          <w:sz w:val="22"/>
        </w:rPr>
        <w:t>$41.25𝑃𝑃</w:t>
      </w:r>
      <w:r>
        <w:rPr>
          <w:rFonts w:ascii="Cambria Math" w:hAnsi="Cambria Math" w:eastAsia="Cambria Math"/>
          <w:spacing w:val="29"/>
          <w:sz w:val="22"/>
        </w:rPr>
        <w:t> </w:t>
      </w:r>
      <w:r>
        <w:rPr>
          <w:rFonts w:ascii="Cambria Math" w:hAnsi="Cambria Math" w:eastAsia="Cambria Math"/>
          <w:spacing w:val="-2"/>
          <w:sz w:val="22"/>
        </w:rPr>
        <w:t>×</w:t>
      </w:r>
      <w:r>
        <w:rPr>
          <w:rFonts w:ascii="Cambria Math" w:hAnsi="Cambria Math" w:eastAsia="Cambria Math"/>
          <w:spacing w:val="-10"/>
          <w:sz w:val="22"/>
        </w:rPr>
        <w:t> </w:t>
      </w:r>
      <w:r>
        <w:rPr>
          <w:rFonts w:ascii="Cambria Math" w:hAnsi="Cambria Math" w:eastAsia="Cambria Math"/>
          <w:spacing w:val="-2"/>
          <w:sz w:val="22"/>
        </w:rPr>
        <w:t>82.75%</w:t>
      </w:r>
      <w:r>
        <w:rPr>
          <w:rFonts w:ascii="Cambria Math" w:hAnsi="Cambria Math" w:eastAsia="Cambria Math"/>
          <w:spacing w:val="-4"/>
          <w:sz w:val="22"/>
        </w:rPr>
        <w:t> </w:t>
      </w:r>
      <w:r>
        <w:rPr>
          <w:rFonts w:ascii="Cambria Math" w:hAnsi="Cambria Math" w:eastAsia="Cambria Math"/>
          <w:spacing w:val="-2"/>
          <w:sz w:val="22"/>
        </w:rPr>
        <w:t>=</w:t>
      </w:r>
      <w:r>
        <w:rPr>
          <w:rFonts w:ascii="Cambria Math" w:hAnsi="Cambria Math" w:eastAsia="Cambria Math"/>
          <w:spacing w:val="-1"/>
          <w:sz w:val="22"/>
        </w:rPr>
        <w:t> </w:t>
      </w:r>
      <w:r>
        <w:rPr>
          <w:rFonts w:ascii="Cambria Math" w:hAnsi="Cambria Math" w:eastAsia="Cambria Math"/>
          <w:spacing w:val="-2"/>
          <w:sz w:val="22"/>
        </w:rPr>
        <w:t>$34.13𝑃𝑃</w:t>
      </w:r>
    </w:p>
    <w:p>
      <w:pPr>
        <w:pStyle w:val="BodyText"/>
        <w:rPr>
          <w:rFonts w:ascii="Cambria Math"/>
          <w:sz w:val="22"/>
        </w:rPr>
      </w:pPr>
    </w:p>
    <w:p>
      <w:pPr>
        <w:pStyle w:val="BodyText"/>
        <w:spacing w:before="2"/>
        <w:rPr>
          <w:rFonts w:ascii="Cambria Math"/>
          <w:sz w:val="20"/>
        </w:rPr>
      </w:pPr>
    </w:p>
    <w:p>
      <w:pPr>
        <w:spacing w:before="0"/>
        <w:ind w:left="1220" w:right="0" w:firstLine="0"/>
        <w:jc w:val="left"/>
        <w:rPr>
          <w:sz w:val="22"/>
        </w:rPr>
      </w:pPr>
      <w:r>
        <w:rPr>
          <w:sz w:val="22"/>
        </w:rPr>
        <w:t>To</w:t>
      </w:r>
      <w:r>
        <w:rPr>
          <w:spacing w:val="-5"/>
          <w:sz w:val="22"/>
        </w:rPr>
        <w:t> </w:t>
      </w:r>
      <w:r>
        <w:rPr>
          <w:sz w:val="22"/>
        </w:rPr>
        <w:t>calculate</w:t>
      </w:r>
      <w:r>
        <w:rPr>
          <w:spacing w:val="-2"/>
          <w:sz w:val="22"/>
        </w:rPr>
        <w:t> </w:t>
      </w:r>
      <w:r>
        <w:rPr>
          <w:sz w:val="22"/>
        </w:rPr>
        <w:t>how</w:t>
      </w:r>
      <w:r>
        <w:rPr>
          <w:spacing w:val="-3"/>
          <w:sz w:val="22"/>
        </w:rPr>
        <w:t> </w:t>
      </w:r>
      <w:r>
        <w:rPr>
          <w:sz w:val="22"/>
        </w:rPr>
        <w:t>much</w:t>
      </w:r>
      <w:r>
        <w:rPr>
          <w:spacing w:val="-2"/>
          <w:sz w:val="22"/>
        </w:rPr>
        <w:t> </w:t>
      </w:r>
      <w:r>
        <w:rPr>
          <w:sz w:val="22"/>
        </w:rPr>
        <w:t>at-risk</w:t>
      </w:r>
      <w:r>
        <w:rPr>
          <w:spacing w:val="-5"/>
          <w:sz w:val="22"/>
        </w:rPr>
        <w:t> </w:t>
      </w:r>
      <w:r>
        <w:rPr>
          <w:sz w:val="22"/>
        </w:rPr>
        <w:t>funding</w:t>
      </w:r>
      <w:r>
        <w:rPr>
          <w:spacing w:val="-5"/>
          <w:sz w:val="22"/>
        </w:rPr>
        <w:t> </w:t>
      </w:r>
      <w:r>
        <w:rPr>
          <w:sz w:val="22"/>
        </w:rPr>
        <w:t>the</w:t>
      </w:r>
      <w:r>
        <w:rPr>
          <w:spacing w:val="-2"/>
          <w:sz w:val="22"/>
        </w:rPr>
        <w:t> </w:t>
      </w:r>
      <w:r>
        <w:rPr>
          <w:sz w:val="22"/>
        </w:rPr>
        <w:t>State</w:t>
      </w:r>
      <w:r>
        <w:rPr>
          <w:spacing w:val="-2"/>
          <w:sz w:val="22"/>
        </w:rPr>
        <w:t> </w:t>
      </w:r>
      <w:r>
        <w:rPr>
          <w:sz w:val="22"/>
        </w:rPr>
        <w:t>has</w:t>
      </w:r>
      <w:r>
        <w:rPr>
          <w:spacing w:val="-2"/>
          <w:sz w:val="22"/>
        </w:rPr>
        <w:t> </w:t>
      </w:r>
      <w:r>
        <w:rPr>
          <w:sz w:val="22"/>
        </w:rPr>
        <w:t>lost</w:t>
      </w:r>
      <w:r>
        <w:rPr>
          <w:spacing w:val="-1"/>
          <w:sz w:val="22"/>
        </w:rPr>
        <w:t> </w:t>
      </w:r>
      <w:r>
        <w:rPr>
          <w:sz w:val="22"/>
        </w:rPr>
        <w:t>for</w:t>
      </w:r>
      <w:r>
        <w:rPr>
          <w:spacing w:val="-1"/>
          <w:sz w:val="22"/>
        </w:rPr>
        <w:t> </w:t>
      </w:r>
      <w:r>
        <w:rPr>
          <w:sz w:val="22"/>
        </w:rPr>
        <w:t>BP</w:t>
      </w:r>
      <w:r>
        <w:rPr>
          <w:spacing w:val="-2"/>
          <w:sz w:val="22"/>
        </w:rPr>
        <w:t> </w:t>
      </w:r>
      <w:r>
        <w:rPr>
          <w:spacing w:val="-5"/>
          <w:sz w:val="22"/>
        </w:rPr>
        <w:t>4:</w:t>
      </w:r>
    </w:p>
    <w:p>
      <w:pPr>
        <w:pStyle w:val="BodyText"/>
      </w:pPr>
    </w:p>
    <w:p>
      <w:pPr>
        <w:pStyle w:val="BodyText"/>
        <w:spacing w:before="10"/>
        <w:rPr>
          <w:sz w:val="18"/>
        </w:rPr>
      </w:pPr>
    </w:p>
    <w:p>
      <w:pPr>
        <w:spacing w:before="0"/>
        <w:ind w:left="1228" w:right="1112" w:firstLine="0"/>
        <w:jc w:val="center"/>
        <w:rPr>
          <w:rFonts w:ascii="Cambria Math" w:hAnsi="Cambria Math" w:eastAsia="Cambria Math"/>
          <w:sz w:val="22"/>
        </w:rPr>
      </w:pPr>
      <w:r>
        <w:rPr>
          <w:rFonts w:ascii="Cambria Math" w:hAnsi="Cambria Math" w:eastAsia="Cambria Math"/>
          <w:w w:val="45"/>
          <w:sz w:val="22"/>
        </w:rPr>
        <w:t>𝐵𝐵𝑃𝑃</w:t>
      </w:r>
      <w:r>
        <w:rPr>
          <w:rFonts w:ascii="Cambria Math" w:hAnsi="Cambria Math" w:eastAsia="Cambria Math"/>
          <w:spacing w:val="3"/>
          <w:sz w:val="22"/>
        </w:rPr>
        <w:t> </w:t>
      </w:r>
      <w:r>
        <w:rPr>
          <w:rFonts w:ascii="Cambria Math" w:hAnsi="Cambria Math" w:eastAsia="Cambria Math"/>
          <w:w w:val="45"/>
          <w:sz w:val="22"/>
        </w:rPr>
        <w:t>4</w:t>
      </w:r>
      <w:r>
        <w:rPr>
          <w:rFonts w:ascii="Cambria Math" w:hAnsi="Cambria Math" w:eastAsia="Cambria Math"/>
          <w:spacing w:val="-4"/>
          <w:sz w:val="22"/>
        </w:rPr>
        <w:t> </w:t>
      </w:r>
      <w:r>
        <w:rPr>
          <w:rFonts w:ascii="Cambria Math" w:hAnsi="Cambria Math" w:eastAsia="Cambria Math"/>
          <w:w w:val="45"/>
          <w:sz w:val="22"/>
        </w:rPr>
        <w:t>𝐵𝐵𝑝𝑝𝐴𝐴𝐴𝐴𝐵𝐵𝐴𝐴</w:t>
      </w:r>
      <w:r>
        <w:rPr>
          <w:rFonts w:ascii="Cambria Math" w:hAnsi="Cambria Math" w:eastAsia="Cambria Math"/>
          <w:spacing w:val="-2"/>
          <w:sz w:val="22"/>
        </w:rPr>
        <w:t> </w:t>
      </w:r>
      <w:r>
        <w:rPr>
          <w:rFonts w:ascii="Cambria Math" w:hAnsi="Cambria Math" w:eastAsia="Cambria Math"/>
          <w:w w:val="45"/>
          <w:sz w:val="22"/>
        </w:rPr>
        <w:t>𝐵𝐵𝐴𝐴</w:t>
      </w:r>
      <w:r>
        <w:rPr>
          <w:w w:val="45"/>
          <w:sz w:val="22"/>
        </w:rPr>
        <w:t>-</w:t>
      </w:r>
      <w:r>
        <w:rPr>
          <w:rFonts w:ascii="Cambria Math" w:hAnsi="Cambria Math" w:eastAsia="Cambria Math"/>
          <w:w w:val="45"/>
          <w:sz w:val="22"/>
        </w:rPr>
        <w:t>𝐴𝐴𝐵𝐵𝐵𝐵𝑅𝑅</w:t>
      </w:r>
      <w:r>
        <w:rPr>
          <w:rFonts w:ascii="Cambria Math" w:hAnsi="Cambria Math" w:eastAsia="Cambria Math"/>
          <w:spacing w:val="4"/>
          <w:sz w:val="22"/>
        </w:rPr>
        <w:t> </w:t>
      </w:r>
      <w:r>
        <w:rPr>
          <w:rFonts w:ascii="Cambria Math" w:hAnsi="Cambria Math" w:eastAsia="Cambria Math"/>
          <w:w w:val="45"/>
          <w:sz w:val="22"/>
        </w:rPr>
        <w:t>−</w:t>
      </w:r>
      <w:r>
        <w:rPr>
          <w:rFonts w:ascii="Cambria Math" w:hAnsi="Cambria Math" w:eastAsia="Cambria Math"/>
          <w:spacing w:val="-2"/>
          <w:sz w:val="22"/>
        </w:rPr>
        <w:t> </w:t>
      </w:r>
      <w:r>
        <w:rPr>
          <w:rFonts w:ascii="Cambria Math" w:hAnsi="Cambria Math" w:eastAsia="Cambria Math"/>
          <w:w w:val="45"/>
          <w:sz w:val="22"/>
        </w:rPr>
        <w:t>𝐵𝐵𝑃𝑃</w:t>
      </w:r>
      <w:r>
        <w:rPr>
          <w:rFonts w:ascii="Cambria Math" w:hAnsi="Cambria Math" w:eastAsia="Cambria Math"/>
          <w:spacing w:val="1"/>
          <w:sz w:val="22"/>
        </w:rPr>
        <w:t> </w:t>
      </w:r>
      <w:r>
        <w:rPr>
          <w:rFonts w:ascii="Cambria Math" w:hAnsi="Cambria Math" w:eastAsia="Cambria Math"/>
          <w:w w:val="45"/>
          <w:sz w:val="22"/>
        </w:rPr>
        <w:t>4</w:t>
      </w:r>
      <w:r>
        <w:rPr>
          <w:rFonts w:ascii="Cambria Math" w:hAnsi="Cambria Math" w:eastAsia="Cambria Math"/>
          <w:spacing w:val="-4"/>
          <w:sz w:val="22"/>
        </w:rPr>
        <w:t> </w:t>
      </w:r>
      <w:r>
        <w:rPr>
          <w:rFonts w:ascii="Cambria Math" w:hAnsi="Cambria Math" w:eastAsia="Cambria Math"/>
          <w:w w:val="45"/>
          <w:sz w:val="22"/>
        </w:rPr>
        <w:t>𝐵𝐵𝐴𝐴</w:t>
      </w:r>
      <w:r>
        <w:rPr>
          <w:w w:val="45"/>
          <w:sz w:val="22"/>
        </w:rPr>
        <w:t>-</w:t>
      </w:r>
      <w:r>
        <w:rPr>
          <w:rFonts w:ascii="Cambria Math" w:hAnsi="Cambria Math" w:eastAsia="Cambria Math"/>
          <w:w w:val="45"/>
          <w:sz w:val="22"/>
        </w:rPr>
        <w:t>𝐴𝐴𝐵𝐵𝐵𝐵𝑅𝑅</w:t>
      </w:r>
      <w:r>
        <w:rPr>
          <w:rFonts w:ascii="Cambria Math" w:hAnsi="Cambria Math" w:eastAsia="Cambria Math"/>
          <w:spacing w:val="1"/>
          <w:sz w:val="22"/>
        </w:rPr>
        <w:t> </w:t>
      </w:r>
      <w:r>
        <w:rPr>
          <w:rFonts w:ascii="Cambria Math" w:hAnsi="Cambria Math" w:eastAsia="Cambria Math"/>
          <w:w w:val="45"/>
          <w:sz w:val="22"/>
        </w:rPr>
        <w:t>𝑜𝑜𝐴𝐴𝐵𝐵𝑇𝑇𝐵𝐵𝐵𝐵𝐴𝐴</w:t>
      </w:r>
      <w:r>
        <w:rPr>
          <w:rFonts w:ascii="Cambria Math" w:hAnsi="Cambria Math" w:eastAsia="Cambria Math"/>
          <w:spacing w:val="-1"/>
          <w:sz w:val="22"/>
        </w:rPr>
        <w:t> </w:t>
      </w:r>
      <w:r>
        <w:rPr>
          <w:rFonts w:ascii="Cambria Math" w:hAnsi="Cambria Math" w:eastAsia="Cambria Math"/>
          <w:spacing w:val="-2"/>
          <w:w w:val="45"/>
          <w:sz w:val="22"/>
        </w:rPr>
        <w:t>𝐵𝐵𝐵𝐵𝐴𝐴𝐵𝐵𝐵𝐵𝑇𝑇</w:t>
      </w:r>
    </w:p>
    <w:p>
      <w:pPr>
        <w:spacing w:before="119"/>
        <w:ind w:left="1227" w:right="1112" w:firstLine="0"/>
        <w:jc w:val="center"/>
        <w:rPr>
          <w:rFonts w:ascii="Cambria Math" w:hAnsi="Cambria Math" w:eastAsia="Cambria Math"/>
          <w:sz w:val="22"/>
        </w:rPr>
      </w:pPr>
      <w:r>
        <w:rPr>
          <w:rFonts w:ascii="Cambria Math" w:hAnsi="Cambria Math" w:eastAsia="Cambria Math"/>
          <w:spacing w:val="-8"/>
          <w:sz w:val="22"/>
        </w:rPr>
        <w:t>$41.25𝑃𝑃</w:t>
      </w:r>
      <w:r>
        <w:rPr>
          <w:rFonts w:ascii="Cambria Math" w:hAnsi="Cambria Math" w:eastAsia="Cambria Math"/>
          <w:spacing w:val="-5"/>
          <w:sz w:val="22"/>
        </w:rPr>
        <w:t> </w:t>
      </w:r>
      <w:r>
        <w:rPr>
          <w:rFonts w:ascii="Cambria Math" w:hAnsi="Cambria Math" w:eastAsia="Cambria Math"/>
          <w:spacing w:val="-8"/>
          <w:sz w:val="22"/>
        </w:rPr>
        <w:t>−</w:t>
      </w:r>
      <w:r>
        <w:rPr>
          <w:rFonts w:ascii="Cambria Math" w:hAnsi="Cambria Math" w:eastAsia="Cambria Math"/>
          <w:spacing w:val="-4"/>
          <w:sz w:val="22"/>
        </w:rPr>
        <w:t> </w:t>
      </w:r>
      <w:r>
        <w:rPr>
          <w:rFonts w:ascii="Cambria Math" w:hAnsi="Cambria Math" w:eastAsia="Cambria Math"/>
          <w:spacing w:val="-8"/>
          <w:sz w:val="22"/>
        </w:rPr>
        <w:t>$34.13𝑃𝑃</w:t>
      </w:r>
      <w:r>
        <w:rPr>
          <w:rFonts w:ascii="Cambria Math" w:hAnsi="Cambria Math" w:eastAsia="Cambria Math"/>
          <w:spacing w:val="2"/>
          <w:sz w:val="22"/>
        </w:rPr>
        <w:t> </w:t>
      </w:r>
      <w:r>
        <w:rPr>
          <w:rFonts w:ascii="Cambria Math" w:hAnsi="Cambria Math" w:eastAsia="Cambria Math"/>
          <w:spacing w:val="-8"/>
          <w:sz w:val="22"/>
        </w:rPr>
        <w:t>=</w:t>
      </w:r>
      <w:r>
        <w:rPr>
          <w:rFonts w:ascii="Cambria Math" w:hAnsi="Cambria Math" w:eastAsia="Cambria Math"/>
          <w:spacing w:val="3"/>
          <w:sz w:val="22"/>
        </w:rPr>
        <w:t> </w:t>
      </w:r>
      <w:r>
        <w:rPr>
          <w:rFonts w:ascii="Cambria Math" w:hAnsi="Cambria Math" w:eastAsia="Cambria Math"/>
          <w:spacing w:val="-8"/>
          <w:sz w:val="22"/>
        </w:rPr>
        <w:t>$7.12𝑃𝑃</w:t>
      </w:r>
    </w:p>
    <w:p>
      <w:pPr>
        <w:pStyle w:val="BodyText"/>
        <w:rPr>
          <w:rFonts w:ascii="Cambria Math"/>
          <w:sz w:val="22"/>
        </w:rPr>
      </w:pPr>
    </w:p>
    <w:p>
      <w:pPr>
        <w:pStyle w:val="BodyText"/>
        <w:spacing w:before="2"/>
        <w:rPr>
          <w:rFonts w:ascii="Cambria Math"/>
          <w:sz w:val="20"/>
        </w:rPr>
      </w:pPr>
    </w:p>
    <w:p>
      <w:pPr>
        <w:spacing w:before="0"/>
        <w:ind w:left="1220" w:right="0" w:firstLine="0"/>
        <w:jc w:val="left"/>
        <w:rPr>
          <w:sz w:val="22"/>
        </w:rPr>
      </w:pPr>
      <w:r>
        <w:rPr>
          <w:sz w:val="22"/>
        </w:rPr>
        <w:t>Therefore,</w:t>
      </w:r>
      <w:r>
        <w:rPr>
          <w:spacing w:val="-3"/>
          <w:sz w:val="22"/>
        </w:rPr>
        <w:t> </w:t>
      </w:r>
      <w:r>
        <w:rPr>
          <w:sz w:val="22"/>
        </w:rPr>
        <w:t>the</w:t>
      </w:r>
      <w:r>
        <w:rPr>
          <w:spacing w:val="-3"/>
          <w:sz w:val="22"/>
        </w:rPr>
        <w:t> </w:t>
      </w:r>
      <w:r>
        <w:rPr>
          <w:sz w:val="22"/>
        </w:rPr>
        <w:t>State</w:t>
      </w:r>
      <w:r>
        <w:rPr>
          <w:spacing w:val="-3"/>
          <w:sz w:val="22"/>
        </w:rPr>
        <w:t> </w:t>
      </w:r>
      <w:r>
        <w:rPr>
          <w:sz w:val="22"/>
        </w:rPr>
        <w:t>earned</w:t>
      </w:r>
      <w:r>
        <w:rPr>
          <w:spacing w:val="-8"/>
          <w:sz w:val="22"/>
        </w:rPr>
        <w:t> </w:t>
      </w:r>
      <w:r>
        <w:rPr>
          <w:sz w:val="22"/>
        </w:rPr>
        <w:t>$34.13M</w:t>
      </w:r>
      <w:r>
        <w:rPr>
          <w:spacing w:val="-5"/>
          <w:sz w:val="22"/>
        </w:rPr>
        <w:t> </w:t>
      </w:r>
      <w:r>
        <w:rPr>
          <w:sz w:val="22"/>
        </w:rPr>
        <w:t>and</w:t>
      </w:r>
      <w:r>
        <w:rPr>
          <w:spacing w:val="-6"/>
          <w:sz w:val="22"/>
        </w:rPr>
        <w:t> </w:t>
      </w:r>
      <w:r>
        <w:rPr>
          <w:sz w:val="22"/>
        </w:rPr>
        <w:t>lost</w:t>
      </w:r>
      <w:r>
        <w:rPr>
          <w:spacing w:val="-2"/>
          <w:sz w:val="22"/>
        </w:rPr>
        <w:t> </w:t>
      </w:r>
      <w:r>
        <w:rPr>
          <w:sz w:val="22"/>
        </w:rPr>
        <w:t>$7.12M</w:t>
      </w:r>
      <w:r>
        <w:rPr>
          <w:spacing w:val="-5"/>
          <w:sz w:val="22"/>
        </w:rPr>
        <w:t> </w:t>
      </w:r>
      <w:r>
        <w:rPr>
          <w:sz w:val="22"/>
        </w:rPr>
        <w:t>of</w:t>
      </w:r>
      <w:r>
        <w:rPr>
          <w:spacing w:val="-2"/>
          <w:sz w:val="22"/>
        </w:rPr>
        <w:t> </w:t>
      </w:r>
      <w:r>
        <w:rPr>
          <w:sz w:val="22"/>
        </w:rPr>
        <w:t>the</w:t>
      </w:r>
      <w:r>
        <w:rPr>
          <w:spacing w:val="-3"/>
          <w:sz w:val="22"/>
        </w:rPr>
        <w:t> </w:t>
      </w:r>
      <w:r>
        <w:rPr>
          <w:sz w:val="22"/>
        </w:rPr>
        <w:t>$41.25M</w:t>
      </w:r>
      <w:r>
        <w:rPr>
          <w:spacing w:val="-5"/>
          <w:sz w:val="22"/>
        </w:rPr>
        <w:t> </w:t>
      </w:r>
      <w:r>
        <w:rPr>
          <w:sz w:val="22"/>
        </w:rPr>
        <w:t>at-risk</w:t>
      </w:r>
      <w:r>
        <w:rPr>
          <w:spacing w:val="-5"/>
          <w:sz w:val="22"/>
        </w:rPr>
        <w:t> </w:t>
      </w:r>
      <w:r>
        <w:rPr>
          <w:sz w:val="22"/>
        </w:rPr>
        <w:t>in</w:t>
      </w:r>
      <w:r>
        <w:rPr>
          <w:spacing w:val="-3"/>
          <w:sz w:val="22"/>
        </w:rPr>
        <w:t> </w:t>
      </w:r>
      <w:r>
        <w:rPr>
          <w:sz w:val="22"/>
        </w:rPr>
        <w:t>Budget</w:t>
      </w:r>
      <w:r>
        <w:rPr>
          <w:spacing w:val="-3"/>
          <w:sz w:val="22"/>
        </w:rPr>
        <w:t> </w:t>
      </w:r>
      <w:r>
        <w:rPr>
          <w:sz w:val="22"/>
        </w:rPr>
        <w:t>Period</w:t>
      </w:r>
      <w:r>
        <w:rPr>
          <w:spacing w:val="-2"/>
          <w:sz w:val="22"/>
        </w:rPr>
        <w:t> </w:t>
      </w:r>
      <w:r>
        <w:rPr>
          <w:spacing w:val="-5"/>
          <w:sz w:val="22"/>
        </w:rPr>
        <w:t>4.</w:t>
      </w:r>
    </w:p>
    <w:p>
      <w:pPr>
        <w:spacing w:after="0"/>
        <w:jc w:val="left"/>
        <w:rPr>
          <w:sz w:val="22"/>
        </w:rPr>
        <w:sectPr>
          <w:type w:val="continuous"/>
          <w:pgSz w:w="12240" w:h="15840"/>
          <w:pgMar w:header="0" w:footer="967" w:top="1420" w:bottom="1160" w:left="220" w:right="340"/>
        </w:sectPr>
      </w:pPr>
    </w:p>
    <w:p>
      <w:pPr>
        <w:pStyle w:val="BodyText"/>
        <w:spacing w:before="9"/>
        <w:rPr>
          <w:sz w:val="28"/>
        </w:rPr>
      </w:pPr>
    </w:p>
    <w:p>
      <w:pPr>
        <w:pStyle w:val="Heading1"/>
        <w:spacing w:before="89"/>
        <w:ind w:left="1240"/>
      </w:pPr>
      <w:bookmarkStart w:name="Appendix D: Measure Tables" w:id="1538"/>
      <w:bookmarkEnd w:id="1538"/>
      <w:r>
        <w:rPr>
          <w:b w:val="0"/>
        </w:rPr>
      </w:r>
      <w:bookmarkStart w:name="_bookmark137" w:id="1539"/>
      <w:bookmarkEnd w:id="1539"/>
      <w:r>
        <w:rPr>
          <w:b w:val="0"/>
        </w:rPr>
      </w:r>
      <w:r>
        <w:rPr>
          <w:color w:val="2E5395"/>
        </w:rPr>
        <w:t>Appendix</w:t>
      </w:r>
      <w:r>
        <w:rPr>
          <w:color w:val="2E5395"/>
          <w:spacing w:val="-6"/>
        </w:rPr>
        <w:t> </w:t>
      </w:r>
      <w:r>
        <w:rPr>
          <w:color w:val="2E5395"/>
        </w:rPr>
        <w:t>D:</w:t>
      </w:r>
      <w:r>
        <w:rPr>
          <w:color w:val="2E5395"/>
          <w:spacing w:val="-6"/>
        </w:rPr>
        <w:t> </w:t>
      </w:r>
      <w:r>
        <w:rPr>
          <w:color w:val="2E5395"/>
        </w:rPr>
        <w:t>Measure</w:t>
      </w:r>
      <w:r>
        <w:rPr>
          <w:color w:val="2E5395"/>
          <w:spacing w:val="-6"/>
        </w:rPr>
        <w:t> </w:t>
      </w:r>
      <w:r>
        <w:rPr>
          <w:color w:val="2E5395"/>
          <w:spacing w:val="-2"/>
        </w:rPr>
        <w:t>Tables</w:t>
      </w:r>
    </w:p>
    <w:p>
      <w:pPr>
        <w:spacing w:before="48"/>
        <w:ind w:left="1240" w:right="0" w:firstLine="0"/>
        <w:jc w:val="left"/>
        <w:rPr>
          <w:b/>
          <w:sz w:val="22"/>
        </w:rPr>
      </w:pPr>
      <w:r>
        <w:rPr>
          <w:b/>
          <w:sz w:val="22"/>
        </w:rPr>
        <w:t>ACO</w:t>
      </w:r>
      <w:r>
        <w:rPr>
          <w:b/>
          <w:spacing w:val="-4"/>
          <w:sz w:val="22"/>
        </w:rPr>
        <w:t> </w:t>
      </w:r>
      <w:r>
        <w:rPr>
          <w:b/>
          <w:sz w:val="22"/>
        </w:rPr>
        <w:t>Measure</w:t>
      </w:r>
      <w:r>
        <w:rPr>
          <w:b/>
          <w:spacing w:val="-3"/>
          <w:sz w:val="22"/>
        </w:rPr>
        <w:t> </w:t>
      </w:r>
      <w:r>
        <w:rPr>
          <w:b/>
          <w:spacing w:val="-4"/>
          <w:sz w:val="22"/>
        </w:rPr>
        <w:t>Slate</w:t>
      </w:r>
    </w:p>
    <w:p>
      <w:pPr>
        <w:spacing w:line="259" w:lineRule="auto" w:before="182"/>
        <w:ind w:left="1240" w:right="1516" w:firstLine="0"/>
        <w:jc w:val="left"/>
        <w:rPr>
          <w:i/>
          <w:sz w:val="22"/>
        </w:rPr>
      </w:pPr>
      <w:r>
        <w:rPr>
          <w:i/>
          <w:sz w:val="22"/>
        </w:rPr>
        <w:t>Note: Where applicable, columns 2019 (Domain 3) and 2020 (Domains 1 and 2) indicate the performance period (e.g., “P (18/19/20)”, “P</w:t>
      </w:r>
      <w:r>
        <w:rPr>
          <w:i/>
          <w:sz w:val="22"/>
        </w:rPr>
        <w:t> (19/20)”)</w:t>
      </w:r>
      <w:r>
        <w:rPr>
          <w:i/>
          <w:spacing w:val="-3"/>
          <w:sz w:val="22"/>
        </w:rPr>
        <w:t> </w:t>
      </w:r>
      <w:r>
        <w:rPr>
          <w:i/>
          <w:sz w:val="22"/>
        </w:rPr>
        <w:t>from</w:t>
      </w:r>
      <w:r>
        <w:rPr>
          <w:i/>
          <w:spacing w:val="-2"/>
          <w:sz w:val="22"/>
        </w:rPr>
        <w:t> </w:t>
      </w:r>
      <w:r>
        <w:rPr>
          <w:i/>
          <w:sz w:val="22"/>
        </w:rPr>
        <w:t>which</w:t>
      </w:r>
      <w:r>
        <w:rPr>
          <w:i/>
          <w:spacing w:val="-1"/>
          <w:sz w:val="22"/>
        </w:rPr>
        <w:t> </w:t>
      </w:r>
      <w:r>
        <w:rPr>
          <w:i/>
          <w:sz w:val="22"/>
        </w:rPr>
        <w:t>data,</w:t>
      </w:r>
      <w:r>
        <w:rPr>
          <w:i/>
          <w:spacing w:val="-4"/>
          <w:sz w:val="22"/>
        </w:rPr>
        <w:t> </w:t>
      </w:r>
      <w:r>
        <w:rPr>
          <w:i/>
          <w:sz w:val="22"/>
        </w:rPr>
        <w:t>as</w:t>
      </w:r>
      <w:r>
        <w:rPr>
          <w:i/>
          <w:spacing w:val="-1"/>
          <w:sz w:val="22"/>
        </w:rPr>
        <w:t> </w:t>
      </w:r>
      <w:r>
        <w:rPr>
          <w:i/>
          <w:sz w:val="22"/>
        </w:rPr>
        <w:t>decided</w:t>
      </w:r>
      <w:r>
        <w:rPr>
          <w:i/>
          <w:spacing w:val="-1"/>
          <w:sz w:val="22"/>
        </w:rPr>
        <w:t> </w:t>
      </w:r>
      <w:r>
        <w:rPr>
          <w:i/>
          <w:sz w:val="22"/>
        </w:rPr>
        <w:t>by</w:t>
      </w:r>
      <w:r>
        <w:rPr>
          <w:i/>
          <w:spacing w:val="-3"/>
          <w:sz w:val="22"/>
        </w:rPr>
        <w:t> </w:t>
      </w:r>
      <w:r>
        <w:rPr>
          <w:i/>
          <w:sz w:val="22"/>
        </w:rPr>
        <w:t>the</w:t>
      </w:r>
      <w:r>
        <w:rPr>
          <w:i/>
          <w:spacing w:val="-1"/>
          <w:sz w:val="22"/>
        </w:rPr>
        <w:t> </w:t>
      </w:r>
      <w:r>
        <w:rPr>
          <w:i/>
          <w:sz w:val="22"/>
        </w:rPr>
        <w:t>State,</w:t>
      </w:r>
      <w:r>
        <w:rPr>
          <w:i/>
          <w:spacing w:val="-1"/>
          <w:sz w:val="22"/>
        </w:rPr>
        <w:t> </w:t>
      </w:r>
      <w:r>
        <w:rPr>
          <w:i/>
          <w:sz w:val="22"/>
        </w:rPr>
        <w:t>may</w:t>
      </w:r>
      <w:r>
        <w:rPr>
          <w:i/>
          <w:spacing w:val="-1"/>
          <w:sz w:val="22"/>
        </w:rPr>
        <w:t> </w:t>
      </w:r>
      <w:r>
        <w:rPr>
          <w:i/>
          <w:sz w:val="22"/>
        </w:rPr>
        <w:t>be</w:t>
      </w:r>
      <w:r>
        <w:rPr>
          <w:i/>
          <w:spacing w:val="-1"/>
          <w:sz w:val="22"/>
        </w:rPr>
        <w:t> </w:t>
      </w:r>
      <w:r>
        <w:rPr>
          <w:i/>
          <w:sz w:val="22"/>
        </w:rPr>
        <w:t>substituted</w:t>
      </w:r>
      <w:r>
        <w:rPr>
          <w:i/>
          <w:spacing w:val="-1"/>
          <w:sz w:val="22"/>
        </w:rPr>
        <w:t> </w:t>
      </w:r>
      <w:r>
        <w:rPr>
          <w:i/>
          <w:sz w:val="22"/>
        </w:rPr>
        <w:t>for</w:t>
      </w:r>
      <w:r>
        <w:rPr>
          <w:i/>
          <w:spacing w:val="-1"/>
          <w:sz w:val="22"/>
        </w:rPr>
        <w:t> </w:t>
      </w:r>
      <w:r>
        <w:rPr>
          <w:i/>
          <w:sz w:val="22"/>
        </w:rPr>
        <w:t>PY2020</w:t>
      </w:r>
      <w:r>
        <w:rPr>
          <w:i/>
          <w:spacing w:val="-4"/>
          <w:sz w:val="22"/>
        </w:rPr>
        <w:t> </w:t>
      </w:r>
      <w:r>
        <w:rPr>
          <w:i/>
          <w:sz w:val="22"/>
        </w:rPr>
        <w:t>performance</w:t>
      </w:r>
      <w:r>
        <w:rPr>
          <w:i/>
          <w:spacing w:val="-1"/>
          <w:sz w:val="22"/>
        </w:rPr>
        <w:t> </w:t>
      </w:r>
      <w:r>
        <w:rPr>
          <w:i/>
          <w:sz w:val="22"/>
        </w:rPr>
        <w:t>rates</w:t>
      </w:r>
      <w:r>
        <w:rPr>
          <w:i/>
          <w:spacing w:val="-3"/>
          <w:sz w:val="22"/>
        </w:rPr>
        <w:t> </w:t>
      </w:r>
      <w:r>
        <w:rPr>
          <w:i/>
          <w:sz w:val="22"/>
        </w:rPr>
        <w:t>due</w:t>
      </w:r>
      <w:r>
        <w:rPr>
          <w:i/>
          <w:spacing w:val="-3"/>
          <w:sz w:val="22"/>
        </w:rPr>
        <w:t> </w:t>
      </w:r>
      <w:r>
        <w:rPr>
          <w:i/>
          <w:sz w:val="22"/>
        </w:rPr>
        <w:t>to</w:t>
      </w:r>
      <w:r>
        <w:rPr>
          <w:i/>
          <w:spacing w:val="-1"/>
          <w:sz w:val="22"/>
        </w:rPr>
        <w:t> </w:t>
      </w:r>
      <w:r>
        <w:rPr>
          <w:i/>
          <w:sz w:val="22"/>
        </w:rPr>
        <w:t>the</w:t>
      </w:r>
      <w:r>
        <w:rPr>
          <w:i/>
          <w:spacing w:val="-1"/>
          <w:sz w:val="22"/>
        </w:rPr>
        <w:t> </w:t>
      </w:r>
      <w:r>
        <w:rPr>
          <w:i/>
          <w:sz w:val="22"/>
        </w:rPr>
        <w:t>state</w:t>
      </w:r>
      <w:r>
        <w:rPr>
          <w:i/>
          <w:spacing w:val="-3"/>
          <w:sz w:val="22"/>
        </w:rPr>
        <w:t> </w:t>
      </w:r>
      <w:r>
        <w:rPr>
          <w:i/>
          <w:sz w:val="22"/>
        </w:rPr>
        <w:t>of</w:t>
      </w:r>
      <w:r>
        <w:rPr>
          <w:i/>
          <w:spacing w:val="-3"/>
          <w:sz w:val="22"/>
        </w:rPr>
        <w:t> </w:t>
      </w:r>
      <w:r>
        <w:rPr>
          <w:i/>
          <w:sz w:val="22"/>
        </w:rPr>
        <w:t>emergency</w:t>
      </w:r>
      <w:r>
        <w:rPr>
          <w:i/>
          <w:spacing w:val="-3"/>
          <w:sz w:val="22"/>
        </w:rPr>
        <w:t> </w:t>
      </w:r>
      <w:r>
        <w:rPr>
          <w:i/>
          <w:sz w:val="22"/>
        </w:rPr>
        <w:t>declared</w:t>
      </w:r>
      <w:r>
        <w:rPr>
          <w:i/>
          <w:spacing w:val="-1"/>
          <w:sz w:val="22"/>
        </w:rPr>
        <w:t> </w:t>
      </w:r>
      <w:r>
        <w:rPr>
          <w:i/>
          <w:sz w:val="22"/>
        </w:rPr>
        <w:t>by the federal or state government.</w:t>
      </w:r>
    </w:p>
    <w:p>
      <w:pPr>
        <w:pStyle w:val="BodyText"/>
        <w:spacing w:before="9"/>
        <w:rPr>
          <w:i/>
          <w:sz w:val="13"/>
        </w:rPr>
      </w:pPr>
    </w:p>
    <w:tbl>
      <w:tblPr>
        <w:tblW w:w="0" w:type="auto"/>
        <w:jc w:val="left"/>
        <w:tblInd w:w="451" w:type="dxa"/>
        <w:tblBorders>
          <w:top w:val="single" w:sz="8" w:space="0" w:color="BEBEBE"/>
          <w:left w:val="single" w:sz="8" w:space="0" w:color="BEBEBE"/>
          <w:bottom w:val="single" w:sz="8" w:space="0" w:color="BEBEBE"/>
          <w:right w:val="single" w:sz="8" w:space="0" w:color="BEBEBE"/>
          <w:insideH w:val="single" w:sz="8" w:space="0" w:color="BEBEBE"/>
          <w:insideV w:val="single" w:sz="8" w:space="0" w:color="BEBEBE"/>
        </w:tblBorders>
        <w:tblLayout w:type="fixed"/>
        <w:tblCellMar>
          <w:top w:w="0" w:type="dxa"/>
          <w:left w:w="0" w:type="dxa"/>
          <w:bottom w:w="0" w:type="dxa"/>
          <w:right w:w="0" w:type="dxa"/>
        </w:tblCellMar>
        <w:tblLook w:val="01E0"/>
      </w:tblPr>
      <w:tblGrid>
        <w:gridCol w:w="1128"/>
        <w:gridCol w:w="2726"/>
        <w:gridCol w:w="5719"/>
        <w:gridCol w:w="900"/>
        <w:gridCol w:w="629"/>
        <w:gridCol w:w="919"/>
        <w:gridCol w:w="1185"/>
        <w:gridCol w:w="631"/>
        <w:gridCol w:w="720"/>
      </w:tblGrid>
      <w:tr>
        <w:trPr>
          <w:trHeight w:val="668" w:hRule="atLeast"/>
        </w:trPr>
        <w:tc>
          <w:tcPr>
            <w:tcW w:w="1128" w:type="dxa"/>
            <w:tcBorders>
              <w:bottom w:val="nil"/>
            </w:tcBorders>
            <w:shd w:val="clear" w:color="auto" w:fill="DEEAF6"/>
          </w:tcPr>
          <w:p>
            <w:pPr>
              <w:pStyle w:val="TableParagraph"/>
              <w:spacing w:before="10"/>
              <w:rPr>
                <w:i/>
                <w:sz w:val="29"/>
              </w:rPr>
            </w:pPr>
          </w:p>
          <w:p>
            <w:pPr>
              <w:pStyle w:val="TableParagraph"/>
              <w:spacing w:before="1"/>
              <w:ind w:left="18"/>
              <w:jc w:val="center"/>
              <w:rPr>
                <w:rFonts w:ascii="Arial"/>
                <w:b/>
                <w:sz w:val="18"/>
              </w:rPr>
            </w:pPr>
            <w:r>
              <w:rPr>
                <w:rFonts w:ascii="Arial"/>
                <w:b/>
                <w:sz w:val="18"/>
              </w:rPr>
              <w:t>#</w:t>
            </w:r>
          </w:p>
        </w:tc>
        <w:tc>
          <w:tcPr>
            <w:tcW w:w="2726" w:type="dxa"/>
            <w:tcBorders>
              <w:bottom w:val="nil"/>
            </w:tcBorders>
            <w:shd w:val="clear" w:color="auto" w:fill="DEEAF6"/>
          </w:tcPr>
          <w:p>
            <w:pPr>
              <w:pStyle w:val="TableParagraph"/>
              <w:spacing w:before="10"/>
              <w:rPr>
                <w:i/>
                <w:sz w:val="29"/>
              </w:rPr>
            </w:pPr>
          </w:p>
          <w:p>
            <w:pPr>
              <w:pStyle w:val="TableParagraph"/>
              <w:spacing w:before="1"/>
              <w:ind w:left="108" w:right="85"/>
              <w:jc w:val="center"/>
              <w:rPr>
                <w:rFonts w:ascii="Arial"/>
                <w:b/>
                <w:sz w:val="18"/>
              </w:rPr>
            </w:pPr>
            <w:r>
              <w:rPr>
                <w:rFonts w:ascii="Arial"/>
                <w:b/>
                <w:sz w:val="18"/>
              </w:rPr>
              <w:t>Measure</w:t>
            </w:r>
            <w:r>
              <w:rPr>
                <w:rFonts w:ascii="Arial"/>
                <w:b/>
                <w:spacing w:val="-3"/>
                <w:sz w:val="18"/>
              </w:rPr>
              <w:t> </w:t>
            </w:r>
            <w:r>
              <w:rPr>
                <w:rFonts w:ascii="Arial"/>
                <w:b/>
                <w:spacing w:val="-4"/>
                <w:sz w:val="18"/>
              </w:rPr>
              <w:t>Name</w:t>
            </w:r>
          </w:p>
        </w:tc>
        <w:tc>
          <w:tcPr>
            <w:tcW w:w="5719" w:type="dxa"/>
            <w:tcBorders>
              <w:bottom w:val="nil"/>
            </w:tcBorders>
            <w:shd w:val="clear" w:color="auto" w:fill="DEEAF6"/>
          </w:tcPr>
          <w:p>
            <w:pPr>
              <w:pStyle w:val="TableParagraph"/>
              <w:spacing w:before="10"/>
              <w:rPr>
                <w:i/>
                <w:sz w:val="29"/>
              </w:rPr>
            </w:pPr>
          </w:p>
          <w:p>
            <w:pPr>
              <w:pStyle w:val="TableParagraph"/>
              <w:spacing w:before="1"/>
              <w:ind w:left="135" w:right="111"/>
              <w:jc w:val="center"/>
              <w:rPr>
                <w:rFonts w:ascii="Arial"/>
                <w:b/>
                <w:sz w:val="18"/>
              </w:rPr>
            </w:pPr>
            <w:r>
              <w:rPr>
                <w:rFonts w:ascii="Arial"/>
                <w:b/>
                <w:sz w:val="18"/>
              </w:rPr>
              <w:t>Measure</w:t>
            </w:r>
            <w:r>
              <w:rPr>
                <w:rFonts w:ascii="Arial"/>
                <w:b/>
                <w:spacing w:val="-1"/>
                <w:sz w:val="18"/>
              </w:rPr>
              <w:t> </w:t>
            </w:r>
            <w:r>
              <w:rPr>
                <w:rFonts w:ascii="Arial"/>
                <w:b/>
                <w:spacing w:val="-2"/>
                <w:sz w:val="18"/>
              </w:rPr>
              <w:t>Description</w:t>
            </w:r>
          </w:p>
        </w:tc>
        <w:tc>
          <w:tcPr>
            <w:tcW w:w="900" w:type="dxa"/>
            <w:tcBorders>
              <w:bottom w:val="nil"/>
            </w:tcBorders>
            <w:shd w:val="clear" w:color="auto" w:fill="DEEAF6"/>
          </w:tcPr>
          <w:p>
            <w:pPr>
              <w:pStyle w:val="TableParagraph"/>
              <w:spacing w:before="1"/>
              <w:rPr>
                <w:i/>
                <w:sz w:val="18"/>
              </w:rPr>
            </w:pPr>
          </w:p>
          <w:p>
            <w:pPr>
              <w:pStyle w:val="TableParagraph"/>
              <w:spacing w:line="220" w:lineRule="atLeast" w:before="1"/>
              <w:ind w:left="144" w:right="117" w:firstLine="110"/>
              <w:rPr>
                <w:rFonts w:ascii="Arial"/>
                <w:b/>
                <w:sz w:val="18"/>
              </w:rPr>
            </w:pPr>
            <w:r>
              <w:rPr>
                <w:rFonts w:ascii="Arial"/>
                <w:b/>
                <w:spacing w:val="-4"/>
                <w:sz w:val="18"/>
              </w:rPr>
              <w:t>Data </w:t>
            </w:r>
            <w:r>
              <w:rPr>
                <w:rFonts w:ascii="Arial"/>
                <w:b/>
                <w:spacing w:val="-2"/>
                <w:sz w:val="18"/>
              </w:rPr>
              <w:t>Source</w:t>
            </w:r>
          </w:p>
        </w:tc>
        <w:tc>
          <w:tcPr>
            <w:tcW w:w="4084" w:type="dxa"/>
            <w:gridSpan w:val="5"/>
            <w:shd w:val="clear" w:color="auto" w:fill="DEEAF6"/>
          </w:tcPr>
          <w:p>
            <w:pPr>
              <w:pStyle w:val="TableParagraph"/>
              <w:spacing w:line="206" w:lineRule="exact"/>
              <w:ind w:left="261" w:right="241"/>
              <w:jc w:val="center"/>
              <w:rPr>
                <w:rFonts w:ascii="Arial"/>
                <w:b/>
                <w:sz w:val="18"/>
              </w:rPr>
            </w:pPr>
            <w:r>
              <w:rPr>
                <w:rFonts w:ascii="Arial"/>
                <w:b/>
                <w:sz w:val="18"/>
              </w:rPr>
              <w:t>Measure</w:t>
            </w:r>
            <w:r>
              <w:rPr>
                <w:rFonts w:ascii="Arial"/>
                <w:b/>
                <w:spacing w:val="-4"/>
                <w:sz w:val="18"/>
              </w:rPr>
              <w:t> </w:t>
            </w:r>
            <w:r>
              <w:rPr>
                <w:rFonts w:ascii="Arial"/>
                <w:b/>
                <w:sz w:val="18"/>
              </w:rPr>
              <w:t>Payment</w:t>
            </w:r>
            <w:r>
              <w:rPr>
                <w:rFonts w:ascii="Arial"/>
                <w:b/>
                <w:spacing w:val="-4"/>
                <w:sz w:val="18"/>
              </w:rPr>
              <w:t> </w:t>
            </w:r>
            <w:r>
              <w:rPr>
                <w:rFonts w:ascii="Arial"/>
                <w:b/>
                <w:spacing w:val="-2"/>
                <w:sz w:val="18"/>
              </w:rPr>
              <w:t>Status</w:t>
            </w:r>
          </w:p>
          <w:p>
            <w:pPr>
              <w:pStyle w:val="TableParagraph"/>
              <w:spacing w:line="220" w:lineRule="atLeast" w:before="3"/>
              <w:ind w:left="261" w:right="241"/>
              <w:jc w:val="center"/>
              <w:rPr>
                <w:rFonts w:ascii="Arial"/>
                <w:sz w:val="18"/>
              </w:rPr>
            </w:pPr>
            <w:r>
              <w:rPr>
                <w:rFonts w:ascii="Arial"/>
                <w:sz w:val="18"/>
              </w:rPr>
              <w:t>(P</w:t>
            </w:r>
            <w:r>
              <w:rPr>
                <w:rFonts w:ascii="Arial"/>
                <w:spacing w:val="-6"/>
                <w:sz w:val="18"/>
              </w:rPr>
              <w:t> </w:t>
            </w:r>
            <w:r>
              <w:rPr>
                <w:rFonts w:ascii="Arial"/>
                <w:sz w:val="18"/>
              </w:rPr>
              <w:t>=</w:t>
            </w:r>
            <w:r>
              <w:rPr>
                <w:rFonts w:ascii="Arial"/>
                <w:spacing w:val="-6"/>
                <w:sz w:val="18"/>
              </w:rPr>
              <w:t> </w:t>
            </w:r>
            <w:r>
              <w:rPr>
                <w:rFonts w:ascii="Arial"/>
                <w:sz w:val="18"/>
              </w:rPr>
              <w:t>Performance,</w:t>
            </w:r>
            <w:r>
              <w:rPr>
                <w:rFonts w:ascii="Arial"/>
                <w:spacing w:val="-6"/>
                <w:sz w:val="18"/>
              </w:rPr>
              <w:t> </w:t>
            </w:r>
            <w:r>
              <w:rPr>
                <w:rFonts w:ascii="Arial"/>
                <w:sz w:val="18"/>
              </w:rPr>
              <w:t>R=Reporting</w:t>
            </w:r>
            <w:r>
              <w:rPr>
                <w:rFonts w:ascii="Arial"/>
                <w:spacing w:val="-6"/>
                <w:sz w:val="18"/>
              </w:rPr>
              <w:t> </w:t>
            </w:r>
            <w:r>
              <w:rPr>
                <w:rFonts w:ascii="Arial"/>
                <w:sz w:val="18"/>
              </w:rPr>
              <w:t>Only;</w:t>
            </w:r>
            <w:r>
              <w:rPr>
                <w:rFonts w:ascii="Arial"/>
                <w:spacing w:val="-6"/>
                <w:sz w:val="18"/>
              </w:rPr>
              <w:t> </w:t>
            </w:r>
            <w:r>
              <w:rPr>
                <w:rFonts w:ascii="Arial"/>
                <w:sz w:val="18"/>
              </w:rPr>
              <w:t>P4R</w:t>
            </w:r>
            <w:r>
              <w:rPr>
                <w:rFonts w:ascii="Arial"/>
                <w:spacing w:val="-6"/>
                <w:sz w:val="18"/>
              </w:rPr>
              <w:t> </w:t>
            </w:r>
            <w:r>
              <w:rPr>
                <w:rFonts w:ascii="Arial"/>
                <w:sz w:val="18"/>
              </w:rPr>
              <w:t>= Pay for Reporting)</w:t>
            </w:r>
          </w:p>
        </w:tc>
      </w:tr>
      <w:tr>
        <w:trPr>
          <w:trHeight w:val="224" w:hRule="atLeast"/>
        </w:trPr>
        <w:tc>
          <w:tcPr>
            <w:tcW w:w="11102" w:type="dxa"/>
            <w:gridSpan w:val="5"/>
            <w:tcBorders>
              <w:top w:val="nil"/>
              <w:left w:val="nil"/>
              <w:bottom w:val="nil"/>
            </w:tcBorders>
            <w:shd w:val="clear" w:color="auto" w:fill="DEEAF6"/>
          </w:tcPr>
          <w:p>
            <w:pPr>
              <w:pStyle w:val="TableParagraph"/>
              <w:spacing w:line="204" w:lineRule="exact" w:before="1"/>
              <w:ind w:right="90"/>
              <w:jc w:val="right"/>
              <w:rPr>
                <w:rFonts w:ascii="Arial"/>
                <w:b/>
                <w:sz w:val="18"/>
              </w:rPr>
            </w:pPr>
            <w:r>
              <w:rPr>
                <w:rFonts w:ascii="Arial"/>
                <w:b/>
                <w:spacing w:val="-4"/>
                <w:sz w:val="18"/>
              </w:rPr>
              <w:t>2018</w:t>
            </w:r>
          </w:p>
        </w:tc>
        <w:tc>
          <w:tcPr>
            <w:tcW w:w="919" w:type="dxa"/>
            <w:shd w:val="clear" w:color="auto" w:fill="DEEAF6"/>
          </w:tcPr>
          <w:p>
            <w:pPr>
              <w:pStyle w:val="TableParagraph"/>
              <w:spacing w:line="204" w:lineRule="exact" w:before="1"/>
              <w:ind w:left="97" w:right="75"/>
              <w:jc w:val="center"/>
              <w:rPr>
                <w:rFonts w:ascii="Arial"/>
                <w:b/>
                <w:sz w:val="18"/>
              </w:rPr>
            </w:pPr>
            <w:r>
              <w:rPr>
                <w:rFonts w:ascii="Arial"/>
                <w:b/>
                <w:spacing w:val="-4"/>
                <w:sz w:val="18"/>
              </w:rPr>
              <w:t>2019</w:t>
            </w:r>
          </w:p>
        </w:tc>
        <w:tc>
          <w:tcPr>
            <w:tcW w:w="1185" w:type="dxa"/>
            <w:shd w:val="clear" w:color="auto" w:fill="DEEAF6"/>
          </w:tcPr>
          <w:p>
            <w:pPr>
              <w:pStyle w:val="TableParagraph"/>
              <w:spacing w:line="204" w:lineRule="exact" w:before="1"/>
              <w:ind w:left="211" w:right="186"/>
              <w:jc w:val="center"/>
              <w:rPr>
                <w:rFonts w:ascii="Arial"/>
                <w:b/>
                <w:sz w:val="18"/>
              </w:rPr>
            </w:pPr>
            <w:r>
              <w:rPr>
                <w:rFonts w:ascii="Arial"/>
                <w:b/>
                <w:spacing w:val="-4"/>
                <w:sz w:val="18"/>
              </w:rPr>
              <w:t>2020</w:t>
            </w:r>
          </w:p>
        </w:tc>
        <w:tc>
          <w:tcPr>
            <w:tcW w:w="631" w:type="dxa"/>
            <w:shd w:val="clear" w:color="auto" w:fill="DEEAF6"/>
          </w:tcPr>
          <w:p>
            <w:pPr>
              <w:pStyle w:val="TableParagraph"/>
              <w:spacing w:line="204" w:lineRule="exact" w:before="1"/>
              <w:ind w:left="102" w:right="83"/>
              <w:jc w:val="center"/>
              <w:rPr>
                <w:rFonts w:ascii="Arial"/>
                <w:b/>
                <w:sz w:val="18"/>
              </w:rPr>
            </w:pPr>
            <w:r>
              <w:rPr>
                <w:rFonts w:ascii="Arial"/>
                <w:b/>
                <w:spacing w:val="-4"/>
                <w:sz w:val="18"/>
              </w:rPr>
              <w:t>2021</w:t>
            </w:r>
          </w:p>
        </w:tc>
        <w:tc>
          <w:tcPr>
            <w:tcW w:w="720" w:type="dxa"/>
            <w:shd w:val="clear" w:color="auto" w:fill="DEEAF6"/>
          </w:tcPr>
          <w:p>
            <w:pPr>
              <w:pStyle w:val="TableParagraph"/>
              <w:spacing w:line="204" w:lineRule="exact" w:before="1"/>
              <w:ind w:left="148" w:right="126"/>
              <w:jc w:val="center"/>
              <w:rPr>
                <w:rFonts w:ascii="Arial"/>
                <w:b/>
                <w:sz w:val="18"/>
              </w:rPr>
            </w:pPr>
            <w:r>
              <w:rPr>
                <w:rFonts w:ascii="Arial"/>
                <w:b/>
                <w:spacing w:val="-4"/>
                <w:sz w:val="18"/>
              </w:rPr>
              <w:t>2022</w:t>
            </w:r>
          </w:p>
        </w:tc>
      </w:tr>
      <w:tr>
        <w:trPr>
          <w:trHeight w:val="366" w:hRule="atLeast"/>
        </w:trPr>
        <w:tc>
          <w:tcPr>
            <w:tcW w:w="14557" w:type="dxa"/>
            <w:gridSpan w:val="9"/>
            <w:tcBorders>
              <w:top w:val="nil"/>
            </w:tcBorders>
          </w:tcPr>
          <w:p>
            <w:pPr>
              <w:pStyle w:val="TableParagraph"/>
              <w:spacing w:before="70"/>
              <w:ind w:left="107"/>
              <w:rPr>
                <w:rFonts w:ascii="Arial" w:hAnsi="Arial"/>
                <w:b/>
                <w:sz w:val="18"/>
              </w:rPr>
            </w:pPr>
            <w:r>
              <w:rPr>
                <w:rFonts w:ascii="Arial" w:hAnsi="Arial"/>
                <w:b/>
                <w:sz w:val="18"/>
              </w:rPr>
              <w:t>Domain</w:t>
            </w:r>
            <w:r>
              <w:rPr>
                <w:rFonts w:ascii="Arial" w:hAnsi="Arial"/>
                <w:b/>
                <w:spacing w:val="-2"/>
                <w:sz w:val="18"/>
              </w:rPr>
              <w:t> </w:t>
            </w:r>
            <w:r>
              <w:rPr>
                <w:rFonts w:ascii="Arial" w:hAnsi="Arial"/>
                <w:b/>
                <w:sz w:val="18"/>
              </w:rPr>
              <w:t>1</w:t>
            </w:r>
            <w:r>
              <w:rPr>
                <w:rFonts w:ascii="Arial" w:hAnsi="Arial"/>
                <w:b/>
                <w:spacing w:val="-2"/>
                <w:sz w:val="18"/>
              </w:rPr>
              <w:t> </w:t>
            </w:r>
            <w:r>
              <w:rPr>
                <w:rFonts w:ascii="Arial" w:hAnsi="Arial"/>
                <w:b/>
                <w:sz w:val="18"/>
              </w:rPr>
              <w:t>–</w:t>
            </w:r>
            <w:r>
              <w:rPr>
                <w:rFonts w:ascii="Arial" w:hAnsi="Arial"/>
                <w:b/>
                <w:spacing w:val="-1"/>
                <w:sz w:val="18"/>
              </w:rPr>
              <w:t> </w:t>
            </w:r>
            <w:r>
              <w:rPr>
                <w:rFonts w:ascii="Arial" w:hAnsi="Arial"/>
                <w:b/>
                <w:sz w:val="18"/>
              </w:rPr>
              <w:t>Prevention</w:t>
            </w:r>
            <w:r>
              <w:rPr>
                <w:rFonts w:ascii="Arial" w:hAnsi="Arial"/>
                <w:b/>
                <w:spacing w:val="-2"/>
                <w:sz w:val="18"/>
              </w:rPr>
              <w:t> </w:t>
            </w:r>
            <w:r>
              <w:rPr>
                <w:rFonts w:ascii="Arial" w:hAnsi="Arial"/>
                <w:b/>
                <w:sz w:val="18"/>
              </w:rPr>
              <w:t>&amp;</w:t>
            </w:r>
            <w:r>
              <w:rPr>
                <w:rFonts w:ascii="Arial" w:hAnsi="Arial"/>
                <w:b/>
                <w:spacing w:val="-1"/>
                <w:sz w:val="18"/>
              </w:rPr>
              <w:t> </w:t>
            </w:r>
            <w:r>
              <w:rPr>
                <w:rFonts w:ascii="Arial" w:hAnsi="Arial"/>
                <w:b/>
                <w:spacing w:val="-2"/>
                <w:sz w:val="18"/>
              </w:rPr>
              <w:t>Wellness</w:t>
            </w:r>
          </w:p>
        </w:tc>
      </w:tr>
      <w:tr>
        <w:trPr>
          <w:trHeight w:val="575" w:hRule="atLeast"/>
        </w:trPr>
        <w:tc>
          <w:tcPr>
            <w:tcW w:w="1128" w:type="dxa"/>
          </w:tcPr>
          <w:p>
            <w:pPr>
              <w:pStyle w:val="TableParagraph"/>
              <w:spacing w:before="176"/>
              <w:ind w:left="18"/>
              <w:jc w:val="center"/>
              <w:rPr>
                <w:rFonts w:ascii="Arial"/>
                <w:sz w:val="18"/>
              </w:rPr>
            </w:pPr>
            <w:r>
              <w:rPr>
                <w:rFonts w:ascii="Arial"/>
                <w:sz w:val="18"/>
              </w:rPr>
              <w:t>1</w:t>
            </w:r>
          </w:p>
        </w:tc>
        <w:tc>
          <w:tcPr>
            <w:tcW w:w="2726" w:type="dxa"/>
          </w:tcPr>
          <w:p>
            <w:pPr>
              <w:pStyle w:val="TableParagraph"/>
              <w:spacing w:before="176"/>
              <w:ind w:left="108" w:right="88"/>
              <w:jc w:val="center"/>
              <w:rPr>
                <w:rFonts w:ascii="Arial"/>
                <w:sz w:val="18"/>
              </w:rPr>
            </w:pPr>
            <w:r>
              <w:rPr>
                <w:rFonts w:ascii="Arial"/>
                <w:sz w:val="18"/>
              </w:rPr>
              <w:t>Childhood</w:t>
            </w:r>
            <w:r>
              <w:rPr>
                <w:rFonts w:ascii="Arial"/>
                <w:spacing w:val="-7"/>
                <w:sz w:val="18"/>
              </w:rPr>
              <w:t> </w:t>
            </w:r>
            <w:r>
              <w:rPr>
                <w:rFonts w:ascii="Arial"/>
                <w:sz w:val="18"/>
              </w:rPr>
              <w:t>Immunization</w:t>
            </w:r>
            <w:r>
              <w:rPr>
                <w:rFonts w:ascii="Arial"/>
                <w:spacing w:val="-3"/>
                <w:sz w:val="18"/>
              </w:rPr>
              <w:t> </w:t>
            </w:r>
            <w:r>
              <w:rPr>
                <w:rFonts w:ascii="Arial"/>
                <w:spacing w:val="-2"/>
                <w:sz w:val="18"/>
              </w:rPr>
              <w:t>Status</w:t>
            </w:r>
          </w:p>
        </w:tc>
        <w:tc>
          <w:tcPr>
            <w:tcW w:w="5719" w:type="dxa"/>
          </w:tcPr>
          <w:p>
            <w:pPr>
              <w:pStyle w:val="TableParagraph"/>
              <w:spacing w:line="259" w:lineRule="auto" w:before="63"/>
              <w:ind w:left="1444" w:right="96" w:hanging="816"/>
              <w:rPr>
                <w:rFonts w:ascii="Arial"/>
                <w:sz w:val="18"/>
              </w:rPr>
            </w:pPr>
            <w:r>
              <w:rPr>
                <w:rFonts w:ascii="Arial"/>
                <w:sz w:val="18"/>
              </w:rPr>
              <w:t>Percentage</w:t>
            </w:r>
            <w:r>
              <w:rPr>
                <w:rFonts w:ascii="Arial"/>
                <w:spacing w:val="-7"/>
                <w:sz w:val="18"/>
              </w:rPr>
              <w:t> </w:t>
            </w:r>
            <w:r>
              <w:rPr>
                <w:rFonts w:ascii="Arial"/>
                <w:sz w:val="18"/>
              </w:rPr>
              <w:t>of</w:t>
            </w:r>
            <w:r>
              <w:rPr>
                <w:rFonts w:ascii="Arial"/>
                <w:spacing w:val="-7"/>
                <w:sz w:val="18"/>
              </w:rPr>
              <w:t> </w:t>
            </w:r>
            <w:r>
              <w:rPr>
                <w:rFonts w:ascii="Arial"/>
                <w:sz w:val="18"/>
              </w:rPr>
              <w:t>members</w:t>
            </w:r>
            <w:r>
              <w:rPr>
                <w:rFonts w:ascii="Arial"/>
                <w:spacing w:val="-5"/>
                <w:sz w:val="18"/>
              </w:rPr>
              <w:t> </w:t>
            </w:r>
            <w:r>
              <w:rPr>
                <w:rFonts w:ascii="Arial"/>
                <w:sz w:val="18"/>
              </w:rPr>
              <w:t>who</w:t>
            </w:r>
            <w:r>
              <w:rPr>
                <w:rFonts w:ascii="Arial"/>
                <w:spacing w:val="-5"/>
                <w:sz w:val="18"/>
              </w:rPr>
              <w:t> </w:t>
            </w:r>
            <w:r>
              <w:rPr>
                <w:rFonts w:ascii="Arial"/>
                <w:sz w:val="18"/>
              </w:rPr>
              <w:t>received</w:t>
            </w:r>
            <w:r>
              <w:rPr>
                <w:rFonts w:ascii="Arial"/>
                <w:spacing w:val="-7"/>
                <w:sz w:val="18"/>
              </w:rPr>
              <w:t> </w:t>
            </w:r>
            <w:r>
              <w:rPr>
                <w:rFonts w:ascii="Arial"/>
                <w:sz w:val="18"/>
              </w:rPr>
              <w:t>all</w:t>
            </w:r>
            <w:r>
              <w:rPr>
                <w:rFonts w:ascii="Arial"/>
                <w:spacing w:val="-5"/>
                <w:sz w:val="18"/>
              </w:rPr>
              <w:t> </w:t>
            </w:r>
            <w:r>
              <w:rPr>
                <w:rFonts w:ascii="Arial"/>
                <w:sz w:val="18"/>
              </w:rPr>
              <w:t>recommended immunizations by their 2nd birthday</w:t>
            </w:r>
          </w:p>
        </w:tc>
        <w:tc>
          <w:tcPr>
            <w:tcW w:w="900" w:type="dxa"/>
          </w:tcPr>
          <w:p>
            <w:pPr>
              <w:pStyle w:val="TableParagraph"/>
              <w:spacing w:before="176"/>
              <w:ind w:left="154" w:right="135"/>
              <w:jc w:val="center"/>
              <w:rPr>
                <w:rFonts w:ascii="Arial"/>
                <w:sz w:val="18"/>
              </w:rPr>
            </w:pPr>
            <w:r>
              <w:rPr>
                <w:rFonts w:ascii="Arial"/>
                <w:spacing w:val="-2"/>
                <w:sz w:val="18"/>
              </w:rPr>
              <w:t>Hybrid</w:t>
            </w:r>
          </w:p>
        </w:tc>
        <w:tc>
          <w:tcPr>
            <w:tcW w:w="629" w:type="dxa"/>
          </w:tcPr>
          <w:p>
            <w:pPr>
              <w:pStyle w:val="TableParagraph"/>
              <w:spacing w:before="176"/>
              <w:ind w:left="126" w:right="106"/>
              <w:jc w:val="center"/>
              <w:rPr>
                <w:rFonts w:ascii="Arial"/>
                <w:sz w:val="18"/>
              </w:rPr>
            </w:pPr>
            <w:r>
              <w:rPr>
                <w:rFonts w:ascii="Arial"/>
                <w:spacing w:val="-5"/>
                <w:sz w:val="18"/>
              </w:rPr>
              <w:t>P4R</w:t>
            </w:r>
          </w:p>
        </w:tc>
        <w:tc>
          <w:tcPr>
            <w:tcW w:w="919" w:type="dxa"/>
          </w:tcPr>
          <w:p>
            <w:pPr>
              <w:pStyle w:val="TableParagraph"/>
              <w:spacing w:before="176"/>
              <w:ind w:left="22"/>
              <w:jc w:val="center"/>
              <w:rPr>
                <w:rFonts w:ascii="Arial"/>
                <w:sz w:val="18"/>
              </w:rPr>
            </w:pPr>
            <w:r>
              <w:rPr>
                <w:rFonts w:ascii="Arial"/>
                <w:sz w:val="18"/>
              </w:rPr>
              <w:t>P</w:t>
            </w:r>
          </w:p>
        </w:tc>
        <w:tc>
          <w:tcPr>
            <w:tcW w:w="1185" w:type="dxa"/>
          </w:tcPr>
          <w:p>
            <w:pPr>
              <w:pStyle w:val="TableParagraph"/>
              <w:spacing w:before="176"/>
              <w:ind w:left="211" w:right="186"/>
              <w:jc w:val="center"/>
              <w:rPr>
                <w:rFonts w:ascii="Arial"/>
                <w:sz w:val="18"/>
              </w:rPr>
            </w:pPr>
            <w:r>
              <w:rPr>
                <w:rFonts w:ascii="Arial"/>
                <w:sz w:val="18"/>
              </w:rPr>
              <w:t>P </w:t>
            </w:r>
            <w:r>
              <w:rPr>
                <w:rFonts w:ascii="Arial"/>
                <w:spacing w:val="-2"/>
                <w:sz w:val="18"/>
              </w:rPr>
              <w:t>(19/20)</w:t>
            </w:r>
          </w:p>
        </w:tc>
        <w:tc>
          <w:tcPr>
            <w:tcW w:w="631" w:type="dxa"/>
          </w:tcPr>
          <w:p>
            <w:pPr>
              <w:pStyle w:val="TableParagraph"/>
              <w:spacing w:before="176"/>
              <w:ind w:left="19"/>
              <w:jc w:val="center"/>
              <w:rPr>
                <w:rFonts w:ascii="Arial"/>
                <w:sz w:val="18"/>
              </w:rPr>
            </w:pPr>
            <w:r>
              <w:rPr>
                <w:rFonts w:ascii="Arial"/>
                <w:sz w:val="18"/>
              </w:rPr>
              <w:t>P</w:t>
            </w:r>
          </w:p>
        </w:tc>
        <w:tc>
          <w:tcPr>
            <w:tcW w:w="720" w:type="dxa"/>
          </w:tcPr>
          <w:p>
            <w:pPr>
              <w:pStyle w:val="TableParagraph"/>
              <w:spacing w:before="176"/>
              <w:ind w:left="22"/>
              <w:jc w:val="center"/>
              <w:rPr>
                <w:rFonts w:ascii="Arial"/>
                <w:sz w:val="18"/>
              </w:rPr>
            </w:pPr>
            <w:r>
              <w:rPr>
                <w:rFonts w:ascii="Arial"/>
                <w:sz w:val="18"/>
              </w:rPr>
              <w:t>P</w:t>
            </w:r>
          </w:p>
        </w:tc>
      </w:tr>
      <w:tr>
        <w:trPr>
          <w:trHeight w:val="620" w:hRule="atLeast"/>
        </w:trPr>
        <w:tc>
          <w:tcPr>
            <w:tcW w:w="1128" w:type="dxa"/>
          </w:tcPr>
          <w:p>
            <w:pPr>
              <w:pStyle w:val="TableParagraph"/>
              <w:spacing w:before="2"/>
              <w:rPr>
                <w:i/>
                <w:sz w:val="17"/>
              </w:rPr>
            </w:pPr>
          </w:p>
          <w:p>
            <w:pPr>
              <w:pStyle w:val="TableParagraph"/>
              <w:ind w:left="18"/>
              <w:jc w:val="center"/>
              <w:rPr>
                <w:rFonts w:ascii="Arial"/>
                <w:sz w:val="18"/>
              </w:rPr>
            </w:pPr>
            <w:r>
              <w:rPr>
                <w:rFonts w:ascii="Arial"/>
                <w:sz w:val="18"/>
              </w:rPr>
              <w:t>2</w:t>
            </w:r>
          </w:p>
        </w:tc>
        <w:tc>
          <w:tcPr>
            <w:tcW w:w="2726" w:type="dxa"/>
          </w:tcPr>
          <w:p>
            <w:pPr>
              <w:pStyle w:val="TableParagraph"/>
              <w:spacing w:before="2"/>
              <w:rPr>
                <w:i/>
                <w:sz w:val="17"/>
              </w:rPr>
            </w:pPr>
          </w:p>
          <w:p>
            <w:pPr>
              <w:pStyle w:val="TableParagraph"/>
              <w:ind w:left="108" w:right="85"/>
              <w:jc w:val="center"/>
              <w:rPr>
                <w:rFonts w:ascii="Arial"/>
                <w:sz w:val="18"/>
              </w:rPr>
            </w:pPr>
            <w:r>
              <w:rPr>
                <w:rFonts w:ascii="Arial"/>
                <w:sz w:val="18"/>
              </w:rPr>
              <w:t>Immunizations</w:t>
            </w:r>
            <w:r>
              <w:rPr>
                <w:rFonts w:ascii="Arial"/>
                <w:spacing w:val="-3"/>
                <w:sz w:val="18"/>
              </w:rPr>
              <w:t> </w:t>
            </w:r>
            <w:r>
              <w:rPr>
                <w:rFonts w:ascii="Arial"/>
                <w:sz w:val="18"/>
              </w:rPr>
              <w:t>for</w:t>
            </w:r>
            <w:r>
              <w:rPr>
                <w:rFonts w:ascii="Arial"/>
                <w:spacing w:val="-2"/>
                <w:sz w:val="18"/>
              </w:rPr>
              <w:t> Adolescents</w:t>
            </w:r>
          </w:p>
        </w:tc>
        <w:tc>
          <w:tcPr>
            <w:tcW w:w="5719" w:type="dxa"/>
          </w:tcPr>
          <w:p>
            <w:pPr>
              <w:pStyle w:val="TableParagraph"/>
              <w:spacing w:line="259" w:lineRule="auto" w:before="87"/>
              <w:ind w:left="880" w:right="96" w:hanging="298"/>
              <w:rPr>
                <w:rFonts w:ascii="Arial"/>
                <w:sz w:val="18"/>
              </w:rPr>
            </w:pPr>
            <w:r>
              <w:rPr>
                <w:rFonts w:ascii="Arial"/>
                <w:sz w:val="18"/>
              </w:rPr>
              <w:t>Percentage</w:t>
            </w:r>
            <w:r>
              <w:rPr>
                <w:rFonts w:ascii="Arial"/>
                <w:spacing w:val="-6"/>
                <w:sz w:val="18"/>
              </w:rPr>
              <w:t> </w:t>
            </w:r>
            <w:r>
              <w:rPr>
                <w:rFonts w:ascii="Arial"/>
                <w:sz w:val="18"/>
              </w:rPr>
              <w:t>of</w:t>
            </w:r>
            <w:r>
              <w:rPr>
                <w:rFonts w:ascii="Arial"/>
                <w:spacing w:val="-6"/>
                <w:sz w:val="18"/>
              </w:rPr>
              <w:t> </w:t>
            </w:r>
            <w:r>
              <w:rPr>
                <w:rFonts w:ascii="Arial"/>
                <w:sz w:val="18"/>
              </w:rPr>
              <w:t>members</w:t>
            </w:r>
            <w:r>
              <w:rPr>
                <w:rFonts w:ascii="Arial"/>
                <w:spacing w:val="-3"/>
                <w:sz w:val="18"/>
              </w:rPr>
              <w:t> </w:t>
            </w:r>
            <w:r>
              <w:rPr>
                <w:rFonts w:ascii="Arial"/>
                <w:sz w:val="18"/>
              </w:rPr>
              <w:t>13</w:t>
            </w:r>
            <w:r>
              <w:rPr>
                <w:rFonts w:ascii="Arial"/>
                <w:spacing w:val="-3"/>
                <w:sz w:val="18"/>
              </w:rPr>
              <w:t> </w:t>
            </w:r>
            <w:r>
              <w:rPr>
                <w:rFonts w:ascii="Arial"/>
                <w:sz w:val="18"/>
              </w:rPr>
              <w:t>years</w:t>
            </w:r>
            <w:r>
              <w:rPr>
                <w:rFonts w:ascii="Arial"/>
                <w:spacing w:val="-3"/>
                <w:sz w:val="18"/>
              </w:rPr>
              <w:t> </w:t>
            </w:r>
            <w:r>
              <w:rPr>
                <w:rFonts w:ascii="Arial"/>
                <w:sz w:val="18"/>
              </w:rPr>
              <w:t>of</w:t>
            </w:r>
            <w:r>
              <w:rPr>
                <w:rFonts w:ascii="Arial"/>
                <w:spacing w:val="-6"/>
                <w:sz w:val="18"/>
              </w:rPr>
              <w:t> </w:t>
            </w:r>
            <w:r>
              <w:rPr>
                <w:rFonts w:ascii="Arial"/>
                <w:sz w:val="18"/>
              </w:rPr>
              <w:t>age</w:t>
            </w:r>
            <w:r>
              <w:rPr>
                <w:rFonts w:ascii="Arial"/>
                <w:spacing w:val="-6"/>
                <w:sz w:val="18"/>
              </w:rPr>
              <w:t> </w:t>
            </w:r>
            <w:r>
              <w:rPr>
                <w:rFonts w:ascii="Arial"/>
                <w:sz w:val="18"/>
              </w:rPr>
              <w:t>who</w:t>
            </w:r>
            <w:r>
              <w:rPr>
                <w:rFonts w:ascii="Arial"/>
                <w:spacing w:val="-3"/>
                <w:sz w:val="18"/>
              </w:rPr>
              <w:t> </w:t>
            </w:r>
            <w:r>
              <w:rPr>
                <w:rFonts w:ascii="Arial"/>
                <w:sz w:val="18"/>
              </w:rPr>
              <w:t>received</w:t>
            </w:r>
            <w:r>
              <w:rPr>
                <w:rFonts w:ascii="Arial"/>
                <w:spacing w:val="-3"/>
                <w:sz w:val="18"/>
              </w:rPr>
              <w:t> </w:t>
            </w:r>
            <w:r>
              <w:rPr>
                <w:rFonts w:ascii="Arial"/>
                <w:sz w:val="18"/>
              </w:rPr>
              <w:t>all recommended vaccines, including the HPV series</w:t>
            </w:r>
          </w:p>
        </w:tc>
        <w:tc>
          <w:tcPr>
            <w:tcW w:w="900" w:type="dxa"/>
          </w:tcPr>
          <w:p>
            <w:pPr>
              <w:pStyle w:val="TableParagraph"/>
              <w:spacing w:before="2"/>
              <w:rPr>
                <w:i/>
                <w:sz w:val="17"/>
              </w:rPr>
            </w:pPr>
          </w:p>
          <w:p>
            <w:pPr>
              <w:pStyle w:val="TableParagraph"/>
              <w:ind w:left="154" w:right="135"/>
              <w:jc w:val="center"/>
              <w:rPr>
                <w:rFonts w:ascii="Arial"/>
                <w:sz w:val="18"/>
              </w:rPr>
            </w:pPr>
            <w:r>
              <w:rPr>
                <w:rFonts w:ascii="Arial"/>
                <w:spacing w:val="-2"/>
                <w:sz w:val="18"/>
              </w:rPr>
              <w:t>Hybrid</w:t>
            </w:r>
          </w:p>
        </w:tc>
        <w:tc>
          <w:tcPr>
            <w:tcW w:w="629" w:type="dxa"/>
          </w:tcPr>
          <w:p>
            <w:pPr>
              <w:pStyle w:val="TableParagraph"/>
              <w:spacing w:before="2"/>
              <w:rPr>
                <w:i/>
                <w:sz w:val="17"/>
              </w:rPr>
            </w:pPr>
          </w:p>
          <w:p>
            <w:pPr>
              <w:pStyle w:val="TableParagraph"/>
              <w:ind w:left="126" w:right="106"/>
              <w:jc w:val="center"/>
              <w:rPr>
                <w:rFonts w:ascii="Arial"/>
                <w:sz w:val="18"/>
              </w:rPr>
            </w:pPr>
            <w:r>
              <w:rPr>
                <w:rFonts w:ascii="Arial"/>
                <w:spacing w:val="-5"/>
                <w:sz w:val="18"/>
              </w:rPr>
              <w:t>P4R</w:t>
            </w:r>
          </w:p>
        </w:tc>
        <w:tc>
          <w:tcPr>
            <w:tcW w:w="919" w:type="dxa"/>
          </w:tcPr>
          <w:p>
            <w:pPr>
              <w:pStyle w:val="TableParagraph"/>
              <w:spacing w:before="2"/>
              <w:rPr>
                <w:i/>
                <w:sz w:val="17"/>
              </w:rPr>
            </w:pPr>
          </w:p>
          <w:p>
            <w:pPr>
              <w:pStyle w:val="TableParagraph"/>
              <w:ind w:left="22"/>
              <w:jc w:val="center"/>
              <w:rPr>
                <w:rFonts w:ascii="Arial"/>
                <w:sz w:val="18"/>
              </w:rPr>
            </w:pPr>
            <w:r>
              <w:rPr>
                <w:rFonts w:ascii="Arial"/>
                <w:sz w:val="18"/>
              </w:rPr>
              <w:t>P</w:t>
            </w:r>
          </w:p>
        </w:tc>
        <w:tc>
          <w:tcPr>
            <w:tcW w:w="1185" w:type="dxa"/>
          </w:tcPr>
          <w:p>
            <w:pPr>
              <w:pStyle w:val="TableParagraph"/>
              <w:spacing w:before="2"/>
              <w:rPr>
                <w:i/>
                <w:sz w:val="17"/>
              </w:rPr>
            </w:pPr>
          </w:p>
          <w:p>
            <w:pPr>
              <w:pStyle w:val="TableParagraph"/>
              <w:ind w:left="211" w:right="186"/>
              <w:jc w:val="center"/>
              <w:rPr>
                <w:rFonts w:ascii="Arial"/>
                <w:sz w:val="18"/>
              </w:rPr>
            </w:pPr>
            <w:r>
              <w:rPr>
                <w:rFonts w:ascii="Arial"/>
                <w:sz w:val="18"/>
              </w:rPr>
              <w:t>P </w:t>
            </w:r>
            <w:r>
              <w:rPr>
                <w:rFonts w:ascii="Arial"/>
                <w:spacing w:val="-2"/>
                <w:sz w:val="18"/>
              </w:rPr>
              <w:t>(19/20)</w:t>
            </w:r>
          </w:p>
        </w:tc>
        <w:tc>
          <w:tcPr>
            <w:tcW w:w="631" w:type="dxa"/>
          </w:tcPr>
          <w:p>
            <w:pPr>
              <w:pStyle w:val="TableParagraph"/>
              <w:spacing w:before="2"/>
              <w:rPr>
                <w:i/>
                <w:sz w:val="17"/>
              </w:rPr>
            </w:pPr>
          </w:p>
          <w:p>
            <w:pPr>
              <w:pStyle w:val="TableParagraph"/>
              <w:ind w:left="19"/>
              <w:jc w:val="center"/>
              <w:rPr>
                <w:rFonts w:ascii="Arial"/>
                <w:sz w:val="18"/>
              </w:rPr>
            </w:pPr>
            <w:r>
              <w:rPr>
                <w:rFonts w:ascii="Arial"/>
                <w:sz w:val="18"/>
              </w:rPr>
              <w:t>P</w:t>
            </w:r>
          </w:p>
        </w:tc>
        <w:tc>
          <w:tcPr>
            <w:tcW w:w="720" w:type="dxa"/>
          </w:tcPr>
          <w:p>
            <w:pPr>
              <w:pStyle w:val="TableParagraph"/>
              <w:spacing w:before="2"/>
              <w:rPr>
                <w:i/>
                <w:sz w:val="17"/>
              </w:rPr>
            </w:pPr>
          </w:p>
          <w:p>
            <w:pPr>
              <w:pStyle w:val="TableParagraph"/>
              <w:ind w:left="22"/>
              <w:jc w:val="center"/>
              <w:rPr>
                <w:rFonts w:ascii="Arial"/>
                <w:sz w:val="18"/>
              </w:rPr>
            </w:pPr>
            <w:r>
              <w:rPr>
                <w:rFonts w:ascii="Arial"/>
                <w:sz w:val="18"/>
              </w:rPr>
              <w:t>P</w:t>
            </w:r>
          </w:p>
        </w:tc>
      </w:tr>
      <w:tr>
        <w:trPr>
          <w:trHeight w:val="627" w:hRule="atLeast"/>
        </w:trPr>
        <w:tc>
          <w:tcPr>
            <w:tcW w:w="1128" w:type="dxa"/>
          </w:tcPr>
          <w:p>
            <w:pPr>
              <w:pStyle w:val="TableParagraph"/>
              <w:spacing w:before="7"/>
              <w:rPr>
                <w:i/>
                <w:sz w:val="17"/>
              </w:rPr>
            </w:pPr>
          </w:p>
          <w:p>
            <w:pPr>
              <w:pStyle w:val="TableParagraph"/>
              <w:ind w:left="18"/>
              <w:jc w:val="center"/>
              <w:rPr>
                <w:rFonts w:ascii="Arial"/>
                <w:sz w:val="18"/>
              </w:rPr>
            </w:pPr>
            <w:r>
              <w:rPr>
                <w:rFonts w:ascii="Arial"/>
                <w:sz w:val="18"/>
              </w:rPr>
              <w:t>3</w:t>
            </w:r>
          </w:p>
        </w:tc>
        <w:tc>
          <w:tcPr>
            <w:tcW w:w="2726" w:type="dxa"/>
          </w:tcPr>
          <w:p>
            <w:pPr>
              <w:pStyle w:val="TableParagraph"/>
              <w:spacing w:before="7"/>
              <w:rPr>
                <w:i/>
                <w:sz w:val="17"/>
              </w:rPr>
            </w:pPr>
          </w:p>
          <w:p>
            <w:pPr>
              <w:pStyle w:val="TableParagraph"/>
              <w:ind w:left="108" w:right="85"/>
              <w:jc w:val="center"/>
              <w:rPr>
                <w:rFonts w:ascii="Arial"/>
                <w:sz w:val="18"/>
              </w:rPr>
            </w:pPr>
            <w:r>
              <w:rPr>
                <w:rFonts w:ascii="Arial"/>
                <w:sz w:val="18"/>
              </w:rPr>
              <w:t>Timeliness</w:t>
            </w:r>
            <w:r>
              <w:rPr>
                <w:rFonts w:ascii="Arial"/>
                <w:spacing w:val="-6"/>
                <w:sz w:val="18"/>
              </w:rPr>
              <w:t> </w:t>
            </w:r>
            <w:r>
              <w:rPr>
                <w:rFonts w:ascii="Arial"/>
                <w:sz w:val="18"/>
              </w:rPr>
              <w:t>of</w:t>
            </w:r>
            <w:r>
              <w:rPr>
                <w:rFonts w:ascii="Arial"/>
                <w:spacing w:val="-3"/>
                <w:sz w:val="18"/>
              </w:rPr>
              <w:t> </w:t>
            </w:r>
            <w:r>
              <w:rPr>
                <w:rFonts w:ascii="Arial"/>
                <w:sz w:val="18"/>
              </w:rPr>
              <w:t>Prenatal</w:t>
            </w:r>
            <w:r>
              <w:rPr>
                <w:rFonts w:ascii="Arial"/>
                <w:spacing w:val="-3"/>
                <w:sz w:val="18"/>
              </w:rPr>
              <w:t> </w:t>
            </w:r>
            <w:r>
              <w:rPr>
                <w:rFonts w:ascii="Arial"/>
                <w:spacing w:val="-4"/>
                <w:sz w:val="18"/>
              </w:rPr>
              <w:t>Care</w:t>
            </w:r>
          </w:p>
        </w:tc>
        <w:tc>
          <w:tcPr>
            <w:tcW w:w="5719" w:type="dxa"/>
          </w:tcPr>
          <w:p>
            <w:pPr>
              <w:pStyle w:val="TableParagraph"/>
              <w:spacing w:line="259" w:lineRule="auto" w:before="90"/>
              <w:ind w:left="470" w:right="96" w:hanging="221"/>
              <w:rPr>
                <w:rFonts w:ascii="Arial"/>
                <w:sz w:val="18"/>
              </w:rPr>
            </w:pPr>
            <w:r>
              <w:rPr>
                <w:rFonts w:ascii="Arial"/>
                <w:sz w:val="18"/>
              </w:rPr>
              <w:t>Percentage</w:t>
            </w:r>
            <w:r>
              <w:rPr>
                <w:rFonts w:ascii="Arial"/>
                <w:spacing w:val="-6"/>
                <w:sz w:val="18"/>
              </w:rPr>
              <w:t> </w:t>
            </w:r>
            <w:r>
              <w:rPr>
                <w:rFonts w:ascii="Arial"/>
                <w:sz w:val="18"/>
              </w:rPr>
              <w:t>of</w:t>
            </w:r>
            <w:r>
              <w:rPr>
                <w:rFonts w:ascii="Arial"/>
                <w:spacing w:val="-4"/>
                <w:sz w:val="18"/>
              </w:rPr>
              <w:t> </w:t>
            </w:r>
            <w:r>
              <w:rPr>
                <w:rFonts w:ascii="Arial"/>
                <w:sz w:val="18"/>
              </w:rPr>
              <w:t>deliveries</w:t>
            </w:r>
            <w:r>
              <w:rPr>
                <w:rFonts w:ascii="Arial"/>
                <w:spacing w:val="-5"/>
                <w:sz w:val="18"/>
              </w:rPr>
              <w:t> </w:t>
            </w:r>
            <w:r>
              <w:rPr>
                <w:rFonts w:ascii="Arial"/>
                <w:sz w:val="18"/>
              </w:rPr>
              <w:t>in</w:t>
            </w:r>
            <w:r>
              <w:rPr>
                <w:rFonts w:ascii="Arial"/>
                <w:spacing w:val="-3"/>
                <w:sz w:val="18"/>
              </w:rPr>
              <w:t> </w:t>
            </w:r>
            <w:r>
              <w:rPr>
                <w:rFonts w:ascii="Arial"/>
                <w:sz w:val="18"/>
              </w:rPr>
              <w:t>which</w:t>
            </w:r>
            <w:r>
              <w:rPr>
                <w:rFonts w:ascii="Arial"/>
                <w:spacing w:val="-3"/>
                <w:sz w:val="18"/>
              </w:rPr>
              <w:t> </w:t>
            </w:r>
            <w:r>
              <w:rPr>
                <w:rFonts w:ascii="Arial"/>
                <w:sz w:val="18"/>
              </w:rPr>
              <w:t>the</w:t>
            </w:r>
            <w:r>
              <w:rPr>
                <w:rFonts w:ascii="Arial"/>
                <w:spacing w:val="-3"/>
                <w:sz w:val="18"/>
              </w:rPr>
              <w:t> </w:t>
            </w:r>
            <w:r>
              <w:rPr>
                <w:rFonts w:ascii="Arial"/>
                <w:sz w:val="18"/>
              </w:rPr>
              <w:t>member</w:t>
            </w:r>
            <w:r>
              <w:rPr>
                <w:rFonts w:ascii="Arial"/>
                <w:spacing w:val="-4"/>
                <w:sz w:val="18"/>
              </w:rPr>
              <w:t> </w:t>
            </w:r>
            <w:r>
              <w:rPr>
                <w:rFonts w:ascii="Arial"/>
                <w:sz w:val="18"/>
              </w:rPr>
              <w:t>received</w:t>
            </w:r>
            <w:r>
              <w:rPr>
                <w:rFonts w:ascii="Arial"/>
                <w:spacing w:val="-6"/>
                <w:sz w:val="18"/>
              </w:rPr>
              <w:t> </w:t>
            </w:r>
            <w:r>
              <w:rPr>
                <w:rFonts w:ascii="Arial"/>
                <w:sz w:val="18"/>
              </w:rPr>
              <w:t>a</w:t>
            </w:r>
            <w:r>
              <w:rPr>
                <w:rFonts w:ascii="Arial"/>
                <w:spacing w:val="-3"/>
                <w:sz w:val="18"/>
              </w:rPr>
              <w:t> </w:t>
            </w:r>
            <w:r>
              <w:rPr>
                <w:rFonts w:ascii="Arial"/>
                <w:sz w:val="18"/>
              </w:rPr>
              <w:t>prenatal care visit in the first trimester or within 42 days of enrollment</w:t>
            </w:r>
          </w:p>
        </w:tc>
        <w:tc>
          <w:tcPr>
            <w:tcW w:w="900" w:type="dxa"/>
          </w:tcPr>
          <w:p>
            <w:pPr>
              <w:pStyle w:val="TableParagraph"/>
              <w:spacing w:before="7"/>
              <w:rPr>
                <w:i/>
                <w:sz w:val="17"/>
              </w:rPr>
            </w:pPr>
          </w:p>
          <w:p>
            <w:pPr>
              <w:pStyle w:val="TableParagraph"/>
              <w:ind w:left="154" w:right="135"/>
              <w:jc w:val="center"/>
              <w:rPr>
                <w:rFonts w:ascii="Arial"/>
                <w:sz w:val="18"/>
              </w:rPr>
            </w:pPr>
            <w:r>
              <w:rPr>
                <w:rFonts w:ascii="Arial"/>
                <w:spacing w:val="-2"/>
                <w:sz w:val="18"/>
              </w:rPr>
              <w:t>Hybrid</w:t>
            </w:r>
          </w:p>
        </w:tc>
        <w:tc>
          <w:tcPr>
            <w:tcW w:w="629" w:type="dxa"/>
          </w:tcPr>
          <w:p>
            <w:pPr>
              <w:pStyle w:val="TableParagraph"/>
              <w:spacing w:before="7"/>
              <w:rPr>
                <w:i/>
                <w:sz w:val="17"/>
              </w:rPr>
            </w:pPr>
          </w:p>
          <w:p>
            <w:pPr>
              <w:pStyle w:val="TableParagraph"/>
              <w:ind w:left="126" w:right="106"/>
              <w:jc w:val="center"/>
              <w:rPr>
                <w:rFonts w:ascii="Arial"/>
                <w:sz w:val="18"/>
              </w:rPr>
            </w:pPr>
            <w:r>
              <w:rPr>
                <w:rFonts w:ascii="Arial"/>
                <w:spacing w:val="-5"/>
                <w:sz w:val="18"/>
              </w:rPr>
              <w:t>P4R</w:t>
            </w:r>
          </w:p>
        </w:tc>
        <w:tc>
          <w:tcPr>
            <w:tcW w:w="919" w:type="dxa"/>
          </w:tcPr>
          <w:p>
            <w:pPr>
              <w:pStyle w:val="TableParagraph"/>
              <w:spacing w:before="7"/>
              <w:rPr>
                <w:i/>
                <w:sz w:val="17"/>
              </w:rPr>
            </w:pPr>
          </w:p>
          <w:p>
            <w:pPr>
              <w:pStyle w:val="TableParagraph"/>
              <w:ind w:left="22"/>
              <w:jc w:val="center"/>
              <w:rPr>
                <w:rFonts w:ascii="Arial"/>
                <w:sz w:val="18"/>
              </w:rPr>
            </w:pPr>
            <w:r>
              <w:rPr>
                <w:rFonts w:ascii="Arial"/>
                <w:sz w:val="18"/>
              </w:rPr>
              <w:t>P</w:t>
            </w:r>
          </w:p>
        </w:tc>
        <w:tc>
          <w:tcPr>
            <w:tcW w:w="1185" w:type="dxa"/>
          </w:tcPr>
          <w:p>
            <w:pPr>
              <w:pStyle w:val="TableParagraph"/>
              <w:spacing w:before="7"/>
              <w:rPr>
                <w:i/>
                <w:sz w:val="17"/>
              </w:rPr>
            </w:pPr>
          </w:p>
          <w:p>
            <w:pPr>
              <w:pStyle w:val="TableParagraph"/>
              <w:ind w:left="211" w:right="186"/>
              <w:jc w:val="center"/>
              <w:rPr>
                <w:rFonts w:ascii="Arial"/>
                <w:sz w:val="18"/>
              </w:rPr>
            </w:pPr>
            <w:r>
              <w:rPr>
                <w:rFonts w:ascii="Arial"/>
                <w:sz w:val="18"/>
              </w:rPr>
              <w:t>P </w:t>
            </w:r>
            <w:r>
              <w:rPr>
                <w:rFonts w:ascii="Arial"/>
                <w:spacing w:val="-2"/>
                <w:sz w:val="18"/>
              </w:rPr>
              <w:t>(19/20)</w:t>
            </w:r>
          </w:p>
        </w:tc>
        <w:tc>
          <w:tcPr>
            <w:tcW w:w="631" w:type="dxa"/>
          </w:tcPr>
          <w:p>
            <w:pPr>
              <w:pStyle w:val="TableParagraph"/>
              <w:spacing w:before="7"/>
              <w:rPr>
                <w:i/>
                <w:sz w:val="17"/>
              </w:rPr>
            </w:pPr>
          </w:p>
          <w:p>
            <w:pPr>
              <w:pStyle w:val="TableParagraph"/>
              <w:ind w:left="19"/>
              <w:jc w:val="center"/>
              <w:rPr>
                <w:rFonts w:ascii="Arial"/>
                <w:sz w:val="18"/>
              </w:rPr>
            </w:pPr>
            <w:r>
              <w:rPr>
                <w:rFonts w:ascii="Arial"/>
                <w:sz w:val="18"/>
              </w:rPr>
              <w:t>P</w:t>
            </w:r>
          </w:p>
        </w:tc>
        <w:tc>
          <w:tcPr>
            <w:tcW w:w="720" w:type="dxa"/>
          </w:tcPr>
          <w:p>
            <w:pPr>
              <w:pStyle w:val="TableParagraph"/>
              <w:spacing w:before="7"/>
              <w:rPr>
                <w:i/>
                <w:sz w:val="17"/>
              </w:rPr>
            </w:pPr>
          </w:p>
          <w:p>
            <w:pPr>
              <w:pStyle w:val="TableParagraph"/>
              <w:ind w:left="22"/>
              <w:jc w:val="center"/>
              <w:rPr>
                <w:rFonts w:ascii="Arial"/>
                <w:sz w:val="18"/>
              </w:rPr>
            </w:pPr>
            <w:r>
              <w:rPr>
                <w:rFonts w:ascii="Arial"/>
                <w:sz w:val="18"/>
              </w:rPr>
              <w:t>P</w:t>
            </w:r>
          </w:p>
        </w:tc>
      </w:tr>
      <w:tr>
        <w:trPr>
          <w:trHeight w:val="630" w:hRule="atLeast"/>
        </w:trPr>
        <w:tc>
          <w:tcPr>
            <w:tcW w:w="1128" w:type="dxa"/>
          </w:tcPr>
          <w:p>
            <w:pPr>
              <w:pStyle w:val="TableParagraph"/>
              <w:spacing w:before="7"/>
              <w:rPr>
                <w:i/>
                <w:sz w:val="17"/>
              </w:rPr>
            </w:pPr>
          </w:p>
          <w:p>
            <w:pPr>
              <w:pStyle w:val="TableParagraph"/>
              <w:ind w:left="18"/>
              <w:jc w:val="center"/>
              <w:rPr>
                <w:rFonts w:ascii="Arial"/>
                <w:sz w:val="18"/>
              </w:rPr>
            </w:pPr>
            <w:r>
              <w:rPr>
                <w:rFonts w:ascii="Arial"/>
                <w:sz w:val="18"/>
              </w:rPr>
              <w:t>4</w:t>
            </w:r>
          </w:p>
        </w:tc>
        <w:tc>
          <w:tcPr>
            <w:tcW w:w="2726" w:type="dxa"/>
          </w:tcPr>
          <w:p>
            <w:pPr>
              <w:pStyle w:val="TableParagraph"/>
              <w:spacing w:line="259" w:lineRule="auto" w:before="92"/>
              <w:ind w:left="1002" w:right="242" w:hanging="536"/>
              <w:rPr>
                <w:rFonts w:ascii="Arial"/>
                <w:sz w:val="18"/>
              </w:rPr>
            </w:pPr>
            <w:r>
              <w:rPr>
                <w:rFonts w:ascii="Arial"/>
                <w:sz w:val="18"/>
              </w:rPr>
              <w:t>Controlling</w:t>
            </w:r>
            <w:r>
              <w:rPr>
                <w:rFonts w:ascii="Arial"/>
                <w:spacing w:val="-15"/>
                <w:sz w:val="18"/>
              </w:rPr>
              <w:t> </w:t>
            </w:r>
            <w:r>
              <w:rPr>
                <w:rFonts w:ascii="Arial"/>
                <w:sz w:val="18"/>
              </w:rPr>
              <w:t>High</w:t>
            </w:r>
            <w:r>
              <w:rPr>
                <w:rFonts w:ascii="Arial"/>
                <w:spacing w:val="-12"/>
                <w:sz w:val="18"/>
              </w:rPr>
              <w:t> </w:t>
            </w:r>
            <w:r>
              <w:rPr>
                <w:rFonts w:ascii="Arial"/>
                <w:sz w:val="18"/>
              </w:rPr>
              <w:t>Blood </w:t>
            </w:r>
            <w:r>
              <w:rPr>
                <w:rFonts w:ascii="Arial"/>
                <w:spacing w:val="-2"/>
                <w:sz w:val="18"/>
              </w:rPr>
              <w:t>Pressure</w:t>
            </w:r>
          </w:p>
        </w:tc>
        <w:tc>
          <w:tcPr>
            <w:tcW w:w="5719" w:type="dxa"/>
          </w:tcPr>
          <w:p>
            <w:pPr>
              <w:pStyle w:val="TableParagraph"/>
              <w:spacing w:line="259" w:lineRule="auto" w:before="92"/>
              <w:ind w:left="914" w:right="96" w:hanging="788"/>
              <w:rPr>
                <w:rFonts w:ascii="Arial"/>
                <w:sz w:val="18"/>
              </w:rPr>
            </w:pPr>
            <w:r>
              <w:rPr>
                <w:rFonts w:ascii="Arial"/>
                <w:sz w:val="18"/>
              </w:rPr>
              <w:t>Percentage</w:t>
            </w:r>
            <w:r>
              <w:rPr>
                <w:rFonts w:ascii="Arial"/>
                <w:spacing w:val="-5"/>
                <w:sz w:val="18"/>
              </w:rPr>
              <w:t> </w:t>
            </w:r>
            <w:r>
              <w:rPr>
                <w:rFonts w:ascii="Arial"/>
                <w:sz w:val="18"/>
              </w:rPr>
              <w:t>of</w:t>
            </w:r>
            <w:r>
              <w:rPr>
                <w:rFonts w:ascii="Arial"/>
                <w:spacing w:val="-5"/>
                <w:sz w:val="18"/>
              </w:rPr>
              <w:t> </w:t>
            </w:r>
            <w:r>
              <w:rPr>
                <w:rFonts w:ascii="Arial"/>
                <w:sz w:val="18"/>
              </w:rPr>
              <w:t>members</w:t>
            </w:r>
            <w:r>
              <w:rPr>
                <w:rFonts w:ascii="Arial"/>
                <w:spacing w:val="-2"/>
                <w:sz w:val="18"/>
              </w:rPr>
              <w:t> </w:t>
            </w:r>
            <w:r>
              <w:rPr>
                <w:rFonts w:ascii="Arial"/>
                <w:sz w:val="18"/>
              </w:rPr>
              <w:t>18</w:t>
            </w:r>
            <w:r>
              <w:rPr>
                <w:rFonts w:ascii="Arial"/>
                <w:spacing w:val="-5"/>
                <w:sz w:val="18"/>
              </w:rPr>
              <w:t> </w:t>
            </w:r>
            <w:r>
              <w:rPr>
                <w:rFonts w:ascii="Arial"/>
                <w:sz w:val="18"/>
              </w:rPr>
              <w:t>to</w:t>
            </w:r>
            <w:r>
              <w:rPr>
                <w:rFonts w:ascii="Arial"/>
                <w:spacing w:val="-5"/>
                <w:sz w:val="18"/>
              </w:rPr>
              <w:t> </w:t>
            </w:r>
            <w:r>
              <w:rPr>
                <w:rFonts w:ascii="Arial"/>
                <w:sz w:val="18"/>
              </w:rPr>
              <w:t>64</w:t>
            </w:r>
            <w:r>
              <w:rPr>
                <w:rFonts w:ascii="Arial"/>
                <w:spacing w:val="-2"/>
                <w:sz w:val="18"/>
              </w:rPr>
              <w:t> </w:t>
            </w:r>
            <w:r>
              <w:rPr>
                <w:rFonts w:ascii="Arial"/>
                <w:sz w:val="18"/>
              </w:rPr>
              <w:t>years</w:t>
            </w:r>
            <w:r>
              <w:rPr>
                <w:rFonts w:ascii="Arial"/>
                <w:spacing w:val="-4"/>
                <w:sz w:val="18"/>
              </w:rPr>
              <w:t> </w:t>
            </w:r>
            <w:r>
              <w:rPr>
                <w:rFonts w:ascii="Arial"/>
                <w:sz w:val="18"/>
              </w:rPr>
              <w:t>of</w:t>
            </w:r>
            <w:r>
              <w:rPr>
                <w:rFonts w:ascii="Arial"/>
                <w:spacing w:val="-3"/>
                <w:sz w:val="18"/>
              </w:rPr>
              <w:t> </w:t>
            </w:r>
            <w:r>
              <w:rPr>
                <w:rFonts w:ascii="Arial"/>
                <w:sz w:val="18"/>
              </w:rPr>
              <w:t>age</w:t>
            </w:r>
            <w:r>
              <w:rPr>
                <w:rFonts w:ascii="Arial"/>
                <w:spacing w:val="-2"/>
                <w:sz w:val="18"/>
              </w:rPr>
              <w:t> </w:t>
            </w:r>
            <w:r>
              <w:rPr>
                <w:rFonts w:ascii="Arial"/>
                <w:sz w:val="18"/>
              </w:rPr>
              <w:t>with</w:t>
            </w:r>
            <w:r>
              <w:rPr>
                <w:rFonts w:ascii="Arial"/>
                <w:spacing w:val="-2"/>
                <w:sz w:val="18"/>
              </w:rPr>
              <w:t> </w:t>
            </w:r>
            <w:r>
              <w:rPr>
                <w:rFonts w:ascii="Arial"/>
                <w:sz w:val="18"/>
              </w:rPr>
              <w:t>hypertension</w:t>
            </w:r>
            <w:r>
              <w:rPr>
                <w:rFonts w:ascii="Arial"/>
                <w:spacing w:val="-2"/>
                <w:sz w:val="18"/>
              </w:rPr>
              <w:t> </w:t>
            </w:r>
            <w:r>
              <w:rPr>
                <w:rFonts w:ascii="Arial"/>
                <w:sz w:val="18"/>
              </w:rPr>
              <w:t>and whose blood pressure was adequately controlled</w:t>
            </w:r>
          </w:p>
        </w:tc>
        <w:tc>
          <w:tcPr>
            <w:tcW w:w="900" w:type="dxa"/>
          </w:tcPr>
          <w:p>
            <w:pPr>
              <w:pStyle w:val="TableParagraph"/>
              <w:spacing w:before="7"/>
              <w:rPr>
                <w:i/>
                <w:sz w:val="17"/>
              </w:rPr>
            </w:pPr>
          </w:p>
          <w:p>
            <w:pPr>
              <w:pStyle w:val="TableParagraph"/>
              <w:ind w:left="154" w:right="135"/>
              <w:jc w:val="center"/>
              <w:rPr>
                <w:rFonts w:ascii="Arial"/>
                <w:sz w:val="18"/>
              </w:rPr>
            </w:pPr>
            <w:r>
              <w:rPr>
                <w:rFonts w:ascii="Arial"/>
                <w:spacing w:val="-2"/>
                <w:sz w:val="18"/>
              </w:rPr>
              <w:t>Hybrid</w:t>
            </w:r>
          </w:p>
        </w:tc>
        <w:tc>
          <w:tcPr>
            <w:tcW w:w="629" w:type="dxa"/>
          </w:tcPr>
          <w:p>
            <w:pPr>
              <w:pStyle w:val="TableParagraph"/>
              <w:spacing w:before="7"/>
              <w:rPr>
                <w:i/>
                <w:sz w:val="17"/>
              </w:rPr>
            </w:pPr>
          </w:p>
          <w:p>
            <w:pPr>
              <w:pStyle w:val="TableParagraph"/>
              <w:ind w:left="126" w:right="106"/>
              <w:jc w:val="center"/>
              <w:rPr>
                <w:rFonts w:ascii="Arial"/>
                <w:sz w:val="18"/>
              </w:rPr>
            </w:pPr>
            <w:r>
              <w:rPr>
                <w:rFonts w:ascii="Arial"/>
                <w:spacing w:val="-5"/>
                <w:sz w:val="18"/>
              </w:rPr>
              <w:t>P4R</w:t>
            </w:r>
          </w:p>
        </w:tc>
        <w:tc>
          <w:tcPr>
            <w:tcW w:w="919" w:type="dxa"/>
          </w:tcPr>
          <w:p>
            <w:pPr>
              <w:pStyle w:val="TableParagraph"/>
              <w:spacing w:before="7"/>
              <w:rPr>
                <w:i/>
                <w:sz w:val="17"/>
              </w:rPr>
            </w:pPr>
          </w:p>
          <w:p>
            <w:pPr>
              <w:pStyle w:val="TableParagraph"/>
              <w:ind w:left="22"/>
              <w:jc w:val="center"/>
              <w:rPr>
                <w:rFonts w:ascii="Arial"/>
                <w:sz w:val="18"/>
              </w:rPr>
            </w:pPr>
            <w:r>
              <w:rPr>
                <w:rFonts w:ascii="Arial"/>
                <w:sz w:val="18"/>
              </w:rPr>
              <w:t>R</w:t>
            </w:r>
          </w:p>
        </w:tc>
        <w:tc>
          <w:tcPr>
            <w:tcW w:w="1185" w:type="dxa"/>
          </w:tcPr>
          <w:p>
            <w:pPr>
              <w:pStyle w:val="TableParagraph"/>
              <w:spacing w:before="7"/>
              <w:rPr>
                <w:i/>
                <w:sz w:val="17"/>
              </w:rPr>
            </w:pPr>
          </w:p>
          <w:p>
            <w:pPr>
              <w:pStyle w:val="TableParagraph"/>
              <w:ind w:left="211" w:right="186"/>
              <w:jc w:val="center"/>
              <w:rPr>
                <w:rFonts w:ascii="Arial"/>
                <w:sz w:val="18"/>
              </w:rPr>
            </w:pPr>
            <w:r>
              <w:rPr>
                <w:rFonts w:ascii="Arial"/>
                <w:sz w:val="18"/>
              </w:rPr>
              <w:t>P </w:t>
            </w:r>
            <w:r>
              <w:rPr>
                <w:rFonts w:ascii="Arial"/>
                <w:spacing w:val="-2"/>
                <w:sz w:val="18"/>
              </w:rPr>
              <w:t>(19/20)</w:t>
            </w:r>
          </w:p>
        </w:tc>
        <w:tc>
          <w:tcPr>
            <w:tcW w:w="631" w:type="dxa"/>
          </w:tcPr>
          <w:p>
            <w:pPr>
              <w:pStyle w:val="TableParagraph"/>
              <w:spacing w:before="7"/>
              <w:rPr>
                <w:i/>
                <w:sz w:val="17"/>
              </w:rPr>
            </w:pPr>
          </w:p>
          <w:p>
            <w:pPr>
              <w:pStyle w:val="TableParagraph"/>
              <w:ind w:left="19"/>
              <w:jc w:val="center"/>
              <w:rPr>
                <w:rFonts w:ascii="Arial"/>
                <w:sz w:val="18"/>
              </w:rPr>
            </w:pPr>
            <w:r>
              <w:rPr>
                <w:rFonts w:ascii="Arial"/>
                <w:sz w:val="18"/>
              </w:rPr>
              <w:t>P</w:t>
            </w:r>
          </w:p>
        </w:tc>
        <w:tc>
          <w:tcPr>
            <w:tcW w:w="720" w:type="dxa"/>
          </w:tcPr>
          <w:p>
            <w:pPr>
              <w:pStyle w:val="TableParagraph"/>
              <w:spacing w:before="7"/>
              <w:rPr>
                <w:i/>
                <w:sz w:val="17"/>
              </w:rPr>
            </w:pPr>
          </w:p>
          <w:p>
            <w:pPr>
              <w:pStyle w:val="TableParagraph"/>
              <w:ind w:left="22"/>
              <w:jc w:val="center"/>
              <w:rPr>
                <w:rFonts w:ascii="Arial"/>
                <w:sz w:val="18"/>
              </w:rPr>
            </w:pPr>
            <w:r>
              <w:rPr>
                <w:rFonts w:ascii="Arial"/>
                <w:sz w:val="18"/>
              </w:rPr>
              <w:t>P</w:t>
            </w:r>
          </w:p>
        </w:tc>
      </w:tr>
      <w:tr>
        <w:trPr>
          <w:trHeight w:val="627" w:hRule="atLeast"/>
        </w:trPr>
        <w:tc>
          <w:tcPr>
            <w:tcW w:w="1128" w:type="dxa"/>
          </w:tcPr>
          <w:p>
            <w:pPr>
              <w:pStyle w:val="TableParagraph"/>
              <w:spacing w:before="4"/>
              <w:rPr>
                <w:i/>
                <w:sz w:val="17"/>
              </w:rPr>
            </w:pPr>
          </w:p>
          <w:p>
            <w:pPr>
              <w:pStyle w:val="TableParagraph"/>
              <w:spacing w:before="1"/>
              <w:ind w:left="18"/>
              <w:jc w:val="center"/>
              <w:rPr>
                <w:rFonts w:ascii="Arial"/>
                <w:sz w:val="18"/>
              </w:rPr>
            </w:pPr>
            <w:r>
              <w:rPr>
                <w:rFonts w:ascii="Arial"/>
                <w:sz w:val="18"/>
              </w:rPr>
              <w:t>5</w:t>
            </w:r>
          </w:p>
        </w:tc>
        <w:tc>
          <w:tcPr>
            <w:tcW w:w="2726" w:type="dxa"/>
          </w:tcPr>
          <w:p>
            <w:pPr>
              <w:pStyle w:val="TableParagraph"/>
              <w:spacing w:line="259" w:lineRule="auto" w:before="90"/>
              <w:ind w:left="678" w:hanging="572"/>
              <w:rPr>
                <w:rFonts w:ascii="Arial"/>
                <w:sz w:val="18"/>
              </w:rPr>
            </w:pPr>
            <w:r>
              <w:rPr>
                <w:rFonts w:ascii="Arial"/>
                <w:sz w:val="18"/>
              </w:rPr>
              <w:t>Comprehensive</w:t>
            </w:r>
            <w:r>
              <w:rPr>
                <w:rFonts w:ascii="Arial"/>
                <w:spacing w:val="-15"/>
                <w:sz w:val="18"/>
              </w:rPr>
              <w:t> </w:t>
            </w:r>
            <w:r>
              <w:rPr>
                <w:rFonts w:ascii="Arial"/>
                <w:sz w:val="18"/>
              </w:rPr>
              <w:t>Diabetes</w:t>
            </w:r>
            <w:r>
              <w:rPr>
                <w:rFonts w:ascii="Arial"/>
                <w:spacing w:val="-12"/>
                <w:sz w:val="18"/>
              </w:rPr>
              <w:t> </w:t>
            </w:r>
            <w:r>
              <w:rPr>
                <w:rFonts w:ascii="Arial"/>
                <w:sz w:val="18"/>
              </w:rPr>
              <w:t>Care: A1c Poor Control</w:t>
            </w:r>
          </w:p>
        </w:tc>
        <w:tc>
          <w:tcPr>
            <w:tcW w:w="5719" w:type="dxa"/>
          </w:tcPr>
          <w:p>
            <w:pPr>
              <w:pStyle w:val="TableParagraph"/>
              <w:spacing w:line="259" w:lineRule="auto" w:before="90"/>
              <w:ind w:left="444" w:right="96" w:hanging="250"/>
              <w:rPr>
                <w:rFonts w:ascii="Arial"/>
                <w:sz w:val="18"/>
              </w:rPr>
            </w:pPr>
            <w:r>
              <w:rPr>
                <w:rFonts w:ascii="Arial"/>
                <w:sz w:val="18"/>
              </w:rPr>
              <w:t>Percentage</w:t>
            </w:r>
            <w:r>
              <w:rPr>
                <w:rFonts w:ascii="Arial"/>
                <w:spacing w:val="-5"/>
                <w:sz w:val="18"/>
              </w:rPr>
              <w:t> </w:t>
            </w:r>
            <w:r>
              <w:rPr>
                <w:rFonts w:ascii="Arial"/>
                <w:sz w:val="18"/>
              </w:rPr>
              <w:t>of</w:t>
            </w:r>
            <w:r>
              <w:rPr>
                <w:rFonts w:ascii="Arial"/>
                <w:spacing w:val="-5"/>
                <w:sz w:val="18"/>
              </w:rPr>
              <w:t> </w:t>
            </w:r>
            <w:r>
              <w:rPr>
                <w:rFonts w:ascii="Arial"/>
                <w:sz w:val="18"/>
              </w:rPr>
              <w:t>members</w:t>
            </w:r>
            <w:r>
              <w:rPr>
                <w:rFonts w:ascii="Arial"/>
                <w:spacing w:val="-2"/>
                <w:sz w:val="18"/>
              </w:rPr>
              <w:t> </w:t>
            </w:r>
            <w:r>
              <w:rPr>
                <w:rFonts w:ascii="Arial"/>
                <w:sz w:val="18"/>
              </w:rPr>
              <w:t>18</w:t>
            </w:r>
            <w:r>
              <w:rPr>
                <w:rFonts w:ascii="Arial"/>
                <w:spacing w:val="-5"/>
                <w:sz w:val="18"/>
              </w:rPr>
              <w:t> </w:t>
            </w:r>
            <w:r>
              <w:rPr>
                <w:rFonts w:ascii="Arial"/>
                <w:sz w:val="18"/>
              </w:rPr>
              <w:t>to</w:t>
            </w:r>
            <w:r>
              <w:rPr>
                <w:rFonts w:ascii="Arial"/>
                <w:spacing w:val="-5"/>
                <w:sz w:val="18"/>
              </w:rPr>
              <w:t> </w:t>
            </w:r>
            <w:r>
              <w:rPr>
                <w:rFonts w:ascii="Arial"/>
                <w:sz w:val="18"/>
              </w:rPr>
              <w:t>64</w:t>
            </w:r>
            <w:r>
              <w:rPr>
                <w:rFonts w:ascii="Arial"/>
                <w:spacing w:val="-2"/>
                <w:sz w:val="18"/>
              </w:rPr>
              <w:t> </w:t>
            </w:r>
            <w:r>
              <w:rPr>
                <w:rFonts w:ascii="Arial"/>
                <w:sz w:val="18"/>
              </w:rPr>
              <w:t>years</w:t>
            </w:r>
            <w:r>
              <w:rPr>
                <w:rFonts w:ascii="Arial"/>
                <w:spacing w:val="-4"/>
                <w:sz w:val="18"/>
              </w:rPr>
              <w:t> </w:t>
            </w:r>
            <w:r>
              <w:rPr>
                <w:rFonts w:ascii="Arial"/>
                <w:sz w:val="18"/>
              </w:rPr>
              <w:t>of</w:t>
            </w:r>
            <w:r>
              <w:rPr>
                <w:rFonts w:ascii="Arial"/>
                <w:spacing w:val="-3"/>
                <w:sz w:val="18"/>
              </w:rPr>
              <w:t> </w:t>
            </w:r>
            <w:r>
              <w:rPr>
                <w:rFonts w:ascii="Arial"/>
                <w:sz w:val="18"/>
              </w:rPr>
              <w:t>age</w:t>
            </w:r>
            <w:r>
              <w:rPr>
                <w:rFonts w:ascii="Arial"/>
                <w:spacing w:val="-2"/>
                <w:sz w:val="18"/>
              </w:rPr>
              <w:t> </w:t>
            </w:r>
            <w:r>
              <w:rPr>
                <w:rFonts w:ascii="Arial"/>
                <w:sz w:val="18"/>
              </w:rPr>
              <w:t>with</w:t>
            </w:r>
            <w:r>
              <w:rPr>
                <w:rFonts w:ascii="Arial"/>
                <w:spacing w:val="-2"/>
                <w:sz w:val="18"/>
              </w:rPr>
              <w:t> </w:t>
            </w:r>
            <w:r>
              <w:rPr>
                <w:rFonts w:ascii="Arial"/>
                <w:sz w:val="18"/>
              </w:rPr>
              <w:t>diabetes</w:t>
            </w:r>
            <w:r>
              <w:rPr>
                <w:rFonts w:ascii="Arial"/>
                <w:spacing w:val="-4"/>
                <w:sz w:val="18"/>
              </w:rPr>
              <w:t> </w:t>
            </w:r>
            <w:r>
              <w:rPr>
                <w:rFonts w:ascii="Arial"/>
                <w:sz w:val="18"/>
              </w:rPr>
              <w:t>whose most recent HbA1c level demonstrated poor control (&gt; 9.0%)</w:t>
            </w:r>
          </w:p>
        </w:tc>
        <w:tc>
          <w:tcPr>
            <w:tcW w:w="900" w:type="dxa"/>
          </w:tcPr>
          <w:p>
            <w:pPr>
              <w:pStyle w:val="TableParagraph"/>
              <w:spacing w:before="4"/>
              <w:rPr>
                <w:i/>
                <w:sz w:val="17"/>
              </w:rPr>
            </w:pPr>
          </w:p>
          <w:p>
            <w:pPr>
              <w:pStyle w:val="TableParagraph"/>
              <w:spacing w:before="1"/>
              <w:ind w:left="154" w:right="135"/>
              <w:jc w:val="center"/>
              <w:rPr>
                <w:rFonts w:ascii="Arial"/>
                <w:sz w:val="18"/>
              </w:rPr>
            </w:pPr>
            <w:r>
              <w:rPr>
                <w:rFonts w:ascii="Arial"/>
                <w:spacing w:val="-2"/>
                <w:sz w:val="18"/>
              </w:rPr>
              <w:t>Hybrid</w:t>
            </w:r>
          </w:p>
        </w:tc>
        <w:tc>
          <w:tcPr>
            <w:tcW w:w="629" w:type="dxa"/>
          </w:tcPr>
          <w:p>
            <w:pPr>
              <w:pStyle w:val="TableParagraph"/>
              <w:spacing w:before="4"/>
              <w:rPr>
                <w:i/>
                <w:sz w:val="17"/>
              </w:rPr>
            </w:pPr>
          </w:p>
          <w:p>
            <w:pPr>
              <w:pStyle w:val="TableParagraph"/>
              <w:spacing w:before="1"/>
              <w:ind w:left="126" w:right="106"/>
              <w:jc w:val="center"/>
              <w:rPr>
                <w:rFonts w:ascii="Arial"/>
                <w:sz w:val="18"/>
              </w:rPr>
            </w:pPr>
            <w:r>
              <w:rPr>
                <w:rFonts w:ascii="Arial"/>
                <w:spacing w:val="-5"/>
                <w:sz w:val="18"/>
              </w:rPr>
              <w:t>P4R</w:t>
            </w:r>
          </w:p>
        </w:tc>
        <w:tc>
          <w:tcPr>
            <w:tcW w:w="919" w:type="dxa"/>
          </w:tcPr>
          <w:p>
            <w:pPr>
              <w:pStyle w:val="TableParagraph"/>
              <w:spacing w:before="4"/>
              <w:rPr>
                <w:i/>
                <w:sz w:val="17"/>
              </w:rPr>
            </w:pPr>
          </w:p>
          <w:p>
            <w:pPr>
              <w:pStyle w:val="TableParagraph"/>
              <w:spacing w:before="1"/>
              <w:ind w:left="22"/>
              <w:jc w:val="center"/>
              <w:rPr>
                <w:rFonts w:ascii="Arial"/>
                <w:sz w:val="18"/>
              </w:rPr>
            </w:pPr>
            <w:r>
              <w:rPr>
                <w:rFonts w:ascii="Arial"/>
                <w:sz w:val="18"/>
              </w:rPr>
              <w:t>P</w:t>
            </w:r>
          </w:p>
        </w:tc>
        <w:tc>
          <w:tcPr>
            <w:tcW w:w="1185" w:type="dxa"/>
          </w:tcPr>
          <w:p>
            <w:pPr>
              <w:pStyle w:val="TableParagraph"/>
              <w:spacing w:before="4"/>
              <w:rPr>
                <w:i/>
                <w:sz w:val="17"/>
              </w:rPr>
            </w:pPr>
          </w:p>
          <w:p>
            <w:pPr>
              <w:pStyle w:val="TableParagraph"/>
              <w:spacing w:before="1"/>
              <w:ind w:left="211" w:right="186"/>
              <w:jc w:val="center"/>
              <w:rPr>
                <w:rFonts w:ascii="Arial"/>
                <w:sz w:val="18"/>
              </w:rPr>
            </w:pPr>
            <w:r>
              <w:rPr>
                <w:rFonts w:ascii="Arial"/>
                <w:sz w:val="18"/>
              </w:rPr>
              <w:t>P </w:t>
            </w:r>
            <w:r>
              <w:rPr>
                <w:rFonts w:ascii="Arial"/>
                <w:spacing w:val="-2"/>
                <w:sz w:val="18"/>
              </w:rPr>
              <w:t>(19/20)</w:t>
            </w:r>
          </w:p>
        </w:tc>
        <w:tc>
          <w:tcPr>
            <w:tcW w:w="631" w:type="dxa"/>
          </w:tcPr>
          <w:p>
            <w:pPr>
              <w:pStyle w:val="TableParagraph"/>
              <w:spacing w:before="4"/>
              <w:rPr>
                <w:i/>
                <w:sz w:val="17"/>
              </w:rPr>
            </w:pPr>
          </w:p>
          <w:p>
            <w:pPr>
              <w:pStyle w:val="TableParagraph"/>
              <w:spacing w:before="1"/>
              <w:ind w:left="19"/>
              <w:jc w:val="center"/>
              <w:rPr>
                <w:rFonts w:ascii="Arial"/>
                <w:sz w:val="18"/>
              </w:rPr>
            </w:pPr>
            <w:r>
              <w:rPr>
                <w:rFonts w:ascii="Arial"/>
                <w:sz w:val="18"/>
              </w:rPr>
              <w:t>P</w:t>
            </w:r>
          </w:p>
        </w:tc>
        <w:tc>
          <w:tcPr>
            <w:tcW w:w="720" w:type="dxa"/>
          </w:tcPr>
          <w:p>
            <w:pPr>
              <w:pStyle w:val="TableParagraph"/>
              <w:spacing w:before="4"/>
              <w:rPr>
                <w:i/>
                <w:sz w:val="17"/>
              </w:rPr>
            </w:pPr>
          </w:p>
          <w:p>
            <w:pPr>
              <w:pStyle w:val="TableParagraph"/>
              <w:spacing w:before="1"/>
              <w:ind w:left="22"/>
              <w:jc w:val="center"/>
              <w:rPr>
                <w:rFonts w:ascii="Arial"/>
                <w:sz w:val="18"/>
              </w:rPr>
            </w:pPr>
            <w:r>
              <w:rPr>
                <w:rFonts w:ascii="Arial"/>
                <w:sz w:val="18"/>
              </w:rPr>
              <w:t>P</w:t>
            </w:r>
          </w:p>
        </w:tc>
      </w:tr>
      <w:tr>
        <w:trPr>
          <w:trHeight w:val="671" w:hRule="atLeast"/>
        </w:trPr>
        <w:tc>
          <w:tcPr>
            <w:tcW w:w="1128" w:type="dxa"/>
          </w:tcPr>
          <w:p>
            <w:pPr>
              <w:pStyle w:val="TableParagraph"/>
              <w:spacing w:before="3"/>
              <w:rPr>
                <w:i/>
                <w:sz w:val="19"/>
              </w:rPr>
            </w:pPr>
          </w:p>
          <w:p>
            <w:pPr>
              <w:pStyle w:val="TableParagraph"/>
              <w:ind w:left="18"/>
              <w:jc w:val="center"/>
              <w:rPr>
                <w:rFonts w:ascii="Arial"/>
                <w:sz w:val="18"/>
              </w:rPr>
            </w:pPr>
            <w:r>
              <w:rPr>
                <w:rFonts w:ascii="Arial"/>
                <w:sz w:val="18"/>
              </w:rPr>
              <w:t>6</w:t>
            </w:r>
          </w:p>
        </w:tc>
        <w:tc>
          <w:tcPr>
            <w:tcW w:w="2726" w:type="dxa"/>
          </w:tcPr>
          <w:p>
            <w:pPr>
              <w:pStyle w:val="TableParagraph"/>
              <w:spacing w:before="3"/>
              <w:rPr>
                <w:i/>
                <w:sz w:val="19"/>
              </w:rPr>
            </w:pPr>
          </w:p>
          <w:p>
            <w:pPr>
              <w:pStyle w:val="TableParagraph"/>
              <w:ind w:left="108" w:right="87"/>
              <w:jc w:val="center"/>
              <w:rPr>
                <w:rFonts w:ascii="Arial"/>
                <w:sz w:val="18"/>
              </w:rPr>
            </w:pPr>
            <w:r>
              <w:rPr>
                <w:rFonts w:ascii="Arial"/>
                <w:sz w:val="18"/>
              </w:rPr>
              <w:t>Asthma</w:t>
            </w:r>
            <w:r>
              <w:rPr>
                <w:rFonts w:ascii="Arial"/>
                <w:spacing w:val="-5"/>
                <w:sz w:val="18"/>
              </w:rPr>
              <w:t> </w:t>
            </w:r>
            <w:r>
              <w:rPr>
                <w:rFonts w:ascii="Arial"/>
                <w:sz w:val="18"/>
              </w:rPr>
              <w:t>Medication</w:t>
            </w:r>
            <w:r>
              <w:rPr>
                <w:rFonts w:ascii="Arial"/>
                <w:spacing w:val="-2"/>
                <w:sz w:val="18"/>
              </w:rPr>
              <w:t> </w:t>
            </w:r>
            <w:r>
              <w:rPr>
                <w:rFonts w:ascii="Arial"/>
                <w:spacing w:val="-4"/>
                <w:sz w:val="18"/>
              </w:rPr>
              <w:t>Ratio</w:t>
            </w:r>
          </w:p>
        </w:tc>
        <w:tc>
          <w:tcPr>
            <w:tcW w:w="5719" w:type="dxa"/>
          </w:tcPr>
          <w:p>
            <w:pPr>
              <w:pStyle w:val="TableParagraph"/>
              <w:spacing w:line="259" w:lineRule="auto"/>
              <w:ind w:left="134" w:right="105" w:hanging="5"/>
              <w:jc w:val="center"/>
              <w:rPr>
                <w:rFonts w:ascii="Arial"/>
                <w:sz w:val="18"/>
              </w:rPr>
            </w:pPr>
            <w:r>
              <w:rPr>
                <w:rFonts w:ascii="Arial"/>
                <w:sz w:val="18"/>
              </w:rPr>
              <w:t>Percentage of members 5 to 64 years of age who were identified as having</w:t>
            </w:r>
            <w:r>
              <w:rPr>
                <w:rFonts w:ascii="Arial"/>
                <w:spacing w:val="-2"/>
                <w:sz w:val="18"/>
              </w:rPr>
              <w:t> </w:t>
            </w:r>
            <w:r>
              <w:rPr>
                <w:rFonts w:ascii="Arial"/>
                <w:sz w:val="18"/>
              </w:rPr>
              <w:t>persistent</w:t>
            </w:r>
            <w:r>
              <w:rPr>
                <w:rFonts w:ascii="Arial"/>
                <w:spacing w:val="-2"/>
                <w:sz w:val="18"/>
              </w:rPr>
              <w:t> </w:t>
            </w:r>
            <w:r>
              <w:rPr>
                <w:rFonts w:ascii="Arial"/>
                <w:sz w:val="18"/>
              </w:rPr>
              <w:t>asthma</w:t>
            </w:r>
            <w:r>
              <w:rPr>
                <w:rFonts w:ascii="Arial"/>
                <w:spacing w:val="-4"/>
                <w:sz w:val="18"/>
              </w:rPr>
              <w:t> </w:t>
            </w:r>
            <w:r>
              <w:rPr>
                <w:rFonts w:ascii="Arial"/>
                <w:sz w:val="18"/>
              </w:rPr>
              <w:t>and</w:t>
            </w:r>
            <w:r>
              <w:rPr>
                <w:rFonts w:ascii="Arial"/>
                <w:spacing w:val="-4"/>
                <w:sz w:val="18"/>
              </w:rPr>
              <w:t> </w:t>
            </w:r>
            <w:r>
              <w:rPr>
                <w:rFonts w:ascii="Arial"/>
                <w:sz w:val="18"/>
              </w:rPr>
              <w:t>had</w:t>
            </w:r>
            <w:r>
              <w:rPr>
                <w:rFonts w:ascii="Arial"/>
                <w:spacing w:val="-1"/>
                <w:sz w:val="18"/>
              </w:rPr>
              <w:t> </w:t>
            </w:r>
            <w:r>
              <w:rPr>
                <w:rFonts w:ascii="Arial"/>
                <w:sz w:val="18"/>
              </w:rPr>
              <w:t>a</w:t>
            </w:r>
            <w:r>
              <w:rPr>
                <w:rFonts w:ascii="Arial"/>
                <w:spacing w:val="-2"/>
                <w:sz w:val="18"/>
              </w:rPr>
              <w:t> </w:t>
            </w:r>
            <w:r>
              <w:rPr>
                <w:rFonts w:ascii="Arial"/>
                <w:sz w:val="18"/>
              </w:rPr>
              <w:t>ratio</w:t>
            </w:r>
            <w:r>
              <w:rPr>
                <w:rFonts w:ascii="Arial"/>
                <w:spacing w:val="-1"/>
                <w:sz w:val="18"/>
              </w:rPr>
              <w:t> </w:t>
            </w:r>
            <w:r>
              <w:rPr>
                <w:rFonts w:ascii="Arial"/>
                <w:sz w:val="18"/>
              </w:rPr>
              <w:t>of</w:t>
            </w:r>
            <w:r>
              <w:rPr>
                <w:rFonts w:ascii="Arial"/>
                <w:spacing w:val="-4"/>
                <w:sz w:val="18"/>
              </w:rPr>
              <w:t> </w:t>
            </w:r>
            <w:r>
              <w:rPr>
                <w:rFonts w:ascii="Arial"/>
                <w:sz w:val="18"/>
              </w:rPr>
              <w:t>controller</w:t>
            </w:r>
            <w:r>
              <w:rPr>
                <w:rFonts w:ascii="Arial"/>
                <w:spacing w:val="-4"/>
                <w:sz w:val="18"/>
              </w:rPr>
              <w:t> </w:t>
            </w:r>
            <w:r>
              <w:rPr>
                <w:rFonts w:ascii="Arial"/>
                <w:sz w:val="18"/>
              </w:rPr>
              <w:t>medications</w:t>
            </w:r>
            <w:r>
              <w:rPr>
                <w:rFonts w:ascii="Arial"/>
                <w:spacing w:val="-1"/>
                <w:sz w:val="18"/>
              </w:rPr>
              <w:t> </w:t>
            </w:r>
            <w:r>
              <w:rPr>
                <w:rFonts w:ascii="Arial"/>
                <w:spacing w:val="-5"/>
                <w:sz w:val="18"/>
              </w:rPr>
              <w:t>to</w:t>
            </w:r>
          </w:p>
          <w:p>
            <w:pPr>
              <w:pStyle w:val="TableParagraph"/>
              <w:spacing w:line="204" w:lineRule="exact"/>
              <w:ind w:left="136" w:right="108"/>
              <w:jc w:val="center"/>
              <w:rPr>
                <w:rFonts w:ascii="Arial"/>
                <w:sz w:val="18"/>
              </w:rPr>
            </w:pPr>
            <w:r>
              <w:rPr>
                <w:rFonts w:ascii="Arial"/>
                <w:sz w:val="18"/>
              </w:rPr>
              <w:t>total</w:t>
            </w:r>
            <w:r>
              <w:rPr>
                <w:rFonts w:ascii="Arial"/>
                <w:spacing w:val="-4"/>
                <w:sz w:val="18"/>
              </w:rPr>
              <w:t> </w:t>
            </w:r>
            <w:r>
              <w:rPr>
                <w:rFonts w:ascii="Arial"/>
                <w:sz w:val="18"/>
              </w:rPr>
              <w:t>asthma</w:t>
            </w:r>
            <w:r>
              <w:rPr>
                <w:rFonts w:ascii="Arial"/>
                <w:spacing w:val="-3"/>
                <w:sz w:val="18"/>
              </w:rPr>
              <w:t> </w:t>
            </w:r>
            <w:r>
              <w:rPr>
                <w:rFonts w:ascii="Arial"/>
                <w:sz w:val="18"/>
              </w:rPr>
              <w:t>medications</w:t>
            </w:r>
            <w:r>
              <w:rPr>
                <w:rFonts w:ascii="Arial"/>
                <w:spacing w:val="-2"/>
                <w:sz w:val="18"/>
              </w:rPr>
              <w:t> </w:t>
            </w:r>
            <w:r>
              <w:rPr>
                <w:rFonts w:ascii="Arial"/>
                <w:sz w:val="18"/>
              </w:rPr>
              <w:t>of</w:t>
            </w:r>
            <w:r>
              <w:rPr>
                <w:rFonts w:ascii="Arial"/>
                <w:spacing w:val="-2"/>
                <w:sz w:val="18"/>
              </w:rPr>
              <w:t> </w:t>
            </w:r>
            <w:r>
              <w:rPr>
                <w:rFonts w:ascii="Arial"/>
                <w:sz w:val="18"/>
              </w:rPr>
              <w:t>0.50 or</w:t>
            </w:r>
            <w:r>
              <w:rPr>
                <w:rFonts w:ascii="Arial"/>
                <w:spacing w:val="-1"/>
                <w:sz w:val="18"/>
              </w:rPr>
              <w:t> </w:t>
            </w:r>
            <w:r>
              <w:rPr>
                <w:rFonts w:ascii="Arial"/>
                <w:spacing w:val="-2"/>
                <w:sz w:val="18"/>
              </w:rPr>
              <w:t>greater</w:t>
            </w:r>
          </w:p>
        </w:tc>
        <w:tc>
          <w:tcPr>
            <w:tcW w:w="900" w:type="dxa"/>
          </w:tcPr>
          <w:p>
            <w:pPr>
              <w:pStyle w:val="TableParagraph"/>
              <w:spacing w:before="3"/>
              <w:rPr>
                <w:i/>
                <w:sz w:val="19"/>
              </w:rPr>
            </w:pPr>
          </w:p>
          <w:p>
            <w:pPr>
              <w:pStyle w:val="TableParagraph"/>
              <w:ind w:left="156" w:right="134"/>
              <w:jc w:val="center"/>
              <w:rPr>
                <w:rFonts w:ascii="Arial"/>
                <w:sz w:val="18"/>
              </w:rPr>
            </w:pPr>
            <w:r>
              <w:rPr>
                <w:rFonts w:ascii="Arial"/>
                <w:spacing w:val="-4"/>
                <w:sz w:val="18"/>
              </w:rPr>
              <w:t>Admin</w:t>
            </w:r>
          </w:p>
        </w:tc>
        <w:tc>
          <w:tcPr>
            <w:tcW w:w="629" w:type="dxa"/>
          </w:tcPr>
          <w:p>
            <w:pPr>
              <w:pStyle w:val="TableParagraph"/>
              <w:spacing w:before="3"/>
              <w:rPr>
                <w:i/>
                <w:sz w:val="19"/>
              </w:rPr>
            </w:pPr>
          </w:p>
          <w:p>
            <w:pPr>
              <w:pStyle w:val="TableParagraph"/>
              <w:ind w:left="20"/>
              <w:jc w:val="center"/>
              <w:rPr>
                <w:rFonts w:ascii="Arial"/>
                <w:sz w:val="18"/>
              </w:rPr>
            </w:pPr>
            <w:r>
              <w:rPr>
                <w:rFonts w:ascii="Arial"/>
                <w:sz w:val="18"/>
              </w:rPr>
              <w:t>R</w:t>
            </w:r>
          </w:p>
        </w:tc>
        <w:tc>
          <w:tcPr>
            <w:tcW w:w="919" w:type="dxa"/>
          </w:tcPr>
          <w:p>
            <w:pPr>
              <w:pStyle w:val="TableParagraph"/>
              <w:spacing w:before="3"/>
              <w:rPr>
                <w:i/>
                <w:sz w:val="19"/>
              </w:rPr>
            </w:pPr>
          </w:p>
          <w:p>
            <w:pPr>
              <w:pStyle w:val="TableParagraph"/>
              <w:ind w:left="22"/>
              <w:jc w:val="center"/>
              <w:rPr>
                <w:rFonts w:ascii="Arial"/>
                <w:sz w:val="18"/>
              </w:rPr>
            </w:pPr>
            <w:r>
              <w:rPr>
                <w:rFonts w:ascii="Arial"/>
                <w:sz w:val="18"/>
              </w:rPr>
              <w:t>P</w:t>
            </w:r>
          </w:p>
        </w:tc>
        <w:tc>
          <w:tcPr>
            <w:tcW w:w="1185" w:type="dxa"/>
          </w:tcPr>
          <w:p>
            <w:pPr>
              <w:pStyle w:val="TableParagraph"/>
              <w:spacing w:before="3"/>
              <w:rPr>
                <w:i/>
                <w:sz w:val="19"/>
              </w:rPr>
            </w:pPr>
          </w:p>
          <w:p>
            <w:pPr>
              <w:pStyle w:val="TableParagraph"/>
              <w:ind w:left="211" w:right="186"/>
              <w:jc w:val="center"/>
              <w:rPr>
                <w:rFonts w:ascii="Arial"/>
                <w:sz w:val="18"/>
              </w:rPr>
            </w:pPr>
            <w:r>
              <w:rPr>
                <w:rFonts w:ascii="Arial"/>
                <w:sz w:val="18"/>
              </w:rPr>
              <w:t>P </w:t>
            </w:r>
            <w:r>
              <w:rPr>
                <w:rFonts w:ascii="Arial"/>
                <w:spacing w:val="-2"/>
                <w:sz w:val="18"/>
              </w:rPr>
              <w:t>(19/20)</w:t>
            </w:r>
          </w:p>
        </w:tc>
        <w:tc>
          <w:tcPr>
            <w:tcW w:w="631" w:type="dxa"/>
          </w:tcPr>
          <w:p>
            <w:pPr>
              <w:pStyle w:val="TableParagraph"/>
              <w:spacing w:before="3"/>
              <w:rPr>
                <w:i/>
                <w:sz w:val="19"/>
              </w:rPr>
            </w:pPr>
          </w:p>
          <w:p>
            <w:pPr>
              <w:pStyle w:val="TableParagraph"/>
              <w:ind w:left="19"/>
              <w:jc w:val="center"/>
              <w:rPr>
                <w:rFonts w:ascii="Arial"/>
                <w:sz w:val="18"/>
              </w:rPr>
            </w:pPr>
            <w:r>
              <w:rPr>
                <w:rFonts w:ascii="Arial"/>
                <w:sz w:val="18"/>
              </w:rPr>
              <w:t>P</w:t>
            </w:r>
          </w:p>
        </w:tc>
        <w:tc>
          <w:tcPr>
            <w:tcW w:w="720" w:type="dxa"/>
          </w:tcPr>
          <w:p>
            <w:pPr>
              <w:pStyle w:val="TableParagraph"/>
              <w:spacing w:before="3"/>
              <w:rPr>
                <w:i/>
                <w:sz w:val="19"/>
              </w:rPr>
            </w:pPr>
          </w:p>
          <w:p>
            <w:pPr>
              <w:pStyle w:val="TableParagraph"/>
              <w:ind w:left="22"/>
              <w:jc w:val="center"/>
              <w:rPr>
                <w:rFonts w:ascii="Arial"/>
                <w:sz w:val="18"/>
              </w:rPr>
            </w:pPr>
            <w:r>
              <w:rPr>
                <w:rFonts w:ascii="Arial"/>
                <w:sz w:val="18"/>
              </w:rPr>
              <w:t>P</w:t>
            </w:r>
          </w:p>
        </w:tc>
      </w:tr>
      <w:tr>
        <w:trPr>
          <w:trHeight w:val="668" w:hRule="atLeast"/>
        </w:trPr>
        <w:tc>
          <w:tcPr>
            <w:tcW w:w="1128" w:type="dxa"/>
          </w:tcPr>
          <w:p>
            <w:pPr>
              <w:pStyle w:val="TableParagraph"/>
              <w:spacing w:before="3"/>
              <w:rPr>
                <w:i/>
                <w:sz w:val="19"/>
              </w:rPr>
            </w:pPr>
          </w:p>
          <w:p>
            <w:pPr>
              <w:pStyle w:val="TableParagraph"/>
              <w:ind w:left="18"/>
              <w:jc w:val="center"/>
              <w:rPr>
                <w:rFonts w:ascii="Arial"/>
                <w:sz w:val="18"/>
              </w:rPr>
            </w:pPr>
            <w:r>
              <w:rPr>
                <w:rFonts w:ascii="Arial"/>
                <w:sz w:val="18"/>
              </w:rPr>
              <w:t>7</w:t>
            </w:r>
          </w:p>
        </w:tc>
        <w:tc>
          <w:tcPr>
            <w:tcW w:w="2726" w:type="dxa"/>
          </w:tcPr>
          <w:p>
            <w:pPr>
              <w:pStyle w:val="TableParagraph"/>
              <w:spacing w:line="259" w:lineRule="auto"/>
              <w:ind w:left="210" w:right="189" w:firstLine="3"/>
              <w:jc w:val="center"/>
              <w:rPr>
                <w:rFonts w:ascii="Arial"/>
                <w:sz w:val="18"/>
              </w:rPr>
            </w:pPr>
            <w:r>
              <w:rPr>
                <w:rFonts w:ascii="Arial"/>
                <w:sz w:val="18"/>
              </w:rPr>
              <w:t>Metabolic Monitoring for Children</w:t>
            </w:r>
            <w:r>
              <w:rPr>
                <w:rFonts w:ascii="Arial"/>
                <w:spacing w:val="-12"/>
                <w:sz w:val="18"/>
              </w:rPr>
              <w:t> </w:t>
            </w:r>
            <w:r>
              <w:rPr>
                <w:rFonts w:ascii="Arial"/>
                <w:sz w:val="18"/>
              </w:rPr>
              <w:t>and</w:t>
            </w:r>
            <w:r>
              <w:rPr>
                <w:rFonts w:ascii="Arial"/>
                <w:spacing w:val="-12"/>
                <w:sz w:val="18"/>
              </w:rPr>
              <w:t> </w:t>
            </w:r>
            <w:r>
              <w:rPr>
                <w:rFonts w:ascii="Arial"/>
                <w:sz w:val="18"/>
              </w:rPr>
              <w:t>Adolescents</w:t>
            </w:r>
            <w:r>
              <w:rPr>
                <w:rFonts w:ascii="Arial"/>
                <w:spacing w:val="-13"/>
                <w:sz w:val="18"/>
              </w:rPr>
              <w:t> </w:t>
            </w:r>
            <w:r>
              <w:rPr>
                <w:rFonts w:ascii="Arial"/>
                <w:sz w:val="18"/>
              </w:rPr>
              <w:t>on</w:t>
            </w:r>
          </w:p>
          <w:p>
            <w:pPr>
              <w:pStyle w:val="TableParagraph"/>
              <w:spacing w:line="203" w:lineRule="exact"/>
              <w:ind w:left="108" w:right="85"/>
              <w:jc w:val="center"/>
              <w:rPr>
                <w:rFonts w:ascii="Arial"/>
                <w:sz w:val="18"/>
              </w:rPr>
            </w:pPr>
            <w:r>
              <w:rPr>
                <w:rFonts w:ascii="Arial"/>
                <w:spacing w:val="-2"/>
                <w:sz w:val="18"/>
              </w:rPr>
              <w:t>Antipsychotics</w:t>
            </w:r>
          </w:p>
        </w:tc>
        <w:tc>
          <w:tcPr>
            <w:tcW w:w="5719" w:type="dxa"/>
          </w:tcPr>
          <w:p>
            <w:pPr>
              <w:pStyle w:val="TableParagraph"/>
              <w:spacing w:line="261" w:lineRule="auto" w:before="109"/>
              <w:ind w:left="564" w:right="96" w:hanging="351"/>
              <w:rPr>
                <w:rFonts w:ascii="Arial"/>
                <w:sz w:val="18"/>
              </w:rPr>
            </w:pPr>
            <w:r>
              <w:rPr>
                <w:rFonts w:ascii="Arial"/>
                <w:sz w:val="18"/>
              </w:rPr>
              <w:t>Percentage</w:t>
            </w:r>
            <w:r>
              <w:rPr>
                <w:rFonts w:ascii="Arial"/>
                <w:spacing w:val="-5"/>
                <w:sz w:val="18"/>
              </w:rPr>
              <w:t> </w:t>
            </w:r>
            <w:r>
              <w:rPr>
                <w:rFonts w:ascii="Arial"/>
                <w:sz w:val="18"/>
              </w:rPr>
              <w:t>of</w:t>
            </w:r>
            <w:r>
              <w:rPr>
                <w:rFonts w:ascii="Arial"/>
                <w:spacing w:val="-5"/>
                <w:sz w:val="18"/>
              </w:rPr>
              <w:t> </w:t>
            </w:r>
            <w:r>
              <w:rPr>
                <w:rFonts w:ascii="Arial"/>
                <w:sz w:val="18"/>
              </w:rPr>
              <w:t>members</w:t>
            </w:r>
            <w:r>
              <w:rPr>
                <w:rFonts w:ascii="Arial"/>
                <w:spacing w:val="-2"/>
                <w:sz w:val="18"/>
              </w:rPr>
              <w:t> </w:t>
            </w:r>
            <w:r>
              <w:rPr>
                <w:rFonts w:ascii="Arial"/>
                <w:sz w:val="18"/>
              </w:rPr>
              <w:t>1</w:t>
            </w:r>
            <w:r>
              <w:rPr>
                <w:rFonts w:ascii="Arial"/>
                <w:spacing w:val="-2"/>
                <w:sz w:val="18"/>
              </w:rPr>
              <w:t> </w:t>
            </w:r>
            <w:r>
              <w:rPr>
                <w:rFonts w:ascii="Arial"/>
                <w:sz w:val="18"/>
              </w:rPr>
              <w:t>to</w:t>
            </w:r>
            <w:r>
              <w:rPr>
                <w:rFonts w:ascii="Arial"/>
                <w:spacing w:val="-2"/>
                <w:sz w:val="18"/>
              </w:rPr>
              <w:t> </w:t>
            </w:r>
            <w:r>
              <w:rPr>
                <w:rFonts w:ascii="Arial"/>
                <w:sz w:val="18"/>
              </w:rPr>
              <w:t>17</w:t>
            </w:r>
            <w:r>
              <w:rPr>
                <w:rFonts w:ascii="Arial"/>
                <w:spacing w:val="-2"/>
                <w:sz w:val="18"/>
              </w:rPr>
              <w:t> </w:t>
            </w:r>
            <w:r>
              <w:rPr>
                <w:rFonts w:ascii="Arial"/>
                <w:sz w:val="18"/>
              </w:rPr>
              <w:t>years</w:t>
            </w:r>
            <w:r>
              <w:rPr>
                <w:rFonts w:ascii="Arial"/>
                <w:spacing w:val="-2"/>
                <w:sz w:val="18"/>
              </w:rPr>
              <w:t> </w:t>
            </w:r>
            <w:r>
              <w:rPr>
                <w:rFonts w:ascii="Arial"/>
                <w:sz w:val="18"/>
              </w:rPr>
              <w:t>of</w:t>
            </w:r>
            <w:r>
              <w:rPr>
                <w:rFonts w:ascii="Arial"/>
                <w:spacing w:val="-3"/>
                <w:sz w:val="18"/>
              </w:rPr>
              <w:t> </w:t>
            </w:r>
            <w:r>
              <w:rPr>
                <w:rFonts w:ascii="Arial"/>
                <w:sz w:val="18"/>
              </w:rPr>
              <w:t>age</w:t>
            </w:r>
            <w:r>
              <w:rPr>
                <w:rFonts w:ascii="Arial"/>
                <w:spacing w:val="-2"/>
                <w:sz w:val="18"/>
              </w:rPr>
              <w:t> </w:t>
            </w:r>
            <w:r>
              <w:rPr>
                <w:rFonts w:ascii="Arial"/>
                <w:sz w:val="18"/>
              </w:rPr>
              <w:t>who</w:t>
            </w:r>
            <w:r>
              <w:rPr>
                <w:rFonts w:ascii="Arial"/>
                <w:spacing w:val="-2"/>
                <w:sz w:val="18"/>
              </w:rPr>
              <w:t> </w:t>
            </w:r>
            <w:r>
              <w:rPr>
                <w:rFonts w:ascii="Arial"/>
                <w:sz w:val="18"/>
              </w:rPr>
              <w:t>had</w:t>
            </w:r>
            <w:r>
              <w:rPr>
                <w:rFonts w:ascii="Arial"/>
                <w:spacing w:val="-5"/>
                <w:sz w:val="18"/>
              </w:rPr>
              <w:t> </w:t>
            </w:r>
            <w:r>
              <w:rPr>
                <w:rFonts w:ascii="Arial"/>
                <w:sz w:val="18"/>
              </w:rPr>
              <w:t>two</w:t>
            </w:r>
            <w:r>
              <w:rPr>
                <w:rFonts w:ascii="Arial"/>
                <w:spacing w:val="-2"/>
                <w:sz w:val="18"/>
              </w:rPr>
              <w:t> </w:t>
            </w:r>
            <w:r>
              <w:rPr>
                <w:rFonts w:ascii="Arial"/>
                <w:sz w:val="18"/>
              </w:rPr>
              <w:t>or</w:t>
            </w:r>
            <w:r>
              <w:rPr>
                <w:rFonts w:ascii="Arial"/>
                <w:spacing w:val="-3"/>
                <w:sz w:val="18"/>
              </w:rPr>
              <w:t> </w:t>
            </w:r>
            <w:r>
              <w:rPr>
                <w:rFonts w:ascii="Arial"/>
                <w:sz w:val="18"/>
              </w:rPr>
              <w:t>more antipsychotic prescriptions and received metabolic testing</w:t>
            </w:r>
          </w:p>
        </w:tc>
        <w:tc>
          <w:tcPr>
            <w:tcW w:w="900" w:type="dxa"/>
          </w:tcPr>
          <w:p>
            <w:pPr>
              <w:pStyle w:val="TableParagraph"/>
              <w:spacing w:before="3"/>
              <w:rPr>
                <w:i/>
                <w:sz w:val="19"/>
              </w:rPr>
            </w:pPr>
          </w:p>
          <w:p>
            <w:pPr>
              <w:pStyle w:val="TableParagraph"/>
              <w:ind w:left="156" w:right="134"/>
              <w:jc w:val="center"/>
              <w:rPr>
                <w:rFonts w:ascii="Arial"/>
                <w:sz w:val="18"/>
              </w:rPr>
            </w:pPr>
            <w:r>
              <w:rPr>
                <w:rFonts w:ascii="Arial"/>
                <w:spacing w:val="-4"/>
                <w:sz w:val="18"/>
              </w:rPr>
              <w:t>Admin</w:t>
            </w:r>
          </w:p>
        </w:tc>
        <w:tc>
          <w:tcPr>
            <w:tcW w:w="629" w:type="dxa"/>
          </w:tcPr>
          <w:p>
            <w:pPr>
              <w:pStyle w:val="TableParagraph"/>
              <w:spacing w:before="3"/>
              <w:rPr>
                <w:i/>
                <w:sz w:val="19"/>
              </w:rPr>
            </w:pPr>
          </w:p>
          <w:p>
            <w:pPr>
              <w:pStyle w:val="TableParagraph"/>
              <w:ind w:left="20"/>
              <w:jc w:val="center"/>
              <w:rPr>
                <w:rFonts w:ascii="Arial"/>
                <w:sz w:val="18"/>
              </w:rPr>
            </w:pPr>
            <w:r>
              <w:rPr>
                <w:rFonts w:ascii="Arial"/>
                <w:sz w:val="18"/>
              </w:rPr>
              <w:t>R</w:t>
            </w:r>
          </w:p>
        </w:tc>
        <w:tc>
          <w:tcPr>
            <w:tcW w:w="919" w:type="dxa"/>
          </w:tcPr>
          <w:p>
            <w:pPr>
              <w:pStyle w:val="TableParagraph"/>
              <w:spacing w:before="3"/>
              <w:rPr>
                <w:i/>
                <w:sz w:val="19"/>
              </w:rPr>
            </w:pPr>
          </w:p>
          <w:p>
            <w:pPr>
              <w:pStyle w:val="TableParagraph"/>
              <w:ind w:left="22"/>
              <w:jc w:val="center"/>
              <w:rPr>
                <w:rFonts w:ascii="Arial"/>
                <w:sz w:val="18"/>
              </w:rPr>
            </w:pPr>
            <w:r>
              <w:rPr>
                <w:rFonts w:ascii="Arial"/>
                <w:sz w:val="18"/>
              </w:rPr>
              <w:t>P</w:t>
            </w:r>
          </w:p>
        </w:tc>
        <w:tc>
          <w:tcPr>
            <w:tcW w:w="1185" w:type="dxa"/>
          </w:tcPr>
          <w:p>
            <w:pPr>
              <w:pStyle w:val="TableParagraph"/>
              <w:spacing w:before="3"/>
              <w:rPr>
                <w:i/>
                <w:sz w:val="19"/>
              </w:rPr>
            </w:pPr>
          </w:p>
          <w:p>
            <w:pPr>
              <w:pStyle w:val="TableParagraph"/>
              <w:ind w:left="211" w:right="186"/>
              <w:jc w:val="center"/>
              <w:rPr>
                <w:rFonts w:ascii="Arial"/>
                <w:sz w:val="18"/>
              </w:rPr>
            </w:pPr>
            <w:r>
              <w:rPr>
                <w:rFonts w:ascii="Arial"/>
                <w:sz w:val="18"/>
              </w:rPr>
              <w:t>P </w:t>
            </w:r>
            <w:r>
              <w:rPr>
                <w:rFonts w:ascii="Arial"/>
                <w:spacing w:val="-2"/>
                <w:sz w:val="18"/>
              </w:rPr>
              <w:t>(19/20)</w:t>
            </w:r>
          </w:p>
        </w:tc>
        <w:tc>
          <w:tcPr>
            <w:tcW w:w="631" w:type="dxa"/>
          </w:tcPr>
          <w:p>
            <w:pPr>
              <w:pStyle w:val="TableParagraph"/>
              <w:spacing w:before="3"/>
              <w:rPr>
                <w:i/>
                <w:sz w:val="19"/>
              </w:rPr>
            </w:pPr>
          </w:p>
          <w:p>
            <w:pPr>
              <w:pStyle w:val="TableParagraph"/>
              <w:ind w:left="19"/>
              <w:jc w:val="center"/>
              <w:rPr>
                <w:rFonts w:ascii="Arial"/>
                <w:sz w:val="18"/>
              </w:rPr>
            </w:pPr>
            <w:r>
              <w:rPr>
                <w:rFonts w:ascii="Arial"/>
                <w:sz w:val="18"/>
              </w:rPr>
              <w:t>P</w:t>
            </w:r>
          </w:p>
        </w:tc>
        <w:tc>
          <w:tcPr>
            <w:tcW w:w="720" w:type="dxa"/>
          </w:tcPr>
          <w:p>
            <w:pPr>
              <w:pStyle w:val="TableParagraph"/>
              <w:spacing w:before="3"/>
              <w:rPr>
                <w:i/>
                <w:sz w:val="19"/>
              </w:rPr>
            </w:pPr>
          </w:p>
          <w:p>
            <w:pPr>
              <w:pStyle w:val="TableParagraph"/>
              <w:ind w:left="22"/>
              <w:jc w:val="center"/>
              <w:rPr>
                <w:rFonts w:ascii="Arial"/>
                <w:sz w:val="18"/>
              </w:rPr>
            </w:pPr>
            <w:r>
              <w:rPr>
                <w:rFonts w:ascii="Arial"/>
                <w:sz w:val="18"/>
              </w:rPr>
              <w:t>P</w:t>
            </w:r>
          </w:p>
        </w:tc>
      </w:tr>
      <w:tr>
        <w:trPr>
          <w:trHeight w:val="671" w:hRule="atLeast"/>
        </w:trPr>
        <w:tc>
          <w:tcPr>
            <w:tcW w:w="1128" w:type="dxa"/>
          </w:tcPr>
          <w:p>
            <w:pPr>
              <w:pStyle w:val="TableParagraph"/>
              <w:spacing w:before="5"/>
              <w:rPr>
                <w:i/>
                <w:sz w:val="19"/>
              </w:rPr>
            </w:pPr>
          </w:p>
          <w:p>
            <w:pPr>
              <w:pStyle w:val="TableParagraph"/>
              <w:spacing w:before="1"/>
              <w:ind w:left="18"/>
              <w:jc w:val="center"/>
              <w:rPr>
                <w:rFonts w:ascii="Arial"/>
                <w:sz w:val="18"/>
              </w:rPr>
            </w:pPr>
            <w:r>
              <w:rPr>
                <w:rFonts w:ascii="Arial"/>
                <w:sz w:val="18"/>
              </w:rPr>
              <w:t>8</w:t>
            </w:r>
          </w:p>
        </w:tc>
        <w:tc>
          <w:tcPr>
            <w:tcW w:w="2726" w:type="dxa"/>
          </w:tcPr>
          <w:p>
            <w:pPr>
              <w:pStyle w:val="TableParagraph"/>
              <w:spacing w:line="259" w:lineRule="auto" w:before="111"/>
              <w:ind w:left="333" w:hanging="202"/>
              <w:rPr>
                <w:rFonts w:ascii="Arial"/>
                <w:sz w:val="18"/>
              </w:rPr>
            </w:pPr>
            <w:r>
              <w:rPr>
                <w:rFonts w:ascii="Arial"/>
                <w:sz w:val="18"/>
              </w:rPr>
              <w:t>Follow-Up</w:t>
            </w:r>
            <w:r>
              <w:rPr>
                <w:rFonts w:ascii="Arial"/>
                <w:spacing w:val="-15"/>
                <w:sz w:val="18"/>
              </w:rPr>
              <w:t> </w:t>
            </w:r>
            <w:r>
              <w:rPr>
                <w:rFonts w:ascii="Arial"/>
                <w:sz w:val="18"/>
              </w:rPr>
              <w:t>After</w:t>
            </w:r>
            <w:r>
              <w:rPr>
                <w:rFonts w:ascii="Arial"/>
                <w:spacing w:val="-12"/>
                <w:sz w:val="18"/>
              </w:rPr>
              <w:t> </w:t>
            </w:r>
            <w:r>
              <w:rPr>
                <w:rFonts w:ascii="Arial"/>
                <w:sz w:val="18"/>
              </w:rPr>
              <w:t>Hospitalization for Mental Illness (7 days)</w:t>
            </w:r>
          </w:p>
        </w:tc>
        <w:tc>
          <w:tcPr>
            <w:tcW w:w="5719" w:type="dxa"/>
          </w:tcPr>
          <w:p>
            <w:pPr>
              <w:pStyle w:val="TableParagraph"/>
              <w:spacing w:line="206" w:lineRule="exact"/>
              <w:ind w:left="133" w:right="111"/>
              <w:jc w:val="center"/>
              <w:rPr>
                <w:rFonts w:ascii="Arial"/>
                <w:sz w:val="18"/>
              </w:rPr>
            </w:pPr>
            <w:r>
              <w:rPr>
                <w:rFonts w:ascii="Arial"/>
                <w:sz w:val="18"/>
              </w:rPr>
              <w:t>Percentage</w:t>
            </w:r>
            <w:r>
              <w:rPr>
                <w:rFonts w:ascii="Arial"/>
                <w:spacing w:val="-4"/>
                <w:sz w:val="18"/>
              </w:rPr>
              <w:t> </w:t>
            </w:r>
            <w:r>
              <w:rPr>
                <w:rFonts w:ascii="Arial"/>
                <w:sz w:val="18"/>
              </w:rPr>
              <w:t>of</w:t>
            </w:r>
            <w:r>
              <w:rPr>
                <w:rFonts w:ascii="Arial"/>
                <w:spacing w:val="-2"/>
                <w:sz w:val="18"/>
              </w:rPr>
              <w:t> </w:t>
            </w:r>
            <w:r>
              <w:rPr>
                <w:rFonts w:ascii="Arial"/>
                <w:sz w:val="18"/>
              </w:rPr>
              <w:t>discharges</w:t>
            </w:r>
            <w:r>
              <w:rPr>
                <w:rFonts w:ascii="Arial"/>
                <w:spacing w:val="-2"/>
                <w:sz w:val="18"/>
              </w:rPr>
              <w:t> </w:t>
            </w:r>
            <w:r>
              <w:rPr>
                <w:rFonts w:ascii="Arial"/>
                <w:sz w:val="18"/>
              </w:rPr>
              <w:t>for</w:t>
            </w:r>
            <w:r>
              <w:rPr>
                <w:rFonts w:ascii="Arial"/>
                <w:spacing w:val="-4"/>
                <w:sz w:val="18"/>
              </w:rPr>
              <w:t> </w:t>
            </w:r>
            <w:r>
              <w:rPr>
                <w:rFonts w:ascii="Arial"/>
                <w:sz w:val="18"/>
              </w:rPr>
              <w:t>members</w:t>
            </w:r>
            <w:r>
              <w:rPr>
                <w:rFonts w:ascii="Arial"/>
                <w:spacing w:val="-2"/>
                <w:sz w:val="18"/>
              </w:rPr>
              <w:t> </w:t>
            </w:r>
            <w:r>
              <w:rPr>
                <w:rFonts w:ascii="Arial"/>
                <w:sz w:val="18"/>
              </w:rPr>
              <w:t>6</w:t>
            </w:r>
            <w:r>
              <w:rPr>
                <w:rFonts w:ascii="Arial"/>
                <w:spacing w:val="-1"/>
                <w:sz w:val="18"/>
              </w:rPr>
              <w:t> </w:t>
            </w:r>
            <w:r>
              <w:rPr>
                <w:rFonts w:ascii="Arial"/>
                <w:sz w:val="18"/>
              </w:rPr>
              <w:t>to</w:t>
            </w:r>
            <w:r>
              <w:rPr>
                <w:rFonts w:ascii="Arial"/>
                <w:spacing w:val="-4"/>
                <w:sz w:val="18"/>
              </w:rPr>
              <w:t> </w:t>
            </w:r>
            <w:r>
              <w:rPr>
                <w:rFonts w:ascii="Arial"/>
                <w:sz w:val="18"/>
              </w:rPr>
              <w:t>64 years</w:t>
            </w:r>
            <w:r>
              <w:rPr>
                <w:rFonts w:ascii="Arial"/>
                <w:spacing w:val="-1"/>
                <w:sz w:val="18"/>
              </w:rPr>
              <w:t> </w:t>
            </w:r>
            <w:r>
              <w:rPr>
                <w:rFonts w:ascii="Arial"/>
                <w:sz w:val="18"/>
              </w:rPr>
              <w:t>of</w:t>
            </w:r>
            <w:r>
              <w:rPr>
                <w:rFonts w:ascii="Arial"/>
                <w:spacing w:val="-1"/>
                <w:sz w:val="18"/>
              </w:rPr>
              <w:t> </w:t>
            </w:r>
            <w:r>
              <w:rPr>
                <w:rFonts w:ascii="Arial"/>
                <w:spacing w:val="-4"/>
                <w:sz w:val="18"/>
              </w:rPr>
              <w:t>age,</w:t>
            </w:r>
          </w:p>
          <w:p>
            <w:pPr>
              <w:pStyle w:val="TableParagraph"/>
              <w:spacing w:line="220" w:lineRule="atLeast" w:before="5"/>
              <w:ind w:left="136" w:right="111"/>
              <w:jc w:val="center"/>
              <w:rPr>
                <w:rFonts w:ascii="Arial"/>
                <w:sz w:val="18"/>
              </w:rPr>
            </w:pPr>
            <w:r>
              <w:rPr>
                <w:rFonts w:ascii="Arial"/>
                <w:sz w:val="18"/>
              </w:rPr>
              <w:t>hospitalized</w:t>
            </w:r>
            <w:r>
              <w:rPr>
                <w:rFonts w:ascii="Arial"/>
                <w:spacing w:val="-4"/>
                <w:sz w:val="18"/>
              </w:rPr>
              <w:t> </w:t>
            </w:r>
            <w:r>
              <w:rPr>
                <w:rFonts w:ascii="Arial"/>
                <w:sz w:val="18"/>
              </w:rPr>
              <w:t>for</w:t>
            </w:r>
            <w:r>
              <w:rPr>
                <w:rFonts w:ascii="Arial"/>
                <w:spacing w:val="-5"/>
                <w:sz w:val="18"/>
              </w:rPr>
              <w:t> </w:t>
            </w:r>
            <w:r>
              <w:rPr>
                <w:rFonts w:ascii="Arial"/>
                <w:sz w:val="18"/>
              </w:rPr>
              <w:t>mental</w:t>
            </w:r>
            <w:r>
              <w:rPr>
                <w:rFonts w:ascii="Arial"/>
                <w:spacing w:val="-4"/>
                <w:sz w:val="18"/>
              </w:rPr>
              <w:t> </w:t>
            </w:r>
            <w:r>
              <w:rPr>
                <w:rFonts w:ascii="Arial"/>
                <w:sz w:val="18"/>
              </w:rPr>
              <w:t>illness,</w:t>
            </w:r>
            <w:r>
              <w:rPr>
                <w:rFonts w:ascii="Arial"/>
                <w:spacing w:val="-9"/>
                <w:sz w:val="18"/>
              </w:rPr>
              <w:t> </w:t>
            </w:r>
            <w:r>
              <w:rPr>
                <w:rFonts w:ascii="Arial"/>
                <w:sz w:val="18"/>
              </w:rPr>
              <w:t>where</w:t>
            </w:r>
            <w:r>
              <w:rPr>
                <w:rFonts w:ascii="Arial"/>
                <w:spacing w:val="-4"/>
                <w:sz w:val="18"/>
              </w:rPr>
              <w:t> </w:t>
            </w:r>
            <w:r>
              <w:rPr>
                <w:rFonts w:ascii="Arial"/>
                <w:sz w:val="18"/>
              </w:rPr>
              <w:t>the</w:t>
            </w:r>
            <w:r>
              <w:rPr>
                <w:rFonts w:ascii="Arial"/>
                <w:spacing w:val="-4"/>
                <w:sz w:val="18"/>
              </w:rPr>
              <w:t> </w:t>
            </w:r>
            <w:r>
              <w:rPr>
                <w:rFonts w:ascii="Arial"/>
                <w:sz w:val="18"/>
              </w:rPr>
              <w:t>member</w:t>
            </w:r>
            <w:r>
              <w:rPr>
                <w:rFonts w:ascii="Arial"/>
                <w:spacing w:val="-5"/>
                <w:sz w:val="18"/>
              </w:rPr>
              <w:t> </w:t>
            </w:r>
            <w:r>
              <w:rPr>
                <w:rFonts w:ascii="Arial"/>
                <w:sz w:val="18"/>
              </w:rPr>
              <w:t>received</w:t>
            </w:r>
            <w:r>
              <w:rPr>
                <w:rFonts w:ascii="Arial"/>
                <w:spacing w:val="-7"/>
                <w:sz w:val="18"/>
              </w:rPr>
              <w:t> </w:t>
            </w:r>
            <w:r>
              <w:rPr>
                <w:rFonts w:ascii="Arial"/>
                <w:sz w:val="18"/>
              </w:rPr>
              <w:t>follow-up with a mental health practitioner within 7 days of discharge</w:t>
            </w:r>
          </w:p>
        </w:tc>
        <w:tc>
          <w:tcPr>
            <w:tcW w:w="900" w:type="dxa"/>
          </w:tcPr>
          <w:p>
            <w:pPr>
              <w:pStyle w:val="TableParagraph"/>
              <w:spacing w:before="5"/>
              <w:rPr>
                <w:i/>
                <w:sz w:val="19"/>
              </w:rPr>
            </w:pPr>
          </w:p>
          <w:p>
            <w:pPr>
              <w:pStyle w:val="TableParagraph"/>
              <w:spacing w:before="1"/>
              <w:ind w:left="156" w:right="134"/>
              <w:jc w:val="center"/>
              <w:rPr>
                <w:rFonts w:ascii="Arial"/>
                <w:sz w:val="18"/>
              </w:rPr>
            </w:pPr>
            <w:r>
              <w:rPr>
                <w:rFonts w:ascii="Arial"/>
                <w:spacing w:val="-4"/>
                <w:sz w:val="18"/>
              </w:rPr>
              <w:t>Admin</w:t>
            </w:r>
          </w:p>
        </w:tc>
        <w:tc>
          <w:tcPr>
            <w:tcW w:w="629" w:type="dxa"/>
          </w:tcPr>
          <w:p>
            <w:pPr>
              <w:pStyle w:val="TableParagraph"/>
              <w:spacing w:before="5"/>
              <w:rPr>
                <w:i/>
                <w:sz w:val="19"/>
              </w:rPr>
            </w:pPr>
          </w:p>
          <w:p>
            <w:pPr>
              <w:pStyle w:val="TableParagraph"/>
              <w:spacing w:before="1"/>
              <w:ind w:left="20"/>
              <w:jc w:val="center"/>
              <w:rPr>
                <w:rFonts w:ascii="Arial"/>
                <w:sz w:val="18"/>
              </w:rPr>
            </w:pPr>
            <w:r>
              <w:rPr>
                <w:rFonts w:ascii="Arial"/>
                <w:sz w:val="18"/>
              </w:rPr>
              <w:t>R</w:t>
            </w:r>
          </w:p>
        </w:tc>
        <w:tc>
          <w:tcPr>
            <w:tcW w:w="919" w:type="dxa"/>
          </w:tcPr>
          <w:p>
            <w:pPr>
              <w:pStyle w:val="TableParagraph"/>
              <w:spacing w:before="5"/>
              <w:rPr>
                <w:i/>
                <w:sz w:val="19"/>
              </w:rPr>
            </w:pPr>
          </w:p>
          <w:p>
            <w:pPr>
              <w:pStyle w:val="TableParagraph"/>
              <w:spacing w:before="1"/>
              <w:ind w:left="22"/>
              <w:jc w:val="center"/>
              <w:rPr>
                <w:rFonts w:ascii="Arial"/>
                <w:sz w:val="18"/>
              </w:rPr>
            </w:pPr>
            <w:r>
              <w:rPr>
                <w:rFonts w:ascii="Arial"/>
                <w:sz w:val="18"/>
              </w:rPr>
              <w:t>P</w:t>
            </w:r>
          </w:p>
        </w:tc>
        <w:tc>
          <w:tcPr>
            <w:tcW w:w="1185" w:type="dxa"/>
          </w:tcPr>
          <w:p>
            <w:pPr>
              <w:pStyle w:val="TableParagraph"/>
              <w:spacing w:before="5"/>
              <w:rPr>
                <w:i/>
                <w:sz w:val="19"/>
              </w:rPr>
            </w:pPr>
          </w:p>
          <w:p>
            <w:pPr>
              <w:pStyle w:val="TableParagraph"/>
              <w:spacing w:before="1"/>
              <w:ind w:left="211" w:right="186"/>
              <w:jc w:val="center"/>
              <w:rPr>
                <w:rFonts w:ascii="Arial"/>
                <w:sz w:val="18"/>
              </w:rPr>
            </w:pPr>
            <w:r>
              <w:rPr>
                <w:rFonts w:ascii="Arial"/>
                <w:sz w:val="18"/>
              </w:rPr>
              <w:t>P </w:t>
            </w:r>
            <w:r>
              <w:rPr>
                <w:rFonts w:ascii="Arial"/>
                <w:spacing w:val="-2"/>
                <w:sz w:val="18"/>
              </w:rPr>
              <w:t>(19/20)</w:t>
            </w:r>
          </w:p>
        </w:tc>
        <w:tc>
          <w:tcPr>
            <w:tcW w:w="631" w:type="dxa"/>
          </w:tcPr>
          <w:p>
            <w:pPr>
              <w:pStyle w:val="TableParagraph"/>
              <w:spacing w:before="5"/>
              <w:rPr>
                <w:i/>
                <w:sz w:val="19"/>
              </w:rPr>
            </w:pPr>
          </w:p>
          <w:p>
            <w:pPr>
              <w:pStyle w:val="TableParagraph"/>
              <w:spacing w:before="1"/>
              <w:ind w:left="19"/>
              <w:jc w:val="center"/>
              <w:rPr>
                <w:rFonts w:ascii="Arial"/>
                <w:sz w:val="18"/>
              </w:rPr>
            </w:pPr>
            <w:r>
              <w:rPr>
                <w:rFonts w:ascii="Arial"/>
                <w:sz w:val="18"/>
              </w:rPr>
              <w:t>P</w:t>
            </w:r>
          </w:p>
        </w:tc>
        <w:tc>
          <w:tcPr>
            <w:tcW w:w="720" w:type="dxa"/>
          </w:tcPr>
          <w:p>
            <w:pPr>
              <w:pStyle w:val="TableParagraph"/>
              <w:spacing w:before="5"/>
              <w:rPr>
                <w:i/>
                <w:sz w:val="19"/>
              </w:rPr>
            </w:pPr>
          </w:p>
          <w:p>
            <w:pPr>
              <w:pStyle w:val="TableParagraph"/>
              <w:spacing w:before="1"/>
              <w:ind w:left="22"/>
              <w:jc w:val="center"/>
              <w:rPr>
                <w:rFonts w:ascii="Arial"/>
                <w:sz w:val="18"/>
              </w:rPr>
            </w:pPr>
            <w:r>
              <w:rPr>
                <w:rFonts w:ascii="Arial"/>
                <w:sz w:val="18"/>
              </w:rPr>
              <w:t>P</w:t>
            </w:r>
          </w:p>
        </w:tc>
      </w:tr>
    </w:tbl>
    <w:p>
      <w:pPr>
        <w:spacing w:after="0"/>
        <w:jc w:val="center"/>
        <w:rPr>
          <w:rFonts w:ascii="Arial"/>
          <w:sz w:val="18"/>
        </w:rPr>
        <w:sectPr>
          <w:footerReference w:type="default" r:id="rId350"/>
          <w:pgSz w:w="15840" w:h="12240" w:orient="landscape"/>
          <w:pgMar w:footer="967" w:header="0" w:top="1380" w:bottom="1160" w:left="200" w:right="200"/>
        </w:sectPr>
      </w:pPr>
    </w:p>
    <w:p>
      <w:pPr>
        <w:pStyle w:val="BodyText"/>
        <w:spacing w:before="4"/>
        <w:rPr>
          <w:i/>
          <w:sz w:val="4"/>
        </w:rPr>
      </w:pPr>
    </w:p>
    <w:tbl>
      <w:tblPr>
        <w:tblW w:w="0" w:type="auto"/>
        <w:jc w:val="left"/>
        <w:tblInd w:w="451" w:type="dxa"/>
        <w:tblBorders>
          <w:top w:val="single" w:sz="8" w:space="0" w:color="BEBEBE"/>
          <w:left w:val="single" w:sz="8" w:space="0" w:color="BEBEBE"/>
          <w:bottom w:val="single" w:sz="8" w:space="0" w:color="BEBEBE"/>
          <w:right w:val="single" w:sz="8" w:space="0" w:color="BEBEBE"/>
          <w:insideH w:val="single" w:sz="8" w:space="0" w:color="BEBEBE"/>
          <w:insideV w:val="single" w:sz="8" w:space="0" w:color="BEBEBE"/>
        </w:tblBorders>
        <w:tblLayout w:type="fixed"/>
        <w:tblCellMar>
          <w:top w:w="0" w:type="dxa"/>
          <w:left w:w="0" w:type="dxa"/>
          <w:bottom w:w="0" w:type="dxa"/>
          <w:right w:w="0" w:type="dxa"/>
        </w:tblCellMar>
        <w:tblLook w:val="01E0"/>
      </w:tblPr>
      <w:tblGrid>
        <w:gridCol w:w="1128"/>
        <w:gridCol w:w="2726"/>
        <w:gridCol w:w="5719"/>
        <w:gridCol w:w="900"/>
        <w:gridCol w:w="629"/>
        <w:gridCol w:w="919"/>
        <w:gridCol w:w="1185"/>
        <w:gridCol w:w="631"/>
        <w:gridCol w:w="720"/>
      </w:tblGrid>
      <w:tr>
        <w:trPr>
          <w:trHeight w:val="1115" w:hRule="atLeast"/>
        </w:trPr>
        <w:tc>
          <w:tcPr>
            <w:tcW w:w="1128" w:type="dxa"/>
            <w:tcBorders>
              <w:top w:val="nil"/>
            </w:tcBorders>
          </w:tcPr>
          <w:p>
            <w:pPr>
              <w:pStyle w:val="TableParagraph"/>
              <w:rPr>
                <w:i/>
                <w:sz w:val="20"/>
              </w:rPr>
            </w:pPr>
          </w:p>
          <w:p>
            <w:pPr>
              <w:pStyle w:val="TableParagraph"/>
              <w:spacing w:before="8"/>
              <w:rPr>
                <w:i/>
                <w:sz w:val="18"/>
              </w:rPr>
            </w:pPr>
          </w:p>
          <w:p>
            <w:pPr>
              <w:pStyle w:val="TableParagraph"/>
              <w:ind w:left="18"/>
              <w:jc w:val="center"/>
              <w:rPr>
                <w:rFonts w:ascii="Arial"/>
                <w:sz w:val="18"/>
              </w:rPr>
            </w:pPr>
            <w:r>
              <w:rPr>
                <w:rFonts w:ascii="Arial"/>
                <w:sz w:val="18"/>
              </w:rPr>
              <w:t>9</w:t>
            </w:r>
          </w:p>
        </w:tc>
        <w:tc>
          <w:tcPr>
            <w:tcW w:w="2726" w:type="dxa"/>
            <w:tcBorders>
              <w:top w:val="nil"/>
            </w:tcBorders>
          </w:tcPr>
          <w:p>
            <w:pPr>
              <w:pStyle w:val="TableParagraph"/>
              <w:spacing w:before="3"/>
              <w:rPr>
                <w:i/>
                <w:sz w:val="19"/>
              </w:rPr>
            </w:pPr>
          </w:p>
          <w:p>
            <w:pPr>
              <w:pStyle w:val="TableParagraph"/>
              <w:spacing w:line="259" w:lineRule="auto" w:before="1"/>
              <w:ind w:left="186" w:right="163" w:firstLine="28"/>
              <w:jc w:val="both"/>
              <w:rPr>
                <w:rFonts w:ascii="Arial"/>
                <w:sz w:val="18"/>
              </w:rPr>
            </w:pPr>
            <w:r>
              <w:rPr>
                <w:rFonts w:ascii="Arial"/>
                <w:sz w:val="18"/>
              </w:rPr>
              <w:t>Initiation and Engagement</w:t>
            </w:r>
            <w:r>
              <w:rPr>
                <w:rFonts w:ascii="Arial"/>
                <w:spacing w:val="-3"/>
                <w:sz w:val="18"/>
              </w:rPr>
              <w:t> </w:t>
            </w:r>
            <w:r>
              <w:rPr>
                <w:rFonts w:ascii="Arial"/>
                <w:sz w:val="18"/>
              </w:rPr>
              <w:t>of Alcohol,</w:t>
            </w:r>
            <w:r>
              <w:rPr>
                <w:rFonts w:ascii="Arial"/>
                <w:spacing w:val="-11"/>
                <w:sz w:val="18"/>
              </w:rPr>
              <w:t> </w:t>
            </w:r>
            <w:r>
              <w:rPr>
                <w:rFonts w:ascii="Arial"/>
                <w:sz w:val="18"/>
              </w:rPr>
              <w:t>or</w:t>
            </w:r>
            <w:r>
              <w:rPr>
                <w:rFonts w:ascii="Arial"/>
                <w:spacing w:val="-9"/>
                <w:sz w:val="18"/>
              </w:rPr>
              <w:t> </w:t>
            </w:r>
            <w:r>
              <w:rPr>
                <w:rFonts w:ascii="Arial"/>
                <w:sz w:val="18"/>
              </w:rPr>
              <w:t>Other</w:t>
            </w:r>
            <w:r>
              <w:rPr>
                <w:rFonts w:ascii="Arial"/>
                <w:spacing w:val="-9"/>
                <w:sz w:val="18"/>
              </w:rPr>
              <w:t> </w:t>
            </w:r>
            <w:r>
              <w:rPr>
                <w:rFonts w:ascii="Arial"/>
                <w:sz w:val="18"/>
              </w:rPr>
              <w:t>Drug</w:t>
            </w:r>
            <w:r>
              <w:rPr>
                <w:rFonts w:ascii="Arial"/>
                <w:spacing w:val="-8"/>
                <w:sz w:val="18"/>
              </w:rPr>
              <w:t> </w:t>
            </w:r>
            <w:r>
              <w:rPr>
                <w:rFonts w:ascii="Arial"/>
                <w:sz w:val="18"/>
              </w:rPr>
              <w:t>Abuse or Dependence Treatment**</w:t>
            </w:r>
          </w:p>
        </w:tc>
        <w:tc>
          <w:tcPr>
            <w:tcW w:w="5719" w:type="dxa"/>
            <w:tcBorders>
              <w:top w:val="nil"/>
            </w:tcBorders>
          </w:tcPr>
          <w:p>
            <w:pPr>
              <w:pStyle w:val="TableParagraph"/>
              <w:spacing w:line="259" w:lineRule="auto"/>
              <w:ind w:left="189" w:right="162" w:firstLine="2"/>
              <w:jc w:val="center"/>
              <w:rPr>
                <w:rFonts w:ascii="Arial" w:hAnsi="Arial"/>
                <w:sz w:val="18"/>
              </w:rPr>
            </w:pPr>
            <w:r>
              <w:rPr>
                <w:rFonts w:ascii="Arial" w:hAnsi="Arial"/>
                <w:sz w:val="18"/>
              </w:rPr>
              <w:t>Percentage of members 13 to 64 years of age who are diagnosed with a new episode of alcohol, opioid, or other drug abuse or dependency who initiate treatment within 14 days of diagnosis and who</w:t>
            </w:r>
            <w:r>
              <w:rPr>
                <w:rFonts w:ascii="Arial" w:hAnsi="Arial"/>
                <w:spacing w:val="-2"/>
                <w:sz w:val="18"/>
              </w:rPr>
              <w:t> </w:t>
            </w:r>
            <w:r>
              <w:rPr>
                <w:rFonts w:ascii="Arial" w:hAnsi="Arial"/>
                <w:sz w:val="18"/>
              </w:rPr>
              <w:t>receive</w:t>
            </w:r>
            <w:r>
              <w:rPr>
                <w:rFonts w:ascii="Arial" w:hAnsi="Arial"/>
                <w:spacing w:val="-1"/>
                <w:sz w:val="18"/>
              </w:rPr>
              <w:t> </w:t>
            </w:r>
            <w:r>
              <w:rPr>
                <w:rFonts w:ascii="Arial" w:hAnsi="Arial"/>
                <w:sz w:val="18"/>
              </w:rPr>
              <w:t>at</w:t>
            </w:r>
            <w:r>
              <w:rPr>
                <w:rFonts w:ascii="Arial" w:hAnsi="Arial"/>
                <w:spacing w:val="-4"/>
                <w:sz w:val="18"/>
              </w:rPr>
              <w:t> </w:t>
            </w:r>
            <w:r>
              <w:rPr>
                <w:rFonts w:ascii="Arial" w:hAnsi="Arial"/>
                <w:sz w:val="18"/>
              </w:rPr>
              <w:t>≥2</w:t>
            </w:r>
            <w:r>
              <w:rPr>
                <w:rFonts w:ascii="Arial" w:hAnsi="Arial"/>
                <w:spacing w:val="-1"/>
                <w:sz w:val="18"/>
              </w:rPr>
              <w:t> </w:t>
            </w:r>
            <w:r>
              <w:rPr>
                <w:rFonts w:ascii="Arial" w:hAnsi="Arial"/>
                <w:sz w:val="18"/>
              </w:rPr>
              <w:t>additional</w:t>
            </w:r>
            <w:r>
              <w:rPr>
                <w:rFonts w:ascii="Arial" w:hAnsi="Arial"/>
                <w:spacing w:val="-1"/>
                <w:sz w:val="18"/>
              </w:rPr>
              <w:t> </w:t>
            </w:r>
            <w:r>
              <w:rPr>
                <w:rFonts w:ascii="Arial" w:hAnsi="Arial"/>
                <w:sz w:val="18"/>
              </w:rPr>
              <w:t>services</w:t>
            </w:r>
            <w:r>
              <w:rPr>
                <w:rFonts w:ascii="Arial" w:hAnsi="Arial"/>
                <w:spacing w:val="-3"/>
                <w:sz w:val="18"/>
              </w:rPr>
              <w:t> </w:t>
            </w:r>
            <w:r>
              <w:rPr>
                <w:rFonts w:ascii="Arial" w:hAnsi="Arial"/>
                <w:sz w:val="18"/>
              </w:rPr>
              <w:t>within</w:t>
            </w:r>
            <w:r>
              <w:rPr>
                <w:rFonts w:ascii="Arial" w:hAnsi="Arial"/>
                <w:spacing w:val="-1"/>
                <w:sz w:val="18"/>
              </w:rPr>
              <w:t> </w:t>
            </w:r>
            <w:r>
              <w:rPr>
                <w:rFonts w:ascii="Arial" w:hAnsi="Arial"/>
                <w:sz w:val="18"/>
              </w:rPr>
              <w:t>30</w:t>
            </w:r>
            <w:r>
              <w:rPr>
                <w:rFonts w:ascii="Arial" w:hAnsi="Arial"/>
                <w:spacing w:val="-1"/>
                <w:sz w:val="18"/>
              </w:rPr>
              <w:t> </w:t>
            </w:r>
            <w:r>
              <w:rPr>
                <w:rFonts w:ascii="Arial" w:hAnsi="Arial"/>
                <w:sz w:val="18"/>
              </w:rPr>
              <w:t>days</w:t>
            </w:r>
            <w:r>
              <w:rPr>
                <w:rFonts w:ascii="Arial" w:hAnsi="Arial"/>
                <w:spacing w:val="-3"/>
                <w:sz w:val="18"/>
              </w:rPr>
              <w:t> </w:t>
            </w:r>
            <w:r>
              <w:rPr>
                <w:rFonts w:ascii="Arial" w:hAnsi="Arial"/>
                <w:sz w:val="18"/>
              </w:rPr>
              <w:t>of</w:t>
            </w:r>
            <w:r>
              <w:rPr>
                <w:rFonts w:ascii="Arial" w:hAnsi="Arial"/>
                <w:spacing w:val="-2"/>
                <w:sz w:val="18"/>
              </w:rPr>
              <w:t> </w:t>
            </w:r>
            <w:r>
              <w:rPr>
                <w:rFonts w:ascii="Arial" w:hAnsi="Arial"/>
                <w:sz w:val="18"/>
              </w:rPr>
              <w:t>the</w:t>
            </w:r>
            <w:r>
              <w:rPr>
                <w:rFonts w:ascii="Arial" w:hAnsi="Arial"/>
                <w:spacing w:val="-1"/>
                <w:sz w:val="18"/>
              </w:rPr>
              <w:t> </w:t>
            </w:r>
            <w:r>
              <w:rPr>
                <w:rFonts w:ascii="Arial" w:hAnsi="Arial"/>
                <w:spacing w:val="-2"/>
                <w:sz w:val="18"/>
              </w:rPr>
              <w:t>initiation</w:t>
            </w:r>
          </w:p>
          <w:p>
            <w:pPr>
              <w:pStyle w:val="TableParagraph"/>
              <w:spacing w:line="202" w:lineRule="exact"/>
              <w:ind w:left="136" w:right="108"/>
              <w:jc w:val="center"/>
              <w:rPr>
                <w:rFonts w:ascii="Arial"/>
                <w:sz w:val="18"/>
              </w:rPr>
            </w:pPr>
            <w:r>
              <w:rPr>
                <w:rFonts w:ascii="Arial"/>
                <w:spacing w:val="-2"/>
                <w:sz w:val="18"/>
              </w:rPr>
              <w:t>visit</w:t>
            </w:r>
          </w:p>
        </w:tc>
        <w:tc>
          <w:tcPr>
            <w:tcW w:w="900" w:type="dxa"/>
            <w:tcBorders>
              <w:top w:val="nil"/>
            </w:tcBorders>
          </w:tcPr>
          <w:p>
            <w:pPr>
              <w:pStyle w:val="TableParagraph"/>
              <w:rPr>
                <w:i/>
                <w:sz w:val="20"/>
              </w:rPr>
            </w:pPr>
          </w:p>
          <w:p>
            <w:pPr>
              <w:pStyle w:val="TableParagraph"/>
              <w:spacing w:before="8"/>
              <w:rPr>
                <w:i/>
                <w:sz w:val="18"/>
              </w:rPr>
            </w:pPr>
          </w:p>
          <w:p>
            <w:pPr>
              <w:pStyle w:val="TableParagraph"/>
              <w:ind w:left="156" w:right="133"/>
              <w:jc w:val="center"/>
              <w:rPr>
                <w:rFonts w:ascii="Arial"/>
                <w:sz w:val="18"/>
              </w:rPr>
            </w:pPr>
            <w:r>
              <w:rPr>
                <w:rFonts w:ascii="Arial"/>
                <w:spacing w:val="-4"/>
                <w:sz w:val="18"/>
              </w:rPr>
              <w:t>Admin</w:t>
            </w:r>
          </w:p>
        </w:tc>
        <w:tc>
          <w:tcPr>
            <w:tcW w:w="629" w:type="dxa"/>
            <w:tcBorders>
              <w:top w:val="nil"/>
            </w:tcBorders>
          </w:tcPr>
          <w:p>
            <w:pPr>
              <w:pStyle w:val="TableParagraph"/>
              <w:rPr>
                <w:i/>
                <w:sz w:val="20"/>
              </w:rPr>
            </w:pPr>
          </w:p>
          <w:p>
            <w:pPr>
              <w:pStyle w:val="TableParagraph"/>
              <w:spacing w:before="8"/>
              <w:rPr>
                <w:i/>
                <w:sz w:val="18"/>
              </w:rPr>
            </w:pPr>
          </w:p>
          <w:p>
            <w:pPr>
              <w:pStyle w:val="TableParagraph"/>
              <w:ind w:left="20"/>
              <w:jc w:val="center"/>
              <w:rPr>
                <w:rFonts w:ascii="Arial"/>
                <w:sz w:val="18"/>
              </w:rPr>
            </w:pPr>
            <w:r>
              <w:rPr>
                <w:rFonts w:ascii="Arial"/>
                <w:sz w:val="18"/>
              </w:rPr>
              <w:t>R</w:t>
            </w:r>
          </w:p>
        </w:tc>
        <w:tc>
          <w:tcPr>
            <w:tcW w:w="919" w:type="dxa"/>
            <w:tcBorders>
              <w:top w:val="nil"/>
            </w:tcBorders>
          </w:tcPr>
          <w:p>
            <w:pPr>
              <w:pStyle w:val="TableParagraph"/>
              <w:rPr>
                <w:i/>
                <w:sz w:val="20"/>
              </w:rPr>
            </w:pPr>
          </w:p>
          <w:p>
            <w:pPr>
              <w:pStyle w:val="TableParagraph"/>
              <w:spacing w:before="8"/>
              <w:rPr>
                <w:i/>
                <w:sz w:val="18"/>
              </w:rPr>
            </w:pPr>
          </w:p>
          <w:p>
            <w:pPr>
              <w:pStyle w:val="TableParagraph"/>
              <w:ind w:left="22"/>
              <w:jc w:val="center"/>
              <w:rPr>
                <w:rFonts w:ascii="Arial"/>
                <w:sz w:val="18"/>
              </w:rPr>
            </w:pPr>
            <w:r>
              <w:rPr>
                <w:rFonts w:ascii="Arial"/>
                <w:sz w:val="18"/>
              </w:rPr>
              <w:t>P</w:t>
            </w:r>
          </w:p>
        </w:tc>
        <w:tc>
          <w:tcPr>
            <w:tcW w:w="1185" w:type="dxa"/>
            <w:tcBorders>
              <w:top w:val="nil"/>
            </w:tcBorders>
          </w:tcPr>
          <w:p>
            <w:pPr>
              <w:pStyle w:val="TableParagraph"/>
              <w:rPr>
                <w:i/>
                <w:sz w:val="20"/>
              </w:rPr>
            </w:pPr>
          </w:p>
          <w:p>
            <w:pPr>
              <w:pStyle w:val="TableParagraph"/>
              <w:spacing w:before="8"/>
              <w:rPr>
                <w:i/>
                <w:sz w:val="18"/>
              </w:rPr>
            </w:pPr>
          </w:p>
          <w:p>
            <w:pPr>
              <w:pStyle w:val="TableParagraph"/>
              <w:ind w:left="211" w:right="186"/>
              <w:jc w:val="center"/>
              <w:rPr>
                <w:rFonts w:ascii="Arial"/>
                <w:sz w:val="18"/>
              </w:rPr>
            </w:pPr>
            <w:r>
              <w:rPr>
                <w:rFonts w:ascii="Arial"/>
                <w:sz w:val="18"/>
              </w:rPr>
              <w:t>P </w:t>
            </w:r>
            <w:r>
              <w:rPr>
                <w:rFonts w:ascii="Arial"/>
                <w:spacing w:val="-2"/>
                <w:sz w:val="18"/>
              </w:rPr>
              <w:t>(19/20)</w:t>
            </w:r>
          </w:p>
        </w:tc>
        <w:tc>
          <w:tcPr>
            <w:tcW w:w="631" w:type="dxa"/>
            <w:tcBorders>
              <w:top w:val="nil"/>
            </w:tcBorders>
          </w:tcPr>
          <w:p>
            <w:pPr>
              <w:pStyle w:val="TableParagraph"/>
              <w:rPr>
                <w:i/>
                <w:sz w:val="20"/>
              </w:rPr>
            </w:pPr>
          </w:p>
          <w:p>
            <w:pPr>
              <w:pStyle w:val="TableParagraph"/>
              <w:spacing w:before="8"/>
              <w:rPr>
                <w:i/>
                <w:sz w:val="18"/>
              </w:rPr>
            </w:pPr>
          </w:p>
          <w:p>
            <w:pPr>
              <w:pStyle w:val="TableParagraph"/>
              <w:ind w:left="19"/>
              <w:jc w:val="center"/>
              <w:rPr>
                <w:rFonts w:ascii="Arial"/>
                <w:sz w:val="18"/>
              </w:rPr>
            </w:pPr>
            <w:r>
              <w:rPr>
                <w:rFonts w:ascii="Arial"/>
                <w:sz w:val="18"/>
              </w:rPr>
              <w:t>P</w:t>
            </w:r>
          </w:p>
        </w:tc>
        <w:tc>
          <w:tcPr>
            <w:tcW w:w="720" w:type="dxa"/>
            <w:tcBorders>
              <w:top w:val="nil"/>
            </w:tcBorders>
          </w:tcPr>
          <w:p>
            <w:pPr>
              <w:pStyle w:val="TableParagraph"/>
              <w:rPr>
                <w:i/>
                <w:sz w:val="20"/>
              </w:rPr>
            </w:pPr>
          </w:p>
          <w:p>
            <w:pPr>
              <w:pStyle w:val="TableParagraph"/>
              <w:spacing w:before="8"/>
              <w:rPr>
                <w:i/>
                <w:sz w:val="18"/>
              </w:rPr>
            </w:pPr>
          </w:p>
          <w:p>
            <w:pPr>
              <w:pStyle w:val="TableParagraph"/>
              <w:ind w:left="22"/>
              <w:jc w:val="center"/>
              <w:rPr>
                <w:rFonts w:ascii="Arial"/>
                <w:sz w:val="18"/>
              </w:rPr>
            </w:pPr>
            <w:r>
              <w:rPr>
                <w:rFonts w:ascii="Arial"/>
                <w:sz w:val="18"/>
              </w:rPr>
              <w:t>P</w:t>
            </w:r>
          </w:p>
        </w:tc>
      </w:tr>
      <w:tr>
        <w:trPr>
          <w:trHeight w:val="460" w:hRule="atLeast"/>
        </w:trPr>
        <w:tc>
          <w:tcPr>
            <w:tcW w:w="14557" w:type="dxa"/>
            <w:gridSpan w:val="9"/>
          </w:tcPr>
          <w:p>
            <w:pPr>
              <w:pStyle w:val="TableParagraph"/>
              <w:spacing w:before="118"/>
              <w:ind w:left="107"/>
              <w:rPr>
                <w:rFonts w:ascii="Arial" w:hAnsi="Arial"/>
                <w:b/>
                <w:sz w:val="18"/>
              </w:rPr>
            </w:pPr>
            <w:r>
              <w:rPr>
                <w:rFonts w:ascii="Arial" w:hAnsi="Arial"/>
                <w:b/>
                <w:sz w:val="18"/>
              </w:rPr>
              <w:t>Domain</w:t>
            </w:r>
            <w:r>
              <w:rPr>
                <w:rFonts w:ascii="Arial" w:hAnsi="Arial"/>
                <w:b/>
                <w:spacing w:val="-3"/>
                <w:sz w:val="18"/>
              </w:rPr>
              <w:t> </w:t>
            </w:r>
            <w:r>
              <w:rPr>
                <w:rFonts w:ascii="Arial" w:hAnsi="Arial"/>
                <w:b/>
                <w:sz w:val="18"/>
              </w:rPr>
              <w:t>2</w:t>
            </w:r>
            <w:r>
              <w:rPr>
                <w:rFonts w:ascii="Arial" w:hAnsi="Arial"/>
                <w:b/>
                <w:spacing w:val="-3"/>
                <w:sz w:val="18"/>
              </w:rPr>
              <w:t> </w:t>
            </w:r>
            <w:r>
              <w:rPr>
                <w:rFonts w:ascii="Arial" w:hAnsi="Arial"/>
                <w:b/>
                <w:sz w:val="18"/>
              </w:rPr>
              <w:t>– Care</w:t>
            </w:r>
            <w:r>
              <w:rPr>
                <w:rFonts w:ascii="Arial" w:hAnsi="Arial"/>
                <w:b/>
                <w:spacing w:val="-2"/>
                <w:sz w:val="18"/>
              </w:rPr>
              <w:t> Integration</w:t>
            </w:r>
          </w:p>
        </w:tc>
      </w:tr>
      <w:tr>
        <w:trPr>
          <w:trHeight w:val="582" w:hRule="atLeast"/>
        </w:trPr>
        <w:tc>
          <w:tcPr>
            <w:tcW w:w="1128" w:type="dxa"/>
          </w:tcPr>
          <w:p>
            <w:pPr>
              <w:pStyle w:val="TableParagraph"/>
              <w:spacing w:before="178"/>
              <w:ind w:left="448" w:right="429"/>
              <w:jc w:val="center"/>
              <w:rPr>
                <w:rFonts w:ascii="Arial"/>
                <w:sz w:val="18"/>
              </w:rPr>
            </w:pPr>
            <w:r>
              <w:rPr>
                <w:rFonts w:ascii="Arial"/>
                <w:spacing w:val="-5"/>
                <w:sz w:val="18"/>
              </w:rPr>
              <w:t>10</w:t>
            </w:r>
          </w:p>
        </w:tc>
        <w:tc>
          <w:tcPr>
            <w:tcW w:w="2726" w:type="dxa"/>
          </w:tcPr>
          <w:p>
            <w:pPr>
              <w:pStyle w:val="TableParagraph"/>
              <w:spacing w:before="178"/>
              <w:ind w:left="108" w:right="87"/>
              <w:jc w:val="center"/>
              <w:rPr>
                <w:rFonts w:ascii="Arial"/>
                <w:sz w:val="18"/>
              </w:rPr>
            </w:pPr>
            <w:r>
              <w:rPr>
                <w:rFonts w:ascii="Arial"/>
                <w:sz w:val="18"/>
              </w:rPr>
              <w:t>Oral</w:t>
            </w:r>
            <w:r>
              <w:rPr>
                <w:rFonts w:ascii="Arial"/>
                <w:spacing w:val="-1"/>
                <w:sz w:val="18"/>
              </w:rPr>
              <w:t> </w:t>
            </w:r>
            <w:r>
              <w:rPr>
                <w:rFonts w:ascii="Arial"/>
                <w:sz w:val="18"/>
              </w:rPr>
              <w:t>Health</w:t>
            </w:r>
            <w:r>
              <w:rPr>
                <w:rFonts w:ascii="Arial"/>
                <w:spacing w:val="-1"/>
                <w:sz w:val="18"/>
              </w:rPr>
              <w:t> </w:t>
            </w:r>
            <w:r>
              <w:rPr>
                <w:rFonts w:ascii="Arial"/>
                <w:spacing w:val="-2"/>
                <w:sz w:val="18"/>
              </w:rPr>
              <w:t>Evaluation</w:t>
            </w:r>
          </w:p>
        </w:tc>
        <w:tc>
          <w:tcPr>
            <w:tcW w:w="5719" w:type="dxa"/>
          </w:tcPr>
          <w:p>
            <w:pPr>
              <w:pStyle w:val="TableParagraph"/>
              <w:spacing w:line="261" w:lineRule="auto" w:before="66"/>
              <w:ind w:left="568" w:right="96" w:hanging="101"/>
              <w:rPr>
                <w:rFonts w:ascii="Arial"/>
                <w:sz w:val="18"/>
              </w:rPr>
            </w:pPr>
            <w:r>
              <w:rPr>
                <w:rFonts w:ascii="Arial"/>
                <w:sz w:val="18"/>
              </w:rPr>
              <w:t>Percentage</w:t>
            </w:r>
            <w:r>
              <w:rPr>
                <w:rFonts w:ascii="Arial"/>
                <w:spacing w:val="-6"/>
                <w:sz w:val="18"/>
              </w:rPr>
              <w:t> </w:t>
            </w:r>
            <w:r>
              <w:rPr>
                <w:rFonts w:ascii="Arial"/>
                <w:sz w:val="18"/>
              </w:rPr>
              <w:t>of</w:t>
            </w:r>
            <w:r>
              <w:rPr>
                <w:rFonts w:ascii="Arial"/>
                <w:spacing w:val="-6"/>
                <w:sz w:val="18"/>
              </w:rPr>
              <w:t> </w:t>
            </w:r>
            <w:r>
              <w:rPr>
                <w:rFonts w:ascii="Arial"/>
                <w:sz w:val="18"/>
              </w:rPr>
              <w:t>members</w:t>
            </w:r>
            <w:r>
              <w:rPr>
                <w:rFonts w:ascii="Arial"/>
                <w:spacing w:val="-3"/>
                <w:sz w:val="18"/>
              </w:rPr>
              <w:t> </w:t>
            </w:r>
            <w:r>
              <w:rPr>
                <w:rFonts w:ascii="Arial"/>
                <w:sz w:val="18"/>
              </w:rPr>
              <w:t>under</w:t>
            </w:r>
            <w:r>
              <w:rPr>
                <w:rFonts w:ascii="Arial"/>
                <w:spacing w:val="-6"/>
                <w:sz w:val="18"/>
              </w:rPr>
              <w:t> </w:t>
            </w:r>
            <w:r>
              <w:rPr>
                <w:rFonts w:ascii="Arial"/>
                <w:sz w:val="18"/>
              </w:rPr>
              <w:t>age</w:t>
            </w:r>
            <w:r>
              <w:rPr>
                <w:rFonts w:ascii="Arial"/>
                <w:spacing w:val="-3"/>
                <w:sz w:val="18"/>
              </w:rPr>
              <w:t> </w:t>
            </w:r>
            <w:r>
              <w:rPr>
                <w:rFonts w:ascii="Arial"/>
                <w:sz w:val="18"/>
              </w:rPr>
              <w:t>21</w:t>
            </w:r>
            <w:r>
              <w:rPr>
                <w:rFonts w:ascii="Arial"/>
                <w:spacing w:val="-3"/>
                <w:sz w:val="18"/>
              </w:rPr>
              <w:t> </w:t>
            </w:r>
            <w:r>
              <w:rPr>
                <w:rFonts w:ascii="Arial"/>
                <w:sz w:val="18"/>
              </w:rPr>
              <w:t>years</w:t>
            </w:r>
            <w:r>
              <w:rPr>
                <w:rFonts w:ascii="Arial"/>
                <w:spacing w:val="-5"/>
                <w:sz w:val="18"/>
              </w:rPr>
              <w:t> </w:t>
            </w:r>
            <w:r>
              <w:rPr>
                <w:rFonts w:ascii="Arial"/>
                <w:sz w:val="18"/>
              </w:rPr>
              <w:t>who</w:t>
            </w:r>
            <w:r>
              <w:rPr>
                <w:rFonts w:ascii="Arial"/>
                <w:spacing w:val="-3"/>
                <w:sz w:val="18"/>
              </w:rPr>
              <w:t> </w:t>
            </w:r>
            <w:r>
              <w:rPr>
                <w:rFonts w:ascii="Arial"/>
                <w:sz w:val="18"/>
              </w:rPr>
              <w:t>received</w:t>
            </w:r>
            <w:r>
              <w:rPr>
                <w:rFonts w:ascii="Arial"/>
                <w:spacing w:val="-3"/>
                <w:sz w:val="18"/>
              </w:rPr>
              <w:t> </w:t>
            </w:r>
            <w:r>
              <w:rPr>
                <w:rFonts w:ascii="Arial"/>
                <w:sz w:val="18"/>
              </w:rPr>
              <w:t>a comprehensive or periodic oral evaluation during the year</w:t>
            </w:r>
          </w:p>
        </w:tc>
        <w:tc>
          <w:tcPr>
            <w:tcW w:w="900" w:type="dxa"/>
          </w:tcPr>
          <w:p>
            <w:pPr>
              <w:pStyle w:val="TableParagraph"/>
              <w:spacing w:before="178"/>
              <w:ind w:left="156" w:right="134"/>
              <w:jc w:val="center"/>
              <w:rPr>
                <w:rFonts w:ascii="Arial"/>
                <w:sz w:val="18"/>
              </w:rPr>
            </w:pPr>
            <w:r>
              <w:rPr>
                <w:rFonts w:ascii="Arial"/>
                <w:spacing w:val="-4"/>
                <w:sz w:val="18"/>
              </w:rPr>
              <w:t>Admin</w:t>
            </w:r>
          </w:p>
        </w:tc>
        <w:tc>
          <w:tcPr>
            <w:tcW w:w="629" w:type="dxa"/>
          </w:tcPr>
          <w:p>
            <w:pPr>
              <w:pStyle w:val="TableParagraph"/>
              <w:spacing w:before="178"/>
              <w:ind w:left="20"/>
              <w:jc w:val="center"/>
              <w:rPr>
                <w:rFonts w:ascii="Arial"/>
                <w:sz w:val="18"/>
              </w:rPr>
            </w:pPr>
            <w:r>
              <w:rPr>
                <w:rFonts w:ascii="Arial"/>
                <w:sz w:val="18"/>
              </w:rPr>
              <w:t>R</w:t>
            </w:r>
          </w:p>
        </w:tc>
        <w:tc>
          <w:tcPr>
            <w:tcW w:w="919" w:type="dxa"/>
          </w:tcPr>
          <w:p>
            <w:pPr>
              <w:pStyle w:val="TableParagraph"/>
              <w:spacing w:before="178"/>
              <w:ind w:left="22"/>
              <w:jc w:val="center"/>
              <w:rPr>
                <w:rFonts w:ascii="Arial"/>
                <w:sz w:val="18"/>
              </w:rPr>
            </w:pPr>
            <w:r>
              <w:rPr>
                <w:rFonts w:ascii="Arial"/>
                <w:sz w:val="18"/>
              </w:rPr>
              <w:t>R</w:t>
            </w:r>
          </w:p>
        </w:tc>
        <w:tc>
          <w:tcPr>
            <w:tcW w:w="1185" w:type="dxa"/>
          </w:tcPr>
          <w:p>
            <w:pPr>
              <w:pStyle w:val="TableParagraph"/>
              <w:spacing w:before="178"/>
              <w:ind w:left="21"/>
              <w:jc w:val="center"/>
              <w:rPr>
                <w:rFonts w:ascii="Arial"/>
                <w:sz w:val="18"/>
              </w:rPr>
            </w:pPr>
            <w:r>
              <w:rPr>
                <w:rFonts w:ascii="Arial"/>
                <w:sz w:val="18"/>
              </w:rPr>
              <w:t>R</w:t>
            </w:r>
          </w:p>
        </w:tc>
        <w:tc>
          <w:tcPr>
            <w:tcW w:w="631" w:type="dxa"/>
          </w:tcPr>
          <w:p>
            <w:pPr>
              <w:pStyle w:val="TableParagraph"/>
              <w:spacing w:before="178"/>
              <w:ind w:left="19"/>
              <w:jc w:val="center"/>
              <w:rPr>
                <w:rFonts w:ascii="Arial"/>
                <w:sz w:val="18"/>
              </w:rPr>
            </w:pPr>
            <w:r>
              <w:rPr>
                <w:rFonts w:ascii="Arial"/>
                <w:sz w:val="18"/>
              </w:rPr>
              <w:t>P</w:t>
            </w:r>
          </w:p>
        </w:tc>
        <w:tc>
          <w:tcPr>
            <w:tcW w:w="720" w:type="dxa"/>
          </w:tcPr>
          <w:p>
            <w:pPr>
              <w:pStyle w:val="TableParagraph"/>
              <w:spacing w:before="178"/>
              <w:ind w:left="22"/>
              <w:jc w:val="center"/>
              <w:rPr>
                <w:rFonts w:ascii="Arial"/>
                <w:sz w:val="18"/>
              </w:rPr>
            </w:pPr>
            <w:r>
              <w:rPr>
                <w:rFonts w:ascii="Arial"/>
                <w:sz w:val="18"/>
              </w:rPr>
              <w:t>P</w:t>
            </w:r>
          </w:p>
        </w:tc>
      </w:tr>
      <w:tr>
        <w:trPr>
          <w:trHeight w:val="894" w:hRule="atLeast"/>
        </w:trPr>
        <w:tc>
          <w:tcPr>
            <w:tcW w:w="1128" w:type="dxa"/>
          </w:tcPr>
          <w:p>
            <w:pPr>
              <w:pStyle w:val="TableParagraph"/>
              <w:spacing w:before="1"/>
              <w:rPr>
                <w:i/>
                <w:sz w:val="29"/>
              </w:rPr>
            </w:pPr>
          </w:p>
          <w:p>
            <w:pPr>
              <w:pStyle w:val="TableParagraph"/>
              <w:ind w:left="448" w:right="429"/>
              <w:jc w:val="center"/>
              <w:rPr>
                <w:rFonts w:ascii="Arial"/>
                <w:sz w:val="18"/>
              </w:rPr>
            </w:pPr>
            <w:r>
              <w:rPr>
                <w:rFonts w:ascii="Arial"/>
                <w:spacing w:val="-5"/>
                <w:sz w:val="18"/>
              </w:rPr>
              <w:t>11</w:t>
            </w:r>
          </w:p>
        </w:tc>
        <w:tc>
          <w:tcPr>
            <w:tcW w:w="2726" w:type="dxa"/>
          </w:tcPr>
          <w:p>
            <w:pPr>
              <w:pStyle w:val="TableParagraph"/>
              <w:spacing w:before="5"/>
              <w:rPr>
                <w:i/>
                <w:sz w:val="19"/>
              </w:rPr>
            </w:pPr>
          </w:p>
          <w:p>
            <w:pPr>
              <w:pStyle w:val="TableParagraph"/>
              <w:spacing w:line="259" w:lineRule="auto" w:before="1"/>
              <w:ind w:left="757" w:hanging="586"/>
              <w:rPr>
                <w:rFonts w:ascii="Arial"/>
                <w:sz w:val="18"/>
              </w:rPr>
            </w:pPr>
            <w:r>
              <w:rPr>
                <w:rFonts w:ascii="Arial"/>
                <w:sz w:val="18"/>
              </w:rPr>
              <w:t>Screening</w:t>
            </w:r>
            <w:r>
              <w:rPr>
                <w:rFonts w:ascii="Arial"/>
                <w:spacing w:val="-13"/>
                <w:sz w:val="18"/>
              </w:rPr>
              <w:t> </w:t>
            </w:r>
            <w:r>
              <w:rPr>
                <w:rFonts w:ascii="Arial"/>
                <w:sz w:val="18"/>
              </w:rPr>
              <w:t>for</w:t>
            </w:r>
            <w:r>
              <w:rPr>
                <w:rFonts w:ascii="Arial"/>
                <w:spacing w:val="-12"/>
                <w:sz w:val="18"/>
              </w:rPr>
              <w:t> </w:t>
            </w:r>
            <w:r>
              <w:rPr>
                <w:rFonts w:ascii="Arial"/>
                <w:sz w:val="18"/>
              </w:rPr>
              <w:t>Depression</w:t>
            </w:r>
            <w:r>
              <w:rPr>
                <w:rFonts w:ascii="Arial"/>
                <w:spacing w:val="-11"/>
                <w:sz w:val="18"/>
              </w:rPr>
              <w:t> </w:t>
            </w:r>
            <w:r>
              <w:rPr>
                <w:rFonts w:ascii="Arial"/>
                <w:sz w:val="18"/>
              </w:rPr>
              <w:t>and Follow Up Plan</w:t>
            </w:r>
          </w:p>
        </w:tc>
        <w:tc>
          <w:tcPr>
            <w:tcW w:w="5719" w:type="dxa"/>
          </w:tcPr>
          <w:p>
            <w:pPr>
              <w:pStyle w:val="TableParagraph"/>
              <w:spacing w:line="259" w:lineRule="auto" w:before="1"/>
              <w:ind w:left="136" w:right="110"/>
              <w:jc w:val="center"/>
              <w:rPr>
                <w:rFonts w:ascii="Arial"/>
                <w:sz w:val="18"/>
              </w:rPr>
            </w:pPr>
            <w:r>
              <w:rPr>
                <w:rFonts w:ascii="Arial"/>
                <w:color w:val="232323"/>
                <w:sz w:val="18"/>
              </w:rPr>
              <w:t>Percentage</w:t>
            </w:r>
            <w:r>
              <w:rPr>
                <w:rFonts w:ascii="Arial"/>
                <w:color w:val="232323"/>
                <w:spacing w:val="-6"/>
                <w:sz w:val="18"/>
              </w:rPr>
              <w:t> </w:t>
            </w:r>
            <w:r>
              <w:rPr>
                <w:rFonts w:ascii="Arial"/>
                <w:color w:val="232323"/>
                <w:sz w:val="18"/>
              </w:rPr>
              <w:t>of</w:t>
            </w:r>
            <w:r>
              <w:rPr>
                <w:rFonts w:ascii="Arial"/>
                <w:color w:val="232323"/>
                <w:spacing w:val="-6"/>
                <w:sz w:val="18"/>
              </w:rPr>
              <w:t> </w:t>
            </w:r>
            <w:r>
              <w:rPr>
                <w:rFonts w:ascii="Arial"/>
                <w:color w:val="232323"/>
                <w:sz w:val="18"/>
              </w:rPr>
              <w:t>members</w:t>
            </w:r>
            <w:r>
              <w:rPr>
                <w:rFonts w:ascii="Arial"/>
                <w:color w:val="232323"/>
                <w:spacing w:val="-3"/>
                <w:sz w:val="18"/>
              </w:rPr>
              <w:t> </w:t>
            </w:r>
            <w:r>
              <w:rPr>
                <w:rFonts w:ascii="Arial"/>
                <w:color w:val="232323"/>
                <w:sz w:val="18"/>
              </w:rPr>
              <w:t>12</w:t>
            </w:r>
            <w:r>
              <w:rPr>
                <w:rFonts w:ascii="Arial"/>
                <w:color w:val="232323"/>
                <w:spacing w:val="-6"/>
                <w:sz w:val="18"/>
              </w:rPr>
              <w:t> </w:t>
            </w:r>
            <w:r>
              <w:rPr>
                <w:rFonts w:ascii="Arial"/>
                <w:color w:val="232323"/>
                <w:sz w:val="18"/>
              </w:rPr>
              <w:t>to</w:t>
            </w:r>
            <w:r>
              <w:rPr>
                <w:rFonts w:ascii="Arial"/>
                <w:color w:val="232323"/>
                <w:spacing w:val="-6"/>
                <w:sz w:val="18"/>
              </w:rPr>
              <w:t> </w:t>
            </w:r>
            <w:r>
              <w:rPr>
                <w:rFonts w:ascii="Arial"/>
                <w:color w:val="232323"/>
                <w:sz w:val="18"/>
              </w:rPr>
              <w:t>64</w:t>
            </w:r>
            <w:r>
              <w:rPr>
                <w:rFonts w:ascii="Arial"/>
                <w:color w:val="232323"/>
                <w:spacing w:val="-3"/>
                <w:sz w:val="18"/>
              </w:rPr>
              <w:t> </w:t>
            </w:r>
            <w:r>
              <w:rPr>
                <w:rFonts w:ascii="Arial"/>
                <w:color w:val="232323"/>
                <w:sz w:val="18"/>
              </w:rPr>
              <w:t>years</w:t>
            </w:r>
            <w:r>
              <w:rPr>
                <w:rFonts w:ascii="Arial"/>
                <w:color w:val="232323"/>
                <w:spacing w:val="-5"/>
                <w:sz w:val="18"/>
              </w:rPr>
              <w:t> </w:t>
            </w:r>
            <w:r>
              <w:rPr>
                <w:rFonts w:ascii="Arial"/>
                <w:color w:val="232323"/>
                <w:sz w:val="18"/>
              </w:rPr>
              <w:t>screened</w:t>
            </w:r>
            <w:r>
              <w:rPr>
                <w:rFonts w:ascii="Arial"/>
                <w:color w:val="232323"/>
                <w:spacing w:val="-3"/>
                <w:sz w:val="18"/>
              </w:rPr>
              <w:t> </w:t>
            </w:r>
            <w:r>
              <w:rPr>
                <w:rFonts w:ascii="Arial"/>
                <w:color w:val="232323"/>
                <w:sz w:val="18"/>
              </w:rPr>
              <w:t>for</w:t>
            </w:r>
            <w:r>
              <w:rPr>
                <w:rFonts w:ascii="Arial"/>
                <w:color w:val="232323"/>
                <w:spacing w:val="-4"/>
                <w:sz w:val="18"/>
              </w:rPr>
              <w:t> </w:t>
            </w:r>
            <w:r>
              <w:rPr>
                <w:rFonts w:ascii="Arial"/>
                <w:color w:val="232323"/>
                <w:sz w:val="18"/>
              </w:rPr>
              <w:t>depression</w:t>
            </w:r>
            <w:r>
              <w:rPr>
                <w:rFonts w:ascii="Arial"/>
                <w:color w:val="232323"/>
                <w:spacing w:val="-3"/>
                <w:sz w:val="18"/>
              </w:rPr>
              <w:t> </w:t>
            </w:r>
            <w:r>
              <w:rPr>
                <w:rFonts w:ascii="Arial"/>
                <w:color w:val="232323"/>
                <w:sz w:val="18"/>
              </w:rPr>
              <w:t>on the date of the encounter using an age appropriate standardized depression screening tool AND if positive, a follow-up plan is</w:t>
            </w:r>
          </w:p>
          <w:p>
            <w:pPr>
              <w:pStyle w:val="TableParagraph"/>
              <w:spacing w:line="203" w:lineRule="exact"/>
              <w:ind w:left="136" w:right="109"/>
              <w:jc w:val="center"/>
              <w:rPr>
                <w:rFonts w:ascii="Arial"/>
                <w:sz w:val="18"/>
              </w:rPr>
            </w:pPr>
            <w:r>
              <w:rPr>
                <w:rFonts w:ascii="Arial"/>
                <w:color w:val="232323"/>
                <w:sz w:val="18"/>
              </w:rPr>
              <w:t>documented</w:t>
            </w:r>
            <w:r>
              <w:rPr>
                <w:rFonts w:ascii="Arial"/>
                <w:color w:val="232323"/>
                <w:spacing w:val="-4"/>
                <w:sz w:val="18"/>
              </w:rPr>
              <w:t> </w:t>
            </w:r>
            <w:r>
              <w:rPr>
                <w:rFonts w:ascii="Arial"/>
                <w:color w:val="232323"/>
                <w:sz w:val="18"/>
              </w:rPr>
              <w:t>on</w:t>
            </w:r>
            <w:r>
              <w:rPr>
                <w:rFonts w:ascii="Arial"/>
                <w:color w:val="232323"/>
                <w:spacing w:val="-1"/>
                <w:sz w:val="18"/>
              </w:rPr>
              <w:t> </w:t>
            </w:r>
            <w:r>
              <w:rPr>
                <w:rFonts w:ascii="Arial"/>
                <w:color w:val="232323"/>
                <w:sz w:val="18"/>
              </w:rPr>
              <w:t>the</w:t>
            </w:r>
            <w:r>
              <w:rPr>
                <w:rFonts w:ascii="Arial"/>
                <w:color w:val="232323"/>
                <w:spacing w:val="-1"/>
                <w:sz w:val="18"/>
              </w:rPr>
              <w:t> </w:t>
            </w:r>
            <w:r>
              <w:rPr>
                <w:rFonts w:ascii="Arial"/>
                <w:color w:val="232323"/>
                <w:sz w:val="18"/>
              </w:rPr>
              <w:t>date of</w:t>
            </w:r>
            <w:r>
              <w:rPr>
                <w:rFonts w:ascii="Arial"/>
                <w:color w:val="232323"/>
                <w:spacing w:val="-2"/>
                <w:sz w:val="18"/>
              </w:rPr>
              <w:t> </w:t>
            </w:r>
            <w:r>
              <w:rPr>
                <w:rFonts w:ascii="Arial"/>
                <w:color w:val="232323"/>
                <w:sz w:val="18"/>
              </w:rPr>
              <w:t>the</w:t>
            </w:r>
            <w:r>
              <w:rPr>
                <w:rFonts w:ascii="Arial"/>
                <w:color w:val="232323"/>
                <w:spacing w:val="-4"/>
                <w:sz w:val="18"/>
              </w:rPr>
              <w:t> </w:t>
            </w:r>
            <w:r>
              <w:rPr>
                <w:rFonts w:ascii="Arial"/>
                <w:color w:val="232323"/>
                <w:sz w:val="18"/>
              </w:rPr>
              <w:t>positive</w:t>
            </w:r>
            <w:r>
              <w:rPr>
                <w:rFonts w:ascii="Arial"/>
                <w:color w:val="232323"/>
                <w:spacing w:val="-3"/>
                <w:sz w:val="18"/>
              </w:rPr>
              <w:t> </w:t>
            </w:r>
            <w:r>
              <w:rPr>
                <w:rFonts w:ascii="Arial"/>
                <w:color w:val="232323"/>
                <w:spacing w:val="-2"/>
                <w:sz w:val="18"/>
              </w:rPr>
              <w:t>screen</w:t>
            </w:r>
          </w:p>
        </w:tc>
        <w:tc>
          <w:tcPr>
            <w:tcW w:w="900" w:type="dxa"/>
          </w:tcPr>
          <w:p>
            <w:pPr>
              <w:pStyle w:val="TableParagraph"/>
              <w:spacing w:before="1"/>
              <w:rPr>
                <w:i/>
                <w:sz w:val="29"/>
              </w:rPr>
            </w:pPr>
          </w:p>
          <w:p>
            <w:pPr>
              <w:pStyle w:val="TableParagraph"/>
              <w:ind w:left="154" w:right="135"/>
              <w:jc w:val="center"/>
              <w:rPr>
                <w:rFonts w:ascii="Arial"/>
                <w:sz w:val="18"/>
              </w:rPr>
            </w:pPr>
            <w:r>
              <w:rPr>
                <w:rFonts w:ascii="Arial"/>
                <w:spacing w:val="-2"/>
                <w:sz w:val="18"/>
              </w:rPr>
              <w:t>Hybrid</w:t>
            </w:r>
          </w:p>
        </w:tc>
        <w:tc>
          <w:tcPr>
            <w:tcW w:w="629" w:type="dxa"/>
          </w:tcPr>
          <w:p>
            <w:pPr>
              <w:pStyle w:val="TableParagraph"/>
              <w:spacing w:before="1"/>
              <w:rPr>
                <w:i/>
                <w:sz w:val="29"/>
              </w:rPr>
            </w:pPr>
          </w:p>
          <w:p>
            <w:pPr>
              <w:pStyle w:val="TableParagraph"/>
              <w:ind w:left="126" w:right="106"/>
              <w:jc w:val="center"/>
              <w:rPr>
                <w:rFonts w:ascii="Arial"/>
                <w:sz w:val="18"/>
              </w:rPr>
            </w:pPr>
            <w:r>
              <w:rPr>
                <w:rFonts w:ascii="Arial"/>
                <w:spacing w:val="-5"/>
                <w:sz w:val="18"/>
              </w:rPr>
              <w:t>P4R</w:t>
            </w:r>
          </w:p>
        </w:tc>
        <w:tc>
          <w:tcPr>
            <w:tcW w:w="919" w:type="dxa"/>
          </w:tcPr>
          <w:p>
            <w:pPr>
              <w:pStyle w:val="TableParagraph"/>
              <w:spacing w:before="1"/>
              <w:rPr>
                <w:i/>
                <w:sz w:val="29"/>
              </w:rPr>
            </w:pPr>
          </w:p>
          <w:p>
            <w:pPr>
              <w:pStyle w:val="TableParagraph"/>
              <w:ind w:left="22"/>
              <w:jc w:val="center"/>
              <w:rPr>
                <w:rFonts w:ascii="Arial"/>
                <w:sz w:val="18"/>
              </w:rPr>
            </w:pPr>
            <w:r>
              <w:rPr>
                <w:rFonts w:ascii="Arial"/>
                <w:sz w:val="18"/>
              </w:rPr>
              <w:t>R</w:t>
            </w:r>
          </w:p>
        </w:tc>
        <w:tc>
          <w:tcPr>
            <w:tcW w:w="1185" w:type="dxa"/>
          </w:tcPr>
          <w:p>
            <w:pPr>
              <w:pStyle w:val="TableParagraph"/>
              <w:spacing w:before="1"/>
              <w:rPr>
                <w:i/>
                <w:sz w:val="29"/>
              </w:rPr>
            </w:pPr>
          </w:p>
          <w:p>
            <w:pPr>
              <w:pStyle w:val="TableParagraph"/>
              <w:ind w:left="21"/>
              <w:jc w:val="center"/>
              <w:rPr>
                <w:rFonts w:ascii="Arial"/>
                <w:sz w:val="18"/>
              </w:rPr>
            </w:pPr>
            <w:r>
              <w:rPr>
                <w:rFonts w:ascii="Arial"/>
                <w:sz w:val="18"/>
              </w:rPr>
              <w:t>R</w:t>
            </w:r>
          </w:p>
        </w:tc>
        <w:tc>
          <w:tcPr>
            <w:tcW w:w="631" w:type="dxa"/>
          </w:tcPr>
          <w:p>
            <w:pPr>
              <w:pStyle w:val="TableParagraph"/>
              <w:spacing w:before="1"/>
              <w:rPr>
                <w:i/>
                <w:sz w:val="29"/>
              </w:rPr>
            </w:pPr>
          </w:p>
          <w:p>
            <w:pPr>
              <w:pStyle w:val="TableParagraph"/>
              <w:ind w:left="19"/>
              <w:jc w:val="center"/>
              <w:rPr>
                <w:rFonts w:ascii="Arial"/>
                <w:sz w:val="18"/>
              </w:rPr>
            </w:pPr>
            <w:r>
              <w:rPr>
                <w:rFonts w:ascii="Arial"/>
                <w:sz w:val="18"/>
              </w:rPr>
              <w:t>R</w:t>
            </w:r>
          </w:p>
        </w:tc>
        <w:tc>
          <w:tcPr>
            <w:tcW w:w="720" w:type="dxa"/>
          </w:tcPr>
          <w:p>
            <w:pPr>
              <w:pStyle w:val="TableParagraph"/>
              <w:spacing w:before="1"/>
              <w:rPr>
                <w:i/>
                <w:sz w:val="29"/>
              </w:rPr>
            </w:pPr>
          </w:p>
          <w:p>
            <w:pPr>
              <w:pStyle w:val="TableParagraph"/>
              <w:ind w:left="22"/>
              <w:jc w:val="center"/>
              <w:rPr>
                <w:rFonts w:ascii="Arial"/>
                <w:sz w:val="18"/>
              </w:rPr>
            </w:pPr>
            <w:r>
              <w:rPr>
                <w:rFonts w:ascii="Arial"/>
                <w:sz w:val="18"/>
              </w:rPr>
              <w:t>P</w:t>
            </w:r>
          </w:p>
        </w:tc>
      </w:tr>
      <w:tr>
        <w:trPr>
          <w:trHeight w:val="892" w:hRule="atLeast"/>
        </w:trPr>
        <w:tc>
          <w:tcPr>
            <w:tcW w:w="1128" w:type="dxa"/>
          </w:tcPr>
          <w:p>
            <w:pPr>
              <w:pStyle w:val="TableParagraph"/>
              <w:spacing w:before="1"/>
              <w:rPr>
                <w:i/>
                <w:sz w:val="29"/>
              </w:rPr>
            </w:pPr>
          </w:p>
          <w:p>
            <w:pPr>
              <w:pStyle w:val="TableParagraph"/>
              <w:ind w:left="448" w:right="429"/>
              <w:jc w:val="center"/>
              <w:rPr>
                <w:rFonts w:ascii="Arial"/>
                <w:sz w:val="18"/>
              </w:rPr>
            </w:pPr>
            <w:r>
              <w:rPr>
                <w:rFonts w:ascii="Arial"/>
                <w:spacing w:val="-5"/>
                <w:sz w:val="18"/>
              </w:rPr>
              <w:t>12</w:t>
            </w:r>
          </w:p>
        </w:tc>
        <w:tc>
          <w:tcPr>
            <w:tcW w:w="2726" w:type="dxa"/>
          </w:tcPr>
          <w:p>
            <w:pPr>
              <w:pStyle w:val="TableParagraph"/>
              <w:spacing w:before="3"/>
              <w:rPr>
                <w:i/>
                <w:sz w:val="19"/>
              </w:rPr>
            </w:pPr>
          </w:p>
          <w:p>
            <w:pPr>
              <w:pStyle w:val="TableParagraph"/>
              <w:spacing w:line="259" w:lineRule="auto"/>
              <w:ind w:left="957" w:hanging="600"/>
              <w:rPr>
                <w:rFonts w:ascii="Arial"/>
                <w:sz w:val="18"/>
              </w:rPr>
            </w:pPr>
            <w:r>
              <w:rPr>
                <w:rFonts w:ascii="Arial"/>
                <w:sz w:val="18"/>
              </w:rPr>
              <w:t>Depression</w:t>
            </w:r>
            <w:r>
              <w:rPr>
                <w:rFonts w:ascii="Arial"/>
                <w:spacing w:val="-15"/>
                <w:sz w:val="18"/>
              </w:rPr>
              <w:t> </w:t>
            </w:r>
            <w:r>
              <w:rPr>
                <w:rFonts w:ascii="Arial"/>
                <w:sz w:val="18"/>
              </w:rPr>
              <w:t>Remission</w:t>
            </w:r>
            <w:r>
              <w:rPr>
                <w:rFonts w:ascii="Arial"/>
                <w:spacing w:val="-12"/>
                <w:sz w:val="18"/>
              </w:rPr>
              <w:t> </w:t>
            </w:r>
            <w:r>
              <w:rPr>
                <w:rFonts w:ascii="Arial"/>
                <w:sz w:val="18"/>
              </w:rPr>
              <w:t>or </w:t>
            </w:r>
            <w:r>
              <w:rPr>
                <w:rFonts w:ascii="Arial"/>
                <w:spacing w:val="-2"/>
                <w:sz w:val="18"/>
              </w:rPr>
              <w:t>Response</w:t>
            </w:r>
          </w:p>
        </w:tc>
        <w:tc>
          <w:tcPr>
            <w:tcW w:w="5719" w:type="dxa"/>
          </w:tcPr>
          <w:p>
            <w:pPr>
              <w:pStyle w:val="TableParagraph"/>
              <w:spacing w:line="259" w:lineRule="auto"/>
              <w:ind w:left="194" w:right="167" w:firstLine="1"/>
              <w:jc w:val="center"/>
              <w:rPr>
                <w:rFonts w:ascii="Arial"/>
                <w:sz w:val="18"/>
              </w:rPr>
            </w:pPr>
            <w:r>
              <w:rPr>
                <w:rFonts w:ascii="Arial"/>
                <w:sz w:val="18"/>
              </w:rPr>
              <w:t>Percentage of members 12 to 64 years of age with a diagnosis of depression and elevated PHQ-9 score, who received follow-up evaluation</w:t>
            </w:r>
            <w:r>
              <w:rPr>
                <w:rFonts w:ascii="Arial"/>
                <w:spacing w:val="-4"/>
                <w:sz w:val="18"/>
              </w:rPr>
              <w:t> </w:t>
            </w:r>
            <w:r>
              <w:rPr>
                <w:rFonts w:ascii="Arial"/>
                <w:sz w:val="18"/>
              </w:rPr>
              <w:t>with</w:t>
            </w:r>
            <w:r>
              <w:rPr>
                <w:rFonts w:ascii="Arial"/>
                <w:spacing w:val="-4"/>
                <w:sz w:val="18"/>
              </w:rPr>
              <w:t> </w:t>
            </w:r>
            <w:r>
              <w:rPr>
                <w:rFonts w:ascii="Arial"/>
                <w:sz w:val="18"/>
              </w:rPr>
              <w:t>PHQ-9</w:t>
            </w:r>
            <w:r>
              <w:rPr>
                <w:rFonts w:ascii="Arial"/>
                <w:spacing w:val="-4"/>
                <w:sz w:val="18"/>
              </w:rPr>
              <w:t> </w:t>
            </w:r>
            <w:r>
              <w:rPr>
                <w:rFonts w:ascii="Arial"/>
                <w:sz w:val="18"/>
              </w:rPr>
              <w:t>and</w:t>
            </w:r>
            <w:r>
              <w:rPr>
                <w:rFonts w:ascii="Arial"/>
                <w:spacing w:val="-4"/>
                <w:sz w:val="18"/>
              </w:rPr>
              <w:t> </w:t>
            </w:r>
            <w:r>
              <w:rPr>
                <w:rFonts w:ascii="Arial"/>
                <w:sz w:val="18"/>
              </w:rPr>
              <w:t>experienced</w:t>
            </w:r>
            <w:r>
              <w:rPr>
                <w:rFonts w:ascii="Arial"/>
                <w:spacing w:val="-4"/>
                <w:sz w:val="18"/>
              </w:rPr>
              <w:t> </w:t>
            </w:r>
            <w:r>
              <w:rPr>
                <w:rFonts w:ascii="Arial"/>
                <w:sz w:val="18"/>
              </w:rPr>
              <w:t>response</w:t>
            </w:r>
            <w:r>
              <w:rPr>
                <w:rFonts w:ascii="Arial"/>
                <w:spacing w:val="-6"/>
                <w:sz w:val="18"/>
              </w:rPr>
              <w:t> </w:t>
            </w:r>
            <w:r>
              <w:rPr>
                <w:rFonts w:ascii="Arial"/>
                <w:sz w:val="18"/>
              </w:rPr>
              <w:t>or</w:t>
            </w:r>
            <w:r>
              <w:rPr>
                <w:rFonts w:ascii="Arial"/>
                <w:spacing w:val="-5"/>
                <w:sz w:val="18"/>
              </w:rPr>
              <w:t> </w:t>
            </w:r>
            <w:r>
              <w:rPr>
                <w:rFonts w:ascii="Arial"/>
                <w:sz w:val="18"/>
              </w:rPr>
              <w:t>remission</w:t>
            </w:r>
            <w:r>
              <w:rPr>
                <w:rFonts w:ascii="Arial"/>
                <w:spacing w:val="-4"/>
                <w:sz w:val="18"/>
              </w:rPr>
              <w:t> </w:t>
            </w:r>
            <w:r>
              <w:rPr>
                <w:rFonts w:ascii="Arial"/>
                <w:sz w:val="18"/>
              </w:rPr>
              <w:t>in</w:t>
            </w:r>
            <w:r>
              <w:rPr>
                <w:rFonts w:ascii="Arial"/>
                <w:spacing w:val="-6"/>
                <w:sz w:val="18"/>
              </w:rPr>
              <w:t> </w:t>
            </w:r>
            <w:r>
              <w:rPr>
                <w:rFonts w:ascii="Arial"/>
                <w:sz w:val="18"/>
              </w:rPr>
              <w:t>4</w:t>
            </w:r>
          </w:p>
          <w:p>
            <w:pPr>
              <w:pStyle w:val="TableParagraph"/>
              <w:spacing w:line="203" w:lineRule="exact"/>
              <w:ind w:left="135" w:right="111"/>
              <w:jc w:val="center"/>
              <w:rPr>
                <w:rFonts w:ascii="Arial"/>
                <w:sz w:val="18"/>
              </w:rPr>
            </w:pPr>
            <w:r>
              <w:rPr>
                <w:rFonts w:ascii="Arial"/>
                <w:sz w:val="18"/>
              </w:rPr>
              <w:t>to</w:t>
            </w:r>
            <w:r>
              <w:rPr>
                <w:rFonts w:ascii="Arial"/>
                <w:spacing w:val="-2"/>
                <w:sz w:val="18"/>
              </w:rPr>
              <w:t> </w:t>
            </w:r>
            <w:r>
              <w:rPr>
                <w:rFonts w:ascii="Arial"/>
                <w:sz w:val="18"/>
              </w:rPr>
              <w:t>8</w:t>
            </w:r>
            <w:r>
              <w:rPr>
                <w:rFonts w:ascii="Arial"/>
                <w:spacing w:val="-3"/>
                <w:sz w:val="18"/>
              </w:rPr>
              <w:t> </w:t>
            </w:r>
            <w:r>
              <w:rPr>
                <w:rFonts w:ascii="Arial"/>
                <w:sz w:val="18"/>
              </w:rPr>
              <w:t>months</w:t>
            </w:r>
            <w:r>
              <w:rPr>
                <w:rFonts w:ascii="Arial"/>
                <w:spacing w:val="-2"/>
                <w:sz w:val="18"/>
              </w:rPr>
              <w:t> </w:t>
            </w:r>
            <w:r>
              <w:rPr>
                <w:rFonts w:ascii="Arial"/>
                <w:sz w:val="18"/>
              </w:rPr>
              <w:t>following</w:t>
            </w:r>
            <w:r>
              <w:rPr>
                <w:rFonts w:ascii="Arial"/>
                <w:spacing w:val="-1"/>
                <w:sz w:val="18"/>
              </w:rPr>
              <w:t> </w:t>
            </w:r>
            <w:r>
              <w:rPr>
                <w:rFonts w:ascii="Arial"/>
                <w:sz w:val="18"/>
              </w:rPr>
              <w:t>the</w:t>
            </w:r>
            <w:r>
              <w:rPr>
                <w:rFonts w:ascii="Arial"/>
                <w:spacing w:val="-4"/>
                <w:sz w:val="18"/>
              </w:rPr>
              <w:t> </w:t>
            </w:r>
            <w:r>
              <w:rPr>
                <w:rFonts w:ascii="Arial"/>
                <w:sz w:val="18"/>
              </w:rPr>
              <w:t>elevated</w:t>
            </w:r>
            <w:r>
              <w:rPr>
                <w:rFonts w:ascii="Arial"/>
                <w:spacing w:val="-3"/>
                <w:sz w:val="18"/>
              </w:rPr>
              <w:t> </w:t>
            </w:r>
            <w:r>
              <w:rPr>
                <w:rFonts w:ascii="Arial"/>
                <w:spacing w:val="-4"/>
                <w:sz w:val="18"/>
              </w:rPr>
              <w:t>score</w:t>
            </w:r>
          </w:p>
        </w:tc>
        <w:tc>
          <w:tcPr>
            <w:tcW w:w="900" w:type="dxa"/>
          </w:tcPr>
          <w:p>
            <w:pPr>
              <w:pStyle w:val="TableParagraph"/>
              <w:spacing w:before="1"/>
              <w:rPr>
                <w:i/>
                <w:sz w:val="29"/>
              </w:rPr>
            </w:pPr>
          </w:p>
          <w:p>
            <w:pPr>
              <w:pStyle w:val="TableParagraph"/>
              <w:ind w:left="154" w:right="135"/>
              <w:jc w:val="center"/>
              <w:rPr>
                <w:rFonts w:ascii="Arial"/>
                <w:sz w:val="18"/>
              </w:rPr>
            </w:pPr>
            <w:r>
              <w:rPr>
                <w:rFonts w:ascii="Arial"/>
                <w:spacing w:val="-2"/>
                <w:sz w:val="18"/>
              </w:rPr>
              <w:t>Hybrid</w:t>
            </w:r>
          </w:p>
        </w:tc>
        <w:tc>
          <w:tcPr>
            <w:tcW w:w="629" w:type="dxa"/>
          </w:tcPr>
          <w:p>
            <w:pPr>
              <w:pStyle w:val="TableParagraph"/>
              <w:spacing w:before="1"/>
              <w:rPr>
                <w:i/>
                <w:sz w:val="29"/>
              </w:rPr>
            </w:pPr>
          </w:p>
          <w:p>
            <w:pPr>
              <w:pStyle w:val="TableParagraph"/>
              <w:ind w:left="126" w:right="106"/>
              <w:jc w:val="center"/>
              <w:rPr>
                <w:rFonts w:ascii="Arial"/>
                <w:sz w:val="18"/>
              </w:rPr>
            </w:pPr>
            <w:r>
              <w:rPr>
                <w:rFonts w:ascii="Arial"/>
                <w:spacing w:val="-5"/>
                <w:sz w:val="18"/>
              </w:rPr>
              <w:t>P4R</w:t>
            </w:r>
          </w:p>
        </w:tc>
        <w:tc>
          <w:tcPr>
            <w:tcW w:w="919" w:type="dxa"/>
          </w:tcPr>
          <w:p>
            <w:pPr>
              <w:pStyle w:val="TableParagraph"/>
              <w:spacing w:before="1"/>
              <w:rPr>
                <w:i/>
                <w:sz w:val="29"/>
              </w:rPr>
            </w:pPr>
          </w:p>
          <w:p>
            <w:pPr>
              <w:pStyle w:val="TableParagraph"/>
              <w:ind w:left="22"/>
              <w:jc w:val="center"/>
              <w:rPr>
                <w:rFonts w:ascii="Arial"/>
                <w:sz w:val="18"/>
              </w:rPr>
            </w:pPr>
            <w:r>
              <w:rPr>
                <w:rFonts w:ascii="Arial"/>
                <w:sz w:val="18"/>
              </w:rPr>
              <w:t>R</w:t>
            </w:r>
          </w:p>
        </w:tc>
        <w:tc>
          <w:tcPr>
            <w:tcW w:w="1185" w:type="dxa"/>
          </w:tcPr>
          <w:p>
            <w:pPr>
              <w:pStyle w:val="TableParagraph"/>
              <w:spacing w:before="1"/>
              <w:rPr>
                <w:i/>
                <w:sz w:val="29"/>
              </w:rPr>
            </w:pPr>
          </w:p>
          <w:p>
            <w:pPr>
              <w:pStyle w:val="TableParagraph"/>
              <w:ind w:left="21"/>
              <w:jc w:val="center"/>
              <w:rPr>
                <w:rFonts w:ascii="Arial"/>
                <w:sz w:val="18"/>
              </w:rPr>
            </w:pPr>
            <w:r>
              <w:rPr>
                <w:rFonts w:ascii="Arial"/>
                <w:sz w:val="18"/>
              </w:rPr>
              <w:t>R</w:t>
            </w:r>
          </w:p>
        </w:tc>
        <w:tc>
          <w:tcPr>
            <w:tcW w:w="631" w:type="dxa"/>
          </w:tcPr>
          <w:p>
            <w:pPr>
              <w:pStyle w:val="TableParagraph"/>
              <w:spacing w:before="1"/>
              <w:rPr>
                <w:i/>
                <w:sz w:val="29"/>
              </w:rPr>
            </w:pPr>
          </w:p>
          <w:p>
            <w:pPr>
              <w:pStyle w:val="TableParagraph"/>
              <w:ind w:left="19"/>
              <w:jc w:val="center"/>
              <w:rPr>
                <w:rFonts w:ascii="Arial"/>
                <w:sz w:val="18"/>
              </w:rPr>
            </w:pPr>
            <w:r>
              <w:rPr>
                <w:rFonts w:ascii="Arial"/>
                <w:sz w:val="18"/>
              </w:rPr>
              <w:t>P</w:t>
            </w:r>
          </w:p>
        </w:tc>
        <w:tc>
          <w:tcPr>
            <w:tcW w:w="720" w:type="dxa"/>
          </w:tcPr>
          <w:p>
            <w:pPr>
              <w:pStyle w:val="TableParagraph"/>
              <w:spacing w:before="1"/>
              <w:rPr>
                <w:i/>
                <w:sz w:val="29"/>
              </w:rPr>
            </w:pPr>
          </w:p>
          <w:p>
            <w:pPr>
              <w:pStyle w:val="TableParagraph"/>
              <w:ind w:left="22"/>
              <w:jc w:val="center"/>
              <w:rPr>
                <w:rFonts w:ascii="Arial"/>
                <w:sz w:val="18"/>
              </w:rPr>
            </w:pPr>
            <w:r>
              <w:rPr>
                <w:rFonts w:ascii="Arial"/>
                <w:sz w:val="18"/>
              </w:rPr>
              <w:t>P</w:t>
            </w:r>
          </w:p>
        </w:tc>
      </w:tr>
      <w:tr>
        <w:trPr>
          <w:trHeight w:val="671" w:hRule="atLeast"/>
        </w:trPr>
        <w:tc>
          <w:tcPr>
            <w:tcW w:w="1128" w:type="dxa"/>
          </w:tcPr>
          <w:p>
            <w:pPr>
              <w:pStyle w:val="TableParagraph"/>
              <w:spacing w:before="5"/>
              <w:rPr>
                <w:i/>
                <w:sz w:val="19"/>
              </w:rPr>
            </w:pPr>
          </w:p>
          <w:p>
            <w:pPr>
              <w:pStyle w:val="TableParagraph"/>
              <w:spacing w:before="1"/>
              <w:ind w:left="448" w:right="429"/>
              <w:jc w:val="center"/>
              <w:rPr>
                <w:rFonts w:ascii="Arial"/>
                <w:sz w:val="18"/>
              </w:rPr>
            </w:pPr>
            <w:r>
              <w:rPr>
                <w:rFonts w:ascii="Arial"/>
                <w:spacing w:val="-5"/>
                <w:sz w:val="18"/>
              </w:rPr>
              <w:t>13</w:t>
            </w:r>
          </w:p>
        </w:tc>
        <w:tc>
          <w:tcPr>
            <w:tcW w:w="2726" w:type="dxa"/>
          </w:tcPr>
          <w:p>
            <w:pPr>
              <w:pStyle w:val="TableParagraph"/>
              <w:spacing w:line="259" w:lineRule="auto" w:before="1"/>
              <w:ind w:left="108" w:right="84"/>
              <w:jc w:val="center"/>
              <w:rPr>
                <w:rFonts w:ascii="Arial"/>
                <w:sz w:val="18"/>
              </w:rPr>
            </w:pPr>
            <w:r>
              <w:rPr>
                <w:rFonts w:ascii="Arial"/>
                <w:sz w:val="18"/>
              </w:rPr>
              <w:t>ED</w:t>
            </w:r>
            <w:r>
              <w:rPr>
                <w:rFonts w:ascii="Arial"/>
                <w:spacing w:val="-9"/>
                <w:sz w:val="18"/>
              </w:rPr>
              <w:t> </w:t>
            </w:r>
            <w:r>
              <w:rPr>
                <w:rFonts w:ascii="Arial"/>
                <w:sz w:val="18"/>
              </w:rPr>
              <w:t>Visits</w:t>
            </w:r>
            <w:r>
              <w:rPr>
                <w:rFonts w:ascii="Arial"/>
                <w:spacing w:val="-8"/>
                <w:sz w:val="18"/>
              </w:rPr>
              <w:t> </w:t>
            </w:r>
            <w:r>
              <w:rPr>
                <w:rFonts w:ascii="Arial"/>
                <w:sz w:val="18"/>
              </w:rPr>
              <w:t>for</w:t>
            </w:r>
            <w:r>
              <w:rPr>
                <w:rFonts w:ascii="Arial"/>
                <w:spacing w:val="-11"/>
                <w:sz w:val="18"/>
              </w:rPr>
              <w:t> </w:t>
            </w:r>
            <w:r>
              <w:rPr>
                <w:rFonts w:ascii="Arial"/>
                <w:sz w:val="18"/>
              </w:rPr>
              <w:t>Individuals</w:t>
            </w:r>
            <w:r>
              <w:rPr>
                <w:rFonts w:ascii="Arial"/>
                <w:spacing w:val="-8"/>
                <w:sz w:val="18"/>
              </w:rPr>
              <w:t> </w:t>
            </w:r>
            <w:r>
              <w:rPr>
                <w:rFonts w:ascii="Arial"/>
                <w:sz w:val="18"/>
              </w:rPr>
              <w:t>with Mental Illness, Addiction, or</w:t>
            </w:r>
          </w:p>
          <w:p>
            <w:pPr>
              <w:pStyle w:val="TableParagraph"/>
              <w:spacing w:line="203" w:lineRule="exact"/>
              <w:ind w:left="108" w:right="84"/>
              <w:jc w:val="center"/>
              <w:rPr>
                <w:rFonts w:ascii="Arial"/>
                <w:sz w:val="18"/>
              </w:rPr>
            </w:pPr>
            <w:r>
              <w:rPr>
                <w:rFonts w:ascii="Arial"/>
                <w:sz w:val="18"/>
              </w:rPr>
              <w:t>Co-occurring</w:t>
            </w:r>
            <w:r>
              <w:rPr>
                <w:rFonts w:ascii="Arial"/>
                <w:spacing w:val="-3"/>
                <w:sz w:val="18"/>
              </w:rPr>
              <w:t> </w:t>
            </w:r>
            <w:r>
              <w:rPr>
                <w:rFonts w:ascii="Arial"/>
                <w:spacing w:val="-2"/>
                <w:sz w:val="18"/>
              </w:rPr>
              <w:t>Conditions</w:t>
            </w:r>
          </w:p>
        </w:tc>
        <w:tc>
          <w:tcPr>
            <w:tcW w:w="5719" w:type="dxa"/>
          </w:tcPr>
          <w:p>
            <w:pPr>
              <w:pStyle w:val="TableParagraph"/>
              <w:spacing w:line="259" w:lineRule="auto" w:before="1"/>
              <w:ind w:left="259" w:right="230" w:firstLine="1"/>
              <w:jc w:val="center"/>
              <w:rPr>
                <w:rFonts w:ascii="Arial"/>
                <w:sz w:val="18"/>
              </w:rPr>
            </w:pPr>
            <w:r>
              <w:rPr>
                <w:rFonts w:ascii="Arial"/>
                <w:sz w:val="18"/>
              </w:rPr>
              <w:t>Number</w:t>
            </w:r>
            <w:r>
              <w:rPr>
                <w:rFonts w:ascii="Arial"/>
                <w:spacing w:val="-1"/>
                <w:sz w:val="18"/>
              </w:rPr>
              <w:t> </w:t>
            </w:r>
            <w:r>
              <w:rPr>
                <w:rFonts w:ascii="Arial"/>
                <w:sz w:val="18"/>
              </w:rPr>
              <w:t>of ED visits for</w:t>
            </w:r>
            <w:r>
              <w:rPr>
                <w:rFonts w:ascii="Arial"/>
                <w:spacing w:val="-1"/>
                <w:sz w:val="18"/>
              </w:rPr>
              <w:t> </w:t>
            </w:r>
            <w:r>
              <w:rPr>
                <w:rFonts w:ascii="Arial"/>
                <w:sz w:val="18"/>
              </w:rPr>
              <w:t>members 18 to</w:t>
            </w:r>
            <w:r>
              <w:rPr>
                <w:rFonts w:ascii="Arial"/>
                <w:spacing w:val="-1"/>
                <w:sz w:val="18"/>
              </w:rPr>
              <w:t> </w:t>
            </w:r>
            <w:r>
              <w:rPr>
                <w:rFonts w:ascii="Arial"/>
                <w:sz w:val="18"/>
              </w:rPr>
              <w:t>64 years of</w:t>
            </w:r>
            <w:r>
              <w:rPr>
                <w:rFonts w:ascii="Arial"/>
                <w:spacing w:val="-1"/>
                <w:sz w:val="18"/>
              </w:rPr>
              <w:t> </w:t>
            </w:r>
            <w:r>
              <w:rPr>
                <w:rFonts w:ascii="Arial"/>
                <w:sz w:val="18"/>
              </w:rPr>
              <w:t>age</w:t>
            </w:r>
            <w:r>
              <w:rPr>
                <w:rFonts w:ascii="Arial"/>
                <w:spacing w:val="-1"/>
                <w:sz w:val="18"/>
              </w:rPr>
              <w:t> </w:t>
            </w:r>
            <w:r>
              <w:rPr>
                <w:rFonts w:ascii="Arial"/>
                <w:sz w:val="18"/>
              </w:rPr>
              <w:t>identified with</w:t>
            </w:r>
            <w:r>
              <w:rPr>
                <w:rFonts w:ascii="Arial"/>
                <w:spacing w:val="-2"/>
                <w:sz w:val="18"/>
              </w:rPr>
              <w:t> </w:t>
            </w:r>
            <w:r>
              <w:rPr>
                <w:rFonts w:ascii="Arial"/>
                <w:sz w:val="18"/>
              </w:rPr>
              <w:t>a</w:t>
            </w:r>
            <w:r>
              <w:rPr>
                <w:rFonts w:ascii="Arial"/>
                <w:spacing w:val="-1"/>
                <w:sz w:val="18"/>
              </w:rPr>
              <w:t> </w:t>
            </w:r>
            <w:r>
              <w:rPr>
                <w:rFonts w:ascii="Arial"/>
                <w:sz w:val="18"/>
              </w:rPr>
              <w:t>diagnosis</w:t>
            </w:r>
            <w:r>
              <w:rPr>
                <w:rFonts w:ascii="Arial"/>
                <w:spacing w:val="-3"/>
                <w:sz w:val="18"/>
              </w:rPr>
              <w:t> </w:t>
            </w:r>
            <w:r>
              <w:rPr>
                <w:rFonts w:ascii="Arial"/>
                <w:sz w:val="18"/>
              </w:rPr>
              <w:t>of</w:t>
            </w:r>
            <w:r>
              <w:rPr>
                <w:rFonts w:ascii="Arial"/>
                <w:spacing w:val="-4"/>
                <w:sz w:val="18"/>
              </w:rPr>
              <w:t> </w:t>
            </w:r>
            <w:r>
              <w:rPr>
                <w:rFonts w:ascii="Arial"/>
                <w:sz w:val="18"/>
              </w:rPr>
              <w:t>serious</w:t>
            </w:r>
            <w:r>
              <w:rPr>
                <w:rFonts w:ascii="Arial"/>
                <w:spacing w:val="-3"/>
                <w:sz w:val="18"/>
              </w:rPr>
              <w:t> </w:t>
            </w:r>
            <w:r>
              <w:rPr>
                <w:rFonts w:ascii="Arial"/>
                <w:sz w:val="18"/>
              </w:rPr>
              <w:t>mental</w:t>
            </w:r>
            <w:r>
              <w:rPr>
                <w:rFonts w:ascii="Arial"/>
                <w:spacing w:val="-4"/>
                <w:sz w:val="18"/>
              </w:rPr>
              <w:t> </w:t>
            </w:r>
            <w:r>
              <w:rPr>
                <w:rFonts w:ascii="Arial"/>
                <w:sz w:val="18"/>
              </w:rPr>
              <w:t>illness,</w:t>
            </w:r>
            <w:r>
              <w:rPr>
                <w:rFonts w:ascii="Arial"/>
                <w:spacing w:val="-3"/>
                <w:sz w:val="18"/>
              </w:rPr>
              <w:t> </w:t>
            </w:r>
            <w:r>
              <w:rPr>
                <w:rFonts w:ascii="Arial"/>
                <w:sz w:val="18"/>
              </w:rPr>
              <w:t>substance</w:t>
            </w:r>
            <w:r>
              <w:rPr>
                <w:rFonts w:ascii="Arial"/>
                <w:spacing w:val="-4"/>
                <w:sz w:val="18"/>
              </w:rPr>
              <w:t> </w:t>
            </w:r>
            <w:r>
              <w:rPr>
                <w:rFonts w:ascii="Arial"/>
                <w:sz w:val="18"/>
              </w:rPr>
              <w:t>addiction,</w:t>
            </w:r>
            <w:r>
              <w:rPr>
                <w:rFonts w:ascii="Arial"/>
                <w:spacing w:val="-2"/>
                <w:sz w:val="18"/>
              </w:rPr>
              <w:t> </w:t>
            </w:r>
            <w:r>
              <w:rPr>
                <w:rFonts w:ascii="Arial"/>
                <w:spacing w:val="-5"/>
                <w:sz w:val="18"/>
              </w:rPr>
              <w:t>or</w:t>
            </w:r>
          </w:p>
          <w:p>
            <w:pPr>
              <w:pStyle w:val="TableParagraph"/>
              <w:spacing w:line="203" w:lineRule="exact"/>
              <w:ind w:left="136" w:right="110"/>
              <w:jc w:val="center"/>
              <w:rPr>
                <w:rFonts w:ascii="Arial"/>
                <w:sz w:val="18"/>
              </w:rPr>
            </w:pPr>
            <w:r>
              <w:rPr>
                <w:rFonts w:ascii="Arial"/>
                <w:sz w:val="18"/>
              </w:rPr>
              <w:t>co-occurring</w:t>
            </w:r>
            <w:r>
              <w:rPr>
                <w:rFonts w:ascii="Arial"/>
                <w:spacing w:val="-4"/>
                <w:sz w:val="18"/>
              </w:rPr>
              <w:t> </w:t>
            </w:r>
            <w:r>
              <w:rPr>
                <w:rFonts w:ascii="Arial"/>
                <w:spacing w:val="-2"/>
                <w:sz w:val="18"/>
              </w:rPr>
              <w:t>conditions</w:t>
            </w:r>
          </w:p>
        </w:tc>
        <w:tc>
          <w:tcPr>
            <w:tcW w:w="900" w:type="dxa"/>
          </w:tcPr>
          <w:p>
            <w:pPr>
              <w:pStyle w:val="TableParagraph"/>
              <w:spacing w:before="5"/>
              <w:rPr>
                <w:i/>
                <w:sz w:val="19"/>
              </w:rPr>
            </w:pPr>
          </w:p>
          <w:p>
            <w:pPr>
              <w:pStyle w:val="TableParagraph"/>
              <w:spacing w:before="1"/>
              <w:ind w:left="156" w:right="134"/>
              <w:jc w:val="center"/>
              <w:rPr>
                <w:rFonts w:ascii="Arial"/>
                <w:sz w:val="18"/>
              </w:rPr>
            </w:pPr>
            <w:r>
              <w:rPr>
                <w:rFonts w:ascii="Arial"/>
                <w:spacing w:val="-4"/>
                <w:sz w:val="18"/>
              </w:rPr>
              <w:t>Admin</w:t>
            </w:r>
          </w:p>
        </w:tc>
        <w:tc>
          <w:tcPr>
            <w:tcW w:w="629" w:type="dxa"/>
          </w:tcPr>
          <w:p>
            <w:pPr>
              <w:pStyle w:val="TableParagraph"/>
              <w:spacing w:before="5"/>
              <w:rPr>
                <w:i/>
                <w:sz w:val="19"/>
              </w:rPr>
            </w:pPr>
          </w:p>
          <w:p>
            <w:pPr>
              <w:pStyle w:val="TableParagraph"/>
              <w:spacing w:before="1"/>
              <w:ind w:left="20"/>
              <w:jc w:val="center"/>
              <w:rPr>
                <w:rFonts w:ascii="Arial"/>
                <w:sz w:val="18"/>
              </w:rPr>
            </w:pPr>
            <w:r>
              <w:rPr>
                <w:rFonts w:ascii="Arial"/>
                <w:sz w:val="18"/>
              </w:rPr>
              <w:t>R</w:t>
            </w:r>
          </w:p>
        </w:tc>
        <w:tc>
          <w:tcPr>
            <w:tcW w:w="919" w:type="dxa"/>
          </w:tcPr>
          <w:p>
            <w:pPr>
              <w:pStyle w:val="TableParagraph"/>
              <w:spacing w:before="5"/>
              <w:rPr>
                <w:i/>
                <w:sz w:val="19"/>
              </w:rPr>
            </w:pPr>
          </w:p>
          <w:p>
            <w:pPr>
              <w:pStyle w:val="TableParagraph"/>
              <w:spacing w:before="1"/>
              <w:ind w:left="22"/>
              <w:jc w:val="center"/>
              <w:rPr>
                <w:rFonts w:ascii="Arial"/>
                <w:sz w:val="18"/>
              </w:rPr>
            </w:pPr>
            <w:r>
              <w:rPr>
                <w:rFonts w:ascii="Arial"/>
                <w:sz w:val="18"/>
              </w:rPr>
              <w:t>R</w:t>
            </w:r>
          </w:p>
        </w:tc>
        <w:tc>
          <w:tcPr>
            <w:tcW w:w="1185" w:type="dxa"/>
          </w:tcPr>
          <w:p>
            <w:pPr>
              <w:pStyle w:val="TableParagraph"/>
              <w:spacing w:before="5"/>
              <w:rPr>
                <w:i/>
                <w:sz w:val="19"/>
              </w:rPr>
            </w:pPr>
          </w:p>
          <w:p>
            <w:pPr>
              <w:pStyle w:val="TableParagraph"/>
              <w:spacing w:before="1"/>
              <w:ind w:left="21"/>
              <w:jc w:val="center"/>
              <w:rPr>
                <w:rFonts w:ascii="Arial"/>
                <w:sz w:val="18"/>
              </w:rPr>
            </w:pPr>
            <w:r>
              <w:rPr>
                <w:rFonts w:ascii="Arial"/>
                <w:sz w:val="18"/>
              </w:rPr>
              <w:t>R</w:t>
            </w:r>
          </w:p>
        </w:tc>
        <w:tc>
          <w:tcPr>
            <w:tcW w:w="631" w:type="dxa"/>
          </w:tcPr>
          <w:p>
            <w:pPr>
              <w:pStyle w:val="TableParagraph"/>
              <w:spacing w:before="5"/>
              <w:rPr>
                <w:i/>
                <w:sz w:val="19"/>
              </w:rPr>
            </w:pPr>
          </w:p>
          <w:p>
            <w:pPr>
              <w:pStyle w:val="TableParagraph"/>
              <w:spacing w:before="1"/>
              <w:ind w:left="19"/>
              <w:jc w:val="center"/>
              <w:rPr>
                <w:rFonts w:ascii="Arial"/>
                <w:sz w:val="18"/>
              </w:rPr>
            </w:pPr>
            <w:r>
              <w:rPr>
                <w:rFonts w:ascii="Arial"/>
                <w:sz w:val="18"/>
              </w:rPr>
              <w:t>P</w:t>
            </w:r>
          </w:p>
        </w:tc>
        <w:tc>
          <w:tcPr>
            <w:tcW w:w="720" w:type="dxa"/>
          </w:tcPr>
          <w:p>
            <w:pPr>
              <w:pStyle w:val="TableParagraph"/>
              <w:spacing w:before="5"/>
              <w:rPr>
                <w:i/>
                <w:sz w:val="19"/>
              </w:rPr>
            </w:pPr>
          </w:p>
          <w:p>
            <w:pPr>
              <w:pStyle w:val="TableParagraph"/>
              <w:spacing w:before="1"/>
              <w:ind w:left="22"/>
              <w:jc w:val="center"/>
              <w:rPr>
                <w:rFonts w:ascii="Arial"/>
                <w:sz w:val="18"/>
              </w:rPr>
            </w:pPr>
            <w:r>
              <w:rPr>
                <w:rFonts w:ascii="Arial"/>
                <w:sz w:val="18"/>
              </w:rPr>
              <w:t>P</w:t>
            </w:r>
          </w:p>
        </w:tc>
      </w:tr>
      <w:tr>
        <w:trPr>
          <w:trHeight w:val="709" w:hRule="atLeast"/>
        </w:trPr>
        <w:tc>
          <w:tcPr>
            <w:tcW w:w="1128" w:type="dxa"/>
          </w:tcPr>
          <w:p>
            <w:pPr>
              <w:pStyle w:val="TableParagraph"/>
              <w:spacing w:before="2"/>
              <w:rPr>
                <w:i/>
                <w:sz w:val="21"/>
              </w:rPr>
            </w:pPr>
          </w:p>
          <w:p>
            <w:pPr>
              <w:pStyle w:val="TableParagraph"/>
              <w:ind w:left="448" w:right="429"/>
              <w:jc w:val="center"/>
              <w:rPr>
                <w:rFonts w:ascii="Arial"/>
                <w:sz w:val="18"/>
              </w:rPr>
            </w:pPr>
            <w:r>
              <w:rPr>
                <w:rFonts w:ascii="Arial"/>
                <w:spacing w:val="-5"/>
                <w:sz w:val="18"/>
              </w:rPr>
              <w:t>14</w:t>
            </w:r>
          </w:p>
        </w:tc>
        <w:tc>
          <w:tcPr>
            <w:tcW w:w="2726" w:type="dxa"/>
          </w:tcPr>
          <w:p>
            <w:pPr>
              <w:pStyle w:val="TableParagraph"/>
              <w:spacing w:line="220" w:lineRule="atLeast" w:before="7"/>
              <w:ind w:left="108" w:right="85"/>
              <w:jc w:val="center"/>
              <w:rPr>
                <w:rFonts w:ascii="Arial"/>
                <w:sz w:val="18"/>
              </w:rPr>
            </w:pPr>
            <w:r>
              <w:rPr>
                <w:rFonts w:ascii="Arial"/>
                <w:sz w:val="18"/>
              </w:rPr>
              <w:t>Follow-Up</w:t>
            </w:r>
            <w:r>
              <w:rPr>
                <w:rFonts w:ascii="Arial"/>
                <w:spacing w:val="-15"/>
                <w:sz w:val="18"/>
              </w:rPr>
              <w:t> </w:t>
            </w:r>
            <w:r>
              <w:rPr>
                <w:rFonts w:ascii="Arial"/>
                <w:sz w:val="18"/>
              </w:rPr>
              <w:t>After</w:t>
            </w:r>
            <w:r>
              <w:rPr>
                <w:rFonts w:ascii="Arial"/>
                <w:spacing w:val="-12"/>
                <w:sz w:val="18"/>
              </w:rPr>
              <w:t> </w:t>
            </w:r>
            <w:r>
              <w:rPr>
                <w:rFonts w:ascii="Arial"/>
                <w:sz w:val="18"/>
              </w:rPr>
              <w:t>Emergency Department</w:t>
            </w:r>
            <w:r>
              <w:rPr>
                <w:rFonts w:ascii="Arial"/>
                <w:spacing w:val="-5"/>
                <w:sz w:val="18"/>
              </w:rPr>
              <w:t> </w:t>
            </w:r>
            <w:r>
              <w:rPr>
                <w:rFonts w:ascii="Arial"/>
                <w:sz w:val="18"/>
              </w:rPr>
              <w:t>Visit</w:t>
            </w:r>
            <w:r>
              <w:rPr>
                <w:rFonts w:ascii="Arial"/>
                <w:spacing w:val="-5"/>
                <w:sz w:val="18"/>
              </w:rPr>
              <w:t> </w:t>
            </w:r>
            <w:r>
              <w:rPr>
                <w:rFonts w:ascii="Arial"/>
                <w:sz w:val="18"/>
              </w:rPr>
              <w:t>for</w:t>
            </w:r>
            <w:r>
              <w:rPr>
                <w:rFonts w:ascii="Arial"/>
                <w:spacing w:val="-5"/>
                <w:sz w:val="18"/>
              </w:rPr>
              <w:t> </w:t>
            </w:r>
            <w:r>
              <w:rPr>
                <w:rFonts w:ascii="Arial"/>
                <w:sz w:val="18"/>
              </w:rPr>
              <w:t>Mental Illness (7 days)</w:t>
            </w:r>
          </w:p>
        </w:tc>
        <w:tc>
          <w:tcPr>
            <w:tcW w:w="5719" w:type="dxa"/>
          </w:tcPr>
          <w:p>
            <w:pPr>
              <w:pStyle w:val="TableParagraph"/>
              <w:spacing w:line="220" w:lineRule="atLeast" w:before="7"/>
              <w:ind w:left="285" w:right="258" w:hanging="1"/>
              <w:jc w:val="center"/>
              <w:rPr>
                <w:rFonts w:ascii="Arial"/>
                <w:sz w:val="18"/>
              </w:rPr>
            </w:pPr>
            <w:r>
              <w:rPr>
                <w:rFonts w:ascii="Arial"/>
                <w:sz w:val="18"/>
              </w:rPr>
              <w:t>Percentage of ED visits for members 6 to 64 years of age with a principal</w:t>
            </w:r>
            <w:r>
              <w:rPr>
                <w:rFonts w:ascii="Arial"/>
                <w:spacing w:val="-4"/>
                <w:sz w:val="18"/>
              </w:rPr>
              <w:t> </w:t>
            </w:r>
            <w:r>
              <w:rPr>
                <w:rFonts w:ascii="Arial"/>
                <w:sz w:val="18"/>
              </w:rPr>
              <w:t>diagnosis</w:t>
            </w:r>
            <w:r>
              <w:rPr>
                <w:rFonts w:ascii="Arial"/>
                <w:spacing w:val="-4"/>
                <w:sz w:val="18"/>
              </w:rPr>
              <w:t> </w:t>
            </w:r>
            <w:r>
              <w:rPr>
                <w:rFonts w:ascii="Arial"/>
                <w:sz w:val="18"/>
              </w:rPr>
              <w:t>of</w:t>
            </w:r>
            <w:r>
              <w:rPr>
                <w:rFonts w:ascii="Arial"/>
                <w:spacing w:val="-5"/>
                <w:sz w:val="18"/>
              </w:rPr>
              <w:t> </w:t>
            </w:r>
            <w:r>
              <w:rPr>
                <w:rFonts w:ascii="Arial"/>
                <w:sz w:val="18"/>
              </w:rPr>
              <w:t>mental</w:t>
            </w:r>
            <w:r>
              <w:rPr>
                <w:rFonts w:ascii="Arial"/>
                <w:spacing w:val="-4"/>
                <w:sz w:val="18"/>
              </w:rPr>
              <w:t> </w:t>
            </w:r>
            <w:r>
              <w:rPr>
                <w:rFonts w:ascii="Arial"/>
                <w:sz w:val="18"/>
              </w:rPr>
              <w:t>illness,</w:t>
            </w:r>
            <w:r>
              <w:rPr>
                <w:rFonts w:ascii="Arial"/>
                <w:spacing w:val="-5"/>
                <w:sz w:val="18"/>
              </w:rPr>
              <w:t> </w:t>
            </w:r>
            <w:r>
              <w:rPr>
                <w:rFonts w:ascii="Arial"/>
                <w:sz w:val="18"/>
              </w:rPr>
              <w:t>where</w:t>
            </w:r>
            <w:r>
              <w:rPr>
                <w:rFonts w:ascii="Arial"/>
                <w:spacing w:val="-4"/>
                <w:sz w:val="18"/>
              </w:rPr>
              <w:t> </w:t>
            </w:r>
            <w:r>
              <w:rPr>
                <w:rFonts w:ascii="Arial"/>
                <w:sz w:val="18"/>
              </w:rPr>
              <w:t>the</w:t>
            </w:r>
            <w:r>
              <w:rPr>
                <w:rFonts w:ascii="Arial"/>
                <w:spacing w:val="-7"/>
                <w:sz w:val="18"/>
              </w:rPr>
              <w:t> </w:t>
            </w:r>
            <w:r>
              <w:rPr>
                <w:rFonts w:ascii="Arial"/>
                <w:sz w:val="18"/>
              </w:rPr>
              <w:t>member</w:t>
            </w:r>
            <w:r>
              <w:rPr>
                <w:rFonts w:ascii="Arial"/>
                <w:spacing w:val="-5"/>
                <w:sz w:val="18"/>
              </w:rPr>
              <w:t> </w:t>
            </w:r>
            <w:r>
              <w:rPr>
                <w:rFonts w:ascii="Arial"/>
                <w:sz w:val="18"/>
              </w:rPr>
              <w:t>received follow-up care within 7 days of ED discharge</w:t>
            </w:r>
          </w:p>
        </w:tc>
        <w:tc>
          <w:tcPr>
            <w:tcW w:w="900" w:type="dxa"/>
          </w:tcPr>
          <w:p>
            <w:pPr>
              <w:pStyle w:val="TableParagraph"/>
              <w:spacing w:before="2"/>
              <w:rPr>
                <w:i/>
                <w:sz w:val="21"/>
              </w:rPr>
            </w:pPr>
          </w:p>
          <w:p>
            <w:pPr>
              <w:pStyle w:val="TableParagraph"/>
              <w:ind w:left="156" w:right="134"/>
              <w:jc w:val="center"/>
              <w:rPr>
                <w:rFonts w:ascii="Arial"/>
                <w:sz w:val="18"/>
              </w:rPr>
            </w:pPr>
            <w:r>
              <w:rPr>
                <w:rFonts w:ascii="Arial"/>
                <w:spacing w:val="-4"/>
                <w:sz w:val="18"/>
              </w:rPr>
              <w:t>Admin</w:t>
            </w:r>
          </w:p>
        </w:tc>
        <w:tc>
          <w:tcPr>
            <w:tcW w:w="629" w:type="dxa"/>
          </w:tcPr>
          <w:p>
            <w:pPr>
              <w:pStyle w:val="TableParagraph"/>
              <w:spacing w:before="2"/>
              <w:rPr>
                <w:i/>
                <w:sz w:val="21"/>
              </w:rPr>
            </w:pPr>
          </w:p>
          <w:p>
            <w:pPr>
              <w:pStyle w:val="TableParagraph"/>
              <w:ind w:left="20"/>
              <w:jc w:val="center"/>
              <w:rPr>
                <w:rFonts w:ascii="Arial"/>
                <w:sz w:val="18"/>
              </w:rPr>
            </w:pPr>
            <w:r>
              <w:rPr>
                <w:rFonts w:ascii="Arial"/>
                <w:sz w:val="18"/>
              </w:rPr>
              <w:t>R</w:t>
            </w:r>
          </w:p>
        </w:tc>
        <w:tc>
          <w:tcPr>
            <w:tcW w:w="919" w:type="dxa"/>
          </w:tcPr>
          <w:p>
            <w:pPr>
              <w:pStyle w:val="TableParagraph"/>
              <w:spacing w:before="2"/>
              <w:rPr>
                <w:i/>
                <w:sz w:val="21"/>
              </w:rPr>
            </w:pPr>
          </w:p>
          <w:p>
            <w:pPr>
              <w:pStyle w:val="TableParagraph"/>
              <w:ind w:left="22"/>
              <w:jc w:val="center"/>
              <w:rPr>
                <w:rFonts w:ascii="Arial"/>
                <w:sz w:val="18"/>
              </w:rPr>
            </w:pPr>
            <w:r>
              <w:rPr>
                <w:rFonts w:ascii="Arial"/>
                <w:sz w:val="18"/>
              </w:rPr>
              <w:t>R</w:t>
            </w:r>
          </w:p>
        </w:tc>
        <w:tc>
          <w:tcPr>
            <w:tcW w:w="1185" w:type="dxa"/>
          </w:tcPr>
          <w:p>
            <w:pPr>
              <w:pStyle w:val="TableParagraph"/>
              <w:spacing w:before="2"/>
              <w:rPr>
                <w:i/>
                <w:sz w:val="21"/>
              </w:rPr>
            </w:pPr>
          </w:p>
          <w:p>
            <w:pPr>
              <w:pStyle w:val="TableParagraph"/>
              <w:ind w:left="211" w:right="186"/>
              <w:jc w:val="center"/>
              <w:rPr>
                <w:rFonts w:ascii="Arial"/>
                <w:sz w:val="18"/>
              </w:rPr>
            </w:pPr>
            <w:r>
              <w:rPr>
                <w:rFonts w:ascii="Arial"/>
                <w:sz w:val="18"/>
              </w:rPr>
              <w:t>P </w:t>
            </w:r>
            <w:r>
              <w:rPr>
                <w:rFonts w:ascii="Arial"/>
                <w:spacing w:val="-2"/>
                <w:sz w:val="18"/>
              </w:rPr>
              <w:t>(19/20)</w:t>
            </w:r>
          </w:p>
        </w:tc>
        <w:tc>
          <w:tcPr>
            <w:tcW w:w="631" w:type="dxa"/>
          </w:tcPr>
          <w:p>
            <w:pPr>
              <w:pStyle w:val="TableParagraph"/>
              <w:spacing w:before="2"/>
              <w:rPr>
                <w:i/>
                <w:sz w:val="21"/>
              </w:rPr>
            </w:pPr>
          </w:p>
          <w:p>
            <w:pPr>
              <w:pStyle w:val="TableParagraph"/>
              <w:ind w:left="19"/>
              <w:jc w:val="center"/>
              <w:rPr>
                <w:rFonts w:ascii="Arial"/>
                <w:sz w:val="18"/>
              </w:rPr>
            </w:pPr>
            <w:r>
              <w:rPr>
                <w:rFonts w:ascii="Arial"/>
                <w:sz w:val="18"/>
              </w:rPr>
              <w:t>P</w:t>
            </w:r>
          </w:p>
        </w:tc>
        <w:tc>
          <w:tcPr>
            <w:tcW w:w="720" w:type="dxa"/>
          </w:tcPr>
          <w:p>
            <w:pPr>
              <w:pStyle w:val="TableParagraph"/>
              <w:spacing w:before="2"/>
              <w:rPr>
                <w:i/>
                <w:sz w:val="21"/>
              </w:rPr>
            </w:pPr>
          </w:p>
          <w:p>
            <w:pPr>
              <w:pStyle w:val="TableParagraph"/>
              <w:ind w:left="22"/>
              <w:jc w:val="center"/>
              <w:rPr>
                <w:rFonts w:ascii="Arial"/>
                <w:sz w:val="18"/>
              </w:rPr>
            </w:pPr>
            <w:r>
              <w:rPr>
                <w:rFonts w:ascii="Arial"/>
                <w:sz w:val="18"/>
              </w:rPr>
              <w:t>P</w:t>
            </w:r>
          </w:p>
        </w:tc>
      </w:tr>
      <w:tr>
        <w:trPr>
          <w:trHeight w:val="529" w:hRule="atLeast"/>
        </w:trPr>
        <w:tc>
          <w:tcPr>
            <w:tcW w:w="1128" w:type="dxa"/>
          </w:tcPr>
          <w:p>
            <w:pPr>
              <w:pStyle w:val="TableParagraph"/>
              <w:spacing w:before="152"/>
              <w:ind w:left="448" w:right="429"/>
              <w:jc w:val="center"/>
              <w:rPr>
                <w:rFonts w:ascii="Arial"/>
                <w:sz w:val="18"/>
              </w:rPr>
            </w:pPr>
            <w:r>
              <w:rPr>
                <w:rFonts w:ascii="Arial"/>
                <w:spacing w:val="-5"/>
                <w:sz w:val="18"/>
              </w:rPr>
              <w:t>15</w:t>
            </w:r>
          </w:p>
        </w:tc>
        <w:tc>
          <w:tcPr>
            <w:tcW w:w="2726" w:type="dxa"/>
          </w:tcPr>
          <w:p>
            <w:pPr>
              <w:pStyle w:val="TableParagraph"/>
              <w:spacing w:before="152"/>
              <w:ind w:left="108" w:right="84"/>
              <w:jc w:val="center"/>
              <w:rPr>
                <w:rFonts w:ascii="Arial"/>
                <w:sz w:val="18"/>
              </w:rPr>
            </w:pPr>
            <w:r>
              <w:rPr>
                <w:rFonts w:ascii="Arial"/>
                <w:sz w:val="18"/>
              </w:rPr>
              <w:t>Hospital</w:t>
            </w:r>
            <w:r>
              <w:rPr>
                <w:rFonts w:ascii="Arial"/>
                <w:spacing w:val="-4"/>
                <w:sz w:val="18"/>
              </w:rPr>
              <w:t> </w:t>
            </w:r>
            <w:r>
              <w:rPr>
                <w:rFonts w:ascii="Arial"/>
                <w:sz w:val="18"/>
              </w:rPr>
              <w:t>Readmissions</w:t>
            </w:r>
            <w:r>
              <w:rPr>
                <w:rFonts w:ascii="Arial"/>
                <w:spacing w:val="-4"/>
                <w:sz w:val="18"/>
              </w:rPr>
              <w:t> </w:t>
            </w:r>
            <w:r>
              <w:rPr>
                <w:rFonts w:ascii="Arial"/>
                <w:spacing w:val="-2"/>
                <w:sz w:val="18"/>
              </w:rPr>
              <w:t>(Adult)</w:t>
            </w:r>
          </w:p>
        </w:tc>
        <w:tc>
          <w:tcPr>
            <w:tcW w:w="5719" w:type="dxa"/>
          </w:tcPr>
          <w:p>
            <w:pPr>
              <w:pStyle w:val="TableParagraph"/>
              <w:spacing w:line="259" w:lineRule="auto" w:before="42"/>
              <w:ind w:left="374" w:right="96" w:hanging="121"/>
              <w:rPr>
                <w:rFonts w:ascii="Arial"/>
                <w:sz w:val="18"/>
              </w:rPr>
            </w:pPr>
            <w:r>
              <w:rPr>
                <w:rFonts w:ascii="Arial"/>
                <w:sz w:val="18"/>
              </w:rPr>
              <w:t>Case-mix</w:t>
            </w:r>
            <w:r>
              <w:rPr>
                <w:rFonts w:ascii="Arial"/>
                <w:spacing w:val="-9"/>
                <w:sz w:val="18"/>
              </w:rPr>
              <w:t> </w:t>
            </w:r>
            <w:r>
              <w:rPr>
                <w:rFonts w:ascii="Arial"/>
                <w:sz w:val="18"/>
              </w:rPr>
              <w:t>adjusted</w:t>
            </w:r>
            <w:r>
              <w:rPr>
                <w:rFonts w:ascii="Arial"/>
                <w:spacing w:val="-4"/>
                <w:sz w:val="18"/>
              </w:rPr>
              <w:t> </w:t>
            </w:r>
            <w:r>
              <w:rPr>
                <w:rFonts w:ascii="Arial"/>
                <w:sz w:val="18"/>
              </w:rPr>
              <w:t>rate</w:t>
            </w:r>
            <w:r>
              <w:rPr>
                <w:rFonts w:ascii="Arial"/>
                <w:spacing w:val="-4"/>
                <w:sz w:val="18"/>
              </w:rPr>
              <w:t> </w:t>
            </w:r>
            <w:r>
              <w:rPr>
                <w:rFonts w:ascii="Arial"/>
                <w:sz w:val="18"/>
              </w:rPr>
              <w:t>of</w:t>
            </w:r>
            <w:r>
              <w:rPr>
                <w:rFonts w:ascii="Arial"/>
                <w:spacing w:val="-7"/>
                <w:sz w:val="18"/>
              </w:rPr>
              <w:t> </w:t>
            </w:r>
            <w:r>
              <w:rPr>
                <w:rFonts w:ascii="Arial"/>
                <w:sz w:val="18"/>
              </w:rPr>
              <w:t>acute</w:t>
            </w:r>
            <w:r>
              <w:rPr>
                <w:rFonts w:ascii="Arial"/>
                <w:spacing w:val="-4"/>
                <w:sz w:val="18"/>
              </w:rPr>
              <w:t> </w:t>
            </w:r>
            <w:r>
              <w:rPr>
                <w:rFonts w:ascii="Arial"/>
                <w:sz w:val="18"/>
              </w:rPr>
              <w:t>unplanned</w:t>
            </w:r>
            <w:r>
              <w:rPr>
                <w:rFonts w:ascii="Arial"/>
                <w:spacing w:val="-7"/>
                <w:sz w:val="18"/>
              </w:rPr>
              <w:t> </w:t>
            </w:r>
            <w:r>
              <w:rPr>
                <w:rFonts w:ascii="Arial"/>
                <w:sz w:val="18"/>
              </w:rPr>
              <w:t>hospital</w:t>
            </w:r>
            <w:r>
              <w:rPr>
                <w:rFonts w:ascii="Arial"/>
                <w:spacing w:val="-4"/>
                <w:sz w:val="18"/>
              </w:rPr>
              <w:t> </w:t>
            </w:r>
            <w:r>
              <w:rPr>
                <w:rFonts w:ascii="Arial"/>
                <w:sz w:val="18"/>
              </w:rPr>
              <w:t>readmissions within 30 days of discharge for members 18 to 64 years of age</w:t>
            </w:r>
          </w:p>
        </w:tc>
        <w:tc>
          <w:tcPr>
            <w:tcW w:w="900" w:type="dxa"/>
          </w:tcPr>
          <w:p>
            <w:pPr>
              <w:pStyle w:val="TableParagraph"/>
              <w:spacing w:before="152"/>
              <w:ind w:left="156" w:right="134"/>
              <w:jc w:val="center"/>
              <w:rPr>
                <w:rFonts w:ascii="Arial"/>
                <w:sz w:val="18"/>
              </w:rPr>
            </w:pPr>
            <w:r>
              <w:rPr>
                <w:rFonts w:ascii="Arial"/>
                <w:spacing w:val="-4"/>
                <w:sz w:val="18"/>
              </w:rPr>
              <w:t>Admin</w:t>
            </w:r>
          </w:p>
        </w:tc>
        <w:tc>
          <w:tcPr>
            <w:tcW w:w="629" w:type="dxa"/>
          </w:tcPr>
          <w:p>
            <w:pPr>
              <w:pStyle w:val="TableParagraph"/>
              <w:spacing w:before="152"/>
              <w:ind w:left="20"/>
              <w:jc w:val="center"/>
              <w:rPr>
                <w:rFonts w:ascii="Arial"/>
                <w:sz w:val="18"/>
              </w:rPr>
            </w:pPr>
            <w:r>
              <w:rPr>
                <w:rFonts w:ascii="Arial"/>
                <w:sz w:val="18"/>
              </w:rPr>
              <w:t>R</w:t>
            </w:r>
          </w:p>
        </w:tc>
        <w:tc>
          <w:tcPr>
            <w:tcW w:w="919" w:type="dxa"/>
          </w:tcPr>
          <w:p>
            <w:pPr>
              <w:pStyle w:val="TableParagraph"/>
              <w:spacing w:before="152"/>
              <w:ind w:left="22"/>
              <w:jc w:val="center"/>
              <w:rPr>
                <w:rFonts w:ascii="Arial"/>
                <w:sz w:val="18"/>
              </w:rPr>
            </w:pPr>
            <w:r>
              <w:rPr>
                <w:rFonts w:ascii="Arial"/>
                <w:sz w:val="18"/>
              </w:rPr>
              <w:t>R</w:t>
            </w:r>
          </w:p>
        </w:tc>
        <w:tc>
          <w:tcPr>
            <w:tcW w:w="1185" w:type="dxa"/>
          </w:tcPr>
          <w:p>
            <w:pPr>
              <w:pStyle w:val="TableParagraph"/>
              <w:spacing w:before="152"/>
              <w:ind w:left="21"/>
              <w:jc w:val="center"/>
              <w:rPr>
                <w:rFonts w:ascii="Arial"/>
                <w:sz w:val="18"/>
              </w:rPr>
            </w:pPr>
            <w:r>
              <w:rPr>
                <w:rFonts w:ascii="Arial"/>
                <w:sz w:val="18"/>
              </w:rPr>
              <w:t>R</w:t>
            </w:r>
          </w:p>
        </w:tc>
        <w:tc>
          <w:tcPr>
            <w:tcW w:w="631" w:type="dxa"/>
          </w:tcPr>
          <w:p>
            <w:pPr>
              <w:pStyle w:val="TableParagraph"/>
              <w:spacing w:before="152"/>
              <w:ind w:left="19"/>
              <w:jc w:val="center"/>
              <w:rPr>
                <w:rFonts w:ascii="Arial"/>
                <w:sz w:val="18"/>
              </w:rPr>
            </w:pPr>
            <w:r>
              <w:rPr>
                <w:rFonts w:ascii="Arial"/>
                <w:sz w:val="18"/>
              </w:rPr>
              <w:t>P</w:t>
            </w:r>
          </w:p>
        </w:tc>
        <w:tc>
          <w:tcPr>
            <w:tcW w:w="720" w:type="dxa"/>
          </w:tcPr>
          <w:p>
            <w:pPr>
              <w:pStyle w:val="TableParagraph"/>
              <w:spacing w:before="152"/>
              <w:ind w:left="22"/>
              <w:jc w:val="center"/>
              <w:rPr>
                <w:rFonts w:ascii="Arial"/>
                <w:sz w:val="18"/>
              </w:rPr>
            </w:pPr>
            <w:r>
              <w:rPr>
                <w:rFonts w:ascii="Arial"/>
                <w:sz w:val="18"/>
              </w:rPr>
              <w:t>P</w:t>
            </w:r>
          </w:p>
        </w:tc>
      </w:tr>
      <w:tr>
        <w:trPr>
          <w:trHeight w:val="522" w:hRule="atLeast"/>
        </w:trPr>
        <w:tc>
          <w:tcPr>
            <w:tcW w:w="1128" w:type="dxa"/>
          </w:tcPr>
          <w:p>
            <w:pPr>
              <w:pStyle w:val="TableParagraph"/>
              <w:spacing w:before="150"/>
              <w:ind w:left="448" w:right="429"/>
              <w:jc w:val="center"/>
              <w:rPr>
                <w:rFonts w:ascii="Arial"/>
                <w:sz w:val="18"/>
              </w:rPr>
            </w:pPr>
            <w:r>
              <w:rPr>
                <w:rFonts w:ascii="Arial"/>
                <w:spacing w:val="-5"/>
                <w:sz w:val="18"/>
              </w:rPr>
              <w:t>16</w:t>
            </w:r>
          </w:p>
        </w:tc>
        <w:tc>
          <w:tcPr>
            <w:tcW w:w="2726" w:type="dxa"/>
          </w:tcPr>
          <w:p>
            <w:pPr>
              <w:pStyle w:val="TableParagraph"/>
              <w:spacing w:line="259" w:lineRule="auto" w:before="37"/>
              <w:ind w:left="957" w:hanging="752"/>
              <w:rPr>
                <w:rFonts w:ascii="Arial"/>
                <w:sz w:val="18"/>
              </w:rPr>
            </w:pPr>
            <w:r>
              <w:rPr>
                <w:rFonts w:ascii="Arial"/>
                <w:sz w:val="18"/>
              </w:rPr>
              <w:t>Health-Related</w:t>
            </w:r>
            <w:r>
              <w:rPr>
                <w:rFonts w:ascii="Arial"/>
                <w:spacing w:val="-15"/>
                <w:sz w:val="18"/>
              </w:rPr>
              <w:t> </w:t>
            </w:r>
            <w:r>
              <w:rPr>
                <w:rFonts w:ascii="Arial"/>
                <w:sz w:val="18"/>
              </w:rPr>
              <w:t>Social</w:t>
            </w:r>
            <w:r>
              <w:rPr>
                <w:rFonts w:ascii="Arial"/>
                <w:spacing w:val="-12"/>
                <w:sz w:val="18"/>
              </w:rPr>
              <w:t> </w:t>
            </w:r>
            <w:r>
              <w:rPr>
                <w:rFonts w:ascii="Arial"/>
                <w:sz w:val="18"/>
              </w:rPr>
              <w:t>Needs </w:t>
            </w:r>
            <w:r>
              <w:rPr>
                <w:rFonts w:ascii="Arial"/>
                <w:spacing w:val="-2"/>
                <w:sz w:val="18"/>
              </w:rPr>
              <w:t>Screening</w:t>
            </w:r>
          </w:p>
        </w:tc>
        <w:tc>
          <w:tcPr>
            <w:tcW w:w="5719" w:type="dxa"/>
          </w:tcPr>
          <w:p>
            <w:pPr>
              <w:pStyle w:val="TableParagraph"/>
              <w:spacing w:line="259" w:lineRule="auto" w:before="37"/>
              <w:ind w:left="1596" w:right="96" w:hanging="1462"/>
              <w:rPr>
                <w:rFonts w:ascii="Arial"/>
                <w:sz w:val="18"/>
              </w:rPr>
            </w:pPr>
            <w:r>
              <w:rPr>
                <w:rFonts w:ascii="Arial"/>
                <w:sz w:val="18"/>
              </w:rPr>
              <w:t>Percentage</w:t>
            </w:r>
            <w:r>
              <w:rPr>
                <w:rFonts w:ascii="Arial"/>
                <w:spacing w:val="-7"/>
                <w:sz w:val="18"/>
              </w:rPr>
              <w:t> </w:t>
            </w:r>
            <w:r>
              <w:rPr>
                <w:rFonts w:ascii="Arial"/>
                <w:sz w:val="18"/>
              </w:rPr>
              <w:t>of</w:t>
            </w:r>
            <w:r>
              <w:rPr>
                <w:rFonts w:ascii="Arial"/>
                <w:spacing w:val="-7"/>
                <w:sz w:val="18"/>
              </w:rPr>
              <w:t> </w:t>
            </w:r>
            <w:r>
              <w:rPr>
                <w:rFonts w:ascii="Arial"/>
                <w:sz w:val="18"/>
              </w:rPr>
              <w:t>members</w:t>
            </w:r>
            <w:r>
              <w:rPr>
                <w:rFonts w:ascii="Arial"/>
                <w:spacing w:val="-4"/>
                <w:sz w:val="18"/>
              </w:rPr>
              <w:t> </w:t>
            </w:r>
            <w:r>
              <w:rPr>
                <w:rFonts w:ascii="Arial"/>
                <w:sz w:val="18"/>
              </w:rPr>
              <w:t>who</w:t>
            </w:r>
            <w:r>
              <w:rPr>
                <w:rFonts w:ascii="Arial"/>
                <w:spacing w:val="-4"/>
                <w:sz w:val="18"/>
              </w:rPr>
              <w:t> </w:t>
            </w:r>
            <w:r>
              <w:rPr>
                <w:rFonts w:ascii="Arial"/>
                <w:sz w:val="18"/>
              </w:rPr>
              <w:t>were</w:t>
            </w:r>
            <w:r>
              <w:rPr>
                <w:rFonts w:ascii="Arial"/>
                <w:spacing w:val="-4"/>
                <w:sz w:val="18"/>
              </w:rPr>
              <w:t> </w:t>
            </w:r>
            <w:r>
              <w:rPr>
                <w:rFonts w:ascii="Arial"/>
                <w:sz w:val="18"/>
              </w:rPr>
              <w:t>screened</w:t>
            </w:r>
            <w:r>
              <w:rPr>
                <w:rFonts w:ascii="Arial"/>
                <w:spacing w:val="-4"/>
                <w:sz w:val="18"/>
              </w:rPr>
              <w:t> </w:t>
            </w:r>
            <w:r>
              <w:rPr>
                <w:rFonts w:ascii="Arial"/>
                <w:sz w:val="18"/>
              </w:rPr>
              <w:t>for</w:t>
            </w:r>
            <w:r>
              <w:rPr>
                <w:rFonts w:ascii="Arial"/>
                <w:spacing w:val="-5"/>
                <w:sz w:val="18"/>
              </w:rPr>
              <w:t> </w:t>
            </w:r>
            <w:r>
              <w:rPr>
                <w:rFonts w:ascii="Arial"/>
                <w:sz w:val="18"/>
              </w:rPr>
              <w:t>health-related</w:t>
            </w:r>
            <w:r>
              <w:rPr>
                <w:rFonts w:ascii="Arial"/>
                <w:spacing w:val="-4"/>
                <w:sz w:val="18"/>
              </w:rPr>
              <w:t> </w:t>
            </w:r>
            <w:r>
              <w:rPr>
                <w:rFonts w:ascii="Arial"/>
                <w:sz w:val="18"/>
              </w:rPr>
              <w:t>social needs in the measurement year</w:t>
            </w:r>
          </w:p>
        </w:tc>
        <w:tc>
          <w:tcPr>
            <w:tcW w:w="900" w:type="dxa"/>
          </w:tcPr>
          <w:p>
            <w:pPr>
              <w:pStyle w:val="TableParagraph"/>
              <w:spacing w:before="150"/>
              <w:ind w:left="154" w:right="135"/>
              <w:jc w:val="center"/>
              <w:rPr>
                <w:rFonts w:ascii="Arial"/>
                <w:sz w:val="18"/>
              </w:rPr>
            </w:pPr>
            <w:r>
              <w:rPr>
                <w:rFonts w:ascii="Arial"/>
                <w:spacing w:val="-2"/>
                <w:sz w:val="18"/>
              </w:rPr>
              <w:t>Hybrid</w:t>
            </w:r>
          </w:p>
        </w:tc>
        <w:tc>
          <w:tcPr>
            <w:tcW w:w="629" w:type="dxa"/>
          </w:tcPr>
          <w:p>
            <w:pPr>
              <w:pStyle w:val="TableParagraph"/>
              <w:spacing w:before="150"/>
              <w:ind w:left="126" w:right="106"/>
              <w:jc w:val="center"/>
              <w:rPr>
                <w:rFonts w:ascii="Arial"/>
                <w:sz w:val="18"/>
              </w:rPr>
            </w:pPr>
            <w:r>
              <w:rPr>
                <w:rFonts w:ascii="Arial"/>
                <w:spacing w:val="-5"/>
                <w:sz w:val="18"/>
              </w:rPr>
              <w:t>P4R</w:t>
            </w:r>
          </w:p>
        </w:tc>
        <w:tc>
          <w:tcPr>
            <w:tcW w:w="919" w:type="dxa"/>
          </w:tcPr>
          <w:p>
            <w:pPr>
              <w:pStyle w:val="TableParagraph"/>
              <w:spacing w:before="150"/>
              <w:ind w:left="22"/>
              <w:jc w:val="center"/>
              <w:rPr>
                <w:rFonts w:ascii="Arial"/>
                <w:sz w:val="18"/>
              </w:rPr>
            </w:pPr>
            <w:r>
              <w:rPr>
                <w:rFonts w:ascii="Arial"/>
                <w:sz w:val="18"/>
              </w:rPr>
              <w:t>R</w:t>
            </w:r>
          </w:p>
        </w:tc>
        <w:tc>
          <w:tcPr>
            <w:tcW w:w="1185" w:type="dxa"/>
          </w:tcPr>
          <w:p>
            <w:pPr>
              <w:pStyle w:val="TableParagraph"/>
              <w:spacing w:before="150"/>
              <w:ind w:left="21"/>
              <w:jc w:val="center"/>
              <w:rPr>
                <w:rFonts w:ascii="Arial"/>
                <w:sz w:val="18"/>
              </w:rPr>
            </w:pPr>
            <w:r>
              <w:rPr>
                <w:rFonts w:ascii="Arial"/>
                <w:sz w:val="18"/>
              </w:rPr>
              <w:t>R</w:t>
            </w:r>
          </w:p>
        </w:tc>
        <w:tc>
          <w:tcPr>
            <w:tcW w:w="631" w:type="dxa"/>
          </w:tcPr>
          <w:p>
            <w:pPr>
              <w:pStyle w:val="TableParagraph"/>
              <w:spacing w:before="150"/>
              <w:ind w:left="19"/>
              <w:jc w:val="center"/>
              <w:rPr>
                <w:rFonts w:ascii="Arial"/>
                <w:sz w:val="18"/>
              </w:rPr>
            </w:pPr>
            <w:r>
              <w:rPr>
                <w:rFonts w:ascii="Arial"/>
                <w:sz w:val="18"/>
              </w:rPr>
              <w:t>P</w:t>
            </w:r>
          </w:p>
        </w:tc>
        <w:tc>
          <w:tcPr>
            <w:tcW w:w="720" w:type="dxa"/>
          </w:tcPr>
          <w:p>
            <w:pPr>
              <w:pStyle w:val="TableParagraph"/>
              <w:spacing w:before="150"/>
              <w:ind w:left="22"/>
              <w:jc w:val="center"/>
              <w:rPr>
                <w:rFonts w:ascii="Arial"/>
                <w:sz w:val="18"/>
              </w:rPr>
            </w:pPr>
            <w:r>
              <w:rPr>
                <w:rFonts w:ascii="Arial"/>
                <w:sz w:val="18"/>
              </w:rPr>
              <w:t>P</w:t>
            </w:r>
          </w:p>
        </w:tc>
      </w:tr>
      <w:tr>
        <w:trPr>
          <w:trHeight w:val="709" w:hRule="atLeast"/>
        </w:trPr>
        <w:tc>
          <w:tcPr>
            <w:tcW w:w="1128" w:type="dxa"/>
          </w:tcPr>
          <w:p>
            <w:pPr>
              <w:pStyle w:val="TableParagraph"/>
              <w:spacing w:before="11"/>
              <w:rPr>
                <w:i/>
                <w:sz w:val="20"/>
              </w:rPr>
            </w:pPr>
          </w:p>
          <w:p>
            <w:pPr>
              <w:pStyle w:val="TableParagraph"/>
              <w:ind w:left="448" w:right="429"/>
              <w:jc w:val="center"/>
              <w:rPr>
                <w:rFonts w:ascii="Arial"/>
                <w:sz w:val="18"/>
              </w:rPr>
            </w:pPr>
            <w:r>
              <w:rPr>
                <w:rFonts w:ascii="Arial"/>
                <w:spacing w:val="-5"/>
                <w:sz w:val="18"/>
              </w:rPr>
              <w:t>17</w:t>
            </w:r>
          </w:p>
        </w:tc>
        <w:tc>
          <w:tcPr>
            <w:tcW w:w="2726" w:type="dxa"/>
          </w:tcPr>
          <w:p>
            <w:pPr>
              <w:pStyle w:val="TableParagraph"/>
              <w:spacing w:line="259" w:lineRule="auto" w:before="130"/>
              <w:ind w:left="438" w:hanging="267"/>
              <w:rPr>
                <w:rFonts w:ascii="Arial"/>
                <w:sz w:val="18"/>
              </w:rPr>
            </w:pPr>
            <w:r>
              <w:rPr>
                <w:rFonts w:ascii="Arial"/>
                <w:sz w:val="18"/>
              </w:rPr>
              <w:t>Behavioral</w:t>
            </w:r>
            <w:r>
              <w:rPr>
                <w:rFonts w:ascii="Arial"/>
                <w:spacing w:val="-15"/>
                <w:sz w:val="18"/>
              </w:rPr>
              <w:t> </w:t>
            </w:r>
            <w:r>
              <w:rPr>
                <w:rFonts w:ascii="Arial"/>
                <w:sz w:val="18"/>
              </w:rPr>
              <w:t>Health</w:t>
            </w:r>
            <w:r>
              <w:rPr>
                <w:rFonts w:ascii="Arial"/>
                <w:spacing w:val="-12"/>
                <w:sz w:val="18"/>
              </w:rPr>
              <w:t> </w:t>
            </w:r>
            <w:r>
              <w:rPr>
                <w:rFonts w:ascii="Arial"/>
                <w:sz w:val="18"/>
              </w:rPr>
              <w:t>Community Partner Engagement **</w:t>
            </w:r>
          </w:p>
        </w:tc>
        <w:tc>
          <w:tcPr>
            <w:tcW w:w="5719" w:type="dxa"/>
          </w:tcPr>
          <w:p>
            <w:pPr>
              <w:pStyle w:val="TableParagraph"/>
              <w:spacing w:line="259" w:lineRule="auto" w:before="18"/>
              <w:ind w:left="135" w:right="111"/>
              <w:jc w:val="center"/>
              <w:rPr>
                <w:rFonts w:ascii="Arial"/>
                <w:sz w:val="18"/>
              </w:rPr>
            </w:pPr>
            <w:r>
              <w:rPr>
                <w:rFonts w:ascii="Arial"/>
                <w:sz w:val="18"/>
              </w:rPr>
              <w:t>Percentage</w:t>
            </w:r>
            <w:r>
              <w:rPr>
                <w:rFonts w:ascii="Arial"/>
                <w:spacing w:val="-5"/>
                <w:sz w:val="18"/>
              </w:rPr>
              <w:t> </w:t>
            </w:r>
            <w:r>
              <w:rPr>
                <w:rFonts w:ascii="Arial"/>
                <w:sz w:val="18"/>
              </w:rPr>
              <w:t>of</w:t>
            </w:r>
            <w:r>
              <w:rPr>
                <w:rFonts w:ascii="Arial"/>
                <w:spacing w:val="-5"/>
                <w:sz w:val="18"/>
              </w:rPr>
              <w:t> </w:t>
            </w:r>
            <w:r>
              <w:rPr>
                <w:rFonts w:ascii="Arial"/>
                <w:sz w:val="18"/>
              </w:rPr>
              <w:t>members</w:t>
            </w:r>
            <w:r>
              <w:rPr>
                <w:rFonts w:ascii="Arial"/>
                <w:spacing w:val="-2"/>
                <w:sz w:val="18"/>
              </w:rPr>
              <w:t> </w:t>
            </w:r>
            <w:r>
              <w:rPr>
                <w:rFonts w:ascii="Arial"/>
                <w:sz w:val="18"/>
              </w:rPr>
              <w:t>18</w:t>
            </w:r>
            <w:r>
              <w:rPr>
                <w:rFonts w:ascii="Arial"/>
                <w:spacing w:val="-5"/>
                <w:sz w:val="18"/>
              </w:rPr>
              <w:t> </w:t>
            </w:r>
            <w:r>
              <w:rPr>
                <w:rFonts w:ascii="Arial"/>
                <w:sz w:val="18"/>
              </w:rPr>
              <w:t>to</w:t>
            </w:r>
            <w:r>
              <w:rPr>
                <w:rFonts w:ascii="Arial"/>
                <w:spacing w:val="-5"/>
                <w:sz w:val="18"/>
              </w:rPr>
              <w:t> </w:t>
            </w:r>
            <w:r>
              <w:rPr>
                <w:rFonts w:ascii="Arial"/>
                <w:sz w:val="18"/>
              </w:rPr>
              <w:t>64</w:t>
            </w:r>
            <w:r>
              <w:rPr>
                <w:rFonts w:ascii="Arial"/>
                <w:spacing w:val="-2"/>
                <w:sz w:val="18"/>
              </w:rPr>
              <w:t> </w:t>
            </w:r>
            <w:r>
              <w:rPr>
                <w:rFonts w:ascii="Arial"/>
                <w:sz w:val="18"/>
              </w:rPr>
              <w:t>years</w:t>
            </w:r>
            <w:r>
              <w:rPr>
                <w:rFonts w:ascii="Arial"/>
                <w:spacing w:val="-4"/>
                <w:sz w:val="18"/>
              </w:rPr>
              <w:t> </w:t>
            </w:r>
            <w:r>
              <w:rPr>
                <w:rFonts w:ascii="Arial"/>
                <w:sz w:val="18"/>
              </w:rPr>
              <w:t>of</w:t>
            </w:r>
            <w:r>
              <w:rPr>
                <w:rFonts w:ascii="Arial"/>
                <w:spacing w:val="-3"/>
                <w:sz w:val="18"/>
              </w:rPr>
              <w:t> </w:t>
            </w:r>
            <w:r>
              <w:rPr>
                <w:rFonts w:ascii="Arial"/>
                <w:sz w:val="18"/>
              </w:rPr>
              <w:t>age</w:t>
            </w:r>
            <w:r>
              <w:rPr>
                <w:rFonts w:ascii="Arial"/>
                <w:spacing w:val="-2"/>
                <w:sz w:val="18"/>
              </w:rPr>
              <w:t> </w:t>
            </w:r>
            <w:r>
              <w:rPr>
                <w:rFonts w:ascii="Arial"/>
                <w:sz w:val="18"/>
              </w:rPr>
              <w:t>who</w:t>
            </w:r>
            <w:r>
              <w:rPr>
                <w:rFonts w:ascii="Arial"/>
                <w:spacing w:val="-2"/>
                <w:sz w:val="18"/>
              </w:rPr>
              <w:t> </w:t>
            </w:r>
            <w:r>
              <w:rPr>
                <w:rFonts w:ascii="Arial"/>
                <w:sz w:val="18"/>
              </w:rPr>
              <w:t>engaged</w:t>
            </w:r>
            <w:r>
              <w:rPr>
                <w:rFonts w:ascii="Arial"/>
                <w:spacing w:val="-5"/>
                <w:sz w:val="18"/>
              </w:rPr>
              <w:t> </w:t>
            </w:r>
            <w:r>
              <w:rPr>
                <w:rFonts w:ascii="Arial"/>
                <w:sz w:val="18"/>
              </w:rPr>
              <w:t>with</w:t>
            </w:r>
            <w:r>
              <w:rPr>
                <w:rFonts w:ascii="Arial"/>
                <w:spacing w:val="-2"/>
                <w:sz w:val="18"/>
              </w:rPr>
              <w:t> </w:t>
            </w:r>
            <w:r>
              <w:rPr>
                <w:rFonts w:ascii="Arial"/>
                <w:sz w:val="18"/>
              </w:rPr>
              <w:t>a BH Community Partner and received a treatment plan within 3 months (122 days) of Community Partner assignment</w:t>
            </w:r>
          </w:p>
        </w:tc>
        <w:tc>
          <w:tcPr>
            <w:tcW w:w="900" w:type="dxa"/>
          </w:tcPr>
          <w:p>
            <w:pPr>
              <w:pStyle w:val="TableParagraph"/>
              <w:spacing w:before="11"/>
              <w:rPr>
                <w:i/>
                <w:sz w:val="20"/>
              </w:rPr>
            </w:pPr>
          </w:p>
          <w:p>
            <w:pPr>
              <w:pStyle w:val="TableParagraph"/>
              <w:ind w:left="156" w:right="134"/>
              <w:jc w:val="center"/>
              <w:rPr>
                <w:rFonts w:ascii="Arial"/>
                <w:sz w:val="18"/>
              </w:rPr>
            </w:pPr>
            <w:r>
              <w:rPr>
                <w:rFonts w:ascii="Arial"/>
                <w:spacing w:val="-4"/>
                <w:sz w:val="18"/>
              </w:rPr>
              <w:t>Admin</w:t>
            </w:r>
          </w:p>
        </w:tc>
        <w:tc>
          <w:tcPr>
            <w:tcW w:w="629" w:type="dxa"/>
          </w:tcPr>
          <w:p>
            <w:pPr>
              <w:pStyle w:val="TableParagraph"/>
              <w:spacing w:before="11"/>
              <w:rPr>
                <w:i/>
                <w:sz w:val="20"/>
              </w:rPr>
            </w:pPr>
          </w:p>
          <w:p>
            <w:pPr>
              <w:pStyle w:val="TableParagraph"/>
              <w:ind w:left="20"/>
              <w:jc w:val="center"/>
              <w:rPr>
                <w:rFonts w:ascii="Arial"/>
                <w:sz w:val="18"/>
              </w:rPr>
            </w:pPr>
            <w:r>
              <w:rPr>
                <w:rFonts w:ascii="Arial"/>
                <w:sz w:val="18"/>
              </w:rPr>
              <w:t>R</w:t>
            </w:r>
          </w:p>
        </w:tc>
        <w:tc>
          <w:tcPr>
            <w:tcW w:w="919" w:type="dxa"/>
          </w:tcPr>
          <w:p>
            <w:pPr>
              <w:pStyle w:val="TableParagraph"/>
              <w:spacing w:before="11"/>
              <w:rPr>
                <w:i/>
                <w:sz w:val="20"/>
              </w:rPr>
            </w:pPr>
          </w:p>
          <w:p>
            <w:pPr>
              <w:pStyle w:val="TableParagraph"/>
              <w:ind w:left="22"/>
              <w:jc w:val="center"/>
              <w:rPr>
                <w:rFonts w:ascii="Arial"/>
                <w:sz w:val="18"/>
              </w:rPr>
            </w:pPr>
            <w:r>
              <w:rPr>
                <w:rFonts w:ascii="Arial"/>
                <w:sz w:val="18"/>
              </w:rPr>
              <w:t>R</w:t>
            </w:r>
          </w:p>
        </w:tc>
        <w:tc>
          <w:tcPr>
            <w:tcW w:w="1185" w:type="dxa"/>
          </w:tcPr>
          <w:p>
            <w:pPr>
              <w:pStyle w:val="TableParagraph"/>
              <w:spacing w:before="11"/>
              <w:rPr>
                <w:i/>
                <w:sz w:val="20"/>
              </w:rPr>
            </w:pPr>
          </w:p>
          <w:p>
            <w:pPr>
              <w:pStyle w:val="TableParagraph"/>
              <w:ind w:left="21"/>
              <w:jc w:val="center"/>
              <w:rPr>
                <w:rFonts w:ascii="Arial"/>
                <w:sz w:val="18"/>
              </w:rPr>
            </w:pPr>
            <w:r>
              <w:rPr>
                <w:rFonts w:ascii="Arial"/>
                <w:sz w:val="18"/>
              </w:rPr>
              <w:t>R</w:t>
            </w:r>
          </w:p>
        </w:tc>
        <w:tc>
          <w:tcPr>
            <w:tcW w:w="631" w:type="dxa"/>
          </w:tcPr>
          <w:p>
            <w:pPr>
              <w:pStyle w:val="TableParagraph"/>
              <w:spacing w:before="11"/>
              <w:rPr>
                <w:i/>
                <w:sz w:val="20"/>
              </w:rPr>
            </w:pPr>
          </w:p>
          <w:p>
            <w:pPr>
              <w:pStyle w:val="TableParagraph"/>
              <w:ind w:left="19"/>
              <w:jc w:val="center"/>
              <w:rPr>
                <w:rFonts w:ascii="Arial"/>
                <w:sz w:val="18"/>
              </w:rPr>
            </w:pPr>
            <w:r>
              <w:rPr>
                <w:rFonts w:ascii="Arial"/>
                <w:sz w:val="18"/>
              </w:rPr>
              <w:t>P</w:t>
            </w:r>
          </w:p>
        </w:tc>
        <w:tc>
          <w:tcPr>
            <w:tcW w:w="720" w:type="dxa"/>
          </w:tcPr>
          <w:p>
            <w:pPr>
              <w:pStyle w:val="TableParagraph"/>
              <w:spacing w:before="11"/>
              <w:rPr>
                <w:i/>
                <w:sz w:val="20"/>
              </w:rPr>
            </w:pPr>
          </w:p>
          <w:p>
            <w:pPr>
              <w:pStyle w:val="TableParagraph"/>
              <w:ind w:left="22"/>
              <w:jc w:val="center"/>
              <w:rPr>
                <w:rFonts w:ascii="Arial"/>
                <w:sz w:val="18"/>
              </w:rPr>
            </w:pPr>
            <w:r>
              <w:rPr>
                <w:rFonts w:ascii="Arial"/>
                <w:sz w:val="18"/>
              </w:rPr>
              <w:t>P</w:t>
            </w:r>
          </w:p>
        </w:tc>
      </w:tr>
      <w:tr>
        <w:trPr>
          <w:trHeight w:val="709" w:hRule="atLeast"/>
        </w:trPr>
        <w:tc>
          <w:tcPr>
            <w:tcW w:w="1128" w:type="dxa"/>
          </w:tcPr>
          <w:p>
            <w:pPr>
              <w:pStyle w:val="TableParagraph"/>
              <w:spacing w:before="2"/>
              <w:rPr>
                <w:i/>
                <w:sz w:val="21"/>
              </w:rPr>
            </w:pPr>
          </w:p>
          <w:p>
            <w:pPr>
              <w:pStyle w:val="TableParagraph"/>
              <w:ind w:left="448" w:right="429"/>
              <w:jc w:val="center"/>
              <w:rPr>
                <w:rFonts w:ascii="Arial"/>
                <w:sz w:val="18"/>
              </w:rPr>
            </w:pPr>
            <w:r>
              <w:rPr>
                <w:rFonts w:ascii="Arial"/>
                <w:spacing w:val="-5"/>
                <w:sz w:val="18"/>
              </w:rPr>
              <w:t>18</w:t>
            </w:r>
          </w:p>
        </w:tc>
        <w:tc>
          <w:tcPr>
            <w:tcW w:w="2726" w:type="dxa"/>
          </w:tcPr>
          <w:p>
            <w:pPr>
              <w:pStyle w:val="TableParagraph"/>
              <w:spacing w:line="220" w:lineRule="atLeast" w:before="7"/>
              <w:ind w:left="201" w:right="178" w:hanging="2"/>
              <w:jc w:val="center"/>
              <w:rPr>
                <w:rFonts w:ascii="Arial"/>
                <w:sz w:val="18"/>
              </w:rPr>
            </w:pPr>
            <w:r>
              <w:rPr>
                <w:rFonts w:ascii="Arial"/>
                <w:sz w:val="18"/>
              </w:rPr>
              <w:t>Long-Term Services and Supports</w:t>
            </w:r>
            <w:r>
              <w:rPr>
                <w:rFonts w:ascii="Arial"/>
                <w:spacing w:val="-15"/>
                <w:sz w:val="18"/>
              </w:rPr>
              <w:t> </w:t>
            </w:r>
            <w:r>
              <w:rPr>
                <w:rFonts w:ascii="Arial"/>
                <w:sz w:val="18"/>
              </w:rPr>
              <w:t>Community</w:t>
            </w:r>
            <w:r>
              <w:rPr>
                <w:rFonts w:ascii="Arial"/>
                <w:spacing w:val="-12"/>
                <w:sz w:val="18"/>
              </w:rPr>
              <w:t> </w:t>
            </w:r>
            <w:r>
              <w:rPr>
                <w:rFonts w:ascii="Arial"/>
                <w:sz w:val="18"/>
              </w:rPr>
              <w:t>Partner </w:t>
            </w:r>
            <w:r>
              <w:rPr>
                <w:rFonts w:ascii="Arial"/>
                <w:spacing w:val="-2"/>
                <w:sz w:val="18"/>
              </w:rPr>
              <w:t>Engagement**</w:t>
            </w:r>
          </w:p>
        </w:tc>
        <w:tc>
          <w:tcPr>
            <w:tcW w:w="5719" w:type="dxa"/>
          </w:tcPr>
          <w:p>
            <w:pPr>
              <w:pStyle w:val="TableParagraph"/>
              <w:spacing w:line="220" w:lineRule="atLeast" w:before="7"/>
              <w:ind w:left="175" w:right="148" w:hanging="1"/>
              <w:jc w:val="center"/>
              <w:rPr>
                <w:rFonts w:ascii="Arial"/>
                <w:sz w:val="18"/>
              </w:rPr>
            </w:pPr>
            <w:r>
              <w:rPr>
                <w:rFonts w:ascii="Arial"/>
                <w:sz w:val="18"/>
              </w:rPr>
              <w:t>Percentage</w:t>
            </w:r>
            <w:r>
              <w:rPr>
                <w:rFonts w:ascii="Arial"/>
                <w:spacing w:val="-1"/>
                <w:sz w:val="18"/>
              </w:rPr>
              <w:t> </w:t>
            </w:r>
            <w:r>
              <w:rPr>
                <w:rFonts w:ascii="Arial"/>
                <w:sz w:val="18"/>
              </w:rPr>
              <w:t>of</w:t>
            </w:r>
            <w:r>
              <w:rPr>
                <w:rFonts w:ascii="Arial"/>
                <w:spacing w:val="-1"/>
                <w:sz w:val="18"/>
              </w:rPr>
              <w:t> </w:t>
            </w:r>
            <w:r>
              <w:rPr>
                <w:rFonts w:ascii="Arial"/>
                <w:sz w:val="18"/>
              </w:rPr>
              <w:t>members 3 to 64 years of age who engaged</w:t>
            </w:r>
            <w:r>
              <w:rPr>
                <w:rFonts w:ascii="Arial"/>
                <w:spacing w:val="-1"/>
                <w:sz w:val="18"/>
              </w:rPr>
              <w:t> </w:t>
            </w:r>
            <w:r>
              <w:rPr>
                <w:rFonts w:ascii="Arial"/>
                <w:sz w:val="18"/>
              </w:rPr>
              <w:t>with an LTSS</w:t>
            </w:r>
            <w:r>
              <w:rPr>
                <w:rFonts w:ascii="Arial"/>
                <w:spacing w:val="-3"/>
                <w:sz w:val="18"/>
              </w:rPr>
              <w:t> </w:t>
            </w:r>
            <w:r>
              <w:rPr>
                <w:rFonts w:ascii="Arial"/>
                <w:sz w:val="18"/>
              </w:rPr>
              <w:t>Community</w:t>
            </w:r>
            <w:r>
              <w:rPr>
                <w:rFonts w:ascii="Arial"/>
                <w:spacing w:val="-4"/>
                <w:sz w:val="18"/>
              </w:rPr>
              <w:t> </w:t>
            </w:r>
            <w:r>
              <w:rPr>
                <w:rFonts w:ascii="Arial"/>
                <w:sz w:val="18"/>
              </w:rPr>
              <w:t>Partner</w:t>
            </w:r>
            <w:r>
              <w:rPr>
                <w:rFonts w:ascii="Arial"/>
                <w:spacing w:val="-5"/>
                <w:sz w:val="18"/>
              </w:rPr>
              <w:t> </w:t>
            </w:r>
            <w:r>
              <w:rPr>
                <w:rFonts w:ascii="Arial"/>
                <w:sz w:val="18"/>
              </w:rPr>
              <w:t>and</w:t>
            </w:r>
            <w:r>
              <w:rPr>
                <w:rFonts w:ascii="Arial"/>
                <w:spacing w:val="-5"/>
                <w:sz w:val="18"/>
              </w:rPr>
              <w:t> </w:t>
            </w:r>
            <w:r>
              <w:rPr>
                <w:rFonts w:ascii="Arial"/>
                <w:sz w:val="18"/>
              </w:rPr>
              <w:t>received</w:t>
            </w:r>
            <w:r>
              <w:rPr>
                <w:rFonts w:ascii="Arial"/>
                <w:spacing w:val="-5"/>
                <w:sz w:val="18"/>
              </w:rPr>
              <w:t> </w:t>
            </w:r>
            <w:r>
              <w:rPr>
                <w:rFonts w:ascii="Arial"/>
                <w:sz w:val="18"/>
              </w:rPr>
              <w:t>a</w:t>
            </w:r>
            <w:r>
              <w:rPr>
                <w:rFonts w:ascii="Arial"/>
                <w:spacing w:val="-5"/>
                <w:sz w:val="18"/>
              </w:rPr>
              <w:t> </w:t>
            </w:r>
            <w:r>
              <w:rPr>
                <w:rFonts w:ascii="Arial"/>
                <w:sz w:val="18"/>
              </w:rPr>
              <w:t>care</w:t>
            </w:r>
            <w:r>
              <w:rPr>
                <w:rFonts w:ascii="Arial"/>
                <w:spacing w:val="-5"/>
                <w:sz w:val="18"/>
              </w:rPr>
              <w:t> </w:t>
            </w:r>
            <w:r>
              <w:rPr>
                <w:rFonts w:ascii="Arial"/>
                <w:sz w:val="18"/>
              </w:rPr>
              <w:t>plan</w:t>
            </w:r>
            <w:r>
              <w:rPr>
                <w:rFonts w:ascii="Arial"/>
                <w:spacing w:val="-2"/>
                <w:sz w:val="18"/>
              </w:rPr>
              <w:t> </w:t>
            </w:r>
            <w:r>
              <w:rPr>
                <w:rFonts w:ascii="Arial"/>
                <w:sz w:val="18"/>
              </w:rPr>
              <w:t>within</w:t>
            </w:r>
            <w:r>
              <w:rPr>
                <w:rFonts w:ascii="Arial"/>
                <w:spacing w:val="-2"/>
                <w:sz w:val="18"/>
              </w:rPr>
              <w:t> </w:t>
            </w:r>
            <w:r>
              <w:rPr>
                <w:rFonts w:ascii="Arial"/>
                <w:sz w:val="18"/>
              </w:rPr>
              <w:t>3</w:t>
            </w:r>
            <w:r>
              <w:rPr>
                <w:rFonts w:ascii="Arial"/>
                <w:spacing w:val="-7"/>
                <w:sz w:val="18"/>
              </w:rPr>
              <w:t> </w:t>
            </w:r>
            <w:r>
              <w:rPr>
                <w:rFonts w:ascii="Arial"/>
                <w:sz w:val="18"/>
              </w:rPr>
              <w:t>months (122 days) of Community Partner assignment</w:t>
            </w:r>
          </w:p>
        </w:tc>
        <w:tc>
          <w:tcPr>
            <w:tcW w:w="900" w:type="dxa"/>
          </w:tcPr>
          <w:p>
            <w:pPr>
              <w:pStyle w:val="TableParagraph"/>
              <w:spacing w:before="2"/>
              <w:rPr>
                <w:i/>
                <w:sz w:val="21"/>
              </w:rPr>
            </w:pPr>
          </w:p>
          <w:p>
            <w:pPr>
              <w:pStyle w:val="TableParagraph"/>
              <w:ind w:left="156" w:right="134"/>
              <w:jc w:val="center"/>
              <w:rPr>
                <w:rFonts w:ascii="Arial"/>
                <w:sz w:val="18"/>
              </w:rPr>
            </w:pPr>
            <w:r>
              <w:rPr>
                <w:rFonts w:ascii="Arial"/>
                <w:spacing w:val="-4"/>
                <w:sz w:val="18"/>
              </w:rPr>
              <w:t>Admin</w:t>
            </w:r>
          </w:p>
        </w:tc>
        <w:tc>
          <w:tcPr>
            <w:tcW w:w="629" w:type="dxa"/>
          </w:tcPr>
          <w:p>
            <w:pPr>
              <w:pStyle w:val="TableParagraph"/>
              <w:spacing w:before="2"/>
              <w:rPr>
                <w:i/>
                <w:sz w:val="21"/>
              </w:rPr>
            </w:pPr>
          </w:p>
          <w:p>
            <w:pPr>
              <w:pStyle w:val="TableParagraph"/>
              <w:ind w:left="20"/>
              <w:jc w:val="center"/>
              <w:rPr>
                <w:rFonts w:ascii="Arial"/>
                <w:sz w:val="18"/>
              </w:rPr>
            </w:pPr>
            <w:r>
              <w:rPr>
                <w:rFonts w:ascii="Arial"/>
                <w:sz w:val="18"/>
              </w:rPr>
              <w:t>R</w:t>
            </w:r>
          </w:p>
        </w:tc>
        <w:tc>
          <w:tcPr>
            <w:tcW w:w="919" w:type="dxa"/>
          </w:tcPr>
          <w:p>
            <w:pPr>
              <w:pStyle w:val="TableParagraph"/>
              <w:spacing w:before="2"/>
              <w:rPr>
                <w:i/>
                <w:sz w:val="21"/>
              </w:rPr>
            </w:pPr>
          </w:p>
          <w:p>
            <w:pPr>
              <w:pStyle w:val="TableParagraph"/>
              <w:ind w:left="22"/>
              <w:jc w:val="center"/>
              <w:rPr>
                <w:rFonts w:ascii="Arial"/>
                <w:sz w:val="18"/>
              </w:rPr>
            </w:pPr>
            <w:r>
              <w:rPr>
                <w:rFonts w:ascii="Arial"/>
                <w:sz w:val="18"/>
              </w:rPr>
              <w:t>R</w:t>
            </w:r>
          </w:p>
        </w:tc>
        <w:tc>
          <w:tcPr>
            <w:tcW w:w="1185" w:type="dxa"/>
          </w:tcPr>
          <w:p>
            <w:pPr>
              <w:pStyle w:val="TableParagraph"/>
              <w:spacing w:before="2"/>
              <w:rPr>
                <w:i/>
                <w:sz w:val="21"/>
              </w:rPr>
            </w:pPr>
          </w:p>
          <w:p>
            <w:pPr>
              <w:pStyle w:val="TableParagraph"/>
              <w:ind w:left="21"/>
              <w:jc w:val="center"/>
              <w:rPr>
                <w:rFonts w:ascii="Arial"/>
                <w:sz w:val="18"/>
              </w:rPr>
            </w:pPr>
            <w:r>
              <w:rPr>
                <w:rFonts w:ascii="Arial"/>
                <w:sz w:val="18"/>
              </w:rPr>
              <w:t>R</w:t>
            </w:r>
          </w:p>
        </w:tc>
        <w:tc>
          <w:tcPr>
            <w:tcW w:w="631" w:type="dxa"/>
          </w:tcPr>
          <w:p>
            <w:pPr>
              <w:pStyle w:val="TableParagraph"/>
              <w:spacing w:before="2"/>
              <w:rPr>
                <w:i/>
                <w:sz w:val="21"/>
              </w:rPr>
            </w:pPr>
          </w:p>
          <w:p>
            <w:pPr>
              <w:pStyle w:val="TableParagraph"/>
              <w:ind w:left="19"/>
              <w:jc w:val="center"/>
              <w:rPr>
                <w:rFonts w:ascii="Arial"/>
                <w:sz w:val="18"/>
              </w:rPr>
            </w:pPr>
            <w:r>
              <w:rPr>
                <w:rFonts w:ascii="Arial"/>
                <w:sz w:val="18"/>
              </w:rPr>
              <w:t>P</w:t>
            </w:r>
          </w:p>
        </w:tc>
        <w:tc>
          <w:tcPr>
            <w:tcW w:w="720" w:type="dxa"/>
          </w:tcPr>
          <w:p>
            <w:pPr>
              <w:pStyle w:val="TableParagraph"/>
              <w:spacing w:before="2"/>
              <w:rPr>
                <w:i/>
                <w:sz w:val="21"/>
              </w:rPr>
            </w:pPr>
          </w:p>
          <w:p>
            <w:pPr>
              <w:pStyle w:val="TableParagraph"/>
              <w:ind w:left="22"/>
              <w:jc w:val="center"/>
              <w:rPr>
                <w:rFonts w:ascii="Arial"/>
                <w:sz w:val="18"/>
              </w:rPr>
            </w:pPr>
            <w:r>
              <w:rPr>
                <w:rFonts w:ascii="Arial"/>
                <w:sz w:val="18"/>
              </w:rPr>
              <w:t>P</w:t>
            </w:r>
          </w:p>
        </w:tc>
      </w:tr>
      <w:tr>
        <w:trPr>
          <w:trHeight w:val="1014" w:hRule="atLeast"/>
        </w:trPr>
        <w:tc>
          <w:tcPr>
            <w:tcW w:w="1128" w:type="dxa"/>
          </w:tcPr>
          <w:p>
            <w:pPr>
              <w:pStyle w:val="TableParagraph"/>
              <w:rPr>
                <w:i/>
                <w:sz w:val="20"/>
              </w:rPr>
            </w:pPr>
          </w:p>
          <w:p>
            <w:pPr>
              <w:pStyle w:val="TableParagraph"/>
              <w:spacing w:before="164"/>
              <w:ind w:left="448" w:right="429"/>
              <w:jc w:val="center"/>
              <w:rPr>
                <w:rFonts w:ascii="Arial"/>
                <w:sz w:val="18"/>
              </w:rPr>
            </w:pPr>
            <w:r>
              <w:rPr>
                <w:rFonts w:ascii="Arial"/>
                <w:spacing w:val="-5"/>
                <w:sz w:val="18"/>
              </w:rPr>
              <w:t>19</w:t>
            </w:r>
          </w:p>
        </w:tc>
        <w:tc>
          <w:tcPr>
            <w:tcW w:w="2726" w:type="dxa"/>
          </w:tcPr>
          <w:p>
            <w:pPr>
              <w:pStyle w:val="TableParagraph"/>
              <w:rPr>
                <w:i/>
                <w:sz w:val="20"/>
              </w:rPr>
            </w:pPr>
          </w:p>
          <w:p>
            <w:pPr>
              <w:pStyle w:val="TableParagraph"/>
              <w:spacing w:before="164"/>
              <w:ind w:left="108" w:right="86"/>
              <w:jc w:val="center"/>
              <w:rPr>
                <w:rFonts w:ascii="Arial"/>
                <w:sz w:val="18"/>
              </w:rPr>
            </w:pPr>
            <w:r>
              <w:rPr>
                <w:rFonts w:ascii="Arial"/>
                <w:sz w:val="18"/>
              </w:rPr>
              <w:t>Community</w:t>
            </w:r>
            <w:r>
              <w:rPr>
                <w:rFonts w:ascii="Arial"/>
                <w:spacing w:val="-2"/>
                <w:sz w:val="18"/>
              </w:rPr>
              <w:t> Tenure**</w:t>
            </w:r>
          </w:p>
        </w:tc>
        <w:tc>
          <w:tcPr>
            <w:tcW w:w="5719" w:type="dxa"/>
          </w:tcPr>
          <w:p>
            <w:pPr>
              <w:pStyle w:val="TableParagraph"/>
              <w:spacing w:line="259" w:lineRule="auto" w:before="118"/>
              <w:ind w:left="110" w:right="96"/>
              <w:rPr>
                <w:rFonts w:ascii="Arial"/>
                <w:sz w:val="18"/>
              </w:rPr>
            </w:pPr>
            <w:r>
              <w:rPr>
                <w:rFonts w:ascii="Arial"/>
                <w:sz w:val="18"/>
              </w:rPr>
              <w:t>The percentage of eligible days that ACO members 18-64 with bipolar</w:t>
            </w:r>
            <w:r>
              <w:rPr>
                <w:rFonts w:ascii="Arial"/>
                <w:spacing w:val="-5"/>
                <w:sz w:val="18"/>
              </w:rPr>
              <w:t> </w:t>
            </w:r>
            <w:r>
              <w:rPr>
                <w:rFonts w:ascii="Arial"/>
                <w:sz w:val="18"/>
              </w:rPr>
              <w:t>disorder,</w:t>
            </w:r>
            <w:r>
              <w:rPr>
                <w:rFonts w:ascii="Arial"/>
                <w:spacing w:val="-7"/>
                <w:sz w:val="18"/>
              </w:rPr>
              <w:t> </w:t>
            </w:r>
            <w:r>
              <w:rPr>
                <w:rFonts w:ascii="Arial"/>
                <w:sz w:val="18"/>
              </w:rPr>
              <w:t>schizophrenia,</w:t>
            </w:r>
            <w:r>
              <w:rPr>
                <w:rFonts w:ascii="Arial"/>
                <w:spacing w:val="-5"/>
                <w:sz w:val="18"/>
              </w:rPr>
              <w:t> </w:t>
            </w:r>
            <w:r>
              <w:rPr>
                <w:rFonts w:ascii="Arial"/>
                <w:sz w:val="18"/>
              </w:rPr>
              <w:t>or</w:t>
            </w:r>
            <w:r>
              <w:rPr>
                <w:rFonts w:ascii="Arial"/>
                <w:spacing w:val="-5"/>
                <w:sz w:val="18"/>
              </w:rPr>
              <w:t> </w:t>
            </w:r>
            <w:r>
              <w:rPr>
                <w:rFonts w:ascii="Arial"/>
                <w:sz w:val="18"/>
              </w:rPr>
              <w:t>psychosis</w:t>
            </w:r>
            <w:r>
              <w:rPr>
                <w:rFonts w:ascii="Arial"/>
                <w:spacing w:val="-6"/>
                <w:sz w:val="18"/>
              </w:rPr>
              <w:t> </w:t>
            </w:r>
            <w:r>
              <w:rPr>
                <w:rFonts w:ascii="Arial"/>
                <w:sz w:val="18"/>
              </w:rPr>
              <w:t>(BSP)</w:t>
            </w:r>
            <w:r>
              <w:rPr>
                <w:rFonts w:ascii="Arial"/>
                <w:spacing w:val="-5"/>
                <w:sz w:val="18"/>
              </w:rPr>
              <w:t> </w:t>
            </w:r>
            <w:r>
              <w:rPr>
                <w:rFonts w:ascii="Arial"/>
                <w:sz w:val="18"/>
              </w:rPr>
              <w:t>diagnoses,</w:t>
            </w:r>
            <w:r>
              <w:rPr>
                <w:rFonts w:ascii="Arial"/>
                <w:spacing w:val="-5"/>
                <w:sz w:val="18"/>
              </w:rPr>
              <w:t> </w:t>
            </w:r>
            <w:r>
              <w:rPr>
                <w:rFonts w:ascii="Arial"/>
                <w:sz w:val="18"/>
              </w:rPr>
              <w:t>and separately, for other members 18-64 who have at least 3</w:t>
            </w:r>
          </w:p>
          <w:p>
            <w:pPr>
              <w:pStyle w:val="TableParagraph"/>
              <w:spacing w:line="204" w:lineRule="exact" w:before="2"/>
              <w:ind w:left="110"/>
              <w:rPr>
                <w:rFonts w:ascii="Arial"/>
                <w:sz w:val="18"/>
              </w:rPr>
            </w:pPr>
            <w:r>
              <w:rPr>
                <w:rFonts w:ascii="Arial"/>
                <w:sz w:val="18"/>
              </w:rPr>
              <w:t>consecutive</w:t>
            </w:r>
            <w:r>
              <w:rPr>
                <w:rFonts w:ascii="Arial"/>
                <w:spacing w:val="-5"/>
                <w:sz w:val="18"/>
              </w:rPr>
              <w:t> </w:t>
            </w:r>
            <w:r>
              <w:rPr>
                <w:rFonts w:ascii="Arial"/>
                <w:sz w:val="18"/>
              </w:rPr>
              <w:t>months</w:t>
            </w:r>
            <w:r>
              <w:rPr>
                <w:rFonts w:ascii="Arial"/>
                <w:spacing w:val="-3"/>
                <w:sz w:val="18"/>
              </w:rPr>
              <w:t> </w:t>
            </w:r>
            <w:r>
              <w:rPr>
                <w:rFonts w:ascii="Arial"/>
                <w:sz w:val="18"/>
              </w:rPr>
              <w:t>of</w:t>
            </w:r>
            <w:r>
              <w:rPr>
                <w:rFonts w:ascii="Arial"/>
                <w:spacing w:val="-2"/>
                <w:sz w:val="18"/>
              </w:rPr>
              <w:t> </w:t>
            </w:r>
            <w:r>
              <w:rPr>
                <w:rFonts w:ascii="Arial"/>
                <w:sz w:val="18"/>
              </w:rPr>
              <w:t>LTSS</w:t>
            </w:r>
            <w:r>
              <w:rPr>
                <w:rFonts w:ascii="Arial"/>
                <w:spacing w:val="-2"/>
                <w:sz w:val="18"/>
              </w:rPr>
              <w:t> </w:t>
            </w:r>
            <w:r>
              <w:rPr>
                <w:rFonts w:ascii="Arial"/>
                <w:sz w:val="18"/>
              </w:rPr>
              <w:t>utilization</w:t>
            </w:r>
            <w:r>
              <w:rPr>
                <w:rFonts w:ascii="Arial"/>
                <w:spacing w:val="-1"/>
                <w:sz w:val="18"/>
              </w:rPr>
              <w:t> </w:t>
            </w:r>
            <w:r>
              <w:rPr>
                <w:rFonts w:ascii="Arial"/>
                <w:sz w:val="18"/>
              </w:rPr>
              <w:t>reside</w:t>
            </w:r>
            <w:r>
              <w:rPr>
                <w:rFonts w:ascii="Arial"/>
                <w:spacing w:val="-2"/>
                <w:sz w:val="18"/>
              </w:rPr>
              <w:t> </w:t>
            </w:r>
            <w:r>
              <w:rPr>
                <w:rFonts w:ascii="Arial"/>
                <w:sz w:val="18"/>
              </w:rPr>
              <w:t>in</w:t>
            </w:r>
            <w:r>
              <w:rPr>
                <w:rFonts w:ascii="Arial"/>
                <w:spacing w:val="-1"/>
                <w:sz w:val="18"/>
              </w:rPr>
              <w:t> </w:t>
            </w:r>
            <w:r>
              <w:rPr>
                <w:rFonts w:ascii="Arial"/>
                <w:sz w:val="18"/>
              </w:rPr>
              <w:t>their</w:t>
            </w:r>
            <w:r>
              <w:rPr>
                <w:rFonts w:ascii="Arial"/>
                <w:spacing w:val="-2"/>
                <w:sz w:val="18"/>
              </w:rPr>
              <w:t> </w:t>
            </w:r>
            <w:r>
              <w:rPr>
                <w:rFonts w:ascii="Arial"/>
                <w:sz w:val="18"/>
              </w:rPr>
              <w:t>home</w:t>
            </w:r>
            <w:r>
              <w:rPr>
                <w:rFonts w:ascii="Arial"/>
                <w:spacing w:val="-4"/>
                <w:sz w:val="18"/>
              </w:rPr>
              <w:t> </w:t>
            </w:r>
            <w:r>
              <w:rPr>
                <w:rFonts w:ascii="Arial"/>
                <w:sz w:val="18"/>
              </w:rPr>
              <w:t>or</w:t>
            </w:r>
            <w:r>
              <w:rPr>
                <w:rFonts w:ascii="Arial"/>
                <w:spacing w:val="-2"/>
                <w:sz w:val="18"/>
              </w:rPr>
              <w:t> </w:t>
            </w:r>
            <w:r>
              <w:rPr>
                <w:rFonts w:ascii="Arial"/>
                <w:sz w:val="18"/>
              </w:rPr>
              <w:t>in</w:t>
            </w:r>
            <w:r>
              <w:rPr>
                <w:rFonts w:ascii="Arial"/>
                <w:spacing w:val="-1"/>
                <w:sz w:val="18"/>
              </w:rPr>
              <w:t> </w:t>
            </w:r>
            <w:r>
              <w:rPr>
                <w:rFonts w:ascii="Arial"/>
                <w:spacing w:val="-10"/>
                <w:sz w:val="18"/>
              </w:rPr>
              <w:t>a</w:t>
            </w:r>
          </w:p>
        </w:tc>
        <w:tc>
          <w:tcPr>
            <w:tcW w:w="900" w:type="dxa"/>
          </w:tcPr>
          <w:p>
            <w:pPr>
              <w:pStyle w:val="TableParagraph"/>
              <w:rPr>
                <w:i/>
                <w:sz w:val="20"/>
              </w:rPr>
            </w:pPr>
          </w:p>
          <w:p>
            <w:pPr>
              <w:pStyle w:val="TableParagraph"/>
              <w:spacing w:before="164"/>
              <w:ind w:left="156" w:right="134"/>
              <w:jc w:val="center"/>
              <w:rPr>
                <w:rFonts w:ascii="Arial"/>
                <w:sz w:val="18"/>
              </w:rPr>
            </w:pPr>
            <w:r>
              <w:rPr>
                <w:rFonts w:ascii="Arial"/>
                <w:spacing w:val="-4"/>
                <w:sz w:val="18"/>
              </w:rPr>
              <w:t>Admin</w:t>
            </w:r>
          </w:p>
        </w:tc>
        <w:tc>
          <w:tcPr>
            <w:tcW w:w="629" w:type="dxa"/>
          </w:tcPr>
          <w:p>
            <w:pPr>
              <w:pStyle w:val="TableParagraph"/>
              <w:rPr>
                <w:i/>
                <w:sz w:val="20"/>
              </w:rPr>
            </w:pPr>
          </w:p>
          <w:p>
            <w:pPr>
              <w:pStyle w:val="TableParagraph"/>
              <w:spacing w:before="164"/>
              <w:ind w:left="20"/>
              <w:jc w:val="center"/>
              <w:rPr>
                <w:rFonts w:ascii="Arial"/>
                <w:sz w:val="18"/>
              </w:rPr>
            </w:pPr>
            <w:r>
              <w:rPr>
                <w:rFonts w:ascii="Arial"/>
                <w:sz w:val="18"/>
              </w:rPr>
              <w:t>R</w:t>
            </w:r>
          </w:p>
        </w:tc>
        <w:tc>
          <w:tcPr>
            <w:tcW w:w="919" w:type="dxa"/>
          </w:tcPr>
          <w:p>
            <w:pPr>
              <w:pStyle w:val="TableParagraph"/>
              <w:rPr>
                <w:i/>
                <w:sz w:val="20"/>
              </w:rPr>
            </w:pPr>
          </w:p>
          <w:p>
            <w:pPr>
              <w:pStyle w:val="TableParagraph"/>
              <w:spacing w:before="164"/>
              <w:ind w:left="22"/>
              <w:jc w:val="center"/>
              <w:rPr>
                <w:rFonts w:ascii="Arial"/>
                <w:sz w:val="18"/>
              </w:rPr>
            </w:pPr>
            <w:r>
              <w:rPr>
                <w:rFonts w:ascii="Arial"/>
                <w:sz w:val="18"/>
              </w:rPr>
              <w:t>R</w:t>
            </w:r>
          </w:p>
        </w:tc>
        <w:tc>
          <w:tcPr>
            <w:tcW w:w="1185" w:type="dxa"/>
          </w:tcPr>
          <w:p>
            <w:pPr>
              <w:pStyle w:val="TableParagraph"/>
              <w:rPr>
                <w:i/>
                <w:sz w:val="20"/>
              </w:rPr>
            </w:pPr>
          </w:p>
          <w:p>
            <w:pPr>
              <w:pStyle w:val="TableParagraph"/>
              <w:spacing w:before="164"/>
              <w:ind w:left="21"/>
              <w:jc w:val="center"/>
              <w:rPr>
                <w:rFonts w:ascii="Arial"/>
                <w:sz w:val="18"/>
              </w:rPr>
            </w:pPr>
            <w:r>
              <w:rPr>
                <w:rFonts w:ascii="Arial"/>
                <w:sz w:val="18"/>
              </w:rPr>
              <w:t>R</w:t>
            </w:r>
          </w:p>
        </w:tc>
        <w:tc>
          <w:tcPr>
            <w:tcW w:w="631" w:type="dxa"/>
          </w:tcPr>
          <w:p>
            <w:pPr>
              <w:pStyle w:val="TableParagraph"/>
              <w:rPr>
                <w:i/>
                <w:sz w:val="20"/>
              </w:rPr>
            </w:pPr>
          </w:p>
          <w:p>
            <w:pPr>
              <w:pStyle w:val="TableParagraph"/>
              <w:spacing w:before="164"/>
              <w:ind w:left="19"/>
              <w:jc w:val="center"/>
              <w:rPr>
                <w:rFonts w:ascii="Arial"/>
                <w:sz w:val="18"/>
              </w:rPr>
            </w:pPr>
            <w:r>
              <w:rPr>
                <w:rFonts w:ascii="Arial"/>
                <w:sz w:val="18"/>
              </w:rPr>
              <w:t>P</w:t>
            </w:r>
          </w:p>
        </w:tc>
        <w:tc>
          <w:tcPr>
            <w:tcW w:w="720" w:type="dxa"/>
          </w:tcPr>
          <w:p>
            <w:pPr>
              <w:pStyle w:val="TableParagraph"/>
              <w:rPr>
                <w:i/>
                <w:sz w:val="20"/>
              </w:rPr>
            </w:pPr>
          </w:p>
          <w:p>
            <w:pPr>
              <w:pStyle w:val="TableParagraph"/>
              <w:spacing w:before="164"/>
              <w:ind w:left="22"/>
              <w:jc w:val="center"/>
              <w:rPr>
                <w:rFonts w:ascii="Arial"/>
                <w:sz w:val="18"/>
              </w:rPr>
            </w:pPr>
            <w:r>
              <w:rPr>
                <w:rFonts w:ascii="Arial"/>
                <w:sz w:val="18"/>
              </w:rPr>
              <w:t>P</w:t>
            </w:r>
          </w:p>
        </w:tc>
      </w:tr>
    </w:tbl>
    <w:p>
      <w:pPr>
        <w:spacing w:after="0"/>
        <w:jc w:val="center"/>
        <w:rPr>
          <w:rFonts w:ascii="Arial"/>
          <w:sz w:val="18"/>
        </w:rPr>
        <w:sectPr>
          <w:pgSz w:w="15840" w:h="12240" w:orient="landscape"/>
          <w:pgMar w:header="0" w:footer="967" w:top="1380" w:bottom="1160" w:left="200" w:right="200"/>
        </w:sectPr>
      </w:pPr>
    </w:p>
    <w:p>
      <w:pPr>
        <w:pStyle w:val="BodyText"/>
        <w:spacing w:before="4"/>
        <w:rPr>
          <w:i/>
          <w:sz w:val="4"/>
        </w:rPr>
      </w:pPr>
    </w:p>
    <w:tbl>
      <w:tblPr>
        <w:tblW w:w="0" w:type="auto"/>
        <w:jc w:val="left"/>
        <w:tblInd w:w="451" w:type="dxa"/>
        <w:tblBorders>
          <w:top w:val="single" w:sz="8" w:space="0" w:color="BEBEBE"/>
          <w:left w:val="single" w:sz="8" w:space="0" w:color="BEBEBE"/>
          <w:bottom w:val="single" w:sz="8" w:space="0" w:color="BEBEBE"/>
          <w:right w:val="single" w:sz="8" w:space="0" w:color="BEBEBE"/>
          <w:insideH w:val="single" w:sz="8" w:space="0" w:color="BEBEBE"/>
          <w:insideV w:val="single" w:sz="8" w:space="0" w:color="BEBEBE"/>
        </w:tblBorders>
        <w:tblLayout w:type="fixed"/>
        <w:tblCellMar>
          <w:top w:w="0" w:type="dxa"/>
          <w:left w:w="0" w:type="dxa"/>
          <w:bottom w:w="0" w:type="dxa"/>
          <w:right w:w="0" w:type="dxa"/>
        </w:tblCellMar>
        <w:tblLook w:val="01E0"/>
      </w:tblPr>
      <w:tblGrid>
        <w:gridCol w:w="1128"/>
        <w:gridCol w:w="2726"/>
        <w:gridCol w:w="5719"/>
        <w:gridCol w:w="900"/>
        <w:gridCol w:w="629"/>
        <w:gridCol w:w="919"/>
        <w:gridCol w:w="1185"/>
        <w:gridCol w:w="631"/>
        <w:gridCol w:w="720"/>
      </w:tblGrid>
      <w:tr>
        <w:trPr>
          <w:trHeight w:val="606" w:hRule="atLeast"/>
        </w:trPr>
        <w:tc>
          <w:tcPr>
            <w:tcW w:w="1128" w:type="dxa"/>
            <w:tcBorders>
              <w:top w:val="nil"/>
            </w:tcBorders>
          </w:tcPr>
          <w:p>
            <w:pPr>
              <w:pStyle w:val="TableParagraph"/>
              <w:rPr>
                <w:sz w:val="18"/>
              </w:rPr>
            </w:pPr>
          </w:p>
        </w:tc>
        <w:tc>
          <w:tcPr>
            <w:tcW w:w="2726" w:type="dxa"/>
            <w:tcBorders>
              <w:top w:val="nil"/>
            </w:tcBorders>
          </w:tcPr>
          <w:p>
            <w:pPr>
              <w:pStyle w:val="TableParagraph"/>
              <w:rPr>
                <w:sz w:val="18"/>
              </w:rPr>
            </w:pPr>
          </w:p>
        </w:tc>
        <w:tc>
          <w:tcPr>
            <w:tcW w:w="5719" w:type="dxa"/>
            <w:tcBorders>
              <w:top w:val="nil"/>
            </w:tcBorders>
          </w:tcPr>
          <w:p>
            <w:pPr>
              <w:pStyle w:val="TableParagraph"/>
              <w:spacing w:line="261" w:lineRule="auto"/>
              <w:ind w:left="110" w:right="96"/>
              <w:rPr>
                <w:rFonts w:ascii="Arial"/>
                <w:sz w:val="18"/>
              </w:rPr>
            </w:pPr>
            <w:r>
              <w:rPr>
                <w:rFonts w:ascii="Arial"/>
                <w:sz w:val="18"/>
              </w:rPr>
              <w:t>community</w:t>
            </w:r>
            <w:r>
              <w:rPr>
                <w:rFonts w:ascii="Arial"/>
                <w:spacing w:val="-6"/>
                <w:sz w:val="18"/>
              </w:rPr>
              <w:t> </w:t>
            </w:r>
            <w:r>
              <w:rPr>
                <w:rFonts w:ascii="Arial"/>
                <w:sz w:val="18"/>
              </w:rPr>
              <w:t>setting</w:t>
            </w:r>
            <w:r>
              <w:rPr>
                <w:rFonts w:ascii="Arial"/>
                <w:spacing w:val="-4"/>
                <w:sz w:val="18"/>
              </w:rPr>
              <w:t> </w:t>
            </w:r>
            <w:r>
              <w:rPr>
                <w:rFonts w:ascii="Arial"/>
                <w:sz w:val="18"/>
              </w:rPr>
              <w:t>without</w:t>
            </w:r>
            <w:r>
              <w:rPr>
                <w:rFonts w:ascii="Arial"/>
                <w:spacing w:val="-7"/>
                <w:sz w:val="18"/>
              </w:rPr>
              <w:t> </w:t>
            </w:r>
            <w:r>
              <w:rPr>
                <w:rFonts w:ascii="Arial"/>
                <w:sz w:val="18"/>
              </w:rPr>
              <w:t>utilizing</w:t>
            </w:r>
            <w:r>
              <w:rPr>
                <w:rFonts w:ascii="Arial"/>
                <w:spacing w:val="-4"/>
                <w:sz w:val="18"/>
              </w:rPr>
              <w:t> </w:t>
            </w:r>
            <w:r>
              <w:rPr>
                <w:rFonts w:ascii="Arial"/>
                <w:sz w:val="18"/>
              </w:rPr>
              <w:t>acute,</w:t>
            </w:r>
            <w:r>
              <w:rPr>
                <w:rFonts w:ascii="Arial"/>
                <w:spacing w:val="-7"/>
                <w:sz w:val="18"/>
              </w:rPr>
              <w:t> </w:t>
            </w:r>
            <w:r>
              <w:rPr>
                <w:rFonts w:ascii="Arial"/>
                <w:sz w:val="18"/>
              </w:rPr>
              <w:t>chronic,</w:t>
            </w:r>
            <w:r>
              <w:rPr>
                <w:rFonts w:ascii="Arial"/>
                <w:spacing w:val="-5"/>
                <w:sz w:val="18"/>
              </w:rPr>
              <w:t> </w:t>
            </w:r>
            <w:r>
              <w:rPr>
                <w:rFonts w:ascii="Arial"/>
                <w:sz w:val="18"/>
              </w:rPr>
              <w:t>or</w:t>
            </w:r>
            <w:r>
              <w:rPr>
                <w:rFonts w:ascii="Arial"/>
                <w:spacing w:val="-7"/>
                <w:sz w:val="18"/>
              </w:rPr>
              <w:t> </w:t>
            </w:r>
            <w:r>
              <w:rPr>
                <w:rFonts w:ascii="Arial"/>
                <w:sz w:val="18"/>
              </w:rPr>
              <w:t>post-acute institutional</w:t>
            </w:r>
            <w:r>
              <w:rPr>
                <w:rFonts w:ascii="Arial"/>
                <w:spacing w:val="-3"/>
                <w:sz w:val="18"/>
              </w:rPr>
              <w:t> </w:t>
            </w:r>
            <w:r>
              <w:rPr>
                <w:rFonts w:ascii="Arial"/>
                <w:sz w:val="18"/>
              </w:rPr>
              <w:t>health</w:t>
            </w:r>
            <w:r>
              <w:rPr>
                <w:rFonts w:ascii="Arial"/>
                <w:spacing w:val="-2"/>
                <w:sz w:val="18"/>
              </w:rPr>
              <w:t> </w:t>
            </w:r>
            <w:r>
              <w:rPr>
                <w:rFonts w:ascii="Arial"/>
                <w:sz w:val="18"/>
              </w:rPr>
              <w:t>care</w:t>
            </w:r>
            <w:r>
              <w:rPr>
                <w:rFonts w:ascii="Arial"/>
                <w:spacing w:val="-2"/>
                <w:sz w:val="18"/>
              </w:rPr>
              <w:t> </w:t>
            </w:r>
            <w:r>
              <w:rPr>
                <w:rFonts w:ascii="Arial"/>
                <w:sz w:val="18"/>
              </w:rPr>
              <w:t>services</w:t>
            </w:r>
            <w:r>
              <w:rPr>
                <w:rFonts w:ascii="Arial"/>
                <w:spacing w:val="-2"/>
                <w:sz w:val="18"/>
              </w:rPr>
              <w:t> </w:t>
            </w:r>
            <w:r>
              <w:rPr>
                <w:rFonts w:ascii="Arial"/>
                <w:sz w:val="18"/>
              </w:rPr>
              <w:t>during</w:t>
            </w:r>
            <w:r>
              <w:rPr>
                <w:rFonts w:ascii="Arial"/>
                <w:spacing w:val="-5"/>
                <w:sz w:val="18"/>
              </w:rPr>
              <w:t> </w:t>
            </w:r>
            <w:r>
              <w:rPr>
                <w:rFonts w:ascii="Arial"/>
                <w:sz w:val="18"/>
              </w:rPr>
              <w:t>the</w:t>
            </w:r>
            <w:r>
              <w:rPr>
                <w:rFonts w:ascii="Arial"/>
                <w:spacing w:val="-5"/>
                <w:sz w:val="18"/>
              </w:rPr>
              <w:t> </w:t>
            </w:r>
            <w:r>
              <w:rPr>
                <w:rFonts w:ascii="Arial"/>
                <w:sz w:val="18"/>
              </w:rPr>
              <w:t>measurement</w:t>
            </w:r>
            <w:r>
              <w:rPr>
                <w:rFonts w:ascii="Arial"/>
                <w:spacing w:val="-3"/>
                <w:sz w:val="18"/>
              </w:rPr>
              <w:t> </w:t>
            </w:r>
            <w:r>
              <w:rPr>
                <w:rFonts w:ascii="Arial"/>
                <w:spacing w:val="-2"/>
                <w:sz w:val="18"/>
              </w:rPr>
              <w:t>year.</w:t>
            </w:r>
          </w:p>
        </w:tc>
        <w:tc>
          <w:tcPr>
            <w:tcW w:w="900" w:type="dxa"/>
            <w:tcBorders>
              <w:top w:val="nil"/>
            </w:tcBorders>
          </w:tcPr>
          <w:p>
            <w:pPr>
              <w:pStyle w:val="TableParagraph"/>
              <w:rPr>
                <w:sz w:val="18"/>
              </w:rPr>
            </w:pPr>
          </w:p>
        </w:tc>
        <w:tc>
          <w:tcPr>
            <w:tcW w:w="629" w:type="dxa"/>
            <w:tcBorders>
              <w:top w:val="nil"/>
            </w:tcBorders>
          </w:tcPr>
          <w:p>
            <w:pPr>
              <w:pStyle w:val="TableParagraph"/>
              <w:rPr>
                <w:sz w:val="18"/>
              </w:rPr>
            </w:pPr>
          </w:p>
        </w:tc>
        <w:tc>
          <w:tcPr>
            <w:tcW w:w="919" w:type="dxa"/>
            <w:tcBorders>
              <w:top w:val="nil"/>
            </w:tcBorders>
          </w:tcPr>
          <w:p>
            <w:pPr>
              <w:pStyle w:val="TableParagraph"/>
              <w:rPr>
                <w:sz w:val="18"/>
              </w:rPr>
            </w:pPr>
          </w:p>
        </w:tc>
        <w:tc>
          <w:tcPr>
            <w:tcW w:w="1185" w:type="dxa"/>
            <w:tcBorders>
              <w:top w:val="nil"/>
            </w:tcBorders>
          </w:tcPr>
          <w:p>
            <w:pPr>
              <w:pStyle w:val="TableParagraph"/>
              <w:rPr>
                <w:sz w:val="18"/>
              </w:rPr>
            </w:pPr>
          </w:p>
        </w:tc>
        <w:tc>
          <w:tcPr>
            <w:tcW w:w="631" w:type="dxa"/>
            <w:tcBorders>
              <w:top w:val="nil"/>
            </w:tcBorders>
          </w:tcPr>
          <w:p>
            <w:pPr>
              <w:pStyle w:val="TableParagraph"/>
              <w:rPr>
                <w:sz w:val="18"/>
              </w:rPr>
            </w:pPr>
          </w:p>
        </w:tc>
        <w:tc>
          <w:tcPr>
            <w:tcW w:w="720" w:type="dxa"/>
            <w:tcBorders>
              <w:top w:val="nil"/>
            </w:tcBorders>
          </w:tcPr>
          <w:p>
            <w:pPr>
              <w:pStyle w:val="TableParagraph"/>
              <w:rPr>
                <w:sz w:val="18"/>
              </w:rPr>
            </w:pPr>
          </w:p>
        </w:tc>
      </w:tr>
      <w:tr>
        <w:trPr>
          <w:trHeight w:val="565" w:hRule="atLeast"/>
        </w:trPr>
        <w:tc>
          <w:tcPr>
            <w:tcW w:w="14557" w:type="dxa"/>
            <w:gridSpan w:val="9"/>
          </w:tcPr>
          <w:p>
            <w:pPr>
              <w:pStyle w:val="TableParagraph"/>
              <w:spacing w:before="171"/>
              <w:ind w:left="107"/>
              <w:rPr>
                <w:rFonts w:ascii="Arial" w:hAnsi="Arial"/>
                <w:b/>
                <w:sz w:val="18"/>
              </w:rPr>
            </w:pPr>
            <w:r>
              <w:rPr>
                <w:rFonts w:ascii="Arial" w:hAnsi="Arial"/>
                <w:b/>
                <w:sz w:val="18"/>
              </w:rPr>
              <w:t>Domain</w:t>
            </w:r>
            <w:r>
              <w:rPr>
                <w:rFonts w:ascii="Arial" w:hAnsi="Arial"/>
                <w:b/>
                <w:spacing w:val="-4"/>
                <w:sz w:val="18"/>
              </w:rPr>
              <w:t> </w:t>
            </w:r>
            <w:r>
              <w:rPr>
                <w:rFonts w:ascii="Arial" w:hAnsi="Arial"/>
                <w:b/>
                <w:sz w:val="18"/>
              </w:rPr>
              <w:t>3</w:t>
            </w:r>
            <w:r>
              <w:rPr>
                <w:rFonts w:ascii="Arial" w:hAnsi="Arial"/>
                <w:b/>
                <w:spacing w:val="-4"/>
                <w:sz w:val="18"/>
              </w:rPr>
              <w:t> </w:t>
            </w:r>
            <w:r>
              <w:rPr>
                <w:rFonts w:ascii="Arial" w:hAnsi="Arial"/>
                <w:b/>
                <w:sz w:val="18"/>
              </w:rPr>
              <w:t>–</w:t>
            </w:r>
            <w:r>
              <w:rPr>
                <w:rFonts w:ascii="Arial" w:hAnsi="Arial"/>
                <w:b/>
                <w:spacing w:val="-1"/>
                <w:sz w:val="18"/>
              </w:rPr>
              <w:t> </w:t>
            </w:r>
            <w:r>
              <w:rPr>
                <w:rFonts w:ascii="Arial" w:hAnsi="Arial"/>
                <w:b/>
                <w:sz w:val="18"/>
              </w:rPr>
              <w:t>Patient</w:t>
            </w:r>
            <w:r>
              <w:rPr>
                <w:rFonts w:ascii="Arial" w:hAnsi="Arial"/>
                <w:b/>
                <w:spacing w:val="-2"/>
                <w:sz w:val="18"/>
              </w:rPr>
              <w:t> </w:t>
            </w:r>
            <w:r>
              <w:rPr>
                <w:rFonts w:ascii="Arial" w:hAnsi="Arial"/>
                <w:b/>
                <w:sz w:val="18"/>
              </w:rPr>
              <w:t>Experience:</w:t>
            </w:r>
            <w:r>
              <w:rPr>
                <w:rFonts w:ascii="Arial" w:hAnsi="Arial"/>
                <w:b/>
                <w:spacing w:val="-4"/>
                <w:sz w:val="18"/>
              </w:rPr>
              <w:t> </w:t>
            </w:r>
            <w:r>
              <w:rPr>
                <w:rFonts w:ascii="Arial" w:hAnsi="Arial"/>
                <w:b/>
                <w:sz w:val="18"/>
              </w:rPr>
              <w:t>Overall</w:t>
            </w:r>
            <w:r>
              <w:rPr>
                <w:rFonts w:ascii="Arial" w:hAnsi="Arial"/>
                <w:b/>
                <w:spacing w:val="-2"/>
                <w:sz w:val="18"/>
              </w:rPr>
              <w:t> </w:t>
            </w:r>
            <w:r>
              <w:rPr>
                <w:rFonts w:ascii="Arial" w:hAnsi="Arial"/>
                <w:b/>
                <w:sz w:val="18"/>
              </w:rPr>
              <w:t>Rating</w:t>
            </w:r>
            <w:r>
              <w:rPr>
                <w:rFonts w:ascii="Arial" w:hAnsi="Arial"/>
                <w:b/>
                <w:spacing w:val="-2"/>
                <w:sz w:val="18"/>
              </w:rPr>
              <w:t> </w:t>
            </w:r>
            <w:r>
              <w:rPr>
                <w:rFonts w:ascii="Arial" w:hAnsi="Arial"/>
                <w:b/>
                <w:sz w:val="18"/>
              </w:rPr>
              <w:t>and</w:t>
            </w:r>
            <w:r>
              <w:rPr>
                <w:rFonts w:ascii="Arial" w:hAnsi="Arial"/>
                <w:b/>
                <w:spacing w:val="-2"/>
                <w:sz w:val="18"/>
              </w:rPr>
              <w:t> </w:t>
            </w:r>
            <w:r>
              <w:rPr>
                <w:rFonts w:ascii="Arial" w:hAnsi="Arial"/>
                <w:b/>
                <w:sz w:val="18"/>
              </w:rPr>
              <w:t>Care</w:t>
            </w:r>
            <w:r>
              <w:rPr>
                <w:rFonts w:ascii="Arial" w:hAnsi="Arial"/>
                <w:b/>
                <w:spacing w:val="-5"/>
                <w:sz w:val="18"/>
              </w:rPr>
              <w:t> </w:t>
            </w:r>
            <w:r>
              <w:rPr>
                <w:rFonts w:ascii="Arial" w:hAnsi="Arial"/>
                <w:b/>
                <w:spacing w:val="-2"/>
                <w:sz w:val="18"/>
              </w:rPr>
              <w:t>Delivery</w:t>
            </w:r>
          </w:p>
        </w:tc>
      </w:tr>
      <w:tr>
        <w:trPr>
          <w:trHeight w:val="565" w:hRule="atLeast"/>
        </w:trPr>
        <w:tc>
          <w:tcPr>
            <w:tcW w:w="1128" w:type="dxa"/>
          </w:tcPr>
          <w:p>
            <w:pPr>
              <w:pStyle w:val="TableParagraph"/>
              <w:spacing w:before="171"/>
              <w:ind w:left="448" w:right="429"/>
              <w:jc w:val="center"/>
              <w:rPr>
                <w:rFonts w:ascii="Arial"/>
                <w:sz w:val="18"/>
              </w:rPr>
            </w:pPr>
            <w:r>
              <w:rPr>
                <w:rFonts w:ascii="Arial"/>
                <w:spacing w:val="-5"/>
                <w:sz w:val="18"/>
              </w:rPr>
              <w:t>21</w:t>
            </w:r>
          </w:p>
        </w:tc>
        <w:tc>
          <w:tcPr>
            <w:tcW w:w="2726" w:type="dxa"/>
          </w:tcPr>
          <w:p>
            <w:pPr>
              <w:pStyle w:val="TableParagraph"/>
              <w:spacing w:line="259" w:lineRule="auto" w:before="58"/>
              <w:ind w:left="969" w:hanging="572"/>
              <w:rPr>
                <w:rFonts w:ascii="Arial"/>
                <w:sz w:val="18"/>
              </w:rPr>
            </w:pPr>
            <w:r>
              <w:rPr>
                <w:rFonts w:ascii="Arial"/>
                <w:sz w:val="18"/>
              </w:rPr>
              <w:t>Overall</w:t>
            </w:r>
            <w:r>
              <w:rPr>
                <w:rFonts w:ascii="Arial"/>
                <w:spacing w:val="-12"/>
                <w:sz w:val="18"/>
              </w:rPr>
              <w:t> </w:t>
            </w:r>
            <w:r>
              <w:rPr>
                <w:rFonts w:ascii="Arial"/>
                <w:sz w:val="18"/>
              </w:rPr>
              <w:t>Rating</w:t>
            </w:r>
            <w:r>
              <w:rPr>
                <w:rFonts w:ascii="Arial"/>
                <w:spacing w:val="-12"/>
                <w:sz w:val="18"/>
              </w:rPr>
              <w:t> </w:t>
            </w:r>
            <w:r>
              <w:rPr>
                <w:rFonts w:ascii="Arial"/>
                <w:sz w:val="18"/>
              </w:rPr>
              <w:t>and</w:t>
            </w:r>
            <w:r>
              <w:rPr>
                <w:rFonts w:ascii="Arial"/>
                <w:spacing w:val="-12"/>
                <w:sz w:val="18"/>
              </w:rPr>
              <w:t> </w:t>
            </w:r>
            <w:r>
              <w:rPr>
                <w:rFonts w:ascii="Arial"/>
                <w:sz w:val="18"/>
              </w:rPr>
              <w:t>Care </w:t>
            </w:r>
            <w:r>
              <w:rPr>
                <w:rFonts w:ascii="Arial"/>
                <w:spacing w:val="-2"/>
                <w:sz w:val="18"/>
              </w:rPr>
              <w:t>Delivery**</w:t>
            </w:r>
          </w:p>
        </w:tc>
        <w:tc>
          <w:tcPr>
            <w:tcW w:w="5719" w:type="dxa"/>
          </w:tcPr>
          <w:p>
            <w:pPr>
              <w:pStyle w:val="TableParagraph"/>
              <w:spacing w:line="259" w:lineRule="auto" w:before="58"/>
              <w:ind w:left="1680" w:right="96" w:hanging="1136"/>
              <w:rPr>
                <w:rFonts w:ascii="Arial"/>
                <w:sz w:val="18"/>
              </w:rPr>
            </w:pPr>
            <w:r>
              <w:rPr>
                <w:rFonts w:ascii="Arial"/>
                <w:sz w:val="18"/>
              </w:rPr>
              <w:t>Composite</w:t>
            </w:r>
            <w:r>
              <w:rPr>
                <w:rFonts w:ascii="Arial"/>
                <w:spacing w:val="-8"/>
                <w:sz w:val="18"/>
              </w:rPr>
              <w:t> </w:t>
            </w:r>
            <w:r>
              <w:rPr>
                <w:rFonts w:ascii="Arial"/>
                <w:sz w:val="18"/>
              </w:rPr>
              <w:t>Related</w:t>
            </w:r>
            <w:r>
              <w:rPr>
                <w:rFonts w:ascii="Arial"/>
                <w:spacing w:val="-5"/>
                <w:sz w:val="18"/>
              </w:rPr>
              <w:t> </w:t>
            </w:r>
            <w:r>
              <w:rPr>
                <w:rFonts w:ascii="Arial"/>
                <w:sz w:val="18"/>
              </w:rPr>
              <w:t>to</w:t>
            </w:r>
            <w:r>
              <w:rPr>
                <w:rFonts w:ascii="Arial"/>
                <w:spacing w:val="-5"/>
                <w:sz w:val="18"/>
              </w:rPr>
              <w:t> </w:t>
            </w:r>
            <w:r>
              <w:rPr>
                <w:rFonts w:ascii="Arial"/>
                <w:sz w:val="18"/>
              </w:rPr>
              <w:t>Communications</w:t>
            </w:r>
            <w:r>
              <w:rPr>
                <w:rFonts w:ascii="Arial"/>
                <w:spacing w:val="-5"/>
                <w:sz w:val="18"/>
              </w:rPr>
              <w:t> </w:t>
            </w:r>
            <w:r>
              <w:rPr>
                <w:rFonts w:ascii="Arial"/>
                <w:sz w:val="18"/>
              </w:rPr>
              <w:t>and</w:t>
            </w:r>
            <w:r>
              <w:rPr>
                <w:rFonts w:ascii="Arial"/>
                <w:spacing w:val="-9"/>
                <w:sz w:val="18"/>
              </w:rPr>
              <w:t> </w:t>
            </w:r>
            <w:r>
              <w:rPr>
                <w:rFonts w:ascii="Arial"/>
                <w:sz w:val="18"/>
              </w:rPr>
              <w:t>Willingness</w:t>
            </w:r>
            <w:r>
              <w:rPr>
                <w:rFonts w:ascii="Arial"/>
                <w:spacing w:val="-5"/>
                <w:sz w:val="18"/>
              </w:rPr>
              <w:t> </w:t>
            </w:r>
            <w:r>
              <w:rPr>
                <w:rFonts w:ascii="Arial"/>
                <w:sz w:val="18"/>
              </w:rPr>
              <w:t>to Recommend (To be finalized)</w:t>
            </w:r>
          </w:p>
        </w:tc>
        <w:tc>
          <w:tcPr>
            <w:tcW w:w="900" w:type="dxa"/>
          </w:tcPr>
          <w:p>
            <w:pPr>
              <w:pStyle w:val="TableParagraph"/>
              <w:spacing w:before="171"/>
              <w:ind w:left="156" w:right="135"/>
              <w:jc w:val="center"/>
              <w:rPr>
                <w:rFonts w:ascii="Arial"/>
                <w:sz w:val="18"/>
              </w:rPr>
            </w:pPr>
            <w:r>
              <w:rPr>
                <w:rFonts w:ascii="Arial"/>
                <w:spacing w:val="-2"/>
                <w:sz w:val="18"/>
              </w:rPr>
              <w:t>Survey</w:t>
            </w:r>
          </w:p>
        </w:tc>
        <w:tc>
          <w:tcPr>
            <w:tcW w:w="629" w:type="dxa"/>
          </w:tcPr>
          <w:p>
            <w:pPr>
              <w:pStyle w:val="TableParagraph"/>
              <w:spacing w:before="171"/>
              <w:ind w:left="20"/>
              <w:jc w:val="center"/>
              <w:rPr>
                <w:rFonts w:ascii="Arial"/>
                <w:sz w:val="18"/>
              </w:rPr>
            </w:pPr>
            <w:r>
              <w:rPr>
                <w:rFonts w:ascii="Arial"/>
                <w:sz w:val="18"/>
              </w:rPr>
              <w:t>R</w:t>
            </w:r>
          </w:p>
        </w:tc>
        <w:tc>
          <w:tcPr>
            <w:tcW w:w="919" w:type="dxa"/>
          </w:tcPr>
          <w:p>
            <w:pPr>
              <w:pStyle w:val="TableParagraph"/>
              <w:spacing w:before="171"/>
              <w:ind w:left="99" w:right="75"/>
              <w:jc w:val="center"/>
              <w:rPr>
                <w:rFonts w:ascii="Arial"/>
                <w:sz w:val="18"/>
              </w:rPr>
            </w:pPr>
            <w:r>
              <w:rPr>
                <w:rFonts w:ascii="Arial"/>
                <w:spacing w:val="-2"/>
                <w:sz w:val="18"/>
              </w:rPr>
              <w:t>18/19/20</w:t>
            </w:r>
          </w:p>
        </w:tc>
        <w:tc>
          <w:tcPr>
            <w:tcW w:w="1185" w:type="dxa"/>
          </w:tcPr>
          <w:p>
            <w:pPr>
              <w:pStyle w:val="TableParagraph"/>
              <w:spacing w:line="259" w:lineRule="auto" w:before="58"/>
              <w:ind w:left="182" w:firstLine="350"/>
              <w:rPr>
                <w:rFonts w:ascii="Arial"/>
                <w:sz w:val="18"/>
              </w:rPr>
            </w:pPr>
            <w:r>
              <w:rPr>
                <w:rFonts w:ascii="Arial"/>
                <w:spacing w:val="-10"/>
                <w:sz w:val="18"/>
              </w:rPr>
              <w:t>P</w:t>
            </w:r>
            <w:r>
              <w:rPr>
                <w:rFonts w:ascii="Arial"/>
                <w:spacing w:val="-2"/>
                <w:sz w:val="18"/>
              </w:rPr>
              <w:t> (18/19/20)</w:t>
            </w:r>
          </w:p>
        </w:tc>
        <w:tc>
          <w:tcPr>
            <w:tcW w:w="631" w:type="dxa"/>
          </w:tcPr>
          <w:p>
            <w:pPr>
              <w:pStyle w:val="TableParagraph"/>
              <w:spacing w:before="171"/>
              <w:ind w:left="19"/>
              <w:jc w:val="center"/>
              <w:rPr>
                <w:rFonts w:ascii="Arial"/>
                <w:sz w:val="18"/>
              </w:rPr>
            </w:pPr>
            <w:r>
              <w:rPr>
                <w:rFonts w:ascii="Arial"/>
                <w:sz w:val="18"/>
              </w:rPr>
              <w:t>P</w:t>
            </w:r>
          </w:p>
        </w:tc>
        <w:tc>
          <w:tcPr>
            <w:tcW w:w="720" w:type="dxa"/>
          </w:tcPr>
          <w:p>
            <w:pPr>
              <w:pStyle w:val="TableParagraph"/>
              <w:spacing w:before="171"/>
              <w:ind w:left="22"/>
              <w:jc w:val="center"/>
              <w:rPr>
                <w:rFonts w:ascii="Arial"/>
                <w:sz w:val="18"/>
              </w:rPr>
            </w:pPr>
            <w:r>
              <w:rPr>
                <w:rFonts w:ascii="Arial"/>
                <w:sz w:val="18"/>
              </w:rPr>
              <w:t>P</w:t>
            </w:r>
          </w:p>
        </w:tc>
      </w:tr>
      <w:tr>
        <w:trPr>
          <w:trHeight w:val="565" w:hRule="atLeast"/>
        </w:trPr>
        <w:tc>
          <w:tcPr>
            <w:tcW w:w="14557" w:type="dxa"/>
            <w:gridSpan w:val="9"/>
          </w:tcPr>
          <w:p>
            <w:pPr>
              <w:pStyle w:val="TableParagraph"/>
              <w:spacing w:before="171"/>
              <w:ind w:left="107"/>
              <w:rPr>
                <w:rFonts w:ascii="Arial" w:hAnsi="Arial"/>
                <w:b/>
                <w:sz w:val="18"/>
              </w:rPr>
            </w:pPr>
            <w:r>
              <w:rPr>
                <w:rFonts w:ascii="Arial" w:hAnsi="Arial"/>
                <w:b/>
                <w:sz w:val="18"/>
              </w:rPr>
              <w:t>Domain</w:t>
            </w:r>
            <w:r>
              <w:rPr>
                <w:rFonts w:ascii="Arial" w:hAnsi="Arial"/>
                <w:b/>
                <w:spacing w:val="-3"/>
                <w:sz w:val="18"/>
              </w:rPr>
              <w:t> </w:t>
            </w:r>
            <w:r>
              <w:rPr>
                <w:rFonts w:ascii="Arial" w:hAnsi="Arial"/>
                <w:b/>
                <w:sz w:val="18"/>
              </w:rPr>
              <w:t>4</w:t>
            </w:r>
            <w:r>
              <w:rPr>
                <w:rFonts w:ascii="Arial" w:hAnsi="Arial"/>
                <w:b/>
                <w:spacing w:val="-4"/>
                <w:sz w:val="18"/>
              </w:rPr>
              <w:t> </w:t>
            </w:r>
            <w:r>
              <w:rPr>
                <w:rFonts w:ascii="Arial" w:hAnsi="Arial"/>
                <w:b/>
                <w:sz w:val="18"/>
              </w:rPr>
              <w:t>–</w:t>
            </w:r>
            <w:r>
              <w:rPr>
                <w:rFonts w:ascii="Arial" w:hAnsi="Arial"/>
                <w:b/>
                <w:spacing w:val="-2"/>
                <w:sz w:val="18"/>
              </w:rPr>
              <w:t> </w:t>
            </w:r>
            <w:r>
              <w:rPr>
                <w:rFonts w:ascii="Arial" w:hAnsi="Arial"/>
                <w:b/>
                <w:sz w:val="18"/>
              </w:rPr>
              <w:t>Patient</w:t>
            </w:r>
            <w:r>
              <w:rPr>
                <w:rFonts w:ascii="Arial" w:hAnsi="Arial"/>
                <w:b/>
                <w:spacing w:val="-2"/>
                <w:sz w:val="18"/>
              </w:rPr>
              <w:t> </w:t>
            </w:r>
            <w:r>
              <w:rPr>
                <w:rFonts w:ascii="Arial" w:hAnsi="Arial"/>
                <w:b/>
                <w:sz w:val="18"/>
              </w:rPr>
              <w:t>Experience:</w:t>
            </w:r>
            <w:r>
              <w:rPr>
                <w:rFonts w:ascii="Arial" w:hAnsi="Arial"/>
                <w:b/>
                <w:spacing w:val="-5"/>
                <w:sz w:val="18"/>
              </w:rPr>
              <w:t> </w:t>
            </w:r>
            <w:r>
              <w:rPr>
                <w:rFonts w:ascii="Arial" w:hAnsi="Arial"/>
                <w:b/>
                <w:sz w:val="18"/>
              </w:rPr>
              <w:t>Person-Centered</w:t>
            </w:r>
            <w:r>
              <w:rPr>
                <w:rFonts w:ascii="Arial" w:hAnsi="Arial"/>
                <w:b/>
                <w:spacing w:val="-4"/>
                <w:sz w:val="18"/>
              </w:rPr>
              <w:t> </w:t>
            </w:r>
            <w:r>
              <w:rPr>
                <w:rFonts w:ascii="Arial" w:hAnsi="Arial"/>
                <w:b/>
                <w:sz w:val="18"/>
              </w:rPr>
              <w:t>Integrated</w:t>
            </w:r>
            <w:r>
              <w:rPr>
                <w:rFonts w:ascii="Arial" w:hAnsi="Arial"/>
                <w:b/>
                <w:spacing w:val="-2"/>
                <w:sz w:val="18"/>
              </w:rPr>
              <w:t> </w:t>
            </w:r>
            <w:r>
              <w:rPr>
                <w:rFonts w:ascii="Arial" w:hAnsi="Arial"/>
                <w:b/>
                <w:spacing w:val="-4"/>
                <w:sz w:val="18"/>
              </w:rPr>
              <w:t>Care</w:t>
            </w:r>
          </w:p>
        </w:tc>
      </w:tr>
      <w:tr>
        <w:trPr>
          <w:trHeight w:val="567" w:hRule="atLeast"/>
        </w:trPr>
        <w:tc>
          <w:tcPr>
            <w:tcW w:w="1128" w:type="dxa"/>
          </w:tcPr>
          <w:p>
            <w:pPr>
              <w:pStyle w:val="TableParagraph"/>
              <w:spacing w:before="171"/>
              <w:ind w:left="448" w:right="429"/>
              <w:jc w:val="center"/>
              <w:rPr>
                <w:rFonts w:ascii="Arial"/>
                <w:sz w:val="18"/>
              </w:rPr>
            </w:pPr>
            <w:r>
              <w:rPr>
                <w:rFonts w:ascii="Arial"/>
                <w:spacing w:val="-5"/>
                <w:sz w:val="18"/>
              </w:rPr>
              <w:t>22</w:t>
            </w:r>
          </w:p>
        </w:tc>
        <w:tc>
          <w:tcPr>
            <w:tcW w:w="2726" w:type="dxa"/>
          </w:tcPr>
          <w:p>
            <w:pPr>
              <w:pStyle w:val="TableParagraph"/>
              <w:spacing w:line="261" w:lineRule="auto" w:before="58"/>
              <w:ind w:left="1098" w:right="242" w:hanging="833"/>
              <w:rPr>
                <w:rFonts w:ascii="Arial"/>
                <w:sz w:val="18"/>
              </w:rPr>
            </w:pPr>
            <w:r>
              <w:rPr>
                <w:rFonts w:ascii="Arial"/>
                <w:sz w:val="18"/>
              </w:rPr>
              <w:t>Person-centered</w:t>
            </w:r>
            <w:r>
              <w:rPr>
                <w:rFonts w:ascii="Arial"/>
                <w:spacing w:val="-13"/>
                <w:sz w:val="18"/>
              </w:rPr>
              <w:t> </w:t>
            </w:r>
            <w:r>
              <w:rPr>
                <w:rFonts w:ascii="Arial"/>
                <w:sz w:val="18"/>
              </w:rPr>
              <w:t>Integrated </w:t>
            </w:r>
            <w:r>
              <w:rPr>
                <w:rFonts w:ascii="Arial"/>
                <w:spacing w:val="-2"/>
                <w:sz w:val="18"/>
              </w:rPr>
              <w:t>Care**</w:t>
            </w:r>
          </w:p>
        </w:tc>
        <w:tc>
          <w:tcPr>
            <w:tcW w:w="5719" w:type="dxa"/>
          </w:tcPr>
          <w:p>
            <w:pPr>
              <w:pStyle w:val="TableParagraph"/>
              <w:spacing w:line="261" w:lineRule="auto" w:before="58"/>
              <w:ind w:left="1444" w:right="96" w:hanging="1025"/>
              <w:rPr>
                <w:rFonts w:ascii="Arial"/>
                <w:sz w:val="18"/>
              </w:rPr>
            </w:pPr>
            <w:r>
              <w:rPr>
                <w:rFonts w:ascii="Arial"/>
                <w:sz w:val="18"/>
              </w:rPr>
              <w:t>Composites</w:t>
            </w:r>
            <w:r>
              <w:rPr>
                <w:rFonts w:ascii="Arial"/>
                <w:spacing w:val="-5"/>
                <w:sz w:val="18"/>
              </w:rPr>
              <w:t> </w:t>
            </w:r>
            <w:r>
              <w:rPr>
                <w:rFonts w:ascii="Arial"/>
                <w:sz w:val="18"/>
              </w:rPr>
              <w:t>Related</w:t>
            </w:r>
            <w:r>
              <w:rPr>
                <w:rFonts w:ascii="Arial"/>
                <w:spacing w:val="-5"/>
                <w:sz w:val="18"/>
              </w:rPr>
              <w:t> </w:t>
            </w:r>
            <w:r>
              <w:rPr>
                <w:rFonts w:ascii="Arial"/>
                <w:sz w:val="18"/>
              </w:rPr>
              <w:t>to</w:t>
            </w:r>
            <w:r>
              <w:rPr>
                <w:rFonts w:ascii="Arial"/>
                <w:spacing w:val="-5"/>
                <w:sz w:val="18"/>
              </w:rPr>
              <w:t> </w:t>
            </w:r>
            <w:r>
              <w:rPr>
                <w:rFonts w:ascii="Arial"/>
                <w:sz w:val="18"/>
              </w:rPr>
              <w:t>Care</w:t>
            </w:r>
            <w:r>
              <w:rPr>
                <w:rFonts w:ascii="Arial"/>
                <w:spacing w:val="-5"/>
                <w:sz w:val="18"/>
              </w:rPr>
              <w:t> </w:t>
            </w:r>
            <w:r>
              <w:rPr>
                <w:rFonts w:ascii="Arial"/>
                <w:sz w:val="18"/>
              </w:rPr>
              <w:t>Planning,</w:t>
            </w:r>
            <w:r>
              <w:rPr>
                <w:rFonts w:ascii="Arial"/>
                <w:spacing w:val="-6"/>
                <w:sz w:val="18"/>
              </w:rPr>
              <w:t> </w:t>
            </w:r>
            <w:r>
              <w:rPr>
                <w:rFonts w:ascii="Arial"/>
                <w:sz w:val="18"/>
              </w:rPr>
              <w:t>Self-Management</w:t>
            </w:r>
            <w:r>
              <w:rPr>
                <w:rFonts w:ascii="Arial"/>
                <w:spacing w:val="-8"/>
                <w:sz w:val="18"/>
              </w:rPr>
              <w:t> </w:t>
            </w:r>
            <w:r>
              <w:rPr>
                <w:rFonts w:ascii="Arial"/>
                <w:sz w:val="18"/>
              </w:rPr>
              <w:t>and Integration of Care (To be finalized)</w:t>
            </w:r>
          </w:p>
        </w:tc>
        <w:tc>
          <w:tcPr>
            <w:tcW w:w="900" w:type="dxa"/>
          </w:tcPr>
          <w:p>
            <w:pPr>
              <w:pStyle w:val="TableParagraph"/>
              <w:spacing w:before="171"/>
              <w:ind w:left="156" w:right="135"/>
              <w:jc w:val="center"/>
              <w:rPr>
                <w:rFonts w:ascii="Arial"/>
                <w:sz w:val="18"/>
              </w:rPr>
            </w:pPr>
            <w:r>
              <w:rPr>
                <w:rFonts w:ascii="Arial"/>
                <w:spacing w:val="-2"/>
                <w:sz w:val="18"/>
              </w:rPr>
              <w:t>Survey</w:t>
            </w:r>
          </w:p>
        </w:tc>
        <w:tc>
          <w:tcPr>
            <w:tcW w:w="629" w:type="dxa"/>
          </w:tcPr>
          <w:p>
            <w:pPr>
              <w:pStyle w:val="TableParagraph"/>
              <w:spacing w:before="171"/>
              <w:ind w:left="20"/>
              <w:jc w:val="center"/>
              <w:rPr>
                <w:rFonts w:ascii="Arial"/>
                <w:sz w:val="18"/>
              </w:rPr>
            </w:pPr>
            <w:r>
              <w:rPr>
                <w:rFonts w:ascii="Arial"/>
                <w:sz w:val="18"/>
              </w:rPr>
              <w:t>R</w:t>
            </w:r>
          </w:p>
        </w:tc>
        <w:tc>
          <w:tcPr>
            <w:tcW w:w="919" w:type="dxa"/>
          </w:tcPr>
          <w:p>
            <w:pPr>
              <w:pStyle w:val="TableParagraph"/>
              <w:spacing w:before="171"/>
              <w:ind w:left="22"/>
              <w:jc w:val="center"/>
              <w:rPr>
                <w:rFonts w:ascii="Arial"/>
                <w:sz w:val="18"/>
              </w:rPr>
            </w:pPr>
            <w:r>
              <w:rPr>
                <w:rFonts w:ascii="Arial"/>
                <w:sz w:val="18"/>
              </w:rPr>
              <w:t>R</w:t>
            </w:r>
          </w:p>
        </w:tc>
        <w:tc>
          <w:tcPr>
            <w:tcW w:w="1185" w:type="dxa"/>
          </w:tcPr>
          <w:p>
            <w:pPr>
              <w:pStyle w:val="TableParagraph"/>
              <w:spacing w:before="171"/>
              <w:ind w:left="21"/>
              <w:jc w:val="center"/>
              <w:rPr>
                <w:rFonts w:ascii="Arial"/>
                <w:sz w:val="18"/>
              </w:rPr>
            </w:pPr>
            <w:r>
              <w:rPr>
                <w:rFonts w:ascii="Arial"/>
                <w:sz w:val="18"/>
              </w:rPr>
              <w:t>R</w:t>
            </w:r>
          </w:p>
        </w:tc>
        <w:tc>
          <w:tcPr>
            <w:tcW w:w="631" w:type="dxa"/>
          </w:tcPr>
          <w:p>
            <w:pPr>
              <w:pStyle w:val="TableParagraph"/>
              <w:spacing w:before="171"/>
              <w:ind w:left="19"/>
              <w:jc w:val="center"/>
              <w:rPr>
                <w:rFonts w:ascii="Arial"/>
                <w:sz w:val="18"/>
              </w:rPr>
            </w:pPr>
            <w:r>
              <w:rPr>
                <w:rFonts w:ascii="Arial"/>
                <w:sz w:val="18"/>
              </w:rPr>
              <w:t>P</w:t>
            </w:r>
          </w:p>
        </w:tc>
        <w:tc>
          <w:tcPr>
            <w:tcW w:w="720" w:type="dxa"/>
          </w:tcPr>
          <w:p>
            <w:pPr>
              <w:pStyle w:val="TableParagraph"/>
              <w:spacing w:before="171"/>
              <w:ind w:left="22"/>
              <w:jc w:val="center"/>
              <w:rPr>
                <w:rFonts w:ascii="Arial"/>
                <w:sz w:val="18"/>
              </w:rPr>
            </w:pPr>
            <w:r>
              <w:rPr>
                <w:rFonts w:ascii="Arial"/>
                <w:sz w:val="18"/>
              </w:rPr>
              <w:t>P</w:t>
            </w:r>
          </w:p>
        </w:tc>
      </w:tr>
    </w:tbl>
    <w:p>
      <w:pPr>
        <w:spacing w:line="256" w:lineRule="auto" w:before="13"/>
        <w:ind w:left="1240" w:right="877" w:firstLine="0"/>
        <w:jc w:val="left"/>
        <w:rPr>
          <w:rFonts w:ascii="Arial"/>
          <w:sz w:val="20"/>
        </w:rPr>
      </w:pPr>
      <w:r>
        <w:rPr>
          <w:rFonts w:ascii="Arial"/>
          <w:sz w:val="20"/>
        </w:rPr>
        <w:t>*Note:</w:t>
      </w:r>
      <w:r>
        <w:rPr>
          <w:rFonts w:ascii="Arial"/>
          <w:spacing w:val="-3"/>
          <w:sz w:val="20"/>
        </w:rPr>
        <w:t> </w:t>
      </w:r>
      <w:r>
        <w:rPr>
          <w:rFonts w:ascii="Arial"/>
          <w:sz w:val="20"/>
        </w:rPr>
        <w:t>The</w:t>
      </w:r>
      <w:r>
        <w:rPr>
          <w:rFonts w:ascii="Arial"/>
          <w:spacing w:val="-3"/>
          <w:sz w:val="20"/>
        </w:rPr>
        <w:t> </w:t>
      </w:r>
      <w:r>
        <w:rPr>
          <w:rFonts w:ascii="Arial"/>
          <w:sz w:val="20"/>
        </w:rPr>
        <w:t>Acute</w:t>
      </w:r>
      <w:r>
        <w:rPr>
          <w:rFonts w:ascii="Arial"/>
          <w:spacing w:val="-3"/>
          <w:sz w:val="20"/>
        </w:rPr>
        <w:t> </w:t>
      </w:r>
      <w:r>
        <w:rPr>
          <w:rFonts w:ascii="Arial"/>
          <w:sz w:val="20"/>
        </w:rPr>
        <w:t>Unplanned</w:t>
      </w:r>
      <w:r>
        <w:rPr>
          <w:rFonts w:ascii="Arial"/>
          <w:spacing w:val="-3"/>
          <w:sz w:val="20"/>
        </w:rPr>
        <w:t> </w:t>
      </w:r>
      <w:r>
        <w:rPr>
          <w:rFonts w:ascii="Arial"/>
          <w:sz w:val="20"/>
        </w:rPr>
        <w:t>Admissions</w:t>
      </w:r>
      <w:r>
        <w:rPr>
          <w:rFonts w:ascii="Arial"/>
          <w:spacing w:val="-2"/>
          <w:sz w:val="20"/>
        </w:rPr>
        <w:t> </w:t>
      </w:r>
      <w:r>
        <w:rPr>
          <w:rFonts w:ascii="Arial"/>
          <w:sz w:val="20"/>
        </w:rPr>
        <w:t>for</w:t>
      </w:r>
      <w:r>
        <w:rPr>
          <w:rFonts w:ascii="Arial"/>
          <w:spacing w:val="-2"/>
          <w:sz w:val="20"/>
        </w:rPr>
        <w:t> </w:t>
      </w:r>
      <w:r>
        <w:rPr>
          <w:rFonts w:ascii="Arial"/>
          <w:sz w:val="20"/>
        </w:rPr>
        <w:t>Individuals</w:t>
      </w:r>
      <w:r>
        <w:rPr>
          <w:rFonts w:ascii="Arial"/>
          <w:spacing w:val="-2"/>
          <w:sz w:val="20"/>
        </w:rPr>
        <w:t> </w:t>
      </w:r>
      <w:r>
        <w:rPr>
          <w:rFonts w:ascii="Arial"/>
          <w:sz w:val="20"/>
        </w:rPr>
        <w:t>with</w:t>
      </w:r>
      <w:r>
        <w:rPr>
          <w:rFonts w:ascii="Arial"/>
          <w:spacing w:val="-3"/>
          <w:sz w:val="20"/>
        </w:rPr>
        <w:t> </w:t>
      </w:r>
      <w:r>
        <w:rPr>
          <w:rFonts w:ascii="Arial"/>
          <w:sz w:val="20"/>
        </w:rPr>
        <w:t>Diabetes</w:t>
      </w:r>
      <w:r>
        <w:rPr>
          <w:rFonts w:ascii="Arial"/>
          <w:spacing w:val="-1"/>
          <w:sz w:val="20"/>
        </w:rPr>
        <w:t> </w:t>
      </w:r>
      <w:r>
        <w:rPr>
          <w:rFonts w:ascii="Arial"/>
          <w:sz w:val="20"/>
        </w:rPr>
        <w:t>measure</w:t>
      </w:r>
      <w:r>
        <w:rPr>
          <w:rFonts w:ascii="Arial"/>
          <w:spacing w:val="-3"/>
          <w:sz w:val="20"/>
        </w:rPr>
        <w:t> </w:t>
      </w:r>
      <w:r>
        <w:rPr>
          <w:rFonts w:ascii="Arial"/>
          <w:sz w:val="20"/>
        </w:rPr>
        <w:t>and</w:t>
      </w:r>
      <w:r>
        <w:rPr>
          <w:rFonts w:ascii="Arial"/>
          <w:spacing w:val="-3"/>
          <w:sz w:val="20"/>
        </w:rPr>
        <w:t> </w:t>
      </w:r>
      <w:r>
        <w:rPr>
          <w:rFonts w:ascii="Arial"/>
          <w:sz w:val="20"/>
        </w:rPr>
        <w:t>corresponding</w:t>
      </w:r>
      <w:r>
        <w:rPr>
          <w:rFonts w:ascii="Arial"/>
          <w:spacing w:val="-1"/>
          <w:sz w:val="20"/>
        </w:rPr>
        <w:t> </w:t>
      </w:r>
      <w:r>
        <w:rPr>
          <w:rFonts w:ascii="Arial"/>
          <w:sz w:val="20"/>
        </w:rPr>
        <w:t>number</w:t>
      </w:r>
      <w:r>
        <w:rPr>
          <w:rFonts w:ascii="Arial"/>
          <w:spacing w:val="-2"/>
          <w:sz w:val="20"/>
        </w:rPr>
        <w:t> </w:t>
      </w:r>
      <w:r>
        <w:rPr>
          <w:rFonts w:ascii="Arial"/>
          <w:sz w:val="20"/>
        </w:rPr>
        <w:t>(#20)</w:t>
      </w:r>
      <w:r>
        <w:rPr>
          <w:rFonts w:ascii="Arial"/>
          <w:spacing w:val="-1"/>
          <w:sz w:val="20"/>
        </w:rPr>
        <w:t> </w:t>
      </w:r>
      <w:r>
        <w:rPr>
          <w:rFonts w:ascii="Arial"/>
          <w:sz w:val="20"/>
        </w:rPr>
        <w:t>were</w:t>
      </w:r>
      <w:r>
        <w:rPr>
          <w:rFonts w:ascii="Arial"/>
          <w:spacing w:val="-3"/>
          <w:sz w:val="20"/>
        </w:rPr>
        <w:t> </w:t>
      </w:r>
      <w:r>
        <w:rPr>
          <w:rFonts w:ascii="Arial"/>
          <w:sz w:val="20"/>
        </w:rPr>
        <w:t>removed</w:t>
      </w:r>
      <w:r>
        <w:rPr>
          <w:rFonts w:ascii="Arial"/>
          <w:spacing w:val="-3"/>
          <w:sz w:val="20"/>
        </w:rPr>
        <w:t> </w:t>
      </w:r>
      <w:r>
        <w:rPr>
          <w:rFonts w:ascii="Arial"/>
          <w:sz w:val="20"/>
        </w:rPr>
        <w:t>from the</w:t>
      </w:r>
      <w:r>
        <w:rPr>
          <w:rFonts w:ascii="Arial"/>
          <w:spacing w:val="-3"/>
          <w:sz w:val="20"/>
        </w:rPr>
        <w:t> </w:t>
      </w:r>
      <w:r>
        <w:rPr>
          <w:rFonts w:ascii="Arial"/>
          <w:sz w:val="20"/>
        </w:rPr>
        <w:t>measure </w:t>
      </w:r>
      <w:r>
        <w:rPr>
          <w:rFonts w:ascii="Arial"/>
          <w:spacing w:val="-2"/>
          <w:sz w:val="20"/>
        </w:rPr>
        <w:t>slate.</w:t>
      </w:r>
    </w:p>
    <w:p>
      <w:pPr>
        <w:spacing w:before="4"/>
        <w:ind w:left="1240" w:right="0" w:firstLine="0"/>
        <w:jc w:val="left"/>
        <w:rPr>
          <w:rFonts w:ascii="Arial"/>
          <w:sz w:val="20"/>
        </w:rPr>
      </w:pPr>
      <w:r>
        <w:rPr>
          <w:rFonts w:ascii="Arial"/>
          <w:sz w:val="20"/>
        </w:rPr>
        <w:t>**</w:t>
      </w:r>
      <w:r>
        <w:rPr>
          <w:rFonts w:ascii="Arial"/>
          <w:spacing w:val="-8"/>
          <w:sz w:val="20"/>
        </w:rPr>
        <w:t> </w:t>
      </w:r>
      <w:r>
        <w:rPr>
          <w:rFonts w:ascii="Arial"/>
          <w:sz w:val="20"/>
        </w:rPr>
        <w:t>Composite</w:t>
      </w:r>
      <w:r>
        <w:rPr>
          <w:rFonts w:ascii="Arial"/>
          <w:spacing w:val="-7"/>
          <w:sz w:val="20"/>
        </w:rPr>
        <w:t> </w:t>
      </w:r>
      <w:r>
        <w:rPr>
          <w:rFonts w:ascii="Arial"/>
          <w:spacing w:val="-2"/>
          <w:sz w:val="20"/>
        </w:rPr>
        <w:t>measures</w:t>
      </w:r>
    </w:p>
    <w:p>
      <w:pPr>
        <w:spacing w:before="178"/>
        <w:ind w:left="879" w:right="1797" w:hanging="632"/>
        <w:jc w:val="left"/>
        <w:rPr>
          <w:i/>
          <w:sz w:val="22"/>
        </w:rPr>
      </w:pPr>
      <w:r>
        <w:rPr>
          <w:rFonts w:ascii="Arial" w:hAnsi="Arial"/>
          <w:b/>
          <w:sz w:val="20"/>
        </w:rPr>
        <w:t>MassHealth DSRIP BH Community Partners Quality Measure Program (Prospective Measures, 2018-2022) – Include Benchmark Timeline </w:t>
      </w:r>
      <w:r>
        <w:rPr>
          <w:i/>
          <w:sz w:val="22"/>
        </w:rPr>
        <w:t>Note:</w:t>
      </w:r>
      <w:r>
        <w:rPr>
          <w:i/>
          <w:spacing w:val="-1"/>
          <w:sz w:val="22"/>
        </w:rPr>
        <w:t> </w:t>
      </w:r>
      <w:r>
        <w:rPr>
          <w:i/>
          <w:sz w:val="22"/>
        </w:rPr>
        <w:t>Where</w:t>
      </w:r>
      <w:r>
        <w:rPr>
          <w:i/>
          <w:spacing w:val="-2"/>
          <w:sz w:val="22"/>
        </w:rPr>
        <w:t> </w:t>
      </w:r>
      <w:r>
        <w:rPr>
          <w:i/>
          <w:sz w:val="22"/>
        </w:rPr>
        <w:t>applicable,</w:t>
      </w:r>
      <w:r>
        <w:rPr>
          <w:i/>
          <w:spacing w:val="-2"/>
          <w:sz w:val="22"/>
        </w:rPr>
        <w:t> </w:t>
      </w:r>
      <w:r>
        <w:rPr>
          <w:i/>
          <w:sz w:val="22"/>
        </w:rPr>
        <w:t>Column</w:t>
      </w:r>
      <w:r>
        <w:rPr>
          <w:i/>
          <w:spacing w:val="-2"/>
          <w:sz w:val="22"/>
        </w:rPr>
        <w:t> </w:t>
      </w:r>
      <w:r>
        <w:rPr>
          <w:i/>
          <w:sz w:val="22"/>
        </w:rPr>
        <w:t>2020</w:t>
      </w:r>
      <w:r>
        <w:rPr>
          <w:i/>
          <w:spacing w:val="-2"/>
          <w:sz w:val="22"/>
        </w:rPr>
        <w:t> </w:t>
      </w:r>
      <w:r>
        <w:rPr>
          <w:i/>
          <w:sz w:val="22"/>
        </w:rPr>
        <w:t>indicates</w:t>
      </w:r>
      <w:r>
        <w:rPr>
          <w:i/>
          <w:spacing w:val="-2"/>
          <w:sz w:val="22"/>
        </w:rPr>
        <w:t> </w:t>
      </w:r>
      <w:r>
        <w:rPr>
          <w:i/>
          <w:sz w:val="22"/>
        </w:rPr>
        <w:t>the</w:t>
      </w:r>
      <w:r>
        <w:rPr>
          <w:i/>
          <w:spacing w:val="-2"/>
          <w:sz w:val="22"/>
        </w:rPr>
        <w:t> </w:t>
      </w:r>
      <w:r>
        <w:rPr>
          <w:i/>
          <w:sz w:val="22"/>
        </w:rPr>
        <w:t>performance</w:t>
      </w:r>
      <w:r>
        <w:rPr>
          <w:i/>
          <w:spacing w:val="-3"/>
          <w:sz w:val="22"/>
        </w:rPr>
        <w:t> </w:t>
      </w:r>
      <w:r>
        <w:rPr>
          <w:i/>
          <w:sz w:val="22"/>
        </w:rPr>
        <w:t>period</w:t>
      </w:r>
      <w:r>
        <w:rPr>
          <w:i/>
          <w:spacing w:val="-2"/>
          <w:sz w:val="22"/>
        </w:rPr>
        <w:t> </w:t>
      </w:r>
      <w:r>
        <w:rPr>
          <w:i/>
          <w:sz w:val="22"/>
        </w:rPr>
        <w:t>(i.e.,</w:t>
      </w:r>
      <w:r>
        <w:rPr>
          <w:i/>
          <w:spacing w:val="-2"/>
          <w:sz w:val="22"/>
        </w:rPr>
        <w:t> </w:t>
      </w:r>
      <w:r>
        <w:rPr>
          <w:i/>
          <w:sz w:val="22"/>
        </w:rPr>
        <w:t>“P</w:t>
      </w:r>
      <w:r>
        <w:rPr>
          <w:i/>
          <w:spacing w:val="-4"/>
          <w:sz w:val="22"/>
        </w:rPr>
        <w:t> </w:t>
      </w:r>
      <w:r>
        <w:rPr>
          <w:i/>
          <w:sz w:val="22"/>
        </w:rPr>
        <w:t>(19/20)”)</w:t>
      </w:r>
      <w:r>
        <w:rPr>
          <w:i/>
          <w:spacing w:val="-3"/>
          <w:sz w:val="22"/>
        </w:rPr>
        <w:t> </w:t>
      </w:r>
      <w:r>
        <w:rPr>
          <w:i/>
          <w:sz w:val="22"/>
        </w:rPr>
        <w:t>from</w:t>
      </w:r>
      <w:r>
        <w:rPr>
          <w:i/>
          <w:spacing w:val="-3"/>
          <w:sz w:val="22"/>
        </w:rPr>
        <w:t> </w:t>
      </w:r>
      <w:r>
        <w:rPr>
          <w:i/>
          <w:sz w:val="22"/>
        </w:rPr>
        <w:t>which</w:t>
      </w:r>
      <w:r>
        <w:rPr>
          <w:i/>
          <w:spacing w:val="-2"/>
          <w:sz w:val="22"/>
        </w:rPr>
        <w:t> </w:t>
      </w:r>
      <w:r>
        <w:rPr>
          <w:i/>
          <w:sz w:val="22"/>
        </w:rPr>
        <w:t>data,</w:t>
      </w:r>
      <w:r>
        <w:rPr>
          <w:i/>
          <w:spacing w:val="-4"/>
          <w:sz w:val="22"/>
        </w:rPr>
        <w:t> </w:t>
      </w:r>
      <w:r>
        <w:rPr>
          <w:i/>
          <w:sz w:val="22"/>
        </w:rPr>
        <w:t>as</w:t>
      </w:r>
      <w:r>
        <w:rPr>
          <w:i/>
          <w:spacing w:val="-2"/>
          <w:sz w:val="22"/>
        </w:rPr>
        <w:t> </w:t>
      </w:r>
      <w:r>
        <w:rPr>
          <w:i/>
          <w:sz w:val="22"/>
        </w:rPr>
        <w:t>decided</w:t>
      </w:r>
      <w:r>
        <w:rPr>
          <w:i/>
          <w:spacing w:val="-2"/>
          <w:sz w:val="22"/>
        </w:rPr>
        <w:t> </w:t>
      </w:r>
      <w:r>
        <w:rPr>
          <w:i/>
          <w:sz w:val="22"/>
        </w:rPr>
        <w:t>by</w:t>
      </w:r>
      <w:r>
        <w:rPr>
          <w:i/>
          <w:spacing w:val="-3"/>
          <w:sz w:val="22"/>
        </w:rPr>
        <w:t> </w:t>
      </w:r>
      <w:r>
        <w:rPr>
          <w:i/>
          <w:sz w:val="22"/>
        </w:rPr>
        <w:t>the</w:t>
      </w:r>
      <w:r>
        <w:rPr>
          <w:i/>
          <w:spacing w:val="-2"/>
          <w:sz w:val="22"/>
        </w:rPr>
        <w:t> </w:t>
      </w:r>
      <w:r>
        <w:rPr>
          <w:i/>
          <w:sz w:val="22"/>
        </w:rPr>
        <w:t>State,</w:t>
      </w:r>
      <w:r>
        <w:rPr>
          <w:i/>
          <w:spacing w:val="-2"/>
          <w:sz w:val="22"/>
        </w:rPr>
        <w:t> </w:t>
      </w:r>
      <w:r>
        <w:rPr>
          <w:i/>
          <w:sz w:val="22"/>
        </w:rPr>
        <w:t>may</w:t>
      </w:r>
      <w:r>
        <w:rPr>
          <w:i/>
          <w:spacing w:val="-2"/>
          <w:sz w:val="22"/>
        </w:rPr>
        <w:t> </w:t>
      </w:r>
      <w:r>
        <w:rPr>
          <w:i/>
          <w:sz w:val="22"/>
        </w:rPr>
        <w:t>be</w:t>
      </w:r>
      <w:r>
        <w:rPr>
          <w:i/>
          <w:sz w:val="22"/>
        </w:rPr>
        <w:t> substituted for PY2020 performance rates due to the state of emergency declared by the federal or state government.</w:t>
      </w:r>
    </w:p>
    <w:p>
      <w:pPr>
        <w:pStyle w:val="BodyText"/>
        <w:rPr>
          <w:i/>
          <w:sz w:val="20"/>
        </w:rPr>
      </w:pPr>
    </w:p>
    <w:p>
      <w:pPr>
        <w:pStyle w:val="BodyText"/>
        <w:spacing w:before="2"/>
        <w:rPr>
          <w:i/>
          <w:sz w:val="19"/>
        </w:rPr>
      </w:pPr>
    </w:p>
    <w:tbl>
      <w:tblPr>
        <w:tblW w:w="0" w:type="auto"/>
        <w:jc w:val="left"/>
        <w:tblInd w:w="119"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CellMar>
          <w:top w:w="0" w:type="dxa"/>
          <w:left w:w="0" w:type="dxa"/>
          <w:bottom w:w="0" w:type="dxa"/>
          <w:right w:w="0" w:type="dxa"/>
        </w:tblCellMar>
        <w:tblLook w:val="01E0"/>
      </w:tblPr>
      <w:tblGrid>
        <w:gridCol w:w="540"/>
        <w:gridCol w:w="1891"/>
        <w:gridCol w:w="3780"/>
        <w:gridCol w:w="1260"/>
        <w:gridCol w:w="1253"/>
        <w:gridCol w:w="1267"/>
        <w:gridCol w:w="900"/>
        <w:gridCol w:w="900"/>
        <w:gridCol w:w="900"/>
        <w:gridCol w:w="989"/>
        <w:gridCol w:w="811"/>
        <w:gridCol w:w="720"/>
      </w:tblGrid>
      <w:tr>
        <w:trPr>
          <w:trHeight w:val="438" w:hRule="atLeast"/>
        </w:trPr>
        <w:tc>
          <w:tcPr>
            <w:tcW w:w="540" w:type="dxa"/>
            <w:vMerge w:val="restart"/>
            <w:shd w:val="clear" w:color="auto" w:fill="DEEAF6"/>
          </w:tcPr>
          <w:p>
            <w:pPr>
              <w:pStyle w:val="TableParagraph"/>
              <w:spacing w:before="4"/>
              <w:rPr>
                <w:i/>
                <w:sz w:val="20"/>
              </w:rPr>
            </w:pPr>
          </w:p>
          <w:p>
            <w:pPr>
              <w:pStyle w:val="TableParagraph"/>
              <w:ind w:left="6"/>
              <w:jc w:val="center"/>
              <w:rPr>
                <w:rFonts w:ascii="Arial"/>
                <w:b/>
                <w:sz w:val="18"/>
              </w:rPr>
            </w:pPr>
            <w:r>
              <w:rPr>
                <w:rFonts w:ascii="Arial"/>
                <w:b/>
                <w:sz w:val="18"/>
              </w:rPr>
              <w:t>#</w:t>
            </w:r>
          </w:p>
        </w:tc>
        <w:tc>
          <w:tcPr>
            <w:tcW w:w="1891" w:type="dxa"/>
            <w:vMerge w:val="restart"/>
            <w:shd w:val="clear" w:color="auto" w:fill="DEEAF6"/>
          </w:tcPr>
          <w:p>
            <w:pPr>
              <w:pStyle w:val="TableParagraph"/>
              <w:spacing w:before="4"/>
              <w:rPr>
                <w:i/>
                <w:sz w:val="20"/>
              </w:rPr>
            </w:pPr>
          </w:p>
          <w:p>
            <w:pPr>
              <w:pStyle w:val="TableParagraph"/>
              <w:ind w:left="309"/>
              <w:rPr>
                <w:rFonts w:ascii="Arial"/>
                <w:b/>
                <w:sz w:val="18"/>
              </w:rPr>
            </w:pPr>
            <w:r>
              <w:rPr>
                <w:rFonts w:ascii="Arial"/>
                <w:b/>
                <w:sz w:val="18"/>
              </w:rPr>
              <w:t>Measure</w:t>
            </w:r>
            <w:r>
              <w:rPr>
                <w:rFonts w:ascii="Arial"/>
                <w:b/>
                <w:spacing w:val="-3"/>
                <w:sz w:val="18"/>
              </w:rPr>
              <w:t> </w:t>
            </w:r>
            <w:r>
              <w:rPr>
                <w:rFonts w:ascii="Arial"/>
                <w:b/>
                <w:spacing w:val="-4"/>
                <w:sz w:val="18"/>
              </w:rPr>
              <w:t>Name</w:t>
            </w:r>
          </w:p>
        </w:tc>
        <w:tc>
          <w:tcPr>
            <w:tcW w:w="3780" w:type="dxa"/>
            <w:vMerge w:val="restart"/>
            <w:shd w:val="clear" w:color="auto" w:fill="DEEAF6"/>
          </w:tcPr>
          <w:p>
            <w:pPr>
              <w:pStyle w:val="TableParagraph"/>
              <w:spacing w:before="4"/>
              <w:rPr>
                <w:i/>
                <w:sz w:val="20"/>
              </w:rPr>
            </w:pPr>
          </w:p>
          <w:p>
            <w:pPr>
              <w:pStyle w:val="TableParagraph"/>
              <w:ind w:left="1003"/>
              <w:rPr>
                <w:rFonts w:ascii="Arial"/>
                <w:b/>
                <w:sz w:val="18"/>
              </w:rPr>
            </w:pPr>
            <w:r>
              <w:rPr>
                <w:rFonts w:ascii="Arial"/>
                <w:b/>
                <w:sz w:val="18"/>
              </w:rPr>
              <w:t>Measure</w:t>
            </w:r>
            <w:r>
              <w:rPr>
                <w:rFonts w:ascii="Arial"/>
                <w:b/>
                <w:spacing w:val="-1"/>
                <w:sz w:val="18"/>
              </w:rPr>
              <w:t> </w:t>
            </w:r>
            <w:r>
              <w:rPr>
                <w:rFonts w:ascii="Arial"/>
                <w:b/>
                <w:spacing w:val="-2"/>
                <w:sz w:val="18"/>
              </w:rPr>
              <w:t>Description</w:t>
            </w:r>
          </w:p>
        </w:tc>
        <w:tc>
          <w:tcPr>
            <w:tcW w:w="1260" w:type="dxa"/>
            <w:vMerge w:val="restart"/>
            <w:shd w:val="clear" w:color="auto" w:fill="DEEAF6"/>
          </w:tcPr>
          <w:p>
            <w:pPr>
              <w:pStyle w:val="TableParagraph"/>
              <w:spacing w:before="131"/>
              <w:ind w:left="324" w:right="307" w:firstLine="110"/>
              <w:rPr>
                <w:rFonts w:ascii="Arial"/>
                <w:b/>
                <w:sz w:val="18"/>
              </w:rPr>
            </w:pPr>
            <w:r>
              <w:rPr>
                <w:rFonts w:ascii="Arial"/>
                <w:b/>
                <w:spacing w:val="-4"/>
                <w:sz w:val="18"/>
              </w:rPr>
              <w:t>Data </w:t>
            </w:r>
            <w:r>
              <w:rPr>
                <w:rFonts w:ascii="Arial"/>
                <w:b/>
                <w:spacing w:val="-2"/>
                <w:sz w:val="18"/>
              </w:rPr>
              <w:t>Source</w:t>
            </w:r>
          </w:p>
        </w:tc>
        <w:tc>
          <w:tcPr>
            <w:tcW w:w="1253" w:type="dxa"/>
            <w:vMerge w:val="restart"/>
            <w:shd w:val="clear" w:color="auto" w:fill="DEEAF6"/>
          </w:tcPr>
          <w:p>
            <w:pPr>
              <w:pStyle w:val="TableParagraph"/>
              <w:spacing w:before="131"/>
              <w:ind w:left="129" w:right="118" w:firstLine="2"/>
              <w:rPr>
                <w:rFonts w:ascii="Arial"/>
                <w:b/>
                <w:sz w:val="18"/>
              </w:rPr>
            </w:pPr>
            <w:r>
              <w:rPr>
                <w:rFonts w:ascii="Arial"/>
                <w:b/>
                <w:spacing w:val="-2"/>
                <w:sz w:val="18"/>
              </w:rPr>
              <w:t>Benchmark </w:t>
            </w:r>
            <w:r>
              <w:rPr>
                <w:rFonts w:ascii="Arial"/>
                <w:b/>
                <w:sz w:val="18"/>
              </w:rPr>
              <w:t>due</w:t>
            </w:r>
            <w:r>
              <w:rPr>
                <w:rFonts w:ascii="Arial"/>
                <w:b/>
                <w:spacing w:val="1"/>
                <w:sz w:val="18"/>
              </w:rPr>
              <w:t> </w:t>
            </w:r>
            <w:r>
              <w:rPr>
                <w:rFonts w:ascii="Arial"/>
                <w:b/>
                <w:sz w:val="18"/>
              </w:rPr>
              <w:t>to </w:t>
            </w:r>
            <w:r>
              <w:rPr>
                <w:rFonts w:ascii="Arial"/>
                <w:b/>
                <w:spacing w:val="-5"/>
                <w:sz w:val="18"/>
              </w:rPr>
              <w:t>CMS</w:t>
            </w:r>
          </w:p>
        </w:tc>
        <w:tc>
          <w:tcPr>
            <w:tcW w:w="1267" w:type="dxa"/>
            <w:vMerge w:val="restart"/>
            <w:shd w:val="clear" w:color="auto" w:fill="DEEAF6"/>
          </w:tcPr>
          <w:p>
            <w:pPr>
              <w:pStyle w:val="TableParagraph"/>
              <w:spacing w:before="2"/>
              <w:rPr>
                <w:i/>
                <w:sz w:val="21"/>
              </w:rPr>
            </w:pPr>
          </w:p>
          <w:p>
            <w:pPr>
              <w:pStyle w:val="TableParagraph"/>
              <w:spacing w:line="206" w:lineRule="exact" w:before="1"/>
              <w:ind w:left="278" w:right="257" w:hanging="15"/>
              <w:rPr>
                <w:rFonts w:ascii="Arial"/>
                <w:b/>
                <w:sz w:val="18"/>
              </w:rPr>
            </w:pPr>
            <w:r>
              <w:rPr>
                <w:rFonts w:ascii="Arial"/>
                <w:b/>
                <w:spacing w:val="-2"/>
                <w:sz w:val="18"/>
              </w:rPr>
              <w:t>Measure Steward</w:t>
            </w:r>
          </w:p>
        </w:tc>
        <w:tc>
          <w:tcPr>
            <w:tcW w:w="900" w:type="dxa"/>
            <w:vMerge w:val="restart"/>
            <w:tcBorders>
              <w:right w:val="single" w:sz="4" w:space="0" w:color="BCD5ED"/>
            </w:tcBorders>
            <w:shd w:val="clear" w:color="auto" w:fill="DEEAF6"/>
          </w:tcPr>
          <w:p>
            <w:pPr>
              <w:pStyle w:val="TableParagraph"/>
              <w:rPr>
                <w:i/>
                <w:sz w:val="20"/>
              </w:rPr>
            </w:pPr>
          </w:p>
          <w:p>
            <w:pPr>
              <w:pStyle w:val="TableParagraph"/>
              <w:spacing w:before="9"/>
              <w:rPr>
                <w:i/>
                <w:sz w:val="20"/>
              </w:rPr>
            </w:pPr>
          </w:p>
          <w:p>
            <w:pPr>
              <w:pStyle w:val="TableParagraph"/>
              <w:spacing w:line="187" w:lineRule="exact"/>
              <w:ind w:left="259"/>
              <w:rPr>
                <w:rFonts w:ascii="Arial"/>
                <w:b/>
                <w:sz w:val="18"/>
              </w:rPr>
            </w:pPr>
            <w:r>
              <w:rPr>
                <w:rFonts w:ascii="Arial"/>
                <w:b/>
                <w:spacing w:val="-5"/>
                <w:sz w:val="18"/>
              </w:rPr>
              <w:t>NQF</w:t>
            </w:r>
          </w:p>
        </w:tc>
        <w:tc>
          <w:tcPr>
            <w:tcW w:w="4320" w:type="dxa"/>
            <w:gridSpan w:val="5"/>
            <w:tcBorders>
              <w:top w:val="single" w:sz="4" w:space="0" w:color="BCD5ED"/>
              <w:left w:val="single" w:sz="4" w:space="0" w:color="BCD5ED"/>
              <w:bottom w:val="single" w:sz="4" w:space="0" w:color="BCD5ED"/>
              <w:right w:val="single" w:sz="4" w:space="0" w:color="BCD5ED"/>
            </w:tcBorders>
            <w:shd w:val="clear" w:color="auto" w:fill="DEEAF6"/>
          </w:tcPr>
          <w:p>
            <w:pPr>
              <w:pStyle w:val="TableParagraph"/>
              <w:spacing w:line="207" w:lineRule="exact" w:before="25"/>
              <w:ind w:left="208"/>
              <w:rPr>
                <w:rFonts w:ascii="Arial"/>
                <w:b/>
                <w:sz w:val="18"/>
              </w:rPr>
            </w:pPr>
            <w:r>
              <w:rPr>
                <w:rFonts w:ascii="Arial"/>
                <w:b/>
                <w:sz w:val="18"/>
              </w:rPr>
              <w:t>Pay</w:t>
            </w:r>
            <w:r>
              <w:rPr>
                <w:rFonts w:ascii="Arial"/>
                <w:b/>
                <w:spacing w:val="-8"/>
                <w:sz w:val="18"/>
              </w:rPr>
              <w:t> </w:t>
            </w:r>
            <w:r>
              <w:rPr>
                <w:rFonts w:ascii="Arial"/>
                <w:b/>
                <w:sz w:val="18"/>
              </w:rPr>
              <w:t>for</w:t>
            </w:r>
            <w:r>
              <w:rPr>
                <w:rFonts w:ascii="Arial"/>
                <w:b/>
                <w:spacing w:val="-2"/>
                <w:sz w:val="18"/>
              </w:rPr>
              <w:t> </w:t>
            </w:r>
            <w:r>
              <w:rPr>
                <w:rFonts w:ascii="Arial"/>
                <w:b/>
                <w:sz w:val="18"/>
              </w:rPr>
              <w:t>Performance Phase</w:t>
            </w:r>
            <w:r>
              <w:rPr>
                <w:rFonts w:ascii="Arial"/>
                <w:b/>
                <w:spacing w:val="-3"/>
                <w:sz w:val="18"/>
              </w:rPr>
              <w:t> </w:t>
            </w:r>
            <w:r>
              <w:rPr>
                <w:rFonts w:ascii="Arial"/>
                <w:b/>
                <w:spacing w:val="-5"/>
                <w:sz w:val="18"/>
              </w:rPr>
              <w:t>In</w:t>
            </w:r>
          </w:p>
          <w:p>
            <w:pPr>
              <w:pStyle w:val="TableParagraph"/>
              <w:spacing w:line="187" w:lineRule="exact"/>
              <w:ind w:left="787"/>
              <w:rPr>
                <w:rFonts w:ascii="Arial"/>
                <w:b/>
                <w:sz w:val="18"/>
              </w:rPr>
            </w:pPr>
            <w:r>
              <w:rPr>
                <w:rFonts w:ascii="Arial"/>
                <w:b/>
                <w:sz w:val="18"/>
              </w:rPr>
              <w:t>(P=</w:t>
            </w:r>
            <w:r>
              <w:rPr>
                <w:rFonts w:ascii="Arial"/>
                <w:b/>
                <w:spacing w:val="-3"/>
                <w:sz w:val="18"/>
              </w:rPr>
              <w:t> </w:t>
            </w:r>
            <w:r>
              <w:rPr>
                <w:rFonts w:ascii="Arial"/>
                <w:b/>
                <w:sz w:val="18"/>
              </w:rPr>
              <w:t>Performance,</w:t>
            </w:r>
            <w:r>
              <w:rPr>
                <w:rFonts w:ascii="Arial"/>
                <w:b/>
                <w:spacing w:val="-2"/>
                <w:sz w:val="18"/>
              </w:rPr>
              <w:t> </w:t>
            </w:r>
            <w:r>
              <w:rPr>
                <w:rFonts w:ascii="Arial"/>
                <w:b/>
                <w:sz w:val="18"/>
              </w:rPr>
              <w:t>R=</w:t>
            </w:r>
            <w:r>
              <w:rPr>
                <w:rFonts w:ascii="Arial"/>
                <w:b/>
                <w:spacing w:val="-2"/>
                <w:sz w:val="18"/>
              </w:rPr>
              <w:t> Reporting)</w:t>
            </w:r>
          </w:p>
        </w:tc>
      </w:tr>
      <w:tr>
        <w:trPr>
          <w:trHeight w:val="227" w:hRule="atLeast"/>
        </w:trPr>
        <w:tc>
          <w:tcPr>
            <w:tcW w:w="540" w:type="dxa"/>
            <w:vMerge/>
            <w:tcBorders>
              <w:top w:val="nil"/>
            </w:tcBorders>
            <w:shd w:val="clear" w:color="auto" w:fill="DEEAF6"/>
          </w:tcPr>
          <w:p>
            <w:pPr>
              <w:rPr>
                <w:sz w:val="2"/>
                <w:szCs w:val="2"/>
              </w:rPr>
            </w:pPr>
          </w:p>
        </w:tc>
        <w:tc>
          <w:tcPr>
            <w:tcW w:w="1891" w:type="dxa"/>
            <w:vMerge/>
            <w:tcBorders>
              <w:top w:val="nil"/>
            </w:tcBorders>
            <w:shd w:val="clear" w:color="auto" w:fill="DEEAF6"/>
          </w:tcPr>
          <w:p>
            <w:pPr>
              <w:rPr>
                <w:sz w:val="2"/>
                <w:szCs w:val="2"/>
              </w:rPr>
            </w:pPr>
          </w:p>
        </w:tc>
        <w:tc>
          <w:tcPr>
            <w:tcW w:w="3780" w:type="dxa"/>
            <w:vMerge/>
            <w:tcBorders>
              <w:top w:val="nil"/>
            </w:tcBorders>
            <w:shd w:val="clear" w:color="auto" w:fill="DEEAF6"/>
          </w:tcPr>
          <w:p>
            <w:pPr>
              <w:rPr>
                <w:sz w:val="2"/>
                <w:szCs w:val="2"/>
              </w:rPr>
            </w:pPr>
          </w:p>
        </w:tc>
        <w:tc>
          <w:tcPr>
            <w:tcW w:w="1260" w:type="dxa"/>
            <w:vMerge/>
            <w:tcBorders>
              <w:top w:val="nil"/>
            </w:tcBorders>
            <w:shd w:val="clear" w:color="auto" w:fill="DEEAF6"/>
          </w:tcPr>
          <w:p>
            <w:pPr>
              <w:rPr>
                <w:sz w:val="2"/>
                <w:szCs w:val="2"/>
              </w:rPr>
            </w:pPr>
          </w:p>
        </w:tc>
        <w:tc>
          <w:tcPr>
            <w:tcW w:w="1253" w:type="dxa"/>
            <w:vMerge/>
            <w:tcBorders>
              <w:top w:val="nil"/>
            </w:tcBorders>
            <w:shd w:val="clear" w:color="auto" w:fill="DEEAF6"/>
          </w:tcPr>
          <w:p>
            <w:pPr>
              <w:rPr>
                <w:sz w:val="2"/>
                <w:szCs w:val="2"/>
              </w:rPr>
            </w:pPr>
          </w:p>
        </w:tc>
        <w:tc>
          <w:tcPr>
            <w:tcW w:w="1267" w:type="dxa"/>
            <w:vMerge/>
            <w:tcBorders>
              <w:top w:val="nil"/>
            </w:tcBorders>
            <w:shd w:val="clear" w:color="auto" w:fill="DEEAF6"/>
          </w:tcPr>
          <w:p>
            <w:pPr>
              <w:rPr>
                <w:sz w:val="2"/>
                <w:szCs w:val="2"/>
              </w:rPr>
            </w:pPr>
          </w:p>
        </w:tc>
        <w:tc>
          <w:tcPr>
            <w:tcW w:w="900" w:type="dxa"/>
            <w:vMerge/>
            <w:tcBorders>
              <w:top w:val="nil"/>
              <w:right w:val="single" w:sz="4" w:space="0" w:color="BCD5ED"/>
            </w:tcBorders>
            <w:shd w:val="clear" w:color="auto" w:fill="DEEAF6"/>
          </w:tcPr>
          <w:p>
            <w:pPr>
              <w:rPr>
                <w:sz w:val="2"/>
                <w:szCs w:val="2"/>
              </w:rPr>
            </w:pPr>
          </w:p>
        </w:tc>
        <w:tc>
          <w:tcPr>
            <w:tcW w:w="900" w:type="dxa"/>
            <w:tcBorders>
              <w:top w:val="single" w:sz="4" w:space="0" w:color="BCD5ED"/>
              <w:right w:val="single" w:sz="4" w:space="0" w:color="BCD5ED"/>
            </w:tcBorders>
            <w:shd w:val="clear" w:color="auto" w:fill="DEEAF6"/>
          </w:tcPr>
          <w:p>
            <w:pPr>
              <w:pStyle w:val="TableParagraph"/>
              <w:spacing w:line="187" w:lineRule="exact" w:before="20"/>
              <w:ind w:left="155" w:right="143"/>
              <w:jc w:val="center"/>
              <w:rPr>
                <w:rFonts w:ascii="Arial"/>
                <w:b/>
                <w:sz w:val="18"/>
              </w:rPr>
            </w:pPr>
            <w:r>
              <w:rPr>
                <w:rFonts w:ascii="Arial"/>
                <w:b/>
                <w:spacing w:val="-4"/>
                <w:sz w:val="18"/>
              </w:rPr>
              <w:t>2018</w:t>
            </w:r>
          </w:p>
        </w:tc>
        <w:tc>
          <w:tcPr>
            <w:tcW w:w="900" w:type="dxa"/>
            <w:tcBorders>
              <w:top w:val="single" w:sz="4" w:space="0" w:color="BCD5ED"/>
              <w:left w:val="single" w:sz="4" w:space="0" w:color="BCD5ED"/>
              <w:right w:val="single" w:sz="4" w:space="0" w:color="BCD5ED"/>
            </w:tcBorders>
            <w:shd w:val="clear" w:color="auto" w:fill="DEEAF6"/>
          </w:tcPr>
          <w:p>
            <w:pPr>
              <w:pStyle w:val="TableParagraph"/>
              <w:spacing w:line="187" w:lineRule="exact" w:before="20"/>
              <w:ind w:left="155" w:right="143"/>
              <w:jc w:val="center"/>
              <w:rPr>
                <w:rFonts w:ascii="Arial"/>
                <w:b/>
                <w:sz w:val="18"/>
              </w:rPr>
            </w:pPr>
            <w:r>
              <w:rPr>
                <w:rFonts w:ascii="Arial"/>
                <w:b/>
                <w:spacing w:val="-4"/>
                <w:sz w:val="18"/>
              </w:rPr>
              <w:t>2019</w:t>
            </w:r>
          </w:p>
        </w:tc>
        <w:tc>
          <w:tcPr>
            <w:tcW w:w="989" w:type="dxa"/>
            <w:tcBorders>
              <w:top w:val="single" w:sz="4" w:space="0" w:color="BCD5ED"/>
              <w:left w:val="single" w:sz="4" w:space="0" w:color="BCD5ED"/>
              <w:right w:val="single" w:sz="4" w:space="0" w:color="BCD5ED"/>
            </w:tcBorders>
            <w:shd w:val="clear" w:color="auto" w:fill="DEEAF6"/>
          </w:tcPr>
          <w:p>
            <w:pPr>
              <w:pStyle w:val="TableParagraph"/>
              <w:spacing w:line="187" w:lineRule="exact" w:before="20"/>
              <w:ind w:left="110" w:right="101"/>
              <w:jc w:val="center"/>
              <w:rPr>
                <w:rFonts w:ascii="Arial"/>
                <w:b/>
                <w:sz w:val="18"/>
              </w:rPr>
            </w:pPr>
            <w:r>
              <w:rPr>
                <w:rFonts w:ascii="Arial"/>
                <w:b/>
                <w:spacing w:val="-4"/>
                <w:sz w:val="18"/>
              </w:rPr>
              <w:t>2020</w:t>
            </w:r>
          </w:p>
        </w:tc>
        <w:tc>
          <w:tcPr>
            <w:tcW w:w="811" w:type="dxa"/>
            <w:tcBorders>
              <w:top w:val="single" w:sz="4" w:space="0" w:color="BCD5ED"/>
              <w:left w:val="single" w:sz="4" w:space="0" w:color="BCD5ED"/>
              <w:right w:val="single" w:sz="4" w:space="0" w:color="BCD5ED"/>
            </w:tcBorders>
            <w:shd w:val="clear" w:color="auto" w:fill="DEEAF6"/>
          </w:tcPr>
          <w:p>
            <w:pPr>
              <w:pStyle w:val="TableParagraph"/>
              <w:spacing w:line="187" w:lineRule="exact" w:before="20"/>
              <w:ind w:left="192" w:right="183"/>
              <w:jc w:val="center"/>
              <w:rPr>
                <w:rFonts w:ascii="Arial"/>
                <w:b/>
                <w:sz w:val="18"/>
              </w:rPr>
            </w:pPr>
            <w:r>
              <w:rPr>
                <w:rFonts w:ascii="Arial"/>
                <w:b/>
                <w:spacing w:val="-4"/>
                <w:sz w:val="18"/>
              </w:rPr>
              <w:t>2021</w:t>
            </w:r>
          </w:p>
        </w:tc>
        <w:tc>
          <w:tcPr>
            <w:tcW w:w="720" w:type="dxa"/>
            <w:tcBorders>
              <w:top w:val="single" w:sz="4" w:space="0" w:color="BCD5ED"/>
              <w:left w:val="single" w:sz="4" w:space="0" w:color="BCD5ED"/>
              <w:right w:val="single" w:sz="4" w:space="0" w:color="BCD5ED"/>
            </w:tcBorders>
            <w:shd w:val="clear" w:color="auto" w:fill="DEEAF6"/>
          </w:tcPr>
          <w:p>
            <w:pPr>
              <w:pStyle w:val="TableParagraph"/>
              <w:spacing w:line="187" w:lineRule="exact" w:before="20"/>
              <w:ind w:left="147" w:right="137"/>
              <w:jc w:val="center"/>
              <w:rPr>
                <w:rFonts w:ascii="Arial"/>
                <w:b/>
                <w:sz w:val="18"/>
              </w:rPr>
            </w:pPr>
            <w:r>
              <w:rPr>
                <w:rFonts w:ascii="Arial"/>
                <w:b/>
                <w:spacing w:val="-4"/>
                <w:sz w:val="18"/>
              </w:rPr>
              <w:t>2022</w:t>
            </w:r>
          </w:p>
        </w:tc>
      </w:tr>
      <w:tr>
        <w:trPr>
          <w:trHeight w:val="458" w:hRule="atLeast"/>
        </w:trPr>
        <w:tc>
          <w:tcPr>
            <w:tcW w:w="15211" w:type="dxa"/>
            <w:gridSpan w:val="12"/>
          </w:tcPr>
          <w:p>
            <w:pPr>
              <w:pStyle w:val="TableParagraph"/>
              <w:spacing w:before="123"/>
              <w:ind w:left="107"/>
              <w:rPr>
                <w:rFonts w:ascii="Arial"/>
                <w:b/>
                <w:sz w:val="18"/>
              </w:rPr>
            </w:pPr>
            <w:r>
              <w:rPr>
                <w:rFonts w:ascii="Arial"/>
                <w:b/>
                <w:sz w:val="18"/>
              </w:rPr>
              <w:t>Domain</w:t>
            </w:r>
            <w:r>
              <w:rPr>
                <w:rFonts w:ascii="Arial"/>
                <w:b/>
                <w:spacing w:val="-3"/>
                <w:sz w:val="18"/>
              </w:rPr>
              <w:t> </w:t>
            </w:r>
            <w:r>
              <w:rPr>
                <w:rFonts w:ascii="Arial"/>
                <w:b/>
                <w:sz w:val="18"/>
              </w:rPr>
              <w:t>1:</w:t>
            </w:r>
            <w:r>
              <w:rPr>
                <w:rFonts w:ascii="Arial"/>
                <w:b/>
                <w:spacing w:val="-3"/>
                <w:sz w:val="18"/>
              </w:rPr>
              <w:t> </w:t>
            </w:r>
            <w:r>
              <w:rPr>
                <w:rFonts w:ascii="Arial"/>
                <w:b/>
                <w:sz w:val="18"/>
              </w:rPr>
              <w:t>Care </w:t>
            </w:r>
            <w:r>
              <w:rPr>
                <w:rFonts w:ascii="Arial"/>
                <w:b/>
                <w:spacing w:val="-2"/>
                <w:sz w:val="18"/>
              </w:rPr>
              <w:t>Integration</w:t>
            </w:r>
          </w:p>
        </w:tc>
      </w:tr>
      <w:tr>
        <w:trPr>
          <w:trHeight w:val="1067" w:hRule="atLeast"/>
        </w:trPr>
        <w:tc>
          <w:tcPr>
            <w:tcW w:w="540" w:type="dxa"/>
          </w:tcPr>
          <w:p>
            <w:pPr>
              <w:pStyle w:val="TableParagraph"/>
              <w:rPr>
                <w:i/>
                <w:sz w:val="20"/>
              </w:rPr>
            </w:pPr>
          </w:p>
          <w:p>
            <w:pPr>
              <w:pStyle w:val="TableParagraph"/>
              <w:spacing w:before="5"/>
              <w:rPr>
                <w:i/>
                <w:sz w:val="17"/>
              </w:rPr>
            </w:pPr>
          </w:p>
          <w:p>
            <w:pPr>
              <w:pStyle w:val="TableParagraph"/>
              <w:ind w:left="218"/>
              <w:rPr>
                <w:rFonts w:ascii="Arial"/>
                <w:sz w:val="18"/>
              </w:rPr>
            </w:pPr>
            <w:r>
              <w:rPr>
                <w:rFonts w:ascii="Arial"/>
                <w:sz w:val="18"/>
              </w:rPr>
              <w:t>1</w:t>
            </w:r>
          </w:p>
        </w:tc>
        <w:tc>
          <w:tcPr>
            <w:tcW w:w="1891" w:type="dxa"/>
          </w:tcPr>
          <w:p>
            <w:pPr>
              <w:pStyle w:val="TableParagraph"/>
              <w:spacing w:before="119"/>
              <w:ind w:left="362" w:right="156" w:hanging="195"/>
              <w:rPr>
                <w:rFonts w:ascii="Arial"/>
                <w:sz w:val="18"/>
              </w:rPr>
            </w:pPr>
            <w:r>
              <w:rPr>
                <w:rFonts w:ascii="Arial"/>
                <w:sz w:val="18"/>
              </w:rPr>
              <w:t>Community</w:t>
            </w:r>
            <w:r>
              <w:rPr>
                <w:rFonts w:ascii="Arial"/>
                <w:spacing w:val="-13"/>
                <w:sz w:val="18"/>
              </w:rPr>
              <w:t> </w:t>
            </w:r>
            <w:r>
              <w:rPr>
                <w:rFonts w:ascii="Arial"/>
                <w:sz w:val="18"/>
              </w:rPr>
              <w:t>Partner </w:t>
            </w:r>
            <w:r>
              <w:rPr>
                <w:rFonts w:ascii="Arial"/>
                <w:spacing w:val="-2"/>
                <w:sz w:val="18"/>
              </w:rPr>
              <w:t>Engagement**</w:t>
            </w:r>
          </w:p>
        </w:tc>
        <w:tc>
          <w:tcPr>
            <w:tcW w:w="3780" w:type="dxa"/>
          </w:tcPr>
          <w:p>
            <w:pPr>
              <w:pStyle w:val="TableParagraph"/>
              <w:spacing w:before="119"/>
              <w:ind w:left="191" w:right="181" w:hanging="1"/>
              <w:jc w:val="center"/>
              <w:rPr>
                <w:rFonts w:ascii="Arial"/>
                <w:sz w:val="18"/>
              </w:rPr>
            </w:pPr>
            <w:r>
              <w:rPr>
                <w:rFonts w:ascii="Arial"/>
                <w:sz w:val="18"/>
              </w:rPr>
              <w:t>Percentage</w:t>
            </w:r>
            <w:r>
              <w:rPr>
                <w:rFonts w:ascii="Arial"/>
                <w:spacing w:val="-4"/>
                <w:sz w:val="18"/>
              </w:rPr>
              <w:t> </w:t>
            </w:r>
            <w:r>
              <w:rPr>
                <w:rFonts w:ascii="Arial"/>
                <w:sz w:val="18"/>
              </w:rPr>
              <w:t>of</w:t>
            </w:r>
            <w:r>
              <w:rPr>
                <w:rFonts w:ascii="Arial"/>
                <w:spacing w:val="-2"/>
                <w:sz w:val="18"/>
              </w:rPr>
              <w:t> </w:t>
            </w:r>
            <w:r>
              <w:rPr>
                <w:rFonts w:ascii="Arial"/>
                <w:sz w:val="18"/>
              </w:rPr>
              <w:t>assigned</w:t>
            </w:r>
            <w:r>
              <w:rPr>
                <w:rFonts w:ascii="Arial"/>
                <w:spacing w:val="-1"/>
                <w:sz w:val="18"/>
              </w:rPr>
              <w:t> </w:t>
            </w:r>
            <w:r>
              <w:rPr>
                <w:rFonts w:ascii="Arial"/>
                <w:sz w:val="18"/>
              </w:rPr>
              <w:t>enrollees</w:t>
            </w:r>
            <w:r>
              <w:rPr>
                <w:rFonts w:ascii="Arial"/>
                <w:spacing w:val="-3"/>
                <w:sz w:val="18"/>
              </w:rPr>
              <w:t> </w:t>
            </w:r>
            <w:r>
              <w:rPr>
                <w:rFonts w:ascii="Arial"/>
                <w:sz w:val="18"/>
              </w:rPr>
              <w:t>18</w:t>
            </w:r>
            <w:r>
              <w:rPr>
                <w:rFonts w:ascii="Arial"/>
                <w:spacing w:val="-1"/>
                <w:sz w:val="18"/>
              </w:rPr>
              <w:t> </w:t>
            </w:r>
            <w:r>
              <w:rPr>
                <w:rFonts w:ascii="Arial"/>
                <w:sz w:val="18"/>
              </w:rPr>
              <w:t>to</w:t>
            </w:r>
            <w:r>
              <w:rPr>
                <w:rFonts w:ascii="Arial"/>
                <w:spacing w:val="-4"/>
                <w:sz w:val="18"/>
              </w:rPr>
              <w:t> </w:t>
            </w:r>
            <w:r>
              <w:rPr>
                <w:rFonts w:ascii="Arial"/>
                <w:sz w:val="18"/>
              </w:rPr>
              <w:t>64 years of age with documentation of engagement</w:t>
            </w:r>
            <w:r>
              <w:rPr>
                <w:rFonts w:ascii="Arial"/>
                <w:spacing w:val="-5"/>
                <w:sz w:val="18"/>
              </w:rPr>
              <w:t> </w:t>
            </w:r>
            <w:r>
              <w:rPr>
                <w:rFonts w:ascii="Arial"/>
                <w:sz w:val="18"/>
              </w:rPr>
              <w:t>within</w:t>
            </w:r>
            <w:r>
              <w:rPr>
                <w:rFonts w:ascii="Arial"/>
                <w:spacing w:val="-6"/>
                <w:sz w:val="18"/>
              </w:rPr>
              <w:t> </w:t>
            </w:r>
            <w:r>
              <w:rPr>
                <w:rFonts w:ascii="Arial"/>
                <w:sz w:val="18"/>
              </w:rPr>
              <w:t>122</w:t>
            </w:r>
            <w:r>
              <w:rPr>
                <w:rFonts w:ascii="Arial"/>
                <w:spacing w:val="-6"/>
                <w:sz w:val="18"/>
              </w:rPr>
              <w:t> </w:t>
            </w:r>
            <w:r>
              <w:rPr>
                <w:rFonts w:ascii="Arial"/>
                <w:sz w:val="18"/>
              </w:rPr>
              <w:t>days</w:t>
            </w:r>
            <w:r>
              <w:rPr>
                <w:rFonts w:ascii="Arial"/>
                <w:spacing w:val="-6"/>
                <w:sz w:val="18"/>
              </w:rPr>
              <w:t> </w:t>
            </w:r>
            <w:r>
              <w:rPr>
                <w:rFonts w:ascii="Arial"/>
                <w:sz w:val="18"/>
              </w:rPr>
              <w:t>of</w:t>
            </w:r>
            <w:r>
              <w:rPr>
                <w:rFonts w:ascii="Arial"/>
                <w:spacing w:val="-5"/>
                <w:sz w:val="18"/>
              </w:rPr>
              <w:t> </w:t>
            </w:r>
            <w:r>
              <w:rPr>
                <w:rFonts w:ascii="Arial"/>
                <w:sz w:val="18"/>
              </w:rPr>
              <w:t>the</w:t>
            </w:r>
            <w:r>
              <w:rPr>
                <w:rFonts w:ascii="Arial"/>
                <w:spacing w:val="-4"/>
                <w:sz w:val="18"/>
              </w:rPr>
              <w:t> </w:t>
            </w:r>
            <w:r>
              <w:rPr>
                <w:rFonts w:ascii="Arial"/>
                <w:sz w:val="18"/>
              </w:rPr>
              <w:t>date</w:t>
            </w:r>
            <w:r>
              <w:rPr>
                <w:rFonts w:ascii="Arial"/>
                <w:spacing w:val="-6"/>
                <w:sz w:val="18"/>
              </w:rPr>
              <w:t> </w:t>
            </w:r>
            <w:r>
              <w:rPr>
                <w:rFonts w:ascii="Arial"/>
                <w:sz w:val="18"/>
              </w:rPr>
              <w:t>of assignment to a Community Partner</w:t>
            </w:r>
          </w:p>
        </w:tc>
        <w:tc>
          <w:tcPr>
            <w:tcW w:w="1260" w:type="dxa"/>
          </w:tcPr>
          <w:p>
            <w:pPr>
              <w:pStyle w:val="TableParagraph"/>
              <w:rPr>
                <w:i/>
                <w:sz w:val="20"/>
              </w:rPr>
            </w:pPr>
          </w:p>
          <w:p>
            <w:pPr>
              <w:pStyle w:val="TableParagraph"/>
              <w:spacing w:before="5"/>
              <w:rPr>
                <w:i/>
                <w:sz w:val="17"/>
              </w:rPr>
            </w:pPr>
          </w:p>
          <w:p>
            <w:pPr>
              <w:pStyle w:val="TableParagraph"/>
              <w:ind w:left="133" w:right="122"/>
              <w:jc w:val="center"/>
              <w:rPr>
                <w:rFonts w:ascii="Arial"/>
                <w:sz w:val="18"/>
              </w:rPr>
            </w:pPr>
            <w:r>
              <w:rPr>
                <w:rFonts w:ascii="Arial"/>
                <w:spacing w:val="-4"/>
                <w:sz w:val="18"/>
              </w:rPr>
              <w:t>Admin</w:t>
            </w:r>
          </w:p>
        </w:tc>
        <w:tc>
          <w:tcPr>
            <w:tcW w:w="1253" w:type="dxa"/>
          </w:tcPr>
          <w:p>
            <w:pPr>
              <w:pStyle w:val="TableParagraph"/>
              <w:rPr>
                <w:i/>
                <w:sz w:val="20"/>
              </w:rPr>
            </w:pPr>
          </w:p>
          <w:p>
            <w:pPr>
              <w:pStyle w:val="TableParagraph"/>
              <w:spacing w:before="5"/>
              <w:rPr>
                <w:i/>
                <w:sz w:val="17"/>
              </w:rPr>
            </w:pPr>
          </w:p>
          <w:p>
            <w:pPr>
              <w:pStyle w:val="TableParagraph"/>
              <w:ind w:right="265"/>
              <w:jc w:val="right"/>
              <w:rPr>
                <w:rFonts w:ascii="Arial"/>
                <w:sz w:val="18"/>
              </w:rPr>
            </w:pPr>
            <w:r>
              <w:rPr>
                <w:rFonts w:ascii="Arial"/>
                <w:sz w:val="18"/>
              </w:rPr>
              <w:t>Q4 </w:t>
            </w:r>
            <w:r>
              <w:rPr>
                <w:rFonts w:ascii="Arial"/>
                <w:spacing w:val="-4"/>
                <w:sz w:val="18"/>
              </w:rPr>
              <w:t>2021</w:t>
            </w:r>
          </w:p>
        </w:tc>
        <w:tc>
          <w:tcPr>
            <w:tcW w:w="1267" w:type="dxa"/>
          </w:tcPr>
          <w:p>
            <w:pPr>
              <w:pStyle w:val="TableParagraph"/>
              <w:spacing w:before="3"/>
              <w:rPr>
                <w:i/>
                <w:sz w:val="28"/>
              </w:rPr>
            </w:pPr>
          </w:p>
          <w:p>
            <w:pPr>
              <w:pStyle w:val="TableParagraph"/>
              <w:ind w:left="316" w:right="290" w:firstLine="184"/>
              <w:rPr>
                <w:rFonts w:ascii="Arial"/>
                <w:sz w:val="18"/>
              </w:rPr>
            </w:pPr>
            <w:r>
              <w:rPr>
                <w:rFonts w:ascii="Arial"/>
                <w:spacing w:val="-6"/>
                <w:sz w:val="18"/>
              </w:rPr>
              <w:t>MA </w:t>
            </w:r>
            <w:r>
              <w:rPr>
                <w:rFonts w:ascii="Arial"/>
                <w:spacing w:val="-2"/>
                <w:sz w:val="18"/>
              </w:rPr>
              <w:t>EOHHS</w:t>
            </w:r>
          </w:p>
        </w:tc>
        <w:tc>
          <w:tcPr>
            <w:tcW w:w="900" w:type="dxa"/>
          </w:tcPr>
          <w:p>
            <w:pPr>
              <w:pStyle w:val="TableParagraph"/>
              <w:rPr>
                <w:i/>
                <w:sz w:val="20"/>
              </w:rPr>
            </w:pPr>
          </w:p>
          <w:p>
            <w:pPr>
              <w:pStyle w:val="TableParagraph"/>
              <w:spacing w:before="5"/>
              <w:rPr>
                <w:i/>
                <w:sz w:val="17"/>
              </w:rPr>
            </w:pPr>
          </w:p>
          <w:p>
            <w:pPr>
              <w:pStyle w:val="TableParagraph"/>
              <w:ind w:left="154" w:right="145"/>
              <w:jc w:val="center"/>
              <w:rPr>
                <w:rFonts w:ascii="Arial"/>
                <w:sz w:val="18"/>
              </w:rPr>
            </w:pPr>
            <w:r>
              <w:rPr>
                <w:rFonts w:ascii="Arial"/>
                <w:spacing w:val="-5"/>
                <w:sz w:val="18"/>
              </w:rPr>
              <w:t>N/A</w:t>
            </w:r>
          </w:p>
        </w:tc>
        <w:tc>
          <w:tcPr>
            <w:tcW w:w="900" w:type="dxa"/>
          </w:tcPr>
          <w:p>
            <w:pPr>
              <w:pStyle w:val="TableParagraph"/>
              <w:rPr>
                <w:i/>
                <w:sz w:val="20"/>
              </w:rPr>
            </w:pPr>
          </w:p>
          <w:p>
            <w:pPr>
              <w:pStyle w:val="TableParagraph"/>
              <w:spacing w:before="5"/>
              <w:rPr>
                <w:i/>
                <w:sz w:val="17"/>
              </w:rPr>
            </w:pPr>
          </w:p>
          <w:p>
            <w:pPr>
              <w:pStyle w:val="TableParagraph"/>
              <w:ind w:left="7"/>
              <w:jc w:val="center"/>
              <w:rPr>
                <w:rFonts w:ascii="Arial"/>
                <w:sz w:val="18"/>
              </w:rPr>
            </w:pPr>
            <w:r>
              <w:rPr>
                <w:rFonts w:ascii="Arial"/>
                <w:sz w:val="18"/>
              </w:rPr>
              <w:t>R</w:t>
            </w:r>
          </w:p>
        </w:tc>
        <w:tc>
          <w:tcPr>
            <w:tcW w:w="900" w:type="dxa"/>
          </w:tcPr>
          <w:p>
            <w:pPr>
              <w:pStyle w:val="TableParagraph"/>
              <w:rPr>
                <w:i/>
                <w:sz w:val="20"/>
              </w:rPr>
            </w:pPr>
          </w:p>
          <w:p>
            <w:pPr>
              <w:pStyle w:val="TableParagraph"/>
              <w:spacing w:before="5"/>
              <w:rPr>
                <w:i/>
                <w:sz w:val="17"/>
              </w:rPr>
            </w:pPr>
          </w:p>
          <w:p>
            <w:pPr>
              <w:pStyle w:val="TableParagraph"/>
              <w:ind w:left="7"/>
              <w:jc w:val="center"/>
              <w:rPr>
                <w:rFonts w:ascii="Arial"/>
                <w:sz w:val="18"/>
              </w:rPr>
            </w:pPr>
            <w:r>
              <w:rPr>
                <w:rFonts w:ascii="Arial"/>
                <w:sz w:val="18"/>
              </w:rPr>
              <w:t>R</w:t>
            </w:r>
          </w:p>
        </w:tc>
        <w:tc>
          <w:tcPr>
            <w:tcW w:w="989" w:type="dxa"/>
          </w:tcPr>
          <w:p>
            <w:pPr>
              <w:pStyle w:val="TableParagraph"/>
              <w:rPr>
                <w:i/>
                <w:sz w:val="20"/>
              </w:rPr>
            </w:pPr>
          </w:p>
          <w:p>
            <w:pPr>
              <w:pStyle w:val="TableParagraph"/>
              <w:spacing w:before="5"/>
              <w:rPr>
                <w:i/>
                <w:sz w:val="17"/>
              </w:rPr>
            </w:pPr>
          </w:p>
          <w:p>
            <w:pPr>
              <w:pStyle w:val="TableParagraph"/>
              <w:ind w:left="110" w:right="100"/>
              <w:jc w:val="center"/>
              <w:rPr>
                <w:rFonts w:ascii="Arial"/>
                <w:sz w:val="18"/>
              </w:rPr>
            </w:pPr>
            <w:r>
              <w:rPr>
                <w:rFonts w:ascii="Arial"/>
                <w:sz w:val="18"/>
              </w:rPr>
              <w:t>P </w:t>
            </w:r>
            <w:r>
              <w:rPr>
                <w:rFonts w:ascii="Arial"/>
                <w:spacing w:val="-2"/>
                <w:sz w:val="18"/>
              </w:rPr>
              <w:t>(19/20)</w:t>
            </w:r>
          </w:p>
        </w:tc>
        <w:tc>
          <w:tcPr>
            <w:tcW w:w="811" w:type="dxa"/>
          </w:tcPr>
          <w:p>
            <w:pPr>
              <w:pStyle w:val="TableParagraph"/>
              <w:rPr>
                <w:i/>
                <w:sz w:val="20"/>
              </w:rPr>
            </w:pPr>
          </w:p>
          <w:p>
            <w:pPr>
              <w:pStyle w:val="TableParagraph"/>
              <w:spacing w:before="5"/>
              <w:rPr>
                <w:i/>
                <w:sz w:val="17"/>
              </w:rPr>
            </w:pPr>
          </w:p>
          <w:p>
            <w:pPr>
              <w:pStyle w:val="TableParagraph"/>
              <w:ind w:left="4"/>
              <w:jc w:val="center"/>
              <w:rPr>
                <w:rFonts w:ascii="Arial"/>
                <w:sz w:val="18"/>
              </w:rPr>
            </w:pPr>
            <w:r>
              <w:rPr>
                <w:rFonts w:ascii="Arial"/>
                <w:sz w:val="18"/>
              </w:rPr>
              <w:t>P</w:t>
            </w:r>
          </w:p>
        </w:tc>
        <w:tc>
          <w:tcPr>
            <w:tcW w:w="720" w:type="dxa"/>
          </w:tcPr>
          <w:p>
            <w:pPr>
              <w:pStyle w:val="TableParagraph"/>
              <w:rPr>
                <w:i/>
                <w:sz w:val="20"/>
              </w:rPr>
            </w:pPr>
          </w:p>
          <w:p>
            <w:pPr>
              <w:pStyle w:val="TableParagraph"/>
              <w:spacing w:before="5"/>
              <w:rPr>
                <w:i/>
                <w:sz w:val="17"/>
              </w:rPr>
            </w:pPr>
          </w:p>
          <w:p>
            <w:pPr>
              <w:pStyle w:val="TableParagraph"/>
              <w:ind w:left="10"/>
              <w:jc w:val="center"/>
              <w:rPr>
                <w:rFonts w:ascii="Arial"/>
                <w:sz w:val="18"/>
              </w:rPr>
            </w:pPr>
            <w:r>
              <w:rPr>
                <w:rFonts w:ascii="Arial"/>
                <w:sz w:val="18"/>
              </w:rPr>
              <w:t>P</w:t>
            </w:r>
          </w:p>
        </w:tc>
      </w:tr>
      <w:tr>
        <w:trPr>
          <w:trHeight w:val="1067" w:hRule="atLeast"/>
        </w:trPr>
        <w:tc>
          <w:tcPr>
            <w:tcW w:w="540" w:type="dxa"/>
          </w:tcPr>
          <w:p>
            <w:pPr>
              <w:pStyle w:val="TableParagraph"/>
              <w:rPr>
                <w:i/>
                <w:sz w:val="20"/>
              </w:rPr>
            </w:pPr>
          </w:p>
          <w:p>
            <w:pPr>
              <w:pStyle w:val="TableParagraph"/>
              <w:spacing w:before="5"/>
              <w:rPr>
                <w:i/>
                <w:sz w:val="17"/>
              </w:rPr>
            </w:pPr>
          </w:p>
          <w:p>
            <w:pPr>
              <w:pStyle w:val="TableParagraph"/>
              <w:ind w:left="218"/>
              <w:rPr>
                <w:rFonts w:ascii="Arial"/>
                <w:sz w:val="18"/>
              </w:rPr>
            </w:pPr>
            <w:r>
              <w:rPr>
                <w:rFonts w:ascii="Arial"/>
                <w:sz w:val="18"/>
              </w:rPr>
              <w:t>2</w:t>
            </w:r>
          </w:p>
        </w:tc>
        <w:tc>
          <w:tcPr>
            <w:tcW w:w="1891" w:type="dxa"/>
          </w:tcPr>
          <w:p>
            <w:pPr>
              <w:pStyle w:val="TableParagraph"/>
              <w:spacing w:before="119"/>
              <w:ind w:left="213" w:firstLine="14"/>
              <w:rPr>
                <w:rFonts w:ascii="Arial"/>
                <w:sz w:val="18"/>
              </w:rPr>
            </w:pPr>
            <w:r>
              <w:rPr>
                <w:rFonts w:ascii="Arial"/>
                <w:sz w:val="18"/>
              </w:rPr>
              <w:t>Annual</w:t>
            </w:r>
            <w:r>
              <w:rPr>
                <w:rFonts w:ascii="Arial"/>
                <w:spacing w:val="-13"/>
                <w:sz w:val="18"/>
              </w:rPr>
              <w:t> </w:t>
            </w:r>
            <w:r>
              <w:rPr>
                <w:rFonts w:ascii="Arial"/>
                <w:sz w:val="18"/>
              </w:rPr>
              <w:t>Treatment Plan </w:t>
            </w:r>
            <w:r>
              <w:rPr>
                <w:rFonts w:ascii="Arial"/>
                <w:spacing w:val="-2"/>
                <w:sz w:val="18"/>
              </w:rPr>
              <w:t>Completion**</w:t>
            </w:r>
          </w:p>
        </w:tc>
        <w:tc>
          <w:tcPr>
            <w:tcW w:w="3780" w:type="dxa"/>
          </w:tcPr>
          <w:p>
            <w:pPr>
              <w:pStyle w:val="TableParagraph"/>
              <w:spacing w:before="119"/>
              <w:ind w:left="208" w:right="195"/>
              <w:jc w:val="center"/>
              <w:rPr>
                <w:rFonts w:ascii="Arial"/>
                <w:sz w:val="18"/>
              </w:rPr>
            </w:pPr>
            <w:r>
              <w:rPr>
                <w:rFonts w:ascii="Arial"/>
                <w:sz w:val="18"/>
              </w:rPr>
              <w:t>Percentage</w:t>
            </w:r>
            <w:r>
              <w:rPr>
                <w:rFonts w:ascii="Arial"/>
                <w:spacing w:val="-6"/>
                <w:sz w:val="18"/>
              </w:rPr>
              <w:t> </w:t>
            </w:r>
            <w:r>
              <w:rPr>
                <w:rFonts w:ascii="Arial"/>
                <w:sz w:val="18"/>
              </w:rPr>
              <w:t>of</w:t>
            </w:r>
            <w:r>
              <w:rPr>
                <w:rFonts w:ascii="Arial"/>
                <w:spacing w:val="-5"/>
                <w:sz w:val="18"/>
              </w:rPr>
              <w:t> </w:t>
            </w:r>
            <w:r>
              <w:rPr>
                <w:rFonts w:ascii="Arial"/>
                <w:sz w:val="18"/>
              </w:rPr>
              <w:t>enrollees</w:t>
            </w:r>
            <w:r>
              <w:rPr>
                <w:rFonts w:ascii="Arial"/>
                <w:spacing w:val="-4"/>
                <w:sz w:val="18"/>
              </w:rPr>
              <w:t> </w:t>
            </w:r>
            <w:r>
              <w:rPr>
                <w:rFonts w:ascii="Arial"/>
                <w:sz w:val="18"/>
              </w:rPr>
              <w:t>18</w:t>
            </w:r>
            <w:r>
              <w:rPr>
                <w:rFonts w:ascii="Arial"/>
                <w:spacing w:val="-6"/>
                <w:sz w:val="18"/>
              </w:rPr>
              <w:t> </w:t>
            </w:r>
            <w:r>
              <w:rPr>
                <w:rFonts w:ascii="Arial"/>
                <w:sz w:val="18"/>
              </w:rPr>
              <w:t>to</w:t>
            </w:r>
            <w:r>
              <w:rPr>
                <w:rFonts w:ascii="Arial"/>
                <w:spacing w:val="-6"/>
                <w:sz w:val="18"/>
              </w:rPr>
              <w:t> </w:t>
            </w:r>
            <w:r>
              <w:rPr>
                <w:rFonts w:ascii="Arial"/>
                <w:sz w:val="18"/>
              </w:rPr>
              <w:t>64</w:t>
            </w:r>
            <w:r>
              <w:rPr>
                <w:rFonts w:ascii="Arial"/>
                <w:spacing w:val="-4"/>
                <w:sz w:val="18"/>
              </w:rPr>
              <w:t> </w:t>
            </w:r>
            <w:r>
              <w:rPr>
                <w:rFonts w:ascii="Arial"/>
                <w:sz w:val="18"/>
              </w:rPr>
              <w:t>years</w:t>
            </w:r>
            <w:r>
              <w:rPr>
                <w:rFonts w:ascii="Arial"/>
                <w:spacing w:val="-6"/>
                <w:sz w:val="18"/>
              </w:rPr>
              <w:t> </w:t>
            </w:r>
            <w:r>
              <w:rPr>
                <w:rFonts w:ascii="Arial"/>
                <w:sz w:val="18"/>
              </w:rPr>
              <w:t>of age with documentation of a completed Treatment Plan during the measurement </w:t>
            </w:r>
            <w:r>
              <w:rPr>
                <w:rFonts w:ascii="Arial"/>
                <w:spacing w:val="-4"/>
                <w:sz w:val="18"/>
              </w:rPr>
              <w:t>year</w:t>
            </w:r>
          </w:p>
        </w:tc>
        <w:tc>
          <w:tcPr>
            <w:tcW w:w="1260" w:type="dxa"/>
          </w:tcPr>
          <w:p>
            <w:pPr>
              <w:pStyle w:val="TableParagraph"/>
              <w:rPr>
                <w:i/>
                <w:sz w:val="20"/>
              </w:rPr>
            </w:pPr>
          </w:p>
          <w:p>
            <w:pPr>
              <w:pStyle w:val="TableParagraph"/>
              <w:spacing w:before="5"/>
              <w:rPr>
                <w:i/>
                <w:sz w:val="17"/>
              </w:rPr>
            </w:pPr>
          </w:p>
          <w:p>
            <w:pPr>
              <w:pStyle w:val="TableParagraph"/>
              <w:ind w:left="133" w:right="122"/>
              <w:jc w:val="center"/>
              <w:rPr>
                <w:rFonts w:ascii="Arial"/>
                <w:sz w:val="18"/>
              </w:rPr>
            </w:pPr>
            <w:r>
              <w:rPr>
                <w:rFonts w:ascii="Arial"/>
                <w:spacing w:val="-4"/>
                <w:sz w:val="18"/>
              </w:rPr>
              <w:t>Admin</w:t>
            </w:r>
          </w:p>
        </w:tc>
        <w:tc>
          <w:tcPr>
            <w:tcW w:w="1253" w:type="dxa"/>
          </w:tcPr>
          <w:p>
            <w:pPr>
              <w:pStyle w:val="TableParagraph"/>
              <w:rPr>
                <w:i/>
                <w:sz w:val="20"/>
              </w:rPr>
            </w:pPr>
          </w:p>
          <w:p>
            <w:pPr>
              <w:pStyle w:val="TableParagraph"/>
              <w:spacing w:before="5"/>
              <w:rPr>
                <w:i/>
                <w:sz w:val="17"/>
              </w:rPr>
            </w:pPr>
          </w:p>
          <w:p>
            <w:pPr>
              <w:pStyle w:val="TableParagraph"/>
              <w:ind w:right="265"/>
              <w:jc w:val="right"/>
              <w:rPr>
                <w:rFonts w:ascii="Arial"/>
                <w:sz w:val="18"/>
              </w:rPr>
            </w:pPr>
            <w:r>
              <w:rPr>
                <w:rFonts w:ascii="Arial"/>
                <w:sz w:val="18"/>
              </w:rPr>
              <w:t>Q4 </w:t>
            </w:r>
            <w:r>
              <w:rPr>
                <w:rFonts w:ascii="Arial"/>
                <w:spacing w:val="-4"/>
                <w:sz w:val="18"/>
              </w:rPr>
              <w:t>2021</w:t>
            </w:r>
          </w:p>
        </w:tc>
        <w:tc>
          <w:tcPr>
            <w:tcW w:w="1267" w:type="dxa"/>
          </w:tcPr>
          <w:p>
            <w:pPr>
              <w:pStyle w:val="TableParagraph"/>
              <w:spacing w:before="6"/>
              <w:rPr>
                <w:i/>
                <w:sz w:val="28"/>
              </w:rPr>
            </w:pPr>
          </w:p>
          <w:p>
            <w:pPr>
              <w:pStyle w:val="TableParagraph"/>
              <w:ind w:left="316" w:right="290" w:firstLine="184"/>
              <w:rPr>
                <w:rFonts w:ascii="Arial"/>
                <w:sz w:val="18"/>
              </w:rPr>
            </w:pPr>
            <w:r>
              <w:rPr>
                <w:rFonts w:ascii="Arial"/>
                <w:spacing w:val="-6"/>
                <w:sz w:val="18"/>
              </w:rPr>
              <w:t>MA </w:t>
            </w:r>
            <w:r>
              <w:rPr>
                <w:rFonts w:ascii="Arial"/>
                <w:spacing w:val="-2"/>
                <w:sz w:val="18"/>
              </w:rPr>
              <w:t>EOHHS</w:t>
            </w:r>
          </w:p>
        </w:tc>
        <w:tc>
          <w:tcPr>
            <w:tcW w:w="900" w:type="dxa"/>
          </w:tcPr>
          <w:p>
            <w:pPr>
              <w:pStyle w:val="TableParagraph"/>
              <w:rPr>
                <w:i/>
                <w:sz w:val="20"/>
              </w:rPr>
            </w:pPr>
          </w:p>
          <w:p>
            <w:pPr>
              <w:pStyle w:val="TableParagraph"/>
              <w:spacing w:before="5"/>
              <w:rPr>
                <w:i/>
                <w:sz w:val="17"/>
              </w:rPr>
            </w:pPr>
          </w:p>
          <w:p>
            <w:pPr>
              <w:pStyle w:val="TableParagraph"/>
              <w:spacing w:before="1"/>
              <w:ind w:left="155" w:right="145"/>
              <w:jc w:val="center"/>
              <w:rPr>
                <w:rFonts w:ascii="Arial"/>
                <w:sz w:val="18"/>
              </w:rPr>
            </w:pPr>
            <w:r>
              <w:rPr>
                <w:rFonts w:ascii="Arial"/>
                <w:spacing w:val="-5"/>
                <w:sz w:val="18"/>
              </w:rPr>
              <w:t>N/A</w:t>
            </w:r>
          </w:p>
        </w:tc>
        <w:tc>
          <w:tcPr>
            <w:tcW w:w="900" w:type="dxa"/>
          </w:tcPr>
          <w:p>
            <w:pPr>
              <w:pStyle w:val="TableParagraph"/>
              <w:rPr>
                <w:i/>
                <w:sz w:val="20"/>
              </w:rPr>
            </w:pPr>
          </w:p>
          <w:p>
            <w:pPr>
              <w:pStyle w:val="TableParagraph"/>
              <w:spacing w:before="5"/>
              <w:rPr>
                <w:i/>
                <w:sz w:val="17"/>
              </w:rPr>
            </w:pPr>
          </w:p>
          <w:p>
            <w:pPr>
              <w:pStyle w:val="TableParagraph"/>
              <w:spacing w:before="1"/>
              <w:ind w:left="8"/>
              <w:jc w:val="center"/>
              <w:rPr>
                <w:rFonts w:ascii="Arial"/>
                <w:sz w:val="18"/>
              </w:rPr>
            </w:pPr>
            <w:r>
              <w:rPr>
                <w:rFonts w:ascii="Arial"/>
                <w:sz w:val="18"/>
              </w:rPr>
              <w:t>R</w:t>
            </w:r>
          </w:p>
        </w:tc>
        <w:tc>
          <w:tcPr>
            <w:tcW w:w="900" w:type="dxa"/>
          </w:tcPr>
          <w:p>
            <w:pPr>
              <w:pStyle w:val="TableParagraph"/>
              <w:rPr>
                <w:i/>
                <w:sz w:val="20"/>
              </w:rPr>
            </w:pPr>
          </w:p>
          <w:p>
            <w:pPr>
              <w:pStyle w:val="TableParagraph"/>
              <w:spacing w:before="5"/>
              <w:rPr>
                <w:i/>
                <w:sz w:val="17"/>
              </w:rPr>
            </w:pPr>
          </w:p>
          <w:p>
            <w:pPr>
              <w:pStyle w:val="TableParagraph"/>
              <w:spacing w:before="1"/>
              <w:ind w:left="153" w:right="145"/>
              <w:jc w:val="center"/>
              <w:rPr>
                <w:rFonts w:ascii="Arial"/>
                <w:sz w:val="18"/>
              </w:rPr>
            </w:pPr>
            <w:r>
              <w:rPr>
                <w:rFonts w:ascii="Arial"/>
                <w:spacing w:val="-5"/>
                <w:sz w:val="18"/>
              </w:rPr>
              <w:t>P4R</w:t>
            </w:r>
          </w:p>
        </w:tc>
        <w:tc>
          <w:tcPr>
            <w:tcW w:w="989" w:type="dxa"/>
          </w:tcPr>
          <w:p>
            <w:pPr>
              <w:pStyle w:val="TableParagraph"/>
              <w:rPr>
                <w:i/>
                <w:sz w:val="20"/>
              </w:rPr>
            </w:pPr>
          </w:p>
          <w:p>
            <w:pPr>
              <w:pStyle w:val="TableParagraph"/>
              <w:spacing w:before="5"/>
              <w:rPr>
                <w:i/>
                <w:sz w:val="17"/>
              </w:rPr>
            </w:pPr>
          </w:p>
          <w:p>
            <w:pPr>
              <w:pStyle w:val="TableParagraph"/>
              <w:spacing w:before="1"/>
              <w:ind w:left="110" w:right="100"/>
              <w:jc w:val="center"/>
              <w:rPr>
                <w:rFonts w:ascii="Arial"/>
                <w:sz w:val="18"/>
              </w:rPr>
            </w:pPr>
            <w:r>
              <w:rPr>
                <w:rFonts w:ascii="Arial"/>
                <w:sz w:val="18"/>
              </w:rPr>
              <w:t>P </w:t>
            </w:r>
            <w:r>
              <w:rPr>
                <w:rFonts w:ascii="Arial"/>
                <w:spacing w:val="-2"/>
                <w:sz w:val="18"/>
              </w:rPr>
              <w:t>(19/20)</w:t>
            </w:r>
          </w:p>
        </w:tc>
        <w:tc>
          <w:tcPr>
            <w:tcW w:w="811" w:type="dxa"/>
          </w:tcPr>
          <w:p>
            <w:pPr>
              <w:pStyle w:val="TableParagraph"/>
              <w:rPr>
                <w:i/>
                <w:sz w:val="20"/>
              </w:rPr>
            </w:pPr>
          </w:p>
          <w:p>
            <w:pPr>
              <w:pStyle w:val="TableParagraph"/>
              <w:spacing w:before="5"/>
              <w:rPr>
                <w:i/>
                <w:sz w:val="17"/>
              </w:rPr>
            </w:pPr>
          </w:p>
          <w:p>
            <w:pPr>
              <w:pStyle w:val="TableParagraph"/>
              <w:spacing w:before="1"/>
              <w:ind w:left="188" w:right="183"/>
              <w:jc w:val="center"/>
              <w:rPr>
                <w:rFonts w:ascii="Arial"/>
                <w:sz w:val="18"/>
              </w:rPr>
            </w:pPr>
            <w:r>
              <w:rPr>
                <w:rFonts w:ascii="Arial"/>
                <w:sz w:val="18"/>
              </w:rPr>
              <w:t>-</w:t>
            </w:r>
            <w:r>
              <w:rPr>
                <w:rFonts w:ascii="Arial"/>
                <w:spacing w:val="-10"/>
                <w:sz w:val="18"/>
              </w:rPr>
              <w:t>-</w:t>
            </w:r>
          </w:p>
        </w:tc>
        <w:tc>
          <w:tcPr>
            <w:tcW w:w="720" w:type="dxa"/>
          </w:tcPr>
          <w:p>
            <w:pPr>
              <w:pStyle w:val="TableParagraph"/>
              <w:rPr>
                <w:i/>
                <w:sz w:val="20"/>
              </w:rPr>
            </w:pPr>
          </w:p>
          <w:p>
            <w:pPr>
              <w:pStyle w:val="TableParagraph"/>
              <w:spacing w:before="5"/>
              <w:rPr>
                <w:i/>
                <w:sz w:val="17"/>
              </w:rPr>
            </w:pPr>
          </w:p>
          <w:p>
            <w:pPr>
              <w:pStyle w:val="TableParagraph"/>
              <w:spacing w:before="1"/>
              <w:ind w:left="147" w:right="137"/>
              <w:jc w:val="center"/>
              <w:rPr>
                <w:rFonts w:ascii="Arial"/>
                <w:sz w:val="18"/>
              </w:rPr>
            </w:pPr>
            <w:r>
              <w:rPr>
                <w:rFonts w:ascii="Arial"/>
                <w:sz w:val="18"/>
              </w:rPr>
              <w:t>-</w:t>
            </w:r>
            <w:r>
              <w:rPr>
                <w:rFonts w:ascii="Arial"/>
                <w:spacing w:val="-10"/>
                <w:sz w:val="18"/>
              </w:rPr>
              <w:t>-</w:t>
            </w:r>
          </w:p>
        </w:tc>
      </w:tr>
      <w:tr>
        <w:trPr>
          <w:trHeight w:val="861" w:hRule="atLeast"/>
        </w:trPr>
        <w:tc>
          <w:tcPr>
            <w:tcW w:w="540" w:type="dxa"/>
          </w:tcPr>
          <w:p>
            <w:pPr>
              <w:pStyle w:val="TableParagraph"/>
              <w:spacing w:before="5"/>
              <w:rPr>
                <w:i/>
                <w:sz w:val="28"/>
              </w:rPr>
            </w:pPr>
          </w:p>
          <w:p>
            <w:pPr>
              <w:pStyle w:val="TableParagraph"/>
              <w:ind w:left="184"/>
              <w:rPr>
                <w:rFonts w:ascii="Arial"/>
                <w:sz w:val="18"/>
              </w:rPr>
            </w:pPr>
            <w:r>
              <w:rPr>
                <w:rFonts w:ascii="Arial"/>
                <w:spacing w:val="-5"/>
                <w:sz w:val="18"/>
              </w:rPr>
              <w:t>2*</w:t>
            </w:r>
          </w:p>
        </w:tc>
        <w:tc>
          <w:tcPr>
            <w:tcW w:w="1891" w:type="dxa"/>
          </w:tcPr>
          <w:p>
            <w:pPr>
              <w:pStyle w:val="TableParagraph"/>
              <w:spacing w:before="119"/>
              <w:ind w:left="158" w:right="146"/>
              <w:jc w:val="center"/>
              <w:rPr>
                <w:rFonts w:ascii="Arial"/>
                <w:sz w:val="18"/>
              </w:rPr>
            </w:pPr>
            <w:r>
              <w:rPr>
                <w:rFonts w:ascii="Arial"/>
                <w:sz w:val="18"/>
              </w:rPr>
              <w:t>Enhanced</w:t>
            </w:r>
            <w:r>
              <w:rPr>
                <w:rFonts w:ascii="Arial"/>
                <w:spacing w:val="-13"/>
                <w:sz w:val="18"/>
              </w:rPr>
              <w:t> </w:t>
            </w:r>
            <w:r>
              <w:rPr>
                <w:rFonts w:ascii="Arial"/>
                <w:sz w:val="18"/>
              </w:rPr>
              <w:t>Person- Centered Care </w:t>
            </w:r>
            <w:r>
              <w:rPr>
                <w:rFonts w:ascii="Arial"/>
                <w:spacing w:val="-2"/>
                <w:sz w:val="18"/>
              </w:rPr>
              <w:t>Planning</w:t>
            </w:r>
          </w:p>
        </w:tc>
        <w:tc>
          <w:tcPr>
            <w:tcW w:w="3780" w:type="dxa"/>
          </w:tcPr>
          <w:p>
            <w:pPr>
              <w:pStyle w:val="TableParagraph"/>
              <w:spacing w:before="119"/>
              <w:ind w:left="362" w:hanging="121"/>
              <w:rPr>
                <w:rFonts w:ascii="Arial"/>
                <w:sz w:val="18"/>
              </w:rPr>
            </w:pPr>
            <w:r>
              <w:rPr>
                <w:rFonts w:ascii="Arial"/>
                <w:sz w:val="18"/>
              </w:rPr>
              <w:t>Percentage</w:t>
            </w:r>
            <w:r>
              <w:rPr>
                <w:rFonts w:ascii="Arial"/>
                <w:spacing w:val="-6"/>
                <w:sz w:val="18"/>
              </w:rPr>
              <w:t> </w:t>
            </w:r>
            <w:r>
              <w:rPr>
                <w:rFonts w:ascii="Arial"/>
                <w:sz w:val="18"/>
              </w:rPr>
              <w:t>of</w:t>
            </w:r>
            <w:r>
              <w:rPr>
                <w:rFonts w:ascii="Arial"/>
                <w:spacing w:val="-4"/>
                <w:sz w:val="18"/>
              </w:rPr>
              <w:t> </w:t>
            </w:r>
            <w:r>
              <w:rPr>
                <w:rFonts w:ascii="Arial"/>
                <w:sz w:val="18"/>
              </w:rPr>
              <w:t>enrollees</w:t>
            </w:r>
            <w:r>
              <w:rPr>
                <w:rFonts w:ascii="Arial"/>
                <w:spacing w:val="-4"/>
                <w:sz w:val="18"/>
              </w:rPr>
              <w:t> </w:t>
            </w:r>
            <w:r>
              <w:rPr>
                <w:rFonts w:ascii="Arial"/>
                <w:sz w:val="18"/>
              </w:rPr>
              <w:t>18</w:t>
            </w:r>
            <w:r>
              <w:rPr>
                <w:rFonts w:ascii="Arial"/>
                <w:spacing w:val="-6"/>
                <w:sz w:val="18"/>
              </w:rPr>
              <w:t> </w:t>
            </w:r>
            <w:r>
              <w:rPr>
                <w:rFonts w:ascii="Arial"/>
                <w:sz w:val="18"/>
              </w:rPr>
              <w:t>to</w:t>
            </w:r>
            <w:r>
              <w:rPr>
                <w:rFonts w:ascii="Arial"/>
                <w:spacing w:val="-6"/>
                <w:sz w:val="18"/>
              </w:rPr>
              <w:t> </w:t>
            </w:r>
            <w:r>
              <w:rPr>
                <w:rFonts w:ascii="Arial"/>
                <w:sz w:val="18"/>
              </w:rPr>
              <w:t>64</w:t>
            </w:r>
            <w:r>
              <w:rPr>
                <w:rFonts w:ascii="Arial"/>
                <w:spacing w:val="-4"/>
                <w:sz w:val="18"/>
              </w:rPr>
              <w:t> </w:t>
            </w:r>
            <w:r>
              <w:rPr>
                <w:rFonts w:ascii="Arial"/>
                <w:sz w:val="18"/>
              </w:rPr>
              <w:t>years</w:t>
            </w:r>
            <w:r>
              <w:rPr>
                <w:rFonts w:ascii="Arial"/>
                <w:spacing w:val="-5"/>
                <w:sz w:val="18"/>
              </w:rPr>
              <w:t> </w:t>
            </w:r>
            <w:r>
              <w:rPr>
                <w:rFonts w:ascii="Arial"/>
                <w:sz w:val="18"/>
              </w:rPr>
              <w:t>of age with timely completion of a new or</w:t>
            </w:r>
          </w:p>
        </w:tc>
        <w:tc>
          <w:tcPr>
            <w:tcW w:w="1260" w:type="dxa"/>
          </w:tcPr>
          <w:p>
            <w:pPr>
              <w:pStyle w:val="TableParagraph"/>
              <w:spacing w:before="5"/>
              <w:rPr>
                <w:i/>
                <w:sz w:val="28"/>
              </w:rPr>
            </w:pPr>
          </w:p>
          <w:p>
            <w:pPr>
              <w:pStyle w:val="TableParagraph"/>
              <w:ind w:left="133" w:right="122"/>
              <w:jc w:val="center"/>
              <w:rPr>
                <w:rFonts w:ascii="Arial"/>
                <w:sz w:val="18"/>
              </w:rPr>
            </w:pPr>
            <w:r>
              <w:rPr>
                <w:rFonts w:ascii="Arial"/>
                <w:spacing w:val="-4"/>
                <w:sz w:val="18"/>
              </w:rPr>
              <w:t>Admin</w:t>
            </w:r>
          </w:p>
        </w:tc>
        <w:tc>
          <w:tcPr>
            <w:tcW w:w="1253" w:type="dxa"/>
          </w:tcPr>
          <w:p>
            <w:pPr>
              <w:pStyle w:val="TableParagraph"/>
              <w:spacing w:before="5"/>
              <w:rPr>
                <w:i/>
                <w:sz w:val="28"/>
              </w:rPr>
            </w:pPr>
          </w:p>
          <w:p>
            <w:pPr>
              <w:pStyle w:val="TableParagraph"/>
              <w:ind w:right="264"/>
              <w:jc w:val="right"/>
              <w:rPr>
                <w:rFonts w:ascii="Arial"/>
                <w:sz w:val="18"/>
              </w:rPr>
            </w:pPr>
            <w:r>
              <w:rPr>
                <w:rFonts w:ascii="Arial"/>
                <w:sz w:val="18"/>
              </w:rPr>
              <w:t>Q4 </w:t>
            </w:r>
            <w:r>
              <w:rPr>
                <w:rFonts w:ascii="Arial"/>
                <w:spacing w:val="-4"/>
                <w:sz w:val="18"/>
              </w:rPr>
              <w:t>2021</w:t>
            </w:r>
          </w:p>
        </w:tc>
        <w:tc>
          <w:tcPr>
            <w:tcW w:w="1267" w:type="dxa"/>
          </w:tcPr>
          <w:p>
            <w:pPr>
              <w:pStyle w:val="TableParagraph"/>
              <w:spacing w:before="5"/>
              <w:rPr>
                <w:i/>
                <w:sz w:val="28"/>
              </w:rPr>
            </w:pPr>
          </w:p>
          <w:p>
            <w:pPr>
              <w:pStyle w:val="TableParagraph"/>
              <w:ind w:left="155"/>
              <w:rPr>
                <w:rFonts w:ascii="Arial"/>
                <w:sz w:val="18"/>
              </w:rPr>
            </w:pPr>
            <w:r>
              <w:rPr>
                <w:rFonts w:ascii="Arial"/>
                <w:sz w:val="18"/>
              </w:rPr>
              <w:t>MA</w:t>
            </w:r>
            <w:r>
              <w:rPr>
                <w:rFonts w:ascii="Arial"/>
                <w:spacing w:val="-2"/>
                <w:sz w:val="18"/>
              </w:rPr>
              <w:t> EOHHS</w:t>
            </w:r>
          </w:p>
        </w:tc>
        <w:tc>
          <w:tcPr>
            <w:tcW w:w="900" w:type="dxa"/>
          </w:tcPr>
          <w:p>
            <w:pPr>
              <w:pStyle w:val="TableParagraph"/>
              <w:spacing w:before="5"/>
              <w:rPr>
                <w:i/>
                <w:sz w:val="28"/>
              </w:rPr>
            </w:pPr>
          </w:p>
          <w:p>
            <w:pPr>
              <w:pStyle w:val="TableParagraph"/>
              <w:ind w:left="154" w:right="145"/>
              <w:jc w:val="center"/>
              <w:rPr>
                <w:rFonts w:ascii="Arial"/>
                <w:sz w:val="18"/>
              </w:rPr>
            </w:pPr>
            <w:r>
              <w:rPr>
                <w:rFonts w:ascii="Arial"/>
                <w:spacing w:val="-5"/>
                <w:sz w:val="18"/>
              </w:rPr>
              <w:t>N/A</w:t>
            </w:r>
          </w:p>
        </w:tc>
        <w:tc>
          <w:tcPr>
            <w:tcW w:w="900" w:type="dxa"/>
          </w:tcPr>
          <w:p>
            <w:pPr>
              <w:pStyle w:val="TableParagraph"/>
              <w:spacing w:before="5"/>
              <w:rPr>
                <w:i/>
                <w:sz w:val="28"/>
              </w:rPr>
            </w:pPr>
          </w:p>
          <w:p>
            <w:pPr>
              <w:pStyle w:val="TableParagraph"/>
              <w:ind w:left="152" w:right="145"/>
              <w:jc w:val="center"/>
              <w:rPr>
                <w:rFonts w:ascii="Arial"/>
                <w:sz w:val="18"/>
              </w:rPr>
            </w:pPr>
            <w:r>
              <w:rPr>
                <w:rFonts w:ascii="Arial"/>
                <w:sz w:val="18"/>
              </w:rPr>
              <w:t>-</w:t>
            </w:r>
            <w:r>
              <w:rPr>
                <w:rFonts w:ascii="Arial"/>
                <w:spacing w:val="-10"/>
                <w:sz w:val="18"/>
              </w:rPr>
              <w:t>-</w:t>
            </w:r>
          </w:p>
        </w:tc>
        <w:tc>
          <w:tcPr>
            <w:tcW w:w="900" w:type="dxa"/>
          </w:tcPr>
          <w:p>
            <w:pPr>
              <w:pStyle w:val="TableParagraph"/>
              <w:spacing w:before="5"/>
              <w:rPr>
                <w:i/>
                <w:sz w:val="28"/>
              </w:rPr>
            </w:pPr>
          </w:p>
          <w:p>
            <w:pPr>
              <w:pStyle w:val="TableParagraph"/>
              <w:ind w:left="152" w:right="145"/>
              <w:jc w:val="center"/>
              <w:rPr>
                <w:rFonts w:ascii="Arial"/>
                <w:sz w:val="18"/>
              </w:rPr>
            </w:pPr>
            <w:r>
              <w:rPr>
                <w:rFonts w:ascii="Arial"/>
                <w:sz w:val="18"/>
              </w:rPr>
              <w:t>-</w:t>
            </w:r>
            <w:r>
              <w:rPr>
                <w:rFonts w:ascii="Arial"/>
                <w:spacing w:val="-10"/>
                <w:sz w:val="18"/>
              </w:rPr>
              <w:t>-</w:t>
            </w:r>
          </w:p>
        </w:tc>
        <w:tc>
          <w:tcPr>
            <w:tcW w:w="989" w:type="dxa"/>
          </w:tcPr>
          <w:p>
            <w:pPr>
              <w:pStyle w:val="TableParagraph"/>
              <w:spacing w:before="5"/>
              <w:rPr>
                <w:i/>
                <w:sz w:val="28"/>
              </w:rPr>
            </w:pPr>
          </w:p>
          <w:p>
            <w:pPr>
              <w:pStyle w:val="TableParagraph"/>
              <w:ind w:left="10"/>
              <w:jc w:val="center"/>
              <w:rPr>
                <w:rFonts w:ascii="Arial"/>
                <w:sz w:val="18"/>
              </w:rPr>
            </w:pPr>
            <w:r>
              <w:rPr>
                <w:rFonts w:ascii="Arial"/>
                <w:sz w:val="18"/>
              </w:rPr>
              <w:t>R</w:t>
            </w:r>
          </w:p>
        </w:tc>
        <w:tc>
          <w:tcPr>
            <w:tcW w:w="811" w:type="dxa"/>
          </w:tcPr>
          <w:p>
            <w:pPr>
              <w:pStyle w:val="TableParagraph"/>
              <w:spacing w:before="5"/>
              <w:rPr>
                <w:i/>
                <w:sz w:val="28"/>
              </w:rPr>
            </w:pPr>
          </w:p>
          <w:p>
            <w:pPr>
              <w:pStyle w:val="TableParagraph"/>
              <w:ind w:left="5"/>
              <w:jc w:val="center"/>
              <w:rPr>
                <w:rFonts w:ascii="Arial"/>
                <w:sz w:val="18"/>
              </w:rPr>
            </w:pPr>
            <w:r>
              <w:rPr>
                <w:rFonts w:ascii="Arial"/>
                <w:sz w:val="18"/>
              </w:rPr>
              <w:t>P</w:t>
            </w:r>
          </w:p>
        </w:tc>
        <w:tc>
          <w:tcPr>
            <w:tcW w:w="720" w:type="dxa"/>
          </w:tcPr>
          <w:p>
            <w:pPr>
              <w:pStyle w:val="TableParagraph"/>
              <w:spacing w:before="5"/>
              <w:rPr>
                <w:i/>
                <w:sz w:val="28"/>
              </w:rPr>
            </w:pPr>
          </w:p>
          <w:p>
            <w:pPr>
              <w:pStyle w:val="TableParagraph"/>
              <w:ind w:left="10"/>
              <w:jc w:val="center"/>
              <w:rPr>
                <w:rFonts w:ascii="Arial"/>
                <w:sz w:val="18"/>
              </w:rPr>
            </w:pPr>
            <w:r>
              <w:rPr>
                <w:rFonts w:ascii="Arial"/>
                <w:sz w:val="18"/>
              </w:rPr>
              <w:t>P</w:t>
            </w:r>
          </w:p>
        </w:tc>
      </w:tr>
    </w:tbl>
    <w:p>
      <w:pPr>
        <w:spacing w:after="0"/>
        <w:jc w:val="center"/>
        <w:rPr>
          <w:rFonts w:ascii="Arial"/>
          <w:sz w:val="18"/>
        </w:rPr>
        <w:sectPr>
          <w:pgSz w:w="15840" w:h="12240" w:orient="landscape"/>
          <w:pgMar w:header="0" w:footer="967" w:top="1380" w:bottom="1160" w:left="200" w:right="200"/>
        </w:sectPr>
      </w:pPr>
    </w:p>
    <w:p>
      <w:pPr>
        <w:pStyle w:val="BodyText"/>
        <w:spacing w:before="2"/>
        <w:rPr>
          <w:i/>
          <w:sz w:val="5"/>
        </w:rPr>
      </w:pPr>
    </w:p>
    <w:tbl>
      <w:tblPr>
        <w:tblW w:w="0" w:type="auto"/>
        <w:jc w:val="left"/>
        <w:tblInd w:w="119"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CellMar>
          <w:top w:w="0" w:type="dxa"/>
          <w:left w:w="0" w:type="dxa"/>
          <w:bottom w:w="0" w:type="dxa"/>
          <w:right w:w="0" w:type="dxa"/>
        </w:tblCellMar>
        <w:tblLook w:val="01E0"/>
      </w:tblPr>
      <w:tblGrid>
        <w:gridCol w:w="540"/>
        <w:gridCol w:w="1891"/>
        <w:gridCol w:w="3780"/>
        <w:gridCol w:w="1260"/>
        <w:gridCol w:w="1260"/>
        <w:gridCol w:w="1260"/>
        <w:gridCol w:w="900"/>
        <w:gridCol w:w="900"/>
        <w:gridCol w:w="900"/>
        <w:gridCol w:w="989"/>
        <w:gridCol w:w="811"/>
        <w:gridCol w:w="720"/>
      </w:tblGrid>
      <w:tr>
        <w:trPr>
          <w:trHeight w:val="534" w:hRule="atLeast"/>
        </w:trPr>
        <w:tc>
          <w:tcPr>
            <w:tcW w:w="540" w:type="dxa"/>
          </w:tcPr>
          <w:p>
            <w:pPr>
              <w:pStyle w:val="TableParagraph"/>
              <w:rPr>
                <w:sz w:val="18"/>
              </w:rPr>
            </w:pPr>
          </w:p>
        </w:tc>
        <w:tc>
          <w:tcPr>
            <w:tcW w:w="1891" w:type="dxa"/>
          </w:tcPr>
          <w:p>
            <w:pPr>
              <w:pStyle w:val="TableParagraph"/>
              <w:rPr>
                <w:sz w:val="18"/>
              </w:rPr>
            </w:pPr>
          </w:p>
        </w:tc>
        <w:tc>
          <w:tcPr>
            <w:tcW w:w="3780" w:type="dxa"/>
          </w:tcPr>
          <w:p>
            <w:pPr>
              <w:pStyle w:val="TableParagraph"/>
              <w:ind w:left="1140" w:right="112" w:hanging="644"/>
              <w:rPr>
                <w:rFonts w:ascii="Arial"/>
                <w:sz w:val="18"/>
              </w:rPr>
            </w:pPr>
            <w:r>
              <w:rPr>
                <w:rFonts w:ascii="Arial"/>
                <w:sz w:val="18"/>
              </w:rPr>
              <w:t>updated</w:t>
            </w:r>
            <w:r>
              <w:rPr>
                <w:rFonts w:ascii="Arial"/>
                <w:spacing w:val="-8"/>
                <w:sz w:val="18"/>
              </w:rPr>
              <w:t> </w:t>
            </w:r>
            <w:r>
              <w:rPr>
                <w:rFonts w:ascii="Arial"/>
                <w:sz w:val="18"/>
              </w:rPr>
              <w:t>Treatment</w:t>
            </w:r>
            <w:r>
              <w:rPr>
                <w:rFonts w:ascii="Arial"/>
                <w:spacing w:val="-9"/>
                <w:sz w:val="18"/>
              </w:rPr>
              <w:t> </w:t>
            </w:r>
            <w:r>
              <w:rPr>
                <w:rFonts w:ascii="Arial"/>
                <w:sz w:val="18"/>
              </w:rPr>
              <w:t>Plan</w:t>
            </w:r>
            <w:r>
              <w:rPr>
                <w:rFonts w:ascii="Arial"/>
                <w:spacing w:val="-11"/>
                <w:sz w:val="18"/>
              </w:rPr>
              <w:t> </w:t>
            </w:r>
            <w:r>
              <w:rPr>
                <w:rFonts w:ascii="Arial"/>
                <w:sz w:val="18"/>
              </w:rPr>
              <w:t>during</w:t>
            </w:r>
            <w:r>
              <w:rPr>
                <w:rFonts w:ascii="Arial"/>
                <w:spacing w:val="-8"/>
                <w:sz w:val="18"/>
              </w:rPr>
              <w:t> </w:t>
            </w:r>
            <w:r>
              <w:rPr>
                <w:rFonts w:ascii="Arial"/>
                <w:sz w:val="18"/>
              </w:rPr>
              <w:t>the measurement year</w:t>
            </w:r>
          </w:p>
        </w:tc>
        <w:tc>
          <w:tcPr>
            <w:tcW w:w="1260" w:type="dxa"/>
          </w:tcPr>
          <w:p>
            <w:pPr>
              <w:pStyle w:val="TableParagraph"/>
              <w:rPr>
                <w:sz w:val="18"/>
              </w:rPr>
            </w:pPr>
          </w:p>
        </w:tc>
        <w:tc>
          <w:tcPr>
            <w:tcW w:w="1260" w:type="dxa"/>
          </w:tcPr>
          <w:p>
            <w:pPr>
              <w:pStyle w:val="TableParagraph"/>
              <w:rPr>
                <w:sz w:val="18"/>
              </w:rPr>
            </w:pPr>
          </w:p>
        </w:tc>
        <w:tc>
          <w:tcPr>
            <w:tcW w:w="1260" w:type="dxa"/>
          </w:tcPr>
          <w:p>
            <w:pPr>
              <w:pStyle w:val="TableParagraph"/>
              <w:rPr>
                <w:sz w:val="18"/>
              </w:rPr>
            </w:pPr>
          </w:p>
        </w:tc>
        <w:tc>
          <w:tcPr>
            <w:tcW w:w="900" w:type="dxa"/>
          </w:tcPr>
          <w:p>
            <w:pPr>
              <w:pStyle w:val="TableParagraph"/>
              <w:rPr>
                <w:sz w:val="18"/>
              </w:rPr>
            </w:pPr>
          </w:p>
        </w:tc>
        <w:tc>
          <w:tcPr>
            <w:tcW w:w="900" w:type="dxa"/>
          </w:tcPr>
          <w:p>
            <w:pPr>
              <w:pStyle w:val="TableParagraph"/>
              <w:rPr>
                <w:sz w:val="18"/>
              </w:rPr>
            </w:pPr>
          </w:p>
        </w:tc>
        <w:tc>
          <w:tcPr>
            <w:tcW w:w="900" w:type="dxa"/>
          </w:tcPr>
          <w:p>
            <w:pPr>
              <w:pStyle w:val="TableParagraph"/>
              <w:rPr>
                <w:sz w:val="18"/>
              </w:rPr>
            </w:pPr>
          </w:p>
        </w:tc>
        <w:tc>
          <w:tcPr>
            <w:tcW w:w="989" w:type="dxa"/>
          </w:tcPr>
          <w:p>
            <w:pPr>
              <w:pStyle w:val="TableParagraph"/>
              <w:rPr>
                <w:sz w:val="18"/>
              </w:rPr>
            </w:pPr>
          </w:p>
        </w:tc>
        <w:tc>
          <w:tcPr>
            <w:tcW w:w="811" w:type="dxa"/>
          </w:tcPr>
          <w:p>
            <w:pPr>
              <w:pStyle w:val="TableParagraph"/>
              <w:rPr>
                <w:sz w:val="18"/>
              </w:rPr>
            </w:pPr>
          </w:p>
        </w:tc>
        <w:tc>
          <w:tcPr>
            <w:tcW w:w="720" w:type="dxa"/>
          </w:tcPr>
          <w:p>
            <w:pPr>
              <w:pStyle w:val="TableParagraph"/>
              <w:rPr>
                <w:sz w:val="18"/>
              </w:rPr>
            </w:pPr>
          </w:p>
        </w:tc>
      </w:tr>
      <w:tr>
        <w:trPr>
          <w:trHeight w:val="1273" w:hRule="atLeast"/>
        </w:trPr>
        <w:tc>
          <w:tcPr>
            <w:tcW w:w="540" w:type="dxa"/>
          </w:tcPr>
          <w:p>
            <w:pPr>
              <w:pStyle w:val="TableParagraph"/>
              <w:rPr>
                <w:i/>
                <w:sz w:val="20"/>
              </w:rPr>
            </w:pPr>
          </w:p>
          <w:p>
            <w:pPr>
              <w:pStyle w:val="TableParagraph"/>
              <w:spacing w:before="2"/>
              <w:rPr>
                <w:i/>
                <w:sz w:val="26"/>
              </w:rPr>
            </w:pPr>
          </w:p>
          <w:p>
            <w:pPr>
              <w:pStyle w:val="TableParagraph"/>
              <w:spacing w:before="1"/>
              <w:ind w:left="6"/>
              <w:jc w:val="center"/>
              <w:rPr>
                <w:rFonts w:ascii="Arial"/>
                <w:sz w:val="18"/>
              </w:rPr>
            </w:pPr>
            <w:r>
              <w:rPr>
                <w:rFonts w:ascii="Arial"/>
                <w:sz w:val="18"/>
              </w:rPr>
              <w:t>3</w:t>
            </w:r>
          </w:p>
        </w:tc>
        <w:tc>
          <w:tcPr>
            <w:tcW w:w="1891" w:type="dxa"/>
          </w:tcPr>
          <w:p>
            <w:pPr>
              <w:pStyle w:val="TableParagraph"/>
              <w:spacing w:before="119"/>
              <w:ind w:left="218" w:right="208"/>
              <w:jc w:val="center"/>
              <w:rPr>
                <w:rFonts w:ascii="Arial"/>
                <w:sz w:val="18"/>
              </w:rPr>
            </w:pPr>
            <w:r>
              <w:rPr>
                <w:rFonts w:ascii="Arial"/>
                <w:sz w:val="18"/>
              </w:rPr>
              <w:t>Follow-up</w:t>
            </w:r>
            <w:r>
              <w:rPr>
                <w:rFonts w:ascii="Arial"/>
                <w:spacing w:val="-15"/>
                <w:sz w:val="18"/>
              </w:rPr>
              <w:t> </w:t>
            </w:r>
            <w:r>
              <w:rPr>
                <w:rFonts w:ascii="Arial"/>
                <w:sz w:val="18"/>
              </w:rPr>
              <w:t>with</w:t>
            </w:r>
            <w:r>
              <w:rPr>
                <w:rFonts w:ascii="Arial"/>
                <w:spacing w:val="-12"/>
                <w:sz w:val="18"/>
              </w:rPr>
              <w:t> </w:t>
            </w:r>
            <w:r>
              <w:rPr>
                <w:rFonts w:ascii="Arial"/>
                <w:sz w:val="18"/>
              </w:rPr>
              <w:t>BH CP after acute or post-acute</w:t>
            </w:r>
            <w:r>
              <w:rPr>
                <w:rFonts w:ascii="Arial"/>
                <w:spacing w:val="-8"/>
                <w:sz w:val="18"/>
              </w:rPr>
              <w:t> </w:t>
            </w:r>
            <w:r>
              <w:rPr>
                <w:rFonts w:ascii="Arial"/>
                <w:sz w:val="18"/>
              </w:rPr>
              <w:t>stay</w:t>
            </w:r>
            <w:r>
              <w:rPr>
                <w:rFonts w:ascii="Arial"/>
                <w:spacing w:val="-9"/>
                <w:sz w:val="18"/>
              </w:rPr>
              <w:t> </w:t>
            </w:r>
            <w:r>
              <w:rPr>
                <w:rFonts w:ascii="Arial"/>
                <w:sz w:val="18"/>
              </w:rPr>
              <w:t>(3 </w:t>
            </w:r>
            <w:r>
              <w:rPr>
                <w:rFonts w:ascii="Arial"/>
                <w:spacing w:val="-2"/>
                <w:sz w:val="18"/>
              </w:rPr>
              <w:t>days)</w:t>
            </w:r>
          </w:p>
        </w:tc>
        <w:tc>
          <w:tcPr>
            <w:tcW w:w="3780" w:type="dxa"/>
          </w:tcPr>
          <w:p>
            <w:pPr>
              <w:pStyle w:val="TableParagraph"/>
              <w:spacing w:before="119"/>
              <w:ind w:left="117" w:right="106" w:hanging="1"/>
              <w:jc w:val="center"/>
              <w:rPr>
                <w:rFonts w:ascii="Arial"/>
                <w:sz w:val="18"/>
              </w:rPr>
            </w:pPr>
            <w:r>
              <w:rPr>
                <w:rFonts w:ascii="Arial"/>
                <w:sz w:val="18"/>
              </w:rPr>
              <w:t>Percentage of discharges from acute or post-acute</w:t>
            </w:r>
            <w:r>
              <w:rPr>
                <w:rFonts w:ascii="Arial"/>
                <w:spacing w:val="-4"/>
                <w:sz w:val="18"/>
              </w:rPr>
              <w:t> </w:t>
            </w:r>
            <w:r>
              <w:rPr>
                <w:rFonts w:ascii="Arial"/>
                <w:sz w:val="18"/>
              </w:rPr>
              <w:t>stays</w:t>
            </w:r>
            <w:r>
              <w:rPr>
                <w:rFonts w:ascii="Arial"/>
                <w:spacing w:val="-4"/>
                <w:sz w:val="18"/>
              </w:rPr>
              <w:t> </w:t>
            </w:r>
            <w:r>
              <w:rPr>
                <w:rFonts w:ascii="Arial"/>
                <w:sz w:val="18"/>
              </w:rPr>
              <w:t>for</w:t>
            </w:r>
            <w:r>
              <w:rPr>
                <w:rFonts w:ascii="Arial"/>
                <w:spacing w:val="-7"/>
                <w:sz w:val="18"/>
              </w:rPr>
              <w:t> </w:t>
            </w:r>
            <w:r>
              <w:rPr>
                <w:rFonts w:ascii="Arial"/>
                <w:sz w:val="18"/>
              </w:rPr>
              <w:t>enrollees</w:t>
            </w:r>
            <w:r>
              <w:rPr>
                <w:rFonts w:ascii="Arial"/>
                <w:spacing w:val="-6"/>
                <w:sz w:val="18"/>
              </w:rPr>
              <w:t> </w:t>
            </w:r>
            <w:r>
              <w:rPr>
                <w:rFonts w:ascii="Arial"/>
                <w:sz w:val="18"/>
              </w:rPr>
              <w:t>18</w:t>
            </w:r>
            <w:r>
              <w:rPr>
                <w:rFonts w:ascii="Arial"/>
                <w:spacing w:val="-4"/>
                <w:sz w:val="18"/>
              </w:rPr>
              <w:t> </w:t>
            </w:r>
            <w:r>
              <w:rPr>
                <w:rFonts w:ascii="Arial"/>
                <w:sz w:val="18"/>
              </w:rPr>
              <w:t>to</w:t>
            </w:r>
            <w:r>
              <w:rPr>
                <w:rFonts w:ascii="Arial"/>
                <w:spacing w:val="-7"/>
                <w:sz w:val="18"/>
              </w:rPr>
              <w:t> </w:t>
            </w:r>
            <w:r>
              <w:rPr>
                <w:rFonts w:ascii="Arial"/>
                <w:sz w:val="18"/>
              </w:rPr>
              <w:t>64</w:t>
            </w:r>
            <w:r>
              <w:rPr>
                <w:rFonts w:ascii="Arial"/>
                <w:spacing w:val="-4"/>
                <w:sz w:val="18"/>
              </w:rPr>
              <w:t> </w:t>
            </w:r>
            <w:r>
              <w:rPr>
                <w:rFonts w:ascii="Arial"/>
                <w:sz w:val="18"/>
              </w:rPr>
              <w:t>years of age that were succeeded by a follow-up with a BH CP within 3 business days of </w:t>
            </w:r>
            <w:r>
              <w:rPr>
                <w:rFonts w:ascii="Arial"/>
                <w:spacing w:val="-2"/>
                <w:sz w:val="18"/>
              </w:rPr>
              <w:t>discharge</w:t>
            </w:r>
          </w:p>
        </w:tc>
        <w:tc>
          <w:tcPr>
            <w:tcW w:w="1260" w:type="dxa"/>
          </w:tcPr>
          <w:p>
            <w:pPr>
              <w:pStyle w:val="TableParagraph"/>
              <w:rPr>
                <w:i/>
                <w:sz w:val="20"/>
              </w:rPr>
            </w:pPr>
          </w:p>
          <w:p>
            <w:pPr>
              <w:pStyle w:val="TableParagraph"/>
              <w:spacing w:before="3"/>
              <w:rPr>
                <w:i/>
                <w:sz w:val="26"/>
              </w:rPr>
            </w:pPr>
          </w:p>
          <w:p>
            <w:pPr>
              <w:pStyle w:val="TableParagraph"/>
              <w:ind w:left="133" w:right="122"/>
              <w:jc w:val="center"/>
              <w:rPr>
                <w:rFonts w:ascii="Arial"/>
                <w:sz w:val="18"/>
              </w:rPr>
            </w:pPr>
            <w:r>
              <w:rPr>
                <w:rFonts w:ascii="Arial"/>
                <w:spacing w:val="-4"/>
                <w:sz w:val="18"/>
              </w:rPr>
              <w:t>Admin</w:t>
            </w:r>
          </w:p>
        </w:tc>
        <w:tc>
          <w:tcPr>
            <w:tcW w:w="1260" w:type="dxa"/>
          </w:tcPr>
          <w:p>
            <w:pPr>
              <w:pStyle w:val="TableParagraph"/>
              <w:rPr>
                <w:i/>
                <w:sz w:val="20"/>
              </w:rPr>
            </w:pPr>
          </w:p>
          <w:p>
            <w:pPr>
              <w:pStyle w:val="TableParagraph"/>
              <w:spacing w:before="3"/>
              <w:rPr>
                <w:i/>
                <w:sz w:val="26"/>
              </w:rPr>
            </w:pPr>
          </w:p>
          <w:p>
            <w:pPr>
              <w:pStyle w:val="TableParagraph"/>
              <w:ind w:right="272"/>
              <w:jc w:val="right"/>
              <w:rPr>
                <w:rFonts w:ascii="Arial"/>
                <w:sz w:val="18"/>
              </w:rPr>
            </w:pPr>
            <w:r>
              <w:rPr>
                <w:rFonts w:ascii="Arial"/>
                <w:sz w:val="18"/>
              </w:rPr>
              <w:t>Q2 </w:t>
            </w:r>
            <w:r>
              <w:rPr>
                <w:rFonts w:ascii="Arial"/>
                <w:spacing w:val="-4"/>
                <w:sz w:val="18"/>
              </w:rPr>
              <w:t>2021</w:t>
            </w:r>
          </w:p>
        </w:tc>
        <w:tc>
          <w:tcPr>
            <w:tcW w:w="1260" w:type="dxa"/>
          </w:tcPr>
          <w:p>
            <w:pPr>
              <w:pStyle w:val="TableParagraph"/>
              <w:rPr>
                <w:i/>
                <w:sz w:val="20"/>
              </w:rPr>
            </w:pPr>
          </w:p>
          <w:p>
            <w:pPr>
              <w:pStyle w:val="TableParagraph"/>
              <w:spacing w:before="3"/>
              <w:rPr>
                <w:i/>
                <w:sz w:val="17"/>
              </w:rPr>
            </w:pPr>
          </w:p>
          <w:p>
            <w:pPr>
              <w:pStyle w:val="TableParagraph"/>
              <w:ind w:left="309" w:right="290" w:firstLine="184"/>
              <w:rPr>
                <w:rFonts w:ascii="Arial"/>
                <w:sz w:val="18"/>
              </w:rPr>
            </w:pPr>
            <w:r>
              <w:rPr>
                <w:rFonts w:ascii="Arial"/>
                <w:spacing w:val="-6"/>
                <w:sz w:val="18"/>
              </w:rPr>
              <w:t>MA </w:t>
            </w:r>
            <w:r>
              <w:rPr>
                <w:rFonts w:ascii="Arial"/>
                <w:spacing w:val="-2"/>
                <w:sz w:val="18"/>
              </w:rPr>
              <w:t>EOHHS</w:t>
            </w:r>
          </w:p>
        </w:tc>
        <w:tc>
          <w:tcPr>
            <w:tcW w:w="900" w:type="dxa"/>
          </w:tcPr>
          <w:p>
            <w:pPr>
              <w:pStyle w:val="TableParagraph"/>
              <w:rPr>
                <w:i/>
                <w:sz w:val="20"/>
              </w:rPr>
            </w:pPr>
          </w:p>
          <w:p>
            <w:pPr>
              <w:pStyle w:val="TableParagraph"/>
              <w:spacing w:before="3"/>
              <w:rPr>
                <w:i/>
                <w:sz w:val="26"/>
              </w:rPr>
            </w:pPr>
          </w:p>
          <w:p>
            <w:pPr>
              <w:pStyle w:val="TableParagraph"/>
              <w:ind w:right="288"/>
              <w:jc w:val="right"/>
              <w:rPr>
                <w:rFonts w:ascii="Arial"/>
                <w:sz w:val="18"/>
              </w:rPr>
            </w:pPr>
            <w:r>
              <w:rPr>
                <w:rFonts w:ascii="Arial"/>
                <w:spacing w:val="-5"/>
                <w:sz w:val="18"/>
              </w:rPr>
              <w:t>N/A</w:t>
            </w:r>
          </w:p>
        </w:tc>
        <w:tc>
          <w:tcPr>
            <w:tcW w:w="900" w:type="dxa"/>
          </w:tcPr>
          <w:p>
            <w:pPr>
              <w:pStyle w:val="TableParagraph"/>
              <w:rPr>
                <w:i/>
                <w:sz w:val="20"/>
              </w:rPr>
            </w:pPr>
          </w:p>
          <w:p>
            <w:pPr>
              <w:pStyle w:val="TableParagraph"/>
              <w:spacing w:before="3"/>
              <w:rPr>
                <w:i/>
                <w:sz w:val="26"/>
              </w:rPr>
            </w:pPr>
          </w:p>
          <w:p>
            <w:pPr>
              <w:pStyle w:val="TableParagraph"/>
              <w:ind w:left="7"/>
              <w:jc w:val="center"/>
              <w:rPr>
                <w:rFonts w:ascii="Arial"/>
                <w:sz w:val="18"/>
              </w:rPr>
            </w:pPr>
            <w:r>
              <w:rPr>
                <w:rFonts w:ascii="Arial"/>
                <w:sz w:val="18"/>
              </w:rPr>
              <w:t>R</w:t>
            </w:r>
          </w:p>
        </w:tc>
        <w:tc>
          <w:tcPr>
            <w:tcW w:w="900" w:type="dxa"/>
          </w:tcPr>
          <w:p>
            <w:pPr>
              <w:pStyle w:val="TableParagraph"/>
              <w:rPr>
                <w:i/>
                <w:sz w:val="20"/>
              </w:rPr>
            </w:pPr>
          </w:p>
          <w:p>
            <w:pPr>
              <w:pStyle w:val="TableParagraph"/>
              <w:spacing w:before="3"/>
              <w:rPr>
                <w:i/>
                <w:sz w:val="26"/>
              </w:rPr>
            </w:pPr>
          </w:p>
          <w:p>
            <w:pPr>
              <w:pStyle w:val="TableParagraph"/>
              <w:ind w:left="7"/>
              <w:jc w:val="center"/>
              <w:rPr>
                <w:rFonts w:ascii="Arial"/>
                <w:sz w:val="18"/>
              </w:rPr>
            </w:pPr>
            <w:r>
              <w:rPr>
                <w:rFonts w:ascii="Arial"/>
                <w:sz w:val="18"/>
              </w:rPr>
              <w:t>R</w:t>
            </w:r>
          </w:p>
        </w:tc>
        <w:tc>
          <w:tcPr>
            <w:tcW w:w="989" w:type="dxa"/>
          </w:tcPr>
          <w:p>
            <w:pPr>
              <w:pStyle w:val="TableParagraph"/>
              <w:rPr>
                <w:i/>
                <w:sz w:val="20"/>
              </w:rPr>
            </w:pPr>
          </w:p>
          <w:p>
            <w:pPr>
              <w:pStyle w:val="TableParagraph"/>
              <w:spacing w:before="7"/>
              <w:rPr>
                <w:i/>
                <w:sz w:val="25"/>
              </w:rPr>
            </w:pPr>
          </w:p>
          <w:p>
            <w:pPr>
              <w:pStyle w:val="TableParagraph"/>
              <w:ind w:left="9"/>
              <w:jc w:val="center"/>
              <w:rPr>
                <w:rFonts w:ascii="Arial"/>
                <w:sz w:val="18"/>
              </w:rPr>
            </w:pPr>
            <w:r>
              <w:rPr>
                <w:rFonts w:ascii="Arial"/>
                <w:sz w:val="18"/>
              </w:rPr>
              <w:t>R</w:t>
            </w:r>
          </w:p>
        </w:tc>
        <w:tc>
          <w:tcPr>
            <w:tcW w:w="811" w:type="dxa"/>
          </w:tcPr>
          <w:p>
            <w:pPr>
              <w:pStyle w:val="TableParagraph"/>
              <w:rPr>
                <w:i/>
                <w:sz w:val="20"/>
              </w:rPr>
            </w:pPr>
          </w:p>
          <w:p>
            <w:pPr>
              <w:pStyle w:val="TableParagraph"/>
              <w:spacing w:before="3"/>
              <w:rPr>
                <w:i/>
                <w:sz w:val="26"/>
              </w:rPr>
            </w:pPr>
          </w:p>
          <w:p>
            <w:pPr>
              <w:pStyle w:val="TableParagraph"/>
              <w:ind w:left="4"/>
              <w:jc w:val="center"/>
              <w:rPr>
                <w:rFonts w:ascii="Arial"/>
                <w:sz w:val="18"/>
              </w:rPr>
            </w:pPr>
            <w:r>
              <w:rPr>
                <w:rFonts w:ascii="Arial"/>
                <w:sz w:val="18"/>
              </w:rPr>
              <w:t>P</w:t>
            </w:r>
          </w:p>
        </w:tc>
        <w:tc>
          <w:tcPr>
            <w:tcW w:w="720" w:type="dxa"/>
          </w:tcPr>
          <w:p>
            <w:pPr>
              <w:pStyle w:val="TableParagraph"/>
              <w:rPr>
                <w:i/>
                <w:sz w:val="20"/>
              </w:rPr>
            </w:pPr>
          </w:p>
          <w:p>
            <w:pPr>
              <w:pStyle w:val="TableParagraph"/>
              <w:spacing w:before="3"/>
              <w:rPr>
                <w:i/>
                <w:sz w:val="26"/>
              </w:rPr>
            </w:pPr>
          </w:p>
          <w:p>
            <w:pPr>
              <w:pStyle w:val="TableParagraph"/>
              <w:ind w:left="9"/>
              <w:jc w:val="center"/>
              <w:rPr>
                <w:rFonts w:ascii="Arial"/>
                <w:sz w:val="18"/>
              </w:rPr>
            </w:pPr>
            <w:r>
              <w:rPr>
                <w:rFonts w:ascii="Arial"/>
                <w:sz w:val="18"/>
              </w:rPr>
              <w:t>P</w:t>
            </w:r>
          </w:p>
        </w:tc>
      </w:tr>
      <w:tr>
        <w:trPr>
          <w:trHeight w:val="861" w:hRule="atLeast"/>
        </w:trPr>
        <w:tc>
          <w:tcPr>
            <w:tcW w:w="540" w:type="dxa"/>
          </w:tcPr>
          <w:p>
            <w:pPr>
              <w:pStyle w:val="TableParagraph"/>
              <w:spacing w:before="3"/>
              <w:rPr>
                <w:i/>
                <w:sz w:val="28"/>
              </w:rPr>
            </w:pPr>
          </w:p>
          <w:p>
            <w:pPr>
              <w:pStyle w:val="TableParagraph"/>
              <w:ind w:left="6"/>
              <w:jc w:val="center"/>
              <w:rPr>
                <w:rFonts w:ascii="Arial"/>
                <w:sz w:val="18"/>
              </w:rPr>
            </w:pPr>
            <w:r>
              <w:rPr>
                <w:rFonts w:ascii="Arial"/>
                <w:sz w:val="18"/>
              </w:rPr>
              <w:t>4</w:t>
            </w:r>
          </w:p>
        </w:tc>
        <w:tc>
          <w:tcPr>
            <w:tcW w:w="1891" w:type="dxa"/>
          </w:tcPr>
          <w:p>
            <w:pPr>
              <w:pStyle w:val="TableParagraph"/>
              <w:spacing w:before="119"/>
              <w:ind w:left="283" w:right="9" w:hanging="65"/>
              <w:rPr>
                <w:rFonts w:ascii="Arial"/>
                <w:sz w:val="18"/>
              </w:rPr>
            </w:pPr>
            <w:r>
              <w:rPr>
                <w:rFonts w:ascii="Arial"/>
                <w:sz w:val="18"/>
              </w:rPr>
              <w:t>Follow-up</w:t>
            </w:r>
            <w:r>
              <w:rPr>
                <w:rFonts w:ascii="Arial"/>
                <w:spacing w:val="-15"/>
                <w:sz w:val="18"/>
              </w:rPr>
              <w:t> </w:t>
            </w:r>
            <w:r>
              <w:rPr>
                <w:rFonts w:ascii="Arial"/>
                <w:sz w:val="18"/>
              </w:rPr>
              <w:t>with</w:t>
            </w:r>
            <w:r>
              <w:rPr>
                <w:rFonts w:ascii="Arial"/>
                <w:spacing w:val="-12"/>
                <w:sz w:val="18"/>
              </w:rPr>
              <w:t> </w:t>
            </w:r>
            <w:r>
              <w:rPr>
                <w:rFonts w:ascii="Arial"/>
                <w:sz w:val="18"/>
              </w:rPr>
              <w:t>BH CP after ED visit</w:t>
            </w:r>
          </w:p>
        </w:tc>
        <w:tc>
          <w:tcPr>
            <w:tcW w:w="3780" w:type="dxa"/>
          </w:tcPr>
          <w:p>
            <w:pPr>
              <w:pStyle w:val="TableParagraph"/>
              <w:spacing w:before="119"/>
              <w:ind w:left="209" w:right="195"/>
              <w:jc w:val="center"/>
              <w:rPr>
                <w:rFonts w:ascii="Arial"/>
                <w:sz w:val="18"/>
              </w:rPr>
            </w:pPr>
            <w:r>
              <w:rPr>
                <w:rFonts w:ascii="Arial"/>
                <w:sz w:val="18"/>
              </w:rPr>
              <w:t>Percentage</w:t>
            </w:r>
            <w:r>
              <w:rPr>
                <w:rFonts w:ascii="Arial"/>
                <w:spacing w:val="-7"/>
                <w:sz w:val="18"/>
              </w:rPr>
              <w:t> </w:t>
            </w:r>
            <w:r>
              <w:rPr>
                <w:rFonts w:ascii="Arial"/>
                <w:sz w:val="18"/>
              </w:rPr>
              <w:t>of</w:t>
            </w:r>
            <w:r>
              <w:rPr>
                <w:rFonts w:ascii="Arial"/>
                <w:spacing w:val="-5"/>
                <w:sz w:val="18"/>
              </w:rPr>
              <w:t> </w:t>
            </w:r>
            <w:r>
              <w:rPr>
                <w:rFonts w:ascii="Arial"/>
                <w:sz w:val="18"/>
              </w:rPr>
              <w:t>ED</w:t>
            </w:r>
            <w:r>
              <w:rPr>
                <w:rFonts w:ascii="Arial"/>
                <w:spacing w:val="-5"/>
                <w:sz w:val="18"/>
              </w:rPr>
              <w:t> </w:t>
            </w:r>
            <w:r>
              <w:rPr>
                <w:rFonts w:ascii="Arial"/>
                <w:sz w:val="18"/>
              </w:rPr>
              <w:t>visits</w:t>
            </w:r>
            <w:r>
              <w:rPr>
                <w:rFonts w:ascii="Arial"/>
                <w:spacing w:val="-6"/>
                <w:sz w:val="18"/>
              </w:rPr>
              <w:t> </w:t>
            </w:r>
            <w:r>
              <w:rPr>
                <w:rFonts w:ascii="Arial"/>
                <w:sz w:val="18"/>
              </w:rPr>
              <w:t>for</w:t>
            </w:r>
            <w:r>
              <w:rPr>
                <w:rFonts w:ascii="Arial"/>
                <w:spacing w:val="-5"/>
                <w:sz w:val="18"/>
              </w:rPr>
              <w:t> </w:t>
            </w:r>
            <w:r>
              <w:rPr>
                <w:rFonts w:ascii="Arial"/>
                <w:sz w:val="18"/>
              </w:rPr>
              <w:t>enrollees</w:t>
            </w:r>
            <w:r>
              <w:rPr>
                <w:rFonts w:ascii="Arial"/>
                <w:spacing w:val="-4"/>
                <w:sz w:val="18"/>
              </w:rPr>
              <w:t> </w:t>
            </w:r>
            <w:r>
              <w:rPr>
                <w:rFonts w:ascii="Arial"/>
                <w:sz w:val="18"/>
              </w:rPr>
              <w:t>18</w:t>
            </w:r>
            <w:r>
              <w:rPr>
                <w:rFonts w:ascii="Arial"/>
                <w:spacing w:val="-4"/>
                <w:sz w:val="18"/>
              </w:rPr>
              <w:t> </w:t>
            </w:r>
            <w:r>
              <w:rPr>
                <w:rFonts w:ascii="Arial"/>
                <w:sz w:val="18"/>
              </w:rPr>
              <w:t>to 64 years of age that had a follow-up visit within 7 days of the ED visit</w:t>
            </w:r>
          </w:p>
        </w:tc>
        <w:tc>
          <w:tcPr>
            <w:tcW w:w="1260" w:type="dxa"/>
          </w:tcPr>
          <w:p>
            <w:pPr>
              <w:pStyle w:val="TableParagraph"/>
              <w:spacing w:before="3"/>
              <w:rPr>
                <w:i/>
                <w:sz w:val="28"/>
              </w:rPr>
            </w:pPr>
          </w:p>
          <w:p>
            <w:pPr>
              <w:pStyle w:val="TableParagraph"/>
              <w:ind w:left="133" w:right="121"/>
              <w:jc w:val="center"/>
              <w:rPr>
                <w:rFonts w:ascii="Arial"/>
                <w:sz w:val="18"/>
              </w:rPr>
            </w:pPr>
            <w:r>
              <w:rPr>
                <w:rFonts w:ascii="Arial"/>
                <w:spacing w:val="-4"/>
                <w:sz w:val="18"/>
              </w:rPr>
              <w:t>Admin</w:t>
            </w:r>
          </w:p>
        </w:tc>
        <w:tc>
          <w:tcPr>
            <w:tcW w:w="1260" w:type="dxa"/>
          </w:tcPr>
          <w:p>
            <w:pPr>
              <w:pStyle w:val="TableParagraph"/>
              <w:spacing w:before="3"/>
              <w:rPr>
                <w:i/>
                <w:sz w:val="28"/>
              </w:rPr>
            </w:pPr>
          </w:p>
          <w:p>
            <w:pPr>
              <w:pStyle w:val="TableParagraph"/>
              <w:ind w:right="271"/>
              <w:jc w:val="right"/>
              <w:rPr>
                <w:rFonts w:ascii="Arial"/>
                <w:sz w:val="18"/>
              </w:rPr>
            </w:pPr>
            <w:r>
              <w:rPr>
                <w:rFonts w:ascii="Arial"/>
                <w:sz w:val="18"/>
              </w:rPr>
              <w:t>Q2 </w:t>
            </w:r>
            <w:r>
              <w:rPr>
                <w:rFonts w:ascii="Arial"/>
                <w:spacing w:val="-4"/>
                <w:sz w:val="18"/>
              </w:rPr>
              <w:t>2021</w:t>
            </w:r>
          </w:p>
        </w:tc>
        <w:tc>
          <w:tcPr>
            <w:tcW w:w="1260" w:type="dxa"/>
          </w:tcPr>
          <w:p>
            <w:pPr>
              <w:pStyle w:val="TableParagraph"/>
              <w:spacing w:before="3"/>
              <w:rPr>
                <w:i/>
                <w:sz w:val="19"/>
              </w:rPr>
            </w:pPr>
          </w:p>
          <w:p>
            <w:pPr>
              <w:pStyle w:val="TableParagraph"/>
              <w:ind w:left="309" w:right="290" w:firstLine="184"/>
              <w:rPr>
                <w:rFonts w:ascii="Arial"/>
                <w:sz w:val="18"/>
              </w:rPr>
            </w:pPr>
            <w:r>
              <w:rPr>
                <w:rFonts w:ascii="Arial"/>
                <w:spacing w:val="-6"/>
                <w:sz w:val="18"/>
              </w:rPr>
              <w:t>MA </w:t>
            </w:r>
            <w:r>
              <w:rPr>
                <w:rFonts w:ascii="Arial"/>
                <w:spacing w:val="-2"/>
                <w:sz w:val="18"/>
              </w:rPr>
              <w:t>EOHHS</w:t>
            </w:r>
          </w:p>
        </w:tc>
        <w:tc>
          <w:tcPr>
            <w:tcW w:w="900" w:type="dxa"/>
          </w:tcPr>
          <w:p>
            <w:pPr>
              <w:pStyle w:val="TableParagraph"/>
              <w:spacing w:before="3"/>
              <w:rPr>
                <w:i/>
                <w:sz w:val="28"/>
              </w:rPr>
            </w:pPr>
          </w:p>
          <w:p>
            <w:pPr>
              <w:pStyle w:val="TableParagraph"/>
              <w:ind w:right="287"/>
              <w:jc w:val="right"/>
              <w:rPr>
                <w:rFonts w:ascii="Arial"/>
                <w:sz w:val="18"/>
              </w:rPr>
            </w:pPr>
            <w:r>
              <w:rPr>
                <w:rFonts w:ascii="Arial"/>
                <w:spacing w:val="-5"/>
                <w:sz w:val="18"/>
              </w:rPr>
              <w:t>N/A</w:t>
            </w:r>
          </w:p>
        </w:tc>
        <w:tc>
          <w:tcPr>
            <w:tcW w:w="900" w:type="dxa"/>
          </w:tcPr>
          <w:p>
            <w:pPr>
              <w:pStyle w:val="TableParagraph"/>
              <w:spacing w:before="3"/>
              <w:rPr>
                <w:i/>
                <w:sz w:val="28"/>
              </w:rPr>
            </w:pPr>
          </w:p>
          <w:p>
            <w:pPr>
              <w:pStyle w:val="TableParagraph"/>
              <w:ind w:left="8"/>
              <w:jc w:val="center"/>
              <w:rPr>
                <w:rFonts w:ascii="Arial"/>
                <w:sz w:val="18"/>
              </w:rPr>
            </w:pPr>
            <w:r>
              <w:rPr>
                <w:rFonts w:ascii="Arial"/>
                <w:sz w:val="18"/>
              </w:rPr>
              <w:t>R</w:t>
            </w:r>
          </w:p>
        </w:tc>
        <w:tc>
          <w:tcPr>
            <w:tcW w:w="900" w:type="dxa"/>
          </w:tcPr>
          <w:p>
            <w:pPr>
              <w:pStyle w:val="TableParagraph"/>
              <w:spacing w:before="3"/>
              <w:rPr>
                <w:i/>
                <w:sz w:val="28"/>
              </w:rPr>
            </w:pPr>
          </w:p>
          <w:p>
            <w:pPr>
              <w:pStyle w:val="TableParagraph"/>
              <w:ind w:left="8"/>
              <w:jc w:val="center"/>
              <w:rPr>
                <w:rFonts w:ascii="Arial"/>
                <w:sz w:val="18"/>
              </w:rPr>
            </w:pPr>
            <w:r>
              <w:rPr>
                <w:rFonts w:ascii="Arial"/>
                <w:sz w:val="18"/>
              </w:rPr>
              <w:t>R</w:t>
            </w:r>
          </w:p>
        </w:tc>
        <w:tc>
          <w:tcPr>
            <w:tcW w:w="989" w:type="dxa"/>
          </w:tcPr>
          <w:p>
            <w:pPr>
              <w:pStyle w:val="TableParagraph"/>
              <w:spacing w:before="7"/>
              <w:rPr>
                <w:i/>
                <w:sz w:val="27"/>
              </w:rPr>
            </w:pPr>
          </w:p>
          <w:p>
            <w:pPr>
              <w:pStyle w:val="TableParagraph"/>
              <w:ind w:left="10"/>
              <w:jc w:val="center"/>
              <w:rPr>
                <w:rFonts w:ascii="Arial"/>
                <w:sz w:val="18"/>
              </w:rPr>
            </w:pPr>
            <w:r>
              <w:rPr>
                <w:rFonts w:ascii="Arial"/>
                <w:sz w:val="18"/>
              </w:rPr>
              <w:t>R</w:t>
            </w:r>
          </w:p>
        </w:tc>
        <w:tc>
          <w:tcPr>
            <w:tcW w:w="811" w:type="dxa"/>
          </w:tcPr>
          <w:p>
            <w:pPr>
              <w:pStyle w:val="TableParagraph"/>
              <w:spacing w:before="3"/>
              <w:rPr>
                <w:i/>
                <w:sz w:val="28"/>
              </w:rPr>
            </w:pPr>
          </w:p>
          <w:p>
            <w:pPr>
              <w:pStyle w:val="TableParagraph"/>
              <w:ind w:left="5"/>
              <w:jc w:val="center"/>
              <w:rPr>
                <w:rFonts w:ascii="Arial"/>
                <w:sz w:val="18"/>
              </w:rPr>
            </w:pPr>
            <w:r>
              <w:rPr>
                <w:rFonts w:ascii="Arial"/>
                <w:sz w:val="18"/>
              </w:rPr>
              <w:t>P</w:t>
            </w:r>
          </w:p>
        </w:tc>
        <w:tc>
          <w:tcPr>
            <w:tcW w:w="720" w:type="dxa"/>
          </w:tcPr>
          <w:p>
            <w:pPr>
              <w:pStyle w:val="TableParagraph"/>
              <w:spacing w:before="3"/>
              <w:rPr>
                <w:i/>
                <w:sz w:val="28"/>
              </w:rPr>
            </w:pPr>
          </w:p>
          <w:p>
            <w:pPr>
              <w:pStyle w:val="TableParagraph"/>
              <w:ind w:left="10"/>
              <w:jc w:val="center"/>
              <w:rPr>
                <w:rFonts w:ascii="Arial"/>
                <w:sz w:val="18"/>
              </w:rPr>
            </w:pPr>
            <w:r>
              <w:rPr>
                <w:rFonts w:ascii="Arial"/>
                <w:sz w:val="18"/>
              </w:rPr>
              <w:t>P</w:t>
            </w:r>
          </w:p>
        </w:tc>
      </w:tr>
      <w:tr>
        <w:trPr>
          <w:trHeight w:val="438" w:hRule="atLeast"/>
        </w:trPr>
        <w:tc>
          <w:tcPr>
            <w:tcW w:w="15211" w:type="dxa"/>
            <w:gridSpan w:val="12"/>
          </w:tcPr>
          <w:p>
            <w:pPr>
              <w:pStyle w:val="TableParagraph"/>
              <w:spacing w:before="116"/>
              <w:ind w:left="107"/>
              <w:rPr>
                <w:rFonts w:ascii="Arial"/>
                <w:b/>
                <w:sz w:val="18"/>
              </w:rPr>
            </w:pPr>
            <w:r>
              <w:rPr>
                <w:rFonts w:ascii="Arial"/>
                <w:b/>
                <w:sz w:val="18"/>
              </w:rPr>
              <w:t>Domain</w:t>
            </w:r>
            <w:r>
              <w:rPr>
                <w:rFonts w:ascii="Arial"/>
                <w:b/>
                <w:spacing w:val="-2"/>
                <w:sz w:val="18"/>
              </w:rPr>
              <w:t> </w:t>
            </w:r>
            <w:r>
              <w:rPr>
                <w:rFonts w:ascii="Arial"/>
                <w:b/>
                <w:sz w:val="18"/>
              </w:rPr>
              <w:t>2:</w:t>
            </w:r>
            <w:r>
              <w:rPr>
                <w:rFonts w:ascii="Arial"/>
                <w:b/>
                <w:spacing w:val="-4"/>
                <w:sz w:val="18"/>
              </w:rPr>
              <w:t> </w:t>
            </w:r>
            <w:r>
              <w:rPr>
                <w:rFonts w:ascii="Arial"/>
                <w:b/>
                <w:sz w:val="18"/>
              </w:rPr>
              <w:t>Population</w:t>
            </w:r>
            <w:r>
              <w:rPr>
                <w:rFonts w:ascii="Arial"/>
                <w:b/>
                <w:spacing w:val="-1"/>
                <w:sz w:val="18"/>
              </w:rPr>
              <w:t> </w:t>
            </w:r>
            <w:r>
              <w:rPr>
                <w:rFonts w:ascii="Arial"/>
                <w:b/>
                <w:spacing w:val="-2"/>
                <w:sz w:val="18"/>
              </w:rPr>
              <w:t>Health</w:t>
            </w:r>
          </w:p>
        </w:tc>
      </w:tr>
      <w:tr>
        <w:trPr>
          <w:trHeight w:val="861" w:hRule="atLeast"/>
        </w:trPr>
        <w:tc>
          <w:tcPr>
            <w:tcW w:w="540" w:type="dxa"/>
          </w:tcPr>
          <w:p>
            <w:pPr>
              <w:pStyle w:val="TableParagraph"/>
              <w:spacing w:before="5"/>
              <w:rPr>
                <w:i/>
                <w:sz w:val="28"/>
              </w:rPr>
            </w:pPr>
          </w:p>
          <w:p>
            <w:pPr>
              <w:pStyle w:val="TableParagraph"/>
              <w:ind w:left="6"/>
              <w:jc w:val="center"/>
              <w:rPr>
                <w:rFonts w:ascii="Arial"/>
                <w:sz w:val="18"/>
              </w:rPr>
            </w:pPr>
            <w:r>
              <w:rPr>
                <w:rFonts w:ascii="Arial"/>
                <w:sz w:val="18"/>
              </w:rPr>
              <w:t>5</w:t>
            </w:r>
          </w:p>
        </w:tc>
        <w:tc>
          <w:tcPr>
            <w:tcW w:w="1891" w:type="dxa"/>
          </w:tcPr>
          <w:p>
            <w:pPr>
              <w:pStyle w:val="TableParagraph"/>
              <w:spacing w:before="121"/>
              <w:ind w:left="789" w:hanging="653"/>
              <w:rPr>
                <w:rFonts w:ascii="Arial"/>
                <w:sz w:val="18"/>
              </w:rPr>
            </w:pPr>
            <w:r>
              <w:rPr>
                <w:rFonts w:ascii="Arial"/>
                <w:sz w:val="18"/>
              </w:rPr>
              <w:t>Annual</w:t>
            </w:r>
            <w:r>
              <w:rPr>
                <w:rFonts w:ascii="Arial"/>
                <w:spacing w:val="-15"/>
                <w:sz w:val="18"/>
              </w:rPr>
              <w:t> </w:t>
            </w:r>
            <w:r>
              <w:rPr>
                <w:rFonts w:ascii="Arial"/>
                <w:sz w:val="18"/>
              </w:rPr>
              <w:t>primary</w:t>
            </w:r>
            <w:r>
              <w:rPr>
                <w:rFonts w:ascii="Arial"/>
                <w:spacing w:val="-12"/>
                <w:sz w:val="18"/>
              </w:rPr>
              <w:t> </w:t>
            </w:r>
            <w:r>
              <w:rPr>
                <w:rFonts w:ascii="Arial"/>
                <w:sz w:val="18"/>
              </w:rPr>
              <w:t>care </w:t>
            </w:r>
            <w:r>
              <w:rPr>
                <w:rFonts w:ascii="Arial"/>
                <w:spacing w:val="-2"/>
                <w:sz w:val="18"/>
              </w:rPr>
              <w:t>visit</w:t>
            </w:r>
          </w:p>
        </w:tc>
        <w:tc>
          <w:tcPr>
            <w:tcW w:w="3780" w:type="dxa"/>
          </w:tcPr>
          <w:p>
            <w:pPr>
              <w:pStyle w:val="TableParagraph"/>
              <w:spacing w:before="121"/>
              <w:ind w:left="148" w:right="133" w:firstLine="93"/>
              <w:jc w:val="both"/>
              <w:rPr>
                <w:rFonts w:ascii="Arial"/>
                <w:sz w:val="18"/>
              </w:rPr>
            </w:pPr>
            <w:r>
              <w:rPr>
                <w:rFonts w:ascii="Arial"/>
                <w:sz w:val="18"/>
              </w:rPr>
              <w:t>Percentage of enrollees 18 to 64 years of age who had at least one comprehensive well-care</w:t>
            </w:r>
            <w:r>
              <w:rPr>
                <w:rFonts w:ascii="Arial"/>
                <w:spacing w:val="-2"/>
                <w:sz w:val="18"/>
              </w:rPr>
              <w:t> </w:t>
            </w:r>
            <w:r>
              <w:rPr>
                <w:rFonts w:ascii="Arial"/>
                <w:sz w:val="18"/>
              </w:rPr>
              <w:t>visit</w:t>
            </w:r>
            <w:r>
              <w:rPr>
                <w:rFonts w:ascii="Arial"/>
                <w:spacing w:val="-3"/>
                <w:sz w:val="18"/>
              </w:rPr>
              <w:t> </w:t>
            </w:r>
            <w:r>
              <w:rPr>
                <w:rFonts w:ascii="Arial"/>
                <w:sz w:val="18"/>
              </w:rPr>
              <w:t>during</w:t>
            </w:r>
            <w:r>
              <w:rPr>
                <w:rFonts w:ascii="Arial"/>
                <w:spacing w:val="-2"/>
                <w:sz w:val="18"/>
              </w:rPr>
              <w:t> </w:t>
            </w:r>
            <w:r>
              <w:rPr>
                <w:rFonts w:ascii="Arial"/>
                <w:sz w:val="18"/>
              </w:rPr>
              <w:t>the</w:t>
            </w:r>
            <w:r>
              <w:rPr>
                <w:rFonts w:ascii="Arial"/>
                <w:spacing w:val="-5"/>
                <w:sz w:val="18"/>
              </w:rPr>
              <w:t> </w:t>
            </w:r>
            <w:r>
              <w:rPr>
                <w:rFonts w:ascii="Arial"/>
                <w:sz w:val="18"/>
              </w:rPr>
              <w:t>measurement</w:t>
            </w:r>
            <w:r>
              <w:rPr>
                <w:rFonts w:ascii="Arial"/>
                <w:spacing w:val="-2"/>
                <w:sz w:val="18"/>
              </w:rPr>
              <w:t> </w:t>
            </w:r>
            <w:r>
              <w:rPr>
                <w:rFonts w:ascii="Arial"/>
                <w:spacing w:val="-4"/>
                <w:sz w:val="18"/>
              </w:rPr>
              <w:t>year</w:t>
            </w:r>
          </w:p>
        </w:tc>
        <w:tc>
          <w:tcPr>
            <w:tcW w:w="1260" w:type="dxa"/>
          </w:tcPr>
          <w:p>
            <w:pPr>
              <w:pStyle w:val="TableParagraph"/>
              <w:spacing w:before="5"/>
              <w:rPr>
                <w:i/>
                <w:sz w:val="28"/>
              </w:rPr>
            </w:pPr>
          </w:p>
          <w:p>
            <w:pPr>
              <w:pStyle w:val="TableParagraph"/>
              <w:ind w:left="133" w:right="121"/>
              <w:jc w:val="center"/>
              <w:rPr>
                <w:rFonts w:ascii="Arial"/>
                <w:sz w:val="18"/>
              </w:rPr>
            </w:pPr>
            <w:r>
              <w:rPr>
                <w:rFonts w:ascii="Arial"/>
                <w:spacing w:val="-4"/>
                <w:sz w:val="18"/>
              </w:rPr>
              <w:t>Admin</w:t>
            </w:r>
          </w:p>
        </w:tc>
        <w:tc>
          <w:tcPr>
            <w:tcW w:w="1260" w:type="dxa"/>
          </w:tcPr>
          <w:p>
            <w:pPr>
              <w:pStyle w:val="TableParagraph"/>
              <w:spacing w:before="5"/>
              <w:rPr>
                <w:i/>
                <w:sz w:val="28"/>
              </w:rPr>
            </w:pPr>
          </w:p>
          <w:p>
            <w:pPr>
              <w:pStyle w:val="TableParagraph"/>
              <w:ind w:right="271"/>
              <w:jc w:val="right"/>
              <w:rPr>
                <w:rFonts w:ascii="Arial"/>
                <w:sz w:val="18"/>
              </w:rPr>
            </w:pPr>
            <w:r>
              <w:rPr>
                <w:rFonts w:ascii="Arial"/>
                <w:sz w:val="18"/>
              </w:rPr>
              <w:t>Q4 </w:t>
            </w:r>
            <w:r>
              <w:rPr>
                <w:rFonts w:ascii="Arial"/>
                <w:spacing w:val="-4"/>
                <w:sz w:val="18"/>
              </w:rPr>
              <w:t>2021</w:t>
            </w:r>
          </w:p>
        </w:tc>
        <w:tc>
          <w:tcPr>
            <w:tcW w:w="1260" w:type="dxa"/>
          </w:tcPr>
          <w:p>
            <w:pPr>
              <w:pStyle w:val="TableParagraph"/>
              <w:spacing w:before="5"/>
              <w:rPr>
                <w:i/>
                <w:sz w:val="28"/>
              </w:rPr>
            </w:pPr>
          </w:p>
          <w:p>
            <w:pPr>
              <w:pStyle w:val="TableParagraph"/>
              <w:ind w:left="133" w:right="128"/>
              <w:jc w:val="center"/>
              <w:rPr>
                <w:rFonts w:ascii="Arial"/>
                <w:sz w:val="18"/>
              </w:rPr>
            </w:pPr>
            <w:r>
              <w:rPr>
                <w:rFonts w:ascii="Arial"/>
                <w:sz w:val="18"/>
              </w:rPr>
              <w:t>MA</w:t>
            </w:r>
            <w:r>
              <w:rPr>
                <w:rFonts w:ascii="Arial"/>
                <w:spacing w:val="-2"/>
                <w:sz w:val="18"/>
              </w:rPr>
              <w:t> EOHHS</w:t>
            </w:r>
          </w:p>
        </w:tc>
        <w:tc>
          <w:tcPr>
            <w:tcW w:w="900" w:type="dxa"/>
          </w:tcPr>
          <w:p>
            <w:pPr>
              <w:pStyle w:val="TableParagraph"/>
              <w:spacing w:before="5"/>
              <w:rPr>
                <w:i/>
                <w:sz w:val="28"/>
              </w:rPr>
            </w:pPr>
          </w:p>
          <w:p>
            <w:pPr>
              <w:pStyle w:val="TableParagraph"/>
              <w:ind w:right="287"/>
              <w:jc w:val="right"/>
              <w:rPr>
                <w:rFonts w:ascii="Arial"/>
                <w:sz w:val="18"/>
              </w:rPr>
            </w:pPr>
            <w:r>
              <w:rPr>
                <w:rFonts w:ascii="Arial"/>
                <w:spacing w:val="-5"/>
                <w:sz w:val="18"/>
              </w:rPr>
              <w:t>N/A</w:t>
            </w:r>
          </w:p>
        </w:tc>
        <w:tc>
          <w:tcPr>
            <w:tcW w:w="900" w:type="dxa"/>
          </w:tcPr>
          <w:p>
            <w:pPr>
              <w:pStyle w:val="TableParagraph"/>
              <w:spacing w:before="5"/>
              <w:rPr>
                <w:i/>
                <w:sz w:val="28"/>
              </w:rPr>
            </w:pPr>
          </w:p>
          <w:p>
            <w:pPr>
              <w:pStyle w:val="TableParagraph"/>
              <w:ind w:left="8"/>
              <w:jc w:val="center"/>
              <w:rPr>
                <w:rFonts w:ascii="Arial"/>
                <w:sz w:val="18"/>
              </w:rPr>
            </w:pPr>
            <w:r>
              <w:rPr>
                <w:rFonts w:ascii="Arial"/>
                <w:sz w:val="18"/>
              </w:rPr>
              <w:t>R</w:t>
            </w:r>
          </w:p>
        </w:tc>
        <w:tc>
          <w:tcPr>
            <w:tcW w:w="900" w:type="dxa"/>
          </w:tcPr>
          <w:p>
            <w:pPr>
              <w:pStyle w:val="TableParagraph"/>
              <w:spacing w:before="5"/>
              <w:rPr>
                <w:i/>
                <w:sz w:val="28"/>
              </w:rPr>
            </w:pPr>
          </w:p>
          <w:p>
            <w:pPr>
              <w:pStyle w:val="TableParagraph"/>
              <w:ind w:left="8"/>
              <w:jc w:val="center"/>
              <w:rPr>
                <w:rFonts w:ascii="Arial"/>
                <w:sz w:val="18"/>
              </w:rPr>
            </w:pPr>
            <w:r>
              <w:rPr>
                <w:rFonts w:ascii="Arial"/>
                <w:sz w:val="18"/>
              </w:rPr>
              <w:t>R</w:t>
            </w:r>
          </w:p>
        </w:tc>
        <w:tc>
          <w:tcPr>
            <w:tcW w:w="989" w:type="dxa"/>
          </w:tcPr>
          <w:p>
            <w:pPr>
              <w:pStyle w:val="TableParagraph"/>
              <w:spacing w:before="5"/>
              <w:rPr>
                <w:i/>
                <w:sz w:val="28"/>
              </w:rPr>
            </w:pPr>
          </w:p>
          <w:p>
            <w:pPr>
              <w:pStyle w:val="TableParagraph"/>
              <w:ind w:left="110" w:right="100"/>
              <w:jc w:val="center"/>
              <w:rPr>
                <w:rFonts w:ascii="Arial"/>
                <w:sz w:val="18"/>
              </w:rPr>
            </w:pPr>
            <w:r>
              <w:rPr>
                <w:rFonts w:ascii="Arial"/>
                <w:sz w:val="18"/>
              </w:rPr>
              <w:t>P </w:t>
            </w:r>
            <w:r>
              <w:rPr>
                <w:rFonts w:ascii="Arial"/>
                <w:spacing w:val="-2"/>
                <w:sz w:val="18"/>
              </w:rPr>
              <w:t>(19/20)</w:t>
            </w:r>
          </w:p>
        </w:tc>
        <w:tc>
          <w:tcPr>
            <w:tcW w:w="811" w:type="dxa"/>
          </w:tcPr>
          <w:p>
            <w:pPr>
              <w:pStyle w:val="TableParagraph"/>
              <w:spacing w:before="5"/>
              <w:rPr>
                <w:i/>
                <w:sz w:val="28"/>
              </w:rPr>
            </w:pPr>
          </w:p>
          <w:p>
            <w:pPr>
              <w:pStyle w:val="TableParagraph"/>
              <w:ind w:left="5"/>
              <w:jc w:val="center"/>
              <w:rPr>
                <w:rFonts w:ascii="Arial"/>
                <w:sz w:val="18"/>
              </w:rPr>
            </w:pPr>
            <w:r>
              <w:rPr>
                <w:rFonts w:ascii="Arial"/>
                <w:sz w:val="18"/>
              </w:rPr>
              <w:t>P</w:t>
            </w:r>
          </w:p>
        </w:tc>
        <w:tc>
          <w:tcPr>
            <w:tcW w:w="720" w:type="dxa"/>
          </w:tcPr>
          <w:p>
            <w:pPr>
              <w:pStyle w:val="TableParagraph"/>
              <w:spacing w:before="5"/>
              <w:rPr>
                <w:i/>
                <w:sz w:val="28"/>
              </w:rPr>
            </w:pPr>
          </w:p>
          <w:p>
            <w:pPr>
              <w:pStyle w:val="TableParagraph"/>
              <w:ind w:left="10"/>
              <w:jc w:val="center"/>
              <w:rPr>
                <w:rFonts w:ascii="Arial"/>
                <w:sz w:val="18"/>
              </w:rPr>
            </w:pPr>
            <w:r>
              <w:rPr>
                <w:rFonts w:ascii="Arial"/>
                <w:sz w:val="18"/>
              </w:rPr>
              <w:t>P</w:t>
            </w:r>
          </w:p>
        </w:tc>
      </w:tr>
      <w:tr>
        <w:trPr>
          <w:trHeight w:val="1689" w:hRule="atLeast"/>
        </w:trPr>
        <w:tc>
          <w:tcPr>
            <w:tcW w:w="540" w:type="dxa"/>
          </w:tcPr>
          <w:p>
            <w:pPr>
              <w:pStyle w:val="TableParagraph"/>
              <w:rPr>
                <w:i/>
                <w:sz w:val="20"/>
              </w:rPr>
            </w:pPr>
          </w:p>
          <w:p>
            <w:pPr>
              <w:pStyle w:val="TableParagraph"/>
              <w:rPr>
                <w:i/>
                <w:sz w:val="20"/>
              </w:rPr>
            </w:pPr>
          </w:p>
          <w:p>
            <w:pPr>
              <w:pStyle w:val="TableParagraph"/>
              <w:spacing w:before="4"/>
              <w:rPr>
                <w:i/>
                <w:sz w:val="24"/>
              </w:rPr>
            </w:pPr>
          </w:p>
          <w:p>
            <w:pPr>
              <w:pStyle w:val="TableParagraph"/>
              <w:ind w:left="6"/>
              <w:jc w:val="center"/>
              <w:rPr>
                <w:rFonts w:ascii="Arial"/>
                <w:sz w:val="18"/>
              </w:rPr>
            </w:pPr>
            <w:r>
              <w:rPr>
                <w:rFonts w:ascii="Arial"/>
                <w:sz w:val="18"/>
              </w:rPr>
              <w:t>7</w:t>
            </w:r>
          </w:p>
        </w:tc>
        <w:tc>
          <w:tcPr>
            <w:tcW w:w="1891" w:type="dxa"/>
          </w:tcPr>
          <w:p>
            <w:pPr>
              <w:pStyle w:val="TableParagraph"/>
              <w:spacing w:before="119"/>
              <w:ind w:left="266" w:right="258" w:hanging="2"/>
              <w:jc w:val="center"/>
              <w:rPr>
                <w:rFonts w:ascii="Arial"/>
                <w:sz w:val="18"/>
              </w:rPr>
            </w:pPr>
            <w:r>
              <w:rPr>
                <w:rFonts w:ascii="Arial"/>
                <w:sz w:val="18"/>
              </w:rPr>
              <w:t>Initiation and Engagement of Alcohol,</w:t>
            </w:r>
            <w:r>
              <w:rPr>
                <w:rFonts w:ascii="Arial"/>
                <w:spacing w:val="-15"/>
                <w:sz w:val="18"/>
              </w:rPr>
              <w:t> </w:t>
            </w:r>
            <w:r>
              <w:rPr>
                <w:rFonts w:ascii="Arial"/>
                <w:sz w:val="18"/>
              </w:rPr>
              <w:t>or</w:t>
            </w:r>
            <w:r>
              <w:rPr>
                <w:rFonts w:ascii="Arial"/>
                <w:spacing w:val="-12"/>
                <w:sz w:val="18"/>
              </w:rPr>
              <w:t> </w:t>
            </w:r>
            <w:r>
              <w:rPr>
                <w:rFonts w:ascii="Arial"/>
                <w:sz w:val="18"/>
              </w:rPr>
              <w:t>Other Drug Abuse or </w:t>
            </w:r>
            <w:r>
              <w:rPr>
                <w:rFonts w:ascii="Arial"/>
                <w:spacing w:val="-2"/>
                <w:sz w:val="18"/>
              </w:rPr>
              <w:t>Dependence Treatment**</w:t>
            </w:r>
          </w:p>
        </w:tc>
        <w:tc>
          <w:tcPr>
            <w:tcW w:w="3780" w:type="dxa"/>
          </w:tcPr>
          <w:p>
            <w:pPr>
              <w:pStyle w:val="TableParagraph"/>
              <w:spacing w:before="119"/>
              <w:ind w:left="137" w:right="125"/>
              <w:jc w:val="center"/>
              <w:rPr>
                <w:rFonts w:ascii="Arial" w:hAnsi="Arial"/>
                <w:sz w:val="18"/>
              </w:rPr>
            </w:pPr>
            <w:r>
              <w:rPr>
                <w:rFonts w:ascii="Arial" w:hAnsi="Arial"/>
                <w:sz w:val="18"/>
              </w:rPr>
              <w:t>Percentage of members 13 to 64 years of age who are diagnosed with a</w:t>
            </w:r>
            <w:r>
              <w:rPr>
                <w:rFonts w:ascii="Arial" w:hAnsi="Arial"/>
                <w:spacing w:val="-2"/>
                <w:sz w:val="18"/>
              </w:rPr>
              <w:t> </w:t>
            </w:r>
            <w:r>
              <w:rPr>
                <w:rFonts w:ascii="Arial" w:hAnsi="Arial"/>
                <w:sz w:val="18"/>
              </w:rPr>
              <w:t>new episode of alcohol, opioid, or other drug abuse or dependency</w:t>
            </w:r>
            <w:r>
              <w:rPr>
                <w:rFonts w:ascii="Arial" w:hAnsi="Arial"/>
                <w:spacing w:val="-8"/>
                <w:sz w:val="18"/>
              </w:rPr>
              <w:t> </w:t>
            </w:r>
            <w:r>
              <w:rPr>
                <w:rFonts w:ascii="Arial" w:hAnsi="Arial"/>
                <w:sz w:val="18"/>
              </w:rPr>
              <w:t>who</w:t>
            </w:r>
            <w:r>
              <w:rPr>
                <w:rFonts w:ascii="Arial" w:hAnsi="Arial"/>
                <w:spacing w:val="-6"/>
                <w:sz w:val="18"/>
              </w:rPr>
              <w:t> </w:t>
            </w:r>
            <w:r>
              <w:rPr>
                <w:rFonts w:ascii="Arial" w:hAnsi="Arial"/>
                <w:sz w:val="18"/>
              </w:rPr>
              <w:t>initiate</w:t>
            </w:r>
            <w:r>
              <w:rPr>
                <w:rFonts w:ascii="Arial" w:hAnsi="Arial"/>
                <w:spacing w:val="-9"/>
                <w:sz w:val="18"/>
              </w:rPr>
              <w:t> </w:t>
            </w:r>
            <w:r>
              <w:rPr>
                <w:rFonts w:ascii="Arial" w:hAnsi="Arial"/>
                <w:sz w:val="18"/>
              </w:rPr>
              <w:t>treatment</w:t>
            </w:r>
            <w:r>
              <w:rPr>
                <w:rFonts w:ascii="Arial" w:hAnsi="Arial"/>
                <w:spacing w:val="-7"/>
                <w:sz w:val="18"/>
              </w:rPr>
              <w:t> </w:t>
            </w:r>
            <w:r>
              <w:rPr>
                <w:rFonts w:ascii="Arial" w:hAnsi="Arial"/>
                <w:sz w:val="18"/>
              </w:rPr>
              <w:t>within</w:t>
            </w:r>
            <w:r>
              <w:rPr>
                <w:rFonts w:ascii="Arial" w:hAnsi="Arial"/>
                <w:spacing w:val="-6"/>
                <w:sz w:val="18"/>
              </w:rPr>
              <w:t> </w:t>
            </w:r>
            <w:r>
              <w:rPr>
                <w:rFonts w:ascii="Arial" w:hAnsi="Arial"/>
                <w:sz w:val="18"/>
              </w:rPr>
              <w:t>14 days of diagnosis and who receive at ≥2 additional services within 30 days of the initiation visit</w:t>
            </w:r>
          </w:p>
        </w:tc>
        <w:tc>
          <w:tcPr>
            <w:tcW w:w="1260" w:type="dxa"/>
          </w:tcPr>
          <w:p>
            <w:pPr>
              <w:pStyle w:val="TableParagraph"/>
              <w:rPr>
                <w:i/>
                <w:sz w:val="20"/>
              </w:rPr>
            </w:pPr>
          </w:p>
          <w:p>
            <w:pPr>
              <w:pStyle w:val="TableParagraph"/>
              <w:rPr>
                <w:i/>
                <w:sz w:val="20"/>
              </w:rPr>
            </w:pPr>
          </w:p>
          <w:p>
            <w:pPr>
              <w:pStyle w:val="TableParagraph"/>
              <w:spacing w:before="5"/>
              <w:rPr>
                <w:i/>
                <w:sz w:val="24"/>
              </w:rPr>
            </w:pPr>
          </w:p>
          <w:p>
            <w:pPr>
              <w:pStyle w:val="TableParagraph"/>
              <w:ind w:left="133" w:right="122"/>
              <w:jc w:val="center"/>
              <w:rPr>
                <w:rFonts w:ascii="Arial"/>
                <w:sz w:val="18"/>
              </w:rPr>
            </w:pPr>
            <w:r>
              <w:rPr>
                <w:rFonts w:ascii="Arial"/>
                <w:spacing w:val="-4"/>
                <w:sz w:val="18"/>
              </w:rPr>
              <w:t>Admin</w:t>
            </w:r>
          </w:p>
        </w:tc>
        <w:tc>
          <w:tcPr>
            <w:tcW w:w="1260" w:type="dxa"/>
          </w:tcPr>
          <w:p>
            <w:pPr>
              <w:pStyle w:val="TableParagraph"/>
              <w:rPr>
                <w:i/>
                <w:sz w:val="20"/>
              </w:rPr>
            </w:pPr>
          </w:p>
          <w:p>
            <w:pPr>
              <w:pStyle w:val="TableParagraph"/>
              <w:rPr>
                <w:i/>
                <w:sz w:val="20"/>
              </w:rPr>
            </w:pPr>
          </w:p>
          <w:p>
            <w:pPr>
              <w:pStyle w:val="TableParagraph"/>
              <w:spacing w:before="5"/>
              <w:rPr>
                <w:i/>
                <w:sz w:val="24"/>
              </w:rPr>
            </w:pPr>
          </w:p>
          <w:p>
            <w:pPr>
              <w:pStyle w:val="TableParagraph"/>
              <w:ind w:right="271"/>
              <w:jc w:val="right"/>
              <w:rPr>
                <w:rFonts w:ascii="Arial"/>
                <w:sz w:val="18"/>
              </w:rPr>
            </w:pPr>
            <w:r>
              <w:rPr>
                <w:rFonts w:ascii="Arial"/>
                <w:sz w:val="18"/>
              </w:rPr>
              <w:t>Q2 </w:t>
            </w:r>
            <w:r>
              <w:rPr>
                <w:rFonts w:ascii="Arial"/>
                <w:spacing w:val="-4"/>
                <w:sz w:val="18"/>
              </w:rPr>
              <w:t>2021</w:t>
            </w:r>
          </w:p>
        </w:tc>
        <w:tc>
          <w:tcPr>
            <w:tcW w:w="1260" w:type="dxa"/>
          </w:tcPr>
          <w:p>
            <w:pPr>
              <w:pStyle w:val="TableParagraph"/>
              <w:rPr>
                <w:i/>
                <w:sz w:val="20"/>
              </w:rPr>
            </w:pPr>
          </w:p>
          <w:p>
            <w:pPr>
              <w:pStyle w:val="TableParagraph"/>
              <w:rPr>
                <w:i/>
                <w:sz w:val="20"/>
              </w:rPr>
            </w:pPr>
          </w:p>
          <w:p>
            <w:pPr>
              <w:pStyle w:val="TableParagraph"/>
              <w:spacing w:before="5"/>
              <w:rPr>
                <w:i/>
                <w:sz w:val="24"/>
              </w:rPr>
            </w:pPr>
          </w:p>
          <w:p>
            <w:pPr>
              <w:pStyle w:val="TableParagraph"/>
              <w:ind w:left="133" w:right="126"/>
              <w:jc w:val="center"/>
              <w:rPr>
                <w:rFonts w:ascii="Arial"/>
                <w:sz w:val="18"/>
              </w:rPr>
            </w:pPr>
            <w:r>
              <w:rPr>
                <w:rFonts w:ascii="Arial"/>
                <w:spacing w:val="-4"/>
                <w:sz w:val="18"/>
              </w:rPr>
              <w:t>NCQA</w:t>
            </w:r>
          </w:p>
        </w:tc>
        <w:tc>
          <w:tcPr>
            <w:tcW w:w="900" w:type="dxa"/>
          </w:tcPr>
          <w:p>
            <w:pPr>
              <w:pStyle w:val="TableParagraph"/>
              <w:rPr>
                <w:i/>
                <w:sz w:val="20"/>
              </w:rPr>
            </w:pPr>
          </w:p>
          <w:p>
            <w:pPr>
              <w:pStyle w:val="TableParagraph"/>
              <w:rPr>
                <w:i/>
                <w:sz w:val="20"/>
              </w:rPr>
            </w:pPr>
          </w:p>
          <w:p>
            <w:pPr>
              <w:pStyle w:val="TableParagraph"/>
              <w:spacing w:before="5"/>
              <w:rPr>
                <w:i/>
                <w:sz w:val="24"/>
              </w:rPr>
            </w:pPr>
          </w:p>
          <w:p>
            <w:pPr>
              <w:pStyle w:val="TableParagraph"/>
              <w:ind w:left="7"/>
              <w:jc w:val="center"/>
              <w:rPr>
                <w:rFonts w:ascii="Arial"/>
                <w:sz w:val="18"/>
              </w:rPr>
            </w:pPr>
            <w:r>
              <w:rPr>
                <w:rFonts w:ascii="Arial"/>
                <w:sz w:val="18"/>
              </w:rPr>
              <w:t>4</w:t>
            </w:r>
          </w:p>
        </w:tc>
        <w:tc>
          <w:tcPr>
            <w:tcW w:w="900" w:type="dxa"/>
          </w:tcPr>
          <w:p>
            <w:pPr>
              <w:pStyle w:val="TableParagraph"/>
              <w:rPr>
                <w:i/>
                <w:sz w:val="20"/>
              </w:rPr>
            </w:pPr>
          </w:p>
          <w:p>
            <w:pPr>
              <w:pStyle w:val="TableParagraph"/>
              <w:rPr>
                <w:i/>
                <w:sz w:val="20"/>
              </w:rPr>
            </w:pPr>
          </w:p>
          <w:p>
            <w:pPr>
              <w:pStyle w:val="TableParagraph"/>
              <w:spacing w:before="5"/>
              <w:rPr>
                <w:i/>
                <w:sz w:val="24"/>
              </w:rPr>
            </w:pPr>
          </w:p>
          <w:p>
            <w:pPr>
              <w:pStyle w:val="TableParagraph"/>
              <w:ind w:left="8"/>
              <w:jc w:val="center"/>
              <w:rPr>
                <w:rFonts w:ascii="Arial"/>
                <w:sz w:val="18"/>
              </w:rPr>
            </w:pPr>
            <w:r>
              <w:rPr>
                <w:rFonts w:ascii="Arial"/>
                <w:sz w:val="18"/>
              </w:rPr>
              <w:t>R</w:t>
            </w:r>
          </w:p>
        </w:tc>
        <w:tc>
          <w:tcPr>
            <w:tcW w:w="900" w:type="dxa"/>
          </w:tcPr>
          <w:p>
            <w:pPr>
              <w:pStyle w:val="TableParagraph"/>
              <w:rPr>
                <w:i/>
                <w:sz w:val="20"/>
              </w:rPr>
            </w:pPr>
          </w:p>
          <w:p>
            <w:pPr>
              <w:pStyle w:val="TableParagraph"/>
              <w:rPr>
                <w:i/>
                <w:sz w:val="20"/>
              </w:rPr>
            </w:pPr>
          </w:p>
          <w:p>
            <w:pPr>
              <w:pStyle w:val="TableParagraph"/>
              <w:spacing w:before="5"/>
              <w:rPr>
                <w:i/>
                <w:sz w:val="24"/>
              </w:rPr>
            </w:pPr>
          </w:p>
          <w:p>
            <w:pPr>
              <w:pStyle w:val="TableParagraph"/>
              <w:ind w:left="8"/>
              <w:jc w:val="center"/>
              <w:rPr>
                <w:rFonts w:ascii="Arial"/>
                <w:sz w:val="18"/>
              </w:rPr>
            </w:pPr>
            <w:r>
              <w:rPr>
                <w:rFonts w:ascii="Arial"/>
                <w:sz w:val="18"/>
              </w:rPr>
              <w:t>R</w:t>
            </w:r>
          </w:p>
        </w:tc>
        <w:tc>
          <w:tcPr>
            <w:tcW w:w="989" w:type="dxa"/>
          </w:tcPr>
          <w:p>
            <w:pPr>
              <w:pStyle w:val="TableParagraph"/>
              <w:rPr>
                <w:i/>
                <w:sz w:val="20"/>
              </w:rPr>
            </w:pPr>
          </w:p>
          <w:p>
            <w:pPr>
              <w:pStyle w:val="TableParagraph"/>
              <w:rPr>
                <w:i/>
                <w:sz w:val="20"/>
              </w:rPr>
            </w:pPr>
          </w:p>
          <w:p>
            <w:pPr>
              <w:pStyle w:val="TableParagraph"/>
              <w:spacing w:before="5"/>
              <w:rPr>
                <w:i/>
                <w:sz w:val="24"/>
              </w:rPr>
            </w:pPr>
          </w:p>
          <w:p>
            <w:pPr>
              <w:pStyle w:val="TableParagraph"/>
              <w:ind w:left="110" w:right="100"/>
              <w:jc w:val="center"/>
              <w:rPr>
                <w:rFonts w:ascii="Arial"/>
                <w:sz w:val="18"/>
              </w:rPr>
            </w:pPr>
            <w:r>
              <w:rPr>
                <w:rFonts w:ascii="Arial"/>
                <w:sz w:val="18"/>
              </w:rPr>
              <w:t>P </w:t>
            </w:r>
            <w:r>
              <w:rPr>
                <w:rFonts w:ascii="Arial"/>
                <w:spacing w:val="-2"/>
                <w:sz w:val="18"/>
              </w:rPr>
              <w:t>(19/20)</w:t>
            </w:r>
          </w:p>
        </w:tc>
        <w:tc>
          <w:tcPr>
            <w:tcW w:w="811" w:type="dxa"/>
          </w:tcPr>
          <w:p>
            <w:pPr>
              <w:pStyle w:val="TableParagraph"/>
              <w:rPr>
                <w:i/>
                <w:sz w:val="20"/>
              </w:rPr>
            </w:pPr>
          </w:p>
          <w:p>
            <w:pPr>
              <w:pStyle w:val="TableParagraph"/>
              <w:rPr>
                <w:i/>
                <w:sz w:val="20"/>
              </w:rPr>
            </w:pPr>
          </w:p>
          <w:p>
            <w:pPr>
              <w:pStyle w:val="TableParagraph"/>
              <w:spacing w:before="5"/>
              <w:rPr>
                <w:i/>
                <w:sz w:val="24"/>
              </w:rPr>
            </w:pPr>
          </w:p>
          <w:p>
            <w:pPr>
              <w:pStyle w:val="TableParagraph"/>
              <w:ind w:left="5"/>
              <w:jc w:val="center"/>
              <w:rPr>
                <w:rFonts w:ascii="Arial"/>
                <w:sz w:val="18"/>
              </w:rPr>
            </w:pPr>
            <w:r>
              <w:rPr>
                <w:rFonts w:ascii="Arial"/>
                <w:sz w:val="18"/>
              </w:rPr>
              <w:t>P</w:t>
            </w:r>
          </w:p>
        </w:tc>
        <w:tc>
          <w:tcPr>
            <w:tcW w:w="720" w:type="dxa"/>
          </w:tcPr>
          <w:p>
            <w:pPr>
              <w:pStyle w:val="TableParagraph"/>
              <w:rPr>
                <w:i/>
                <w:sz w:val="20"/>
              </w:rPr>
            </w:pPr>
          </w:p>
          <w:p>
            <w:pPr>
              <w:pStyle w:val="TableParagraph"/>
              <w:rPr>
                <w:i/>
                <w:sz w:val="20"/>
              </w:rPr>
            </w:pPr>
          </w:p>
          <w:p>
            <w:pPr>
              <w:pStyle w:val="TableParagraph"/>
              <w:spacing w:before="5"/>
              <w:rPr>
                <w:i/>
                <w:sz w:val="24"/>
              </w:rPr>
            </w:pPr>
          </w:p>
          <w:p>
            <w:pPr>
              <w:pStyle w:val="TableParagraph"/>
              <w:ind w:left="10"/>
              <w:jc w:val="center"/>
              <w:rPr>
                <w:rFonts w:ascii="Arial"/>
                <w:sz w:val="18"/>
              </w:rPr>
            </w:pPr>
            <w:r>
              <w:rPr>
                <w:rFonts w:ascii="Arial"/>
                <w:sz w:val="18"/>
              </w:rPr>
              <w:t>P</w:t>
            </w:r>
          </w:p>
        </w:tc>
      </w:tr>
      <w:tr>
        <w:trPr>
          <w:trHeight w:val="1276" w:hRule="atLeast"/>
        </w:trPr>
        <w:tc>
          <w:tcPr>
            <w:tcW w:w="540" w:type="dxa"/>
          </w:tcPr>
          <w:p>
            <w:pPr>
              <w:pStyle w:val="TableParagraph"/>
              <w:rPr>
                <w:i/>
                <w:sz w:val="20"/>
              </w:rPr>
            </w:pPr>
          </w:p>
          <w:p>
            <w:pPr>
              <w:pStyle w:val="TableParagraph"/>
              <w:spacing w:before="5"/>
              <w:rPr>
                <w:i/>
                <w:sz w:val="26"/>
              </w:rPr>
            </w:pPr>
          </w:p>
          <w:p>
            <w:pPr>
              <w:pStyle w:val="TableParagraph"/>
              <w:ind w:left="6"/>
              <w:jc w:val="center"/>
              <w:rPr>
                <w:rFonts w:ascii="Arial"/>
                <w:sz w:val="18"/>
              </w:rPr>
            </w:pPr>
            <w:r>
              <w:rPr>
                <w:rFonts w:ascii="Arial"/>
                <w:sz w:val="18"/>
              </w:rPr>
              <w:t>9</w:t>
            </w:r>
          </w:p>
        </w:tc>
        <w:tc>
          <w:tcPr>
            <w:tcW w:w="1891" w:type="dxa"/>
          </w:tcPr>
          <w:p>
            <w:pPr>
              <w:pStyle w:val="TableParagraph"/>
              <w:spacing w:before="119"/>
              <w:ind w:left="227" w:right="217" w:hanging="4"/>
              <w:jc w:val="center"/>
              <w:rPr>
                <w:rFonts w:ascii="Arial"/>
                <w:sz w:val="18"/>
              </w:rPr>
            </w:pPr>
            <w:r>
              <w:rPr>
                <w:rFonts w:ascii="Arial"/>
                <w:sz w:val="18"/>
              </w:rPr>
              <w:t>Follow-Up After Hospitalization</w:t>
            </w:r>
            <w:r>
              <w:rPr>
                <w:rFonts w:ascii="Arial"/>
                <w:spacing w:val="-13"/>
                <w:sz w:val="18"/>
              </w:rPr>
              <w:t> </w:t>
            </w:r>
            <w:r>
              <w:rPr>
                <w:rFonts w:ascii="Arial"/>
                <w:sz w:val="18"/>
              </w:rPr>
              <w:t>for Mental Illness (7 </w:t>
            </w:r>
            <w:r>
              <w:rPr>
                <w:rFonts w:ascii="Arial"/>
                <w:spacing w:val="-2"/>
                <w:sz w:val="18"/>
              </w:rPr>
              <w:t>days)</w:t>
            </w:r>
          </w:p>
        </w:tc>
        <w:tc>
          <w:tcPr>
            <w:tcW w:w="3780" w:type="dxa"/>
          </w:tcPr>
          <w:p>
            <w:pPr>
              <w:pStyle w:val="TableParagraph"/>
              <w:spacing w:before="119"/>
              <w:ind w:left="107" w:right="92" w:hanging="4"/>
              <w:jc w:val="center"/>
              <w:rPr>
                <w:rFonts w:ascii="Arial"/>
                <w:sz w:val="18"/>
              </w:rPr>
            </w:pPr>
            <w:r>
              <w:rPr>
                <w:rFonts w:ascii="Arial"/>
                <w:sz w:val="18"/>
              </w:rPr>
              <w:t>Percentage</w:t>
            </w:r>
            <w:r>
              <w:rPr>
                <w:rFonts w:ascii="Arial"/>
                <w:spacing w:val="-2"/>
                <w:sz w:val="18"/>
              </w:rPr>
              <w:t> </w:t>
            </w:r>
            <w:r>
              <w:rPr>
                <w:rFonts w:ascii="Arial"/>
                <w:sz w:val="18"/>
              </w:rPr>
              <w:t>of discharges</w:t>
            </w:r>
            <w:r>
              <w:rPr>
                <w:rFonts w:ascii="Arial"/>
                <w:spacing w:val="-1"/>
                <w:sz w:val="18"/>
              </w:rPr>
              <w:t> </w:t>
            </w:r>
            <w:r>
              <w:rPr>
                <w:rFonts w:ascii="Arial"/>
                <w:sz w:val="18"/>
              </w:rPr>
              <w:t>for enrollees</w:t>
            </w:r>
            <w:r>
              <w:rPr>
                <w:rFonts w:ascii="Arial"/>
                <w:spacing w:val="-1"/>
                <w:sz w:val="18"/>
              </w:rPr>
              <w:t> </w:t>
            </w:r>
            <w:r>
              <w:rPr>
                <w:rFonts w:ascii="Arial"/>
                <w:sz w:val="18"/>
              </w:rPr>
              <w:t>18 to 64</w:t>
            </w:r>
            <w:r>
              <w:rPr>
                <w:rFonts w:ascii="Arial"/>
                <w:spacing w:val="-4"/>
                <w:sz w:val="18"/>
              </w:rPr>
              <w:t> </w:t>
            </w:r>
            <w:r>
              <w:rPr>
                <w:rFonts w:ascii="Arial"/>
                <w:sz w:val="18"/>
              </w:rPr>
              <w:t>years</w:t>
            </w:r>
            <w:r>
              <w:rPr>
                <w:rFonts w:ascii="Arial"/>
                <w:spacing w:val="-6"/>
                <w:sz w:val="18"/>
              </w:rPr>
              <w:t> </w:t>
            </w:r>
            <w:r>
              <w:rPr>
                <w:rFonts w:ascii="Arial"/>
                <w:sz w:val="18"/>
              </w:rPr>
              <w:t>of</w:t>
            </w:r>
            <w:r>
              <w:rPr>
                <w:rFonts w:ascii="Arial"/>
                <w:spacing w:val="-5"/>
                <w:sz w:val="18"/>
              </w:rPr>
              <w:t> </w:t>
            </w:r>
            <w:r>
              <w:rPr>
                <w:rFonts w:ascii="Arial"/>
                <w:sz w:val="18"/>
              </w:rPr>
              <w:t>age,</w:t>
            </w:r>
            <w:r>
              <w:rPr>
                <w:rFonts w:ascii="Arial"/>
                <w:spacing w:val="-7"/>
                <w:sz w:val="18"/>
              </w:rPr>
              <w:t> </w:t>
            </w:r>
            <w:r>
              <w:rPr>
                <w:rFonts w:ascii="Arial"/>
                <w:sz w:val="18"/>
              </w:rPr>
              <w:t>hospitalized</w:t>
            </w:r>
            <w:r>
              <w:rPr>
                <w:rFonts w:ascii="Arial"/>
                <w:spacing w:val="-4"/>
                <w:sz w:val="18"/>
              </w:rPr>
              <w:t> </w:t>
            </w:r>
            <w:r>
              <w:rPr>
                <w:rFonts w:ascii="Arial"/>
                <w:sz w:val="18"/>
              </w:rPr>
              <w:t>for</w:t>
            </w:r>
            <w:r>
              <w:rPr>
                <w:rFonts w:ascii="Arial"/>
                <w:spacing w:val="-5"/>
                <w:sz w:val="18"/>
              </w:rPr>
              <w:t> </w:t>
            </w:r>
            <w:r>
              <w:rPr>
                <w:rFonts w:ascii="Arial"/>
                <w:sz w:val="18"/>
              </w:rPr>
              <w:t>treatment</w:t>
            </w:r>
            <w:r>
              <w:rPr>
                <w:rFonts w:ascii="Arial"/>
                <w:spacing w:val="-5"/>
                <w:sz w:val="18"/>
              </w:rPr>
              <w:t> </w:t>
            </w:r>
            <w:r>
              <w:rPr>
                <w:rFonts w:ascii="Arial"/>
                <w:sz w:val="18"/>
              </w:rPr>
              <w:t>of mental illness, where the member received follow-up with a mental health practitioner within 7 days of discharge</w:t>
            </w:r>
          </w:p>
        </w:tc>
        <w:tc>
          <w:tcPr>
            <w:tcW w:w="1260" w:type="dxa"/>
          </w:tcPr>
          <w:p>
            <w:pPr>
              <w:pStyle w:val="TableParagraph"/>
              <w:rPr>
                <w:i/>
                <w:sz w:val="20"/>
              </w:rPr>
            </w:pPr>
          </w:p>
          <w:p>
            <w:pPr>
              <w:pStyle w:val="TableParagraph"/>
              <w:spacing w:before="5"/>
              <w:rPr>
                <w:i/>
                <w:sz w:val="26"/>
              </w:rPr>
            </w:pPr>
          </w:p>
          <w:p>
            <w:pPr>
              <w:pStyle w:val="TableParagraph"/>
              <w:ind w:left="133" w:right="122"/>
              <w:jc w:val="center"/>
              <w:rPr>
                <w:rFonts w:ascii="Arial"/>
                <w:sz w:val="18"/>
              </w:rPr>
            </w:pPr>
            <w:r>
              <w:rPr>
                <w:rFonts w:ascii="Arial"/>
                <w:spacing w:val="-4"/>
                <w:sz w:val="18"/>
              </w:rPr>
              <w:t>Admin</w:t>
            </w:r>
          </w:p>
        </w:tc>
        <w:tc>
          <w:tcPr>
            <w:tcW w:w="1260" w:type="dxa"/>
          </w:tcPr>
          <w:p>
            <w:pPr>
              <w:pStyle w:val="TableParagraph"/>
              <w:rPr>
                <w:i/>
                <w:sz w:val="20"/>
              </w:rPr>
            </w:pPr>
          </w:p>
          <w:p>
            <w:pPr>
              <w:pStyle w:val="TableParagraph"/>
              <w:spacing w:before="5"/>
              <w:rPr>
                <w:i/>
                <w:sz w:val="26"/>
              </w:rPr>
            </w:pPr>
          </w:p>
          <w:p>
            <w:pPr>
              <w:pStyle w:val="TableParagraph"/>
              <w:ind w:right="271"/>
              <w:jc w:val="right"/>
              <w:rPr>
                <w:rFonts w:ascii="Arial"/>
                <w:sz w:val="18"/>
              </w:rPr>
            </w:pPr>
            <w:r>
              <w:rPr>
                <w:rFonts w:ascii="Arial"/>
                <w:sz w:val="18"/>
              </w:rPr>
              <w:t>Q4 </w:t>
            </w:r>
            <w:r>
              <w:rPr>
                <w:rFonts w:ascii="Arial"/>
                <w:spacing w:val="-4"/>
                <w:sz w:val="18"/>
              </w:rPr>
              <w:t>2021</w:t>
            </w:r>
          </w:p>
        </w:tc>
        <w:tc>
          <w:tcPr>
            <w:tcW w:w="1260" w:type="dxa"/>
          </w:tcPr>
          <w:p>
            <w:pPr>
              <w:pStyle w:val="TableParagraph"/>
              <w:rPr>
                <w:i/>
                <w:sz w:val="20"/>
              </w:rPr>
            </w:pPr>
          </w:p>
          <w:p>
            <w:pPr>
              <w:pStyle w:val="TableParagraph"/>
              <w:spacing w:before="5"/>
              <w:rPr>
                <w:i/>
                <w:sz w:val="26"/>
              </w:rPr>
            </w:pPr>
          </w:p>
          <w:p>
            <w:pPr>
              <w:pStyle w:val="TableParagraph"/>
              <w:ind w:left="133" w:right="126"/>
              <w:jc w:val="center"/>
              <w:rPr>
                <w:rFonts w:ascii="Arial"/>
                <w:sz w:val="18"/>
              </w:rPr>
            </w:pPr>
            <w:r>
              <w:rPr>
                <w:rFonts w:ascii="Arial"/>
                <w:spacing w:val="-4"/>
                <w:sz w:val="18"/>
              </w:rPr>
              <w:t>NCQA</w:t>
            </w:r>
          </w:p>
        </w:tc>
        <w:tc>
          <w:tcPr>
            <w:tcW w:w="900" w:type="dxa"/>
          </w:tcPr>
          <w:p>
            <w:pPr>
              <w:pStyle w:val="TableParagraph"/>
              <w:rPr>
                <w:i/>
                <w:sz w:val="20"/>
              </w:rPr>
            </w:pPr>
          </w:p>
          <w:p>
            <w:pPr>
              <w:pStyle w:val="TableParagraph"/>
              <w:spacing w:before="5"/>
              <w:rPr>
                <w:i/>
                <w:sz w:val="26"/>
              </w:rPr>
            </w:pPr>
          </w:p>
          <w:p>
            <w:pPr>
              <w:pStyle w:val="TableParagraph"/>
              <w:ind w:right="285"/>
              <w:jc w:val="right"/>
              <w:rPr>
                <w:rFonts w:ascii="Arial"/>
                <w:sz w:val="18"/>
              </w:rPr>
            </w:pPr>
            <w:r>
              <w:rPr>
                <w:rFonts w:ascii="Arial"/>
                <w:spacing w:val="-5"/>
                <w:sz w:val="18"/>
              </w:rPr>
              <w:t>576</w:t>
            </w:r>
          </w:p>
        </w:tc>
        <w:tc>
          <w:tcPr>
            <w:tcW w:w="900" w:type="dxa"/>
          </w:tcPr>
          <w:p>
            <w:pPr>
              <w:pStyle w:val="TableParagraph"/>
              <w:rPr>
                <w:i/>
                <w:sz w:val="20"/>
              </w:rPr>
            </w:pPr>
          </w:p>
          <w:p>
            <w:pPr>
              <w:pStyle w:val="TableParagraph"/>
              <w:spacing w:before="5"/>
              <w:rPr>
                <w:i/>
                <w:sz w:val="26"/>
              </w:rPr>
            </w:pPr>
          </w:p>
          <w:p>
            <w:pPr>
              <w:pStyle w:val="TableParagraph"/>
              <w:ind w:left="8"/>
              <w:jc w:val="center"/>
              <w:rPr>
                <w:rFonts w:ascii="Arial"/>
                <w:sz w:val="18"/>
              </w:rPr>
            </w:pPr>
            <w:r>
              <w:rPr>
                <w:rFonts w:ascii="Arial"/>
                <w:sz w:val="18"/>
              </w:rPr>
              <w:t>R</w:t>
            </w:r>
          </w:p>
        </w:tc>
        <w:tc>
          <w:tcPr>
            <w:tcW w:w="900" w:type="dxa"/>
          </w:tcPr>
          <w:p>
            <w:pPr>
              <w:pStyle w:val="TableParagraph"/>
              <w:rPr>
                <w:i/>
                <w:sz w:val="20"/>
              </w:rPr>
            </w:pPr>
          </w:p>
          <w:p>
            <w:pPr>
              <w:pStyle w:val="TableParagraph"/>
              <w:spacing w:before="5"/>
              <w:rPr>
                <w:i/>
                <w:sz w:val="26"/>
              </w:rPr>
            </w:pPr>
          </w:p>
          <w:p>
            <w:pPr>
              <w:pStyle w:val="TableParagraph"/>
              <w:ind w:left="8"/>
              <w:jc w:val="center"/>
              <w:rPr>
                <w:rFonts w:ascii="Arial"/>
                <w:sz w:val="18"/>
              </w:rPr>
            </w:pPr>
            <w:r>
              <w:rPr>
                <w:rFonts w:ascii="Arial"/>
                <w:sz w:val="18"/>
              </w:rPr>
              <w:t>R</w:t>
            </w:r>
          </w:p>
        </w:tc>
        <w:tc>
          <w:tcPr>
            <w:tcW w:w="989" w:type="dxa"/>
          </w:tcPr>
          <w:p>
            <w:pPr>
              <w:pStyle w:val="TableParagraph"/>
              <w:rPr>
                <w:i/>
                <w:sz w:val="20"/>
              </w:rPr>
            </w:pPr>
          </w:p>
          <w:p>
            <w:pPr>
              <w:pStyle w:val="TableParagraph"/>
              <w:spacing w:before="5"/>
              <w:rPr>
                <w:i/>
                <w:sz w:val="26"/>
              </w:rPr>
            </w:pPr>
          </w:p>
          <w:p>
            <w:pPr>
              <w:pStyle w:val="TableParagraph"/>
              <w:ind w:left="110" w:right="100"/>
              <w:jc w:val="center"/>
              <w:rPr>
                <w:rFonts w:ascii="Arial"/>
                <w:sz w:val="18"/>
              </w:rPr>
            </w:pPr>
            <w:r>
              <w:rPr>
                <w:rFonts w:ascii="Arial"/>
                <w:sz w:val="18"/>
              </w:rPr>
              <w:t>P </w:t>
            </w:r>
            <w:r>
              <w:rPr>
                <w:rFonts w:ascii="Arial"/>
                <w:spacing w:val="-2"/>
                <w:sz w:val="18"/>
              </w:rPr>
              <w:t>(19/20)</w:t>
            </w:r>
          </w:p>
        </w:tc>
        <w:tc>
          <w:tcPr>
            <w:tcW w:w="811" w:type="dxa"/>
          </w:tcPr>
          <w:p>
            <w:pPr>
              <w:pStyle w:val="TableParagraph"/>
              <w:rPr>
                <w:i/>
                <w:sz w:val="20"/>
              </w:rPr>
            </w:pPr>
          </w:p>
          <w:p>
            <w:pPr>
              <w:pStyle w:val="TableParagraph"/>
              <w:spacing w:before="5"/>
              <w:rPr>
                <w:i/>
                <w:sz w:val="26"/>
              </w:rPr>
            </w:pPr>
          </w:p>
          <w:p>
            <w:pPr>
              <w:pStyle w:val="TableParagraph"/>
              <w:ind w:left="5"/>
              <w:jc w:val="center"/>
              <w:rPr>
                <w:rFonts w:ascii="Arial"/>
                <w:sz w:val="18"/>
              </w:rPr>
            </w:pPr>
            <w:r>
              <w:rPr>
                <w:rFonts w:ascii="Arial"/>
                <w:sz w:val="18"/>
              </w:rPr>
              <w:t>P</w:t>
            </w:r>
          </w:p>
        </w:tc>
        <w:tc>
          <w:tcPr>
            <w:tcW w:w="720" w:type="dxa"/>
          </w:tcPr>
          <w:p>
            <w:pPr>
              <w:pStyle w:val="TableParagraph"/>
              <w:rPr>
                <w:i/>
                <w:sz w:val="20"/>
              </w:rPr>
            </w:pPr>
          </w:p>
          <w:p>
            <w:pPr>
              <w:pStyle w:val="TableParagraph"/>
              <w:spacing w:before="5"/>
              <w:rPr>
                <w:i/>
                <w:sz w:val="26"/>
              </w:rPr>
            </w:pPr>
          </w:p>
          <w:p>
            <w:pPr>
              <w:pStyle w:val="TableParagraph"/>
              <w:ind w:left="10"/>
              <w:jc w:val="center"/>
              <w:rPr>
                <w:rFonts w:ascii="Arial"/>
                <w:sz w:val="18"/>
              </w:rPr>
            </w:pPr>
            <w:r>
              <w:rPr>
                <w:rFonts w:ascii="Arial"/>
                <w:sz w:val="18"/>
              </w:rPr>
              <w:t>P</w:t>
            </w:r>
          </w:p>
        </w:tc>
      </w:tr>
      <w:tr>
        <w:trPr>
          <w:trHeight w:val="1689" w:hRule="atLeast"/>
        </w:trPr>
        <w:tc>
          <w:tcPr>
            <w:tcW w:w="540" w:type="dxa"/>
          </w:tcPr>
          <w:p>
            <w:pPr>
              <w:pStyle w:val="TableParagraph"/>
              <w:rPr>
                <w:i/>
                <w:sz w:val="20"/>
              </w:rPr>
            </w:pPr>
          </w:p>
          <w:p>
            <w:pPr>
              <w:pStyle w:val="TableParagraph"/>
              <w:rPr>
                <w:i/>
                <w:sz w:val="20"/>
              </w:rPr>
            </w:pPr>
          </w:p>
          <w:p>
            <w:pPr>
              <w:pStyle w:val="TableParagraph"/>
              <w:spacing w:before="2"/>
              <w:rPr>
                <w:i/>
                <w:sz w:val="24"/>
              </w:rPr>
            </w:pPr>
          </w:p>
          <w:p>
            <w:pPr>
              <w:pStyle w:val="TableParagraph"/>
              <w:ind w:left="155" w:right="143"/>
              <w:jc w:val="center"/>
              <w:rPr>
                <w:rFonts w:ascii="Arial"/>
                <w:sz w:val="18"/>
              </w:rPr>
            </w:pPr>
            <w:r>
              <w:rPr>
                <w:rFonts w:ascii="Arial"/>
                <w:spacing w:val="-5"/>
                <w:sz w:val="18"/>
              </w:rPr>
              <w:t>10</w:t>
            </w:r>
          </w:p>
        </w:tc>
        <w:tc>
          <w:tcPr>
            <w:tcW w:w="1891" w:type="dxa"/>
          </w:tcPr>
          <w:p>
            <w:pPr>
              <w:pStyle w:val="TableParagraph"/>
              <w:spacing w:before="119"/>
              <w:ind w:left="158" w:right="146"/>
              <w:jc w:val="center"/>
              <w:rPr>
                <w:rFonts w:ascii="Arial"/>
                <w:sz w:val="18"/>
              </w:rPr>
            </w:pPr>
            <w:r>
              <w:rPr>
                <w:rFonts w:ascii="Arial"/>
                <w:sz w:val="18"/>
              </w:rPr>
              <w:t>Diabetes</w:t>
            </w:r>
            <w:r>
              <w:rPr>
                <w:rFonts w:ascii="Arial"/>
                <w:spacing w:val="-13"/>
                <w:sz w:val="18"/>
              </w:rPr>
              <w:t> </w:t>
            </w:r>
            <w:r>
              <w:rPr>
                <w:rFonts w:ascii="Arial"/>
                <w:sz w:val="18"/>
              </w:rPr>
              <w:t>Screening for Individuals With Schizophrenia or Bipolar Disorder Who Are Using </w:t>
            </w:r>
            <w:r>
              <w:rPr>
                <w:rFonts w:ascii="Arial"/>
                <w:spacing w:val="-2"/>
                <w:sz w:val="18"/>
              </w:rPr>
              <w:t>Antipsychotic Medication</w:t>
            </w:r>
          </w:p>
        </w:tc>
        <w:tc>
          <w:tcPr>
            <w:tcW w:w="3780" w:type="dxa"/>
          </w:tcPr>
          <w:p>
            <w:pPr>
              <w:pStyle w:val="TableParagraph"/>
              <w:spacing w:before="119"/>
              <w:ind w:left="129" w:right="114" w:firstLine="43"/>
              <w:jc w:val="both"/>
              <w:rPr>
                <w:rFonts w:ascii="Arial"/>
                <w:sz w:val="18"/>
              </w:rPr>
            </w:pPr>
            <w:r>
              <w:rPr>
                <w:rFonts w:ascii="Arial"/>
                <w:sz w:val="18"/>
              </w:rPr>
              <w:t>Percentage of enrollees with schizophrenia or bipolar disorder, who were dispensed an antipsychotic medication, and had diabetes screening</w:t>
            </w:r>
            <w:r>
              <w:rPr>
                <w:rFonts w:ascii="Arial"/>
                <w:spacing w:val="-2"/>
                <w:sz w:val="18"/>
              </w:rPr>
              <w:t> </w:t>
            </w:r>
            <w:r>
              <w:rPr>
                <w:rFonts w:ascii="Arial"/>
                <w:sz w:val="18"/>
              </w:rPr>
              <w:t>test</w:t>
            </w:r>
            <w:r>
              <w:rPr>
                <w:rFonts w:ascii="Arial"/>
                <w:spacing w:val="-3"/>
                <w:sz w:val="18"/>
              </w:rPr>
              <w:t> </w:t>
            </w:r>
            <w:r>
              <w:rPr>
                <w:rFonts w:ascii="Arial"/>
                <w:sz w:val="18"/>
              </w:rPr>
              <w:t>during</w:t>
            </w:r>
            <w:r>
              <w:rPr>
                <w:rFonts w:ascii="Arial"/>
                <w:spacing w:val="-1"/>
                <w:sz w:val="18"/>
              </w:rPr>
              <w:t> </w:t>
            </w:r>
            <w:r>
              <w:rPr>
                <w:rFonts w:ascii="Arial"/>
                <w:sz w:val="18"/>
              </w:rPr>
              <w:t>the</w:t>
            </w:r>
            <w:r>
              <w:rPr>
                <w:rFonts w:ascii="Arial"/>
                <w:spacing w:val="-2"/>
                <w:sz w:val="18"/>
              </w:rPr>
              <w:t> </w:t>
            </w:r>
            <w:r>
              <w:rPr>
                <w:rFonts w:ascii="Arial"/>
                <w:sz w:val="18"/>
              </w:rPr>
              <w:t>measurement</w:t>
            </w:r>
            <w:r>
              <w:rPr>
                <w:rFonts w:ascii="Arial"/>
                <w:spacing w:val="-4"/>
                <w:sz w:val="18"/>
              </w:rPr>
              <w:t> year</w:t>
            </w:r>
          </w:p>
        </w:tc>
        <w:tc>
          <w:tcPr>
            <w:tcW w:w="1260" w:type="dxa"/>
          </w:tcPr>
          <w:p>
            <w:pPr>
              <w:pStyle w:val="TableParagraph"/>
              <w:rPr>
                <w:i/>
                <w:sz w:val="20"/>
              </w:rPr>
            </w:pPr>
          </w:p>
          <w:p>
            <w:pPr>
              <w:pStyle w:val="TableParagraph"/>
              <w:rPr>
                <w:i/>
                <w:sz w:val="20"/>
              </w:rPr>
            </w:pPr>
          </w:p>
          <w:p>
            <w:pPr>
              <w:pStyle w:val="TableParagraph"/>
              <w:spacing w:before="2"/>
              <w:rPr>
                <w:i/>
                <w:sz w:val="24"/>
              </w:rPr>
            </w:pPr>
          </w:p>
          <w:p>
            <w:pPr>
              <w:pStyle w:val="TableParagraph"/>
              <w:ind w:left="133" w:right="122"/>
              <w:jc w:val="center"/>
              <w:rPr>
                <w:rFonts w:ascii="Arial"/>
                <w:sz w:val="18"/>
              </w:rPr>
            </w:pPr>
            <w:r>
              <w:rPr>
                <w:rFonts w:ascii="Arial"/>
                <w:spacing w:val="-4"/>
                <w:sz w:val="18"/>
              </w:rPr>
              <w:t>Admin</w:t>
            </w:r>
          </w:p>
        </w:tc>
        <w:tc>
          <w:tcPr>
            <w:tcW w:w="1260" w:type="dxa"/>
          </w:tcPr>
          <w:p>
            <w:pPr>
              <w:pStyle w:val="TableParagraph"/>
              <w:rPr>
                <w:i/>
                <w:sz w:val="20"/>
              </w:rPr>
            </w:pPr>
          </w:p>
          <w:p>
            <w:pPr>
              <w:pStyle w:val="TableParagraph"/>
              <w:rPr>
                <w:i/>
                <w:sz w:val="20"/>
              </w:rPr>
            </w:pPr>
          </w:p>
          <w:p>
            <w:pPr>
              <w:pStyle w:val="TableParagraph"/>
              <w:spacing w:before="2"/>
              <w:rPr>
                <w:i/>
                <w:sz w:val="24"/>
              </w:rPr>
            </w:pPr>
          </w:p>
          <w:p>
            <w:pPr>
              <w:pStyle w:val="TableParagraph"/>
              <w:ind w:right="271"/>
              <w:jc w:val="right"/>
              <w:rPr>
                <w:rFonts w:ascii="Arial"/>
                <w:sz w:val="18"/>
              </w:rPr>
            </w:pPr>
            <w:r>
              <w:rPr>
                <w:rFonts w:ascii="Arial"/>
                <w:sz w:val="18"/>
              </w:rPr>
              <w:t>Q4 </w:t>
            </w:r>
            <w:r>
              <w:rPr>
                <w:rFonts w:ascii="Arial"/>
                <w:spacing w:val="-4"/>
                <w:sz w:val="18"/>
              </w:rPr>
              <w:t>2021</w:t>
            </w:r>
          </w:p>
        </w:tc>
        <w:tc>
          <w:tcPr>
            <w:tcW w:w="1260" w:type="dxa"/>
          </w:tcPr>
          <w:p>
            <w:pPr>
              <w:pStyle w:val="TableParagraph"/>
              <w:rPr>
                <w:i/>
                <w:sz w:val="20"/>
              </w:rPr>
            </w:pPr>
          </w:p>
          <w:p>
            <w:pPr>
              <w:pStyle w:val="TableParagraph"/>
              <w:rPr>
                <w:i/>
                <w:sz w:val="20"/>
              </w:rPr>
            </w:pPr>
          </w:p>
          <w:p>
            <w:pPr>
              <w:pStyle w:val="TableParagraph"/>
              <w:spacing w:before="2"/>
              <w:rPr>
                <w:i/>
                <w:sz w:val="24"/>
              </w:rPr>
            </w:pPr>
          </w:p>
          <w:p>
            <w:pPr>
              <w:pStyle w:val="TableParagraph"/>
              <w:ind w:left="133" w:right="126"/>
              <w:jc w:val="center"/>
              <w:rPr>
                <w:rFonts w:ascii="Arial"/>
                <w:sz w:val="18"/>
              </w:rPr>
            </w:pPr>
            <w:r>
              <w:rPr>
                <w:rFonts w:ascii="Arial"/>
                <w:spacing w:val="-4"/>
                <w:sz w:val="18"/>
              </w:rPr>
              <w:t>NCQA</w:t>
            </w:r>
          </w:p>
        </w:tc>
        <w:tc>
          <w:tcPr>
            <w:tcW w:w="900" w:type="dxa"/>
          </w:tcPr>
          <w:p>
            <w:pPr>
              <w:pStyle w:val="TableParagraph"/>
              <w:rPr>
                <w:i/>
                <w:sz w:val="20"/>
              </w:rPr>
            </w:pPr>
          </w:p>
          <w:p>
            <w:pPr>
              <w:pStyle w:val="TableParagraph"/>
              <w:rPr>
                <w:i/>
                <w:sz w:val="20"/>
              </w:rPr>
            </w:pPr>
          </w:p>
          <w:p>
            <w:pPr>
              <w:pStyle w:val="TableParagraph"/>
              <w:spacing w:before="2"/>
              <w:rPr>
                <w:i/>
                <w:sz w:val="24"/>
              </w:rPr>
            </w:pPr>
          </w:p>
          <w:p>
            <w:pPr>
              <w:pStyle w:val="TableParagraph"/>
              <w:ind w:right="235"/>
              <w:jc w:val="right"/>
              <w:rPr>
                <w:rFonts w:ascii="Arial"/>
                <w:sz w:val="18"/>
              </w:rPr>
            </w:pPr>
            <w:r>
              <w:rPr>
                <w:rFonts w:ascii="Arial"/>
                <w:spacing w:val="-4"/>
                <w:sz w:val="18"/>
              </w:rPr>
              <w:t>1932</w:t>
            </w:r>
          </w:p>
        </w:tc>
        <w:tc>
          <w:tcPr>
            <w:tcW w:w="900" w:type="dxa"/>
          </w:tcPr>
          <w:p>
            <w:pPr>
              <w:pStyle w:val="TableParagraph"/>
              <w:rPr>
                <w:i/>
                <w:sz w:val="20"/>
              </w:rPr>
            </w:pPr>
          </w:p>
          <w:p>
            <w:pPr>
              <w:pStyle w:val="TableParagraph"/>
              <w:rPr>
                <w:i/>
                <w:sz w:val="20"/>
              </w:rPr>
            </w:pPr>
          </w:p>
          <w:p>
            <w:pPr>
              <w:pStyle w:val="TableParagraph"/>
              <w:spacing w:before="2"/>
              <w:rPr>
                <w:i/>
                <w:sz w:val="24"/>
              </w:rPr>
            </w:pPr>
          </w:p>
          <w:p>
            <w:pPr>
              <w:pStyle w:val="TableParagraph"/>
              <w:ind w:left="7"/>
              <w:jc w:val="center"/>
              <w:rPr>
                <w:rFonts w:ascii="Arial"/>
                <w:sz w:val="18"/>
              </w:rPr>
            </w:pPr>
            <w:r>
              <w:rPr>
                <w:rFonts w:ascii="Arial"/>
                <w:sz w:val="18"/>
              </w:rPr>
              <w:t>R</w:t>
            </w:r>
          </w:p>
        </w:tc>
        <w:tc>
          <w:tcPr>
            <w:tcW w:w="900" w:type="dxa"/>
          </w:tcPr>
          <w:p>
            <w:pPr>
              <w:pStyle w:val="TableParagraph"/>
              <w:rPr>
                <w:i/>
                <w:sz w:val="20"/>
              </w:rPr>
            </w:pPr>
          </w:p>
          <w:p>
            <w:pPr>
              <w:pStyle w:val="TableParagraph"/>
              <w:rPr>
                <w:i/>
                <w:sz w:val="20"/>
              </w:rPr>
            </w:pPr>
          </w:p>
          <w:p>
            <w:pPr>
              <w:pStyle w:val="TableParagraph"/>
              <w:spacing w:before="2"/>
              <w:rPr>
                <w:i/>
                <w:sz w:val="24"/>
              </w:rPr>
            </w:pPr>
          </w:p>
          <w:p>
            <w:pPr>
              <w:pStyle w:val="TableParagraph"/>
              <w:ind w:left="7"/>
              <w:jc w:val="center"/>
              <w:rPr>
                <w:rFonts w:ascii="Arial"/>
                <w:sz w:val="18"/>
              </w:rPr>
            </w:pPr>
            <w:r>
              <w:rPr>
                <w:rFonts w:ascii="Arial"/>
                <w:sz w:val="18"/>
              </w:rPr>
              <w:t>R</w:t>
            </w:r>
          </w:p>
        </w:tc>
        <w:tc>
          <w:tcPr>
            <w:tcW w:w="989" w:type="dxa"/>
          </w:tcPr>
          <w:p>
            <w:pPr>
              <w:pStyle w:val="TableParagraph"/>
              <w:rPr>
                <w:i/>
                <w:sz w:val="20"/>
              </w:rPr>
            </w:pPr>
          </w:p>
          <w:p>
            <w:pPr>
              <w:pStyle w:val="TableParagraph"/>
              <w:rPr>
                <w:i/>
                <w:sz w:val="20"/>
              </w:rPr>
            </w:pPr>
          </w:p>
          <w:p>
            <w:pPr>
              <w:pStyle w:val="TableParagraph"/>
              <w:spacing w:before="2"/>
              <w:rPr>
                <w:i/>
                <w:sz w:val="24"/>
              </w:rPr>
            </w:pPr>
          </w:p>
          <w:p>
            <w:pPr>
              <w:pStyle w:val="TableParagraph"/>
              <w:ind w:left="110" w:right="101"/>
              <w:jc w:val="center"/>
              <w:rPr>
                <w:rFonts w:ascii="Arial"/>
                <w:sz w:val="18"/>
              </w:rPr>
            </w:pPr>
            <w:r>
              <w:rPr>
                <w:rFonts w:ascii="Arial"/>
                <w:sz w:val="18"/>
              </w:rPr>
              <w:t>P </w:t>
            </w:r>
            <w:r>
              <w:rPr>
                <w:rFonts w:ascii="Arial"/>
                <w:spacing w:val="-2"/>
                <w:sz w:val="18"/>
              </w:rPr>
              <w:t>(19/20)</w:t>
            </w:r>
          </w:p>
        </w:tc>
        <w:tc>
          <w:tcPr>
            <w:tcW w:w="811" w:type="dxa"/>
          </w:tcPr>
          <w:p>
            <w:pPr>
              <w:pStyle w:val="TableParagraph"/>
              <w:rPr>
                <w:i/>
                <w:sz w:val="20"/>
              </w:rPr>
            </w:pPr>
          </w:p>
          <w:p>
            <w:pPr>
              <w:pStyle w:val="TableParagraph"/>
              <w:rPr>
                <w:i/>
                <w:sz w:val="20"/>
              </w:rPr>
            </w:pPr>
          </w:p>
          <w:p>
            <w:pPr>
              <w:pStyle w:val="TableParagraph"/>
              <w:spacing w:before="2"/>
              <w:rPr>
                <w:i/>
                <w:sz w:val="24"/>
              </w:rPr>
            </w:pPr>
          </w:p>
          <w:p>
            <w:pPr>
              <w:pStyle w:val="TableParagraph"/>
              <w:ind w:left="5"/>
              <w:jc w:val="center"/>
              <w:rPr>
                <w:rFonts w:ascii="Arial"/>
                <w:sz w:val="18"/>
              </w:rPr>
            </w:pPr>
            <w:r>
              <w:rPr>
                <w:rFonts w:ascii="Arial"/>
                <w:sz w:val="18"/>
              </w:rPr>
              <w:t>P</w:t>
            </w:r>
          </w:p>
        </w:tc>
        <w:tc>
          <w:tcPr>
            <w:tcW w:w="720" w:type="dxa"/>
          </w:tcPr>
          <w:p>
            <w:pPr>
              <w:pStyle w:val="TableParagraph"/>
              <w:rPr>
                <w:i/>
                <w:sz w:val="20"/>
              </w:rPr>
            </w:pPr>
          </w:p>
          <w:p>
            <w:pPr>
              <w:pStyle w:val="TableParagraph"/>
              <w:rPr>
                <w:i/>
                <w:sz w:val="20"/>
              </w:rPr>
            </w:pPr>
          </w:p>
          <w:p>
            <w:pPr>
              <w:pStyle w:val="TableParagraph"/>
              <w:spacing w:before="2"/>
              <w:rPr>
                <w:i/>
                <w:sz w:val="24"/>
              </w:rPr>
            </w:pPr>
          </w:p>
          <w:p>
            <w:pPr>
              <w:pStyle w:val="TableParagraph"/>
              <w:ind w:left="10"/>
              <w:jc w:val="center"/>
              <w:rPr>
                <w:rFonts w:ascii="Arial"/>
                <w:sz w:val="18"/>
              </w:rPr>
            </w:pPr>
            <w:r>
              <w:rPr>
                <w:rFonts w:ascii="Arial"/>
                <w:sz w:val="18"/>
              </w:rPr>
              <w:t>P</w:t>
            </w:r>
          </w:p>
        </w:tc>
      </w:tr>
    </w:tbl>
    <w:p>
      <w:pPr>
        <w:spacing w:after="0"/>
        <w:jc w:val="center"/>
        <w:rPr>
          <w:rFonts w:ascii="Arial"/>
          <w:sz w:val="18"/>
        </w:rPr>
        <w:sectPr>
          <w:pgSz w:w="15840" w:h="12240" w:orient="landscape"/>
          <w:pgMar w:header="0" w:footer="967" w:top="1380" w:bottom="1160" w:left="200" w:right="200"/>
        </w:sectPr>
      </w:pPr>
    </w:p>
    <w:p>
      <w:pPr>
        <w:pStyle w:val="BodyText"/>
        <w:spacing w:before="2"/>
        <w:rPr>
          <w:i/>
          <w:sz w:val="5"/>
        </w:rPr>
      </w:pPr>
    </w:p>
    <w:tbl>
      <w:tblPr>
        <w:tblW w:w="0" w:type="auto"/>
        <w:jc w:val="left"/>
        <w:tblInd w:w="119"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CellMar>
          <w:top w:w="0" w:type="dxa"/>
          <w:left w:w="0" w:type="dxa"/>
          <w:bottom w:w="0" w:type="dxa"/>
          <w:right w:w="0" w:type="dxa"/>
        </w:tblCellMar>
        <w:tblLook w:val="01E0"/>
      </w:tblPr>
      <w:tblGrid>
        <w:gridCol w:w="540"/>
        <w:gridCol w:w="1891"/>
        <w:gridCol w:w="3780"/>
        <w:gridCol w:w="1260"/>
        <w:gridCol w:w="1260"/>
        <w:gridCol w:w="1260"/>
        <w:gridCol w:w="900"/>
        <w:gridCol w:w="900"/>
        <w:gridCol w:w="900"/>
        <w:gridCol w:w="989"/>
        <w:gridCol w:w="811"/>
        <w:gridCol w:w="720"/>
      </w:tblGrid>
      <w:tr>
        <w:trPr>
          <w:trHeight w:val="1067" w:hRule="atLeast"/>
        </w:trPr>
        <w:tc>
          <w:tcPr>
            <w:tcW w:w="540" w:type="dxa"/>
          </w:tcPr>
          <w:p>
            <w:pPr>
              <w:pStyle w:val="TableParagraph"/>
              <w:rPr>
                <w:i/>
                <w:sz w:val="20"/>
              </w:rPr>
            </w:pPr>
          </w:p>
          <w:p>
            <w:pPr>
              <w:pStyle w:val="TableParagraph"/>
              <w:spacing w:before="5"/>
              <w:rPr>
                <w:i/>
                <w:sz w:val="17"/>
              </w:rPr>
            </w:pPr>
          </w:p>
          <w:p>
            <w:pPr>
              <w:pStyle w:val="TableParagraph"/>
              <w:ind w:left="155" w:right="143"/>
              <w:jc w:val="center"/>
              <w:rPr>
                <w:rFonts w:ascii="Arial"/>
                <w:sz w:val="18"/>
              </w:rPr>
            </w:pPr>
            <w:r>
              <w:rPr>
                <w:rFonts w:ascii="Arial"/>
                <w:spacing w:val="-5"/>
                <w:sz w:val="18"/>
              </w:rPr>
              <w:t>11</w:t>
            </w:r>
          </w:p>
        </w:tc>
        <w:tc>
          <w:tcPr>
            <w:tcW w:w="1891" w:type="dxa"/>
          </w:tcPr>
          <w:p>
            <w:pPr>
              <w:pStyle w:val="TableParagraph"/>
              <w:spacing w:before="119"/>
              <w:ind w:left="155" w:right="146"/>
              <w:jc w:val="center"/>
              <w:rPr>
                <w:rFonts w:ascii="Arial"/>
                <w:sz w:val="18"/>
              </w:rPr>
            </w:pPr>
            <w:r>
              <w:rPr>
                <w:rFonts w:ascii="Arial"/>
                <w:spacing w:val="-2"/>
                <w:sz w:val="18"/>
              </w:rPr>
              <w:t>Antidepressant Medication Management</w:t>
            </w:r>
          </w:p>
        </w:tc>
        <w:tc>
          <w:tcPr>
            <w:tcW w:w="3780" w:type="dxa"/>
          </w:tcPr>
          <w:p>
            <w:pPr>
              <w:pStyle w:val="TableParagraph"/>
              <w:spacing w:before="119"/>
              <w:ind w:left="117" w:right="104" w:hanging="4"/>
              <w:jc w:val="center"/>
              <w:rPr>
                <w:rFonts w:ascii="Arial"/>
                <w:sz w:val="18"/>
              </w:rPr>
            </w:pPr>
            <w:r>
              <w:rPr>
                <w:rFonts w:ascii="Arial"/>
                <w:sz w:val="18"/>
              </w:rPr>
              <w:t>Percentage</w:t>
            </w:r>
            <w:r>
              <w:rPr>
                <w:rFonts w:ascii="Arial"/>
                <w:spacing w:val="-6"/>
                <w:sz w:val="18"/>
              </w:rPr>
              <w:t> </w:t>
            </w:r>
            <w:r>
              <w:rPr>
                <w:rFonts w:ascii="Arial"/>
                <w:sz w:val="18"/>
              </w:rPr>
              <w:t>of</w:t>
            </w:r>
            <w:r>
              <w:rPr>
                <w:rFonts w:ascii="Arial"/>
                <w:spacing w:val="-6"/>
                <w:sz w:val="18"/>
              </w:rPr>
              <w:t> </w:t>
            </w:r>
            <w:r>
              <w:rPr>
                <w:rFonts w:ascii="Arial"/>
                <w:sz w:val="18"/>
              </w:rPr>
              <w:t>members</w:t>
            </w:r>
            <w:r>
              <w:rPr>
                <w:rFonts w:ascii="Arial"/>
                <w:spacing w:val="-3"/>
                <w:sz w:val="18"/>
              </w:rPr>
              <w:t> </w:t>
            </w:r>
            <w:r>
              <w:rPr>
                <w:rFonts w:ascii="Arial"/>
                <w:sz w:val="18"/>
              </w:rPr>
              <w:t>(18-64)</w:t>
            </w:r>
            <w:r>
              <w:rPr>
                <w:rFonts w:ascii="Arial"/>
                <w:spacing w:val="-4"/>
                <w:sz w:val="18"/>
              </w:rPr>
              <w:t> </w:t>
            </w:r>
            <w:r>
              <w:rPr>
                <w:rFonts w:ascii="Arial"/>
                <w:sz w:val="18"/>
              </w:rPr>
              <w:t>treated</w:t>
            </w:r>
            <w:r>
              <w:rPr>
                <w:rFonts w:ascii="Arial"/>
                <w:spacing w:val="-3"/>
                <w:sz w:val="18"/>
              </w:rPr>
              <w:t> </w:t>
            </w:r>
            <w:r>
              <w:rPr>
                <w:rFonts w:ascii="Arial"/>
                <w:sz w:val="18"/>
              </w:rPr>
              <w:t>with antidepressant and had diagnosis of major depression</w:t>
            </w:r>
            <w:r>
              <w:rPr>
                <w:rFonts w:ascii="Arial"/>
                <w:spacing w:val="-8"/>
                <w:sz w:val="18"/>
              </w:rPr>
              <w:t> </w:t>
            </w:r>
            <w:r>
              <w:rPr>
                <w:rFonts w:ascii="Arial"/>
                <w:sz w:val="18"/>
              </w:rPr>
              <w:t>who</w:t>
            </w:r>
            <w:r>
              <w:rPr>
                <w:rFonts w:ascii="Arial"/>
                <w:spacing w:val="-8"/>
                <w:sz w:val="18"/>
              </w:rPr>
              <w:t> </w:t>
            </w:r>
            <w:r>
              <w:rPr>
                <w:rFonts w:ascii="Arial"/>
                <w:sz w:val="18"/>
              </w:rPr>
              <w:t>remained</w:t>
            </w:r>
            <w:r>
              <w:rPr>
                <w:rFonts w:ascii="Arial"/>
                <w:spacing w:val="-10"/>
                <w:sz w:val="18"/>
              </w:rPr>
              <w:t> </w:t>
            </w:r>
            <w:r>
              <w:rPr>
                <w:rFonts w:ascii="Arial"/>
                <w:sz w:val="18"/>
              </w:rPr>
              <w:t>on</w:t>
            </w:r>
            <w:r>
              <w:rPr>
                <w:rFonts w:ascii="Arial"/>
                <w:spacing w:val="-10"/>
                <w:sz w:val="18"/>
              </w:rPr>
              <w:t> </w:t>
            </w:r>
            <w:r>
              <w:rPr>
                <w:rFonts w:ascii="Arial"/>
                <w:sz w:val="18"/>
              </w:rPr>
              <w:t>antidepressant medication treatment</w:t>
            </w:r>
          </w:p>
        </w:tc>
        <w:tc>
          <w:tcPr>
            <w:tcW w:w="1260" w:type="dxa"/>
          </w:tcPr>
          <w:p>
            <w:pPr>
              <w:pStyle w:val="TableParagraph"/>
              <w:rPr>
                <w:i/>
                <w:sz w:val="20"/>
              </w:rPr>
            </w:pPr>
          </w:p>
          <w:p>
            <w:pPr>
              <w:pStyle w:val="TableParagraph"/>
              <w:spacing w:before="5"/>
              <w:rPr>
                <w:i/>
                <w:sz w:val="17"/>
              </w:rPr>
            </w:pPr>
          </w:p>
          <w:p>
            <w:pPr>
              <w:pStyle w:val="TableParagraph"/>
              <w:ind w:left="133" w:right="122"/>
              <w:jc w:val="center"/>
              <w:rPr>
                <w:rFonts w:ascii="Arial"/>
                <w:sz w:val="18"/>
              </w:rPr>
            </w:pPr>
            <w:r>
              <w:rPr>
                <w:rFonts w:ascii="Arial"/>
                <w:spacing w:val="-4"/>
                <w:sz w:val="18"/>
              </w:rPr>
              <w:t>Admin</w:t>
            </w:r>
          </w:p>
        </w:tc>
        <w:tc>
          <w:tcPr>
            <w:tcW w:w="1260" w:type="dxa"/>
          </w:tcPr>
          <w:p>
            <w:pPr>
              <w:pStyle w:val="TableParagraph"/>
              <w:rPr>
                <w:i/>
                <w:sz w:val="20"/>
              </w:rPr>
            </w:pPr>
          </w:p>
          <w:p>
            <w:pPr>
              <w:pStyle w:val="TableParagraph"/>
              <w:spacing w:before="5"/>
              <w:rPr>
                <w:i/>
                <w:sz w:val="17"/>
              </w:rPr>
            </w:pPr>
          </w:p>
          <w:p>
            <w:pPr>
              <w:pStyle w:val="TableParagraph"/>
              <w:ind w:right="271"/>
              <w:jc w:val="right"/>
              <w:rPr>
                <w:rFonts w:ascii="Arial"/>
                <w:sz w:val="18"/>
              </w:rPr>
            </w:pPr>
            <w:r>
              <w:rPr>
                <w:rFonts w:ascii="Arial"/>
                <w:sz w:val="18"/>
              </w:rPr>
              <w:t>Q4 </w:t>
            </w:r>
            <w:r>
              <w:rPr>
                <w:rFonts w:ascii="Arial"/>
                <w:spacing w:val="-4"/>
                <w:sz w:val="18"/>
              </w:rPr>
              <w:t>2021</w:t>
            </w:r>
          </w:p>
        </w:tc>
        <w:tc>
          <w:tcPr>
            <w:tcW w:w="1260" w:type="dxa"/>
          </w:tcPr>
          <w:p>
            <w:pPr>
              <w:pStyle w:val="TableParagraph"/>
              <w:rPr>
                <w:i/>
                <w:sz w:val="20"/>
              </w:rPr>
            </w:pPr>
          </w:p>
          <w:p>
            <w:pPr>
              <w:pStyle w:val="TableParagraph"/>
              <w:spacing w:before="5"/>
              <w:rPr>
                <w:i/>
                <w:sz w:val="17"/>
              </w:rPr>
            </w:pPr>
          </w:p>
          <w:p>
            <w:pPr>
              <w:pStyle w:val="TableParagraph"/>
              <w:ind w:left="133" w:right="126"/>
              <w:jc w:val="center"/>
              <w:rPr>
                <w:rFonts w:ascii="Arial"/>
                <w:sz w:val="18"/>
              </w:rPr>
            </w:pPr>
            <w:r>
              <w:rPr>
                <w:rFonts w:ascii="Arial"/>
                <w:spacing w:val="-4"/>
                <w:sz w:val="18"/>
              </w:rPr>
              <w:t>NCQA</w:t>
            </w:r>
          </w:p>
        </w:tc>
        <w:tc>
          <w:tcPr>
            <w:tcW w:w="900" w:type="dxa"/>
          </w:tcPr>
          <w:p>
            <w:pPr>
              <w:pStyle w:val="TableParagraph"/>
              <w:rPr>
                <w:i/>
                <w:sz w:val="20"/>
              </w:rPr>
            </w:pPr>
          </w:p>
          <w:p>
            <w:pPr>
              <w:pStyle w:val="TableParagraph"/>
              <w:spacing w:before="5"/>
              <w:rPr>
                <w:i/>
                <w:sz w:val="17"/>
              </w:rPr>
            </w:pPr>
          </w:p>
          <w:p>
            <w:pPr>
              <w:pStyle w:val="TableParagraph"/>
              <w:ind w:right="288"/>
              <w:jc w:val="right"/>
              <w:rPr>
                <w:rFonts w:ascii="Arial"/>
                <w:sz w:val="18"/>
              </w:rPr>
            </w:pPr>
            <w:r>
              <w:rPr>
                <w:rFonts w:ascii="Arial"/>
                <w:spacing w:val="-5"/>
                <w:sz w:val="18"/>
              </w:rPr>
              <w:t>N/A</w:t>
            </w:r>
          </w:p>
        </w:tc>
        <w:tc>
          <w:tcPr>
            <w:tcW w:w="900" w:type="dxa"/>
          </w:tcPr>
          <w:p>
            <w:pPr>
              <w:pStyle w:val="TableParagraph"/>
              <w:rPr>
                <w:i/>
                <w:sz w:val="20"/>
              </w:rPr>
            </w:pPr>
          </w:p>
          <w:p>
            <w:pPr>
              <w:pStyle w:val="TableParagraph"/>
              <w:spacing w:before="5"/>
              <w:rPr>
                <w:i/>
                <w:sz w:val="17"/>
              </w:rPr>
            </w:pPr>
          </w:p>
          <w:p>
            <w:pPr>
              <w:pStyle w:val="TableParagraph"/>
              <w:ind w:left="154" w:right="145"/>
              <w:jc w:val="center"/>
              <w:rPr>
                <w:rFonts w:ascii="Arial"/>
                <w:sz w:val="18"/>
              </w:rPr>
            </w:pPr>
            <w:r>
              <w:rPr>
                <w:rFonts w:ascii="Arial"/>
                <w:spacing w:val="-5"/>
                <w:sz w:val="18"/>
              </w:rPr>
              <w:t>N/A</w:t>
            </w:r>
          </w:p>
        </w:tc>
        <w:tc>
          <w:tcPr>
            <w:tcW w:w="900" w:type="dxa"/>
          </w:tcPr>
          <w:p>
            <w:pPr>
              <w:pStyle w:val="TableParagraph"/>
              <w:rPr>
                <w:i/>
                <w:sz w:val="20"/>
              </w:rPr>
            </w:pPr>
          </w:p>
          <w:p>
            <w:pPr>
              <w:pStyle w:val="TableParagraph"/>
              <w:spacing w:before="5"/>
              <w:rPr>
                <w:i/>
                <w:sz w:val="17"/>
              </w:rPr>
            </w:pPr>
          </w:p>
          <w:p>
            <w:pPr>
              <w:pStyle w:val="TableParagraph"/>
              <w:ind w:left="154" w:right="145"/>
              <w:jc w:val="center"/>
              <w:rPr>
                <w:rFonts w:ascii="Arial"/>
                <w:sz w:val="18"/>
              </w:rPr>
            </w:pPr>
            <w:r>
              <w:rPr>
                <w:rFonts w:ascii="Arial"/>
                <w:spacing w:val="-5"/>
                <w:sz w:val="18"/>
              </w:rPr>
              <w:t>N/A</w:t>
            </w:r>
          </w:p>
        </w:tc>
        <w:tc>
          <w:tcPr>
            <w:tcW w:w="989" w:type="dxa"/>
          </w:tcPr>
          <w:p>
            <w:pPr>
              <w:pStyle w:val="TableParagraph"/>
              <w:rPr>
                <w:i/>
                <w:sz w:val="20"/>
              </w:rPr>
            </w:pPr>
          </w:p>
          <w:p>
            <w:pPr>
              <w:pStyle w:val="TableParagraph"/>
              <w:spacing w:before="5"/>
              <w:rPr>
                <w:i/>
                <w:sz w:val="17"/>
              </w:rPr>
            </w:pPr>
          </w:p>
          <w:p>
            <w:pPr>
              <w:pStyle w:val="TableParagraph"/>
              <w:ind w:left="9"/>
              <w:jc w:val="center"/>
              <w:rPr>
                <w:rFonts w:ascii="Arial"/>
                <w:sz w:val="18"/>
              </w:rPr>
            </w:pPr>
            <w:r>
              <w:rPr>
                <w:rFonts w:ascii="Arial"/>
                <w:sz w:val="18"/>
              </w:rPr>
              <w:t>R</w:t>
            </w:r>
          </w:p>
        </w:tc>
        <w:tc>
          <w:tcPr>
            <w:tcW w:w="811" w:type="dxa"/>
          </w:tcPr>
          <w:p>
            <w:pPr>
              <w:pStyle w:val="TableParagraph"/>
              <w:rPr>
                <w:i/>
                <w:sz w:val="20"/>
              </w:rPr>
            </w:pPr>
          </w:p>
          <w:p>
            <w:pPr>
              <w:pStyle w:val="TableParagraph"/>
              <w:spacing w:before="5"/>
              <w:rPr>
                <w:i/>
                <w:sz w:val="17"/>
              </w:rPr>
            </w:pPr>
          </w:p>
          <w:p>
            <w:pPr>
              <w:pStyle w:val="TableParagraph"/>
              <w:ind w:left="4"/>
              <w:jc w:val="center"/>
              <w:rPr>
                <w:rFonts w:ascii="Arial"/>
                <w:sz w:val="18"/>
              </w:rPr>
            </w:pPr>
            <w:r>
              <w:rPr>
                <w:rFonts w:ascii="Arial"/>
                <w:sz w:val="18"/>
              </w:rPr>
              <w:t>P</w:t>
            </w:r>
          </w:p>
        </w:tc>
        <w:tc>
          <w:tcPr>
            <w:tcW w:w="720" w:type="dxa"/>
          </w:tcPr>
          <w:p>
            <w:pPr>
              <w:pStyle w:val="TableParagraph"/>
              <w:rPr>
                <w:i/>
                <w:sz w:val="20"/>
              </w:rPr>
            </w:pPr>
          </w:p>
          <w:p>
            <w:pPr>
              <w:pStyle w:val="TableParagraph"/>
              <w:spacing w:before="5"/>
              <w:rPr>
                <w:i/>
                <w:sz w:val="17"/>
              </w:rPr>
            </w:pPr>
          </w:p>
          <w:p>
            <w:pPr>
              <w:pStyle w:val="TableParagraph"/>
              <w:ind w:left="9"/>
              <w:jc w:val="center"/>
              <w:rPr>
                <w:rFonts w:ascii="Arial"/>
                <w:sz w:val="18"/>
              </w:rPr>
            </w:pPr>
            <w:r>
              <w:rPr>
                <w:rFonts w:ascii="Arial"/>
                <w:sz w:val="18"/>
              </w:rPr>
              <w:t>P</w:t>
            </w:r>
          </w:p>
        </w:tc>
      </w:tr>
      <w:tr>
        <w:trPr>
          <w:trHeight w:val="530" w:hRule="atLeast"/>
        </w:trPr>
        <w:tc>
          <w:tcPr>
            <w:tcW w:w="15211" w:type="dxa"/>
            <w:gridSpan w:val="12"/>
          </w:tcPr>
          <w:p>
            <w:pPr>
              <w:pStyle w:val="TableParagraph"/>
              <w:spacing w:before="162"/>
              <w:ind w:left="107"/>
              <w:rPr>
                <w:rFonts w:ascii="Arial"/>
                <w:b/>
                <w:sz w:val="18"/>
              </w:rPr>
            </w:pPr>
            <w:r>
              <w:rPr>
                <w:rFonts w:ascii="Arial"/>
                <w:b/>
                <w:sz w:val="18"/>
              </w:rPr>
              <w:t>Domain</w:t>
            </w:r>
            <w:r>
              <w:rPr>
                <w:rFonts w:ascii="Arial"/>
                <w:b/>
                <w:spacing w:val="-3"/>
                <w:sz w:val="18"/>
              </w:rPr>
              <w:t> </w:t>
            </w:r>
            <w:r>
              <w:rPr>
                <w:rFonts w:ascii="Arial"/>
                <w:b/>
                <w:sz w:val="18"/>
              </w:rPr>
              <w:t>3:</w:t>
            </w:r>
            <w:r>
              <w:rPr>
                <w:rFonts w:ascii="Arial"/>
                <w:b/>
                <w:spacing w:val="-3"/>
                <w:sz w:val="18"/>
              </w:rPr>
              <w:t> </w:t>
            </w:r>
            <w:r>
              <w:rPr>
                <w:rFonts w:ascii="Arial"/>
                <w:b/>
                <w:sz w:val="18"/>
              </w:rPr>
              <w:t>Avoidable</w:t>
            </w:r>
            <w:r>
              <w:rPr>
                <w:rFonts w:ascii="Arial"/>
                <w:b/>
                <w:spacing w:val="-1"/>
                <w:sz w:val="18"/>
              </w:rPr>
              <w:t> </w:t>
            </w:r>
            <w:r>
              <w:rPr>
                <w:rFonts w:ascii="Arial"/>
                <w:b/>
                <w:spacing w:val="-2"/>
                <w:sz w:val="18"/>
              </w:rPr>
              <w:t>Utilization</w:t>
            </w:r>
          </w:p>
        </w:tc>
      </w:tr>
      <w:tr>
        <w:trPr>
          <w:trHeight w:val="1067" w:hRule="atLeast"/>
        </w:trPr>
        <w:tc>
          <w:tcPr>
            <w:tcW w:w="540" w:type="dxa"/>
          </w:tcPr>
          <w:p>
            <w:pPr>
              <w:pStyle w:val="TableParagraph"/>
              <w:rPr>
                <w:i/>
                <w:sz w:val="20"/>
              </w:rPr>
            </w:pPr>
          </w:p>
          <w:p>
            <w:pPr>
              <w:pStyle w:val="TableParagraph"/>
              <w:spacing w:before="5"/>
              <w:rPr>
                <w:i/>
                <w:sz w:val="17"/>
              </w:rPr>
            </w:pPr>
          </w:p>
          <w:p>
            <w:pPr>
              <w:pStyle w:val="TableParagraph"/>
              <w:ind w:left="155" w:right="143"/>
              <w:jc w:val="center"/>
              <w:rPr>
                <w:rFonts w:ascii="Arial"/>
                <w:sz w:val="18"/>
              </w:rPr>
            </w:pPr>
            <w:r>
              <w:rPr>
                <w:rFonts w:ascii="Arial"/>
                <w:spacing w:val="-5"/>
                <w:sz w:val="18"/>
              </w:rPr>
              <w:t>12</w:t>
            </w:r>
          </w:p>
        </w:tc>
        <w:tc>
          <w:tcPr>
            <w:tcW w:w="1891" w:type="dxa"/>
          </w:tcPr>
          <w:p>
            <w:pPr>
              <w:pStyle w:val="TableParagraph"/>
              <w:spacing w:before="119"/>
              <w:ind w:left="153" w:right="141" w:hanging="4"/>
              <w:jc w:val="center"/>
              <w:rPr>
                <w:rFonts w:ascii="Arial"/>
                <w:sz w:val="18"/>
              </w:rPr>
            </w:pPr>
            <w:r>
              <w:rPr>
                <w:rFonts w:ascii="Arial"/>
                <w:sz w:val="18"/>
              </w:rPr>
              <w:t>ED Visits for Adults with</w:t>
            </w:r>
            <w:r>
              <w:rPr>
                <w:rFonts w:ascii="Arial"/>
                <w:spacing w:val="-15"/>
                <w:sz w:val="18"/>
              </w:rPr>
              <w:t> </w:t>
            </w:r>
            <w:r>
              <w:rPr>
                <w:rFonts w:ascii="Arial"/>
                <w:sz w:val="18"/>
              </w:rPr>
              <w:t>SMI,</w:t>
            </w:r>
            <w:r>
              <w:rPr>
                <w:rFonts w:ascii="Arial"/>
                <w:spacing w:val="-12"/>
                <w:sz w:val="18"/>
              </w:rPr>
              <w:t> </w:t>
            </w:r>
            <w:r>
              <w:rPr>
                <w:rFonts w:ascii="Arial"/>
                <w:sz w:val="18"/>
              </w:rPr>
              <w:t>Addiction, or Co-occurring </w:t>
            </w:r>
            <w:r>
              <w:rPr>
                <w:rFonts w:ascii="Arial"/>
                <w:spacing w:val="-2"/>
                <w:sz w:val="18"/>
              </w:rPr>
              <w:t>Conditions</w:t>
            </w:r>
          </w:p>
        </w:tc>
        <w:tc>
          <w:tcPr>
            <w:tcW w:w="3780" w:type="dxa"/>
          </w:tcPr>
          <w:p>
            <w:pPr>
              <w:pStyle w:val="TableParagraph"/>
              <w:spacing w:before="119"/>
              <w:ind w:left="158" w:right="145" w:hanging="3"/>
              <w:jc w:val="center"/>
              <w:rPr>
                <w:rFonts w:ascii="Arial"/>
                <w:sz w:val="18"/>
              </w:rPr>
            </w:pPr>
            <w:r>
              <w:rPr>
                <w:rFonts w:ascii="Arial"/>
                <w:sz w:val="18"/>
              </w:rPr>
              <w:t>The rate of ED visits for enrollees 18 to 64 years of age identified with a diagnosis of serious</w:t>
            </w:r>
            <w:r>
              <w:rPr>
                <w:rFonts w:ascii="Arial"/>
                <w:spacing w:val="-9"/>
                <w:sz w:val="18"/>
              </w:rPr>
              <w:t> </w:t>
            </w:r>
            <w:r>
              <w:rPr>
                <w:rFonts w:ascii="Arial"/>
                <w:sz w:val="18"/>
              </w:rPr>
              <w:t>mental</w:t>
            </w:r>
            <w:r>
              <w:rPr>
                <w:rFonts w:ascii="Arial"/>
                <w:spacing w:val="-10"/>
                <w:sz w:val="18"/>
              </w:rPr>
              <w:t> </w:t>
            </w:r>
            <w:r>
              <w:rPr>
                <w:rFonts w:ascii="Arial"/>
                <w:sz w:val="18"/>
              </w:rPr>
              <w:t>illness,</w:t>
            </w:r>
            <w:r>
              <w:rPr>
                <w:rFonts w:ascii="Arial"/>
                <w:spacing w:val="-10"/>
                <w:sz w:val="18"/>
              </w:rPr>
              <w:t> </w:t>
            </w:r>
            <w:r>
              <w:rPr>
                <w:rFonts w:ascii="Arial"/>
                <w:sz w:val="18"/>
              </w:rPr>
              <w:t>substance</w:t>
            </w:r>
            <w:r>
              <w:rPr>
                <w:rFonts w:ascii="Arial"/>
                <w:spacing w:val="-8"/>
                <w:sz w:val="18"/>
              </w:rPr>
              <w:t> </w:t>
            </w:r>
            <w:r>
              <w:rPr>
                <w:rFonts w:ascii="Arial"/>
                <w:sz w:val="18"/>
              </w:rPr>
              <w:t>addiction, or co-occurring conditions</w:t>
            </w:r>
          </w:p>
        </w:tc>
        <w:tc>
          <w:tcPr>
            <w:tcW w:w="1260" w:type="dxa"/>
          </w:tcPr>
          <w:p>
            <w:pPr>
              <w:pStyle w:val="TableParagraph"/>
              <w:rPr>
                <w:i/>
                <w:sz w:val="20"/>
              </w:rPr>
            </w:pPr>
          </w:p>
          <w:p>
            <w:pPr>
              <w:pStyle w:val="TableParagraph"/>
              <w:spacing w:before="5"/>
              <w:rPr>
                <w:i/>
                <w:sz w:val="17"/>
              </w:rPr>
            </w:pPr>
          </w:p>
          <w:p>
            <w:pPr>
              <w:pStyle w:val="TableParagraph"/>
              <w:spacing w:before="1"/>
              <w:ind w:left="133" w:right="122"/>
              <w:jc w:val="center"/>
              <w:rPr>
                <w:rFonts w:ascii="Arial"/>
                <w:sz w:val="18"/>
              </w:rPr>
            </w:pPr>
            <w:r>
              <w:rPr>
                <w:rFonts w:ascii="Arial"/>
                <w:spacing w:val="-4"/>
                <w:sz w:val="18"/>
              </w:rPr>
              <w:t>Admin</w:t>
            </w:r>
          </w:p>
        </w:tc>
        <w:tc>
          <w:tcPr>
            <w:tcW w:w="1260" w:type="dxa"/>
          </w:tcPr>
          <w:p>
            <w:pPr>
              <w:pStyle w:val="TableParagraph"/>
              <w:rPr>
                <w:i/>
                <w:sz w:val="20"/>
              </w:rPr>
            </w:pPr>
          </w:p>
          <w:p>
            <w:pPr>
              <w:pStyle w:val="TableParagraph"/>
              <w:spacing w:before="5"/>
              <w:rPr>
                <w:i/>
                <w:sz w:val="17"/>
              </w:rPr>
            </w:pPr>
          </w:p>
          <w:p>
            <w:pPr>
              <w:pStyle w:val="TableParagraph"/>
              <w:spacing w:before="1"/>
              <w:ind w:right="271"/>
              <w:jc w:val="right"/>
              <w:rPr>
                <w:rFonts w:ascii="Arial"/>
                <w:sz w:val="18"/>
              </w:rPr>
            </w:pPr>
            <w:r>
              <w:rPr>
                <w:rFonts w:ascii="Arial"/>
                <w:sz w:val="18"/>
              </w:rPr>
              <w:t>Q4 </w:t>
            </w:r>
            <w:r>
              <w:rPr>
                <w:rFonts w:ascii="Arial"/>
                <w:spacing w:val="-4"/>
                <w:sz w:val="18"/>
              </w:rPr>
              <w:t>2021</w:t>
            </w:r>
          </w:p>
        </w:tc>
        <w:tc>
          <w:tcPr>
            <w:tcW w:w="1260" w:type="dxa"/>
          </w:tcPr>
          <w:p>
            <w:pPr>
              <w:pStyle w:val="TableParagraph"/>
              <w:spacing w:before="6"/>
              <w:rPr>
                <w:i/>
                <w:sz w:val="28"/>
              </w:rPr>
            </w:pPr>
          </w:p>
          <w:p>
            <w:pPr>
              <w:pStyle w:val="TableParagraph"/>
              <w:ind w:left="309" w:right="290" w:firstLine="184"/>
              <w:rPr>
                <w:rFonts w:ascii="Arial"/>
                <w:sz w:val="18"/>
              </w:rPr>
            </w:pPr>
            <w:r>
              <w:rPr>
                <w:rFonts w:ascii="Arial"/>
                <w:spacing w:val="-6"/>
                <w:sz w:val="18"/>
              </w:rPr>
              <w:t>MA </w:t>
            </w:r>
            <w:r>
              <w:rPr>
                <w:rFonts w:ascii="Arial"/>
                <w:spacing w:val="-2"/>
                <w:sz w:val="18"/>
              </w:rPr>
              <w:t>EOHHS</w:t>
            </w:r>
          </w:p>
        </w:tc>
        <w:tc>
          <w:tcPr>
            <w:tcW w:w="900" w:type="dxa"/>
          </w:tcPr>
          <w:p>
            <w:pPr>
              <w:pStyle w:val="TableParagraph"/>
              <w:rPr>
                <w:i/>
                <w:sz w:val="20"/>
              </w:rPr>
            </w:pPr>
          </w:p>
          <w:p>
            <w:pPr>
              <w:pStyle w:val="TableParagraph"/>
              <w:spacing w:before="6"/>
              <w:rPr>
                <w:i/>
                <w:sz w:val="17"/>
              </w:rPr>
            </w:pPr>
          </w:p>
          <w:p>
            <w:pPr>
              <w:pStyle w:val="TableParagraph"/>
              <w:ind w:right="288"/>
              <w:jc w:val="right"/>
              <w:rPr>
                <w:rFonts w:ascii="Arial"/>
                <w:sz w:val="18"/>
              </w:rPr>
            </w:pPr>
            <w:r>
              <w:rPr>
                <w:rFonts w:ascii="Arial"/>
                <w:spacing w:val="-5"/>
                <w:sz w:val="18"/>
              </w:rPr>
              <w:t>N/A</w:t>
            </w:r>
          </w:p>
        </w:tc>
        <w:tc>
          <w:tcPr>
            <w:tcW w:w="900" w:type="dxa"/>
          </w:tcPr>
          <w:p>
            <w:pPr>
              <w:pStyle w:val="TableParagraph"/>
              <w:rPr>
                <w:i/>
                <w:sz w:val="20"/>
              </w:rPr>
            </w:pPr>
          </w:p>
          <w:p>
            <w:pPr>
              <w:pStyle w:val="TableParagraph"/>
              <w:spacing w:before="6"/>
              <w:rPr>
                <w:i/>
                <w:sz w:val="17"/>
              </w:rPr>
            </w:pPr>
          </w:p>
          <w:p>
            <w:pPr>
              <w:pStyle w:val="TableParagraph"/>
              <w:ind w:left="7"/>
              <w:jc w:val="center"/>
              <w:rPr>
                <w:rFonts w:ascii="Arial"/>
                <w:sz w:val="18"/>
              </w:rPr>
            </w:pPr>
            <w:r>
              <w:rPr>
                <w:rFonts w:ascii="Arial"/>
                <w:sz w:val="18"/>
              </w:rPr>
              <w:t>R</w:t>
            </w:r>
          </w:p>
        </w:tc>
        <w:tc>
          <w:tcPr>
            <w:tcW w:w="900" w:type="dxa"/>
          </w:tcPr>
          <w:p>
            <w:pPr>
              <w:pStyle w:val="TableParagraph"/>
              <w:rPr>
                <w:i/>
                <w:sz w:val="20"/>
              </w:rPr>
            </w:pPr>
          </w:p>
          <w:p>
            <w:pPr>
              <w:pStyle w:val="TableParagraph"/>
              <w:spacing w:before="6"/>
              <w:rPr>
                <w:i/>
                <w:sz w:val="17"/>
              </w:rPr>
            </w:pPr>
          </w:p>
          <w:p>
            <w:pPr>
              <w:pStyle w:val="TableParagraph"/>
              <w:ind w:left="7"/>
              <w:jc w:val="center"/>
              <w:rPr>
                <w:rFonts w:ascii="Arial"/>
                <w:sz w:val="18"/>
              </w:rPr>
            </w:pPr>
            <w:r>
              <w:rPr>
                <w:rFonts w:ascii="Arial"/>
                <w:sz w:val="18"/>
              </w:rPr>
              <w:t>R</w:t>
            </w:r>
          </w:p>
        </w:tc>
        <w:tc>
          <w:tcPr>
            <w:tcW w:w="989" w:type="dxa"/>
          </w:tcPr>
          <w:p>
            <w:pPr>
              <w:pStyle w:val="TableParagraph"/>
              <w:rPr>
                <w:i/>
                <w:sz w:val="20"/>
              </w:rPr>
            </w:pPr>
          </w:p>
          <w:p>
            <w:pPr>
              <w:pStyle w:val="TableParagraph"/>
              <w:spacing w:before="6"/>
              <w:rPr>
                <w:i/>
                <w:sz w:val="17"/>
              </w:rPr>
            </w:pPr>
          </w:p>
          <w:p>
            <w:pPr>
              <w:pStyle w:val="TableParagraph"/>
              <w:ind w:left="110" w:right="101"/>
              <w:jc w:val="center"/>
              <w:rPr>
                <w:rFonts w:ascii="Arial"/>
                <w:sz w:val="18"/>
              </w:rPr>
            </w:pPr>
            <w:r>
              <w:rPr>
                <w:rFonts w:ascii="Arial"/>
                <w:sz w:val="18"/>
              </w:rPr>
              <w:t>P </w:t>
            </w:r>
            <w:r>
              <w:rPr>
                <w:rFonts w:ascii="Arial"/>
                <w:spacing w:val="-2"/>
                <w:sz w:val="18"/>
              </w:rPr>
              <w:t>(19/20)</w:t>
            </w:r>
          </w:p>
        </w:tc>
        <w:tc>
          <w:tcPr>
            <w:tcW w:w="811" w:type="dxa"/>
          </w:tcPr>
          <w:p>
            <w:pPr>
              <w:pStyle w:val="TableParagraph"/>
              <w:rPr>
                <w:i/>
                <w:sz w:val="20"/>
              </w:rPr>
            </w:pPr>
          </w:p>
          <w:p>
            <w:pPr>
              <w:pStyle w:val="TableParagraph"/>
              <w:spacing w:before="6"/>
              <w:rPr>
                <w:i/>
                <w:sz w:val="17"/>
              </w:rPr>
            </w:pPr>
          </w:p>
          <w:p>
            <w:pPr>
              <w:pStyle w:val="TableParagraph"/>
              <w:ind w:left="4"/>
              <w:jc w:val="center"/>
              <w:rPr>
                <w:rFonts w:ascii="Arial"/>
                <w:sz w:val="18"/>
              </w:rPr>
            </w:pPr>
            <w:r>
              <w:rPr>
                <w:rFonts w:ascii="Arial"/>
                <w:sz w:val="18"/>
              </w:rPr>
              <w:t>P</w:t>
            </w:r>
          </w:p>
        </w:tc>
        <w:tc>
          <w:tcPr>
            <w:tcW w:w="720" w:type="dxa"/>
          </w:tcPr>
          <w:p>
            <w:pPr>
              <w:pStyle w:val="TableParagraph"/>
              <w:rPr>
                <w:i/>
                <w:sz w:val="20"/>
              </w:rPr>
            </w:pPr>
          </w:p>
          <w:p>
            <w:pPr>
              <w:pStyle w:val="TableParagraph"/>
              <w:spacing w:before="6"/>
              <w:rPr>
                <w:i/>
                <w:sz w:val="17"/>
              </w:rPr>
            </w:pPr>
          </w:p>
          <w:p>
            <w:pPr>
              <w:pStyle w:val="TableParagraph"/>
              <w:ind w:left="9"/>
              <w:jc w:val="center"/>
              <w:rPr>
                <w:rFonts w:ascii="Arial"/>
                <w:sz w:val="18"/>
              </w:rPr>
            </w:pPr>
            <w:r>
              <w:rPr>
                <w:rFonts w:ascii="Arial"/>
                <w:sz w:val="18"/>
              </w:rPr>
              <w:t>P</w:t>
            </w:r>
          </w:p>
        </w:tc>
      </w:tr>
      <w:tr>
        <w:trPr>
          <w:trHeight w:val="861" w:hRule="atLeast"/>
        </w:trPr>
        <w:tc>
          <w:tcPr>
            <w:tcW w:w="540" w:type="dxa"/>
          </w:tcPr>
          <w:p>
            <w:pPr>
              <w:pStyle w:val="TableParagraph"/>
              <w:spacing w:before="5"/>
              <w:rPr>
                <w:i/>
                <w:sz w:val="28"/>
              </w:rPr>
            </w:pPr>
          </w:p>
          <w:p>
            <w:pPr>
              <w:pStyle w:val="TableParagraph"/>
              <w:ind w:left="155" w:right="143"/>
              <w:jc w:val="center"/>
              <w:rPr>
                <w:rFonts w:ascii="Arial"/>
                <w:sz w:val="18"/>
              </w:rPr>
            </w:pPr>
            <w:r>
              <w:rPr>
                <w:rFonts w:ascii="Arial"/>
                <w:spacing w:val="-5"/>
                <w:sz w:val="18"/>
              </w:rPr>
              <w:t>13</w:t>
            </w:r>
          </w:p>
        </w:tc>
        <w:tc>
          <w:tcPr>
            <w:tcW w:w="1891" w:type="dxa"/>
          </w:tcPr>
          <w:p>
            <w:pPr>
              <w:pStyle w:val="TableParagraph"/>
              <w:spacing w:before="119"/>
              <w:ind w:left="158" w:right="152"/>
              <w:jc w:val="center"/>
              <w:rPr>
                <w:rFonts w:ascii="Arial"/>
                <w:sz w:val="18"/>
              </w:rPr>
            </w:pPr>
            <w:r>
              <w:rPr>
                <w:rFonts w:ascii="Arial"/>
                <w:spacing w:val="-2"/>
                <w:sz w:val="18"/>
              </w:rPr>
              <w:t>Hospital Readmissions (Adult)</w:t>
            </w:r>
          </w:p>
        </w:tc>
        <w:tc>
          <w:tcPr>
            <w:tcW w:w="3780" w:type="dxa"/>
          </w:tcPr>
          <w:p>
            <w:pPr>
              <w:pStyle w:val="TableParagraph"/>
              <w:spacing w:before="119"/>
              <w:ind w:left="117" w:right="106" w:firstLine="1"/>
              <w:jc w:val="center"/>
              <w:rPr>
                <w:rFonts w:ascii="Arial"/>
                <w:sz w:val="18"/>
              </w:rPr>
            </w:pPr>
            <w:r>
              <w:rPr>
                <w:rFonts w:ascii="Arial"/>
                <w:sz w:val="18"/>
              </w:rPr>
              <w:t>The rate of acute unplanned hospital readmissions</w:t>
            </w:r>
            <w:r>
              <w:rPr>
                <w:rFonts w:ascii="Arial"/>
                <w:spacing w:val="-5"/>
                <w:sz w:val="18"/>
              </w:rPr>
              <w:t> </w:t>
            </w:r>
            <w:r>
              <w:rPr>
                <w:rFonts w:ascii="Arial"/>
                <w:sz w:val="18"/>
              </w:rPr>
              <w:t>within</w:t>
            </w:r>
            <w:r>
              <w:rPr>
                <w:rFonts w:ascii="Arial"/>
                <w:spacing w:val="-5"/>
                <w:sz w:val="18"/>
              </w:rPr>
              <w:t> </w:t>
            </w:r>
            <w:r>
              <w:rPr>
                <w:rFonts w:ascii="Arial"/>
                <w:sz w:val="18"/>
              </w:rPr>
              <w:t>30</w:t>
            </w:r>
            <w:r>
              <w:rPr>
                <w:rFonts w:ascii="Arial"/>
                <w:spacing w:val="-8"/>
                <w:sz w:val="18"/>
              </w:rPr>
              <w:t> </w:t>
            </w:r>
            <w:r>
              <w:rPr>
                <w:rFonts w:ascii="Arial"/>
                <w:sz w:val="18"/>
              </w:rPr>
              <w:t>days</w:t>
            </w:r>
            <w:r>
              <w:rPr>
                <w:rFonts w:ascii="Arial"/>
                <w:spacing w:val="-5"/>
                <w:sz w:val="18"/>
              </w:rPr>
              <w:t> </w:t>
            </w:r>
            <w:r>
              <w:rPr>
                <w:rFonts w:ascii="Arial"/>
                <w:sz w:val="18"/>
              </w:rPr>
              <w:t>of</w:t>
            </w:r>
            <w:r>
              <w:rPr>
                <w:rFonts w:ascii="Arial"/>
                <w:spacing w:val="-8"/>
                <w:sz w:val="18"/>
              </w:rPr>
              <w:t> </w:t>
            </w:r>
            <w:r>
              <w:rPr>
                <w:rFonts w:ascii="Arial"/>
                <w:sz w:val="18"/>
              </w:rPr>
              <w:t>discharge</w:t>
            </w:r>
            <w:r>
              <w:rPr>
                <w:rFonts w:ascii="Arial"/>
                <w:spacing w:val="-5"/>
                <w:sz w:val="18"/>
              </w:rPr>
              <w:t> </w:t>
            </w:r>
            <w:r>
              <w:rPr>
                <w:rFonts w:ascii="Arial"/>
                <w:sz w:val="18"/>
              </w:rPr>
              <w:t>for enrollees 18 to 64 years of age</w:t>
            </w:r>
          </w:p>
        </w:tc>
        <w:tc>
          <w:tcPr>
            <w:tcW w:w="1260" w:type="dxa"/>
          </w:tcPr>
          <w:p>
            <w:pPr>
              <w:pStyle w:val="TableParagraph"/>
              <w:spacing w:before="5"/>
              <w:rPr>
                <w:i/>
                <w:sz w:val="28"/>
              </w:rPr>
            </w:pPr>
          </w:p>
          <w:p>
            <w:pPr>
              <w:pStyle w:val="TableParagraph"/>
              <w:ind w:left="133" w:right="122"/>
              <w:jc w:val="center"/>
              <w:rPr>
                <w:rFonts w:ascii="Arial"/>
                <w:sz w:val="18"/>
              </w:rPr>
            </w:pPr>
            <w:r>
              <w:rPr>
                <w:rFonts w:ascii="Arial"/>
                <w:spacing w:val="-4"/>
                <w:sz w:val="18"/>
              </w:rPr>
              <w:t>Admin</w:t>
            </w:r>
          </w:p>
        </w:tc>
        <w:tc>
          <w:tcPr>
            <w:tcW w:w="1260" w:type="dxa"/>
          </w:tcPr>
          <w:p>
            <w:pPr>
              <w:pStyle w:val="TableParagraph"/>
              <w:spacing w:before="5"/>
              <w:rPr>
                <w:i/>
                <w:sz w:val="28"/>
              </w:rPr>
            </w:pPr>
          </w:p>
          <w:p>
            <w:pPr>
              <w:pStyle w:val="TableParagraph"/>
              <w:ind w:right="271"/>
              <w:jc w:val="right"/>
              <w:rPr>
                <w:rFonts w:ascii="Arial"/>
                <w:sz w:val="18"/>
              </w:rPr>
            </w:pPr>
            <w:r>
              <w:rPr>
                <w:rFonts w:ascii="Arial"/>
                <w:sz w:val="18"/>
              </w:rPr>
              <w:t>Q4 </w:t>
            </w:r>
            <w:r>
              <w:rPr>
                <w:rFonts w:ascii="Arial"/>
                <w:spacing w:val="-4"/>
                <w:sz w:val="18"/>
              </w:rPr>
              <w:t>2021</w:t>
            </w:r>
          </w:p>
        </w:tc>
        <w:tc>
          <w:tcPr>
            <w:tcW w:w="1260" w:type="dxa"/>
          </w:tcPr>
          <w:p>
            <w:pPr>
              <w:pStyle w:val="TableParagraph"/>
              <w:spacing w:before="5"/>
              <w:rPr>
                <w:i/>
                <w:sz w:val="28"/>
              </w:rPr>
            </w:pPr>
          </w:p>
          <w:p>
            <w:pPr>
              <w:pStyle w:val="TableParagraph"/>
              <w:ind w:left="133" w:right="126"/>
              <w:jc w:val="center"/>
              <w:rPr>
                <w:rFonts w:ascii="Arial"/>
                <w:sz w:val="18"/>
              </w:rPr>
            </w:pPr>
            <w:r>
              <w:rPr>
                <w:rFonts w:ascii="Arial"/>
                <w:spacing w:val="-4"/>
                <w:sz w:val="18"/>
              </w:rPr>
              <w:t>NCQA</w:t>
            </w:r>
          </w:p>
        </w:tc>
        <w:tc>
          <w:tcPr>
            <w:tcW w:w="900" w:type="dxa"/>
          </w:tcPr>
          <w:p>
            <w:pPr>
              <w:pStyle w:val="TableParagraph"/>
              <w:spacing w:before="5"/>
              <w:rPr>
                <w:i/>
                <w:sz w:val="28"/>
              </w:rPr>
            </w:pPr>
          </w:p>
          <w:p>
            <w:pPr>
              <w:pStyle w:val="TableParagraph"/>
              <w:ind w:right="235"/>
              <w:jc w:val="right"/>
              <w:rPr>
                <w:rFonts w:ascii="Arial"/>
                <w:sz w:val="18"/>
              </w:rPr>
            </w:pPr>
            <w:r>
              <w:rPr>
                <w:rFonts w:ascii="Arial"/>
                <w:spacing w:val="-4"/>
                <w:sz w:val="18"/>
              </w:rPr>
              <w:t>1768</w:t>
            </w:r>
          </w:p>
        </w:tc>
        <w:tc>
          <w:tcPr>
            <w:tcW w:w="900" w:type="dxa"/>
          </w:tcPr>
          <w:p>
            <w:pPr>
              <w:pStyle w:val="TableParagraph"/>
              <w:spacing w:before="5"/>
              <w:rPr>
                <w:i/>
                <w:sz w:val="28"/>
              </w:rPr>
            </w:pPr>
          </w:p>
          <w:p>
            <w:pPr>
              <w:pStyle w:val="TableParagraph"/>
              <w:ind w:left="7"/>
              <w:jc w:val="center"/>
              <w:rPr>
                <w:rFonts w:ascii="Arial"/>
                <w:sz w:val="18"/>
              </w:rPr>
            </w:pPr>
            <w:r>
              <w:rPr>
                <w:rFonts w:ascii="Arial"/>
                <w:sz w:val="18"/>
              </w:rPr>
              <w:t>R</w:t>
            </w:r>
          </w:p>
        </w:tc>
        <w:tc>
          <w:tcPr>
            <w:tcW w:w="900" w:type="dxa"/>
          </w:tcPr>
          <w:p>
            <w:pPr>
              <w:pStyle w:val="TableParagraph"/>
              <w:spacing w:before="5"/>
              <w:rPr>
                <w:i/>
                <w:sz w:val="28"/>
              </w:rPr>
            </w:pPr>
          </w:p>
          <w:p>
            <w:pPr>
              <w:pStyle w:val="TableParagraph"/>
              <w:ind w:left="7"/>
              <w:jc w:val="center"/>
              <w:rPr>
                <w:rFonts w:ascii="Arial"/>
                <w:sz w:val="18"/>
              </w:rPr>
            </w:pPr>
            <w:r>
              <w:rPr>
                <w:rFonts w:ascii="Arial"/>
                <w:sz w:val="18"/>
              </w:rPr>
              <w:t>R</w:t>
            </w:r>
          </w:p>
        </w:tc>
        <w:tc>
          <w:tcPr>
            <w:tcW w:w="989" w:type="dxa"/>
          </w:tcPr>
          <w:p>
            <w:pPr>
              <w:pStyle w:val="TableParagraph"/>
              <w:spacing w:before="5"/>
              <w:rPr>
                <w:i/>
                <w:sz w:val="28"/>
              </w:rPr>
            </w:pPr>
          </w:p>
          <w:p>
            <w:pPr>
              <w:pStyle w:val="TableParagraph"/>
              <w:ind w:left="110" w:right="101"/>
              <w:jc w:val="center"/>
              <w:rPr>
                <w:rFonts w:ascii="Arial"/>
                <w:sz w:val="18"/>
              </w:rPr>
            </w:pPr>
            <w:r>
              <w:rPr>
                <w:rFonts w:ascii="Arial"/>
                <w:sz w:val="18"/>
              </w:rPr>
              <w:t>P </w:t>
            </w:r>
            <w:r>
              <w:rPr>
                <w:rFonts w:ascii="Arial"/>
                <w:spacing w:val="-2"/>
                <w:sz w:val="18"/>
              </w:rPr>
              <w:t>(19/20)</w:t>
            </w:r>
          </w:p>
        </w:tc>
        <w:tc>
          <w:tcPr>
            <w:tcW w:w="811" w:type="dxa"/>
          </w:tcPr>
          <w:p>
            <w:pPr>
              <w:pStyle w:val="TableParagraph"/>
              <w:spacing w:before="5"/>
              <w:rPr>
                <w:i/>
                <w:sz w:val="28"/>
              </w:rPr>
            </w:pPr>
          </w:p>
          <w:p>
            <w:pPr>
              <w:pStyle w:val="TableParagraph"/>
              <w:ind w:left="5"/>
              <w:jc w:val="center"/>
              <w:rPr>
                <w:rFonts w:ascii="Arial"/>
                <w:sz w:val="18"/>
              </w:rPr>
            </w:pPr>
            <w:r>
              <w:rPr>
                <w:rFonts w:ascii="Arial"/>
                <w:sz w:val="18"/>
              </w:rPr>
              <w:t>P</w:t>
            </w:r>
          </w:p>
        </w:tc>
        <w:tc>
          <w:tcPr>
            <w:tcW w:w="720" w:type="dxa"/>
          </w:tcPr>
          <w:p>
            <w:pPr>
              <w:pStyle w:val="TableParagraph"/>
              <w:spacing w:before="5"/>
              <w:rPr>
                <w:i/>
                <w:sz w:val="28"/>
              </w:rPr>
            </w:pPr>
          </w:p>
          <w:p>
            <w:pPr>
              <w:pStyle w:val="TableParagraph"/>
              <w:ind w:left="10"/>
              <w:jc w:val="center"/>
              <w:rPr>
                <w:rFonts w:ascii="Arial"/>
                <w:sz w:val="18"/>
              </w:rPr>
            </w:pPr>
            <w:r>
              <w:rPr>
                <w:rFonts w:ascii="Arial"/>
                <w:sz w:val="18"/>
              </w:rPr>
              <w:t>P</w:t>
            </w:r>
          </w:p>
        </w:tc>
      </w:tr>
      <w:tr>
        <w:trPr>
          <w:trHeight w:val="441" w:hRule="atLeast"/>
        </w:trPr>
        <w:tc>
          <w:tcPr>
            <w:tcW w:w="15211" w:type="dxa"/>
            <w:gridSpan w:val="12"/>
          </w:tcPr>
          <w:p>
            <w:pPr>
              <w:pStyle w:val="TableParagraph"/>
              <w:spacing w:before="116"/>
              <w:ind w:left="107"/>
              <w:rPr>
                <w:rFonts w:ascii="Arial"/>
                <w:b/>
                <w:sz w:val="18"/>
              </w:rPr>
            </w:pPr>
            <w:r>
              <w:rPr>
                <w:rFonts w:ascii="Arial"/>
                <w:b/>
                <w:sz w:val="18"/>
              </w:rPr>
              <w:t>Domain</w:t>
            </w:r>
            <w:r>
              <w:rPr>
                <w:rFonts w:ascii="Arial"/>
                <w:b/>
                <w:spacing w:val="-1"/>
                <w:sz w:val="18"/>
              </w:rPr>
              <w:t> </w:t>
            </w:r>
            <w:r>
              <w:rPr>
                <w:rFonts w:ascii="Arial"/>
                <w:b/>
                <w:sz w:val="18"/>
              </w:rPr>
              <w:t>4:</w:t>
            </w:r>
            <w:r>
              <w:rPr>
                <w:rFonts w:ascii="Arial"/>
                <w:b/>
                <w:spacing w:val="-3"/>
                <w:sz w:val="18"/>
              </w:rPr>
              <w:t> </w:t>
            </w:r>
            <w:r>
              <w:rPr>
                <w:rFonts w:ascii="Arial"/>
                <w:b/>
                <w:sz w:val="18"/>
              </w:rPr>
              <w:t>Member</w:t>
            </w:r>
            <w:r>
              <w:rPr>
                <w:rFonts w:ascii="Arial"/>
                <w:b/>
                <w:spacing w:val="-1"/>
                <w:sz w:val="18"/>
              </w:rPr>
              <w:t> </w:t>
            </w:r>
            <w:r>
              <w:rPr>
                <w:rFonts w:ascii="Arial"/>
                <w:b/>
                <w:spacing w:val="-2"/>
                <w:sz w:val="18"/>
              </w:rPr>
              <w:t>Experience</w:t>
            </w:r>
          </w:p>
        </w:tc>
      </w:tr>
      <w:tr>
        <w:trPr>
          <w:trHeight w:val="861" w:hRule="atLeast"/>
        </w:trPr>
        <w:tc>
          <w:tcPr>
            <w:tcW w:w="540" w:type="dxa"/>
          </w:tcPr>
          <w:p>
            <w:pPr>
              <w:pStyle w:val="TableParagraph"/>
              <w:rPr>
                <w:sz w:val="18"/>
              </w:rPr>
            </w:pPr>
          </w:p>
        </w:tc>
        <w:tc>
          <w:tcPr>
            <w:tcW w:w="1891" w:type="dxa"/>
          </w:tcPr>
          <w:p>
            <w:pPr>
              <w:pStyle w:val="TableParagraph"/>
              <w:spacing w:before="119"/>
              <w:ind w:left="422" w:firstLine="192"/>
              <w:rPr>
                <w:rFonts w:ascii="Arial"/>
                <w:sz w:val="18"/>
              </w:rPr>
            </w:pPr>
            <w:r>
              <w:rPr>
                <w:rFonts w:ascii="Arial"/>
                <w:spacing w:val="-2"/>
                <w:sz w:val="18"/>
              </w:rPr>
              <w:t>Member Experience**</w:t>
            </w:r>
          </w:p>
        </w:tc>
        <w:tc>
          <w:tcPr>
            <w:tcW w:w="3780" w:type="dxa"/>
          </w:tcPr>
          <w:p>
            <w:pPr>
              <w:pStyle w:val="TableParagraph"/>
              <w:spacing w:before="119"/>
              <w:ind w:left="556" w:right="547" w:firstLine="3"/>
              <w:jc w:val="center"/>
              <w:rPr>
                <w:rFonts w:ascii="Arial"/>
                <w:sz w:val="18"/>
              </w:rPr>
            </w:pPr>
            <w:r>
              <w:rPr>
                <w:rFonts w:ascii="Arial"/>
                <w:sz w:val="18"/>
              </w:rPr>
              <w:t>Composites Related to Member Engagement,</w:t>
            </w:r>
            <w:r>
              <w:rPr>
                <w:rFonts w:ascii="Arial"/>
                <w:spacing w:val="-11"/>
                <w:sz w:val="18"/>
              </w:rPr>
              <w:t> </w:t>
            </w:r>
            <w:r>
              <w:rPr>
                <w:rFonts w:ascii="Arial"/>
                <w:sz w:val="18"/>
              </w:rPr>
              <w:t>Care</w:t>
            </w:r>
            <w:r>
              <w:rPr>
                <w:rFonts w:ascii="Arial"/>
                <w:spacing w:val="-13"/>
                <w:sz w:val="18"/>
              </w:rPr>
              <w:t> </w:t>
            </w:r>
            <w:r>
              <w:rPr>
                <w:rFonts w:ascii="Arial"/>
                <w:sz w:val="18"/>
              </w:rPr>
              <w:t>Planning,</w:t>
            </w:r>
            <w:r>
              <w:rPr>
                <w:rFonts w:ascii="Arial"/>
                <w:spacing w:val="-12"/>
                <w:sz w:val="18"/>
              </w:rPr>
              <w:t> </w:t>
            </w:r>
            <w:r>
              <w:rPr>
                <w:rFonts w:ascii="Arial"/>
                <w:sz w:val="18"/>
              </w:rPr>
              <w:t>and Community Tenure</w:t>
            </w:r>
          </w:p>
        </w:tc>
        <w:tc>
          <w:tcPr>
            <w:tcW w:w="1260" w:type="dxa"/>
          </w:tcPr>
          <w:p>
            <w:pPr>
              <w:pStyle w:val="TableParagraph"/>
              <w:spacing w:before="3"/>
              <w:rPr>
                <w:i/>
                <w:sz w:val="28"/>
              </w:rPr>
            </w:pPr>
          </w:p>
          <w:p>
            <w:pPr>
              <w:pStyle w:val="TableParagraph"/>
              <w:ind w:left="133" w:right="122"/>
              <w:jc w:val="center"/>
              <w:rPr>
                <w:rFonts w:ascii="Arial"/>
                <w:sz w:val="18"/>
              </w:rPr>
            </w:pPr>
            <w:r>
              <w:rPr>
                <w:rFonts w:ascii="Arial"/>
                <w:spacing w:val="-2"/>
                <w:sz w:val="18"/>
              </w:rPr>
              <w:t>Survey</w:t>
            </w:r>
          </w:p>
        </w:tc>
        <w:tc>
          <w:tcPr>
            <w:tcW w:w="1260" w:type="dxa"/>
          </w:tcPr>
          <w:p>
            <w:pPr>
              <w:pStyle w:val="TableParagraph"/>
              <w:spacing w:before="3"/>
              <w:rPr>
                <w:i/>
                <w:sz w:val="28"/>
              </w:rPr>
            </w:pPr>
          </w:p>
          <w:p>
            <w:pPr>
              <w:pStyle w:val="TableParagraph"/>
              <w:ind w:right="271"/>
              <w:jc w:val="right"/>
              <w:rPr>
                <w:rFonts w:ascii="Arial"/>
                <w:sz w:val="18"/>
              </w:rPr>
            </w:pPr>
            <w:r>
              <w:rPr>
                <w:rFonts w:ascii="Arial"/>
                <w:sz w:val="18"/>
              </w:rPr>
              <w:t>Q4 </w:t>
            </w:r>
            <w:r>
              <w:rPr>
                <w:rFonts w:ascii="Arial"/>
                <w:spacing w:val="-4"/>
                <w:sz w:val="18"/>
              </w:rPr>
              <w:t>2021</w:t>
            </w:r>
          </w:p>
        </w:tc>
        <w:tc>
          <w:tcPr>
            <w:tcW w:w="1260" w:type="dxa"/>
          </w:tcPr>
          <w:p>
            <w:pPr>
              <w:pStyle w:val="TableParagraph"/>
              <w:spacing w:before="3"/>
              <w:rPr>
                <w:i/>
                <w:sz w:val="28"/>
              </w:rPr>
            </w:pPr>
          </w:p>
          <w:p>
            <w:pPr>
              <w:pStyle w:val="TableParagraph"/>
              <w:ind w:left="133" w:right="124"/>
              <w:jc w:val="center"/>
              <w:rPr>
                <w:rFonts w:ascii="Arial"/>
                <w:sz w:val="18"/>
              </w:rPr>
            </w:pPr>
            <w:r>
              <w:rPr>
                <w:rFonts w:ascii="Arial"/>
                <w:spacing w:val="-5"/>
                <w:sz w:val="18"/>
              </w:rPr>
              <w:t>n/a</w:t>
            </w:r>
          </w:p>
        </w:tc>
        <w:tc>
          <w:tcPr>
            <w:tcW w:w="900" w:type="dxa"/>
          </w:tcPr>
          <w:p>
            <w:pPr>
              <w:pStyle w:val="TableParagraph"/>
              <w:spacing w:before="3"/>
              <w:rPr>
                <w:i/>
                <w:sz w:val="28"/>
              </w:rPr>
            </w:pPr>
          </w:p>
          <w:p>
            <w:pPr>
              <w:pStyle w:val="TableParagraph"/>
              <w:ind w:right="312"/>
              <w:jc w:val="right"/>
              <w:rPr>
                <w:rFonts w:ascii="Arial"/>
                <w:sz w:val="18"/>
              </w:rPr>
            </w:pPr>
            <w:r>
              <w:rPr>
                <w:rFonts w:ascii="Arial"/>
                <w:spacing w:val="-5"/>
                <w:sz w:val="18"/>
              </w:rPr>
              <w:t>n/a</w:t>
            </w:r>
          </w:p>
        </w:tc>
        <w:tc>
          <w:tcPr>
            <w:tcW w:w="900" w:type="dxa"/>
          </w:tcPr>
          <w:p>
            <w:pPr>
              <w:pStyle w:val="TableParagraph"/>
              <w:spacing w:before="3"/>
              <w:rPr>
                <w:i/>
                <w:sz w:val="28"/>
              </w:rPr>
            </w:pPr>
          </w:p>
          <w:p>
            <w:pPr>
              <w:pStyle w:val="TableParagraph"/>
              <w:ind w:left="8"/>
              <w:jc w:val="center"/>
              <w:rPr>
                <w:rFonts w:ascii="Arial"/>
                <w:sz w:val="18"/>
              </w:rPr>
            </w:pPr>
            <w:r>
              <w:rPr>
                <w:rFonts w:ascii="Arial"/>
                <w:sz w:val="18"/>
              </w:rPr>
              <w:t>R</w:t>
            </w:r>
          </w:p>
        </w:tc>
        <w:tc>
          <w:tcPr>
            <w:tcW w:w="900" w:type="dxa"/>
          </w:tcPr>
          <w:p>
            <w:pPr>
              <w:pStyle w:val="TableParagraph"/>
              <w:spacing w:before="3"/>
              <w:rPr>
                <w:i/>
                <w:sz w:val="28"/>
              </w:rPr>
            </w:pPr>
          </w:p>
          <w:p>
            <w:pPr>
              <w:pStyle w:val="TableParagraph"/>
              <w:ind w:left="8"/>
              <w:jc w:val="center"/>
              <w:rPr>
                <w:rFonts w:ascii="Arial"/>
                <w:sz w:val="18"/>
              </w:rPr>
            </w:pPr>
            <w:r>
              <w:rPr>
                <w:rFonts w:ascii="Arial"/>
                <w:sz w:val="18"/>
              </w:rPr>
              <w:t>R</w:t>
            </w:r>
          </w:p>
        </w:tc>
        <w:tc>
          <w:tcPr>
            <w:tcW w:w="989" w:type="dxa"/>
          </w:tcPr>
          <w:p>
            <w:pPr>
              <w:pStyle w:val="TableParagraph"/>
              <w:spacing w:before="3"/>
              <w:rPr>
                <w:i/>
                <w:sz w:val="28"/>
              </w:rPr>
            </w:pPr>
          </w:p>
          <w:p>
            <w:pPr>
              <w:pStyle w:val="TableParagraph"/>
              <w:ind w:left="10"/>
              <w:jc w:val="center"/>
              <w:rPr>
                <w:rFonts w:ascii="Arial"/>
                <w:sz w:val="18"/>
              </w:rPr>
            </w:pPr>
            <w:r>
              <w:rPr>
                <w:rFonts w:ascii="Arial"/>
                <w:sz w:val="18"/>
              </w:rPr>
              <w:t>R</w:t>
            </w:r>
          </w:p>
        </w:tc>
        <w:tc>
          <w:tcPr>
            <w:tcW w:w="811" w:type="dxa"/>
          </w:tcPr>
          <w:p>
            <w:pPr>
              <w:pStyle w:val="TableParagraph"/>
              <w:spacing w:before="3"/>
              <w:rPr>
                <w:i/>
                <w:sz w:val="28"/>
              </w:rPr>
            </w:pPr>
          </w:p>
          <w:p>
            <w:pPr>
              <w:pStyle w:val="TableParagraph"/>
              <w:ind w:left="5"/>
              <w:jc w:val="center"/>
              <w:rPr>
                <w:rFonts w:ascii="Arial"/>
                <w:sz w:val="18"/>
              </w:rPr>
            </w:pPr>
            <w:r>
              <w:rPr>
                <w:rFonts w:ascii="Arial"/>
                <w:sz w:val="18"/>
              </w:rPr>
              <w:t>P</w:t>
            </w:r>
          </w:p>
        </w:tc>
        <w:tc>
          <w:tcPr>
            <w:tcW w:w="720" w:type="dxa"/>
          </w:tcPr>
          <w:p>
            <w:pPr>
              <w:pStyle w:val="TableParagraph"/>
              <w:spacing w:before="3"/>
              <w:rPr>
                <w:i/>
                <w:sz w:val="28"/>
              </w:rPr>
            </w:pPr>
          </w:p>
          <w:p>
            <w:pPr>
              <w:pStyle w:val="TableParagraph"/>
              <w:ind w:left="10"/>
              <w:jc w:val="center"/>
              <w:rPr>
                <w:rFonts w:ascii="Arial"/>
                <w:sz w:val="18"/>
              </w:rPr>
            </w:pPr>
            <w:r>
              <w:rPr>
                <w:rFonts w:ascii="Arial"/>
                <w:sz w:val="18"/>
              </w:rPr>
              <w:t>P</w:t>
            </w:r>
          </w:p>
        </w:tc>
      </w:tr>
    </w:tbl>
    <w:p>
      <w:pPr>
        <w:spacing w:before="1"/>
        <w:ind w:left="1240" w:right="0" w:firstLine="0"/>
        <w:jc w:val="left"/>
        <w:rPr>
          <w:rFonts w:ascii="Arial"/>
          <w:sz w:val="20"/>
        </w:rPr>
      </w:pPr>
      <w:r>
        <w:rPr>
          <w:rFonts w:ascii="Arial"/>
          <w:sz w:val="20"/>
        </w:rPr>
        <w:t>*Note:</w:t>
      </w:r>
      <w:r>
        <w:rPr>
          <w:rFonts w:ascii="Arial"/>
          <w:spacing w:val="-7"/>
          <w:sz w:val="20"/>
        </w:rPr>
        <w:t> </w:t>
      </w:r>
      <w:r>
        <w:rPr>
          <w:rFonts w:ascii="Arial"/>
          <w:sz w:val="20"/>
        </w:rPr>
        <w:t>The</w:t>
      </w:r>
      <w:r>
        <w:rPr>
          <w:rFonts w:ascii="Arial"/>
          <w:spacing w:val="-7"/>
          <w:sz w:val="20"/>
        </w:rPr>
        <w:t> </w:t>
      </w:r>
      <w:r>
        <w:rPr>
          <w:rFonts w:ascii="Arial"/>
          <w:sz w:val="20"/>
        </w:rPr>
        <w:t>Community</w:t>
      </w:r>
      <w:r>
        <w:rPr>
          <w:rFonts w:ascii="Arial"/>
          <w:spacing w:val="-9"/>
          <w:sz w:val="20"/>
        </w:rPr>
        <w:t> </w:t>
      </w:r>
      <w:r>
        <w:rPr>
          <w:rFonts w:ascii="Arial"/>
          <w:sz w:val="20"/>
        </w:rPr>
        <w:t>Tenure</w:t>
      </w:r>
      <w:r>
        <w:rPr>
          <w:rFonts w:ascii="Arial"/>
          <w:spacing w:val="-7"/>
          <w:sz w:val="20"/>
        </w:rPr>
        <w:t> </w:t>
      </w:r>
      <w:r>
        <w:rPr>
          <w:rFonts w:ascii="Arial"/>
          <w:sz w:val="20"/>
        </w:rPr>
        <w:t>measure</w:t>
      </w:r>
      <w:r>
        <w:rPr>
          <w:rFonts w:ascii="Arial"/>
          <w:spacing w:val="-6"/>
          <w:sz w:val="20"/>
        </w:rPr>
        <w:t> </w:t>
      </w:r>
      <w:r>
        <w:rPr>
          <w:rFonts w:ascii="Arial"/>
          <w:sz w:val="20"/>
        </w:rPr>
        <w:t>and</w:t>
      </w:r>
      <w:r>
        <w:rPr>
          <w:rFonts w:ascii="Arial"/>
          <w:spacing w:val="-7"/>
          <w:sz w:val="20"/>
        </w:rPr>
        <w:t> </w:t>
      </w:r>
      <w:r>
        <w:rPr>
          <w:rFonts w:ascii="Arial"/>
          <w:sz w:val="20"/>
        </w:rPr>
        <w:t>corresponding</w:t>
      </w:r>
      <w:r>
        <w:rPr>
          <w:rFonts w:ascii="Arial"/>
          <w:spacing w:val="-7"/>
          <w:sz w:val="20"/>
        </w:rPr>
        <w:t> </w:t>
      </w:r>
      <w:r>
        <w:rPr>
          <w:rFonts w:ascii="Arial"/>
          <w:sz w:val="20"/>
        </w:rPr>
        <w:t>number</w:t>
      </w:r>
      <w:r>
        <w:rPr>
          <w:rFonts w:ascii="Arial"/>
          <w:spacing w:val="-5"/>
          <w:sz w:val="20"/>
        </w:rPr>
        <w:t> </w:t>
      </w:r>
      <w:r>
        <w:rPr>
          <w:rFonts w:ascii="Arial"/>
          <w:sz w:val="20"/>
        </w:rPr>
        <w:t>(#6)</w:t>
      </w:r>
      <w:r>
        <w:rPr>
          <w:rFonts w:ascii="Arial"/>
          <w:spacing w:val="-6"/>
          <w:sz w:val="20"/>
        </w:rPr>
        <w:t> </w:t>
      </w:r>
      <w:r>
        <w:rPr>
          <w:rFonts w:ascii="Arial"/>
          <w:sz w:val="20"/>
        </w:rPr>
        <w:t>were</w:t>
      </w:r>
      <w:r>
        <w:rPr>
          <w:rFonts w:ascii="Arial"/>
          <w:spacing w:val="-7"/>
          <w:sz w:val="20"/>
        </w:rPr>
        <w:t> </w:t>
      </w:r>
      <w:r>
        <w:rPr>
          <w:rFonts w:ascii="Arial"/>
          <w:sz w:val="20"/>
        </w:rPr>
        <w:t>removed</w:t>
      </w:r>
      <w:r>
        <w:rPr>
          <w:rFonts w:ascii="Arial"/>
          <w:spacing w:val="-6"/>
          <w:sz w:val="20"/>
        </w:rPr>
        <w:t> </w:t>
      </w:r>
      <w:r>
        <w:rPr>
          <w:rFonts w:ascii="Arial"/>
          <w:sz w:val="20"/>
        </w:rPr>
        <w:t>from</w:t>
      </w:r>
      <w:r>
        <w:rPr>
          <w:rFonts w:ascii="Arial"/>
          <w:spacing w:val="-2"/>
          <w:sz w:val="20"/>
        </w:rPr>
        <w:t> </w:t>
      </w:r>
      <w:r>
        <w:rPr>
          <w:rFonts w:ascii="Arial"/>
          <w:sz w:val="20"/>
        </w:rPr>
        <w:t>the</w:t>
      </w:r>
      <w:r>
        <w:rPr>
          <w:rFonts w:ascii="Arial"/>
          <w:spacing w:val="-7"/>
          <w:sz w:val="20"/>
        </w:rPr>
        <w:t> </w:t>
      </w:r>
      <w:r>
        <w:rPr>
          <w:rFonts w:ascii="Arial"/>
          <w:sz w:val="20"/>
        </w:rPr>
        <w:t>measure</w:t>
      </w:r>
      <w:r>
        <w:rPr>
          <w:rFonts w:ascii="Arial"/>
          <w:spacing w:val="-7"/>
          <w:sz w:val="20"/>
        </w:rPr>
        <w:t> </w:t>
      </w:r>
      <w:r>
        <w:rPr>
          <w:rFonts w:ascii="Arial"/>
          <w:spacing w:val="-2"/>
          <w:sz w:val="20"/>
        </w:rPr>
        <w:t>slate.</w:t>
      </w:r>
    </w:p>
    <w:p>
      <w:pPr>
        <w:spacing w:before="17"/>
        <w:ind w:left="1240" w:right="0" w:firstLine="0"/>
        <w:jc w:val="left"/>
        <w:rPr>
          <w:rFonts w:ascii="Arial"/>
          <w:sz w:val="20"/>
        </w:rPr>
      </w:pPr>
      <w:r>
        <w:rPr>
          <w:rFonts w:ascii="Arial"/>
          <w:sz w:val="20"/>
        </w:rPr>
        <w:t>**</w:t>
      </w:r>
      <w:r>
        <w:rPr>
          <w:rFonts w:ascii="Arial"/>
          <w:spacing w:val="-8"/>
          <w:sz w:val="20"/>
        </w:rPr>
        <w:t> </w:t>
      </w:r>
      <w:r>
        <w:rPr>
          <w:rFonts w:ascii="Arial"/>
          <w:sz w:val="20"/>
        </w:rPr>
        <w:t>Composite</w:t>
      </w:r>
      <w:r>
        <w:rPr>
          <w:rFonts w:ascii="Arial"/>
          <w:spacing w:val="-7"/>
          <w:sz w:val="20"/>
        </w:rPr>
        <w:t> </w:t>
      </w:r>
      <w:r>
        <w:rPr>
          <w:rFonts w:ascii="Arial"/>
          <w:spacing w:val="-2"/>
          <w:sz w:val="20"/>
        </w:rPr>
        <w:t>measures</w:t>
      </w:r>
    </w:p>
    <w:p>
      <w:pPr>
        <w:pStyle w:val="BodyText"/>
        <w:rPr>
          <w:rFonts w:ascii="Arial"/>
          <w:sz w:val="20"/>
        </w:rPr>
      </w:pPr>
    </w:p>
    <w:p>
      <w:pPr>
        <w:pStyle w:val="BodyText"/>
        <w:spacing w:before="8"/>
        <w:rPr>
          <w:rFonts w:ascii="Arial"/>
          <w:sz w:val="18"/>
        </w:rPr>
      </w:pPr>
      <w:r>
        <w:rPr/>
        <mc:AlternateContent>
          <mc:Choice Requires="wps">
            <w:drawing>
              <wp:anchor distT="0" distB="0" distL="0" distR="0" allowOverlap="1" layoutInCell="1" locked="0" behindDoc="1" simplePos="0" relativeHeight="488035328">
                <wp:simplePos x="0" y="0"/>
                <wp:positionH relativeFrom="page">
                  <wp:posOffset>643127</wp:posOffset>
                </wp:positionH>
                <wp:positionV relativeFrom="paragraph">
                  <wp:posOffset>154928</wp:posOffset>
                </wp:positionV>
                <wp:extent cx="4846320" cy="760730"/>
                <wp:effectExtent l="0" t="0" r="0" b="0"/>
                <wp:wrapTopAndBottom/>
                <wp:docPr id="956" name="Textbox 956"/>
                <wp:cNvGraphicFramePr>
                  <a:graphicFrameLocks/>
                </wp:cNvGraphicFramePr>
                <a:graphic>
                  <a:graphicData uri="http://schemas.microsoft.com/office/word/2010/wordprocessingShape">
                    <wps:wsp>
                      <wps:cNvPr id="956" name="Textbox 956"/>
                      <wps:cNvSpPr txBox="1"/>
                      <wps:spPr>
                        <a:xfrm>
                          <a:off x="0" y="0"/>
                          <a:ext cx="4846320" cy="760730"/>
                        </a:xfrm>
                        <a:prstGeom prst="rect">
                          <a:avLst/>
                        </a:prstGeom>
                        <a:ln w="6096">
                          <a:solidFill>
                            <a:srgbClr val="8EAADB"/>
                          </a:solidFill>
                          <a:prstDash val="solid"/>
                        </a:ln>
                      </wps:spPr>
                      <wps:txbx>
                        <w:txbxContent>
                          <w:p>
                            <w:pPr>
                              <w:spacing w:line="206" w:lineRule="exact" w:before="0"/>
                              <w:ind w:left="103" w:right="0" w:firstLine="0"/>
                              <w:jc w:val="left"/>
                              <w:rPr>
                                <w:rFonts w:ascii="Arial"/>
                                <w:sz w:val="18"/>
                              </w:rPr>
                            </w:pPr>
                            <w:r>
                              <w:rPr>
                                <w:rFonts w:ascii="Arial"/>
                                <w:sz w:val="18"/>
                                <w:u w:val="single"/>
                              </w:rPr>
                              <w:t>Measure</w:t>
                            </w:r>
                            <w:r>
                              <w:rPr>
                                <w:rFonts w:ascii="Arial"/>
                                <w:spacing w:val="-3"/>
                                <w:sz w:val="18"/>
                                <w:u w:val="single"/>
                              </w:rPr>
                              <w:t> </w:t>
                            </w:r>
                            <w:r>
                              <w:rPr>
                                <w:rFonts w:ascii="Arial"/>
                                <w:sz w:val="18"/>
                                <w:u w:val="single"/>
                              </w:rPr>
                              <w:t>Steward</w:t>
                            </w:r>
                            <w:r>
                              <w:rPr>
                                <w:rFonts w:ascii="Arial"/>
                                <w:spacing w:val="-2"/>
                                <w:sz w:val="18"/>
                                <w:u w:val="single"/>
                              </w:rPr>
                              <w:t> Definitions</w:t>
                            </w:r>
                          </w:p>
                          <w:p>
                            <w:pPr>
                              <w:numPr>
                                <w:ilvl w:val="0"/>
                                <w:numId w:val="113"/>
                              </w:numPr>
                              <w:tabs>
                                <w:tab w:pos="446" w:val="left" w:leader="none"/>
                              </w:tabs>
                              <w:spacing w:before="0"/>
                              <w:ind w:left="446" w:right="0" w:hanging="343"/>
                              <w:jc w:val="left"/>
                              <w:rPr>
                                <w:rFonts w:ascii="Arial"/>
                                <w:sz w:val="18"/>
                              </w:rPr>
                            </w:pPr>
                            <w:r>
                              <w:rPr>
                                <w:rFonts w:ascii="Arial"/>
                                <w:sz w:val="18"/>
                              </w:rPr>
                              <w:t>MA</w:t>
                            </w:r>
                            <w:r>
                              <w:rPr>
                                <w:rFonts w:ascii="Arial"/>
                                <w:spacing w:val="-5"/>
                                <w:sz w:val="18"/>
                              </w:rPr>
                              <w:t> </w:t>
                            </w:r>
                            <w:r>
                              <w:rPr>
                                <w:rFonts w:ascii="Arial"/>
                                <w:sz w:val="18"/>
                              </w:rPr>
                              <w:t>EOHHS: Massachusetts</w:t>
                            </w:r>
                            <w:r>
                              <w:rPr>
                                <w:rFonts w:ascii="Arial"/>
                                <w:spacing w:val="-1"/>
                                <w:sz w:val="18"/>
                              </w:rPr>
                              <w:t> </w:t>
                            </w:r>
                            <w:r>
                              <w:rPr>
                                <w:rFonts w:ascii="Arial"/>
                                <w:sz w:val="18"/>
                              </w:rPr>
                              <w:t>Executive</w:t>
                            </w:r>
                            <w:r>
                              <w:rPr>
                                <w:rFonts w:ascii="Arial"/>
                                <w:spacing w:val="-2"/>
                                <w:sz w:val="18"/>
                              </w:rPr>
                              <w:t> </w:t>
                            </w:r>
                            <w:r>
                              <w:rPr>
                                <w:rFonts w:ascii="Arial"/>
                                <w:sz w:val="18"/>
                              </w:rPr>
                              <w:t>Office</w:t>
                            </w:r>
                            <w:r>
                              <w:rPr>
                                <w:rFonts w:ascii="Arial"/>
                                <w:spacing w:val="-4"/>
                                <w:sz w:val="18"/>
                              </w:rPr>
                              <w:t> </w:t>
                            </w:r>
                            <w:r>
                              <w:rPr>
                                <w:rFonts w:ascii="Arial"/>
                                <w:sz w:val="18"/>
                              </w:rPr>
                              <w:t>of</w:t>
                            </w:r>
                            <w:r>
                              <w:rPr>
                                <w:rFonts w:ascii="Arial"/>
                                <w:spacing w:val="-2"/>
                                <w:sz w:val="18"/>
                              </w:rPr>
                              <w:t> </w:t>
                            </w:r>
                            <w:r>
                              <w:rPr>
                                <w:rFonts w:ascii="Arial"/>
                                <w:sz w:val="18"/>
                              </w:rPr>
                              <w:t>Health</w:t>
                            </w:r>
                            <w:r>
                              <w:rPr>
                                <w:rFonts w:ascii="Arial"/>
                                <w:spacing w:val="-5"/>
                                <w:sz w:val="18"/>
                              </w:rPr>
                              <w:t> </w:t>
                            </w:r>
                            <w:r>
                              <w:rPr>
                                <w:rFonts w:ascii="Arial"/>
                                <w:sz w:val="18"/>
                              </w:rPr>
                              <w:t>and</w:t>
                            </w:r>
                            <w:r>
                              <w:rPr>
                                <w:rFonts w:ascii="Arial"/>
                                <w:spacing w:val="-4"/>
                                <w:sz w:val="18"/>
                              </w:rPr>
                              <w:t> </w:t>
                            </w:r>
                            <w:r>
                              <w:rPr>
                                <w:rFonts w:ascii="Arial"/>
                                <w:sz w:val="18"/>
                              </w:rPr>
                              <w:t>Human</w:t>
                            </w:r>
                            <w:r>
                              <w:rPr>
                                <w:rFonts w:ascii="Arial"/>
                                <w:spacing w:val="-1"/>
                                <w:sz w:val="18"/>
                              </w:rPr>
                              <w:t> </w:t>
                            </w:r>
                            <w:r>
                              <w:rPr>
                                <w:rFonts w:ascii="Arial"/>
                                <w:spacing w:val="-2"/>
                                <w:sz w:val="18"/>
                              </w:rPr>
                              <w:t>Services</w:t>
                            </w:r>
                          </w:p>
                          <w:p>
                            <w:pPr>
                              <w:numPr>
                                <w:ilvl w:val="0"/>
                                <w:numId w:val="113"/>
                              </w:numPr>
                              <w:tabs>
                                <w:tab w:pos="446" w:val="left" w:leader="none"/>
                              </w:tabs>
                              <w:spacing w:before="222"/>
                              <w:ind w:left="446" w:right="0" w:hanging="343"/>
                              <w:jc w:val="left"/>
                              <w:rPr>
                                <w:rFonts w:ascii="Arial"/>
                                <w:sz w:val="18"/>
                              </w:rPr>
                            </w:pPr>
                            <w:r>
                              <w:rPr>
                                <w:rFonts w:ascii="Arial"/>
                                <w:sz w:val="18"/>
                              </w:rPr>
                              <w:t>NCQA:</w:t>
                            </w:r>
                            <w:r>
                              <w:rPr>
                                <w:rFonts w:ascii="Arial"/>
                                <w:spacing w:val="-4"/>
                                <w:sz w:val="18"/>
                              </w:rPr>
                              <w:t> </w:t>
                            </w:r>
                            <w:r>
                              <w:rPr>
                                <w:rFonts w:ascii="Arial"/>
                                <w:sz w:val="18"/>
                              </w:rPr>
                              <w:t>National</w:t>
                            </w:r>
                            <w:r>
                              <w:rPr>
                                <w:rFonts w:ascii="Arial"/>
                                <w:spacing w:val="-4"/>
                                <w:sz w:val="18"/>
                              </w:rPr>
                              <w:t> </w:t>
                            </w:r>
                            <w:r>
                              <w:rPr>
                                <w:rFonts w:ascii="Arial"/>
                                <w:sz w:val="18"/>
                              </w:rPr>
                              <w:t>Committee</w:t>
                            </w:r>
                            <w:r>
                              <w:rPr>
                                <w:rFonts w:ascii="Arial"/>
                                <w:spacing w:val="-3"/>
                                <w:sz w:val="18"/>
                              </w:rPr>
                              <w:t> </w:t>
                            </w:r>
                            <w:r>
                              <w:rPr>
                                <w:rFonts w:ascii="Arial"/>
                                <w:sz w:val="18"/>
                              </w:rPr>
                              <w:t>for</w:t>
                            </w:r>
                            <w:r>
                              <w:rPr>
                                <w:rFonts w:ascii="Arial"/>
                                <w:spacing w:val="-3"/>
                                <w:sz w:val="18"/>
                              </w:rPr>
                              <w:t> </w:t>
                            </w:r>
                            <w:r>
                              <w:rPr>
                                <w:rFonts w:ascii="Arial"/>
                                <w:sz w:val="18"/>
                              </w:rPr>
                              <w:t>Quality</w:t>
                            </w:r>
                            <w:r>
                              <w:rPr>
                                <w:rFonts w:ascii="Arial"/>
                                <w:spacing w:val="-3"/>
                                <w:sz w:val="18"/>
                              </w:rPr>
                              <w:t> </w:t>
                            </w:r>
                            <w:r>
                              <w:rPr>
                                <w:rFonts w:ascii="Arial"/>
                                <w:spacing w:val="-2"/>
                                <w:sz w:val="18"/>
                              </w:rPr>
                              <w:t>Assurance</w:t>
                            </w:r>
                          </w:p>
                        </w:txbxContent>
                      </wps:txbx>
                      <wps:bodyPr wrap="square" lIns="0" tIns="0" rIns="0" bIns="0" rtlCol="0">
                        <a:noAutofit/>
                      </wps:bodyPr>
                    </wps:wsp>
                  </a:graphicData>
                </a:graphic>
              </wp:anchor>
            </w:drawing>
          </mc:Choice>
          <mc:Fallback>
            <w:pict>
              <v:shape style="position:absolute;margin-left:50.639999pt;margin-top:12.199121pt;width:381.6pt;height:59.9pt;mso-position-horizontal-relative:page;mso-position-vertical-relative:paragraph;z-index:-15281152;mso-wrap-distance-left:0;mso-wrap-distance-right:0" type="#_x0000_t202" id="docshape171" filled="false" stroked="true" strokeweight=".48pt" strokecolor="#8eaadb">
                <v:textbox inset="0,0,0,0">
                  <w:txbxContent>
                    <w:p>
                      <w:pPr>
                        <w:spacing w:line="206" w:lineRule="exact" w:before="0"/>
                        <w:ind w:left="103" w:right="0" w:firstLine="0"/>
                        <w:jc w:val="left"/>
                        <w:rPr>
                          <w:rFonts w:ascii="Arial"/>
                          <w:sz w:val="18"/>
                        </w:rPr>
                      </w:pPr>
                      <w:r>
                        <w:rPr>
                          <w:rFonts w:ascii="Arial"/>
                          <w:sz w:val="18"/>
                          <w:u w:val="single"/>
                        </w:rPr>
                        <w:t>Measure</w:t>
                      </w:r>
                      <w:r>
                        <w:rPr>
                          <w:rFonts w:ascii="Arial"/>
                          <w:spacing w:val="-3"/>
                          <w:sz w:val="18"/>
                          <w:u w:val="single"/>
                        </w:rPr>
                        <w:t> </w:t>
                      </w:r>
                      <w:r>
                        <w:rPr>
                          <w:rFonts w:ascii="Arial"/>
                          <w:sz w:val="18"/>
                          <w:u w:val="single"/>
                        </w:rPr>
                        <w:t>Steward</w:t>
                      </w:r>
                      <w:r>
                        <w:rPr>
                          <w:rFonts w:ascii="Arial"/>
                          <w:spacing w:val="-2"/>
                          <w:sz w:val="18"/>
                          <w:u w:val="single"/>
                        </w:rPr>
                        <w:t> Definitions</w:t>
                      </w:r>
                    </w:p>
                    <w:p>
                      <w:pPr>
                        <w:numPr>
                          <w:ilvl w:val="0"/>
                          <w:numId w:val="113"/>
                        </w:numPr>
                        <w:tabs>
                          <w:tab w:pos="446" w:val="left" w:leader="none"/>
                        </w:tabs>
                        <w:spacing w:before="0"/>
                        <w:ind w:left="446" w:right="0" w:hanging="343"/>
                        <w:jc w:val="left"/>
                        <w:rPr>
                          <w:rFonts w:ascii="Arial"/>
                          <w:sz w:val="18"/>
                        </w:rPr>
                      </w:pPr>
                      <w:r>
                        <w:rPr>
                          <w:rFonts w:ascii="Arial"/>
                          <w:sz w:val="18"/>
                        </w:rPr>
                        <w:t>MA</w:t>
                      </w:r>
                      <w:r>
                        <w:rPr>
                          <w:rFonts w:ascii="Arial"/>
                          <w:spacing w:val="-5"/>
                          <w:sz w:val="18"/>
                        </w:rPr>
                        <w:t> </w:t>
                      </w:r>
                      <w:r>
                        <w:rPr>
                          <w:rFonts w:ascii="Arial"/>
                          <w:sz w:val="18"/>
                        </w:rPr>
                        <w:t>EOHHS: Massachusetts</w:t>
                      </w:r>
                      <w:r>
                        <w:rPr>
                          <w:rFonts w:ascii="Arial"/>
                          <w:spacing w:val="-1"/>
                          <w:sz w:val="18"/>
                        </w:rPr>
                        <w:t> </w:t>
                      </w:r>
                      <w:r>
                        <w:rPr>
                          <w:rFonts w:ascii="Arial"/>
                          <w:sz w:val="18"/>
                        </w:rPr>
                        <w:t>Executive</w:t>
                      </w:r>
                      <w:r>
                        <w:rPr>
                          <w:rFonts w:ascii="Arial"/>
                          <w:spacing w:val="-2"/>
                          <w:sz w:val="18"/>
                        </w:rPr>
                        <w:t> </w:t>
                      </w:r>
                      <w:r>
                        <w:rPr>
                          <w:rFonts w:ascii="Arial"/>
                          <w:sz w:val="18"/>
                        </w:rPr>
                        <w:t>Office</w:t>
                      </w:r>
                      <w:r>
                        <w:rPr>
                          <w:rFonts w:ascii="Arial"/>
                          <w:spacing w:val="-4"/>
                          <w:sz w:val="18"/>
                        </w:rPr>
                        <w:t> </w:t>
                      </w:r>
                      <w:r>
                        <w:rPr>
                          <w:rFonts w:ascii="Arial"/>
                          <w:sz w:val="18"/>
                        </w:rPr>
                        <w:t>of</w:t>
                      </w:r>
                      <w:r>
                        <w:rPr>
                          <w:rFonts w:ascii="Arial"/>
                          <w:spacing w:val="-2"/>
                          <w:sz w:val="18"/>
                        </w:rPr>
                        <w:t> </w:t>
                      </w:r>
                      <w:r>
                        <w:rPr>
                          <w:rFonts w:ascii="Arial"/>
                          <w:sz w:val="18"/>
                        </w:rPr>
                        <w:t>Health</w:t>
                      </w:r>
                      <w:r>
                        <w:rPr>
                          <w:rFonts w:ascii="Arial"/>
                          <w:spacing w:val="-5"/>
                          <w:sz w:val="18"/>
                        </w:rPr>
                        <w:t> </w:t>
                      </w:r>
                      <w:r>
                        <w:rPr>
                          <w:rFonts w:ascii="Arial"/>
                          <w:sz w:val="18"/>
                        </w:rPr>
                        <w:t>and</w:t>
                      </w:r>
                      <w:r>
                        <w:rPr>
                          <w:rFonts w:ascii="Arial"/>
                          <w:spacing w:val="-4"/>
                          <w:sz w:val="18"/>
                        </w:rPr>
                        <w:t> </w:t>
                      </w:r>
                      <w:r>
                        <w:rPr>
                          <w:rFonts w:ascii="Arial"/>
                          <w:sz w:val="18"/>
                        </w:rPr>
                        <w:t>Human</w:t>
                      </w:r>
                      <w:r>
                        <w:rPr>
                          <w:rFonts w:ascii="Arial"/>
                          <w:spacing w:val="-1"/>
                          <w:sz w:val="18"/>
                        </w:rPr>
                        <w:t> </w:t>
                      </w:r>
                      <w:r>
                        <w:rPr>
                          <w:rFonts w:ascii="Arial"/>
                          <w:spacing w:val="-2"/>
                          <w:sz w:val="18"/>
                        </w:rPr>
                        <w:t>Services</w:t>
                      </w:r>
                    </w:p>
                    <w:p>
                      <w:pPr>
                        <w:numPr>
                          <w:ilvl w:val="0"/>
                          <w:numId w:val="113"/>
                        </w:numPr>
                        <w:tabs>
                          <w:tab w:pos="446" w:val="left" w:leader="none"/>
                        </w:tabs>
                        <w:spacing w:before="222"/>
                        <w:ind w:left="446" w:right="0" w:hanging="343"/>
                        <w:jc w:val="left"/>
                        <w:rPr>
                          <w:rFonts w:ascii="Arial"/>
                          <w:sz w:val="18"/>
                        </w:rPr>
                      </w:pPr>
                      <w:r>
                        <w:rPr>
                          <w:rFonts w:ascii="Arial"/>
                          <w:sz w:val="18"/>
                        </w:rPr>
                        <w:t>NCQA:</w:t>
                      </w:r>
                      <w:r>
                        <w:rPr>
                          <w:rFonts w:ascii="Arial"/>
                          <w:spacing w:val="-4"/>
                          <w:sz w:val="18"/>
                        </w:rPr>
                        <w:t> </w:t>
                      </w:r>
                      <w:r>
                        <w:rPr>
                          <w:rFonts w:ascii="Arial"/>
                          <w:sz w:val="18"/>
                        </w:rPr>
                        <w:t>National</w:t>
                      </w:r>
                      <w:r>
                        <w:rPr>
                          <w:rFonts w:ascii="Arial"/>
                          <w:spacing w:val="-4"/>
                          <w:sz w:val="18"/>
                        </w:rPr>
                        <w:t> </w:t>
                      </w:r>
                      <w:r>
                        <w:rPr>
                          <w:rFonts w:ascii="Arial"/>
                          <w:sz w:val="18"/>
                        </w:rPr>
                        <w:t>Committee</w:t>
                      </w:r>
                      <w:r>
                        <w:rPr>
                          <w:rFonts w:ascii="Arial"/>
                          <w:spacing w:val="-3"/>
                          <w:sz w:val="18"/>
                        </w:rPr>
                        <w:t> </w:t>
                      </w:r>
                      <w:r>
                        <w:rPr>
                          <w:rFonts w:ascii="Arial"/>
                          <w:sz w:val="18"/>
                        </w:rPr>
                        <w:t>for</w:t>
                      </w:r>
                      <w:r>
                        <w:rPr>
                          <w:rFonts w:ascii="Arial"/>
                          <w:spacing w:val="-3"/>
                          <w:sz w:val="18"/>
                        </w:rPr>
                        <w:t> </w:t>
                      </w:r>
                      <w:r>
                        <w:rPr>
                          <w:rFonts w:ascii="Arial"/>
                          <w:sz w:val="18"/>
                        </w:rPr>
                        <w:t>Quality</w:t>
                      </w:r>
                      <w:r>
                        <w:rPr>
                          <w:rFonts w:ascii="Arial"/>
                          <w:spacing w:val="-3"/>
                          <w:sz w:val="18"/>
                        </w:rPr>
                        <w:t> </w:t>
                      </w:r>
                      <w:r>
                        <w:rPr>
                          <w:rFonts w:ascii="Arial"/>
                          <w:spacing w:val="-2"/>
                          <w:sz w:val="18"/>
                        </w:rPr>
                        <w:t>Assurance</w:t>
                      </w:r>
                    </w:p>
                  </w:txbxContent>
                </v:textbox>
                <v:stroke dashstyle="solid"/>
                <w10:wrap type="topAndBottom"/>
              </v:shape>
            </w:pict>
          </mc:Fallback>
        </mc:AlternateContent>
      </w:r>
    </w:p>
    <w:p>
      <w:pPr>
        <w:spacing w:after="0"/>
        <w:rPr>
          <w:rFonts w:ascii="Arial"/>
          <w:sz w:val="18"/>
        </w:rPr>
        <w:sectPr>
          <w:pgSz w:w="15840" w:h="12240" w:orient="landscape"/>
          <w:pgMar w:header="0" w:footer="967" w:top="1380" w:bottom="1160" w:left="200" w:right="200"/>
        </w:sectPr>
      </w:pPr>
    </w:p>
    <w:p>
      <w:pPr>
        <w:spacing w:before="79"/>
        <w:ind w:left="879" w:right="1797" w:hanging="632"/>
        <w:jc w:val="left"/>
        <w:rPr>
          <w:i/>
          <w:sz w:val="22"/>
        </w:rPr>
      </w:pPr>
      <w:r>
        <w:rPr>
          <w:rFonts w:ascii="Arial" w:hAnsi="Arial"/>
          <w:b/>
          <w:sz w:val="20"/>
        </w:rPr>
        <w:t>MassHealth</w:t>
      </w:r>
      <w:r>
        <w:rPr>
          <w:rFonts w:ascii="Arial" w:hAnsi="Arial"/>
          <w:b/>
          <w:spacing w:val="-3"/>
          <w:sz w:val="20"/>
        </w:rPr>
        <w:t> </w:t>
      </w:r>
      <w:r>
        <w:rPr>
          <w:rFonts w:ascii="Arial" w:hAnsi="Arial"/>
          <w:b/>
          <w:sz w:val="20"/>
        </w:rPr>
        <w:t>DSRIP</w:t>
      </w:r>
      <w:r>
        <w:rPr>
          <w:rFonts w:ascii="Arial" w:hAnsi="Arial"/>
          <w:b/>
          <w:spacing w:val="-5"/>
          <w:sz w:val="20"/>
        </w:rPr>
        <w:t> </w:t>
      </w:r>
      <w:r>
        <w:rPr>
          <w:rFonts w:ascii="Arial" w:hAnsi="Arial"/>
          <w:b/>
          <w:sz w:val="20"/>
        </w:rPr>
        <w:t>LTSS</w:t>
      </w:r>
      <w:r>
        <w:rPr>
          <w:rFonts w:ascii="Arial" w:hAnsi="Arial"/>
          <w:b/>
          <w:spacing w:val="-2"/>
          <w:sz w:val="20"/>
        </w:rPr>
        <w:t> </w:t>
      </w:r>
      <w:r>
        <w:rPr>
          <w:rFonts w:ascii="Arial" w:hAnsi="Arial"/>
          <w:b/>
          <w:sz w:val="20"/>
        </w:rPr>
        <w:t>Community</w:t>
      </w:r>
      <w:r>
        <w:rPr>
          <w:rFonts w:ascii="Arial" w:hAnsi="Arial"/>
          <w:b/>
          <w:spacing w:val="-4"/>
          <w:sz w:val="20"/>
        </w:rPr>
        <w:t> </w:t>
      </w:r>
      <w:r>
        <w:rPr>
          <w:rFonts w:ascii="Arial" w:hAnsi="Arial"/>
          <w:b/>
          <w:sz w:val="20"/>
        </w:rPr>
        <w:t>Partners</w:t>
      </w:r>
      <w:r>
        <w:rPr>
          <w:rFonts w:ascii="Arial" w:hAnsi="Arial"/>
          <w:b/>
          <w:spacing w:val="-4"/>
          <w:sz w:val="20"/>
        </w:rPr>
        <w:t> </w:t>
      </w:r>
      <w:r>
        <w:rPr>
          <w:rFonts w:ascii="Arial" w:hAnsi="Arial"/>
          <w:b/>
          <w:sz w:val="20"/>
        </w:rPr>
        <w:t>Quality</w:t>
      </w:r>
      <w:r>
        <w:rPr>
          <w:rFonts w:ascii="Arial" w:hAnsi="Arial"/>
          <w:b/>
          <w:spacing w:val="-4"/>
          <w:sz w:val="20"/>
        </w:rPr>
        <w:t> </w:t>
      </w:r>
      <w:r>
        <w:rPr>
          <w:rFonts w:ascii="Arial" w:hAnsi="Arial"/>
          <w:b/>
          <w:sz w:val="20"/>
        </w:rPr>
        <w:t>Measure</w:t>
      </w:r>
      <w:r>
        <w:rPr>
          <w:rFonts w:ascii="Arial" w:hAnsi="Arial"/>
          <w:b/>
          <w:spacing w:val="-4"/>
          <w:sz w:val="20"/>
        </w:rPr>
        <w:t> </w:t>
      </w:r>
      <w:r>
        <w:rPr>
          <w:rFonts w:ascii="Arial" w:hAnsi="Arial"/>
          <w:b/>
          <w:sz w:val="20"/>
        </w:rPr>
        <w:t>Program</w:t>
      </w:r>
      <w:r>
        <w:rPr>
          <w:rFonts w:ascii="Arial" w:hAnsi="Arial"/>
          <w:b/>
          <w:spacing w:val="-3"/>
          <w:sz w:val="20"/>
        </w:rPr>
        <w:t> </w:t>
      </w:r>
      <w:r>
        <w:rPr>
          <w:rFonts w:ascii="Arial" w:hAnsi="Arial"/>
          <w:b/>
          <w:sz w:val="20"/>
        </w:rPr>
        <w:t>(Prospective</w:t>
      </w:r>
      <w:r>
        <w:rPr>
          <w:rFonts w:ascii="Arial" w:hAnsi="Arial"/>
          <w:b/>
          <w:spacing w:val="-4"/>
          <w:sz w:val="20"/>
        </w:rPr>
        <w:t> </w:t>
      </w:r>
      <w:r>
        <w:rPr>
          <w:rFonts w:ascii="Arial" w:hAnsi="Arial"/>
          <w:b/>
          <w:sz w:val="20"/>
        </w:rPr>
        <w:t>Measures,</w:t>
      </w:r>
      <w:r>
        <w:rPr>
          <w:rFonts w:ascii="Arial" w:hAnsi="Arial"/>
          <w:b/>
          <w:spacing w:val="-2"/>
          <w:sz w:val="20"/>
        </w:rPr>
        <w:t> </w:t>
      </w:r>
      <w:r>
        <w:rPr>
          <w:rFonts w:ascii="Arial" w:hAnsi="Arial"/>
          <w:b/>
          <w:sz w:val="20"/>
        </w:rPr>
        <w:t>2018-2022)</w:t>
      </w:r>
      <w:r>
        <w:rPr>
          <w:rFonts w:ascii="Arial" w:hAnsi="Arial"/>
          <w:b/>
          <w:spacing w:val="-3"/>
          <w:sz w:val="20"/>
        </w:rPr>
        <w:t> </w:t>
      </w:r>
      <w:r>
        <w:rPr>
          <w:rFonts w:ascii="Arial" w:hAnsi="Arial"/>
          <w:b/>
          <w:sz w:val="20"/>
        </w:rPr>
        <w:t>–</w:t>
      </w:r>
      <w:r>
        <w:rPr>
          <w:rFonts w:ascii="Arial" w:hAnsi="Arial"/>
          <w:b/>
          <w:spacing w:val="-4"/>
          <w:sz w:val="20"/>
        </w:rPr>
        <w:t> </w:t>
      </w:r>
      <w:r>
        <w:rPr>
          <w:rFonts w:ascii="Arial" w:hAnsi="Arial"/>
          <w:b/>
          <w:sz w:val="20"/>
        </w:rPr>
        <w:t>Include</w:t>
      </w:r>
      <w:r>
        <w:rPr>
          <w:rFonts w:ascii="Arial" w:hAnsi="Arial"/>
          <w:b/>
          <w:spacing w:val="-4"/>
          <w:sz w:val="20"/>
        </w:rPr>
        <w:t> </w:t>
      </w:r>
      <w:r>
        <w:rPr>
          <w:rFonts w:ascii="Arial" w:hAnsi="Arial"/>
          <w:b/>
          <w:sz w:val="20"/>
        </w:rPr>
        <w:t>Benchmark</w:t>
      </w:r>
      <w:r>
        <w:rPr>
          <w:rFonts w:ascii="Arial" w:hAnsi="Arial"/>
          <w:b/>
          <w:spacing w:val="-4"/>
          <w:sz w:val="20"/>
        </w:rPr>
        <w:t> </w:t>
      </w:r>
      <w:r>
        <w:rPr>
          <w:rFonts w:ascii="Arial" w:hAnsi="Arial"/>
          <w:b/>
          <w:sz w:val="20"/>
        </w:rPr>
        <w:t>Timeline </w:t>
      </w:r>
      <w:r>
        <w:rPr>
          <w:i/>
          <w:sz w:val="22"/>
        </w:rPr>
        <w:t>Note: Where applicable, Column 2020 indicates the performance period (i.e., “P (19/20)”) from which data, as decided by the State, may be</w:t>
      </w:r>
      <w:r>
        <w:rPr>
          <w:i/>
          <w:sz w:val="22"/>
        </w:rPr>
        <w:t> substituted for PY2020 performance rates due to the state of emergency declared by the federal or state government.</w:t>
      </w:r>
    </w:p>
    <w:p>
      <w:pPr>
        <w:pStyle w:val="BodyText"/>
        <w:rPr>
          <w:i/>
          <w:sz w:val="20"/>
        </w:rPr>
      </w:pPr>
    </w:p>
    <w:p>
      <w:pPr>
        <w:pStyle w:val="BodyText"/>
        <w:spacing w:before="7"/>
        <w:rPr>
          <w:i/>
          <w:sz w:val="15"/>
        </w:rPr>
      </w:pPr>
    </w:p>
    <w:tbl>
      <w:tblPr>
        <w:tblW w:w="0" w:type="auto"/>
        <w:jc w:val="left"/>
        <w:tblInd w:w="374"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CellMar>
          <w:top w:w="0" w:type="dxa"/>
          <w:left w:w="0" w:type="dxa"/>
          <w:bottom w:w="0" w:type="dxa"/>
          <w:right w:w="0" w:type="dxa"/>
        </w:tblCellMar>
        <w:tblLook w:val="01E0"/>
      </w:tblPr>
      <w:tblGrid>
        <w:gridCol w:w="420"/>
        <w:gridCol w:w="2251"/>
        <w:gridCol w:w="3240"/>
        <w:gridCol w:w="900"/>
        <w:gridCol w:w="1260"/>
        <w:gridCol w:w="991"/>
        <w:gridCol w:w="900"/>
        <w:gridCol w:w="989"/>
        <w:gridCol w:w="991"/>
        <w:gridCol w:w="1080"/>
        <w:gridCol w:w="900"/>
        <w:gridCol w:w="989"/>
      </w:tblGrid>
      <w:tr>
        <w:trPr>
          <w:trHeight w:val="438" w:hRule="atLeast"/>
        </w:trPr>
        <w:tc>
          <w:tcPr>
            <w:tcW w:w="420" w:type="dxa"/>
            <w:vMerge w:val="restart"/>
            <w:shd w:val="clear" w:color="auto" w:fill="DEEAF6"/>
          </w:tcPr>
          <w:p>
            <w:pPr>
              <w:pStyle w:val="TableParagraph"/>
              <w:spacing w:before="4"/>
              <w:rPr>
                <w:i/>
                <w:sz w:val="20"/>
              </w:rPr>
            </w:pPr>
          </w:p>
          <w:p>
            <w:pPr>
              <w:pStyle w:val="TableParagraph"/>
              <w:ind w:left="6"/>
              <w:jc w:val="center"/>
              <w:rPr>
                <w:rFonts w:ascii="Arial"/>
                <w:b/>
                <w:sz w:val="18"/>
              </w:rPr>
            </w:pPr>
            <w:r>
              <w:rPr>
                <w:rFonts w:ascii="Arial"/>
                <w:b/>
                <w:sz w:val="18"/>
              </w:rPr>
              <w:t>#</w:t>
            </w:r>
          </w:p>
        </w:tc>
        <w:tc>
          <w:tcPr>
            <w:tcW w:w="2251" w:type="dxa"/>
            <w:vMerge w:val="restart"/>
            <w:shd w:val="clear" w:color="auto" w:fill="DEEAF6"/>
          </w:tcPr>
          <w:p>
            <w:pPr>
              <w:pStyle w:val="TableParagraph"/>
              <w:spacing w:before="4"/>
              <w:rPr>
                <w:i/>
                <w:sz w:val="20"/>
              </w:rPr>
            </w:pPr>
          </w:p>
          <w:p>
            <w:pPr>
              <w:pStyle w:val="TableParagraph"/>
              <w:ind w:left="489"/>
              <w:rPr>
                <w:rFonts w:ascii="Arial"/>
                <w:b/>
                <w:sz w:val="18"/>
              </w:rPr>
            </w:pPr>
            <w:r>
              <w:rPr>
                <w:rFonts w:ascii="Arial"/>
                <w:b/>
                <w:sz w:val="18"/>
              </w:rPr>
              <w:t>Measure</w:t>
            </w:r>
            <w:r>
              <w:rPr>
                <w:rFonts w:ascii="Arial"/>
                <w:b/>
                <w:spacing w:val="-3"/>
                <w:sz w:val="18"/>
              </w:rPr>
              <w:t> </w:t>
            </w:r>
            <w:r>
              <w:rPr>
                <w:rFonts w:ascii="Arial"/>
                <w:b/>
                <w:spacing w:val="-4"/>
                <w:sz w:val="18"/>
              </w:rPr>
              <w:t>Name</w:t>
            </w:r>
          </w:p>
        </w:tc>
        <w:tc>
          <w:tcPr>
            <w:tcW w:w="3240" w:type="dxa"/>
            <w:vMerge w:val="restart"/>
            <w:shd w:val="clear" w:color="auto" w:fill="DEEAF6"/>
          </w:tcPr>
          <w:p>
            <w:pPr>
              <w:pStyle w:val="TableParagraph"/>
              <w:spacing w:before="4"/>
              <w:rPr>
                <w:i/>
                <w:sz w:val="20"/>
              </w:rPr>
            </w:pPr>
          </w:p>
          <w:p>
            <w:pPr>
              <w:pStyle w:val="TableParagraph"/>
              <w:ind w:left="734"/>
              <w:rPr>
                <w:rFonts w:ascii="Arial"/>
                <w:b/>
                <w:sz w:val="18"/>
              </w:rPr>
            </w:pPr>
            <w:r>
              <w:rPr>
                <w:rFonts w:ascii="Arial"/>
                <w:b/>
                <w:sz w:val="18"/>
              </w:rPr>
              <w:t>Measure</w:t>
            </w:r>
            <w:r>
              <w:rPr>
                <w:rFonts w:ascii="Arial"/>
                <w:b/>
                <w:spacing w:val="-1"/>
                <w:sz w:val="18"/>
              </w:rPr>
              <w:t> </w:t>
            </w:r>
            <w:r>
              <w:rPr>
                <w:rFonts w:ascii="Arial"/>
                <w:b/>
                <w:spacing w:val="-2"/>
                <w:sz w:val="18"/>
              </w:rPr>
              <w:t>Description</w:t>
            </w:r>
          </w:p>
        </w:tc>
        <w:tc>
          <w:tcPr>
            <w:tcW w:w="900" w:type="dxa"/>
            <w:vMerge w:val="restart"/>
            <w:shd w:val="clear" w:color="auto" w:fill="DEEAF6"/>
          </w:tcPr>
          <w:p>
            <w:pPr>
              <w:pStyle w:val="TableParagraph"/>
              <w:spacing w:before="131"/>
              <w:ind w:left="143" w:right="128" w:firstLine="110"/>
              <w:rPr>
                <w:rFonts w:ascii="Arial"/>
                <w:b/>
                <w:sz w:val="18"/>
              </w:rPr>
            </w:pPr>
            <w:r>
              <w:rPr>
                <w:rFonts w:ascii="Arial"/>
                <w:b/>
                <w:spacing w:val="-4"/>
                <w:sz w:val="18"/>
              </w:rPr>
              <w:t>Data </w:t>
            </w:r>
            <w:r>
              <w:rPr>
                <w:rFonts w:ascii="Arial"/>
                <w:b/>
                <w:spacing w:val="-2"/>
                <w:sz w:val="18"/>
              </w:rPr>
              <w:t>Source</w:t>
            </w:r>
          </w:p>
        </w:tc>
        <w:tc>
          <w:tcPr>
            <w:tcW w:w="1260" w:type="dxa"/>
            <w:vMerge w:val="restart"/>
            <w:shd w:val="clear" w:color="auto" w:fill="DEEAF6"/>
          </w:tcPr>
          <w:p>
            <w:pPr>
              <w:pStyle w:val="TableParagraph"/>
              <w:spacing w:before="131"/>
              <w:ind w:left="134" w:right="120" w:firstLine="4"/>
              <w:rPr>
                <w:rFonts w:ascii="Arial"/>
                <w:b/>
                <w:sz w:val="18"/>
              </w:rPr>
            </w:pPr>
            <w:r>
              <w:rPr>
                <w:rFonts w:ascii="Arial"/>
                <w:b/>
                <w:spacing w:val="-2"/>
                <w:sz w:val="18"/>
              </w:rPr>
              <w:t>Benchmark </w:t>
            </w:r>
            <w:r>
              <w:rPr>
                <w:rFonts w:ascii="Arial"/>
                <w:b/>
                <w:sz w:val="18"/>
              </w:rPr>
              <w:t>due</w:t>
            </w:r>
            <w:r>
              <w:rPr>
                <w:rFonts w:ascii="Arial"/>
                <w:b/>
                <w:spacing w:val="1"/>
                <w:sz w:val="18"/>
              </w:rPr>
              <w:t> </w:t>
            </w:r>
            <w:r>
              <w:rPr>
                <w:rFonts w:ascii="Arial"/>
                <w:b/>
                <w:sz w:val="18"/>
              </w:rPr>
              <w:t>to </w:t>
            </w:r>
            <w:r>
              <w:rPr>
                <w:rFonts w:ascii="Arial"/>
                <w:b/>
                <w:spacing w:val="-5"/>
                <w:sz w:val="18"/>
              </w:rPr>
              <w:t>CMS</w:t>
            </w:r>
          </w:p>
        </w:tc>
        <w:tc>
          <w:tcPr>
            <w:tcW w:w="991" w:type="dxa"/>
            <w:vMerge w:val="restart"/>
            <w:shd w:val="clear" w:color="auto" w:fill="DEEAF6"/>
          </w:tcPr>
          <w:p>
            <w:pPr>
              <w:pStyle w:val="TableParagraph"/>
              <w:spacing w:before="131"/>
              <w:ind w:left="143" w:right="116" w:hanging="15"/>
              <w:rPr>
                <w:rFonts w:ascii="Arial"/>
                <w:b/>
                <w:sz w:val="18"/>
              </w:rPr>
            </w:pPr>
            <w:r>
              <w:rPr>
                <w:rFonts w:ascii="Arial"/>
                <w:b/>
                <w:spacing w:val="-2"/>
                <w:sz w:val="18"/>
              </w:rPr>
              <w:t>Measure Steward</w:t>
            </w:r>
          </w:p>
        </w:tc>
        <w:tc>
          <w:tcPr>
            <w:tcW w:w="900" w:type="dxa"/>
            <w:vMerge w:val="restart"/>
            <w:tcBorders>
              <w:right w:val="single" w:sz="4" w:space="0" w:color="BCD5ED"/>
            </w:tcBorders>
            <w:shd w:val="clear" w:color="auto" w:fill="DEEAF6"/>
          </w:tcPr>
          <w:p>
            <w:pPr>
              <w:pStyle w:val="TableParagraph"/>
              <w:spacing w:before="4"/>
              <w:rPr>
                <w:i/>
                <w:sz w:val="20"/>
              </w:rPr>
            </w:pPr>
          </w:p>
          <w:p>
            <w:pPr>
              <w:pStyle w:val="TableParagraph"/>
              <w:ind w:left="256"/>
              <w:rPr>
                <w:rFonts w:ascii="Arial"/>
                <w:b/>
                <w:sz w:val="18"/>
              </w:rPr>
            </w:pPr>
            <w:r>
              <w:rPr>
                <w:rFonts w:ascii="Arial"/>
                <w:b/>
                <w:spacing w:val="-5"/>
                <w:sz w:val="18"/>
              </w:rPr>
              <w:t>NQF</w:t>
            </w:r>
          </w:p>
        </w:tc>
        <w:tc>
          <w:tcPr>
            <w:tcW w:w="4949" w:type="dxa"/>
            <w:gridSpan w:val="5"/>
            <w:tcBorders>
              <w:top w:val="single" w:sz="4" w:space="0" w:color="BCD5ED"/>
              <w:left w:val="single" w:sz="4" w:space="0" w:color="BCD5ED"/>
              <w:bottom w:val="single" w:sz="4" w:space="0" w:color="BCD5ED"/>
              <w:right w:val="single" w:sz="4" w:space="0" w:color="BCD5ED"/>
            </w:tcBorders>
            <w:shd w:val="clear" w:color="auto" w:fill="DEEAF6"/>
          </w:tcPr>
          <w:p>
            <w:pPr>
              <w:pStyle w:val="TableParagraph"/>
              <w:spacing w:line="210" w:lineRule="atLeast"/>
              <w:ind w:left="1106" w:right="928" w:firstLine="88"/>
              <w:rPr>
                <w:rFonts w:ascii="Arial"/>
                <w:b/>
                <w:sz w:val="18"/>
              </w:rPr>
            </w:pPr>
            <w:r>
              <w:rPr>
                <w:rFonts w:ascii="Arial"/>
                <w:b/>
                <w:sz w:val="18"/>
              </w:rPr>
              <w:t>Pay for Performance Phase In (P=</w:t>
            </w:r>
            <w:r>
              <w:rPr>
                <w:rFonts w:ascii="Arial"/>
                <w:b/>
                <w:spacing w:val="-13"/>
                <w:sz w:val="18"/>
              </w:rPr>
              <w:t> </w:t>
            </w:r>
            <w:r>
              <w:rPr>
                <w:rFonts w:ascii="Arial"/>
                <w:b/>
                <w:sz w:val="18"/>
              </w:rPr>
              <w:t>Performance,</w:t>
            </w:r>
            <w:r>
              <w:rPr>
                <w:rFonts w:ascii="Arial"/>
                <w:b/>
                <w:spacing w:val="-12"/>
                <w:sz w:val="18"/>
              </w:rPr>
              <w:t> </w:t>
            </w:r>
            <w:r>
              <w:rPr>
                <w:rFonts w:ascii="Arial"/>
                <w:b/>
                <w:sz w:val="18"/>
              </w:rPr>
              <w:t>R=</w:t>
            </w:r>
            <w:r>
              <w:rPr>
                <w:rFonts w:ascii="Arial"/>
                <w:b/>
                <w:spacing w:val="-13"/>
                <w:sz w:val="18"/>
              </w:rPr>
              <w:t> </w:t>
            </w:r>
            <w:r>
              <w:rPr>
                <w:rFonts w:ascii="Arial"/>
                <w:b/>
                <w:sz w:val="18"/>
              </w:rPr>
              <w:t>Reporting)</w:t>
            </w:r>
          </w:p>
        </w:tc>
      </w:tr>
      <w:tr>
        <w:trPr>
          <w:trHeight w:val="227" w:hRule="atLeast"/>
        </w:trPr>
        <w:tc>
          <w:tcPr>
            <w:tcW w:w="420" w:type="dxa"/>
            <w:vMerge/>
            <w:tcBorders>
              <w:top w:val="nil"/>
            </w:tcBorders>
            <w:shd w:val="clear" w:color="auto" w:fill="DEEAF6"/>
          </w:tcPr>
          <w:p>
            <w:pPr>
              <w:rPr>
                <w:sz w:val="2"/>
                <w:szCs w:val="2"/>
              </w:rPr>
            </w:pPr>
          </w:p>
        </w:tc>
        <w:tc>
          <w:tcPr>
            <w:tcW w:w="2251" w:type="dxa"/>
            <w:vMerge/>
            <w:tcBorders>
              <w:top w:val="nil"/>
            </w:tcBorders>
            <w:shd w:val="clear" w:color="auto" w:fill="DEEAF6"/>
          </w:tcPr>
          <w:p>
            <w:pPr>
              <w:rPr>
                <w:sz w:val="2"/>
                <w:szCs w:val="2"/>
              </w:rPr>
            </w:pPr>
          </w:p>
        </w:tc>
        <w:tc>
          <w:tcPr>
            <w:tcW w:w="3240" w:type="dxa"/>
            <w:vMerge/>
            <w:tcBorders>
              <w:top w:val="nil"/>
            </w:tcBorders>
            <w:shd w:val="clear" w:color="auto" w:fill="DEEAF6"/>
          </w:tcPr>
          <w:p>
            <w:pPr>
              <w:rPr>
                <w:sz w:val="2"/>
                <w:szCs w:val="2"/>
              </w:rPr>
            </w:pPr>
          </w:p>
        </w:tc>
        <w:tc>
          <w:tcPr>
            <w:tcW w:w="900" w:type="dxa"/>
            <w:vMerge/>
            <w:tcBorders>
              <w:top w:val="nil"/>
            </w:tcBorders>
            <w:shd w:val="clear" w:color="auto" w:fill="DEEAF6"/>
          </w:tcPr>
          <w:p>
            <w:pPr>
              <w:rPr>
                <w:sz w:val="2"/>
                <w:szCs w:val="2"/>
              </w:rPr>
            </w:pPr>
          </w:p>
        </w:tc>
        <w:tc>
          <w:tcPr>
            <w:tcW w:w="1260" w:type="dxa"/>
            <w:vMerge/>
            <w:tcBorders>
              <w:top w:val="nil"/>
            </w:tcBorders>
            <w:shd w:val="clear" w:color="auto" w:fill="DEEAF6"/>
          </w:tcPr>
          <w:p>
            <w:pPr>
              <w:rPr>
                <w:sz w:val="2"/>
                <w:szCs w:val="2"/>
              </w:rPr>
            </w:pPr>
          </w:p>
        </w:tc>
        <w:tc>
          <w:tcPr>
            <w:tcW w:w="991" w:type="dxa"/>
            <w:vMerge/>
            <w:tcBorders>
              <w:top w:val="nil"/>
            </w:tcBorders>
            <w:shd w:val="clear" w:color="auto" w:fill="DEEAF6"/>
          </w:tcPr>
          <w:p>
            <w:pPr>
              <w:rPr>
                <w:sz w:val="2"/>
                <w:szCs w:val="2"/>
              </w:rPr>
            </w:pPr>
          </w:p>
        </w:tc>
        <w:tc>
          <w:tcPr>
            <w:tcW w:w="900" w:type="dxa"/>
            <w:vMerge/>
            <w:tcBorders>
              <w:top w:val="nil"/>
              <w:right w:val="single" w:sz="4" w:space="0" w:color="BCD5ED"/>
            </w:tcBorders>
            <w:shd w:val="clear" w:color="auto" w:fill="DEEAF6"/>
          </w:tcPr>
          <w:p>
            <w:pPr>
              <w:rPr>
                <w:sz w:val="2"/>
                <w:szCs w:val="2"/>
              </w:rPr>
            </w:pPr>
          </w:p>
        </w:tc>
        <w:tc>
          <w:tcPr>
            <w:tcW w:w="989" w:type="dxa"/>
            <w:tcBorders>
              <w:top w:val="single" w:sz="4" w:space="0" w:color="BCD5ED"/>
              <w:right w:val="single" w:sz="4" w:space="0" w:color="BCD5ED"/>
            </w:tcBorders>
            <w:shd w:val="clear" w:color="auto" w:fill="DEEAF6"/>
          </w:tcPr>
          <w:p>
            <w:pPr>
              <w:pStyle w:val="TableParagraph"/>
              <w:spacing w:line="187" w:lineRule="exact" w:before="20"/>
              <w:ind w:left="106" w:right="101"/>
              <w:jc w:val="center"/>
              <w:rPr>
                <w:rFonts w:ascii="Arial"/>
                <w:b/>
                <w:sz w:val="18"/>
              </w:rPr>
            </w:pPr>
            <w:r>
              <w:rPr>
                <w:rFonts w:ascii="Arial"/>
                <w:b/>
                <w:spacing w:val="-4"/>
                <w:sz w:val="18"/>
              </w:rPr>
              <w:t>2018</w:t>
            </w:r>
          </w:p>
        </w:tc>
        <w:tc>
          <w:tcPr>
            <w:tcW w:w="991" w:type="dxa"/>
            <w:tcBorders>
              <w:top w:val="single" w:sz="4" w:space="0" w:color="BCD5ED"/>
              <w:left w:val="single" w:sz="4" w:space="0" w:color="BCD5ED"/>
              <w:right w:val="single" w:sz="4" w:space="0" w:color="BCD5ED"/>
            </w:tcBorders>
            <w:shd w:val="clear" w:color="auto" w:fill="DEEAF6"/>
          </w:tcPr>
          <w:p>
            <w:pPr>
              <w:pStyle w:val="TableParagraph"/>
              <w:spacing w:line="187" w:lineRule="exact" w:before="20"/>
              <w:ind w:left="219" w:right="212"/>
              <w:jc w:val="center"/>
              <w:rPr>
                <w:rFonts w:ascii="Arial"/>
                <w:b/>
                <w:sz w:val="18"/>
              </w:rPr>
            </w:pPr>
            <w:r>
              <w:rPr>
                <w:rFonts w:ascii="Arial"/>
                <w:b/>
                <w:spacing w:val="-4"/>
                <w:sz w:val="18"/>
              </w:rPr>
              <w:t>2019</w:t>
            </w:r>
          </w:p>
        </w:tc>
        <w:tc>
          <w:tcPr>
            <w:tcW w:w="1080" w:type="dxa"/>
            <w:tcBorders>
              <w:top w:val="single" w:sz="4" w:space="0" w:color="BCD5ED"/>
              <w:left w:val="single" w:sz="4" w:space="0" w:color="BCD5ED"/>
              <w:right w:val="single" w:sz="4" w:space="0" w:color="BCD5ED"/>
            </w:tcBorders>
            <w:shd w:val="clear" w:color="auto" w:fill="DEEAF6"/>
          </w:tcPr>
          <w:p>
            <w:pPr>
              <w:pStyle w:val="TableParagraph"/>
              <w:spacing w:line="187" w:lineRule="exact" w:before="20"/>
              <w:ind w:left="153" w:right="148"/>
              <w:jc w:val="center"/>
              <w:rPr>
                <w:rFonts w:ascii="Arial"/>
                <w:b/>
                <w:sz w:val="18"/>
              </w:rPr>
            </w:pPr>
            <w:r>
              <w:rPr>
                <w:rFonts w:ascii="Arial"/>
                <w:b/>
                <w:spacing w:val="-4"/>
                <w:sz w:val="18"/>
              </w:rPr>
              <w:t>2020</w:t>
            </w:r>
          </w:p>
        </w:tc>
        <w:tc>
          <w:tcPr>
            <w:tcW w:w="900" w:type="dxa"/>
            <w:tcBorders>
              <w:top w:val="single" w:sz="4" w:space="0" w:color="BCD5ED"/>
              <w:left w:val="single" w:sz="4" w:space="0" w:color="BCD5ED"/>
              <w:right w:val="single" w:sz="4" w:space="0" w:color="BCD5ED"/>
            </w:tcBorders>
            <w:shd w:val="clear" w:color="auto" w:fill="DEEAF6"/>
          </w:tcPr>
          <w:p>
            <w:pPr>
              <w:pStyle w:val="TableParagraph"/>
              <w:spacing w:line="187" w:lineRule="exact" w:before="20"/>
              <w:ind w:left="153" w:right="145"/>
              <w:jc w:val="center"/>
              <w:rPr>
                <w:rFonts w:ascii="Arial"/>
                <w:b/>
                <w:sz w:val="18"/>
              </w:rPr>
            </w:pPr>
            <w:r>
              <w:rPr>
                <w:rFonts w:ascii="Arial"/>
                <w:b/>
                <w:spacing w:val="-4"/>
                <w:sz w:val="18"/>
              </w:rPr>
              <w:t>2021</w:t>
            </w:r>
          </w:p>
        </w:tc>
        <w:tc>
          <w:tcPr>
            <w:tcW w:w="989" w:type="dxa"/>
            <w:tcBorders>
              <w:top w:val="single" w:sz="4" w:space="0" w:color="BCD5ED"/>
              <w:left w:val="single" w:sz="4" w:space="0" w:color="BCD5ED"/>
              <w:right w:val="single" w:sz="4" w:space="0" w:color="BCD5ED"/>
            </w:tcBorders>
            <w:shd w:val="clear" w:color="auto" w:fill="DEEAF6"/>
          </w:tcPr>
          <w:p>
            <w:pPr>
              <w:pStyle w:val="TableParagraph"/>
              <w:spacing w:line="187" w:lineRule="exact" w:before="20"/>
              <w:ind w:left="106" w:right="101"/>
              <w:jc w:val="center"/>
              <w:rPr>
                <w:rFonts w:ascii="Arial"/>
                <w:b/>
                <w:sz w:val="18"/>
              </w:rPr>
            </w:pPr>
            <w:r>
              <w:rPr>
                <w:rFonts w:ascii="Arial"/>
                <w:b/>
                <w:spacing w:val="-4"/>
                <w:sz w:val="18"/>
              </w:rPr>
              <w:t>2022</w:t>
            </w:r>
          </w:p>
        </w:tc>
      </w:tr>
      <w:tr>
        <w:trPr>
          <w:trHeight w:val="770" w:hRule="atLeast"/>
        </w:trPr>
        <w:tc>
          <w:tcPr>
            <w:tcW w:w="14911" w:type="dxa"/>
            <w:gridSpan w:val="12"/>
          </w:tcPr>
          <w:p>
            <w:pPr>
              <w:pStyle w:val="TableParagraph"/>
              <w:spacing w:before="6"/>
              <w:rPr>
                <w:i/>
                <w:sz w:val="24"/>
              </w:rPr>
            </w:pPr>
          </w:p>
          <w:p>
            <w:pPr>
              <w:pStyle w:val="TableParagraph"/>
              <w:ind w:left="107"/>
              <w:rPr>
                <w:rFonts w:ascii="Arial"/>
                <w:b/>
                <w:sz w:val="18"/>
              </w:rPr>
            </w:pPr>
            <w:r>
              <w:rPr>
                <w:rFonts w:ascii="Arial"/>
                <w:b/>
                <w:sz w:val="18"/>
              </w:rPr>
              <w:t>Domain</w:t>
            </w:r>
            <w:r>
              <w:rPr>
                <w:rFonts w:ascii="Arial"/>
                <w:b/>
                <w:spacing w:val="-3"/>
                <w:sz w:val="18"/>
              </w:rPr>
              <w:t> </w:t>
            </w:r>
            <w:r>
              <w:rPr>
                <w:rFonts w:ascii="Arial"/>
                <w:b/>
                <w:sz w:val="18"/>
              </w:rPr>
              <w:t>1:</w:t>
            </w:r>
            <w:r>
              <w:rPr>
                <w:rFonts w:ascii="Arial"/>
                <w:b/>
                <w:spacing w:val="-3"/>
                <w:sz w:val="18"/>
              </w:rPr>
              <w:t> </w:t>
            </w:r>
            <w:r>
              <w:rPr>
                <w:rFonts w:ascii="Arial"/>
                <w:b/>
                <w:sz w:val="18"/>
              </w:rPr>
              <w:t>Care </w:t>
            </w:r>
            <w:r>
              <w:rPr>
                <w:rFonts w:ascii="Arial"/>
                <w:b/>
                <w:spacing w:val="-2"/>
                <w:sz w:val="18"/>
              </w:rPr>
              <w:t>Integration</w:t>
            </w:r>
          </w:p>
        </w:tc>
      </w:tr>
      <w:tr>
        <w:trPr>
          <w:trHeight w:val="1070" w:hRule="atLeast"/>
        </w:trPr>
        <w:tc>
          <w:tcPr>
            <w:tcW w:w="420" w:type="dxa"/>
          </w:tcPr>
          <w:p>
            <w:pPr>
              <w:pStyle w:val="TableParagraph"/>
              <w:rPr>
                <w:i/>
                <w:sz w:val="20"/>
              </w:rPr>
            </w:pPr>
          </w:p>
          <w:p>
            <w:pPr>
              <w:pStyle w:val="TableParagraph"/>
              <w:spacing w:before="5"/>
              <w:rPr>
                <w:i/>
                <w:sz w:val="17"/>
              </w:rPr>
            </w:pPr>
          </w:p>
          <w:p>
            <w:pPr>
              <w:pStyle w:val="TableParagraph"/>
              <w:ind w:left="6"/>
              <w:jc w:val="center"/>
              <w:rPr>
                <w:rFonts w:ascii="Arial"/>
                <w:sz w:val="18"/>
              </w:rPr>
            </w:pPr>
            <w:r>
              <w:rPr>
                <w:rFonts w:ascii="Arial"/>
                <w:sz w:val="18"/>
              </w:rPr>
              <w:t>1</w:t>
            </w:r>
          </w:p>
        </w:tc>
        <w:tc>
          <w:tcPr>
            <w:tcW w:w="2251" w:type="dxa"/>
          </w:tcPr>
          <w:p>
            <w:pPr>
              <w:pStyle w:val="TableParagraph"/>
              <w:spacing w:before="5"/>
              <w:rPr>
                <w:i/>
                <w:sz w:val="28"/>
              </w:rPr>
            </w:pPr>
          </w:p>
          <w:p>
            <w:pPr>
              <w:pStyle w:val="TableParagraph"/>
              <w:spacing w:before="1"/>
              <w:ind w:left="542" w:right="336" w:hanging="195"/>
              <w:rPr>
                <w:rFonts w:ascii="Arial"/>
                <w:sz w:val="18"/>
              </w:rPr>
            </w:pPr>
            <w:r>
              <w:rPr>
                <w:rFonts w:ascii="Arial"/>
                <w:sz w:val="18"/>
              </w:rPr>
              <w:t>Community</w:t>
            </w:r>
            <w:r>
              <w:rPr>
                <w:rFonts w:ascii="Arial"/>
                <w:spacing w:val="-13"/>
                <w:sz w:val="18"/>
              </w:rPr>
              <w:t> </w:t>
            </w:r>
            <w:r>
              <w:rPr>
                <w:rFonts w:ascii="Arial"/>
                <w:sz w:val="18"/>
              </w:rPr>
              <w:t>Partner </w:t>
            </w:r>
            <w:r>
              <w:rPr>
                <w:rFonts w:ascii="Arial"/>
                <w:spacing w:val="-2"/>
                <w:sz w:val="18"/>
              </w:rPr>
              <w:t>Engagement**</w:t>
            </w:r>
          </w:p>
        </w:tc>
        <w:tc>
          <w:tcPr>
            <w:tcW w:w="3240" w:type="dxa"/>
          </w:tcPr>
          <w:p>
            <w:pPr>
              <w:pStyle w:val="TableParagraph"/>
              <w:spacing w:before="121"/>
              <w:ind w:left="124" w:right="113"/>
              <w:jc w:val="center"/>
              <w:rPr>
                <w:rFonts w:ascii="Arial"/>
                <w:sz w:val="18"/>
              </w:rPr>
            </w:pPr>
            <w:r>
              <w:rPr>
                <w:rFonts w:ascii="Arial"/>
                <w:sz w:val="18"/>
              </w:rPr>
              <w:t>Percentage</w:t>
            </w:r>
            <w:r>
              <w:rPr>
                <w:rFonts w:ascii="Arial"/>
                <w:spacing w:val="-9"/>
                <w:sz w:val="18"/>
              </w:rPr>
              <w:t> </w:t>
            </w:r>
            <w:r>
              <w:rPr>
                <w:rFonts w:ascii="Arial"/>
                <w:sz w:val="18"/>
              </w:rPr>
              <w:t>of</w:t>
            </w:r>
            <w:r>
              <w:rPr>
                <w:rFonts w:ascii="Arial"/>
                <w:spacing w:val="-7"/>
                <w:sz w:val="18"/>
              </w:rPr>
              <w:t> </w:t>
            </w:r>
            <w:r>
              <w:rPr>
                <w:rFonts w:ascii="Arial"/>
                <w:sz w:val="18"/>
              </w:rPr>
              <w:t>assigned</w:t>
            </w:r>
            <w:r>
              <w:rPr>
                <w:rFonts w:ascii="Arial"/>
                <w:spacing w:val="-7"/>
                <w:sz w:val="18"/>
              </w:rPr>
              <w:t> </w:t>
            </w:r>
            <w:r>
              <w:rPr>
                <w:rFonts w:ascii="Arial"/>
                <w:sz w:val="18"/>
              </w:rPr>
              <w:t>enrollees</w:t>
            </w:r>
            <w:r>
              <w:rPr>
                <w:rFonts w:ascii="Arial"/>
                <w:spacing w:val="-8"/>
                <w:sz w:val="18"/>
              </w:rPr>
              <w:t> </w:t>
            </w:r>
            <w:r>
              <w:rPr>
                <w:rFonts w:ascii="Arial"/>
                <w:sz w:val="18"/>
              </w:rPr>
              <w:t>3</w:t>
            </w:r>
            <w:r>
              <w:rPr>
                <w:rFonts w:ascii="Arial"/>
                <w:spacing w:val="-7"/>
                <w:sz w:val="18"/>
              </w:rPr>
              <w:t> </w:t>
            </w:r>
            <w:r>
              <w:rPr>
                <w:rFonts w:ascii="Arial"/>
                <w:sz w:val="18"/>
              </w:rPr>
              <w:t>to 64 years of age with documentation</w:t>
            </w:r>
            <w:r>
              <w:rPr>
                <w:rFonts w:ascii="Arial"/>
                <w:spacing w:val="40"/>
                <w:sz w:val="18"/>
              </w:rPr>
              <w:t> </w:t>
            </w:r>
            <w:r>
              <w:rPr>
                <w:rFonts w:ascii="Arial"/>
                <w:sz w:val="18"/>
              </w:rPr>
              <w:t>of engagement within 122 days of assignment to a Community Partner</w:t>
            </w:r>
          </w:p>
        </w:tc>
        <w:tc>
          <w:tcPr>
            <w:tcW w:w="900" w:type="dxa"/>
          </w:tcPr>
          <w:p>
            <w:pPr>
              <w:pStyle w:val="TableParagraph"/>
              <w:rPr>
                <w:i/>
                <w:sz w:val="20"/>
              </w:rPr>
            </w:pPr>
          </w:p>
          <w:p>
            <w:pPr>
              <w:pStyle w:val="TableParagraph"/>
              <w:spacing w:before="5"/>
              <w:rPr>
                <w:i/>
                <w:sz w:val="17"/>
              </w:rPr>
            </w:pPr>
          </w:p>
          <w:p>
            <w:pPr>
              <w:pStyle w:val="TableParagraph"/>
              <w:spacing w:before="1"/>
              <w:ind w:left="155" w:right="144"/>
              <w:jc w:val="center"/>
              <w:rPr>
                <w:rFonts w:ascii="Arial"/>
                <w:sz w:val="18"/>
              </w:rPr>
            </w:pPr>
            <w:r>
              <w:rPr>
                <w:rFonts w:ascii="Arial"/>
                <w:spacing w:val="-4"/>
                <w:sz w:val="18"/>
              </w:rPr>
              <w:t>Admin</w:t>
            </w:r>
          </w:p>
        </w:tc>
        <w:tc>
          <w:tcPr>
            <w:tcW w:w="1260" w:type="dxa"/>
          </w:tcPr>
          <w:p>
            <w:pPr>
              <w:pStyle w:val="TableParagraph"/>
              <w:rPr>
                <w:i/>
                <w:sz w:val="20"/>
              </w:rPr>
            </w:pPr>
          </w:p>
          <w:p>
            <w:pPr>
              <w:pStyle w:val="TableParagraph"/>
              <w:spacing w:before="5"/>
              <w:rPr>
                <w:i/>
                <w:sz w:val="17"/>
              </w:rPr>
            </w:pPr>
          </w:p>
          <w:p>
            <w:pPr>
              <w:pStyle w:val="TableParagraph"/>
              <w:spacing w:before="1"/>
              <w:ind w:left="133" w:right="124"/>
              <w:jc w:val="center"/>
              <w:rPr>
                <w:rFonts w:ascii="Arial"/>
                <w:sz w:val="18"/>
              </w:rPr>
            </w:pPr>
            <w:r>
              <w:rPr>
                <w:rFonts w:ascii="Arial"/>
                <w:sz w:val="18"/>
              </w:rPr>
              <w:t>Q4 </w:t>
            </w:r>
            <w:r>
              <w:rPr>
                <w:rFonts w:ascii="Arial"/>
                <w:spacing w:val="-4"/>
                <w:sz w:val="18"/>
              </w:rPr>
              <w:t>2021</w:t>
            </w:r>
          </w:p>
        </w:tc>
        <w:tc>
          <w:tcPr>
            <w:tcW w:w="991" w:type="dxa"/>
          </w:tcPr>
          <w:p>
            <w:pPr>
              <w:pStyle w:val="TableParagraph"/>
              <w:spacing w:before="6"/>
              <w:rPr>
                <w:i/>
                <w:sz w:val="28"/>
              </w:rPr>
            </w:pPr>
          </w:p>
          <w:p>
            <w:pPr>
              <w:pStyle w:val="TableParagraph"/>
              <w:ind w:left="172" w:right="158" w:firstLine="184"/>
              <w:rPr>
                <w:rFonts w:ascii="Arial"/>
                <w:sz w:val="18"/>
              </w:rPr>
            </w:pPr>
            <w:r>
              <w:rPr>
                <w:rFonts w:ascii="Arial"/>
                <w:spacing w:val="-6"/>
                <w:sz w:val="18"/>
              </w:rPr>
              <w:t>MA </w:t>
            </w:r>
            <w:r>
              <w:rPr>
                <w:rFonts w:ascii="Arial"/>
                <w:spacing w:val="-2"/>
                <w:sz w:val="18"/>
              </w:rPr>
              <w:t>EOHHS</w:t>
            </w:r>
          </w:p>
        </w:tc>
        <w:tc>
          <w:tcPr>
            <w:tcW w:w="900" w:type="dxa"/>
          </w:tcPr>
          <w:p>
            <w:pPr>
              <w:pStyle w:val="TableParagraph"/>
              <w:rPr>
                <w:i/>
                <w:sz w:val="20"/>
              </w:rPr>
            </w:pPr>
          </w:p>
          <w:p>
            <w:pPr>
              <w:pStyle w:val="TableParagraph"/>
              <w:spacing w:before="6"/>
              <w:rPr>
                <w:i/>
                <w:sz w:val="17"/>
              </w:rPr>
            </w:pPr>
          </w:p>
          <w:p>
            <w:pPr>
              <w:pStyle w:val="TableParagraph"/>
              <w:ind w:left="150" w:right="145"/>
              <w:jc w:val="center"/>
              <w:rPr>
                <w:rFonts w:ascii="Arial"/>
                <w:sz w:val="18"/>
              </w:rPr>
            </w:pPr>
            <w:r>
              <w:rPr>
                <w:rFonts w:ascii="Arial"/>
                <w:spacing w:val="-5"/>
                <w:sz w:val="18"/>
              </w:rPr>
              <w:t>N/A</w:t>
            </w:r>
          </w:p>
        </w:tc>
        <w:tc>
          <w:tcPr>
            <w:tcW w:w="989" w:type="dxa"/>
          </w:tcPr>
          <w:p>
            <w:pPr>
              <w:pStyle w:val="TableParagraph"/>
              <w:rPr>
                <w:i/>
                <w:sz w:val="20"/>
              </w:rPr>
            </w:pPr>
          </w:p>
          <w:p>
            <w:pPr>
              <w:pStyle w:val="TableParagraph"/>
              <w:spacing w:before="6"/>
              <w:rPr>
                <w:i/>
                <w:sz w:val="17"/>
              </w:rPr>
            </w:pPr>
          </w:p>
          <w:p>
            <w:pPr>
              <w:pStyle w:val="TableParagraph"/>
              <w:ind w:left="5"/>
              <w:jc w:val="center"/>
              <w:rPr>
                <w:rFonts w:ascii="Arial"/>
                <w:sz w:val="18"/>
              </w:rPr>
            </w:pPr>
            <w:r>
              <w:rPr>
                <w:rFonts w:ascii="Arial"/>
                <w:sz w:val="18"/>
              </w:rPr>
              <w:t>R</w:t>
            </w:r>
          </w:p>
        </w:tc>
        <w:tc>
          <w:tcPr>
            <w:tcW w:w="991" w:type="dxa"/>
          </w:tcPr>
          <w:p>
            <w:pPr>
              <w:pStyle w:val="TableParagraph"/>
              <w:rPr>
                <w:i/>
                <w:sz w:val="20"/>
              </w:rPr>
            </w:pPr>
          </w:p>
          <w:p>
            <w:pPr>
              <w:pStyle w:val="TableParagraph"/>
              <w:spacing w:before="6"/>
              <w:rPr>
                <w:i/>
                <w:sz w:val="17"/>
              </w:rPr>
            </w:pPr>
          </w:p>
          <w:p>
            <w:pPr>
              <w:pStyle w:val="TableParagraph"/>
              <w:ind w:left="8"/>
              <w:jc w:val="center"/>
              <w:rPr>
                <w:rFonts w:ascii="Arial"/>
                <w:sz w:val="18"/>
              </w:rPr>
            </w:pPr>
            <w:r>
              <w:rPr>
                <w:rFonts w:ascii="Arial"/>
                <w:sz w:val="18"/>
              </w:rPr>
              <w:t>R</w:t>
            </w:r>
          </w:p>
        </w:tc>
        <w:tc>
          <w:tcPr>
            <w:tcW w:w="1080" w:type="dxa"/>
          </w:tcPr>
          <w:p>
            <w:pPr>
              <w:pStyle w:val="TableParagraph"/>
              <w:rPr>
                <w:i/>
                <w:sz w:val="20"/>
              </w:rPr>
            </w:pPr>
          </w:p>
          <w:p>
            <w:pPr>
              <w:pStyle w:val="TableParagraph"/>
              <w:spacing w:before="6"/>
              <w:rPr>
                <w:i/>
                <w:sz w:val="17"/>
              </w:rPr>
            </w:pPr>
          </w:p>
          <w:p>
            <w:pPr>
              <w:pStyle w:val="TableParagraph"/>
              <w:ind w:left="154" w:right="148"/>
              <w:jc w:val="center"/>
              <w:rPr>
                <w:rFonts w:ascii="Arial"/>
                <w:sz w:val="18"/>
              </w:rPr>
            </w:pPr>
            <w:r>
              <w:rPr>
                <w:rFonts w:ascii="Arial"/>
                <w:sz w:val="18"/>
              </w:rPr>
              <w:t>P </w:t>
            </w:r>
            <w:r>
              <w:rPr>
                <w:rFonts w:ascii="Arial"/>
                <w:spacing w:val="-2"/>
                <w:sz w:val="18"/>
              </w:rPr>
              <w:t>(19/20)</w:t>
            </w:r>
          </w:p>
        </w:tc>
        <w:tc>
          <w:tcPr>
            <w:tcW w:w="900" w:type="dxa"/>
          </w:tcPr>
          <w:p>
            <w:pPr>
              <w:pStyle w:val="TableParagraph"/>
              <w:rPr>
                <w:i/>
                <w:sz w:val="20"/>
              </w:rPr>
            </w:pPr>
          </w:p>
          <w:p>
            <w:pPr>
              <w:pStyle w:val="TableParagraph"/>
              <w:spacing w:before="6"/>
              <w:rPr>
                <w:i/>
                <w:sz w:val="17"/>
              </w:rPr>
            </w:pPr>
          </w:p>
          <w:p>
            <w:pPr>
              <w:pStyle w:val="TableParagraph"/>
              <w:ind w:left="3"/>
              <w:jc w:val="center"/>
              <w:rPr>
                <w:rFonts w:ascii="Arial"/>
                <w:sz w:val="18"/>
              </w:rPr>
            </w:pPr>
            <w:r>
              <w:rPr>
                <w:rFonts w:ascii="Arial"/>
                <w:sz w:val="18"/>
              </w:rPr>
              <w:t>P</w:t>
            </w:r>
          </w:p>
        </w:tc>
        <w:tc>
          <w:tcPr>
            <w:tcW w:w="989" w:type="dxa"/>
          </w:tcPr>
          <w:p>
            <w:pPr>
              <w:pStyle w:val="TableParagraph"/>
              <w:rPr>
                <w:i/>
                <w:sz w:val="20"/>
              </w:rPr>
            </w:pPr>
          </w:p>
          <w:p>
            <w:pPr>
              <w:pStyle w:val="TableParagraph"/>
              <w:spacing w:before="6"/>
              <w:rPr>
                <w:i/>
                <w:sz w:val="17"/>
              </w:rPr>
            </w:pPr>
          </w:p>
          <w:p>
            <w:pPr>
              <w:pStyle w:val="TableParagraph"/>
              <w:ind w:left="5"/>
              <w:jc w:val="center"/>
              <w:rPr>
                <w:rFonts w:ascii="Arial"/>
                <w:sz w:val="18"/>
              </w:rPr>
            </w:pPr>
            <w:r>
              <w:rPr>
                <w:rFonts w:ascii="Arial"/>
                <w:sz w:val="18"/>
              </w:rPr>
              <w:t>P</w:t>
            </w:r>
          </w:p>
        </w:tc>
      </w:tr>
      <w:tr>
        <w:trPr>
          <w:trHeight w:val="1067" w:hRule="atLeast"/>
        </w:trPr>
        <w:tc>
          <w:tcPr>
            <w:tcW w:w="420" w:type="dxa"/>
          </w:tcPr>
          <w:p>
            <w:pPr>
              <w:pStyle w:val="TableParagraph"/>
              <w:rPr>
                <w:i/>
                <w:sz w:val="20"/>
              </w:rPr>
            </w:pPr>
          </w:p>
          <w:p>
            <w:pPr>
              <w:pStyle w:val="TableParagraph"/>
              <w:spacing w:before="3"/>
              <w:rPr>
                <w:i/>
                <w:sz w:val="17"/>
              </w:rPr>
            </w:pPr>
          </w:p>
          <w:p>
            <w:pPr>
              <w:pStyle w:val="TableParagraph"/>
              <w:ind w:left="6"/>
              <w:jc w:val="center"/>
              <w:rPr>
                <w:rFonts w:ascii="Arial"/>
                <w:sz w:val="18"/>
              </w:rPr>
            </w:pPr>
            <w:r>
              <w:rPr>
                <w:rFonts w:ascii="Arial"/>
                <w:sz w:val="18"/>
              </w:rPr>
              <w:t>2</w:t>
            </w:r>
          </w:p>
        </w:tc>
        <w:tc>
          <w:tcPr>
            <w:tcW w:w="2251" w:type="dxa"/>
          </w:tcPr>
          <w:p>
            <w:pPr>
              <w:pStyle w:val="TableParagraph"/>
              <w:spacing w:before="3"/>
              <w:rPr>
                <w:i/>
                <w:sz w:val="28"/>
              </w:rPr>
            </w:pPr>
          </w:p>
          <w:p>
            <w:pPr>
              <w:pStyle w:val="TableParagraph"/>
              <w:ind w:left="597" w:hanging="180"/>
              <w:rPr>
                <w:rFonts w:ascii="Arial"/>
                <w:sz w:val="18"/>
              </w:rPr>
            </w:pPr>
            <w:r>
              <w:rPr>
                <w:rFonts w:ascii="Arial"/>
                <w:sz w:val="18"/>
              </w:rPr>
              <w:t>Annual</w:t>
            </w:r>
            <w:r>
              <w:rPr>
                <w:rFonts w:ascii="Arial"/>
                <w:spacing w:val="-15"/>
                <w:sz w:val="18"/>
              </w:rPr>
              <w:t> </w:t>
            </w:r>
            <w:r>
              <w:rPr>
                <w:rFonts w:ascii="Arial"/>
                <w:sz w:val="18"/>
              </w:rPr>
              <w:t>Care</w:t>
            </w:r>
            <w:r>
              <w:rPr>
                <w:rFonts w:ascii="Arial"/>
                <w:spacing w:val="-12"/>
                <w:sz w:val="18"/>
              </w:rPr>
              <w:t> </w:t>
            </w:r>
            <w:r>
              <w:rPr>
                <w:rFonts w:ascii="Arial"/>
                <w:sz w:val="18"/>
              </w:rPr>
              <w:t>Plan </w:t>
            </w:r>
            <w:r>
              <w:rPr>
                <w:rFonts w:ascii="Arial"/>
                <w:spacing w:val="-2"/>
                <w:sz w:val="18"/>
              </w:rPr>
              <w:t>Completion**</w:t>
            </w:r>
          </w:p>
        </w:tc>
        <w:tc>
          <w:tcPr>
            <w:tcW w:w="3240" w:type="dxa"/>
          </w:tcPr>
          <w:p>
            <w:pPr>
              <w:pStyle w:val="TableParagraph"/>
              <w:spacing w:before="119"/>
              <w:ind w:left="123" w:right="112"/>
              <w:jc w:val="center"/>
              <w:rPr>
                <w:rFonts w:ascii="Arial"/>
                <w:sz w:val="18"/>
              </w:rPr>
            </w:pPr>
            <w:r>
              <w:rPr>
                <w:rFonts w:ascii="Arial"/>
                <w:sz w:val="18"/>
              </w:rPr>
              <w:t>Percentage</w:t>
            </w:r>
            <w:r>
              <w:rPr>
                <w:rFonts w:ascii="Arial"/>
                <w:spacing w:val="-8"/>
                <w:sz w:val="18"/>
              </w:rPr>
              <w:t> </w:t>
            </w:r>
            <w:r>
              <w:rPr>
                <w:rFonts w:ascii="Arial"/>
                <w:sz w:val="18"/>
              </w:rPr>
              <w:t>of</w:t>
            </w:r>
            <w:r>
              <w:rPr>
                <w:rFonts w:ascii="Arial"/>
                <w:spacing w:val="-6"/>
                <w:sz w:val="18"/>
              </w:rPr>
              <w:t> </w:t>
            </w:r>
            <w:r>
              <w:rPr>
                <w:rFonts w:ascii="Arial"/>
                <w:sz w:val="18"/>
              </w:rPr>
              <w:t>enrollees</w:t>
            </w:r>
            <w:r>
              <w:rPr>
                <w:rFonts w:ascii="Arial"/>
                <w:spacing w:val="-5"/>
                <w:sz w:val="18"/>
              </w:rPr>
              <w:t> </w:t>
            </w:r>
            <w:r>
              <w:rPr>
                <w:rFonts w:ascii="Arial"/>
                <w:sz w:val="18"/>
              </w:rPr>
              <w:t>3</w:t>
            </w:r>
            <w:r>
              <w:rPr>
                <w:rFonts w:ascii="Arial"/>
                <w:spacing w:val="-8"/>
                <w:sz w:val="18"/>
              </w:rPr>
              <w:t> </w:t>
            </w:r>
            <w:r>
              <w:rPr>
                <w:rFonts w:ascii="Arial"/>
                <w:sz w:val="18"/>
              </w:rPr>
              <w:t>to</w:t>
            </w:r>
            <w:r>
              <w:rPr>
                <w:rFonts w:ascii="Arial"/>
                <w:spacing w:val="-5"/>
                <w:sz w:val="18"/>
              </w:rPr>
              <w:t> </w:t>
            </w:r>
            <w:r>
              <w:rPr>
                <w:rFonts w:ascii="Arial"/>
                <w:sz w:val="18"/>
              </w:rPr>
              <w:t>64</w:t>
            </w:r>
            <w:r>
              <w:rPr>
                <w:rFonts w:ascii="Arial"/>
                <w:spacing w:val="-5"/>
                <w:sz w:val="18"/>
              </w:rPr>
              <w:t> </w:t>
            </w:r>
            <w:r>
              <w:rPr>
                <w:rFonts w:ascii="Arial"/>
                <w:sz w:val="18"/>
              </w:rPr>
              <w:t>years of age with documentation of a completed Care Plan during the measurement year</w:t>
            </w:r>
          </w:p>
        </w:tc>
        <w:tc>
          <w:tcPr>
            <w:tcW w:w="900" w:type="dxa"/>
          </w:tcPr>
          <w:p>
            <w:pPr>
              <w:pStyle w:val="TableParagraph"/>
              <w:rPr>
                <w:i/>
                <w:sz w:val="20"/>
              </w:rPr>
            </w:pPr>
          </w:p>
          <w:p>
            <w:pPr>
              <w:pStyle w:val="TableParagraph"/>
              <w:spacing w:before="3"/>
              <w:rPr>
                <w:i/>
                <w:sz w:val="17"/>
              </w:rPr>
            </w:pPr>
          </w:p>
          <w:p>
            <w:pPr>
              <w:pStyle w:val="TableParagraph"/>
              <w:ind w:left="155" w:right="144"/>
              <w:jc w:val="center"/>
              <w:rPr>
                <w:rFonts w:ascii="Arial"/>
                <w:sz w:val="18"/>
              </w:rPr>
            </w:pPr>
            <w:r>
              <w:rPr>
                <w:rFonts w:ascii="Arial"/>
                <w:spacing w:val="-4"/>
                <w:sz w:val="18"/>
              </w:rPr>
              <w:t>Admin</w:t>
            </w:r>
          </w:p>
        </w:tc>
        <w:tc>
          <w:tcPr>
            <w:tcW w:w="1260" w:type="dxa"/>
          </w:tcPr>
          <w:p>
            <w:pPr>
              <w:pStyle w:val="TableParagraph"/>
              <w:rPr>
                <w:i/>
                <w:sz w:val="20"/>
              </w:rPr>
            </w:pPr>
          </w:p>
          <w:p>
            <w:pPr>
              <w:pStyle w:val="TableParagraph"/>
              <w:spacing w:before="3"/>
              <w:rPr>
                <w:i/>
                <w:sz w:val="17"/>
              </w:rPr>
            </w:pPr>
          </w:p>
          <w:p>
            <w:pPr>
              <w:pStyle w:val="TableParagraph"/>
              <w:ind w:left="133" w:right="124"/>
              <w:jc w:val="center"/>
              <w:rPr>
                <w:rFonts w:ascii="Arial"/>
                <w:sz w:val="18"/>
              </w:rPr>
            </w:pPr>
            <w:r>
              <w:rPr>
                <w:rFonts w:ascii="Arial"/>
                <w:sz w:val="18"/>
              </w:rPr>
              <w:t>Q4 </w:t>
            </w:r>
            <w:r>
              <w:rPr>
                <w:rFonts w:ascii="Arial"/>
                <w:spacing w:val="-4"/>
                <w:sz w:val="18"/>
              </w:rPr>
              <w:t>2021</w:t>
            </w:r>
          </w:p>
        </w:tc>
        <w:tc>
          <w:tcPr>
            <w:tcW w:w="991" w:type="dxa"/>
          </w:tcPr>
          <w:p>
            <w:pPr>
              <w:pStyle w:val="TableParagraph"/>
              <w:spacing w:before="3"/>
              <w:rPr>
                <w:i/>
                <w:sz w:val="28"/>
              </w:rPr>
            </w:pPr>
          </w:p>
          <w:p>
            <w:pPr>
              <w:pStyle w:val="TableParagraph"/>
              <w:spacing w:before="1"/>
              <w:ind w:left="172" w:right="158" w:firstLine="184"/>
              <w:rPr>
                <w:rFonts w:ascii="Arial"/>
                <w:sz w:val="18"/>
              </w:rPr>
            </w:pPr>
            <w:r>
              <w:rPr>
                <w:rFonts w:ascii="Arial"/>
                <w:spacing w:val="-6"/>
                <w:sz w:val="18"/>
              </w:rPr>
              <w:t>MA </w:t>
            </w:r>
            <w:r>
              <w:rPr>
                <w:rFonts w:ascii="Arial"/>
                <w:spacing w:val="-2"/>
                <w:sz w:val="18"/>
              </w:rPr>
              <w:t>EOHHS</w:t>
            </w:r>
          </w:p>
        </w:tc>
        <w:tc>
          <w:tcPr>
            <w:tcW w:w="900" w:type="dxa"/>
          </w:tcPr>
          <w:p>
            <w:pPr>
              <w:pStyle w:val="TableParagraph"/>
              <w:rPr>
                <w:i/>
                <w:sz w:val="20"/>
              </w:rPr>
            </w:pPr>
          </w:p>
          <w:p>
            <w:pPr>
              <w:pStyle w:val="TableParagraph"/>
              <w:spacing w:before="3"/>
              <w:rPr>
                <w:i/>
                <w:sz w:val="17"/>
              </w:rPr>
            </w:pPr>
          </w:p>
          <w:p>
            <w:pPr>
              <w:pStyle w:val="TableParagraph"/>
              <w:ind w:left="150" w:right="145"/>
              <w:jc w:val="center"/>
              <w:rPr>
                <w:rFonts w:ascii="Arial"/>
                <w:sz w:val="18"/>
              </w:rPr>
            </w:pPr>
            <w:r>
              <w:rPr>
                <w:rFonts w:ascii="Arial"/>
                <w:spacing w:val="-5"/>
                <w:sz w:val="18"/>
              </w:rPr>
              <w:t>N/A</w:t>
            </w:r>
          </w:p>
        </w:tc>
        <w:tc>
          <w:tcPr>
            <w:tcW w:w="989" w:type="dxa"/>
          </w:tcPr>
          <w:p>
            <w:pPr>
              <w:pStyle w:val="TableParagraph"/>
              <w:rPr>
                <w:i/>
                <w:sz w:val="20"/>
              </w:rPr>
            </w:pPr>
          </w:p>
          <w:p>
            <w:pPr>
              <w:pStyle w:val="TableParagraph"/>
              <w:spacing w:before="3"/>
              <w:rPr>
                <w:i/>
                <w:sz w:val="17"/>
              </w:rPr>
            </w:pPr>
          </w:p>
          <w:p>
            <w:pPr>
              <w:pStyle w:val="TableParagraph"/>
              <w:ind w:left="5"/>
              <w:jc w:val="center"/>
              <w:rPr>
                <w:rFonts w:ascii="Arial"/>
                <w:sz w:val="18"/>
              </w:rPr>
            </w:pPr>
            <w:r>
              <w:rPr>
                <w:rFonts w:ascii="Arial"/>
                <w:sz w:val="18"/>
              </w:rPr>
              <w:t>R</w:t>
            </w:r>
          </w:p>
        </w:tc>
        <w:tc>
          <w:tcPr>
            <w:tcW w:w="991" w:type="dxa"/>
          </w:tcPr>
          <w:p>
            <w:pPr>
              <w:pStyle w:val="TableParagraph"/>
              <w:rPr>
                <w:i/>
                <w:sz w:val="20"/>
              </w:rPr>
            </w:pPr>
          </w:p>
          <w:p>
            <w:pPr>
              <w:pStyle w:val="TableParagraph"/>
              <w:spacing w:before="3"/>
              <w:rPr>
                <w:i/>
                <w:sz w:val="17"/>
              </w:rPr>
            </w:pPr>
          </w:p>
          <w:p>
            <w:pPr>
              <w:pStyle w:val="TableParagraph"/>
              <w:ind w:left="219" w:right="211"/>
              <w:jc w:val="center"/>
              <w:rPr>
                <w:rFonts w:ascii="Arial"/>
                <w:sz w:val="18"/>
              </w:rPr>
            </w:pPr>
            <w:r>
              <w:rPr>
                <w:rFonts w:ascii="Arial"/>
                <w:spacing w:val="-5"/>
                <w:sz w:val="18"/>
              </w:rPr>
              <w:t>P4R</w:t>
            </w:r>
          </w:p>
        </w:tc>
        <w:tc>
          <w:tcPr>
            <w:tcW w:w="1080" w:type="dxa"/>
          </w:tcPr>
          <w:p>
            <w:pPr>
              <w:pStyle w:val="TableParagraph"/>
              <w:rPr>
                <w:i/>
                <w:sz w:val="20"/>
              </w:rPr>
            </w:pPr>
          </w:p>
          <w:p>
            <w:pPr>
              <w:pStyle w:val="TableParagraph"/>
              <w:spacing w:before="3"/>
              <w:rPr>
                <w:i/>
                <w:sz w:val="17"/>
              </w:rPr>
            </w:pPr>
          </w:p>
          <w:p>
            <w:pPr>
              <w:pStyle w:val="TableParagraph"/>
              <w:ind w:left="154" w:right="148"/>
              <w:jc w:val="center"/>
              <w:rPr>
                <w:rFonts w:ascii="Arial"/>
                <w:sz w:val="18"/>
              </w:rPr>
            </w:pPr>
            <w:r>
              <w:rPr>
                <w:rFonts w:ascii="Arial"/>
                <w:sz w:val="18"/>
              </w:rPr>
              <w:t>P </w:t>
            </w:r>
            <w:r>
              <w:rPr>
                <w:rFonts w:ascii="Arial"/>
                <w:spacing w:val="-2"/>
                <w:sz w:val="18"/>
              </w:rPr>
              <w:t>(19/20)</w:t>
            </w:r>
          </w:p>
        </w:tc>
        <w:tc>
          <w:tcPr>
            <w:tcW w:w="900" w:type="dxa"/>
          </w:tcPr>
          <w:p>
            <w:pPr>
              <w:pStyle w:val="TableParagraph"/>
              <w:rPr>
                <w:i/>
                <w:sz w:val="20"/>
              </w:rPr>
            </w:pPr>
          </w:p>
          <w:p>
            <w:pPr>
              <w:pStyle w:val="TableParagraph"/>
              <w:spacing w:before="3"/>
              <w:rPr>
                <w:i/>
                <w:sz w:val="17"/>
              </w:rPr>
            </w:pPr>
          </w:p>
          <w:p>
            <w:pPr>
              <w:pStyle w:val="TableParagraph"/>
              <w:ind w:left="148" w:right="145"/>
              <w:jc w:val="center"/>
              <w:rPr>
                <w:rFonts w:ascii="Arial"/>
                <w:sz w:val="18"/>
              </w:rPr>
            </w:pPr>
            <w:r>
              <w:rPr>
                <w:rFonts w:ascii="Arial"/>
                <w:sz w:val="18"/>
              </w:rPr>
              <w:t>-</w:t>
            </w:r>
            <w:r>
              <w:rPr>
                <w:rFonts w:ascii="Arial"/>
                <w:spacing w:val="-10"/>
                <w:sz w:val="18"/>
              </w:rPr>
              <w:t>-</w:t>
            </w:r>
          </w:p>
        </w:tc>
        <w:tc>
          <w:tcPr>
            <w:tcW w:w="989" w:type="dxa"/>
          </w:tcPr>
          <w:p>
            <w:pPr>
              <w:pStyle w:val="TableParagraph"/>
              <w:rPr>
                <w:i/>
                <w:sz w:val="20"/>
              </w:rPr>
            </w:pPr>
          </w:p>
          <w:p>
            <w:pPr>
              <w:pStyle w:val="TableParagraph"/>
              <w:spacing w:before="3"/>
              <w:rPr>
                <w:i/>
                <w:sz w:val="17"/>
              </w:rPr>
            </w:pPr>
          </w:p>
          <w:p>
            <w:pPr>
              <w:pStyle w:val="TableParagraph"/>
              <w:ind w:left="106" w:right="101"/>
              <w:jc w:val="center"/>
              <w:rPr>
                <w:rFonts w:ascii="Arial"/>
                <w:sz w:val="18"/>
              </w:rPr>
            </w:pPr>
            <w:r>
              <w:rPr>
                <w:rFonts w:ascii="Arial"/>
                <w:sz w:val="18"/>
              </w:rPr>
              <w:t>-</w:t>
            </w:r>
            <w:r>
              <w:rPr>
                <w:rFonts w:ascii="Arial"/>
                <w:spacing w:val="-10"/>
                <w:sz w:val="18"/>
              </w:rPr>
              <w:t>-</w:t>
            </w:r>
          </w:p>
        </w:tc>
      </w:tr>
      <w:tr>
        <w:trPr>
          <w:trHeight w:val="1067" w:hRule="atLeast"/>
        </w:trPr>
        <w:tc>
          <w:tcPr>
            <w:tcW w:w="420" w:type="dxa"/>
          </w:tcPr>
          <w:p>
            <w:pPr>
              <w:pStyle w:val="TableParagraph"/>
              <w:rPr>
                <w:i/>
                <w:sz w:val="20"/>
              </w:rPr>
            </w:pPr>
          </w:p>
          <w:p>
            <w:pPr>
              <w:pStyle w:val="TableParagraph"/>
              <w:spacing w:before="3"/>
              <w:rPr>
                <w:i/>
                <w:sz w:val="17"/>
              </w:rPr>
            </w:pPr>
          </w:p>
          <w:p>
            <w:pPr>
              <w:pStyle w:val="TableParagraph"/>
              <w:ind w:left="109" w:right="99"/>
              <w:jc w:val="center"/>
              <w:rPr>
                <w:rFonts w:ascii="Arial"/>
                <w:sz w:val="18"/>
              </w:rPr>
            </w:pPr>
            <w:r>
              <w:rPr>
                <w:rFonts w:ascii="Arial"/>
                <w:spacing w:val="-5"/>
                <w:sz w:val="18"/>
              </w:rPr>
              <w:t>2*</w:t>
            </w:r>
          </w:p>
        </w:tc>
        <w:tc>
          <w:tcPr>
            <w:tcW w:w="2251" w:type="dxa"/>
          </w:tcPr>
          <w:p>
            <w:pPr>
              <w:pStyle w:val="TableParagraph"/>
              <w:spacing w:before="3"/>
              <w:rPr>
                <w:i/>
                <w:sz w:val="28"/>
              </w:rPr>
            </w:pPr>
          </w:p>
          <w:p>
            <w:pPr>
              <w:pStyle w:val="TableParagraph"/>
              <w:ind w:left="158" w:firstLine="220"/>
              <w:rPr>
                <w:rFonts w:ascii="Arial"/>
                <w:sz w:val="18"/>
              </w:rPr>
            </w:pPr>
            <w:r>
              <w:rPr>
                <w:rFonts w:ascii="Arial"/>
                <w:sz w:val="18"/>
              </w:rPr>
              <w:t>Enhanced Person- Centered</w:t>
            </w:r>
            <w:r>
              <w:rPr>
                <w:rFonts w:ascii="Arial"/>
                <w:spacing w:val="-15"/>
                <w:sz w:val="18"/>
              </w:rPr>
              <w:t> </w:t>
            </w:r>
            <w:r>
              <w:rPr>
                <w:rFonts w:ascii="Arial"/>
                <w:sz w:val="18"/>
              </w:rPr>
              <w:t>Care</w:t>
            </w:r>
            <w:r>
              <w:rPr>
                <w:rFonts w:ascii="Arial"/>
                <w:spacing w:val="-12"/>
                <w:sz w:val="18"/>
              </w:rPr>
              <w:t> </w:t>
            </w:r>
            <w:r>
              <w:rPr>
                <w:rFonts w:ascii="Arial"/>
                <w:sz w:val="18"/>
              </w:rPr>
              <w:t>Planning</w:t>
            </w:r>
          </w:p>
        </w:tc>
        <w:tc>
          <w:tcPr>
            <w:tcW w:w="3240" w:type="dxa"/>
          </w:tcPr>
          <w:p>
            <w:pPr>
              <w:pStyle w:val="TableParagraph"/>
              <w:spacing w:before="119"/>
              <w:ind w:left="117" w:right="105" w:hanging="3"/>
              <w:jc w:val="center"/>
              <w:rPr>
                <w:rFonts w:ascii="Arial"/>
                <w:sz w:val="18"/>
              </w:rPr>
            </w:pPr>
            <w:r>
              <w:rPr>
                <w:rFonts w:ascii="Arial"/>
                <w:sz w:val="18"/>
              </w:rPr>
              <w:t>Percentage of enrollees 18 to 64 years</w:t>
            </w:r>
            <w:r>
              <w:rPr>
                <w:rFonts w:ascii="Arial"/>
                <w:spacing w:val="-5"/>
                <w:sz w:val="18"/>
              </w:rPr>
              <w:t> </w:t>
            </w:r>
            <w:r>
              <w:rPr>
                <w:rFonts w:ascii="Arial"/>
                <w:sz w:val="18"/>
              </w:rPr>
              <w:t>of</w:t>
            </w:r>
            <w:r>
              <w:rPr>
                <w:rFonts w:ascii="Arial"/>
                <w:spacing w:val="-8"/>
                <w:sz w:val="18"/>
              </w:rPr>
              <w:t> </w:t>
            </w:r>
            <w:r>
              <w:rPr>
                <w:rFonts w:ascii="Arial"/>
                <w:sz w:val="18"/>
              </w:rPr>
              <w:t>age</w:t>
            </w:r>
            <w:r>
              <w:rPr>
                <w:rFonts w:ascii="Arial"/>
                <w:spacing w:val="-5"/>
                <w:sz w:val="18"/>
              </w:rPr>
              <w:t> </w:t>
            </w:r>
            <w:r>
              <w:rPr>
                <w:rFonts w:ascii="Arial"/>
                <w:sz w:val="18"/>
              </w:rPr>
              <w:t>with</w:t>
            </w:r>
            <w:r>
              <w:rPr>
                <w:rFonts w:ascii="Arial"/>
                <w:spacing w:val="-5"/>
                <w:sz w:val="18"/>
              </w:rPr>
              <w:t> </w:t>
            </w:r>
            <w:r>
              <w:rPr>
                <w:rFonts w:ascii="Arial"/>
                <w:sz w:val="18"/>
              </w:rPr>
              <w:t>timely</w:t>
            </w:r>
            <w:r>
              <w:rPr>
                <w:rFonts w:ascii="Arial"/>
                <w:spacing w:val="-7"/>
                <w:sz w:val="18"/>
              </w:rPr>
              <w:t> </w:t>
            </w:r>
            <w:r>
              <w:rPr>
                <w:rFonts w:ascii="Arial"/>
                <w:sz w:val="18"/>
              </w:rPr>
              <w:t>completion</w:t>
            </w:r>
            <w:r>
              <w:rPr>
                <w:rFonts w:ascii="Arial"/>
                <w:spacing w:val="-8"/>
                <w:sz w:val="18"/>
              </w:rPr>
              <w:t> </w:t>
            </w:r>
            <w:r>
              <w:rPr>
                <w:rFonts w:ascii="Arial"/>
                <w:sz w:val="18"/>
              </w:rPr>
              <w:t>of a new or updated Care Plan during the measurement year</w:t>
            </w:r>
          </w:p>
        </w:tc>
        <w:tc>
          <w:tcPr>
            <w:tcW w:w="900" w:type="dxa"/>
          </w:tcPr>
          <w:p>
            <w:pPr>
              <w:pStyle w:val="TableParagraph"/>
              <w:rPr>
                <w:i/>
                <w:sz w:val="20"/>
              </w:rPr>
            </w:pPr>
          </w:p>
          <w:p>
            <w:pPr>
              <w:pStyle w:val="TableParagraph"/>
              <w:spacing w:before="3"/>
              <w:rPr>
                <w:i/>
                <w:sz w:val="17"/>
              </w:rPr>
            </w:pPr>
          </w:p>
          <w:p>
            <w:pPr>
              <w:pStyle w:val="TableParagraph"/>
              <w:ind w:left="155" w:right="143"/>
              <w:jc w:val="center"/>
              <w:rPr>
                <w:rFonts w:ascii="Arial"/>
                <w:sz w:val="18"/>
              </w:rPr>
            </w:pPr>
            <w:r>
              <w:rPr>
                <w:rFonts w:ascii="Arial"/>
                <w:spacing w:val="-4"/>
                <w:sz w:val="18"/>
              </w:rPr>
              <w:t>Admin</w:t>
            </w:r>
          </w:p>
        </w:tc>
        <w:tc>
          <w:tcPr>
            <w:tcW w:w="1260" w:type="dxa"/>
          </w:tcPr>
          <w:p>
            <w:pPr>
              <w:pStyle w:val="TableParagraph"/>
              <w:rPr>
                <w:i/>
                <w:sz w:val="20"/>
              </w:rPr>
            </w:pPr>
          </w:p>
          <w:p>
            <w:pPr>
              <w:pStyle w:val="TableParagraph"/>
              <w:spacing w:before="3"/>
              <w:rPr>
                <w:i/>
                <w:sz w:val="17"/>
              </w:rPr>
            </w:pPr>
          </w:p>
          <w:p>
            <w:pPr>
              <w:pStyle w:val="TableParagraph"/>
              <w:ind w:left="133" w:right="124"/>
              <w:jc w:val="center"/>
              <w:rPr>
                <w:rFonts w:ascii="Arial"/>
                <w:sz w:val="18"/>
              </w:rPr>
            </w:pPr>
            <w:r>
              <w:rPr>
                <w:rFonts w:ascii="Arial"/>
                <w:sz w:val="18"/>
              </w:rPr>
              <w:t>Q4 </w:t>
            </w:r>
            <w:r>
              <w:rPr>
                <w:rFonts w:ascii="Arial"/>
                <w:spacing w:val="-4"/>
                <w:sz w:val="18"/>
              </w:rPr>
              <w:t>2021</w:t>
            </w:r>
          </w:p>
        </w:tc>
        <w:tc>
          <w:tcPr>
            <w:tcW w:w="991" w:type="dxa"/>
          </w:tcPr>
          <w:p>
            <w:pPr>
              <w:pStyle w:val="TableParagraph"/>
              <w:spacing w:before="3"/>
              <w:rPr>
                <w:i/>
                <w:sz w:val="28"/>
              </w:rPr>
            </w:pPr>
          </w:p>
          <w:p>
            <w:pPr>
              <w:pStyle w:val="TableParagraph"/>
              <w:spacing w:before="1"/>
              <w:ind w:left="172" w:right="158" w:firstLine="187"/>
              <w:rPr>
                <w:rFonts w:ascii="Arial"/>
                <w:sz w:val="18"/>
              </w:rPr>
            </w:pPr>
            <w:r>
              <w:rPr>
                <w:rFonts w:ascii="Arial"/>
                <w:spacing w:val="-6"/>
                <w:sz w:val="18"/>
              </w:rPr>
              <w:t>MA </w:t>
            </w:r>
            <w:r>
              <w:rPr>
                <w:rFonts w:ascii="Arial"/>
                <w:spacing w:val="-2"/>
                <w:sz w:val="18"/>
              </w:rPr>
              <w:t>EOHHS</w:t>
            </w:r>
          </w:p>
        </w:tc>
        <w:tc>
          <w:tcPr>
            <w:tcW w:w="900" w:type="dxa"/>
          </w:tcPr>
          <w:p>
            <w:pPr>
              <w:pStyle w:val="TableParagraph"/>
              <w:rPr>
                <w:i/>
                <w:sz w:val="20"/>
              </w:rPr>
            </w:pPr>
          </w:p>
          <w:p>
            <w:pPr>
              <w:pStyle w:val="TableParagraph"/>
              <w:spacing w:before="3"/>
              <w:rPr>
                <w:i/>
                <w:sz w:val="17"/>
              </w:rPr>
            </w:pPr>
          </w:p>
          <w:p>
            <w:pPr>
              <w:pStyle w:val="TableParagraph"/>
              <w:ind w:left="150" w:right="145"/>
              <w:jc w:val="center"/>
              <w:rPr>
                <w:rFonts w:ascii="Arial"/>
                <w:sz w:val="18"/>
              </w:rPr>
            </w:pPr>
            <w:r>
              <w:rPr>
                <w:rFonts w:ascii="Arial"/>
                <w:spacing w:val="-5"/>
                <w:sz w:val="18"/>
              </w:rPr>
              <w:t>N/A</w:t>
            </w:r>
          </w:p>
        </w:tc>
        <w:tc>
          <w:tcPr>
            <w:tcW w:w="989" w:type="dxa"/>
          </w:tcPr>
          <w:p>
            <w:pPr>
              <w:pStyle w:val="TableParagraph"/>
              <w:rPr>
                <w:i/>
                <w:sz w:val="20"/>
              </w:rPr>
            </w:pPr>
          </w:p>
          <w:p>
            <w:pPr>
              <w:pStyle w:val="TableParagraph"/>
              <w:spacing w:before="3"/>
              <w:rPr>
                <w:i/>
                <w:sz w:val="17"/>
              </w:rPr>
            </w:pPr>
          </w:p>
          <w:p>
            <w:pPr>
              <w:pStyle w:val="TableParagraph"/>
              <w:ind w:left="105" w:right="101"/>
              <w:jc w:val="center"/>
              <w:rPr>
                <w:rFonts w:ascii="Arial"/>
                <w:sz w:val="18"/>
              </w:rPr>
            </w:pPr>
            <w:r>
              <w:rPr>
                <w:rFonts w:ascii="Arial"/>
                <w:sz w:val="18"/>
              </w:rPr>
              <w:t>-</w:t>
            </w:r>
            <w:r>
              <w:rPr>
                <w:rFonts w:ascii="Arial"/>
                <w:spacing w:val="-10"/>
                <w:sz w:val="18"/>
              </w:rPr>
              <w:t>-</w:t>
            </w:r>
          </w:p>
        </w:tc>
        <w:tc>
          <w:tcPr>
            <w:tcW w:w="991" w:type="dxa"/>
          </w:tcPr>
          <w:p>
            <w:pPr>
              <w:pStyle w:val="TableParagraph"/>
              <w:rPr>
                <w:i/>
                <w:sz w:val="20"/>
              </w:rPr>
            </w:pPr>
          </w:p>
          <w:p>
            <w:pPr>
              <w:pStyle w:val="TableParagraph"/>
              <w:spacing w:before="3"/>
              <w:rPr>
                <w:i/>
                <w:sz w:val="17"/>
              </w:rPr>
            </w:pPr>
          </w:p>
          <w:p>
            <w:pPr>
              <w:pStyle w:val="TableParagraph"/>
              <w:ind w:left="219" w:right="212"/>
              <w:jc w:val="center"/>
              <w:rPr>
                <w:rFonts w:ascii="Arial"/>
                <w:sz w:val="18"/>
              </w:rPr>
            </w:pPr>
            <w:r>
              <w:rPr>
                <w:rFonts w:ascii="Arial"/>
                <w:sz w:val="18"/>
              </w:rPr>
              <w:t>-</w:t>
            </w:r>
            <w:r>
              <w:rPr>
                <w:rFonts w:ascii="Arial"/>
                <w:spacing w:val="-10"/>
                <w:sz w:val="18"/>
              </w:rPr>
              <w:t>-</w:t>
            </w:r>
          </w:p>
        </w:tc>
        <w:tc>
          <w:tcPr>
            <w:tcW w:w="1080" w:type="dxa"/>
          </w:tcPr>
          <w:p>
            <w:pPr>
              <w:pStyle w:val="TableParagraph"/>
              <w:rPr>
                <w:i/>
                <w:sz w:val="20"/>
              </w:rPr>
            </w:pPr>
          </w:p>
          <w:p>
            <w:pPr>
              <w:pStyle w:val="TableParagraph"/>
              <w:spacing w:before="3"/>
              <w:rPr>
                <w:i/>
                <w:sz w:val="17"/>
              </w:rPr>
            </w:pPr>
          </w:p>
          <w:p>
            <w:pPr>
              <w:pStyle w:val="TableParagraph"/>
              <w:ind w:left="5"/>
              <w:jc w:val="center"/>
              <w:rPr>
                <w:rFonts w:ascii="Arial"/>
                <w:sz w:val="18"/>
              </w:rPr>
            </w:pPr>
            <w:r>
              <w:rPr>
                <w:rFonts w:ascii="Arial"/>
                <w:sz w:val="18"/>
              </w:rPr>
              <w:t>R</w:t>
            </w:r>
          </w:p>
        </w:tc>
        <w:tc>
          <w:tcPr>
            <w:tcW w:w="900" w:type="dxa"/>
          </w:tcPr>
          <w:p>
            <w:pPr>
              <w:pStyle w:val="TableParagraph"/>
              <w:rPr>
                <w:i/>
                <w:sz w:val="20"/>
              </w:rPr>
            </w:pPr>
          </w:p>
          <w:p>
            <w:pPr>
              <w:pStyle w:val="TableParagraph"/>
              <w:spacing w:before="3"/>
              <w:rPr>
                <w:i/>
                <w:sz w:val="17"/>
              </w:rPr>
            </w:pPr>
          </w:p>
          <w:p>
            <w:pPr>
              <w:pStyle w:val="TableParagraph"/>
              <w:ind w:left="2"/>
              <w:jc w:val="center"/>
              <w:rPr>
                <w:rFonts w:ascii="Arial"/>
                <w:sz w:val="18"/>
              </w:rPr>
            </w:pPr>
            <w:r>
              <w:rPr>
                <w:rFonts w:ascii="Arial"/>
                <w:sz w:val="18"/>
              </w:rPr>
              <w:t>P</w:t>
            </w:r>
          </w:p>
        </w:tc>
        <w:tc>
          <w:tcPr>
            <w:tcW w:w="989" w:type="dxa"/>
          </w:tcPr>
          <w:p>
            <w:pPr>
              <w:pStyle w:val="TableParagraph"/>
              <w:rPr>
                <w:i/>
                <w:sz w:val="20"/>
              </w:rPr>
            </w:pPr>
          </w:p>
          <w:p>
            <w:pPr>
              <w:pStyle w:val="TableParagraph"/>
              <w:spacing w:before="3"/>
              <w:rPr>
                <w:i/>
                <w:sz w:val="17"/>
              </w:rPr>
            </w:pPr>
          </w:p>
          <w:p>
            <w:pPr>
              <w:pStyle w:val="TableParagraph"/>
              <w:ind w:left="4"/>
              <w:jc w:val="center"/>
              <w:rPr>
                <w:rFonts w:ascii="Arial"/>
                <w:sz w:val="18"/>
              </w:rPr>
            </w:pPr>
            <w:r>
              <w:rPr>
                <w:rFonts w:ascii="Arial"/>
                <w:sz w:val="18"/>
              </w:rPr>
              <w:t>P</w:t>
            </w:r>
          </w:p>
        </w:tc>
      </w:tr>
      <w:tr>
        <w:trPr>
          <w:trHeight w:val="1273" w:hRule="atLeast"/>
        </w:trPr>
        <w:tc>
          <w:tcPr>
            <w:tcW w:w="420" w:type="dxa"/>
          </w:tcPr>
          <w:p>
            <w:pPr>
              <w:pStyle w:val="TableParagraph"/>
              <w:rPr>
                <w:i/>
                <w:sz w:val="20"/>
              </w:rPr>
            </w:pPr>
          </w:p>
          <w:p>
            <w:pPr>
              <w:pStyle w:val="TableParagraph"/>
              <w:spacing w:before="2"/>
              <w:rPr>
                <w:i/>
                <w:sz w:val="26"/>
              </w:rPr>
            </w:pPr>
          </w:p>
          <w:p>
            <w:pPr>
              <w:pStyle w:val="TableParagraph"/>
              <w:spacing w:before="1"/>
              <w:ind w:left="6"/>
              <w:jc w:val="center"/>
              <w:rPr>
                <w:rFonts w:ascii="Arial"/>
                <w:sz w:val="18"/>
              </w:rPr>
            </w:pPr>
            <w:r>
              <w:rPr>
                <w:rFonts w:ascii="Arial"/>
                <w:sz w:val="18"/>
              </w:rPr>
              <w:t>3</w:t>
            </w:r>
          </w:p>
        </w:tc>
        <w:tc>
          <w:tcPr>
            <w:tcW w:w="2251" w:type="dxa"/>
          </w:tcPr>
          <w:p>
            <w:pPr>
              <w:pStyle w:val="TableParagraph"/>
              <w:spacing w:before="3"/>
              <w:rPr>
                <w:i/>
                <w:sz w:val="28"/>
              </w:rPr>
            </w:pPr>
          </w:p>
          <w:p>
            <w:pPr>
              <w:pStyle w:val="TableParagraph"/>
              <w:ind w:left="146" w:right="139" w:firstLine="2"/>
              <w:jc w:val="center"/>
              <w:rPr>
                <w:rFonts w:ascii="Arial"/>
                <w:sz w:val="18"/>
              </w:rPr>
            </w:pPr>
            <w:r>
              <w:rPr>
                <w:rFonts w:ascii="Arial"/>
                <w:sz w:val="18"/>
              </w:rPr>
              <w:t>Follow-up</w:t>
            </w:r>
            <w:r>
              <w:rPr>
                <w:rFonts w:ascii="Arial"/>
                <w:spacing w:val="-13"/>
                <w:sz w:val="18"/>
              </w:rPr>
              <w:t> </w:t>
            </w:r>
            <w:r>
              <w:rPr>
                <w:rFonts w:ascii="Arial"/>
                <w:sz w:val="18"/>
              </w:rPr>
              <w:t>with</w:t>
            </w:r>
            <w:r>
              <w:rPr>
                <w:rFonts w:ascii="Arial"/>
                <w:spacing w:val="-12"/>
                <w:sz w:val="18"/>
              </w:rPr>
              <w:t> </w:t>
            </w:r>
            <w:r>
              <w:rPr>
                <w:rFonts w:ascii="Arial"/>
                <w:sz w:val="18"/>
              </w:rPr>
              <w:t>LTSS</w:t>
            </w:r>
            <w:r>
              <w:rPr>
                <w:rFonts w:ascii="Arial"/>
                <w:spacing w:val="-13"/>
                <w:sz w:val="18"/>
              </w:rPr>
              <w:t> </w:t>
            </w:r>
            <w:r>
              <w:rPr>
                <w:rFonts w:ascii="Arial"/>
                <w:sz w:val="18"/>
              </w:rPr>
              <w:t>CP after</w:t>
            </w:r>
            <w:r>
              <w:rPr>
                <w:rFonts w:ascii="Arial"/>
                <w:spacing w:val="-13"/>
                <w:sz w:val="18"/>
              </w:rPr>
              <w:t> </w:t>
            </w:r>
            <w:r>
              <w:rPr>
                <w:rFonts w:ascii="Arial"/>
                <w:sz w:val="18"/>
              </w:rPr>
              <w:t>acute</w:t>
            </w:r>
            <w:r>
              <w:rPr>
                <w:rFonts w:ascii="Arial"/>
                <w:spacing w:val="-10"/>
                <w:sz w:val="18"/>
              </w:rPr>
              <w:t> </w:t>
            </w:r>
            <w:r>
              <w:rPr>
                <w:rFonts w:ascii="Arial"/>
                <w:sz w:val="18"/>
              </w:rPr>
              <w:t>or</w:t>
            </w:r>
            <w:r>
              <w:rPr>
                <w:rFonts w:ascii="Arial"/>
                <w:spacing w:val="-13"/>
                <w:sz w:val="18"/>
              </w:rPr>
              <w:t> </w:t>
            </w:r>
            <w:r>
              <w:rPr>
                <w:rFonts w:ascii="Arial"/>
                <w:sz w:val="18"/>
              </w:rPr>
              <w:t>post-acute stay (3 days)</w:t>
            </w:r>
          </w:p>
        </w:tc>
        <w:tc>
          <w:tcPr>
            <w:tcW w:w="3240" w:type="dxa"/>
          </w:tcPr>
          <w:p>
            <w:pPr>
              <w:pStyle w:val="TableParagraph"/>
              <w:spacing w:before="119"/>
              <w:ind w:left="143" w:right="129" w:hanging="4"/>
              <w:jc w:val="center"/>
              <w:rPr>
                <w:rFonts w:ascii="Arial"/>
                <w:sz w:val="18"/>
              </w:rPr>
            </w:pPr>
            <w:r>
              <w:rPr>
                <w:rFonts w:ascii="Arial"/>
                <w:sz w:val="18"/>
              </w:rPr>
              <w:t>Percentage</w:t>
            </w:r>
            <w:r>
              <w:rPr>
                <w:rFonts w:ascii="Arial"/>
                <w:spacing w:val="-6"/>
                <w:sz w:val="18"/>
              </w:rPr>
              <w:t> </w:t>
            </w:r>
            <w:r>
              <w:rPr>
                <w:rFonts w:ascii="Arial"/>
                <w:sz w:val="18"/>
              </w:rPr>
              <w:t>of</w:t>
            </w:r>
            <w:r>
              <w:rPr>
                <w:rFonts w:ascii="Arial"/>
                <w:spacing w:val="-5"/>
                <w:sz w:val="18"/>
              </w:rPr>
              <w:t> </w:t>
            </w:r>
            <w:r>
              <w:rPr>
                <w:rFonts w:ascii="Arial"/>
                <w:sz w:val="18"/>
              </w:rPr>
              <w:t>discharges</w:t>
            </w:r>
            <w:r>
              <w:rPr>
                <w:rFonts w:ascii="Arial"/>
                <w:spacing w:val="-5"/>
                <w:sz w:val="18"/>
              </w:rPr>
              <w:t> </w:t>
            </w:r>
            <w:r>
              <w:rPr>
                <w:rFonts w:ascii="Arial"/>
                <w:sz w:val="18"/>
              </w:rPr>
              <w:t>from</w:t>
            </w:r>
            <w:r>
              <w:rPr>
                <w:rFonts w:ascii="Arial"/>
                <w:spacing w:val="-5"/>
                <w:sz w:val="18"/>
              </w:rPr>
              <w:t> </w:t>
            </w:r>
            <w:r>
              <w:rPr>
                <w:rFonts w:ascii="Arial"/>
                <w:sz w:val="18"/>
              </w:rPr>
              <w:t>acute or post-acute</w:t>
            </w:r>
            <w:r>
              <w:rPr>
                <w:rFonts w:ascii="Arial"/>
                <w:spacing w:val="-1"/>
                <w:sz w:val="18"/>
              </w:rPr>
              <w:t> </w:t>
            </w:r>
            <w:r>
              <w:rPr>
                <w:rFonts w:ascii="Arial"/>
                <w:sz w:val="18"/>
              </w:rPr>
              <w:t>stays for enrollees 3</w:t>
            </w:r>
            <w:r>
              <w:rPr>
                <w:rFonts w:ascii="Arial"/>
                <w:spacing w:val="-1"/>
                <w:sz w:val="18"/>
              </w:rPr>
              <w:t> </w:t>
            </w:r>
            <w:r>
              <w:rPr>
                <w:rFonts w:ascii="Arial"/>
                <w:sz w:val="18"/>
              </w:rPr>
              <w:t>to 64</w:t>
            </w:r>
            <w:r>
              <w:rPr>
                <w:rFonts w:ascii="Arial"/>
                <w:spacing w:val="-6"/>
                <w:sz w:val="18"/>
              </w:rPr>
              <w:t> </w:t>
            </w:r>
            <w:r>
              <w:rPr>
                <w:rFonts w:ascii="Arial"/>
                <w:sz w:val="18"/>
              </w:rPr>
              <w:t>years</w:t>
            </w:r>
            <w:r>
              <w:rPr>
                <w:rFonts w:ascii="Arial"/>
                <w:spacing w:val="-7"/>
                <w:sz w:val="18"/>
              </w:rPr>
              <w:t> </w:t>
            </w:r>
            <w:r>
              <w:rPr>
                <w:rFonts w:ascii="Arial"/>
                <w:sz w:val="18"/>
              </w:rPr>
              <w:t>of</w:t>
            </w:r>
            <w:r>
              <w:rPr>
                <w:rFonts w:ascii="Arial"/>
                <w:spacing w:val="-6"/>
                <w:sz w:val="18"/>
              </w:rPr>
              <w:t> </w:t>
            </w:r>
            <w:r>
              <w:rPr>
                <w:rFonts w:ascii="Arial"/>
                <w:sz w:val="18"/>
              </w:rPr>
              <w:t>age</w:t>
            </w:r>
            <w:r>
              <w:rPr>
                <w:rFonts w:ascii="Arial"/>
                <w:spacing w:val="-6"/>
                <w:sz w:val="18"/>
              </w:rPr>
              <w:t> </w:t>
            </w:r>
            <w:r>
              <w:rPr>
                <w:rFonts w:ascii="Arial"/>
                <w:sz w:val="18"/>
              </w:rPr>
              <w:t>that</w:t>
            </w:r>
            <w:r>
              <w:rPr>
                <w:rFonts w:ascii="Arial"/>
                <w:spacing w:val="-6"/>
                <w:sz w:val="18"/>
              </w:rPr>
              <w:t> </w:t>
            </w:r>
            <w:r>
              <w:rPr>
                <w:rFonts w:ascii="Arial"/>
                <w:sz w:val="18"/>
              </w:rPr>
              <w:t>were</w:t>
            </w:r>
            <w:r>
              <w:rPr>
                <w:rFonts w:ascii="Arial"/>
                <w:spacing w:val="-6"/>
                <w:sz w:val="18"/>
              </w:rPr>
              <w:t> </w:t>
            </w:r>
            <w:r>
              <w:rPr>
                <w:rFonts w:ascii="Arial"/>
                <w:sz w:val="18"/>
              </w:rPr>
              <w:t>succeeded by</w:t>
            </w:r>
            <w:r>
              <w:rPr>
                <w:rFonts w:ascii="Arial"/>
                <w:spacing w:val="-5"/>
                <w:sz w:val="18"/>
              </w:rPr>
              <w:t> </w:t>
            </w:r>
            <w:r>
              <w:rPr>
                <w:rFonts w:ascii="Arial"/>
                <w:sz w:val="18"/>
              </w:rPr>
              <w:t>a</w:t>
            </w:r>
            <w:r>
              <w:rPr>
                <w:rFonts w:ascii="Arial"/>
                <w:spacing w:val="-3"/>
                <w:sz w:val="18"/>
              </w:rPr>
              <w:t> </w:t>
            </w:r>
            <w:r>
              <w:rPr>
                <w:rFonts w:ascii="Arial"/>
                <w:sz w:val="18"/>
              </w:rPr>
              <w:t>follow-up</w:t>
            </w:r>
            <w:r>
              <w:rPr>
                <w:rFonts w:ascii="Arial"/>
                <w:spacing w:val="-3"/>
                <w:sz w:val="18"/>
              </w:rPr>
              <w:t> </w:t>
            </w:r>
            <w:r>
              <w:rPr>
                <w:rFonts w:ascii="Arial"/>
                <w:sz w:val="18"/>
              </w:rPr>
              <w:t>with</w:t>
            </w:r>
            <w:r>
              <w:rPr>
                <w:rFonts w:ascii="Arial"/>
                <w:spacing w:val="-3"/>
                <w:sz w:val="18"/>
              </w:rPr>
              <w:t> </w:t>
            </w:r>
            <w:r>
              <w:rPr>
                <w:rFonts w:ascii="Arial"/>
                <w:sz w:val="18"/>
              </w:rPr>
              <w:t>a</w:t>
            </w:r>
            <w:r>
              <w:rPr>
                <w:rFonts w:ascii="Arial"/>
                <w:spacing w:val="-3"/>
                <w:sz w:val="18"/>
              </w:rPr>
              <w:t> </w:t>
            </w:r>
            <w:r>
              <w:rPr>
                <w:rFonts w:ascii="Arial"/>
                <w:sz w:val="18"/>
              </w:rPr>
              <w:t>LTSS</w:t>
            </w:r>
            <w:r>
              <w:rPr>
                <w:rFonts w:ascii="Arial"/>
                <w:spacing w:val="-4"/>
                <w:sz w:val="18"/>
              </w:rPr>
              <w:t> </w:t>
            </w:r>
            <w:r>
              <w:rPr>
                <w:rFonts w:ascii="Arial"/>
                <w:sz w:val="18"/>
              </w:rPr>
              <w:t>CP</w:t>
            </w:r>
            <w:r>
              <w:rPr>
                <w:rFonts w:ascii="Arial"/>
                <w:spacing w:val="-4"/>
                <w:sz w:val="18"/>
              </w:rPr>
              <w:t> </w:t>
            </w:r>
            <w:r>
              <w:rPr>
                <w:rFonts w:ascii="Arial"/>
                <w:sz w:val="18"/>
              </w:rPr>
              <w:t>within 3 business days of discharge</w:t>
            </w:r>
          </w:p>
        </w:tc>
        <w:tc>
          <w:tcPr>
            <w:tcW w:w="900" w:type="dxa"/>
          </w:tcPr>
          <w:p>
            <w:pPr>
              <w:pStyle w:val="TableParagraph"/>
              <w:rPr>
                <w:i/>
                <w:sz w:val="20"/>
              </w:rPr>
            </w:pPr>
          </w:p>
          <w:p>
            <w:pPr>
              <w:pStyle w:val="TableParagraph"/>
              <w:spacing w:before="2"/>
              <w:rPr>
                <w:i/>
                <w:sz w:val="26"/>
              </w:rPr>
            </w:pPr>
          </w:p>
          <w:p>
            <w:pPr>
              <w:pStyle w:val="TableParagraph"/>
              <w:spacing w:before="1"/>
              <w:ind w:left="155" w:right="144"/>
              <w:jc w:val="center"/>
              <w:rPr>
                <w:rFonts w:ascii="Arial"/>
                <w:sz w:val="18"/>
              </w:rPr>
            </w:pPr>
            <w:r>
              <w:rPr>
                <w:rFonts w:ascii="Arial"/>
                <w:spacing w:val="-4"/>
                <w:sz w:val="18"/>
              </w:rPr>
              <w:t>Admin</w:t>
            </w:r>
          </w:p>
        </w:tc>
        <w:tc>
          <w:tcPr>
            <w:tcW w:w="1260" w:type="dxa"/>
          </w:tcPr>
          <w:p>
            <w:pPr>
              <w:pStyle w:val="TableParagraph"/>
              <w:rPr>
                <w:i/>
                <w:sz w:val="20"/>
              </w:rPr>
            </w:pPr>
          </w:p>
          <w:p>
            <w:pPr>
              <w:pStyle w:val="TableParagraph"/>
              <w:spacing w:before="2"/>
              <w:rPr>
                <w:i/>
                <w:sz w:val="26"/>
              </w:rPr>
            </w:pPr>
          </w:p>
          <w:p>
            <w:pPr>
              <w:pStyle w:val="TableParagraph"/>
              <w:spacing w:before="1"/>
              <w:ind w:left="133" w:right="124"/>
              <w:jc w:val="center"/>
              <w:rPr>
                <w:rFonts w:ascii="Arial"/>
                <w:sz w:val="18"/>
              </w:rPr>
            </w:pPr>
            <w:r>
              <w:rPr>
                <w:rFonts w:ascii="Arial"/>
                <w:sz w:val="18"/>
              </w:rPr>
              <w:t>Q2 </w:t>
            </w:r>
            <w:r>
              <w:rPr>
                <w:rFonts w:ascii="Arial"/>
                <w:spacing w:val="-4"/>
                <w:sz w:val="18"/>
              </w:rPr>
              <w:t>2021</w:t>
            </w:r>
          </w:p>
        </w:tc>
        <w:tc>
          <w:tcPr>
            <w:tcW w:w="991" w:type="dxa"/>
          </w:tcPr>
          <w:p>
            <w:pPr>
              <w:pStyle w:val="TableParagraph"/>
              <w:rPr>
                <w:i/>
                <w:sz w:val="20"/>
              </w:rPr>
            </w:pPr>
          </w:p>
          <w:p>
            <w:pPr>
              <w:pStyle w:val="TableParagraph"/>
              <w:spacing w:before="3"/>
              <w:rPr>
                <w:i/>
                <w:sz w:val="17"/>
              </w:rPr>
            </w:pPr>
          </w:p>
          <w:p>
            <w:pPr>
              <w:pStyle w:val="TableParagraph"/>
              <w:ind w:left="172" w:right="158" w:firstLine="184"/>
              <w:rPr>
                <w:rFonts w:ascii="Arial"/>
                <w:sz w:val="18"/>
              </w:rPr>
            </w:pPr>
            <w:r>
              <w:rPr>
                <w:rFonts w:ascii="Arial"/>
                <w:spacing w:val="-6"/>
                <w:sz w:val="18"/>
              </w:rPr>
              <w:t>MA </w:t>
            </w:r>
            <w:r>
              <w:rPr>
                <w:rFonts w:ascii="Arial"/>
                <w:spacing w:val="-2"/>
                <w:sz w:val="18"/>
              </w:rPr>
              <w:t>EOHHS</w:t>
            </w:r>
          </w:p>
        </w:tc>
        <w:tc>
          <w:tcPr>
            <w:tcW w:w="900" w:type="dxa"/>
          </w:tcPr>
          <w:p>
            <w:pPr>
              <w:pStyle w:val="TableParagraph"/>
              <w:rPr>
                <w:i/>
                <w:sz w:val="20"/>
              </w:rPr>
            </w:pPr>
          </w:p>
          <w:p>
            <w:pPr>
              <w:pStyle w:val="TableParagraph"/>
              <w:spacing w:before="2"/>
              <w:rPr>
                <w:i/>
                <w:sz w:val="26"/>
              </w:rPr>
            </w:pPr>
          </w:p>
          <w:p>
            <w:pPr>
              <w:pStyle w:val="TableParagraph"/>
              <w:spacing w:before="1"/>
              <w:ind w:left="150" w:right="145"/>
              <w:jc w:val="center"/>
              <w:rPr>
                <w:rFonts w:ascii="Arial"/>
                <w:sz w:val="18"/>
              </w:rPr>
            </w:pPr>
            <w:r>
              <w:rPr>
                <w:rFonts w:ascii="Arial"/>
                <w:spacing w:val="-5"/>
                <w:sz w:val="18"/>
              </w:rPr>
              <w:t>N/A</w:t>
            </w:r>
          </w:p>
        </w:tc>
        <w:tc>
          <w:tcPr>
            <w:tcW w:w="989" w:type="dxa"/>
          </w:tcPr>
          <w:p>
            <w:pPr>
              <w:pStyle w:val="TableParagraph"/>
              <w:rPr>
                <w:i/>
                <w:sz w:val="20"/>
              </w:rPr>
            </w:pPr>
          </w:p>
          <w:p>
            <w:pPr>
              <w:pStyle w:val="TableParagraph"/>
              <w:spacing w:before="2"/>
              <w:rPr>
                <w:i/>
                <w:sz w:val="26"/>
              </w:rPr>
            </w:pPr>
          </w:p>
          <w:p>
            <w:pPr>
              <w:pStyle w:val="TableParagraph"/>
              <w:spacing w:before="1"/>
              <w:ind w:left="5"/>
              <w:jc w:val="center"/>
              <w:rPr>
                <w:rFonts w:ascii="Arial"/>
                <w:sz w:val="18"/>
              </w:rPr>
            </w:pPr>
            <w:r>
              <w:rPr>
                <w:rFonts w:ascii="Arial"/>
                <w:sz w:val="18"/>
              </w:rPr>
              <w:t>R</w:t>
            </w:r>
          </w:p>
        </w:tc>
        <w:tc>
          <w:tcPr>
            <w:tcW w:w="991" w:type="dxa"/>
          </w:tcPr>
          <w:p>
            <w:pPr>
              <w:pStyle w:val="TableParagraph"/>
              <w:rPr>
                <w:i/>
                <w:sz w:val="20"/>
              </w:rPr>
            </w:pPr>
          </w:p>
          <w:p>
            <w:pPr>
              <w:pStyle w:val="TableParagraph"/>
              <w:spacing w:before="2"/>
              <w:rPr>
                <w:i/>
                <w:sz w:val="26"/>
              </w:rPr>
            </w:pPr>
          </w:p>
          <w:p>
            <w:pPr>
              <w:pStyle w:val="TableParagraph"/>
              <w:spacing w:before="1"/>
              <w:ind w:left="8"/>
              <w:jc w:val="center"/>
              <w:rPr>
                <w:rFonts w:ascii="Arial"/>
                <w:sz w:val="18"/>
              </w:rPr>
            </w:pPr>
            <w:r>
              <w:rPr>
                <w:rFonts w:ascii="Arial"/>
                <w:sz w:val="18"/>
              </w:rPr>
              <w:t>R</w:t>
            </w:r>
          </w:p>
        </w:tc>
        <w:tc>
          <w:tcPr>
            <w:tcW w:w="1080" w:type="dxa"/>
          </w:tcPr>
          <w:p>
            <w:pPr>
              <w:pStyle w:val="TableParagraph"/>
              <w:rPr>
                <w:i/>
                <w:sz w:val="20"/>
              </w:rPr>
            </w:pPr>
          </w:p>
          <w:p>
            <w:pPr>
              <w:pStyle w:val="TableParagraph"/>
              <w:spacing w:before="2"/>
              <w:rPr>
                <w:i/>
                <w:sz w:val="26"/>
              </w:rPr>
            </w:pPr>
          </w:p>
          <w:p>
            <w:pPr>
              <w:pStyle w:val="TableParagraph"/>
              <w:spacing w:before="1"/>
              <w:ind w:left="6"/>
              <w:jc w:val="center"/>
              <w:rPr>
                <w:rFonts w:ascii="Arial"/>
                <w:sz w:val="18"/>
              </w:rPr>
            </w:pPr>
            <w:r>
              <w:rPr>
                <w:rFonts w:ascii="Arial"/>
                <w:sz w:val="18"/>
              </w:rPr>
              <w:t>R</w:t>
            </w:r>
          </w:p>
        </w:tc>
        <w:tc>
          <w:tcPr>
            <w:tcW w:w="900" w:type="dxa"/>
          </w:tcPr>
          <w:p>
            <w:pPr>
              <w:pStyle w:val="TableParagraph"/>
              <w:rPr>
                <w:i/>
                <w:sz w:val="20"/>
              </w:rPr>
            </w:pPr>
          </w:p>
          <w:p>
            <w:pPr>
              <w:pStyle w:val="TableParagraph"/>
              <w:spacing w:before="2"/>
              <w:rPr>
                <w:i/>
                <w:sz w:val="26"/>
              </w:rPr>
            </w:pPr>
          </w:p>
          <w:p>
            <w:pPr>
              <w:pStyle w:val="TableParagraph"/>
              <w:spacing w:before="1"/>
              <w:ind w:left="3"/>
              <w:jc w:val="center"/>
              <w:rPr>
                <w:rFonts w:ascii="Arial"/>
                <w:sz w:val="18"/>
              </w:rPr>
            </w:pPr>
            <w:r>
              <w:rPr>
                <w:rFonts w:ascii="Arial"/>
                <w:sz w:val="18"/>
              </w:rPr>
              <w:t>P</w:t>
            </w:r>
          </w:p>
        </w:tc>
        <w:tc>
          <w:tcPr>
            <w:tcW w:w="989" w:type="dxa"/>
          </w:tcPr>
          <w:p>
            <w:pPr>
              <w:pStyle w:val="TableParagraph"/>
              <w:rPr>
                <w:i/>
                <w:sz w:val="20"/>
              </w:rPr>
            </w:pPr>
          </w:p>
          <w:p>
            <w:pPr>
              <w:pStyle w:val="TableParagraph"/>
              <w:spacing w:before="2"/>
              <w:rPr>
                <w:i/>
                <w:sz w:val="26"/>
              </w:rPr>
            </w:pPr>
          </w:p>
          <w:p>
            <w:pPr>
              <w:pStyle w:val="TableParagraph"/>
              <w:spacing w:before="1"/>
              <w:ind w:left="5"/>
              <w:jc w:val="center"/>
              <w:rPr>
                <w:rFonts w:ascii="Arial"/>
                <w:sz w:val="18"/>
              </w:rPr>
            </w:pPr>
            <w:r>
              <w:rPr>
                <w:rFonts w:ascii="Arial"/>
                <w:sz w:val="18"/>
              </w:rPr>
              <w:t>P</w:t>
            </w:r>
          </w:p>
        </w:tc>
      </w:tr>
      <w:tr>
        <w:trPr>
          <w:trHeight w:val="772" w:hRule="atLeast"/>
        </w:trPr>
        <w:tc>
          <w:tcPr>
            <w:tcW w:w="14911" w:type="dxa"/>
            <w:gridSpan w:val="12"/>
          </w:tcPr>
          <w:p>
            <w:pPr>
              <w:pStyle w:val="TableParagraph"/>
              <w:spacing w:before="6"/>
              <w:rPr>
                <w:i/>
                <w:sz w:val="24"/>
              </w:rPr>
            </w:pPr>
          </w:p>
          <w:p>
            <w:pPr>
              <w:pStyle w:val="TableParagraph"/>
              <w:ind w:left="107"/>
              <w:rPr>
                <w:rFonts w:ascii="Arial"/>
                <w:b/>
                <w:sz w:val="18"/>
              </w:rPr>
            </w:pPr>
            <w:r>
              <w:rPr>
                <w:rFonts w:ascii="Arial"/>
                <w:b/>
                <w:sz w:val="18"/>
              </w:rPr>
              <w:t>Domain</w:t>
            </w:r>
            <w:r>
              <w:rPr>
                <w:rFonts w:ascii="Arial"/>
                <w:b/>
                <w:spacing w:val="-2"/>
                <w:sz w:val="18"/>
              </w:rPr>
              <w:t> </w:t>
            </w:r>
            <w:r>
              <w:rPr>
                <w:rFonts w:ascii="Arial"/>
                <w:b/>
                <w:sz w:val="18"/>
              </w:rPr>
              <w:t>2:</w:t>
            </w:r>
            <w:r>
              <w:rPr>
                <w:rFonts w:ascii="Arial"/>
                <w:b/>
                <w:spacing w:val="-4"/>
                <w:sz w:val="18"/>
              </w:rPr>
              <w:t> </w:t>
            </w:r>
            <w:r>
              <w:rPr>
                <w:rFonts w:ascii="Arial"/>
                <w:b/>
                <w:sz w:val="18"/>
              </w:rPr>
              <w:t>Population</w:t>
            </w:r>
            <w:r>
              <w:rPr>
                <w:rFonts w:ascii="Arial"/>
                <w:b/>
                <w:spacing w:val="-1"/>
                <w:sz w:val="18"/>
              </w:rPr>
              <w:t> </w:t>
            </w:r>
            <w:r>
              <w:rPr>
                <w:rFonts w:ascii="Arial"/>
                <w:b/>
                <w:spacing w:val="-2"/>
                <w:sz w:val="18"/>
              </w:rPr>
              <w:t>Health</w:t>
            </w:r>
          </w:p>
        </w:tc>
      </w:tr>
      <w:tr>
        <w:trPr>
          <w:trHeight w:val="1067" w:hRule="atLeast"/>
        </w:trPr>
        <w:tc>
          <w:tcPr>
            <w:tcW w:w="420" w:type="dxa"/>
          </w:tcPr>
          <w:p>
            <w:pPr>
              <w:pStyle w:val="TableParagraph"/>
              <w:rPr>
                <w:i/>
                <w:sz w:val="20"/>
              </w:rPr>
            </w:pPr>
          </w:p>
          <w:p>
            <w:pPr>
              <w:pStyle w:val="TableParagraph"/>
              <w:spacing w:before="3"/>
              <w:rPr>
                <w:i/>
                <w:sz w:val="17"/>
              </w:rPr>
            </w:pPr>
          </w:p>
          <w:p>
            <w:pPr>
              <w:pStyle w:val="TableParagraph"/>
              <w:ind w:left="6"/>
              <w:jc w:val="center"/>
              <w:rPr>
                <w:rFonts w:ascii="Arial"/>
                <w:sz w:val="18"/>
              </w:rPr>
            </w:pPr>
            <w:r>
              <w:rPr>
                <w:rFonts w:ascii="Arial"/>
                <w:sz w:val="18"/>
              </w:rPr>
              <w:t>5</w:t>
            </w:r>
          </w:p>
        </w:tc>
        <w:tc>
          <w:tcPr>
            <w:tcW w:w="2251" w:type="dxa"/>
          </w:tcPr>
          <w:p>
            <w:pPr>
              <w:pStyle w:val="TableParagraph"/>
              <w:rPr>
                <w:i/>
                <w:sz w:val="20"/>
              </w:rPr>
            </w:pPr>
          </w:p>
          <w:p>
            <w:pPr>
              <w:pStyle w:val="TableParagraph"/>
              <w:spacing w:before="3"/>
              <w:rPr>
                <w:i/>
                <w:sz w:val="17"/>
              </w:rPr>
            </w:pPr>
          </w:p>
          <w:p>
            <w:pPr>
              <w:pStyle w:val="TableParagraph"/>
              <w:ind w:left="139"/>
              <w:rPr>
                <w:rFonts w:ascii="Arial"/>
                <w:sz w:val="18"/>
              </w:rPr>
            </w:pPr>
            <w:r>
              <w:rPr>
                <w:rFonts w:ascii="Arial"/>
                <w:sz w:val="18"/>
              </w:rPr>
              <w:t>Annual</w:t>
            </w:r>
            <w:r>
              <w:rPr>
                <w:rFonts w:ascii="Arial"/>
                <w:spacing w:val="-6"/>
                <w:sz w:val="18"/>
              </w:rPr>
              <w:t> </w:t>
            </w:r>
            <w:r>
              <w:rPr>
                <w:rFonts w:ascii="Arial"/>
                <w:sz w:val="18"/>
              </w:rPr>
              <w:t>primary</w:t>
            </w:r>
            <w:r>
              <w:rPr>
                <w:rFonts w:ascii="Arial"/>
                <w:spacing w:val="-2"/>
                <w:sz w:val="18"/>
              </w:rPr>
              <w:t> </w:t>
            </w:r>
            <w:r>
              <w:rPr>
                <w:rFonts w:ascii="Arial"/>
                <w:sz w:val="18"/>
              </w:rPr>
              <w:t>care </w:t>
            </w:r>
            <w:r>
              <w:rPr>
                <w:rFonts w:ascii="Arial"/>
                <w:spacing w:val="-4"/>
                <w:sz w:val="18"/>
              </w:rPr>
              <w:t>visit</w:t>
            </w:r>
          </w:p>
        </w:tc>
        <w:tc>
          <w:tcPr>
            <w:tcW w:w="3240" w:type="dxa"/>
          </w:tcPr>
          <w:p>
            <w:pPr>
              <w:pStyle w:val="TableParagraph"/>
              <w:spacing w:before="119"/>
              <w:ind w:left="123" w:right="112"/>
              <w:jc w:val="center"/>
              <w:rPr>
                <w:rFonts w:ascii="Arial"/>
                <w:sz w:val="18"/>
              </w:rPr>
            </w:pPr>
            <w:r>
              <w:rPr>
                <w:rFonts w:ascii="Arial"/>
                <w:sz w:val="18"/>
              </w:rPr>
              <w:t>Percentage</w:t>
            </w:r>
            <w:r>
              <w:rPr>
                <w:rFonts w:ascii="Arial"/>
                <w:spacing w:val="-8"/>
                <w:sz w:val="18"/>
              </w:rPr>
              <w:t> </w:t>
            </w:r>
            <w:r>
              <w:rPr>
                <w:rFonts w:ascii="Arial"/>
                <w:sz w:val="18"/>
              </w:rPr>
              <w:t>of</w:t>
            </w:r>
            <w:r>
              <w:rPr>
                <w:rFonts w:ascii="Arial"/>
                <w:spacing w:val="-6"/>
                <w:sz w:val="18"/>
              </w:rPr>
              <w:t> </w:t>
            </w:r>
            <w:r>
              <w:rPr>
                <w:rFonts w:ascii="Arial"/>
                <w:sz w:val="18"/>
              </w:rPr>
              <w:t>enrollees</w:t>
            </w:r>
            <w:r>
              <w:rPr>
                <w:rFonts w:ascii="Arial"/>
                <w:spacing w:val="-5"/>
                <w:sz w:val="18"/>
              </w:rPr>
              <w:t> </w:t>
            </w:r>
            <w:r>
              <w:rPr>
                <w:rFonts w:ascii="Arial"/>
                <w:sz w:val="18"/>
              </w:rPr>
              <w:t>3</w:t>
            </w:r>
            <w:r>
              <w:rPr>
                <w:rFonts w:ascii="Arial"/>
                <w:spacing w:val="-8"/>
                <w:sz w:val="18"/>
              </w:rPr>
              <w:t> </w:t>
            </w:r>
            <w:r>
              <w:rPr>
                <w:rFonts w:ascii="Arial"/>
                <w:sz w:val="18"/>
              </w:rPr>
              <w:t>to</w:t>
            </w:r>
            <w:r>
              <w:rPr>
                <w:rFonts w:ascii="Arial"/>
                <w:spacing w:val="-5"/>
                <w:sz w:val="18"/>
              </w:rPr>
              <w:t> </w:t>
            </w:r>
            <w:r>
              <w:rPr>
                <w:rFonts w:ascii="Arial"/>
                <w:sz w:val="18"/>
              </w:rPr>
              <w:t>64</w:t>
            </w:r>
            <w:r>
              <w:rPr>
                <w:rFonts w:ascii="Arial"/>
                <w:spacing w:val="-5"/>
                <w:sz w:val="18"/>
              </w:rPr>
              <w:t> </w:t>
            </w:r>
            <w:r>
              <w:rPr>
                <w:rFonts w:ascii="Arial"/>
                <w:sz w:val="18"/>
              </w:rPr>
              <w:t>years of age who had at least one comprehensive well-care visit during the measurement year</w:t>
            </w:r>
          </w:p>
        </w:tc>
        <w:tc>
          <w:tcPr>
            <w:tcW w:w="900" w:type="dxa"/>
          </w:tcPr>
          <w:p>
            <w:pPr>
              <w:pStyle w:val="TableParagraph"/>
              <w:rPr>
                <w:i/>
                <w:sz w:val="20"/>
              </w:rPr>
            </w:pPr>
          </w:p>
          <w:p>
            <w:pPr>
              <w:pStyle w:val="TableParagraph"/>
              <w:spacing w:before="3"/>
              <w:rPr>
                <w:i/>
                <w:sz w:val="17"/>
              </w:rPr>
            </w:pPr>
          </w:p>
          <w:p>
            <w:pPr>
              <w:pStyle w:val="TableParagraph"/>
              <w:ind w:left="155" w:right="143"/>
              <w:jc w:val="center"/>
              <w:rPr>
                <w:rFonts w:ascii="Arial"/>
                <w:sz w:val="18"/>
              </w:rPr>
            </w:pPr>
            <w:r>
              <w:rPr>
                <w:rFonts w:ascii="Arial"/>
                <w:spacing w:val="-4"/>
                <w:sz w:val="18"/>
              </w:rPr>
              <w:t>Admin</w:t>
            </w:r>
          </w:p>
        </w:tc>
        <w:tc>
          <w:tcPr>
            <w:tcW w:w="1260" w:type="dxa"/>
          </w:tcPr>
          <w:p>
            <w:pPr>
              <w:pStyle w:val="TableParagraph"/>
              <w:rPr>
                <w:i/>
                <w:sz w:val="20"/>
              </w:rPr>
            </w:pPr>
          </w:p>
          <w:p>
            <w:pPr>
              <w:pStyle w:val="TableParagraph"/>
              <w:spacing w:before="3"/>
              <w:rPr>
                <w:i/>
                <w:sz w:val="17"/>
              </w:rPr>
            </w:pPr>
          </w:p>
          <w:p>
            <w:pPr>
              <w:pStyle w:val="TableParagraph"/>
              <w:ind w:left="133" w:right="123"/>
              <w:jc w:val="center"/>
              <w:rPr>
                <w:rFonts w:ascii="Arial"/>
                <w:sz w:val="18"/>
              </w:rPr>
            </w:pPr>
            <w:r>
              <w:rPr>
                <w:rFonts w:ascii="Arial"/>
                <w:sz w:val="18"/>
              </w:rPr>
              <w:t>Q4 </w:t>
            </w:r>
            <w:r>
              <w:rPr>
                <w:rFonts w:ascii="Arial"/>
                <w:spacing w:val="-4"/>
                <w:sz w:val="18"/>
              </w:rPr>
              <w:t>2021</w:t>
            </w:r>
          </w:p>
        </w:tc>
        <w:tc>
          <w:tcPr>
            <w:tcW w:w="991" w:type="dxa"/>
          </w:tcPr>
          <w:p>
            <w:pPr>
              <w:pStyle w:val="TableParagraph"/>
              <w:spacing w:before="3"/>
              <w:rPr>
                <w:i/>
                <w:sz w:val="28"/>
              </w:rPr>
            </w:pPr>
          </w:p>
          <w:p>
            <w:pPr>
              <w:pStyle w:val="TableParagraph"/>
              <w:ind w:left="172" w:right="158" w:firstLine="187"/>
              <w:rPr>
                <w:rFonts w:ascii="Arial"/>
                <w:sz w:val="18"/>
              </w:rPr>
            </w:pPr>
            <w:r>
              <w:rPr>
                <w:rFonts w:ascii="Arial"/>
                <w:spacing w:val="-6"/>
                <w:sz w:val="18"/>
              </w:rPr>
              <w:t>MA </w:t>
            </w:r>
            <w:r>
              <w:rPr>
                <w:rFonts w:ascii="Arial"/>
                <w:spacing w:val="-2"/>
                <w:sz w:val="18"/>
              </w:rPr>
              <w:t>EOHHS</w:t>
            </w:r>
          </w:p>
        </w:tc>
        <w:tc>
          <w:tcPr>
            <w:tcW w:w="900" w:type="dxa"/>
          </w:tcPr>
          <w:p>
            <w:pPr>
              <w:pStyle w:val="TableParagraph"/>
              <w:rPr>
                <w:i/>
                <w:sz w:val="20"/>
              </w:rPr>
            </w:pPr>
          </w:p>
          <w:p>
            <w:pPr>
              <w:pStyle w:val="TableParagraph"/>
              <w:spacing w:before="3"/>
              <w:rPr>
                <w:i/>
                <w:sz w:val="17"/>
              </w:rPr>
            </w:pPr>
          </w:p>
          <w:p>
            <w:pPr>
              <w:pStyle w:val="TableParagraph"/>
              <w:ind w:left="151" w:right="145"/>
              <w:jc w:val="center"/>
              <w:rPr>
                <w:rFonts w:ascii="Arial"/>
                <w:sz w:val="18"/>
              </w:rPr>
            </w:pPr>
            <w:r>
              <w:rPr>
                <w:rFonts w:ascii="Arial"/>
                <w:spacing w:val="-5"/>
                <w:sz w:val="18"/>
              </w:rPr>
              <w:t>N/A</w:t>
            </w:r>
          </w:p>
        </w:tc>
        <w:tc>
          <w:tcPr>
            <w:tcW w:w="989" w:type="dxa"/>
          </w:tcPr>
          <w:p>
            <w:pPr>
              <w:pStyle w:val="TableParagraph"/>
              <w:rPr>
                <w:i/>
                <w:sz w:val="20"/>
              </w:rPr>
            </w:pPr>
          </w:p>
          <w:p>
            <w:pPr>
              <w:pStyle w:val="TableParagraph"/>
              <w:spacing w:before="3"/>
              <w:rPr>
                <w:i/>
                <w:sz w:val="17"/>
              </w:rPr>
            </w:pPr>
          </w:p>
          <w:p>
            <w:pPr>
              <w:pStyle w:val="TableParagraph"/>
              <w:ind w:left="6"/>
              <w:jc w:val="center"/>
              <w:rPr>
                <w:rFonts w:ascii="Arial"/>
                <w:sz w:val="18"/>
              </w:rPr>
            </w:pPr>
            <w:r>
              <w:rPr>
                <w:rFonts w:ascii="Arial"/>
                <w:sz w:val="18"/>
              </w:rPr>
              <w:t>R</w:t>
            </w:r>
          </w:p>
        </w:tc>
        <w:tc>
          <w:tcPr>
            <w:tcW w:w="991" w:type="dxa"/>
          </w:tcPr>
          <w:p>
            <w:pPr>
              <w:pStyle w:val="TableParagraph"/>
              <w:rPr>
                <w:i/>
                <w:sz w:val="20"/>
              </w:rPr>
            </w:pPr>
          </w:p>
          <w:p>
            <w:pPr>
              <w:pStyle w:val="TableParagraph"/>
              <w:spacing w:before="3"/>
              <w:rPr>
                <w:i/>
                <w:sz w:val="17"/>
              </w:rPr>
            </w:pPr>
          </w:p>
          <w:p>
            <w:pPr>
              <w:pStyle w:val="TableParagraph"/>
              <w:ind w:left="8"/>
              <w:jc w:val="center"/>
              <w:rPr>
                <w:rFonts w:ascii="Arial"/>
                <w:sz w:val="18"/>
              </w:rPr>
            </w:pPr>
            <w:r>
              <w:rPr>
                <w:rFonts w:ascii="Arial"/>
                <w:sz w:val="18"/>
              </w:rPr>
              <w:t>R</w:t>
            </w:r>
          </w:p>
        </w:tc>
        <w:tc>
          <w:tcPr>
            <w:tcW w:w="1080" w:type="dxa"/>
          </w:tcPr>
          <w:p>
            <w:pPr>
              <w:pStyle w:val="TableParagraph"/>
              <w:rPr>
                <w:i/>
                <w:sz w:val="20"/>
              </w:rPr>
            </w:pPr>
          </w:p>
          <w:p>
            <w:pPr>
              <w:pStyle w:val="TableParagraph"/>
              <w:spacing w:before="3"/>
              <w:rPr>
                <w:i/>
                <w:sz w:val="17"/>
              </w:rPr>
            </w:pPr>
          </w:p>
          <w:p>
            <w:pPr>
              <w:pStyle w:val="TableParagraph"/>
              <w:ind w:left="154" w:right="148"/>
              <w:jc w:val="center"/>
              <w:rPr>
                <w:rFonts w:ascii="Arial"/>
                <w:sz w:val="18"/>
              </w:rPr>
            </w:pPr>
            <w:r>
              <w:rPr>
                <w:rFonts w:ascii="Arial"/>
                <w:sz w:val="18"/>
              </w:rPr>
              <w:t>P </w:t>
            </w:r>
            <w:r>
              <w:rPr>
                <w:rFonts w:ascii="Arial"/>
                <w:spacing w:val="-2"/>
                <w:sz w:val="18"/>
              </w:rPr>
              <w:t>(19/20)</w:t>
            </w:r>
          </w:p>
        </w:tc>
        <w:tc>
          <w:tcPr>
            <w:tcW w:w="900" w:type="dxa"/>
          </w:tcPr>
          <w:p>
            <w:pPr>
              <w:pStyle w:val="TableParagraph"/>
              <w:rPr>
                <w:i/>
                <w:sz w:val="20"/>
              </w:rPr>
            </w:pPr>
          </w:p>
          <w:p>
            <w:pPr>
              <w:pStyle w:val="TableParagraph"/>
              <w:spacing w:before="3"/>
              <w:rPr>
                <w:i/>
                <w:sz w:val="17"/>
              </w:rPr>
            </w:pPr>
          </w:p>
          <w:p>
            <w:pPr>
              <w:pStyle w:val="TableParagraph"/>
              <w:ind w:left="3"/>
              <w:jc w:val="center"/>
              <w:rPr>
                <w:rFonts w:ascii="Arial"/>
                <w:sz w:val="18"/>
              </w:rPr>
            </w:pPr>
            <w:r>
              <w:rPr>
                <w:rFonts w:ascii="Arial"/>
                <w:sz w:val="18"/>
              </w:rPr>
              <w:t>P</w:t>
            </w:r>
          </w:p>
        </w:tc>
        <w:tc>
          <w:tcPr>
            <w:tcW w:w="989" w:type="dxa"/>
          </w:tcPr>
          <w:p>
            <w:pPr>
              <w:pStyle w:val="TableParagraph"/>
              <w:rPr>
                <w:i/>
                <w:sz w:val="20"/>
              </w:rPr>
            </w:pPr>
          </w:p>
          <w:p>
            <w:pPr>
              <w:pStyle w:val="TableParagraph"/>
              <w:spacing w:before="3"/>
              <w:rPr>
                <w:i/>
                <w:sz w:val="17"/>
              </w:rPr>
            </w:pPr>
          </w:p>
          <w:p>
            <w:pPr>
              <w:pStyle w:val="TableParagraph"/>
              <w:ind w:left="5"/>
              <w:jc w:val="center"/>
              <w:rPr>
                <w:rFonts w:ascii="Arial"/>
                <w:sz w:val="18"/>
              </w:rPr>
            </w:pPr>
            <w:r>
              <w:rPr>
                <w:rFonts w:ascii="Arial"/>
                <w:sz w:val="18"/>
              </w:rPr>
              <w:t>P</w:t>
            </w:r>
          </w:p>
        </w:tc>
      </w:tr>
    </w:tbl>
    <w:p>
      <w:pPr>
        <w:spacing w:after="0"/>
        <w:jc w:val="center"/>
        <w:rPr>
          <w:rFonts w:ascii="Arial"/>
          <w:sz w:val="18"/>
        </w:rPr>
        <w:sectPr>
          <w:pgSz w:w="15840" w:h="12240" w:orient="landscape"/>
          <w:pgMar w:header="0" w:footer="967" w:top="1360" w:bottom="1160" w:left="200" w:right="200"/>
        </w:sectPr>
      </w:pPr>
    </w:p>
    <w:p>
      <w:pPr>
        <w:pStyle w:val="BodyText"/>
        <w:spacing w:before="2"/>
        <w:rPr>
          <w:i/>
          <w:sz w:val="5"/>
        </w:rPr>
      </w:pPr>
    </w:p>
    <w:tbl>
      <w:tblPr>
        <w:tblW w:w="0" w:type="auto"/>
        <w:jc w:val="left"/>
        <w:tblInd w:w="374"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CellMar>
          <w:top w:w="0" w:type="dxa"/>
          <w:left w:w="0" w:type="dxa"/>
          <w:bottom w:w="0" w:type="dxa"/>
          <w:right w:w="0" w:type="dxa"/>
        </w:tblCellMar>
        <w:tblLook w:val="01E0"/>
      </w:tblPr>
      <w:tblGrid>
        <w:gridCol w:w="420"/>
        <w:gridCol w:w="2251"/>
        <w:gridCol w:w="3240"/>
        <w:gridCol w:w="900"/>
        <w:gridCol w:w="1260"/>
        <w:gridCol w:w="991"/>
        <w:gridCol w:w="900"/>
        <w:gridCol w:w="989"/>
        <w:gridCol w:w="991"/>
        <w:gridCol w:w="1080"/>
        <w:gridCol w:w="900"/>
        <w:gridCol w:w="989"/>
      </w:tblGrid>
      <w:tr>
        <w:trPr>
          <w:trHeight w:val="1033" w:hRule="atLeast"/>
        </w:trPr>
        <w:tc>
          <w:tcPr>
            <w:tcW w:w="420" w:type="dxa"/>
          </w:tcPr>
          <w:p>
            <w:pPr>
              <w:pStyle w:val="TableParagraph"/>
              <w:rPr>
                <w:i/>
                <w:sz w:val="20"/>
              </w:rPr>
            </w:pPr>
          </w:p>
          <w:p>
            <w:pPr>
              <w:pStyle w:val="TableParagraph"/>
              <w:rPr>
                <w:i/>
                <w:sz w:val="16"/>
              </w:rPr>
            </w:pPr>
          </w:p>
          <w:p>
            <w:pPr>
              <w:pStyle w:val="TableParagraph"/>
              <w:ind w:left="6"/>
              <w:jc w:val="center"/>
              <w:rPr>
                <w:rFonts w:ascii="Arial"/>
                <w:sz w:val="18"/>
              </w:rPr>
            </w:pPr>
            <w:r>
              <w:rPr>
                <w:rFonts w:ascii="Arial"/>
                <w:sz w:val="18"/>
              </w:rPr>
              <w:t>6</w:t>
            </w:r>
          </w:p>
        </w:tc>
        <w:tc>
          <w:tcPr>
            <w:tcW w:w="2251" w:type="dxa"/>
          </w:tcPr>
          <w:p>
            <w:pPr>
              <w:pStyle w:val="TableParagraph"/>
              <w:rPr>
                <w:i/>
                <w:sz w:val="20"/>
              </w:rPr>
            </w:pPr>
          </w:p>
          <w:p>
            <w:pPr>
              <w:pStyle w:val="TableParagraph"/>
              <w:rPr>
                <w:i/>
                <w:sz w:val="16"/>
              </w:rPr>
            </w:pPr>
          </w:p>
          <w:p>
            <w:pPr>
              <w:pStyle w:val="TableParagraph"/>
              <w:ind w:left="214" w:right="208"/>
              <w:jc w:val="center"/>
              <w:rPr>
                <w:rFonts w:ascii="Arial"/>
                <w:sz w:val="18"/>
              </w:rPr>
            </w:pPr>
            <w:r>
              <w:rPr>
                <w:rFonts w:ascii="Arial"/>
                <w:sz w:val="18"/>
              </w:rPr>
              <w:t>Oral</w:t>
            </w:r>
            <w:r>
              <w:rPr>
                <w:rFonts w:ascii="Arial"/>
                <w:spacing w:val="-1"/>
                <w:sz w:val="18"/>
              </w:rPr>
              <w:t> </w:t>
            </w:r>
            <w:r>
              <w:rPr>
                <w:rFonts w:ascii="Arial"/>
                <w:sz w:val="18"/>
              </w:rPr>
              <w:t>Health</w:t>
            </w:r>
            <w:r>
              <w:rPr>
                <w:rFonts w:ascii="Arial"/>
                <w:spacing w:val="-1"/>
                <w:sz w:val="18"/>
              </w:rPr>
              <w:t> </w:t>
            </w:r>
            <w:r>
              <w:rPr>
                <w:rFonts w:ascii="Arial"/>
                <w:spacing w:val="-2"/>
                <w:sz w:val="18"/>
              </w:rPr>
              <w:t>Evaluation</w:t>
            </w:r>
          </w:p>
        </w:tc>
        <w:tc>
          <w:tcPr>
            <w:tcW w:w="3240" w:type="dxa"/>
          </w:tcPr>
          <w:p>
            <w:pPr>
              <w:pStyle w:val="TableParagraph"/>
              <w:ind w:left="129" w:right="118"/>
              <w:jc w:val="center"/>
              <w:rPr>
                <w:rFonts w:ascii="Arial"/>
                <w:sz w:val="18"/>
              </w:rPr>
            </w:pPr>
            <w:r>
              <w:rPr>
                <w:rFonts w:ascii="Arial"/>
                <w:sz w:val="18"/>
              </w:rPr>
              <w:t>Percentage</w:t>
            </w:r>
            <w:r>
              <w:rPr>
                <w:rFonts w:ascii="Arial"/>
                <w:spacing w:val="-8"/>
                <w:sz w:val="18"/>
              </w:rPr>
              <w:t> </w:t>
            </w:r>
            <w:r>
              <w:rPr>
                <w:rFonts w:ascii="Arial"/>
                <w:sz w:val="18"/>
              </w:rPr>
              <w:t>of</w:t>
            </w:r>
            <w:r>
              <w:rPr>
                <w:rFonts w:ascii="Arial"/>
                <w:spacing w:val="-6"/>
                <w:sz w:val="18"/>
              </w:rPr>
              <w:t> </w:t>
            </w:r>
            <w:r>
              <w:rPr>
                <w:rFonts w:ascii="Arial"/>
                <w:sz w:val="18"/>
              </w:rPr>
              <w:t>enrollees</w:t>
            </w:r>
            <w:r>
              <w:rPr>
                <w:rFonts w:ascii="Arial"/>
                <w:spacing w:val="-5"/>
                <w:sz w:val="18"/>
              </w:rPr>
              <w:t> </w:t>
            </w:r>
            <w:r>
              <w:rPr>
                <w:rFonts w:ascii="Arial"/>
                <w:sz w:val="18"/>
              </w:rPr>
              <w:t>3</w:t>
            </w:r>
            <w:r>
              <w:rPr>
                <w:rFonts w:ascii="Arial"/>
                <w:spacing w:val="-8"/>
                <w:sz w:val="18"/>
              </w:rPr>
              <w:t> </w:t>
            </w:r>
            <w:r>
              <w:rPr>
                <w:rFonts w:ascii="Arial"/>
                <w:sz w:val="18"/>
              </w:rPr>
              <w:t>to</w:t>
            </w:r>
            <w:r>
              <w:rPr>
                <w:rFonts w:ascii="Arial"/>
                <w:spacing w:val="-5"/>
                <w:sz w:val="18"/>
              </w:rPr>
              <w:t> </w:t>
            </w:r>
            <w:r>
              <w:rPr>
                <w:rFonts w:ascii="Arial"/>
                <w:sz w:val="18"/>
              </w:rPr>
              <w:t>20</w:t>
            </w:r>
            <w:r>
              <w:rPr>
                <w:rFonts w:ascii="Arial"/>
                <w:spacing w:val="-5"/>
                <w:sz w:val="18"/>
              </w:rPr>
              <w:t> </w:t>
            </w:r>
            <w:r>
              <w:rPr>
                <w:rFonts w:ascii="Arial"/>
                <w:sz w:val="18"/>
              </w:rPr>
              <w:t>years of age who received a</w:t>
            </w:r>
            <w:r>
              <w:rPr>
                <w:rFonts w:ascii="Arial"/>
                <w:spacing w:val="40"/>
                <w:sz w:val="18"/>
              </w:rPr>
              <w:t> </w:t>
            </w:r>
            <w:r>
              <w:rPr>
                <w:rFonts w:ascii="Arial"/>
                <w:sz w:val="18"/>
              </w:rPr>
              <w:t>comprehensive or periodic oral</w:t>
            </w:r>
          </w:p>
          <w:p>
            <w:pPr>
              <w:pStyle w:val="TableParagraph"/>
              <w:spacing w:line="206" w:lineRule="exact"/>
              <w:ind w:left="123" w:right="110"/>
              <w:jc w:val="center"/>
              <w:rPr>
                <w:rFonts w:ascii="Arial"/>
                <w:sz w:val="18"/>
              </w:rPr>
            </w:pPr>
            <w:r>
              <w:rPr>
                <w:rFonts w:ascii="Arial"/>
                <w:sz w:val="18"/>
              </w:rPr>
              <w:t>evaluation</w:t>
            </w:r>
            <w:r>
              <w:rPr>
                <w:rFonts w:ascii="Arial"/>
                <w:spacing w:val="-11"/>
                <w:sz w:val="18"/>
              </w:rPr>
              <w:t> </w:t>
            </w:r>
            <w:r>
              <w:rPr>
                <w:rFonts w:ascii="Arial"/>
                <w:sz w:val="18"/>
              </w:rPr>
              <w:t>within</w:t>
            </w:r>
            <w:r>
              <w:rPr>
                <w:rFonts w:ascii="Arial"/>
                <w:spacing w:val="-13"/>
                <w:sz w:val="18"/>
              </w:rPr>
              <w:t> </w:t>
            </w:r>
            <w:r>
              <w:rPr>
                <w:rFonts w:ascii="Arial"/>
                <w:sz w:val="18"/>
              </w:rPr>
              <w:t>the</w:t>
            </w:r>
            <w:r>
              <w:rPr>
                <w:rFonts w:ascii="Arial"/>
                <w:spacing w:val="-12"/>
                <w:sz w:val="18"/>
              </w:rPr>
              <w:t> </w:t>
            </w:r>
            <w:r>
              <w:rPr>
                <w:rFonts w:ascii="Arial"/>
                <w:sz w:val="18"/>
              </w:rPr>
              <w:t>measurement </w:t>
            </w:r>
            <w:r>
              <w:rPr>
                <w:rFonts w:ascii="Arial"/>
                <w:spacing w:val="-4"/>
                <w:sz w:val="18"/>
              </w:rPr>
              <w:t>year</w:t>
            </w:r>
          </w:p>
        </w:tc>
        <w:tc>
          <w:tcPr>
            <w:tcW w:w="900" w:type="dxa"/>
          </w:tcPr>
          <w:p>
            <w:pPr>
              <w:pStyle w:val="TableParagraph"/>
              <w:rPr>
                <w:i/>
                <w:sz w:val="20"/>
              </w:rPr>
            </w:pPr>
          </w:p>
          <w:p>
            <w:pPr>
              <w:pStyle w:val="TableParagraph"/>
              <w:rPr>
                <w:i/>
                <w:sz w:val="16"/>
              </w:rPr>
            </w:pPr>
          </w:p>
          <w:p>
            <w:pPr>
              <w:pStyle w:val="TableParagraph"/>
              <w:ind w:left="155" w:right="144"/>
              <w:jc w:val="center"/>
              <w:rPr>
                <w:rFonts w:ascii="Arial"/>
                <w:sz w:val="18"/>
              </w:rPr>
            </w:pPr>
            <w:r>
              <w:rPr>
                <w:rFonts w:ascii="Arial"/>
                <w:spacing w:val="-4"/>
                <w:sz w:val="18"/>
              </w:rPr>
              <w:t>Admin</w:t>
            </w:r>
          </w:p>
        </w:tc>
        <w:tc>
          <w:tcPr>
            <w:tcW w:w="1260" w:type="dxa"/>
          </w:tcPr>
          <w:p>
            <w:pPr>
              <w:pStyle w:val="TableParagraph"/>
              <w:rPr>
                <w:i/>
                <w:sz w:val="20"/>
              </w:rPr>
            </w:pPr>
          </w:p>
          <w:p>
            <w:pPr>
              <w:pStyle w:val="TableParagraph"/>
              <w:rPr>
                <w:i/>
                <w:sz w:val="16"/>
              </w:rPr>
            </w:pPr>
          </w:p>
          <w:p>
            <w:pPr>
              <w:pStyle w:val="TableParagraph"/>
              <w:ind w:left="133" w:right="124"/>
              <w:jc w:val="center"/>
              <w:rPr>
                <w:rFonts w:ascii="Arial"/>
                <w:sz w:val="18"/>
              </w:rPr>
            </w:pPr>
            <w:r>
              <w:rPr>
                <w:rFonts w:ascii="Arial"/>
                <w:sz w:val="18"/>
              </w:rPr>
              <w:t>Q4 </w:t>
            </w:r>
            <w:r>
              <w:rPr>
                <w:rFonts w:ascii="Arial"/>
                <w:spacing w:val="-4"/>
                <w:sz w:val="18"/>
              </w:rPr>
              <w:t>2021</w:t>
            </w:r>
          </w:p>
        </w:tc>
        <w:tc>
          <w:tcPr>
            <w:tcW w:w="991" w:type="dxa"/>
          </w:tcPr>
          <w:p>
            <w:pPr>
              <w:pStyle w:val="TableParagraph"/>
              <w:rPr>
                <w:i/>
                <w:sz w:val="20"/>
              </w:rPr>
            </w:pPr>
          </w:p>
          <w:p>
            <w:pPr>
              <w:pStyle w:val="TableParagraph"/>
              <w:rPr>
                <w:i/>
                <w:sz w:val="16"/>
              </w:rPr>
            </w:pPr>
          </w:p>
          <w:p>
            <w:pPr>
              <w:pStyle w:val="TableParagraph"/>
              <w:ind w:left="218" w:right="216"/>
              <w:jc w:val="center"/>
              <w:rPr>
                <w:rFonts w:ascii="Arial"/>
                <w:sz w:val="18"/>
              </w:rPr>
            </w:pPr>
            <w:r>
              <w:rPr>
                <w:rFonts w:ascii="Arial"/>
                <w:spacing w:val="-5"/>
                <w:sz w:val="18"/>
              </w:rPr>
              <w:t>DQA</w:t>
            </w:r>
          </w:p>
        </w:tc>
        <w:tc>
          <w:tcPr>
            <w:tcW w:w="900" w:type="dxa"/>
          </w:tcPr>
          <w:p>
            <w:pPr>
              <w:pStyle w:val="TableParagraph"/>
              <w:rPr>
                <w:i/>
                <w:sz w:val="20"/>
              </w:rPr>
            </w:pPr>
          </w:p>
          <w:p>
            <w:pPr>
              <w:pStyle w:val="TableParagraph"/>
              <w:rPr>
                <w:i/>
                <w:sz w:val="16"/>
              </w:rPr>
            </w:pPr>
          </w:p>
          <w:p>
            <w:pPr>
              <w:pStyle w:val="TableParagraph"/>
              <w:ind w:left="152" w:right="145"/>
              <w:jc w:val="center"/>
              <w:rPr>
                <w:rFonts w:ascii="Arial"/>
                <w:sz w:val="18"/>
              </w:rPr>
            </w:pPr>
            <w:r>
              <w:rPr>
                <w:rFonts w:ascii="Arial"/>
                <w:spacing w:val="-4"/>
                <w:sz w:val="18"/>
              </w:rPr>
              <w:t>2517</w:t>
            </w:r>
          </w:p>
        </w:tc>
        <w:tc>
          <w:tcPr>
            <w:tcW w:w="989" w:type="dxa"/>
          </w:tcPr>
          <w:p>
            <w:pPr>
              <w:pStyle w:val="TableParagraph"/>
              <w:rPr>
                <w:i/>
                <w:sz w:val="20"/>
              </w:rPr>
            </w:pPr>
          </w:p>
          <w:p>
            <w:pPr>
              <w:pStyle w:val="TableParagraph"/>
              <w:rPr>
                <w:i/>
                <w:sz w:val="16"/>
              </w:rPr>
            </w:pPr>
          </w:p>
          <w:p>
            <w:pPr>
              <w:pStyle w:val="TableParagraph"/>
              <w:ind w:left="5"/>
              <w:jc w:val="center"/>
              <w:rPr>
                <w:rFonts w:ascii="Arial"/>
                <w:sz w:val="18"/>
              </w:rPr>
            </w:pPr>
            <w:r>
              <w:rPr>
                <w:rFonts w:ascii="Arial"/>
                <w:sz w:val="18"/>
              </w:rPr>
              <w:t>R</w:t>
            </w:r>
          </w:p>
        </w:tc>
        <w:tc>
          <w:tcPr>
            <w:tcW w:w="991" w:type="dxa"/>
          </w:tcPr>
          <w:p>
            <w:pPr>
              <w:pStyle w:val="TableParagraph"/>
              <w:rPr>
                <w:i/>
                <w:sz w:val="20"/>
              </w:rPr>
            </w:pPr>
          </w:p>
          <w:p>
            <w:pPr>
              <w:pStyle w:val="TableParagraph"/>
              <w:rPr>
                <w:i/>
                <w:sz w:val="16"/>
              </w:rPr>
            </w:pPr>
          </w:p>
          <w:p>
            <w:pPr>
              <w:pStyle w:val="TableParagraph"/>
              <w:ind w:left="7"/>
              <w:jc w:val="center"/>
              <w:rPr>
                <w:rFonts w:ascii="Arial"/>
                <w:sz w:val="18"/>
              </w:rPr>
            </w:pPr>
            <w:r>
              <w:rPr>
                <w:rFonts w:ascii="Arial"/>
                <w:sz w:val="18"/>
              </w:rPr>
              <w:t>R</w:t>
            </w:r>
          </w:p>
        </w:tc>
        <w:tc>
          <w:tcPr>
            <w:tcW w:w="1080" w:type="dxa"/>
          </w:tcPr>
          <w:p>
            <w:pPr>
              <w:pStyle w:val="TableParagraph"/>
              <w:rPr>
                <w:i/>
                <w:sz w:val="20"/>
              </w:rPr>
            </w:pPr>
          </w:p>
          <w:p>
            <w:pPr>
              <w:pStyle w:val="TableParagraph"/>
              <w:rPr>
                <w:i/>
                <w:sz w:val="16"/>
              </w:rPr>
            </w:pPr>
          </w:p>
          <w:p>
            <w:pPr>
              <w:pStyle w:val="TableParagraph"/>
              <w:ind w:left="154" w:right="148"/>
              <w:jc w:val="center"/>
              <w:rPr>
                <w:rFonts w:ascii="Arial"/>
                <w:sz w:val="18"/>
              </w:rPr>
            </w:pPr>
            <w:r>
              <w:rPr>
                <w:rFonts w:ascii="Arial"/>
                <w:sz w:val="18"/>
              </w:rPr>
              <w:t>P </w:t>
            </w:r>
            <w:r>
              <w:rPr>
                <w:rFonts w:ascii="Arial"/>
                <w:spacing w:val="-2"/>
                <w:sz w:val="18"/>
              </w:rPr>
              <w:t>(19/20)</w:t>
            </w:r>
          </w:p>
        </w:tc>
        <w:tc>
          <w:tcPr>
            <w:tcW w:w="900" w:type="dxa"/>
          </w:tcPr>
          <w:p>
            <w:pPr>
              <w:pStyle w:val="TableParagraph"/>
              <w:rPr>
                <w:i/>
                <w:sz w:val="20"/>
              </w:rPr>
            </w:pPr>
          </w:p>
          <w:p>
            <w:pPr>
              <w:pStyle w:val="TableParagraph"/>
              <w:rPr>
                <w:i/>
                <w:sz w:val="16"/>
              </w:rPr>
            </w:pPr>
          </w:p>
          <w:p>
            <w:pPr>
              <w:pStyle w:val="TableParagraph"/>
              <w:ind w:left="3"/>
              <w:jc w:val="center"/>
              <w:rPr>
                <w:rFonts w:ascii="Arial"/>
                <w:sz w:val="18"/>
              </w:rPr>
            </w:pPr>
            <w:r>
              <w:rPr>
                <w:rFonts w:ascii="Arial"/>
                <w:sz w:val="18"/>
              </w:rPr>
              <w:t>P</w:t>
            </w:r>
          </w:p>
        </w:tc>
        <w:tc>
          <w:tcPr>
            <w:tcW w:w="989" w:type="dxa"/>
          </w:tcPr>
          <w:p>
            <w:pPr>
              <w:pStyle w:val="TableParagraph"/>
              <w:rPr>
                <w:i/>
                <w:sz w:val="20"/>
              </w:rPr>
            </w:pPr>
          </w:p>
          <w:p>
            <w:pPr>
              <w:pStyle w:val="TableParagraph"/>
              <w:rPr>
                <w:i/>
                <w:sz w:val="16"/>
              </w:rPr>
            </w:pPr>
          </w:p>
          <w:p>
            <w:pPr>
              <w:pStyle w:val="TableParagraph"/>
              <w:ind w:left="5"/>
              <w:jc w:val="center"/>
              <w:rPr>
                <w:rFonts w:ascii="Arial"/>
                <w:sz w:val="18"/>
              </w:rPr>
            </w:pPr>
            <w:r>
              <w:rPr>
                <w:rFonts w:ascii="Arial"/>
                <w:sz w:val="18"/>
              </w:rPr>
              <w:t>P</w:t>
            </w:r>
          </w:p>
        </w:tc>
      </w:tr>
      <w:tr>
        <w:trPr>
          <w:trHeight w:val="683" w:hRule="atLeast"/>
        </w:trPr>
        <w:tc>
          <w:tcPr>
            <w:tcW w:w="14911" w:type="dxa"/>
            <w:gridSpan w:val="12"/>
          </w:tcPr>
          <w:p>
            <w:pPr>
              <w:pStyle w:val="TableParagraph"/>
              <w:spacing w:before="8"/>
              <w:rPr>
                <w:i/>
                <w:sz w:val="20"/>
              </w:rPr>
            </w:pPr>
          </w:p>
          <w:p>
            <w:pPr>
              <w:pStyle w:val="TableParagraph"/>
              <w:spacing w:before="1"/>
              <w:ind w:left="107"/>
              <w:rPr>
                <w:rFonts w:ascii="Arial"/>
                <w:b/>
                <w:sz w:val="18"/>
              </w:rPr>
            </w:pPr>
            <w:r>
              <w:rPr>
                <w:rFonts w:ascii="Arial"/>
                <w:b/>
                <w:sz w:val="18"/>
              </w:rPr>
              <w:t>Domain</w:t>
            </w:r>
            <w:r>
              <w:rPr>
                <w:rFonts w:ascii="Arial"/>
                <w:b/>
                <w:spacing w:val="-3"/>
                <w:sz w:val="18"/>
              </w:rPr>
              <w:t> </w:t>
            </w:r>
            <w:r>
              <w:rPr>
                <w:rFonts w:ascii="Arial"/>
                <w:b/>
                <w:sz w:val="18"/>
              </w:rPr>
              <w:t>3:</w:t>
            </w:r>
            <w:r>
              <w:rPr>
                <w:rFonts w:ascii="Arial"/>
                <w:b/>
                <w:spacing w:val="-3"/>
                <w:sz w:val="18"/>
              </w:rPr>
              <w:t> </w:t>
            </w:r>
            <w:r>
              <w:rPr>
                <w:rFonts w:ascii="Arial"/>
                <w:b/>
                <w:sz w:val="18"/>
              </w:rPr>
              <w:t>Avoidable</w:t>
            </w:r>
            <w:r>
              <w:rPr>
                <w:rFonts w:ascii="Arial"/>
                <w:b/>
                <w:spacing w:val="-1"/>
                <w:sz w:val="18"/>
              </w:rPr>
              <w:t> </w:t>
            </w:r>
            <w:r>
              <w:rPr>
                <w:rFonts w:ascii="Arial"/>
                <w:b/>
                <w:spacing w:val="-2"/>
                <w:sz w:val="18"/>
              </w:rPr>
              <w:t>Utilization</w:t>
            </w:r>
          </w:p>
        </w:tc>
      </w:tr>
      <w:tr>
        <w:trPr>
          <w:trHeight w:val="683" w:hRule="atLeast"/>
        </w:trPr>
        <w:tc>
          <w:tcPr>
            <w:tcW w:w="420" w:type="dxa"/>
          </w:tcPr>
          <w:p>
            <w:pPr>
              <w:pStyle w:val="TableParagraph"/>
              <w:spacing w:before="6"/>
              <w:rPr>
                <w:i/>
                <w:sz w:val="20"/>
              </w:rPr>
            </w:pPr>
          </w:p>
          <w:p>
            <w:pPr>
              <w:pStyle w:val="TableParagraph"/>
              <w:ind w:left="6"/>
              <w:jc w:val="center"/>
              <w:rPr>
                <w:rFonts w:ascii="Arial"/>
                <w:sz w:val="18"/>
              </w:rPr>
            </w:pPr>
            <w:r>
              <w:rPr>
                <w:rFonts w:ascii="Arial"/>
                <w:sz w:val="18"/>
              </w:rPr>
              <w:t>7</w:t>
            </w:r>
          </w:p>
        </w:tc>
        <w:tc>
          <w:tcPr>
            <w:tcW w:w="2251" w:type="dxa"/>
          </w:tcPr>
          <w:p>
            <w:pPr>
              <w:pStyle w:val="TableParagraph"/>
              <w:spacing w:before="6"/>
              <w:rPr>
                <w:i/>
                <w:sz w:val="20"/>
              </w:rPr>
            </w:pPr>
          </w:p>
          <w:p>
            <w:pPr>
              <w:pStyle w:val="TableParagraph"/>
              <w:ind w:left="214" w:right="208"/>
              <w:jc w:val="center"/>
              <w:rPr>
                <w:rFonts w:ascii="Arial"/>
                <w:sz w:val="18"/>
              </w:rPr>
            </w:pPr>
            <w:r>
              <w:rPr>
                <w:rFonts w:ascii="Arial"/>
                <w:sz w:val="18"/>
              </w:rPr>
              <w:t>All-Cause</w:t>
            </w:r>
            <w:r>
              <w:rPr>
                <w:rFonts w:ascii="Arial"/>
                <w:spacing w:val="-2"/>
                <w:sz w:val="18"/>
              </w:rPr>
              <w:t> </w:t>
            </w:r>
            <w:r>
              <w:rPr>
                <w:rFonts w:ascii="Arial"/>
                <w:sz w:val="18"/>
              </w:rPr>
              <w:t>ED</w:t>
            </w:r>
            <w:r>
              <w:rPr>
                <w:rFonts w:ascii="Arial"/>
                <w:spacing w:val="-2"/>
                <w:sz w:val="18"/>
              </w:rPr>
              <w:t> Visits</w:t>
            </w:r>
          </w:p>
        </w:tc>
        <w:tc>
          <w:tcPr>
            <w:tcW w:w="3240" w:type="dxa"/>
          </w:tcPr>
          <w:p>
            <w:pPr>
              <w:pStyle w:val="TableParagraph"/>
              <w:spacing w:before="133"/>
              <w:ind w:left="998" w:hanging="886"/>
              <w:rPr>
                <w:rFonts w:ascii="Arial"/>
                <w:sz w:val="18"/>
              </w:rPr>
            </w:pPr>
            <w:r>
              <w:rPr>
                <w:rFonts w:ascii="Arial"/>
                <w:sz w:val="18"/>
              </w:rPr>
              <w:t>The</w:t>
            </w:r>
            <w:r>
              <w:rPr>
                <w:rFonts w:ascii="Arial"/>
                <w:spacing w:val="-4"/>
                <w:sz w:val="18"/>
              </w:rPr>
              <w:t> </w:t>
            </w:r>
            <w:r>
              <w:rPr>
                <w:rFonts w:ascii="Arial"/>
                <w:sz w:val="18"/>
              </w:rPr>
              <w:t>rate</w:t>
            </w:r>
            <w:r>
              <w:rPr>
                <w:rFonts w:ascii="Arial"/>
                <w:spacing w:val="-4"/>
                <w:sz w:val="18"/>
              </w:rPr>
              <w:t> </w:t>
            </w:r>
            <w:r>
              <w:rPr>
                <w:rFonts w:ascii="Arial"/>
                <w:sz w:val="18"/>
              </w:rPr>
              <w:t>of</w:t>
            </w:r>
            <w:r>
              <w:rPr>
                <w:rFonts w:ascii="Arial"/>
                <w:spacing w:val="-5"/>
                <w:sz w:val="18"/>
              </w:rPr>
              <w:t> </w:t>
            </w:r>
            <w:r>
              <w:rPr>
                <w:rFonts w:ascii="Arial"/>
                <w:sz w:val="18"/>
              </w:rPr>
              <w:t>ED</w:t>
            </w:r>
            <w:r>
              <w:rPr>
                <w:rFonts w:ascii="Arial"/>
                <w:spacing w:val="-5"/>
                <w:sz w:val="18"/>
              </w:rPr>
              <w:t> </w:t>
            </w:r>
            <w:r>
              <w:rPr>
                <w:rFonts w:ascii="Arial"/>
                <w:sz w:val="18"/>
              </w:rPr>
              <w:t>visits</w:t>
            </w:r>
            <w:r>
              <w:rPr>
                <w:rFonts w:ascii="Arial"/>
                <w:spacing w:val="-4"/>
                <w:sz w:val="18"/>
              </w:rPr>
              <w:t> </w:t>
            </w:r>
            <w:r>
              <w:rPr>
                <w:rFonts w:ascii="Arial"/>
                <w:sz w:val="18"/>
              </w:rPr>
              <w:t>for</w:t>
            </w:r>
            <w:r>
              <w:rPr>
                <w:rFonts w:ascii="Arial"/>
                <w:spacing w:val="-7"/>
                <w:sz w:val="18"/>
              </w:rPr>
              <w:t> </w:t>
            </w:r>
            <w:r>
              <w:rPr>
                <w:rFonts w:ascii="Arial"/>
                <w:sz w:val="18"/>
              </w:rPr>
              <w:t>enrollees</w:t>
            </w:r>
            <w:r>
              <w:rPr>
                <w:rFonts w:ascii="Arial"/>
                <w:spacing w:val="-6"/>
                <w:sz w:val="18"/>
              </w:rPr>
              <w:t> </w:t>
            </w:r>
            <w:r>
              <w:rPr>
                <w:rFonts w:ascii="Arial"/>
                <w:sz w:val="18"/>
              </w:rPr>
              <w:t>3</w:t>
            </w:r>
            <w:r>
              <w:rPr>
                <w:rFonts w:ascii="Arial"/>
                <w:spacing w:val="-4"/>
                <w:sz w:val="18"/>
              </w:rPr>
              <w:t> </w:t>
            </w:r>
            <w:r>
              <w:rPr>
                <w:rFonts w:ascii="Arial"/>
                <w:sz w:val="18"/>
              </w:rPr>
              <w:t>to 64 years of age</w:t>
            </w:r>
          </w:p>
        </w:tc>
        <w:tc>
          <w:tcPr>
            <w:tcW w:w="900" w:type="dxa"/>
          </w:tcPr>
          <w:p>
            <w:pPr>
              <w:pStyle w:val="TableParagraph"/>
              <w:spacing w:before="6"/>
              <w:rPr>
                <w:i/>
                <w:sz w:val="20"/>
              </w:rPr>
            </w:pPr>
          </w:p>
          <w:p>
            <w:pPr>
              <w:pStyle w:val="TableParagraph"/>
              <w:ind w:left="155" w:right="144"/>
              <w:jc w:val="center"/>
              <w:rPr>
                <w:rFonts w:ascii="Arial"/>
                <w:sz w:val="18"/>
              </w:rPr>
            </w:pPr>
            <w:r>
              <w:rPr>
                <w:rFonts w:ascii="Arial"/>
                <w:spacing w:val="-4"/>
                <w:sz w:val="18"/>
              </w:rPr>
              <w:t>Admin</w:t>
            </w:r>
          </w:p>
        </w:tc>
        <w:tc>
          <w:tcPr>
            <w:tcW w:w="1260" w:type="dxa"/>
          </w:tcPr>
          <w:p>
            <w:pPr>
              <w:pStyle w:val="TableParagraph"/>
              <w:spacing w:before="6"/>
              <w:rPr>
                <w:i/>
                <w:sz w:val="20"/>
              </w:rPr>
            </w:pPr>
          </w:p>
          <w:p>
            <w:pPr>
              <w:pStyle w:val="TableParagraph"/>
              <w:ind w:left="133" w:right="124"/>
              <w:jc w:val="center"/>
              <w:rPr>
                <w:rFonts w:ascii="Arial"/>
                <w:sz w:val="18"/>
              </w:rPr>
            </w:pPr>
            <w:r>
              <w:rPr>
                <w:rFonts w:ascii="Arial"/>
                <w:sz w:val="18"/>
              </w:rPr>
              <w:t>Q2 </w:t>
            </w:r>
            <w:r>
              <w:rPr>
                <w:rFonts w:ascii="Arial"/>
                <w:spacing w:val="-4"/>
                <w:sz w:val="18"/>
              </w:rPr>
              <w:t>2021</w:t>
            </w:r>
          </w:p>
        </w:tc>
        <w:tc>
          <w:tcPr>
            <w:tcW w:w="991" w:type="dxa"/>
          </w:tcPr>
          <w:p>
            <w:pPr>
              <w:pStyle w:val="TableParagraph"/>
              <w:spacing w:before="133"/>
              <w:ind w:left="172" w:right="158" w:firstLine="187"/>
              <w:rPr>
                <w:rFonts w:ascii="Arial"/>
                <w:sz w:val="18"/>
              </w:rPr>
            </w:pPr>
            <w:r>
              <w:rPr>
                <w:rFonts w:ascii="Arial"/>
                <w:spacing w:val="-6"/>
                <w:sz w:val="18"/>
              </w:rPr>
              <w:t>MA </w:t>
            </w:r>
            <w:r>
              <w:rPr>
                <w:rFonts w:ascii="Arial"/>
                <w:spacing w:val="-2"/>
                <w:sz w:val="18"/>
              </w:rPr>
              <w:t>EOHHS</w:t>
            </w:r>
          </w:p>
        </w:tc>
        <w:tc>
          <w:tcPr>
            <w:tcW w:w="900" w:type="dxa"/>
          </w:tcPr>
          <w:p>
            <w:pPr>
              <w:pStyle w:val="TableParagraph"/>
              <w:spacing w:before="6"/>
              <w:rPr>
                <w:i/>
                <w:sz w:val="20"/>
              </w:rPr>
            </w:pPr>
          </w:p>
          <w:p>
            <w:pPr>
              <w:pStyle w:val="TableParagraph"/>
              <w:ind w:left="150" w:right="145"/>
              <w:jc w:val="center"/>
              <w:rPr>
                <w:rFonts w:ascii="Arial"/>
                <w:sz w:val="18"/>
              </w:rPr>
            </w:pPr>
            <w:r>
              <w:rPr>
                <w:rFonts w:ascii="Arial"/>
                <w:spacing w:val="-5"/>
                <w:sz w:val="18"/>
              </w:rPr>
              <w:t>N/A</w:t>
            </w:r>
          </w:p>
        </w:tc>
        <w:tc>
          <w:tcPr>
            <w:tcW w:w="989" w:type="dxa"/>
          </w:tcPr>
          <w:p>
            <w:pPr>
              <w:pStyle w:val="TableParagraph"/>
              <w:spacing w:before="6"/>
              <w:rPr>
                <w:i/>
                <w:sz w:val="20"/>
              </w:rPr>
            </w:pPr>
          </w:p>
          <w:p>
            <w:pPr>
              <w:pStyle w:val="TableParagraph"/>
              <w:ind w:left="5"/>
              <w:jc w:val="center"/>
              <w:rPr>
                <w:rFonts w:ascii="Arial"/>
                <w:sz w:val="18"/>
              </w:rPr>
            </w:pPr>
            <w:r>
              <w:rPr>
                <w:rFonts w:ascii="Arial"/>
                <w:sz w:val="18"/>
              </w:rPr>
              <w:t>R</w:t>
            </w:r>
          </w:p>
        </w:tc>
        <w:tc>
          <w:tcPr>
            <w:tcW w:w="991" w:type="dxa"/>
          </w:tcPr>
          <w:p>
            <w:pPr>
              <w:pStyle w:val="TableParagraph"/>
              <w:spacing w:before="6"/>
              <w:rPr>
                <w:i/>
                <w:sz w:val="20"/>
              </w:rPr>
            </w:pPr>
          </w:p>
          <w:p>
            <w:pPr>
              <w:pStyle w:val="TableParagraph"/>
              <w:ind w:left="8"/>
              <w:jc w:val="center"/>
              <w:rPr>
                <w:rFonts w:ascii="Arial"/>
                <w:sz w:val="18"/>
              </w:rPr>
            </w:pPr>
            <w:r>
              <w:rPr>
                <w:rFonts w:ascii="Arial"/>
                <w:sz w:val="18"/>
              </w:rPr>
              <w:t>R</w:t>
            </w:r>
          </w:p>
        </w:tc>
        <w:tc>
          <w:tcPr>
            <w:tcW w:w="1080" w:type="dxa"/>
          </w:tcPr>
          <w:p>
            <w:pPr>
              <w:pStyle w:val="TableParagraph"/>
              <w:spacing w:before="6"/>
              <w:rPr>
                <w:i/>
                <w:sz w:val="20"/>
              </w:rPr>
            </w:pPr>
          </w:p>
          <w:p>
            <w:pPr>
              <w:pStyle w:val="TableParagraph"/>
              <w:ind w:left="154" w:right="148"/>
              <w:jc w:val="center"/>
              <w:rPr>
                <w:rFonts w:ascii="Arial"/>
                <w:sz w:val="18"/>
              </w:rPr>
            </w:pPr>
            <w:r>
              <w:rPr>
                <w:rFonts w:ascii="Arial"/>
                <w:sz w:val="18"/>
              </w:rPr>
              <w:t>P </w:t>
            </w:r>
            <w:r>
              <w:rPr>
                <w:rFonts w:ascii="Arial"/>
                <w:spacing w:val="-2"/>
                <w:sz w:val="18"/>
              </w:rPr>
              <w:t>(19/20)</w:t>
            </w:r>
          </w:p>
        </w:tc>
        <w:tc>
          <w:tcPr>
            <w:tcW w:w="900" w:type="dxa"/>
          </w:tcPr>
          <w:p>
            <w:pPr>
              <w:pStyle w:val="TableParagraph"/>
              <w:spacing w:before="6"/>
              <w:rPr>
                <w:i/>
                <w:sz w:val="20"/>
              </w:rPr>
            </w:pPr>
          </w:p>
          <w:p>
            <w:pPr>
              <w:pStyle w:val="TableParagraph"/>
              <w:ind w:left="3"/>
              <w:jc w:val="center"/>
              <w:rPr>
                <w:rFonts w:ascii="Arial"/>
                <w:sz w:val="18"/>
              </w:rPr>
            </w:pPr>
            <w:r>
              <w:rPr>
                <w:rFonts w:ascii="Arial"/>
                <w:sz w:val="18"/>
              </w:rPr>
              <w:t>P</w:t>
            </w:r>
          </w:p>
        </w:tc>
        <w:tc>
          <w:tcPr>
            <w:tcW w:w="989" w:type="dxa"/>
          </w:tcPr>
          <w:p>
            <w:pPr>
              <w:pStyle w:val="TableParagraph"/>
              <w:spacing w:before="6"/>
              <w:rPr>
                <w:i/>
                <w:sz w:val="20"/>
              </w:rPr>
            </w:pPr>
          </w:p>
          <w:p>
            <w:pPr>
              <w:pStyle w:val="TableParagraph"/>
              <w:ind w:left="5"/>
              <w:jc w:val="center"/>
              <w:rPr>
                <w:rFonts w:ascii="Arial"/>
                <w:sz w:val="18"/>
              </w:rPr>
            </w:pPr>
            <w:r>
              <w:rPr>
                <w:rFonts w:ascii="Arial"/>
                <w:sz w:val="18"/>
              </w:rPr>
              <w:t>P</w:t>
            </w:r>
          </w:p>
        </w:tc>
      </w:tr>
      <w:tr>
        <w:trPr>
          <w:trHeight w:val="1067" w:hRule="atLeast"/>
        </w:trPr>
        <w:tc>
          <w:tcPr>
            <w:tcW w:w="420" w:type="dxa"/>
          </w:tcPr>
          <w:p>
            <w:pPr>
              <w:pStyle w:val="TableParagraph"/>
              <w:rPr>
                <w:i/>
                <w:sz w:val="20"/>
              </w:rPr>
            </w:pPr>
          </w:p>
          <w:p>
            <w:pPr>
              <w:pStyle w:val="TableParagraph"/>
              <w:spacing w:before="3"/>
              <w:rPr>
                <w:i/>
                <w:sz w:val="17"/>
              </w:rPr>
            </w:pPr>
          </w:p>
          <w:p>
            <w:pPr>
              <w:pStyle w:val="TableParagraph"/>
              <w:ind w:left="6"/>
              <w:jc w:val="center"/>
              <w:rPr>
                <w:rFonts w:ascii="Arial"/>
                <w:sz w:val="18"/>
              </w:rPr>
            </w:pPr>
            <w:r>
              <w:rPr>
                <w:rFonts w:ascii="Arial"/>
                <w:sz w:val="18"/>
              </w:rPr>
              <w:t>8</w:t>
            </w:r>
          </w:p>
        </w:tc>
        <w:tc>
          <w:tcPr>
            <w:tcW w:w="2251" w:type="dxa"/>
          </w:tcPr>
          <w:p>
            <w:pPr>
              <w:pStyle w:val="TableParagraph"/>
              <w:spacing w:before="3"/>
              <w:rPr>
                <w:i/>
                <w:sz w:val="28"/>
              </w:rPr>
            </w:pPr>
          </w:p>
          <w:p>
            <w:pPr>
              <w:pStyle w:val="TableParagraph"/>
              <w:ind w:left="856" w:right="198" w:hanging="651"/>
              <w:rPr>
                <w:rFonts w:ascii="Arial"/>
                <w:sz w:val="18"/>
              </w:rPr>
            </w:pPr>
            <w:r>
              <w:rPr>
                <w:rFonts w:ascii="Arial"/>
                <w:sz w:val="18"/>
              </w:rPr>
              <w:t>Hospital</w:t>
            </w:r>
            <w:r>
              <w:rPr>
                <w:rFonts w:ascii="Arial"/>
                <w:spacing w:val="-13"/>
                <w:sz w:val="18"/>
              </w:rPr>
              <w:t> </w:t>
            </w:r>
            <w:r>
              <w:rPr>
                <w:rFonts w:ascii="Arial"/>
                <w:sz w:val="18"/>
              </w:rPr>
              <w:t>Readmissions </w:t>
            </w:r>
            <w:r>
              <w:rPr>
                <w:rFonts w:ascii="Arial"/>
                <w:spacing w:val="-2"/>
                <w:sz w:val="18"/>
              </w:rPr>
              <w:t>(Adult)</w:t>
            </w:r>
          </w:p>
        </w:tc>
        <w:tc>
          <w:tcPr>
            <w:tcW w:w="3240" w:type="dxa"/>
          </w:tcPr>
          <w:p>
            <w:pPr>
              <w:pStyle w:val="TableParagraph"/>
              <w:spacing w:before="119"/>
              <w:ind w:left="112" w:right="101" w:hanging="2"/>
              <w:jc w:val="center"/>
              <w:rPr>
                <w:rFonts w:ascii="Arial"/>
                <w:sz w:val="18"/>
              </w:rPr>
            </w:pPr>
            <w:r>
              <w:rPr>
                <w:rFonts w:ascii="Arial"/>
                <w:sz w:val="18"/>
              </w:rPr>
              <w:t>The rate of acute unplanned hospital readmissions within 30 days of discharge</w:t>
            </w:r>
            <w:r>
              <w:rPr>
                <w:rFonts w:ascii="Arial"/>
                <w:spacing w:val="-6"/>
                <w:sz w:val="18"/>
              </w:rPr>
              <w:t> </w:t>
            </w:r>
            <w:r>
              <w:rPr>
                <w:rFonts w:ascii="Arial"/>
                <w:sz w:val="18"/>
              </w:rPr>
              <w:t>for</w:t>
            </w:r>
            <w:r>
              <w:rPr>
                <w:rFonts w:ascii="Arial"/>
                <w:spacing w:val="-8"/>
                <w:sz w:val="18"/>
              </w:rPr>
              <w:t> </w:t>
            </w:r>
            <w:r>
              <w:rPr>
                <w:rFonts w:ascii="Arial"/>
                <w:sz w:val="18"/>
              </w:rPr>
              <w:t>enrollees</w:t>
            </w:r>
            <w:r>
              <w:rPr>
                <w:rFonts w:ascii="Arial"/>
                <w:spacing w:val="-7"/>
                <w:sz w:val="18"/>
              </w:rPr>
              <w:t> </w:t>
            </w:r>
            <w:r>
              <w:rPr>
                <w:rFonts w:ascii="Arial"/>
                <w:sz w:val="18"/>
              </w:rPr>
              <w:t>18</w:t>
            </w:r>
            <w:r>
              <w:rPr>
                <w:rFonts w:ascii="Arial"/>
                <w:spacing w:val="-6"/>
                <w:sz w:val="18"/>
              </w:rPr>
              <w:t> </w:t>
            </w:r>
            <w:r>
              <w:rPr>
                <w:rFonts w:ascii="Arial"/>
                <w:sz w:val="18"/>
              </w:rPr>
              <w:t>to</w:t>
            </w:r>
            <w:r>
              <w:rPr>
                <w:rFonts w:ascii="Arial"/>
                <w:spacing w:val="-6"/>
                <w:sz w:val="18"/>
              </w:rPr>
              <w:t> </w:t>
            </w:r>
            <w:r>
              <w:rPr>
                <w:rFonts w:ascii="Arial"/>
                <w:sz w:val="18"/>
              </w:rPr>
              <w:t>64</w:t>
            </w:r>
            <w:r>
              <w:rPr>
                <w:rFonts w:ascii="Arial"/>
                <w:spacing w:val="-6"/>
                <w:sz w:val="18"/>
              </w:rPr>
              <w:t> </w:t>
            </w:r>
            <w:r>
              <w:rPr>
                <w:rFonts w:ascii="Arial"/>
                <w:sz w:val="18"/>
              </w:rPr>
              <w:t>years of age</w:t>
            </w:r>
          </w:p>
        </w:tc>
        <w:tc>
          <w:tcPr>
            <w:tcW w:w="900" w:type="dxa"/>
          </w:tcPr>
          <w:p>
            <w:pPr>
              <w:pStyle w:val="TableParagraph"/>
              <w:rPr>
                <w:i/>
                <w:sz w:val="20"/>
              </w:rPr>
            </w:pPr>
          </w:p>
          <w:p>
            <w:pPr>
              <w:pStyle w:val="TableParagraph"/>
              <w:spacing w:before="3"/>
              <w:rPr>
                <w:i/>
                <w:sz w:val="17"/>
              </w:rPr>
            </w:pPr>
          </w:p>
          <w:p>
            <w:pPr>
              <w:pStyle w:val="TableParagraph"/>
              <w:ind w:left="155" w:right="144"/>
              <w:jc w:val="center"/>
              <w:rPr>
                <w:rFonts w:ascii="Arial"/>
                <w:sz w:val="18"/>
              </w:rPr>
            </w:pPr>
            <w:r>
              <w:rPr>
                <w:rFonts w:ascii="Arial"/>
                <w:spacing w:val="-4"/>
                <w:sz w:val="18"/>
              </w:rPr>
              <w:t>Admin</w:t>
            </w:r>
          </w:p>
        </w:tc>
        <w:tc>
          <w:tcPr>
            <w:tcW w:w="1260" w:type="dxa"/>
          </w:tcPr>
          <w:p>
            <w:pPr>
              <w:pStyle w:val="TableParagraph"/>
              <w:rPr>
                <w:i/>
                <w:sz w:val="20"/>
              </w:rPr>
            </w:pPr>
          </w:p>
          <w:p>
            <w:pPr>
              <w:pStyle w:val="TableParagraph"/>
              <w:spacing w:before="3"/>
              <w:rPr>
                <w:i/>
                <w:sz w:val="17"/>
              </w:rPr>
            </w:pPr>
          </w:p>
          <w:p>
            <w:pPr>
              <w:pStyle w:val="TableParagraph"/>
              <w:ind w:left="133" w:right="124"/>
              <w:jc w:val="center"/>
              <w:rPr>
                <w:rFonts w:ascii="Arial"/>
                <w:sz w:val="18"/>
              </w:rPr>
            </w:pPr>
            <w:r>
              <w:rPr>
                <w:rFonts w:ascii="Arial"/>
                <w:sz w:val="18"/>
              </w:rPr>
              <w:t>Q4 </w:t>
            </w:r>
            <w:r>
              <w:rPr>
                <w:rFonts w:ascii="Arial"/>
                <w:spacing w:val="-4"/>
                <w:sz w:val="18"/>
              </w:rPr>
              <w:t>2021</w:t>
            </w:r>
          </w:p>
        </w:tc>
        <w:tc>
          <w:tcPr>
            <w:tcW w:w="991" w:type="dxa"/>
          </w:tcPr>
          <w:p>
            <w:pPr>
              <w:pStyle w:val="TableParagraph"/>
              <w:rPr>
                <w:i/>
                <w:sz w:val="20"/>
              </w:rPr>
            </w:pPr>
          </w:p>
          <w:p>
            <w:pPr>
              <w:pStyle w:val="TableParagraph"/>
              <w:spacing w:before="3"/>
              <w:rPr>
                <w:i/>
                <w:sz w:val="17"/>
              </w:rPr>
            </w:pPr>
          </w:p>
          <w:p>
            <w:pPr>
              <w:pStyle w:val="TableParagraph"/>
              <w:ind w:left="219" w:right="216"/>
              <w:jc w:val="center"/>
              <w:rPr>
                <w:rFonts w:ascii="Arial"/>
                <w:sz w:val="18"/>
              </w:rPr>
            </w:pPr>
            <w:r>
              <w:rPr>
                <w:rFonts w:ascii="Arial"/>
                <w:spacing w:val="-4"/>
                <w:sz w:val="18"/>
              </w:rPr>
              <w:t>NCQA</w:t>
            </w:r>
          </w:p>
        </w:tc>
        <w:tc>
          <w:tcPr>
            <w:tcW w:w="900" w:type="dxa"/>
          </w:tcPr>
          <w:p>
            <w:pPr>
              <w:pStyle w:val="TableParagraph"/>
              <w:rPr>
                <w:i/>
                <w:sz w:val="20"/>
              </w:rPr>
            </w:pPr>
          </w:p>
          <w:p>
            <w:pPr>
              <w:pStyle w:val="TableParagraph"/>
              <w:spacing w:before="3"/>
              <w:rPr>
                <w:i/>
                <w:sz w:val="17"/>
              </w:rPr>
            </w:pPr>
          </w:p>
          <w:p>
            <w:pPr>
              <w:pStyle w:val="TableParagraph"/>
              <w:ind w:left="152" w:right="145"/>
              <w:jc w:val="center"/>
              <w:rPr>
                <w:rFonts w:ascii="Arial"/>
                <w:sz w:val="18"/>
              </w:rPr>
            </w:pPr>
            <w:r>
              <w:rPr>
                <w:rFonts w:ascii="Arial"/>
                <w:spacing w:val="-4"/>
                <w:sz w:val="18"/>
              </w:rPr>
              <w:t>1768</w:t>
            </w:r>
          </w:p>
        </w:tc>
        <w:tc>
          <w:tcPr>
            <w:tcW w:w="989" w:type="dxa"/>
          </w:tcPr>
          <w:p>
            <w:pPr>
              <w:pStyle w:val="TableParagraph"/>
              <w:rPr>
                <w:i/>
                <w:sz w:val="20"/>
              </w:rPr>
            </w:pPr>
          </w:p>
          <w:p>
            <w:pPr>
              <w:pStyle w:val="TableParagraph"/>
              <w:spacing w:before="3"/>
              <w:rPr>
                <w:i/>
                <w:sz w:val="17"/>
              </w:rPr>
            </w:pPr>
          </w:p>
          <w:p>
            <w:pPr>
              <w:pStyle w:val="TableParagraph"/>
              <w:ind w:left="5"/>
              <w:jc w:val="center"/>
              <w:rPr>
                <w:rFonts w:ascii="Arial"/>
                <w:sz w:val="18"/>
              </w:rPr>
            </w:pPr>
            <w:r>
              <w:rPr>
                <w:rFonts w:ascii="Arial"/>
                <w:sz w:val="18"/>
              </w:rPr>
              <w:t>R</w:t>
            </w:r>
          </w:p>
        </w:tc>
        <w:tc>
          <w:tcPr>
            <w:tcW w:w="991" w:type="dxa"/>
          </w:tcPr>
          <w:p>
            <w:pPr>
              <w:pStyle w:val="TableParagraph"/>
              <w:rPr>
                <w:i/>
                <w:sz w:val="20"/>
              </w:rPr>
            </w:pPr>
          </w:p>
          <w:p>
            <w:pPr>
              <w:pStyle w:val="TableParagraph"/>
              <w:spacing w:before="3"/>
              <w:rPr>
                <w:i/>
                <w:sz w:val="17"/>
              </w:rPr>
            </w:pPr>
          </w:p>
          <w:p>
            <w:pPr>
              <w:pStyle w:val="TableParagraph"/>
              <w:ind w:left="7"/>
              <w:jc w:val="center"/>
              <w:rPr>
                <w:rFonts w:ascii="Arial"/>
                <w:sz w:val="18"/>
              </w:rPr>
            </w:pPr>
            <w:r>
              <w:rPr>
                <w:rFonts w:ascii="Arial"/>
                <w:sz w:val="18"/>
              </w:rPr>
              <w:t>R</w:t>
            </w:r>
          </w:p>
        </w:tc>
        <w:tc>
          <w:tcPr>
            <w:tcW w:w="1080" w:type="dxa"/>
          </w:tcPr>
          <w:p>
            <w:pPr>
              <w:pStyle w:val="TableParagraph"/>
              <w:rPr>
                <w:i/>
                <w:sz w:val="20"/>
              </w:rPr>
            </w:pPr>
          </w:p>
          <w:p>
            <w:pPr>
              <w:pStyle w:val="TableParagraph"/>
              <w:spacing w:before="3"/>
              <w:rPr>
                <w:i/>
                <w:sz w:val="17"/>
              </w:rPr>
            </w:pPr>
          </w:p>
          <w:p>
            <w:pPr>
              <w:pStyle w:val="TableParagraph"/>
              <w:ind w:left="154" w:right="148"/>
              <w:jc w:val="center"/>
              <w:rPr>
                <w:rFonts w:ascii="Arial"/>
                <w:sz w:val="18"/>
              </w:rPr>
            </w:pPr>
            <w:r>
              <w:rPr>
                <w:rFonts w:ascii="Arial"/>
                <w:sz w:val="18"/>
              </w:rPr>
              <w:t>P </w:t>
            </w:r>
            <w:r>
              <w:rPr>
                <w:rFonts w:ascii="Arial"/>
                <w:spacing w:val="-2"/>
                <w:sz w:val="18"/>
              </w:rPr>
              <w:t>(19/20)</w:t>
            </w:r>
          </w:p>
        </w:tc>
        <w:tc>
          <w:tcPr>
            <w:tcW w:w="900" w:type="dxa"/>
          </w:tcPr>
          <w:p>
            <w:pPr>
              <w:pStyle w:val="TableParagraph"/>
              <w:rPr>
                <w:i/>
                <w:sz w:val="20"/>
              </w:rPr>
            </w:pPr>
          </w:p>
          <w:p>
            <w:pPr>
              <w:pStyle w:val="TableParagraph"/>
              <w:spacing w:before="3"/>
              <w:rPr>
                <w:i/>
                <w:sz w:val="17"/>
              </w:rPr>
            </w:pPr>
          </w:p>
          <w:p>
            <w:pPr>
              <w:pStyle w:val="TableParagraph"/>
              <w:ind w:left="3"/>
              <w:jc w:val="center"/>
              <w:rPr>
                <w:rFonts w:ascii="Arial"/>
                <w:sz w:val="18"/>
              </w:rPr>
            </w:pPr>
            <w:r>
              <w:rPr>
                <w:rFonts w:ascii="Arial"/>
                <w:sz w:val="18"/>
              </w:rPr>
              <w:t>P</w:t>
            </w:r>
          </w:p>
        </w:tc>
        <w:tc>
          <w:tcPr>
            <w:tcW w:w="989" w:type="dxa"/>
          </w:tcPr>
          <w:p>
            <w:pPr>
              <w:pStyle w:val="TableParagraph"/>
              <w:rPr>
                <w:i/>
                <w:sz w:val="20"/>
              </w:rPr>
            </w:pPr>
          </w:p>
          <w:p>
            <w:pPr>
              <w:pStyle w:val="TableParagraph"/>
              <w:spacing w:before="3"/>
              <w:rPr>
                <w:i/>
                <w:sz w:val="17"/>
              </w:rPr>
            </w:pPr>
          </w:p>
          <w:p>
            <w:pPr>
              <w:pStyle w:val="TableParagraph"/>
              <w:ind w:left="5"/>
              <w:jc w:val="center"/>
              <w:rPr>
                <w:rFonts w:ascii="Arial"/>
                <w:sz w:val="18"/>
              </w:rPr>
            </w:pPr>
            <w:r>
              <w:rPr>
                <w:rFonts w:ascii="Arial"/>
                <w:sz w:val="18"/>
              </w:rPr>
              <w:t>P</w:t>
            </w:r>
          </w:p>
        </w:tc>
      </w:tr>
      <w:tr>
        <w:trPr>
          <w:trHeight w:val="621" w:hRule="atLeast"/>
        </w:trPr>
        <w:tc>
          <w:tcPr>
            <w:tcW w:w="14911" w:type="dxa"/>
            <w:gridSpan w:val="12"/>
          </w:tcPr>
          <w:p>
            <w:pPr>
              <w:pStyle w:val="TableParagraph"/>
              <w:spacing w:before="9"/>
              <w:rPr>
                <w:i/>
                <w:sz w:val="17"/>
              </w:rPr>
            </w:pPr>
          </w:p>
          <w:p>
            <w:pPr>
              <w:pStyle w:val="TableParagraph"/>
              <w:spacing w:before="1"/>
              <w:ind w:left="107"/>
              <w:rPr>
                <w:rFonts w:ascii="Arial"/>
                <w:b/>
                <w:sz w:val="18"/>
              </w:rPr>
            </w:pPr>
            <w:r>
              <w:rPr>
                <w:rFonts w:ascii="Arial"/>
                <w:b/>
                <w:sz w:val="18"/>
              </w:rPr>
              <w:t>Domain</w:t>
            </w:r>
            <w:r>
              <w:rPr>
                <w:rFonts w:ascii="Arial"/>
                <w:b/>
                <w:spacing w:val="-1"/>
                <w:sz w:val="18"/>
              </w:rPr>
              <w:t> </w:t>
            </w:r>
            <w:r>
              <w:rPr>
                <w:rFonts w:ascii="Arial"/>
                <w:b/>
                <w:sz w:val="18"/>
              </w:rPr>
              <w:t>4:</w:t>
            </w:r>
            <w:r>
              <w:rPr>
                <w:rFonts w:ascii="Arial"/>
                <w:b/>
                <w:spacing w:val="-3"/>
                <w:sz w:val="18"/>
              </w:rPr>
              <w:t> </w:t>
            </w:r>
            <w:r>
              <w:rPr>
                <w:rFonts w:ascii="Arial"/>
                <w:b/>
                <w:sz w:val="18"/>
              </w:rPr>
              <w:t>Member</w:t>
            </w:r>
            <w:r>
              <w:rPr>
                <w:rFonts w:ascii="Arial"/>
                <w:b/>
                <w:spacing w:val="-1"/>
                <w:sz w:val="18"/>
              </w:rPr>
              <w:t> </w:t>
            </w:r>
            <w:r>
              <w:rPr>
                <w:rFonts w:ascii="Arial"/>
                <w:b/>
                <w:spacing w:val="-2"/>
                <w:sz w:val="18"/>
              </w:rPr>
              <w:t>Experience</w:t>
            </w:r>
          </w:p>
        </w:tc>
      </w:tr>
      <w:tr>
        <w:trPr>
          <w:trHeight w:val="861" w:hRule="atLeast"/>
        </w:trPr>
        <w:tc>
          <w:tcPr>
            <w:tcW w:w="420" w:type="dxa"/>
          </w:tcPr>
          <w:p>
            <w:pPr>
              <w:pStyle w:val="TableParagraph"/>
              <w:rPr>
                <w:sz w:val="18"/>
              </w:rPr>
            </w:pPr>
          </w:p>
        </w:tc>
        <w:tc>
          <w:tcPr>
            <w:tcW w:w="2251" w:type="dxa"/>
          </w:tcPr>
          <w:p>
            <w:pPr>
              <w:pStyle w:val="TableParagraph"/>
              <w:spacing w:before="3"/>
              <w:rPr>
                <w:i/>
                <w:sz w:val="28"/>
              </w:rPr>
            </w:pPr>
          </w:p>
          <w:p>
            <w:pPr>
              <w:pStyle w:val="TableParagraph"/>
              <w:ind w:left="213" w:right="208"/>
              <w:jc w:val="center"/>
              <w:rPr>
                <w:rFonts w:ascii="Arial"/>
                <w:sz w:val="18"/>
              </w:rPr>
            </w:pPr>
            <w:r>
              <w:rPr>
                <w:rFonts w:ascii="Arial"/>
                <w:sz w:val="18"/>
              </w:rPr>
              <w:t>Member</w:t>
            </w:r>
            <w:r>
              <w:rPr>
                <w:rFonts w:ascii="Arial"/>
                <w:spacing w:val="-3"/>
                <w:sz w:val="18"/>
              </w:rPr>
              <w:t> </w:t>
            </w:r>
            <w:r>
              <w:rPr>
                <w:rFonts w:ascii="Arial"/>
                <w:spacing w:val="-2"/>
                <w:sz w:val="18"/>
              </w:rPr>
              <w:t>Experience**</w:t>
            </w:r>
          </w:p>
        </w:tc>
        <w:tc>
          <w:tcPr>
            <w:tcW w:w="3240" w:type="dxa"/>
          </w:tcPr>
          <w:p>
            <w:pPr>
              <w:pStyle w:val="TableParagraph"/>
              <w:spacing w:before="119"/>
              <w:ind w:left="121" w:right="112"/>
              <w:jc w:val="center"/>
              <w:rPr>
                <w:rFonts w:ascii="Arial"/>
                <w:sz w:val="18"/>
              </w:rPr>
            </w:pPr>
            <w:r>
              <w:rPr>
                <w:rFonts w:ascii="Arial"/>
                <w:sz w:val="18"/>
              </w:rPr>
              <w:t>Composites Related to Member Engagement</w:t>
            </w:r>
            <w:r>
              <w:rPr>
                <w:rFonts w:ascii="Arial"/>
                <w:spacing w:val="-12"/>
                <w:sz w:val="18"/>
              </w:rPr>
              <w:t> </w:t>
            </w:r>
            <w:r>
              <w:rPr>
                <w:rFonts w:ascii="Arial"/>
                <w:sz w:val="18"/>
              </w:rPr>
              <w:t>Care</w:t>
            </w:r>
            <w:r>
              <w:rPr>
                <w:rFonts w:ascii="Arial"/>
                <w:spacing w:val="-12"/>
                <w:sz w:val="18"/>
              </w:rPr>
              <w:t> </w:t>
            </w:r>
            <w:r>
              <w:rPr>
                <w:rFonts w:ascii="Arial"/>
                <w:sz w:val="18"/>
              </w:rPr>
              <w:t>Planning,</w:t>
            </w:r>
            <w:r>
              <w:rPr>
                <w:rFonts w:ascii="Arial"/>
                <w:spacing w:val="-12"/>
                <w:sz w:val="18"/>
              </w:rPr>
              <w:t> </w:t>
            </w:r>
            <w:r>
              <w:rPr>
                <w:rFonts w:ascii="Arial"/>
                <w:sz w:val="18"/>
              </w:rPr>
              <w:t>and Community Tenure</w:t>
            </w:r>
          </w:p>
        </w:tc>
        <w:tc>
          <w:tcPr>
            <w:tcW w:w="900" w:type="dxa"/>
          </w:tcPr>
          <w:p>
            <w:pPr>
              <w:pStyle w:val="TableParagraph"/>
              <w:spacing w:before="3"/>
              <w:rPr>
                <w:i/>
                <w:sz w:val="28"/>
              </w:rPr>
            </w:pPr>
          </w:p>
          <w:p>
            <w:pPr>
              <w:pStyle w:val="TableParagraph"/>
              <w:ind w:left="155" w:right="145"/>
              <w:jc w:val="center"/>
              <w:rPr>
                <w:rFonts w:ascii="Arial"/>
                <w:sz w:val="18"/>
              </w:rPr>
            </w:pPr>
            <w:r>
              <w:rPr>
                <w:rFonts w:ascii="Arial"/>
                <w:spacing w:val="-2"/>
                <w:sz w:val="18"/>
              </w:rPr>
              <w:t>Survey</w:t>
            </w:r>
          </w:p>
        </w:tc>
        <w:tc>
          <w:tcPr>
            <w:tcW w:w="1260" w:type="dxa"/>
          </w:tcPr>
          <w:p>
            <w:pPr>
              <w:pStyle w:val="TableParagraph"/>
              <w:spacing w:before="3"/>
              <w:rPr>
                <w:i/>
                <w:sz w:val="28"/>
              </w:rPr>
            </w:pPr>
          </w:p>
          <w:p>
            <w:pPr>
              <w:pStyle w:val="TableParagraph"/>
              <w:ind w:left="133" w:right="124"/>
              <w:jc w:val="center"/>
              <w:rPr>
                <w:rFonts w:ascii="Arial"/>
                <w:sz w:val="18"/>
              </w:rPr>
            </w:pPr>
            <w:r>
              <w:rPr>
                <w:rFonts w:ascii="Arial"/>
                <w:sz w:val="18"/>
              </w:rPr>
              <w:t>Q4 </w:t>
            </w:r>
            <w:r>
              <w:rPr>
                <w:rFonts w:ascii="Arial"/>
                <w:spacing w:val="-4"/>
                <w:sz w:val="18"/>
              </w:rPr>
              <w:t>2021</w:t>
            </w:r>
          </w:p>
        </w:tc>
        <w:tc>
          <w:tcPr>
            <w:tcW w:w="991" w:type="dxa"/>
          </w:tcPr>
          <w:p>
            <w:pPr>
              <w:pStyle w:val="TableParagraph"/>
              <w:spacing w:before="3"/>
              <w:rPr>
                <w:i/>
                <w:sz w:val="28"/>
              </w:rPr>
            </w:pPr>
          </w:p>
          <w:p>
            <w:pPr>
              <w:pStyle w:val="TableParagraph"/>
              <w:ind w:left="219" w:right="210"/>
              <w:jc w:val="center"/>
              <w:rPr>
                <w:rFonts w:ascii="Arial"/>
                <w:sz w:val="18"/>
              </w:rPr>
            </w:pPr>
            <w:r>
              <w:rPr>
                <w:rFonts w:ascii="Arial"/>
                <w:spacing w:val="-5"/>
                <w:sz w:val="18"/>
              </w:rPr>
              <w:t>n/a</w:t>
            </w:r>
          </w:p>
        </w:tc>
        <w:tc>
          <w:tcPr>
            <w:tcW w:w="900" w:type="dxa"/>
          </w:tcPr>
          <w:p>
            <w:pPr>
              <w:pStyle w:val="TableParagraph"/>
              <w:spacing w:before="3"/>
              <w:rPr>
                <w:i/>
                <w:sz w:val="28"/>
              </w:rPr>
            </w:pPr>
          </w:p>
          <w:p>
            <w:pPr>
              <w:pStyle w:val="TableParagraph"/>
              <w:ind w:left="150" w:right="145"/>
              <w:jc w:val="center"/>
              <w:rPr>
                <w:rFonts w:ascii="Arial"/>
                <w:sz w:val="18"/>
              </w:rPr>
            </w:pPr>
            <w:r>
              <w:rPr>
                <w:rFonts w:ascii="Arial"/>
                <w:spacing w:val="-5"/>
                <w:sz w:val="18"/>
              </w:rPr>
              <w:t>n/a</w:t>
            </w:r>
          </w:p>
        </w:tc>
        <w:tc>
          <w:tcPr>
            <w:tcW w:w="989" w:type="dxa"/>
          </w:tcPr>
          <w:p>
            <w:pPr>
              <w:pStyle w:val="TableParagraph"/>
              <w:spacing w:before="3"/>
              <w:rPr>
                <w:i/>
                <w:sz w:val="28"/>
              </w:rPr>
            </w:pPr>
          </w:p>
          <w:p>
            <w:pPr>
              <w:pStyle w:val="TableParagraph"/>
              <w:ind w:left="5"/>
              <w:jc w:val="center"/>
              <w:rPr>
                <w:rFonts w:ascii="Arial"/>
                <w:sz w:val="18"/>
              </w:rPr>
            </w:pPr>
            <w:r>
              <w:rPr>
                <w:rFonts w:ascii="Arial"/>
                <w:sz w:val="18"/>
              </w:rPr>
              <w:t>R</w:t>
            </w:r>
          </w:p>
        </w:tc>
        <w:tc>
          <w:tcPr>
            <w:tcW w:w="991" w:type="dxa"/>
          </w:tcPr>
          <w:p>
            <w:pPr>
              <w:pStyle w:val="TableParagraph"/>
              <w:spacing w:before="3"/>
              <w:rPr>
                <w:i/>
                <w:sz w:val="28"/>
              </w:rPr>
            </w:pPr>
          </w:p>
          <w:p>
            <w:pPr>
              <w:pStyle w:val="TableParagraph"/>
              <w:ind w:left="8"/>
              <w:jc w:val="center"/>
              <w:rPr>
                <w:rFonts w:ascii="Arial"/>
                <w:sz w:val="18"/>
              </w:rPr>
            </w:pPr>
            <w:r>
              <w:rPr>
                <w:rFonts w:ascii="Arial"/>
                <w:sz w:val="18"/>
              </w:rPr>
              <w:t>R</w:t>
            </w:r>
          </w:p>
        </w:tc>
        <w:tc>
          <w:tcPr>
            <w:tcW w:w="1080" w:type="dxa"/>
          </w:tcPr>
          <w:p>
            <w:pPr>
              <w:pStyle w:val="TableParagraph"/>
              <w:spacing w:before="3"/>
              <w:rPr>
                <w:i/>
                <w:sz w:val="28"/>
              </w:rPr>
            </w:pPr>
          </w:p>
          <w:p>
            <w:pPr>
              <w:pStyle w:val="TableParagraph"/>
              <w:ind w:left="6"/>
              <w:jc w:val="center"/>
              <w:rPr>
                <w:rFonts w:ascii="Arial"/>
                <w:sz w:val="18"/>
              </w:rPr>
            </w:pPr>
            <w:r>
              <w:rPr>
                <w:rFonts w:ascii="Arial"/>
                <w:sz w:val="18"/>
              </w:rPr>
              <w:t>R</w:t>
            </w:r>
          </w:p>
        </w:tc>
        <w:tc>
          <w:tcPr>
            <w:tcW w:w="900" w:type="dxa"/>
          </w:tcPr>
          <w:p>
            <w:pPr>
              <w:pStyle w:val="TableParagraph"/>
              <w:spacing w:before="3"/>
              <w:rPr>
                <w:i/>
                <w:sz w:val="28"/>
              </w:rPr>
            </w:pPr>
          </w:p>
          <w:p>
            <w:pPr>
              <w:pStyle w:val="TableParagraph"/>
              <w:ind w:left="3"/>
              <w:jc w:val="center"/>
              <w:rPr>
                <w:rFonts w:ascii="Arial"/>
                <w:sz w:val="18"/>
              </w:rPr>
            </w:pPr>
            <w:r>
              <w:rPr>
                <w:rFonts w:ascii="Arial"/>
                <w:sz w:val="18"/>
              </w:rPr>
              <w:t>P</w:t>
            </w:r>
          </w:p>
        </w:tc>
        <w:tc>
          <w:tcPr>
            <w:tcW w:w="989" w:type="dxa"/>
          </w:tcPr>
          <w:p>
            <w:pPr>
              <w:pStyle w:val="TableParagraph"/>
              <w:spacing w:before="3"/>
              <w:rPr>
                <w:i/>
                <w:sz w:val="28"/>
              </w:rPr>
            </w:pPr>
          </w:p>
          <w:p>
            <w:pPr>
              <w:pStyle w:val="TableParagraph"/>
              <w:ind w:left="5"/>
              <w:jc w:val="center"/>
              <w:rPr>
                <w:rFonts w:ascii="Arial"/>
                <w:sz w:val="18"/>
              </w:rPr>
            </w:pPr>
            <w:r>
              <w:rPr>
                <w:rFonts w:ascii="Arial"/>
                <w:sz w:val="18"/>
              </w:rPr>
              <w:t>P</w:t>
            </w:r>
          </w:p>
        </w:tc>
      </w:tr>
    </w:tbl>
    <w:p>
      <w:pPr>
        <w:spacing w:before="3"/>
        <w:ind w:left="1240" w:right="0" w:firstLine="0"/>
        <w:jc w:val="left"/>
        <w:rPr>
          <w:rFonts w:ascii="Arial"/>
          <w:sz w:val="20"/>
        </w:rPr>
      </w:pPr>
      <w:r>
        <w:rPr>
          <w:rFonts w:ascii="Arial"/>
          <w:sz w:val="20"/>
        </w:rPr>
        <w:t>*Note:</w:t>
      </w:r>
      <w:r>
        <w:rPr>
          <w:rFonts w:ascii="Arial"/>
          <w:spacing w:val="-7"/>
          <w:sz w:val="20"/>
        </w:rPr>
        <w:t> </w:t>
      </w:r>
      <w:r>
        <w:rPr>
          <w:rFonts w:ascii="Arial"/>
          <w:sz w:val="20"/>
        </w:rPr>
        <w:t>The</w:t>
      </w:r>
      <w:r>
        <w:rPr>
          <w:rFonts w:ascii="Arial"/>
          <w:spacing w:val="-7"/>
          <w:sz w:val="20"/>
        </w:rPr>
        <w:t> </w:t>
      </w:r>
      <w:r>
        <w:rPr>
          <w:rFonts w:ascii="Arial"/>
          <w:sz w:val="20"/>
        </w:rPr>
        <w:t>Community</w:t>
      </w:r>
      <w:r>
        <w:rPr>
          <w:rFonts w:ascii="Arial"/>
          <w:spacing w:val="-9"/>
          <w:sz w:val="20"/>
        </w:rPr>
        <w:t> </w:t>
      </w:r>
      <w:r>
        <w:rPr>
          <w:rFonts w:ascii="Arial"/>
          <w:sz w:val="20"/>
        </w:rPr>
        <w:t>Tenure</w:t>
      </w:r>
      <w:r>
        <w:rPr>
          <w:rFonts w:ascii="Arial"/>
          <w:spacing w:val="-7"/>
          <w:sz w:val="20"/>
        </w:rPr>
        <w:t> </w:t>
      </w:r>
      <w:r>
        <w:rPr>
          <w:rFonts w:ascii="Arial"/>
          <w:sz w:val="20"/>
        </w:rPr>
        <w:t>measure</w:t>
      </w:r>
      <w:r>
        <w:rPr>
          <w:rFonts w:ascii="Arial"/>
          <w:spacing w:val="-6"/>
          <w:sz w:val="20"/>
        </w:rPr>
        <w:t> </w:t>
      </w:r>
      <w:r>
        <w:rPr>
          <w:rFonts w:ascii="Arial"/>
          <w:sz w:val="20"/>
        </w:rPr>
        <w:t>and</w:t>
      </w:r>
      <w:r>
        <w:rPr>
          <w:rFonts w:ascii="Arial"/>
          <w:spacing w:val="-7"/>
          <w:sz w:val="20"/>
        </w:rPr>
        <w:t> </w:t>
      </w:r>
      <w:r>
        <w:rPr>
          <w:rFonts w:ascii="Arial"/>
          <w:sz w:val="20"/>
        </w:rPr>
        <w:t>corresponding</w:t>
      </w:r>
      <w:r>
        <w:rPr>
          <w:rFonts w:ascii="Arial"/>
          <w:spacing w:val="-7"/>
          <w:sz w:val="20"/>
        </w:rPr>
        <w:t> </w:t>
      </w:r>
      <w:r>
        <w:rPr>
          <w:rFonts w:ascii="Arial"/>
          <w:sz w:val="20"/>
        </w:rPr>
        <w:t>number</w:t>
      </w:r>
      <w:r>
        <w:rPr>
          <w:rFonts w:ascii="Arial"/>
          <w:spacing w:val="-5"/>
          <w:sz w:val="20"/>
        </w:rPr>
        <w:t> </w:t>
      </w:r>
      <w:r>
        <w:rPr>
          <w:rFonts w:ascii="Arial"/>
          <w:sz w:val="20"/>
        </w:rPr>
        <w:t>(#4)</w:t>
      </w:r>
      <w:r>
        <w:rPr>
          <w:rFonts w:ascii="Arial"/>
          <w:spacing w:val="-6"/>
          <w:sz w:val="20"/>
        </w:rPr>
        <w:t> </w:t>
      </w:r>
      <w:r>
        <w:rPr>
          <w:rFonts w:ascii="Arial"/>
          <w:sz w:val="20"/>
        </w:rPr>
        <w:t>were</w:t>
      </w:r>
      <w:r>
        <w:rPr>
          <w:rFonts w:ascii="Arial"/>
          <w:spacing w:val="-7"/>
          <w:sz w:val="20"/>
        </w:rPr>
        <w:t> </w:t>
      </w:r>
      <w:r>
        <w:rPr>
          <w:rFonts w:ascii="Arial"/>
          <w:sz w:val="20"/>
        </w:rPr>
        <w:t>removed</w:t>
      </w:r>
      <w:r>
        <w:rPr>
          <w:rFonts w:ascii="Arial"/>
          <w:spacing w:val="-6"/>
          <w:sz w:val="20"/>
        </w:rPr>
        <w:t> </w:t>
      </w:r>
      <w:r>
        <w:rPr>
          <w:rFonts w:ascii="Arial"/>
          <w:sz w:val="20"/>
        </w:rPr>
        <w:t>from</w:t>
      </w:r>
      <w:r>
        <w:rPr>
          <w:rFonts w:ascii="Arial"/>
          <w:spacing w:val="-2"/>
          <w:sz w:val="20"/>
        </w:rPr>
        <w:t> </w:t>
      </w:r>
      <w:r>
        <w:rPr>
          <w:rFonts w:ascii="Arial"/>
          <w:sz w:val="20"/>
        </w:rPr>
        <w:t>the</w:t>
      </w:r>
      <w:r>
        <w:rPr>
          <w:rFonts w:ascii="Arial"/>
          <w:spacing w:val="-7"/>
          <w:sz w:val="20"/>
        </w:rPr>
        <w:t> </w:t>
      </w:r>
      <w:r>
        <w:rPr>
          <w:rFonts w:ascii="Arial"/>
          <w:sz w:val="20"/>
        </w:rPr>
        <w:t>measure</w:t>
      </w:r>
      <w:r>
        <w:rPr>
          <w:rFonts w:ascii="Arial"/>
          <w:spacing w:val="-7"/>
          <w:sz w:val="20"/>
        </w:rPr>
        <w:t> </w:t>
      </w:r>
      <w:r>
        <w:rPr>
          <w:rFonts w:ascii="Arial"/>
          <w:spacing w:val="-2"/>
          <w:sz w:val="20"/>
        </w:rPr>
        <w:t>slate.</w:t>
      </w:r>
    </w:p>
    <w:p>
      <w:pPr>
        <w:spacing w:before="17"/>
        <w:ind w:left="1240" w:right="0" w:firstLine="0"/>
        <w:jc w:val="left"/>
        <w:rPr>
          <w:rFonts w:ascii="Arial"/>
          <w:sz w:val="20"/>
        </w:rPr>
      </w:pPr>
      <w:r>
        <w:rPr/>
        <mc:AlternateContent>
          <mc:Choice Requires="wps">
            <w:drawing>
              <wp:anchor distT="0" distB="0" distL="0" distR="0" allowOverlap="1" layoutInCell="1" locked="0" behindDoc="1" simplePos="0" relativeHeight="488035840">
                <wp:simplePos x="0" y="0"/>
                <wp:positionH relativeFrom="page">
                  <wp:posOffset>640080</wp:posOffset>
                </wp:positionH>
                <wp:positionV relativeFrom="paragraph">
                  <wp:posOffset>161827</wp:posOffset>
                </wp:positionV>
                <wp:extent cx="4852670" cy="1079500"/>
                <wp:effectExtent l="0" t="0" r="0" b="0"/>
                <wp:wrapTopAndBottom/>
                <wp:docPr id="957" name="Group 957"/>
                <wp:cNvGraphicFramePr>
                  <a:graphicFrameLocks/>
                </wp:cNvGraphicFramePr>
                <a:graphic>
                  <a:graphicData uri="http://schemas.microsoft.com/office/word/2010/wordprocessingGroup">
                    <wpg:wgp>
                      <wpg:cNvPr id="957" name="Group 957"/>
                      <wpg:cNvGrpSpPr/>
                      <wpg:grpSpPr>
                        <a:xfrm>
                          <a:off x="0" y="0"/>
                          <a:ext cx="4852670" cy="1079500"/>
                          <a:chExt cx="4852670" cy="1079500"/>
                        </a:xfrm>
                      </wpg:grpSpPr>
                      <wps:wsp>
                        <wps:cNvPr id="958" name="Graphic 958"/>
                        <wps:cNvSpPr/>
                        <wps:spPr>
                          <a:xfrm>
                            <a:off x="0" y="0"/>
                            <a:ext cx="4852670" cy="1079500"/>
                          </a:xfrm>
                          <a:custGeom>
                            <a:avLst/>
                            <a:gdLst/>
                            <a:ahLst/>
                            <a:cxnLst/>
                            <a:rect l="l" t="t" r="r" b="b"/>
                            <a:pathLst>
                              <a:path w="4852670" h="1079500">
                                <a:moveTo>
                                  <a:pt x="6083" y="0"/>
                                </a:moveTo>
                                <a:lnTo>
                                  <a:pt x="0" y="0"/>
                                </a:lnTo>
                                <a:lnTo>
                                  <a:pt x="0" y="6096"/>
                                </a:lnTo>
                                <a:lnTo>
                                  <a:pt x="0" y="138671"/>
                                </a:lnTo>
                                <a:lnTo>
                                  <a:pt x="0" y="1072896"/>
                                </a:lnTo>
                                <a:lnTo>
                                  <a:pt x="0" y="1078992"/>
                                </a:lnTo>
                                <a:lnTo>
                                  <a:pt x="6083" y="1078992"/>
                                </a:lnTo>
                                <a:lnTo>
                                  <a:pt x="6083" y="1072896"/>
                                </a:lnTo>
                                <a:lnTo>
                                  <a:pt x="6083" y="138684"/>
                                </a:lnTo>
                                <a:lnTo>
                                  <a:pt x="6083" y="6096"/>
                                </a:lnTo>
                                <a:lnTo>
                                  <a:pt x="6083" y="0"/>
                                </a:lnTo>
                                <a:close/>
                              </a:path>
                              <a:path w="4852670" h="1079500">
                                <a:moveTo>
                                  <a:pt x="4852416" y="0"/>
                                </a:moveTo>
                                <a:lnTo>
                                  <a:pt x="4846320" y="0"/>
                                </a:lnTo>
                                <a:lnTo>
                                  <a:pt x="6096" y="0"/>
                                </a:lnTo>
                                <a:lnTo>
                                  <a:pt x="6096" y="6096"/>
                                </a:lnTo>
                                <a:lnTo>
                                  <a:pt x="4846320" y="6096"/>
                                </a:lnTo>
                                <a:lnTo>
                                  <a:pt x="4846320" y="138671"/>
                                </a:lnTo>
                                <a:lnTo>
                                  <a:pt x="4846320" y="1072896"/>
                                </a:lnTo>
                                <a:lnTo>
                                  <a:pt x="6096" y="1072896"/>
                                </a:lnTo>
                                <a:lnTo>
                                  <a:pt x="6096" y="1078992"/>
                                </a:lnTo>
                                <a:lnTo>
                                  <a:pt x="4846320" y="1078992"/>
                                </a:lnTo>
                                <a:lnTo>
                                  <a:pt x="4852416" y="1078992"/>
                                </a:lnTo>
                                <a:lnTo>
                                  <a:pt x="4852416" y="1072896"/>
                                </a:lnTo>
                                <a:lnTo>
                                  <a:pt x="4852416" y="138684"/>
                                </a:lnTo>
                                <a:lnTo>
                                  <a:pt x="4852416" y="6096"/>
                                </a:lnTo>
                                <a:lnTo>
                                  <a:pt x="4852416" y="0"/>
                                </a:lnTo>
                                <a:close/>
                              </a:path>
                            </a:pathLst>
                          </a:custGeom>
                          <a:solidFill>
                            <a:srgbClr val="8EAADB"/>
                          </a:solidFill>
                        </wps:spPr>
                        <wps:bodyPr wrap="square" lIns="0" tIns="0" rIns="0" bIns="0" rtlCol="0">
                          <a:prstTxWarp prst="textNoShape">
                            <a:avLst/>
                          </a:prstTxWarp>
                          <a:noAutofit/>
                        </wps:bodyPr>
                      </wps:wsp>
                      <wps:wsp>
                        <wps:cNvPr id="959" name="Textbox 959"/>
                        <wps:cNvSpPr txBox="1"/>
                        <wps:spPr>
                          <a:xfrm>
                            <a:off x="71627" y="10827"/>
                            <a:ext cx="1693545" cy="299085"/>
                          </a:xfrm>
                          <a:prstGeom prst="rect">
                            <a:avLst/>
                          </a:prstGeom>
                        </wps:spPr>
                        <wps:txbx>
                          <w:txbxContent>
                            <w:p>
                              <w:pPr>
                                <w:spacing w:line="201" w:lineRule="exact" w:before="0"/>
                                <w:ind w:left="0" w:right="0" w:firstLine="0"/>
                                <w:jc w:val="left"/>
                                <w:rPr>
                                  <w:rFonts w:ascii="Arial"/>
                                  <w:sz w:val="18"/>
                                </w:rPr>
                              </w:pPr>
                              <w:r>
                                <w:rPr>
                                  <w:rFonts w:ascii="Arial"/>
                                  <w:sz w:val="18"/>
                                  <w:u w:val="single"/>
                                </w:rPr>
                                <w:t>Measure</w:t>
                              </w:r>
                              <w:r>
                                <w:rPr>
                                  <w:rFonts w:ascii="Arial"/>
                                  <w:spacing w:val="-3"/>
                                  <w:sz w:val="18"/>
                                  <w:u w:val="single"/>
                                </w:rPr>
                                <w:t> </w:t>
                              </w:r>
                              <w:r>
                                <w:rPr>
                                  <w:rFonts w:ascii="Arial"/>
                                  <w:sz w:val="18"/>
                                  <w:u w:val="single"/>
                                </w:rPr>
                                <w:t>Steward</w:t>
                              </w:r>
                              <w:r>
                                <w:rPr>
                                  <w:rFonts w:ascii="Arial"/>
                                  <w:spacing w:val="-2"/>
                                  <w:sz w:val="18"/>
                                  <w:u w:val="single"/>
                                </w:rPr>
                                <w:t> Definitions</w:t>
                              </w:r>
                            </w:p>
                            <w:p>
                              <w:pPr>
                                <w:numPr>
                                  <w:ilvl w:val="0"/>
                                  <w:numId w:val="114"/>
                                </w:numPr>
                                <w:tabs>
                                  <w:tab w:pos="343" w:val="left" w:leader="none"/>
                                </w:tabs>
                                <w:spacing w:before="0"/>
                                <w:ind w:left="343" w:right="0" w:hanging="343"/>
                                <w:jc w:val="left"/>
                                <w:rPr>
                                  <w:rFonts w:ascii="Arial"/>
                                  <w:sz w:val="18"/>
                                </w:rPr>
                              </w:pPr>
                              <w:r>
                                <w:rPr>
                                  <w:rFonts w:ascii="Arial"/>
                                  <w:sz w:val="18"/>
                                </w:rPr>
                                <w:t>DQA:</w:t>
                              </w:r>
                              <w:r>
                                <w:rPr>
                                  <w:rFonts w:ascii="Arial"/>
                                  <w:spacing w:val="-3"/>
                                  <w:sz w:val="18"/>
                                </w:rPr>
                                <w:t> </w:t>
                              </w:r>
                              <w:r>
                                <w:rPr>
                                  <w:rFonts w:ascii="Arial"/>
                                  <w:sz w:val="18"/>
                                </w:rPr>
                                <w:t>Dental</w:t>
                              </w:r>
                              <w:r>
                                <w:rPr>
                                  <w:rFonts w:ascii="Arial"/>
                                  <w:spacing w:val="-1"/>
                                  <w:sz w:val="18"/>
                                </w:rPr>
                                <w:t> </w:t>
                              </w:r>
                              <w:r>
                                <w:rPr>
                                  <w:rFonts w:ascii="Arial"/>
                                  <w:sz w:val="18"/>
                                </w:rPr>
                                <w:t>Quality</w:t>
                              </w:r>
                              <w:r>
                                <w:rPr>
                                  <w:rFonts w:ascii="Arial"/>
                                  <w:spacing w:val="-3"/>
                                  <w:sz w:val="18"/>
                                </w:rPr>
                                <w:t> </w:t>
                              </w:r>
                              <w:r>
                                <w:rPr>
                                  <w:rFonts w:ascii="Arial"/>
                                  <w:spacing w:val="-2"/>
                                  <w:sz w:val="18"/>
                                </w:rPr>
                                <w:t>Alliance</w:t>
                              </w:r>
                            </w:p>
                          </w:txbxContent>
                        </wps:txbx>
                        <wps:bodyPr wrap="square" lIns="0" tIns="0" rIns="0" bIns="0" rtlCol="0">
                          <a:noAutofit/>
                        </wps:bodyPr>
                      </wps:wsp>
                      <wps:wsp>
                        <wps:cNvPr id="960" name="Textbox 960"/>
                        <wps:cNvSpPr txBox="1"/>
                        <wps:spPr>
                          <a:xfrm>
                            <a:off x="71579" y="448826"/>
                            <a:ext cx="77470" cy="483234"/>
                          </a:xfrm>
                          <a:prstGeom prst="rect">
                            <a:avLst/>
                          </a:prstGeom>
                        </wps:spPr>
                        <wps:txbx>
                          <w:txbxContent>
                            <w:p>
                              <w:pPr>
                                <w:spacing w:before="1"/>
                                <w:ind w:left="0" w:right="0" w:firstLine="0"/>
                                <w:jc w:val="left"/>
                                <w:rPr>
                                  <w:rFonts w:ascii="Symbol" w:hAnsi="Symbol"/>
                                  <w:sz w:val="22"/>
                                </w:rPr>
                              </w:pPr>
                              <w:r>
                                <w:rPr>
                                  <w:rFonts w:ascii="Symbol" w:hAnsi="Symbol"/>
                                  <w:w w:val="100"/>
                                  <w:sz w:val="22"/>
                                </w:rPr>
                                <w:t></w:t>
                              </w:r>
                            </w:p>
                            <w:p>
                              <w:pPr>
                                <w:spacing w:before="219"/>
                                <w:ind w:left="0" w:right="0" w:firstLine="0"/>
                                <w:jc w:val="left"/>
                                <w:rPr>
                                  <w:rFonts w:ascii="Symbol" w:hAnsi="Symbol"/>
                                  <w:sz w:val="22"/>
                                </w:rPr>
                              </w:pPr>
                              <w:r>
                                <w:rPr>
                                  <w:rFonts w:ascii="Symbol" w:hAnsi="Symbol"/>
                                  <w:w w:val="100"/>
                                  <w:sz w:val="22"/>
                                </w:rPr>
                                <w:t></w:t>
                              </w:r>
                            </w:p>
                          </w:txbxContent>
                        </wps:txbx>
                        <wps:bodyPr wrap="square" lIns="0" tIns="0" rIns="0" bIns="0" rtlCol="0">
                          <a:noAutofit/>
                        </wps:bodyPr>
                      </wps:wsp>
                      <wps:wsp>
                        <wps:cNvPr id="961" name="Textbox 961"/>
                        <wps:cNvSpPr txBox="1"/>
                        <wps:spPr>
                          <a:xfrm>
                            <a:off x="289559" y="486315"/>
                            <a:ext cx="3889375" cy="128270"/>
                          </a:xfrm>
                          <a:prstGeom prst="rect">
                            <a:avLst/>
                          </a:prstGeom>
                        </wps:spPr>
                        <wps:txbx>
                          <w:txbxContent>
                            <w:p>
                              <w:pPr>
                                <w:spacing w:line="201" w:lineRule="exact" w:before="0"/>
                                <w:ind w:left="0" w:right="0" w:firstLine="0"/>
                                <w:jc w:val="left"/>
                                <w:rPr>
                                  <w:rFonts w:ascii="Arial"/>
                                  <w:sz w:val="18"/>
                                </w:rPr>
                              </w:pPr>
                              <w:r>
                                <w:rPr>
                                  <w:rFonts w:ascii="Arial"/>
                                  <w:sz w:val="18"/>
                                </w:rPr>
                                <w:t>MA</w:t>
                              </w:r>
                              <w:r>
                                <w:rPr>
                                  <w:rFonts w:ascii="Arial"/>
                                  <w:spacing w:val="-5"/>
                                  <w:sz w:val="18"/>
                                </w:rPr>
                                <w:t> </w:t>
                              </w:r>
                              <w:r>
                                <w:rPr>
                                  <w:rFonts w:ascii="Arial"/>
                                  <w:sz w:val="18"/>
                                </w:rPr>
                                <w:t>EOHHS: Massachusetts</w:t>
                              </w:r>
                              <w:r>
                                <w:rPr>
                                  <w:rFonts w:ascii="Arial"/>
                                  <w:spacing w:val="-1"/>
                                  <w:sz w:val="18"/>
                                </w:rPr>
                                <w:t> </w:t>
                              </w:r>
                              <w:r>
                                <w:rPr>
                                  <w:rFonts w:ascii="Arial"/>
                                  <w:sz w:val="18"/>
                                </w:rPr>
                                <w:t>Executive</w:t>
                              </w:r>
                              <w:r>
                                <w:rPr>
                                  <w:rFonts w:ascii="Arial"/>
                                  <w:spacing w:val="-2"/>
                                  <w:sz w:val="18"/>
                                </w:rPr>
                                <w:t> </w:t>
                              </w:r>
                              <w:r>
                                <w:rPr>
                                  <w:rFonts w:ascii="Arial"/>
                                  <w:sz w:val="18"/>
                                </w:rPr>
                                <w:t>Office</w:t>
                              </w:r>
                              <w:r>
                                <w:rPr>
                                  <w:rFonts w:ascii="Arial"/>
                                  <w:spacing w:val="-4"/>
                                  <w:sz w:val="18"/>
                                </w:rPr>
                                <w:t> </w:t>
                              </w:r>
                              <w:r>
                                <w:rPr>
                                  <w:rFonts w:ascii="Arial"/>
                                  <w:sz w:val="18"/>
                                </w:rPr>
                                <w:t>of</w:t>
                              </w:r>
                              <w:r>
                                <w:rPr>
                                  <w:rFonts w:ascii="Arial"/>
                                  <w:spacing w:val="-2"/>
                                  <w:sz w:val="18"/>
                                </w:rPr>
                                <w:t> </w:t>
                              </w:r>
                              <w:r>
                                <w:rPr>
                                  <w:rFonts w:ascii="Arial"/>
                                  <w:sz w:val="18"/>
                                </w:rPr>
                                <w:t>Health</w:t>
                              </w:r>
                              <w:r>
                                <w:rPr>
                                  <w:rFonts w:ascii="Arial"/>
                                  <w:spacing w:val="-5"/>
                                  <w:sz w:val="18"/>
                                </w:rPr>
                                <w:t> </w:t>
                              </w:r>
                              <w:r>
                                <w:rPr>
                                  <w:rFonts w:ascii="Arial"/>
                                  <w:sz w:val="18"/>
                                </w:rPr>
                                <w:t>and</w:t>
                              </w:r>
                              <w:r>
                                <w:rPr>
                                  <w:rFonts w:ascii="Arial"/>
                                  <w:spacing w:val="-4"/>
                                  <w:sz w:val="18"/>
                                </w:rPr>
                                <w:t> </w:t>
                              </w:r>
                              <w:r>
                                <w:rPr>
                                  <w:rFonts w:ascii="Arial"/>
                                  <w:sz w:val="18"/>
                                </w:rPr>
                                <w:t>Human</w:t>
                              </w:r>
                              <w:r>
                                <w:rPr>
                                  <w:rFonts w:ascii="Arial"/>
                                  <w:spacing w:val="-1"/>
                                  <w:sz w:val="18"/>
                                </w:rPr>
                                <w:t> </w:t>
                              </w:r>
                              <w:r>
                                <w:rPr>
                                  <w:rFonts w:ascii="Arial"/>
                                  <w:spacing w:val="-2"/>
                                  <w:sz w:val="18"/>
                                </w:rPr>
                                <w:t>Services</w:t>
                              </w:r>
                            </w:p>
                          </w:txbxContent>
                        </wps:txbx>
                        <wps:bodyPr wrap="square" lIns="0" tIns="0" rIns="0" bIns="0" rtlCol="0">
                          <a:noAutofit/>
                        </wps:bodyPr>
                      </wps:wsp>
                      <wps:wsp>
                        <wps:cNvPr id="962" name="Textbox 962"/>
                        <wps:cNvSpPr txBox="1"/>
                        <wps:spPr>
                          <a:xfrm>
                            <a:off x="289559" y="797211"/>
                            <a:ext cx="2534920" cy="128270"/>
                          </a:xfrm>
                          <a:prstGeom prst="rect">
                            <a:avLst/>
                          </a:prstGeom>
                        </wps:spPr>
                        <wps:txbx>
                          <w:txbxContent>
                            <w:p>
                              <w:pPr>
                                <w:spacing w:line="201" w:lineRule="exact" w:before="0"/>
                                <w:ind w:left="0" w:right="0" w:firstLine="0"/>
                                <w:jc w:val="left"/>
                                <w:rPr>
                                  <w:rFonts w:ascii="Arial"/>
                                  <w:sz w:val="18"/>
                                </w:rPr>
                              </w:pPr>
                              <w:r>
                                <w:rPr>
                                  <w:rFonts w:ascii="Arial"/>
                                  <w:sz w:val="18"/>
                                </w:rPr>
                                <w:t>NCQA:</w:t>
                              </w:r>
                              <w:r>
                                <w:rPr>
                                  <w:rFonts w:ascii="Arial"/>
                                  <w:spacing w:val="-4"/>
                                  <w:sz w:val="18"/>
                                </w:rPr>
                                <w:t> </w:t>
                              </w:r>
                              <w:r>
                                <w:rPr>
                                  <w:rFonts w:ascii="Arial"/>
                                  <w:sz w:val="18"/>
                                </w:rPr>
                                <w:t>National</w:t>
                              </w:r>
                              <w:r>
                                <w:rPr>
                                  <w:rFonts w:ascii="Arial"/>
                                  <w:spacing w:val="-4"/>
                                  <w:sz w:val="18"/>
                                </w:rPr>
                                <w:t> </w:t>
                              </w:r>
                              <w:r>
                                <w:rPr>
                                  <w:rFonts w:ascii="Arial"/>
                                  <w:sz w:val="18"/>
                                </w:rPr>
                                <w:t>Committee</w:t>
                              </w:r>
                              <w:r>
                                <w:rPr>
                                  <w:rFonts w:ascii="Arial"/>
                                  <w:spacing w:val="-3"/>
                                  <w:sz w:val="18"/>
                                </w:rPr>
                                <w:t> </w:t>
                              </w:r>
                              <w:r>
                                <w:rPr>
                                  <w:rFonts w:ascii="Arial"/>
                                  <w:sz w:val="18"/>
                                </w:rPr>
                                <w:t>for</w:t>
                              </w:r>
                              <w:r>
                                <w:rPr>
                                  <w:rFonts w:ascii="Arial"/>
                                  <w:spacing w:val="-3"/>
                                  <w:sz w:val="18"/>
                                </w:rPr>
                                <w:t> </w:t>
                              </w:r>
                              <w:r>
                                <w:rPr>
                                  <w:rFonts w:ascii="Arial"/>
                                  <w:sz w:val="18"/>
                                </w:rPr>
                                <w:t>Quality</w:t>
                              </w:r>
                              <w:r>
                                <w:rPr>
                                  <w:rFonts w:ascii="Arial"/>
                                  <w:spacing w:val="-3"/>
                                  <w:sz w:val="18"/>
                                </w:rPr>
                                <w:t> </w:t>
                              </w:r>
                              <w:r>
                                <w:rPr>
                                  <w:rFonts w:ascii="Arial"/>
                                  <w:spacing w:val="-2"/>
                                  <w:sz w:val="18"/>
                                </w:rPr>
                                <w:t>Assurance</w:t>
                              </w:r>
                            </w:p>
                          </w:txbxContent>
                        </wps:txbx>
                        <wps:bodyPr wrap="square" lIns="0" tIns="0" rIns="0" bIns="0" rtlCol="0">
                          <a:noAutofit/>
                        </wps:bodyPr>
                      </wps:wsp>
                    </wpg:wgp>
                  </a:graphicData>
                </a:graphic>
              </wp:anchor>
            </w:drawing>
          </mc:Choice>
          <mc:Fallback>
            <w:pict>
              <v:group style="position:absolute;margin-left:50.400002pt;margin-top:12.74234pt;width:382.1pt;height:85pt;mso-position-horizontal-relative:page;mso-position-vertical-relative:paragraph;z-index:-15280640;mso-wrap-distance-left:0;mso-wrap-distance-right:0" id="docshapegroup172" coordorigin="1008,255" coordsize="7642,1700">
                <v:shape style="position:absolute;left:1008;top:254;width:7642;height:1700" id="docshape173" coordorigin="1008,255" coordsize="7642,1700" path="m1018,255l1008,255,1008,264,1008,473,1008,473,1008,1944,1008,1954,1018,1954,1018,1944,1018,473,1018,473,1018,264,1018,255xm8650,255l8640,255,1018,255,1018,264,8640,264,8640,473,8640,473,8640,1944,1018,1944,1018,1954,8640,1954,8650,1954,8650,1944,8650,473,8650,473,8650,264,8650,255xe" filled="true" fillcolor="#8eaadb" stroked="false">
                  <v:path arrowok="t"/>
                  <v:fill type="solid"/>
                </v:shape>
                <v:shape style="position:absolute;left:1120;top:271;width:2667;height:471" type="#_x0000_t202" id="docshape174" filled="false" stroked="false">
                  <v:textbox inset="0,0,0,0">
                    <w:txbxContent>
                      <w:p>
                        <w:pPr>
                          <w:spacing w:line="201" w:lineRule="exact" w:before="0"/>
                          <w:ind w:left="0" w:right="0" w:firstLine="0"/>
                          <w:jc w:val="left"/>
                          <w:rPr>
                            <w:rFonts w:ascii="Arial"/>
                            <w:sz w:val="18"/>
                          </w:rPr>
                        </w:pPr>
                        <w:r>
                          <w:rPr>
                            <w:rFonts w:ascii="Arial"/>
                            <w:sz w:val="18"/>
                            <w:u w:val="single"/>
                          </w:rPr>
                          <w:t>Measure</w:t>
                        </w:r>
                        <w:r>
                          <w:rPr>
                            <w:rFonts w:ascii="Arial"/>
                            <w:spacing w:val="-3"/>
                            <w:sz w:val="18"/>
                            <w:u w:val="single"/>
                          </w:rPr>
                          <w:t> </w:t>
                        </w:r>
                        <w:r>
                          <w:rPr>
                            <w:rFonts w:ascii="Arial"/>
                            <w:sz w:val="18"/>
                            <w:u w:val="single"/>
                          </w:rPr>
                          <w:t>Steward</w:t>
                        </w:r>
                        <w:r>
                          <w:rPr>
                            <w:rFonts w:ascii="Arial"/>
                            <w:spacing w:val="-2"/>
                            <w:sz w:val="18"/>
                            <w:u w:val="single"/>
                          </w:rPr>
                          <w:t> Definitions</w:t>
                        </w:r>
                      </w:p>
                      <w:p>
                        <w:pPr>
                          <w:numPr>
                            <w:ilvl w:val="0"/>
                            <w:numId w:val="114"/>
                          </w:numPr>
                          <w:tabs>
                            <w:tab w:pos="343" w:val="left" w:leader="none"/>
                          </w:tabs>
                          <w:spacing w:before="0"/>
                          <w:ind w:left="343" w:right="0" w:hanging="343"/>
                          <w:jc w:val="left"/>
                          <w:rPr>
                            <w:rFonts w:ascii="Arial"/>
                            <w:sz w:val="18"/>
                          </w:rPr>
                        </w:pPr>
                        <w:r>
                          <w:rPr>
                            <w:rFonts w:ascii="Arial"/>
                            <w:sz w:val="18"/>
                          </w:rPr>
                          <w:t>DQA:</w:t>
                        </w:r>
                        <w:r>
                          <w:rPr>
                            <w:rFonts w:ascii="Arial"/>
                            <w:spacing w:val="-3"/>
                            <w:sz w:val="18"/>
                          </w:rPr>
                          <w:t> </w:t>
                        </w:r>
                        <w:r>
                          <w:rPr>
                            <w:rFonts w:ascii="Arial"/>
                            <w:sz w:val="18"/>
                          </w:rPr>
                          <w:t>Dental</w:t>
                        </w:r>
                        <w:r>
                          <w:rPr>
                            <w:rFonts w:ascii="Arial"/>
                            <w:spacing w:val="-1"/>
                            <w:sz w:val="18"/>
                          </w:rPr>
                          <w:t> </w:t>
                        </w:r>
                        <w:r>
                          <w:rPr>
                            <w:rFonts w:ascii="Arial"/>
                            <w:sz w:val="18"/>
                          </w:rPr>
                          <w:t>Quality</w:t>
                        </w:r>
                        <w:r>
                          <w:rPr>
                            <w:rFonts w:ascii="Arial"/>
                            <w:spacing w:val="-3"/>
                            <w:sz w:val="18"/>
                          </w:rPr>
                          <w:t> </w:t>
                        </w:r>
                        <w:r>
                          <w:rPr>
                            <w:rFonts w:ascii="Arial"/>
                            <w:spacing w:val="-2"/>
                            <w:sz w:val="18"/>
                          </w:rPr>
                          <w:t>Alliance</w:t>
                        </w:r>
                      </w:p>
                    </w:txbxContent>
                  </v:textbox>
                  <w10:wrap type="none"/>
                </v:shape>
                <v:shape style="position:absolute;left:1120;top:961;width:122;height:761" type="#_x0000_t202" id="docshape175" filled="false" stroked="false">
                  <v:textbox inset="0,0,0,0">
                    <w:txbxContent>
                      <w:p>
                        <w:pPr>
                          <w:spacing w:before="1"/>
                          <w:ind w:left="0" w:right="0" w:firstLine="0"/>
                          <w:jc w:val="left"/>
                          <w:rPr>
                            <w:rFonts w:ascii="Symbol" w:hAnsi="Symbol"/>
                            <w:sz w:val="22"/>
                          </w:rPr>
                        </w:pPr>
                        <w:r>
                          <w:rPr>
                            <w:rFonts w:ascii="Symbol" w:hAnsi="Symbol"/>
                            <w:w w:val="100"/>
                            <w:sz w:val="22"/>
                          </w:rPr>
                          <w:t></w:t>
                        </w:r>
                      </w:p>
                      <w:p>
                        <w:pPr>
                          <w:spacing w:before="219"/>
                          <w:ind w:left="0" w:right="0" w:firstLine="0"/>
                          <w:jc w:val="left"/>
                          <w:rPr>
                            <w:rFonts w:ascii="Symbol" w:hAnsi="Symbol"/>
                            <w:sz w:val="22"/>
                          </w:rPr>
                        </w:pPr>
                        <w:r>
                          <w:rPr>
                            <w:rFonts w:ascii="Symbol" w:hAnsi="Symbol"/>
                            <w:w w:val="100"/>
                            <w:sz w:val="22"/>
                          </w:rPr>
                          <w:t></w:t>
                        </w:r>
                      </w:p>
                    </w:txbxContent>
                  </v:textbox>
                  <w10:wrap type="none"/>
                </v:shape>
                <v:shape style="position:absolute;left:1464;top:1020;width:6125;height:202" type="#_x0000_t202" id="docshape176" filled="false" stroked="false">
                  <v:textbox inset="0,0,0,0">
                    <w:txbxContent>
                      <w:p>
                        <w:pPr>
                          <w:spacing w:line="201" w:lineRule="exact" w:before="0"/>
                          <w:ind w:left="0" w:right="0" w:firstLine="0"/>
                          <w:jc w:val="left"/>
                          <w:rPr>
                            <w:rFonts w:ascii="Arial"/>
                            <w:sz w:val="18"/>
                          </w:rPr>
                        </w:pPr>
                        <w:r>
                          <w:rPr>
                            <w:rFonts w:ascii="Arial"/>
                            <w:sz w:val="18"/>
                          </w:rPr>
                          <w:t>MA</w:t>
                        </w:r>
                        <w:r>
                          <w:rPr>
                            <w:rFonts w:ascii="Arial"/>
                            <w:spacing w:val="-5"/>
                            <w:sz w:val="18"/>
                          </w:rPr>
                          <w:t> </w:t>
                        </w:r>
                        <w:r>
                          <w:rPr>
                            <w:rFonts w:ascii="Arial"/>
                            <w:sz w:val="18"/>
                          </w:rPr>
                          <w:t>EOHHS: Massachusetts</w:t>
                        </w:r>
                        <w:r>
                          <w:rPr>
                            <w:rFonts w:ascii="Arial"/>
                            <w:spacing w:val="-1"/>
                            <w:sz w:val="18"/>
                          </w:rPr>
                          <w:t> </w:t>
                        </w:r>
                        <w:r>
                          <w:rPr>
                            <w:rFonts w:ascii="Arial"/>
                            <w:sz w:val="18"/>
                          </w:rPr>
                          <w:t>Executive</w:t>
                        </w:r>
                        <w:r>
                          <w:rPr>
                            <w:rFonts w:ascii="Arial"/>
                            <w:spacing w:val="-2"/>
                            <w:sz w:val="18"/>
                          </w:rPr>
                          <w:t> </w:t>
                        </w:r>
                        <w:r>
                          <w:rPr>
                            <w:rFonts w:ascii="Arial"/>
                            <w:sz w:val="18"/>
                          </w:rPr>
                          <w:t>Office</w:t>
                        </w:r>
                        <w:r>
                          <w:rPr>
                            <w:rFonts w:ascii="Arial"/>
                            <w:spacing w:val="-4"/>
                            <w:sz w:val="18"/>
                          </w:rPr>
                          <w:t> </w:t>
                        </w:r>
                        <w:r>
                          <w:rPr>
                            <w:rFonts w:ascii="Arial"/>
                            <w:sz w:val="18"/>
                          </w:rPr>
                          <w:t>of</w:t>
                        </w:r>
                        <w:r>
                          <w:rPr>
                            <w:rFonts w:ascii="Arial"/>
                            <w:spacing w:val="-2"/>
                            <w:sz w:val="18"/>
                          </w:rPr>
                          <w:t> </w:t>
                        </w:r>
                        <w:r>
                          <w:rPr>
                            <w:rFonts w:ascii="Arial"/>
                            <w:sz w:val="18"/>
                          </w:rPr>
                          <w:t>Health</w:t>
                        </w:r>
                        <w:r>
                          <w:rPr>
                            <w:rFonts w:ascii="Arial"/>
                            <w:spacing w:val="-5"/>
                            <w:sz w:val="18"/>
                          </w:rPr>
                          <w:t> </w:t>
                        </w:r>
                        <w:r>
                          <w:rPr>
                            <w:rFonts w:ascii="Arial"/>
                            <w:sz w:val="18"/>
                          </w:rPr>
                          <w:t>and</w:t>
                        </w:r>
                        <w:r>
                          <w:rPr>
                            <w:rFonts w:ascii="Arial"/>
                            <w:spacing w:val="-4"/>
                            <w:sz w:val="18"/>
                          </w:rPr>
                          <w:t> </w:t>
                        </w:r>
                        <w:r>
                          <w:rPr>
                            <w:rFonts w:ascii="Arial"/>
                            <w:sz w:val="18"/>
                          </w:rPr>
                          <w:t>Human</w:t>
                        </w:r>
                        <w:r>
                          <w:rPr>
                            <w:rFonts w:ascii="Arial"/>
                            <w:spacing w:val="-1"/>
                            <w:sz w:val="18"/>
                          </w:rPr>
                          <w:t> </w:t>
                        </w:r>
                        <w:r>
                          <w:rPr>
                            <w:rFonts w:ascii="Arial"/>
                            <w:spacing w:val="-2"/>
                            <w:sz w:val="18"/>
                          </w:rPr>
                          <w:t>Services</w:t>
                        </w:r>
                      </w:p>
                    </w:txbxContent>
                  </v:textbox>
                  <w10:wrap type="none"/>
                </v:shape>
                <v:shape style="position:absolute;left:1464;top:1510;width:3992;height:202" type="#_x0000_t202" id="docshape177" filled="false" stroked="false">
                  <v:textbox inset="0,0,0,0">
                    <w:txbxContent>
                      <w:p>
                        <w:pPr>
                          <w:spacing w:line="201" w:lineRule="exact" w:before="0"/>
                          <w:ind w:left="0" w:right="0" w:firstLine="0"/>
                          <w:jc w:val="left"/>
                          <w:rPr>
                            <w:rFonts w:ascii="Arial"/>
                            <w:sz w:val="18"/>
                          </w:rPr>
                        </w:pPr>
                        <w:r>
                          <w:rPr>
                            <w:rFonts w:ascii="Arial"/>
                            <w:sz w:val="18"/>
                          </w:rPr>
                          <w:t>NCQA:</w:t>
                        </w:r>
                        <w:r>
                          <w:rPr>
                            <w:rFonts w:ascii="Arial"/>
                            <w:spacing w:val="-4"/>
                            <w:sz w:val="18"/>
                          </w:rPr>
                          <w:t> </w:t>
                        </w:r>
                        <w:r>
                          <w:rPr>
                            <w:rFonts w:ascii="Arial"/>
                            <w:sz w:val="18"/>
                          </w:rPr>
                          <w:t>National</w:t>
                        </w:r>
                        <w:r>
                          <w:rPr>
                            <w:rFonts w:ascii="Arial"/>
                            <w:spacing w:val="-4"/>
                            <w:sz w:val="18"/>
                          </w:rPr>
                          <w:t> </w:t>
                        </w:r>
                        <w:r>
                          <w:rPr>
                            <w:rFonts w:ascii="Arial"/>
                            <w:sz w:val="18"/>
                          </w:rPr>
                          <w:t>Committee</w:t>
                        </w:r>
                        <w:r>
                          <w:rPr>
                            <w:rFonts w:ascii="Arial"/>
                            <w:spacing w:val="-3"/>
                            <w:sz w:val="18"/>
                          </w:rPr>
                          <w:t> </w:t>
                        </w:r>
                        <w:r>
                          <w:rPr>
                            <w:rFonts w:ascii="Arial"/>
                            <w:sz w:val="18"/>
                          </w:rPr>
                          <w:t>for</w:t>
                        </w:r>
                        <w:r>
                          <w:rPr>
                            <w:rFonts w:ascii="Arial"/>
                            <w:spacing w:val="-3"/>
                            <w:sz w:val="18"/>
                          </w:rPr>
                          <w:t> </w:t>
                        </w:r>
                        <w:r>
                          <w:rPr>
                            <w:rFonts w:ascii="Arial"/>
                            <w:sz w:val="18"/>
                          </w:rPr>
                          <w:t>Quality</w:t>
                        </w:r>
                        <w:r>
                          <w:rPr>
                            <w:rFonts w:ascii="Arial"/>
                            <w:spacing w:val="-3"/>
                            <w:sz w:val="18"/>
                          </w:rPr>
                          <w:t> </w:t>
                        </w:r>
                        <w:r>
                          <w:rPr>
                            <w:rFonts w:ascii="Arial"/>
                            <w:spacing w:val="-2"/>
                            <w:sz w:val="18"/>
                          </w:rPr>
                          <w:t>Assurance</w:t>
                        </w:r>
                      </w:p>
                    </w:txbxContent>
                  </v:textbox>
                  <w10:wrap type="none"/>
                </v:shape>
                <w10:wrap type="topAndBottom"/>
              </v:group>
            </w:pict>
          </mc:Fallback>
        </mc:AlternateContent>
      </w:r>
      <w:r>
        <w:rPr>
          <w:rFonts w:ascii="Arial"/>
          <w:sz w:val="20"/>
        </w:rPr>
        <w:t>**</w:t>
      </w:r>
      <w:r>
        <w:rPr>
          <w:rFonts w:ascii="Arial"/>
          <w:spacing w:val="-8"/>
          <w:sz w:val="20"/>
        </w:rPr>
        <w:t> </w:t>
      </w:r>
      <w:r>
        <w:rPr>
          <w:rFonts w:ascii="Arial"/>
          <w:sz w:val="20"/>
        </w:rPr>
        <w:t>Composite</w:t>
      </w:r>
      <w:r>
        <w:rPr>
          <w:rFonts w:ascii="Arial"/>
          <w:spacing w:val="-7"/>
          <w:sz w:val="20"/>
        </w:rPr>
        <w:t> </w:t>
      </w:r>
      <w:r>
        <w:rPr>
          <w:rFonts w:ascii="Arial"/>
          <w:spacing w:val="-2"/>
          <w:sz w:val="20"/>
        </w:rPr>
        <w:t>measures</w:t>
      </w:r>
    </w:p>
    <w:p>
      <w:pPr>
        <w:spacing w:after="0"/>
        <w:jc w:val="left"/>
        <w:rPr>
          <w:rFonts w:ascii="Arial"/>
          <w:sz w:val="20"/>
        </w:rPr>
        <w:sectPr>
          <w:pgSz w:w="15840" w:h="12240" w:orient="landscape"/>
          <w:pgMar w:header="0" w:footer="967" w:top="1380" w:bottom="1160" w:left="200" w:right="200"/>
        </w:sectPr>
      </w:pPr>
    </w:p>
    <w:p>
      <w:pPr>
        <w:spacing w:before="79"/>
        <w:ind w:left="879" w:right="1516" w:hanging="632"/>
        <w:jc w:val="left"/>
        <w:rPr>
          <w:i/>
          <w:sz w:val="22"/>
        </w:rPr>
      </w:pPr>
      <w:r>
        <w:rPr>
          <w:rFonts w:ascii="Arial" w:hAnsi="Arial"/>
          <w:b/>
          <w:sz w:val="20"/>
        </w:rPr>
        <w:t>MassHealth</w:t>
      </w:r>
      <w:r>
        <w:rPr>
          <w:rFonts w:ascii="Arial" w:hAnsi="Arial"/>
          <w:b/>
          <w:spacing w:val="-3"/>
          <w:sz w:val="20"/>
        </w:rPr>
        <w:t> </w:t>
      </w:r>
      <w:r>
        <w:rPr>
          <w:rFonts w:ascii="Arial" w:hAnsi="Arial"/>
          <w:b/>
          <w:sz w:val="20"/>
        </w:rPr>
        <w:t>DSRIP</w:t>
      </w:r>
      <w:r>
        <w:rPr>
          <w:rFonts w:ascii="Arial" w:hAnsi="Arial"/>
          <w:b/>
          <w:spacing w:val="-5"/>
          <w:sz w:val="20"/>
        </w:rPr>
        <w:t> </w:t>
      </w:r>
      <w:r>
        <w:rPr>
          <w:rFonts w:ascii="Arial" w:hAnsi="Arial"/>
          <w:b/>
          <w:sz w:val="20"/>
        </w:rPr>
        <w:t>Community</w:t>
      </w:r>
      <w:r>
        <w:rPr>
          <w:rFonts w:ascii="Arial" w:hAnsi="Arial"/>
          <w:b/>
          <w:spacing w:val="-4"/>
          <w:sz w:val="20"/>
        </w:rPr>
        <w:t> </w:t>
      </w:r>
      <w:r>
        <w:rPr>
          <w:rFonts w:ascii="Arial" w:hAnsi="Arial"/>
          <w:b/>
          <w:sz w:val="20"/>
        </w:rPr>
        <w:t>Service Agency</w:t>
      </w:r>
      <w:r>
        <w:rPr>
          <w:rFonts w:ascii="Arial" w:hAnsi="Arial"/>
          <w:b/>
          <w:spacing w:val="-6"/>
          <w:sz w:val="20"/>
        </w:rPr>
        <w:t> </w:t>
      </w:r>
      <w:r>
        <w:rPr>
          <w:rFonts w:ascii="Arial" w:hAnsi="Arial"/>
          <w:b/>
          <w:sz w:val="20"/>
        </w:rPr>
        <w:t>Quality</w:t>
      </w:r>
      <w:r>
        <w:rPr>
          <w:rFonts w:ascii="Arial" w:hAnsi="Arial"/>
          <w:b/>
          <w:spacing w:val="-7"/>
          <w:sz w:val="20"/>
        </w:rPr>
        <w:t> </w:t>
      </w:r>
      <w:r>
        <w:rPr>
          <w:rFonts w:ascii="Arial" w:hAnsi="Arial"/>
          <w:b/>
          <w:sz w:val="20"/>
        </w:rPr>
        <w:t>Measure</w:t>
      </w:r>
      <w:r>
        <w:rPr>
          <w:rFonts w:ascii="Arial" w:hAnsi="Arial"/>
          <w:b/>
          <w:spacing w:val="-2"/>
          <w:sz w:val="20"/>
        </w:rPr>
        <w:t> </w:t>
      </w:r>
      <w:r>
        <w:rPr>
          <w:rFonts w:ascii="Arial" w:hAnsi="Arial"/>
          <w:b/>
          <w:sz w:val="20"/>
        </w:rPr>
        <w:t>Program</w:t>
      </w:r>
      <w:r>
        <w:rPr>
          <w:rFonts w:ascii="Arial" w:hAnsi="Arial"/>
          <w:b/>
          <w:spacing w:val="-3"/>
          <w:sz w:val="20"/>
        </w:rPr>
        <w:t> </w:t>
      </w:r>
      <w:r>
        <w:rPr>
          <w:rFonts w:ascii="Arial" w:hAnsi="Arial"/>
          <w:b/>
          <w:sz w:val="20"/>
        </w:rPr>
        <w:t>(Prospective</w:t>
      </w:r>
      <w:r>
        <w:rPr>
          <w:rFonts w:ascii="Arial" w:hAnsi="Arial"/>
          <w:b/>
          <w:spacing w:val="-4"/>
          <w:sz w:val="20"/>
        </w:rPr>
        <w:t> </w:t>
      </w:r>
      <w:r>
        <w:rPr>
          <w:rFonts w:ascii="Arial" w:hAnsi="Arial"/>
          <w:b/>
          <w:sz w:val="20"/>
        </w:rPr>
        <w:t>Measures,</w:t>
      </w:r>
      <w:r>
        <w:rPr>
          <w:rFonts w:ascii="Arial" w:hAnsi="Arial"/>
          <w:b/>
          <w:spacing w:val="-4"/>
          <w:sz w:val="20"/>
        </w:rPr>
        <w:t> </w:t>
      </w:r>
      <w:r>
        <w:rPr>
          <w:rFonts w:ascii="Arial" w:hAnsi="Arial"/>
          <w:b/>
          <w:sz w:val="20"/>
        </w:rPr>
        <w:t>2018-2022)</w:t>
      </w:r>
      <w:r>
        <w:rPr>
          <w:rFonts w:ascii="Arial" w:hAnsi="Arial"/>
          <w:b/>
          <w:spacing w:val="-3"/>
          <w:sz w:val="20"/>
        </w:rPr>
        <w:t> </w:t>
      </w:r>
      <w:r>
        <w:rPr>
          <w:rFonts w:ascii="Arial" w:hAnsi="Arial"/>
          <w:b/>
          <w:sz w:val="20"/>
        </w:rPr>
        <w:t>–</w:t>
      </w:r>
      <w:r>
        <w:rPr>
          <w:rFonts w:ascii="Arial" w:hAnsi="Arial"/>
          <w:b/>
          <w:spacing w:val="-4"/>
          <w:sz w:val="20"/>
        </w:rPr>
        <w:t> </w:t>
      </w:r>
      <w:r>
        <w:rPr>
          <w:rFonts w:ascii="Arial" w:hAnsi="Arial"/>
          <w:b/>
          <w:sz w:val="20"/>
        </w:rPr>
        <w:t>Include</w:t>
      </w:r>
      <w:r>
        <w:rPr>
          <w:rFonts w:ascii="Arial" w:hAnsi="Arial"/>
          <w:b/>
          <w:spacing w:val="-4"/>
          <w:sz w:val="20"/>
        </w:rPr>
        <w:t> </w:t>
      </w:r>
      <w:r>
        <w:rPr>
          <w:rFonts w:ascii="Arial" w:hAnsi="Arial"/>
          <w:b/>
          <w:sz w:val="20"/>
        </w:rPr>
        <w:t>Benchmark</w:t>
      </w:r>
      <w:r>
        <w:rPr>
          <w:rFonts w:ascii="Arial" w:hAnsi="Arial"/>
          <w:b/>
          <w:spacing w:val="-4"/>
          <w:sz w:val="20"/>
        </w:rPr>
        <w:t> </w:t>
      </w:r>
      <w:r>
        <w:rPr>
          <w:rFonts w:ascii="Arial" w:hAnsi="Arial"/>
          <w:b/>
          <w:sz w:val="20"/>
        </w:rPr>
        <w:t>Timeline </w:t>
      </w:r>
      <w:r>
        <w:rPr>
          <w:i/>
          <w:sz w:val="22"/>
        </w:rPr>
        <w:t>Note: Where applicable, Column 2020 indicates the performance period (i.e., “P (19/20)”) from which data, as decided by the State, may be</w:t>
      </w:r>
      <w:r>
        <w:rPr>
          <w:i/>
          <w:sz w:val="22"/>
        </w:rPr>
        <w:t> substituted for PY2020 performance rates due to the state of emergency declared by the federal or state government.</w:t>
      </w:r>
    </w:p>
    <w:p>
      <w:pPr>
        <w:pStyle w:val="BodyText"/>
        <w:spacing w:after="1"/>
        <w:rPr>
          <w:i/>
          <w:sz w:val="22"/>
        </w:rPr>
      </w:pPr>
    </w:p>
    <w:tbl>
      <w:tblPr>
        <w:tblW w:w="0" w:type="auto"/>
        <w:jc w:val="left"/>
        <w:tblInd w:w="213"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CellMar>
          <w:top w:w="0" w:type="dxa"/>
          <w:left w:w="0" w:type="dxa"/>
          <w:bottom w:w="0" w:type="dxa"/>
          <w:right w:w="0" w:type="dxa"/>
        </w:tblCellMar>
        <w:tblLook w:val="01E0"/>
      </w:tblPr>
      <w:tblGrid>
        <w:gridCol w:w="368"/>
        <w:gridCol w:w="2238"/>
        <w:gridCol w:w="3688"/>
        <w:gridCol w:w="899"/>
        <w:gridCol w:w="1530"/>
        <w:gridCol w:w="988"/>
        <w:gridCol w:w="810"/>
        <w:gridCol w:w="899"/>
        <w:gridCol w:w="808"/>
        <w:gridCol w:w="990"/>
        <w:gridCol w:w="899"/>
        <w:gridCol w:w="899"/>
      </w:tblGrid>
      <w:tr>
        <w:trPr>
          <w:trHeight w:val="441" w:hRule="atLeast"/>
        </w:trPr>
        <w:tc>
          <w:tcPr>
            <w:tcW w:w="368" w:type="dxa"/>
            <w:vMerge w:val="restart"/>
            <w:shd w:val="clear" w:color="auto" w:fill="DEEAF6"/>
          </w:tcPr>
          <w:p>
            <w:pPr>
              <w:pStyle w:val="TableParagraph"/>
              <w:rPr>
                <w:i/>
                <w:sz w:val="20"/>
              </w:rPr>
            </w:pPr>
          </w:p>
          <w:p>
            <w:pPr>
              <w:pStyle w:val="TableParagraph"/>
              <w:spacing w:before="9"/>
              <w:rPr>
                <w:i/>
                <w:sz w:val="20"/>
              </w:rPr>
            </w:pPr>
          </w:p>
          <w:p>
            <w:pPr>
              <w:pStyle w:val="TableParagraph"/>
              <w:spacing w:line="187" w:lineRule="exact"/>
              <w:ind w:right="1"/>
              <w:jc w:val="center"/>
              <w:rPr>
                <w:rFonts w:ascii="Arial"/>
                <w:b/>
                <w:sz w:val="18"/>
              </w:rPr>
            </w:pPr>
            <w:r>
              <w:rPr>
                <w:rFonts w:ascii="Arial"/>
                <w:b/>
                <w:sz w:val="18"/>
              </w:rPr>
              <w:t>#</w:t>
            </w:r>
          </w:p>
        </w:tc>
        <w:tc>
          <w:tcPr>
            <w:tcW w:w="2238" w:type="dxa"/>
            <w:vMerge w:val="restart"/>
            <w:shd w:val="clear" w:color="auto" w:fill="DEEAF6"/>
          </w:tcPr>
          <w:p>
            <w:pPr>
              <w:pStyle w:val="TableParagraph"/>
              <w:rPr>
                <w:i/>
                <w:sz w:val="20"/>
              </w:rPr>
            </w:pPr>
          </w:p>
          <w:p>
            <w:pPr>
              <w:pStyle w:val="TableParagraph"/>
              <w:spacing w:before="9"/>
              <w:rPr>
                <w:i/>
                <w:sz w:val="20"/>
              </w:rPr>
            </w:pPr>
          </w:p>
          <w:p>
            <w:pPr>
              <w:pStyle w:val="TableParagraph"/>
              <w:spacing w:line="187" w:lineRule="exact"/>
              <w:ind w:left="476"/>
              <w:rPr>
                <w:rFonts w:ascii="Arial"/>
                <w:b/>
                <w:sz w:val="18"/>
              </w:rPr>
            </w:pPr>
            <w:r>
              <w:rPr>
                <w:rFonts w:ascii="Arial"/>
                <w:b/>
                <w:sz w:val="18"/>
              </w:rPr>
              <w:t>Measure</w:t>
            </w:r>
            <w:r>
              <w:rPr>
                <w:rFonts w:ascii="Arial"/>
                <w:b/>
                <w:spacing w:val="-3"/>
                <w:sz w:val="18"/>
              </w:rPr>
              <w:t> </w:t>
            </w:r>
            <w:r>
              <w:rPr>
                <w:rFonts w:ascii="Arial"/>
                <w:b/>
                <w:spacing w:val="-4"/>
                <w:sz w:val="18"/>
              </w:rPr>
              <w:t>Name</w:t>
            </w:r>
          </w:p>
        </w:tc>
        <w:tc>
          <w:tcPr>
            <w:tcW w:w="3688" w:type="dxa"/>
            <w:vMerge w:val="restart"/>
            <w:shd w:val="clear" w:color="auto" w:fill="DEEAF6"/>
          </w:tcPr>
          <w:p>
            <w:pPr>
              <w:pStyle w:val="TableParagraph"/>
              <w:rPr>
                <w:i/>
                <w:sz w:val="20"/>
              </w:rPr>
            </w:pPr>
          </w:p>
          <w:p>
            <w:pPr>
              <w:pStyle w:val="TableParagraph"/>
              <w:spacing w:before="9"/>
              <w:rPr>
                <w:i/>
                <w:sz w:val="20"/>
              </w:rPr>
            </w:pPr>
          </w:p>
          <w:p>
            <w:pPr>
              <w:pStyle w:val="TableParagraph"/>
              <w:spacing w:line="187" w:lineRule="exact"/>
              <w:ind w:left="955"/>
              <w:rPr>
                <w:rFonts w:ascii="Arial"/>
                <w:b/>
                <w:sz w:val="18"/>
              </w:rPr>
            </w:pPr>
            <w:r>
              <w:rPr>
                <w:rFonts w:ascii="Arial"/>
                <w:b/>
                <w:sz w:val="18"/>
              </w:rPr>
              <w:t>Measure</w:t>
            </w:r>
            <w:r>
              <w:rPr>
                <w:rFonts w:ascii="Arial"/>
                <w:b/>
                <w:spacing w:val="-1"/>
                <w:sz w:val="18"/>
              </w:rPr>
              <w:t> </w:t>
            </w:r>
            <w:r>
              <w:rPr>
                <w:rFonts w:ascii="Arial"/>
                <w:b/>
                <w:spacing w:val="-2"/>
                <w:sz w:val="18"/>
              </w:rPr>
              <w:t>Description</w:t>
            </w:r>
          </w:p>
        </w:tc>
        <w:tc>
          <w:tcPr>
            <w:tcW w:w="899" w:type="dxa"/>
            <w:vMerge w:val="restart"/>
            <w:shd w:val="clear" w:color="auto" w:fill="DEEAF6"/>
          </w:tcPr>
          <w:p>
            <w:pPr>
              <w:pStyle w:val="TableParagraph"/>
              <w:spacing w:before="2"/>
              <w:rPr>
                <w:i/>
                <w:sz w:val="21"/>
              </w:rPr>
            </w:pPr>
          </w:p>
          <w:p>
            <w:pPr>
              <w:pStyle w:val="TableParagraph"/>
              <w:spacing w:line="206" w:lineRule="exact" w:before="1"/>
              <w:ind w:left="145" w:right="125" w:firstLine="110"/>
              <w:rPr>
                <w:rFonts w:ascii="Arial"/>
                <w:b/>
                <w:sz w:val="18"/>
              </w:rPr>
            </w:pPr>
            <w:r>
              <w:rPr>
                <w:rFonts w:ascii="Arial"/>
                <w:b/>
                <w:spacing w:val="-4"/>
                <w:sz w:val="18"/>
              </w:rPr>
              <w:t>Data </w:t>
            </w:r>
            <w:r>
              <w:rPr>
                <w:rFonts w:ascii="Arial"/>
                <w:b/>
                <w:spacing w:val="-2"/>
                <w:sz w:val="18"/>
              </w:rPr>
              <w:t>Source</w:t>
            </w:r>
          </w:p>
        </w:tc>
        <w:tc>
          <w:tcPr>
            <w:tcW w:w="1530" w:type="dxa"/>
            <w:vMerge w:val="restart"/>
            <w:shd w:val="clear" w:color="auto" w:fill="DEEAF6"/>
          </w:tcPr>
          <w:p>
            <w:pPr>
              <w:pStyle w:val="TableParagraph"/>
              <w:spacing w:before="2"/>
              <w:rPr>
                <w:i/>
                <w:sz w:val="21"/>
              </w:rPr>
            </w:pPr>
          </w:p>
          <w:p>
            <w:pPr>
              <w:pStyle w:val="TableParagraph"/>
              <w:spacing w:line="206" w:lineRule="exact" w:before="1"/>
              <w:ind w:left="270" w:right="254" w:firstLine="4"/>
              <w:rPr>
                <w:rFonts w:ascii="Arial"/>
                <w:b/>
                <w:sz w:val="18"/>
              </w:rPr>
            </w:pPr>
            <w:r>
              <w:rPr>
                <w:rFonts w:ascii="Arial"/>
                <w:b/>
                <w:spacing w:val="-2"/>
                <w:sz w:val="18"/>
              </w:rPr>
              <w:t>Benchmark </w:t>
            </w:r>
            <w:r>
              <w:rPr>
                <w:rFonts w:ascii="Arial"/>
                <w:b/>
                <w:sz w:val="18"/>
              </w:rPr>
              <w:t>due</w:t>
            </w:r>
            <w:r>
              <w:rPr>
                <w:rFonts w:ascii="Arial"/>
                <w:b/>
                <w:spacing w:val="1"/>
                <w:sz w:val="18"/>
              </w:rPr>
              <w:t> </w:t>
            </w:r>
            <w:r>
              <w:rPr>
                <w:rFonts w:ascii="Arial"/>
                <w:b/>
                <w:sz w:val="18"/>
              </w:rPr>
              <w:t>to </w:t>
            </w:r>
            <w:r>
              <w:rPr>
                <w:rFonts w:ascii="Arial"/>
                <w:b/>
                <w:spacing w:val="-5"/>
                <w:sz w:val="18"/>
              </w:rPr>
              <w:t>CMS</w:t>
            </w:r>
          </w:p>
        </w:tc>
        <w:tc>
          <w:tcPr>
            <w:tcW w:w="988" w:type="dxa"/>
            <w:vMerge w:val="restart"/>
            <w:shd w:val="clear" w:color="auto" w:fill="DEEAF6"/>
          </w:tcPr>
          <w:p>
            <w:pPr>
              <w:pStyle w:val="TableParagraph"/>
              <w:spacing w:before="2"/>
              <w:rPr>
                <w:i/>
                <w:sz w:val="21"/>
              </w:rPr>
            </w:pPr>
          </w:p>
          <w:p>
            <w:pPr>
              <w:pStyle w:val="TableParagraph"/>
              <w:spacing w:line="206" w:lineRule="exact" w:before="1"/>
              <w:ind w:left="144" w:right="112" w:hanging="15"/>
              <w:rPr>
                <w:rFonts w:ascii="Arial"/>
                <w:b/>
                <w:sz w:val="18"/>
              </w:rPr>
            </w:pPr>
            <w:r>
              <w:rPr>
                <w:rFonts w:ascii="Arial"/>
                <w:b/>
                <w:spacing w:val="-2"/>
                <w:sz w:val="18"/>
              </w:rPr>
              <w:t>Measure Steward</w:t>
            </w:r>
          </w:p>
        </w:tc>
        <w:tc>
          <w:tcPr>
            <w:tcW w:w="810" w:type="dxa"/>
            <w:vMerge w:val="restart"/>
            <w:tcBorders>
              <w:right w:val="single" w:sz="4" w:space="0" w:color="BCD5ED"/>
            </w:tcBorders>
            <w:shd w:val="clear" w:color="auto" w:fill="DEEAF6"/>
          </w:tcPr>
          <w:p>
            <w:pPr>
              <w:pStyle w:val="TableParagraph"/>
              <w:rPr>
                <w:i/>
                <w:sz w:val="20"/>
              </w:rPr>
            </w:pPr>
          </w:p>
          <w:p>
            <w:pPr>
              <w:pStyle w:val="TableParagraph"/>
              <w:spacing w:before="9"/>
              <w:rPr>
                <w:i/>
                <w:sz w:val="20"/>
              </w:rPr>
            </w:pPr>
          </w:p>
          <w:p>
            <w:pPr>
              <w:pStyle w:val="TableParagraph"/>
              <w:spacing w:line="187" w:lineRule="exact"/>
              <w:ind w:left="217"/>
              <w:rPr>
                <w:rFonts w:ascii="Arial"/>
                <w:b/>
                <w:sz w:val="18"/>
              </w:rPr>
            </w:pPr>
            <w:r>
              <w:rPr>
                <w:rFonts w:ascii="Arial"/>
                <w:b/>
                <w:spacing w:val="-5"/>
                <w:sz w:val="18"/>
              </w:rPr>
              <w:t>NQF</w:t>
            </w:r>
          </w:p>
        </w:tc>
        <w:tc>
          <w:tcPr>
            <w:tcW w:w="4495" w:type="dxa"/>
            <w:gridSpan w:val="5"/>
            <w:tcBorders>
              <w:top w:val="single" w:sz="4" w:space="0" w:color="BCD5ED"/>
              <w:left w:val="single" w:sz="4" w:space="0" w:color="BCD5ED"/>
              <w:bottom w:val="single" w:sz="4" w:space="0" w:color="BCD5ED"/>
              <w:right w:val="single" w:sz="4" w:space="0" w:color="BCD5ED"/>
            </w:tcBorders>
            <w:shd w:val="clear" w:color="auto" w:fill="DEEAF6"/>
          </w:tcPr>
          <w:p>
            <w:pPr>
              <w:pStyle w:val="TableParagraph"/>
              <w:spacing w:line="207" w:lineRule="exact" w:before="25"/>
              <w:ind w:left="211"/>
              <w:rPr>
                <w:rFonts w:ascii="Arial"/>
                <w:b/>
                <w:sz w:val="18"/>
              </w:rPr>
            </w:pPr>
            <w:r>
              <w:rPr>
                <w:rFonts w:ascii="Arial"/>
                <w:b/>
                <w:sz w:val="18"/>
              </w:rPr>
              <w:t>Pay</w:t>
            </w:r>
            <w:r>
              <w:rPr>
                <w:rFonts w:ascii="Arial"/>
                <w:b/>
                <w:spacing w:val="-8"/>
                <w:sz w:val="18"/>
              </w:rPr>
              <w:t> </w:t>
            </w:r>
            <w:r>
              <w:rPr>
                <w:rFonts w:ascii="Arial"/>
                <w:b/>
                <w:sz w:val="18"/>
              </w:rPr>
              <w:t>for</w:t>
            </w:r>
            <w:r>
              <w:rPr>
                <w:rFonts w:ascii="Arial"/>
                <w:b/>
                <w:spacing w:val="-2"/>
                <w:sz w:val="18"/>
              </w:rPr>
              <w:t> </w:t>
            </w:r>
            <w:r>
              <w:rPr>
                <w:rFonts w:ascii="Arial"/>
                <w:b/>
                <w:sz w:val="18"/>
              </w:rPr>
              <w:t>Performance Phase</w:t>
            </w:r>
            <w:r>
              <w:rPr>
                <w:rFonts w:ascii="Arial"/>
                <w:b/>
                <w:spacing w:val="-3"/>
                <w:sz w:val="18"/>
              </w:rPr>
              <w:t> </w:t>
            </w:r>
            <w:r>
              <w:rPr>
                <w:rFonts w:ascii="Arial"/>
                <w:b/>
                <w:spacing w:val="-5"/>
                <w:sz w:val="18"/>
              </w:rPr>
              <w:t>In</w:t>
            </w:r>
          </w:p>
          <w:p>
            <w:pPr>
              <w:pStyle w:val="TableParagraph"/>
              <w:spacing w:line="189" w:lineRule="exact"/>
              <w:ind w:left="876"/>
              <w:rPr>
                <w:rFonts w:ascii="Arial"/>
                <w:b/>
                <w:sz w:val="18"/>
              </w:rPr>
            </w:pPr>
            <w:r>
              <w:rPr>
                <w:rFonts w:ascii="Arial"/>
                <w:b/>
                <w:sz w:val="18"/>
              </w:rPr>
              <w:t>(P=</w:t>
            </w:r>
            <w:r>
              <w:rPr>
                <w:rFonts w:ascii="Arial"/>
                <w:b/>
                <w:spacing w:val="-3"/>
                <w:sz w:val="18"/>
              </w:rPr>
              <w:t> </w:t>
            </w:r>
            <w:r>
              <w:rPr>
                <w:rFonts w:ascii="Arial"/>
                <w:b/>
                <w:sz w:val="18"/>
              </w:rPr>
              <w:t>Performance,</w:t>
            </w:r>
            <w:r>
              <w:rPr>
                <w:rFonts w:ascii="Arial"/>
                <w:b/>
                <w:spacing w:val="-2"/>
                <w:sz w:val="18"/>
              </w:rPr>
              <w:t> </w:t>
            </w:r>
            <w:r>
              <w:rPr>
                <w:rFonts w:ascii="Arial"/>
                <w:b/>
                <w:sz w:val="18"/>
              </w:rPr>
              <w:t>R=</w:t>
            </w:r>
            <w:r>
              <w:rPr>
                <w:rFonts w:ascii="Arial"/>
                <w:b/>
                <w:spacing w:val="-2"/>
                <w:sz w:val="18"/>
              </w:rPr>
              <w:t> Reporting)</w:t>
            </w:r>
          </w:p>
        </w:tc>
      </w:tr>
      <w:tr>
        <w:trPr>
          <w:trHeight w:val="225" w:hRule="atLeast"/>
        </w:trPr>
        <w:tc>
          <w:tcPr>
            <w:tcW w:w="368" w:type="dxa"/>
            <w:vMerge/>
            <w:tcBorders>
              <w:top w:val="nil"/>
            </w:tcBorders>
            <w:shd w:val="clear" w:color="auto" w:fill="DEEAF6"/>
          </w:tcPr>
          <w:p>
            <w:pPr>
              <w:rPr>
                <w:sz w:val="2"/>
                <w:szCs w:val="2"/>
              </w:rPr>
            </w:pPr>
          </w:p>
        </w:tc>
        <w:tc>
          <w:tcPr>
            <w:tcW w:w="2238" w:type="dxa"/>
            <w:vMerge/>
            <w:tcBorders>
              <w:top w:val="nil"/>
            </w:tcBorders>
            <w:shd w:val="clear" w:color="auto" w:fill="DEEAF6"/>
          </w:tcPr>
          <w:p>
            <w:pPr>
              <w:rPr>
                <w:sz w:val="2"/>
                <w:szCs w:val="2"/>
              </w:rPr>
            </w:pPr>
          </w:p>
        </w:tc>
        <w:tc>
          <w:tcPr>
            <w:tcW w:w="3688" w:type="dxa"/>
            <w:vMerge/>
            <w:tcBorders>
              <w:top w:val="nil"/>
            </w:tcBorders>
            <w:shd w:val="clear" w:color="auto" w:fill="DEEAF6"/>
          </w:tcPr>
          <w:p>
            <w:pPr>
              <w:rPr>
                <w:sz w:val="2"/>
                <w:szCs w:val="2"/>
              </w:rPr>
            </w:pPr>
          </w:p>
        </w:tc>
        <w:tc>
          <w:tcPr>
            <w:tcW w:w="899" w:type="dxa"/>
            <w:vMerge/>
            <w:tcBorders>
              <w:top w:val="nil"/>
            </w:tcBorders>
            <w:shd w:val="clear" w:color="auto" w:fill="DEEAF6"/>
          </w:tcPr>
          <w:p>
            <w:pPr>
              <w:rPr>
                <w:sz w:val="2"/>
                <w:szCs w:val="2"/>
              </w:rPr>
            </w:pPr>
          </w:p>
        </w:tc>
        <w:tc>
          <w:tcPr>
            <w:tcW w:w="1530" w:type="dxa"/>
            <w:vMerge/>
            <w:tcBorders>
              <w:top w:val="nil"/>
            </w:tcBorders>
            <w:shd w:val="clear" w:color="auto" w:fill="DEEAF6"/>
          </w:tcPr>
          <w:p>
            <w:pPr>
              <w:rPr>
                <w:sz w:val="2"/>
                <w:szCs w:val="2"/>
              </w:rPr>
            </w:pPr>
          </w:p>
        </w:tc>
        <w:tc>
          <w:tcPr>
            <w:tcW w:w="988" w:type="dxa"/>
            <w:vMerge/>
            <w:tcBorders>
              <w:top w:val="nil"/>
            </w:tcBorders>
            <w:shd w:val="clear" w:color="auto" w:fill="DEEAF6"/>
          </w:tcPr>
          <w:p>
            <w:pPr>
              <w:rPr>
                <w:sz w:val="2"/>
                <w:szCs w:val="2"/>
              </w:rPr>
            </w:pPr>
          </w:p>
        </w:tc>
        <w:tc>
          <w:tcPr>
            <w:tcW w:w="810" w:type="dxa"/>
            <w:vMerge/>
            <w:tcBorders>
              <w:top w:val="nil"/>
              <w:right w:val="single" w:sz="4" w:space="0" w:color="BCD5ED"/>
            </w:tcBorders>
            <w:shd w:val="clear" w:color="auto" w:fill="DEEAF6"/>
          </w:tcPr>
          <w:p>
            <w:pPr>
              <w:rPr>
                <w:sz w:val="2"/>
                <w:szCs w:val="2"/>
              </w:rPr>
            </w:pPr>
          </w:p>
        </w:tc>
        <w:tc>
          <w:tcPr>
            <w:tcW w:w="899" w:type="dxa"/>
            <w:tcBorders>
              <w:top w:val="single" w:sz="4" w:space="0" w:color="BCD5ED"/>
              <w:left w:val="single" w:sz="4" w:space="0" w:color="BCD5ED"/>
              <w:right w:val="single" w:sz="4" w:space="0" w:color="BCD5ED"/>
            </w:tcBorders>
            <w:shd w:val="clear" w:color="auto" w:fill="DEEAF6"/>
          </w:tcPr>
          <w:p>
            <w:pPr>
              <w:pStyle w:val="TableParagraph"/>
              <w:spacing w:line="187" w:lineRule="exact" w:before="18"/>
              <w:ind w:left="157" w:right="138"/>
              <w:jc w:val="center"/>
              <w:rPr>
                <w:rFonts w:ascii="Arial"/>
                <w:b/>
                <w:sz w:val="18"/>
              </w:rPr>
            </w:pPr>
            <w:r>
              <w:rPr>
                <w:rFonts w:ascii="Arial"/>
                <w:b/>
                <w:spacing w:val="-4"/>
                <w:sz w:val="18"/>
              </w:rPr>
              <w:t>2018</w:t>
            </w:r>
          </w:p>
        </w:tc>
        <w:tc>
          <w:tcPr>
            <w:tcW w:w="808" w:type="dxa"/>
            <w:tcBorders>
              <w:top w:val="single" w:sz="4" w:space="0" w:color="BCD5ED"/>
              <w:left w:val="single" w:sz="4" w:space="0" w:color="BCD5ED"/>
              <w:right w:val="single" w:sz="4" w:space="0" w:color="BCD5ED"/>
            </w:tcBorders>
            <w:shd w:val="clear" w:color="auto" w:fill="DEEAF6"/>
          </w:tcPr>
          <w:p>
            <w:pPr>
              <w:pStyle w:val="TableParagraph"/>
              <w:spacing w:line="187" w:lineRule="exact" w:before="18"/>
              <w:ind w:left="196" w:right="176"/>
              <w:jc w:val="center"/>
              <w:rPr>
                <w:rFonts w:ascii="Arial"/>
                <w:b/>
                <w:sz w:val="18"/>
              </w:rPr>
            </w:pPr>
            <w:r>
              <w:rPr>
                <w:rFonts w:ascii="Arial"/>
                <w:b/>
                <w:spacing w:val="-4"/>
                <w:sz w:val="18"/>
              </w:rPr>
              <w:t>2019</w:t>
            </w:r>
          </w:p>
        </w:tc>
        <w:tc>
          <w:tcPr>
            <w:tcW w:w="990" w:type="dxa"/>
            <w:tcBorders>
              <w:top w:val="single" w:sz="4" w:space="0" w:color="BCD5ED"/>
              <w:left w:val="single" w:sz="4" w:space="0" w:color="BCD5ED"/>
              <w:right w:val="single" w:sz="4" w:space="0" w:color="BCD5ED"/>
            </w:tcBorders>
            <w:shd w:val="clear" w:color="auto" w:fill="DEEAF6"/>
          </w:tcPr>
          <w:p>
            <w:pPr>
              <w:pStyle w:val="TableParagraph"/>
              <w:spacing w:line="187" w:lineRule="exact" w:before="18"/>
              <w:ind w:left="116" w:right="94"/>
              <w:jc w:val="center"/>
              <w:rPr>
                <w:rFonts w:ascii="Arial"/>
                <w:b/>
                <w:sz w:val="18"/>
              </w:rPr>
            </w:pPr>
            <w:r>
              <w:rPr>
                <w:rFonts w:ascii="Arial"/>
                <w:b/>
                <w:spacing w:val="-4"/>
                <w:sz w:val="18"/>
              </w:rPr>
              <w:t>2020</w:t>
            </w:r>
          </w:p>
        </w:tc>
        <w:tc>
          <w:tcPr>
            <w:tcW w:w="899" w:type="dxa"/>
            <w:tcBorders>
              <w:top w:val="single" w:sz="4" w:space="0" w:color="BCD5ED"/>
              <w:left w:val="single" w:sz="4" w:space="0" w:color="BCD5ED"/>
              <w:right w:val="single" w:sz="4" w:space="0" w:color="BCD5ED"/>
            </w:tcBorders>
            <w:shd w:val="clear" w:color="auto" w:fill="DEEAF6"/>
          </w:tcPr>
          <w:p>
            <w:pPr>
              <w:pStyle w:val="TableParagraph"/>
              <w:spacing w:line="187" w:lineRule="exact" w:before="18"/>
              <w:ind w:left="157" w:right="132"/>
              <w:jc w:val="center"/>
              <w:rPr>
                <w:rFonts w:ascii="Arial"/>
                <w:b/>
                <w:sz w:val="18"/>
              </w:rPr>
            </w:pPr>
            <w:r>
              <w:rPr>
                <w:rFonts w:ascii="Arial"/>
                <w:b/>
                <w:spacing w:val="-4"/>
                <w:sz w:val="18"/>
              </w:rPr>
              <w:t>2021</w:t>
            </w:r>
          </w:p>
        </w:tc>
        <w:tc>
          <w:tcPr>
            <w:tcW w:w="899" w:type="dxa"/>
            <w:tcBorders>
              <w:top w:val="single" w:sz="4" w:space="0" w:color="BCD5ED"/>
              <w:left w:val="single" w:sz="4" w:space="0" w:color="BCD5ED"/>
              <w:right w:val="single" w:sz="4" w:space="0" w:color="BCD5ED"/>
            </w:tcBorders>
            <w:shd w:val="clear" w:color="auto" w:fill="DEEAF6"/>
          </w:tcPr>
          <w:p>
            <w:pPr>
              <w:pStyle w:val="TableParagraph"/>
              <w:spacing w:line="187" w:lineRule="exact" w:before="18"/>
              <w:ind w:left="150" w:right="143"/>
              <w:jc w:val="center"/>
              <w:rPr>
                <w:rFonts w:ascii="Arial"/>
                <w:b/>
                <w:sz w:val="18"/>
              </w:rPr>
            </w:pPr>
            <w:r>
              <w:rPr>
                <w:rFonts w:ascii="Arial"/>
                <w:b/>
                <w:spacing w:val="-4"/>
                <w:sz w:val="18"/>
              </w:rPr>
              <w:t>2022</w:t>
            </w:r>
          </w:p>
        </w:tc>
      </w:tr>
      <w:tr>
        <w:trPr>
          <w:trHeight w:val="558" w:hRule="atLeast"/>
        </w:trPr>
        <w:tc>
          <w:tcPr>
            <w:tcW w:w="15016" w:type="dxa"/>
            <w:gridSpan w:val="12"/>
          </w:tcPr>
          <w:p>
            <w:pPr>
              <w:pStyle w:val="TableParagraph"/>
              <w:spacing w:before="174"/>
              <w:ind w:left="107"/>
              <w:rPr>
                <w:rFonts w:ascii="Arial"/>
                <w:b/>
                <w:sz w:val="18"/>
              </w:rPr>
            </w:pPr>
            <w:r>
              <w:rPr>
                <w:rFonts w:ascii="Arial"/>
                <w:b/>
                <w:sz w:val="18"/>
              </w:rPr>
              <w:t>Domain</w:t>
            </w:r>
            <w:r>
              <w:rPr>
                <w:rFonts w:ascii="Arial"/>
                <w:b/>
                <w:spacing w:val="-3"/>
                <w:sz w:val="18"/>
              </w:rPr>
              <w:t> </w:t>
            </w:r>
            <w:r>
              <w:rPr>
                <w:rFonts w:ascii="Arial"/>
                <w:b/>
                <w:sz w:val="18"/>
              </w:rPr>
              <w:t>1:</w:t>
            </w:r>
            <w:r>
              <w:rPr>
                <w:rFonts w:ascii="Arial"/>
                <w:b/>
                <w:spacing w:val="-3"/>
                <w:sz w:val="18"/>
              </w:rPr>
              <w:t> </w:t>
            </w:r>
            <w:r>
              <w:rPr>
                <w:rFonts w:ascii="Arial"/>
                <w:b/>
                <w:sz w:val="18"/>
              </w:rPr>
              <w:t>Care </w:t>
            </w:r>
            <w:r>
              <w:rPr>
                <w:rFonts w:ascii="Arial"/>
                <w:b/>
                <w:spacing w:val="-2"/>
                <w:sz w:val="18"/>
              </w:rPr>
              <w:t>Integration</w:t>
            </w:r>
          </w:p>
        </w:tc>
      </w:tr>
      <w:tr>
        <w:trPr>
          <w:trHeight w:val="1273" w:hRule="atLeast"/>
        </w:trPr>
        <w:tc>
          <w:tcPr>
            <w:tcW w:w="368" w:type="dxa"/>
          </w:tcPr>
          <w:p>
            <w:pPr>
              <w:pStyle w:val="TableParagraph"/>
              <w:rPr>
                <w:i/>
                <w:sz w:val="20"/>
              </w:rPr>
            </w:pPr>
          </w:p>
          <w:p>
            <w:pPr>
              <w:pStyle w:val="TableParagraph"/>
              <w:spacing w:before="2"/>
              <w:rPr>
                <w:i/>
                <w:sz w:val="26"/>
              </w:rPr>
            </w:pPr>
          </w:p>
          <w:p>
            <w:pPr>
              <w:pStyle w:val="TableParagraph"/>
              <w:spacing w:before="1"/>
              <w:ind w:left="15"/>
              <w:jc w:val="center"/>
              <w:rPr>
                <w:rFonts w:ascii="Arial"/>
                <w:sz w:val="18"/>
              </w:rPr>
            </w:pPr>
            <w:r>
              <w:rPr>
                <w:rFonts w:ascii="Arial"/>
                <w:sz w:val="18"/>
              </w:rPr>
              <w:t>1</w:t>
            </w:r>
          </w:p>
        </w:tc>
        <w:tc>
          <w:tcPr>
            <w:tcW w:w="2238" w:type="dxa"/>
          </w:tcPr>
          <w:p>
            <w:pPr>
              <w:pStyle w:val="TableParagraph"/>
              <w:spacing w:before="119"/>
              <w:ind w:left="320" w:right="306"/>
              <w:jc w:val="center"/>
              <w:rPr>
                <w:rFonts w:ascii="Arial"/>
                <w:sz w:val="18"/>
              </w:rPr>
            </w:pPr>
            <w:r>
              <w:rPr>
                <w:rFonts w:ascii="Arial"/>
                <w:sz w:val="18"/>
              </w:rPr>
              <w:t>Annual</w:t>
            </w:r>
            <w:r>
              <w:rPr>
                <w:rFonts w:ascii="Arial"/>
                <w:spacing w:val="-5"/>
                <w:sz w:val="18"/>
              </w:rPr>
              <w:t> </w:t>
            </w:r>
            <w:r>
              <w:rPr>
                <w:rFonts w:ascii="Arial"/>
                <w:spacing w:val="-2"/>
                <w:sz w:val="18"/>
              </w:rPr>
              <w:t>Physical</w:t>
            </w:r>
          </w:p>
        </w:tc>
        <w:tc>
          <w:tcPr>
            <w:tcW w:w="3688" w:type="dxa"/>
          </w:tcPr>
          <w:p>
            <w:pPr>
              <w:pStyle w:val="TableParagraph"/>
              <w:spacing w:before="119"/>
              <w:ind w:left="163" w:right="156" w:firstLine="1"/>
              <w:jc w:val="center"/>
              <w:rPr>
                <w:rFonts w:ascii="Arial"/>
                <w:sz w:val="18"/>
              </w:rPr>
            </w:pPr>
            <w:r>
              <w:rPr>
                <w:rFonts w:ascii="Arial"/>
                <w:sz w:val="18"/>
              </w:rPr>
              <w:t>Percentage of members 0 to 20 years of age who received an annual physical examination</w:t>
            </w:r>
            <w:r>
              <w:rPr>
                <w:rFonts w:ascii="Arial"/>
                <w:spacing w:val="-7"/>
                <w:sz w:val="18"/>
              </w:rPr>
              <w:t> </w:t>
            </w:r>
            <w:r>
              <w:rPr>
                <w:rFonts w:ascii="Arial"/>
                <w:sz w:val="18"/>
              </w:rPr>
              <w:t>and</w:t>
            </w:r>
            <w:r>
              <w:rPr>
                <w:rFonts w:ascii="Arial"/>
                <w:spacing w:val="-7"/>
                <w:sz w:val="18"/>
              </w:rPr>
              <w:t> </w:t>
            </w:r>
            <w:r>
              <w:rPr>
                <w:rFonts w:ascii="Arial"/>
                <w:sz w:val="18"/>
              </w:rPr>
              <w:t>had</w:t>
            </w:r>
            <w:r>
              <w:rPr>
                <w:rFonts w:ascii="Arial"/>
                <w:spacing w:val="-7"/>
                <w:sz w:val="18"/>
              </w:rPr>
              <w:t> </w:t>
            </w:r>
            <w:r>
              <w:rPr>
                <w:rFonts w:ascii="Arial"/>
                <w:sz w:val="18"/>
              </w:rPr>
              <w:t>documentation</w:t>
            </w:r>
            <w:r>
              <w:rPr>
                <w:rFonts w:ascii="Arial"/>
                <w:spacing w:val="-7"/>
                <w:sz w:val="18"/>
              </w:rPr>
              <w:t> </w:t>
            </w:r>
            <w:r>
              <w:rPr>
                <w:rFonts w:ascii="Arial"/>
                <w:sz w:val="18"/>
              </w:rPr>
              <w:t>of</w:t>
            </w:r>
            <w:r>
              <w:rPr>
                <w:rFonts w:ascii="Arial"/>
                <w:spacing w:val="-9"/>
                <w:sz w:val="18"/>
              </w:rPr>
              <w:t> </w:t>
            </w:r>
            <w:r>
              <w:rPr>
                <w:rFonts w:ascii="Arial"/>
                <w:sz w:val="18"/>
              </w:rPr>
              <w:t>an annual</w:t>
            </w:r>
            <w:r>
              <w:rPr>
                <w:rFonts w:ascii="Arial"/>
                <w:spacing w:val="-1"/>
                <w:sz w:val="18"/>
              </w:rPr>
              <w:t> </w:t>
            </w:r>
            <w:r>
              <w:rPr>
                <w:rFonts w:ascii="Arial"/>
                <w:sz w:val="18"/>
              </w:rPr>
              <w:t>physical</w:t>
            </w:r>
            <w:r>
              <w:rPr>
                <w:rFonts w:ascii="Arial"/>
                <w:spacing w:val="-1"/>
                <w:sz w:val="18"/>
              </w:rPr>
              <w:t> </w:t>
            </w:r>
            <w:r>
              <w:rPr>
                <w:rFonts w:ascii="Arial"/>
                <w:sz w:val="18"/>
              </w:rPr>
              <w:t>in</w:t>
            </w:r>
            <w:r>
              <w:rPr>
                <w:rFonts w:ascii="Arial"/>
                <w:spacing w:val="-1"/>
                <w:sz w:val="18"/>
              </w:rPr>
              <w:t> </w:t>
            </w:r>
            <w:r>
              <w:rPr>
                <w:rFonts w:ascii="Arial"/>
                <w:sz w:val="18"/>
              </w:rPr>
              <w:t>the</w:t>
            </w:r>
            <w:r>
              <w:rPr>
                <w:rFonts w:ascii="Arial"/>
                <w:spacing w:val="-1"/>
                <w:sz w:val="18"/>
              </w:rPr>
              <w:t> </w:t>
            </w:r>
            <w:r>
              <w:rPr>
                <w:rFonts w:ascii="Arial"/>
                <w:sz w:val="18"/>
              </w:rPr>
              <w:t>health</w:t>
            </w:r>
            <w:r>
              <w:rPr>
                <w:rFonts w:ascii="Arial"/>
                <w:spacing w:val="-4"/>
                <w:sz w:val="18"/>
              </w:rPr>
              <w:t> </w:t>
            </w:r>
            <w:r>
              <w:rPr>
                <w:rFonts w:ascii="Arial"/>
                <w:sz w:val="18"/>
              </w:rPr>
              <w:t>record</w:t>
            </w:r>
            <w:r>
              <w:rPr>
                <w:rFonts w:ascii="Arial"/>
                <w:spacing w:val="-4"/>
                <w:sz w:val="18"/>
              </w:rPr>
              <w:t> </w:t>
            </w:r>
            <w:r>
              <w:rPr>
                <w:rFonts w:ascii="Arial"/>
                <w:sz w:val="18"/>
              </w:rPr>
              <w:t>of</w:t>
            </w:r>
            <w:r>
              <w:rPr>
                <w:rFonts w:ascii="Arial"/>
                <w:spacing w:val="-2"/>
                <w:sz w:val="18"/>
              </w:rPr>
              <w:t> </w:t>
            </w:r>
            <w:r>
              <w:rPr>
                <w:rFonts w:ascii="Arial"/>
                <w:sz w:val="18"/>
              </w:rPr>
              <w:t>the CSA provider</w:t>
            </w:r>
          </w:p>
        </w:tc>
        <w:tc>
          <w:tcPr>
            <w:tcW w:w="899" w:type="dxa"/>
          </w:tcPr>
          <w:p>
            <w:pPr>
              <w:pStyle w:val="TableParagraph"/>
              <w:rPr>
                <w:i/>
                <w:sz w:val="20"/>
              </w:rPr>
            </w:pPr>
          </w:p>
          <w:p>
            <w:pPr>
              <w:pStyle w:val="TableParagraph"/>
              <w:spacing w:before="2"/>
              <w:rPr>
                <w:i/>
                <w:sz w:val="26"/>
              </w:rPr>
            </w:pPr>
          </w:p>
          <w:p>
            <w:pPr>
              <w:pStyle w:val="TableParagraph"/>
              <w:spacing w:before="1"/>
              <w:ind w:left="155" w:right="143"/>
              <w:jc w:val="center"/>
              <w:rPr>
                <w:rFonts w:ascii="Arial"/>
                <w:sz w:val="18"/>
              </w:rPr>
            </w:pPr>
            <w:r>
              <w:rPr>
                <w:rFonts w:ascii="Arial"/>
                <w:spacing w:val="-2"/>
                <w:sz w:val="18"/>
              </w:rPr>
              <w:t>Hybrid</w:t>
            </w:r>
          </w:p>
        </w:tc>
        <w:tc>
          <w:tcPr>
            <w:tcW w:w="1530" w:type="dxa"/>
          </w:tcPr>
          <w:p>
            <w:pPr>
              <w:pStyle w:val="TableParagraph"/>
              <w:rPr>
                <w:i/>
                <w:sz w:val="20"/>
              </w:rPr>
            </w:pPr>
          </w:p>
          <w:p>
            <w:pPr>
              <w:pStyle w:val="TableParagraph"/>
              <w:spacing w:before="2"/>
              <w:rPr>
                <w:i/>
                <w:sz w:val="26"/>
              </w:rPr>
            </w:pPr>
          </w:p>
          <w:p>
            <w:pPr>
              <w:pStyle w:val="TableParagraph"/>
              <w:spacing w:before="1"/>
              <w:ind w:left="370" w:right="355"/>
              <w:jc w:val="center"/>
              <w:rPr>
                <w:rFonts w:ascii="Arial"/>
                <w:sz w:val="18"/>
              </w:rPr>
            </w:pPr>
            <w:r>
              <w:rPr>
                <w:rFonts w:ascii="Arial"/>
                <w:sz w:val="18"/>
              </w:rPr>
              <w:t>Sep </w:t>
            </w:r>
            <w:r>
              <w:rPr>
                <w:rFonts w:ascii="Arial"/>
                <w:spacing w:val="-4"/>
                <w:sz w:val="18"/>
              </w:rPr>
              <w:t>2020</w:t>
            </w:r>
          </w:p>
        </w:tc>
        <w:tc>
          <w:tcPr>
            <w:tcW w:w="988" w:type="dxa"/>
          </w:tcPr>
          <w:p>
            <w:pPr>
              <w:pStyle w:val="TableParagraph"/>
              <w:rPr>
                <w:i/>
                <w:sz w:val="20"/>
              </w:rPr>
            </w:pPr>
          </w:p>
          <w:p>
            <w:pPr>
              <w:pStyle w:val="TableParagraph"/>
              <w:spacing w:before="3"/>
              <w:rPr>
                <w:i/>
                <w:sz w:val="17"/>
              </w:rPr>
            </w:pPr>
          </w:p>
          <w:p>
            <w:pPr>
              <w:pStyle w:val="TableParagraph"/>
              <w:ind w:left="173" w:right="154" w:firstLine="184"/>
              <w:rPr>
                <w:rFonts w:ascii="Arial"/>
                <w:sz w:val="18"/>
              </w:rPr>
            </w:pPr>
            <w:r>
              <w:rPr>
                <w:rFonts w:ascii="Arial"/>
                <w:spacing w:val="-6"/>
                <w:sz w:val="18"/>
              </w:rPr>
              <w:t>MA </w:t>
            </w:r>
            <w:r>
              <w:rPr>
                <w:rFonts w:ascii="Arial"/>
                <w:spacing w:val="-2"/>
                <w:sz w:val="18"/>
              </w:rPr>
              <w:t>EOHHS</w:t>
            </w:r>
          </w:p>
        </w:tc>
        <w:tc>
          <w:tcPr>
            <w:tcW w:w="810" w:type="dxa"/>
          </w:tcPr>
          <w:p>
            <w:pPr>
              <w:pStyle w:val="TableParagraph"/>
              <w:rPr>
                <w:i/>
                <w:sz w:val="20"/>
              </w:rPr>
            </w:pPr>
          </w:p>
          <w:p>
            <w:pPr>
              <w:pStyle w:val="TableParagraph"/>
              <w:spacing w:before="3"/>
              <w:rPr>
                <w:i/>
                <w:sz w:val="26"/>
              </w:rPr>
            </w:pPr>
          </w:p>
          <w:p>
            <w:pPr>
              <w:pStyle w:val="TableParagraph"/>
              <w:ind w:left="258"/>
              <w:rPr>
                <w:rFonts w:ascii="Arial"/>
                <w:sz w:val="18"/>
              </w:rPr>
            </w:pPr>
            <w:r>
              <w:rPr>
                <w:rFonts w:ascii="Arial"/>
                <w:spacing w:val="-5"/>
                <w:sz w:val="18"/>
              </w:rPr>
              <w:t>N/A</w:t>
            </w:r>
          </w:p>
        </w:tc>
        <w:tc>
          <w:tcPr>
            <w:tcW w:w="899" w:type="dxa"/>
          </w:tcPr>
          <w:p>
            <w:pPr>
              <w:pStyle w:val="TableParagraph"/>
              <w:rPr>
                <w:i/>
                <w:sz w:val="20"/>
              </w:rPr>
            </w:pPr>
          </w:p>
          <w:p>
            <w:pPr>
              <w:pStyle w:val="TableParagraph"/>
              <w:spacing w:before="3"/>
              <w:rPr>
                <w:i/>
                <w:sz w:val="26"/>
              </w:rPr>
            </w:pPr>
          </w:p>
          <w:p>
            <w:pPr>
              <w:pStyle w:val="TableParagraph"/>
              <w:ind w:left="15"/>
              <w:jc w:val="center"/>
              <w:rPr>
                <w:rFonts w:ascii="Arial"/>
                <w:sz w:val="18"/>
              </w:rPr>
            </w:pPr>
            <w:r>
              <w:rPr>
                <w:rFonts w:ascii="Arial"/>
                <w:sz w:val="18"/>
              </w:rPr>
              <w:t>R</w:t>
            </w:r>
          </w:p>
        </w:tc>
        <w:tc>
          <w:tcPr>
            <w:tcW w:w="808" w:type="dxa"/>
          </w:tcPr>
          <w:p>
            <w:pPr>
              <w:pStyle w:val="TableParagraph"/>
              <w:rPr>
                <w:i/>
                <w:sz w:val="20"/>
              </w:rPr>
            </w:pPr>
          </w:p>
          <w:p>
            <w:pPr>
              <w:pStyle w:val="TableParagraph"/>
              <w:spacing w:before="3"/>
              <w:rPr>
                <w:i/>
                <w:sz w:val="26"/>
              </w:rPr>
            </w:pPr>
          </w:p>
          <w:p>
            <w:pPr>
              <w:pStyle w:val="TableParagraph"/>
              <w:ind w:left="193" w:right="176"/>
              <w:jc w:val="center"/>
              <w:rPr>
                <w:rFonts w:ascii="Arial"/>
                <w:sz w:val="18"/>
              </w:rPr>
            </w:pPr>
            <w:r>
              <w:rPr>
                <w:rFonts w:ascii="Arial"/>
                <w:spacing w:val="-5"/>
                <w:sz w:val="18"/>
              </w:rPr>
              <w:t>P4R</w:t>
            </w:r>
          </w:p>
        </w:tc>
        <w:tc>
          <w:tcPr>
            <w:tcW w:w="990" w:type="dxa"/>
          </w:tcPr>
          <w:p>
            <w:pPr>
              <w:pStyle w:val="TableParagraph"/>
              <w:rPr>
                <w:i/>
                <w:sz w:val="20"/>
              </w:rPr>
            </w:pPr>
          </w:p>
          <w:p>
            <w:pPr>
              <w:pStyle w:val="TableParagraph"/>
              <w:spacing w:before="3"/>
              <w:rPr>
                <w:i/>
                <w:sz w:val="26"/>
              </w:rPr>
            </w:pPr>
          </w:p>
          <w:p>
            <w:pPr>
              <w:pStyle w:val="TableParagraph"/>
              <w:ind w:left="118" w:right="94"/>
              <w:jc w:val="center"/>
              <w:rPr>
                <w:rFonts w:ascii="Arial"/>
                <w:sz w:val="18"/>
              </w:rPr>
            </w:pPr>
            <w:r>
              <w:rPr>
                <w:rFonts w:ascii="Arial"/>
                <w:sz w:val="18"/>
              </w:rPr>
              <w:t>P </w:t>
            </w:r>
            <w:r>
              <w:rPr>
                <w:rFonts w:ascii="Arial"/>
                <w:spacing w:val="-2"/>
                <w:sz w:val="18"/>
              </w:rPr>
              <w:t>(19/20)</w:t>
            </w:r>
          </w:p>
        </w:tc>
        <w:tc>
          <w:tcPr>
            <w:tcW w:w="899" w:type="dxa"/>
          </w:tcPr>
          <w:p>
            <w:pPr>
              <w:pStyle w:val="TableParagraph"/>
              <w:rPr>
                <w:i/>
                <w:sz w:val="20"/>
              </w:rPr>
            </w:pPr>
          </w:p>
          <w:p>
            <w:pPr>
              <w:pStyle w:val="TableParagraph"/>
              <w:spacing w:before="3"/>
              <w:rPr>
                <w:i/>
                <w:sz w:val="26"/>
              </w:rPr>
            </w:pPr>
          </w:p>
          <w:p>
            <w:pPr>
              <w:pStyle w:val="TableParagraph"/>
              <w:ind w:left="20"/>
              <w:jc w:val="center"/>
              <w:rPr>
                <w:rFonts w:ascii="Arial"/>
                <w:sz w:val="18"/>
              </w:rPr>
            </w:pPr>
            <w:r>
              <w:rPr>
                <w:rFonts w:ascii="Arial"/>
                <w:sz w:val="18"/>
              </w:rPr>
              <w:t>P</w:t>
            </w:r>
          </w:p>
        </w:tc>
        <w:tc>
          <w:tcPr>
            <w:tcW w:w="899" w:type="dxa"/>
          </w:tcPr>
          <w:p>
            <w:pPr>
              <w:pStyle w:val="TableParagraph"/>
              <w:rPr>
                <w:i/>
                <w:sz w:val="20"/>
              </w:rPr>
            </w:pPr>
          </w:p>
          <w:p>
            <w:pPr>
              <w:pStyle w:val="TableParagraph"/>
              <w:spacing w:before="3"/>
              <w:rPr>
                <w:i/>
                <w:sz w:val="26"/>
              </w:rPr>
            </w:pPr>
          </w:p>
          <w:p>
            <w:pPr>
              <w:pStyle w:val="TableParagraph"/>
              <w:ind w:left="22"/>
              <w:jc w:val="center"/>
              <w:rPr>
                <w:rFonts w:ascii="Arial"/>
                <w:sz w:val="18"/>
              </w:rPr>
            </w:pPr>
            <w:r>
              <w:rPr>
                <w:rFonts w:ascii="Arial"/>
                <w:sz w:val="18"/>
              </w:rPr>
              <w:t>P</w:t>
            </w:r>
          </w:p>
        </w:tc>
      </w:tr>
      <w:tr>
        <w:trPr>
          <w:trHeight w:val="510" w:hRule="atLeast"/>
        </w:trPr>
        <w:tc>
          <w:tcPr>
            <w:tcW w:w="15016" w:type="dxa"/>
            <w:gridSpan w:val="12"/>
          </w:tcPr>
          <w:p>
            <w:pPr>
              <w:pStyle w:val="TableParagraph"/>
              <w:spacing w:before="152"/>
              <w:ind w:left="107"/>
              <w:rPr>
                <w:rFonts w:ascii="Arial"/>
                <w:b/>
                <w:sz w:val="18"/>
              </w:rPr>
            </w:pPr>
            <w:r>
              <w:rPr>
                <w:rFonts w:ascii="Arial"/>
                <w:b/>
                <w:sz w:val="18"/>
              </w:rPr>
              <w:t>Domain</w:t>
            </w:r>
            <w:r>
              <w:rPr>
                <w:rFonts w:ascii="Arial"/>
                <w:b/>
                <w:spacing w:val="-1"/>
                <w:sz w:val="18"/>
              </w:rPr>
              <w:t> </w:t>
            </w:r>
            <w:r>
              <w:rPr>
                <w:rFonts w:ascii="Arial"/>
                <w:b/>
                <w:sz w:val="18"/>
              </w:rPr>
              <w:t>2:</w:t>
            </w:r>
            <w:r>
              <w:rPr>
                <w:rFonts w:ascii="Arial"/>
                <w:b/>
                <w:spacing w:val="-3"/>
                <w:sz w:val="18"/>
              </w:rPr>
              <w:t> </w:t>
            </w:r>
            <w:r>
              <w:rPr>
                <w:rFonts w:ascii="Arial"/>
                <w:b/>
                <w:sz w:val="18"/>
              </w:rPr>
              <w:t>Member</w:t>
            </w:r>
            <w:r>
              <w:rPr>
                <w:rFonts w:ascii="Arial"/>
                <w:b/>
                <w:spacing w:val="-1"/>
                <w:sz w:val="18"/>
              </w:rPr>
              <w:t> </w:t>
            </w:r>
            <w:r>
              <w:rPr>
                <w:rFonts w:ascii="Arial"/>
                <w:b/>
                <w:spacing w:val="-2"/>
                <w:sz w:val="18"/>
              </w:rPr>
              <w:t>Experience</w:t>
            </w:r>
          </w:p>
        </w:tc>
      </w:tr>
      <w:tr>
        <w:trPr>
          <w:trHeight w:val="448" w:hRule="atLeast"/>
        </w:trPr>
        <w:tc>
          <w:tcPr>
            <w:tcW w:w="368" w:type="dxa"/>
          </w:tcPr>
          <w:p>
            <w:pPr>
              <w:pStyle w:val="TableParagraph"/>
              <w:spacing w:before="121"/>
              <w:ind w:left="15"/>
              <w:jc w:val="center"/>
              <w:rPr>
                <w:rFonts w:ascii="Arial"/>
                <w:sz w:val="18"/>
              </w:rPr>
            </w:pPr>
            <w:r>
              <w:rPr>
                <w:rFonts w:ascii="Arial"/>
                <w:sz w:val="18"/>
              </w:rPr>
              <w:t>2</w:t>
            </w:r>
          </w:p>
        </w:tc>
        <w:tc>
          <w:tcPr>
            <w:tcW w:w="2238" w:type="dxa"/>
          </w:tcPr>
          <w:p>
            <w:pPr>
              <w:pStyle w:val="TableParagraph"/>
              <w:spacing w:before="121"/>
              <w:ind w:left="320" w:right="308"/>
              <w:jc w:val="center"/>
              <w:rPr>
                <w:rFonts w:ascii="Arial"/>
                <w:sz w:val="18"/>
              </w:rPr>
            </w:pPr>
            <w:r>
              <w:rPr>
                <w:rFonts w:ascii="Arial"/>
                <w:sz w:val="18"/>
              </w:rPr>
              <w:t>Effective</w:t>
            </w:r>
            <w:r>
              <w:rPr>
                <w:rFonts w:ascii="Arial"/>
                <w:spacing w:val="-5"/>
                <w:sz w:val="18"/>
              </w:rPr>
              <w:t> </w:t>
            </w:r>
            <w:r>
              <w:rPr>
                <w:rFonts w:ascii="Arial"/>
                <w:spacing w:val="-2"/>
                <w:sz w:val="18"/>
              </w:rPr>
              <w:t>Teamwork</w:t>
            </w:r>
          </w:p>
        </w:tc>
        <w:tc>
          <w:tcPr>
            <w:tcW w:w="3688" w:type="dxa"/>
          </w:tcPr>
          <w:p>
            <w:pPr>
              <w:pStyle w:val="TableParagraph"/>
              <w:spacing w:before="121"/>
              <w:ind w:left="1075"/>
              <w:rPr>
                <w:rFonts w:ascii="Arial"/>
                <w:sz w:val="18"/>
              </w:rPr>
            </w:pPr>
            <w:r>
              <w:rPr>
                <w:rFonts w:ascii="Arial"/>
                <w:sz w:val="18"/>
              </w:rPr>
              <w:t>WFI-EZ</w:t>
            </w:r>
            <w:r>
              <w:rPr>
                <w:rFonts w:ascii="Arial"/>
                <w:spacing w:val="1"/>
                <w:sz w:val="18"/>
              </w:rPr>
              <w:t> </w:t>
            </w:r>
            <w:r>
              <w:rPr>
                <w:rFonts w:ascii="Arial"/>
                <w:spacing w:val="-2"/>
                <w:sz w:val="18"/>
              </w:rPr>
              <w:t>Composite</w:t>
            </w:r>
          </w:p>
        </w:tc>
        <w:tc>
          <w:tcPr>
            <w:tcW w:w="899" w:type="dxa"/>
          </w:tcPr>
          <w:p>
            <w:pPr>
              <w:pStyle w:val="TableParagraph"/>
              <w:spacing w:before="121"/>
              <w:ind w:left="157" w:right="143"/>
              <w:jc w:val="center"/>
              <w:rPr>
                <w:rFonts w:ascii="Arial"/>
                <w:sz w:val="18"/>
              </w:rPr>
            </w:pPr>
            <w:r>
              <w:rPr>
                <w:rFonts w:ascii="Arial"/>
                <w:spacing w:val="-2"/>
                <w:sz w:val="18"/>
              </w:rPr>
              <w:t>Survey</w:t>
            </w:r>
          </w:p>
        </w:tc>
        <w:tc>
          <w:tcPr>
            <w:tcW w:w="1530" w:type="dxa"/>
          </w:tcPr>
          <w:p>
            <w:pPr>
              <w:pStyle w:val="TableParagraph"/>
              <w:spacing w:before="121"/>
              <w:ind w:left="370" w:right="355"/>
              <w:jc w:val="center"/>
              <w:rPr>
                <w:rFonts w:ascii="Arial"/>
                <w:sz w:val="18"/>
              </w:rPr>
            </w:pPr>
            <w:r>
              <w:rPr>
                <w:rFonts w:ascii="Arial"/>
                <w:sz w:val="18"/>
              </w:rPr>
              <w:t>Sep </w:t>
            </w:r>
            <w:r>
              <w:rPr>
                <w:rFonts w:ascii="Arial"/>
                <w:spacing w:val="-4"/>
                <w:sz w:val="18"/>
              </w:rPr>
              <w:t>2020</w:t>
            </w:r>
          </w:p>
        </w:tc>
        <w:tc>
          <w:tcPr>
            <w:tcW w:w="988" w:type="dxa"/>
          </w:tcPr>
          <w:p>
            <w:pPr>
              <w:pStyle w:val="TableParagraph"/>
              <w:spacing w:before="121"/>
              <w:ind w:left="343"/>
              <w:rPr>
                <w:rFonts w:ascii="Arial"/>
                <w:sz w:val="18"/>
              </w:rPr>
            </w:pPr>
            <w:r>
              <w:rPr>
                <w:rFonts w:ascii="Arial"/>
                <w:spacing w:val="-5"/>
                <w:sz w:val="18"/>
              </w:rPr>
              <w:t>UW</w:t>
            </w:r>
          </w:p>
        </w:tc>
        <w:tc>
          <w:tcPr>
            <w:tcW w:w="810" w:type="dxa"/>
          </w:tcPr>
          <w:p>
            <w:pPr>
              <w:pStyle w:val="TableParagraph"/>
              <w:spacing w:before="121"/>
              <w:ind w:left="258"/>
              <w:rPr>
                <w:rFonts w:ascii="Arial"/>
                <w:sz w:val="18"/>
              </w:rPr>
            </w:pPr>
            <w:r>
              <w:rPr>
                <w:rFonts w:ascii="Arial"/>
                <w:spacing w:val="-5"/>
                <w:sz w:val="18"/>
              </w:rPr>
              <w:t>N/A</w:t>
            </w:r>
          </w:p>
        </w:tc>
        <w:tc>
          <w:tcPr>
            <w:tcW w:w="899" w:type="dxa"/>
          </w:tcPr>
          <w:p>
            <w:pPr>
              <w:pStyle w:val="TableParagraph"/>
              <w:spacing w:before="121"/>
              <w:ind w:left="14"/>
              <w:jc w:val="center"/>
              <w:rPr>
                <w:rFonts w:ascii="Arial"/>
                <w:sz w:val="18"/>
              </w:rPr>
            </w:pPr>
            <w:r>
              <w:rPr>
                <w:rFonts w:ascii="Arial"/>
                <w:sz w:val="18"/>
              </w:rPr>
              <w:t>R</w:t>
            </w:r>
          </w:p>
        </w:tc>
        <w:tc>
          <w:tcPr>
            <w:tcW w:w="808" w:type="dxa"/>
          </w:tcPr>
          <w:p>
            <w:pPr>
              <w:pStyle w:val="TableParagraph"/>
              <w:spacing w:before="121"/>
              <w:ind w:left="16"/>
              <w:jc w:val="center"/>
              <w:rPr>
                <w:rFonts w:ascii="Arial"/>
                <w:sz w:val="18"/>
              </w:rPr>
            </w:pPr>
            <w:r>
              <w:rPr>
                <w:rFonts w:ascii="Arial"/>
                <w:sz w:val="18"/>
              </w:rPr>
              <w:t>R</w:t>
            </w:r>
          </w:p>
        </w:tc>
        <w:tc>
          <w:tcPr>
            <w:tcW w:w="990" w:type="dxa"/>
          </w:tcPr>
          <w:p>
            <w:pPr>
              <w:pStyle w:val="TableParagraph"/>
              <w:spacing w:before="121"/>
              <w:ind w:left="23"/>
              <w:jc w:val="center"/>
              <w:rPr>
                <w:rFonts w:ascii="Arial"/>
                <w:sz w:val="18"/>
              </w:rPr>
            </w:pPr>
            <w:r>
              <w:rPr>
                <w:rFonts w:ascii="Arial"/>
                <w:sz w:val="18"/>
              </w:rPr>
              <w:t>R</w:t>
            </w:r>
          </w:p>
        </w:tc>
        <w:tc>
          <w:tcPr>
            <w:tcW w:w="899" w:type="dxa"/>
          </w:tcPr>
          <w:p>
            <w:pPr>
              <w:pStyle w:val="TableParagraph"/>
              <w:spacing w:before="121"/>
              <w:ind w:left="20"/>
              <w:jc w:val="center"/>
              <w:rPr>
                <w:rFonts w:ascii="Arial"/>
                <w:sz w:val="18"/>
              </w:rPr>
            </w:pPr>
            <w:r>
              <w:rPr>
                <w:rFonts w:ascii="Arial"/>
                <w:sz w:val="18"/>
              </w:rPr>
              <w:t>P</w:t>
            </w:r>
          </w:p>
        </w:tc>
        <w:tc>
          <w:tcPr>
            <w:tcW w:w="899" w:type="dxa"/>
          </w:tcPr>
          <w:p>
            <w:pPr>
              <w:pStyle w:val="TableParagraph"/>
              <w:spacing w:before="121"/>
              <w:ind w:left="22"/>
              <w:jc w:val="center"/>
              <w:rPr>
                <w:rFonts w:ascii="Arial"/>
                <w:sz w:val="18"/>
              </w:rPr>
            </w:pPr>
            <w:r>
              <w:rPr>
                <w:rFonts w:ascii="Arial"/>
                <w:sz w:val="18"/>
              </w:rPr>
              <w:t>P</w:t>
            </w:r>
          </w:p>
        </w:tc>
      </w:tr>
      <w:tr>
        <w:trPr>
          <w:trHeight w:val="445" w:hRule="atLeast"/>
        </w:trPr>
        <w:tc>
          <w:tcPr>
            <w:tcW w:w="368" w:type="dxa"/>
          </w:tcPr>
          <w:p>
            <w:pPr>
              <w:pStyle w:val="TableParagraph"/>
              <w:spacing w:before="119"/>
              <w:ind w:left="15"/>
              <w:jc w:val="center"/>
              <w:rPr>
                <w:rFonts w:ascii="Arial"/>
                <w:sz w:val="18"/>
              </w:rPr>
            </w:pPr>
            <w:r>
              <w:rPr>
                <w:rFonts w:ascii="Arial"/>
                <w:sz w:val="18"/>
              </w:rPr>
              <w:t>3</w:t>
            </w:r>
          </w:p>
        </w:tc>
        <w:tc>
          <w:tcPr>
            <w:tcW w:w="2238" w:type="dxa"/>
          </w:tcPr>
          <w:p>
            <w:pPr>
              <w:pStyle w:val="TableParagraph"/>
              <w:spacing w:before="119"/>
              <w:ind w:left="320" w:right="307"/>
              <w:jc w:val="center"/>
              <w:rPr>
                <w:rFonts w:ascii="Arial"/>
                <w:sz w:val="18"/>
              </w:rPr>
            </w:pPr>
            <w:r>
              <w:rPr>
                <w:rFonts w:ascii="Arial"/>
                <w:spacing w:val="-2"/>
                <w:sz w:val="18"/>
              </w:rPr>
              <w:t>Outcomes-Based</w:t>
            </w:r>
          </w:p>
        </w:tc>
        <w:tc>
          <w:tcPr>
            <w:tcW w:w="3688" w:type="dxa"/>
          </w:tcPr>
          <w:p>
            <w:pPr>
              <w:pStyle w:val="TableParagraph"/>
              <w:spacing w:before="119"/>
              <w:ind w:left="1075"/>
              <w:rPr>
                <w:rFonts w:ascii="Arial"/>
                <w:sz w:val="18"/>
              </w:rPr>
            </w:pPr>
            <w:r>
              <w:rPr>
                <w:rFonts w:ascii="Arial"/>
                <w:sz w:val="18"/>
              </w:rPr>
              <w:t>WFI-EZ </w:t>
            </w:r>
            <w:r>
              <w:rPr>
                <w:rFonts w:ascii="Arial"/>
                <w:spacing w:val="-2"/>
                <w:sz w:val="18"/>
              </w:rPr>
              <w:t>Composite</w:t>
            </w:r>
          </w:p>
        </w:tc>
        <w:tc>
          <w:tcPr>
            <w:tcW w:w="899" w:type="dxa"/>
          </w:tcPr>
          <w:p>
            <w:pPr>
              <w:pStyle w:val="TableParagraph"/>
              <w:spacing w:before="119"/>
              <w:ind w:left="157" w:right="143"/>
              <w:jc w:val="center"/>
              <w:rPr>
                <w:rFonts w:ascii="Arial"/>
                <w:sz w:val="18"/>
              </w:rPr>
            </w:pPr>
            <w:r>
              <w:rPr>
                <w:rFonts w:ascii="Arial"/>
                <w:spacing w:val="-2"/>
                <w:sz w:val="18"/>
              </w:rPr>
              <w:t>Survey</w:t>
            </w:r>
          </w:p>
        </w:tc>
        <w:tc>
          <w:tcPr>
            <w:tcW w:w="1530" w:type="dxa"/>
          </w:tcPr>
          <w:p>
            <w:pPr>
              <w:pStyle w:val="TableParagraph"/>
              <w:spacing w:before="119"/>
              <w:ind w:left="370" w:right="355"/>
              <w:jc w:val="center"/>
              <w:rPr>
                <w:rFonts w:ascii="Arial"/>
                <w:sz w:val="18"/>
              </w:rPr>
            </w:pPr>
            <w:r>
              <w:rPr>
                <w:rFonts w:ascii="Arial"/>
                <w:sz w:val="18"/>
              </w:rPr>
              <w:t>Sep </w:t>
            </w:r>
            <w:r>
              <w:rPr>
                <w:rFonts w:ascii="Arial"/>
                <w:spacing w:val="-4"/>
                <w:sz w:val="18"/>
              </w:rPr>
              <w:t>2020</w:t>
            </w:r>
          </w:p>
        </w:tc>
        <w:tc>
          <w:tcPr>
            <w:tcW w:w="988" w:type="dxa"/>
          </w:tcPr>
          <w:p>
            <w:pPr>
              <w:pStyle w:val="TableParagraph"/>
              <w:spacing w:before="119"/>
              <w:ind w:left="343"/>
              <w:rPr>
                <w:rFonts w:ascii="Arial"/>
                <w:sz w:val="18"/>
              </w:rPr>
            </w:pPr>
            <w:r>
              <w:rPr>
                <w:rFonts w:ascii="Arial"/>
                <w:spacing w:val="-5"/>
                <w:sz w:val="18"/>
              </w:rPr>
              <w:t>UW</w:t>
            </w:r>
          </w:p>
        </w:tc>
        <w:tc>
          <w:tcPr>
            <w:tcW w:w="810" w:type="dxa"/>
          </w:tcPr>
          <w:p>
            <w:pPr>
              <w:pStyle w:val="TableParagraph"/>
              <w:spacing w:before="119"/>
              <w:ind w:left="258"/>
              <w:rPr>
                <w:rFonts w:ascii="Arial"/>
                <w:sz w:val="18"/>
              </w:rPr>
            </w:pPr>
            <w:r>
              <w:rPr>
                <w:rFonts w:ascii="Arial"/>
                <w:spacing w:val="-5"/>
                <w:sz w:val="18"/>
              </w:rPr>
              <w:t>N/A</w:t>
            </w:r>
          </w:p>
        </w:tc>
        <w:tc>
          <w:tcPr>
            <w:tcW w:w="899" w:type="dxa"/>
          </w:tcPr>
          <w:p>
            <w:pPr>
              <w:pStyle w:val="TableParagraph"/>
              <w:spacing w:before="119"/>
              <w:ind w:left="14"/>
              <w:jc w:val="center"/>
              <w:rPr>
                <w:rFonts w:ascii="Arial"/>
                <w:sz w:val="18"/>
              </w:rPr>
            </w:pPr>
            <w:r>
              <w:rPr>
                <w:rFonts w:ascii="Arial"/>
                <w:sz w:val="18"/>
              </w:rPr>
              <w:t>R</w:t>
            </w:r>
          </w:p>
        </w:tc>
        <w:tc>
          <w:tcPr>
            <w:tcW w:w="808" w:type="dxa"/>
          </w:tcPr>
          <w:p>
            <w:pPr>
              <w:pStyle w:val="TableParagraph"/>
              <w:spacing w:before="119"/>
              <w:ind w:left="16"/>
              <w:jc w:val="center"/>
              <w:rPr>
                <w:rFonts w:ascii="Arial"/>
                <w:sz w:val="18"/>
              </w:rPr>
            </w:pPr>
            <w:r>
              <w:rPr>
                <w:rFonts w:ascii="Arial"/>
                <w:sz w:val="18"/>
              </w:rPr>
              <w:t>R</w:t>
            </w:r>
          </w:p>
        </w:tc>
        <w:tc>
          <w:tcPr>
            <w:tcW w:w="990" w:type="dxa"/>
          </w:tcPr>
          <w:p>
            <w:pPr>
              <w:pStyle w:val="TableParagraph"/>
              <w:spacing w:before="119"/>
              <w:ind w:left="23"/>
              <w:jc w:val="center"/>
              <w:rPr>
                <w:rFonts w:ascii="Arial"/>
                <w:sz w:val="18"/>
              </w:rPr>
            </w:pPr>
            <w:r>
              <w:rPr>
                <w:rFonts w:ascii="Arial"/>
                <w:sz w:val="18"/>
              </w:rPr>
              <w:t>R</w:t>
            </w:r>
          </w:p>
        </w:tc>
        <w:tc>
          <w:tcPr>
            <w:tcW w:w="899" w:type="dxa"/>
          </w:tcPr>
          <w:p>
            <w:pPr>
              <w:pStyle w:val="TableParagraph"/>
              <w:spacing w:before="119"/>
              <w:ind w:left="20"/>
              <w:jc w:val="center"/>
              <w:rPr>
                <w:rFonts w:ascii="Arial"/>
                <w:sz w:val="18"/>
              </w:rPr>
            </w:pPr>
            <w:r>
              <w:rPr>
                <w:rFonts w:ascii="Arial"/>
                <w:sz w:val="18"/>
              </w:rPr>
              <w:t>P</w:t>
            </w:r>
          </w:p>
        </w:tc>
        <w:tc>
          <w:tcPr>
            <w:tcW w:w="899" w:type="dxa"/>
          </w:tcPr>
          <w:p>
            <w:pPr>
              <w:pStyle w:val="TableParagraph"/>
              <w:spacing w:before="119"/>
              <w:ind w:left="22"/>
              <w:jc w:val="center"/>
              <w:rPr>
                <w:rFonts w:ascii="Arial"/>
                <w:sz w:val="18"/>
              </w:rPr>
            </w:pPr>
            <w:r>
              <w:rPr>
                <w:rFonts w:ascii="Arial"/>
                <w:sz w:val="18"/>
              </w:rPr>
              <w:t>P</w:t>
            </w:r>
          </w:p>
        </w:tc>
      </w:tr>
      <w:tr>
        <w:trPr>
          <w:trHeight w:val="448" w:hRule="atLeast"/>
        </w:trPr>
        <w:tc>
          <w:tcPr>
            <w:tcW w:w="368" w:type="dxa"/>
          </w:tcPr>
          <w:p>
            <w:pPr>
              <w:pStyle w:val="TableParagraph"/>
              <w:spacing w:before="119"/>
              <w:ind w:left="15"/>
              <w:jc w:val="center"/>
              <w:rPr>
                <w:rFonts w:ascii="Arial"/>
                <w:sz w:val="18"/>
              </w:rPr>
            </w:pPr>
            <w:r>
              <w:rPr>
                <w:rFonts w:ascii="Arial"/>
                <w:sz w:val="18"/>
              </w:rPr>
              <w:t>4</w:t>
            </w:r>
          </w:p>
        </w:tc>
        <w:tc>
          <w:tcPr>
            <w:tcW w:w="2238" w:type="dxa"/>
          </w:tcPr>
          <w:p>
            <w:pPr>
              <w:pStyle w:val="TableParagraph"/>
              <w:spacing w:before="119"/>
              <w:ind w:left="320" w:right="306"/>
              <w:jc w:val="center"/>
              <w:rPr>
                <w:rFonts w:ascii="Arial"/>
                <w:sz w:val="18"/>
              </w:rPr>
            </w:pPr>
            <w:r>
              <w:rPr>
                <w:rFonts w:ascii="Arial"/>
                <w:spacing w:val="-2"/>
                <w:sz w:val="18"/>
              </w:rPr>
              <w:t>Satisfaction</w:t>
            </w:r>
          </w:p>
        </w:tc>
        <w:tc>
          <w:tcPr>
            <w:tcW w:w="3688" w:type="dxa"/>
          </w:tcPr>
          <w:p>
            <w:pPr>
              <w:pStyle w:val="TableParagraph"/>
              <w:spacing w:before="119"/>
              <w:ind w:left="1075"/>
              <w:rPr>
                <w:rFonts w:ascii="Arial"/>
                <w:sz w:val="18"/>
              </w:rPr>
            </w:pPr>
            <w:r>
              <w:rPr>
                <w:rFonts w:ascii="Arial"/>
                <w:sz w:val="18"/>
              </w:rPr>
              <w:t>WFI-EZ </w:t>
            </w:r>
            <w:r>
              <w:rPr>
                <w:rFonts w:ascii="Arial"/>
                <w:spacing w:val="-2"/>
                <w:sz w:val="18"/>
              </w:rPr>
              <w:t>Composite</w:t>
            </w:r>
          </w:p>
        </w:tc>
        <w:tc>
          <w:tcPr>
            <w:tcW w:w="899" w:type="dxa"/>
          </w:tcPr>
          <w:p>
            <w:pPr>
              <w:pStyle w:val="TableParagraph"/>
              <w:spacing w:before="119"/>
              <w:ind w:left="157" w:right="143"/>
              <w:jc w:val="center"/>
              <w:rPr>
                <w:rFonts w:ascii="Arial"/>
                <w:sz w:val="18"/>
              </w:rPr>
            </w:pPr>
            <w:r>
              <w:rPr>
                <w:rFonts w:ascii="Arial"/>
                <w:spacing w:val="-2"/>
                <w:sz w:val="18"/>
              </w:rPr>
              <w:t>Survey</w:t>
            </w:r>
          </w:p>
        </w:tc>
        <w:tc>
          <w:tcPr>
            <w:tcW w:w="1530" w:type="dxa"/>
          </w:tcPr>
          <w:p>
            <w:pPr>
              <w:pStyle w:val="TableParagraph"/>
              <w:spacing w:before="119"/>
              <w:ind w:left="370" w:right="355"/>
              <w:jc w:val="center"/>
              <w:rPr>
                <w:rFonts w:ascii="Arial"/>
                <w:sz w:val="18"/>
              </w:rPr>
            </w:pPr>
            <w:r>
              <w:rPr>
                <w:rFonts w:ascii="Arial"/>
                <w:sz w:val="18"/>
              </w:rPr>
              <w:t>Sep </w:t>
            </w:r>
            <w:r>
              <w:rPr>
                <w:rFonts w:ascii="Arial"/>
                <w:spacing w:val="-4"/>
                <w:sz w:val="18"/>
              </w:rPr>
              <w:t>2020</w:t>
            </w:r>
          </w:p>
        </w:tc>
        <w:tc>
          <w:tcPr>
            <w:tcW w:w="988" w:type="dxa"/>
          </w:tcPr>
          <w:p>
            <w:pPr>
              <w:pStyle w:val="TableParagraph"/>
              <w:spacing w:before="119"/>
              <w:ind w:left="343"/>
              <w:rPr>
                <w:rFonts w:ascii="Arial"/>
                <w:sz w:val="18"/>
              </w:rPr>
            </w:pPr>
            <w:r>
              <w:rPr>
                <w:rFonts w:ascii="Arial"/>
                <w:spacing w:val="-5"/>
                <w:sz w:val="18"/>
              </w:rPr>
              <w:t>UW</w:t>
            </w:r>
          </w:p>
        </w:tc>
        <w:tc>
          <w:tcPr>
            <w:tcW w:w="810" w:type="dxa"/>
          </w:tcPr>
          <w:p>
            <w:pPr>
              <w:pStyle w:val="TableParagraph"/>
              <w:spacing w:before="119"/>
              <w:ind w:left="258"/>
              <w:rPr>
                <w:rFonts w:ascii="Arial"/>
                <w:sz w:val="18"/>
              </w:rPr>
            </w:pPr>
            <w:r>
              <w:rPr>
                <w:rFonts w:ascii="Arial"/>
                <w:spacing w:val="-5"/>
                <w:sz w:val="18"/>
              </w:rPr>
              <w:t>N/A</w:t>
            </w:r>
          </w:p>
        </w:tc>
        <w:tc>
          <w:tcPr>
            <w:tcW w:w="899" w:type="dxa"/>
          </w:tcPr>
          <w:p>
            <w:pPr>
              <w:pStyle w:val="TableParagraph"/>
              <w:spacing w:before="119"/>
              <w:ind w:left="14"/>
              <w:jc w:val="center"/>
              <w:rPr>
                <w:rFonts w:ascii="Arial"/>
                <w:sz w:val="18"/>
              </w:rPr>
            </w:pPr>
            <w:r>
              <w:rPr>
                <w:rFonts w:ascii="Arial"/>
                <w:sz w:val="18"/>
              </w:rPr>
              <w:t>R</w:t>
            </w:r>
          </w:p>
        </w:tc>
        <w:tc>
          <w:tcPr>
            <w:tcW w:w="808" w:type="dxa"/>
          </w:tcPr>
          <w:p>
            <w:pPr>
              <w:pStyle w:val="TableParagraph"/>
              <w:spacing w:before="119"/>
              <w:ind w:left="16"/>
              <w:jc w:val="center"/>
              <w:rPr>
                <w:rFonts w:ascii="Arial"/>
                <w:sz w:val="18"/>
              </w:rPr>
            </w:pPr>
            <w:r>
              <w:rPr>
                <w:rFonts w:ascii="Arial"/>
                <w:sz w:val="18"/>
              </w:rPr>
              <w:t>R</w:t>
            </w:r>
          </w:p>
        </w:tc>
        <w:tc>
          <w:tcPr>
            <w:tcW w:w="990" w:type="dxa"/>
          </w:tcPr>
          <w:p>
            <w:pPr>
              <w:pStyle w:val="TableParagraph"/>
              <w:spacing w:before="119"/>
              <w:ind w:left="23"/>
              <w:jc w:val="center"/>
              <w:rPr>
                <w:rFonts w:ascii="Arial"/>
                <w:sz w:val="18"/>
              </w:rPr>
            </w:pPr>
            <w:r>
              <w:rPr>
                <w:rFonts w:ascii="Arial"/>
                <w:sz w:val="18"/>
              </w:rPr>
              <w:t>R</w:t>
            </w:r>
          </w:p>
        </w:tc>
        <w:tc>
          <w:tcPr>
            <w:tcW w:w="899" w:type="dxa"/>
          </w:tcPr>
          <w:p>
            <w:pPr>
              <w:pStyle w:val="TableParagraph"/>
              <w:spacing w:before="119"/>
              <w:ind w:left="20"/>
              <w:jc w:val="center"/>
              <w:rPr>
                <w:rFonts w:ascii="Arial"/>
                <w:sz w:val="18"/>
              </w:rPr>
            </w:pPr>
            <w:r>
              <w:rPr>
                <w:rFonts w:ascii="Arial"/>
                <w:sz w:val="18"/>
              </w:rPr>
              <w:t>P</w:t>
            </w:r>
          </w:p>
        </w:tc>
        <w:tc>
          <w:tcPr>
            <w:tcW w:w="899" w:type="dxa"/>
          </w:tcPr>
          <w:p>
            <w:pPr>
              <w:pStyle w:val="TableParagraph"/>
              <w:spacing w:before="119"/>
              <w:ind w:left="22"/>
              <w:jc w:val="center"/>
              <w:rPr>
                <w:rFonts w:ascii="Arial"/>
                <w:sz w:val="18"/>
              </w:rPr>
            </w:pPr>
            <w:r>
              <w:rPr>
                <w:rFonts w:ascii="Arial"/>
                <w:sz w:val="18"/>
              </w:rPr>
              <w:t>P</w:t>
            </w:r>
          </w:p>
        </w:tc>
      </w:tr>
    </w:tbl>
    <w:p>
      <w:pPr>
        <w:pStyle w:val="BodyText"/>
        <w:rPr>
          <w:i/>
          <w:sz w:val="20"/>
        </w:rPr>
      </w:pPr>
    </w:p>
    <w:p>
      <w:pPr>
        <w:pStyle w:val="BodyText"/>
        <w:rPr>
          <w:i/>
          <w:sz w:val="20"/>
        </w:rPr>
      </w:pPr>
    </w:p>
    <w:p>
      <w:pPr>
        <w:pStyle w:val="BodyText"/>
        <w:spacing w:before="8" w:after="1"/>
        <w:rPr>
          <w:i/>
          <w:sz w:val="17"/>
        </w:rPr>
      </w:pPr>
    </w:p>
    <w:tbl>
      <w:tblPr>
        <w:tblW w:w="0" w:type="auto"/>
        <w:jc w:val="left"/>
        <w:tblInd w:w="81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7632"/>
      </w:tblGrid>
      <w:tr>
        <w:trPr>
          <w:trHeight w:val="206" w:hRule="atLeast"/>
        </w:trPr>
        <w:tc>
          <w:tcPr>
            <w:tcW w:w="7632" w:type="dxa"/>
            <w:tcBorders>
              <w:bottom w:val="nil"/>
            </w:tcBorders>
          </w:tcPr>
          <w:p>
            <w:pPr>
              <w:pStyle w:val="TableParagraph"/>
              <w:spacing w:line="187" w:lineRule="exact"/>
              <w:ind w:left="107"/>
              <w:rPr>
                <w:rFonts w:ascii="Arial"/>
                <w:sz w:val="18"/>
              </w:rPr>
            </w:pPr>
            <w:r>
              <w:rPr>
                <w:rFonts w:ascii="Arial"/>
                <w:sz w:val="18"/>
                <w:u w:val="single"/>
              </w:rPr>
              <w:t>Measure</w:t>
            </w:r>
            <w:r>
              <w:rPr>
                <w:rFonts w:ascii="Arial"/>
                <w:spacing w:val="-3"/>
                <w:sz w:val="18"/>
                <w:u w:val="single"/>
              </w:rPr>
              <w:t> </w:t>
            </w:r>
            <w:r>
              <w:rPr>
                <w:rFonts w:ascii="Arial"/>
                <w:sz w:val="18"/>
                <w:u w:val="single"/>
              </w:rPr>
              <w:t>Steward</w:t>
            </w:r>
            <w:r>
              <w:rPr>
                <w:rFonts w:ascii="Arial"/>
                <w:spacing w:val="-2"/>
                <w:sz w:val="18"/>
                <w:u w:val="single"/>
              </w:rPr>
              <w:t> Definitions</w:t>
            </w:r>
          </w:p>
        </w:tc>
      </w:tr>
      <w:tr>
        <w:trPr>
          <w:trHeight w:val="983" w:hRule="atLeast"/>
        </w:trPr>
        <w:tc>
          <w:tcPr>
            <w:tcW w:w="7632" w:type="dxa"/>
            <w:tcBorders>
              <w:top w:val="nil"/>
            </w:tcBorders>
          </w:tcPr>
          <w:p>
            <w:pPr>
              <w:pStyle w:val="TableParagraph"/>
              <w:numPr>
                <w:ilvl w:val="0"/>
                <w:numId w:val="115"/>
              </w:numPr>
              <w:tabs>
                <w:tab w:pos="450" w:val="left" w:leader="none"/>
              </w:tabs>
              <w:spacing w:line="240" w:lineRule="auto" w:before="1" w:after="0"/>
              <w:ind w:left="450" w:right="0" w:hanging="343"/>
              <w:jc w:val="left"/>
              <w:rPr>
                <w:rFonts w:ascii="Arial" w:hAnsi="Arial"/>
                <w:sz w:val="18"/>
              </w:rPr>
            </w:pPr>
            <w:r>
              <w:rPr>
                <w:rFonts w:ascii="Arial" w:hAnsi="Arial"/>
                <w:sz w:val="18"/>
              </w:rPr>
              <w:t>MA</w:t>
            </w:r>
            <w:r>
              <w:rPr>
                <w:rFonts w:ascii="Arial" w:hAnsi="Arial"/>
                <w:spacing w:val="-5"/>
                <w:sz w:val="18"/>
              </w:rPr>
              <w:t> </w:t>
            </w:r>
            <w:r>
              <w:rPr>
                <w:rFonts w:ascii="Arial" w:hAnsi="Arial"/>
                <w:sz w:val="18"/>
              </w:rPr>
              <w:t>EOHHS: Massachusetts</w:t>
            </w:r>
            <w:r>
              <w:rPr>
                <w:rFonts w:ascii="Arial" w:hAnsi="Arial"/>
                <w:spacing w:val="-1"/>
                <w:sz w:val="18"/>
              </w:rPr>
              <w:t> </w:t>
            </w:r>
            <w:r>
              <w:rPr>
                <w:rFonts w:ascii="Arial" w:hAnsi="Arial"/>
                <w:sz w:val="18"/>
              </w:rPr>
              <w:t>Executive</w:t>
            </w:r>
            <w:r>
              <w:rPr>
                <w:rFonts w:ascii="Arial" w:hAnsi="Arial"/>
                <w:spacing w:val="-2"/>
                <w:sz w:val="18"/>
              </w:rPr>
              <w:t> </w:t>
            </w:r>
            <w:r>
              <w:rPr>
                <w:rFonts w:ascii="Arial" w:hAnsi="Arial"/>
                <w:sz w:val="18"/>
              </w:rPr>
              <w:t>Office</w:t>
            </w:r>
            <w:r>
              <w:rPr>
                <w:rFonts w:ascii="Arial" w:hAnsi="Arial"/>
                <w:spacing w:val="-4"/>
                <w:sz w:val="18"/>
              </w:rPr>
              <w:t> </w:t>
            </w:r>
            <w:r>
              <w:rPr>
                <w:rFonts w:ascii="Arial" w:hAnsi="Arial"/>
                <w:sz w:val="18"/>
              </w:rPr>
              <w:t>of</w:t>
            </w:r>
            <w:r>
              <w:rPr>
                <w:rFonts w:ascii="Arial" w:hAnsi="Arial"/>
                <w:spacing w:val="-2"/>
                <w:sz w:val="18"/>
              </w:rPr>
              <w:t> </w:t>
            </w:r>
            <w:r>
              <w:rPr>
                <w:rFonts w:ascii="Arial" w:hAnsi="Arial"/>
                <w:sz w:val="18"/>
              </w:rPr>
              <w:t>Health</w:t>
            </w:r>
            <w:r>
              <w:rPr>
                <w:rFonts w:ascii="Arial" w:hAnsi="Arial"/>
                <w:spacing w:val="-5"/>
                <w:sz w:val="18"/>
              </w:rPr>
              <w:t> </w:t>
            </w:r>
            <w:r>
              <w:rPr>
                <w:rFonts w:ascii="Arial" w:hAnsi="Arial"/>
                <w:sz w:val="18"/>
              </w:rPr>
              <w:t>and</w:t>
            </w:r>
            <w:r>
              <w:rPr>
                <w:rFonts w:ascii="Arial" w:hAnsi="Arial"/>
                <w:spacing w:val="-4"/>
                <w:sz w:val="18"/>
              </w:rPr>
              <w:t> </w:t>
            </w:r>
            <w:r>
              <w:rPr>
                <w:rFonts w:ascii="Arial" w:hAnsi="Arial"/>
                <w:sz w:val="18"/>
              </w:rPr>
              <w:t>Human</w:t>
            </w:r>
            <w:r>
              <w:rPr>
                <w:rFonts w:ascii="Arial" w:hAnsi="Arial"/>
                <w:spacing w:val="-1"/>
                <w:sz w:val="18"/>
              </w:rPr>
              <w:t> </w:t>
            </w:r>
            <w:r>
              <w:rPr>
                <w:rFonts w:ascii="Arial" w:hAnsi="Arial"/>
                <w:spacing w:val="-2"/>
                <w:sz w:val="18"/>
              </w:rPr>
              <w:t>Services</w:t>
            </w:r>
          </w:p>
          <w:p>
            <w:pPr>
              <w:pStyle w:val="TableParagraph"/>
              <w:numPr>
                <w:ilvl w:val="0"/>
                <w:numId w:val="115"/>
              </w:numPr>
              <w:tabs>
                <w:tab w:pos="450" w:val="left" w:leader="none"/>
              </w:tabs>
              <w:spacing w:line="240" w:lineRule="auto" w:before="220" w:after="0"/>
              <w:ind w:left="450" w:right="0" w:hanging="359"/>
              <w:jc w:val="left"/>
              <w:rPr>
                <w:rFonts w:ascii="Arial" w:hAnsi="Arial"/>
                <w:sz w:val="18"/>
              </w:rPr>
            </w:pPr>
            <w:r>
              <w:rPr>
                <w:rFonts w:ascii="Arial" w:hAnsi="Arial"/>
                <w:sz w:val="18"/>
              </w:rPr>
              <w:t>UW:</w:t>
            </w:r>
            <w:r>
              <w:rPr>
                <w:rFonts w:ascii="Arial" w:hAnsi="Arial"/>
                <w:spacing w:val="-3"/>
                <w:sz w:val="18"/>
              </w:rPr>
              <w:t> </w:t>
            </w:r>
            <w:r>
              <w:rPr>
                <w:rFonts w:ascii="Arial" w:hAnsi="Arial"/>
                <w:sz w:val="18"/>
              </w:rPr>
              <w:t>University</w:t>
            </w:r>
            <w:r>
              <w:rPr>
                <w:rFonts w:ascii="Arial" w:hAnsi="Arial"/>
                <w:spacing w:val="-3"/>
                <w:sz w:val="18"/>
              </w:rPr>
              <w:t> </w:t>
            </w:r>
            <w:r>
              <w:rPr>
                <w:rFonts w:ascii="Arial" w:hAnsi="Arial"/>
                <w:sz w:val="18"/>
              </w:rPr>
              <w:t>of</w:t>
            </w:r>
            <w:r>
              <w:rPr>
                <w:rFonts w:ascii="Arial" w:hAnsi="Arial"/>
                <w:spacing w:val="-7"/>
                <w:sz w:val="18"/>
              </w:rPr>
              <w:t> </w:t>
            </w:r>
            <w:r>
              <w:rPr>
                <w:rFonts w:ascii="Arial" w:hAnsi="Arial"/>
                <w:sz w:val="18"/>
              </w:rPr>
              <w:t>Washington</w:t>
            </w:r>
            <w:r>
              <w:rPr>
                <w:rFonts w:ascii="Arial" w:hAnsi="Arial"/>
                <w:spacing w:val="-5"/>
                <w:sz w:val="18"/>
              </w:rPr>
              <w:t> </w:t>
            </w:r>
            <w:r>
              <w:rPr>
                <w:rFonts w:ascii="Arial" w:hAnsi="Arial"/>
                <w:sz w:val="18"/>
              </w:rPr>
              <w:t>Wraparound</w:t>
            </w:r>
            <w:r>
              <w:rPr>
                <w:rFonts w:ascii="Arial" w:hAnsi="Arial"/>
                <w:spacing w:val="-4"/>
                <w:sz w:val="18"/>
              </w:rPr>
              <w:t> </w:t>
            </w:r>
            <w:r>
              <w:rPr>
                <w:rFonts w:ascii="Arial" w:hAnsi="Arial"/>
                <w:sz w:val="18"/>
              </w:rPr>
              <w:t>Fidelity</w:t>
            </w:r>
            <w:r>
              <w:rPr>
                <w:rFonts w:ascii="Arial" w:hAnsi="Arial"/>
                <w:spacing w:val="-3"/>
                <w:sz w:val="18"/>
              </w:rPr>
              <w:t> </w:t>
            </w:r>
            <w:r>
              <w:rPr>
                <w:rFonts w:ascii="Arial" w:hAnsi="Arial"/>
                <w:sz w:val="18"/>
              </w:rPr>
              <w:t>Index,</w:t>
            </w:r>
            <w:r>
              <w:rPr>
                <w:rFonts w:ascii="Arial" w:hAnsi="Arial"/>
                <w:spacing w:val="-3"/>
                <w:sz w:val="18"/>
              </w:rPr>
              <w:t> </w:t>
            </w:r>
            <w:r>
              <w:rPr>
                <w:rFonts w:ascii="Arial" w:hAnsi="Arial"/>
                <w:sz w:val="18"/>
              </w:rPr>
              <w:t>Short</w:t>
            </w:r>
            <w:r>
              <w:rPr>
                <w:rFonts w:ascii="Arial" w:hAnsi="Arial"/>
                <w:spacing w:val="-2"/>
                <w:sz w:val="18"/>
              </w:rPr>
              <w:t> </w:t>
            </w:r>
            <w:r>
              <w:rPr>
                <w:rFonts w:ascii="Arial" w:hAnsi="Arial"/>
                <w:sz w:val="18"/>
              </w:rPr>
              <w:t>Form</w:t>
            </w:r>
            <w:r>
              <w:rPr>
                <w:rFonts w:ascii="Arial" w:hAnsi="Arial"/>
                <w:spacing w:val="-1"/>
                <w:sz w:val="18"/>
              </w:rPr>
              <w:t> </w:t>
            </w:r>
            <w:r>
              <w:rPr>
                <w:rFonts w:ascii="Arial" w:hAnsi="Arial"/>
                <w:sz w:val="18"/>
              </w:rPr>
              <w:t>(WFI-</w:t>
            </w:r>
            <w:r>
              <w:rPr>
                <w:rFonts w:ascii="Arial" w:hAnsi="Arial"/>
                <w:spacing w:val="-5"/>
                <w:sz w:val="18"/>
              </w:rPr>
              <w:t>EZ)</w:t>
            </w:r>
          </w:p>
        </w:tc>
      </w:tr>
    </w:tbl>
    <w:p>
      <w:pPr>
        <w:spacing w:after="0" w:line="240" w:lineRule="auto"/>
        <w:jc w:val="left"/>
        <w:rPr>
          <w:rFonts w:ascii="Arial" w:hAnsi="Arial"/>
          <w:sz w:val="18"/>
        </w:rPr>
        <w:sectPr>
          <w:pgSz w:w="15840" w:h="12240" w:orient="landscape"/>
          <w:pgMar w:header="0" w:footer="967" w:top="1360" w:bottom="1160" w:left="200" w:right="200"/>
        </w:sectPr>
      </w:pPr>
    </w:p>
    <w:p>
      <w:pPr>
        <w:spacing w:before="78"/>
        <w:ind w:left="120" w:right="0" w:firstLine="0"/>
        <w:jc w:val="left"/>
        <w:rPr>
          <w:sz w:val="22"/>
        </w:rPr>
      </w:pPr>
      <w:bookmarkStart w:name="Attachment N Safety Net Provider Payment" w:id="1540"/>
      <w:bookmarkEnd w:id="1540"/>
      <w:r>
        <w:rPr/>
      </w:r>
      <w:r>
        <w:rPr>
          <w:sz w:val="22"/>
        </w:rPr>
        <w:t>Attachment</w:t>
      </w:r>
      <w:r>
        <w:rPr>
          <w:spacing w:val="-5"/>
          <w:sz w:val="22"/>
        </w:rPr>
        <w:t> </w:t>
      </w:r>
      <w:r>
        <w:rPr>
          <w:spacing w:val="-12"/>
          <w:sz w:val="22"/>
        </w:rPr>
        <w:t>N</w:t>
      </w:r>
    </w:p>
    <w:p>
      <w:pPr>
        <w:pStyle w:val="BodyText"/>
        <w:rPr>
          <w:sz w:val="20"/>
        </w:rPr>
      </w:pPr>
    </w:p>
    <w:p>
      <w:pPr>
        <w:pStyle w:val="BodyText"/>
        <w:spacing w:before="8"/>
        <w:rPr>
          <w:sz w:val="20"/>
        </w:rPr>
      </w:pPr>
    </w:p>
    <w:p>
      <w:pPr>
        <w:pStyle w:val="Heading4"/>
        <w:ind w:left="1404" w:right="1405"/>
        <w:jc w:val="center"/>
      </w:pPr>
      <w:bookmarkStart w:name="ATTACHMENT N" w:id="1541"/>
      <w:bookmarkEnd w:id="1541"/>
      <w:r>
        <w:rPr>
          <w:b w:val="0"/>
        </w:rPr>
      </w:r>
      <w:r>
        <w:rPr/>
        <w:t>ATTACHMENT</w:t>
      </w:r>
      <w:r>
        <w:rPr>
          <w:spacing w:val="-5"/>
        </w:rPr>
        <w:t> </w:t>
      </w:r>
      <w:r>
        <w:rPr>
          <w:spacing w:val="-10"/>
        </w:rPr>
        <w:t>N</w:t>
      </w:r>
    </w:p>
    <w:p>
      <w:pPr>
        <w:pStyle w:val="Heading5"/>
        <w:ind w:left="1404" w:right="1405"/>
        <w:jc w:val="center"/>
      </w:pPr>
      <w:bookmarkStart w:name="Safety Net Provider Payment Eligibility " w:id="1542"/>
      <w:bookmarkEnd w:id="1542"/>
      <w:r>
        <w:rPr>
          <w:b w:val="0"/>
        </w:rPr>
      </w:r>
      <w:r>
        <w:rPr/>
        <w:t>Safety</w:t>
      </w:r>
      <w:r>
        <w:rPr>
          <w:spacing w:val="-5"/>
        </w:rPr>
        <w:t> </w:t>
      </w:r>
      <w:r>
        <w:rPr/>
        <w:t>Net</w:t>
      </w:r>
      <w:r>
        <w:rPr>
          <w:spacing w:val="-3"/>
        </w:rPr>
        <w:t> </w:t>
      </w:r>
      <w:r>
        <w:rPr/>
        <w:t>Provider</w:t>
      </w:r>
      <w:r>
        <w:rPr>
          <w:spacing w:val="-2"/>
        </w:rPr>
        <w:t> </w:t>
      </w:r>
      <w:r>
        <w:rPr/>
        <w:t>Payment</w:t>
      </w:r>
      <w:r>
        <w:rPr>
          <w:spacing w:val="-4"/>
        </w:rPr>
        <w:t> </w:t>
      </w:r>
      <w:r>
        <w:rPr/>
        <w:t>Eligibility</w:t>
      </w:r>
      <w:r>
        <w:rPr>
          <w:spacing w:val="-3"/>
        </w:rPr>
        <w:t> </w:t>
      </w:r>
      <w:r>
        <w:rPr/>
        <w:t>and</w:t>
      </w:r>
      <w:r>
        <w:rPr>
          <w:spacing w:val="-2"/>
        </w:rPr>
        <w:t> </w:t>
      </w:r>
      <w:r>
        <w:rPr/>
        <w:t>Allocation</w:t>
      </w:r>
      <w:r>
        <w:rPr>
          <w:spacing w:val="-3"/>
        </w:rPr>
        <w:t> </w:t>
      </w:r>
      <w:r>
        <w:rPr>
          <w:spacing w:val="-2"/>
        </w:rPr>
        <w:t>(Reserved)</w:t>
      </w:r>
    </w:p>
    <w:p>
      <w:pPr>
        <w:spacing w:after="0"/>
        <w:jc w:val="center"/>
        <w:sectPr>
          <w:footerReference w:type="default" r:id="rId351"/>
          <w:pgSz w:w="12240" w:h="15840"/>
          <w:pgMar w:footer="1247" w:header="0" w:top="640" w:bottom="1440" w:left="1320" w:right="1320"/>
        </w:sectPr>
      </w:pPr>
    </w:p>
    <w:p>
      <w:pPr>
        <w:spacing w:before="78"/>
        <w:ind w:left="120" w:right="0" w:firstLine="0"/>
        <w:jc w:val="left"/>
        <w:rPr>
          <w:sz w:val="22"/>
        </w:rPr>
      </w:pPr>
      <w:bookmarkStart w:name="Attachment O CE Implementation Plan (res" w:id="1543"/>
      <w:bookmarkEnd w:id="1543"/>
      <w:r>
        <w:rPr/>
      </w:r>
      <w:r>
        <w:rPr>
          <w:sz w:val="22"/>
        </w:rPr>
        <w:t>Attachment</w:t>
      </w:r>
      <w:r>
        <w:rPr>
          <w:spacing w:val="-5"/>
          <w:sz w:val="22"/>
        </w:rPr>
        <w:t> </w:t>
      </w:r>
      <w:r>
        <w:rPr>
          <w:spacing w:val="-12"/>
          <w:sz w:val="22"/>
        </w:rPr>
        <w:t>O</w:t>
      </w:r>
    </w:p>
    <w:p>
      <w:pPr>
        <w:pStyle w:val="BodyText"/>
        <w:rPr>
          <w:sz w:val="20"/>
        </w:rPr>
      </w:pPr>
    </w:p>
    <w:p>
      <w:pPr>
        <w:pStyle w:val="BodyText"/>
        <w:spacing w:before="8"/>
        <w:rPr>
          <w:sz w:val="20"/>
        </w:rPr>
      </w:pPr>
    </w:p>
    <w:p>
      <w:pPr>
        <w:pStyle w:val="Heading4"/>
        <w:ind w:left="1404" w:right="1404"/>
        <w:jc w:val="center"/>
      </w:pPr>
      <w:bookmarkStart w:name="ATTACHMENT O" w:id="1544"/>
      <w:bookmarkEnd w:id="1544"/>
      <w:r>
        <w:rPr>
          <w:b w:val="0"/>
        </w:rPr>
      </w:r>
      <w:r>
        <w:rPr/>
        <w:t>ATTACHMENT</w:t>
      </w:r>
      <w:r>
        <w:rPr>
          <w:spacing w:val="-5"/>
        </w:rPr>
        <w:t> </w:t>
      </w:r>
      <w:r>
        <w:rPr>
          <w:spacing w:val="-10"/>
        </w:rPr>
        <w:t>O</w:t>
      </w:r>
    </w:p>
    <w:p>
      <w:pPr>
        <w:pStyle w:val="Heading5"/>
        <w:ind w:left="1404" w:right="1405"/>
        <w:jc w:val="center"/>
      </w:pPr>
      <w:bookmarkStart w:name="Continuous Eligibility Implementation Pl" w:id="1545"/>
      <w:bookmarkEnd w:id="1545"/>
      <w:r>
        <w:rPr>
          <w:b w:val="0"/>
        </w:rPr>
      </w:r>
      <w:r>
        <w:rPr/>
        <w:t>Continuous</w:t>
      </w:r>
      <w:r>
        <w:rPr>
          <w:spacing w:val="-8"/>
        </w:rPr>
        <w:t> </w:t>
      </w:r>
      <w:r>
        <w:rPr/>
        <w:t>Eligibility</w:t>
      </w:r>
      <w:r>
        <w:rPr>
          <w:spacing w:val="-4"/>
        </w:rPr>
        <w:t> </w:t>
      </w:r>
      <w:r>
        <w:rPr/>
        <w:t>Implementation</w:t>
      </w:r>
      <w:r>
        <w:rPr>
          <w:spacing w:val="-2"/>
        </w:rPr>
        <w:t> </w:t>
      </w:r>
      <w:r>
        <w:rPr/>
        <w:t>Plan</w:t>
      </w:r>
      <w:r>
        <w:rPr>
          <w:spacing w:val="-3"/>
        </w:rPr>
        <w:t> </w:t>
      </w:r>
      <w:r>
        <w:rPr>
          <w:spacing w:val="-2"/>
        </w:rPr>
        <w:t>(Reserved)</w:t>
      </w:r>
    </w:p>
    <w:p>
      <w:pPr>
        <w:spacing w:after="0"/>
        <w:jc w:val="center"/>
        <w:sectPr>
          <w:pgSz w:w="12240" w:h="15840"/>
          <w:pgMar w:header="0" w:footer="1247" w:top="640" w:bottom="1440" w:left="1320" w:right="1320"/>
        </w:sectPr>
      </w:pPr>
    </w:p>
    <w:p>
      <w:pPr>
        <w:spacing w:before="78"/>
        <w:ind w:left="120" w:right="0" w:firstLine="0"/>
        <w:jc w:val="left"/>
        <w:rPr>
          <w:sz w:val="22"/>
        </w:rPr>
      </w:pPr>
      <w:bookmarkStart w:name="Attachment P Assessment of Beneficiary E" w:id="1546"/>
      <w:bookmarkEnd w:id="1546"/>
      <w:r>
        <w:rPr/>
      </w:r>
      <w:r>
        <w:rPr>
          <w:sz w:val="22"/>
        </w:rPr>
        <w:t>Attachment</w:t>
      </w:r>
      <w:r>
        <w:rPr>
          <w:spacing w:val="-5"/>
          <w:sz w:val="22"/>
        </w:rPr>
        <w:t> </w:t>
      </w:r>
      <w:r>
        <w:rPr>
          <w:spacing w:val="-10"/>
          <w:sz w:val="22"/>
        </w:rPr>
        <w:t>P</w:t>
      </w:r>
    </w:p>
    <w:p>
      <w:pPr>
        <w:pStyle w:val="BodyText"/>
        <w:rPr>
          <w:sz w:val="20"/>
        </w:rPr>
      </w:pPr>
    </w:p>
    <w:p>
      <w:pPr>
        <w:pStyle w:val="BodyText"/>
        <w:spacing w:before="8"/>
        <w:rPr>
          <w:sz w:val="20"/>
        </w:rPr>
      </w:pPr>
    </w:p>
    <w:p>
      <w:pPr>
        <w:pStyle w:val="Heading4"/>
        <w:ind w:left="1404" w:right="1404"/>
        <w:jc w:val="center"/>
      </w:pPr>
      <w:bookmarkStart w:name="ATTACHMENT P" w:id="1547"/>
      <w:bookmarkEnd w:id="1547"/>
      <w:r>
        <w:rPr>
          <w:b w:val="0"/>
        </w:rPr>
      </w:r>
      <w:r>
        <w:rPr/>
        <w:t>ATTACHMENT</w:t>
      </w:r>
      <w:r>
        <w:rPr>
          <w:spacing w:val="-5"/>
        </w:rPr>
        <w:t> </w:t>
      </w:r>
      <w:r>
        <w:rPr>
          <w:spacing w:val="-10"/>
        </w:rPr>
        <w:t>P</w:t>
      </w:r>
    </w:p>
    <w:p>
      <w:pPr>
        <w:pStyle w:val="Heading5"/>
        <w:ind w:left="179" w:right="181"/>
        <w:jc w:val="center"/>
      </w:pPr>
      <w:bookmarkStart w:name="Protocol for Assessment of Beneficiary E" w:id="1548"/>
      <w:bookmarkEnd w:id="1548"/>
      <w:r>
        <w:rPr>
          <w:b w:val="0"/>
        </w:rPr>
      </w:r>
      <w:r>
        <w:rPr/>
        <w:t>Protocol</w:t>
      </w:r>
      <w:r>
        <w:rPr>
          <w:spacing w:val="-4"/>
        </w:rPr>
        <w:t> </w:t>
      </w:r>
      <w:r>
        <w:rPr/>
        <w:t>for</w:t>
      </w:r>
      <w:r>
        <w:rPr>
          <w:spacing w:val="-6"/>
        </w:rPr>
        <w:t> </w:t>
      </w:r>
      <w:r>
        <w:rPr/>
        <w:t>Assessment</w:t>
      </w:r>
      <w:r>
        <w:rPr>
          <w:spacing w:val="-5"/>
        </w:rPr>
        <w:t> </w:t>
      </w:r>
      <w:r>
        <w:rPr/>
        <w:t>of</w:t>
      </w:r>
      <w:r>
        <w:rPr>
          <w:spacing w:val="-3"/>
        </w:rPr>
        <w:t> </w:t>
      </w:r>
      <w:r>
        <w:rPr/>
        <w:t>Beneficiary</w:t>
      </w:r>
      <w:r>
        <w:rPr>
          <w:spacing w:val="-4"/>
        </w:rPr>
        <w:t> </w:t>
      </w:r>
      <w:r>
        <w:rPr/>
        <w:t>Eligibility</w:t>
      </w:r>
      <w:r>
        <w:rPr>
          <w:spacing w:val="-4"/>
        </w:rPr>
        <w:t> </w:t>
      </w:r>
      <w:r>
        <w:rPr/>
        <w:t>and</w:t>
      </w:r>
      <w:r>
        <w:rPr>
          <w:spacing w:val="-4"/>
        </w:rPr>
        <w:t> </w:t>
      </w:r>
      <w:r>
        <w:rPr/>
        <w:t>Needs,</w:t>
      </w:r>
      <w:r>
        <w:rPr>
          <w:spacing w:val="-4"/>
        </w:rPr>
        <w:t> </w:t>
      </w:r>
      <w:r>
        <w:rPr/>
        <w:t>Infrastructure</w:t>
      </w:r>
      <w:r>
        <w:rPr>
          <w:spacing w:val="-3"/>
        </w:rPr>
        <w:t> </w:t>
      </w:r>
      <w:r>
        <w:rPr/>
        <w:t>Planning,</w:t>
      </w:r>
      <w:r>
        <w:rPr>
          <w:spacing w:val="-4"/>
        </w:rPr>
        <w:t> </w:t>
      </w:r>
      <w:r>
        <w:rPr/>
        <w:t>and Provider Qualifications (Reserved)</w:t>
      </w:r>
    </w:p>
    <w:p>
      <w:pPr>
        <w:spacing w:after="0"/>
        <w:jc w:val="center"/>
        <w:sectPr>
          <w:pgSz w:w="12240" w:h="15840"/>
          <w:pgMar w:header="0" w:footer="1247" w:top="640" w:bottom="1440" w:left="1320" w:right="1320"/>
        </w:sectPr>
      </w:pPr>
    </w:p>
    <w:p>
      <w:pPr>
        <w:spacing w:before="78"/>
        <w:ind w:left="120" w:right="0" w:firstLine="0"/>
        <w:jc w:val="left"/>
        <w:rPr>
          <w:sz w:val="22"/>
        </w:rPr>
      </w:pPr>
      <w:bookmarkStart w:name="Attachment Q Medicaid Managed Care ACO P" w:id="1549"/>
      <w:bookmarkEnd w:id="1549"/>
      <w:r>
        <w:rPr/>
      </w:r>
      <w:r>
        <w:rPr>
          <w:sz w:val="22"/>
        </w:rPr>
        <w:t>Attachment</w:t>
      </w:r>
      <w:r>
        <w:rPr>
          <w:spacing w:val="-5"/>
          <w:sz w:val="22"/>
        </w:rPr>
        <w:t> </w:t>
      </w:r>
      <w:r>
        <w:rPr>
          <w:spacing w:val="-12"/>
          <w:sz w:val="22"/>
        </w:rPr>
        <w:t>Q</w:t>
      </w:r>
    </w:p>
    <w:p>
      <w:pPr>
        <w:pStyle w:val="BodyText"/>
        <w:rPr>
          <w:sz w:val="20"/>
        </w:rPr>
      </w:pPr>
    </w:p>
    <w:p>
      <w:pPr>
        <w:pStyle w:val="BodyText"/>
        <w:spacing w:before="8"/>
        <w:rPr>
          <w:sz w:val="20"/>
        </w:rPr>
      </w:pPr>
    </w:p>
    <w:p>
      <w:pPr>
        <w:pStyle w:val="Heading4"/>
        <w:ind w:left="1404" w:right="1404"/>
        <w:jc w:val="center"/>
      </w:pPr>
      <w:bookmarkStart w:name="ATTACHMENT Q" w:id="1550"/>
      <w:bookmarkEnd w:id="1550"/>
      <w:r>
        <w:rPr>
          <w:b w:val="0"/>
        </w:rPr>
      </w:r>
      <w:r>
        <w:rPr/>
        <w:t>ATTACHMENT</w:t>
      </w:r>
      <w:r>
        <w:rPr>
          <w:spacing w:val="-5"/>
        </w:rPr>
        <w:t> </w:t>
      </w:r>
      <w:r>
        <w:rPr>
          <w:spacing w:val="-10"/>
        </w:rPr>
        <w:t>Q</w:t>
      </w:r>
    </w:p>
    <w:p>
      <w:pPr>
        <w:pStyle w:val="Heading5"/>
        <w:ind w:left="179" w:right="180"/>
        <w:jc w:val="center"/>
      </w:pPr>
      <w:bookmarkStart w:name="Medicaid Managed Care Plan/ACO Performan" w:id="1551"/>
      <w:bookmarkEnd w:id="1551"/>
      <w:r>
        <w:rPr>
          <w:b w:val="0"/>
        </w:rPr>
      </w:r>
      <w:r>
        <w:rPr/>
        <w:t>Medicaid</w:t>
      </w:r>
      <w:r>
        <w:rPr>
          <w:spacing w:val="-5"/>
        </w:rPr>
        <w:t> </w:t>
      </w:r>
      <w:r>
        <w:rPr/>
        <w:t>Managed</w:t>
      </w:r>
      <w:r>
        <w:rPr>
          <w:spacing w:val="-5"/>
        </w:rPr>
        <w:t> </w:t>
      </w:r>
      <w:r>
        <w:rPr/>
        <w:t>Care</w:t>
      </w:r>
      <w:r>
        <w:rPr>
          <w:spacing w:val="-4"/>
        </w:rPr>
        <w:t> </w:t>
      </w:r>
      <w:r>
        <w:rPr/>
        <w:t>Plan/ACO</w:t>
      </w:r>
      <w:r>
        <w:rPr>
          <w:spacing w:val="-5"/>
        </w:rPr>
        <w:t> </w:t>
      </w:r>
      <w:r>
        <w:rPr/>
        <w:t>Performance</w:t>
      </w:r>
      <w:r>
        <w:rPr>
          <w:spacing w:val="-6"/>
        </w:rPr>
        <w:t> </w:t>
      </w:r>
      <w:r>
        <w:rPr/>
        <w:t>Based</w:t>
      </w:r>
      <w:r>
        <w:rPr>
          <w:spacing w:val="-5"/>
        </w:rPr>
        <w:t> </w:t>
      </w:r>
      <w:r>
        <w:rPr/>
        <w:t>Incentive</w:t>
      </w:r>
      <w:r>
        <w:rPr>
          <w:spacing w:val="-4"/>
        </w:rPr>
        <w:t> </w:t>
      </w:r>
      <w:r>
        <w:rPr/>
        <w:t>Payment</w:t>
      </w:r>
      <w:r>
        <w:rPr>
          <w:spacing w:val="-6"/>
        </w:rPr>
        <w:t> </w:t>
      </w:r>
      <w:r>
        <w:rPr/>
        <w:t>Mechanisms </w:t>
      </w:r>
      <w:r>
        <w:rPr>
          <w:spacing w:val="-2"/>
        </w:rPr>
        <w:t>(Reserved)</w:t>
      </w:r>
    </w:p>
    <w:p>
      <w:pPr>
        <w:spacing w:after="0"/>
        <w:jc w:val="center"/>
        <w:sectPr>
          <w:pgSz w:w="12240" w:h="15840"/>
          <w:pgMar w:header="0" w:footer="1247" w:top="640" w:bottom="1440" w:left="1320" w:right="1320"/>
        </w:sectPr>
      </w:pPr>
    </w:p>
    <w:p>
      <w:pPr>
        <w:spacing w:before="80"/>
        <w:ind w:left="120" w:right="0" w:firstLine="0"/>
        <w:jc w:val="left"/>
        <w:rPr>
          <w:sz w:val="20"/>
        </w:rPr>
      </w:pPr>
      <w:bookmarkStart w:name="Attachment R Flexible Services Protocol " w:id="1552"/>
      <w:bookmarkEnd w:id="1552"/>
      <w:r>
        <w:rPr/>
      </w:r>
      <w:r>
        <w:rPr>
          <w:spacing w:val="-2"/>
          <w:sz w:val="20"/>
        </w:rPr>
        <w:t>Attachment</w:t>
      </w:r>
      <w:r>
        <w:rPr>
          <w:spacing w:val="6"/>
          <w:sz w:val="20"/>
        </w:rPr>
        <w:t> </w:t>
      </w:r>
      <w:r>
        <w:rPr>
          <w:spacing w:val="-10"/>
          <w:sz w:val="20"/>
        </w:rPr>
        <w:t>R</w:t>
      </w:r>
    </w:p>
    <w:p>
      <w:pPr>
        <w:pStyle w:val="BodyText"/>
        <w:rPr>
          <w:sz w:val="20"/>
        </w:rPr>
      </w:pPr>
    </w:p>
    <w:p>
      <w:pPr>
        <w:pStyle w:val="BodyText"/>
        <w:spacing w:before="6"/>
        <w:rPr>
          <w:sz w:val="22"/>
        </w:rPr>
      </w:pPr>
    </w:p>
    <w:p>
      <w:pPr>
        <w:pStyle w:val="Heading4"/>
        <w:ind w:left="1404" w:right="1306"/>
        <w:jc w:val="center"/>
      </w:pPr>
      <w:bookmarkStart w:name="ATTACHMENT R" w:id="1553"/>
      <w:bookmarkEnd w:id="1553"/>
      <w:r>
        <w:rPr>
          <w:b w:val="0"/>
        </w:rPr>
      </w:r>
      <w:r>
        <w:rPr/>
        <w:t>ATTACHMENT</w:t>
      </w:r>
      <w:r>
        <w:rPr>
          <w:spacing w:val="-5"/>
        </w:rPr>
        <w:t> </w:t>
      </w:r>
      <w:r>
        <w:rPr>
          <w:spacing w:val="-10"/>
        </w:rPr>
        <w:t>R</w:t>
      </w:r>
    </w:p>
    <w:p>
      <w:pPr>
        <w:pStyle w:val="Heading5"/>
        <w:ind w:left="1404" w:right="1404"/>
        <w:jc w:val="center"/>
      </w:pPr>
      <w:r>
        <w:rPr/>
        <w:t>Flexible</w:t>
      </w:r>
      <w:r>
        <w:rPr>
          <w:spacing w:val="-4"/>
        </w:rPr>
        <w:t> </w:t>
      </w:r>
      <w:r>
        <w:rPr/>
        <w:t>Services Program</w:t>
      </w:r>
      <w:r>
        <w:rPr>
          <w:spacing w:val="-3"/>
        </w:rPr>
        <w:t> </w:t>
      </w:r>
      <w:r>
        <w:rPr>
          <w:spacing w:val="-2"/>
        </w:rPr>
        <w:t>Protocol</w:t>
      </w:r>
    </w:p>
    <w:p>
      <w:pPr>
        <w:pStyle w:val="BodyText"/>
        <w:rPr>
          <w:b/>
          <w:sz w:val="26"/>
        </w:rPr>
      </w:pPr>
    </w:p>
    <w:p>
      <w:pPr>
        <w:spacing w:before="154"/>
        <w:ind w:left="119" w:right="115" w:firstLine="0"/>
        <w:jc w:val="both"/>
        <w:rPr>
          <w:sz w:val="22"/>
        </w:rPr>
      </w:pPr>
      <w:r>
        <w:rPr>
          <w:sz w:val="22"/>
        </w:rPr>
        <w:t>In accordance with the State’s Section 1115 Demonstration Waiver and Special Terms and Conditions 60(b)(ii),</w:t>
      </w:r>
      <w:r>
        <w:rPr>
          <w:spacing w:val="-9"/>
          <w:sz w:val="22"/>
        </w:rPr>
        <w:t> </w:t>
      </w:r>
      <w:r>
        <w:rPr>
          <w:sz w:val="22"/>
        </w:rPr>
        <w:t>this</w:t>
      </w:r>
      <w:r>
        <w:rPr>
          <w:spacing w:val="-9"/>
          <w:sz w:val="22"/>
        </w:rPr>
        <w:t> </w:t>
      </w:r>
      <w:r>
        <w:rPr>
          <w:sz w:val="22"/>
        </w:rPr>
        <w:t>protocol</w:t>
      </w:r>
      <w:r>
        <w:rPr>
          <w:spacing w:val="-9"/>
          <w:sz w:val="22"/>
        </w:rPr>
        <w:t> </w:t>
      </w:r>
      <w:r>
        <w:rPr>
          <w:sz w:val="22"/>
        </w:rPr>
        <w:t>outlines</w:t>
      </w:r>
      <w:r>
        <w:rPr>
          <w:spacing w:val="-9"/>
          <w:sz w:val="22"/>
        </w:rPr>
        <w:t> </w:t>
      </w:r>
      <w:r>
        <w:rPr>
          <w:sz w:val="22"/>
        </w:rPr>
        <w:t>the</w:t>
      </w:r>
      <w:r>
        <w:rPr>
          <w:spacing w:val="-9"/>
          <w:sz w:val="22"/>
        </w:rPr>
        <w:t> </w:t>
      </w:r>
      <w:r>
        <w:rPr>
          <w:sz w:val="22"/>
        </w:rPr>
        <w:t>State’s</w:t>
      </w:r>
      <w:r>
        <w:rPr>
          <w:spacing w:val="-9"/>
          <w:sz w:val="22"/>
        </w:rPr>
        <w:t> </w:t>
      </w:r>
      <w:r>
        <w:rPr>
          <w:sz w:val="22"/>
        </w:rPr>
        <w:t>Delivery</w:t>
      </w:r>
      <w:r>
        <w:rPr>
          <w:spacing w:val="-12"/>
          <w:sz w:val="22"/>
        </w:rPr>
        <w:t> </w:t>
      </w:r>
      <w:r>
        <w:rPr>
          <w:sz w:val="22"/>
        </w:rPr>
        <w:t>System</w:t>
      </w:r>
      <w:r>
        <w:rPr>
          <w:spacing w:val="-13"/>
          <w:sz w:val="22"/>
        </w:rPr>
        <w:t> </w:t>
      </w:r>
      <w:r>
        <w:rPr>
          <w:sz w:val="22"/>
        </w:rPr>
        <w:t>Reform</w:t>
      </w:r>
      <w:r>
        <w:rPr>
          <w:spacing w:val="-11"/>
          <w:sz w:val="22"/>
        </w:rPr>
        <w:t> </w:t>
      </w:r>
      <w:r>
        <w:rPr>
          <w:sz w:val="22"/>
        </w:rPr>
        <w:t>Incentive</w:t>
      </w:r>
      <w:r>
        <w:rPr>
          <w:spacing w:val="-9"/>
          <w:sz w:val="22"/>
        </w:rPr>
        <w:t> </w:t>
      </w:r>
      <w:r>
        <w:rPr>
          <w:sz w:val="22"/>
        </w:rPr>
        <w:t>Payment</w:t>
      </w:r>
      <w:r>
        <w:rPr>
          <w:spacing w:val="-9"/>
          <w:sz w:val="22"/>
        </w:rPr>
        <w:t> </w:t>
      </w:r>
      <w:r>
        <w:rPr>
          <w:sz w:val="22"/>
        </w:rPr>
        <w:t>(DSRIP)</w:t>
      </w:r>
      <w:r>
        <w:rPr>
          <w:spacing w:val="-9"/>
          <w:sz w:val="22"/>
        </w:rPr>
        <w:t> </w:t>
      </w:r>
      <w:r>
        <w:rPr>
          <w:sz w:val="22"/>
        </w:rPr>
        <w:t>Program’s Flexible</w:t>
      </w:r>
      <w:r>
        <w:rPr>
          <w:spacing w:val="-12"/>
          <w:sz w:val="22"/>
        </w:rPr>
        <w:t> </w:t>
      </w:r>
      <w:r>
        <w:rPr>
          <w:sz w:val="22"/>
        </w:rPr>
        <w:t>Services</w:t>
      </w:r>
      <w:r>
        <w:rPr>
          <w:spacing w:val="-11"/>
          <w:sz w:val="22"/>
        </w:rPr>
        <w:t> </w:t>
      </w:r>
      <w:r>
        <w:rPr>
          <w:sz w:val="22"/>
        </w:rPr>
        <w:t>Program</w:t>
      </w:r>
      <w:r>
        <w:rPr>
          <w:spacing w:val="-14"/>
          <w:sz w:val="22"/>
        </w:rPr>
        <w:t> </w:t>
      </w:r>
      <w:r>
        <w:rPr>
          <w:sz w:val="22"/>
        </w:rPr>
        <w:t>(FSP).</w:t>
      </w:r>
      <w:r>
        <w:rPr>
          <w:spacing w:val="33"/>
          <w:sz w:val="22"/>
        </w:rPr>
        <w:t> </w:t>
      </w:r>
      <w:r>
        <w:rPr>
          <w:sz w:val="22"/>
        </w:rPr>
        <w:t>Under</w:t>
      </w:r>
      <w:r>
        <w:rPr>
          <w:spacing w:val="-11"/>
          <w:sz w:val="22"/>
        </w:rPr>
        <w:t> </w:t>
      </w:r>
      <w:r>
        <w:rPr>
          <w:sz w:val="22"/>
        </w:rPr>
        <w:t>the</w:t>
      </w:r>
      <w:r>
        <w:rPr>
          <w:spacing w:val="-11"/>
          <w:sz w:val="22"/>
        </w:rPr>
        <w:t> </w:t>
      </w:r>
      <w:r>
        <w:rPr>
          <w:sz w:val="22"/>
        </w:rPr>
        <w:t>FSP,</w:t>
      </w:r>
      <w:r>
        <w:rPr>
          <w:spacing w:val="-12"/>
          <w:sz w:val="22"/>
        </w:rPr>
        <w:t> </w:t>
      </w:r>
      <w:r>
        <w:rPr>
          <w:sz w:val="22"/>
        </w:rPr>
        <w:t>the</w:t>
      </w:r>
      <w:r>
        <w:rPr>
          <w:spacing w:val="-11"/>
          <w:sz w:val="22"/>
        </w:rPr>
        <w:t> </w:t>
      </w:r>
      <w:r>
        <w:rPr>
          <w:sz w:val="22"/>
        </w:rPr>
        <w:t>State</w:t>
      </w:r>
      <w:r>
        <w:rPr>
          <w:spacing w:val="-11"/>
          <w:sz w:val="22"/>
        </w:rPr>
        <w:t> </w:t>
      </w:r>
      <w:r>
        <w:rPr>
          <w:sz w:val="22"/>
        </w:rPr>
        <w:t>will</w:t>
      </w:r>
      <w:r>
        <w:rPr>
          <w:spacing w:val="-11"/>
          <w:sz w:val="22"/>
        </w:rPr>
        <w:t> </w:t>
      </w:r>
      <w:r>
        <w:rPr>
          <w:sz w:val="22"/>
        </w:rPr>
        <w:t>provide</w:t>
      </w:r>
      <w:r>
        <w:rPr>
          <w:spacing w:val="-11"/>
          <w:sz w:val="22"/>
        </w:rPr>
        <w:t> </w:t>
      </w:r>
      <w:r>
        <w:rPr>
          <w:sz w:val="22"/>
        </w:rPr>
        <w:t>eligible</w:t>
      </w:r>
      <w:r>
        <w:rPr>
          <w:spacing w:val="-11"/>
          <w:sz w:val="22"/>
        </w:rPr>
        <w:t> </w:t>
      </w:r>
      <w:r>
        <w:rPr>
          <w:sz w:val="22"/>
        </w:rPr>
        <w:t>MassHealth</w:t>
      </w:r>
      <w:r>
        <w:rPr>
          <w:spacing w:val="-12"/>
          <w:sz w:val="22"/>
        </w:rPr>
        <w:t> </w:t>
      </w:r>
      <w:r>
        <w:rPr>
          <w:sz w:val="22"/>
        </w:rPr>
        <w:t>members</w:t>
      </w:r>
      <w:r>
        <w:rPr>
          <w:spacing w:val="-11"/>
          <w:sz w:val="22"/>
        </w:rPr>
        <w:t> </w:t>
      </w:r>
      <w:r>
        <w:rPr>
          <w:sz w:val="22"/>
        </w:rPr>
        <w:t>with access</w:t>
      </w:r>
      <w:r>
        <w:rPr>
          <w:spacing w:val="-7"/>
          <w:sz w:val="22"/>
        </w:rPr>
        <w:t> </w:t>
      </w:r>
      <w:r>
        <w:rPr>
          <w:sz w:val="22"/>
        </w:rPr>
        <w:t>to</w:t>
      </w:r>
      <w:r>
        <w:rPr>
          <w:spacing w:val="-7"/>
          <w:sz w:val="22"/>
        </w:rPr>
        <w:t> </w:t>
      </w:r>
      <w:r>
        <w:rPr>
          <w:sz w:val="22"/>
        </w:rPr>
        <w:t>Flexible</w:t>
      </w:r>
      <w:r>
        <w:rPr>
          <w:spacing w:val="-7"/>
          <w:sz w:val="22"/>
        </w:rPr>
        <w:t> </w:t>
      </w:r>
      <w:r>
        <w:rPr>
          <w:sz w:val="22"/>
        </w:rPr>
        <w:t>Services,</w:t>
      </w:r>
      <w:r>
        <w:rPr>
          <w:spacing w:val="-9"/>
          <w:sz w:val="22"/>
        </w:rPr>
        <w:t> </w:t>
      </w:r>
      <w:r>
        <w:rPr>
          <w:sz w:val="22"/>
        </w:rPr>
        <w:t>which</w:t>
      </w:r>
      <w:r>
        <w:rPr>
          <w:spacing w:val="-7"/>
          <w:sz w:val="22"/>
        </w:rPr>
        <w:t> </w:t>
      </w:r>
      <w:r>
        <w:rPr>
          <w:sz w:val="22"/>
        </w:rPr>
        <w:t>consist</w:t>
      </w:r>
      <w:r>
        <w:rPr>
          <w:spacing w:val="-6"/>
          <w:sz w:val="22"/>
        </w:rPr>
        <w:t> </w:t>
      </w:r>
      <w:r>
        <w:rPr>
          <w:sz w:val="22"/>
        </w:rPr>
        <w:t>of</w:t>
      </w:r>
      <w:r>
        <w:rPr>
          <w:spacing w:val="-8"/>
          <w:sz w:val="22"/>
        </w:rPr>
        <w:t> </w:t>
      </w:r>
      <w:r>
        <w:rPr>
          <w:sz w:val="22"/>
        </w:rPr>
        <w:t>Tenancy</w:t>
      </w:r>
      <w:r>
        <w:rPr>
          <w:spacing w:val="-9"/>
          <w:sz w:val="22"/>
        </w:rPr>
        <w:t> </w:t>
      </w:r>
      <w:r>
        <w:rPr>
          <w:sz w:val="22"/>
        </w:rPr>
        <w:t>Preservation</w:t>
      </w:r>
      <w:r>
        <w:rPr>
          <w:spacing w:val="-7"/>
          <w:sz w:val="22"/>
        </w:rPr>
        <w:t> </w:t>
      </w:r>
      <w:r>
        <w:rPr>
          <w:sz w:val="22"/>
        </w:rPr>
        <w:t>Services</w:t>
      </w:r>
      <w:r>
        <w:rPr>
          <w:spacing w:val="-7"/>
          <w:sz w:val="22"/>
        </w:rPr>
        <w:t> </w:t>
      </w:r>
      <w:r>
        <w:rPr>
          <w:sz w:val="22"/>
        </w:rPr>
        <w:t>(TPS)</w:t>
      </w:r>
      <w:r>
        <w:rPr>
          <w:spacing w:val="-6"/>
          <w:sz w:val="22"/>
        </w:rPr>
        <w:t> </w:t>
      </w:r>
      <w:r>
        <w:rPr>
          <w:sz w:val="22"/>
        </w:rPr>
        <w:t>and</w:t>
      </w:r>
      <w:r>
        <w:rPr>
          <w:spacing w:val="-7"/>
          <w:sz w:val="22"/>
        </w:rPr>
        <w:t> </w:t>
      </w:r>
      <w:r>
        <w:rPr>
          <w:sz w:val="22"/>
        </w:rPr>
        <w:t>Nutritional</w:t>
      </w:r>
      <w:r>
        <w:rPr>
          <w:spacing w:val="-6"/>
          <w:sz w:val="22"/>
        </w:rPr>
        <w:t> </w:t>
      </w:r>
      <w:r>
        <w:rPr>
          <w:sz w:val="22"/>
        </w:rPr>
        <w:t>Support Services</w:t>
      </w:r>
      <w:r>
        <w:rPr>
          <w:spacing w:val="-11"/>
          <w:sz w:val="22"/>
        </w:rPr>
        <w:t> </w:t>
      </w:r>
      <w:r>
        <w:rPr>
          <w:sz w:val="22"/>
        </w:rPr>
        <w:t>(NSS).</w:t>
      </w:r>
      <w:r>
        <w:rPr>
          <w:spacing w:val="-12"/>
          <w:sz w:val="22"/>
        </w:rPr>
        <w:t> </w:t>
      </w:r>
      <w:r>
        <w:rPr>
          <w:sz w:val="22"/>
        </w:rPr>
        <w:t>This</w:t>
      </w:r>
      <w:r>
        <w:rPr>
          <w:spacing w:val="-9"/>
          <w:sz w:val="22"/>
        </w:rPr>
        <w:t> </w:t>
      </w:r>
      <w:r>
        <w:rPr>
          <w:sz w:val="22"/>
        </w:rPr>
        <w:t>protocol</w:t>
      </w:r>
      <w:r>
        <w:rPr>
          <w:spacing w:val="-8"/>
          <w:sz w:val="22"/>
        </w:rPr>
        <w:t> </w:t>
      </w:r>
      <w:r>
        <w:rPr>
          <w:sz w:val="22"/>
        </w:rPr>
        <w:t>outlines</w:t>
      </w:r>
      <w:r>
        <w:rPr>
          <w:spacing w:val="-11"/>
          <w:sz w:val="22"/>
        </w:rPr>
        <w:t> </w:t>
      </w:r>
      <w:r>
        <w:rPr>
          <w:sz w:val="22"/>
        </w:rPr>
        <w:t>the</w:t>
      </w:r>
      <w:r>
        <w:rPr>
          <w:spacing w:val="-12"/>
          <w:sz w:val="22"/>
        </w:rPr>
        <w:t> </w:t>
      </w:r>
      <w:r>
        <w:rPr>
          <w:sz w:val="22"/>
        </w:rPr>
        <w:t>target</w:t>
      </w:r>
      <w:r>
        <w:rPr>
          <w:spacing w:val="-9"/>
          <w:sz w:val="22"/>
        </w:rPr>
        <w:t> </w:t>
      </w:r>
      <w:r>
        <w:rPr>
          <w:sz w:val="22"/>
        </w:rPr>
        <w:t>criteria,</w:t>
      </w:r>
      <w:r>
        <w:rPr>
          <w:spacing w:val="-10"/>
          <w:sz w:val="22"/>
        </w:rPr>
        <w:t> </w:t>
      </w:r>
      <w:r>
        <w:rPr>
          <w:sz w:val="22"/>
        </w:rPr>
        <w:t>needs</w:t>
      </w:r>
      <w:r>
        <w:rPr>
          <w:spacing w:val="-9"/>
          <w:sz w:val="22"/>
        </w:rPr>
        <w:t> </w:t>
      </w:r>
      <w:r>
        <w:rPr>
          <w:sz w:val="22"/>
        </w:rPr>
        <w:t>based</w:t>
      </w:r>
      <w:r>
        <w:rPr>
          <w:spacing w:val="-12"/>
          <w:sz w:val="22"/>
        </w:rPr>
        <w:t> </w:t>
      </w:r>
      <w:r>
        <w:rPr>
          <w:sz w:val="22"/>
        </w:rPr>
        <w:t>criteria,</w:t>
      </w:r>
      <w:r>
        <w:rPr>
          <w:spacing w:val="-12"/>
          <w:sz w:val="22"/>
        </w:rPr>
        <w:t> </w:t>
      </w:r>
      <w:r>
        <w:rPr>
          <w:sz w:val="22"/>
        </w:rPr>
        <w:t>the</w:t>
      </w:r>
      <w:r>
        <w:rPr>
          <w:spacing w:val="-12"/>
          <w:sz w:val="22"/>
        </w:rPr>
        <w:t> </w:t>
      </w:r>
      <w:r>
        <w:rPr>
          <w:sz w:val="22"/>
        </w:rPr>
        <w:t>covered</w:t>
      </w:r>
      <w:r>
        <w:rPr>
          <w:spacing w:val="-10"/>
          <w:sz w:val="22"/>
        </w:rPr>
        <w:t> </w:t>
      </w:r>
      <w:r>
        <w:rPr>
          <w:sz w:val="22"/>
        </w:rPr>
        <w:t>flexible</w:t>
      </w:r>
      <w:r>
        <w:rPr>
          <w:spacing w:val="-9"/>
          <w:sz w:val="22"/>
        </w:rPr>
        <w:t> </w:t>
      </w:r>
      <w:r>
        <w:rPr>
          <w:sz w:val="22"/>
        </w:rPr>
        <w:t>services, the</w:t>
      </w:r>
      <w:r>
        <w:rPr>
          <w:spacing w:val="-8"/>
          <w:sz w:val="22"/>
        </w:rPr>
        <w:t> </w:t>
      </w:r>
      <w:r>
        <w:rPr>
          <w:sz w:val="22"/>
        </w:rPr>
        <w:t>flexible</w:t>
      </w:r>
      <w:r>
        <w:rPr>
          <w:spacing w:val="-6"/>
          <w:sz w:val="22"/>
        </w:rPr>
        <w:t> </w:t>
      </w:r>
      <w:r>
        <w:rPr>
          <w:sz w:val="22"/>
        </w:rPr>
        <w:t>service</w:t>
      </w:r>
      <w:r>
        <w:rPr>
          <w:spacing w:val="-6"/>
          <w:sz w:val="22"/>
        </w:rPr>
        <w:t> </w:t>
      </w:r>
      <w:r>
        <w:rPr>
          <w:sz w:val="22"/>
        </w:rPr>
        <w:t>planning</w:t>
      </w:r>
      <w:r>
        <w:rPr>
          <w:spacing w:val="-9"/>
          <w:sz w:val="22"/>
        </w:rPr>
        <w:t> </w:t>
      </w:r>
      <w:r>
        <w:rPr>
          <w:sz w:val="22"/>
        </w:rPr>
        <w:t>process,</w:t>
      </w:r>
      <w:r>
        <w:rPr>
          <w:spacing w:val="-9"/>
          <w:sz w:val="22"/>
        </w:rPr>
        <w:t> </w:t>
      </w:r>
      <w:r>
        <w:rPr>
          <w:sz w:val="22"/>
        </w:rPr>
        <w:t>and</w:t>
      </w:r>
      <w:r>
        <w:rPr>
          <w:spacing w:val="-9"/>
          <w:sz w:val="22"/>
        </w:rPr>
        <w:t> </w:t>
      </w:r>
      <w:r>
        <w:rPr>
          <w:sz w:val="22"/>
        </w:rPr>
        <w:t>the</w:t>
      </w:r>
      <w:r>
        <w:rPr>
          <w:spacing w:val="-6"/>
          <w:sz w:val="22"/>
        </w:rPr>
        <w:t> </w:t>
      </w:r>
      <w:r>
        <w:rPr>
          <w:sz w:val="22"/>
        </w:rPr>
        <w:t>payment</w:t>
      </w:r>
      <w:r>
        <w:rPr>
          <w:spacing w:val="-8"/>
          <w:sz w:val="22"/>
        </w:rPr>
        <w:t> </w:t>
      </w:r>
      <w:r>
        <w:rPr>
          <w:sz w:val="22"/>
        </w:rPr>
        <w:t>methodology</w:t>
      </w:r>
      <w:r>
        <w:rPr>
          <w:spacing w:val="-9"/>
          <w:sz w:val="22"/>
        </w:rPr>
        <w:t> </w:t>
      </w:r>
      <w:r>
        <w:rPr>
          <w:sz w:val="22"/>
        </w:rPr>
        <w:t>for</w:t>
      </w:r>
      <w:r>
        <w:rPr>
          <w:spacing w:val="-5"/>
          <w:sz w:val="22"/>
        </w:rPr>
        <w:t> </w:t>
      </w:r>
      <w:r>
        <w:rPr>
          <w:sz w:val="22"/>
        </w:rPr>
        <w:t>covered</w:t>
      </w:r>
      <w:r>
        <w:rPr>
          <w:spacing w:val="-9"/>
          <w:sz w:val="22"/>
        </w:rPr>
        <w:t> </w:t>
      </w:r>
      <w:r>
        <w:rPr>
          <w:sz w:val="22"/>
        </w:rPr>
        <w:t>flexible</w:t>
      </w:r>
      <w:r>
        <w:rPr>
          <w:spacing w:val="-6"/>
          <w:sz w:val="22"/>
        </w:rPr>
        <w:t> </w:t>
      </w:r>
      <w:r>
        <w:rPr>
          <w:sz w:val="22"/>
        </w:rPr>
        <w:t>services</w:t>
      </w:r>
      <w:r>
        <w:rPr>
          <w:spacing w:val="-6"/>
          <w:sz w:val="22"/>
        </w:rPr>
        <w:t> </w:t>
      </w:r>
      <w:r>
        <w:rPr>
          <w:sz w:val="22"/>
        </w:rPr>
        <w:t>under</w:t>
      </w:r>
      <w:r>
        <w:rPr>
          <w:spacing w:val="-8"/>
          <w:sz w:val="22"/>
        </w:rPr>
        <w:t> </w:t>
      </w:r>
      <w:r>
        <w:rPr>
          <w:sz w:val="22"/>
        </w:rPr>
        <w:t>the </w:t>
      </w:r>
      <w:r>
        <w:rPr>
          <w:spacing w:val="-4"/>
          <w:sz w:val="22"/>
        </w:rPr>
        <w:t>FSP.</w:t>
      </w:r>
    </w:p>
    <w:p>
      <w:pPr>
        <w:pStyle w:val="ListParagraph"/>
        <w:numPr>
          <w:ilvl w:val="0"/>
          <w:numId w:val="116"/>
        </w:numPr>
        <w:tabs>
          <w:tab w:pos="479" w:val="left" w:leader="none"/>
        </w:tabs>
        <w:spacing w:line="240" w:lineRule="auto" w:before="202" w:after="0"/>
        <w:ind w:left="479" w:right="0" w:hanging="359"/>
        <w:jc w:val="left"/>
        <w:rPr>
          <w:b/>
          <w:sz w:val="22"/>
        </w:rPr>
      </w:pPr>
      <w:bookmarkStart w:name="I. Target Criteria" w:id="1554"/>
      <w:bookmarkEnd w:id="1554"/>
      <w:r>
        <w:rPr/>
      </w:r>
      <w:r>
        <w:rPr>
          <w:b/>
          <w:sz w:val="22"/>
          <w:u w:val="single"/>
        </w:rPr>
        <w:t>Target </w:t>
      </w:r>
      <w:r>
        <w:rPr>
          <w:b/>
          <w:spacing w:val="-2"/>
          <w:sz w:val="22"/>
          <w:u w:val="single"/>
        </w:rPr>
        <w:t>Criteria</w:t>
      </w:r>
    </w:p>
    <w:p>
      <w:pPr>
        <w:spacing w:before="201"/>
        <w:ind w:left="120" w:right="0" w:firstLine="0"/>
        <w:jc w:val="left"/>
        <w:rPr>
          <w:sz w:val="22"/>
        </w:rPr>
      </w:pPr>
      <w:r>
        <w:rPr>
          <w:sz w:val="22"/>
        </w:rPr>
        <w:t>ACO-enrolled</w:t>
      </w:r>
      <w:r>
        <w:rPr>
          <w:spacing w:val="-7"/>
          <w:sz w:val="22"/>
        </w:rPr>
        <w:t> </w:t>
      </w:r>
      <w:r>
        <w:rPr>
          <w:sz w:val="22"/>
        </w:rPr>
        <w:t>MassHealth</w:t>
      </w:r>
      <w:r>
        <w:rPr>
          <w:spacing w:val="-9"/>
          <w:sz w:val="22"/>
        </w:rPr>
        <w:t> </w:t>
      </w:r>
      <w:r>
        <w:rPr>
          <w:sz w:val="22"/>
        </w:rPr>
        <w:t>members</w:t>
      </w:r>
      <w:r>
        <w:rPr>
          <w:spacing w:val="-7"/>
          <w:sz w:val="22"/>
        </w:rPr>
        <w:t> </w:t>
      </w:r>
      <w:r>
        <w:rPr>
          <w:sz w:val="22"/>
        </w:rPr>
        <w:t>ages</w:t>
      </w:r>
      <w:r>
        <w:rPr>
          <w:spacing w:val="-6"/>
          <w:sz w:val="22"/>
        </w:rPr>
        <w:t> </w:t>
      </w:r>
      <w:r>
        <w:rPr>
          <w:sz w:val="22"/>
        </w:rPr>
        <w:t>0-</w:t>
      </w:r>
      <w:r>
        <w:rPr>
          <w:spacing w:val="-5"/>
          <w:sz w:val="22"/>
        </w:rPr>
        <w:t>64.</w:t>
      </w:r>
    </w:p>
    <w:p>
      <w:pPr>
        <w:pStyle w:val="ListParagraph"/>
        <w:numPr>
          <w:ilvl w:val="0"/>
          <w:numId w:val="116"/>
        </w:numPr>
        <w:tabs>
          <w:tab w:pos="478" w:val="left" w:leader="none"/>
        </w:tabs>
        <w:spacing w:line="240" w:lineRule="auto" w:before="198" w:after="0"/>
        <w:ind w:left="478" w:right="0" w:hanging="358"/>
        <w:jc w:val="left"/>
        <w:rPr>
          <w:b/>
          <w:sz w:val="22"/>
        </w:rPr>
      </w:pPr>
      <w:bookmarkStart w:name="II. Needs Based Criteria" w:id="1555"/>
      <w:bookmarkEnd w:id="1555"/>
      <w:r>
        <w:rPr/>
      </w:r>
      <w:r>
        <w:rPr>
          <w:b/>
          <w:sz w:val="22"/>
          <w:u w:val="single"/>
        </w:rPr>
        <w:t>Needs</w:t>
      </w:r>
      <w:r>
        <w:rPr>
          <w:b/>
          <w:spacing w:val="-4"/>
          <w:sz w:val="22"/>
          <w:u w:val="single"/>
        </w:rPr>
        <w:t> </w:t>
      </w:r>
      <w:r>
        <w:rPr>
          <w:b/>
          <w:sz w:val="22"/>
          <w:u w:val="single"/>
        </w:rPr>
        <w:t>Based</w:t>
      </w:r>
      <w:r>
        <w:rPr>
          <w:b/>
          <w:spacing w:val="-3"/>
          <w:sz w:val="22"/>
          <w:u w:val="single"/>
        </w:rPr>
        <w:t> </w:t>
      </w:r>
      <w:r>
        <w:rPr>
          <w:b/>
          <w:spacing w:val="-2"/>
          <w:sz w:val="22"/>
          <w:u w:val="single"/>
        </w:rPr>
        <w:t>Criteria</w:t>
      </w:r>
    </w:p>
    <w:p>
      <w:pPr>
        <w:spacing w:before="198"/>
        <w:ind w:left="119" w:right="306" w:firstLine="0"/>
        <w:jc w:val="left"/>
        <w:rPr>
          <w:sz w:val="22"/>
        </w:rPr>
      </w:pPr>
      <w:r>
        <w:rPr>
          <w:sz w:val="22"/>
        </w:rPr>
        <w:t>Members who meet the target criteria outlined in Section I must also meet </w:t>
      </w:r>
      <w:r>
        <w:rPr>
          <w:b/>
          <w:sz w:val="22"/>
        </w:rPr>
        <w:t>at least one of </w:t>
      </w:r>
      <w:r>
        <w:rPr>
          <w:sz w:val="22"/>
        </w:rPr>
        <w:t>the health needs-based</w:t>
      </w:r>
      <w:r>
        <w:rPr>
          <w:spacing w:val="-2"/>
          <w:sz w:val="22"/>
        </w:rPr>
        <w:t> </w:t>
      </w:r>
      <w:r>
        <w:rPr>
          <w:sz w:val="22"/>
        </w:rPr>
        <w:t>criteria</w:t>
      </w:r>
      <w:r>
        <w:rPr>
          <w:spacing w:val="-2"/>
          <w:sz w:val="22"/>
        </w:rPr>
        <w:t> </w:t>
      </w:r>
      <w:r>
        <w:rPr>
          <w:sz w:val="22"/>
        </w:rPr>
        <w:t>outlined</w:t>
      </w:r>
      <w:r>
        <w:rPr>
          <w:spacing w:val="-2"/>
          <w:sz w:val="22"/>
        </w:rPr>
        <w:t> </w:t>
      </w:r>
      <w:r>
        <w:rPr>
          <w:sz w:val="22"/>
        </w:rPr>
        <w:t>in</w:t>
      </w:r>
      <w:r>
        <w:rPr>
          <w:spacing w:val="-2"/>
          <w:sz w:val="22"/>
        </w:rPr>
        <w:t> </w:t>
      </w:r>
      <w:r>
        <w:rPr>
          <w:sz w:val="22"/>
        </w:rPr>
        <w:t>Section</w:t>
      </w:r>
      <w:r>
        <w:rPr>
          <w:spacing w:val="-2"/>
          <w:sz w:val="22"/>
        </w:rPr>
        <w:t> </w:t>
      </w:r>
      <w:r>
        <w:rPr>
          <w:sz w:val="22"/>
        </w:rPr>
        <w:t>II.A;</w:t>
      </w:r>
      <w:r>
        <w:rPr>
          <w:spacing w:val="-1"/>
          <w:sz w:val="22"/>
        </w:rPr>
        <w:t> </w:t>
      </w:r>
      <w:r>
        <w:rPr>
          <w:b/>
          <w:sz w:val="22"/>
        </w:rPr>
        <w:t>and</w:t>
      </w:r>
      <w:r>
        <w:rPr>
          <w:b/>
          <w:spacing w:val="-3"/>
          <w:sz w:val="22"/>
        </w:rPr>
        <w:t> </w:t>
      </w:r>
      <w:r>
        <w:rPr>
          <w:b/>
          <w:sz w:val="22"/>
        </w:rPr>
        <w:t>at</w:t>
      </w:r>
      <w:r>
        <w:rPr>
          <w:b/>
          <w:spacing w:val="-1"/>
          <w:sz w:val="22"/>
        </w:rPr>
        <w:t> </w:t>
      </w:r>
      <w:r>
        <w:rPr>
          <w:b/>
          <w:sz w:val="22"/>
        </w:rPr>
        <w:t>least</w:t>
      </w:r>
      <w:r>
        <w:rPr>
          <w:b/>
          <w:spacing w:val="-1"/>
          <w:sz w:val="22"/>
        </w:rPr>
        <w:t> </w:t>
      </w:r>
      <w:r>
        <w:rPr>
          <w:sz w:val="22"/>
        </w:rPr>
        <w:t>one</w:t>
      </w:r>
      <w:r>
        <w:rPr>
          <w:spacing w:val="-2"/>
          <w:sz w:val="22"/>
        </w:rPr>
        <w:t> </w:t>
      </w:r>
      <w:r>
        <w:rPr>
          <w:sz w:val="22"/>
        </w:rPr>
        <w:t>of</w:t>
      </w:r>
      <w:r>
        <w:rPr>
          <w:spacing w:val="-4"/>
          <w:sz w:val="22"/>
        </w:rPr>
        <w:t> </w:t>
      </w:r>
      <w:r>
        <w:rPr>
          <w:sz w:val="22"/>
        </w:rPr>
        <w:t>the</w:t>
      </w:r>
      <w:r>
        <w:rPr>
          <w:spacing w:val="-4"/>
          <w:sz w:val="22"/>
        </w:rPr>
        <w:t> </w:t>
      </w:r>
      <w:r>
        <w:rPr>
          <w:sz w:val="22"/>
        </w:rPr>
        <w:t>risk</w:t>
      </w:r>
      <w:r>
        <w:rPr>
          <w:spacing w:val="-5"/>
          <w:sz w:val="22"/>
        </w:rPr>
        <w:t> </w:t>
      </w:r>
      <w:r>
        <w:rPr>
          <w:sz w:val="22"/>
        </w:rPr>
        <w:t>factors</w:t>
      </w:r>
      <w:r>
        <w:rPr>
          <w:spacing w:val="-2"/>
          <w:sz w:val="22"/>
        </w:rPr>
        <w:t> </w:t>
      </w:r>
      <w:r>
        <w:rPr>
          <w:sz w:val="22"/>
        </w:rPr>
        <w:t>outlined</w:t>
      </w:r>
      <w:r>
        <w:rPr>
          <w:spacing w:val="-5"/>
          <w:sz w:val="22"/>
        </w:rPr>
        <w:t> </w:t>
      </w:r>
      <w:r>
        <w:rPr>
          <w:sz w:val="22"/>
        </w:rPr>
        <w:t>in</w:t>
      </w:r>
      <w:r>
        <w:rPr>
          <w:spacing w:val="-2"/>
          <w:sz w:val="22"/>
        </w:rPr>
        <w:t> </w:t>
      </w:r>
      <w:r>
        <w:rPr>
          <w:sz w:val="22"/>
        </w:rPr>
        <w:t>Section</w:t>
      </w:r>
      <w:r>
        <w:rPr>
          <w:spacing w:val="-2"/>
          <w:sz w:val="22"/>
        </w:rPr>
        <w:t> </w:t>
      </w:r>
      <w:r>
        <w:rPr>
          <w:sz w:val="22"/>
        </w:rPr>
        <w:t>II.B associated with the need for flexible services covered under the FSP as determined by the Flexible Service Assessment outlined in Section IV.</w:t>
      </w:r>
    </w:p>
    <w:p>
      <w:pPr>
        <w:pStyle w:val="ListParagraph"/>
        <w:numPr>
          <w:ilvl w:val="1"/>
          <w:numId w:val="116"/>
        </w:numPr>
        <w:tabs>
          <w:tab w:pos="837" w:val="left" w:leader="none"/>
        </w:tabs>
        <w:spacing w:line="240" w:lineRule="auto" w:before="202" w:after="0"/>
        <w:ind w:left="837" w:right="0" w:hanging="358"/>
        <w:jc w:val="left"/>
        <w:rPr>
          <w:b/>
          <w:sz w:val="22"/>
        </w:rPr>
      </w:pPr>
      <w:bookmarkStart w:name="A. Health Needs-Based Criteria" w:id="1556"/>
      <w:bookmarkEnd w:id="1556"/>
      <w:r>
        <w:rPr/>
      </w:r>
      <w:r>
        <w:rPr>
          <w:b/>
          <w:sz w:val="22"/>
        </w:rPr>
        <w:t>Health</w:t>
      </w:r>
      <w:r>
        <w:rPr>
          <w:b/>
          <w:spacing w:val="-6"/>
          <w:sz w:val="22"/>
        </w:rPr>
        <w:t> </w:t>
      </w:r>
      <w:r>
        <w:rPr>
          <w:b/>
          <w:sz w:val="22"/>
        </w:rPr>
        <w:t>Needs-Based</w:t>
      </w:r>
      <w:r>
        <w:rPr>
          <w:b/>
          <w:spacing w:val="-5"/>
          <w:sz w:val="22"/>
        </w:rPr>
        <w:t> </w:t>
      </w:r>
      <w:r>
        <w:rPr>
          <w:b/>
          <w:spacing w:val="-2"/>
          <w:sz w:val="22"/>
        </w:rPr>
        <w:t>Criteria</w:t>
      </w:r>
    </w:p>
    <w:p>
      <w:pPr>
        <w:pStyle w:val="ListParagraph"/>
        <w:numPr>
          <w:ilvl w:val="2"/>
          <w:numId w:val="116"/>
        </w:numPr>
        <w:tabs>
          <w:tab w:pos="1468" w:val="left" w:leader="none"/>
          <w:tab w:pos="1559" w:val="left" w:leader="none"/>
        </w:tabs>
        <w:spacing w:line="240" w:lineRule="auto" w:before="198" w:after="0"/>
        <w:ind w:left="1559" w:right="116" w:hanging="361"/>
        <w:jc w:val="both"/>
        <w:rPr>
          <w:sz w:val="22"/>
        </w:rPr>
      </w:pPr>
      <w:r>
        <w:rPr>
          <w:sz w:val="22"/>
        </w:rPr>
        <w:t>The</w:t>
      </w:r>
      <w:r>
        <w:rPr>
          <w:spacing w:val="-4"/>
          <w:sz w:val="22"/>
        </w:rPr>
        <w:t> </w:t>
      </w:r>
      <w:r>
        <w:rPr>
          <w:sz w:val="22"/>
        </w:rPr>
        <w:t>individual</w:t>
      </w:r>
      <w:r>
        <w:rPr>
          <w:spacing w:val="-1"/>
          <w:sz w:val="22"/>
        </w:rPr>
        <w:t> </w:t>
      </w:r>
      <w:r>
        <w:rPr>
          <w:sz w:val="22"/>
        </w:rPr>
        <w:t>is</w:t>
      </w:r>
      <w:r>
        <w:rPr>
          <w:spacing w:val="-4"/>
          <w:sz w:val="22"/>
        </w:rPr>
        <w:t> </w:t>
      </w:r>
      <w:r>
        <w:rPr>
          <w:sz w:val="22"/>
        </w:rPr>
        <w:t>assessed</w:t>
      </w:r>
      <w:r>
        <w:rPr>
          <w:spacing w:val="-2"/>
          <w:sz w:val="22"/>
        </w:rPr>
        <w:t> </w:t>
      </w:r>
      <w:r>
        <w:rPr>
          <w:sz w:val="22"/>
        </w:rPr>
        <w:t>to</w:t>
      </w:r>
      <w:r>
        <w:rPr>
          <w:spacing w:val="-2"/>
          <w:sz w:val="22"/>
        </w:rPr>
        <w:t> </w:t>
      </w:r>
      <w:r>
        <w:rPr>
          <w:sz w:val="22"/>
        </w:rPr>
        <w:t>have</w:t>
      </w:r>
      <w:r>
        <w:rPr>
          <w:spacing w:val="-2"/>
          <w:sz w:val="22"/>
        </w:rPr>
        <w:t> </w:t>
      </w:r>
      <w:r>
        <w:rPr>
          <w:sz w:val="22"/>
        </w:rPr>
        <w:t>a</w:t>
      </w:r>
      <w:r>
        <w:rPr>
          <w:spacing w:val="-2"/>
          <w:sz w:val="22"/>
        </w:rPr>
        <w:t> </w:t>
      </w:r>
      <w:r>
        <w:rPr>
          <w:sz w:val="22"/>
        </w:rPr>
        <w:t>behavioral</w:t>
      </w:r>
      <w:r>
        <w:rPr>
          <w:spacing w:val="-1"/>
          <w:sz w:val="22"/>
        </w:rPr>
        <w:t> </w:t>
      </w:r>
      <w:r>
        <w:rPr>
          <w:sz w:val="22"/>
        </w:rPr>
        <w:t>health</w:t>
      </w:r>
      <w:r>
        <w:rPr>
          <w:spacing w:val="-5"/>
          <w:sz w:val="22"/>
        </w:rPr>
        <w:t> </w:t>
      </w:r>
      <w:r>
        <w:rPr>
          <w:sz w:val="22"/>
        </w:rPr>
        <w:t>need</w:t>
      </w:r>
      <w:r>
        <w:rPr>
          <w:spacing w:val="-2"/>
          <w:sz w:val="22"/>
        </w:rPr>
        <w:t> </w:t>
      </w:r>
      <w:r>
        <w:rPr>
          <w:sz w:val="22"/>
        </w:rPr>
        <w:t>(mental</w:t>
      </w:r>
      <w:r>
        <w:rPr>
          <w:spacing w:val="-1"/>
          <w:sz w:val="22"/>
        </w:rPr>
        <w:t> </w:t>
      </w:r>
      <w:r>
        <w:rPr>
          <w:sz w:val="22"/>
        </w:rPr>
        <w:t>health</w:t>
      </w:r>
      <w:r>
        <w:rPr>
          <w:spacing w:val="-2"/>
          <w:sz w:val="22"/>
        </w:rPr>
        <w:t> </w:t>
      </w:r>
      <w:r>
        <w:rPr>
          <w:sz w:val="22"/>
        </w:rPr>
        <w:t>or</w:t>
      </w:r>
      <w:r>
        <w:rPr>
          <w:spacing w:val="-1"/>
          <w:sz w:val="22"/>
        </w:rPr>
        <w:t> </w:t>
      </w:r>
      <w:r>
        <w:rPr>
          <w:sz w:val="22"/>
        </w:rPr>
        <w:t>substance</w:t>
      </w:r>
      <w:r>
        <w:rPr>
          <w:spacing w:val="-2"/>
          <w:sz w:val="22"/>
        </w:rPr>
        <w:t> </w:t>
      </w:r>
      <w:r>
        <w:rPr>
          <w:sz w:val="22"/>
        </w:rPr>
        <w:t>use disorder) requiring improvement, stabilization, or prevention of deterioration of functioning (including the ability to live independently without support)</w:t>
      </w:r>
    </w:p>
    <w:p>
      <w:pPr>
        <w:pStyle w:val="ListParagraph"/>
        <w:numPr>
          <w:ilvl w:val="2"/>
          <w:numId w:val="116"/>
        </w:numPr>
        <w:tabs>
          <w:tab w:pos="1524" w:val="left" w:leader="none"/>
          <w:tab w:pos="1559" w:val="left" w:leader="none"/>
        </w:tabs>
        <w:spacing w:line="240" w:lineRule="auto" w:before="0" w:after="0"/>
        <w:ind w:left="1559" w:right="114" w:hanging="360"/>
        <w:jc w:val="both"/>
        <w:rPr>
          <w:sz w:val="22"/>
        </w:rPr>
      </w:pPr>
      <w:r>
        <w:rPr>
          <w:sz w:val="22"/>
        </w:rPr>
        <w:t>The individual is assessed to have a complex physical health need, which is defined as persistent, disabling, or progressively life-threatening physical health condition(s), requiring improvement, stabilization, or prevention of deterioration of functioning (including the ability to live independently without support);</w:t>
      </w:r>
    </w:p>
    <w:p>
      <w:pPr>
        <w:pStyle w:val="ListParagraph"/>
        <w:numPr>
          <w:ilvl w:val="2"/>
          <w:numId w:val="116"/>
        </w:numPr>
        <w:tabs>
          <w:tab w:pos="1469" w:val="left" w:leader="none"/>
          <w:tab w:pos="1559" w:val="left" w:leader="none"/>
        </w:tabs>
        <w:spacing w:line="228" w:lineRule="auto" w:before="12" w:after="0"/>
        <w:ind w:left="1559" w:right="112" w:hanging="360"/>
        <w:jc w:val="both"/>
        <w:rPr>
          <w:rFonts w:ascii="Calibri"/>
          <w:sz w:val="22"/>
        </w:rPr>
      </w:pPr>
      <w:r>
        <w:rPr>
          <w:sz w:val="22"/>
        </w:rPr>
        <w:t>The</w:t>
      </w:r>
      <w:r>
        <w:rPr>
          <w:spacing w:val="-10"/>
          <w:sz w:val="22"/>
        </w:rPr>
        <w:t> </w:t>
      </w:r>
      <w:r>
        <w:rPr>
          <w:sz w:val="22"/>
        </w:rPr>
        <w:t>individual</w:t>
      </w:r>
      <w:r>
        <w:rPr>
          <w:spacing w:val="-10"/>
          <w:sz w:val="22"/>
        </w:rPr>
        <w:t> </w:t>
      </w:r>
      <w:r>
        <w:rPr>
          <w:sz w:val="22"/>
        </w:rPr>
        <w:t>is</w:t>
      </w:r>
      <w:r>
        <w:rPr>
          <w:spacing w:val="-8"/>
          <w:sz w:val="22"/>
        </w:rPr>
        <w:t> </w:t>
      </w:r>
      <w:r>
        <w:rPr>
          <w:sz w:val="22"/>
        </w:rPr>
        <w:t>assessed</w:t>
      </w:r>
      <w:r>
        <w:rPr>
          <w:spacing w:val="-11"/>
          <w:sz w:val="22"/>
        </w:rPr>
        <w:t> </w:t>
      </w:r>
      <w:r>
        <w:rPr>
          <w:sz w:val="22"/>
        </w:rPr>
        <w:t>to</w:t>
      </w:r>
      <w:r>
        <w:rPr>
          <w:spacing w:val="-8"/>
          <w:sz w:val="22"/>
        </w:rPr>
        <w:t> </w:t>
      </w:r>
      <w:r>
        <w:rPr>
          <w:sz w:val="22"/>
        </w:rPr>
        <w:t>have</w:t>
      </w:r>
      <w:r>
        <w:rPr>
          <w:spacing w:val="-8"/>
          <w:sz w:val="22"/>
        </w:rPr>
        <w:t> </w:t>
      </w:r>
      <w:r>
        <w:rPr>
          <w:sz w:val="22"/>
        </w:rPr>
        <w:t>a</w:t>
      </w:r>
      <w:r>
        <w:rPr>
          <w:spacing w:val="-8"/>
          <w:sz w:val="22"/>
        </w:rPr>
        <w:t> </w:t>
      </w:r>
      <w:r>
        <w:rPr>
          <w:sz w:val="22"/>
        </w:rPr>
        <w:t>need</w:t>
      </w:r>
      <w:r>
        <w:rPr>
          <w:spacing w:val="-9"/>
          <w:sz w:val="22"/>
        </w:rPr>
        <w:t> </w:t>
      </w:r>
      <w:r>
        <w:rPr>
          <w:sz w:val="22"/>
        </w:rPr>
        <w:t>for</w:t>
      </w:r>
      <w:r>
        <w:rPr>
          <w:spacing w:val="-8"/>
          <w:sz w:val="22"/>
        </w:rPr>
        <w:t> </w:t>
      </w:r>
      <w:r>
        <w:rPr>
          <w:sz w:val="22"/>
        </w:rPr>
        <w:t>assistance</w:t>
      </w:r>
      <w:r>
        <w:rPr>
          <w:spacing w:val="-11"/>
          <w:sz w:val="22"/>
        </w:rPr>
        <w:t> </w:t>
      </w:r>
      <w:r>
        <w:rPr>
          <w:sz w:val="22"/>
        </w:rPr>
        <w:t>with</w:t>
      </w:r>
      <w:r>
        <w:rPr>
          <w:spacing w:val="-9"/>
          <w:sz w:val="22"/>
        </w:rPr>
        <w:t> </w:t>
      </w:r>
      <w:r>
        <w:rPr>
          <w:sz w:val="22"/>
        </w:rPr>
        <w:t>one</w:t>
      </w:r>
      <w:r>
        <w:rPr>
          <w:spacing w:val="-8"/>
          <w:sz w:val="22"/>
        </w:rPr>
        <w:t> </w:t>
      </w:r>
      <w:r>
        <w:rPr>
          <w:sz w:val="22"/>
        </w:rPr>
        <w:t>or</w:t>
      </w:r>
      <w:r>
        <w:rPr>
          <w:spacing w:val="-8"/>
          <w:sz w:val="22"/>
        </w:rPr>
        <w:t> </w:t>
      </w:r>
      <w:r>
        <w:rPr>
          <w:sz w:val="22"/>
        </w:rPr>
        <w:t>more</w:t>
      </w:r>
      <w:r>
        <w:rPr>
          <w:spacing w:val="-8"/>
          <w:sz w:val="22"/>
        </w:rPr>
        <w:t> </w:t>
      </w:r>
      <w:r>
        <w:rPr>
          <w:sz w:val="22"/>
        </w:rPr>
        <w:t>Activities</w:t>
      </w:r>
      <w:r>
        <w:rPr>
          <w:spacing w:val="-11"/>
          <w:sz w:val="22"/>
        </w:rPr>
        <w:t> </w:t>
      </w:r>
      <w:r>
        <w:rPr>
          <w:sz w:val="22"/>
        </w:rPr>
        <w:t>of</w:t>
      </w:r>
      <w:r>
        <w:rPr>
          <w:spacing w:val="-8"/>
          <w:sz w:val="22"/>
        </w:rPr>
        <w:t> </w:t>
      </w:r>
      <w:r>
        <w:rPr>
          <w:sz w:val="22"/>
        </w:rPr>
        <w:t>Daily Living (ADLs) or Instrumental Activities of Daily Living (IADLs);</w:t>
      </w:r>
    </w:p>
    <w:p>
      <w:pPr>
        <w:pStyle w:val="ListParagraph"/>
        <w:numPr>
          <w:ilvl w:val="2"/>
          <w:numId w:val="116"/>
        </w:numPr>
        <w:tabs>
          <w:tab w:pos="1488" w:val="left" w:leader="none"/>
          <w:tab w:pos="1559" w:val="left" w:leader="none"/>
        </w:tabs>
        <w:spacing w:line="240" w:lineRule="auto" w:before="2" w:after="0"/>
        <w:ind w:left="1559" w:right="117" w:hanging="360"/>
        <w:jc w:val="both"/>
        <w:rPr>
          <w:sz w:val="22"/>
        </w:rPr>
      </w:pPr>
      <w:r>
        <w:rPr>
          <w:sz w:val="22"/>
        </w:rPr>
        <w:t>Repeated incidents of emergency department use (defined as 2 or more visits within six months, or 4 or more visits within a year); OR</w:t>
      </w:r>
    </w:p>
    <w:p>
      <w:pPr>
        <w:pStyle w:val="ListParagraph"/>
        <w:numPr>
          <w:ilvl w:val="2"/>
          <w:numId w:val="116"/>
        </w:numPr>
        <w:tabs>
          <w:tab w:pos="1469" w:val="left" w:leader="none"/>
          <w:tab w:pos="1559" w:val="left" w:leader="none"/>
        </w:tabs>
        <w:spacing w:line="240" w:lineRule="auto" w:before="0" w:after="0"/>
        <w:ind w:left="1559" w:right="115" w:hanging="360"/>
        <w:jc w:val="both"/>
        <w:rPr>
          <w:sz w:val="22"/>
        </w:rPr>
      </w:pPr>
      <w:r>
        <w:rPr>
          <w:sz w:val="22"/>
        </w:rPr>
        <w:t>Pregnant</w:t>
      </w:r>
      <w:r>
        <w:rPr>
          <w:spacing w:val="-6"/>
          <w:sz w:val="22"/>
        </w:rPr>
        <w:t> </w:t>
      </w:r>
      <w:r>
        <w:rPr>
          <w:sz w:val="22"/>
        </w:rPr>
        <w:t>individuals</w:t>
      </w:r>
      <w:r>
        <w:rPr>
          <w:spacing w:val="-7"/>
          <w:sz w:val="22"/>
        </w:rPr>
        <w:t> </w:t>
      </w:r>
      <w:r>
        <w:rPr>
          <w:sz w:val="22"/>
        </w:rPr>
        <w:t>who</w:t>
      </w:r>
      <w:r>
        <w:rPr>
          <w:spacing w:val="-7"/>
          <w:sz w:val="22"/>
        </w:rPr>
        <w:t> </w:t>
      </w:r>
      <w:r>
        <w:rPr>
          <w:sz w:val="22"/>
        </w:rPr>
        <w:t>are</w:t>
      </w:r>
      <w:r>
        <w:rPr>
          <w:spacing w:val="-7"/>
          <w:sz w:val="22"/>
        </w:rPr>
        <w:t> </w:t>
      </w:r>
      <w:r>
        <w:rPr>
          <w:sz w:val="22"/>
        </w:rPr>
        <w:t>experiencing</w:t>
      </w:r>
      <w:r>
        <w:rPr>
          <w:spacing w:val="-10"/>
          <w:sz w:val="22"/>
        </w:rPr>
        <w:t> </w:t>
      </w:r>
      <w:r>
        <w:rPr>
          <w:sz w:val="22"/>
        </w:rPr>
        <w:t>high</w:t>
      </w:r>
      <w:r>
        <w:rPr>
          <w:spacing w:val="-7"/>
          <w:sz w:val="22"/>
        </w:rPr>
        <w:t> </w:t>
      </w:r>
      <w:r>
        <w:rPr>
          <w:sz w:val="22"/>
        </w:rPr>
        <w:t>risk</w:t>
      </w:r>
      <w:r>
        <w:rPr>
          <w:spacing w:val="-10"/>
          <w:sz w:val="22"/>
        </w:rPr>
        <w:t> </w:t>
      </w:r>
      <w:r>
        <w:rPr>
          <w:sz w:val="22"/>
        </w:rPr>
        <w:t>pregnancy</w:t>
      </w:r>
      <w:r>
        <w:rPr>
          <w:spacing w:val="-10"/>
          <w:sz w:val="22"/>
        </w:rPr>
        <w:t> </w:t>
      </w:r>
      <w:r>
        <w:rPr>
          <w:sz w:val="22"/>
        </w:rPr>
        <w:t>or</w:t>
      </w:r>
      <w:r>
        <w:rPr>
          <w:spacing w:val="-6"/>
          <w:sz w:val="22"/>
        </w:rPr>
        <w:t> </w:t>
      </w:r>
      <w:r>
        <w:rPr>
          <w:sz w:val="22"/>
        </w:rPr>
        <w:t>complications</w:t>
      </w:r>
      <w:r>
        <w:rPr>
          <w:spacing w:val="-7"/>
          <w:sz w:val="22"/>
        </w:rPr>
        <w:t> </w:t>
      </w:r>
      <w:r>
        <w:rPr>
          <w:sz w:val="22"/>
        </w:rPr>
        <w:t>associated with pregnancy, including:</w:t>
      </w:r>
    </w:p>
    <w:p>
      <w:pPr>
        <w:pStyle w:val="ListParagraph"/>
        <w:numPr>
          <w:ilvl w:val="0"/>
          <w:numId w:val="117"/>
        </w:numPr>
        <w:tabs>
          <w:tab w:pos="2466" w:val="left" w:leader="none"/>
        </w:tabs>
        <w:spacing w:line="252" w:lineRule="exact" w:before="0" w:after="0"/>
        <w:ind w:left="2466" w:right="0" w:hanging="367"/>
        <w:jc w:val="left"/>
        <w:rPr>
          <w:sz w:val="22"/>
        </w:rPr>
      </w:pPr>
      <w:r>
        <w:rPr>
          <w:sz w:val="22"/>
        </w:rPr>
        <w:t>Individuals</w:t>
      </w:r>
      <w:r>
        <w:rPr>
          <w:spacing w:val="-3"/>
          <w:sz w:val="22"/>
        </w:rPr>
        <w:t> </w:t>
      </w:r>
      <w:r>
        <w:rPr>
          <w:sz w:val="22"/>
        </w:rPr>
        <w:t>60</w:t>
      </w:r>
      <w:r>
        <w:rPr>
          <w:spacing w:val="-3"/>
          <w:sz w:val="22"/>
        </w:rPr>
        <w:t> </w:t>
      </w:r>
      <w:r>
        <w:rPr>
          <w:sz w:val="22"/>
        </w:rPr>
        <w:t>days</w:t>
      </w:r>
      <w:r>
        <w:rPr>
          <w:spacing w:val="-2"/>
          <w:sz w:val="22"/>
        </w:rPr>
        <w:t> postpartum;</w:t>
      </w:r>
    </w:p>
    <w:p>
      <w:pPr>
        <w:pStyle w:val="ListParagraph"/>
        <w:numPr>
          <w:ilvl w:val="0"/>
          <w:numId w:val="117"/>
        </w:numPr>
        <w:tabs>
          <w:tab w:pos="2466" w:val="left" w:leader="none"/>
        </w:tabs>
        <w:spacing w:line="252" w:lineRule="exact" w:before="0" w:after="0"/>
        <w:ind w:left="2466" w:right="0" w:hanging="367"/>
        <w:jc w:val="left"/>
        <w:rPr>
          <w:sz w:val="22"/>
        </w:rPr>
      </w:pPr>
      <w:r>
        <w:rPr>
          <w:sz w:val="22"/>
        </w:rPr>
        <w:t>their</w:t>
      </w:r>
      <w:r>
        <w:rPr>
          <w:spacing w:val="-3"/>
          <w:sz w:val="22"/>
        </w:rPr>
        <w:t> </w:t>
      </w:r>
      <w:r>
        <w:rPr>
          <w:sz w:val="22"/>
        </w:rPr>
        <w:t>children</w:t>
      </w:r>
      <w:r>
        <w:rPr>
          <w:spacing w:val="-2"/>
          <w:sz w:val="22"/>
        </w:rPr>
        <w:t> </w:t>
      </w:r>
      <w:r>
        <w:rPr>
          <w:sz w:val="22"/>
        </w:rPr>
        <w:t>up</w:t>
      </w:r>
      <w:r>
        <w:rPr>
          <w:spacing w:val="-5"/>
          <w:sz w:val="22"/>
        </w:rPr>
        <w:t> </w:t>
      </w:r>
      <w:r>
        <w:rPr>
          <w:sz w:val="22"/>
        </w:rPr>
        <w:t>to</w:t>
      </w:r>
      <w:r>
        <w:rPr>
          <w:spacing w:val="-1"/>
          <w:sz w:val="22"/>
        </w:rPr>
        <w:t> </w:t>
      </w:r>
      <w:r>
        <w:rPr>
          <w:sz w:val="22"/>
        </w:rPr>
        <w:t>one</w:t>
      </w:r>
      <w:r>
        <w:rPr>
          <w:spacing w:val="-2"/>
          <w:sz w:val="22"/>
        </w:rPr>
        <w:t> </w:t>
      </w:r>
      <w:r>
        <w:rPr>
          <w:sz w:val="22"/>
        </w:rPr>
        <w:t>year</w:t>
      </w:r>
      <w:r>
        <w:rPr>
          <w:spacing w:val="-1"/>
          <w:sz w:val="22"/>
        </w:rPr>
        <w:t> </w:t>
      </w:r>
      <w:r>
        <w:rPr>
          <w:sz w:val="22"/>
        </w:rPr>
        <w:t>of</w:t>
      </w:r>
      <w:r>
        <w:rPr>
          <w:spacing w:val="-4"/>
          <w:sz w:val="22"/>
        </w:rPr>
        <w:t> </w:t>
      </w:r>
      <w:r>
        <w:rPr>
          <w:sz w:val="22"/>
        </w:rPr>
        <w:t>age; </w:t>
      </w:r>
      <w:r>
        <w:rPr>
          <w:spacing w:val="-5"/>
          <w:sz w:val="22"/>
        </w:rPr>
        <w:t>and</w:t>
      </w:r>
    </w:p>
    <w:p>
      <w:pPr>
        <w:pStyle w:val="ListParagraph"/>
        <w:numPr>
          <w:ilvl w:val="0"/>
          <w:numId w:val="117"/>
        </w:numPr>
        <w:tabs>
          <w:tab w:pos="2466" w:val="left" w:leader="none"/>
        </w:tabs>
        <w:spacing w:line="240" w:lineRule="auto" w:before="4" w:after="0"/>
        <w:ind w:left="2466" w:right="0" w:hanging="367"/>
        <w:jc w:val="left"/>
        <w:rPr>
          <w:sz w:val="22"/>
        </w:rPr>
      </w:pPr>
      <w:r>
        <w:rPr>
          <w:sz w:val="22"/>
        </w:rPr>
        <w:t>their</w:t>
      </w:r>
      <w:r>
        <w:rPr>
          <w:spacing w:val="-1"/>
          <w:sz w:val="22"/>
        </w:rPr>
        <w:t> </w:t>
      </w:r>
      <w:r>
        <w:rPr>
          <w:sz w:val="22"/>
        </w:rPr>
        <w:t>children</w:t>
      </w:r>
      <w:r>
        <w:rPr>
          <w:spacing w:val="-2"/>
          <w:sz w:val="22"/>
        </w:rPr>
        <w:t> </w:t>
      </w:r>
      <w:r>
        <w:rPr>
          <w:sz w:val="22"/>
        </w:rPr>
        <w:t>born</w:t>
      </w:r>
      <w:r>
        <w:rPr>
          <w:spacing w:val="-2"/>
          <w:sz w:val="22"/>
        </w:rPr>
        <w:t> </w:t>
      </w:r>
      <w:r>
        <w:rPr>
          <w:sz w:val="22"/>
        </w:rPr>
        <w:t>of</w:t>
      </w:r>
      <w:r>
        <w:rPr>
          <w:spacing w:val="-4"/>
          <w:sz w:val="22"/>
        </w:rPr>
        <w:t> </w:t>
      </w:r>
      <w:r>
        <w:rPr>
          <w:sz w:val="22"/>
        </w:rPr>
        <w:t>the</w:t>
      </w:r>
      <w:r>
        <w:rPr>
          <w:spacing w:val="-2"/>
          <w:sz w:val="22"/>
        </w:rPr>
        <w:t> </w:t>
      </w:r>
      <w:r>
        <w:rPr>
          <w:sz w:val="22"/>
        </w:rPr>
        <w:t>pregnancy</w:t>
      </w:r>
      <w:r>
        <w:rPr>
          <w:spacing w:val="-5"/>
          <w:sz w:val="22"/>
        </w:rPr>
        <w:t> </w:t>
      </w:r>
      <w:r>
        <w:rPr>
          <w:sz w:val="22"/>
        </w:rPr>
        <w:t>up</w:t>
      </w:r>
      <w:r>
        <w:rPr>
          <w:spacing w:val="-2"/>
          <w:sz w:val="22"/>
        </w:rPr>
        <w:t> </w:t>
      </w:r>
      <w:r>
        <w:rPr>
          <w:sz w:val="22"/>
        </w:rPr>
        <w:t>to</w:t>
      </w:r>
      <w:r>
        <w:rPr>
          <w:spacing w:val="-2"/>
          <w:sz w:val="22"/>
        </w:rPr>
        <w:t> </w:t>
      </w:r>
      <w:r>
        <w:rPr>
          <w:sz w:val="22"/>
        </w:rPr>
        <w:t>one</w:t>
      </w:r>
      <w:r>
        <w:rPr>
          <w:spacing w:val="-4"/>
          <w:sz w:val="22"/>
        </w:rPr>
        <w:t> </w:t>
      </w:r>
      <w:r>
        <w:rPr>
          <w:sz w:val="22"/>
        </w:rPr>
        <w:t>year</w:t>
      </w:r>
      <w:r>
        <w:rPr>
          <w:spacing w:val="-1"/>
          <w:sz w:val="22"/>
        </w:rPr>
        <w:t> </w:t>
      </w:r>
      <w:r>
        <w:rPr>
          <w:sz w:val="22"/>
        </w:rPr>
        <w:t>of </w:t>
      </w:r>
      <w:r>
        <w:rPr>
          <w:spacing w:val="-4"/>
          <w:sz w:val="22"/>
        </w:rPr>
        <w:t>age.</w:t>
      </w:r>
    </w:p>
    <w:p>
      <w:pPr>
        <w:pStyle w:val="BodyText"/>
        <w:spacing w:before="3"/>
        <w:rPr>
          <w:sz w:val="9"/>
        </w:rPr>
      </w:pPr>
    </w:p>
    <w:p>
      <w:pPr>
        <w:pStyle w:val="ListParagraph"/>
        <w:numPr>
          <w:ilvl w:val="1"/>
          <w:numId w:val="116"/>
        </w:numPr>
        <w:tabs>
          <w:tab w:pos="837" w:val="left" w:leader="none"/>
        </w:tabs>
        <w:spacing w:line="240" w:lineRule="auto" w:before="92" w:after="0"/>
        <w:ind w:left="837" w:right="0" w:hanging="358"/>
        <w:jc w:val="left"/>
        <w:rPr>
          <w:b/>
          <w:sz w:val="22"/>
        </w:rPr>
      </w:pPr>
      <w:bookmarkStart w:name="B. Risk Factors" w:id="1557"/>
      <w:bookmarkEnd w:id="1557"/>
      <w:r>
        <w:rPr/>
      </w:r>
      <w:r>
        <w:rPr>
          <w:b/>
          <w:sz w:val="22"/>
        </w:rPr>
        <w:t>Risk</w:t>
      </w:r>
      <w:r>
        <w:rPr>
          <w:b/>
          <w:spacing w:val="-6"/>
          <w:sz w:val="22"/>
        </w:rPr>
        <w:t> </w:t>
      </w:r>
      <w:r>
        <w:rPr>
          <w:b/>
          <w:spacing w:val="-2"/>
          <w:sz w:val="22"/>
        </w:rPr>
        <w:t>Factors</w:t>
      </w:r>
    </w:p>
    <w:p>
      <w:pPr>
        <w:pStyle w:val="ListParagraph"/>
        <w:numPr>
          <w:ilvl w:val="2"/>
          <w:numId w:val="116"/>
        </w:numPr>
        <w:tabs>
          <w:tab w:pos="1470" w:val="left" w:leader="none"/>
        </w:tabs>
        <w:spacing w:line="240" w:lineRule="auto" w:before="199" w:after="0"/>
        <w:ind w:left="1470" w:right="0" w:hanging="270"/>
        <w:jc w:val="both"/>
        <w:rPr>
          <w:sz w:val="22"/>
        </w:rPr>
      </w:pPr>
      <w:r>
        <w:rPr>
          <w:sz w:val="22"/>
          <w:u w:val="single"/>
        </w:rPr>
        <w:t>Risk</w:t>
      </w:r>
      <w:r>
        <w:rPr>
          <w:spacing w:val="-7"/>
          <w:sz w:val="22"/>
          <w:u w:val="single"/>
        </w:rPr>
        <w:t> </w:t>
      </w:r>
      <w:r>
        <w:rPr>
          <w:sz w:val="22"/>
          <w:u w:val="single"/>
        </w:rPr>
        <w:t>Factor 1</w:t>
      </w:r>
      <w:r>
        <w:rPr>
          <w:sz w:val="22"/>
        </w:rPr>
        <w:t>:</w:t>
      </w:r>
      <w:r>
        <w:rPr>
          <w:spacing w:val="51"/>
          <w:sz w:val="22"/>
        </w:rPr>
        <w:t> </w:t>
      </w:r>
      <w:r>
        <w:rPr>
          <w:sz w:val="22"/>
        </w:rPr>
        <w:t>The</w:t>
      </w:r>
      <w:r>
        <w:rPr>
          <w:spacing w:val="-2"/>
          <w:sz w:val="22"/>
        </w:rPr>
        <w:t> </w:t>
      </w:r>
      <w:r>
        <w:rPr>
          <w:sz w:val="22"/>
        </w:rPr>
        <w:t>member is</w:t>
      </w:r>
      <w:r>
        <w:rPr>
          <w:spacing w:val="-4"/>
          <w:sz w:val="22"/>
        </w:rPr>
        <w:t> </w:t>
      </w:r>
      <w:r>
        <w:rPr>
          <w:sz w:val="22"/>
        </w:rPr>
        <w:t>homeless</w:t>
      </w:r>
      <w:r>
        <w:rPr>
          <w:spacing w:val="-3"/>
          <w:sz w:val="22"/>
        </w:rPr>
        <w:t> </w:t>
      </w:r>
      <w:r>
        <w:rPr>
          <w:sz w:val="22"/>
        </w:rPr>
        <w:t>as</w:t>
      </w:r>
      <w:r>
        <w:rPr>
          <w:spacing w:val="-1"/>
          <w:sz w:val="22"/>
        </w:rPr>
        <w:t> </w:t>
      </w:r>
      <w:r>
        <w:rPr>
          <w:sz w:val="22"/>
        </w:rPr>
        <w:t>defined</w:t>
      </w:r>
      <w:r>
        <w:rPr>
          <w:spacing w:val="-2"/>
          <w:sz w:val="22"/>
        </w:rPr>
        <w:t> </w:t>
      </w:r>
      <w:r>
        <w:rPr>
          <w:sz w:val="22"/>
        </w:rPr>
        <w:t>by</w:t>
      </w:r>
      <w:r>
        <w:rPr>
          <w:spacing w:val="-6"/>
          <w:sz w:val="22"/>
        </w:rPr>
        <w:t> </w:t>
      </w:r>
      <w:r>
        <w:rPr>
          <w:sz w:val="22"/>
        </w:rPr>
        <w:t>the</w:t>
      </w:r>
      <w:r>
        <w:rPr>
          <w:spacing w:val="-3"/>
          <w:sz w:val="22"/>
        </w:rPr>
        <w:t> </w:t>
      </w:r>
      <w:r>
        <w:rPr>
          <w:spacing w:val="-2"/>
          <w:sz w:val="22"/>
        </w:rPr>
        <w:t>following:</w:t>
      </w:r>
    </w:p>
    <w:p>
      <w:pPr>
        <w:pStyle w:val="ListParagraph"/>
        <w:numPr>
          <w:ilvl w:val="0"/>
          <w:numId w:val="118"/>
        </w:numPr>
        <w:tabs>
          <w:tab w:pos="2465" w:val="left" w:leader="none"/>
          <w:tab w:pos="2467" w:val="left" w:leader="none"/>
        </w:tabs>
        <w:spacing w:line="240" w:lineRule="auto" w:before="2" w:after="0"/>
        <w:ind w:left="2467" w:right="117" w:hanging="368"/>
        <w:jc w:val="both"/>
        <w:rPr>
          <w:sz w:val="22"/>
        </w:rPr>
      </w:pPr>
      <w:r>
        <w:rPr>
          <w:sz w:val="22"/>
        </w:rPr>
        <w:t>An individual or family who lacks a fixed, regular, and adequate nighttime residence, meaning:</w:t>
      </w:r>
    </w:p>
    <w:p>
      <w:pPr>
        <w:pStyle w:val="ListParagraph"/>
        <w:numPr>
          <w:ilvl w:val="1"/>
          <w:numId w:val="118"/>
        </w:numPr>
        <w:tabs>
          <w:tab w:pos="2781" w:val="left" w:leader="none"/>
          <w:tab w:pos="2783" w:val="left" w:leader="none"/>
        </w:tabs>
        <w:spacing w:line="240" w:lineRule="auto" w:before="0" w:after="0"/>
        <w:ind w:left="2783" w:right="115" w:hanging="260"/>
        <w:jc w:val="both"/>
        <w:rPr>
          <w:sz w:val="22"/>
        </w:rPr>
      </w:pPr>
      <w:r>
        <w:rPr>
          <w:sz w:val="22"/>
        </w:rPr>
        <w:t>An individual or family with a primary nighttime residence that is a public or private place not designed for or ordinarily used as a regular sleeping accommodation for human beings, including a car, park, abandoned building, bus or train station, airport, or camping ground;</w:t>
      </w:r>
    </w:p>
    <w:p>
      <w:pPr>
        <w:spacing w:after="0" w:line="240" w:lineRule="auto"/>
        <w:jc w:val="both"/>
        <w:rPr>
          <w:sz w:val="22"/>
        </w:rPr>
        <w:sectPr>
          <w:footerReference w:type="default" r:id="rId352"/>
          <w:pgSz w:w="12240" w:h="15840"/>
          <w:pgMar w:footer="1240" w:header="0" w:top="640" w:bottom="1420" w:left="1320" w:right="1320"/>
        </w:sectPr>
      </w:pPr>
    </w:p>
    <w:p>
      <w:pPr>
        <w:spacing w:before="80"/>
        <w:ind w:left="120" w:right="0" w:firstLine="0"/>
        <w:jc w:val="left"/>
        <w:rPr>
          <w:sz w:val="20"/>
        </w:rPr>
      </w:pPr>
      <w:r>
        <w:rPr>
          <w:spacing w:val="-2"/>
          <w:sz w:val="20"/>
        </w:rPr>
        <w:t>Attachment</w:t>
      </w:r>
      <w:r>
        <w:rPr>
          <w:spacing w:val="6"/>
          <w:sz w:val="20"/>
        </w:rPr>
        <w:t> </w:t>
      </w:r>
      <w:r>
        <w:rPr>
          <w:spacing w:val="-10"/>
          <w:sz w:val="20"/>
        </w:rPr>
        <w:t>R</w:t>
      </w:r>
    </w:p>
    <w:p>
      <w:pPr>
        <w:pStyle w:val="BodyText"/>
        <w:rPr>
          <w:sz w:val="20"/>
        </w:rPr>
      </w:pPr>
    </w:p>
    <w:p>
      <w:pPr>
        <w:pStyle w:val="BodyText"/>
        <w:spacing w:before="5"/>
        <w:rPr>
          <w:sz w:val="22"/>
        </w:rPr>
      </w:pPr>
    </w:p>
    <w:p>
      <w:pPr>
        <w:pStyle w:val="ListParagraph"/>
        <w:numPr>
          <w:ilvl w:val="1"/>
          <w:numId w:val="118"/>
        </w:numPr>
        <w:tabs>
          <w:tab w:pos="2781" w:val="left" w:leader="none"/>
          <w:tab w:pos="2783" w:val="left" w:leader="none"/>
        </w:tabs>
        <w:spacing w:line="240" w:lineRule="auto" w:before="0" w:after="0"/>
        <w:ind w:left="2783" w:right="113" w:hanging="322"/>
        <w:jc w:val="both"/>
        <w:rPr>
          <w:sz w:val="22"/>
        </w:rPr>
      </w:pPr>
      <w:r>
        <w:rPr>
          <w:sz w:val="22"/>
        </w:rPr>
        <w:t>An</w:t>
      </w:r>
      <w:r>
        <w:rPr>
          <w:spacing w:val="-2"/>
          <w:sz w:val="22"/>
        </w:rPr>
        <w:t> </w:t>
      </w:r>
      <w:r>
        <w:rPr>
          <w:sz w:val="22"/>
        </w:rPr>
        <w:t>individual</w:t>
      </w:r>
      <w:r>
        <w:rPr>
          <w:spacing w:val="-1"/>
          <w:sz w:val="22"/>
        </w:rPr>
        <w:t> </w:t>
      </w:r>
      <w:r>
        <w:rPr>
          <w:sz w:val="22"/>
        </w:rPr>
        <w:t>or</w:t>
      </w:r>
      <w:r>
        <w:rPr>
          <w:spacing w:val="-1"/>
          <w:sz w:val="22"/>
        </w:rPr>
        <w:t> </w:t>
      </w:r>
      <w:r>
        <w:rPr>
          <w:sz w:val="22"/>
        </w:rPr>
        <w:t>family</w:t>
      </w:r>
      <w:r>
        <w:rPr>
          <w:spacing w:val="-5"/>
          <w:sz w:val="22"/>
        </w:rPr>
        <w:t> </w:t>
      </w:r>
      <w:r>
        <w:rPr>
          <w:sz w:val="22"/>
        </w:rPr>
        <w:t>living</w:t>
      </w:r>
      <w:r>
        <w:rPr>
          <w:spacing w:val="-5"/>
          <w:sz w:val="22"/>
        </w:rPr>
        <w:t> </w:t>
      </w:r>
      <w:r>
        <w:rPr>
          <w:sz w:val="22"/>
        </w:rPr>
        <w:t>in</w:t>
      </w:r>
      <w:r>
        <w:rPr>
          <w:spacing w:val="-2"/>
          <w:sz w:val="22"/>
        </w:rPr>
        <w:t> </w:t>
      </w:r>
      <w:r>
        <w:rPr>
          <w:sz w:val="22"/>
        </w:rPr>
        <w:t>a</w:t>
      </w:r>
      <w:r>
        <w:rPr>
          <w:spacing w:val="-2"/>
          <w:sz w:val="22"/>
        </w:rPr>
        <w:t> </w:t>
      </w:r>
      <w:r>
        <w:rPr>
          <w:sz w:val="22"/>
        </w:rPr>
        <w:t>supervised</w:t>
      </w:r>
      <w:r>
        <w:rPr>
          <w:spacing w:val="-2"/>
          <w:sz w:val="22"/>
        </w:rPr>
        <w:t> </w:t>
      </w:r>
      <w:r>
        <w:rPr>
          <w:sz w:val="22"/>
        </w:rPr>
        <w:t>publicly</w:t>
      </w:r>
      <w:r>
        <w:rPr>
          <w:spacing w:val="-5"/>
          <w:sz w:val="22"/>
        </w:rPr>
        <w:t> </w:t>
      </w:r>
      <w:r>
        <w:rPr>
          <w:sz w:val="22"/>
        </w:rPr>
        <w:t>or</w:t>
      </w:r>
      <w:r>
        <w:rPr>
          <w:spacing w:val="-1"/>
          <w:sz w:val="22"/>
        </w:rPr>
        <w:t> </w:t>
      </w:r>
      <w:r>
        <w:rPr>
          <w:sz w:val="22"/>
        </w:rPr>
        <w:t>privately</w:t>
      </w:r>
      <w:r>
        <w:rPr>
          <w:spacing w:val="-5"/>
          <w:sz w:val="22"/>
        </w:rPr>
        <w:t> </w:t>
      </w:r>
      <w:r>
        <w:rPr>
          <w:sz w:val="22"/>
        </w:rPr>
        <w:t>operated shelter designated to provide temporary living arrangements (including congregate shelters, transitional housing, and hotels and motels paid for by charitable organizations or by federal,</w:t>
      </w:r>
      <w:r>
        <w:rPr>
          <w:spacing w:val="-3"/>
          <w:sz w:val="22"/>
        </w:rPr>
        <w:t> </w:t>
      </w:r>
      <w:r>
        <w:rPr>
          <w:sz w:val="22"/>
        </w:rPr>
        <w:t>State, or local government programs for low-income individuals); or</w:t>
      </w:r>
    </w:p>
    <w:p>
      <w:pPr>
        <w:pStyle w:val="ListParagraph"/>
        <w:numPr>
          <w:ilvl w:val="1"/>
          <w:numId w:val="118"/>
        </w:numPr>
        <w:tabs>
          <w:tab w:pos="2783" w:val="left" w:leader="none"/>
          <w:tab w:pos="2836" w:val="left" w:leader="none"/>
        </w:tabs>
        <w:spacing w:line="240" w:lineRule="auto" w:before="0" w:after="0"/>
        <w:ind w:left="2783" w:right="121" w:hanging="382"/>
        <w:jc w:val="both"/>
        <w:rPr>
          <w:sz w:val="22"/>
        </w:rPr>
      </w:pPr>
      <w:r>
        <w:rPr>
          <w:sz w:val="22"/>
        </w:rPr>
        <w:tab/>
        <w:t>An individual who is exiting an institution where they resided for 90 days or less and who experienced Risk Factor (1)(a)(i) or Risk Factor (1)(a)(ii);</w:t>
      </w:r>
    </w:p>
    <w:p>
      <w:pPr>
        <w:pStyle w:val="ListParagraph"/>
        <w:numPr>
          <w:ilvl w:val="0"/>
          <w:numId w:val="118"/>
        </w:numPr>
        <w:tabs>
          <w:tab w:pos="2464" w:val="left" w:leader="none"/>
          <w:tab w:pos="2466" w:val="left" w:leader="none"/>
        </w:tabs>
        <w:spacing w:line="240" w:lineRule="auto" w:before="0" w:after="0"/>
        <w:ind w:left="2466" w:right="117" w:hanging="368"/>
        <w:jc w:val="both"/>
        <w:rPr>
          <w:sz w:val="22"/>
        </w:rPr>
      </w:pPr>
      <w:r>
        <w:rPr>
          <w:sz w:val="22"/>
        </w:rPr>
        <w:t>An individual or family who will imminently lose their primary nighttime residence, provided that:</w:t>
      </w:r>
    </w:p>
    <w:p>
      <w:pPr>
        <w:pStyle w:val="ListParagraph"/>
        <w:numPr>
          <w:ilvl w:val="1"/>
          <w:numId w:val="118"/>
        </w:numPr>
        <w:tabs>
          <w:tab w:pos="2781" w:val="left" w:leader="none"/>
          <w:tab w:pos="2783" w:val="left" w:leader="none"/>
        </w:tabs>
        <w:spacing w:line="240" w:lineRule="auto" w:before="1" w:after="0"/>
        <w:ind w:left="2783" w:right="116" w:hanging="260"/>
        <w:jc w:val="both"/>
        <w:rPr>
          <w:sz w:val="22"/>
        </w:rPr>
      </w:pPr>
      <w:r>
        <w:rPr>
          <w:sz w:val="22"/>
        </w:rPr>
        <w:t>The primary nighttime residence will be lost within 21 days of the date of Flexible Services Assessment as outlined in Section IV;</w:t>
      </w:r>
    </w:p>
    <w:p>
      <w:pPr>
        <w:pStyle w:val="ListParagraph"/>
        <w:numPr>
          <w:ilvl w:val="1"/>
          <w:numId w:val="118"/>
        </w:numPr>
        <w:tabs>
          <w:tab w:pos="2782" w:val="left" w:leader="none"/>
        </w:tabs>
        <w:spacing w:line="251" w:lineRule="exact" w:before="0" w:after="0"/>
        <w:ind w:left="2782" w:right="0" w:hanging="320"/>
        <w:jc w:val="both"/>
        <w:rPr>
          <w:sz w:val="22"/>
        </w:rPr>
      </w:pPr>
      <w:r>
        <w:rPr>
          <w:sz w:val="22"/>
        </w:rPr>
        <w:t>No</w:t>
      </w:r>
      <w:r>
        <w:rPr>
          <w:spacing w:val="-4"/>
          <w:sz w:val="22"/>
        </w:rPr>
        <w:t> </w:t>
      </w:r>
      <w:r>
        <w:rPr>
          <w:sz w:val="22"/>
        </w:rPr>
        <w:t>subsequent</w:t>
      </w:r>
      <w:r>
        <w:rPr>
          <w:spacing w:val="-3"/>
          <w:sz w:val="22"/>
        </w:rPr>
        <w:t> </w:t>
      </w:r>
      <w:r>
        <w:rPr>
          <w:sz w:val="22"/>
        </w:rPr>
        <w:t>residence</w:t>
      </w:r>
      <w:r>
        <w:rPr>
          <w:spacing w:val="-4"/>
          <w:sz w:val="22"/>
        </w:rPr>
        <w:t> </w:t>
      </w:r>
      <w:r>
        <w:rPr>
          <w:sz w:val="22"/>
        </w:rPr>
        <w:t>has</w:t>
      </w:r>
      <w:r>
        <w:rPr>
          <w:spacing w:val="-3"/>
          <w:sz w:val="22"/>
        </w:rPr>
        <w:t> </w:t>
      </w:r>
      <w:r>
        <w:rPr>
          <w:sz w:val="22"/>
        </w:rPr>
        <w:t>been</w:t>
      </w:r>
      <w:r>
        <w:rPr>
          <w:spacing w:val="-7"/>
          <w:sz w:val="22"/>
        </w:rPr>
        <w:t> </w:t>
      </w:r>
      <w:r>
        <w:rPr>
          <w:sz w:val="22"/>
        </w:rPr>
        <w:t>identified;</w:t>
      </w:r>
      <w:r>
        <w:rPr>
          <w:spacing w:val="-2"/>
          <w:sz w:val="22"/>
        </w:rPr>
        <w:t> </w:t>
      </w:r>
      <w:r>
        <w:rPr>
          <w:spacing w:val="-5"/>
          <w:sz w:val="22"/>
        </w:rPr>
        <w:t>and</w:t>
      </w:r>
    </w:p>
    <w:p>
      <w:pPr>
        <w:pStyle w:val="ListParagraph"/>
        <w:numPr>
          <w:ilvl w:val="1"/>
          <w:numId w:val="118"/>
        </w:numPr>
        <w:tabs>
          <w:tab w:pos="2781" w:val="left" w:leader="none"/>
          <w:tab w:pos="2783" w:val="left" w:leader="none"/>
        </w:tabs>
        <w:spacing w:line="240" w:lineRule="auto" w:before="1" w:after="0"/>
        <w:ind w:left="2783" w:right="115" w:hanging="382"/>
        <w:jc w:val="both"/>
        <w:rPr>
          <w:sz w:val="22"/>
        </w:rPr>
      </w:pPr>
      <w:r>
        <w:rPr>
          <w:sz w:val="22"/>
        </w:rPr>
        <w:t>The</w:t>
      </w:r>
      <w:r>
        <w:rPr>
          <w:spacing w:val="40"/>
          <w:sz w:val="22"/>
        </w:rPr>
        <w:t>  </w:t>
      </w:r>
      <w:r>
        <w:rPr>
          <w:sz w:val="22"/>
        </w:rPr>
        <w:t>individual</w:t>
      </w:r>
      <w:r>
        <w:rPr>
          <w:spacing w:val="40"/>
          <w:sz w:val="22"/>
        </w:rPr>
        <w:t>  </w:t>
      </w:r>
      <w:r>
        <w:rPr>
          <w:sz w:val="22"/>
        </w:rPr>
        <w:t>or</w:t>
      </w:r>
      <w:r>
        <w:rPr>
          <w:spacing w:val="40"/>
          <w:sz w:val="22"/>
        </w:rPr>
        <w:t>  </w:t>
      </w:r>
      <w:r>
        <w:rPr>
          <w:sz w:val="22"/>
        </w:rPr>
        <w:t>family</w:t>
      </w:r>
      <w:r>
        <w:rPr>
          <w:spacing w:val="40"/>
          <w:sz w:val="22"/>
        </w:rPr>
        <w:t>  </w:t>
      </w:r>
      <w:r>
        <w:rPr>
          <w:sz w:val="22"/>
        </w:rPr>
        <w:t>lacks</w:t>
      </w:r>
      <w:r>
        <w:rPr>
          <w:spacing w:val="40"/>
          <w:sz w:val="22"/>
        </w:rPr>
        <w:t>  </w:t>
      </w:r>
      <w:r>
        <w:rPr>
          <w:sz w:val="22"/>
        </w:rPr>
        <w:t>the</w:t>
      </w:r>
      <w:r>
        <w:rPr>
          <w:spacing w:val="40"/>
          <w:sz w:val="22"/>
        </w:rPr>
        <w:t>  </w:t>
      </w:r>
      <w:r>
        <w:rPr>
          <w:sz w:val="22"/>
        </w:rPr>
        <w:t>resources</w:t>
      </w:r>
      <w:r>
        <w:rPr>
          <w:spacing w:val="40"/>
          <w:sz w:val="22"/>
        </w:rPr>
        <w:t>  </w:t>
      </w:r>
      <w:r>
        <w:rPr>
          <w:sz w:val="22"/>
        </w:rPr>
        <w:t>or</w:t>
      </w:r>
      <w:r>
        <w:rPr>
          <w:spacing w:val="40"/>
          <w:sz w:val="22"/>
        </w:rPr>
        <w:t>  </w:t>
      </w:r>
      <w:r>
        <w:rPr>
          <w:sz w:val="22"/>
        </w:rPr>
        <w:t>support networks,</w:t>
      </w:r>
      <w:r>
        <w:rPr>
          <w:spacing w:val="-4"/>
          <w:sz w:val="22"/>
        </w:rPr>
        <w:t> </w:t>
      </w:r>
      <w:r>
        <w:rPr>
          <w:b/>
          <w:i/>
          <w:sz w:val="22"/>
        </w:rPr>
        <w:t>e.g.,</w:t>
      </w:r>
      <w:r>
        <w:rPr>
          <w:b/>
          <w:i/>
          <w:spacing w:val="-4"/>
          <w:sz w:val="22"/>
        </w:rPr>
        <w:t> </w:t>
      </w:r>
      <w:r>
        <w:rPr>
          <w:sz w:val="22"/>
        </w:rPr>
        <w:t>family, friends, faith-based or other social networks, needed to obtain other permanent housing;</w:t>
      </w:r>
    </w:p>
    <w:p>
      <w:pPr>
        <w:pStyle w:val="ListParagraph"/>
        <w:numPr>
          <w:ilvl w:val="0"/>
          <w:numId w:val="118"/>
        </w:numPr>
        <w:tabs>
          <w:tab w:pos="2465" w:val="left" w:leader="none"/>
        </w:tabs>
        <w:spacing w:line="252" w:lineRule="exact" w:before="0" w:after="0"/>
        <w:ind w:left="2465" w:right="0" w:hanging="366"/>
        <w:jc w:val="both"/>
        <w:rPr>
          <w:sz w:val="22"/>
        </w:rPr>
      </w:pPr>
      <w:r>
        <w:rPr>
          <w:sz w:val="22"/>
        </w:rPr>
        <w:t>Any</w:t>
      </w:r>
      <w:r>
        <w:rPr>
          <w:spacing w:val="-4"/>
          <w:sz w:val="22"/>
        </w:rPr>
        <w:t> </w:t>
      </w:r>
      <w:r>
        <w:rPr>
          <w:sz w:val="22"/>
        </w:rPr>
        <w:t>individual</w:t>
      </w:r>
      <w:r>
        <w:rPr>
          <w:spacing w:val="-3"/>
          <w:sz w:val="22"/>
        </w:rPr>
        <w:t> </w:t>
      </w:r>
      <w:r>
        <w:rPr>
          <w:sz w:val="22"/>
        </w:rPr>
        <w:t>or</w:t>
      </w:r>
      <w:r>
        <w:rPr>
          <w:spacing w:val="-3"/>
          <w:sz w:val="22"/>
        </w:rPr>
        <w:t> </w:t>
      </w:r>
      <w:r>
        <w:rPr>
          <w:sz w:val="22"/>
        </w:rPr>
        <w:t>family</w:t>
      </w:r>
      <w:r>
        <w:rPr>
          <w:spacing w:val="-4"/>
          <w:sz w:val="22"/>
        </w:rPr>
        <w:t> who:</w:t>
      </w:r>
    </w:p>
    <w:p>
      <w:pPr>
        <w:pStyle w:val="ListParagraph"/>
        <w:numPr>
          <w:ilvl w:val="1"/>
          <w:numId w:val="118"/>
        </w:numPr>
        <w:tabs>
          <w:tab w:pos="2781" w:val="left" w:leader="none"/>
          <w:tab w:pos="2783" w:val="left" w:leader="none"/>
        </w:tabs>
        <w:spacing w:line="240" w:lineRule="auto" w:before="1" w:after="0"/>
        <w:ind w:left="2783" w:right="115" w:hanging="260"/>
        <w:jc w:val="both"/>
        <w:rPr>
          <w:sz w:val="22"/>
        </w:rPr>
      </w:pPr>
      <w:r>
        <w:rPr>
          <w:sz w:val="22"/>
        </w:rPr>
        <w:t>Is</w:t>
      </w:r>
      <w:r>
        <w:rPr>
          <w:spacing w:val="-7"/>
          <w:sz w:val="22"/>
        </w:rPr>
        <w:t> </w:t>
      </w:r>
      <w:r>
        <w:rPr>
          <w:sz w:val="22"/>
        </w:rPr>
        <w:t>fleeing,</w:t>
      </w:r>
      <w:r>
        <w:rPr>
          <w:spacing w:val="-10"/>
          <w:sz w:val="22"/>
        </w:rPr>
        <w:t> </w:t>
      </w:r>
      <w:r>
        <w:rPr>
          <w:sz w:val="22"/>
        </w:rPr>
        <w:t>or</w:t>
      </w:r>
      <w:r>
        <w:rPr>
          <w:spacing w:val="-9"/>
          <w:sz w:val="22"/>
        </w:rPr>
        <w:t> </w:t>
      </w:r>
      <w:r>
        <w:rPr>
          <w:sz w:val="22"/>
        </w:rPr>
        <w:t>is</w:t>
      </w:r>
      <w:r>
        <w:rPr>
          <w:spacing w:val="-9"/>
          <w:sz w:val="22"/>
        </w:rPr>
        <w:t> </w:t>
      </w:r>
      <w:r>
        <w:rPr>
          <w:sz w:val="22"/>
        </w:rPr>
        <w:t>attempting</w:t>
      </w:r>
      <w:r>
        <w:rPr>
          <w:spacing w:val="-12"/>
          <w:sz w:val="22"/>
        </w:rPr>
        <w:t> </w:t>
      </w:r>
      <w:r>
        <w:rPr>
          <w:sz w:val="22"/>
        </w:rPr>
        <w:t>to</w:t>
      </w:r>
      <w:r>
        <w:rPr>
          <w:spacing w:val="-10"/>
          <w:sz w:val="22"/>
        </w:rPr>
        <w:t> </w:t>
      </w:r>
      <w:r>
        <w:rPr>
          <w:sz w:val="22"/>
        </w:rPr>
        <w:t>flee,</w:t>
      </w:r>
      <w:r>
        <w:rPr>
          <w:spacing w:val="-10"/>
          <w:sz w:val="22"/>
        </w:rPr>
        <w:t> </w:t>
      </w:r>
      <w:r>
        <w:rPr>
          <w:sz w:val="22"/>
        </w:rPr>
        <w:t>domestic</w:t>
      </w:r>
      <w:r>
        <w:rPr>
          <w:spacing w:val="-9"/>
          <w:sz w:val="22"/>
        </w:rPr>
        <w:t> </w:t>
      </w:r>
      <w:r>
        <w:rPr>
          <w:sz w:val="22"/>
        </w:rPr>
        <w:t>violence,</w:t>
      </w:r>
      <w:r>
        <w:rPr>
          <w:spacing w:val="-10"/>
          <w:sz w:val="22"/>
        </w:rPr>
        <w:t> </w:t>
      </w:r>
      <w:r>
        <w:rPr>
          <w:sz w:val="22"/>
        </w:rPr>
        <w:t>dating</w:t>
      </w:r>
      <w:r>
        <w:rPr>
          <w:spacing w:val="-9"/>
          <w:sz w:val="22"/>
        </w:rPr>
        <w:t> </w:t>
      </w:r>
      <w:r>
        <w:rPr>
          <w:sz w:val="22"/>
        </w:rPr>
        <w:t>violence,</w:t>
      </w:r>
      <w:r>
        <w:rPr>
          <w:spacing w:val="-10"/>
          <w:sz w:val="22"/>
        </w:rPr>
        <w:t> </w:t>
      </w:r>
      <w:r>
        <w:rPr>
          <w:sz w:val="22"/>
        </w:rPr>
        <w:t>sexual assault, stalking, or other dangerous, unsafe, or life-threatening conditions that</w:t>
      </w:r>
      <w:r>
        <w:rPr>
          <w:spacing w:val="-14"/>
          <w:sz w:val="22"/>
        </w:rPr>
        <w:t> </w:t>
      </w:r>
      <w:r>
        <w:rPr>
          <w:sz w:val="22"/>
        </w:rPr>
        <w:t>relate</w:t>
      </w:r>
      <w:r>
        <w:rPr>
          <w:spacing w:val="-14"/>
          <w:sz w:val="22"/>
        </w:rPr>
        <w:t> </w:t>
      </w:r>
      <w:r>
        <w:rPr>
          <w:sz w:val="22"/>
        </w:rPr>
        <w:t>to</w:t>
      </w:r>
      <w:r>
        <w:rPr>
          <w:spacing w:val="-14"/>
          <w:sz w:val="22"/>
        </w:rPr>
        <w:t> </w:t>
      </w:r>
      <w:r>
        <w:rPr>
          <w:sz w:val="22"/>
        </w:rPr>
        <w:t>violence,</w:t>
      </w:r>
      <w:r>
        <w:rPr>
          <w:spacing w:val="-13"/>
          <w:sz w:val="22"/>
        </w:rPr>
        <w:t> </w:t>
      </w:r>
      <w:r>
        <w:rPr>
          <w:sz w:val="22"/>
        </w:rPr>
        <w:t>including</w:t>
      </w:r>
      <w:r>
        <w:rPr>
          <w:spacing w:val="-14"/>
          <w:sz w:val="22"/>
        </w:rPr>
        <w:t> </w:t>
      </w:r>
      <w:r>
        <w:rPr>
          <w:sz w:val="22"/>
        </w:rPr>
        <w:t>physical</w:t>
      </w:r>
      <w:r>
        <w:rPr>
          <w:spacing w:val="-14"/>
          <w:sz w:val="22"/>
        </w:rPr>
        <w:t> </w:t>
      </w:r>
      <w:r>
        <w:rPr>
          <w:sz w:val="22"/>
        </w:rPr>
        <w:t>or</w:t>
      </w:r>
      <w:r>
        <w:rPr>
          <w:spacing w:val="-14"/>
          <w:sz w:val="22"/>
        </w:rPr>
        <w:t> </w:t>
      </w:r>
      <w:r>
        <w:rPr>
          <w:sz w:val="22"/>
        </w:rPr>
        <w:t>emotional,</w:t>
      </w:r>
      <w:r>
        <w:rPr>
          <w:spacing w:val="-13"/>
          <w:sz w:val="22"/>
        </w:rPr>
        <w:t> </w:t>
      </w:r>
      <w:r>
        <w:rPr>
          <w:sz w:val="22"/>
        </w:rPr>
        <w:t>against</w:t>
      </w:r>
      <w:r>
        <w:rPr>
          <w:spacing w:val="-14"/>
          <w:sz w:val="22"/>
        </w:rPr>
        <w:t> </w:t>
      </w:r>
      <w:r>
        <w:rPr>
          <w:sz w:val="22"/>
        </w:rPr>
        <w:t>the</w:t>
      </w:r>
      <w:r>
        <w:rPr>
          <w:spacing w:val="-14"/>
          <w:sz w:val="22"/>
        </w:rPr>
        <w:t> </w:t>
      </w:r>
      <w:r>
        <w:rPr>
          <w:sz w:val="22"/>
        </w:rPr>
        <w:t>individual or a</w:t>
      </w:r>
      <w:r>
        <w:rPr>
          <w:spacing w:val="-2"/>
          <w:sz w:val="22"/>
        </w:rPr>
        <w:t> </w:t>
      </w:r>
      <w:r>
        <w:rPr>
          <w:sz w:val="22"/>
        </w:rPr>
        <w:t>family</w:t>
      </w:r>
      <w:r>
        <w:rPr>
          <w:spacing w:val="-2"/>
          <w:sz w:val="22"/>
        </w:rPr>
        <w:t> </w:t>
      </w:r>
      <w:r>
        <w:rPr>
          <w:sz w:val="22"/>
        </w:rPr>
        <w:t>member, including</w:t>
      </w:r>
      <w:r>
        <w:rPr>
          <w:spacing w:val="-2"/>
          <w:sz w:val="22"/>
        </w:rPr>
        <w:t> </w:t>
      </w:r>
      <w:r>
        <w:rPr>
          <w:sz w:val="22"/>
        </w:rPr>
        <w:t>a child,</w:t>
      </w:r>
      <w:r>
        <w:rPr>
          <w:spacing w:val="-2"/>
          <w:sz w:val="22"/>
        </w:rPr>
        <w:t> </w:t>
      </w:r>
      <w:r>
        <w:rPr>
          <w:sz w:val="22"/>
        </w:rPr>
        <w:t>that has either</w:t>
      </w:r>
      <w:r>
        <w:rPr>
          <w:spacing w:val="-1"/>
          <w:sz w:val="22"/>
        </w:rPr>
        <w:t> </w:t>
      </w:r>
      <w:r>
        <w:rPr>
          <w:sz w:val="22"/>
        </w:rPr>
        <w:t>taken place within</w:t>
      </w:r>
      <w:r>
        <w:rPr>
          <w:spacing w:val="-2"/>
          <w:sz w:val="22"/>
        </w:rPr>
        <w:t> </w:t>
      </w:r>
      <w:r>
        <w:rPr>
          <w:sz w:val="22"/>
        </w:rPr>
        <w:t>the individual's or family's primary nighttime residence or has made the individual or family afraid to return to or stay in their primary nighttime </w:t>
      </w:r>
      <w:r>
        <w:rPr>
          <w:spacing w:val="-2"/>
          <w:sz w:val="22"/>
        </w:rPr>
        <w:t>residence;</w:t>
      </w:r>
    </w:p>
    <w:p>
      <w:pPr>
        <w:pStyle w:val="ListParagraph"/>
        <w:numPr>
          <w:ilvl w:val="1"/>
          <w:numId w:val="118"/>
        </w:numPr>
        <w:tabs>
          <w:tab w:pos="2782" w:val="left" w:leader="none"/>
        </w:tabs>
        <w:spacing w:line="251" w:lineRule="exact" w:before="0" w:after="0"/>
        <w:ind w:left="2782" w:right="0" w:hanging="320"/>
        <w:jc w:val="both"/>
        <w:rPr>
          <w:sz w:val="22"/>
        </w:rPr>
      </w:pPr>
      <w:r>
        <w:rPr>
          <w:sz w:val="22"/>
        </w:rPr>
        <w:t>Has</w:t>
      </w:r>
      <w:r>
        <w:rPr>
          <w:spacing w:val="-5"/>
          <w:sz w:val="22"/>
        </w:rPr>
        <w:t> </w:t>
      </w:r>
      <w:r>
        <w:rPr>
          <w:sz w:val="22"/>
        </w:rPr>
        <w:t>no</w:t>
      </w:r>
      <w:r>
        <w:rPr>
          <w:spacing w:val="-3"/>
          <w:sz w:val="22"/>
        </w:rPr>
        <w:t> </w:t>
      </w:r>
      <w:r>
        <w:rPr>
          <w:sz w:val="22"/>
        </w:rPr>
        <w:t>other</w:t>
      </w:r>
      <w:r>
        <w:rPr>
          <w:spacing w:val="-2"/>
          <w:sz w:val="22"/>
        </w:rPr>
        <w:t> </w:t>
      </w:r>
      <w:r>
        <w:rPr>
          <w:sz w:val="22"/>
        </w:rPr>
        <w:t>residence;</w:t>
      </w:r>
      <w:r>
        <w:rPr>
          <w:spacing w:val="-2"/>
          <w:sz w:val="22"/>
        </w:rPr>
        <w:t> </w:t>
      </w:r>
      <w:r>
        <w:rPr>
          <w:spacing w:val="-5"/>
          <w:sz w:val="22"/>
        </w:rPr>
        <w:t>and</w:t>
      </w:r>
    </w:p>
    <w:p>
      <w:pPr>
        <w:pStyle w:val="ListParagraph"/>
        <w:numPr>
          <w:ilvl w:val="1"/>
          <w:numId w:val="118"/>
        </w:numPr>
        <w:tabs>
          <w:tab w:pos="2781" w:val="left" w:leader="none"/>
          <w:tab w:pos="2783" w:val="left" w:leader="none"/>
        </w:tabs>
        <w:spacing w:line="240" w:lineRule="auto" w:before="2" w:after="0"/>
        <w:ind w:left="2783" w:right="116" w:hanging="382"/>
        <w:jc w:val="both"/>
        <w:rPr>
          <w:rFonts w:ascii="Calibri"/>
          <w:sz w:val="22"/>
        </w:rPr>
      </w:pPr>
      <w:r>
        <w:rPr>
          <w:sz w:val="22"/>
        </w:rPr>
        <w:t>Lacks the resources or support networks,</w:t>
      </w:r>
      <w:r>
        <w:rPr>
          <w:spacing w:val="-3"/>
          <w:sz w:val="22"/>
        </w:rPr>
        <w:t> </w:t>
      </w:r>
      <w:r>
        <w:rPr>
          <w:b/>
          <w:i/>
          <w:sz w:val="22"/>
        </w:rPr>
        <w:t>e.g.,</w:t>
      </w:r>
      <w:r>
        <w:rPr>
          <w:b/>
          <w:i/>
          <w:spacing w:val="-2"/>
          <w:sz w:val="22"/>
        </w:rPr>
        <w:t> </w:t>
      </w:r>
      <w:r>
        <w:rPr>
          <w:sz w:val="22"/>
        </w:rPr>
        <w:t>family, friends, and faith- based or other social networks, to obtain other permanent housing</w:t>
      </w:r>
      <w:r>
        <w:rPr>
          <w:rFonts w:ascii="Calibri"/>
          <w:sz w:val="22"/>
        </w:rPr>
        <w:t>.</w:t>
      </w:r>
    </w:p>
    <w:p>
      <w:pPr>
        <w:pStyle w:val="BodyText"/>
        <w:rPr>
          <w:rFonts w:ascii="Calibri"/>
        </w:rPr>
      </w:pPr>
    </w:p>
    <w:p>
      <w:pPr>
        <w:pStyle w:val="ListParagraph"/>
        <w:numPr>
          <w:ilvl w:val="2"/>
          <w:numId w:val="116"/>
        </w:numPr>
        <w:tabs>
          <w:tab w:pos="1470" w:val="left" w:leader="none"/>
        </w:tabs>
        <w:spacing w:line="240" w:lineRule="auto" w:before="214" w:after="0"/>
        <w:ind w:left="1470" w:right="0" w:hanging="270"/>
        <w:jc w:val="left"/>
        <w:rPr>
          <w:sz w:val="22"/>
        </w:rPr>
      </w:pPr>
      <w:r>
        <w:rPr>
          <w:sz w:val="22"/>
          <w:u w:val="single"/>
        </w:rPr>
        <w:t>Risk</w:t>
      </w:r>
      <w:r>
        <w:rPr>
          <w:spacing w:val="-7"/>
          <w:sz w:val="22"/>
          <w:u w:val="single"/>
        </w:rPr>
        <w:t> </w:t>
      </w:r>
      <w:r>
        <w:rPr>
          <w:sz w:val="22"/>
          <w:u w:val="single"/>
        </w:rPr>
        <w:t>Factor</w:t>
      </w:r>
      <w:r>
        <w:rPr>
          <w:spacing w:val="-2"/>
          <w:sz w:val="22"/>
          <w:u w:val="single"/>
        </w:rPr>
        <w:t> </w:t>
      </w:r>
      <w:r>
        <w:rPr>
          <w:sz w:val="22"/>
          <w:u w:val="single"/>
        </w:rPr>
        <w:t>2</w:t>
      </w:r>
      <w:r>
        <w:rPr>
          <w:sz w:val="22"/>
        </w:rPr>
        <w:t>:</w:t>
      </w:r>
      <w:r>
        <w:rPr>
          <w:spacing w:val="-4"/>
          <w:sz w:val="22"/>
        </w:rPr>
        <w:t> </w:t>
      </w:r>
      <w:r>
        <w:rPr>
          <w:sz w:val="22"/>
        </w:rPr>
        <w:t>The</w:t>
      </w:r>
      <w:r>
        <w:rPr>
          <w:spacing w:val="-2"/>
          <w:sz w:val="22"/>
        </w:rPr>
        <w:t> </w:t>
      </w:r>
      <w:r>
        <w:rPr>
          <w:sz w:val="22"/>
        </w:rPr>
        <w:t>member</w:t>
      </w:r>
      <w:r>
        <w:rPr>
          <w:spacing w:val="-1"/>
          <w:sz w:val="22"/>
        </w:rPr>
        <w:t> </w:t>
      </w:r>
      <w:r>
        <w:rPr>
          <w:sz w:val="22"/>
        </w:rPr>
        <w:t>is</w:t>
      </w:r>
      <w:r>
        <w:rPr>
          <w:spacing w:val="-2"/>
          <w:sz w:val="22"/>
        </w:rPr>
        <w:t> </w:t>
      </w:r>
      <w:r>
        <w:rPr>
          <w:sz w:val="22"/>
        </w:rPr>
        <w:t>at</w:t>
      </w:r>
      <w:r>
        <w:rPr>
          <w:spacing w:val="-1"/>
          <w:sz w:val="22"/>
        </w:rPr>
        <w:t> </w:t>
      </w:r>
      <w:r>
        <w:rPr>
          <w:sz w:val="22"/>
        </w:rPr>
        <w:t>risk</w:t>
      </w:r>
      <w:r>
        <w:rPr>
          <w:spacing w:val="-5"/>
          <w:sz w:val="22"/>
        </w:rPr>
        <w:t> </w:t>
      </w:r>
      <w:r>
        <w:rPr>
          <w:sz w:val="22"/>
        </w:rPr>
        <w:t>of</w:t>
      </w:r>
      <w:r>
        <w:rPr>
          <w:spacing w:val="-1"/>
          <w:sz w:val="22"/>
        </w:rPr>
        <w:t> </w:t>
      </w:r>
      <w:r>
        <w:rPr>
          <w:sz w:val="22"/>
        </w:rPr>
        <w:t>homelessness</w:t>
      </w:r>
      <w:r>
        <w:rPr>
          <w:spacing w:val="-4"/>
          <w:sz w:val="22"/>
        </w:rPr>
        <w:t> </w:t>
      </w:r>
      <w:r>
        <w:rPr>
          <w:sz w:val="22"/>
        </w:rPr>
        <w:t>as</w:t>
      </w:r>
      <w:r>
        <w:rPr>
          <w:spacing w:val="-2"/>
          <w:sz w:val="22"/>
        </w:rPr>
        <w:t> </w:t>
      </w:r>
      <w:r>
        <w:rPr>
          <w:sz w:val="22"/>
        </w:rPr>
        <w:t>defined</w:t>
      </w:r>
      <w:r>
        <w:rPr>
          <w:spacing w:val="-2"/>
          <w:sz w:val="22"/>
        </w:rPr>
        <w:t> </w:t>
      </w:r>
      <w:r>
        <w:rPr>
          <w:sz w:val="22"/>
        </w:rPr>
        <w:t>by</w:t>
      </w:r>
      <w:r>
        <w:rPr>
          <w:spacing w:val="-5"/>
          <w:sz w:val="22"/>
        </w:rPr>
        <w:t> </w:t>
      </w:r>
      <w:r>
        <w:rPr>
          <w:sz w:val="22"/>
        </w:rPr>
        <w:t>the</w:t>
      </w:r>
      <w:r>
        <w:rPr>
          <w:spacing w:val="-4"/>
          <w:sz w:val="22"/>
        </w:rPr>
        <w:t> </w:t>
      </w:r>
      <w:r>
        <w:rPr>
          <w:spacing w:val="-2"/>
          <w:sz w:val="22"/>
        </w:rPr>
        <w:t>following:</w:t>
      </w:r>
    </w:p>
    <w:p>
      <w:pPr>
        <w:pStyle w:val="BodyText"/>
        <w:spacing w:before="1"/>
        <w:rPr>
          <w:sz w:val="14"/>
        </w:rPr>
      </w:pPr>
    </w:p>
    <w:p>
      <w:pPr>
        <w:pStyle w:val="ListParagraph"/>
        <w:numPr>
          <w:ilvl w:val="0"/>
          <w:numId w:val="119"/>
        </w:numPr>
        <w:tabs>
          <w:tab w:pos="2465" w:val="left" w:leader="none"/>
          <w:tab w:pos="2467" w:val="left" w:leader="none"/>
        </w:tabs>
        <w:spacing w:line="240" w:lineRule="auto" w:before="91" w:after="0"/>
        <w:ind w:left="2467" w:right="112" w:hanging="368"/>
        <w:jc w:val="both"/>
        <w:rPr>
          <w:sz w:val="22"/>
        </w:rPr>
      </w:pPr>
      <w:r>
        <w:rPr>
          <w:sz w:val="22"/>
        </w:rPr>
        <w:t>Does not have sufficient resources or support networks, e.g., family, friends, faith-based</w:t>
      </w:r>
      <w:r>
        <w:rPr>
          <w:spacing w:val="-14"/>
          <w:sz w:val="22"/>
        </w:rPr>
        <w:t> </w:t>
      </w:r>
      <w:r>
        <w:rPr>
          <w:sz w:val="22"/>
        </w:rPr>
        <w:t>or</w:t>
      </w:r>
      <w:r>
        <w:rPr>
          <w:spacing w:val="-14"/>
          <w:sz w:val="22"/>
        </w:rPr>
        <w:t> </w:t>
      </w:r>
      <w:r>
        <w:rPr>
          <w:sz w:val="22"/>
        </w:rPr>
        <w:t>other</w:t>
      </w:r>
      <w:r>
        <w:rPr>
          <w:spacing w:val="-14"/>
          <w:sz w:val="22"/>
        </w:rPr>
        <w:t> </w:t>
      </w:r>
      <w:r>
        <w:rPr>
          <w:sz w:val="22"/>
        </w:rPr>
        <w:t>social</w:t>
      </w:r>
      <w:r>
        <w:rPr>
          <w:spacing w:val="-13"/>
          <w:sz w:val="22"/>
        </w:rPr>
        <w:t> </w:t>
      </w:r>
      <w:r>
        <w:rPr>
          <w:sz w:val="22"/>
        </w:rPr>
        <w:t>networks,</w:t>
      </w:r>
      <w:r>
        <w:rPr>
          <w:spacing w:val="-14"/>
          <w:sz w:val="22"/>
        </w:rPr>
        <w:t> </w:t>
      </w:r>
      <w:r>
        <w:rPr>
          <w:sz w:val="22"/>
        </w:rPr>
        <w:t>immediately</w:t>
      </w:r>
      <w:r>
        <w:rPr>
          <w:spacing w:val="-14"/>
          <w:sz w:val="22"/>
        </w:rPr>
        <w:t> </w:t>
      </w:r>
      <w:r>
        <w:rPr>
          <w:sz w:val="22"/>
        </w:rPr>
        <w:t>available</w:t>
      </w:r>
      <w:r>
        <w:rPr>
          <w:spacing w:val="-14"/>
          <w:sz w:val="22"/>
        </w:rPr>
        <w:t> </w:t>
      </w:r>
      <w:r>
        <w:rPr>
          <w:sz w:val="22"/>
        </w:rPr>
        <w:t>to</w:t>
      </w:r>
      <w:r>
        <w:rPr>
          <w:spacing w:val="-13"/>
          <w:sz w:val="22"/>
        </w:rPr>
        <w:t> </w:t>
      </w:r>
      <w:r>
        <w:rPr>
          <w:sz w:val="22"/>
        </w:rPr>
        <w:t>prevent</w:t>
      </w:r>
      <w:r>
        <w:rPr>
          <w:spacing w:val="-14"/>
          <w:sz w:val="22"/>
        </w:rPr>
        <w:t> </w:t>
      </w:r>
      <w:r>
        <w:rPr>
          <w:sz w:val="22"/>
        </w:rPr>
        <w:t>them</w:t>
      </w:r>
      <w:r>
        <w:rPr>
          <w:spacing w:val="-14"/>
          <w:sz w:val="22"/>
        </w:rPr>
        <w:t> </w:t>
      </w:r>
      <w:r>
        <w:rPr>
          <w:sz w:val="22"/>
        </w:rPr>
        <w:t>from moving</w:t>
      </w:r>
      <w:r>
        <w:rPr>
          <w:spacing w:val="-14"/>
          <w:sz w:val="22"/>
        </w:rPr>
        <w:t> </w:t>
      </w:r>
      <w:r>
        <w:rPr>
          <w:sz w:val="22"/>
        </w:rPr>
        <w:t>to</w:t>
      </w:r>
      <w:r>
        <w:rPr>
          <w:spacing w:val="-12"/>
          <w:sz w:val="22"/>
        </w:rPr>
        <w:t> </w:t>
      </w:r>
      <w:r>
        <w:rPr>
          <w:sz w:val="22"/>
        </w:rPr>
        <w:t>an</w:t>
      </w:r>
      <w:r>
        <w:rPr>
          <w:spacing w:val="-12"/>
          <w:sz w:val="22"/>
        </w:rPr>
        <w:t> </w:t>
      </w:r>
      <w:r>
        <w:rPr>
          <w:sz w:val="22"/>
        </w:rPr>
        <w:t>emergency</w:t>
      </w:r>
      <w:r>
        <w:rPr>
          <w:spacing w:val="-14"/>
          <w:sz w:val="22"/>
        </w:rPr>
        <w:t> </w:t>
      </w:r>
      <w:r>
        <w:rPr>
          <w:sz w:val="22"/>
        </w:rPr>
        <w:t>shelter</w:t>
      </w:r>
      <w:r>
        <w:rPr>
          <w:spacing w:val="-11"/>
          <w:sz w:val="22"/>
        </w:rPr>
        <w:t> </w:t>
      </w:r>
      <w:r>
        <w:rPr>
          <w:sz w:val="22"/>
        </w:rPr>
        <w:t>or</w:t>
      </w:r>
      <w:r>
        <w:rPr>
          <w:spacing w:val="-11"/>
          <w:sz w:val="22"/>
        </w:rPr>
        <w:t> </w:t>
      </w:r>
      <w:r>
        <w:rPr>
          <w:sz w:val="22"/>
        </w:rPr>
        <w:t>another</w:t>
      </w:r>
      <w:r>
        <w:rPr>
          <w:spacing w:val="-11"/>
          <w:sz w:val="22"/>
        </w:rPr>
        <w:t> </w:t>
      </w:r>
      <w:r>
        <w:rPr>
          <w:sz w:val="22"/>
        </w:rPr>
        <w:t>place</w:t>
      </w:r>
      <w:r>
        <w:rPr>
          <w:spacing w:val="-11"/>
          <w:sz w:val="22"/>
        </w:rPr>
        <w:t> </w:t>
      </w:r>
      <w:r>
        <w:rPr>
          <w:sz w:val="22"/>
        </w:rPr>
        <w:t>not</w:t>
      </w:r>
      <w:r>
        <w:rPr>
          <w:spacing w:val="-11"/>
          <w:sz w:val="22"/>
        </w:rPr>
        <w:t> </w:t>
      </w:r>
      <w:r>
        <w:rPr>
          <w:sz w:val="22"/>
        </w:rPr>
        <w:t>meant</w:t>
      </w:r>
      <w:r>
        <w:rPr>
          <w:spacing w:val="-13"/>
          <w:sz w:val="22"/>
        </w:rPr>
        <w:t> </w:t>
      </w:r>
      <w:r>
        <w:rPr>
          <w:sz w:val="22"/>
        </w:rPr>
        <w:t>for</w:t>
      </w:r>
      <w:r>
        <w:rPr>
          <w:spacing w:val="-11"/>
          <w:sz w:val="22"/>
        </w:rPr>
        <w:t> </w:t>
      </w:r>
      <w:r>
        <w:rPr>
          <w:sz w:val="22"/>
        </w:rPr>
        <w:t>human</w:t>
      </w:r>
      <w:r>
        <w:rPr>
          <w:spacing w:val="-12"/>
          <w:sz w:val="22"/>
        </w:rPr>
        <w:t> </w:t>
      </w:r>
      <w:r>
        <w:rPr>
          <w:sz w:val="22"/>
        </w:rPr>
        <w:t>habitation or a safe haven; and</w:t>
      </w:r>
    </w:p>
    <w:p>
      <w:pPr>
        <w:pStyle w:val="BodyText"/>
        <w:rPr>
          <w:sz w:val="22"/>
        </w:rPr>
      </w:pPr>
    </w:p>
    <w:p>
      <w:pPr>
        <w:pStyle w:val="ListParagraph"/>
        <w:numPr>
          <w:ilvl w:val="0"/>
          <w:numId w:val="119"/>
        </w:numPr>
        <w:tabs>
          <w:tab w:pos="2467" w:val="left" w:leader="none"/>
        </w:tabs>
        <w:spacing w:line="240" w:lineRule="auto" w:before="0" w:after="0"/>
        <w:ind w:left="2467" w:right="0" w:hanging="367"/>
        <w:jc w:val="left"/>
        <w:rPr>
          <w:sz w:val="22"/>
        </w:rPr>
      </w:pPr>
      <w:r>
        <w:rPr>
          <w:sz w:val="22"/>
        </w:rPr>
        <w:t>Meets</w:t>
      </w:r>
      <w:r>
        <w:rPr>
          <w:spacing w:val="-2"/>
          <w:sz w:val="22"/>
        </w:rPr>
        <w:t> </w:t>
      </w:r>
      <w:r>
        <w:rPr>
          <w:sz w:val="22"/>
        </w:rPr>
        <w:t>one</w:t>
      </w:r>
      <w:r>
        <w:rPr>
          <w:spacing w:val="-2"/>
          <w:sz w:val="22"/>
        </w:rPr>
        <w:t> </w:t>
      </w:r>
      <w:r>
        <w:rPr>
          <w:sz w:val="22"/>
        </w:rPr>
        <w:t>of</w:t>
      </w:r>
      <w:r>
        <w:rPr>
          <w:spacing w:val="-4"/>
          <w:sz w:val="22"/>
        </w:rPr>
        <w:t> </w:t>
      </w:r>
      <w:r>
        <w:rPr>
          <w:sz w:val="22"/>
        </w:rPr>
        <w:t>the</w:t>
      </w:r>
      <w:r>
        <w:rPr>
          <w:spacing w:val="-4"/>
          <w:sz w:val="22"/>
        </w:rPr>
        <w:t> </w:t>
      </w:r>
      <w:r>
        <w:rPr>
          <w:sz w:val="22"/>
        </w:rPr>
        <w:t>following</w:t>
      </w:r>
      <w:r>
        <w:rPr>
          <w:spacing w:val="-4"/>
          <w:sz w:val="22"/>
        </w:rPr>
        <w:t> </w:t>
      </w:r>
      <w:r>
        <w:rPr>
          <w:spacing w:val="-2"/>
          <w:sz w:val="22"/>
        </w:rPr>
        <w:t>conditions:</w:t>
      </w:r>
    </w:p>
    <w:p>
      <w:pPr>
        <w:pStyle w:val="BodyText"/>
        <w:rPr>
          <w:sz w:val="22"/>
        </w:rPr>
      </w:pPr>
    </w:p>
    <w:p>
      <w:pPr>
        <w:pStyle w:val="ListParagraph"/>
        <w:numPr>
          <w:ilvl w:val="1"/>
          <w:numId w:val="119"/>
        </w:numPr>
        <w:tabs>
          <w:tab w:pos="2782" w:val="left" w:leader="none"/>
          <w:tab w:pos="2784" w:val="left" w:leader="none"/>
        </w:tabs>
        <w:spacing w:line="240" w:lineRule="auto" w:before="0" w:after="0"/>
        <w:ind w:left="2784" w:right="115" w:hanging="260"/>
        <w:jc w:val="both"/>
        <w:rPr>
          <w:sz w:val="22"/>
        </w:rPr>
      </w:pPr>
      <w:r>
        <w:rPr>
          <w:sz w:val="22"/>
        </w:rPr>
        <w:t>Has moved because of economic reasons two or more times during the 60 days immediately preceding the Flexible Service Assessment as outlined in Section IV;</w:t>
      </w:r>
    </w:p>
    <w:p>
      <w:pPr>
        <w:pStyle w:val="ListParagraph"/>
        <w:numPr>
          <w:ilvl w:val="1"/>
          <w:numId w:val="119"/>
        </w:numPr>
        <w:tabs>
          <w:tab w:pos="2782" w:val="left" w:leader="none"/>
        </w:tabs>
        <w:spacing w:line="252" w:lineRule="exact" w:before="0" w:after="0"/>
        <w:ind w:left="2782" w:right="0" w:hanging="320"/>
        <w:jc w:val="both"/>
        <w:rPr>
          <w:sz w:val="22"/>
        </w:rPr>
      </w:pPr>
      <w:r>
        <w:rPr>
          <w:sz w:val="22"/>
        </w:rPr>
        <w:t>Is</w:t>
      </w:r>
      <w:r>
        <w:rPr>
          <w:spacing w:val="-4"/>
          <w:sz w:val="22"/>
        </w:rPr>
        <w:t> </w:t>
      </w:r>
      <w:r>
        <w:rPr>
          <w:sz w:val="22"/>
        </w:rPr>
        <w:t>living</w:t>
      </w:r>
      <w:r>
        <w:rPr>
          <w:spacing w:val="-5"/>
          <w:sz w:val="22"/>
        </w:rPr>
        <w:t> </w:t>
      </w:r>
      <w:r>
        <w:rPr>
          <w:sz w:val="22"/>
        </w:rPr>
        <w:t>in</w:t>
      </w:r>
      <w:r>
        <w:rPr>
          <w:spacing w:val="-2"/>
          <w:sz w:val="22"/>
        </w:rPr>
        <w:t> </w:t>
      </w:r>
      <w:r>
        <w:rPr>
          <w:sz w:val="22"/>
        </w:rPr>
        <w:t>the</w:t>
      </w:r>
      <w:r>
        <w:rPr>
          <w:spacing w:val="-1"/>
          <w:sz w:val="22"/>
        </w:rPr>
        <w:t> </w:t>
      </w:r>
      <w:r>
        <w:rPr>
          <w:sz w:val="22"/>
        </w:rPr>
        <w:t>home</w:t>
      </w:r>
      <w:r>
        <w:rPr>
          <w:spacing w:val="-2"/>
          <w:sz w:val="22"/>
        </w:rPr>
        <w:t> </w:t>
      </w:r>
      <w:r>
        <w:rPr>
          <w:sz w:val="22"/>
        </w:rPr>
        <w:t>of</w:t>
      </w:r>
      <w:r>
        <w:rPr>
          <w:spacing w:val="-1"/>
          <w:sz w:val="22"/>
        </w:rPr>
        <w:t> </w:t>
      </w:r>
      <w:r>
        <w:rPr>
          <w:sz w:val="22"/>
        </w:rPr>
        <w:t>another</w:t>
      </w:r>
      <w:r>
        <w:rPr>
          <w:spacing w:val="-3"/>
          <w:sz w:val="22"/>
        </w:rPr>
        <w:t> </w:t>
      </w:r>
      <w:r>
        <w:rPr>
          <w:sz w:val="22"/>
        </w:rPr>
        <w:t>because</w:t>
      </w:r>
      <w:r>
        <w:rPr>
          <w:spacing w:val="-4"/>
          <w:sz w:val="22"/>
        </w:rPr>
        <w:t> </w:t>
      </w:r>
      <w:r>
        <w:rPr>
          <w:sz w:val="22"/>
        </w:rPr>
        <w:t>of</w:t>
      </w:r>
      <w:r>
        <w:rPr>
          <w:spacing w:val="-4"/>
          <w:sz w:val="22"/>
        </w:rPr>
        <w:t> </w:t>
      </w:r>
      <w:r>
        <w:rPr>
          <w:sz w:val="22"/>
        </w:rPr>
        <w:t>economic</w:t>
      </w:r>
      <w:r>
        <w:rPr>
          <w:spacing w:val="-1"/>
          <w:sz w:val="22"/>
        </w:rPr>
        <w:t> </w:t>
      </w:r>
      <w:r>
        <w:rPr>
          <w:spacing w:val="-2"/>
          <w:sz w:val="22"/>
        </w:rPr>
        <w:t>hardship;</w:t>
      </w:r>
    </w:p>
    <w:p>
      <w:pPr>
        <w:pStyle w:val="ListParagraph"/>
        <w:numPr>
          <w:ilvl w:val="1"/>
          <w:numId w:val="119"/>
        </w:numPr>
        <w:tabs>
          <w:tab w:pos="2781" w:val="left" w:leader="none"/>
          <w:tab w:pos="2783" w:val="left" w:leader="none"/>
        </w:tabs>
        <w:spacing w:line="240" w:lineRule="auto" w:before="0" w:after="0"/>
        <w:ind w:left="2783" w:right="115" w:hanging="382"/>
        <w:jc w:val="both"/>
        <w:rPr>
          <w:sz w:val="22"/>
        </w:rPr>
      </w:pPr>
      <w:r>
        <w:rPr>
          <w:sz w:val="22"/>
        </w:rPr>
        <w:t>Lives</w:t>
      </w:r>
      <w:r>
        <w:rPr>
          <w:spacing w:val="-7"/>
          <w:sz w:val="22"/>
        </w:rPr>
        <w:t> </w:t>
      </w:r>
      <w:r>
        <w:rPr>
          <w:sz w:val="22"/>
        </w:rPr>
        <w:t>in</w:t>
      </w:r>
      <w:r>
        <w:rPr>
          <w:spacing w:val="-7"/>
          <w:sz w:val="22"/>
        </w:rPr>
        <w:t> </w:t>
      </w:r>
      <w:r>
        <w:rPr>
          <w:sz w:val="22"/>
        </w:rPr>
        <w:t>a</w:t>
      </w:r>
      <w:r>
        <w:rPr>
          <w:spacing w:val="-7"/>
          <w:sz w:val="22"/>
        </w:rPr>
        <w:t> </w:t>
      </w:r>
      <w:r>
        <w:rPr>
          <w:sz w:val="22"/>
        </w:rPr>
        <w:t>hotel</w:t>
      </w:r>
      <w:r>
        <w:rPr>
          <w:spacing w:val="-6"/>
          <w:sz w:val="22"/>
        </w:rPr>
        <w:t> </w:t>
      </w:r>
      <w:r>
        <w:rPr>
          <w:sz w:val="22"/>
        </w:rPr>
        <w:t>or</w:t>
      </w:r>
      <w:r>
        <w:rPr>
          <w:spacing w:val="-6"/>
          <w:sz w:val="22"/>
        </w:rPr>
        <w:t> </w:t>
      </w:r>
      <w:r>
        <w:rPr>
          <w:sz w:val="22"/>
        </w:rPr>
        <w:t>motel</w:t>
      </w:r>
      <w:r>
        <w:rPr>
          <w:spacing w:val="-6"/>
          <w:sz w:val="22"/>
        </w:rPr>
        <w:t> </w:t>
      </w:r>
      <w:r>
        <w:rPr>
          <w:sz w:val="22"/>
        </w:rPr>
        <w:t>and</w:t>
      </w:r>
      <w:r>
        <w:rPr>
          <w:spacing w:val="-7"/>
          <w:sz w:val="22"/>
        </w:rPr>
        <w:t> </w:t>
      </w:r>
      <w:r>
        <w:rPr>
          <w:sz w:val="22"/>
        </w:rPr>
        <w:t>the</w:t>
      </w:r>
      <w:r>
        <w:rPr>
          <w:spacing w:val="-7"/>
          <w:sz w:val="22"/>
        </w:rPr>
        <w:t> </w:t>
      </w:r>
      <w:r>
        <w:rPr>
          <w:sz w:val="22"/>
        </w:rPr>
        <w:t>cost</w:t>
      </w:r>
      <w:r>
        <w:rPr>
          <w:spacing w:val="-6"/>
          <w:sz w:val="22"/>
        </w:rPr>
        <w:t> </w:t>
      </w:r>
      <w:r>
        <w:rPr>
          <w:sz w:val="22"/>
        </w:rPr>
        <w:t>of</w:t>
      </w:r>
      <w:r>
        <w:rPr>
          <w:spacing w:val="-8"/>
          <w:sz w:val="22"/>
        </w:rPr>
        <w:t> </w:t>
      </w:r>
      <w:r>
        <w:rPr>
          <w:sz w:val="22"/>
        </w:rPr>
        <w:t>the</w:t>
      </w:r>
      <w:r>
        <w:rPr>
          <w:spacing w:val="-7"/>
          <w:sz w:val="22"/>
        </w:rPr>
        <w:t> </w:t>
      </w:r>
      <w:r>
        <w:rPr>
          <w:sz w:val="22"/>
        </w:rPr>
        <w:t>hotel</w:t>
      </w:r>
      <w:r>
        <w:rPr>
          <w:spacing w:val="-6"/>
          <w:sz w:val="22"/>
        </w:rPr>
        <w:t> </w:t>
      </w:r>
      <w:r>
        <w:rPr>
          <w:sz w:val="22"/>
        </w:rPr>
        <w:t>or</w:t>
      </w:r>
      <w:r>
        <w:rPr>
          <w:spacing w:val="-6"/>
          <w:sz w:val="22"/>
        </w:rPr>
        <w:t> </w:t>
      </w:r>
      <w:r>
        <w:rPr>
          <w:sz w:val="22"/>
        </w:rPr>
        <w:t>motel</w:t>
      </w:r>
      <w:r>
        <w:rPr>
          <w:spacing w:val="-6"/>
          <w:sz w:val="22"/>
        </w:rPr>
        <w:t> </w:t>
      </w:r>
      <w:r>
        <w:rPr>
          <w:sz w:val="22"/>
        </w:rPr>
        <w:t>stay</w:t>
      </w:r>
      <w:r>
        <w:rPr>
          <w:spacing w:val="-9"/>
          <w:sz w:val="22"/>
        </w:rPr>
        <w:t> </w:t>
      </w:r>
      <w:r>
        <w:rPr>
          <w:sz w:val="22"/>
        </w:rPr>
        <w:t>is</w:t>
      </w:r>
      <w:r>
        <w:rPr>
          <w:spacing w:val="-7"/>
          <w:sz w:val="22"/>
        </w:rPr>
        <w:t> </w:t>
      </w:r>
      <w:r>
        <w:rPr>
          <w:sz w:val="22"/>
        </w:rPr>
        <w:t>not</w:t>
      </w:r>
      <w:r>
        <w:rPr>
          <w:spacing w:val="-6"/>
          <w:sz w:val="22"/>
        </w:rPr>
        <w:t> </w:t>
      </w:r>
      <w:r>
        <w:rPr>
          <w:sz w:val="22"/>
        </w:rPr>
        <w:t>paid</w:t>
      </w:r>
      <w:r>
        <w:rPr>
          <w:spacing w:val="-7"/>
          <w:sz w:val="22"/>
        </w:rPr>
        <w:t> </w:t>
      </w:r>
      <w:r>
        <w:rPr>
          <w:sz w:val="22"/>
        </w:rPr>
        <w:t>by charitable organizations or by federal, State, or local government programs for low-income individuals;</w:t>
      </w:r>
    </w:p>
    <w:p>
      <w:pPr>
        <w:pStyle w:val="ListParagraph"/>
        <w:numPr>
          <w:ilvl w:val="1"/>
          <w:numId w:val="119"/>
        </w:numPr>
        <w:tabs>
          <w:tab w:pos="2781" w:val="left" w:leader="none"/>
          <w:tab w:pos="2783" w:val="left" w:leader="none"/>
        </w:tabs>
        <w:spacing w:line="240" w:lineRule="auto" w:before="0" w:after="0"/>
        <w:ind w:left="2783" w:right="113" w:hanging="370"/>
        <w:jc w:val="both"/>
        <w:rPr>
          <w:sz w:val="22"/>
        </w:rPr>
      </w:pPr>
      <w:r>
        <w:rPr>
          <w:sz w:val="22"/>
        </w:rPr>
        <w:t>Lives</w:t>
      </w:r>
      <w:r>
        <w:rPr>
          <w:spacing w:val="-12"/>
          <w:sz w:val="22"/>
        </w:rPr>
        <w:t> </w:t>
      </w:r>
      <w:r>
        <w:rPr>
          <w:sz w:val="22"/>
        </w:rPr>
        <w:t>in</w:t>
      </w:r>
      <w:r>
        <w:rPr>
          <w:spacing w:val="-12"/>
          <w:sz w:val="22"/>
        </w:rPr>
        <w:t> </w:t>
      </w:r>
      <w:r>
        <w:rPr>
          <w:sz w:val="22"/>
        </w:rPr>
        <w:t>a</w:t>
      </w:r>
      <w:r>
        <w:rPr>
          <w:spacing w:val="-14"/>
          <w:sz w:val="22"/>
        </w:rPr>
        <w:t> </w:t>
      </w:r>
      <w:r>
        <w:rPr>
          <w:sz w:val="22"/>
        </w:rPr>
        <w:t>single-room</w:t>
      </w:r>
      <w:r>
        <w:rPr>
          <w:spacing w:val="-14"/>
          <w:sz w:val="22"/>
        </w:rPr>
        <w:t> </w:t>
      </w:r>
      <w:r>
        <w:rPr>
          <w:sz w:val="22"/>
        </w:rPr>
        <w:t>occupancy</w:t>
      </w:r>
      <w:r>
        <w:rPr>
          <w:spacing w:val="-13"/>
          <w:sz w:val="22"/>
        </w:rPr>
        <w:t> </w:t>
      </w:r>
      <w:r>
        <w:rPr>
          <w:sz w:val="22"/>
        </w:rPr>
        <w:t>or</w:t>
      </w:r>
      <w:r>
        <w:rPr>
          <w:spacing w:val="-11"/>
          <w:sz w:val="22"/>
        </w:rPr>
        <w:t> </w:t>
      </w:r>
      <w:r>
        <w:rPr>
          <w:sz w:val="22"/>
        </w:rPr>
        <w:t>efficiency</w:t>
      </w:r>
      <w:r>
        <w:rPr>
          <w:spacing w:val="-14"/>
          <w:sz w:val="22"/>
        </w:rPr>
        <w:t> </w:t>
      </w:r>
      <w:r>
        <w:rPr>
          <w:sz w:val="22"/>
        </w:rPr>
        <w:t>apartment</w:t>
      </w:r>
      <w:r>
        <w:rPr>
          <w:spacing w:val="-11"/>
          <w:sz w:val="22"/>
        </w:rPr>
        <w:t> </w:t>
      </w:r>
      <w:r>
        <w:rPr>
          <w:sz w:val="22"/>
        </w:rPr>
        <w:t>unit</w:t>
      </w:r>
      <w:r>
        <w:rPr>
          <w:spacing w:val="-13"/>
          <w:sz w:val="22"/>
        </w:rPr>
        <w:t> </w:t>
      </w:r>
      <w:r>
        <w:rPr>
          <w:sz w:val="22"/>
        </w:rPr>
        <w:t>in</w:t>
      </w:r>
      <w:r>
        <w:rPr>
          <w:spacing w:val="-12"/>
          <w:sz w:val="22"/>
        </w:rPr>
        <w:t> </w:t>
      </w:r>
      <w:r>
        <w:rPr>
          <w:sz w:val="22"/>
        </w:rPr>
        <w:t>which</w:t>
      </w:r>
      <w:r>
        <w:rPr>
          <w:spacing w:val="-12"/>
          <w:sz w:val="22"/>
        </w:rPr>
        <w:t> </w:t>
      </w:r>
      <w:r>
        <w:rPr>
          <w:sz w:val="22"/>
        </w:rPr>
        <w:t>there reside</w:t>
      </w:r>
      <w:r>
        <w:rPr>
          <w:spacing w:val="-7"/>
          <w:sz w:val="22"/>
        </w:rPr>
        <w:t> </w:t>
      </w:r>
      <w:r>
        <w:rPr>
          <w:sz w:val="22"/>
        </w:rPr>
        <w:t>more</w:t>
      </w:r>
      <w:r>
        <w:rPr>
          <w:spacing w:val="-7"/>
          <w:sz w:val="22"/>
        </w:rPr>
        <w:t> </w:t>
      </w:r>
      <w:r>
        <w:rPr>
          <w:sz w:val="22"/>
        </w:rPr>
        <w:t>than</w:t>
      </w:r>
      <w:r>
        <w:rPr>
          <w:spacing w:val="-9"/>
          <w:sz w:val="22"/>
        </w:rPr>
        <w:t> </w:t>
      </w:r>
      <w:r>
        <w:rPr>
          <w:sz w:val="22"/>
        </w:rPr>
        <w:t>two</w:t>
      </w:r>
      <w:r>
        <w:rPr>
          <w:spacing w:val="-7"/>
          <w:sz w:val="22"/>
        </w:rPr>
        <w:t> </w:t>
      </w:r>
      <w:r>
        <w:rPr>
          <w:sz w:val="22"/>
        </w:rPr>
        <w:t>persons,</w:t>
      </w:r>
      <w:r>
        <w:rPr>
          <w:spacing w:val="-7"/>
          <w:sz w:val="22"/>
        </w:rPr>
        <w:t> </w:t>
      </w:r>
      <w:r>
        <w:rPr>
          <w:sz w:val="22"/>
        </w:rPr>
        <w:t>or</w:t>
      </w:r>
      <w:r>
        <w:rPr>
          <w:spacing w:val="-6"/>
          <w:sz w:val="22"/>
        </w:rPr>
        <w:t> </w:t>
      </w:r>
      <w:r>
        <w:rPr>
          <w:sz w:val="22"/>
        </w:rPr>
        <w:t>lives</w:t>
      </w:r>
      <w:r>
        <w:rPr>
          <w:spacing w:val="-7"/>
          <w:sz w:val="22"/>
        </w:rPr>
        <w:t> </w:t>
      </w:r>
      <w:r>
        <w:rPr>
          <w:sz w:val="22"/>
        </w:rPr>
        <w:t>in</w:t>
      </w:r>
      <w:r>
        <w:rPr>
          <w:spacing w:val="-7"/>
          <w:sz w:val="22"/>
        </w:rPr>
        <w:t> </w:t>
      </w:r>
      <w:r>
        <w:rPr>
          <w:sz w:val="22"/>
        </w:rPr>
        <w:t>a</w:t>
      </w:r>
      <w:r>
        <w:rPr>
          <w:spacing w:val="-7"/>
          <w:sz w:val="22"/>
        </w:rPr>
        <w:t> </w:t>
      </w:r>
      <w:r>
        <w:rPr>
          <w:sz w:val="22"/>
        </w:rPr>
        <w:t>larger</w:t>
      </w:r>
      <w:r>
        <w:rPr>
          <w:spacing w:val="-6"/>
          <w:sz w:val="22"/>
        </w:rPr>
        <w:t> </w:t>
      </w:r>
      <w:r>
        <w:rPr>
          <w:sz w:val="22"/>
        </w:rPr>
        <w:t>housing</w:t>
      </w:r>
      <w:r>
        <w:rPr>
          <w:spacing w:val="-10"/>
          <w:sz w:val="22"/>
        </w:rPr>
        <w:t> </w:t>
      </w:r>
      <w:r>
        <w:rPr>
          <w:sz w:val="22"/>
        </w:rPr>
        <w:t>unit</w:t>
      </w:r>
      <w:r>
        <w:rPr>
          <w:spacing w:val="-6"/>
          <w:sz w:val="22"/>
        </w:rPr>
        <w:t> </w:t>
      </w:r>
      <w:r>
        <w:rPr>
          <w:sz w:val="22"/>
        </w:rPr>
        <w:t>in</w:t>
      </w:r>
      <w:r>
        <w:rPr>
          <w:spacing w:val="-7"/>
          <w:sz w:val="22"/>
        </w:rPr>
        <w:t> </w:t>
      </w:r>
      <w:r>
        <w:rPr>
          <w:sz w:val="22"/>
        </w:rPr>
        <w:t>which</w:t>
      </w:r>
      <w:r>
        <w:rPr>
          <w:spacing w:val="-7"/>
          <w:sz w:val="22"/>
        </w:rPr>
        <w:t> </w:t>
      </w:r>
      <w:r>
        <w:rPr>
          <w:sz w:val="22"/>
        </w:rPr>
        <w:t>there reside more than 1.5 people per room;</w:t>
      </w:r>
    </w:p>
    <w:p>
      <w:pPr>
        <w:pStyle w:val="ListParagraph"/>
        <w:numPr>
          <w:ilvl w:val="1"/>
          <w:numId w:val="119"/>
        </w:numPr>
        <w:tabs>
          <w:tab w:pos="2781" w:val="left" w:leader="none"/>
          <w:tab w:pos="2783" w:val="left" w:leader="none"/>
        </w:tabs>
        <w:spacing w:line="240" w:lineRule="auto" w:before="1" w:after="0"/>
        <w:ind w:left="2783" w:right="115" w:hanging="310"/>
        <w:jc w:val="both"/>
        <w:rPr>
          <w:sz w:val="22"/>
        </w:rPr>
      </w:pPr>
      <w:r>
        <w:rPr>
          <w:sz w:val="22"/>
        </w:rPr>
        <w:t>Has a past history of receiving services in a publicly funded institution, or system</w:t>
      </w:r>
      <w:r>
        <w:rPr>
          <w:spacing w:val="-2"/>
          <w:sz w:val="22"/>
        </w:rPr>
        <w:t> </w:t>
      </w:r>
      <w:r>
        <w:rPr>
          <w:sz w:val="22"/>
        </w:rPr>
        <w:t>of care (such as a health-care facility, a mental health</w:t>
      </w:r>
      <w:r>
        <w:rPr>
          <w:spacing w:val="-1"/>
          <w:sz w:val="22"/>
        </w:rPr>
        <w:t> </w:t>
      </w:r>
      <w:r>
        <w:rPr>
          <w:sz w:val="22"/>
        </w:rPr>
        <w:t>facility, foster care or other youth facility, or correction program or institution); or</w:t>
      </w:r>
    </w:p>
    <w:p>
      <w:pPr>
        <w:spacing w:after="0" w:line="240" w:lineRule="auto"/>
        <w:jc w:val="both"/>
        <w:rPr>
          <w:sz w:val="22"/>
        </w:rPr>
        <w:sectPr>
          <w:footerReference w:type="default" r:id="rId353"/>
          <w:pgSz w:w="12240" w:h="15840"/>
          <w:pgMar w:footer="1240" w:header="0" w:top="640" w:bottom="1420" w:left="1320" w:right="1320"/>
          <w:pgNumType w:start="2"/>
        </w:sectPr>
      </w:pPr>
    </w:p>
    <w:p>
      <w:pPr>
        <w:spacing w:before="80"/>
        <w:ind w:left="120" w:right="0" w:firstLine="0"/>
        <w:jc w:val="left"/>
        <w:rPr>
          <w:sz w:val="20"/>
        </w:rPr>
      </w:pPr>
      <w:r>
        <w:rPr>
          <w:spacing w:val="-2"/>
          <w:sz w:val="20"/>
        </w:rPr>
        <w:t>Attachment</w:t>
      </w:r>
      <w:r>
        <w:rPr>
          <w:spacing w:val="6"/>
          <w:sz w:val="20"/>
        </w:rPr>
        <w:t> </w:t>
      </w:r>
      <w:r>
        <w:rPr>
          <w:spacing w:val="-10"/>
          <w:sz w:val="20"/>
        </w:rPr>
        <w:t>R</w:t>
      </w:r>
    </w:p>
    <w:p>
      <w:pPr>
        <w:pStyle w:val="BodyText"/>
        <w:rPr>
          <w:sz w:val="20"/>
        </w:rPr>
      </w:pPr>
    </w:p>
    <w:p>
      <w:pPr>
        <w:pStyle w:val="BodyText"/>
        <w:spacing w:before="5"/>
        <w:rPr>
          <w:sz w:val="22"/>
        </w:rPr>
      </w:pPr>
    </w:p>
    <w:p>
      <w:pPr>
        <w:pStyle w:val="ListParagraph"/>
        <w:numPr>
          <w:ilvl w:val="1"/>
          <w:numId w:val="119"/>
        </w:numPr>
        <w:tabs>
          <w:tab w:pos="2781" w:val="left" w:leader="none"/>
          <w:tab w:pos="2783" w:val="left" w:leader="none"/>
        </w:tabs>
        <w:spacing w:line="240" w:lineRule="auto" w:before="0" w:after="0"/>
        <w:ind w:left="2783" w:right="113" w:hanging="370"/>
        <w:jc w:val="both"/>
        <w:rPr>
          <w:sz w:val="22"/>
        </w:rPr>
      </w:pPr>
      <w:r>
        <w:rPr>
          <w:sz w:val="22"/>
        </w:rPr>
        <w:t>Otherwise</w:t>
      </w:r>
      <w:r>
        <w:rPr>
          <w:spacing w:val="-10"/>
          <w:sz w:val="22"/>
        </w:rPr>
        <w:t> </w:t>
      </w:r>
      <w:r>
        <w:rPr>
          <w:sz w:val="22"/>
        </w:rPr>
        <w:t>lives</w:t>
      </w:r>
      <w:r>
        <w:rPr>
          <w:spacing w:val="-10"/>
          <w:sz w:val="22"/>
        </w:rPr>
        <w:t> </w:t>
      </w:r>
      <w:r>
        <w:rPr>
          <w:sz w:val="22"/>
        </w:rPr>
        <w:t>in</w:t>
      </w:r>
      <w:r>
        <w:rPr>
          <w:spacing w:val="-8"/>
          <w:sz w:val="22"/>
        </w:rPr>
        <w:t> </w:t>
      </w:r>
      <w:r>
        <w:rPr>
          <w:sz w:val="22"/>
        </w:rPr>
        <w:t>housing</w:t>
      </w:r>
      <w:r>
        <w:rPr>
          <w:spacing w:val="-11"/>
          <w:sz w:val="22"/>
        </w:rPr>
        <w:t> </w:t>
      </w:r>
      <w:r>
        <w:rPr>
          <w:sz w:val="22"/>
        </w:rPr>
        <w:t>that</w:t>
      </w:r>
      <w:r>
        <w:rPr>
          <w:spacing w:val="-7"/>
          <w:sz w:val="22"/>
        </w:rPr>
        <w:t> </w:t>
      </w:r>
      <w:r>
        <w:rPr>
          <w:sz w:val="22"/>
        </w:rPr>
        <w:t>has</w:t>
      </w:r>
      <w:r>
        <w:rPr>
          <w:spacing w:val="-8"/>
          <w:sz w:val="22"/>
        </w:rPr>
        <w:t> </w:t>
      </w:r>
      <w:r>
        <w:rPr>
          <w:sz w:val="22"/>
        </w:rPr>
        <w:t>characteristics</w:t>
      </w:r>
      <w:r>
        <w:rPr>
          <w:spacing w:val="-8"/>
          <w:sz w:val="22"/>
        </w:rPr>
        <w:t> </w:t>
      </w:r>
      <w:r>
        <w:rPr>
          <w:sz w:val="22"/>
        </w:rPr>
        <w:t>associated</w:t>
      </w:r>
      <w:r>
        <w:rPr>
          <w:spacing w:val="-8"/>
          <w:sz w:val="22"/>
        </w:rPr>
        <w:t> </w:t>
      </w:r>
      <w:r>
        <w:rPr>
          <w:sz w:val="22"/>
        </w:rPr>
        <w:t>with</w:t>
      </w:r>
      <w:r>
        <w:rPr>
          <w:spacing w:val="-10"/>
          <w:sz w:val="22"/>
        </w:rPr>
        <w:t> </w:t>
      </w:r>
      <w:r>
        <w:rPr>
          <w:sz w:val="22"/>
        </w:rPr>
        <w:t>instability and an increased risk of homelessness.</w:t>
      </w:r>
    </w:p>
    <w:p>
      <w:pPr>
        <w:pStyle w:val="ListParagraph"/>
        <w:numPr>
          <w:ilvl w:val="2"/>
          <w:numId w:val="119"/>
        </w:numPr>
        <w:tabs>
          <w:tab w:pos="3718" w:val="left" w:leader="none"/>
        </w:tabs>
        <w:spacing w:line="252" w:lineRule="exact" w:before="1" w:after="0"/>
        <w:ind w:left="3718" w:right="0" w:hanging="359"/>
        <w:jc w:val="both"/>
        <w:rPr>
          <w:sz w:val="22"/>
        </w:rPr>
      </w:pPr>
      <w:r>
        <w:rPr>
          <w:sz w:val="22"/>
        </w:rPr>
        <w:t>Characteristics</w:t>
      </w:r>
      <w:r>
        <w:rPr>
          <w:spacing w:val="-6"/>
          <w:sz w:val="22"/>
        </w:rPr>
        <w:t> </w:t>
      </w:r>
      <w:r>
        <w:rPr>
          <w:sz w:val="22"/>
        </w:rPr>
        <w:t>are</w:t>
      </w:r>
      <w:r>
        <w:rPr>
          <w:spacing w:val="-5"/>
          <w:sz w:val="22"/>
        </w:rPr>
        <w:t> </w:t>
      </w:r>
      <w:r>
        <w:rPr>
          <w:sz w:val="22"/>
        </w:rPr>
        <w:t>defined</w:t>
      </w:r>
      <w:r>
        <w:rPr>
          <w:spacing w:val="-6"/>
          <w:sz w:val="22"/>
        </w:rPr>
        <w:t> </w:t>
      </w:r>
      <w:r>
        <w:rPr>
          <w:spacing w:val="-5"/>
          <w:sz w:val="22"/>
        </w:rPr>
        <w:t>as:</w:t>
      </w:r>
    </w:p>
    <w:p>
      <w:pPr>
        <w:pStyle w:val="ListParagraph"/>
        <w:numPr>
          <w:ilvl w:val="3"/>
          <w:numId w:val="119"/>
        </w:numPr>
        <w:tabs>
          <w:tab w:pos="4437" w:val="left" w:leader="none"/>
          <w:tab w:pos="4439" w:val="left" w:leader="none"/>
        </w:tabs>
        <w:spacing w:line="240" w:lineRule="auto" w:before="0" w:after="0"/>
        <w:ind w:left="4439" w:right="115" w:hanging="296"/>
        <w:jc w:val="both"/>
        <w:rPr>
          <w:sz w:val="22"/>
        </w:rPr>
      </w:pPr>
      <w:r>
        <w:rPr>
          <w:b/>
          <w:sz w:val="22"/>
        </w:rPr>
        <w:t>Living in housing that is unhealthy </w:t>
      </w:r>
      <w:r>
        <w:rPr>
          <w:sz w:val="22"/>
        </w:rPr>
        <w:t>(e.g., the presence of any characteristics that might negatively affect the health of its occupants, including, but not limited to, evidence of rodents, water leaks, peeling paint in homes built before 1978, and absence of a working smoke detector, poor air quality from mold or radon).</w:t>
      </w:r>
    </w:p>
    <w:p>
      <w:pPr>
        <w:pStyle w:val="ListParagraph"/>
        <w:numPr>
          <w:ilvl w:val="3"/>
          <w:numId w:val="119"/>
        </w:numPr>
        <w:tabs>
          <w:tab w:pos="4437" w:val="left" w:leader="none"/>
          <w:tab w:pos="4439" w:val="left" w:leader="none"/>
        </w:tabs>
        <w:spacing w:line="240" w:lineRule="auto" w:before="1" w:after="0"/>
        <w:ind w:left="4439" w:right="114" w:hanging="358"/>
        <w:jc w:val="both"/>
        <w:rPr>
          <w:sz w:val="22"/>
        </w:rPr>
      </w:pPr>
      <w:r>
        <w:rPr>
          <w:b/>
          <w:sz w:val="22"/>
        </w:rPr>
        <w:t>Living in housing that is inadequate as </w:t>
      </w:r>
      <w:r>
        <w:rPr>
          <w:sz w:val="22"/>
        </w:rPr>
        <w:t>defined as an occupied housing unit that has moderate or severe physical problems (e.g., deficiencies in plumbing, heating, electricity, hallways, and upkeep). Examples of moderate physical problems in</w:t>
      </w:r>
      <w:r>
        <w:rPr>
          <w:spacing w:val="-1"/>
          <w:sz w:val="22"/>
        </w:rPr>
        <w:t> </w:t>
      </w:r>
      <w:r>
        <w:rPr>
          <w:sz w:val="22"/>
        </w:rPr>
        <w:t>a unit include,</w:t>
      </w:r>
      <w:r>
        <w:rPr>
          <w:spacing w:val="-1"/>
          <w:sz w:val="22"/>
        </w:rPr>
        <w:t> </w:t>
      </w:r>
      <w:r>
        <w:rPr>
          <w:sz w:val="22"/>
        </w:rPr>
        <w:t>but are</w:t>
      </w:r>
      <w:r>
        <w:rPr>
          <w:spacing w:val="-3"/>
          <w:sz w:val="22"/>
        </w:rPr>
        <w:t> </w:t>
      </w:r>
      <w:r>
        <w:rPr>
          <w:sz w:val="22"/>
        </w:rPr>
        <w:t>not limited to, two or more breakdowns of the toilets that lasted more than 6 months, unvented primary heating equipment, or lack of a complete kitchen facility in the unit.</w:t>
      </w:r>
      <w:r>
        <w:rPr>
          <w:spacing w:val="-14"/>
          <w:sz w:val="22"/>
        </w:rPr>
        <w:t> </w:t>
      </w:r>
      <w:r>
        <w:rPr>
          <w:sz w:val="22"/>
        </w:rPr>
        <w:t>Severe</w:t>
      </w:r>
      <w:r>
        <w:rPr>
          <w:spacing w:val="-14"/>
          <w:sz w:val="22"/>
        </w:rPr>
        <w:t> </w:t>
      </w:r>
      <w:r>
        <w:rPr>
          <w:sz w:val="22"/>
        </w:rPr>
        <w:t>physical</w:t>
      </w:r>
      <w:r>
        <w:rPr>
          <w:spacing w:val="-14"/>
          <w:sz w:val="22"/>
        </w:rPr>
        <w:t> </w:t>
      </w:r>
      <w:r>
        <w:rPr>
          <w:sz w:val="22"/>
        </w:rPr>
        <w:t>problems</w:t>
      </w:r>
      <w:r>
        <w:rPr>
          <w:spacing w:val="-13"/>
          <w:sz w:val="22"/>
        </w:rPr>
        <w:t> </w:t>
      </w:r>
      <w:r>
        <w:rPr>
          <w:sz w:val="22"/>
        </w:rPr>
        <w:t>include,</w:t>
      </w:r>
      <w:r>
        <w:rPr>
          <w:spacing w:val="-14"/>
          <w:sz w:val="22"/>
        </w:rPr>
        <w:t> </w:t>
      </w:r>
      <w:r>
        <w:rPr>
          <w:sz w:val="22"/>
        </w:rPr>
        <w:t>but</w:t>
      </w:r>
      <w:r>
        <w:rPr>
          <w:spacing w:val="-14"/>
          <w:sz w:val="22"/>
        </w:rPr>
        <w:t> </w:t>
      </w:r>
      <w:r>
        <w:rPr>
          <w:sz w:val="22"/>
        </w:rPr>
        <w:t>are</w:t>
      </w:r>
      <w:r>
        <w:rPr>
          <w:spacing w:val="-14"/>
          <w:sz w:val="22"/>
        </w:rPr>
        <w:t> </w:t>
      </w:r>
      <w:r>
        <w:rPr>
          <w:sz w:val="22"/>
        </w:rPr>
        <w:t>not</w:t>
      </w:r>
      <w:r>
        <w:rPr>
          <w:spacing w:val="-13"/>
          <w:sz w:val="22"/>
        </w:rPr>
        <w:t> </w:t>
      </w:r>
      <w:r>
        <w:rPr>
          <w:sz w:val="22"/>
        </w:rPr>
        <w:t>limited to, lack of running hot or cold water, lack of a working toilet, and exposed wiring.</w:t>
      </w:r>
    </w:p>
    <w:p>
      <w:pPr>
        <w:pStyle w:val="ListParagraph"/>
        <w:numPr>
          <w:ilvl w:val="3"/>
          <w:numId w:val="119"/>
        </w:numPr>
        <w:tabs>
          <w:tab w:pos="4437" w:val="left" w:leader="none"/>
          <w:tab w:pos="4439" w:val="left" w:leader="none"/>
        </w:tabs>
        <w:spacing w:line="240" w:lineRule="auto" w:before="0" w:after="0"/>
        <w:ind w:left="4439" w:right="115" w:hanging="418"/>
        <w:jc w:val="both"/>
        <w:rPr>
          <w:sz w:val="22"/>
        </w:rPr>
      </w:pPr>
      <w:r>
        <w:rPr>
          <w:b/>
          <w:sz w:val="22"/>
        </w:rPr>
        <w:t>Rent</w:t>
      </w:r>
      <w:r>
        <w:rPr>
          <w:b/>
          <w:spacing w:val="-14"/>
          <w:sz w:val="22"/>
        </w:rPr>
        <w:t> </w:t>
      </w:r>
      <w:r>
        <w:rPr>
          <w:b/>
          <w:sz w:val="22"/>
        </w:rPr>
        <w:t>Arrears</w:t>
      </w:r>
      <w:r>
        <w:rPr>
          <w:b/>
          <w:spacing w:val="-14"/>
          <w:sz w:val="22"/>
        </w:rPr>
        <w:t> </w:t>
      </w:r>
      <w:r>
        <w:rPr>
          <w:b/>
          <w:sz w:val="22"/>
        </w:rPr>
        <w:t>(1</w:t>
      </w:r>
      <w:r>
        <w:rPr>
          <w:b/>
          <w:spacing w:val="-14"/>
          <w:sz w:val="22"/>
        </w:rPr>
        <w:t> </w:t>
      </w:r>
      <w:r>
        <w:rPr>
          <w:b/>
          <w:sz w:val="22"/>
        </w:rPr>
        <w:t>or</w:t>
      </w:r>
      <w:r>
        <w:rPr>
          <w:b/>
          <w:spacing w:val="-13"/>
          <w:sz w:val="22"/>
        </w:rPr>
        <w:t> </w:t>
      </w:r>
      <w:r>
        <w:rPr>
          <w:b/>
          <w:sz w:val="22"/>
        </w:rPr>
        <w:t>more):</w:t>
      </w:r>
      <w:r>
        <w:rPr>
          <w:b/>
          <w:spacing w:val="4"/>
          <w:sz w:val="22"/>
        </w:rPr>
        <w:t> </w:t>
      </w:r>
      <w:r>
        <w:rPr>
          <w:sz w:val="22"/>
        </w:rPr>
        <w:t>Missing</w:t>
      </w:r>
      <w:r>
        <w:rPr>
          <w:spacing w:val="-14"/>
          <w:sz w:val="22"/>
        </w:rPr>
        <w:t> </w:t>
      </w:r>
      <w:r>
        <w:rPr>
          <w:sz w:val="22"/>
        </w:rPr>
        <w:t>one</w:t>
      </w:r>
      <w:r>
        <w:rPr>
          <w:spacing w:val="-14"/>
          <w:sz w:val="22"/>
        </w:rPr>
        <w:t> </w:t>
      </w:r>
      <w:r>
        <w:rPr>
          <w:sz w:val="22"/>
        </w:rPr>
        <w:t>or</w:t>
      </w:r>
      <w:r>
        <w:rPr>
          <w:spacing w:val="-14"/>
          <w:sz w:val="22"/>
        </w:rPr>
        <w:t> </w:t>
      </w:r>
      <w:r>
        <w:rPr>
          <w:sz w:val="22"/>
        </w:rPr>
        <w:t>more</w:t>
      </w:r>
      <w:r>
        <w:rPr>
          <w:spacing w:val="-13"/>
          <w:sz w:val="22"/>
        </w:rPr>
        <w:t> </w:t>
      </w:r>
      <w:r>
        <w:rPr>
          <w:sz w:val="22"/>
        </w:rPr>
        <w:t>monthly rent payment as well as situations such as receiving a Notice to Quit,</w:t>
      </w:r>
      <w:r>
        <w:rPr>
          <w:spacing w:val="40"/>
          <w:sz w:val="22"/>
        </w:rPr>
        <w:t> </w:t>
      </w:r>
      <w:r>
        <w:rPr>
          <w:sz w:val="22"/>
        </w:rPr>
        <w:t>being</w:t>
      </w:r>
      <w:r>
        <w:rPr>
          <w:spacing w:val="40"/>
          <w:sz w:val="22"/>
        </w:rPr>
        <w:t> </w:t>
      </w:r>
      <w:r>
        <w:rPr>
          <w:sz w:val="22"/>
        </w:rPr>
        <w:t>referred to Housing Court, receiving complaints from a property manager/landlord, or failure to have one’s lease recertified or renewed</w:t>
      </w:r>
    </w:p>
    <w:p>
      <w:pPr>
        <w:pStyle w:val="BodyText"/>
        <w:rPr>
          <w:sz w:val="22"/>
        </w:rPr>
      </w:pPr>
    </w:p>
    <w:p>
      <w:pPr>
        <w:pStyle w:val="ListParagraph"/>
        <w:numPr>
          <w:ilvl w:val="2"/>
          <w:numId w:val="116"/>
        </w:numPr>
        <w:tabs>
          <w:tab w:pos="1470" w:val="left" w:leader="none"/>
          <w:tab w:pos="1560" w:val="left" w:leader="none"/>
        </w:tabs>
        <w:spacing w:line="240" w:lineRule="auto" w:before="0" w:after="0"/>
        <w:ind w:left="1560" w:right="112" w:hanging="360"/>
        <w:jc w:val="both"/>
        <w:rPr>
          <w:sz w:val="22"/>
        </w:rPr>
      </w:pPr>
      <w:r>
        <w:rPr>
          <w:sz w:val="22"/>
          <w:u w:val="single"/>
        </w:rPr>
        <w:t>Risk</w:t>
      </w:r>
      <w:r>
        <w:rPr>
          <w:spacing w:val="-10"/>
          <w:sz w:val="22"/>
          <w:u w:val="single"/>
        </w:rPr>
        <w:t> </w:t>
      </w:r>
      <w:r>
        <w:rPr>
          <w:sz w:val="22"/>
          <w:u w:val="single"/>
        </w:rPr>
        <w:t>Factor</w:t>
      </w:r>
      <w:r>
        <w:rPr>
          <w:spacing w:val="-6"/>
          <w:sz w:val="22"/>
          <w:u w:val="single"/>
        </w:rPr>
        <w:t> </w:t>
      </w:r>
      <w:r>
        <w:rPr>
          <w:sz w:val="22"/>
          <w:u w:val="single"/>
        </w:rPr>
        <w:t>3</w:t>
      </w:r>
      <w:r>
        <w:rPr>
          <w:sz w:val="22"/>
        </w:rPr>
        <w:t>:</w:t>
      </w:r>
      <w:r>
        <w:rPr>
          <w:spacing w:val="40"/>
          <w:sz w:val="22"/>
        </w:rPr>
        <w:t> </w:t>
      </w:r>
      <w:r>
        <w:rPr>
          <w:sz w:val="22"/>
        </w:rPr>
        <w:t>The</w:t>
      </w:r>
      <w:r>
        <w:rPr>
          <w:spacing w:val="-7"/>
          <w:sz w:val="22"/>
        </w:rPr>
        <w:t> </w:t>
      </w:r>
      <w:r>
        <w:rPr>
          <w:sz w:val="22"/>
        </w:rPr>
        <w:t>member</w:t>
      </w:r>
      <w:r>
        <w:rPr>
          <w:spacing w:val="-6"/>
          <w:sz w:val="22"/>
        </w:rPr>
        <w:t> </w:t>
      </w:r>
      <w:r>
        <w:rPr>
          <w:sz w:val="22"/>
        </w:rPr>
        <w:t>is</w:t>
      </w:r>
      <w:r>
        <w:rPr>
          <w:spacing w:val="-7"/>
          <w:sz w:val="22"/>
        </w:rPr>
        <w:t> </w:t>
      </w:r>
      <w:r>
        <w:rPr>
          <w:sz w:val="22"/>
        </w:rPr>
        <w:t>at</w:t>
      </w:r>
      <w:r>
        <w:rPr>
          <w:spacing w:val="-6"/>
          <w:sz w:val="22"/>
        </w:rPr>
        <w:t> </w:t>
      </w:r>
      <w:r>
        <w:rPr>
          <w:sz w:val="22"/>
        </w:rPr>
        <w:t>risk</w:t>
      </w:r>
      <w:r>
        <w:rPr>
          <w:spacing w:val="-10"/>
          <w:sz w:val="22"/>
        </w:rPr>
        <w:t> </w:t>
      </w:r>
      <w:r>
        <w:rPr>
          <w:sz w:val="22"/>
        </w:rPr>
        <w:t>for</w:t>
      </w:r>
      <w:r>
        <w:rPr>
          <w:spacing w:val="-6"/>
          <w:sz w:val="22"/>
        </w:rPr>
        <w:t> </w:t>
      </w:r>
      <w:r>
        <w:rPr>
          <w:sz w:val="22"/>
        </w:rPr>
        <w:t>nutritional</w:t>
      </w:r>
      <w:r>
        <w:rPr>
          <w:spacing w:val="-6"/>
          <w:sz w:val="22"/>
        </w:rPr>
        <w:t> </w:t>
      </w:r>
      <w:r>
        <w:rPr>
          <w:sz w:val="22"/>
        </w:rPr>
        <w:t>deficiency</w:t>
      </w:r>
      <w:r>
        <w:rPr>
          <w:spacing w:val="-10"/>
          <w:sz w:val="22"/>
        </w:rPr>
        <w:t> </w:t>
      </w:r>
      <w:r>
        <w:rPr>
          <w:sz w:val="22"/>
        </w:rPr>
        <w:t>or</w:t>
      </w:r>
      <w:r>
        <w:rPr>
          <w:spacing w:val="-6"/>
          <w:sz w:val="22"/>
        </w:rPr>
        <w:t> </w:t>
      </w:r>
      <w:r>
        <w:rPr>
          <w:sz w:val="22"/>
        </w:rPr>
        <w:t>nutritional</w:t>
      </w:r>
      <w:r>
        <w:rPr>
          <w:spacing w:val="-6"/>
          <w:sz w:val="22"/>
        </w:rPr>
        <w:t> </w:t>
      </w:r>
      <w:r>
        <w:rPr>
          <w:sz w:val="22"/>
        </w:rPr>
        <w:t>imbalance</w:t>
      </w:r>
      <w:r>
        <w:rPr>
          <w:spacing w:val="-7"/>
          <w:sz w:val="22"/>
        </w:rPr>
        <w:t> </w:t>
      </w:r>
      <w:r>
        <w:rPr>
          <w:sz w:val="22"/>
        </w:rPr>
        <w:t>due to food insecurity, defined as having limited or uncertain availability of nutritionally adequate,</w:t>
      </w:r>
      <w:r>
        <w:rPr>
          <w:spacing w:val="-16"/>
          <w:sz w:val="22"/>
        </w:rPr>
        <w:t> </w:t>
      </w:r>
      <w:r>
        <w:rPr>
          <w:sz w:val="22"/>
        </w:rPr>
        <w:t>medically</w:t>
      </w:r>
      <w:r>
        <w:rPr>
          <w:spacing w:val="-14"/>
          <w:sz w:val="22"/>
        </w:rPr>
        <w:t> </w:t>
      </w:r>
      <w:r>
        <w:rPr>
          <w:sz w:val="22"/>
        </w:rPr>
        <w:t>appropriate,</w:t>
      </w:r>
      <w:r>
        <w:rPr>
          <w:spacing w:val="-14"/>
          <w:sz w:val="22"/>
        </w:rPr>
        <w:t> </w:t>
      </w:r>
      <w:r>
        <w:rPr>
          <w:sz w:val="22"/>
        </w:rPr>
        <w:t>and/or</w:t>
      </w:r>
      <w:r>
        <w:rPr>
          <w:spacing w:val="-13"/>
          <w:sz w:val="22"/>
        </w:rPr>
        <w:t> </w:t>
      </w:r>
      <w:r>
        <w:rPr>
          <w:sz w:val="22"/>
        </w:rPr>
        <w:t>safe</w:t>
      </w:r>
      <w:r>
        <w:rPr>
          <w:spacing w:val="-14"/>
          <w:sz w:val="22"/>
        </w:rPr>
        <w:t> </w:t>
      </w:r>
      <w:r>
        <w:rPr>
          <w:sz w:val="22"/>
        </w:rPr>
        <w:t>foods,</w:t>
      </w:r>
      <w:r>
        <w:rPr>
          <w:spacing w:val="-14"/>
          <w:sz w:val="22"/>
        </w:rPr>
        <w:t> </w:t>
      </w:r>
      <w:r>
        <w:rPr>
          <w:sz w:val="22"/>
        </w:rPr>
        <w:t>or</w:t>
      </w:r>
      <w:r>
        <w:rPr>
          <w:spacing w:val="-14"/>
          <w:sz w:val="22"/>
        </w:rPr>
        <w:t> </w:t>
      </w:r>
      <w:r>
        <w:rPr>
          <w:sz w:val="22"/>
        </w:rPr>
        <w:t>limited</w:t>
      </w:r>
      <w:r>
        <w:rPr>
          <w:spacing w:val="-13"/>
          <w:sz w:val="22"/>
        </w:rPr>
        <w:t> </w:t>
      </w:r>
      <w:r>
        <w:rPr>
          <w:sz w:val="22"/>
        </w:rPr>
        <w:t>or</w:t>
      </w:r>
      <w:r>
        <w:rPr>
          <w:spacing w:val="-14"/>
          <w:sz w:val="22"/>
        </w:rPr>
        <w:t> </w:t>
      </w:r>
      <w:r>
        <w:rPr>
          <w:sz w:val="22"/>
        </w:rPr>
        <w:t>uncertain</w:t>
      </w:r>
      <w:r>
        <w:rPr>
          <w:spacing w:val="-14"/>
          <w:sz w:val="22"/>
        </w:rPr>
        <w:t> </w:t>
      </w:r>
      <w:r>
        <w:rPr>
          <w:sz w:val="22"/>
        </w:rPr>
        <w:t>ability</w:t>
      </w:r>
      <w:r>
        <w:rPr>
          <w:spacing w:val="-14"/>
          <w:sz w:val="22"/>
        </w:rPr>
        <w:t> </w:t>
      </w:r>
      <w:r>
        <w:rPr>
          <w:sz w:val="22"/>
        </w:rPr>
        <w:t>to</w:t>
      </w:r>
      <w:r>
        <w:rPr>
          <w:spacing w:val="-13"/>
          <w:sz w:val="22"/>
        </w:rPr>
        <w:t> </w:t>
      </w:r>
      <w:r>
        <w:rPr>
          <w:sz w:val="22"/>
        </w:rPr>
        <w:t>acquire or prepare acceptable foods in socially acceptable ways.</w:t>
      </w:r>
    </w:p>
    <w:p>
      <w:pPr>
        <w:pStyle w:val="ListParagraph"/>
        <w:numPr>
          <w:ilvl w:val="0"/>
          <w:numId w:val="120"/>
        </w:numPr>
        <w:tabs>
          <w:tab w:pos="2466" w:val="left" w:leader="none"/>
        </w:tabs>
        <w:spacing w:line="252" w:lineRule="exact" w:before="0" w:after="0"/>
        <w:ind w:left="2466" w:right="0" w:hanging="366"/>
        <w:jc w:val="both"/>
        <w:rPr>
          <w:sz w:val="22"/>
        </w:rPr>
      </w:pPr>
      <w:r>
        <w:rPr>
          <w:sz w:val="22"/>
          <w:u w:val="single"/>
        </w:rPr>
        <w:t>Limited</w:t>
      </w:r>
      <w:r>
        <w:rPr>
          <w:spacing w:val="-3"/>
          <w:sz w:val="22"/>
          <w:u w:val="single"/>
        </w:rPr>
        <w:t> </w:t>
      </w:r>
      <w:r>
        <w:rPr>
          <w:sz w:val="22"/>
          <w:u w:val="single"/>
        </w:rPr>
        <w:t>or</w:t>
      </w:r>
      <w:r>
        <w:rPr>
          <w:spacing w:val="-3"/>
          <w:sz w:val="22"/>
          <w:u w:val="single"/>
        </w:rPr>
        <w:t> </w:t>
      </w:r>
      <w:r>
        <w:rPr>
          <w:sz w:val="22"/>
          <w:u w:val="single"/>
        </w:rPr>
        <w:t>uncertain</w:t>
      </w:r>
      <w:r>
        <w:rPr>
          <w:spacing w:val="-3"/>
          <w:sz w:val="22"/>
          <w:u w:val="single"/>
        </w:rPr>
        <w:t> </w:t>
      </w:r>
      <w:r>
        <w:rPr>
          <w:sz w:val="22"/>
          <w:u w:val="single"/>
        </w:rPr>
        <w:t>is</w:t>
      </w:r>
      <w:r>
        <w:rPr>
          <w:spacing w:val="-3"/>
          <w:sz w:val="22"/>
          <w:u w:val="single"/>
        </w:rPr>
        <w:t> </w:t>
      </w:r>
      <w:r>
        <w:rPr>
          <w:sz w:val="22"/>
          <w:u w:val="single"/>
        </w:rPr>
        <w:t>defined</w:t>
      </w:r>
      <w:r>
        <w:rPr>
          <w:spacing w:val="-3"/>
          <w:sz w:val="22"/>
          <w:u w:val="single"/>
        </w:rPr>
        <w:t> </w:t>
      </w:r>
      <w:r>
        <w:rPr>
          <w:sz w:val="22"/>
          <w:u w:val="single"/>
        </w:rPr>
        <w:t>as</w:t>
      </w:r>
      <w:r>
        <w:rPr>
          <w:spacing w:val="-3"/>
          <w:sz w:val="22"/>
          <w:u w:val="single"/>
        </w:rPr>
        <w:t> </w:t>
      </w:r>
      <w:r>
        <w:rPr>
          <w:sz w:val="22"/>
          <w:u w:val="single"/>
        </w:rPr>
        <w:t>reports</w:t>
      </w:r>
      <w:r>
        <w:rPr>
          <w:spacing w:val="-2"/>
          <w:sz w:val="22"/>
          <w:u w:val="single"/>
        </w:rPr>
        <w:t> </w:t>
      </w:r>
      <w:r>
        <w:rPr>
          <w:spacing w:val="-5"/>
          <w:sz w:val="22"/>
          <w:u w:val="single"/>
        </w:rPr>
        <w:t>of:</w:t>
      </w:r>
    </w:p>
    <w:p>
      <w:pPr>
        <w:pStyle w:val="ListParagraph"/>
        <w:numPr>
          <w:ilvl w:val="1"/>
          <w:numId w:val="120"/>
        </w:numPr>
        <w:tabs>
          <w:tab w:pos="2782" w:val="left" w:leader="none"/>
          <w:tab w:pos="2784" w:val="left" w:leader="none"/>
        </w:tabs>
        <w:spacing w:line="240" w:lineRule="auto" w:before="1" w:after="0"/>
        <w:ind w:left="2784" w:right="116" w:hanging="260"/>
        <w:jc w:val="both"/>
        <w:rPr>
          <w:sz w:val="22"/>
        </w:rPr>
      </w:pPr>
      <w:r>
        <w:rPr>
          <w:sz w:val="22"/>
        </w:rPr>
        <w:t>Reduced</w:t>
      </w:r>
      <w:r>
        <w:rPr>
          <w:spacing w:val="-5"/>
          <w:sz w:val="22"/>
        </w:rPr>
        <w:t> </w:t>
      </w:r>
      <w:r>
        <w:rPr>
          <w:sz w:val="22"/>
        </w:rPr>
        <w:t>quality,</w:t>
      </w:r>
      <w:r>
        <w:rPr>
          <w:spacing w:val="-3"/>
          <w:sz w:val="22"/>
        </w:rPr>
        <w:t> </w:t>
      </w:r>
      <w:r>
        <w:rPr>
          <w:sz w:val="22"/>
        </w:rPr>
        <w:t>variety,</w:t>
      </w:r>
      <w:r>
        <w:rPr>
          <w:spacing w:val="-3"/>
          <w:sz w:val="22"/>
        </w:rPr>
        <w:t> </w:t>
      </w:r>
      <w:r>
        <w:rPr>
          <w:sz w:val="22"/>
        </w:rPr>
        <w:t>or</w:t>
      </w:r>
      <w:r>
        <w:rPr>
          <w:spacing w:val="-5"/>
          <w:sz w:val="22"/>
        </w:rPr>
        <w:t> </w:t>
      </w:r>
      <w:r>
        <w:rPr>
          <w:sz w:val="22"/>
        </w:rPr>
        <w:t>desirability</w:t>
      </w:r>
      <w:r>
        <w:rPr>
          <w:spacing w:val="-5"/>
          <w:sz w:val="22"/>
        </w:rPr>
        <w:t> </w:t>
      </w:r>
      <w:r>
        <w:rPr>
          <w:sz w:val="22"/>
        </w:rPr>
        <w:t>of</w:t>
      </w:r>
      <w:r>
        <w:rPr>
          <w:spacing w:val="-5"/>
          <w:sz w:val="22"/>
        </w:rPr>
        <w:t> </w:t>
      </w:r>
      <w:r>
        <w:rPr>
          <w:sz w:val="22"/>
        </w:rPr>
        <w:t>diet</w:t>
      </w:r>
      <w:r>
        <w:rPr>
          <w:spacing w:val="-5"/>
          <w:sz w:val="22"/>
        </w:rPr>
        <w:t> </w:t>
      </w:r>
      <w:r>
        <w:rPr>
          <w:sz w:val="22"/>
        </w:rPr>
        <w:t>with</w:t>
      </w:r>
      <w:r>
        <w:rPr>
          <w:spacing w:val="-5"/>
          <w:sz w:val="22"/>
        </w:rPr>
        <w:t> </w:t>
      </w:r>
      <w:r>
        <w:rPr>
          <w:sz w:val="22"/>
        </w:rPr>
        <w:t>little</w:t>
      </w:r>
      <w:r>
        <w:rPr>
          <w:spacing w:val="-5"/>
          <w:sz w:val="22"/>
        </w:rPr>
        <w:t> </w:t>
      </w:r>
      <w:r>
        <w:rPr>
          <w:sz w:val="22"/>
        </w:rPr>
        <w:t>or</w:t>
      </w:r>
      <w:r>
        <w:rPr>
          <w:spacing w:val="-5"/>
          <w:sz w:val="22"/>
        </w:rPr>
        <w:t> </w:t>
      </w:r>
      <w:r>
        <w:rPr>
          <w:sz w:val="22"/>
        </w:rPr>
        <w:t>no</w:t>
      </w:r>
      <w:r>
        <w:rPr>
          <w:spacing w:val="-5"/>
          <w:sz w:val="22"/>
        </w:rPr>
        <w:t> </w:t>
      </w:r>
      <w:r>
        <w:rPr>
          <w:sz w:val="22"/>
        </w:rPr>
        <w:t>indication</w:t>
      </w:r>
      <w:r>
        <w:rPr>
          <w:spacing w:val="-3"/>
          <w:sz w:val="22"/>
        </w:rPr>
        <w:t> </w:t>
      </w:r>
      <w:r>
        <w:rPr>
          <w:sz w:val="22"/>
        </w:rPr>
        <w:t>of reduced food intake; or</w:t>
      </w:r>
    </w:p>
    <w:p>
      <w:pPr>
        <w:pStyle w:val="ListParagraph"/>
        <w:numPr>
          <w:ilvl w:val="1"/>
          <w:numId w:val="120"/>
        </w:numPr>
        <w:tabs>
          <w:tab w:pos="2782" w:val="left" w:leader="none"/>
        </w:tabs>
        <w:spacing w:line="240" w:lineRule="auto" w:before="1" w:after="0"/>
        <w:ind w:left="2782" w:right="0" w:hanging="320"/>
        <w:jc w:val="both"/>
        <w:rPr>
          <w:sz w:val="22"/>
        </w:rPr>
      </w:pPr>
      <w:r>
        <w:rPr>
          <w:sz w:val="22"/>
        </w:rPr>
        <w:t>Multiple</w:t>
      </w:r>
      <w:r>
        <w:rPr>
          <w:spacing w:val="-6"/>
          <w:sz w:val="22"/>
        </w:rPr>
        <w:t> </w:t>
      </w:r>
      <w:r>
        <w:rPr>
          <w:sz w:val="22"/>
        </w:rPr>
        <w:t>indications</w:t>
      </w:r>
      <w:r>
        <w:rPr>
          <w:spacing w:val="-2"/>
          <w:sz w:val="22"/>
        </w:rPr>
        <w:t> </w:t>
      </w:r>
      <w:r>
        <w:rPr>
          <w:sz w:val="22"/>
        </w:rPr>
        <w:t>of</w:t>
      </w:r>
      <w:r>
        <w:rPr>
          <w:spacing w:val="-1"/>
          <w:sz w:val="22"/>
        </w:rPr>
        <w:t> </w:t>
      </w:r>
      <w:r>
        <w:rPr>
          <w:sz w:val="22"/>
        </w:rPr>
        <w:t>disrupted</w:t>
      </w:r>
      <w:r>
        <w:rPr>
          <w:spacing w:val="-5"/>
          <w:sz w:val="22"/>
        </w:rPr>
        <w:t> </w:t>
      </w:r>
      <w:r>
        <w:rPr>
          <w:sz w:val="22"/>
        </w:rPr>
        <w:t>eating</w:t>
      </w:r>
      <w:r>
        <w:rPr>
          <w:spacing w:val="-5"/>
          <w:sz w:val="22"/>
        </w:rPr>
        <w:t> </w:t>
      </w:r>
      <w:r>
        <w:rPr>
          <w:sz w:val="22"/>
        </w:rPr>
        <w:t>patterns</w:t>
      </w:r>
      <w:r>
        <w:rPr>
          <w:spacing w:val="-5"/>
          <w:sz w:val="22"/>
        </w:rPr>
        <w:t> </w:t>
      </w:r>
      <w:r>
        <w:rPr>
          <w:sz w:val="22"/>
        </w:rPr>
        <w:t>and</w:t>
      </w:r>
      <w:r>
        <w:rPr>
          <w:spacing w:val="-5"/>
          <w:sz w:val="22"/>
        </w:rPr>
        <w:t> </w:t>
      </w:r>
      <w:r>
        <w:rPr>
          <w:sz w:val="22"/>
        </w:rPr>
        <w:t>reduced</w:t>
      </w:r>
      <w:r>
        <w:rPr>
          <w:spacing w:val="-5"/>
          <w:sz w:val="22"/>
        </w:rPr>
        <w:t> </w:t>
      </w:r>
      <w:r>
        <w:rPr>
          <w:sz w:val="22"/>
        </w:rPr>
        <w:t>food</w:t>
      </w:r>
      <w:r>
        <w:rPr>
          <w:spacing w:val="-4"/>
          <w:sz w:val="22"/>
        </w:rPr>
        <w:t> </w:t>
      </w:r>
      <w:r>
        <w:rPr>
          <w:spacing w:val="-2"/>
          <w:sz w:val="22"/>
        </w:rPr>
        <w:t>intake.</w:t>
      </w:r>
    </w:p>
    <w:p>
      <w:pPr>
        <w:pStyle w:val="BodyText"/>
      </w:pPr>
    </w:p>
    <w:p>
      <w:pPr>
        <w:pStyle w:val="BodyText"/>
        <w:spacing w:before="10"/>
        <w:rPr>
          <w:sz w:val="32"/>
        </w:rPr>
      </w:pPr>
    </w:p>
    <w:p>
      <w:pPr>
        <w:pStyle w:val="ListParagraph"/>
        <w:numPr>
          <w:ilvl w:val="0"/>
          <w:numId w:val="116"/>
        </w:numPr>
        <w:tabs>
          <w:tab w:pos="477" w:val="left" w:leader="none"/>
        </w:tabs>
        <w:spacing w:line="240" w:lineRule="auto" w:before="0" w:after="0"/>
        <w:ind w:left="477" w:right="0" w:hanging="357"/>
        <w:jc w:val="left"/>
        <w:rPr>
          <w:b/>
          <w:sz w:val="22"/>
        </w:rPr>
      </w:pPr>
      <w:bookmarkStart w:name="III. Flexible Services" w:id="1558"/>
      <w:bookmarkEnd w:id="1558"/>
      <w:r>
        <w:rPr/>
      </w:r>
      <w:r>
        <w:rPr>
          <w:b/>
          <w:sz w:val="22"/>
          <w:u w:val="single"/>
        </w:rPr>
        <w:t>Flexible</w:t>
      </w:r>
      <w:r>
        <w:rPr>
          <w:b/>
          <w:spacing w:val="-2"/>
          <w:sz w:val="22"/>
          <w:u w:val="single"/>
        </w:rPr>
        <w:t> Services</w:t>
      </w:r>
    </w:p>
    <w:p>
      <w:pPr>
        <w:spacing w:before="198"/>
        <w:ind w:left="120" w:right="153" w:firstLine="0"/>
        <w:jc w:val="left"/>
        <w:rPr>
          <w:sz w:val="22"/>
        </w:rPr>
      </w:pPr>
      <w:r>
        <w:rPr>
          <w:sz w:val="22"/>
        </w:rPr>
        <w:t>The FSP program consists of two services, Tenancy Preservation Supports (TPS) and Nutrition</w:t>
      </w:r>
      <w:r>
        <w:rPr>
          <w:spacing w:val="40"/>
          <w:sz w:val="22"/>
        </w:rPr>
        <w:t> </w:t>
      </w:r>
      <w:r>
        <w:rPr>
          <w:sz w:val="22"/>
        </w:rPr>
        <w:t>Sustaining Supports (NSS).</w:t>
      </w:r>
      <w:r>
        <w:rPr>
          <w:spacing w:val="40"/>
          <w:sz w:val="22"/>
        </w:rPr>
        <w:t> </w:t>
      </w:r>
      <w:r>
        <w:rPr>
          <w:sz w:val="22"/>
        </w:rPr>
        <w:t>These services are covered for FSP eligible members when determined necessary</w:t>
      </w:r>
      <w:r>
        <w:rPr>
          <w:spacing w:val="-5"/>
          <w:sz w:val="22"/>
        </w:rPr>
        <w:t> </w:t>
      </w:r>
      <w:r>
        <w:rPr>
          <w:sz w:val="22"/>
        </w:rPr>
        <w:t>through</w:t>
      </w:r>
      <w:r>
        <w:rPr>
          <w:spacing w:val="-2"/>
          <w:sz w:val="22"/>
        </w:rPr>
        <w:t> </w:t>
      </w:r>
      <w:r>
        <w:rPr>
          <w:sz w:val="22"/>
        </w:rPr>
        <w:t>the</w:t>
      </w:r>
      <w:r>
        <w:rPr>
          <w:spacing w:val="-2"/>
          <w:sz w:val="22"/>
        </w:rPr>
        <w:t> </w:t>
      </w:r>
      <w:r>
        <w:rPr>
          <w:sz w:val="22"/>
        </w:rPr>
        <w:t>flexible</w:t>
      </w:r>
      <w:r>
        <w:rPr>
          <w:spacing w:val="-2"/>
          <w:sz w:val="22"/>
        </w:rPr>
        <w:t> </w:t>
      </w:r>
      <w:r>
        <w:rPr>
          <w:sz w:val="22"/>
        </w:rPr>
        <w:t>service</w:t>
      </w:r>
      <w:r>
        <w:rPr>
          <w:spacing w:val="-2"/>
          <w:sz w:val="22"/>
        </w:rPr>
        <w:t> </w:t>
      </w:r>
      <w:r>
        <w:rPr>
          <w:sz w:val="22"/>
        </w:rPr>
        <w:t>planning</w:t>
      </w:r>
      <w:r>
        <w:rPr>
          <w:spacing w:val="-5"/>
          <w:sz w:val="22"/>
        </w:rPr>
        <w:t> </w:t>
      </w:r>
      <w:r>
        <w:rPr>
          <w:sz w:val="22"/>
        </w:rPr>
        <w:t>process</w:t>
      </w:r>
      <w:r>
        <w:rPr>
          <w:spacing w:val="-2"/>
          <w:sz w:val="22"/>
        </w:rPr>
        <w:t> </w:t>
      </w:r>
      <w:r>
        <w:rPr>
          <w:sz w:val="22"/>
        </w:rPr>
        <w:t>described</w:t>
      </w:r>
      <w:r>
        <w:rPr>
          <w:spacing w:val="-5"/>
          <w:sz w:val="22"/>
        </w:rPr>
        <w:t> </w:t>
      </w:r>
      <w:r>
        <w:rPr>
          <w:sz w:val="22"/>
        </w:rPr>
        <w:t>in</w:t>
      </w:r>
      <w:r>
        <w:rPr>
          <w:spacing w:val="-2"/>
          <w:sz w:val="22"/>
        </w:rPr>
        <w:t> </w:t>
      </w:r>
      <w:r>
        <w:rPr>
          <w:b/>
          <w:sz w:val="22"/>
        </w:rPr>
        <w:t>Section</w:t>
      </w:r>
      <w:r>
        <w:rPr>
          <w:b/>
          <w:spacing w:val="-3"/>
          <w:sz w:val="22"/>
        </w:rPr>
        <w:t> </w:t>
      </w:r>
      <w:r>
        <w:rPr>
          <w:b/>
          <w:sz w:val="22"/>
        </w:rPr>
        <w:t>IV</w:t>
      </w:r>
      <w:r>
        <w:rPr>
          <w:sz w:val="22"/>
        </w:rPr>
        <w:t>.</w:t>
      </w:r>
      <w:r>
        <w:rPr>
          <w:spacing w:val="-5"/>
          <w:sz w:val="22"/>
        </w:rPr>
        <w:t> </w:t>
      </w:r>
      <w:r>
        <w:rPr>
          <w:sz w:val="22"/>
        </w:rPr>
        <w:t>ACOs</w:t>
      </w:r>
      <w:r>
        <w:rPr>
          <w:spacing w:val="-2"/>
          <w:sz w:val="22"/>
        </w:rPr>
        <w:t> </w:t>
      </w:r>
      <w:r>
        <w:rPr>
          <w:sz w:val="22"/>
        </w:rPr>
        <w:t>may</w:t>
      </w:r>
      <w:r>
        <w:rPr>
          <w:spacing w:val="-5"/>
          <w:sz w:val="22"/>
        </w:rPr>
        <w:t> </w:t>
      </w:r>
      <w:r>
        <w:rPr>
          <w:sz w:val="22"/>
        </w:rPr>
        <w:t>decide</w:t>
      </w:r>
      <w:r>
        <w:rPr>
          <w:spacing w:val="-2"/>
          <w:sz w:val="22"/>
        </w:rPr>
        <w:t> </w:t>
      </w:r>
      <w:r>
        <w:rPr>
          <w:sz w:val="22"/>
        </w:rPr>
        <w:t>which specific services within TPS and NSS they will make available to members based on needs criteria or funding availability.</w:t>
      </w:r>
    </w:p>
    <w:p>
      <w:pPr>
        <w:spacing w:line="242" w:lineRule="auto" w:before="199"/>
        <w:ind w:left="120" w:right="57" w:firstLine="0"/>
        <w:jc w:val="left"/>
        <w:rPr>
          <w:sz w:val="22"/>
        </w:rPr>
      </w:pPr>
      <w:r>
        <w:rPr>
          <w:sz w:val="22"/>
        </w:rPr>
        <w:t>In</w:t>
      </w:r>
      <w:r>
        <w:rPr>
          <w:spacing w:val="-2"/>
          <w:sz w:val="22"/>
        </w:rPr>
        <w:t> </w:t>
      </w:r>
      <w:r>
        <w:rPr>
          <w:sz w:val="22"/>
        </w:rPr>
        <w:t>the</w:t>
      </w:r>
      <w:r>
        <w:rPr>
          <w:spacing w:val="-2"/>
          <w:sz w:val="22"/>
        </w:rPr>
        <w:t> </w:t>
      </w:r>
      <w:r>
        <w:rPr>
          <w:sz w:val="22"/>
        </w:rPr>
        <w:t>context</w:t>
      </w:r>
      <w:r>
        <w:rPr>
          <w:spacing w:val="-2"/>
          <w:sz w:val="22"/>
        </w:rPr>
        <w:t> </w:t>
      </w:r>
      <w:r>
        <w:rPr>
          <w:sz w:val="22"/>
        </w:rPr>
        <w:t>of</w:t>
      </w:r>
      <w:r>
        <w:rPr>
          <w:spacing w:val="-4"/>
          <w:sz w:val="22"/>
        </w:rPr>
        <w:t> </w:t>
      </w:r>
      <w:r>
        <w:rPr>
          <w:sz w:val="22"/>
        </w:rPr>
        <w:t>Tenancy</w:t>
      </w:r>
      <w:r>
        <w:rPr>
          <w:spacing w:val="-5"/>
          <w:sz w:val="22"/>
        </w:rPr>
        <w:t> </w:t>
      </w:r>
      <w:r>
        <w:rPr>
          <w:sz w:val="22"/>
        </w:rPr>
        <w:t>Preservation</w:t>
      </w:r>
      <w:r>
        <w:rPr>
          <w:spacing w:val="-2"/>
          <w:sz w:val="22"/>
        </w:rPr>
        <w:t> </w:t>
      </w:r>
      <w:r>
        <w:rPr>
          <w:sz w:val="22"/>
        </w:rPr>
        <w:t>Supports</w:t>
      </w:r>
      <w:r>
        <w:rPr>
          <w:spacing w:val="-2"/>
          <w:sz w:val="22"/>
        </w:rPr>
        <w:t> </w:t>
      </w:r>
      <w:r>
        <w:rPr>
          <w:sz w:val="22"/>
        </w:rPr>
        <w:t>and</w:t>
      </w:r>
      <w:r>
        <w:rPr>
          <w:spacing w:val="-2"/>
          <w:sz w:val="22"/>
        </w:rPr>
        <w:t> </w:t>
      </w:r>
      <w:r>
        <w:rPr>
          <w:sz w:val="22"/>
        </w:rPr>
        <w:t>Nutrition</w:t>
      </w:r>
      <w:r>
        <w:rPr>
          <w:spacing w:val="-2"/>
          <w:sz w:val="22"/>
        </w:rPr>
        <w:t> </w:t>
      </w:r>
      <w:r>
        <w:rPr>
          <w:sz w:val="22"/>
        </w:rPr>
        <w:t>Sustaining</w:t>
      </w:r>
      <w:r>
        <w:rPr>
          <w:spacing w:val="-5"/>
          <w:sz w:val="22"/>
        </w:rPr>
        <w:t> </w:t>
      </w:r>
      <w:r>
        <w:rPr>
          <w:sz w:val="22"/>
        </w:rPr>
        <w:t>Supports</w:t>
      </w:r>
      <w:r>
        <w:rPr>
          <w:spacing w:val="-2"/>
          <w:sz w:val="22"/>
        </w:rPr>
        <w:t> </w:t>
      </w:r>
      <w:r>
        <w:rPr>
          <w:sz w:val="22"/>
        </w:rPr>
        <w:t>“assisting”</w:t>
      </w:r>
      <w:r>
        <w:rPr>
          <w:spacing w:val="-2"/>
          <w:sz w:val="22"/>
        </w:rPr>
        <w:t> </w:t>
      </w:r>
      <w:r>
        <w:rPr>
          <w:sz w:val="22"/>
        </w:rPr>
        <w:t>is</w:t>
      </w:r>
      <w:r>
        <w:rPr>
          <w:spacing w:val="-2"/>
          <w:sz w:val="22"/>
        </w:rPr>
        <w:t> </w:t>
      </w:r>
      <w:r>
        <w:rPr>
          <w:sz w:val="22"/>
        </w:rPr>
        <w:t>defined as:</w:t>
      </w:r>
      <w:r>
        <w:rPr>
          <w:spacing w:val="40"/>
          <w:sz w:val="22"/>
        </w:rPr>
        <w:t> </w:t>
      </w:r>
      <w:r>
        <w:rPr>
          <w:sz w:val="22"/>
        </w:rPr>
        <w:t>(1) helping a member to locate services; and/or (2) providing support, education, and/or coaching directly to the member in regards to a particular service(s).</w:t>
      </w:r>
    </w:p>
    <w:p>
      <w:pPr>
        <w:pStyle w:val="ListParagraph"/>
        <w:numPr>
          <w:ilvl w:val="1"/>
          <w:numId w:val="116"/>
        </w:numPr>
        <w:tabs>
          <w:tab w:pos="837" w:val="left" w:leader="none"/>
        </w:tabs>
        <w:spacing w:line="240" w:lineRule="auto" w:before="196" w:after="0"/>
        <w:ind w:left="837" w:right="0" w:hanging="358"/>
        <w:jc w:val="left"/>
        <w:rPr>
          <w:b/>
          <w:sz w:val="22"/>
        </w:rPr>
      </w:pPr>
      <w:bookmarkStart w:name="A. Tenancy Preservation Supports" w:id="1559"/>
      <w:bookmarkEnd w:id="1559"/>
      <w:r>
        <w:rPr/>
      </w:r>
      <w:r>
        <w:rPr>
          <w:b/>
          <w:sz w:val="22"/>
        </w:rPr>
        <w:t>Tenancy</w:t>
      </w:r>
      <w:r>
        <w:rPr>
          <w:b/>
          <w:spacing w:val="-8"/>
          <w:sz w:val="22"/>
        </w:rPr>
        <w:t> </w:t>
      </w:r>
      <w:r>
        <w:rPr>
          <w:b/>
          <w:sz w:val="22"/>
        </w:rPr>
        <w:t>Preservation</w:t>
      </w:r>
      <w:r>
        <w:rPr>
          <w:b/>
          <w:spacing w:val="-5"/>
          <w:sz w:val="22"/>
        </w:rPr>
        <w:t> </w:t>
      </w:r>
      <w:r>
        <w:rPr>
          <w:b/>
          <w:spacing w:val="-2"/>
          <w:sz w:val="22"/>
        </w:rPr>
        <w:t>Supports</w:t>
      </w:r>
    </w:p>
    <w:p>
      <w:pPr>
        <w:spacing w:after="0" w:line="240" w:lineRule="auto"/>
        <w:jc w:val="left"/>
        <w:rPr>
          <w:sz w:val="22"/>
        </w:rPr>
        <w:sectPr>
          <w:pgSz w:w="12240" w:h="15840"/>
          <w:pgMar w:header="0" w:footer="1240" w:top="640" w:bottom="1420" w:left="1320" w:right="1320"/>
        </w:sectPr>
      </w:pPr>
    </w:p>
    <w:p>
      <w:pPr>
        <w:spacing w:before="80"/>
        <w:ind w:left="120" w:right="0" w:firstLine="0"/>
        <w:jc w:val="left"/>
        <w:rPr>
          <w:sz w:val="20"/>
        </w:rPr>
      </w:pPr>
      <w:r>
        <w:rPr>
          <w:spacing w:val="-2"/>
          <w:sz w:val="20"/>
        </w:rPr>
        <w:t>Attachment</w:t>
      </w:r>
      <w:r>
        <w:rPr>
          <w:spacing w:val="6"/>
          <w:sz w:val="20"/>
        </w:rPr>
        <w:t> </w:t>
      </w:r>
      <w:r>
        <w:rPr>
          <w:spacing w:val="-10"/>
          <w:sz w:val="20"/>
        </w:rPr>
        <w:t>R</w:t>
      </w:r>
    </w:p>
    <w:p>
      <w:pPr>
        <w:pStyle w:val="BodyText"/>
        <w:rPr>
          <w:sz w:val="20"/>
        </w:rPr>
      </w:pPr>
    </w:p>
    <w:p>
      <w:pPr>
        <w:pStyle w:val="BodyText"/>
        <w:spacing w:before="5"/>
        <w:rPr>
          <w:sz w:val="22"/>
        </w:rPr>
      </w:pPr>
    </w:p>
    <w:p>
      <w:pPr>
        <w:spacing w:before="0"/>
        <w:ind w:left="480" w:right="0" w:hanging="1"/>
        <w:jc w:val="left"/>
        <w:rPr>
          <w:sz w:val="22"/>
        </w:rPr>
      </w:pPr>
      <w:r>
        <w:rPr>
          <w:sz w:val="22"/>
        </w:rPr>
        <w:t>Tenancy Preservation Supports consists of Pre-tenancy Supports, Tenancy Sustaining Supports, and Home Modifications, and as described below.</w:t>
      </w:r>
    </w:p>
    <w:p>
      <w:pPr>
        <w:pStyle w:val="ListParagraph"/>
        <w:numPr>
          <w:ilvl w:val="2"/>
          <w:numId w:val="116"/>
        </w:numPr>
        <w:tabs>
          <w:tab w:pos="1558" w:val="left" w:leader="none"/>
        </w:tabs>
        <w:spacing w:line="240" w:lineRule="auto" w:before="200" w:after="0"/>
        <w:ind w:left="1558" w:right="0" w:hanging="359"/>
        <w:jc w:val="left"/>
        <w:rPr>
          <w:sz w:val="22"/>
        </w:rPr>
      </w:pPr>
      <w:r>
        <w:rPr>
          <w:b/>
          <w:sz w:val="22"/>
        </w:rPr>
        <w:t>Pre-tenancy</w:t>
      </w:r>
      <w:r>
        <w:rPr>
          <w:b/>
          <w:spacing w:val="-7"/>
          <w:sz w:val="22"/>
        </w:rPr>
        <w:t> </w:t>
      </w:r>
      <w:r>
        <w:rPr>
          <w:b/>
          <w:spacing w:val="-2"/>
          <w:sz w:val="22"/>
        </w:rPr>
        <w:t>Supports</w:t>
      </w:r>
    </w:p>
    <w:p>
      <w:pPr>
        <w:spacing w:before="1"/>
        <w:ind w:left="1559" w:right="0" w:firstLine="0"/>
        <w:jc w:val="left"/>
        <w:rPr>
          <w:sz w:val="22"/>
        </w:rPr>
      </w:pPr>
      <w:r>
        <w:rPr>
          <w:sz w:val="22"/>
        </w:rPr>
        <w:t>Pre-tenancy</w:t>
      </w:r>
      <w:r>
        <w:rPr>
          <w:spacing w:val="-5"/>
          <w:sz w:val="22"/>
        </w:rPr>
        <w:t> </w:t>
      </w:r>
      <w:r>
        <w:rPr>
          <w:sz w:val="22"/>
        </w:rPr>
        <w:t>Supports</w:t>
      </w:r>
      <w:r>
        <w:rPr>
          <w:spacing w:val="-4"/>
          <w:sz w:val="22"/>
        </w:rPr>
        <w:t> </w:t>
      </w:r>
      <w:r>
        <w:rPr>
          <w:sz w:val="22"/>
        </w:rPr>
        <w:t>include</w:t>
      </w:r>
      <w:r>
        <w:rPr>
          <w:spacing w:val="-2"/>
          <w:sz w:val="22"/>
        </w:rPr>
        <w:t> </w:t>
      </w:r>
      <w:r>
        <w:rPr>
          <w:sz w:val="22"/>
        </w:rPr>
        <w:t>one</w:t>
      </w:r>
      <w:r>
        <w:rPr>
          <w:spacing w:val="-2"/>
          <w:sz w:val="22"/>
        </w:rPr>
        <w:t> </w:t>
      </w:r>
      <w:r>
        <w:rPr>
          <w:sz w:val="22"/>
        </w:rPr>
        <w:t>or</w:t>
      </w:r>
      <w:r>
        <w:rPr>
          <w:spacing w:val="-1"/>
          <w:sz w:val="22"/>
        </w:rPr>
        <w:t> </w:t>
      </w:r>
      <w:r>
        <w:rPr>
          <w:sz w:val="22"/>
        </w:rPr>
        <w:t>more</w:t>
      </w:r>
      <w:r>
        <w:rPr>
          <w:spacing w:val="-2"/>
          <w:sz w:val="22"/>
        </w:rPr>
        <w:t> </w:t>
      </w:r>
      <w:r>
        <w:rPr>
          <w:sz w:val="22"/>
        </w:rPr>
        <w:t>of</w:t>
      </w:r>
      <w:r>
        <w:rPr>
          <w:spacing w:val="-4"/>
          <w:sz w:val="22"/>
        </w:rPr>
        <w:t> </w:t>
      </w:r>
      <w:r>
        <w:rPr>
          <w:sz w:val="22"/>
        </w:rPr>
        <w:t>the</w:t>
      </w:r>
      <w:r>
        <w:rPr>
          <w:spacing w:val="-3"/>
          <w:sz w:val="22"/>
        </w:rPr>
        <w:t> </w:t>
      </w:r>
      <w:r>
        <w:rPr>
          <w:spacing w:val="-2"/>
          <w:sz w:val="22"/>
        </w:rPr>
        <w:t>following:</w:t>
      </w:r>
    </w:p>
    <w:p>
      <w:pPr>
        <w:pStyle w:val="BodyText"/>
        <w:spacing w:before="9"/>
        <w:rPr>
          <w:sz w:val="21"/>
        </w:rPr>
      </w:pPr>
    </w:p>
    <w:p>
      <w:pPr>
        <w:pStyle w:val="ListParagraph"/>
        <w:numPr>
          <w:ilvl w:val="0"/>
          <w:numId w:val="121"/>
        </w:numPr>
        <w:tabs>
          <w:tab w:pos="2495" w:val="left" w:leader="none"/>
        </w:tabs>
        <w:spacing w:line="240" w:lineRule="auto" w:before="1" w:after="0"/>
        <w:ind w:left="2495" w:right="0" w:hanging="388"/>
        <w:jc w:val="left"/>
        <w:rPr>
          <w:sz w:val="22"/>
        </w:rPr>
      </w:pPr>
      <w:r>
        <w:rPr>
          <w:sz w:val="22"/>
        </w:rPr>
        <w:t>Individual</w:t>
      </w:r>
      <w:r>
        <w:rPr>
          <w:spacing w:val="-2"/>
          <w:sz w:val="22"/>
        </w:rPr>
        <w:t> Supports</w:t>
      </w:r>
    </w:p>
    <w:p>
      <w:pPr>
        <w:pStyle w:val="BodyText"/>
        <w:rPr>
          <w:sz w:val="22"/>
        </w:rPr>
      </w:pPr>
    </w:p>
    <w:p>
      <w:pPr>
        <w:pStyle w:val="ListParagraph"/>
        <w:numPr>
          <w:ilvl w:val="1"/>
          <w:numId w:val="121"/>
        </w:numPr>
        <w:tabs>
          <w:tab w:pos="2637" w:val="left" w:leader="none"/>
          <w:tab w:pos="2639" w:val="left" w:leader="none"/>
        </w:tabs>
        <w:spacing w:line="240" w:lineRule="auto" w:before="0" w:after="0"/>
        <w:ind w:left="2639" w:right="226" w:hanging="296"/>
        <w:jc w:val="left"/>
        <w:rPr>
          <w:sz w:val="22"/>
        </w:rPr>
      </w:pPr>
      <w:r>
        <w:rPr>
          <w:sz w:val="22"/>
        </w:rPr>
        <w:t>Assessing</w:t>
      </w:r>
      <w:r>
        <w:rPr>
          <w:spacing w:val="-5"/>
          <w:sz w:val="22"/>
        </w:rPr>
        <w:t> </w:t>
      </w:r>
      <w:r>
        <w:rPr>
          <w:sz w:val="22"/>
        </w:rPr>
        <w:t>and</w:t>
      </w:r>
      <w:r>
        <w:rPr>
          <w:spacing w:val="-3"/>
          <w:sz w:val="22"/>
        </w:rPr>
        <w:t> </w:t>
      </w:r>
      <w:r>
        <w:rPr>
          <w:sz w:val="22"/>
        </w:rPr>
        <w:t>documenting</w:t>
      </w:r>
      <w:r>
        <w:rPr>
          <w:spacing w:val="-5"/>
          <w:sz w:val="22"/>
        </w:rPr>
        <w:t> </w:t>
      </w:r>
      <w:r>
        <w:rPr>
          <w:sz w:val="22"/>
        </w:rPr>
        <w:t>the</w:t>
      </w:r>
      <w:r>
        <w:rPr>
          <w:spacing w:val="-3"/>
          <w:sz w:val="22"/>
        </w:rPr>
        <w:t> </w:t>
      </w:r>
      <w:r>
        <w:rPr>
          <w:sz w:val="22"/>
        </w:rPr>
        <w:t>member’s</w:t>
      </w:r>
      <w:r>
        <w:rPr>
          <w:spacing w:val="-3"/>
          <w:sz w:val="22"/>
        </w:rPr>
        <w:t> </w:t>
      </w:r>
      <w:r>
        <w:rPr>
          <w:sz w:val="22"/>
        </w:rPr>
        <w:t>preferences</w:t>
      </w:r>
      <w:r>
        <w:rPr>
          <w:spacing w:val="-4"/>
          <w:sz w:val="22"/>
        </w:rPr>
        <w:t> </w:t>
      </w:r>
      <w:r>
        <w:rPr>
          <w:sz w:val="22"/>
        </w:rPr>
        <w:t>related</w:t>
      </w:r>
      <w:r>
        <w:rPr>
          <w:spacing w:val="-3"/>
          <w:sz w:val="22"/>
        </w:rPr>
        <w:t> </w:t>
      </w:r>
      <w:r>
        <w:rPr>
          <w:sz w:val="22"/>
        </w:rPr>
        <w:t>to</w:t>
      </w:r>
      <w:r>
        <w:rPr>
          <w:spacing w:val="-5"/>
          <w:sz w:val="22"/>
        </w:rPr>
        <w:t> </w:t>
      </w:r>
      <w:r>
        <w:rPr>
          <w:sz w:val="22"/>
        </w:rPr>
        <w:t>the</w:t>
      </w:r>
      <w:r>
        <w:rPr>
          <w:spacing w:val="-3"/>
          <w:sz w:val="22"/>
        </w:rPr>
        <w:t> </w:t>
      </w:r>
      <w:r>
        <w:rPr>
          <w:sz w:val="22"/>
        </w:rPr>
        <w:t>tenancy the member seeks, including the type of rental sought, the member’s preferred location, the member’s roommate preference (and, if applicable, the identification of one or more roommates), and the accommodations needed by the member.</w:t>
      </w:r>
    </w:p>
    <w:p>
      <w:pPr>
        <w:pStyle w:val="ListParagraph"/>
        <w:numPr>
          <w:ilvl w:val="1"/>
          <w:numId w:val="121"/>
        </w:numPr>
        <w:tabs>
          <w:tab w:pos="2637" w:val="left" w:leader="none"/>
          <w:tab w:pos="2639" w:val="left" w:leader="none"/>
        </w:tabs>
        <w:spacing w:line="240" w:lineRule="auto" w:before="0" w:after="0"/>
        <w:ind w:left="2639" w:right="154" w:hanging="358"/>
        <w:jc w:val="left"/>
        <w:rPr>
          <w:sz w:val="22"/>
        </w:rPr>
      </w:pPr>
      <w:r>
        <w:rPr>
          <w:sz w:val="22"/>
        </w:rPr>
        <w:t>Assisting the member with budgeting for tenancy/living expenses, and assisting</w:t>
      </w:r>
      <w:r>
        <w:rPr>
          <w:spacing w:val="-6"/>
          <w:sz w:val="22"/>
        </w:rPr>
        <w:t> </w:t>
      </w:r>
      <w:r>
        <w:rPr>
          <w:sz w:val="22"/>
        </w:rPr>
        <w:t>the</w:t>
      </w:r>
      <w:r>
        <w:rPr>
          <w:spacing w:val="-3"/>
          <w:sz w:val="22"/>
        </w:rPr>
        <w:t> </w:t>
      </w:r>
      <w:r>
        <w:rPr>
          <w:sz w:val="22"/>
        </w:rPr>
        <w:t>member</w:t>
      </w:r>
      <w:r>
        <w:rPr>
          <w:spacing w:val="-2"/>
          <w:sz w:val="22"/>
        </w:rPr>
        <w:t> </w:t>
      </w:r>
      <w:r>
        <w:rPr>
          <w:sz w:val="22"/>
        </w:rPr>
        <w:t>with</w:t>
      </w:r>
      <w:r>
        <w:rPr>
          <w:spacing w:val="-6"/>
          <w:sz w:val="22"/>
        </w:rPr>
        <w:t> </w:t>
      </w:r>
      <w:r>
        <w:rPr>
          <w:sz w:val="22"/>
        </w:rPr>
        <w:t>obtaining</w:t>
      </w:r>
      <w:r>
        <w:rPr>
          <w:spacing w:val="-6"/>
          <w:sz w:val="22"/>
        </w:rPr>
        <w:t> </w:t>
      </w:r>
      <w:r>
        <w:rPr>
          <w:sz w:val="22"/>
        </w:rPr>
        <w:t>discretionary</w:t>
      </w:r>
      <w:r>
        <w:rPr>
          <w:spacing w:val="-6"/>
          <w:sz w:val="22"/>
        </w:rPr>
        <w:t> </w:t>
      </w:r>
      <w:r>
        <w:rPr>
          <w:sz w:val="22"/>
        </w:rPr>
        <w:t>or</w:t>
      </w:r>
      <w:r>
        <w:rPr>
          <w:spacing w:val="-2"/>
          <w:sz w:val="22"/>
        </w:rPr>
        <w:t> </w:t>
      </w:r>
      <w:r>
        <w:rPr>
          <w:sz w:val="22"/>
        </w:rPr>
        <w:t>entitlement</w:t>
      </w:r>
      <w:r>
        <w:rPr>
          <w:spacing w:val="-2"/>
          <w:sz w:val="22"/>
        </w:rPr>
        <w:t> </w:t>
      </w:r>
      <w:r>
        <w:rPr>
          <w:sz w:val="22"/>
        </w:rPr>
        <w:t>benefits</w:t>
      </w:r>
      <w:r>
        <w:rPr>
          <w:spacing w:val="-5"/>
          <w:sz w:val="22"/>
        </w:rPr>
        <w:t> </w:t>
      </w:r>
      <w:r>
        <w:rPr>
          <w:sz w:val="22"/>
        </w:rPr>
        <w:t>and credit (e.g., completing, filing, and monitoring applications to obtain discretionary or entitlement benefits and credit as well as obtaining or correcting the documentation needed to complete such applications).</w:t>
      </w:r>
    </w:p>
    <w:p>
      <w:pPr>
        <w:pStyle w:val="ListParagraph"/>
        <w:numPr>
          <w:ilvl w:val="1"/>
          <w:numId w:val="121"/>
        </w:numPr>
        <w:tabs>
          <w:tab w:pos="2638" w:val="left" w:leader="none"/>
          <w:tab w:pos="2640" w:val="left" w:leader="none"/>
        </w:tabs>
        <w:spacing w:line="240" w:lineRule="auto" w:before="0" w:after="0"/>
        <w:ind w:left="2640" w:right="217" w:hanging="418"/>
        <w:jc w:val="left"/>
        <w:rPr>
          <w:sz w:val="22"/>
        </w:rPr>
      </w:pPr>
      <w:r>
        <w:rPr>
          <w:sz w:val="22"/>
        </w:rPr>
        <w:t>Assisting</w:t>
      </w:r>
      <w:r>
        <w:rPr>
          <w:spacing w:val="-6"/>
          <w:sz w:val="22"/>
        </w:rPr>
        <w:t> </w:t>
      </w:r>
      <w:r>
        <w:rPr>
          <w:sz w:val="22"/>
        </w:rPr>
        <w:t>the</w:t>
      </w:r>
      <w:r>
        <w:rPr>
          <w:spacing w:val="-3"/>
          <w:sz w:val="22"/>
        </w:rPr>
        <w:t> </w:t>
      </w:r>
      <w:r>
        <w:rPr>
          <w:sz w:val="22"/>
        </w:rPr>
        <w:t>member</w:t>
      </w:r>
      <w:r>
        <w:rPr>
          <w:spacing w:val="-2"/>
          <w:sz w:val="22"/>
        </w:rPr>
        <w:t> </w:t>
      </w:r>
      <w:r>
        <w:rPr>
          <w:sz w:val="22"/>
        </w:rPr>
        <w:t>with</w:t>
      </w:r>
      <w:r>
        <w:rPr>
          <w:spacing w:val="-6"/>
          <w:sz w:val="22"/>
        </w:rPr>
        <w:t> </w:t>
      </w:r>
      <w:r>
        <w:rPr>
          <w:sz w:val="22"/>
        </w:rPr>
        <w:t>obtaining</w:t>
      </w:r>
      <w:r>
        <w:rPr>
          <w:spacing w:val="-6"/>
          <w:sz w:val="22"/>
        </w:rPr>
        <w:t> </w:t>
      </w:r>
      <w:r>
        <w:rPr>
          <w:sz w:val="22"/>
        </w:rPr>
        <w:t>completing,</w:t>
      </w:r>
      <w:r>
        <w:rPr>
          <w:spacing w:val="-3"/>
          <w:sz w:val="22"/>
        </w:rPr>
        <w:t> </w:t>
      </w:r>
      <w:r>
        <w:rPr>
          <w:sz w:val="22"/>
        </w:rPr>
        <w:t>and</w:t>
      </w:r>
      <w:r>
        <w:rPr>
          <w:spacing w:val="-6"/>
          <w:sz w:val="22"/>
        </w:rPr>
        <w:t> </w:t>
      </w:r>
      <w:r>
        <w:rPr>
          <w:sz w:val="22"/>
        </w:rPr>
        <w:t>filing,</w:t>
      </w:r>
      <w:r>
        <w:rPr>
          <w:spacing w:val="-3"/>
          <w:sz w:val="22"/>
        </w:rPr>
        <w:t> </w:t>
      </w:r>
      <w:r>
        <w:rPr>
          <w:sz w:val="22"/>
        </w:rPr>
        <w:t>applications</w:t>
      </w:r>
      <w:r>
        <w:rPr>
          <w:spacing w:val="-5"/>
          <w:sz w:val="22"/>
        </w:rPr>
        <w:t> </w:t>
      </w:r>
      <w:r>
        <w:rPr>
          <w:sz w:val="22"/>
        </w:rPr>
        <w:t>for community-based tenancy.</w:t>
      </w:r>
    </w:p>
    <w:p>
      <w:pPr>
        <w:pStyle w:val="ListParagraph"/>
        <w:numPr>
          <w:ilvl w:val="1"/>
          <w:numId w:val="121"/>
        </w:numPr>
        <w:tabs>
          <w:tab w:pos="2638" w:val="left" w:leader="none"/>
          <w:tab w:pos="2640" w:val="left" w:leader="none"/>
        </w:tabs>
        <w:spacing w:line="240" w:lineRule="auto" w:before="0" w:after="0"/>
        <w:ind w:left="2640" w:right="478" w:hanging="406"/>
        <w:jc w:val="left"/>
        <w:rPr>
          <w:sz w:val="22"/>
        </w:rPr>
      </w:pPr>
      <w:r>
        <w:rPr>
          <w:sz w:val="22"/>
        </w:rPr>
        <w:t>Assisting</w:t>
      </w:r>
      <w:r>
        <w:rPr>
          <w:spacing w:val="-6"/>
          <w:sz w:val="22"/>
        </w:rPr>
        <w:t> </w:t>
      </w:r>
      <w:r>
        <w:rPr>
          <w:sz w:val="22"/>
        </w:rPr>
        <w:t>the</w:t>
      </w:r>
      <w:r>
        <w:rPr>
          <w:spacing w:val="-3"/>
          <w:sz w:val="22"/>
        </w:rPr>
        <w:t> </w:t>
      </w:r>
      <w:r>
        <w:rPr>
          <w:sz w:val="22"/>
        </w:rPr>
        <w:t>member</w:t>
      </w:r>
      <w:r>
        <w:rPr>
          <w:spacing w:val="-2"/>
          <w:sz w:val="22"/>
        </w:rPr>
        <w:t> </w:t>
      </w:r>
      <w:r>
        <w:rPr>
          <w:sz w:val="22"/>
        </w:rPr>
        <w:t>with</w:t>
      </w:r>
      <w:r>
        <w:rPr>
          <w:spacing w:val="-6"/>
          <w:sz w:val="22"/>
        </w:rPr>
        <w:t> </w:t>
      </w:r>
      <w:r>
        <w:rPr>
          <w:sz w:val="22"/>
        </w:rPr>
        <w:t>understanding</w:t>
      </w:r>
      <w:r>
        <w:rPr>
          <w:spacing w:val="-6"/>
          <w:sz w:val="22"/>
        </w:rPr>
        <w:t> </w:t>
      </w:r>
      <w:r>
        <w:rPr>
          <w:sz w:val="22"/>
        </w:rPr>
        <w:t>their</w:t>
      </w:r>
      <w:r>
        <w:rPr>
          <w:spacing w:val="-3"/>
          <w:sz w:val="22"/>
        </w:rPr>
        <w:t> </w:t>
      </w:r>
      <w:r>
        <w:rPr>
          <w:sz w:val="22"/>
        </w:rPr>
        <w:t>rights</w:t>
      </w:r>
      <w:r>
        <w:rPr>
          <w:spacing w:val="-3"/>
          <w:sz w:val="22"/>
        </w:rPr>
        <w:t> </w:t>
      </w:r>
      <w:r>
        <w:rPr>
          <w:sz w:val="22"/>
        </w:rPr>
        <w:t>and</w:t>
      </w:r>
      <w:r>
        <w:rPr>
          <w:spacing w:val="-3"/>
          <w:sz w:val="22"/>
        </w:rPr>
        <w:t> </w:t>
      </w:r>
      <w:r>
        <w:rPr>
          <w:sz w:val="22"/>
        </w:rPr>
        <w:t>obligations</w:t>
      </w:r>
      <w:r>
        <w:rPr>
          <w:spacing w:val="-3"/>
          <w:sz w:val="22"/>
        </w:rPr>
        <w:t> </w:t>
      </w:r>
      <w:r>
        <w:rPr>
          <w:sz w:val="22"/>
        </w:rPr>
        <w:t>as</w:t>
      </w:r>
      <w:r>
        <w:rPr>
          <w:spacing w:val="-3"/>
          <w:sz w:val="22"/>
        </w:rPr>
        <w:t> </w:t>
      </w:r>
      <w:r>
        <w:rPr>
          <w:sz w:val="22"/>
        </w:rPr>
        <w:t>a </w:t>
      </w:r>
      <w:r>
        <w:rPr>
          <w:spacing w:val="-2"/>
          <w:sz w:val="22"/>
        </w:rPr>
        <w:t>tenant.</w:t>
      </w:r>
    </w:p>
    <w:p>
      <w:pPr>
        <w:pStyle w:val="ListParagraph"/>
        <w:numPr>
          <w:ilvl w:val="1"/>
          <w:numId w:val="121"/>
        </w:numPr>
        <w:tabs>
          <w:tab w:pos="2638" w:val="left" w:leader="none"/>
          <w:tab w:pos="2640" w:val="left" w:leader="none"/>
        </w:tabs>
        <w:spacing w:line="240" w:lineRule="auto" w:before="0" w:after="0"/>
        <w:ind w:left="2640" w:right="900" w:hanging="346"/>
        <w:jc w:val="left"/>
        <w:rPr>
          <w:sz w:val="22"/>
        </w:rPr>
      </w:pPr>
      <w:r>
        <w:rPr>
          <w:sz w:val="22"/>
        </w:rPr>
        <w:t>Assisting</w:t>
      </w:r>
      <w:r>
        <w:rPr>
          <w:spacing w:val="-6"/>
          <w:sz w:val="22"/>
        </w:rPr>
        <w:t> </w:t>
      </w:r>
      <w:r>
        <w:rPr>
          <w:sz w:val="22"/>
        </w:rPr>
        <w:t>the</w:t>
      </w:r>
      <w:r>
        <w:rPr>
          <w:spacing w:val="-3"/>
          <w:sz w:val="22"/>
        </w:rPr>
        <w:t> </w:t>
      </w:r>
      <w:r>
        <w:rPr>
          <w:sz w:val="22"/>
        </w:rPr>
        <w:t>member</w:t>
      </w:r>
      <w:r>
        <w:rPr>
          <w:spacing w:val="-2"/>
          <w:sz w:val="22"/>
        </w:rPr>
        <w:t> </w:t>
      </w:r>
      <w:r>
        <w:rPr>
          <w:sz w:val="22"/>
        </w:rPr>
        <w:t>with</w:t>
      </w:r>
      <w:r>
        <w:rPr>
          <w:spacing w:val="-6"/>
          <w:sz w:val="22"/>
        </w:rPr>
        <w:t> </w:t>
      </w:r>
      <w:r>
        <w:rPr>
          <w:sz w:val="22"/>
        </w:rPr>
        <w:t>locating</w:t>
      </w:r>
      <w:r>
        <w:rPr>
          <w:spacing w:val="-6"/>
          <w:sz w:val="22"/>
        </w:rPr>
        <w:t> </w:t>
      </w:r>
      <w:r>
        <w:rPr>
          <w:sz w:val="22"/>
        </w:rPr>
        <w:t>and</w:t>
      </w:r>
      <w:r>
        <w:rPr>
          <w:spacing w:val="-3"/>
          <w:sz w:val="22"/>
        </w:rPr>
        <w:t> </w:t>
      </w:r>
      <w:r>
        <w:rPr>
          <w:sz w:val="22"/>
        </w:rPr>
        <w:t>obtaining</w:t>
      </w:r>
      <w:r>
        <w:rPr>
          <w:spacing w:val="-6"/>
          <w:sz w:val="22"/>
        </w:rPr>
        <w:t> </w:t>
      </w:r>
      <w:r>
        <w:rPr>
          <w:sz w:val="22"/>
        </w:rPr>
        <w:t>services</w:t>
      </w:r>
      <w:r>
        <w:rPr>
          <w:spacing w:val="-3"/>
          <w:sz w:val="22"/>
        </w:rPr>
        <w:t> </w:t>
      </w:r>
      <w:r>
        <w:rPr>
          <w:sz w:val="22"/>
        </w:rPr>
        <w:t>needed</w:t>
      </w:r>
      <w:r>
        <w:rPr>
          <w:spacing w:val="-6"/>
          <w:sz w:val="22"/>
        </w:rPr>
        <w:t> </w:t>
      </w:r>
      <w:r>
        <w:rPr>
          <w:sz w:val="22"/>
        </w:rPr>
        <w:t>to establish a safe and healthy living environment.</w:t>
      </w:r>
    </w:p>
    <w:p>
      <w:pPr>
        <w:pStyle w:val="ListParagraph"/>
        <w:numPr>
          <w:ilvl w:val="1"/>
          <w:numId w:val="121"/>
        </w:numPr>
        <w:tabs>
          <w:tab w:pos="2638" w:val="left" w:leader="none"/>
          <w:tab w:pos="2640" w:val="left" w:leader="none"/>
        </w:tabs>
        <w:spacing w:line="240" w:lineRule="auto" w:before="0" w:after="0"/>
        <w:ind w:left="2640" w:right="132" w:hanging="406"/>
        <w:jc w:val="left"/>
        <w:rPr>
          <w:sz w:val="22"/>
        </w:rPr>
      </w:pPr>
      <w:r>
        <w:rPr>
          <w:sz w:val="22"/>
        </w:rPr>
        <w:t>Assisting</w:t>
      </w:r>
      <w:r>
        <w:rPr>
          <w:spacing w:val="-5"/>
          <w:sz w:val="22"/>
        </w:rPr>
        <w:t> </w:t>
      </w:r>
      <w:r>
        <w:rPr>
          <w:sz w:val="22"/>
        </w:rPr>
        <w:t>or</w:t>
      </w:r>
      <w:r>
        <w:rPr>
          <w:spacing w:val="-1"/>
          <w:sz w:val="22"/>
        </w:rPr>
        <w:t> </w:t>
      </w:r>
      <w:r>
        <w:rPr>
          <w:sz w:val="22"/>
        </w:rPr>
        <w:t>providing</w:t>
      </w:r>
      <w:r>
        <w:rPr>
          <w:spacing w:val="-5"/>
          <w:sz w:val="22"/>
        </w:rPr>
        <w:t> </w:t>
      </w:r>
      <w:r>
        <w:rPr>
          <w:sz w:val="22"/>
        </w:rPr>
        <w:t>the</w:t>
      </w:r>
      <w:r>
        <w:rPr>
          <w:spacing w:val="-4"/>
          <w:sz w:val="22"/>
        </w:rPr>
        <w:t> </w:t>
      </w:r>
      <w:r>
        <w:rPr>
          <w:sz w:val="22"/>
        </w:rPr>
        <w:t>member</w:t>
      </w:r>
      <w:r>
        <w:rPr>
          <w:spacing w:val="-1"/>
          <w:sz w:val="22"/>
        </w:rPr>
        <w:t> </w:t>
      </w:r>
      <w:r>
        <w:rPr>
          <w:sz w:val="22"/>
        </w:rPr>
        <w:t>with</w:t>
      </w:r>
      <w:r>
        <w:rPr>
          <w:spacing w:val="-2"/>
          <w:sz w:val="22"/>
        </w:rPr>
        <w:t> </w:t>
      </w:r>
      <w:r>
        <w:rPr>
          <w:sz w:val="22"/>
        </w:rPr>
        <w:t>transportation</w:t>
      </w:r>
      <w:r>
        <w:rPr>
          <w:spacing w:val="-5"/>
          <w:sz w:val="22"/>
        </w:rPr>
        <w:t> </w:t>
      </w:r>
      <w:r>
        <w:rPr>
          <w:sz w:val="22"/>
        </w:rPr>
        <w:t>to</w:t>
      </w:r>
      <w:r>
        <w:rPr>
          <w:spacing w:val="-2"/>
          <w:sz w:val="22"/>
        </w:rPr>
        <w:t> </w:t>
      </w:r>
      <w:r>
        <w:rPr>
          <w:sz w:val="22"/>
        </w:rPr>
        <w:t>any</w:t>
      </w:r>
      <w:r>
        <w:rPr>
          <w:spacing w:val="-5"/>
          <w:sz w:val="22"/>
        </w:rPr>
        <w:t> </w:t>
      </w:r>
      <w:r>
        <w:rPr>
          <w:sz w:val="22"/>
        </w:rPr>
        <w:t>of</w:t>
      </w:r>
      <w:r>
        <w:rPr>
          <w:spacing w:val="-4"/>
          <w:sz w:val="22"/>
        </w:rPr>
        <w:t> </w:t>
      </w:r>
      <w:r>
        <w:rPr>
          <w:sz w:val="22"/>
        </w:rPr>
        <w:t>the</w:t>
      </w:r>
      <w:r>
        <w:rPr>
          <w:spacing w:val="-4"/>
          <w:sz w:val="22"/>
        </w:rPr>
        <w:t> </w:t>
      </w:r>
      <w:r>
        <w:rPr>
          <w:sz w:val="22"/>
        </w:rPr>
        <w:t>approved pre-tenancy supports when needed.</w:t>
      </w:r>
    </w:p>
    <w:p>
      <w:pPr>
        <w:pStyle w:val="BodyText"/>
        <w:spacing w:before="11"/>
        <w:rPr>
          <w:sz w:val="21"/>
        </w:rPr>
      </w:pPr>
    </w:p>
    <w:p>
      <w:pPr>
        <w:pStyle w:val="ListParagraph"/>
        <w:numPr>
          <w:ilvl w:val="0"/>
          <w:numId w:val="121"/>
        </w:numPr>
        <w:tabs>
          <w:tab w:pos="2496" w:val="left" w:leader="none"/>
        </w:tabs>
        <w:spacing w:line="240" w:lineRule="auto" w:before="0" w:after="0"/>
        <w:ind w:left="2496" w:right="0" w:hanging="389"/>
        <w:jc w:val="left"/>
        <w:rPr>
          <w:sz w:val="22"/>
        </w:rPr>
      </w:pPr>
      <w:r>
        <w:rPr>
          <w:sz w:val="22"/>
        </w:rPr>
        <w:t>Transitional</w:t>
      </w:r>
      <w:r>
        <w:rPr>
          <w:spacing w:val="-5"/>
          <w:sz w:val="22"/>
        </w:rPr>
        <w:t> </w:t>
      </w:r>
      <w:r>
        <w:rPr>
          <w:spacing w:val="-2"/>
          <w:sz w:val="22"/>
        </w:rPr>
        <w:t>Assistance</w:t>
      </w:r>
    </w:p>
    <w:p>
      <w:pPr>
        <w:pStyle w:val="BodyText"/>
        <w:rPr>
          <w:sz w:val="22"/>
        </w:rPr>
      </w:pPr>
    </w:p>
    <w:p>
      <w:pPr>
        <w:spacing w:before="0"/>
        <w:ind w:left="2495" w:right="0" w:firstLine="0"/>
        <w:jc w:val="left"/>
        <w:rPr>
          <w:sz w:val="22"/>
        </w:rPr>
      </w:pPr>
      <w:r>
        <w:rPr>
          <w:sz w:val="22"/>
        </w:rPr>
        <w:t>Assisting the member with locating, obtaining, and/or providing the member with</w:t>
      </w:r>
      <w:r>
        <w:rPr>
          <w:spacing w:val="-3"/>
          <w:sz w:val="22"/>
        </w:rPr>
        <w:t> </w:t>
      </w:r>
      <w:r>
        <w:rPr>
          <w:sz w:val="22"/>
        </w:rPr>
        <w:t>one-time</w:t>
      </w:r>
      <w:r>
        <w:rPr>
          <w:spacing w:val="-3"/>
          <w:sz w:val="22"/>
        </w:rPr>
        <w:t> </w:t>
      </w:r>
      <w:r>
        <w:rPr>
          <w:sz w:val="22"/>
        </w:rPr>
        <w:t>household</w:t>
      </w:r>
      <w:r>
        <w:rPr>
          <w:spacing w:val="-6"/>
          <w:sz w:val="22"/>
        </w:rPr>
        <w:t> </w:t>
      </w:r>
      <w:r>
        <w:rPr>
          <w:sz w:val="22"/>
        </w:rPr>
        <w:t>set-up</w:t>
      </w:r>
      <w:r>
        <w:rPr>
          <w:spacing w:val="-3"/>
          <w:sz w:val="22"/>
        </w:rPr>
        <w:t> </w:t>
      </w:r>
      <w:r>
        <w:rPr>
          <w:sz w:val="22"/>
        </w:rPr>
        <w:t>costs</w:t>
      </w:r>
      <w:r>
        <w:rPr>
          <w:spacing w:val="-3"/>
          <w:sz w:val="22"/>
        </w:rPr>
        <w:t> </w:t>
      </w:r>
      <w:r>
        <w:rPr>
          <w:sz w:val="22"/>
        </w:rPr>
        <w:t>and</w:t>
      </w:r>
      <w:r>
        <w:rPr>
          <w:spacing w:val="-3"/>
          <w:sz w:val="22"/>
        </w:rPr>
        <w:t> </w:t>
      </w:r>
      <w:r>
        <w:rPr>
          <w:sz w:val="22"/>
        </w:rPr>
        <w:t>move-in</w:t>
      </w:r>
      <w:r>
        <w:rPr>
          <w:spacing w:val="-3"/>
          <w:sz w:val="22"/>
        </w:rPr>
        <w:t> </w:t>
      </w:r>
      <w:r>
        <w:rPr>
          <w:sz w:val="22"/>
        </w:rPr>
        <w:t>expenses,</w:t>
      </w:r>
      <w:r>
        <w:rPr>
          <w:spacing w:val="-3"/>
          <w:sz w:val="22"/>
        </w:rPr>
        <w:t> </w:t>
      </w:r>
      <w:r>
        <w:rPr>
          <w:sz w:val="22"/>
        </w:rPr>
        <w:t>including</w:t>
      </w:r>
      <w:r>
        <w:rPr>
          <w:spacing w:val="-6"/>
          <w:sz w:val="22"/>
        </w:rPr>
        <w:t> </w:t>
      </w:r>
      <w:r>
        <w:rPr>
          <w:sz w:val="22"/>
        </w:rPr>
        <w:t>but</w:t>
      </w:r>
      <w:r>
        <w:rPr>
          <w:spacing w:val="-2"/>
          <w:sz w:val="22"/>
        </w:rPr>
        <w:t> </w:t>
      </w:r>
      <w:r>
        <w:rPr>
          <w:sz w:val="22"/>
        </w:rPr>
        <w:t>not limited</w:t>
      </w:r>
      <w:r>
        <w:rPr>
          <w:spacing w:val="-2"/>
          <w:sz w:val="22"/>
        </w:rPr>
        <w:t> </w:t>
      </w:r>
      <w:r>
        <w:rPr>
          <w:sz w:val="22"/>
        </w:rPr>
        <w:t>to,</w:t>
      </w:r>
      <w:r>
        <w:rPr>
          <w:spacing w:val="-2"/>
          <w:sz w:val="22"/>
        </w:rPr>
        <w:t> </w:t>
      </w:r>
      <w:r>
        <w:rPr>
          <w:sz w:val="22"/>
        </w:rPr>
        <w:t>first month’s</w:t>
      </w:r>
      <w:r>
        <w:rPr>
          <w:spacing w:val="-1"/>
          <w:sz w:val="22"/>
        </w:rPr>
        <w:t> </w:t>
      </w:r>
      <w:r>
        <w:rPr>
          <w:sz w:val="22"/>
        </w:rPr>
        <w:t>rent, security</w:t>
      </w:r>
      <w:r>
        <w:rPr>
          <w:spacing w:val="-2"/>
          <w:sz w:val="22"/>
        </w:rPr>
        <w:t> </w:t>
      </w:r>
      <w:r>
        <w:rPr>
          <w:sz w:val="22"/>
        </w:rPr>
        <w:t>deposit, costs for</w:t>
      </w:r>
      <w:r>
        <w:rPr>
          <w:spacing w:val="-1"/>
          <w:sz w:val="22"/>
        </w:rPr>
        <w:t> </w:t>
      </w:r>
      <w:r>
        <w:rPr>
          <w:sz w:val="22"/>
        </w:rPr>
        <w:t>filing</w:t>
      </w:r>
      <w:r>
        <w:rPr>
          <w:spacing w:val="-2"/>
          <w:sz w:val="22"/>
        </w:rPr>
        <w:t> </w:t>
      </w:r>
      <w:r>
        <w:rPr>
          <w:sz w:val="22"/>
        </w:rPr>
        <w:t>applications and obtaining</w:t>
      </w:r>
      <w:r>
        <w:rPr>
          <w:spacing w:val="-6"/>
          <w:sz w:val="22"/>
        </w:rPr>
        <w:t> </w:t>
      </w:r>
      <w:r>
        <w:rPr>
          <w:sz w:val="22"/>
        </w:rPr>
        <w:t>and</w:t>
      </w:r>
      <w:r>
        <w:rPr>
          <w:spacing w:val="-3"/>
          <w:sz w:val="22"/>
        </w:rPr>
        <w:t> </w:t>
      </w:r>
      <w:r>
        <w:rPr>
          <w:sz w:val="22"/>
        </w:rPr>
        <w:t>correcting</w:t>
      </w:r>
      <w:r>
        <w:rPr>
          <w:spacing w:val="-6"/>
          <w:sz w:val="22"/>
        </w:rPr>
        <w:t> </w:t>
      </w:r>
      <w:r>
        <w:rPr>
          <w:sz w:val="22"/>
        </w:rPr>
        <w:t>needed</w:t>
      </w:r>
      <w:r>
        <w:rPr>
          <w:spacing w:val="-3"/>
          <w:sz w:val="22"/>
        </w:rPr>
        <w:t> </w:t>
      </w:r>
      <w:r>
        <w:rPr>
          <w:sz w:val="22"/>
        </w:rPr>
        <w:t>documentation,</w:t>
      </w:r>
      <w:r>
        <w:rPr>
          <w:spacing w:val="-6"/>
          <w:sz w:val="22"/>
        </w:rPr>
        <w:t> </w:t>
      </w:r>
      <w:r>
        <w:rPr>
          <w:sz w:val="22"/>
        </w:rPr>
        <w:t>and/or</w:t>
      </w:r>
      <w:r>
        <w:rPr>
          <w:spacing w:val="-5"/>
          <w:sz w:val="22"/>
        </w:rPr>
        <w:t> </w:t>
      </w:r>
      <w:r>
        <w:rPr>
          <w:sz w:val="22"/>
        </w:rPr>
        <w:t>purchase</w:t>
      </w:r>
      <w:r>
        <w:rPr>
          <w:spacing w:val="-5"/>
          <w:sz w:val="22"/>
        </w:rPr>
        <w:t> </w:t>
      </w:r>
      <w:r>
        <w:rPr>
          <w:sz w:val="22"/>
        </w:rPr>
        <w:t>of</w:t>
      </w:r>
      <w:r>
        <w:rPr>
          <w:spacing w:val="-2"/>
          <w:sz w:val="22"/>
        </w:rPr>
        <w:t> </w:t>
      </w:r>
      <w:r>
        <w:rPr>
          <w:sz w:val="22"/>
        </w:rPr>
        <w:t>household furnishings needed to establish community-based tenancy.</w:t>
      </w:r>
    </w:p>
    <w:p>
      <w:pPr>
        <w:pStyle w:val="BodyText"/>
        <w:spacing w:before="10"/>
        <w:rPr>
          <w:sz w:val="21"/>
        </w:rPr>
      </w:pPr>
    </w:p>
    <w:p>
      <w:pPr>
        <w:pStyle w:val="ListParagraph"/>
        <w:numPr>
          <w:ilvl w:val="2"/>
          <w:numId w:val="116"/>
        </w:numPr>
        <w:tabs>
          <w:tab w:pos="1198" w:val="left" w:leader="none"/>
        </w:tabs>
        <w:spacing w:line="240" w:lineRule="auto" w:before="0" w:after="0"/>
        <w:ind w:left="1198" w:right="0" w:hanging="359"/>
        <w:jc w:val="left"/>
        <w:rPr>
          <w:sz w:val="22"/>
        </w:rPr>
      </w:pPr>
      <w:r>
        <w:rPr>
          <w:b/>
          <w:sz w:val="22"/>
        </w:rPr>
        <w:t>Tenancy</w:t>
      </w:r>
      <w:r>
        <w:rPr>
          <w:b/>
          <w:spacing w:val="-5"/>
          <w:sz w:val="22"/>
        </w:rPr>
        <w:t> </w:t>
      </w:r>
      <w:r>
        <w:rPr>
          <w:b/>
          <w:sz w:val="22"/>
        </w:rPr>
        <w:t>Sustaining</w:t>
      </w:r>
      <w:r>
        <w:rPr>
          <w:b/>
          <w:spacing w:val="-4"/>
          <w:sz w:val="22"/>
        </w:rPr>
        <w:t> </w:t>
      </w:r>
      <w:r>
        <w:rPr>
          <w:b/>
          <w:spacing w:val="-2"/>
          <w:sz w:val="22"/>
        </w:rPr>
        <w:t>Supports</w:t>
      </w:r>
    </w:p>
    <w:p>
      <w:pPr>
        <w:spacing w:before="2"/>
        <w:ind w:left="1199" w:right="0" w:firstLine="0"/>
        <w:jc w:val="left"/>
        <w:rPr>
          <w:sz w:val="22"/>
        </w:rPr>
      </w:pPr>
      <w:r>
        <w:rPr>
          <w:sz w:val="22"/>
        </w:rPr>
        <w:t>Tenancy</w:t>
      </w:r>
      <w:r>
        <w:rPr>
          <w:spacing w:val="-6"/>
          <w:sz w:val="22"/>
        </w:rPr>
        <w:t> </w:t>
      </w:r>
      <w:r>
        <w:rPr>
          <w:sz w:val="22"/>
        </w:rPr>
        <w:t>sustaining</w:t>
      </w:r>
      <w:r>
        <w:rPr>
          <w:spacing w:val="-5"/>
          <w:sz w:val="22"/>
        </w:rPr>
        <w:t> </w:t>
      </w:r>
      <w:r>
        <w:rPr>
          <w:sz w:val="22"/>
        </w:rPr>
        <w:t>supports</w:t>
      </w:r>
      <w:r>
        <w:rPr>
          <w:spacing w:val="-3"/>
          <w:sz w:val="22"/>
        </w:rPr>
        <w:t> </w:t>
      </w:r>
      <w:r>
        <w:rPr>
          <w:sz w:val="22"/>
        </w:rPr>
        <w:t>include</w:t>
      </w:r>
      <w:r>
        <w:rPr>
          <w:spacing w:val="-2"/>
          <w:sz w:val="22"/>
        </w:rPr>
        <w:t> </w:t>
      </w:r>
      <w:r>
        <w:rPr>
          <w:sz w:val="22"/>
        </w:rPr>
        <w:t>one</w:t>
      </w:r>
      <w:r>
        <w:rPr>
          <w:spacing w:val="-5"/>
          <w:sz w:val="22"/>
        </w:rPr>
        <w:t> </w:t>
      </w:r>
      <w:r>
        <w:rPr>
          <w:sz w:val="22"/>
        </w:rPr>
        <w:t>or</w:t>
      </w:r>
      <w:r>
        <w:rPr>
          <w:spacing w:val="-1"/>
          <w:sz w:val="22"/>
        </w:rPr>
        <w:t> </w:t>
      </w:r>
      <w:r>
        <w:rPr>
          <w:sz w:val="22"/>
        </w:rPr>
        <w:t>more</w:t>
      </w:r>
      <w:r>
        <w:rPr>
          <w:spacing w:val="-3"/>
          <w:sz w:val="22"/>
        </w:rPr>
        <w:t> </w:t>
      </w:r>
      <w:r>
        <w:rPr>
          <w:sz w:val="22"/>
        </w:rPr>
        <w:t>of</w:t>
      </w:r>
      <w:r>
        <w:rPr>
          <w:spacing w:val="-5"/>
          <w:sz w:val="22"/>
        </w:rPr>
        <w:t> </w:t>
      </w:r>
      <w:r>
        <w:rPr>
          <w:sz w:val="22"/>
        </w:rPr>
        <w:t>the</w:t>
      </w:r>
      <w:r>
        <w:rPr>
          <w:spacing w:val="-2"/>
          <w:sz w:val="22"/>
        </w:rPr>
        <w:t> </w:t>
      </w:r>
      <w:r>
        <w:rPr>
          <w:sz w:val="22"/>
        </w:rPr>
        <w:t>following</w:t>
      </w:r>
      <w:r>
        <w:rPr>
          <w:spacing w:val="-5"/>
          <w:sz w:val="22"/>
        </w:rPr>
        <w:t> </w:t>
      </w:r>
      <w:r>
        <w:rPr>
          <w:spacing w:val="-2"/>
          <w:sz w:val="22"/>
        </w:rPr>
        <w:t>supports:</w:t>
      </w:r>
    </w:p>
    <w:p>
      <w:pPr>
        <w:pStyle w:val="BodyText"/>
        <w:spacing w:before="9"/>
        <w:rPr>
          <w:sz w:val="21"/>
        </w:rPr>
      </w:pPr>
    </w:p>
    <w:p>
      <w:pPr>
        <w:pStyle w:val="ListParagraph"/>
        <w:numPr>
          <w:ilvl w:val="0"/>
          <w:numId w:val="122"/>
        </w:numPr>
        <w:tabs>
          <w:tab w:pos="2465" w:val="left" w:leader="none"/>
          <w:tab w:pos="2467" w:val="left" w:leader="none"/>
        </w:tabs>
        <w:spacing w:line="240" w:lineRule="auto" w:before="0" w:after="0"/>
        <w:ind w:left="2467" w:right="113" w:hanging="361"/>
        <w:jc w:val="both"/>
        <w:rPr>
          <w:sz w:val="22"/>
        </w:rPr>
      </w:pPr>
      <w:r>
        <w:rPr>
          <w:sz w:val="22"/>
        </w:rPr>
        <w:t>Assisting the member with communicating with the landlord and/or property manager regarding the member’s disability, and detailing the accommodations needed by the member.</w:t>
      </w:r>
    </w:p>
    <w:p>
      <w:pPr>
        <w:pStyle w:val="BodyText"/>
        <w:spacing w:before="1"/>
        <w:rPr>
          <w:sz w:val="22"/>
        </w:rPr>
      </w:pPr>
    </w:p>
    <w:p>
      <w:pPr>
        <w:pStyle w:val="ListParagraph"/>
        <w:numPr>
          <w:ilvl w:val="0"/>
          <w:numId w:val="122"/>
        </w:numPr>
        <w:tabs>
          <w:tab w:pos="2466" w:val="left" w:leader="none"/>
        </w:tabs>
        <w:spacing w:line="240" w:lineRule="auto" w:before="0" w:after="0"/>
        <w:ind w:left="2466" w:right="112" w:hanging="360"/>
        <w:jc w:val="both"/>
        <w:rPr>
          <w:sz w:val="22"/>
        </w:rPr>
      </w:pPr>
      <w:r>
        <w:rPr>
          <w:sz w:val="22"/>
        </w:rPr>
        <w:t>Assisting with the review, update, and modification of the member’s tenancy support needs, as documented in the member’s Flexible Service Plan, on a regular</w:t>
      </w:r>
      <w:r>
        <w:rPr>
          <w:spacing w:val="-9"/>
          <w:sz w:val="22"/>
        </w:rPr>
        <w:t> </w:t>
      </w:r>
      <w:r>
        <w:rPr>
          <w:sz w:val="22"/>
        </w:rPr>
        <w:t>basis</w:t>
      </w:r>
      <w:r>
        <w:rPr>
          <w:spacing w:val="-9"/>
          <w:sz w:val="22"/>
        </w:rPr>
        <w:t> </w:t>
      </w:r>
      <w:r>
        <w:rPr>
          <w:sz w:val="22"/>
        </w:rPr>
        <w:t>to</w:t>
      </w:r>
      <w:r>
        <w:rPr>
          <w:spacing w:val="-10"/>
          <w:sz w:val="22"/>
        </w:rPr>
        <w:t> </w:t>
      </w:r>
      <w:r>
        <w:rPr>
          <w:sz w:val="22"/>
        </w:rPr>
        <w:t>reflect</w:t>
      </w:r>
      <w:r>
        <w:rPr>
          <w:spacing w:val="-9"/>
          <w:sz w:val="22"/>
        </w:rPr>
        <w:t> </w:t>
      </w:r>
      <w:r>
        <w:rPr>
          <w:sz w:val="22"/>
        </w:rPr>
        <w:t>current</w:t>
      </w:r>
      <w:r>
        <w:rPr>
          <w:spacing w:val="-9"/>
          <w:sz w:val="22"/>
        </w:rPr>
        <w:t> </w:t>
      </w:r>
      <w:r>
        <w:rPr>
          <w:sz w:val="22"/>
        </w:rPr>
        <w:t>needs</w:t>
      </w:r>
      <w:r>
        <w:rPr>
          <w:spacing w:val="-9"/>
          <w:sz w:val="22"/>
        </w:rPr>
        <w:t> </w:t>
      </w:r>
      <w:r>
        <w:rPr>
          <w:sz w:val="22"/>
        </w:rPr>
        <w:t>and</w:t>
      </w:r>
      <w:r>
        <w:rPr>
          <w:spacing w:val="-10"/>
          <w:sz w:val="22"/>
        </w:rPr>
        <w:t> </w:t>
      </w:r>
      <w:r>
        <w:rPr>
          <w:sz w:val="22"/>
        </w:rPr>
        <w:t>address</w:t>
      </w:r>
      <w:r>
        <w:rPr>
          <w:spacing w:val="-9"/>
          <w:sz w:val="22"/>
        </w:rPr>
        <w:t> </w:t>
      </w:r>
      <w:r>
        <w:rPr>
          <w:sz w:val="22"/>
        </w:rPr>
        <w:t>existing</w:t>
      </w:r>
      <w:r>
        <w:rPr>
          <w:spacing w:val="-11"/>
          <w:sz w:val="22"/>
        </w:rPr>
        <w:t> </w:t>
      </w:r>
      <w:r>
        <w:rPr>
          <w:sz w:val="22"/>
        </w:rPr>
        <w:t>or</w:t>
      </w:r>
      <w:r>
        <w:rPr>
          <w:spacing w:val="-9"/>
          <w:sz w:val="22"/>
        </w:rPr>
        <w:t> </w:t>
      </w:r>
      <w:r>
        <w:rPr>
          <w:sz w:val="22"/>
        </w:rPr>
        <w:t>recurring</w:t>
      </w:r>
      <w:r>
        <w:rPr>
          <w:spacing w:val="-11"/>
          <w:sz w:val="22"/>
        </w:rPr>
        <w:t> </w:t>
      </w:r>
      <w:r>
        <w:rPr>
          <w:sz w:val="22"/>
        </w:rPr>
        <w:t>barriers</w:t>
      </w:r>
      <w:r>
        <w:rPr>
          <w:spacing w:val="-9"/>
          <w:sz w:val="22"/>
        </w:rPr>
        <w:t> </w:t>
      </w:r>
      <w:r>
        <w:rPr>
          <w:sz w:val="22"/>
        </w:rPr>
        <w:t>to retaining community tenancy.</w:t>
      </w:r>
    </w:p>
    <w:p>
      <w:pPr>
        <w:pStyle w:val="BodyText"/>
        <w:spacing w:before="11"/>
        <w:rPr>
          <w:sz w:val="21"/>
        </w:rPr>
      </w:pPr>
    </w:p>
    <w:p>
      <w:pPr>
        <w:pStyle w:val="ListParagraph"/>
        <w:numPr>
          <w:ilvl w:val="0"/>
          <w:numId w:val="122"/>
        </w:numPr>
        <w:tabs>
          <w:tab w:pos="2465" w:val="left" w:leader="none"/>
          <w:tab w:pos="2467" w:val="left" w:leader="none"/>
        </w:tabs>
        <w:spacing w:line="240" w:lineRule="auto" w:before="0" w:after="0"/>
        <w:ind w:left="2467" w:right="115" w:hanging="361"/>
        <w:jc w:val="both"/>
        <w:rPr>
          <w:sz w:val="22"/>
        </w:rPr>
      </w:pPr>
      <w:r>
        <w:rPr>
          <w:sz w:val="22"/>
        </w:rPr>
        <w:t>Assisting the member with obtaining and maintaining discretionary or entitlement benefits and establishing credit, including, but not limited to obtaining, completing, filing, and monitoring applications.</w:t>
      </w:r>
    </w:p>
    <w:p>
      <w:pPr>
        <w:spacing w:after="0" w:line="240" w:lineRule="auto"/>
        <w:jc w:val="both"/>
        <w:rPr>
          <w:sz w:val="22"/>
        </w:rPr>
        <w:sectPr>
          <w:pgSz w:w="12240" w:h="15840"/>
          <w:pgMar w:header="0" w:footer="1240" w:top="640" w:bottom="1420" w:left="1320" w:right="1320"/>
        </w:sectPr>
      </w:pPr>
    </w:p>
    <w:p>
      <w:pPr>
        <w:spacing w:before="80"/>
        <w:ind w:left="120" w:right="0" w:firstLine="0"/>
        <w:jc w:val="left"/>
        <w:rPr>
          <w:sz w:val="20"/>
        </w:rPr>
      </w:pPr>
      <w:r>
        <w:rPr>
          <w:spacing w:val="-2"/>
          <w:sz w:val="20"/>
        </w:rPr>
        <w:t>Attachment</w:t>
      </w:r>
      <w:r>
        <w:rPr>
          <w:spacing w:val="6"/>
          <w:sz w:val="20"/>
        </w:rPr>
        <w:t> </w:t>
      </w:r>
      <w:r>
        <w:rPr>
          <w:spacing w:val="-10"/>
          <w:sz w:val="20"/>
        </w:rPr>
        <w:t>R</w:t>
      </w:r>
    </w:p>
    <w:p>
      <w:pPr>
        <w:pStyle w:val="BodyText"/>
        <w:rPr>
          <w:sz w:val="20"/>
        </w:rPr>
      </w:pPr>
    </w:p>
    <w:p>
      <w:pPr>
        <w:pStyle w:val="BodyText"/>
        <w:spacing w:before="5"/>
        <w:rPr>
          <w:sz w:val="22"/>
        </w:rPr>
      </w:pPr>
    </w:p>
    <w:p>
      <w:pPr>
        <w:pStyle w:val="ListParagraph"/>
        <w:numPr>
          <w:ilvl w:val="0"/>
          <w:numId w:val="122"/>
        </w:numPr>
        <w:tabs>
          <w:tab w:pos="2466" w:val="left" w:leader="none"/>
          <w:tab w:pos="2520" w:val="left" w:leader="none"/>
        </w:tabs>
        <w:spacing w:line="240" w:lineRule="auto" w:before="0" w:after="0"/>
        <w:ind w:left="2466" w:right="118" w:hanging="360"/>
        <w:jc w:val="both"/>
        <w:rPr>
          <w:sz w:val="22"/>
        </w:rPr>
      </w:pPr>
      <w:r>
        <w:rPr>
          <w:sz w:val="22"/>
        </w:rPr>
        <w:tab/>
        <w:t>Assisting the member with obtaining appropriate sources of, tenancy training, including trainings regarding lease compliance and household management.</w:t>
      </w:r>
    </w:p>
    <w:p>
      <w:pPr>
        <w:pStyle w:val="BodyText"/>
        <w:spacing w:before="11"/>
        <w:rPr>
          <w:sz w:val="21"/>
        </w:rPr>
      </w:pPr>
    </w:p>
    <w:p>
      <w:pPr>
        <w:pStyle w:val="ListParagraph"/>
        <w:numPr>
          <w:ilvl w:val="0"/>
          <w:numId w:val="122"/>
        </w:numPr>
        <w:tabs>
          <w:tab w:pos="2465" w:val="left" w:leader="none"/>
          <w:tab w:pos="2467" w:val="left" w:leader="none"/>
        </w:tabs>
        <w:spacing w:line="240" w:lineRule="auto" w:before="0" w:after="0"/>
        <w:ind w:left="2467" w:right="113" w:hanging="361"/>
        <w:jc w:val="both"/>
        <w:rPr>
          <w:sz w:val="22"/>
        </w:rPr>
      </w:pPr>
      <w:r>
        <w:rPr>
          <w:sz w:val="22"/>
        </w:rPr>
        <w:t>Assisting</w:t>
      </w:r>
      <w:r>
        <w:rPr>
          <w:spacing w:val="-16"/>
          <w:sz w:val="22"/>
        </w:rPr>
        <w:t> </w:t>
      </w:r>
      <w:r>
        <w:rPr>
          <w:sz w:val="22"/>
        </w:rPr>
        <w:t>the</w:t>
      </w:r>
      <w:r>
        <w:rPr>
          <w:spacing w:val="-14"/>
          <w:sz w:val="22"/>
        </w:rPr>
        <w:t> </w:t>
      </w:r>
      <w:r>
        <w:rPr>
          <w:sz w:val="22"/>
        </w:rPr>
        <w:t>member</w:t>
      </w:r>
      <w:r>
        <w:rPr>
          <w:spacing w:val="-14"/>
          <w:sz w:val="22"/>
        </w:rPr>
        <w:t> </w:t>
      </w:r>
      <w:r>
        <w:rPr>
          <w:sz w:val="22"/>
        </w:rPr>
        <w:t>in</w:t>
      </w:r>
      <w:r>
        <w:rPr>
          <w:spacing w:val="-13"/>
          <w:sz w:val="22"/>
        </w:rPr>
        <w:t> </w:t>
      </w:r>
      <w:r>
        <w:rPr>
          <w:sz w:val="22"/>
        </w:rPr>
        <w:t>all</w:t>
      </w:r>
      <w:r>
        <w:rPr>
          <w:spacing w:val="-14"/>
          <w:sz w:val="22"/>
        </w:rPr>
        <w:t> </w:t>
      </w:r>
      <w:r>
        <w:rPr>
          <w:sz w:val="22"/>
        </w:rPr>
        <w:t>aspects</w:t>
      </w:r>
      <w:r>
        <w:rPr>
          <w:spacing w:val="-14"/>
          <w:sz w:val="22"/>
        </w:rPr>
        <w:t> </w:t>
      </w:r>
      <w:r>
        <w:rPr>
          <w:sz w:val="22"/>
        </w:rPr>
        <w:t>of</w:t>
      </w:r>
      <w:r>
        <w:rPr>
          <w:spacing w:val="-14"/>
          <w:sz w:val="22"/>
        </w:rPr>
        <w:t> </w:t>
      </w:r>
      <w:r>
        <w:rPr>
          <w:sz w:val="22"/>
        </w:rPr>
        <w:t>the</w:t>
      </w:r>
      <w:r>
        <w:rPr>
          <w:spacing w:val="-13"/>
          <w:sz w:val="22"/>
        </w:rPr>
        <w:t> </w:t>
      </w:r>
      <w:r>
        <w:rPr>
          <w:sz w:val="22"/>
        </w:rPr>
        <w:t>tenancy,</w:t>
      </w:r>
      <w:r>
        <w:rPr>
          <w:spacing w:val="-14"/>
          <w:sz w:val="22"/>
        </w:rPr>
        <w:t> </w:t>
      </w:r>
      <w:r>
        <w:rPr>
          <w:sz w:val="22"/>
        </w:rPr>
        <w:t>including,</w:t>
      </w:r>
      <w:r>
        <w:rPr>
          <w:spacing w:val="-14"/>
          <w:sz w:val="22"/>
        </w:rPr>
        <w:t> </w:t>
      </w:r>
      <w:r>
        <w:rPr>
          <w:sz w:val="22"/>
        </w:rPr>
        <w:t>when</w:t>
      </w:r>
      <w:r>
        <w:rPr>
          <w:spacing w:val="-14"/>
          <w:sz w:val="22"/>
        </w:rPr>
        <w:t> </w:t>
      </w:r>
      <w:r>
        <w:rPr>
          <w:sz w:val="22"/>
        </w:rPr>
        <w:t>needed,</w:t>
      </w:r>
      <w:r>
        <w:rPr>
          <w:spacing w:val="-13"/>
          <w:sz w:val="22"/>
        </w:rPr>
        <w:t> </w:t>
      </w:r>
      <w:r>
        <w:rPr>
          <w:sz w:val="22"/>
        </w:rPr>
        <w:t>legal advocacy (in the form of coaching, supporting, and educating the member) during negotiations with a landlord, and directing a member to appropriate sources of legal services.</w:t>
      </w:r>
    </w:p>
    <w:p>
      <w:pPr>
        <w:pStyle w:val="BodyText"/>
        <w:spacing w:before="11"/>
        <w:rPr>
          <w:sz w:val="21"/>
        </w:rPr>
      </w:pPr>
    </w:p>
    <w:p>
      <w:pPr>
        <w:pStyle w:val="ListParagraph"/>
        <w:numPr>
          <w:ilvl w:val="0"/>
          <w:numId w:val="122"/>
        </w:numPr>
        <w:tabs>
          <w:tab w:pos="2465" w:val="left" w:leader="none"/>
          <w:tab w:pos="2467" w:val="left" w:leader="none"/>
        </w:tabs>
        <w:spacing w:line="240" w:lineRule="auto" w:before="0" w:after="0"/>
        <w:ind w:left="2467" w:right="113" w:hanging="360"/>
        <w:jc w:val="both"/>
        <w:rPr>
          <w:sz w:val="22"/>
        </w:rPr>
      </w:pPr>
      <w:r>
        <w:rPr>
          <w:sz w:val="22"/>
        </w:rPr>
        <w:t>Assisting or providing the member with transportation to any of the tenancy sustaining supports when needed.</w:t>
      </w:r>
    </w:p>
    <w:p>
      <w:pPr>
        <w:pStyle w:val="BodyText"/>
        <w:spacing w:before="11"/>
        <w:rPr>
          <w:sz w:val="21"/>
        </w:rPr>
      </w:pPr>
    </w:p>
    <w:p>
      <w:pPr>
        <w:pStyle w:val="ListParagraph"/>
        <w:numPr>
          <w:ilvl w:val="0"/>
          <w:numId w:val="122"/>
        </w:numPr>
        <w:tabs>
          <w:tab w:pos="2465" w:val="left" w:leader="none"/>
          <w:tab w:pos="2467" w:val="left" w:leader="none"/>
        </w:tabs>
        <w:spacing w:line="240" w:lineRule="auto" w:before="0" w:after="0"/>
        <w:ind w:left="2467" w:right="114" w:hanging="360"/>
        <w:jc w:val="both"/>
        <w:rPr>
          <w:sz w:val="22"/>
        </w:rPr>
      </w:pPr>
      <w:r>
        <w:rPr>
          <w:sz w:val="22"/>
        </w:rPr>
        <w:t>Assisting</w:t>
      </w:r>
      <w:r>
        <w:rPr>
          <w:spacing w:val="-5"/>
          <w:sz w:val="22"/>
        </w:rPr>
        <w:t> </w:t>
      </w:r>
      <w:r>
        <w:rPr>
          <w:sz w:val="22"/>
        </w:rPr>
        <w:t>the</w:t>
      </w:r>
      <w:r>
        <w:rPr>
          <w:spacing w:val="-2"/>
          <w:sz w:val="22"/>
        </w:rPr>
        <w:t> </w:t>
      </w:r>
      <w:r>
        <w:rPr>
          <w:sz w:val="22"/>
        </w:rPr>
        <w:t>member</w:t>
      </w:r>
      <w:r>
        <w:rPr>
          <w:spacing w:val="-2"/>
          <w:sz w:val="22"/>
        </w:rPr>
        <w:t> </w:t>
      </w:r>
      <w:r>
        <w:rPr>
          <w:sz w:val="22"/>
        </w:rPr>
        <w:t>with</w:t>
      </w:r>
      <w:r>
        <w:rPr>
          <w:spacing w:val="-5"/>
          <w:sz w:val="22"/>
        </w:rPr>
        <w:t> </w:t>
      </w:r>
      <w:r>
        <w:rPr>
          <w:sz w:val="22"/>
        </w:rPr>
        <w:t>obtaining</w:t>
      </w:r>
      <w:r>
        <w:rPr>
          <w:spacing w:val="-5"/>
          <w:sz w:val="22"/>
        </w:rPr>
        <w:t> </w:t>
      </w:r>
      <w:r>
        <w:rPr>
          <w:sz w:val="22"/>
        </w:rPr>
        <w:t>or</w:t>
      </w:r>
      <w:r>
        <w:rPr>
          <w:spacing w:val="-1"/>
          <w:sz w:val="22"/>
        </w:rPr>
        <w:t> </w:t>
      </w:r>
      <w:r>
        <w:rPr>
          <w:sz w:val="22"/>
        </w:rPr>
        <w:t>improving</w:t>
      </w:r>
      <w:r>
        <w:rPr>
          <w:spacing w:val="-5"/>
          <w:sz w:val="22"/>
        </w:rPr>
        <w:t> </w:t>
      </w:r>
      <w:r>
        <w:rPr>
          <w:sz w:val="22"/>
        </w:rPr>
        <w:t>the</w:t>
      </w:r>
      <w:r>
        <w:rPr>
          <w:spacing w:val="-2"/>
          <w:sz w:val="22"/>
        </w:rPr>
        <w:t> </w:t>
      </w:r>
      <w:r>
        <w:rPr>
          <w:sz w:val="22"/>
        </w:rPr>
        <w:t>adaptive</w:t>
      </w:r>
      <w:r>
        <w:rPr>
          <w:spacing w:val="-2"/>
          <w:sz w:val="22"/>
        </w:rPr>
        <w:t> </w:t>
      </w:r>
      <w:r>
        <w:rPr>
          <w:sz w:val="22"/>
        </w:rPr>
        <w:t>skills</w:t>
      </w:r>
      <w:r>
        <w:rPr>
          <w:spacing w:val="-2"/>
          <w:sz w:val="22"/>
        </w:rPr>
        <w:t> </w:t>
      </w:r>
      <w:r>
        <w:rPr>
          <w:sz w:val="22"/>
        </w:rPr>
        <w:t>needed</w:t>
      </w:r>
      <w:r>
        <w:rPr>
          <w:spacing w:val="-5"/>
          <w:sz w:val="22"/>
        </w:rPr>
        <w:t> </w:t>
      </w:r>
      <w:r>
        <w:rPr>
          <w:sz w:val="22"/>
        </w:rPr>
        <w:t>to function and live independently and safely in the community and/or family home, including advising the member of the availability of community </w:t>
      </w:r>
      <w:r>
        <w:rPr>
          <w:spacing w:val="-2"/>
          <w:sz w:val="22"/>
        </w:rPr>
        <w:t>resources.</w:t>
      </w:r>
    </w:p>
    <w:p>
      <w:pPr>
        <w:pStyle w:val="BodyText"/>
        <w:spacing w:before="2"/>
        <w:rPr>
          <w:sz w:val="22"/>
        </w:rPr>
      </w:pPr>
    </w:p>
    <w:p>
      <w:pPr>
        <w:pStyle w:val="ListParagraph"/>
        <w:numPr>
          <w:ilvl w:val="2"/>
          <w:numId w:val="116"/>
        </w:numPr>
        <w:tabs>
          <w:tab w:pos="1199" w:val="left" w:leader="none"/>
        </w:tabs>
        <w:spacing w:line="240" w:lineRule="auto" w:before="0" w:after="0"/>
        <w:ind w:left="1199" w:right="0" w:hanging="359"/>
        <w:jc w:val="left"/>
        <w:rPr>
          <w:sz w:val="22"/>
        </w:rPr>
      </w:pPr>
      <w:r>
        <w:rPr>
          <w:b/>
          <w:sz w:val="22"/>
        </w:rPr>
        <w:t>Home</w:t>
      </w:r>
      <w:r>
        <w:rPr>
          <w:b/>
          <w:spacing w:val="-1"/>
          <w:sz w:val="22"/>
        </w:rPr>
        <w:t> </w:t>
      </w:r>
      <w:r>
        <w:rPr>
          <w:b/>
          <w:spacing w:val="-2"/>
          <w:sz w:val="22"/>
        </w:rPr>
        <w:t>Modifications</w:t>
      </w:r>
    </w:p>
    <w:p>
      <w:pPr>
        <w:pStyle w:val="BodyText"/>
        <w:spacing w:before="9"/>
        <w:rPr>
          <w:b/>
          <w:sz w:val="21"/>
        </w:rPr>
      </w:pPr>
    </w:p>
    <w:p>
      <w:pPr>
        <w:spacing w:before="0"/>
        <w:ind w:left="1199" w:right="114" w:firstLine="0"/>
        <w:jc w:val="both"/>
        <w:rPr>
          <w:sz w:val="22"/>
        </w:rPr>
      </w:pPr>
      <w:r>
        <w:rPr>
          <w:sz w:val="22"/>
        </w:rPr>
        <w:t>Home</w:t>
      </w:r>
      <w:r>
        <w:rPr>
          <w:spacing w:val="-14"/>
          <w:sz w:val="22"/>
        </w:rPr>
        <w:t> </w:t>
      </w:r>
      <w:r>
        <w:rPr>
          <w:sz w:val="22"/>
        </w:rPr>
        <w:t>Modifications</w:t>
      </w:r>
      <w:r>
        <w:rPr>
          <w:spacing w:val="-14"/>
          <w:sz w:val="22"/>
        </w:rPr>
        <w:t> </w:t>
      </w:r>
      <w:r>
        <w:rPr>
          <w:sz w:val="22"/>
        </w:rPr>
        <w:t>consist</w:t>
      </w:r>
      <w:r>
        <w:rPr>
          <w:spacing w:val="-12"/>
          <w:sz w:val="22"/>
        </w:rPr>
        <w:t> </w:t>
      </w:r>
      <w:r>
        <w:rPr>
          <w:sz w:val="22"/>
        </w:rPr>
        <w:t>of</w:t>
      </w:r>
      <w:r>
        <w:rPr>
          <w:spacing w:val="-12"/>
          <w:sz w:val="22"/>
        </w:rPr>
        <w:t> </w:t>
      </w:r>
      <w:r>
        <w:rPr>
          <w:sz w:val="22"/>
        </w:rPr>
        <w:t>limited</w:t>
      </w:r>
      <w:r>
        <w:rPr>
          <w:spacing w:val="-13"/>
          <w:sz w:val="22"/>
        </w:rPr>
        <w:t> </w:t>
      </w:r>
      <w:r>
        <w:rPr>
          <w:sz w:val="22"/>
        </w:rPr>
        <w:t>physical</w:t>
      </w:r>
      <w:r>
        <w:rPr>
          <w:spacing w:val="-12"/>
          <w:sz w:val="22"/>
        </w:rPr>
        <w:t> </w:t>
      </w:r>
      <w:r>
        <w:rPr>
          <w:sz w:val="22"/>
        </w:rPr>
        <w:t>adaptations</w:t>
      </w:r>
      <w:r>
        <w:rPr>
          <w:spacing w:val="-14"/>
          <w:sz w:val="22"/>
        </w:rPr>
        <w:t> </w:t>
      </w:r>
      <w:r>
        <w:rPr>
          <w:sz w:val="22"/>
        </w:rPr>
        <w:t>to</w:t>
      </w:r>
      <w:r>
        <w:rPr>
          <w:spacing w:val="-13"/>
          <w:sz w:val="22"/>
        </w:rPr>
        <w:t> </w:t>
      </w:r>
      <w:r>
        <w:rPr>
          <w:sz w:val="22"/>
        </w:rPr>
        <w:t>the</w:t>
      </w:r>
      <w:r>
        <w:rPr>
          <w:spacing w:val="-12"/>
          <w:sz w:val="22"/>
        </w:rPr>
        <w:t> </w:t>
      </w:r>
      <w:r>
        <w:rPr>
          <w:sz w:val="22"/>
        </w:rPr>
        <w:t>member’s</w:t>
      </w:r>
      <w:r>
        <w:rPr>
          <w:spacing w:val="-12"/>
          <w:sz w:val="22"/>
        </w:rPr>
        <w:t> </w:t>
      </w:r>
      <w:r>
        <w:rPr>
          <w:sz w:val="22"/>
        </w:rPr>
        <w:t>community-based dwelling, when necessary to ensure the member’s health, welfare, and safety, or to enable the member</w:t>
      </w:r>
      <w:r>
        <w:rPr>
          <w:spacing w:val="-6"/>
          <w:sz w:val="22"/>
        </w:rPr>
        <w:t> </w:t>
      </w:r>
      <w:r>
        <w:rPr>
          <w:sz w:val="22"/>
        </w:rPr>
        <w:t>to</w:t>
      </w:r>
      <w:r>
        <w:rPr>
          <w:spacing w:val="-7"/>
          <w:sz w:val="22"/>
        </w:rPr>
        <w:t> </w:t>
      </w:r>
      <w:r>
        <w:rPr>
          <w:sz w:val="22"/>
        </w:rPr>
        <w:t>function</w:t>
      </w:r>
      <w:r>
        <w:rPr>
          <w:spacing w:val="-9"/>
          <w:sz w:val="22"/>
        </w:rPr>
        <w:t> </w:t>
      </w:r>
      <w:r>
        <w:rPr>
          <w:sz w:val="22"/>
        </w:rPr>
        <w:t>independently</w:t>
      </w:r>
      <w:r>
        <w:rPr>
          <w:spacing w:val="-9"/>
          <w:sz w:val="22"/>
        </w:rPr>
        <w:t> </w:t>
      </w:r>
      <w:r>
        <w:rPr>
          <w:sz w:val="22"/>
        </w:rPr>
        <w:t>in</w:t>
      </w:r>
      <w:r>
        <w:rPr>
          <w:spacing w:val="-7"/>
          <w:sz w:val="22"/>
        </w:rPr>
        <w:t> </w:t>
      </w:r>
      <w:r>
        <w:rPr>
          <w:sz w:val="22"/>
        </w:rPr>
        <w:t>a</w:t>
      </w:r>
      <w:r>
        <w:rPr>
          <w:spacing w:val="-7"/>
          <w:sz w:val="22"/>
        </w:rPr>
        <w:t> </w:t>
      </w:r>
      <w:r>
        <w:rPr>
          <w:sz w:val="22"/>
        </w:rPr>
        <w:t>community-based</w:t>
      </w:r>
      <w:r>
        <w:rPr>
          <w:spacing w:val="-7"/>
          <w:sz w:val="22"/>
        </w:rPr>
        <w:t> </w:t>
      </w:r>
      <w:r>
        <w:rPr>
          <w:sz w:val="22"/>
        </w:rPr>
        <w:t>setting</w:t>
      </w:r>
      <w:r>
        <w:rPr>
          <w:spacing w:val="-9"/>
          <w:sz w:val="22"/>
        </w:rPr>
        <w:t> </w:t>
      </w:r>
      <w:r>
        <w:rPr>
          <w:sz w:val="22"/>
        </w:rPr>
        <w:t>(e.g.,</w:t>
      </w:r>
      <w:r>
        <w:rPr>
          <w:spacing w:val="-7"/>
          <w:sz w:val="22"/>
        </w:rPr>
        <w:t> </w:t>
      </w:r>
      <w:r>
        <w:rPr>
          <w:sz w:val="22"/>
        </w:rPr>
        <w:t>installation</w:t>
      </w:r>
      <w:r>
        <w:rPr>
          <w:spacing w:val="-9"/>
          <w:sz w:val="22"/>
        </w:rPr>
        <w:t> </w:t>
      </w:r>
      <w:r>
        <w:rPr>
          <w:sz w:val="22"/>
        </w:rPr>
        <w:t>of</w:t>
      </w:r>
      <w:r>
        <w:rPr>
          <w:spacing w:val="-6"/>
          <w:sz w:val="22"/>
        </w:rPr>
        <w:t> </w:t>
      </w:r>
      <w:r>
        <w:rPr>
          <w:sz w:val="22"/>
        </w:rPr>
        <w:t>grab</w:t>
      </w:r>
      <w:r>
        <w:rPr>
          <w:spacing w:val="-7"/>
          <w:sz w:val="22"/>
        </w:rPr>
        <w:t> </w:t>
      </w:r>
      <w:r>
        <w:rPr>
          <w:sz w:val="22"/>
        </w:rPr>
        <w:t>bars and hand showers, doorway modifications, in-home environmental risk assessments, refrigerators for medicine such as insulin, HEPA filters, vacuum cleaners, pest management supplies</w:t>
      </w:r>
      <w:r>
        <w:rPr>
          <w:spacing w:val="-13"/>
          <w:sz w:val="22"/>
        </w:rPr>
        <w:t> </w:t>
      </w:r>
      <w:r>
        <w:rPr>
          <w:sz w:val="22"/>
        </w:rPr>
        <w:t>and</w:t>
      </w:r>
      <w:r>
        <w:rPr>
          <w:spacing w:val="-14"/>
          <w:sz w:val="22"/>
        </w:rPr>
        <w:t> </w:t>
      </w:r>
      <w:r>
        <w:rPr>
          <w:sz w:val="22"/>
        </w:rPr>
        <w:t>services,</w:t>
      </w:r>
      <w:r>
        <w:rPr>
          <w:spacing w:val="-13"/>
          <w:sz w:val="22"/>
        </w:rPr>
        <w:t> </w:t>
      </w:r>
      <w:r>
        <w:rPr>
          <w:sz w:val="22"/>
        </w:rPr>
        <w:t>air</w:t>
      </w:r>
      <w:r>
        <w:rPr>
          <w:spacing w:val="-14"/>
          <w:sz w:val="22"/>
        </w:rPr>
        <w:t> </w:t>
      </w:r>
      <w:r>
        <w:rPr>
          <w:sz w:val="22"/>
        </w:rPr>
        <w:t>conditioner</w:t>
      </w:r>
      <w:r>
        <w:rPr>
          <w:spacing w:val="-12"/>
          <w:sz w:val="22"/>
        </w:rPr>
        <w:t> </w:t>
      </w:r>
      <w:r>
        <w:rPr>
          <w:sz w:val="22"/>
        </w:rPr>
        <w:t>units,</w:t>
      </w:r>
      <w:r>
        <w:rPr>
          <w:spacing w:val="28"/>
          <w:sz w:val="22"/>
        </w:rPr>
        <w:t> </w:t>
      </w:r>
      <w:r>
        <w:rPr>
          <w:sz w:val="22"/>
        </w:rPr>
        <w:t>hypoallergenic</w:t>
      </w:r>
      <w:r>
        <w:rPr>
          <w:spacing w:val="-13"/>
          <w:sz w:val="22"/>
        </w:rPr>
        <w:t> </w:t>
      </w:r>
      <w:r>
        <w:rPr>
          <w:sz w:val="22"/>
        </w:rPr>
        <w:t>mattress</w:t>
      </w:r>
      <w:r>
        <w:rPr>
          <w:spacing w:val="-12"/>
          <w:sz w:val="22"/>
        </w:rPr>
        <w:t> </w:t>
      </w:r>
      <w:r>
        <w:rPr>
          <w:sz w:val="22"/>
        </w:rPr>
        <w:t>and</w:t>
      </w:r>
      <w:r>
        <w:rPr>
          <w:spacing w:val="-13"/>
          <w:sz w:val="22"/>
        </w:rPr>
        <w:t> </w:t>
      </w:r>
      <w:r>
        <w:rPr>
          <w:sz w:val="22"/>
        </w:rPr>
        <w:t>pillow</w:t>
      </w:r>
      <w:r>
        <w:rPr>
          <w:spacing w:val="-14"/>
          <w:sz w:val="22"/>
        </w:rPr>
        <w:t> </w:t>
      </w:r>
      <w:r>
        <w:rPr>
          <w:sz w:val="22"/>
        </w:rPr>
        <w:t>covers,</w:t>
      </w:r>
      <w:r>
        <w:rPr>
          <w:spacing w:val="-14"/>
          <w:sz w:val="22"/>
        </w:rPr>
        <w:t> </w:t>
      </w:r>
      <w:r>
        <w:rPr>
          <w:sz w:val="22"/>
        </w:rPr>
        <w:t>traction or non-skid strips, night lights,</w:t>
      </w:r>
      <w:r>
        <w:rPr>
          <w:spacing w:val="-1"/>
          <w:sz w:val="22"/>
        </w:rPr>
        <w:t> </w:t>
      </w:r>
      <w:r>
        <w:rPr>
          <w:sz w:val="22"/>
        </w:rPr>
        <w:t>and</w:t>
      </w:r>
      <w:r>
        <w:rPr>
          <w:spacing w:val="-1"/>
          <w:sz w:val="22"/>
        </w:rPr>
        <w:t> </w:t>
      </w:r>
      <w:r>
        <w:rPr>
          <w:sz w:val="22"/>
        </w:rPr>
        <w:t>training</w:t>
      </w:r>
      <w:r>
        <w:rPr>
          <w:spacing w:val="-1"/>
          <w:sz w:val="22"/>
        </w:rPr>
        <w:t> </w:t>
      </w:r>
      <w:r>
        <w:rPr>
          <w:sz w:val="22"/>
        </w:rPr>
        <w:t>to</w:t>
      </w:r>
      <w:r>
        <w:rPr>
          <w:spacing w:val="-1"/>
          <w:sz w:val="22"/>
        </w:rPr>
        <w:t> </w:t>
      </w:r>
      <w:r>
        <w:rPr>
          <w:sz w:val="22"/>
        </w:rPr>
        <w:t>use such supplies and modifications correctly). The State will establish limits within this category, such as:</w:t>
      </w:r>
    </w:p>
    <w:p>
      <w:pPr>
        <w:pStyle w:val="BodyText"/>
        <w:spacing w:before="1"/>
        <w:rPr>
          <w:sz w:val="22"/>
        </w:rPr>
      </w:pPr>
    </w:p>
    <w:p>
      <w:pPr>
        <w:pStyle w:val="ListParagraph"/>
        <w:numPr>
          <w:ilvl w:val="0"/>
          <w:numId w:val="123"/>
        </w:numPr>
        <w:tabs>
          <w:tab w:pos="2465" w:val="left" w:leader="none"/>
          <w:tab w:pos="2467" w:val="left" w:leader="none"/>
        </w:tabs>
        <w:spacing w:line="240" w:lineRule="auto" w:before="0" w:after="0"/>
        <w:ind w:left="2467" w:right="116" w:hanging="361"/>
        <w:jc w:val="both"/>
        <w:rPr>
          <w:sz w:val="22"/>
        </w:rPr>
      </w:pPr>
      <w:r>
        <w:rPr>
          <w:sz w:val="22"/>
        </w:rPr>
        <w:t>Excluding those adaptations to the dwelling that are of general utility, and are not of direct medical or remedial benefit to the member.</w:t>
      </w:r>
    </w:p>
    <w:p>
      <w:pPr>
        <w:pStyle w:val="BodyText"/>
        <w:spacing w:before="10"/>
        <w:rPr>
          <w:sz w:val="21"/>
        </w:rPr>
      </w:pPr>
    </w:p>
    <w:p>
      <w:pPr>
        <w:pStyle w:val="ListParagraph"/>
        <w:numPr>
          <w:ilvl w:val="0"/>
          <w:numId w:val="123"/>
        </w:numPr>
        <w:tabs>
          <w:tab w:pos="2467" w:val="left" w:leader="none"/>
        </w:tabs>
        <w:spacing w:line="240" w:lineRule="auto" w:before="1" w:after="0"/>
        <w:ind w:left="2467" w:right="115" w:hanging="360"/>
        <w:jc w:val="both"/>
        <w:rPr>
          <w:sz w:val="22"/>
        </w:rPr>
      </w:pPr>
      <w:r>
        <w:rPr>
          <w:sz w:val="22"/>
        </w:rPr>
        <w:t>Excluding</w:t>
      </w:r>
      <w:r>
        <w:rPr>
          <w:spacing w:val="-10"/>
          <w:sz w:val="22"/>
        </w:rPr>
        <w:t> </w:t>
      </w:r>
      <w:r>
        <w:rPr>
          <w:sz w:val="22"/>
        </w:rPr>
        <w:t>adaptations</w:t>
      </w:r>
      <w:r>
        <w:rPr>
          <w:spacing w:val="-9"/>
          <w:sz w:val="22"/>
        </w:rPr>
        <w:t> </w:t>
      </w:r>
      <w:r>
        <w:rPr>
          <w:sz w:val="22"/>
        </w:rPr>
        <w:t>that</w:t>
      </w:r>
      <w:r>
        <w:rPr>
          <w:spacing w:val="-8"/>
          <w:sz w:val="22"/>
        </w:rPr>
        <w:t> </w:t>
      </w:r>
      <w:r>
        <w:rPr>
          <w:sz w:val="22"/>
        </w:rPr>
        <w:t>add</w:t>
      </w:r>
      <w:r>
        <w:rPr>
          <w:spacing w:val="-8"/>
          <w:sz w:val="22"/>
        </w:rPr>
        <w:t> </w:t>
      </w:r>
      <w:r>
        <w:rPr>
          <w:sz w:val="22"/>
        </w:rPr>
        <w:t>to</w:t>
      </w:r>
      <w:r>
        <w:rPr>
          <w:spacing w:val="-8"/>
          <w:sz w:val="22"/>
        </w:rPr>
        <w:t> </w:t>
      </w:r>
      <w:r>
        <w:rPr>
          <w:sz w:val="22"/>
        </w:rPr>
        <w:t>the</w:t>
      </w:r>
      <w:r>
        <w:rPr>
          <w:spacing w:val="-9"/>
          <w:sz w:val="22"/>
        </w:rPr>
        <w:t> </w:t>
      </w:r>
      <w:r>
        <w:rPr>
          <w:sz w:val="22"/>
        </w:rPr>
        <w:t>total</w:t>
      </w:r>
      <w:r>
        <w:rPr>
          <w:spacing w:val="-8"/>
          <w:sz w:val="22"/>
        </w:rPr>
        <w:t> </w:t>
      </w:r>
      <w:r>
        <w:rPr>
          <w:sz w:val="22"/>
        </w:rPr>
        <w:t>square</w:t>
      </w:r>
      <w:r>
        <w:rPr>
          <w:spacing w:val="-9"/>
          <w:sz w:val="22"/>
        </w:rPr>
        <w:t> </w:t>
      </w:r>
      <w:r>
        <w:rPr>
          <w:sz w:val="22"/>
        </w:rPr>
        <w:t>footage</w:t>
      </w:r>
      <w:r>
        <w:rPr>
          <w:spacing w:val="-8"/>
          <w:sz w:val="22"/>
        </w:rPr>
        <w:t> </w:t>
      </w:r>
      <w:r>
        <w:rPr>
          <w:sz w:val="22"/>
        </w:rPr>
        <w:t>of</w:t>
      </w:r>
      <w:r>
        <w:rPr>
          <w:spacing w:val="-7"/>
          <w:sz w:val="22"/>
        </w:rPr>
        <w:t> </w:t>
      </w:r>
      <w:r>
        <w:rPr>
          <w:sz w:val="22"/>
        </w:rPr>
        <w:t>the</w:t>
      </w:r>
      <w:r>
        <w:rPr>
          <w:spacing w:val="-8"/>
          <w:sz w:val="22"/>
        </w:rPr>
        <w:t> </w:t>
      </w:r>
      <w:r>
        <w:rPr>
          <w:sz w:val="22"/>
        </w:rPr>
        <w:t>dwelling</w:t>
      </w:r>
      <w:r>
        <w:rPr>
          <w:spacing w:val="-10"/>
          <w:sz w:val="22"/>
        </w:rPr>
        <w:t> </w:t>
      </w:r>
      <w:r>
        <w:rPr>
          <w:sz w:val="22"/>
        </w:rPr>
        <w:t>except when necessary to complete an adaptation (e.g., in order to improve entrance/egress to a residence or to configure a bathroom to accommodate a </w:t>
      </w:r>
      <w:r>
        <w:rPr>
          <w:spacing w:val="-2"/>
          <w:sz w:val="22"/>
        </w:rPr>
        <w:t>wheelchair).</w:t>
      </w:r>
    </w:p>
    <w:p>
      <w:pPr>
        <w:pStyle w:val="BodyText"/>
        <w:spacing w:before="10"/>
        <w:rPr>
          <w:sz w:val="21"/>
        </w:rPr>
      </w:pPr>
    </w:p>
    <w:p>
      <w:pPr>
        <w:pStyle w:val="ListParagraph"/>
        <w:numPr>
          <w:ilvl w:val="0"/>
          <w:numId w:val="123"/>
        </w:numPr>
        <w:tabs>
          <w:tab w:pos="2465" w:val="left" w:leader="none"/>
          <w:tab w:pos="2467" w:val="left" w:leader="none"/>
        </w:tabs>
        <w:spacing w:line="244" w:lineRule="auto" w:before="1" w:after="0"/>
        <w:ind w:left="2467" w:right="116" w:hanging="361"/>
        <w:jc w:val="both"/>
        <w:rPr>
          <w:sz w:val="22"/>
        </w:rPr>
      </w:pPr>
      <w:r>
        <w:rPr>
          <w:sz w:val="22"/>
        </w:rPr>
        <w:t>Excluding</w:t>
      </w:r>
      <w:r>
        <w:rPr>
          <w:spacing w:val="-14"/>
          <w:sz w:val="22"/>
        </w:rPr>
        <w:t> </w:t>
      </w:r>
      <w:r>
        <w:rPr>
          <w:sz w:val="22"/>
        </w:rPr>
        <w:t>adaptations</w:t>
      </w:r>
      <w:r>
        <w:rPr>
          <w:spacing w:val="-13"/>
          <w:sz w:val="22"/>
        </w:rPr>
        <w:t> </w:t>
      </w:r>
      <w:r>
        <w:rPr>
          <w:sz w:val="22"/>
        </w:rPr>
        <w:t>which</w:t>
      </w:r>
      <w:r>
        <w:rPr>
          <w:spacing w:val="-12"/>
          <w:sz w:val="22"/>
        </w:rPr>
        <w:t> </w:t>
      </w:r>
      <w:r>
        <w:rPr>
          <w:sz w:val="22"/>
        </w:rPr>
        <w:t>would</w:t>
      </w:r>
      <w:r>
        <w:rPr>
          <w:spacing w:val="-13"/>
          <w:sz w:val="22"/>
        </w:rPr>
        <w:t> </w:t>
      </w:r>
      <w:r>
        <w:rPr>
          <w:sz w:val="22"/>
        </w:rPr>
        <w:t>normally</w:t>
      </w:r>
      <w:r>
        <w:rPr>
          <w:spacing w:val="-14"/>
          <w:sz w:val="22"/>
        </w:rPr>
        <w:t> </w:t>
      </w:r>
      <w:r>
        <w:rPr>
          <w:sz w:val="22"/>
        </w:rPr>
        <w:t>be</w:t>
      </w:r>
      <w:r>
        <w:rPr>
          <w:spacing w:val="-12"/>
          <w:sz w:val="22"/>
        </w:rPr>
        <w:t> </w:t>
      </w:r>
      <w:r>
        <w:rPr>
          <w:sz w:val="22"/>
        </w:rPr>
        <w:t>considered</w:t>
      </w:r>
      <w:r>
        <w:rPr>
          <w:spacing w:val="-14"/>
          <w:sz w:val="22"/>
        </w:rPr>
        <w:t> </w:t>
      </w:r>
      <w:r>
        <w:rPr>
          <w:sz w:val="22"/>
        </w:rPr>
        <w:t>the</w:t>
      </w:r>
      <w:r>
        <w:rPr>
          <w:spacing w:val="-12"/>
          <w:sz w:val="22"/>
        </w:rPr>
        <w:t> </w:t>
      </w:r>
      <w:r>
        <w:rPr>
          <w:sz w:val="22"/>
        </w:rPr>
        <w:t>responsibility</w:t>
      </w:r>
      <w:r>
        <w:rPr>
          <w:spacing w:val="-14"/>
          <w:sz w:val="22"/>
        </w:rPr>
        <w:t> </w:t>
      </w:r>
      <w:r>
        <w:rPr>
          <w:sz w:val="22"/>
        </w:rPr>
        <w:t>of the landlord.</w:t>
      </w:r>
    </w:p>
    <w:p>
      <w:pPr>
        <w:pStyle w:val="ListParagraph"/>
        <w:numPr>
          <w:ilvl w:val="1"/>
          <w:numId w:val="116"/>
        </w:numPr>
        <w:tabs>
          <w:tab w:pos="838" w:val="left" w:leader="none"/>
        </w:tabs>
        <w:spacing w:line="240" w:lineRule="auto" w:before="191" w:after="0"/>
        <w:ind w:left="838" w:right="0" w:hanging="358"/>
        <w:jc w:val="left"/>
        <w:rPr>
          <w:b/>
          <w:sz w:val="22"/>
        </w:rPr>
      </w:pPr>
      <w:bookmarkStart w:name="B. Nutrition Sustaining Supports" w:id="1560"/>
      <w:bookmarkEnd w:id="1560"/>
      <w:r>
        <w:rPr/>
      </w:r>
      <w:r>
        <w:rPr>
          <w:b/>
          <w:sz w:val="22"/>
        </w:rPr>
        <w:t>Nutrition</w:t>
      </w:r>
      <w:r>
        <w:rPr>
          <w:b/>
          <w:spacing w:val="-8"/>
          <w:sz w:val="22"/>
        </w:rPr>
        <w:t> </w:t>
      </w:r>
      <w:r>
        <w:rPr>
          <w:b/>
          <w:sz w:val="22"/>
        </w:rPr>
        <w:t>Sustaining</w:t>
      </w:r>
      <w:r>
        <w:rPr>
          <w:b/>
          <w:spacing w:val="-6"/>
          <w:sz w:val="22"/>
        </w:rPr>
        <w:t> </w:t>
      </w:r>
      <w:r>
        <w:rPr>
          <w:b/>
          <w:spacing w:val="-2"/>
          <w:sz w:val="22"/>
        </w:rPr>
        <w:t>Supports</w:t>
      </w:r>
    </w:p>
    <w:p>
      <w:pPr>
        <w:spacing w:before="201"/>
        <w:ind w:left="479" w:right="0" w:firstLine="0"/>
        <w:jc w:val="left"/>
        <w:rPr>
          <w:sz w:val="22"/>
        </w:rPr>
      </w:pPr>
      <w:r>
        <w:rPr>
          <w:sz w:val="22"/>
        </w:rPr>
        <w:t>Nutrition</w:t>
      </w:r>
      <w:r>
        <w:rPr>
          <w:spacing w:val="-4"/>
          <w:sz w:val="22"/>
        </w:rPr>
        <w:t> </w:t>
      </w:r>
      <w:r>
        <w:rPr>
          <w:sz w:val="22"/>
        </w:rPr>
        <w:t>Sustaining</w:t>
      </w:r>
      <w:r>
        <w:rPr>
          <w:spacing w:val="-6"/>
          <w:sz w:val="22"/>
        </w:rPr>
        <w:t> </w:t>
      </w:r>
      <w:r>
        <w:rPr>
          <w:sz w:val="22"/>
        </w:rPr>
        <w:t>Supports</w:t>
      </w:r>
      <w:r>
        <w:rPr>
          <w:spacing w:val="-5"/>
          <w:sz w:val="22"/>
        </w:rPr>
        <w:t> </w:t>
      </w:r>
      <w:r>
        <w:rPr>
          <w:sz w:val="22"/>
        </w:rPr>
        <w:t>(NSS)</w:t>
      </w:r>
      <w:r>
        <w:rPr>
          <w:spacing w:val="-5"/>
          <w:sz w:val="22"/>
        </w:rPr>
        <w:t> </w:t>
      </w:r>
      <w:r>
        <w:rPr>
          <w:sz w:val="22"/>
        </w:rPr>
        <w:t>include</w:t>
      </w:r>
      <w:r>
        <w:rPr>
          <w:spacing w:val="-5"/>
          <w:sz w:val="22"/>
        </w:rPr>
        <w:t> </w:t>
      </w:r>
      <w:r>
        <w:rPr>
          <w:sz w:val="22"/>
        </w:rPr>
        <w:t>one</w:t>
      </w:r>
      <w:r>
        <w:rPr>
          <w:spacing w:val="-3"/>
          <w:sz w:val="22"/>
        </w:rPr>
        <w:t> </w:t>
      </w:r>
      <w:r>
        <w:rPr>
          <w:sz w:val="22"/>
        </w:rPr>
        <w:t>or</w:t>
      </w:r>
      <w:r>
        <w:rPr>
          <w:spacing w:val="-2"/>
          <w:sz w:val="22"/>
        </w:rPr>
        <w:t> </w:t>
      </w:r>
      <w:r>
        <w:rPr>
          <w:sz w:val="22"/>
        </w:rPr>
        <w:t>more</w:t>
      </w:r>
      <w:r>
        <w:rPr>
          <w:spacing w:val="-3"/>
          <w:sz w:val="22"/>
        </w:rPr>
        <w:t> </w:t>
      </w:r>
      <w:r>
        <w:rPr>
          <w:sz w:val="22"/>
        </w:rPr>
        <w:t>of</w:t>
      </w:r>
      <w:r>
        <w:rPr>
          <w:spacing w:val="-2"/>
          <w:sz w:val="22"/>
        </w:rPr>
        <w:t> </w:t>
      </w:r>
      <w:r>
        <w:rPr>
          <w:sz w:val="22"/>
        </w:rPr>
        <w:t>the</w:t>
      </w:r>
      <w:r>
        <w:rPr>
          <w:spacing w:val="-4"/>
          <w:sz w:val="22"/>
        </w:rPr>
        <w:t> </w:t>
      </w:r>
      <w:r>
        <w:rPr>
          <w:sz w:val="22"/>
        </w:rPr>
        <w:t>following</w:t>
      </w:r>
      <w:r>
        <w:rPr>
          <w:spacing w:val="-5"/>
          <w:sz w:val="22"/>
        </w:rPr>
        <w:t> </w:t>
      </w:r>
      <w:r>
        <w:rPr>
          <w:spacing w:val="-2"/>
          <w:sz w:val="22"/>
        </w:rPr>
        <w:t>services:</w:t>
      </w:r>
    </w:p>
    <w:p>
      <w:pPr>
        <w:pStyle w:val="ListParagraph"/>
        <w:numPr>
          <w:ilvl w:val="2"/>
          <w:numId w:val="116"/>
        </w:numPr>
        <w:tabs>
          <w:tab w:pos="1199" w:val="left" w:leader="none"/>
        </w:tabs>
        <w:spacing w:line="240" w:lineRule="auto" w:before="198" w:after="0"/>
        <w:ind w:left="1199" w:right="0" w:hanging="525"/>
        <w:jc w:val="left"/>
        <w:rPr>
          <w:sz w:val="22"/>
        </w:rPr>
      </w:pPr>
      <w:r>
        <w:rPr>
          <w:sz w:val="22"/>
        </w:rPr>
        <w:t>The</w:t>
      </w:r>
      <w:r>
        <w:rPr>
          <w:spacing w:val="-7"/>
          <w:sz w:val="22"/>
        </w:rPr>
        <w:t> </w:t>
      </w:r>
      <w:r>
        <w:rPr>
          <w:sz w:val="22"/>
        </w:rPr>
        <w:t>provision</w:t>
      </w:r>
      <w:r>
        <w:rPr>
          <w:spacing w:val="-4"/>
          <w:sz w:val="22"/>
        </w:rPr>
        <w:t> </w:t>
      </w:r>
      <w:r>
        <w:rPr>
          <w:sz w:val="22"/>
        </w:rPr>
        <w:t>of</w:t>
      </w:r>
      <w:r>
        <w:rPr>
          <w:spacing w:val="-3"/>
          <w:sz w:val="22"/>
        </w:rPr>
        <w:t> </w:t>
      </w:r>
      <w:r>
        <w:rPr>
          <w:sz w:val="22"/>
        </w:rPr>
        <w:t>healthy,</w:t>
      </w:r>
      <w:r>
        <w:rPr>
          <w:spacing w:val="-5"/>
          <w:sz w:val="22"/>
        </w:rPr>
        <w:t> </w:t>
      </w:r>
      <w:r>
        <w:rPr>
          <w:sz w:val="22"/>
        </w:rPr>
        <w:t>well-balanced,</w:t>
      </w:r>
      <w:r>
        <w:rPr>
          <w:spacing w:val="-4"/>
          <w:sz w:val="22"/>
        </w:rPr>
        <w:t> </w:t>
      </w:r>
      <w:r>
        <w:rPr>
          <w:sz w:val="22"/>
        </w:rPr>
        <w:t>home-delivered</w:t>
      </w:r>
      <w:r>
        <w:rPr>
          <w:spacing w:val="-4"/>
          <w:sz w:val="22"/>
        </w:rPr>
        <w:t> </w:t>
      </w:r>
      <w:r>
        <w:rPr>
          <w:sz w:val="22"/>
        </w:rPr>
        <w:t>meals</w:t>
      </w:r>
      <w:r>
        <w:rPr>
          <w:spacing w:val="-5"/>
          <w:sz w:val="22"/>
        </w:rPr>
        <w:t> </w:t>
      </w:r>
      <w:r>
        <w:rPr>
          <w:sz w:val="22"/>
        </w:rPr>
        <w:t>for</w:t>
      </w:r>
      <w:r>
        <w:rPr>
          <w:spacing w:val="-3"/>
          <w:sz w:val="22"/>
        </w:rPr>
        <w:t> </w:t>
      </w:r>
      <w:r>
        <w:rPr>
          <w:sz w:val="22"/>
        </w:rPr>
        <w:t>the</w:t>
      </w:r>
      <w:r>
        <w:rPr>
          <w:spacing w:val="-4"/>
          <w:sz w:val="22"/>
        </w:rPr>
        <w:t> </w:t>
      </w:r>
      <w:r>
        <w:rPr>
          <w:spacing w:val="-2"/>
          <w:sz w:val="22"/>
        </w:rPr>
        <w:t>member.</w:t>
      </w:r>
    </w:p>
    <w:p>
      <w:pPr>
        <w:pStyle w:val="BodyText"/>
        <w:rPr>
          <w:sz w:val="22"/>
        </w:rPr>
      </w:pPr>
    </w:p>
    <w:p>
      <w:pPr>
        <w:pStyle w:val="ListParagraph"/>
        <w:numPr>
          <w:ilvl w:val="2"/>
          <w:numId w:val="116"/>
        </w:numPr>
        <w:tabs>
          <w:tab w:pos="1197" w:val="left" w:leader="none"/>
          <w:tab w:pos="1199" w:val="left" w:leader="none"/>
        </w:tabs>
        <w:spacing w:line="240" w:lineRule="auto" w:before="0" w:after="0"/>
        <w:ind w:left="1199" w:right="115" w:hanging="526"/>
        <w:jc w:val="both"/>
        <w:rPr>
          <w:sz w:val="22"/>
        </w:rPr>
      </w:pPr>
      <w:r>
        <w:rPr>
          <w:sz w:val="22"/>
        </w:rPr>
        <w:t>Assisting</w:t>
      </w:r>
      <w:r>
        <w:rPr>
          <w:spacing w:val="-12"/>
          <w:sz w:val="22"/>
        </w:rPr>
        <w:t> </w:t>
      </w:r>
      <w:r>
        <w:rPr>
          <w:sz w:val="22"/>
        </w:rPr>
        <w:t>the</w:t>
      </w:r>
      <w:r>
        <w:rPr>
          <w:spacing w:val="-9"/>
          <w:sz w:val="22"/>
        </w:rPr>
        <w:t> </w:t>
      </w:r>
      <w:r>
        <w:rPr>
          <w:sz w:val="22"/>
        </w:rPr>
        <w:t>member</w:t>
      </w:r>
      <w:r>
        <w:rPr>
          <w:spacing w:val="-9"/>
          <w:sz w:val="22"/>
        </w:rPr>
        <w:t> </w:t>
      </w:r>
      <w:r>
        <w:rPr>
          <w:sz w:val="22"/>
        </w:rPr>
        <w:t>with</w:t>
      </w:r>
      <w:r>
        <w:rPr>
          <w:spacing w:val="-14"/>
          <w:sz w:val="22"/>
        </w:rPr>
        <w:t> </w:t>
      </w:r>
      <w:r>
        <w:rPr>
          <w:sz w:val="22"/>
        </w:rPr>
        <w:t>obtaining</w:t>
      </w:r>
      <w:r>
        <w:rPr>
          <w:spacing w:val="-12"/>
          <w:sz w:val="22"/>
        </w:rPr>
        <w:t> </w:t>
      </w:r>
      <w:r>
        <w:rPr>
          <w:sz w:val="22"/>
        </w:rPr>
        <w:t>discretionary</w:t>
      </w:r>
      <w:r>
        <w:rPr>
          <w:spacing w:val="-12"/>
          <w:sz w:val="22"/>
        </w:rPr>
        <w:t> </w:t>
      </w:r>
      <w:r>
        <w:rPr>
          <w:sz w:val="22"/>
        </w:rPr>
        <w:t>or</w:t>
      </w:r>
      <w:r>
        <w:rPr>
          <w:spacing w:val="-9"/>
          <w:sz w:val="22"/>
        </w:rPr>
        <w:t> </w:t>
      </w:r>
      <w:r>
        <w:rPr>
          <w:sz w:val="22"/>
        </w:rPr>
        <w:t>entitlement</w:t>
      </w:r>
      <w:r>
        <w:rPr>
          <w:spacing w:val="-9"/>
          <w:sz w:val="22"/>
        </w:rPr>
        <w:t> </w:t>
      </w:r>
      <w:r>
        <w:rPr>
          <w:sz w:val="22"/>
        </w:rPr>
        <w:t>benefits</w:t>
      </w:r>
      <w:r>
        <w:rPr>
          <w:spacing w:val="-9"/>
          <w:sz w:val="22"/>
        </w:rPr>
        <w:t> </w:t>
      </w:r>
      <w:r>
        <w:rPr>
          <w:sz w:val="22"/>
        </w:rPr>
        <w:t>and</w:t>
      </w:r>
      <w:r>
        <w:rPr>
          <w:spacing w:val="-10"/>
          <w:sz w:val="22"/>
        </w:rPr>
        <w:t> </w:t>
      </w:r>
      <w:r>
        <w:rPr>
          <w:sz w:val="22"/>
        </w:rPr>
        <w:t>credit,</w:t>
      </w:r>
      <w:r>
        <w:rPr>
          <w:spacing w:val="-12"/>
          <w:sz w:val="22"/>
        </w:rPr>
        <w:t> </w:t>
      </w:r>
      <w:r>
        <w:rPr>
          <w:sz w:val="22"/>
        </w:rPr>
        <w:t>including but not limited to, completing, filing, and monitoring applications as well as obtaining and correcting the documentation needed to complete such applications.</w:t>
      </w:r>
    </w:p>
    <w:p>
      <w:pPr>
        <w:pStyle w:val="BodyText"/>
        <w:spacing w:before="10"/>
        <w:rPr>
          <w:sz w:val="21"/>
        </w:rPr>
      </w:pPr>
    </w:p>
    <w:p>
      <w:pPr>
        <w:pStyle w:val="ListParagraph"/>
        <w:numPr>
          <w:ilvl w:val="2"/>
          <w:numId w:val="116"/>
        </w:numPr>
        <w:tabs>
          <w:tab w:pos="1199" w:val="left" w:leader="none"/>
        </w:tabs>
        <w:spacing w:line="240" w:lineRule="auto" w:before="0" w:after="0"/>
        <w:ind w:left="1199" w:right="0" w:hanging="525"/>
        <w:jc w:val="left"/>
        <w:rPr>
          <w:sz w:val="22"/>
        </w:rPr>
      </w:pPr>
      <w:r>
        <w:rPr>
          <w:sz w:val="22"/>
        </w:rPr>
        <w:t>Providing,</w:t>
      </w:r>
      <w:r>
        <w:rPr>
          <w:spacing w:val="-3"/>
          <w:sz w:val="22"/>
        </w:rPr>
        <w:t> </w:t>
      </w:r>
      <w:r>
        <w:rPr>
          <w:sz w:val="22"/>
        </w:rPr>
        <w:t>or</w:t>
      </w:r>
      <w:r>
        <w:rPr>
          <w:spacing w:val="-4"/>
          <w:sz w:val="22"/>
        </w:rPr>
        <w:t> </w:t>
      </w:r>
      <w:r>
        <w:rPr>
          <w:sz w:val="22"/>
        </w:rPr>
        <w:t>assisting</w:t>
      </w:r>
      <w:r>
        <w:rPr>
          <w:spacing w:val="-6"/>
          <w:sz w:val="22"/>
        </w:rPr>
        <w:t> </w:t>
      </w:r>
      <w:r>
        <w:rPr>
          <w:sz w:val="22"/>
        </w:rPr>
        <w:t>with</w:t>
      </w:r>
      <w:r>
        <w:rPr>
          <w:spacing w:val="-5"/>
          <w:sz w:val="22"/>
        </w:rPr>
        <w:t> </w:t>
      </w:r>
      <w:r>
        <w:rPr>
          <w:sz w:val="22"/>
        </w:rPr>
        <w:t>locating</w:t>
      </w:r>
      <w:r>
        <w:rPr>
          <w:spacing w:val="-5"/>
          <w:sz w:val="22"/>
        </w:rPr>
        <w:t> </w:t>
      </w:r>
      <w:r>
        <w:rPr>
          <w:sz w:val="22"/>
        </w:rPr>
        <w:t>nutrition</w:t>
      </w:r>
      <w:r>
        <w:rPr>
          <w:spacing w:val="-5"/>
          <w:sz w:val="22"/>
        </w:rPr>
        <w:t> </w:t>
      </w:r>
      <w:r>
        <w:rPr>
          <w:sz w:val="22"/>
        </w:rPr>
        <w:t>education</w:t>
      </w:r>
      <w:r>
        <w:rPr>
          <w:spacing w:val="-3"/>
          <w:sz w:val="22"/>
        </w:rPr>
        <w:t> </w:t>
      </w:r>
      <w:r>
        <w:rPr>
          <w:sz w:val="22"/>
        </w:rPr>
        <w:t>and</w:t>
      </w:r>
      <w:r>
        <w:rPr>
          <w:spacing w:val="-2"/>
          <w:sz w:val="22"/>
        </w:rPr>
        <w:t> </w:t>
      </w:r>
      <w:r>
        <w:rPr>
          <w:sz w:val="22"/>
        </w:rPr>
        <w:t>skills</w:t>
      </w:r>
      <w:r>
        <w:rPr>
          <w:spacing w:val="-4"/>
          <w:sz w:val="22"/>
        </w:rPr>
        <w:t> </w:t>
      </w:r>
      <w:r>
        <w:rPr>
          <w:spacing w:val="-2"/>
          <w:sz w:val="22"/>
        </w:rPr>
        <w:t>development.</w:t>
      </w:r>
    </w:p>
    <w:p>
      <w:pPr>
        <w:spacing w:after="0" w:line="240" w:lineRule="auto"/>
        <w:jc w:val="left"/>
        <w:rPr>
          <w:sz w:val="22"/>
        </w:rPr>
        <w:sectPr>
          <w:pgSz w:w="12240" w:h="15840"/>
          <w:pgMar w:header="0" w:footer="1240" w:top="640" w:bottom="1420" w:left="1320" w:right="1320"/>
        </w:sectPr>
      </w:pPr>
    </w:p>
    <w:p>
      <w:pPr>
        <w:spacing w:before="80"/>
        <w:ind w:left="120" w:right="0" w:firstLine="0"/>
        <w:jc w:val="left"/>
        <w:rPr>
          <w:sz w:val="20"/>
        </w:rPr>
      </w:pPr>
      <w:r>
        <w:rPr>
          <w:spacing w:val="-2"/>
          <w:sz w:val="20"/>
        </w:rPr>
        <w:t>Attachment</w:t>
      </w:r>
      <w:r>
        <w:rPr>
          <w:spacing w:val="6"/>
          <w:sz w:val="20"/>
        </w:rPr>
        <w:t> </w:t>
      </w:r>
      <w:r>
        <w:rPr>
          <w:spacing w:val="-10"/>
          <w:sz w:val="20"/>
        </w:rPr>
        <w:t>R</w:t>
      </w:r>
    </w:p>
    <w:p>
      <w:pPr>
        <w:pStyle w:val="BodyText"/>
        <w:rPr>
          <w:sz w:val="20"/>
        </w:rPr>
      </w:pPr>
    </w:p>
    <w:p>
      <w:pPr>
        <w:pStyle w:val="BodyText"/>
        <w:spacing w:before="5"/>
        <w:rPr>
          <w:sz w:val="22"/>
        </w:rPr>
      </w:pPr>
    </w:p>
    <w:p>
      <w:pPr>
        <w:pStyle w:val="ListParagraph"/>
        <w:numPr>
          <w:ilvl w:val="2"/>
          <w:numId w:val="116"/>
        </w:numPr>
        <w:tabs>
          <w:tab w:pos="1199" w:val="left" w:leader="none"/>
        </w:tabs>
        <w:spacing w:line="240" w:lineRule="auto" w:before="0" w:after="0"/>
        <w:ind w:left="1199" w:right="115" w:hanging="526"/>
        <w:jc w:val="left"/>
        <w:rPr>
          <w:sz w:val="22"/>
        </w:rPr>
      </w:pPr>
      <w:r>
        <w:rPr>
          <w:sz w:val="22"/>
        </w:rPr>
        <w:t>Assisting</w:t>
      </w:r>
      <w:r>
        <w:rPr>
          <w:spacing w:val="-15"/>
          <w:sz w:val="22"/>
        </w:rPr>
        <w:t> </w:t>
      </w:r>
      <w:r>
        <w:rPr>
          <w:sz w:val="22"/>
        </w:rPr>
        <w:t>or</w:t>
      </w:r>
      <w:r>
        <w:rPr>
          <w:spacing w:val="-14"/>
          <w:sz w:val="22"/>
        </w:rPr>
        <w:t> </w:t>
      </w:r>
      <w:r>
        <w:rPr>
          <w:sz w:val="22"/>
        </w:rPr>
        <w:t>providing</w:t>
      </w:r>
      <w:r>
        <w:rPr>
          <w:spacing w:val="-15"/>
          <w:sz w:val="22"/>
        </w:rPr>
        <w:t> </w:t>
      </w:r>
      <w:r>
        <w:rPr>
          <w:sz w:val="22"/>
        </w:rPr>
        <w:t>the</w:t>
      </w:r>
      <w:r>
        <w:rPr>
          <w:spacing w:val="-14"/>
          <w:sz w:val="22"/>
        </w:rPr>
        <w:t> </w:t>
      </w:r>
      <w:r>
        <w:rPr>
          <w:sz w:val="22"/>
        </w:rPr>
        <w:t>member</w:t>
      </w:r>
      <w:r>
        <w:rPr>
          <w:spacing w:val="-14"/>
          <w:sz w:val="22"/>
        </w:rPr>
        <w:t> </w:t>
      </w:r>
      <w:r>
        <w:rPr>
          <w:sz w:val="22"/>
        </w:rPr>
        <w:t>with</w:t>
      </w:r>
      <w:r>
        <w:rPr>
          <w:spacing w:val="-14"/>
          <w:sz w:val="22"/>
        </w:rPr>
        <w:t> </w:t>
      </w:r>
      <w:r>
        <w:rPr>
          <w:sz w:val="22"/>
        </w:rPr>
        <w:t>transportation</w:t>
      </w:r>
      <w:r>
        <w:rPr>
          <w:spacing w:val="-15"/>
          <w:sz w:val="22"/>
        </w:rPr>
        <w:t> </w:t>
      </w:r>
      <w:r>
        <w:rPr>
          <w:sz w:val="22"/>
        </w:rPr>
        <w:t>to</w:t>
      </w:r>
      <w:r>
        <w:rPr>
          <w:spacing w:val="-12"/>
          <w:sz w:val="22"/>
        </w:rPr>
        <w:t> </w:t>
      </w:r>
      <w:r>
        <w:rPr>
          <w:sz w:val="22"/>
        </w:rPr>
        <w:t>any</w:t>
      </w:r>
      <w:r>
        <w:rPr>
          <w:spacing w:val="-15"/>
          <w:sz w:val="22"/>
        </w:rPr>
        <w:t> </w:t>
      </w:r>
      <w:r>
        <w:rPr>
          <w:sz w:val="22"/>
        </w:rPr>
        <w:t>of</w:t>
      </w:r>
      <w:r>
        <w:rPr>
          <w:spacing w:val="-12"/>
          <w:sz w:val="22"/>
        </w:rPr>
        <w:t> </w:t>
      </w:r>
      <w:r>
        <w:rPr>
          <w:sz w:val="22"/>
        </w:rPr>
        <w:t>the</w:t>
      </w:r>
      <w:r>
        <w:rPr>
          <w:spacing w:val="-13"/>
          <w:sz w:val="22"/>
        </w:rPr>
        <w:t> </w:t>
      </w:r>
      <w:r>
        <w:rPr>
          <w:sz w:val="22"/>
        </w:rPr>
        <w:t>nutrition</w:t>
      </w:r>
      <w:r>
        <w:rPr>
          <w:spacing w:val="-13"/>
          <w:sz w:val="22"/>
        </w:rPr>
        <w:t> </w:t>
      </w:r>
      <w:r>
        <w:rPr>
          <w:sz w:val="22"/>
        </w:rPr>
        <w:t>sustaining</w:t>
      </w:r>
      <w:r>
        <w:rPr>
          <w:spacing w:val="-15"/>
          <w:sz w:val="22"/>
        </w:rPr>
        <w:t> </w:t>
      </w:r>
      <w:r>
        <w:rPr>
          <w:sz w:val="22"/>
        </w:rPr>
        <w:t>support services or supporting the member’s ability to meet nutritional and dietary needs.</w:t>
      </w:r>
    </w:p>
    <w:p>
      <w:pPr>
        <w:pStyle w:val="BodyText"/>
        <w:spacing w:before="11"/>
        <w:rPr>
          <w:sz w:val="21"/>
        </w:rPr>
      </w:pPr>
    </w:p>
    <w:p>
      <w:pPr>
        <w:pStyle w:val="ListParagraph"/>
        <w:numPr>
          <w:ilvl w:val="2"/>
          <w:numId w:val="116"/>
        </w:numPr>
        <w:tabs>
          <w:tab w:pos="1199" w:val="left" w:leader="none"/>
        </w:tabs>
        <w:spacing w:line="240" w:lineRule="auto" w:before="0" w:after="0"/>
        <w:ind w:left="1199" w:right="118" w:hanging="526"/>
        <w:jc w:val="left"/>
        <w:rPr>
          <w:sz w:val="22"/>
        </w:rPr>
      </w:pPr>
      <w:r>
        <w:rPr>
          <w:sz w:val="22"/>
        </w:rPr>
        <w:t>Assisting</w:t>
      </w:r>
      <w:r>
        <w:rPr>
          <w:spacing w:val="-5"/>
          <w:sz w:val="22"/>
        </w:rPr>
        <w:t> </w:t>
      </w:r>
      <w:r>
        <w:rPr>
          <w:sz w:val="22"/>
        </w:rPr>
        <w:t>the</w:t>
      </w:r>
      <w:r>
        <w:rPr>
          <w:spacing w:val="-2"/>
          <w:sz w:val="22"/>
        </w:rPr>
        <w:t> </w:t>
      </w:r>
      <w:r>
        <w:rPr>
          <w:sz w:val="22"/>
        </w:rPr>
        <w:t>member</w:t>
      </w:r>
      <w:r>
        <w:rPr>
          <w:spacing w:val="-1"/>
          <w:sz w:val="22"/>
        </w:rPr>
        <w:t> </w:t>
      </w:r>
      <w:r>
        <w:rPr>
          <w:sz w:val="22"/>
        </w:rPr>
        <w:t>with</w:t>
      </w:r>
      <w:r>
        <w:rPr>
          <w:spacing w:val="-5"/>
          <w:sz w:val="22"/>
        </w:rPr>
        <w:t> </w:t>
      </w:r>
      <w:r>
        <w:rPr>
          <w:sz w:val="22"/>
        </w:rPr>
        <w:t>locating,</w:t>
      </w:r>
      <w:r>
        <w:rPr>
          <w:spacing w:val="-2"/>
          <w:sz w:val="22"/>
        </w:rPr>
        <w:t> </w:t>
      </w:r>
      <w:r>
        <w:rPr>
          <w:sz w:val="22"/>
        </w:rPr>
        <w:t>obtaining,</w:t>
      </w:r>
      <w:r>
        <w:rPr>
          <w:spacing w:val="-2"/>
          <w:sz w:val="22"/>
        </w:rPr>
        <w:t> </w:t>
      </w:r>
      <w:r>
        <w:rPr>
          <w:sz w:val="22"/>
        </w:rPr>
        <w:t>and/or</w:t>
      </w:r>
      <w:r>
        <w:rPr>
          <w:spacing w:val="-4"/>
          <w:sz w:val="22"/>
        </w:rPr>
        <w:t> </w:t>
      </w:r>
      <w:r>
        <w:rPr>
          <w:sz w:val="22"/>
        </w:rPr>
        <w:t>providing</w:t>
      </w:r>
      <w:r>
        <w:rPr>
          <w:spacing w:val="-5"/>
          <w:sz w:val="22"/>
        </w:rPr>
        <w:t> </w:t>
      </w:r>
      <w:r>
        <w:rPr>
          <w:sz w:val="22"/>
        </w:rPr>
        <w:t>the</w:t>
      </w:r>
      <w:r>
        <w:rPr>
          <w:spacing w:val="-2"/>
          <w:sz w:val="22"/>
        </w:rPr>
        <w:t> </w:t>
      </w:r>
      <w:r>
        <w:rPr>
          <w:sz w:val="22"/>
        </w:rPr>
        <w:t>member</w:t>
      </w:r>
      <w:r>
        <w:rPr>
          <w:spacing w:val="-1"/>
          <w:sz w:val="22"/>
        </w:rPr>
        <w:t> </w:t>
      </w:r>
      <w:r>
        <w:rPr>
          <w:sz w:val="22"/>
        </w:rPr>
        <w:t>with</w:t>
      </w:r>
      <w:r>
        <w:rPr>
          <w:spacing w:val="-5"/>
          <w:sz w:val="22"/>
        </w:rPr>
        <w:t> </w:t>
      </w:r>
      <w:r>
        <w:rPr>
          <w:sz w:val="22"/>
        </w:rPr>
        <w:t>purchase</w:t>
      </w:r>
      <w:r>
        <w:rPr>
          <w:spacing w:val="-2"/>
          <w:sz w:val="22"/>
        </w:rPr>
        <w:t> </w:t>
      </w:r>
      <w:r>
        <w:rPr>
          <w:sz w:val="22"/>
        </w:rPr>
        <w:t>of household supplies needed to meet nutritional and dietary need.</w:t>
      </w:r>
    </w:p>
    <w:p>
      <w:pPr>
        <w:pStyle w:val="BodyText"/>
        <w:spacing w:before="11"/>
        <w:rPr>
          <w:sz w:val="21"/>
        </w:rPr>
      </w:pPr>
    </w:p>
    <w:p>
      <w:pPr>
        <w:pStyle w:val="ListParagraph"/>
        <w:numPr>
          <w:ilvl w:val="2"/>
          <w:numId w:val="116"/>
        </w:numPr>
        <w:tabs>
          <w:tab w:pos="1199" w:val="left" w:leader="none"/>
        </w:tabs>
        <w:spacing w:line="240" w:lineRule="auto" w:before="0" w:after="0"/>
        <w:ind w:left="1199" w:right="114" w:hanging="526"/>
        <w:jc w:val="left"/>
        <w:rPr>
          <w:sz w:val="22"/>
        </w:rPr>
      </w:pPr>
      <w:r>
        <w:rPr>
          <w:sz w:val="22"/>
        </w:rPr>
        <w:t>Assisting</w:t>
      </w:r>
      <w:r>
        <w:rPr>
          <w:spacing w:val="-2"/>
          <w:sz w:val="22"/>
        </w:rPr>
        <w:t> </w:t>
      </w:r>
      <w:r>
        <w:rPr>
          <w:sz w:val="22"/>
        </w:rPr>
        <w:t>or providing</w:t>
      </w:r>
      <w:r>
        <w:rPr>
          <w:spacing w:val="-2"/>
          <w:sz w:val="22"/>
        </w:rPr>
        <w:t> </w:t>
      </w:r>
      <w:r>
        <w:rPr>
          <w:sz w:val="22"/>
        </w:rPr>
        <w:t>the</w:t>
      </w:r>
      <w:r>
        <w:rPr>
          <w:spacing w:val="-2"/>
          <w:sz w:val="22"/>
        </w:rPr>
        <w:t> </w:t>
      </w:r>
      <w:r>
        <w:rPr>
          <w:sz w:val="22"/>
        </w:rPr>
        <w:t>member with access to foods that meet nutritional</w:t>
      </w:r>
      <w:r>
        <w:rPr>
          <w:spacing w:val="-1"/>
          <w:sz w:val="22"/>
        </w:rPr>
        <w:t> </w:t>
      </w:r>
      <w:r>
        <w:rPr>
          <w:sz w:val="22"/>
        </w:rPr>
        <w:t>and</w:t>
      </w:r>
      <w:r>
        <w:rPr>
          <w:spacing w:val="-2"/>
          <w:sz w:val="22"/>
        </w:rPr>
        <w:t> </w:t>
      </w:r>
      <w:r>
        <w:rPr>
          <w:sz w:val="22"/>
        </w:rPr>
        <w:t>dietary</w:t>
      </w:r>
      <w:r>
        <w:rPr>
          <w:spacing w:val="-2"/>
          <w:sz w:val="22"/>
        </w:rPr>
        <w:t> </w:t>
      </w:r>
      <w:r>
        <w:rPr>
          <w:sz w:val="22"/>
        </w:rPr>
        <w:t>need that cannot otherwise be obtained through existing discretionary or entitlement programs.</w:t>
      </w:r>
    </w:p>
    <w:p>
      <w:pPr>
        <w:pStyle w:val="BodyText"/>
        <w:spacing w:before="1"/>
        <w:rPr>
          <w:sz w:val="22"/>
        </w:rPr>
      </w:pPr>
    </w:p>
    <w:p>
      <w:pPr>
        <w:pStyle w:val="ListParagraph"/>
        <w:numPr>
          <w:ilvl w:val="2"/>
          <w:numId w:val="116"/>
        </w:numPr>
        <w:tabs>
          <w:tab w:pos="1197" w:val="left" w:leader="none"/>
          <w:tab w:pos="1199" w:val="left" w:leader="none"/>
        </w:tabs>
        <w:spacing w:line="240" w:lineRule="auto" w:before="1" w:after="0"/>
        <w:ind w:left="1199" w:right="114" w:hanging="526"/>
        <w:jc w:val="both"/>
        <w:rPr>
          <w:sz w:val="22"/>
        </w:rPr>
      </w:pPr>
      <w:r>
        <w:rPr>
          <w:sz w:val="22"/>
        </w:rPr>
        <w:t>Assisting</w:t>
      </w:r>
      <w:r>
        <w:rPr>
          <w:spacing w:val="-10"/>
          <w:sz w:val="22"/>
        </w:rPr>
        <w:t> </w:t>
      </w:r>
      <w:r>
        <w:rPr>
          <w:sz w:val="22"/>
        </w:rPr>
        <w:t>the</w:t>
      </w:r>
      <w:r>
        <w:rPr>
          <w:spacing w:val="-7"/>
          <w:sz w:val="22"/>
        </w:rPr>
        <w:t> </w:t>
      </w:r>
      <w:r>
        <w:rPr>
          <w:sz w:val="22"/>
        </w:rPr>
        <w:t>member</w:t>
      </w:r>
      <w:r>
        <w:rPr>
          <w:spacing w:val="-6"/>
          <w:sz w:val="22"/>
        </w:rPr>
        <w:t> </w:t>
      </w:r>
      <w:r>
        <w:rPr>
          <w:sz w:val="22"/>
        </w:rPr>
        <w:t>in</w:t>
      </w:r>
      <w:r>
        <w:rPr>
          <w:spacing w:val="-7"/>
          <w:sz w:val="22"/>
        </w:rPr>
        <w:t> </w:t>
      </w:r>
      <w:r>
        <w:rPr>
          <w:sz w:val="22"/>
        </w:rPr>
        <w:t>maintaining</w:t>
      </w:r>
      <w:r>
        <w:rPr>
          <w:spacing w:val="-10"/>
          <w:sz w:val="22"/>
        </w:rPr>
        <w:t> </w:t>
      </w:r>
      <w:r>
        <w:rPr>
          <w:sz w:val="22"/>
        </w:rPr>
        <w:t>access</w:t>
      </w:r>
      <w:r>
        <w:rPr>
          <w:spacing w:val="-9"/>
          <w:sz w:val="22"/>
        </w:rPr>
        <w:t> </w:t>
      </w:r>
      <w:r>
        <w:rPr>
          <w:sz w:val="22"/>
        </w:rPr>
        <w:t>to</w:t>
      </w:r>
      <w:r>
        <w:rPr>
          <w:spacing w:val="-10"/>
          <w:sz w:val="22"/>
        </w:rPr>
        <w:t> </w:t>
      </w:r>
      <w:r>
        <w:rPr>
          <w:sz w:val="22"/>
        </w:rPr>
        <w:t>nutrition</w:t>
      </w:r>
      <w:r>
        <w:rPr>
          <w:spacing w:val="-10"/>
          <w:sz w:val="22"/>
        </w:rPr>
        <w:t> </w:t>
      </w:r>
      <w:r>
        <w:rPr>
          <w:sz w:val="22"/>
        </w:rPr>
        <w:t>benefits</w:t>
      </w:r>
      <w:r>
        <w:rPr>
          <w:spacing w:val="-9"/>
          <w:sz w:val="22"/>
        </w:rPr>
        <w:t> </w:t>
      </w:r>
      <w:r>
        <w:rPr>
          <w:sz w:val="22"/>
        </w:rPr>
        <w:t>including,</w:t>
      </w:r>
      <w:r>
        <w:rPr>
          <w:spacing w:val="-7"/>
          <w:sz w:val="22"/>
        </w:rPr>
        <w:t> </w:t>
      </w:r>
      <w:r>
        <w:rPr>
          <w:sz w:val="22"/>
        </w:rPr>
        <w:t>when</w:t>
      </w:r>
      <w:r>
        <w:rPr>
          <w:spacing w:val="-10"/>
          <w:sz w:val="22"/>
        </w:rPr>
        <w:t> </w:t>
      </w:r>
      <w:r>
        <w:rPr>
          <w:sz w:val="22"/>
        </w:rPr>
        <w:t>needed,</w:t>
      </w:r>
      <w:r>
        <w:rPr>
          <w:spacing w:val="-10"/>
          <w:sz w:val="22"/>
        </w:rPr>
        <w:t> </w:t>
      </w:r>
      <w:r>
        <w:rPr>
          <w:sz w:val="22"/>
        </w:rPr>
        <w:t>legal advocacy (in the form of coaching, supporting, and educating the member) during appeals of benefit actions (e.g., denial, reduction, or termination) and directing a member to appropriate sources of legal services.</w:t>
      </w:r>
    </w:p>
    <w:p>
      <w:pPr>
        <w:pStyle w:val="ListParagraph"/>
        <w:numPr>
          <w:ilvl w:val="1"/>
          <w:numId w:val="116"/>
        </w:numPr>
        <w:tabs>
          <w:tab w:pos="838" w:val="left" w:leader="none"/>
        </w:tabs>
        <w:spacing w:line="240" w:lineRule="auto" w:before="202" w:after="0"/>
        <w:ind w:left="838" w:right="0" w:hanging="358"/>
        <w:jc w:val="left"/>
        <w:rPr>
          <w:b/>
          <w:sz w:val="22"/>
        </w:rPr>
      </w:pPr>
      <w:bookmarkStart w:name="C. Non-Covered TPS and NSS" w:id="1561"/>
      <w:bookmarkEnd w:id="1561"/>
      <w:r>
        <w:rPr/>
      </w:r>
      <w:r>
        <w:rPr>
          <w:b/>
          <w:sz w:val="22"/>
        </w:rPr>
        <w:t>Non-Covered</w:t>
      </w:r>
      <w:r>
        <w:rPr>
          <w:b/>
          <w:spacing w:val="-4"/>
          <w:sz w:val="22"/>
        </w:rPr>
        <w:t> </w:t>
      </w:r>
      <w:r>
        <w:rPr>
          <w:b/>
          <w:sz w:val="22"/>
        </w:rPr>
        <w:t>TPS</w:t>
      </w:r>
      <w:r>
        <w:rPr>
          <w:b/>
          <w:spacing w:val="-6"/>
          <w:sz w:val="22"/>
        </w:rPr>
        <w:t> </w:t>
      </w:r>
      <w:r>
        <w:rPr>
          <w:b/>
          <w:sz w:val="22"/>
        </w:rPr>
        <w:t>and</w:t>
      </w:r>
      <w:r>
        <w:rPr>
          <w:b/>
          <w:spacing w:val="-3"/>
          <w:sz w:val="22"/>
        </w:rPr>
        <w:t> </w:t>
      </w:r>
      <w:r>
        <w:rPr>
          <w:b/>
          <w:spacing w:val="-5"/>
          <w:sz w:val="22"/>
        </w:rPr>
        <w:t>NSS</w:t>
      </w:r>
    </w:p>
    <w:p>
      <w:pPr>
        <w:spacing w:before="196"/>
        <w:ind w:left="479" w:right="0" w:firstLine="0"/>
        <w:jc w:val="left"/>
        <w:rPr>
          <w:sz w:val="22"/>
        </w:rPr>
      </w:pPr>
      <w:r>
        <w:rPr>
          <w:sz w:val="22"/>
        </w:rPr>
        <w:t>TPS</w:t>
      </w:r>
      <w:r>
        <w:rPr>
          <w:spacing w:val="-3"/>
          <w:sz w:val="22"/>
        </w:rPr>
        <w:t> </w:t>
      </w:r>
      <w:r>
        <w:rPr>
          <w:sz w:val="22"/>
        </w:rPr>
        <w:t>and</w:t>
      </w:r>
      <w:r>
        <w:rPr>
          <w:spacing w:val="-1"/>
          <w:sz w:val="22"/>
        </w:rPr>
        <w:t> </w:t>
      </w:r>
      <w:r>
        <w:rPr>
          <w:sz w:val="22"/>
        </w:rPr>
        <w:t>NSS</w:t>
      </w:r>
      <w:r>
        <w:rPr>
          <w:spacing w:val="-3"/>
          <w:sz w:val="22"/>
        </w:rPr>
        <w:t> </w:t>
      </w:r>
      <w:r>
        <w:rPr>
          <w:sz w:val="22"/>
        </w:rPr>
        <w:t>do</w:t>
      </w:r>
      <w:r>
        <w:rPr>
          <w:spacing w:val="-1"/>
          <w:sz w:val="22"/>
        </w:rPr>
        <w:t> </w:t>
      </w:r>
      <w:r>
        <w:rPr>
          <w:sz w:val="22"/>
        </w:rPr>
        <w:t>not</w:t>
      </w:r>
      <w:r>
        <w:rPr>
          <w:spacing w:val="-3"/>
          <w:sz w:val="22"/>
        </w:rPr>
        <w:t> </w:t>
      </w:r>
      <w:r>
        <w:rPr>
          <w:spacing w:val="-2"/>
          <w:sz w:val="22"/>
        </w:rPr>
        <w:t>include:</w:t>
      </w:r>
    </w:p>
    <w:p>
      <w:pPr>
        <w:pStyle w:val="BodyText"/>
        <w:rPr>
          <w:sz w:val="22"/>
        </w:rPr>
      </w:pPr>
    </w:p>
    <w:p>
      <w:pPr>
        <w:pStyle w:val="ListParagraph"/>
        <w:numPr>
          <w:ilvl w:val="2"/>
          <w:numId w:val="116"/>
        </w:numPr>
        <w:tabs>
          <w:tab w:pos="1559" w:val="left" w:leader="none"/>
        </w:tabs>
        <w:spacing w:line="240" w:lineRule="auto" w:before="0" w:after="0"/>
        <w:ind w:left="1559" w:right="0" w:hanging="525"/>
        <w:jc w:val="left"/>
        <w:rPr>
          <w:sz w:val="22"/>
        </w:rPr>
      </w:pPr>
      <w:r>
        <w:rPr>
          <w:sz w:val="22"/>
        </w:rPr>
        <w:t>Ongoing</w:t>
      </w:r>
      <w:r>
        <w:rPr>
          <w:spacing w:val="-5"/>
          <w:sz w:val="22"/>
        </w:rPr>
        <w:t> </w:t>
      </w:r>
      <w:r>
        <w:rPr>
          <w:sz w:val="22"/>
        </w:rPr>
        <w:t>payment</w:t>
      </w:r>
      <w:r>
        <w:rPr>
          <w:spacing w:val="-1"/>
          <w:sz w:val="22"/>
        </w:rPr>
        <w:t> </w:t>
      </w:r>
      <w:r>
        <w:rPr>
          <w:sz w:val="22"/>
        </w:rPr>
        <w:t>of</w:t>
      </w:r>
      <w:r>
        <w:rPr>
          <w:spacing w:val="-2"/>
          <w:sz w:val="22"/>
        </w:rPr>
        <w:t> </w:t>
      </w:r>
      <w:r>
        <w:rPr>
          <w:sz w:val="22"/>
        </w:rPr>
        <w:t>rent</w:t>
      </w:r>
      <w:r>
        <w:rPr>
          <w:spacing w:val="-1"/>
          <w:sz w:val="22"/>
        </w:rPr>
        <w:t> </w:t>
      </w:r>
      <w:r>
        <w:rPr>
          <w:sz w:val="22"/>
        </w:rPr>
        <w:t>or</w:t>
      </w:r>
      <w:r>
        <w:rPr>
          <w:spacing w:val="-4"/>
          <w:sz w:val="22"/>
        </w:rPr>
        <w:t> </w:t>
      </w:r>
      <w:r>
        <w:rPr>
          <w:sz w:val="22"/>
        </w:rPr>
        <w:t>other</w:t>
      </w:r>
      <w:r>
        <w:rPr>
          <w:spacing w:val="-1"/>
          <w:sz w:val="22"/>
        </w:rPr>
        <w:t> </w:t>
      </w:r>
      <w:r>
        <w:rPr>
          <w:sz w:val="22"/>
        </w:rPr>
        <w:t>room</w:t>
      </w:r>
      <w:r>
        <w:rPr>
          <w:spacing w:val="-6"/>
          <w:sz w:val="22"/>
        </w:rPr>
        <w:t> </w:t>
      </w:r>
      <w:r>
        <w:rPr>
          <w:sz w:val="22"/>
        </w:rPr>
        <w:t>and</w:t>
      </w:r>
      <w:r>
        <w:rPr>
          <w:spacing w:val="-2"/>
          <w:sz w:val="22"/>
        </w:rPr>
        <w:t> </w:t>
      </w:r>
      <w:r>
        <w:rPr>
          <w:sz w:val="22"/>
        </w:rPr>
        <w:t>board</w:t>
      </w:r>
      <w:r>
        <w:rPr>
          <w:spacing w:val="-4"/>
          <w:sz w:val="22"/>
        </w:rPr>
        <w:t> </w:t>
      </w:r>
      <w:r>
        <w:rPr>
          <w:spacing w:val="-2"/>
          <w:sz w:val="22"/>
        </w:rPr>
        <w:t>costs;</w:t>
      </w:r>
    </w:p>
    <w:p>
      <w:pPr>
        <w:pStyle w:val="BodyText"/>
        <w:rPr>
          <w:sz w:val="22"/>
        </w:rPr>
      </w:pPr>
    </w:p>
    <w:p>
      <w:pPr>
        <w:pStyle w:val="ListParagraph"/>
        <w:numPr>
          <w:ilvl w:val="2"/>
          <w:numId w:val="116"/>
        </w:numPr>
        <w:tabs>
          <w:tab w:pos="1559" w:val="left" w:leader="none"/>
        </w:tabs>
        <w:spacing w:line="252" w:lineRule="exact" w:before="0" w:after="0"/>
        <w:ind w:left="1559" w:right="0" w:hanging="525"/>
        <w:jc w:val="left"/>
        <w:rPr>
          <w:sz w:val="22"/>
        </w:rPr>
      </w:pPr>
      <w:r>
        <w:rPr>
          <w:spacing w:val="-2"/>
          <w:sz w:val="22"/>
        </w:rPr>
        <w:t>Expenses</w:t>
      </w:r>
      <w:r>
        <w:rPr>
          <w:spacing w:val="-5"/>
          <w:sz w:val="22"/>
        </w:rPr>
        <w:t> </w:t>
      </w:r>
      <w:r>
        <w:rPr>
          <w:spacing w:val="-2"/>
          <w:sz w:val="22"/>
        </w:rPr>
        <w:t>for</w:t>
      </w:r>
      <w:r>
        <w:rPr>
          <w:spacing w:val="-5"/>
          <w:sz w:val="22"/>
        </w:rPr>
        <w:t> </w:t>
      </w:r>
      <w:r>
        <w:rPr>
          <w:spacing w:val="-2"/>
          <w:sz w:val="22"/>
        </w:rPr>
        <w:t>recurring</w:t>
      </w:r>
      <w:r>
        <w:rPr>
          <w:spacing w:val="-6"/>
          <w:sz w:val="22"/>
        </w:rPr>
        <w:t> </w:t>
      </w:r>
      <w:r>
        <w:rPr>
          <w:spacing w:val="-2"/>
          <w:sz w:val="22"/>
        </w:rPr>
        <w:t>utilities</w:t>
      </w:r>
      <w:r>
        <w:rPr>
          <w:spacing w:val="-3"/>
          <w:sz w:val="22"/>
        </w:rPr>
        <w:t> </w:t>
      </w:r>
      <w:r>
        <w:rPr>
          <w:spacing w:val="-2"/>
          <w:sz w:val="22"/>
        </w:rPr>
        <w:t>or</w:t>
      </w:r>
      <w:r>
        <w:rPr>
          <w:spacing w:val="-1"/>
          <w:sz w:val="22"/>
        </w:rPr>
        <w:t> </w:t>
      </w:r>
      <w:r>
        <w:rPr>
          <w:spacing w:val="-2"/>
          <w:sz w:val="22"/>
        </w:rPr>
        <w:t>other</w:t>
      </w:r>
      <w:r>
        <w:rPr>
          <w:spacing w:val="-1"/>
          <w:sz w:val="22"/>
        </w:rPr>
        <w:t> </w:t>
      </w:r>
      <w:r>
        <w:rPr>
          <w:spacing w:val="-2"/>
          <w:sz w:val="22"/>
        </w:rPr>
        <w:t>recurring</w:t>
      </w:r>
      <w:r>
        <w:rPr>
          <w:spacing w:val="-6"/>
          <w:sz w:val="22"/>
        </w:rPr>
        <w:t> </w:t>
      </w:r>
      <w:r>
        <w:rPr>
          <w:spacing w:val="-2"/>
          <w:sz w:val="22"/>
        </w:rPr>
        <w:t>bills</w:t>
      </w:r>
      <w:r>
        <w:rPr>
          <w:spacing w:val="-3"/>
          <w:sz w:val="22"/>
        </w:rPr>
        <w:t> </w:t>
      </w:r>
      <w:r>
        <w:rPr>
          <w:spacing w:val="-2"/>
          <w:sz w:val="22"/>
        </w:rPr>
        <w:t>not</w:t>
      </w:r>
      <w:r>
        <w:rPr>
          <w:spacing w:val="-1"/>
          <w:sz w:val="22"/>
        </w:rPr>
        <w:t> </w:t>
      </w:r>
      <w:r>
        <w:rPr>
          <w:spacing w:val="-2"/>
          <w:sz w:val="22"/>
        </w:rPr>
        <w:t>specifically</w:t>
      </w:r>
      <w:r>
        <w:rPr>
          <w:spacing w:val="-6"/>
          <w:sz w:val="22"/>
        </w:rPr>
        <w:t> </w:t>
      </w:r>
      <w:r>
        <w:rPr>
          <w:spacing w:val="-2"/>
          <w:sz w:val="22"/>
        </w:rPr>
        <w:t>delineated</w:t>
      </w:r>
      <w:r>
        <w:rPr>
          <w:spacing w:val="-3"/>
          <w:sz w:val="22"/>
        </w:rPr>
        <w:t> </w:t>
      </w:r>
      <w:r>
        <w:rPr>
          <w:spacing w:val="-2"/>
          <w:sz w:val="22"/>
        </w:rPr>
        <w:t>in</w:t>
      </w:r>
      <w:r>
        <w:rPr>
          <w:spacing w:val="-8"/>
          <w:sz w:val="22"/>
        </w:rPr>
        <w:t> </w:t>
      </w:r>
      <w:r>
        <w:rPr>
          <w:spacing w:val="-2"/>
          <w:sz w:val="22"/>
        </w:rPr>
        <w:t>Section</w:t>
      </w:r>
    </w:p>
    <w:p>
      <w:pPr>
        <w:spacing w:line="252" w:lineRule="exact" w:before="0"/>
        <w:ind w:left="1560" w:right="0" w:firstLine="0"/>
        <w:jc w:val="left"/>
        <w:rPr>
          <w:sz w:val="22"/>
        </w:rPr>
      </w:pPr>
      <w:r>
        <w:rPr>
          <w:sz w:val="22"/>
        </w:rPr>
        <w:t>III.A</w:t>
      </w:r>
      <w:r>
        <w:rPr>
          <w:spacing w:val="-5"/>
          <w:sz w:val="22"/>
        </w:rPr>
        <w:t> </w:t>
      </w:r>
      <w:r>
        <w:rPr>
          <w:sz w:val="22"/>
        </w:rPr>
        <w:t>or</w:t>
      </w:r>
      <w:r>
        <w:rPr>
          <w:spacing w:val="-1"/>
          <w:sz w:val="22"/>
        </w:rPr>
        <w:t> </w:t>
      </w:r>
      <w:r>
        <w:rPr>
          <w:spacing w:val="-2"/>
          <w:sz w:val="22"/>
        </w:rPr>
        <w:t>III.B;</w:t>
      </w:r>
    </w:p>
    <w:p>
      <w:pPr>
        <w:pStyle w:val="BodyText"/>
        <w:spacing w:before="1"/>
        <w:rPr>
          <w:sz w:val="22"/>
        </w:rPr>
      </w:pPr>
    </w:p>
    <w:p>
      <w:pPr>
        <w:pStyle w:val="ListParagraph"/>
        <w:numPr>
          <w:ilvl w:val="2"/>
          <w:numId w:val="116"/>
        </w:numPr>
        <w:tabs>
          <w:tab w:pos="1560" w:val="left" w:leader="none"/>
        </w:tabs>
        <w:spacing w:line="240" w:lineRule="auto" w:before="0" w:after="0"/>
        <w:ind w:left="1560" w:right="0" w:hanging="525"/>
        <w:jc w:val="left"/>
        <w:rPr>
          <w:sz w:val="22"/>
        </w:rPr>
      </w:pPr>
      <w:r>
        <w:rPr>
          <w:sz w:val="22"/>
        </w:rPr>
        <w:t>Goods</w:t>
      </w:r>
      <w:r>
        <w:rPr>
          <w:spacing w:val="-4"/>
          <w:sz w:val="22"/>
        </w:rPr>
        <w:t> </w:t>
      </w:r>
      <w:r>
        <w:rPr>
          <w:sz w:val="22"/>
        </w:rPr>
        <w:t>and</w:t>
      </w:r>
      <w:r>
        <w:rPr>
          <w:spacing w:val="-6"/>
          <w:sz w:val="22"/>
        </w:rPr>
        <w:t> </w:t>
      </w:r>
      <w:r>
        <w:rPr>
          <w:sz w:val="22"/>
        </w:rPr>
        <w:t>services</w:t>
      </w:r>
      <w:r>
        <w:rPr>
          <w:spacing w:val="-5"/>
          <w:sz w:val="22"/>
        </w:rPr>
        <w:t> </w:t>
      </w:r>
      <w:r>
        <w:rPr>
          <w:sz w:val="22"/>
        </w:rPr>
        <w:t>intended</w:t>
      </w:r>
      <w:r>
        <w:rPr>
          <w:spacing w:val="-3"/>
          <w:sz w:val="22"/>
        </w:rPr>
        <w:t> </w:t>
      </w:r>
      <w:r>
        <w:rPr>
          <w:sz w:val="22"/>
        </w:rPr>
        <w:t>for</w:t>
      </w:r>
      <w:r>
        <w:rPr>
          <w:spacing w:val="-6"/>
          <w:sz w:val="22"/>
        </w:rPr>
        <w:t> </w:t>
      </w:r>
      <w:r>
        <w:rPr>
          <w:sz w:val="22"/>
        </w:rPr>
        <w:t>leisure</w:t>
      </w:r>
      <w:r>
        <w:rPr>
          <w:spacing w:val="-3"/>
          <w:sz w:val="22"/>
        </w:rPr>
        <w:t> </w:t>
      </w:r>
      <w:r>
        <w:rPr>
          <w:sz w:val="22"/>
        </w:rPr>
        <w:t>or</w:t>
      </w:r>
      <w:r>
        <w:rPr>
          <w:spacing w:val="-2"/>
          <w:sz w:val="22"/>
        </w:rPr>
        <w:t> </w:t>
      </w:r>
      <w:r>
        <w:rPr>
          <w:sz w:val="22"/>
        </w:rPr>
        <w:t>recreation;</w:t>
      </w:r>
      <w:r>
        <w:rPr>
          <w:spacing w:val="-2"/>
          <w:sz w:val="22"/>
        </w:rPr>
        <w:t> </w:t>
      </w:r>
      <w:r>
        <w:rPr>
          <w:spacing w:val="-5"/>
          <w:sz w:val="22"/>
        </w:rPr>
        <w:t>and</w:t>
      </w:r>
    </w:p>
    <w:p>
      <w:pPr>
        <w:pStyle w:val="BodyText"/>
        <w:rPr>
          <w:sz w:val="22"/>
        </w:rPr>
      </w:pPr>
    </w:p>
    <w:p>
      <w:pPr>
        <w:pStyle w:val="ListParagraph"/>
        <w:numPr>
          <w:ilvl w:val="2"/>
          <w:numId w:val="116"/>
        </w:numPr>
        <w:tabs>
          <w:tab w:pos="1560" w:val="left" w:leader="none"/>
        </w:tabs>
        <w:spacing w:line="240" w:lineRule="auto" w:before="0" w:after="0"/>
        <w:ind w:left="1560" w:right="116" w:hanging="526"/>
        <w:jc w:val="left"/>
        <w:rPr>
          <w:sz w:val="22"/>
        </w:rPr>
      </w:pPr>
      <w:r>
        <w:rPr>
          <w:sz w:val="22"/>
        </w:rPr>
        <w:t>Services</w:t>
      </w:r>
      <w:r>
        <w:rPr>
          <w:spacing w:val="36"/>
          <w:sz w:val="22"/>
        </w:rPr>
        <w:t> </w:t>
      </w:r>
      <w:r>
        <w:rPr>
          <w:sz w:val="22"/>
        </w:rPr>
        <w:t>or</w:t>
      </w:r>
      <w:r>
        <w:rPr>
          <w:spacing w:val="36"/>
          <w:sz w:val="22"/>
        </w:rPr>
        <w:t> </w:t>
      </w:r>
      <w:r>
        <w:rPr>
          <w:sz w:val="22"/>
        </w:rPr>
        <w:t>supports</w:t>
      </w:r>
      <w:r>
        <w:rPr>
          <w:spacing w:val="35"/>
          <w:sz w:val="22"/>
        </w:rPr>
        <w:t> </w:t>
      </w:r>
      <w:r>
        <w:rPr>
          <w:sz w:val="22"/>
        </w:rPr>
        <w:t>that</w:t>
      </w:r>
      <w:r>
        <w:rPr>
          <w:spacing w:val="36"/>
          <w:sz w:val="22"/>
        </w:rPr>
        <w:t> </w:t>
      </w:r>
      <w:r>
        <w:rPr>
          <w:sz w:val="22"/>
        </w:rPr>
        <w:t>are</w:t>
      </w:r>
      <w:r>
        <w:rPr>
          <w:spacing w:val="36"/>
          <w:sz w:val="22"/>
        </w:rPr>
        <w:t> </w:t>
      </w:r>
      <w:r>
        <w:rPr>
          <w:sz w:val="22"/>
        </w:rPr>
        <w:t>duplicative</w:t>
      </w:r>
      <w:r>
        <w:rPr>
          <w:spacing w:val="38"/>
          <w:sz w:val="22"/>
        </w:rPr>
        <w:t> </w:t>
      </w:r>
      <w:r>
        <w:rPr>
          <w:sz w:val="22"/>
        </w:rPr>
        <w:t>of</w:t>
      </w:r>
      <w:r>
        <w:rPr>
          <w:spacing w:val="36"/>
          <w:sz w:val="22"/>
        </w:rPr>
        <w:t> </w:t>
      </w:r>
      <w:r>
        <w:rPr>
          <w:sz w:val="22"/>
        </w:rPr>
        <w:t>those</w:t>
      </w:r>
      <w:r>
        <w:rPr>
          <w:spacing w:val="38"/>
          <w:sz w:val="22"/>
        </w:rPr>
        <w:t> </w:t>
      </w:r>
      <w:r>
        <w:rPr>
          <w:sz w:val="22"/>
        </w:rPr>
        <w:t>offered</w:t>
      </w:r>
      <w:r>
        <w:rPr>
          <w:spacing w:val="35"/>
          <w:sz w:val="22"/>
        </w:rPr>
        <w:t> </w:t>
      </w:r>
      <w:r>
        <w:rPr>
          <w:sz w:val="22"/>
        </w:rPr>
        <w:t>under</w:t>
      </w:r>
      <w:r>
        <w:rPr>
          <w:spacing w:val="38"/>
          <w:sz w:val="22"/>
        </w:rPr>
        <w:t> </w:t>
      </w:r>
      <w:r>
        <w:rPr>
          <w:sz w:val="22"/>
        </w:rPr>
        <w:t>other</w:t>
      </w:r>
      <w:r>
        <w:rPr>
          <w:spacing w:val="38"/>
          <w:sz w:val="22"/>
        </w:rPr>
        <w:t> </w:t>
      </w:r>
      <w:r>
        <w:rPr>
          <w:sz w:val="22"/>
        </w:rPr>
        <w:t>state</w:t>
      </w:r>
      <w:r>
        <w:rPr>
          <w:spacing w:val="36"/>
          <w:sz w:val="22"/>
        </w:rPr>
        <w:t> </w:t>
      </w:r>
      <w:r>
        <w:rPr>
          <w:sz w:val="22"/>
        </w:rPr>
        <w:t>or</w:t>
      </w:r>
      <w:r>
        <w:rPr>
          <w:spacing w:val="36"/>
          <w:sz w:val="22"/>
        </w:rPr>
        <w:t> </w:t>
      </w:r>
      <w:r>
        <w:rPr>
          <w:sz w:val="22"/>
        </w:rPr>
        <w:t>federal </w:t>
      </w:r>
      <w:r>
        <w:rPr>
          <w:spacing w:val="-2"/>
          <w:sz w:val="22"/>
        </w:rPr>
        <w:t>programs.</w:t>
      </w:r>
    </w:p>
    <w:p>
      <w:pPr>
        <w:pStyle w:val="BodyText"/>
      </w:pPr>
    </w:p>
    <w:p>
      <w:pPr>
        <w:pStyle w:val="ListParagraph"/>
        <w:numPr>
          <w:ilvl w:val="0"/>
          <w:numId w:val="116"/>
        </w:numPr>
        <w:tabs>
          <w:tab w:pos="478" w:val="left" w:leader="none"/>
        </w:tabs>
        <w:spacing w:line="240" w:lineRule="auto" w:before="196" w:after="0"/>
        <w:ind w:left="478" w:right="0" w:hanging="358"/>
        <w:jc w:val="left"/>
        <w:rPr>
          <w:b/>
          <w:sz w:val="22"/>
        </w:rPr>
      </w:pPr>
      <w:bookmarkStart w:name="IV. Flexible Services Assessment and Pla" w:id="1562"/>
      <w:bookmarkEnd w:id="1562"/>
      <w:r>
        <w:rPr/>
      </w:r>
      <w:r>
        <w:rPr>
          <w:b/>
          <w:sz w:val="22"/>
          <w:u w:val="single"/>
        </w:rPr>
        <w:t>Flexible</w:t>
      </w:r>
      <w:r>
        <w:rPr>
          <w:b/>
          <w:spacing w:val="-5"/>
          <w:sz w:val="22"/>
          <w:u w:val="single"/>
        </w:rPr>
        <w:t> </w:t>
      </w:r>
      <w:r>
        <w:rPr>
          <w:b/>
          <w:sz w:val="22"/>
          <w:u w:val="single"/>
        </w:rPr>
        <w:t>Services</w:t>
      </w:r>
      <w:r>
        <w:rPr>
          <w:b/>
          <w:spacing w:val="-5"/>
          <w:sz w:val="22"/>
          <w:u w:val="single"/>
        </w:rPr>
        <w:t> </w:t>
      </w:r>
      <w:r>
        <w:rPr>
          <w:b/>
          <w:sz w:val="22"/>
          <w:u w:val="single"/>
        </w:rPr>
        <w:t>Assessment</w:t>
      </w:r>
      <w:r>
        <w:rPr>
          <w:b/>
          <w:spacing w:val="-4"/>
          <w:sz w:val="22"/>
          <w:u w:val="single"/>
        </w:rPr>
        <w:t> </w:t>
      </w:r>
      <w:r>
        <w:rPr>
          <w:b/>
          <w:sz w:val="22"/>
          <w:u w:val="single"/>
        </w:rPr>
        <w:t>and</w:t>
      </w:r>
      <w:r>
        <w:rPr>
          <w:b/>
          <w:spacing w:val="-7"/>
          <w:sz w:val="22"/>
          <w:u w:val="single"/>
        </w:rPr>
        <w:t> </w:t>
      </w:r>
      <w:r>
        <w:rPr>
          <w:b/>
          <w:sz w:val="22"/>
          <w:u w:val="single"/>
        </w:rPr>
        <w:t>Planning</w:t>
      </w:r>
      <w:r>
        <w:rPr>
          <w:b/>
          <w:spacing w:val="-7"/>
          <w:sz w:val="22"/>
          <w:u w:val="single"/>
        </w:rPr>
        <w:t> </w:t>
      </w:r>
      <w:r>
        <w:rPr>
          <w:b/>
          <w:spacing w:val="-2"/>
          <w:sz w:val="22"/>
          <w:u w:val="single"/>
        </w:rPr>
        <w:t>Process</w:t>
      </w:r>
    </w:p>
    <w:p>
      <w:pPr>
        <w:pStyle w:val="ListParagraph"/>
        <w:numPr>
          <w:ilvl w:val="1"/>
          <w:numId w:val="116"/>
        </w:numPr>
        <w:tabs>
          <w:tab w:pos="838" w:val="left" w:leader="none"/>
        </w:tabs>
        <w:spacing w:line="240" w:lineRule="auto" w:before="201" w:after="0"/>
        <w:ind w:left="838" w:right="0" w:hanging="358"/>
        <w:jc w:val="left"/>
        <w:rPr>
          <w:b/>
          <w:sz w:val="22"/>
        </w:rPr>
      </w:pPr>
      <w:bookmarkStart w:name="A. Assessment" w:id="1563"/>
      <w:bookmarkEnd w:id="1563"/>
      <w:r>
        <w:rPr/>
      </w:r>
      <w:r>
        <w:rPr>
          <w:b/>
          <w:spacing w:val="-2"/>
          <w:sz w:val="22"/>
        </w:rPr>
        <w:t>Assessment</w:t>
      </w:r>
    </w:p>
    <w:p>
      <w:pPr>
        <w:spacing w:before="198"/>
        <w:ind w:left="839" w:right="116" w:firstLine="0"/>
        <w:jc w:val="both"/>
        <w:rPr>
          <w:sz w:val="22"/>
        </w:rPr>
      </w:pPr>
      <w:r>
        <w:rPr>
          <w:sz w:val="22"/>
        </w:rPr>
        <w:t>An ACO</w:t>
      </w:r>
      <w:r>
        <w:rPr>
          <w:spacing w:val="-1"/>
          <w:sz w:val="22"/>
        </w:rPr>
        <w:t> </w:t>
      </w:r>
      <w:r>
        <w:rPr>
          <w:sz w:val="22"/>
        </w:rPr>
        <w:t>or its designee will perform</w:t>
      </w:r>
      <w:r>
        <w:rPr>
          <w:spacing w:val="-4"/>
          <w:sz w:val="22"/>
        </w:rPr>
        <w:t> </w:t>
      </w:r>
      <w:r>
        <w:rPr>
          <w:sz w:val="22"/>
        </w:rPr>
        <w:t>an assessment that (1) determines</w:t>
      </w:r>
      <w:r>
        <w:rPr>
          <w:spacing w:val="-2"/>
          <w:sz w:val="22"/>
        </w:rPr>
        <w:t> </w:t>
      </w:r>
      <w:r>
        <w:rPr>
          <w:sz w:val="22"/>
        </w:rPr>
        <w:t>a member’s eligibility</w:t>
      </w:r>
      <w:r>
        <w:rPr>
          <w:spacing w:val="-2"/>
          <w:sz w:val="22"/>
        </w:rPr>
        <w:t> </w:t>
      </w:r>
      <w:r>
        <w:rPr>
          <w:sz w:val="22"/>
        </w:rPr>
        <w:t>for Flexible Services; and (2) identifies which Flexible Service(s) the member may receive.</w:t>
      </w:r>
    </w:p>
    <w:p>
      <w:pPr>
        <w:pStyle w:val="BodyText"/>
        <w:spacing w:before="11"/>
        <w:rPr>
          <w:sz w:val="21"/>
        </w:rPr>
      </w:pPr>
    </w:p>
    <w:p>
      <w:pPr>
        <w:pStyle w:val="ListParagraph"/>
        <w:numPr>
          <w:ilvl w:val="2"/>
          <w:numId w:val="116"/>
        </w:numPr>
        <w:tabs>
          <w:tab w:pos="1559" w:val="left" w:leader="none"/>
        </w:tabs>
        <w:spacing w:line="240" w:lineRule="auto" w:before="0" w:after="0"/>
        <w:ind w:left="1559" w:right="113" w:hanging="360"/>
        <w:jc w:val="both"/>
        <w:rPr>
          <w:sz w:val="22"/>
        </w:rPr>
      </w:pPr>
      <w:r>
        <w:rPr>
          <w:sz w:val="22"/>
        </w:rPr>
        <w:t>The assessment may be completed by the ACO or designee of the ACO.</w:t>
      </w:r>
      <w:r>
        <w:rPr>
          <w:spacing w:val="40"/>
          <w:sz w:val="22"/>
        </w:rPr>
        <w:t> </w:t>
      </w:r>
      <w:r>
        <w:rPr>
          <w:sz w:val="22"/>
        </w:rPr>
        <w:t>Such designees may</w:t>
      </w:r>
      <w:r>
        <w:rPr>
          <w:spacing w:val="-2"/>
          <w:sz w:val="22"/>
        </w:rPr>
        <w:t> </w:t>
      </w:r>
      <w:r>
        <w:rPr>
          <w:sz w:val="22"/>
        </w:rPr>
        <w:t>include, but are not limited to, licensed or unlicensed social workers, case</w:t>
      </w:r>
      <w:r>
        <w:rPr>
          <w:spacing w:val="-2"/>
          <w:sz w:val="22"/>
        </w:rPr>
        <w:t> </w:t>
      </w:r>
      <w:r>
        <w:rPr>
          <w:sz w:val="22"/>
        </w:rPr>
        <w:t>managers, licensed</w:t>
      </w:r>
      <w:r>
        <w:rPr>
          <w:spacing w:val="-1"/>
          <w:sz w:val="22"/>
        </w:rPr>
        <w:t> </w:t>
      </w:r>
      <w:r>
        <w:rPr>
          <w:sz w:val="22"/>
        </w:rPr>
        <w:t>or unlicensed</w:t>
      </w:r>
      <w:r>
        <w:rPr>
          <w:spacing w:val="-1"/>
          <w:sz w:val="22"/>
        </w:rPr>
        <w:t> </w:t>
      </w:r>
      <w:r>
        <w:rPr>
          <w:sz w:val="22"/>
        </w:rPr>
        <w:t>providers,</w:t>
      </w:r>
      <w:r>
        <w:rPr>
          <w:spacing w:val="-1"/>
          <w:sz w:val="22"/>
        </w:rPr>
        <w:t> </w:t>
      </w:r>
      <w:r>
        <w:rPr>
          <w:sz w:val="22"/>
        </w:rPr>
        <w:t>Community</w:t>
      </w:r>
      <w:r>
        <w:rPr>
          <w:spacing w:val="-3"/>
          <w:sz w:val="22"/>
        </w:rPr>
        <w:t> </w:t>
      </w:r>
      <w:r>
        <w:rPr>
          <w:sz w:val="22"/>
        </w:rPr>
        <w:t>Partners</w:t>
      </w:r>
      <w:r>
        <w:rPr>
          <w:spacing w:val="-3"/>
          <w:sz w:val="22"/>
        </w:rPr>
        <w:t> </w:t>
      </w:r>
      <w:r>
        <w:rPr>
          <w:sz w:val="22"/>
        </w:rPr>
        <w:t>staff,</w:t>
      </w:r>
      <w:r>
        <w:rPr>
          <w:spacing w:val="-1"/>
          <w:sz w:val="22"/>
        </w:rPr>
        <w:t> </w:t>
      </w:r>
      <w:r>
        <w:rPr>
          <w:sz w:val="22"/>
        </w:rPr>
        <w:t>Community</w:t>
      </w:r>
      <w:r>
        <w:rPr>
          <w:spacing w:val="-3"/>
          <w:sz w:val="22"/>
        </w:rPr>
        <w:t> </w:t>
      </w:r>
      <w:r>
        <w:rPr>
          <w:sz w:val="22"/>
        </w:rPr>
        <w:t>Health</w:t>
      </w:r>
      <w:r>
        <w:rPr>
          <w:spacing w:val="-1"/>
          <w:sz w:val="22"/>
        </w:rPr>
        <w:t> </w:t>
      </w:r>
      <w:r>
        <w:rPr>
          <w:sz w:val="22"/>
        </w:rPr>
        <w:t>Workers, or an individual appropriately trained by the ACO.</w:t>
      </w:r>
    </w:p>
    <w:p>
      <w:pPr>
        <w:pStyle w:val="BodyText"/>
        <w:spacing w:before="11"/>
        <w:rPr>
          <w:sz w:val="21"/>
        </w:rPr>
      </w:pPr>
    </w:p>
    <w:p>
      <w:pPr>
        <w:pStyle w:val="ListParagraph"/>
        <w:numPr>
          <w:ilvl w:val="2"/>
          <w:numId w:val="116"/>
        </w:numPr>
        <w:tabs>
          <w:tab w:pos="1557" w:val="left" w:leader="none"/>
          <w:tab w:pos="1559" w:val="left" w:leader="none"/>
        </w:tabs>
        <w:spacing w:line="240" w:lineRule="auto" w:before="0" w:after="0"/>
        <w:ind w:left="1559" w:right="115" w:hanging="361"/>
        <w:jc w:val="both"/>
        <w:rPr>
          <w:sz w:val="22"/>
        </w:rPr>
      </w:pPr>
      <w:r>
        <w:rPr>
          <w:sz w:val="22"/>
        </w:rPr>
        <w:t>Members determined eligible may receive planning for flexible services as described in Section IV.B.</w:t>
      </w:r>
    </w:p>
    <w:p>
      <w:pPr>
        <w:pStyle w:val="ListParagraph"/>
        <w:numPr>
          <w:ilvl w:val="1"/>
          <w:numId w:val="116"/>
        </w:numPr>
        <w:tabs>
          <w:tab w:pos="837" w:val="left" w:leader="none"/>
        </w:tabs>
        <w:spacing w:line="240" w:lineRule="auto" w:before="202" w:after="0"/>
        <w:ind w:left="837" w:right="0" w:hanging="358"/>
        <w:jc w:val="left"/>
        <w:rPr>
          <w:b/>
          <w:sz w:val="22"/>
        </w:rPr>
      </w:pPr>
      <w:bookmarkStart w:name="B. Flexible Service Planning" w:id="1564"/>
      <w:bookmarkEnd w:id="1564"/>
      <w:r>
        <w:rPr/>
      </w:r>
      <w:r>
        <w:rPr>
          <w:b/>
          <w:sz w:val="22"/>
        </w:rPr>
        <w:t>Flexible</w:t>
      </w:r>
      <w:r>
        <w:rPr>
          <w:b/>
          <w:spacing w:val="-4"/>
          <w:sz w:val="22"/>
        </w:rPr>
        <w:t> </w:t>
      </w:r>
      <w:r>
        <w:rPr>
          <w:b/>
          <w:sz w:val="22"/>
        </w:rPr>
        <w:t>Service</w:t>
      </w:r>
      <w:r>
        <w:rPr>
          <w:b/>
          <w:spacing w:val="-8"/>
          <w:sz w:val="22"/>
        </w:rPr>
        <w:t> </w:t>
      </w:r>
      <w:r>
        <w:rPr>
          <w:b/>
          <w:spacing w:val="-2"/>
          <w:sz w:val="22"/>
        </w:rPr>
        <w:t>Planning</w:t>
      </w:r>
    </w:p>
    <w:p>
      <w:pPr>
        <w:spacing w:before="198"/>
        <w:ind w:left="839" w:right="115" w:firstLine="0"/>
        <w:jc w:val="both"/>
        <w:rPr>
          <w:sz w:val="22"/>
        </w:rPr>
      </w:pPr>
      <w:r>
        <w:rPr>
          <w:sz w:val="22"/>
        </w:rPr>
        <w:t>A member and ACO or its designee will create a plan for a member to obtain Flexible Services specific</w:t>
      </w:r>
      <w:r>
        <w:rPr>
          <w:spacing w:val="-7"/>
          <w:sz w:val="22"/>
        </w:rPr>
        <w:t> </w:t>
      </w:r>
      <w:r>
        <w:rPr>
          <w:sz w:val="22"/>
        </w:rPr>
        <w:t>to</w:t>
      </w:r>
      <w:r>
        <w:rPr>
          <w:spacing w:val="-7"/>
          <w:sz w:val="22"/>
        </w:rPr>
        <w:t> </w:t>
      </w:r>
      <w:r>
        <w:rPr>
          <w:sz w:val="22"/>
        </w:rPr>
        <w:t>the</w:t>
      </w:r>
      <w:r>
        <w:rPr>
          <w:spacing w:val="-7"/>
          <w:sz w:val="22"/>
        </w:rPr>
        <w:t> </w:t>
      </w:r>
      <w:r>
        <w:rPr>
          <w:sz w:val="22"/>
        </w:rPr>
        <w:t>member’s</w:t>
      </w:r>
      <w:r>
        <w:rPr>
          <w:spacing w:val="-7"/>
          <w:sz w:val="22"/>
        </w:rPr>
        <w:t> </w:t>
      </w:r>
      <w:r>
        <w:rPr>
          <w:sz w:val="22"/>
        </w:rPr>
        <w:t>needs</w:t>
      </w:r>
      <w:r>
        <w:rPr>
          <w:spacing w:val="-7"/>
          <w:sz w:val="22"/>
        </w:rPr>
        <w:t> </w:t>
      </w:r>
      <w:r>
        <w:rPr>
          <w:sz w:val="22"/>
        </w:rPr>
        <w:t>regarding</w:t>
      </w:r>
      <w:r>
        <w:rPr>
          <w:spacing w:val="-10"/>
          <w:sz w:val="22"/>
        </w:rPr>
        <w:t> </w:t>
      </w:r>
      <w:r>
        <w:rPr>
          <w:sz w:val="22"/>
        </w:rPr>
        <w:t>tenancy</w:t>
      </w:r>
      <w:r>
        <w:rPr>
          <w:spacing w:val="-9"/>
          <w:sz w:val="22"/>
        </w:rPr>
        <w:t> </w:t>
      </w:r>
      <w:r>
        <w:rPr>
          <w:sz w:val="22"/>
        </w:rPr>
        <w:t>preservation</w:t>
      </w:r>
      <w:r>
        <w:rPr>
          <w:spacing w:val="-7"/>
          <w:sz w:val="22"/>
        </w:rPr>
        <w:t> </w:t>
      </w:r>
      <w:r>
        <w:rPr>
          <w:sz w:val="22"/>
        </w:rPr>
        <w:t>supports</w:t>
      </w:r>
      <w:r>
        <w:rPr>
          <w:spacing w:val="-7"/>
          <w:sz w:val="22"/>
        </w:rPr>
        <w:t> </w:t>
      </w:r>
      <w:r>
        <w:rPr>
          <w:sz w:val="22"/>
        </w:rPr>
        <w:t>and/or</w:t>
      </w:r>
      <w:r>
        <w:rPr>
          <w:spacing w:val="-6"/>
          <w:sz w:val="22"/>
        </w:rPr>
        <w:t> </w:t>
      </w:r>
      <w:r>
        <w:rPr>
          <w:sz w:val="22"/>
        </w:rPr>
        <w:t>nutrition</w:t>
      </w:r>
      <w:r>
        <w:rPr>
          <w:spacing w:val="-7"/>
          <w:sz w:val="22"/>
        </w:rPr>
        <w:t> </w:t>
      </w:r>
      <w:r>
        <w:rPr>
          <w:sz w:val="22"/>
        </w:rPr>
        <w:t>sustaining supports as determined through the Flexible Service planning process.</w:t>
      </w:r>
      <w:r>
        <w:rPr>
          <w:spacing w:val="40"/>
          <w:sz w:val="22"/>
        </w:rPr>
        <w:t> </w:t>
      </w:r>
      <w:r>
        <w:rPr>
          <w:sz w:val="22"/>
        </w:rPr>
        <w:t>The Flexible Service Plan will be in writing and agreed to by the member and approved by the ACO or its designee.</w:t>
      </w:r>
    </w:p>
    <w:p>
      <w:pPr>
        <w:spacing w:after="0"/>
        <w:jc w:val="both"/>
        <w:rPr>
          <w:sz w:val="22"/>
        </w:rPr>
        <w:sectPr>
          <w:pgSz w:w="12240" w:h="15840"/>
          <w:pgMar w:header="0" w:footer="1240" w:top="640" w:bottom="1420" w:left="1320" w:right="1320"/>
        </w:sectPr>
      </w:pPr>
    </w:p>
    <w:p>
      <w:pPr>
        <w:spacing w:before="80"/>
        <w:ind w:left="120" w:right="0" w:firstLine="0"/>
        <w:jc w:val="left"/>
        <w:rPr>
          <w:sz w:val="20"/>
        </w:rPr>
      </w:pPr>
      <w:r>
        <w:rPr>
          <w:spacing w:val="-2"/>
          <w:sz w:val="20"/>
        </w:rPr>
        <w:t>Attachment</w:t>
      </w:r>
      <w:r>
        <w:rPr>
          <w:spacing w:val="6"/>
          <w:sz w:val="20"/>
        </w:rPr>
        <w:t> </w:t>
      </w:r>
      <w:r>
        <w:rPr>
          <w:spacing w:val="-10"/>
          <w:sz w:val="20"/>
        </w:rPr>
        <w:t>R</w:t>
      </w:r>
    </w:p>
    <w:p>
      <w:pPr>
        <w:pStyle w:val="BodyText"/>
        <w:rPr>
          <w:sz w:val="20"/>
        </w:rPr>
      </w:pPr>
    </w:p>
    <w:p>
      <w:pPr>
        <w:pStyle w:val="BodyText"/>
        <w:spacing w:before="5"/>
        <w:rPr>
          <w:sz w:val="22"/>
        </w:rPr>
      </w:pPr>
    </w:p>
    <w:p>
      <w:pPr>
        <w:pStyle w:val="ListParagraph"/>
        <w:numPr>
          <w:ilvl w:val="2"/>
          <w:numId w:val="116"/>
        </w:numPr>
        <w:tabs>
          <w:tab w:pos="1559" w:val="left" w:leader="none"/>
        </w:tabs>
        <w:spacing w:line="240" w:lineRule="auto" w:before="0" w:after="0"/>
        <w:ind w:left="1559" w:right="114" w:hanging="360"/>
        <w:jc w:val="both"/>
        <w:rPr>
          <w:sz w:val="22"/>
        </w:rPr>
      </w:pPr>
      <w:r>
        <w:rPr>
          <w:sz w:val="22"/>
        </w:rPr>
        <w:t>ACOs may have a designee complete the plan with the member.</w:t>
      </w:r>
      <w:r>
        <w:rPr>
          <w:spacing w:val="40"/>
          <w:sz w:val="22"/>
        </w:rPr>
        <w:t> </w:t>
      </w:r>
      <w:r>
        <w:rPr>
          <w:sz w:val="22"/>
        </w:rPr>
        <w:t>Such designees may include, but are not limited to, licensed or unlicensed social workers, case managers, licensed or unlicensed providers, Community Partners staff, Community Health Workers or an individual appropriately trained by the ACO.</w:t>
      </w:r>
    </w:p>
    <w:p>
      <w:pPr>
        <w:pStyle w:val="BodyText"/>
        <w:rPr>
          <w:sz w:val="22"/>
        </w:rPr>
      </w:pPr>
    </w:p>
    <w:p>
      <w:pPr>
        <w:pStyle w:val="ListParagraph"/>
        <w:numPr>
          <w:ilvl w:val="2"/>
          <w:numId w:val="116"/>
        </w:numPr>
        <w:tabs>
          <w:tab w:pos="1559" w:val="left" w:leader="none"/>
        </w:tabs>
        <w:spacing w:line="240" w:lineRule="auto" w:before="0" w:after="0"/>
        <w:ind w:left="1559" w:right="0" w:hanging="359"/>
        <w:jc w:val="left"/>
        <w:rPr>
          <w:sz w:val="22"/>
        </w:rPr>
      </w:pPr>
      <w:r>
        <w:rPr>
          <w:sz w:val="22"/>
        </w:rPr>
        <w:t>The</w:t>
      </w:r>
      <w:r>
        <w:rPr>
          <w:spacing w:val="-4"/>
          <w:sz w:val="22"/>
        </w:rPr>
        <w:t> </w:t>
      </w:r>
      <w:r>
        <w:rPr>
          <w:sz w:val="22"/>
        </w:rPr>
        <w:t>Flexible</w:t>
      </w:r>
      <w:r>
        <w:rPr>
          <w:spacing w:val="-2"/>
          <w:sz w:val="22"/>
        </w:rPr>
        <w:t> </w:t>
      </w:r>
      <w:r>
        <w:rPr>
          <w:sz w:val="22"/>
        </w:rPr>
        <w:t>Service</w:t>
      </w:r>
      <w:r>
        <w:rPr>
          <w:spacing w:val="-2"/>
          <w:sz w:val="22"/>
        </w:rPr>
        <w:t> </w:t>
      </w:r>
      <w:r>
        <w:rPr>
          <w:sz w:val="22"/>
        </w:rPr>
        <w:t>Plan</w:t>
      </w:r>
      <w:r>
        <w:rPr>
          <w:spacing w:val="-5"/>
          <w:sz w:val="22"/>
        </w:rPr>
        <w:t> </w:t>
      </w:r>
      <w:r>
        <w:rPr>
          <w:sz w:val="22"/>
        </w:rPr>
        <w:t>will</w:t>
      </w:r>
      <w:r>
        <w:rPr>
          <w:spacing w:val="-3"/>
          <w:sz w:val="22"/>
        </w:rPr>
        <w:t> </w:t>
      </w:r>
      <w:r>
        <w:rPr>
          <w:spacing w:val="-2"/>
          <w:sz w:val="22"/>
        </w:rPr>
        <w:t>include:</w:t>
      </w:r>
    </w:p>
    <w:p>
      <w:pPr>
        <w:pStyle w:val="BodyText"/>
        <w:rPr>
          <w:sz w:val="22"/>
        </w:rPr>
      </w:pPr>
    </w:p>
    <w:p>
      <w:pPr>
        <w:pStyle w:val="ListParagraph"/>
        <w:numPr>
          <w:ilvl w:val="3"/>
          <w:numId w:val="116"/>
        </w:numPr>
        <w:tabs>
          <w:tab w:pos="2467" w:val="left" w:leader="none"/>
        </w:tabs>
        <w:spacing w:line="240" w:lineRule="auto" w:before="0" w:after="0"/>
        <w:ind w:left="2467" w:right="0" w:hanging="360"/>
        <w:jc w:val="left"/>
        <w:rPr>
          <w:sz w:val="22"/>
        </w:rPr>
      </w:pPr>
      <w:r>
        <w:rPr>
          <w:sz w:val="22"/>
        </w:rPr>
        <w:t>The</w:t>
      </w:r>
      <w:r>
        <w:rPr>
          <w:spacing w:val="-6"/>
          <w:sz w:val="22"/>
        </w:rPr>
        <w:t> </w:t>
      </w:r>
      <w:r>
        <w:rPr>
          <w:sz w:val="22"/>
        </w:rPr>
        <w:t>recommended</w:t>
      </w:r>
      <w:r>
        <w:rPr>
          <w:spacing w:val="-3"/>
          <w:sz w:val="22"/>
        </w:rPr>
        <w:t> </w:t>
      </w:r>
      <w:r>
        <w:rPr>
          <w:sz w:val="22"/>
        </w:rPr>
        <w:t>flexible</w:t>
      </w:r>
      <w:r>
        <w:rPr>
          <w:spacing w:val="-6"/>
          <w:sz w:val="22"/>
        </w:rPr>
        <w:t> </w:t>
      </w:r>
      <w:r>
        <w:rPr>
          <w:spacing w:val="-2"/>
          <w:sz w:val="22"/>
        </w:rPr>
        <w:t>service(s);</w:t>
      </w:r>
    </w:p>
    <w:p>
      <w:pPr>
        <w:pStyle w:val="BodyText"/>
        <w:rPr>
          <w:sz w:val="22"/>
        </w:rPr>
      </w:pPr>
    </w:p>
    <w:p>
      <w:pPr>
        <w:pStyle w:val="ListParagraph"/>
        <w:numPr>
          <w:ilvl w:val="3"/>
          <w:numId w:val="116"/>
        </w:numPr>
        <w:tabs>
          <w:tab w:pos="2466" w:val="left" w:leader="none"/>
        </w:tabs>
        <w:spacing w:line="240" w:lineRule="auto" w:before="1" w:after="0"/>
        <w:ind w:left="2466" w:right="0" w:hanging="359"/>
        <w:jc w:val="left"/>
        <w:rPr>
          <w:sz w:val="22"/>
        </w:rPr>
      </w:pPr>
      <w:r>
        <w:rPr>
          <w:sz w:val="22"/>
        </w:rPr>
        <w:t>The</w:t>
      </w:r>
      <w:r>
        <w:rPr>
          <w:spacing w:val="-2"/>
          <w:sz w:val="22"/>
        </w:rPr>
        <w:t> </w:t>
      </w:r>
      <w:r>
        <w:rPr>
          <w:sz w:val="22"/>
        </w:rPr>
        <w:t>units</w:t>
      </w:r>
      <w:r>
        <w:rPr>
          <w:spacing w:val="-2"/>
          <w:sz w:val="22"/>
        </w:rPr>
        <w:t> </w:t>
      </w:r>
      <w:r>
        <w:rPr>
          <w:sz w:val="22"/>
        </w:rPr>
        <w:t>of</w:t>
      </w:r>
      <w:r>
        <w:rPr>
          <w:spacing w:val="1"/>
          <w:sz w:val="22"/>
        </w:rPr>
        <w:t> </w:t>
      </w:r>
      <w:r>
        <w:rPr>
          <w:spacing w:val="-2"/>
          <w:sz w:val="22"/>
        </w:rPr>
        <w:t>service(s);</w:t>
      </w:r>
    </w:p>
    <w:p>
      <w:pPr>
        <w:pStyle w:val="BodyText"/>
        <w:spacing w:before="9"/>
        <w:rPr>
          <w:sz w:val="21"/>
        </w:rPr>
      </w:pPr>
    </w:p>
    <w:p>
      <w:pPr>
        <w:pStyle w:val="ListParagraph"/>
        <w:numPr>
          <w:ilvl w:val="3"/>
          <w:numId w:val="116"/>
        </w:numPr>
        <w:tabs>
          <w:tab w:pos="2467" w:val="left" w:leader="none"/>
        </w:tabs>
        <w:spacing w:line="240" w:lineRule="auto" w:before="0" w:after="0"/>
        <w:ind w:left="2467" w:right="0" w:hanging="360"/>
        <w:jc w:val="left"/>
        <w:rPr>
          <w:sz w:val="22"/>
        </w:rPr>
      </w:pPr>
      <w:r>
        <w:rPr>
          <w:sz w:val="22"/>
        </w:rPr>
        <w:t>The</w:t>
      </w:r>
      <w:r>
        <w:rPr>
          <w:spacing w:val="-4"/>
          <w:sz w:val="22"/>
        </w:rPr>
        <w:t> </w:t>
      </w:r>
      <w:r>
        <w:rPr>
          <w:sz w:val="22"/>
        </w:rPr>
        <w:t>goals</w:t>
      </w:r>
      <w:r>
        <w:rPr>
          <w:spacing w:val="-1"/>
          <w:sz w:val="22"/>
        </w:rPr>
        <w:t> </w:t>
      </w:r>
      <w:r>
        <w:rPr>
          <w:sz w:val="22"/>
        </w:rPr>
        <w:t>of</w:t>
      </w:r>
      <w:r>
        <w:rPr>
          <w:spacing w:val="-1"/>
          <w:sz w:val="22"/>
        </w:rPr>
        <w:t> </w:t>
      </w:r>
      <w:r>
        <w:rPr>
          <w:sz w:val="22"/>
        </w:rPr>
        <w:t>the</w:t>
      </w:r>
      <w:r>
        <w:rPr>
          <w:spacing w:val="-1"/>
          <w:sz w:val="22"/>
        </w:rPr>
        <w:t> </w:t>
      </w:r>
      <w:r>
        <w:rPr>
          <w:spacing w:val="-2"/>
          <w:sz w:val="22"/>
        </w:rPr>
        <w:t>service(s);</w:t>
      </w:r>
    </w:p>
    <w:p>
      <w:pPr>
        <w:pStyle w:val="BodyText"/>
        <w:rPr>
          <w:sz w:val="22"/>
        </w:rPr>
      </w:pPr>
    </w:p>
    <w:p>
      <w:pPr>
        <w:pStyle w:val="ListParagraph"/>
        <w:numPr>
          <w:ilvl w:val="3"/>
          <w:numId w:val="116"/>
        </w:numPr>
        <w:tabs>
          <w:tab w:pos="2466" w:val="left" w:leader="none"/>
        </w:tabs>
        <w:spacing w:line="240" w:lineRule="auto" w:before="0" w:after="0"/>
        <w:ind w:left="2466" w:right="0" w:hanging="359"/>
        <w:jc w:val="left"/>
        <w:rPr>
          <w:sz w:val="22"/>
        </w:rPr>
      </w:pPr>
      <w:r>
        <w:rPr>
          <w:sz w:val="22"/>
        </w:rPr>
        <w:t>Steps</w:t>
      </w:r>
      <w:r>
        <w:rPr>
          <w:spacing w:val="-5"/>
          <w:sz w:val="22"/>
        </w:rPr>
        <w:t> </w:t>
      </w:r>
      <w:r>
        <w:rPr>
          <w:sz w:val="22"/>
        </w:rPr>
        <w:t>to</w:t>
      </w:r>
      <w:r>
        <w:rPr>
          <w:spacing w:val="-1"/>
          <w:sz w:val="22"/>
        </w:rPr>
        <w:t> </w:t>
      </w:r>
      <w:r>
        <w:rPr>
          <w:sz w:val="22"/>
        </w:rPr>
        <w:t>obtaining</w:t>
      </w:r>
      <w:r>
        <w:rPr>
          <w:spacing w:val="-4"/>
          <w:sz w:val="22"/>
        </w:rPr>
        <w:t> </w:t>
      </w:r>
      <w:r>
        <w:rPr>
          <w:sz w:val="22"/>
        </w:rPr>
        <w:t>the </w:t>
      </w:r>
      <w:r>
        <w:rPr>
          <w:spacing w:val="-2"/>
          <w:sz w:val="22"/>
        </w:rPr>
        <w:t>services;</w:t>
      </w:r>
    </w:p>
    <w:p>
      <w:pPr>
        <w:pStyle w:val="BodyText"/>
        <w:rPr>
          <w:sz w:val="22"/>
        </w:rPr>
      </w:pPr>
    </w:p>
    <w:p>
      <w:pPr>
        <w:pStyle w:val="ListParagraph"/>
        <w:numPr>
          <w:ilvl w:val="3"/>
          <w:numId w:val="116"/>
        </w:numPr>
        <w:tabs>
          <w:tab w:pos="2467" w:val="left" w:leader="none"/>
        </w:tabs>
        <w:spacing w:line="240" w:lineRule="auto" w:before="1" w:after="0"/>
        <w:ind w:left="2467" w:right="0" w:hanging="360"/>
        <w:jc w:val="left"/>
        <w:rPr>
          <w:sz w:val="22"/>
        </w:rPr>
      </w:pPr>
      <w:r>
        <w:rPr>
          <w:sz w:val="22"/>
        </w:rPr>
        <w:t>The</w:t>
      </w:r>
      <w:r>
        <w:rPr>
          <w:spacing w:val="-7"/>
          <w:sz w:val="22"/>
        </w:rPr>
        <w:t> </w:t>
      </w:r>
      <w:r>
        <w:rPr>
          <w:sz w:val="22"/>
        </w:rPr>
        <w:t>follow-up</w:t>
      </w:r>
      <w:r>
        <w:rPr>
          <w:spacing w:val="-3"/>
          <w:sz w:val="22"/>
        </w:rPr>
        <w:t> </w:t>
      </w:r>
      <w:r>
        <w:rPr>
          <w:sz w:val="22"/>
        </w:rPr>
        <w:t>plan;</w:t>
      </w:r>
      <w:r>
        <w:rPr>
          <w:spacing w:val="-1"/>
          <w:sz w:val="22"/>
        </w:rPr>
        <w:t> </w:t>
      </w:r>
      <w:r>
        <w:rPr>
          <w:spacing w:val="-5"/>
          <w:sz w:val="22"/>
        </w:rPr>
        <w:t>and</w:t>
      </w:r>
    </w:p>
    <w:p>
      <w:pPr>
        <w:pStyle w:val="BodyText"/>
        <w:rPr>
          <w:sz w:val="22"/>
        </w:rPr>
      </w:pPr>
    </w:p>
    <w:p>
      <w:pPr>
        <w:pStyle w:val="ListParagraph"/>
        <w:numPr>
          <w:ilvl w:val="3"/>
          <w:numId w:val="116"/>
        </w:numPr>
        <w:tabs>
          <w:tab w:pos="2467" w:val="left" w:leader="none"/>
        </w:tabs>
        <w:spacing w:line="240" w:lineRule="auto" w:before="0" w:after="0"/>
        <w:ind w:left="2467" w:right="118" w:hanging="360"/>
        <w:jc w:val="left"/>
        <w:rPr>
          <w:sz w:val="22"/>
        </w:rPr>
      </w:pPr>
      <w:r>
        <w:rPr>
          <w:sz w:val="22"/>
        </w:rPr>
        <w:t>The ACO representative or designee that will be responsible for managing the member’s Flexible Service Plan</w:t>
      </w:r>
    </w:p>
    <w:p>
      <w:pPr>
        <w:spacing w:line="276" w:lineRule="auto" w:before="202"/>
        <w:ind w:left="120" w:right="131" w:firstLine="50"/>
        <w:jc w:val="left"/>
        <w:rPr>
          <w:sz w:val="22"/>
        </w:rPr>
      </w:pPr>
      <w:r>
        <w:rPr>
          <w:sz w:val="22"/>
        </w:rPr>
        <w:t>An ACO or its designee is required to have at least one in-person meeting with the member during the assessment and planning process.</w:t>
      </w:r>
      <w:r>
        <w:rPr>
          <w:spacing w:val="40"/>
          <w:sz w:val="22"/>
        </w:rPr>
        <w:t> </w:t>
      </w:r>
      <w:r>
        <w:rPr>
          <w:sz w:val="22"/>
        </w:rPr>
        <w:t>The in-person assessment and planning may include assessments and planning performed by telehealth (e.g., telephone/videoconference), in situations when the member has provided informed consent to receive assessments and planning performed by telehealth, that the</w:t>
      </w:r>
      <w:r>
        <w:rPr>
          <w:spacing w:val="40"/>
          <w:sz w:val="22"/>
        </w:rPr>
        <w:t> </w:t>
      </w:r>
      <w:r>
        <w:rPr>
          <w:sz w:val="22"/>
        </w:rPr>
        <w:t>informed consent is documented by the ACO, and that the member receives the support needed to have the assessment conducted via telehealth (including any on-site support needed by the member).</w:t>
      </w:r>
      <w:r>
        <w:rPr>
          <w:spacing w:val="40"/>
          <w:sz w:val="22"/>
        </w:rPr>
        <w:t> </w:t>
      </w:r>
      <w:r>
        <w:rPr>
          <w:sz w:val="22"/>
        </w:rPr>
        <w:t>During a state</w:t>
      </w:r>
      <w:r>
        <w:rPr>
          <w:spacing w:val="-2"/>
          <w:sz w:val="22"/>
        </w:rPr>
        <w:t> </w:t>
      </w:r>
      <w:r>
        <w:rPr>
          <w:sz w:val="22"/>
        </w:rPr>
        <w:t>of</w:t>
      </w:r>
      <w:r>
        <w:rPr>
          <w:spacing w:val="-1"/>
          <w:sz w:val="22"/>
        </w:rPr>
        <w:t> </w:t>
      </w:r>
      <w:r>
        <w:rPr>
          <w:sz w:val="22"/>
        </w:rPr>
        <w:t>emergency</w:t>
      </w:r>
      <w:r>
        <w:rPr>
          <w:spacing w:val="-4"/>
          <w:sz w:val="22"/>
        </w:rPr>
        <w:t> </w:t>
      </w:r>
      <w:r>
        <w:rPr>
          <w:sz w:val="22"/>
        </w:rPr>
        <w:t>declared</w:t>
      </w:r>
      <w:r>
        <w:rPr>
          <w:spacing w:val="-2"/>
          <w:sz w:val="22"/>
        </w:rPr>
        <w:t> </w:t>
      </w:r>
      <w:r>
        <w:rPr>
          <w:sz w:val="22"/>
        </w:rPr>
        <w:t>by</w:t>
      </w:r>
      <w:r>
        <w:rPr>
          <w:spacing w:val="-4"/>
          <w:sz w:val="22"/>
        </w:rPr>
        <w:t> </w:t>
      </w:r>
      <w:r>
        <w:rPr>
          <w:sz w:val="22"/>
        </w:rPr>
        <w:t>the</w:t>
      </w:r>
      <w:r>
        <w:rPr>
          <w:spacing w:val="-2"/>
          <w:sz w:val="22"/>
        </w:rPr>
        <w:t> </w:t>
      </w:r>
      <w:r>
        <w:rPr>
          <w:sz w:val="22"/>
        </w:rPr>
        <w:t>federal</w:t>
      </w:r>
      <w:r>
        <w:rPr>
          <w:spacing w:val="-3"/>
          <w:sz w:val="22"/>
        </w:rPr>
        <w:t> </w:t>
      </w:r>
      <w:r>
        <w:rPr>
          <w:sz w:val="22"/>
        </w:rPr>
        <w:t>or</w:t>
      </w:r>
      <w:r>
        <w:rPr>
          <w:spacing w:val="-1"/>
          <w:sz w:val="22"/>
        </w:rPr>
        <w:t> </w:t>
      </w:r>
      <w:r>
        <w:rPr>
          <w:sz w:val="22"/>
        </w:rPr>
        <w:t>state</w:t>
      </w:r>
      <w:r>
        <w:rPr>
          <w:spacing w:val="-2"/>
          <w:sz w:val="22"/>
        </w:rPr>
        <w:t> </w:t>
      </w:r>
      <w:r>
        <w:rPr>
          <w:sz w:val="22"/>
        </w:rPr>
        <w:t>government,</w:t>
      </w:r>
      <w:r>
        <w:rPr>
          <w:spacing w:val="-2"/>
          <w:sz w:val="22"/>
        </w:rPr>
        <w:t> </w:t>
      </w:r>
      <w:r>
        <w:rPr>
          <w:sz w:val="22"/>
        </w:rPr>
        <w:t>the</w:t>
      </w:r>
      <w:r>
        <w:rPr>
          <w:spacing w:val="-2"/>
          <w:sz w:val="22"/>
        </w:rPr>
        <w:t> </w:t>
      </w:r>
      <w:r>
        <w:rPr>
          <w:sz w:val="22"/>
        </w:rPr>
        <w:t>State</w:t>
      </w:r>
      <w:r>
        <w:rPr>
          <w:spacing w:val="-2"/>
          <w:sz w:val="22"/>
        </w:rPr>
        <w:t> </w:t>
      </w:r>
      <w:r>
        <w:rPr>
          <w:sz w:val="22"/>
        </w:rPr>
        <w:t>may</w:t>
      </w:r>
      <w:r>
        <w:rPr>
          <w:spacing w:val="-4"/>
          <w:sz w:val="22"/>
        </w:rPr>
        <w:t> </w:t>
      </w:r>
      <w:r>
        <w:rPr>
          <w:sz w:val="22"/>
        </w:rPr>
        <w:t>temporarily</w:t>
      </w:r>
      <w:r>
        <w:rPr>
          <w:spacing w:val="-4"/>
          <w:sz w:val="22"/>
        </w:rPr>
        <w:t> </w:t>
      </w:r>
      <w:r>
        <w:rPr>
          <w:sz w:val="22"/>
        </w:rPr>
        <w:t>suspend</w:t>
      </w:r>
      <w:r>
        <w:rPr>
          <w:spacing w:val="-4"/>
          <w:sz w:val="22"/>
        </w:rPr>
        <w:t> </w:t>
      </w:r>
      <w:r>
        <w:rPr>
          <w:sz w:val="22"/>
        </w:rPr>
        <w:t>this</w:t>
      </w:r>
      <w:r>
        <w:rPr>
          <w:spacing w:val="-3"/>
          <w:sz w:val="22"/>
        </w:rPr>
        <w:t> </w:t>
      </w:r>
      <w:r>
        <w:rPr>
          <w:sz w:val="22"/>
        </w:rPr>
        <w:t>in- person meeting requirement for the duration of the state of emergency.</w:t>
      </w:r>
    </w:p>
    <w:p>
      <w:pPr>
        <w:pStyle w:val="ListParagraph"/>
        <w:numPr>
          <w:ilvl w:val="1"/>
          <w:numId w:val="116"/>
        </w:numPr>
        <w:tabs>
          <w:tab w:pos="838" w:val="left" w:leader="none"/>
        </w:tabs>
        <w:spacing w:line="240" w:lineRule="auto" w:before="199" w:after="0"/>
        <w:ind w:left="838" w:right="0" w:hanging="358"/>
        <w:jc w:val="left"/>
        <w:rPr>
          <w:b/>
          <w:sz w:val="22"/>
        </w:rPr>
      </w:pPr>
      <w:bookmarkStart w:name="C. Additional Requirements for Receiving" w:id="1565"/>
      <w:bookmarkEnd w:id="1565"/>
      <w:r>
        <w:rPr/>
      </w:r>
      <w:r>
        <w:rPr>
          <w:b/>
          <w:sz w:val="22"/>
        </w:rPr>
        <w:t>Additional</w:t>
      </w:r>
      <w:r>
        <w:rPr>
          <w:b/>
          <w:spacing w:val="-5"/>
          <w:sz w:val="22"/>
        </w:rPr>
        <w:t> </w:t>
      </w:r>
      <w:r>
        <w:rPr>
          <w:b/>
          <w:sz w:val="22"/>
        </w:rPr>
        <w:t>Requirements</w:t>
      </w:r>
      <w:r>
        <w:rPr>
          <w:b/>
          <w:spacing w:val="-7"/>
          <w:sz w:val="22"/>
        </w:rPr>
        <w:t> </w:t>
      </w:r>
      <w:r>
        <w:rPr>
          <w:b/>
          <w:sz w:val="22"/>
        </w:rPr>
        <w:t>for</w:t>
      </w:r>
      <w:r>
        <w:rPr>
          <w:b/>
          <w:spacing w:val="-6"/>
          <w:sz w:val="22"/>
        </w:rPr>
        <w:t> </w:t>
      </w:r>
      <w:r>
        <w:rPr>
          <w:b/>
          <w:sz w:val="22"/>
        </w:rPr>
        <w:t>Receiving</w:t>
      </w:r>
      <w:r>
        <w:rPr>
          <w:b/>
          <w:spacing w:val="-8"/>
          <w:sz w:val="22"/>
        </w:rPr>
        <w:t> </w:t>
      </w:r>
      <w:r>
        <w:rPr>
          <w:b/>
          <w:sz w:val="22"/>
        </w:rPr>
        <w:t>Flexible</w:t>
      </w:r>
      <w:r>
        <w:rPr>
          <w:b/>
          <w:spacing w:val="-5"/>
          <w:sz w:val="22"/>
        </w:rPr>
        <w:t> </w:t>
      </w:r>
      <w:r>
        <w:rPr>
          <w:b/>
          <w:spacing w:val="-2"/>
          <w:sz w:val="22"/>
        </w:rPr>
        <w:t>Services</w:t>
      </w:r>
    </w:p>
    <w:p>
      <w:pPr>
        <w:spacing w:line="252" w:lineRule="exact" w:before="198"/>
        <w:ind w:left="840" w:right="0" w:firstLine="0"/>
        <w:jc w:val="both"/>
        <w:rPr>
          <w:sz w:val="22"/>
        </w:rPr>
      </w:pPr>
      <w:r>
        <w:rPr>
          <w:sz w:val="22"/>
        </w:rPr>
        <w:t>To</w:t>
      </w:r>
      <w:r>
        <w:rPr>
          <w:spacing w:val="7"/>
          <w:sz w:val="22"/>
        </w:rPr>
        <w:t> </w:t>
      </w:r>
      <w:r>
        <w:rPr>
          <w:sz w:val="22"/>
        </w:rPr>
        <w:t>receive</w:t>
      </w:r>
      <w:r>
        <w:rPr>
          <w:spacing w:val="12"/>
          <w:sz w:val="22"/>
        </w:rPr>
        <w:t> </w:t>
      </w:r>
      <w:r>
        <w:rPr>
          <w:sz w:val="22"/>
        </w:rPr>
        <w:t>Flexible</w:t>
      </w:r>
      <w:r>
        <w:rPr>
          <w:spacing w:val="13"/>
          <w:sz w:val="22"/>
        </w:rPr>
        <w:t> </w:t>
      </w:r>
      <w:r>
        <w:rPr>
          <w:sz w:val="22"/>
        </w:rPr>
        <w:t>Services,</w:t>
      </w:r>
      <w:r>
        <w:rPr>
          <w:spacing w:val="11"/>
          <w:sz w:val="22"/>
        </w:rPr>
        <w:t> </w:t>
      </w:r>
      <w:r>
        <w:rPr>
          <w:sz w:val="22"/>
        </w:rPr>
        <w:t>the</w:t>
      </w:r>
      <w:r>
        <w:rPr>
          <w:spacing w:val="11"/>
          <w:sz w:val="22"/>
        </w:rPr>
        <w:t> </w:t>
      </w:r>
      <w:r>
        <w:rPr>
          <w:sz w:val="22"/>
        </w:rPr>
        <w:t>ACO</w:t>
      </w:r>
      <w:r>
        <w:rPr>
          <w:spacing w:val="11"/>
          <w:sz w:val="22"/>
        </w:rPr>
        <w:t> </w:t>
      </w:r>
      <w:r>
        <w:rPr>
          <w:sz w:val="22"/>
        </w:rPr>
        <w:t>must</w:t>
      </w:r>
      <w:r>
        <w:rPr>
          <w:spacing w:val="12"/>
          <w:sz w:val="22"/>
        </w:rPr>
        <w:t> </w:t>
      </w:r>
      <w:r>
        <w:rPr>
          <w:sz w:val="22"/>
        </w:rPr>
        <w:t>confirm</w:t>
      </w:r>
      <w:r>
        <w:rPr>
          <w:spacing w:val="7"/>
          <w:sz w:val="22"/>
        </w:rPr>
        <w:t> </w:t>
      </w:r>
      <w:r>
        <w:rPr>
          <w:sz w:val="22"/>
        </w:rPr>
        <w:t>that</w:t>
      </w:r>
      <w:r>
        <w:rPr>
          <w:spacing w:val="13"/>
          <w:sz w:val="22"/>
        </w:rPr>
        <w:t> </w:t>
      </w:r>
      <w:r>
        <w:rPr>
          <w:sz w:val="22"/>
        </w:rPr>
        <w:t>the</w:t>
      </w:r>
      <w:r>
        <w:rPr>
          <w:spacing w:val="11"/>
          <w:sz w:val="22"/>
        </w:rPr>
        <w:t> </w:t>
      </w:r>
      <w:r>
        <w:rPr>
          <w:sz w:val="22"/>
        </w:rPr>
        <w:t>member</w:t>
      </w:r>
      <w:r>
        <w:rPr>
          <w:spacing w:val="12"/>
          <w:sz w:val="22"/>
        </w:rPr>
        <w:t> </w:t>
      </w:r>
      <w:r>
        <w:rPr>
          <w:sz w:val="22"/>
        </w:rPr>
        <w:t>is</w:t>
      </w:r>
      <w:r>
        <w:rPr>
          <w:spacing w:val="10"/>
          <w:sz w:val="22"/>
        </w:rPr>
        <w:t> </w:t>
      </w:r>
      <w:r>
        <w:rPr>
          <w:sz w:val="22"/>
        </w:rPr>
        <w:t>enrolled</w:t>
      </w:r>
      <w:r>
        <w:rPr>
          <w:spacing w:val="11"/>
          <w:sz w:val="22"/>
        </w:rPr>
        <w:t> </w:t>
      </w:r>
      <w:r>
        <w:rPr>
          <w:sz w:val="22"/>
        </w:rPr>
        <w:t>in</w:t>
      </w:r>
      <w:r>
        <w:rPr>
          <w:spacing w:val="12"/>
          <w:sz w:val="22"/>
        </w:rPr>
        <w:t> </w:t>
      </w:r>
      <w:r>
        <w:rPr>
          <w:spacing w:val="-2"/>
          <w:sz w:val="22"/>
        </w:rPr>
        <w:t>MassHealth</w:t>
      </w:r>
    </w:p>
    <w:p>
      <w:pPr>
        <w:spacing w:line="242" w:lineRule="auto" w:before="0"/>
        <w:ind w:left="840" w:right="113" w:firstLine="0"/>
        <w:jc w:val="both"/>
        <w:rPr>
          <w:sz w:val="22"/>
        </w:rPr>
      </w:pPr>
      <w:r>
        <w:rPr>
          <w:sz w:val="22"/>
        </w:rPr>
        <w:t>(1) on the date the Flexible Services Assessment is conducted; (2) on the first date of a Flexible Services episode of care, which is a set of related Flexible Services (e.g. tenancy sustaining supports,</w:t>
      </w:r>
      <w:r>
        <w:rPr>
          <w:spacing w:val="-11"/>
          <w:sz w:val="22"/>
        </w:rPr>
        <w:t> </w:t>
      </w:r>
      <w:r>
        <w:rPr>
          <w:sz w:val="22"/>
        </w:rPr>
        <w:t>home</w:t>
      </w:r>
      <w:r>
        <w:rPr>
          <w:spacing w:val="-8"/>
          <w:sz w:val="22"/>
        </w:rPr>
        <w:t> </w:t>
      </w:r>
      <w:r>
        <w:rPr>
          <w:sz w:val="22"/>
        </w:rPr>
        <w:t>modifications,</w:t>
      </w:r>
      <w:r>
        <w:rPr>
          <w:spacing w:val="-8"/>
          <w:sz w:val="22"/>
        </w:rPr>
        <w:t> </w:t>
      </w:r>
      <w:r>
        <w:rPr>
          <w:sz w:val="22"/>
        </w:rPr>
        <w:t>nutrition</w:t>
      </w:r>
      <w:r>
        <w:rPr>
          <w:spacing w:val="-8"/>
          <w:sz w:val="22"/>
        </w:rPr>
        <w:t> </w:t>
      </w:r>
      <w:r>
        <w:rPr>
          <w:sz w:val="22"/>
        </w:rPr>
        <w:t>sustaining</w:t>
      </w:r>
      <w:r>
        <w:rPr>
          <w:spacing w:val="-11"/>
          <w:sz w:val="22"/>
        </w:rPr>
        <w:t> </w:t>
      </w:r>
      <w:r>
        <w:rPr>
          <w:sz w:val="22"/>
        </w:rPr>
        <w:t>supports);</w:t>
      </w:r>
      <w:r>
        <w:rPr>
          <w:spacing w:val="-7"/>
          <w:sz w:val="22"/>
        </w:rPr>
        <w:t> </w:t>
      </w:r>
      <w:r>
        <w:rPr>
          <w:sz w:val="22"/>
        </w:rPr>
        <w:t>and</w:t>
      </w:r>
      <w:r>
        <w:rPr>
          <w:spacing w:val="-11"/>
          <w:sz w:val="22"/>
        </w:rPr>
        <w:t> </w:t>
      </w:r>
      <w:r>
        <w:rPr>
          <w:sz w:val="22"/>
        </w:rPr>
        <w:t>(3)</w:t>
      </w:r>
      <w:r>
        <w:rPr>
          <w:spacing w:val="-7"/>
          <w:sz w:val="22"/>
        </w:rPr>
        <w:t> </w:t>
      </w:r>
      <w:r>
        <w:rPr>
          <w:sz w:val="22"/>
        </w:rPr>
        <w:t>every</w:t>
      </w:r>
      <w:r>
        <w:rPr>
          <w:spacing w:val="-11"/>
          <w:sz w:val="22"/>
        </w:rPr>
        <w:t> </w:t>
      </w:r>
      <w:r>
        <w:rPr>
          <w:sz w:val="22"/>
        </w:rPr>
        <w:t>subsequent</w:t>
      </w:r>
      <w:r>
        <w:rPr>
          <w:spacing w:val="-7"/>
          <w:sz w:val="22"/>
        </w:rPr>
        <w:t> </w:t>
      </w:r>
      <w:r>
        <w:rPr>
          <w:sz w:val="22"/>
        </w:rPr>
        <w:t>90</w:t>
      </w:r>
      <w:r>
        <w:rPr>
          <w:spacing w:val="-8"/>
          <w:sz w:val="22"/>
        </w:rPr>
        <w:t> </w:t>
      </w:r>
      <w:r>
        <w:rPr>
          <w:sz w:val="22"/>
        </w:rPr>
        <w:t>calendar days from the initial date of service of an episode of care until the conclusion of that episode.</w:t>
      </w:r>
    </w:p>
    <w:p>
      <w:pPr>
        <w:pStyle w:val="ListParagraph"/>
        <w:numPr>
          <w:ilvl w:val="1"/>
          <w:numId w:val="116"/>
        </w:numPr>
        <w:tabs>
          <w:tab w:pos="838" w:val="left" w:leader="none"/>
        </w:tabs>
        <w:spacing w:line="240" w:lineRule="auto" w:before="192" w:after="0"/>
        <w:ind w:left="838" w:right="0" w:hanging="358"/>
        <w:jc w:val="left"/>
        <w:rPr>
          <w:b/>
          <w:sz w:val="22"/>
        </w:rPr>
      </w:pPr>
      <w:bookmarkStart w:name="D. Flexible Services Service Availabilit" w:id="1566"/>
      <w:bookmarkEnd w:id="1566"/>
      <w:r>
        <w:rPr/>
      </w:r>
      <w:r>
        <w:rPr>
          <w:b/>
          <w:sz w:val="22"/>
        </w:rPr>
        <w:t>Flexible</w:t>
      </w:r>
      <w:r>
        <w:rPr>
          <w:b/>
          <w:spacing w:val="-5"/>
          <w:sz w:val="22"/>
        </w:rPr>
        <w:t> </w:t>
      </w:r>
      <w:r>
        <w:rPr>
          <w:b/>
          <w:sz w:val="22"/>
        </w:rPr>
        <w:t>Services</w:t>
      </w:r>
      <w:r>
        <w:rPr>
          <w:b/>
          <w:spacing w:val="-4"/>
          <w:sz w:val="22"/>
        </w:rPr>
        <w:t> </w:t>
      </w:r>
      <w:r>
        <w:rPr>
          <w:b/>
          <w:sz w:val="22"/>
        </w:rPr>
        <w:t>Service</w:t>
      </w:r>
      <w:r>
        <w:rPr>
          <w:b/>
          <w:spacing w:val="-6"/>
          <w:sz w:val="22"/>
        </w:rPr>
        <w:t> </w:t>
      </w:r>
      <w:r>
        <w:rPr>
          <w:b/>
          <w:spacing w:val="-2"/>
          <w:sz w:val="22"/>
        </w:rPr>
        <w:t>Availability</w:t>
      </w:r>
    </w:p>
    <w:p>
      <w:pPr>
        <w:pStyle w:val="ListParagraph"/>
        <w:numPr>
          <w:ilvl w:val="2"/>
          <w:numId w:val="116"/>
        </w:numPr>
        <w:tabs>
          <w:tab w:pos="1558" w:val="left" w:leader="none"/>
          <w:tab w:pos="1560" w:val="left" w:leader="none"/>
        </w:tabs>
        <w:spacing w:line="240" w:lineRule="auto" w:before="198" w:after="0"/>
        <w:ind w:left="1560" w:right="115" w:hanging="361"/>
        <w:jc w:val="both"/>
        <w:rPr>
          <w:sz w:val="22"/>
        </w:rPr>
      </w:pPr>
      <w:r>
        <w:rPr>
          <w:sz w:val="22"/>
        </w:rPr>
        <w:t>The</w:t>
      </w:r>
      <w:r>
        <w:rPr>
          <w:spacing w:val="-9"/>
          <w:sz w:val="22"/>
        </w:rPr>
        <w:t> </w:t>
      </w:r>
      <w:r>
        <w:rPr>
          <w:sz w:val="22"/>
        </w:rPr>
        <w:t>State</w:t>
      </w:r>
      <w:r>
        <w:rPr>
          <w:spacing w:val="-7"/>
          <w:sz w:val="22"/>
        </w:rPr>
        <w:t> </w:t>
      </w:r>
      <w:r>
        <w:rPr>
          <w:sz w:val="22"/>
        </w:rPr>
        <w:t>reserves</w:t>
      </w:r>
      <w:r>
        <w:rPr>
          <w:spacing w:val="-9"/>
          <w:sz w:val="22"/>
        </w:rPr>
        <w:t> </w:t>
      </w:r>
      <w:r>
        <w:rPr>
          <w:sz w:val="22"/>
        </w:rPr>
        <w:t>the</w:t>
      </w:r>
      <w:r>
        <w:rPr>
          <w:spacing w:val="-9"/>
          <w:sz w:val="22"/>
        </w:rPr>
        <w:t> </w:t>
      </w:r>
      <w:r>
        <w:rPr>
          <w:sz w:val="22"/>
        </w:rPr>
        <w:t>right</w:t>
      </w:r>
      <w:r>
        <w:rPr>
          <w:spacing w:val="-11"/>
          <w:sz w:val="22"/>
        </w:rPr>
        <w:t> </w:t>
      </w:r>
      <w:r>
        <w:rPr>
          <w:sz w:val="22"/>
        </w:rPr>
        <w:t>to</w:t>
      </w:r>
      <w:r>
        <w:rPr>
          <w:spacing w:val="-10"/>
          <w:sz w:val="22"/>
        </w:rPr>
        <w:t> </w:t>
      </w:r>
      <w:r>
        <w:rPr>
          <w:sz w:val="22"/>
        </w:rPr>
        <w:t>roll</w:t>
      </w:r>
      <w:r>
        <w:rPr>
          <w:spacing w:val="-6"/>
          <w:sz w:val="22"/>
        </w:rPr>
        <w:t> </w:t>
      </w:r>
      <w:r>
        <w:rPr>
          <w:sz w:val="22"/>
        </w:rPr>
        <w:t>out</w:t>
      </w:r>
      <w:r>
        <w:rPr>
          <w:spacing w:val="-9"/>
          <w:sz w:val="22"/>
        </w:rPr>
        <w:t> </w:t>
      </w:r>
      <w:r>
        <w:rPr>
          <w:sz w:val="22"/>
        </w:rPr>
        <w:t>the</w:t>
      </w:r>
      <w:r>
        <w:rPr>
          <w:spacing w:val="-9"/>
          <w:sz w:val="22"/>
        </w:rPr>
        <w:t> </w:t>
      </w:r>
      <w:r>
        <w:rPr>
          <w:sz w:val="22"/>
        </w:rPr>
        <w:t>services</w:t>
      </w:r>
      <w:r>
        <w:rPr>
          <w:spacing w:val="-7"/>
          <w:sz w:val="22"/>
        </w:rPr>
        <w:t> </w:t>
      </w:r>
      <w:r>
        <w:rPr>
          <w:sz w:val="22"/>
        </w:rPr>
        <w:t>and</w:t>
      </w:r>
      <w:r>
        <w:rPr>
          <w:spacing w:val="-9"/>
          <w:sz w:val="22"/>
        </w:rPr>
        <w:t> </w:t>
      </w:r>
      <w:r>
        <w:rPr>
          <w:sz w:val="22"/>
        </w:rPr>
        <w:t>member</w:t>
      </w:r>
      <w:r>
        <w:rPr>
          <w:spacing w:val="-6"/>
          <w:sz w:val="22"/>
        </w:rPr>
        <w:t> </w:t>
      </w:r>
      <w:r>
        <w:rPr>
          <w:sz w:val="22"/>
        </w:rPr>
        <w:t>eligibility</w:t>
      </w:r>
      <w:r>
        <w:rPr>
          <w:spacing w:val="-10"/>
          <w:sz w:val="22"/>
        </w:rPr>
        <w:t> </w:t>
      </w:r>
      <w:r>
        <w:rPr>
          <w:sz w:val="22"/>
        </w:rPr>
        <w:t>groups</w:t>
      </w:r>
      <w:r>
        <w:rPr>
          <w:spacing w:val="-9"/>
          <w:sz w:val="22"/>
        </w:rPr>
        <w:t> </w:t>
      </w:r>
      <w:r>
        <w:rPr>
          <w:sz w:val="22"/>
        </w:rPr>
        <w:t>in</w:t>
      </w:r>
      <w:r>
        <w:rPr>
          <w:spacing w:val="-7"/>
          <w:sz w:val="22"/>
        </w:rPr>
        <w:t> </w:t>
      </w:r>
      <w:r>
        <w:rPr>
          <w:sz w:val="22"/>
        </w:rPr>
        <w:t>stages, in accordance with a plan set forth by the State,</w:t>
      </w:r>
      <w:r>
        <w:rPr>
          <w:spacing w:val="-1"/>
          <w:sz w:val="22"/>
        </w:rPr>
        <w:t> </w:t>
      </w:r>
      <w:r>
        <w:rPr>
          <w:sz w:val="22"/>
        </w:rPr>
        <w:t>as well as to set up specific requirements that the Accountable Care Organization must meet before programs and funds will be </w:t>
      </w:r>
      <w:r>
        <w:rPr>
          <w:spacing w:val="-2"/>
          <w:sz w:val="22"/>
        </w:rPr>
        <w:t>approved.</w:t>
      </w:r>
    </w:p>
    <w:p>
      <w:pPr>
        <w:pStyle w:val="BodyText"/>
        <w:rPr>
          <w:sz w:val="22"/>
        </w:rPr>
      </w:pPr>
    </w:p>
    <w:p>
      <w:pPr>
        <w:pStyle w:val="ListParagraph"/>
        <w:numPr>
          <w:ilvl w:val="2"/>
          <w:numId w:val="116"/>
        </w:numPr>
        <w:tabs>
          <w:tab w:pos="1560" w:val="left" w:leader="none"/>
        </w:tabs>
        <w:spacing w:line="240" w:lineRule="auto" w:before="0" w:after="0"/>
        <w:ind w:left="1560" w:right="113" w:hanging="360"/>
        <w:jc w:val="both"/>
        <w:rPr>
          <w:sz w:val="22"/>
        </w:rPr>
      </w:pPr>
      <w:r>
        <w:rPr>
          <w:sz w:val="22"/>
        </w:rPr>
        <w:t>ACOs may elect to provide flexible services only to members with certain health needs- based criteria or with certain Risk Factors from among those listed in Section II above. ACOs may also restrict the number of members within those categories who will receive services. ACOs may</w:t>
      </w:r>
      <w:r>
        <w:rPr>
          <w:spacing w:val="-2"/>
          <w:sz w:val="22"/>
        </w:rPr>
        <w:t> </w:t>
      </w:r>
      <w:r>
        <w:rPr>
          <w:sz w:val="22"/>
        </w:rPr>
        <w:t>also elect which</w:t>
      </w:r>
      <w:r>
        <w:rPr>
          <w:spacing w:val="-2"/>
          <w:sz w:val="22"/>
        </w:rPr>
        <w:t> </w:t>
      </w:r>
      <w:r>
        <w:rPr>
          <w:sz w:val="22"/>
        </w:rPr>
        <w:t>flexible</w:t>
      </w:r>
      <w:r>
        <w:rPr>
          <w:spacing w:val="-2"/>
          <w:sz w:val="22"/>
        </w:rPr>
        <w:t> </w:t>
      </w:r>
      <w:r>
        <w:rPr>
          <w:sz w:val="22"/>
        </w:rPr>
        <w:t>services</w:t>
      </w:r>
      <w:r>
        <w:rPr>
          <w:spacing w:val="-4"/>
          <w:sz w:val="22"/>
        </w:rPr>
        <w:t> </w:t>
      </w:r>
      <w:r>
        <w:rPr>
          <w:sz w:val="22"/>
        </w:rPr>
        <w:t>they</w:t>
      </w:r>
      <w:r>
        <w:rPr>
          <w:spacing w:val="-2"/>
          <w:sz w:val="22"/>
        </w:rPr>
        <w:t> </w:t>
      </w:r>
      <w:r>
        <w:rPr>
          <w:sz w:val="22"/>
        </w:rPr>
        <w:t>intend</w:t>
      </w:r>
      <w:r>
        <w:rPr>
          <w:spacing w:val="-2"/>
          <w:sz w:val="22"/>
        </w:rPr>
        <w:t> </w:t>
      </w:r>
      <w:r>
        <w:rPr>
          <w:sz w:val="22"/>
        </w:rPr>
        <w:t>to offer.</w:t>
      </w:r>
      <w:r>
        <w:rPr>
          <w:spacing w:val="40"/>
          <w:sz w:val="22"/>
        </w:rPr>
        <w:t> </w:t>
      </w:r>
      <w:r>
        <w:rPr>
          <w:sz w:val="22"/>
        </w:rPr>
        <w:t>ACOs will be required to submit such plans to the State for approval. The State may require ACOs to maintain a waitlist.</w:t>
      </w:r>
    </w:p>
    <w:p>
      <w:pPr>
        <w:spacing w:after="0" w:line="240" w:lineRule="auto"/>
        <w:jc w:val="both"/>
        <w:rPr>
          <w:sz w:val="22"/>
        </w:rPr>
        <w:sectPr>
          <w:pgSz w:w="12240" w:h="15840"/>
          <w:pgMar w:header="0" w:footer="1240" w:top="640" w:bottom="1420" w:left="1320" w:right="1320"/>
        </w:sectPr>
      </w:pPr>
    </w:p>
    <w:p>
      <w:pPr>
        <w:spacing w:before="80"/>
        <w:ind w:left="120" w:right="0" w:firstLine="0"/>
        <w:jc w:val="left"/>
        <w:rPr>
          <w:sz w:val="20"/>
        </w:rPr>
      </w:pPr>
      <w:r>
        <w:rPr>
          <w:spacing w:val="-2"/>
          <w:sz w:val="20"/>
        </w:rPr>
        <w:t>Attachment</w:t>
      </w:r>
      <w:r>
        <w:rPr>
          <w:spacing w:val="6"/>
          <w:sz w:val="20"/>
        </w:rPr>
        <w:t> </w:t>
      </w:r>
      <w:r>
        <w:rPr>
          <w:spacing w:val="-10"/>
          <w:sz w:val="20"/>
        </w:rPr>
        <w:t>R</w:t>
      </w:r>
    </w:p>
    <w:p>
      <w:pPr>
        <w:pStyle w:val="BodyText"/>
        <w:rPr>
          <w:sz w:val="20"/>
        </w:rPr>
      </w:pPr>
    </w:p>
    <w:p>
      <w:pPr>
        <w:pStyle w:val="BodyText"/>
        <w:spacing w:before="5"/>
        <w:rPr>
          <w:sz w:val="22"/>
        </w:rPr>
      </w:pPr>
    </w:p>
    <w:p>
      <w:pPr>
        <w:pStyle w:val="ListParagraph"/>
        <w:numPr>
          <w:ilvl w:val="2"/>
          <w:numId w:val="116"/>
        </w:numPr>
        <w:tabs>
          <w:tab w:pos="1559" w:val="left" w:leader="none"/>
        </w:tabs>
        <w:spacing w:line="240" w:lineRule="auto" w:before="0" w:after="0"/>
        <w:ind w:left="1559" w:right="115" w:hanging="360"/>
        <w:jc w:val="both"/>
        <w:rPr>
          <w:sz w:val="22"/>
        </w:rPr>
      </w:pPr>
      <w:r>
        <w:rPr>
          <w:sz w:val="22"/>
        </w:rPr>
        <w:t>ACOs will be required to estimate the number of members they expect to serve each year with</w:t>
      </w:r>
      <w:r>
        <w:rPr>
          <w:spacing w:val="-7"/>
          <w:sz w:val="22"/>
        </w:rPr>
        <w:t> </w:t>
      </w:r>
      <w:r>
        <w:rPr>
          <w:sz w:val="22"/>
        </w:rPr>
        <w:t>the</w:t>
      </w:r>
      <w:r>
        <w:rPr>
          <w:spacing w:val="-4"/>
          <w:sz w:val="22"/>
        </w:rPr>
        <w:t> </w:t>
      </w:r>
      <w:r>
        <w:rPr>
          <w:sz w:val="22"/>
        </w:rPr>
        <w:t>FSP</w:t>
      </w:r>
      <w:r>
        <w:rPr>
          <w:spacing w:val="-5"/>
          <w:sz w:val="22"/>
        </w:rPr>
        <w:t> </w:t>
      </w:r>
      <w:r>
        <w:rPr>
          <w:sz w:val="22"/>
        </w:rPr>
        <w:t>as</w:t>
      </w:r>
      <w:r>
        <w:rPr>
          <w:spacing w:val="-4"/>
          <w:sz w:val="22"/>
        </w:rPr>
        <w:t> </w:t>
      </w:r>
      <w:r>
        <w:rPr>
          <w:sz w:val="22"/>
        </w:rPr>
        <w:t>well</w:t>
      </w:r>
      <w:r>
        <w:rPr>
          <w:spacing w:val="-4"/>
          <w:sz w:val="22"/>
        </w:rPr>
        <w:t> </w:t>
      </w:r>
      <w:r>
        <w:rPr>
          <w:sz w:val="22"/>
        </w:rPr>
        <w:t>as</w:t>
      </w:r>
      <w:r>
        <w:rPr>
          <w:spacing w:val="-4"/>
          <w:sz w:val="22"/>
        </w:rPr>
        <w:t> </w:t>
      </w:r>
      <w:r>
        <w:rPr>
          <w:sz w:val="22"/>
        </w:rPr>
        <w:t>report</w:t>
      </w:r>
      <w:r>
        <w:rPr>
          <w:spacing w:val="-6"/>
          <w:sz w:val="22"/>
        </w:rPr>
        <w:t> </w:t>
      </w:r>
      <w:r>
        <w:rPr>
          <w:sz w:val="22"/>
        </w:rPr>
        <w:t>to</w:t>
      </w:r>
      <w:r>
        <w:rPr>
          <w:spacing w:val="-5"/>
          <w:sz w:val="22"/>
        </w:rPr>
        <w:t> </w:t>
      </w:r>
      <w:r>
        <w:rPr>
          <w:sz w:val="22"/>
        </w:rPr>
        <w:t>the</w:t>
      </w:r>
      <w:r>
        <w:rPr>
          <w:spacing w:val="-4"/>
          <w:sz w:val="22"/>
        </w:rPr>
        <w:t> </w:t>
      </w:r>
      <w:r>
        <w:rPr>
          <w:sz w:val="22"/>
        </w:rPr>
        <w:t>State</w:t>
      </w:r>
      <w:r>
        <w:rPr>
          <w:spacing w:val="-4"/>
          <w:sz w:val="22"/>
        </w:rPr>
        <w:t> </w:t>
      </w:r>
      <w:r>
        <w:rPr>
          <w:sz w:val="22"/>
        </w:rPr>
        <w:t>on</w:t>
      </w:r>
      <w:r>
        <w:rPr>
          <w:spacing w:val="-7"/>
          <w:sz w:val="22"/>
        </w:rPr>
        <w:t> </w:t>
      </w:r>
      <w:r>
        <w:rPr>
          <w:sz w:val="22"/>
        </w:rPr>
        <w:t>the</w:t>
      </w:r>
      <w:r>
        <w:rPr>
          <w:spacing w:val="-4"/>
          <w:sz w:val="22"/>
        </w:rPr>
        <w:t> </w:t>
      </w:r>
      <w:r>
        <w:rPr>
          <w:sz w:val="22"/>
        </w:rPr>
        <w:t>actual</w:t>
      </w:r>
      <w:r>
        <w:rPr>
          <w:spacing w:val="-6"/>
          <w:sz w:val="22"/>
        </w:rPr>
        <w:t> </w:t>
      </w:r>
      <w:r>
        <w:rPr>
          <w:sz w:val="22"/>
        </w:rPr>
        <w:t>number</w:t>
      </w:r>
      <w:r>
        <w:rPr>
          <w:spacing w:val="-4"/>
          <w:sz w:val="22"/>
        </w:rPr>
        <w:t> </w:t>
      </w:r>
      <w:r>
        <w:rPr>
          <w:sz w:val="22"/>
        </w:rPr>
        <w:t>of</w:t>
      </w:r>
      <w:r>
        <w:rPr>
          <w:spacing w:val="-4"/>
          <w:sz w:val="22"/>
        </w:rPr>
        <w:t> </w:t>
      </w:r>
      <w:r>
        <w:rPr>
          <w:sz w:val="22"/>
        </w:rPr>
        <w:t>members</w:t>
      </w:r>
      <w:r>
        <w:rPr>
          <w:spacing w:val="-5"/>
          <w:sz w:val="22"/>
        </w:rPr>
        <w:t> </w:t>
      </w:r>
      <w:r>
        <w:rPr>
          <w:sz w:val="22"/>
        </w:rPr>
        <w:t>they</w:t>
      </w:r>
      <w:r>
        <w:rPr>
          <w:spacing w:val="-7"/>
          <w:sz w:val="22"/>
        </w:rPr>
        <w:t> </w:t>
      </w:r>
      <w:r>
        <w:rPr>
          <w:sz w:val="22"/>
        </w:rPr>
        <w:t>do</w:t>
      </w:r>
      <w:r>
        <w:rPr>
          <w:spacing w:val="-5"/>
          <w:sz w:val="22"/>
        </w:rPr>
        <w:t> </w:t>
      </w:r>
      <w:r>
        <w:rPr>
          <w:sz w:val="22"/>
        </w:rPr>
        <w:t>serve. Due</w:t>
      </w:r>
      <w:r>
        <w:rPr>
          <w:spacing w:val="-7"/>
          <w:sz w:val="22"/>
        </w:rPr>
        <w:t> </w:t>
      </w:r>
      <w:r>
        <w:rPr>
          <w:sz w:val="22"/>
        </w:rPr>
        <w:t>to</w:t>
      </w:r>
      <w:r>
        <w:rPr>
          <w:spacing w:val="-10"/>
          <w:sz w:val="22"/>
        </w:rPr>
        <w:t> </w:t>
      </w:r>
      <w:r>
        <w:rPr>
          <w:sz w:val="22"/>
        </w:rPr>
        <w:t>limited</w:t>
      </w:r>
      <w:r>
        <w:rPr>
          <w:spacing w:val="-9"/>
          <w:sz w:val="22"/>
        </w:rPr>
        <w:t> </w:t>
      </w:r>
      <w:r>
        <w:rPr>
          <w:sz w:val="22"/>
        </w:rPr>
        <w:t>funding</w:t>
      </w:r>
      <w:r>
        <w:rPr>
          <w:spacing w:val="-10"/>
          <w:sz w:val="22"/>
        </w:rPr>
        <w:t> </w:t>
      </w:r>
      <w:r>
        <w:rPr>
          <w:sz w:val="22"/>
        </w:rPr>
        <w:t>and</w:t>
      </w:r>
      <w:r>
        <w:rPr>
          <w:spacing w:val="-12"/>
          <w:sz w:val="22"/>
        </w:rPr>
        <w:t> </w:t>
      </w:r>
      <w:r>
        <w:rPr>
          <w:sz w:val="22"/>
        </w:rPr>
        <w:t>resources,</w:t>
      </w:r>
      <w:r>
        <w:rPr>
          <w:spacing w:val="-7"/>
          <w:sz w:val="22"/>
        </w:rPr>
        <w:t> </w:t>
      </w:r>
      <w:r>
        <w:rPr>
          <w:sz w:val="22"/>
        </w:rPr>
        <w:t>neither</w:t>
      </w:r>
      <w:r>
        <w:rPr>
          <w:spacing w:val="-9"/>
          <w:sz w:val="22"/>
        </w:rPr>
        <w:t> </w:t>
      </w:r>
      <w:r>
        <w:rPr>
          <w:sz w:val="22"/>
        </w:rPr>
        <w:t>the</w:t>
      </w:r>
      <w:r>
        <w:rPr>
          <w:spacing w:val="-9"/>
          <w:sz w:val="22"/>
        </w:rPr>
        <w:t> </w:t>
      </w:r>
      <w:r>
        <w:rPr>
          <w:sz w:val="22"/>
        </w:rPr>
        <w:t>State</w:t>
      </w:r>
      <w:r>
        <w:rPr>
          <w:spacing w:val="-11"/>
          <w:sz w:val="22"/>
        </w:rPr>
        <w:t> </w:t>
      </w:r>
      <w:r>
        <w:rPr>
          <w:sz w:val="22"/>
        </w:rPr>
        <w:t>nor</w:t>
      </w:r>
      <w:r>
        <w:rPr>
          <w:spacing w:val="-6"/>
          <w:sz w:val="22"/>
        </w:rPr>
        <w:t> </w:t>
      </w:r>
      <w:r>
        <w:rPr>
          <w:sz w:val="22"/>
        </w:rPr>
        <w:t>ACOs</w:t>
      </w:r>
      <w:r>
        <w:rPr>
          <w:spacing w:val="-7"/>
          <w:sz w:val="22"/>
        </w:rPr>
        <w:t> </w:t>
      </w:r>
      <w:r>
        <w:rPr>
          <w:sz w:val="22"/>
        </w:rPr>
        <w:t>will</w:t>
      </w:r>
      <w:r>
        <w:rPr>
          <w:spacing w:val="-6"/>
          <w:sz w:val="22"/>
        </w:rPr>
        <w:t> </w:t>
      </w:r>
      <w:r>
        <w:rPr>
          <w:sz w:val="22"/>
        </w:rPr>
        <w:t>be</w:t>
      </w:r>
      <w:r>
        <w:rPr>
          <w:spacing w:val="-7"/>
          <w:sz w:val="22"/>
        </w:rPr>
        <w:t> </w:t>
      </w:r>
      <w:r>
        <w:rPr>
          <w:sz w:val="22"/>
        </w:rPr>
        <w:t>expected</w:t>
      </w:r>
      <w:r>
        <w:rPr>
          <w:spacing w:val="-12"/>
          <w:sz w:val="22"/>
        </w:rPr>
        <w:t> </w:t>
      </w:r>
      <w:r>
        <w:rPr>
          <w:sz w:val="22"/>
        </w:rPr>
        <w:t>to</w:t>
      </w:r>
      <w:r>
        <w:rPr>
          <w:spacing w:val="-7"/>
          <w:sz w:val="22"/>
        </w:rPr>
        <w:t> </w:t>
      </w:r>
      <w:r>
        <w:rPr>
          <w:sz w:val="22"/>
        </w:rPr>
        <w:t>serve all eligible members.</w:t>
      </w:r>
    </w:p>
    <w:p>
      <w:pPr>
        <w:pStyle w:val="BodyText"/>
        <w:rPr>
          <w:sz w:val="22"/>
        </w:rPr>
      </w:pPr>
    </w:p>
    <w:p>
      <w:pPr>
        <w:pStyle w:val="ListParagraph"/>
        <w:numPr>
          <w:ilvl w:val="2"/>
          <w:numId w:val="116"/>
        </w:numPr>
        <w:tabs>
          <w:tab w:pos="1559" w:val="left" w:leader="none"/>
        </w:tabs>
        <w:spacing w:line="242" w:lineRule="auto" w:before="0" w:after="0"/>
        <w:ind w:left="1559" w:right="116" w:hanging="360"/>
        <w:jc w:val="both"/>
        <w:rPr>
          <w:sz w:val="22"/>
        </w:rPr>
      </w:pPr>
      <w:r>
        <w:rPr>
          <w:sz w:val="22"/>
        </w:rPr>
        <w:t>A parent, guardian, or caregiver of a child assessed to need TPS and NSS services that resides with the child may receive such services on the child’s behalf when in the best interests of the child as determined through the flexible service plan.</w:t>
      </w:r>
    </w:p>
    <w:p>
      <w:pPr>
        <w:pStyle w:val="ListParagraph"/>
        <w:numPr>
          <w:ilvl w:val="1"/>
          <w:numId w:val="116"/>
        </w:numPr>
        <w:tabs>
          <w:tab w:pos="359" w:val="left" w:leader="none"/>
        </w:tabs>
        <w:spacing w:line="240" w:lineRule="auto" w:before="196" w:after="0"/>
        <w:ind w:left="359" w:right="6973" w:hanging="359"/>
        <w:jc w:val="right"/>
        <w:rPr>
          <w:b/>
          <w:sz w:val="22"/>
        </w:rPr>
      </w:pPr>
      <w:bookmarkStart w:name="E. Conflict of Interest" w:id="1567"/>
      <w:bookmarkEnd w:id="1567"/>
      <w:r>
        <w:rPr/>
      </w:r>
      <w:r>
        <w:rPr>
          <w:b/>
          <w:sz w:val="22"/>
        </w:rPr>
        <w:t>Conflict</w:t>
      </w:r>
      <w:r>
        <w:rPr>
          <w:b/>
          <w:spacing w:val="-6"/>
          <w:sz w:val="22"/>
        </w:rPr>
        <w:t> </w:t>
      </w:r>
      <w:r>
        <w:rPr>
          <w:b/>
          <w:sz w:val="22"/>
        </w:rPr>
        <w:t>of </w:t>
      </w:r>
      <w:r>
        <w:rPr>
          <w:b/>
          <w:spacing w:val="-2"/>
          <w:sz w:val="22"/>
        </w:rPr>
        <w:t>Interest</w:t>
      </w:r>
    </w:p>
    <w:p>
      <w:pPr>
        <w:spacing w:before="196"/>
        <w:ind w:left="1559" w:right="773" w:firstLine="0"/>
        <w:jc w:val="both"/>
        <w:rPr>
          <w:sz w:val="22"/>
        </w:rPr>
      </w:pPr>
      <w:r>
        <w:rPr>
          <w:sz w:val="22"/>
        </w:rPr>
        <w:t>An</w:t>
      </w:r>
      <w:r>
        <w:rPr>
          <w:spacing w:val="-3"/>
          <w:sz w:val="22"/>
        </w:rPr>
        <w:t> </w:t>
      </w:r>
      <w:r>
        <w:rPr>
          <w:sz w:val="22"/>
        </w:rPr>
        <w:t>entity</w:t>
      </w:r>
      <w:r>
        <w:rPr>
          <w:spacing w:val="-6"/>
          <w:sz w:val="22"/>
        </w:rPr>
        <w:t> </w:t>
      </w:r>
      <w:r>
        <w:rPr>
          <w:sz w:val="22"/>
        </w:rPr>
        <w:t>that</w:t>
      </w:r>
      <w:r>
        <w:rPr>
          <w:spacing w:val="-2"/>
          <w:sz w:val="22"/>
        </w:rPr>
        <w:t> </w:t>
      </w:r>
      <w:r>
        <w:rPr>
          <w:sz w:val="22"/>
        </w:rPr>
        <w:t>performs</w:t>
      </w:r>
      <w:r>
        <w:rPr>
          <w:spacing w:val="-3"/>
          <w:sz w:val="22"/>
        </w:rPr>
        <w:t> </w:t>
      </w:r>
      <w:r>
        <w:rPr>
          <w:sz w:val="22"/>
        </w:rPr>
        <w:t>the</w:t>
      </w:r>
      <w:r>
        <w:rPr>
          <w:spacing w:val="-6"/>
          <w:sz w:val="22"/>
        </w:rPr>
        <w:t> </w:t>
      </w:r>
      <w:r>
        <w:rPr>
          <w:sz w:val="22"/>
        </w:rPr>
        <w:t>Assessment</w:t>
      </w:r>
      <w:r>
        <w:rPr>
          <w:spacing w:val="-2"/>
          <w:sz w:val="22"/>
        </w:rPr>
        <w:t> </w:t>
      </w:r>
      <w:r>
        <w:rPr>
          <w:sz w:val="22"/>
        </w:rPr>
        <w:t>and/or</w:t>
      </w:r>
      <w:r>
        <w:rPr>
          <w:spacing w:val="-2"/>
          <w:sz w:val="22"/>
        </w:rPr>
        <w:t> </w:t>
      </w:r>
      <w:r>
        <w:rPr>
          <w:sz w:val="22"/>
        </w:rPr>
        <w:t>Flexible</w:t>
      </w:r>
      <w:r>
        <w:rPr>
          <w:spacing w:val="-5"/>
          <w:sz w:val="22"/>
        </w:rPr>
        <w:t> </w:t>
      </w:r>
      <w:r>
        <w:rPr>
          <w:sz w:val="22"/>
        </w:rPr>
        <w:t>Service</w:t>
      </w:r>
      <w:r>
        <w:rPr>
          <w:spacing w:val="-3"/>
          <w:sz w:val="22"/>
        </w:rPr>
        <w:t> </w:t>
      </w:r>
      <w:r>
        <w:rPr>
          <w:sz w:val="22"/>
        </w:rPr>
        <w:t>Planning</w:t>
      </w:r>
      <w:r>
        <w:rPr>
          <w:spacing w:val="-6"/>
          <w:sz w:val="22"/>
        </w:rPr>
        <w:t> </w:t>
      </w:r>
      <w:r>
        <w:rPr>
          <w:sz w:val="22"/>
        </w:rPr>
        <w:t>may</w:t>
      </w:r>
      <w:r>
        <w:rPr>
          <w:spacing w:val="-6"/>
          <w:sz w:val="22"/>
        </w:rPr>
        <w:t> </w:t>
      </w:r>
      <w:r>
        <w:rPr>
          <w:sz w:val="22"/>
        </w:rPr>
        <w:t>also provide Flexible Services provided</w:t>
      </w:r>
      <w:r>
        <w:rPr>
          <w:spacing w:val="-3"/>
          <w:sz w:val="22"/>
        </w:rPr>
        <w:t> </w:t>
      </w:r>
      <w:r>
        <w:rPr>
          <w:sz w:val="22"/>
        </w:rPr>
        <w:t>they</w:t>
      </w:r>
      <w:r>
        <w:rPr>
          <w:spacing w:val="-3"/>
          <w:sz w:val="22"/>
        </w:rPr>
        <w:t> </w:t>
      </w:r>
      <w:r>
        <w:rPr>
          <w:sz w:val="22"/>
        </w:rPr>
        <w:t>take appropriate steps to</w:t>
      </w:r>
      <w:r>
        <w:rPr>
          <w:spacing w:val="-3"/>
          <w:sz w:val="22"/>
        </w:rPr>
        <w:t> </w:t>
      </w:r>
      <w:r>
        <w:rPr>
          <w:sz w:val="22"/>
        </w:rPr>
        <w:t>avoid conflict of interest as determined by the State.</w:t>
      </w:r>
    </w:p>
    <w:p>
      <w:pPr>
        <w:pStyle w:val="BodyText"/>
      </w:pPr>
    </w:p>
    <w:p>
      <w:pPr>
        <w:pStyle w:val="ListParagraph"/>
        <w:numPr>
          <w:ilvl w:val="0"/>
          <w:numId w:val="116"/>
        </w:numPr>
        <w:tabs>
          <w:tab w:pos="358" w:val="left" w:leader="none"/>
        </w:tabs>
        <w:spacing w:line="240" w:lineRule="auto" w:before="179" w:after="0"/>
        <w:ind w:left="358" w:right="6910" w:hanging="358"/>
        <w:jc w:val="right"/>
        <w:rPr>
          <w:b/>
          <w:sz w:val="22"/>
        </w:rPr>
      </w:pPr>
      <w:bookmarkStart w:name="V. Provider Qualifications" w:id="1568"/>
      <w:bookmarkEnd w:id="1568"/>
      <w:r>
        <w:rPr/>
      </w:r>
      <w:r>
        <w:rPr>
          <w:b/>
          <w:sz w:val="22"/>
          <w:u w:val="single"/>
        </w:rPr>
        <w:t>Provider</w:t>
      </w:r>
      <w:r>
        <w:rPr>
          <w:b/>
          <w:spacing w:val="-6"/>
          <w:sz w:val="22"/>
          <w:u w:val="single"/>
        </w:rPr>
        <w:t> </w:t>
      </w:r>
      <w:r>
        <w:rPr>
          <w:b/>
          <w:spacing w:val="-2"/>
          <w:sz w:val="22"/>
          <w:u w:val="single"/>
        </w:rPr>
        <w:t>Qualifications</w:t>
      </w:r>
    </w:p>
    <w:p>
      <w:pPr>
        <w:pStyle w:val="ListParagraph"/>
        <w:numPr>
          <w:ilvl w:val="1"/>
          <w:numId w:val="116"/>
        </w:numPr>
        <w:tabs>
          <w:tab w:pos="838" w:val="left" w:leader="none"/>
        </w:tabs>
        <w:spacing w:line="240" w:lineRule="auto" w:before="201" w:after="0"/>
        <w:ind w:left="838" w:right="0" w:hanging="358"/>
        <w:jc w:val="left"/>
        <w:rPr>
          <w:sz w:val="22"/>
        </w:rPr>
      </w:pPr>
      <w:bookmarkStart w:name="A. Contractors of Flexible Services must" w:id="1569"/>
      <w:bookmarkEnd w:id="1569"/>
      <w:r>
        <w:rPr/>
      </w:r>
      <w:r>
        <w:rPr>
          <w:sz w:val="22"/>
        </w:rPr>
        <w:t>Contractors</w:t>
      </w:r>
      <w:r>
        <w:rPr>
          <w:spacing w:val="-8"/>
          <w:sz w:val="22"/>
        </w:rPr>
        <w:t> </w:t>
      </w:r>
      <w:r>
        <w:rPr>
          <w:sz w:val="22"/>
        </w:rPr>
        <w:t>of</w:t>
      </w:r>
      <w:r>
        <w:rPr>
          <w:spacing w:val="-3"/>
          <w:sz w:val="22"/>
        </w:rPr>
        <w:t> </w:t>
      </w:r>
      <w:r>
        <w:rPr>
          <w:sz w:val="22"/>
        </w:rPr>
        <w:t>Flexible</w:t>
      </w:r>
      <w:r>
        <w:rPr>
          <w:spacing w:val="-4"/>
          <w:sz w:val="22"/>
        </w:rPr>
        <w:t> </w:t>
      </w:r>
      <w:r>
        <w:rPr>
          <w:sz w:val="22"/>
        </w:rPr>
        <w:t>Services</w:t>
      </w:r>
      <w:r>
        <w:rPr>
          <w:spacing w:val="-4"/>
          <w:sz w:val="22"/>
        </w:rPr>
        <w:t> </w:t>
      </w:r>
      <w:r>
        <w:rPr>
          <w:sz w:val="22"/>
        </w:rPr>
        <w:t>must</w:t>
      </w:r>
      <w:r>
        <w:rPr>
          <w:spacing w:val="-3"/>
          <w:sz w:val="22"/>
        </w:rPr>
        <w:t> </w:t>
      </w:r>
      <w:r>
        <w:rPr>
          <w:sz w:val="22"/>
        </w:rPr>
        <w:t>possess</w:t>
      </w:r>
      <w:r>
        <w:rPr>
          <w:spacing w:val="-6"/>
          <w:sz w:val="22"/>
        </w:rPr>
        <w:t> </w:t>
      </w:r>
      <w:r>
        <w:rPr>
          <w:sz w:val="22"/>
        </w:rPr>
        <w:t>the</w:t>
      </w:r>
      <w:r>
        <w:rPr>
          <w:spacing w:val="-4"/>
          <w:sz w:val="22"/>
        </w:rPr>
        <w:t> </w:t>
      </w:r>
      <w:r>
        <w:rPr>
          <w:sz w:val="22"/>
        </w:rPr>
        <w:t>following</w:t>
      </w:r>
      <w:r>
        <w:rPr>
          <w:spacing w:val="-7"/>
          <w:sz w:val="22"/>
        </w:rPr>
        <w:t> </w:t>
      </w:r>
      <w:r>
        <w:rPr>
          <w:sz w:val="22"/>
        </w:rPr>
        <w:t>qualifications,</w:t>
      </w:r>
      <w:r>
        <w:rPr>
          <w:spacing w:val="-4"/>
          <w:sz w:val="22"/>
        </w:rPr>
        <w:t> </w:t>
      </w:r>
      <w:r>
        <w:rPr>
          <w:sz w:val="22"/>
        </w:rPr>
        <w:t>as</w:t>
      </w:r>
      <w:r>
        <w:rPr>
          <w:spacing w:val="-3"/>
          <w:sz w:val="22"/>
        </w:rPr>
        <w:t> </w:t>
      </w:r>
      <w:r>
        <w:rPr>
          <w:spacing w:val="-2"/>
          <w:sz w:val="22"/>
        </w:rPr>
        <w:t>applicable.</w:t>
      </w:r>
    </w:p>
    <w:p>
      <w:pPr>
        <w:pStyle w:val="BodyText"/>
        <w:spacing w:before="4"/>
        <w:rPr>
          <w:sz w:val="17"/>
        </w:rPr>
      </w:pPr>
    </w:p>
    <w:tbl>
      <w:tblPr>
        <w:tblW w:w="0" w:type="auto"/>
        <w:jc w:val="left"/>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75"/>
        <w:gridCol w:w="2141"/>
        <w:gridCol w:w="2755"/>
        <w:gridCol w:w="2160"/>
      </w:tblGrid>
      <w:tr>
        <w:trPr>
          <w:trHeight w:val="506" w:hRule="atLeast"/>
        </w:trPr>
        <w:tc>
          <w:tcPr>
            <w:tcW w:w="1675" w:type="dxa"/>
          </w:tcPr>
          <w:p>
            <w:pPr>
              <w:pStyle w:val="TableParagraph"/>
              <w:spacing w:line="251" w:lineRule="exact"/>
              <w:ind w:left="107"/>
              <w:rPr>
                <w:sz w:val="22"/>
              </w:rPr>
            </w:pPr>
            <w:r>
              <w:rPr>
                <w:sz w:val="22"/>
              </w:rPr>
              <w:t>Provider</w:t>
            </w:r>
            <w:r>
              <w:rPr>
                <w:spacing w:val="-7"/>
                <w:sz w:val="22"/>
              </w:rPr>
              <w:t> </w:t>
            </w:r>
            <w:r>
              <w:rPr>
                <w:spacing w:val="-4"/>
                <w:sz w:val="22"/>
              </w:rPr>
              <w:t>Type</w:t>
            </w:r>
          </w:p>
        </w:tc>
        <w:tc>
          <w:tcPr>
            <w:tcW w:w="2141" w:type="dxa"/>
          </w:tcPr>
          <w:p>
            <w:pPr>
              <w:pStyle w:val="TableParagraph"/>
              <w:spacing w:line="252" w:lineRule="exact"/>
              <w:ind w:left="108" w:right="752"/>
              <w:rPr>
                <w:sz w:val="22"/>
              </w:rPr>
            </w:pPr>
            <w:r>
              <w:rPr>
                <w:sz w:val="22"/>
              </w:rPr>
              <w:t>Education</w:t>
            </w:r>
            <w:r>
              <w:rPr>
                <w:spacing w:val="-14"/>
                <w:sz w:val="22"/>
              </w:rPr>
              <w:t> </w:t>
            </w:r>
            <w:r>
              <w:rPr>
                <w:sz w:val="22"/>
              </w:rPr>
              <w:t>and </w:t>
            </w:r>
            <w:r>
              <w:rPr>
                <w:spacing w:val="-2"/>
                <w:sz w:val="22"/>
              </w:rPr>
              <w:t>Experience</w:t>
            </w:r>
          </w:p>
        </w:tc>
        <w:tc>
          <w:tcPr>
            <w:tcW w:w="2755" w:type="dxa"/>
          </w:tcPr>
          <w:p>
            <w:pPr>
              <w:pStyle w:val="TableParagraph"/>
              <w:spacing w:line="251" w:lineRule="exact"/>
              <w:ind w:left="107"/>
              <w:rPr>
                <w:sz w:val="22"/>
              </w:rPr>
            </w:pPr>
            <w:r>
              <w:rPr>
                <w:spacing w:val="-2"/>
                <w:sz w:val="22"/>
              </w:rPr>
              <w:t>Skills</w:t>
            </w:r>
          </w:p>
        </w:tc>
        <w:tc>
          <w:tcPr>
            <w:tcW w:w="2160" w:type="dxa"/>
          </w:tcPr>
          <w:p>
            <w:pPr>
              <w:pStyle w:val="TableParagraph"/>
              <w:spacing w:line="251" w:lineRule="exact"/>
              <w:ind w:left="108"/>
              <w:rPr>
                <w:sz w:val="22"/>
              </w:rPr>
            </w:pPr>
            <w:r>
              <w:rPr>
                <w:spacing w:val="-2"/>
                <w:sz w:val="22"/>
              </w:rPr>
              <w:t>Services</w:t>
            </w:r>
          </w:p>
        </w:tc>
      </w:tr>
      <w:tr>
        <w:trPr>
          <w:trHeight w:val="3035" w:hRule="atLeast"/>
        </w:trPr>
        <w:tc>
          <w:tcPr>
            <w:tcW w:w="1675" w:type="dxa"/>
          </w:tcPr>
          <w:p>
            <w:pPr>
              <w:pStyle w:val="TableParagraph"/>
              <w:ind w:left="107"/>
              <w:rPr>
                <w:sz w:val="22"/>
              </w:rPr>
            </w:pPr>
            <w:r>
              <w:rPr>
                <w:spacing w:val="-2"/>
                <w:sz w:val="22"/>
              </w:rPr>
              <w:t>Tenancy Preservation Services Contractors</w:t>
            </w:r>
          </w:p>
        </w:tc>
        <w:tc>
          <w:tcPr>
            <w:tcW w:w="2141" w:type="dxa"/>
          </w:tcPr>
          <w:p>
            <w:pPr>
              <w:pStyle w:val="TableParagraph"/>
              <w:ind w:left="108" w:right="178"/>
              <w:rPr>
                <w:sz w:val="22"/>
              </w:rPr>
            </w:pPr>
            <w:r>
              <w:rPr>
                <w:sz w:val="22"/>
              </w:rPr>
              <w:t>Education (e.g., Bachelor’s degree, Associate’s degree, certificate) in a </w:t>
            </w:r>
            <w:r>
              <w:rPr>
                <w:spacing w:val="-2"/>
                <w:sz w:val="22"/>
              </w:rPr>
              <w:t>human/social </w:t>
            </w:r>
            <w:r>
              <w:rPr>
                <w:sz w:val="22"/>
              </w:rPr>
              <w:t>services field or a relevant</w:t>
            </w:r>
            <w:r>
              <w:rPr>
                <w:spacing w:val="-14"/>
                <w:sz w:val="22"/>
              </w:rPr>
              <w:t> </w:t>
            </w:r>
            <w:r>
              <w:rPr>
                <w:sz w:val="22"/>
              </w:rPr>
              <w:t>field,</w:t>
            </w:r>
            <w:r>
              <w:rPr>
                <w:spacing w:val="-14"/>
                <w:sz w:val="22"/>
              </w:rPr>
              <w:t> </w:t>
            </w:r>
            <w:r>
              <w:rPr>
                <w:sz w:val="22"/>
              </w:rPr>
              <w:t>and/or at least 1 year of relevant</w:t>
            </w:r>
            <w:r>
              <w:rPr>
                <w:spacing w:val="-14"/>
                <w:sz w:val="22"/>
              </w:rPr>
              <w:t> </w:t>
            </w:r>
            <w:r>
              <w:rPr>
                <w:sz w:val="22"/>
              </w:rPr>
              <w:t>professional experience; and/or training in the field</w:t>
            </w:r>
          </w:p>
          <w:p>
            <w:pPr>
              <w:pStyle w:val="TableParagraph"/>
              <w:spacing w:line="234" w:lineRule="exact"/>
              <w:ind w:left="108"/>
              <w:rPr>
                <w:sz w:val="22"/>
              </w:rPr>
            </w:pPr>
            <w:r>
              <w:rPr>
                <w:sz w:val="22"/>
              </w:rPr>
              <w:t>of</w:t>
            </w:r>
            <w:r>
              <w:rPr>
                <w:spacing w:val="1"/>
                <w:sz w:val="22"/>
              </w:rPr>
              <w:t> </w:t>
            </w:r>
            <w:r>
              <w:rPr>
                <w:spacing w:val="-2"/>
                <w:sz w:val="22"/>
              </w:rPr>
              <w:t>service.</w:t>
            </w:r>
          </w:p>
        </w:tc>
        <w:tc>
          <w:tcPr>
            <w:tcW w:w="2755" w:type="dxa"/>
          </w:tcPr>
          <w:p>
            <w:pPr>
              <w:pStyle w:val="TableParagraph"/>
              <w:ind w:left="107" w:right="12"/>
              <w:rPr>
                <w:sz w:val="22"/>
              </w:rPr>
            </w:pPr>
            <w:r>
              <w:rPr>
                <w:sz w:val="22"/>
              </w:rPr>
              <w:t>Knowledge of principles, methods,</w:t>
            </w:r>
            <w:r>
              <w:rPr>
                <w:spacing w:val="-12"/>
                <w:sz w:val="22"/>
              </w:rPr>
              <w:t> </w:t>
            </w:r>
            <w:r>
              <w:rPr>
                <w:sz w:val="22"/>
              </w:rPr>
              <w:t>and</w:t>
            </w:r>
            <w:r>
              <w:rPr>
                <w:spacing w:val="-12"/>
                <w:sz w:val="22"/>
              </w:rPr>
              <w:t> </w:t>
            </w:r>
            <w:r>
              <w:rPr>
                <w:sz w:val="22"/>
              </w:rPr>
              <w:t>procedures</w:t>
            </w:r>
            <w:r>
              <w:rPr>
                <w:spacing w:val="-12"/>
                <w:sz w:val="22"/>
              </w:rPr>
              <w:t> </w:t>
            </w:r>
            <w:r>
              <w:rPr>
                <w:sz w:val="22"/>
              </w:rPr>
              <w:t>of services included under Tenancy Preservation Services</w:t>
            </w:r>
            <w:r>
              <w:rPr>
                <w:spacing w:val="-7"/>
                <w:sz w:val="22"/>
              </w:rPr>
              <w:t> </w:t>
            </w:r>
            <w:r>
              <w:rPr>
                <w:sz w:val="22"/>
              </w:rPr>
              <w:t>(as</w:t>
            </w:r>
            <w:r>
              <w:rPr>
                <w:spacing w:val="-5"/>
                <w:sz w:val="22"/>
              </w:rPr>
              <w:t> </w:t>
            </w:r>
            <w:r>
              <w:rPr>
                <w:sz w:val="22"/>
              </w:rPr>
              <w:t>outlined</w:t>
            </w:r>
            <w:r>
              <w:rPr>
                <w:spacing w:val="-7"/>
                <w:sz w:val="22"/>
              </w:rPr>
              <w:t> </w:t>
            </w:r>
            <w:r>
              <w:rPr>
                <w:sz w:val="22"/>
              </w:rPr>
              <w:t>above and applicable to the position), or comparable services</w:t>
            </w:r>
            <w:r>
              <w:rPr>
                <w:spacing w:val="-1"/>
                <w:sz w:val="22"/>
              </w:rPr>
              <w:t> </w:t>
            </w:r>
            <w:r>
              <w:rPr>
                <w:sz w:val="22"/>
              </w:rPr>
              <w:t>meant to</w:t>
            </w:r>
            <w:r>
              <w:rPr>
                <w:spacing w:val="-1"/>
                <w:sz w:val="22"/>
              </w:rPr>
              <w:t> </w:t>
            </w:r>
            <w:r>
              <w:rPr>
                <w:sz w:val="22"/>
              </w:rPr>
              <w:t>support a member’s ability to obtain and sustain residency in an independent community</w:t>
            </w:r>
          </w:p>
          <w:p>
            <w:pPr>
              <w:pStyle w:val="TableParagraph"/>
              <w:spacing w:line="234" w:lineRule="exact"/>
              <w:ind w:left="107"/>
              <w:rPr>
                <w:sz w:val="22"/>
              </w:rPr>
            </w:pPr>
            <w:r>
              <w:rPr>
                <w:spacing w:val="-2"/>
                <w:sz w:val="22"/>
              </w:rPr>
              <w:t>setting.</w:t>
            </w:r>
          </w:p>
        </w:tc>
        <w:tc>
          <w:tcPr>
            <w:tcW w:w="2160" w:type="dxa"/>
          </w:tcPr>
          <w:p>
            <w:pPr>
              <w:pStyle w:val="TableParagraph"/>
              <w:ind w:left="108" w:right="124"/>
              <w:rPr>
                <w:sz w:val="22"/>
              </w:rPr>
            </w:pPr>
            <w:r>
              <w:rPr>
                <w:sz w:val="22"/>
              </w:rPr>
              <w:t>Tenancy</w:t>
            </w:r>
            <w:r>
              <w:rPr>
                <w:spacing w:val="-14"/>
                <w:sz w:val="22"/>
              </w:rPr>
              <w:t> </w:t>
            </w:r>
            <w:r>
              <w:rPr>
                <w:sz w:val="22"/>
              </w:rPr>
              <w:t>Preservation Services, including pre-tenancy supports and tenancy sustaining supports (as outlined above)</w:t>
            </w:r>
          </w:p>
        </w:tc>
      </w:tr>
      <w:tr>
        <w:trPr>
          <w:trHeight w:val="3035" w:hRule="atLeast"/>
        </w:trPr>
        <w:tc>
          <w:tcPr>
            <w:tcW w:w="1675" w:type="dxa"/>
          </w:tcPr>
          <w:p>
            <w:pPr>
              <w:pStyle w:val="TableParagraph"/>
              <w:ind w:left="107" w:right="165"/>
              <w:rPr>
                <w:sz w:val="22"/>
              </w:rPr>
            </w:pPr>
            <w:r>
              <w:rPr>
                <w:spacing w:val="-2"/>
                <w:sz w:val="22"/>
              </w:rPr>
              <w:t>Nutritional Support Services Contractors</w:t>
            </w:r>
          </w:p>
        </w:tc>
        <w:tc>
          <w:tcPr>
            <w:tcW w:w="2141" w:type="dxa"/>
          </w:tcPr>
          <w:p>
            <w:pPr>
              <w:pStyle w:val="TableParagraph"/>
              <w:ind w:left="108" w:right="178"/>
              <w:rPr>
                <w:sz w:val="22"/>
              </w:rPr>
            </w:pPr>
            <w:r>
              <w:rPr>
                <w:sz w:val="22"/>
              </w:rPr>
              <w:t>Education (e.g., Bachelor’s degree, Associate’s degree, certificate) in a </w:t>
            </w:r>
            <w:r>
              <w:rPr>
                <w:spacing w:val="-2"/>
                <w:sz w:val="22"/>
              </w:rPr>
              <w:t>human/social </w:t>
            </w:r>
            <w:r>
              <w:rPr>
                <w:sz w:val="22"/>
              </w:rPr>
              <w:t>services field or a relevant</w:t>
            </w:r>
            <w:r>
              <w:rPr>
                <w:spacing w:val="-14"/>
                <w:sz w:val="22"/>
              </w:rPr>
              <w:t> </w:t>
            </w:r>
            <w:r>
              <w:rPr>
                <w:sz w:val="22"/>
              </w:rPr>
              <w:t>field,</w:t>
            </w:r>
            <w:r>
              <w:rPr>
                <w:spacing w:val="-14"/>
                <w:sz w:val="22"/>
              </w:rPr>
              <w:t> </w:t>
            </w:r>
            <w:r>
              <w:rPr>
                <w:sz w:val="22"/>
              </w:rPr>
              <w:t>and/or at least 1 year of relevant</w:t>
            </w:r>
            <w:r>
              <w:rPr>
                <w:spacing w:val="-14"/>
                <w:sz w:val="22"/>
              </w:rPr>
              <w:t> </w:t>
            </w:r>
            <w:r>
              <w:rPr>
                <w:sz w:val="22"/>
              </w:rPr>
              <w:t>professional experience; and/or training in the field</w:t>
            </w:r>
          </w:p>
          <w:p>
            <w:pPr>
              <w:pStyle w:val="TableParagraph"/>
              <w:spacing w:line="234" w:lineRule="exact"/>
              <w:ind w:left="108"/>
              <w:rPr>
                <w:sz w:val="22"/>
              </w:rPr>
            </w:pPr>
            <w:r>
              <w:rPr>
                <w:sz w:val="22"/>
              </w:rPr>
              <w:t>of</w:t>
            </w:r>
            <w:r>
              <w:rPr>
                <w:spacing w:val="1"/>
                <w:sz w:val="22"/>
              </w:rPr>
              <w:t> </w:t>
            </w:r>
            <w:r>
              <w:rPr>
                <w:spacing w:val="-2"/>
                <w:sz w:val="22"/>
              </w:rPr>
              <w:t>service.</w:t>
            </w:r>
          </w:p>
        </w:tc>
        <w:tc>
          <w:tcPr>
            <w:tcW w:w="2755" w:type="dxa"/>
          </w:tcPr>
          <w:p>
            <w:pPr>
              <w:pStyle w:val="TableParagraph"/>
              <w:ind w:left="107" w:right="117"/>
              <w:rPr>
                <w:sz w:val="22"/>
              </w:rPr>
            </w:pPr>
            <w:r>
              <w:rPr>
                <w:sz w:val="22"/>
              </w:rPr>
              <w:t>Knowledge of principles, methods, and procedures of services included under Nutritional</w:t>
            </w:r>
            <w:r>
              <w:rPr>
                <w:spacing w:val="-14"/>
                <w:sz w:val="22"/>
              </w:rPr>
              <w:t> </w:t>
            </w:r>
            <w:r>
              <w:rPr>
                <w:sz w:val="22"/>
              </w:rPr>
              <w:t>Support</w:t>
            </w:r>
            <w:r>
              <w:rPr>
                <w:spacing w:val="-14"/>
                <w:sz w:val="22"/>
              </w:rPr>
              <w:t> </w:t>
            </w:r>
            <w:r>
              <w:rPr>
                <w:sz w:val="22"/>
              </w:rPr>
              <w:t>Services (as outlined above and applicable to the position), or comparable services meant to support a member’s ability to obtain or maintain food security.</w:t>
            </w:r>
          </w:p>
        </w:tc>
        <w:tc>
          <w:tcPr>
            <w:tcW w:w="2160" w:type="dxa"/>
          </w:tcPr>
          <w:p>
            <w:pPr>
              <w:pStyle w:val="TableParagraph"/>
              <w:ind w:left="108"/>
              <w:rPr>
                <w:sz w:val="22"/>
              </w:rPr>
            </w:pPr>
            <w:r>
              <w:rPr>
                <w:sz w:val="22"/>
              </w:rPr>
              <w:t>Nutritional Support Services</w:t>
            </w:r>
            <w:r>
              <w:rPr>
                <w:spacing w:val="-14"/>
                <w:sz w:val="22"/>
              </w:rPr>
              <w:t> </w:t>
            </w:r>
            <w:r>
              <w:rPr>
                <w:sz w:val="22"/>
              </w:rPr>
              <w:t>(as</w:t>
            </w:r>
            <w:r>
              <w:rPr>
                <w:spacing w:val="-14"/>
                <w:sz w:val="22"/>
              </w:rPr>
              <w:t> </w:t>
            </w:r>
            <w:r>
              <w:rPr>
                <w:sz w:val="22"/>
              </w:rPr>
              <w:t>outlined </w:t>
            </w:r>
            <w:r>
              <w:rPr>
                <w:spacing w:val="-2"/>
                <w:sz w:val="22"/>
              </w:rPr>
              <w:t>above)</w:t>
            </w:r>
          </w:p>
        </w:tc>
      </w:tr>
    </w:tbl>
    <w:p>
      <w:pPr>
        <w:pStyle w:val="BodyText"/>
        <w:spacing w:before="9"/>
        <w:rPr>
          <w:sz w:val="21"/>
        </w:rPr>
      </w:pPr>
    </w:p>
    <w:p>
      <w:pPr>
        <w:pStyle w:val="ListParagraph"/>
        <w:numPr>
          <w:ilvl w:val="1"/>
          <w:numId w:val="116"/>
        </w:numPr>
        <w:tabs>
          <w:tab w:pos="839" w:val="left" w:leader="none"/>
        </w:tabs>
        <w:spacing w:line="244" w:lineRule="auto" w:before="1" w:after="0"/>
        <w:ind w:left="839" w:right="118" w:hanging="360"/>
        <w:jc w:val="left"/>
        <w:rPr>
          <w:sz w:val="22"/>
        </w:rPr>
      </w:pPr>
      <w:bookmarkStart w:name="B. ACOs will be required to ensure that " w:id="1570"/>
      <w:bookmarkEnd w:id="1570"/>
      <w:r>
        <w:rPr/>
      </w:r>
      <w:r>
        <w:rPr>
          <w:sz w:val="22"/>
        </w:rPr>
        <w:t>ACOs</w:t>
      </w:r>
      <w:r>
        <w:rPr>
          <w:spacing w:val="38"/>
          <w:sz w:val="22"/>
        </w:rPr>
        <w:t> </w:t>
      </w:r>
      <w:r>
        <w:rPr>
          <w:sz w:val="22"/>
        </w:rPr>
        <w:t>will</w:t>
      </w:r>
      <w:r>
        <w:rPr>
          <w:spacing w:val="36"/>
          <w:sz w:val="22"/>
        </w:rPr>
        <w:t> </w:t>
      </w:r>
      <w:r>
        <w:rPr>
          <w:sz w:val="22"/>
        </w:rPr>
        <w:t>be</w:t>
      </w:r>
      <w:r>
        <w:rPr>
          <w:spacing w:val="36"/>
          <w:sz w:val="22"/>
        </w:rPr>
        <w:t> </w:t>
      </w:r>
      <w:r>
        <w:rPr>
          <w:sz w:val="22"/>
        </w:rPr>
        <w:t>required</w:t>
      </w:r>
      <w:r>
        <w:rPr>
          <w:spacing w:val="35"/>
          <w:sz w:val="22"/>
        </w:rPr>
        <w:t> </w:t>
      </w:r>
      <w:r>
        <w:rPr>
          <w:sz w:val="22"/>
        </w:rPr>
        <w:t>to</w:t>
      </w:r>
      <w:r>
        <w:rPr>
          <w:spacing w:val="35"/>
          <w:sz w:val="22"/>
        </w:rPr>
        <w:t> </w:t>
      </w:r>
      <w:r>
        <w:rPr>
          <w:sz w:val="22"/>
        </w:rPr>
        <w:t>ensure</w:t>
      </w:r>
      <w:r>
        <w:rPr>
          <w:spacing w:val="36"/>
          <w:sz w:val="22"/>
        </w:rPr>
        <w:t> </w:t>
      </w:r>
      <w:r>
        <w:rPr>
          <w:sz w:val="22"/>
        </w:rPr>
        <w:t>that</w:t>
      </w:r>
      <w:r>
        <w:rPr>
          <w:spacing w:val="36"/>
          <w:sz w:val="22"/>
        </w:rPr>
        <w:t> </w:t>
      </w:r>
      <w:r>
        <w:rPr>
          <w:sz w:val="22"/>
        </w:rPr>
        <w:t>contractors</w:t>
      </w:r>
      <w:r>
        <w:rPr>
          <w:spacing w:val="38"/>
          <w:sz w:val="22"/>
        </w:rPr>
        <w:t> </w:t>
      </w:r>
      <w:r>
        <w:rPr>
          <w:sz w:val="22"/>
        </w:rPr>
        <w:t>of</w:t>
      </w:r>
      <w:r>
        <w:rPr>
          <w:spacing w:val="36"/>
          <w:sz w:val="22"/>
        </w:rPr>
        <w:t> </w:t>
      </w:r>
      <w:r>
        <w:rPr>
          <w:sz w:val="22"/>
        </w:rPr>
        <w:t>Flexible</w:t>
      </w:r>
      <w:r>
        <w:rPr>
          <w:spacing w:val="38"/>
          <w:sz w:val="22"/>
        </w:rPr>
        <w:t> </w:t>
      </w:r>
      <w:r>
        <w:rPr>
          <w:sz w:val="22"/>
        </w:rPr>
        <w:t>Services</w:t>
      </w:r>
      <w:r>
        <w:rPr>
          <w:spacing w:val="38"/>
          <w:sz w:val="22"/>
        </w:rPr>
        <w:t> </w:t>
      </w:r>
      <w:r>
        <w:rPr>
          <w:sz w:val="22"/>
        </w:rPr>
        <w:t>have</w:t>
      </w:r>
      <w:r>
        <w:rPr>
          <w:spacing w:val="38"/>
          <w:sz w:val="22"/>
        </w:rPr>
        <w:t> </w:t>
      </w:r>
      <w:r>
        <w:rPr>
          <w:sz w:val="22"/>
        </w:rPr>
        <w:t>and</w:t>
      </w:r>
      <w:r>
        <w:rPr>
          <w:spacing w:val="38"/>
          <w:sz w:val="22"/>
        </w:rPr>
        <w:t> </w:t>
      </w:r>
      <w:r>
        <w:rPr>
          <w:sz w:val="22"/>
        </w:rPr>
        <w:t>maintain</w:t>
      </w:r>
      <w:r>
        <w:rPr>
          <w:spacing w:val="35"/>
          <w:sz w:val="22"/>
        </w:rPr>
        <w:t> </w:t>
      </w:r>
      <w:r>
        <w:rPr>
          <w:sz w:val="22"/>
        </w:rPr>
        <w:t>the necessary qualifications as laid out in Section V.A to provide Flexible Services, as applicable.</w:t>
      </w:r>
    </w:p>
    <w:p>
      <w:pPr>
        <w:pStyle w:val="ListParagraph"/>
        <w:numPr>
          <w:ilvl w:val="0"/>
          <w:numId w:val="116"/>
        </w:numPr>
        <w:tabs>
          <w:tab w:pos="359" w:val="left" w:leader="none"/>
        </w:tabs>
        <w:spacing w:line="240" w:lineRule="auto" w:before="194" w:after="0"/>
        <w:ind w:left="359" w:right="6994" w:hanging="359"/>
        <w:jc w:val="right"/>
        <w:rPr>
          <w:b/>
          <w:sz w:val="22"/>
        </w:rPr>
      </w:pPr>
      <w:bookmarkStart w:name="VI. Payment Methodology" w:id="1571"/>
      <w:bookmarkEnd w:id="1571"/>
      <w:r>
        <w:rPr/>
      </w:r>
      <w:r>
        <w:rPr>
          <w:b/>
          <w:sz w:val="22"/>
          <w:u w:val="single"/>
        </w:rPr>
        <w:t>Payment</w:t>
      </w:r>
      <w:r>
        <w:rPr>
          <w:b/>
          <w:spacing w:val="-4"/>
          <w:sz w:val="22"/>
          <w:u w:val="single"/>
        </w:rPr>
        <w:t> </w:t>
      </w:r>
      <w:r>
        <w:rPr>
          <w:b/>
          <w:spacing w:val="-2"/>
          <w:sz w:val="22"/>
          <w:u w:val="single"/>
        </w:rPr>
        <w:t>Methodology</w:t>
      </w:r>
    </w:p>
    <w:p>
      <w:pPr>
        <w:spacing w:after="0" w:line="240" w:lineRule="auto"/>
        <w:jc w:val="right"/>
        <w:rPr>
          <w:sz w:val="22"/>
        </w:rPr>
        <w:sectPr>
          <w:pgSz w:w="12240" w:h="15840"/>
          <w:pgMar w:header="0" w:footer="1240" w:top="640" w:bottom="1420" w:left="1320" w:right="1320"/>
        </w:sectPr>
      </w:pPr>
    </w:p>
    <w:p>
      <w:pPr>
        <w:spacing w:before="80"/>
        <w:ind w:left="120" w:right="0" w:firstLine="0"/>
        <w:jc w:val="left"/>
        <w:rPr>
          <w:sz w:val="20"/>
        </w:rPr>
      </w:pPr>
      <w:r>
        <w:rPr>
          <w:spacing w:val="-2"/>
          <w:sz w:val="20"/>
        </w:rPr>
        <w:t>Attachment</w:t>
      </w:r>
      <w:r>
        <w:rPr>
          <w:spacing w:val="6"/>
          <w:sz w:val="20"/>
        </w:rPr>
        <w:t> </w:t>
      </w:r>
      <w:r>
        <w:rPr>
          <w:spacing w:val="-10"/>
          <w:sz w:val="20"/>
        </w:rPr>
        <w:t>R</w:t>
      </w:r>
    </w:p>
    <w:p>
      <w:pPr>
        <w:pStyle w:val="BodyText"/>
        <w:rPr>
          <w:sz w:val="20"/>
        </w:rPr>
      </w:pPr>
    </w:p>
    <w:p>
      <w:pPr>
        <w:pStyle w:val="BodyText"/>
        <w:spacing w:before="8"/>
        <w:rPr>
          <w:sz w:val="22"/>
        </w:rPr>
      </w:pPr>
    </w:p>
    <w:p>
      <w:pPr>
        <w:pStyle w:val="ListParagraph"/>
        <w:numPr>
          <w:ilvl w:val="1"/>
          <w:numId w:val="116"/>
        </w:numPr>
        <w:tabs>
          <w:tab w:pos="837" w:val="left" w:leader="none"/>
        </w:tabs>
        <w:spacing w:line="240" w:lineRule="auto" w:before="0" w:after="0"/>
        <w:ind w:left="837" w:right="0" w:hanging="358"/>
        <w:jc w:val="left"/>
        <w:rPr>
          <w:b/>
          <w:sz w:val="22"/>
        </w:rPr>
      </w:pPr>
      <w:bookmarkStart w:name="A. Payment" w:id="1572"/>
      <w:bookmarkEnd w:id="1572"/>
      <w:r>
        <w:rPr/>
      </w:r>
      <w:r>
        <w:rPr>
          <w:b/>
          <w:spacing w:val="-2"/>
          <w:sz w:val="22"/>
        </w:rPr>
        <w:t>Payment</w:t>
      </w:r>
    </w:p>
    <w:p>
      <w:pPr>
        <w:spacing w:line="242" w:lineRule="auto" w:before="198"/>
        <w:ind w:left="839" w:right="115" w:firstLine="0"/>
        <w:jc w:val="both"/>
        <w:rPr>
          <w:sz w:val="22"/>
        </w:rPr>
      </w:pPr>
      <w:r>
        <w:rPr>
          <w:sz w:val="22"/>
        </w:rPr>
        <w:t>Each ACO with an</w:t>
      </w:r>
      <w:r>
        <w:rPr>
          <w:spacing w:val="-1"/>
          <w:sz w:val="22"/>
        </w:rPr>
        <w:t> </w:t>
      </w:r>
      <w:r>
        <w:rPr>
          <w:sz w:val="22"/>
        </w:rPr>
        <w:t>approved Participation Plan, Budget, and</w:t>
      </w:r>
      <w:r>
        <w:rPr>
          <w:spacing w:val="-1"/>
          <w:sz w:val="22"/>
        </w:rPr>
        <w:t> </w:t>
      </w:r>
      <w:r>
        <w:rPr>
          <w:sz w:val="22"/>
        </w:rPr>
        <w:t>Budget Narrative will be allocated</w:t>
      </w:r>
      <w:r>
        <w:rPr>
          <w:spacing w:val="-1"/>
          <w:sz w:val="22"/>
        </w:rPr>
        <w:t> </w:t>
      </w:r>
      <w:r>
        <w:rPr>
          <w:sz w:val="22"/>
        </w:rPr>
        <w:t>a per-member/per-month (PMPM) amount for the FSP that will be determined by the State. ACOs will be allowed to utilize flexible service funding for two main purposes:</w:t>
      </w:r>
    </w:p>
    <w:p>
      <w:pPr>
        <w:pStyle w:val="ListParagraph"/>
        <w:numPr>
          <w:ilvl w:val="0"/>
          <w:numId w:val="124"/>
        </w:numPr>
        <w:tabs>
          <w:tab w:pos="1377" w:val="left" w:leader="none"/>
        </w:tabs>
        <w:spacing w:line="240" w:lineRule="auto" w:before="191" w:after="0"/>
        <w:ind w:left="1019" w:right="112" w:firstLine="0"/>
        <w:jc w:val="both"/>
        <w:rPr>
          <w:sz w:val="22"/>
        </w:rPr>
      </w:pPr>
      <w:r>
        <w:rPr>
          <w:b/>
          <w:sz w:val="22"/>
        </w:rPr>
        <w:t>ACO administrative costs related to Flexible Services and Social Service Integration (SSI):</w:t>
      </w:r>
      <w:r>
        <w:rPr>
          <w:b/>
          <w:spacing w:val="40"/>
          <w:sz w:val="22"/>
        </w:rPr>
        <w:t> </w:t>
      </w:r>
      <w:r>
        <w:rPr>
          <w:sz w:val="22"/>
        </w:rPr>
        <w:t>prospective</w:t>
      </w:r>
      <w:r>
        <w:rPr>
          <w:spacing w:val="-4"/>
          <w:sz w:val="22"/>
        </w:rPr>
        <w:t> </w:t>
      </w:r>
      <w:r>
        <w:rPr>
          <w:sz w:val="22"/>
        </w:rPr>
        <w:t>funding,</w:t>
      </w:r>
      <w:r>
        <w:rPr>
          <w:spacing w:val="-2"/>
          <w:sz w:val="22"/>
        </w:rPr>
        <w:t> </w:t>
      </w:r>
      <w:r>
        <w:rPr>
          <w:sz w:val="22"/>
        </w:rPr>
        <w:t>up</w:t>
      </w:r>
      <w:r>
        <w:rPr>
          <w:spacing w:val="-5"/>
          <w:sz w:val="22"/>
        </w:rPr>
        <w:t> </w:t>
      </w:r>
      <w:r>
        <w:rPr>
          <w:sz w:val="22"/>
        </w:rPr>
        <w:t>to</w:t>
      </w:r>
      <w:r>
        <w:rPr>
          <w:spacing w:val="-2"/>
          <w:sz w:val="22"/>
        </w:rPr>
        <w:t> </w:t>
      </w:r>
      <w:r>
        <w:rPr>
          <w:sz w:val="22"/>
        </w:rPr>
        <w:t>a</w:t>
      </w:r>
      <w:r>
        <w:rPr>
          <w:spacing w:val="-4"/>
          <w:sz w:val="22"/>
        </w:rPr>
        <w:t> </w:t>
      </w:r>
      <w:r>
        <w:rPr>
          <w:sz w:val="22"/>
        </w:rPr>
        <w:t>certain</w:t>
      </w:r>
      <w:r>
        <w:rPr>
          <w:spacing w:val="-5"/>
          <w:sz w:val="22"/>
        </w:rPr>
        <w:t> </w:t>
      </w:r>
      <w:r>
        <w:rPr>
          <w:sz w:val="22"/>
        </w:rPr>
        <w:t>percentage</w:t>
      </w:r>
      <w:r>
        <w:rPr>
          <w:spacing w:val="-4"/>
          <w:sz w:val="22"/>
        </w:rPr>
        <w:t> </w:t>
      </w:r>
      <w:r>
        <w:rPr>
          <w:sz w:val="22"/>
        </w:rPr>
        <w:t>set</w:t>
      </w:r>
      <w:r>
        <w:rPr>
          <w:spacing w:val="-4"/>
          <w:sz w:val="22"/>
        </w:rPr>
        <w:t> </w:t>
      </w:r>
      <w:r>
        <w:rPr>
          <w:sz w:val="22"/>
        </w:rPr>
        <w:t>by</w:t>
      </w:r>
      <w:r>
        <w:rPr>
          <w:spacing w:val="-5"/>
          <w:sz w:val="22"/>
        </w:rPr>
        <w:t> </w:t>
      </w:r>
      <w:r>
        <w:rPr>
          <w:sz w:val="22"/>
        </w:rPr>
        <w:t>the</w:t>
      </w:r>
      <w:r>
        <w:rPr>
          <w:spacing w:val="-2"/>
          <w:sz w:val="22"/>
        </w:rPr>
        <w:t> </w:t>
      </w:r>
      <w:r>
        <w:rPr>
          <w:sz w:val="22"/>
        </w:rPr>
        <w:t>State,</w:t>
      </w:r>
      <w:r>
        <w:rPr>
          <w:spacing w:val="-2"/>
          <w:sz w:val="22"/>
        </w:rPr>
        <w:t> </w:t>
      </w:r>
      <w:r>
        <w:rPr>
          <w:sz w:val="22"/>
        </w:rPr>
        <w:t>which</w:t>
      </w:r>
      <w:r>
        <w:rPr>
          <w:spacing w:val="-5"/>
          <w:sz w:val="22"/>
        </w:rPr>
        <w:t> </w:t>
      </w:r>
      <w:r>
        <w:rPr>
          <w:sz w:val="22"/>
        </w:rPr>
        <w:t>ACOs</w:t>
      </w:r>
      <w:r>
        <w:rPr>
          <w:spacing w:val="-2"/>
          <w:sz w:val="22"/>
        </w:rPr>
        <w:t> </w:t>
      </w:r>
      <w:r>
        <w:rPr>
          <w:sz w:val="22"/>
        </w:rPr>
        <w:t>may</w:t>
      </w:r>
      <w:r>
        <w:rPr>
          <w:spacing w:val="-5"/>
          <w:sz w:val="22"/>
        </w:rPr>
        <w:t> </w:t>
      </w:r>
      <w:r>
        <w:rPr>
          <w:sz w:val="22"/>
        </w:rPr>
        <w:t>utilize to build the necessary capacity and infrastructure to implement the FSP and to support ongoing administration/overhead of the FSP. This includes but is not limited to personnel for FSP and SSI,</w:t>
      </w:r>
      <w:r>
        <w:rPr>
          <w:spacing w:val="-10"/>
          <w:sz w:val="22"/>
        </w:rPr>
        <w:t> </w:t>
      </w:r>
      <w:r>
        <w:rPr>
          <w:sz w:val="22"/>
        </w:rPr>
        <w:t>Health</w:t>
      </w:r>
      <w:r>
        <w:rPr>
          <w:spacing w:val="-10"/>
          <w:sz w:val="22"/>
        </w:rPr>
        <w:t> </w:t>
      </w:r>
      <w:r>
        <w:rPr>
          <w:sz w:val="22"/>
        </w:rPr>
        <w:t>Information</w:t>
      </w:r>
      <w:r>
        <w:rPr>
          <w:spacing w:val="-12"/>
          <w:sz w:val="22"/>
        </w:rPr>
        <w:t> </w:t>
      </w:r>
      <w:r>
        <w:rPr>
          <w:sz w:val="22"/>
        </w:rPr>
        <w:t>Technology,</w:t>
      </w:r>
      <w:r>
        <w:rPr>
          <w:spacing w:val="-10"/>
          <w:sz w:val="22"/>
        </w:rPr>
        <w:t> </w:t>
      </w:r>
      <w:r>
        <w:rPr>
          <w:sz w:val="22"/>
        </w:rPr>
        <w:t>software,</w:t>
      </w:r>
      <w:r>
        <w:rPr>
          <w:spacing w:val="-10"/>
          <w:sz w:val="22"/>
        </w:rPr>
        <w:t> </w:t>
      </w:r>
      <w:r>
        <w:rPr>
          <w:sz w:val="22"/>
        </w:rPr>
        <w:t>assessments</w:t>
      </w:r>
      <w:r>
        <w:rPr>
          <w:spacing w:val="-9"/>
          <w:sz w:val="22"/>
        </w:rPr>
        <w:t> </w:t>
      </w:r>
      <w:r>
        <w:rPr>
          <w:sz w:val="22"/>
        </w:rPr>
        <w:t>and</w:t>
      </w:r>
      <w:r>
        <w:rPr>
          <w:spacing w:val="-12"/>
          <w:sz w:val="22"/>
        </w:rPr>
        <w:t> </w:t>
      </w:r>
      <w:r>
        <w:rPr>
          <w:sz w:val="22"/>
        </w:rPr>
        <w:t>reporting</w:t>
      </w:r>
      <w:r>
        <w:rPr>
          <w:spacing w:val="-12"/>
          <w:sz w:val="22"/>
        </w:rPr>
        <w:t> </w:t>
      </w:r>
      <w:r>
        <w:rPr>
          <w:sz w:val="22"/>
        </w:rPr>
        <w:t>costs</w:t>
      </w:r>
      <w:r>
        <w:rPr>
          <w:spacing w:val="-11"/>
          <w:sz w:val="22"/>
        </w:rPr>
        <w:t> </w:t>
      </w:r>
      <w:r>
        <w:rPr>
          <w:sz w:val="22"/>
        </w:rPr>
        <w:t>surrounding</w:t>
      </w:r>
      <w:r>
        <w:rPr>
          <w:spacing w:val="-12"/>
          <w:sz w:val="22"/>
        </w:rPr>
        <w:t> </w:t>
      </w:r>
      <w:r>
        <w:rPr>
          <w:sz w:val="22"/>
        </w:rPr>
        <w:t>FSP and SSI. ACOs or the State may also provide portions of this funding to Social Service Organizations (SSOs) to support their administrative and infrastructure costs.</w:t>
      </w:r>
      <w:r>
        <w:rPr>
          <w:spacing w:val="40"/>
          <w:sz w:val="22"/>
        </w:rPr>
        <w:t> </w:t>
      </w:r>
      <w:r>
        <w:rPr>
          <w:sz w:val="22"/>
        </w:rPr>
        <w:t>In addition, the State may provide up to $4.5M of the Flexible Services funding over the demonstration period to SSOs to build infrastructure and capacity to better support ACOs in delivering services; and</w:t>
      </w:r>
    </w:p>
    <w:p>
      <w:pPr>
        <w:pStyle w:val="BodyText"/>
        <w:spacing w:before="10"/>
        <w:rPr>
          <w:sz w:val="21"/>
        </w:rPr>
      </w:pPr>
    </w:p>
    <w:p>
      <w:pPr>
        <w:pStyle w:val="ListParagraph"/>
        <w:numPr>
          <w:ilvl w:val="0"/>
          <w:numId w:val="124"/>
        </w:numPr>
        <w:tabs>
          <w:tab w:pos="1377" w:val="left" w:leader="none"/>
        </w:tabs>
        <w:spacing w:line="240" w:lineRule="auto" w:before="1" w:after="0"/>
        <w:ind w:left="1019" w:right="115" w:firstLine="0"/>
        <w:jc w:val="both"/>
        <w:rPr>
          <w:sz w:val="22"/>
        </w:rPr>
      </w:pPr>
      <w:r>
        <w:rPr>
          <w:b/>
          <w:sz w:val="22"/>
        </w:rPr>
        <w:t>Flexible</w:t>
      </w:r>
      <w:r>
        <w:rPr>
          <w:b/>
          <w:spacing w:val="-4"/>
          <w:sz w:val="22"/>
        </w:rPr>
        <w:t> </w:t>
      </w:r>
      <w:r>
        <w:rPr>
          <w:b/>
          <w:sz w:val="22"/>
        </w:rPr>
        <w:t>Services:</w:t>
      </w:r>
      <w:r>
        <w:rPr>
          <w:b/>
          <w:spacing w:val="-4"/>
          <w:sz w:val="22"/>
        </w:rPr>
        <w:t> </w:t>
      </w:r>
      <w:r>
        <w:rPr>
          <w:sz w:val="22"/>
        </w:rPr>
        <w:t>prospective</w:t>
      </w:r>
      <w:r>
        <w:rPr>
          <w:spacing w:val="-2"/>
          <w:sz w:val="22"/>
        </w:rPr>
        <w:t> </w:t>
      </w:r>
      <w:r>
        <w:rPr>
          <w:sz w:val="22"/>
        </w:rPr>
        <w:t>funding</w:t>
      </w:r>
      <w:r>
        <w:rPr>
          <w:spacing w:val="-5"/>
          <w:sz w:val="22"/>
        </w:rPr>
        <w:t> </w:t>
      </w:r>
      <w:r>
        <w:rPr>
          <w:sz w:val="22"/>
        </w:rPr>
        <w:t>provided</w:t>
      </w:r>
      <w:r>
        <w:rPr>
          <w:spacing w:val="-5"/>
          <w:sz w:val="22"/>
        </w:rPr>
        <w:t> </w:t>
      </w:r>
      <w:r>
        <w:rPr>
          <w:sz w:val="22"/>
        </w:rPr>
        <w:t>to</w:t>
      </w:r>
      <w:r>
        <w:rPr>
          <w:spacing w:val="-2"/>
          <w:sz w:val="22"/>
        </w:rPr>
        <w:t> </w:t>
      </w:r>
      <w:r>
        <w:rPr>
          <w:sz w:val="22"/>
        </w:rPr>
        <w:t>ACOs,</w:t>
      </w:r>
      <w:r>
        <w:rPr>
          <w:spacing w:val="-2"/>
          <w:sz w:val="22"/>
        </w:rPr>
        <w:t> </w:t>
      </w:r>
      <w:r>
        <w:rPr>
          <w:sz w:val="22"/>
        </w:rPr>
        <w:t>or</w:t>
      </w:r>
      <w:r>
        <w:rPr>
          <w:spacing w:val="-1"/>
          <w:sz w:val="22"/>
        </w:rPr>
        <w:t> </w:t>
      </w:r>
      <w:r>
        <w:rPr>
          <w:sz w:val="22"/>
        </w:rPr>
        <w:t>SSOs</w:t>
      </w:r>
      <w:r>
        <w:rPr>
          <w:spacing w:val="-4"/>
          <w:sz w:val="22"/>
        </w:rPr>
        <w:t> </w:t>
      </w:r>
      <w:r>
        <w:rPr>
          <w:sz w:val="22"/>
        </w:rPr>
        <w:t>through</w:t>
      </w:r>
      <w:r>
        <w:rPr>
          <w:spacing w:val="-2"/>
          <w:sz w:val="22"/>
        </w:rPr>
        <w:t> </w:t>
      </w:r>
      <w:r>
        <w:rPr>
          <w:sz w:val="22"/>
        </w:rPr>
        <w:t>ACOs,</w:t>
      </w:r>
      <w:r>
        <w:rPr>
          <w:spacing w:val="-2"/>
          <w:sz w:val="22"/>
        </w:rPr>
        <w:t> </w:t>
      </w:r>
      <w:r>
        <w:rPr>
          <w:sz w:val="22"/>
        </w:rPr>
        <w:t>for</w:t>
      </w:r>
      <w:r>
        <w:rPr>
          <w:spacing w:val="-6"/>
          <w:sz w:val="22"/>
        </w:rPr>
        <w:t> </w:t>
      </w:r>
      <w:r>
        <w:rPr>
          <w:sz w:val="22"/>
        </w:rPr>
        <w:t>TPS and</w:t>
      </w:r>
      <w:r>
        <w:rPr>
          <w:spacing w:val="-5"/>
          <w:sz w:val="22"/>
        </w:rPr>
        <w:t> </w:t>
      </w:r>
      <w:r>
        <w:rPr>
          <w:sz w:val="22"/>
        </w:rPr>
        <w:t>NSS</w:t>
      </w:r>
      <w:r>
        <w:rPr>
          <w:spacing w:val="-7"/>
          <w:sz w:val="22"/>
        </w:rPr>
        <w:t> </w:t>
      </w:r>
      <w:r>
        <w:rPr>
          <w:sz w:val="22"/>
        </w:rPr>
        <w:t>as</w:t>
      </w:r>
      <w:r>
        <w:rPr>
          <w:spacing w:val="-7"/>
          <w:sz w:val="22"/>
        </w:rPr>
        <w:t> </w:t>
      </w:r>
      <w:r>
        <w:rPr>
          <w:sz w:val="22"/>
        </w:rPr>
        <w:t>laid</w:t>
      </w:r>
      <w:r>
        <w:rPr>
          <w:spacing w:val="-7"/>
          <w:sz w:val="22"/>
        </w:rPr>
        <w:t> </w:t>
      </w:r>
      <w:r>
        <w:rPr>
          <w:sz w:val="22"/>
        </w:rPr>
        <w:t>out</w:t>
      </w:r>
      <w:r>
        <w:rPr>
          <w:spacing w:val="-6"/>
          <w:sz w:val="22"/>
        </w:rPr>
        <w:t> </w:t>
      </w:r>
      <w:r>
        <w:rPr>
          <w:sz w:val="22"/>
        </w:rPr>
        <w:t>in</w:t>
      </w:r>
      <w:r>
        <w:rPr>
          <w:spacing w:val="-5"/>
          <w:sz w:val="22"/>
        </w:rPr>
        <w:t> </w:t>
      </w:r>
      <w:r>
        <w:rPr>
          <w:sz w:val="22"/>
        </w:rPr>
        <w:t>Section</w:t>
      </w:r>
      <w:r>
        <w:rPr>
          <w:spacing w:val="-5"/>
          <w:sz w:val="22"/>
        </w:rPr>
        <w:t> </w:t>
      </w:r>
      <w:r>
        <w:rPr>
          <w:sz w:val="22"/>
        </w:rPr>
        <w:t>III.</w:t>
      </w:r>
      <w:r>
        <w:rPr>
          <w:spacing w:val="-5"/>
          <w:sz w:val="22"/>
        </w:rPr>
        <w:t> </w:t>
      </w:r>
      <w:r>
        <w:rPr>
          <w:sz w:val="22"/>
        </w:rPr>
        <w:t>The</w:t>
      </w:r>
      <w:r>
        <w:rPr>
          <w:spacing w:val="-7"/>
          <w:sz w:val="22"/>
        </w:rPr>
        <w:t> </w:t>
      </w:r>
      <w:r>
        <w:rPr>
          <w:sz w:val="22"/>
        </w:rPr>
        <w:t>State</w:t>
      </w:r>
      <w:r>
        <w:rPr>
          <w:spacing w:val="-7"/>
          <w:sz w:val="22"/>
        </w:rPr>
        <w:t> </w:t>
      </w:r>
      <w:r>
        <w:rPr>
          <w:sz w:val="22"/>
        </w:rPr>
        <w:t>anticipates</w:t>
      </w:r>
      <w:r>
        <w:rPr>
          <w:spacing w:val="-7"/>
          <w:sz w:val="22"/>
        </w:rPr>
        <w:t> </w:t>
      </w:r>
      <w:r>
        <w:rPr>
          <w:sz w:val="22"/>
        </w:rPr>
        <w:t>disbursing</w:t>
      </w:r>
      <w:r>
        <w:rPr>
          <w:spacing w:val="-7"/>
          <w:sz w:val="22"/>
        </w:rPr>
        <w:t> </w:t>
      </w:r>
      <w:r>
        <w:rPr>
          <w:sz w:val="22"/>
        </w:rPr>
        <w:t>funds</w:t>
      </w:r>
      <w:r>
        <w:rPr>
          <w:spacing w:val="-7"/>
          <w:sz w:val="22"/>
        </w:rPr>
        <w:t> </w:t>
      </w:r>
      <w:r>
        <w:rPr>
          <w:sz w:val="22"/>
        </w:rPr>
        <w:t>on</w:t>
      </w:r>
      <w:r>
        <w:rPr>
          <w:spacing w:val="-7"/>
          <w:sz w:val="22"/>
        </w:rPr>
        <w:t> </w:t>
      </w:r>
      <w:r>
        <w:rPr>
          <w:sz w:val="22"/>
        </w:rPr>
        <w:t>a</w:t>
      </w:r>
      <w:r>
        <w:rPr>
          <w:spacing w:val="-7"/>
          <w:sz w:val="22"/>
        </w:rPr>
        <w:t> </w:t>
      </w:r>
      <w:r>
        <w:rPr>
          <w:sz w:val="22"/>
        </w:rPr>
        <w:t>quarterly</w:t>
      </w:r>
      <w:r>
        <w:rPr>
          <w:spacing w:val="-7"/>
          <w:sz w:val="22"/>
        </w:rPr>
        <w:t> </w:t>
      </w:r>
      <w:r>
        <w:rPr>
          <w:sz w:val="22"/>
        </w:rPr>
        <w:t>basis</w:t>
      </w:r>
      <w:r>
        <w:rPr>
          <w:spacing w:val="-4"/>
          <w:sz w:val="22"/>
        </w:rPr>
        <w:t> </w:t>
      </w:r>
      <w:r>
        <w:rPr>
          <w:sz w:val="22"/>
        </w:rPr>
        <w:t>but may choose to do so more frequently.</w:t>
      </w:r>
    </w:p>
    <w:p>
      <w:pPr>
        <w:pStyle w:val="BodyText"/>
        <w:rPr>
          <w:sz w:val="22"/>
        </w:rPr>
      </w:pPr>
    </w:p>
    <w:p>
      <w:pPr>
        <w:spacing w:before="0"/>
        <w:ind w:left="839" w:right="122" w:firstLine="0"/>
        <w:jc w:val="both"/>
        <w:rPr>
          <w:sz w:val="22"/>
        </w:rPr>
      </w:pPr>
      <w:r>
        <w:rPr>
          <w:sz w:val="22"/>
        </w:rPr>
        <w:t>ACOs</w:t>
      </w:r>
      <w:r>
        <w:rPr>
          <w:spacing w:val="-7"/>
          <w:sz w:val="22"/>
        </w:rPr>
        <w:t> </w:t>
      </w:r>
      <w:r>
        <w:rPr>
          <w:sz w:val="22"/>
        </w:rPr>
        <w:t>may</w:t>
      </w:r>
      <w:r>
        <w:rPr>
          <w:spacing w:val="-11"/>
          <w:sz w:val="22"/>
        </w:rPr>
        <w:t> </w:t>
      </w:r>
      <w:r>
        <w:rPr>
          <w:sz w:val="22"/>
        </w:rPr>
        <w:t>also</w:t>
      </w:r>
      <w:r>
        <w:rPr>
          <w:spacing w:val="-10"/>
          <w:sz w:val="22"/>
        </w:rPr>
        <w:t> </w:t>
      </w:r>
      <w:r>
        <w:rPr>
          <w:sz w:val="22"/>
        </w:rPr>
        <w:t>use</w:t>
      </w:r>
      <w:r>
        <w:rPr>
          <w:spacing w:val="-9"/>
          <w:sz w:val="22"/>
        </w:rPr>
        <w:t> </w:t>
      </w:r>
      <w:r>
        <w:rPr>
          <w:sz w:val="22"/>
        </w:rPr>
        <w:t>Startup/Ongoing</w:t>
      </w:r>
      <w:r>
        <w:rPr>
          <w:spacing w:val="-11"/>
          <w:sz w:val="22"/>
        </w:rPr>
        <w:t> </w:t>
      </w:r>
      <w:r>
        <w:rPr>
          <w:sz w:val="22"/>
        </w:rPr>
        <w:t>funding</w:t>
      </w:r>
      <w:r>
        <w:rPr>
          <w:spacing w:val="-11"/>
          <w:sz w:val="22"/>
        </w:rPr>
        <w:t> </w:t>
      </w:r>
      <w:r>
        <w:rPr>
          <w:sz w:val="22"/>
        </w:rPr>
        <w:t>to</w:t>
      </w:r>
      <w:r>
        <w:rPr>
          <w:spacing w:val="-10"/>
          <w:sz w:val="22"/>
        </w:rPr>
        <w:t> </w:t>
      </w:r>
      <w:r>
        <w:rPr>
          <w:sz w:val="22"/>
        </w:rPr>
        <w:t>pay</w:t>
      </w:r>
      <w:r>
        <w:rPr>
          <w:spacing w:val="-11"/>
          <w:sz w:val="22"/>
        </w:rPr>
        <w:t> </w:t>
      </w:r>
      <w:r>
        <w:rPr>
          <w:sz w:val="22"/>
        </w:rPr>
        <w:t>for</w:t>
      </w:r>
      <w:r>
        <w:rPr>
          <w:spacing w:val="-10"/>
          <w:sz w:val="22"/>
        </w:rPr>
        <w:t> </w:t>
      </w:r>
      <w:r>
        <w:rPr>
          <w:sz w:val="22"/>
        </w:rPr>
        <w:t>administrative</w:t>
      </w:r>
      <w:r>
        <w:rPr>
          <w:spacing w:val="-9"/>
          <w:sz w:val="22"/>
        </w:rPr>
        <w:t> </w:t>
      </w:r>
      <w:r>
        <w:rPr>
          <w:sz w:val="22"/>
        </w:rPr>
        <w:t>costs</w:t>
      </w:r>
      <w:r>
        <w:rPr>
          <w:spacing w:val="-9"/>
          <w:sz w:val="22"/>
        </w:rPr>
        <w:t> </w:t>
      </w:r>
      <w:r>
        <w:rPr>
          <w:sz w:val="22"/>
        </w:rPr>
        <w:t>related</w:t>
      </w:r>
      <w:r>
        <w:rPr>
          <w:spacing w:val="-11"/>
          <w:sz w:val="22"/>
        </w:rPr>
        <w:t> </w:t>
      </w:r>
      <w:r>
        <w:rPr>
          <w:sz w:val="22"/>
        </w:rPr>
        <w:t>to</w:t>
      </w:r>
      <w:r>
        <w:rPr>
          <w:spacing w:val="-10"/>
          <w:sz w:val="22"/>
        </w:rPr>
        <w:t> </w:t>
      </w:r>
      <w:r>
        <w:rPr>
          <w:sz w:val="22"/>
        </w:rPr>
        <w:t>the</w:t>
      </w:r>
      <w:r>
        <w:rPr>
          <w:spacing w:val="-9"/>
          <w:sz w:val="22"/>
        </w:rPr>
        <w:t> </w:t>
      </w:r>
      <w:r>
        <w:rPr>
          <w:sz w:val="22"/>
        </w:rPr>
        <w:t>FSP,</w:t>
      </w:r>
      <w:r>
        <w:rPr>
          <w:spacing w:val="-10"/>
          <w:sz w:val="22"/>
        </w:rPr>
        <w:t> </w:t>
      </w:r>
      <w:r>
        <w:rPr>
          <w:sz w:val="22"/>
        </w:rPr>
        <w:t>but will be required to attest to non-duplication of funding.</w:t>
      </w:r>
    </w:p>
    <w:p>
      <w:pPr>
        <w:pStyle w:val="BodyText"/>
      </w:pPr>
    </w:p>
    <w:p>
      <w:pPr>
        <w:pStyle w:val="ListParagraph"/>
        <w:numPr>
          <w:ilvl w:val="0"/>
          <w:numId w:val="116"/>
        </w:numPr>
        <w:tabs>
          <w:tab w:pos="839" w:val="left" w:leader="none"/>
        </w:tabs>
        <w:spacing w:line="240" w:lineRule="auto" w:before="182" w:after="0"/>
        <w:ind w:left="839" w:right="0" w:hanging="719"/>
        <w:jc w:val="left"/>
        <w:rPr>
          <w:b/>
          <w:sz w:val="22"/>
        </w:rPr>
      </w:pPr>
      <w:bookmarkStart w:name="VII. Reporting and Documentation" w:id="1573"/>
      <w:bookmarkEnd w:id="1573"/>
      <w:r>
        <w:rPr/>
      </w:r>
      <w:r>
        <w:rPr>
          <w:b/>
          <w:sz w:val="22"/>
          <w:u w:val="single"/>
        </w:rPr>
        <w:t>Reporting</w:t>
      </w:r>
      <w:r>
        <w:rPr>
          <w:b/>
          <w:spacing w:val="-4"/>
          <w:sz w:val="22"/>
          <w:u w:val="single"/>
        </w:rPr>
        <w:t> </w:t>
      </w:r>
      <w:r>
        <w:rPr>
          <w:b/>
          <w:sz w:val="22"/>
          <w:u w:val="single"/>
        </w:rPr>
        <w:t>and</w:t>
      </w:r>
      <w:r>
        <w:rPr>
          <w:b/>
          <w:spacing w:val="-4"/>
          <w:sz w:val="22"/>
          <w:u w:val="single"/>
        </w:rPr>
        <w:t> </w:t>
      </w:r>
      <w:r>
        <w:rPr>
          <w:b/>
          <w:spacing w:val="-2"/>
          <w:sz w:val="22"/>
          <w:u w:val="single"/>
        </w:rPr>
        <w:t>Documentation</w:t>
      </w:r>
    </w:p>
    <w:p>
      <w:pPr>
        <w:spacing w:before="196"/>
        <w:ind w:left="840" w:right="114" w:hanging="1"/>
        <w:jc w:val="both"/>
        <w:rPr>
          <w:sz w:val="22"/>
        </w:rPr>
      </w:pPr>
      <w:r>
        <w:rPr>
          <w:sz w:val="22"/>
        </w:rPr>
        <w:t>The ACOs will be required to submit a Flexible Service Program Plan as an additional portion of their Full Participation Plan as set forth in Section 3.2.2 of the DSRIP Protocol.</w:t>
      </w:r>
      <w:r>
        <w:rPr>
          <w:spacing w:val="40"/>
          <w:sz w:val="22"/>
        </w:rPr>
        <w:t> </w:t>
      </w:r>
      <w:r>
        <w:rPr>
          <w:sz w:val="22"/>
        </w:rPr>
        <w:t>The ACOs will also be required</w:t>
      </w:r>
      <w:r>
        <w:rPr>
          <w:spacing w:val="-2"/>
          <w:sz w:val="22"/>
        </w:rPr>
        <w:t> </w:t>
      </w:r>
      <w:r>
        <w:rPr>
          <w:sz w:val="22"/>
        </w:rPr>
        <w:t>to add FSP</w:t>
      </w:r>
      <w:r>
        <w:rPr>
          <w:spacing w:val="-3"/>
          <w:sz w:val="22"/>
        </w:rPr>
        <w:t> </w:t>
      </w:r>
      <w:r>
        <w:rPr>
          <w:sz w:val="22"/>
        </w:rPr>
        <w:t>spending</w:t>
      </w:r>
      <w:r>
        <w:rPr>
          <w:spacing w:val="-2"/>
          <w:sz w:val="22"/>
        </w:rPr>
        <w:t> </w:t>
      </w:r>
      <w:r>
        <w:rPr>
          <w:sz w:val="22"/>
        </w:rPr>
        <w:t>to their DSRIP Budgets and Budget Narratives submitted in accordance with Section 3.4.4.1 of the DSRIP Protocol.</w:t>
      </w:r>
    </w:p>
    <w:p>
      <w:pPr>
        <w:pStyle w:val="BodyText"/>
        <w:spacing w:before="10"/>
        <w:rPr>
          <w:sz w:val="21"/>
        </w:rPr>
      </w:pPr>
    </w:p>
    <w:p>
      <w:pPr>
        <w:spacing w:before="1"/>
        <w:ind w:left="840" w:right="115" w:firstLine="0"/>
        <w:jc w:val="both"/>
        <w:rPr>
          <w:sz w:val="22"/>
        </w:rPr>
      </w:pPr>
      <w:r>
        <w:rPr>
          <w:sz w:val="22"/>
        </w:rPr>
        <w:t>Budgets and Budget Narratives will detail specific FSP supports that the ACO intends to make available to eligible members through its FSP as well as the estimated numbers of members the ACOs expects to serve.</w:t>
      </w:r>
      <w:r>
        <w:rPr>
          <w:spacing w:val="40"/>
          <w:sz w:val="22"/>
        </w:rPr>
        <w:t> </w:t>
      </w:r>
      <w:r>
        <w:rPr>
          <w:sz w:val="22"/>
        </w:rPr>
        <w:t>The Budgets and Budget Narratives will also specify the ACO’s administrative/infrastructure expenses related to the FSP.</w:t>
      </w:r>
      <w:r>
        <w:rPr>
          <w:spacing w:val="40"/>
          <w:sz w:val="22"/>
        </w:rPr>
        <w:t> </w:t>
      </w:r>
      <w:r>
        <w:rPr>
          <w:sz w:val="22"/>
        </w:rPr>
        <w:t>The State will review and approve the Budgets and Budget Narratives in accordance with the DSRIP Protocol.</w:t>
      </w:r>
    </w:p>
    <w:p>
      <w:pPr>
        <w:pStyle w:val="BodyText"/>
        <w:spacing w:before="1"/>
        <w:rPr>
          <w:sz w:val="22"/>
        </w:rPr>
      </w:pPr>
    </w:p>
    <w:p>
      <w:pPr>
        <w:spacing w:before="0"/>
        <w:ind w:left="840" w:right="114" w:hanging="1"/>
        <w:jc w:val="both"/>
        <w:rPr>
          <w:sz w:val="22"/>
        </w:rPr>
      </w:pPr>
      <w:r>
        <w:rPr>
          <w:sz w:val="22"/>
        </w:rPr>
        <w:t>The ACOs will be required to provide updated information regarding such Flexible Services expenditures their DSRIP</w:t>
      </w:r>
      <w:r>
        <w:rPr>
          <w:spacing w:val="-1"/>
          <w:sz w:val="22"/>
        </w:rPr>
        <w:t> </w:t>
      </w:r>
      <w:r>
        <w:rPr>
          <w:sz w:val="22"/>
        </w:rPr>
        <w:t>Semiannual</w:t>
      </w:r>
      <w:r>
        <w:rPr>
          <w:spacing w:val="-2"/>
          <w:sz w:val="22"/>
        </w:rPr>
        <w:t> </w:t>
      </w:r>
      <w:r>
        <w:rPr>
          <w:sz w:val="22"/>
        </w:rPr>
        <w:t>and</w:t>
      </w:r>
      <w:r>
        <w:rPr>
          <w:spacing w:val="-3"/>
          <w:sz w:val="22"/>
        </w:rPr>
        <w:t> </w:t>
      </w:r>
      <w:r>
        <w:rPr>
          <w:sz w:val="22"/>
        </w:rPr>
        <w:t>Annual Progress Reports</w:t>
      </w:r>
      <w:r>
        <w:rPr>
          <w:spacing w:val="-1"/>
          <w:sz w:val="22"/>
        </w:rPr>
        <w:t> </w:t>
      </w:r>
      <w:r>
        <w:rPr>
          <w:sz w:val="22"/>
        </w:rPr>
        <w:t>as</w:t>
      </w:r>
      <w:r>
        <w:rPr>
          <w:spacing w:val="-3"/>
          <w:sz w:val="22"/>
        </w:rPr>
        <w:t> </w:t>
      </w:r>
      <w:r>
        <w:rPr>
          <w:sz w:val="22"/>
        </w:rPr>
        <w:t>laid</w:t>
      </w:r>
      <w:r>
        <w:rPr>
          <w:spacing w:val="-1"/>
          <w:sz w:val="22"/>
        </w:rPr>
        <w:t> </w:t>
      </w:r>
      <w:r>
        <w:rPr>
          <w:sz w:val="22"/>
        </w:rPr>
        <w:t>out</w:t>
      </w:r>
      <w:r>
        <w:rPr>
          <w:spacing w:val="-2"/>
          <w:sz w:val="22"/>
        </w:rPr>
        <w:t> </w:t>
      </w:r>
      <w:r>
        <w:rPr>
          <w:sz w:val="22"/>
        </w:rPr>
        <w:t>in</w:t>
      </w:r>
      <w:r>
        <w:rPr>
          <w:spacing w:val="-3"/>
          <w:sz w:val="22"/>
        </w:rPr>
        <w:t> </w:t>
      </w:r>
      <w:r>
        <w:rPr>
          <w:sz w:val="22"/>
        </w:rPr>
        <w:t>Section</w:t>
      </w:r>
      <w:r>
        <w:rPr>
          <w:spacing w:val="-3"/>
          <w:sz w:val="22"/>
        </w:rPr>
        <w:t> </w:t>
      </w:r>
      <w:r>
        <w:rPr>
          <w:sz w:val="22"/>
        </w:rPr>
        <w:t>5.5.1</w:t>
      </w:r>
      <w:r>
        <w:rPr>
          <w:spacing w:val="-3"/>
          <w:sz w:val="22"/>
        </w:rPr>
        <w:t> </w:t>
      </w:r>
      <w:r>
        <w:rPr>
          <w:sz w:val="22"/>
        </w:rPr>
        <w:t>of the</w:t>
      </w:r>
      <w:r>
        <w:rPr>
          <w:spacing w:val="-2"/>
          <w:sz w:val="22"/>
        </w:rPr>
        <w:t> </w:t>
      </w:r>
      <w:r>
        <w:rPr>
          <w:sz w:val="22"/>
        </w:rPr>
        <w:t>DSRIP</w:t>
      </w:r>
      <w:r>
        <w:rPr>
          <w:spacing w:val="-3"/>
          <w:sz w:val="22"/>
        </w:rPr>
        <w:t> </w:t>
      </w:r>
      <w:r>
        <w:rPr>
          <w:sz w:val="22"/>
        </w:rPr>
        <w:t>Protocol.</w:t>
      </w:r>
      <w:r>
        <w:rPr>
          <w:spacing w:val="40"/>
          <w:sz w:val="22"/>
        </w:rPr>
        <w:t> </w:t>
      </w:r>
      <w:r>
        <w:rPr>
          <w:sz w:val="22"/>
        </w:rPr>
        <w:t>These</w:t>
      </w:r>
      <w:r>
        <w:rPr>
          <w:spacing w:val="-4"/>
          <w:sz w:val="22"/>
        </w:rPr>
        <w:t> </w:t>
      </w:r>
      <w:r>
        <w:rPr>
          <w:sz w:val="22"/>
        </w:rPr>
        <w:t>reports</w:t>
      </w:r>
      <w:r>
        <w:rPr>
          <w:spacing w:val="-2"/>
          <w:sz w:val="22"/>
        </w:rPr>
        <w:t> </w:t>
      </w:r>
      <w:r>
        <w:rPr>
          <w:sz w:val="22"/>
        </w:rPr>
        <w:t>will</w:t>
      </w:r>
      <w:r>
        <w:rPr>
          <w:spacing w:val="-1"/>
          <w:sz w:val="22"/>
        </w:rPr>
        <w:t> </w:t>
      </w:r>
      <w:r>
        <w:rPr>
          <w:sz w:val="22"/>
        </w:rPr>
        <w:t>be</w:t>
      </w:r>
      <w:r>
        <w:rPr>
          <w:spacing w:val="-2"/>
          <w:sz w:val="22"/>
        </w:rPr>
        <w:t> </w:t>
      </w:r>
      <w:r>
        <w:rPr>
          <w:sz w:val="22"/>
        </w:rPr>
        <w:t>used</w:t>
      </w:r>
      <w:r>
        <w:rPr>
          <w:spacing w:val="-2"/>
          <w:sz w:val="22"/>
        </w:rPr>
        <w:t> </w:t>
      </w:r>
      <w:r>
        <w:rPr>
          <w:sz w:val="22"/>
        </w:rPr>
        <w:t>to</w:t>
      </w:r>
      <w:r>
        <w:rPr>
          <w:spacing w:val="-5"/>
          <w:sz w:val="22"/>
        </w:rPr>
        <w:t> </w:t>
      </w:r>
      <w:r>
        <w:rPr>
          <w:sz w:val="22"/>
        </w:rPr>
        <w:t>determine</w:t>
      </w:r>
      <w:r>
        <w:rPr>
          <w:spacing w:val="-2"/>
          <w:sz w:val="22"/>
        </w:rPr>
        <w:t> </w:t>
      </w:r>
      <w:r>
        <w:rPr>
          <w:sz w:val="22"/>
        </w:rPr>
        <w:t>whether</w:t>
      </w:r>
      <w:r>
        <w:rPr>
          <w:spacing w:val="-1"/>
          <w:sz w:val="22"/>
        </w:rPr>
        <w:t> </w:t>
      </w:r>
      <w:r>
        <w:rPr>
          <w:sz w:val="22"/>
        </w:rPr>
        <w:t>FSP</w:t>
      </w:r>
      <w:r>
        <w:rPr>
          <w:spacing w:val="-5"/>
          <w:sz w:val="22"/>
        </w:rPr>
        <w:t> </w:t>
      </w:r>
      <w:r>
        <w:rPr>
          <w:sz w:val="22"/>
        </w:rPr>
        <w:t>spending</w:t>
      </w:r>
      <w:r>
        <w:rPr>
          <w:spacing w:val="-5"/>
          <w:sz w:val="22"/>
        </w:rPr>
        <w:t> </w:t>
      </w:r>
      <w:r>
        <w:rPr>
          <w:sz w:val="22"/>
        </w:rPr>
        <w:t>and</w:t>
      </w:r>
      <w:r>
        <w:rPr>
          <w:spacing w:val="-2"/>
          <w:sz w:val="22"/>
        </w:rPr>
        <w:t> </w:t>
      </w:r>
      <w:r>
        <w:rPr>
          <w:sz w:val="22"/>
        </w:rPr>
        <w:t>activities are in line with the ACO’s approved DSRIP Budget, Budget Narrative, and Participation Plan.</w:t>
      </w:r>
    </w:p>
    <w:p>
      <w:pPr>
        <w:pStyle w:val="BodyText"/>
        <w:spacing w:before="11"/>
        <w:rPr>
          <w:sz w:val="21"/>
        </w:rPr>
      </w:pPr>
    </w:p>
    <w:p>
      <w:pPr>
        <w:spacing w:before="0"/>
        <w:ind w:left="840" w:right="114" w:firstLine="0"/>
        <w:jc w:val="both"/>
        <w:rPr>
          <w:sz w:val="22"/>
        </w:rPr>
      </w:pPr>
      <w:r>
        <w:rPr>
          <w:sz w:val="22"/>
        </w:rPr>
        <w:t>The ACOs will also be required to submit to the State detailed information about the flexible services</w:t>
      </w:r>
      <w:r>
        <w:rPr>
          <w:spacing w:val="-2"/>
          <w:sz w:val="22"/>
        </w:rPr>
        <w:t> </w:t>
      </w:r>
      <w:r>
        <w:rPr>
          <w:sz w:val="22"/>
        </w:rPr>
        <w:t>provided</w:t>
      </w:r>
      <w:r>
        <w:rPr>
          <w:spacing w:val="-2"/>
          <w:sz w:val="22"/>
        </w:rPr>
        <w:t> </w:t>
      </w:r>
      <w:r>
        <w:rPr>
          <w:sz w:val="22"/>
        </w:rPr>
        <w:t>to</w:t>
      </w:r>
      <w:r>
        <w:rPr>
          <w:spacing w:val="-2"/>
          <w:sz w:val="22"/>
        </w:rPr>
        <w:t> </w:t>
      </w:r>
      <w:r>
        <w:rPr>
          <w:sz w:val="22"/>
        </w:rPr>
        <w:t>members</w:t>
      </w:r>
      <w:r>
        <w:rPr>
          <w:spacing w:val="-2"/>
          <w:sz w:val="22"/>
        </w:rPr>
        <w:t> </w:t>
      </w:r>
      <w:r>
        <w:rPr>
          <w:sz w:val="22"/>
        </w:rPr>
        <w:t>to</w:t>
      </w:r>
      <w:r>
        <w:rPr>
          <w:spacing w:val="-2"/>
          <w:sz w:val="22"/>
        </w:rPr>
        <w:t> </w:t>
      </w:r>
      <w:r>
        <w:rPr>
          <w:sz w:val="22"/>
        </w:rPr>
        <w:t>inform</w:t>
      </w:r>
      <w:r>
        <w:rPr>
          <w:spacing w:val="-6"/>
          <w:sz w:val="22"/>
        </w:rPr>
        <w:t> </w:t>
      </w:r>
      <w:r>
        <w:rPr>
          <w:sz w:val="22"/>
        </w:rPr>
        <w:t>robust</w:t>
      </w:r>
      <w:r>
        <w:rPr>
          <w:spacing w:val="-1"/>
          <w:sz w:val="22"/>
        </w:rPr>
        <w:t> </w:t>
      </w:r>
      <w:r>
        <w:rPr>
          <w:sz w:val="22"/>
        </w:rPr>
        <w:t>monitoring</w:t>
      </w:r>
      <w:r>
        <w:rPr>
          <w:spacing w:val="-5"/>
          <w:sz w:val="22"/>
        </w:rPr>
        <w:t> </w:t>
      </w:r>
      <w:r>
        <w:rPr>
          <w:sz w:val="22"/>
        </w:rPr>
        <w:t>and</w:t>
      </w:r>
      <w:r>
        <w:rPr>
          <w:spacing w:val="-2"/>
          <w:sz w:val="22"/>
        </w:rPr>
        <w:t> </w:t>
      </w:r>
      <w:r>
        <w:rPr>
          <w:sz w:val="22"/>
        </w:rPr>
        <w:t>evaluation</w:t>
      </w:r>
      <w:r>
        <w:rPr>
          <w:spacing w:val="-2"/>
          <w:sz w:val="22"/>
        </w:rPr>
        <w:t> </w:t>
      </w:r>
      <w:r>
        <w:rPr>
          <w:sz w:val="22"/>
        </w:rPr>
        <w:t>of</w:t>
      </w:r>
      <w:r>
        <w:rPr>
          <w:spacing w:val="-4"/>
          <w:sz w:val="22"/>
        </w:rPr>
        <w:t> </w:t>
      </w:r>
      <w:r>
        <w:rPr>
          <w:sz w:val="22"/>
        </w:rPr>
        <w:t>the</w:t>
      </w:r>
      <w:r>
        <w:rPr>
          <w:spacing w:val="-2"/>
          <w:sz w:val="22"/>
        </w:rPr>
        <w:t> </w:t>
      </w:r>
      <w:r>
        <w:rPr>
          <w:sz w:val="22"/>
        </w:rPr>
        <w:t>Flexible</w:t>
      </w:r>
      <w:r>
        <w:rPr>
          <w:spacing w:val="-2"/>
          <w:sz w:val="22"/>
        </w:rPr>
        <w:t> </w:t>
      </w:r>
      <w:r>
        <w:rPr>
          <w:sz w:val="22"/>
        </w:rPr>
        <w:t>Services program, in a form and format specified by the State.</w:t>
      </w:r>
    </w:p>
    <w:p>
      <w:pPr>
        <w:pStyle w:val="BodyText"/>
        <w:spacing w:before="9"/>
        <w:rPr>
          <w:sz w:val="21"/>
        </w:rPr>
      </w:pPr>
    </w:p>
    <w:p>
      <w:pPr>
        <w:spacing w:before="1"/>
        <w:ind w:left="840" w:right="114" w:firstLine="0"/>
        <w:jc w:val="both"/>
        <w:rPr>
          <w:sz w:val="22"/>
        </w:rPr>
      </w:pPr>
      <w:r>
        <w:rPr>
          <w:sz w:val="22"/>
        </w:rPr>
        <w:t>The ACOs will be required to ensure that FSP contractors meet documentation standards and cooperate in any evaluation activities by the State or CMS.</w:t>
      </w:r>
      <w:r>
        <w:rPr>
          <w:spacing w:val="40"/>
          <w:sz w:val="22"/>
        </w:rPr>
        <w:t> </w:t>
      </w:r>
      <w:r>
        <w:rPr>
          <w:sz w:val="22"/>
        </w:rPr>
        <w:t>ACOs will be required to have processes in place to ensure that there is no duplication of federal funding or services provided to </w:t>
      </w:r>
      <w:r>
        <w:rPr>
          <w:spacing w:val="-2"/>
          <w:sz w:val="22"/>
        </w:rPr>
        <w:t>members.</w:t>
      </w:r>
    </w:p>
    <w:p>
      <w:pPr>
        <w:spacing w:after="0"/>
        <w:jc w:val="both"/>
        <w:rPr>
          <w:sz w:val="22"/>
        </w:rPr>
        <w:sectPr>
          <w:pgSz w:w="12240" w:h="15840"/>
          <w:pgMar w:header="0" w:footer="1240" w:top="640" w:bottom="1420" w:left="1320" w:right="1320"/>
        </w:sectPr>
      </w:pPr>
    </w:p>
    <w:p>
      <w:pPr>
        <w:spacing w:before="78"/>
        <w:ind w:left="120" w:right="0" w:firstLine="0"/>
        <w:jc w:val="left"/>
        <w:rPr>
          <w:sz w:val="22"/>
        </w:rPr>
      </w:pPr>
      <w:bookmarkStart w:name="Attachment S Evaluation Design (reserved" w:id="1574"/>
      <w:bookmarkEnd w:id="1574"/>
      <w:r>
        <w:rPr/>
      </w:r>
      <w:r>
        <w:rPr>
          <w:sz w:val="22"/>
        </w:rPr>
        <w:t>Attachment</w:t>
      </w:r>
      <w:r>
        <w:rPr>
          <w:spacing w:val="-5"/>
          <w:sz w:val="22"/>
        </w:rPr>
        <w:t> </w:t>
      </w:r>
      <w:r>
        <w:rPr>
          <w:spacing w:val="-10"/>
          <w:sz w:val="22"/>
        </w:rPr>
        <w:t>S</w:t>
      </w:r>
    </w:p>
    <w:p>
      <w:pPr>
        <w:pStyle w:val="BodyText"/>
        <w:rPr>
          <w:sz w:val="20"/>
        </w:rPr>
      </w:pPr>
    </w:p>
    <w:p>
      <w:pPr>
        <w:pStyle w:val="BodyText"/>
        <w:spacing w:before="8"/>
        <w:rPr>
          <w:sz w:val="20"/>
        </w:rPr>
      </w:pPr>
    </w:p>
    <w:p>
      <w:pPr>
        <w:pStyle w:val="Heading4"/>
        <w:ind w:left="1404" w:right="1403"/>
        <w:jc w:val="center"/>
      </w:pPr>
      <w:bookmarkStart w:name="ATTACHMENT S" w:id="1575"/>
      <w:bookmarkEnd w:id="1575"/>
      <w:r>
        <w:rPr>
          <w:b w:val="0"/>
        </w:rPr>
      </w:r>
      <w:r>
        <w:rPr/>
        <w:t>ATTACHMENT</w:t>
      </w:r>
      <w:r>
        <w:rPr>
          <w:spacing w:val="-5"/>
        </w:rPr>
        <w:t> </w:t>
      </w:r>
      <w:r>
        <w:rPr>
          <w:spacing w:val="-10"/>
        </w:rPr>
        <w:t>S</w:t>
      </w:r>
    </w:p>
    <w:p>
      <w:pPr>
        <w:pStyle w:val="Heading5"/>
        <w:ind w:left="1403" w:right="1405"/>
        <w:jc w:val="center"/>
      </w:pPr>
      <w:bookmarkStart w:name="Evaluation Design (Reserved)" w:id="1576"/>
      <w:bookmarkEnd w:id="1576"/>
      <w:r>
        <w:rPr>
          <w:b w:val="0"/>
        </w:rPr>
      </w:r>
      <w:r>
        <w:rPr/>
        <w:t>Evaluation</w:t>
      </w:r>
      <w:r>
        <w:rPr>
          <w:spacing w:val="-3"/>
        </w:rPr>
        <w:t> </w:t>
      </w:r>
      <w:r>
        <w:rPr/>
        <w:t>Design</w:t>
      </w:r>
      <w:r>
        <w:rPr>
          <w:spacing w:val="-2"/>
        </w:rPr>
        <w:t> (Reserved)</w:t>
      </w:r>
    </w:p>
    <w:p>
      <w:pPr>
        <w:spacing w:after="0"/>
        <w:jc w:val="center"/>
        <w:sectPr>
          <w:footerReference w:type="default" r:id="rId354"/>
          <w:pgSz w:w="12240" w:h="15840"/>
          <w:pgMar w:footer="1247" w:header="0" w:top="640" w:bottom="1440" w:left="1320" w:right="1320"/>
        </w:sectPr>
      </w:pPr>
    </w:p>
    <w:p>
      <w:pPr>
        <w:spacing w:before="78"/>
        <w:ind w:left="120" w:right="0" w:firstLine="0"/>
        <w:jc w:val="left"/>
        <w:rPr>
          <w:sz w:val="22"/>
        </w:rPr>
      </w:pPr>
      <w:bookmarkStart w:name="Attachment T HRSN Implementation Plan (r" w:id="1577"/>
      <w:bookmarkEnd w:id="1577"/>
      <w:r>
        <w:rPr/>
      </w:r>
      <w:r>
        <w:rPr>
          <w:sz w:val="22"/>
        </w:rPr>
        <w:t>Attachment</w:t>
      </w:r>
      <w:r>
        <w:rPr>
          <w:spacing w:val="-5"/>
          <w:sz w:val="22"/>
        </w:rPr>
        <w:t> </w:t>
      </w:r>
      <w:r>
        <w:rPr>
          <w:spacing w:val="-10"/>
          <w:sz w:val="22"/>
        </w:rPr>
        <w:t>T</w:t>
      </w:r>
    </w:p>
    <w:p>
      <w:pPr>
        <w:pStyle w:val="BodyText"/>
        <w:rPr>
          <w:sz w:val="20"/>
        </w:rPr>
      </w:pPr>
    </w:p>
    <w:p>
      <w:pPr>
        <w:pStyle w:val="BodyText"/>
        <w:spacing w:before="8"/>
        <w:rPr>
          <w:sz w:val="20"/>
        </w:rPr>
      </w:pPr>
    </w:p>
    <w:p>
      <w:pPr>
        <w:pStyle w:val="Heading4"/>
        <w:ind w:left="1404" w:right="1404"/>
        <w:jc w:val="center"/>
      </w:pPr>
      <w:bookmarkStart w:name="ATTACHMENT T" w:id="1578"/>
      <w:bookmarkEnd w:id="1578"/>
      <w:r>
        <w:rPr>
          <w:b w:val="0"/>
        </w:rPr>
      </w:r>
      <w:r>
        <w:rPr/>
        <w:t>ATTACHMENT</w:t>
      </w:r>
      <w:r>
        <w:rPr>
          <w:spacing w:val="-5"/>
        </w:rPr>
        <w:t> </w:t>
      </w:r>
      <w:r>
        <w:rPr>
          <w:spacing w:val="-10"/>
        </w:rPr>
        <w:t>T</w:t>
      </w:r>
    </w:p>
    <w:p>
      <w:pPr>
        <w:pStyle w:val="Heading5"/>
        <w:ind w:left="1404" w:right="1405"/>
        <w:jc w:val="center"/>
      </w:pPr>
      <w:bookmarkStart w:name="HRSN Implementation Plan (Reserved)" w:id="1579"/>
      <w:bookmarkEnd w:id="1579"/>
      <w:r>
        <w:rPr>
          <w:b w:val="0"/>
        </w:rPr>
      </w:r>
      <w:r>
        <w:rPr/>
        <w:t>HRSN</w:t>
      </w:r>
      <w:r>
        <w:rPr>
          <w:spacing w:val="-5"/>
        </w:rPr>
        <w:t> </w:t>
      </w:r>
      <w:r>
        <w:rPr/>
        <w:t>Implementation</w:t>
      </w:r>
      <w:r>
        <w:rPr>
          <w:spacing w:val="-4"/>
        </w:rPr>
        <w:t> </w:t>
      </w:r>
      <w:r>
        <w:rPr/>
        <w:t>Plan</w:t>
      </w:r>
      <w:r>
        <w:rPr>
          <w:spacing w:val="-2"/>
        </w:rPr>
        <w:t> (Reserved)</w:t>
      </w:r>
    </w:p>
    <w:p>
      <w:pPr>
        <w:spacing w:after="0"/>
        <w:jc w:val="center"/>
        <w:sectPr>
          <w:pgSz w:w="12240" w:h="15840"/>
          <w:pgMar w:header="0" w:footer="1247" w:top="640" w:bottom="1440" w:left="1320" w:right="1320"/>
        </w:sectPr>
      </w:pPr>
    </w:p>
    <w:p>
      <w:pPr>
        <w:spacing w:before="80"/>
        <w:ind w:left="120" w:right="0" w:firstLine="0"/>
        <w:jc w:val="left"/>
        <w:rPr>
          <w:sz w:val="20"/>
        </w:rPr>
      </w:pPr>
      <w:bookmarkStart w:name="Attachment U PC Payment Protocol (reserv" w:id="1580"/>
      <w:bookmarkEnd w:id="1580"/>
      <w:r>
        <w:rPr/>
      </w:r>
      <w:r>
        <w:rPr>
          <w:spacing w:val="-2"/>
          <w:sz w:val="20"/>
        </w:rPr>
        <w:t>Attachment</w:t>
      </w:r>
      <w:r>
        <w:rPr>
          <w:spacing w:val="6"/>
          <w:sz w:val="20"/>
        </w:rPr>
        <w:t> </w:t>
      </w:r>
      <w:r>
        <w:rPr>
          <w:spacing w:val="-10"/>
          <w:sz w:val="20"/>
        </w:rPr>
        <w:t>U</w:t>
      </w:r>
    </w:p>
    <w:p>
      <w:pPr>
        <w:pStyle w:val="BodyText"/>
        <w:rPr>
          <w:sz w:val="20"/>
        </w:rPr>
      </w:pPr>
    </w:p>
    <w:p>
      <w:pPr>
        <w:pStyle w:val="BodyText"/>
        <w:spacing w:before="6"/>
        <w:rPr>
          <w:sz w:val="22"/>
        </w:rPr>
      </w:pPr>
    </w:p>
    <w:p>
      <w:pPr>
        <w:pStyle w:val="Heading4"/>
        <w:ind w:left="1404" w:right="1405"/>
        <w:jc w:val="center"/>
      </w:pPr>
      <w:r>
        <w:rPr/>
        <w:t>ATTACHMENT</w:t>
      </w:r>
      <w:r>
        <w:rPr>
          <w:spacing w:val="-5"/>
        </w:rPr>
        <w:t> </w:t>
      </w:r>
      <w:r>
        <w:rPr>
          <w:spacing w:val="-10"/>
        </w:rPr>
        <w:t>U</w:t>
      </w:r>
    </w:p>
    <w:p>
      <w:pPr>
        <w:pStyle w:val="Heading5"/>
        <w:ind w:left="1404" w:right="1405"/>
        <w:jc w:val="center"/>
      </w:pPr>
      <w:r>
        <w:rPr/>
        <w:t>Primary</w:t>
      </w:r>
      <w:r>
        <w:rPr>
          <w:spacing w:val="-3"/>
        </w:rPr>
        <w:t> </w:t>
      </w:r>
      <w:r>
        <w:rPr/>
        <w:t>Care</w:t>
      </w:r>
      <w:r>
        <w:rPr>
          <w:spacing w:val="-2"/>
        </w:rPr>
        <w:t> </w:t>
      </w:r>
      <w:r>
        <w:rPr/>
        <w:t>Payment</w:t>
      </w:r>
      <w:r>
        <w:rPr>
          <w:spacing w:val="-2"/>
        </w:rPr>
        <w:t> </w:t>
      </w:r>
      <w:r>
        <w:rPr/>
        <w:t>Protocol</w:t>
      </w:r>
      <w:r>
        <w:rPr>
          <w:spacing w:val="-2"/>
        </w:rPr>
        <w:t> (Reserved)</w:t>
      </w:r>
    </w:p>
    <w:p>
      <w:pPr>
        <w:spacing w:after="0"/>
        <w:jc w:val="center"/>
        <w:sectPr>
          <w:pgSz w:w="12240" w:h="15840"/>
          <w:pgMar w:header="0" w:footer="1247" w:top="640" w:bottom="1440" w:left="1320" w:right="1320"/>
        </w:sectPr>
      </w:pPr>
    </w:p>
    <w:p>
      <w:pPr>
        <w:spacing w:before="78"/>
        <w:ind w:left="120" w:right="0" w:firstLine="0"/>
        <w:jc w:val="left"/>
        <w:rPr>
          <w:sz w:val="22"/>
        </w:rPr>
      </w:pPr>
      <w:bookmarkStart w:name="Attachment V Provider Rate Increase Atte" w:id="1581"/>
      <w:bookmarkEnd w:id="1581"/>
      <w:r>
        <w:rPr/>
      </w:r>
      <w:r>
        <w:rPr>
          <w:sz w:val="22"/>
        </w:rPr>
        <w:t>Attachment</w:t>
      </w:r>
      <w:r>
        <w:rPr>
          <w:spacing w:val="-5"/>
          <w:sz w:val="22"/>
        </w:rPr>
        <w:t> </w:t>
      </w:r>
      <w:r>
        <w:rPr>
          <w:spacing w:val="-12"/>
          <w:sz w:val="22"/>
        </w:rPr>
        <w:t>V</w:t>
      </w:r>
    </w:p>
    <w:p>
      <w:pPr>
        <w:pStyle w:val="BodyText"/>
        <w:rPr>
          <w:sz w:val="20"/>
        </w:rPr>
      </w:pPr>
    </w:p>
    <w:p>
      <w:pPr>
        <w:pStyle w:val="BodyText"/>
        <w:spacing w:before="8"/>
        <w:rPr>
          <w:sz w:val="20"/>
        </w:rPr>
      </w:pPr>
    </w:p>
    <w:p>
      <w:pPr>
        <w:pStyle w:val="Heading4"/>
        <w:ind w:left="1404" w:right="1405"/>
        <w:jc w:val="center"/>
      </w:pPr>
      <w:bookmarkStart w:name="ATTACHMENT V" w:id="1582"/>
      <w:bookmarkEnd w:id="1582"/>
      <w:r>
        <w:rPr>
          <w:b w:val="0"/>
        </w:rPr>
      </w:r>
      <w:r>
        <w:rPr/>
        <w:t>ATTACHMENT</w:t>
      </w:r>
      <w:r>
        <w:rPr>
          <w:spacing w:val="-5"/>
        </w:rPr>
        <w:t> </w:t>
      </w:r>
      <w:r>
        <w:rPr>
          <w:spacing w:val="-10"/>
        </w:rPr>
        <w:t>V</w:t>
      </w:r>
    </w:p>
    <w:p>
      <w:pPr>
        <w:pStyle w:val="Heading5"/>
        <w:ind w:left="1404" w:right="1404"/>
        <w:jc w:val="center"/>
      </w:pPr>
      <w:bookmarkStart w:name="Provider Rate Increase Attestation Table" w:id="1583"/>
      <w:bookmarkEnd w:id="1583"/>
      <w:r>
        <w:rPr>
          <w:b w:val="0"/>
        </w:rPr>
      </w:r>
      <w:r>
        <w:rPr/>
        <w:t>Provider</w:t>
      </w:r>
      <w:r>
        <w:rPr>
          <w:spacing w:val="-5"/>
        </w:rPr>
        <w:t> </w:t>
      </w:r>
      <w:r>
        <w:rPr/>
        <w:t>Rate</w:t>
      </w:r>
      <w:r>
        <w:rPr>
          <w:spacing w:val="-3"/>
        </w:rPr>
        <w:t> </w:t>
      </w:r>
      <w:r>
        <w:rPr/>
        <w:t>Increase Attestation</w:t>
      </w:r>
      <w:r>
        <w:rPr>
          <w:spacing w:val="-2"/>
        </w:rPr>
        <w:t> </w:t>
      </w:r>
      <w:r>
        <w:rPr/>
        <w:t>Table</w:t>
      </w:r>
      <w:r>
        <w:rPr>
          <w:spacing w:val="-2"/>
        </w:rPr>
        <w:t> (Reserved)</w:t>
      </w:r>
    </w:p>
    <w:p>
      <w:pPr>
        <w:spacing w:after="0"/>
        <w:jc w:val="center"/>
        <w:sectPr>
          <w:pgSz w:w="12240" w:h="15840"/>
          <w:pgMar w:header="0" w:footer="1247" w:top="640" w:bottom="1440" w:left="1320" w:right="1320"/>
        </w:sectPr>
      </w:pPr>
    </w:p>
    <w:p>
      <w:pPr>
        <w:spacing w:before="78"/>
        <w:ind w:left="120" w:right="0" w:firstLine="0"/>
        <w:jc w:val="left"/>
        <w:rPr>
          <w:sz w:val="22"/>
        </w:rPr>
      </w:pPr>
      <w:bookmarkStart w:name="Attachment W Monitoring Protocol for oth" w:id="1584"/>
      <w:bookmarkEnd w:id="1584"/>
      <w:r>
        <w:rPr/>
      </w:r>
      <w:r>
        <w:rPr>
          <w:sz w:val="22"/>
        </w:rPr>
        <w:t>Attachment</w:t>
      </w:r>
      <w:r>
        <w:rPr>
          <w:spacing w:val="-5"/>
          <w:sz w:val="22"/>
        </w:rPr>
        <w:t> </w:t>
      </w:r>
      <w:r>
        <w:rPr>
          <w:spacing w:val="-10"/>
          <w:sz w:val="22"/>
        </w:rPr>
        <w:t>W</w:t>
      </w:r>
    </w:p>
    <w:p>
      <w:pPr>
        <w:pStyle w:val="BodyText"/>
        <w:rPr>
          <w:sz w:val="20"/>
        </w:rPr>
      </w:pPr>
    </w:p>
    <w:p>
      <w:pPr>
        <w:pStyle w:val="BodyText"/>
        <w:spacing w:before="8"/>
        <w:rPr>
          <w:sz w:val="20"/>
        </w:rPr>
      </w:pPr>
    </w:p>
    <w:p>
      <w:pPr>
        <w:pStyle w:val="Heading4"/>
        <w:ind w:left="1404" w:right="1404"/>
        <w:jc w:val="center"/>
      </w:pPr>
      <w:bookmarkStart w:name="ATTACHMENT W" w:id="1585"/>
      <w:bookmarkEnd w:id="1585"/>
      <w:r>
        <w:rPr>
          <w:b w:val="0"/>
        </w:rPr>
      </w:r>
      <w:r>
        <w:rPr/>
        <w:t>ATTACHMENT</w:t>
      </w:r>
      <w:r>
        <w:rPr>
          <w:spacing w:val="-5"/>
        </w:rPr>
        <w:t> </w:t>
      </w:r>
      <w:r>
        <w:rPr>
          <w:spacing w:val="-10"/>
        </w:rPr>
        <w:t>W</w:t>
      </w:r>
    </w:p>
    <w:p>
      <w:pPr>
        <w:spacing w:before="0"/>
        <w:ind w:left="1404" w:right="1404" w:firstLine="0"/>
        <w:jc w:val="center"/>
        <w:rPr>
          <w:b/>
          <w:sz w:val="24"/>
        </w:rPr>
      </w:pPr>
      <w:bookmarkStart w:name="Monitoring Protocol for Other Policies (" w:id="1586"/>
      <w:bookmarkEnd w:id="1586"/>
      <w:r>
        <w:rPr/>
      </w:r>
      <w:r>
        <w:rPr>
          <w:b/>
          <w:sz w:val="24"/>
        </w:rPr>
        <w:t>Monitoring</w:t>
      </w:r>
      <w:r>
        <w:rPr>
          <w:b/>
          <w:spacing w:val="-3"/>
          <w:sz w:val="24"/>
        </w:rPr>
        <w:t> </w:t>
      </w:r>
      <w:r>
        <w:rPr>
          <w:b/>
          <w:sz w:val="24"/>
        </w:rPr>
        <w:t>Protocol</w:t>
      </w:r>
      <w:r>
        <w:rPr>
          <w:b/>
          <w:spacing w:val="-3"/>
          <w:sz w:val="24"/>
        </w:rPr>
        <w:t> </w:t>
      </w:r>
      <w:r>
        <w:rPr>
          <w:b/>
          <w:sz w:val="24"/>
        </w:rPr>
        <w:t>for</w:t>
      </w:r>
      <w:r>
        <w:rPr>
          <w:b/>
          <w:spacing w:val="-3"/>
          <w:sz w:val="24"/>
        </w:rPr>
        <w:t> </w:t>
      </w:r>
      <w:r>
        <w:rPr>
          <w:b/>
          <w:sz w:val="24"/>
        </w:rPr>
        <w:t>Other</w:t>
      </w:r>
      <w:r>
        <w:rPr>
          <w:b/>
          <w:spacing w:val="-2"/>
          <w:sz w:val="24"/>
        </w:rPr>
        <w:t> </w:t>
      </w:r>
      <w:r>
        <w:rPr>
          <w:b/>
          <w:sz w:val="24"/>
        </w:rPr>
        <w:t>Policies</w:t>
      </w:r>
      <w:r>
        <w:rPr>
          <w:b/>
          <w:spacing w:val="-2"/>
          <w:sz w:val="24"/>
        </w:rPr>
        <w:t> (Reserved)</w:t>
      </w:r>
    </w:p>
    <w:sectPr>
      <w:pgSz w:w="12240" w:h="15840"/>
      <w:pgMar w:header="0" w:footer="1247" w:top="640" w:bottom="1440" w:left="132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libri">
    <w:altName w:val="Calibri"/>
    <w:charset w:val="0"/>
    <w:family w:val="swiss"/>
    <w:pitch w:val="variable"/>
  </w:font>
  <w:font w:name="Courier New">
    <w:altName w:val="Courier New"/>
    <w:charset w:val="0"/>
    <w:family w:val="modern"/>
    <w:pitch w:val="fixed"/>
  </w:font>
  <w:font w:name="Cambria Math">
    <w:altName w:val="Cambria Math"/>
    <w:charset w:val="0"/>
    <w:family w:val="roman"/>
    <w:pitch w:val="variable"/>
  </w:font>
  <w:font w:name="MS Gothic">
    <w:altName w:val="MS Gothic"/>
    <w:charset w:val="0"/>
    <w:family w:val="modern"/>
    <w:pitch w:val="fixed"/>
  </w:font>
  <w:font w:name="Wingdings">
    <w:altName w:val="Wingdings"/>
    <w:charset w:val="2"/>
    <w:family w:val="auto"/>
    <w:pitch w:val="variable"/>
  </w:font>
  <w:font w:name="Calibri Light">
    <w:altName w:val="Calibri Light"/>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3525248">
              <wp:simplePos x="0" y="0"/>
              <wp:positionH relativeFrom="page">
                <wp:posOffset>901700</wp:posOffset>
              </wp:positionH>
              <wp:positionV relativeFrom="page">
                <wp:posOffset>9285281</wp:posOffset>
              </wp:positionV>
              <wp:extent cx="3215640" cy="31242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3215640" cy="312420"/>
                      </a:xfrm>
                      <a:prstGeom prst="rect">
                        <a:avLst/>
                      </a:prstGeom>
                    </wps:spPr>
                    <wps:txbx>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wps:txbx>
                    <wps:bodyPr wrap="square" lIns="0" tIns="0" rIns="0" bIns="0" rtlCol="0">
                      <a:noAutofit/>
                    </wps:bodyPr>
                  </wps:wsp>
                </a:graphicData>
              </a:graphic>
            </wp:anchor>
          </w:drawing>
        </mc:Choice>
        <mc:Fallback>
          <w:pict>
            <v:shape style="position:absolute;margin-left:71pt;margin-top:731.124512pt;width:253.2pt;height:24.6pt;mso-position-horizontal-relative:page;mso-position-vertical-relative:page;z-index:-29791232" type="#_x0000_t202" id="docshape9" filled="false" stroked="false">
              <v:textbox inset="0,0,0,0">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v:textbox>
              <w10:wrap type="none"/>
            </v:shape>
          </w:pict>
        </mc:Fallback>
      </mc:AlternateContent>
    </w:r>
    <w:r>
      <w:rPr/>
      <mc:AlternateContent>
        <mc:Choice Requires="wps">
          <w:drawing>
            <wp:anchor distT="0" distB="0" distL="0" distR="0" allowOverlap="1" layoutInCell="1" locked="0" behindDoc="1" simplePos="0" relativeHeight="473525760">
              <wp:simplePos x="0" y="0"/>
              <wp:positionH relativeFrom="page">
                <wp:posOffset>6438381</wp:posOffset>
              </wp:positionH>
              <wp:positionV relativeFrom="page">
                <wp:posOffset>9285281</wp:posOffset>
              </wp:positionV>
              <wp:extent cx="470534" cy="16573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470534" cy="165735"/>
                      </a:xfrm>
                      <a:prstGeom prst="rect">
                        <a:avLst/>
                      </a:prstGeom>
                    </wps:spPr>
                    <wps:txbx>
                      <w:txbxContent>
                        <w:p>
                          <w:pPr>
                            <w:spacing w:before="10"/>
                            <w:ind w:left="20" w:right="0" w:firstLine="0"/>
                            <w:jc w:val="left"/>
                            <w:rPr>
                              <w:sz w:val="20"/>
                            </w:rPr>
                          </w:pPr>
                          <w:r>
                            <w:rPr>
                              <w:sz w:val="20"/>
                            </w:rPr>
                            <w:t>Page</w:t>
                          </w:r>
                          <w:r>
                            <w:rPr>
                              <w:spacing w:val="-4"/>
                              <w:sz w:val="20"/>
                            </w:rPr>
                            <w:t> </w:t>
                          </w:r>
                          <w:r>
                            <w:rPr>
                              <w:spacing w:val="-5"/>
                              <w:sz w:val="20"/>
                            </w:rPr>
                            <w:fldChar w:fldCharType="begin"/>
                          </w:r>
                          <w:r>
                            <w:rPr>
                              <w:spacing w:val="-5"/>
                              <w:sz w:val="20"/>
                            </w:rPr>
                            <w:instrText>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506.959167pt;margin-top:731.124512pt;width:37.050pt;height:13.05pt;mso-position-horizontal-relative:page;mso-position-vertical-relative:page;z-index:-29790720" type="#_x0000_t202" id="docshape10" filled="false" stroked="false">
              <v:textbox inset="0,0,0,0">
                <w:txbxContent>
                  <w:p>
                    <w:pPr>
                      <w:spacing w:before="10"/>
                      <w:ind w:left="20" w:right="0" w:firstLine="0"/>
                      <w:jc w:val="left"/>
                      <w:rPr>
                        <w:sz w:val="20"/>
                      </w:rPr>
                    </w:pPr>
                    <w:r>
                      <w:rPr>
                        <w:sz w:val="20"/>
                      </w:rPr>
                      <w:t>Page</w:t>
                    </w:r>
                    <w:r>
                      <w:rPr>
                        <w:spacing w:val="-4"/>
                        <w:sz w:val="20"/>
                      </w:rPr>
                      <w:t> </w:t>
                    </w:r>
                    <w:r>
                      <w:rPr>
                        <w:spacing w:val="-5"/>
                        <w:sz w:val="20"/>
                      </w:rPr>
                      <w:fldChar w:fldCharType="begin"/>
                    </w:r>
                    <w:r>
                      <w:rPr>
                        <w:spacing w:val="-5"/>
                        <w:sz w:val="20"/>
                      </w:rPr>
                      <w:instrText> PAGE </w:instrText>
                    </w:r>
                    <w:r>
                      <w:rPr>
                        <w:spacing w:val="-5"/>
                        <w:sz w:val="20"/>
                      </w:rPr>
                      <w:fldChar w:fldCharType="separate"/>
                    </w:r>
                    <w:r>
                      <w:rPr>
                        <w:spacing w:val="-5"/>
                        <w:sz w:val="20"/>
                      </w:rPr>
                      <w:t>10</w:t>
                    </w:r>
                    <w:r>
                      <w:rPr>
                        <w:spacing w:val="-5"/>
                        <w:sz w:val="20"/>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3534464">
              <wp:simplePos x="0" y="0"/>
              <wp:positionH relativeFrom="page">
                <wp:posOffset>901700</wp:posOffset>
              </wp:positionH>
              <wp:positionV relativeFrom="page">
                <wp:posOffset>9155794</wp:posOffset>
              </wp:positionV>
              <wp:extent cx="3215005" cy="312420"/>
              <wp:effectExtent l="0" t="0" r="0" b="0"/>
              <wp:wrapNone/>
              <wp:docPr id="769" name="Textbox 769"/>
              <wp:cNvGraphicFramePr>
                <a:graphicFrameLocks/>
              </wp:cNvGraphicFramePr>
              <a:graphic>
                <a:graphicData uri="http://schemas.microsoft.com/office/word/2010/wordprocessingShape">
                  <wps:wsp>
                    <wps:cNvPr id="769" name="Textbox 769"/>
                    <wps:cNvSpPr txBox="1"/>
                    <wps:spPr>
                      <a:xfrm>
                        <a:off x="0" y="0"/>
                        <a:ext cx="3215005" cy="312420"/>
                      </a:xfrm>
                      <a:prstGeom prst="rect">
                        <a:avLst/>
                      </a:prstGeom>
                    </wps:spPr>
                    <wps:txbx>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wps:txbx>
                    <wps:bodyPr wrap="square" lIns="0" tIns="0" rIns="0" bIns="0" rtlCol="0">
                      <a:noAutofit/>
                    </wps:bodyPr>
                  </wps:wsp>
                </a:graphicData>
              </a:graphic>
            </wp:anchor>
          </w:drawing>
        </mc:Choice>
        <mc:Fallback>
          <w:pict>
            <v:shape style="position:absolute;margin-left:71pt;margin-top:720.928711pt;width:253.15pt;height:24.6pt;mso-position-horizontal-relative:page;mso-position-vertical-relative:page;z-index:-29782016" type="#_x0000_t202" id="docshape35" filled="false" stroked="false">
              <v:textbox inset="0,0,0,0">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v:textbox>
              <w10:wrap type="none"/>
            </v:shape>
          </w:pict>
        </mc:Fallback>
      </mc:AlternateContent>
    </w:r>
    <w:r>
      <w:rPr/>
      <mc:AlternateContent>
        <mc:Choice Requires="wps">
          <w:drawing>
            <wp:anchor distT="0" distB="0" distL="0" distR="0" allowOverlap="1" layoutInCell="1" locked="0" behindDoc="1" simplePos="0" relativeHeight="473534976">
              <wp:simplePos x="0" y="0"/>
              <wp:positionH relativeFrom="page">
                <wp:posOffset>6375894</wp:posOffset>
              </wp:positionH>
              <wp:positionV relativeFrom="page">
                <wp:posOffset>9155794</wp:posOffset>
              </wp:positionV>
              <wp:extent cx="534670" cy="165735"/>
              <wp:effectExtent l="0" t="0" r="0" b="0"/>
              <wp:wrapNone/>
              <wp:docPr id="770" name="Textbox 770"/>
              <wp:cNvGraphicFramePr>
                <a:graphicFrameLocks/>
              </wp:cNvGraphicFramePr>
              <a:graphic>
                <a:graphicData uri="http://schemas.microsoft.com/office/word/2010/wordprocessingShape">
                  <wps:wsp>
                    <wps:cNvPr id="770" name="Textbox 770"/>
                    <wps:cNvSpPr txBox="1"/>
                    <wps:spPr>
                      <a:xfrm>
                        <a:off x="0" y="0"/>
                        <a:ext cx="534670" cy="165735"/>
                      </a:xfrm>
                      <a:prstGeom prst="rect">
                        <a:avLst/>
                      </a:prstGeom>
                    </wps:spPr>
                    <wps:txbx>
                      <w:txbxContent>
                        <w:p>
                          <w:pPr>
                            <w:spacing w:before="10"/>
                            <w:ind w:left="20" w:right="0" w:firstLine="0"/>
                            <w:jc w:val="left"/>
                            <w:rPr>
                              <w:sz w:val="20"/>
                            </w:rPr>
                          </w:pPr>
                          <w:r>
                            <w:rPr>
                              <w:sz w:val="20"/>
                            </w:rPr>
                            <w:t>Page</w:t>
                          </w:r>
                          <w:r>
                            <w:rPr>
                              <w:spacing w:val="-4"/>
                              <w:sz w:val="20"/>
                            </w:rPr>
                            <w:t> </w:t>
                          </w:r>
                          <w:r>
                            <w:rPr>
                              <w:spacing w:val="-5"/>
                              <w:sz w:val="20"/>
                            </w:rPr>
                            <w:fldChar w:fldCharType="begin"/>
                          </w:r>
                          <w:r>
                            <w:rPr>
                              <w:spacing w:val="-5"/>
                              <w:sz w:val="20"/>
                            </w:rPr>
                            <w:instrText> PAGE </w:instrText>
                          </w:r>
                          <w:r>
                            <w:rPr>
                              <w:spacing w:val="-5"/>
                              <w:sz w:val="20"/>
                            </w:rPr>
                            <w:fldChar w:fldCharType="separate"/>
                          </w:r>
                          <w:r>
                            <w:rPr>
                              <w:spacing w:val="-5"/>
                              <w:sz w:val="20"/>
                            </w:rPr>
                            <w:t>178</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502.03891pt;margin-top:720.928711pt;width:42.1pt;height:13.05pt;mso-position-horizontal-relative:page;mso-position-vertical-relative:page;z-index:-29781504" type="#_x0000_t202" id="docshape36" filled="false" stroked="false">
              <v:textbox inset="0,0,0,0">
                <w:txbxContent>
                  <w:p>
                    <w:pPr>
                      <w:spacing w:before="10"/>
                      <w:ind w:left="20" w:right="0" w:firstLine="0"/>
                      <w:jc w:val="left"/>
                      <w:rPr>
                        <w:sz w:val="20"/>
                      </w:rPr>
                    </w:pPr>
                    <w:r>
                      <w:rPr>
                        <w:sz w:val="20"/>
                      </w:rPr>
                      <w:t>Page</w:t>
                    </w:r>
                    <w:r>
                      <w:rPr>
                        <w:spacing w:val="-4"/>
                        <w:sz w:val="20"/>
                      </w:rPr>
                      <w:t> </w:t>
                    </w:r>
                    <w:r>
                      <w:rPr>
                        <w:spacing w:val="-5"/>
                        <w:sz w:val="20"/>
                      </w:rPr>
                      <w:fldChar w:fldCharType="begin"/>
                    </w:r>
                    <w:r>
                      <w:rPr>
                        <w:spacing w:val="-5"/>
                        <w:sz w:val="20"/>
                      </w:rPr>
                      <w:instrText> PAGE </w:instrText>
                    </w:r>
                    <w:r>
                      <w:rPr>
                        <w:spacing w:val="-5"/>
                        <w:sz w:val="20"/>
                      </w:rPr>
                      <w:fldChar w:fldCharType="separate"/>
                    </w:r>
                    <w:r>
                      <w:rPr>
                        <w:spacing w:val="-5"/>
                        <w:sz w:val="20"/>
                      </w:rPr>
                      <w:t>178</w:t>
                    </w:r>
                    <w:r>
                      <w:rPr>
                        <w:spacing w:val="-5"/>
                        <w:sz w:val="20"/>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3535488">
              <wp:simplePos x="0" y="0"/>
              <wp:positionH relativeFrom="page">
                <wp:posOffset>901700</wp:posOffset>
              </wp:positionH>
              <wp:positionV relativeFrom="page">
                <wp:posOffset>6869794</wp:posOffset>
              </wp:positionV>
              <wp:extent cx="3215005" cy="312420"/>
              <wp:effectExtent l="0" t="0" r="0" b="0"/>
              <wp:wrapNone/>
              <wp:docPr id="775" name="Textbox 775"/>
              <wp:cNvGraphicFramePr>
                <a:graphicFrameLocks/>
              </wp:cNvGraphicFramePr>
              <a:graphic>
                <a:graphicData uri="http://schemas.microsoft.com/office/word/2010/wordprocessingShape">
                  <wps:wsp>
                    <wps:cNvPr id="775" name="Textbox 775"/>
                    <wps:cNvSpPr txBox="1"/>
                    <wps:spPr>
                      <a:xfrm>
                        <a:off x="0" y="0"/>
                        <a:ext cx="3215005" cy="312420"/>
                      </a:xfrm>
                      <a:prstGeom prst="rect">
                        <a:avLst/>
                      </a:prstGeom>
                    </wps:spPr>
                    <wps:txbx>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wps:txbx>
                    <wps:bodyPr wrap="square" lIns="0" tIns="0" rIns="0" bIns="0" rtlCol="0">
                      <a:noAutofit/>
                    </wps:bodyPr>
                  </wps:wsp>
                </a:graphicData>
              </a:graphic>
            </wp:anchor>
          </w:drawing>
        </mc:Choice>
        <mc:Fallback>
          <w:pict>
            <v:shape style="position:absolute;margin-left:71pt;margin-top:540.928711pt;width:253.15pt;height:24.6pt;mso-position-horizontal-relative:page;mso-position-vertical-relative:page;z-index:-29780992" type="#_x0000_t202" id="docshape37" filled="false" stroked="false">
              <v:textbox inset="0,0,0,0">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v:textbox>
              <w10:wrap type="none"/>
            </v:shape>
          </w:pict>
        </mc:Fallback>
      </mc:AlternateContent>
    </w:r>
    <w:r>
      <w:rPr/>
      <mc:AlternateContent>
        <mc:Choice Requires="wps">
          <w:drawing>
            <wp:anchor distT="0" distB="0" distL="0" distR="0" allowOverlap="1" layoutInCell="1" locked="0" behindDoc="1" simplePos="0" relativeHeight="473536000">
              <wp:simplePos x="0" y="0"/>
              <wp:positionH relativeFrom="page">
                <wp:posOffset>6375894</wp:posOffset>
              </wp:positionH>
              <wp:positionV relativeFrom="page">
                <wp:posOffset>6869794</wp:posOffset>
              </wp:positionV>
              <wp:extent cx="534670" cy="165735"/>
              <wp:effectExtent l="0" t="0" r="0" b="0"/>
              <wp:wrapNone/>
              <wp:docPr id="776" name="Textbox 776"/>
              <wp:cNvGraphicFramePr>
                <a:graphicFrameLocks/>
              </wp:cNvGraphicFramePr>
              <a:graphic>
                <a:graphicData uri="http://schemas.microsoft.com/office/word/2010/wordprocessingShape">
                  <wps:wsp>
                    <wps:cNvPr id="776" name="Textbox 776"/>
                    <wps:cNvSpPr txBox="1"/>
                    <wps:spPr>
                      <a:xfrm>
                        <a:off x="0" y="0"/>
                        <a:ext cx="534670" cy="165735"/>
                      </a:xfrm>
                      <a:prstGeom prst="rect">
                        <a:avLst/>
                      </a:prstGeom>
                    </wps:spPr>
                    <wps:txbx>
                      <w:txbxContent>
                        <w:p>
                          <w:pPr>
                            <w:spacing w:before="10"/>
                            <w:ind w:left="20" w:right="0" w:firstLine="0"/>
                            <w:jc w:val="left"/>
                            <w:rPr>
                              <w:sz w:val="20"/>
                            </w:rPr>
                          </w:pPr>
                          <w:r>
                            <w:rPr>
                              <w:sz w:val="20"/>
                            </w:rPr>
                            <w:t>Page</w:t>
                          </w:r>
                          <w:r>
                            <w:rPr>
                              <w:spacing w:val="-4"/>
                              <w:sz w:val="20"/>
                            </w:rPr>
                            <w:t> </w:t>
                          </w:r>
                          <w:r>
                            <w:rPr>
                              <w:spacing w:val="-5"/>
                              <w:sz w:val="20"/>
                            </w:rPr>
                            <w:fldChar w:fldCharType="begin"/>
                          </w:r>
                          <w:r>
                            <w:rPr>
                              <w:spacing w:val="-5"/>
                              <w:sz w:val="20"/>
                            </w:rPr>
                            <w:instrText> PAGE </w:instrText>
                          </w:r>
                          <w:r>
                            <w:rPr>
                              <w:spacing w:val="-5"/>
                              <w:sz w:val="20"/>
                            </w:rPr>
                            <w:fldChar w:fldCharType="separate"/>
                          </w:r>
                          <w:r>
                            <w:rPr>
                              <w:spacing w:val="-5"/>
                              <w:sz w:val="20"/>
                            </w:rPr>
                            <w:t>180</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502.03891pt;margin-top:540.928711pt;width:42.1pt;height:13.05pt;mso-position-horizontal-relative:page;mso-position-vertical-relative:page;z-index:-29780480" type="#_x0000_t202" id="docshape38" filled="false" stroked="false">
              <v:textbox inset="0,0,0,0">
                <w:txbxContent>
                  <w:p>
                    <w:pPr>
                      <w:spacing w:before="10"/>
                      <w:ind w:left="20" w:right="0" w:firstLine="0"/>
                      <w:jc w:val="left"/>
                      <w:rPr>
                        <w:sz w:val="20"/>
                      </w:rPr>
                    </w:pPr>
                    <w:r>
                      <w:rPr>
                        <w:sz w:val="20"/>
                      </w:rPr>
                      <w:t>Page</w:t>
                    </w:r>
                    <w:r>
                      <w:rPr>
                        <w:spacing w:val="-4"/>
                        <w:sz w:val="20"/>
                      </w:rPr>
                      <w:t> </w:t>
                    </w:r>
                    <w:r>
                      <w:rPr>
                        <w:spacing w:val="-5"/>
                        <w:sz w:val="20"/>
                      </w:rPr>
                      <w:fldChar w:fldCharType="begin"/>
                    </w:r>
                    <w:r>
                      <w:rPr>
                        <w:spacing w:val="-5"/>
                        <w:sz w:val="20"/>
                      </w:rPr>
                      <w:instrText> PAGE </w:instrText>
                    </w:r>
                    <w:r>
                      <w:rPr>
                        <w:spacing w:val="-5"/>
                        <w:sz w:val="20"/>
                      </w:rPr>
                      <w:fldChar w:fldCharType="separate"/>
                    </w:r>
                    <w:r>
                      <w:rPr>
                        <w:spacing w:val="-5"/>
                        <w:sz w:val="20"/>
                      </w:rPr>
                      <w:t>180</w:t>
                    </w:r>
                    <w:r>
                      <w:rPr>
                        <w:spacing w:val="-5"/>
                        <w:sz w:val="20"/>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3536512">
              <wp:simplePos x="0" y="0"/>
              <wp:positionH relativeFrom="page">
                <wp:posOffset>901700</wp:posOffset>
              </wp:positionH>
              <wp:positionV relativeFrom="page">
                <wp:posOffset>9155794</wp:posOffset>
              </wp:positionV>
              <wp:extent cx="3215005" cy="312420"/>
              <wp:effectExtent l="0" t="0" r="0" b="0"/>
              <wp:wrapNone/>
              <wp:docPr id="783" name="Textbox 783"/>
              <wp:cNvGraphicFramePr>
                <a:graphicFrameLocks/>
              </wp:cNvGraphicFramePr>
              <a:graphic>
                <a:graphicData uri="http://schemas.microsoft.com/office/word/2010/wordprocessingShape">
                  <wps:wsp>
                    <wps:cNvPr id="783" name="Textbox 783"/>
                    <wps:cNvSpPr txBox="1"/>
                    <wps:spPr>
                      <a:xfrm>
                        <a:off x="0" y="0"/>
                        <a:ext cx="3215005" cy="312420"/>
                      </a:xfrm>
                      <a:prstGeom prst="rect">
                        <a:avLst/>
                      </a:prstGeom>
                    </wps:spPr>
                    <wps:txbx>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wps:txbx>
                    <wps:bodyPr wrap="square" lIns="0" tIns="0" rIns="0" bIns="0" rtlCol="0">
                      <a:noAutofit/>
                    </wps:bodyPr>
                  </wps:wsp>
                </a:graphicData>
              </a:graphic>
            </wp:anchor>
          </w:drawing>
        </mc:Choice>
        <mc:Fallback>
          <w:pict>
            <v:shape style="position:absolute;margin-left:71pt;margin-top:720.928711pt;width:253.15pt;height:24.6pt;mso-position-horizontal-relative:page;mso-position-vertical-relative:page;z-index:-29779968" type="#_x0000_t202" id="docshape39" filled="false" stroked="false">
              <v:textbox inset="0,0,0,0">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v:textbox>
              <w10:wrap type="none"/>
            </v:shape>
          </w:pict>
        </mc:Fallback>
      </mc:AlternateContent>
    </w:r>
    <w:r>
      <w:rPr/>
      <mc:AlternateContent>
        <mc:Choice Requires="wps">
          <w:drawing>
            <wp:anchor distT="0" distB="0" distL="0" distR="0" allowOverlap="1" layoutInCell="1" locked="0" behindDoc="1" simplePos="0" relativeHeight="473537024">
              <wp:simplePos x="0" y="0"/>
              <wp:positionH relativeFrom="page">
                <wp:posOffset>6375894</wp:posOffset>
              </wp:positionH>
              <wp:positionV relativeFrom="page">
                <wp:posOffset>9155794</wp:posOffset>
              </wp:positionV>
              <wp:extent cx="534670" cy="165735"/>
              <wp:effectExtent l="0" t="0" r="0" b="0"/>
              <wp:wrapNone/>
              <wp:docPr id="784" name="Textbox 784"/>
              <wp:cNvGraphicFramePr>
                <a:graphicFrameLocks/>
              </wp:cNvGraphicFramePr>
              <a:graphic>
                <a:graphicData uri="http://schemas.microsoft.com/office/word/2010/wordprocessingShape">
                  <wps:wsp>
                    <wps:cNvPr id="784" name="Textbox 784"/>
                    <wps:cNvSpPr txBox="1"/>
                    <wps:spPr>
                      <a:xfrm>
                        <a:off x="0" y="0"/>
                        <a:ext cx="534670" cy="165735"/>
                      </a:xfrm>
                      <a:prstGeom prst="rect">
                        <a:avLst/>
                      </a:prstGeom>
                    </wps:spPr>
                    <wps:txbx>
                      <w:txbxContent>
                        <w:p>
                          <w:pPr>
                            <w:spacing w:before="10"/>
                            <w:ind w:left="20" w:right="0" w:firstLine="0"/>
                            <w:jc w:val="left"/>
                            <w:rPr>
                              <w:sz w:val="20"/>
                            </w:rPr>
                          </w:pPr>
                          <w:r>
                            <w:rPr>
                              <w:sz w:val="20"/>
                            </w:rPr>
                            <w:t>Page</w:t>
                          </w:r>
                          <w:r>
                            <w:rPr>
                              <w:spacing w:val="-4"/>
                              <w:sz w:val="20"/>
                            </w:rPr>
                            <w:t> </w:t>
                          </w:r>
                          <w:r>
                            <w:rPr>
                              <w:spacing w:val="-5"/>
                              <w:sz w:val="20"/>
                            </w:rPr>
                            <w:fldChar w:fldCharType="begin"/>
                          </w:r>
                          <w:r>
                            <w:rPr>
                              <w:spacing w:val="-5"/>
                              <w:sz w:val="20"/>
                            </w:rPr>
                            <w:instrText> PAGE </w:instrText>
                          </w:r>
                          <w:r>
                            <w:rPr>
                              <w:spacing w:val="-5"/>
                              <w:sz w:val="20"/>
                            </w:rPr>
                            <w:fldChar w:fldCharType="separate"/>
                          </w:r>
                          <w:r>
                            <w:rPr>
                              <w:spacing w:val="-5"/>
                              <w:sz w:val="20"/>
                            </w:rPr>
                            <w:t>186</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502.03891pt;margin-top:720.928711pt;width:42.1pt;height:13.05pt;mso-position-horizontal-relative:page;mso-position-vertical-relative:page;z-index:-29779456" type="#_x0000_t202" id="docshape40" filled="false" stroked="false">
              <v:textbox inset="0,0,0,0">
                <w:txbxContent>
                  <w:p>
                    <w:pPr>
                      <w:spacing w:before="10"/>
                      <w:ind w:left="20" w:right="0" w:firstLine="0"/>
                      <w:jc w:val="left"/>
                      <w:rPr>
                        <w:sz w:val="20"/>
                      </w:rPr>
                    </w:pPr>
                    <w:r>
                      <w:rPr>
                        <w:sz w:val="20"/>
                      </w:rPr>
                      <w:t>Page</w:t>
                    </w:r>
                    <w:r>
                      <w:rPr>
                        <w:spacing w:val="-4"/>
                        <w:sz w:val="20"/>
                      </w:rPr>
                      <w:t> </w:t>
                    </w:r>
                    <w:r>
                      <w:rPr>
                        <w:spacing w:val="-5"/>
                        <w:sz w:val="20"/>
                      </w:rPr>
                      <w:fldChar w:fldCharType="begin"/>
                    </w:r>
                    <w:r>
                      <w:rPr>
                        <w:spacing w:val="-5"/>
                        <w:sz w:val="20"/>
                      </w:rPr>
                      <w:instrText> PAGE </w:instrText>
                    </w:r>
                    <w:r>
                      <w:rPr>
                        <w:spacing w:val="-5"/>
                        <w:sz w:val="20"/>
                      </w:rPr>
                      <w:fldChar w:fldCharType="separate"/>
                    </w:r>
                    <w:r>
                      <w:rPr>
                        <w:spacing w:val="-5"/>
                        <w:sz w:val="20"/>
                      </w:rPr>
                      <w:t>186</w:t>
                    </w:r>
                    <w:r>
                      <w:rPr>
                        <w:spacing w:val="-5"/>
                        <w:sz w:val="20"/>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3537536">
              <wp:simplePos x="0" y="0"/>
              <wp:positionH relativeFrom="page">
                <wp:posOffset>901573</wp:posOffset>
              </wp:positionH>
              <wp:positionV relativeFrom="page">
                <wp:posOffset>9142024</wp:posOffset>
              </wp:positionV>
              <wp:extent cx="3215005" cy="312420"/>
              <wp:effectExtent l="0" t="0" r="0" b="0"/>
              <wp:wrapNone/>
              <wp:docPr id="820" name="Textbox 820"/>
              <wp:cNvGraphicFramePr>
                <a:graphicFrameLocks/>
              </wp:cNvGraphicFramePr>
              <a:graphic>
                <a:graphicData uri="http://schemas.microsoft.com/office/word/2010/wordprocessingShape">
                  <wps:wsp>
                    <wps:cNvPr id="820" name="Textbox 820"/>
                    <wps:cNvSpPr txBox="1"/>
                    <wps:spPr>
                      <a:xfrm>
                        <a:off x="0" y="0"/>
                        <a:ext cx="3215005" cy="312420"/>
                      </a:xfrm>
                      <a:prstGeom prst="rect">
                        <a:avLst/>
                      </a:prstGeom>
                    </wps:spPr>
                    <wps:txbx>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wps:txbx>
                    <wps:bodyPr wrap="square" lIns="0" tIns="0" rIns="0" bIns="0" rtlCol="0">
                      <a:noAutofit/>
                    </wps:bodyPr>
                  </wps:wsp>
                </a:graphicData>
              </a:graphic>
            </wp:anchor>
          </w:drawing>
        </mc:Choice>
        <mc:Fallback>
          <w:pict>
            <v:shape style="position:absolute;margin-left:70.990044pt;margin-top:719.844482pt;width:253.15pt;height:24.6pt;mso-position-horizontal-relative:page;mso-position-vertical-relative:page;z-index:-29778944" type="#_x0000_t202" id="docshape41" filled="false" stroked="false">
              <v:textbox inset="0,0,0,0">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v:textbox>
              <w10:wrap type="none"/>
            </v:shape>
          </w:pict>
        </mc:Fallback>
      </mc:AlternateContent>
    </w:r>
    <w:r>
      <w:rPr/>
      <mc:AlternateContent>
        <mc:Choice Requires="wps">
          <w:drawing>
            <wp:anchor distT="0" distB="0" distL="0" distR="0" allowOverlap="1" layoutInCell="1" locked="0" behindDoc="1" simplePos="0" relativeHeight="473538048">
              <wp:simplePos x="0" y="0"/>
              <wp:positionH relativeFrom="page">
                <wp:posOffset>6270652</wp:posOffset>
              </wp:positionH>
              <wp:positionV relativeFrom="page">
                <wp:posOffset>9142024</wp:posOffset>
              </wp:positionV>
              <wp:extent cx="600710" cy="165735"/>
              <wp:effectExtent l="0" t="0" r="0" b="0"/>
              <wp:wrapNone/>
              <wp:docPr id="821" name="Textbox 821"/>
              <wp:cNvGraphicFramePr>
                <a:graphicFrameLocks/>
              </wp:cNvGraphicFramePr>
              <a:graphic>
                <a:graphicData uri="http://schemas.microsoft.com/office/word/2010/wordprocessingShape">
                  <wps:wsp>
                    <wps:cNvPr id="821" name="Textbox 821"/>
                    <wps:cNvSpPr txBox="1"/>
                    <wps:spPr>
                      <a:xfrm>
                        <a:off x="0" y="0"/>
                        <a:ext cx="600710" cy="165735"/>
                      </a:xfrm>
                      <a:prstGeom prst="rect">
                        <a:avLst/>
                      </a:prstGeom>
                    </wps:spPr>
                    <wps:txbx>
                      <w:txbxContent>
                        <w:p>
                          <w:pPr>
                            <w:spacing w:before="10"/>
                            <w:ind w:left="20" w:right="0" w:firstLine="0"/>
                            <w:jc w:val="left"/>
                            <w:rPr>
                              <w:b/>
                              <w:sz w:val="20"/>
                            </w:rPr>
                          </w:pPr>
                          <w:r>
                            <w:rPr>
                              <w:sz w:val="20"/>
                            </w:rPr>
                            <w:t>Page</w:t>
                          </w:r>
                          <w:r>
                            <w:rPr>
                              <w:spacing w:val="-2"/>
                              <w:sz w:val="20"/>
                            </w:rPr>
                            <w:t> </w:t>
                          </w:r>
                          <w:r>
                            <w:rPr>
                              <w:b/>
                              <w:sz w:val="20"/>
                            </w:rPr>
                            <w:fldChar w:fldCharType="begin"/>
                          </w:r>
                          <w:r>
                            <w:rPr>
                              <w:b/>
                              <w:sz w:val="20"/>
                            </w:rPr>
                            <w:instrText> PAGE </w:instrText>
                          </w:r>
                          <w:r>
                            <w:rPr>
                              <w:b/>
                              <w:sz w:val="20"/>
                            </w:rPr>
                            <w:fldChar w:fldCharType="separate"/>
                          </w:r>
                          <w:r>
                            <w:rPr>
                              <w:b/>
                              <w:sz w:val="20"/>
                            </w:rPr>
                            <w:t>1</w:t>
                          </w:r>
                          <w:r>
                            <w:rPr>
                              <w:b/>
                              <w:sz w:val="20"/>
                            </w:rPr>
                            <w:fldChar w:fldCharType="end"/>
                          </w:r>
                          <w:r>
                            <w:rPr>
                              <w:b/>
                              <w:spacing w:val="-1"/>
                              <w:sz w:val="20"/>
                            </w:rPr>
                            <w:t> </w:t>
                          </w:r>
                          <w:r>
                            <w:rPr>
                              <w:sz w:val="20"/>
                            </w:rPr>
                            <w:t>of</w:t>
                          </w:r>
                          <w:r>
                            <w:rPr>
                              <w:spacing w:val="-4"/>
                              <w:sz w:val="20"/>
                            </w:rPr>
                            <w:t> </w:t>
                          </w:r>
                          <w:r>
                            <w:rPr>
                              <w:b/>
                              <w:spacing w:val="-10"/>
                              <w:sz w:val="20"/>
                            </w:rPr>
                            <w:t>6</w:t>
                          </w:r>
                        </w:p>
                      </w:txbxContent>
                    </wps:txbx>
                    <wps:bodyPr wrap="square" lIns="0" tIns="0" rIns="0" bIns="0" rtlCol="0">
                      <a:noAutofit/>
                    </wps:bodyPr>
                  </wps:wsp>
                </a:graphicData>
              </a:graphic>
            </wp:anchor>
          </w:drawing>
        </mc:Choice>
        <mc:Fallback>
          <w:pict>
            <v:shape style="position:absolute;margin-left:493.752197pt;margin-top:719.844482pt;width:47.3pt;height:13.05pt;mso-position-horizontal-relative:page;mso-position-vertical-relative:page;z-index:-29778432" type="#_x0000_t202" id="docshape42" filled="false" stroked="false">
              <v:textbox inset="0,0,0,0">
                <w:txbxContent>
                  <w:p>
                    <w:pPr>
                      <w:spacing w:before="10"/>
                      <w:ind w:left="20" w:right="0" w:firstLine="0"/>
                      <w:jc w:val="left"/>
                      <w:rPr>
                        <w:b/>
                        <w:sz w:val="20"/>
                      </w:rPr>
                    </w:pPr>
                    <w:r>
                      <w:rPr>
                        <w:sz w:val="20"/>
                      </w:rPr>
                      <w:t>Page</w:t>
                    </w:r>
                    <w:r>
                      <w:rPr>
                        <w:spacing w:val="-2"/>
                        <w:sz w:val="20"/>
                      </w:rPr>
                      <w:t> </w:t>
                    </w:r>
                    <w:r>
                      <w:rPr>
                        <w:b/>
                        <w:sz w:val="20"/>
                      </w:rPr>
                      <w:fldChar w:fldCharType="begin"/>
                    </w:r>
                    <w:r>
                      <w:rPr>
                        <w:b/>
                        <w:sz w:val="20"/>
                      </w:rPr>
                      <w:instrText> PAGE </w:instrText>
                    </w:r>
                    <w:r>
                      <w:rPr>
                        <w:b/>
                        <w:sz w:val="20"/>
                      </w:rPr>
                      <w:fldChar w:fldCharType="separate"/>
                    </w:r>
                    <w:r>
                      <w:rPr>
                        <w:b/>
                        <w:sz w:val="20"/>
                      </w:rPr>
                      <w:t>1</w:t>
                    </w:r>
                    <w:r>
                      <w:rPr>
                        <w:b/>
                        <w:sz w:val="20"/>
                      </w:rPr>
                      <w:fldChar w:fldCharType="end"/>
                    </w:r>
                    <w:r>
                      <w:rPr>
                        <w:b/>
                        <w:spacing w:val="-1"/>
                        <w:sz w:val="20"/>
                      </w:rPr>
                      <w:t> </w:t>
                    </w:r>
                    <w:r>
                      <w:rPr>
                        <w:sz w:val="20"/>
                      </w:rPr>
                      <w:t>of</w:t>
                    </w:r>
                    <w:r>
                      <w:rPr>
                        <w:spacing w:val="-4"/>
                        <w:sz w:val="20"/>
                      </w:rPr>
                      <w:t> </w:t>
                    </w:r>
                    <w:r>
                      <w:rPr>
                        <w:b/>
                        <w:spacing w:val="-10"/>
                        <w:sz w:val="20"/>
                      </w:rPr>
                      <w:t>6</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3538560">
              <wp:simplePos x="0" y="0"/>
              <wp:positionH relativeFrom="page">
                <wp:posOffset>901573</wp:posOffset>
              </wp:positionH>
              <wp:positionV relativeFrom="page">
                <wp:posOffset>9302045</wp:posOffset>
              </wp:positionV>
              <wp:extent cx="3215005" cy="312420"/>
              <wp:effectExtent l="0" t="0" r="0" b="0"/>
              <wp:wrapNone/>
              <wp:docPr id="829" name="Textbox 829"/>
              <wp:cNvGraphicFramePr>
                <a:graphicFrameLocks/>
              </wp:cNvGraphicFramePr>
              <a:graphic>
                <a:graphicData uri="http://schemas.microsoft.com/office/word/2010/wordprocessingShape">
                  <wps:wsp>
                    <wps:cNvPr id="829" name="Textbox 829"/>
                    <wps:cNvSpPr txBox="1"/>
                    <wps:spPr>
                      <a:xfrm>
                        <a:off x="0" y="0"/>
                        <a:ext cx="3215005" cy="312420"/>
                      </a:xfrm>
                      <a:prstGeom prst="rect">
                        <a:avLst/>
                      </a:prstGeom>
                    </wps:spPr>
                    <wps:txbx>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wps:txbx>
                    <wps:bodyPr wrap="square" lIns="0" tIns="0" rIns="0" bIns="0" rtlCol="0">
                      <a:noAutofit/>
                    </wps:bodyPr>
                  </wps:wsp>
                </a:graphicData>
              </a:graphic>
            </wp:anchor>
          </w:drawing>
        </mc:Choice>
        <mc:Fallback>
          <w:pict>
            <v:shape style="position:absolute;margin-left:70.990044pt;margin-top:732.444519pt;width:253.15pt;height:24.6pt;mso-position-horizontal-relative:page;mso-position-vertical-relative:page;z-index:-29777920" type="#_x0000_t202" id="docshape50" filled="false" stroked="false">
              <v:textbox inset="0,0,0,0">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v:textbox>
              <w10:wrap type="none"/>
            </v:shape>
          </w:pict>
        </mc:Fallback>
      </mc:AlternateContent>
    </w:r>
    <w:r>
      <w:rPr/>
      <mc:AlternateContent>
        <mc:Choice Requires="wps">
          <w:drawing>
            <wp:anchor distT="0" distB="0" distL="0" distR="0" allowOverlap="1" layoutInCell="1" locked="0" behindDoc="1" simplePos="0" relativeHeight="473539072">
              <wp:simplePos x="0" y="0"/>
              <wp:positionH relativeFrom="page">
                <wp:posOffset>6270652</wp:posOffset>
              </wp:positionH>
              <wp:positionV relativeFrom="page">
                <wp:posOffset>9302045</wp:posOffset>
              </wp:positionV>
              <wp:extent cx="600710" cy="165735"/>
              <wp:effectExtent l="0" t="0" r="0" b="0"/>
              <wp:wrapNone/>
              <wp:docPr id="830" name="Textbox 830"/>
              <wp:cNvGraphicFramePr>
                <a:graphicFrameLocks/>
              </wp:cNvGraphicFramePr>
              <a:graphic>
                <a:graphicData uri="http://schemas.microsoft.com/office/word/2010/wordprocessingShape">
                  <wps:wsp>
                    <wps:cNvPr id="830" name="Textbox 830"/>
                    <wps:cNvSpPr txBox="1"/>
                    <wps:spPr>
                      <a:xfrm>
                        <a:off x="0" y="0"/>
                        <a:ext cx="600710" cy="165735"/>
                      </a:xfrm>
                      <a:prstGeom prst="rect">
                        <a:avLst/>
                      </a:prstGeom>
                    </wps:spPr>
                    <wps:txbx>
                      <w:txbxContent>
                        <w:p>
                          <w:pPr>
                            <w:spacing w:before="10"/>
                            <w:ind w:left="20" w:right="0" w:firstLine="0"/>
                            <w:jc w:val="left"/>
                            <w:rPr>
                              <w:b/>
                              <w:sz w:val="20"/>
                            </w:rPr>
                          </w:pPr>
                          <w:r>
                            <w:rPr>
                              <w:sz w:val="20"/>
                            </w:rPr>
                            <w:t>Page</w:t>
                          </w:r>
                          <w:r>
                            <w:rPr>
                              <w:spacing w:val="-2"/>
                              <w:sz w:val="20"/>
                            </w:rPr>
                            <w:t> </w:t>
                          </w:r>
                          <w:r>
                            <w:rPr>
                              <w:b/>
                              <w:sz w:val="20"/>
                            </w:rPr>
                            <w:fldChar w:fldCharType="begin"/>
                          </w:r>
                          <w:r>
                            <w:rPr>
                              <w:b/>
                              <w:sz w:val="20"/>
                            </w:rPr>
                            <w:instrText> PAGE </w:instrText>
                          </w:r>
                          <w:r>
                            <w:rPr>
                              <w:b/>
                              <w:sz w:val="20"/>
                            </w:rPr>
                            <w:fldChar w:fldCharType="separate"/>
                          </w:r>
                          <w:r>
                            <w:rPr>
                              <w:b/>
                              <w:sz w:val="20"/>
                            </w:rPr>
                            <w:t>1</w:t>
                          </w:r>
                          <w:r>
                            <w:rPr>
                              <w:b/>
                              <w:sz w:val="20"/>
                            </w:rPr>
                            <w:fldChar w:fldCharType="end"/>
                          </w:r>
                          <w:r>
                            <w:rPr>
                              <w:b/>
                              <w:spacing w:val="-1"/>
                              <w:sz w:val="20"/>
                            </w:rPr>
                            <w:t> </w:t>
                          </w:r>
                          <w:r>
                            <w:rPr>
                              <w:sz w:val="20"/>
                            </w:rPr>
                            <w:t>of</w:t>
                          </w:r>
                          <w:r>
                            <w:rPr>
                              <w:spacing w:val="-4"/>
                              <w:sz w:val="20"/>
                            </w:rPr>
                            <w:t> </w:t>
                          </w:r>
                          <w:r>
                            <w:rPr>
                              <w:b/>
                              <w:spacing w:val="-10"/>
                              <w:sz w:val="20"/>
                            </w:rPr>
                            <w:t>5</w:t>
                          </w:r>
                        </w:p>
                      </w:txbxContent>
                    </wps:txbx>
                    <wps:bodyPr wrap="square" lIns="0" tIns="0" rIns="0" bIns="0" rtlCol="0">
                      <a:noAutofit/>
                    </wps:bodyPr>
                  </wps:wsp>
                </a:graphicData>
              </a:graphic>
            </wp:anchor>
          </w:drawing>
        </mc:Choice>
        <mc:Fallback>
          <w:pict>
            <v:shape style="position:absolute;margin-left:493.752197pt;margin-top:732.444519pt;width:47.3pt;height:13.05pt;mso-position-horizontal-relative:page;mso-position-vertical-relative:page;z-index:-29777408" type="#_x0000_t202" id="docshape51" filled="false" stroked="false">
              <v:textbox inset="0,0,0,0">
                <w:txbxContent>
                  <w:p>
                    <w:pPr>
                      <w:spacing w:before="10"/>
                      <w:ind w:left="20" w:right="0" w:firstLine="0"/>
                      <w:jc w:val="left"/>
                      <w:rPr>
                        <w:b/>
                        <w:sz w:val="20"/>
                      </w:rPr>
                    </w:pPr>
                    <w:r>
                      <w:rPr>
                        <w:sz w:val="20"/>
                      </w:rPr>
                      <w:t>Page</w:t>
                    </w:r>
                    <w:r>
                      <w:rPr>
                        <w:spacing w:val="-2"/>
                        <w:sz w:val="20"/>
                      </w:rPr>
                      <w:t> </w:t>
                    </w:r>
                    <w:r>
                      <w:rPr>
                        <w:b/>
                        <w:sz w:val="20"/>
                      </w:rPr>
                      <w:fldChar w:fldCharType="begin"/>
                    </w:r>
                    <w:r>
                      <w:rPr>
                        <w:b/>
                        <w:sz w:val="20"/>
                      </w:rPr>
                      <w:instrText> PAGE </w:instrText>
                    </w:r>
                    <w:r>
                      <w:rPr>
                        <w:b/>
                        <w:sz w:val="20"/>
                      </w:rPr>
                      <w:fldChar w:fldCharType="separate"/>
                    </w:r>
                    <w:r>
                      <w:rPr>
                        <w:b/>
                        <w:sz w:val="20"/>
                      </w:rPr>
                      <w:t>1</w:t>
                    </w:r>
                    <w:r>
                      <w:rPr>
                        <w:b/>
                        <w:sz w:val="20"/>
                      </w:rPr>
                      <w:fldChar w:fldCharType="end"/>
                    </w:r>
                    <w:r>
                      <w:rPr>
                        <w:b/>
                        <w:spacing w:val="-1"/>
                        <w:sz w:val="20"/>
                      </w:rPr>
                      <w:t> </w:t>
                    </w:r>
                    <w:r>
                      <w:rPr>
                        <w:sz w:val="20"/>
                      </w:rPr>
                      <w:t>of</w:t>
                    </w:r>
                    <w:r>
                      <w:rPr>
                        <w:spacing w:val="-4"/>
                        <w:sz w:val="20"/>
                      </w:rPr>
                      <w:t> </w:t>
                    </w:r>
                    <w:r>
                      <w:rPr>
                        <w:b/>
                        <w:spacing w:val="-10"/>
                        <w:sz w:val="20"/>
                      </w:rPr>
                      <w:t>5</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3539584">
              <wp:simplePos x="0" y="0"/>
              <wp:positionH relativeFrom="page">
                <wp:posOffset>901573</wp:posOffset>
              </wp:positionH>
              <wp:positionV relativeFrom="page">
                <wp:posOffset>9302057</wp:posOffset>
              </wp:positionV>
              <wp:extent cx="3215005" cy="312420"/>
              <wp:effectExtent l="0" t="0" r="0" b="0"/>
              <wp:wrapNone/>
              <wp:docPr id="838" name="Textbox 838"/>
              <wp:cNvGraphicFramePr>
                <a:graphicFrameLocks/>
              </wp:cNvGraphicFramePr>
              <a:graphic>
                <a:graphicData uri="http://schemas.microsoft.com/office/word/2010/wordprocessingShape">
                  <wps:wsp>
                    <wps:cNvPr id="838" name="Textbox 838"/>
                    <wps:cNvSpPr txBox="1"/>
                    <wps:spPr>
                      <a:xfrm>
                        <a:off x="0" y="0"/>
                        <a:ext cx="3215005" cy="312420"/>
                      </a:xfrm>
                      <a:prstGeom prst="rect">
                        <a:avLst/>
                      </a:prstGeom>
                    </wps:spPr>
                    <wps:txbx>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wps:txbx>
                    <wps:bodyPr wrap="square" lIns="0" tIns="0" rIns="0" bIns="0" rtlCol="0">
                      <a:noAutofit/>
                    </wps:bodyPr>
                  </wps:wsp>
                </a:graphicData>
              </a:graphic>
            </wp:anchor>
          </w:drawing>
        </mc:Choice>
        <mc:Fallback>
          <w:pict>
            <v:shape style="position:absolute;margin-left:70.990044pt;margin-top:732.445496pt;width:253.15pt;height:24.6pt;mso-position-horizontal-relative:page;mso-position-vertical-relative:page;z-index:-29776896" type="#_x0000_t202" id="docshape59" filled="false" stroked="false">
              <v:textbox inset="0,0,0,0">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v:textbox>
              <w10:wrap type="none"/>
            </v:shape>
          </w:pict>
        </mc:Fallback>
      </mc:AlternateContent>
    </w:r>
    <w:r>
      <w:rPr/>
      <mc:AlternateContent>
        <mc:Choice Requires="wps">
          <w:drawing>
            <wp:anchor distT="0" distB="0" distL="0" distR="0" allowOverlap="1" layoutInCell="1" locked="0" behindDoc="1" simplePos="0" relativeHeight="473540096">
              <wp:simplePos x="0" y="0"/>
              <wp:positionH relativeFrom="page">
                <wp:posOffset>6270652</wp:posOffset>
              </wp:positionH>
              <wp:positionV relativeFrom="page">
                <wp:posOffset>9302057</wp:posOffset>
              </wp:positionV>
              <wp:extent cx="600710" cy="165735"/>
              <wp:effectExtent l="0" t="0" r="0" b="0"/>
              <wp:wrapNone/>
              <wp:docPr id="839" name="Textbox 839"/>
              <wp:cNvGraphicFramePr>
                <a:graphicFrameLocks/>
              </wp:cNvGraphicFramePr>
              <a:graphic>
                <a:graphicData uri="http://schemas.microsoft.com/office/word/2010/wordprocessingShape">
                  <wps:wsp>
                    <wps:cNvPr id="839" name="Textbox 839"/>
                    <wps:cNvSpPr txBox="1"/>
                    <wps:spPr>
                      <a:xfrm>
                        <a:off x="0" y="0"/>
                        <a:ext cx="600710" cy="165735"/>
                      </a:xfrm>
                      <a:prstGeom prst="rect">
                        <a:avLst/>
                      </a:prstGeom>
                    </wps:spPr>
                    <wps:txbx>
                      <w:txbxContent>
                        <w:p>
                          <w:pPr>
                            <w:spacing w:before="10"/>
                            <w:ind w:left="20" w:right="0" w:firstLine="0"/>
                            <w:jc w:val="left"/>
                            <w:rPr>
                              <w:b/>
                              <w:sz w:val="20"/>
                            </w:rPr>
                          </w:pPr>
                          <w:r>
                            <w:rPr>
                              <w:sz w:val="20"/>
                            </w:rPr>
                            <w:t>Page</w:t>
                          </w:r>
                          <w:r>
                            <w:rPr>
                              <w:spacing w:val="-2"/>
                              <w:sz w:val="20"/>
                            </w:rPr>
                            <w:t> </w:t>
                          </w:r>
                          <w:r>
                            <w:rPr>
                              <w:b/>
                              <w:sz w:val="20"/>
                            </w:rPr>
                            <w:fldChar w:fldCharType="begin"/>
                          </w:r>
                          <w:r>
                            <w:rPr>
                              <w:b/>
                              <w:sz w:val="20"/>
                            </w:rPr>
                            <w:instrText> PAGE </w:instrText>
                          </w:r>
                          <w:r>
                            <w:rPr>
                              <w:b/>
                              <w:sz w:val="20"/>
                            </w:rPr>
                            <w:fldChar w:fldCharType="separate"/>
                          </w:r>
                          <w:r>
                            <w:rPr>
                              <w:b/>
                              <w:sz w:val="20"/>
                            </w:rPr>
                            <w:t>1</w:t>
                          </w:r>
                          <w:r>
                            <w:rPr>
                              <w:b/>
                              <w:sz w:val="20"/>
                            </w:rPr>
                            <w:fldChar w:fldCharType="end"/>
                          </w:r>
                          <w:r>
                            <w:rPr>
                              <w:b/>
                              <w:spacing w:val="-1"/>
                              <w:sz w:val="20"/>
                            </w:rPr>
                            <w:t> </w:t>
                          </w:r>
                          <w:r>
                            <w:rPr>
                              <w:sz w:val="20"/>
                            </w:rPr>
                            <w:t>of</w:t>
                          </w:r>
                          <w:r>
                            <w:rPr>
                              <w:spacing w:val="-4"/>
                              <w:sz w:val="20"/>
                            </w:rPr>
                            <w:t> </w:t>
                          </w:r>
                          <w:r>
                            <w:rPr>
                              <w:b/>
                              <w:spacing w:val="-10"/>
                              <w:sz w:val="20"/>
                            </w:rPr>
                            <w:t>3</w:t>
                          </w:r>
                        </w:p>
                      </w:txbxContent>
                    </wps:txbx>
                    <wps:bodyPr wrap="square" lIns="0" tIns="0" rIns="0" bIns="0" rtlCol="0">
                      <a:noAutofit/>
                    </wps:bodyPr>
                  </wps:wsp>
                </a:graphicData>
              </a:graphic>
            </wp:anchor>
          </w:drawing>
        </mc:Choice>
        <mc:Fallback>
          <w:pict>
            <v:shape style="position:absolute;margin-left:493.752197pt;margin-top:732.445496pt;width:47.3pt;height:13.05pt;mso-position-horizontal-relative:page;mso-position-vertical-relative:page;z-index:-29776384" type="#_x0000_t202" id="docshape60" filled="false" stroked="false">
              <v:textbox inset="0,0,0,0">
                <w:txbxContent>
                  <w:p>
                    <w:pPr>
                      <w:spacing w:before="10"/>
                      <w:ind w:left="20" w:right="0" w:firstLine="0"/>
                      <w:jc w:val="left"/>
                      <w:rPr>
                        <w:b/>
                        <w:sz w:val="20"/>
                      </w:rPr>
                    </w:pPr>
                    <w:r>
                      <w:rPr>
                        <w:sz w:val="20"/>
                      </w:rPr>
                      <w:t>Page</w:t>
                    </w:r>
                    <w:r>
                      <w:rPr>
                        <w:spacing w:val="-2"/>
                        <w:sz w:val="20"/>
                      </w:rPr>
                      <w:t> </w:t>
                    </w:r>
                    <w:r>
                      <w:rPr>
                        <w:b/>
                        <w:sz w:val="20"/>
                      </w:rPr>
                      <w:fldChar w:fldCharType="begin"/>
                    </w:r>
                    <w:r>
                      <w:rPr>
                        <w:b/>
                        <w:sz w:val="20"/>
                      </w:rPr>
                      <w:instrText> PAGE </w:instrText>
                    </w:r>
                    <w:r>
                      <w:rPr>
                        <w:b/>
                        <w:sz w:val="20"/>
                      </w:rPr>
                      <w:fldChar w:fldCharType="separate"/>
                    </w:r>
                    <w:r>
                      <w:rPr>
                        <w:b/>
                        <w:sz w:val="20"/>
                      </w:rPr>
                      <w:t>1</w:t>
                    </w:r>
                    <w:r>
                      <w:rPr>
                        <w:b/>
                        <w:sz w:val="20"/>
                      </w:rPr>
                      <w:fldChar w:fldCharType="end"/>
                    </w:r>
                    <w:r>
                      <w:rPr>
                        <w:b/>
                        <w:spacing w:val="-1"/>
                        <w:sz w:val="20"/>
                      </w:rPr>
                      <w:t> </w:t>
                    </w:r>
                    <w:r>
                      <w:rPr>
                        <w:sz w:val="20"/>
                      </w:rPr>
                      <w:t>of</w:t>
                    </w:r>
                    <w:r>
                      <w:rPr>
                        <w:spacing w:val="-4"/>
                        <w:sz w:val="20"/>
                      </w:rPr>
                      <w:t> </w:t>
                    </w:r>
                    <w:r>
                      <w:rPr>
                        <w:b/>
                        <w:spacing w:val="-10"/>
                        <w:sz w:val="20"/>
                      </w:rPr>
                      <w:t>3</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3540608">
              <wp:simplePos x="0" y="0"/>
              <wp:positionH relativeFrom="page">
                <wp:posOffset>901573</wp:posOffset>
              </wp:positionH>
              <wp:positionV relativeFrom="page">
                <wp:posOffset>9126785</wp:posOffset>
              </wp:positionV>
              <wp:extent cx="3215005" cy="312420"/>
              <wp:effectExtent l="0" t="0" r="0" b="0"/>
              <wp:wrapNone/>
              <wp:docPr id="840" name="Textbox 840"/>
              <wp:cNvGraphicFramePr>
                <a:graphicFrameLocks/>
              </wp:cNvGraphicFramePr>
              <a:graphic>
                <a:graphicData uri="http://schemas.microsoft.com/office/word/2010/wordprocessingShape">
                  <wps:wsp>
                    <wps:cNvPr id="840" name="Textbox 840"/>
                    <wps:cNvSpPr txBox="1"/>
                    <wps:spPr>
                      <a:xfrm>
                        <a:off x="0" y="0"/>
                        <a:ext cx="3215005" cy="312420"/>
                      </a:xfrm>
                      <a:prstGeom prst="rect">
                        <a:avLst/>
                      </a:prstGeom>
                    </wps:spPr>
                    <wps:txbx>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wps:txbx>
                    <wps:bodyPr wrap="square" lIns="0" tIns="0" rIns="0" bIns="0" rtlCol="0">
                      <a:noAutofit/>
                    </wps:bodyPr>
                  </wps:wsp>
                </a:graphicData>
              </a:graphic>
            </wp:anchor>
          </w:drawing>
        </mc:Choice>
        <mc:Fallback>
          <w:pict>
            <v:shape style="position:absolute;margin-left:70.990044pt;margin-top:718.644531pt;width:253.15pt;height:24.6pt;mso-position-horizontal-relative:page;mso-position-vertical-relative:page;z-index:-29775872" type="#_x0000_t202" id="docshape61" filled="false" stroked="false">
              <v:textbox inset="0,0,0,0">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v:textbox>
              <w10:wrap type="none"/>
            </v:shape>
          </w:pict>
        </mc:Fallback>
      </mc:AlternateContent>
    </w:r>
    <w:r>
      <w:rPr/>
      <mc:AlternateContent>
        <mc:Choice Requires="wps">
          <w:drawing>
            <wp:anchor distT="0" distB="0" distL="0" distR="0" allowOverlap="1" layoutInCell="1" locked="0" behindDoc="1" simplePos="0" relativeHeight="473541120">
              <wp:simplePos x="0" y="0"/>
              <wp:positionH relativeFrom="page">
                <wp:posOffset>6270652</wp:posOffset>
              </wp:positionH>
              <wp:positionV relativeFrom="page">
                <wp:posOffset>9126785</wp:posOffset>
              </wp:positionV>
              <wp:extent cx="600710" cy="165735"/>
              <wp:effectExtent l="0" t="0" r="0" b="0"/>
              <wp:wrapNone/>
              <wp:docPr id="841" name="Textbox 841"/>
              <wp:cNvGraphicFramePr>
                <a:graphicFrameLocks/>
              </wp:cNvGraphicFramePr>
              <a:graphic>
                <a:graphicData uri="http://schemas.microsoft.com/office/word/2010/wordprocessingShape">
                  <wps:wsp>
                    <wps:cNvPr id="841" name="Textbox 841"/>
                    <wps:cNvSpPr txBox="1"/>
                    <wps:spPr>
                      <a:xfrm>
                        <a:off x="0" y="0"/>
                        <a:ext cx="600710" cy="165735"/>
                      </a:xfrm>
                      <a:prstGeom prst="rect">
                        <a:avLst/>
                      </a:prstGeom>
                    </wps:spPr>
                    <wps:txbx>
                      <w:txbxContent>
                        <w:p>
                          <w:pPr>
                            <w:spacing w:before="10"/>
                            <w:ind w:left="20" w:right="0" w:firstLine="0"/>
                            <w:jc w:val="left"/>
                            <w:rPr>
                              <w:b/>
                              <w:sz w:val="20"/>
                            </w:rPr>
                          </w:pPr>
                          <w:r>
                            <w:rPr>
                              <w:sz w:val="20"/>
                            </w:rPr>
                            <w:t>Page</w:t>
                          </w:r>
                          <w:r>
                            <w:rPr>
                              <w:spacing w:val="-2"/>
                              <w:sz w:val="20"/>
                            </w:rPr>
                            <w:t> </w:t>
                          </w:r>
                          <w:r>
                            <w:rPr>
                              <w:b/>
                              <w:sz w:val="20"/>
                            </w:rPr>
                            <w:t>1</w:t>
                          </w:r>
                          <w:r>
                            <w:rPr>
                              <w:b/>
                              <w:spacing w:val="-1"/>
                              <w:sz w:val="20"/>
                            </w:rPr>
                            <w:t> </w:t>
                          </w:r>
                          <w:r>
                            <w:rPr>
                              <w:sz w:val="20"/>
                            </w:rPr>
                            <w:t>of</w:t>
                          </w:r>
                          <w:r>
                            <w:rPr>
                              <w:spacing w:val="-4"/>
                              <w:sz w:val="20"/>
                            </w:rPr>
                            <w:t> </w:t>
                          </w:r>
                          <w:r>
                            <w:rPr>
                              <w:b/>
                              <w:spacing w:val="-10"/>
                              <w:sz w:val="20"/>
                            </w:rPr>
                            <w:t>1</w:t>
                          </w:r>
                        </w:p>
                      </w:txbxContent>
                    </wps:txbx>
                    <wps:bodyPr wrap="square" lIns="0" tIns="0" rIns="0" bIns="0" rtlCol="0">
                      <a:noAutofit/>
                    </wps:bodyPr>
                  </wps:wsp>
                </a:graphicData>
              </a:graphic>
            </wp:anchor>
          </w:drawing>
        </mc:Choice>
        <mc:Fallback>
          <w:pict>
            <v:shape style="position:absolute;margin-left:493.752197pt;margin-top:718.644531pt;width:47.3pt;height:13.05pt;mso-position-horizontal-relative:page;mso-position-vertical-relative:page;z-index:-29775360" type="#_x0000_t202" id="docshape62" filled="false" stroked="false">
              <v:textbox inset="0,0,0,0">
                <w:txbxContent>
                  <w:p>
                    <w:pPr>
                      <w:spacing w:before="10"/>
                      <w:ind w:left="20" w:right="0" w:firstLine="0"/>
                      <w:jc w:val="left"/>
                      <w:rPr>
                        <w:b/>
                        <w:sz w:val="20"/>
                      </w:rPr>
                    </w:pPr>
                    <w:r>
                      <w:rPr>
                        <w:sz w:val="20"/>
                      </w:rPr>
                      <w:t>Page</w:t>
                    </w:r>
                    <w:r>
                      <w:rPr>
                        <w:spacing w:val="-2"/>
                        <w:sz w:val="20"/>
                      </w:rPr>
                      <w:t> </w:t>
                    </w:r>
                    <w:r>
                      <w:rPr>
                        <w:b/>
                        <w:sz w:val="20"/>
                      </w:rPr>
                      <w:t>1</w:t>
                    </w:r>
                    <w:r>
                      <w:rPr>
                        <w:b/>
                        <w:spacing w:val="-1"/>
                        <w:sz w:val="20"/>
                      </w:rPr>
                      <w:t> </w:t>
                    </w:r>
                    <w:r>
                      <w:rPr>
                        <w:sz w:val="20"/>
                      </w:rPr>
                      <w:t>of</w:t>
                    </w:r>
                    <w:r>
                      <w:rPr>
                        <w:spacing w:val="-4"/>
                        <w:sz w:val="20"/>
                      </w:rPr>
                      <w:t> </w:t>
                    </w:r>
                    <w:r>
                      <w:rPr>
                        <w:b/>
                        <w:spacing w:val="-10"/>
                        <w:sz w:val="20"/>
                      </w:rPr>
                      <w:t>1</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3541632">
              <wp:simplePos x="0" y="0"/>
              <wp:positionH relativeFrom="page">
                <wp:posOffset>901700</wp:posOffset>
              </wp:positionH>
              <wp:positionV relativeFrom="page">
                <wp:posOffset>9304655</wp:posOffset>
              </wp:positionV>
              <wp:extent cx="3230880" cy="307975"/>
              <wp:effectExtent l="0" t="0" r="0" b="0"/>
              <wp:wrapNone/>
              <wp:docPr id="842" name="Textbox 842"/>
              <wp:cNvGraphicFramePr>
                <a:graphicFrameLocks/>
              </wp:cNvGraphicFramePr>
              <a:graphic>
                <a:graphicData uri="http://schemas.microsoft.com/office/word/2010/wordprocessingShape">
                  <wps:wsp>
                    <wps:cNvPr id="842" name="Textbox 842"/>
                    <wps:cNvSpPr txBox="1"/>
                    <wps:spPr>
                      <a:xfrm>
                        <a:off x="0" y="0"/>
                        <a:ext cx="3230880" cy="307975"/>
                      </a:xfrm>
                      <a:prstGeom prst="rect">
                        <a:avLst/>
                      </a:prstGeom>
                    </wps:spPr>
                    <wps:txbx>
                      <w:txbxContent>
                        <w:p>
                          <w:pPr>
                            <w:spacing w:line="223" w:lineRule="exact" w:before="0"/>
                            <w:ind w:left="20" w:right="0" w:firstLine="0"/>
                            <w:jc w:val="left"/>
                            <w:rPr>
                              <w:rFonts w:ascii="Calibri"/>
                              <w:sz w:val="20"/>
                            </w:rPr>
                          </w:pPr>
                          <w:r>
                            <w:rPr>
                              <w:rFonts w:ascii="Calibri"/>
                              <w:sz w:val="20"/>
                            </w:rPr>
                            <w:t>MassHealth</w:t>
                          </w:r>
                          <w:r>
                            <w:rPr>
                              <w:rFonts w:ascii="Calibri"/>
                              <w:spacing w:val="-7"/>
                              <w:sz w:val="20"/>
                            </w:rPr>
                            <w:t> </w:t>
                          </w:r>
                          <w:r>
                            <w:rPr>
                              <w:rFonts w:ascii="Calibri"/>
                              <w:sz w:val="20"/>
                            </w:rPr>
                            <w:t>Medicaid</w:t>
                          </w:r>
                          <w:r>
                            <w:rPr>
                              <w:rFonts w:ascii="Calibri"/>
                              <w:spacing w:val="-7"/>
                              <w:sz w:val="20"/>
                            </w:rPr>
                            <w:t> </w:t>
                          </w:r>
                          <w:r>
                            <w:rPr>
                              <w:rFonts w:ascii="Calibri"/>
                              <w:sz w:val="20"/>
                            </w:rPr>
                            <w:t>and</w:t>
                          </w:r>
                          <w:r>
                            <w:rPr>
                              <w:rFonts w:ascii="Calibri"/>
                              <w:spacing w:val="-7"/>
                              <w:sz w:val="20"/>
                            </w:rPr>
                            <w:t> </w:t>
                          </w:r>
                          <w:r>
                            <w:rPr>
                              <w:rFonts w:ascii="Calibri"/>
                              <w:sz w:val="20"/>
                            </w:rPr>
                            <w:t>CHIP</w:t>
                          </w:r>
                          <w:r>
                            <w:rPr>
                              <w:rFonts w:ascii="Calibri"/>
                              <w:spacing w:val="-8"/>
                              <w:sz w:val="20"/>
                            </w:rPr>
                            <w:t> </w:t>
                          </w:r>
                          <w:r>
                            <w:rPr>
                              <w:rFonts w:ascii="Calibri"/>
                              <w:sz w:val="20"/>
                            </w:rPr>
                            <w:t>Section</w:t>
                          </w:r>
                          <w:r>
                            <w:rPr>
                              <w:rFonts w:ascii="Calibri"/>
                              <w:spacing w:val="-7"/>
                              <w:sz w:val="20"/>
                            </w:rPr>
                            <w:t> </w:t>
                          </w:r>
                          <w:r>
                            <w:rPr>
                              <w:rFonts w:ascii="Calibri"/>
                              <w:sz w:val="20"/>
                            </w:rPr>
                            <w:t>1115</w:t>
                          </w:r>
                          <w:r>
                            <w:rPr>
                              <w:rFonts w:ascii="Calibri"/>
                              <w:spacing w:val="-6"/>
                              <w:sz w:val="20"/>
                            </w:rPr>
                            <w:t> </w:t>
                          </w:r>
                          <w:r>
                            <w:rPr>
                              <w:rFonts w:ascii="Calibri"/>
                              <w:spacing w:val="-2"/>
                              <w:sz w:val="20"/>
                            </w:rPr>
                            <w:t>Demonstration</w:t>
                          </w:r>
                        </w:p>
                        <w:p>
                          <w:pPr>
                            <w:spacing w:before="0"/>
                            <w:ind w:left="20" w:right="0" w:firstLine="0"/>
                            <w:jc w:val="left"/>
                            <w:rPr>
                              <w:rFonts w:ascii="Calibri"/>
                              <w:sz w:val="20"/>
                            </w:rPr>
                          </w:pPr>
                          <w:r>
                            <w:rPr>
                              <w:rFonts w:ascii="Calibri"/>
                              <w:sz w:val="20"/>
                            </w:rPr>
                            <w:t>Approval</w:t>
                          </w:r>
                          <w:r>
                            <w:rPr>
                              <w:rFonts w:ascii="Calibri"/>
                              <w:spacing w:val="-7"/>
                              <w:sz w:val="20"/>
                            </w:rPr>
                            <w:t> </w:t>
                          </w:r>
                          <w:r>
                            <w:rPr>
                              <w:rFonts w:ascii="Calibri"/>
                              <w:sz w:val="20"/>
                            </w:rPr>
                            <w:t>Period:</w:t>
                          </w:r>
                          <w:r>
                            <w:rPr>
                              <w:rFonts w:ascii="Calibri"/>
                              <w:spacing w:val="-8"/>
                              <w:sz w:val="20"/>
                            </w:rPr>
                            <w:t> </w:t>
                          </w:r>
                          <w:r>
                            <w:rPr>
                              <w:rFonts w:ascii="Calibri"/>
                              <w:sz w:val="20"/>
                            </w:rPr>
                            <w:t>October</w:t>
                          </w:r>
                          <w:r>
                            <w:rPr>
                              <w:rFonts w:ascii="Calibri"/>
                              <w:spacing w:val="-5"/>
                              <w:sz w:val="20"/>
                            </w:rPr>
                            <w:t> </w:t>
                          </w:r>
                          <w:r>
                            <w:rPr>
                              <w:rFonts w:ascii="Calibri"/>
                              <w:sz w:val="20"/>
                            </w:rPr>
                            <w:t>1,</w:t>
                          </w:r>
                          <w:r>
                            <w:rPr>
                              <w:rFonts w:ascii="Calibri"/>
                              <w:spacing w:val="-6"/>
                              <w:sz w:val="20"/>
                            </w:rPr>
                            <w:t> </w:t>
                          </w:r>
                          <w:r>
                            <w:rPr>
                              <w:rFonts w:ascii="Calibri"/>
                              <w:sz w:val="20"/>
                            </w:rPr>
                            <w:t>2022</w:t>
                          </w:r>
                          <w:r>
                            <w:rPr>
                              <w:rFonts w:ascii="Calibri"/>
                              <w:spacing w:val="-7"/>
                              <w:sz w:val="20"/>
                            </w:rPr>
                            <w:t> </w:t>
                          </w:r>
                          <w:r>
                            <w:rPr>
                              <w:rFonts w:ascii="Calibri"/>
                              <w:sz w:val="20"/>
                            </w:rPr>
                            <w:t>through</w:t>
                          </w:r>
                          <w:r>
                            <w:rPr>
                              <w:rFonts w:ascii="Calibri"/>
                              <w:spacing w:val="-6"/>
                              <w:sz w:val="20"/>
                            </w:rPr>
                            <w:t> </w:t>
                          </w:r>
                          <w:r>
                            <w:rPr>
                              <w:rFonts w:ascii="Calibri"/>
                              <w:sz w:val="20"/>
                            </w:rPr>
                            <w:t>December</w:t>
                          </w:r>
                          <w:r>
                            <w:rPr>
                              <w:rFonts w:ascii="Calibri"/>
                              <w:spacing w:val="-6"/>
                              <w:sz w:val="20"/>
                            </w:rPr>
                            <w:t> </w:t>
                          </w:r>
                          <w:r>
                            <w:rPr>
                              <w:rFonts w:ascii="Calibri"/>
                              <w:sz w:val="20"/>
                            </w:rPr>
                            <w:t>31,</w:t>
                          </w:r>
                          <w:r>
                            <w:rPr>
                              <w:rFonts w:ascii="Calibri"/>
                              <w:spacing w:val="-6"/>
                              <w:sz w:val="20"/>
                            </w:rPr>
                            <w:t> </w:t>
                          </w:r>
                          <w:r>
                            <w:rPr>
                              <w:rFonts w:ascii="Calibri"/>
                              <w:spacing w:val="-4"/>
                              <w:sz w:val="20"/>
                            </w:rPr>
                            <w:t>2027</w:t>
                          </w:r>
                        </w:p>
                      </w:txbxContent>
                    </wps:txbx>
                    <wps:bodyPr wrap="square" lIns="0" tIns="0" rIns="0" bIns="0" rtlCol="0">
                      <a:noAutofit/>
                    </wps:bodyPr>
                  </wps:wsp>
                </a:graphicData>
              </a:graphic>
            </wp:anchor>
          </w:drawing>
        </mc:Choice>
        <mc:Fallback>
          <w:pict>
            <v:shape style="position:absolute;margin-left:71pt;margin-top:732.650024pt;width:254.4pt;height:24.25pt;mso-position-horizontal-relative:page;mso-position-vertical-relative:page;z-index:-29774848" type="#_x0000_t202" id="docshape63" filled="false" stroked="false">
              <v:textbox inset="0,0,0,0">
                <w:txbxContent>
                  <w:p>
                    <w:pPr>
                      <w:spacing w:line="223" w:lineRule="exact" w:before="0"/>
                      <w:ind w:left="20" w:right="0" w:firstLine="0"/>
                      <w:jc w:val="left"/>
                      <w:rPr>
                        <w:rFonts w:ascii="Calibri"/>
                        <w:sz w:val="20"/>
                      </w:rPr>
                    </w:pPr>
                    <w:r>
                      <w:rPr>
                        <w:rFonts w:ascii="Calibri"/>
                        <w:sz w:val="20"/>
                      </w:rPr>
                      <w:t>MassHealth</w:t>
                    </w:r>
                    <w:r>
                      <w:rPr>
                        <w:rFonts w:ascii="Calibri"/>
                        <w:spacing w:val="-7"/>
                        <w:sz w:val="20"/>
                      </w:rPr>
                      <w:t> </w:t>
                    </w:r>
                    <w:r>
                      <w:rPr>
                        <w:rFonts w:ascii="Calibri"/>
                        <w:sz w:val="20"/>
                      </w:rPr>
                      <w:t>Medicaid</w:t>
                    </w:r>
                    <w:r>
                      <w:rPr>
                        <w:rFonts w:ascii="Calibri"/>
                        <w:spacing w:val="-7"/>
                        <w:sz w:val="20"/>
                      </w:rPr>
                      <w:t> </w:t>
                    </w:r>
                    <w:r>
                      <w:rPr>
                        <w:rFonts w:ascii="Calibri"/>
                        <w:sz w:val="20"/>
                      </w:rPr>
                      <w:t>and</w:t>
                    </w:r>
                    <w:r>
                      <w:rPr>
                        <w:rFonts w:ascii="Calibri"/>
                        <w:spacing w:val="-7"/>
                        <w:sz w:val="20"/>
                      </w:rPr>
                      <w:t> </w:t>
                    </w:r>
                    <w:r>
                      <w:rPr>
                        <w:rFonts w:ascii="Calibri"/>
                        <w:sz w:val="20"/>
                      </w:rPr>
                      <w:t>CHIP</w:t>
                    </w:r>
                    <w:r>
                      <w:rPr>
                        <w:rFonts w:ascii="Calibri"/>
                        <w:spacing w:val="-8"/>
                        <w:sz w:val="20"/>
                      </w:rPr>
                      <w:t> </w:t>
                    </w:r>
                    <w:r>
                      <w:rPr>
                        <w:rFonts w:ascii="Calibri"/>
                        <w:sz w:val="20"/>
                      </w:rPr>
                      <w:t>Section</w:t>
                    </w:r>
                    <w:r>
                      <w:rPr>
                        <w:rFonts w:ascii="Calibri"/>
                        <w:spacing w:val="-7"/>
                        <w:sz w:val="20"/>
                      </w:rPr>
                      <w:t> </w:t>
                    </w:r>
                    <w:r>
                      <w:rPr>
                        <w:rFonts w:ascii="Calibri"/>
                        <w:sz w:val="20"/>
                      </w:rPr>
                      <w:t>1115</w:t>
                    </w:r>
                    <w:r>
                      <w:rPr>
                        <w:rFonts w:ascii="Calibri"/>
                        <w:spacing w:val="-6"/>
                        <w:sz w:val="20"/>
                      </w:rPr>
                      <w:t> </w:t>
                    </w:r>
                    <w:r>
                      <w:rPr>
                        <w:rFonts w:ascii="Calibri"/>
                        <w:spacing w:val="-2"/>
                        <w:sz w:val="20"/>
                      </w:rPr>
                      <w:t>Demonstration</w:t>
                    </w:r>
                  </w:p>
                  <w:p>
                    <w:pPr>
                      <w:spacing w:before="0"/>
                      <w:ind w:left="20" w:right="0" w:firstLine="0"/>
                      <w:jc w:val="left"/>
                      <w:rPr>
                        <w:rFonts w:ascii="Calibri"/>
                        <w:sz w:val="20"/>
                      </w:rPr>
                    </w:pPr>
                    <w:r>
                      <w:rPr>
                        <w:rFonts w:ascii="Calibri"/>
                        <w:sz w:val="20"/>
                      </w:rPr>
                      <w:t>Approval</w:t>
                    </w:r>
                    <w:r>
                      <w:rPr>
                        <w:rFonts w:ascii="Calibri"/>
                        <w:spacing w:val="-7"/>
                        <w:sz w:val="20"/>
                      </w:rPr>
                      <w:t> </w:t>
                    </w:r>
                    <w:r>
                      <w:rPr>
                        <w:rFonts w:ascii="Calibri"/>
                        <w:sz w:val="20"/>
                      </w:rPr>
                      <w:t>Period:</w:t>
                    </w:r>
                    <w:r>
                      <w:rPr>
                        <w:rFonts w:ascii="Calibri"/>
                        <w:spacing w:val="-8"/>
                        <w:sz w:val="20"/>
                      </w:rPr>
                      <w:t> </w:t>
                    </w:r>
                    <w:r>
                      <w:rPr>
                        <w:rFonts w:ascii="Calibri"/>
                        <w:sz w:val="20"/>
                      </w:rPr>
                      <w:t>October</w:t>
                    </w:r>
                    <w:r>
                      <w:rPr>
                        <w:rFonts w:ascii="Calibri"/>
                        <w:spacing w:val="-5"/>
                        <w:sz w:val="20"/>
                      </w:rPr>
                      <w:t> </w:t>
                    </w:r>
                    <w:r>
                      <w:rPr>
                        <w:rFonts w:ascii="Calibri"/>
                        <w:sz w:val="20"/>
                      </w:rPr>
                      <w:t>1,</w:t>
                    </w:r>
                    <w:r>
                      <w:rPr>
                        <w:rFonts w:ascii="Calibri"/>
                        <w:spacing w:val="-6"/>
                        <w:sz w:val="20"/>
                      </w:rPr>
                      <w:t> </w:t>
                    </w:r>
                    <w:r>
                      <w:rPr>
                        <w:rFonts w:ascii="Calibri"/>
                        <w:sz w:val="20"/>
                      </w:rPr>
                      <w:t>2022</w:t>
                    </w:r>
                    <w:r>
                      <w:rPr>
                        <w:rFonts w:ascii="Calibri"/>
                        <w:spacing w:val="-7"/>
                        <w:sz w:val="20"/>
                      </w:rPr>
                      <w:t> </w:t>
                    </w:r>
                    <w:r>
                      <w:rPr>
                        <w:rFonts w:ascii="Calibri"/>
                        <w:sz w:val="20"/>
                      </w:rPr>
                      <w:t>through</w:t>
                    </w:r>
                    <w:r>
                      <w:rPr>
                        <w:rFonts w:ascii="Calibri"/>
                        <w:spacing w:val="-6"/>
                        <w:sz w:val="20"/>
                      </w:rPr>
                      <w:t> </w:t>
                    </w:r>
                    <w:r>
                      <w:rPr>
                        <w:rFonts w:ascii="Calibri"/>
                        <w:sz w:val="20"/>
                      </w:rPr>
                      <w:t>December</w:t>
                    </w:r>
                    <w:r>
                      <w:rPr>
                        <w:rFonts w:ascii="Calibri"/>
                        <w:spacing w:val="-6"/>
                        <w:sz w:val="20"/>
                      </w:rPr>
                      <w:t> </w:t>
                    </w:r>
                    <w:r>
                      <w:rPr>
                        <w:rFonts w:ascii="Calibri"/>
                        <w:sz w:val="20"/>
                      </w:rPr>
                      <w:t>31,</w:t>
                    </w:r>
                    <w:r>
                      <w:rPr>
                        <w:rFonts w:ascii="Calibri"/>
                        <w:spacing w:val="-6"/>
                        <w:sz w:val="20"/>
                      </w:rPr>
                      <w:t> </w:t>
                    </w:r>
                    <w:r>
                      <w:rPr>
                        <w:rFonts w:ascii="Calibri"/>
                        <w:spacing w:val="-4"/>
                        <w:sz w:val="20"/>
                      </w:rPr>
                      <w:t>2027</w:t>
                    </w:r>
                  </w:p>
                </w:txbxContent>
              </v:textbox>
              <w10:wrap type="none"/>
            </v:shape>
          </w:pict>
        </mc:Fallback>
      </mc:AlternateContent>
    </w:r>
    <w:r>
      <w:rPr/>
      <mc:AlternateContent>
        <mc:Choice Requires="wps">
          <w:drawing>
            <wp:anchor distT="0" distB="0" distL="0" distR="0" allowOverlap="1" layoutInCell="1" locked="0" behindDoc="1" simplePos="0" relativeHeight="473542144">
              <wp:simplePos x="0" y="0"/>
              <wp:positionH relativeFrom="page">
                <wp:posOffset>5560653</wp:posOffset>
              </wp:positionH>
              <wp:positionV relativeFrom="page">
                <wp:posOffset>9304655</wp:posOffset>
              </wp:positionV>
              <wp:extent cx="851535" cy="152400"/>
              <wp:effectExtent l="0" t="0" r="0" b="0"/>
              <wp:wrapNone/>
              <wp:docPr id="843" name="Textbox 843"/>
              <wp:cNvGraphicFramePr>
                <a:graphicFrameLocks/>
              </wp:cNvGraphicFramePr>
              <a:graphic>
                <a:graphicData uri="http://schemas.microsoft.com/office/word/2010/wordprocessingShape">
                  <wps:wsp>
                    <wps:cNvPr id="843" name="Textbox 843"/>
                    <wps:cNvSpPr txBox="1"/>
                    <wps:spPr>
                      <a:xfrm>
                        <a:off x="0" y="0"/>
                        <a:ext cx="851535" cy="152400"/>
                      </a:xfrm>
                      <a:prstGeom prst="rect">
                        <a:avLst/>
                      </a:prstGeom>
                    </wps:spPr>
                    <wps:txbx>
                      <w:txbxContent>
                        <w:p>
                          <w:pPr>
                            <w:spacing w:line="223" w:lineRule="exact" w:before="0"/>
                            <w:ind w:left="20" w:right="0" w:firstLine="0"/>
                            <w:jc w:val="left"/>
                            <w:rPr>
                              <w:rFonts w:ascii="Calibri"/>
                              <w:b/>
                              <w:sz w:val="20"/>
                            </w:rPr>
                          </w:pPr>
                          <w:r>
                            <w:rPr>
                              <w:rFonts w:ascii="Calibri"/>
                              <w:sz w:val="20"/>
                            </w:rPr>
                            <w:t>Page</w:t>
                          </w:r>
                          <w:r>
                            <w:rPr>
                              <w:rFonts w:ascii="Calibri"/>
                              <w:spacing w:val="-5"/>
                              <w:sz w:val="20"/>
                            </w:rPr>
                            <w:t> </w:t>
                          </w:r>
                          <w:r>
                            <w:rPr>
                              <w:rFonts w:ascii="Calibri"/>
                              <w:b/>
                              <w:sz w:val="20"/>
                            </w:rPr>
                            <w:fldChar w:fldCharType="begin"/>
                          </w:r>
                          <w:r>
                            <w:rPr>
                              <w:rFonts w:ascii="Calibri"/>
                              <w:b/>
                              <w:sz w:val="20"/>
                            </w:rPr>
                            <w:instrText> PAGE </w:instrText>
                          </w:r>
                          <w:r>
                            <w:rPr>
                              <w:rFonts w:ascii="Calibri"/>
                              <w:b/>
                              <w:sz w:val="20"/>
                            </w:rPr>
                            <w:fldChar w:fldCharType="separate"/>
                          </w:r>
                          <w:r>
                            <w:rPr>
                              <w:rFonts w:ascii="Calibri"/>
                              <w:b/>
                              <w:sz w:val="20"/>
                            </w:rPr>
                            <w:t>100</w:t>
                          </w:r>
                          <w:r>
                            <w:rPr>
                              <w:rFonts w:ascii="Calibri"/>
                              <w:b/>
                              <w:sz w:val="20"/>
                            </w:rPr>
                            <w:fldChar w:fldCharType="end"/>
                          </w:r>
                          <w:r>
                            <w:rPr>
                              <w:rFonts w:ascii="Calibri"/>
                              <w:b/>
                              <w:spacing w:val="-3"/>
                              <w:sz w:val="20"/>
                            </w:rPr>
                            <w:t> </w:t>
                          </w:r>
                          <w:r>
                            <w:rPr>
                              <w:rFonts w:ascii="Calibri"/>
                              <w:sz w:val="20"/>
                            </w:rPr>
                            <w:t>of</w:t>
                          </w:r>
                          <w:r>
                            <w:rPr>
                              <w:rFonts w:ascii="Calibri"/>
                              <w:spacing w:val="-2"/>
                              <w:sz w:val="20"/>
                            </w:rPr>
                            <w:t> </w:t>
                          </w:r>
                          <w:r>
                            <w:rPr>
                              <w:rFonts w:ascii="Calibri"/>
                              <w:b/>
                              <w:spacing w:val="-5"/>
                              <w:sz w:val="20"/>
                            </w:rPr>
                            <w:t>122</w:t>
                          </w:r>
                        </w:p>
                      </w:txbxContent>
                    </wps:txbx>
                    <wps:bodyPr wrap="square" lIns="0" tIns="0" rIns="0" bIns="0" rtlCol="0">
                      <a:noAutofit/>
                    </wps:bodyPr>
                  </wps:wsp>
                </a:graphicData>
              </a:graphic>
            </wp:anchor>
          </w:drawing>
        </mc:Choice>
        <mc:Fallback>
          <w:pict>
            <v:shape style="position:absolute;margin-left:437.84671pt;margin-top:732.650024pt;width:67.05pt;height:12pt;mso-position-horizontal-relative:page;mso-position-vertical-relative:page;z-index:-29774336" type="#_x0000_t202" id="docshape64" filled="false" stroked="false">
              <v:textbox inset="0,0,0,0">
                <w:txbxContent>
                  <w:p>
                    <w:pPr>
                      <w:spacing w:line="223" w:lineRule="exact" w:before="0"/>
                      <w:ind w:left="20" w:right="0" w:firstLine="0"/>
                      <w:jc w:val="left"/>
                      <w:rPr>
                        <w:rFonts w:ascii="Calibri"/>
                        <w:b/>
                        <w:sz w:val="20"/>
                      </w:rPr>
                    </w:pPr>
                    <w:r>
                      <w:rPr>
                        <w:rFonts w:ascii="Calibri"/>
                        <w:sz w:val="20"/>
                      </w:rPr>
                      <w:t>Page</w:t>
                    </w:r>
                    <w:r>
                      <w:rPr>
                        <w:rFonts w:ascii="Calibri"/>
                        <w:spacing w:val="-5"/>
                        <w:sz w:val="20"/>
                      </w:rPr>
                      <w:t> </w:t>
                    </w:r>
                    <w:r>
                      <w:rPr>
                        <w:rFonts w:ascii="Calibri"/>
                        <w:b/>
                        <w:sz w:val="20"/>
                      </w:rPr>
                      <w:fldChar w:fldCharType="begin"/>
                    </w:r>
                    <w:r>
                      <w:rPr>
                        <w:rFonts w:ascii="Calibri"/>
                        <w:b/>
                        <w:sz w:val="20"/>
                      </w:rPr>
                      <w:instrText> PAGE </w:instrText>
                    </w:r>
                    <w:r>
                      <w:rPr>
                        <w:rFonts w:ascii="Calibri"/>
                        <w:b/>
                        <w:sz w:val="20"/>
                      </w:rPr>
                      <w:fldChar w:fldCharType="separate"/>
                    </w:r>
                    <w:r>
                      <w:rPr>
                        <w:rFonts w:ascii="Calibri"/>
                        <w:b/>
                        <w:sz w:val="20"/>
                      </w:rPr>
                      <w:t>100</w:t>
                    </w:r>
                    <w:r>
                      <w:rPr>
                        <w:rFonts w:ascii="Calibri"/>
                        <w:b/>
                        <w:sz w:val="20"/>
                      </w:rPr>
                      <w:fldChar w:fldCharType="end"/>
                    </w:r>
                    <w:r>
                      <w:rPr>
                        <w:rFonts w:ascii="Calibri"/>
                        <w:b/>
                        <w:spacing w:val="-3"/>
                        <w:sz w:val="20"/>
                      </w:rPr>
                      <w:t> </w:t>
                    </w:r>
                    <w:r>
                      <w:rPr>
                        <w:rFonts w:ascii="Calibri"/>
                        <w:sz w:val="20"/>
                      </w:rPr>
                      <w:t>of</w:t>
                    </w:r>
                    <w:r>
                      <w:rPr>
                        <w:rFonts w:ascii="Calibri"/>
                        <w:spacing w:val="-2"/>
                        <w:sz w:val="20"/>
                      </w:rPr>
                      <w:t> </w:t>
                    </w:r>
                    <w:r>
                      <w:rPr>
                        <w:rFonts w:ascii="Calibri"/>
                        <w:b/>
                        <w:spacing w:val="-5"/>
                        <w:sz w:val="20"/>
                      </w:rPr>
                      <w:t>122</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3542656">
              <wp:simplePos x="0" y="0"/>
              <wp:positionH relativeFrom="page">
                <wp:posOffset>901700</wp:posOffset>
              </wp:positionH>
              <wp:positionV relativeFrom="page">
                <wp:posOffset>7018655</wp:posOffset>
              </wp:positionV>
              <wp:extent cx="3230880" cy="307975"/>
              <wp:effectExtent l="0" t="0" r="0" b="0"/>
              <wp:wrapNone/>
              <wp:docPr id="954" name="Textbox 954"/>
              <wp:cNvGraphicFramePr>
                <a:graphicFrameLocks/>
              </wp:cNvGraphicFramePr>
              <a:graphic>
                <a:graphicData uri="http://schemas.microsoft.com/office/word/2010/wordprocessingShape">
                  <wps:wsp>
                    <wps:cNvPr id="954" name="Textbox 954"/>
                    <wps:cNvSpPr txBox="1"/>
                    <wps:spPr>
                      <a:xfrm>
                        <a:off x="0" y="0"/>
                        <a:ext cx="3230880" cy="307975"/>
                      </a:xfrm>
                      <a:prstGeom prst="rect">
                        <a:avLst/>
                      </a:prstGeom>
                    </wps:spPr>
                    <wps:txbx>
                      <w:txbxContent>
                        <w:p>
                          <w:pPr>
                            <w:spacing w:line="223" w:lineRule="exact" w:before="0"/>
                            <w:ind w:left="20" w:right="0" w:firstLine="0"/>
                            <w:jc w:val="left"/>
                            <w:rPr>
                              <w:rFonts w:ascii="Calibri"/>
                              <w:sz w:val="20"/>
                            </w:rPr>
                          </w:pPr>
                          <w:r>
                            <w:rPr>
                              <w:rFonts w:ascii="Calibri"/>
                              <w:sz w:val="20"/>
                            </w:rPr>
                            <w:t>MassHealth</w:t>
                          </w:r>
                          <w:r>
                            <w:rPr>
                              <w:rFonts w:ascii="Calibri"/>
                              <w:spacing w:val="-7"/>
                              <w:sz w:val="20"/>
                            </w:rPr>
                            <w:t> </w:t>
                          </w:r>
                          <w:r>
                            <w:rPr>
                              <w:rFonts w:ascii="Calibri"/>
                              <w:sz w:val="20"/>
                            </w:rPr>
                            <w:t>Medicaid</w:t>
                          </w:r>
                          <w:r>
                            <w:rPr>
                              <w:rFonts w:ascii="Calibri"/>
                              <w:spacing w:val="-7"/>
                              <w:sz w:val="20"/>
                            </w:rPr>
                            <w:t> </w:t>
                          </w:r>
                          <w:r>
                            <w:rPr>
                              <w:rFonts w:ascii="Calibri"/>
                              <w:sz w:val="20"/>
                            </w:rPr>
                            <w:t>and</w:t>
                          </w:r>
                          <w:r>
                            <w:rPr>
                              <w:rFonts w:ascii="Calibri"/>
                              <w:spacing w:val="-7"/>
                              <w:sz w:val="20"/>
                            </w:rPr>
                            <w:t> </w:t>
                          </w:r>
                          <w:r>
                            <w:rPr>
                              <w:rFonts w:ascii="Calibri"/>
                              <w:sz w:val="20"/>
                            </w:rPr>
                            <w:t>CHIP</w:t>
                          </w:r>
                          <w:r>
                            <w:rPr>
                              <w:rFonts w:ascii="Calibri"/>
                              <w:spacing w:val="-8"/>
                              <w:sz w:val="20"/>
                            </w:rPr>
                            <w:t> </w:t>
                          </w:r>
                          <w:r>
                            <w:rPr>
                              <w:rFonts w:ascii="Calibri"/>
                              <w:sz w:val="20"/>
                            </w:rPr>
                            <w:t>Section</w:t>
                          </w:r>
                          <w:r>
                            <w:rPr>
                              <w:rFonts w:ascii="Calibri"/>
                              <w:spacing w:val="-7"/>
                              <w:sz w:val="20"/>
                            </w:rPr>
                            <w:t> </w:t>
                          </w:r>
                          <w:r>
                            <w:rPr>
                              <w:rFonts w:ascii="Calibri"/>
                              <w:sz w:val="20"/>
                            </w:rPr>
                            <w:t>1115</w:t>
                          </w:r>
                          <w:r>
                            <w:rPr>
                              <w:rFonts w:ascii="Calibri"/>
                              <w:spacing w:val="-6"/>
                              <w:sz w:val="20"/>
                            </w:rPr>
                            <w:t> </w:t>
                          </w:r>
                          <w:r>
                            <w:rPr>
                              <w:rFonts w:ascii="Calibri"/>
                              <w:spacing w:val="-2"/>
                              <w:sz w:val="20"/>
                            </w:rPr>
                            <w:t>Demonstration</w:t>
                          </w:r>
                        </w:p>
                        <w:p>
                          <w:pPr>
                            <w:spacing w:before="0"/>
                            <w:ind w:left="20" w:right="0" w:firstLine="0"/>
                            <w:jc w:val="left"/>
                            <w:rPr>
                              <w:rFonts w:ascii="Calibri"/>
                              <w:sz w:val="20"/>
                            </w:rPr>
                          </w:pPr>
                          <w:r>
                            <w:rPr>
                              <w:rFonts w:ascii="Calibri"/>
                              <w:sz w:val="20"/>
                            </w:rPr>
                            <w:t>Approval</w:t>
                          </w:r>
                          <w:r>
                            <w:rPr>
                              <w:rFonts w:ascii="Calibri"/>
                              <w:spacing w:val="-7"/>
                              <w:sz w:val="20"/>
                            </w:rPr>
                            <w:t> </w:t>
                          </w:r>
                          <w:r>
                            <w:rPr>
                              <w:rFonts w:ascii="Calibri"/>
                              <w:sz w:val="20"/>
                            </w:rPr>
                            <w:t>Period:</w:t>
                          </w:r>
                          <w:r>
                            <w:rPr>
                              <w:rFonts w:ascii="Calibri"/>
                              <w:spacing w:val="-8"/>
                              <w:sz w:val="20"/>
                            </w:rPr>
                            <w:t> </w:t>
                          </w:r>
                          <w:r>
                            <w:rPr>
                              <w:rFonts w:ascii="Calibri"/>
                              <w:sz w:val="20"/>
                            </w:rPr>
                            <w:t>October</w:t>
                          </w:r>
                          <w:r>
                            <w:rPr>
                              <w:rFonts w:ascii="Calibri"/>
                              <w:spacing w:val="-5"/>
                              <w:sz w:val="20"/>
                            </w:rPr>
                            <w:t> </w:t>
                          </w:r>
                          <w:r>
                            <w:rPr>
                              <w:rFonts w:ascii="Calibri"/>
                              <w:sz w:val="20"/>
                            </w:rPr>
                            <w:t>1,</w:t>
                          </w:r>
                          <w:r>
                            <w:rPr>
                              <w:rFonts w:ascii="Calibri"/>
                              <w:spacing w:val="-6"/>
                              <w:sz w:val="20"/>
                            </w:rPr>
                            <w:t> </w:t>
                          </w:r>
                          <w:r>
                            <w:rPr>
                              <w:rFonts w:ascii="Calibri"/>
                              <w:sz w:val="20"/>
                            </w:rPr>
                            <w:t>2022</w:t>
                          </w:r>
                          <w:r>
                            <w:rPr>
                              <w:rFonts w:ascii="Calibri"/>
                              <w:spacing w:val="-7"/>
                              <w:sz w:val="20"/>
                            </w:rPr>
                            <w:t> </w:t>
                          </w:r>
                          <w:r>
                            <w:rPr>
                              <w:rFonts w:ascii="Calibri"/>
                              <w:sz w:val="20"/>
                            </w:rPr>
                            <w:t>through</w:t>
                          </w:r>
                          <w:r>
                            <w:rPr>
                              <w:rFonts w:ascii="Calibri"/>
                              <w:spacing w:val="-6"/>
                              <w:sz w:val="20"/>
                            </w:rPr>
                            <w:t> </w:t>
                          </w:r>
                          <w:r>
                            <w:rPr>
                              <w:rFonts w:ascii="Calibri"/>
                              <w:sz w:val="20"/>
                            </w:rPr>
                            <w:t>December</w:t>
                          </w:r>
                          <w:r>
                            <w:rPr>
                              <w:rFonts w:ascii="Calibri"/>
                              <w:spacing w:val="-6"/>
                              <w:sz w:val="20"/>
                            </w:rPr>
                            <w:t> </w:t>
                          </w:r>
                          <w:r>
                            <w:rPr>
                              <w:rFonts w:ascii="Calibri"/>
                              <w:sz w:val="20"/>
                            </w:rPr>
                            <w:t>31,</w:t>
                          </w:r>
                          <w:r>
                            <w:rPr>
                              <w:rFonts w:ascii="Calibri"/>
                              <w:spacing w:val="-6"/>
                              <w:sz w:val="20"/>
                            </w:rPr>
                            <w:t> </w:t>
                          </w:r>
                          <w:r>
                            <w:rPr>
                              <w:rFonts w:ascii="Calibri"/>
                              <w:spacing w:val="-4"/>
                              <w:sz w:val="20"/>
                            </w:rPr>
                            <w:t>2027</w:t>
                          </w:r>
                        </w:p>
                      </w:txbxContent>
                    </wps:txbx>
                    <wps:bodyPr wrap="square" lIns="0" tIns="0" rIns="0" bIns="0" rtlCol="0">
                      <a:noAutofit/>
                    </wps:bodyPr>
                  </wps:wsp>
                </a:graphicData>
              </a:graphic>
            </wp:anchor>
          </w:drawing>
        </mc:Choice>
        <mc:Fallback>
          <w:pict>
            <v:shape style="position:absolute;margin-left:71pt;margin-top:552.650024pt;width:254.4pt;height:24.25pt;mso-position-horizontal-relative:page;mso-position-vertical-relative:page;z-index:-29773824" type="#_x0000_t202" id="docshape169" filled="false" stroked="false">
              <v:textbox inset="0,0,0,0">
                <w:txbxContent>
                  <w:p>
                    <w:pPr>
                      <w:spacing w:line="223" w:lineRule="exact" w:before="0"/>
                      <w:ind w:left="20" w:right="0" w:firstLine="0"/>
                      <w:jc w:val="left"/>
                      <w:rPr>
                        <w:rFonts w:ascii="Calibri"/>
                        <w:sz w:val="20"/>
                      </w:rPr>
                    </w:pPr>
                    <w:r>
                      <w:rPr>
                        <w:rFonts w:ascii="Calibri"/>
                        <w:sz w:val="20"/>
                      </w:rPr>
                      <w:t>MassHealth</w:t>
                    </w:r>
                    <w:r>
                      <w:rPr>
                        <w:rFonts w:ascii="Calibri"/>
                        <w:spacing w:val="-7"/>
                        <w:sz w:val="20"/>
                      </w:rPr>
                      <w:t> </w:t>
                    </w:r>
                    <w:r>
                      <w:rPr>
                        <w:rFonts w:ascii="Calibri"/>
                        <w:sz w:val="20"/>
                      </w:rPr>
                      <w:t>Medicaid</w:t>
                    </w:r>
                    <w:r>
                      <w:rPr>
                        <w:rFonts w:ascii="Calibri"/>
                        <w:spacing w:val="-7"/>
                        <w:sz w:val="20"/>
                      </w:rPr>
                      <w:t> </w:t>
                    </w:r>
                    <w:r>
                      <w:rPr>
                        <w:rFonts w:ascii="Calibri"/>
                        <w:sz w:val="20"/>
                      </w:rPr>
                      <w:t>and</w:t>
                    </w:r>
                    <w:r>
                      <w:rPr>
                        <w:rFonts w:ascii="Calibri"/>
                        <w:spacing w:val="-7"/>
                        <w:sz w:val="20"/>
                      </w:rPr>
                      <w:t> </w:t>
                    </w:r>
                    <w:r>
                      <w:rPr>
                        <w:rFonts w:ascii="Calibri"/>
                        <w:sz w:val="20"/>
                      </w:rPr>
                      <w:t>CHIP</w:t>
                    </w:r>
                    <w:r>
                      <w:rPr>
                        <w:rFonts w:ascii="Calibri"/>
                        <w:spacing w:val="-8"/>
                        <w:sz w:val="20"/>
                      </w:rPr>
                      <w:t> </w:t>
                    </w:r>
                    <w:r>
                      <w:rPr>
                        <w:rFonts w:ascii="Calibri"/>
                        <w:sz w:val="20"/>
                      </w:rPr>
                      <w:t>Section</w:t>
                    </w:r>
                    <w:r>
                      <w:rPr>
                        <w:rFonts w:ascii="Calibri"/>
                        <w:spacing w:val="-7"/>
                        <w:sz w:val="20"/>
                      </w:rPr>
                      <w:t> </w:t>
                    </w:r>
                    <w:r>
                      <w:rPr>
                        <w:rFonts w:ascii="Calibri"/>
                        <w:sz w:val="20"/>
                      </w:rPr>
                      <w:t>1115</w:t>
                    </w:r>
                    <w:r>
                      <w:rPr>
                        <w:rFonts w:ascii="Calibri"/>
                        <w:spacing w:val="-6"/>
                        <w:sz w:val="20"/>
                      </w:rPr>
                      <w:t> </w:t>
                    </w:r>
                    <w:r>
                      <w:rPr>
                        <w:rFonts w:ascii="Calibri"/>
                        <w:spacing w:val="-2"/>
                        <w:sz w:val="20"/>
                      </w:rPr>
                      <w:t>Demonstration</w:t>
                    </w:r>
                  </w:p>
                  <w:p>
                    <w:pPr>
                      <w:spacing w:before="0"/>
                      <w:ind w:left="20" w:right="0" w:firstLine="0"/>
                      <w:jc w:val="left"/>
                      <w:rPr>
                        <w:rFonts w:ascii="Calibri"/>
                        <w:sz w:val="20"/>
                      </w:rPr>
                    </w:pPr>
                    <w:r>
                      <w:rPr>
                        <w:rFonts w:ascii="Calibri"/>
                        <w:sz w:val="20"/>
                      </w:rPr>
                      <w:t>Approval</w:t>
                    </w:r>
                    <w:r>
                      <w:rPr>
                        <w:rFonts w:ascii="Calibri"/>
                        <w:spacing w:val="-7"/>
                        <w:sz w:val="20"/>
                      </w:rPr>
                      <w:t> </w:t>
                    </w:r>
                    <w:r>
                      <w:rPr>
                        <w:rFonts w:ascii="Calibri"/>
                        <w:sz w:val="20"/>
                      </w:rPr>
                      <w:t>Period:</w:t>
                    </w:r>
                    <w:r>
                      <w:rPr>
                        <w:rFonts w:ascii="Calibri"/>
                        <w:spacing w:val="-8"/>
                        <w:sz w:val="20"/>
                      </w:rPr>
                      <w:t> </w:t>
                    </w:r>
                    <w:r>
                      <w:rPr>
                        <w:rFonts w:ascii="Calibri"/>
                        <w:sz w:val="20"/>
                      </w:rPr>
                      <w:t>October</w:t>
                    </w:r>
                    <w:r>
                      <w:rPr>
                        <w:rFonts w:ascii="Calibri"/>
                        <w:spacing w:val="-5"/>
                        <w:sz w:val="20"/>
                      </w:rPr>
                      <w:t> </w:t>
                    </w:r>
                    <w:r>
                      <w:rPr>
                        <w:rFonts w:ascii="Calibri"/>
                        <w:sz w:val="20"/>
                      </w:rPr>
                      <w:t>1,</w:t>
                    </w:r>
                    <w:r>
                      <w:rPr>
                        <w:rFonts w:ascii="Calibri"/>
                        <w:spacing w:val="-6"/>
                        <w:sz w:val="20"/>
                      </w:rPr>
                      <w:t> </w:t>
                    </w:r>
                    <w:r>
                      <w:rPr>
                        <w:rFonts w:ascii="Calibri"/>
                        <w:sz w:val="20"/>
                      </w:rPr>
                      <w:t>2022</w:t>
                    </w:r>
                    <w:r>
                      <w:rPr>
                        <w:rFonts w:ascii="Calibri"/>
                        <w:spacing w:val="-7"/>
                        <w:sz w:val="20"/>
                      </w:rPr>
                      <w:t> </w:t>
                    </w:r>
                    <w:r>
                      <w:rPr>
                        <w:rFonts w:ascii="Calibri"/>
                        <w:sz w:val="20"/>
                      </w:rPr>
                      <w:t>through</w:t>
                    </w:r>
                    <w:r>
                      <w:rPr>
                        <w:rFonts w:ascii="Calibri"/>
                        <w:spacing w:val="-6"/>
                        <w:sz w:val="20"/>
                      </w:rPr>
                      <w:t> </w:t>
                    </w:r>
                    <w:r>
                      <w:rPr>
                        <w:rFonts w:ascii="Calibri"/>
                        <w:sz w:val="20"/>
                      </w:rPr>
                      <w:t>December</w:t>
                    </w:r>
                    <w:r>
                      <w:rPr>
                        <w:rFonts w:ascii="Calibri"/>
                        <w:spacing w:val="-6"/>
                        <w:sz w:val="20"/>
                      </w:rPr>
                      <w:t> </w:t>
                    </w:r>
                    <w:r>
                      <w:rPr>
                        <w:rFonts w:ascii="Calibri"/>
                        <w:sz w:val="20"/>
                      </w:rPr>
                      <w:t>31,</w:t>
                    </w:r>
                    <w:r>
                      <w:rPr>
                        <w:rFonts w:ascii="Calibri"/>
                        <w:spacing w:val="-6"/>
                        <w:sz w:val="20"/>
                      </w:rPr>
                      <w:t> </w:t>
                    </w:r>
                    <w:r>
                      <w:rPr>
                        <w:rFonts w:ascii="Calibri"/>
                        <w:spacing w:val="-4"/>
                        <w:sz w:val="20"/>
                      </w:rPr>
                      <w:t>2027</w:t>
                    </w:r>
                  </w:p>
                </w:txbxContent>
              </v:textbox>
              <w10:wrap type="none"/>
            </v:shape>
          </w:pict>
        </mc:Fallback>
      </mc:AlternateContent>
    </w:r>
    <w:r>
      <w:rPr/>
      <mc:AlternateContent>
        <mc:Choice Requires="wps">
          <w:drawing>
            <wp:anchor distT="0" distB="0" distL="0" distR="0" allowOverlap="1" layoutInCell="1" locked="0" behindDoc="1" simplePos="0" relativeHeight="473543168">
              <wp:simplePos x="0" y="0"/>
              <wp:positionH relativeFrom="page">
                <wp:posOffset>5560653</wp:posOffset>
              </wp:positionH>
              <wp:positionV relativeFrom="page">
                <wp:posOffset>7018655</wp:posOffset>
              </wp:positionV>
              <wp:extent cx="851535" cy="152400"/>
              <wp:effectExtent l="0" t="0" r="0" b="0"/>
              <wp:wrapNone/>
              <wp:docPr id="955" name="Textbox 955"/>
              <wp:cNvGraphicFramePr>
                <a:graphicFrameLocks/>
              </wp:cNvGraphicFramePr>
              <a:graphic>
                <a:graphicData uri="http://schemas.microsoft.com/office/word/2010/wordprocessingShape">
                  <wps:wsp>
                    <wps:cNvPr id="955" name="Textbox 955"/>
                    <wps:cNvSpPr txBox="1"/>
                    <wps:spPr>
                      <a:xfrm>
                        <a:off x="0" y="0"/>
                        <a:ext cx="851535" cy="152400"/>
                      </a:xfrm>
                      <a:prstGeom prst="rect">
                        <a:avLst/>
                      </a:prstGeom>
                    </wps:spPr>
                    <wps:txbx>
                      <w:txbxContent>
                        <w:p>
                          <w:pPr>
                            <w:spacing w:line="223" w:lineRule="exact" w:before="0"/>
                            <w:ind w:left="20" w:right="0" w:firstLine="0"/>
                            <w:jc w:val="left"/>
                            <w:rPr>
                              <w:rFonts w:ascii="Calibri"/>
                              <w:b/>
                              <w:sz w:val="20"/>
                            </w:rPr>
                          </w:pPr>
                          <w:r>
                            <w:rPr>
                              <w:rFonts w:ascii="Calibri"/>
                              <w:sz w:val="20"/>
                            </w:rPr>
                            <w:t>Page</w:t>
                          </w:r>
                          <w:r>
                            <w:rPr>
                              <w:rFonts w:ascii="Calibri"/>
                              <w:spacing w:val="-5"/>
                              <w:sz w:val="20"/>
                            </w:rPr>
                            <w:t> </w:t>
                          </w:r>
                          <w:r>
                            <w:rPr>
                              <w:rFonts w:ascii="Calibri"/>
                              <w:b/>
                              <w:sz w:val="20"/>
                            </w:rPr>
                            <w:fldChar w:fldCharType="begin"/>
                          </w:r>
                          <w:r>
                            <w:rPr>
                              <w:rFonts w:ascii="Calibri"/>
                              <w:b/>
                              <w:sz w:val="20"/>
                            </w:rPr>
                            <w:instrText> PAGE </w:instrText>
                          </w:r>
                          <w:r>
                            <w:rPr>
                              <w:rFonts w:ascii="Calibri"/>
                              <w:b/>
                              <w:sz w:val="20"/>
                            </w:rPr>
                            <w:fldChar w:fldCharType="separate"/>
                          </w:r>
                          <w:r>
                            <w:rPr>
                              <w:rFonts w:ascii="Calibri"/>
                              <w:b/>
                              <w:sz w:val="20"/>
                            </w:rPr>
                            <w:t>115</w:t>
                          </w:r>
                          <w:r>
                            <w:rPr>
                              <w:rFonts w:ascii="Calibri"/>
                              <w:b/>
                              <w:sz w:val="20"/>
                            </w:rPr>
                            <w:fldChar w:fldCharType="end"/>
                          </w:r>
                          <w:r>
                            <w:rPr>
                              <w:rFonts w:ascii="Calibri"/>
                              <w:b/>
                              <w:spacing w:val="-3"/>
                              <w:sz w:val="20"/>
                            </w:rPr>
                            <w:t> </w:t>
                          </w:r>
                          <w:r>
                            <w:rPr>
                              <w:rFonts w:ascii="Calibri"/>
                              <w:sz w:val="20"/>
                            </w:rPr>
                            <w:t>of</w:t>
                          </w:r>
                          <w:r>
                            <w:rPr>
                              <w:rFonts w:ascii="Calibri"/>
                              <w:spacing w:val="-2"/>
                              <w:sz w:val="20"/>
                            </w:rPr>
                            <w:t> </w:t>
                          </w:r>
                          <w:r>
                            <w:rPr>
                              <w:rFonts w:ascii="Calibri"/>
                              <w:b/>
                              <w:spacing w:val="-5"/>
                              <w:sz w:val="20"/>
                            </w:rPr>
                            <w:t>122</w:t>
                          </w:r>
                        </w:p>
                      </w:txbxContent>
                    </wps:txbx>
                    <wps:bodyPr wrap="square" lIns="0" tIns="0" rIns="0" bIns="0" rtlCol="0">
                      <a:noAutofit/>
                    </wps:bodyPr>
                  </wps:wsp>
                </a:graphicData>
              </a:graphic>
            </wp:anchor>
          </w:drawing>
        </mc:Choice>
        <mc:Fallback>
          <w:pict>
            <v:shape style="position:absolute;margin-left:437.84671pt;margin-top:552.650024pt;width:67.05pt;height:12pt;mso-position-horizontal-relative:page;mso-position-vertical-relative:page;z-index:-29773312" type="#_x0000_t202" id="docshape170" filled="false" stroked="false">
              <v:textbox inset="0,0,0,0">
                <w:txbxContent>
                  <w:p>
                    <w:pPr>
                      <w:spacing w:line="223" w:lineRule="exact" w:before="0"/>
                      <w:ind w:left="20" w:right="0" w:firstLine="0"/>
                      <w:jc w:val="left"/>
                      <w:rPr>
                        <w:rFonts w:ascii="Calibri"/>
                        <w:b/>
                        <w:sz w:val="20"/>
                      </w:rPr>
                    </w:pPr>
                    <w:r>
                      <w:rPr>
                        <w:rFonts w:ascii="Calibri"/>
                        <w:sz w:val="20"/>
                      </w:rPr>
                      <w:t>Page</w:t>
                    </w:r>
                    <w:r>
                      <w:rPr>
                        <w:rFonts w:ascii="Calibri"/>
                        <w:spacing w:val="-5"/>
                        <w:sz w:val="20"/>
                      </w:rPr>
                      <w:t> </w:t>
                    </w:r>
                    <w:r>
                      <w:rPr>
                        <w:rFonts w:ascii="Calibri"/>
                        <w:b/>
                        <w:sz w:val="20"/>
                      </w:rPr>
                      <w:fldChar w:fldCharType="begin"/>
                    </w:r>
                    <w:r>
                      <w:rPr>
                        <w:rFonts w:ascii="Calibri"/>
                        <w:b/>
                        <w:sz w:val="20"/>
                      </w:rPr>
                      <w:instrText> PAGE </w:instrText>
                    </w:r>
                    <w:r>
                      <w:rPr>
                        <w:rFonts w:ascii="Calibri"/>
                        <w:b/>
                        <w:sz w:val="20"/>
                      </w:rPr>
                      <w:fldChar w:fldCharType="separate"/>
                    </w:r>
                    <w:r>
                      <w:rPr>
                        <w:rFonts w:ascii="Calibri"/>
                        <w:b/>
                        <w:sz w:val="20"/>
                      </w:rPr>
                      <w:t>115</w:t>
                    </w:r>
                    <w:r>
                      <w:rPr>
                        <w:rFonts w:ascii="Calibri"/>
                        <w:b/>
                        <w:sz w:val="20"/>
                      </w:rPr>
                      <w:fldChar w:fldCharType="end"/>
                    </w:r>
                    <w:r>
                      <w:rPr>
                        <w:rFonts w:ascii="Calibri"/>
                        <w:b/>
                        <w:spacing w:val="-3"/>
                        <w:sz w:val="20"/>
                      </w:rPr>
                      <w:t> </w:t>
                    </w:r>
                    <w:r>
                      <w:rPr>
                        <w:rFonts w:ascii="Calibri"/>
                        <w:sz w:val="20"/>
                      </w:rPr>
                      <w:t>of</w:t>
                    </w:r>
                    <w:r>
                      <w:rPr>
                        <w:rFonts w:ascii="Calibri"/>
                        <w:spacing w:val="-2"/>
                        <w:sz w:val="20"/>
                      </w:rPr>
                      <w:t> </w:t>
                    </w:r>
                    <w:r>
                      <w:rPr>
                        <w:rFonts w:ascii="Calibri"/>
                        <w:b/>
                        <w:spacing w:val="-5"/>
                        <w:sz w:val="20"/>
                      </w:rPr>
                      <w:t>122</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3543680">
              <wp:simplePos x="0" y="0"/>
              <wp:positionH relativeFrom="page">
                <wp:posOffset>901573</wp:posOffset>
              </wp:positionH>
              <wp:positionV relativeFrom="page">
                <wp:posOffset>9126785</wp:posOffset>
              </wp:positionV>
              <wp:extent cx="3215005" cy="312420"/>
              <wp:effectExtent l="0" t="0" r="0" b="0"/>
              <wp:wrapNone/>
              <wp:docPr id="963" name="Textbox 963"/>
              <wp:cNvGraphicFramePr>
                <a:graphicFrameLocks/>
              </wp:cNvGraphicFramePr>
              <a:graphic>
                <a:graphicData uri="http://schemas.microsoft.com/office/word/2010/wordprocessingShape">
                  <wps:wsp>
                    <wps:cNvPr id="963" name="Textbox 963"/>
                    <wps:cNvSpPr txBox="1"/>
                    <wps:spPr>
                      <a:xfrm>
                        <a:off x="0" y="0"/>
                        <a:ext cx="3215005" cy="312420"/>
                      </a:xfrm>
                      <a:prstGeom prst="rect">
                        <a:avLst/>
                      </a:prstGeom>
                    </wps:spPr>
                    <wps:txbx>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wps:txbx>
                    <wps:bodyPr wrap="square" lIns="0" tIns="0" rIns="0" bIns="0" rtlCol="0">
                      <a:noAutofit/>
                    </wps:bodyPr>
                  </wps:wsp>
                </a:graphicData>
              </a:graphic>
            </wp:anchor>
          </w:drawing>
        </mc:Choice>
        <mc:Fallback>
          <w:pict>
            <v:shape style="position:absolute;margin-left:70.990044pt;margin-top:718.644531pt;width:253.15pt;height:24.6pt;mso-position-horizontal-relative:page;mso-position-vertical-relative:page;z-index:-29772800" type="#_x0000_t202" id="docshape178" filled="false" stroked="false">
              <v:textbox inset="0,0,0,0">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v:textbox>
              <w10:wrap type="none"/>
            </v:shape>
          </w:pict>
        </mc:Fallback>
      </mc:AlternateContent>
    </w:r>
    <w:r>
      <w:rPr/>
      <mc:AlternateContent>
        <mc:Choice Requires="wps">
          <w:drawing>
            <wp:anchor distT="0" distB="0" distL="0" distR="0" allowOverlap="1" layoutInCell="1" locked="0" behindDoc="1" simplePos="0" relativeHeight="473544192">
              <wp:simplePos x="0" y="0"/>
              <wp:positionH relativeFrom="page">
                <wp:posOffset>6270652</wp:posOffset>
              </wp:positionH>
              <wp:positionV relativeFrom="page">
                <wp:posOffset>9126785</wp:posOffset>
              </wp:positionV>
              <wp:extent cx="600710" cy="165735"/>
              <wp:effectExtent l="0" t="0" r="0" b="0"/>
              <wp:wrapNone/>
              <wp:docPr id="964" name="Textbox 964"/>
              <wp:cNvGraphicFramePr>
                <a:graphicFrameLocks/>
              </wp:cNvGraphicFramePr>
              <a:graphic>
                <a:graphicData uri="http://schemas.microsoft.com/office/word/2010/wordprocessingShape">
                  <wps:wsp>
                    <wps:cNvPr id="964" name="Textbox 964"/>
                    <wps:cNvSpPr txBox="1"/>
                    <wps:spPr>
                      <a:xfrm>
                        <a:off x="0" y="0"/>
                        <a:ext cx="600710" cy="165735"/>
                      </a:xfrm>
                      <a:prstGeom prst="rect">
                        <a:avLst/>
                      </a:prstGeom>
                    </wps:spPr>
                    <wps:txbx>
                      <w:txbxContent>
                        <w:p>
                          <w:pPr>
                            <w:spacing w:before="10"/>
                            <w:ind w:left="20" w:right="0" w:firstLine="0"/>
                            <w:jc w:val="left"/>
                            <w:rPr>
                              <w:b/>
                              <w:sz w:val="20"/>
                            </w:rPr>
                          </w:pPr>
                          <w:r>
                            <w:rPr>
                              <w:sz w:val="20"/>
                            </w:rPr>
                            <w:t>Page</w:t>
                          </w:r>
                          <w:r>
                            <w:rPr>
                              <w:spacing w:val="-2"/>
                              <w:sz w:val="20"/>
                            </w:rPr>
                            <w:t> </w:t>
                          </w:r>
                          <w:r>
                            <w:rPr>
                              <w:b/>
                              <w:sz w:val="20"/>
                            </w:rPr>
                            <w:t>1</w:t>
                          </w:r>
                          <w:r>
                            <w:rPr>
                              <w:b/>
                              <w:spacing w:val="-1"/>
                              <w:sz w:val="20"/>
                            </w:rPr>
                            <w:t> </w:t>
                          </w:r>
                          <w:r>
                            <w:rPr>
                              <w:sz w:val="20"/>
                            </w:rPr>
                            <w:t>of</w:t>
                          </w:r>
                          <w:r>
                            <w:rPr>
                              <w:spacing w:val="-4"/>
                              <w:sz w:val="20"/>
                            </w:rPr>
                            <w:t> </w:t>
                          </w:r>
                          <w:r>
                            <w:rPr>
                              <w:b/>
                              <w:spacing w:val="-10"/>
                              <w:sz w:val="20"/>
                            </w:rPr>
                            <w:t>1</w:t>
                          </w:r>
                        </w:p>
                      </w:txbxContent>
                    </wps:txbx>
                    <wps:bodyPr wrap="square" lIns="0" tIns="0" rIns="0" bIns="0" rtlCol="0">
                      <a:noAutofit/>
                    </wps:bodyPr>
                  </wps:wsp>
                </a:graphicData>
              </a:graphic>
            </wp:anchor>
          </w:drawing>
        </mc:Choice>
        <mc:Fallback>
          <w:pict>
            <v:shape style="position:absolute;margin-left:493.752197pt;margin-top:718.644531pt;width:47.3pt;height:13.05pt;mso-position-horizontal-relative:page;mso-position-vertical-relative:page;z-index:-29772288" type="#_x0000_t202" id="docshape179" filled="false" stroked="false">
              <v:textbox inset="0,0,0,0">
                <w:txbxContent>
                  <w:p>
                    <w:pPr>
                      <w:spacing w:before="10"/>
                      <w:ind w:left="20" w:right="0" w:firstLine="0"/>
                      <w:jc w:val="left"/>
                      <w:rPr>
                        <w:b/>
                        <w:sz w:val="20"/>
                      </w:rPr>
                    </w:pPr>
                    <w:r>
                      <w:rPr>
                        <w:sz w:val="20"/>
                      </w:rPr>
                      <w:t>Page</w:t>
                    </w:r>
                    <w:r>
                      <w:rPr>
                        <w:spacing w:val="-2"/>
                        <w:sz w:val="20"/>
                      </w:rPr>
                      <w:t> </w:t>
                    </w:r>
                    <w:r>
                      <w:rPr>
                        <w:b/>
                        <w:sz w:val="20"/>
                      </w:rPr>
                      <w:t>1</w:t>
                    </w:r>
                    <w:r>
                      <w:rPr>
                        <w:b/>
                        <w:spacing w:val="-1"/>
                        <w:sz w:val="20"/>
                      </w:rPr>
                      <w:t> </w:t>
                    </w:r>
                    <w:r>
                      <w:rPr>
                        <w:sz w:val="20"/>
                      </w:rPr>
                      <w:t>of</w:t>
                    </w:r>
                    <w:r>
                      <w:rPr>
                        <w:spacing w:val="-4"/>
                        <w:sz w:val="20"/>
                      </w:rPr>
                      <w:t> </w:t>
                    </w:r>
                    <w:r>
                      <w:rPr>
                        <w:b/>
                        <w:spacing w:val="-10"/>
                        <w:sz w:val="20"/>
                      </w:rPr>
                      <w:t>1</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3526272">
              <wp:simplePos x="0" y="0"/>
              <wp:positionH relativeFrom="page">
                <wp:posOffset>901700</wp:posOffset>
              </wp:positionH>
              <wp:positionV relativeFrom="page">
                <wp:posOffset>9155794</wp:posOffset>
              </wp:positionV>
              <wp:extent cx="3215005" cy="31242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3215005" cy="312420"/>
                      </a:xfrm>
                      <a:prstGeom prst="rect">
                        <a:avLst/>
                      </a:prstGeom>
                    </wps:spPr>
                    <wps:txbx>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wps:txbx>
                    <wps:bodyPr wrap="square" lIns="0" tIns="0" rIns="0" bIns="0" rtlCol="0">
                      <a:noAutofit/>
                    </wps:bodyPr>
                  </wps:wsp>
                </a:graphicData>
              </a:graphic>
            </wp:anchor>
          </w:drawing>
        </mc:Choice>
        <mc:Fallback>
          <w:pict>
            <v:shape style="position:absolute;margin-left:71pt;margin-top:720.928711pt;width:253.15pt;height:24.6pt;mso-position-horizontal-relative:page;mso-position-vertical-relative:page;z-index:-29790208" type="#_x0000_t202" id="docshape11" filled="false" stroked="false">
              <v:textbox inset="0,0,0,0">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v:textbox>
              <w10:wrap type="none"/>
            </v:shape>
          </w:pict>
        </mc:Fallback>
      </mc:AlternateContent>
    </w:r>
    <w:r>
      <w:rPr/>
      <mc:AlternateContent>
        <mc:Choice Requires="wps">
          <w:drawing>
            <wp:anchor distT="0" distB="0" distL="0" distR="0" allowOverlap="1" layoutInCell="1" locked="0" behindDoc="1" simplePos="0" relativeHeight="473526784">
              <wp:simplePos x="0" y="0"/>
              <wp:positionH relativeFrom="page">
                <wp:posOffset>6439899</wp:posOffset>
              </wp:positionH>
              <wp:positionV relativeFrom="page">
                <wp:posOffset>9155794</wp:posOffset>
              </wp:positionV>
              <wp:extent cx="470534" cy="16573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470534" cy="165735"/>
                      </a:xfrm>
                      <a:prstGeom prst="rect">
                        <a:avLst/>
                      </a:prstGeom>
                    </wps:spPr>
                    <wps:txbx>
                      <w:txbxContent>
                        <w:p>
                          <w:pPr>
                            <w:spacing w:before="10"/>
                            <w:ind w:left="20" w:right="0" w:firstLine="0"/>
                            <w:jc w:val="left"/>
                            <w:rPr>
                              <w:sz w:val="20"/>
                            </w:rPr>
                          </w:pPr>
                          <w:r>
                            <w:rPr>
                              <w:sz w:val="20"/>
                            </w:rPr>
                            <w:t>Page</w:t>
                          </w:r>
                          <w:r>
                            <w:rPr>
                              <w:spacing w:val="-4"/>
                              <w:sz w:val="20"/>
                            </w:rPr>
                            <w:t> </w:t>
                          </w:r>
                          <w:r>
                            <w:rPr>
                              <w:spacing w:val="-5"/>
                              <w:sz w:val="20"/>
                            </w:rPr>
                            <w:fldChar w:fldCharType="begin"/>
                          </w:r>
                          <w:r>
                            <w:rPr>
                              <w:spacing w:val="-5"/>
                              <w:sz w:val="20"/>
                            </w:rPr>
                            <w:instrText>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507.078674pt;margin-top:720.928711pt;width:37.050pt;height:13.05pt;mso-position-horizontal-relative:page;mso-position-vertical-relative:page;z-index:-29789696" type="#_x0000_t202" id="docshape12" filled="false" stroked="false">
              <v:textbox inset="0,0,0,0">
                <w:txbxContent>
                  <w:p>
                    <w:pPr>
                      <w:spacing w:before="10"/>
                      <w:ind w:left="20" w:right="0" w:firstLine="0"/>
                      <w:jc w:val="left"/>
                      <w:rPr>
                        <w:sz w:val="20"/>
                      </w:rPr>
                    </w:pPr>
                    <w:r>
                      <w:rPr>
                        <w:sz w:val="20"/>
                      </w:rPr>
                      <w:t>Page</w:t>
                    </w:r>
                    <w:r>
                      <w:rPr>
                        <w:spacing w:val="-4"/>
                        <w:sz w:val="20"/>
                      </w:rPr>
                      <w:t> </w:t>
                    </w:r>
                    <w:r>
                      <w:rPr>
                        <w:spacing w:val="-5"/>
                        <w:sz w:val="20"/>
                      </w:rPr>
                      <w:fldChar w:fldCharType="begin"/>
                    </w:r>
                    <w:r>
                      <w:rPr>
                        <w:spacing w:val="-5"/>
                        <w:sz w:val="20"/>
                      </w:rPr>
                      <w:instrText> PAGE </w:instrText>
                    </w:r>
                    <w:r>
                      <w:rPr>
                        <w:spacing w:val="-5"/>
                        <w:sz w:val="20"/>
                      </w:rPr>
                      <w:fldChar w:fldCharType="separate"/>
                    </w:r>
                    <w:r>
                      <w:rPr>
                        <w:spacing w:val="-5"/>
                        <w:sz w:val="20"/>
                      </w:rPr>
                      <w:t>10</w:t>
                    </w:r>
                    <w:r>
                      <w:rPr>
                        <w:spacing w:val="-5"/>
                        <w:sz w:val="20"/>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3544704">
              <wp:simplePos x="0" y="0"/>
              <wp:positionH relativeFrom="page">
                <wp:posOffset>901573</wp:posOffset>
              </wp:positionH>
              <wp:positionV relativeFrom="page">
                <wp:posOffset>9131357</wp:posOffset>
              </wp:positionV>
              <wp:extent cx="3215640" cy="312420"/>
              <wp:effectExtent l="0" t="0" r="0" b="0"/>
              <wp:wrapNone/>
              <wp:docPr id="965" name="Textbox 965"/>
              <wp:cNvGraphicFramePr>
                <a:graphicFrameLocks/>
              </wp:cNvGraphicFramePr>
              <a:graphic>
                <a:graphicData uri="http://schemas.microsoft.com/office/word/2010/wordprocessingShape">
                  <wps:wsp>
                    <wps:cNvPr id="965" name="Textbox 965"/>
                    <wps:cNvSpPr txBox="1"/>
                    <wps:spPr>
                      <a:xfrm>
                        <a:off x="0" y="0"/>
                        <a:ext cx="3215640" cy="312420"/>
                      </a:xfrm>
                      <a:prstGeom prst="rect">
                        <a:avLst/>
                      </a:prstGeom>
                    </wps:spPr>
                    <wps:txbx>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wps:txbx>
                    <wps:bodyPr wrap="square" lIns="0" tIns="0" rIns="0" bIns="0" rtlCol="0">
                      <a:noAutofit/>
                    </wps:bodyPr>
                  </wps:wsp>
                </a:graphicData>
              </a:graphic>
            </wp:anchor>
          </w:drawing>
        </mc:Choice>
        <mc:Fallback>
          <w:pict>
            <v:shape style="position:absolute;margin-left:70.990044pt;margin-top:719.004517pt;width:253.2pt;height:24.6pt;mso-position-horizontal-relative:page;mso-position-vertical-relative:page;z-index:-29771776" type="#_x0000_t202" id="docshape180" filled="false" stroked="false">
              <v:textbox inset="0,0,0,0">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v:textbox>
              <w10:wrap type="none"/>
            </v:shape>
          </w:pict>
        </mc:Fallback>
      </mc:AlternateContent>
    </w:r>
    <w:r>
      <w:rPr/>
      <mc:AlternateContent>
        <mc:Choice Requires="wps">
          <w:drawing>
            <wp:anchor distT="0" distB="0" distL="0" distR="0" allowOverlap="1" layoutInCell="1" locked="0" behindDoc="1" simplePos="0" relativeHeight="473545216">
              <wp:simplePos x="0" y="0"/>
              <wp:positionH relativeFrom="page">
                <wp:posOffset>6270652</wp:posOffset>
              </wp:positionH>
              <wp:positionV relativeFrom="page">
                <wp:posOffset>9131357</wp:posOffset>
              </wp:positionV>
              <wp:extent cx="600710" cy="165735"/>
              <wp:effectExtent l="0" t="0" r="0" b="0"/>
              <wp:wrapNone/>
              <wp:docPr id="966" name="Textbox 966"/>
              <wp:cNvGraphicFramePr>
                <a:graphicFrameLocks/>
              </wp:cNvGraphicFramePr>
              <a:graphic>
                <a:graphicData uri="http://schemas.microsoft.com/office/word/2010/wordprocessingShape">
                  <wps:wsp>
                    <wps:cNvPr id="966" name="Textbox 966"/>
                    <wps:cNvSpPr txBox="1"/>
                    <wps:spPr>
                      <a:xfrm>
                        <a:off x="0" y="0"/>
                        <a:ext cx="600710" cy="165735"/>
                      </a:xfrm>
                      <a:prstGeom prst="rect">
                        <a:avLst/>
                      </a:prstGeom>
                    </wps:spPr>
                    <wps:txbx>
                      <w:txbxContent>
                        <w:p>
                          <w:pPr>
                            <w:spacing w:before="10"/>
                            <w:ind w:left="20" w:right="0" w:firstLine="0"/>
                            <w:jc w:val="left"/>
                            <w:rPr>
                              <w:b/>
                              <w:sz w:val="20"/>
                            </w:rPr>
                          </w:pPr>
                          <w:r>
                            <w:rPr>
                              <w:sz w:val="20"/>
                            </w:rPr>
                            <w:t>Page</w:t>
                          </w:r>
                          <w:r>
                            <w:rPr>
                              <w:spacing w:val="-2"/>
                              <w:sz w:val="20"/>
                            </w:rPr>
                            <w:t> </w:t>
                          </w:r>
                          <w:r>
                            <w:rPr>
                              <w:b/>
                              <w:sz w:val="20"/>
                            </w:rPr>
                            <w:t>1</w:t>
                          </w:r>
                          <w:r>
                            <w:rPr>
                              <w:b/>
                              <w:spacing w:val="-1"/>
                              <w:sz w:val="20"/>
                            </w:rPr>
                            <w:t> </w:t>
                          </w:r>
                          <w:r>
                            <w:rPr>
                              <w:sz w:val="20"/>
                            </w:rPr>
                            <w:t>of</w:t>
                          </w:r>
                          <w:r>
                            <w:rPr>
                              <w:spacing w:val="-4"/>
                              <w:sz w:val="20"/>
                            </w:rPr>
                            <w:t> </w:t>
                          </w:r>
                          <w:r>
                            <w:rPr>
                              <w:b/>
                              <w:spacing w:val="-10"/>
                              <w:sz w:val="20"/>
                            </w:rPr>
                            <w:t>9</w:t>
                          </w:r>
                        </w:p>
                      </w:txbxContent>
                    </wps:txbx>
                    <wps:bodyPr wrap="square" lIns="0" tIns="0" rIns="0" bIns="0" rtlCol="0">
                      <a:noAutofit/>
                    </wps:bodyPr>
                  </wps:wsp>
                </a:graphicData>
              </a:graphic>
            </wp:anchor>
          </w:drawing>
        </mc:Choice>
        <mc:Fallback>
          <w:pict>
            <v:shape style="position:absolute;margin-left:493.752197pt;margin-top:719.004517pt;width:47.3pt;height:13.05pt;mso-position-horizontal-relative:page;mso-position-vertical-relative:page;z-index:-29771264" type="#_x0000_t202" id="docshape181" filled="false" stroked="false">
              <v:textbox inset="0,0,0,0">
                <w:txbxContent>
                  <w:p>
                    <w:pPr>
                      <w:spacing w:before="10"/>
                      <w:ind w:left="20" w:right="0" w:firstLine="0"/>
                      <w:jc w:val="left"/>
                      <w:rPr>
                        <w:b/>
                        <w:sz w:val="20"/>
                      </w:rPr>
                    </w:pPr>
                    <w:r>
                      <w:rPr>
                        <w:sz w:val="20"/>
                      </w:rPr>
                      <w:t>Page</w:t>
                    </w:r>
                    <w:r>
                      <w:rPr>
                        <w:spacing w:val="-2"/>
                        <w:sz w:val="20"/>
                      </w:rPr>
                      <w:t> </w:t>
                    </w:r>
                    <w:r>
                      <w:rPr>
                        <w:b/>
                        <w:sz w:val="20"/>
                      </w:rPr>
                      <w:t>1</w:t>
                    </w:r>
                    <w:r>
                      <w:rPr>
                        <w:b/>
                        <w:spacing w:val="-1"/>
                        <w:sz w:val="20"/>
                      </w:rPr>
                      <w:t> </w:t>
                    </w:r>
                    <w:r>
                      <w:rPr>
                        <w:sz w:val="20"/>
                      </w:rPr>
                      <w:t>of</w:t>
                    </w:r>
                    <w:r>
                      <w:rPr>
                        <w:spacing w:val="-4"/>
                        <w:sz w:val="20"/>
                      </w:rPr>
                      <w:t> </w:t>
                    </w:r>
                    <w:r>
                      <w:rPr>
                        <w:b/>
                        <w:spacing w:val="-10"/>
                        <w:sz w:val="20"/>
                      </w:rPr>
                      <w:t>9</w:t>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3545728">
              <wp:simplePos x="0" y="0"/>
              <wp:positionH relativeFrom="page">
                <wp:posOffset>901573</wp:posOffset>
              </wp:positionH>
              <wp:positionV relativeFrom="page">
                <wp:posOffset>9131357</wp:posOffset>
              </wp:positionV>
              <wp:extent cx="3215640" cy="312420"/>
              <wp:effectExtent l="0" t="0" r="0" b="0"/>
              <wp:wrapNone/>
              <wp:docPr id="967" name="Textbox 967"/>
              <wp:cNvGraphicFramePr>
                <a:graphicFrameLocks/>
              </wp:cNvGraphicFramePr>
              <a:graphic>
                <a:graphicData uri="http://schemas.microsoft.com/office/word/2010/wordprocessingShape">
                  <wps:wsp>
                    <wps:cNvPr id="967" name="Textbox 967"/>
                    <wps:cNvSpPr txBox="1"/>
                    <wps:spPr>
                      <a:xfrm>
                        <a:off x="0" y="0"/>
                        <a:ext cx="3215640" cy="312420"/>
                      </a:xfrm>
                      <a:prstGeom prst="rect">
                        <a:avLst/>
                      </a:prstGeom>
                    </wps:spPr>
                    <wps:txbx>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wps:txbx>
                    <wps:bodyPr wrap="square" lIns="0" tIns="0" rIns="0" bIns="0" rtlCol="0">
                      <a:noAutofit/>
                    </wps:bodyPr>
                  </wps:wsp>
                </a:graphicData>
              </a:graphic>
            </wp:anchor>
          </w:drawing>
        </mc:Choice>
        <mc:Fallback>
          <w:pict>
            <v:shape style="position:absolute;margin-left:70.990044pt;margin-top:719.004517pt;width:253.2pt;height:24.6pt;mso-position-horizontal-relative:page;mso-position-vertical-relative:page;z-index:-29770752" type="#_x0000_t202" id="docshape182" filled="false" stroked="false">
              <v:textbox inset="0,0,0,0">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v:textbox>
              <w10:wrap type="none"/>
            </v:shape>
          </w:pict>
        </mc:Fallback>
      </mc:AlternateContent>
    </w:r>
    <w:r>
      <w:rPr/>
      <mc:AlternateContent>
        <mc:Choice Requires="wps">
          <w:drawing>
            <wp:anchor distT="0" distB="0" distL="0" distR="0" allowOverlap="1" layoutInCell="1" locked="0" behindDoc="1" simplePos="0" relativeHeight="473546240">
              <wp:simplePos x="0" y="0"/>
              <wp:positionH relativeFrom="page">
                <wp:posOffset>6270652</wp:posOffset>
              </wp:positionH>
              <wp:positionV relativeFrom="page">
                <wp:posOffset>9131357</wp:posOffset>
              </wp:positionV>
              <wp:extent cx="600710" cy="165735"/>
              <wp:effectExtent l="0" t="0" r="0" b="0"/>
              <wp:wrapNone/>
              <wp:docPr id="968" name="Textbox 968"/>
              <wp:cNvGraphicFramePr>
                <a:graphicFrameLocks/>
              </wp:cNvGraphicFramePr>
              <a:graphic>
                <a:graphicData uri="http://schemas.microsoft.com/office/word/2010/wordprocessingShape">
                  <wps:wsp>
                    <wps:cNvPr id="968" name="Textbox 968"/>
                    <wps:cNvSpPr txBox="1"/>
                    <wps:spPr>
                      <a:xfrm>
                        <a:off x="0" y="0"/>
                        <a:ext cx="600710" cy="165735"/>
                      </a:xfrm>
                      <a:prstGeom prst="rect">
                        <a:avLst/>
                      </a:prstGeom>
                    </wps:spPr>
                    <wps:txbx>
                      <w:txbxContent>
                        <w:p>
                          <w:pPr>
                            <w:spacing w:before="10"/>
                            <w:ind w:left="20" w:right="0" w:firstLine="0"/>
                            <w:jc w:val="left"/>
                            <w:rPr>
                              <w:b/>
                              <w:sz w:val="20"/>
                            </w:rPr>
                          </w:pPr>
                          <w:r>
                            <w:rPr>
                              <w:sz w:val="20"/>
                            </w:rPr>
                            <w:t>Page</w:t>
                          </w:r>
                          <w:r>
                            <w:rPr>
                              <w:spacing w:val="-2"/>
                              <w:sz w:val="20"/>
                            </w:rPr>
                            <w:t> </w:t>
                          </w:r>
                          <w:r>
                            <w:rPr>
                              <w:b/>
                              <w:sz w:val="20"/>
                            </w:rPr>
                            <w:fldChar w:fldCharType="begin"/>
                          </w:r>
                          <w:r>
                            <w:rPr>
                              <w:b/>
                              <w:sz w:val="20"/>
                            </w:rPr>
                            <w:instrText> PAGE </w:instrText>
                          </w:r>
                          <w:r>
                            <w:rPr>
                              <w:b/>
                              <w:sz w:val="20"/>
                            </w:rPr>
                            <w:fldChar w:fldCharType="separate"/>
                          </w:r>
                          <w:r>
                            <w:rPr>
                              <w:b/>
                              <w:sz w:val="20"/>
                            </w:rPr>
                            <w:t>2</w:t>
                          </w:r>
                          <w:r>
                            <w:rPr>
                              <w:b/>
                              <w:sz w:val="20"/>
                            </w:rPr>
                            <w:fldChar w:fldCharType="end"/>
                          </w:r>
                          <w:r>
                            <w:rPr>
                              <w:b/>
                              <w:spacing w:val="-1"/>
                              <w:sz w:val="20"/>
                            </w:rPr>
                            <w:t> </w:t>
                          </w:r>
                          <w:r>
                            <w:rPr>
                              <w:sz w:val="20"/>
                            </w:rPr>
                            <w:t>of</w:t>
                          </w:r>
                          <w:r>
                            <w:rPr>
                              <w:spacing w:val="-4"/>
                              <w:sz w:val="20"/>
                            </w:rPr>
                            <w:t> </w:t>
                          </w:r>
                          <w:r>
                            <w:rPr>
                              <w:b/>
                              <w:spacing w:val="-10"/>
                              <w:sz w:val="20"/>
                            </w:rPr>
                            <w:t>9</w:t>
                          </w:r>
                        </w:p>
                      </w:txbxContent>
                    </wps:txbx>
                    <wps:bodyPr wrap="square" lIns="0" tIns="0" rIns="0" bIns="0" rtlCol="0">
                      <a:noAutofit/>
                    </wps:bodyPr>
                  </wps:wsp>
                </a:graphicData>
              </a:graphic>
            </wp:anchor>
          </w:drawing>
        </mc:Choice>
        <mc:Fallback>
          <w:pict>
            <v:shape style="position:absolute;margin-left:493.752197pt;margin-top:719.004517pt;width:47.3pt;height:13.05pt;mso-position-horizontal-relative:page;mso-position-vertical-relative:page;z-index:-29770240" type="#_x0000_t202" id="docshape183" filled="false" stroked="false">
              <v:textbox inset="0,0,0,0">
                <w:txbxContent>
                  <w:p>
                    <w:pPr>
                      <w:spacing w:before="10"/>
                      <w:ind w:left="20" w:right="0" w:firstLine="0"/>
                      <w:jc w:val="left"/>
                      <w:rPr>
                        <w:b/>
                        <w:sz w:val="20"/>
                      </w:rPr>
                    </w:pPr>
                    <w:r>
                      <w:rPr>
                        <w:sz w:val="20"/>
                      </w:rPr>
                      <w:t>Page</w:t>
                    </w:r>
                    <w:r>
                      <w:rPr>
                        <w:spacing w:val="-2"/>
                        <w:sz w:val="20"/>
                      </w:rPr>
                      <w:t> </w:t>
                    </w:r>
                    <w:r>
                      <w:rPr>
                        <w:b/>
                        <w:sz w:val="20"/>
                      </w:rPr>
                      <w:fldChar w:fldCharType="begin"/>
                    </w:r>
                    <w:r>
                      <w:rPr>
                        <w:b/>
                        <w:sz w:val="20"/>
                      </w:rPr>
                      <w:instrText> PAGE </w:instrText>
                    </w:r>
                    <w:r>
                      <w:rPr>
                        <w:b/>
                        <w:sz w:val="20"/>
                      </w:rPr>
                      <w:fldChar w:fldCharType="separate"/>
                    </w:r>
                    <w:r>
                      <w:rPr>
                        <w:b/>
                        <w:sz w:val="20"/>
                      </w:rPr>
                      <w:t>2</w:t>
                    </w:r>
                    <w:r>
                      <w:rPr>
                        <w:b/>
                        <w:sz w:val="20"/>
                      </w:rPr>
                      <w:fldChar w:fldCharType="end"/>
                    </w:r>
                    <w:r>
                      <w:rPr>
                        <w:b/>
                        <w:spacing w:val="-1"/>
                        <w:sz w:val="20"/>
                      </w:rPr>
                      <w:t> </w:t>
                    </w:r>
                    <w:r>
                      <w:rPr>
                        <w:sz w:val="20"/>
                      </w:rPr>
                      <w:t>of</w:t>
                    </w:r>
                    <w:r>
                      <w:rPr>
                        <w:spacing w:val="-4"/>
                        <w:sz w:val="20"/>
                      </w:rPr>
                      <w:t> </w:t>
                    </w:r>
                    <w:r>
                      <w:rPr>
                        <w:b/>
                        <w:spacing w:val="-10"/>
                        <w:sz w:val="20"/>
                      </w:rPr>
                      <w:t>9</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3546752">
              <wp:simplePos x="0" y="0"/>
              <wp:positionH relativeFrom="page">
                <wp:posOffset>901573</wp:posOffset>
              </wp:positionH>
              <wp:positionV relativeFrom="page">
                <wp:posOffset>9126785</wp:posOffset>
              </wp:positionV>
              <wp:extent cx="3215005" cy="312420"/>
              <wp:effectExtent l="0" t="0" r="0" b="0"/>
              <wp:wrapNone/>
              <wp:docPr id="969" name="Textbox 969"/>
              <wp:cNvGraphicFramePr>
                <a:graphicFrameLocks/>
              </wp:cNvGraphicFramePr>
              <a:graphic>
                <a:graphicData uri="http://schemas.microsoft.com/office/word/2010/wordprocessingShape">
                  <wps:wsp>
                    <wps:cNvPr id="969" name="Textbox 969"/>
                    <wps:cNvSpPr txBox="1"/>
                    <wps:spPr>
                      <a:xfrm>
                        <a:off x="0" y="0"/>
                        <a:ext cx="3215005" cy="312420"/>
                      </a:xfrm>
                      <a:prstGeom prst="rect">
                        <a:avLst/>
                      </a:prstGeom>
                    </wps:spPr>
                    <wps:txbx>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wps:txbx>
                    <wps:bodyPr wrap="square" lIns="0" tIns="0" rIns="0" bIns="0" rtlCol="0">
                      <a:noAutofit/>
                    </wps:bodyPr>
                  </wps:wsp>
                </a:graphicData>
              </a:graphic>
            </wp:anchor>
          </w:drawing>
        </mc:Choice>
        <mc:Fallback>
          <w:pict>
            <v:shape style="position:absolute;margin-left:70.990044pt;margin-top:718.644531pt;width:253.15pt;height:24.6pt;mso-position-horizontal-relative:page;mso-position-vertical-relative:page;z-index:-29769728" type="#_x0000_t202" id="docshape184" filled="false" stroked="false">
              <v:textbox inset="0,0,0,0">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v:textbox>
              <w10:wrap type="none"/>
            </v:shape>
          </w:pict>
        </mc:Fallback>
      </mc:AlternateContent>
    </w:r>
    <w:r>
      <w:rPr/>
      <mc:AlternateContent>
        <mc:Choice Requires="wps">
          <w:drawing>
            <wp:anchor distT="0" distB="0" distL="0" distR="0" allowOverlap="1" layoutInCell="1" locked="0" behindDoc="1" simplePos="0" relativeHeight="473547264">
              <wp:simplePos x="0" y="0"/>
              <wp:positionH relativeFrom="page">
                <wp:posOffset>6270652</wp:posOffset>
              </wp:positionH>
              <wp:positionV relativeFrom="page">
                <wp:posOffset>9126785</wp:posOffset>
              </wp:positionV>
              <wp:extent cx="600710" cy="165735"/>
              <wp:effectExtent l="0" t="0" r="0" b="0"/>
              <wp:wrapNone/>
              <wp:docPr id="970" name="Textbox 970"/>
              <wp:cNvGraphicFramePr>
                <a:graphicFrameLocks/>
              </wp:cNvGraphicFramePr>
              <a:graphic>
                <a:graphicData uri="http://schemas.microsoft.com/office/word/2010/wordprocessingShape">
                  <wps:wsp>
                    <wps:cNvPr id="970" name="Textbox 970"/>
                    <wps:cNvSpPr txBox="1"/>
                    <wps:spPr>
                      <a:xfrm>
                        <a:off x="0" y="0"/>
                        <a:ext cx="600710" cy="165735"/>
                      </a:xfrm>
                      <a:prstGeom prst="rect">
                        <a:avLst/>
                      </a:prstGeom>
                    </wps:spPr>
                    <wps:txbx>
                      <w:txbxContent>
                        <w:p>
                          <w:pPr>
                            <w:spacing w:before="10"/>
                            <w:ind w:left="20" w:right="0" w:firstLine="0"/>
                            <w:jc w:val="left"/>
                            <w:rPr>
                              <w:b/>
                              <w:sz w:val="20"/>
                            </w:rPr>
                          </w:pPr>
                          <w:r>
                            <w:rPr>
                              <w:sz w:val="20"/>
                            </w:rPr>
                            <w:t>Page</w:t>
                          </w:r>
                          <w:r>
                            <w:rPr>
                              <w:spacing w:val="-2"/>
                              <w:sz w:val="20"/>
                            </w:rPr>
                            <w:t> </w:t>
                          </w:r>
                          <w:r>
                            <w:rPr>
                              <w:b/>
                              <w:sz w:val="20"/>
                            </w:rPr>
                            <w:t>1</w:t>
                          </w:r>
                          <w:r>
                            <w:rPr>
                              <w:b/>
                              <w:spacing w:val="-1"/>
                              <w:sz w:val="20"/>
                            </w:rPr>
                            <w:t> </w:t>
                          </w:r>
                          <w:r>
                            <w:rPr>
                              <w:sz w:val="20"/>
                            </w:rPr>
                            <w:t>of</w:t>
                          </w:r>
                          <w:r>
                            <w:rPr>
                              <w:spacing w:val="-4"/>
                              <w:sz w:val="20"/>
                            </w:rPr>
                            <w:t> </w:t>
                          </w:r>
                          <w:r>
                            <w:rPr>
                              <w:b/>
                              <w:spacing w:val="-10"/>
                              <w:sz w:val="20"/>
                            </w:rPr>
                            <w:t>1</w:t>
                          </w:r>
                        </w:p>
                      </w:txbxContent>
                    </wps:txbx>
                    <wps:bodyPr wrap="square" lIns="0" tIns="0" rIns="0" bIns="0" rtlCol="0">
                      <a:noAutofit/>
                    </wps:bodyPr>
                  </wps:wsp>
                </a:graphicData>
              </a:graphic>
            </wp:anchor>
          </w:drawing>
        </mc:Choice>
        <mc:Fallback>
          <w:pict>
            <v:shape style="position:absolute;margin-left:493.752197pt;margin-top:718.644531pt;width:47.3pt;height:13.05pt;mso-position-horizontal-relative:page;mso-position-vertical-relative:page;z-index:-29769216" type="#_x0000_t202" id="docshape185" filled="false" stroked="false">
              <v:textbox inset="0,0,0,0">
                <w:txbxContent>
                  <w:p>
                    <w:pPr>
                      <w:spacing w:before="10"/>
                      <w:ind w:left="20" w:right="0" w:firstLine="0"/>
                      <w:jc w:val="left"/>
                      <w:rPr>
                        <w:b/>
                        <w:sz w:val="20"/>
                      </w:rPr>
                    </w:pPr>
                    <w:r>
                      <w:rPr>
                        <w:sz w:val="20"/>
                      </w:rPr>
                      <w:t>Page</w:t>
                    </w:r>
                    <w:r>
                      <w:rPr>
                        <w:spacing w:val="-2"/>
                        <w:sz w:val="20"/>
                      </w:rPr>
                      <w:t> </w:t>
                    </w:r>
                    <w:r>
                      <w:rPr>
                        <w:b/>
                        <w:sz w:val="20"/>
                      </w:rPr>
                      <w:t>1</w:t>
                    </w:r>
                    <w:r>
                      <w:rPr>
                        <w:b/>
                        <w:spacing w:val="-1"/>
                        <w:sz w:val="20"/>
                      </w:rPr>
                      <w:t> </w:t>
                    </w:r>
                    <w:r>
                      <w:rPr>
                        <w:sz w:val="20"/>
                      </w:rPr>
                      <w:t>of</w:t>
                    </w:r>
                    <w:r>
                      <w:rPr>
                        <w:spacing w:val="-4"/>
                        <w:sz w:val="20"/>
                      </w:rPr>
                      <w:t> </w:t>
                    </w:r>
                    <w:r>
                      <w:rPr>
                        <w:b/>
                        <w:spacing w:val="-10"/>
                        <w:sz w:val="20"/>
                      </w:rPr>
                      <w:t>1</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3527296">
              <wp:simplePos x="0" y="0"/>
              <wp:positionH relativeFrom="page">
                <wp:posOffset>901700</wp:posOffset>
              </wp:positionH>
              <wp:positionV relativeFrom="page">
                <wp:posOffset>6869794</wp:posOffset>
              </wp:positionV>
              <wp:extent cx="3215005" cy="31242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3215005" cy="312420"/>
                      </a:xfrm>
                      <a:prstGeom prst="rect">
                        <a:avLst/>
                      </a:prstGeom>
                    </wps:spPr>
                    <wps:txbx>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wps:txbx>
                    <wps:bodyPr wrap="square" lIns="0" tIns="0" rIns="0" bIns="0" rtlCol="0">
                      <a:noAutofit/>
                    </wps:bodyPr>
                  </wps:wsp>
                </a:graphicData>
              </a:graphic>
            </wp:anchor>
          </w:drawing>
        </mc:Choice>
        <mc:Fallback>
          <w:pict>
            <v:shape style="position:absolute;margin-left:71pt;margin-top:540.928711pt;width:253.15pt;height:24.6pt;mso-position-horizontal-relative:page;mso-position-vertical-relative:page;z-index:-29789184" type="#_x0000_t202" id="docshape13" filled="false" stroked="false">
              <v:textbox inset="0,0,0,0">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v:textbox>
              <w10:wrap type="none"/>
            </v:shape>
          </w:pict>
        </mc:Fallback>
      </mc:AlternateContent>
    </w:r>
    <w:r>
      <w:rPr/>
      <mc:AlternateContent>
        <mc:Choice Requires="wps">
          <w:drawing>
            <wp:anchor distT="0" distB="0" distL="0" distR="0" allowOverlap="1" layoutInCell="1" locked="0" behindDoc="1" simplePos="0" relativeHeight="473527808">
              <wp:simplePos x="0" y="0"/>
              <wp:positionH relativeFrom="page">
                <wp:posOffset>6439899</wp:posOffset>
              </wp:positionH>
              <wp:positionV relativeFrom="page">
                <wp:posOffset>6869794</wp:posOffset>
              </wp:positionV>
              <wp:extent cx="470534" cy="165735"/>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470534" cy="165735"/>
                      </a:xfrm>
                      <a:prstGeom prst="rect">
                        <a:avLst/>
                      </a:prstGeom>
                    </wps:spPr>
                    <wps:txbx>
                      <w:txbxContent>
                        <w:p>
                          <w:pPr>
                            <w:spacing w:before="10"/>
                            <w:ind w:left="20" w:right="0" w:firstLine="0"/>
                            <w:jc w:val="left"/>
                            <w:rPr>
                              <w:sz w:val="20"/>
                            </w:rPr>
                          </w:pPr>
                          <w:r>
                            <w:rPr>
                              <w:sz w:val="20"/>
                            </w:rPr>
                            <w:t>Page</w:t>
                          </w:r>
                          <w:r>
                            <w:rPr>
                              <w:spacing w:val="-4"/>
                              <w:sz w:val="20"/>
                            </w:rPr>
                            <w:t> </w:t>
                          </w:r>
                          <w:r>
                            <w:rPr>
                              <w:spacing w:val="-5"/>
                              <w:sz w:val="20"/>
                            </w:rPr>
                            <w:fldChar w:fldCharType="begin"/>
                          </w:r>
                          <w:r>
                            <w:rPr>
                              <w:spacing w:val="-5"/>
                              <w:sz w:val="20"/>
                            </w:rPr>
                            <w:instrText> PAGE </w:instrText>
                          </w:r>
                          <w:r>
                            <w:rPr>
                              <w:spacing w:val="-5"/>
                              <w:sz w:val="20"/>
                            </w:rPr>
                            <w:fldChar w:fldCharType="separate"/>
                          </w:r>
                          <w:r>
                            <w:rPr>
                              <w:spacing w:val="-5"/>
                              <w:sz w:val="20"/>
                            </w:rPr>
                            <w:t>17</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507.078674pt;margin-top:540.928711pt;width:37.050pt;height:13.05pt;mso-position-horizontal-relative:page;mso-position-vertical-relative:page;z-index:-29788672" type="#_x0000_t202" id="docshape14" filled="false" stroked="false">
              <v:textbox inset="0,0,0,0">
                <w:txbxContent>
                  <w:p>
                    <w:pPr>
                      <w:spacing w:before="10"/>
                      <w:ind w:left="20" w:right="0" w:firstLine="0"/>
                      <w:jc w:val="left"/>
                      <w:rPr>
                        <w:sz w:val="20"/>
                      </w:rPr>
                    </w:pPr>
                    <w:r>
                      <w:rPr>
                        <w:sz w:val="20"/>
                      </w:rPr>
                      <w:t>Page</w:t>
                    </w:r>
                    <w:r>
                      <w:rPr>
                        <w:spacing w:val="-4"/>
                        <w:sz w:val="20"/>
                      </w:rPr>
                      <w:t> </w:t>
                    </w:r>
                    <w:r>
                      <w:rPr>
                        <w:spacing w:val="-5"/>
                        <w:sz w:val="20"/>
                      </w:rPr>
                      <w:fldChar w:fldCharType="begin"/>
                    </w:r>
                    <w:r>
                      <w:rPr>
                        <w:spacing w:val="-5"/>
                        <w:sz w:val="20"/>
                      </w:rPr>
                      <w:instrText> PAGE </w:instrText>
                    </w:r>
                    <w:r>
                      <w:rPr>
                        <w:spacing w:val="-5"/>
                        <w:sz w:val="20"/>
                      </w:rPr>
                      <w:fldChar w:fldCharType="separate"/>
                    </w:r>
                    <w:r>
                      <w:rPr>
                        <w:spacing w:val="-5"/>
                        <w:sz w:val="20"/>
                      </w:rPr>
                      <w:t>17</w:t>
                    </w:r>
                    <w:r>
                      <w:rPr>
                        <w:spacing w:val="-5"/>
                        <w:sz w:val="20"/>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3528320">
              <wp:simplePos x="0" y="0"/>
              <wp:positionH relativeFrom="page">
                <wp:posOffset>901700</wp:posOffset>
              </wp:positionH>
              <wp:positionV relativeFrom="page">
                <wp:posOffset>9155794</wp:posOffset>
              </wp:positionV>
              <wp:extent cx="3215005" cy="31242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3215005" cy="312420"/>
                      </a:xfrm>
                      <a:prstGeom prst="rect">
                        <a:avLst/>
                      </a:prstGeom>
                    </wps:spPr>
                    <wps:txbx>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wps:txbx>
                    <wps:bodyPr wrap="square" lIns="0" tIns="0" rIns="0" bIns="0" rtlCol="0">
                      <a:noAutofit/>
                    </wps:bodyPr>
                  </wps:wsp>
                </a:graphicData>
              </a:graphic>
            </wp:anchor>
          </w:drawing>
        </mc:Choice>
        <mc:Fallback>
          <w:pict>
            <v:shape style="position:absolute;margin-left:71pt;margin-top:720.928711pt;width:253.15pt;height:24.6pt;mso-position-horizontal-relative:page;mso-position-vertical-relative:page;z-index:-29788160" type="#_x0000_t202" id="docshape15" filled="false" stroked="false">
              <v:textbox inset="0,0,0,0">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v:textbox>
              <w10:wrap type="none"/>
            </v:shape>
          </w:pict>
        </mc:Fallback>
      </mc:AlternateContent>
    </w:r>
    <w:r>
      <w:rPr/>
      <mc:AlternateContent>
        <mc:Choice Requires="wps">
          <w:drawing>
            <wp:anchor distT="0" distB="0" distL="0" distR="0" allowOverlap="1" layoutInCell="1" locked="0" behindDoc="1" simplePos="0" relativeHeight="473528832">
              <wp:simplePos x="0" y="0"/>
              <wp:positionH relativeFrom="page">
                <wp:posOffset>6375894</wp:posOffset>
              </wp:positionH>
              <wp:positionV relativeFrom="page">
                <wp:posOffset>9155794</wp:posOffset>
              </wp:positionV>
              <wp:extent cx="534670" cy="165735"/>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534670" cy="165735"/>
                      </a:xfrm>
                      <a:prstGeom prst="rect">
                        <a:avLst/>
                      </a:prstGeom>
                    </wps:spPr>
                    <wps:txbx>
                      <w:txbxContent>
                        <w:p>
                          <w:pPr>
                            <w:spacing w:before="10"/>
                            <w:ind w:left="20" w:right="0" w:firstLine="0"/>
                            <w:jc w:val="left"/>
                            <w:rPr>
                              <w:sz w:val="20"/>
                            </w:rPr>
                          </w:pPr>
                          <w:r>
                            <w:rPr>
                              <w:sz w:val="20"/>
                            </w:rPr>
                            <w:t>Page</w:t>
                          </w:r>
                          <w:r>
                            <w:rPr>
                              <w:spacing w:val="-4"/>
                              <w:sz w:val="20"/>
                            </w:rPr>
                            <w:t> </w:t>
                          </w:r>
                          <w:r>
                            <w:rPr>
                              <w:spacing w:val="-5"/>
                              <w:sz w:val="20"/>
                            </w:rPr>
                            <w:fldChar w:fldCharType="begin"/>
                          </w:r>
                          <w:r>
                            <w:rPr>
                              <w:spacing w:val="-5"/>
                              <w:sz w:val="20"/>
                            </w:rPr>
                            <w:instrText> PAGE </w:instrText>
                          </w:r>
                          <w:r>
                            <w:rPr>
                              <w:spacing w:val="-5"/>
                              <w:sz w:val="20"/>
                            </w:rPr>
                            <w:fldChar w:fldCharType="separate"/>
                          </w:r>
                          <w:r>
                            <w:rPr>
                              <w:spacing w:val="-5"/>
                              <w:sz w:val="20"/>
                            </w:rPr>
                            <w:t>100</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502.03891pt;margin-top:720.928711pt;width:42.1pt;height:13.05pt;mso-position-horizontal-relative:page;mso-position-vertical-relative:page;z-index:-29787648" type="#_x0000_t202" id="docshape16" filled="false" stroked="false">
              <v:textbox inset="0,0,0,0">
                <w:txbxContent>
                  <w:p>
                    <w:pPr>
                      <w:spacing w:before="10"/>
                      <w:ind w:left="20" w:right="0" w:firstLine="0"/>
                      <w:jc w:val="left"/>
                      <w:rPr>
                        <w:sz w:val="20"/>
                      </w:rPr>
                    </w:pPr>
                    <w:r>
                      <w:rPr>
                        <w:sz w:val="20"/>
                      </w:rPr>
                      <w:t>Page</w:t>
                    </w:r>
                    <w:r>
                      <w:rPr>
                        <w:spacing w:val="-4"/>
                        <w:sz w:val="20"/>
                      </w:rPr>
                      <w:t> </w:t>
                    </w:r>
                    <w:r>
                      <w:rPr>
                        <w:spacing w:val="-5"/>
                        <w:sz w:val="20"/>
                      </w:rPr>
                      <w:fldChar w:fldCharType="begin"/>
                    </w:r>
                    <w:r>
                      <w:rPr>
                        <w:spacing w:val="-5"/>
                        <w:sz w:val="20"/>
                      </w:rPr>
                      <w:instrText> PAGE </w:instrText>
                    </w:r>
                    <w:r>
                      <w:rPr>
                        <w:spacing w:val="-5"/>
                        <w:sz w:val="20"/>
                      </w:rPr>
                      <w:fldChar w:fldCharType="separate"/>
                    </w:r>
                    <w:r>
                      <w:rPr>
                        <w:spacing w:val="-5"/>
                        <w:sz w:val="20"/>
                      </w:rPr>
                      <w:t>100</w:t>
                    </w:r>
                    <w:r>
                      <w:rPr>
                        <w:spacing w:val="-5"/>
                        <w:sz w:val="20"/>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3529344">
              <wp:simplePos x="0" y="0"/>
              <wp:positionH relativeFrom="page">
                <wp:posOffset>901700</wp:posOffset>
              </wp:positionH>
              <wp:positionV relativeFrom="page">
                <wp:posOffset>6869794</wp:posOffset>
              </wp:positionV>
              <wp:extent cx="3215005" cy="312420"/>
              <wp:effectExtent l="0" t="0" r="0" b="0"/>
              <wp:wrapNone/>
              <wp:docPr id="719" name="Textbox 719"/>
              <wp:cNvGraphicFramePr>
                <a:graphicFrameLocks/>
              </wp:cNvGraphicFramePr>
              <a:graphic>
                <a:graphicData uri="http://schemas.microsoft.com/office/word/2010/wordprocessingShape">
                  <wps:wsp>
                    <wps:cNvPr id="719" name="Textbox 719"/>
                    <wps:cNvSpPr txBox="1"/>
                    <wps:spPr>
                      <a:xfrm>
                        <a:off x="0" y="0"/>
                        <a:ext cx="3215005" cy="312420"/>
                      </a:xfrm>
                      <a:prstGeom prst="rect">
                        <a:avLst/>
                      </a:prstGeom>
                    </wps:spPr>
                    <wps:txbx>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wps:txbx>
                    <wps:bodyPr wrap="square" lIns="0" tIns="0" rIns="0" bIns="0" rtlCol="0">
                      <a:noAutofit/>
                    </wps:bodyPr>
                  </wps:wsp>
                </a:graphicData>
              </a:graphic>
            </wp:anchor>
          </w:drawing>
        </mc:Choice>
        <mc:Fallback>
          <w:pict>
            <v:shape style="position:absolute;margin-left:71pt;margin-top:540.928711pt;width:253.15pt;height:24.6pt;mso-position-horizontal-relative:page;mso-position-vertical-relative:page;z-index:-29787136" type="#_x0000_t202" id="docshape24" filled="false" stroked="false">
              <v:textbox inset="0,0,0,0">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v:textbox>
              <w10:wrap type="none"/>
            </v:shape>
          </w:pict>
        </mc:Fallback>
      </mc:AlternateContent>
    </w:r>
    <w:r>
      <w:rPr/>
      <mc:AlternateContent>
        <mc:Choice Requires="wps">
          <w:drawing>
            <wp:anchor distT="0" distB="0" distL="0" distR="0" allowOverlap="1" layoutInCell="1" locked="0" behindDoc="1" simplePos="0" relativeHeight="473529856">
              <wp:simplePos x="0" y="0"/>
              <wp:positionH relativeFrom="page">
                <wp:posOffset>6375894</wp:posOffset>
              </wp:positionH>
              <wp:positionV relativeFrom="page">
                <wp:posOffset>6869794</wp:posOffset>
              </wp:positionV>
              <wp:extent cx="534670" cy="165735"/>
              <wp:effectExtent l="0" t="0" r="0" b="0"/>
              <wp:wrapNone/>
              <wp:docPr id="720" name="Textbox 720"/>
              <wp:cNvGraphicFramePr>
                <a:graphicFrameLocks/>
              </wp:cNvGraphicFramePr>
              <a:graphic>
                <a:graphicData uri="http://schemas.microsoft.com/office/word/2010/wordprocessingShape">
                  <wps:wsp>
                    <wps:cNvPr id="720" name="Textbox 720"/>
                    <wps:cNvSpPr txBox="1"/>
                    <wps:spPr>
                      <a:xfrm>
                        <a:off x="0" y="0"/>
                        <a:ext cx="534670" cy="165735"/>
                      </a:xfrm>
                      <a:prstGeom prst="rect">
                        <a:avLst/>
                      </a:prstGeom>
                    </wps:spPr>
                    <wps:txbx>
                      <w:txbxContent>
                        <w:p>
                          <w:pPr>
                            <w:spacing w:before="10"/>
                            <w:ind w:left="20" w:right="0" w:firstLine="0"/>
                            <w:jc w:val="left"/>
                            <w:rPr>
                              <w:sz w:val="20"/>
                            </w:rPr>
                          </w:pPr>
                          <w:r>
                            <w:rPr>
                              <w:sz w:val="20"/>
                            </w:rPr>
                            <w:t>Page</w:t>
                          </w:r>
                          <w:r>
                            <w:rPr>
                              <w:spacing w:val="-4"/>
                              <w:sz w:val="20"/>
                            </w:rPr>
                            <w:t> </w:t>
                          </w:r>
                          <w:r>
                            <w:rPr>
                              <w:spacing w:val="-5"/>
                              <w:sz w:val="20"/>
                            </w:rPr>
                            <w:fldChar w:fldCharType="begin"/>
                          </w:r>
                          <w:r>
                            <w:rPr>
                              <w:spacing w:val="-5"/>
                              <w:sz w:val="20"/>
                            </w:rPr>
                            <w:instrText> PAGE </w:instrText>
                          </w:r>
                          <w:r>
                            <w:rPr>
                              <w:spacing w:val="-5"/>
                              <w:sz w:val="20"/>
                            </w:rPr>
                            <w:fldChar w:fldCharType="separate"/>
                          </w:r>
                          <w:r>
                            <w:rPr>
                              <w:spacing w:val="-5"/>
                              <w:sz w:val="20"/>
                            </w:rPr>
                            <w:t>149</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502.03891pt;margin-top:540.928711pt;width:42.1pt;height:13.05pt;mso-position-horizontal-relative:page;mso-position-vertical-relative:page;z-index:-29786624" type="#_x0000_t202" id="docshape25" filled="false" stroked="false">
              <v:textbox inset="0,0,0,0">
                <w:txbxContent>
                  <w:p>
                    <w:pPr>
                      <w:spacing w:before="10"/>
                      <w:ind w:left="20" w:right="0" w:firstLine="0"/>
                      <w:jc w:val="left"/>
                      <w:rPr>
                        <w:sz w:val="20"/>
                      </w:rPr>
                    </w:pPr>
                    <w:r>
                      <w:rPr>
                        <w:sz w:val="20"/>
                      </w:rPr>
                      <w:t>Page</w:t>
                    </w:r>
                    <w:r>
                      <w:rPr>
                        <w:spacing w:val="-4"/>
                        <w:sz w:val="20"/>
                      </w:rPr>
                      <w:t> </w:t>
                    </w:r>
                    <w:r>
                      <w:rPr>
                        <w:spacing w:val="-5"/>
                        <w:sz w:val="20"/>
                      </w:rPr>
                      <w:fldChar w:fldCharType="begin"/>
                    </w:r>
                    <w:r>
                      <w:rPr>
                        <w:spacing w:val="-5"/>
                        <w:sz w:val="20"/>
                      </w:rPr>
                      <w:instrText> PAGE </w:instrText>
                    </w:r>
                    <w:r>
                      <w:rPr>
                        <w:spacing w:val="-5"/>
                        <w:sz w:val="20"/>
                      </w:rPr>
                      <w:fldChar w:fldCharType="separate"/>
                    </w:r>
                    <w:r>
                      <w:rPr>
                        <w:spacing w:val="-5"/>
                        <w:sz w:val="20"/>
                      </w:rPr>
                      <w:t>149</w:t>
                    </w:r>
                    <w:r>
                      <w:rPr>
                        <w:spacing w:val="-5"/>
                        <w:sz w:val="20"/>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3530368">
              <wp:simplePos x="0" y="0"/>
              <wp:positionH relativeFrom="page">
                <wp:posOffset>901700</wp:posOffset>
              </wp:positionH>
              <wp:positionV relativeFrom="page">
                <wp:posOffset>9155794</wp:posOffset>
              </wp:positionV>
              <wp:extent cx="3215005" cy="312420"/>
              <wp:effectExtent l="0" t="0" r="0" b="0"/>
              <wp:wrapNone/>
              <wp:docPr id="721" name="Textbox 721"/>
              <wp:cNvGraphicFramePr>
                <a:graphicFrameLocks/>
              </wp:cNvGraphicFramePr>
              <a:graphic>
                <a:graphicData uri="http://schemas.microsoft.com/office/word/2010/wordprocessingShape">
                  <wps:wsp>
                    <wps:cNvPr id="721" name="Textbox 721"/>
                    <wps:cNvSpPr txBox="1"/>
                    <wps:spPr>
                      <a:xfrm>
                        <a:off x="0" y="0"/>
                        <a:ext cx="3215005" cy="312420"/>
                      </a:xfrm>
                      <a:prstGeom prst="rect">
                        <a:avLst/>
                      </a:prstGeom>
                    </wps:spPr>
                    <wps:txbx>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wps:txbx>
                    <wps:bodyPr wrap="square" lIns="0" tIns="0" rIns="0" bIns="0" rtlCol="0">
                      <a:noAutofit/>
                    </wps:bodyPr>
                  </wps:wsp>
                </a:graphicData>
              </a:graphic>
            </wp:anchor>
          </w:drawing>
        </mc:Choice>
        <mc:Fallback>
          <w:pict>
            <v:shape style="position:absolute;margin-left:71pt;margin-top:720.928711pt;width:253.15pt;height:24.6pt;mso-position-horizontal-relative:page;mso-position-vertical-relative:page;z-index:-29786112" type="#_x0000_t202" id="docshape26" filled="false" stroked="false">
              <v:textbox inset="0,0,0,0">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v:textbox>
              <w10:wrap type="none"/>
            </v:shape>
          </w:pict>
        </mc:Fallback>
      </mc:AlternateContent>
    </w:r>
    <w:r>
      <w:rPr/>
      <mc:AlternateContent>
        <mc:Choice Requires="wps">
          <w:drawing>
            <wp:anchor distT="0" distB="0" distL="0" distR="0" allowOverlap="1" layoutInCell="1" locked="0" behindDoc="1" simplePos="0" relativeHeight="473530880">
              <wp:simplePos x="0" y="0"/>
              <wp:positionH relativeFrom="page">
                <wp:posOffset>6375894</wp:posOffset>
              </wp:positionH>
              <wp:positionV relativeFrom="page">
                <wp:posOffset>9155794</wp:posOffset>
              </wp:positionV>
              <wp:extent cx="534670" cy="165735"/>
              <wp:effectExtent l="0" t="0" r="0" b="0"/>
              <wp:wrapNone/>
              <wp:docPr id="722" name="Textbox 722"/>
              <wp:cNvGraphicFramePr>
                <a:graphicFrameLocks/>
              </wp:cNvGraphicFramePr>
              <a:graphic>
                <a:graphicData uri="http://schemas.microsoft.com/office/word/2010/wordprocessingShape">
                  <wps:wsp>
                    <wps:cNvPr id="722" name="Textbox 722"/>
                    <wps:cNvSpPr txBox="1"/>
                    <wps:spPr>
                      <a:xfrm>
                        <a:off x="0" y="0"/>
                        <a:ext cx="534670" cy="165735"/>
                      </a:xfrm>
                      <a:prstGeom prst="rect">
                        <a:avLst/>
                      </a:prstGeom>
                    </wps:spPr>
                    <wps:txbx>
                      <w:txbxContent>
                        <w:p>
                          <w:pPr>
                            <w:spacing w:before="10"/>
                            <w:ind w:left="20" w:right="0" w:firstLine="0"/>
                            <w:jc w:val="left"/>
                            <w:rPr>
                              <w:sz w:val="20"/>
                            </w:rPr>
                          </w:pPr>
                          <w:r>
                            <w:rPr>
                              <w:sz w:val="20"/>
                            </w:rPr>
                            <w:t>Page</w:t>
                          </w:r>
                          <w:r>
                            <w:rPr>
                              <w:spacing w:val="-4"/>
                              <w:sz w:val="20"/>
                            </w:rPr>
                            <w:t> </w:t>
                          </w:r>
                          <w:r>
                            <w:rPr>
                              <w:spacing w:val="-5"/>
                              <w:sz w:val="20"/>
                            </w:rPr>
                            <w:fldChar w:fldCharType="begin"/>
                          </w:r>
                          <w:r>
                            <w:rPr>
                              <w:spacing w:val="-5"/>
                              <w:sz w:val="20"/>
                            </w:rPr>
                            <w:instrText> PAGE </w:instrText>
                          </w:r>
                          <w:r>
                            <w:rPr>
                              <w:spacing w:val="-5"/>
                              <w:sz w:val="20"/>
                            </w:rPr>
                            <w:fldChar w:fldCharType="separate"/>
                          </w:r>
                          <w:r>
                            <w:rPr>
                              <w:spacing w:val="-5"/>
                              <w:sz w:val="20"/>
                            </w:rPr>
                            <w:t>155</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502.03891pt;margin-top:720.928711pt;width:42.1pt;height:13.05pt;mso-position-horizontal-relative:page;mso-position-vertical-relative:page;z-index:-29785600" type="#_x0000_t202" id="docshape27" filled="false" stroked="false">
              <v:textbox inset="0,0,0,0">
                <w:txbxContent>
                  <w:p>
                    <w:pPr>
                      <w:spacing w:before="10"/>
                      <w:ind w:left="20" w:right="0" w:firstLine="0"/>
                      <w:jc w:val="left"/>
                      <w:rPr>
                        <w:sz w:val="20"/>
                      </w:rPr>
                    </w:pPr>
                    <w:r>
                      <w:rPr>
                        <w:sz w:val="20"/>
                      </w:rPr>
                      <w:t>Page</w:t>
                    </w:r>
                    <w:r>
                      <w:rPr>
                        <w:spacing w:val="-4"/>
                        <w:sz w:val="20"/>
                      </w:rPr>
                      <w:t> </w:t>
                    </w:r>
                    <w:r>
                      <w:rPr>
                        <w:spacing w:val="-5"/>
                        <w:sz w:val="20"/>
                      </w:rPr>
                      <w:fldChar w:fldCharType="begin"/>
                    </w:r>
                    <w:r>
                      <w:rPr>
                        <w:spacing w:val="-5"/>
                        <w:sz w:val="20"/>
                      </w:rPr>
                      <w:instrText> PAGE </w:instrText>
                    </w:r>
                    <w:r>
                      <w:rPr>
                        <w:spacing w:val="-5"/>
                        <w:sz w:val="20"/>
                      </w:rPr>
                      <w:fldChar w:fldCharType="separate"/>
                    </w:r>
                    <w:r>
                      <w:rPr>
                        <w:spacing w:val="-5"/>
                        <w:sz w:val="20"/>
                      </w:rPr>
                      <w:t>155</w:t>
                    </w:r>
                    <w:r>
                      <w:rPr>
                        <w:spacing w:val="-5"/>
                        <w:sz w:val="20"/>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3531392">
              <wp:simplePos x="0" y="0"/>
              <wp:positionH relativeFrom="page">
                <wp:posOffset>673100</wp:posOffset>
              </wp:positionH>
              <wp:positionV relativeFrom="page">
                <wp:posOffset>6869794</wp:posOffset>
              </wp:positionV>
              <wp:extent cx="3215005" cy="312420"/>
              <wp:effectExtent l="0" t="0" r="0" b="0"/>
              <wp:wrapNone/>
              <wp:docPr id="737" name="Textbox 737"/>
              <wp:cNvGraphicFramePr>
                <a:graphicFrameLocks/>
              </wp:cNvGraphicFramePr>
              <a:graphic>
                <a:graphicData uri="http://schemas.microsoft.com/office/word/2010/wordprocessingShape">
                  <wps:wsp>
                    <wps:cNvPr id="737" name="Textbox 737"/>
                    <wps:cNvSpPr txBox="1"/>
                    <wps:spPr>
                      <a:xfrm>
                        <a:off x="0" y="0"/>
                        <a:ext cx="3215005" cy="312420"/>
                      </a:xfrm>
                      <a:prstGeom prst="rect">
                        <a:avLst/>
                      </a:prstGeom>
                    </wps:spPr>
                    <wps:txbx>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wps:txbx>
                    <wps:bodyPr wrap="square" lIns="0" tIns="0" rIns="0" bIns="0" rtlCol="0">
                      <a:noAutofit/>
                    </wps:bodyPr>
                  </wps:wsp>
                </a:graphicData>
              </a:graphic>
            </wp:anchor>
          </w:drawing>
        </mc:Choice>
        <mc:Fallback>
          <w:pict>
            <v:shape style="position:absolute;margin-left:53pt;margin-top:540.928711pt;width:253.15pt;height:24.6pt;mso-position-horizontal-relative:page;mso-position-vertical-relative:page;z-index:-29785088" type="#_x0000_t202" id="docshape28" filled="false" stroked="false">
              <v:textbox inset="0,0,0,0">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v:textbox>
              <w10:wrap type="none"/>
            </v:shape>
          </w:pict>
        </mc:Fallback>
      </mc:AlternateContent>
    </w:r>
    <w:r>
      <w:rPr/>
      <mc:AlternateContent>
        <mc:Choice Requires="wps">
          <w:drawing>
            <wp:anchor distT="0" distB="0" distL="0" distR="0" allowOverlap="1" layoutInCell="1" locked="0" behindDoc="1" simplePos="0" relativeHeight="473531904">
              <wp:simplePos x="0" y="0"/>
              <wp:positionH relativeFrom="page">
                <wp:posOffset>6147294</wp:posOffset>
              </wp:positionH>
              <wp:positionV relativeFrom="page">
                <wp:posOffset>6869794</wp:posOffset>
              </wp:positionV>
              <wp:extent cx="534670" cy="165735"/>
              <wp:effectExtent l="0" t="0" r="0" b="0"/>
              <wp:wrapNone/>
              <wp:docPr id="738" name="Textbox 738"/>
              <wp:cNvGraphicFramePr>
                <a:graphicFrameLocks/>
              </wp:cNvGraphicFramePr>
              <a:graphic>
                <a:graphicData uri="http://schemas.microsoft.com/office/word/2010/wordprocessingShape">
                  <wps:wsp>
                    <wps:cNvPr id="738" name="Textbox 738"/>
                    <wps:cNvSpPr txBox="1"/>
                    <wps:spPr>
                      <a:xfrm>
                        <a:off x="0" y="0"/>
                        <a:ext cx="534670" cy="165735"/>
                      </a:xfrm>
                      <a:prstGeom prst="rect">
                        <a:avLst/>
                      </a:prstGeom>
                    </wps:spPr>
                    <wps:txbx>
                      <w:txbxContent>
                        <w:p>
                          <w:pPr>
                            <w:spacing w:before="10"/>
                            <w:ind w:left="20" w:right="0" w:firstLine="0"/>
                            <w:jc w:val="left"/>
                            <w:rPr>
                              <w:sz w:val="20"/>
                            </w:rPr>
                          </w:pPr>
                          <w:r>
                            <w:rPr>
                              <w:sz w:val="20"/>
                            </w:rPr>
                            <w:t>Page</w:t>
                          </w:r>
                          <w:r>
                            <w:rPr>
                              <w:spacing w:val="-4"/>
                              <w:sz w:val="20"/>
                            </w:rPr>
                            <w:t> </w:t>
                          </w:r>
                          <w:r>
                            <w:rPr>
                              <w:spacing w:val="-5"/>
                              <w:sz w:val="20"/>
                            </w:rPr>
                            <w:fldChar w:fldCharType="begin"/>
                          </w:r>
                          <w:r>
                            <w:rPr>
                              <w:spacing w:val="-5"/>
                              <w:sz w:val="20"/>
                            </w:rPr>
                            <w:instrText> PAGE </w:instrText>
                          </w:r>
                          <w:r>
                            <w:rPr>
                              <w:spacing w:val="-5"/>
                              <w:sz w:val="20"/>
                            </w:rPr>
                            <w:fldChar w:fldCharType="separate"/>
                          </w:r>
                          <w:r>
                            <w:rPr>
                              <w:spacing w:val="-5"/>
                              <w:sz w:val="20"/>
                            </w:rPr>
                            <w:t>158</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484.03891pt;margin-top:540.928711pt;width:42.1pt;height:13.05pt;mso-position-horizontal-relative:page;mso-position-vertical-relative:page;z-index:-29784576" type="#_x0000_t202" id="docshape29" filled="false" stroked="false">
              <v:textbox inset="0,0,0,0">
                <w:txbxContent>
                  <w:p>
                    <w:pPr>
                      <w:spacing w:before="10"/>
                      <w:ind w:left="20" w:right="0" w:firstLine="0"/>
                      <w:jc w:val="left"/>
                      <w:rPr>
                        <w:sz w:val="20"/>
                      </w:rPr>
                    </w:pPr>
                    <w:r>
                      <w:rPr>
                        <w:sz w:val="20"/>
                      </w:rPr>
                      <w:t>Page</w:t>
                    </w:r>
                    <w:r>
                      <w:rPr>
                        <w:spacing w:val="-4"/>
                        <w:sz w:val="20"/>
                      </w:rPr>
                      <w:t> </w:t>
                    </w:r>
                    <w:r>
                      <w:rPr>
                        <w:spacing w:val="-5"/>
                        <w:sz w:val="20"/>
                      </w:rPr>
                      <w:fldChar w:fldCharType="begin"/>
                    </w:r>
                    <w:r>
                      <w:rPr>
                        <w:spacing w:val="-5"/>
                        <w:sz w:val="20"/>
                      </w:rPr>
                      <w:instrText> PAGE </w:instrText>
                    </w:r>
                    <w:r>
                      <w:rPr>
                        <w:spacing w:val="-5"/>
                        <w:sz w:val="20"/>
                      </w:rPr>
                      <w:fldChar w:fldCharType="separate"/>
                    </w:r>
                    <w:r>
                      <w:rPr>
                        <w:spacing w:val="-5"/>
                        <w:sz w:val="20"/>
                      </w:rPr>
                      <w:t>158</w:t>
                    </w:r>
                    <w:r>
                      <w:rPr>
                        <w:spacing w:val="-5"/>
                        <w:sz w:val="20"/>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3532416">
              <wp:simplePos x="0" y="0"/>
              <wp:positionH relativeFrom="page">
                <wp:posOffset>901700</wp:posOffset>
              </wp:positionH>
              <wp:positionV relativeFrom="page">
                <wp:posOffset>9155794</wp:posOffset>
              </wp:positionV>
              <wp:extent cx="3215005" cy="312420"/>
              <wp:effectExtent l="0" t="0" r="0" b="0"/>
              <wp:wrapNone/>
              <wp:docPr id="739" name="Textbox 739"/>
              <wp:cNvGraphicFramePr>
                <a:graphicFrameLocks/>
              </wp:cNvGraphicFramePr>
              <a:graphic>
                <a:graphicData uri="http://schemas.microsoft.com/office/word/2010/wordprocessingShape">
                  <wps:wsp>
                    <wps:cNvPr id="739" name="Textbox 739"/>
                    <wps:cNvSpPr txBox="1"/>
                    <wps:spPr>
                      <a:xfrm>
                        <a:off x="0" y="0"/>
                        <a:ext cx="3215005" cy="312420"/>
                      </a:xfrm>
                      <a:prstGeom prst="rect">
                        <a:avLst/>
                      </a:prstGeom>
                    </wps:spPr>
                    <wps:txbx>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wps:txbx>
                    <wps:bodyPr wrap="square" lIns="0" tIns="0" rIns="0" bIns="0" rtlCol="0">
                      <a:noAutofit/>
                    </wps:bodyPr>
                  </wps:wsp>
                </a:graphicData>
              </a:graphic>
            </wp:anchor>
          </w:drawing>
        </mc:Choice>
        <mc:Fallback>
          <w:pict>
            <v:shape style="position:absolute;margin-left:71pt;margin-top:720.928711pt;width:253.15pt;height:24.6pt;mso-position-horizontal-relative:page;mso-position-vertical-relative:page;z-index:-29784064" type="#_x0000_t202" id="docshape30" filled="false" stroked="false">
              <v:textbox inset="0,0,0,0">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v:textbox>
              <w10:wrap type="none"/>
            </v:shape>
          </w:pict>
        </mc:Fallback>
      </mc:AlternateContent>
    </w:r>
    <w:r>
      <w:rPr/>
      <mc:AlternateContent>
        <mc:Choice Requires="wps">
          <w:drawing>
            <wp:anchor distT="0" distB="0" distL="0" distR="0" allowOverlap="1" layoutInCell="1" locked="0" behindDoc="1" simplePos="0" relativeHeight="473532928">
              <wp:simplePos x="0" y="0"/>
              <wp:positionH relativeFrom="page">
                <wp:posOffset>6375894</wp:posOffset>
              </wp:positionH>
              <wp:positionV relativeFrom="page">
                <wp:posOffset>9155794</wp:posOffset>
              </wp:positionV>
              <wp:extent cx="534670" cy="165735"/>
              <wp:effectExtent l="0" t="0" r="0" b="0"/>
              <wp:wrapNone/>
              <wp:docPr id="740" name="Textbox 740"/>
              <wp:cNvGraphicFramePr>
                <a:graphicFrameLocks/>
              </wp:cNvGraphicFramePr>
              <a:graphic>
                <a:graphicData uri="http://schemas.microsoft.com/office/word/2010/wordprocessingShape">
                  <wps:wsp>
                    <wps:cNvPr id="740" name="Textbox 740"/>
                    <wps:cNvSpPr txBox="1"/>
                    <wps:spPr>
                      <a:xfrm>
                        <a:off x="0" y="0"/>
                        <a:ext cx="534670" cy="165735"/>
                      </a:xfrm>
                      <a:prstGeom prst="rect">
                        <a:avLst/>
                      </a:prstGeom>
                    </wps:spPr>
                    <wps:txbx>
                      <w:txbxContent>
                        <w:p>
                          <w:pPr>
                            <w:spacing w:before="10"/>
                            <w:ind w:left="20" w:right="0" w:firstLine="0"/>
                            <w:jc w:val="left"/>
                            <w:rPr>
                              <w:sz w:val="20"/>
                            </w:rPr>
                          </w:pPr>
                          <w:r>
                            <w:rPr>
                              <w:sz w:val="20"/>
                            </w:rPr>
                            <w:t>Page</w:t>
                          </w:r>
                          <w:r>
                            <w:rPr>
                              <w:spacing w:val="-4"/>
                              <w:sz w:val="20"/>
                            </w:rPr>
                            <w:t> </w:t>
                          </w:r>
                          <w:r>
                            <w:rPr>
                              <w:spacing w:val="-5"/>
                              <w:sz w:val="20"/>
                            </w:rPr>
                            <w:fldChar w:fldCharType="begin"/>
                          </w:r>
                          <w:r>
                            <w:rPr>
                              <w:spacing w:val="-5"/>
                              <w:sz w:val="20"/>
                            </w:rPr>
                            <w:instrText> PAGE </w:instrText>
                          </w:r>
                          <w:r>
                            <w:rPr>
                              <w:spacing w:val="-5"/>
                              <w:sz w:val="20"/>
                            </w:rPr>
                            <w:fldChar w:fldCharType="separate"/>
                          </w:r>
                          <w:r>
                            <w:rPr>
                              <w:spacing w:val="-5"/>
                              <w:sz w:val="20"/>
                            </w:rPr>
                            <w:t>169</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502.03891pt;margin-top:720.928711pt;width:42.1pt;height:13.05pt;mso-position-horizontal-relative:page;mso-position-vertical-relative:page;z-index:-29783552" type="#_x0000_t202" id="docshape31" filled="false" stroked="false">
              <v:textbox inset="0,0,0,0">
                <w:txbxContent>
                  <w:p>
                    <w:pPr>
                      <w:spacing w:before="10"/>
                      <w:ind w:left="20" w:right="0" w:firstLine="0"/>
                      <w:jc w:val="left"/>
                      <w:rPr>
                        <w:sz w:val="20"/>
                      </w:rPr>
                    </w:pPr>
                    <w:r>
                      <w:rPr>
                        <w:sz w:val="20"/>
                      </w:rPr>
                      <w:t>Page</w:t>
                    </w:r>
                    <w:r>
                      <w:rPr>
                        <w:spacing w:val="-4"/>
                        <w:sz w:val="20"/>
                      </w:rPr>
                      <w:t> </w:t>
                    </w:r>
                    <w:r>
                      <w:rPr>
                        <w:spacing w:val="-5"/>
                        <w:sz w:val="20"/>
                      </w:rPr>
                      <w:fldChar w:fldCharType="begin"/>
                    </w:r>
                    <w:r>
                      <w:rPr>
                        <w:spacing w:val="-5"/>
                        <w:sz w:val="20"/>
                      </w:rPr>
                      <w:instrText> PAGE </w:instrText>
                    </w:r>
                    <w:r>
                      <w:rPr>
                        <w:spacing w:val="-5"/>
                        <w:sz w:val="20"/>
                      </w:rPr>
                      <w:fldChar w:fldCharType="separate"/>
                    </w:r>
                    <w:r>
                      <w:rPr>
                        <w:spacing w:val="-5"/>
                        <w:sz w:val="20"/>
                      </w:rPr>
                      <w:t>169</w:t>
                    </w:r>
                    <w:r>
                      <w:rPr>
                        <w:spacing w:val="-5"/>
                        <w:sz w:val="20"/>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3533440">
              <wp:simplePos x="0" y="0"/>
              <wp:positionH relativeFrom="page">
                <wp:posOffset>901700</wp:posOffset>
              </wp:positionH>
              <wp:positionV relativeFrom="page">
                <wp:posOffset>6869794</wp:posOffset>
              </wp:positionV>
              <wp:extent cx="3215005" cy="312420"/>
              <wp:effectExtent l="0" t="0" r="0" b="0"/>
              <wp:wrapNone/>
              <wp:docPr id="767" name="Textbox 767"/>
              <wp:cNvGraphicFramePr>
                <a:graphicFrameLocks/>
              </wp:cNvGraphicFramePr>
              <a:graphic>
                <a:graphicData uri="http://schemas.microsoft.com/office/word/2010/wordprocessingShape">
                  <wps:wsp>
                    <wps:cNvPr id="767" name="Textbox 767"/>
                    <wps:cNvSpPr txBox="1"/>
                    <wps:spPr>
                      <a:xfrm>
                        <a:off x="0" y="0"/>
                        <a:ext cx="3215005" cy="312420"/>
                      </a:xfrm>
                      <a:prstGeom prst="rect">
                        <a:avLst/>
                      </a:prstGeom>
                    </wps:spPr>
                    <wps:txbx>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wps:txbx>
                    <wps:bodyPr wrap="square" lIns="0" tIns="0" rIns="0" bIns="0" rtlCol="0">
                      <a:noAutofit/>
                    </wps:bodyPr>
                  </wps:wsp>
                </a:graphicData>
              </a:graphic>
            </wp:anchor>
          </w:drawing>
        </mc:Choice>
        <mc:Fallback>
          <w:pict>
            <v:shape style="position:absolute;margin-left:71pt;margin-top:540.928711pt;width:253.15pt;height:24.6pt;mso-position-horizontal-relative:page;mso-position-vertical-relative:page;z-index:-29783040" type="#_x0000_t202" id="docshape33" filled="false" stroked="false">
              <v:textbox inset="0,0,0,0">
                <w:txbxContent>
                  <w:p>
                    <w:pPr>
                      <w:spacing w:before="10"/>
                      <w:ind w:left="20" w:right="0" w:firstLine="0"/>
                      <w:jc w:val="left"/>
                      <w:rPr>
                        <w:sz w:val="20"/>
                      </w:rPr>
                    </w:pPr>
                    <w:r>
                      <w:rPr>
                        <w:sz w:val="20"/>
                      </w:rPr>
                      <w:t>MassHealth Medicaid and CHIP Section 1115 Demonstration Approval</w:t>
                    </w:r>
                    <w:r>
                      <w:rPr>
                        <w:spacing w:val="-5"/>
                        <w:sz w:val="20"/>
                      </w:rPr>
                      <w:t> </w:t>
                    </w:r>
                    <w:r>
                      <w:rPr>
                        <w:sz w:val="20"/>
                      </w:rPr>
                      <w:t>Period:</w:t>
                    </w:r>
                    <w:r>
                      <w:rPr>
                        <w:spacing w:val="-5"/>
                        <w:sz w:val="20"/>
                      </w:rPr>
                      <w:t> </w:t>
                    </w:r>
                    <w:r>
                      <w:rPr>
                        <w:sz w:val="20"/>
                      </w:rPr>
                      <w:t>October</w:t>
                    </w:r>
                    <w:r>
                      <w:rPr>
                        <w:spacing w:val="-7"/>
                        <w:sz w:val="20"/>
                      </w:rPr>
                      <w:t> </w:t>
                    </w:r>
                    <w:r>
                      <w:rPr>
                        <w:sz w:val="20"/>
                      </w:rPr>
                      <w:t>1,</w:t>
                    </w:r>
                    <w:r>
                      <w:rPr>
                        <w:spacing w:val="-7"/>
                        <w:sz w:val="20"/>
                      </w:rPr>
                      <w:t> </w:t>
                    </w:r>
                    <w:r>
                      <w:rPr>
                        <w:sz w:val="20"/>
                      </w:rPr>
                      <w:t>2022</w:t>
                    </w:r>
                    <w:r>
                      <w:rPr>
                        <w:spacing w:val="-4"/>
                        <w:sz w:val="20"/>
                      </w:rPr>
                      <w:t> </w:t>
                    </w:r>
                    <w:r>
                      <w:rPr>
                        <w:sz w:val="20"/>
                      </w:rPr>
                      <w:t>through</w:t>
                    </w:r>
                    <w:r>
                      <w:rPr>
                        <w:spacing w:val="-6"/>
                        <w:sz w:val="20"/>
                      </w:rPr>
                      <w:t> </w:t>
                    </w:r>
                    <w:r>
                      <w:rPr>
                        <w:sz w:val="20"/>
                      </w:rPr>
                      <w:t>December</w:t>
                    </w:r>
                    <w:r>
                      <w:rPr>
                        <w:spacing w:val="-4"/>
                        <w:sz w:val="20"/>
                      </w:rPr>
                      <w:t> </w:t>
                    </w:r>
                    <w:r>
                      <w:rPr>
                        <w:sz w:val="20"/>
                      </w:rPr>
                      <w:t>31,</w:t>
                    </w:r>
                    <w:r>
                      <w:rPr>
                        <w:spacing w:val="-4"/>
                        <w:sz w:val="20"/>
                      </w:rPr>
                      <w:t> </w:t>
                    </w:r>
                    <w:r>
                      <w:rPr>
                        <w:sz w:val="20"/>
                      </w:rPr>
                      <w:t>2027</w:t>
                    </w:r>
                  </w:p>
                </w:txbxContent>
              </v:textbox>
              <w10:wrap type="none"/>
            </v:shape>
          </w:pict>
        </mc:Fallback>
      </mc:AlternateContent>
    </w:r>
    <w:r>
      <w:rPr/>
      <mc:AlternateContent>
        <mc:Choice Requires="wps">
          <w:drawing>
            <wp:anchor distT="0" distB="0" distL="0" distR="0" allowOverlap="1" layoutInCell="1" locked="0" behindDoc="1" simplePos="0" relativeHeight="473533952">
              <wp:simplePos x="0" y="0"/>
              <wp:positionH relativeFrom="page">
                <wp:posOffset>6375894</wp:posOffset>
              </wp:positionH>
              <wp:positionV relativeFrom="page">
                <wp:posOffset>6869794</wp:posOffset>
              </wp:positionV>
              <wp:extent cx="534670" cy="165735"/>
              <wp:effectExtent l="0" t="0" r="0" b="0"/>
              <wp:wrapNone/>
              <wp:docPr id="768" name="Textbox 768"/>
              <wp:cNvGraphicFramePr>
                <a:graphicFrameLocks/>
              </wp:cNvGraphicFramePr>
              <a:graphic>
                <a:graphicData uri="http://schemas.microsoft.com/office/word/2010/wordprocessingShape">
                  <wps:wsp>
                    <wps:cNvPr id="768" name="Textbox 768"/>
                    <wps:cNvSpPr txBox="1"/>
                    <wps:spPr>
                      <a:xfrm>
                        <a:off x="0" y="0"/>
                        <a:ext cx="534670" cy="165735"/>
                      </a:xfrm>
                      <a:prstGeom prst="rect">
                        <a:avLst/>
                      </a:prstGeom>
                    </wps:spPr>
                    <wps:txbx>
                      <w:txbxContent>
                        <w:p>
                          <w:pPr>
                            <w:spacing w:before="10"/>
                            <w:ind w:left="20" w:right="0" w:firstLine="0"/>
                            <w:jc w:val="left"/>
                            <w:rPr>
                              <w:sz w:val="20"/>
                            </w:rPr>
                          </w:pPr>
                          <w:r>
                            <w:rPr>
                              <w:sz w:val="20"/>
                            </w:rPr>
                            <w:t>Page</w:t>
                          </w:r>
                          <w:r>
                            <w:rPr>
                              <w:spacing w:val="-4"/>
                              <w:sz w:val="20"/>
                            </w:rPr>
                            <w:t> </w:t>
                          </w:r>
                          <w:r>
                            <w:rPr>
                              <w:spacing w:val="-5"/>
                              <w:sz w:val="20"/>
                            </w:rPr>
                            <w:fldChar w:fldCharType="begin"/>
                          </w:r>
                          <w:r>
                            <w:rPr>
                              <w:spacing w:val="-5"/>
                              <w:sz w:val="20"/>
                            </w:rPr>
                            <w:instrText> PAGE </w:instrText>
                          </w:r>
                          <w:r>
                            <w:rPr>
                              <w:spacing w:val="-5"/>
                              <w:sz w:val="20"/>
                            </w:rPr>
                            <w:fldChar w:fldCharType="separate"/>
                          </w:r>
                          <w:r>
                            <w:rPr>
                              <w:spacing w:val="-5"/>
                              <w:sz w:val="20"/>
                            </w:rPr>
                            <w:t>174</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502.03891pt;margin-top:540.928711pt;width:42.1pt;height:13.05pt;mso-position-horizontal-relative:page;mso-position-vertical-relative:page;z-index:-29782528" type="#_x0000_t202" id="docshape34" filled="false" stroked="false">
              <v:textbox inset="0,0,0,0">
                <w:txbxContent>
                  <w:p>
                    <w:pPr>
                      <w:spacing w:before="10"/>
                      <w:ind w:left="20" w:right="0" w:firstLine="0"/>
                      <w:jc w:val="left"/>
                      <w:rPr>
                        <w:sz w:val="20"/>
                      </w:rPr>
                    </w:pPr>
                    <w:r>
                      <w:rPr>
                        <w:sz w:val="20"/>
                      </w:rPr>
                      <w:t>Page</w:t>
                    </w:r>
                    <w:r>
                      <w:rPr>
                        <w:spacing w:val="-4"/>
                        <w:sz w:val="20"/>
                      </w:rPr>
                      <w:t> </w:t>
                    </w:r>
                    <w:r>
                      <w:rPr>
                        <w:spacing w:val="-5"/>
                        <w:sz w:val="20"/>
                      </w:rPr>
                      <w:fldChar w:fldCharType="begin"/>
                    </w:r>
                    <w:r>
                      <w:rPr>
                        <w:spacing w:val="-5"/>
                        <w:sz w:val="20"/>
                      </w:rPr>
                      <w:instrText> PAGE </w:instrText>
                    </w:r>
                    <w:r>
                      <w:rPr>
                        <w:spacing w:val="-5"/>
                        <w:sz w:val="20"/>
                      </w:rPr>
                      <w:fldChar w:fldCharType="separate"/>
                    </w:r>
                    <w:r>
                      <w:rPr>
                        <w:spacing w:val="-5"/>
                        <w:sz w:val="20"/>
                      </w:rPr>
                      <w:t>174</w:t>
                    </w:r>
                    <w:r>
                      <w:rPr>
                        <w:spacing w:val="-5"/>
                        <w:sz w:val="20"/>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6">
    <w:multiLevelType w:val="hybridMultilevel"/>
    <w:lvl w:ilvl="0">
      <w:start w:val="1"/>
      <w:numFmt w:val="lowerLetter"/>
      <w:lvlText w:val="%1."/>
      <w:lvlJc w:val="left"/>
      <w:pPr>
        <w:ind w:left="141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342" w:hanging="360"/>
      </w:pPr>
      <w:rPr>
        <w:rFonts w:hint="default"/>
        <w:lang w:val="en-US" w:eastAsia="en-US" w:bidi="ar-SA"/>
      </w:rPr>
    </w:lvl>
    <w:lvl w:ilvl="2">
      <w:start w:val="0"/>
      <w:numFmt w:val="bullet"/>
      <w:lvlText w:val="•"/>
      <w:lvlJc w:val="left"/>
      <w:pPr>
        <w:ind w:left="3264" w:hanging="360"/>
      </w:pPr>
      <w:rPr>
        <w:rFonts w:hint="default"/>
        <w:lang w:val="en-US" w:eastAsia="en-US" w:bidi="ar-SA"/>
      </w:rPr>
    </w:lvl>
    <w:lvl w:ilvl="3">
      <w:start w:val="0"/>
      <w:numFmt w:val="bullet"/>
      <w:lvlText w:val="•"/>
      <w:lvlJc w:val="left"/>
      <w:pPr>
        <w:ind w:left="4186" w:hanging="360"/>
      </w:pPr>
      <w:rPr>
        <w:rFonts w:hint="default"/>
        <w:lang w:val="en-US" w:eastAsia="en-US" w:bidi="ar-SA"/>
      </w:rPr>
    </w:lvl>
    <w:lvl w:ilvl="4">
      <w:start w:val="0"/>
      <w:numFmt w:val="bullet"/>
      <w:lvlText w:val="•"/>
      <w:lvlJc w:val="left"/>
      <w:pPr>
        <w:ind w:left="5108" w:hanging="360"/>
      </w:pPr>
      <w:rPr>
        <w:rFonts w:hint="default"/>
        <w:lang w:val="en-US" w:eastAsia="en-US" w:bidi="ar-SA"/>
      </w:rPr>
    </w:lvl>
    <w:lvl w:ilvl="5">
      <w:start w:val="0"/>
      <w:numFmt w:val="bullet"/>
      <w:lvlText w:val="•"/>
      <w:lvlJc w:val="left"/>
      <w:pPr>
        <w:ind w:left="6030" w:hanging="360"/>
      </w:pPr>
      <w:rPr>
        <w:rFonts w:hint="default"/>
        <w:lang w:val="en-US" w:eastAsia="en-US" w:bidi="ar-SA"/>
      </w:rPr>
    </w:lvl>
    <w:lvl w:ilvl="6">
      <w:start w:val="0"/>
      <w:numFmt w:val="bullet"/>
      <w:lvlText w:val="•"/>
      <w:lvlJc w:val="left"/>
      <w:pPr>
        <w:ind w:left="6952" w:hanging="360"/>
      </w:pPr>
      <w:rPr>
        <w:rFonts w:hint="default"/>
        <w:lang w:val="en-US" w:eastAsia="en-US" w:bidi="ar-SA"/>
      </w:rPr>
    </w:lvl>
    <w:lvl w:ilvl="7">
      <w:start w:val="0"/>
      <w:numFmt w:val="bullet"/>
      <w:lvlText w:val="•"/>
      <w:lvlJc w:val="left"/>
      <w:pPr>
        <w:ind w:left="7874" w:hanging="360"/>
      </w:pPr>
      <w:rPr>
        <w:rFonts w:hint="default"/>
        <w:lang w:val="en-US" w:eastAsia="en-US" w:bidi="ar-SA"/>
      </w:rPr>
    </w:lvl>
    <w:lvl w:ilvl="8">
      <w:start w:val="0"/>
      <w:numFmt w:val="bullet"/>
      <w:lvlText w:val="•"/>
      <w:lvlJc w:val="left"/>
      <w:pPr>
        <w:ind w:left="8796" w:hanging="360"/>
      </w:pPr>
      <w:rPr>
        <w:rFonts w:hint="default"/>
        <w:lang w:val="en-US" w:eastAsia="en-US" w:bidi="ar-SA"/>
      </w:rPr>
    </w:lvl>
  </w:abstractNum>
  <w:abstractNum w:abstractNumId="123">
    <w:multiLevelType w:val="hybridMultilevel"/>
    <w:lvl w:ilvl="0">
      <w:start w:val="1"/>
      <w:numFmt w:val="decimal"/>
      <w:lvlText w:val="(%1)"/>
      <w:lvlJc w:val="left"/>
      <w:pPr>
        <w:ind w:left="1019"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878" w:hanging="360"/>
      </w:pPr>
      <w:rPr>
        <w:rFonts w:hint="default"/>
        <w:lang w:val="en-US" w:eastAsia="en-US" w:bidi="ar-SA"/>
      </w:rPr>
    </w:lvl>
    <w:lvl w:ilvl="2">
      <w:start w:val="0"/>
      <w:numFmt w:val="bullet"/>
      <w:lvlText w:val="•"/>
      <w:lvlJc w:val="left"/>
      <w:pPr>
        <w:ind w:left="2736" w:hanging="360"/>
      </w:pPr>
      <w:rPr>
        <w:rFonts w:hint="default"/>
        <w:lang w:val="en-US" w:eastAsia="en-US" w:bidi="ar-SA"/>
      </w:rPr>
    </w:lvl>
    <w:lvl w:ilvl="3">
      <w:start w:val="0"/>
      <w:numFmt w:val="bullet"/>
      <w:lvlText w:val="•"/>
      <w:lvlJc w:val="left"/>
      <w:pPr>
        <w:ind w:left="3594" w:hanging="360"/>
      </w:pPr>
      <w:rPr>
        <w:rFonts w:hint="default"/>
        <w:lang w:val="en-US" w:eastAsia="en-US" w:bidi="ar-SA"/>
      </w:rPr>
    </w:lvl>
    <w:lvl w:ilvl="4">
      <w:start w:val="0"/>
      <w:numFmt w:val="bullet"/>
      <w:lvlText w:val="•"/>
      <w:lvlJc w:val="left"/>
      <w:pPr>
        <w:ind w:left="4452" w:hanging="360"/>
      </w:pPr>
      <w:rPr>
        <w:rFonts w:hint="default"/>
        <w:lang w:val="en-US" w:eastAsia="en-US" w:bidi="ar-SA"/>
      </w:rPr>
    </w:lvl>
    <w:lvl w:ilvl="5">
      <w:start w:val="0"/>
      <w:numFmt w:val="bullet"/>
      <w:lvlText w:val="•"/>
      <w:lvlJc w:val="left"/>
      <w:pPr>
        <w:ind w:left="5310" w:hanging="360"/>
      </w:pPr>
      <w:rPr>
        <w:rFonts w:hint="default"/>
        <w:lang w:val="en-US" w:eastAsia="en-US" w:bidi="ar-SA"/>
      </w:rPr>
    </w:lvl>
    <w:lvl w:ilvl="6">
      <w:start w:val="0"/>
      <w:numFmt w:val="bullet"/>
      <w:lvlText w:val="•"/>
      <w:lvlJc w:val="left"/>
      <w:pPr>
        <w:ind w:left="6168" w:hanging="360"/>
      </w:pPr>
      <w:rPr>
        <w:rFonts w:hint="default"/>
        <w:lang w:val="en-US" w:eastAsia="en-US" w:bidi="ar-SA"/>
      </w:rPr>
    </w:lvl>
    <w:lvl w:ilvl="7">
      <w:start w:val="0"/>
      <w:numFmt w:val="bullet"/>
      <w:lvlText w:val="•"/>
      <w:lvlJc w:val="left"/>
      <w:pPr>
        <w:ind w:left="7026" w:hanging="360"/>
      </w:pPr>
      <w:rPr>
        <w:rFonts w:hint="default"/>
        <w:lang w:val="en-US" w:eastAsia="en-US" w:bidi="ar-SA"/>
      </w:rPr>
    </w:lvl>
    <w:lvl w:ilvl="8">
      <w:start w:val="0"/>
      <w:numFmt w:val="bullet"/>
      <w:lvlText w:val="•"/>
      <w:lvlJc w:val="left"/>
      <w:pPr>
        <w:ind w:left="7884" w:hanging="360"/>
      </w:pPr>
      <w:rPr>
        <w:rFonts w:hint="default"/>
        <w:lang w:val="en-US" w:eastAsia="en-US" w:bidi="ar-SA"/>
      </w:rPr>
    </w:lvl>
  </w:abstractNum>
  <w:abstractNum w:abstractNumId="122">
    <w:multiLevelType w:val="hybridMultilevel"/>
    <w:lvl w:ilvl="0">
      <w:start w:val="1"/>
      <w:numFmt w:val="lowerLetter"/>
      <w:lvlText w:val="%1."/>
      <w:lvlJc w:val="left"/>
      <w:pPr>
        <w:ind w:left="2467" w:hanging="36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3174" w:hanging="361"/>
      </w:pPr>
      <w:rPr>
        <w:rFonts w:hint="default"/>
        <w:lang w:val="en-US" w:eastAsia="en-US" w:bidi="ar-SA"/>
      </w:rPr>
    </w:lvl>
    <w:lvl w:ilvl="2">
      <w:start w:val="0"/>
      <w:numFmt w:val="bullet"/>
      <w:lvlText w:val="•"/>
      <w:lvlJc w:val="left"/>
      <w:pPr>
        <w:ind w:left="3888" w:hanging="361"/>
      </w:pPr>
      <w:rPr>
        <w:rFonts w:hint="default"/>
        <w:lang w:val="en-US" w:eastAsia="en-US" w:bidi="ar-SA"/>
      </w:rPr>
    </w:lvl>
    <w:lvl w:ilvl="3">
      <w:start w:val="0"/>
      <w:numFmt w:val="bullet"/>
      <w:lvlText w:val="•"/>
      <w:lvlJc w:val="left"/>
      <w:pPr>
        <w:ind w:left="4602" w:hanging="361"/>
      </w:pPr>
      <w:rPr>
        <w:rFonts w:hint="default"/>
        <w:lang w:val="en-US" w:eastAsia="en-US" w:bidi="ar-SA"/>
      </w:rPr>
    </w:lvl>
    <w:lvl w:ilvl="4">
      <w:start w:val="0"/>
      <w:numFmt w:val="bullet"/>
      <w:lvlText w:val="•"/>
      <w:lvlJc w:val="left"/>
      <w:pPr>
        <w:ind w:left="5316" w:hanging="361"/>
      </w:pPr>
      <w:rPr>
        <w:rFonts w:hint="default"/>
        <w:lang w:val="en-US" w:eastAsia="en-US" w:bidi="ar-SA"/>
      </w:rPr>
    </w:lvl>
    <w:lvl w:ilvl="5">
      <w:start w:val="0"/>
      <w:numFmt w:val="bullet"/>
      <w:lvlText w:val="•"/>
      <w:lvlJc w:val="left"/>
      <w:pPr>
        <w:ind w:left="6030" w:hanging="361"/>
      </w:pPr>
      <w:rPr>
        <w:rFonts w:hint="default"/>
        <w:lang w:val="en-US" w:eastAsia="en-US" w:bidi="ar-SA"/>
      </w:rPr>
    </w:lvl>
    <w:lvl w:ilvl="6">
      <w:start w:val="0"/>
      <w:numFmt w:val="bullet"/>
      <w:lvlText w:val="•"/>
      <w:lvlJc w:val="left"/>
      <w:pPr>
        <w:ind w:left="6744" w:hanging="361"/>
      </w:pPr>
      <w:rPr>
        <w:rFonts w:hint="default"/>
        <w:lang w:val="en-US" w:eastAsia="en-US" w:bidi="ar-SA"/>
      </w:rPr>
    </w:lvl>
    <w:lvl w:ilvl="7">
      <w:start w:val="0"/>
      <w:numFmt w:val="bullet"/>
      <w:lvlText w:val="•"/>
      <w:lvlJc w:val="left"/>
      <w:pPr>
        <w:ind w:left="7458" w:hanging="361"/>
      </w:pPr>
      <w:rPr>
        <w:rFonts w:hint="default"/>
        <w:lang w:val="en-US" w:eastAsia="en-US" w:bidi="ar-SA"/>
      </w:rPr>
    </w:lvl>
    <w:lvl w:ilvl="8">
      <w:start w:val="0"/>
      <w:numFmt w:val="bullet"/>
      <w:lvlText w:val="•"/>
      <w:lvlJc w:val="left"/>
      <w:pPr>
        <w:ind w:left="8172" w:hanging="361"/>
      </w:pPr>
      <w:rPr>
        <w:rFonts w:hint="default"/>
        <w:lang w:val="en-US" w:eastAsia="en-US" w:bidi="ar-SA"/>
      </w:rPr>
    </w:lvl>
  </w:abstractNum>
  <w:abstractNum w:abstractNumId="121">
    <w:multiLevelType w:val="hybridMultilevel"/>
    <w:lvl w:ilvl="0">
      <w:start w:val="1"/>
      <w:numFmt w:val="lowerLetter"/>
      <w:lvlText w:val="%1."/>
      <w:lvlJc w:val="left"/>
      <w:pPr>
        <w:ind w:left="2467" w:hanging="36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3174" w:hanging="361"/>
      </w:pPr>
      <w:rPr>
        <w:rFonts w:hint="default"/>
        <w:lang w:val="en-US" w:eastAsia="en-US" w:bidi="ar-SA"/>
      </w:rPr>
    </w:lvl>
    <w:lvl w:ilvl="2">
      <w:start w:val="0"/>
      <w:numFmt w:val="bullet"/>
      <w:lvlText w:val="•"/>
      <w:lvlJc w:val="left"/>
      <w:pPr>
        <w:ind w:left="3888" w:hanging="361"/>
      </w:pPr>
      <w:rPr>
        <w:rFonts w:hint="default"/>
        <w:lang w:val="en-US" w:eastAsia="en-US" w:bidi="ar-SA"/>
      </w:rPr>
    </w:lvl>
    <w:lvl w:ilvl="3">
      <w:start w:val="0"/>
      <w:numFmt w:val="bullet"/>
      <w:lvlText w:val="•"/>
      <w:lvlJc w:val="left"/>
      <w:pPr>
        <w:ind w:left="4602" w:hanging="361"/>
      </w:pPr>
      <w:rPr>
        <w:rFonts w:hint="default"/>
        <w:lang w:val="en-US" w:eastAsia="en-US" w:bidi="ar-SA"/>
      </w:rPr>
    </w:lvl>
    <w:lvl w:ilvl="4">
      <w:start w:val="0"/>
      <w:numFmt w:val="bullet"/>
      <w:lvlText w:val="•"/>
      <w:lvlJc w:val="left"/>
      <w:pPr>
        <w:ind w:left="5316" w:hanging="361"/>
      </w:pPr>
      <w:rPr>
        <w:rFonts w:hint="default"/>
        <w:lang w:val="en-US" w:eastAsia="en-US" w:bidi="ar-SA"/>
      </w:rPr>
    </w:lvl>
    <w:lvl w:ilvl="5">
      <w:start w:val="0"/>
      <w:numFmt w:val="bullet"/>
      <w:lvlText w:val="•"/>
      <w:lvlJc w:val="left"/>
      <w:pPr>
        <w:ind w:left="6030" w:hanging="361"/>
      </w:pPr>
      <w:rPr>
        <w:rFonts w:hint="default"/>
        <w:lang w:val="en-US" w:eastAsia="en-US" w:bidi="ar-SA"/>
      </w:rPr>
    </w:lvl>
    <w:lvl w:ilvl="6">
      <w:start w:val="0"/>
      <w:numFmt w:val="bullet"/>
      <w:lvlText w:val="•"/>
      <w:lvlJc w:val="left"/>
      <w:pPr>
        <w:ind w:left="6744" w:hanging="361"/>
      </w:pPr>
      <w:rPr>
        <w:rFonts w:hint="default"/>
        <w:lang w:val="en-US" w:eastAsia="en-US" w:bidi="ar-SA"/>
      </w:rPr>
    </w:lvl>
    <w:lvl w:ilvl="7">
      <w:start w:val="0"/>
      <w:numFmt w:val="bullet"/>
      <w:lvlText w:val="•"/>
      <w:lvlJc w:val="left"/>
      <w:pPr>
        <w:ind w:left="7458" w:hanging="361"/>
      </w:pPr>
      <w:rPr>
        <w:rFonts w:hint="default"/>
        <w:lang w:val="en-US" w:eastAsia="en-US" w:bidi="ar-SA"/>
      </w:rPr>
    </w:lvl>
    <w:lvl w:ilvl="8">
      <w:start w:val="0"/>
      <w:numFmt w:val="bullet"/>
      <w:lvlText w:val="•"/>
      <w:lvlJc w:val="left"/>
      <w:pPr>
        <w:ind w:left="8172" w:hanging="361"/>
      </w:pPr>
      <w:rPr>
        <w:rFonts w:hint="default"/>
        <w:lang w:val="en-US" w:eastAsia="en-US" w:bidi="ar-SA"/>
      </w:rPr>
    </w:lvl>
  </w:abstractNum>
  <w:abstractNum w:abstractNumId="119">
    <w:multiLevelType w:val="hybridMultilevel"/>
    <w:lvl w:ilvl="0">
      <w:start w:val="1"/>
      <w:numFmt w:val="lowerLetter"/>
      <w:lvlText w:val="%1."/>
      <w:lvlJc w:val="left"/>
      <w:pPr>
        <w:ind w:left="2467" w:hanging="368"/>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1"/>
      <w:numFmt w:val="lowerRoman"/>
      <w:lvlText w:val="%2."/>
      <w:lvlJc w:val="left"/>
      <w:pPr>
        <w:ind w:left="2784" w:hanging="260"/>
        <w:jc w:val="righ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3537" w:hanging="260"/>
      </w:pPr>
      <w:rPr>
        <w:rFonts w:hint="default"/>
        <w:lang w:val="en-US" w:eastAsia="en-US" w:bidi="ar-SA"/>
      </w:rPr>
    </w:lvl>
    <w:lvl w:ilvl="3">
      <w:start w:val="0"/>
      <w:numFmt w:val="bullet"/>
      <w:lvlText w:val="•"/>
      <w:lvlJc w:val="left"/>
      <w:pPr>
        <w:ind w:left="4295" w:hanging="260"/>
      </w:pPr>
      <w:rPr>
        <w:rFonts w:hint="default"/>
        <w:lang w:val="en-US" w:eastAsia="en-US" w:bidi="ar-SA"/>
      </w:rPr>
    </w:lvl>
    <w:lvl w:ilvl="4">
      <w:start w:val="0"/>
      <w:numFmt w:val="bullet"/>
      <w:lvlText w:val="•"/>
      <w:lvlJc w:val="left"/>
      <w:pPr>
        <w:ind w:left="5053" w:hanging="260"/>
      </w:pPr>
      <w:rPr>
        <w:rFonts w:hint="default"/>
        <w:lang w:val="en-US" w:eastAsia="en-US" w:bidi="ar-SA"/>
      </w:rPr>
    </w:lvl>
    <w:lvl w:ilvl="5">
      <w:start w:val="0"/>
      <w:numFmt w:val="bullet"/>
      <w:lvlText w:val="•"/>
      <w:lvlJc w:val="left"/>
      <w:pPr>
        <w:ind w:left="5811" w:hanging="260"/>
      </w:pPr>
      <w:rPr>
        <w:rFonts w:hint="default"/>
        <w:lang w:val="en-US" w:eastAsia="en-US" w:bidi="ar-SA"/>
      </w:rPr>
    </w:lvl>
    <w:lvl w:ilvl="6">
      <w:start w:val="0"/>
      <w:numFmt w:val="bullet"/>
      <w:lvlText w:val="•"/>
      <w:lvlJc w:val="left"/>
      <w:pPr>
        <w:ind w:left="6568" w:hanging="260"/>
      </w:pPr>
      <w:rPr>
        <w:rFonts w:hint="default"/>
        <w:lang w:val="en-US" w:eastAsia="en-US" w:bidi="ar-SA"/>
      </w:rPr>
    </w:lvl>
    <w:lvl w:ilvl="7">
      <w:start w:val="0"/>
      <w:numFmt w:val="bullet"/>
      <w:lvlText w:val="•"/>
      <w:lvlJc w:val="left"/>
      <w:pPr>
        <w:ind w:left="7326" w:hanging="260"/>
      </w:pPr>
      <w:rPr>
        <w:rFonts w:hint="default"/>
        <w:lang w:val="en-US" w:eastAsia="en-US" w:bidi="ar-SA"/>
      </w:rPr>
    </w:lvl>
    <w:lvl w:ilvl="8">
      <w:start w:val="0"/>
      <w:numFmt w:val="bullet"/>
      <w:lvlText w:val="•"/>
      <w:lvlJc w:val="left"/>
      <w:pPr>
        <w:ind w:left="8084" w:hanging="260"/>
      </w:pPr>
      <w:rPr>
        <w:rFonts w:hint="default"/>
        <w:lang w:val="en-US" w:eastAsia="en-US" w:bidi="ar-SA"/>
      </w:rPr>
    </w:lvl>
  </w:abstractNum>
  <w:abstractNum w:abstractNumId="118">
    <w:multiLevelType w:val="hybridMultilevel"/>
    <w:lvl w:ilvl="0">
      <w:start w:val="1"/>
      <w:numFmt w:val="lowerLetter"/>
      <w:lvlText w:val="%1."/>
      <w:lvlJc w:val="left"/>
      <w:pPr>
        <w:ind w:left="2467" w:hanging="368"/>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1"/>
      <w:numFmt w:val="lowerRoman"/>
      <w:lvlText w:val="%2."/>
      <w:lvlJc w:val="left"/>
      <w:pPr>
        <w:ind w:left="2784" w:hanging="260"/>
        <w:jc w:val="righ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1"/>
      <w:numFmt w:val="lowerLetter"/>
      <w:lvlText w:val="%3."/>
      <w:lvlJc w:val="left"/>
      <w:pPr>
        <w:ind w:left="3719" w:hanging="36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3">
      <w:start w:val="1"/>
      <w:numFmt w:val="lowerRoman"/>
      <w:lvlText w:val="%4."/>
      <w:lvlJc w:val="left"/>
      <w:pPr>
        <w:ind w:left="4439" w:hanging="296"/>
        <w:jc w:val="right"/>
      </w:pPr>
      <w:rPr>
        <w:rFonts w:hint="default" w:ascii="Times New Roman" w:hAnsi="Times New Roman" w:eastAsia="Times New Roman" w:cs="Times New Roman"/>
        <w:b w:val="0"/>
        <w:bCs w:val="0"/>
        <w:i w:val="0"/>
        <w:iCs w:val="0"/>
        <w:spacing w:val="0"/>
        <w:w w:val="100"/>
        <w:sz w:val="22"/>
        <w:szCs w:val="22"/>
        <w:lang w:val="en-US" w:eastAsia="en-US" w:bidi="ar-SA"/>
      </w:rPr>
    </w:lvl>
    <w:lvl w:ilvl="4">
      <w:start w:val="0"/>
      <w:numFmt w:val="bullet"/>
      <w:lvlText w:val="•"/>
      <w:lvlJc w:val="left"/>
      <w:pPr>
        <w:ind w:left="5177" w:hanging="296"/>
      </w:pPr>
      <w:rPr>
        <w:rFonts w:hint="default"/>
        <w:lang w:val="en-US" w:eastAsia="en-US" w:bidi="ar-SA"/>
      </w:rPr>
    </w:lvl>
    <w:lvl w:ilvl="5">
      <w:start w:val="0"/>
      <w:numFmt w:val="bullet"/>
      <w:lvlText w:val="•"/>
      <w:lvlJc w:val="left"/>
      <w:pPr>
        <w:ind w:left="5914" w:hanging="296"/>
      </w:pPr>
      <w:rPr>
        <w:rFonts w:hint="default"/>
        <w:lang w:val="en-US" w:eastAsia="en-US" w:bidi="ar-SA"/>
      </w:rPr>
    </w:lvl>
    <w:lvl w:ilvl="6">
      <w:start w:val="0"/>
      <w:numFmt w:val="bullet"/>
      <w:lvlText w:val="•"/>
      <w:lvlJc w:val="left"/>
      <w:pPr>
        <w:ind w:left="6651" w:hanging="296"/>
      </w:pPr>
      <w:rPr>
        <w:rFonts w:hint="default"/>
        <w:lang w:val="en-US" w:eastAsia="en-US" w:bidi="ar-SA"/>
      </w:rPr>
    </w:lvl>
    <w:lvl w:ilvl="7">
      <w:start w:val="0"/>
      <w:numFmt w:val="bullet"/>
      <w:lvlText w:val="•"/>
      <w:lvlJc w:val="left"/>
      <w:pPr>
        <w:ind w:left="7388" w:hanging="296"/>
      </w:pPr>
      <w:rPr>
        <w:rFonts w:hint="default"/>
        <w:lang w:val="en-US" w:eastAsia="en-US" w:bidi="ar-SA"/>
      </w:rPr>
    </w:lvl>
    <w:lvl w:ilvl="8">
      <w:start w:val="0"/>
      <w:numFmt w:val="bullet"/>
      <w:lvlText w:val="•"/>
      <w:lvlJc w:val="left"/>
      <w:pPr>
        <w:ind w:left="8125" w:hanging="296"/>
      </w:pPr>
      <w:rPr>
        <w:rFonts w:hint="default"/>
        <w:lang w:val="en-US" w:eastAsia="en-US" w:bidi="ar-SA"/>
      </w:rPr>
    </w:lvl>
  </w:abstractNum>
  <w:abstractNum w:abstractNumId="117">
    <w:multiLevelType w:val="hybridMultilevel"/>
    <w:lvl w:ilvl="0">
      <w:start w:val="1"/>
      <w:numFmt w:val="lowerLetter"/>
      <w:lvlText w:val="%1."/>
      <w:lvlJc w:val="left"/>
      <w:pPr>
        <w:ind w:left="2467" w:hanging="368"/>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1"/>
      <w:numFmt w:val="lowerRoman"/>
      <w:lvlText w:val="%2."/>
      <w:lvlJc w:val="left"/>
      <w:pPr>
        <w:ind w:left="2783" w:hanging="260"/>
        <w:jc w:val="righ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3537" w:hanging="260"/>
      </w:pPr>
      <w:rPr>
        <w:rFonts w:hint="default"/>
        <w:lang w:val="en-US" w:eastAsia="en-US" w:bidi="ar-SA"/>
      </w:rPr>
    </w:lvl>
    <w:lvl w:ilvl="3">
      <w:start w:val="0"/>
      <w:numFmt w:val="bullet"/>
      <w:lvlText w:val="•"/>
      <w:lvlJc w:val="left"/>
      <w:pPr>
        <w:ind w:left="4295" w:hanging="260"/>
      </w:pPr>
      <w:rPr>
        <w:rFonts w:hint="default"/>
        <w:lang w:val="en-US" w:eastAsia="en-US" w:bidi="ar-SA"/>
      </w:rPr>
    </w:lvl>
    <w:lvl w:ilvl="4">
      <w:start w:val="0"/>
      <w:numFmt w:val="bullet"/>
      <w:lvlText w:val="•"/>
      <w:lvlJc w:val="left"/>
      <w:pPr>
        <w:ind w:left="5053" w:hanging="260"/>
      </w:pPr>
      <w:rPr>
        <w:rFonts w:hint="default"/>
        <w:lang w:val="en-US" w:eastAsia="en-US" w:bidi="ar-SA"/>
      </w:rPr>
    </w:lvl>
    <w:lvl w:ilvl="5">
      <w:start w:val="0"/>
      <w:numFmt w:val="bullet"/>
      <w:lvlText w:val="•"/>
      <w:lvlJc w:val="left"/>
      <w:pPr>
        <w:ind w:left="5811" w:hanging="260"/>
      </w:pPr>
      <w:rPr>
        <w:rFonts w:hint="default"/>
        <w:lang w:val="en-US" w:eastAsia="en-US" w:bidi="ar-SA"/>
      </w:rPr>
    </w:lvl>
    <w:lvl w:ilvl="6">
      <w:start w:val="0"/>
      <w:numFmt w:val="bullet"/>
      <w:lvlText w:val="•"/>
      <w:lvlJc w:val="left"/>
      <w:pPr>
        <w:ind w:left="6568" w:hanging="260"/>
      </w:pPr>
      <w:rPr>
        <w:rFonts w:hint="default"/>
        <w:lang w:val="en-US" w:eastAsia="en-US" w:bidi="ar-SA"/>
      </w:rPr>
    </w:lvl>
    <w:lvl w:ilvl="7">
      <w:start w:val="0"/>
      <w:numFmt w:val="bullet"/>
      <w:lvlText w:val="•"/>
      <w:lvlJc w:val="left"/>
      <w:pPr>
        <w:ind w:left="7326" w:hanging="260"/>
      </w:pPr>
      <w:rPr>
        <w:rFonts w:hint="default"/>
        <w:lang w:val="en-US" w:eastAsia="en-US" w:bidi="ar-SA"/>
      </w:rPr>
    </w:lvl>
    <w:lvl w:ilvl="8">
      <w:start w:val="0"/>
      <w:numFmt w:val="bullet"/>
      <w:lvlText w:val="•"/>
      <w:lvlJc w:val="left"/>
      <w:pPr>
        <w:ind w:left="8084" w:hanging="260"/>
      </w:pPr>
      <w:rPr>
        <w:rFonts w:hint="default"/>
        <w:lang w:val="en-US" w:eastAsia="en-US" w:bidi="ar-SA"/>
      </w:rPr>
    </w:lvl>
  </w:abstractNum>
  <w:abstractNum w:abstractNumId="116">
    <w:multiLevelType w:val="hybridMultilevel"/>
    <w:lvl w:ilvl="0">
      <w:start w:val="1"/>
      <w:numFmt w:val="lowerLetter"/>
      <w:lvlText w:val="%1."/>
      <w:lvlJc w:val="left"/>
      <w:pPr>
        <w:ind w:left="2466" w:hanging="368"/>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3174" w:hanging="368"/>
      </w:pPr>
      <w:rPr>
        <w:rFonts w:hint="default"/>
        <w:lang w:val="en-US" w:eastAsia="en-US" w:bidi="ar-SA"/>
      </w:rPr>
    </w:lvl>
    <w:lvl w:ilvl="2">
      <w:start w:val="0"/>
      <w:numFmt w:val="bullet"/>
      <w:lvlText w:val="•"/>
      <w:lvlJc w:val="left"/>
      <w:pPr>
        <w:ind w:left="3888" w:hanging="368"/>
      </w:pPr>
      <w:rPr>
        <w:rFonts w:hint="default"/>
        <w:lang w:val="en-US" w:eastAsia="en-US" w:bidi="ar-SA"/>
      </w:rPr>
    </w:lvl>
    <w:lvl w:ilvl="3">
      <w:start w:val="0"/>
      <w:numFmt w:val="bullet"/>
      <w:lvlText w:val="•"/>
      <w:lvlJc w:val="left"/>
      <w:pPr>
        <w:ind w:left="4602" w:hanging="368"/>
      </w:pPr>
      <w:rPr>
        <w:rFonts w:hint="default"/>
        <w:lang w:val="en-US" w:eastAsia="en-US" w:bidi="ar-SA"/>
      </w:rPr>
    </w:lvl>
    <w:lvl w:ilvl="4">
      <w:start w:val="0"/>
      <w:numFmt w:val="bullet"/>
      <w:lvlText w:val="•"/>
      <w:lvlJc w:val="left"/>
      <w:pPr>
        <w:ind w:left="5316" w:hanging="368"/>
      </w:pPr>
      <w:rPr>
        <w:rFonts w:hint="default"/>
        <w:lang w:val="en-US" w:eastAsia="en-US" w:bidi="ar-SA"/>
      </w:rPr>
    </w:lvl>
    <w:lvl w:ilvl="5">
      <w:start w:val="0"/>
      <w:numFmt w:val="bullet"/>
      <w:lvlText w:val="•"/>
      <w:lvlJc w:val="left"/>
      <w:pPr>
        <w:ind w:left="6030" w:hanging="368"/>
      </w:pPr>
      <w:rPr>
        <w:rFonts w:hint="default"/>
        <w:lang w:val="en-US" w:eastAsia="en-US" w:bidi="ar-SA"/>
      </w:rPr>
    </w:lvl>
    <w:lvl w:ilvl="6">
      <w:start w:val="0"/>
      <w:numFmt w:val="bullet"/>
      <w:lvlText w:val="•"/>
      <w:lvlJc w:val="left"/>
      <w:pPr>
        <w:ind w:left="6744" w:hanging="368"/>
      </w:pPr>
      <w:rPr>
        <w:rFonts w:hint="default"/>
        <w:lang w:val="en-US" w:eastAsia="en-US" w:bidi="ar-SA"/>
      </w:rPr>
    </w:lvl>
    <w:lvl w:ilvl="7">
      <w:start w:val="0"/>
      <w:numFmt w:val="bullet"/>
      <w:lvlText w:val="•"/>
      <w:lvlJc w:val="left"/>
      <w:pPr>
        <w:ind w:left="7458" w:hanging="368"/>
      </w:pPr>
      <w:rPr>
        <w:rFonts w:hint="default"/>
        <w:lang w:val="en-US" w:eastAsia="en-US" w:bidi="ar-SA"/>
      </w:rPr>
    </w:lvl>
    <w:lvl w:ilvl="8">
      <w:start w:val="0"/>
      <w:numFmt w:val="bullet"/>
      <w:lvlText w:val="•"/>
      <w:lvlJc w:val="left"/>
      <w:pPr>
        <w:ind w:left="8172" w:hanging="368"/>
      </w:pPr>
      <w:rPr>
        <w:rFonts w:hint="default"/>
        <w:lang w:val="en-US" w:eastAsia="en-US" w:bidi="ar-SA"/>
      </w:rPr>
    </w:lvl>
  </w:abstractNum>
  <w:abstractNum w:abstractNumId="120">
    <w:multiLevelType w:val="hybridMultilevel"/>
    <w:lvl w:ilvl="0">
      <w:start w:val="1"/>
      <w:numFmt w:val="lowerLetter"/>
      <w:lvlText w:val="%1."/>
      <w:lvlJc w:val="left"/>
      <w:pPr>
        <w:ind w:left="2495" w:hanging="389"/>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1"/>
      <w:numFmt w:val="lowerRoman"/>
      <w:lvlText w:val="%2."/>
      <w:lvlJc w:val="left"/>
      <w:pPr>
        <w:ind w:left="2639" w:hanging="296"/>
        <w:jc w:val="righ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3413" w:hanging="296"/>
      </w:pPr>
      <w:rPr>
        <w:rFonts w:hint="default"/>
        <w:lang w:val="en-US" w:eastAsia="en-US" w:bidi="ar-SA"/>
      </w:rPr>
    </w:lvl>
    <w:lvl w:ilvl="3">
      <w:start w:val="0"/>
      <w:numFmt w:val="bullet"/>
      <w:lvlText w:val="•"/>
      <w:lvlJc w:val="left"/>
      <w:pPr>
        <w:ind w:left="4186" w:hanging="296"/>
      </w:pPr>
      <w:rPr>
        <w:rFonts w:hint="default"/>
        <w:lang w:val="en-US" w:eastAsia="en-US" w:bidi="ar-SA"/>
      </w:rPr>
    </w:lvl>
    <w:lvl w:ilvl="4">
      <w:start w:val="0"/>
      <w:numFmt w:val="bullet"/>
      <w:lvlText w:val="•"/>
      <w:lvlJc w:val="left"/>
      <w:pPr>
        <w:ind w:left="4960" w:hanging="296"/>
      </w:pPr>
      <w:rPr>
        <w:rFonts w:hint="default"/>
        <w:lang w:val="en-US" w:eastAsia="en-US" w:bidi="ar-SA"/>
      </w:rPr>
    </w:lvl>
    <w:lvl w:ilvl="5">
      <w:start w:val="0"/>
      <w:numFmt w:val="bullet"/>
      <w:lvlText w:val="•"/>
      <w:lvlJc w:val="left"/>
      <w:pPr>
        <w:ind w:left="5733" w:hanging="296"/>
      </w:pPr>
      <w:rPr>
        <w:rFonts w:hint="default"/>
        <w:lang w:val="en-US" w:eastAsia="en-US" w:bidi="ar-SA"/>
      </w:rPr>
    </w:lvl>
    <w:lvl w:ilvl="6">
      <w:start w:val="0"/>
      <w:numFmt w:val="bullet"/>
      <w:lvlText w:val="•"/>
      <w:lvlJc w:val="left"/>
      <w:pPr>
        <w:ind w:left="6506" w:hanging="296"/>
      </w:pPr>
      <w:rPr>
        <w:rFonts w:hint="default"/>
        <w:lang w:val="en-US" w:eastAsia="en-US" w:bidi="ar-SA"/>
      </w:rPr>
    </w:lvl>
    <w:lvl w:ilvl="7">
      <w:start w:val="0"/>
      <w:numFmt w:val="bullet"/>
      <w:lvlText w:val="•"/>
      <w:lvlJc w:val="left"/>
      <w:pPr>
        <w:ind w:left="7280" w:hanging="296"/>
      </w:pPr>
      <w:rPr>
        <w:rFonts w:hint="default"/>
        <w:lang w:val="en-US" w:eastAsia="en-US" w:bidi="ar-SA"/>
      </w:rPr>
    </w:lvl>
    <w:lvl w:ilvl="8">
      <w:start w:val="0"/>
      <w:numFmt w:val="bullet"/>
      <w:lvlText w:val="•"/>
      <w:lvlJc w:val="left"/>
      <w:pPr>
        <w:ind w:left="8053" w:hanging="296"/>
      </w:pPr>
      <w:rPr>
        <w:rFonts w:hint="default"/>
        <w:lang w:val="en-US" w:eastAsia="en-US" w:bidi="ar-SA"/>
      </w:rPr>
    </w:lvl>
  </w:abstractNum>
  <w:abstractNum w:abstractNumId="115">
    <w:multiLevelType w:val="hybridMultilevel"/>
    <w:lvl w:ilvl="0">
      <w:start w:val="1"/>
      <w:numFmt w:val="upperRoman"/>
      <w:lvlText w:val="%1."/>
      <w:lvlJc w:val="left"/>
      <w:pPr>
        <w:ind w:left="479" w:hanging="360"/>
        <w:jc w:val="left"/>
      </w:pPr>
      <w:rPr>
        <w:rFonts w:hint="default" w:ascii="Times New Roman" w:hAnsi="Times New Roman" w:eastAsia="Times New Roman" w:cs="Times New Roman"/>
        <w:b w:val="0"/>
        <w:bCs w:val="0"/>
        <w:i w:val="0"/>
        <w:iCs w:val="0"/>
        <w:spacing w:val="-4"/>
        <w:w w:val="100"/>
        <w:sz w:val="22"/>
        <w:szCs w:val="22"/>
        <w:lang w:val="en-US" w:eastAsia="en-US" w:bidi="ar-SA"/>
      </w:rPr>
    </w:lvl>
    <w:lvl w:ilvl="1">
      <w:start w:val="1"/>
      <w:numFmt w:val="upperLetter"/>
      <w:lvlText w:val="%2."/>
      <w:lvlJc w:val="left"/>
      <w:pPr>
        <w:ind w:left="839" w:hanging="360"/>
        <w:jc w:val="left"/>
      </w:pPr>
      <w:rPr>
        <w:rFonts w:hint="default"/>
        <w:spacing w:val="-2"/>
        <w:w w:val="100"/>
        <w:lang w:val="en-US" w:eastAsia="en-US" w:bidi="ar-SA"/>
      </w:rPr>
    </w:lvl>
    <w:lvl w:ilvl="2">
      <w:start w:val="1"/>
      <w:numFmt w:val="decimal"/>
      <w:lvlText w:val="%3."/>
      <w:lvlJc w:val="left"/>
      <w:pPr>
        <w:ind w:left="1560" w:hanging="360"/>
        <w:jc w:val="left"/>
      </w:pPr>
      <w:rPr>
        <w:rFonts w:hint="default"/>
        <w:spacing w:val="0"/>
        <w:w w:val="100"/>
        <w:lang w:val="en-US" w:eastAsia="en-US" w:bidi="ar-SA"/>
      </w:rPr>
    </w:lvl>
    <w:lvl w:ilvl="3">
      <w:start w:val="1"/>
      <w:numFmt w:val="lowerLetter"/>
      <w:lvlText w:val="%4."/>
      <w:lvlJc w:val="left"/>
      <w:pPr>
        <w:ind w:left="2467"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4">
      <w:start w:val="0"/>
      <w:numFmt w:val="bullet"/>
      <w:lvlText w:val="•"/>
      <w:lvlJc w:val="left"/>
      <w:pPr>
        <w:ind w:left="1560" w:hanging="360"/>
      </w:pPr>
      <w:rPr>
        <w:rFonts w:hint="default"/>
        <w:lang w:val="en-US" w:eastAsia="en-US" w:bidi="ar-SA"/>
      </w:rPr>
    </w:lvl>
    <w:lvl w:ilvl="5">
      <w:start w:val="0"/>
      <w:numFmt w:val="bullet"/>
      <w:lvlText w:val="•"/>
      <w:lvlJc w:val="left"/>
      <w:pPr>
        <w:ind w:left="2460" w:hanging="360"/>
      </w:pPr>
      <w:rPr>
        <w:rFonts w:hint="default"/>
        <w:lang w:val="en-US" w:eastAsia="en-US" w:bidi="ar-SA"/>
      </w:rPr>
    </w:lvl>
    <w:lvl w:ilvl="6">
      <w:start w:val="0"/>
      <w:numFmt w:val="bullet"/>
      <w:lvlText w:val="•"/>
      <w:lvlJc w:val="left"/>
      <w:pPr>
        <w:ind w:left="3888" w:hanging="360"/>
      </w:pPr>
      <w:rPr>
        <w:rFonts w:hint="default"/>
        <w:lang w:val="en-US" w:eastAsia="en-US" w:bidi="ar-SA"/>
      </w:rPr>
    </w:lvl>
    <w:lvl w:ilvl="7">
      <w:start w:val="0"/>
      <w:numFmt w:val="bullet"/>
      <w:lvlText w:val="•"/>
      <w:lvlJc w:val="left"/>
      <w:pPr>
        <w:ind w:left="5316" w:hanging="360"/>
      </w:pPr>
      <w:rPr>
        <w:rFonts w:hint="default"/>
        <w:lang w:val="en-US" w:eastAsia="en-US" w:bidi="ar-SA"/>
      </w:rPr>
    </w:lvl>
    <w:lvl w:ilvl="8">
      <w:start w:val="0"/>
      <w:numFmt w:val="bullet"/>
      <w:lvlText w:val="•"/>
      <w:lvlJc w:val="left"/>
      <w:pPr>
        <w:ind w:left="6744" w:hanging="360"/>
      </w:pPr>
      <w:rPr>
        <w:rFonts w:hint="default"/>
        <w:lang w:val="en-US" w:eastAsia="en-US" w:bidi="ar-SA"/>
      </w:rPr>
    </w:lvl>
  </w:abstractNum>
  <w:abstractNum w:abstractNumId="114">
    <w:multiLevelType w:val="hybridMultilevel"/>
    <w:lvl w:ilvl="0">
      <w:start w:val="0"/>
      <w:numFmt w:val="bullet"/>
      <w:lvlText w:val=""/>
      <w:lvlJc w:val="left"/>
      <w:pPr>
        <w:ind w:left="451" w:hanging="344"/>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176" w:hanging="344"/>
      </w:pPr>
      <w:rPr>
        <w:rFonts w:hint="default"/>
        <w:lang w:val="en-US" w:eastAsia="en-US" w:bidi="ar-SA"/>
      </w:rPr>
    </w:lvl>
    <w:lvl w:ilvl="2">
      <w:start w:val="0"/>
      <w:numFmt w:val="bullet"/>
      <w:lvlText w:val="•"/>
      <w:lvlJc w:val="left"/>
      <w:pPr>
        <w:ind w:left="1892" w:hanging="344"/>
      </w:pPr>
      <w:rPr>
        <w:rFonts w:hint="default"/>
        <w:lang w:val="en-US" w:eastAsia="en-US" w:bidi="ar-SA"/>
      </w:rPr>
    </w:lvl>
    <w:lvl w:ilvl="3">
      <w:start w:val="0"/>
      <w:numFmt w:val="bullet"/>
      <w:lvlText w:val="•"/>
      <w:lvlJc w:val="left"/>
      <w:pPr>
        <w:ind w:left="2608" w:hanging="344"/>
      </w:pPr>
      <w:rPr>
        <w:rFonts w:hint="default"/>
        <w:lang w:val="en-US" w:eastAsia="en-US" w:bidi="ar-SA"/>
      </w:rPr>
    </w:lvl>
    <w:lvl w:ilvl="4">
      <w:start w:val="0"/>
      <w:numFmt w:val="bullet"/>
      <w:lvlText w:val="•"/>
      <w:lvlJc w:val="left"/>
      <w:pPr>
        <w:ind w:left="3324" w:hanging="344"/>
      </w:pPr>
      <w:rPr>
        <w:rFonts w:hint="default"/>
        <w:lang w:val="en-US" w:eastAsia="en-US" w:bidi="ar-SA"/>
      </w:rPr>
    </w:lvl>
    <w:lvl w:ilvl="5">
      <w:start w:val="0"/>
      <w:numFmt w:val="bullet"/>
      <w:lvlText w:val="•"/>
      <w:lvlJc w:val="left"/>
      <w:pPr>
        <w:ind w:left="4041" w:hanging="344"/>
      </w:pPr>
      <w:rPr>
        <w:rFonts w:hint="default"/>
        <w:lang w:val="en-US" w:eastAsia="en-US" w:bidi="ar-SA"/>
      </w:rPr>
    </w:lvl>
    <w:lvl w:ilvl="6">
      <w:start w:val="0"/>
      <w:numFmt w:val="bullet"/>
      <w:lvlText w:val="•"/>
      <w:lvlJc w:val="left"/>
      <w:pPr>
        <w:ind w:left="4757" w:hanging="344"/>
      </w:pPr>
      <w:rPr>
        <w:rFonts w:hint="default"/>
        <w:lang w:val="en-US" w:eastAsia="en-US" w:bidi="ar-SA"/>
      </w:rPr>
    </w:lvl>
    <w:lvl w:ilvl="7">
      <w:start w:val="0"/>
      <w:numFmt w:val="bullet"/>
      <w:lvlText w:val="•"/>
      <w:lvlJc w:val="left"/>
      <w:pPr>
        <w:ind w:left="5473" w:hanging="344"/>
      </w:pPr>
      <w:rPr>
        <w:rFonts w:hint="default"/>
        <w:lang w:val="en-US" w:eastAsia="en-US" w:bidi="ar-SA"/>
      </w:rPr>
    </w:lvl>
    <w:lvl w:ilvl="8">
      <w:start w:val="0"/>
      <w:numFmt w:val="bullet"/>
      <w:lvlText w:val="•"/>
      <w:lvlJc w:val="left"/>
      <w:pPr>
        <w:ind w:left="6189" w:hanging="344"/>
      </w:pPr>
      <w:rPr>
        <w:rFonts w:hint="default"/>
        <w:lang w:val="en-US" w:eastAsia="en-US" w:bidi="ar-SA"/>
      </w:rPr>
    </w:lvl>
  </w:abstractNum>
  <w:abstractNum w:abstractNumId="113">
    <w:multiLevelType w:val="hybridMultilevel"/>
    <w:lvl w:ilvl="0">
      <w:start w:val="0"/>
      <w:numFmt w:val="bullet"/>
      <w:lvlText w:val=""/>
      <w:lvlJc w:val="left"/>
      <w:pPr>
        <w:ind w:left="343" w:hanging="344"/>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572" w:hanging="344"/>
      </w:pPr>
      <w:rPr>
        <w:rFonts w:hint="default"/>
        <w:lang w:val="en-US" w:eastAsia="en-US" w:bidi="ar-SA"/>
      </w:rPr>
    </w:lvl>
    <w:lvl w:ilvl="2">
      <w:start w:val="0"/>
      <w:numFmt w:val="bullet"/>
      <w:lvlText w:val="•"/>
      <w:lvlJc w:val="left"/>
      <w:pPr>
        <w:ind w:left="805" w:hanging="344"/>
      </w:pPr>
      <w:rPr>
        <w:rFonts w:hint="default"/>
        <w:lang w:val="en-US" w:eastAsia="en-US" w:bidi="ar-SA"/>
      </w:rPr>
    </w:lvl>
    <w:lvl w:ilvl="3">
      <w:start w:val="0"/>
      <w:numFmt w:val="bullet"/>
      <w:lvlText w:val="•"/>
      <w:lvlJc w:val="left"/>
      <w:pPr>
        <w:ind w:left="1038" w:hanging="344"/>
      </w:pPr>
      <w:rPr>
        <w:rFonts w:hint="default"/>
        <w:lang w:val="en-US" w:eastAsia="en-US" w:bidi="ar-SA"/>
      </w:rPr>
    </w:lvl>
    <w:lvl w:ilvl="4">
      <w:start w:val="0"/>
      <w:numFmt w:val="bullet"/>
      <w:lvlText w:val="•"/>
      <w:lvlJc w:val="left"/>
      <w:pPr>
        <w:ind w:left="1270" w:hanging="344"/>
      </w:pPr>
      <w:rPr>
        <w:rFonts w:hint="default"/>
        <w:lang w:val="en-US" w:eastAsia="en-US" w:bidi="ar-SA"/>
      </w:rPr>
    </w:lvl>
    <w:lvl w:ilvl="5">
      <w:start w:val="0"/>
      <w:numFmt w:val="bullet"/>
      <w:lvlText w:val="•"/>
      <w:lvlJc w:val="left"/>
      <w:pPr>
        <w:ind w:left="1503" w:hanging="344"/>
      </w:pPr>
      <w:rPr>
        <w:rFonts w:hint="default"/>
        <w:lang w:val="en-US" w:eastAsia="en-US" w:bidi="ar-SA"/>
      </w:rPr>
    </w:lvl>
    <w:lvl w:ilvl="6">
      <w:start w:val="0"/>
      <w:numFmt w:val="bullet"/>
      <w:lvlText w:val="•"/>
      <w:lvlJc w:val="left"/>
      <w:pPr>
        <w:ind w:left="1735" w:hanging="344"/>
      </w:pPr>
      <w:rPr>
        <w:rFonts w:hint="default"/>
        <w:lang w:val="en-US" w:eastAsia="en-US" w:bidi="ar-SA"/>
      </w:rPr>
    </w:lvl>
    <w:lvl w:ilvl="7">
      <w:start w:val="0"/>
      <w:numFmt w:val="bullet"/>
      <w:lvlText w:val="•"/>
      <w:lvlJc w:val="left"/>
      <w:pPr>
        <w:ind w:left="1968" w:hanging="344"/>
      </w:pPr>
      <w:rPr>
        <w:rFonts w:hint="default"/>
        <w:lang w:val="en-US" w:eastAsia="en-US" w:bidi="ar-SA"/>
      </w:rPr>
    </w:lvl>
    <w:lvl w:ilvl="8">
      <w:start w:val="0"/>
      <w:numFmt w:val="bullet"/>
      <w:lvlText w:val="•"/>
      <w:lvlJc w:val="left"/>
      <w:pPr>
        <w:ind w:left="2201" w:hanging="344"/>
      </w:pPr>
      <w:rPr>
        <w:rFonts w:hint="default"/>
        <w:lang w:val="en-US" w:eastAsia="en-US" w:bidi="ar-SA"/>
      </w:rPr>
    </w:lvl>
  </w:abstractNum>
  <w:abstractNum w:abstractNumId="112">
    <w:multiLevelType w:val="hybridMultilevel"/>
    <w:lvl w:ilvl="0">
      <w:start w:val="0"/>
      <w:numFmt w:val="bullet"/>
      <w:lvlText w:val=""/>
      <w:lvlJc w:val="left"/>
      <w:pPr>
        <w:ind w:left="446" w:hanging="344"/>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158" w:hanging="344"/>
      </w:pPr>
      <w:rPr>
        <w:rFonts w:hint="default"/>
        <w:lang w:val="en-US" w:eastAsia="en-US" w:bidi="ar-SA"/>
      </w:rPr>
    </w:lvl>
    <w:lvl w:ilvl="2">
      <w:start w:val="0"/>
      <w:numFmt w:val="bullet"/>
      <w:lvlText w:val="•"/>
      <w:lvlJc w:val="left"/>
      <w:pPr>
        <w:ind w:left="1876" w:hanging="344"/>
      </w:pPr>
      <w:rPr>
        <w:rFonts w:hint="default"/>
        <w:lang w:val="en-US" w:eastAsia="en-US" w:bidi="ar-SA"/>
      </w:rPr>
    </w:lvl>
    <w:lvl w:ilvl="3">
      <w:start w:val="0"/>
      <w:numFmt w:val="bullet"/>
      <w:lvlText w:val="•"/>
      <w:lvlJc w:val="left"/>
      <w:pPr>
        <w:ind w:left="2594" w:hanging="344"/>
      </w:pPr>
      <w:rPr>
        <w:rFonts w:hint="default"/>
        <w:lang w:val="en-US" w:eastAsia="en-US" w:bidi="ar-SA"/>
      </w:rPr>
    </w:lvl>
    <w:lvl w:ilvl="4">
      <w:start w:val="0"/>
      <w:numFmt w:val="bullet"/>
      <w:lvlText w:val="•"/>
      <w:lvlJc w:val="left"/>
      <w:pPr>
        <w:ind w:left="3312" w:hanging="344"/>
      </w:pPr>
      <w:rPr>
        <w:rFonts w:hint="default"/>
        <w:lang w:val="en-US" w:eastAsia="en-US" w:bidi="ar-SA"/>
      </w:rPr>
    </w:lvl>
    <w:lvl w:ilvl="5">
      <w:start w:val="0"/>
      <w:numFmt w:val="bullet"/>
      <w:lvlText w:val="•"/>
      <w:lvlJc w:val="left"/>
      <w:pPr>
        <w:ind w:left="4031" w:hanging="344"/>
      </w:pPr>
      <w:rPr>
        <w:rFonts w:hint="default"/>
        <w:lang w:val="en-US" w:eastAsia="en-US" w:bidi="ar-SA"/>
      </w:rPr>
    </w:lvl>
    <w:lvl w:ilvl="6">
      <w:start w:val="0"/>
      <w:numFmt w:val="bullet"/>
      <w:lvlText w:val="•"/>
      <w:lvlJc w:val="left"/>
      <w:pPr>
        <w:ind w:left="4749" w:hanging="344"/>
      </w:pPr>
      <w:rPr>
        <w:rFonts w:hint="default"/>
        <w:lang w:val="en-US" w:eastAsia="en-US" w:bidi="ar-SA"/>
      </w:rPr>
    </w:lvl>
    <w:lvl w:ilvl="7">
      <w:start w:val="0"/>
      <w:numFmt w:val="bullet"/>
      <w:lvlText w:val="•"/>
      <w:lvlJc w:val="left"/>
      <w:pPr>
        <w:ind w:left="5467" w:hanging="344"/>
      </w:pPr>
      <w:rPr>
        <w:rFonts w:hint="default"/>
        <w:lang w:val="en-US" w:eastAsia="en-US" w:bidi="ar-SA"/>
      </w:rPr>
    </w:lvl>
    <w:lvl w:ilvl="8">
      <w:start w:val="0"/>
      <w:numFmt w:val="bullet"/>
      <w:lvlText w:val="•"/>
      <w:lvlJc w:val="left"/>
      <w:pPr>
        <w:ind w:left="6185" w:hanging="344"/>
      </w:pPr>
      <w:rPr>
        <w:rFonts w:hint="default"/>
        <w:lang w:val="en-US" w:eastAsia="en-US" w:bidi="ar-SA"/>
      </w:rPr>
    </w:lvl>
  </w:abstractNum>
  <w:abstractNum w:abstractNumId="111">
    <w:multiLevelType w:val="hybridMultilevel"/>
    <w:lvl w:ilvl="0">
      <w:start w:val="0"/>
      <w:numFmt w:val="bullet"/>
      <w:lvlText w:val=""/>
      <w:lvlJc w:val="left"/>
      <w:pPr>
        <w:ind w:left="1995"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968" w:hanging="361"/>
      </w:pPr>
      <w:rPr>
        <w:rFonts w:hint="default"/>
        <w:lang w:val="en-US" w:eastAsia="en-US" w:bidi="ar-SA"/>
      </w:rPr>
    </w:lvl>
    <w:lvl w:ilvl="2">
      <w:start w:val="0"/>
      <w:numFmt w:val="bullet"/>
      <w:lvlText w:val="•"/>
      <w:lvlJc w:val="left"/>
      <w:pPr>
        <w:ind w:left="3936" w:hanging="361"/>
      </w:pPr>
      <w:rPr>
        <w:rFonts w:hint="default"/>
        <w:lang w:val="en-US" w:eastAsia="en-US" w:bidi="ar-SA"/>
      </w:rPr>
    </w:lvl>
    <w:lvl w:ilvl="3">
      <w:start w:val="0"/>
      <w:numFmt w:val="bullet"/>
      <w:lvlText w:val="•"/>
      <w:lvlJc w:val="left"/>
      <w:pPr>
        <w:ind w:left="4904" w:hanging="361"/>
      </w:pPr>
      <w:rPr>
        <w:rFonts w:hint="default"/>
        <w:lang w:val="en-US" w:eastAsia="en-US" w:bidi="ar-SA"/>
      </w:rPr>
    </w:lvl>
    <w:lvl w:ilvl="4">
      <w:start w:val="0"/>
      <w:numFmt w:val="bullet"/>
      <w:lvlText w:val="•"/>
      <w:lvlJc w:val="left"/>
      <w:pPr>
        <w:ind w:left="5872" w:hanging="361"/>
      </w:pPr>
      <w:rPr>
        <w:rFonts w:hint="default"/>
        <w:lang w:val="en-US" w:eastAsia="en-US" w:bidi="ar-SA"/>
      </w:rPr>
    </w:lvl>
    <w:lvl w:ilvl="5">
      <w:start w:val="0"/>
      <w:numFmt w:val="bullet"/>
      <w:lvlText w:val="•"/>
      <w:lvlJc w:val="left"/>
      <w:pPr>
        <w:ind w:left="6840" w:hanging="361"/>
      </w:pPr>
      <w:rPr>
        <w:rFonts w:hint="default"/>
        <w:lang w:val="en-US" w:eastAsia="en-US" w:bidi="ar-SA"/>
      </w:rPr>
    </w:lvl>
    <w:lvl w:ilvl="6">
      <w:start w:val="0"/>
      <w:numFmt w:val="bullet"/>
      <w:lvlText w:val="•"/>
      <w:lvlJc w:val="left"/>
      <w:pPr>
        <w:ind w:left="7808" w:hanging="361"/>
      </w:pPr>
      <w:rPr>
        <w:rFonts w:hint="default"/>
        <w:lang w:val="en-US" w:eastAsia="en-US" w:bidi="ar-SA"/>
      </w:rPr>
    </w:lvl>
    <w:lvl w:ilvl="7">
      <w:start w:val="0"/>
      <w:numFmt w:val="bullet"/>
      <w:lvlText w:val="•"/>
      <w:lvlJc w:val="left"/>
      <w:pPr>
        <w:ind w:left="8776" w:hanging="361"/>
      </w:pPr>
      <w:rPr>
        <w:rFonts w:hint="default"/>
        <w:lang w:val="en-US" w:eastAsia="en-US" w:bidi="ar-SA"/>
      </w:rPr>
    </w:lvl>
    <w:lvl w:ilvl="8">
      <w:start w:val="0"/>
      <w:numFmt w:val="bullet"/>
      <w:lvlText w:val="•"/>
      <w:lvlJc w:val="left"/>
      <w:pPr>
        <w:ind w:left="9744" w:hanging="361"/>
      </w:pPr>
      <w:rPr>
        <w:rFonts w:hint="default"/>
        <w:lang w:val="en-US" w:eastAsia="en-US" w:bidi="ar-SA"/>
      </w:rPr>
    </w:lvl>
  </w:abstractNum>
  <w:abstractNum w:abstractNumId="110">
    <w:multiLevelType w:val="hybridMultilevel"/>
    <w:lvl w:ilvl="0">
      <w:start w:val="1"/>
      <w:numFmt w:val="decimal"/>
      <w:lvlText w:val="%1."/>
      <w:lvlJc w:val="left"/>
      <w:pPr>
        <w:ind w:left="1580" w:hanging="361"/>
        <w:jc w:val="left"/>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2590" w:hanging="361"/>
      </w:pPr>
      <w:rPr>
        <w:rFonts w:hint="default"/>
        <w:lang w:val="en-US" w:eastAsia="en-US" w:bidi="ar-SA"/>
      </w:rPr>
    </w:lvl>
    <w:lvl w:ilvl="2">
      <w:start w:val="0"/>
      <w:numFmt w:val="bullet"/>
      <w:lvlText w:val="•"/>
      <w:lvlJc w:val="left"/>
      <w:pPr>
        <w:ind w:left="3600" w:hanging="361"/>
      </w:pPr>
      <w:rPr>
        <w:rFonts w:hint="default"/>
        <w:lang w:val="en-US" w:eastAsia="en-US" w:bidi="ar-SA"/>
      </w:rPr>
    </w:lvl>
    <w:lvl w:ilvl="3">
      <w:start w:val="0"/>
      <w:numFmt w:val="bullet"/>
      <w:lvlText w:val="•"/>
      <w:lvlJc w:val="left"/>
      <w:pPr>
        <w:ind w:left="4610" w:hanging="361"/>
      </w:pPr>
      <w:rPr>
        <w:rFonts w:hint="default"/>
        <w:lang w:val="en-US" w:eastAsia="en-US" w:bidi="ar-SA"/>
      </w:rPr>
    </w:lvl>
    <w:lvl w:ilvl="4">
      <w:start w:val="0"/>
      <w:numFmt w:val="bullet"/>
      <w:lvlText w:val="•"/>
      <w:lvlJc w:val="left"/>
      <w:pPr>
        <w:ind w:left="5620" w:hanging="361"/>
      </w:pPr>
      <w:rPr>
        <w:rFonts w:hint="default"/>
        <w:lang w:val="en-US" w:eastAsia="en-US" w:bidi="ar-SA"/>
      </w:rPr>
    </w:lvl>
    <w:lvl w:ilvl="5">
      <w:start w:val="0"/>
      <w:numFmt w:val="bullet"/>
      <w:lvlText w:val="•"/>
      <w:lvlJc w:val="left"/>
      <w:pPr>
        <w:ind w:left="6630" w:hanging="361"/>
      </w:pPr>
      <w:rPr>
        <w:rFonts w:hint="default"/>
        <w:lang w:val="en-US" w:eastAsia="en-US" w:bidi="ar-SA"/>
      </w:rPr>
    </w:lvl>
    <w:lvl w:ilvl="6">
      <w:start w:val="0"/>
      <w:numFmt w:val="bullet"/>
      <w:lvlText w:val="•"/>
      <w:lvlJc w:val="left"/>
      <w:pPr>
        <w:ind w:left="7640" w:hanging="361"/>
      </w:pPr>
      <w:rPr>
        <w:rFonts w:hint="default"/>
        <w:lang w:val="en-US" w:eastAsia="en-US" w:bidi="ar-SA"/>
      </w:rPr>
    </w:lvl>
    <w:lvl w:ilvl="7">
      <w:start w:val="0"/>
      <w:numFmt w:val="bullet"/>
      <w:lvlText w:val="•"/>
      <w:lvlJc w:val="left"/>
      <w:pPr>
        <w:ind w:left="8650" w:hanging="361"/>
      </w:pPr>
      <w:rPr>
        <w:rFonts w:hint="default"/>
        <w:lang w:val="en-US" w:eastAsia="en-US" w:bidi="ar-SA"/>
      </w:rPr>
    </w:lvl>
    <w:lvl w:ilvl="8">
      <w:start w:val="0"/>
      <w:numFmt w:val="bullet"/>
      <w:lvlText w:val="•"/>
      <w:lvlJc w:val="left"/>
      <w:pPr>
        <w:ind w:left="9660" w:hanging="361"/>
      </w:pPr>
      <w:rPr>
        <w:rFonts w:hint="default"/>
        <w:lang w:val="en-US" w:eastAsia="en-US" w:bidi="ar-SA"/>
      </w:rPr>
    </w:lvl>
  </w:abstractNum>
  <w:abstractNum w:abstractNumId="109">
    <w:multiLevelType w:val="hybridMultilevel"/>
    <w:lvl w:ilvl="0">
      <w:start w:val="0"/>
      <w:numFmt w:val="bullet"/>
      <w:lvlText w:val=""/>
      <w:lvlJc w:val="left"/>
      <w:pPr>
        <w:ind w:left="194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914" w:hanging="361"/>
      </w:pPr>
      <w:rPr>
        <w:rFonts w:hint="default"/>
        <w:lang w:val="en-US" w:eastAsia="en-US" w:bidi="ar-SA"/>
      </w:rPr>
    </w:lvl>
    <w:lvl w:ilvl="2">
      <w:start w:val="0"/>
      <w:numFmt w:val="bullet"/>
      <w:lvlText w:val="•"/>
      <w:lvlJc w:val="left"/>
      <w:pPr>
        <w:ind w:left="3888" w:hanging="361"/>
      </w:pPr>
      <w:rPr>
        <w:rFonts w:hint="default"/>
        <w:lang w:val="en-US" w:eastAsia="en-US" w:bidi="ar-SA"/>
      </w:rPr>
    </w:lvl>
    <w:lvl w:ilvl="3">
      <w:start w:val="0"/>
      <w:numFmt w:val="bullet"/>
      <w:lvlText w:val="•"/>
      <w:lvlJc w:val="left"/>
      <w:pPr>
        <w:ind w:left="4862" w:hanging="361"/>
      </w:pPr>
      <w:rPr>
        <w:rFonts w:hint="default"/>
        <w:lang w:val="en-US" w:eastAsia="en-US" w:bidi="ar-SA"/>
      </w:rPr>
    </w:lvl>
    <w:lvl w:ilvl="4">
      <w:start w:val="0"/>
      <w:numFmt w:val="bullet"/>
      <w:lvlText w:val="•"/>
      <w:lvlJc w:val="left"/>
      <w:pPr>
        <w:ind w:left="5836" w:hanging="361"/>
      </w:pPr>
      <w:rPr>
        <w:rFonts w:hint="default"/>
        <w:lang w:val="en-US" w:eastAsia="en-US" w:bidi="ar-SA"/>
      </w:rPr>
    </w:lvl>
    <w:lvl w:ilvl="5">
      <w:start w:val="0"/>
      <w:numFmt w:val="bullet"/>
      <w:lvlText w:val="•"/>
      <w:lvlJc w:val="left"/>
      <w:pPr>
        <w:ind w:left="6810" w:hanging="361"/>
      </w:pPr>
      <w:rPr>
        <w:rFonts w:hint="default"/>
        <w:lang w:val="en-US" w:eastAsia="en-US" w:bidi="ar-SA"/>
      </w:rPr>
    </w:lvl>
    <w:lvl w:ilvl="6">
      <w:start w:val="0"/>
      <w:numFmt w:val="bullet"/>
      <w:lvlText w:val="•"/>
      <w:lvlJc w:val="left"/>
      <w:pPr>
        <w:ind w:left="7784" w:hanging="361"/>
      </w:pPr>
      <w:rPr>
        <w:rFonts w:hint="default"/>
        <w:lang w:val="en-US" w:eastAsia="en-US" w:bidi="ar-SA"/>
      </w:rPr>
    </w:lvl>
    <w:lvl w:ilvl="7">
      <w:start w:val="0"/>
      <w:numFmt w:val="bullet"/>
      <w:lvlText w:val="•"/>
      <w:lvlJc w:val="left"/>
      <w:pPr>
        <w:ind w:left="8758" w:hanging="361"/>
      </w:pPr>
      <w:rPr>
        <w:rFonts w:hint="default"/>
        <w:lang w:val="en-US" w:eastAsia="en-US" w:bidi="ar-SA"/>
      </w:rPr>
    </w:lvl>
    <w:lvl w:ilvl="8">
      <w:start w:val="0"/>
      <w:numFmt w:val="bullet"/>
      <w:lvlText w:val="•"/>
      <w:lvlJc w:val="left"/>
      <w:pPr>
        <w:ind w:left="9732" w:hanging="361"/>
      </w:pPr>
      <w:rPr>
        <w:rFonts w:hint="default"/>
        <w:lang w:val="en-US" w:eastAsia="en-US" w:bidi="ar-SA"/>
      </w:rPr>
    </w:lvl>
  </w:abstractNum>
  <w:abstractNum w:abstractNumId="108">
    <w:multiLevelType w:val="hybridMultilevel"/>
    <w:lvl w:ilvl="0">
      <w:start w:val="1"/>
      <w:numFmt w:val="decimal"/>
      <w:lvlText w:val="(%1)"/>
      <w:lvlJc w:val="left"/>
      <w:pPr>
        <w:ind w:left="1940" w:hanging="361"/>
        <w:jc w:val="left"/>
      </w:pPr>
      <w:rPr>
        <w:rFonts w:hint="default"/>
        <w:spacing w:val="0"/>
        <w:w w:val="100"/>
        <w:lang w:val="en-US" w:eastAsia="en-US" w:bidi="ar-SA"/>
      </w:rPr>
    </w:lvl>
    <w:lvl w:ilvl="1">
      <w:start w:val="0"/>
      <w:numFmt w:val="bullet"/>
      <w:lvlText w:val="•"/>
      <w:lvlJc w:val="left"/>
      <w:pPr>
        <w:ind w:left="2914" w:hanging="361"/>
      </w:pPr>
      <w:rPr>
        <w:rFonts w:hint="default"/>
        <w:lang w:val="en-US" w:eastAsia="en-US" w:bidi="ar-SA"/>
      </w:rPr>
    </w:lvl>
    <w:lvl w:ilvl="2">
      <w:start w:val="0"/>
      <w:numFmt w:val="bullet"/>
      <w:lvlText w:val="•"/>
      <w:lvlJc w:val="left"/>
      <w:pPr>
        <w:ind w:left="3888" w:hanging="361"/>
      </w:pPr>
      <w:rPr>
        <w:rFonts w:hint="default"/>
        <w:lang w:val="en-US" w:eastAsia="en-US" w:bidi="ar-SA"/>
      </w:rPr>
    </w:lvl>
    <w:lvl w:ilvl="3">
      <w:start w:val="0"/>
      <w:numFmt w:val="bullet"/>
      <w:lvlText w:val="•"/>
      <w:lvlJc w:val="left"/>
      <w:pPr>
        <w:ind w:left="4862" w:hanging="361"/>
      </w:pPr>
      <w:rPr>
        <w:rFonts w:hint="default"/>
        <w:lang w:val="en-US" w:eastAsia="en-US" w:bidi="ar-SA"/>
      </w:rPr>
    </w:lvl>
    <w:lvl w:ilvl="4">
      <w:start w:val="0"/>
      <w:numFmt w:val="bullet"/>
      <w:lvlText w:val="•"/>
      <w:lvlJc w:val="left"/>
      <w:pPr>
        <w:ind w:left="5836" w:hanging="361"/>
      </w:pPr>
      <w:rPr>
        <w:rFonts w:hint="default"/>
        <w:lang w:val="en-US" w:eastAsia="en-US" w:bidi="ar-SA"/>
      </w:rPr>
    </w:lvl>
    <w:lvl w:ilvl="5">
      <w:start w:val="0"/>
      <w:numFmt w:val="bullet"/>
      <w:lvlText w:val="•"/>
      <w:lvlJc w:val="left"/>
      <w:pPr>
        <w:ind w:left="6810" w:hanging="361"/>
      </w:pPr>
      <w:rPr>
        <w:rFonts w:hint="default"/>
        <w:lang w:val="en-US" w:eastAsia="en-US" w:bidi="ar-SA"/>
      </w:rPr>
    </w:lvl>
    <w:lvl w:ilvl="6">
      <w:start w:val="0"/>
      <w:numFmt w:val="bullet"/>
      <w:lvlText w:val="•"/>
      <w:lvlJc w:val="left"/>
      <w:pPr>
        <w:ind w:left="7784" w:hanging="361"/>
      </w:pPr>
      <w:rPr>
        <w:rFonts w:hint="default"/>
        <w:lang w:val="en-US" w:eastAsia="en-US" w:bidi="ar-SA"/>
      </w:rPr>
    </w:lvl>
    <w:lvl w:ilvl="7">
      <w:start w:val="0"/>
      <w:numFmt w:val="bullet"/>
      <w:lvlText w:val="•"/>
      <w:lvlJc w:val="left"/>
      <w:pPr>
        <w:ind w:left="8758" w:hanging="361"/>
      </w:pPr>
      <w:rPr>
        <w:rFonts w:hint="default"/>
        <w:lang w:val="en-US" w:eastAsia="en-US" w:bidi="ar-SA"/>
      </w:rPr>
    </w:lvl>
    <w:lvl w:ilvl="8">
      <w:start w:val="0"/>
      <w:numFmt w:val="bullet"/>
      <w:lvlText w:val="•"/>
      <w:lvlJc w:val="left"/>
      <w:pPr>
        <w:ind w:left="9732" w:hanging="361"/>
      </w:pPr>
      <w:rPr>
        <w:rFonts w:hint="default"/>
        <w:lang w:val="en-US" w:eastAsia="en-US" w:bidi="ar-SA"/>
      </w:rPr>
    </w:lvl>
  </w:abstractNum>
  <w:abstractNum w:abstractNumId="107">
    <w:multiLevelType w:val="hybridMultilevel"/>
    <w:lvl w:ilvl="0">
      <w:start w:val="0"/>
      <w:numFmt w:val="bullet"/>
      <w:lvlText w:val=""/>
      <w:lvlJc w:val="left"/>
      <w:pPr>
        <w:ind w:left="194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914" w:hanging="361"/>
      </w:pPr>
      <w:rPr>
        <w:rFonts w:hint="default"/>
        <w:lang w:val="en-US" w:eastAsia="en-US" w:bidi="ar-SA"/>
      </w:rPr>
    </w:lvl>
    <w:lvl w:ilvl="2">
      <w:start w:val="0"/>
      <w:numFmt w:val="bullet"/>
      <w:lvlText w:val="•"/>
      <w:lvlJc w:val="left"/>
      <w:pPr>
        <w:ind w:left="3888" w:hanging="361"/>
      </w:pPr>
      <w:rPr>
        <w:rFonts w:hint="default"/>
        <w:lang w:val="en-US" w:eastAsia="en-US" w:bidi="ar-SA"/>
      </w:rPr>
    </w:lvl>
    <w:lvl w:ilvl="3">
      <w:start w:val="0"/>
      <w:numFmt w:val="bullet"/>
      <w:lvlText w:val="•"/>
      <w:lvlJc w:val="left"/>
      <w:pPr>
        <w:ind w:left="4862" w:hanging="361"/>
      </w:pPr>
      <w:rPr>
        <w:rFonts w:hint="default"/>
        <w:lang w:val="en-US" w:eastAsia="en-US" w:bidi="ar-SA"/>
      </w:rPr>
    </w:lvl>
    <w:lvl w:ilvl="4">
      <w:start w:val="0"/>
      <w:numFmt w:val="bullet"/>
      <w:lvlText w:val="•"/>
      <w:lvlJc w:val="left"/>
      <w:pPr>
        <w:ind w:left="5836" w:hanging="361"/>
      </w:pPr>
      <w:rPr>
        <w:rFonts w:hint="default"/>
        <w:lang w:val="en-US" w:eastAsia="en-US" w:bidi="ar-SA"/>
      </w:rPr>
    </w:lvl>
    <w:lvl w:ilvl="5">
      <w:start w:val="0"/>
      <w:numFmt w:val="bullet"/>
      <w:lvlText w:val="•"/>
      <w:lvlJc w:val="left"/>
      <w:pPr>
        <w:ind w:left="6810" w:hanging="361"/>
      </w:pPr>
      <w:rPr>
        <w:rFonts w:hint="default"/>
        <w:lang w:val="en-US" w:eastAsia="en-US" w:bidi="ar-SA"/>
      </w:rPr>
    </w:lvl>
    <w:lvl w:ilvl="6">
      <w:start w:val="0"/>
      <w:numFmt w:val="bullet"/>
      <w:lvlText w:val="•"/>
      <w:lvlJc w:val="left"/>
      <w:pPr>
        <w:ind w:left="7784" w:hanging="361"/>
      </w:pPr>
      <w:rPr>
        <w:rFonts w:hint="default"/>
        <w:lang w:val="en-US" w:eastAsia="en-US" w:bidi="ar-SA"/>
      </w:rPr>
    </w:lvl>
    <w:lvl w:ilvl="7">
      <w:start w:val="0"/>
      <w:numFmt w:val="bullet"/>
      <w:lvlText w:val="•"/>
      <w:lvlJc w:val="left"/>
      <w:pPr>
        <w:ind w:left="8758" w:hanging="361"/>
      </w:pPr>
      <w:rPr>
        <w:rFonts w:hint="default"/>
        <w:lang w:val="en-US" w:eastAsia="en-US" w:bidi="ar-SA"/>
      </w:rPr>
    </w:lvl>
    <w:lvl w:ilvl="8">
      <w:start w:val="0"/>
      <w:numFmt w:val="bullet"/>
      <w:lvlText w:val="•"/>
      <w:lvlJc w:val="left"/>
      <w:pPr>
        <w:ind w:left="9732" w:hanging="361"/>
      </w:pPr>
      <w:rPr>
        <w:rFonts w:hint="default"/>
        <w:lang w:val="en-US" w:eastAsia="en-US" w:bidi="ar-SA"/>
      </w:rPr>
    </w:lvl>
  </w:abstractNum>
  <w:abstractNum w:abstractNumId="106">
    <w:multiLevelType w:val="hybridMultilevel"/>
    <w:lvl w:ilvl="0">
      <w:start w:val="6"/>
      <w:numFmt w:val="decimal"/>
      <w:lvlText w:val="%1"/>
      <w:lvlJc w:val="left"/>
      <w:pPr>
        <w:ind w:left="1618" w:hanging="399"/>
        <w:jc w:val="left"/>
      </w:pPr>
      <w:rPr>
        <w:rFonts w:hint="default"/>
        <w:lang w:val="en-US" w:eastAsia="en-US" w:bidi="ar-SA"/>
      </w:rPr>
    </w:lvl>
    <w:lvl w:ilvl="1">
      <w:start w:val="1"/>
      <w:numFmt w:val="decimal"/>
      <w:lvlText w:val="%1.%2"/>
      <w:lvlJc w:val="left"/>
      <w:pPr>
        <w:ind w:left="1618" w:hanging="399"/>
        <w:jc w:val="left"/>
      </w:pPr>
      <w:rPr>
        <w:rFonts w:hint="default"/>
        <w:spacing w:val="0"/>
        <w:w w:val="99"/>
        <w:lang w:val="en-US" w:eastAsia="en-US" w:bidi="ar-SA"/>
      </w:rPr>
    </w:lvl>
    <w:lvl w:ilvl="2">
      <w:start w:val="1"/>
      <w:numFmt w:val="decimal"/>
      <w:lvlText w:val="%1.%2.%3"/>
      <w:lvlJc w:val="left"/>
      <w:pPr>
        <w:ind w:left="1940" w:hanging="721"/>
        <w:jc w:val="left"/>
      </w:pPr>
      <w:rPr>
        <w:rFonts w:hint="default" w:ascii="Times New Roman" w:hAnsi="Times New Roman" w:eastAsia="Times New Roman" w:cs="Times New Roman"/>
        <w:b/>
        <w:bCs/>
        <w:i w:val="0"/>
        <w:iCs w:val="0"/>
        <w:color w:val="4471C4"/>
        <w:spacing w:val="0"/>
        <w:w w:val="100"/>
        <w:sz w:val="22"/>
        <w:szCs w:val="22"/>
        <w:lang w:val="en-US" w:eastAsia="en-US" w:bidi="ar-SA"/>
      </w:rPr>
    </w:lvl>
    <w:lvl w:ilvl="3">
      <w:start w:val="0"/>
      <w:numFmt w:val="bullet"/>
      <w:lvlText w:val=""/>
      <w:lvlJc w:val="left"/>
      <w:pPr>
        <w:ind w:left="1990" w:hanging="416"/>
      </w:pPr>
      <w:rPr>
        <w:rFonts w:hint="default" w:ascii="Symbol" w:hAnsi="Symbol" w:eastAsia="Symbol" w:cs="Symbol"/>
        <w:b w:val="0"/>
        <w:bCs w:val="0"/>
        <w:i w:val="0"/>
        <w:iCs w:val="0"/>
        <w:spacing w:val="0"/>
        <w:w w:val="100"/>
        <w:sz w:val="22"/>
        <w:szCs w:val="22"/>
        <w:lang w:val="en-US" w:eastAsia="en-US" w:bidi="ar-SA"/>
      </w:rPr>
    </w:lvl>
    <w:lvl w:ilvl="4">
      <w:start w:val="0"/>
      <w:numFmt w:val="bullet"/>
      <w:lvlText w:val="o"/>
      <w:lvlJc w:val="left"/>
      <w:pPr>
        <w:ind w:left="2710" w:hanging="361"/>
      </w:pPr>
      <w:rPr>
        <w:rFonts w:hint="default" w:ascii="Courier New" w:hAnsi="Courier New" w:eastAsia="Courier New" w:cs="Courier New"/>
        <w:b w:val="0"/>
        <w:bCs w:val="0"/>
        <w:i w:val="0"/>
        <w:iCs w:val="0"/>
        <w:spacing w:val="0"/>
        <w:w w:val="100"/>
        <w:sz w:val="22"/>
        <w:szCs w:val="22"/>
        <w:lang w:val="en-US" w:eastAsia="en-US" w:bidi="ar-SA"/>
      </w:rPr>
    </w:lvl>
    <w:lvl w:ilvl="5">
      <w:start w:val="0"/>
      <w:numFmt w:val="bullet"/>
      <w:lvlText w:val="•"/>
      <w:lvlJc w:val="left"/>
      <w:pPr>
        <w:ind w:left="4213" w:hanging="361"/>
      </w:pPr>
      <w:rPr>
        <w:rFonts w:hint="default"/>
        <w:lang w:val="en-US" w:eastAsia="en-US" w:bidi="ar-SA"/>
      </w:rPr>
    </w:lvl>
    <w:lvl w:ilvl="6">
      <w:start w:val="0"/>
      <w:numFmt w:val="bullet"/>
      <w:lvlText w:val="•"/>
      <w:lvlJc w:val="left"/>
      <w:pPr>
        <w:ind w:left="5706" w:hanging="361"/>
      </w:pPr>
      <w:rPr>
        <w:rFonts w:hint="default"/>
        <w:lang w:val="en-US" w:eastAsia="en-US" w:bidi="ar-SA"/>
      </w:rPr>
    </w:lvl>
    <w:lvl w:ilvl="7">
      <w:start w:val="0"/>
      <w:numFmt w:val="bullet"/>
      <w:lvlText w:val="•"/>
      <w:lvlJc w:val="left"/>
      <w:pPr>
        <w:ind w:left="7200" w:hanging="361"/>
      </w:pPr>
      <w:rPr>
        <w:rFonts w:hint="default"/>
        <w:lang w:val="en-US" w:eastAsia="en-US" w:bidi="ar-SA"/>
      </w:rPr>
    </w:lvl>
    <w:lvl w:ilvl="8">
      <w:start w:val="0"/>
      <w:numFmt w:val="bullet"/>
      <w:lvlText w:val="•"/>
      <w:lvlJc w:val="left"/>
      <w:pPr>
        <w:ind w:left="8693" w:hanging="361"/>
      </w:pPr>
      <w:rPr>
        <w:rFonts w:hint="default"/>
        <w:lang w:val="en-US" w:eastAsia="en-US" w:bidi="ar-SA"/>
      </w:rPr>
    </w:lvl>
  </w:abstractNum>
  <w:abstractNum w:abstractNumId="105">
    <w:multiLevelType w:val="hybridMultilevel"/>
    <w:lvl w:ilvl="0">
      <w:start w:val="0"/>
      <w:numFmt w:val="bullet"/>
      <w:lvlText w:val=""/>
      <w:lvlJc w:val="left"/>
      <w:pPr>
        <w:ind w:left="1992" w:hanging="361"/>
      </w:pPr>
      <w:rPr>
        <w:rFonts w:hint="default" w:ascii="Symbol" w:hAnsi="Symbol" w:eastAsia="Symbol" w:cs="Symbol"/>
        <w:spacing w:val="0"/>
        <w:w w:val="100"/>
        <w:lang w:val="en-US" w:eastAsia="en-US" w:bidi="ar-SA"/>
      </w:rPr>
    </w:lvl>
    <w:lvl w:ilvl="1">
      <w:start w:val="0"/>
      <w:numFmt w:val="bullet"/>
      <w:lvlText w:val=""/>
      <w:lvlJc w:val="left"/>
      <w:pPr>
        <w:ind w:left="2300" w:hanging="360"/>
      </w:pPr>
      <w:rPr>
        <w:rFonts w:hint="default" w:ascii="Symbol" w:hAnsi="Symbol" w:eastAsia="Symbol" w:cs="Symbol"/>
        <w:spacing w:val="0"/>
        <w:w w:val="100"/>
        <w:lang w:val="en-US" w:eastAsia="en-US" w:bidi="ar-SA"/>
      </w:rPr>
    </w:lvl>
    <w:lvl w:ilvl="2">
      <w:start w:val="0"/>
      <w:numFmt w:val="bullet"/>
      <w:lvlText w:val="•"/>
      <w:lvlJc w:val="left"/>
      <w:pPr>
        <w:ind w:left="3342" w:hanging="360"/>
      </w:pPr>
      <w:rPr>
        <w:rFonts w:hint="default"/>
        <w:lang w:val="en-US" w:eastAsia="en-US" w:bidi="ar-SA"/>
      </w:rPr>
    </w:lvl>
    <w:lvl w:ilvl="3">
      <w:start w:val="0"/>
      <w:numFmt w:val="bullet"/>
      <w:lvlText w:val="•"/>
      <w:lvlJc w:val="left"/>
      <w:pPr>
        <w:ind w:left="4384" w:hanging="360"/>
      </w:pPr>
      <w:rPr>
        <w:rFonts w:hint="default"/>
        <w:lang w:val="en-US" w:eastAsia="en-US" w:bidi="ar-SA"/>
      </w:rPr>
    </w:lvl>
    <w:lvl w:ilvl="4">
      <w:start w:val="0"/>
      <w:numFmt w:val="bullet"/>
      <w:lvlText w:val="•"/>
      <w:lvlJc w:val="left"/>
      <w:pPr>
        <w:ind w:left="5426" w:hanging="360"/>
      </w:pPr>
      <w:rPr>
        <w:rFonts w:hint="default"/>
        <w:lang w:val="en-US" w:eastAsia="en-US" w:bidi="ar-SA"/>
      </w:rPr>
    </w:lvl>
    <w:lvl w:ilvl="5">
      <w:start w:val="0"/>
      <w:numFmt w:val="bullet"/>
      <w:lvlText w:val="•"/>
      <w:lvlJc w:val="left"/>
      <w:pPr>
        <w:ind w:left="6468" w:hanging="360"/>
      </w:pPr>
      <w:rPr>
        <w:rFonts w:hint="default"/>
        <w:lang w:val="en-US" w:eastAsia="en-US" w:bidi="ar-SA"/>
      </w:rPr>
    </w:lvl>
    <w:lvl w:ilvl="6">
      <w:start w:val="0"/>
      <w:numFmt w:val="bullet"/>
      <w:lvlText w:val="•"/>
      <w:lvlJc w:val="left"/>
      <w:pPr>
        <w:ind w:left="7511" w:hanging="360"/>
      </w:pPr>
      <w:rPr>
        <w:rFonts w:hint="default"/>
        <w:lang w:val="en-US" w:eastAsia="en-US" w:bidi="ar-SA"/>
      </w:rPr>
    </w:lvl>
    <w:lvl w:ilvl="7">
      <w:start w:val="0"/>
      <w:numFmt w:val="bullet"/>
      <w:lvlText w:val="•"/>
      <w:lvlJc w:val="left"/>
      <w:pPr>
        <w:ind w:left="8553" w:hanging="360"/>
      </w:pPr>
      <w:rPr>
        <w:rFonts w:hint="default"/>
        <w:lang w:val="en-US" w:eastAsia="en-US" w:bidi="ar-SA"/>
      </w:rPr>
    </w:lvl>
    <w:lvl w:ilvl="8">
      <w:start w:val="0"/>
      <w:numFmt w:val="bullet"/>
      <w:lvlText w:val="•"/>
      <w:lvlJc w:val="left"/>
      <w:pPr>
        <w:ind w:left="9595" w:hanging="360"/>
      </w:pPr>
      <w:rPr>
        <w:rFonts w:hint="default"/>
        <w:lang w:val="en-US" w:eastAsia="en-US" w:bidi="ar-SA"/>
      </w:rPr>
    </w:lvl>
  </w:abstractNum>
  <w:abstractNum w:abstractNumId="104">
    <w:multiLevelType w:val="hybridMultilevel"/>
    <w:lvl w:ilvl="0">
      <w:start w:val="0"/>
      <w:numFmt w:val="bullet"/>
      <w:lvlText w:val=""/>
      <w:lvlJc w:val="left"/>
      <w:pPr>
        <w:ind w:left="2300" w:hanging="360"/>
      </w:pPr>
      <w:rPr>
        <w:rFonts w:hint="default" w:ascii="Symbol" w:hAnsi="Symbol" w:eastAsia="Symbol" w:cs="Symbol"/>
        <w:spacing w:val="0"/>
        <w:w w:val="100"/>
        <w:lang w:val="en-US" w:eastAsia="en-US" w:bidi="ar-SA"/>
      </w:rPr>
    </w:lvl>
    <w:lvl w:ilvl="1">
      <w:start w:val="0"/>
      <w:numFmt w:val="bullet"/>
      <w:lvlText w:val="•"/>
      <w:lvlJc w:val="left"/>
      <w:pPr>
        <w:ind w:left="3238" w:hanging="360"/>
      </w:pPr>
      <w:rPr>
        <w:rFonts w:hint="default"/>
        <w:lang w:val="en-US" w:eastAsia="en-US" w:bidi="ar-SA"/>
      </w:rPr>
    </w:lvl>
    <w:lvl w:ilvl="2">
      <w:start w:val="0"/>
      <w:numFmt w:val="bullet"/>
      <w:lvlText w:val="•"/>
      <w:lvlJc w:val="left"/>
      <w:pPr>
        <w:ind w:left="4176" w:hanging="360"/>
      </w:pPr>
      <w:rPr>
        <w:rFonts w:hint="default"/>
        <w:lang w:val="en-US" w:eastAsia="en-US" w:bidi="ar-SA"/>
      </w:rPr>
    </w:lvl>
    <w:lvl w:ilvl="3">
      <w:start w:val="0"/>
      <w:numFmt w:val="bullet"/>
      <w:lvlText w:val="•"/>
      <w:lvlJc w:val="left"/>
      <w:pPr>
        <w:ind w:left="5114" w:hanging="360"/>
      </w:pPr>
      <w:rPr>
        <w:rFonts w:hint="default"/>
        <w:lang w:val="en-US" w:eastAsia="en-US" w:bidi="ar-SA"/>
      </w:rPr>
    </w:lvl>
    <w:lvl w:ilvl="4">
      <w:start w:val="0"/>
      <w:numFmt w:val="bullet"/>
      <w:lvlText w:val="•"/>
      <w:lvlJc w:val="left"/>
      <w:pPr>
        <w:ind w:left="6052" w:hanging="360"/>
      </w:pPr>
      <w:rPr>
        <w:rFonts w:hint="default"/>
        <w:lang w:val="en-US" w:eastAsia="en-US" w:bidi="ar-SA"/>
      </w:rPr>
    </w:lvl>
    <w:lvl w:ilvl="5">
      <w:start w:val="0"/>
      <w:numFmt w:val="bullet"/>
      <w:lvlText w:val="•"/>
      <w:lvlJc w:val="left"/>
      <w:pPr>
        <w:ind w:left="6990" w:hanging="360"/>
      </w:pPr>
      <w:rPr>
        <w:rFonts w:hint="default"/>
        <w:lang w:val="en-US" w:eastAsia="en-US" w:bidi="ar-SA"/>
      </w:rPr>
    </w:lvl>
    <w:lvl w:ilvl="6">
      <w:start w:val="0"/>
      <w:numFmt w:val="bullet"/>
      <w:lvlText w:val="•"/>
      <w:lvlJc w:val="left"/>
      <w:pPr>
        <w:ind w:left="7928" w:hanging="360"/>
      </w:pPr>
      <w:rPr>
        <w:rFonts w:hint="default"/>
        <w:lang w:val="en-US" w:eastAsia="en-US" w:bidi="ar-SA"/>
      </w:rPr>
    </w:lvl>
    <w:lvl w:ilvl="7">
      <w:start w:val="0"/>
      <w:numFmt w:val="bullet"/>
      <w:lvlText w:val="•"/>
      <w:lvlJc w:val="left"/>
      <w:pPr>
        <w:ind w:left="8866" w:hanging="360"/>
      </w:pPr>
      <w:rPr>
        <w:rFonts w:hint="default"/>
        <w:lang w:val="en-US" w:eastAsia="en-US" w:bidi="ar-SA"/>
      </w:rPr>
    </w:lvl>
    <w:lvl w:ilvl="8">
      <w:start w:val="0"/>
      <w:numFmt w:val="bullet"/>
      <w:lvlText w:val="•"/>
      <w:lvlJc w:val="left"/>
      <w:pPr>
        <w:ind w:left="9804" w:hanging="360"/>
      </w:pPr>
      <w:rPr>
        <w:rFonts w:hint="default"/>
        <w:lang w:val="en-US" w:eastAsia="en-US" w:bidi="ar-SA"/>
      </w:rPr>
    </w:lvl>
  </w:abstractNum>
  <w:abstractNum w:abstractNumId="103">
    <w:multiLevelType w:val="hybridMultilevel"/>
    <w:lvl w:ilvl="0">
      <w:start w:val="0"/>
      <w:numFmt w:val="bullet"/>
      <w:lvlText w:val=""/>
      <w:lvlJc w:val="left"/>
      <w:pPr>
        <w:ind w:left="194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914" w:hanging="361"/>
      </w:pPr>
      <w:rPr>
        <w:rFonts w:hint="default"/>
        <w:lang w:val="en-US" w:eastAsia="en-US" w:bidi="ar-SA"/>
      </w:rPr>
    </w:lvl>
    <w:lvl w:ilvl="2">
      <w:start w:val="0"/>
      <w:numFmt w:val="bullet"/>
      <w:lvlText w:val="•"/>
      <w:lvlJc w:val="left"/>
      <w:pPr>
        <w:ind w:left="3888" w:hanging="361"/>
      </w:pPr>
      <w:rPr>
        <w:rFonts w:hint="default"/>
        <w:lang w:val="en-US" w:eastAsia="en-US" w:bidi="ar-SA"/>
      </w:rPr>
    </w:lvl>
    <w:lvl w:ilvl="3">
      <w:start w:val="0"/>
      <w:numFmt w:val="bullet"/>
      <w:lvlText w:val="•"/>
      <w:lvlJc w:val="left"/>
      <w:pPr>
        <w:ind w:left="4862" w:hanging="361"/>
      </w:pPr>
      <w:rPr>
        <w:rFonts w:hint="default"/>
        <w:lang w:val="en-US" w:eastAsia="en-US" w:bidi="ar-SA"/>
      </w:rPr>
    </w:lvl>
    <w:lvl w:ilvl="4">
      <w:start w:val="0"/>
      <w:numFmt w:val="bullet"/>
      <w:lvlText w:val="•"/>
      <w:lvlJc w:val="left"/>
      <w:pPr>
        <w:ind w:left="5836" w:hanging="361"/>
      </w:pPr>
      <w:rPr>
        <w:rFonts w:hint="default"/>
        <w:lang w:val="en-US" w:eastAsia="en-US" w:bidi="ar-SA"/>
      </w:rPr>
    </w:lvl>
    <w:lvl w:ilvl="5">
      <w:start w:val="0"/>
      <w:numFmt w:val="bullet"/>
      <w:lvlText w:val="•"/>
      <w:lvlJc w:val="left"/>
      <w:pPr>
        <w:ind w:left="6810" w:hanging="361"/>
      </w:pPr>
      <w:rPr>
        <w:rFonts w:hint="default"/>
        <w:lang w:val="en-US" w:eastAsia="en-US" w:bidi="ar-SA"/>
      </w:rPr>
    </w:lvl>
    <w:lvl w:ilvl="6">
      <w:start w:val="0"/>
      <w:numFmt w:val="bullet"/>
      <w:lvlText w:val="•"/>
      <w:lvlJc w:val="left"/>
      <w:pPr>
        <w:ind w:left="7784" w:hanging="361"/>
      </w:pPr>
      <w:rPr>
        <w:rFonts w:hint="default"/>
        <w:lang w:val="en-US" w:eastAsia="en-US" w:bidi="ar-SA"/>
      </w:rPr>
    </w:lvl>
    <w:lvl w:ilvl="7">
      <w:start w:val="0"/>
      <w:numFmt w:val="bullet"/>
      <w:lvlText w:val="•"/>
      <w:lvlJc w:val="left"/>
      <w:pPr>
        <w:ind w:left="8758" w:hanging="361"/>
      </w:pPr>
      <w:rPr>
        <w:rFonts w:hint="default"/>
        <w:lang w:val="en-US" w:eastAsia="en-US" w:bidi="ar-SA"/>
      </w:rPr>
    </w:lvl>
    <w:lvl w:ilvl="8">
      <w:start w:val="0"/>
      <w:numFmt w:val="bullet"/>
      <w:lvlText w:val="•"/>
      <w:lvlJc w:val="left"/>
      <w:pPr>
        <w:ind w:left="9732" w:hanging="361"/>
      </w:pPr>
      <w:rPr>
        <w:rFonts w:hint="default"/>
        <w:lang w:val="en-US" w:eastAsia="en-US" w:bidi="ar-SA"/>
      </w:rPr>
    </w:lvl>
  </w:abstractNum>
  <w:abstractNum w:abstractNumId="102">
    <w:multiLevelType w:val="hybridMultilevel"/>
    <w:lvl w:ilvl="0">
      <w:start w:val="0"/>
      <w:numFmt w:val="bullet"/>
      <w:lvlText w:val=""/>
      <w:lvlJc w:val="left"/>
      <w:pPr>
        <w:ind w:left="2048"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o"/>
      <w:lvlJc w:val="left"/>
      <w:pPr>
        <w:ind w:left="2767" w:hanging="361"/>
      </w:pPr>
      <w:rPr>
        <w:rFonts w:hint="default" w:ascii="Courier New" w:hAnsi="Courier New" w:eastAsia="Courier New" w:cs="Courier New"/>
        <w:b w:val="0"/>
        <w:bCs w:val="0"/>
        <w:i w:val="0"/>
        <w:iCs w:val="0"/>
        <w:spacing w:val="0"/>
        <w:w w:val="100"/>
        <w:sz w:val="22"/>
        <w:szCs w:val="22"/>
        <w:lang w:val="en-US" w:eastAsia="en-US" w:bidi="ar-SA"/>
      </w:rPr>
    </w:lvl>
    <w:lvl w:ilvl="2">
      <w:start w:val="0"/>
      <w:numFmt w:val="bullet"/>
      <w:lvlText w:val="•"/>
      <w:lvlJc w:val="left"/>
      <w:pPr>
        <w:ind w:left="3751" w:hanging="361"/>
      </w:pPr>
      <w:rPr>
        <w:rFonts w:hint="default"/>
        <w:lang w:val="en-US" w:eastAsia="en-US" w:bidi="ar-SA"/>
      </w:rPr>
    </w:lvl>
    <w:lvl w:ilvl="3">
      <w:start w:val="0"/>
      <w:numFmt w:val="bullet"/>
      <w:lvlText w:val="•"/>
      <w:lvlJc w:val="left"/>
      <w:pPr>
        <w:ind w:left="4742" w:hanging="361"/>
      </w:pPr>
      <w:rPr>
        <w:rFonts w:hint="default"/>
        <w:lang w:val="en-US" w:eastAsia="en-US" w:bidi="ar-SA"/>
      </w:rPr>
    </w:lvl>
    <w:lvl w:ilvl="4">
      <w:start w:val="0"/>
      <w:numFmt w:val="bullet"/>
      <w:lvlText w:val="•"/>
      <w:lvlJc w:val="left"/>
      <w:pPr>
        <w:ind w:left="5733" w:hanging="361"/>
      </w:pPr>
      <w:rPr>
        <w:rFonts w:hint="default"/>
        <w:lang w:val="en-US" w:eastAsia="en-US" w:bidi="ar-SA"/>
      </w:rPr>
    </w:lvl>
    <w:lvl w:ilvl="5">
      <w:start w:val="0"/>
      <w:numFmt w:val="bullet"/>
      <w:lvlText w:val="•"/>
      <w:lvlJc w:val="left"/>
      <w:pPr>
        <w:ind w:left="6724" w:hanging="361"/>
      </w:pPr>
      <w:rPr>
        <w:rFonts w:hint="default"/>
        <w:lang w:val="en-US" w:eastAsia="en-US" w:bidi="ar-SA"/>
      </w:rPr>
    </w:lvl>
    <w:lvl w:ilvl="6">
      <w:start w:val="0"/>
      <w:numFmt w:val="bullet"/>
      <w:lvlText w:val="•"/>
      <w:lvlJc w:val="left"/>
      <w:pPr>
        <w:ind w:left="7715" w:hanging="361"/>
      </w:pPr>
      <w:rPr>
        <w:rFonts w:hint="default"/>
        <w:lang w:val="en-US" w:eastAsia="en-US" w:bidi="ar-SA"/>
      </w:rPr>
    </w:lvl>
    <w:lvl w:ilvl="7">
      <w:start w:val="0"/>
      <w:numFmt w:val="bullet"/>
      <w:lvlText w:val="•"/>
      <w:lvlJc w:val="left"/>
      <w:pPr>
        <w:ind w:left="8706" w:hanging="361"/>
      </w:pPr>
      <w:rPr>
        <w:rFonts w:hint="default"/>
        <w:lang w:val="en-US" w:eastAsia="en-US" w:bidi="ar-SA"/>
      </w:rPr>
    </w:lvl>
    <w:lvl w:ilvl="8">
      <w:start w:val="0"/>
      <w:numFmt w:val="bullet"/>
      <w:lvlText w:val="•"/>
      <w:lvlJc w:val="left"/>
      <w:pPr>
        <w:ind w:left="9697" w:hanging="361"/>
      </w:pPr>
      <w:rPr>
        <w:rFonts w:hint="default"/>
        <w:lang w:val="en-US" w:eastAsia="en-US" w:bidi="ar-SA"/>
      </w:rPr>
    </w:lvl>
  </w:abstractNum>
  <w:abstractNum w:abstractNumId="101">
    <w:multiLevelType w:val="hybridMultilevel"/>
    <w:lvl w:ilvl="0">
      <w:start w:val="5"/>
      <w:numFmt w:val="decimal"/>
      <w:lvlText w:val="%1"/>
      <w:lvlJc w:val="left"/>
      <w:pPr>
        <w:ind w:left="1219" w:hanging="658"/>
        <w:jc w:val="left"/>
      </w:pPr>
      <w:rPr>
        <w:rFonts w:hint="default"/>
        <w:lang w:val="en-US" w:eastAsia="en-US" w:bidi="ar-SA"/>
      </w:rPr>
    </w:lvl>
    <w:lvl w:ilvl="1">
      <w:start w:val="4"/>
      <w:numFmt w:val="decimal"/>
      <w:lvlText w:val="%1.%2"/>
      <w:lvlJc w:val="left"/>
      <w:pPr>
        <w:ind w:left="1219" w:hanging="658"/>
        <w:jc w:val="left"/>
      </w:pPr>
      <w:rPr>
        <w:rFonts w:hint="default"/>
        <w:lang w:val="en-US" w:eastAsia="en-US" w:bidi="ar-SA"/>
      </w:rPr>
    </w:lvl>
    <w:lvl w:ilvl="2">
      <w:start w:val="6"/>
      <w:numFmt w:val="decimal"/>
      <w:lvlText w:val="%1.%2.%3"/>
      <w:lvlJc w:val="left"/>
      <w:pPr>
        <w:ind w:left="1219" w:hanging="658"/>
        <w:jc w:val="left"/>
      </w:pPr>
      <w:rPr>
        <w:rFonts w:hint="default"/>
        <w:lang w:val="en-US" w:eastAsia="en-US" w:bidi="ar-SA"/>
      </w:rPr>
    </w:lvl>
    <w:lvl w:ilvl="3">
      <w:start w:val="1"/>
      <w:numFmt w:val="decimal"/>
      <w:lvlText w:val="%1.%2.%3.%4"/>
      <w:lvlJc w:val="left"/>
      <w:pPr>
        <w:ind w:left="1219" w:hanging="658"/>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4">
      <w:start w:val="0"/>
      <w:numFmt w:val="bullet"/>
      <w:lvlText w:val="•"/>
      <w:lvlJc w:val="left"/>
      <w:pPr>
        <w:ind w:left="5404" w:hanging="658"/>
      </w:pPr>
      <w:rPr>
        <w:rFonts w:hint="default"/>
        <w:lang w:val="en-US" w:eastAsia="en-US" w:bidi="ar-SA"/>
      </w:rPr>
    </w:lvl>
    <w:lvl w:ilvl="5">
      <w:start w:val="0"/>
      <w:numFmt w:val="bullet"/>
      <w:lvlText w:val="•"/>
      <w:lvlJc w:val="left"/>
      <w:pPr>
        <w:ind w:left="6450" w:hanging="658"/>
      </w:pPr>
      <w:rPr>
        <w:rFonts w:hint="default"/>
        <w:lang w:val="en-US" w:eastAsia="en-US" w:bidi="ar-SA"/>
      </w:rPr>
    </w:lvl>
    <w:lvl w:ilvl="6">
      <w:start w:val="0"/>
      <w:numFmt w:val="bullet"/>
      <w:lvlText w:val="•"/>
      <w:lvlJc w:val="left"/>
      <w:pPr>
        <w:ind w:left="7496" w:hanging="658"/>
      </w:pPr>
      <w:rPr>
        <w:rFonts w:hint="default"/>
        <w:lang w:val="en-US" w:eastAsia="en-US" w:bidi="ar-SA"/>
      </w:rPr>
    </w:lvl>
    <w:lvl w:ilvl="7">
      <w:start w:val="0"/>
      <w:numFmt w:val="bullet"/>
      <w:lvlText w:val="•"/>
      <w:lvlJc w:val="left"/>
      <w:pPr>
        <w:ind w:left="8542" w:hanging="658"/>
      </w:pPr>
      <w:rPr>
        <w:rFonts w:hint="default"/>
        <w:lang w:val="en-US" w:eastAsia="en-US" w:bidi="ar-SA"/>
      </w:rPr>
    </w:lvl>
    <w:lvl w:ilvl="8">
      <w:start w:val="0"/>
      <w:numFmt w:val="bullet"/>
      <w:lvlText w:val="•"/>
      <w:lvlJc w:val="left"/>
      <w:pPr>
        <w:ind w:left="9588" w:hanging="658"/>
      </w:pPr>
      <w:rPr>
        <w:rFonts w:hint="default"/>
        <w:lang w:val="en-US" w:eastAsia="en-US" w:bidi="ar-SA"/>
      </w:rPr>
    </w:lvl>
  </w:abstractNum>
  <w:abstractNum w:abstractNumId="100">
    <w:multiLevelType w:val="hybridMultilevel"/>
    <w:lvl w:ilvl="0">
      <w:start w:val="1"/>
      <w:numFmt w:val="decimal"/>
      <w:lvlText w:val="%1."/>
      <w:lvlJc w:val="left"/>
      <w:pPr>
        <w:ind w:left="1939"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1"/>
      <w:numFmt w:val="lowerLetter"/>
      <w:lvlText w:val="%2."/>
      <w:lvlJc w:val="left"/>
      <w:pPr>
        <w:ind w:left="2660" w:hanging="36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1"/>
      <w:numFmt w:val="lowerRoman"/>
      <w:lvlText w:val="%3."/>
      <w:lvlJc w:val="left"/>
      <w:pPr>
        <w:ind w:left="3380" w:hanging="296"/>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3">
      <w:start w:val="0"/>
      <w:numFmt w:val="bullet"/>
      <w:lvlText w:val="•"/>
      <w:lvlJc w:val="left"/>
      <w:pPr>
        <w:ind w:left="4417" w:hanging="296"/>
      </w:pPr>
      <w:rPr>
        <w:rFonts w:hint="default"/>
        <w:lang w:val="en-US" w:eastAsia="en-US" w:bidi="ar-SA"/>
      </w:rPr>
    </w:lvl>
    <w:lvl w:ilvl="4">
      <w:start w:val="0"/>
      <w:numFmt w:val="bullet"/>
      <w:lvlText w:val="•"/>
      <w:lvlJc w:val="left"/>
      <w:pPr>
        <w:ind w:left="5455" w:hanging="296"/>
      </w:pPr>
      <w:rPr>
        <w:rFonts w:hint="default"/>
        <w:lang w:val="en-US" w:eastAsia="en-US" w:bidi="ar-SA"/>
      </w:rPr>
    </w:lvl>
    <w:lvl w:ilvl="5">
      <w:start w:val="0"/>
      <w:numFmt w:val="bullet"/>
      <w:lvlText w:val="•"/>
      <w:lvlJc w:val="left"/>
      <w:pPr>
        <w:ind w:left="6492" w:hanging="296"/>
      </w:pPr>
      <w:rPr>
        <w:rFonts w:hint="default"/>
        <w:lang w:val="en-US" w:eastAsia="en-US" w:bidi="ar-SA"/>
      </w:rPr>
    </w:lvl>
    <w:lvl w:ilvl="6">
      <w:start w:val="0"/>
      <w:numFmt w:val="bullet"/>
      <w:lvlText w:val="•"/>
      <w:lvlJc w:val="left"/>
      <w:pPr>
        <w:ind w:left="7530" w:hanging="296"/>
      </w:pPr>
      <w:rPr>
        <w:rFonts w:hint="default"/>
        <w:lang w:val="en-US" w:eastAsia="en-US" w:bidi="ar-SA"/>
      </w:rPr>
    </w:lvl>
    <w:lvl w:ilvl="7">
      <w:start w:val="0"/>
      <w:numFmt w:val="bullet"/>
      <w:lvlText w:val="•"/>
      <w:lvlJc w:val="left"/>
      <w:pPr>
        <w:ind w:left="8567" w:hanging="296"/>
      </w:pPr>
      <w:rPr>
        <w:rFonts w:hint="default"/>
        <w:lang w:val="en-US" w:eastAsia="en-US" w:bidi="ar-SA"/>
      </w:rPr>
    </w:lvl>
    <w:lvl w:ilvl="8">
      <w:start w:val="0"/>
      <w:numFmt w:val="bullet"/>
      <w:lvlText w:val="•"/>
      <w:lvlJc w:val="left"/>
      <w:pPr>
        <w:ind w:left="9605" w:hanging="296"/>
      </w:pPr>
      <w:rPr>
        <w:rFonts w:hint="default"/>
        <w:lang w:val="en-US" w:eastAsia="en-US" w:bidi="ar-SA"/>
      </w:rPr>
    </w:lvl>
  </w:abstractNum>
  <w:abstractNum w:abstractNumId="99">
    <w:multiLevelType w:val="hybridMultilevel"/>
    <w:lvl w:ilvl="0">
      <w:start w:val="0"/>
      <w:numFmt w:val="bullet"/>
      <w:lvlText w:val=""/>
      <w:lvlJc w:val="left"/>
      <w:pPr>
        <w:ind w:left="1939"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914" w:hanging="361"/>
      </w:pPr>
      <w:rPr>
        <w:rFonts w:hint="default"/>
        <w:lang w:val="en-US" w:eastAsia="en-US" w:bidi="ar-SA"/>
      </w:rPr>
    </w:lvl>
    <w:lvl w:ilvl="2">
      <w:start w:val="0"/>
      <w:numFmt w:val="bullet"/>
      <w:lvlText w:val="•"/>
      <w:lvlJc w:val="left"/>
      <w:pPr>
        <w:ind w:left="3888" w:hanging="361"/>
      </w:pPr>
      <w:rPr>
        <w:rFonts w:hint="default"/>
        <w:lang w:val="en-US" w:eastAsia="en-US" w:bidi="ar-SA"/>
      </w:rPr>
    </w:lvl>
    <w:lvl w:ilvl="3">
      <w:start w:val="0"/>
      <w:numFmt w:val="bullet"/>
      <w:lvlText w:val="•"/>
      <w:lvlJc w:val="left"/>
      <w:pPr>
        <w:ind w:left="4862" w:hanging="361"/>
      </w:pPr>
      <w:rPr>
        <w:rFonts w:hint="default"/>
        <w:lang w:val="en-US" w:eastAsia="en-US" w:bidi="ar-SA"/>
      </w:rPr>
    </w:lvl>
    <w:lvl w:ilvl="4">
      <w:start w:val="0"/>
      <w:numFmt w:val="bullet"/>
      <w:lvlText w:val="•"/>
      <w:lvlJc w:val="left"/>
      <w:pPr>
        <w:ind w:left="5836" w:hanging="361"/>
      </w:pPr>
      <w:rPr>
        <w:rFonts w:hint="default"/>
        <w:lang w:val="en-US" w:eastAsia="en-US" w:bidi="ar-SA"/>
      </w:rPr>
    </w:lvl>
    <w:lvl w:ilvl="5">
      <w:start w:val="0"/>
      <w:numFmt w:val="bullet"/>
      <w:lvlText w:val="•"/>
      <w:lvlJc w:val="left"/>
      <w:pPr>
        <w:ind w:left="6810" w:hanging="361"/>
      </w:pPr>
      <w:rPr>
        <w:rFonts w:hint="default"/>
        <w:lang w:val="en-US" w:eastAsia="en-US" w:bidi="ar-SA"/>
      </w:rPr>
    </w:lvl>
    <w:lvl w:ilvl="6">
      <w:start w:val="0"/>
      <w:numFmt w:val="bullet"/>
      <w:lvlText w:val="•"/>
      <w:lvlJc w:val="left"/>
      <w:pPr>
        <w:ind w:left="7784" w:hanging="361"/>
      </w:pPr>
      <w:rPr>
        <w:rFonts w:hint="default"/>
        <w:lang w:val="en-US" w:eastAsia="en-US" w:bidi="ar-SA"/>
      </w:rPr>
    </w:lvl>
    <w:lvl w:ilvl="7">
      <w:start w:val="0"/>
      <w:numFmt w:val="bullet"/>
      <w:lvlText w:val="•"/>
      <w:lvlJc w:val="left"/>
      <w:pPr>
        <w:ind w:left="8758" w:hanging="361"/>
      </w:pPr>
      <w:rPr>
        <w:rFonts w:hint="default"/>
        <w:lang w:val="en-US" w:eastAsia="en-US" w:bidi="ar-SA"/>
      </w:rPr>
    </w:lvl>
    <w:lvl w:ilvl="8">
      <w:start w:val="0"/>
      <w:numFmt w:val="bullet"/>
      <w:lvlText w:val="•"/>
      <w:lvlJc w:val="left"/>
      <w:pPr>
        <w:ind w:left="9732" w:hanging="361"/>
      </w:pPr>
      <w:rPr>
        <w:rFonts w:hint="default"/>
        <w:lang w:val="en-US" w:eastAsia="en-US" w:bidi="ar-SA"/>
      </w:rPr>
    </w:lvl>
  </w:abstractNum>
  <w:abstractNum w:abstractNumId="98">
    <w:multiLevelType w:val="hybridMultilevel"/>
    <w:lvl w:ilvl="0">
      <w:start w:val="0"/>
      <w:numFmt w:val="bullet"/>
      <w:lvlText w:val="-"/>
      <w:lvlJc w:val="left"/>
      <w:pPr>
        <w:ind w:left="2299" w:hanging="360"/>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3238" w:hanging="360"/>
      </w:pPr>
      <w:rPr>
        <w:rFonts w:hint="default"/>
        <w:lang w:val="en-US" w:eastAsia="en-US" w:bidi="ar-SA"/>
      </w:rPr>
    </w:lvl>
    <w:lvl w:ilvl="2">
      <w:start w:val="0"/>
      <w:numFmt w:val="bullet"/>
      <w:lvlText w:val="•"/>
      <w:lvlJc w:val="left"/>
      <w:pPr>
        <w:ind w:left="4176" w:hanging="360"/>
      </w:pPr>
      <w:rPr>
        <w:rFonts w:hint="default"/>
        <w:lang w:val="en-US" w:eastAsia="en-US" w:bidi="ar-SA"/>
      </w:rPr>
    </w:lvl>
    <w:lvl w:ilvl="3">
      <w:start w:val="0"/>
      <w:numFmt w:val="bullet"/>
      <w:lvlText w:val="•"/>
      <w:lvlJc w:val="left"/>
      <w:pPr>
        <w:ind w:left="5114" w:hanging="360"/>
      </w:pPr>
      <w:rPr>
        <w:rFonts w:hint="default"/>
        <w:lang w:val="en-US" w:eastAsia="en-US" w:bidi="ar-SA"/>
      </w:rPr>
    </w:lvl>
    <w:lvl w:ilvl="4">
      <w:start w:val="0"/>
      <w:numFmt w:val="bullet"/>
      <w:lvlText w:val="•"/>
      <w:lvlJc w:val="left"/>
      <w:pPr>
        <w:ind w:left="6052" w:hanging="360"/>
      </w:pPr>
      <w:rPr>
        <w:rFonts w:hint="default"/>
        <w:lang w:val="en-US" w:eastAsia="en-US" w:bidi="ar-SA"/>
      </w:rPr>
    </w:lvl>
    <w:lvl w:ilvl="5">
      <w:start w:val="0"/>
      <w:numFmt w:val="bullet"/>
      <w:lvlText w:val="•"/>
      <w:lvlJc w:val="left"/>
      <w:pPr>
        <w:ind w:left="6990" w:hanging="360"/>
      </w:pPr>
      <w:rPr>
        <w:rFonts w:hint="default"/>
        <w:lang w:val="en-US" w:eastAsia="en-US" w:bidi="ar-SA"/>
      </w:rPr>
    </w:lvl>
    <w:lvl w:ilvl="6">
      <w:start w:val="0"/>
      <w:numFmt w:val="bullet"/>
      <w:lvlText w:val="•"/>
      <w:lvlJc w:val="left"/>
      <w:pPr>
        <w:ind w:left="7928" w:hanging="360"/>
      </w:pPr>
      <w:rPr>
        <w:rFonts w:hint="default"/>
        <w:lang w:val="en-US" w:eastAsia="en-US" w:bidi="ar-SA"/>
      </w:rPr>
    </w:lvl>
    <w:lvl w:ilvl="7">
      <w:start w:val="0"/>
      <w:numFmt w:val="bullet"/>
      <w:lvlText w:val="•"/>
      <w:lvlJc w:val="left"/>
      <w:pPr>
        <w:ind w:left="8866" w:hanging="360"/>
      </w:pPr>
      <w:rPr>
        <w:rFonts w:hint="default"/>
        <w:lang w:val="en-US" w:eastAsia="en-US" w:bidi="ar-SA"/>
      </w:rPr>
    </w:lvl>
    <w:lvl w:ilvl="8">
      <w:start w:val="0"/>
      <w:numFmt w:val="bullet"/>
      <w:lvlText w:val="•"/>
      <w:lvlJc w:val="left"/>
      <w:pPr>
        <w:ind w:left="9804" w:hanging="360"/>
      </w:pPr>
      <w:rPr>
        <w:rFonts w:hint="default"/>
        <w:lang w:val="en-US" w:eastAsia="en-US" w:bidi="ar-SA"/>
      </w:rPr>
    </w:lvl>
  </w:abstractNum>
  <w:abstractNum w:abstractNumId="97">
    <w:multiLevelType w:val="hybridMultilevel"/>
    <w:lvl w:ilvl="0">
      <w:start w:val="0"/>
      <w:numFmt w:val="bullet"/>
      <w:lvlText w:val=""/>
      <w:lvlJc w:val="left"/>
      <w:pPr>
        <w:ind w:left="1941"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914" w:hanging="361"/>
      </w:pPr>
      <w:rPr>
        <w:rFonts w:hint="default"/>
        <w:lang w:val="en-US" w:eastAsia="en-US" w:bidi="ar-SA"/>
      </w:rPr>
    </w:lvl>
    <w:lvl w:ilvl="2">
      <w:start w:val="0"/>
      <w:numFmt w:val="bullet"/>
      <w:lvlText w:val="•"/>
      <w:lvlJc w:val="left"/>
      <w:pPr>
        <w:ind w:left="3888" w:hanging="361"/>
      </w:pPr>
      <w:rPr>
        <w:rFonts w:hint="default"/>
        <w:lang w:val="en-US" w:eastAsia="en-US" w:bidi="ar-SA"/>
      </w:rPr>
    </w:lvl>
    <w:lvl w:ilvl="3">
      <w:start w:val="0"/>
      <w:numFmt w:val="bullet"/>
      <w:lvlText w:val="•"/>
      <w:lvlJc w:val="left"/>
      <w:pPr>
        <w:ind w:left="4862" w:hanging="361"/>
      </w:pPr>
      <w:rPr>
        <w:rFonts w:hint="default"/>
        <w:lang w:val="en-US" w:eastAsia="en-US" w:bidi="ar-SA"/>
      </w:rPr>
    </w:lvl>
    <w:lvl w:ilvl="4">
      <w:start w:val="0"/>
      <w:numFmt w:val="bullet"/>
      <w:lvlText w:val="•"/>
      <w:lvlJc w:val="left"/>
      <w:pPr>
        <w:ind w:left="5836" w:hanging="361"/>
      </w:pPr>
      <w:rPr>
        <w:rFonts w:hint="default"/>
        <w:lang w:val="en-US" w:eastAsia="en-US" w:bidi="ar-SA"/>
      </w:rPr>
    </w:lvl>
    <w:lvl w:ilvl="5">
      <w:start w:val="0"/>
      <w:numFmt w:val="bullet"/>
      <w:lvlText w:val="•"/>
      <w:lvlJc w:val="left"/>
      <w:pPr>
        <w:ind w:left="6810" w:hanging="361"/>
      </w:pPr>
      <w:rPr>
        <w:rFonts w:hint="default"/>
        <w:lang w:val="en-US" w:eastAsia="en-US" w:bidi="ar-SA"/>
      </w:rPr>
    </w:lvl>
    <w:lvl w:ilvl="6">
      <w:start w:val="0"/>
      <w:numFmt w:val="bullet"/>
      <w:lvlText w:val="•"/>
      <w:lvlJc w:val="left"/>
      <w:pPr>
        <w:ind w:left="7784" w:hanging="361"/>
      </w:pPr>
      <w:rPr>
        <w:rFonts w:hint="default"/>
        <w:lang w:val="en-US" w:eastAsia="en-US" w:bidi="ar-SA"/>
      </w:rPr>
    </w:lvl>
    <w:lvl w:ilvl="7">
      <w:start w:val="0"/>
      <w:numFmt w:val="bullet"/>
      <w:lvlText w:val="•"/>
      <w:lvlJc w:val="left"/>
      <w:pPr>
        <w:ind w:left="8758" w:hanging="361"/>
      </w:pPr>
      <w:rPr>
        <w:rFonts w:hint="default"/>
        <w:lang w:val="en-US" w:eastAsia="en-US" w:bidi="ar-SA"/>
      </w:rPr>
    </w:lvl>
    <w:lvl w:ilvl="8">
      <w:start w:val="0"/>
      <w:numFmt w:val="bullet"/>
      <w:lvlText w:val="•"/>
      <w:lvlJc w:val="left"/>
      <w:pPr>
        <w:ind w:left="9732" w:hanging="361"/>
      </w:pPr>
      <w:rPr>
        <w:rFonts w:hint="default"/>
        <w:lang w:val="en-US" w:eastAsia="en-US" w:bidi="ar-SA"/>
      </w:rPr>
    </w:lvl>
  </w:abstractNum>
  <w:abstractNum w:abstractNumId="96">
    <w:multiLevelType w:val="hybridMultilevel"/>
    <w:lvl w:ilvl="0">
      <w:start w:val="0"/>
      <w:numFmt w:val="bullet"/>
      <w:lvlText w:val=""/>
      <w:lvlJc w:val="left"/>
      <w:pPr>
        <w:ind w:left="194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914" w:hanging="361"/>
      </w:pPr>
      <w:rPr>
        <w:rFonts w:hint="default"/>
        <w:lang w:val="en-US" w:eastAsia="en-US" w:bidi="ar-SA"/>
      </w:rPr>
    </w:lvl>
    <w:lvl w:ilvl="2">
      <w:start w:val="0"/>
      <w:numFmt w:val="bullet"/>
      <w:lvlText w:val="•"/>
      <w:lvlJc w:val="left"/>
      <w:pPr>
        <w:ind w:left="3888" w:hanging="361"/>
      </w:pPr>
      <w:rPr>
        <w:rFonts w:hint="default"/>
        <w:lang w:val="en-US" w:eastAsia="en-US" w:bidi="ar-SA"/>
      </w:rPr>
    </w:lvl>
    <w:lvl w:ilvl="3">
      <w:start w:val="0"/>
      <w:numFmt w:val="bullet"/>
      <w:lvlText w:val="•"/>
      <w:lvlJc w:val="left"/>
      <w:pPr>
        <w:ind w:left="4862" w:hanging="361"/>
      </w:pPr>
      <w:rPr>
        <w:rFonts w:hint="default"/>
        <w:lang w:val="en-US" w:eastAsia="en-US" w:bidi="ar-SA"/>
      </w:rPr>
    </w:lvl>
    <w:lvl w:ilvl="4">
      <w:start w:val="0"/>
      <w:numFmt w:val="bullet"/>
      <w:lvlText w:val="•"/>
      <w:lvlJc w:val="left"/>
      <w:pPr>
        <w:ind w:left="5836" w:hanging="361"/>
      </w:pPr>
      <w:rPr>
        <w:rFonts w:hint="default"/>
        <w:lang w:val="en-US" w:eastAsia="en-US" w:bidi="ar-SA"/>
      </w:rPr>
    </w:lvl>
    <w:lvl w:ilvl="5">
      <w:start w:val="0"/>
      <w:numFmt w:val="bullet"/>
      <w:lvlText w:val="•"/>
      <w:lvlJc w:val="left"/>
      <w:pPr>
        <w:ind w:left="6810" w:hanging="361"/>
      </w:pPr>
      <w:rPr>
        <w:rFonts w:hint="default"/>
        <w:lang w:val="en-US" w:eastAsia="en-US" w:bidi="ar-SA"/>
      </w:rPr>
    </w:lvl>
    <w:lvl w:ilvl="6">
      <w:start w:val="0"/>
      <w:numFmt w:val="bullet"/>
      <w:lvlText w:val="•"/>
      <w:lvlJc w:val="left"/>
      <w:pPr>
        <w:ind w:left="7784" w:hanging="361"/>
      </w:pPr>
      <w:rPr>
        <w:rFonts w:hint="default"/>
        <w:lang w:val="en-US" w:eastAsia="en-US" w:bidi="ar-SA"/>
      </w:rPr>
    </w:lvl>
    <w:lvl w:ilvl="7">
      <w:start w:val="0"/>
      <w:numFmt w:val="bullet"/>
      <w:lvlText w:val="•"/>
      <w:lvlJc w:val="left"/>
      <w:pPr>
        <w:ind w:left="8758" w:hanging="361"/>
      </w:pPr>
      <w:rPr>
        <w:rFonts w:hint="default"/>
        <w:lang w:val="en-US" w:eastAsia="en-US" w:bidi="ar-SA"/>
      </w:rPr>
    </w:lvl>
    <w:lvl w:ilvl="8">
      <w:start w:val="0"/>
      <w:numFmt w:val="bullet"/>
      <w:lvlText w:val="•"/>
      <w:lvlJc w:val="left"/>
      <w:pPr>
        <w:ind w:left="9732" w:hanging="361"/>
      </w:pPr>
      <w:rPr>
        <w:rFonts w:hint="default"/>
        <w:lang w:val="en-US" w:eastAsia="en-US" w:bidi="ar-SA"/>
      </w:rPr>
    </w:lvl>
  </w:abstractNum>
  <w:abstractNum w:abstractNumId="95">
    <w:multiLevelType w:val="hybridMultilevel"/>
    <w:lvl w:ilvl="0">
      <w:start w:val="0"/>
      <w:numFmt w:val="bullet"/>
      <w:lvlText w:val=""/>
      <w:lvlJc w:val="left"/>
      <w:pPr>
        <w:ind w:left="2048"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o"/>
      <w:lvlJc w:val="left"/>
      <w:pPr>
        <w:ind w:left="2767" w:hanging="416"/>
      </w:pPr>
      <w:rPr>
        <w:rFonts w:hint="default" w:ascii="Courier New" w:hAnsi="Courier New" w:eastAsia="Courier New" w:cs="Courier New"/>
        <w:b w:val="0"/>
        <w:bCs w:val="0"/>
        <w:i w:val="0"/>
        <w:iCs w:val="0"/>
        <w:spacing w:val="0"/>
        <w:w w:val="100"/>
        <w:sz w:val="22"/>
        <w:szCs w:val="22"/>
        <w:lang w:val="en-US" w:eastAsia="en-US" w:bidi="ar-SA"/>
      </w:rPr>
    </w:lvl>
    <w:lvl w:ilvl="2">
      <w:start w:val="0"/>
      <w:numFmt w:val="bullet"/>
      <w:lvlText w:val="•"/>
      <w:lvlJc w:val="left"/>
      <w:pPr>
        <w:ind w:left="3751" w:hanging="416"/>
      </w:pPr>
      <w:rPr>
        <w:rFonts w:hint="default"/>
        <w:lang w:val="en-US" w:eastAsia="en-US" w:bidi="ar-SA"/>
      </w:rPr>
    </w:lvl>
    <w:lvl w:ilvl="3">
      <w:start w:val="0"/>
      <w:numFmt w:val="bullet"/>
      <w:lvlText w:val="•"/>
      <w:lvlJc w:val="left"/>
      <w:pPr>
        <w:ind w:left="4742" w:hanging="416"/>
      </w:pPr>
      <w:rPr>
        <w:rFonts w:hint="default"/>
        <w:lang w:val="en-US" w:eastAsia="en-US" w:bidi="ar-SA"/>
      </w:rPr>
    </w:lvl>
    <w:lvl w:ilvl="4">
      <w:start w:val="0"/>
      <w:numFmt w:val="bullet"/>
      <w:lvlText w:val="•"/>
      <w:lvlJc w:val="left"/>
      <w:pPr>
        <w:ind w:left="5733" w:hanging="416"/>
      </w:pPr>
      <w:rPr>
        <w:rFonts w:hint="default"/>
        <w:lang w:val="en-US" w:eastAsia="en-US" w:bidi="ar-SA"/>
      </w:rPr>
    </w:lvl>
    <w:lvl w:ilvl="5">
      <w:start w:val="0"/>
      <w:numFmt w:val="bullet"/>
      <w:lvlText w:val="•"/>
      <w:lvlJc w:val="left"/>
      <w:pPr>
        <w:ind w:left="6724" w:hanging="416"/>
      </w:pPr>
      <w:rPr>
        <w:rFonts w:hint="default"/>
        <w:lang w:val="en-US" w:eastAsia="en-US" w:bidi="ar-SA"/>
      </w:rPr>
    </w:lvl>
    <w:lvl w:ilvl="6">
      <w:start w:val="0"/>
      <w:numFmt w:val="bullet"/>
      <w:lvlText w:val="•"/>
      <w:lvlJc w:val="left"/>
      <w:pPr>
        <w:ind w:left="7715" w:hanging="416"/>
      </w:pPr>
      <w:rPr>
        <w:rFonts w:hint="default"/>
        <w:lang w:val="en-US" w:eastAsia="en-US" w:bidi="ar-SA"/>
      </w:rPr>
    </w:lvl>
    <w:lvl w:ilvl="7">
      <w:start w:val="0"/>
      <w:numFmt w:val="bullet"/>
      <w:lvlText w:val="•"/>
      <w:lvlJc w:val="left"/>
      <w:pPr>
        <w:ind w:left="8706" w:hanging="416"/>
      </w:pPr>
      <w:rPr>
        <w:rFonts w:hint="default"/>
        <w:lang w:val="en-US" w:eastAsia="en-US" w:bidi="ar-SA"/>
      </w:rPr>
    </w:lvl>
    <w:lvl w:ilvl="8">
      <w:start w:val="0"/>
      <w:numFmt w:val="bullet"/>
      <w:lvlText w:val="•"/>
      <w:lvlJc w:val="left"/>
      <w:pPr>
        <w:ind w:left="9697" w:hanging="416"/>
      </w:pPr>
      <w:rPr>
        <w:rFonts w:hint="default"/>
        <w:lang w:val="en-US" w:eastAsia="en-US" w:bidi="ar-SA"/>
      </w:rPr>
    </w:lvl>
  </w:abstractNum>
  <w:abstractNum w:abstractNumId="94">
    <w:multiLevelType w:val="hybridMultilevel"/>
    <w:lvl w:ilvl="0">
      <w:start w:val="0"/>
      <w:numFmt w:val="bullet"/>
      <w:lvlText w:val=""/>
      <w:lvlJc w:val="left"/>
      <w:pPr>
        <w:ind w:left="1940"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914" w:hanging="360"/>
      </w:pPr>
      <w:rPr>
        <w:rFonts w:hint="default"/>
        <w:lang w:val="en-US" w:eastAsia="en-US" w:bidi="ar-SA"/>
      </w:rPr>
    </w:lvl>
    <w:lvl w:ilvl="2">
      <w:start w:val="0"/>
      <w:numFmt w:val="bullet"/>
      <w:lvlText w:val="•"/>
      <w:lvlJc w:val="left"/>
      <w:pPr>
        <w:ind w:left="3888" w:hanging="360"/>
      </w:pPr>
      <w:rPr>
        <w:rFonts w:hint="default"/>
        <w:lang w:val="en-US" w:eastAsia="en-US" w:bidi="ar-SA"/>
      </w:rPr>
    </w:lvl>
    <w:lvl w:ilvl="3">
      <w:start w:val="0"/>
      <w:numFmt w:val="bullet"/>
      <w:lvlText w:val="•"/>
      <w:lvlJc w:val="left"/>
      <w:pPr>
        <w:ind w:left="4862" w:hanging="360"/>
      </w:pPr>
      <w:rPr>
        <w:rFonts w:hint="default"/>
        <w:lang w:val="en-US" w:eastAsia="en-US" w:bidi="ar-SA"/>
      </w:rPr>
    </w:lvl>
    <w:lvl w:ilvl="4">
      <w:start w:val="0"/>
      <w:numFmt w:val="bullet"/>
      <w:lvlText w:val="•"/>
      <w:lvlJc w:val="left"/>
      <w:pPr>
        <w:ind w:left="5836" w:hanging="360"/>
      </w:pPr>
      <w:rPr>
        <w:rFonts w:hint="default"/>
        <w:lang w:val="en-US" w:eastAsia="en-US" w:bidi="ar-SA"/>
      </w:rPr>
    </w:lvl>
    <w:lvl w:ilvl="5">
      <w:start w:val="0"/>
      <w:numFmt w:val="bullet"/>
      <w:lvlText w:val="•"/>
      <w:lvlJc w:val="left"/>
      <w:pPr>
        <w:ind w:left="6810" w:hanging="360"/>
      </w:pPr>
      <w:rPr>
        <w:rFonts w:hint="default"/>
        <w:lang w:val="en-US" w:eastAsia="en-US" w:bidi="ar-SA"/>
      </w:rPr>
    </w:lvl>
    <w:lvl w:ilvl="6">
      <w:start w:val="0"/>
      <w:numFmt w:val="bullet"/>
      <w:lvlText w:val="•"/>
      <w:lvlJc w:val="left"/>
      <w:pPr>
        <w:ind w:left="7784" w:hanging="360"/>
      </w:pPr>
      <w:rPr>
        <w:rFonts w:hint="default"/>
        <w:lang w:val="en-US" w:eastAsia="en-US" w:bidi="ar-SA"/>
      </w:rPr>
    </w:lvl>
    <w:lvl w:ilvl="7">
      <w:start w:val="0"/>
      <w:numFmt w:val="bullet"/>
      <w:lvlText w:val="•"/>
      <w:lvlJc w:val="left"/>
      <w:pPr>
        <w:ind w:left="8758" w:hanging="360"/>
      </w:pPr>
      <w:rPr>
        <w:rFonts w:hint="default"/>
        <w:lang w:val="en-US" w:eastAsia="en-US" w:bidi="ar-SA"/>
      </w:rPr>
    </w:lvl>
    <w:lvl w:ilvl="8">
      <w:start w:val="0"/>
      <w:numFmt w:val="bullet"/>
      <w:lvlText w:val="•"/>
      <w:lvlJc w:val="left"/>
      <w:pPr>
        <w:ind w:left="9732" w:hanging="360"/>
      </w:pPr>
      <w:rPr>
        <w:rFonts w:hint="default"/>
        <w:lang w:val="en-US" w:eastAsia="en-US" w:bidi="ar-SA"/>
      </w:rPr>
    </w:lvl>
  </w:abstractNum>
  <w:abstractNum w:abstractNumId="93">
    <w:multiLevelType w:val="hybridMultilevel"/>
    <w:lvl w:ilvl="0">
      <w:start w:val="1"/>
      <w:numFmt w:val="decimal"/>
      <w:lvlText w:val="%1."/>
      <w:lvlJc w:val="left"/>
      <w:pPr>
        <w:ind w:left="1940"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o"/>
      <w:lvlJc w:val="left"/>
      <w:pPr>
        <w:ind w:left="2660" w:hanging="361"/>
      </w:pPr>
      <w:rPr>
        <w:rFonts w:hint="default" w:ascii="Courier New" w:hAnsi="Courier New" w:eastAsia="Courier New" w:cs="Courier New"/>
        <w:b w:val="0"/>
        <w:bCs w:val="0"/>
        <w:i w:val="0"/>
        <w:iCs w:val="0"/>
        <w:spacing w:val="0"/>
        <w:w w:val="100"/>
        <w:sz w:val="22"/>
        <w:szCs w:val="22"/>
        <w:lang w:val="en-US" w:eastAsia="en-US" w:bidi="ar-SA"/>
      </w:rPr>
    </w:lvl>
    <w:lvl w:ilvl="2">
      <w:start w:val="0"/>
      <w:numFmt w:val="bullet"/>
      <w:lvlText w:val=""/>
      <w:lvlJc w:val="left"/>
      <w:pPr>
        <w:ind w:left="3380" w:hanging="361"/>
      </w:pPr>
      <w:rPr>
        <w:rFonts w:hint="default" w:ascii="Wingdings" w:hAnsi="Wingdings" w:eastAsia="Wingdings" w:cs="Wingdings"/>
        <w:b w:val="0"/>
        <w:bCs w:val="0"/>
        <w:i w:val="0"/>
        <w:iCs w:val="0"/>
        <w:spacing w:val="0"/>
        <w:w w:val="100"/>
        <w:sz w:val="22"/>
        <w:szCs w:val="22"/>
        <w:lang w:val="en-US" w:eastAsia="en-US" w:bidi="ar-SA"/>
      </w:rPr>
    </w:lvl>
    <w:lvl w:ilvl="3">
      <w:start w:val="0"/>
      <w:numFmt w:val="bullet"/>
      <w:lvlText w:val="•"/>
      <w:lvlJc w:val="left"/>
      <w:pPr>
        <w:ind w:left="4417" w:hanging="361"/>
      </w:pPr>
      <w:rPr>
        <w:rFonts w:hint="default"/>
        <w:lang w:val="en-US" w:eastAsia="en-US" w:bidi="ar-SA"/>
      </w:rPr>
    </w:lvl>
    <w:lvl w:ilvl="4">
      <w:start w:val="0"/>
      <w:numFmt w:val="bullet"/>
      <w:lvlText w:val="•"/>
      <w:lvlJc w:val="left"/>
      <w:pPr>
        <w:ind w:left="5455" w:hanging="361"/>
      </w:pPr>
      <w:rPr>
        <w:rFonts w:hint="default"/>
        <w:lang w:val="en-US" w:eastAsia="en-US" w:bidi="ar-SA"/>
      </w:rPr>
    </w:lvl>
    <w:lvl w:ilvl="5">
      <w:start w:val="0"/>
      <w:numFmt w:val="bullet"/>
      <w:lvlText w:val="•"/>
      <w:lvlJc w:val="left"/>
      <w:pPr>
        <w:ind w:left="6492" w:hanging="361"/>
      </w:pPr>
      <w:rPr>
        <w:rFonts w:hint="default"/>
        <w:lang w:val="en-US" w:eastAsia="en-US" w:bidi="ar-SA"/>
      </w:rPr>
    </w:lvl>
    <w:lvl w:ilvl="6">
      <w:start w:val="0"/>
      <w:numFmt w:val="bullet"/>
      <w:lvlText w:val="•"/>
      <w:lvlJc w:val="left"/>
      <w:pPr>
        <w:ind w:left="7530" w:hanging="361"/>
      </w:pPr>
      <w:rPr>
        <w:rFonts w:hint="default"/>
        <w:lang w:val="en-US" w:eastAsia="en-US" w:bidi="ar-SA"/>
      </w:rPr>
    </w:lvl>
    <w:lvl w:ilvl="7">
      <w:start w:val="0"/>
      <w:numFmt w:val="bullet"/>
      <w:lvlText w:val="•"/>
      <w:lvlJc w:val="left"/>
      <w:pPr>
        <w:ind w:left="8567" w:hanging="361"/>
      </w:pPr>
      <w:rPr>
        <w:rFonts w:hint="default"/>
        <w:lang w:val="en-US" w:eastAsia="en-US" w:bidi="ar-SA"/>
      </w:rPr>
    </w:lvl>
    <w:lvl w:ilvl="8">
      <w:start w:val="0"/>
      <w:numFmt w:val="bullet"/>
      <w:lvlText w:val="•"/>
      <w:lvlJc w:val="left"/>
      <w:pPr>
        <w:ind w:left="9605" w:hanging="361"/>
      </w:pPr>
      <w:rPr>
        <w:rFonts w:hint="default"/>
        <w:lang w:val="en-US" w:eastAsia="en-US" w:bidi="ar-SA"/>
      </w:rPr>
    </w:lvl>
  </w:abstractNum>
  <w:abstractNum w:abstractNumId="92">
    <w:multiLevelType w:val="hybridMultilevel"/>
    <w:lvl w:ilvl="0">
      <w:start w:val="0"/>
      <w:numFmt w:val="bullet"/>
      <w:lvlText w:val=""/>
      <w:lvlJc w:val="left"/>
      <w:pPr>
        <w:ind w:left="194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914" w:hanging="361"/>
      </w:pPr>
      <w:rPr>
        <w:rFonts w:hint="default"/>
        <w:lang w:val="en-US" w:eastAsia="en-US" w:bidi="ar-SA"/>
      </w:rPr>
    </w:lvl>
    <w:lvl w:ilvl="2">
      <w:start w:val="0"/>
      <w:numFmt w:val="bullet"/>
      <w:lvlText w:val="•"/>
      <w:lvlJc w:val="left"/>
      <w:pPr>
        <w:ind w:left="3888" w:hanging="361"/>
      </w:pPr>
      <w:rPr>
        <w:rFonts w:hint="default"/>
        <w:lang w:val="en-US" w:eastAsia="en-US" w:bidi="ar-SA"/>
      </w:rPr>
    </w:lvl>
    <w:lvl w:ilvl="3">
      <w:start w:val="0"/>
      <w:numFmt w:val="bullet"/>
      <w:lvlText w:val="•"/>
      <w:lvlJc w:val="left"/>
      <w:pPr>
        <w:ind w:left="4862" w:hanging="361"/>
      </w:pPr>
      <w:rPr>
        <w:rFonts w:hint="default"/>
        <w:lang w:val="en-US" w:eastAsia="en-US" w:bidi="ar-SA"/>
      </w:rPr>
    </w:lvl>
    <w:lvl w:ilvl="4">
      <w:start w:val="0"/>
      <w:numFmt w:val="bullet"/>
      <w:lvlText w:val="•"/>
      <w:lvlJc w:val="left"/>
      <w:pPr>
        <w:ind w:left="5836" w:hanging="361"/>
      </w:pPr>
      <w:rPr>
        <w:rFonts w:hint="default"/>
        <w:lang w:val="en-US" w:eastAsia="en-US" w:bidi="ar-SA"/>
      </w:rPr>
    </w:lvl>
    <w:lvl w:ilvl="5">
      <w:start w:val="0"/>
      <w:numFmt w:val="bullet"/>
      <w:lvlText w:val="•"/>
      <w:lvlJc w:val="left"/>
      <w:pPr>
        <w:ind w:left="6810" w:hanging="361"/>
      </w:pPr>
      <w:rPr>
        <w:rFonts w:hint="default"/>
        <w:lang w:val="en-US" w:eastAsia="en-US" w:bidi="ar-SA"/>
      </w:rPr>
    </w:lvl>
    <w:lvl w:ilvl="6">
      <w:start w:val="0"/>
      <w:numFmt w:val="bullet"/>
      <w:lvlText w:val="•"/>
      <w:lvlJc w:val="left"/>
      <w:pPr>
        <w:ind w:left="7784" w:hanging="361"/>
      </w:pPr>
      <w:rPr>
        <w:rFonts w:hint="default"/>
        <w:lang w:val="en-US" w:eastAsia="en-US" w:bidi="ar-SA"/>
      </w:rPr>
    </w:lvl>
    <w:lvl w:ilvl="7">
      <w:start w:val="0"/>
      <w:numFmt w:val="bullet"/>
      <w:lvlText w:val="•"/>
      <w:lvlJc w:val="left"/>
      <w:pPr>
        <w:ind w:left="8758" w:hanging="361"/>
      </w:pPr>
      <w:rPr>
        <w:rFonts w:hint="default"/>
        <w:lang w:val="en-US" w:eastAsia="en-US" w:bidi="ar-SA"/>
      </w:rPr>
    </w:lvl>
    <w:lvl w:ilvl="8">
      <w:start w:val="0"/>
      <w:numFmt w:val="bullet"/>
      <w:lvlText w:val="•"/>
      <w:lvlJc w:val="left"/>
      <w:pPr>
        <w:ind w:left="9732" w:hanging="361"/>
      </w:pPr>
      <w:rPr>
        <w:rFonts w:hint="default"/>
        <w:lang w:val="en-US" w:eastAsia="en-US" w:bidi="ar-SA"/>
      </w:rPr>
    </w:lvl>
  </w:abstractNum>
  <w:abstractNum w:abstractNumId="91">
    <w:multiLevelType w:val="hybridMultilevel"/>
    <w:lvl w:ilvl="0">
      <w:start w:val="1"/>
      <w:numFmt w:val="lowerLetter"/>
      <w:lvlText w:val="%1."/>
      <w:lvlJc w:val="left"/>
      <w:pPr>
        <w:ind w:left="2299" w:hanging="36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1"/>
      <w:numFmt w:val="lowerRoman"/>
      <w:lvlText w:val="%2."/>
      <w:lvlJc w:val="left"/>
      <w:pPr>
        <w:ind w:left="3019" w:hanging="360"/>
        <w:jc w:val="left"/>
      </w:pPr>
      <w:rPr>
        <w:rFonts w:hint="default" w:ascii="Calibri" w:hAnsi="Calibri" w:eastAsia="Calibri" w:cs="Calibri"/>
        <w:b w:val="0"/>
        <w:bCs w:val="0"/>
        <w:i w:val="0"/>
        <w:iCs w:val="0"/>
        <w:spacing w:val="-1"/>
        <w:w w:val="100"/>
        <w:sz w:val="22"/>
        <w:szCs w:val="22"/>
        <w:lang w:val="en-US" w:eastAsia="en-US" w:bidi="ar-SA"/>
      </w:rPr>
    </w:lvl>
    <w:lvl w:ilvl="2">
      <w:start w:val="0"/>
      <w:numFmt w:val="bullet"/>
      <w:lvlText w:val="•"/>
      <w:lvlJc w:val="left"/>
      <w:pPr>
        <w:ind w:left="3982" w:hanging="360"/>
      </w:pPr>
      <w:rPr>
        <w:rFonts w:hint="default"/>
        <w:lang w:val="en-US" w:eastAsia="en-US" w:bidi="ar-SA"/>
      </w:rPr>
    </w:lvl>
    <w:lvl w:ilvl="3">
      <w:start w:val="0"/>
      <w:numFmt w:val="bullet"/>
      <w:lvlText w:val="•"/>
      <w:lvlJc w:val="left"/>
      <w:pPr>
        <w:ind w:left="4944" w:hanging="360"/>
      </w:pPr>
      <w:rPr>
        <w:rFonts w:hint="default"/>
        <w:lang w:val="en-US" w:eastAsia="en-US" w:bidi="ar-SA"/>
      </w:rPr>
    </w:lvl>
    <w:lvl w:ilvl="4">
      <w:start w:val="0"/>
      <w:numFmt w:val="bullet"/>
      <w:lvlText w:val="•"/>
      <w:lvlJc w:val="left"/>
      <w:pPr>
        <w:ind w:left="5906" w:hanging="360"/>
      </w:pPr>
      <w:rPr>
        <w:rFonts w:hint="default"/>
        <w:lang w:val="en-US" w:eastAsia="en-US" w:bidi="ar-SA"/>
      </w:rPr>
    </w:lvl>
    <w:lvl w:ilvl="5">
      <w:start w:val="0"/>
      <w:numFmt w:val="bullet"/>
      <w:lvlText w:val="•"/>
      <w:lvlJc w:val="left"/>
      <w:pPr>
        <w:ind w:left="6868" w:hanging="360"/>
      </w:pPr>
      <w:rPr>
        <w:rFonts w:hint="default"/>
        <w:lang w:val="en-US" w:eastAsia="en-US" w:bidi="ar-SA"/>
      </w:rPr>
    </w:lvl>
    <w:lvl w:ilvl="6">
      <w:start w:val="0"/>
      <w:numFmt w:val="bullet"/>
      <w:lvlText w:val="•"/>
      <w:lvlJc w:val="left"/>
      <w:pPr>
        <w:ind w:left="7831" w:hanging="360"/>
      </w:pPr>
      <w:rPr>
        <w:rFonts w:hint="default"/>
        <w:lang w:val="en-US" w:eastAsia="en-US" w:bidi="ar-SA"/>
      </w:rPr>
    </w:lvl>
    <w:lvl w:ilvl="7">
      <w:start w:val="0"/>
      <w:numFmt w:val="bullet"/>
      <w:lvlText w:val="•"/>
      <w:lvlJc w:val="left"/>
      <w:pPr>
        <w:ind w:left="8793" w:hanging="360"/>
      </w:pPr>
      <w:rPr>
        <w:rFonts w:hint="default"/>
        <w:lang w:val="en-US" w:eastAsia="en-US" w:bidi="ar-SA"/>
      </w:rPr>
    </w:lvl>
    <w:lvl w:ilvl="8">
      <w:start w:val="0"/>
      <w:numFmt w:val="bullet"/>
      <w:lvlText w:val="•"/>
      <w:lvlJc w:val="left"/>
      <w:pPr>
        <w:ind w:left="9755" w:hanging="360"/>
      </w:pPr>
      <w:rPr>
        <w:rFonts w:hint="default"/>
        <w:lang w:val="en-US" w:eastAsia="en-US" w:bidi="ar-SA"/>
      </w:rPr>
    </w:lvl>
  </w:abstractNum>
  <w:abstractNum w:abstractNumId="90">
    <w:multiLevelType w:val="hybridMultilevel"/>
    <w:lvl w:ilvl="0">
      <w:start w:val="1"/>
      <w:numFmt w:val="lowerLetter"/>
      <w:lvlText w:val="%1."/>
      <w:lvlJc w:val="left"/>
      <w:pPr>
        <w:ind w:left="2300" w:hanging="36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1"/>
      <w:numFmt w:val="lowerRoman"/>
      <w:lvlText w:val="%2."/>
      <w:lvlJc w:val="left"/>
      <w:pPr>
        <w:ind w:left="3020" w:hanging="360"/>
        <w:jc w:val="left"/>
      </w:pPr>
      <w:rPr>
        <w:rFonts w:hint="default" w:ascii="Calibri" w:hAnsi="Calibri" w:eastAsia="Calibri" w:cs="Calibri"/>
        <w:b w:val="0"/>
        <w:bCs w:val="0"/>
        <w:i w:val="0"/>
        <w:iCs w:val="0"/>
        <w:spacing w:val="-1"/>
        <w:w w:val="100"/>
        <w:sz w:val="22"/>
        <w:szCs w:val="22"/>
        <w:lang w:val="en-US" w:eastAsia="en-US" w:bidi="ar-SA"/>
      </w:rPr>
    </w:lvl>
    <w:lvl w:ilvl="2">
      <w:start w:val="0"/>
      <w:numFmt w:val="bullet"/>
      <w:lvlText w:val="•"/>
      <w:lvlJc w:val="left"/>
      <w:pPr>
        <w:ind w:left="3982" w:hanging="360"/>
      </w:pPr>
      <w:rPr>
        <w:rFonts w:hint="default"/>
        <w:lang w:val="en-US" w:eastAsia="en-US" w:bidi="ar-SA"/>
      </w:rPr>
    </w:lvl>
    <w:lvl w:ilvl="3">
      <w:start w:val="0"/>
      <w:numFmt w:val="bullet"/>
      <w:lvlText w:val="•"/>
      <w:lvlJc w:val="left"/>
      <w:pPr>
        <w:ind w:left="4944" w:hanging="360"/>
      </w:pPr>
      <w:rPr>
        <w:rFonts w:hint="default"/>
        <w:lang w:val="en-US" w:eastAsia="en-US" w:bidi="ar-SA"/>
      </w:rPr>
    </w:lvl>
    <w:lvl w:ilvl="4">
      <w:start w:val="0"/>
      <w:numFmt w:val="bullet"/>
      <w:lvlText w:val="•"/>
      <w:lvlJc w:val="left"/>
      <w:pPr>
        <w:ind w:left="5906" w:hanging="360"/>
      </w:pPr>
      <w:rPr>
        <w:rFonts w:hint="default"/>
        <w:lang w:val="en-US" w:eastAsia="en-US" w:bidi="ar-SA"/>
      </w:rPr>
    </w:lvl>
    <w:lvl w:ilvl="5">
      <w:start w:val="0"/>
      <w:numFmt w:val="bullet"/>
      <w:lvlText w:val="•"/>
      <w:lvlJc w:val="left"/>
      <w:pPr>
        <w:ind w:left="6868" w:hanging="360"/>
      </w:pPr>
      <w:rPr>
        <w:rFonts w:hint="default"/>
        <w:lang w:val="en-US" w:eastAsia="en-US" w:bidi="ar-SA"/>
      </w:rPr>
    </w:lvl>
    <w:lvl w:ilvl="6">
      <w:start w:val="0"/>
      <w:numFmt w:val="bullet"/>
      <w:lvlText w:val="•"/>
      <w:lvlJc w:val="left"/>
      <w:pPr>
        <w:ind w:left="7831" w:hanging="360"/>
      </w:pPr>
      <w:rPr>
        <w:rFonts w:hint="default"/>
        <w:lang w:val="en-US" w:eastAsia="en-US" w:bidi="ar-SA"/>
      </w:rPr>
    </w:lvl>
    <w:lvl w:ilvl="7">
      <w:start w:val="0"/>
      <w:numFmt w:val="bullet"/>
      <w:lvlText w:val="•"/>
      <w:lvlJc w:val="left"/>
      <w:pPr>
        <w:ind w:left="8793" w:hanging="360"/>
      </w:pPr>
      <w:rPr>
        <w:rFonts w:hint="default"/>
        <w:lang w:val="en-US" w:eastAsia="en-US" w:bidi="ar-SA"/>
      </w:rPr>
    </w:lvl>
    <w:lvl w:ilvl="8">
      <w:start w:val="0"/>
      <w:numFmt w:val="bullet"/>
      <w:lvlText w:val="•"/>
      <w:lvlJc w:val="left"/>
      <w:pPr>
        <w:ind w:left="9755" w:hanging="360"/>
      </w:pPr>
      <w:rPr>
        <w:rFonts w:hint="default"/>
        <w:lang w:val="en-US" w:eastAsia="en-US" w:bidi="ar-SA"/>
      </w:rPr>
    </w:lvl>
  </w:abstractNum>
  <w:abstractNum w:abstractNumId="89">
    <w:multiLevelType w:val="hybridMultilevel"/>
    <w:lvl w:ilvl="0">
      <w:start w:val="0"/>
      <w:numFmt w:val="bullet"/>
      <w:lvlText w:val=""/>
      <w:lvlJc w:val="left"/>
      <w:pPr>
        <w:ind w:left="466" w:hanging="360"/>
      </w:pPr>
      <w:rPr>
        <w:rFonts w:hint="default" w:ascii="Symbol" w:hAnsi="Symbol" w:eastAsia="Symbol" w:cs="Symbol"/>
        <w:spacing w:val="0"/>
        <w:w w:val="100"/>
        <w:lang w:val="en-US" w:eastAsia="en-US" w:bidi="ar-SA"/>
      </w:rPr>
    </w:lvl>
    <w:lvl w:ilvl="1">
      <w:start w:val="0"/>
      <w:numFmt w:val="bullet"/>
      <w:lvlText w:val="•"/>
      <w:lvlJc w:val="left"/>
      <w:pPr>
        <w:ind w:left="722" w:hanging="360"/>
      </w:pPr>
      <w:rPr>
        <w:rFonts w:hint="default"/>
        <w:lang w:val="en-US" w:eastAsia="en-US" w:bidi="ar-SA"/>
      </w:rPr>
    </w:lvl>
    <w:lvl w:ilvl="2">
      <w:start w:val="0"/>
      <w:numFmt w:val="bullet"/>
      <w:lvlText w:val="•"/>
      <w:lvlJc w:val="left"/>
      <w:pPr>
        <w:ind w:left="985" w:hanging="360"/>
      </w:pPr>
      <w:rPr>
        <w:rFonts w:hint="default"/>
        <w:lang w:val="en-US" w:eastAsia="en-US" w:bidi="ar-SA"/>
      </w:rPr>
    </w:lvl>
    <w:lvl w:ilvl="3">
      <w:start w:val="0"/>
      <w:numFmt w:val="bullet"/>
      <w:lvlText w:val="•"/>
      <w:lvlJc w:val="left"/>
      <w:pPr>
        <w:ind w:left="1248" w:hanging="360"/>
      </w:pPr>
      <w:rPr>
        <w:rFonts w:hint="default"/>
        <w:lang w:val="en-US" w:eastAsia="en-US" w:bidi="ar-SA"/>
      </w:rPr>
    </w:lvl>
    <w:lvl w:ilvl="4">
      <w:start w:val="0"/>
      <w:numFmt w:val="bullet"/>
      <w:lvlText w:val="•"/>
      <w:lvlJc w:val="left"/>
      <w:pPr>
        <w:ind w:left="1511" w:hanging="360"/>
      </w:pPr>
      <w:rPr>
        <w:rFonts w:hint="default"/>
        <w:lang w:val="en-US" w:eastAsia="en-US" w:bidi="ar-SA"/>
      </w:rPr>
    </w:lvl>
    <w:lvl w:ilvl="5">
      <w:start w:val="0"/>
      <w:numFmt w:val="bullet"/>
      <w:lvlText w:val="•"/>
      <w:lvlJc w:val="left"/>
      <w:pPr>
        <w:ind w:left="1774" w:hanging="360"/>
      </w:pPr>
      <w:rPr>
        <w:rFonts w:hint="default"/>
        <w:lang w:val="en-US" w:eastAsia="en-US" w:bidi="ar-SA"/>
      </w:rPr>
    </w:lvl>
    <w:lvl w:ilvl="6">
      <w:start w:val="0"/>
      <w:numFmt w:val="bullet"/>
      <w:lvlText w:val="•"/>
      <w:lvlJc w:val="left"/>
      <w:pPr>
        <w:ind w:left="2037" w:hanging="360"/>
      </w:pPr>
      <w:rPr>
        <w:rFonts w:hint="default"/>
        <w:lang w:val="en-US" w:eastAsia="en-US" w:bidi="ar-SA"/>
      </w:rPr>
    </w:lvl>
    <w:lvl w:ilvl="7">
      <w:start w:val="0"/>
      <w:numFmt w:val="bullet"/>
      <w:lvlText w:val="•"/>
      <w:lvlJc w:val="left"/>
      <w:pPr>
        <w:ind w:left="2300" w:hanging="360"/>
      </w:pPr>
      <w:rPr>
        <w:rFonts w:hint="default"/>
        <w:lang w:val="en-US" w:eastAsia="en-US" w:bidi="ar-SA"/>
      </w:rPr>
    </w:lvl>
    <w:lvl w:ilvl="8">
      <w:start w:val="0"/>
      <w:numFmt w:val="bullet"/>
      <w:lvlText w:val="•"/>
      <w:lvlJc w:val="left"/>
      <w:pPr>
        <w:ind w:left="2563" w:hanging="360"/>
      </w:pPr>
      <w:rPr>
        <w:rFonts w:hint="default"/>
        <w:lang w:val="en-US" w:eastAsia="en-US" w:bidi="ar-SA"/>
      </w:rPr>
    </w:lvl>
  </w:abstractNum>
  <w:abstractNum w:abstractNumId="88">
    <w:multiLevelType w:val="hybridMultilevel"/>
    <w:lvl w:ilvl="0">
      <w:start w:val="0"/>
      <w:numFmt w:val="bullet"/>
      <w:lvlText w:val=""/>
      <w:lvlJc w:val="left"/>
      <w:pPr>
        <w:ind w:left="464" w:hanging="360"/>
      </w:pPr>
      <w:rPr>
        <w:rFonts w:hint="default" w:ascii="Symbol" w:hAnsi="Symbol" w:eastAsia="Symbol" w:cs="Symbol"/>
        <w:spacing w:val="0"/>
        <w:w w:val="100"/>
        <w:lang w:val="en-US" w:eastAsia="en-US" w:bidi="ar-SA"/>
      </w:rPr>
    </w:lvl>
    <w:lvl w:ilvl="1">
      <w:start w:val="0"/>
      <w:numFmt w:val="bullet"/>
      <w:lvlText w:val="•"/>
      <w:lvlJc w:val="left"/>
      <w:pPr>
        <w:ind w:left="722" w:hanging="360"/>
      </w:pPr>
      <w:rPr>
        <w:rFonts w:hint="default"/>
        <w:lang w:val="en-US" w:eastAsia="en-US" w:bidi="ar-SA"/>
      </w:rPr>
    </w:lvl>
    <w:lvl w:ilvl="2">
      <w:start w:val="0"/>
      <w:numFmt w:val="bullet"/>
      <w:lvlText w:val="•"/>
      <w:lvlJc w:val="left"/>
      <w:pPr>
        <w:ind w:left="984" w:hanging="360"/>
      </w:pPr>
      <w:rPr>
        <w:rFonts w:hint="default"/>
        <w:lang w:val="en-US" w:eastAsia="en-US" w:bidi="ar-SA"/>
      </w:rPr>
    </w:lvl>
    <w:lvl w:ilvl="3">
      <w:start w:val="0"/>
      <w:numFmt w:val="bullet"/>
      <w:lvlText w:val="•"/>
      <w:lvlJc w:val="left"/>
      <w:pPr>
        <w:ind w:left="1247" w:hanging="360"/>
      </w:pPr>
      <w:rPr>
        <w:rFonts w:hint="default"/>
        <w:lang w:val="en-US" w:eastAsia="en-US" w:bidi="ar-SA"/>
      </w:rPr>
    </w:lvl>
    <w:lvl w:ilvl="4">
      <w:start w:val="0"/>
      <w:numFmt w:val="bullet"/>
      <w:lvlText w:val="•"/>
      <w:lvlJc w:val="left"/>
      <w:pPr>
        <w:ind w:left="1509" w:hanging="360"/>
      </w:pPr>
      <w:rPr>
        <w:rFonts w:hint="default"/>
        <w:lang w:val="en-US" w:eastAsia="en-US" w:bidi="ar-SA"/>
      </w:rPr>
    </w:lvl>
    <w:lvl w:ilvl="5">
      <w:start w:val="0"/>
      <w:numFmt w:val="bullet"/>
      <w:lvlText w:val="•"/>
      <w:lvlJc w:val="left"/>
      <w:pPr>
        <w:ind w:left="1772" w:hanging="360"/>
      </w:pPr>
      <w:rPr>
        <w:rFonts w:hint="default"/>
        <w:lang w:val="en-US" w:eastAsia="en-US" w:bidi="ar-SA"/>
      </w:rPr>
    </w:lvl>
    <w:lvl w:ilvl="6">
      <w:start w:val="0"/>
      <w:numFmt w:val="bullet"/>
      <w:lvlText w:val="•"/>
      <w:lvlJc w:val="left"/>
      <w:pPr>
        <w:ind w:left="2034" w:hanging="360"/>
      </w:pPr>
      <w:rPr>
        <w:rFonts w:hint="default"/>
        <w:lang w:val="en-US" w:eastAsia="en-US" w:bidi="ar-SA"/>
      </w:rPr>
    </w:lvl>
    <w:lvl w:ilvl="7">
      <w:start w:val="0"/>
      <w:numFmt w:val="bullet"/>
      <w:lvlText w:val="•"/>
      <w:lvlJc w:val="left"/>
      <w:pPr>
        <w:ind w:left="2296" w:hanging="360"/>
      </w:pPr>
      <w:rPr>
        <w:rFonts w:hint="default"/>
        <w:lang w:val="en-US" w:eastAsia="en-US" w:bidi="ar-SA"/>
      </w:rPr>
    </w:lvl>
    <w:lvl w:ilvl="8">
      <w:start w:val="0"/>
      <w:numFmt w:val="bullet"/>
      <w:lvlText w:val="•"/>
      <w:lvlJc w:val="left"/>
      <w:pPr>
        <w:ind w:left="2559" w:hanging="360"/>
      </w:pPr>
      <w:rPr>
        <w:rFonts w:hint="default"/>
        <w:lang w:val="en-US" w:eastAsia="en-US" w:bidi="ar-SA"/>
      </w:rPr>
    </w:lvl>
  </w:abstractNum>
  <w:abstractNum w:abstractNumId="87">
    <w:multiLevelType w:val="hybridMultilevel"/>
    <w:lvl w:ilvl="0">
      <w:start w:val="0"/>
      <w:numFmt w:val="bullet"/>
      <w:lvlText w:val=""/>
      <w:lvlJc w:val="left"/>
      <w:pPr>
        <w:ind w:left="467" w:hanging="360"/>
      </w:pPr>
      <w:rPr>
        <w:rFonts w:hint="default" w:ascii="Symbol" w:hAnsi="Symbol" w:eastAsia="Symbol" w:cs="Symbol"/>
        <w:spacing w:val="0"/>
        <w:w w:val="100"/>
        <w:lang w:val="en-US" w:eastAsia="en-US" w:bidi="ar-SA"/>
      </w:rPr>
    </w:lvl>
    <w:lvl w:ilvl="1">
      <w:start w:val="0"/>
      <w:numFmt w:val="bullet"/>
      <w:lvlText w:val="•"/>
      <w:lvlJc w:val="left"/>
      <w:pPr>
        <w:ind w:left="725" w:hanging="360"/>
      </w:pPr>
      <w:rPr>
        <w:rFonts w:hint="default"/>
        <w:lang w:val="en-US" w:eastAsia="en-US" w:bidi="ar-SA"/>
      </w:rPr>
    </w:lvl>
    <w:lvl w:ilvl="2">
      <w:start w:val="0"/>
      <w:numFmt w:val="bullet"/>
      <w:lvlText w:val="•"/>
      <w:lvlJc w:val="left"/>
      <w:pPr>
        <w:ind w:left="990" w:hanging="360"/>
      </w:pPr>
      <w:rPr>
        <w:rFonts w:hint="default"/>
        <w:lang w:val="en-US" w:eastAsia="en-US" w:bidi="ar-SA"/>
      </w:rPr>
    </w:lvl>
    <w:lvl w:ilvl="3">
      <w:start w:val="0"/>
      <w:numFmt w:val="bullet"/>
      <w:lvlText w:val="•"/>
      <w:lvlJc w:val="left"/>
      <w:pPr>
        <w:ind w:left="1255" w:hanging="360"/>
      </w:pPr>
      <w:rPr>
        <w:rFonts w:hint="default"/>
        <w:lang w:val="en-US" w:eastAsia="en-US" w:bidi="ar-SA"/>
      </w:rPr>
    </w:lvl>
    <w:lvl w:ilvl="4">
      <w:start w:val="0"/>
      <w:numFmt w:val="bullet"/>
      <w:lvlText w:val="•"/>
      <w:lvlJc w:val="left"/>
      <w:pPr>
        <w:ind w:left="1520" w:hanging="360"/>
      </w:pPr>
      <w:rPr>
        <w:rFonts w:hint="default"/>
        <w:lang w:val="en-US" w:eastAsia="en-US" w:bidi="ar-SA"/>
      </w:rPr>
    </w:lvl>
    <w:lvl w:ilvl="5">
      <w:start w:val="0"/>
      <w:numFmt w:val="bullet"/>
      <w:lvlText w:val="•"/>
      <w:lvlJc w:val="left"/>
      <w:pPr>
        <w:ind w:left="1785" w:hanging="360"/>
      </w:pPr>
      <w:rPr>
        <w:rFonts w:hint="default"/>
        <w:lang w:val="en-US" w:eastAsia="en-US" w:bidi="ar-SA"/>
      </w:rPr>
    </w:lvl>
    <w:lvl w:ilvl="6">
      <w:start w:val="0"/>
      <w:numFmt w:val="bullet"/>
      <w:lvlText w:val="•"/>
      <w:lvlJc w:val="left"/>
      <w:pPr>
        <w:ind w:left="2050" w:hanging="360"/>
      </w:pPr>
      <w:rPr>
        <w:rFonts w:hint="default"/>
        <w:lang w:val="en-US" w:eastAsia="en-US" w:bidi="ar-SA"/>
      </w:rPr>
    </w:lvl>
    <w:lvl w:ilvl="7">
      <w:start w:val="0"/>
      <w:numFmt w:val="bullet"/>
      <w:lvlText w:val="•"/>
      <w:lvlJc w:val="left"/>
      <w:pPr>
        <w:ind w:left="2315" w:hanging="360"/>
      </w:pPr>
      <w:rPr>
        <w:rFonts w:hint="default"/>
        <w:lang w:val="en-US" w:eastAsia="en-US" w:bidi="ar-SA"/>
      </w:rPr>
    </w:lvl>
    <w:lvl w:ilvl="8">
      <w:start w:val="0"/>
      <w:numFmt w:val="bullet"/>
      <w:lvlText w:val="•"/>
      <w:lvlJc w:val="left"/>
      <w:pPr>
        <w:ind w:left="2580" w:hanging="360"/>
      </w:pPr>
      <w:rPr>
        <w:rFonts w:hint="default"/>
        <w:lang w:val="en-US" w:eastAsia="en-US" w:bidi="ar-SA"/>
      </w:rPr>
    </w:lvl>
  </w:abstractNum>
  <w:abstractNum w:abstractNumId="86">
    <w:multiLevelType w:val="hybridMultilevel"/>
    <w:lvl w:ilvl="0">
      <w:start w:val="1"/>
      <w:numFmt w:val="lowerLetter"/>
      <w:lvlText w:val="%1."/>
      <w:lvlJc w:val="left"/>
      <w:pPr>
        <w:ind w:left="1940" w:hanging="36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1"/>
      <w:numFmt w:val="lowerRoman"/>
      <w:lvlText w:val="%2."/>
      <w:lvlJc w:val="left"/>
      <w:pPr>
        <w:ind w:left="2660" w:hanging="360"/>
        <w:jc w:val="left"/>
      </w:pPr>
      <w:rPr>
        <w:rFonts w:hint="default" w:ascii="Calibri" w:hAnsi="Calibri" w:eastAsia="Calibri" w:cs="Calibri"/>
        <w:b w:val="0"/>
        <w:bCs w:val="0"/>
        <w:i w:val="0"/>
        <w:iCs w:val="0"/>
        <w:spacing w:val="-1"/>
        <w:w w:val="100"/>
        <w:sz w:val="22"/>
        <w:szCs w:val="22"/>
        <w:lang w:val="en-US" w:eastAsia="en-US" w:bidi="ar-SA"/>
      </w:rPr>
    </w:lvl>
    <w:lvl w:ilvl="2">
      <w:start w:val="0"/>
      <w:numFmt w:val="bullet"/>
      <w:lvlText w:val="•"/>
      <w:lvlJc w:val="left"/>
      <w:pPr>
        <w:ind w:left="3662" w:hanging="360"/>
      </w:pPr>
      <w:rPr>
        <w:rFonts w:hint="default"/>
        <w:lang w:val="en-US" w:eastAsia="en-US" w:bidi="ar-SA"/>
      </w:rPr>
    </w:lvl>
    <w:lvl w:ilvl="3">
      <w:start w:val="0"/>
      <w:numFmt w:val="bullet"/>
      <w:lvlText w:val="•"/>
      <w:lvlJc w:val="left"/>
      <w:pPr>
        <w:ind w:left="4664" w:hanging="360"/>
      </w:pPr>
      <w:rPr>
        <w:rFonts w:hint="default"/>
        <w:lang w:val="en-US" w:eastAsia="en-US" w:bidi="ar-SA"/>
      </w:rPr>
    </w:lvl>
    <w:lvl w:ilvl="4">
      <w:start w:val="0"/>
      <w:numFmt w:val="bullet"/>
      <w:lvlText w:val="•"/>
      <w:lvlJc w:val="left"/>
      <w:pPr>
        <w:ind w:left="5666" w:hanging="360"/>
      </w:pPr>
      <w:rPr>
        <w:rFonts w:hint="default"/>
        <w:lang w:val="en-US" w:eastAsia="en-US" w:bidi="ar-SA"/>
      </w:rPr>
    </w:lvl>
    <w:lvl w:ilvl="5">
      <w:start w:val="0"/>
      <w:numFmt w:val="bullet"/>
      <w:lvlText w:val="•"/>
      <w:lvlJc w:val="left"/>
      <w:pPr>
        <w:ind w:left="6668" w:hanging="360"/>
      </w:pPr>
      <w:rPr>
        <w:rFonts w:hint="default"/>
        <w:lang w:val="en-US" w:eastAsia="en-US" w:bidi="ar-SA"/>
      </w:rPr>
    </w:lvl>
    <w:lvl w:ilvl="6">
      <w:start w:val="0"/>
      <w:numFmt w:val="bullet"/>
      <w:lvlText w:val="•"/>
      <w:lvlJc w:val="left"/>
      <w:pPr>
        <w:ind w:left="7671" w:hanging="360"/>
      </w:pPr>
      <w:rPr>
        <w:rFonts w:hint="default"/>
        <w:lang w:val="en-US" w:eastAsia="en-US" w:bidi="ar-SA"/>
      </w:rPr>
    </w:lvl>
    <w:lvl w:ilvl="7">
      <w:start w:val="0"/>
      <w:numFmt w:val="bullet"/>
      <w:lvlText w:val="•"/>
      <w:lvlJc w:val="left"/>
      <w:pPr>
        <w:ind w:left="8673" w:hanging="360"/>
      </w:pPr>
      <w:rPr>
        <w:rFonts w:hint="default"/>
        <w:lang w:val="en-US" w:eastAsia="en-US" w:bidi="ar-SA"/>
      </w:rPr>
    </w:lvl>
    <w:lvl w:ilvl="8">
      <w:start w:val="0"/>
      <w:numFmt w:val="bullet"/>
      <w:lvlText w:val="•"/>
      <w:lvlJc w:val="left"/>
      <w:pPr>
        <w:ind w:left="9675" w:hanging="360"/>
      </w:pPr>
      <w:rPr>
        <w:rFonts w:hint="default"/>
        <w:lang w:val="en-US" w:eastAsia="en-US" w:bidi="ar-SA"/>
      </w:rPr>
    </w:lvl>
  </w:abstractNum>
  <w:abstractNum w:abstractNumId="85">
    <w:multiLevelType w:val="hybridMultilevel"/>
    <w:lvl w:ilvl="0">
      <w:start w:val="1"/>
      <w:numFmt w:val="lowerLetter"/>
      <w:lvlText w:val="%1."/>
      <w:lvlJc w:val="left"/>
      <w:pPr>
        <w:ind w:left="2120" w:hanging="36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1"/>
      <w:numFmt w:val="lowerRoman"/>
      <w:lvlText w:val="%2."/>
      <w:lvlJc w:val="left"/>
      <w:pPr>
        <w:ind w:left="2840" w:hanging="360"/>
        <w:jc w:val="left"/>
      </w:pPr>
      <w:rPr>
        <w:rFonts w:hint="default" w:ascii="Calibri" w:hAnsi="Calibri" w:eastAsia="Calibri" w:cs="Calibri"/>
        <w:b w:val="0"/>
        <w:bCs w:val="0"/>
        <w:i w:val="0"/>
        <w:iCs w:val="0"/>
        <w:spacing w:val="-1"/>
        <w:w w:val="100"/>
        <w:sz w:val="22"/>
        <w:szCs w:val="22"/>
        <w:lang w:val="en-US" w:eastAsia="en-US" w:bidi="ar-SA"/>
      </w:rPr>
    </w:lvl>
    <w:lvl w:ilvl="2">
      <w:start w:val="0"/>
      <w:numFmt w:val="bullet"/>
      <w:lvlText w:val="•"/>
      <w:lvlJc w:val="left"/>
      <w:pPr>
        <w:ind w:left="3822" w:hanging="360"/>
      </w:pPr>
      <w:rPr>
        <w:rFonts w:hint="default"/>
        <w:lang w:val="en-US" w:eastAsia="en-US" w:bidi="ar-SA"/>
      </w:rPr>
    </w:lvl>
    <w:lvl w:ilvl="3">
      <w:start w:val="0"/>
      <w:numFmt w:val="bullet"/>
      <w:lvlText w:val="•"/>
      <w:lvlJc w:val="left"/>
      <w:pPr>
        <w:ind w:left="4804" w:hanging="360"/>
      </w:pPr>
      <w:rPr>
        <w:rFonts w:hint="default"/>
        <w:lang w:val="en-US" w:eastAsia="en-US" w:bidi="ar-SA"/>
      </w:rPr>
    </w:lvl>
    <w:lvl w:ilvl="4">
      <w:start w:val="0"/>
      <w:numFmt w:val="bullet"/>
      <w:lvlText w:val="•"/>
      <w:lvlJc w:val="left"/>
      <w:pPr>
        <w:ind w:left="5786" w:hanging="360"/>
      </w:pPr>
      <w:rPr>
        <w:rFonts w:hint="default"/>
        <w:lang w:val="en-US" w:eastAsia="en-US" w:bidi="ar-SA"/>
      </w:rPr>
    </w:lvl>
    <w:lvl w:ilvl="5">
      <w:start w:val="0"/>
      <w:numFmt w:val="bullet"/>
      <w:lvlText w:val="•"/>
      <w:lvlJc w:val="left"/>
      <w:pPr>
        <w:ind w:left="6768" w:hanging="360"/>
      </w:pPr>
      <w:rPr>
        <w:rFonts w:hint="default"/>
        <w:lang w:val="en-US" w:eastAsia="en-US" w:bidi="ar-SA"/>
      </w:rPr>
    </w:lvl>
    <w:lvl w:ilvl="6">
      <w:start w:val="0"/>
      <w:numFmt w:val="bullet"/>
      <w:lvlText w:val="•"/>
      <w:lvlJc w:val="left"/>
      <w:pPr>
        <w:ind w:left="7751" w:hanging="360"/>
      </w:pPr>
      <w:rPr>
        <w:rFonts w:hint="default"/>
        <w:lang w:val="en-US" w:eastAsia="en-US" w:bidi="ar-SA"/>
      </w:rPr>
    </w:lvl>
    <w:lvl w:ilvl="7">
      <w:start w:val="0"/>
      <w:numFmt w:val="bullet"/>
      <w:lvlText w:val="•"/>
      <w:lvlJc w:val="left"/>
      <w:pPr>
        <w:ind w:left="8733" w:hanging="360"/>
      </w:pPr>
      <w:rPr>
        <w:rFonts w:hint="default"/>
        <w:lang w:val="en-US" w:eastAsia="en-US" w:bidi="ar-SA"/>
      </w:rPr>
    </w:lvl>
    <w:lvl w:ilvl="8">
      <w:start w:val="0"/>
      <w:numFmt w:val="bullet"/>
      <w:lvlText w:val="•"/>
      <w:lvlJc w:val="left"/>
      <w:pPr>
        <w:ind w:left="9715" w:hanging="360"/>
      </w:pPr>
      <w:rPr>
        <w:rFonts w:hint="default"/>
        <w:lang w:val="en-US" w:eastAsia="en-US" w:bidi="ar-SA"/>
      </w:rPr>
    </w:lvl>
  </w:abstractNum>
  <w:abstractNum w:abstractNumId="84">
    <w:multiLevelType w:val="hybridMultilevel"/>
    <w:lvl w:ilvl="0">
      <w:start w:val="1"/>
      <w:numFmt w:val="decimal"/>
      <w:lvlText w:val="%1."/>
      <w:lvlJc w:val="left"/>
      <w:pPr>
        <w:ind w:left="1939"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1"/>
      <w:numFmt w:val="lowerLetter"/>
      <w:lvlText w:val="%2."/>
      <w:lvlJc w:val="left"/>
      <w:pPr>
        <w:ind w:left="2714" w:hanging="416"/>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1"/>
      <w:numFmt w:val="lowerRoman"/>
      <w:lvlText w:val="%3."/>
      <w:lvlJc w:val="left"/>
      <w:pPr>
        <w:ind w:left="3380" w:hanging="296"/>
        <w:jc w:val="right"/>
      </w:pPr>
      <w:rPr>
        <w:rFonts w:hint="default" w:ascii="Times New Roman" w:hAnsi="Times New Roman" w:eastAsia="Times New Roman" w:cs="Times New Roman"/>
        <w:b w:val="0"/>
        <w:bCs w:val="0"/>
        <w:i w:val="0"/>
        <w:iCs w:val="0"/>
        <w:spacing w:val="0"/>
        <w:w w:val="100"/>
        <w:sz w:val="22"/>
        <w:szCs w:val="22"/>
        <w:lang w:val="en-US" w:eastAsia="en-US" w:bidi="ar-SA"/>
      </w:rPr>
    </w:lvl>
    <w:lvl w:ilvl="3">
      <w:start w:val="0"/>
      <w:numFmt w:val="bullet"/>
      <w:lvlText w:val="•"/>
      <w:lvlJc w:val="left"/>
      <w:pPr>
        <w:ind w:left="4417" w:hanging="296"/>
      </w:pPr>
      <w:rPr>
        <w:rFonts w:hint="default"/>
        <w:lang w:val="en-US" w:eastAsia="en-US" w:bidi="ar-SA"/>
      </w:rPr>
    </w:lvl>
    <w:lvl w:ilvl="4">
      <w:start w:val="0"/>
      <w:numFmt w:val="bullet"/>
      <w:lvlText w:val="•"/>
      <w:lvlJc w:val="left"/>
      <w:pPr>
        <w:ind w:left="5455" w:hanging="296"/>
      </w:pPr>
      <w:rPr>
        <w:rFonts w:hint="default"/>
        <w:lang w:val="en-US" w:eastAsia="en-US" w:bidi="ar-SA"/>
      </w:rPr>
    </w:lvl>
    <w:lvl w:ilvl="5">
      <w:start w:val="0"/>
      <w:numFmt w:val="bullet"/>
      <w:lvlText w:val="•"/>
      <w:lvlJc w:val="left"/>
      <w:pPr>
        <w:ind w:left="6492" w:hanging="296"/>
      </w:pPr>
      <w:rPr>
        <w:rFonts w:hint="default"/>
        <w:lang w:val="en-US" w:eastAsia="en-US" w:bidi="ar-SA"/>
      </w:rPr>
    </w:lvl>
    <w:lvl w:ilvl="6">
      <w:start w:val="0"/>
      <w:numFmt w:val="bullet"/>
      <w:lvlText w:val="•"/>
      <w:lvlJc w:val="left"/>
      <w:pPr>
        <w:ind w:left="7530" w:hanging="296"/>
      </w:pPr>
      <w:rPr>
        <w:rFonts w:hint="default"/>
        <w:lang w:val="en-US" w:eastAsia="en-US" w:bidi="ar-SA"/>
      </w:rPr>
    </w:lvl>
    <w:lvl w:ilvl="7">
      <w:start w:val="0"/>
      <w:numFmt w:val="bullet"/>
      <w:lvlText w:val="•"/>
      <w:lvlJc w:val="left"/>
      <w:pPr>
        <w:ind w:left="8567" w:hanging="296"/>
      </w:pPr>
      <w:rPr>
        <w:rFonts w:hint="default"/>
        <w:lang w:val="en-US" w:eastAsia="en-US" w:bidi="ar-SA"/>
      </w:rPr>
    </w:lvl>
    <w:lvl w:ilvl="8">
      <w:start w:val="0"/>
      <w:numFmt w:val="bullet"/>
      <w:lvlText w:val="•"/>
      <w:lvlJc w:val="left"/>
      <w:pPr>
        <w:ind w:left="9605" w:hanging="296"/>
      </w:pPr>
      <w:rPr>
        <w:rFonts w:hint="default"/>
        <w:lang w:val="en-US" w:eastAsia="en-US" w:bidi="ar-SA"/>
      </w:rPr>
    </w:lvl>
  </w:abstractNum>
  <w:abstractNum w:abstractNumId="83">
    <w:multiLevelType w:val="hybridMultilevel"/>
    <w:lvl w:ilvl="0">
      <w:start w:val="1"/>
      <w:numFmt w:val="decimal"/>
      <w:lvlText w:val="%1."/>
      <w:lvlJc w:val="left"/>
      <w:pPr>
        <w:ind w:left="1940"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1"/>
      <w:numFmt w:val="lowerLetter"/>
      <w:lvlText w:val="%2."/>
      <w:lvlJc w:val="left"/>
      <w:pPr>
        <w:ind w:left="2660" w:hanging="36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1"/>
      <w:numFmt w:val="lowerRoman"/>
      <w:lvlText w:val="%3."/>
      <w:lvlJc w:val="left"/>
      <w:pPr>
        <w:ind w:left="3380" w:hanging="296"/>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3">
      <w:start w:val="0"/>
      <w:numFmt w:val="bullet"/>
      <w:lvlText w:val="•"/>
      <w:lvlJc w:val="left"/>
      <w:pPr>
        <w:ind w:left="4417" w:hanging="296"/>
      </w:pPr>
      <w:rPr>
        <w:rFonts w:hint="default"/>
        <w:lang w:val="en-US" w:eastAsia="en-US" w:bidi="ar-SA"/>
      </w:rPr>
    </w:lvl>
    <w:lvl w:ilvl="4">
      <w:start w:val="0"/>
      <w:numFmt w:val="bullet"/>
      <w:lvlText w:val="•"/>
      <w:lvlJc w:val="left"/>
      <w:pPr>
        <w:ind w:left="5455" w:hanging="296"/>
      </w:pPr>
      <w:rPr>
        <w:rFonts w:hint="default"/>
        <w:lang w:val="en-US" w:eastAsia="en-US" w:bidi="ar-SA"/>
      </w:rPr>
    </w:lvl>
    <w:lvl w:ilvl="5">
      <w:start w:val="0"/>
      <w:numFmt w:val="bullet"/>
      <w:lvlText w:val="•"/>
      <w:lvlJc w:val="left"/>
      <w:pPr>
        <w:ind w:left="6492" w:hanging="296"/>
      </w:pPr>
      <w:rPr>
        <w:rFonts w:hint="default"/>
        <w:lang w:val="en-US" w:eastAsia="en-US" w:bidi="ar-SA"/>
      </w:rPr>
    </w:lvl>
    <w:lvl w:ilvl="6">
      <w:start w:val="0"/>
      <w:numFmt w:val="bullet"/>
      <w:lvlText w:val="•"/>
      <w:lvlJc w:val="left"/>
      <w:pPr>
        <w:ind w:left="7530" w:hanging="296"/>
      </w:pPr>
      <w:rPr>
        <w:rFonts w:hint="default"/>
        <w:lang w:val="en-US" w:eastAsia="en-US" w:bidi="ar-SA"/>
      </w:rPr>
    </w:lvl>
    <w:lvl w:ilvl="7">
      <w:start w:val="0"/>
      <w:numFmt w:val="bullet"/>
      <w:lvlText w:val="•"/>
      <w:lvlJc w:val="left"/>
      <w:pPr>
        <w:ind w:left="8567" w:hanging="296"/>
      </w:pPr>
      <w:rPr>
        <w:rFonts w:hint="default"/>
        <w:lang w:val="en-US" w:eastAsia="en-US" w:bidi="ar-SA"/>
      </w:rPr>
    </w:lvl>
    <w:lvl w:ilvl="8">
      <w:start w:val="0"/>
      <w:numFmt w:val="bullet"/>
      <w:lvlText w:val="•"/>
      <w:lvlJc w:val="left"/>
      <w:pPr>
        <w:ind w:left="9605" w:hanging="296"/>
      </w:pPr>
      <w:rPr>
        <w:rFonts w:hint="default"/>
        <w:lang w:val="en-US" w:eastAsia="en-US" w:bidi="ar-SA"/>
      </w:rPr>
    </w:lvl>
  </w:abstractNum>
  <w:abstractNum w:abstractNumId="82">
    <w:multiLevelType w:val="hybridMultilevel"/>
    <w:lvl w:ilvl="0">
      <w:start w:val="0"/>
      <w:numFmt w:val="bullet"/>
      <w:lvlText w:val=""/>
      <w:lvlJc w:val="left"/>
      <w:pPr>
        <w:ind w:left="194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914" w:hanging="361"/>
      </w:pPr>
      <w:rPr>
        <w:rFonts w:hint="default"/>
        <w:lang w:val="en-US" w:eastAsia="en-US" w:bidi="ar-SA"/>
      </w:rPr>
    </w:lvl>
    <w:lvl w:ilvl="2">
      <w:start w:val="0"/>
      <w:numFmt w:val="bullet"/>
      <w:lvlText w:val="•"/>
      <w:lvlJc w:val="left"/>
      <w:pPr>
        <w:ind w:left="3888" w:hanging="361"/>
      </w:pPr>
      <w:rPr>
        <w:rFonts w:hint="default"/>
        <w:lang w:val="en-US" w:eastAsia="en-US" w:bidi="ar-SA"/>
      </w:rPr>
    </w:lvl>
    <w:lvl w:ilvl="3">
      <w:start w:val="0"/>
      <w:numFmt w:val="bullet"/>
      <w:lvlText w:val="•"/>
      <w:lvlJc w:val="left"/>
      <w:pPr>
        <w:ind w:left="4862" w:hanging="361"/>
      </w:pPr>
      <w:rPr>
        <w:rFonts w:hint="default"/>
        <w:lang w:val="en-US" w:eastAsia="en-US" w:bidi="ar-SA"/>
      </w:rPr>
    </w:lvl>
    <w:lvl w:ilvl="4">
      <w:start w:val="0"/>
      <w:numFmt w:val="bullet"/>
      <w:lvlText w:val="•"/>
      <w:lvlJc w:val="left"/>
      <w:pPr>
        <w:ind w:left="5836" w:hanging="361"/>
      </w:pPr>
      <w:rPr>
        <w:rFonts w:hint="default"/>
        <w:lang w:val="en-US" w:eastAsia="en-US" w:bidi="ar-SA"/>
      </w:rPr>
    </w:lvl>
    <w:lvl w:ilvl="5">
      <w:start w:val="0"/>
      <w:numFmt w:val="bullet"/>
      <w:lvlText w:val="•"/>
      <w:lvlJc w:val="left"/>
      <w:pPr>
        <w:ind w:left="6810" w:hanging="361"/>
      </w:pPr>
      <w:rPr>
        <w:rFonts w:hint="default"/>
        <w:lang w:val="en-US" w:eastAsia="en-US" w:bidi="ar-SA"/>
      </w:rPr>
    </w:lvl>
    <w:lvl w:ilvl="6">
      <w:start w:val="0"/>
      <w:numFmt w:val="bullet"/>
      <w:lvlText w:val="•"/>
      <w:lvlJc w:val="left"/>
      <w:pPr>
        <w:ind w:left="7784" w:hanging="361"/>
      </w:pPr>
      <w:rPr>
        <w:rFonts w:hint="default"/>
        <w:lang w:val="en-US" w:eastAsia="en-US" w:bidi="ar-SA"/>
      </w:rPr>
    </w:lvl>
    <w:lvl w:ilvl="7">
      <w:start w:val="0"/>
      <w:numFmt w:val="bullet"/>
      <w:lvlText w:val="•"/>
      <w:lvlJc w:val="left"/>
      <w:pPr>
        <w:ind w:left="8758" w:hanging="361"/>
      </w:pPr>
      <w:rPr>
        <w:rFonts w:hint="default"/>
        <w:lang w:val="en-US" w:eastAsia="en-US" w:bidi="ar-SA"/>
      </w:rPr>
    </w:lvl>
    <w:lvl w:ilvl="8">
      <w:start w:val="0"/>
      <w:numFmt w:val="bullet"/>
      <w:lvlText w:val="•"/>
      <w:lvlJc w:val="left"/>
      <w:pPr>
        <w:ind w:left="9732" w:hanging="361"/>
      </w:pPr>
      <w:rPr>
        <w:rFonts w:hint="default"/>
        <w:lang w:val="en-US" w:eastAsia="en-US" w:bidi="ar-SA"/>
      </w:rPr>
    </w:lvl>
  </w:abstractNum>
  <w:abstractNum w:abstractNumId="81">
    <w:multiLevelType w:val="hybridMultilevel"/>
    <w:lvl w:ilvl="0">
      <w:start w:val="0"/>
      <w:numFmt w:val="bullet"/>
      <w:lvlText w:val=""/>
      <w:lvlJc w:val="left"/>
      <w:pPr>
        <w:ind w:left="199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968" w:hanging="361"/>
      </w:pPr>
      <w:rPr>
        <w:rFonts w:hint="default"/>
        <w:lang w:val="en-US" w:eastAsia="en-US" w:bidi="ar-SA"/>
      </w:rPr>
    </w:lvl>
    <w:lvl w:ilvl="2">
      <w:start w:val="0"/>
      <w:numFmt w:val="bullet"/>
      <w:lvlText w:val="•"/>
      <w:lvlJc w:val="left"/>
      <w:pPr>
        <w:ind w:left="3936" w:hanging="361"/>
      </w:pPr>
      <w:rPr>
        <w:rFonts w:hint="default"/>
        <w:lang w:val="en-US" w:eastAsia="en-US" w:bidi="ar-SA"/>
      </w:rPr>
    </w:lvl>
    <w:lvl w:ilvl="3">
      <w:start w:val="0"/>
      <w:numFmt w:val="bullet"/>
      <w:lvlText w:val="•"/>
      <w:lvlJc w:val="left"/>
      <w:pPr>
        <w:ind w:left="4904" w:hanging="361"/>
      </w:pPr>
      <w:rPr>
        <w:rFonts w:hint="default"/>
        <w:lang w:val="en-US" w:eastAsia="en-US" w:bidi="ar-SA"/>
      </w:rPr>
    </w:lvl>
    <w:lvl w:ilvl="4">
      <w:start w:val="0"/>
      <w:numFmt w:val="bullet"/>
      <w:lvlText w:val="•"/>
      <w:lvlJc w:val="left"/>
      <w:pPr>
        <w:ind w:left="5872" w:hanging="361"/>
      </w:pPr>
      <w:rPr>
        <w:rFonts w:hint="default"/>
        <w:lang w:val="en-US" w:eastAsia="en-US" w:bidi="ar-SA"/>
      </w:rPr>
    </w:lvl>
    <w:lvl w:ilvl="5">
      <w:start w:val="0"/>
      <w:numFmt w:val="bullet"/>
      <w:lvlText w:val="•"/>
      <w:lvlJc w:val="left"/>
      <w:pPr>
        <w:ind w:left="6840" w:hanging="361"/>
      </w:pPr>
      <w:rPr>
        <w:rFonts w:hint="default"/>
        <w:lang w:val="en-US" w:eastAsia="en-US" w:bidi="ar-SA"/>
      </w:rPr>
    </w:lvl>
    <w:lvl w:ilvl="6">
      <w:start w:val="0"/>
      <w:numFmt w:val="bullet"/>
      <w:lvlText w:val="•"/>
      <w:lvlJc w:val="left"/>
      <w:pPr>
        <w:ind w:left="7808" w:hanging="361"/>
      </w:pPr>
      <w:rPr>
        <w:rFonts w:hint="default"/>
        <w:lang w:val="en-US" w:eastAsia="en-US" w:bidi="ar-SA"/>
      </w:rPr>
    </w:lvl>
    <w:lvl w:ilvl="7">
      <w:start w:val="0"/>
      <w:numFmt w:val="bullet"/>
      <w:lvlText w:val="•"/>
      <w:lvlJc w:val="left"/>
      <w:pPr>
        <w:ind w:left="8776" w:hanging="361"/>
      </w:pPr>
      <w:rPr>
        <w:rFonts w:hint="default"/>
        <w:lang w:val="en-US" w:eastAsia="en-US" w:bidi="ar-SA"/>
      </w:rPr>
    </w:lvl>
    <w:lvl w:ilvl="8">
      <w:start w:val="0"/>
      <w:numFmt w:val="bullet"/>
      <w:lvlText w:val="•"/>
      <w:lvlJc w:val="left"/>
      <w:pPr>
        <w:ind w:left="9744" w:hanging="361"/>
      </w:pPr>
      <w:rPr>
        <w:rFonts w:hint="default"/>
        <w:lang w:val="en-US" w:eastAsia="en-US" w:bidi="ar-SA"/>
      </w:rPr>
    </w:lvl>
  </w:abstractNum>
  <w:abstractNum w:abstractNumId="80">
    <w:multiLevelType w:val="hybridMultilevel"/>
    <w:lvl w:ilvl="0">
      <w:start w:val="0"/>
      <w:numFmt w:val="bullet"/>
      <w:lvlText w:val=""/>
      <w:lvlJc w:val="left"/>
      <w:pPr>
        <w:ind w:left="158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939" w:hanging="361"/>
      </w:pPr>
      <w:rPr>
        <w:rFonts w:hint="default" w:ascii="Symbol" w:hAnsi="Symbol" w:eastAsia="Symbol" w:cs="Symbol"/>
        <w:b w:val="0"/>
        <w:bCs w:val="0"/>
        <w:i w:val="0"/>
        <w:iCs w:val="0"/>
        <w:spacing w:val="0"/>
        <w:w w:val="100"/>
        <w:sz w:val="22"/>
        <w:szCs w:val="22"/>
        <w:lang w:val="en-US" w:eastAsia="en-US" w:bidi="ar-SA"/>
      </w:rPr>
    </w:lvl>
    <w:lvl w:ilvl="2">
      <w:start w:val="0"/>
      <w:numFmt w:val="bullet"/>
      <w:lvlText w:val="•"/>
      <w:lvlJc w:val="left"/>
      <w:pPr>
        <w:ind w:left="3022" w:hanging="361"/>
      </w:pPr>
      <w:rPr>
        <w:rFonts w:hint="default"/>
        <w:lang w:val="en-US" w:eastAsia="en-US" w:bidi="ar-SA"/>
      </w:rPr>
    </w:lvl>
    <w:lvl w:ilvl="3">
      <w:start w:val="0"/>
      <w:numFmt w:val="bullet"/>
      <w:lvlText w:val="•"/>
      <w:lvlJc w:val="left"/>
      <w:pPr>
        <w:ind w:left="4104" w:hanging="361"/>
      </w:pPr>
      <w:rPr>
        <w:rFonts w:hint="default"/>
        <w:lang w:val="en-US" w:eastAsia="en-US" w:bidi="ar-SA"/>
      </w:rPr>
    </w:lvl>
    <w:lvl w:ilvl="4">
      <w:start w:val="0"/>
      <w:numFmt w:val="bullet"/>
      <w:lvlText w:val="•"/>
      <w:lvlJc w:val="left"/>
      <w:pPr>
        <w:ind w:left="5186" w:hanging="361"/>
      </w:pPr>
      <w:rPr>
        <w:rFonts w:hint="default"/>
        <w:lang w:val="en-US" w:eastAsia="en-US" w:bidi="ar-SA"/>
      </w:rPr>
    </w:lvl>
    <w:lvl w:ilvl="5">
      <w:start w:val="0"/>
      <w:numFmt w:val="bullet"/>
      <w:lvlText w:val="•"/>
      <w:lvlJc w:val="left"/>
      <w:pPr>
        <w:ind w:left="6268" w:hanging="361"/>
      </w:pPr>
      <w:rPr>
        <w:rFonts w:hint="default"/>
        <w:lang w:val="en-US" w:eastAsia="en-US" w:bidi="ar-SA"/>
      </w:rPr>
    </w:lvl>
    <w:lvl w:ilvl="6">
      <w:start w:val="0"/>
      <w:numFmt w:val="bullet"/>
      <w:lvlText w:val="•"/>
      <w:lvlJc w:val="left"/>
      <w:pPr>
        <w:ind w:left="7351" w:hanging="361"/>
      </w:pPr>
      <w:rPr>
        <w:rFonts w:hint="default"/>
        <w:lang w:val="en-US" w:eastAsia="en-US" w:bidi="ar-SA"/>
      </w:rPr>
    </w:lvl>
    <w:lvl w:ilvl="7">
      <w:start w:val="0"/>
      <w:numFmt w:val="bullet"/>
      <w:lvlText w:val="•"/>
      <w:lvlJc w:val="left"/>
      <w:pPr>
        <w:ind w:left="8433" w:hanging="361"/>
      </w:pPr>
      <w:rPr>
        <w:rFonts w:hint="default"/>
        <w:lang w:val="en-US" w:eastAsia="en-US" w:bidi="ar-SA"/>
      </w:rPr>
    </w:lvl>
    <w:lvl w:ilvl="8">
      <w:start w:val="0"/>
      <w:numFmt w:val="bullet"/>
      <w:lvlText w:val="•"/>
      <w:lvlJc w:val="left"/>
      <w:pPr>
        <w:ind w:left="9515" w:hanging="361"/>
      </w:pPr>
      <w:rPr>
        <w:rFonts w:hint="default"/>
        <w:lang w:val="en-US" w:eastAsia="en-US" w:bidi="ar-SA"/>
      </w:rPr>
    </w:lvl>
  </w:abstractNum>
  <w:abstractNum w:abstractNumId="79">
    <w:multiLevelType w:val="hybridMultilevel"/>
    <w:lvl w:ilvl="0">
      <w:start w:val="0"/>
      <w:numFmt w:val="bullet"/>
      <w:lvlText w:val=""/>
      <w:lvlJc w:val="left"/>
      <w:pPr>
        <w:ind w:left="194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o"/>
      <w:lvlJc w:val="left"/>
      <w:pPr>
        <w:ind w:left="2660" w:hanging="361"/>
      </w:pPr>
      <w:rPr>
        <w:rFonts w:hint="default" w:ascii="Courier New" w:hAnsi="Courier New" w:eastAsia="Courier New" w:cs="Courier New"/>
        <w:b w:val="0"/>
        <w:bCs w:val="0"/>
        <w:i w:val="0"/>
        <w:iCs w:val="0"/>
        <w:spacing w:val="0"/>
        <w:w w:val="100"/>
        <w:sz w:val="22"/>
        <w:szCs w:val="22"/>
        <w:lang w:val="en-US" w:eastAsia="en-US" w:bidi="ar-SA"/>
      </w:rPr>
    </w:lvl>
    <w:lvl w:ilvl="2">
      <w:start w:val="0"/>
      <w:numFmt w:val="bullet"/>
      <w:lvlText w:val="•"/>
      <w:lvlJc w:val="left"/>
      <w:pPr>
        <w:ind w:left="3662" w:hanging="361"/>
      </w:pPr>
      <w:rPr>
        <w:rFonts w:hint="default"/>
        <w:lang w:val="en-US" w:eastAsia="en-US" w:bidi="ar-SA"/>
      </w:rPr>
    </w:lvl>
    <w:lvl w:ilvl="3">
      <w:start w:val="0"/>
      <w:numFmt w:val="bullet"/>
      <w:lvlText w:val="•"/>
      <w:lvlJc w:val="left"/>
      <w:pPr>
        <w:ind w:left="4664" w:hanging="361"/>
      </w:pPr>
      <w:rPr>
        <w:rFonts w:hint="default"/>
        <w:lang w:val="en-US" w:eastAsia="en-US" w:bidi="ar-SA"/>
      </w:rPr>
    </w:lvl>
    <w:lvl w:ilvl="4">
      <w:start w:val="0"/>
      <w:numFmt w:val="bullet"/>
      <w:lvlText w:val="•"/>
      <w:lvlJc w:val="left"/>
      <w:pPr>
        <w:ind w:left="5666" w:hanging="361"/>
      </w:pPr>
      <w:rPr>
        <w:rFonts w:hint="default"/>
        <w:lang w:val="en-US" w:eastAsia="en-US" w:bidi="ar-SA"/>
      </w:rPr>
    </w:lvl>
    <w:lvl w:ilvl="5">
      <w:start w:val="0"/>
      <w:numFmt w:val="bullet"/>
      <w:lvlText w:val="•"/>
      <w:lvlJc w:val="left"/>
      <w:pPr>
        <w:ind w:left="6668" w:hanging="361"/>
      </w:pPr>
      <w:rPr>
        <w:rFonts w:hint="default"/>
        <w:lang w:val="en-US" w:eastAsia="en-US" w:bidi="ar-SA"/>
      </w:rPr>
    </w:lvl>
    <w:lvl w:ilvl="6">
      <w:start w:val="0"/>
      <w:numFmt w:val="bullet"/>
      <w:lvlText w:val="•"/>
      <w:lvlJc w:val="left"/>
      <w:pPr>
        <w:ind w:left="7671" w:hanging="361"/>
      </w:pPr>
      <w:rPr>
        <w:rFonts w:hint="default"/>
        <w:lang w:val="en-US" w:eastAsia="en-US" w:bidi="ar-SA"/>
      </w:rPr>
    </w:lvl>
    <w:lvl w:ilvl="7">
      <w:start w:val="0"/>
      <w:numFmt w:val="bullet"/>
      <w:lvlText w:val="•"/>
      <w:lvlJc w:val="left"/>
      <w:pPr>
        <w:ind w:left="8673" w:hanging="361"/>
      </w:pPr>
      <w:rPr>
        <w:rFonts w:hint="default"/>
        <w:lang w:val="en-US" w:eastAsia="en-US" w:bidi="ar-SA"/>
      </w:rPr>
    </w:lvl>
    <w:lvl w:ilvl="8">
      <w:start w:val="0"/>
      <w:numFmt w:val="bullet"/>
      <w:lvlText w:val="•"/>
      <w:lvlJc w:val="left"/>
      <w:pPr>
        <w:ind w:left="9675" w:hanging="361"/>
      </w:pPr>
      <w:rPr>
        <w:rFonts w:hint="default"/>
        <w:lang w:val="en-US" w:eastAsia="en-US" w:bidi="ar-SA"/>
      </w:rPr>
    </w:lvl>
  </w:abstractNum>
  <w:abstractNum w:abstractNumId="78">
    <w:multiLevelType w:val="hybridMultilevel"/>
    <w:lvl w:ilvl="0">
      <w:start w:val="0"/>
      <w:numFmt w:val="bullet"/>
      <w:lvlText w:val=""/>
      <w:lvlJc w:val="left"/>
      <w:pPr>
        <w:ind w:left="194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o"/>
      <w:lvlJc w:val="left"/>
      <w:pPr>
        <w:ind w:left="2660" w:hanging="361"/>
      </w:pPr>
      <w:rPr>
        <w:rFonts w:hint="default" w:ascii="Courier New" w:hAnsi="Courier New" w:eastAsia="Courier New" w:cs="Courier New"/>
        <w:b w:val="0"/>
        <w:bCs w:val="0"/>
        <w:i w:val="0"/>
        <w:iCs w:val="0"/>
        <w:spacing w:val="0"/>
        <w:w w:val="100"/>
        <w:sz w:val="22"/>
        <w:szCs w:val="22"/>
        <w:lang w:val="en-US" w:eastAsia="en-US" w:bidi="ar-SA"/>
      </w:rPr>
    </w:lvl>
    <w:lvl w:ilvl="2">
      <w:start w:val="0"/>
      <w:numFmt w:val="bullet"/>
      <w:lvlText w:val="•"/>
      <w:lvlJc w:val="left"/>
      <w:pPr>
        <w:ind w:left="3662" w:hanging="361"/>
      </w:pPr>
      <w:rPr>
        <w:rFonts w:hint="default"/>
        <w:lang w:val="en-US" w:eastAsia="en-US" w:bidi="ar-SA"/>
      </w:rPr>
    </w:lvl>
    <w:lvl w:ilvl="3">
      <w:start w:val="0"/>
      <w:numFmt w:val="bullet"/>
      <w:lvlText w:val="•"/>
      <w:lvlJc w:val="left"/>
      <w:pPr>
        <w:ind w:left="4664" w:hanging="361"/>
      </w:pPr>
      <w:rPr>
        <w:rFonts w:hint="default"/>
        <w:lang w:val="en-US" w:eastAsia="en-US" w:bidi="ar-SA"/>
      </w:rPr>
    </w:lvl>
    <w:lvl w:ilvl="4">
      <w:start w:val="0"/>
      <w:numFmt w:val="bullet"/>
      <w:lvlText w:val="•"/>
      <w:lvlJc w:val="left"/>
      <w:pPr>
        <w:ind w:left="5666" w:hanging="361"/>
      </w:pPr>
      <w:rPr>
        <w:rFonts w:hint="default"/>
        <w:lang w:val="en-US" w:eastAsia="en-US" w:bidi="ar-SA"/>
      </w:rPr>
    </w:lvl>
    <w:lvl w:ilvl="5">
      <w:start w:val="0"/>
      <w:numFmt w:val="bullet"/>
      <w:lvlText w:val="•"/>
      <w:lvlJc w:val="left"/>
      <w:pPr>
        <w:ind w:left="6668" w:hanging="361"/>
      </w:pPr>
      <w:rPr>
        <w:rFonts w:hint="default"/>
        <w:lang w:val="en-US" w:eastAsia="en-US" w:bidi="ar-SA"/>
      </w:rPr>
    </w:lvl>
    <w:lvl w:ilvl="6">
      <w:start w:val="0"/>
      <w:numFmt w:val="bullet"/>
      <w:lvlText w:val="•"/>
      <w:lvlJc w:val="left"/>
      <w:pPr>
        <w:ind w:left="7671" w:hanging="361"/>
      </w:pPr>
      <w:rPr>
        <w:rFonts w:hint="default"/>
        <w:lang w:val="en-US" w:eastAsia="en-US" w:bidi="ar-SA"/>
      </w:rPr>
    </w:lvl>
    <w:lvl w:ilvl="7">
      <w:start w:val="0"/>
      <w:numFmt w:val="bullet"/>
      <w:lvlText w:val="•"/>
      <w:lvlJc w:val="left"/>
      <w:pPr>
        <w:ind w:left="8673" w:hanging="361"/>
      </w:pPr>
      <w:rPr>
        <w:rFonts w:hint="default"/>
        <w:lang w:val="en-US" w:eastAsia="en-US" w:bidi="ar-SA"/>
      </w:rPr>
    </w:lvl>
    <w:lvl w:ilvl="8">
      <w:start w:val="0"/>
      <w:numFmt w:val="bullet"/>
      <w:lvlText w:val="•"/>
      <w:lvlJc w:val="left"/>
      <w:pPr>
        <w:ind w:left="9675" w:hanging="361"/>
      </w:pPr>
      <w:rPr>
        <w:rFonts w:hint="default"/>
        <w:lang w:val="en-US" w:eastAsia="en-US" w:bidi="ar-SA"/>
      </w:rPr>
    </w:lvl>
  </w:abstractNum>
  <w:abstractNum w:abstractNumId="77">
    <w:multiLevelType w:val="hybridMultilevel"/>
    <w:lvl w:ilvl="0">
      <w:start w:val="0"/>
      <w:numFmt w:val="bullet"/>
      <w:lvlText w:val=""/>
      <w:lvlJc w:val="left"/>
      <w:pPr>
        <w:ind w:left="194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914" w:hanging="361"/>
      </w:pPr>
      <w:rPr>
        <w:rFonts w:hint="default"/>
        <w:lang w:val="en-US" w:eastAsia="en-US" w:bidi="ar-SA"/>
      </w:rPr>
    </w:lvl>
    <w:lvl w:ilvl="2">
      <w:start w:val="0"/>
      <w:numFmt w:val="bullet"/>
      <w:lvlText w:val="•"/>
      <w:lvlJc w:val="left"/>
      <w:pPr>
        <w:ind w:left="3888" w:hanging="361"/>
      </w:pPr>
      <w:rPr>
        <w:rFonts w:hint="default"/>
        <w:lang w:val="en-US" w:eastAsia="en-US" w:bidi="ar-SA"/>
      </w:rPr>
    </w:lvl>
    <w:lvl w:ilvl="3">
      <w:start w:val="0"/>
      <w:numFmt w:val="bullet"/>
      <w:lvlText w:val="•"/>
      <w:lvlJc w:val="left"/>
      <w:pPr>
        <w:ind w:left="4862" w:hanging="361"/>
      </w:pPr>
      <w:rPr>
        <w:rFonts w:hint="default"/>
        <w:lang w:val="en-US" w:eastAsia="en-US" w:bidi="ar-SA"/>
      </w:rPr>
    </w:lvl>
    <w:lvl w:ilvl="4">
      <w:start w:val="0"/>
      <w:numFmt w:val="bullet"/>
      <w:lvlText w:val="•"/>
      <w:lvlJc w:val="left"/>
      <w:pPr>
        <w:ind w:left="5836" w:hanging="361"/>
      </w:pPr>
      <w:rPr>
        <w:rFonts w:hint="default"/>
        <w:lang w:val="en-US" w:eastAsia="en-US" w:bidi="ar-SA"/>
      </w:rPr>
    </w:lvl>
    <w:lvl w:ilvl="5">
      <w:start w:val="0"/>
      <w:numFmt w:val="bullet"/>
      <w:lvlText w:val="•"/>
      <w:lvlJc w:val="left"/>
      <w:pPr>
        <w:ind w:left="6810" w:hanging="361"/>
      </w:pPr>
      <w:rPr>
        <w:rFonts w:hint="default"/>
        <w:lang w:val="en-US" w:eastAsia="en-US" w:bidi="ar-SA"/>
      </w:rPr>
    </w:lvl>
    <w:lvl w:ilvl="6">
      <w:start w:val="0"/>
      <w:numFmt w:val="bullet"/>
      <w:lvlText w:val="•"/>
      <w:lvlJc w:val="left"/>
      <w:pPr>
        <w:ind w:left="7784" w:hanging="361"/>
      </w:pPr>
      <w:rPr>
        <w:rFonts w:hint="default"/>
        <w:lang w:val="en-US" w:eastAsia="en-US" w:bidi="ar-SA"/>
      </w:rPr>
    </w:lvl>
    <w:lvl w:ilvl="7">
      <w:start w:val="0"/>
      <w:numFmt w:val="bullet"/>
      <w:lvlText w:val="•"/>
      <w:lvlJc w:val="left"/>
      <w:pPr>
        <w:ind w:left="8758" w:hanging="361"/>
      </w:pPr>
      <w:rPr>
        <w:rFonts w:hint="default"/>
        <w:lang w:val="en-US" w:eastAsia="en-US" w:bidi="ar-SA"/>
      </w:rPr>
    </w:lvl>
    <w:lvl w:ilvl="8">
      <w:start w:val="0"/>
      <w:numFmt w:val="bullet"/>
      <w:lvlText w:val="•"/>
      <w:lvlJc w:val="left"/>
      <w:pPr>
        <w:ind w:left="9732" w:hanging="361"/>
      </w:pPr>
      <w:rPr>
        <w:rFonts w:hint="default"/>
        <w:lang w:val="en-US" w:eastAsia="en-US" w:bidi="ar-SA"/>
      </w:rPr>
    </w:lvl>
  </w:abstractNum>
  <w:abstractNum w:abstractNumId="76">
    <w:multiLevelType w:val="hybridMultilevel"/>
    <w:lvl w:ilvl="0">
      <w:start w:val="5"/>
      <w:numFmt w:val="decimal"/>
      <w:lvlText w:val="%1"/>
      <w:lvlJc w:val="left"/>
      <w:pPr>
        <w:ind w:left="1618" w:hanging="399"/>
        <w:jc w:val="left"/>
      </w:pPr>
      <w:rPr>
        <w:rFonts w:hint="default"/>
        <w:lang w:val="en-US" w:eastAsia="en-US" w:bidi="ar-SA"/>
      </w:rPr>
    </w:lvl>
    <w:lvl w:ilvl="1">
      <w:start w:val="1"/>
      <w:numFmt w:val="decimal"/>
      <w:lvlText w:val="%1.%2"/>
      <w:lvlJc w:val="left"/>
      <w:pPr>
        <w:ind w:left="1618" w:hanging="399"/>
        <w:jc w:val="left"/>
      </w:pPr>
      <w:rPr>
        <w:rFonts w:hint="default" w:ascii="Times New Roman" w:hAnsi="Times New Roman" w:eastAsia="Times New Roman" w:cs="Times New Roman"/>
        <w:b/>
        <w:bCs/>
        <w:i w:val="0"/>
        <w:iCs w:val="0"/>
        <w:color w:val="4471C4"/>
        <w:spacing w:val="0"/>
        <w:w w:val="99"/>
        <w:sz w:val="26"/>
        <w:szCs w:val="26"/>
        <w:lang w:val="en-US" w:eastAsia="en-US" w:bidi="ar-SA"/>
      </w:rPr>
    </w:lvl>
    <w:lvl w:ilvl="2">
      <w:start w:val="1"/>
      <w:numFmt w:val="decimal"/>
      <w:lvlText w:val="%1.%2.%3"/>
      <w:lvlJc w:val="left"/>
      <w:pPr>
        <w:ind w:left="1940" w:hanging="721"/>
        <w:jc w:val="left"/>
      </w:pPr>
      <w:rPr>
        <w:rFonts w:hint="default"/>
        <w:spacing w:val="0"/>
        <w:w w:val="100"/>
        <w:lang w:val="en-US" w:eastAsia="en-US" w:bidi="ar-SA"/>
      </w:rPr>
    </w:lvl>
    <w:lvl w:ilvl="3">
      <w:start w:val="1"/>
      <w:numFmt w:val="decimal"/>
      <w:lvlText w:val="%1.%2.%3.%4"/>
      <w:lvlJc w:val="left"/>
      <w:pPr>
        <w:ind w:left="1939" w:hanging="721"/>
        <w:jc w:val="left"/>
      </w:pPr>
      <w:rPr>
        <w:rFonts w:hint="default"/>
        <w:spacing w:val="0"/>
        <w:w w:val="100"/>
        <w:lang w:val="en-US" w:eastAsia="en-US" w:bidi="ar-SA"/>
      </w:rPr>
    </w:lvl>
    <w:lvl w:ilvl="4">
      <w:start w:val="0"/>
      <w:numFmt w:val="bullet"/>
      <w:lvlText w:val=""/>
      <w:lvlJc w:val="left"/>
      <w:pPr>
        <w:ind w:left="1939" w:hanging="721"/>
      </w:pPr>
      <w:rPr>
        <w:rFonts w:hint="default" w:ascii="Symbol" w:hAnsi="Symbol" w:eastAsia="Symbol" w:cs="Symbol"/>
        <w:b w:val="0"/>
        <w:bCs w:val="0"/>
        <w:i w:val="0"/>
        <w:iCs w:val="0"/>
        <w:spacing w:val="0"/>
        <w:w w:val="100"/>
        <w:sz w:val="22"/>
        <w:szCs w:val="22"/>
        <w:lang w:val="en-US" w:eastAsia="en-US" w:bidi="ar-SA"/>
      </w:rPr>
    </w:lvl>
    <w:lvl w:ilvl="5">
      <w:start w:val="0"/>
      <w:numFmt w:val="bullet"/>
      <w:lvlText w:val="o"/>
      <w:lvlJc w:val="left"/>
      <w:pPr>
        <w:ind w:left="2660" w:hanging="721"/>
      </w:pPr>
      <w:rPr>
        <w:rFonts w:hint="default" w:ascii="Courier New" w:hAnsi="Courier New" w:eastAsia="Courier New" w:cs="Courier New"/>
        <w:b w:val="0"/>
        <w:bCs w:val="0"/>
        <w:i w:val="0"/>
        <w:iCs w:val="0"/>
        <w:spacing w:val="0"/>
        <w:w w:val="100"/>
        <w:sz w:val="22"/>
        <w:szCs w:val="22"/>
        <w:lang w:val="en-US" w:eastAsia="en-US" w:bidi="ar-SA"/>
      </w:rPr>
    </w:lvl>
    <w:lvl w:ilvl="6">
      <w:start w:val="0"/>
      <w:numFmt w:val="bullet"/>
      <w:lvlText w:val="•"/>
      <w:lvlJc w:val="left"/>
      <w:pPr>
        <w:ind w:left="5666" w:hanging="721"/>
      </w:pPr>
      <w:rPr>
        <w:rFonts w:hint="default"/>
        <w:lang w:val="en-US" w:eastAsia="en-US" w:bidi="ar-SA"/>
      </w:rPr>
    </w:lvl>
    <w:lvl w:ilvl="7">
      <w:start w:val="0"/>
      <w:numFmt w:val="bullet"/>
      <w:lvlText w:val="•"/>
      <w:lvlJc w:val="left"/>
      <w:pPr>
        <w:ind w:left="7170" w:hanging="721"/>
      </w:pPr>
      <w:rPr>
        <w:rFonts w:hint="default"/>
        <w:lang w:val="en-US" w:eastAsia="en-US" w:bidi="ar-SA"/>
      </w:rPr>
    </w:lvl>
    <w:lvl w:ilvl="8">
      <w:start w:val="0"/>
      <w:numFmt w:val="bullet"/>
      <w:lvlText w:val="•"/>
      <w:lvlJc w:val="left"/>
      <w:pPr>
        <w:ind w:left="8673" w:hanging="721"/>
      </w:pPr>
      <w:rPr>
        <w:rFonts w:hint="default"/>
        <w:lang w:val="en-US" w:eastAsia="en-US" w:bidi="ar-SA"/>
      </w:rPr>
    </w:lvl>
  </w:abstractNum>
  <w:abstractNum w:abstractNumId="75">
    <w:multiLevelType w:val="hybridMultilevel"/>
    <w:lvl w:ilvl="0">
      <w:start w:val="0"/>
      <w:numFmt w:val="bullet"/>
      <w:lvlText w:val="-"/>
      <w:lvlJc w:val="left"/>
      <w:pPr>
        <w:ind w:left="2299" w:hanging="360"/>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3238" w:hanging="360"/>
      </w:pPr>
      <w:rPr>
        <w:rFonts w:hint="default"/>
        <w:lang w:val="en-US" w:eastAsia="en-US" w:bidi="ar-SA"/>
      </w:rPr>
    </w:lvl>
    <w:lvl w:ilvl="2">
      <w:start w:val="0"/>
      <w:numFmt w:val="bullet"/>
      <w:lvlText w:val="•"/>
      <w:lvlJc w:val="left"/>
      <w:pPr>
        <w:ind w:left="4176" w:hanging="360"/>
      </w:pPr>
      <w:rPr>
        <w:rFonts w:hint="default"/>
        <w:lang w:val="en-US" w:eastAsia="en-US" w:bidi="ar-SA"/>
      </w:rPr>
    </w:lvl>
    <w:lvl w:ilvl="3">
      <w:start w:val="0"/>
      <w:numFmt w:val="bullet"/>
      <w:lvlText w:val="•"/>
      <w:lvlJc w:val="left"/>
      <w:pPr>
        <w:ind w:left="5114" w:hanging="360"/>
      </w:pPr>
      <w:rPr>
        <w:rFonts w:hint="default"/>
        <w:lang w:val="en-US" w:eastAsia="en-US" w:bidi="ar-SA"/>
      </w:rPr>
    </w:lvl>
    <w:lvl w:ilvl="4">
      <w:start w:val="0"/>
      <w:numFmt w:val="bullet"/>
      <w:lvlText w:val="•"/>
      <w:lvlJc w:val="left"/>
      <w:pPr>
        <w:ind w:left="6052" w:hanging="360"/>
      </w:pPr>
      <w:rPr>
        <w:rFonts w:hint="default"/>
        <w:lang w:val="en-US" w:eastAsia="en-US" w:bidi="ar-SA"/>
      </w:rPr>
    </w:lvl>
    <w:lvl w:ilvl="5">
      <w:start w:val="0"/>
      <w:numFmt w:val="bullet"/>
      <w:lvlText w:val="•"/>
      <w:lvlJc w:val="left"/>
      <w:pPr>
        <w:ind w:left="6990" w:hanging="360"/>
      </w:pPr>
      <w:rPr>
        <w:rFonts w:hint="default"/>
        <w:lang w:val="en-US" w:eastAsia="en-US" w:bidi="ar-SA"/>
      </w:rPr>
    </w:lvl>
    <w:lvl w:ilvl="6">
      <w:start w:val="0"/>
      <w:numFmt w:val="bullet"/>
      <w:lvlText w:val="•"/>
      <w:lvlJc w:val="left"/>
      <w:pPr>
        <w:ind w:left="7928" w:hanging="360"/>
      </w:pPr>
      <w:rPr>
        <w:rFonts w:hint="default"/>
        <w:lang w:val="en-US" w:eastAsia="en-US" w:bidi="ar-SA"/>
      </w:rPr>
    </w:lvl>
    <w:lvl w:ilvl="7">
      <w:start w:val="0"/>
      <w:numFmt w:val="bullet"/>
      <w:lvlText w:val="•"/>
      <w:lvlJc w:val="left"/>
      <w:pPr>
        <w:ind w:left="8866" w:hanging="360"/>
      </w:pPr>
      <w:rPr>
        <w:rFonts w:hint="default"/>
        <w:lang w:val="en-US" w:eastAsia="en-US" w:bidi="ar-SA"/>
      </w:rPr>
    </w:lvl>
    <w:lvl w:ilvl="8">
      <w:start w:val="0"/>
      <w:numFmt w:val="bullet"/>
      <w:lvlText w:val="•"/>
      <w:lvlJc w:val="left"/>
      <w:pPr>
        <w:ind w:left="9804" w:hanging="360"/>
      </w:pPr>
      <w:rPr>
        <w:rFonts w:hint="default"/>
        <w:lang w:val="en-US" w:eastAsia="en-US" w:bidi="ar-SA"/>
      </w:rPr>
    </w:lvl>
  </w:abstractNum>
  <w:abstractNum w:abstractNumId="74">
    <w:multiLevelType w:val="hybridMultilevel"/>
    <w:lvl w:ilvl="0">
      <w:start w:val="0"/>
      <w:numFmt w:val="bullet"/>
      <w:lvlText w:val=""/>
      <w:lvlJc w:val="left"/>
      <w:pPr>
        <w:ind w:left="1992"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o"/>
      <w:lvlJc w:val="left"/>
      <w:pPr>
        <w:ind w:left="2712" w:hanging="361"/>
      </w:pPr>
      <w:rPr>
        <w:rFonts w:hint="default" w:ascii="Courier New" w:hAnsi="Courier New" w:eastAsia="Courier New" w:cs="Courier New"/>
        <w:b w:val="0"/>
        <w:bCs w:val="0"/>
        <w:i w:val="0"/>
        <w:iCs w:val="0"/>
        <w:spacing w:val="0"/>
        <w:w w:val="100"/>
        <w:sz w:val="22"/>
        <w:szCs w:val="22"/>
        <w:lang w:val="en-US" w:eastAsia="en-US" w:bidi="ar-SA"/>
      </w:rPr>
    </w:lvl>
    <w:lvl w:ilvl="2">
      <w:start w:val="0"/>
      <w:numFmt w:val="bullet"/>
      <w:lvlText w:val="•"/>
      <w:lvlJc w:val="left"/>
      <w:pPr>
        <w:ind w:left="3715" w:hanging="361"/>
      </w:pPr>
      <w:rPr>
        <w:rFonts w:hint="default"/>
        <w:lang w:val="en-US" w:eastAsia="en-US" w:bidi="ar-SA"/>
      </w:rPr>
    </w:lvl>
    <w:lvl w:ilvl="3">
      <w:start w:val="0"/>
      <w:numFmt w:val="bullet"/>
      <w:lvlText w:val="•"/>
      <w:lvlJc w:val="left"/>
      <w:pPr>
        <w:ind w:left="4711" w:hanging="361"/>
      </w:pPr>
      <w:rPr>
        <w:rFonts w:hint="default"/>
        <w:lang w:val="en-US" w:eastAsia="en-US" w:bidi="ar-SA"/>
      </w:rPr>
    </w:lvl>
    <w:lvl w:ilvl="4">
      <w:start w:val="0"/>
      <w:numFmt w:val="bullet"/>
      <w:lvlText w:val="•"/>
      <w:lvlJc w:val="left"/>
      <w:pPr>
        <w:ind w:left="5706" w:hanging="361"/>
      </w:pPr>
      <w:rPr>
        <w:rFonts w:hint="default"/>
        <w:lang w:val="en-US" w:eastAsia="en-US" w:bidi="ar-SA"/>
      </w:rPr>
    </w:lvl>
    <w:lvl w:ilvl="5">
      <w:start w:val="0"/>
      <w:numFmt w:val="bullet"/>
      <w:lvlText w:val="•"/>
      <w:lvlJc w:val="left"/>
      <w:pPr>
        <w:ind w:left="6702" w:hanging="361"/>
      </w:pPr>
      <w:rPr>
        <w:rFonts w:hint="default"/>
        <w:lang w:val="en-US" w:eastAsia="en-US" w:bidi="ar-SA"/>
      </w:rPr>
    </w:lvl>
    <w:lvl w:ilvl="6">
      <w:start w:val="0"/>
      <w:numFmt w:val="bullet"/>
      <w:lvlText w:val="•"/>
      <w:lvlJc w:val="left"/>
      <w:pPr>
        <w:ind w:left="7697" w:hanging="361"/>
      </w:pPr>
      <w:rPr>
        <w:rFonts w:hint="default"/>
        <w:lang w:val="en-US" w:eastAsia="en-US" w:bidi="ar-SA"/>
      </w:rPr>
    </w:lvl>
    <w:lvl w:ilvl="7">
      <w:start w:val="0"/>
      <w:numFmt w:val="bullet"/>
      <w:lvlText w:val="•"/>
      <w:lvlJc w:val="left"/>
      <w:pPr>
        <w:ind w:left="8693" w:hanging="361"/>
      </w:pPr>
      <w:rPr>
        <w:rFonts w:hint="default"/>
        <w:lang w:val="en-US" w:eastAsia="en-US" w:bidi="ar-SA"/>
      </w:rPr>
    </w:lvl>
    <w:lvl w:ilvl="8">
      <w:start w:val="0"/>
      <w:numFmt w:val="bullet"/>
      <w:lvlText w:val="•"/>
      <w:lvlJc w:val="left"/>
      <w:pPr>
        <w:ind w:left="9688" w:hanging="361"/>
      </w:pPr>
      <w:rPr>
        <w:rFonts w:hint="default"/>
        <w:lang w:val="en-US" w:eastAsia="en-US" w:bidi="ar-SA"/>
      </w:rPr>
    </w:lvl>
  </w:abstractNum>
  <w:abstractNum w:abstractNumId="73">
    <w:multiLevelType w:val="hybridMultilevel"/>
    <w:lvl w:ilvl="0">
      <w:start w:val="0"/>
      <w:numFmt w:val="bullet"/>
      <w:lvlText w:val=""/>
      <w:lvlJc w:val="left"/>
      <w:pPr>
        <w:ind w:left="1939"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914" w:hanging="361"/>
      </w:pPr>
      <w:rPr>
        <w:rFonts w:hint="default"/>
        <w:lang w:val="en-US" w:eastAsia="en-US" w:bidi="ar-SA"/>
      </w:rPr>
    </w:lvl>
    <w:lvl w:ilvl="2">
      <w:start w:val="0"/>
      <w:numFmt w:val="bullet"/>
      <w:lvlText w:val="•"/>
      <w:lvlJc w:val="left"/>
      <w:pPr>
        <w:ind w:left="3888" w:hanging="361"/>
      </w:pPr>
      <w:rPr>
        <w:rFonts w:hint="default"/>
        <w:lang w:val="en-US" w:eastAsia="en-US" w:bidi="ar-SA"/>
      </w:rPr>
    </w:lvl>
    <w:lvl w:ilvl="3">
      <w:start w:val="0"/>
      <w:numFmt w:val="bullet"/>
      <w:lvlText w:val="•"/>
      <w:lvlJc w:val="left"/>
      <w:pPr>
        <w:ind w:left="4862" w:hanging="361"/>
      </w:pPr>
      <w:rPr>
        <w:rFonts w:hint="default"/>
        <w:lang w:val="en-US" w:eastAsia="en-US" w:bidi="ar-SA"/>
      </w:rPr>
    </w:lvl>
    <w:lvl w:ilvl="4">
      <w:start w:val="0"/>
      <w:numFmt w:val="bullet"/>
      <w:lvlText w:val="•"/>
      <w:lvlJc w:val="left"/>
      <w:pPr>
        <w:ind w:left="5836" w:hanging="361"/>
      </w:pPr>
      <w:rPr>
        <w:rFonts w:hint="default"/>
        <w:lang w:val="en-US" w:eastAsia="en-US" w:bidi="ar-SA"/>
      </w:rPr>
    </w:lvl>
    <w:lvl w:ilvl="5">
      <w:start w:val="0"/>
      <w:numFmt w:val="bullet"/>
      <w:lvlText w:val="•"/>
      <w:lvlJc w:val="left"/>
      <w:pPr>
        <w:ind w:left="6810" w:hanging="361"/>
      </w:pPr>
      <w:rPr>
        <w:rFonts w:hint="default"/>
        <w:lang w:val="en-US" w:eastAsia="en-US" w:bidi="ar-SA"/>
      </w:rPr>
    </w:lvl>
    <w:lvl w:ilvl="6">
      <w:start w:val="0"/>
      <w:numFmt w:val="bullet"/>
      <w:lvlText w:val="•"/>
      <w:lvlJc w:val="left"/>
      <w:pPr>
        <w:ind w:left="7784" w:hanging="361"/>
      </w:pPr>
      <w:rPr>
        <w:rFonts w:hint="default"/>
        <w:lang w:val="en-US" w:eastAsia="en-US" w:bidi="ar-SA"/>
      </w:rPr>
    </w:lvl>
    <w:lvl w:ilvl="7">
      <w:start w:val="0"/>
      <w:numFmt w:val="bullet"/>
      <w:lvlText w:val="•"/>
      <w:lvlJc w:val="left"/>
      <w:pPr>
        <w:ind w:left="8758" w:hanging="361"/>
      </w:pPr>
      <w:rPr>
        <w:rFonts w:hint="default"/>
        <w:lang w:val="en-US" w:eastAsia="en-US" w:bidi="ar-SA"/>
      </w:rPr>
    </w:lvl>
    <w:lvl w:ilvl="8">
      <w:start w:val="0"/>
      <w:numFmt w:val="bullet"/>
      <w:lvlText w:val="•"/>
      <w:lvlJc w:val="left"/>
      <w:pPr>
        <w:ind w:left="9732" w:hanging="361"/>
      </w:pPr>
      <w:rPr>
        <w:rFonts w:hint="default"/>
        <w:lang w:val="en-US" w:eastAsia="en-US" w:bidi="ar-SA"/>
      </w:rPr>
    </w:lvl>
  </w:abstractNum>
  <w:abstractNum w:abstractNumId="72">
    <w:multiLevelType w:val="hybridMultilevel"/>
    <w:lvl w:ilvl="0">
      <w:start w:val="0"/>
      <w:numFmt w:val="bullet"/>
      <w:lvlText w:val=""/>
      <w:lvlJc w:val="left"/>
      <w:pPr>
        <w:ind w:left="194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o"/>
      <w:lvlJc w:val="left"/>
      <w:pPr>
        <w:ind w:left="2660" w:hanging="361"/>
      </w:pPr>
      <w:rPr>
        <w:rFonts w:hint="default" w:ascii="Courier New" w:hAnsi="Courier New" w:eastAsia="Courier New" w:cs="Courier New"/>
        <w:b w:val="0"/>
        <w:bCs w:val="0"/>
        <w:i w:val="0"/>
        <w:iCs w:val="0"/>
        <w:spacing w:val="0"/>
        <w:w w:val="100"/>
        <w:sz w:val="22"/>
        <w:szCs w:val="22"/>
        <w:lang w:val="en-US" w:eastAsia="en-US" w:bidi="ar-SA"/>
      </w:rPr>
    </w:lvl>
    <w:lvl w:ilvl="2">
      <w:start w:val="0"/>
      <w:numFmt w:val="bullet"/>
      <w:lvlText w:val="•"/>
      <w:lvlJc w:val="left"/>
      <w:pPr>
        <w:ind w:left="3662" w:hanging="361"/>
      </w:pPr>
      <w:rPr>
        <w:rFonts w:hint="default"/>
        <w:lang w:val="en-US" w:eastAsia="en-US" w:bidi="ar-SA"/>
      </w:rPr>
    </w:lvl>
    <w:lvl w:ilvl="3">
      <w:start w:val="0"/>
      <w:numFmt w:val="bullet"/>
      <w:lvlText w:val="•"/>
      <w:lvlJc w:val="left"/>
      <w:pPr>
        <w:ind w:left="4664" w:hanging="361"/>
      </w:pPr>
      <w:rPr>
        <w:rFonts w:hint="default"/>
        <w:lang w:val="en-US" w:eastAsia="en-US" w:bidi="ar-SA"/>
      </w:rPr>
    </w:lvl>
    <w:lvl w:ilvl="4">
      <w:start w:val="0"/>
      <w:numFmt w:val="bullet"/>
      <w:lvlText w:val="•"/>
      <w:lvlJc w:val="left"/>
      <w:pPr>
        <w:ind w:left="5666" w:hanging="361"/>
      </w:pPr>
      <w:rPr>
        <w:rFonts w:hint="default"/>
        <w:lang w:val="en-US" w:eastAsia="en-US" w:bidi="ar-SA"/>
      </w:rPr>
    </w:lvl>
    <w:lvl w:ilvl="5">
      <w:start w:val="0"/>
      <w:numFmt w:val="bullet"/>
      <w:lvlText w:val="•"/>
      <w:lvlJc w:val="left"/>
      <w:pPr>
        <w:ind w:left="6668" w:hanging="361"/>
      </w:pPr>
      <w:rPr>
        <w:rFonts w:hint="default"/>
        <w:lang w:val="en-US" w:eastAsia="en-US" w:bidi="ar-SA"/>
      </w:rPr>
    </w:lvl>
    <w:lvl w:ilvl="6">
      <w:start w:val="0"/>
      <w:numFmt w:val="bullet"/>
      <w:lvlText w:val="•"/>
      <w:lvlJc w:val="left"/>
      <w:pPr>
        <w:ind w:left="7671" w:hanging="361"/>
      </w:pPr>
      <w:rPr>
        <w:rFonts w:hint="default"/>
        <w:lang w:val="en-US" w:eastAsia="en-US" w:bidi="ar-SA"/>
      </w:rPr>
    </w:lvl>
    <w:lvl w:ilvl="7">
      <w:start w:val="0"/>
      <w:numFmt w:val="bullet"/>
      <w:lvlText w:val="•"/>
      <w:lvlJc w:val="left"/>
      <w:pPr>
        <w:ind w:left="8673" w:hanging="361"/>
      </w:pPr>
      <w:rPr>
        <w:rFonts w:hint="default"/>
        <w:lang w:val="en-US" w:eastAsia="en-US" w:bidi="ar-SA"/>
      </w:rPr>
    </w:lvl>
    <w:lvl w:ilvl="8">
      <w:start w:val="0"/>
      <w:numFmt w:val="bullet"/>
      <w:lvlText w:val="•"/>
      <w:lvlJc w:val="left"/>
      <w:pPr>
        <w:ind w:left="9675" w:hanging="361"/>
      </w:pPr>
      <w:rPr>
        <w:rFonts w:hint="default"/>
        <w:lang w:val="en-US" w:eastAsia="en-US" w:bidi="ar-SA"/>
      </w:rPr>
    </w:lvl>
  </w:abstractNum>
  <w:abstractNum w:abstractNumId="71">
    <w:multiLevelType w:val="hybridMultilevel"/>
    <w:lvl w:ilvl="0">
      <w:start w:val="0"/>
      <w:numFmt w:val="bullet"/>
      <w:lvlText w:val=""/>
      <w:lvlJc w:val="left"/>
      <w:pPr>
        <w:ind w:left="194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o"/>
      <w:lvlJc w:val="left"/>
      <w:pPr>
        <w:ind w:left="2660" w:hanging="361"/>
      </w:pPr>
      <w:rPr>
        <w:rFonts w:hint="default" w:ascii="Courier New" w:hAnsi="Courier New" w:eastAsia="Courier New" w:cs="Courier New"/>
        <w:b w:val="0"/>
        <w:bCs w:val="0"/>
        <w:i w:val="0"/>
        <w:iCs w:val="0"/>
        <w:spacing w:val="0"/>
        <w:w w:val="100"/>
        <w:sz w:val="22"/>
        <w:szCs w:val="22"/>
        <w:lang w:val="en-US" w:eastAsia="en-US" w:bidi="ar-SA"/>
      </w:rPr>
    </w:lvl>
    <w:lvl w:ilvl="2">
      <w:start w:val="0"/>
      <w:numFmt w:val="bullet"/>
      <w:lvlText w:val="•"/>
      <w:lvlJc w:val="left"/>
      <w:pPr>
        <w:ind w:left="3662" w:hanging="361"/>
      </w:pPr>
      <w:rPr>
        <w:rFonts w:hint="default"/>
        <w:lang w:val="en-US" w:eastAsia="en-US" w:bidi="ar-SA"/>
      </w:rPr>
    </w:lvl>
    <w:lvl w:ilvl="3">
      <w:start w:val="0"/>
      <w:numFmt w:val="bullet"/>
      <w:lvlText w:val="•"/>
      <w:lvlJc w:val="left"/>
      <w:pPr>
        <w:ind w:left="4664" w:hanging="361"/>
      </w:pPr>
      <w:rPr>
        <w:rFonts w:hint="default"/>
        <w:lang w:val="en-US" w:eastAsia="en-US" w:bidi="ar-SA"/>
      </w:rPr>
    </w:lvl>
    <w:lvl w:ilvl="4">
      <w:start w:val="0"/>
      <w:numFmt w:val="bullet"/>
      <w:lvlText w:val="•"/>
      <w:lvlJc w:val="left"/>
      <w:pPr>
        <w:ind w:left="5666" w:hanging="361"/>
      </w:pPr>
      <w:rPr>
        <w:rFonts w:hint="default"/>
        <w:lang w:val="en-US" w:eastAsia="en-US" w:bidi="ar-SA"/>
      </w:rPr>
    </w:lvl>
    <w:lvl w:ilvl="5">
      <w:start w:val="0"/>
      <w:numFmt w:val="bullet"/>
      <w:lvlText w:val="•"/>
      <w:lvlJc w:val="left"/>
      <w:pPr>
        <w:ind w:left="6668" w:hanging="361"/>
      </w:pPr>
      <w:rPr>
        <w:rFonts w:hint="default"/>
        <w:lang w:val="en-US" w:eastAsia="en-US" w:bidi="ar-SA"/>
      </w:rPr>
    </w:lvl>
    <w:lvl w:ilvl="6">
      <w:start w:val="0"/>
      <w:numFmt w:val="bullet"/>
      <w:lvlText w:val="•"/>
      <w:lvlJc w:val="left"/>
      <w:pPr>
        <w:ind w:left="7671" w:hanging="361"/>
      </w:pPr>
      <w:rPr>
        <w:rFonts w:hint="default"/>
        <w:lang w:val="en-US" w:eastAsia="en-US" w:bidi="ar-SA"/>
      </w:rPr>
    </w:lvl>
    <w:lvl w:ilvl="7">
      <w:start w:val="0"/>
      <w:numFmt w:val="bullet"/>
      <w:lvlText w:val="•"/>
      <w:lvlJc w:val="left"/>
      <w:pPr>
        <w:ind w:left="8673" w:hanging="361"/>
      </w:pPr>
      <w:rPr>
        <w:rFonts w:hint="default"/>
        <w:lang w:val="en-US" w:eastAsia="en-US" w:bidi="ar-SA"/>
      </w:rPr>
    </w:lvl>
    <w:lvl w:ilvl="8">
      <w:start w:val="0"/>
      <w:numFmt w:val="bullet"/>
      <w:lvlText w:val="•"/>
      <w:lvlJc w:val="left"/>
      <w:pPr>
        <w:ind w:left="9675" w:hanging="361"/>
      </w:pPr>
      <w:rPr>
        <w:rFonts w:hint="default"/>
        <w:lang w:val="en-US" w:eastAsia="en-US" w:bidi="ar-SA"/>
      </w:rPr>
    </w:lvl>
  </w:abstractNum>
  <w:abstractNum w:abstractNumId="70">
    <w:multiLevelType w:val="hybridMultilevel"/>
    <w:lvl w:ilvl="0">
      <w:start w:val="0"/>
      <w:numFmt w:val="bullet"/>
      <w:lvlText w:val="●"/>
      <w:lvlJc w:val="left"/>
      <w:pPr>
        <w:ind w:left="332" w:hanging="221"/>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592" w:hanging="221"/>
      </w:pPr>
      <w:rPr>
        <w:rFonts w:hint="default"/>
        <w:lang w:val="en-US" w:eastAsia="en-US" w:bidi="ar-SA"/>
      </w:rPr>
    </w:lvl>
    <w:lvl w:ilvl="2">
      <w:start w:val="0"/>
      <w:numFmt w:val="bullet"/>
      <w:lvlText w:val="•"/>
      <w:lvlJc w:val="left"/>
      <w:pPr>
        <w:ind w:left="844" w:hanging="221"/>
      </w:pPr>
      <w:rPr>
        <w:rFonts w:hint="default"/>
        <w:lang w:val="en-US" w:eastAsia="en-US" w:bidi="ar-SA"/>
      </w:rPr>
    </w:lvl>
    <w:lvl w:ilvl="3">
      <w:start w:val="0"/>
      <w:numFmt w:val="bullet"/>
      <w:lvlText w:val="•"/>
      <w:lvlJc w:val="left"/>
      <w:pPr>
        <w:ind w:left="1096" w:hanging="221"/>
      </w:pPr>
      <w:rPr>
        <w:rFonts w:hint="default"/>
        <w:lang w:val="en-US" w:eastAsia="en-US" w:bidi="ar-SA"/>
      </w:rPr>
    </w:lvl>
    <w:lvl w:ilvl="4">
      <w:start w:val="0"/>
      <w:numFmt w:val="bullet"/>
      <w:lvlText w:val="•"/>
      <w:lvlJc w:val="left"/>
      <w:pPr>
        <w:ind w:left="1348" w:hanging="221"/>
      </w:pPr>
      <w:rPr>
        <w:rFonts w:hint="default"/>
        <w:lang w:val="en-US" w:eastAsia="en-US" w:bidi="ar-SA"/>
      </w:rPr>
    </w:lvl>
    <w:lvl w:ilvl="5">
      <w:start w:val="0"/>
      <w:numFmt w:val="bullet"/>
      <w:lvlText w:val="•"/>
      <w:lvlJc w:val="left"/>
      <w:pPr>
        <w:ind w:left="1600" w:hanging="221"/>
      </w:pPr>
      <w:rPr>
        <w:rFonts w:hint="default"/>
        <w:lang w:val="en-US" w:eastAsia="en-US" w:bidi="ar-SA"/>
      </w:rPr>
    </w:lvl>
    <w:lvl w:ilvl="6">
      <w:start w:val="0"/>
      <w:numFmt w:val="bullet"/>
      <w:lvlText w:val="•"/>
      <w:lvlJc w:val="left"/>
      <w:pPr>
        <w:ind w:left="1852" w:hanging="221"/>
      </w:pPr>
      <w:rPr>
        <w:rFonts w:hint="default"/>
        <w:lang w:val="en-US" w:eastAsia="en-US" w:bidi="ar-SA"/>
      </w:rPr>
    </w:lvl>
    <w:lvl w:ilvl="7">
      <w:start w:val="0"/>
      <w:numFmt w:val="bullet"/>
      <w:lvlText w:val="•"/>
      <w:lvlJc w:val="left"/>
      <w:pPr>
        <w:ind w:left="2104" w:hanging="221"/>
      </w:pPr>
      <w:rPr>
        <w:rFonts w:hint="default"/>
        <w:lang w:val="en-US" w:eastAsia="en-US" w:bidi="ar-SA"/>
      </w:rPr>
    </w:lvl>
    <w:lvl w:ilvl="8">
      <w:start w:val="0"/>
      <w:numFmt w:val="bullet"/>
      <w:lvlText w:val="•"/>
      <w:lvlJc w:val="left"/>
      <w:pPr>
        <w:ind w:left="2356" w:hanging="221"/>
      </w:pPr>
      <w:rPr>
        <w:rFonts w:hint="default"/>
        <w:lang w:val="en-US" w:eastAsia="en-US" w:bidi="ar-SA"/>
      </w:rPr>
    </w:lvl>
  </w:abstractNum>
  <w:abstractNum w:abstractNumId="69">
    <w:multiLevelType w:val="hybridMultilevel"/>
    <w:lvl w:ilvl="0">
      <w:start w:val="0"/>
      <w:numFmt w:val="bullet"/>
      <w:lvlText w:val="●"/>
      <w:lvlJc w:val="left"/>
      <w:pPr>
        <w:ind w:left="330" w:hanging="221"/>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601" w:hanging="221"/>
      </w:pPr>
      <w:rPr>
        <w:rFonts w:hint="default"/>
        <w:lang w:val="en-US" w:eastAsia="en-US" w:bidi="ar-SA"/>
      </w:rPr>
    </w:lvl>
    <w:lvl w:ilvl="2">
      <w:start w:val="0"/>
      <w:numFmt w:val="bullet"/>
      <w:lvlText w:val="•"/>
      <w:lvlJc w:val="left"/>
      <w:pPr>
        <w:ind w:left="862" w:hanging="221"/>
      </w:pPr>
      <w:rPr>
        <w:rFonts w:hint="default"/>
        <w:lang w:val="en-US" w:eastAsia="en-US" w:bidi="ar-SA"/>
      </w:rPr>
    </w:lvl>
    <w:lvl w:ilvl="3">
      <w:start w:val="0"/>
      <w:numFmt w:val="bullet"/>
      <w:lvlText w:val="•"/>
      <w:lvlJc w:val="left"/>
      <w:pPr>
        <w:ind w:left="1124" w:hanging="221"/>
      </w:pPr>
      <w:rPr>
        <w:rFonts w:hint="default"/>
        <w:lang w:val="en-US" w:eastAsia="en-US" w:bidi="ar-SA"/>
      </w:rPr>
    </w:lvl>
    <w:lvl w:ilvl="4">
      <w:start w:val="0"/>
      <w:numFmt w:val="bullet"/>
      <w:lvlText w:val="•"/>
      <w:lvlJc w:val="left"/>
      <w:pPr>
        <w:ind w:left="1385" w:hanging="221"/>
      </w:pPr>
      <w:rPr>
        <w:rFonts w:hint="default"/>
        <w:lang w:val="en-US" w:eastAsia="en-US" w:bidi="ar-SA"/>
      </w:rPr>
    </w:lvl>
    <w:lvl w:ilvl="5">
      <w:start w:val="0"/>
      <w:numFmt w:val="bullet"/>
      <w:lvlText w:val="•"/>
      <w:lvlJc w:val="left"/>
      <w:pPr>
        <w:ind w:left="1647" w:hanging="221"/>
      </w:pPr>
      <w:rPr>
        <w:rFonts w:hint="default"/>
        <w:lang w:val="en-US" w:eastAsia="en-US" w:bidi="ar-SA"/>
      </w:rPr>
    </w:lvl>
    <w:lvl w:ilvl="6">
      <w:start w:val="0"/>
      <w:numFmt w:val="bullet"/>
      <w:lvlText w:val="•"/>
      <w:lvlJc w:val="left"/>
      <w:pPr>
        <w:ind w:left="1908" w:hanging="221"/>
      </w:pPr>
      <w:rPr>
        <w:rFonts w:hint="default"/>
        <w:lang w:val="en-US" w:eastAsia="en-US" w:bidi="ar-SA"/>
      </w:rPr>
    </w:lvl>
    <w:lvl w:ilvl="7">
      <w:start w:val="0"/>
      <w:numFmt w:val="bullet"/>
      <w:lvlText w:val="•"/>
      <w:lvlJc w:val="left"/>
      <w:pPr>
        <w:ind w:left="2169" w:hanging="221"/>
      </w:pPr>
      <w:rPr>
        <w:rFonts w:hint="default"/>
        <w:lang w:val="en-US" w:eastAsia="en-US" w:bidi="ar-SA"/>
      </w:rPr>
    </w:lvl>
    <w:lvl w:ilvl="8">
      <w:start w:val="0"/>
      <w:numFmt w:val="bullet"/>
      <w:lvlText w:val="•"/>
      <w:lvlJc w:val="left"/>
      <w:pPr>
        <w:ind w:left="2431" w:hanging="221"/>
      </w:pPr>
      <w:rPr>
        <w:rFonts w:hint="default"/>
        <w:lang w:val="en-US" w:eastAsia="en-US" w:bidi="ar-SA"/>
      </w:rPr>
    </w:lvl>
  </w:abstractNum>
  <w:abstractNum w:abstractNumId="68">
    <w:multiLevelType w:val="hybridMultilevel"/>
    <w:lvl w:ilvl="0">
      <w:start w:val="0"/>
      <w:numFmt w:val="bullet"/>
      <w:lvlText w:val="●"/>
      <w:lvlJc w:val="left"/>
      <w:pPr>
        <w:ind w:left="328" w:hanging="221"/>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615" w:hanging="221"/>
      </w:pPr>
      <w:rPr>
        <w:rFonts w:hint="default"/>
        <w:lang w:val="en-US" w:eastAsia="en-US" w:bidi="ar-SA"/>
      </w:rPr>
    </w:lvl>
    <w:lvl w:ilvl="2">
      <w:start w:val="0"/>
      <w:numFmt w:val="bullet"/>
      <w:lvlText w:val="•"/>
      <w:lvlJc w:val="left"/>
      <w:pPr>
        <w:ind w:left="910" w:hanging="221"/>
      </w:pPr>
      <w:rPr>
        <w:rFonts w:hint="default"/>
        <w:lang w:val="en-US" w:eastAsia="en-US" w:bidi="ar-SA"/>
      </w:rPr>
    </w:lvl>
    <w:lvl w:ilvl="3">
      <w:start w:val="0"/>
      <w:numFmt w:val="bullet"/>
      <w:lvlText w:val="•"/>
      <w:lvlJc w:val="left"/>
      <w:pPr>
        <w:ind w:left="1205" w:hanging="221"/>
      </w:pPr>
      <w:rPr>
        <w:rFonts w:hint="default"/>
        <w:lang w:val="en-US" w:eastAsia="en-US" w:bidi="ar-SA"/>
      </w:rPr>
    </w:lvl>
    <w:lvl w:ilvl="4">
      <w:start w:val="0"/>
      <w:numFmt w:val="bullet"/>
      <w:lvlText w:val="•"/>
      <w:lvlJc w:val="left"/>
      <w:pPr>
        <w:ind w:left="1500" w:hanging="221"/>
      </w:pPr>
      <w:rPr>
        <w:rFonts w:hint="default"/>
        <w:lang w:val="en-US" w:eastAsia="en-US" w:bidi="ar-SA"/>
      </w:rPr>
    </w:lvl>
    <w:lvl w:ilvl="5">
      <w:start w:val="0"/>
      <w:numFmt w:val="bullet"/>
      <w:lvlText w:val="•"/>
      <w:lvlJc w:val="left"/>
      <w:pPr>
        <w:ind w:left="1795" w:hanging="221"/>
      </w:pPr>
      <w:rPr>
        <w:rFonts w:hint="default"/>
        <w:lang w:val="en-US" w:eastAsia="en-US" w:bidi="ar-SA"/>
      </w:rPr>
    </w:lvl>
    <w:lvl w:ilvl="6">
      <w:start w:val="0"/>
      <w:numFmt w:val="bullet"/>
      <w:lvlText w:val="•"/>
      <w:lvlJc w:val="left"/>
      <w:pPr>
        <w:ind w:left="2090" w:hanging="221"/>
      </w:pPr>
      <w:rPr>
        <w:rFonts w:hint="default"/>
        <w:lang w:val="en-US" w:eastAsia="en-US" w:bidi="ar-SA"/>
      </w:rPr>
    </w:lvl>
    <w:lvl w:ilvl="7">
      <w:start w:val="0"/>
      <w:numFmt w:val="bullet"/>
      <w:lvlText w:val="•"/>
      <w:lvlJc w:val="left"/>
      <w:pPr>
        <w:ind w:left="2385" w:hanging="221"/>
      </w:pPr>
      <w:rPr>
        <w:rFonts w:hint="default"/>
        <w:lang w:val="en-US" w:eastAsia="en-US" w:bidi="ar-SA"/>
      </w:rPr>
    </w:lvl>
    <w:lvl w:ilvl="8">
      <w:start w:val="0"/>
      <w:numFmt w:val="bullet"/>
      <w:lvlText w:val="•"/>
      <w:lvlJc w:val="left"/>
      <w:pPr>
        <w:ind w:left="2680" w:hanging="221"/>
      </w:pPr>
      <w:rPr>
        <w:rFonts w:hint="default"/>
        <w:lang w:val="en-US" w:eastAsia="en-US" w:bidi="ar-SA"/>
      </w:rPr>
    </w:lvl>
  </w:abstractNum>
  <w:abstractNum w:abstractNumId="67">
    <w:multiLevelType w:val="hybridMultilevel"/>
    <w:lvl w:ilvl="0">
      <w:start w:val="4"/>
      <w:numFmt w:val="decimal"/>
      <w:lvlText w:val="%1"/>
      <w:lvlJc w:val="left"/>
      <w:pPr>
        <w:ind w:left="1683" w:hanging="464"/>
        <w:jc w:val="left"/>
      </w:pPr>
      <w:rPr>
        <w:rFonts w:hint="default"/>
        <w:lang w:val="en-US" w:eastAsia="en-US" w:bidi="ar-SA"/>
      </w:rPr>
    </w:lvl>
    <w:lvl w:ilvl="1">
      <w:start w:val="1"/>
      <w:numFmt w:val="decimal"/>
      <w:lvlText w:val="%1.%2"/>
      <w:lvlJc w:val="left"/>
      <w:pPr>
        <w:ind w:left="1683" w:hanging="464"/>
        <w:jc w:val="left"/>
      </w:pPr>
      <w:rPr>
        <w:rFonts w:hint="default" w:ascii="Times New Roman" w:hAnsi="Times New Roman" w:eastAsia="Times New Roman" w:cs="Times New Roman"/>
        <w:b/>
        <w:bCs/>
        <w:i w:val="0"/>
        <w:iCs w:val="0"/>
        <w:color w:val="4471C4"/>
        <w:spacing w:val="0"/>
        <w:w w:val="99"/>
        <w:sz w:val="26"/>
        <w:szCs w:val="26"/>
        <w:lang w:val="en-US" w:eastAsia="en-US" w:bidi="ar-SA"/>
      </w:rPr>
    </w:lvl>
    <w:lvl w:ilvl="2">
      <w:start w:val="1"/>
      <w:numFmt w:val="decimal"/>
      <w:lvlText w:val="%1.%2.%3"/>
      <w:lvlJc w:val="left"/>
      <w:pPr>
        <w:ind w:left="1940" w:hanging="720"/>
        <w:jc w:val="left"/>
      </w:pPr>
      <w:rPr>
        <w:rFonts w:hint="default"/>
        <w:spacing w:val="0"/>
        <w:w w:val="100"/>
        <w:lang w:val="en-US" w:eastAsia="en-US" w:bidi="ar-SA"/>
      </w:rPr>
    </w:lvl>
    <w:lvl w:ilvl="3">
      <w:start w:val="1"/>
      <w:numFmt w:val="decimal"/>
      <w:lvlText w:val="%4."/>
      <w:lvlJc w:val="left"/>
      <w:pPr>
        <w:ind w:left="2300" w:hanging="72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4">
      <w:start w:val="0"/>
      <w:numFmt w:val="bullet"/>
      <w:lvlText w:val="•"/>
      <w:lvlJc w:val="left"/>
      <w:pPr>
        <w:ind w:left="4645" w:hanging="720"/>
      </w:pPr>
      <w:rPr>
        <w:rFonts w:hint="default"/>
        <w:lang w:val="en-US" w:eastAsia="en-US" w:bidi="ar-SA"/>
      </w:rPr>
    </w:lvl>
    <w:lvl w:ilvl="5">
      <w:start w:val="0"/>
      <w:numFmt w:val="bullet"/>
      <w:lvlText w:val="•"/>
      <w:lvlJc w:val="left"/>
      <w:pPr>
        <w:ind w:left="5817" w:hanging="720"/>
      </w:pPr>
      <w:rPr>
        <w:rFonts w:hint="default"/>
        <w:lang w:val="en-US" w:eastAsia="en-US" w:bidi="ar-SA"/>
      </w:rPr>
    </w:lvl>
    <w:lvl w:ilvl="6">
      <w:start w:val="0"/>
      <w:numFmt w:val="bullet"/>
      <w:lvlText w:val="•"/>
      <w:lvlJc w:val="left"/>
      <w:pPr>
        <w:ind w:left="6990" w:hanging="720"/>
      </w:pPr>
      <w:rPr>
        <w:rFonts w:hint="default"/>
        <w:lang w:val="en-US" w:eastAsia="en-US" w:bidi="ar-SA"/>
      </w:rPr>
    </w:lvl>
    <w:lvl w:ilvl="7">
      <w:start w:val="0"/>
      <w:numFmt w:val="bullet"/>
      <w:lvlText w:val="•"/>
      <w:lvlJc w:val="left"/>
      <w:pPr>
        <w:ind w:left="8162" w:hanging="720"/>
      </w:pPr>
      <w:rPr>
        <w:rFonts w:hint="default"/>
        <w:lang w:val="en-US" w:eastAsia="en-US" w:bidi="ar-SA"/>
      </w:rPr>
    </w:lvl>
    <w:lvl w:ilvl="8">
      <w:start w:val="0"/>
      <w:numFmt w:val="bullet"/>
      <w:lvlText w:val="•"/>
      <w:lvlJc w:val="left"/>
      <w:pPr>
        <w:ind w:left="9335" w:hanging="720"/>
      </w:pPr>
      <w:rPr>
        <w:rFonts w:hint="default"/>
        <w:lang w:val="en-US" w:eastAsia="en-US" w:bidi="ar-SA"/>
      </w:rPr>
    </w:lvl>
  </w:abstractNum>
  <w:abstractNum w:abstractNumId="66">
    <w:multiLevelType w:val="hybridMultilevel"/>
    <w:lvl w:ilvl="0">
      <w:start w:val="0"/>
      <w:numFmt w:val="bullet"/>
      <w:lvlText w:val=""/>
      <w:lvlJc w:val="left"/>
      <w:pPr>
        <w:ind w:left="1989"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950" w:hanging="361"/>
      </w:pPr>
      <w:rPr>
        <w:rFonts w:hint="default"/>
        <w:lang w:val="en-US" w:eastAsia="en-US" w:bidi="ar-SA"/>
      </w:rPr>
    </w:lvl>
    <w:lvl w:ilvl="2">
      <w:start w:val="0"/>
      <w:numFmt w:val="bullet"/>
      <w:lvlText w:val="•"/>
      <w:lvlJc w:val="left"/>
      <w:pPr>
        <w:ind w:left="3920" w:hanging="361"/>
      </w:pPr>
      <w:rPr>
        <w:rFonts w:hint="default"/>
        <w:lang w:val="en-US" w:eastAsia="en-US" w:bidi="ar-SA"/>
      </w:rPr>
    </w:lvl>
    <w:lvl w:ilvl="3">
      <w:start w:val="0"/>
      <w:numFmt w:val="bullet"/>
      <w:lvlText w:val="•"/>
      <w:lvlJc w:val="left"/>
      <w:pPr>
        <w:ind w:left="4890" w:hanging="361"/>
      </w:pPr>
      <w:rPr>
        <w:rFonts w:hint="default"/>
        <w:lang w:val="en-US" w:eastAsia="en-US" w:bidi="ar-SA"/>
      </w:rPr>
    </w:lvl>
    <w:lvl w:ilvl="4">
      <w:start w:val="0"/>
      <w:numFmt w:val="bullet"/>
      <w:lvlText w:val="•"/>
      <w:lvlJc w:val="left"/>
      <w:pPr>
        <w:ind w:left="5860" w:hanging="361"/>
      </w:pPr>
      <w:rPr>
        <w:rFonts w:hint="default"/>
        <w:lang w:val="en-US" w:eastAsia="en-US" w:bidi="ar-SA"/>
      </w:rPr>
    </w:lvl>
    <w:lvl w:ilvl="5">
      <w:start w:val="0"/>
      <w:numFmt w:val="bullet"/>
      <w:lvlText w:val="•"/>
      <w:lvlJc w:val="left"/>
      <w:pPr>
        <w:ind w:left="6830" w:hanging="361"/>
      </w:pPr>
      <w:rPr>
        <w:rFonts w:hint="default"/>
        <w:lang w:val="en-US" w:eastAsia="en-US" w:bidi="ar-SA"/>
      </w:rPr>
    </w:lvl>
    <w:lvl w:ilvl="6">
      <w:start w:val="0"/>
      <w:numFmt w:val="bullet"/>
      <w:lvlText w:val="•"/>
      <w:lvlJc w:val="left"/>
      <w:pPr>
        <w:ind w:left="7800" w:hanging="361"/>
      </w:pPr>
      <w:rPr>
        <w:rFonts w:hint="default"/>
        <w:lang w:val="en-US" w:eastAsia="en-US" w:bidi="ar-SA"/>
      </w:rPr>
    </w:lvl>
    <w:lvl w:ilvl="7">
      <w:start w:val="0"/>
      <w:numFmt w:val="bullet"/>
      <w:lvlText w:val="•"/>
      <w:lvlJc w:val="left"/>
      <w:pPr>
        <w:ind w:left="8770" w:hanging="361"/>
      </w:pPr>
      <w:rPr>
        <w:rFonts w:hint="default"/>
        <w:lang w:val="en-US" w:eastAsia="en-US" w:bidi="ar-SA"/>
      </w:rPr>
    </w:lvl>
    <w:lvl w:ilvl="8">
      <w:start w:val="0"/>
      <w:numFmt w:val="bullet"/>
      <w:lvlText w:val="•"/>
      <w:lvlJc w:val="left"/>
      <w:pPr>
        <w:ind w:left="9740" w:hanging="361"/>
      </w:pPr>
      <w:rPr>
        <w:rFonts w:hint="default"/>
        <w:lang w:val="en-US" w:eastAsia="en-US" w:bidi="ar-SA"/>
      </w:rPr>
    </w:lvl>
  </w:abstractNum>
  <w:abstractNum w:abstractNumId="65">
    <w:multiLevelType w:val="hybridMultilevel"/>
    <w:lvl w:ilvl="0">
      <w:start w:val="0"/>
      <w:numFmt w:val="bullet"/>
      <w:lvlText w:val=""/>
      <w:lvlJc w:val="left"/>
      <w:pPr>
        <w:ind w:left="194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914" w:hanging="361"/>
      </w:pPr>
      <w:rPr>
        <w:rFonts w:hint="default"/>
        <w:lang w:val="en-US" w:eastAsia="en-US" w:bidi="ar-SA"/>
      </w:rPr>
    </w:lvl>
    <w:lvl w:ilvl="2">
      <w:start w:val="0"/>
      <w:numFmt w:val="bullet"/>
      <w:lvlText w:val="•"/>
      <w:lvlJc w:val="left"/>
      <w:pPr>
        <w:ind w:left="3888" w:hanging="361"/>
      </w:pPr>
      <w:rPr>
        <w:rFonts w:hint="default"/>
        <w:lang w:val="en-US" w:eastAsia="en-US" w:bidi="ar-SA"/>
      </w:rPr>
    </w:lvl>
    <w:lvl w:ilvl="3">
      <w:start w:val="0"/>
      <w:numFmt w:val="bullet"/>
      <w:lvlText w:val="•"/>
      <w:lvlJc w:val="left"/>
      <w:pPr>
        <w:ind w:left="4862" w:hanging="361"/>
      </w:pPr>
      <w:rPr>
        <w:rFonts w:hint="default"/>
        <w:lang w:val="en-US" w:eastAsia="en-US" w:bidi="ar-SA"/>
      </w:rPr>
    </w:lvl>
    <w:lvl w:ilvl="4">
      <w:start w:val="0"/>
      <w:numFmt w:val="bullet"/>
      <w:lvlText w:val="•"/>
      <w:lvlJc w:val="left"/>
      <w:pPr>
        <w:ind w:left="5836" w:hanging="361"/>
      </w:pPr>
      <w:rPr>
        <w:rFonts w:hint="default"/>
        <w:lang w:val="en-US" w:eastAsia="en-US" w:bidi="ar-SA"/>
      </w:rPr>
    </w:lvl>
    <w:lvl w:ilvl="5">
      <w:start w:val="0"/>
      <w:numFmt w:val="bullet"/>
      <w:lvlText w:val="•"/>
      <w:lvlJc w:val="left"/>
      <w:pPr>
        <w:ind w:left="6810" w:hanging="361"/>
      </w:pPr>
      <w:rPr>
        <w:rFonts w:hint="default"/>
        <w:lang w:val="en-US" w:eastAsia="en-US" w:bidi="ar-SA"/>
      </w:rPr>
    </w:lvl>
    <w:lvl w:ilvl="6">
      <w:start w:val="0"/>
      <w:numFmt w:val="bullet"/>
      <w:lvlText w:val="•"/>
      <w:lvlJc w:val="left"/>
      <w:pPr>
        <w:ind w:left="7784" w:hanging="361"/>
      </w:pPr>
      <w:rPr>
        <w:rFonts w:hint="default"/>
        <w:lang w:val="en-US" w:eastAsia="en-US" w:bidi="ar-SA"/>
      </w:rPr>
    </w:lvl>
    <w:lvl w:ilvl="7">
      <w:start w:val="0"/>
      <w:numFmt w:val="bullet"/>
      <w:lvlText w:val="•"/>
      <w:lvlJc w:val="left"/>
      <w:pPr>
        <w:ind w:left="8758" w:hanging="361"/>
      </w:pPr>
      <w:rPr>
        <w:rFonts w:hint="default"/>
        <w:lang w:val="en-US" w:eastAsia="en-US" w:bidi="ar-SA"/>
      </w:rPr>
    </w:lvl>
    <w:lvl w:ilvl="8">
      <w:start w:val="0"/>
      <w:numFmt w:val="bullet"/>
      <w:lvlText w:val="•"/>
      <w:lvlJc w:val="left"/>
      <w:pPr>
        <w:ind w:left="9732" w:hanging="361"/>
      </w:pPr>
      <w:rPr>
        <w:rFonts w:hint="default"/>
        <w:lang w:val="en-US" w:eastAsia="en-US" w:bidi="ar-SA"/>
      </w:rPr>
    </w:lvl>
  </w:abstractNum>
  <w:abstractNum w:abstractNumId="64">
    <w:multiLevelType w:val="hybridMultilevel"/>
    <w:lvl w:ilvl="0">
      <w:start w:val="3"/>
      <w:numFmt w:val="decimal"/>
      <w:lvlText w:val="%1"/>
      <w:lvlJc w:val="left"/>
      <w:pPr>
        <w:ind w:left="1618" w:hanging="399"/>
        <w:jc w:val="left"/>
      </w:pPr>
      <w:rPr>
        <w:rFonts w:hint="default"/>
        <w:lang w:val="en-US" w:eastAsia="en-US" w:bidi="ar-SA"/>
      </w:rPr>
    </w:lvl>
    <w:lvl w:ilvl="1">
      <w:start w:val="1"/>
      <w:numFmt w:val="decimal"/>
      <w:lvlText w:val="%1.%2"/>
      <w:lvlJc w:val="left"/>
      <w:pPr>
        <w:ind w:left="1618" w:hanging="399"/>
        <w:jc w:val="left"/>
      </w:pPr>
      <w:rPr>
        <w:rFonts w:hint="default" w:ascii="Times New Roman" w:hAnsi="Times New Roman" w:eastAsia="Times New Roman" w:cs="Times New Roman"/>
        <w:b/>
        <w:bCs/>
        <w:i w:val="0"/>
        <w:iCs w:val="0"/>
        <w:color w:val="4471C4"/>
        <w:spacing w:val="0"/>
        <w:w w:val="99"/>
        <w:sz w:val="26"/>
        <w:szCs w:val="26"/>
        <w:lang w:val="en-US" w:eastAsia="en-US" w:bidi="ar-SA"/>
      </w:rPr>
    </w:lvl>
    <w:lvl w:ilvl="2">
      <w:start w:val="1"/>
      <w:numFmt w:val="decimal"/>
      <w:lvlText w:val="%1.%2.%3"/>
      <w:lvlJc w:val="left"/>
      <w:pPr>
        <w:ind w:left="1940" w:hanging="720"/>
        <w:jc w:val="left"/>
      </w:pPr>
      <w:rPr>
        <w:rFonts w:hint="default"/>
        <w:spacing w:val="0"/>
        <w:w w:val="100"/>
        <w:lang w:val="en-US" w:eastAsia="en-US" w:bidi="ar-SA"/>
      </w:rPr>
    </w:lvl>
    <w:lvl w:ilvl="3">
      <w:start w:val="1"/>
      <w:numFmt w:val="decimal"/>
      <w:lvlText w:val="%1.%2.%3.%4"/>
      <w:lvlJc w:val="left"/>
      <w:pPr>
        <w:ind w:left="1940" w:hanging="720"/>
        <w:jc w:val="left"/>
      </w:pPr>
      <w:rPr>
        <w:rFonts w:hint="default" w:ascii="Times New Roman" w:hAnsi="Times New Roman" w:eastAsia="Times New Roman" w:cs="Times New Roman"/>
        <w:b/>
        <w:bCs/>
        <w:i/>
        <w:iCs/>
        <w:color w:val="4471C4"/>
        <w:spacing w:val="0"/>
        <w:w w:val="100"/>
        <w:sz w:val="22"/>
        <w:szCs w:val="22"/>
        <w:lang w:val="en-US" w:eastAsia="en-US" w:bidi="ar-SA"/>
      </w:rPr>
    </w:lvl>
    <w:lvl w:ilvl="4">
      <w:start w:val="0"/>
      <w:numFmt w:val="bullet"/>
      <w:lvlText w:val=""/>
      <w:lvlJc w:val="left"/>
      <w:pPr>
        <w:ind w:left="1939" w:hanging="720"/>
      </w:pPr>
      <w:rPr>
        <w:rFonts w:hint="default" w:ascii="Symbol" w:hAnsi="Symbol" w:eastAsia="Symbol" w:cs="Symbol"/>
        <w:b w:val="0"/>
        <w:bCs w:val="0"/>
        <w:i w:val="0"/>
        <w:iCs w:val="0"/>
        <w:spacing w:val="0"/>
        <w:w w:val="100"/>
        <w:sz w:val="22"/>
        <w:szCs w:val="22"/>
        <w:lang w:val="en-US" w:eastAsia="en-US" w:bidi="ar-SA"/>
      </w:rPr>
    </w:lvl>
    <w:lvl w:ilvl="5">
      <w:start w:val="0"/>
      <w:numFmt w:val="bullet"/>
      <w:lvlText w:val="o"/>
      <w:lvlJc w:val="left"/>
      <w:pPr>
        <w:ind w:left="2660" w:hanging="720"/>
      </w:pPr>
      <w:rPr>
        <w:rFonts w:hint="default" w:ascii="Courier New" w:hAnsi="Courier New" w:eastAsia="Courier New" w:cs="Courier New"/>
        <w:b w:val="0"/>
        <w:bCs w:val="0"/>
        <w:i w:val="0"/>
        <w:iCs w:val="0"/>
        <w:spacing w:val="0"/>
        <w:w w:val="100"/>
        <w:sz w:val="22"/>
        <w:szCs w:val="22"/>
        <w:lang w:val="en-US" w:eastAsia="en-US" w:bidi="ar-SA"/>
      </w:rPr>
    </w:lvl>
    <w:lvl w:ilvl="6">
      <w:start w:val="0"/>
      <w:numFmt w:val="bullet"/>
      <w:lvlText w:val=""/>
      <w:lvlJc w:val="left"/>
      <w:pPr>
        <w:ind w:left="3380" w:hanging="720"/>
      </w:pPr>
      <w:rPr>
        <w:rFonts w:hint="default" w:ascii="Wingdings" w:hAnsi="Wingdings" w:eastAsia="Wingdings" w:cs="Wingdings"/>
        <w:b w:val="0"/>
        <w:bCs w:val="0"/>
        <w:i w:val="0"/>
        <w:iCs w:val="0"/>
        <w:spacing w:val="0"/>
        <w:w w:val="100"/>
        <w:sz w:val="22"/>
        <w:szCs w:val="22"/>
        <w:lang w:val="en-US" w:eastAsia="en-US" w:bidi="ar-SA"/>
      </w:rPr>
    </w:lvl>
    <w:lvl w:ilvl="7">
      <w:start w:val="0"/>
      <w:numFmt w:val="bullet"/>
      <w:lvlText w:val=""/>
      <w:lvlJc w:val="left"/>
      <w:pPr>
        <w:ind w:left="4101" w:hanging="720"/>
      </w:pPr>
      <w:rPr>
        <w:rFonts w:hint="default" w:ascii="Symbol" w:hAnsi="Symbol" w:eastAsia="Symbol" w:cs="Symbol"/>
        <w:b w:val="0"/>
        <w:bCs w:val="0"/>
        <w:i w:val="0"/>
        <w:iCs w:val="0"/>
        <w:spacing w:val="0"/>
        <w:w w:val="100"/>
        <w:sz w:val="22"/>
        <w:szCs w:val="22"/>
        <w:lang w:val="en-US" w:eastAsia="en-US" w:bidi="ar-SA"/>
      </w:rPr>
    </w:lvl>
    <w:lvl w:ilvl="8">
      <w:start w:val="0"/>
      <w:numFmt w:val="bullet"/>
      <w:lvlText w:val="•"/>
      <w:lvlJc w:val="left"/>
      <w:pPr>
        <w:ind w:left="8648" w:hanging="720"/>
      </w:pPr>
      <w:rPr>
        <w:rFonts w:hint="default"/>
        <w:lang w:val="en-US" w:eastAsia="en-US" w:bidi="ar-SA"/>
      </w:rPr>
    </w:lvl>
  </w:abstractNum>
  <w:abstractNum w:abstractNumId="63">
    <w:multiLevelType w:val="hybridMultilevel"/>
    <w:lvl w:ilvl="0">
      <w:start w:val="1"/>
      <w:numFmt w:val="decimal"/>
      <w:lvlText w:val="%1."/>
      <w:lvlJc w:val="left"/>
      <w:pPr>
        <w:ind w:left="1939"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2914" w:hanging="360"/>
      </w:pPr>
      <w:rPr>
        <w:rFonts w:hint="default"/>
        <w:lang w:val="en-US" w:eastAsia="en-US" w:bidi="ar-SA"/>
      </w:rPr>
    </w:lvl>
    <w:lvl w:ilvl="2">
      <w:start w:val="0"/>
      <w:numFmt w:val="bullet"/>
      <w:lvlText w:val="•"/>
      <w:lvlJc w:val="left"/>
      <w:pPr>
        <w:ind w:left="3888" w:hanging="360"/>
      </w:pPr>
      <w:rPr>
        <w:rFonts w:hint="default"/>
        <w:lang w:val="en-US" w:eastAsia="en-US" w:bidi="ar-SA"/>
      </w:rPr>
    </w:lvl>
    <w:lvl w:ilvl="3">
      <w:start w:val="0"/>
      <w:numFmt w:val="bullet"/>
      <w:lvlText w:val="•"/>
      <w:lvlJc w:val="left"/>
      <w:pPr>
        <w:ind w:left="4862" w:hanging="360"/>
      </w:pPr>
      <w:rPr>
        <w:rFonts w:hint="default"/>
        <w:lang w:val="en-US" w:eastAsia="en-US" w:bidi="ar-SA"/>
      </w:rPr>
    </w:lvl>
    <w:lvl w:ilvl="4">
      <w:start w:val="0"/>
      <w:numFmt w:val="bullet"/>
      <w:lvlText w:val="•"/>
      <w:lvlJc w:val="left"/>
      <w:pPr>
        <w:ind w:left="5836" w:hanging="360"/>
      </w:pPr>
      <w:rPr>
        <w:rFonts w:hint="default"/>
        <w:lang w:val="en-US" w:eastAsia="en-US" w:bidi="ar-SA"/>
      </w:rPr>
    </w:lvl>
    <w:lvl w:ilvl="5">
      <w:start w:val="0"/>
      <w:numFmt w:val="bullet"/>
      <w:lvlText w:val="•"/>
      <w:lvlJc w:val="left"/>
      <w:pPr>
        <w:ind w:left="6810" w:hanging="360"/>
      </w:pPr>
      <w:rPr>
        <w:rFonts w:hint="default"/>
        <w:lang w:val="en-US" w:eastAsia="en-US" w:bidi="ar-SA"/>
      </w:rPr>
    </w:lvl>
    <w:lvl w:ilvl="6">
      <w:start w:val="0"/>
      <w:numFmt w:val="bullet"/>
      <w:lvlText w:val="•"/>
      <w:lvlJc w:val="left"/>
      <w:pPr>
        <w:ind w:left="7784" w:hanging="360"/>
      </w:pPr>
      <w:rPr>
        <w:rFonts w:hint="default"/>
        <w:lang w:val="en-US" w:eastAsia="en-US" w:bidi="ar-SA"/>
      </w:rPr>
    </w:lvl>
    <w:lvl w:ilvl="7">
      <w:start w:val="0"/>
      <w:numFmt w:val="bullet"/>
      <w:lvlText w:val="•"/>
      <w:lvlJc w:val="left"/>
      <w:pPr>
        <w:ind w:left="8758" w:hanging="360"/>
      </w:pPr>
      <w:rPr>
        <w:rFonts w:hint="default"/>
        <w:lang w:val="en-US" w:eastAsia="en-US" w:bidi="ar-SA"/>
      </w:rPr>
    </w:lvl>
    <w:lvl w:ilvl="8">
      <w:start w:val="0"/>
      <w:numFmt w:val="bullet"/>
      <w:lvlText w:val="•"/>
      <w:lvlJc w:val="left"/>
      <w:pPr>
        <w:ind w:left="9732" w:hanging="360"/>
      </w:pPr>
      <w:rPr>
        <w:rFonts w:hint="default"/>
        <w:lang w:val="en-US" w:eastAsia="en-US" w:bidi="ar-SA"/>
      </w:rPr>
    </w:lvl>
  </w:abstractNum>
  <w:abstractNum w:abstractNumId="62">
    <w:multiLevelType w:val="hybridMultilevel"/>
    <w:lvl w:ilvl="0">
      <w:start w:val="0"/>
      <w:numFmt w:val="bullet"/>
      <w:lvlText w:val=""/>
      <w:lvlJc w:val="left"/>
      <w:pPr>
        <w:ind w:left="194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914" w:hanging="361"/>
      </w:pPr>
      <w:rPr>
        <w:rFonts w:hint="default"/>
        <w:lang w:val="en-US" w:eastAsia="en-US" w:bidi="ar-SA"/>
      </w:rPr>
    </w:lvl>
    <w:lvl w:ilvl="2">
      <w:start w:val="0"/>
      <w:numFmt w:val="bullet"/>
      <w:lvlText w:val="•"/>
      <w:lvlJc w:val="left"/>
      <w:pPr>
        <w:ind w:left="3888" w:hanging="361"/>
      </w:pPr>
      <w:rPr>
        <w:rFonts w:hint="default"/>
        <w:lang w:val="en-US" w:eastAsia="en-US" w:bidi="ar-SA"/>
      </w:rPr>
    </w:lvl>
    <w:lvl w:ilvl="3">
      <w:start w:val="0"/>
      <w:numFmt w:val="bullet"/>
      <w:lvlText w:val="•"/>
      <w:lvlJc w:val="left"/>
      <w:pPr>
        <w:ind w:left="4862" w:hanging="361"/>
      </w:pPr>
      <w:rPr>
        <w:rFonts w:hint="default"/>
        <w:lang w:val="en-US" w:eastAsia="en-US" w:bidi="ar-SA"/>
      </w:rPr>
    </w:lvl>
    <w:lvl w:ilvl="4">
      <w:start w:val="0"/>
      <w:numFmt w:val="bullet"/>
      <w:lvlText w:val="•"/>
      <w:lvlJc w:val="left"/>
      <w:pPr>
        <w:ind w:left="5836" w:hanging="361"/>
      </w:pPr>
      <w:rPr>
        <w:rFonts w:hint="default"/>
        <w:lang w:val="en-US" w:eastAsia="en-US" w:bidi="ar-SA"/>
      </w:rPr>
    </w:lvl>
    <w:lvl w:ilvl="5">
      <w:start w:val="0"/>
      <w:numFmt w:val="bullet"/>
      <w:lvlText w:val="•"/>
      <w:lvlJc w:val="left"/>
      <w:pPr>
        <w:ind w:left="6810" w:hanging="361"/>
      </w:pPr>
      <w:rPr>
        <w:rFonts w:hint="default"/>
        <w:lang w:val="en-US" w:eastAsia="en-US" w:bidi="ar-SA"/>
      </w:rPr>
    </w:lvl>
    <w:lvl w:ilvl="6">
      <w:start w:val="0"/>
      <w:numFmt w:val="bullet"/>
      <w:lvlText w:val="•"/>
      <w:lvlJc w:val="left"/>
      <w:pPr>
        <w:ind w:left="7784" w:hanging="361"/>
      </w:pPr>
      <w:rPr>
        <w:rFonts w:hint="default"/>
        <w:lang w:val="en-US" w:eastAsia="en-US" w:bidi="ar-SA"/>
      </w:rPr>
    </w:lvl>
    <w:lvl w:ilvl="7">
      <w:start w:val="0"/>
      <w:numFmt w:val="bullet"/>
      <w:lvlText w:val="•"/>
      <w:lvlJc w:val="left"/>
      <w:pPr>
        <w:ind w:left="8758" w:hanging="361"/>
      </w:pPr>
      <w:rPr>
        <w:rFonts w:hint="default"/>
        <w:lang w:val="en-US" w:eastAsia="en-US" w:bidi="ar-SA"/>
      </w:rPr>
    </w:lvl>
    <w:lvl w:ilvl="8">
      <w:start w:val="0"/>
      <w:numFmt w:val="bullet"/>
      <w:lvlText w:val="•"/>
      <w:lvlJc w:val="left"/>
      <w:pPr>
        <w:ind w:left="9732" w:hanging="361"/>
      </w:pPr>
      <w:rPr>
        <w:rFonts w:hint="default"/>
        <w:lang w:val="en-US" w:eastAsia="en-US" w:bidi="ar-SA"/>
      </w:rPr>
    </w:lvl>
  </w:abstractNum>
  <w:abstractNum w:abstractNumId="61">
    <w:multiLevelType w:val="hybridMultilevel"/>
    <w:lvl w:ilvl="0">
      <w:start w:val="1"/>
      <w:numFmt w:val="decimal"/>
      <w:lvlText w:val="%1"/>
      <w:lvlJc w:val="left"/>
      <w:pPr>
        <w:ind w:left="1618" w:hanging="399"/>
        <w:jc w:val="left"/>
      </w:pPr>
      <w:rPr>
        <w:rFonts w:hint="default"/>
        <w:lang w:val="en-US" w:eastAsia="en-US" w:bidi="ar-SA"/>
      </w:rPr>
    </w:lvl>
    <w:lvl w:ilvl="1">
      <w:start w:val="1"/>
      <w:numFmt w:val="decimal"/>
      <w:lvlText w:val="%1.%2"/>
      <w:lvlJc w:val="left"/>
      <w:pPr>
        <w:ind w:left="1618" w:hanging="399"/>
        <w:jc w:val="left"/>
      </w:pPr>
      <w:rPr>
        <w:rFonts w:hint="default" w:ascii="Times New Roman" w:hAnsi="Times New Roman" w:eastAsia="Times New Roman" w:cs="Times New Roman"/>
        <w:b/>
        <w:bCs/>
        <w:i w:val="0"/>
        <w:iCs w:val="0"/>
        <w:color w:val="4471C4"/>
        <w:spacing w:val="0"/>
        <w:w w:val="99"/>
        <w:sz w:val="26"/>
        <w:szCs w:val="26"/>
        <w:lang w:val="en-US" w:eastAsia="en-US" w:bidi="ar-SA"/>
      </w:rPr>
    </w:lvl>
    <w:lvl w:ilvl="2">
      <w:start w:val="1"/>
      <w:numFmt w:val="decimal"/>
      <w:lvlText w:val="%1.%2.%3"/>
      <w:lvlJc w:val="left"/>
      <w:pPr>
        <w:ind w:left="1940" w:hanging="720"/>
        <w:jc w:val="left"/>
      </w:pPr>
      <w:rPr>
        <w:rFonts w:hint="default" w:ascii="Times New Roman" w:hAnsi="Times New Roman" w:eastAsia="Times New Roman" w:cs="Times New Roman"/>
        <w:b/>
        <w:bCs/>
        <w:i w:val="0"/>
        <w:iCs w:val="0"/>
        <w:color w:val="4471C4"/>
        <w:spacing w:val="0"/>
        <w:w w:val="100"/>
        <w:sz w:val="24"/>
        <w:szCs w:val="24"/>
        <w:lang w:val="en-US" w:eastAsia="en-US" w:bidi="ar-SA"/>
      </w:rPr>
    </w:lvl>
    <w:lvl w:ilvl="3">
      <w:start w:val="0"/>
      <w:numFmt w:val="bullet"/>
      <w:lvlText w:val=""/>
      <w:lvlJc w:val="left"/>
      <w:pPr>
        <w:ind w:left="1940" w:hanging="361"/>
      </w:pPr>
      <w:rPr>
        <w:rFonts w:hint="default" w:ascii="Symbol" w:hAnsi="Symbol" w:eastAsia="Symbol" w:cs="Symbol"/>
        <w:b w:val="0"/>
        <w:bCs w:val="0"/>
        <w:i w:val="0"/>
        <w:iCs w:val="0"/>
        <w:spacing w:val="0"/>
        <w:w w:val="100"/>
        <w:sz w:val="22"/>
        <w:szCs w:val="22"/>
        <w:lang w:val="en-US" w:eastAsia="en-US" w:bidi="ar-SA"/>
      </w:rPr>
    </w:lvl>
    <w:lvl w:ilvl="4">
      <w:start w:val="0"/>
      <w:numFmt w:val="bullet"/>
      <w:lvlText w:val="•"/>
      <w:lvlJc w:val="left"/>
      <w:pPr>
        <w:ind w:left="5186" w:hanging="361"/>
      </w:pPr>
      <w:rPr>
        <w:rFonts w:hint="default"/>
        <w:lang w:val="en-US" w:eastAsia="en-US" w:bidi="ar-SA"/>
      </w:rPr>
    </w:lvl>
    <w:lvl w:ilvl="5">
      <w:start w:val="0"/>
      <w:numFmt w:val="bullet"/>
      <w:lvlText w:val="•"/>
      <w:lvlJc w:val="left"/>
      <w:pPr>
        <w:ind w:left="6268" w:hanging="361"/>
      </w:pPr>
      <w:rPr>
        <w:rFonts w:hint="default"/>
        <w:lang w:val="en-US" w:eastAsia="en-US" w:bidi="ar-SA"/>
      </w:rPr>
    </w:lvl>
    <w:lvl w:ilvl="6">
      <w:start w:val="0"/>
      <w:numFmt w:val="bullet"/>
      <w:lvlText w:val="•"/>
      <w:lvlJc w:val="left"/>
      <w:pPr>
        <w:ind w:left="7351" w:hanging="361"/>
      </w:pPr>
      <w:rPr>
        <w:rFonts w:hint="default"/>
        <w:lang w:val="en-US" w:eastAsia="en-US" w:bidi="ar-SA"/>
      </w:rPr>
    </w:lvl>
    <w:lvl w:ilvl="7">
      <w:start w:val="0"/>
      <w:numFmt w:val="bullet"/>
      <w:lvlText w:val="•"/>
      <w:lvlJc w:val="left"/>
      <w:pPr>
        <w:ind w:left="8433" w:hanging="361"/>
      </w:pPr>
      <w:rPr>
        <w:rFonts w:hint="default"/>
        <w:lang w:val="en-US" w:eastAsia="en-US" w:bidi="ar-SA"/>
      </w:rPr>
    </w:lvl>
    <w:lvl w:ilvl="8">
      <w:start w:val="0"/>
      <w:numFmt w:val="bullet"/>
      <w:lvlText w:val="•"/>
      <w:lvlJc w:val="left"/>
      <w:pPr>
        <w:ind w:left="9515" w:hanging="361"/>
      </w:pPr>
      <w:rPr>
        <w:rFonts w:hint="default"/>
        <w:lang w:val="en-US" w:eastAsia="en-US" w:bidi="ar-SA"/>
      </w:rPr>
    </w:lvl>
  </w:abstractNum>
  <w:abstractNum w:abstractNumId="60">
    <w:multiLevelType w:val="hybridMultilevel"/>
    <w:lvl w:ilvl="0">
      <w:start w:val="6"/>
      <w:numFmt w:val="decimal"/>
      <w:lvlText w:val="%1"/>
      <w:lvlJc w:val="left"/>
      <w:pPr>
        <w:ind w:left="1771" w:hanging="332"/>
        <w:jc w:val="left"/>
      </w:pPr>
      <w:rPr>
        <w:rFonts w:hint="default"/>
        <w:lang w:val="en-US" w:eastAsia="en-US" w:bidi="ar-SA"/>
      </w:rPr>
    </w:lvl>
    <w:lvl w:ilvl="1">
      <w:start w:val="1"/>
      <w:numFmt w:val="decimal"/>
      <w:lvlText w:val="%1.%2"/>
      <w:lvlJc w:val="left"/>
      <w:pPr>
        <w:ind w:left="1771" w:hanging="332"/>
        <w:jc w:val="left"/>
      </w:pPr>
      <w:rPr>
        <w:rFonts w:hint="default"/>
        <w:spacing w:val="0"/>
        <w:w w:val="100"/>
        <w:lang w:val="en-US" w:eastAsia="en-US" w:bidi="ar-SA"/>
      </w:rPr>
    </w:lvl>
    <w:lvl w:ilvl="2">
      <w:start w:val="1"/>
      <w:numFmt w:val="decimal"/>
      <w:lvlText w:val="%1.%2.%3"/>
      <w:lvlJc w:val="left"/>
      <w:pPr>
        <w:ind w:left="2540" w:hanging="88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3">
      <w:start w:val="0"/>
      <w:numFmt w:val="bullet"/>
      <w:lvlText w:val="•"/>
      <w:lvlJc w:val="left"/>
      <w:pPr>
        <w:ind w:left="4571" w:hanging="881"/>
      </w:pPr>
      <w:rPr>
        <w:rFonts w:hint="default"/>
        <w:lang w:val="en-US" w:eastAsia="en-US" w:bidi="ar-SA"/>
      </w:rPr>
    </w:lvl>
    <w:lvl w:ilvl="4">
      <w:start w:val="0"/>
      <w:numFmt w:val="bullet"/>
      <w:lvlText w:val="•"/>
      <w:lvlJc w:val="left"/>
      <w:pPr>
        <w:ind w:left="5586" w:hanging="881"/>
      </w:pPr>
      <w:rPr>
        <w:rFonts w:hint="default"/>
        <w:lang w:val="en-US" w:eastAsia="en-US" w:bidi="ar-SA"/>
      </w:rPr>
    </w:lvl>
    <w:lvl w:ilvl="5">
      <w:start w:val="0"/>
      <w:numFmt w:val="bullet"/>
      <w:lvlText w:val="•"/>
      <w:lvlJc w:val="left"/>
      <w:pPr>
        <w:ind w:left="6602" w:hanging="881"/>
      </w:pPr>
      <w:rPr>
        <w:rFonts w:hint="default"/>
        <w:lang w:val="en-US" w:eastAsia="en-US" w:bidi="ar-SA"/>
      </w:rPr>
    </w:lvl>
    <w:lvl w:ilvl="6">
      <w:start w:val="0"/>
      <w:numFmt w:val="bullet"/>
      <w:lvlText w:val="•"/>
      <w:lvlJc w:val="left"/>
      <w:pPr>
        <w:ind w:left="7617" w:hanging="881"/>
      </w:pPr>
      <w:rPr>
        <w:rFonts w:hint="default"/>
        <w:lang w:val="en-US" w:eastAsia="en-US" w:bidi="ar-SA"/>
      </w:rPr>
    </w:lvl>
    <w:lvl w:ilvl="7">
      <w:start w:val="0"/>
      <w:numFmt w:val="bullet"/>
      <w:lvlText w:val="•"/>
      <w:lvlJc w:val="left"/>
      <w:pPr>
        <w:ind w:left="8633" w:hanging="881"/>
      </w:pPr>
      <w:rPr>
        <w:rFonts w:hint="default"/>
        <w:lang w:val="en-US" w:eastAsia="en-US" w:bidi="ar-SA"/>
      </w:rPr>
    </w:lvl>
    <w:lvl w:ilvl="8">
      <w:start w:val="0"/>
      <w:numFmt w:val="bullet"/>
      <w:lvlText w:val="•"/>
      <w:lvlJc w:val="left"/>
      <w:pPr>
        <w:ind w:left="9648" w:hanging="881"/>
      </w:pPr>
      <w:rPr>
        <w:rFonts w:hint="default"/>
        <w:lang w:val="en-US" w:eastAsia="en-US" w:bidi="ar-SA"/>
      </w:rPr>
    </w:lvl>
  </w:abstractNum>
  <w:abstractNum w:abstractNumId="59">
    <w:multiLevelType w:val="hybridMultilevel"/>
    <w:lvl w:ilvl="0">
      <w:start w:val="5"/>
      <w:numFmt w:val="decimal"/>
      <w:lvlText w:val="%1"/>
      <w:lvlJc w:val="left"/>
      <w:pPr>
        <w:ind w:left="1772" w:hanging="332"/>
        <w:jc w:val="left"/>
      </w:pPr>
      <w:rPr>
        <w:rFonts w:hint="default"/>
        <w:lang w:val="en-US" w:eastAsia="en-US" w:bidi="ar-SA"/>
      </w:rPr>
    </w:lvl>
    <w:lvl w:ilvl="1">
      <w:start w:val="1"/>
      <w:numFmt w:val="decimal"/>
      <w:lvlText w:val="%1.%2"/>
      <w:lvlJc w:val="left"/>
      <w:pPr>
        <w:ind w:left="1772" w:hanging="332"/>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1"/>
      <w:numFmt w:val="decimal"/>
      <w:lvlText w:val="%1.%2.%3"/>
      <w:lvlJc w:val="left"/>
      <w:pPr>
        <w:ind w:left="2540" w:hanging="88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3">
      <w:start w:val="0"/>
      <w:numFmt w:val="bullet"/>
      <w:lvlText w:val="•"/>
      <w:lvlJc w:val="left"/>
      <w:pPr>
        <w:ind w:left="4571" w:hanging="881"/>
      </w:pPr>
      <w:rPr>
        <w:rFonts w:hint="default"/>
        <w:lang w:val="en-US" w:eastAsia="en-US" w:bidi="ar-SA"/>
      </w:rPr>
    </w:lvl>
    <w:lvl w:ilvl="4">
      <w:start w:val="0"/>
      <w:numFmt w:val="bullet"/>
      <w:lvlText w:val="•"/>
      <w:lvlJc w:val="left"/>
      <w:pPr>
        <w:ind w:left="5586" w:hanging="881"/>
      </w:pPr>
      <w:rPr>
        <w:rFonts w:hint="default"/>
        <w:lang w:val="en-US" w:eastAsia="en-US" w:bidi="ar-SA"/>
      </w:rPr>
    </w:lvl>
    <w:lvl w:ilvl="5">
      <w:start w:val="0"/>
      <w:numFmt w:val="bullet"/>
      <w:lvlText w:val="•"/>
      <w:lvlJc w:val="left"/>
      <w:pPr>
        <w:ind w:left="6602" w:hanging="881"/>
      </w:pPr>
      <w:rPr>
        <w:rFonts w:hint="default"/>
        <w:lang w:val="en-US" w:eastAsia="en-US" w:bidi="ar-SA"/>
      </w:rPr>
    </w:lvl>
    <w:lvl w:ilvl="6">
      <w:start w:val="0"/>
      <w:numFmt w:val="bullet"/>
      <w:lvlText w:val="•"/>
      <w:lvlJc w:val="left"/>
      <w:pPr>
        <w:ind w:left="7617" w:hanging="881"/>
      </w:pPr>
      <w:rPr>
        <w:rFonts w:hint="default"/>
        <w:lang w:val="en-US" w:eastAsia="en-US" w:bidi="ar-SA"/>
      </w:rPr>
    </w:lvl>
    <w:lvl w:ilvl="7">
      <w:start w:val="0"/>
      <w:numFmt w:val="bullet"/>
      <w:lvlText w:val="•"/>
      <w:lvlJc w:val="left"/>
      <w:pPr>
        <w:ind w:left="8633" w:hanging="881"/>
      </w:pPr>
      <w:rPr>
        <w:rFonts w:hint="default"/>
        <w:lang w:val="en-US" w:eastAsia="en-US" w:bidi="ar-SA"/>
      </w:rPr>
    </w:lvl>
    <w:lvl w:ilvl="8">
      <w:start w:val="0"/>
      <w:numFmt w:val="bullet"/>
      <w:lvlText w:val="•"/>
      <w:lvlJc w:val="left"/>
      <w:pPr>
        <w:ind w:left="9648" w:hanging="881"/>
      </w:pPr>
      <w:rPr>
        <w:rFonts w:hint="default"/>
        <w:lang w:val="en-US" w:eastAsia="en-US" w:bidi="ar-SA"/>
      </w:rPr>
    </w:lvl>
  </w:abstractNum>
  <w:abstractNum w:abstractNumId="58">
    <w:multiLevelType w:val="hybridMultilevel"/>
    <w:lvl w:ilvl="0">
      <w:start w:val="4"/>
      <w:numFmt w:val="decimal"/>
      <w:lvlText w:val="%1"/>
      <w:lvlJc w:val="left"/>
      <w:pPr>
        <w:ind w:left="1772" w:hanging="332"/>
        <w:jc w:val="left"/>
      </w:pPr>
      <w:rPr>
        <w:rFonts w:hint="default"/>
        <w:lang w:val="en-US" w:eastAsia="en-US" w:bidi="ar-SA"/>
      </w:rPr>
    </w:lvl>
    <w:lvl w:ilvl="1">
      <w:start w:val="1"/>
      <w:numFmt w:val="decimal"/>
      <w:lvlText w:val="%1.%2"/>
      <w:lvlJc w:val="left"/>
      <w:pPr>
        <w:ind w:left="1772" w:hanging="332"/>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1"/>
      <w:numFmt w:val="decimal"/>
      <w:lvlText w:val="%1.%2.%3"/>
      <w:lvlJc w:val="left"/>
      <w:pPr>
        <w:ind w:left="2540" w:hanging="88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3">
      <w:start w:val="0"/>
      <w:numFmt w:val="bullet"/>
      <w:lvlText w:val="•"/>
      <w:lvlJc w:val="left"/>
      <w:pPr>
        <w:ind w:left="4571" w:hanging="881"/>
      </w:pPr>
      <w:rPr>
        <w:rFonts w:hint="default"/>
        <w:lang w:val="en-US" w:eastAsia="en-US" w:bidi="ar-SA"/>
      </w:rPr>
    </w:lvl>
    <w:lvl w:ilvl="4">
      <w:start w:val="0"/>
      <w:numFmt w:val="bullet"/>
      <w:lvlText w:val="•"/>
      <w:lvlJc w:val="left"/>
      <w:pPr>
        <w:ind w:left="5586" w:hanging="881"/>
      </w:pPr>
      <w:rPr>
        <w:rFonts w:hint="default"/>
        <w:lang w:val="en-US" w:eastAsia="en-US" w:bidi="ar-SA"/>
      </w:rPr>
    </w:lvl>
    <w:lvl w:ilvl="5">
      <w:start w:val="0"/>
      <w:numFmt w:val="bullet"/>
      <w:lvlText w:val="•"/>
      <w:lvlJc w:val="left"/>
      <w:pPr>
        <w:ind w:left="6602" w:hanging="881"/>
      </w:pPr>
      <w:rPr>
        <w:rFonts w:hint="default"/>
        <w:lang w:val="en-US" w:eastAsia="en-US" w:bidi="ar-SA"/>
      </w:rPr>
    </w:lvl>
    <w:lvl w:ilvl="6">
      <w:start w:val="0"/>
      <w:numFmt w:val="bullet"/>
      <w:lvlText w:val="•"/>
      <w:lvlJc w:val="left"/>
      <w:pPr>
        <w:ind w:left="7617" w:hanging="881"/>
      </w:pPr>
      <w:rPr>
        <w:rFonts w:hint="default"/>
        <w:lang w:val="en-US" w:eastAsia="en-US" w:bidi="ar-SA"/>
      </w:rPr>
    </w:lvl>
    <w:lvl w:ilvl="7">
      <w:start w:val="0"/>
      <w:numFmt w:val="bullet"/>
      <w:lvlText w:val="•"/>
      <w:lvlJc w:val="left"/>
      <w:pPr>
        <w:ind w:left="8633" w:hanging="881"/>
      </w:pPr>
      <w:rPr>
        <w:rFonts w:hint="default"/>
        <w:lang w:val="en-US" w:eastAsia="en-US" w:bidi="ar-SA"/>
      </w:rPr>
    </w:lvl>
    <w:lvl w:ilvl="8">
      <w:start w:val="0"/>
      <w:numFmt w:val="bullet"/>
      <w:lvlText w:val="•"/>
      <w:lvlJc w:val="left"/>
      <w:pPr>
        <w:ind w:left="9648" w:hanging="881"/>
      </w:pPr>
      <w:rPr>
        <w:rFonts w:hint="default"/>
        <w:lang w:val="en-US" w:eastAsia="en-US" w:bidi="ar-SA"/>
      </w:rPr>
    </w:lvl>
  </w:abstractNum>
  <w:abstractNum w:abstractNumId="57">
    <w:multiLevelType w:val="hybridMultilevel"/>
    <w:lvl w:ilvl="0">
      <w:start w:val="3"/>
      <w:numFmt w:val="decimal"/>
      <w:lvlText w:val="%1"/>
      <w:lvlJc w:val="left"/>
      <w:pPr>
        <w:ind w:left="1772" w:hanging="332"/>
        <w:jc w:val="left"/>
      </w:pPr>
      <w:rPr>
        <w:rFonts w:hint="default"/>
        <w:lang w:val="en-US" w:eastAsia="en-US" w:bidi="ar-SA"/>
      </w:rPr>
    </w:lvl>
    <w:lvl w:ilvl="1">
      <w:start w:val="1"/>
      <w:numFmt w:val="decimal"/>
      <w:lvlText w:val="%1.%2"/>
      <w:lvlJc w:val="left"/>
      <w:pPr>
        <w:ind w:left="1772" w:hanging="332"/>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1"/>
      <w:numFmt w:val="decimal"/>
      <w:lvlText w:val="%1.%2.%3"/>
      <w:lvlJc w:val="left"/>
      <w:pPr>
        <w:ind w:left="2540" w:hanging="88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3">
      <w:start w:val="0"/>
      <w:numFmt w:val="bullet"/>
      <w:lvlText w:val="•"/>
      <w:lvlJc w:val="left"/>
      <w:pPr>
        <w:ind w:left="4571" w:hanging="881"/>
      </w:pPr>
      <w:rPr>
        <w:rFonts w:hint="default"/>
        <w:lang w:val="en-US" w:eastAsia="en-US" w:bidi="ar-SA"/>
      </w:rPr>
    </w:lvl>
    <w:lvl w:ilvl="4">
      <w:start w:val="0"/>
      <w:numFmt w:val="bullet"/>
      <w:lvlText w:val="•"/>
      <w:lvlJc w:val="left"/>
      <w:pPr>
        <w:ind w:left="5586" w:hanging="881"/>
      </w:pPr>
      <w:rPr>
        <w:rFonts w:hint="default"/>
        <w:lang w:val="en-US" w:eastAsia="en-US" w:bidi="ar-SA"/>
      </w:rPr>
    </w:lvl>
    <w:lvl w:ilvl="5">
      <w:start w:val="0"/>
      <w:numFmt w:val="bullet"/>
      <w:lvlText w:val="•"/>
      <w:lvlJc w:val="left"/>
      <w:pPr>
        <w:ind w:left="6602" w:hanging="881"/>
      </w:pPr>
      <w:rPr>
        <w:rFonts w:hint="default"/>
        <w:lang w:val="en-US" w:eastAsia="en-US" w:bidi="ar-SA"/>
      </w:rPr>
    </w:lvl>
    <w:lvl w:ilvl="6">
      <w:start w:val="0"/>
      <w:numFmt w:val="bullet"/>
      <w:lvlText w:val="•"/>
      <w:lvlJc w:val="left"/>
      <w:pPr>
        <w:ind w:left="7617" w:hanging="881"/>
      </w:pPr>
      <w:rPr>
        <w:rFonts w:hint="default"/>
        <w:lang w:val="en-US" w:eastAsia="en-US" w:bidi="ar-SA"/>
      </w:rPr>
    </w:lvl>
    <w:lvl w:ilvl="7">
      <w:start w:val="0"/>
      <w:numFmt w:val="bullet"/>
      <w:lvlText w:val="•"/>
      <w:lvlJc w:val="left"/>
      <w:pPr>
        <w:ind w:left="8633" w:hanging="881"/>
      </w:pPr>
      <w:rPr>
        <w:rFonts w:hint="default"/>
        <w:lang w:val="en-US" w:eastAsia="en-US" w:bidi="ar-SA"/>
      </w:rPr>
    </w:lvl>
    <w:lvl w:ilvl="8">
      <w:start w:val="0"/>
      <w:numFmt w:val="bullet"/>
      <w:lvlText w:val="•"/>
      <w:lvlJc w:val="left"/>
      <w:pPr>
        <w:ind w:left="9648" w:hanging="881"/>
      </w:pPr>
      <w:rPr>
        <w:rFonts w:hint="default"/>
        <w:lang w:val="en-US" w:eastAsia="en-US" w:bidi="ar-SA"/>
      </w:rPr>
    </w:lvl>
  </w:abstractNum>
  <w:abstractNum w:abstractNumId="56">
    <w:multiLevelType w:val="hybridMultilevel"/>
    <w:lvl w:ilvl="0">
      <w:start w:val="1"/>
      <w:numFmt w:val="decimal"/>
      <w:lvlText w:val="%1"/>
      <w:lvlJc w:val="left"/>
      <w:pPr>
        <w:ind w:left="1772" w:hanging="332"/>
        <w:jc w:val="left"/>
      </w:pPr>
      <w:rPr>
        <w:rFonts w:hint="default"/>
        <w:lang w:val="en-US" w:eastAsia="en-US" w:bidi="ar-SA"/>
      </w:rPr>
    </w:lvl>
    <w:lvl w:ilvl="1">
      <w:start w:val="1"/>
      <w:numFmt w:val="decimal"/>
      <w:lvlText w:val="%1.%2"/>
      <w:lvlJc w:val="left"/>
      <w:pPr>
        <w:ind w:left="1772" w:hanging="332"/>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1"/>
      <w:numFmt w:val="decimal"/>
      <w:lvlText w:val="%1.%2.%3"/>
      <w:lvlJc w:val="left"/>
      <w:pPr>
        <w:ind w:left="2540" w:hanging="88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3">
      <w:start w:val="0"/>
      <w:numFmt w:val="bullet"/>
      <w:lvlText w:val="•"/>
      <w:lvlJc w:val="left"/>
      <w:pPr>
        <w:ind w:left="4571" w:hanging="881"/>
      </w:pPr>
      <w:rPr>
        <w:rFonts w:hint="default"/>
        <w:lang w:val="en-US" w:eastAsia="en-US" w:bidi="ar-SA"/>
      </w:rPr>
    </w:lvl>
    <w:lvl w:ilvl="4">
      <w:start w:val="0"/>
      <w:numFmt w:val="bullet"/>
      <w:lvlText w:val="•"/>
      <w:lvlJc w:val="left"/>
      <w:pPr>
        <w:ind w:left="5586" w:hanging="881"/>
      </w:pPr>
      <w:rPr>
        <w:rFonts w:hint="default"/>
        <w:lang w:val="en-US" w:eastAsia="en-US" w:bidi="ar-SA"/>
      </w:rPr>
    </w:lvl>
    <w:lvl w:ilvl="5">
      <w:start w:val="0"/>
      <w:numFmt w:val="bullet"/>
      <w:lvlText w:val="•"/>
      <w:lvlJc w:val="left"/>
      <w:pPr>
        <w:ind w:left="6602" w:hanging="881"/>
      </w:pPr>
      <w:rPr>
        <w:rFonts w:hint="default"/>
        <w:lang w:val="en-US" w:eastAsia="en-US" w:bidi="ar-SA"/>
      </w:rPr>
    </w:lvl>
    <w:lvl w:ilvl="6">
      <w:start w:val="0"/>
      <w:numFmt w:val="bullet"/>
      <w:lvlText w:val="•"/>
      <w:lvlJc w:val="left"/>
      <w:pPr>
        <w:ind w:left="7617" w:hanging="881"/>
      </w:pPr>
      <w:rPr>
        <w:rFonts w:hint="default"/>
        <w:lang w:val="en-US" w:eastAsia="en-US" w:bidi="ar-SA"/>
      </w:rPr>
    </w:lvl>
    <w:lvl w:ilvl="7">
      <w:start w:val="0"/>
      <w:numFmt w:val="bullet"/>
      <w:lvlText w:val="•"/>
      <w:lvlJc w:val="left"/>
      <w:pPr>
        <w:ind w:left="8633" w:hanging="881"/>
      </w:pPr>
      <w:rPr>
        <w:rFonts w:hint="default"/>
        <w:lang w:val="en-US" w:eastAsia="en-US" w:bidi="ar-SA"/>
      </w:rPr>
    </w:lvl>
    <w:lvl w:ilvl="8">
      <w:start w:val="0"/>
      <w:numFmt w:val="bullet"/>
      <w:lvlText w:val="•"/>
      <w:lvlJc w:val="left"/>
      <w:pPr>
        <w:ind w:left="9648" w:hanging="881"/>
      </w:pPr>
      <w:rPr>
        <w:rFonts w:hint="default"/>
        <w:lang w:val="en-US" w:eastAsia="en-US" w:bidi="ar-SA"/>
      </w:rPr>
    </w:lvl>
  </w:abstractNum>
  <w:abstractNum w:abstractNumId="55">
    <w:multiLevelType w:val="hybridMultilevel"/>
    <w:lvl w:ilvl="0">
      <w:start w:val="1"/>
      <w:numFmt w:val="decimal"/>
      <w:lvlText w:val="%1)"/>
      <w:lvlJc w:val="left"/>
      <w:pPr>
        <w:ind w:left="23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238" w:hanging="360"/>
      </w:pPr>
      <w:rPr>
        <w:rFonts w:hint="default"/>
        <w:lang w:val="en-US" w:eastAsia="en-US" w:bidi="ar-SA"/>
      </w:rPr>
    </w:lvl>
    <w:lvl w:ilvl="2">
      <w:start w:val="0"/>
      <w:numFmt w:val="bullet"/>
      <w:lvlText w:val="•"/>
      <w:lvlJc w:val="left"/>
      <w:pPr>
        <w:ind w:left="4176" w:hanging="360"/>
      </w:pPr>
      <w:rPr>
        <w:rFonts w:hint="default"/>
        <w:lang w:val="en-US" w:eastAsia="en-US" w:bidi="ar-SA"/>
      </w:rPr>
    </w:lvl>
    <w:lvl w:ilvl="3">
      <w:start w:val="0"/>
      <w:numFmt w:val="bullet"/>
      <w:lvlText w:val="•"/>
      <w:lvlJc w:val="left"/>
      <w:pPr>
        <w:ind w:left="5114" w:hanging="360"/>
      </w:pPr>
      <w:rPr>
        <w:rFonts w:hint="default"/>
        <w:lang w:val="en-US" w:eastAsia="en-US" w:bidi="ar-SA"/>
      </w:rPr>
    </w:lvl>
    <w:lvl w:ilvl="4">
      <w:start w:val="0"/>
      <w:numFmt w:val="bullet"/>
      <w:lvlText w:val="•"/>
      <w:lvlJc w:val="left"/>
      <w:pPr>
        <w:ind w:left="6052" w:hanging="360"/>
      </w:pPr>
      <w:rPr>
        <w:rFonts w:hint="default"/>
        <w:lang w:val="en-US" w:eastAsia="en-US" w:bidi="ar-SA"/>
      </w:rPr>
    </w:lvl>
    <w:lvl w:ilvl="5">
      <w:start w:val="0"/>
      <w:numFmt w:val="bullet"/>
      <w:lvlText w:val="•"/>
      <w:lvlJc w:val="left"/>
      <w:pPr>
        <w:ind w:left="6990" w:hanging="360"/>
      </w:pPr>
      <w:rPr>
        <w:rFonts w:hint="default"/>
        <w:lang w:val="en-US" w:eastAsia="en-US" w:bidi="ar-SA"/>
      </w:rPr>
    </w:lvl>
    <w:lvl w:ilvl="6">
      <w:start w:val="0"/>
      <w:numFmt w:val="bullet"/>
      <w:lvlText w:val="•"/>
      <w:lvlJc w:val="left"/>
      <w:pPr>
        <w:ind w:left="7928" w:hanging="360"/>
      </w:pPr>
      <w:rPr>
        <w:rFonts w:hint="default"/>
        <w:lang w:val="en-US" w:eastAsia="en-US" w:bidi="ar-SA"/>
      </w:rPr>
    </w:lvl>
    <w:lvl w:ilvl="7">
      <w:start w:val="0"/>
      <w:numFmt w:val="bullet"/>
      <w:lvlText w:val="•"/>
      <w:lvlJc w:val="left"/>
      <w:pPr>
        <w:ind w:left="8866" w:hanging="360"/>
      </w:pPr>
      <w:rPr>
        <w:rFonts w:hint="default"/>
        <w:lang w:val="en-US" w:eastAsia="en-US" w:bidi="ar-SA"/>
      </w:rPr>
    </w:lvl>
    <w:lvl w:ilvl="8">
      <w:start w:val="0"/>
      <w:numFmt w:val="bullet"/>
      <w:lvlText w:val="•"/>
      <w:lvlJc w:val="left"/>
      <w:pPr>
        <w:ind w:left="9804" w:hanging="360"/>
      </w:pPr>
      <w:rPr>
        <w:rFonts w:hint="default"/>
        <w:lang w:val="en-US" w:eastAsia="en-US" w:bidi="ar-SA"/>
      </w:rPr>
    </w:lvl>
  </w:abstractNum>
  <w:abstractNum w:abstractNumId="54">
    <w:multiLevelType w:val="hybridMultilevel"/>
    <w:lvl w:ilvl="0">
      <w:start w:val="1"/>
      <w:numFmt w:val="upperLetter"/>
      <w:lvlText w:val="%1."/>
      <w:lvlJc w:val="left"/>
      <w:pPr>
        <w:ind w:left="1940" w:hanging="360"/>
        <w:jc w:val="left"/>
      </w:pPr>
      <w:rPr>
        <w:rFonts w:hint="default" w:ascii="Times New Roman" w:hAnsi="Times New Roman" w:eastAsia="Times New Roman" w:cs="Times New Roman"/>
        <w:b/>
        <w:bCs/>
        <w:i w:val="0"/>
        <w:iCs w:val="0"/>
        <w:spacing w:val="-1"/>
        <w:w w:val="100"/>
        <w:sz w:val="24"/>
        <w:szCs w:val="24"/>
        <w:lang w:val="en-US" w:eastAsia="en-US" w:bidi="ar-SA"/>
      </w:rPr>
    </w:lvl>
    <w:lvl w:ilvl="1">
      <w:start w:val="1"/>
      <w:numFmt w:val="decimal"/>
      <w:lvlText w:val="%2."/>
      <w:lvlJc w:val="left"/>
      <w:pPr>
        <w:ind w:left="221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lowerLetter"/>
      <w:lvlText w:val="%3."/>
      <w:lvlJc w:val="left"/>
      <w:pPr>
        <w:ind w:left="293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3">
      <w:start w:val="0"/>
      <w:numFmt w:val="bullet"/>
      <w:lvlText w:val="•"/>
      <w:lvlJc w:val="left"/>
      <w:pPr>
        <w:ind w:left="2940" w:hanging="360"/>
      </w:pPr>
      <w:rPr>
        <w:rFonts w:hint="default"/>
        <w:lang w:val="en-US" w:eastAsia="en-US" w:bidi="ar-SA"/>
      </w:rPr>
    </w:lvl>
    <w:lvl w:ilvl="4">
      <w:start w:val="0"/>
      <w:numFmt w:val="bullet"/>
      <w:lvlText w:val="•"/>
      <w:lvlJc w:val="left"/>
      <w:pPr>
        <w:ind w:left="4188" w:hanging="360"/>
      </w:pPr>
      <w:rPr>
        <w:rFonts w:hint="default"/>
        <w:lang w:val="en-US" w:eastAsia="en-US" w:bidi="ar-SA"/>
      </w:rPr>
    </w:lvl>
    <w:lvl w:ilvl="5">
      <w:start w:val="0"/>
      <w:numFmt w:val="bullet"/>
      <w:lvlText w:val="•"/>
      <w:lvlJc w:val="left"/>
      <w:pPr>
        <w:ind w:left="5437" w:hanging="360"/>
      </w:pPr>
      <w:rPr>
        <w:rFonts w:hint="default"/>
        <w:lang w:val="en-US" w:eastAsia="en-US" w:bidi="ar-SA"/>
      </w:rPr>
    </w:lvl>
    <w:lvl w:ilvl="6">
      <w:start w:val="0"/>
      <w:numFmt w:val="bullet"/>
      <w:lvlText w:val="•"/>
      <w:lvlJc w:val="left"/>
      <w:pPr>
        <w:ind w:left="6685" w:hanging="360"/>
      </w:pPr>
      <w:rPr>
        <w:rFonts w:hint="default"/>
        <w:lang w:val="en-US" w:eastAsia="en-US" w:bidi="ar-SA"/>
      </w:rPr>
    </w:lvl>
    <w:lvl w:ilvl="7">
      <w:start w:val="0"/>
      <w:numFmt w:val="bullet"/>
      <w:lvlText w:val="•"/>
      <w:lvlJc w:val="left"/>
      <w:pPr>
        <w:ind w:left="7934" w:hanging="360"/>
      </w:pPr>
      <w:rPr>
        <w:rFonts w:hint="default"/>
        <w:lang w:val="en-US" w:eastAsia="en-US" w:bidi="ar-SA"/>
      </w:rPr>
    </w:lvl>
    <w:lvl w:ilvl="8">
      <w:start w:val="0"/>
      <w:numFmt w:val="bullet"/>
      <w:lvlText w:val="•"/>
      <w:lvlJc w:val="left"/>
      <w:pPr>
        <w:ind w:left="9182" w:hanging="360"/>
      </w:pPr>
      <w:rPr>
        <w:rFonts w:hint="default"/>
        <w:lang w:val="en-US" w:eastAsia="en-US" w:bidi="ar-SA"/>
      </w:rPr>
    </w:lvl>
  </w:abstractNum>
  <w:abstractNum w:abstractNumId="53">
    <w:multiLevelType w:val="hybridMultilevel"/>
    <w:lvl w:ilvl="0">
      <w:start w:val="1"/>
      <w:numFmt w:val="upperLetter"/>
      <w:lvlText w:val="%1."/>
      <w:lvlJc w:val="left"/>
      <w:pPr>
        <w:ind w:left="194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14" w:hanging="360"/>
      </w:pPr>
      <w:rPr>
        <w:rFonts w:hint="default"/>
        <w:lang w:val="en-US" w:eastAsia="en-US" w:bidi="ar-SA"/>
      </w:rPr>
    </w:lvl>
    <w:lvl w:ilvl="2">
      <w:start w:val="0"/>
      <w:numFmt w:val="bullet"/>
      <w:lvlText w:val="•"/>
      <w:lvlJc w:val="left"/>
      <w:pPr>
        <w:ind w:left="3888" w:hanging="360"/>
      </w:pPr>
      <w:rPr>
        <w:rFonts w:hint="default"/>
        <w:lang w:val="en-US" w:eastAsia="en-US" w:bidi="ar-SA"/>
      </w:rPr>
    </w:lvl>
    <w:lvl w:ilvl="3">
      <w:start w:val="0"/>
      <w:numFmt w:val="bullet"/>
      <w:lvlText w:val="•"/>
      <w:lvlJc w:val="left"/>
      <w:pPr>
        <w:ind w:left="4862" w:hanging="360"/>
      </w:pPr>
      <w:rPr>
        <w:rFonts w:hint="default"/>
        <w:lang w:val="en-US" w:eastAsia="en-US" w:bidi="ar-SA"/>
      </w:rPr>
    </w:lvl>
    <w:lvl w:ilvl="4">
      <w:start w:val="0"/>
      <w:numFmt w:val="bullet"/>
      <w:lvlText w:val="•"/>
      <w:lvlJc w:val="left"/>
      <w:pPr>
        <w:ind w:left="5836" w:hanging="360"/>
      </w:pPr>
      <w:rPr>
        <w:rFonts w:hint="default"/>
        <w:lang w:val="en-US" w:eastAsia="en-US" w:bidi="ar-SA"/>
      </w:rPr>
    </w:lvl>
    <w:lvl w:ilvl="5">
      <w:start w:val="0"/>
      <w:numFmt w:val="bullet"/>
      <w:lvlText w:val="•"/>
      <w:lvlJc w:val="left"/>
      <w:pPr>
        <w:ind w:left="6810" w:hanging="360"/>
      </w:pPr>
      <w:rPr>
        <w:rFonts w:hint="default"/>
        <w:lang w:val="en-US" w:eastAsia="en-US" w:bidi="ar-SA"/>
      </w:rPr>
    </w:lvl>
    <w:lvl w:ilvl="6">
      <w:start w:val="0"/>
      <w:numFmt w:val="bullet"/>
      <w:lvlText w:val="•"/>
      <w:lvlJc w:val="left"/>
      <w:pPr>
        <w:ind w:left="7784" w:hanging="360"/>
      </w:pPr>
      <w:rPr>
        <w:rFonts w:hint="default"/>
        <w:lang w:val="en-US" w:eastAsia="en-US" w:bidi="ar-SA"/>
      </w:rPr>
    </w:lvl>
    <w:lvl w:ilvl="7">
      <w:start w:val="0"/>
      <w:numFmt w:val="bullet"/>
      <w:lvlText w:val="•"/>
      <w:lvlJc w:val="left"/>
      <w:pPr>
        <w:ind w:left="8758" w:hanging="360"/>
      </w:pPr>
      <w:rPr>
        <w:rFonts w:hint="default"/>
        <w:lang w:val="en-US" w:eastAsia="en-US" w:bidi="ar-SA"/>
      </w:rPr>
    </w:lvl>
    <w:lvl w:ilvl="8">
      <w:start w:val="0"/>
      <w:numFmt w:val="bullet"/>
      <w:lvlText w:val="•"/>
      <w:lvlJc w:val="left"/>
      <w:pPr>
        <w:ind w:left="9732" w:hanging="360"/>
      </w:pPr>
      <w:rPr>
        <w:rFonts w:hint="default"/>
        <w:lang w:val="en-US" w:eastAsia="en-US" w:bidi="ar-SA"/>
      </w:rPr>
    </w:lvl>
  </w:abstractNum>
  <w:abstractNum w:abstractNumId="52">
    <w:multiLevelType w:val="hybridMultilevel"/>
    <w:lvl w:ilvl="0">
      <w:start w:val="1"/>
      <w:numFmt w:val="decimal"/>
      <w:lvlText w:val="%1)"/>
      <w:lvlJc w:val="left"/>
      <w:pPr>
        <w:ind w:left="194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914" w:hanging="360"/>
      </w:pPr>
      <w:rPr>
        <w:rFonts w:hint="default"/>
        <w:lang w:val="en-US" w:eastAsia="en-US" w:bidi="ar-SA"/>
      </w:rPr>
    </w:lvl>
    <w:lvl w:ilvl="2">
      <w:start w:val="0"/>
      <w:numFmt w:val="bullet"/>
      <w:lvlText w:val="•"/>
      <w:lvlJc w:val="left"/>
      <w:pPr>
        <w:ind w:left="3888" w:hanging="360"/>
      </w:pPr>
      <w:rPr>
        <w:rFonts w:hint="default"/>
        <w:lang w:val="en-US" w:eastAsia="en-US" w:bidi="ar-SA"/>
      </w:rPr>
    </w:lvl>
    <w:lvl w:ilvl="3">
      <w:start w:val="0"/>
      <w:numFmt w:val="bullet"/>
      <w:lvlText w:val="•"/>
      <w:lvlJc w:val="left"/>
      <w:pPr>
        <w:ind w:left="4862" w:hanging="360"/>
      </w:pPr>
      <w:rPr>
        <w:rFonts w:hint="default"/>
        <w:lang w:val="en-US" w:eastAsia="en-US" w:bidi="ar-SA"/>
      </w:rPr>
    </w:lvl>
    <w:lvl w:ilvl="4">
      <w:start w:val="0"/>
      <w:numFmt w:val="bullet"/>
      <w:lvlText w:val="•"/>
      <w:lvlJc w:val="left"/>
      <w:pPr>
        <w:ind w:left="5836" w:hanging="360"/>
      </w:pPr>
      <w:rPr>
        <w:rFonts w:hint="default"/>
        <w:lang w:val="en-US" w:eastAsia="en-US" w:bidi="ar-SA"/>
      </w:rPr>
    </w:lvl>
    <w:lvl w:ilvl="5">
      <w:start w:val="0"/>
      <w:numFmt w:val="bullet"/>
      <w:lvlText w:val="•"/>
      <w:lvlJc w:val="left"/>
      <w:pPr>
        <w:ind w:left="6810" w:hanging="360"/>
      </w:pPr>
      <w:rPr>
        <w:rFonts w:hint="default"/>
        <w:lang w:val="en-US" w:eastAsia="en-US" w:bidi="ar-SA"/>
      </w:rPr>
    </w:lvl>
    <w:lvl w:ilvl="6">
      <w:start w:val="0"/>
      <w:numFmt w:val="bullet"/>
      <w:lvlText w:val="•"/>
      <w:lvlJc w:val="left"/>
      <w:pPr>
        <w:ind w:left="7784" w:hanging="360"/>
      </w:pPr>
      <w:rPr>
        <w:rFonts w:hint="default"/>
        <w:lang w:val="en-US" w:eastAsia="en-US" w:bidi="ar-SA"/>
      </w:rPr>
    </w:lvl>
    <w:lvl w:ilvl="7">
      <w:start w:val="0"/>
      <w:numFmt w:val="bullet"/>
      <w:lvlText w:val="•"/>
      <w:lvlJc w:val="left"/>
      <w:pPr>
        <w:ind w:left="8758" w:hanging="360"/>
      </w:pPr>
      <w:rPr>
        <w:rFonts w:hint="default"/>
        <w:lang w:val="en-US" w:eastAsia="en-US" w:bidi="ar-SA"/>
      </w:rPr>
    </w:lvl>
    <w:lvl w:ilvl="8">
      <w:start w:val="0"/>
      <w:numFmt w:val="bullet"/>
      <w:lvlText w:val="•"/>
      <w:lvlJc w:val="left"/>
      <w:pPr>
        <w:ind w:left="9732" w:hanging="360"/>
      </w:pPr>
      <w:rPr>
        <w:rFonts w:hint="default"/>
        <w:lang w:val="en-US" w:eastAsia="en-US" w:bidi="ar-SA"/>
      </w:rPr>
    </w:lvl>
  </w:abstractNum>
  <w:abstractNum w:abstractNumId="51">
    <w:multiLevelType w:val="hybridMultilevel"/>
    <w:lvl w:ilvl="0">
      <w:start w:val="1"/>
      <w:numFmt w:val="decimal"/>
      <w:lvlText w:val="%1."/>
      <w:lvlJc w:val="left"/>
      <w:pPr>
        <w:ind w:left="194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2571" w:hanging="272"/>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3591" w:hanging="272"/>
      </w:pPr>
      <w:rPr>
        <w:rFonts w:hint="default"/>
        <w:lang w:val="en-US" w:eastAsia="en-US" w:bidi="ar-SA"/>
      </w:rPr>
    </w:lvl>
    <w:lvl w:ilvl="3">
      <w:start w:val="0"/>
      <w:numFmt w:val="bullet"/>
      <w:lvlText w:val="•"/>
      <w:lvlJc w:val="left"/>
      <w:pPr>
        <w:ind w:left="4602" w:hanging="272"/>
      </w:pPr>
      <w:rPr>
        <w:rFonts w:hint="default"/>
        <w:lang w:val="en-US" w:eastAsia="en-US" w:bidi="ar-SA"/>
      </w:rPr>
    </w:lvl>
    <w:lvl w:ilvl="4">
      <w:start w:val="0"/>
      <w:numFmt w:val="bullet"/>
      <w:lvlText w:val="•"/>
      <w:lvlJc w:val="left"/>
      <w:pPr>
        <w:ind w:left="5613" w:hanging="272"/>
      </w:pPr>
      <w:rPr>
        <w:rFonts w:hint="default"/>
        <w:lang w:val="en-US" w:eastAsia="en-US" w:bidi="ar-SA"/>
      </w:rPr>
    </w:lvl>
    <w:lvl w:ilvl="5">
      <w:start w:val="0"/>
      <w:numFmt w:val="bullet"/>
      <w:lvlText w:val="•"/>
      <w:lvlJc w:val="left"/>
      <w:pPr>
        <w:ind w:left="6624" w:hanging="272"/>
      </w:pPr>
      <w:rPr>
        <w:rFonts w:hint="default"/>
        <w:lang w:val="en-US" w:eastAsia="en-US" w:bidi="ar-SA"/>
      </w:rPr>
    </w:lvl>
    <w:lvl w:ilvl="6">
      <w:start w:val="0"/>
      <w:numFmt w:val="bullet"/>
      <w:lvlText w:val="•"/>
      <w:lvlJc w:val="left"/>
      <w:pPr>
        <w:ind w:left="7635" w:hanging="272"/>
      </w:pPr>
      <w:rPr>
        <w:rFonts w:hint="default"/>
        <w:lang w:val="en-US" w:eastAsia="en-US" w:bidi="ar-SA"/>
      </w:rPr>
    </w:lvl>
    <w:lvl w:ilvl="7">
      <w:start w:val="0"/>
      <w:numFmt w:val="bullet"/>
      <w:lvlText w:val="•"/>
      <w:lvlJc w:val="left"/>
      <w:pPr>
        <w:ind w:left="8646" w:hanging="272"/>
      </w:pPr>
      <w:rPr>
        <w:rFonts w:hint="default"/>
        <w:lang w:val="en-US" w:eastAsia="en-US" w:bidi="ar-SA"/>
      </w:rPr>
    </w:lvl>
    <w:lvl w:ilvl="8">
      <w:start w:val="0"/>
      <w:numFmt w:val="bullet"/>
      <w:lvlText w:val="•"/>
      <w:lvlJc w:val="left"/>
      <w:pPr>
        <w:ind w:left="9657" w:hanging="272"/>
      </w:pPr>
      <w:rPr>
        <w:rFonts w:hint="default"/>
        <w:lang w:val="en-US" w:eastAsia="en-US" w:bidi="ar-SA"/>
      </w:rPr>
    </w:lvl>
  </w:abstractNum>
  <w:abstractNum w:abstractNumId="50">
    <w:multiLevelType w:val="hybridMultilevel"/>
    <w:lvl w:ilvl="0">
      <w:start w:val="1"/>
      <w:numFmt w:val="decimal"/>
      <w:lvlText w:val="%1."/>
      <w:lvlJc w:val="left"/>
      <w:pPr>
        <w:ind w:left="158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2."/>
      <w:lvlJc w:val="left"/>
      <w:pPr>
        <w:ind w:left="194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lowerLetter"/>
      <w:lvlText w:val="%3."/>
      <w:lvlJc w:val="left"/>
      <w:pPr>
        <w:ind w:left="26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3">
      <w:start w:val="0"/>
      <w:numFmt w:val="bullet"/>
      <w:lvlText w:val="•"/>
      <w:lvlJc w:val="left"/>
      <w:pPr>
        <w:ind w:left="3787" w:hanging="360"/>
      </w:pPr>
      <w:rPr>
        <w:rFonts w:hint="default"/>
        <w:lang w:val="en-US" w:eastAsia="en-US" w:bidi="ar-SA"/>
      </w:rPr>
    </w:lvl>
    <w:lvl w:ilvl="4">
      <w:start w:val="0"/>
      <w:numFmt w:val="bullet"/>
      <w:lvlText w:val="•"/>
      <w:lvlJc w:val="left"/>
      <w:pPr>
        <w:ind w:left="4915" w:hanging="360"/>
      </w:pPr>
      <w:rPr>
        <w:rFonts w:hint="default"/>
        <w:lang w:val="en-US" w:eastAsia="en-US" w:bidi="ar-SA"/>
      </w:rPr>
    </w:lvl>
    <w:lvl w:ilvl="5">
      <w:start w:val="0"/>
      <w:numFmt w:val="bullet"/>
      <w:lvlText w:val="•"/>
      <w:lvlJc w:val="left"/>
      <w:pPr>
        <w:ind w:left="6042" w:hanging="360"/>
      </w:pPr>
      <w:rPr>
        <w:rFonts w:hint="default"/>
        <w:lang w:val="en-US" w:eastAsia="en-US" w:bidi="ar-SA"/>
      </w:rPr>
    </w:lvl>
    <w:lvl w:ilvl="6">
      <w:start w:val="0"/>
      <w:numFmt w:val="bullet"/>
      <w:lvlText w:val="•"/>
      <w:lvlJc w:val="left"/>
      <w:pPr>
        <w:ind w:left="7170" w:hanging="360"/>
      </w:pPr>
      <w:rPr>
        <w:rFonts w:hint="default"/>
        <w:lang w:val="en-US" w:eastAsia="en-US" w:bidi="ar-SA"/>
      </w:rPr>
    </w:lvl>
    <w:lvl w:ilvl="7">
      <w:start w:val="0"/>
      <w:numFmt w:val="bullet"/>
      <w:lvlText w:val="•"/>
      <w:lvlJc w:val="left"/>
      <w:pPr>
        <w:ind w:left="8297" w:hanging="360"/>
      </w:pPr>
      <w:rPr>
        <w:rFonts w:hint="default"/>
        <w:lang w:val="en-US" w:eastAsia="en-US" w:bidi="ar-SA"/>
      </w:rPr>
    </w:lvl>
    <w:lvl w:ilvl="8">
      <w:start w:val="0"/>
      <w:numFmt w:val="bullet"/>
      <w:lvlText w:val="•"/>
      <w:lvlJc w:val="left"/>
      <w:pPr>
        <w:ind w:left="9425" w:hanging="360"/>
      </w:pPr>
      <w:rPr>
        <w:rFonts w:hint="default"/>
        <w:lang w:val="en-US" w:eastAsia="en-US" w:bidi="ar-SA"/>
      </w:rPr>
    </w:lvl>
  </w:abstractNum>
  <w:abstractNum w:abstractNumId="49">
    <w:multiLevelType w:val="hybridMultilevel"/>
    <w:lvl w:ilvl="0">
      <w:start w:val="1"/>
      <w:numFmt w:val="upperLetter"/>
      <w:lvlText w:val="%1."/>
      <w:lvlJc w:val="left"/>
      <w:pPr>
        <w:ind w:left="1580" w:hanging="360"/>
        <w:jc w:val="left"/>
      </w:pPr>
      <w:rPr>
        <w:rFonts w:hint="default" w:ascii="Times New Roman" w:hAnsi="Times New Roman" w:eastAsia="Times New Roman" w:cs="Times New Roman"/>
        <w:b/>
        <w:bCs/>
        <w:i w:val="0"/>
        <w:iCs w:val="0"/>
        <w:spacing w:val="-1"/>
        <w:w w:val="100"/>
        <w:sz w:val="24"/>
        <w:szCs w:val="24"/>
        <w:lang w:val="en-US" w:eastAsia="en-US" w:bidi="ar-SA"/>
      </w:rPr>
    </w:lvl>
    <w:lvl w:ilvl="1">
      <w:start w:val="1"/>
      <w:numFmt w:val="decimal"/>
      <w:lvlText w:val="%2."/>
      <w:lvlJc w:val="left"/>
      <w:pPr>
        <w:ind w:left="1940" w:hanging="360"/>
        <w:jc w:val="left"/>
      </w:pPr>
      <w:rPr>
        <w:rFonts w:hint="default"/>
        <w:spacing w:val="0"/>
        <w:w w:val="100"/>
        <w:lang w:val="en-US" w:eastAsia="en-US" w:bidi="ar-SA"/>
      </w:rPr>
    </w:lvl>
    <w:lvl w:ilvl="2">
      <w:start w:val="0"/>
      <w:numFmt w:val="bullet"/>
      <w:lvlText w:val="•"/>
      <w:lvlJc w:val="left"/>
      <w:pPr>
        <w:ind w:left="3022" w:hanging="360"/>
      </w:pPr>
      <w:rPr>
        <w:rFonts w:hint="default"/>
        <w:lang w:val="en-US" w:eastAsia="en-US" w:bidi="ar-SA"/>
      </w:rPr>
    </w:lvl>
    <w:lvl w:ilvl="3">
      <w:start w:val="0"/>
      <w:numFmt w:val="bullet"/>
      <w:lvlText w:val="•"/>
      <w:lvlJc w:val="left"/>
      <w:pPr>
        <w:ind w:left="4104" w:hanging="360"/>
      </w:pPr>
      <w:rPr>
        <w:rFonts w:hint="default"/>
        <w:lang w:val="en-US" w:eastAsia="en-US" w:bidi="ar-SA"/>
      </w:rPr>
    </w:lvl>
    <w:lvl w:ilvl="4">
      <w:start w:val="0"/>
      <w:numFmt w:val="bullet"/>
      <w:lvlText w:val="•"/>
      <w:lvlJc w:val="left"/>
      <w:pPr>
        <w:ind w:left="5186" w:hanging="360"/>
      </w:pPr>
      <w:rPr>
        <w:rFonts w:hint="default"/>
        <w:lang w:val="en-US" w:eastAsia="en-US" w:bidi="ar-SA"/>
      </w:rPr>
    </w:lvl>
    <w:lvl w:ilvl="5">
      <w:start w:val="0"/>
      <w:numFmt w:val="bullet"/>
      <w:lvlText w:val="•"/>
      <w:lvlJc w:val="left"/>
      <w:pPr>
        <w:ind w:left="6268" w:hanging="360"/>
      </w:pPr>
      <w:rPr>
        <w:rFonts w:hint="default"/>
        <w:lang w:val="en-US" w:eastAsia="en-US" w:bidi="ar-SA"/>
      </w:rPr>
    </w:lvl>
    <w:lvl w:ilvl="6">
      <w:start w:val="0"/>
      <w:numFmt w:val="bullet"/>
      <w:lvlText w:val="•"/>
      <w:lvlJc w:val="left"/>
      <w:pPr>
        <w:ind w:left="7351" w:hanging="360"/>
      </w:pPr>
      <w:rPr>
        <w:rFonts w:hint="default"/>
        <w:lang w:val="en-US" w:eastAsia="en-US" w:bidi="ar-SA"/>
      </w:rPr>
    </w:lvl>
    <w:lvl w:ilvl="7">
      <w:start w:val="0"/>
      <w:numFmt w:val="bullet"/>
      <w:lvlText w:val="•"/>
      <w:lvlJc w:val="left"/>
      <w:pPr>
        <w:ind w:left="8433" w:hanging="360"/>
      </w:pPr>
      <w:rPr>
        <w:rFonts w:hint="default"/>
        <w:lang w:val="en-US" w:eastAsia="en-US" w:bidi="ar-SA"/>
      </w:rPr>
    </w:lvl>
    <w:lvl w:ilvl="8">
      <w:start w:val="0"/>
      <w:numFmt w:val="bullet"/>
      <w:lvlText w:val="•"/>
      <w:lvlJc w:val="left"/>
      <w:pPr>
        <w:ind w:left="9515" w:hanging="360"/>
      </w:pPr>
      <w:rPr>
        <w:rFonts w:hint="default"/>
        <w:lang w:val="en-US" w:eastAsia="en-US" w:bidi="ar-SA"/>
      </w:rPr>
    </w:lvl>
  </w:abstractNum>
  <w:abstractNum w:abstractNumId="48">
    <w:multiLevelType w:val="hybridMultilevel"/>
    <w:lvl w:ilvl="0">
      <w:start w:val="1"/>
      <w:numFmt w:val="upperLetter"/>
      <w:lvlText w:val="%1."/>
      <w:lvlJc w:val="left"/>
      <w:pPr>
        <w:ind w:left="2300" w:hanging="360"/>
        <w:jc w:val="left"/>
      </w:pPr>
      <w:rPr>
        <w:rFonts w:hint="default" w:ascii="Times New Roman" w:hAnsi="Times New Roman" w:eastAsia="Times New Roman" w:cs="Times New Roman"/>
        <w:b/>
        <w:bCs/>
        <w:i w:val="0"/>
        <w:iCs w:val="0"/>
        <w:spacing w:val="-1"/>
        <w:w w:val="100"/>
        <w:sz w:val="24"/>
        <w:szCs w:val="24"/>
        <w:lang w:val="en-US" w:eastAsia="en-US" w:bidi="ar-SA"/>
      </w:rPr>
    </w:lvl>
    <w:lvl w:ilvl="1">
      <w:start w:val="0"/>
      <w:numFmt w:val="bullet"/>
      <w:lvlText w:val="•"/>
      <w:lvlJc w:val="left"/>
      <w:pPr>
        <w:ind w:left="3238" w:hanging="360"/>
      </w:pPr>
      <w:rPr>
        <w:rFonts w:hint="default"/>
        <w:lang w:val="en-US" w:eastAsia="en-US" w:bidi="ar-SA"/>
      </w:rPr>
    </w:lvl>
    <w:lvl w:ilvl="2">
      <w:start w:val="0"/>
      <w:numFmt w:val="bullet"/>
      <w:lvlText w:val="•"/>
      <w:lvlJc w:val="left"/>
      <w:pPr>
        <w:ind w:left="4176" w:hanging="360"/>
      </w:pPr>
      <w:rPr>
        <w:rFonts w:hint="default"/>
        <w:lang w:val="en-US" w:eastAsia="en-US" w:bidi="ar-SA"/>
      </w:rPr>
    </w:lvl>
    <w:lvl w:ilvl="3">
      <w:start w:val="0"/>
      <w:numFmt w:val="bullet"/>
      <w:lvlText w:val="•"/>
      <w:lvlJc w:val="left"/>
      <w:pPr>
        <w:ind w:left="5114" w:hanging="360"/>
      </w:pPr>
      <w:rPr>
        <w:rFonts w:hint="default"/>
        <w:lang w:val="en-US" w:eastAsia="en-US" w:bidi="ar-SA"/>
      </w:rPr>
    </w:lvl>
    <w:lvl w:ilvl="4">
      <w:start w:val="0"/>
      <w:numFmt w:val="bullet"/>
      <w:lvlText w:val="•"/>
      <w:lvlJc w:val="left"/>
      <w:pPr>
        <w:ind w:left="6052" w:hanging="360"/>
      </w:pPr>
      <w:rPr>
        <w:rFonts w:hint="default"/>
        <w:lang w:val="en-US" w:eastAsia="en-US" w:bidi="ar-SA"/>
      </w:rPr>
    </w:lvl>
    <w:lvl w:ilvl="5">
      <w:start w:val="0"/>
      <w:numFmt w:val="bullet"/>
      <w:lvlText w:val="•"/>
      <w:lvlJc w:val="left"/>
      <w:pPr>
        <w:ind w:left="6990" w:hanging="360"/>
      </w:pPr>
      <w:rPr>
        <w:rFonts w:hint="default"/>
        <w:lang w:val="en-US" w:eastAsia="en-US" w:bidi="ar-SA"/>
      </w:rPr>
    </w:lvl>
    <w:lvl w:ilvl="6">
      <w:start w:val="0"/>
      <w:numFmt w:val="bullet"/>
      <w:lvlText w:val="•"/>
      <w:lvlJc w:val="left"/>
      <w:pPr>
        <w:ind w:left="7928" w:hanging="360"/>
      </w:pPr>
      <w:rPr>
        <w:rFonts w:hint="default"/>
        <w:lang w:val="en-US" w:eastAsia="en-US" w:bidi="ar-SA"/>
      </w:rPr>
    </w:lvl>
    <w:lvl w:ilvl="7">
      <w:start w:val="0"/>
      <w:numFmt w:val="bullet"/>
      <w:lvlText w:val="•"/>
      <w:lvlJc w:val="left"/>
      <w:pPr>
        <w:ind w:left="8866" w:hanging="360"/>
      </w:pPr>
      <w:rPr>
        <w:rFonts w:hint="default"/>
        <w:lang w:val="en-US" w:eastAsia="en-US" w:bidi="ar-SA"/>
      </w:rPr>
    </w:lvl>
    <w:lvl w:ilvl="8">
      <w:start w:val="0"/>
      <w:numFmt w:val="bullet"/>
      <w:lvlText w:val="•"/>
      <w:lvlJc w:val="left"/>
      <w:pPr>
        <w:ind w:left="9804" w:hanging="360"/>
      </w:pPr>
      <w:rPr>
        <w:rFonts w:hint="default"/>
        <w:lang w:val="en-US" w:eastAsia="en-US" w:bidi="ar-SA"/>
      </w:rPr>
    </w:lvl>
  </w:abstractNum>
  <w:abstractNum w:abstractNumId="47">
    <w:multiLevelType w:val="hybridMultilevel"/>
    <w:lvl w:ilvl="0">
      <w:start w:val="0"/>
      <w:numFmt w:val="bullet"/>
      <w:lvlText w:val="☐"/>
      <w:lvlJc w:val="left"/>
      <w:pPr>
        <w:ind w:left="107" w:hanging="241"/>
      </w:pPr>
      <w:rPr>
        <w:rFonts w:hint="default" w:ascii="MS Gothic" w:hAnsi="MS Gothic" w:eastAsia="MS Gothic" w:cs="MS Gothic"/>
        <w:b w:val="0"/>
        <w:bCs w:val="0"/>
        <w:i w:val="0"/>
        <w:iCs w:val="0"/>
        <w:spacing w:val="0"/>
        <w:w w:val="99"/>
        <w:sz w:val="22"/>
        <w:szCs w:val="22"/>
        <w:lang w:val="en-US" w:eastAsia="en-US" w:bidi="ar-SA"/>
      </w:rPr>
    </w:lvl>
    <w:lvl w:ilvl="1">
      <w:start w:val="0"/>
      <w:numFmt w:val="bullet"/>
      <w:lvlText w:val="•"/>
      <w:lvlJc w:val="left"/>
      <w:pPr>
        <w:ind w:left="1023" w:hanging="241"/>
      </w:pPr>
      <w:rPr>
        <w:rFonts w:hint="default"/>
        <w:lang w:val="en-US" w:eastAsia="en-US" w:bidi="ar-SA"/>
      </w:rPr>
    </w:lvl>
    <w:lvl w:ilvl="2">
      <w:start w:val="0"/>
      <w:numFmt w:val="bullet"/>
      <w:lvlText w:val="•"/>
      <w:lvlJc w:val="left"/>
      <w:pPr>
        <w:ind w:left="1947" w:hanging="241"/>
      </w:pPr>
      <w:rPr>
        <w:rFonts w:hint="default"/>
        <w:lang w:val="en-US" w:eastAsia="en-US" w:bidi="ar-SA"/>
      </w:rPr>
    </w:lvl>
    <w:lvl w:ilvl="3">
      <w:start w:val="0"/>
      <w:numFmt w:val="bullet"/>
      <w:lvlText w:val="•"/>
      <w:lvlJc w:val="left"/>
      <w:pPr>
        <w:ind w:left="2871" w:hanging="241"/>
      </w:pPr>
      <w:rPr>
        <w:rFonts w:hint="default"/>
        <w:lang w:val="en-US" w:eastAsia="en-US" w:bidi="ar-SA"/>
      </w:rPr>
    </w:lvl>
    <w:lvl w:ilvl="4">
      <w:start w:val="0"/>
      <w:numFmt w:val="bullet"/>
      <w:lvlText w:val="•"/>
      <w:lvlJc w:val="left"/>
      <w:pPr>
        <w:ind w:left="3795" w:hanging="241"/>
      </w:pPr>
      <w:rPr>
        <w:rFonts w:hint="default"/>
        <w:lang w:val="en-US" w:eastAsia="en-US" w:bidi="ar-SA"/>
      </w:rPr>
    </w:lvl>
    <w:lvl w:ilvl="5">
      <w:start w:val="0"/>
      <w:numFmt w:val="bullet"/>
      <w:lvlText w:val="•"/>
      <w:lvlJc w:val="left"/>
      <w:pPr>
        <w:ind w:left="4719" w:hanging="241"/>
      </w:pPr>
      <w:rPr>
        <w:rFonts w:hint="default"/>
        <w:lang w:val="en-US" w:eastAsia="en-US" w:bidi="ar-SA"/>
      </w:rPr>
    </w:lvl>
    <w:lvl w:ilvl="6">
      <w:start w:val="0"/>
      <w:numFmt w:val="bullet"/>
      <w:lvlText w:val="•"/>
      <w:lvlJc w:val="left"/>
      <w:pPr>
        <w:ind w:left="5643" w:hanging="241"/>
      </w:pPr>
      <w:rPr>
        <w:rFonts w:hint="default"/>
        <w:lang w:val="en-US" w:eastAsia="en-US" w:bidi="ar-SA"/>
      </w:rPr>
    </w:lvl>
    <w:lvl w:ilvl="7">
      <w:start w:val="0"/>
      <w:numFmt w:val="bullet"/>
      <w:lvlText w:val="•"/>
      <w:lvlJc w:val="left"/>
      <w:pPr>
        <w:ind w:left="6567" w:hanging="241"/>
      </w:pPr>
      <w:rPr>
        <w:rFonts w:hint="default"/>
        <w:lang w:val="en-US" w:eastAsia="en-US" w:bidi="ar-SA"/>
      </w:rPr>
    </w:lvl>
    <w:lvl w:ilvl="8">
      <w:start w:val="0"/>
      <w:numFmt w:val="bullet"/>
      <w:lvlText w:val="•"/>
      <w:lvlJc w:val="left"/>
      <w:pPr>
        <w:ind w:left="7491" w:hanging="241"/>
      </w:pPr>
      <w:rPr>
        <w:rFonts w:hint="default"/>
        <w:lang w:val="en-US" w:eastAsia="en-US" w:bidi="ar-SA"/>
      </w:rPr>
    </w:lvl>
  </w:abstractNum>
  <w:abstractNum w:abstractNumId="45">
    <w:multiLevelType w:val="hybridMultilevel"/>
    <w:lvl w:ilvl="0">
      <w:start w:val="1"/>
      <w:numFmt w:val="lowerLetter"/>
      <w:lvlText w:val="%1."/>
      <w:lvlJc w:val="left"/>
      <w:pPr>
        <w:ind w:left="141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342" w:hanging="360"/>
      </w:pPr>
      <w:rPr>
        <w:rFonts w:hint="default"/>
        <w:lang w:val="en-US" w:eastAsia="en-US" w:bidi="ar-SA"/>
      </w:rPr>
    </w:lvl>
    <w:lvl w:ilvl="2">
      <w:start w:val="0"/>
      <w:numFmt w:val="bullet"/>
      <w:lvlText w:val="•"/>
      <w:lvlJc w:val="left"/>
      <w:pPr>
        <w:ind w:left="3264" w:hanging="360"/>
      </w:pPr>
      <w:rPr>
        <w:rFonts w:hint="default"/>
        <w:lang w:val="en-US" w:eastAsia="en-US" w:bidi="ar-SA"/>
      </w:rPr>
    </w:lvl>
    <w:lvl w:ilvl="3">
      <w:start w:val="0"/>
      <w:numFmt w:val="bullet"/>
      <w:lvlText w:val="•"/>
      <w:lvlJc w:val="left"/>
      <w:pPr>
        <w:ind w:left="4186" w:hanging="360"/>
      </w:pPr>
      <w:rPr>
        <w:rFonts w:hint="default"/>
        <w:lang w:val="en-US" w:eastAsia="en-US" w:bidi="ar-SA"/>
      </w:rPr>
    </w:lvl>
    <w:lvl w:ilvl="4">
      <w:start w:val="0"/>
      <w:numFmt w:val="bullet"/>
      <w:lvlText w:val="•"/>
      <w:lvlJc w:val="left"/>
      <w:pPr>
        <w:ind w:left="5108" w:hanging="360"/>
      </w:pPr>
      <w:rPr>
        <w:rFonts w:hint="default"/>
        <w:lang w:val="en-US" w:eastAsia="en-US" w:bidi="ar-SA"/>
      </w:rPr>
    </w:lvl>
    <w:lvl w:ilvl="5">
      <w:start w:val="0"/>
      <w:numFmt w:val="bullet"/>
      <w:lvlText w:val="•"/>
      <w:lvlJc w:val="left"/>
      <w:pPr>
        <w:ind w:left="6030" w:hanging="360"/>
      </w:pPr>
      <w:rPr>
        <w:rFonts w:hint="default"/>
        <w:lang w:val="en-US" w:eastAsia="en-US" w:bidi="ar-SA"/>
      </w:rPr>
    </w:lvl>
    <w:lvl w:ilvl="6">
      <w:start w:val="0"/>
      <w:numFmt w:val="bullet"/>
      <w:lvlText w:val="•"/>
      <w:lvlJc w:val="left"/>
      <w:pPr>
        <w:ind w:left="6952" w:hanging="360"/>
      </w:pPr>
      <w:rPr>
        <w:rFonts w:hint="default"/>
        <w:lang w:val="en-US" w:eastAsia="en-US" w:bidi="ar-SA"/>
      </w:rPr>
    </w:lvl>
    <w:lvl w:ilvl="7">
      <w:start w:val="0"/>
      <w:numFmt w:val="bullet"/>
      <w:lvlText w:val="•"/>
      <w:lvlJc w:val="left"/>
      <w:pPr>
        <w:ind w:left="7874" w:hanging="360"/>
      </w:pPr>
      <w:rPr>
        <w:rFonts w:hint="default"/>
        <w:lang w:val="en-US" w:eastAsia="en-US" w:bidi="ar-SA"/>
      </w:rPr>
    </w:lvl>
    <w:lvl w:ilvl="8">
      <w:start w:val="0"/>
      <w:numFmt w:val="bullet"/>
      <w:lvlText w:val="•"/>
      <w:lvlJc w:val="left"/>
      <w:pPr>
        <w:ind w:left="8796" w:hanging="360"/>
      </w:pPr>
      <w:rPr>
        <w:rFonts w:hint="default"/>
        <w:lang w:val="en-US" w:eastAsia="en-US" w:bidi="ar-SA"/>
      </w:rPr>
    </w:lvl>
  </w:abstractNum>
  <w:abstractNum w:abstractNumId="44">
    <w:multiLevelType w:val="hybridMultilevel"/>
    <w:lvl w:ilvl="0">
      <w:start w:val="1"/>
      <w:numFmt w:val="decimal"/>
      <w:lvlText w:val="%1."/>
      <w:lvlJc w:val="left"/>
      <w:pPr>
        <w:ind w:left="285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638" w:hanging="360"/>
      </w:pPr>
      <w:rPr>
        <w:rFonts w:hint="default"/>
        <w:lang w:val="en-US" w:eastAsia="en-US" w:bidi="ar-SA"/>
      </w:rPr>
    </w:lvl>
    <w:lvl w:ilvl="2">
      <w:start w:val="0"/>
      <w:numFmt w:val="bullet"/>
      <w:lvlText w:val="•"/>
      <w:lvlJc w:val="left"/>
      <w:pPr>
        <w:ind w:left="4416" w:hanging="360"/>
      </w:pPr>
      <w:rPr>
        <w:rFonts w:hint="default"/>
        <w:lang w:val="en-US" w:eastAsia="en-US" w:bidi="ar-SA"/>
      </w:rPr>
    </w:lvl>
    <w:lvl w:ilvl="3">
      <w:start w:val="0"/>
      <w:numFmt w:val="bullet"/>
      <w:lvlText w:val="•"/>
      <w:lvlJc w:val="left"/>
      <w:pPr>
        <w:ind w:left="5194" w:hanging="360"/>
      </w:pPr>
      <w:rPr>
        <w:rFonts w:hint="default"/>
        <w:lang w:val="en-US" w:eastAsia="en-US" w:bidi="ar-SA"/>
      </w:rPr>
    </w:lvl>
    <w:lvl w:ilvl="4">
      <w:start w:val="0"/>
      <w:numFmt w:val="bullet"/>
      <w:lvlText w:val="•"/>
      <w:lvlJc w:val="left"/>
      <w:pPr>
        <w:ind w:left="5972" w:hanging="360"/>
      </w:pPr>
      <w:rPr>
        <w:rFonts w:hint="default"/>
        <w:lang w:val="en-US" w:eastAsia="en-US" w:bidi="ar-SA"/>
      </w:rPr>
    </w:lvl>
    <w:lvl w:ilvl="5">
      <w:start w:val="0"/>
      <w:numFmt w:val="bullet"/>
      <w:lvlText w:val="•"/>
      <w:lvlJc w:val="left"/>
      <w:pPr>
        <w:ind w:left="6750" w:hanging="360"/>
      </w:pPr>
      <w:rPr>
        <w:rFonts w:hint="default"/>
        <w:lang w:val="en-US" w:eastAsia="en-US" w:bidi="ar-SA"/>
      </w:rPr>
    </w:lvl>
    <w:lvl w:ilvl="6">
      <w:start w:val="0"/>
      <w:numFmt w:val="bullet"/>
      <w:lvlText w:val="•"/>
      <w:lvlJc w:val="left"/>
      <w:pPr>
        <w:ind w:left="7528" w:hanging="360"/>
      </w:pPr>
      <w:rPr>
        <w:rFonts w:hint="default"/>
        <w:lang w:val="en-US" w:eastAsia="en-US" w:bidi="ar-SA"/>
      </w:rPr>
    </w:lvl>
    <w:lvl w:ilvl="7">
      <w:start w:val="0"/>
      <w:numFmt w:val="bullet"/>
      <w:lvlText w:val="•"/>
      <w:lvlJc w:val="left"/>
      <w:pPr>
        <w:ind w:left="8306" w:hanging="360"/>
      </w:pPr>
      <w:rPr>
        <w:rFonts w:hint="default"/>
        <w:lang w:val="en-US" w:eastAsia="en-US" w:bidi="ar-SA"/>
      </w:rPr>
    </w:lvl>
    <w:lvl w:ilvl="8">
      <w:start w:val="0"/>
      <w:numFmt w:val="bullet"/>
      <w:lvlText w:val="•"/>
      <w:lvlJc w:val="left"/>
      <w:pPr>
        <w:ind w:left="9084" w:hanging="360"/>
      </w:pPr>
      <w:rPr>
        <w:rFonts w:hint="default"/>
        <w:lang w:val="en-US" w:eastAsia="en-US" w:bidi="ar-SA"/>
      </w:rPr>
    </w:lvl>
  </w:abstractNum>
  <w:abstractNum w:abstractNumId="43">
    <w:multiLevelType w:val="hybridMultilevel"/>
    <w:lvl w:ilvl="0">
      <w:start w:val="1"/>
      <w:numFmt w:val="lowerLetter"/>
      <w:lvlText w:val="%1."/>
      <w:lvlJc w:val="left"/>
      <w:pPr>
        <w:ind w:left="168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1"/>
      <w:numFmt w:val="decimal"/>
      <w:lvlText w:val="%2."/>
      <w:lvlJc w:val="left"/>
      <w:pPr>
        <w:ind w:left="276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3."/>
      <w:lvlJc w:val="left"/>
      <w:pPr>
        <w:ind w:left="285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832" w:hanging="360"/>
      </w:pPr>
      <w:rPr>
        <w:rFonts w:hint="default"/>
        <w:lang w:val="en-US" w:eastAsia="en-US" w:bidi="ar-SA"/>
      </w:rPr>
    </w:lvl>
    <w:lvl w:ilvl="4">
      <w:start w:val="0"/>
      <w:numFmt w:val="bullet"/>
      <w:lvlText w:val="•"/>
      <w:lvlJc w:val="left"/>
      <w:pPr>
        <w:ind w:left="4805" w:hanging="360"/>
      </w:pPr>
      <w:rPr>
        <w:rFonts w:hint="default"/>
        <w:lang w:val="en-US" w:eastAsia="en-US" w:bidi="ar-SA"/>
      </w:rPr>
    </w:lvl>
    <w:lvl w:ilvl="5">
      <w:start w:val="0"/>
      <w:numFmt w:val="bullet"/>
      <w:lvlText w:val="•"/>
      <w:lvlJc w:val="left"/>
      <w:pPr>
        <w:ind w:left="5777" w:hanging="360"/>
      </w:pPr>
      <w:rPr>
        <w:rFonts w:hint="default"/>
        <w:lang w:val="en-US" w:eastAsia="en-US" w:bidi="ar-SA"/>
      </w:rPr>
    </w:lvl>
    <w:lvl w:ilvl="6">
      <w:start w:val="0"/>
      <w:numFmt w:val="bullet"/>
      <w:lvlText w:val="•"/>
      <w:lvlJc w:val="left"/>
      <w:pPr>
        <w:ind w:left="6750" w:hanging="360"/>
      </w:pPr>
      <w:rPr>
        <w:rFonts w:hint="default"/>
        <w:lang w:val="en-US" w:eastAsia="en-US" w:bidi="ar-SA"/>
      </w:rPr>
    </w:lvl>
    <w:lvl w:ilvl="7">
      <w:start w:val="0"/>
      <w:numFmt w:val="bullet"/>
      <w:lvlText w:val="•"/>
      <w:lvlJc w:val="left"/>
      <w:pPr>
        <w:ind w:left="7722" w:hanging="360"/>
      </w:pPr>
      <w:rPr>
        <w:rFonts w:hint="default"/>
        <w:lang w:val="en-US" w:eastAsia="en-US" w:bidi="ar-SA"/>
      </w:rPr>
    </w:lvl>
    <w:lvl w:ilvl="8">
      <w:start w:val="0"/>
      <w:numFmt w:val="bullet"/>
      <w:lvlText w:val="•"/>
      <w:lvlJc w:val="left"/>
      <w:pPr>
        <w:ind w:left="8695" w:hanging="360"/>
      </w:pPr>
      <w:rPr>
        <w:rFonts w:hint="default"/>
        <w:lang w:val="en-US" w:eastAsia="en-US" w:bidi="ar-SA"/>
      </w:rPr>
    </w:lvl>
  </w:abstractNum>
  <w:abstractNum w:abstractNumId="42">
    <w:multiLevelType w:val="hybridMultilevel"/>
    <w:lvl w:ilvl="0">
      <w:start w:val="1"/>
      <w:numFmt w:val="lowerLetter"/>
      <w:lvlText w:val="%1."/>
      <w:lvlJc w:val="left"/>
      <w:pPr>
        <w:ind w:left="141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1"/>
      <w:numFmt w:val="decimal"/>
      <w:lvlText w:val="%2."/>
      <w:lvlJc w:val="left"/>
      <w:pPr>
        <w:ind w:left="285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lowerLetter"/>
      <w:lvlText w:val="%3."/>
      <w:lvlJc w:val="left"/>
      <w:pPr>
        <w:ind w:left="348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3">
      <w:start w:val="0"/>
      <w:numFmt w:val="bullet"/>
      <w:lvlText w:val="•"/>
      <w:lvlJc w:val="left"/>
      <w:pPr>
        <w:ind w:left="4375" w:hanging="360"/>
      </w:pPr>
      <w:rPr>
        <w:rFonts w:hint="default"/>
        <w:lang w:val="en-US" w:eastAsia="en-US" w:bidi="ar-SA"/>
      </w:rPr>
    </w:lvl>
    <w:lvl w:ilvl="4">
      <w:start w:val="0"/>
      <w:numFmt w:val="bullet"/>
      <w:lvlText w:val="•"/>
      <w:lvlJc w:val="left"/>
      <w:pPr>
        <w:ind w:left="5270" w:hanging="360"/>
      </w:pPr>
      <w:rPr>
        <w:rFonts w:hint="default"/>
        <w:lang w:val="en-US" w:eastAsia="en-US" w:bidi="ar-SA"/>
      </w:rPr>
    </w:lvl>
    <w:lvl w:ilvl="5">
      <w:start w:val="0"/>
      <w:numFmt w:val="bullet"/>
      <w:lvlText w:val="•"/>
      <w:lvlJc w:val="left"/>
      <w:pPr>
        <w:ind w:left="6165" w:hanging="360"/>
      </w:pPr>
      <w:rPr>
        <w:rFonts w:hint="default"/>
        <w:lang w:val="en-US" w:eastAsia="en-US" w:bidi="ar-SA"/>
      </w:rPr>
    </w:lvl>
    <w:lvl w:ilvl="6">
      <w:start w:val="0"/>
      <w:numFmt w:val="bullet"/>
      <w:lvlText w:val="•"/>
      <w:lvlJc w:val="left"/>
      <w:pPr>
        <w:ind w:left="7060" w:hanging="360"/>
      </w:pPr>
      <w:rPr>
        <w:rFonts w:hint="default"/>
        <w:lang w:val="en-US" w:eastAsia="en-US" w:bidi="ar-SA"/>
      </w:rPr>
    </w:lvl>
    <w:lvl w:ilvl="7">
      <w:start w:val="0"/>
      <w:numFmt w:val="bullet"/>
      <w:lvlText w:val="•"/>
      <w:lvlJc w:val="left"/>
      <w:pPr>
        <w:ind w:left="7955" w:hanging="360"/>
      </w:pPr>
      <w:rPr>
        <w:rFonts w:hint="default"/>
        <w:lang w:val="en-US" w:eastAsia="en-US" w:bidi="ar-SA"/>
      </w:rPr>
    </w:lvl>
    <w:lvl w:ilvl="8">
      <w:start w:val="0"/>
      <w:numFmt w:val="bullet"/>
      <w:lvlText w:val="•"/>
      <w:lvlJc w:val="left"/>
      <w:pPr>
        <w:ind w:left="8850" w:hanging="360"/>
      </w:pPr>
      <w:rPr>
        <w:rFonts w:hint="default"/>
        <w:lang w:val="en-US" w:eastAsia="en-US" w:bidi="ar-SA"/>
      </w:rPr>
    </w:lvl>
  </w:abstractNum>
  <w:abstractNum w:abstractNumId="41">
    <w:multiLevelType w:val="hybridMultilevel"/>
    <w:lvl w:ilvl="0">
      <w:start w:val="1"/>
      <w:numFmt w:val="lowerLetter"/>
      <w:lvlText w:val="%1."/>
      <w:lvlJc w:val="left"/>
      <w:pPr>
        <w:ind w:left="141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342" w:hanging="360"/>
      </w:pPr>
      <w:rPr>
        <w:rFonts w:hint="default"/>
        <w:lang w:val="en-US" w:eastAsia="en-US" w:bidi="ar-SA"/>
      </w:rPr>
    </w:lvl>
    <w:lvl w:ilvl="2">
      <w:start w:val="0"/>
      <w:numFmt w:val="bullet"/>
      <w:lvlText w:val="•"/>
      <w:lvlJc w:val="left"/>
      <w:pPr>
        <w:ind w:left="3264" w:hanging="360"/>
      </w:pPr>
      <w:rPr>
        <w:rFonts w:hint="default"/>
        <w:lang w:val="en-US" w:eastAsia="en-US" w:bidi="ar-SA"/>
      </w:rPr>
    </w:lvl>
    <w:lvl w:ilvl="3">
      <w:start w:val="0"/>
      <w:numFmt w:val="bullet"/>
      <w:lvlText w:val="•"/>
      <w:lvlJc w:val="left"/>
      <w:pPr>
        <w:ind w:left="4186" w:hanging="360"/>
      </w:pPr>
      <w:rPr>
        <w:rFonts w:hint="default"/>
        <w:lang w:val="en-US" w:eastAsia="en-US" w:bidi="ar-SA"/>
      </w:rPr>
    </w:lvl>
    <w:lvl w:ilvl="4">
      <w:start w:val="0"/>
      <w:numFmt w:val="bullet"/>
      <w:lvlText w:val="•"/>
      <w:lvlJc w:val="left"/>
      <w:pPr>
        <w:ind w:left="5108" w:hanging="360"/>
      </w:pPr>
      <w:rPr>
        <w:rFonts w:hint="default"/>
        <w:lang w:val="en-US" w:eastAsia="en-US" w:bidi="ar-SA"/>
      </w:rPr>
    </w:lvl>
    <w:lvl w:ilvl="5">
      <w:start w:val="0"/>
      <w:numFmt w:val="bullet"/>
      <w:lvlText w:val="•"/>
      <w:lvlJc w:val="left"/>
      <w:pPr>
        <w:ind w:left="6030" w:hanging="360"/>
      </w:pPr>
      <w:rPr>
        <w:rFonts w:hint="default"/>
        <w:lang w:val="en-US" w:eastAsia="en-US" w:bidi="ar-SA"/>
      </w:rPr>
    </w:lvl>
    <w:lvl w:ilvl="6">
      <w:start w:val="0"/>
      <w:numFmt w:val="bullet"/>
      <w:lvlText w:val="•"/>
      <w:lvlJc w:val="left"/>
      <w:pPr>
        <w:ind w:left="6952" w:hanging="360"/>
      </w:pPr>
      <w:rPr>
        <w:rFonts w:hint="default"/>
        <w:lang w:val="en-US" w:eastAsia="en-US" w:bidi="ar-SA"/>
      </w:rPr>
    </w:lvl>
    <w:lvl w:ilvl="7">
      <w:start w:val="0"/>
      <w:numFmt w:val="bullet"/>
      <w:lvlText w:val="•"/>
      <w:lvlJc w:val="left"/>
      <w:pPr>
        <w:ind w:left="7874" w:hanging="360"/>
      </w:pPr>
      <w:rPr>
        <w:rFonts w:hint="default"/>
        <w:lang w:val="en-US" w:eastAsia="en-US" w:bidi="ar-SA"/>
      </w:rPr>
    </w:lvl>
    <w:lvl w:ilvl="8">
      <w:start w:val="0"/>
      <w:numFmt w:val="bullet"/>
      <w:lvlText w:val="•"/>
      <w:lvlJc w:val="left"/>
      <w:pPr>
        <w:ind w:left="8796" w:hanging="360"/>
      </w:pPr>
      <w:rPr>
        <w:rFonts w:hint="default"/>
        <w:lang w:val="en-US" w:eastAsia="en-US" w:bidi="ar-SA"/>
      </w:rPr>
    </w:lvl>
  </w:abstractNum>
  <w:abstractNum w:abstractNumId="40">
    <w:multiLevelType w:val="hybridMultilevel"/>
    <w:lvl w:ilvl="0">
      <w:start w:val="1"/>
      <w:numFmt w:val="lowerLetter"/>
      <w:lvlText w:val="%1."/>
      <w:lvlJc w:val="left"/>
      <w:pPr>
        <w:ind w:left="141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1"/>
      <w:numFmt w:val="decimal"/>
      <w:lvlText w:val="%2."/>
      <w:lvlJc w:val="left"/>
      <w:pPr>
        <w:ind w:left="285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724" w:hanging="360"/>
      </w:pPr>
      <w:rPr>
        <w:rFonts w:hint="default"/>
        <w:lang w:val="en-US" w:eastAsia="en-US" w:bidi="ar-SA"/>
      </w:rPr>
    </w:lvl>
    <w:lvl w:ilvl="3">
      <w:start w:val="0"/>
      <w:numFmt w:val="bullet"/>
      <w:lvlText w:val="•"/>
      <w:lvlJc w:val="left"/>
      <w:pPr>
        <w:ind w:left="4588" w:hanging="360"/>
      </w:pPr>
      <w:rPr>
        <w:rFonts w:hint="default"/>
        <w:lang w:val="en-US" w:eastAsia="en-US" w:bidi="ar-SA"/>
      </w:rPr>
    </w:lvl>
    <w:lvl w:ilvl="4">
      <w:start w:val="0"/>
      <w:numFmt w:val="bullet"/>
      <w:lvlText w:val="•"/>
      <w:lvlJc w:val="left"/>
      <w:pPr>
        <w:ind w:left="5453" w:hanging="360"/>
      </w:pPr>
      <w:rPr>
        <w:rFonts w:hint="default"/>
        <w:lang w:val="en-US" w:eastAsia="en-US" w:bidi="ar-SA"/>
      </w:rPr>
    </w:lvl>
    <w:lvl w:ilvl="5">
      <w:start w:val="0"/>
      <w:numFmt w:val="bullet"/>
      <w:lvlText w:val="•"/>
      <w:lvlJc w:val="left"/>
      <w:pPr>
        <w:ind w:left="6317" w:hanging="360"/>
      </w:pPr>
      <w:rPr>
        <w:rFonts w:hint="default"/>
        <w:lang w:val="en-US" w:eastAsia="en-US" w:bidi="ar-SA"/>
      </w:rPr>
    </w:lvl>
    <w:lvl w:ilvl="6">
      <w:start w:val="0"/>
      <w:numFmt w:val="bullet"/>
      <w:lvlText w:val="•"/>
      <w:lvlJc w:val="left"/>
      <w:pPr>
        <w:ind w:left="7182" w:hanging="360"/>
      </w:pPr>
      <w:rPr>
        <w:rFonts w:hint="default"/>
        <w:lang w:val="en-US" w:eastAsia="en-US" w:bidi="ar-SA"/>
      </w:rPr>
    </w:lvl>
    <w:lvl w:ilvl="7">
      <w:start w:val="0"/>
      <w:numFmt w:val="bullet"/>
      <w:lvlText w:val="•"/>
      <w:lvlJc w:val="left"/>
      <w:pPr>
        <w:ind w:left="8046" w:hanging="360"/>
      </w:pPr>
      <w:rPr>
        <w:rFonts w:hint="default"/>
        <w:lang w:val="en-US" w:eastAsia="en-US" w:bidi="ar-SA"/>
      </w:rPr>
    </w:lvl>
    <w:lvl w:ilvl="8">
      <w:start w:val="0"/>
      <w:numFmt w:val="bullet"/>
      <w:lvlText w:val="•"/>
      <w:lvlJc w:val="left"/>
      <w:pPr>
        <w:ind w:left="8911" w:hanging="360"/>
      </w:pPr>
      <w:rPr>
        <w:rFonts w:hint="default"/>
        <w:lang w:val="en-US" w:eastAsia="en-US" w:bidi="ar-SA"/>
      </w:rPr>
    </w:lvl>
  </w:abstractNum>
  <w:abstractNum w:abstractNumId="39">
    <w:multiLevelType w:val="hybridMultilevel"/>
    <w:lvl w:ilvl="0">
      <w:start w:val="1"/>
      <w:numFmt w:val="lowerLetter"/>
      <w:lvlText w:val="%1."/>
      <w:lvlJc w:val="left"/>
      <w:pPr>
        <w:ind w:left="141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342" w:hanging="360"/>
      </w:pPr>
      <w:rPr>
        <w:rFonts w:hint="default"/>
        <w:lang w:val="en-US" w:eastAsia="en-US" w:bidi="ar-SA"/>
      </w:rPr>
    </w:lvl>
    <w:lvl w:ilvl="2">
      <w:start w:val="0"/>
      <w:numFmt w:val="bullet"/>
      <w:lvlText w:val="•"/>
      <w:lvlJc w:val="left"/>
      <w:pPr>
        <w:ind w:left="3264" w:hanging="360"/>
      </w:pPr>
      <w:rPr>
        <w:rFonts w:hint="default"/>
        <w:lang w:val="en-US" w:eastAsia="en-US" w:bidi="ar-SA"/>
      </w:rPr>
    </w:lvl>
    <w:lvl w:ilvl="3">
      <w:start w:val="0"/>
      <w:numFmt w:val="bullet"/>
      <w:lvlText w:val="•"/>
      <w:lvlJc w:val="left"/>
      <w:pPr>
        <w:ind w:left="4186" w:hanging="360"/>
      </w:pPr>
      <w:rPr>
        <w:rFonts w:hint="default"/>
        <w:lang w:val="en-US" w:eastAsia="en-US" w:bidi="ar-SA"/>
      </w:rPr>
    </w:lvl>
    <w:lvl w:ilvl="4">
      <w:start w:val="0"/>
      <w:numFmt w:val="bullet"/>
      <w:lvlText w:val="•"/>
      <w:lvlJc w:val="left"/>
      <w:pPr>
        <w:ind w:left="5108" w:hanging="360"/>
      </w:pPr>
      <w:rPr>
        <w:rFonts w:hint="default"/>
        <w:lang w:val="en-US" w:eastAsia="en-US" w:bidi="ar-SA"/>
      </w:rPr>
    </w:lvl>
    <w:lvl w:ilvl="5">
      <w:start w:val="0"/>
      <w:numFmt w:val="bullet"/>
      <w:lvlText w:val="•"/>
      <w:lvlJc w:val="left"/>
      <w:pPr>
        <w:ind w:left="6030" w:hanging="360"/>
      </w:pPr>
      <w:rPr>
        <w:rFonts w:hint="default"/>
        <w:lang w:val="en-US" w:eastAsia="en-US" w:bidi="ar-SA"/>
      </w:rPr>
    </w:lvl>
    <w:lvl w:ilvl="6">
      <w:start w:val="0"/>
      <w:numFmt w:val="bullet"/>
      <w:lvlText w:val="•"/>
      <w:lvlJc w:val="left"/>
      <w:pPr>
        <w:ind w:left="6952" w:hanging="360"/>
      </w:pPr>
      <w:rPr>
        <w:rFonts w:hint="default"/>
        <w:lang w:val="en-US" w:eastAsia="en-US" w:bidi="ar-SA"/>
      </w:rPr>
    </w:lvl>
    <w:lvl w:ilvl="7">
      <w:start w:val="0"/>
      <w:numFmt w:val="bullet"/>
      <w:lvlText w:val="•"/>
      <w:lvlJc w:val="left"/>
      <w:pPr>
        <w:ind w:left="7874" w:hanging="360"/>
      </w:pPr>
      <w:rPr>
        <w:rFonts w:hint="default"/>
        <w:lang w:val="en-US" w:eastAsia="en-US" w:bidi="ar-SA"/>
      </w:rPr>
    </w:lvl>
    <w:lvl w:ilvl="8">
      <w:start w:val="0"/>
      <w:numFmt w:val="bullet"/>
      <w:lvlText w:val="•"/>
      <w:lvlJc w:val="left"/>
      <w:pPr>
        <w:ind w:left="8796" w:hanging="360"/>
      </w:pPr>
      <w:rPr>
        <w:rFonts w:hint="default"/>
        <w:lang w:val="en-US" w:eastAsia="en-US" w:bidi="ar-SA"/>
      </w:rPr>
    </w:lvl>
  </w:abstractNum>
  <w:abstractNum w:abstractNumId="38">
    <w:multiLevelType w:val="hybridMultilevel"/>
    <w:lvl w:ilvl="0">
      <w:start w:val="1"/>
      <w:numFmt w:val="lowerLetter"/>
      <w:lvlText w:val="%1."/>
      <w:lvlJc w:val="left"/>
      <w:pPr>
        <w:ind w:left="141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342" w:hanging="360"/>
      </w:pPr>
      <w:rPr>
        <w:rFonts w:hint="default"/>
        <w:lang w:val="en-US" w:eastAsia="en-US" w:bidi="ar-SA"/>
      </w:rPr>
    </w:lvl>
    <w:lvl w:ilvl="2">
      <w:start w:val="0"/>
      <w:numFmt w:val="bullet"/>
      <w:lvlText w:val="•"/>
      <w:lvlJc w:val="left"/>
      <w:pPr>
        <w:ind w:left="3264" w:hanging="360"/>
      </w:pPr>
      <w:rPr>
        <w:rFonts w:hint="default"/>
        <w:lang w:val="en-US" w:eastAsia="en-US" w:bidi="ar-SA"/>
      </w:rPr>
    </w:lvl>
    <w:lvl w:ilvl="3">
      <w:start w:val="0"/>
      <w:numFmt w:val="bullet"/>
      <w:lvlText w:val="•"/>
      <w:lvlJc w:val="left"/>
      <w:pPr>
        <w:ind w:left="4186" w:hanging="360"/>
      </w:pPr>
      <w:rPr>
        <w:rFonts w:hint="default"/>
        <w:lang w:val="en-US" w:eastAsia="en-US" w:bidi="ar-SA"/>
      </w:rPr>
    </w:lvl>
    <w:lvl w:ilvl="4">
      <w:start w:val="0"/>
      <w:numFmt w:val="bullet"/>
      <w:lvlText w:val="•"/>
      <w:lvlJc w:val="left"/>
      <w:pPr>
        <w:ind w:left="5108" w:hanging="360"/>
      </w:pPr>
      <w:rPr>
        <w:rFonts w:hint="default"/>
        <w:lang w:val="en-US" w:eastAsia="en-US" w:bidi="ar-SA"/>
      </w:rPr>
    </w:lvl>
    <w:lvl w:ilvl="5">
      <w:start w:val="0"/>
      <w:numFmt w:val="bullet"/>
      <w:lvlText w:val="•"/>
      <w:lvlJc w:val="left"/>
      <w:pPr>
        <w:ind w:left="6030" w:hanging="360"/>
      </w:pPr>
      <w:rPr>
        <w:rFonts w:hint="default"/>
        <w:lang w:val="en-US" w:eastAsia="en-US" w:bidi="ar-SA"/>
      </w:rPr>
    </w:lvl>
    <w:lvl w:ilvl="6">
      <w:start w:val="0"/>
      <w:numFmt w:val="bullet"/>
      <w:lvlText w:val="•"/>
      <w:lvlJc w:val="left"/>
      <w:pPr>
        <w:ind w:left="6952" w:hanging="360"/>
      </w:pPr>
      <w:rPr>
        <w:rFonts w:hint="default"/>
        <w:lang w:val="en-US" w:eastAsia="en-US" w:bidi="ar-SA"/>
      </w:rPr>
    </w:lvl>
    <w:lvl w:ilvl="7">
      <w:start w:val="0"/>
      <w:numFmt w:val="bullet"/>
      <w:lvlText w:val="•"/>
      <w:lvlJc w:val="left"/>
      <w:pPr>
        <w:ind w:left="7874" w:hanging="360"/>
      </w:pPr>
      <w:rPr>
        <w:rFonts w:hint="default"/>
        <w:lang w:val="en-US" w:eastAsia="en-US" w:bidi="ar-SA"/>
      </w:rPr>
    </w:lvl>
    <w:lvl w:ilvl="8">
      <w:start w:val="0"/>
      <w:numFmt w:val="bullet"/>
      <w:lvlText w:val="•"/>
      <w:lvlJc w:val="left"/>
      <w:pPr>
        <w:ind w:left="8796" w:hanging="360"/>
      </w:pPr>
      <w:rPr>
        <w:rFonts w:hint="default"/>
        <w:lang w:val="en-US" w:eastAsia="en-US" w:bidi="ar-SA"/>
      </w:rPr>
    </w:lvl>
  </w:abstractNum>
  <w:abstractNum w:abstractNumId="37">
    <w:multiLevelType w:val="hybridMultilevel"/>
    <w:lvl w:ilvl="0">
      <w:start w:val="1"/>
      <w:numFmt w:val="lowerLetter"/>
      <w:lvlText w:val="%1."/>
      <w:lvlJc w:val="left"/>
      <w:pPr>
        <w:ind w:left="141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342" w:hanging="360"/>
      </w:pPr>
      <w:rPr>
        <w:rFonts w:hint="default"/>
        <w:lang w:val="en-US" w:eastAsia="en-US" w:bidi="ar-SA"/>
      </w:rPr>
    </w:lvl>
    <w:lvl w:ilvl="2">
      <w:start w:val="0"/>
      <w:numFmt w:val="bullet"/>
      <w:lvlText w:val="•"/>
      <w:lvlJc w:val="left"/>
      <w:pPr>
        <w:ind w:left="3264" w:hanging="360"/>
      </w:pPr>
      <w:rPr>
        <w:rFonts w:hint="default"/>
        <w:lang w:val="en-US" w:eastAsia="en-US" w:bidi="ar-SA"/>
      </w:rPr>
    </w:lvl>
    <w:lvl w:ilvl="3">
      <w:start w:val="0"/>
      <w:numFmt w:val="bullet"/>
      <w:lvlText w:val="•"/>
      <w:lvlJc w:val="left"/>
      <w:pPr>
        <w:ind w:left="4186" w:hanging="360"/>
      </w:pPr>
      <w:rPr>
        <w:rFonts w:hint="default"/>
        <w:lang w:val="en-US" w:eastAsia="en-US" w:bidi="ar-SA"/>
      </w:rPr>
    </w:lvl>
    <w:lvl w:ilvl="4">
      <w:start w:val="0"/>
      <w:numFmt w:val="bullet"/>
      <w:lvlText w:val="•"/>
      <w:lvlJc w:val="left"/>
      <w:pPr>
        <w:ind w:left="5108" w:hanging="360"/>
      </w:pPr>
      <w:rPr>
        <w:rFonts w:hint="default"/>
        <w:lang w:val="en-US" w:eastAsia="en-US" w:bidi="ar-SA"/>
      </w:rPr>
    </w:lvl>
    <w:lvl w:ilvl="5">
      <w:start w:val="0"/>
      <w:numFmt w:val="bullet"/>
      <w:lvlText w:val="•"/>
      <w:lvlJc w:val="left"/>
      <w:pPr>
        <w:ind w:left="6030" w:hanging="360"/>
      </w:pPr>
      <w:rPr>
        <w:rFonts w:hint="default"/>
        <w:lang w:val="en-US" w:eastAsia="en-US" w:bidi="ar-SA"/>
      </w:rPr>
    </w:lvl>
    <w:lvl w:ilvl="6">
      <w:start w:val="0"/>
      <w:numFmt w:val="bullet"/>
      <w:lvlText w:val="•"/>
      <w:lvlJc w:val="left"/>
      <w:pPr>
        <w:ind w:left="6952" w:hanging="360"/>
      </w:pPr>
      <w:rPr>
        <w:rFonts w:hint="default"/>
        <w:lang w:val="en-US" w:eastAsia="en-US" w:bidi="ar-SA"/>
      </w:rPr>
    </w:lvl>
    <w:lvl w:ilvl="7">
      <w:start w:val="0"/>
      <w:numFmt w:val="bullet"/>
      <w:lvlText w:val="•"/>
      <w:lvlJc w:val="left"/>
      <w:pPr>
        <w:ind w:left="7874" w:hanging="360"/>
      </w:pPr>
      <w:rPr>
        <w:rFonts w:hint="default"/>
        <w:lang w:val="en-US" w:eastAsia="en-US" w:bidi="ar-SA"/>
      </w:rPr>
    </w:lvl>
    <w:lvl w:ilvl="8">
      <w:start w:val="0"/>
      <w:numFmt w:val="bullet"/>
      <w:lvlText w:val="•"/>
      <w:lvlJc w:val="left"/>
      <w:pPr>
        <w:ind w:left="8796" w:hanging="360"/>
      </w:pPr>
      <w:rPr>
        <w:rFonts w:hint="default"/>
        <w:lang w:val="en-US" w:eastAsia="en-US" w:bidi="ar-SA"/>
      </w:rPr>
    </w:lvl>
  </w:abstractNum>
  <w:abstractNum w:abstractNumId="36">
    <w:multiLevelType w:val="hybridMultilevel"/>
    <w:lvl w:ilvl="0">
      <w:start w:val="0"/>
      <w:numFmt w:val="bullet"/>
      <w:lvlText w:val=""/>
      <w:lvlJc w:val="left"/>
      <w:pPr>
        <w:ind w:left="1411" w:hanging="269"/>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342" w:hanging="269"/>
      </w:pPr>
      <w:rPr>
        <w:rFonts w:hint="default"/>
        <w:lang w:val="en-US" w:eastAsia="en-US" w:bidi="ar-SA"/>
      </w:rPr>
    </w:lvl>
    <w:lvl w:ilvl="2">
      <w:start w:val="0"/>
      <w:numFmt w:val="bullet"/>
      <w:lvlText w:val="•"/>
      <w:lvlJc w:val="left"/>
      <w:pPr>
        <w:ind w:left="3264" w:hanging="269"/>
      </w:pPr>
      <w:rPr>
        <w:rFonts w:hint="default"/>
        <w:lang w:val="en-US" w:eastAsia="en-US" w:bidi="ar-SA"/>
      </w:rPr>
    </w:lvl>
    <w:lvl w:ilvl="3">
      <w:start w:val="0"/>
      <w:numFmt w:val="bullet"/>
      <w:lvlText w:val="•"/>
      <w:lvlJc w:val="left"/>
      <w:pPr>
        <w:ind w:left="4186" w:hanging="269"/>
      </w:pPr>
      <w:rPr>
        <w:rFonts w:hint="default"/>
        <w:lang w:val="en-US" w:eastAsia="en-US" w:bidi="ar-SA"/>
      </w:rPr>
    </w:lvl>
    <w:lvl w:ilvl="4">
      <w:start w:val="0"/>
      <w:numFmt w:val="bullet"/>
      <w:lvlText w:val="•"/>
      <w:lvlJc w:val="left"/>
      <w:pPr>
        <w:ind w:left="5108" w:hanging="269"/>
      </w:pPr>
      <w:rPr>
        <w:rFonts w:hint="default"/>
        <w:lang w:val="en-US" w:eastAsia="en-US" w:bidi="ar-SA"/>
      </w:rPr>
    </w:lvl>
    <w:lvl w:ilvl="5">
      <w:start w:val="0"/>
      <w:numFmt w:val="bullet"/>
      <w:lvlText w:val="•"/>
      <w:lvlJc w:val="left"/>
      <w:pPr>
        <w:ind w:left="6030" w:hanging="269"/>
      </w:pPr>
      <w:rPr>
        <w:rFonts w:hint="default"/>
        <w:lang w:val="en-US" w:eastAsia="en-US" w:bidi="ar-SA"/>
      </w:rPr>
    </w:lvl>
    <w:lvl w:ilvl="6">
      <w:start w:val="0"/>
      <w:numFmt w:val="bullet"/>
      <w:lvlText w:val="•"/>
      <w:lvlJc w:val="left"/>
      <w:pPr>
        <w:ind w:left="6952" w:hanging="269"/>
      </w:pPr>
      <w:rPr>
        <w:rFonts w:hint="default"/>
        <w:lang w:val="en-US" w:eastAsia="en-US" w:bidi="ar-SA"/>
      </w:rPr>
    </w:lvl>
    <w:lvl w:ilvl="7">
      <w:start w:val="0"/>
      <w:numFmt w:val="bullet"/>
      <w:lvlText w:val="•"/>
      <w:lvlJc w:val="left"/>
      <w:pPr>
        <w:ind w:left="7874" w:hanging="269"/>
      </w:pPr>
      <w:rPr>
        <w:rFonts w:hint="default"/>
        <w:lang w:val="en-US" w:eastAsia="en-US" w:bidi="ar-SA"/>
      </w:rPr>
    </w:lvl>
    <w:lvl w:ilvl="8">
      <w:start w:val="0"/>
      <w:numFmt w:val="bullet"/>
      <w:lvlText w:val="•"/>
      <w:lvlJc w:val="left"/>
      <w:pPr>
        <w:ind w:left="8796" w:hanging="269"/>
      </w:pPr>
      <w:rPr>
        <w:rFonts w:hint="default"/>
        <w:lang w:val="en-US" w:eastAsia="en-US" w:bidi="ar-SA"/>
      </w:rPr>
    </w:lvl>
  </w:abstractNum>
  <w:abstractNum w:abstractNumId="35">
    <w:multiLevelType w:val="hybridMultilevel"/>
    <w:lvl w:ilvl="0">
      <w:start w:val="1"/>
      <w:numFmt w:val="lowerLetter"/>
      <w:lvlText w:val="%1."/>
      <w:lvlJc w:val="left"/>
      <w:pPr>
        <w:ind w:left="141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1"/>
      <w:numFmt w:val="decimal"/>
      <w:lvlText w:val="%2."/>
      <w:lvlJc w:val="left"/>
      <w:pPr>
        <w:ind w:left="276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635" w:hanging="360"/>
      </w:pPr>
      <w:rPr>
        <w:rFonts w:hint="default"/>
        <w:lang w:val="en-US" w:eastAsia="en-US" w:bidi="ar-SA"/>
      </w:rPr>
    </w:lvl>
    <w:lvl w:ilvl="3">
      <w:start w:val="0"/>
      <w:numFmt w:val="bullet"/>
      <w:lvlText w:val="•"/>
      <w:lvlJc w:val="left"/>
      <w:pPr>
        <w:ind w:left="4511" w:hanging="360"/>
      </w:pPr>
      <w:rPr>
        <w:rFonts w:hint="default"/>
        <w:lang w:val="en-US" w:eastAsia="en-US" w:bidi="ar-SA"/>
      </w:rPr>
    </w:lvl>
    <w:lvl w:ilvl="4">
      <w:start w:val="0"/>
      <w:numFmt w:val="bullet"/>
      <w:lvlText w:val="•"/>
      <w:lvlJc w:val="left"/>
      <w:pPr>
        <w:ind w:left="5386" w:hanging="360"/>
      </w:pPr>
      <w:rPr>
        <w:rFonts w:hint="default"/>
        <w:lang w:val="en-US" w:eastAsia="en-US" w:bidi="ar-SA"/>
      </w:rPr>
    </w:lvl>
    <w:lvl w:ilvl="5">
      <w:start w:val="0"/>
      <w:numFmt w:val="bullet"/>
      <w:lvlText w:val="•"/>
      <w:lvlJc w:val="left"/>
      <w:pPr>
        <w:ind w:left="6262" w:hanging="360"/>
      </w:pPr>
      <w:rPr>
        <w:rFonts w:hint="default"/>
        <w:lang w:val="en-US" w:eastAsia="en-US" w:bidi="ar-SA"/>
      </w:rPr>
    </w:lvl>
    <w:lvl w:ilvl="6">
      <w:start w:val="0"/>
      <w:numFmt w:val="bullet"/>
      <w:lvlText w:val="•"/>
      <w:lvlJc w:val="left"/>
      <w:pPr>
        <w:ind w:left="7137" w:hanging="360"/>
      </w:pPr>
      <w:rPr>
        <w:rFonts w:hint="default"/>
        <w:lang w:val="en-US" w:eastAsia="en-US" w:bidi="ar-SA"/>
      </w:rPr>
    </w:lvl>
    <w:lvl w:ilvl="7">
      <w:start w:val="0"/>
      <w:numFmt w:val="bullet"/>
      <w:lvlText w:val="•"/>
      <w:lvlJc w:val="left"/>
      <w:pPr>
        <w:ind w:left="8013" w:hanging="360"/>
      </w:pPr>
      <w:rPr>
        <w:rFonts w:hint="default"/>
        <w:lang w:val="en-US" w:eastAsia="en-US" w:bidi="ar-SA"/>
      </w:rPr>
    </w:lvl>
    <w:lvl w:ilvl="8">
      <w:start w:val="0"/>
      <w:numFmt w:val="bullet"/>
      <w:lvlText w:val="•"/>
      <w:lvlJc w:val="left"/>
      <w:pPr>
        <w:ind w:left="8888" w:hanging="360"/>
      </w:pPr>
      <w:rPr>
        <w:rFonts w:hint="default"/>
        <w:lang w:val="en-US" w:eastAsia="en-US" w:bidi="ar-SA"/>
      </w:rPr>
    </w:lvl>
  </w:abstractNum>
  <w:abstractNum w:abstractNumId="34">
    <w:multiLevelType w:val="hybridMultilevel"/>
    <w:lvl w:ilvl="0">
      <w:start w:val="1"/>
      <w:numFmt w:val="decimal"/>
      <w:lvlText w:val="%1."/>
      <w:lvlJc w:val="left"/>
      <w:pPr>
        <w:ind w:left="285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638" w:hanging="360"/>
      </w:pPr>
      <w:rPr>
        <w:rFonts w:hint="default"/>
        <w:lang w:val="en-US" w:eastAsia="en-US" w:bidi="ar-SA"/>
      </w:rPr>
    </w:lvl>
    <w:lvl w:ilvl="2">
      <w:start w:val="0"/>
      <w:numFmt w:val="bullet"/>
      <w:lvlText w:val="•"/>
      <w:lvlJc w:val="left"/>
      <w:pPr>
        <w:ind w:left="4416" w:hanging="360"/>
      </w:pPr>
      <w:rPr>
        <w:rFonts w:hint="default"/>
        <w:lang w:val="en-US" w:eastAsia="en-US" w:bidi="ar-SA"/>
      </w:rPr>
    </w:lvl>
    <w:lvl w:ilvl="3">
      <w:start w:val="0"/>
      <w:numFmt w:val="bullet"/>
      <w:lvlText w:val="•"/>
      <w:lvlJc w:val="left"/>
      <w:pPr>
        <w:ind w:left="5194" w:hanging="360"/>
      </w:pPr>
      <w:rPr>
        <w:rFonts w:hint="default"/>
        <w:lang w:val="en-US" w:eastAsia="en-US" w:bidi="ar-SA"/>
      </w:rPr>
    </w:lvl>
    <w:lvl w:ilvl="4">
      <w:start w:val="0"/>
      <w:numFmt w:val="bullet"/>
      <w:lvlText w:val="•"/>
      <w:lvlJc w:val="left"/>
      <w:pPr>
        <w:ind w:left="5972" w:hanging="360"/>
      </w:pPr>
      <w:rPr>
        <w:rFonts w:hint="default"/>
        <w:lang w:val="en-US" w:eastAsia="en-US" w:bidi="ar-SA"/>
      </w:rPr>
    </w:lvl>
    <w:lvl w:ilvl="5">
      <w:start w:val="0"/>
      <w:numFmt w:val="bullet"/>
      <w:lvlText w:val="•"/>
      <w:lvlJc w:val="left"/>
      <w:pPr>
        <w:ind w:left="6750" w:hanging="360"/>
      </w:pPr>
      <w:rPr>
        <w:rFonts w:hint="default"/>
        <w:lang w:val="en-US" w:eastAsia="en-US" w:bidi="ar-SA"/>
      </w:rPr>
    </w:lvl>
    <w:lvl w:ilvl="6">
      <w:start w:val="0"/>
      <w:numFmt w:val="bullet"/>
      <w:lvlText w:val="•"/>
      <w:lvlJc w:val="left"/>
      <w:pPr>
        <w:ind w:left="7528" w:hanging="360"/>
      </w:pPr>
      <w:rPr>
        <w:rFonts w:hint="default"/>
        <w:lang w:val="en-US" w:eastAsia="en-US" w:bidi="ar-SA"/>
      </w:rPr>
    </w:lvl>
    <w:lvl w:ilvl="7">
      <w:start w:val="0"/>
      <w:numFmt w:val="bullet"/>
      <w:lvlText w:val="•"/>
      <w:lvlJc w:val="left"/>
      <w:pPr>
        <w:ind w:left="8306" w:hanging="360"/>
      </w:pPr>
      <w:rPr>
        <w:rFonts w:hint="default"/>
        <w:lang w:val="en-US" w:eastAsia="en-US" w:bidi="ar-SA"/>
      </w:rPr>
    </w:lvl>
    <w:lvl w:ilvl="8">
      <w:start w:val="0"/>
      <w:numFmt w:val="bullet"/>
      <w:lvlText w:val="•"/>
      <w:lvlJc w:val="left"/>
      <w:pPr>
        <w:ind w:left="9084" w:hanging="360"/>
      </w:pPr>
      <w:rPr>
        <w:rFonts w:hint="default"/>
        <w:lang w:val="en-US" w:eastAsia="en-US" w:bidi="ar-SA"/>
      </w:rPr>
    </w:lvl>
  </w:abstractNum>
  <w:abstractNum w:abstractNumId="33">
    <w:multiLevelType w:val="hybridMultilevel"/>
    <w:lvl w:ilvl="0">
      <w:start w:val="1"/>
      <w:numFmt w:val="decimal"/>
      <w:lvlText w:val="%1."/>
      <w:lvlJc w:val="left"/>
      <w:pPr>
        <w:ind w:left="285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638" w:hanging="360"/>
      </w:pPr>
      <w:rPr>
        <w:rFonts w:hint="default"/>
        <w:lang w:val="en-US" w:eastAsia="en-US" w:bidi="ar-SA"/>
      </w:rPr>
    </w:lvl>
    <w:lvl w:ilvl="2">
      <w:start w:val="0"/>
      <w:numFmt w:val="bullet"/>
      <w:lvlText w:val="•"/>
      <w:lvlJc w:val="left"/>
      <w:pPr>
        <w:ind w:left="4416" w:hanging="360"/>
      </w:pPr>
      <w:rPr>
        <w:rFonts w:hint="default"/>
        <w:lang w:val="en-US" w:eastAsia="en-US" w:bidi="ar-SA"/>
      </w:rPr>
    </w:lvl>
    <w:lvl w:ilvl="3">
      <w:start w:val="0"/>
      <w:numFmt w:val="bullet"/>
      <w:lvlText w:val="•"/>
      <w:lvlJc w:val="left"/>
      <w:pPr>
        <w:ind w:left="5194" w:hanging="360"/>
      </w:pPr>
      <w:rPr>
        <w:rFonts w:hint="default"/>
        <w:lang w:val="en-US" w:eastAsia="en-US" w:bidi="ar-SA"/>
      </w:rPr>
    </w:lvl>
    <w:lvl w:ilvl="4">
      <w:start w:val="0"/>
      <w:numFmt w:val="bullet"/>
      <w:lvlText w:val="•"/>
      <w:lvlJc w:val="left"/>
      <w:pPr>
        <w:ind w:left="5972" w:hanging="360"/>
      </w:pPr>
      <w:rPr>
        <w:rFonts w:hint="default"/>
        <w:lang w:val="en-US" w:eastAsia="en-US" w:bidi="ar-SA"/>
      </w:rPr>
    </w:lvl>
    <w:lvl w:ilvl="5">
      <w:start w:val="0"/>
      <w:numFmt w:val="bullet"/>
      <w:lvlText w:val="•"/>
      <w:lvlJc w:val="left"/>
      <w:pPr>
        <w:ind w:left="6750" w:hanging="360"/>
      </w:pPr>
      <w:rPr>
        <w:rFonts w:hint="default"/>
        <w:lang w:val="en-US" w:eastAsia="en-US" w:bidi="ar-SA"/>
      </w:rPr>
    </w:lvl>
    <w:lvl w:ilvl="6">
      <w:start w:val="0"/>
      <w:numFmt w:val="bullet"/>
      <w:lvlText w:val="•"/>
      <w:lvlJc w:val="left"/>
      <w:pPr>
        <w:ind w:left="7528" w:hanging="360"/>
      </w:pPr>
      <w:rPr>
        <w:rFonts w:hint="default"/>
        <w:lang w:val="en-US" w:eastAsia="en-US" w:bidi="ar-SA"/>
      </w:rPr>
    </w:lvl>
    <w:lvl w:ilvl="7">
      <w:start w:val="0"/>
      <w:numFmt w:val="bullet"/>
      <w:lvlText w:val="•"/>
      <w:lvlJc w:val="left"/>
      <w:pPr>
        <w:ind w:left="8306" w:hanging="360"/>
      </w:pPr>
      <w:rPr>
        <w:rFonts w:hint="default"/>
        <w:lang w:val="en-US" w:eastAsia="en-US" w:bidi="ar-SA"/>
      </w:rPr>
    </w:lvl>
    <w:lvl w:ilvl="8">
      <w:start w:val="0"/>
      <w:numFmt w:val="bullet"/>
      <w:lvlText w:val="•"/>
      <w:lvlJc w:val="left"/>
      <w:pPr>
        <w:ind w:left="9084" w:hanging="360"/>
      </w:pPr>
      <w:rPr>
        <w:rFonts w:hint="default"/>
        <w:lang w:val="en-US" w:eastAsia="en-US" w:bidi="ar-SA"/>
      </w:rPr>
    </w:lvl>
  </w:abstractNum>
  <w:abstractNum w:abstractNumId="32">
    <w:multiLevelType w:val="hybridMultilevel"/>
    <w:lvl w:ilvl="0">
      <w:start w:val="1"/>
      <w:numFmt w:val="decimal"/>
      <w:lvlText w:val="%1."/>
      <w:lvlJc w:val="left"/>
      <w:pPr>
        <w:ind w:left="285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638" w:hanging="360"/>
      </w:pPr>
      <w:rPr>
        <w:rFonts w:hint="default"/>
        <w:lang w:val="en-US" w:eastAsia="en-US" w:bidi="ar-SA"/>
      </w:rPr>
    </w:lvl>
    <w:lvl w:ilvl="2">
      <w:start w:val="0"/>
      <w:numFmt w:val="bullet"/>
      <w:lvlText w:val="•"/>
      <w:lvlJc w:val="left"/>
      <w:pPr>
        <w:ind w:left="4416" w:hanging="360"/>
      </w:pPr>
      <w:rPr>
        <w:rFonts w:hint="default"/>
        <w:lang w:val="en-US" w:eastAsia="en-US" w:bidi="ar-SA"/>
      </w:rPr>
    </w:lvl>
    <w:lvl w:ilvl="3">
      <w:start w:val="0"/>
      <w:numFmt w:val="bullet"/>
      <w:lvlText w:val="•"/>
      <w:lvlJc w:val="left"/>
      <w:pPr>
        <w:ind w:left="5194" w:hanging="360"/>
      </w:pPr>
      <w:rPr>
        <w:rFonts w:hint="default"/>
        <w:lang w:val="en-US" w:eastAsia="en-US" w:bidi="ar-SA"/>
      </w:rPr>
    </w:lvl>
    <w:lvl w:ilvl="4">
      <w:start w:val="0"/>
      <w:numFmt w:val="bullet"/>
      <w:lvlText w:val="•"/>
      <w:lvlJc w:val="left"/>
      <w:pPr>
        <w:ind w:left="5972" w:hanging="360"/>
      </w:pPr>
      <w:rPr>
        <w:rFonts w:hint="default"/>
        <w:lang w:val="en-US" w:eastAsia="en-US" w:bidi="ar-SA"/>
      </w:rPr>
    </w:lvl>
    <w:lvl w:ilvl="5">
      <w:start w:val="0"/>
      <w:numFmt w:val="bullet"/>
      <w:lvlText w:val="•"/>
      <w:lvlJc w:val="left"/>
      <w:pPr>
        <w:ind w:left="6750" w:hanging="360"/>
      </w:pPr>
      <w:rPr>
        <w:rFonts w:hint="default"/>
        <w:lang w:val="en-US" w:eastAsia="en-US" w:bidi="ar-SA"/>
      </w:rPr>
    </w:lvl>
    <w:lvl w:ilvl="6">
      <w:start w:val="0"/>
      <w:numFmt w:val="bullet"/>
      <w:lvlText w:val="•"/>
      <w:lvlJc w:val="left"/>
      <w:pPr>
        <w:ind w:left="7528" w:hanging="360"/>
      </w:pPr>
      <w:rPr>
        <w:rFonts w:hint="default"/>
        <w:lang w:val="en-US" w:eastAsia="en-US" w:bidi="ar-SA"/>
      </w:rPr>
    </w:lvl>
    <w:lvl w:ilvl="7">
      <w:start w:val="0"/>
      <w:numFmt w:val="bullet"/>
      <w:lvlText w:val="•"/>
      <w:lvlJc w:val="left"/>
      <w:pPr>
        <w:ind w:left="8306" w:hanging="360"/>
      </w:pPr>
      <w:rPr>
        <w:rFonts w:hint="default"/>
        <w:lang w:val="en-US" w:eastAsia="en-US" w:bidi="ar-SA"/>
      </w:rPr>
    </w:lvl>
    <w:lvl w:ilvl="8">
      <w:start w:val="0"/>
      <w:numFmt w:val="bullet"/>
      <w:lvlText w:val="•"/>
      <w:lvlJc w:val="left"/>
      <w:pPr>
        <w:ind w:left="9084" w:hanging="360"/>
      </w:pPr>
      <w:rPr>
        <w:rFonts w:hint="default"/>
        <w:lang w:val="en-US" w:eastAsia="en-US" w:bidi="ar-SA"/>
      </w:rPr>
    </w:lvl>
  </w:abstractNum>
  <w:abstractNum w:abstractNumId="31">
    <w:multiLevelType w:val="hybridMultilevel"/>
    <w:lvl w:ilvl="0">
      <w:start w:val="1"/>
      <w:numFmt w:val="decimal"/>
      <w:lvlText w:val="%1."/>
      <w:lvlJc w:val="left"/>
      <w:pPr>
        <w:ind w:left="285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638" w:hanging="360"/>
      </w:pPr>
      <w:rPr>
        <w:rFonts w:hint="default"/>
        <w:lang w:val="en-US" w:eastAsia="en-US" w:bidi="ar-SA"/>
      </w:rPr>
    </w:lvl>
    <w:lvl w:ilvl="2">
      <w:start w:val="0"/>
      <w:numFmt w:val="bullet"/>
      <w:lvlText w:val="•"/>
      <w:lvlJc w:val="left"/>
      <w:pPr>
        <w:ind w:left="4416" w:hanging="360"/>
      </w:pPr>
      <w:rPr>
        <w:rFonts w:hint="default"/>
        <w:lang w:val="en-US" w:eastAsia="en-US" w:bidi="ar-SA"/>
      </w:rPr>
    </w:lvl>
    <w:lvl w:ilvl="3">
      <w:start w:val="0"/>
      <w:numFmt w:val="bullet"/>
      <w:lvlText w:val="•"/>
      <w:lvlJc w:val="left"/>
      <w:pPr>
        <w:ind w:left="5194" w:hanging="360"/>
      </w:pPr>
      <w:rPr>
        <w:rFonts w:hint="default"/>
        <w:lang w:val="en-US" w:eastAsia="en-US" w:bidi="ar-SA"/>
      </w:rPr>
    </w:lvl>
    <w:lvl w:ilvl="4">
      <w:start w:val="0"/>
      <w:numFmt w:val="bullet"/>
      <w:lvlText w:val="•"/>
      <w:lvlJc w:val="left"/>
      <w:pPr>
        <w:ind w:left="5972" w:hanging="360"/>
      </w:pPr>
      <w:rPr>
        <w:rFonts w:hint="default"/>
        <w:lang w:val="en-US" w:eastAsia="en-US" w:bidi="ar-SA"/>
      </w:rPr>
    </w:lvl>
    <w:lvl w:ilvl="5">
      <w:start w:val="0"/>
      <w:numFmt w:val="bullet"/>
      <w:lvlText w:val="•"/>
      <w:lvlJc w:val="left"/>
      <w:pPr>
        <w:ind w:left="6750" w:hanging="360"/>
      </w:pPr>
      <w:rPr>
        <w:rFonts w:hint="default"/>
        <w:lang w:val="en-US" w:eastAsia="en-US" w:bidi="ar-SA"/>
      </w:rPr>
    </w:lvl>
    <w:lvl w:ilvl="6">
      <w:start w:val="0"/>
      <w:numFmt w:val="bullet"/>
      <w:lvlText w:val="•"/>
      <w:lvlJc w:val="left"/>
      <w:pPr>
        <w:ind w:left="7528" w:hanging="360"/>
      </w:pPr>
      <w:rPr>
        <w:rFonts w:hint="default"/>
        <w:lang w:val="en-US" w:eastAsia="en-US" w:bidi="ar-SA"/>
      </w:rPr>
    </w:lvl>
    <w:lvl w:ilvl="7">
      <w:start w:val="0"/>
      <w:numFmt w:val="bullet"/>
      <w:lvlText w:val="•"/>
      <w:lvlJc w:val="left"/>
      <w:pPr>
        <w:ind w:left="8306" w:hanging="360"/>
      </w:pPr>
      <w:rPr>
        <w:rFonts w:hint="default"/>
        <w:lang w:val="en-US" w:eastAsia="en-US" w:bidi="ar-SA"/>
      </w:rPr>
    </w:lvl>
    <w:lvl w:ilvl="8">
      <w:start w:val="0"/>
      <w:numFmt w:val="bullet"/>
      <w:lvlText w:val="•"/>
      <w:lvlJc w:val="left"/>
      <w:pPr>
        <w:ind w:left="9084" w:hanging="360"/>
      </w:pPr>
      <w:rPr>
        <w:rFonts w:hint="default"/>
        <w:lang w:val="en-US" w:eastAsia="en-US" w:bidi="ar-SA"/>
      </w:rPr>
    </w:lvl>
  </w:abstractNum>
  <w:abstractNum w:abstractNumId="30">
    <w:multiLevelType w:val="hybridMultilevel"/>
    <w:lvl w:ilvl="0">
      <w:start w:val="1"/>
      <w:numFmt w:val="decimal"/>
      <w:lvlText w:val="%1."/>
      <w:lvlJc w:val="left"/>
      <w:pPr>
        <w:ind w:left="285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638" w:hanging="360"/>
      </w:pPr>
      <w:rPr>
        <w:rFonts w:hint="default"/>
        <w:lang w:val="en-US" w:eastAsia="en-US" w:bidi="ar-SA"/>
      </w:rPr>
    </w:lvl>
    <w:lvl w:ilvl="2">
      <w:start w:val="0"/>
      <w:numFmt w:val="bullet"/>
      <w:lvlText w:val="•"/>
      <w:lvlJc w:val="left"/>
      <w:pPr>
        <w:ind w:left="4416" w:hanging="360"/>
      </w:pPr>
      <w:rPr>
        <w:rFonts w:hint="default"/>
        <w:lang w:val="en-US" w:eastAsia="en-US" w:bidi="ar-SA"/>
      </w:rPr>
    </w:lvl>
    <w:lvl w:ilvl="3">
      <w:start w:val="0"/>
      <w:numFmt w:val="bullet"/>
      <w:lvlText w:val="•"/>
      <w:lvlJc w:val="left"/>
      <w:pPr>
        <w:ind w:left="5194" w:hanging="360"/>
      </w:pPr>
      <w:rPr>
        <w:rFonts w:hint="default"/>
        <w:lang w:val="en-US" w:eastAsia="en-US" w:bidi="ar-SA"/>
      </w:rPr>
    </w:lvl>
    <w:lvl w:ilvl="4">
      <w:start w:val="0"/>
      <w:numFmt w:val="bullet"/>
      <w:lvlText w:val="•"/>
      <w:lvlJc w:val="left"/>
      <w:pPr>
        <w:ind w:left="5972" w:hanging="360"/>
      </w:pPr>
      <w:rPr>
        <w:rFonts w:hint="default"/>
        <w:lang w:val="en-US" w:eastAsia="en-US" w:bidi="ar-SA"/>
      </w:rPr>
    </w:lvl>
    <w:lvl w:ilvl="5">
      <w:start w:val="0"/>
      <w:numFmt w:val="bullet"/>
      <w:lvlText w:val="•"/>
      <w:lvlJc w:val="left"/>
      <w:pPr>
        <w:ind w:left="6750" w:hanging="360"/>
      </w:pPr>
      <w:rPr>
        <w:rFonts w:hint="default"/>
        <w:lang w:val="en-US" w:eastAsia="en-US" w:bidi="ar-SA"/>
      </w:rPr>
    </w:lvl>
    <w:lvl w:ilvl="6">
      <w:start w:val="0"/>
      <w:numFmt w:val="bullet"/>
      <w:lvlText w:val="•"/>
      <w:lvlJc w:val="left"/>
      <w:pPr>
        <w:ind w:left="7528" w:hanging="360"/>
      </w:pPr>
      <w:rPr>
        <w:rFonts w:hint="default"/>
        <w:lang w:val="en-US" w:eastAsia="en-US" w:bidi="ar-SA"/>
      </w:rPr>
    </w:lvl>
    <w:lvl w:ilvl="7">
      <w:start w:val="0"/>
      <w:numFmt w:val="bullet"/>
      <w:lvlText w:val="•"/>
      <w:lvlJc w:val="left"/>
      <w:pPr>
        <w:ind w:left="8306" w:hanging="360"/>
      </w:pPr>
      <w:rPr>
        <w:rFonts w:hint="default"/>
        <w:lang w:val="en-US" w:eastAsia="en-US" w:bidi="ar-SA"/>
      </w:rPr>
    </w:lvl>
    <w:lvl w:ilvl="8">
      <w:start w:val="0"/>
      <w:numFmt w:val="bullet"/>
      <w:lvlText w:val="•"/>
      <w:lvlJc w:val="left"/>
      <w:pPr>
        <w:ind w:left="9084" w:hanging="360"/>
      </w:pPr>
      <w:rPr>
        <w:rFonts w:hint="default"/>
        <w:lang w:val="en-US" w:eastAsia="en-US" w:bidi="ar-SA"/>
      </w:rPr>
    </w:lvl>
  </w:abstractNum>
  <w:abstractNum w:abstractNumId="29">
    <w:multiLevelType w:val="hybridMultilevel"/>
    <w:lvl w:ilvl="0">
      <w:start w:val="1"/>
      <w:numFmt w:val="decimal"/>
      <w:lvlText w:val="%1."/>
      <w:lvlJc w:val="left"/>
      <w:pPr>
        <w:ind w:left="285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638" w:hanging="360"/>
      </w:pPr>
      <w:rPr>
        <w:rFonts w:hint="default"/>
        <w:lang w:val="en-US" w:eastAsia="en-US" w:bidi="ar-SA"/>
      </w:rPr>
    </w:lvl>
    <w:lvl w:ilvl="2">
      <w:start w:val="0"/>
      <w:numFmt w:val="bullet"/>
      <w:lvlText w:val="•"/>
      <w:lvlJc w:val="left"/>
      <w:pPr>
        <w:ind w:left="4416" w:hanging="360"/>
      </w:pPr>
      <w:rPr>
        <w:rFonts w:hint="default"/>
        <w:lang w:val="en-US" w:eastAsia="en-US" w:bidi="ar-SA"/>
      </w:rPr>
    </w:lvl>
    <w:lvl w:ilvl="3">
      <w:start w:val="0"/>
      <w:numFmt w:val="bullet"/>
      <w:lvlText w:val="•"/>
      <w:lvlJc w:val="left"/>
      <w:pPr>
        <w:ind w:left="5194" w:hanging="360"/>
      </w:pPr>
      <w:rPr>
        <w:rFonts w:hint="default"/>
        <w:lang w:val="en-US" w:eastAsia="en-US" w:bidi="ar-SA"/>
      </w:rPr>
    </w:lvl>
    <w:lvl w:ilvl="4">
      <w:start w:val="0"/>
      <w:numFmt w:val="bullet"/>
      <w:lvlText w:val="•"/>
      <w:lvlJc w:val="left"/>
      <w:pPr>
        <w:ind w:left="5972" w:hanging="360"/>
      </w:pPr>
      <w:rPr>
        <w:rFonts w:hint="default"/>
        <w:lang w:val="en-US" w:eastAsia="en-US" w:bidi="ar-SA"/>
      </w:rPr>
    </w:lvl>
    <w:lvl w:ilvl="5">
      <w:start w:val="0"/>
      <w:numFmt w:val="bullet"/>
      <w:lvlText w:val="•"/>
      <w:lvlJc w:val="left"/>
      <w:pPr>
        <w:ind w:left="6750" w:hanging="360"/>
      </w:pPr>
      <w:rPr>
        <w:rFonts w:hint="default"/>
        <w:lang w:val="en-US" w:eastAsia="en-US" w:bidi="ar-SA"/>
      </w:rPr>
    </w:lvl>
    <w:lvl w:ilvl="6">
      <w:start w:val="0"/>
      <w:numFmt w:val="bullet"/>
      <w:lvlText w:val="•"/>
      <w:lvlJc w:val="left"/>
      <w:pPr>
        <w:ind w:left="7528" w:hanging="360"/>
      </w:pPr>
      <w:rPr>
        <w:rFonts w:hint="default"/>
        <w:lang w:val="en-US" w:eastAsia="en-US" w:bidi="ar-SA"/>
      </w:rPr>
    </w:lvl>
    <w:lvl w:ilvl="7">
      <w:start w:val="0"/>
      <w:numFmt w:val="bullet"/>
      <w:lvlText w:val="•"/>
      <w:lvlJc w:val="left"/>
      <w:pPr>
        <w:ind w:left="8306" w:hanging="360"/>
      </w:pPr>
      <w:rPr>
        <w:rFonts w:hint="default"/>
        <w:lang w:val="en-US" w:eastAsia="en-US" w:bidi="ar-SA"/>
      </w:rPr>
    </w:lvl>
    <w:lvl w:ilvl="8">
      <w:start w:val="0"/>
      <w:numFmt w:val="bullet"/>
      <w:lvlText w:val="•"/>
      <w:lvlJc w:val="left"/>
      <w:pPr>
        <w:ind w:left="9084" w:hanging="360"/>
      </w:pPr>
      <w:rPr>
        <w:rFonts w:hint="default"/>
        <w:lang w:val="en-US" w:eastAsia="en-US" w:bidi="ar-SA"/>
      </w:rPr>
    </w:lvl>
  </w:abstractNum>
  <w:abstractNum w:abstractNumId="28">
    <w:multiLevelType w:val="hybridMultilevel"/>
    <w:lvl w:ilvl="0">
      <w:start w:val="1"/>
      <w:numFmt w:val="decimal"/>
      <w:lvlText w:val="%1."/>
      <w:lvlJc w:val="left"/>
      <w:pPr>
        <w:ind w:left="285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638" w:hanging="360"/>
      </w:pPr>
      <w:rPr>
        <w:rFonts w:hint="default"/>
        <w:lang w:val="en-US" w:eastAsia="en-US" w:bidi="ar-SA"/>
      </w:rPr>
    </w:lvl>
    <w:lvl w:ilvl="2">
      <w:start w:val="0"/>
      <w:numFmt w:val="bullet"/>
      <w:lvlText w:val="•"/>
      <w:lvlJc w:val="left"/>
      <w:pPr>
        <w:ind w:left="4416" w:hanging="360"/>
      </w:pPr>
      <w:rPr>
        <w:rFonts w:hint="default"/>
        <w:lang w:val="en-US" w:eastAsia="en-US" w:bidi="ar-SA"/>
      </w:rPr>
    </w:lvl>
    <w:lvl w:ilvl="3">
      <w:start w:val="0"/>
      <w:numFmt w:val="bullet"/>
      <w:lvlText w:val="•"/>
      <w:lvlJc w:val="left"/>
      <w:pPr>
        <w:ind w:left="5194" w:hanging="360"/>
      </w:pPr>
      <w:rPr>
        <w:rFonts w:hint="default"/>
        <w:lang w:val="en-US" w:eastAsia="en-US" w:bidi="ar-SA"/>
      </w:rPr>
    </w:lvl>
    <w:lvl w:ilvl="4">
      <w:start w:val="0"/>
      <w:numFmt w:val="bullet"/>
      <w:lvlText w:val="•"/>
      <w:lvlJc w:val="left"/>
      <w:pPr>
        <w:ind w:left="5972" w:hanging="360"/>
      </w:pPr>
      <w:rPr>
        <w:rFonts w:hint="default"/>
        <w:lang w:val="en-US" w:eastAsia="en-US" w:bidi="ar-SA"/>
      </w:rPr>
    </w:lvl>
    <w:lvl w:ilvl="5">
      <w:start w:val="0"/>
      <w:numFmt w:val="bullet"/>
      <w:lvlText w:val="•"/>
      <w:lvlJc w:val="left"/>
      <w:pPr>
        <w:ind w:left="6750" w:hanging="360"/>
      </w:pPr>
      <w:rPr>
        <w:rFonts w:hint="default"/>
        <w:lang w:val="en-US" w:eastAsia="en-US" w:bidi="ar-SA"/>
      </w:rPr>
    </w:lvl>
    <w:lvl w:ilvl="6">
      <w:start w:val="0"/>
      <w:numFmt w:val="bullet"/>
      <w:lvlText w:val="•"/>
      <w:lvlJc w:val="left"/>
      <w:pPr>
        <w:ind w:left="7528" w:hanging="360"/>
      </w:pPr>
      <w:rPr>
        <w:rFonts w:hint="default"/>
        <w:lang w:val="en-US" w:eastAsia="en-US" w:bidi="ar-SA"/>
      </w:rPr>
    </w:lvl>
    <w:lvl w:ilvl="7">
      <w:start w:val="0"/>
      <w:numFmt w:val="bullet"/>
      <w:lvlText w:val="•"/>
      <w:lvlJc w:val="left"/>
      <w:pPr>
        <w:ind w:left="8306" w:hanging="360"/>
      </w:pPr>
      <w:rPr>
        <w:rFonts w:hint="default"/>
        <w:lang w:val="en-US" w:eastAsia="en-US" w:bidi="ar-SA"/>
      </w:rPr>
    </w:lvl>
    <w:lvl w:ilvl="8">
      <w:start w:val="0"/>
      <w:numFmt w:val="bullet"/>
      <w:lvlText w:val="•"/>
      <w:lvlJc w:val="left"/>
      <w:pPr>
        <w:ind w:left="9084" w:hanging="360"/>
      </w:pPr>
      <w:rPr>
        <w:rFonts w:hint="default"/>
        <w:lang w:val="en-US" w:eastAsia="en-US" w:bidi="ar-SA"/>
      </w:rPr>
    </w:lvl>
  </w:abstractNum>
  <w:abstractNum w:abstractNumId="27">
    <w:multiLevelType w:val="hybridMultilevel"/>
    <w:lvl w:ilvl="0">
      <w:start w:val="1"/>
      <w:numFmt w:val="decimal"/>
      <w:lvlText w:val="%1."/>
      <w:lvlJc w:val="left"/>
      <w:pPr>
        <w:ind w:left="285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638" w:hanging="360"/>
      </w:pPr>
      <w:rPr>
        <w:rFonts w:hint="default"/>
        <w:lang w:val="en-US" w:eastAsia="en-US" w:bidi="ar-SA"/>
      </w:rPr>
    </w:lvl>
    <w:lvl w:ilvl="2">
      <w:start w:val="0"/>
      <w:numFmt w:val="bullet"/>
      <w:lvlText w:val="•"/>
      <w:lvlJc w:val="left"/>
      <w:pPr>
        <w:ind w:left="4416" w:hanging="360"/>
      </w:pPr>
      <w:rPr>
        <w:rFonts w:hint="default"/>
        <w:lang w:val="en-US" w:eastAsia="en-US" w:bidi="ar-SA"/>
      </w:rPr>
    </w:lvl>
    <w:lvl w:ilvl="3">
      <w:start w:val="0"/>
      <w:numFmt w:val="bullet"/>
      <w:lvlText w:val="•"/>
      <w:lvlJc w:val="left"/>
      <w:pPr>
        <w:ind w:left="5194" w:hanging="360"/>
      </w:pPr>
      <w:rPr>
        <w:rFonts w:hint="default"/>
        <w:lang w:val="en-US" w:eastAsia="en-US" w:bidi="ar-SA"/>
      </w:rPr>
    </w:lvl>
    <w:lvl w:ilvl="4">
      <w:start w:val="0"/>
      <w:numFmt w:val="bullet"/>
      <w:lvlText w:val="•"/>
      <w:lvlJc w:val="left"/>
      <w:pPr>
        <w:ind w:left="5972" w:hanging="360"/>
      </w:pPr>
      <w:rPr>
        <w:rFonts w:hint="default"/>
        <w:lang w:val="en-US" w:eastAsia="en-US" w:bidi="ar-SA"/>
      </w:rPr>
    </w:lvl>
    <w:lvl w:ilvl="5">
      <w:start w:val="0"/>
      <w:numFmt w:val="bullet"/>
      <w:lvlText w:val="•"/>
      <w:lvlJc w:val="left"/>
      <w:pPr>
        <w:ind w:left="6750" w:hanging="360"/>
      </w:pPr>
      <w:rPr>
        <w:rFonts w:hint="default"/>
        <w:lang w:val="en-US" w:eastAsia="en-US" w:bidi="ar-SA"/>
      </w:rPr>
    </w:lvl>
    <w:lvl w:ilvl="6">
      <w:start w:val="0"/>
      <w:numFmt w:val="bullet"/>
      <w:lvlText w:val="•"/>
      <w:lvlJc w:val="left"/>
      <w:pPr>
        <w:ind w:left="7528" w:hanging="360"/>
      </w:pPr>
      <w:rPr>
        <w:rFonts w:hint="default"/>
        <w:lang w:val="en-US" w:eastAsia="en-US" w:bidi="ar-SA"/>
      </w:rPr>
    </w:lvl>
    <w:lvl w:ilvl="7">
      <w:start w:val="0"/>
      <w:numFmt w:val="bullet"/>
      <w:lvlText w:val="•"/>
      <w:lvlJc w:val="left"/>
      <w:pPr>
        <w:ind w:left="8306" w:hanging="360"/>
      </w:pPr>
      <w:rPr>
        <w:rFonts w:hint="default"/>
        <w:lang w:val="en-US" w:eastAsia="en-US" w:bidi="ar-SA"/>
      </w:rPr>
    </w:lvl>
    <w:lvl w:ilvl="8">
      <w:start w:val="0"/>
      <w:numFmt w:val="bullet"/>
      <w:lvlText w:val="•"/>
      <w:lvlJc w:val="left"/>
      <w:pPr>
        <w:ind w:left="9084" w:hanging="360"/>
      </w:pPr>
      <w:rPr>
        <w:rFonts w:hint="default"/>
        <w:lang w:val="en-US" w:eastAsia="en-US" w:bidi="ar-SA"/>
      </w:rPr>
    </w:lvl>
  </w:abstractNum>
  <w:abstractNum w:abstractNumId="26">
    <w:multiLevelType w:val="hybridMultilevel"/>
    <w:lvl w:ilvl="0">
      <w:start w:val="1"/>
      <w:numFmt w:val="decimal"/>
      <w:lvlText w:val="%1."/>
      <w:lvlJc w:val="left"/>
      <w:pPr>
        <w:ind w:left="285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638" w:hanging="360"/>
      </w:pPr>
      <w:rPr>
        <w:rFonts w:hint="default"/>
        <w:lang w:val="en-US" w:eastAsia="en-US" w:bidi="ar-SA"/>
      </w:rPr>
    </w:lvl>
    <w:lvl w:ilvl="2">
      <w:start w:val="0"/>
      <w:numFmt w:val="bullet"/>
      <w:lvlText w:val="•"/>
      <w:lvlJc w:val="left"/>
      <w:pPr>
        <w:ind w:left="4416" w:hanging="360"/>
      </w:pPr>
      <w:rPr>
        <w:rFonts w:hint="default"/>
        <w:lang w:val="en-US" w:eastAsia="en-US" w:bidi="ar-SA"/>
      </w:rPr>
    </w:lvl>
    <w:lvl w:ilvl="3">
      <w:start w:val="0"/>
      <w:numFmt w:val="bullet"/>
      <w:lvlText w:val="•"/>
      <w:lvlJc w:val="left"/>
      <w:pPr>
        <w:ind w:left="5194" w:hanging="360"/>
      </w:pPr>
      <w:rPr>
        <w:rFonts w:hint="default"/>
        <w:lang w:val="en-US" w:eastAsia="en-US" w:bidi="ar-SA"/>
      </w:rPr>
    </w:lvl>
    <w:lvl w:ilvl="4">
      <w:start w:val="0"/>
      <w:numFmt w:val="bullet"/>
      <w:lvlText w:val="•"/>
      <w:lvlJc w:val="left"/>
      <w:pPr>
        <w:ind w:left="5972" w:hanging="360"/>
      </w:pPr>
      <w:rPr>
        <w:rFonts w:hint="default"/>
        <w:lang w:val="en-US" w:eastAsia="en-US" w:bidi="ar-SA"/>
      </w:rPr>
    </w:lvl>
    <w:lvl w:ilvl="5">
      <w:start w:val="0"/>
      <w:numFmt w:val="bullet"/>
      <w:lvlText w:val="•"/>
      <w:lvlJc w:val="left"/>
      <w:pPr>
        <w:ind w:left="6750" w:hanging="360"/>
      </w:pPr>
      <w:rPr>
        <w:rFonts w:hint="default"/>
        <w:lang w:val="en-US" w:eastAsia="en-US" w:bidi="ar-SA"/>
      </w:rPr>
    </w:lvl>
    <w:lvl w:ilvl="6">
      <w:start w:val="0"/>
      <w:numFmt w:val="bullet"/>
      <w:lvlText w:val="•"/>
      <w:lvlJc w:val="left"/>
      <w:pPr>
        <w:ind w:left="7528" w:hanging="360"/>
      </w:pPr>
      <w:rPr>
        <w:rFonts w:hint="default"/>
        <w:lang w:val="en-US" w:eastAsia="en-US" w:bidi="ar-SA"/>
      </w:rPr>
    </w:lvl>
    <w:lvl w:ilvl="7">
      <w:start w:val="0"/>
      <w:numFmt w:val="bullet"/>
      <w:lvlText w:val="•"/>
      <w:lvlJc w:val="left"/>
      <w:pPr>
        <w:ind w:left="8306" w:hanging="360"/>
      </w:pPr>
      <w:rPr>
        <w:rFonts w:hint="default"/>
        <w:lang w:val="en-US" w:eastAsia="en-US" w:bidi="ar-SA"/>
      </w:rPr>
    </w:lvl>
    <w:lvl w:ilvl="8">
      <w:start w:val="0"/>
      <w:numFmt w:val="bullet"/>
      <w:lvlText w:val="•"/>
      <w:lvlJc w:val="left"/>
      <w:pPr>
        <w:ind w:left="9084" w:hanging="360"/>
      </w:pPr>
      <w:rPr>
        <w:rFonts w:hint="default"/>
        <w:lang w:val="en-US" w:eastAsia="en-US" w:bidi="ar-SA"/>
      </w:rPr>
    </w:lvl>
  </w:abstractNum>
  <w:abstractNum w:abstractNumId="25">
    <w:multiLevelType w:val="hybridMultilevel"/>
    <w:lvl w:ilvl="0">
      <w:start w:val="1"/>
      <w:numFmt w:val="decimal"/>
      <w:lvlText w:val="%1."/>
      <w:lvlJc w:val="left"/>
      <w:pPr>
        <w:ind w:left="285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638" w:hanging="360"/>
      </w:pPr>
      <w:rPr>
        <w:rFonts w:hint="default"/>
        <w:lang w:val="en-US" w:eastAsia="en-US" w:bidi="ar-SA"/>
      </w:rPr>
    </w:lvl>
    <w:lvl w:ilvl="2">
      <w:start w:val="0"/>
      <w:numFmt w:val="bullet"/>
      <w:lvlText w:val="•"/>
      <w:lvlJc w:val="left"/>
      <w:pPr>
        <w:ind w:left="4416" w:hanging="360"/>
      </w:pPr>
      <w:rPr>
        <w:rFonts w:hint="default"/>
        <w:lang w:val="en-US" w:eastAsia="en-US" w:bidi="ar-SA"/>
      </w:rPr>
    </w:lvl>
    <w:lvl w:ilvl="3">
      <w:start w:val="0"/>
      <w:numFmt w:val="bullet"/>
      <w:lvlText w:val="•"/>
      <w:lvlJc w:val="left"/>
      <w:pPr>
        <w:ind w:left="5194" w:hanging="360"/>
      </w:pPr>
      <w:rPr>
        <w:rFonts w:hint="default"/>
        <w:lang w:val="en-US" w:eastAsia="en-US" w:bidi="ar-SA"/>
      </w:rPr>
    </w:lvl>
    <w:lvl w:ilvl="4">
      <w:start w:val="0"/>
      <w:numFmt w:val="bullet"/>
      <w:lvlText w:val="•"/>
      <w:lvlJc w:val="left"/>
      <w:pPr>
        <w:ind w:left="5972" w:hanging="360"/>
      </w:pPr>
      <w:rPr>
        <w:rFonts w:hint="default"/>
        <w:lang w:val="en-US" w:eastAsia="en-US" w:bidi="ar-SA"/>
      </w:rPr>
    </w:lvl>
    <w:lvl w:ilvl="5">
      <w:start w:val="0"/>
      <w:numFmt w:val="bullet"/>
      <w:lvlText w:val="•"/>
      <w:lvlJc w:val="left"/>
      <w:pPr>
        <w:ind w:left="6750" w:hanging="360"/>
      </w:pPr>
      <w:rPr>
        <w:rFonts w:hint="default"/>
        <w:lang w:val="en-US" w:eastAsia="en-US" w:bidi="ar-SA"/>
      </w:rPr>
    </w:lvl>
    <w:lvl w:ilvl="6">
      <w:start w:val="0"/>
      <w:numFmt w:val="bullet"/>
      <w:lvlText w:val="•"/>
      <w:lvlJc w:val="left"/>
      <w:pPr>
        <w:ind w:left="7528" w:hanging="360"/>
      </w:pPr>
      <w:rPr>
        <w:rFonts w:hint="default"/>
        <w:lang w:val="en-US" w:eastAsia="en-US" w:bidi="ar-SA"/>
      </w:rPr>
    </w:lvl>
    <w:lvl w:ilvl="7">
      <w:start w:val="0"/>
      <w:numFmt w:val="bullet"/>
      <w:lvlText w:val="•"/>
      <w:lvlJc w:val="left"/>
      <w:pPr>
        <w:ind w:left="8306" w:hanging="360"/>
      </w:pPr>
      <w:rPr>
        <w:rFonts w:hint="default"/>
        <w:lang w:val="en-US" w:eastAsia="en-US" w:bidi="ar-SA"/>
      </w:rPr>
    </w:lvl>
    <w:lvl w:ilvl="8">
      <w:start w:val="0"/>
      <w:numFmt w:val="bullet"/>
      <w:lvlText w:val="•"/>
      <w:lvlJc w:val="left"/>
      <w:pPr>
        <w:ind w:left="9084" w:hanging="360"/>
      </w:pPr>
      <w:rPr>
        <w:rFonts w:hint="default"/>
        <w:lang w:val="en-US" w:eastAsia="en-US" w:bidi="ar-SA"/>
      </w:rPr>
    </w:lvl>
  </w:abstractNum>
  <w:abstractNum w:abstractNumId="24">
    <w:multiLevelType w:val="hybridMultilevel"/>
    <w:lvl w:ilvl="0">
      <w:start w:val="1"/>
      <w:numFmt w:val="decimal"/>
      <w:lvlText w:val="%1."/>
      <w:lvlJc w:val="left"/>
      <w:pPr>
        <w:ind w:left="285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638" w:hanging="360"/>
      </w:pPr>
      <w:rPr>
        <w:rFonts w:hint="default"/>
        <w:lang w:val="en-US" w:eastAsia="en-US" w:bidi="ar-SA"/>
      </w:rPr>
    </w:lvl>
    <w:lvl w:ilvl="2">
      <w:start w:val="0"/>
      <w:numFmt w:val="bullet"/>
      <w:lvlText w:val="•"/>
      <w:lvlJc w:val="left"/>
      <w:pPr>
        <w:ind w:left="4416" w:hanging="360"/>
      </w:pPr>
      <w:rPr>
        <w:rFonts w:hint="default"/>
        <w:lang w:val="en-US" w:eastAsia="en-US" w:bidi="ar-SA"/>
      </w:rPr>
    </w:lvl>
    <w:lvl w:ilvl="3">
      <w:start w:val="0"/>
      <w:numFmt w:val="bullet"/>
      <w:lvlText w:val="•"/>
      <w:lvlJc w:val="left"/>
      <w:pPr>
        <w:ind w:left="5194" w:hanging="360"/>
      </w:pPr>
      <w:rPr>
        <w:rFonts w:hint="default"/>
        <w:lang w:val="en-US" w:eastAsia="en-US" w:bidi="ar-SA"/>
      </w:rPr>
    </w:lvl>
    <w:lvl w:ilvl="4">
      <w:start w:val="0"/>
      <w:numFmt w:val="bullet"/>
      <w:lvlText w:val="•"/>
      <w:lvlJc w:val="left"/>
      <w:pPr>
        <w:ind w:left="5972" w:hanging="360"/>
      </w:pPr>
      <w:rPr>
        <w:rFonts w:hint="default"/>
        <w:lang w:val="en-US" w:eastAsia="en-US" w:bidi="ar-SA"/>
      </w:rPr>
    </w:lvl>
    <w:lvl w:ilvl="5">
      <w:start w:val="0"/>
      <w:numFmt w:val="bullet"/>
      <w:lvlText w:val="•"/>
      <w:lvlJc w:val="left"/>
      <w:pPr>
        <w:ind w:left="6750" w:hanging="360"/>
      </w:pPr>
      <w:rPr>
        <w:rFonts w:hint="default"/>
        <w:lang w:val="en-US" w:eastAsia="en-US" w:bidi="ar-SA"/>
      </w:rPr>
    </w:lvl>
    <w:lvl w:ilvl="6">
      <w:start w:val="0"/>
      <w:numFmt w:val="bullet"/>
      <w:lvlText w:val="•"/>
      <w:lvlJc w:val="left"/>
      <w:pPr>
        <w:ind w:left="7528" w:hanging="360"/>
      </w:pPr>
      <w:rPr>
        <w:rFonts w:hint="default"/>
        <w:lang w:val="en-US" w:eastAsia="en-US" w:bidi="ar-SA"/>
      </w:rPr>
    </w:lvl>
    <w:lvl w:ilvl="7">
      <w:start w:val="0"/>
      <w:numFmt w:val="bullet"/>
      <w:lvlText w:val="•"/>
      <w:lvlJc w:val="left"/>
      <w:pPr>
        <w:ind w:left="8306" w:hanging="360"/>
      </w:pPr>
      <w:rPr>
        <w:rFonts w:hint="default"/>
        <w:lang w:val="en-US" w:eastAsia="en-US" w:bidi="ar-SA"/>
      </w:rPr>
    </w:lvl>
    <w:lvl w:ilvl="8">
      <w:start w:val="0"/>
      <w:numFmt w:val="bullet"/>
      <w:lvlText w:val="•"/>
      <w:lvlJc w:val="left"/>
      <w:pPr>
        <w:ind w:left="9084" w:hanging="360"/>
      </w:pPr>
      <w:rPr>
        <w:rFonts w:hint="default"/>
        <w:lang w:val="en-US" w:eastAsia="en-US" w:bidi="ar-SA"/>
      </w:rPr>
    </w:lvl>
  </w:abstractNum>
  <w:abstractNum w:abstractNumId="23">
    <w:multiLevelType w:val="hybridMultilevel"/>
    <w:lvl w:ilvl="0">
      <w:start w:val="1"/>
      <w:numFmt w:val="decimal"/>
      <w:lvlText w:val="%1."/>
      <w:lvlJc w:val="left"/>
      <w:pPr>
        <w:ind w:left="285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638" w:hanging="360"/>
      </w:pPr>
      <w:rPr>
        <w:rFonts w:hint="default"/>
        <w:lang w:val="en-US" w:eastAsia="en-US" w:bidi="ar-SA"/>
      </w:rPr>
    </w:lvl>
    <w:lvl w:ilvl="2">
      <w:start w:val="0"/>
      <w:numFmt w:val="bullet"/>
      <w:lvlText w:val="•"/>
      <w:lvlJc w:val="left"/>
      <w:pPr>
        <w:ind w:left="4416" w:hanging="360"/>
      </w:pPr>
      <w:rPr>
        <w:rFonts w:hint="default"/>
        <w:lang w:val="en-US" w:eastAsia="en-US" w:bidi="ar-SA"/>
      </w:rPr>
    </w:lvl>
    <w:lvl w:ilvl="3">
      <w:start w:val="0"/>
      <w:numFmt w:val="bullet"/>
      <w:lvlText w:val="•"/>
      <w:lvlJc w:val="left"/>
      <w:pPr>
        <w:ind w:left="5194" w:hanging="360"/>
      </w:pPr>
      <w:rPr>
        <w:rFonts w:hint="default"/>
        <w:lang w:val="en-US" w:eastAsia="en-US" w:bidi="ar-SA"/>
      </w:rPr>
    </w:lvl>
    <w:lvl w:ilvl="4">
      <w:start w:val="0"/>
      <w:numFmt w:val="bullet"/>
      <w:lvlText w:val="•"/>
      <w:lvlJc w:val="left"/>
      <w:pPr>
        <w:ind w:left="5972" w:hanging="360"/>
      </w:pPr>
      <w:rPr>
        <w:rFonts w:hint="default"/>
        <w:lang w:val="en-US" w:eastAsia="en-US" w:bidi="ar-SA"/>
      </w:rPr>
    </w:lvl>
    <w:lvl w:ilvl="5">
      <w:start w:val="0"/>
      <w:numFmt w:val="bullet"/>
      <w:lvlText w:val="•"/>
      <w:lvlJc w:val="left"/>
      <w:pPr>
        <w:ind w:left="6750" w:hanging="360"/>
      </w:pPr>
      <w:rPr>
        <w:rFonts w:hint="default"/>
        <w:lang w:val="en-US" w:eastAsia="en-US" w:bidi="ar-SA"/>
      </w:rPr>
    </w:lvl>
    <w:lvl w:ilvl="6">
      <w:start w:val="0"/>
      <w:numFmt w:val="bullet"/>
      <w:lvlText w:val="•"/>
      <w:lvlJc w:val="left"/>
      <w:pPr>
        <w:ind w:left="7528" w:hanging="360"/>
      </w:pPr>
      <w:rPr>
        <w:rFonts w:hint="default"/>
        <w:lang w:val="en-US" w:eastAsia="en-US" w:bidi="ar-SA"/>
      </w:rPr>
    </w:lvl>
    <w:lvl w:ilvl="7">
      <w:start w:val="0"/>
      <w:numFmt w:val="bullet"/>
      <w:lvlText w:val="•"/>
      <w:lvlJc w:val="left"/>
      <w:pPr>
        <w:ind w:left="8306" w:hanging="360"/>
      </w:pPr>
      <w:rPr>
        <w:rFonts w:hint="default"/>
        <w:lang w:val="en-US" w:eastAsia="en-US" w:bidi="ar-SA"/>
      </w:rPr>
    </w:lvl>
    <w:lvl w:ilvl="8">
      <w:start w:val="0"/>
      <w:numFmt w:val="bullet"/>
      <w:lvlText w:val="•"/>
      <w:lvlJc w:val="left"/>
      <w:pPr>
        <w:ind w:left="9084" w:hanging="360"/>
      </w:pPr>
      <w:rPr>
        <w:rFonts w:hint="default"/>
        <w:lang w:val="en-US" w:eastAsia="en-US" w:bidi="ar-SA"/>
      </w:rPr>
    </w:lvl>
  </w:abstractNum>
  <w:abstractNum w:abstractNumId="22">
    <w:multiLevelType w:val="hybridMultilevel"/>
    <w:lvl w:ilvl="0">
      <w:start w:val="1"/>
      <w:numFmt w:val="decimal"/>
      <w:lvlText w:val="%1."/>
      <w:lvlJc w:val="left"/>
      <w:pPr>
        <w:ind w:left="285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638" w:hanging="360"/>
      </w:pPr>
      <w:rPr>
        <w:rFonts w:hint="default"/>
        <w:lang w:val="en-US" w:eastAsia="en-US" w:bidi="ar-SA"/>
      </w:rPr>
    </w:lvl>
    <w:lvl w:ilvl="2">
      <w:start w:val="0"/>
      <w:numFmt w:val="bullet"/>
      <w:lvlText w:val="•"/>
      <w:lvlJc w:val="left"/>
      <w:pPr>
        <w:ind w:left="4416" w:hanging="360"/>
      </w:pPr>
      <w:rPr>
        <w:rFonts w:hint="default"/>
        <w:lang w:val="en-US" w:eastAsia="en-US" w:bidi="ar-SA"/>
      </w:rPr>
    </w:lvl>
    <w:lvl w:ilvl="3">
      <w:start w:val="0"/>
      <w:numFmt w:val="bullet"/>
      <w:lvlText w:val="•"/>
      <w:lvlJc w:val="left"/>
      <w:pPr>
        <w:ind w:left="5194" w:hanging="360"/>
      </w:pPr>
      <w:rPr>
        <w:rFonts w:hint="default"/>
        <w:lang w:val="en-US" w:eastAsia="en-US" w:bidi="ar-SA"/>
      </w:rPr>
    </w:lvl>
    <w:lvl w:ilvl="4">
      <w:start w:val="0"/>
      <w:numFmt w:val="bullet"/>
      <w:lvlText w:val="•"/>
      <w:lvlJc w:val="left"/>
      <w:pPr>
        <w:ind w:left="5972" w:hanging="360"/>
      </w:pPr>
      <w:rPr>
        <w:rFonts w:hint="default"/>
        <w:lang w:val="en-US" w:eastAsia="en-US" w:bidi="ar-SA"/>
      </w:rPr>
    </w:lvl>
    <w:lvl w:ilvl="5">
      <w:start w:val="0"/>
      <w:numFmt w:val="bullet"/>
      <w:lvlText w:val="•"/>
      <w:lvlJc w:val="left"/>
      <w:pPr>
        <w:ind w:left="6750" w:hanging="360"/>
      </w:pPr>
      <w:rPr>
        <w:rFonts w:hint="default"/>
        <w:lang w:val="en-US" w:eastAsia="en-US" w:bidi="ar-SA"/>
      </w:rPr>
    </w:lvl>
    <w:lvl w:ilvl="6">
      <w:start w:val="0"/>
      <w:numFmt w:val="bullet"/>
      <w:lvlText w:val="•"/>
      <w:lvlJc w:val="left"/>
      <w:pPr>
        <w:ind w:left="7528" w:hanging="360"/>
      </w:pPr>
      <w:rPr>
        <w:rFonts w:hint="default"/>
        <w:lang w:val="en-US" w:eastAsia="en-US" w:bidi="ar-SA"/>
      </w:rPr>
    </w:lvl>
    <w:lvl w:ilvl="7">
      <w:start w:val="0"/>
      <w:numFmt w:val="bullet"/>
      <w:lvlText w:val="•"/>
      <w:lvlJc w:val="left"/>
      <w:pPr>
        <w:ind w:left="8306" w:hanging="360"/>
      </w:pPr>
      <w:rPr>
        <w:rFonts w:hint="default"/>
        <w:lang w:val="en-US" w:eastAsia="en-US" w:bidi="ar-SA"/>
      </w:rPr>
    </w:lvl>
    <w:lvl w:ilvl="8">
      <w:start w:val="0"/>
      <w:numFmt w:val="bullet"/>
      <w:lvlText w:val="•"/>
      <w:lvlJc w:val="left"/>
      <w:pPr>
        <w:ind w:left="9084" w:hanging="360"/>
      </w:pPr>
      <w:rPr>
        <w:rFonts w:hint="default"/>
        <w:lang w:val="en-US" w:eastAsia="en-US" w:bidi="ar-SA"/>
      </w:rPr>
    </w:lvl>
  </w:abstractNum>
  <w:abstractNum w:abstractNumId="21">
    <w:multiLevelType w:val="hybridMultilevel"/>
    <w:lvl w:ilvl="0">
      <w:start w:val="0"/>
      <w:numFmt w:val="bullet"/>
      <w:lvlText w:val=""/>
      <w:lvlJc w:val="left"/>
      <w:pPr>
        <w:ind w:left="9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928" w:hanging="360"/>
      </w:pPr>
      <w:rPr>
        <w:rFonts w:hint="default"/>
        <w:lang w:val="en-US" w:eastAsia="en-US" w:bidi="ar-SA"/>
      </w:rPr>
    </w:lvl>
    <w:lvl w:ilvl="2">
      <w:start w:val="0"/>
      <w:numFmt w:val="bullet"/>
      <w:lvlText w:val="•"/>
      <w:lvlJc w:val="left"/>
      <w:pPr>
        <w:ind w:left="2896" w:hanging="360"/>
      </w:pPr>
      <w:rPr>
        <w:rFonts w:hint="default"/>
        <w:lang w:val="en-US" w:eastAsia="en-US" w:bidi="ar-SA"/>
      </w:rPr>
    </w:lvl>
    <w:lvl w:ilvl="3">
      <w:start w:val="0"/>
      <w:numFmt w:val="bullet"/>
      <w:lvlText w:val="•"/>
      <w:lvlJc w:val="left"/>
      <w:pPr>
        <w:ind w:left="3864" w:hanging="360"/>
      </w:pPr>
      <w:rPr>
        <w:rFonts w:hint="default"/>
        <w:lang w:val="en-US" w:eastAsia="en-US" w:bidi="ar-SA"/>
      </w:rPr>
    </w:lvl>
    <w:lvl w:ilvl="4">
      <w:start w:val="0"/>
      <w:numFmt w:val="bullet"/>
      <w:lvlText w:val="•"/>
      <w:lvlJc w:val="left"/>
      <w:pPr>
        <w:ind w:left="4832" w:hanging="360"/>
      </w:pPr>
      <w:rPr>
        <w:rFonts w:hint="default"/>
        <w:lang w:val="en-US" w:eastAsia="en-US" w:bidi="ar-SA"/>
      </w:rPr>
    </w:lvl>
    <w:lvl w:ilvl="5">
      <w:start w:val="0"/>
      <w:numFmt w:val="bullet"/>
      <w:lvlText w:val="•"/>
      <w:lvlJc w:val="left"/>
      <w:pPr>
        <w:ind w:left="5800" w:hanging="360"/>
      </w:pPr>
      <w:rPr>
        <w:rFonts w:hint="default"/>
        <w:lang w:val="en-US" w:eastAsia="en-US" w:bidi="ar-SA"/>
      </w:rPr>
    </w:lvl>
    <w:lvl w:ilvl="6">
      <w:start w:val="0"/>
      <w:numFmt w:val="bullet"/>
      <w:lvlText w:val="•"/>
      <w:lvlJc w:val="left"/>
      <w:pPr>
        <w:ind w:left="6768" w:hanging="360"/>
      </w:pPr>
      <w:rPr>
        <w:rFonts w:hint="default"/>
        <w:lang w:val="en-US" w:eastAsia="en-US" w:bidi="ar-SA"/>
      </w:rPr>
    </w:lvl>
    <w:lvl w:ilvl="7">
      <w:start w:val="0"/>
      <w:numFmt w:val="bullet"/>
      <w:lvlText w:val="•"/>
      <w:lvlJc w:val="left"/>
      <w:pPr>
        <w:ind w:left="7736" w:hanging="360"/>
      </w:pPr>
      <w:rPr>
        <w:rFonts w:hint="default"/>
        <w:lang w:val="en-US" w:eastAsia="en-US" w:bidi="ar-SA"/>
      </w:rPr>
    </w:lvl>
    <w:lvl w:ilvl="8">
      <w:start w:val="0"/>
      <w:numFmt w:val="bullet"/>
      <w:lvlText w:val="•"/>
      <w:lvlJc w:val="left"/>
      <w:pPr>
        <w:ind w:left="8704" w:hanging="360"/>
      </w:pPr>
      <w:rPr>
        <w:rFonts w:hint="default"/>
        <w:lang w:val="en-US" w:eastAsia="en-US" w:bidi="ar-SA"/>
      </w:rPr>
    </w:lvl>
  </w:abstractNum>
  <w:abstractNum w:abstractNumId="20">
    <w:multiLevelType w:val="hybridMultilevel"/>
    <w:lvl w:ilvl="0">
      <w:start w:val="0"/>
      <w:numFmt w:val="bullet"/>
      <w:lvlText w:val=""/>
      <w:lvlJc w:val="left"/>
      <w:pPr>
        <w:ind w:left="469"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o"/>
      <w:lvlJc w:val="left"/>
      <w:pPr>
        <w:ind w:left="1189" w:hanging="361"/>
      </w:pPr>
      <w:rPr>
        <w:rFonts w:hint="default" w:ascii="Courier New" w:hAnsi="Courier New" w:eastAsia="Courier New" w:cs="Courier New"/>
        <w:b w:val="0"/>
        <w:bCs w:val="0"/>
        <w:i w:val="0"/>
        <w:iCs w:val="0"/>
        <w:spacing w:val="0"/>
        <w:w w:val="100"/>
        <w:sz w:val="22"/>
        <w:szCs w:val="22"/>
        <w:lang w:val="en-US" w:eastAsia="en-US" w:bidi="ar-SA"/>
      </w:rPr>
    </w:lvl>
    <w:lvl w:ilvl="2">
      <w:start w:val="0"/>
      <w:numFmt w:val="bullet"/>
      <w:lvlText w:val="•"/>
      <w:lvlJc w:val="left"/>
      <w:pPr>
        <w:ind w:left="1467" w:hanging="361"/>
      </w:pPr>
      <w:rPr>
        <w:rFonts w:hint="default"/>
        <w:lang w:val="en-US" w:eastAsia="en-US" w:bidi="ar-SA"/>
      </w:rPr>
    </w:lvl>
    <w:lvl w:ilvl="3">
      <w:start w:val="0"/>
      <w:numFmt w:val="bullet"/>
      <w:lvlText w:val="•"/>
      <w:lvlJc w:val="left"/>
      <w:pPr>
        <w:ind w:left="1754" w:hanging="361"/>
      </w:pPr>
      <w:rPr>
        <w:rFonts w:hint="default"/>
        <w:lang w:val="en-US" w:eastAsia="en-US" w:bidi="ar-SA"/>
      </w:rPr>
    </w:lvl>
    <w:lvl w:ilvl="4">
      <w:start w:val="0"/>
      <w:numFmt w:val="bullet"/>
      <w:lvlText w:val="•"/>
      <w:lvlJc w:val="left"/>
      <w:pPr>
        <w:ind w:left="2041" w:hanging="361"/>
      </w:pPr>
      <w:rPr>
        <w:rFonts w:hint="default"/>
        <w:lang w:val="en-US" w:eastAsia="en-US" w:bidi="ar-SA"/>
      </w:rPr>
    </w:lvl>
    <w:lvl w:ilvl="5">
      <w:start w:val="0"/>
      <w:numFmt w:val="bullet"/>
      <w:lvlText w:val="•"/>
      <w:lvlJc w:val="left"/>
      <w:pPr>
        <w:ind w:left="2328" w:hanging="361"/>
      </w:pPr>
      <w:rPr>
        <w:rFonts w:hint="default"/>
        <w:lang w:val="en-US" w:eastAsia="en-US" w:bidi="ar-SA"/>
      </w:rPr>
    </w:lvl>
    <w:lvl w:ilvl="6">
      <w:start w:val="0"/>
      <w:numFmt w:val="bullet"/>
      <w:lvlText w:val="•"/>
      <w:lvlJc w:val="left"/>
      <w:pPr>
        <w:ind w:left="2615" w:hanging="361"/>
      </w:pPr>
      <w:rPr>
        <w:rFonts w:hint="default"/>
        <w:lang w:val="en-US" w:eastAsia="en-US" w:bidi="ar-SA"/>
      </w:rPr>
    </w:lvl>
    <w:lvl w:ilvl="7">
      <w:start w:val="0"/>
      <w:numFmt w:val="bullet"/>
      <w:lvlText w:val="•"/>
      <w:lvlJc w:val="left"/>
      <w:pPr>
        <w:ind w:left="2902" w:hanging="361"/>
      </w:pPr>
      <w:rPr>
        <w:rFonts w:hint="default"/>
        <w:lang w:val="en-US" w:eastAsia="en-US" w:bidi="ar-SA"/>
      </w:rPr>
    </w:lvl>
    <w:lvl w:ilvl="8">
      <w:start w:val="0"/>
      <w:numFmt w:val="bullet"/>
      <w:lvlText w:val="•"/>
      <w:lvlJc w:val="left"/>
      <w:pPr>
        <w:ind w:left="3189" w:hanging="361"/>
      </w:pPr>
      <w:rPr>
        <w:rFonts w:hint="default"/>
        <w:lang w:val="en-US" w:eastAsia="en-US" w:bidi="ar-SA"/>
      </w:rPr>
    </w:lvl>
  </w:abstractNum>
  <w:abstractNum w:abstractNumId="19">
    <w:multiLevelType w:val="hybridMultilevel"/>
    <w:lvl w:ilvl="0">
      <w:start w:val="0"/>
      <w:numFmt w:val="bullet"/>
      <w:lvlText w:val="o"/>
      <w:lvlJc w:val="left"/>
      <w:pPr>
        <w:ind w:left="1189" w:hanging="361"/>
      </w:pPr>
      <w:rPr>
        <w:rFonts w:hint="default" w:ascii="Courier New" w:hAnsi="Courier New" w:eastAsia="Courier New" w:cs="Courier New"/>
        <w:b w:val="0"/>
        <w:bCs w:val="0"/>
        <w:i w:val="0"/>
        <w:iCs w:val="0"/>
        <w:spacing w:val="0"/>
        <w:w w:val="100"/>
        <w:sz w:val="22"/>
        <w:szCs w:val="22"/>
        <w:lang w:val="en-US" w:eastAsia="en-US" w:bidi="ar-SA"/>
      </w:rPr>
    </w:lvl>
    <w:lvl w:ilvl="1">
      <w:start w:val="0"/>
      <w:numFmt w:val="bullet"/>
      <w:lvlText w:val="•"/>
      <w:lvlJc w:val="left"/>
      <w:pPr>
        <w:ind w:left="1438" w:hanging="361"/>
      </w:pPr>
      <w:rPr>
        <w:rFonts w:hint="default"/>
        <w:lang w:val="en-US" w:eastAsia="en-US" w:bidi="ar-SA"/>
      </w:rPr>
    </w:lvl>
    <w:lvl w:ilvl="2">
      <w:start w:val="0"/>
      <w:numFmt w:val="bullet"/>
      <w:lvlText w:val="•"/>
      <w:lvlJc w:val="left"/>
      <w:pPr>
        <w:ind w:left="1696" w:hanging="361"/>
      </w:pPr>
      <w:rPr>
        <w:rFonts w:hint="default"/>
        <w:lang w:val="en-US" w:eastAsia="en-US" w:bidi="ar-SA"/>
      </w:rPr>
    </w:lvl>
    <w:lvl w:ilvl="3">
      <w:start w:val="0"/>
      <w:numFmt w:val="bullet"/>
      <w:lvlText w:val="•"/>
      <w:lvlJc w:val="left"/>
      <w:pPr>
        <w:ind w:left="1955" w:hanging="361"/>
      </w:pPr>
      <w:rPr>
        <w:rFonts w:hint="default"/>
        <w:lang w:val="en-US" w:eastAsia="en-US" w:bidi="ar-SA"/>
      </w:rPr>
    </w:lvl>
    <w:lvl w:ilvl="4">
      <w:start w:val="0"/>
      <w:numFmt w:val="bullet"/>
      <w:lvlText w:val="•"/>
      <w:lvlJc w:val="left"/>
      <w:pPr>
        <w:ind w:left="2213" w:hanging="361"/>
      </w:pPr>
      <w:rPr>
        <w:rFonts w:hint="default"/>
        <w:lang w:val="en-US" w:eastAsia="en-US" w:bidi="ar-SA"/>
      </w:rPr>
    </w:lvl>
    <w:lvl w:ilvl="5">
      <w:start w:val="0"/>
      <w:numFmt w:val="bullet"/>
      <w:lvlText w:val="•"/>
      <w:lvlJc w:val="left"/>
      <w:pPr>
        <w:ind w:left="2472" w:hanging="361"/>
      </w:pPr>
      <w:rPr>
        <w:rFonts w:hint="default"/>
        <w:lang w:val="en-US" w:eastAsia="en-US" w:bidi="ar-SA"/>
      </w:rPr>
    </w:lvl>
    <w:lvl w:ilvl="6">
      <w:start w:val="0"/>
      <w:numFmt w:val="bullet"/>
      <w:lvlText w:val="•"/>
      <w:lvlJc w:val="left"/>
      <w:pPr>
        <w:ind w:left="2730" w:hanging="361"/>
      </w:pPr>
      <w:rPr>
        <w:rFonts w:hint="default"/>
        <w:lang w:val="en-US" w:eastAsia="en-US" w:bidi="ar-SA"/>
      </w:rPr>
    </w:lvl>
    <w:lvl w:ilvl="7">
      <w:start w:val="0"/>
      <w:numFmt w:val="bullet"/>
      <w:lvlText w:val="•"/>
      <w:lvlJc w:val="left"/>
      <w:pPr>
        <w:ind w:left="2988" w:hanging="361"/>
      </w:pPr>
      <w:rPr>
        <w:rFonts w:hint="default"/>
        <w:lang w:val="en-US" w:eastAsia="en-US" w:bidi="ar-SA"/>
      </w:rPr>
    </w:lvl>
    <w:lvl w:ilvl="8">
      <w:start w:val="0"/>
      <w:numFmt w:val="bullet"/>
      <w:lvlText w:val="•"/>
      <w:lvlJc w:val="left"/>
      <w:pPr>
        <w:ind w:left="3247" w:hanging="361"/>
      </w:pPr>
      <w:rPr>
        <w:rFonts w:hint="default"/>
        <w:lang w:val="en-US" w:eastAsia="en-US" w:bidi="ar-SA"/>
      </w:rPr>
    </w:lvl>
  </w:abstractNum>
  <w:abstractNum w:abstractNumId="18">
    <w:multiLevelType w:val="hybridMultilevel"/>
    <w:lvl w:ilvl="0">
      <w:start w:val="0"/>
      <w:numFmt w:val="bullet"/>
      <w:lvlText w:val=""/>
      <w:lvlJc w:val="left"/>
      <w:pPr>
        <w:ind w:left="469"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o"/>
      <w:lvlJc w:val="left"/>
      <w:pPr>
        <w:ind w:left="1189" w:hanging="361"/>
      </w:pPr>
      <w:rPr>
        <w:rFonts w:hint="default" w:ascii="Courier New" w:hAnsi="Courier New" w:eastAsia="Courier New" w:cs="Courier New"/>
        <w:b w:val="0"/>
        <w:bCs w:val="0"/>
        <w:i w:val="0"/>
        <w:iCs w:val="0"/>
        <w:spacing w:val="0"/>
        <w:w w:val="100"/>
        <w:sz w:val="22"/>
        <w:szCs w:val="22"/>
        <w:lang w:val="en-US" w:eastAsia="en-US" w:bidi="ar-SA"/>
      </w:rPr>
    </w:lvl>
    <w:lvl w:ilvl="2">
      <w:start w:val="0"/>
      <w:numFmt w:val="bullet"/>
      <w:lvlText w:val="•"/>
      <w:lvlJc w:val="left"/>
      <w:pPr>
        <w:ind w:left="1467" w:hanging="361"/>
      </w:pPr>
      <w:rPr>
        <w:rFonts w:hint="default"/>
        <w:lang w:val="en-US" w:eastAsia="en-US" w:bidi="ar-SA"/>
      </w:rPr>
    </w:lvl>
    <w:lvl w:ilvl="3">
      <w:start w:val="0"/>
      <w:numFmt w:val="bullet"/>
      <w:lvlText w:val="•"/>
      <w:lvlJc w:val="left"/>
      <w:pPr>
        <w:ind w:left="1754" w:hanging="361"/>
      </w:pPr>
      <w:rPr>
        <w:rFonts w:hint="default"/>
        <w:lang w:val="en-US" w:eastAsia="en-US" w:bidi="ar-SA"/>
      </w:rPr>
    </w:lvl>
    <w:lvl w:ilvl="4">
      <w:start w:val="0"/>
      <w:numFmt w:val="bullet"/>
      <w:lvlText w:val="•"/>
      <w:lvlJc w:val="left"/>
      <w:pPr>
        <w:ind w:left="2041" w:hanging="361"/>
      </w:pPr>
      <w:rPr>
        <w:rFonts w:hint="default"/>
        <w:lang w:val="en-US" w:eastAsia="en-US" w:bidi="ar-SA"/>
      </w:rPr>
    </w:lvl>
    <w:lvl w:ilvl="5">
      <w:start w:val="0"/>
      <w:numFmt w:val="bullet"/>
      <w:lvlText w:val="•"/>
      <w:lvlJc w:val="left"/>
      <w:pPr>
        <w:ind w:left="2328" w:hanging="361"/>
      </w:pPr>
      <w:rPr>
        <w:rFonts w:hint="default"/>
        <w:lang w:val="en-US" w:eastAsia="en-US" w:bidi="ar-SA"/>
      </w:rPr>
    </w:lvl>
    <w:lvl w:ilvl="6">
      <w:start w:val="0"/>
      <w:numFmt w:val="bullet"/>
      <w:lvlText w:val="•"/>
      <w:lvlJc w:val="left"/>
      <w:pPr>
        <w:ind w:left="2615" w:hanging="361"/>
      </w:pPr>
      <w:rPr>
        <w:rFonts w:hint="default"/>
        <w:lang w:val="en-US" w:eastAsia="en-US" w:bidi="ar-SA"/>
      </w:rPr>
    </w:lvl>
    <w:lvl w:ilvl="7">
      <w:start w:val="0"/>
      <w:numFmt w:val="bullet"/>
      <w:lvlText w:val="•"/>
      <w:lvlJc w:val="left"/>
      <w:pPr>
        <w:ind w:left="2902" w:hanging="361"/>
      </w:pPr>
      <w:rPr>
        <w:rFonts w:hint="default"/>
        <w:lang w:val="en-US" w:eastAsia="en-US" w:bidi="ar-SA"/>
      </w:rPr>
    </w:lvl>
    <w:lvl w:ilvl="8">
      <w:start w:val="0"/>
      <w:numFmt w:val="bullet"/>
      <w:lvlText w:val="•"/>
      <w:lvlJc w:val="left"/>
      <w:pPr>
        <w:ind w:left="3189" w:hanging="361"/>
      </w:pPr>
      <w:rPr>
        <w:rFonts w:hint="default"/>
        <w:lang w:val="en-US" w:eastAsia="en-US" w:bidi="ar-SA"/>
      </w:rPr>
    </w:lvl>
  </w:abstractNum>
  <w:abstractNum w:abstractNumId="17">
    <w:multiLevelType w:val="hybridMultilevel"/>
    <w:lvl w:ilvl="0">
      <w:start w:val="0"/>
      <w:numFmt w:val="bullet"/>
      <w:lvlText w:val="o"/>
      <w:lvlJc w:val="left"/>
      <w:pPr>
        <w:ind w:left="1189" w:hanging="360"/>
      </w:pPr>
      <w:rPr>
        <w:rFonts w:hint="default" w:ascii="Courier New" w:hAnsi="Courier New" w:eastAsia="Courier New" w:cs="Courier New"/>
        <w:b w:val="0"/>
        <w:bCs w:val="0"/>
        <w:i w:val="0"/>
        <w:iCs w:val="0"/>
        <w:spacing w:val="0"/>
        <w:w w:val="100"/>
        <w:sz w:val="22"/>
        <w:szCs w:val="22"/>
        <w:lang w:val="en-US" w:eastAsia="en-US" w:bidi="ar-SA"/>
      </w:rPr>
    </w:lvl>
    <w:lvl w:ilvl="1">
      <w:start w:val="0"/>
      <w:numFmt w:val="bullet"/>
      <w:lvlText w:val="•"/>
      <w:lvlJc w:val="left"/>
      <w:pPr>
        <w:ind w:left="1438" w:hanging="360"/>
      </w:pPr>
      <w:rPr>
        <w:rFonts w:hint="default"/>
        <w:lang w:val="en-US" w:eastAsia="en-US" w:bidi="ar-SA"/>
      </w:rPr>
    </w:lvl>
    <w:lvl w:ilvl="2">
      <w:start w:val="0"/>
      <w:numFmt w:val="bullet"/>
      <w:lvlText w:val="•"/>
      <w:lvlJc w:val="left"/>
      <w:pPr>
        <w:ind w:left="1696" w:hanging="360"/>
      </w:pPr>
      <w:rPr>
        <w:rFonts w:hint="default"/>
        <w:lang w:val="en-US" w:eastAsia="en-US" w:bidi="ar-SA"/>
      </w:rPr>
    </w:lvl>
    <w:lvl w:ilvl="3">
      <w:start w:val="0"/>
      <w:numFmt w:val="bullet"/>
      <w:lvlText w:val="•"/>
      <w:lvlJc w:val="left"/>
      <w:pPr>
        <w:ind w:left="1955" w:hanging="360"/>
      </w:pPr>
      <w:rPr>
        <w:rFonts w:hint="default"/>
        <w:lang w:val="en-US" w:eastAsia="en-US" w:bidi="ar-SA"/>
      </w:rPr>
    </w:lvl>
    <w:lvl w:ilvl="4">
      <w:start w:val="0"/>
      <w:numFmt w:val="bullet"/>
      <w:lvlText w:val="•"/>
      <w:lvlJc w:val="left"/>
      <w:pPr>
        <w:ind w:left="2213" w:hanging="360"/>
      </w:pPr>
      <w:rPr>
        <w:rFonts w:hint="default"/>
        <w:lang w:val="en-US" w:eastAsia="en-US" w:bidi="ar-SA"/>
      </w:rPr>
    </w:lvl>
    <w:lvl w:ilvl="5">
      <w:start w:val="0"/>
      <w:numFmt w:val="bullet"/>
      <w:lvlText w:val="•"/>
      <w:lvlJc w:val="left"/>
      <w:pPr>
        <w:ind w:left="2472" w:hanging="360"/>
      </w:pPr>
      <w:rPr>
        <w:rFonts w:hint="default"/>
        <w:lang w:val="en-US" w:eastAsia="en-US" w:bidi="ar-SA"/>
      </w:rPr>
    </w:lvl>
    <w:lvl w:ilvl="6">
      <w:start w:val="0"/>
      <w:numFmt w:val="bullet"/>
      <w:lvlText w:val="•"/>
      <w:lvlJc w:val="left"/>
      <w:pPr>
        <w:ind w:left="2730" w:hanging="360"/>
      </w:pPr>
      <w:rPr>
        <w:rFonts w:hint="default"/>
        <w:lang w:val="en-US" w:eastAsia="en-US" w:bidi="ar-SA"/>
      </w:rPr>
    </w:lvl>
    <w:lvl w:ilvl="7">
      <w:start w:val="0"/>
      <w:numFmt w:val="bullet"/>
      <w:lvlText w:val="•"/>
      <w:lvlJc w:val="left"/>
      <w:pPr>
        <w:ind w:left="2988" w:hanging="360"/>
      </w:pPr>
      <w:rPr>
        <w:rFonts w:hint="default"/>
        <w:lang w:val="en-US" w:eastAsia="en-US" w:bidi="ar-SA"/>
      </w:rPr>
    </w:lvl>
    <w:lvl w:ilvl="8">
      <w:start w:val="0"/>
      <w:numFmt w:val="bullet"/>
      <w:lvlText w:val="•"/>
      <w:lvlJc w:val="left"/>
      <w:pPr>
        <w:ind w:left="3247" w:hanging="360"/>
      </w:pPr>
      <w:rPr>
        <w:rFonts w:hint="default"/>
        <w:lang w:val="en-US" w:eastAsia="en-US" w:bidi="ar-SA"/>
      </w:rPr>
    </w:lvl>
  </w:abstractNum>
  <w:abstractNum w:abstractNumId="16">
    <w:multiLevelType w:val="hybridMultilevel"/>
    <w:lvl w:ilvl="0">
      <w:start w:val="0"/>
      <w:numFmt w:val="bullet"/>
      <w:lvlText w:val=""/>
      <w:lvlJc w:val="left"/>
      <w:pPr>
        <w:ind w:left="469"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o"/>
      <w:lvlJc w:val="left"/>
      <w:pPr>
        <w:ind w:left="1189" w:hanging="361"/>
      </w:pPr>
      <w:rPr>
        <w:rFonts w:hint="default" w:ascii="Courier New" w:hAnsi="Courier New" w:eastAsia="Courier New" w:cs="Courier New"/>
        <w:b w:val="0"/>
        <w:bCs w:val="0"/>
        <w:i w:val="0"/>
        <w:iCs w:val="0"/>
        <w:spacing w:val="0"/>
        <w:w w:val="100"/>
        <w:sz w:val="22"/>
        <w:szCs w:val="22"/>
        <w:lang w:val="en-US" w:eastAsia="en-US" w:bidi="ar-SA"/>
      </w:rPr>
    </w:lvl>
    <w:lvl w:ilvl="2">
      <w:start w:val="0"/>
      <w:numFmt w:val="bullet"/>
      <w:lvlText w:val="•"/>
      <w:lvlJc w:val="left"/>
      <w:pPr>
        <w:ind w:left="1200" w:hanging="361"/>
      </w:pPr>
      <w:rPr>
        <w:rFonts w:hint="default"/>
        <w:lang w:val="en-US" w:eastAsia="en-US" w:bidi="ar-SA"/>
      </w:rPr>
    </w:lvl>
    <w:lvl w:ilvl="3">
      <w:start w:val="0"/>
      <w:numFmt w:val="bullet"/>
      <w:lvlText w:val="•"/>
      <w:lvlJc w:val="left"/>
      <w:pPr>
        <w:ind w:left="1520" w:hanging="361"/>
      </w:pPr>
      <w:rPr>
        <w:rFonts w:hint="default"/>
        <w:lang w:val="en-US" w:eastAsia="en-US" w:bidi="ar-SA"/>
      </w:rPr>
    </w:lvl>
    <w:lvl w:ilvl="4">
      <w:start w:val="0"/>
      <w:numFmt w:val="bullet"/>
      <w:lvlText w:val="•"/>
      <w:lvlJc w:val="left"/>
      <w:pPr>
        <w:ind w:left="1841" w:hanging="361"/>
      </w:pPr>
      <w:rPr>
        <w:rFonts w:hint="default"/>
        <w:lang w:val="en-US" w:eastAsia="en-US" w:bidi="ar-SA"/>
      </w:rPr>
    </w:lvl>
    <w:lvl w:ilvl="5">
      <w:start w:val="0"/>
      <w:numFmt w:val="bullet"/>
      <w:lvlText w:val="•"/>
      <w:lvlJc w:val="left"/>
      <w:pPr>
        <w:ind w:left="2161" w:hanging="361"/>
      </w:pPr>
      <w:rPr>
        <w:rFonts w:hint="default"/>
        <w:lang w:val="en-US" w:eastAsia="en-US" w:bidi="ar-SA"/>
      </w:rPr>
    </w:lvl>
    <w:lvl w:ilvl="6">
      <w:start w:val="0"/>
      <w:numFmt w:val="bullet"/>
      <w:lvlText w:val="•"/>
      <w:lvlJc w:val="left"/>
      <w:pPr>
        <w:ind w:left="2482" w:hanging="361"/>
      </w:pPr>
      <w:rPr>
        <w:rFonts w:hint="default"/>
        <w:lang w:val="en-US" w:eastAsia="en-US" w:bidi="ar-SA"/>
      </w:rPr>
    </w:lvl>
    <w:lvl w:ilvl="7">
      <w:start w:val="0"/>
      <w:numFmt w:val="bullet"/>
      <w:lvlText w:val="•"/>
      <w:lvlJc w:val="left"/>
      <w:pPr>
        <w:ind w:left="2802" w:hanging="361"/>
      </w:pPr>
      <w:rPr>
        <w:rFonts w:hint="default"/>
        <w:lang w:val="en-US" w:eastAsia="en-US" w:bidi="ar-SA"/>
      </w:rPr>
    </w:lvl>
    <w:lvl w:ilvl="8">
      <w:start w:val="0"/>
      <w:numFmt w:val="bullet"/>
      <w:lvlText w:val="•"/>
      <w:lvlJc w:val="left"/>
      <w:pPr>
        <w:ind w:left="3123" w:hanging="361"/>
      </w:pPr>
      <w:rPr>
        <w:rFonts w:hint="default"/>
        <w:lang w:val="en-US" w:eastAsia="en-US" w:bidi="ar-SA"/>
      </w:rPr>
    </w:lvl>
  </w:abstractNum>
  <w:abstractNum w:abstractNumId="15">
    <w:multiLevelType w:val="hybridMultilevel"/>
    <w:lvl w:ilvl="0">
      <w:start w:val="0"/>
      <w:numFmt w:val="bullet"/>
      <w:lvlText w:val=""/>
      <w:lvlJc w:val="left"/>
      <w:pPr>
        <w:ind w:left="469"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o"/>
      <w:lvlJc w:val="left"/>
      <w:pPr>
        <w:ind w:left="1189" w:hanging="361"/>
      </w:pPr>
      <w:rPr>
        <w:rFonts w:hint="default" w:ascii="Courier New" w:hAnsi="Courier New" w:eastAsia="Courier New" w:cs="Courier New"/>
        <w:b w:val="0"/>
        <w:bCs w:val="0"/>
        <w:i w:val="0"/>
        <w:iCs w:val="0"/>
        <w:spacing w:val="0"/>
        <w:w w:val="100"/>
        <w:sz w:val="22"/>
        <w:szCs w:val="22"/>
        <w:lang w:val="en-US" w:eastAsia="en-US" w:bidi="ar-SA"/>
      </w:rPr>
    </w:lvl>
    <w:lvl w:ilvl="2">
      <w:start w:val="0"/>
      <w:numFmt w:val="bullet"/>
      <w:lvlText w:val="•"/>
      <w:lvlJc w:val="left"/>
      <w:pPr>
        <w:ind w:left="1467" w:hanging="361"/>
      </w:pPr>
      <w:rPr>
        <w:rFonts w:hint="default"/>
        <w:lang w:val="en-US" w:eastAsia="en-US" w:bidi="ar-SA"/>
      </w:rPr>
    </w:lvl>
    <w:lvl w:ilvl="3">
      <w:start w:val="0"/>
      <w:numFmt w:val="bullet"/>
      <w:lvlText w:val="•"/>
      <w:lvlJc w:val="left"/>
      <w:pPr>
        <w:ind w:left="1754" w:hanging="361"/>
      </w:pPr>
      <w:rPr>
        <w:rFonts w:hint="default"/>
        <w:lang w:val="en-US" w:eastAsia="en-US" w:bidi="ar-SA"/>
      </w:rPr>
    </w:lvl>
    <w:lvl w:ilvl="4">
      <w:start w:val="0"/>
      <w:numFmt w:val="bullet"/>
      <w:lvlText w:val="•"/>
      <w:lvlJc w:val="left"/>
      <w:pPr>
        <w:ind w:left="2041" w:hanging="361"/>
      </w:pPr>
      <w:rPr>
        <w:rFonts w:hint="default"/>
        <w:lang w:val="en-US" w:eastAsia="en-US" w:bidi="ar-SA"/>
      </w:rPr>
    </w:lvl>
    <w:lvl w:ilvl="5">
      <w:start w:val="0"/>
      <w:numFmt w:val="bullet"/>
      <w:lvlText w:val="•"/>
      <w:lvlJc w:val="left"/>
      <w:pPr>
        <w:ind w:left="2328" w:hanging="361"/>
      </w:pPr>
      <w:rPr>
        <w:rFonts w:hint="default"/>
        <w:lang w:val="en-US" w:eastAsia="en-US" w:bidi="ar-SA"/>
      </w:rPr>
    </w:lvl>
    <w:lvl w:ilvl="6">
      <w:start w:val="0"/>
      <w:numFmt w:val="bullet"/>
      <w:lvlText w:val="•"/>
      <w:lvlJc w:val="left"/>
      <w:pPr>
        <w:ind w:left="2615" w:hanging="361"/>
      </w:pPr>
      <w:rPr>
        <w:rFonts w:hint="default"/>
        <w:lang w:val="en-US" w:eastAsia="en-US" w:bidi="ar-SA"/>
      </w:rPr>
    </w:lvl>
    <w:lvl w:ilvl="7">
      <w:start w:val="0"/>
      <w:numFmt w:val="bullet"/>
      <w:lvlText w:val="•"/>
      <w:lvlJc w:val="left"/>
      <w:pPr>
        <w:ind w:left="2902" w:hanging="361"/>
      </w:pPr>
      <w:rPr>
        <w:rFonts w:hint="default"/>
        <w:lang w:val="en-US" w:eastAsia="en-US" w:bidi="ar-SA"/>
      </w:rPr>
    </w:lvl>
    <w:lvl w:ilvl="8">
      <w:start w:val="0"/>
      <w:numFmt w:val="bullet"/>
      <w:lvlText w:val="•"/>
      <w:lvlJc w:val="left"/>
      <w:pPr>
        <w:ind w:left="3189" w:hanging="361"/>
      </w:pPr>
      <w:rPr>
        <w:rFonts w:hint="default"/>
        <w:lang w:val="en-US" w:eastAsia="en-US" w:bidi="ar-SA"/>
      </w:rPr>
    </w:lvl>
  </w:abstractNum>
  <w:abstractNum w:abstractNumId="14">
    <w:multiLevelType w:val="hybridMultilevel"/>
    <w:lvl w:ilvl="0">
      <w:start w:val="0"/>
      <w:numFmt w:val="bullet"/>
      <w:lvlText w:val="o"/>
      <w:lvlJc w:val="left"/>
      <w:pPr>
        <w:ind w:left="1189" w:hanging="361"/>
      </w:pPr>
      <w:rPr>
        <w:rFonts w:hint="default" w:ascii="Courier New" w:hAnsi="Courier New" w:eastAsia="Courier New" w:cs="Courier New"/>
        <w:b w:val="0"/>
        <w:bCs w:val="0"/>
        <w:i w:val="0"/>
        <w:iCs w:val="0"/>
        <w:spacing w:val="0"/>
        <w:w w:val="100"/>
        <w:sz w:val="22"/>
        <w:szCs w:val="22"/>
        <w:lang w:val="en-US" w:eastAsia="en-US" w:bidi="ar-SA"/>
      </w:rPr>
    </w:lvl>
    <w:lvl w:ilvl="1">
      <w:start w:val="0"/>
      <w:numFmt w:val="bullet"/>
      <w:lvlText w:val="•"/>
      <w:lvlJc w:val="left"/>
      <w:pPr>
        <w:ind w:left="1438" w:hanging="361"/>
      </w:pPr>
      <w:rPr>
        <w:rFonts w:hint="default"/>
        <w:lang w:val="en-US" w:eastAsia="en-US" w:bidi="ar-SA"/>
      </w:rPr>
    </w:lvl>
    <w:lvl w:ilvl="2">
      <w:start w:val="0"/>
      <w:numFmt w:val="bullet"/>
      <w:lvlText w:val="•"/>
      <w:lvlJc w:val="left"/>
      <w:pPr>
        <w:ind w:left="1696" w:hanging="361"/>
      </w:pPr>
      <w:rPr>
        <w:rFonts w:hint="default"/>
        <w:lang w:val="en-US" w:eastAsia="en-US" w:bidi="ar-SA"/>
      </w:rPr>
    </w:lvl>
    <w:lvl w:ilvl="3">
      <w:start w:val="0"/>
      <w:numFmt w:val="bullet"/>
      <w:lvlText w:val="•"/>
      <w:lvlJc w:val="left"/>
      <w:pPr>
        <w:ind w:left="1955" w:hanging="361"/>
      </w:pPr>
      <w:rPr>
        <w:rFonts w:hint="default"/>
        <w:lang w:val="en-US" w:eastAsia="en-US" w:bidi="ar-SA"/>
      </w:rPr>
    </w:lvl>
    <w:lvl w:ilvl="4">
      <w:start w:val="0"/>
      <w:numFmt w:val="bullet"/>
      <w:lvlText w:val="•"/>
      <w:lvlJc w:val="left"/>
      <w:pPr>
        <w:ind w:left="2213" w:hanging="361"/>
      </w:pPr>
      <w:rPr>
        <w:rFonts w:hint="default"/>
        <w:lang w:val="en-US" w:eastAsia="en-US" w:bidi="ar-SA"/>
      </w:rPr>
    </w:lvl>
    <w:lvl w:ilvl="5">
      <w:start w:val="0"/>
      <w:numFmt w:val="bullet"/>
      <w:lvlText w:val="•"/>
      <w:lvlJc w:val="left"/>
      <w:pPr>
        <w:ind w:left="2472" w:hanging="361"/>
      </w:pPr>
      <w:rPr>
        <w:rFonts w:hint="default"/>
        <w:lang w:val="en-US" w:eastAsia="en-US" w:bidi="ar-SA"/>
      </w:rPr>
    </w:lvl>
    <w:lvl w:ilvl="6">
      <w:start w:val="0"/>
      <w:numFmt w:val="bullet"/>
      <w:lvlText w:val="•"/>
      <w:lvlJc w:val="left"/>
      <w:pPr>
        <w:ind w:left="2730" w:hanging="361"/>
      </w:pPr>
      <w:rPr>
        <w:rFonts w:hint="default"/>
        <w:lang w:val="en-US" w:eastAsia="en-US" w:bidi="ar-SA"/>
      </w:rPr>
    </w:lvl>
    <w:lvl w:ilvl="7">
      <w:start w:val="0"/>
      <w:numFmt w:val="bullet"/>
      <w:lvlText w:val="•"/>
      <w:lvlJc w:val="left"/>
      <w:pPr>
        <w:ind w:left="2988" w:hanging="361"/>
      </w:pPr>
      <w:rPr>
        <w:rFonts w:hint="default"/>
        <w:lang w:val="en-US" w:eastAsia="en-US" w:bidi="ar-SA"/>
      </w:rPr>
    </w:lvl>
    <w:lvl w:ilvl="8">
      <w:start w:val="0"/>
      <w:numFmt w:val="bullet"/>
      <w:lvlText w:val="•"/>
      <w:lvlJc w:val="left"/>
      <w:pPr>
        <w:ind w:left="3247" w:hanging="361"/>
      </w:pPr>
      <w:rPr>
        <w:rFonts w:hint="default"/>
        <w:lang w:val="en-US" w:eastAsia="en-US" w:bidi="ar-SA"/>
      </w:rPr>
    </w:lvl>
  </w:abstractNum>
  <w:abstractNum w:abstractNumId="13">
    <w:multiLevelType w:val="hybridMultilevel"/>
    <w:lvl w:ilvl="0">
      <w:start w:val="0"/>
      <w:numFmt w:val="bullet"/>
      <w:lvlText w:val=""/>
      <w:lvlJc w:val="left"/>
      <w:pPr>
        <w:ind w:left="469"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o"/>
      <w:lvlJc w:val="left"/>
      <w:pPr>
        <w:ind w:left="1189" w:hanging="361"/>
      </w:pPr>
      <w:rPr>
        <w:rFonts w:hint="default" w:ascii="Courier New" w:hAnsi="Courier New" w:eastAsia="Courier New" w:cs="Courier New"/>
        <w:b w:val="0"/>
        <w:bCs w:val="0"/>
        <w:i w:val="0"/>
        <w:iCs w:val="0"/>
        <w:spacing w:val="0"/>
        <w:w w:val="100"/>
        <w:sz w:val="22"/>
        <w:szCs w:val="22"/>
        <w:lang w:val="en-US" w:eastAsia="en-US" w:bidi="ar-SA"/>
      </w:rPr>
    </w:lvl>
    <w:lvl w:ilvl="2">
      <w:start w:val="0"/>
      <w:numFmt w:val="bullet"/>
      <w:lvlText w:val="•"/>
      <w:lvlJc w:val="left"/>
      <w:pPr>
        <w:ind w:left="1467" w:hanging="361"/>
      </w:pPr>
      <w:rPr>
        <w:rFonts w:hint="default"/>
        <w:lang w:val="en-US" w:eastAsia="en-US" w:bidi="ar-SA"/>
      </w:rPr>
    </w:lvl>
    <w:lvl w:ilvl="3">
      <w:start w:val="0"/>
      <w:numFmt w:val="bullet"/>
      <w:lvlText w:val="•"/>
      <w:lvlJc w:val="left"/>
      <w:pPr>
        <w:ind w:left="1754" w:hanging="361"/>
      </w:pPr>
      <w:rPr>
        <w:rFonts w:hint="default"/>
        <w:lang w:val="en-US" w:eastAsia="en-US" w:bidi="ar-SA"/>
      </w:rPr>
    </w:lvl>
    <w:lvl w:ilvl="4">
      <w:start w:val="0"/>
      <w:numFmt w:val="bullet"/>
      <w:lvlText w:val="•"/>
      <w:lvlJc w:val="left"/>
      <w:pPr>
        <w:ind w:left="2041" w:hanging="361"/>
      </w:pPr>
      <w:rPr>
        <w:rFonts w:hint="default"/>
        <w:lang w:val="en-US" w:eastAsia="en-US" w:bidi="ar-SA"/>
      </w:rPr>
    </w:lvl>
    <w:lvl w:ilvl="5">
      <w:start w:val="0"/>
      <w:numFmt w:val="bullet"/>
      <w:lvlText w:val="•"/>
      <w:lvlJc w:val="left"/>
      <w:pPr>
        <w:ind w:left="2328" w:hanging="361"/>
      </w:pPr>
      <w:rPr>
        <w:rFonts w:hint="default"/>
        <w:lang w:val="en-US" w:eastAsia="en-US" w:bidi="ar-SA"/>
      </w:rPr>
    </w:lvl>
    <w:lvl w:ilvl="6">
      <w:start w:val="0"/>
      <w:numFmt w:val="bullet"/>
      <w:lvlText w:val="•"/>
      <w:lvlJc w:val="left"/>
      <w:pPr>
        <w:ind w:left="2615" w:hanging="361"/>
      </w:pPr>
      <w:rPr>
        <w:rFonts w:hint="default"/>
        <w:lang w:val="en-US" w:eastAsia="en-US" w:bidi="ar-SA"/>
      </w:rPr>
    </w:lvl>
    <w:lvl w:ilvl="7">
      <w:start w:val="0"/>
      <w:numFmt w:val="bullet"/>
      <w:lvlText w:val="•"/>
      <w:lvlJc w:val="left"/>
      <w:pPr>
        <w:ind w:left="2902" w:hanging="361"/>
      </w:pPr>
      <w:rPr>
        <w:rFonts w:hint="default"/>
        <w:lang w:val="en-US" w:eastAsia="en-US" w:bidi="ar-SA"/>
      </w:rPr>
    </w:lvl>
    <w:lvl w:ilvl="8">
      <w:start w:val="0"/>
      <w:numFmt w:val="bullet"/>
      <w:lvlText w:val="•"/>
      <w:lvlJc w:val="left"/>
      <w:pPr>
        <w:ind w:left="3189" w:hanging="361"/>
      </w:pPr>
      <w:rPr>
        <w:rFonts w:hint="default"/>
        <w:lang w:val="en-US" w:eastAsia="en-US" w:bidi="ar-SA"/>
      </w:rPr>
    </w:lvl>
  </w:abstractNum>
  <w:abstractNum w:abstractNumId="12">
    <w:multiLevelType w:val="hybridMultilevel"/>
    <w:lvl w:ilvl="0">
      <w:start w:val="0"/>
      <w:numFmt w:val="bullet"/>
      <w:lvlText w:val=""/>
      <w:lvlJc w:val="left"/>
      <w:pPr>
        <w:ind w:left="467"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079" w:hanging="361"/>
      </w:pPr>
      <w:rPr>
        <w:rFonts w:hint="default"/>
        <w:lang w:val="en-US" w:eastAsia="en-US" w:bidi="ar-SA"/>
      </w:rPr>
    </w:lvl>
    <w:lvl w:ilvl="2">
      <w:start w:val="0"/>
      <w:numFmt w:val="bullet"/>
      <w:lvlText w:val="•"/>
      <w:lvlJc w:val="left"/>
      <w:pPr>
        <w:ind w:left="1698" w:hanging="361"/>
      </w:pPr>
      <w:rPr>
        <w:rFonts w:hint="default"/>
        <w:lang w:val="en-US" w:eastAsia="en-US" w:bidi="ar-SA"/>
      </w:rPr>
    </w:lvl>
    <w:lvl w:ilvl="3">
      <w:start w:val="0"/>
      <w:numFmt w:val="bullet"/>
      <w:lvlText w:val="•"/>
      <w:lvlJc w:val="left"/>
      <w:pPr>
        <w:ind w:left="2317" w:hanging="361"/>
      </w:pPr>
      <w:rPr>
        <w:rFonts w:hint="default"/>
        <w:lang w:val="en-US" w:eastAsia="en-US" w:bidi="ar-SA"/>
      </w:rPr>
    </w:lvl>
    <w:lvl w:ilvl="4">
      <w:start w:val="0"/>
      <w:numFmt w:val="bullet"/>
      <w:lvlText w:val="•"/>
      <w:lvlJc w:val="left"/>
      <w:pPr>
        <w:ind w:left="2936" w:hanging="361"/>
      </w:pPr>
      <w:rPr>
        <w:rFonts w:hint="default"/>
        <w:lang w:val="en-US" w:eastAsia="en-US" w:bidi="ar-SA"/>
      </w:rPr>
    </w:lvl>
    <w:lvl w:ilvl="5">
      <w:start w:val="0"/>
      <w:numFmt w:val="bullet"/>
      <w:lvlText w:val="•"/>
      <w:lvlJc w:val="left"/>
      <w:pPr>
        <w:ind w:left="3555" w:hanging="361"/>
      </w:pPr>
      <w:rPr>
        <w:rFonts w:hint="default"/>
        <w:lang w:val="en-US" w:eastAsia="en-US" w:bidi="ar-SA"/>
      </w:rPr>
    </w:lvl>
    <w:lvl w:ilvl="6">
      <w:start w:val="0"/>
      <w:numFmt w:val="bullet"/>
      <w:lvlText w:val="•"/>
      <w:lvlJc w:val="left"/>
      <w:pPr>
        <w:ind w:left="4174" w:hanging="361"/>
      </w:pPr>
      <w:rPr>
        <w:rFonts w:hint="default"/>
        <w:lang w:val="en-US" w:eastAsia="en-US" w:bidi="ar-SA"/>
      </w:rPr>
    </w:lvl>
    <w:lvl w:ilvl="7">
      <w:start w:val="0"/>
      <w:numFmt w:val="bullet"/>
      <w:lvlText w:val="•"/>
      <w:lvlJc w:val="left"/>
      <w:pPr>
        <w:ind w:left="4793" w:hanging="361"/>
      </w:pPr>
      <w:rPr>
        <w:rFonts w:hint="default"/>
        <w:lang w:val="en-US" w:eastAsia="en-US" w:bidi="ar-SA"/>
      </w:rPr>
    </w:lvl>
    <w:lvl w:ilvl="8">
      <w:start w:val="0"/>
      <w:numFmt w:val="bullet"/>
      <w:lvlText w:val="•"/>
      <w:lvlJc w:val="left"/>
      <w:pPr>
        <w:ind w:left="5412" w:hanging="361"/>
      </w:pPr>
      <w:rPr>
        <w:rFonts w:hint="default"/>
        <w:lang w:val="en-US" w:eastAsia="en-US" w:bidi="ar-SA"/>
      </w:rPr>
    </w:lvl>
  </w:abstractNum>
  <w:abstractNum w:abstractNumId="11">
    <w:multiLevelType w:val="hybridMultilevel"/>
    <w:lvl w:ilvl="0">
      <w:start w:val="0"/>
      <w:numFmt w:val="bullet"/>
      <w:lvlText w:val=""/>
      <w:lvlJc w:val="left"/>
      <w:pPr>
        <w:ind w:left="467"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079" w:hanging="361"/>
      </w:pPr>
      <w:rPr>
        <w:rFonts w:hint="default"/>
        <w:lang w:val="en-US" w:eastAsia="en-US" w:bidi="ar-SA"/>
      </w:rPr>
    </w:lvl>
    <w:lvl w:ilvl="2">
      <w:start w:val="0"/>
      <w:numFmt w:val="bullet"/>
      <w:lvlText w:val="•"/>
      <w:lvlJc w:val="left"/>
      <w:pPr>
        <w:ind w:left="1698" w:hanging="361"/>
      </w:pPr>
      <w:rPr>
        <w:rFonts w:hint="default"/>
        <w:lang w:val="en-US" w:eastAsia="en-US" w:bidi="ar-SA"/>
      </w:rPr>
    </w:lvl>
    <w:lvl w:ilvl="3">
      <w:start w:val="0"/>
      <w:numFmt w:val="bullet"/>
      <w:lvlText w:val="•"/>
      <w:lvlJc w:val="left"/>
      <w:pPr>
        <w:ind w:left="2317" w:hanging="361"/>
      </w:pPr>
      <w:rPr>
        <w:rFonts w:hint="default"/>
        <w:lang w:val="en-US" w:eastAsia="en-US" w:bidi="ar-SA"/>
      </w:rPr>
    </w:lvl>
    <w:lvl w:ilvl="4">
      <w:start w:val="0"/>
      <w:numFmt w:val="bullet"/>
      <w:lvlText w:val="•"/>
      <w:lvlJc w:val="left"/>
      <w:pPr>
        <w:ind w:left="2936" w:hanging="361"/>
      </w:pPr>
      <w:rPr>
        <w:rFonts w:hint="default"/>
        <w:lang w:val="en-US" w:eastAsia="en-US" w:bidi="ar-SA"/>
      </w:rPr>
    </w:lvl>
    <w:lvl w:ilvl="5">
      <w:start w:val="0"/>
      <w:numFmt w:val="bullet"/>
      <w:lvlText w:val="•"/>
      <w:lvlJc w:val="left"/>
      <w:pPr>
        <w:ind w:left="3555" w:hanging="361"/>
      </w:pPr>
      <w:rPr>
        <w:rFonts w:hint="default"/>
        <w:lang w:val="en-US" w:eastAsia="en-US" w:bidi="ar-SA"/>
      </w:rPr>
    </w:lvl>
    <w:lvl w:ilvl="6">
      <w:start w:val="0"/>
      <w:numFmt w:val="bullet"/>
      <w:lvlText w:val="•"/>
      <w:lvlJc w:val="left"/>
      <w:pPr>
        <w:ind w:left="4174" w:hanging="361"/>
      </w:pPr>
      <w:rPr>
        <w:rFonts w:hint="default"/>
        <w:lang w:val="en-US" w:eastAsia="en-US" w:bidi="ar-SA"/>
      </w:rPr>
    </w:lvl>
    <w:lvl w:ilvl="7">
      <w:start w:val="0"/>
      <w:numFmt w:val="bullet"/>
      <w:lvlText w:val="•"/>
      <w:lvlJc w:val="left"/>
      <w:pPr>
        <w:ind w:left="4793" w:hanging="361"/>
      </w:pPr>
      <w:rPr>
        <w:rFonts w:hint="default"/>
        <w:lang w:val="en-US" w:eastAsia="en-US" w:bidi="ar-SA"/>
      </w:rPr>
    </w:lvl>
    <w:lvl w:ilvl="8">
      <w:start w:val="0"/>
      <w:numFmt w:val="bullet"/>
      <w:lvlText w:val="•"/>
      <w:lvlJc w:val="left"/>
      <w:pPr>
        <w:ind w:left="5412" w:hanging="361"/>
      </w:pPr>
      <w:rPr>
        <w:rFonts w:hint="default"/>
        <w:lang w:val="en-US" w:eastAsia="en-US" w:bidi="ar-SA"/>
      </w:rPr>
    </w:lvl>
  </w:abstractNum>
  <w:abstractNum w:abstractNumId="10">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617" w:hanging="360"/>
      </w:pPr>
      <w:rPr>
        <w:rFonts w:hint="default"/>
        <w:lang w:val="en-US" w:eastAsia="en-US" w:bidi="ar-SA"/>
      </w:rPr>
    </w:lvl>
    <w:lvl w:ilvl="2">
      <w:start w:val="0"/>
      <w:numFmt w:val="bullet"/>
      <w:lvlText w:val="•"/>
      <w:lvlJc w:val="left"/>
      <w:pPr>
        <w:ind w:left="774" w:hanging="360"/>
      </w:pPr>
      <w:rPr>
        <w:rFonts w:hint="default"/>
        <w:lang w:val="en-US" w:eastAsia="en-US" w:bidi="ar-SA"/>
      </w:rPr>
    </w:lvl>
    <w:lvl w:ilvl="3">
      <w:start w:val="0"/>
      <w:numFmt w:val="bullet"/>
      <w:lvlText w:val="•"/>
      <w:lvlJc w:val="left"/>
      <w:pPr>
        <w:ind w:left="931" w:hanging="360"/>
      </w:pPr>
      <w:rPr>
        <w:rFonts w:hint="default"/>
        <w:lang w:val="en-US" w:eastAsia="en-US" w:bidi="ar-SA"/>
      </w:rPr>
    </w:lvl>
    <w:lvl w:ilvl="4">
      <w:start w:val="0"/>
      <w:numFmt w:val="bullet"/>
      <w:lvlText w:val="•"/>
      <w:lvlJc w:val="left"/>
      <w:pPr>
        <w:ind w:left="1088" w:hanging="360"/>
      </w:pPr>
      <w:rPr>
        <w:rFonts w:hint="default"/>
        <w:lang w:val="en-US" w:eastAsia="en-US" w:bidi="ar-SA"/>
      </w:rPr>
    </w:lvl>
    <w:lvl w:ilvl="5">
      <w:start w:val="0"/>
      <w:numFmt w:val="bullet"/>
      <w:lvlText w:val="•"/>
      <w:lvlJc w:val="left"/>
      <w:pPr>
        <w:ind w:left="1246" w:hanging="360"/>
      </w:pPr>
      <w:rPr>
        <w:rFonts w:hint="default"/>
        <w:lang w:val="en-US" w:eastAsia="en-US" w:bidi="ar-SA"/>
      </w:rPr>
    </w:lvl>
    <w:lvl w:ilvl="6">
      <w:start w:val="0"/>
      <w:numFmt w:val="bullet"/>
      <w:lvlText w:val="•"/>
      <w:lvlJc w:val="left"/>
      <w:pPr>
        <w:ind w:left="1403" w:hanging="360"/>
      </w:pPr>
      <w:rPr>
        <w:rFonts w:hint="default"/>
        <w:lang w:val="en-US" w:eastAsia="en-US" w:bidi="ar-SA"/>
      </w:rPr>
    </w:lvl>
    <w:lvl w:ilvl="7">
      <w:start w:val="0"/>
      <w:numFmt w:val="bullet"/>
      <w:lvlText w:val="•"/>
      <w:lvlJc w:val="left"/>
      <w:pPr>
        <w:ind w:left="1560" w:hanging="360"/>
      </w:pPr>
      <w:rPr>
        <w:rFonts w:hint="default"/>
        <w:lang w:val="en-US" w:eastAsia="en-US" w:bidi="ar-SA"/>
      </w:rPr>
    </w:lvl>
    <w:lvl w:ilvl="8">
      <w:start w:val="0"/>
      <w:numFmt w:val="bullet"/>
      <w:lvlText w:val="•"/>
      <w:lvlJc w:val="left"/>
      <w:pPr>
        <w:ind w:left="1717" w:hanging="360"/>
      </w:pPr>
      <w:rPr>
        <w:rFonts w:hint="default"/>
        <w:lang w:val="en-US" w:eastAsia="en-US" w:bidi="ar-SA"/>
      </w:rPr>
    </w:lvl>
  </w:abstractNum>
  <w:abstractNum w:abstractNumId="9">
    <w:multiLevelType w:val="hybridMultilevel"/>
    <w:lvl w:ilvl="0">
      <w:start w:val="0"/>
      <w:numFmt w:val="bullet"/>
      <w:lvlText w:val=""/>
      <w:lvlJc w:val="left"/>
      <w:pPr>
        <w:ind w:left="467"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617" w:hanging="361"/>
      </w:pPr>
      <w:rPr>
        <w:rFonts w:hint="default"/>
        <w:lang w:val="en-US" w:eastAsia="en-US" w:bidi="ar-SA"/>
      </w:rPr>
    </w:lvl>
    <w:lvl w:ilvl="2">
      <w:start w:val="0"/>
      <w:numFmt w:val="bullet"/>
      <w:lvlText w:val="•"/>
      <w:lvlJc w:val="left"/>
      <w:pPr>
        <w:ind w:left="774" w:hanging="361"/>
      </w:pPr>
      <w:rPr>
        <w:rFonts w:hint="default"/>
        <w:lang w:val="en-US" w:eastAsia="en-US" w:bidi="ar-SA"/>
      </w:rPr>
    </w:lvl>
    <w:lvl w:ilvl="3">
      <w:start w:val="0"/>
      <w:numFmt w:val="bullet"/>
      <w:lvlText w:val="•"/>
      <w:lvlJc w:val="left"/>
      <w:pPr>
        <w:ind w:left="931" w:hanging="361"/>
      </w:pPr>
      <w:rPr>
        <w:rFonts w:hint="default"/>
        <w:lang w:val="en-US" w:eastAsia="en-US" w:bidi="ar-SA"/>
      </w:rPr>
    </w:lvl>
    <w:lvl w:ilvl="4">
      <w:start w:val="0"/>
      <w:numFmt w:val="bullet"/>
      <w:lvlText w:val="•"/>
      <w:lvlJc w:val="left"/>
      <w:pPr>
        <w:ind w:left="1088" w:hanging="361"/>
      </w:pPr>
      <w:rPr>
        <w:rFonts w:hint="default"/>
        <w:lang w:val="en-US" w:eastAsia="en-US" w:bidi="ar-SA"/>
      </w:rPr>
    </w:lvl>
    <w:lvl w:ilvl="5">
      <w:start w:val="0"/>
      <w:numFmt w:val="bullet"/>
      <w:lvlText w:val="•"/>
      <w:lvlJc w:val="left"/>
      <w:pPr>
        <w:ind w:left="1246" w:hanging="361"/>
      </w:pPr>
      <w:rPr>
        <w:rFonts w:hint="default"/>
        <w:lang w:val="en-US" w:eastAsia="en-US" w:bidi="ar-SA"/>
      </w:rPr>
    </w:lvl>
    <w:lvl w:ilvl="6">
      <w:start w:val="0"/>
      <w:numFmt w:val="bullet"/>
      <w:lvlText w:val="•"/>
      <w:lvlJc w:val="left"/>
      <w:pPr>
        <w:ind w:left="1403" w:hanging="361"/>
      </w:pPr>
      <w:rPr>
        <w:rFonts w:hint="default"/>
        <w:lang w:val="en-US" w:eastAsia="en-US" w:bidi="ar-SA"/>
      </w:rPr>
    </w:lvl>
    <w:lvl w:ilvl="7">
      <w:start w:val="0"/>
      <w:numFmt w:val="bullet"/>
      <w:lvlText w:val="•"/>
      <w:lvlJc w:val="left"/>
      <w:pPr>
        <w:ind w:left="1560" w:hanging="361"/>
      </w:pPr>
      <w:rPr>
        <w:rFonts w:hint="default"/>
        <w:lang w:val="en-US" w:eastAsia="en-US" w:bidi="ar-SA"/>
      </w:rPr>
    </w:lvl>
    <w:lvl w:ilvl="8">
      <w:start w:val="0"/>
      <w:numFmt w:val="bullet"/>
      <w:lvlText w:val="•"/>
      <w:lvlJc w:val="left"/>
      <w:pPr>
        <w:ind w:left="1717" w:hanging="361"/>
      </w:pPr>
      <w:rPr>
        <w:rFonts w:hint="default"/>
        <w:lang w:val="en-US" w:eastAsia="en-US" w:bidi="ar-SA"/>
      </w:rPr>
    </w:lvl>
  </w:abstractNum>
  <w:abstractNum w:abstractNumId="8">
    <w:multiLevelType w:val="hybridMultilevel"/>
    <w:lvl w:ilvl="0">
      <w:start w:val="0"/>
      <w:numFmt w:val="bullet"/>
      <w:lvlText w:val=""/>
      <w:lvlJc w:val="left"/>
      <w:pPr>
        <w:ind w:left="467" w:hanging="361"/>
      </w:pPr>
      <w:rPr>
        <w:rFonts w:hint="default" w:ascii="Symbol" w:hAnsi="Symbol" w:eastAsia="Symbol" w:cs="Symbol"/>
        <w:spacing w:val="0"/>
        <w:w w:val="100"/>
        <w:lang w:val="en-US" w:eastAsia="en-US" w:bidi="ar-SA"/>
      </w:rPr>
    </w:lvl>
    <w:lvl w:ilvl="1">
      <w:start w:val="0"/>
      <w:numFmt w:val="bullet"/>
      <w:lvlText w:val="•"/>
      <w:lvlJc w:val="left"/>
      <w:pPr>
        <w:ind w:left="617" w:hanging="361"/>
      </w:pPr>
      <w:rPr>
        <w:rFonts w:hint="default"/>
        <w:lang w:val="en-US" w:eastAsia="en-US" w:bidi="ar-SA"/>
      </w:rPr>
    </w:lvl>
    <w:lvl w:ilvl="2">
      <w:start w:val="0"/>
      <w:numFmt w:val="bullet"/>
      <w:lvlText w:val="•"/>
      <w:lvlJc w:val="left"/>
      <w:pPr>
        <w:ind w:left="774" w:hanging="361"/>
      </w:pPr>
      <w:rPr>
        <w:rFonts w:hint="default"/>
        <w:lang w:val="en-US" w:eastAsia="en-US" w:bidi="ar-SA"/>
      </w:rPr>
    </w:lvl>
    <w:lvl w:ilvl="3">
      <w:start w:val="0"/>
      <w:numFmt w:val="bullet"/>
      <w:lvlText w:val="•"/>
      <w:lvlJc w:val="left"/>
      <w:pPr>
        <w:ind w:left="931" w:hanging="361"/>
      </w:pPr>
      <w:rPr>
        <w:rFonts w:hint="default"/>
        <w:lang w:val="en-US" w:eastAsia="en-US" w:bidi="ar-SA"/>
      </w:rPr>
    </w:lvl>
    <w:lvl w:ilvl="4">
      <w:start w:val="0"/>
      <w:numFmt w:val="bullet"/>
      <w:lvlText w:val="•"/>
      <w:lvlJc w:val="left"/>
      <w:pPr>
        <w:ind w:left="1088" w:hanging="361"/>
      </w:pPr>
      <w:rPr>
        <w:rFonts w:hint="default"/>
        <w:lang w:val="en-US" w:eastAsia="en-US" w:bidi="ar-SA"/>
      </w:rPr>
    </w:lvl>
    <w:lvl w:ilvl="5">
      <w:start w:val="0"/>
      <w:numFmt w:val="bullet"/>
      <w:lvlText w:val="•"/>
      <w:lvlJc w:val="left"/>
      <w:pPr>
        <w:ind w:left="1246" w:hanging="361"/>
      </w:pPr>
      <w:rPr>
        <w:rFonts w:hint="default"/>
        <w:lang w:val="en-US" w:eastAsia="en-US" w:bidi="ar-SA"/>
      </w:rPr>
    </w:lvl>
    <w:lvl w:ilvl="6">
      <w:start w:val="0"/>
      <w:numFmt w:val="bullet"/>
      <w:lvlText w:val="•"/>
      <w:lvlJc w:val="left"/>
      <w:pPr>
        <w:ind w:left="1403" w:hanging="361"/>
      </w:pPr>
      <w:rPr>
        <w:rFonts w:hint="default"/>
        <w:lang w:val="en-US" w:eastAsia="en-US" w:bidi="ar-SA"/>
      </w:rPr>
    </w:lvl>
    <w:lvl w:ilvl="7">
      <w:start w:val="0"/>
      <w:numFmt w:val="bullet"/>
      <w:lvlText w:val="•"/>
      <w:lvlJc w:val="left"/>
      <w:pPr>
        <w:ind w:left="1560" w:hanging="361"/>
      </w:pPr>
      <w:rPr>
        <w:rFonts w:hint="default"/>
        <w:lang w:val="en-US" w:eastAsia="en-US" w:bidi="ar-SA"/>
      </w:rPr>
    </w:lvl>
    <w:lvl w:ilvl="8">
      <w:start w:val="0"/>
      <w:numFmt w:val="bullet"/>
      <w:lvlText w:val="•"/>
      <w:lvlJc w:val="left"/>
      <w:pPr>
        <w:ind w:left="1717" w:hanging="361"/>
      </w:pPr>
      <w:rPr>
        <w:rFonts w:hint="default"/>
        <w:lang w:val="en-US" w:eastAsia="en-US" w:bidi="ar-SA"/>
      </w:rPr>
    </w:lvl>
  </w:abstractNum>
  <w:abstractNum w:abstractNumId="7">
    <w:multiLevelType w:val="hybridMultilevel"/>
    <w:lvl w:ilvl="0">
      <w:start w:val="0"/>
      <w:numFmt w:val="bullet"/>
      <w:lvlText w:val=""/>
      <w:lvlJc w:val="left"/>
      <w:pPr>
        <w:ind w:left="468"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616" w:hanging="360"/>
      </w:pPr>
      <w:rPr>
        <w:rFonts w:hint="default"/>
        <w:lang w:val="en-US" w:eastAsia="en-US" w:bidi="ar-SA"/>
      </w:rPr>
    </w:lvl>
    <w:lvl w:ilvl="2">
      <w:start w:val="0"/>
      <w:numFmt w:val="bullet"/>
      <w:lvlText w:val="•"/>
      <w:lvlJc w:val="left"/>
      <w:pPr>
        <w:ind w:left="773" w:hanging="360"/>
      </w:pPr>
      <w:rPr>
        <w:rFonts w:hint="default"/>
        <w:lang w:val="en-US" w:eastAsia="en-US" w:bidi="ar-SA"/>
      </w:rPr>
    </w:lvl>
    <w:lvl w:ilvl="3">
      <w:start w:val="0"/>
      <w:numFmt w:val="bullet"/>
      <w:lvlText w:val="•"/>
      <w:lvlJc w:val="left"/>
      <w:pPr>
        <w:ind w:left="930" w:hanging="360"/>
      </w:pPr>
      <w:rPr>
        <w:rFonts w:hint="default"/>
        <w:lang w:val="en-US" w:eastAsia="en-US" w:bidi="ar-SA"/>
      </w:rPr>
    </w:lvl>
    <w:lvl w:ilvl="4">
      <w:start w:val="0"/>
      <w:numFmt w:val="bullet"/>
      <w:lvlText w:val="•"/>
      <w:lvlJc w:val="left"/>
      <w:pPr>
        <w:ind w:left="1086" w:hanging="360"/>
      </w:pPr>
      <w:rPr>
        <w:rFonts w:hint="default"/>
        <w:lang w:val="en-US" w:eastAsia="en-US" w:bidi="ar-SA"/>
      </w:rPr>
    </w:lvl>
    <w:lvl w:ilvl="5">
      <w:start w:val="0"/>
      <w:numFmt w:val="bullet"/>
      <w:lvlText w:val="•"/>
      <w:lvlJc w:val="left"/>
      <w:pPr>
        <w:ind w:left="1243" w:hanging="360"/>
      </w:pPr>
      <w:rPr>
        <w:rFonts w:hint="default"/>
        <w:lang w:val="en-US" w:eastAsia="en-US" w:bidi="ar-SA"/>
      </w:rPr>
    </w:lvl>
    <w:lvl w:ilvl="6">
      <w:start w:val="0"/>
      <w:numFmt w:val="bullet"/>
      <w:lvlText w:val="•"/>
      <w:lvlJc w:val="left"/>
      <w:pPr>
        <w:ind w:left="1400" w:hanging="360"/>
      </w:pPr>
      <w:rPr>
        <w:rFonts w:hint="default"/>
        <w:lang w:val="en-US" w:eastAsia="en-US" w:bidi="ar-SA"/>
      </w:rPr>
    </w:lvl>
    <w:lvl w:ilvl="7">
      <w:start w:val="0"/>
      <w:numFmt w:val="bullet"/>
      <w:lvlText w:val="•"/>
      <w:lvlJc w:val="left"/>
      <w:pPr>
        <w:ind w:left="1556" w:hanging="360"/>
      </w:pPr>
      <w:rPr>
        <w:rFonts w:hint="default"/>
        <w:lang w:val="en-US" w:eastAsia="en-US" w:bidi="ar-SA"/>
      </w:rPr>
    </w:lvl>
    <w:lvl w:ilvl="8">
      <w:start w:val="0"/>
      <w:numFmt w:val="bullet"/>
      <w:lvlText w:val="•"/>
      <w:lvlJc w:val="left"/>
      <w:pPr>
        <w:ind w:left="1713" w:hanging="360"/>
      </w:pPr>
      <w:rPr>
        <w:rFonts w:hint="default"/>
        <w:lang w:val="en-US" w:eastAsia="en-US" w:bidi="ar-SA"/>
      </w:rPr>
    </w:lvl>
  </w:abstractNum>
  <w:abstractNum w:abstractNumId="6">
    <w:multiLevelType w:val="hybridMultilevel"/>
    <w:lvl w:ilvl="0">
      <w:start w:val="0"/>
      <w:numFmt w:val="bullet"/>
      <w:lvlText w:val=""/>
      <w:lvlJc w:val="left"/>
      <w:pPr>
        <w:ind w:left="468"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616" w:hanging="360"/>
      </w:pPr>
      <w:rPr>
        <w:rFonts w:hint="default"/>
        <w:lang w:val="en-US" w:eastAsia="en-US" w:bidi="ar-SA"/>
      </w:rPr>
    </w:lvl>
    <w:lvl w:ilvl="2">
      <w:start w:val="0"/>
      <w:numFmt w:val="bullet"/>
      <w:lvlText w:val="•"/>
      <w:lvlJc w:val="left"/>
      <w:pPr>
        <w:ind w:left="773" w:hanging="360"/>
      </w:pPr>
      <w:rPr>
        <w:rFonts w:hint="default"/>
        <w:lang w:val="en-US" w:eastAsia="en-US" w:bidi="ar-SA"/>
      </w:rPr>
    </w:lvl>
    <w:lvl w:ilvl="3">
      <w:start w:val="0"/>
      <w:numFmt w:val="bullet"/>
      <w:lvlText w:val="•"/>
      <w:lvlJc w:val="left"/>
      <w:pPr>
        <w:ind w:left="930" w:hanging="360"/>
      </w:pPr>
      <w:rPr>
        <w:rFonts w:hint="default"/>
        <w:lang w:val="en-US" w:eastAsia="en-US" w:bidi="ar-SA"/>
      </w:rPr>
    </w:lvl>
    <w:lvl w:ilvl="4">
      <w:start w:val="0"/>
      <w:numFmt w:val="bullet"/>
      <w:lvlText w:val="•"/>
      <w:lvlJc w:val="left"/>
      <w:pPr>
        <w:ind w:left="1086" w:hanging="360"/>
      </w:pPr>
      <w:rPr>
        <w:rFonts w:hint="default"/>
        <w:lang w:val="en-US" w:eastAsia="en-US" w:bidi="ar-SA"/>
      </w:rPr>
    </w:lvl>
    <w:lvl w:ilvl="5">
      <w:start w:val="0"/>
      <w:numFmt w:val="bullet"/>
      <w:lvlText w:val="•"/>
      <w:lvlJc w:val="left"/>
      <w:pPr>
        <w:ind w:left="1243" w:hanging="360"/>
      </w:pPr>
      <w:rPr>
        <w:rFonts w:hint="default"/>
        <w:lang w:val="en-US" w:eastAsia="en-US" w:bidi="ar-SA"/>
      </w:rPr>
    </w:lvl>
    <w:lvl w:ilvl="6">
      <w:start w:val="0"/>
      <w:numFmt w:val="bullet"/>
      <w:lvlText w:val="•"/>
      <w:lvlJc w:val="left"/>
      <w:pPr>
        <w:ind w:left="1400" w:hanging="360"/>
      </w:pPr>
      <w:rPr>
        <w:rFonts w:hint="default"/>
        <w:lang w:val="en-US" w:eastAsia="en-US" w:bidi="ar-SA"/>
      </w:rPr>
    </w:lvl>
    <w:lvl w:ilvl="7">
      <w:start w:val="0"/>
      <w:numFmt w:val="bullet"/>
      <w:lvlText w:val="•"/>
      <w:lvlJc w:val="left"/>
      <w:pPr>
        <w:ind w:left="1556" w:hanging="360"/>
      </w:pPr>
      <w:rPr>
        <w:rFonts w:hint="default"/>
        <w:lang w:val="en-US" w:eastAsia="en-US" w:bidi="ar-SA"/>
      </w:rPr>
    </w:lvl>
    <w:lvl w:ilvl="8">
      <w:start w:val="0"/>
      <w:numFmt w:val="bullet"/>
      <w:lvlText w:val="•"/>
      <w:lvlJc w:val="left"/>
      <w:pPr>
        <w:ind w:left="1713" w:hanging="360"/>
      </w:pPr>
      <w:rPr>
        <w:rFonts w:hint="default"/>
        <w:lang w:val="en-US" w:eastAsia="en-US" w:bidi="ar-SA"/>
      </w:rPr>
    </w:lvl>
  </w:abstractNum>
  <w:abstractNum w:abstractNumId="5">
    <w:multiLevelType w:val="hybridMultilevel"/>
    <w:lvl w:ilvl="0">
      <w:start w:val="0"/>
      <w:numFmt w:val="bullet"/>
      <w:lvlText w:val=""/>
      <w:lvlJc w:val="left"/>
      <w:pPr>
        <w:ind w:left="468" w:hanging="360"/>
      </w:pPr>
      <w:rPr>
        <w:rFonts w:hint="default" w:ascii="Symbol" w:hAnsi="Symbol" w:eastAsia="Symbol" w:cs="Symbol"/>
        <w:spacing w:val="0"/>
        <w:w w:val="100"/>
        <w:lang w:val="en-US" w:eastAsia="en-US" w:bidi="ar-SA"/>
      </w:rPr>
    </w:lvl>
    <w:lvl w:ilvl="1">
      <w:start w:val="0"/>
      <w:numFmt w:val="bullet"/>
      <w:lvlText w:val="•"/>
      <w:lvlJc w:val="left"/>
      <w:pPr>
        <w:ind w:left="616" w:hanging="360"/>
      </w:pPr>
      <w:rPr>
        <w:rFonts w:hint="default"/>
        <w:lang w:val="en-US" w:eastAsia="en-US" w:bidi="ar-SA"/>
      </w:rPr>
    </w:lvl>
    <w:lvl w:ilvl="2">
      <w:start w:val="0"/>
      <w:numFmt w:val="bullet"/>
      <w:lvlText w:val="•"/>
      <w:lvlJc w:val="left"/>
      <w:pPr>
        <w:ind w:left="773" w:hanging="360"/>
      </w:pPr>
      <w:rPr>
        <w:rFonts w:hint="default"/>
        <w:lang w:val="en-US" w:eastAsia="en-US" w:bidi="ar-SA"/>
      </w:rPr>
    </w:lvl>
    <w:lvl w:ilvl="3">
      <w:start w:val="0"/>
      <w:numFmt w:val="bullet"/>
      <w:lvlText w:val="•"/>
      <w:lvlJc w:val="left"/>
      <w:pPr>
        <w:ind w:left="930" w:hanging="360"/>
      </w:pPr>
      <w:rPr>
        <w:rFonts w:hint="default"/>
        <w:lang w:val="en-US" w:eastAsia="en-US" w:bidi="ar-SA"/>
      </w:rPr>
    </w:lvl>
    <w:lvl w:ilvl="4">
      <w:start w:val="0"/>
      <w:numFmt w:val="bullet"/>
      <w:lvlText w:val="•"/>
      <w:lvlJc w:val="left"/>
      <w:pPr>
        <w:ind w:left="1086" w:hanging="360"/>
      </w:pPr>
      <w:rPr>
        <w:rFonts w:hint="default"/>
        <w:lang w:val="en-US" w:eastAsia="en-US" w:bidi="ar-SA"/>
      </w:rPr>
    </w:lvl>
    <w:lvl w:ilvl="5">
      <w:start w:val="0"/>
      <w:numFmt w:val="bullet"/>
      <w:lvlText w:val="•"/>
      <w:lvlJc w:val="left"/>
      <w:pPr>
        <w:ind w:left="1243" w:hanging="360"/>
      </w:pPr>
      <w:rPr>
        <w:rFonts w:hint="default"/>
        <w:lang w:val="en-US" w:eastAsia="en-US" w:bidi="ar-SA"/>
      </w:rPr>
    </w:lvl>
    <w:lvl w:ilvl="6">
      <w:start w:val="0"/>
      <w:numFmt w:val="bullet"/>
      <w:lvlText w:val="•"/>
      <w:lvlJc w:val="left"/>
      <w:pPr>
        <w:ind w:left="1400" w:hanging="360"/>
      </w:pPr>
      <w:rPr>
        <w:rFonts w:hint="default"/>
        <w:lang w:val="en-US" w:eastAsia="en-US" w:bidi="ar-SA"/>
      </w:rPr>
    </w:lvl>
    <w:lvl w:ilvl="7">
      <w:start w:val="0"/>
      <w:numFmt w:val="bullet"/>
      <w:lvlText w:val="•"/>
      <w:lvlJc w:val="left"/>
      <w:pPr>
        <w:ind w:left="1556" w:hanging="360"/>
      </w:pPr>
      <w:rPr>
        <w:rFonts w:hint="default"/>
        <w:lang w:val="en-US" w:eastAsia="en-US" w:bidi="ar-SA"/>
      </w:rPr>
    </w:lvl>
    <w:lvl w:ilvl="8">
      <w:start w:val="0"/>
      <w:numFmt w:val="bullet"/>
      <w:lvlText w:val="•"/>
      <w:lvlJc w:val="left"/>
      <w:pPr>
        <w:ind w:left="1713" w:hanging="360"/>
      </w:pPr>
      <w:rPr>
        <w:rFonts w:hint="default"/>
        <w:lang w:val="en-US" w:eastAsia="en-US" w:bidi="ar-SA"/>
      </w:rPr>
    </w:lvl>
  </w:abstractNum>
  <w:abstractNum w:abstractNumId="4">
    <w:multiLevelType w:val="hybridMultilevel"/>
    <w:lvl w:ilvl="0">
      <w:start w:val="0"/>
      <w:numFmt w:val="bullet"/>
      <w:lvlText w:val=""/>
      <w:lvlJc w:val="left"/>
      <w:pPr>
        <w:ind w:left="468" w:hanging="360"/>
      </w:pPr>
      <w:rPr>
        <w:rFonts w:hint="default" w:ascii="Symbol" w:hAnsi="Symbol" w:eastAsia="Symbol" w:cs="Symbol"/>
        <w:spacing w:val="0"/>
        <w:w w:val="100"/>
        <w:lang w:val="en-US" w:eastAsia="en-US" w:bidi="ar-SA"/>
      </w:rPr>
    </w:lvl>
    <w:lvl w:ilvl="1">
      <w:start w:val="0"/>
      <w:numFmt w:val="bullet"/>
      <w:lvlText w:val="•"/>
      <w:lvlJc w:val="left"/>
      <w:pPr>
        <w:ind w:left="616" w:hanging="360"/>
      </w:pPr>
      <w:rPr>
        <w:rFonts w:hint="default"/>
        <w:lang w:val="en-US" w:eastAsia="en-US" w:bidi="ar-SA"/>
      </w:rPr>
    </w:lvl>
    <w:lvl w:ilvl="2">
      <w:start w:val="0"/>
      <w:numFmt w:val="bullet"/>
      <w:lvlText w:val="•"/>
      <w:lvlJc w:val="left"/>
      <w:pPr>
        <w:ind w:left="773" w:hanging="360"/>
      </w:pPr>
      <w:rPr>
        <w:rFonts w:hint="default"/>
        <w:lang w:val="en-US" w:eastAsia="en-US" w:bidi="ar-SA"/>
      </w:rPr>
    </w:lvl>
    <w:lvl w:ilvl="3">
      <w:start w:val="0"/>
      <w:numFmt w:val="bullet"/>
      <w:lvlText w:val="•"/>
      <w:lvlJc w:val="left"/>
      <w:pPr>
        <w:ind w:left="930" w:hanging="360"/>
      </w:pPr>
      <w:rPr>
        <w:rFonts w:hint="default"/>
        <w:lang w:val="en-US" w:eastAsia="en-US" w:bidi="ar-SA"/>
      </w:rPr>
    </w:lvl>
    <w:lvl w:ilvl="4">
      <w:start w:val="0"/>
      <w:numFmt w:val="bullet"/>
      <w:lvlText w:val="•"/>
      <w:lvlJc w:val="left"/>
      <w:pPr>
        <w:ind w:left="1086" w:hanging="360"/>
      </w:pPr>
      <w:rPr>
        <w:rFonts w:hint="default"/>
        <w:lang w:val="en-US" w:eastAsia="en-US" w:bidi="ar-SA"/>
      </w:rPr>
    </w:lvl>
    <w:lvl w:ilvl="5">
      <w:start w:val="0"/>
      <w:numFmt w:val="bullet"/>
      <w:lvlText w:val="•"/>
      <w:lvlJc w:val="left"/>
      <w:pPr>
        <w:ind w:left="1243" w:hanging="360"/>
      </w:pPr>
      <w:rPr>
        <w:rFonts w:hint="default"/>
        <w:lang w:val="en-US" w:eastAsia="en-US" w:bidi="ar-SA"/>
      </w:rPr>
    </w:lvl>
    <w:lvl w:ilvl="6">
      <w:start w:val="0"/>
      <w:numFmt w:val="bullet"/>
      <w:lvlText w:val="•"/>
      <w:lvlJc w:val="left"/>
      <w:pPr>
        <w:ind w:left="1400" w:hanging="360"/>
      </w:pPr>
      <w:rPr>
        <w:rFonts w:hint="default"/>
        <w:lang w:val="en-US" w:eastAsia="en-US" w:bidi="ar-SA"/>
      </w:rPr>
    </w:lvl>
    <w:lvl w:ilvl="7">
      <w:start w:val="0"/>
      <w:numFmt w:val="bullet"/>
      <w:lvlText w:val="•"/>
      <w:lvlJc w:val="left"/>
      <w:pPr>
        <w:ind w:left="1556" w:hanging="360"/>
      </w:pPr>
      <w:rPr>
        <w:rFonts w:hint="default"/>
        <w:lang w:val="en-US" w:eastAsia="en-US" w:bidi="ar-SA"/>
      </w:rPr>
    </w:lvl>
    <w:lvl w:ilvl="8">
      <w:start w:val="0"/>
      <w:numFmt w:val="bullet"/>
      <w:lvlText w:val="•"/>
      <w:lvlJc w:val="left"/>
      <w:pPr>
        <w:ind w:left="1713" w:hanging="360"/>
      </w:pPr>
      <w:rPr>
        <w:rFonts w:hint="default"/>
        <w:lang w:val="en-US" w:eastAsia="en-US" w:bidi="ar-SA"/>
      </w:rPr>
    </w:lvl>
  </w:abstractNum>
  <w:abstractNum w:abstractNumId="3">
    <w:multiLevelType w:val="hybridMultilevel"/>
    <w:lvl w:ilvl="0">
      <w:start w:val="0"/>
      <w:numFmt w:val="bullet"/>
      <w:lvlText w:val=""/>
      <w:lvlJc w:val="left"/>
      <w:pPr>
        <w:ind w:left="180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822" w:hanging="360"/>
      </w:pPr>
      <w:rPr>
        <w:rFonts w:hint="default"/>
        <w:lang w:val="en-US" w:eastAsia="en-US" w:bidi="ar-SA"/>
      </w:rPr>
    </w:lvl>
    <w:lvl w:ilvl="2">
      <w:start w:val="0"/>
      <w:numFmt w:val="bullet"/>
      <w:lvlText w:val="•"/>
      <w:lvlJc w:val="left"/>
      <w:pPr>
        <w:ind w:left="3844" w:hanging="360"/>
      </w:pPr>
      <w:rPr>
        <w:rFonts w:hint="default"/>
        <w:lang w:val="en-US" w:eastAsia="en-US" w:bidi="ar-SA"/>
      </w:rPr>
    </w:lvl>
    <w:lvl w:ilvl="3">
      <w:start w:val="0"/>
      <w:numFmt w:val="bullet"/>
      <w:lvlText w:val="•"/>
      <w:lvlJc w:val="left"/>
      <w:pPr>
        <w:ind w:left="4866" w:hanging="360"/>
      </w:pPr>
      <w:rPr>
        <w:rFonts w:hint="default"/>
        <w:lang w:val="en-US" w:eastAsia="en-US" w:bidi="ar-SA"/>
      </w:rPr>
    </w:lvl>
    <w:lvl w:ilvl="4">
      <w:start w:val="0"/>
      <w:numFmt w:val="bullet"/>
      <w:lvlText w:val="•"/>
      <w:lvlJc w:val="left"/>
      <w:pPr>
        <w:ind w:left="5888" w:hanging="360"/>
      </w:pPr>
      <w:rPr>
        <w:rFonts w:hint="default"/>
        <w:lang w:val="en-US" w:eastAsia="en-US" w:bidi="ar-SA"/>
      </w:rPr>
    </w:lvl>
    <w:lvl w:ilvl="5">
      <w:start w:val="0"/>
      <w:numFmt w:val="bullet"/>
      <w:lvlText w:val="•"/>
      <w:lvlJc w:val="left"/>
      <w:pPr>
        <w:ind w:left="6910" w:hanging="360"/>
      </w:pPr>
      <w:rPr>
        <w:rFonts w:hint="default"/>
        <w:lang w:val="en-US" w:eastAsia="en-US" w:bidi="ar-SA"/>
      </w:rPr>
    </w:lvl>
    <w:lvl w:ilvl="6">
      <w:start w:val="0"/>
      <w:numFmt w:val="bullet"/>
      <w:lvlText w:val="•"/>
      <w:lvlJc w:val="left"/>
      <w:pPr>
        <w:ind w:left="7932" w:hanging="360"/>
      </w:pPr>
      <w:rPr>
        <w:rFonts w:hint="default"/>
        <w:lang w:val="en-US" w:eastAsia="en-US" w:bidi="ar-SA"/>
      </w:rPr>
    </w:lvl>
    <w:lvl w:ilvl="7">
      <w:start w:val="0"/>
      <w:numFmt w:val="bullet"/>
      <w:lvlText w:val="•"/>
      <w:lvlJc w:val="left"/>
      <w:pPr>
        <w:ind w:left="8954" w:hanging="360"/>
      </w:pPr>
      <w:rPr>
        <w:rFonts w:hint="default"/>
        <w:lang w:val="en-US" w:eastAsia="en-US" w:bidi="ar-SA"/>
      </w:rPr>
    </w:lvl>
    <w:lvl w:ilvl="8">
      <w:start w:val="0"/>
      <w:numFmt w:val="bullet"/>
      <w:lvlText w:val="•"/>
      <w:lvlJc w:val="left"/>
      <w:pPr>
        <w:ind w:left="9976" w:hanging="360"/>
      </w:pPr>
      <w:rPr>
        <w:rFonts w:hint="default"/>
        <w:lang w:val="en-US" w:eastAsia="en-US" w:bidi="ar-SA"/>
      </w:rPr>
    </w:lvl>
  </w:abstractNum>
  <w:abstractNum w:abstractNumId="2">
    <w:multiLevelType w:val="hybridMultilevel"/>
    <w:lvl w:ilvl="0">
      <w:start w:val="1"/>
      <w:numFmt w:val="decimal"/>
      <w:lvlText w:val="%1."/>
      <w:lvlJc w:val="left"/>
      <w:pPr>
        <w:ind w:left="1800" w:hanging="360"/>
        <w:jc w:val="right"/>
      </w:pPr>
      <w:rPr>
        <w:rFonts w:hint="default" w:ascii="Times New Roman" w:hAnsi="Times New Roman" w:eastAsia="Times New Roman" w:cs="Times New Roman"/>
        <w:b/>
        <w:bCs/>
        <w:i w:val="0"/>
        <w:iCs w:val="0"/>
        <w:spacing w:val="0"/>
        <w:w w:val="100"/>
        <w:sz w:val="24"/>
        <w:szCs w:val="24"/>
        <w:lang w:val="en-US" w:eastAsia="en-US" w:bidi="ar-SA"/>
      </w:rPr>
    </w:lvl>
    <w:lvl w:ilvl="1">
      <w:start w:val="1"/>
      <w:numFmt w:val="decimal"/>
      <w:lvlText w:val="%2."/>
      <w:lvlJc w:val="left"/>
      <w:pPr>
        <w:ind w:left="2851" w:hanging="360"/>
        <w:jc w:val="left"/>
      </w:pPr>
      <w:rPr>
        <w:rFonts w:hint="default"/>
        <w:spacing w:val="0"/>
        <w:w w:val="100"/>
        <w:lang w:val="en-US" w:eastAsia="en-US" w:bidi="ar-SA"/>
      </w:rPr>
    </w:lvl>
    <w:lvl w:ilvl="2">
      <w:start w:val="0"/>
      <w:numFmt w:val="bullet"/>
      <w:lvlText w:val="•"/>
      <w:lvlJc w:val="left"/>
      <w:pPr>
        <w:ind w:left="2880" w:hanging="360"/>
      </w:pPr>
      <w:rPr>
        <w:rFonts w:hint="default"/>
        <w:lang w:val="en-US" w:eastAsia="en-US" w:bidi="ar-SA"/>
      </w:rPr>
    </w:lvl>
    <w:lvl w:ilvl="3">
      <w:start w:val="0"/>
      <w:numFmt w:val="bullet"/>
      <w:lvlText w:val="•"/>
      <w:lvlJc w:val="left"/>
      <w:pPr>
        <w:ind w:left="3850" w:hanging="360"/>
      </w:pPr>
      <w:rPr>
        <w:rFonts w:hint="default"/>
        <w:lang w:val="en-US" w:eastAsia="en-US" w:bidi="ar-SA"/>
      </w:rPr>
    </w:lvl>
    <w:lvl w:ilvl="4">
      <w:start w:val="0"/>
      <w:numFmt w:val="bullet"/>
      <w:lvlText w:val="•"/>
      <w:lvlJc w:val="left"/>
      <w:pPr>
        <w:ind w:left="4820" w:hanging="360"/>
      </w:pPr>
      <w:rPr>
        <w:rFonts w:hint="default"/>
        <w:lang w:val="en-US" w:eastAsia="en-US" w:bidi="ar-SA"/>
      </w:rPr>
    </w:lvl>
    <w:lvl w:ilvl="5">
      <w:start w:val="0"/>
      <w:numFmt w:val="bullet"/>
      <w:lvlText w:val="•"/>
      <w:lvlJc w:val="left"/>
      <w:pPr>
        <w:ind w:left="5790" w:hanging="360"/>
      </w:pPr>
      <w:rPr>
        <w:rFonts w:hint="default"/>
        <w:lang w:val="en-US" w:eastAsia="en-US" w:bidi="ar-SA"/>
      </w:rPr>
    </w:lvl>
    <w:lvl w:ilvl="6">
      <w:start w:val="0"/>
      <w:numFmt w:val="bullet"/>
      <w:lvlText w:val="•"/>
      <w:lvlJc w:val="left"/>
      <w:pPr>
        <w:ind w:left="6760" w:hanging="360"/>
      </w:pPr>
      <w:rPr>
        <w:rFonts w:hint="default"/>
        <w:lang w:val="en-US" w:eastAsia="en-US" w:bidi="ar-SA"/>
      </w:rPr>
    </w:lvl>
    <w:lvl w:ilvl="7">
      <w:start w:val="0"/>
      <w:numFmt w:val="bullet"/>
      <w:lvlText w:val="•"/>
      <w:lvlJc w:val="left"/>
      <w:pPr>
        <w:ind w:left="7730" w:hanging="360"/>
      </w:pPr>
      <w:rPr>
        <w:rFonts w:hint="default"/>
        <w:lang w:val="en-US" w:eastAsia="en-US" w:bidi="ar-SA"/>
      </w:rPr>
    </w:lvl>
    <w:lvl w:ilvl="8">
      <w:start w:val="0"/>
      <w:numFmt w:val="bullet"/>
      <w:lvlText w:val="•"/>
      <w:lvlJc w:val="left"/>
      <w:pPr>
        <w:ind w:left="8700" w:hanging="360"/>
      </w:pPr>
      <w:rPr>
        <w:rFonts w:hint="default"/>
        <w:lang w:val="en-US" w:eastAsia="en-US" w:bidi="ar-SA"/>
      </w:rPr>
    </w:lvl>
  </w:abstractNum>
  <w:abstractNum w:abstractNumId="1">
    <w:multiLevelType w:val="hybridMultilevel"/>
    <w:lvl w:ilvl="0">
      <w:start w:val="1"/>
      <w:numFmt w:val="decimal"/>
      <w:lvlText w:val="%1."/>
      <w:lvlJc w:val="left"/>
      <w:pPr>
        <w:ind w:left="1800" w:hanging="36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252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3575" w:hanging="360"/>
      </w:pPr>
      <w:rPr>
        <w:rFonts w:hint="default"/>
        <w:lang w:val="en-US" w:eastAsia="en-US" w:bidi="ar-SA"/>
      </w:rPr>
    </w:lvl>
    <w:lvl w:ilvl="3">
      <w:start w:val="0"/>
      <w:numFmt w:val="bullet"/>
      <w:lvlText w:val="•"/>
      <w:lvlJc w:val="left"/>
      <w:pPr>
        <w:ind w:left="4631" w:hanging="360"/>
      </w:pPr>
      <w:rPr>
        <w:rFonts w:hint="default"/>
        <w:lang w:val="en-US" w:eastAsia="en-US" w:bidi="ar-SA"/>
      </w:rPr>
    </w:lvl>
    <w:lvl w:ilvl="4">
      <w:start w:val="0"/>
      <w:numFmt w:val="bullet"/>
      <w:lvlText w:val="•"/>
      <w:lvlJc w:val="left"/>
      <w:pPr>
        <w:ind w:left="5686" w:hanging="360"/>
      </w:pPr>
      <w:rPr>
        <w:rFonts w:hint="default"/>
        <w:lang w:val="en-US" w:eastAsia="en-US" w:bidi="ar-SA"/>
      </w:rPr>
    </w:lvl>
    <w:lvl w:ilvl="5">
      <w:start w:val="0"/>
      <w:numFmt w:val="bullet"/>
      <w:lvlText w:val="•"/>
      <w:lvlJc w:val="left"/>
      <w:pPr>
        <w:ind w:left="6742" w:hanging="360"/>
      </w:pPr>
      <w:rPr>
        <w:rFonts w:hint="default"/>
        <w:lang w:val="en-US" w:eastAsia="en-US" w:bidi="ar-SA"/>
      </w:rPr>
    </w:lvl>
    <w:lvl w:ilvl="6">
      <w:start w:val="0"/>
      <w:numFmt w:val="bullet"/>
      <w:lvlText w:val="•"/>
      <w:lvlJc w:val="left"/>
      <w:pPr>
        <w:ind w:left="7797" w:hanging="360"/>
      </w:pPr>
      <w:rPr>
        <w:rFonts w:hint="default"/>
        <w:lang w:val="en-US" w:eastAsia="en-US" w:bidi="ar-SA"/>
      </w:rPr>
    </w:lvl>
    <w:lvl w:ilvl="7">
      <w:start w:val="0"/>
      <w:numFmt w:val="bullet"/>
      <w:lvlText w:val="•"/>
      <w:lvlJc w:val="left"/>
      <w:pPr>
        <w:ind w:left="8853" w:hanging="360"/>
      </w:pPr>
      <w:rPr>
        <w:rFonts w:hint="default"/>
        <w:lang w:val="en-US" w:eastAsia="en-US" w:bidi="ar-SA"/>
      </w:rPr>
    </w:lvl>
    <w:lvl w:ilvl="8">
      <w:start w:val="0"/>
      <w:numFmt w:val="bullet"/>
      <w:lvlText w:val="•"/>
      <w:lvlJc w:val="left"/>
      <w:pPr>
        <w:ind w:left="9908" w:hanging="360"/>
      </w:pPr>
      <w:rPr>
        <w:rFonts w:hint="default"/>
        <w:lang w:val="en-US" w:eastAsia="en-US" w:bidi="ar-SA"/>
      </w:rPr>
    </w:lvl>
  </w:abstractNum>
  <w:abstractNum w:abstractNumId="0">
    <w:multiLevelType w:val="hybridMultilevel"/>
    <w:lvl w:ilvl="0">
      <w:start w:val="1"/>
      <w:numFmt w:val="decimal"/>
      <w:lvlText w:val="%1."/>
      <w:lvlJc w:val="left"/>
      <w:pPr>
        <w:ind w:left="1800" w:hanging="36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822" w:hanging="360"/>
      </w:pPr>
      <w:rPr>
        <w:rFonts w:hint="default"/>
        <w:lang w:val="en-US" w:eastAsia="en-US" w:bidi="ar-SA"/>
      </w:rPr>
    </w:lvl>
    <w:lvl w:ilvl="2">
      <w:start w:val="0"/>
      <w:numFmt w:val="bullet"/>
      <w:lvlText w:val="•"/>
      <w:lvlJc w:val="left"/>
      <w:pPr>
        <w:ind w:left="3844" w:hanging="360"/>
      </w:pPr>
      <w:rPr>
        <w:rFonts w:hint="default"/>
        <w:lang w:val="en-US" w:eastAsia="en-US" w:bidi="ar-SA"/>
      </w:rPr>
    </w:lvl>
    <w:lvl w:ilvl="3">
      <w:start w:val="0"/>
      <w:numFmt w:val="bullet"/>
      <w:lvlText w:val="•"/>
      <w:lvlJc w:val="left"/>
      <w:pPr>
        <w:ind w:left="4866" w:hanging="360"/>
      </w:pPr>
      <w:rPr>
        <w:rFonts w:hint="default"/>
        <w:lang w:val="en-US" w:eastAsia="en-US" w:bidi="ar-SA"/>
      </w:rPr>
    </w:lvl>
    <w:lvl w:ilvl="4">
      <w:start w:val="0"/>
      <w:numFmt w:val="bullet"/>
      <w:lvlText w:val="•"/>
      <w:lvlJc w:val="left"/>
      <w:pPr>
        <w:ind w:left="5888" w:hanging="360"/>
      </w:pPr>
      <w:rPr>
        <w:rFonts w:hint="default"/>
        <w:lang w:val="en-US" w:eastAsia="en-US" w:bidi="ar-SA"/>
      </w:rPr>
    </w:lvl>
    <w:lvl w:ilvl="5">
      <w:start w:val="0"/>
      <w:numFmt w:val="bullet"/>
      <w:lvlText w:val="•"/>
      <w:lvlJc w:val="left"/>
      <w:pPr>
        <w:ind w:left="6910" w:hanging="360"/>
      </w:pPr>
      <w:rPr>
        <w:rFonts w:hint="default"/>
        <w:lang w:val="en-US" w:eastAsia="en-US" w:bidi="ar-SA"/>
      </w:rPr>
    </w:lvl>
    <w:lvl w:ilvl="6">
      <w:start w:val="0"/>
      <w:numFmt w:val="bullet"/>
      <w:lvlText w:val="•"/>
      <w:lvlJc w:val="left"/>
      <w:pPr>
        <w:ind w:left="7932" w:hanging="360"/>
      </w:pPr>
      <w:rPr>
        <w:rFonts w:hint="default"/>
        <w:lang w:val="en-US" w:eastAsia="en-US" w:bidi="ar-SA"/>
      </w:rPr>
    </w:lvl>
    <w:lvl w:ilvl="7">
      <w:start w:val="0"/>
      <w:numFmt w:val="bullet"/>
      <w:lvlText w:val="•"/>
      <w:lvlJc w:val="left"/>
      <w:pPr>
        <w:ind w:left="8954" w:hanging="360"/>
      </w:pPr>
      <w:rPr>
        <w:rFonts w:hint="default"/>
        <w:lang w:val="en-US" w:eastAsia="en-US" w:bidi="ar-SA"/>
      </w:rPr>
    </w:lvl>
    <w:lvl w:ilvl="8">
      <w:start w:val="0"/>
      <w:numFmt w:val="bullet"/>
      <w:lvlText w:val="•"/>
      <w:lvlJc w:val="left"/>
      <w:pPr>
        <w:ind w:left="9976" w:hanging="360"/>
      </w:pPr>
      <w:rPr>
        <w:rFonts w:hint="default"/>
        <w:lang w:val="en-US" w:eastAsia="en-US" w:bidi="ar-SA"/>
      </w:rPr>
    </w:lvl>
  </w:abstractNum>
  <w:num w:numId="47">
    <w:abstractNumId w:val="46"/>
  </w:num>
  <w:num w:numId="124">
    <w:abstractNumId w:val="123"/>
  </w:num>
  <w:num w:numId="123">
    <w:abstractNumId w:val="122"/>
  </w:num>
  <w:num w:numId="122">
    <w:abstractNumId w:val="121"/>
  </w:num>
  <w:num w:numId="120">
    <w:abstractNumId w:val="119"/>
  </w:num>
  <w:num w:numId="119">
    <w:abstractNumId w:val="118"/>
  </w:num>
  <w:num w:numId="118">
    <w:abstractNumId w:val="117"/>
  </w:num>
  <w:num w:numId="117">
    <w:abstractNumId w:val="116"/>
  </w:num>
  <w:num w:numId="121">
    <w:abstractNumId w:val="120"/>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139"/>
      <w:ind w:left="1220"/>
    </w:pPr>
    <w:rPr>
      <w:rFonts w:ascii="Times New Roman" w:hAnsi="Times New Roman" w:eastAsia="Times New Roman" w:cs="Times New Roman"/>
      <w:sz w:val="22"/>
      <w:szCs w:val="22"/>
      <w:lang w:val="en-US" w:eastAsia="en-US" w:bidi="ar-SA"/>
    </w:rPr>
  </w:style>
  <w:style w:styleId="TOC2" w:type="paragraph">
    <w:name w:val="TOC 2"/>
    <w:basedOn w:val="Normal"/>
    <w:uiPriority w:val="1"/>
    <w:qFormat/>
    <w:pPr>
      <w:spacing w:before="139"/>
      <w:ind w:left="1771" w:hanging="331"/>
    </w:pPr>
    <w:rPr>
      <w:rFonts w:ascii="Times New Roman" w:hAnsi="Times New Roman" w:eastAsia="Times New Roman" w:cs="Times New Roman"/>
      <w:sz w:val="22"/>
      <w:szCs w:val="22"/>
      <w:lang w:val="en-US" w:eastAsia="en-US" w:bidi="ar-SA"/>
    </w:rPr>
  </w:style>
  <w:style w:styleId="TOC3" w:type="paragraph">
    <w:name w:val="TOC 3"/>
    <w:basedOn w:val="Normal"/>
    <w:uiPriority w:val="1"/>
    <w:qFormat/>
    <w:pPr>
      <w:spacing w:before="140"/>
      <w:ind w:left="2540" w:hanging="881"/>
    </w:pPr>
    <w:rPr>
      <w:rFonts w:ascii="Times New Roman" w:hAnsi="Times New Roman" w:eastAsia="Times New Roman" w:cs="Times New Roman"/>
      <w:sz w:val="22"/>
      <w:szCs w:val="22"/>
      <w:lang w:val="en-US" w:eastAsia="en-US" w:bidi="ar-SA"/>
    </w:rPr>
  </w:style>
  <w:style w:styleId="TOC4" w:type="paragraph">
    <w:name w:val="TOC 4"/>
    <w:basedOn w:val="Normal"/>
    <w:uiPriority w:val="1"/>
    <w:qFormat/>
    <w:pPr>
      <w:spacing w:before="140"/>
      <w:ind w:left="1660"/>
    </w:pPr>
    <w:rPr>
      <w:rFonts w:ascii="Times New Roman" w:hAnsi="Times New Roman" w:eastAsia="Times New Roman" w:cs="Times New Roman"/>
      <w:sz w:val="22"/>
      <w:szCs w:val="22"/>
      <w:lang w:val="en-US" w:eastAsia="en-US" w:bidi="ar-SA"/>
    </w:rPr>
  </w:style>
  <w:style w:styleId="TOC5" w:type="paragraph">
    <w:name w:val="TOC 5"/>
    <w:basedOn w:val="Normal"/>
    <w:uiPriority w:val="1"/>
    <w:qFormat/>
    <w:pPr>
      <w:spacing w:before="36"/>
      <w:ind w:left="2540"/>
    </w:pPr>
    <w:rPr>
      <w:rFonts w:ascii="Calibri" w:hAnsi="Calibri" w:eastAsia="Calibri" w:cs="Calibri"/>
      <w:sz w:val="22"/>
      <w:szCs w:val="22"/>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60"/>
      <w:ind w:left="1220"/>
      <w:outlineLvl w:val="1"/>
    </w:pPr>
    <w:rPr>
      <w:rFonts w:ascii="Times New Roman" w:hAnsi="Times New Roman" w:eastAsia="Times New Roman" w:cs="Times New Roman"/>
      <w:b/>
      <w:bCs/>
      <w:sz w:val="28"/>
      <w:szCs w:val="28"/>
      <w:lang w:val="en-US" w:eastAsia="en-US" w:bidi="ar-SA"/>
    </w:rPr>
  </w:style>
  <w:style w:styleId="Heading2" w:type="paragraph">
    <w:name w:val="Heading 2"/>
    <w:basedOn w:val="Normal"/>
    <w:uiPriority w:val="1"/>
    <w:qFormat/>
    <w:pPr>
      <w:spacing w:before="201" w:line="298" w:lineRule="exact"/>
      <w:ind w:left="1618" w:hanging="398"/>
      <w:jc w:val="both"/>
      <w:outlineLvl w:val="2"/>
    </w:pPr>
    <w:rPr>
      <w:rFonts w:ascii="Times New Roman" w:hAnsi="Times New Roman" w:eastAsia="Times New Roman" w:cs="Times New Roman"/>
      <w:b/>
      <w:bCs/>
      <w:sz w:val="26"/>
      <w:szCs w:val="26"/>
      <w:lang w:val="en-US" w:eastAsia="en-US" w:bidi="ar-SA"/>
    </w:rPr>
  </w:style>
  <w:style w:styleId="Heading3" w:type="paragraph">
    <w:name w:val="Heading 3"/>
    <w:basedOn w:val="Normal"/>
    <w:uiPriority w:val="1"/>
    <w:qFormat/>
    <w:pPr>
      <w:spacing w:before="19"/>
      <w:ind w:left="1611" w:hanging="391"/>
      <w:outlineLvl w:val="3"/>
    </w:pPr>
    <w:rPr>
      <w:rFonts w:ascii="Calibri Light" w:hAnsi="Calibri Light" w:eastAsia="Calibri Light" w:cs="Calibri Light"/>
      <w:sz w:val="26"/>
      <w:szCs w:val="26"/>
      <w:lang w:val="en-US" w:eastAsia="en-US" w:bidi="ar-SA"/>
    </w:rPr>
  </w:style>
  <w:style w:styleId="Heading4" w:type="paragraph">
    <w:name w:val="Heading 4"/>
    <w:basedOn w:val="Normal"/>
    <w:uiPriority w:val="1"/>
    <w:qFormat/>
    <w:pPr>
      <w:ind w:left="600"/>
      <w:outlineLvl w:val="4"/>
    </w:pPr>
    <w:rPr>
      <w:rFonts w:ascii="Times New Roman" w:hAnsi="Times New Roman" w:eastAsia="Times New Roman" w:cs="Times New Roman"/>
      <w:b/>
      <w:bCs/>
      <w:sz w:val="24"/>
      <w:szCs w:val="24"/>
      <w:lang w:val="en-US" w:eastAsia="en-US" w:bidi="ar-SA"/>
    </w:rPr>
  </w:style>
  <w:style w:styleId="Heading5" w:type="paragraph">
    <w:name w:val="Heading 5"/>
    <w:basedOn w:val="Normal"/>
    <w:uiPriority w:val="1"/>
    <w:qFormat/>
    <w:pPr>
      <w:ind w:left="1940"/>
      <w:outlineLvl w:val="5"/>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940"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s://jamanetwork.com/journals/jama/fullarticle/2788482" TargetMode="External"/><Relationship Id="rId7" Type="http://schemas.openxmlformats.org/officeDocument/2006/relationships/hyperlink" Target="https://nam.edu/an-equity-agenda-for-the-field-of-health-care-quality-improvement/" TargetMode="External"/><Relationship Id="rId8" Type="http://schemas.openxmlformats.org/officeDocument/2006/relationships/hyperlink" Target="https://www.medicaid.gov/federal-policy-guidance/downloads/sho21001.pdf" TargetMode="External"/><Relationship Id="rId9" Type="http://schemas.openxmlformats.org/officeDocument/2006/relationships/hyperlink" Target="https://www.healthaffairs.org/do/10.1377/forefront.20191025.776011/full/" TargetMode="External"/><Relationship Id="rId10" Type="http://schemas.openxmlformats.org/officeDocument/2006/relationships/hyperlink" Target="http://www.commonwealthfund.org/sites/default/files/documents/media_files_publications_fund_report_2014_" TargetMode="External"/><Relationship Id="rId11" Type="http://schemas.openxmlformats.org/officeDocument/2006/relationships/hyperlink" Target="http://dx.doi.org/10.1257/aer.p20161101" TargetMode="External"/><Relationship Id="rId12" Type="http://schemas.openxmlformats.org/officeDocument/2006/relationships/hyperlink" Target="https://aspe.hhs.gov/reports/building-evidence-base-social-determinants-health-interventions" TargetMode="External"/><Relationship Id="rId13" Type="http://schemas.openxmlformats.org/officeDocument/2006/relationships/hyperlink" Target="https://aspe.hhs.gov/sites/default/files/private/pdf/265366/medicaid-churning-ib.pdf" TargetMode="External"/><Relationship Id="rId14" Type="http://schemas.openxmlformats.org/officeDocument/2006/relationships/hyperlink" Target="https://aspe.hhs.gov/sites/default/files/documents/e2b650cd64cf84aae8ff0fae7474af82/SDOH-Evidence-Review.pdf" TargetMode="External"/><Relationship Id="rId15" Type="http://schemas.openxmlformats.org/officeDocument/2006/relationships/hyperlink" Target="https://hcp-lan.org/workproducts/apm-refresh-whitepaper-final.pdf" TargetMode="External"/><Relationship Id="rId16" Type="http://schemas.openxmlformats.org/officeDocument/2006/relationships/hyperlink" Target="https://www.medicaid.gov/medicaid/section-1115-demonstrations/downloads/ma-masshealth-pa7.zip" TargetMode="External"/><Relationship Id="rId17" Type="http://schemas.openxmlformats.org/officeDocument/2006/relationships/hyperlink" Target="https://www.nejm.org/doi/10.1056/NEJMsa1413299" TargetMode="External"/><Relationship Id="rId18" Type="http://schemas.openxmlformats.org/officeDocument/2006/relationships/hyperlink" Target="https://link.springer.com/article/10.1007/s11150-007-9000-7" TargetMode="External"/><Relationship Id="rId19" Type="http://schemas.openxmlformats.org/officeDocument/2006/relationships/hyperlink" Target="https://www.medicaid.gov/federal-policy-guidance/downloads/smd18009.pdf" TargetMode="External"/><Relationship Id="rId20" Type="http://schemas.openxmlformats.org/officeDocument/2006/relationships/hyperlink" Target="https://www.nasi.org/wp-content/uploads/2017/06/Opportunities-for-States_web.pdf" TargetMode="External"/><Relationship Id="rId21" Type="http://schemas.openxmlformats.org/officeDocument/2006/relationships/hyperlink" Target="mailto:Rabia.Khan1@cms.hhs.gov" TargetMode="External"/><Relationship Id="rId22" Type="http://schemas.openxmlformats.org/officeDocument/2006/relationships/image" Target="media/image2.png"/><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image" Target="media/image3.png"/><Relationship Id="rId26" Type="http://schemas.openxmlformats.org/officeDocument/2006/relationships/image" Target="media/image4.png"/><Relationship Id="rId27" Type="http://schemas.openxmlformats.org/officeDocument/2006/relationships/image" Target="media/image5.png"/><Relationship Id="rId28" Type="http://schemas.openxmlformats.org/officeDocument/2006/relationships/image" Target="media/image6.png"/><Relationship Id="rId29" Type="http://schemas.openxmlformats.org/officeDocument/2006/relationships/image" Target="media/image7.png"/><Relationship Id="rId30" Type="http://schemas.openxmlformats.org/officeDocument/2006/relationships/image" Target="media/image8.png"/><Relationship Id="rId31" Type="http://schemas.openxmlformats.org/officeDocument/2006/relationships/image" Target="media/image9.png"/><Relationship Id="rId32" Type="http://schemas.openxmlformats.org/officeDocument/2006/relationships/image" Target="media/image10.png"/><Relationship Id="rId33" Type="http://schemas.openxmlformats.org/officeDocument/2006/relationships/image" Target="media/image11.png"/><Relationship Id="rId34" Type="http://schemas.openxmlformats.org/officeDocument/2006/relationships/image" Target="media/image12.png"/><Relationship Id="rId35" Type="http://schemas.openxmlformats.org/officeDocument/2006/relationships/image" Target="media/image13.png"/><Relationship Id="rId36" Type="http://schemas.openxmlformats.org/officeDocument/2006/relationships/image" Target="media/image14.png"/><Relationship Id="rId37" Type="http://schemas.openxmlformats.org/officeDocument/2006/relationships/image" Target="media/image15.png"/><Relationship Id="rId38" Type="http://schemas.openxmlformats.org/officeDocument/2006/relationships/image" Target="media/image16.png"/><Relationship Id="rId39" Type="http://schemas.openxmlformats.org/officeDocument/2006/relationships/image" Target="media/image17.png"/><Relationship Id="rId40" Type="http://schemas.openxmlformats.org/officeDocument/2006/relationships/image" Target="media/image18.png"/><Relationship Id="rId41" Type="http://schemas.openxmlformats.org/officeDocument/2006/relationships/image" Target="media/image19.png"/><Relationship Id="rId42" Type="http://schemas.openxmlformats.org/officeDocument/2006/relationships/image" Target="media/image20.png"/><Relationship Id="rId43" Type="http://schemas.openxmlformats.org/officeDocument/2006/relationships/image" Target="media/image21.png"/><Relationship Id="rId44" Type="http://schemas.openxmlformats.org/officeDocument/2006/relationships/image" Target="media/image22.png"/><Relationship Id="rId45" Type="http://schemas.openxmlformats.org/officeDocument/2006/relationships/image" Target="media/image23.png"/><Relationship Id="rId46" Type="http://schemas.openxmlformats.org/officeDocument/2006/relationships/image" Target="media/image24.png"/><Relationship Id="rId47" Type="http://schemas.openxmlformats.org/officeDocument/2006/relationships/image" Target="media/image25.png"/><Relationship Id="rId48" Type="http://schemas.openxmlformats.org/officeDocument/2006/relationships/image" Target="media/image26.png"/><Relationship Id="rId49" Type="http://schemas.openxmlformats.org/officeDocument/2006/relationships/image" Target="media/image27.png"/><Relationship Id="rId50" Type="http://schemas.openxmlformats.org/officeDocument/2006/relationships/image" Target="media/image28.png"/><Relationship Id="rId51" Type="http://schemas.openxmlformats.org/officeDocument/2006/relationships/image" Target="media/image29.png"/><Relationship Id="rId52" Type="http://schemas.openxmlformats.org/officeDocument/2006/relationships/image" Target="media/image30.png"/><Relationship Id="rId53" Type="http://schemas.openxmlformats.org/officeDocument/2006/relationships/image" Target="media/image31.png"/><Relationship Id="rId54" Type="http://schemas.openxmlformats.org/officeDocument/2006/relationships/image" Target="media/image32.png"/><Relationship Id="rId55" Type="http://schemas.openxmlformats.org/officeDocument/2006/relationships/image" Target="media/image33.png"/><Relationship Id="rId56" Type="http://schemas.openxmlformats.org/officeDocument/2006/relationships/image" Target="media/image34.png"/><Relationship Id="rId57" Type="http://schemas.openxmlformats.org/officeDocument/2006/relationships/image" Target="media/image35.png"/><Relationship Id="rId58" Type="http://schemas.openxmlformats.org/officeDocument/2006/relationships/image" Target="media/image36.png"/><Relationship Id="rId59" Type="http://schemas.openxmlformats.org/officeDocument/2006/relationships/image" Target="media/image37.png"/><Relationship Id="rId60" Type="http://schemas.openxmlformats.org/officeDocument/2006/relationships/image" Target="media/image38.png"/><Relationship Id="rId61" Type="http://schemas.openxmlformats.org/officeDocument/2006/relationships/image" Target="media/image39.png"/><Relationship Id="rId62" Type="http://schemas.openxmlformats.org/officeDocument/2006/relationships/image" Target="media/image40.png"/><Relationship Id="rId63" Type="http://schemas.openxmlformats.org/officeDocument/2006/relationships/image" Target="media/image41.png"/><Relationship Id="rId64" Type="http://schemas.openxmlformats.org/officeDocument/2006/relationships/image" Target="media/image42.png"/><Relationship Id="rId65" Type="http://schemas.openxmlformats.org/officeDocument/2006/relationships/image" Target="media/image43.png"/><Relationship Id="rId66" Type="http://schemas.openxmlformats.org/officeDocument/2006/relationships/image" Target="media/image44.png"/><Relationship Id="rId67" Type="http://schemas.openxmlformats.org/officeDocument/2006/relationships/image" Target="media/image45.png"/><Relationship Id="rId68" Type="http://schemas.openxmlformats.org/officeDocument/2006/relationships/image" Target="media/image46.png"/><Relationship Id="rId69" Type="http://schemas.openxmlformats.org/officeDocument/2006/relationships/image" Target="media/image47.png"/><Relationship Id="rId70" Type="http://schemas.openxmlformats.org/officeDocument/2006/relationships/image" Target="media/image48.png"/><Relationship Id="rId71" Type="http://schemas.openxmlformats.org/officeDocument/2006/relationships/footer" Target="footer3.xml"/><Relationship Id="rId72" Type="http://schemas.openxmlformats.org/officeDocument/2006/relationships/footer" Target="footer4.xml"/><Relationship Id="rId73" Type="http://schemas.openxmlformats.org/officeDocument/2006/relationships/image" Target="media/image49.png"/><Relationship Id="rId74" Type="http://schemas.openxmlformats.org/officeDocument/2006/relationships/image" Target="media/image50.png"/><Relationship Id="rId75" Type="http://schemas.openxmlformats.org/officeDocument/2006/relationships/image" Target="media/image51.png"/><Relationship Id="rId76" Type="http://schemas.openxmlformats.org/officeDocument/2006/relationships/image" Target="media/image52.png"/><Relationship Id="rId77" Type="http://schemas.openxmlformats.org/officeDocument/2006/relationships/image" Target="media/image53.png"/><Relationship Id="rId78" Type="http://schemas.openxmlformats.org/officeDocument/2006/relationships/image" Target="media/image54.png"/><Relationship Id="rId79" Type="http://schemas.openxmlformats.org/officeDocument/2006/relationships/image" Target="media/image55.png"/><Relationship Id="rId80" Type="http://schemas.openxmlformats.org/officeDocument/2006/relationships/image" Target="media/image56.png"/><Relationship Id="rId81" Type="http://schemas.openxmlformats.org/officeDocument/2006/relationships/image" Target="media/image57.png"/><Relationship Id="rId82" Type="http://schemas.openxmlformats.org/officeDocument/2006/relationships/image" Target="media/image58.png"/><Relationship Id="rId83" Type="http://schemas.openxmlformats.org/officeDocument/2006/relationships/image" Target="media/image59.png"/><Relationship Id="rId84" Type="http://schemas.openxmlformats.org/officeDocument/2006/relationships/image" Target="media/image60.png"/><Relationship Id="rId85" Type="http://schemas.openxmlformats.org/officeDocument/2006/relationships/image" Target="media/image61.png"/><Relationship Id="rId86" Type="http://schemas.openxmlformats.org/officeDocument/2006/relationships/image" Target="media/image62.png"/><Relationship Id="rId87" Type="http://schemas.openxmlformats.org/officeDocument/2006/relationships/image" Target="media/image63.png"/><Relationship Id="rId88" Type="http://schemas.openxmlformats.org/officeDocument/2006/relationships/image" Target="media/image64.png"/><Relationship Id="rId89" Type="http://schemas.openxmlformats.org/officeDocument/2006/relationships/image" Target="media/image65.png"/><Relationship Id="rId90" Type="http://schemas.openxmlformats.org/officeDocument/2006/relationships/image" Target="media/image66.png"/><Relationship Id="rId91" Type="http://schemas.openxmlformats.org/officeDocument/2006/relationships/image" Target="media/image67.png"/><Relationship Id="rId92" Type="http://schemas.openxmlformats.org/officeDocument/2006/relationships/image" Target="media/image68.png"/><Relationship Id="rId93" Type="http://schemas.openxmlformats.org/officeDocument/2006/relationships/image" Target="media/image69.png"/><Relationship Id="rId94" Type="http://schemas.openxmlformats.org/officeDocument/2006/relationships/image" Target="media/image70.png"/><Relationship Id="rId95" Type="http://schemas.openxmlformats.org/officeDocument/2006/relationships/image" Target="media/image71.png"/><Relationship Id="rId96" Type="http://schemas.openxmlformats.org/officeDocument/2006/relationships/image" Target="media/image72.png"/><Relationship Id="rId97" Type="http://schemas.openxmlformats.org/officeDocument/2006/relationships/image" Target="media/image73.png"/><Relationship Id="rId98" Type="http://schemas.openxmlformats.org/officeDocument/2006/relationships/image" Target="media/image74.png"/><Relationship Id="rId99" Type="http://schemas.openxmlformats.org/officeDocument/2006/relationships/hyperlink" Target="https://www.healthit.gov/topic/behavioral-health" TargetMode="External"/><Relationship Id="rId100" Type="http://schemas.openxmlformats.org/officeDocument/2006/relationships/hyperlink" Target="http://www.healthit.gov/playbook/health-information-exchange/)" TargetMode="External"/><Relationship Id="rId101" Type="http://schemas.openxmlformats.org/officeDocument/2006/relationships/hyperlink" Target="http://www.medicaid.gov/medicaid/data-and-systems/hie/index.html" TargetMode="External"/><Relationship Id="rId102" Type="http://schemas.openxmlformats.org/officeDocument/2006/relationships/image" Target="media/image75.png"/><Relationship Id="rId103" Type="http://schemas.openxmlformats.org/officeDocument/2006/relationships/image" Target="media/image76.png"/><Relationship Id="rId104" Type="http://schemas.openxmlformats.org/officeDocument/2006/relationships/image" Target="media/image77.png"/><Relationship Id="rId105" Type="http://schemas.openxmlformats.org/officeDocument/2006/relationships/image" Target="media/image78.png"/><Relationship Id="rId106" Type="http://schemas.openxmlformats.org/officeDocument/2006/relationships/image" Target="media/image79.png"/><Relationship Id="rId107" Type="http://schemas.openxmlformats.org/officeDocument/2006/relationships/image" Target="media/image80.png"/><Relationship Id="rId108" Type="http://schemas.openxmlformats.org/officeDocument/2006/relationships/image" Target="media/image81.png"/><Relationship Id="rId109" Type="http://schemas.openxmlformats.org/officeDocument/2006/relationships/image" Target="media/image82.png"/><Relationship Id="rId110" Type="http://schemas.openxmlformats.org/officeDocument/2006/relationships/image" Target="media/image83.png"/><Relationship Id="rId111" Type="http://schemas.openxmlformats.org/officeDocument/2006/relationships/image" Target="media/image84.png"/><Relationship Id="rId112" Type="http://schemas.openxmlformats.org/officeDocument/2006/relationships/image" Target="media/image85.png"/><Relationship Id="rId113" Type="http://schemas.openxmlformats.org/officeDocument/2006/relationships/image" Target="media/image86.png"/><Relationship Id="rId114" Type="http://schemas.openxmlformats.org/officeDocument/2006/relationships/image" Target="media/image87.png"/><Relationship Id="rId115" Type="http://schemas.openxmlformats.org/officeDocument/2006/relationships/image" Target="media/image88.png"/><Relationship Id="rId116" Type="http://schemas.openxmlformats.org/officeDocument/2006/relationships/image" Target="media/image89.png"/><Relationship Id="rId117" Type="http://schemas.openxmlformats.org/officeDocument/2006/relationships/image" Target="media/image90.png"/><Relationship Id="rId118" Type="http://schemas.openxmlformats.org/officeDocument/2006/relationships/image" Target="media/image91.png"/><Relationship Id="rId119" Type="http://schemas.openxmlformats.org/officeDocument/2006/relationships/image" Target="media/image92.png"/><Relationship Id="rId120" Type="http://schemas.openxmlformats.org/officeDocument/2006/relationships/image" Target="media/image93.png"/><Relationship Id="rId121" Type="http://schemas.openxmlformats.org/officeDocument/2006/relationships/image" Target="media/image94.png"/><Relationship Id="rId122" Type="http://schemas.openxmlformats.org/officeDocument/2006/relationships/image" Target="media/image95.png"/><Relationship Id="rId123" Type="http://schemas.openxmlformats.org/officeDocument/2006/relationships/image" Target="media/image96.png"/><Relationship Id="rId124" Type="http://schemas.openxmlformats.org/officeDocument/2006/relationships/image" Target="media/image97.png"/><Relationship Id="rId125" Type="http://schemas.openxmlformats.org/officeDocument/2006/relationships/image" Target="media/image98.png"/><Relationship Id="rId126" Type="http://schemas.openxmlformats.org/officeDocument/2006/relationships/image" Target="media/image99.png"/><Relationship Id="rId127" Type="http://schemas.openxmlformats.org/officeDocument/2006/relationships/image" Target="media/image100.png"/><Relationship Id="rId128" Type="http://schemas.openxmlformats.org/officeDocument/2006/relationships/image" Target="media/image101.png"/><Relationship Id="rId129" Type="http://schemas.openxmlformats.org/officeDocument/2006/relationships/image" Target="media/image102.png"/><Relationship Id="rId130" Type="http://schemas.openxmlformats.org/officeDocument/2006/relationships/image" Target="media/image103.png"/><Relationship Id="rId131" Type="http://schemas.openxmlformats.org/officeDocument/2006/relationships/image" Target="media/image104.png"/><Relationship Id="rId132" Type="http://schemas.openxmlformats.org/officeDocument/2006/relationships/image" Target="media/image105.png"/><Relationship Id="rId133" Type="http://schemas.openxmlformats.org/officeDocument/2006/relationships/image" Target="media/image106.png"/><Relationship Id="rId134" Type="http://schemas.openxmlformats.org/officeDocument/2006/relationships/image" Target="media/image107.png"/><Relationship Id="rId135" Type="http://schemas.openxmlformats.org/officeDocument/2006/relationships/hyperlink" Target="mailto:DMCPMLR@cms.hhs.gov" TargetMode="External"/><Relationship Id="rId136" Type="http://schemas.openxmlformats.org/officeDocument/2006/relationships/hyperlink" Target="https://www.medicaid.gov/federal-policy-guidance/downloads/cib051919.pdf" TargetMode="External"/><Relationship Id="rId137" Type="http://schemas.openxmlformats.org/officeDocument/2006/relationships/image" Target="media/image108.png"/><Relationship Id="rId138" Type="http://schemas.openxmlformats.org/officeDocument/2006/relationships/image" Target="media/image109.png"/><Relationship Id="rId139" Type="http://schemas.openxmlformats.org/officeDocument/2006/relationships/image" Target="media/image110.png"/><Relationship Id="rId140" Type="http://schemas.openxmlformats.org/officeDocument/2006/relationships/image" Target="media/image111.png"/><Relationship Id="rId141" Type="http://schemas.openxmlformats.org/officeDocument/2006/relationships/image" Target="media/image112.png"/><Relationship Id="rId142" Type="http://schemas.openxmlformats.org/officeDocument/2006/relationships/image" Target="media/image113.png"/><Relationship Id="rId143" Type="http://schemas.openxmlformats.org/officeDocument/2006/relationships/image" Target="media/image114.png"/><Relationship Id="rId144" Type="http://schemas.openxmlformats.org/officeDocument/2006/relationships/image" Target="media/image115.png"/><Relationship Id="rId145" Type="http://schemas.openxmlformats.org/officeDocument/2006/relationships/image" Target="media/image116.png"/><Relationship Id="rId146" Type="http://schemas.openxmlformats.org/officeDocument/2006/relationships/image" Target="media/image117.png"/><Relationship Id="rId147" Type="http://schemas.openxmlformats.org/officeDocument/2006/relationships/image" Target="media/image118.png"/><Relationship Id="rId148" Type="http://schemas.openxmlformats.org/officeDocument/2006/relationships/image" Target="media/image119.png"/><Relationship Id="rId149" Type="http://schemas.openxmlformats.org/officeDocument/2006/relationships/image" Target="media/image120.png"/><Relationship Id="rId150" Type="http://schemas.openxmlformats.org/officeDocument/2006/relationships/image" Target="media/image121.png"/><Relationship Id="rId151" Type="http://schemas.openxmlformats.org/officeDocument/2006/relationships/image" Target="media/image122.png"/><Relationship Id="rId152" Type="http://schemas.openxmlformats.org/officeDocument/2006/relationships/image" Target="media/image123.png"/><Relationship Id="rId153" Type="http://schemas.openxmlformats.org/officeDocument/2006/relationships/image" Target="media/image124.png"/><Relationship Id="rId154" Type="http://schemas.openxmlformats.org/officeDocument/2006/relationships/image" Target="media/image125.png"/><Relationship Id="rId155" Type="http://schemas.openxmlformats.org/officeDocument/2006/relationships/image" Target="media/image126.png"/><Relationship Id="rId156" Type="http://schemas.openxmlformats.org/officeDocument/2006/relationships/image" Target="media/image127.png"/><Relationship Id="rId157" Type="http://schemas.openxmlformats.org/officeDocument/2006/relationships/image" Target="media/image128.png"/><Relationship Id="rId158" Type="http://schemas.openxmlformats.org/officeDocument/2006/relationships/image" Target="media/image129.png"/><Relationship Id="rId159" Type="http://schemas.openxmlformats.org/officeDocument/2006/relationships/image" Target="media/image130.png"/><Relationship Id="rId160" Type="http://schemas.openxmlformats.org/officeDocument/2006/relationships/image" Target="media/image131.png"/><Relationship Id="rId161" Type="http://schemas.openxmlformats.org/officeDocument/2006/relationships/image" Target="media/image132.png"/><Relationship Id="rId162" Type="http://schemas.openxmlformats.org/officeDocument/2006/relationships/image" Target="media/image133.png"/><Relationship Id="rId163" Type="http://schemas.openxmlformats.org/officeDocument/2006/relationships/image" Target="media/image134.png"/><Relationship Id="rId164" Type="http://schemas.openxmlformats.org/officeDocument/2006/relationships/image" Target="media/image135.png"/><Relationship Id="rId165" Type="http://schemas.openxmlformats.org/officeDocument/2006/relationships/image" Target="media/image136.png"/><Relationship Id="rId166" Type="http://schemas.openxmlformats.org/officeDocument/2006/relationships/image" Target="media/image137.png"/><Relationship Id="rId167" Type="http://schemas.openxmlformats.org/officeDocument/2006/relationships/image" Target="media/image138.png"/><Relationship Id="rId168" Type="http://schemas.openxmlformats.org/officeDocument/2006/relationships/image" Target="media/image139.png"/><Relationship Id="rId169" Type="http://schemas.openxmlformats.org/officeDocument/2006/relationships/image" Target="media/image140.png"/><Relationship Id="rId170" Type="http://schemas.openxmlformats.org/officeDocument/2006/relationships/image" Target="media/image141.png"/><Relationship Id="rId171" Type="http://schemas.openxmlformats.org/officeDocument/2006/relationships/image" Target="media/image142.png"/><Relationship Id="rId172" Type="http://schemas.openxmlformats.org/officeDocument/2006/relationships/image" Target="media/image143.png"/><Relationship Id="rId173" Type="http://schemas.openxmlformats.org/officeDocument/2006/relationships/image" Target="media/image144.png"/><Relationship Id="rId174" Type="http://schemas.openxmlformats.org/officeDocument/2006/relationships/image" Target="media/image145.png"/><Relationship Id="rId175" Type="http://schemas.openxmlformats.org/officeDocument/2006/relationships/image" Target="media/image146.png"/><Relationship Id="rId176" Type="http://schemas.openxmlformats.org/officeDocument/2006/relationships/image" Target="media/image147.png"/><Relationship Id="rId177" Type="http://schemas.openxmlformats.org/officeDocument/2006/relationships/image" Target="media/image148.png"/><Relationship Id="rId178" Type="http://schemas.openxmlformats.org/officeDocument/2006/relationships/image" Target="media/image149.png"/><Relationship Id="rId179" Type="http://schemas.openxmlformats.org/officeDocument/2006/relationships/image" Target="media/image150.png"/><Relationship Id="rId180" Type="http://schemas.openxmlformats.org/officeDocument/2006/relationships/image" Target="media/image151.png"/><Relationship Id="rId181" Type="http://schemas.openxmlformats.org/officeDocument/2006/relationships/image" Target="media/image152.png"/><Relationship Id="rId182" Type="http://schemas.openxmlformats.org/officeDocument/2006/relationships/image" Target="media/image153.png"/><Relationship Id="rId183" Type="http://schemas.openxmlformats.org/officeDocument/2006/relationships/image" Target="media/image154.png"/><Relationship Id="rId184" Type="http://schemas.openxmlformats.org/officeDocument/2006/relationships/image" Target="media/image155.png"/><Relationship Id="rId185" Type="http://schemas.openxmlformats.org/officeDocument/2006/relationships/image" Target="media/image156.png"/><Relationship Id="rId186" Type="http://schemas.openxmlformats.org/officeDocument/2006/relationships/image" Target="media/image157.png"/><Relationship Id="rId187" Type="http://schemas.openxmlformats.org/officeDocument/2006/relationships/image" Target="media/image158.png"/><Relationship Id="rId188" Type="http://schemas.openxmlformats.org/officeDocument/2006/relationships/image" Target="media/image159.png"/><Relationship Id="rId189" Type="http://schemas.openxmlformats.org/officeDocument/2006/relationships/image" Target="media/image160.png"/><Relationship Id="rId190" Type="http://schemas.openxmlformats.org/officeDocument/2006/relationships/image" Target="media/image161.png"/><Relationship Id="rId191" Type="http://schemas.openxmlformats.org/officeDocument/2006/relationships/image" Target="media/image162.png"/><Relationship Id="rId192" Type="http://schemas.openxmlformats.org/officeDocument/2006/relationships/image" Target="media/image163.png"/><Relationship Id="rId193" Type="http://schemas.openxmlformats.org/officeDocument/2006/relationships/image" Target="media/image164.png"/><Relationship Id="rId194" Type="http://schemas.openxmlformats.org/officeDocument/2006/relationships/image" Target="media/image165.png"/><Relationship Id="rId195" Type="http://schemas.openxmlformats.org/officeDocument/2006/relationships/image" Target="media/image166.png"/><Relationship Id="rId196" Type="http://schemas.openxmlformats.org/officeDocument/2006/relationships/image" Target="media/image167.png"/><Relationship Id="rId197" Type="http://schemas.openxmlformats.org/officeDocument/2006/relationships/image" Target="media/image168.png"/><Relationship Id="rId198" Type="http://schemas.openxmlformats.org/officeDocument/2006/relationships/image" Target="media/image169.png"/><Relationship Id="rId199" Type="http://schemas.openxmlformats.org/officeDocument/2006/relationships/image" Target="media/image170.png"/><Relationship Id="rId200" Type="http://schemas.openxmlformats.org/officeDocument/2006/relationships/image" Target="media/image171.png"/><Relationship Id="rId201" Type="http://schemas.openxmlformats.org/officeDocument/2006/relationships/image" Target="media/image172.png"/><Relationship Id="rId202" Type="http://schemas.openxmlformats.org/officeDocument/2006/relationships/image" Target="media/image173.png"/><Relationship Id="rId203" Type="http://schemas.openxmlformats.org/officeDocument/2006/relationships/image" Target="media/image174.png"/><Relationship Id="rId204" Type="http://schemas.openxmlformats.org/officeDocument/2006/relationships/image" Target="media/image175.png"/><Relationship Id="rId205" Type="http://schemas.openxmlformats.org/officeDocument/2006/relationships/image" Target="media/image176.png"/><Relationship Id="rId206" Type="http://schemas.openxmlformats.org/officeDocument/2006/relationships/image" Target="media/image177.png"/><Relationship Id="rId207" Type="http://schemas.openxmlformats.org/officeDocument/2006/relationships/image" Target="media/image178.png"/><Relationship Id="rId208" Type="http://schemas.openxmlformats.org/officeDocument/2006/relationships/image" Target="media/image179.png"/><Relationship Id="rId209" Type="http://schemas.openxmlformats.org/officeDocument/2006/relationships/image" Target="media/image180.png"/><Relationship Id="rId210" Type="http://schemas.openxmlformats.org/officeDocument/2006/relationships/image" Target="media/image181.png"/><Relationship Id="rId211" Type="http://schemas.openxmlformats.org/officeDocument/2006/relationships/image" Target="media/image182.png"/><Relationship Id="rId212" Type="http://schemas.openxmlformats.org/officeDocument/2006/relationships/image" Target="media/image183.png"/><Relationship Id="rId213" Type="http://schemas.openxmlformats.org/officeDocument/2006/relationships/image" Target="media/image184.png"/><Relationship Id="rId214" Type="http://schemas.openxmlformats.org/officeDocument/2006/relationships/image" Target="media/image185.png"/><Relationship Id="rId215" Type="http://schemas.openxmlformats.org/officeDocument/2006/relationships/image" Target="media/image186.png"/><Relationship Id="rId216" Type="http://schemas.openxmlformats.org/officeDocument/2006/relationships/image" Target="media/image187.png"/><Relationship Id="rId217" Type="http://schemas.openxmlformats.org/officeDocument/2006/relationships/image" Target="media/image188.png"/><Relationship Id="rId218" Type="http://schemas.openxmlformats.org/officeDocument/2006/relationships/image" Target="media/image189.png"/><Relationship Id="rId219" Type="http://schemas.openxmlformats.org/officeDocument/2006/relationships/image" Target="media/image190.png"/><Relationship Id="rId220" Type="http://schemas.openxmlformats.org/officeDocument/2006/relationships/image" Target="media/image191.png"/><Relationship Id="rId221" Type="http://schemas.openxmlformats.org/officeDocument/2006/relationships/image" Target="media/image192.png"/><Relationship Id="rId222" Type="http://schemas.openxmlformats.org/officeDocument/2006/relationships/image" Target="media/image193.png"/><Relationship Id="rId223" Type="http://schemas.openxmlformats.org/officeDocument/2006/relationships/image" Target="media/image194.png"/><Relationship Id="rId224" Type="http://schemas.openxmlformats.org/officeDocument/2006/relationships/image" Target="media/image195.png"/><Relationship Id="rId225" Type="http://schemas.openxmlformats.org/officeDocument/2006/relationships/image" Target="media/image196.png"/><Relationship Id="rId226" Type="http://schemas.openxmlformats.org/officeDocument/2006/relationships/image" Target="media/image197.png"/><Relationship Id="rId227" Type="http://schemas.openxmlformats.org/officeDocument/2006/relationships/image" Target="media/image198.png"/><Relationship Id="rId228" Type="http://schemas.openxmlformats.org/officeDocument/2006/relationships/image" Target="media/image199.png"/><Relationship Id="rId229" Type="http://schemas.openxmlformats.org/officeDocument/2006/relationships/image" Target="media/image200.png"/><Relationship Id="rId230" Type="http://schemas.openxmlformats.org/officeDocument/2006/relationships/image" Target="media/image201.png"/><Relationship Id="rId231" Type="http://schemas.openxmlformats.org/officeDocument/2006/relationships/image" Target="media/image202.png"/><Relationship Id="rId232" Type="http://schemas.openxmlformats.org/officeDocument/2006/relationships/image" Target="media/image203.png"/><Relationship Id="rId233" Type="http://schemas.openxmlformats.org/officeDocument/2006/relationships/image" Target="media/image204.png"/><Relationship Id="rId234" Type="http://schemas.openxmlformats.org/officeDocument/2006/relationships/image" Target="media/image205.png"/><Relationship Id="rId235" Type="http://schemas.openxmlformats.org/officeDocument/2006/relationships/image" Target="media/image206.png"/><Relationship Id="rId236" Type="http://schemas.openxmlformats.org/officeDocument/2006/relationships/image" Target="media/image207.png"/><Relationship Id="rId237" Type="http://schemas.openxmlformats.org/officeDocument/2006/relationships/image" Target="media/image208.png"/><Relationship Id="rId238" Type="http://schemas.openxmlformats.org/officeDocument/2006/relationships/image" Target="media/image209.png"/><Relationship Id="rId239" Type="http://schemas.openxmlformats.org/officeDocument/2006/relationships/image" Target="media/image210.png"/><Relationship Id="rId240" Type="http://schemas.openxmlformats.org/officeDocument/2006/relationships/image" Target="media/image211.png"/><Relationship Id="rId241" Type="http://schemas.openxmlformats.org/officeDocument/2006/relationships/image" Target="media/image212.png"/><Relationship Id="rId242" Type="http://schemas.openxmlformats.org/officeDocument/2006/relationships/image" Target="media/image213.png"/><Relationship Id="rId243" Type="http://schemas.openxmlformats.org/officeDocument/2006/relationships/image" Target="media/image214.png"/><Relationship Id="rId244" Type="http://schemas.openxmlformats.org/officeDocument/2006/relationships/image" Target="media/image215.png"/><Relationship Id="rId245" Type="http://schemas.openxmlformats.org/officeDocument/2006/relationships/image" Target="media/image216.png"/><Relationship Id="rId246" Type="http://schemas.openxmlformats.org/officeDocument/2006/relationships/image" Target="media/image217.png"/><Relationship Id="rId247" Type="http://schemas.openxmlformats.org/officeDocument/2006/relationships/image" Target="media/image218.png"/><Relationship Id="rId248" Type="http://schemas.openxmlformats.org/officeDocument/2006/relationships/image" Target="media/image219.png"/><Relationship Id="rId249" Type="http://schemas.openxmlformats.org/officeDocument/2006/relationships/image" Target="media/image220.png"/><Relationship Id="rId250" Type="http://schemas.openxmlformats.org/officeDocument/2006/relationships/image" Target="media/image221.png"/><Relationship Id="rId251" Type="http://schemas.openxmlformats.org/officeDocument/2006/relationships/image" Target="media/image222.png"/><Relationship Id="rId252" Type="http://schemas.openxmlformats.org/officeDocument/2006/relationships/image" Target="media/image223.png"/><Relationship Id="rId253" Type="http://schemas.openxmlformats.org/officeDocument/2006/relationships/image" Target="media/image224.png"/><Relationship Id="rId254" Type="http://schemas.openxmlformats.org/officeDocument/2006/relationships/image" Target="media/image225.png"/><Relationship Id="rId255" Type="http://schemas.openxmlformats.org/officeDocument/2006/relationships/image" Target="media/image226.png"/><Relationship Id="rId256" Type="http://schemas.openxmlformats.org/officeDocument/2006/relationships/image" Target="media/image227.png"/><Relationship Id="rId257" Type="http://schemas.openxmlformats.org/officeDocument/2006/relationships/image" Target="media/image228.png"/><Relationship Id="rId258" Type="http://schemas.openxmlformats.org/officeDocument/2006/relationships/image" Target="media/image229.png"/><Relationship Id="rId259" Type="http://schemas.openxmlformats.org/officeDocument/2006/relationships/image" Target="media/image230.png"/><Relationship Id="rId260" Type="http://schemas.openxmlformats.org/officeDocument/2006/relationships/image" Target="media/image231.png"/><Relationship Id="rId261" Type="http://schemas.openxmlformats.org/officeDocument/2006/relationships/image" Target="media/image232.png"/><Relationship Id="rId262" Type="http://schemas.openxmlformats.org/officeDocument/2006/relationships/image" Target="media/image233.png"/><Relationship Id="rId263" Type="http://schemas.openxmlformats.org/officeDocument/2006/relationships/image" Target="media/image234.png"/><Relationship Id="rId264" Type="http://schemas.openxmlformats.org/officeDocument/2006/relationships/image" Target="media/image235.png"/><Relationship Id="rId265" Type="http://schemas.openxmlformats.org/officeDocument/2006/relationships/image" Target="media/image236.png"/><Relationship Id="rId266" Type="http://schemas.openxmlformats.org/officeDocument/2006/relationships/image" Target="media/image237.png"/><Relationship Id="rId267" Type="http://schemas.openxmlformats.org/officeDocument/2006/relationships/image" Target="media/image238.png"/><Relationship Id="rId268" Type="http://schemas.openxmlformats.org/officeDocument/2006/relationships/image" Target="media/image239.png"/><Relationship Id="rId269" Type="http://schemas.openxmlformats.org/officeDocument/2006/relationships/image" Target="media/image240.png"/><Relationship Id="rId270" Type="http://schemas.openxmlformats.org/officeDocument/2006/relationships/image" Target="media/image241.png"/><Relationship Id="rId271" Type="http://schemas.openxmlformats.org/officeDocument/2006/relationships/image" Target="media/image242.png"/><Relationship Id="rId272" Type="http://schemas.openxmlformats.org/officeDocument/2006/relationships/image" Target="media/image243.png"/><Relationship Id="rId273" Type="http://schemas.openxmlformats.org/officeDocument/2006/relationships/image" Target="media/image244.png"/><Relationship Id="rId274" Type="http://schemas.openxmlformats.org/officeDocument/2006/relationships/image" Target="media/image245.png"/><Relationship Id="rId275" Type="http://schemas.openxmlformats.org/officeDocument/2006/relationships/image" Target="media/image246.png"/><Relationship Id="rId276" Type="http://schemas.openxmlformats.org/officeDocument/2006/relationships/image" Target="media/image247.png"/><Relationship Id="rId277" Type="http://schemas.openxmlformats.org/officeDocument/2006/relationships/image" Target="media/image248.png"/><Relationship Id="rId278" Type="http://schemas.openxmlformats.org/officeDocument/2006/relationships/image" Target="media/image249.png"/><Relationship Id="rId279" Type="http://schemas.openxmlformats.org/officeDocument/2006/relationships/image" Target="media/image250.png"/><Relationship Id="rId280" Type="http://schemas.openxmlformats.org/officeDocument/2006/relationships/footer" Target="footer5.xml"/><Relationship Id="rId281" Type="http://schemas.openxmlformats.org/officeDocument/2006/relationships/footer" Target="footer6.xml"/><Relationship Id="rId282" Type="http://schemas.openxmlformats.org/officeDocument/2006/relationships/image" Target="media/image251.png"/><Relationship Id="rId283" Type="http://schemas.openxmlformats.org/officeDocument/2006/relationships/image" Target="media/image252.png"/><Relationship Id="rId284" Type="http://schemas.openxmlformats.org/officeDocument/2006/relationships/footer" Target="footer7.xml"/><Relationship Id="rId285" Type="http://schemas.openxmlformats.org/officeDocument/2006/relationships/footer" Target="footer8.xml"/><Relationship Id="rId286" Type="http://schemas.openxmlformats.org/officeDocument/2006/relationships/image" Target="media/image253.png"/><Relationship Id="rId287" Type="http://schemas.openxmlformats.org/officeDocument/2006/relationships/image" Target="media/image254.png"/><Relationship Id="rId288" Type="http://schemas.openxmlformats.org/officeDocument/2006/relationships/image" Target="media/image255.png"/><Relationship Id="rId289" Type="http://schemas.openxmlformats.org/officeDocument/2006/relationships/image" Target="media/image256.png"/><Relationship Id="rId290" Type="http://schemas.openxmlformats.org/officeDocument/2006/relationships/image" Target="media/image257.png"/><Relationship Id="rId291" Type="http://schemas.openxmlformats.org/officeDocument/2006/relationships/image" Target="media/image258.png"/><Relationship Id="rId292" Type="http://schemas.openxmlformats.org/officeDocument/2006/relationships/image" Target="media/image259.png"/><Relationship Id="rId293" Type="http://schemas.openxmlformats.org/officeDocument/2006/relationships/image" Target="media/image260.png"/><Relationship Id="rId294" Type="http://schemas.openxmlformats.org/officeDocument/2006/relationships/image" Target="media/image261.png"/><Relationship Id="rId295" Type="http://schemas.openxmlformats.org/officeDocument/2006/relationships/image" Target="media/image262.png"/><Relationship Id="rId296" Type="http://schemas.openxmlformats.org/officeDocument/2006/relationships/image" Target="media/image263.png"/><Relationship Id="rId297" Type="http://schemas.openxmlformats.org/officeDocument/2006/relationships/footer" Target="footer9.xml"/><Relationship Id="rId298" Type="http://schemas.openxmlformats.org/officeDocument/2006/relationships/footer" Target="footer10.xml"/><Relationship Id="rId299" Type="http://schemas.openxmlformats.org/officeDocument/2006/relationships/image" Target="media/image264.png"/><Relationship Id="rId300" Type="http://schemas.openxmlformats.org/officeDocument/2006/relationships/image" Target="media/image265.png"/><Relationship Id="rId301" Type="http://schemas.openxmlformats.org/officeDocument/2006/relationships/image" Target="media/image266.png"/><Relationship Id="rId302" Type="http://schemas.openxmlformats.org/officeDocument/2006/relationships/image" Target="media/image267.png"/><Relationship Id="rId303" Type="http://schemas.openxmlformats.org/officeDocument/2006/relationships/footer" Target="footer11.xml"/><Relationship Id="rId304" Type="http://schemas.openxmlformats.org/officeDocument/2006/relationships/image" Target="media/image268.png"/><Relationship Id="rId305" Type="http://schemas.openxmlformats.org/officeDocument/2006/relationships/image" Target="media/image269.png"/><Relationship Id="rId306" Type="http://schemas.openxmlformats.org/officeDocument/2006/relationships/image" Target="media/image270.png"/><Relationship Id="rId307" Type="http://schemas.openxmlformats.org/officeDocument/2006/relationships/image" Target="media/image271.png"/><Relationship Id="rId308" Type="http://schemas.openxmlformats.org/officeDocument/2006/relationships/image" Target="media/image272.png"/><Relationship Id="rId309" Type="http://schemas.openxmlformats.org/officeDocument/2006/relationships/image" Target="media/image273.png"/><Relationship Id="rId310" Type="http://schemas.openxmlformats.org/officeDocument/2006/relationships/footer" Target="footer12.xml"/><Relationship Id="rId311" Type="http://schemas.openxmlformats.org/officeDocument/2006/relationships/image" Target="media/image274.png"/><Relationship Id="rId312" Type="http://schemas.openxmlformats.org/officeDocument/2006/relationships/image" Target="media/image275.png"/><Relationship Id="rId313" Type="http://schemas.openxmlformats.org/officeDocument/2006/relationships/image" Target="media/image276.png"/><Relationship Id="rId314" Type="http://schemas.openxmlformats.org/officeDocument/2006/relationships/image" Target="media/image277.png"/><Relationship Id="rId315" Type="http://schemas.openxmlformats.org/officeDocument/2006/relationships/image" Target="media/image278.png"/><Relationship Id="rId316" Type="http://schemas.openxmlformats.org/officeDocument/2006/relationships/image" Target="media/image279.png"/><Relationship Id="rId317" Type="http://schemas.openxmlformats.org/officeDocument/2006/relationships/image" Target="media/image280.png"/><Relationship Id="rId318" Type="http://schemas.openxmlformats.org/officeDocument/2006/relationships/image" Target="media/image281.png"/><Relationship Id="rId319" Type="http://schemas.openxmlformats.org/officeDocument/2006/relationships/image" Target="media/image282.png"/><Relationship Id="rId320" Type="http://schemas.openxmlformats.org/officeDocument/2006/relationships/image" Target="media/image283.png"/><Relationship Id="rId321" Type="http://schemas.openxmlformats.org/officeDocument/2006/relationships/image" Target="media/image284.png"/><Relationship Id="rId322" Type="http://schemas.openxmlformats.org/officeDocument/2006/relationships/image" Target="media/image285.png"/><Relationship Id="rId323" Type="http://schemas.openxmlformats.org/officeDocument/2006/relationships/image" Target="media/image286.png"/><Relationship Id="rId324" Type="http://schemas.openxmlformats.org/officeDocument/2006/relationships/image" Target="media/image287.png"/><Relationship Id="rId325" Type="http://schemas.openxmlformats.org/officeDocument/2006/relationships/image" Target="media/image288.png"/><Relationship Id="rId326" Type="http://schemas.openxmlformats.org/officeDocument/2006/relationships/image" Target="media/image289.png"/><Relationship Id="rId327" Type="http://schemas.openxmlformats.org/officeDocument/2006/relationships/image" Target="media/image290.png"/><Relationship Id="rId328" Type="http://schemas.openxmlformats.org/officeDocument/2006/relationships/image" Target="media/image291.png"/><Relationship Id="rId329" Type="http://schemas.openxmlformats.org/officeDocument/2006/relationships/image" Target="media/image292.png"/><Relationship Id="rId330" Type="http://schemas.openxmlformats.org/officeDocument/2006/relationships/footer" Target="footer13.xml"/><Relationship Id="rId331" Type="http://schemas.openxmlformats.org/officeDocument/2006/relationships/image" Target="media/image293.png"/><Relationship Id="rId332" Type="http://schemas.openxmlformats.org/officeDocument/2006/relationships/image" Target="media/image294.png"/><Relationship Id="rId333" Type="http://schemas.openxmlformats.org/officeDocument/2006/relationships/hyperlink" Target="https://www.medicaid.gov/medicaid/section-1115-demo/evaluation-reports/evaluation-designs-and-reports/index.html" TargetMode="External"/><Relationship Id="rId334" Type="http://schemas.openxmlformats.org/officeDocument/2006/relationships/hyperlink" Target="https://innovation.cms.gov/files/x/hciatwoaimsdrvrs.pdf" TargetMode="External"/><Relationship Id="rId335" Type="http://schemas.openxmlformats.org/officeDocument/2006/relationships/footer" Target="footer14.xml"/><Relationship Id="rId336" Type="http://schemas.openxmlformats.org/officeDocument/2006/relationships/image" Target="media/image295.png"/><Relationship Id="rId337" Type="http://schemas.openxmlformats.org/officeDocument/2006/relationships/image" Target="media/image296.png"/><Relationship Id="rId338" Type="http://schemas.openxmlformats.org/officeDocument/2006/relationships/footer" Target="footer15.xml"/><Relationship Id="rId339" Type="http://schemas.openxmlformats.org/officeDocument/2006/relationships/footer" Target="footer16.xml"/><Relationship Id="rId340" Type="http://schemas.openxmlformats.org/officeDocument/2006/relationships/footer" Target="footer17.xml"/><Relationship Id="rId341" Type="http://schemas.openxmlformats.org/officeDocument/2006/relationships/image" Target="media/image297.png"/><Relationship Id="rId342" Type="http://schemas.openxmlformats.org/officeDocument/2006/relationships/image" Target="media/image298.png"/><Relationship Id="rId343" Type="http://schemas.openxmlformats.org/officeDocument/2006/relationships/image" Target="media/image299.png"/><Relationship Id="rId344" Type="http://schemas.openxmlformats.org/officeDocument/2006/relationships/image" Target="media/image300.png"/><Relationship Id="rId345" Type="http://schemas.openxmlformats.org/officeDocument/2006/relationships/image" Target="media/image301.png"/><Relationship Id="rId346" Type="http://schemas.openxmlformats.org/officeDocument/2006/relationships/image" Target="media/image302.png"/><Relationship Id="rId347" Type="http://schemas.openxmlformats.org/officeDocument/2006/relationships/image" Target="media/image303.png"/><Relationship Id="rId348" Type="http://schemas.openxmlformats.org/officeDocument/2006/relationships/image" Target="media/image304.jpeg"/><Relationship Id="rId349" Type="http://schemas.openxmlformats.org/officeDocument/2006/relationships/hyperlink" Target="http://www.commbuys.com/" TargetMode="External"/><Relationship Id="rId350" Type="http://schemas.openxmlformats.org/officeDocument/2006/relationships/footer" Target="footer18.xml"/><Relationship Id="rId351" Type="http://schemas.openxmlformats.org/officeDocument/2006/relationships/footer" Target="footer19.xml"/><Relationship Id="rId352" Type="http://schemas.openxmlformats.org/officeDocument/2006/relationships/footer" Target="footer20.xml"/><Relationship Id="rId353" Type="http://schemas.openxmlformats.org/officeDocument/2006/relationships/footer" Target="footer21.xml"/><Relationship Id="rId354" Type="http://schemas.openxmlformats.org/officeDocument/2006/relationships/footer" Target="footer22.xml"/><Relationship Id="rId35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CMS</dc:creator>
  <dcterms:created xsi:type="dcterms:W3CDTF">2023-07-14T14:56:42Z</dcterms:created>
  <dcterms:modified xsi:type="dcterms:W3CDTF">2023-07-14T14:56:42Z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2022-09-28T00:00:00Z</vt:filetime>
  </property>
  <property fmtid="{D5CDD505-2E9C-101B-9397-08002B2CF9AE}" pid="3" name="Creator">
    <vt:lpwstr>Adobe Acrobat Pro DC (32-bit) 22.1.20117</vt:lpwstr>
  </property>
  <property fmtid="{D5CDD505-2E9C-101B-9397-08002B2CF9AE}" pid="4" name="LastSaved">
    <vt:filetime>2023-07-14T00:00:00Z</vt:filetime>
  </property>
  <property fmtid="{D5CDD505-2E9C-101B-9397-08002B2CF9AE}" pid="5" name="Producer">
    <vt:lpwstr>Adobe Acrobat Pro DC (32-bit) 22.1.20117</vt:lpwstr>
  </property>
</Properties>
</file>